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07084F" w14:textId="24D2F6D3" w:rsidR="00E778C1" w:rsidRPr="00E778C1" w:rsidRDefault="00E778C1" w:rsidP="00E778C1">
      <w:pPr>
        <w:jc w:val="left"/>
        <w:rPr>
          <w:b/>
        </w:rPr>
      </w:pPr>
    </w:p>
    <w:p w14:paraId="7DACE6F3" w14:textId="77777777" w:rsidR="00391C5F" w:rsidRPr="00E778C1" w:rsidRDefault="00391C5F" w:rsidP="00391C5F">
      <w:pPr>
        <w:jc w:val="center"/>
        <w:rPr>
          <w:rFonts w:eastAsia="Calibri" w:cs="Times New Roman"/>
          <w:b/>
          <w:color w:val="808080"/>
          <w:sz w:val="50"/>
          <w:szCs w:val="50"/>
        </w:rPr>
      </w:pPr>
      <w:r>
        <w:rPr>
          <w:rFonts w:eastAsia="Calibri" w:cs="Times New Roman"/>
          <w:b/>
          <w:color w:val="808080"/>
          <w:sz w:val="50"/>
          <w:szCs w:val="50"/>
        </w:rPr>
        <w:t>Municipalidad de Buenos Aires</w:t>
      </w:r>
    </w:p>
    <w:p w14:paraId="66320DAD" w14:textId="77777777" w:rsidR="00E778C1" w:rsidRPr="00E778C1" w:rsidRDefault="00E778C1" w:rsidP="00E778C1">
      <w:pPr>
        <w:jc w:val="left"/>
      </w:pPr>
    </w:p>
    <w:p w14:paraId="29438BD4" w14:textId="77777777" w:rsidR="00E778C1" w:rsidRPr="00E778C1" w:rsidRDefault="00E778C1" w:rsidP="00E778C1">
      <w:pPr>
        <w:jc w:val="left"/>
      </w:pPr>
    </w:p>
    <w:p w14:paraId="0DF7C05A" w14:textId="77777777" w:rsidR="00E778C1" w:rsidRPr="00E778C1" w:rsidRDefault="00E778C1" w:rsidP="00E778C1">
      <w:pPr>
        <w:jc w:val="left"/>
      </w:pPr>
    </w:p>
    <w:p w14:paraId="749AFAE2" w14:textId="77777777" w:rsidR="00E778C1" w:rsidRPr="00E778C1" w:rsidRDefault="00E778C1" w:rsidP="00E778C1">
      <w:pPr>
        <w:jc w:val="left"/>
      </w:pPr>
    </w:p>
    <w:p w14:paraId="7897A729" w14:textId="29B33CAE" w:rsidR="00E778C1" w:rsidRPr="00E778C1" w:rsidRDefault="00E778C1" w:rsidP="00E778C1">
      <w:pPr>
        <w:jc w:val="center"/>
        <w:rPr>
          <w:rFonts w:eastAsia="Calibri" w:cs="Times New Roman"/>
          <w:b/>
          <w:color w:val="808080"/>
          <w:sz w:val="50"/>
          <w:szCs w:val="50"/>
        </w:rPr>
      </w:pPr>
      <w:r w:rsidRPr="00E778C1">
        <w:rPr>
          <w:rFonts w:eastAsia="Calibri" w:cs="Times New Roman"/>
          <w:b/>
          <w:color w:val="808080"/>
          <w:sz w:val="50"/>
          <w:szCs w:val="50"/>
        </w:rPr>
        <w:t>NOTAS C</w:t>
      </w:r>
      <w:r w:rsidR="00391C5F">
        <w:rPr>
          <w:rFonts w:eastAsia="Calibri" w:cs="Times New Roman"/>
          <w:b/>
          <w:color w:val="808080"/>
          <w:sz w:val="50"/>
          <w:szCs w:val="50"/>
        </w:rPr>
        <w:t>ONTABLES ESTADOS FINANCIEROS DICIEMBRE</w:t>
      </w:r>
      <w:r w:rsidRPr="00E778C1">
        <w:rPr>
          <w:rFonts w:eastAsia="Calibri" w:cs="Times New Roman"/>
          <w:b/>
          <w:color w:val="808080"/>
          <w:sz w:val="50"/>
          <w:szCs w:val="50"/>
        </w:rPr>
        <w:t xml:space="preserve"> 202</w:t>
      </w:r>
      <w:r w:rsidR="006C732B">
        <w:rPr>
          <w:rFonts w:eastAsia="Calibri" w:cs="Times New Roman"/>
          <w:b/>
          <w:color w:val="808080"/>
          <w:sz w:val="50"/>
          <w:szCs w:val="50"/>
        </w:rPr>
        <w:t>4</w:t>
      </w:r>
    </w:p>
    <w:p w14:paraId="6CF4C1DC" w14:textId="77777777" w:rsidR="00E778C1" w:rsidRPr="00E778C1" w:rsidRDefault="00E778C1" w:rsidP="00E778C1">
      <w:pPr>
        <w:jc w:val="left"/>
      </w:pPr>
    </w:p>
    <w:p w14:paraId="04BDF968" w14:textId="77777777" w:rsidR="00E778C1" w:rsidRPr="00E778C1" w:rsidRDefault="00E778C1" w:rsidP="00E778C1">
      <w:pPr>
        <w:jc w:val="left"/>
      </w:pPr>
    </w:p>
    <w:p w14:paraId="0715AE3A" w14:textId="77777777" w:rsidR="00E778C1" w:rsidRPr="00E778C1" w:rsidRDefault="00E778C1" w:rsidP="00E778C1">
      <w:pPr>
        <w:jc w:val="left"/>
      </w:pPr>
    </w:p>
    <w:p w14:paraId="7195B921" w14:textId="77777777" w:rsidR="00E778C1" w:rsidRPr="00E778C1" w:rsidRDefault="00E778C1" w:rsidP="00E778C1">
      <w:pPr>
        <w:jc w:val="left"/>
      </w:pPr>
    </w:p>
    <w:p w14:paraId="17EC13F0" w14:textId="77777777" w:rsidR="00E778C1" w:rsidRPr="00E778C1" w:rsidRDefault="00E778C1" w:rsidP="00E778C1">
      <w:pPr>
        <w:jc w:val="left"/>
      </w:pPr>
    </w:p>
    <w:p w14:paraId="56C595DC" w14:textId="77777777" w:rsidR="00E778C1" w:rsidRPr="00E778C1" w:rsidRDefault="00E778C1" w:rsidP="00E778C1">
      <w:pPr>
        <w:jc w:val="left"/>
      </w:pPr>
    </w:p>
    <w:p w14:paraId="7512F12F" w14:textId="77777777" w:rsidR="00E778C1" w:rsidRPr="00E778C1" w:rsidRDefault="00E778C1" w:rsidP="00E778C1">
      <w:pPr>
        <w:jc w:val="left"/>
      </w:pPr>
    </w:p>
    <w:p w14:paraId="72BB973A" w14:textId="77777777" w:rsidR="00E778C1" w:rsidRPr="00E778C1" w:rsidRDefault="00E778C1" w:rsidP="00E778C1">
      <w:pPr>
        <w:jc w:val="left"/>
      </w:pPr>
    </w:p>
    <w:p w14:paraId="21A56F5A" w14:textId="77777777" w:rsidR="00E778C1" w:rsidRPr="00E778C1" w:rsidRDefault="00E778C1" w:rsidP="00E778C1">
      <w:pPr>
        <w:jc w:val="left"/>
      </w:pPr>
    </w:p>
    <w:p w14:paraId="62AD9D18" w14:textId="77777777" w:rsidR="00E778C1" w:rsidRPr="00E778C1" w:rsidRDefault="00E778C1" w:rsidP="00E778C1">
      <w:pPr>
        <w:jc w:val="left"/>
      </w:pPr>
    </w:p>
    <w:p w14:paraId="397093E9" w14:textId="77777777" w:rsidR="00E778C1" w:rsidRPr="00E778C1" w:rsidRDefault="00E778C1" w:rsidP="00E778C1">
      <w:pPr>
        <w:jc w:val="left"/>
      </w:pPr>
    </w:p>
    <w:p w14:paraId="3E327AC9" w14:textId="7A1F00E2" w:rsidR="004B7D88" w:rsidRPr="0045072A" w:rsidRDefault="00391C5F" w:rsidP="0045072A">
      <w:pPr>
        <w:jc w:val="center"/>
        <w:rPr>
          <w:rFonts w:eastAsia="Calibri" w:cs="Times New Roman"/>
          <w:color w:val="808080"/>
          <w:sz w:val="40"/>
          <w:szCs w:val="40"/>
        </w:rPr>
      </w:pPr>
      <w:r>
        <w:rPr>
          <w:rFonts w:eastAsia="Calibri" w:cs="Times New Roman"/>
          <w:color w:val="808080"/>
          <w:sz w:val="40"/>
          <w:szCs w:val="40"/>
        </w:rPr>
        <w:t>DICIEMBRE</w:t>
      </w:r>
      <w:r w:rsidR="00E778C1" w:rsidRPr="00E778C1">
        <w:rPr>
          <w:rFonts w:eastAsia="Calibri" w:cs="Times New Roman"/>
          <w:color w:val="808080"/>
          <w:sz w:val="40"/>
          <w:szCs w:val="40"/>
        </w:rPr>
        <w:t>, 202</w:t>
      </w:r>
      <w:r w:rsidR="006C732B">
        <w:rPr>
          <w:rFonts w:eastAsia="Calibri" w:cs="Times New Roman"/>
          <w:color w:val="808080"/>
          <w:sz w:val="40"/>
          <w:szCs w:val="40"/>
        </w:rPr>
        <w:t>4</w:t>
      </w:r>
    </w:p>
    <w:p w14:paraId="62F39ED6" w14:textId="3795B714" w:rsidR="00E778C1" w:rsidRPr="00E778C1" w:rsidRDefault="00E778C1">
      <w:pPr>
        <w:rPr>
          <w:sz w:val="28"/>
        </w:rPr>
      </w:pPr>
      <w:r w:rsidRPr="00E778C1">
        <w:rPr>
          <w:sz w:val="28"/>
        </w:rPr>
        <w:lastRenderedPageBreak/>
        <w:t>TABLA DE CONTENIDO</w:t>
      </w:r>
    </w:p>
    <w:p w14:paraId="7D0F780E" w14:textId="662F8770" w:rsidR="00E54C34" w:rsidRDefault="002C4091">
      <w:pPr>
        <w:pStyle w:val="TDC1"/>
        <w:tabs>
          <w:tab w:val="right" w:leader="dot" w:pos="8828"/>
        </w:tabs>
        <w:rPr>
          <w:rFonts w:asciiTheme="minorHAnsi" w:eastAsiaTheme="minorEastAsia" w:hAnsiTheme="minorHAnsi"/>
          <w:b w:val="0"/>
          <w:bCs w:val="0"/>
          <w:caps w:val="0"/>
          <w:noProof/>
          <w:sz w:val="22"/>
          <w:szCs w:val="22"/>
          <w:lang w:eastAsia="es-CR"/>
        </w:rPr>
      </w:pPr>
      <w:r w:rsidRPr="00874E06">
        <w:rPr>
          <w:rFonts w:ascii="Arial Narrow" w:hAnsi="Arial Narrow"/>
          <w:sz w:val="22"/>
          <w:szCs w:val="22"/>
        </w:rPr>
        <w:fldChar w:fldCharType="begin"/>
      </w:r>
      <w:r w:rsidRPr="00874E06">
        <w:rPr>
          <w:rFonts w:ascii="Arial Narrow" w:hAnsi="Arial Narrow"/>
          <w:sz w:val="22"/>
          <w:szCs w:val="22"/>
        </w:rPr>
        <w:instrText xml:space="preserve"> TOC \o "1-4" \h \z \u </w:instrText>
      </w:r>
      <w:r w:rsidRPr="00874E06">
        <w:rPr>
          <w:rFonts w:ascii="Arial Narrow" w:hAnsi="Arial Narrow"/>
          <w:sz w:val="22"/>
          <w:szCs w:val="22"/>
        </w:rPr>
        <w:fldChar w:fldCharType="separate"/>
      </w:r>
      <w:hyperlink w:anchor="_Toc189804768" w:history="1">
        <w:r w:rsidR="00E54C34" w:rsidRPr="00370E31">
          <w:rPr>
            <w:rStyle w:val="Hipervnculo"/>
            <w:noProof/>
          </w:rPr>
          <w:t>Periodo Contable 2024</w:t>
        </w:r>
        <w:r w:rsidR="00E54C34">
          <w:rPr>
            <w:noProof/>
            <w:webHidden/>
          </w:rPr>
          <w:tab/>
        </w:r>
        <w:r w:rsidR="00E54C34">
          <w:rPr>
            <w:noProof/>
            <w:webHidden/>
          </w:rPr>
          <w:fldChar w:fldCharType="begin"/>
        </w:r>
        <w:r w:rsidR="00E54C34">
          <w:rPr>
            <w:noProof/>
            <w:webHidden/>
          </w:rPr>
          <w:instrText xml:space="preserve"> PAGEREF _Toc189804768 \h </w:instrText>
        </w:r>
        <w:r w:rsidR="00E54C34">
          <w:rPr>
            <w:noProof/>
            <w:webHidden/>
          </w:rPr>
        </w:r>
        <w:r w:rsidR="00E54C34">
          <w:rPr>
            <w:noProof/>
            <w:webHidden/>
          </w:rPr>
          <w:fldChar w:fldCharType="separate"/>
        </w:r>
        <w:r w:rsidR="00E54C34">
          <w:rPr>
            <w:noProof/>
            <w:webHidden/>
          </w:rPr>
          <w:t>10</w:t>
        </w:r>
        <w:r w:rsidR="00E54C34">
          <w:rPr>
            <w:noProof/>
            <w:webHidden/>
          </w:rPr>
          <w:fldChar w:fldCharType="end"/>
        </w:r>
      </w:hyperlink>
    </w:p>
    <w:p w14:paraId="557D9EEE" w14:textId="08FBA0E8" w:rsidR="00E54C34" w:rsidRDefault="00C53097">
      <w:pPr>
        <w:pStyle w:val="TDC1"/>
        <w:tabs>
          <w:tab w:val="right" w:leader="dot" w:pos="8828"/>
        </w:tabs>
        <w:rPr>
          <w:rFonts w:asciiTheme="minorHAnsi" w:eastAsiaTheme="minorEastAsia" w:hAnsiTheme="minorHAnsi"/>
          <w:b w:val="0"/>
          <w:bCs w:val="0"/>
          <w:caps w:val="0"/>
          <w:noProof/>
          <w:sz w:val="22"/>
          <w:szCs w:val="22"/>
          <w:lang w:eastAsia="es-CR"/>
        </w:rPr>
      </w:pPr>
      <w:hyperlink w:anchor="_Toc189804769" w:history="1">
        <w:r w:rsidR="00E54C34" w:rsidRPr="00370E31">
          <w:rPr>
            <w:rStyle w:val="Hipervnculo"/>
            <w:noProof/>
          </w:rPr>
          <w:t>NOTAS NORMAS INTERNACIONALES DE CONTABILIDAD PARA EL SECTOR PUBLICO COSTARRICENSE</w:t>
        </w:r>
        <w:r w:rsidR="00E54C34">
          <w:rPr>
            <w:noProof/>
            <w:webHidden/>
          </w:rPr>
          <w:tab/>
        </w:r>
        <w:r w:rsidR="00E54C34">
          <w:rPr>
            <w:noProof/>
            <w:webHidden/>
          </w:rPr>
          <w:fldChar w:fldCharType="begin"/>
        </w:r>
        <w:r w:rsidR="00E54C34">
          <w:rPr>
            <w:noProof/>
            <w:webHidden/>
          </w:rPr>
          <w:instrText xml:space="preserve"> PAGEREF _Toc189804769 \h </w:instrText>
        </w:r>
        <w:r w:rsidR="00E54C34">
          <w:rPr>
            <w:noProof/>
            <w:webHidden/>
          </w:rPr>
        </w:r>
        <w:r w:rsidR="00E54C34">
          <w:rPr>
            <w:noProof/>
            <w:webHidden/>
          </w:rPr>
          <w:fldChar w:fldCharType="separate"/>
        </w:r>
        <w:r w:rsidR="00E54C34">
          <w:rPr>
            <w:noProof/>
            <w:webHidden/>
          </w:rPr>
          <w:t>12</w:t>
        </w:r>
        <w:r w:rsidR="00E54C34">
          <w:rPr>
            <w:noProof/>
            <w:webHidden/>
          </w:rPr>
          <w:fldChar w:fldCharType="end"/>
        </w:r>
      </w:hyperlink>
    </w:p>
    <w:p w14:paraId="4F46F564" w14:textId="2B056777" w:rsidR="00E54C34" w:rsidRDefault="00C53097">
      <w:pPr>
        <w:pStyle w:val="TDC2"/>
        <w:tabs>
          <w:tab w:val="right" w:leader="dot" w:pos="8828"/>
        </w:tabs>
        <w:rPr>
          <w:rFonts w:eastAsiaTheme="minorEastAsia" w:cstheme="minorBidi"/>
          <w:b w:val="0"/>
          <w:bCs w:val="0"/>
          <w:noProof/>
          <w:sz w:val="22"/>
          <w:szCs w:val="22"/>
          <w:lang w:eastAsia="es-CR"/>
        </w:rPr>
      </w:pPr>
      <w:hyperlink w:anchor="_Toc189804770" w:history="1">
        <w:r w:rsidR="00E54C34" w:rsidRPr="00370E31">
          <w:rPr>
            <w:rStyle w:val="Hipervnculo"/>
            <w:noProof/>
          </w:rPr>
          <w:t>DECLARACIÓN DE CUMPLIMIENTO</w:t>
        </w:r>
        <w:r w:rsidR="00E54C34">
          <w:rPr>
            <w:noProof/>
            <w:webHidden/>
          </w:rPr>
          <w:tab/>
        </w:r>
        <w:r w:rsidR="00E54C34">
          <w:rPr>
            <w:noProof/>
            <w:webHidden/>
          </w:rPr>
          <w:fldChar w:fldCharType="begin"/>
        </w:r>
        <w:r w:rsidR="00E54C34">
          <w:rPr>
            <w:noProof/>
            <w:webHidden/>
          </w:rPr>
          <w:instrText xml:space="preserve"> PAGEREF _Toc189804770 \h </w:instrText>
        </w:r>
        <w:r w:rsidR="00E54C34">
          <w:rPr>
            <w:noProof/>
            <w:webHidden/>
          </w:rPr>
        </w:r>
        <w:r w:rsidR="00E54C34">
          <w:rPr>
            <w:noProof/>
            <w:webHidden/>
          </w:rPr>
          <w:fldChar w:fldCharType="separate"/>
        </w:r>
        <w:r w:rsidR="00E54C34">
          <w:rPr>
            <w:noProof/>
            <w:webHidden/>
          </w:rPr>
          <w:t>12</w:t>
        </w:r>
        <w:r w:rsidR="00E54C34">
          <w:rPr>
            <w:noProof/>
            <w:webHidden/>
          </w:rPr>
          <w:fldChar w:fldCharType="end"/>
        </w:r>
      </w:hyperlink>
    </w:p>
    <w:p w14:paraId="7040CA80" w14:textId="604DA38C" w:rsidR="00E54C34" w:rsidRDefault="00C53097">
      <w:pPr>
        <w:pStyle w:val="TDC2"/>
        <w:tabs>
          <w:tab w:val="right" w:leader="dot" w:pos="8828"/>
        </w:tabs>
        <w:rPr>
          <w:rFonts w:eastAsiaTheme="minorEastAsia" w:cstheme="minorBidi"/>
          <w:b w:val="0"/>
          <w:bCs w:val="0"/>
          <w:noProof/>
          <w:sz w:val="22"/>
          <w:szCs w:val="22"/>
          <w:lang w:eastAsia="es-CR"/>
        </w:rPr>
      </w:pPr>
      <w:hyperlink w:anchor="_Toc189804771" w:history="1">
        <w:r w:rsidR="00E54C34" w:rsidRPr="00370E31">
          <w:rPr>
            <w:rStyle w:val="Hipervnculo"/>
            <w:noProof/>
          </w:rPr>
          <w:t>CERTIFICACIÓN COMISIÓN DE NICSP INSTITUCIONAL</w:t>
        </w:r>
        <w:r w:rsidR="00E54C34">
          <w:rPr>
            <w:noProof/>
            <w:webHidden/>
          </w:rPr>
          <w:tab/>
        </w:r>
        <w:r w:rsidR="00E54C34">
          <w:rPr>
            <w:noProof/>
            <w:webHidden/>
          </w:rPr>
          <w:fldChar w:fldCharType="begin"/>
        </w:r>
        <w:r w:rsidR="00E54C34">
          <w:rPr>
            <w:noProof/>
            <w:webHidden/>
          </w:rPr>
          <w:instrText xml:space="preserve"> PAGEREF _Toc189804771 \h </w:instrText>
        </w:r>
        <w:r w:rsidR="00E54C34">
          <w:rPr>
            <w:noProof/>
            <w:webHidden/>
          </w:rPr>
        </w:r>
        <w:r w:rsidR="00E54C34">
          <w:rPr>
            <w:noProof/>
            <w:webHidden/>
          </w:rPr>
          <w:fldChar w:fldCharType="separate"/>
        </w:r>
        <w:r w:rsidR="00E54C34">
          <w:rPr>
            <w:noProof/>
            <w:webHidden/>
          </w:rPr>
          <w:t>13</w:t>
        </w:r>
        <w:r w:rsidR="00E54C34">
          <w:rPr>
            <w:noProof/>
            <w:webHidden/>
          </w:rPr>
          <w:fldChar w:fldCharType="end"/>
        </w:r>
      </w:hyperlink>
    </w:p>
    <w:p w14:paraId="00A59427" w14:textId="3E564C54" w:rsidR="00E54C34" w:rsidRDefault="00C53097">
      <w:pPr>
        <w:pStyle w:val="TDC4"/>
        <w:tabs>
          <w:tab w:val="left" w:pos="960"/>
          <w:tab w:val="right" w:leader="dot" w:pos="8828"/>
        </w:tabs>
        <w:rPr>
          <w:rFonts w:eastAsiaTheme="minorEastAsia" w:cstheme="minorBidi"/>
          <w:noProof/>
          <w:sz w:val="22"/>
          <w:szCs w:val="22"/>
          <w:lang w:eastAsia="es-CR"/>
        </w:rPr>
      </w:pPr>
      <w:hyperlink w:anchor="_Toc189804772" w:history="1">
        <w:r w:rsidR="00E54C34" w:rsidRPr="00370E31">
          <w:rPr>
            <w:rStyle w:val="Hipervnculo"/>
            <w:noProof/>
          </w:rPr>
          <w:t>I-</w:t>
        </w:r>
        <w:r w:rsidR="00E54C34">
          <w:rPr>
            <w:rFonts w:eastAsiaTheme="minorEastAsia" w:cstheme="minorBidi"/>
            <w:noProof/>
            <w:sz w:val="22"/>
            <w:szCs w:val="22"/>
            <w:lang w:eastAsia="es-CR"/>
          </w:rPr>
          <w:tab/>
        </w:r>
        <w:r w:rsidR="00E54C34" w:rsidRPr="00370E31">
          <w:rPr>
            <w:rStyle w:val="Hipervnculo"/>
            <w:noProof/>
          </w:rPr>
          <w:t>Cuadro Resumen- Normativa Contable</w:t>
        </w:r>
        <w:r w:rsidR="00E54C34">
          <w:rPr>
            <w:noProof/>
            <w:webHidden/>
          </w:rPr>
          <w:tab/>
        </w:r>
        <w:r w:rsidR="00E54C34">
          <w:rPr>
            <w:noProof/>
            <w:webHidden/>
          </w:rPr>
          <w:fldChar w:fldCharType="begin"/>
        </w:r>
        <w:r w:rsidR="00E54C34">
          <w:rPr>
            <w:noProof/>
            <w:webHidden/>
          </w:rPr>
          <w:instrText xml:space="preserve"> PAGEREF _Toc189804772 \h </w:instrText>
        </w:r>
        <w:r w:rsidR="00E54C34">
          <w:rPr>
            <w:noProof/>
            <w:webHidden/>
          </w:rPr>
        </w:r>
        <w:r w:rsidR="00E54C34">
          <w:rPr>
            <w:noProof/>
            <w:webHidden/>
          </w:rPr>
          <w:fldChar w:fldCharType="separate"/>
        </w:r>
        <w:r w:rsidR="00E54C34">
          <w:rPr>
            <w:noProof/>
            <w:webHidden/>
          </w:rPr>
          <w:t>15</w:t>
        </w:r>
        <w:r w:rsidR="00E54C34">
          <w:rPr>
            <w:noProof/>
            <w:webHidden/>
          </w:rPr>
          <w:fldChar w:fldCharType="end"/>
        </w:r>
      </w:hyperlink>
    </w:p>
    <w:p w14:paraId="6B315530" w14:textId="770ED064" w:rsidR="00E54C34" w:rsidRDefault="00C53097">
      <w:pPr>
        <w:pStyle w:val="TDC4"/>
        <w:tabs>
          <w:tab w:val="left" w:pos="960"/>
          <w:tab w:val="right" w:leader="dot" w:pos="8828"/>
        </w:tabs>
        <w:rPr>
          <w:rFonts w:eastAsiaTheme="minorEastAsia" w:cstheme="minorBidi"/>
          <w:noProof/>
          <w:sz w:val="22"/>
          <w:szCs w:val="22"/>
          <w:lang w:eastAsia="es-CR"/>
        </w:rPr>
      </w:pPr>
      <w:hyperlink w:anchor="_Toc189804773" w:history="1">
        <w:r w:rsidR="00E54C34" w:rsidRPr="00370E31">
          <w:rPr>
            <w:rStyle w:val="Hipervnculo"/>
            <w:noProof/>
          </w:rPr>
          <w:t>II-</w:t>
        </w:r>
        <w:r w:rsidR="00E54C34">
          <w:rPr>
            <w:rFonts w:eastAsiaTheme="minorEastAsia" w:cstheme="minorBidi"/>
            <w:noProof/>
            <w:sz w:val="22"/>
            <w:szCs w:val="22"/>
            <w:lang w:eastAsia="es-CR"/>
          </w:rPr>
          <w:tab/>
        </w:r>
        <w:r w:rsidR="00E54C34" w:rsidRPr="00370E31">
          <w:rPr>
            <w:rStyle w:val="Hipervnculo"/>
            <w:noProof/>
          </w:rPr>
          <w:t>Transitorios</w:t>
        </w:r>
        <w:r w:rsidR="00E54C34">
          <w:rPr>
            <w:noProof/>
            <w:webHidden/>
          </w:rPr>
          <w:tab/>
        </w:r>
        <w:r w:rsidR="00E54C34">
          <w:rPr>
            <w:noProof/>
            <w:webHidden/>
          </w:rPr>
          <w:fldChar w:fldCharType="begin"/>
        </w:r>
        <w:r w:rsidR="00E54C34">
          <w:rPr>
            <w:noProof/>
            <w:webHidden/>
          </w:rPr>
          <w:instrText xml:space="preserve"> PAGEREF _Toc189804773 \h </w:instrText>
        </w:r>
        <w:r w:rsidR="00E54C34">
          <w:rPr>
            <w:noProof/>
            <w:webHidden/>
          </w:rPr>
        </w:r>
        <w:r w:rsidR="00E54C34">
          <w:rPr>
            <w:noProof/>
            <w:webHidden/>
          </w:rPr>
          <w:fldChar w:fldCharType="separate"/>
        </w:r>
        <w:r w:rsidR="00E54C34">
          <w:rPr>
            <w:noProof/>
            <w:webHidden/>
          </w:rPr>
          <w:t>15</w:t>
        </w:r>
        <w:r w:rsidR="00E54C34">
          <w:rPr>
            <w:noProof/>
            <w:webHidden/>
          </w:rPr>
          <w:fldChar w:fldCharType="end"/>
        </w:r>
      </w:hyperlink>
    </w:p>
    <w:p w14:paraId="5E9DF50B" w14:textId="359F42CA" w:rsidR="00E54C34" w:rsidRDefault="00C53097">
      <w:pPr>
        <w:pStyle w:val="TDC3"/>
        <w:tabs>
          <w:tab w:val="right" w:leader="dot" w:pos="8828"/>
        </w:tabs>
        <w:rPr>
          <w:rFonts w:eastAsiaTheme="minorEastAsia" w:cstheme="minorBidi"/>
          <w:noProof/>
          <w:sz w:val="22"/>
          <w:szCs w:val="22"/>
          <w:lang w:eastAsia="es-CR"/>
        </w:rPr>
      </w:pPr>
      <w:hyperlink w:anchor="_Toc189804774" w:history="1">
        <w:r w:rsidR="00E54C34" w:rsidRPr="00370E31">
          <w:rPr>
            <w:rStyle w:val="Hipervnculo"/>
            <w:rFonts w:eastAsia="Calibri"/>
            <w:noProof/>
          </w:rPr>
          <w:t>Base de Medición</w:t>
        </w:r>
        <w:r w:rsidR="00E54C34">
          <w:rPr>
            <w:noProof/>
            <w:webHidden/>
          </w:rPr>
          <w:tab/>
        </w:r>
        <w:r w:rsidR="00E54C34">
          <w:rPr>
            <w:noProof/>
            <w:webHidden/>
          </w:rPr>
          <w:fldChar w:fldCharType="begin"/>
        </w:r>
        <w:r w:rsidR="00E54C34">
          <w:rPr>
            <w:noProof/>
            <w:webHidden/>
          </w:rPr>
          <w:instrText xml:space="preserve"> PAGEREF _Toc189804774 \h </w:instrText>
        </w:r>
        <w:r w:rsidR="00E54C34">
          <w:rPr>
            <w:noProof/>
            <w:webHidden/>
          </w:rPr>
        </w:r>
        <w:r w:rsidR="00E54C34">
          <w:rPr>
            <w:noProof/>
            <w:webHidden/>
          </w:rPr>
          <w:fldChar w:fldCharType="separate"/>
        </w:r>
        <w:r w:rsidR="00E54C34">
          <w:rPr>
            <w:noProof/>
            <w:webHidden/>
          </w:rPr>
          <w:t>17</w:t>
        </w:r>
        <w:r w:rsidR="00E54C34">
          <w:rPr>
            <w:noProof/>
            <w:webHidden/>
          </w:rPr>
          <w:fldChar w:fldCharType="end"/>
        </w:r>
      </w:hyperlink>
    </w:p>
    <w:p w14:paraId="6CCE8DDF" w14:textId="6A0CC44A" w:rsidR="00E54C34" w:rsidRDefault="00C53097">
      <w:pPr>
        <w:pStyle w:val="TDC3"/>
        <w:tabs>
          <w:tab w:val="right" w:leader="dot" w:pos="8828"/>
        </w:tabs>
        <w:rPr>
          <w:rFonts w:eastAsiaTheme="minorEastAsia" w:cstheme="minorBidi"/>
          <w:noProof/>
          <w:sz w:val="22"/>
          <w:szCs w:val="22"/>
          <w:lang w:eastAsia="es-CR"/>
        </w:rPr>
      </w:pPr>
      <w:hyperlink w:anchor="_Toc189804775" w:history="1">
        <w:r w:rsidR="00E54C34" w:rsidRPr="00370E31">
          <w:rPr>
            <w:rStyle w:val="Hipervnculo"/>
            <w:noProof/>
          </w:rPr>
          <w:t>Moneda Funcional y de Presentación</w:t>
        </w:r>
        <w:r w:rsidR="00E54C34">
          <w:rPr>
            <w:noProof/>
            <w:webHidden/>
          </w:rPr>
          <w:tab/>
        </w:r>
        <w:r w:rsidR="00E54C34">
          <w:rPr>
            <w:noProof/>
            <w:webHidden/>
          </w:rPr>
          <w:fldChar w:fldCharType="begin"/>
        </w:r>
        <w:r w:rsidR="00E54C34">
          <w:rPr>
            <w:noProof/>
            <w:webHidden/>
          </w:rPr>
          <w:instrText xml:space="preserve"> PAGEREF _Toc189804775 \h </w:instrText>
        </w:r>
        <w:r w:rsidR="00E54C34">
          <w:rPr>
            <w:noProof/>
            <w:webHidden/>
          </w:rPr>
        </w:r>
        <w:r w:rsidR="00E54C34">
          <w:rPr>
            <w:noProof/>
            <w:webHidden/>
          </w:rPr>
          <w:fldChar w:fldCharType="separate"/>
        </w:r>
        <w:r w:rsidR="00E54C34">
          <w:rPr>
            <w:noProof/>
            <w:webHidden/>
          </w:rPr>
          <w:t>18</w:t>
        </w:r>
        <w:r w:rsidR="00E54C34">
          <w:rPr>
            <w:noProof/>
            <w:webHidden/>
          </w:rPr>
          <w:fldChar w:fldCharType="end"/>
        </w:r>
      </w:hyperlink>
    </w:p>
    <w:p w14:paraId="4B258CE9" w14:textId="32C4E9D6" w:rsidR="00E54C34" w:rsidRDefault="00C53097">
      <w:pPr>
        <w:pStyle w:val="TDC3"/>
        <w:tabs>
          <w:tab w:val="right" w:leader="dot" w:pos="8828"/>
        </w:tabs>
        <w:rPr>
          <w:rFonts w:eastAsiaTheme="minorEastAsia" w:cstheme="minorBidi"/>
          <w:noProof/>
          <w:sz w:val="22"/>
          <w:szCs w:val="22"/>
          <w:lang w:eastAsia="es-CR"/>
        </w:rPr>
      </w:pPr>
      <w:hyperlink w:anchor="_Toc189804776" w:history="1">
        <w:r w:rsidR="00E54C34" w:rsidRPr="00370E31">
          <w:rPr>
            <w:rStyle w:val="Hipervnculo"/>
            <w:rFonts w:eastAsia="Calibri"/>
            <w:noProof/>
          </w:rPr>
          <w:t>Políticas Contables:</w:t>
        </w:r>
        <w:r w:rsidR="00E54C34">
          <w:rPr>
            <w:noProof/>
            <w:webHidden/>
          </w:rPr>
          <w:tab/>
        </w:r>
        <w:r w:rsidR="00E54C34">
          <w:rPr>
            <w:noProof/>
            <w:webHidden/>
          </w:rPr>
          <w:fldChar w:fldCharType="begin"/>
        </w:r>
        <w:r w:rsidR="00E54C34">
          <w:rPr>
            <w:noProof/>
            <w:webHidden/>
          </w:rPr>
          <w:instrText xml:space="preserve"> PAGEREF _Toc189804776 \h </w:instrText>
        </w:r>
        <w:r w:rsidR="00E54C34">
          <w:rPr>
            <w:noProof/>
            <w:webHidden/>
          </w:rPr>
        </w:r>
        <w:r w:rsidR="00E54C34">
          <w:rPr>
            <w:noProof/>
            <w:webHidden/>
          </w:rPr>
          <w:fldChar w:fldCharType="separate"/>
        </w:r>
        <w:r w:rsidR="00E54C34">
          <w:rPr>
            <w:noProof/>
            <w:webHidden/>
          </w:rPr>
          <w:t>18</w:t>
        </w:r>
        <w:r w:rsidR="00E54C34">
          <w:rPr>
            <w:noProof/>
            <w:webHidden/>
          </w:rPr>
          <w:fldChar w:fldCharType="end"/>
        </w:r>
      </w:hyperlink>
    </w:p>
    <w:p w14:paraId="7A9BABDF" w14:textId="6DAC471B" w:rsidR="00E54C34" w:rsidRDefault="00C53097">
      <w:pPr>
        <w:pStyle w:val="TDC2"/>
        <w:tabs>
          <w:tab w:val="right" w:leader="dot" w:pos="8828"/>
        </w:tabs>
        <w:rPr>
          <w:rFonts w:eastAsiaTheme="minorEastAsia" w:cstheme="minorBidi"/>
          <w:b w:val="0"/>
          <w:bCs w:val="0"/>
          <w:noProof/>
          <w:sz w:val="22"/>
          <w:szCs w:val="22"/>
          <w:lang w:eastAsia="es-CR"/>
        </w:rPr>
      </w:pPr>
      <w:hyperlink w:anchor="_Toc189804777" w:history="1">
        <w:r w:rsidR="00E54C34" w:rsidRPr="00370E31">
          <w:rPr>
            <w:rStyle w:val="Hipervnculo"/>
            <w:rFonts w:eastAsia="Times New Roman"/>
            <w:noProof/>
            <w:lang w:eastAsia="es-CR"/>
          </w:rPr>
          <w:t>CERTIFICACIÓN POLITICAS CONTABLES</w:t>
        </w:r>
        <w:r w:rsidR="00E54C34">
          <w:rPr>
            <w:noProof/>
            <w:webHidden/>
          </w:rPr>
          <w:tab/>
        </w:r>
        <w:r w:rsidR="00E54C34">
          <w:rPr>
            <w:noProof/>
            <w:webHidden/>
          </w:rPr>
          <w:fldChar w:fldCharType="begin"/>
        </w:r>
        <w:r w:rsidR="00E54C34">
          <w:rPr>
            <w:noProof/>
            <w:webHidden/>
          </w:rPr>
          <w:instrText xml:space="preserve"> PAGEREF _Toc189804777 \h </w:instrText>
        </w:r>
        <w:r w:rsidR="00E54C34">
          <w:rPr>
            <w:noProof/>
            <w:webHidden/>
          </w:rPr>
        </w:r>
        <w:r w:rsidR="00E54C34">
          <w:rPr>
            <w:noProof/>
            <w:webHidden/>
          </w:rPr>
          <w:fldChar w:fldCharType="separate"/>
        </w:r>
        <w:r w:rsidR="00E54C34">
          <w:rPr>
            <w:noProof/>
            <w:webHidden/>
          </w:rPr>
          <w:t>18</w:t>
        </w:r>
        <w:r w:rsidR="00E54C34">
          <w:rPr>
            <w:noProof/>
            <w:webHidden/>
          </w:rPr>
          <w:fldChar w:fldCharType="end"/>
        </w:r>
      </w:hyperlink>
    </w:p>
    <w:p w14:paraId="411D7310" w14:textId="0BD4E0EC" w:rsidR="00E54C34" w:rsidRDefault="00C53097">
      <w:pPr>
        <w:pStyle w:val="TDC2"/>
        <w:tabs>
          <w:tab w:val="right" w:leader="dot" w:pos="8828"/>
        </w:tabs>
        <w:rPr>
          <w:rFonts w:eastAsiaTheme="minorEastAsia" w:cstheme="minorBidi"/>
          <w:b w:val="0"/>
          <w:bCs w:val="0"/>
          <w:noProof/>
          <w:sz w:val="22"/>
          <w:szCs w:val="22"/>
          <w:lang w:eastAsia="es-CR"/>
        </w:rPr>
      </w:pPr>
      <w:hyperlink w:anchor="_Toc189804778" w:history="1">
        <w:r w:rsidR="00E54C34" w:rsidRPr="00370E31">
          <w:rPr>
            <w:rStyle w:val="Hipervnculo"/>
            <w:noProof/>
            <w:lang w:eastAsia="es-CR"/>
          </w:rPr>
          <w:t>Otra revelación sobre las principales Políticas</w:t>
        </w:r>
        <w:r w:rsidR="00E54C34">
          <w:rPr>
            <w:noProof/>
            <w:webHidden/>
          </w:rPr>
          <w:tab/>
        </w:r>
        <w:r w:rsidR="00E54C34">
          <w:rPr>
            <w:noProof/>
            <w:webHidden/>
          </w:rPr>
          <w:fldChar w:fldCharType="begin"/>
        </w:r>
        <w:r w:rsidR="00E54C34">
          <w:rPr>
            <w:noProof/>
            <w:webHidden/>
          </w:rPr>
          <w:instrText xml:space="preserve"> PAGEREF _Toc189804778 \h </w:instrText>
        </w:r>
        <w:r w:rsidR="00E54C34">
          <w:rPr>
            <w:noProof/>
            <w:webHidden/>
          </w:rPr>
        </w:r>
        <w:r w:rsidR="00E54C34">
          <w:rPr>
            <w:noProof/>
            <w:webHidden/>
          </w:rPr>
          <w:fldChar w:fldCharType="separate"/>
        </w:r>
        <w:r w:rsidR="00E54C34">
          <w:rPr>
            <w:noProof/>
            <w:webHidden/>
          </w:rPr>
          <w:t>22</w:t>
        </w:r>
        <w:r w:rsidR="00E54C34">
          <w:rPr>
            <w:noProof/>
            <w:webHidden/>
          </w:rPr>
          <w:fldChar w:fldCharType="end"/>
        </w:r>
      </w:hyperlink>
    </w:p>
    <w:p w14:paraId="21D3F9C4" w14:textId="784F33CC" w:rsidR="00E54C34" w:rsidRDefault="00C53097">
      <w:pPr>
        <w:pStyle w:val="TDC2"/>
        <w:tabs>
          <w:tab w:val="right" w:leader="dot" w:pos="8828"/>
        </w:tabs>
        <w:rPr>
          <w:rFonts w:eastAsiaTheme="minorEastAsia" w:cstheme="minorBidi"/>
          <w:b w:val="0"/>
          <w:bCs w:val="0"/>
          <w:noProof/>
          <w:sz w:val="22"/>
          <w:szCs w:val="22"/>
          <w:lang w:eastAsia="es-CR"/>
        </w:rPr>
      </w:pPr>
      <w:hyperlink w:anchor="_Toc189804779" w:history="1">
        <w:r w:rsidR="00E54C34" w:rsidRPr="00370E31">
          <w:rPr>
            <w:rStyle w:val="Hipervnculo"/>
            <w:rFonts w:eastAsia="Times New Roman"/>
            <w:noProof/>
            <w:lang w:eastAsia="es-CR"/>
          </w:rPr>
          <w:t>CERTIFICACIÓN COMISIÓN DE RIESGO (SEVRI)</w:t>
        </w:r>
        <w:r w:rsidR="00E54C34">
          <w:rPr>
            <w:noProof/>
            <w:webHidden/>
          </w:rPr>
          <w:tab/>
        </w:r>
        <w:r w:rsidR="00E54C34">
          <w:rPr>
            <w:noProof/>
            <w:webHidden/>
          </w:rPr>
          <w:fldChar w:fldCharType="begin"/>
        </w:r>
        <w:r w:rsidR="00E54C34">
          <w:rPr>
            <w:noProof/>
            <w:webHidden/>
          </w:rPr>
          <w:instrText xml:space="preserve"> PAGEREF _Toc189804779 \h </w:instrText>
        </w:r>
        <w:r w:rsidR="00E54C34">
          <w:rPr>
            <w:noProof/>
            <w:webHidden/>
          </w:rPr>
        </w:r>
        <w:r w:rsidR="00E54C34">
          <w:rPr>
            <w:noProof/>
            <w:webHidden/>
          </w:rPr>
          <w:fldChar w:fldCharType="separate"/>
        </w:r>
        <w:r w:rsidR="00E54C34">
          <w:rPr>
            <w:noProof/>
            <w:webHidden/>
          </w:rPr>
          <w:t>28</w:t>
        </w:r>
        <w:r w:rsidR="00E54C34">
          <w:rPr>
            <w:noProof/>
            <w:webHidden/>
          </w:rPr>
          <w:fldChar w:fldCharType="end"/>
        </w:r>
      </w:hyperlink>
    </w:p>
    <w:p w14:paraId="5C219C95" w14:textId="592E42BB" w:rsidR="00E54C34" w:rsidRDefault="00C53097">
      <w:pPr>
        <w:pStyle w:val="TDC1"/>
        <w:tabs>
          <w:tab w:val="right" w:leader="dot" w:pos="8828"/>
        </w:tabs>
        <w:rPr>
          <w:rFonts w:asciiTheme="minorHAnsi" w:eastAsiaTheme="minorEastAsia" w:hAnsiTheme="minorHAnsi"/>
          <w:b w:val="0"/>
          <w:bCs w:val="0"/>
          <w:caps w:val="0"/>
          <w:noProof/>
          <w:sz w:val="22"/>
          <w:szCs w:val="22"/>
          <w:lang w:eastAsia="es-CR"/>
        </w:rPr>
      </w:pPr>
      <w:hyperlink w:anchor="_Toc189804780" w:history="1">
        <w:r w:rsidR="00E54C34" w:rsidRPr="00370E31">
          <w:rPr>
            <w:rStyle w:val="Hipervnculo"/>
            <w:noProof/>
          </w:rPr>
          <w:t>INFORME DETALLADO AVANCE NICSP REVELACIÓN 2024</w:t>
        </w:r>
        <w:r w:rsidR="00E54C34">
          <w:rPr>
            <w:noProof/>
            <w:webHidden/>
          </w:rPr>
          <w:tab/>
        </w:r>
        <w:r w:rsidR="00E54C34">
          <w:rPr>
            <w:noProof/>
            <w:webHidden/>
          </w:rPr>
          <w:fldChar w:fldCharType="begin"/>
        </w:r>
        <w:r w:rsidR="00E54C34">
          <w:rPr>
            <w:noProof/>
            <w:webHidden/>
          </w:rPr>
          <w:instrText xml:space="preserve"> PAGEREF _Toc189804780 \h </w:instrText>
        </w:r>
        <w:r w:rsidR="00E54C34">
          <w:rPr>
            <w:noProof/>
            <w:webHidden/>
          </w:rPr>
        </w:r>
        <w:r w:rsidR="00E54C34">
          <w:rPr>
            <w:noProof/>
            <w:webHidden/>
          </w:rPr>
          <w:fldChar w:fldCharType="separate"/>
        </w:r>
        <w:r w:rsidR="00E54C34">
          <w:rPr>
            <w:noProof/>
            <w:webHidden/>
          </w:rPr>
          <w:t>31</w:t>
        </w:r>
        <w:r w:rsidR="00E54C34">
          <w:rPr>
            <w:noProof/>
            <w:webHidden/>
          </w:rPr>
          <w:fldChar w:fldCharType="end"/>
        </w:r>
      </w:hyperlink>
    </w:p>
    <w:p w14:paraId="1080EBCE" w14:textId="04CADF00" w:rsidR="00E54C34" w:rsidRDefault="00C53097">
      <w:pPr>
        <w:pStyle w:val="TDC2"/>
        <w:tabs>
          <w:tab w:val="right" w:leader="dot" w:pos="8828"/>
        </w:tabs>
        <w:rPr>
          <w:rFonts w:eastAsiaTheme="minorEastAsia" w:cstheme="minorBidi"/>
          <w:b w:val="0"/>
          <w:bCs w:val="0"/>
          <w:noProof/>
          <w:sz w:val="22"/>
          <w:szCs w:val="22"/>
          <w:lang w:eastAsia="es-CR"/>
        </w:rPr>
      </w:pPr>
      <w:hyperlink w:anchor="_Toc189804781" w:history="1">
        <w:r w:rsidR="00E54C34" w:rsidRPr="00370E31">
          <w:rPr>
            <w:rStyle w:val="Hipervnculo"/>
            <w:noProof/>
          </w:rPr>
          <w:t>NICSP 1- PRESENTACIÓN DE ESTADOS FINANCIEROS (DE APLICACIÓN OBLIGATORIA):</w:t>
        </w:r>
        <w:r w:rsidR="00E54C34">
          <w:rPr>
            <w:noProof/>
            <w:webHidden/>
          </w:rPr>
          <w:tab/>
        </w:r>
        <w:r w:rsidR="00E54C34">
          <w:rPr>
            <w:noProof/>
            <w:webHidden/>
          </w:rPr>
          <w:fldChar w:fldCharType="begin"/>
        </w:r>
        <w:r w:rsidR="00E54C34">
          <w:rPr>
            <w:noProof/>
            <w:webHidden/>
          </w:rPr>
          <w:instrText xml:space="preserve"> PAGEREF _Toc189804781 \h </w:instrText>
        </w:r>
        <w:r w:rsidR="00E54C34">
          <w:rPr>
            <w:noProof/>
            <w:webHidden/>
          </w:rPr>
        </w:r>
        <w:r w:rsidR="00E54C34">
          <w:rPr>
            <w:noProof/>
            <w:webHidden/>
          </w:rPr>
          <w:fldChar w:fldCharType="separate"/>
        </w:r>
        <w:r w:rsidR="00E54C34">
          <w:rPr>
            <w:noProof/>
            <w:webHidden/>
          </w:rPr>
          <w:t>31</w:t>
        </w:r>
        <w:r w:rsidR="00E54C34">
          <w:rPr>
            <w:noProof/>
            <w:webHidden/>
          </w:rPr>
          <w:fldChar w:fldCharType="end"/>
        </w:r>
      </w:hyperlink>
    </w:p>
    <w:p w14:paraId="3CE2F1FD" w14:textId="7D8FE06A" w:rsidR="00E54C34" w:rsidRDefault="00C53097">
      <w:pPr>
        <w:pStyle w:val="TDC2"/>
        <w:tabs>
          <w:tab w:val="right" w:leader="dot" w:pos="8828"/>
        </w:tabs>
        <w:rPr>
          <w:rFonts w:eastAsiaTheme="minorEastAsia" w:cstheme="minorBidi"/>
          <w:b w:val="0"/>
          <w:bCs w:val="0"/>
          <w:noProof/>
          <w:sz w:val="22"/>
          <w:szCs w:val="22"/>
          <w:lang w:eastAsia="es-CR"/>
        </w:rPr>
      </w:pPr>
      <w:hyperlink w:anchor="_Toc189804782" w:history="1">
        <w:r w:rsidR="00E54C34" w:rsidRPr="00370E31">
          <w:rPr>
            <w:rStyle w:val="Hipervnculo"/>
            <w:noProof/>
            <w:lang w:val="es-MX"/>
          </w:rPr>
          <w:t>NICSP 2 -ESTADO DE FLUJO DE EFECTIVO (DE APLICACIÓN OBLIGATORIA):</w:t>
        </w:r>
        <w:r w:rsidR="00E54C34">
          <w:rPr>
            <w:noProof/>
            <w:webHidden/>
          </w:rPr>
          <w:tab/>
        </w:r>
        <w:r w:rsidR="00E54C34">
          <w:rPr>
            <w:noProof/>
            <w:webHidden/>
          </w:rPr>
          <w:fldChar w:fldCharType="begin"/>
        </w:r>
        <w:r w:rsidR="00E54C34">
          <w:rPr>
            <w:noProof/>
            <w:webHidden/>
          </w:rPr>
          <w:instrText xml:space="preserve"> PAGEREF _Toc189804782 \h </w:instrText>
        </w:r>
        <w:r w:rsidR="00E54C34">
          <w:rPr>
            <w:noProof/>
            <w:webHidden/>
          </w:rPr>
        </w:r>
        <w:r w:rsidR="00E54C34">
          <w:rPr>
            <w:noProof/>
            <w:webHidden/>
          </w:rPr>
          <w:fldChar w:fldCharType="separate"/>
        </w:r>
        <w:r w:rsidR="00E54C34">
          <w:rPr>
            <w:noProof/>
            <w:webHidden/>
          </w:rPr>
          <w:t>36</w:t>
        </w:r>
        <w:r w:rsidR="00E54C34">
          <w:rPr>
            <w:noProof/>
            <w:webHidden/>
          </w:rPr>
          <w:fldChar w:fldCharType="end"/>
        </w:r>
      </w:hyperlink>
    </w:p>
    <w:p w14:paraId="696A3A91" w14:textId="6F6670C7" w:rsidR="00E54C34" w:rsidRDefault="00C53097">
      <w:pPr>
        <w:pStyle w:val="TDC2"/>
        <w:tabs>
          <w:tab w:val="right" w:leader="dot" w:pos="8828"/>
        </w:tabs>
        <w:rPr>
          <w:rFonts w:eastAsiaTheme="minorEastAsia" w:cstheme="minorBidi"/>
          <w:b w:val="0"/>
          <w:bCs w:val="0"/>
          <w:noProof/>
          <w:sz w:val="22"/>
          <w:szCs w:val="22"/>
          <w:lang w:eastAsia="es-CR"/>
        </w:rPr>
      </w:pPr>
      <w:hyperlink w:anchor="_Toc189804783" w:history="1">
        <w:r w:rsidR="00E54C34" w:rsidRPr="00370E31">
          <w:rPr>
            <w:rStyle w:val="Hipervnculo"/>
            <w:noProof/>
          </w:rPr>
          <w:t>NICSP 3- POLÍTICAS CONTABLES, CAMBIOS EN LAS ESTIMACIONES CONTABLES Y ERRORES (DE APLICACIÓN OBLIGATORIA):</w:t>
        </w:r>
        <w:r w:rsidR="00E54C34">
          <w:rPr>
            <w:noProof/>
            <w:webHidden/>
          </w:rPr>
          <w:tab/>
        </w:r>
        <w:r w:rsidR="00E54C34">
          <w:rPr>
            <w:noProof/>
            <w:webHidden/>
          </w:rPr>
          <w:fldChar w:fldCharType="begin"/>
        </w:r>
        <w:r w:rsidR="00E54C34">
          <w:rPr>
            <w:noProof/>
            <w:webHidden/>
          </w:rPr>
          <w:instrText xml:space="preserve"> PAGEREF _Toc189804783 \h </w:instrText>
        </w:r>
        <w:r w:rsidR="00E54C34">
          <w:rPr>
            <w:noProof/>
            <w:webHidden/>
          </w:rPr>
        </w:r>
        <w:r w:rsidR="00E54C34">
          <w:rPr>
            <w:noProof/>
            <w:webHidden/>
          </w:rPr>
          <w:fldChar w:fldCharType="separate"/>
        </w:r>
        <w:r w:rsidR="00E54C34">
          <w:rPr>
            <w:noProof/>
            <w:webHidden/>
          </w:rPr>
          <w:t>39</w:t>
        </w:r>
        <w:r w:rsidR="00E54C34">
          <w:rPr>
            <w:noProof/>
            <w:webHidden/>
          </w:rPr>
          <w:fldChar w:fldCharType="end"/>
        </w:r>
      </w:hyperlink>
    </w:p>
    <w:p w14:paraId="2B55CDB4" w14:textId="79144AED" w:rsidR="00E54C34" w:rsidRDefault="00C53097">
      <w:pPr>
        <w:pStyle w:val="TDC2"/>
        <w:tabs>
          <w:tab w:val="left" w:pos="5627"/>
          <w:tab w:val="right" w:leader="dot" w:pos="8828"/>
        </w:tabs>
        <w:rPr>
          <w:rFonts w:eastAsiaTheme="minorEastAsia" w:cstheme="minorBidi"/>
          <w:b w:val="0"/>
          <w:bCs w:val="0"/>
          <w:noProof/>
          <w:sz w:val="22"/>
          <w:szCs w:val="22"/>
          <w:lang w:eastAsia="es-CR"/>
        </w:rPr>
      </w:pPr>
      <w:hyperlink w:anchor="_Toc189804784" w:history="1">
        <w:r w:rsidR="00E54C34" w:rsidRPr="00370E31">
          <w:rPr>
            <w:rStyle w:val="Hipervnculo"/>
            <w:noProof/>
          </w:rPr>
          <w:t>NICSP 4- EFECTOS DE VARIACIONES EN LAS TASAS DE CAMBIO DE</w:t>
        </w:r>
        <w:r w:rsidR="00E54C34">
          <w:rPr>
            <w:rFonts w:eastAsiaTheme="minorEastAsia" w:cstheme="minorBidi"/>
            <w:b w:val="0"/>
            <w:bCs w:val="0"/>
            <w:noProof/>
            <w:sz w:val="22"/>
            <w:szCs w:val="22"/>
            <w:lang w:eastAsia="es-CR"/>
          </w:rPr>
          <w:tab/>
        </w:r>
        <w:r w:rsidR="00E54C34" w:rsidRPr="00370E31">
          <w:rPr>
            <w:rStyle w:val="Hipervnculo"/>
            <w:noProof/>
          </w:rPr>
          <w:t>LA MONEDA EXTRANJERA:</w:t>
        </w:r>
        <w:r w:rsidR="00E54C34">
          <w:rPr>
            <w:noProof/>
            <w:webHidden/>
          </w:rPr>
          <w:tab/>
        </w:r>
        <w:r w:rsidR="00E54C34">
          <w:rPr>
            <w:noProof/>
            <w:webHidden/>
          </w:rPr>
          <w:fldChar w:fldCharType="begin"/>
        </w:r>
        <w:r w:rsidR="00E54C34">
          <w:rPr>
            <w:noProof/>
            <w:webHidden/>
          </w:rPr>
          <w:instrText xml:space="preserve"> PAGEREF _Toc189804784 \h </w:instrText>
        </w:r>
        <w:r w:rsidR="00E54C34">
          <w:rPr>
            <w:noProof/>
            <w:webHidden/>
          </w:rPr>
        </w:r>
        <w:r w:rsidR="00E54C34">
          <w:rPr>
            <w:noProof/>
            <w:webHidden/>
          </w:rPr>
          <w:fldChar w:fldCharType="separate"/>
        </w:r>
        <w:r w:rsidR="00E54C34">
          <w:rPr>
            <w:noProof/>
            <w:webHidden/>
          </w:rPr>
          <w:t>42</w:t>
        </w:r>
        <w:r w:rsidR="00E54C34">
          <w:rPr>
            <w:noProof/>
            <w:webHidden/>
          </w:rPr>
          <w:fldChar w:fldCharType="end"/>
        </w:r>
      </w:hyperlink>
    </w:p>
    <w:p w14:paraId="15C143FE" w14:textId="4EB3E5FD" w:rsidR="00E54C34" w:rsidRDefault="00C53097">
      <w:pPr>
        <w:pStyle w:val="TDC2"/>
        <w:tabs>
          <w:tab w:val="right" w:leader="dot" w:pos="8828"/>
        </w:tabs>
        <w:rPr>
          <w:rFonts w:eastAsiaTheme="minorEastAsia" w:cstheme="minorBidi"/>
          <w:b w:val="0"/>
          <w:bCs w:val="0"/>
          <w:noProof/>
          <w:sz w:val="22"/>
          <w:szCs w:val="22"/>
          <w:lang w:eastAsia="es-CR"/>
        </w:rPr>
      </w:pPr>
      <w:hyperlink w:anchor="_Toc189804785" w:history="1">
        <w:r w:rsidR="00E54C34" w:rsidRPr="00370E31">
          <w:rPr>
            <w:rStyle w:val="Hipervnculo"/>
            <w:noProof/>
            <w:lang w:eastAsia="es-CR"/>
          </w:rPr>
          <w:t xml:space="preserve">Se hizo extensión a la fecha prevista esto debido a las cargas de trabajo en la institución, por tanto, no se pudo completar las actividades requeridas a la Norma </w:t>
        </w:r>
        <w:r w:rsidR="00E54C34" w:rsidRPr="00370E31">
          <w:rPr>
            <w:rStyle w:val="Hipervnculo"/>
            <w:noProof/>
            <w:lang w:val="es-MX"/>
          </w:rPr>
          <w:t>NICSP 4</w:t>
        </w:r>
        <w:r w:rsidR="00E54C34">
          <w:rPr>
            <w:noProof/>
            <w:webHidden/>
          </w:rPr>
          <w:tab/>
        </w:r>
        <w:r w:rsidR="00E54C34">
          <w:rPr>
            <w:noProof/>
            <w:webHidden/>
          </w:rPr>
          <w:fldChar w:fldCharType="begin"/>
        </w:r>
        <w:r w:rsidR="00E54C34">
          <w:rPr>
            <w:noProof/>
            <w:webHidden/>
          </w:rPr>
          <w:instrText xml:space="preserve"> PAGEREF _Toc189804785 \h </w:instrText>
        </w:r>
        <w:r w:rsidR="00E54C34">
          <w:rPr>
            <w:noProof/>
            <w:webHidden/>
          </w:rPr>
        </w:r>
        <w:r w:rsidR="00E54C34">
          <w:rPr>
            <w:noProof/>
            <w:webHidden/>
          </w:rPr>
          <w:fldChar w:fldCharType="separate"/>
        </w:r>
        <w:r w:rsidR="00E54C34">
          <w:rPr>
            <w:noProof/>
            <w:webHidden/>
          </w:rPr>
          <w:t>46</w:t>
        </w:r>
        <w:r w:rsidR="00E54C34">
          <w:rPr>
            <w:noProof/>
            <w:webHidden/>
          </w:rPr>
          <w:fldChar w:fldCharType="end"/>
        </w:r>
      </w:hyperlink>
    </w:p>
    <w:p w14:paraId="325A1355" w14:textId="373D567B" w:rsidR="00E54C34" w:rsidRDefault="00C53097">
      <w:pPr>
        <w:pStyle w:val="TDC2"/>
        <w:tabs>
          <w:tab w:val="right" w:leader="dot" w:pos="8828"/>
        </w:tabs>
        <w:rPr>
          <w:rFonts w:eastAsiaTheme="minorEastAsia" w:cstheme="minorBidi"/>
          <w:b w:val="0"/>
          <w:bCs w:val="0"/>
          <w:noProof/>
          <w:sz w:val="22"/>
          <w:szCs w:val="22"/>
          <w:lang w:eastAsia="es-CR"/>
        </w:rPr>
      </w:pPr>
      <w:hyperlink w:anchor="_Toc189804786" w:history="1">
        <w:r w:rsidR="00E54C34" w:rsidRPr="00370E31">
          <w:rPr>
            <w:rStyle w:val="Hipervnculo"/>
            <w:noProof/>
          </w:rPr>
          <w:t>NICSP 5 COSTO POR INTERESES:</w:t>
        </w:r>
        <w:r w:rsidR="00E54C34">
          <w:rPr>
            <w:noProof/>
            <w:webHidden/>
          </w:rPr>
          <w:tab/>
        </w:r>
        <w:r w:rsidR="00E54C34">
          <w:rPr>
            <w:noProof/>
            <w:webHidden/>
          </w:rPr>
          <w:fldChar w:fldCharType="begin"/>
        </w:r>
        <w:r w:rsidR="00E54C34">
          <w:rPr>
            <w:noProof/>
            <w:webHidden/>
          </w:rPr>
          <w:instrText xml:space="preserve"> PAGEREF _Toc189804786 \h </w:instrText>
        </w:r>
        <w:r w:rsidR="00E54C34">
          <w:rPr>
            <w:noProof/>
            <w:webHidden/>
          </w:rPr>
        </w:r>
        <w:r w:rsidR="00E54C34">
          <w:rPr>
            <w:noProof/>
            <w:webHidden/>
          </w:rPr>
          <w:fldChar w:fldCharType="separate"/>
        </w:r>
        <w:r w:rsidR="00E54C34">
          <w:rPr>
            <w:noProof/>
            <w:webHidden/>
          </w:rPr>
          <w:t>46</w:t>
        </w:r>
        <w:r w:rsidR="00E54C34">
          <w:rPr>
            <w:noProof/>
            <w:webHidden/>
          </w:rPr>
          <w:fldChar w:fldCharType="end"/>
        </w:r>
      </w:hyperlink>
    </w:p>
    <w:p w14:paraId="44A4763A" w14:textId="053E1B51" w:rsidR="00E54C34" w:rsidRDefault="00C53097">
      <w:pPr>
        <w:pStyle w:val="TDC2"/>
        <w:tabs>
          <w:tab w:val="right" w:leader="dot" w:pos="8828"/>
        </w:tabs>
        <w:rPr>
          <w:rFonts w:eastAsiaTheme="minorEastAsia" w:cstheme="minorBidi"/>
          <w:b w:val="0"/>
          <w:bCs w:val="0"/>
          <w:noProof/>
          <w:sz w:val="22"/>
          <w:szCs w:val="22"/>
          <w:lang w:eastAsia="es-CR"/>
        </w:rPr>
      </w:pPr>
      <w:hyperlink w:anchor="_Toc189804787" w:history="1">
        <w:r w:rsidR="00E54C34" w:rsidRPr="00370E31">
          <w:rPr>
            <w:rStyle w:val="Hipervnculo"/>
            <w:rFonts w:eastAsia="Times New Roman"/>
            <w:noProof/>
            <w:lang w:eastAsia="es-CR"/>
          </w:rPr>
          <w:t>NICSP 9- INGRESOS DE TRANSACCIONES CON CONTRAPRESTACIÓN (DE APLICACIÓN OBLIGATORIA):</w:t>
        </w:r>
        <w:r w:rsidR="00E54C34">
          <w:rPr>
            <w:noProof/>
            <w:webHidden/>
          </w:rPr>
          <w:tab/>
        </w:r>
        <w:r w:rsidR="00E54C34">
          <w:rPr>
            <w:noProof/>
            <w:webHidden/>
          </w:rPr>
          <w:fldChar w:fldCharType="begin"/>
        </w:r>
        <w:r w:rsidR="00E54C34">
          <w:rPr>
            <w:noProof/>
            <w:webHidden/>
          </w:rPr>
          <w:instrText xml:space="preserve"> PAGEREF _Toc189804787 \h </w:instrText>
        </w:r>
        <w:r w:rsidR="00E54C34">
          <w:rPr>
            <w:noProof/>
            <w:webHidden/>
          </w:rPr>
        </w:r>
        <w:r w:rsidR="00E54C34">
          <w:rPr>
            <w:noProof/>
            <w:webHidden/>
          </w:rPr>
          <w:fldChar w:fldCharType="separate"/>
        </w:r>
        <w:r w:rsidR="00E54C34">
          <w:rPr>
            <w:noProof/>
            <w:webHidden/>
          </w:rPr>
          <w:t>48</w:t>
        </w:r>
        <w:r w:rsidR="00E54C34">
          <w:rPr>
            <w:noProof/>
            <w:webHidden/>
          </w:rPr>
          <w:fldChar w:fldCharType="end"/>
        </w:r>
      </w:hyperlink>
    </w:p>
    <w:p w14:paraId="74585A72" w14:textId="373B98DD" w:rsidR="00E54C34" w:rsidRDefault="00C53097">
      <w:pPr>
        <w:pStyle w:val="TDC2"/>
        <w:tabs>
          <w:tab w:val="right" w:leader="dot" w:pos="8828"/>
        </w:tabs>
        <w:rPr>
          <w:rFonts w:eastAsiaTheme="minorEastAsia" w:cstheme="minorBidi"/>
          <w:b w:val="0"/>
          <w:bCs w:val="0"/>
          <w:noProof/>
          <w:sz w:val="22"/>
          <w:szCs w:val="22"/>
          <w:lang w:eastAsia="es-CR"/>
        </w:rPr>
      </w:pPr>
      <w:hyperlink w:anchor="_Toc189804788" w:history="1">
        <w:r w:rsidR="00E54C34" w:rsidRPr="00370E31">
          <w:rPr>
            <w:rStyle w:val="Hipervnculo"/>
            <w:noProof/>
          </w:rPr>
          <w:t>NICSP 10- INFORMACIÓN FINANCIERA EN ECONOMÍAS HIPERINFLACIONARIAS:</w:t>
        </w:r>
        <w:r w:rsidR="00E54C34">
          <w:rPr>
            <w:noProof/>
            <w:webHidden/>
          </w:rPr>
          <w:tab/>
        </w:r>
        <w:r w:rsidR="00E54C34">
          <w:rPr>
            <w:noProof/>
            <w:webHidden/>
          </w:rPr>
          <w:fldChar w:fldCharType="begin"/>
        </w:r>
        <w:r w:rsidR="00E54C34">
          <w:rPr>
            <w:noProof/>
            <w:webHidden/>
          </w:rPr>
          <w:instrText xml:space="preserve"> PAGEREF _Toc189804788 \h </w:instrText>
        </w:r>
        <w:r w:rsidR="00E54C34">
          <w:rPr>
            <w:noProof/>
            <w:webHidden/>
          </w:rPr>
        </w:r>
        <w:r w:rsidR="00E54C34">
          <w:rPr>
            <w:noProof/>
            <w:webHidden/>
          </w:rPr>
          <w:fldChar w:fldCharType="separate"/>
        </w:r>
        <w:r w:rsidR="00E54C34">
          <w:rPr>
            <w:noProof/>
            <w:webHidden/>
          </w:rPr>
          <w:t>51</w:t>
        </w:r>
        <w:r w:rsidR="00E54C34">
          <w:rPr>
            <w:noProof/>
            <w:webHidden/>
          </w:rPr>
          <w:fldChar w:fldCharType="end"/>
        </w:r>
      </w:hyperlink>
    </w:p>
    <w:p w14:paraId="7C92BD46" w14:textId="6AF2A038" w:rsidR="00E54C34" w:rsidRDefault="00C53097">
      <w:pPr>
        <w:pStyle w:val="TDC2"/>
        <w:tabs>
          <w:tab w:val="right" w:leader="dot" w:pos="8828"/>
        </w:tabs>
        <w:rPr>
          <w:rFonts w:eastAsiaTheme="minorEastAsia" w:cstheme="minorBidi"/>
          <w:b w:val="0"/>
          <w:bCs w:val="0"/>
          <w:noProof/>
          <w:sz w:val="22"/>
          <w:szCs w:val="22"/>
          <w:lang w:eastAsia="es-CR"/>
        </w:rPr>
      </w:pPr>
      <w:hyperlink w:anchor="_Toc189804789" w:history="1">
        <w:r w:rsidR="00E54C34" w:rsidRPr="00370E31">
          <w:rPr>
            <w:rStyle w:val="Hipervnculo"/>
            <w:noProof/>
          </w:rPr>
          <w:t>NICSP 11- CONTRATOS DE CONSTRUCCIÓN:</w:t>
        </w:r>
        <w:r w:rsidR="00E54C34">
          <w:rPr>
            <w:noProof/>
            <w:webHidden/>
          </w:rPr>
          <w:tab/>
        </w:r>
        <w:r w:rsidR="00E54C34">
          <w:rPr>
            <w:noProof/>
            <w:webHidden/>
          </w:rPr>
          <w:fldChar w:fldCharType="begin"/>
        </w:r>
        <w:r w:rsidR="00E54C34">
          <w:rPr>
            <w:noProof/>
            <w:webHidden/>
          </w:rPr>
          <w:instrText xml:space="preserve"> PAGEREF _Toc189804789 \h </w:instrText>
        </w:r>
        <w:r w:rsidR="00E54C34">
          <w:rPr>
            <w:noProof/>
            <w:webHidden/>
          </w:rPr>
        </w:r>
        <w:r w:rsidR="00E54C34">
          <w:rPr>
            <w:noProof/>
            <w:webHidden/>
          </w:rPr>
          <w:fldChar w:fldCharType="separate"/>
        </w:r>
        <w:r w:rsidR="00E54C34">
          <w:rPr>
            <w:noProof/>
            <w:webHidden/>
          </w:rPr>
          <w:t>52</w:t>
        </w:r>
        <w:r w:rsidR="00E54C34">
          <w:rPr>
            <w:noProof/>
            <w:webHidden/>
          </w:rPr>
          <w:fldChar w:fldCharType="end"/>
        </w:r>
      </w:hyperlink>
    </w:p>
    <w:p w14:paraId="24741BFF" w14:textId="4A8B785E" w:rsidR="00E54C34" w:rsidRDefault="00C53097">
      <w:pPr>
        <w:pStyle w:val="TDC2"/>
        <w:tabs>
          <w:tab w:val="right" w:leader="dot" w:pos="8828"/>
        </w:tabs>
        <w:rPr>
          <w:rFonts w:eastAsiaTheme="minorEastAsia" w:cstheme="minorBidi"/>
          <w:b w:val="0"/>
          <w:bCs w:val="0"/>
          <w:noProof/>
          <w:sz w:val="22"/>
          <w:szCs w:val="22"/>
          <w:lang w:eastAsia="es-CR"/>
        </w:rPr>
      </w:pPr>
      <w:hyperlink w:anchor="_Toc189804790" w:history="1">
        <w:r w:rsidR="00E54C34" w:rsidRPr="00370E31">
          <w:rPr>
            <w:rStyle w:val="Hipervnculo"/>
            <w:rFonts w:eastAsia="Times New Roman"/>
            <w:noProof/>
            <w:lang w:eastAsia="es-CR"/>
          </w:rPr>
          <w:t>NICSP 12-INVENTARIOS (DE APLICACIÓN OBLIGATORIA):</w:t>
        </w:r>
        <w:r w:rsidR="00E54C34">
          <w:rPr>
            <w:noProof/>
            <w:webHidden/>
          </w:rPr>
          <w:tab/>
        </w:r>
        <w:r w:rsidR="00E54C34">
          <w:rPr>
            <w:noProof/>
            <w:webHidden/>
          </w:rPr>
          <w:fldChar w:fldCharType="begin"/>
        </w:r>
        <w:r w:rsidR="00E54C34">
          <w:rPr>
            <w:noProof/>
            <w:webHidden/>
          </w:rPr>
          <w:instrText xml:space="preserve"> PAGEREF _Toc189804790 \h </w:instrText>
        </w:r>
        <w:r w:rsidR="00E54C34">
          <w:rPr>
            <w:noProof/>
            <w:webHidden/>
          </w:rPr>
        </w:r>
        <w:r w:rsidR="00E54C34">
          <w:rPr>
            <w:noProof/>
            <w:webHidden/>
          </w:rPr>
          <w:fldChar w:fldCharType="separate"/>
        </w:r>
        <w:r w:rsidR="00E54C34">
          <w:rPr>
            <w:noProof/>
            <w:webHidden/>
          </w:rPr>
          <w:t>53</w:t>
        </w:r>
        <w:r w:rsidR="00E54C34">
          <w:rPr>
            <w:noProof/>
            <w:webHidden/>
          </w:rPr>
          <w:fldChar w:fldCharType="end"/>
        </w:r>
      </w:hyperlink>
    </w:p>
    <w:p w14:paraId="1562B8F7" w14:textId="236FCEDD" w:rsidR="00E54C34" w:rsidRDefault="00C53097">
      <w:pPr>
        <w:pStyle w:val="TDC2"/>
        <w:tabs>
          <w:tab w:val="right" w:leader="dot" w:pos="8828"/>
        </w:tabs>
        <w:rPr>
          <w:rFonts w:eastAsiaTheme="minorEastAsia" w:cstheme="minorBidi"/>
          <w:b w:val="0"/>
          <w:bCs w:val="0"/>
          <w:noProof/>
          <w:sz w:val="22"/>
          <w:szCs w:val="22"/>
          <w:lang w:eastAsia="es-CR"/>
        </w:rPr>
      </w:pPr>
      <w:hyperlink w:anchor="_Toc189804791" w:history="1">
        <w:r w:rsidR="00E54C34" w:rsidRPr="00370E31">
          <w:rPr>
            <w:rStyle w:val="Hipervnculo"/>
            <w:noProof/>
            <w:lang w:eastAsia="es-CR"/>
          </w:rPr>
          <w:t xml:space="preserve">Se hizo extensión a la fecha prevista esto debido a las cargas de trabajo en la institución, por tanto, no se pudo completar las actividades requeridas a la Norma </w:t>
        </w:r>
        <w:r w:rsidR="00E54C34" w:rsidRPr="00370E31">
          <w:rPr>
            <w:rStyle w:val="Hipervnculo"/>
            <w:noProof/>
            <w:lang w:val="es-MX"/>
          </w:rPr>
          <w:t>NICSP 12</w:t>
        </w:r>
        <w:r w:rsidR="00E54C34">
          <w:rPr>
            <w:noProof/>
            <w:webHidden/>
          </w:rPr>
          <w:tab/>
        </w:r>
        <w:r w:rsidR="00E54C34">
          <w:rPr>
            <w:noProof/>
            <w:webHidden/>
          </w:rPr>
          <w:fldChar w:fldCharType="begin"/>
        </w:r>
        <w:r w:rsidR="00E54C34">
          <w:rPr>
            <w:noProof/>
            <w:webHidden/>
          </w:rPr>
          <w:instrText xml:space="preserve"> PAGEREF _Toc189804791 \h </w:instrText>
        </w:r>
        <w:r w:rsidR="00E54C34">
          <w:rPr>
            <w:noProof/>
            <w:webHidden/>
          </w:rPr>
        </w:r>
        <w:r w:rsidR="00E54C34">
          <w:rPr>
            <w:noProof/>
            <w:webHidden/>
          </w:rPr>
          <w:fldChar w:fldCharType="separate"/>
        </w:r>
        <w:r w:rsidR="00E54C34">
          <w:rPr>
            <w:noProof/>
            <w:webHidden/>
          </w:rPr>
          <w:t>57</w:t>
        </w:r>
        <w:r w:rsidR="00E54C34">
          <w:rPr>
            <w:noProof/>
            <w:webHidden/>
          </w:rPr>
          <w:fldChar w:fldCharType="end"/>
        </w:r>
      </w:hyperlink>
    </w:p>
    <w:p w14:paraId="075E9F78" w14:textId="5238189B" w:rsidR="00E54C34" w:rsidRDefault="00C53097">
      <w:pPr>
        <w:pStyle w:val="TDC2"/>
        <w:tabs>
          <w:tab w:val="right" w:leader="dot" w:pos="8828"/>
        </w:tabs>
        <w:rPr>
          <w:rFonts w:eastAsiaTheme="minorEastAsia" w:cstheme="minorBidi"/>
          <w:b w:val="0"/>
          <w:bCs w:val="0"/>
          <w:noProof/>
          <w:sz w:val="22"/>
          <w:szCs w:val="22"/>
          <w:lang w:eastAsia="es-CR"/>
        </w:rPr>
      </w:pPr>
      <w:hyperlink w:anchor="_Toc189804792" w:history="1">
        <w:r w:rsidR="00E54C34" w:rsidRPr="00370E31">
          <w:rPr>
            <w:rStyle w:val="Hipervnculo"/>
            <w:rFonts w:eastAsia="Times New Roman"/>
            <w:noProof/>
            <w:lang w:eastAsia="es-CR"/>
          </w:rPr>
          <w:t>NICSP 13 ARRENDAMIENTOS:</w:t>
        </w:r>
        <w:r w:rsidR="00E54C34">
          <w:rPr>
            <w:noProof/>
            <w:webHidden/>
          </w:rPr>
          <w:tab/>
        </w:r>
        <w:r w:rsidR="00E54C34">
          <w:rPr>
            <w:noProof/>
            <w:webHidden/>
          </w:rPr>
          <w:fldChar w:fldCharType="begin"/>
        </w:r>
        <w:r w:rsidR="00E54C34">
          <w:rPr>
            <w:noProof/>
            <w:webHidden/>
          </w:rPr>
          <w:instrText xml:space="preserve"> PAGEREF _Toc189804792 \h </w:instrText>
        </w:r>
        <w:r w:rsidR="00E54C34">
          <w:rPr>
            <w:noProof/>
            <w:webHidden/>
          </w:rPr>
        </w:r>
        <w:r w:rsidR="00E54C34">
          <w:rPr>
            <w:noProof/>
            <w:webHidden/>
          </w:rPr>
          <w:fldChar w:fldCharType="separate"/>
        </w:r>
        <w:r w:rsidR="00E54C34">
          <w:rPr>
            <w:noProof/>
            <w:webHidden/>
          </w:rPr>
          <w:t>57</w:t>
        </w:r>
        <w:r w:rsidR="00E54C34">
          <w:rPr>
            <w:noProof/>
            <w:webHidden/>
          </w:rPr>
          <w:fldChar w:fldCharType="end"/>
        </w:r>
      </w:hyperlink>
    </w:p>
    <w:p w14:paraId="541879DC" w14:textId="1E358149" w:rsidR="00E54C34" w:rsidRDefault="00C53097">
      <w:pPr>
        <w:pStyle w:val="TDC2"/>
        <w:tabs>
          <w:tab w:val="right" w:leader="dot" w:pos="8828"/>
        </w:tabs>
        <w:rPr>
          <w:rFonts w:eastAsiaTheme="minorEastAsia" w:cstheme="minorBidi"/>
          <w:b w:val="0"/>
          <w:bCs w:val="0"/>
          <w:noProof/>
          <w:sz w:val="22"/>
          <w:szCs w:val="22"/>
          <w:lang w:eastAsia="es-CR"/>
        </w:rPr>
      </w:pPr>
      <w:hyperlink w:anchor="_Toc189804793" w:history="1">
        <w:r w:rsidR="00E54C34" w:rsidRPr="00370E31">
          <w:rPr>
            <w:rStyle w:val="Hipervnculo"/>
            <w:noProof/>
            <w:lang w:eastAsia="es-CR"/>
          </w:rPr>
          <w:t xml:space="preserve">Se hizo extensión a la fecha prevista esto debido a las cargas de trabajo en la institución, por tanto, no se pudo completar las actividades requeridas a la Norma </w:t>
        </w:r>
        <w:r w:rsidR="00E54C34" w:rsidRPr="00370E31">
          <w:rPr>
            <w:rStyle w:val="Hipervnculo"/>
            <w:noProof/>
            <w:lang w:val="es-MX"/>
          </w:rPr>
          <w:t>NICSP 13</w:t>
        </w:r>
        <w:r w:rsidR="00E54C34">
          <w:rPr>
            <w:noProof/>
            <w:webHidden/>
          </w:rPr>
          <w:tab/>
        </w:r>
        <w:r w:rsidR="00E54C34">
          <w:rPr>
            <w:noProof/>
            <w:webHidden/>
          </w:rPr>
          <w:fldChar w:fldCharType="begin"/>
        </w:r>
        <w:r w:rsidR="00E54C34">
          <w:rPr>
            <w:noProof/>
            <w:webHidden/>
          </w:rPr>
          <w:instrText xml:space="preserve"> PAGEREF _Toc189804793 \h </w:instrText>
        </w:r>
        <w:r w:rsidR="00E54C34">
          <w:rPr>
            <w:noProof/>
            <w:webHidden/>
          </w:rPr>
        </w:r>
        <w:r w:rsidR="00E54C34">
          <w:rPr>
            <w:noProof/>
            <w:webHidden/>
          </w:rPr>
          <w:fldChar w:fldCharType="separate"/>
        </w:r>
        <w:r w:rsidR="00E54C34">
          <w:rPr>
            <w:noProof/>
            <w:webHidden/>
          </w:rPr>
          <w:t>62</w:t>
        </w:r>
        <w:r w:rsidR="00E54C34">
          <w:rPr>
            <w:noProof/>
            <w:webHidden/>
          </w:rPr>
          <w:fldChar w:fldCharType="end"/>
        </w:r>
      </w:hyperlink>
    </w:p>
    <w:p w14:paraId="4A07E0C3" w14:textId="5C8F2D78" w:rsidR="00E54C34" w:rsidRDefault="00C53097">
      <w:pPr>
        <w:pStyle w:val="TDC2"/>
        <w:tabs>
          <w:tab w:val="right" w:leader="dot" w:pos="8828"/>
        </w:tabs>
        <w:rPr>
          <w:rFonts w:eastAsiaTheme="minorEastAsia" w:cstheme="minorBidi"/>
          <w:b w:val="0"/>
          <w:bCs w:val="0"/>
          <w:noProof/>
          <w:sz w:val="22"/>
          <w:szCs w:val="22"/>
          <w:lang w:eastAsia="es-CR"/>
        </w:rPr>
      </w:pPr>
      <w:hyperlink w:anchor="_Toc189804794" w:history="1">
        <w:r w:rsidR="00E54C34" w:rsidRPr="00370E31">
          <w:rPr>
            <w:rStyle w:val="Hipervnculo"/>
            <w:rFonts w:eastAsia="Times New Roman"/>
            <w:noProof/>
            <w:lang w:eastAsia="es-CR"/>
          </w:rPr>
          <w:t>NICSP 14-HECHOS OCURRIDOS DESPUÉS DE FECHA DE PRESENTACIÓN (DE APLICACIÓN OBLIGATORIA):</w:t>
        </w:r>
        <w:r w:rsidR="00E54C34">
          <w:rPr>
            <w:noProof/>
            <w:webHidden/>
          </w:rPr>
          <w:tab/>
        </w:r>
        <w:r w:rsidR="00E54C34">
          <w:rPr>
            <w:noProof/>
            <w:webHidden/>
          </w:rPr>
          <w:fldChar w:fldCharType="begin"/>
        </w:r>
        <w:r w:rsidR="00E54C34">
          <w:rPr>
            <w:noProof/>
            <w:webHidden/>
          </w:rPr>
          <w:instrText xml:space="preserve"> PAGEREF _Toc189804794 \h </w:instrText>
        </w:r>
        <w:r w:rsidR="00E54C34">
          <w:rPr>
            <w:noProof/>
            <w:webHidden/>
          </w:rPr>
        </w:r>
        <w:r w:rsidR="00E54C34">
          <w:rPr>
            <w:noProof/>
            <w:webHidden/>
          </w:rPr>
          <w:fldChar w:fldCharType="separate"/>
        </w:r>
        <w:r w:rsidR="00E54C34">
          <w:rPr>
            <w:noProof/>
            <w:webHidden/>
          </w:rPr>
          <w:t>62</w:t>
        </w:r>
        <w:r w:rsidR="00E54C34">
          <w:rPr>
            <w:noProof/>
            <w:webHidden/>
          </w:rPr>
          <w:fldChar w:fldCharType="end"/>
        </w:r>
      </w:hyperlink>
    </w:p>
    <w:p w14:paraId="2B466BA3" w14:textId="2ECEB8A9" w:rsidR="00E54C34" w:rsidRDefault="00C53097">
      <w:pPr>
        <w:pStyle w:val="TDC2"/>
        <w:tabs>
          <w:tab w:val="right" w:leader="dot" w:pos="8828"/>
        </w:tabs>
        <w:rPr>
          <w:rFonts w:eastAsiaTheme="minorEastAsia" w:cstheme="minorBidi"/>
          <w:b w:val="0"/>
          <w:bCs w:val="0"/>
          <w:noProof/>
          <w:sz w:val="22"/>
          <w:szCs w:val="22"/>
          <w:lang w:eastAsia="es-CR"/>
        </w:rPr>
      </w:pPr>
      <w:hyperlink w:anchor="_Toc189804795" w:history="1">
        <w:r w:rsidR="00E54C34" w:rsidRPr="00370E31">
          <w:rPr>
            <w:rStyle w:val="Hipervnculo"/>
            <w:rFonts w:eastAsia="Times New Roman"/>
            <w:noProof/>
            <w:lang w:eastAsia="es-CR"/>
          </w:rPr>
          <w:t>NICSP 16- PROPIEDADES DE INVERSIÓN:</w:t>
        </w:r>
        <w:r w:rsidR="00E54C34">
          <w:rPr>
            <w:noProof/>
            <w:webHidden/>
          </w:rPr>
          <w:tab/>
        </w:r>
        <w:r w:rsidR="00E54C34">
          <w:rPr>
            <w:noProof/>
            <w:webHidden/>
          </w:rPr>
          <w:fldChar w:fldCharType="begin"/>
        </w:r>
        <w:r w:rsidR="00E54C34">
          <w:rPr>
            <w:noProof/>
            <w:webHidden/>
          </w:rPr>
          <w:instrText xml:space="preserve"> PAGEREF _Toc189804795 \h </w:instrText>
        </w:r>
        <w:r w:rsidR="00E54C34">
          <w:rPr>
            <w:noProof/>
            <w:webHidden/>
          </w:rPr>
        </w:r>
        <w:r w:rsidR="00E54C34">
          <w:rPr>
            <w:noProof/>
            <w:webHidden/>
          </w:rPr>
          <w:fldChar w:fldCharType="separate"/>
        </w:r>
        <w:r w:rsidR="00E54C34">
          <w:rPr>
            <w:noProof/>
            <w:webHidden/>
          </w:rPr>
          <w:t>65</w:t>
        </w:r>
        <w:r w:rsidR="00E54C34">
          <w:rPr>
            <w:noProof/>
            <w:webHidden/>
          </w:rPr>
          <w:fldChar w:fldCharType="end"/>
        </w:r>
      </w:hyperlink>
    </w:p>
    <w:p w14:paraId="479C1B0A" w14:textId="4CA20537" w:rsidR="00E54C34" w:rsidRDefault="00C53097">
      <w:pPr>
        <w:pStyle w:val="TDC2"/>
        <w:tabs>
          <w:tab w:val="right" w:leader="dot" w:pos="8828"/>
        </w:tabs>
        <w:rPr>
          <w:rFonts w:eastAsiaTheme="minorEastAsia" w:cstheme="minorBidi"/>
          <w:b w:val="0"/>
          <w:bCs w:val="0"/>
          <w:noProof/>
          <w:sz w:val="22"/>
          <w:szCs w:val="22"/>
          <w:lang w:eastAsia="es-CR"/>
        </w:rPr>
      </w:pPr>
      <w:hyperlink w:anchor="_Toc189804796" w:history="1">
        <w:r w:rsidR="00E54C34" w:rsidRPr="00370E31">
          <w:rPr>
            <w:rStyle w:val="Hipervnculo"/>
            <w:rFonts w:eastAsia="Times New Roman"/>
            <w:noProof/>
            <w:lang w:eastAsia="es-CR"/>
          </w:rPr>
          <w:t>NICSP 17- PROPIEDAD, PLANTA Y EQUIPO (DE APLICACIÓN OBLIGATORIA):</w:t>
        </w:r>
        <w:r w:rsidR="00E54C34">
          <w:rPr>
            <w:noProof/>
            <w:webHidden/>
          </w:rPr>
          <w:tab/>
        </w:r>
        <w:r w:rsidR="00E54C34">
          <w:rPr>
            <w:noProof/>
            <w:webHidden/>
          </w:rPr>
          <w:fldChar w:fldCharType="begin"/>
        </w:r>
        <w:r w:rsidR="00E54C34">
          <w:rPr>
            <w:noProof/>
            <w:webHidden/>
          </w:rPr>
          <w:instrText xml:space="preserve"> PAGEREF _Toc189804796 \h </w:instrText>
        </w:r>
        <w:r w:rsidR="00E54C34">
          <w:rPr>
            <w:noProof/>
            <w:webHidden/>
          </w:rPr>
        </w:r>
        <w:r w:rsidR="00E54C34">
          <w:rPr>
            <w:noProof/>
            <w:webHidden/>
          </w:rPr>
          <w:fldChar w:fldCharType="separate"/>
        </w:r>
        <w:r w:rsidR="00E54C34">
          <w:rPr>
            <w:noProof/>
            <w:webHidden/>
          </w:rPr>
          <w:t>66</w:t>
        </w:r>
        <w:r w:rsidR="00E54C34">
          <w:rPr>
            <w:noProof/>
            <w:webHidden/>
          </w:rPr>
          <w:fldChar w:fldCharType="end"/>
        </w:r>
      </w:hyperlink>
    </w:p>
    <w:p w14:paraId="4AC62BC5" w14:textId="4C23CC5A" w:rsidR="00E54C34" w:rsidRDefault="00C53097">
      <w:pPr>
        <w:pStyle w:val="TDC2"/>
        <w:tabs>
          <w:tab w:val="right" w:leader="dot" w:pos="8828"/>
        </w:tabs>
        <w:rPr>
          <w:rFonts w:eastAsiaTheme="minorEastAsia" w:cstheme="minorBidi"/>
          <w:b w:val="0"/>
          <w:bCs w:val="0"/>
          <w:noProof/>
          <w:sz w:val="22"/>
          <w:szCs w:val="22"/>
          <w:lang w:eastAsia="es-CR"/>
        </w:rPr>
      </w:pPr>
      <w:hyperlink w:anchor="_Toc189804797" w:history="1">
        <w:r w:rsidR="00E54C34" w:rsidRPr="00370E31">
          <w:rPr>
            <w:rStyle w:val="Hipervnculo"/>
            <w:rFonts w:eastAsia="Times New Roman"/>
            <w:noProof/>
            <w:lang w:eastAsia="es-CR"/>
          </w:rPr>
          <w:t>NICSP 18- INFORMACIÓN FINANCIERA POR SEGMENTOS:</w:t>
        </w:r>
        <w:r w:rsidR="00E54C34">
          <w:rPr>
            <w:noProof/>
            <w:webHidden/>
          </w:rPr>
          <w:tab/>
        </w:r>
        <w:r w:rsidR="00E54C34">
          <w:rPr>
            <w:noProof/>
            <w:webHidden/>
          </w:rPr>
          <w:fldChar w:fldCharType="begin"/>
        </w:r>
        <w:r w:rsidR="00E54C34">
          <w:rPr>
            <w:noProof/>
            <w:webHidden/>
          </w:rPr>
          <w:instrText xml:space="preserve"> PAGEREF _Toc189804797 \h </w:instrText>
        </w:r>
        <w:r w:rsidR="00E54C34">
          <w:rPr>
            <w:noProof/>
            <w:webHidden/>
          </w:rPr>
        </w:r>
        <w:r w:rsidR="00E54C34">
          <w:rPr>
            <w:noProof/>
            <w:webHidden/>
          </w:rPr>
          <w:fldChar w:fldCharType="separate"/>
        </w:r>
        <w:r w:rsidR="00E54C34">
          <w:rPr>
            <w:noProof/>
            <w:webHidden/>
          </w:rPr>
          <w:t>71</w:t>
        </w:r>
        <w:r w:rsidR="00E54C34">
          <w:rPr>
            <w:noProof/>
            <w:webHidden/>
          </w:rPr>
          <w:fldChar w:fldCharType="end"/>
        </w:r>
      </w:hyperlink>
    </w:p>
    <w:p w14:paraId="2F89F5F1" w14:textId="08B5A2C5" w:rsidR="00E54C34" w:rsidRDefault="00C53097">
      <w:pPr>
        <w:pStyle w:val="TDC2"/>
        <w:tabs>
          <w:tab w:val="right" w:leader="dot" w:pos="8828"/>
        </w:tabs>
        <w:rPr>
          <w:rFonts w:eastAsiaTheme="minorEastAsia" w:cstheme="minorBidi"/>
          <w:b w:val="0"/>
          <w:bCs w:val="0"/>
          <w:noProof/>
          <w:sz w:val="22"/>
          <w:szCs w:val="22"/>
          <w:lang w:eastAsia="es-CR"/>
        </w:rPr>
      </w:pPr>
      <w:hyperlink w:anchor="_Toc189804798" w:history="1">
        <w:r w:rsidR="00E54C34" w:rsidRPr="00370E31">
          <w:rPr>
            <w:rStyle w:val="Hipervnculo"/>
            <w:rFonts w:eastAsia="Times New Roman"/>
            <w:noProof/>
            <w:lang w:eastAsia="es-CR"/>
          </w:rPr>
          <w:t>NICSP 19- PROVISIONES, ACTIVOS Y PASIVOS CONTINGENTES (DE APLICACIÓN OBLIGATORIA):</w:t>
        </w:r>
        <w:r w:rsidR="00E54C34">
          <w:rPr>
            <w:noProof/>
            <w:webHidden/>
          </w:rPr>
          <w:tab/>
        </w:r>
        <w:r w:rsidR="00E54C34">
          <w:rPr>
            <w:noProof/>
            <w:webHidden/>
          </w:rPr>
          <w:fldChar w:fldCharType="begin"/>
        </w:r>
        <w:r w:rsidR="00E54C34">
          <w:rPr>
            <w:noProof/>
            <w:webHidden/>
          </w:rPr>
          <w:instrText xml:space="preserve"> PAGEREF _Toc189804798 \h </w:instrText>
        </w:r>
        <w:r w:rsidR="00E54C34">
          <w:rPr>
            <w:noProof/>
            <w:webHidden/>
          </w:rPr>
        </w:r>
        <w:r w:rsidR="00E54C34">
          <w:rPr>
            <w:noProof/>
            <w:webHidden/>
          </w:rPr>
          <w:fldChar w:fldCharType="separate"/>
        </w:r>
        <w:r w:rsidR="00E54C34">
          <w:rPr>
            <w:noProof/>
            <w:webHidden/>
          </w:rPr>
          <w:t>73</w:t>
        </w:r>
        <w:r w:rsidR="00E54C34">
          <w:rPr>
            <w:noProof/>
            <w:webHidden/>
          </w:rPr>
          <w:fldChar w:fldCharType="end"/>
        </w:r>
      </w:hyperlink>
    </w:p>
    <w:p w14:paraId="5AACDC11" w14:textId="46E7A964" w:rsidR="00E54C34" w:rsidRDefault="00C53097">
      <w:pPr>
        <w:pStyle w:val="TDC2"/>
        <w:tabs>
          <w:tab w:val="right" w:leader="dot" w:pos="8828"/>
        </w:tabs>
        <w:rPr>
          <w:rFonts w:eastAsiaTheme="minorEastAsia" w:cstheme="minorBidi"/>
          <w:b w:val="0"/>
          <w:bCs w:val="0"/>
          <w:noProof/>
          <w:sz w:val="22"/>
          <w:szCs w:val="22"/>
          <w:lang w:eastAsia="es-CR"/>
        </w:rPr>
      </w:pPr>
      <w:hyperlink w:anchor="_Toc189804799" w:history="1">
        <w:r w:rsidR="00E54C34" w:rsidRPr="00370E31">
          <w:rPr>
            <w:rStyle w:val="Hipervnculo"/>
            <w:noProof/>
            <w:lang w:eastAsia="es-CR"/>
          </w:rPr>
          <w:t xml:space="preserve">Se hizo extensión a la fecha prevista esto debido a las cargas de trabajo en la institución, por tanto, no se pudo completar las actividades requeridas a la Norma </w:t>
        </w:r>
        <w:r w:rsidR="00E54C34" w:rsidRPr="00370E31">
          <w:rPr>
            <w:rStyle w:val="Hipervnculo"/>
            <w:noProof/>
            <w:lang w:val="es-MX"/>
          </w:rPr>
          <w:t>NICSP 19.</w:t>
        </w:r>
        <w:r w:rsidR="00E54C34">
          <w:rPr>
            <w:noProof/>
            <w:webHidden/>
          </w:rPr>
          <w:tab/>
        </w:r>
        <w:r w:rsidR="00E54C34">
          <w:rPr>
            <w:noProof/>
            <w:webHidden/>
          </w:rPr>
          <w:fldChar w:fldCharType="begin"/>
        </w:r>
        <w:r w:rsidR="00E54C34">
          <w:rPr>
            <w:noProof/>
            <w:webHidden/>
          </w:rPr>
          <w:instrText xml:space="preserve"> PAGEREF _Toc189804799 \h </w:instrText>
        </w:r>
        <w:r w:rsidR="00E54C34">
          <w:rPr>
            <w:noProof/>
            <w:webHidden/>
          </w:rPr>
        </w:r>
        <w:r w:rsidR="00E54C34">
          <w:rPr>
            <w:noProof/>
            <w:webHidden/>
          </w:rPr>
          <w:fldChar w:fldCharType="separate"/>
        </w:r>
        <w:r w:rsidR="00E54C34">
          <w:rPr>
            <w:noProof/>
            <w:webHidden/>
          </w:rPr>
          <w:t>78</w:t>
        </w:r>
        <w:r w:rsidR="00E54C34">
          <w:rPr>
            <w:noProof/>
            <w:webHidden/>
          </w:rPr>
          <w:fldChar w:fldCharType="end"/>
        </w:r>
      </w:hyperlink>
    </w:p>
    <w:p w14:paraId="348356E3" w14:textId="1D70573D" w:rsidR="00E54C34" w:rsidRDefault="00C53097">
      <w:pPr>
        <w:pStyle w:val="TDC2"/>
        <w:tabs>
          <w:tab w:val="right" w:leader="dot" w:pos="8828"/>
        </w:tabs>
        <w:rPr>
          <w:rFonts w:eastAsiaTheme="minorEastAsia" w:cstheme="minorBidi"/>
          <w:b w:val="0"/>
          <w:bCs w:val="0"/>
          <w:noProof/>
          <w:sz w:val="22"/>
          <w:szCs w:val="22"/>
          <w:lang w:eastAsia="es-CR"/>
        </w:rPr>
      </w:pPr>
      <w:hyperlink w:anchor="_Toc189804800" w:history="1">
        <w:r w:rsidR="00E54C34" w:rsidRPr="00370E31">
          <w:rPr>
            <w:rStyle w:val="Hipervnculo"/>
            <w:rFonts w:eastAsia="Times New Roman"/>
            <w:noProof/>
            <w:lang w:eastAsia="es-CR"/>
          </w:rPr>
          <w:t>NICSP 20- INFORMACIÓN A REVELAR SOBRE PARTES RELACIONADAS (DE APLICACIÓN OBLIGATORIA):</w:t>
        </w:r>
        <w:r w:rsidR="00E54C34">
          <w:rPr>
            <w:noProof/>
            <w:webHidden/>
          </w:rPr>
          <w:tab/>
        </w:r>
        <w:r w:rsidR="00E54C34">
          <w:rPr>
            <w:noProof/>
            <w:webHidden/>
          </w:rPr>
          <w:fldChar w:fldCharType="begin"/>
        </w:r>
        <w:r w:rsidR="00E54C34">
          <w:rPr>
            <w:noProof/>
            <w:webHidden/>
          </w:rPr>
          <w:instrText xml:space="preserve"> PAGEREF _Toc189804800 \h </w:instrText>
        </w:r>
        <w:r w:rsidR="00E54C34">
          <w:rPr>
            <w:noProof/>
            <w:webHidden/>
          </w:rPr>
        </w:r>
        <w:r w:rsidR="00E54C34">
          <w:rPr>
            <w:noProof/>
            <w:webHidden/>
          </w:rPr>
          <w:fldChar w:fldCharType="separate"/>
        </w:r>
        <w:r w:rsidR="00E54C34">
          <w:rPr>
            <w:noProof/>
            <w:webHidden/>
          </w:rPr>
          <w:t>78</w:t>
        </w:r>
        <w:r w:rsidR="00E54C34">
          <w:rPr>
            <w:noProof/>
            <w:webHidden/>
          </w:rPr>
          <w:fldChar w:fldCharType="end"/>
        </w:r>
      </w:hyperlink>
    </w:p>
    <w:p w14:paraId="2DA90CB8" w14:textId="78C3E997" w:rsidR="00E54C34" w:rsidRDefault="00C53097">
      <w:pPr>
        <w:pStyle w:val="TDC2"/>
        <w:tabs>
          <w:tab w:val="right" w:leader="dot" w:pos="8828"/>
        </w:tabs>
        <w:rPr>
          <w:rFonts w:eastAsiaTheme="minorEastAsia" w:cstheme="minorBidi"/>
          <w:b w:val="0"/>
          <w:bCs w:val="0"/>
          <w:noProof/>
          <w:sz w:val="22"/>
          <w:szCs w:val="22"/>
          <w:lang w:eastAsia="es-CR"/>
        </w:rPr>
      </w:pPr>
      <w:hyperlink w:anchor="_Toc189804801" w:history="1">
        <w:r w:rsidR="00E54C34" w:rsidRPr="00370E31">
          <w:rPr>
            <w:rStyle w:val="Hipervnculo"/>
            <w:rFonts w:eastAsia="Times New Roman"/>
            <w:noProof/>
            <w:lang w:eastAsia="es-CR"/>
          </w:rPr>
          <w:t>NICSP 21- DETERIORO DEL VALOR DE ACTIVOS NO GENERADORES DE EFECTIVO:</w:t>
        </w:r>
        <w:r w:rsidR="00E54C34">
          <w:rPr>
            <w:noProof/>
            <w:webHidden/>
          </w:rPr>
          <w:tab/>
        </w:r>
        <w:r w:rsidR="00E54C34">
          <w:rPr>
            <w:noProof/>
            <w:webHidden/>
          </w:rPr>
          <w:fldChar w:fldCharType="begin"/>
        </w:r>
        <w:r w:rsidR="00E54C34">
          <w:rPr>
            <w:noProof/>
            <w:webHidden/>
          </w:rPr>
          <w:instrText xml:space="preserve"> PAGEREF _Toc189804801 \h </w:instrText>
        </w:r>
        <w:r w:rsidR="00E54C34">
          <w:rPr>
            <w:noProof/>
            <w:webHidden/>
          </w:rPr>
        </w:r>
        <w:r w:rsidR="00E54C34">
          <w:rPr>
            <w:noProof/>
            <w:webHidden/>
          </w:rPr>
          <w:fldChar w:fldCharType="separate"/>
        </w:r>
        <w:r w:rsidR="00E54C34">
          <w:rPr>
            <w:noProof/>
            <w:webHidden/>
          </w:rPr>
          <w:t>85</w:t>
        </w:r>
        <w:r w:rsidR="00E54C34">
          <w:rPr>
            <w:noProof/>
            <w:webHidden/>
          </w:rPr>
          <w:fldChar w:fldCharType="end"/>
        </w:r>
      </w:hyperlink>
    </w:p>
    <w:p w14:paraId="4959C8E8" w14:textId="102763C1" w:rsidR="00E54C34" w:rsidRDefault="00C53097">
      <w:pPr>
        <w:pStyle w:val="TDC2"/>
        <w:tabs>
          <w:tab w:val="right" w:leader="dot" w:pos="8828"/>
        </w:tabs>
        <w:rPr>
          <w:rFonts w:eastAsiaTheme="minorEastAsia" w:cstheme="minorBidi"/>
          <w:b w:val="0"/>
          <w:bCs w:val="0"/>
          <w:noProof/>
          <w:sz w:val="22"/>
          <w:szCs w:val="22"/>
          <w:lang w:eastAsia="es-CR"/>
        </w:rPr>
      </w:pPr>
      <w:hyperlink w:anchor="_Toc189804802" w:history="1">
        <w:r w:rsidR="00E54C34" w:rsidRPr="00370E31">
          <w:rPr>
            <w:rStyle w:val="Hipervnculo"/>
            <w:noProof/>
            <w:lang w:eastAsia="es-CR"/>
          </w:rPr>
          <w:t xml:space="preserve">Se hizo extensión a la fecha prevista esto debido a las cargas de trabajo en la institución, por tanto, no se pudo completar las actividades requeridas a la Norma </w:t>
        </w:r>
        <w:r w:rsidR="00E54C34" w:rsidRPr="00370E31">
          <w:rPr>
            <w:rStyle w:val="Hipervnculo"/>
            <w:noProof/>
            <w:lang w:val="es-MX"/>
          </w:rPr>
          <w:t>NICSP 21</w:t>
        </w:r>
        <w:r w:rsidR="00E54C34">
          <w:rPr>
            <w:noProof/>
            <w:webHidden/>
          </w:rPr>
          <w:tab/>
        </w:r>
        <w:r w:rsidR="00E54C34">
          <w:rPr>
            <w:noProof/>
            <w:webHidden/>
          </w:rPr>
          <w:fldChar w:fldCharType="begin"/>
        </w:r>
        <w:r w:rsidR="00E54C34">
          <w:rPr>
            <w:noProof/>
            <w:webHidden/>
          </w:rPr>
          <w:instrText xml:space="preserve"> PAGEREF _Toc189804802 \h </w:instrText>
        </w:r>
        <w:r w:rsidR="00E54C34">
          <w:rPr>
            <w:noProof/>
            <w:webHidden/>
          </w:rPr>
        </w:r>
        <w:r w:rsidR="00E54C34">
          <w:rPr>
            <w:noProof/>
            <w:webHidden/>
          </w:rPr>
          <w:fldChar w:fldCharType="separate"/>
        </w:r>
        <w:r w:rsidR="00E54C34">
          <w:rPr>
            <w:noProof/>
            <w:webHidden/>
          </w:rPr>
          <w:t>87</w:t>
        </w:r>
        <w:r w:rsidR="00E54C34">
          <w:rPr>
            <w:noProof/>
            <w:webHidden/>
          </w:rPr>
          <w:fldChar w:fldCharType="end"/>
        </w:r>
      </w:hyperlink>
    </w:p>
    <w:p w14:paraId="147D52DC" w14:textId="2F00EC4A" w:rsidR="00E54C34" w:rsidRDefault="00C53097">
      <w:pPr>
        <w:pStyle w:val="TDC2"/>
        <w:tabs>
          <w:tab w:val="right" w:leader="dot" w:pos="8828"/>
        </w:tabs>
        <w:rPr>
          <w:rFonts w:eastAsiaTheme="minorEastAsia" w:cstheme="minorBidi"/>
          <w:b w:val="0"/>
          <w:bCs w:val="0"/>
          <w:noProof/>
          <w:sz w:val="22"/>
          <w:szCs w:val="22"/>
          <w:lang w:eastAsia="es-CR"/>
        </w:rPr>
      </w:pPr>
      <w:hyperlink w:anchor="_Toc189804803" w:history="1">
        <w:r w:rsidR="00E54C34" w:rsidRPr="00370E31">
          <w:rPr>
            <w:rStyle w:val="Hipervnculo"/>
            <w:rFonts w:eastAsia="Times New Roman"/>
            <w:noProof/>
            <w:lang w:eastAsia="es-CR"/>
          </w:rPr>
          <w:t>NICSP 22 -REVELACIÓN DE INFORMACIÓN FINANCIERA SOBRE EL SECTOR GOBIERNO CENTRAL:</w:t>
        </w:r>
        <w:r w:rsidR="00E54C34">
          <w:rPr>
            <w:noProof/>
            <w:webHidden/>
          </w:rPr>
          <w:tab/>
        </w:r>
        <w:r w:rsidR="00E54C34">
          <w:rPr>
            <w:noProof/>
            <w:webHidden/>
          </w:rPr>
          <w:fldChar w:fldCharType="begin"/>
        </w:r>
        <w:r w:rsidR="00E54C34">
          <w:rPr>
            <w:noProof/>
            <w:webHidden/>
          </w:rPr>
          <w:instrText xml:space="preserve"> PAGEREF _Toc189804803 \h </w:instrText>
        </w:r>
        <w:r w:rsidR="00E54C34">
          <w:rPr>
            <w:noProof/>
            <w:webHidden/>
          </w:rPr>
        </w:r>
        <w:r w:rsidR="00E54C34">
          <w:rPr>
            <w:noProof/>
            <w:webHidden/>
          </w:rPr>
          <w:fldChar w:fldCharType="separate"/>
        </w:r>
        <w:r w:rsidR="00E54C34">
          <w:rPr>
            <w:noProof/>
            <w:webHidden/>
          </w:rPr>
          <w:t>87</w:t>
        </w:r>
        <w:r w:rsidR="00E54C34">
          <w:rPr>
            <w:noProof/>
            <w:webHidden/>
          </w:rPr>
          <w:fldChar w:fldCharType="end"/>
        </w:r>
      </w:hyperlink>
    </w:p>
    <w:p w14:paraId="26E08EF3" w14:textId="745B6FB7" w:rsidR="00E54C34" w:rsidRDefault="00C53097">
      <w:pPr>
        <w:pStyle w:val="TDC2"/>
        <w:tabs>
          <w:tab w:val="right" w:leader="dot" w:pos="8828"/>
        </w:tabs>
        <w:rPr>
          <w:rFonts w:eastAsiaTheme="minorEastAsia" w:cstheme="minorBidi"/>
          <w:b w:val="0"/>
          <w:bCs w:val="0"/>
          <w:noProof/>
          <w:sz w:val="22"/>
          <w:szCs w:val="22"/>
          <w:lang w:eastAsia="es-CR"/>
        </w:rPr>
      </w:pPr>
      <w:hyperlink w:anchor="_Toc189804804" w:history="1">
        <w:r w:rsidR="00E54C34" w:rsidRPr="00370E31">
          <w:rPr>
            <w:rStyle w:val="Hipervnculo"/>
            <w:rFonts w:eastAsia="Times New Roman"/>
            <w:noProof/>
            <w:lang w:eastAsia="es-CR"/>
          </w:rPr>
          <w:t>NICSP 23- INGRESOS DE TRANSACCIONES SIN CONTRAPRESTACIÓN (IMPUESTOS Y TRANSFERENCIAS) (DE APLICACIÓN OBLIGATORIA):</w:t>
        </w:r>
        <w:r w:rsidR="00E54C34">
          <w:rPr>
            <w:noProof/>
            <w:webHidden/>
          </w:rPr>
          <w:tab/>
        </w:r>
        <w:r w:rsidR="00E54C34">
          <w:rPr>
            <w:noProof/>
            <w:webHidden/>
          </w:rPr>
          <w:fldChar w:fldCharType="begin"/>
        </w:r>
        <w:r w:rsidR="00E54C34">
          <w:rPr>
            <w:noProof/>
            <w:webHidden/>
          </w:rPr>
          <w:instrText xml:space="preserve"> PAGEREF _Toc189804804 \h </w:instrText>
        </w:r>
        <w:r w:rsidR="00E54C34">
          <w:rPr>
            <w:noProof/>
            <w:webHidden/>
          </w:rPr>
        </w:r>
        <w:r w:rsidR="00E54C34">
          <w:rPr>
            <w:noProof/>
            <w:webHidden/>
          </w:rPr>
          <w:fldChar w:fldCharType="separate"/>
        </w:r>
        <w:r w:rsidR="00E54C34">
          <w:rPr>
            <w:noProof/>
            <w:webHidden/>
          </w:rPr>
          <w:t>88</w:t>
        </w:r>
        <w:r w:rsidR="00E54C34">
          <w:rPr>
            <w:noProof/>
            <w:webHidden/>
          </w:rPr>
          <w:fldChar w:fldCharType="end"/>
        </w:r>
      </w:hyperlink>
    </w:p>
    <w:p w14:paraId="0FD8CFA1" w14:textId="07362802" w:rsidR="00E54C34" w:rsidRDefault="00C53097">
      <w:pPr>
        <w:pStyle w:val="TDC2"/>
        <w:tabs>
          <w:tab w:val="right" w:leader="dot" w:pos="8828"/>
        </w:tabs>
        <w:rPr>
          <w:rFonts w:eastAsiaTheme="minorEastAsia" w:cstheme="minorBidi"/>
          <w:b w:val="0"/>
          <w:bCs w:val="0"/>
          <w:noProof/>
          <w:sz w:val="22"/>
          <w:szCs w:val="22"/>
          <w:lang w:eastAsia="es-CR"/>
        </w:rPr>
      </w:pPr>
      <w:hyperlink w:anchor="_Toc189804805" w:history="1">
        <w:r w:rsidR="00E54C34" w:rsidRPr="00370E31">
          <w:rPr>
            <w:rStyle w:val="Hipervnculo"/>
            <w:noProof/>
            <w:lang w:eastAsia="es-CR"/>
          </w:rPr>
          <w:t xml:space="preserve">Se hizo extensión a la fecha prevista esto debido a las cargas de trabajo en la institución, por tanto, no se pudo completar las actividades requeridas a la Norma </w:t>
        </w:r>
        <w:r w:rsidR="00E54C34" w:rsidRPr="00370E31">
          <w:rPr>
            <w:rStyle w:val="Hipervnculo"/>
            <w:noProof/>
            <w:lang w:val="es-MX"/>
          </w:rPr>
          <w:t>NICSP 23</w:t>
        </w:r>
        <w:r w:rsidR="00E54C34">
          <w:rPr>
            <w:noProof/>
            <w:webHidden/>
          </w:rPr>
          <w:tab/>
        </w:r>
        <w:r w:rsidR="00E54C34">
          <w:rPr>
            <w:noProof/>
            <w:webHidden/>
          </w:rPr>
          <w:fldChar w:fldCharType="begin"/>
        </w:r>
        <w:r w:rsidR="00E54C34">
          <w:rPr>
            <w:noProof/>
            <w:webHidden/>
          </w:rPr>
          <w:instrText xml:space="preserve"> PAGEREF _Toc189804805 \h </w:instrText>
        </w:r>
        <w:r w:rsidR="00E54C34">
          <w:rPr>
            <w:noProof/>
            <w:webHidden/>
          </w:rPr>
        </w:r>
        <w:r w:rsidR="00E54C34">
          <w:rPr>
            <w:noProof/>
            <w:webHidden/>
          </w:rPr>
          <w:fldChar w:fldCharType="separate"/>
        </w:r>
        <w:r w:rsidR="00E54C34">
          <w:rPr>
            <w:noProof/>
            <w:webHidden/>
          </w:rPr>
          <w:t>92</w:t>
        </w:r>
        <w:r w:rsidR="00E54C34">
          <w:rPr>
            <w:noProof/>
            <w:webHidden/>
          </w:rPr>
          <w:fldChar w:fldCharType="end"/>
        </w:r>
      </w:hyperlink>
    </w:p>
    <w:p w14:paraId="0BA214AE" w14:textId="4A3E954A" w:rsidR="00E54C34" w:rsidRDefault="00C53097">
      <w:pPr>
        <w:pStyle w:val="TDC2"/>
        <w:tabs>
          <w:tab w:val="right" w:leader="dot" w:pos="8828"/>
        </w:tabs>
        <w:rPr>
          <w:rFonts w:eastAsiaTheme="minorEastAsia" w:cstheme="minorBidi"/>
          <w:b w:val="0"/>
          <w:bCs w:val="0"/>
          <w:noProof/>
          <w:sz w:val="22"/>
          <w:szCs w:val="22"/>
          <w:lang w:eastAsia="es-CR"/>
        </w:rPr>
      </w:pPr>
      <w:hyperlink w:anchor="_Toc189804806" w:history="1">
        <w:r w:rsidR="00E54C34" w:rsidRPr="00370E31">
          <w:rPr>
            <w:rStyle w:val="Hipervnculo"/>
            <w:rFonts w:eastAsia="Times New Roman"/>
            <w:noProof/>
            <w:lang w:eastAsia="es-CR"/>
          </w:rPr>
          <w:t>NICSP 24- PRESENTACIÓN DE INFORMACIÓN DEL PRESUPUESTO EN LOS ESTADOS FINANCIEROS (DE APLICACIÓN OBLIGATORIA):</w:t>
        </w:r>
        <w:r w:rsidR="00E54C34">
          <w:rPr>
            <w:noProof/>
            <w:webHidden/>
          </w:rPr>
          <w:tab/>
        </w:r>
        <w:r w:rsidR="00E54C34">
          <w:rPr>
            <w:noProof/>
            <w:webHidden/>
          </w:rPr>
          <w:fldChar w:fldCharType="begin"/>
        </w:r>
        <w:r w:rsidR="00E54C34">
          <w:rPr>
            <w:noProof/>
            <w:webHidden/>
          </w:rPr>
          <w:instrText xml:space="preserve"> PAGEREF _Toc189804806 \h </w:instrText>
        </w:r>
        <w:r w:rsidR="00E54C34">
          <w:rPr>
            <w:noProof/>
            <w:webHidden/>
          </w:rPr>
        </w:r>
        <w:r w:rsidR="00E54C34">
          <w:rPr>
            <w:noProof/>
            <w:webHidden/>
          </w:rPr>
          <w:fldChar w:fldCharType="separate"/>
        </w:r>
        <w:r w:rsidR="00E54C34">
          <w:rPr>
            <w:noProof/>
            <w:webHidden/>
          </w:rPr>
          <w:t>93</w:t>
        </w:r>
        <w:r w:rsidR="00E54C34">
          <w:rPr>
            <w:noProof/>
            <w:webHidden/>
          </w:rPr>
          <w:fldChar w:fldCharType="end"/>
        </w:r>
      </w:hyperlink>
    </w:p>
    <w:p w14:paraId="64000BBC" w14:textId="2BF645B1" w:rsidR="00E54C34" w:rsidRDefault="00C53097">
      <w:pPr>
        <w:pStyle w:val="TDC2"/>
        <w:tabs>
          <w:tab w:val="right" w:leader="dot" w:pos="8828"/>
        </w:tabs>
        <w:rPr>
          <w:rFonts w:eastAsiaTheme="minorEastAsia" w:cstheme="minorBidi"/>
          <w:b w:val="0"/>
          <w:bCs w:val="0"/>
          <w:noProof/>
          <w:sz w:val="22"/>
          <w:szCs w:val="22"/>
          <w:lang w:eastAsia="es-CR"/>
        </w:rPr>
      </w:pPr>
      <w:hyperlink w:anchor="_Toc189804807" w:history="1">
        <w:r w:rsidR="00E54C34" w:rsidRPr="00370E31">
          <w:rPr>
            <w:rStyle w:val="Hipervnculo"/>
            <w:noProof/>
            <w:lang w:eastAsia="es-CR"/>
          </w:rPr>
          <w:t xml:space="preserve">Se hizo extensión a la fecha prevista esto debido a las cargas de trabajo en la institución, por tanto, no se pudo completar las actividades requeridas a la Norma </w:t>
        </w:r>
        <w:r w:rsidR="00E54C34" w:rsidRPr="00370E31">
          <w:rPr>
            <w:rStyle w:val="Hipervnculo"/>
            <w:noProof/>
            <w:lang w:val="es-MX"/>
          </w:rPr>
          <w:t>NICSP 25</w:t>
        </w:r>
        <w:r w:rsidR="00E54C34">
          <w:rPr>
            <w:noProof/>
            <w:webHidden/>
          </w:rPr>
          <w:tab/>
        </w:r>
        <w:r w:rsidR="00E54C34">
          <w:rPr>
            <w:noProof/>
            <w:webHidden/>
          </w:rPr>
          <w:fldChar w:fldCharType="begin"/>
        </w:r>
        <w:r w:rsidR="00E54C34">
          <w:rPr>
            <w:noProof/>
            <w:webHidden/>
          </w:rPr>
          <w:instrText xml:space="preserve"> PAGEREF _Toc189804807 \h </w:instrText>
        </w:r>
        <w:r w:rsidR="00E54C34">
          <w:rPr>
            <w:noProof/>
            <w:webHidden/>
          </w:rPr>
        </w:r>
        <w:r w:rsidR="00E54C34">
          <w:rPr>
            <w:noProof/>
            <w:webHidden/>
          </w:rPr>
          <w:fldChar w:fldCharType="separate"/>
        </w:r>
        <w:r w:rsidR="00E54C34">
          <w:rPr>
            <w:noProof/>
            <w:webHidden/>
          </w:rPr>
          <w:t>95</w:t>
        </w:r>
        <w:r w:rsidR="00E54C34">
          <w:rPr>
            <w:noProof/>
            <w:webHidden/>
          </w:rPr>
          <w:fldChar w:fldCharType="end"/>
        </w:r>
      </w:hyperlink>
    </w:p>
    <w:p w14:paraId="70CF11CC" w14:textId="61491FF3" w:rsidR="00E54C34" w:rsidRDefault="00C53097">
      <w:pPr>
        <w:pStyle w:val="TDC2"/>
        <w:tabs>
          <w:tab w:val="right" w:leader="dot" w:pos="8828"/>
        </w:tabs>
        <w:rPr>
          <w:rFonts w:eastAsiaTheme="minorEastAsia" w:cstheme="minorBidi"/>
          <w:b w:val="0"/>
          <w:bCs w:val="0"/>
          <w:noProof/>
          <w:sz w:val="22"/>
          <w:szCs w:val="22"/>
          <w:lang w:eastAsia="es-CR"/>
        </w:rPr>
      </w:pPr>
      <w:hyperlink w:anchor="_Toc189804808" w:history="1">
        <w:r w:rsidR="00E54C34" w:rsidRPr="00370E31">
          <w:rPr>
            <w:rStyle w:val="Hipervnculo"/>
            <w:rFonts w:eastAsia="Times New Roman"/>
            <w:noProof/>
            <w:lang w:eastAsia="es-CR"/>
          </w:rPr>
          <w:t>NICSP 26 DETERIORO DEL VALOR DE ACTIVOS GENERADORES DE EFECTIVO:</w:t>
        </w:r>
        <w:r w:rsidR="00E54C34">
          <w:rPr>
            <w:noProof/>
            <w:webHidden/>
          </w:rPr>
          <w:tab/>
        </w:r>
        <w:r w:rsidR="00E54C34">
          <w:rPr>
            <w:noProof/>
            <w:webHidden/>
          </w:rPr>
          <w:fldChar w:fldCharType="begin"/>
        </w:r>
        <w:r w:rsidR="00E54C34">
          <w:rPr>
            <w:noProof/>
            <w:webHidden/>
          </w:rPr>
          <w:instrText xml:space="preserve"> PAGEREF _Toc189804808 \h </w:instrText>
        </w:r>
        <w:r w:rsidR="00E54C34">
          <w:rPr>
            <w:noProof/>
            <w:webHidden/>
          </w:rPr>
        </w:r>
        <w:r w:rsidR="00E54C34">
          <w:rPr>
            <w:noProof/>
            <w:webHidden/>
          </w:rPr>
          <w:fldChar w:fldCharType="separate"/>
        </w:r>
        <w:r w:rsidR="00E54C34">
          <w:rPr>
            <w:noProof/>
            <w:webHidden/>
          </w:rPr>
          <w:t>95</w:t>
        </w:r>
        <w:r w:rsidR="00E54C34">
          <w:rPr>
            <w:noProof/>
            <w:webHidden/>
          </w:rPr>
          <w:fldChar w:fldCharType="end"/>
        </w:r>
      </w:hyperlink>
    </w:p>
    <w:p w14:paraId="52EAAB88" w14:textId="510CF679" w:rsidR="00E54C34" w:rsidRDefault="00C53097">
      <w:pPr>
        <w:pStyle w:val="TDC2"/>
        <w:tabs>
          <w:tab w:val="right" w:leader="dot" w:pos="8828"/>
        </w:tabs>
        <w:rPr>
          <w:rFonts w:eastAsiaTheme="minorEastAsia" w:cstheme="minorBidi"/>
          <w:b w:val="0"/>
          <w:bCs w:val="0"/>
          <w:noProof/>
          <w:sz w:val="22"/>
          <w:szCs w:val="22"/>
          <w:lang w:eastAsia="es-CR"/>
        </w:rPr>
      </w:pPr>
      <w:hyperlink w:anchor="_Toc189804809" w:history="1">
        <w:r w:rsidR="00E54C34" w:rsidRPr="00370E31">
          <w:rPr>
            <w:rStyle w:val="Hipervnculo"/>
            <w:noProof/>
            <w:lang w:eastAsia="es-CR"/>
          </w:rPr>
          <w:t xml:space="preserve">Se hizo extensión a la fecha prevista esto debido a las cargas de trabajo en la institución, por tanto, no se pudo completar las actividades requeridas a la Norma </w:t>
        </w:r>
        <w:r w:rsidR="00E54C34" w:rsidRPr="00370E31">
          <w:rPr>
            <w:rStyle w:val="Hipervnculo"/>
            <w:noProof/>
            <w:lang w:val="es-MX"/>
          </w:rPr>
          <w:t>NICSP 26</w:t>
        </w:r>
        <w:r w:rsidR="00E54C34">
          <w:rPr>
            <w:noProof/>
            <w:webHidden/>
          </w:rPr>
          <w:tab/>
        </w:r>
        <w:r w:rsidR="00E54C34">
          <w:rPr>
            <w:noProof/>
            <w:webHidden/>
          </w:rPr>
          <w:fldChar w:fldCharType="begin"/>
        </w:r>
        <w:r w:rsidR="00E54C34">
          <w:rPr>
            <w:noProof/>
            <w:webHidden/>
          </w:rPr>
          <w:instrText xml:space="preserve"> PAGEREF _Toc189804809 \h </w:instrText>
        </w:r>
        <w:r w:rsidR="00E54C34">
          <w:rPr>
            <w:noProof/>
            <w:webHidden/>
          </w:rPr>
        </w:r>
        <w:r w:rsidR="00E54C34">
          <w:rPr>
            <w:noProof/>
            <w:webHidden/>
          </w:rPr>
          <w:fldChar w:fldCharType="separate"/>
        </w:r>
        <w:r w:rsidR="00E54C34">
          <w:rPr>
            <w:noProof/>
            <w:webHidden/>
          </w:rPr>
          <w:t>98</w:t>
        </w:r>
        <w:r w:rsidR="00E54C34">
          <w:rPr>
            <w:noProof/>
            <w:webHidden/>
          </w:rPr>
          <w:fldChar w:fldCharType="end"/>
        </w:r>
      </w:hyperlink>
    </w:p>
    <w:p w14:paraId="0FC353F4" w14:textId="1F695447" w:rsidR="00E54C34" w:rsidRDefault="00C53097">
      <w:pPr>
        <w:pStyle w:val="TDC2"/>
        <w:tabs>
          <w:tab w:val="right" w:leader="dot" w:pos="8828"/>
        </w:tabs>
        <w:rPr>
          <w:rFonts w:eastAsiaTheme="minorEastAsia" w:cstheme="minorBidi"/>
          <w:b w:val="0"/>
          <w:bCs w:val="0"/>
          <w:noProof/>
          <w:sz w:val="22"/>
          <w:szCs w:val="22"/>
          <w:lang w:eastAsia="es-CR"/>
        </w:rPr>
      </w:pPr>
      <w:hyperlink w:anchor="_Toc189804810" w:history="1">
        <w:r w:rsidR="00E54C34" w:rsidRPr="00370E31">
          <w:rPr>
            <w:rStyle w:val="Hipervnculo"/>
            <w:rFonts w:eastAsia="Times New Roman"/>
            <w:noProof/>
            <w:lang w:eastAsia="es-CR"/>
          </w:rPr>
          <w:t>NICSP 27 AGRICULTURA:</w:t>
        </w:r>
        <w:r w:rsidR="00E54C34">
          <w:rPr>
            <w:noProof/>
            <w:webHidden/>
          </w:rPr>
          <w:tab/>
        </w:r>
        <w:r w:rsidR="00E54C34">
          <w:rPr>
            <w:noProof/>
            <w:webHidden/>
          </w:rPr>
          <w:fldChar w:fldCharType="begin"/>
        </w:r>
        <w:r w:rsidR="00E54C34">
          <w:rPr>
            <w:noProof/>
            <w:webHidden/>
          </w:rPr>
          <w:instrText xml:space="preserve"> PAGEREF _Toc189804810 \h </w:instrText>
        </w:r>
        <w:r w:rsidR="00E54C34">
          <w:rPr>
            <w:noProof/>
            <w:webHidden/>
          </w:rPr>
        </w:r>
        <w:r w:rsidR="00E54C34">
          <w:rPr>
            <w:noProof/>
            <w:webHidden/>
          </w:rPr>
          <w:fldChar w:fldCharType="separate"/>
        </w:r>
        <w:r w:rsidR="00E54C34">
          <w:rPr>
            <w:noProof/>
            <w:webHidden/>
          </w:rPr>
          <w:t>98</w:t>
        </w:r>
        <w:r w:rsidR="00E54C34">
          <w:rPr>
            <w:noProof/>
            <w:webHidden/>
          </w:rPr>
          <w:fldChar w:fldCharType="end"/>
        </w:r>
      </w:hyperlink>
    </w:p>
    <w:p w14:paraId="53787F6C" w14:textId="4EB9777B" w:rsidR="00E54C34" w:rsidRDefault="00C53097">
      <w:pPr>
        <w:pStyle w:val="TDC2"/>
        <w:tabs>
          <w:tab w:val="right" w:leader="dot" w:pos="8828"/>
        </w:tabs>
        <w:rPr>
          <w:rFonts w:eastAsiaTheme="minorEastAsia" w:cstheme="minorBidi"/>
          <w:b w:val="0"/>
          <w:bCs w:val="0"/>
          <w:noProof/>
          <w:sz w:val="22"/>
          <w:szCs w:val="22"/>
          <w:lang w:eastAsia="es-CR"/>
        </w:rPr>
      </w:pPr>
      <w:hyperlink w:anchor="_Toc189804811" w:history="1">
        <w:r w:rsidR="00E54C34" w:rsidRPr="00370E31">
          <w:rPr>
            <w:rStyle w:val="Hipervnculo"/>
            <w:rFonts w:eastAsia="Times New Roman"/>
            <w:noProof/>
            <w:lang w:eastAsia="es-CR"/>
          </w:rPr>
          <w:t>NICSP 28-29-30 INSTRUMENTOS FINANCIEROS (PRESENTACIÓN, RECONOCIMIENTO MEDICIÓN Y REVELACIÓN) (DE APLICACIÓN OBLIGATORIA):</w:t>
        </w:r>
        <w:r w:rsidR="00E54C34">
          <w:rPr>
            <w:noProof/>
            <w:webHidden/>
          </w:rPr>
          <w:tab/>
        </w:r>
        <w:r w:rsidR="00E54C34">
          <w:rPr>
            <w:noProof/>
            <w:webHidden/>
          </w:rPr>
          <w:fldChar w:fldCharType="begin"/>
        </w:r>
        <w:r w:rsidR="00E54C34">
          <w:rPr>
            <w:noProof/>
            <w:webHidden/>
          </w:rPr>
          <w:instrText xml:space="preserve"> PAGEREF _Toc189804811 \h </w:instrText>
        </w:r>
        <w:r w:rsidR="00E54C34">
          <w:rPr>
            <w:noProof/>
            <w:webHidden/>
          </w:rPr>
        </w:r>
        <w:r w:rsidR="00E54C34">
          <w:rPr>
            <w:noProof/>
            <w:webHidden/>
          </w:rPr>
          <w:fldChar w:fldCharType="separate"/>
        </w:r>
        <w:r w:rsidR="00E54C34">
          <w:rPr>
            <w:noProof/>
            <w:webHidden/>
          </w:rPr>
          <w:t>99</w:t>
        </w:r>
        <w:r w:rsidR="00E54C34">
          <w:rPr>
            <w:noProof/>
            <w:webHidden/>
          </w:rPr>
          <w:fldChar w:fldCharType="end"/>
        </w:r>
      </w:hyperlink>
    </w:p>
    <w:p w14:paraId="50BD2C86" w14:textId="4477AA0A" w:rsidR="00E54C34" w:rsidRDefault="00C53097">
      <w:pPr>
        <w:pStyle w:val="TDC2"/>
        <w:tabs>
          <w:tab w:val="right" w:leader="dot" w:pos="8828"/>
        </w:tabs>
        <w:rPr>
          <w:rFonts w:eastAsiaTheme="minorEastAsia" w:cstheme="minorBidi"/>
          <w:b w:val="0"/>
          <w:bCs w:val="0"/>
          <w:noProof/>
          <w:sz w:val="22"/>
          <w:szCs w:val="22"/>
          <w:lang w:eastAsia="es-CR"/>
        </w:rPr>
      </w:pPr>
      <w:hyperlink w:anchor="_Toc189804812" w:history="1">
        <w:r w:rsidR="00E54C34" w:rsidRPr="00370E31">
          <w:rPr>
            <w:rStyle w:val="Hipervnculo"/>
            <w:noProof/>
            <w:lang w:eastAsia="es-CR"/>
          </w:rPr>
          <w:t xml:space="preserve">Se hizo extensión a la fecha prevista esto debido a las cargas de trabajo en la institución, por tanto, no se pudo completar las actividades requeridas a la Norma </w:t>
        </w:r>
        <w:r w:rsidR="00E54C34" w:rsidRPr="00370E31">
          <w:rPr>
            <w:rStyle w:val="Hipervnculo"/>
            <w:noProof/>
            <w:lang w:val="es-MX"/>
          </w:rPr>
          <w:t>NICSP 28-29-30</w:t>
        </w:r>
        <w:r w:rsidR="00E54C34">
          <w:rPr>
            <w:noProof/>
            <w:webHidden/>
          </w:rPr>
          <w:tab/>
        </w:r>
        <w:r w:rsidR="00E54C34">
          <w:rPr>
            <w:noProof/>
            <w:webHidden/>
          </w:rPr>
          <w:fldChar w:fldCharType="begin"/>
        </w:r>
        <w:r w:rsidR="00E54C34">
          <w:rPr>
            <w:noProof/>
            <w:webHidden/>
          </w:rPr>
          <w:instrText xml:space="preserve"> PAGEREF _Toc189804812 \h </w:instrText>
        </w:r>
        <w:r w:rsidR="00E54C34">
          <w:rPr>
            <w:noProof/>
            <w:webHidden/>
          </w:rPr>
        </w:r>
        <w:r w:rsidR="00E54C34">
          <w:rPr>
            <w:noProof/>
            <w:webHidden/>
          </w:rPr>
          <w:fldChar w:fldCharType="separate"/>
        </w:r>
        <w:r w:rsidR="00E54C34">
          <w:rPr>
            <w:noProof/>
            <w:webHidden/>
          </w:rPr>
          <w:t>105</w:t>
        </w:r>
        <w:r w:rsidR="00E54C34">
          <w:rPr>
            <w:noProof/>
            <w:webHidden/>
          </w:rPr>
          <w:fldChar w:fldCharType="end"/>
        </w:r>
      </w:hyperlink>
    </w:p>
    <w:p w14:paraId="0461E5CD" w14:textId="7CD9BC63" w:rsidR="00E54C34" w:rsidRDefault="00C53097">
      <w:pPr>
        <w:pStyle w:val="TDC2"/>
        <w:tabs>
          <w:tab w:val="right" w:leader="dot" w:pos="8828"/>
        </w:tabs>
        <w:rPr>
          <w:rFonts w:eastAsiaTheme="minorEastAsia" w:cstheme="minorBidi"/>
          <w:b w:val="0"/>
          <w:bCs w:val="0"/>
          <w:noProof/>
          <w:sz w:val="22"/>
          <w:szCs w:val="22"/>
          <w:lang w:eastAsia="es-CR"/>
        </w:rPr>
      </w:pPr>
      <w:hyperlink w:anchor="_Toc189804813" w:history="1">
        <w:r w:rsidR="00E54C34" w:rsidRPr="00370E31">
          <w:rPr>
            <w:rStyle w:val="Hipervnculo"/>
            <w:rFonts w:eastAsia="Times New Roman"/>
            <w:noProof/>
            <w:lang w:eastAsia="es-CR"/>
          </w:rPr>
          <w:t>FIDEICOMISOS</w:t>
        </w:r>
        <w:r w:rsidR="00E54C34">
          <w:rPr>
            <w:noProof/>
            <w:webHidden/>
          </w:rPr>
          <w:tab/>
        </w:r>
        <w:r w:rsidR="00E54C34">
          <w:rPr>
            <w:noProof/>
            <w:webHidden/>
          </w:rPr>
          <w:fldChar w:fldCharType="begin"/>
        </w:r>
        <w:r w:rsidR="00E54C34">
          <w:rPr>
            <w:noProof/>
            <w:webHidden/>
          </w:rPr>
          <w:instrText xml:space="preserve"> PAGEREF _Toc189804813 \h </w:instrText>
        </w:r>
        <w:r w:rsidR="00E54C34">
          <w:rPr>
            <w:noProof/>
            <w:webHidden/>
          </w:rPr>
        </w:r>
        <w:r w:rsidR="00E54C34">
          <w:rPr>
            <w:noProof/>
            <w:webHidden/>
          </w:rPr>
          <w:fldChar w:fldCharType="separate"/>
        </w:r>
        <w:r w:rsidR="00E54C34">
          <w:rPr>
            <w:noProof/>
            <w:webHidden/>
          </w:rPr>
          <w:t>105</w:t>
        </w:r>
        <w:r w:rsidR="00E54C34">
          <w:rPr>
            <w:noProof/>
            <w:webHidden/>
          </w:rPr>
          <w:fldChar w:fldCharType="end"/>
        </w:r>
      </w:hyperlink>
    </w:p>
    <w:p w14:paraId="3AB9AA23" w14:textId="7CB62EF9" w:rsidR="00E54C34" w:rsidRDefault="00C53097">
      <w:pPr>
        <w:pStyle w:val="TDC2"/>
        <w:tabs>
          <w:tab w:val="right" w:leader="dot" w:pos="8828"/>
        </w:tabs>
        <w:rPr>
          <w:rFonts w:eastAsiaTheme="minorEastAsia" w:cstheme="minorBidi"/>
          <w:b w:val="0"/>
          <w:bCs w:val="0"/>
          <w:noProof/>
          <w:sz w:val="22"/>
          <w:szCs w:val="22"/>
          <w:lang w:eastAsia="es-CR"/>
        </w:rPr>
      </w:pPr>
      <w:hyperlink w:anchor="_Toc189804814" w:history="1">
        <w:r w:rsidR="00E54C34" w:rsidRPr="00370E31">
          <w:rPr>
            <w:rStyle w:val="Hipervnculo"/>
            <w:rFonts w:eastAsia="Times New Roman"/>
            <w:noProof/>
            <w:lang w:eastAsia="es-CR"/>
          </w:rPr>
          <w:t>NICSP 31- ACTIVOS INTANGIBLES:</w:t>
        </w:r>
        <w:r w:rsidR="00E54C34">
          <w:rPr>
            <w:noProof/>
            <w:webHidden/>
          </w:rPr>
          <w:tab/>
        </w:r>
        <w:r w:rsidR="00E54C34">
          <w:rPr>
            <w:noProof/>
            <w:webHidden/>
          </w:rPr>
          <w:fldChar w:fldCharType="begin"/>
        </w:r>
        <w:r w:rsidR="00E54C34">
          <w:rPr>
            <w:noProof/>
            <w:webHidden/>
          </w:rPr>
          <w:instrText xml:space="preserve"> PAGEREF _Toc189804814 \h </w:instrText>
        </w:r>
        <w:r w:rsidR="00E54C34">
          <w:rPr>
            <w:noProof/>
            <w:webHidden/>
          </w:rPr>
        </w:r>
        <w:r w:rsidR="00E54C34">
          <w:rPr>
            <w:noProof/>
            <w:webHidden/>
          </w:rPr>
          <w:fldChar w:fldCharType="separate"/>
        </w:r>
        <w:r w:rsidR="00E54C34">
          <w:rPr>
            <w:noProof/>
            <w:webHidden/>
          </w:rPr>
          <w:t>106</w:t>
        </w:r>
        <w:r w:rsidR="00E54C34">
          <w:rPr>
            <w:noProof/>
            <w:webHidden/>
          </w:rPr>
          <w:fldChar w:fldCharType="end"/>
        </w:r>
      </w:hyperlink>
    </w:p>
    <w:p w14:paraId="7FC0D12F" w14:textId="1B48015E" w:rsidR="00E54C34" w:rsidRDefault="00C53097">
      <w:pPr>
        <w:pStyle w:val="TDC2"/>
        <w:tabs>
          <w:tab w:val="right" w:leader="dot" w:pos="8828"/>
        </w:tabs>
        <w:rPr>
          <w:rFonts w:eastAsiaTheme="minorEastAsia" w:cstheme="minorBidi"/>
          <w:b w:val="0"/>
          <w:bCs w:val="0"/>
          <w:noProof/>
          <w:sz w:val="22"/>
          <w:szCs w:val="22"/>
          <w:lang w:eastAsia="es-CR"/>
        </w:rPr>
      </w:pPr>
      <w:hyperlink w:anchor="_Toc189804815" w:history="1">
        <w:r w:rsidR="00E54C34" w:rsidRPr="00370E31">
          <w:rPr>
            <w:rStyle w:val="Hipervnculo"/>
            <w:rFonts w:eastAsia="Times New Roman"/>
            <w:noProof/>
            <w:lang w:eastAsia="es-CR"/>
          </w:rPr>
          <w:t>NICSP 32 - ACUERDOS DE CONCESIÓN DE SERVICIOS: LA CONCEDENTE:</w:t>
        </w:r>
        <w:r w:rsidR="00E54C34">
          <w:rPr>
            <w:noProof/>
            <w:webHidden/>
          </w:rPr>
          <w:tab/>
        </w:r>
        <w:r w:rsidR="00E54C34">
          <w:rPr>
            <w:noProof/>
            <w:webHidden/>
          </w:rPr>
          <w:fldChar w:fldCharType="begin"/>
        </w:r>
        <w:r w:rsidR="00E54C34">
          <w:rPr>
            <w:noProof/>
            <w:webHidden/>
          </w:rPr>
          <w:instrText xml:space="preserve"> PAGEREF _Toc189804815 \h </w:instrText>
        </w:r>
        <w:r w:rsidR="00E54C34">
          <w:rPr>
            <w:noProof/>
            <w:webHidden/>
          </w:rPr>
        </w:r>
        <w:r w:rsidR="00E54C34">
          <w:rPr>
            <w:noProof/>
            <w:webHidden/>
          </w:rPr>
          <w:fldChar w:fldCharType="separate"/>
        </w:r>
        <w:r w:rsidR="00E54C34">
          <w:rPr>
            <w:noProof/>
            <w:webHidden/>
          </w:rPr>
          <w:t>109</w:t>
        </w:r>
        <w:r w:rsidR="00E54C34">
          <w:rPr>
            <w:noProof/>
            <w:webHidden/>
          </w:rPr>
          <w:fldChar w:fldCharType="end"/>
        </w:r>
      </w:hyperlink>
    </w:p>
    <w:p w14:paraId="2325FB6D" w14:textId="507B1468" w:rsidR="00E54C34" w:rsidRDefault="00C53097">
      <w:pPr>
        <w:pStyle w:val="TDC2"/>
        <w:tabs>
          <w:tab w:val="right" w:leader="dot" w:pos="8828"/>
        </w:tabs>
        <w:rPr>
          <w:rFonts w:eastAsiaTheme="minorEastAsia" w:cstheme="minorBidi"/>
          <w:b w:val="0"/>
          <w:bCs w:val="0"/>
          <w:noProof/>
          <w:sz w:val="22"/>
          <w:szCs w:val="22"/>
          <w:lang w:eastAsia="es-CR"/>
        </w:rPr>
      </w:pPr>
      <w:hyperlink w:anchor="_Toc189804816" w:history="1">
        <w:r w:rsidR="00E54C34" w:rsidRPr="00370E31">
          <w:rPr>
            <w:rStyle w:val="Hipervnculo"/>
            <w:rFonts w:eastAsia="Times New Roman"/>
            <w:noProof/>
            <w:lang w:eastAsia="es-CR"/>
          </w:rPr>
          <w:t>NICSP 33 - ADOPCIÓN POR PRIMERA VEZ DE LAS NICSP DE BASE DE ACUMULACIÓN (O DEVENGO) (DE APLICACIÓN OBLIGATORIA):</w:t>
        </w:r>
        <w:r w:rsidR="00E54C34">
          <w:rPr>
            <w:noProof/>
            <w:webHidden/>
          </w:rPr>
          <w:tab/>
        </w:r>
        <w:r w:rsidR="00E54C34">
          <w:rPr>
            <w:noProof/>
            <w:webHidden/>
          </w:rPr>
          <w:fldChar w:fldCharType="begin"/>
        </w:r>
        <w:r w:rsidR="00E54C34">
          <w:rPr>
            <w:noProof/>
            <w:webHidden/>
          </w:rPr>
          <w:instrText xml:space="preserve"> PAGEREF _Toc189804816 \h </w:instrText>
        </w:r>
        <w:r w:rsidR="00E54C34">
          <w:rPr>
            <w:noProof/>
            <w:webHidden/>
          </w:rPr>
        </w:r>
        <w:r w:rsidR="00E54C34">
          <w:rPr>
            <w:noProof/>
            <w:webHidden/>
          </w:rPr>
          <w:fldChar w:fldCharType="separate"/>
        </w:r>
        <w:r w:rsidR="00E54C34">
          <w:rPr>
            <w:noProof/>
            <w:webHidden/>
          </w:rPr>
          <w:t>111</w:t>
        </w:r>
        <w:r w:rsidR="00E54C34">
          <w:rPr>
            <w:noProof/>
            <w:webHidden/>
          </w:rPr>
          <w:fldChar w:fldCharType="end"/>
        </w:r>
      </w:hyperlink>
    </w:p>
    <w:p w14:paraId="032B481D" w14:textId="35740DE7" w:rsidR="00E54C34" w:rsidRDefault="00C53097">
      <w:pPr>
        <w:pStyle w:val="TDC2"/>
        <w:tabs>
          <w:tab w:val="right" w:leader="dot" w:pos="8828"/>
        </w:tabs>
        <w:rPr>
          <w:rFonts w:eastAsiaTheme="minorEastAsia" w:cstheme="minorBidi"/>
          <w:b w:val="0"/>
          <w:bCs w:val="0"/>
          <w:noProof/>
          <w:sz w:val="22"/>
          <w:szCs w:val="22"/>
          <w:lang w:eastAsia="es-CR"/>
        </w:rPr>
      </w:pPr>
      <w:hyperlink w:anchor="_Toc189804817" w:history="1">
        <w:r w:rsidR="00E54C34" w:rsidRPr="00370E31">
          <w:rPr>
            <w:rStyle w:val="Hipervnculo"/>
            <w:noProof/>
            <w:lang w:eastAsia="es-CR"/>
          </w:rPr>
          <w:t xml:space="preserve">Se hizo extensión a la fecha prevista esto debido a las cargas de trabajo en la institución, por tanto, no se pudo completar las actividades requeridas a la Norma </w:t>
        </w:r>
        <w:r w:rsidR="00E54C34" w:rsidRPr="00370E31">
          <w:rPr>
            <w:rStyle w:val="Hipervnculo"/>
            <w:noProof/>
            <w:lang w:val="es-MX"/>
          </w:rPr>
          <w:t>NICSP 33</w:t>
        </w:r>
        <w:r w:rsidR="00E54C34">
          <w:rPr>
            <w:noProof/>
            <w:webHidden/>
          </w:rPr>
          <w:tab/>
        </w:r>
        <w:r w:rsidR="00E54C34">
          <w:rPr>
            <w:noProof/>
            <w:webHidden/>
          </w:rPr>
          <w:fldChar w:fldCharType="begin"/>
        </w:r>
        <w:r w:rsidR="00E54C34">
          <w:rPr>
            <w:noProof/>
            <w:webHidden/>
          </w:rPr>
          <w:instrText xml:space="preserve"> PAGEREF _Toc189804817 \h </w:instrText>
        </w:r>
        <w:r w:rsidR="00E54C34">
          <w:rPr>
            <w:noProof/>
            <w:webHidden/>
          </w:rPr>
        </w:r>
        <w:r w:rsidR="00E54C34">
          <w:rPr>
            <w:noProof/>
            <w:webHidden/>
          </w:rPr>
          <w:fldChar w:fldCharType="separate"/>
        </w:r>
        <w:r w:rsidR="00E54C34">
          <w:rPr>
            <w:noProof/>
            <w:webHidden/>
          </w:rPr>
          <w:t>115</w:t>
        </w:r>
        <w:r w:rsidR="00E54C34">
          <w:rPr>
            <w:noProof/>
            <w:webHidden/>
          </w:rPr>
          <w:fldChar w:fldCharType="end"/>
        </w:r>
      </w:hyperlink>
    </w:p>
    <w:p w14:paraId="2E7A26E6" w14:textId="15DDF4C2" w:rsidR="00E54C34" w:rsidRDefault="00C53097">
      <w:pPr>
        <w:pStyle w:val="TDC2"/>
        <w:tabs>
          <w:tab w:val="right" w:leader="dot" w:pos="8828"/>
        </w:tabs>
        <w:rPr>
          <w:rFonts w:eastAsiaTheme="minorEastAsia" w:cstheme="minorBidi"/>
          <w:b w:val="0"/>
          <w:bCs w:val="0"/>
          <w:noProof/>
          <w:sz w:val="22"/>
          <w:szCs w:val="22"/>
          <w:lang w:eastAsia="es-CR"/>
        </w:rPr>
      </w:pPr>
      <w:hyperlink w:anchor="_Toc189804818" w:history="1">
        <w:r w:rsidR="00E54C34" w:rsidRPr="00370E31">
          <w:rPr>
            <w:rStyle w:val="Hipervnculo"/>
            <w:rFonts w:eastAsia="Times New Roman"/>
            <w:noProof/>
            <w:lang w:eastAsia="es-CR"/>
          </w:rPr>
          <w:t>NICSP 34 - ESTADOS FINANCIEROS SEPARADOS:</w:t>
        </w:r>
        <w:r w:rsidR="00E54C34">
          <w:rPr>
            <w:noProof/>
            <w:webHidden/>
          </w:rPr>
          <w:tab/>
        </w:r>
        <w:r w:rsidR="00E54C34">
          <w:rPr>
            <w:noProof/>
            <w:webHidden/>
          </w:rPr>
          <w:fldChar w:fldCharType="begin"/>
        </w:r>
        <w:r w:rsidR="00E54C34">
          <w:rPr>
            <w:noProof/>
            <w:webHidden/>
          </w:rPr>
          <w:instrText xml:space="preserve"> PAGEREF _Toc189804818 \h </w:instrText>
        </w:r>
        <w:r w:rsidR="00E54C34">
          <w:rPr>
            <w:noProof/>
            <w:webHidden/>
          </w:rPr>
        </w:r>
        <w:r w:rsidR="00E54C34">
          <w:rPr>
            <w:noProof/>
            <w:webHidden/>
          </w:rPr>
          <w:fldChar w:fldCharType="separate"/>
        </w:r>
        <w:r w:rsidR="00E54C34">
          <w:rPr>
            <w:noProof/>
            <w:webHidden/>
          </w:rPr>
          <w:t>115</w:t>
        </w:r>
        <w:r w:rsidR="00E54C34">
          <w:rPr>
            <w:noProof/>
            <w:webHidden/>
          </w:rPr>
          <w:fldChar w:fldCharType="end"/>
        </w:r>
      </w:hyperlink>
    </w:p>
    <w:p w14:paraId="1F331F66" w14:textId="4FE33D40" w:rsidR="00E54C34" w:rsidRDefault="00C53097">
      <w:pPr>
        <w:pStyle w:val="TDC2"/>
        <w:tabs>
          <w:tab w:val="right" w:leader="dot" w:pos="8828"/>
        </w:tabs>
        <w:rPr>
          <w:rFonts w:eastAsiaTheme="minorEastAsia" w:cstheme="minorBidi"/>
          <w:b w:val="0"/>
          <w:bCs w:val="0"/>
          <w:noProof/>
          <w:sz w:val="22"/>
          <w:szCs w:val="22"/>
          <w:lang w:eastAsia="es-CR"/>
        </w:rPr>
      </w:pPr>
      <w:hyperlink w:anchor="_Toc189804819" w:history="1">
        <w:r w:rsidR="00E54C34" w:rsidRPr="00370E31">
          <w:rPr>
            <w:rStyle w:val="Hipervnculo"/>
            <w:rFonts w:eastAsia="Times New Roman"/>
            <w:noProof/>
            <w:lang w:eastAsia="es-CR"/>
          </w:rPr>
          <w:t>NICSP 35 - ESTADOS FINANCIEROS CONSOLIDADOS:</w:t>
        </w:r>
        <w:r w:rsidR="00E54C34">
          <w:rPr>
            <w:noProof/>
            <w:webHidden/>
          </w:rPr>
          <w:tab/>
        </w:r>
        <w:r w:rsidR="00E54C34">
          <w:rPr>
            <w:noProof/>
            <w:webHidden/>
          </w:rPr>
          <w:fldChar w:fldCharType="begin"/>
        </w:r>
        <w:r w:rsidR="00E54C34">
          <w:rPr>
            <w:noProof/>
            <w:webHidden/>
          </w:rPr>
          <w:instrText xml:space="preserve"> PAGEREF _Toc189804819 \h </w:instrText>
        </w:r>
        <w:r w:rsidR="00E54C34">
          <w:rPr>
            <w:noProof/>
            <w:webHidden/>
          </w:rPr>
        </w:r>
        <w:r w:rsidR="00E54C34">
          <w:rPr>
            <w:noProof/>
            <w:webHidden/>
          </w:rPr>
          <w:fldChar w:fldCharType="separate"/>
        </w:r>
        <w:r w:rsidR="00E54C34">
          <w:rPr>
            <w:noProof/>
            <w:webHidden/>
          </w:rPr>
          <w:t>117</w:t>
        </w:r>
        <w:r w:rsidR="00E54C34">
          <w:rPr>
            <w:noProof/>
            <w:webHidden/>
          </w:rPr>
          <w:fldChar w:fldCharType="end"/>
        </w:r>
      </w:hyperlink>
    </w:p>
    <w:p w14:paraId="07484E5F" w14:textId="6FA5960C" w:rsidR="00E54C34" w:rsidRDefault="00C53097">
      <w:pPr>
        <w:pStyle w:val="TDC2"/>
        <w:tabs>
          <w:tab w:val="right" w:leader="dot" w:pos="8828"/>
        </w:tabs>
        <w:rPr>
          <w:rFonts w:eastAsiaTheme="minorEastAsia" w:cstheme="minorBidi"/>
          <w:b w:val="0"/>
          <w:bCs w:val="0"/>
          <w:noProof/>
          <w:sz w:val="22"/>
          <w:szCs w:val="22"/>
          <w:lang w:eastAsia="es-CR"/>
        </w:rPr>
      </w:pPr>
      <w:hyperlink w:anchor="_Toc189804820" w:history="1">
        <w:r w:rsidR="00E54C34" w:rsidRPr="00370E31">
          <w:rPr>
            <w:rStyle w:val="Hipervnculo"/>
            <w:noProof/>
            <w:lang w:eastAsia="es-CR"/>
          </w:rPr>
          <w:t xml:space="preserve">Se hizo extensión a la fecha prevista esto debido a las cargas de trabajo en la institución, por tanto, no se pudo completar las actividades requeridas a la Norma </w:t>
        </w:r>
        <w:r w:rsidR="00E54C34" w:rsidRPr="00370E31">
          <w:rPr>
            <w:rStyle w:val="Hipervnculo"/>
            <w:noProof/>
            <w:lang w:val="es-MX"/>
          </w:rPr>
          <w:t>NICSP 35</w:t>
        </w:r>
        <w:r w:rsidR="00E54C34">
          <w:rPr>
            <w:noProof/>
            <w:webHidden/>
          </w:rPr>
          <w:tab/>
        </w:r>
        <w:r w:rsidR="00E54C34">
          <w:rPr>
            <w:noProof/>
            <w:webHidden/>
          </w:rPr>
          <w:fldChar w:fldCharType="begin"/>
        </w:r>
        <w:r w:rsidR="00E54C34">
          <w:rPr>
            <w:noProof/>
            <w:webHidden/>
          </w:rPr>
          <w:instrText xml:space="preserve"> PAGEREF _Toc189804820 \h </w:instrText>
        </w:r>
        <w:r w:rsidR="00E54C34">
          <w:rPr>
            <w:noProof/>
            <w:webHidden/>
          </w:rPr>
        </w:r>
        <w:r w:rsidR="00E54C34">
          <w:rPr>
            <w:noProof/>
            <w:webHidden/>
          </w:rPr>
          <w:fldChar w:fldCharType="separate"/>
        </w:r>
        <w:r w:rsidR="00E54C34">
          <w:rPr>
            <w:noProof/>
            <w:webHidden/>
          </w:rPr>
          <w:t>120</w:t>
        </w:r>
        <w:r w:rsidR="00E54C34">
          <w:rPr>
            <w:noProof/>
            <w:webHidden/>
          </w:rPr>
          <w:fldChar w:fldCharType="end"/>
        </w:r>
      </w:hyperlink>
    </w:p>
    <w:p w14:paraId="7BF33C78" w14:textId="3D1E514E" w:rsidR="00E54C34" w:rsidRDefault="00C53097">
      <w:pPr>
        <w:pStyle w:val="TDC2"/>
        <w:tabs>
          <w:tab w:val="right" w:leader="dot" w:pos="8828"/>
        </w:tabs>
        <w:rPr>
          <w:rFonts w:eastAsiaTheme="minorEastAsia" w:cstheme="minorBidi"/>
          <w:b w:val="0"/>
          <w:bCs w:val="0"/>
          <w:noProof/>
          <w:sz w:val="22"/>
          <w:szCs w:val="22"/>
          <w:lang w:eastAsia="es-CR"/>
        </w:rPr>
      </w:pPr>
      <w:hyperlink w:anchor="_Toc189804821" w:history="1">
        <w:r w:rsidR="00E54C34" w:rsidRPr="00370E31">
          <w:rPr>
            <w:rStyle w:val="Hipervnculo"/>
            <w:rFonts w:eastAsia="Times New Roman"/>
            <w:noProof/>
            <w:lang w:eastAsia="es-CR"/>
          </w:rPr>
          <w:t>NICSP 36 - INVERSIONES EN ASOCIADAS Y NEGOCIOS CONJUNTOS:</w:t>
        </w:r>
        <w:r w:rsidR="00E54C34">
          <w:rPr>
            <w:noProof/>
            <w:webHidden/>
          </w:rPr>
          <w:tab/>
        </w:r>
        <w:r w:rsidR="00E54C34">
          <w:rPr>
            <w:noProof/>
            <w:webHidden/>
          </w:rPr>
          <w:fldChar w:fldCharType="begin"/>
        </w:r>
        <w:r w:rsidR="00E54C34">
          <w:rPr>
            <w:noProof/>
            <w:webHidden/>
          </w:rPr>
          <w:instrText xml:space="preserve"> PAGEREF _Toc189804821 \h </w:instrText>
        </w:r>
        <w:r w:rsidR="00E54C34">
          <w:rPr>
            <w:noProof/>
            <w:webHidden/>
          </w:rPr>
        </w:r>
        <w:r w:rsidR="00E54C34">
          <w:rPr>
            <w:noProof/>
            <w:webHidden/>
          </w:rPr>
          <w:fldChar w:fldCharType="separate"/>
        </w:r>
        <w:r w:rsidR="00E54C34">
          <w:rPr>
            <w:noProof/>
            <w:webHidden/>
          </w:rPr>
          <w:t>120</w:t>
        </w:r>
        <w:r w:rsidR="00E54C34">
          <w:rPr>
            <w:noProof/>
            <w:webHidden/>
          </w:rPr>
          <w:fldChar w:fldCharType="end"/>
        </w:r>
      </w:hyperlink>
    </w:p>
    <w:p w14:paraId="3D63BD02" w14:textId="1663C444" w:rsidR="00E54C34" w:rsidRDefault="00C53097">
      <w:pPr>
        <w:pStyle w:val="TDC2"/>
        <w:tabs>
          <w:tab w:val="right" w:leader="dot" w:pos="8828"/>
        </w:tabs>
        <w:rPr>
          <w:rFonts w:eastAsiaTheme="minorEastAsia" w:cstheme="minorBidi"/>
          <w:b w:val="0"/>
          <w:bCs w:val="0"/>
          <w:noProof/>
          <w:sz w:val="22"/>
          <w:szCs w:val="22"/>
          <w:lang w:eastAsia="es-CR"/>
        </w:rPr>
      </w:pPr>
      <w:hyperlink w:anchor="_Toc189804822" w:history="1">
        <w:r w:rsidR="00E54C34" w:rsidRPr="00370E31">
          <w:rPr>
            <w:rStyle w:val="Hipervnculo"/>
            <w:rFonts w:eastAsia="Times New Roman"/>
            <w:noProof/>
            <w:lang w:eastAsia="es-CR"/>
          </w:rPr>
          <w:t>NICSP 37 - ACUERDOS CONJUNTOS:</w:t>
        </w:r>
        <w:r w:rsidR="00E54C34">
          <w:rPr>
            <w:noProof/>
            <w:webHidden/>
          </w:rPr>
          <w:tab/>
        </w:r>
        <w:r w:rsidR="00E54C34">
          <w:rPr>
            <w:noProof/>
            <w:webHidden/>
          </w:rPr>
          <w:fldChar w:fldCharType="begin"/>
        </w:r>
        <w:r w:rsidR="00E54C34">
          <w:rPr>
            <w:noProof/>
            <w:webHidden/>
          </w:rPr>
          <w:instrText xml:space="preserve"> PAGEREF _Toc189804822 \h </w:instrText>
        </w:r>
        <w:r w:rsidR="00E54C34">
          <w:rPr>
            <w:noProof/>
            <w:webHidden/>
          </w:rPr>
        </w:r>
        <w:r w:rsidR="00E54C34">
          <w:rPr>
            <w:noProof/>
            <w:webHidden/>
          </w:rPr>
          <w:fldChar w:fldCharType="separate"/>
        </w:r>
        <w:r w:rsidR="00E54C34">
          <w:rPr>
            <w:noProof/>
            <w:webHidden/>
          </w:rPr>
          <w:t>122</w:t>
        </w:r>
        <w:r w:rsidR="00E54C34">
          <w:rPr>
            <w:noProof/>
            <w:webHidden/>
          </w:rPr>
          <w:fldChar w:fldCharType="end"/>
        </w:r>
      </w:hyperlink>
    </w:p>
    <w:p w14:paraId="3656C17B" w14:textId="145EBEDD" w:rsidR="00E54C34" w:rsidRDefault="00C53097">
      <w:pPr>
        <w:pStyle w:val="TDC2"/>
        <w:tabs>
          <w:tab w:val="right" w:leader="dot" w:pos="8828"/>
        </w:tabs>
        <w:rPr>
          <w:rFonts w:eastAsiaTheme="minorEastAsia" w:cstheme="minorBidi"/>
          <w:b w:val="0"/>
          <w:bCs w:val="0"/>
          <w:noProof/>
          <w:sz w:val="22"/>
          <w:szCs w:val="22"/>
          <w:lang w:eastAsia="es-CR"/>
        </w:rPr>
      </w:pPr>
      <w:hyperlink w:anchor="_Toc189804823" w:history="1">
        <w:r w:rsidR="00E54C34" w:rsidRPr="00370E31">
          <w:rPr>
            <w:rStyle w:val="Hipervnculo"/>
            <w:rFonts w:eastAsia="Times New Roman"/>
            <w:noProof/>
            <w:lang w:eastAsia="es-CR"/>
          </w:rPr>
          <w:t>NICSP 38 - INFORMACIÓN A REVELAR SOBRE PARTICIPACIONES EN OTRAS ENTIDADES:</w:t>
        </w:r>
        <w:r w:rsidR="00E54C34">
          <w:rPr>
            <w:noProof/>
            <w:webHidden/>
          </w:rPr>
          <w:tab/>
        </w:r>
        <w:r w:rsidR="00E54C34">
          <w:rPr>
            <w:noProof/>
            <w:webHidden/>
          </w:rPr>
          <w:fldChar w:fldCharType="begin"/>
        </w:r>
        <w:r w:rsidR="00E54C34">
          <w:rPr>
            <w:noProof/>
            <w:webHidden/>
          </w:rPr>
          <w:instrText xml:space="preserve"> PAGEREF _Toc189804823 \h </w:instrText>
        </w:r>
        <w:r w:rsidR="00E54C34">
          <w:rPr>
            <w:noProof/>
            <w:webHidden/>
          </w:rPr>
        </w:r>
        <w:r w:rsidR="00E54C34">
          <w:rPr>
            <w:noProof/>
            <w:webHidden/>
          </w:rPr>
          <w:fldChar w:fldCharType="separate"/>
        </w:r>
        <w:r w:rsidR="00E54C34">
          <w:rPr>
            <w:noProof/>
            <w:webHidden/>
          </w:rPr>
          <w:t>123</w:t>
        </w:r>
        <w:r w:rsidR="00E54C34">
          <w:rPr>
            <w:noProof/>
            <w:webHidden/>
          </w:rPr>
          <w:fldChar w:fldCharType="end"/>
        </w:r>
      </w:hyperlink>
    </w:p>
    <w:p w14:paraId="394957A9" w14:textId="79BF2C77" w:rsidR="00E54C34" w:rsidRDefault="00C53097">
      <w:pPr>
        <w:pStyle w:val="TDC2"/>
        <w:tabs>
          <w:tab w:val="right" w:leader="dot" w:pos="8828"/>
        </w:tabs>
        <w:rPr>
          <w:rFonts w:eastAsiaTheme="minorEastAsia" w:cstheme="minorBidi"/>
          <w:b w:val="0"/>
          <w:bCs w:val="0"/>
          <w:noProof/>
          <w:sz w:val="22"/>
          <w:szCs w:val="22"/>
          <w:lang w:eastAsia="es-CR"/>
        </w:rPr>
      </w:pPr>
      <w:hyperlink w:anchor="_Toc189804824" w:history="1">
        <w:r w:rsidR="00E54C34" w:rsidRPr="00370E31">
          <w:rPr>
            <w:rStyle w:val="Hipervnculo"/>
            <w:rFonts w:eastAsia="Times New Roman"/>
            <w:noProof/>
            <w:lang w:eastAsia="es-CR"/>
          </w:rPr>
          <w:t>NICSP 39 - BENEFICIOS A LOS EMPLEADOS (DE APLICACIÓN OBLIGATORIA):</w:t>
        </w:r>
        <w:r w:rsidR="00E54C34">
          <w:rPr>
            <w:noProof/>
            <w:webHidden/>
          </w:rPr>
          <w:tab/>
        </w:r>
        <w:r w:rsidR="00E54C34">
          <w:rPr>
            <w:noProof/>
            <w:webHidden/>
          </w:rPr>
          <w:fldChar w:fldCharType="begin"/>
        </w:r>
        <w:r w:rsidR="00E54C34">
          <w:rPr>
            <w:noProof/>
            <w:webHidden/>
          </w:rPr>
          <w:instrText xml:space="preserve"> PAGEREF _Toc189804824 \h </w:instrText>
        </w:r>
        <w:r w:rsidR="00E54C34">
          <w:rPr>
            <w:noProof/>
            <w:webHidden/>
          </w:rPr>
        </w:r>
        <w:r w:rsidR="00E54C34">
          <w:rPr>
            <w:noProof/>
            <w:webHidden/>
          </w:rPr>
          <w:fldChar w:fldCharType="separate"/>
        </w:r>
        <w:r w:rsidR="00E54C34">
          <w:rPr>
            <w:noProof/>
            <w:webHidden/>
          </w:rPr>
          <w:t>124</w:t>
        </w:r>
        <w:r w:rsidR="00E54C34">
          <w:rPr>
            <w:noProof/>
            <w:webHidden/>
          </w:rPr>
          <w:fldChar w:fldCharType="end"/>
        </w:r>
      </w:hyperlink>
    </w:p>
    <w:p w14:paraId="4DB4CF47" w14:textId="05D525E0" w:rsidR="00E54C34" w:rsidRDefault="00C53097">
      <w:pPr>
        <w:pStyle w:val="TDC2"/>
        <w:tabs>
          <w:tab w:val="right" w:leader="dot" w:pos="8828"/>
        </w:tabs>
        <w:rPr>
          <w:rFonts w:eastAsiaTheme="minorEastAsia" w:cstheme="minorBidi"/>
          <w:b w:val="0"/>
          <w:bCs w:val="0"/>
          <w:noProof/>
          <w:sz w:val="22"/>
          <w:szCs w:val="22"/>
          <w:lang w:eastAsia="es-CR"/>
        </w:rPr>
      </w:pPr>
      <w:hyperlink w:anchor="_Toc189804825" w:history="1">
        <w:r w:rsidR="00E54C34" w:rsidRPr="00370E31">
          <w:rPr>
            <w:rStyle w:val="Hipervnculo"/>
            <w:rFonts w:eastAsia="Times New Roman"/>
            <w:noProof/>
            <w:lang w:eastAsia="es-CR"/>
          </w:rPr>
          <w:t>NICSP 40 - COMBINACIONES EN EL SECTOR PÚBLICO:</w:t>
        </w:r>
        <w:r w:rsidR="00E54C34">
          <w:rPr>
            <w:noProof/>
            <w:webHidden/>
          </w:rPr>
          <w:tab/>
        </w:r>
        <w:r w:rsidR="00E54C34">
          <w:rPr>
            <w:noProof/>
            <w:webHidden/>
          </w:rPr>
          <w:fldChar w:fldCharType="begin"/>
        </w:r>
        <w:r w:rsidR="00E54C34">
          <w:rPr>
            <w:noProof/>
            <w:webHidden/>
          </w:rPr>
          <w:instrText xml:space="preserve"> PAGEREF _Toc189804825 \h </w:instrText>
        </w:r>
        <w:r w:rsidR="00E54C34">
          <w:rPr>
            <w:noProof/>
            <w:webHidden/>
          </w:rPr>
        </w:r>
        <w:r w:rsidR="00E54C34">
          <w:rPr>
            <w:noProof/>
            <w:webHidden/>
          </w:rPr>
          <w:fldChar w:fldCharType="separate"/>
        </w:r>
        <w:r w:rsidR="00E54C34">
          <w:rPr>
            <w:noProof/>
            <w:webHidden/>
          </w:rPr>
          <w:t>128</w:t>
        </w:r>
        <w:r w:rsidR="00E54C34">
          <w:rPr>
            <w:noProof/>
            <w:webHidden/>
          </w:rPr>
          <w:fldChar w:fldCharType="end"/>
        </w:r>
      </w:hyperlink>
    </w:p>
    <w:p w14:paraId="2C80AB50" w14:textId="2B03633F" w:rsidR="00E54C34" w:rsidRDefault="00C53097">
      <w:pPr>
        <w:pStyle w:val="TDC1"/>
        <w:tabs>
          <w:tab w:val="right" w:leader="dot" w:pos="8828"/>
        </w:tabs>
        <w:rPr>
          <w:rFonts w:asciiTheme="minorHAnsi" w:eastAsiaTheme="minorEastAsia" w:hAnsiTheme="minorHAnsi"/>
          <w:b w:val="0"/>
          <w:bCs w:val="0"/>
          <w:caps w:val="0"/>
          <w:noProof/>
          <w:sz w:val="22"/>
          <w:szCs w:val="22"/>
          <w:lang w:eastAsia="es-CR"/>
        </w:rPr>
      </w:pPr>
      <w:hyperlink w:anchor="_Toc189804826" w:history="1">
        <w:r w:rsidR="00E54C34" w:rsidRPr="00370E31">
          <w:rPr>
            <w:rStyle w:val="Hipervnculo"/>
            <w:rFonts w:eastAsia="Times New Roman"/>
            <w:noProof/>
          </w:rPr>
          <w:t>REVELACIONES PARTICULARES</w:t>
        </w:r>
        <w:r w:rsidR="00E54C34">
          <w:rPr>
            <w:noProof/>
            <w:webHidden/>
          </w:rPr>
          <w:tab/>
        </w:r>
        <w:r w:rsidR="00E54C34">
          <w:rPr>
            <w:noProof/>
            <w:webHidden/>
          </w:rPr>
          <w:fldChar w:fldCharType="begin"/>
        </w:r>
        <w:r w:rsidR="00E54C34">
          <w:rPr>
            <w:noProof/>
            <w:webHidden/>
          </w:rPr>
          <w:instrText xml:space="preserve"> PAGEREF _Toc189804826 \h </w:instrText>
        </w:r>
        <w:r w:rsidR="00E54C34">
          <w:rPr>
            <w:noProof/>
            <w:webHidden/>
          </w:rPr>
        </w:r>
        <w:r w:rsidR="00E54C34">
          <w:rPr>
            <w:noProof/>
            <w:webHidden/>
          </w:rPr>
          <w:fldChar w:fldCharType="separate"/>
        </w:r>
        <w:r w:rsidR="00E54C34">
          <w:rPr>
            <w:noProof/>
            <w:webHidden/>
          </w:rPr>
          <w:t>130</w:t>
        </w:r>
        <w:r w:rsidR="00E54C34">
          <w:rPr>
            <w:noProof/>
            <w:webHidden/>
          </w:rPr>
          <w:fldChar w:fldCharType="end"/>
        </w:r>
      </w:hyperlink>
    </w:p>
    <w:p w14:paraId="5F38F1B4" w14:textId="1653D1CA" w:rsidR="00E54C34" w:rsidRDefault="00C53097">
      <w:pPr>
        <w:pStyle w:val="TDC2"/>
        <w:tabs>
          <w:tab w:val="right" w:leader="dot" w:pos="8828"/>
        </w:tabs>
        <w:rPr>
          <w:rFonts w:eastAsiaTheme="minorEastAsia" w:cstheme="minorBidi"/>
          <w:b w:val="0"/>
          <w:bCs w:val="0"/>
          <w:noProof/>
          <w:sz w:val="22"/>
          <w:szCs w:val="22"/>
          <w:lang w:eastAsia="es-CR"/>
        </w:rPr>
      </w:pPr>
      <w:hyperlink w:anchor="_Toc189804827" w:history="1">
        <w:r w:rsidR="00E54C34" w:rsidRPr="00370E31">
          <w:rPr>
            <w:rStyle w:val="Hipervnculo"/>
            <w:noProof/>
          </w:rPr>
          <w:t>CERTIFICACIÓN AVANCE INFORMACIÓN PLAN GENERAL CONTABLE:</w:t>
        </w:r>
        <w:r w:rsidR="00E54C34">
          <w:rPr>
            <w:noProof/>
            <w:webHidden/>
          </w:rPr>
          <w:tab/>
        </w:r>
        <w:r w:rsidR="00E54C34">
          <w:rPr>
            <w:noProof/>
            <w:webHidden/>
          </w:rPr>
          <w:fldChar w:fldCharType="begin"/>
        </w:r>
        <w:r w:rsidR="00E54C34">
          <w:rPr>
            <w:noProof/>
            <w:webHidden/>
          </w:rPr>
          <w:instrText xml:space="preserve"> PAGEREF _Toc189804827 \h </w:instrText>
        </w:r>
        <w:r w:rsidR="00E54C34">
          <w:rPr>
            <w:noProof/>
            <w:webHidden/>
          </w:rPr>
        </w:r>
        <w:r w:rsidR="00E54C34">
          <w:rPr>
            <w:noProof/>
            <w:webHidden/>
          </w:rPr>
          <w:fldChar w:fldCharType="separate"/>
        </w:r>
        <w:r w:rsidR="00E54C34">
          <w:rPr>
            <w:noProof/>
            <w:webHidden/>
          </w:rPr>
          <w:t>138</w:t>
        </w:r>
        <w:r w:rsidR="00E54C34">
          <w:rPr>
            <w:noProof/>
            <w:webHidden/>
          </w:rPr>
          <w:fldChar w:fldCharType="end"/>
        </w:r>
      </w:hyperlink>
    </w:p>
    <w:p w14:paraId="269D77D5" w14:textId="11852FAB" w:rsidR="00E54C34" w:rsidRDefault="00C53097">
      <w:pPr>
        <w:pStyle w:val="TDC1"/>
        <w:tabs>
          <w:tab w:val="right" w:leader="dot" w:pos="8828"/>
        </w:tabs>
        <w:rPr>
          <w:rFonts w:asciiTheme="minorHAnsi" w:eastAsiaTheme="minorEastAsia" w:hAnsiTheme="minorHAnsi"/>
          <w:b w:val="0"/>
          <w:bCs w:val="0"/>
          <w:caps w:val="0"/>
          <w:noProof/>
          <w:sz w:val="22"/>
          <w:szCs w:val="22"/>
          <w:lang w:eastAsia="es-CR"/>
        </w:rPr>
      </w:pPr>
      <w:hyperlink w:anchor="_Toc189804828" w:history="1">
        <w:r w:rsidR="00E54C34" w:rsidRPr="00370E31">
          <w:rPr>
            <w:rStyle w:val="Hipervnculo"/>
            <w:rFonts w:eastAsia="Times New Roman"/>
            <w:noProof/>
          </w:rPr>
          <w:t>NOTAS COMPLEMENTARIAS</w:t>
        </w:r>
        <w:r w:rsidR="00E54C34">
          <w:rPr>
            <w:noProof/>
            <w:webHidden/>
          </w:rPr>
          <w:tab/>
        </w:r>
        <w:r w:rsidR="00E54C34">
          <w:rPr>
            <w:noProof/>
            <w:webHidden/>
          </w:rPr>
          <w:fldChar w:fldCharType="begin"/>
        </w:r>
        <w:r w:rsidR="00E54C34">
          <w:rPr>
            <w:noProof/>
            <w:webHidden/>
          </w:rPr>
          <w:instrText xml:space="preserve"> PAGEREF _Toc189804828 \h </w:instrText>
        </w:r>
        <w:r w:rsidR="00E54C34">
          <w:rPr>
            <w:noProof/>
            <w:webHidden/>
          </w:rPr>
        </w:r>
        <w:r w:rsidR="00E54C34">
          <w:rPr>
            <w:noProof/>
            <w:webHidden/>
          </w:rPr>
          <w:fldChar w:fldCharType="separate"/>
        </w:r>
        <w:r w:rsidR="00E54C34">
          <w:rPr>
            <w:noProof/>
            <w:webHidden/>
          </w:rPr>
          <w:t>138</w:t>
        </w:r>
        <w:r w:rsidR="00E54C34">
          <w:rPr>
            <w:noProof/>
            <w:webHidden/>
          </w:rPr>
          <w:fldChar w:fldCharType="end"/>
        </w:r>
      </w:hyperlink>
    </w:p>
    <w:p w14:paraId="020B005F" w14:textId="3B0F2A75" w:rsidR="00E54C34" w:rsidRDefault="00C53097">
      <w:pPr>
        <w:pStyle w:val="TDC1"/>
        <w:tabs>
          <w:tab w:val="right" w:leader="dot" w:pos="8828"/>
        </w:tabs>
        <w:rPr>
          <w:rFonts w:asciiTheme="minorHAnsi" w:eastAsiaTheme="minorEastAsia" w:hAnsiTheme="minorHAnsi"/>
          <w:b w:val="0"/>
          <w:bCs w:val="0"/>
          <w:caps w:val="0"/>
          <w:noProof/>
          <w:sz w:val="22"/>
          <w:szCs w:val="22"/>
          <w:lang w:eastAsia="es-CR"/>
        </w:rPr>
      </w:pPr>
      <w:hyperlink w:anchor="_Toc189804829" w:history="1">
        <w:r w:rsidR="00E54C34" w:rsidRPr="00370E31">
          <w:rPr>
            <w:rStyle w:val="Hipervnculo"/>
            <w:rFonts w:eastAsia="Times New Roman"/>
            <w:noProof/>
            <w:lang w:val="es-ES"/>
          </w:rPr>
          <w:t>NOTAS CONTABLES PARTIDAS A ESTADOS FINANCIEROS</w:t>
        </w:r>
        <w:r w:rsidR="00E54C34">
          <w:rPr>
            <w:noProof/>
            <w:webHidden/>
          </w:rPr>
          <w:tab/>
        </w:r>
        <w:r w:rsidR="00E54C34">
          <w:rPr>
            <w:noProof/>
            <w:webHidden/>
          </w:rPr>
          <w:fldChar w:fldCharType="begin"/>
        </w:r>
        <w:r w:rsidR="00E54C34">
          <w:rPr>
            <w:noProof/>
            <w:webHidden/>
          </w:rPr>
          <w:instrText xml:space="preserve"> PAGEREF _Toc189804829 \h </w:instrText>
        </w:r>
        <w:r w:rsidR="00E54C34">
          <w:rPr>
            <w:noProof/>
            <w:webHidden/>
          </w:rPr>
        </w:r>
        <w:r w:rsidR="00E54C34">
          <w:rPr>
            <w:noProof/>
            <w:webHidden/>
          </w:rPr>
          <w:fldChar w:fldCharType="separate"/>
        </w:r>
        <w:r w:rsidR="00E54C34">
          <w:rPr>
            <w:noProof/>
            <w:webHidden/>
          </w:rPr>
          <w:t>139</w:t>
        </w:r>
        <w:r w:rsidR="00E54C34">
          <w:rPr>
            <w:noProof/>
            <w:webHidden/>
          </w:rPr>
          <w:fldChar w:fldCharType="end"/>
        </w:r>
      </w:hyperlink>
    </w:p>
    <w:p w14:paraId="7B19F5C1" w14:textId="7F342BD2" w:rsidR="00E54C34" w:rsidRDefault="00C53097">
      <w:pPr>
        <w:pStyle w:val="TDC2"/>
        <w:tabs>
          <w:tab w:val="right" w:leader="dot" w:pos="8828"/>
        </w:tabs>
        <w:rPr>
          <w:rFonts w:eastAsiaTheme="minorEastAsia" w:cstheme="minorBidi"/>
          <w:b w:val="0"/>
          <w:bCs w:val="0"/>
          <w:noProof/>
          <w:sz w:val="22"/>
          <w:szCs w:val="22"/>
          <w:lang w:eastAsia="es-CR"/>
        </w:rPr>
      </w:pPr>
      <w:hyperlink w:anchor="_Toc189804830" w:history="1">
        <w:r w:rsidR="00E54C34" w:rsidRPr="00370E31">
          <w:rPr>
            <w:rStyle w:val="Hipervnculo"/>
            <w:rFonts w:eastAsia="Times New Roman"/>
            <w:noProof/>
          </w:rPr>
          <w:t>NOTAS ESTADO DE SITUACION FINANCIERA</w:t>
        </w:r>
        <w:r w:rsidR="00E54C34">
          <w:rPr>
            <w:noProof/>
            <w:webHidden/>
          </w:rPr>
          <w:tab/>
        </w:r>
        <w:r w:rsidR="00E54C34">
          <w:rPr>
            <w:noProof/>
            <w:webHidden/>
          </w:rPr>
          <w:fldChar w:fldCharType="begin"/>
        </w:r>
        <w:r w:rsidR="00E54C34">
          <w:rPr>
            <w:noProof/>
            <w:webHidden/>
          </w:rPr>
          <w:instrText xml:space="preserve"> PAGEREF _Toc189804830 \h </w:instrText>
        </w:r>
        <w:r w:rsidR="00E54C34">
          <w:rPr>
            <w:noProof/>
            <w:webHidden/>
          </w:rPr>
        </w:r>
        <w:r w:rsidR="00E54C34">
          <w:rPr>
            <w:noProof/>
            <w:webHidden/>
          </w:rPr>
          <w:fldChar w:fldCharType="separate"/>
        </w:r>
        <w:r w:rsidR="00E54C34">
          <w:rPr>
            <w:noProof/>
            <w:webHidden/>
          </w:rPr>
          <w:t>140</w:t>
        </w:r>
        <w:r w:rsidR="00E54C34">
          <w:rPr>
            <w:noProof/>
            <w:webHidden/>
          </w:rPr>
          <w:fldChar w:fldCharType="end"/>
        </w:r>
      </w:hyperlink>
    </w:p>
    <w:p w14:paraId="2DF5E4A1" w14:textId="29B8352B" w:rsidR="00E54C34" w:rsidRDefault="00C53097">
      <w:pPr>
        <w:pStyle w:val="TDC3"/>
        <w:tabs>
          <w:tab w:val="right" w:leader="dot" w:pos="8828"/>
        </w:tabs>
        <w:rPr>
          <w:rFonts w:eastAsiaTheme="minorEastAsia" w:cstheme="minorBidi"/>
          <w:noProof/>
          <w:sz w:val="22"/>
          <w:szCs w:val="22"/>
          <w:lang w:eastAsia="es-CR"/>
        </w:rPr>
      </w:pPr>
      <w:hyperlink w:anchor="_Toc189804831" w:history="1">
        <w:r w:rsidR="00E54C34" w:rsidRPr="00370E31">
          <w:rPr>
            <w:rStyle w:val="Hipervnculo"/>
            <w:rFonts w:eastAsia="Times New Roman"/>
            <w:noProof/>
            <w:lang w:eastAsia="es-CR"/>
          </w:rPr>
          <w:t>1.1. ACTIVO</w:t>
        </w:r>
        <w:r w:rsidR="00E54C34">
          <w:rPr>
            <w:noProof/>
            <w:webHidden/>
          </w:rPr>
          <w:tab/>
        </w:r>
        <w:r w:rsidR="00E54C34">
          <w:rPr>
            <w:noProof/>
            <w:webHidden/>
          </w:rPr>
          <w:fldChar w:fldCharType="begin"/>
        </w:r>
        <w:r w:rsidR="00E54C34">
          <w:rPr>
            <w:noProof/>
            <w:webHidden/>
          </w:rPr>
          <w:instrText xml:space="preserve"> PAGEREF _Toc189804831 \h </w:instrText>
        </w:r>
        <w:r w:rsidR="00E54C34">
          <w:rPr>
            <w:noProof/>
            <w:webHidden/>
          </w:rPr>
        </w:r>
        <w:r w:rsidR="00E54C34">
          <w:rPr>
            <w:noProof/>
            <w:webHidden/>
          </w:rPr>
          <w:fldChar w:fldCharType="separate"/>
        </w:r>
        <w:r w:rsidR="00E54C34">
          <w:rPr>
            <w:noProof/>
            <w:webHidden/>
          </w:rPr>
          <w:t>140</w:t>
        </w:r>
        <w:r w:rsidR="00E54C34">
          <w:rPr>
            <w:noProof/>
            <w:webHidden/>
          </w:rPr>
          <w:fldChar w:fldCharType="end"/>
        </w:r>
      </w:hyperlink>
    </w:p>
    <w:p w14:paraId="4D50B41A" w14:textId="144F367D" w:rsidR="00E54C34" w:rsidRDefault="00C53097">
      <w:pPr>
        <w:pStyle w:val="TDC3"/>
        <w:tabs>
          <w:tab w:val="right" w:leader="dot" w:pos="8828"/>
        </w:tabs>
        <w:rPr>
          <w:rFonts w:eastAsiaTheme="minorEastAsia" w:cstheme="minorBidi"/>
          <w:noProof/>
          <w:sz w:val="22"/>
          <w:szCs w:val="22"/>
          <w:lang w:eastAsia="es-CR"/>
        </w:rPr>
      </w:pPr>
      <w:hyperlink w:anchor="_Toc189804832" w:history="1">
        <w:r w:rsidR="00E54C34" w:rsidRPr="00370E31">
          <w:rPr>
            <w:rStyle w:val="Hipervnculo"/>
            <w:rFonts w:eastAsia="Calibri"/>
            <w:noProof/>
            <w:lang w:eastAsia="es-CR"/>
          </w:rPr>
          <w:t>1.1 ACTIVO CORRIENTE</w:t>
        </w:r>
        <w:r w:rsidR="00E54C34">
          <w:rPr>
            <w:noProof/>
            <w:webHidden/>
          </w:rPr>
          <w:tab/>
        </w:r>
        <w:r w:rsidR="00E54C34">
          <w:rPr>
            <w:noProof/>
            <w:webHidden/>
          </w:rPr>
          <w:fldChar w:fldCharType="begin"/>
        </w:r>
        <w:r w:rsidR="00E54C34">
          <w:rPr>
            <w:noProof/>
            <w:webHidden/>
          </w:rPr>
          <w:instrText xml:space="preserve"> PAGEREF _Toc189804832 \h </w:instrText>
        </w:r>
        <w:r w:rsidR="00E54C34">
          <w:rPr>
            <w:noProof/>
            <w:webHidden/>
          </w:rPr>
        </w:r>
        <w:r w:rsidR="00E54C34">
          <w:rPr>
            <w:noProof/>
            <w:webHidden/>
          </w:rPr>
          <w:fldChar w:fldCharType="separate"/>
        </w:r>
        <w:r w:rsidR="00E54C34">
          <w:rPr>
            <w:noProof/>
            <w:webHidden/>
          </w:rPr>
          <w:t>140</w:t>
        </w:r>
        <w:r w:rsidR="00E54C34">
          <w:rPr>
            <w:noProof/>
            <w:webHidden/>
          </w:rPr>
          <w:fldChar w:fldCharType="end"/>
        </w:r>
      </w:hyperlink>
    </w:p>
    <w:p w14:paraId="2C1A2B74" w14:textId="40791853" w:rsidR="00E54C34" w:rsidRDefault="00C53097">
      <w:pPr>
        <w:pStyle w:val="TDC4"/>
        <w:tabs>
          <w:tab w:val="right" w:leader="dot" w:pos="8828"/>
        </w:tabs>
        <w:rPr>
          <w:rFonts w:eastAsiaTheme="minorEastAsia" w:cstheme="minorBidi"/>
          <w:noProof/>
          <w:sz w:val="22"/>
          <w:szCs w:val="22"/>
          <w:lang w:eastAsia="es-CR"/>
        </w:rPr>
      </w:pPr>
      <w:hyperlink w:anchor="_Toc189804833" w:history="1">
        <w:r w:rsidR="00E54C34" w:rsidRPr="00370E31">
          <w:rPr>
            <w:rStyle w:val="Hipervnculo"/>
            <w:rFonts w:eastAsia="Times New Roman"/>
            <w:noProof/>
            <w:lang w:eastAsia="es-CR"/>
          </w:rPr>
          <w:t>NOTA N° 3</w:t>
        </w:r>
        <w:r w:rsidR="00E54C34">
          <w:rPr>
            <w:noProof/>
            <w:webHidden/>
          </w:rPr>
          <w:tab/>
        </w:r>
        <w:r w:rsidR="00E54C34">
          <w:rPr>
            <w:noProof/>
            <w:webHidden/>
          </w:rPr>
          <w:fldChar w:fldCharType="begin"/>
        </w:r>
        <w:r w:rsidR="00E54C34">
          <w:rPr>
            <w:noProof/>
            <w:webHidden/>
          </w:rPr>
          <w:instrText xml:space="preserve"> PAGEREF _Toc189804833 \h </w:instrText>
        </w:r>
        <w:r w:rsidR="00E54C34">
          <w:rPr>
            <w:noProof/>
            <w:webHidden/>
          </w:rPr>
        </w:r>
        <w:r w:rsidR="00E54C34">
          <w:rPr>
            <w:noProof/>
            <w:webHidden/>
          </w:rPr>
          <w:fldChar w:fldCharType="separate"/>
        </w:r>
        <w:r w:rsidR="00E54C34">
          <w:rPr>
            <w:noProof/>
            <w:webHidden/>
          </w:rPr>
          <w:t>140</w:t>
        </w:r>
        <w:r w:rsidR="00E54C34">
          <w:rPr>
            <w:noProof/>
            <w:webHidden/>
          </w:rPr>
          <w:fldChar w:fldCharType="end"/>
        </w:r>
      </w:hyperlink>
    </w:p>
    <w:p w14:paraId="0301CB19" w14:textId="51C261E8" w:rsidR="00E54C34" w:rsidRDefault="00C53097">
      <w:pPr>
        <w:pStyle w:val="TDC4"/>
        <w:tabs>
          <w:tab w:val="right" w:leader="dot" w:pos="8828"/>
        </w:tabs>
        <w:rPr>
          <w:rFonts w:eastAsiaTheme="minorEastAsia" w:cstheme="minorBidi"/>
          <w:noProof/>
          <w:sz w:val="22"/>
          <w:szCs w:val="22"/>
          <w:lang w:eastAsia="es-CR"/>
        </w:rPr>
      </w:pPr>
      <w:hyperlink w:anchor="_Toc189804834" w:history="1">
        <w:r w:rsidR="00E54C34" w:rsidRPr="00370E31">
          <w:rPr>
            <w:rStyle w:val="Hipervnculo"/>
            <w:rFonts w:eastAsia="Times New Roman"/>
            <w:noProof/>
            <w:lang w:eastAsia="es-CR"/>
          </w:rPr>
          <w:t>NOTA N° 4</w:t>
        </w:r>
        <w:r w:rsidR="00E54C34">
          <w:rPr>
            <w:noProof/>
            <w:webHidden/>
          </w:rPr>
          <w:tab/>
        </w:r>
        <w:r w:rsidR="00E54C34">
          <w:rPr>
            <w:noProof/>
            <w:webHidden/>
          </w:rPr>
          <w:fldChar w:fldCharType="begin"/>
        </w:r>
        <w:r w:rsidR="00E54C34">
          <w:rPr>
            <w:noProof/>
            <w:webHidden/>
          </w:rPr>
          <w:instrText xml:space="preserve"> PAGEREF _Toc189804834 \h </w:instrText>
        </w:r>
        <w:r w:rsidR="00E54C34">
          <w:rPr>
            <w:noProof/>
            <w:webHidden/>
          </w:rPr>
        </w:r>
        <w:r w:rsidR="00E54C34">
          <w:rPr>
            <w:noProof/>
            <w:webHidden/>
          </w:rPr>
          <w:fldChar w:fldCharType="separate"/>
        </w:r>
        <w:r w:rsidR="00E54C34">
          <w:rPr>
            <w:noProof/>
            <w:webHidden/>
          </w:rPr>
          <w:t>144</w:t>
        </w:r>
        <w:r w:rsidR="00E54C34">
          <w:rPr>
            <w:noProof/>
            <w:webHidden/>
          </w:rPr>
          <w:fldChar w:fldCharType="end"/>
        </w:r>
      </w:hyperlink>
    </w:p>
    <w:p w14:paraId="76D93C45" w14:textId="43F6FCC6" w:rsidR="00E54C34" w:rsidRDefault="00C53097">
      <w:pPr>
        <w:pStyle w:val="TDC4"/>
        <w:tabs>
          <w:tab w:val="right" w:leader="dot" w:pos="8828"/>
        </w:tabs>
        <w:rPr>
          <w:rFonts w:eastAsiaTheme="minorEastAsia" w:cstheme="minorBidi"/>
          <w:noProof/>
          <w:sz w:val="22"/>
          <w:szCs w:val="22"/>
          <w:lang w:eastAsia="es-CR"/>
        </w:rPr>
      </w:pPr>
      <w:hyperlink w:anchor="_Toc189804835" w:history="1">
        <w:r w:rsidR="00E54C34" w:rsidRPr="00370E31">
          <w:rPr>
            <w:rStyle w:val="Hipervnculo"/>
            <w:noProof/>
          </w:rPr>
          <w:t>NOTA N° 5</w:t>
        </w:r>
        <w:r w:rsidR="00E54C34">
          <w:rPr>
            <w:noProof/>
            <w:webHidden/>
          </w:rPr>
          <w:tab/>
        </w:r>
        <w:r w:rsidR="00E54C34">
          <w:rPr>
            <w:noProof/>
            <w:webHidden/>
          </w:rPr>
          <w:fldChar w:fldCharType="begin"/>
        </w:r>
        <w:r w:rsidR="00E54C34">
          <w:rPr>
            <w:noProof/>
            <w:webHidden/>
          </w:rPr>
          <w:instrText xml:space="preserve"> PAGEREF _Toc189804835 \h </w:instrText>
        </w:r>
        <w:r w:rsidR="00E54C34">
          <w:rPr>
            <w:noProof/>
            <w:webHidden/>
          </w:rPr>
        </w:r>
        <w:r w:rsidR="00E54C34">
          <w:rPr>
            <w:noProof/>
            <w:webHidden/>
          </w:rPr>
          <w:fldChar w:fldCharType="separate"/>
        </w:r>
        <w:r w:rsidR="00E54C34">
          <w:rPr>
            <w:noProof/>
            <w:webHidden/>
          </w:rPr>
          <w:t>144</w:t>
        </w:r>
        <w:r w:rsidR="00E54C34">
          <w:rPr>
            <w:noProof/>
            <w:webHidden/>
          </w:rPr>
          <w:fldChar w:fldCharType="end"/>
        </w:r>
      </w:hyperlink>
    </w:p>
    <w:p w14:paraId="06EA1A22" w14:textId="2702E7DA" w:rsidR="00E54C34" w:rsidRDefault="00C53097">
      <w:pPr>
        <w:pStyle w:val="TDC4"/>
        <w:tabs>
          <w:tab w:val="right" w:leader="dot" w:pos="8828"/>
        </w:tabs>
        <w:rPr>
          <w:rFonts w:eastAsiaTheme="minorEastAsia" w:cstheme="minorBidi"/>
          <w:noProof/>
          <w:sz w:val="22"/>
          <w:szCs w:val="22"/>
          <w:lang w:eastAsia="es-CR"/>
        </w:rPr>
      </w:pPr>
      <w:hyperlink w:anchor="_Toc189804836" w:history="1">
        <w:r w:rsidR="00E54C34" w:rsidRPr="00370E31">
          <w:rPr>
            <w:rStyle w:val="Hipervnculo"/>
            <w:rFonts w:eastAsia="Times New Roman"/>
            <w:noProof/>
            <w:lang w:eastAsia="es-CR"/>
          </w:rPr>
          <w:t>NOTA N° 6</w:t>
        </w:r>
        <w:r w:rsidR="00E54C34">
          <w:rPr>
            <w:noProof/>
            <w:webHidden/>
          </w:rPr>
          <w:tab/>
        </w:r>
        <w:r w:rsidR="00E54C34">
          <w:rPr>
            <w:noProof/>
            <w:webHidden/>
          </w:rPr>
          <w:fldChar w:fldCharType="begin"/>
        </w:r>
        <w:r w:rsidR="00E54C34">
          <w:rPr>
            <w:noProof/>
            <w:webHidden/>
          </w:rPr>
          <w:instrText xml:space="preserve"> PAGEREF _Toc189804836 \h </w:instrText>
        </w:r>
        <w:r w:rsidR="00E54C34">
          <w:rPr>
            <w:noProof/>
            <w:webHidden/>
          </w:rPr>
        </w:r>
        <w:r w:rsidR="00E54C34">
          <w:rPr>
            <w:noProof/>
            <w:webHidden/>
          </w:rPr>
          <w:fldChar w:fldCharType="separate"/>
        </w:r>
        <w:r w:rsidR="00E54C34">
          <w:rPr>
            <w:noProof/>
            <w:webHidden/>
          </w:rPr>
          <w:t>148</w:t>
        </w:r>
        <w:r w:rsidR="00E54C34">
          <w:rPr>
            <w:noProof/>
            <w:webHidden/>
          </w:rPr>
          <w:fldChar w:fldCharType="end"/>
        </w:r>
      </w:hyperlink>
    </w:p>
    <w:p w14:paraId="5DF94684" w14:textId="372EC054" w:rsidR="00E54C34" w:rsidRDefault="00C53097">
      <w:pPr>
        <w:pStyle w:val="TDC4"/>
        <w:tabs>
          <w:tab w:val="right" w:leader="dot" w:pos="8828"/>
        </w:tabs>
        <w:rPr>
          <w:rFonts w:eastAsiaTheme="minorEastAsia" w:cstheme="minorBidi"/>
          <w:noProof/>
          <w:sz w:val="22"/>
          <w:szCs w:val="22"/>
          <w:lang w:eastAsia="es-CR"/>
        </w:rPr>
      </w:pPr>
      <w:hyperlink w:anchor="_Toc189804837" w:history="1">
        <w:r w:rsidR="00E54C34" w:rsidRPr="00370E31">
          <w:rPr>
            <w:rStyle w:val="Hipervnculo"/>
            <w:rFonts w:eastAsia="Times New Roman"/>
            <w:noProof/>
          </w:rPr>
          <w:t>NOTA N° 7</w:t>
        </w:r>
        <w:r w:rsidR="00E54C34">
          <w:rPr>
            <w:noProof/>
            <w:webHidden/>
          </w:rPr>
          <w:tab/>
        </w:r>
        <w:r w:rsidR="00E54C34">
          <w:rPr>
            <w:noProof/>
            <w:webHidden/>
          </w:rPr>
          <w:fldChar w:fldCharType="begin"/>
        </w:r>
        <w:r w:rsidR="00E54C34">
          <w:rPr>
            <w:noProof/>
            <w:webHidden/>
          </w:rPr>
          <w:instrText xml:space="preserve"> PAGEREF _Toc189804837 \h </w:instrText>
        </w:r>
        <w:r w:rsidR="00E54C34">
          <w:rPr>
            <w:noProof/>
            <w:webHidden/>
          </w:rPr>
        </w:r>
        <w:r w:rsidR="00E54C34">
          <w:rPr>
            <w:noProof/>
            <w:webHidden/>
          </w:rPr>
          <w:fldChar w:fldCharType="separate"/>
        </w:r>
        <w:r w:rsidR="00E54C34">
          <w:rPr>
            <w:noProof/>
            <w:webHidden/>
          </w:rPr>
          <w:t>152</w:t>
        </w:r>
        <w:r w:rsidR="00E54C34">
          <w:rPr>
            <w:noProof/>
            <w:webHidden/>
          </w:rPr>
          <w:fldChar w:fldCharType="end"/>
        </w:r>
      </w:hyperlink>
    </w:p>
    <w:p w14:paraId="3F1330B0" w14:textId="35B714BB" w:rsidR="00E54C34" w:rsidRDefault="00C53097">
      <w:pPr>
        <w:pStyle w:val="TDC3"/>
        <w:tabs>
          <w:tab w:val="right" w:leader="dot" w:pos="8828"/>
        </w:tabs>
        <w:rPr>
          <w:rFonts w:eastAsiaTheme="minorEastAsia" w:cstheme="minorBidi"/>
          <w:noProof/>
          <w:sz w:val="22"/>
          <w:szCs w:val="22"/>
          <w:lang w:eastAsia="es-CR"/>
        </w:rPr>
      </w:pPr>
      <w:hyperlink w:anchor="_Toc189804838" w:history="1">
        <w:r w:rsidR="00E54C34" w:rsidRPr="00370E31">
          <w:rPr>
            <w:rStyle w:val="Hipervnculo"/>
            <w:rFonts w:eastAsia="Calibri"/>
            <w:noProof/>
            <w:lang w:eastAsia="es-CR"/>
          </w:rPr>
          <w:t>1.2 ACTIVO NO CORRIENTE</w:t>
        </w:r>
        <w:r w:rsidR="00E54C34">
          <w:rPr>
            <w:noProof/>
            <w:webHidden/>
          </w:rPr>
          <w:tab/>
        </w:r>
        <w:r w:rsidR="00E54C34">
          <w:rPr>
            <w:noProof/>
            <w:webHidden/>
          </w:rPr>
          <w:fldChar w:fldCharType="begin"/>
        </w:r>
        <w:r w:rsidR="00E54C34">
          <w:rPr>
            <w:noProof/>
            <w:webHidden/>
          </w:rPr>
          <w:instrText xml:space="preserve"> PAGEREF _Toc189804838 \h </w:instrText>
        </w:r>
        <w:r w:rsidR="00E54C34">
          <w:rPr>
            <w:noProof/>
            <w:webHidden/>
          </w:rPr>
        </w:r>
        <w:r w:rsidR="00E54C34">
          <w:rPr>
            <w:noProof/>
            <w:webHidden/>
          </w:rPr>
          <w:fldChar w:fldCharType="separate"/>
        </w:r>
        <w:r w:rsidR="00E54C34">
          <w:rPr>
            <w:noProof/>
            <w:webHidden/>
          </w:rPr>
          <w:t>153</w:t>
        </w:r>
        <w:r w:rsidR="00E54C34">
          <w:rPr>
            <w:noProof/>
            <w:webHidden/>
          </w:rPr>
          <w:fldChar w:fldCharType="end"/>
        </w:r>
      </w:hyperlink>
    </w:p>
    <w:p w14:paraId="5E3F97A4" w14:textId="302E696E" w:rsidR="00E54C34" w:rsidRDefault="00C53097">
      <w:pPr>
        <w:pStyle w:val="TDC4"/>
        <w:tabs>
          <w:tab w:val="right" w:leader="dot" w:pos="8828"/>
        </w:tabs>
        <w:rPr>
          <w:rFonts w:eastAsiaTheme="minorEastAsia" w:cstheme="minorBidi"/>
          <w:noProof/>
          <w:sz w:val="22"/>
          <w:szCs w:val="22"/>
          <w:lang w:eastAsia="es-CR"/>
        </w:rPr>
      </w:pPr>
      <w:hyperlink w:anchor="_Toc189804839" w:history="1">
        <w:r w:rsidR="00E54C34" w:rsidRPr="00370E31">
          <w:rPr>
            <w:rStyle w:val="Hipervnculo"/>
            <w:rFonts w:eastAsia="Times New Roman"/>
            <w:noProof/>
          </w:rPr>
          <w:t>NOTA N° 8</w:t>
        </w:r>
        <w:r w:rsidR="00E54C34">
          <w:rPr>
            <w:noProof/>
            <w:webHidden/>
          </w:rPr>
          <w:tab/>
        </w:r>
        <w:r w:rsidR="00E54C34">
          <w:rPr>
            <w:noProof/>
            <w:webHidden/>
          </w:rPr>
          <w:fldChar w:fldCharType="begin"/>
        </w:r>
        <w:r w:rsidR="00E54C34">
          <w:rPr>
            <w:noProof/>
            <w:webHidden/>
          </w:rPr>
          <w:instrText xml:space="preserve"> PAGEREF _Toc189804839 \h </w:instrText>
        </w:r>
        <w:r w:rsidR="00E54C34">
          <w:rPr>
            <w:noProof/>
            <w:webHidden/>
          </w:rPr>
        </w:r>
        <w:r w:rsidR="00E54C34">
          <w:rPr>
            <w:noProof/>
            <w:webHidden/>
          </w:rPr>
          <w:fldChar w:fldCharType="separate"/>
        </w:r>
        <w:r w:rsidR="00E54C34">
          <w:rPr>
            <w:noProof/>
            <w:webHidden/>
          </w:rPr>
          <w:t>153</w:t>
        </w:r>
        <w:r w:rsidR="00E54C34">
          <w:rPr>
            <w:noProof/>
            <w:webHidden/>
          </w:rPr>
          <w:fldChar w:fldCharType="end"/>
        </w:r>
      </w:hyperlink>
    </w:p>
    <w:p w14:paraId="48A96843" w14:textId="43B174B5" w:rsidR="00E54C34" w:rsidRDefault="00C53097">
      <w:pPr>
        <w:pStyle w:val="TDC4"/>
        <w:tabs>
          <w:tab w:val="right" w:leader="dot" w:pos="8828"/>
        </w:tabs>
        <w:rPr>
          <w:rFonts w:eastAsiaTheme="minorEastAsia" w:cstheme="minorBidi"/>
          <w:noProof/>
          <w:sz w:val="22"/>
          <w:szCs w:val="22"/>
          <w:lang w:eastAsia="es-CR"/>
        </w:rPr>
      </w:pPr>
      <w:hyperlink w:anchor="_Toc189804840" w:history="1">
        <w:r w:rsidR="00E54C34" w:rsidRPr="00370E31">
          <w:rPr>
            <w:rStyle w:val="Hipervnculo"/>
            <w:rFonts w:eastAsia="Times New Roman" w:cs="Times New Roman"/>
            <w:bCs/>
            <w:noProof/>
          </w:rPr>
          <w:t>NOTA N° 9</w:t>
        </w:r>
        <w:r w:rsidR="00E54C34">
          <w:rPr>
            <w:noProof/>
            <w:webHidden/>
          </w:rPr>
          <w:tab/>
        </w:r>
        <w:r w:rsidR="00E54C34">
          <w:rPr>
            <w:noProof/>
            <w:webHidden/>
          </w:rPr>
          <w:fldChar w:fldCharType="begin"/>
        </w:r>
        <w:r w:rsidR="00E54C34">
          <w:rPr>
            <w:noProof/>
            <w:webHidden/>
          </w:rPr>
          <w:instrText xml:space="preserve"> PAGEREF _Toc189804840 \h </w:instrText>
        </w:r>
        <w:r w:rsidR="00E54C34">
          <w:rPr>
            <w:noProof/>
            <w:webHidden/>
          </w:rPr>
        </w:r>
        <w:r w:rsidR="00E54C34">
          <w:rPr>
            <w:noProof/>
            <w:webHidden/>
          </w:rPr>
          <w:fldChar w:fldCharType="separate"/>
        </w:r>
        <w:r w:rsidR="00E54C34">
          <w:rPr>
            <w:noProof/>
            <w:webHidden/>
          </w:rPr>
          <w:t>154</w:t>
        </w:r>
        <w:r w:rsidR="00E54C34">
          <w:rPr>
            <w:noProof/>
            <w:webHidden/>
          </w:rPr>
          <w:fldChar w:fldCharType="end"/>
        </w:r>
      </w:hyperlink>
    </w:p>
    <w:p w14:paraId="2611AB95" w14:textId="2C3F351E" w:rsidR="00E54C34" w:rsidRDefault="00C53097">
      <w:pPr>
        <w:pStyle w:val="TDC4"/>
        <w:tabs>
          <w:tab w:val="right" w:leader="dot" w:pos="8828"/>
        </w:tabs>
        <w:rPr>
          <w:rFonts w:eastAsiaTheme="minorEastAsia" w:cstheme="minorBidi"/>
          <w:noProof/>
          <w:sz w:val="22"/>
          <w:szCs w:val="22"/>
          <w:lang w:eastAsia="es-CR"/>
        </w:rPr>
      </w:pPr>
      <w:hyperlink w:anchor="_Toc189804841" w:history="1">
        <w:r w:rsidR="00E54C34" w:rsidRPr="00370E31">
          <w:rPr>
            <w:rStyle w:val="Hipervnculo"/>
            <w:rFonts w:eastAsia="Times New Roman"/>
            <w:noProof/>
          </w:rPr>
          <w:t>NOTA N° 10</w:t>
        </w:r>
        <w:r w:rsidR="00E54C34">
          <w:rPr>
            <w:noProof/>
            <w:webHidden/>
          </w:rPr>
          <w:tab/>
        </w:r>
        <w:r w:rsidR="00E54C34">
          <w:rPr>
            <w:noProof/>
            <w:webHidden/>
          </w:rPr>
          <w:fldChar w:fldCharType="begin"/>
        </w:r>
        <w:r w:rsidR="00E54C34">
          <w:rPr>
            <w:noProof/>
            <w:webHidden/>
          </w:rPr>
          <w:instrText xml:space="preserve"> PAGEREF _Toc189804841 \h </w:instrText>
        </w:r>
        <w:r w:rsidR="00E54C34">
          <w:rPr>
            <w:noProof/>
            <w:webHidden/>
          </w:rPr>
        </w:r>
        <w:r w:rsidR="00E54C34">
          <w:rPr>
            <w:noProof/>
            <w:webHidden/>
          </w:rPr>
          <w:fldChar w:fldCharType="separate"/>
        </w:r>
        <w:r w:rsidR="00E54C34">
          <w:rPr>
            <w:noProof/>
            <w:webHidden/>
          </w:rPr>
          <w:t>154</w:t>
        </w:r>
        <w:r w:rsidR="00E54C34">
          <w:rPr>
            <w:noProof/>
            <w:webHidden/>
          </w:rPr>
          <w:fldChar w:fldCharType="end"/>
        </w:r>
      </w:hyperlink>
    </w:p>
    <w:p w14:paraId="0EF0336C" w14:textId="52548314" w:rsidR="00E54C34" w:rsidRDefault="00C53097">
      <w:pPr>
        <w:pStyle w:val="TDC4"/>
        <w:tabs>
          <w:tab w:val="right" w:leader="dot" w:pos="8828"/>
        </w:tabs>
        <w:rPr>
          <w:rFonts w:eastAsiaTheme="minorEastAsia" w:cstheme="minorBidi"/>
          <w:noProof/>
          <w:sz w:val="22"/>
          <w:szCs w:val="22"/>
          <w:lang w:eastAsia="es-CR"/>
        </w:rPr>
      </w:pPr>
      <w:hyperlink w:anchor="_Toc189804842" w:history="1">
        <w:r w:rsidR="00E54C34" w:rsidRPr="00370E31">
          <w:rPr>
            <w:rStyle w:val="Hipervnculo"/>
            <w:rFonts w:eastAsia="Times New Roman"/>
            <w:noProof/>
          </w:rPr>
          <w:t>NOTA N° 11</w:t>
        </w:r>
        <w:r w:rsidR="00E54C34">
          <w:rPr>
            <w:noProof/>
            <w:webHidden/>
          </w:rPr>
          <w:tab/>
        </w:r>
        <w:r w:rsidR="00E54C34">
          <w:rPr>
            <w:noProof/>
            <w:webHidden/>
          </w:rPr>
          <w:fldChar w:fldCharType="begin"/>
        </w:r>
        <w:r w:rsidR="00E54C34">
          <w:rPr>
            <w:noProof/>
            <w:webHidden/>
          </w:rPr>
          <w:instrText xml:space="preserve"> PAGEREF _Toc189804842 \h </w:instrText>
        </w:r>
        <w:r w:rsidR="00E54C34">
          <w:rPr>
            <w:noProof/>
            <w:webHidden/>
          </w:rPr>
        </w:r>
        <w:r w:rsidR="00E54C34">
          <w:rPr>
            <w:noProof/>
            <w:webHidden/>
          </w:rPr>
          <w:fldChar w:fldCharType="separate"/>
        </w:r>
        <w:r w:rsidR="00E54C34">
          <w:rPr>
            <w:noProof/>
            <w:webHidden/>
          </w:rPr>
          <w:t>169</w:t>
        </w:r>
        <w:r w:rsidR="00E54C34">
          <w:rPr>
            <w:noProof/>
            <w:webHidden/>
          </w:rPr>
          <w:fldChar w:fldCharType="end"/>
        </w:r>
      </w:hyperlink>
    </w:p>
    <w:p w14:paraId="2FF163DE" w14:textId="6AC8EECF" w:rsidR="00E54C34" w:rsidRDefault="00C53097">
      <w:pPr>
        <w:pStyle w:val="TDC4"/>
        <w:tabs>
          <w:tab w:val="right" w:leader="dot" w:pos="8828"/>
        </w:tabs>
        <w:rPr>
          <w:rFonts w:eastAsiaTheme="minorEastAsia" w:cstheme="minorBidi"/>
          <w:noProof/>
          <w:sz w:val="22"/>
          <w:szCs w:val="22"/>
          <w:lang w:eastAsia="es-CR"/>
        </w:rPr>
      </w:pPr>
      <w:hyperlink w:anchor="_Toc189804843" w:history="1">
        <w:r w:rsidR="00E54C34" w:rsidRPr="00370E31">
          <w:rPr>
            <w:rStyle w:val="Hipervnculo"/>
            <w:rFonts w:eastAsia="Times New Roman"/>
            <w:noProof/>
          </w:rPr>
          <w:t>NOTA N° 12</w:t>
        </w:r>
        <w:r w:rsidR="00E54C34">
          <w:rPr>
            <w:noProof/>
            <w:webHidden/>
          </w:rPr>
          <w:tab/>
        </w:r>
        <w:r w:rsidR="00E54C34">
          <w:rPr>
            <w:noProof/>
            <w:webHidden/>
          </w:rPr>
          <w:fldChar w:fldCharType="begin"/>
        </w:r>
        <w:r w:rsidR="00E54C34">
          <w:rPr>
            <w:noProof/>
            <w:webHidden/>
          </w:rPr>
          <w:instrText xml:space="preserve"> PAGEREF _Toc189804843 \h </w:instrText>
        </w:r>
        <w:r w:rsidR="00E54C34">
          <w:rPr>
            <w:noProof/>
            <w:webHidden/>
          </w:rPr>
        </w:r>
        <w:r w:rsidR="00E54C34">
          <w:rPr>
            <w:noProof/>
            <w:webHidden/>
          </w:rPr>
          <w:fldChar w:fldCharType="separate"/>
        </w:r>
        <w:r w:rsidR="00E54C34">
          <w:rPr>
            <w:noProof/>
            <w:webHidden/>
          </w:rPr>
          <w:t>172</w:t>
        </w:r>
        <w:r w:rsidR="00E54C34">
          <w:rPr>
            <w:noProof/>
            <w:webHidden/>
          </w:rPr>
          <w:fldChar w:fldCharType="end"/>
        </w:r>
      </w:hyperlink>
    </w:p>
    <w:p w14:paraId="5A9106E0" w14:textId="7BDE37B1" w:rsidR="00E54C34" w:rsidRDefault="00C53097">
      <w:pPr>
        <w:pStyle w:val="TDC4"/>
        <w:tabs>
          <w:tab w:val="right" w:leader="dot" w:pos="8828"/>
        </w:tabs>
        <w:rPr>
          <w:rFonts w:eastAsiaTheme="minorEastAsia" w:cstheme="minorBidi"/>
          <w:noProof/>
          <w:sz w:val="22"/>
          <w:szCs w:val="22"/>
          <w:lang w:eastAsia="es-CR"/>
        </w:rPr>
      </w:pPr>
      <w:hyperlink w:anchor="_Toc189804844" w:history="1">
        <w:r w:rsidR="00E54C34" w:rsidRPr="00370E31">
          <w:rPr>
            <w:rStyle w:val="Hipervnculo"/>
            <w:rFonts w:eastAsia="Times New Roman"/>
            <w:noProof/>
          </w:rPr>
          <w:t>NOTA N° 13</w:t>
        </w:r>
        <w:r w:rsidR="00E54C34">
          <w:rPr>
            <w:noProof/>
            <w:webHidden/>
          </w:rPr>
          <w:tab/>
        </w:r>
        <w:r w:rsidR="00E54C34">
          <w:rPr>
            <w:noProof/>
            <w:webHidden/>
          </w:rPr>
          <w:fldChar w:fldCharType="begin"/>
        </w:r>
        <w:r w:rsidR="00E54C34">
          <w:rPr>
            <w:noProof/>
            <w:webHidden/>
          </w:rPr>
          <w:instrText xml:space="preserve"> PAGEREF _Toc189804844 \h </w:instrText>
        </w:r>
        <w:r w:rsidR="00E54C34">
          <w:rPr>
            <w:noProof/>
            <w:webHidden/>
          </w:rPr>
        </w:r>
        <w:r w:rsidR="00E54C34">
          <w:rPr>
            <w:noProof/>
            <w:webHidden/>
          </w:rPr>
          <w:fldChar w:fldCharType="separate"/>
        </w:r>
        <w:r w:rsidR="00E54C34">
          <w:rPr>
            <w:noProof/>
            <w:webHidden/>
          </w:rPr>
          <w:t>172</w:t>
        </w:r>
        <w:r w:rsidR="00E54C34">
          <w:rPr>
            <w:noProof/>
            <w:webHidden/>
          </w:rPr>
          <w:fldChar w:fldCharType="end"/>
        </w:r>
      </w:hyperlink>
    </w:p>
    <w:p w14:paraId="08C1A74E" w14:textId="59B4A8EB" w:rsidR="00E54C34" w:rsidRDefault="00C53097">
      <w:pPr>
        <w:pStyle w:val="TDC3"/>
        <w:tabs>
          <w:tab w:val="right" w:leader="dot" w:pos="8828"/>
        </w:tabs>
        <w:rPr>
          <w:rFonts w:eastAsiaTheme="minorEastAsia" w:cstheme="minorBidi"/>
          <w:noProof/>
          <w:sz w:val="22"/>
          <w:szCs w:val="22"/>
          <w:lang w:eastAsia="es-CR"/>
        </w:rPr>
      </w:pPr>
      <w:hyperlink w:anchor="_Toc189804845" w:history="1">
        <w:r w:rsidR="00E54C34" w:rsidRPr="00370E31">
          <w:rPr>
            <w:rStyle w:val="Hipervnculo"/>
            <w:rFonts w:eastAsia="Times New Roman"/>
            <w:noProof/>
            <w:lang w:eastAsia="es-CR"/>
          </w:rPr>
          <w:t>2. PASIVO</w:t>
        </w:r>
        <w:r w:rsidR="00E54C34">
          <w:rPr>
            <w:noProof/>
            <w:webHidden/>
          </w:rPr>
          <w:tab/>
        </w:r>
        <w:r w:rsidR="00E54C34">
          <w:rPr>
            <w:noProof/>
            <w:webHidden/>
          </w:rPr>
          <w:fldChar w:fldCharType="begin"/>
        </w:r>
        <w:r w:rsidR="00E54C34">
          <w:rPr>
            <w:noProof/>
            <w:webHidden/>
          </w:rPr>
          <w:instrText xml:space="preserve"> PAGEREF _Toc189804845 \h </w:instrText>
        </w:r>
        <w:r w:rsidR="00E54C34">
          <w:rPr>
            <w:noProof/>
            <w:webHidden/>
          </w:rPr>
        </w:r>
        <w:r w:rsidR="00E54C34">
          <w:rPr>
            <w:noProof/>
            <w:webHidden/>
          </w:rPr>
          <w:fldChar w:fldCharType="separate"/>
        </w:r>
        <w:r w:rsidR="00E54C34">
          <w:rPr>
            <w:noProof/>
            <w:webHidden/>
          </w:rPr>
          <w:t>173</w:t>
        </w:r>
        <w:r w:rsidR="00E54C34">
          <w:rPr>
            <w:noProof/>
            <w:webHidden/>
          </w:rPr>
          <w:fldChar w:fldCharType="end"/>
        </w:r>
      </w:hyperlink>
    </w:p>
    <w:p w14:paraId="083C0C58" w14:textId="63F43BB5" w:rsidR="00E54C34" w:rsidRDefault="00C53097">
      <w:pPr>
        <w:pStyle w:val="TDC3"/>
        <w:tabs>
          <w:tab w:val="right" w:leader="dot" w:pos="8828"/>
        </w:tabs>
        <w:rPr>
          <w:rFonts w:eastAsiaTheme="minorEastAsia" w:cstheme="minorBidi"/>
          <w:noProof/>
          <w:sz w:val="22"/>
          <w:szCs w:val="22"/>
          <w:lang w:eastAsia="es-CR"/>
        </w:rPr>
      </w:pPr>
      <w:hyperlink w:anchor="_Toc189804846" w:history="1">
        <w:r w:rsidR="00E54C34" w:rsidRPr="00370E31">
          <w:rPr>
            <w:rStyle w:val="Hipervnculo"/>
            <w:rFonts w:eastAsia="Calibri"/>
            <w:noProof/>
            <w:lang w:eastAsia="es-CR"/>
          </w:rPr>
          <w:t>2.1 PASIVO CORRIENTE</w:t>
        </w:r>
        <w:r w:rsidR="00E54C34">
          <w:rPr>
            <w:noProof/>
            <w:webHidden/>
          </w:rPr>
          <w:tab/>
        </w:r>
        <w:r w:rsidR="00E54C34">
          <w:rPr>
            <w:noProof/>
            <w:webHidden/>
          </w:rPr>
          <w:fldChar w:fldCharType="begin"/>
        </w:r>
        <w:r w:rsidR="00E54C34">
          <w:rPr>
            <w:noProof/>
            <w:webHidden/>
          </w:rPr>
          <w:instrText xml:space="preserve"> PAGEREF _Toc189804846 \h </w:instrText>
        </w:r>
        <w:r w:rsidR="00E54C34">
          <w:rPr>
            <w:noProof/>
            <w:webHidden/>
          </w:rPr>
        </w:r>
        <w:r w:rsidR="00E54C34">
          <w:rPr>
            <w:noProof/>
            <w:webHidden/>
          </w:rPr>
          <w:fldChar w:fldCharType="separate"/>
        </w:r>
        <w:r w:rsidR="00E54C34">
          <w:rPr>
            <w:noProof/>
            <w:webHidden/>
          </w:rPr>
          <w:t>173</w:t>
        </w:r>
        <w:r w:rsidR="00E54C34">
          <w:rPr>
            <w:noProof/>
            <w:webHidden/>
          </w:rPr>
          <w:fldChar w:fldCharType="end"/>
        </w:r>
      </w:hyperlink>
    </w:p>
    <w:p w14:paraId="02B23782" w14:textId="1CE5CBD3" w:rsidR="00E54C34" w:rsidRDefault="00C53097">
      <w:pPr>
        <w:pStyle w:val="TDC4"/>
        <w:tabs>
          <w:tab w:val="right" w:leader="dot" w:pos="8828"/>
        </w:tabs>
        <w:rPr>
          <w:rFonts w:eastAsiaTheme="minorEastAsia" w:cstheme="minorBidi"/>
          <w:noProof/>
          <w:sz w:val="22"/>
          <w:szCs w:val="22"/>
          <w:lang w:eastAsia="es-CR"/>
        </w:rPr>
      </w:pPr>
      <w:hyperlink w:anchor="_Toc189804847" w:history="1">
        <w:r w:rsidR="00E54C34" w:rsidRPr="00370E31">
          <w:rPr>
            <w:rStyle w:val="Hipervnculo"/>
            <w:rFonts w:eastAsia="Times New Roman"/>
            <w:noProof/>
          </w:rPr>
          <w:t>NOTA N° 14</w:t>
        </w:r>
        <w:r w:rsidR="00E54C34">
          <w:rPr>
            <w:noProof/>
            <w:webHidden/>
          </w:rPr>
          <w:tab/>
        </w:r>
        <w:r w:rsidR="00E54C34">
          <w:rPr>
            <w:noProof/>
            <w:webHidden/>
          </w:rPr>
          <w:fldChar w:fldCharType="begin"/>
        </w:r>
        <w:r w:rsidR="00E54C34">
          <w:rPr>
            <w:noProof/>
            <w:webHidden/>
          </w:rPr>
          <w:instrText xml:space="preserve"> PAGEREF _Toc189804847 \h </w:instrText>
        </w:r>
        <w:r w:rsidR="00E54C34">
          <w:rPr>
            <w:noProof/>
            <w:webHidden/>
          </w:rPr>
        </w:r>
        <w:r w:rsidR="00E54C34">
          <w:rPr>
            <w:noProof/>
            <w:webHidden/>
          </w:rPr>
          <w:fldChar w:fldCharType="separate"/>
        </w:r>
        <w:r w:rsidR="00E54C34">
          <w:rPr>
            <w:noProof/>
            <w:webHidden/>
          </w:rPr>
          <w:t>173</w:t>
        </w:r>
        <w:r w:rsidR="00E54C34">
          <w:rPr>
            <w:noProof/>
            <w:webHidden/>
          </w:rPr>
          <w:fldChar w:fldCharType="end"/>
        </w:r>
      </w:hyperlink>
    </w:p>
    <w:p w14:paraId="0A0817CC" w14:textId="3D28A2D4" w:rsidR="00E54C34" w:rsidRDefault="00C53097">
      <w:pPr>
        <w:pStyle w:val="TDC4"/>
        <w:tabs>
          <w:tab w:val="right" w:leader="dot" w:pos="8828"/>
        </w:tabs>
        <w:rPr>
          <w:rFonts w:eastAsiaTheme="minorEastAsia" w:cstheme="minorBidi"/>
          <w:noProof/>
          <w:sz w:val="22"/>
          <w:szCs w:val="22"/>
          <w:lang w:eastAsia="es-CR"/>
        </w:rPr>
      </w:pPr>
      <w:hyperlink w:anchor="_Toc189804848" w:history="1">
        <w:r w:rsidR="00E54C34" w:rsidRPr="00370E31">
          <w:rPr>
            <w:rStyle w:val="Hipervnculo"/>
            <w:rFonts w:eastAsia="Times New Roman"/>
            <w:noProof/>
          </w:rPr>
          <w:t>NOTA N° 15</w:t>
        </w:r>
        <w:r w:rsidR="00E54C34">
          <w:rPr>
            <w:noProof/>
            <w:webHidden/>
          </w:rPr>
          <w:tab/>
        </w:r>
        <w:r w:rsidR="00E54C34">
          <w:rPr>
            <w:noProof/>
            <w:webHidden/>
          </w:rPr>
          <w:fldChar w:fldCharType="begin"/>
        </w:r>
        <w:r w:rsidR="00E54C34">
          <w:rPr>
            <w:noProof/>
            <w:webHidden/>
          </w:rPr>
          <w:instrText xml:space="preserve"> PAGEREF _Toc189804848 \h </w:instrText>
        </w:r>
        <w:r w:rsidR="00E54C34">
          <w:rPr>
            <w:noProof/>
            <w:webHidden/>
          </w:rPr>
        </w:r>
        <w:r w:rsidR="00E54C34">
          <w:rPr>
            <w:noProof/>
            <w:webHidden/>
          </w:rPr>
          <w:fldChar w:fldCharType="separate"/>
        </w:r>
        <w:r w:rsidR="00E54C34">
          <w:rPr>
            <w:noProof/>
            <w:webHidden/>
          </w:rPr>
          <w:t>177</w:t>
        </w:r>
        <w:r w:rsidR="00E54C34">
          <w:rPr>
            <w:noProof/>
            <w:webHidden/>
          </w:rPr>
          <w:fldChar w:fldCharType="end"/>
        </w:r>
      </w:hyperlink>
    </w:p>
    <w:p w14:paraId="7385AEF9" w14:textId="38D90F49" w:rsidR="00E54C34" w:rsidRDefault="00C53097">
      <w:pPr>
        <w:pStyle w:val="TDC4"/>
        <w:tabs>
          <w:tab w:val="right" w:leader="dot" w:pos="8828"/>
        </w:tabs>
        <w:rPr>
          <w:rFonts w:eastAsiaTheme="minorEastAsia" w:cstheme="minorBidi"/>
          <w:noProof/>
          <w:sz w:val="22"/>
          <w:szCs w:val="22"/>
          <w:lang w:eastAsia="es-CR"/>
        </w:rPr>
      </w:pPr>
      <w:hyperlink w:anchor="_Toc189804849" w:history="1">
        <w:r w:rsidR="00E54C34" w:rsidRPr="00370E31">
          <w:rPr>
            <w:rStyle w:val="Hipervnculo"/>
            <w:rFonts w:eastAsia="Times New Roman"/>
            <w:noProof/>
          </w:rPr>
          <w:t>NOTA N° 16</w:t>
        </w:r>
        <w:r w:rsidR="00E54C34">
          <w:rPr>
            <w:noProof/>
            <w:webHidden/>
          </w:rPr>
          <w:tab/>
        </w:r>
        <w:r w:rsidR="00E54C34">
          <w:rPr>
            <w:noProof/>
            <w:webHidden/>
          </w:rPr>
          <w:fldChar w:fldCharType="begin"/>
        </w:r>
        <w:r w:rsidR="00E54C34">
          <w:rPr>
            <w:noProof/>
            <w:webHidden/>
          </w:rPr>
          <w:instrText xml:space="preserve"> PAGEREF _Toc189804849 \h </w:instrText>
        </w:r>
        <w:r w:rsidR="00E54C34">
          <w:rPr>
            <w:noProof/>
            <w:webHidden/>
          </w:rPr>
        </w:r>
        <w:r w:rsidR="00E54C34">
          <w:rPr>
            <w:noProof/>
            <w:webHidden/>
          </w:rPr>
          <w:fldChar w:fldCharType="separate"/>
        </w:r>
        <w:r w:rsidR="00E54C34">
          <w:rPr>
            <w:noProof/>
            <w:webHidden/>
          </w:rPr>
          <w:t>179</w:t>
        </w:r>
        <w:r w:rsidR="00E54C34">
          <w:rPr>
            <w:noProof/>
            <w:webHidden/>
          </w:rPr>
          <w:fldChar w:fldCharType="end"/>
        </w:r>
      </w:hyperlink>
    </w:p>
    <w:p w14:paraId="6A966A53" w14:textId="52E4595F" w:rsidR="00E54C34" w:rsidRDefault="00C53097">
      <w:pPr>
        <w:pStyle w:val="TDC4"/>
        <w:tabs>
          <w:tab w:val="right" w:leader="dot" w:pos="8828"/>
        </w:tabs>
        <w:rPr>
          <w:rFonts w:eastAsiaTheme="minorEastAsia" w:cstheme="minorBidi"/>
          <w:noProof/>
          <w:sz w:val="22"/>
          <w:szCs w:val="22"/>
          <w:lang w:eastAsia="es-CR"/>
        </w:rPr>
      </w:pPr>
      <w:hyperlink w:anchor="_Toc189804850" w:history="1">
        <w:r w:rsidR="00E54C34" w:rsidRPr="00370E31">
          <w:rPr>
            <w:rStyle w:val="Hipervnculo"/>
            <w:rFonts w:eastAsia="Times New Roman"/>
            <w:noProof/>
          </w:rPr>
          <w:t>NOTA N° 17</w:t>
        </w:r>
        <w:r w:rsidR="00E54C34">
          <w:rPr>
            <w:noProof/>
            <w:webHidden/>
          </w:rPr>
          <w:tab/>
        </w:r>
        <w:r w:rsidR="00E54C34">
          <w:rPr>
            <w:noProof/>
            <w:webHidden/>
          </w:rPr>
          <w:fldChar w:fldCharType="begin"/>
        </w:r>
        <w:r w:rsidR="00E54C34">
          <w:rPr>
            <w:noProof/>
            <w:webHidden/>
          </w:rPr>
          <w:instrText xml:space="preserve"> PAGEREF _Toc189804850 \h </w:instrText>
        </w:r>
        <w:r w:rsidR="00E54C34">
          <w:rPr>
            <w:noProof/>
            <w:webHidden/>
          </w:rPr>
        </w:r>
        <w:r w:rsidR="00E54C34">
          <w:rPr>
            <w:noProof/>
            <w:webHidden/>
          </w:rPr>
          <w:fldChar w:fldCharType="separate"/>
        </w:r>
        <w:r w:rsidR="00E54C34">
          <w:rPr>
            <w:noProof/>
            <w:webHidden/>
          </w:rPr>
          <w:t>180</w:t>
        </w:r>
        <w:r w:rsidR="00E54C34">
          <w:rPr>
            <w:noProof/>
            <w:webHidden/>
          </w:rPr>
          <w:fldChar w:fldCharType="end"/>
        </w:r>
      </w:hyperlink>
    </w:p>
    <w:p w14:paraId="2779E804" w14:textId="70CFB305" w:rsidR="00E54C34" w:rsidRDefault="00C53097">
      <w:pPr>
        <w:pStyle w:val="TDC4"/>
        <w:tabs>
          <w:tab w:val="right" w:leader="dot" w:pos="8828"/>
        </w:tabs>
        <w:rPr>
          <w:rFonts w:eastAsiaTheme="minorEastAsia" w:cstheme="minorBidi"/>
          <w:noProof/>
          <w:sz w:val="22"/>
          <w:szCs w:val="22"/>
          <w:lang w:eastAsia="es-CR"/>
        </w:rPr>
      </w:pPr>
      <w:hyperlink w:anchor="_Toc189804851" w:history="1">
        <w:r w:rsidR="00E54C34" w:rsidRPr="00370E31">
          <w:rPr>
            <w:rStyle w:val="Hipervnculo"/>
            <w:rFonts w:eastAsia="Times New Roman"/>
            <w:noProof/>
          </w:rPr>
          <w:t>NOTA N° 18</w:t>
        </w:r>
        <w:r w:rsidR="00E54C34">
          <w:rPr>
            <w:noProof/>
            <w:webHidden/>
          </w:rPr>
          <w:tab/>
        </w:r>
        <w:r w:rsidR="00E54C34">
          <w:rPr>
            <w:noProof/>
            <w:webHidden/>
          </w:rPr>
          <w:fldChar w:fldCharType="begin"/>
        </w:r>
        <w:r w:rsidR="00E54C34">
          <w:rPr>
            <w:noProof/>
            <w:webHidden/>
          </w:rPr>
          <w:instrText xml:space="preserve"> PAGEREF _Toc189804851 \h </w:instrText>
        </w:r>
        <w:r w:rsidR="00E54C34">
          <w:rPr>
            <w:noProof/>
            <w:webHidden/>
          </w:rPr>
        </w:r>
        <w:r w:rsidR="00E54C34">
          <w:rPr>
            <w:noProof/>
            <w:webHidden/>
          </w:rPr>
          <w:fldChar w:fldCharType="separate"/>
        </w:r>
        <w:r w:rsidR="00E54C34">
          <w:rPr>
            <w:noProof/>
            <w:webHidden/>
          </w:rPr>
          <w:t>183</w:t>
        </w:r>
        <w:r w:rsidR="00E54C34">
          <w:rPr>
            <w:noProof/>
            <w:webHidden/>
          </w:rPr>
          <w:fldChar w:fldCharType="end"/>
        </w:r>
      </w:hyperlink>
    </w:p>
    <w:p w14:paraId="0AC6B095" w14:textId="3BE0B007" w:rsidR="00E54C34" w:rsidRDefault="00C53097">
      <w:pPr>
        <w:pStyle w:val="TDC3"/>
        <w:tabs>
          <w:tab w:val="right" w:leader="dot" w:pos="8828"/>
        </w:tabs>
        <w:rPr>
          <w:rFonts w:eastAsiaTheme="minorEastAsia" w:cstheme="minorBidi"/>
          <w:noProof/>
          <w:sz w:val="22"/>
          <w:szCs w:val="22"/>
          <w:lang w:eastAsia="es-CR"/>
        </w:rPr>
      </w:pPr>
      <w:hyperlink w:anchor="_Toc189804852" w:history="1">
        <w:r w:rsidR="00E54C34" w:rsidRPr="00370E31">
          <w:rPr>
            <w:rStyle w:val="Hipervnculo"/>
            <w:rFonts w:eastAsia="Calibri"/>
            <w:noProof/>
            <w:lang w:eastAsia="es-CR"/>
          </w:rPr>
          <w:t>2.2 PASIVO NO CORRIENTE</w:t>
        </w:r>
        <w:r w:rsidR="00E54C34">
          <w:rPr>
            <w:noProof/>
            <w:webHidden/>
          </w:rPr>
          <w:tab/>
        </w:r>
        <w:r w:rsidR="00E54C34">
          <w:rPr>
            <w:noProof/>
            <w:webHidden/>
          </w:rPr>
          <w:fldChar w:fldCharType="begin"/>
        </w:r>
        <w:r w:rsidR="00E54C34">
          <w:rPr>
            <w:noProof/>
            <w:webHidden/>
          </w:rPr>
          <w:instrText xml:space="preserve"> PAGEREF _Toc189804852 \h </w:instrText>
        </w:r>
        <w:r w:rsidR="00E54C34">
          <w:rPr>
            <w:noProof/>
            <w:webHidden/>
          </w:rPr>
        </w:r>
        <w:r w:rsidR="00E54C34">
          <w:rPr>
            <w:noProof/>
            <w:webHidden/>
          </w:rPr>
          <w:fldChar w:fldCharType="separate"/>
        </w:r>
        <w:r w:rsidR="00E54C34">
          <w:rPr>
            <w:noProof/>
            <w:webHidden/>
          </w:rPr>
          <w:t>183</w:t>
        </w:r>
        <w:r w:rsidR="00E54C34">
          <w:rPr>
            <w:noProof/>
            <w:webHidden/>
          </w:rPr>
          <w:fldChar w:fldCharType="end"/>
        </w:r>
      </w:hyperlink>
    </w:p>
    <w:p w14:paraId="0370F06A" w14:textId="0C528E1C" w:rsidR="00E54C34" w:rsidRDefault="00C53097">
      <w:pPr>
        <w:pStyle w:val="TDC4"/>
        <w:tabs>
          <w:tab w:val="right" w:leader="dot" w:pos="8828"/>
        </w:tabs>
        <w:rPr>
          <w:rFonts w:eastAsiaTheme="minorEastAsia" w:cstheme="minorBidi"/>
          <w:noProof/>
          <w:sz w:val="22"/>
          <w:szCs w:val="22"/>
          <w:lang w:eastAsia="es-CR"/>
        </w:rPr>
      </w:pPr>
      <w:hyperlink w:anchor="_Toc189804853" w:history="1">
        <w:r w:rsidR="00E54C34" w:rsidRPr="00370E31">
          <w:rPr>
            <w:rStyle w:val="Hipervnculo"/>
            <w:rFonts w:eastAsia="Times New Roman"/>
            <w:noProof/>
          </w:rPr>
          <w:t>NOTA N° 19</w:t>
        </w:r>
        <w:r w:rsidR="00E54C34">
          <w:rPr>
            <w:noProof/>
            <w:webHidden/>
          </w:rPr>
          <w:tab/>
        </w:r>
        <w:r w:rsidR="00E54C34">
          <w:rPr>
            <w:noProof/>
            <w:webHidden/>
          </w:rPr>
          <w:fldChar w:fldCharType="begin"/>
        </w:r>
        <w:r w:rsidR="00E54C34">
          <w:rPr>
            <w:noProof/>
            <w:webHidden/>
          </w:rPr>
          <w:instrText xml:space="preserve"> PAGEREF _Toc189804853 \h </w:instrText>
        </w:r>
        <w:r w:rsidR="00E54C34">
          <w:rPr>
            <w:noProof/>
            <w:webHidden/>
          </w:rPr>
        </w:r>
        <w:r w:rsidR="00E54C34">
          <w:rPr>
            <w:noProof/>
            <w:webHidden/>
          </w:rPr>
          <w:fldChar w:fldCharType="separate"/>
        </w:r>
        <w:r w:rsidR="00E54C34">
          <w:rPr>
            <w:noProof/>
            <w:webHidden/>
          </w:rPr>
          <w:t>183</w:t>
        </w:r>
        <w:r w:rsidR="00E54C34">
          <w:rPr>
            <w:noProof/>
            <w:webHidden/>
          </w:rPr>
          <w:fldChar w:fldCharType="end"/>
        </w:r>
      </w:hyperlink>
    </w:p>
    <w:p w14:paraId="1EC3D366" w14:textId="1C6C861B" w:rsidR="00E54C34" w:rsidRDefault="00C53097">
      <w:pPr>
        <w:pStyle w:val="TDC4"/>
        <w:tabs>
          <w:tab w:val="right" w:leader="dot" w:pos="8828"/>
        </w:tabs>
        <w:rPr>
          <w:rFonts w:eastAsiaTheme="minorEastAsia" w:cstheme="minorBidi"/>
          <w:noProof/>
          <w:sz w:val="22"/>
          <w:szCs w:val="22"/>
          <w:lang w:eastAsia="es-CR"/>
        </w:rPr>
      </w:pPr>
      <w:hyperlink w:anchor="_Toc189804854" w:history="1">
        <w:r w:rsidR="00E54C34" w:rsidRPr="00370E31">
          <w:rPr>
            <w:rStyle w:val="Hipervnculo"/>
            <w:rFonts w:eastAsia="Times New Roman"/>
            <w:noProof/>
          </w:rPr>
          <w:t>NOTA N° 20</w:t>
        </w:r>
        <w:r w:rsidR="00E54C34">
          <w:rPr>
            <w:noProof/>
            <w:webHidden/>
          </w:rPr>
          <w:tab/>
        </w:r>
        <w:r w:rsidR="00E54C34">
          <w:rPr>
            <w:noProof/>
            <w:webHidden/>
          </w:rPr>
          <w:fldChar w:fldCharType="begin"/>
        </w:r>
        <w:r w:rsidR="00E54C34">
          <w:rPr>
            <w:noProof/>
            <w:webHidden/>
          </w:rPr>
          <w:instrText xml:space="preserve"> PAGEREF _Toc189804854 \h </w:instrText>
        </w:r>
        <w:r w:rsidR="00E54C34">
          <w:rPr>
            <w:noProof/>
            <w:webHidden/>
          </w:rPr>
        </w:r>
        <w:r w:rsidR="00E54C34">
          <w:rPr>
            <w:noProof/>
            <w:webHidden/>
          </w:rPr>
          <w:fldChar w:fldCharType="separate"/>
        </w:r>
        <w:r w:rsidR="00E54C34">
          <w:rPr>
            <w:noProof/>
            <w:webHidden/>
          </w:rPr>
          <w:t>184</w:t>
        </w:r>
        <w:r w:rsidR="00E54C34">
          <w:rPr>
            <w:noProof/>
            <w:webHidden/>
          </w:rPr>
          <w:fldChar w:fldCharType="end"/>
        </w:r>
      </w:hyperlink>
    </w:p>
    <w:p w14:paraId="5991AF11" w14:textId="19CB271C" w:rsidR="00E54C34" w:rsidRDefault="00C53097">
      <w:pPr>
        <w:pStyle w:val="TDC4"/>
        <w:tabs>
          <w:tab w:val="right" w:leader="dot" w:pos="8828"/>
        </w:tabs>
        <w:rPr>
          <w:rFonts w:eastAsiaTheme="minorEastAsia" w:cstheme="minorBidi"/>
          <w:noProof/>
          <w:sz w:val="22"/>
          <w:szCs w:val="22"/>
          <w:lang w:eastAsia="es-CR"/>
        </w:rPr>
      </w:pPr>
      <w:hyperlink w:anchor="_Toc189804855" w:history="1">
        <w:r w:rsidR="00E54C34" w:rsidRPr="00370E31">
          <w:rPr>
            <w:rStyle w:val="Hipervnculo"/>
            <w:rFonts w:eastAsia="Times New Roman"/>
            <w:noProof/>
          </w:rPr>
          <w:t>NOTA N° 21</w:t>
        </w:r>
        <w:r w:rsidR="00E54C34">
          <w:rPr>
            <w:noProof/>
            <w:webHidden/>
          </w:rPr>
          <w:tab/>
        </w:r>
        <w:r w:rsidR="00E54C34">
          <w:rPr>
            <w:noProof/>
            <w:webHidden/>
          </w:rPr>
          <w:fldChar w:fldCharType="begin"/>
        </w:r>
        <w:r w:rsidR="00E54C34">
          <w:rPr>
            <w:noProof/>
            <w:webHidden/>
          </w:rPr>
          <w:instrText xml:space="preserve"> PAGEREF _Toc189804855 \h </w:instrText>
        </w:r>
        <w:r w:rsidR="00E54C34">
          <w:rPr>
            <w:noProof/>
            <w:webHidden/>
          </w:rPr>
        </w:r>
        <w:r w:rsidR="00E54C34">
          <w:rPr>
            <w:noProof/>
            <w:webHidden/>
          </w:rPr>
          <w:fldChar w:fldCharType="separate"/>
        </w:r>
        <w:r w:rsidR="00E54C34">
          <w:rPr>
            <w:noProof/>
            <w:webHidden/>
          </w:rPr>
          <w:t>185</w:t>
        </w:r>
        <w:r w:rsidR="00E54C34">
          <w:rPr>
            <w:noProof/>
            <w:webHidden/>
          </w:rPr>
          <w:fldChar w:fldCharType="end"/>
        </w:r>
      </w:hyperlink>
    </w:p>
    <w:p w14:paraId="44F61629" w14:textId="407257F8" w:rsidR="00E54C34" w:rsidRDefault="00C53097">
      <w:pPr>
        <w:pStyle w:val="TDC4"/>
        <w:tabs>
          <w:tab w:val="right" w:leader="dot" w:pos="8828"/>
        </w:tabs>
        <w:rPr>
          <w:rFonts w:eastAsiaTheme="minorEastAsia" w:cstheme="minorBidi"/>
          <w:noProof/>
          <w:sz w:val="22"/>
          <w:szCs w:val="22"/>
          <w:lang w:eastAsia="es-CR"/>
        </w:rPr>
      </w:pPr>
      <w:hyperlink w:anchor="_Toc189804856" w:history="1">
        <w:r w:rsidR="00E54C34" w:rsidRPr="00370E31">
          <w:rPr>
            <w:rStyle w:val="Hipervnculo"/>
            <w:rFonts w:eastAsia="Times New Roman"/>
            <w:noProof/>
          </w:rPr>
          <w:t>NOTA N° 22</w:t>
        </w:r>
        <w:r w:rsidR="00E54C34">
          <w:rPr>
            <w:noProof/>
            <w:webHidden/>
          </w:rPr>
          <w:tab/>
        </w:r>
        <w:r w:rsidR="00E54C34">
          <w:rPr>
            <w:noProof/>
            <w:webHidden/>
          </w:rPr>
          <w:fldChar w:fldCharType="begin"/>
        </w:r>
        <w:r w:rsidR="00E54C34">
          <w:rPr>
            <w:noProof/>
            <w:webHidden/>
          </w:rPr>
          <w:instrText xml:space="preserve"> PAGEREF _Toc189804856 \h </w:instrText>
        </w:r>
        <w:r w:rsidR="00E54C34">
          <w:rPr>
            <w:noProof/>
            <w:webHidden/>
          </w:rPr>
        </w:r>
        <w:r w:rsidR="00E54C34">
          <w:rPr>
            <w:noProof/>
            <w:webHidden/>
          </w:rPr>
          <w:fldChar w:fldCharType="separate"/>
        </w:r>
        <w:r w:rsidR="00E54C34">
          <w:rPr>
            <w:noProof/>
            <w:webHidden/>
          </w:rPr>
          <w:t>186</w:t>
        </w:r>
        <w:r w:rsidR="00E54C34">
          <w:rPr>
            <w:noProof/>
            <w:webHidden/>
          </w:rPr>
          <w:fldChar w:fldCharType="end"/>
        </w:r>
      </w:hyperlink>
    </w:p>
    <w:p w14:paraId="2FBD0DD2" w14:textId="65AEAA71" w:rsidR="00E54C34" w:rsidRDefault="00C53097">
      <w:pPr>
        <w:pStyle w:val="TDC4"/>
        <w:tabs>
          <w:tab w:val="right" w:leader="dot" w:pos="8828"/>
        </w:tabs>
        <w:rPr>
          <w:rFonts w:eastAsiaTheme="minorEastAsia" w:cstheme="minorBidi"/>
          <w:noProof/>
          <w:sz w:val="22"/>
          <w:szCs w:val="22"/>
          <w:lang w:eastAsia="es-CR"/>
        </w:rPr>
      </w:pPr>
      <w:hyperlink w:anchor="_Toc189804857" w:history="1">
        <w:r w:rsidR="00E54C34" w:rsidRPr="00370E31">
          <w:rPr>
            <w:rStyle w:val="Hipervnculo"/>
            <w:rFonts w:eastAsia="Times New Roman"/>
            <w:noProof/>
          </w:rPr>
          <w:t>NOTA N° 23</w:t>
        </w:r>
        <w:r w:rsidR="00E54C34">
          <w:rPr>
            <w:noProof/>
            <w:webHidden/>
          </w:rPr>
          <w:tab/>
        </w:r>
        <w:r w:rsidR="00E54C34">
          <w:rPr>
            <w:noProof/>
            <w:webHidden/>
          </w:rPr>
          <w:fldChar w:fldCharType="begin"/>
        </w:r>
        <w:r w:rsidR="00E54C34">
          <w:rPr>
            <w:noProof/>
            <w:webHidden/>
          </w:rPr>
          <w:instrText xml:space="preserve"> PAGEREF _Toc189804857 \h </w:instrText>
        </w:r>
        <w:r w:rsidR="00E54C34">
          <w:rPr>
            <w:noProof/>
            <w:webHidden/>
          </w:rPr>
        </w:r>
        <w:r w:rsidR="00E54C34">
          <w:rPr>
            <w:noProof/>
            <w:webHidden/>
          </w:rPr>
          <w:fldChar w:fldCharType="separate"/>
        </w:r>
        <w:r w:rsidR="00E54C34">
          <w:rPr>
            <w:noProof/>
            <w:webHidden/>
          </w:rPr>
          <w:t>186</w:t>
        </w:r>
        <w:r w:rsidR="00E54C34">
          <w:rPr>
            <w:noProof/>
            <w:webHidden/>
          </w:rPr>
          <w:fldChar w:fldCharType="end"/>
        </w:r>
      </w:hyperlink>
    </w:p>
    <w:p w14:paraId="02C7EC7D" w14:textId="7A02DEC8" w:rsidR="00E54C34" w:rsidRDefault="00C53097">
      <w:pPr>
        <w:pStyle w:val="TDC3"/>
        <w:tabs>
          <w:tab w:val="right" w:leader="dot" w:pos="8828"/>
        </w:tabs>
        <w:rPr>
          <w:rFonts w:eastAsiaTheme="minorEastAsia" w:cstheme="minorBidi"/>
          <w:noProof/>
          <w:sz w:val="22"/>
          <w:szCs w:val="22"/>
          <w:lang w:eastAsia="es-CR"/>
        </w:rPr>
      </w:pPr>
      <w:hyperlink w:anchor="_Toc189804858" w:history="1">
        <w:r w:rsidR="00E54C34" w:rsidRPr="00370E31">
          <w:rPr>
            <w:rStyle w:val="Hipervnculo"/>
            <w:rFonts w:eastAsia="Times New Roman"/>
            <w:noProof/>
            <w:lang w:eastAsia="es-CR"/>
          </w:rPr>
          <w:t>3. PATRIMONIO</w:t>
        </w:r>
        <w:r w:rsidR="00E54C34">
          <w:rPr>
            <w:noProof/>
            <w:webHidden/>
          </w:rPr>
          <w:tab/>
        </w:r>
        <w:r w:rsidR="00E54C34">
          <w:rPr>
            <w:noProof/>
            <w:webHidden/>
          </w:rPr>
          <w:fldChar w:fldCharType="begin"/>
        </w:r>
        <w:r w:rsidR="00E54C34">
          <w:rPr>
            <w:noProof/>
            <w:webHidden/>
          </w:rPr>
          <w:instrText xml:space="preserve"> PAGEREF _Toc189804858 \h </w:instrText>
        </w:r>
        <w:r w:rsidR="00E54C34">
          <w:rPr>
            <w:noProof/>
            <w:webHidden/>
          </w:rPr>
        </w:r>
        <w:r w:rsidR="00E54C34">
          <w:rPr>
            <w:noProof/>
            <w:webHidden/>
          </w:rPr>
          <w:fldChar w:fldCharType="separate"/>
        </w:r>
        <w:r w:rsidR="00E54C34">
          <w:rPr>
            <w:noProof/>
            <w:webHidden/>
          </w:rPr>
          <w:t>187</w:t>
        </w:r>
        <w:r w:rsidR="00E54C34">
          <w:rPr>
            <w:noProof/>
            <w:webHidden/>
          </w:rPr>
          <w:fldChar w:fldCharType="end"/>
        </w:r>
      </w:hyperlink>
    </w:p>
    <w:p w14:paraId="4AC8178E" w14:textId="2BC425C6" w:rsidR="00E54C34" w:rsidRDefault="00C53097">
      <w:pPr>
        <w:pStyle w:val="TDC3"/>
        <w:tabs>
          <w:tab w:val="right" w:leader="dot" w:pos="8828"/>
        </w:tabs>
        <w:rPr>
          <w:rFonts w:eastAsiaTheme="minorEastAsia" w:cstheme="minorBidi"/>
          <w:noProof/>
          <w:sz w:val="22"/>
          <w:szCs w:val="22"/>
          <w:lang w:eastAsia="es-CR"/>
        </w:rPr>
      </w:pPr>
      <w:hyperlink w:anchor="_Toc189804859" w:history="1">
        <w:r w:rsidR="00E54C34" w:rsidRPr="00370E31">
          <w:rPr>
            <w:rStyle w:val="Hipervnculo"/>
            <w:rFonts w:eastAsia="Calibri"/>
            <w:noProof/>
            <w:lang w:eastAsia="es-CR"/>
          </w:rPr>
          <w:t>3.1 PATRIMONIO PUBLICO</w:t>
        </w:r>
        <w:r w:rsidR="00E54C34">
          <w:rPr>
            <w:noProof/>
            <w:webHidden/>
          </w:rPr>
          <w:tab/>
        </w:r>
        <w:r w:rsidR="00E54C34">
          <w:rPr>
            <w:noProof/>
            <w:webHidden/>
          </w:rPr>
          <w:fldChar w:fldCharType="begin"/>
        </w:r>
        <w:r w:rsidR="00E54C34">
          <w:rPr>
            <w:noProof/>
            <w:webHidden/>
          </w:rPr>
          <w:instrText xml:space="preserve"> PAGEREF _Toc189804859 \h </w:instrText>
        </w:r>
        <w:r w:rsidR="00E54C34">
          <w:rPr>
            <w:noProof/>
            <w:webHidden/>
          </w:rPr>
        </w:r>
        <w:r w:rsidR="00E54C34">
          <w:rPr>
            <w:noProof/>
            <w:webHidden/>
          </w:rPr>
          <w:fldChar w:fldCharType="separate"/>
        </w:r>
        <w:r w:rsidR="00E54C34">
          <w:rPr>
            <w:noProof/>
            <w:webHidden/>
          </w:rPr>
          <w:t>187</w:t>
        </w:r>
        <w:r w:rsidR="00E54C34">
          <w:rPr>
            <w:noProof/>
            <w:webHidden/>
          </w:rPr>
          <w:fldChar w:fldCharType="end"/>
        </w:r>
      </w:hyperlink>
    </w:p>
    <w:p w14:paraId="793C7980" w14:textId="2CDCD2F2" w:rsidR="00E54C34" w:rsidRDefault="00C53097">
      <w:pPr>
        <w:pStyle w:val="TDC4"/>
        <w:tabs>
          <w:tab w:val="right" w:leader="dot" w:pos="8828"/>
        </w:tabs>
        <w:rPr>
          <w:rFonts w:eastAsiaTheme="minorEastAsia" w:cstheme="minorBidi"/>
          <w:noProof/>
          <w:sz w:val="22"/>
          <w:szCs w:val="22"/>
          <w:lang w:eastAsia="es-CR"/>
        </w:rPr>
      </w:pPr>
      <w:hyperlink w:anchor="_Toc189804860" w:history="1">
        <w:r w:rsidR="00E54C34" w:rsidRPr="00370E31">
          <w:rPr>
            <w:rStyle w:val="Hipervnculo"/>
            <w:rFonts w:eastAsia="Times New Roman"/>
            <w:noProof/>
          </w:rPr>
          <w:t>NOTA N° 24</w:t>
        </w:r>
        <w:r w:rsidR="00E54C34">
          <w:rPr>
            <w:noProof/>
            <w:webHidden/>
          </w:rPr>
          <w:tab/>
        </w:r>
        <w:r w:rsidR="00E54C34">
          <w:rPr>
            <w:noProof/>
            <w:webHidden/>
          </w:rPr>
          <w:fldChar w:fldCharType="begin"/>
        </w:r>
        <w:r w:rsidR="00E54C34">
          <w:rPr>
            <w:noProof/>
            <w:webHidden/>
          </w:rPr>
          <w:instrText xml:space="preserve"> PAGEREF _Toc189804860 \h </w:instrText>
        </w:r>
        <w:r w:rsidR="00E54C34">
          <w:rPr>
            <w:noProof/>
            <w:webHidden/>
          </w:rPr>
        </w:r>
        <w:r w:rsidR="00E54C34">
          <w:rPr>
            <w:noProof/>
            <w:webHidden/>
          </w:rPr>
          <w:fldChar w:fldCharType="separate"/>
        </w:r>
        <w:r w:rsidR="00E54C34">
          <w:rPr>
            <w:noProof/>
            <w:webHidden/>
          </w:rPr>
          <w:t>187</w:t>
        </w:r>
        <w:r w:rsidR="00E54C34">
          <w:rPr>
            <w:noProof/>
            <w:webHidden/>
          </w:rPr>
          <w:fldChar w:fldCharType="end"/>
        </w:r>
      </w:hyperlink>
    </w:p>
    <w:p w14:paraId="200E2F52" w14:textId="0F86D6A4" w:rsidR="00E54C34" w:rsidRDefault="00C53097">
      <w:pPr>
        <w:pStyle w:val="TDC4"/>
        <w:tabs>
          <w:tab w:val="right" w:leader="dot" w:pos="8828"/>
        </w:tabs>
        <w:rPr>
          <w:rFonts w:eastAsiaTheme="minorEastAsia" w:cstheme="minorBidi"/>
          <w:noProof/>
          <w:sz w:val="22"/>
          <w:szCs w:val="22"/>
          <w:lang w:eastAsia="es-CR"/>
        </w:rPr>
      </w:pPr>
      <w:hyperlink w:anchor="_Toc189804861" w:history="1">
        <w:r w:rsidR="00E54C34" w:rsidRPr="00370E31">
          <w:rPr>
            <w:rStyle w:val="Hipervnculo"/>
            <w:rFonts w:eastAsia="Times New Roman"/>
            <w:noProof/>
          </w:rPr>
          <w:t>NOTA N° 25</w:t>
        </w:r>
        <w:r w:rsidR="00E54C34">
          <w:rPr>
            <w:noProof/>
            <w:webHidden/>
          </w:rPr>
          <w:tab/>
        </w:r>
        <w:r w:rsidR="00E54C34">
          <w:rPr>
            <w:noProof/>
            <w:webHidden/>
          </w:rPr>
          <w:fldChar w:fldCharType="begin"/>
        </w:r>
        <w:r w:rsidR="00E54C34">
          <w:rPr>
            <w:noProof/>
            <w:webHidden/>
          </w:rPr>
          <w:instrText xml:space="preserve"> PAGEREF _Toc189804861 \h </w:instrText>
        </w:r>
        <w:r w:rsidR="00E54C34">
          <w:rPr>
            <w:noProof/>
            <w:webHidden/>
          </w:rPr>
        </w:r>
        <w:r w:rsidR="00E54C34">
          <w:rPr>
            <w:noProof/>
            <w:webHidden/>
          </w:rPr>
          <w:fldChar w:fldCharType="separate"/>
        </w:r>
        <w:r w:rsidR="00E54C34">
          <w:rPr>
            <w:noProof/>
            <w:webHidden/>
          </w:rPr>
          <w:t>189</w:t>
        </w:r>
        <w:r w:rsidR="00E54C34">
          <w:rPr>
            <w:noProof/>
            <w:webHidden/>
          </w:rPr>
          <w:fldChar w:fldCharType="end"/>
        </w:r>
      </w:hyperlink>
    </w:p>
    <w:p w14:paraId="5B3A0E2A" w14:textId="41744A75" w:rsidR="00E54C34" w:rsidRDefault="00C53097">
      <w:pPr>
        <w:pStyle w:val="TDC4"/>
        <w:tabs>
          <w:tab w:val="right" w:leader="dot" w:pos="8828"/>
        </w:tabs>
        <w:rPr>
          <w:rFonts w:eastAsiaTheme="minorEastAsia" w:cstheme="minorBidi"/>
          <w:noProof/>
          <w:sz w:val="22"/>
          <w:szCs w:val="22"/>
          <w:lang w:eastAsia="es-CR"/>
        </w:rPr>
      </w:pPr>
      <w:hyperlink w:anchor="_Toc189804862" w:history="1">
        <w:r w:rsidR="00E54C34" w:rsidRPr="00370E31">
          <w:rPr>
            <w:rStyle w:val="Hipervnculo"/>
            <w:rFonts w:eastAsia="Times New Roman"/>
            <w:noProof/>
          </w:rPr>
          <w:t>NOTA N° 26</w:t>
        </w:r>
        <w:r w:rsidR="00E54C34">
          <w:rPr>
            <w:noProof/>
            <w:webHidden/>
          </w:rPr>
          <w:tab/>
        </w:r>
        <w:r w:rsidR="00E54C34">
          <w:rPr>
            <w:noProof/>
            <w:webHidden/>
          </w:rPr>
          <w:fldChar w:fldCharType="begin"/>
        </w:r>
        <w:r w:rsidR="00E54C34">
          <w:rPr>
            <w:noProof/>
            <w:webHidden/>
          </w:rPr>
          <w:instrText xml:space="preserve"> PAGEREF _Toc189804862 \h </w:instrText>
        </w:r>
        <w:r w:rsidR="00E54C34">
          <w:rPr>
            <w:noProof/>
            <w:webHidden/>
          </w:rPr>
        </w:r>
        <w:r w:rsidR="00E54C34">
          <w:rPr>
            <w:noProof/>
            <w:webHidden/>
          </w:rPr>
          <w:fldChar w:fldCharType="separate"/>
        </w:r>
        <w:r w:rsidR="00E54C34">
          <w:rPr>
            <w:noProof/>
            <w:webHidden/>
          </w:rPr>
          <w:t>189</w:t>
        </w:r>
        <w:r w:rsidR="00E54C34">
          <w:rPr>
            <w:noProof/>
            <w:webHidden/>
          </w:rPr>
          <w:fldChar w:fldCharType="end"/>
        </w:r>
      </w:hyperlink>
    </w:p>
    <w:p w14:paraId="5D3E55FF" w14:textId="233591C3" w:rsidR="00E54C34" w:rsidRDefault="00C53097">
      <w:pPr>
        <w:pStyle w:val="TDC4"/>
        <w:tabs>
          <w:tab w:val="right" w:leader="dot" w:pos="8828"/>
        </w:tabs>
        <w:rPr>
          <w:rFonts w:eastAsiaTheme="minorEastAsia" w:cstheme="minorBidi"/>
          <w:noProof/>
          <w:sz w:val="22"/>
          <w:szCs w:val="22"/>
          <w:lang w:eastAsia="es-CR"/>
        </w:rPr>
      </w:pPr>
      <w:hyperlink w:anchor="_Toc189804863" w:history="1">
        <w:r w:rsidR="00E54C34" w:rsidRPr="00370E31">
          <w:rPr>
            <w:rStyle w:val="Hipervnculo"/>
            <w:rFonts w:eastAsia="Times New Roman"/>
            <w:noProof/>
          </w:rPr>
          <w:t>NOTA N° 27</w:t>
        </w:r>
        <w:r w:rsidR="00E54C34">
          <w:rPr>
            <w:noProof/>
            <w:webHidden/>
          </w:rPr>
          <w:tab/>
        </w:r>
        <w:r w:rsidR="00E54C34">
          <w:rPr>
            <w:noProof/>
            <w:webHidden/>
          </w:rPr>
          <w:fldChar w:fldCharType="begin"/>
        </w:r>
        <w:r w:rsidR="00E54C34">
          <w:rPr>
            <w:noProof/>
            <w:webHidden/>
          </w:rPr>
          <w:instrText xml:space="preserve"> PAGEREF _Toc189804863 \h </w:instrText>
        </w:r>
        <w:r w:rsidR="00E54C34">
          <w:rPr>
            <w:noProof/>
            <w:webHidden/>
          </w:rPr>
        </w:r>
        <w:r w:rsidR="00E54C34">
          <w:rPr>
            <w:noProof/>
            <w:webHidden/>
          </w:rPr>
          <w:fldChar w:fldCharType="separate"/>
        </w:r>
        <w:r w:rsidR="00E54C34">
          <w:rPr>
            <w:noProof/>
            <w:webHidden/>
          </w:rPr>
          <w:t>190</w:t>
        </w:r>
        <w:r w:rsidR="00E54C34">
          <w:rPr>
            <w:noProof/>
            <w:webHidden/>
          </w:rPr>
          <w:fldChar w:fldCharType="end"/>
        </w:r>
      </w:hyperlink>
    </w:p>
    <w:p w14:paraId="3B75F154" w14:textId="168A49AA" w:rsidR="00E54C34" w:rsidRDefault="00C53097">
      <w:pPr>
        <w:pStyle w:val="TDC4"/>
        <w:tabs>
          <w:tab w:val="right" w:leader="dot" w:pos="8828"/>
        </w:tabs>
        <w:rPr>
          <w:rFonts w:eastAsiaTheme="minorEastAsia" w:cstheme="minorBidi"/>
          <w:noProof/>
          <w:sz w:val="22"/>
          <w:szCs w:val="22"/>
          <w:lang w:eastAsia="es-CR"/>
        </w:rPr>
      </w:pPr>
      <w:hyperlink w:anchor="_Toc189804864" w:history="1">
        <w:r w:rsidR="00E54C34" w:rsidRPr="00370E31">
          <w:rPr>
            <w:rStyle w:val="Hipervnculo"/>
            <w:rFonts w:eastAsia="Times New Roman"/>
            <w:noProof/>
          </w:rPr>
          <w:t>NOTA N° 28</w:t>
        </w:r>
        <w:r w:rsidR="00E54C34">
          <w:rPr>
            <w:noProof/>
            <w:webHidden/>
          </w:rPr>
          <w:tab/>
        </w:r>
        <w:r w:rsidR="00E54C34">
          <w:rPr>
            <w:noProof/>
            <w:webHidden/>
          </w:rPr>
          <w:fldChar w:fldCharType="begin"/>
        </w:r>
        <w:r w:rsidR="00E54C34">
          <w:rPr>
            <w:noProof/>
            <w:webHidden/>
          </w:rPr>
          <w:instrText xml:space="preserve"> PAGEREF _Toc189804864 \h </w:instrText>
        </w:r>
        <w:r w:rsidR="00E54C34">
          <w:rPr>
            <w:noProof/>
            <w:webHidden/>
          </w:rPr>
        </w:r>
        <w:r w:rsidR="00E54C34">
          <w:rPr>
            <w:noProof/>
            <w:webHidden/>
          </w:rPr>
          <w:fldChar w:fldCharType="separate"/>
        </w:r>
        <w:r w:rsidR="00E54C34">
          <w:rPr>
            <w:noProof/>
            <w:webHidden/>
          </w:rPr>
          <w:t>190</w:t>
        </w:r>
        <w:r w:rsidR="00E54C34">
          <w:rPr>
            <w:noProof/>
            <w:webHidden/>
          </w:rPr>
          <w:fldChar w:fldCharType="end"/>
        </w:r>
      </w:hyperlink>
    </w:p>
    <w:p w14:paraId="36B7E740" w14:textId="3558F1F1" w:rsidR="00E54C34" w:rsidRDefault="00C53097">
      <w:pPr>
        <w:pStyle w:val="TDC4"/>
        <w:tabs>
          <w:tab w:val="right" w:leader="dot" w:pos="8828"/>
        </w:tabs>
        <w:rPr>
          <w:rFonts w:eastAsiaTheme="minorEastAsia" w:cstheme="minorBidi"/>
          <w:noProof/>
          <w:sz w:val="22"/>
          <w:szCs w:val="22"/>
          <w:lang w:eastAsia="es-CR"/>
        </w:rPr>
      </w:pPr>
      <w:hyperlink w:anchor="_Toc189804865" w:history="1">
        <w:r w:rsidR="00E54C34" w:rsidRPr="00370E31">
          <w:rPr>
            <w:rStyle w:val="Hipervnculo"/>
            <w:rFonts w:eastAsia="Times New Roman"/>
            <w:noProof/>
          </w:rPr>
          <w:t>NOTA N° 29</w:t>
        </w:r>
        <w:r w:rsidR="00E54C34">
          <w:rPr>
            <w:noProof/>
            <w:webHidden/>
          </w:rPr>
          <w:tab/>
        </w:r>
        <w:r w:rsidR="00E54C34">
          <w:rPr>
            <w:noProof/>
            <w:webHidden/>
          </w:rPr>
          <w:fldChar w:fldCharType="begin"/>
        </w:r>
        <w:r w:rsidR="00E54C34">
          <w:rPr>
            <w:noProof/>
            <w:webHidden/>
          </w:rPr>
          <w:instrText xml:space="preserve"> PAGEREF _Toc189804865 \h </w:instrText>
        </w:r>
        <w:r w:rsidR="00E54C34">
          <w:rPr>
            <w:noProof/>
            <w:webHidden/>
          </w:rPr>
        </w:r>
        <w:r w:rsidR="00E54C34">
          <w:rPr>
            <w:noProof/>
            <w:webHidden/>
          </w:rPr>
          <w:fldChar w:fldCharType="separate"/>
        </w:r>
        <w:r w:rsidR="00E54C34">
          <w:rPr>
            <w:noProof/>
            <w:webHidden/>
          </w:rPr>
          <w:t>191</w:t>
        </w:r>
        <w:r w:rsidR="00E54C34">
          <w:rPr>
            <w:noProof/>
            <w:webHidden/>
          </w:rPr>
          <w:fldChar w:fldCharType="end"/>
        </w:r>
      </w:hyperlink>
    </w:p>
    <w:p w14:paraId="482F63E2" w14:textId="2020A935" w:rsidR="00E54C34" w:rsidRDefault="00C53097">
      <w:pPr>
        <w:pStyle w:val="TDC4"/>
        <w:tabs>
          <w:tab w:val="right" w:leader="dot" w:pos="8828"/>
        </w:tabs>
        <w:rPr>
          <w:rFonts w:eastAsiaTheme="minorEastAsia" w:cstheme="minorBidi"/>
          <w:noProof/>
          <w:sz w:val="22"/>
          <w:szCs w:val="22"/>
          <w:lang w:eastAsia="es-CR"/>
        </w:rPr>
      </w:pPr>
      <w:hyperlink w:anchor="_Toc189804866" w:history="1">
        <w:r w:rsidR="00E54C34" w:rsidRPr="00370E31">
          <w:rPr>
            <w:rStyle w:val="Hipervnculo"/>
            <w:rFonts w:eastAsia="Times New Roman"/>
            <w:noProof/>
          </w:rPr>
          <w:t>NOTA N° 31</w:t>
        </w:r>
        <w:r w:rsidR="00E54C34">
          <w:rPr>
            <w:noProof/>
            <w:webHidden/>
          </w:rPr>
          <w:tab/>
        </w:r>
        <w:r w:rsidR="00E54C34">
          <w:rPr>
            <w:noProof/>
            <w:webHidden/>
          </w:rPr>
          <w:fldChar w:fldCharType="begin"/>
        </w:r>
        <w:r w:rsidR="00E54C34">
          <w:rPr>
            <w:noProof/>
            <w:webHidden/>
          </w:rPr>
          <w:instrText xml:space="preserve"> PAGEREF _Toc189804866 \h </w:instrText>
        </w:r>
        <w:r w:rsidR="00E54C34">
          <w:rPr>
            <w:noProof/>
            <w:webHidden/>
          </w:rPr>
        </w:r>
        <w:r w:rsidR="00E54C34">
          <w:rPr>
            <w:noProof/>
            <w:webHidden/>
          </w:rPr>
          <w:fldChar w:fldCharType="separate"/>
        </w:r>
        <w:r w:rsidR="00E54C34">
          <w:rPr>
            <w:noProof/>
            <w:webHidden/>
          </w:rPr>
          <w:t>192</w:t>
        </w:r>
        <w:r w:rsidR="00E54C34">
          <w:rPr>
            <w:noProof/>
            <w:webHidden/>
          </w:rPr>
          <w:fldChar w:fldCharType="end"/>
        </w:r>
      </w:hyperlink>
    </w:p>
    <w:p w14:paraId="5D17A293" w14:textId="17219708" w:rsidR="00E54C34" w:rsidRDefault="00C53097">
      <w:pPr>
        <w:pStyle w:val="TDC2"/>
        <w:tabs>
          <w:tab w:val="right" w:leader="dot" w:pos="8828"/>
        </w:tabs>
        <w:rPr>
          <w:rFonts w:eastAsiaTheme="minorEastAsia" w:cstheme="minorBidi"/>
          <w:b w:val="0"/>
          <w:bCs w:val="0"/>
          <w:noProof/>
          <w:sz w:val="22"/>
          <w:szCs w:val="22"/>
          <w:lang w:eastAsia="es-CR"/>
        </w:rPr>
      </w:pPr>
      <w:hyperlink w:anchor="_Toc189804867" w:history="1">
        <w:r w:rsidR="00E54C34" w:rsidRPr="00370E31">
          <w:rPr>
            <w:rStyle w:val="Hipervnculo"/>
            <w:rFonts w:eastAsia="Times New Roman"/>
            <w:noProof/>
          </w:rPr>
          <w:t>NOTAS EXPLICATIVAS AL ESTADO DE RENDIMIENTO FINANCIERO</w:t>
        </w:r>
        <w:r w:rsidR="00E54C34">
          <w:rPr>
            <w:noProof/>
            <w:webHidden/>
          </w:rPr>
          <w:tab/>
        </w:r>
        <w:r w:rsidR="00E54C34">
          <w:rPr>
            <w:noProof/>
            <w:webHidden/>
          </w:rPr>
          <w:fldChar w:fldCharType="begin"/>
        </w:r>
        <w:r w:rsidR="00E54C34">
          <w:rPr>
            <w:noProof/>
            <w:webHidden/>
          </w:rPr>
          <w:instrText xml:space="preserve"> PAGEREF _Toc189804867 \h </w:instrText>
        </w:r>
        <w:r w:rsidR="00E54C34">
          <w:rPr>
            <w:noProof/>
            <w:webHidden/>
          </w:rPr>
        </w:r>
        <w:r w:rsidR="00E54C34">
          <w:rPr>
            <w:noProof/>
            <w:webHidden/>
          </w:rPr>
          <w:fldChar w:fldCharType="separate"/>
        </w:r>
        <w:r w:rsidR="00E54C34">
          <w:rPr>
            <w:noProof/>
            <w:webHidden/>
          </w:rPr>
          <w:t>192</w:t>
        </w:r>
        <w:r w:rsidR="00E54C34">
          <w:rPr>
            <w:noProof/>
            <w:webHidden/>
          </w:rPr>
          <w:fldChar w:fldCharType="end"/>
        </w:r>
      </w:hyperlink>
    </w:p>
    <w:p w14:paraId="6EC4DA8F" w14:textId="3FDD4C72" w:rsidR="00E54C34" w:rsidRDefault="00C53097">
      <w:pPr>
        <w:pStyle w:val="TDC3"/>
        <w:tabs>
          <w:tab w:val="right" w:leader="dot" w:pos="8828"/>
        </w:tabs>
        <w:rPr>
          <w:rFonts w:eastAsiaTheme="minorEastAsia" w:cstheme="minorBidi"/>
          <w:noProof/>
          <w:sz w:val="22"/>
          <w:szCs w:val="22"/>
          <w:lang w:eastAsia="es-CR"/>
        </w:rPr>
      </w:pPr>
      <w:hyperlink w:anchor="_Toc189804868" w:history="1">
        <w:r w:rsidR="00E54C34" w:rsidRPr="00370E31">
          <w:rPr>
            <w:rStyle w:val="Hipervnculo"/>
            <w:rFonts w:eastAsia="Times New Roman"/>
            <w:noProof/>
            <w:lang w:eastAsia="es-CR"/>
          </w:rPr>
          <w:t>4. INGRESOS</w:t>
        </w:r>
        <w:r w:rsidR="00E54C34">
          <w:rPr>
            <w:noProof/>
            <w:webHidden/>
          </w:rPr>
          <w:tab/>
        </w:r>
        <w:r w:rsidR="00E54C34">
          <w:rPr>
            <w:noProof/>
            <w:webHidden/>
          </w:rPr>
          <w:fldChar w:fldCharType="begin"/>
        </w:r>
        <w:r w:rsidR="00E54C34">
          <w:rPr>
            <w:noProof/>
            <w:webHidden/>
          </w:rPr>
          <w:instrText xml:space="preserve"> PAGEREF _Toc189804868 \h </w:instrText>
        </w:r>
        <w:r w:rsidR="00E54C34">
          <w:rPr>
            <w:noProof/>
            <w:webHidden/>
          </w:rPr>
        </w:r>
        <w:r w:rsidR="00E54C34">
          <w:rPr>
            <w:noProof/>
            <w:webHidden/>
          </w:rPr>
          <w:fldChar w:fldCharType="separate"/>
        </w:r>
        <w:r w:rsidR="00E54C34">
          <w:rPr>
            <w:noProof/>
            <w:webHidden/>
          </w:rPr>
          <w:t>192</w:t>
        </w:r>
        <w:r w:rsidR="00E54C34">
          <w:rPr>
            <w:noProof/>
            <w:webHidden/>
          </w:rPr>
          <w:fldChar w:fldCharType="end"/>
        </w:r>
      </w:hyperlink>
    </w:p>
    <w:p w14:paraId="11019524" w14:textId="6DD77980" w:rsidR="00E54C34" w:rsidRDefault="00C53097">
      <w:pPr>
        <w:pStyle w:val="TDC3"/>
        <w:tabs>
          <w:tab w:val="right" w:leader="dot" w:pos="8828"/>
        </w:tabs>
        <w:rPr>
          <w:rFonts w:eastAsiaTheme="minorEastAsia" w:cstheme="minorBidi"/>
          <w:noProof/>
          <w:sz w:val="22"/>
          <w:szCs w:val="22"/>
          <w:lang w:eastAsia="es-CR"/>
        </w:rPr>
      </w:pPr>
      <w:hyperlink w:anchor="_Toc189804869" w:history="1">
        <w:r w:rsidR="00E54C34" w:rsidRPr="00370E31">
          <w:rPr>
            <w:rStyle w:val="Hipervnculo"/>
            <w:rFonts w:eastAsia="Calibri"/>
            <w:noProof/>
            <w:lang w:eastAsia="es-CR"/>
          </w:rPr>
          <w:t>4.1 IMPUESTOS</w:t>
        </w:r>
        <w:r w:rsidR="00E54C34">
          <w:rPr>
            <w:noProof/>
            <w:webHidden/>
          </w:rPr>
          <w:tab/>
        </w:r>
        <w:r w:rsidR="00E54C34">
          <w:rPr>
            <w:noProof/>
            <w:webHidden/>
          </w:rPr>
          <w:fldChar w:fldCharType="begin"/>
        </w:r>
        <w:r w:rsidR="00E54C34">
          <w:rPr>
            <w:noProof/>
            <w:webHidden/>
          </w:rPr>
          <w:instrText xml:space="preserve"> PAGEREF _Toc189804869 \h </w:instrText>
        </w:r>
        <w:r w:rsidR="00E54C34">
          <w:rPr>
            <w:noProof/>
            <w:webHidden/>
          </w:rPr>
        </w:r>
        <w:r w:rsidR="00E54C34">
          <w:rPr>
            <w:noProof/>
            <w:webHidden/>
          </w:rPr>
          <w:fldChar w:fldCharType="separate"/>
        </w:r>
        <w:r w:rsidR="00E54C34">
          <w:rPr>
            <w:noProof/>
            <w:webHidden/>
          </w:rPr>
          <w:t>192</w:t>
        </w:r>
        <w:r w:rsidR="00E54C34">
          <w:rPr>
            <w:noProof/>
            <w:webHidden/>
          </w:rPr>
          <w:fldChar w:fldCharType="end"/>
        </w:r>
      </w:hyperlink>
    </w:p>
    <w:p w14:paraId="04C33CDB" w14:textId="05928E5C" w:rsidR="00E54C34" w:rsidRDefault="00C53097">
      <w:pPr>
        <w:pStyle w:val="TDC4"/>
        <w:tabs>
          <w:tab w:val="right" w:leader="dot" w:pos="8828"/>
        </w:tabs>
        <w:rPr>
          <w:rFonts w:eastAsiaTheme="minorEastAsia" w:cstheme="minorBidi"/>
          <w:noProof/>
          <w:sz w:val="22"/>
          <w:szCs w:val="22"/>
          <w:lang w:eastAsia="es-CR"/>
        </w:rPr>
      </w:pPr>
      <w:hyperlink w:anchor="_Toc189804870" w:history="1">
        <w:r w:rsidR="00E54C34" w:rsidRPr="00370E31">
          <w:rPr>
            <w:rStyle w:val="Hipervnculo"/>
            <w:rFonts w:eastAsia="Times New Roman"/>
            <w:noProof/>
          </w:rPr>
          <w:t>NOTA N° 31</w:t>
        </w:r>
        <w:r w:rsidR="00E54C34">
          <w:rPr>
            <w:noProof/>
            <w:webHidden/>
          </w:rPr>
          <w:tab/>
        </w:r>
        <w:r w:rsidR="00E54C34">
          <w:rPr>
            <w:noProof/>
            <w:webHidden/>
          </w:rPr>
          <w:fldChar w:fldCharType="begin"/>
        </w:r>
        <w:r w:rsidR="00E54C34">
          <w:rPr>
            <w:noProof/>
            <w:webHidden/>
          </w:rPr>
          <w:instrText xml:space="preserve"> PAGEREF _Toc189804870 \h </w:instrText>
        </w:r>
        <w:r w:rsidR="00E54C34">
          <w:rPr>
            <w:noProof/>
            <w:webHidden/>
          </w:rPr>
        </w:r>
        <w:r w:rsidR="00E54C34">
          <w:rPr>
            <w:noProof/>
            <w:webHidden/>
          </w:rPr>
          <w:fldChar w:fldCharType="separate"/>
        </w:r>
        <w:r w:rsidR="00E54C34">
          <w:rPr>
            <w:noProof/>
            <w:webHidden/>
          </w:rPr>
          <w:t>192</w:t>
        </w:r>
        <w:r w:rsidR="00E54C34">
          <w:rPr>
            <w:noProof/>
            <w:webHidden/>
          </w:rPr>
          <w:fldChar w:fldCharType="end"/>
        </w:r>
      </w:hyperlink>
    </w:p>
    <w:p w14:paraId="51024891" w14:textId="1F4452EF" w:rsidR="00E54C34" w:rsidRDefault="00C53097">
      <w:pPr>
        <w:pStyle w:val="TDC4"/>
        <w:tabs>
          <w:tab w:val="right" w:leader="dot" w:pos="8828"/>
        </w:tabs>
        <w:rPr>
          <w:rFonts w:eastAsiaTheme="minorEastAsia" w:cstheme="minorBidi"/>
          <w:noProof/>
          <w:sz w:val="22"/>
          <w:szCs w:val="22"/>
          <w:lang w:eastAsia="es-CR"/>
        </w:rPr>
      </w:pPr>
      <w:hyperlink w:anchor="_Toc189804871" w:history="1">
        <w:r w:rsidR="00E54C34" w:rsidRPr="00370E31">
          <w:rPr>
            <w:rStyle w:val="Hipervnculo"/>
            <w:rFonts w:eastAsia="Times New Roman"/>
            <w:noProof/>
          </w:rPr>
          <w:t>NOTA N° 32</w:t>
        </w:r>
        <w:r w:rsidR="00E54C34">
          <w:rPr>
            <w:noProof/>
            <w:webHidden/>
          </w:rPr>
          <w:tab/>
        </w:r>
        <w:r w:rsidR="00E54C34">
          <w:rPr>
            <w:noProof/>
            <w:webHidden/>
          </w:rPr>
          <w:fldChar w:fldCharType="begin"/>
        </w:r>
        <w:r w:rsidR="00E54C34">
          <w:rPr>
            <w:noProof/>
            <w:webHidden/>
          </w:rPr>
          <w:instrText xml:space="preserve"> PAGEREF _Toc189804871 \h </w:instrText>
        </w:r>
        <w:r w:rsidR="00E54C34">
          <w:rPr>
            <w:noProof/>
            <w:webHidden/>
          </w:rPr>
        </w:r>
        <w:r w:rsidR="00E54C34">
          <w:rPr>
            <w:noProof/>
            <w:webHidden/>
          </w:rPr>
          <w:fldChar w:fldCharType="separate"/>
        </w:r>
        <w:r w:rsidR="00E54C34">
          <w:rPr>
            <w:noProof/>
            <w:webHidden/>
          </w:rPr>
          <w:t>193</w:t>
        </w:r>
        <w:r w:rsidR="00E54C34">
          <w:rPr>
            <w:noProof/>
            <w:webHidden/>
          </w:rPr>
          <w:fldChar w:fldCharType="end"/>
        </w:r>
      </w:hyperlink>
    </w:p>
    <w:p w14:paraId="5FA6C68E" w14:textId="44BC3BC9" w:rsidR="00E54C34" w:rsidRDefault="00C53097">
      <w:pPr>
        <w:pStyle w:val="TDC4"/>
        <w:tabs>
          <w:tab w:val="right" w:leader="dot" w:pos="8828"/>
        </w:tabs>
        <w:rPr>
          <w:rFonts w:eastAsiaTheme="minorEastAsia" w:cstheme="minorBidi"/>
          <w:noProof/>
          <w:sz w:val="22"/>
          <w:szCs w:val="22"/>
          <w:lang w:eastAsia="es-CR"/>
        </w:rPr>
      </w:pPr>
      <w:hyperlink w:anchor="_Toc189804872" w:history="1">
        <w:r w:rsidR="00E54C34" w:rsidRPr="00370E31">
          <w:rPr>
            <w:rStyle w:val="Hipervnculo"/>
            <w:rFonts w:eastAsia="Times New Roman"/>
            <w:noProof/>
          </w:rPr>
          <w:t>NOTA N° 33</w:t>
        </w:r>
        <w:r w:rsidR="00E54C34">
          <w:rPr>
            <w:noProof/>
            <w:webHidden/>
          </w:rPr>
          <w:tab/>
        </w:r>
        <w:r w:rsidR="00E54C34">
          <w:rPr>
            <w:noProof/>
            <w:webHidden/>
          </w:rPr>
          <w:fldChar w:fldCharType="begin"/>
        </w:r>
        <w:r w:rsidR="00E54C34">
          <w:rPr>
            <w:noProof/>
            <w:webHidden/>
          </w:rPr>
          <w:instrText xml:space="preserve"> PAGEREF _Toc189804872 \h </w:instrText>
        </w:r>
        <w:r w:rsidR="00E54C34">
          <w:rPr>
            <w:noProof/>
            <w:webHidden/>
          </w:rPr>
        </w:r>
        <w:r w:rsidR="00E54C34">
          <w:rPr>
            <w:noProof/>
            <w:webHidden/>
          </w:rPr>
          <w:fldChar w:fldCharType="separate"/>
        </w:r>
        <w:r w:rsidR="00E54C34">
          <w:rPr>
            <w:noProof/>
            <w:webHidden/>
          </w:rPr>
          <w:t>193</w:t>
        </w:r>
        <w:r w:rsidR="00E54C34">
          <w:rPr>
            <w:noProof/>
            <w:webHidden/>
          </w:rPr>
          <w:fldChar w:fldCharType="end"/>
        </w:r>
      </w:hyperlink>
    </w:p>
    <w:p w14:paraId="1C1C144C" w14:textId="1D07A405" w:rsidR="00E54C34" w:rsidRDefault="00C53097">
      <w:pPr>
        <w:pStyle w:val="TDC4"/>
        <w:tabs>
          <w:tab w:val="right" w:leader="dot" w:pos="8828"/>
        </w:tabs>
        <w:rPr>
          <w:rFonts w:eastAsiaTheme="minorEastAsia" w:cstheme="minorBidi"/>
          <w:noProof/>
          <w:sz w:val="22"/>
          <w:szCs w:val="22"/>
          <w:lang w:eastAsia="es-CR"/>
        </w:rPr>
      </w:pPr>
      <w:hyperlink w:anchor="_Toc189804873" w:history="1">
        <w:r w:rsidR="00E54C34" w:rsidRPr="00370E31">
          <w:rPr>
            <w:rStyle w:val="Hipervnculo"/>
            <w:rFonts w:eastAsia="Times New Roman"/>
            <w:noProof/>
          </w:rPr>
          <w:t>NOTA N° 34</w:t>
        </w:r>
        <w:r w:rsidR="00E54C34">
          <w:rPr>
            <w:noProof/>
            <w:webHidden/>
          </w:rPr>
          <w:tab/>
        </w:r>
        <w:r w:rsidR="00E54C34">
          <w:rPr>
            <w:noProof/>
            <w:webHidden/>
          </w:rPr>
          <w:fldChar w:fldCharType="begin"/>
        </w:r>
        <w:r w:rsidR="00E54C34">
          <w:rPr>
            <w:noProof/>
            <w:webHidden/>
          </w:rPr>
          <w:instrText xml:space="preserve"> PAGEREF _Toc189804873 \h </w:instrText>
        </w:r>
        <w:r w:rsidR="00E54C34">
          <w:rPr>
            <w:noProof/>
            <w:webHidden/>
          </w:rPr>
        </w:r>
        <w:r w:rsidR="00E54C34">
          <w:rPr>
            <w:noProof/>
            <w:webHidden/>
          </w:rPr>
          <w:fldChar w:fldCharType="separate"/>
        </w:r>
        <w:r w:rsidR="00E54C34">
          <w:rPr>
            <w:noProof/>
            <w:webHidden/>
          </w:rPr>
          <w:t>194</w:t>
        </w:r>
        <w:r w:rsidR="00E54C34">
          <w:rPr>
            <w:noProof/>
            <w:webHidden/>
          </w:rPr>
          <w:fldChar w:fldCharType="end"/>
        </w:r>
      </w:hyperlink>
    </w:p>
    <w:p w14:paraId="7C4371DC" w14:textId="7212A204" w:rsidR="00E54C34" w:rsidRDefault="00C53097">
      <w:pPr>
        <w:pStyle w:val="TDC4"/>
        <w:tabs>
          <w:tab w:val="right" w:leader="dot" w:pos="8828"/>
        </w:tabs>
        <w:rPr>
          <w:rFonts w:eastAsiaTheme="minorEastAsia" w:cstheme="minorBidi"/>
          <w:noProof/>
          <w:sz w:val="22"/>
          <w:szCs w:val="22"/>
          <w:lang w:eastAsia="es-CR"/>
        </w:rPr>
      </w:pPr>
      <w:hyperlink w:anchor="_Toc189804874" w:history="1">
        <w:r w:rsidR="00E54C34" w:rsidRPr="00370E31">
          <w:rPr>
            <w:rStyle w:val="Hipervnculo"/>
            <w:rFonts w:eastAsia="Times New Roman"/>
            <w:noProof/>
          </w:rPr>
          <w:t>NOTA N° 35</w:t>
        </w:r>
        <w:r w:rsidR="00E54C34">
          <w:rPr>
            <w:noProof/>
            <w:webHidden/>
          </w:rPr>
          <w:tab/>
        </w:r>
        <w:r w:rsidR="00E54C34">
          <w:rPr>
            <w:noProof/>
            <w:webHidden/>
          </w:rPr>
          <w:fldChar w:fldCharType="begin"/>
        </w:r>
        <w:r w:rsidR="00E54C34">
          <w:rPr>
            <w:noProof/>
            <w:webHidden/>
          </w:rPr>
          <w:instrText xml:space="preserve"> PAGEREF _Toc189804874 \h </w:instrText>
        </w:r>
        <w:r w:rsidR="00E54C34">
          <w:rPr>
            <w:noProof/>
            <w:webHidden/>
          </w:rPr>
        </w:r>
        <w:r w:rsidR="00E54C34">
          <w:rPr>
            <w:noProof/>
            <w:webHidden/>
          </w:rPr>
          <w:fldChar w:fldCharType="separate"/>
        </w:r>
        <w:r w:rsidR="00E54C34">
          <w:rPr>
            <w:noProof/>
            <w:webHidden/>
          </w:rPr>
          <w:t>195</w:t>
        </w:r>
        <w:r w:rsidR="00E54C34">
          <w:rPr>
            <w:noProof/>
            <w:webHidden/>
          </w:rPr>
          <w:fldChar w:fldCharType="end"/>
        </w:r>
      </w:hyperlink>
    </w:p>
    <w:p w14:paraId="42740559" w14:textId="07C781BE" w:rsidR="00E54C34" w:rsidRDefault="00C53097">
      <w:pPr>
        <w:pStyle w:val="TDC3"/>
        <w:tabs>
          <w:tab w:val="right" w:leader="dot" w:pos="8828"/>
        </w:tabs>
        <w:rPr>
          <w:rFonts w:eastAsiaTheme="minorEastAsia" w:cstheme="minorBidi"/>
          <w:noProof/>
          <w:sz w:val="22"/>
          <w:szCs w:val="22"/>
          <w:lang w:eastAsia="es-CR"/>
        </w:rPr>
      </w:pPr>
      <w:hyperlink w:anchor="_Toc189804875" w:history="1">
        <w:r w:rsidR="00E54C34" w:rsidRPr="00370E31">
          <w:rPr>
            <w:rStyle w:val="Hipervnculo"/>
            <w:rFonts w:eastAsia="Calibri"/>
            <w:noProof/>
            <w:lang w:eastAsia="es-CR"/>
          </w:rPr>
          <w:t>4.2 CONTRIBUCIONES SOCIALES</w:t>
        </w:r>
        <w:r w:rsidR="00E54C34">
          <w:rPr>
            <w:noProof/>
            <w:webHidden/>
          </w:rPr>
          <w:tab/>
        </w:r>
        <w:r w:rsidR="00E54C34">
          <w:rPr>
            <w:noProof/>
            <w:webHidden/>
          </w:rPr>
          <w:fldChar w:fldCharType="begin"/>
        </w:r>
        <w:r w:rsidR="00E54C34">
          <w:rPr>
            <w:noProof/>
            <w:webHidden/>
          </w:rPr>
          <w:instrText xml:space="preserve"> PAGEREF _Toc189804875 \h </w:instrText>
        </w:r>
        <w:r w:rsidR="00E54C34">
          <w:rPr>
            <w:noProof/>
            <w:webHidden/>
          </w:rPr>
        </w:r>
        <w:r w:rsidR="00E54C34">
          <w:rPr>
            <w:noProof/>
            <w:webHidden/>
          </w:rPr>
          <w:fldChar w:fldCharType="separate"/>
        </w:r>
        <w:r w:rsidR="00E54C34">
          <w:rPr>
            <w:noProof/>
            <w:webHidden/>
          </w:rPr>
          <w:t>195</w:t>
        </w:r>
        <w:r w:rsidR="00E54C34">
          <w:rPr>
            <w:noProof/>
            <w:webHidden/>
          </w:rPr>
          <w:fldChar w:fldCharType="end"/>
        </w:r>
      </w:hyperlink>
    </w:p>
    <w:p w14:paraId="77FE0E0E" w14:textId="195932F9" w:rsidR="00E54C34" w:rsidRDefault="00C53097">
      <w:pPr>
        <w:pStyle w:val="TDC4"/>
        <w:tabs>
          <w:tab w:val="right" w:leader="dot" w:pos="8828"/>
        </w:tabs>
        <w:rPr>
          <w:rFonts w:eastAsiaTheme="minorEastAsia" w:cstheme="minorBidi"/>
          <w:noProof/>
          <w:sz w:val="22"/>
          <w:szCs w:val="22"/>
          <w:lang w:eastAsia="es-CR"/>
        </w:rPr>
      </w:pPr>
      <w:hyperlink w:anchor="_Toc189804876" w:history="1">
        <w:r w:rsidR="00E54C34" w:rsidRPr="00370E31">
          <w:rPr>
            <w:rStyle w:val="Hipervnculo"/>
            <w:rFonts w:eastAsia="Times New Roman"/>
            <w:noProof/>
          </w:rPr>
          <w:t>NOTA N°36</w:t>
        </w:r>
        <w:r w:rsidR="00E54C34">
          <w:rPr>
            <w:noProof/>
            <w:webHidden/>
          </w:rPr>
          <w:tab/>
        </w:r>
        <w:r w:rsidR="00E54C34">
          <w:rPr>
            <w:noProof/>
            <w:webHidden/>
          </w:rPr>
          <w:fldChar w:fldCharType="begin"/>
        </w:r>
        <w:r w:rsidR="00E54C34">
          <w:rPr>
            <w:noProof/>
            <w:webHidden/>
          </w:rPr>
          <w:instrText xml:space="preserve"> PAGEREF _Toc189804876 \h </w:instrText>
        </w:r>
        <w:r w:rsidR="00E54C34">
          <w:rPr>
            <w:noProof/>
            <w:webHidden/>
          </w:rPr>
        </w:r>
        <w:r w:rsidR="00E54C34">
          <w:rPr>
            <w:noProof/>
            <w:webHidden/>
          </w:rPr>
          <w:fldChar w:fldCharType="separate"/>
        </w:r>
        <w:r w:rsidR="00E54C34">
          <w:rPr>
            <w:noProof/>
            <w:webHidden/>
          </w:rPr>
          <w:t>195</w:t>
        </w:r>
        <w:r w:rsidR="00E54C34">
          <w:rPr>
            <w:noProof/>
            <w:webHidden/>
          </w:rPr>
          <w:fldChar w:fldCharType="end"/>
        </w:r>
      </w:hyperlink>
    </w:p>
    <w:p w14:paraId="686E3069" w14:textId="1916F819" w:rsidR="00E54C34" w:rsidRDefault="00C53097">
      <w:pPr>
        <w:pStyle w:val="TDC4"/>
        <w:tabs>
          <w:tab w:val="right" w:leader="dot" w:pos="8828"/>
        </w:tabs>
        <w:rPr>
          <w:rFonts w:eastAsiaTheme="minorEastAsia" w:cstheme="minorBidi"/>
          <w:noProof/>
          <w:sz w:val="22"/>
          <w:szCs w:val="22"/>
          <w:lang w:eastAsia="es-CR"/>
        </w:rPr>
      </w:pPr>
      <w:hyperlink w:anchor="_Toc189804877" w:history="1">
        <w:r w:rsidR="00E54C34" w:rsidRPr="00370E31">
          <w:rPr>
            <w:rStyle w:val="Hipervnculo"/>
            <w:rFonts w:eastAsia="Times New Roman"/>
            <w:noProof/>
          </w:rPr>
          <w:t>NOTA N° 37</w:t>
        </w:r>
        <w:r w:rsidR="00E54C34">
          <w:rPr>
            <w:noProof/>
            <w:webHidden/>
          </w:rPr>
          <w:tab/>
        </w:r>
        <w:r w:rsidR="00E54C34">
          <w:rPr>
            <w:noProof/>
            <w:webHidden/>
          </w:rPr>
          <w:fldChar w:fldCharType="begin"/>
        </w:r>
        <w:r w:rsidR="00E54C34">
          <w:rPr>
            <w:noProof/>
            <w:webHidden/>
          </w:rPr>
          <w:instrText xml:space="preserve"> PAGEREF _Toc189804877 \h </w:instrText>
        </w:r>
        <w:r w:rsidR="00E54C34">
          <w:rPr>
            <w:noProof/>
            <w:webHidden/>
          </w:rPr>
        </w:r>
        <w:r w:rsidR="00E54C34">
          <w:rPr>
            <w:noProof/>
            <w:webHidden/>
          </w:rPr>
          <w:fldChar w:fldCharType="separate"/>
        </w:r>
        <w:r w:rsidR="00E54C34">
          <w:rPr>
            <w:noProof/>
            <w:webHidden/>
          </w:rPr>
          <w:t>196</w:t>
        </w:r>
        <w:r w:rsidR="00E54C34">
          <w:rPr>
            <w:noProof/>
            <w:webHidden/>
          </w:rPr>
          <w:fldChar w:fldCharType="end"/>
        </w:r>
      </w:hyperlink>
    </w:p>
    <w:p w14:paraId="664419C3" w14:textId="1432A62C" w:rsidR="00E54C34" w:rsidRDefault="00C53097">
      <w:pPr>
        <w:pStyle w:val="TDC3"/>
        <w:tabs>
          <w:tab w:val="right" w:leader="dot" w:pos="8828"/>
        </w:tabs>
        <w:rPr>
          <w:rFonts w:eastAsiaTheme="minorEastAsia" w:cstheme="minorBidi"/>
          <w:noProof/>
          <w:sz w:val="22"/>
          <w:szCs w:val="22"/>
          <w:lang w:eastAsia="es-CR"/>
        </w:rPr>
      </w:pPr>
      <w:hyperlink w:anchor="_Toc189804878" w:history="1">
        <w:r w:rsidR="00E54C34" w:rsidRPr="00370E31">
          <w:rPr>
            <w:rStyle w:val="Hipervnculo"/>
            <w:rFonts w:eastAsia="Calibri"/>
            <w:noProof/>
            <w:lang w:eastAsia="es-CR"/>
          </w:rPr>
          <w:t>4.3 MULTAS, SANCIONES, REMATES Y CONFISCACIONES DE ORIGEN NO TRIBUTARIO</w:t>
        </w:r>
        <w:r w:rsidR="00E54C34">
          <w:rPr>
            <w:noProof/>
            <w:webHidden/>
          </w:rPr>
          <w:tab/>
        </w:r>
        <w:r w:rsidR="00E54C34">
          <w:rPr>
            <w:noProof/>
            <w:webHidden/>
          </w:rPr>
          <w:fldChar w:fldCharType="begin"/>
        </w:r>
        <w:r w:rsidR="00E54C34">
          <w:rPr>
            <w:noProof/>
            <w:webHidden/>
          </w:rPr>
          <w:instrText xml:space="preserve"> PAGEREF _Toc189804878 \h </w:instrText>
        </w:r>
        <w:r w:rsidR="00E54C34">
          <w:rPr>
            <w:noProof/>
            <w:webHidden/>
          </w:rPr>
        </w:r>
        <w:r w:rsidR="00E54C34">
          <w:rPr>
            <w:noProof/>
            <w:webHidden/>
          </w:rPr>
          <w:fldChar w:fldCharType="separate"/>
        </w:r>
        <w:r w:rsidR="00E54C34">
          <w:rPr>
            <w:noProof/>
            <w:webHidden/>
          </w:rPr>
          <w:t>196</w:t>
        </w:r>
        <w:r w:rsidR="00E54C34">
          <w:rPr>
            <w:noProof/>
            <w:webHidden/>
          </w:rPr>
          <w:fldChar w:fldCharType="end"/>
        </w:r>
      </w:hyperlink>
    </w:p>
    <w:p w14:paraId="5D9D4413" w14:textId="31BF2F25" w:rsidR="00E54C34" w:rsidRDefault="00C53097">
      <w:pPr>
        <w:pStyle w:val="TDC4"/>
        <w:tabs>
          <w:tab w:val="right" w:leader="dot" w:pos="8828"/>
        </w:tabs>
        <w:rPr>
          <w:rFonts w:eastAsiaTheme="minorEastAsia" w:cstheme="minorBidi"/>
          <w:noProof/>
          <w:sz w:val="22"/>
          <w:szCs w:val="22"/>
          <w:lang w:eastAsia="es-CR"/>
        </w:rPr>
      </w:pPr>
      <w:hyperlink w:anchor="_Toc189804879" w:history="1">
        <w:r w:rsidR="00E54C34" w:rsidRPr="00370E31">
          <w:rPr>
            <w:rStyle w:val="Hipervnculo"/>
            <w:rFonts w:eastAsia="Times New Roman"/>
            <w:noProof/>
          </w:rPr>
          <w:t>NOTA N° 38</w:t>
        </w:r>
        <w:r w:rsidR="00E54C34">
          <w:rPr>
            <w:noProof/>
            <w:webHidden/>
          </w:rPr>
          <w:tab/>
        </w:r>
        <w:r w:rsidR="00E54C34">
          <w:rPr>
            <w:noProof/>
            <w:webHidden/>
          </w:rPr>
          <w:fldChar w:fldCharType="begin"/>
        </w:r>
        <w:r w:rsidR="00E54C34">
          <w:rPr>
            <w:noProof/>
            <w:webHidden/>
          </w:rPr>
          <w:instrText xml:space="preserve"> PAGEREF _Toc189804879 \h </w:instrText>
        </w:r>
        <w:r w:rsidR="00E54C34">
          <w:rPr>
            <w:noProof/>
            <w:webHidden/>
          </w:rPr>
        </w:r>
        <w:r w:rsidR="00E54C34">
          <w:rPr>
            <w:noProof/>
            <w:webHidden/>
          </w:rPr>
          <w:fldChar w:fldCharType="separate"/>
        </w:r>
        <w:r w:rsidR="00E54C34">
          <w:rPr>
            <w:noProof/>
            <w:webHidden/>
          </w:rPr>
          <w:t>196</w:t>
        </w:r>
        <w:r w:rsidR="00E54C34">
          <w:rPr>
            <w:noProof/>
            <w:webHidden/>
          </w:rPr>
          <w:fldChar w:fldCharType="end"/>
        </w:r>
      </w:hyperlink>
    </w:p>
    <w:p w14:paraId="75497EDE" w14:textId="73EDCFC6" w:rsidR="00E54C34" w:rsidRDefault="00C53097">
      <w:pPr>
        <w:pStyle w:val="TDC4"/>
        <w:tabs>
          <w:tab w:val="right" w:leader="dot" w:pos="8828"/>
        </w:tabs>
        <w:rPr>
          <w:rFonts w:eastAsiaTheme="minorEastAsia" w:cstheme="minorBidi"/>
          <w:noProof/>
          <w:sz w:val="22"/>
          <w:szCs w:val="22"/>
          <w:lang w:eastAsia="es-CR"/>
        </w:rPr>
      </w:pPr>
      <w:hyperlink w:anchor="_Toc189804880" w:history="1">
        <w:r w:rsidR="00E54C34" w:rsidRPr="00370E31">
          <w:rPr>
            <w:rStyle w:val="Hipervnculo"/>
            <w:rFonts w:eastAsia="Times New Roman"/>
            <w:noProof/>
          </w:rPr>
          <w:t>NOTA N° 39</w:t>
        </w:r>
        <w:r w:rsidR="00E54C34">
          <w:rPr>
            <w:noProof/>
            <w:webHidden/>
          </w:rPr>
          <w:tab/>
        </w:r>
        <w:r w:rsidR="00E54C34">
          <w:rPr>
            <w:noProof/>
            <w:webHidden/>
          </w:rPr>
          <w:fldChar w:fldCharType="begin"/>
        </w:r>
        <w:r w:rsidR="00E54C34">
          <w:rPr>
            <w:noProof/>
            <w:webHidden/>
          </w:rPr>
          <w:instrText xml:space="preserve"> PAGEREF _Toc189804880 \h </w:instrText>
        </w:r>
        <w:r w:rsidR="00E54C34">
          <w:rPr>
            <w:noProof/>
            <w:webHidden/>
          </w:rPr>
        </w:r>
        <w:r w:rsidR="00E54C34">
          <w:rPr>
            <w:noProof/>
            <w:webHidden/>
          </w:rPr>
          <w:fldChar w:fldCharType="separate"/>
        </w:r>
        <w:r w:rsidR="00E54C34">
          <w:rPr>
            <w:noProof/>
            <w:webHidden/>
          </w:rPr>
          <w:t>197</w:t>
        </w:r>
        <w:r w:rsidR="00E54C34">
          <w:rPr>
            <w:noProof/>
            <w:webHidden/>
          </w:rPr>
          <w:fldChar w:fldCharType="end"/>
        </w:r>
      </w:hyperlink>
    </w:p>
    <w:p w14:paraId="1F94EF0E" w14:textId="5952F59D" w:rsidR="00E54C34" w:rsidRDefault="00C53097">
      <w:pPr>
        <w:pStyle w:val="TDC4"/>
        <w:tabs>
          <w:tab w:val="right" w:leader="dot" w:pos="8828"/>
        </w:tabs>
        <w:rPr>
          <w:rFonts w:eastAsiaTheme="minorEastAsia" w:cstheme="minorBidi"/>
          <w:noProof/>
          <w:sz w:val="22"/>
          <w:szCs w:val="22"/>
          <w:lang w:eastAsia="es-CR"/>
        </w:rPr>
      </w:pPr>
      <w:hyperlink w:anchor="_Toc189804881" w:history="1">
        <w:r w:rsidR="00E54C34" w:rsidRPr="00370E31">
          <w:rPr>
            <w:rStyle w:val="Hipervnculo"/>
            <w:rFonts w:eastAsia="Times New Roman"/>
            <w:noProof/>
          </w:rPr>
          <w:t>NOTA N° 40</w:t>
        </w:r>
        <w:r w:rsidR="00E54C34">
          <w:rPr>
            <w:noProof/>
            <w:webHidden/>
          </w:rPr>
          <w:tab/>
        </w:r>
        <w:r w:rsidR="00E54C34">
          <w:rPr>
            <w:noProof/>
            <w:webHidden/>
          </w:rPr>
          <w:fldChar w:fldCharType="begin"/>
        </w:r>
        <w:r w:rsidR="00E54C34">
          <w:rPr>
            <w:noProof/>
            <w:webHidden/>
          </w:rPr>
          <w:instrText xml:space="preserve"> PAGEREF _Toc189804881 \h </w:instrText>
        </w:r>
        <w:r w:rsidR="00E54C34">
          <w:rPr>
            <w:noProof/>
            <w:webHidden/>
          </w:rPr>
        </w:r>
        <w:r w:rsidR="00E54C34">
          <w:rPr>
            <w:noProof/>
            <w:webHidden/>
          </w:rPr>
          <w:fldChar w:fldCharType="separate"/>
        </w:r>
        <w:r w:rsidR="00E54C34">
          <w:rPr>
            <w:noProof/>
            <w:webHidden/>
          </w:rPr>
          <w:t>197</w:t>
        </w:r>
        <w:r w:rsidR="00E54C34">
          <w:rPr>
            <w:noProof/>
            <w:webHidden/>
          </w:rPr>
          <w:fldChar w:fldCharType="end"/>
        </w:r>
      </w:hyperlink>
    </w:p>
    <w:p w14:paraId="2FA3AED9" w14:textId="55050E86" w:rsidR="00E54C34" w:rsidRDefault="00C53097">
      <w:pPr>
        <w:pStyle w:val="TDC3"/>
        <w:tabs>
          <w:tab w:val="right" w:leader="dot" w:pos="8828"/>
        </w:tabs>
        <w:rPr>
          <w:rFonts w:eastAsiaTheme="minorEastAsia" w:cstheme="minorBidi"/>
          <w:noProof/>
          <w:sz w:val="22"/>
          <w:szCs w:val="22"/>
          <w:lang w:eastAsia="es-CR"/>
        </w:rPr>
      </w:pPr>
      <w:hyperlink w:anchor="_Toc189804882" w:history="1">
        <w:r w:rsidR="00E54C34" w:rsidRPr="00370E31">
          <w:rPr>
            <w:rStyle w:val="Hipervnculo"/>
            <w:rFonts w:eastAsia="Calibri"/>
            <w:noProof/>
            <w:lang w:eastAsia="es-CR"/>
          </w:rPr>
          <w:t>4.4 INGRESOS Y RESULTADOS POSITIVOS POR VENTAS</w:t>
        </w:r>
        <w:r w:rsidR="00E54C34">
          <w:rPr>
            <w:noProof/>
            <w:webHidden/>
          </w:rPr>
          <w:tab/>
        </w:r>
        <w:r w:rsidR="00E54C34">
          <w:rPr>
            <w:noProof/>
            <w:webHidden/>
          </w:rPr>
          <w:fldChar w:fldCharType="begin"/>
        </w:r>
        <w:r w:rsidR="00E54C34">
          <w:rPr>
            <w:noProof/>
            <w:webHidden/>
          </w:rPr>
          <w:instrText xml:space="preserve"> PAGEREF _Toc189804882 \h </w:instrText>
        </w:r>
        <w:r w:rsidR="00E54C34">
          <w:rPr>
            <w:noProof/>
            <w:webHidden/>
          </w:rPr>
        </w:r>
        <w:r w:rsidR="00E54C34">
          <w:rPr>
            <w:noProof/>
            <w:webHidden/>
          </w:rPr>
          <w:fldChar w:fldCharType="separate"/>
        </w:r>
        <w:r w:rsidR="00E54C34">
          <w:rPr>
            <w:noProof/>
            <w:webHidden/>
          </w:rPr>
          <w:t>197</w:t>
        </w:r>
        <w:r w:rsidR="00E54C34">
          <w:rPr>
            <w:noProof/>
            <w:webHidden/>
          </w:rPr>
          <w:fldChar w:fldCharType="end"/>
        </w:r>
      </w:hyperlink>
    </w:p>
    <w:p w14:paraId="35778E9A" w14:textId="2827F7B1" w:rsidR="00E54C34" w:rsidRDefault="00C53097">
      <w:pPr>
        <w:pStyle w:val="TDC4"/>
        <w:tabs>
          <w:tab w:val="right" w:leader="dot" w:pos="8828"/>
        </w:tabs>
        <w:rPr>
          <w:rFonts w:eastAsiaTheme="minorEastAsia" w:cstheme="minorBidi"/>
          <w:noProof/>
          <w:sz w:val="22"/>
          <w:szCs w:val="22"/>
          <w:lang w:eastAsia="es-CR"/>
        </w:rPr>
      </w:pPr>
      <w:hyperlink w:anchor="_Toc189804883" w:history="1">
        <w:r w:rsidR="00E54C34" w:rsidRPr="00370E31">
          <w:rPr>
            <w:rStyle w:val="Hipervnculo"/>
            <w:rFonts w:eastAsia="Times New Roman"/>
            <w:noProof/>
          </w:rPr>
          <w:t>NOTA N° 41</w:t>
        </w:r>
        <w:r w:rsidR="00E54C34">
          <w:rPr>
            <w:noProof/>
            <w:webHidden/>
          </w:rPr>
          <w:tab/>
        </w:r>
        <w:r w:rsidR="00E54C34">
          <w:rPr>
            <w:noProof/>
            <w:webHidden/>
          </w:rPr>
          <w:fldChar w:fldCharType="begin"/>
        </w:r>
        <w:r w:rsidR="00E54C34">
          <w:rPr>
            <w:noProof/>
            <w:webHidden/>
          </w:rPr>
          <w:instrText xml:space="preserve"> PAGEREF _Toc189804883 \h </w:instrText>
        </w:r>
        <w:r w:rsidR="00E54C34">
          <w:rPr>
            <w:noProof/>
            <w:webHidden/>
          </w:rPr>
        </w:r>
        <w:r w:rsidR="00E54C34">
          <w:rPr>
            <w:noProof/>
            <w:webHidden/>
          </w:rPr>
          <w:fldChar w:fldCharType="separate"/>
        </w:r>
        <w:r w:rsidR="00E54C34">
          <w:rPr>
            <w:noProof/>
            <w:webHidden/>
          </w:rPr>
          <w:t>197</w:t>
        </w:r>
        <w:r w:rsidR="00E54C34">
          <w:rPr>
            <w:noProof/>
            <w:webHidden/>
          </w:rPr>
          <w:fldChar w:fldCharType="end"/>
        </w:r>
      </w:hyperlink>
    </w:p>
    <w:p w14:paraId="46A686A2" w14:textId="4E33A552" w:rsidR="00E54C34" w:rsidRDefault="00C53097">
      <w:pPr>
        <w:pStyle w:val="TDC4"/>
        <w:tabs>
          <w:tab w:val="right" w:leader="dot" w:pos="8828"/>
        </w:tabs>
        <w:rPr>
          <w:rFonts w:eastAsiaTheme="minorEastAsia" w:cstheme="minorBidi"/>
          <w:noProof/>
          <w:sz w:val="22"/>
          <w:szCs w:val="22"/>
          <w:lang w:eastAsia="es-CR"/>
        </w:rPr>
      </w:pPr>
      <w:hyperlink w:anchor="_Toc189804884" w:history="1">
        <w:r w:rsidR="00E54C34" w:rsidRPr="00370E31">
          <w:rPr>
            <w:rStyle w:val="Hipervnculo"/>
            <w:rFonts w:eastAsia="Times New Roman"/>
            <w:noProof/>
          </w:rPr>
          <w:t>NOTA N° 42</w:t>
        </w:r>
        <w:r w:rsidR="00E54C34">
          <w:rPr>
            <w:noProof/>
            <w:webHidden/>
          </w:rPr>
          <w:tab/>
        </w:r>
        <w:r w:rsidR="00E54C34">
          <w:rPr>
            <w:noProof/>
            <w:webHidden/>
          </w:rPr>
          <w:fldChar w:fldCharType="begin"/>
        </w:r>
        <w:r w:rsidR="00E54C34">
          <w:rPr>
            <w:noProof/>
            <w:webHidden/>
          </w:rPr>
          <w:instrText xml:space="preserve"> PAGEREF _Toc189804884 \h </w:instrText>
        </w:r>
        <w:r w:rsidR="00E54C34">
          <w:rPr>
            <w:noProof/>
            <w:webHidden/>
          </w:rPr>
        </w:r>
        <w:r w:rsidR="00E54C34">
          <w:rPr>
            <w:noProof/>
            <w:webHidden/>
          </w:rPr>
          <w:fldChar w:fldCharType="separate"/>
        </w:r>
        <w:r w:rsidR="00E54C34">
          <w:rPr>
            <w:noProof/>
            <w:webHidden/>
          </w:rPr>
          <w:t>199</w:t>
        </w:r>
        <w:r w:rsidR="00E54C34">
          <w:rPr>
            <w:noProof/>
            <w:webHidden/>
          </w:rPr>
          <w:fldChar w:fldCharType="end"/>
        </w:r>
      </w:hyperlink>
    </w:p>
    <w:p w14:paraId="7D87C2C6" w14:textId="1A0BBD46" w:rsidR="00E54C34" w:rsidRDefault="00C53097">
      <w:pPr>
        <w:pStyle w:val="TDC4"/>
        <w:tabs>
          <w:tab w:val="right" w:leader="dot" w:pos="8828"/>
        </w:tabs>
        <w:rPr>
          <w:rFonts w:eastAsiaTheme="minorEastAsia" w:cstheme="minorBidi"/>
          <w:noProof/>
          <w:sz w:val="22"/>
          <w:szCs w:val="22"/>
          <w:lang w:eastAsia="es-CR"/>
        </w:rPr>
      </w:pPr>
      <w:hyperlink w:anchor="_Toc189804885" w:history="1">
        <w:r w:rsidR="00E54C34" w:rsidRPr="00370E31">
          <w:rPr>
            <w:rStyle w:val="Hipervnculo"/>
            <w:rFonts w:eastAsia="Times New Roman"/>
            <w:noProof/>
          </w:rPr>
          <w:t>NOTA N° 43.</w:t>
        </w:r>
        <w:r w:rsidR="00E54C34">
          <w:rPr>
            <w:noProof/>
            <w:webHidden/>
          </w:rPr>
          <w:tab/>
        </w:r>
        <w:r w:rsidR="00E54C34">
          <w:rPr>
            <w:noProof/>
            <w:webHidden/>
          </w:rPr>
          <w:fldChar w:fldCharType="begin"/>
        </w:r>
        <w:r w:rsidR="00E54C34">
          <w:rPr>
            <w:noProof/>
            <w:webHidden/>
          </w:rPr>
          <w:instrText xml:space="preserve"> PAGEREF _Toc189804885 \h </w:instrText>
        </w:r>
        <w:r w:rsidR="00E54C34">
          <w:rPr>
            <w:noProof/>
            <w:webHidden/>
          </w:rPr>
        </w:r>
        <w:r w:rsidR="00E54C34">
          <w:rPr>
            <w:noProof/>
            <w:webHidden/>
          </w:rPr>
          <w:fldChar w:fldCharType="separate"/>
        </w:r>
        <w:r w:rsidR="00E54C34">
          <w:rPr>
            <w:noProof/>
            <w:webHidden/>
          </w:rPr>
          <w:t>199</w:t>
        </w:r>
        <w:r w:rsidR="00E54C34">
          <w:rPr>
            <w:noProof/>
            <w:webHidden/>
          </w:rPr>
          <w:fldChar w:fldCharType="end"/>
        </w:r>
      </w:hyperlink>
    </w:p>
    <w:p w14:paraId="5C482289" w14:textId="70C71BAE" w:rsidR="00E54C34" w:rsidRDefault="00C53097">
      <w:pPr>
        <w:pStyle w:val="TDC4"/>
        <w:tabs>
          <w:tab w:val="right" w:leader="dot" w:pos="8828"/>
        </w:tabs>
        <w:rPr>
          <w:rFonts w:eastAsiaTheme="minorEastAsia" w:cstheme="minorBidi"/>
          <w:noProof/>
          <w:sz w:val="22"/>
          <w:szCs w:val="22"/>
          <w:lang w:eastAsia="es-CR"/>
        </w:rPr>
      </w:pPr>
      <w:hyperlink w:anchor="_Toc189804886" w:history="1">
        <w:r w:rsidR="00E54C34" w:rsidRPr="00370E31">
          <w:rPr>
            <w:rStyle w:val="Hipervnculo"/>
            <w:rFonts w:eastAsia="Times New Roman"/>
            <w:noProof/>
          </w:rPr>
          <w:t>NOTA N° 44</w:t>
        </w:r>
        <w:r w:rsidR="00E54C34">
          <w:rPr>
            <w:noProof/>
            <w:webHidden/>
          </w:rPr>
          <w:tab/>
        </w:r>
        <w:r w:rsidR="00E54C34">
          <w:rPr>
            <w:noProof/>
            <w:webHidden/>
          </w:rPr>
          <w:fldChar w:fldCharType="begin"/>
        </w:r>
        <w:r w:rsidR="00E54C34">
          <w:rPr>
            <w:noProof/>
            <w:webHidden/>
          </w:rPr>
          <w:instrText xml:space="preserve"> PAGEREF _Toc189804886 \h </w:instrText>
        </w:r>
        <w:r w:rsidR="00E54C34">
          <w:rPr>
            <w:noProof/>
            <w:webHidden/>
          </w:rPr>
        </w:r>
        <w:r w:rsidR="00E54C34">
          <w:rPr>
            <w:noProof/>
            <w:webHidden/>
          </w:rPr>
          <w:fldChar w:fldCharType="separate"/>
        </w:r>
        <w:r w:rsidR="00E54C34">
          <w:rPr>
            <w:noProof/>
            <w:webHidden/>
          </w:rPr>
          <w:t>200</w:t>
        </w:r>
        <w:r w:rsidR="00E54C34">
          <w:rPr>
            <w:noProof/>
            <w:webHidden/>
          </w:rPr>
          <w:fldChar w:fldCharType="end"/>
        </w:r>
      </w:hyperlink>
    </w:p>
    <w:p w14:paraId="5661BE4E" w14:textId="785FE8E6" w:rsidR="00E54C34" w:rsidRDefault="00C53097">
      <w:pPr>
        <w:pStyle w:val="TDC4"/>
        <w:tabs>
          <w:tab w:val="right" w:leader="dot" w:pos="8828"/>
        </w:tabs>
        <w:rPr>
          <w:rFonts w:eastAsiaTheme="minorEastAsia" w:cstheme="minorBidi"/>
          <w:noProof/>
          <w:sz w:val="22"/>
          <w:szCs w:val="22"/>
          <w:lang w:eastAsia="es-CR"/>
        </w:rPr>
      </w:pPr>
      <w:hyperlink w:anchor="_Toc189804887" w:history="1">
        <w:r w:rsidR="00E54C34" w:rsidRPr="00370E31">
          <w:rPr>
            <w:rStyle w:val="Hipervnculo"/>
            <w:rFonts w:eastAsia="Times New Roman"/>
            <w:noProof/>
          </w:rPr>
          <w:t>NOTA N° 45</w:t>
        </w:r>
        <w:r w:rsidR="00E54C34">
          <w:rPr>
            <w:noProof/>
            <w:webHidden/>
          </w:rPr>
          <w:tab/>
        </w:r>
        <w:r w:rsidR="00E54C34">
          <w:rPr>
            <w:noProof/>
            <w:webHidden/>
          </w:rPr>
          <w:fldChar w:fldCharType="begin"/>
        </w:r>
        <w:r w:rsidR="00E54C34">
          <w:rPr>
            <w:noProof/>
            <w:webHidden/>
          </w:rPr>
          <w:instrText xml:space="preserve"> PAGEREF _Toc189804887 \h </w:instrText>
        </w:r>
        <w:r w:rsidR="00E54C34">
          <w:rPr>
            <w:noProof/>
            <w:webHidden/>
          </w:rPr>
        </w:r>
        <w:r w:rsidR="00E54C34">
          <w:rPr>
            <w:noProof/>
            <w:webHidden/>
          </w:rPr>
          <w:fldChar w:fldCharType="separate"/>
        </w:r>
        <w:r w:rsidR="00E54C34">
          <w:rPr>
            <w:noProof/>
            <w:webHidden/>
          </w:rPr>
          <w:t>200</w:t>
        </w:r>
        <w:r w:rsidR="00E54C34">
          <w:rPr>
            <w:noProof/>
            <w:webHidden/>
          </w:rPr>
          <w:fldChar w:fldCharType="end"/>
        </w:r>
      </w:hyperlink>
    </w:p>
    <w:p w14:paraId="7ECE9CAF" w14:textId="2DDDAFC5" w:rsidR="00E54C34" w:rsidRDefault="00C53097">
      <w:pPr>
        <w:pStyle w:val="TDC4"/>
        <w:tabs>
          <w:tab w:val="right" w:leader="dot" w:pos="8828"/>
        </w:tabs>
        <w:rPr>
          <w:rFonts w:eastAsiaTheme="minorEastAsia" w:cstheme="minorBidi"/>
          <w:noProof/>
          <w:sz w:val="22"/>
          <w:szCs w:val="22"/>
          <w:lang w:eastAsia="es-CR"/>
        </w:rPr>
      </w:pPr>
      <w:hyperlink w:anchor="_Toc189804888" w:history="1">
        <w:r w:rsidR="00E54C34" w:rsidRPr="00370E31">
          <w:rPr>
            <w:rStyle w:val="Hipervnculo"/>
            <w:rFonts w:eastAsia="Times New Roman"/>
            <w:noProof/>
          </w:rPr>
          <w:t>NOTA N° 46</w:t>
        </w:r>
        <w:r w:rsidR="00E54C34">
          <w:rPr>
            <w:noProof/>
            <w:webHidden/>
          </w:rPr>
          <w:tab/>
        </w:r>
        <w:r w:rsidR="00E54C34">
          <w:rPr>
            <w:noProof/>
            <w:webHidden/>
          </w:rPr>
          <w:fldChar w:fldCharType="begin"/>
        </w:r>
        <w:r w:rsidR="00E54C34">
          <w:rPr>
            <w:noProof/>
            <w:webHidden/>
          </w:rPr>
          <w:instrText xml:space="preserve"> PAGEREF _Toc189804888 \h </w:instrText>
        </w:r>
        <w:r w:rsidR="00E54C34">
          <w:rPr>
            <w:noProof/>
            <w:webHidden/>
          </w:rPr>
        </w:r>
        <w:r w:rsidR="00E54C34">
          <w:rPr>
            <w:noProof/>
            <w:webHidden/>
          </w:rPr>
          <w:fldChar w:fldCharType="separate"/>
        </w:r>
        <w:r w:rsidR="00E54C34">
          <w:rPr>
            <w:noProof/>
            <w:webHidden/>
          </w:rPr>
          <w:t>201</w:t>
        </w:r>
        <w:r w:rsidR="00E54C34">
          <w:rPr>
            <w:noProof/>
            <w:webHidden/>
          </w:rPr>
          <w:fldChar w:fldCharType="end"/>
        </w:r>
      </w:hyperlink>
    </w:p>
    <w:p w14:paraId="575DEA6C" w14:textId="6D1C7E50" w:rsidR="00E54C34" w:rsidRDefault="00C53097">
      <w:pPr>
        <w:pStyle w:val="TDC3"/>
        <w:tabs>
          <w:tab w:val="right" w:leader="dot" w:pos="8828"/>
        </w:tabs>
        <w:rPr>
          <w:rFonts w:eastAsiaTheme="minorEastAsia" w:cstheme="minorBidi"/>
          <w:noProof/>
          <w:sz w:val="22"/>
          <w:szCs w:val="22"/>
          <w:lang w:eastAsia="es-CR"/>
        </w:rPr>
      </w:pPr>
      <w:hyperlink w:anchor="_Toc189804889" w:history="1">
        <w:r w:rsidR="00E54C34" w:rsidRPr="00370E31">
          <w:rPr>
            <w:rStyle w:val="Hipervnculo"/>
            <w:rFonts w:eastAsia="Calibri"/>
            <w:noProof/>
            <w:lang w:eastAsia="es-CR"/>
          </w:rPr>
          <w:t>4.5 INGRESOS DE LA PROPIEDAD</w:t>
        </w:r>
        <w:r w:rsidR="00E54C34">
          <w:rPr>
            <w:noProof/>
            <w:webHidden/>
          </w:rPr>
          <w:tab/>
        </w:r>
        <w:r w:rsidR="00E54C34">
          <w:rPr>
            <w:noProof/>
            <w:webHidden/>
          </w:rPr>
          <w:fldChar w:fldCharType="begin"/>
        </w:r>
        <w:r w:rsidR="00E54C34">
          <w:rPr>
            <w:noProof/>
            <w:webHidden/>
          </w:rPr>
          <w:instrText xml:space="preserve"> PAGEREF _Toc189804889 \h </w:instrText>
        </w:r>
        <w:r w:rsidR="00E54C34">
          <w:rPr>
            <w:noProof/>
            <w:webHidden/>
          </w:rPr>
        </w:r>
        <w:r w:rsidR="00E54C34">
          <w:rPr>
            <w:noProof/>
            <w:webHidden/>
          </w:rPr>
          <w:fldChar w:fldCharType="separate"/>
        </w:r>
        <w:r w:rsidR="00E54C34">
          <w:rPr>
            <w:noProof/>
            <w:webHidden/>
          </w:rPr>
          <w:t>202</w:t>
        </w:r>
        <w:r w:rsidR="00E54C34">
          <w:rPr>
            <w:noProof/>
            <w:webHidden/>
          </w:rPr>
          <w:fldChar w:fldCharType="end"/>
        </w:r>
      </w:hyperlink>
    </w:p>
    <w:p w14:paraId="48F70D05" w14:textId="4CF513B0" w:rsidR="00E54C34" w:rsidRDefault="00C53097">
      <w:pPr>
        <w:pStyle w:val="TDC4"/>
        <w:tabs>
          <w:tab w:val="right" w:leader="dot" w:pos="8828"/>
        </w:tabs>
        <w:rPr>
          <w:rFonts w:eastAsiaTheme="minorEastAsia" w:cstheme="minorBidi"/>
          <w:noProof/>
          <w:sz w:val="22"/>
          <w:szCs w:val="22"/>
          <w:lang w:eastAsia="es-CR"/>
        </w:rPr>
      </w:pPr>
      <w:hyperlink w:anchor="_Toc189804890" w:history="1">
        <w:r w:rsidR="00E54C34" w:rsidRPr="00370E31">
          <w:rPr>
            <w:rStyle w:val="Hipervnculo"/>
            <w:rFonts w:eastAsia="Times New Roman"/>
            <w:noProof/>
          </w:rPr>
          <w:t>NOTA N° 47</w:t>
        </w:r>
        <w:r w:rsidR="00E54C34">
          <w:rPr>
            <w:noProof/>
            <w:webHidden/>
          </w:rPr>
          <w:tab/>
        </w:r>
        <w:r w:rsidR="00E54C34">
          <w:rPr>
            <w:noProof/>
            <w:webHidden/>
          </w:rPr>
          <w:fldChar w:fldCharType="begin"/>
        </w:r>
        <w:r w:rsidR="00E54C34">
          <w:rPr>
            <w:noProof/>
            <w:webHidden/>
          </w:rPr>
          <w:instrText xml:space="preserve"> PAGEREF _Toc189804890 \h </w:instrText>
        </w:r>
        <w:r w:rsidR="00E54C34">
          <w:rPr>
            <w:noProof/>
            <w:webHidden/>
          </w:rPr>
        </w:r>
        <w:r w:rsidR="00E54C34">
          <w:rPr>
            <w:noProof/>
            <w:webHidden/>
          </w:rPr>
          <w:fldChar w:fldCharType="separate"/>
        </w:r>
        <w:r w:rsidR="00E54C34">
          <w:rPr>
            <w:noProof/>
            <w:webHidden/>
          </w:rPr>
          <w:t>202</w:t>
        </w:r>
        <w:r w:rsidR="00E54C34">
          <w:rPr>
            <w:noProof/>
            <w:webHidden/>
          </w:rPr>
          <w:fldChar w:fldCharType="end"/>
        </w:r>
      </w:hyperlink>
    </w:p>
    <w:p w14:paraId="48BB6636" w14:textId="6204E948" w:rsidR="00E54C34" w:rsidRDefault="00C53097">
      <w:pPr>
        <w:pStyle w:val="TDC4"/>
        <w:tabs>
          <w:tab w:val="right" w:leader="dot" w:pos="8828"/>
        </w:tabs>
        <w:rPr>
          <w:rFonts w:eastAsiaTheme="minorEastAsia" w:cstheme="minorBidi"/>
          <w:noProof/>
          <w:sz w:val="22"/>
          <w:szCs w:val="22"/>
          <w:lang w:eastAsia="es-CR"/>
        </w:rPr>
      </w:pPr>
      <w:hyperlink w:anchor="_Toc189804891" w:history="1">
        <w:r w:rsidR="00E54C34" w:rsidRPr="00370E31">
          <w:rPr>
            <w:rStyle w:val="Hipervnculo"/>
            <w:rFonts w:eastAsia="Times New Roman"/>
            <w:noProof/>
          </w:rPr>
          <w:t>NOTA N° 48</w:t>
        </w:r>
        <w:r w:rsidR="00E54C34">
          <w:rPr>
            <w:noProof/>
            <w:webHidden/>
          </w:rPr>
          <w:tab/>
        </w:r>
        <w:r w:rsidR="00E54C34">
          <w:rPr>
            <w:noProof/>
            <w:webHidden/>
          </w:rPr>
          <w:fldChar w:fldCharType="begin"/>
        </w:r>
        <w:r w:rsidR="00E54C34">
          <w:rPr>
            <w:noProof/>
            <w:webHidden/>
          </w:rPr>
          <w:instrText xml:space="preserve"> PAGEREF _Toc189804891 \h </w:instrText>
        </w:r>
        <w:r w:rsidR="00E54C34">
          <w:rPr>
            <w:noProof/>
            <w:webHidden/>
          </w:rPr>
        </w:r>
        <w:r w:rsidR="00E54C34">
          <w:rPr>
            <w:noProof/>
            <w:webHidden/>
          </w:rPr>
          <w:fldChar w:fldCharType="separate"/>
        </w:r>
        <w:r w:rsidR="00E54C34">
          <w:rPr>
            <w:noProof/>
            <w:webHidden/>
          </w:rPr>
          <w:t>203</w:t>
        </w:r>
        <w:r w:rsidR="00E54C34">
          <w:rPr>
            <w:noProof/>
            <w:webHidden/>
          </w:rPr>
          <w:fldChar w:fldCharType="end"/>
        </w:r>
      </w:hyperlink>
    </w:p>
    <w:p w14:paraId="584D06F3" w14:textId="2C670CC0" w:rsidR="00E54C34" w:rsidRDefault="00C53097">
      <w:pPr>
        <w:pStyle w:val="TDC4"/>
        <w:tabs>
          <w:tab w:val="right" w:leader="dot" w:pos="8828"/>
        </w:tabs>
        <w:rPr>
          <w:rFonts w:eastAsiaTheme="minorEastAsia" w:cstheme="minorBidi"/>
          <w:noProof/>
          <w:sz w:val="22"/>
          <w:szCs w:val="22"/>
          <w:lang w:eastAsia="es-CR"/>
        </w:rPr>
      </w:pPr>
      <w:hyperlink w:anchor="_Toc189804892" w:history="1">
        <w:r w:rsidR="00E54C34" w:rsidRPr="00370E31">
          <w:rPr>
            <w:rStyle w:val="Hipervnculo"/>
            <w:rFonts w:eastAsia="Times New Roman"/>
            <w:noProof/>
          </w:rPr>
          <w:t>NOTA N° 49</w:t>
        </w:r>
        <w:r w:rsidR="00E54C34">
          <w:rPr>
            <w:noProof/>
            <w:webHidden/>
          </w:rPr>
          <w:tab/>
        </w:r>
        <w:r w:rsidR="00E54C34">
          <w:rPr>
            <w:noProof/>
            <w:webHidden/>
          </w:rPr>
          <w:fldChar w:fldCharType="begin"/>
        </w:r>
        <w:r w:rsidR="00E54C34">
          <w:rPr>
            <w:noProof/>
            <w:webHidden/>
          </w:rPr>
          <w:instrText xml:space="preserve"> PAGEREF _Toc189804892 \h </w:instrText>
        </w:r>
        <w:r w:rsidR="00E54C34">
          <w:rPr>
            <w:noProof/>
            <w:webHidden/>
          </w:rPr>
        </w:r>
        <w:r w:rsidR="00E54C34">
          <w:rPr>
            <w:noProof/>
            <w:webHidden/>
          </w:rPr>
          <w:fldChar w:fldCharType="separate"/>
        </w:r>
        <w:r w:rsidR="00E54C34">
          <w:rPr>
            <w:noProof/>
            <w:webHidden/>
          </w:rPr>
          <w:t>204</w:t>
        </w:r>
        <w:r w:rsidR="00E54C34">
          <w:rPr>
            <w:noProof/>
            <w:webHidden/>
          </w:rPr>
          <w:fldChar w:fldCharType="end"/>
        </w:r>
      </w:hyperlink>
    </w:p>
    <w:p w14:paraId="1E10703F" w14:textId="027C7D38" w:rsidR="00E54C34" w:rsidRDefault="00C53097">
      <w:pPr>
        <w:pStyle w:val="TDC3"/>
        <w:tabs>
          <w:tab w:val="right" w:leader="dot" w:pos="8828"/>
        </w:tabs>
        <w:rPr>
          <w:rFonts w:eastAsiaTheme="minorEastAsia" w:cstheme="minorBidi"/>
          <w:noProof/>
          <w:sz w:val="22"/>
          <w:szCs w:val="22"/>
          <w:lang w:eastAsia="es-CR"/>
        </w:rPr>
      </w:pPr>
      <w:hyperlink w:anchor="_Toc189804893" w:history="1">
        <w:r w:rsidR="00E54C34" w:rsidRPr="00370E31">
          <w:rPr>
            <w:rStyle w:val="Hipervnculo"/>
            <w:rFonts w:eastAsia="Calibri"/>
            <w:noProof/>
            <w:lang w:eastAsia="es-CR"/>
          </w:rPr>
          <w:t>4.6 TRANSFERENCIAS</w:t>
        </w:r>
        <w:r w:rsidR="00E54C34">
          <w:rPr>
            <w:noProof/>
            <w:webHidden/>
          </w:rPr>
          <w:tab/>
        </w:r>
        <w:r w:rsidR="00E54C34">
          <w:rPr>
            <w:noProof/>
            <w:webHidden/>
          </w:rPr>
          <w:fldChar w:fldCharType="begin"/>
        </w:r>
        <w:r w:rsidR="00E54C34">
          <w:rPr>
            <w:noProof/>
            <w:webHidden/>
          </w:rPr>
          <w:instrText xml:space="preserve"> PAGEREF _Toc189804893 \h </w:instrText>
        </w:r>
        <w:r w:rsidR="00E54C34">
          <w:rPr>
            <w:noProof/>
            <w:webHidden/>
          </w:rPr>
        </w:r>
        <w:r w:rsidR="00E54C34">
          <w:rPr>
            <w:noProof/>
            <w:webHidden/>
          </w:rPr>
          <w:fldChar w:fldCharType="separate"/>
        </w:r>
        <w:r w:rsidR="00E54C34">
          <w:rPr>
            <w:noProof/>
            <w:webHidden/>
          </w:rPr>
          <w:t>204</w:t>
        </w:r>
        <w:r w:rsidR="00E54C34">
          <w:rPr>
            <w:noProof/>
            <w:webHidden/>
          </w:rPr>
          <w:fldChar w:fldCharType="end"/>
        </w:r>
      </w:hyperlink>
    </w:p>
    <w:p w14:paraId="77AEDDCD" w14:textId="5B68EBD0" w:rsidR="00E54C34" w:rsidRDefault="00C53097">
      <w:pPr>
        <w:pStyle w:val="TDC4"/>
        <w:tabs>
          <w:tab w:val="right" w:leader="dot" w:pos="8828"/>
        </w:tabs>
        <w:rPr>
          <w:rFonts w:eastAsiaTheme="minorEastAsia" w:cstheme="minorBidi"/>
          <w:noProof/>
          <w:sz w:val="22"/>
          <w:szCs w:val="22"/>
          <w:lang w:eastAsia="es-CR"/>
        </w:rPr>
      </w:pPr>
      <w:hyperlink w:anchor="_Toc189804894" w:history="1">
        <w:r w:rsidR="00E54C34" w:rsidRPr="00370E31">
          <w:rPr>
            <w:rStyle w:val="Hipervnculo"/>
            <w:rFonts w:eastAsia="Times New Roman"/>
            <w:noProof/>
          </w:rPr>
          <w:t>NOTA N° 50</w:t>
        </w:r>
        <w:r w:rsidR="00E54C34">
          <w:rPr>
            <w:noProof/>
            <w:webHidden/>
          </w:rPr>
          <w:tab/>
        </w:r>
        <w:r w:rsidR="00E54C34">
          <w:rPr>
            <w:noProof/>
            <w:webHidden/>
          </w:rPr>
          <w:fldChar w:fldCharType="begin"/>
        </w:r>
        <w:r w:rsidR="00E54C34">
          <w:rPr>
            <w:noProof/>
            <w:webHidden/>
          </w:rPr>
          <w:instrText xml:space="preserve"> PAGEREF _Toc189804894 \h </w:instrText>
        </w:r>
        <w:r w:rsidR="00E54C34">
          <w:rPr>
            <w:noProof/>
            <w:webHidden/>
          </w:rPr>
        </w:r>
        <w:r w:rsidR="00E54C34">
          <w:rPr>
            <w:noProof/>
            <w:webHidden/>
          </w:rPr>
          <w:fldChar w:fldCharType="separate"/>
        </w:r>
        <w:r w:rsidR="00E54C34">
          <w:rPr>
            <w:noProof/>
            <w:webHidden/>
          </w:rPr>
          <w:t>204</w:t>
        </w:r>
        <w:r w:rsidR="00E54C34">
          <w:rPr>
            <w:noProof/>
            <w:webHidden/>
          </w:rPr>
          <w:fldChar w:fldCharType="end"/>
        </w:r>
      </w:hyperlink>
    </w:p>
    <w:p w14:paraId="0A7FF52A" w14:textId="69550D09" w:rsidR="00E54C34" w:rsidRDefault="00C53097">
      <w:pPr>
        <w:pStyle w:val="TDC4"/>
        <w:tabs>
          <w:tab w:val="right" w:leader="dot" w:pos="8828"/>
        </w:tabs>
        <w:rPr>
          <w:rFonts w:eastAsiaTheme="minorEastAsia" w:cstheme="minorBidi"/>
          <w:noProof/>
          <w:sz w:val="22"/>
          <w:szCs w:val="22"/>
          <w:lang w:eastAsia="es-CR"/>
        </w:rPr>
      </w:pPr>
      <w:hyperlink w:anchor="_Toc189804895" w:history="1">
        <w:r w:rsidR="00E54C34" w:rsidRPr="00370E31">
          <w:rPr>
            <w:rStyle w:val="Hipervnculo"/>
            <w:rFonts w:eastAsia="Times New Roman"/>
            <w:noProof/>
          </w:rPr>
          <w:t>NOTA N° 51</w:t>
        </w:r>
        <w:r w:rsidR="00E54C34">
          <w:rPr>
            <w:noProof/>
            <w:webHidden/>
          </w:rPr>
          <w:tab/>
        </w:r>
        <w:r w:rsidR="00E54C34">
          <w:rPr>
            <w:noProof/>
            <w:webHidden/>
          </w:rPr>
          <w:fldChar w:fldCharType="begin"/>
        </w:r>
        <w:r w:rsidR="00E54C34">
          <w:rPr>
            <w:noProof/>
            <w:webHidden/>
          </w:rPr>
          <w:instrText xml:space="preserve"> PAGEREF _Toc189804895 \h </w:instrText>
        </w:r>
        <w:r w:rsidR="00E54C34">
          <w:rPr>
            <w:noProof/>
            <w:webHidden/>
          </w:rPr>
        </w:r>
        <w:r w:rsidR="00E54C34">
          <w:rPr>
            <w:noProof/>
            <w:webHidden/>
          </w:rPr>
          <w:fldChar w:fldCharType="separate"/>
        </w:r>
        <w:r w:rsidR="00E54C34">
          <w:rPr>
            <w:noProof/>
            <w:webHidden/>
          </w:rPr>
          <w:t>205</w:t>
        </w:r>
        <w:r w:rsidR="00E54C34">
          <w:rPr>
            <w:noProof/>
            <w:webHidden/>
          </w:rPr>
          <w:fldChar w:fldCharType="end"/>
        </w:r>
      </w:hyperlink>
    </w:p>
    <w:p w14:paraId="69ED111D" w14:textId="635F3F81" w:rsidR="00E54C34" w:rsidRDefault="00C53097">
      <w:pPr>
        <w:pStyle w:val="TDC4"/>
        <w:tabs>
          <w:tab w:val="right" w:leader="dot" w:pos="8828"/>
        </w:tabs>
        <w:rPr>
          <w:rFonts w:eastAsiaTheme="minorEastAsia" w:cstheme="minorBidi"/>
          <w:noProof/>
          <w:sz w:val="22"/>
          <w:szCs w:val="22"/>
          <w:lang w:eastAsia="es-CR"/>
        </w:rPr>
      </w:pPr>
      <w:hyperlink w:anchor="_Toc189804896" w:history="1">
        <w:r w:rsidR="00E54C34" w:rsidRPr="00370E31">
          <w:rPr>
            <w:rStyle w:val="Hipervnculo"/>
            <w:rFonts w:eastAsia="Times New Roman"/>
            <w:noProof/>
          </w:rPr>
          <w:t>Transferencias de capital</w:t>
        </w:r>
        <w:r w:rsidR="00E54C34">
          <w:rPr>
            <w:noProof/>
            <w:webHidden/>
          </w:rPr>
          <w:tab/>
        </w:r>
        <w:r w:rsidR="00E54C34">
          <w:rPr>
            <w:noProof/>
            <w:webHidden/>
          </w:rPr>
          <w:fldChar w:fldCharType="begin"/>
        </w:r>
        <w:r w:rsidR="00E54C34">
          <w:rPr>
            <w:noProof/>
            <w:webHidden/>
          </w:rPr>
          <w:instrText xml:space="preserve"> PAGEREF _Toc189804896 \h </w:instrText>
        </w:r>
        <w:r w:rsidR="00E54C34">
          <w:rPr>
            <w:noProof/>
            <w:webHidden/>
          </w:rPr>
        </w:r>
        <w:r w:rsidR="00E54C34">
          <w:rPr>
            <w:noProof/>
            <w:webHidden/>
          </w:rPr>
          <w:fldChar w:fldCharType="separate"/>
        </w:r>
        <w:r w:rsidR="00E54C34">
          <w:rPr>
            <w:noProof/>
            <w:webHidden/>
          </w:rPr>
          <w:t>205</w:t>
        </w:r>
        <w:r w:rsidR="00E54C34">
          <w:rPr>
            <w:noProof/>
            <w:webHidden/>
          </w:rPr>
          <w:fldChar w:fldCharType="end"/>
        </w:r>
      </w:hyperlink>
    </w:p>
    <w:p w14:paraId="46B682F7" w14:textId="703398A9" w:rsidR="00E54C34" w:rsidRDefault="00C53097">
      <w:pPr>
        <w:pStyle w:val="TDC3"/>
        <w:tabs>
          <w:tab w:val="right" w:leader="dot" w:pos="8828"/>
        </w:tabs>
        <w:rPr>
          <w:rFonts w:eastAsiaTheme="minorEastAsia" w:cstheme="minorBidi"/>
          <w:noProof/>
          <w:sz w:val="22"/>
          <w:szCs w:val="22"/>
          <w:lang w:eastAsia="es-CR"/>
        </w:rPr>
      </w:pPr>
      <w:hyperlink w:anchor="_Toc189804897" w:history="1">
        <w:r w:rsidR="00E54C34" w:rsidRPr="00370E31">
          <w:rPr>
            <w:rStyle w:val="Hipervnculo"/>
            <w:rFonts w:eastAsia="Calibri"/>
            <w:noProof/>
            <w:lang w:eastAsia="es-CR"/>
          </w:rPr>
          <w:t>4.9 OTROS INGRESOS</w:t>
        </w:r>
        <w:r w:rsidR="00E54C34">
          <w:rPr>
            <w:noProof/>
            <w:webHidden/>
          </w:rPr>
          <w:tab/>
        </w:r>
        <w:r w:rsidR="00E54C34">
          <w:rPr>
            <w:noProof/>
            <w:webHidden/>
          </w:rPr>
          <w:fldChar w:fldCharType="begin"/>
        </w:r>
        <w:r w:rsidR="00E54C34">
          <w:rPr>
            <w:noProof/>
            <w:webHidden/>
          </w:rPr>
          <w:instrText xml:space="preserve"> PAGEREF _Toc189804897 \h </w:instrText>
        </w:r>
        <w:r w:rsidR="00E54C34">
          <w:rPr>
            <w:noProof/>
            <w:webHidden/>
          </w:rPr>
        </w:r>
        <w:r w:rsidR="00E54C34">
          <w:rPr>
            <w:noProof/>
            <w:webHidden/>
          </w:rPr>
          <w:fldChar w:fldCharType="separate"/>
        </w:r>
        <w:r w:rsidR="00E54C34">
          <w:rPr>
            <w:noProof/>
            <w:webHidden/>
          </w:rPr>
          <w:t>206</w:t>
        </w:r>
        <w:r w:rsidR="00E54C34">
          <w:rPr>
            <w:noProof/>
            <w:webHidden/>
          </w:rPr>
          <w:fldChar w:fldCharType="end"/>
        </w:r>
      </w:hyperlink>
    </w:p>
    <w:p w14:paraId="62CB1A1E" w14:textId="3A3D6B2E" w:rsidR="00E54C34" w:rsidRDefault="00C53097">
      <w:pPr>
        <w:pStyle w:val="TDC4"/>
        <w:tabs>
          <w:tab w:val="right" w:leader="dot" w:pos="8828"/>
        </w:tabs>
        <w:rPr>
          <w:rFonts w:eastAsiaTheme="minorEastAsia" w:cstheme="minorBidi"/>
          <w:noProof/>
          <w:sz w:val="22"/>
          <w:szCs w:val="22"/>
          <w:lang w:eastAsia="es-CR"/>
        </w:rPr>
      </w:pPr>
      <w:hyperlink w:anchor="_Toc189804898" w:history="1">
        <w:r w:rsidR="00E54C34" w:rsidRPr="00370E31">
          <w:rPr>
            <w:rStyle w:val="Hipervnculo"/>
            <w:rFonts w:eastAsia="Times New Roman"/>
            <w:noProof/>
          </w:rPr>
          <w:t>NOTA N° 52</w:t>
        </w:r>
        <w:r w:rsidR="00E54C34">
          <w:rPr>
            <w:noProof/>
            <w:webHidden/>
          </w:rPr>
          <w:tab/>
        </w:r>
        <w:r w:rsidR="00E54C34">
          <w:rPr>
            <w:noProof/>
            <w:webHidden/>
          </w:rPr>
          <w:fldChar w:fldCharType="begin"/>
        </w:r>
        <w:r w:rsidR="00E54C34">
          <w:rPr>
            <w:noProof/>
            <w:webHidden/>
          </w:rPr>
          <w:instrText xml:space="preserve"> PAGEREF _Toc189804898 \h </w:instrText>
        </w:r>
        <w:r w:rsidR="00E54C34">
          <w:rPr>
            <w:noProof/>
            <w:webHidden/>
          </w:rPr>
        </w:r>
        <w:r w:rsidR="00E54C34">
          <w:rPr>
            <w:noProof/>
            <w:webHidden/>
          </w:rPr>
          <w:fldChar w:fldCharType="separate"/>
        </w:r>
        <w:r w:rsidR="00E54C34">
          <w:rPr>
            <w:noProof/>
            <w:webHidden/>
          </w:rPr>
          <w:t>206</w:t>
        </w:r>
        <w:r w:rsidR="00E54C34">
          <w:rPr>
            <w:noProof/>
            <w:webHidden/>
          </w:rPr>
          <w:fldChar w:fldCharType="end"/>
        </w:r>
      </w:hyperlink>
    </w:p>
    <w:p w14:paraId="24B5C951" w14:textId="6B6063C6" w:rsidR="00E54C34" w:rsidRDefault="00C53097">
      <w:pPr>
        <w:pStyle w:val="TDC4"/>
        <w:tabs>
          <w:tab w:val="right" w:leader="dot" w:pos="8828"/>
        </w:tabs>
        <w:rPr>
          <w:rFonts w:eastAsiaTheme="minorEastAsia" w:cstheme="minorBidi"/>
          <w:noProof/>
          <w:sz w:val="22"/>
          <w:szCs w:val="22"/>
          <w:lang w:eastAsia="es-CR"/>
        </w:rPr>
      </w:pPr>
      <w:hyperlink w:anchor="_Toc189804899" w:history="1">
        <w:r w:rsidR="00E54C34" w:rsidRPr="00370E31">
          <w:rPr>
            <w:rStyle w:val="Hipervnculo"/>
            <w:rFonts w:eastAsia="Times New Roman"/>
            <w:noProof/>
          </w:rPr>
          <w:t>NOTA N° 53</w:t>
        </w:r>
        <w:r w:rsidR="00E54C34">
          <w:rPr>
            <w:noProof/>
            <w:webHidden/>
          </w:rPr>
          <w:tab/>
        </w:r>
        <w:r w:rsidR="00E54C34">
          <w:rPr>
            <w:noProof/>
            <w:webHidden/>
          </w:rPr>
          <w:fldChar w:fldCharType="begin"/>
        </w:r>
        <w:r w:rsidR="00E54C34">
          <w:rPr>
            <w:noProof/>
            <w:webHidden/>
          </w:rPr>
          <w:instrText xml:space="preserve"> PAGEREF _Toc189804899 \h </w:instrText>
        </w:r>
        <w:r w:rsidR="00E54C34">
          <w:rPr>
            <w:noProof/>
            <w:webHidden/>
          </w:rPr>
        </w:r>
        <w:r w:rsidR="00E54C34">
          <w:rPr>
            <w:noProof/>
            <w:webHidden/>
          </w:rPr>
          <w:fldChar w:fldCharType="separate"/>
        </w:r>
        <w:r w:rsidR="00E54C34">
          <w:rPr>
            <w:noProof/>
            <w:webHidden/>
          </w:rPr>
          <w:t>206</w:t>
        </w:r>
        <w:r w:rsidR="00E54C34">
          <w:rPr>
            <w:noProof/>
            <w:webHidden/>
          </w:rPr>
          <w:fldChar w:fldCharType="end"/>
        </w:r>
      </w:hyperlink>
    </w:p>
    <w:p w14:paraId="6CF8E8C9" w14:textId="212BA7FD" w:rsidR="00E54C34" w:rsidRDefault="00C53097">
      <w:pPr>
        <w:pStyle w:val="TDC4"/>
        <w:tabs>
          <w:tab w:val="right" w:leader="dot" w:pos="8828"/>
        </w:tabs>
        <w:rPr>
          <w:rFonts w:eastAsiaTheme="minorEastAsia" w:cstheme="minorBidi"/>
          <w:noProof/>
          <w:sz w:val="22"/>
          <w:szCs w:val="22"/>
          <w:lang w:eastAsia="es-CR"/>
        </w:rPr>
      </w:pPr>
      <w:hyperlink w:anchor="_Toc189804900" w:history="1">
        <w:r w:rsidR="00E54C34" w:rsidRPr="00370E31">
          <w:rPr>
            <w:rStyle w:val="Hipervnculo"/>
            <w:rFonts w:eastAsia="Times New Roman"/>
            <w:noProof/>
          </w:rPr>
          <w:t>NOTA N° 54</w:t>
        </w:r>
        <w:r w:rsidR="00E54C34">
          <w:rPr>
            <w:noProof/>
            <w:webHidden/>
          </w:rPr>
          <w:tab/>
        </w:r>
        <w:r w:rsidR="00E54C34">
          <w:rPr>
            <w:noProof/>
            <w:webHidden/>
          </w:rPr>
          <w:fldChar w:fldCharType="begin"/>
        </w:r>
        <w:r w:rsidR="00E54C34">
          <w:rPr>
            <w:noProof/>
            <w:webHidden/>
          </w:rPr>
          <w:instrText xml:space="preserve"> PAGEREF _Toc189804900 \h </w:instrText>
        </w:r>
        <w:r w:rsidR="00E54C34">
          <w:rPr>
            <w:noProof/>
            <w:webHidden/>
          </w:rPr>
        </w:r>
        <w:r w:rsidR="00E54C34">
          <w:rPr>
            <w:noProof/>
            <w:webHidden/>
          </w:rPr>
          <w:fldChar w:fldCharType="separate"/>
        </w:r>
        <w:r w:rsidR="00E54C34">
          <w:rPr>
            <w:noProof/>
            <w:webHidden/>
          </w:rPr>
          <w:t>207</w:t>
        </w:r>
        <w:r w:rsidR="00E54C34">
          <w:rPr>
            <w:noProof/>
            <w:webHidden/>
          </w:rPr>
          <w:fldChar w:fldCharType="end"/>
        </w:r>
      </w:hyperlink>
    </w:p>
    <w:p w14:paraId="24076859" w14:textId="331C24D6" w:rsidR="00E54C34" w:rsidRDefault="00C53097">
      <w:pPr>
        <w:pStyle w:val="TDC4"/>
        <w:tabs>
          <w:tab w:val="right" w:leader="dot" w:pos="8828"/>
        </w:tabs>
        <w:rPr>
          <w:rFonts w:eastAsiaTheme="minorEastAsia" w:cstheme="minorBidi"/>
          <w:noProof/>
          <w:sz w:val="22"/>
          <w:szCs w:val="22"/>
          <w:lang w:eastAsia="es-CR"/>
        </w:rPr>
      </w:pPr>
      <w:hyperlink w:anchor="_Toc189804901" w:history="1">
        <w:r w:rsidR="00E54C34" w:rsidRPr="00370E31">
          <w:rPr>
            <w:rStyle w:val="Hipervnculo"/>
            <w:rFonts w:eastAsia="Times New Roman"/>
            <w:noProof/>
          </w:rPr>
          <w:t>NOTA N° 55</w:t>
        </w:r>
        <w:r w:rsidR="00E54C34">
          <w:rPr>
            <w:noProof/>
            <w:webHidden/>
          </w:rPr>
          <w:tab/>
        </w:r>
        <w:r w:rsidR="00E54C34">
          <w:rPr>
            <w:noProof/>
            <w:webHidden/>
          </w:rPr>
          <w:fldChar w:fldCharType="begin"/>
        </w:r>
        <w:r w:rsidR="00E54C34">
          <w:rPr>
            <w:noProof/>
            <w:webHidden/>
          </w:rPr>
          <w:instrText xml:space="preserve"> PAGEREF _Toc189804901 \h </w:instrText>
        </w:r>
        <w:r w:rsidR="00E54C34">
          <w:rPr>
            <w:noProof/>
            <w:webHidden/>
          </w:rPr>
        </w:r>
        <w:r w:rsidR="00E54C34">
          <w:rPr>
            <w:noProof/>
            <w:webHidden/>
          </w:rPr>
          <w:fldChar w:fldCharType="separate"/>
        </w:r>
        <w:r w:rsidR="00E54C34">
          <w:rPr>
            <w:noProof/>
            <w:webHidden/>
          </w:rPr>
          <w:t>207</w:t>
        </w:r>
        <w:r w:rsidR="00E54C34">
          <w:rPr>
            <w:noProof/>
            <w:webHidden/>
          </w:rPr>
          <w:fldChar w:fldCharType="end"/>
        </w:r>
      </w:hyperlink>
    </w:p>
    <w:p w14:paraId="4B3AE597" w14:textId="592DD529" w:rsidR="00E54C34" w:rsidRDefault="00C53097">
      <w:pPr>
        <w:pStyle w:val="TDC4"/>
        <w:tabs>
          <w:tab w:val="right" w:leader="dot" w:pos="8828"/>
        </w:tabs>
        <w:rPr>
          <w:rFonts w:eastAsiaTheme="minorEastAsia" w:cstheme="minorBidi"/>
          <w:noProof/>
          <w:sz w:val="22"/>
          <w:szCs w:val="22"/>
          <w:lang w:eastAsia="es-CR"/>
        </w:rPr>
      </w:pPr>
      <w:hyperlink w:anchor="_Toc189804902" w:history="1">
        <w:r w:rsidR="00E54C34" w:rsidRPr="00370E31">
          <w:rPr>
            <w:rStyle w:val="Hipervnculo"/>
            <w:rFonts w:eastAsia="Times New Roman"/>
            <w:noProof/>
          </w:rPr>
          <w:t>NOTA N° 56</w:t>
        </w:r>
        <w:r w:rsidR="00E54C34">
          <w:rPr>
            <w:noProof/>
            <w:webHidden/>
          </w:rPr>
          <w:tab/>
        </w:r>
        <w:r w:rsidR="00E54C34">
          <w:rPr>
            <w:noProof/>
            <w:webHidden/>
          </w:rPr>
          <w:fldChar w:fldCharType="begin"/>
        </w:r>
        <w:r w:rsidR="00E54C34">
          <w:rPr>
            <w:noProof/>
            <w:webHidden/>
          </w:rPr>
          <w:instrText xml:space="preserve"> PAGEREF _Toc189804902 \h </w:instrText>
        </w:r>
        <w:r w:rsidR="00E54C34">
          <w:rPr>
            <w:noProof/>
            <w:webHidden/>
          </w:rPr>
        </w:r>
        <w:r w:rsidR="00E54C34">
          <w:rPr>
            <w:noProof/>
            <w:webHidden/>
          </w:rPr>
          <w:fldChar w:fldCharType="separate"/>
        </w:r>
        <w:r w:rsidR="00E54C34">
          <w:rPr>
            <w:noProof/>
            <w:webHidden/>
          </w:rPr>
          <w:t>208</w:t>
        </w:r>
        <w:r w:rsidR="00E54C34">
          <w:rPr>
            <w:noProof/>
            <w:webHidden/>
          </w:rPr>
          <w:fldChar w:fldCharType="end"/>
        </w:r>
      </w:hyperlink>
    </w:p>
    <w:p w14:paraId="2D86A1BB" w14:textId="56E7DFEA" w:rsidR="00E54C34" w:rsidRDefault="00C53097">
      <w:pPr>
        <w:pStyle w:val="TDC4"/>
        <w:tabs>
          <w:tab w:val="right" w:leader="dot" w:pos="8828"/>
        </w:tabs>
        <w:rPr>
          <w:rFonts w:eastAsiaTheme="minorEastAsia" w:cstheme="minorBidi"/>
          <w:noProof/>
          <w:sz w:val="22"/>
          <w:szCs w:val="22"/>
          <w:lang w:eastAsia="es-CR"/>
        </w:rPr>
      </w:pPr>
      <w:hyperlink w:anchor="_Toc189804903" w:history="1">
        <w:r w:rsidR="00E54C34" w:rsidRPr="00370E31">
          <w:rPr>
            <w:rStyle w:val="Hipervnculo"/>
            <w:rFonts w:eastAsia="Times New Roman"/>
            <w:noProof/>
          </w:rPr>
          <w:t>NOTA N° 57</w:t>
        </w:r>
        <w:r w:rsidR="00E54C34">
          <w:rPr>
            <w:noProof/>
            <w:webHidden/>
          </w:rPr>
          <w:tab/>
        </w:r>
        <w:r w:rsidR="00E54C34">
          <w:rPr>
            <w:noProof/>
            <w:webHidden/>
          </w:rPr>
          <w:fldChar w:fldCharType="begin"/>
        </w:r>
        <w:r w:rsidR="00E54C34">
          <w:rPr>
            <w:noProof/>
            <w:webHidden/>
          </w:rPr>
          <w:instrText xml:space="preserve"> PAGEREF _Toc189804903 \h </w:instrText>
        </w:r>
        <w:r w:rsidR="00E54C34">
          <w:rPr>
            <w:noProof/>
            <w:webHidden/>
          </w:rPr>
        </w:r>
        <w:r w:rsidR="00E54C34">
          <w:rPr>
            <w:noProof/>
            <w:webHidden/>
          </w:rPr>
          <w:fldChar w:fldCharType="separate"/>
        </w:r>
        <w:r w:rsidR="00E54C34">
          <w:rPr>
            <w:noProof/>
            <w:webHidden/>
          </w:rPr>
          <w:t>208</w:t>
        </w:r>
        <w:r w:rsidR="00E54C34">
          <w:rPr>
            <w:noProof/>
            <w:webHidden/>
          </w:rPr>
          <w:fldChar w:fldCharType="end"/>
        </w:r>
      </w:hyperlink>
    </w:p>
    <w:p w14:paraId="20F74E8A" w14:textId="6FFB3DC5" w:rsidR="00E54C34" w:rsidRDefault="00C53097">
      <w:pPr>
        <w:pStyle w:val="TDC4"/>
        <w:tabs>
          <w:tab w:val="right" w:leader="dot" w:pos="8828"/>
        </w:tabs>
        <w:rPr>
          <w:rFonts w:eastAsiaTheme="minorEastAsia" w:cstheme="minorBidi"/>
          <w:noProof/>
          <w:sz w:val="22"/>
          <w:szCs w:val="22"/>
          <w:lang w:eastAsia="es-CR"/>
        </w:rPr>
      </w:pPr>
      <w:hyperlink w:anchor="_Toc189804904" w:history="1">
        <w:r w:rsidR="00E54C34" w:rsidRPr="00370E31">
          <w:rPr>
            <w:rStyle w:val="Hipervnculo"/>
            <w:rFonts w:eastAsia="Times New Roman"/>
            <w:noProof/>
          </w:rPr>
          <w:t>NOTA N° 58</w:t>
        </w:r>
        <w:r w:rsidR="00E54C34">
          <w:rPr>
            <w:noProof/>
            <w:webHidden/>
          </w:rPr>
          <w:tab/>
        </w:r>
        <w:r w:rsidR="00E54C34">
          <w:rPr>
            <w:noProof/>
            <w:webHidden/>
          </w:rPr>
          <w:fldChar w:fldCharType="begin"/>
        </w:r>
        <w:r w:rsidR="00E54C34">
          <w:rPr>
            <w:noProof/>
            <w:webHidden/>
          </w:rPr>
          <w:instrText xml:space="preserve"> PAGEREF _Toc189804904 \h </w:instrText>
        </w:r>
        <w:r w:rsidR="00E54C34">
          <w:rPr>
            <w:noProof/>
            <w:webHidden/>
          </w:rPr>
        </w:r>
        <w:r w:rsidR="00E54C34">
          <w:rPr>
            <w:noProof/>
            <w:webHidden/>
          </w:rPr>
          <w:fldChar w:fldCharType="separate"/>
        </w:r>
        <w:r w:rsidR="00E54C34">
          <w:rPr>
            <w:noProof/>
            <w:webHidden/>
          </w:rPr>
          <w:t>209</w:t>
        </w:r>
        <w:r w:rsidR="00E54C34">
          <w:rPr>
            <w:noProof/>
            <w:webHidden/>
          </w:rPr>
          <w:fldChar w:fldCharType="end"/>
        </w:r>
      </w:hyperlink>
    </w:p>
    <w:p w14:paraId="4A8CC22C" w14:textId="0328947B" w:rsidR="00E54C34" w:rsidRDefault="00C53097">
      <w:pPr>
        <w:pStyle w:val="TDC3"/>
        <w:tabs>
          <w:tab w:val="right" w:leader="dot" w:pos="8828"/>
        </w:tabs>
        <w:rPr>
          <w:rFonts w:eastAsiaTheme="minorEastAsia" w:cstheme="minorBidi"/>
          <w:noProof/>
          <w:sz w:val="22"/>
          <w:szCs w:val="22"/>
          <w:lang w:eastAsia="es-CR"/>
        </w:rPr>
      </w:pPr>
      <w:hyperlink w:anchor="_Toc189804905" w:history="1">
        <w:r w:rsidR="00E54C34" w:rsidRPr="00370E31">
          <w:rPr>
            <w:rStyle w:val="Hipervnculo"/>
            <w:rFonts w:eastAsia="Times New Roman"/>
            <w:noProof/>
            <w:lang w:eastAsia="es-CR"/>
          </w:rPr>
          <w:t>5. GASTOS</w:t>
        </w:r>
        <w:r w:rsidR="00E54C34">
          <w:rPr>
            <w:noProof/>
            <w:webHidden/>
          </w:rPr>
          <w:tab/>
        </w:r>
        <w:r w:rsidR="00E54C34">
          <w:rPr>
            <w:noProof/>
            <w:webHidden/>
          </w:rPr>
          <w:fldChar w:fldCharType="begin"/>
        </w:r>
        <w:r w:rsidR="00E54C34">
          <w:rPr>
            <w:noProof/>
            <w:webHidden/>
          </w:rPr>
          <w:instrText xml:space="preserve"> PAGEREF _Toc189804905 \h </w:instrText>
        </w:r>
        <w:r w:rsidR="00E54C34">
          <w:rPr>
            <w:noProof/>
            <w:webHidden/>
          </w:rPr>
        </w:r>
        <w:r w:rsidR="00E54C34">
          <w:rPr>
            <w:noProof/>
            <w:webHidden/>
          </w:rPr>
          <w:fldChar w:fldCharType="separate"/>
        </w:r>
        <w:r w:rsidR="00E54C34">
          <w:rPr>
            <w:noProof/>
            <w:webHidden/>
          </w:rPr>
          <w:t>210</w:t>
        </w:r>
        <w:r w:rsidR="00E54C34">
          <w:rPr>
            <w:noProof/>
            <w:webHidden/>
          </w:rPr>
          <w:fldChar w:fldCharType="end"/>
        </w:r>
      </w:hyperlink>
    </w:p>
    <w:p w14:paraId="1501FB1D" w14:textId="1CE4C5DC" w:rsidR="00E54C34" w:rsidRDefault="00C53097">
      <w:pPr>
        <w:pStyle w:val="TDC3"/>
        <w:tabs>
          <w:tab w:val="right" w:leader="dot" w:pos="8828"/>
        </w:tabs>
        <w:rPr>
          <w:rFonts w:eastAsiaTheme="minorEastAsia" w:cstheme="minorBidi"/>
          <w:noProof/>
          <w:sz w:val="22"/>
          <w:szCs w:val="22"/>
          <w:lang w:eastAsia="es-CR"/>
        </w:rPr>
      </w:pPr>
      <w:hyperlink w:anchor="_Toc189804906" w:history="1">
        <w:r w:rsidR="00E54C34" w:rsidRPr="00370E31">
          <w:rPr>
            <w:rStyle w:val="Hipervnculo"/>
            <w:rFonts w:eastAsia="Calibri"/>
            <w:noProof/>
            <w:lang w:eastAsia="es-CR"/>
          </w:rPr>
          <w:t>5.1 GASTOS DE FUNCIONAMIENTO</w:t>
        </w:r>
        <w:r w:rsidR="00E54C34">
          <w:rPr>
            <w:noProof/>
            <w:webHidden/>
          </w:rPr>
          <w:tab/>
        </w:r>
        <w:r w:rsidR="00E54C34">
          <w:rPr>
            <w:noProof/>
            <w:webHidden/>
          </w:rPr>
          <w:fldChar w:fldCharType="begin"/>
        </w:r>
        <w:r w:rsidR="00E54C34">
          <w:rPr>
            <w:noProof/>
            <w:webHidden/>
          </w:rPr>
          <w:instrText xml:space="preserve"> PAGEREF _Toc189804906 \h </w:instrText>
        </w:r>
        <w:r w:rsidR="00E54C34">
          <w:rPr>
            <w:noProof/>
            <w:webHidden/>
          </w:rPr>
        </w:r>
        <w:r w:rsidR="00E54C34">
          <w:rPr>
            <w:noProof/>
            <w:webHidden/>
          </w:rPr>
          <w:fldChar w:fldCharType="separate"/>
        </w:r>
        <w:r w:rsidR="00E54C34">
          <w:rPr>
            <w:noProof/>
            <w:webHidden/>
          </w:rPr>
          <w:t>210</w:t>
        </w:r>
        <w:r w:rsidR="00E54C34">
          <w:rPr>
            <w:noProof/>
            <w:webHidden/>
          </w:rPr>
          <w:fldChar w:fldCharType="end"/>
        </w:r>
      </w:hyperlink>
    </w:p>
    <w:p w14:paraId="080B34F2" w14:textId="6D27E14C" w:rsidR="00E54C34" w:rsidRDefault="00C53097">
      <w:pPr>
        <w:pStyle w:val="TDC4"/>
        <w:tabs>
          <w:tab w:val="right" w:leader="dot" w:pos="8828"/>
        </w:tabs>
        <w:rPr>
          <w:rFonts w:eastAsiaTheme="minorEastAsia" w:cstheme="minorBidi"/>
          <w:noProof/>
          <w:sz w:val="22"/>
          <w:szCs w:val="22"/>
          <w:lang w:eastAsia="es-CR"/>
        </w:rPr>
      </w:pPr>
      <w:hyperlink w:anchor="_Toc189804907" w:history="1">
        <w:r w:rsidR="00E54C34" w:rsidRPr="00370E31">
          <w:rPr>
            <w:rStyle w:val="Hipervnculo"/>
            <w:rFonts w:eastAsia="Times New Roman"/>
            <w:noProof/>
          </w:rPr>
          <w:t>NOTA N° 59</w:t>
        </w:r>
        <w:r w:rsidR="00E54C34">
          <w:rPr>
            <w:noProof/>
            <w:webHidden/>
          </w:rPr>
          <w:tab/>
        </w:r>
        <w:r w:rsidR="00E54C34">
          <w:rPr>
            <w:noProof/>
            <w:webHidden/>
          </w:rPr>
          <w:fldChar w:fldCharType="begin"/>
        </w:r>
        <w:r w:rsidR="00E54C34">
          <w:rPr>
            <w:noProof/>
            <w:webHidden/>
          </w:rPr>
          <w:instrText xml:space="preserve"> PAGEREF _Toc189804907 \h </w:instrText>
        </w:r>
        <w:r w:rsidR="00E54C34">
          <w:rPr>
            <w:noProof/>
            <w:webHidden/>
          </w:rPr>
        </w:r>
        <w:r w:rsidR="00E54C34">
          <w:rPr>
            <w:noProof/>
            <w:webHidden/>
          </w:rPr>
          <w:fldChar w:fldCharType="separate"/>
        </w:r>
        <w:r w:rsidR="00E54C34">
          <w:rPr>
            <w:noProof/>
            <w:webHidden/>
          </w:rPr>
          <w:t>210</w:t>
        </w:r>
        <w:r w:rsidR="00E54C34">
          <w:rPr>
            <w:noProof/>
            <w:webHidden/>
          </w:rPr>
          <w:fldChar w:fldCharType="end"/>
        </w:r>
      </w:hyperlink>
    </w:p>
    <w:p w14:paraId="30FADE3D" w14:textId="60A77821" w:rsidR="00E54C34" w:rsidRDefault="00C53097">
      <w:pPr>
        <w:pStyle w:val="TDC4"/>
        <w:tabs>
          <w:tab w:val="right" w:leader="dot" w:pos="8828"/>
        </w:tabs>
        <w:rPr>
          <w:rFonts w:eastAsiaTheme="minorEastAsia" w:cstheme="minorBidi"/>
          <w:noProof/>
          <w:sz w:val="22"/>
          <w:szCs w:val="22"/>
          <w:lang w:eastAsia="es-CR"/>
        </w:rPr>
      </w:pPr>
      <w:hyperlink w:anchor="_Toc189804908" w:history="1">
        <w:r w:rsidR="00E54C34" w:rsidRPr="00370E31">
          <w:rPr>
            <w:rStyle w:val="Hipervnculo"/>
            <w:rFonts w:eastAsia="Times New Roman"/>
            <w:noProof/>
          </w:rPr>
          <w:t>NOTA N° 60</w:t>
        </w:r>
        <w:r w:rsidR="00E54C34">
          <w:rPr>
            <w:noProof/>
            <w:webHidden/>
          </w:rPr>
          <w:tab/>
        </w:r>
        <w:r w:rsidR="00E54C34">
          <w:rPr>
            <w:noProof/>
            <w:webHidden/>
          </w:rPr>
          <w:fldChar w:fldCharType="begin"/>
        </w:r>
        <w:r w:rsidR="00E54C34">
          <w:rPr>
            <w:noProof/>
            <w:webHidden/>
          </w:rPr>
          <w:instrText xml:space="preserve"> PAGEREF _Toc189804908 \h </w:instrText>
        </w:r>
        <w:r w:rsidR="00E54C34">
          <w:rPr>
            <w:noProof/>
            <w:webHidden/>
          </w:rPr>
        </w:r>
        <w:r w:rsidR="00E54C34">
          <w:rPr>
            <w:noProof/>
            <w:webHidden/>
          </w:rPr>
          <w:fldChar w:fldCharType="separate"/>
        </w:r>
        <w:r w:rsidR="00E54C34">
          <w:rPr>
            <w:noProof/>
            <w:webHidden/>
          </w:rPr>
          <w:t>212</w:t>
        </w:r>
        <w:r w:rsidR="00E54C34">
          <w:rPr>
            <w:noProof/>
            <w:webHidden/>
          </w:rPr>
          <w:fldChar w:fldCharType="end"/>
        </w:r>
      </w:hyperlink>
    </w:p>
    <w:p w14:paraId="232C9816" w14:textId="245BFBDA" w:rsidR="00E54C34" w:rsidRDefault="00C53097">
      <w:pPr>
        <w:pStyle w:val="TDC4"/>
        <w:tabs>
          <w:tab w:val="right" w:leader="dot" w:pos="8828"/>
        </w:tabs>
        <w:rPr>
          <w:rFonts w:eastAsiaTheme="minorEastAsia" w:cstheme="minorBidi"/>
          <w:noProof/>
          <w:sz w:val="22"/>
          <w:szCs w:val="22"/>
          <w:lang w:eastAsia="es-CR"/>
        </w:rPr>
      </w:pPr>
      <w:hyperlink w:anchor="_Toc189804909" w:history="1">
        <w:r w:rsidR="00E54C34" w:rsidRPr="00370E31">
          <w:rPr>
            <w:rStyle w:val="Hipervnculo"/>
            <w:rFonts w:eastAsia="Times New Roman"/>
            <w:noProof/>
          </w:rPr>
          <w:t>NOTA N° 61</w:t>
        </w:r>
        <w:r w:rsidR="00E54C34">
          <w:rPr>
            <w:noProof/>
            <w:webHidden/>
          </w:rPr>
          <w:tab/>
        </w:r>
        <w:r w:rsidR="00E54C34">
          <w:rPr>
            <w:noProof/>
            <w:webHidden/>
          </w:rPr>
          <w:fldChar w:fldCharType="begin"/>
        </w:r>
        <w:r w:rsidR="00E54C34">
          <w:rPr>
            <w:noProof/>
            <w:webHidden/>
          </w:rPr>
          <w:instrText xml:space="preserve"> PAGEREF _Toc189804909 \h </w:instrText>
        </w:r>
        <w:r w:rsidR="00E54C34">
          <w:rPr>
            <w:noProof/>
            <w:webHidden/>
          </w:rPr>
        </w:r>
        <w:r w:rsidR="00E54C34">
          <w:rPr>
            <w:noProof/>
            <w:webHidden/>
          </w:rPr>
          <w:fldChar w:fldCharType="separate"/>
        </w:r>
        <w:r w:rsidR="00E54C34">
          <w:rPr>
            <w:noProof/>
            <w:webHidden/>
          </w:rPr>
          <w:t>215</w:t>
        </w:r>
        <w:r w:rsidR="00E54C34">
          <w:rPr>
            <w:noProof/>
            <w:webHidden/>
          </w:rPr>
          <w:fldChar w:fldCharType="end"/>
        </w:r>
      </w:hyperlink>
    </w:p>
    <w:p w14:paraId="00D35A3D" w14:textId="2CB0ED05" w:rsidR="00E54C34" w:rsidRDefault="00C53097">
      <w:pPr>
        <w:pStyle w:val="TDC4"/>
        <w:tabs>
          <w:tab w:val="right" w:leader="dot" w:pos="8828"/>
        </w:tabs>
        <w:rPr>
          <w:rFonts w:eastAsiaTheme="minorEastAsia" w:cstheme="minorBidi"/>
          <w:noProof/>
          <w:sz w:val="22"/>
          <w:szCs w:val="22"/>
          <w:lang w:eastAsia="es-CR"/>
        </w:rPr>
      </w:pPr>
      <w:hyperlink w:anchor="_Toc189804910" w:history="1">
        <w:r w:rsidR="00E54C34" w:rsidRPr="00370E31">
          <w:rPr>
            <w:rStyle w:val="Hipervnculo"/>
            <w:rFonts w:eastAsia="Times New Roman"/>
            <w:noProof/>
          </w:rPr>
          <w:t>NOTA N° 62</w:t>
        </w:r>
        <w:r w:rsidR="00E54C34">
          <w:rPr>
            <w:noProof/>
            <w:webHidden/>
          </w:rPr>
          <w:tab/>
        </w:r>
        <w:r w:rsidR="00E54C34">
          <w:rPr>
            <w:noProof/>
            <w:webHidden/>
          </w:rPr>
          <w:fldChar w:fldCharType="begin"/>
        </w:r>
        <w:r w:rsidR="00E54C34">
          <w:rPr>
            <w:noProof/>
            <w:webHidden/>
          </w:rPr>
          <w:instrText xml:space="preserve"> PAGEREF _Toc189804910 \h </w:instrText>
        </w:r>
        <w:r w:rsidR="00E54C34">
          <w:rPr>
            <w:noProof/>
            <w:webHidden/>
          </w:rPr>
        </w:r>
        <w:r w:rsidR="00E54C34">
          <w:rPr>
            <w:noProof/>
            <w:webHidden/>
          </w:rPr>
          <w:fldChar w:fldCharType="separate"/>
        </w:r>
        <w:r w:rsidR="00E54C34">
          <w:rPr>
            <w:noProof/>
            <w:webHidden/>
          </w:rPr>
          <w:t>217</w:t>
        </w:r>
        <w:r w:rsidR="00E54C34">
          <w:rPr>
            <w:noProof/>
            <w:webHidden/>
          </w:rPr>
          <w:fldChar w:fldCharType="end"/>
        </w:r>
      </w:hyperlink>
    </w:p>
    <w:p w14:paraId="47398C42" w14:textId="26334FF9" w:rsidR="00E54C34" w:rsidRDefault="00C53097">
      <w:pPr>
        <w:pStyle w:val="TDC4"/>
        <w:tabs>
          <w:tab w:val="right" w:leader="dot" w:pos="8828"/>
        </w:tabs>
        <w:rPr>
          <w:rFonts w:eastAsiaTheme="minorEastAsia" w:cstheme="minorBidi"/>
          <w:noProof/>
          <w:sz w:val="22"/>
          <w:szCs w:val="22"/>
          <w:lang w:eastAsia="es-CR"/>
        </w:rPr>
      </w:pPr>
      <w:hyperlink w:anchor="_Toc189804911" w:history="1">
        <w:r w:rsidR="00E54C34" w:rsidRPr="00370E31">
          <w:rPr>
            <w:rStyle w:val="Hipervnculo"/>
            <w:rFonts w:eastAsia="Times New Roman"/>
            <w:noProof/>
          </w:rPr>
          <w:t>NOTA N° 63</w:t>
        </w:r>
        <w:r w:rsidR="00E54C34">
          <w:rPr>
            <w:noProof/>
            <w:webHidden/>
          </w:rPr>
          <w:tab/>
        </w:r>
        <w:r w:rsidR="00E54C34">
          <w:rPr>
            <w:noProof/>
            <w:webHidden/>
          </w:rPr>
          <w:fldChar w:fldCharType="begin"/>
        </w:r>
        <w:r w:rsidR="00E54C34">
          <w:rPr>
            <w:noProof/>
            <w:webHidden/>
          </w:rPr>
          <w:instrText xml:space="preserve"> PAGEREF _Toc189804911 \h </w:instrText>
        </w:r>
        <w:r w:rsidR="00E54C34">
          <w:rPr>
            <w:noProof/>
            <w:webHidden/>
          </w:rPr>
        </w:r>
        <w:r w:rsidR="00E54C34">
          <w:rPr>
            <w:noProof/>
            <w:webHidden/>
          </w:rPr>
          <w:fldChar w:fldCharType="separate"/>
        </w:r>
        <w:r w:rsidR="00E54C34">
          <w:rPr>
            <w:noProof/>
            <w:webHidden/>
          </w:rPr>
          <w:t>218</w:t>
        </w:r>
        <w:r w:rsidR="00E54C34">
          <w:rPr>
            <w:noProof/>
            <w:webHidden/>
          </w:rPr>
          <w:fldChar w:fldCharType="end"/>
        </w:r>
      </w:hyperlink>
    </w:p>
    <w:p w14:paraId="05C69F5E" w14:textId="515C05E9" w:rsidR="00E54C34" w:rsidRDefault="00C53097">
      <w:pPr>
        <w:pStyle w:val="TDC4"/>
        <w:tabs>
          <w:tab w:val="right" w:leader="dot" w:pos="8828"/>
        </w:tabs>
        <w:rPr>
          <w:rFonts w:eastAsiaTheme="minorEastAsia" w:cstheme="minorBidi"/>
          <w:noProof/>
          <w:sz w:val="22"/>
          <w:szCs w:val="22"/>
          <w:lang w:eastAsia="es-CR"/>
        </w:rPr>
      </w:pPr>
      <w:hyperlink w:anchor="_Toc189804912" w:history="1">
        <w:r w:rsidR="00E54C34" w:rsidRPr="00370E31">
          <w:rPr>
            <w:rStyle w:val="Hipervnculo"/>
            <w:rFonts w:eastAsia="Times New Roman"/>
            <w:noProof/>
          </w:rPr>
          <w:t>NOTA N° 64</w:t>
        </w:r>
        <w:r w:rsidR="00E54C34">
          <w:rPr>
            <w:noProof/>
            <w:webHidden/>
          </w:rPr>
          <w:tab/>
        </w:r>
        <w:r w:rsidR="00E54C34">
          <w:rPr>
            <w:noProof/>
            <w:webHidden/>
          </w:rPr>
          <w:fldChar w:fldCharType="begin"/>
        </w:r>
        <w:r w:rsidR="00E54C34">
          <w:rPr>
            <w:noProof/>
            <w:webHidden/>
          </w:rPr>
          <w:instrText xml:space="preserve"> PAGEREF _Toc189804912 \h </w:instrText>
        </w:r>
        <w:r w:rsidR="00E54C34">
          <w:rPr>
            <w:noProof/>
            <w:webHidden/>
          </w:rPr>
        </w:r>
        <w:r w:rsidR="00E54C34">
          <w:rPr>
            <w:noProof/>
            <w:webHidden/>
          </w:rPr>
          <w:fldChar w:fldCharType="separate"/>
        </w:r>
        <w:r w:rsidR="00E54C34">
          <w:rPr>
            <w:noProof/>
            <w:webHidden/>
          </w:rPr>
          <w:t>218</w:t>
        </w:r>
        <w:r w:rsidR="00E54C34">
          <w:rPr>
            <w:noProof/>
            <w:webHidden/>
          </w:rPr>
          <w:fldChar w:fldCharType="end"/>
        </w:r>
      </w:hyperlink>
    </w:p>
    <w:p w14:paraId="2FDC7A7E" w14:textId="5170B712" w:rsidR="00E54C34" w:rsidRDefault="00C53097">
      <w:pPr>
        <w:pStyle w:val="TDC4"/>
        <w:tabs>
          <w:tab w:val="right" w:leader="dot" w:pos="8828"/>
        </w:tabs>
        <w:rPr>
          <w:rFonts w:eastAsiaTheme="minorEastAsia" w:cstheme="minorBidi"/>
          <w:noProof/>
          <w:sz w:val="22"/>
          <w:szCs w:val="22"/>
          <w:lang w:eastAsia="es-CR"/>
        </w:rPr>
      </w:pPr>
      <w:hyperlink w:anchor="_Toc189804913" w:history="1">
        <w:r w:rsidR="00E54C34" w:rsidRPr="00370E31">
          <w:rPr>
            <w:rStyle w:val="Hipervnculo"/>
            <w:rFonts w:eastAsia="Times New Roman"/>
            <w:noProof/>
          </w:rPr>
          <w:t>NOTA N° 65</w:t>
        </w:r>
        <w:r w:rsidR="00E54C34">
          <w:rPr>
            <w:noProof/>
            <w:webHidden/>
          </w:rPr>
          <w:tab/>
        </w:r>
        <w:r w:rsidR="00E54C34">
          <w:rPr>
            <w:noProof/>
            <w:webHidden/>
          </w:rPr>
          <w:fldChar w:fldCharType="begin"/>
        </w:r>
        <w:r w:rsidR="00E54C34">
          <w:rPr>
            <w:noProof/>
            <w:webHidden/>
          </w:rPr>
          <w:instrText xml:space="preserve"> PAGEREF _Toc189804913 \h </w:instrText>
        </w:r>
        <w:r w:rsidR="00E54C34">
          <w:rPr>
            <w:noProof/>
            <w:webHidden/>
          </w:rPr>
        </w:r>
        <w:r w:rsidR="00E54C34">
          <w:rPr>
            <w:noProof/>
            <w:webHidden/>
          </w:rPr>
          <w:fldChar w:fldCharType="separate"/>
        </w:r>
        <w:r w:rsidR="00E54C34">
          <w:rPr>
            <w:noProof/>
            <w:webHidden/>
          </w:rPr>
          <w:t>219</w:t>
        </w:r>
        <w:r w:rsidR="00E54C34">
          <w:rPr>
            <w:noProof/>
            <w:webHidden/>
          </w:rPr>
          <w:fldChar w:fldCharType="end"/>
        </w:r>
      </w:hyperlink>
    </w:p>
    <w:p w14:paraId="38540718" w14:textId="40B92882" w:rsidR="00E54C34" w:rsidRDefault="00C53097">
      <w:pPr>
        <w:pStyle w:val="TDC4"/>
        <w:tabs>
          <w:tab w:val="right" w:leader="dot" w:pos="8828"/>
        </w:tabs>
        <w:rPr>
          <w:rFonts w:eastAsiaTheme="minorEastAsia" w:cstheme="minorBidi"/>
          <w:noProof/>
          <w:sz w:val="22"/>
          <w:szCs w:val="22"/>
          <w:lang w:eastAsia="es-CR"/>
        </w:rPr>
      </w:pPr>
      <w:hyperlink w:anchor="_Toc189804914" w:history="1">
        <w:r w:rsidR="00E54C34" w:rsidRPr="00370E31">
          <w:rPr>
            <w:rStyle w:val="Hipervnculo"/>
            <w:rFonts w:eastAsia="Times New Roman"/>
            <w:noProof/>
          </w:rPr>
          <w:t>NOTA N° 66</w:t>
        </w:r>
        <w:r w:rsidR="00E54C34">
          <w:rPr>
            <w:noProof/>
            <w:webHidden/>
          </w:rPr>
          <w:tab/>
        </w:r>
        <w:r w:rsidR="00E54C34">
          <w:rPr>
            <w:noProof/>
            <w:webHidden/>
          </w:rPr>
          <w:fldChar w:fldCharType="begin"/>
        </w:r>
        <w:r w:rsidR="00E54C34">
          <w:rPr>
            <w:noProof/>
            <w:webHidden/>
          </w:rPr>
          <w:instrText xml:space="preserve"> PAGEREF _Toc189804914 \h </w:instrText>
        </w:r>
        <w:r w:rsidR="00E54C34">
          <w:rPr>
            <w:noProof/>
            <w:webHidden/>
          </w:rPr>
        </w:r>
        <w:r w:rsidR="00E54C34">
          <w:rPr>
            <w:noProof/>
            <w:webHidden/>
          </w:rPr>
          <w:fldChar w:fldCharType="separate"/>
        </w:r>
        <w:r w:rsidR="00E54C34">
          <w:rPr>
            <w:noProof/>
            <w:webHidden/>
          </w:rPr>
          <w:t>219</w:t>
        </w:r>
        <w:r w:rsidR="00E54C34">
          <w:rPr>
            <w:noProof/>
            <w:webHidden/>
          </w:rPr>
          <w:fldChar w:fldCharType="end"/>
        </w:r>
      </w:hyperlink>
    </w:p>
    <w:p w14:paraId="0AA0FCF6" w14:textId="6B387C6D" w:rsidR="00E54C34" w:rsidRDefault="00C53097">
      <w:pPr>
        <w:pStyle w:val="TDC3"/>
        <w:tabs>
          <w:tab w:val="right" w:leader="dot" w:pos="8828"/>
        </w:tabs>
        <w:rPr>
          <w:rFonts w:eastAsiaTheme="minorEastAsia" w:cstheme="minorBidi"/>
          <w:noProof/>
          <w:sz w:val="22"/>
          <w:szCs w:val="22"/>
          <w:lang w:eastAsia="es-CR"/>
        </w:rPr>
      </w:pPr>
      <w:hyperlink w:anchor="_Toc189804915" w:history="1">
        <w:r w:rsidR="00E54C34" w:rsidRPr="00370E31">
          <w:rPr>
            <w:rStyle w:val="Hipervnculo"/>
            <w:rFonts w:eastAsia="Calibri"/>
            <w:noProof/>
            <w:lang w:eastAsia="es-CR"/>
          </w:rPr>
          <w:t>5.2 GASTOS FINANCIEROS</w:t>
        </w:r>
        <w:r w:rsidR="00E54C34">
          <w:rPr>
            <w:noProof/>
            <w:webHidden/>
          </w:rPr>
          <w:tab/>
        </w:r>
        <w:r w:rsidR="00E54C34">
          <w:rPr>
            <w:noProof/>
            <w:webHidden/>
          </w:rPr>
          <w:fldChar w:fldCharType="begin"/>
        </w:r>
        <w:r w:rsidR="00E54C34">
          <w:rPr>
            <w:noProof/>
            <w:webHidden/>
          </w:rPr>
          <w:instrText xml:space="preserve"> PAGEREF _Toc189804915 \h </w:instrText>
        </w:r>
        <w:r w:rsidR="00E54C34">
          <w:rPr>
            <w:noProof/>
            <w:webHidden/>
          </w:rPr>
        </w:r>
        <w:r w:rsidR="00E54C34">
          <w:rPr>
            <w:noProof/>
            <w:webHidden/>
          </w:rPr>
          <w:fldChar w:fldCharType="separate"/>
        </w:r>
        <w:r w:rsidR="00E54C34">
          <w:rPr>
            <w:noProof/>
            <w:webHidden/>
          </w:rPr>
          <w:t>220</w:t>
        </w:r>
        <w:r w:rsidR="00E54C34">
          <w:rPr>
            <w:noProof/>
            <w:webHidden/>
          </w:rPr>
          <w:fldChar w:fldCharType="end"/>
        </w:r>
      </w:hyperlink>
    </w:p>
    <w:p w14:paraId="5D1529A7" w14:textId="7F67AB9D" w:rsidR="00E54C34" w:rsidRDefault="00C53097">
      <w:pPr>
        <w:pStyle w:val="TDC4"/>
        <w:tabs>
          <w:tab w:val="right" w:leader="dot" w:pos="8828"/>
        </w:tabs>
        <w:rPr>
          <w:rFonts w:eastAsiaTheme="minorEastAsia" w:cstheme="minorBidi"/>
          <w:noProof/>
          <w:sz w:val="22"/>
          <w:szCs w:val="22"/>
          <w:lang w:eastAsia="es-CR"/>
        </w:rPr>
      </w:pPr>
      <w:hyperlink w:anchor="_Toc189804916" w:history="1">
        <w:r w:rsidR="00E54C34" w:rsidRPr="00370E31">
          <w:rPr>
            <w:rStyle w:val="Hipervnculo"/>
            <w:rFonts w:eastAsia="Times New Roman"/>
            <w:noProof/>
          </w:rPr>
          <w:t>NOTA N° 67</w:t>
        </w:r>
        <w:r w:rsidR="00E54C34">
          <w:rPr>
            <w:noProof/>
            <w:webHidden/>
          </w:rPr>
          <w:tab/>
        </w:r>
        <w:r w:rsidR="00E54C34">
          <w:rPr>
            <w:noProof/>
            <w:webHidden/>
          </w:rPr>
          <w:fldChar w:fldCharType="begin"/>
        </w:r>
        <w:r w:rsidR="00E54C34">
          <w:rPr>
            <w:noProof/>
            <w:webHidden/>
          </w:rPr>
          <w:instrText xml:space="preserve"> PAGEREF _Toc189804916 \h </w:instrText>
        </w:r>
        <w:r w:rsidR="00E54C34">
          <w:rPr>
            <w:noProof/>
            <w:webHidden/>
          </w:rPr>
        </w:r>
        <w:r w:rsidR="00E54C34">
          <w:rPr>
            <w:noProof/>
            <w:webHidden/>
          </w:rPr>
          <w:fldChar w:fldCharType="separate"/>
        </w:r>
        <w:r w:rsidR="00E54C34">
          <w:rPr>
            <w:noProof/>
            <w:webHidden/>
          </w:rPr>
          <w:t>220</w:t>
        </w:r>
        <w:r w:rsidR="00E54C34">
          <w:rPr>
            <w:noProof/>
            <w:webHidden/>
          </w:rPr>
          <w:fldChar w:fldCharType="end"/>
        </w:r>
      </w:hyperlink>
    </w:p>
    <w:p w14:paraId="0FEBE607" w14:textId="3F545071" w:rsidR="00E54C34" w:rsidRDefault="00C53097">
      <w:pPr>
        <w:pStyle w:val="TDC4"/>
        <w:tabs>
          <w:tab w:val="right" w:leader="dot" w:pos="8828"/>
        </w:tabs>
        <w:rPr>
          <w:rFonts w:eastAsiaTheme="minorEastAsia" w:cstheme="minorBidi"/>
          <w:noProof/>
          <w:sz w:val="22"/>
          <w:szCs w:val="22"/>
          <w:lang w:eastAsia="es-CR"/>
        </w:rPr>
      </w:pPr>
      <w:hyperlink w:anchor="_Toc189804917" w:history="1">
        <w:r w:rsidR="00E54C34" w:rsidRPr="00370E31">
          <w:rPr>
            <w:rStyle w:val="Hipervnculo"/>
            <w:rFonts w:eastAsia="Times New Roman"/>
            <w:noProof/>
          </w:rPr>
          <w:t>NOTA N° 68</w:t>
        </w:r>
        <w:r w:rsidR="00E54C34">
          <w:rPr>
            <w:noProof/>
            <w:webHidden/>
          </w:rPr>
          <w:tab/>
        </w:r>
        <w:r w:rsidR="00E54C34">
          <w:rPr>
            <w:noProof/>
            <w:webHidden/>
          </w:rPr>
          <w:fldChar w:fldCharType="begin"/>
        </w:r>
        <w:r w:rsidR="00E54C34">
          <w:rPr>
            <w:noProof/>
            <w:webHidden/>
          </w:rPr>
          <w:instrText xml:space="preserve"> PAGEREF _Toc189804917 \h </w:instrText>
        </w:r>
        <w:r w:rsidR="00E54C34">
          <w:rPr>
            <w:noProof/>
            <w:webHidden/>
          </w:rPr>
        </w:r>
        <w:r w:rsidR="00E54C34">
          <w:rPr>
            <w:noProof/>
            <w:webHidden/>
          </w:rPr>
          <w:fldChar w:fldCharType="separate"/>
        </w:r>
        <w:r w:rsidR="00E54C34">
          <w:rPr>
            <w:noProof/>
            <w:webHidden/>
          </w:rPr>
          <w:t>221</w:t>
        </w:r>
        <w:r w:rsidR="00E54C34">
          <w:rPr>
            <w:noProof/>
            <w:webHidden/>
          </w:rPr>
          <w:fldChar w:fldCharType="end"/>
        </w:r>
      </w:hyperlink>
    </w:p>
    <w:p w14:paraId="67E465C5" w14:textId="1803EF3C" w:rsidR="00E54C34" w:rsidRDefault="00C53097">
      <w:pPr>
        <w:pStyle w:val="TDC3"/>
        <w:tabs>
          <w:tab w:val="right" w:leader="dot" w:pos="8828"/>
        </w:tabs>
        <w:rPr>
          <w:rFonts w:eastAsiaTheme="minorEastAsia" w:cstheme="minorBidi"/>
          <w:noProof/>
          <w:sz w:val="22"/>
          <w:szCs w:val="22"/>
          <w:lang w:eastAsia="es-CR"/>
        </w:rPr>
      </w:pPr>
      <w:hyperlink w:anchor="_Toc189804918" w:history="1">
        <w:r w:rsidR="00E54C34" w:rsidRPr="00370E31">
          <w:rPr>
            <w:rStyle w:val="Hipervnculo"/>
            <w:rFonts w:eastAsia="Calibri"/>
            <w:noProof/>
            <w:lang w:eastAsia="es-CR"/>
          </w:rPr>
          <w:t>5.3 GASTOS Y RESULTADOS NEGATIVOS POR VENTAS</w:t>
        </w:r>
        <w:r w:rsidR="00E54C34">
          <w:rPr>
            <w:noProof/>
            <w:webHidden/>
          </w:rPr>
          <w:tab/>
        </w:r>
        <w:r w:rsidR="00E54C34">
          <w:rPr>
            <w:noProof/>
            <w:webHidden/>
          </w:rPr>
          <w:fldChar w:fldCharType="begin"/>
        </w:r>
        <w:r w:rsidR="00E54C34">
          <w:rPr>
            <w:noProof/>
            <w:webHidden/>
          </w:rPr>
          <w:instrText xml:space="preserve"> PAGEREF _Toc189804918 \h </w:instrText>
        </w:r>
        <w:r w:rsidR="00E54C34">
          <w:rPr>
            <w:noProof/>
            <w:webHidden/>
          </w:rPr>
        </w:r>
        <w:r w:rsidR="00E54C34">
          <w:rPr>
            <w:noProof/>
            <w:webHidden/>
          </w:rPr>
          <w:fldChar w:fldCharType="separate"/>
        </w:r>
        <w:r w:rsidR="00E54C34">
          <w:rPr>
            <w:noProof/>
            <w:webHidden/>
          </w:rPr>
          <w:t>221</w:t>
        </w:r>
        <w:r w:rsidR="00E54C34">
          <w:rPr>
            <w:noProof/>
            <w:webHidden/>
          </w:rPr>
          <w:fldChar w:fldCharType="end"/>
        </w:r>
      </w:hyperlink>
    </w:p>
    <w:p w14:paraId="40211E7E" w14:textId="2E104DC9" w:rsidR="00E54C34" w:rsidRDefault="00C53097">
      <w:pPr>
        <w:pStyle w:val="TDC4"/>
        <w:tabs>
          <w:tab w:val="right" w:leader="dot" w:pos="8828"/>
        </w:tabs>
        <w:rPr>
          <w:rFonts w:eastAsiaTheme="minorEastAsia" w:cstheme="minorBidi"/>
          <w:noProof/>
          <w:sz w:val="22"/>
          <w:szCs w:val="22"/>
          <w:lang w:eastAsia="es-CR"/>
        </w:rPr>
      </w:pPr>
      <w:hyperlink w:anchor="_Toc189804919" w:history="1">
        <w:r w:rsidR="00E54C34" w:rsidRPr="00370E31">
          <w:rPr>
            <w:rStyle w:val="Hipervnculo"/>
            <w:rFonts w:eastAsia="Times New Roman"/>
            <w:noProof/>
          </w:rPr>
          <w:t>NOTA N° 69</w:t>
        </w:r>
        <w:r w:rsidR="00E54C34">
          <w:rPr>
            <w:noProof/>
            <w:webHidden/>
          </w:rPr>
          <w:tab/>
        </w:r>
        <w:r w:rsidR="00E54C34">
          <w:rPr>
            <w:noProof/>
            <w:webHidden/>
          </w:rPr>
          <w:fldChar w:fldCharType="begin"/>
        </w:r>
        <w:r w:rsidR="00E54C34">
          <w:rPr>
            <w:noProof/>
            <w:webHidden/>
          </w:rPr>
          <w:instrText xml:space="preserve"> PAGEREF _Toc189804919 \h </w:instrText>
        </w:r>
        <w:r w:rsidR="00E54C34">
          <w:rPr>
            <w:noProof/>
            <w:webHidden/>
          </w:rPr>
        </w:r>
        <w:r w:rsidR="00E54C34">
          <w:rPr>
            <w:noProof/>
            <w:webHidden/>
          </w:rPr>
          <w:fldChar w:fldCharType="separate"/>
        </w:r>
        <w:r w:rsidR="00E54C34">
          <w:rPr>
            <w:noProof/>
            <w:webHidden/>
          </w:rPr>
          <w:t>221</w:t>
        </w:r>
        <w:r w:rsidR="00E54C34">
          <w:rPr>
            <w:noProof/>
            <w:webHidden/>
          </w:rPr>
          <w:fldChar w:fldCharType="end"/>
        </w:r>
      </w:hyperlink>
    </w:p>
    <w:p w14:paraId="519B9F24" w14:textId="01642E25" w:rsidR="00E54C34" w:rsidRDefault="00C53097">
      <w:pPr>
        <w:pStyle w:val="TDC4"/>
        <w:tabs>
          <w:tab w:val="right" w:leader="dot" w:pos="8828"/>
        </w:tabs>
        <w:rPr>
          <w:rFonts w:eastAsiaTheme="minorEastAsia" w:cstheme="minorBidi"/>
          <w:noProof/>
          <w:sz w:val="22"/>
          <w:szCs w:val="22"/>
          <w:lang w:eastAsia="es-CR"/>
        </w:rPr>
      </w:pPr>
      <w:hyperlink w:anchor="_Toc189804920" w:history="1">
        <w:r w:rsidR="00E54C34" w:rsidRPr="00370E31">
          <w:rPr>
            <w:rStyle w:val="Hipervnculo"/>
            <w:rFonts w:eastAsia="Times New Roman"/>
            <w:noProof/>
          </w:rPr>
          <w:t>NOTA N° 70</w:t>
        </w:r>
        <w:r w:rsidR="00E54C34">
          <w:rPr>
            <w:noProof/>
            <w:webHidden/>
          </w:rPr>
          <w:tab/>
        </w:r>
        <w:r w:rsidR="00E54C34">
          <w:rPr>
            <w:noProof/>
            <w:webHidden/>
          </w:rPr>
          <w:fldChar w:fldCharType="begin"/>
        </w:r>
        <w:r w:rsidR="00E54C34">
          <w:rPr>
            <w:noProof/>
            <w:webHidden/>
          </w:rPr>
          <w:instrText xml:space="preserve"> PAGEREF _Toc189804920 \h </w:instrText>
        </w:r>
        <w:r w:rsidR="00E54C34">
          <w:rPr>
            <w:noProof/>
            <w:webHidden/>
          </w:rPr>
        </w:r>
        <w:r w:rsidR="00E54C34">
          <w:rPr>
            <w:noProof/>
            <w:webHidden/>
          </w:rPr>
          <w:fldChar w:fldCharType="separate"/>
        </w:r>
        <w:r w:rsidR="00E54C34">
          <w:rPr>
            <w:noProof/>
            <w:webHidden/>
          </w:rPr>
          <w:t>222</w:t>
        </w:r>
        <w:r w:rsidR="00E54C34">
          <w:rPr>
            <w:noProof/>
            <w:webHidden/>
          </w:rPr>
          <w:fldChar w:fldCharType="end"/>
        </w:r>
      </w:hyperlink>
    </w:p>
    <w:p w14:paraId="5A34F9F9" w14:textId="0CDF4BB5" w:rsidR="00E54C34" w:rsidRDefault="00C53097">
      <w:pPr>
        <w:pStyle w:val="TDC4"/>
        <w:tabs>
          <w:tab w:val="right" w:leader="dot" w:pos="8828"/>
        </w:tabs>
        <w:rPr>
          <w:rFonts w:eastAsiaTheme="minorEastAsia" w:cstheme="minorBidi"/>
          <w:noProof/>
          <w:sz w:val="22"/>
          <w:szCs w:val="22"/>
          <w:lang w:eastAsia="es-CR"/>
        </w:rPr>
      </w:pPr>
      <w:hyperlink w:anchor="_Toc189804921" w:history="1">
        <w:r w:rsidR="00E54C34" w:rsidRPr="00370E31">
          <w:rPr>
            <w:rStyle w:val="Hipervnculo"/>
            <w:rFonts w:eastAsia="Times New Roman"/>
            <w:noProof/>
          </w:rPr>
          <w:t>NOTA N° 71</w:t>
        </w:r>
        <w:r w:rsidR="00E54C34">
          <w:rPr>
            <w:noProof/>
            <w:webHidden/>
          </w:rPr>
          <w:tab/>
        </w:r>
        <w:r w:rsidR="00E54C34">
          <w:rPr>
            <w:noProof/>
            <w:webHidden/>
          </w:rPr>
          <w:fldChar w:fldCharType="begin"/>
        </w:r>
        <w:r w:rsidR="00E54C34">
          <w:rPr>
            <w:noProof/>
            <w:webHidden/>
          </w:rPr>
          <w:instrText xml:space="preserve"> PAGEREF _Toc189804921 \h </w:instrText>
        </w:r>
        <w:r w:rsidR="00E54C34">
          <w:rPr>
            <w:noProof/>
            <w:webHidden/>
          </w:rPr>
        </w:r>
        <w:r w:rsidR="00E54C34">
          <w:rPr>
            <w:noProof/>
            <w:webHidden/>
          </w:rPr>
          <w:fldChar w:fldCharType="separate"/>
        </w:r>
        <w:r w:rsidR="00E54C34">
          <w:rPr>
            <w:noProof/>
            <w:webHidden/>
          </w:rPr>
          <w:t>222</w:t>
        </w:r>
        <w:r w:rsidR="00E54C34">
          <w:rPr>
            <w:noProof/>
            <w:webHidden/>
          </w:rPr>
          <w:fldChar w:fldCharType="end"/>
        </w:r>
      </w:hyperlink>
    </w:p>
    <w:p w14:paraId="3D66B3C1" w14:textId="0BAE2BED" w:rsidR="00E54C34" w:rsidRDefault="00C53097">
      <w:pPr>
        <w:pStyle w:val="TDC3"/>
        <w:tabs>
          <w:tab w:val="right" w:leader="dot" w:pos="8828"/>
        </w:tabs>
        <w:rPr>
          <w:rFonts w:eastAsiaTheme="minorEastAsia" w:cstheme="minorBidi"/>
          <w:noProof/>
          <w:sz w:val="22"/>
          <w:szCs w:val="22"/>
          <w:lang w:eastAsia="es-CR"/>
        </w:rPr>
      </w:pPr>
      <w:hyperlink w:anchor="_Toc189804922" w:history="1">
        <w:r w:rsidR="00E54C34" w:rsidRPr="00370E31">
          <w:rPr>
            <w:rStyle w:val="Hipervnculo"/>
            <w:rFonts w:eastAsia="Calibri"/>
            <w:noProof/>
            <w:lang w:eastAsia="es-CR"/>
          </w:rPr>
          <w:t>5.4 TRANSFERENCIAS</w:t>
        </w:r>
        <w:r w:rsidR="00E54C34">
          <w:rPr>
            <w:noProof/>
            <w:webHidden/>
          </w:rPr>
          <w:tab/>
        </w:r>
        <w:r w:rsidR="00E54C34">
          <w:rPr>
            <w:noProof/>
            <w:webHidden/>
          </w:rPr>
          <w:fldChar w:fldCharType="begin"/>
        </w:r>
        <w:r w:rsidR="00E54C34">
          <w:rPr>
            <w:noProof/>
            <w:webHidden/>
          </w:rPr>
          <w:instrText xml:space="preserve"> PAGEREF _Toc189804922 \h </w:instrText>
        </w:r>
        <w:r w:rsidR="00E54C34">
          <w:rPr>
            <w:noProof/>
            <w:webHidden/>
          </w:rPr>
        </w:r>
        <w:r w:rsidR="00E54C34">
          <w:rPr>
            <w:noProof/>
            <w:webHidden/>
          </w:rPr>
          <w:fldChar w:fldCharType="separate"/>
        </w:r>
        <w:r w:rsidR="00E54C34">
          <w:rPr>
            <w:noProof/>
            <w:webHidden/>
          </w:rPr>
          <w:t>223</w:t>
        </w:r>
        <w:r w:rsidR="00E54C34">
          <w:rPr>
            <w:noProof/>
            <w:webHidden/>
          </w:rPr>
          <w:fldChar w:fldCharType="end"/>
        </w:r>
      </w:hyperlink>
    </w:p>
    <w:p w14:paraId="280AB4FA" w14:textId="7CB0414A" w:rsidR="00E54C34" w:rsidRDefault="00C53097">
      <w:pPr>
        <w:pStyle w:val="TDC4"/>
        <w:tabs>
          <w:tab w:val="right" w:leader="dot" w:pos="8828"/>
        </w:tabs>
        <w:rPr>
          <w:rFonts w:eastAsiaTheme="minorEastAsia" w:cstheme="minorBidi"/>
          <w:noProof/>
          <w:sz w:val="22"/>
          <w:szCs w:val="22"/>
          <w:lang w:eastAsia="es-CR"/>
        </w:rPr>
      </w:pPr>
      <w:hyperlink w:anchor="_Toc189804923" w:history="1">
        <w:r w:rsidR="00E54C34" w:rsidRPr="00370E31">
          <w:rPr>
            <w:rStyle w:val="Hipervnculo"/>
            <w:rFonts w:eastAsia="Times New Roman"/>
            <w:noProof/>
          </w:rPr>
          <w:t>NOTA N° 72</w:t>
        </w:r>
        <w:r w:rsidR="00E54C34">
          <w:rPr>
            <w:noProof/>
            <w:webHidden/>
          </w:rPr>
          <w:tab/>
        </w:r>
        <w:r w:rsidR="00E54C34">
          <w:rPr>
            <w:noProof/>
            <w:webHidden/>
          </w:rPr>
          <w:fldChar w:fldCharType="begin"/>
        </w:r>
        <w:r w:rsidR="00E54C34">
          <w:rPr>
            <w:noProof/>
            <w:webHidden/>
          </w:rPr>
          <w:instrText xml:space="preserve"> PAGEREF _Toc189804923 \h </w:instrText>
        </w:r>
        <w:r w:rsidR="00E54C34">
          <w:rPr>
            <w:noProof/>
            <w:webHidden/>
          </w:rPr>
        </w:r>
        <w:r w:rsidR="00E54C34">
          <w:rPr>
            <w:noProof/>
            <w:webHidden/>
          </w:rPr>
          <w:fldChar w:fldCharType="separate"/>
        </w:r>
        <w:r w:rsidR="00E54C34">
          <w:rPr>
            <w:noProof/>
            <w:webHidden/>
          </w:rPr>
          <w:t>223</w:t>
        </w:r>
        <w:r w:rsidR="00E54C34">
          <w:rPr>
            <w:noProof/>
            <w:webHidden/>
          </w:rPr>
          <w:fldChar w:fldCharType="end"/>
        </w:r>
      </w:hyperlink>
    </w:p>
    <w:p w14:paraId="3DCDA7B2" w14:textId="785A4946" w:rsidR="00E54C34" w:rsidRDefault="00C53097">
      <w:pPr>
        <w:pStyle w:val="TDC4"/>
        <w:tabs>
          <w:tab w:val="right" w:leader="dot" w:pos="8828"/>
        </w:tabs>
        <w:rPr>
          <w:rFonts w:eastAsiaTheme="minorEastAsia" w:cstheme="minorBidi"/>
          <w:noProof/>
          <w:sz w:val="22"/>
          <w:szCs w:val="22"/>
          <w:lang w:eastAsia="es-CR"/>
        </w:rPr>
      </w:pPr>
      <w:hyperlink w:anchor="_Toc189804924" w:history="1">
        <w:r w:rsidR="00E54C34" w:rsidRPr="00370E31">
          <w:rPr>
            <w:rStyle w:val="Hipervnculo"/>
            <w:rFonts w:eastAsia="Times New Roman"/>
            <w:noProof/>
          </w:rPr>
          <w:t>NOTA N° 73</w:t>
        </w:r>
        <w:r w:rsidR="00E54C34">
          <w:rPr>
            <w:noProof/>
            <w:webHidden/>
          </w:rPr>
          <w:tab/>
        </w:r>
        <w:r w:rsidR="00E54C34">
          <w:rPr>
            <w:noProof/>
            <w:webHidden/>
          </w:rPr>
          <w:fldChar w:fldCharType="begin"/>
        </w:r>
        <w:r w:rsidR="00E54C34">
          <w:rPr>
            <w:noProof/>
            <w:webHidden/>
          </w:rPr>
          <w:instrText xml:space="preserve"> PAGEREF _Toc189804924 \h </w:instrText>
        </w:r>
        <w:r w:rsidR="00E54C34">
          <w:rPr>
            <w:noProof/>
            <w:webHidden/>
          </w:rPr>
        </w:r>
        <w:r w:rsidR="00E54C34">
          <w:rPr>
            <w:noProof/>
            <w:webHidden/>
          </w:rPr>
          <w:fldChar w:fldCharType="separate"/>
        </w:r>
        <w:r w:rsidR="00E54C34">
          <w:rPr>
            <w:noProof/>
            <w:webHidden/>
          </w:rPr>
          <w:t>224</w:t>
        </w:r>
        <w:r w:rsidR="00E54C34">
          <w:rPr>
            <w:noProof/>
            <w:webHidden/>
          </w:rPr>
          <w:fldChar w:fldCharType="end"/>
        </w:r>
      </w:hyperlink>
    </w:p>
    <w:p w14:paraId="15A73F71" w14:textId="5556733C" w:rsidR="00E54C34" w:rsidRDefault="00C53097">
      <w:pPr>
        <w:pStyle w:val="TDC3"/>
        <w:tabs>
          <w:tab w:val="right" w:leader="dot" w:pos="8828"/>
        </w:tabs>
        <w:rPr>
          <w:rFonts w:eastAsiaTheme="minorEastAsia" w:cstheme="minorBidi"/>
          <w:noProof/>
          <w:sz w:val="22"/>
          <w:szCs w:val="22"/>
          <w:lang w:eastAsia="es-CR"/>
        </w:rPr>
      </w:pPr>
      <w:hyperlink w:anchor="_Toc189804925" w:history="1">
        <w:r w:rsidR="00E54C34" w:rsidRPr="00370E31">
          <w:rPr>
            <w:rStyle w:val="Hipervnculo"/>
            <w:rFonts w:eastAsia="Calibri"/>
            <w:noProof/>
            <w:lang w:eastAsia="es-CR"/>
          </w:rPr>
          <w:t>5.9 OTROS GASTOS</w:t>
        </w:r>
        <w:r w:rsidR="00E54C34">
          <w:rPr>
            <w:noProof/>
            <w:webHidden/>
          </w:rPr>
          <w:tab/>
        </w:r>
        <w:r w:rsidR="00E54C34">
          <w:rPr>
            <w:noProof/>
            <w:webHidden/>
          </w:rPr>
          <w:fldChar w:fldCharType="begin"/>
        </w:r>
        <w:r w:rsidR="00E54C34">
          <w:rPr>
            <w:noProof/>
            <w:webHidden/>
          </w:rPr>
          <w:instrText xml:space="preserve"> PAGEREF _Toc189804925 \h </w:instrText>
        </w:r>
        <w:r w:rsidR="00E54C34">
          <w:rPr>
            <w:noProof/>
            <w:webHidden/>
          </w:rPr>
        </w:r>
        <w:r w:rsidR="00E54C34">
          <w:rPr>
            <w:noProof/>
            <w:webHidden/>
          </w:rPr>
          <w:fldChar w:fldCharType="separate"/>
        </w:r>
        <w:r w:rsidR="00E54C34">
          <w:rPr>
            <w:noProof/>
            <w:webHidden/>
          </w:rPr>
          <w:t>225</w:t>
        </w:r>
        <w:r w:rsidR="00E54C34">
          <w:rPr>
            <w:noProof/>
            <w:webHidden/>
          </w:rPr>
          <w:fldChar w:fldCharType="end"/>
        </w:r>
      </w:hyperlink>
    </w:p>
    <w:p w14:paraId="4C399B7B" w14:textId="534E5FB0" w:rsidR="00E54C34" w:rsidRDefault="00C53097">
      <w:pPr>
        <w:pStyle w:val="TDC4"/>
        <w:tabs>
          <w:tab w:val="right" w:leader="dot" w:pos="8828"/>
        </w:tabs>
        <w:rPr>
          <w:rFonts w:eastAsiaTheme="minorEastAsia" w:cstheme="minorBidi"/>
          <w:noProof/>
          <w:sz w:val="22"/>
          <w:szCs w:val="22"/>
          <w:lang w:eastAsia="es-CR"/>
        </w:rPr>
      </w:pPr>
      <w:hyperlink w:anchor="_Toc189804926" w:history="1">
        <w:r w:rsidR="00E54C34" w:rsidRPr="00370E31">
          <w:rPr>
            <w:rStyle w:val="Hipervnculo"/>
            <w:rFonts w:eastAsia="Times New Roman"/>
            <w:noProof/>
          </w:rPr>
          <w:t>NOTA N° 74</w:t>
        </w:r>
        <w:r w:rsidR="00E54C34">
          <w:rPr>
            <w:noProof/>
            <w:webHidden/>
          </w:rPr>
          <w:tab/>
        </w:r>
        <w:r w:rsidR="00E54C34">
          <w:rPr>
            <w:noProof/>
            <w:webHidden/>
          </w:rPr>
          <w:fldChar w:fldCharType="begin"/>
        </w:r>
        <w:r w:rsidR="00E54C34">
          <w:rPr>
            <w:noProof/>
            <w:webHidden/>
          </w:rPr>
          <w:instrText xml:space="preserve"> PAGEREF _Toc189804926 \h </w:instrText>
        </w:r>
        <w:r w:rsidR="00E54C34">
          <w:rPr>
            <w:noProof/>
            <w:webHidden/>
          </w:rPr>
        </w:r>
        <w:r w:rsidR="00E54C34">
          <w:rPr>
            <w:noProof/>
            <w:webHidden/>
          </w:rPr>
          <w:fldChar w:fldCharType="separate"/>
        </w:r>
        <w:r w:rsidR="00E54C34">
          <w:rPr>
            <w:noProof/>
            <w:webHidden/>
          </w:rPr>
          <w:t>225</w:t>
        </w:r>
        <w:r w:rsidR="00E54C34">
          <w:rPr>
            <w:noProof/>
            <w:webHidden/>
          </w:rPr>
          <w:fldChar w:fldCharType="end"/>
        </w:r>
      </w:hyperlink>
    </w:p>
    <w:p w14:paraId="590E97D2" w14:textId="4AD153E5" w:rsidR="00E54C34" w:rsidRDefault="00C53097">
      <w:pPr>
        <w:pStyle w:val="TDC4"/>
        <w:tabs>
          <w:tab w:val="right" w:leader="dot" w:pos="8828"/>
        </w:tabs>
        <w:rPr>
          <w:rFonts w:eastAsiaTheme="minorEastAsia" w:cstheme="minorBidi"/>
          <w:noProof/>
          <w:sz w:val="22"/>
          <w:szCs w:val="22"/>
          <w:lang w:eastAsia="es-CR"/>
        </w:rPr>
      </w:pPr>
      <w:hyperlink w:anchor="_Toc189804927" w:history="1">
        <w:r w:rsidR="00E54C34" w:rsidRPr="00370E31">
          <w:rPr>
            <w:rStyle w:val="Hipervnculo"/>
            <w:rFonts w:eastAsia="Times New Roman"/>
            <w:noProof/>
          </w:rPr>
          <w:t>NOTA N° 75</w:t>
        </w:r>
        <w:r w:rsidR="00E54C34">
          <w:rPr>
            <w:noProof/>
            <w:webHidden/>
          </w:rPr>
          <w:tab/>
        </w:r>
        <w:r w:rsidR="00E54C34">
          <w:rPr>
            <w:noProof/>
            <w:webHidden/>
          </w:rPr>
          <w:fldChar w:fldCharType="begin"/>
        </w:r>
        <w:r w:rsidR="00E54C34">
          <w:rPr>
            <w:noProof/>
            <w:webHidden/>
          </w:rPr>
          <w:instrText xml:space="preserve"> PAGEREF _Toc189804927 \h </w:instrText>
        </w:r>
        <w:r w:rsidR="00E54C34">
          <w:rPr>
            <w:noProof/>
            <w:webHidden/>
          </w:rPr>
        </w:r>
        <w:r w:rsidR="00E54C34">
          <w:rPr>
            <w:noProof/>
            <w:webHidden/>
          </w:rPr>
          <w:fldChar w:fldCharType="separate"/>
        </w:r>
        <w:r w:rsidR="00E54C34">
          <w:rPr>
            <w:noProof/>
            <w:webHidden/>
          </w:rPr>
          <w:t>226</w:t>
        </w:r>
        <w:r w:rsidR="00E54C34">
          <w:rPr>
            <w:noProof/>
            <w:webHidden/>
          </w:rPr>
          <w:fldChar w:fldCharType="end"/>
        </w:r>
      </w:hyperlink>
    </w:p>
    <w:p w14:paraId="1FE340D6" w14:textId="085A66CE" w:rsidR="00E54C34" w:rsidRDefault="00C53097">
      <w:pPr>
        <w:pStyle w:val="TDC4"/>
        <w:tabs>
          <w:tab w:val="right" w:leader="dot" w:pos="8828"/>
        </w:tabs>
        <w:rPr>
          <w:rFonts w:eastAsiaTheme="minorEastAsia" w:cstheme="minorBidi"/>
          <w:noProof/>
          <w:sz w:val="22"/>
          <w:szCs w:val="22"/>
          <w:lang w:eastAsia="es-CR"/>
        </w:rPr>
      </w:pPr>
      <w:hyperlink w:anchor="_Toc189804928" w:history="1">
        <w:r w:rsidR="00E54C34" w:rsidRPr="00370E31">
          <w:rPr>
            <w:rStyle w:val="Hipervnculo"/>
            <w:rFonts w:eastAsia="Times New Roman"/>
            <w:noProof/>
          </w:rPr>
          <w:t>NOTA N° 76</w:t>
        </w:r>
        <w:r w:rsidR="00E54C34">
          <w:rPr>
            <w:noProof/>
            <w:webHidden/>
          </w:rPr>
          <w:tab/>
        </w:r>
        <w:r w:rsidR="00E54C34">
          <w:rPr>
            <w:noProof/>
            <w:webHidden/>
          </w:rPr>
          <w:fldChar w:fldCharType="begin"/>
        </w:r>
        <w:r w:rsidR="00E54C34">
          <w:rPr>
            <w:noProof/>
            <w:webHidden/>
          </w:rPr>
          <w:instrText xml:space="preserve"> PAGEREF _Toc189804928 \h </w:instrText>
        </w:r>
        <w:r w:rsidR="00E54C34">
          <w:rPr>
            <w:noProof/>
            <w:webHidden/>
          </w:rPr>
        </w:r>
        <w:r w:rsidR="00E54C34">
          <w:rPr>
            <w:noProof/>
            <w:webHidden/>
          </w:rPr>
          <w:fldChar w:fldCharType="separate"/>
        </w:r>
        <w:r w:rsidR="00E54C34">
          <w:rPr>
            <w:noProof/>
            <w:webHidden/>
          </w:rPr>
          <w:t>226</w:t>
        </w:r>
        <w:r w:rsidR="00E54C34">
          <w:rPr>
            <w:noProof/>
            <w:webHidden/>
          </w:rPr>
          <w:fldChar w:fldCharType="end"/>
        </w:r>
      </w:hyperlink>
    </w:p>
    <w:p w14:paraId="6C3B1AA5" w14:textId="0F5B95DA" w:rsidR="00E54C34" w:rsidRDefault="00C53097">
      <w:pPr>
        <w:pStyle w:val="TDC2"/>
        <w:tabs>
          <w:tab w:val="right" w:leader="dot" w:pos="8828"/>
        </w:tabs>
        <w:rPr>
          <w:rFonts w:eastAsiaTheme="minorEastAsia" w:cstheme="minorBidi"/>
          <w:b w:val="0"/>
          <w:bCs w:val="0"/>
          <w:noProof/>
          <w:sz w:val="22"/>
          <w:szCs w:val="22"/>
          <w:lang w:eastAsia="es-CR"/>
        </w:rPr>
      </w:pPr>
      <w:hyperlink w:anchor="_Toc189804929" w:history="1">
        <w:r w:rsidR="00E54C34" w:rsidRPr="00370E31">
          <w:rPr>
            <w:rStyle w:val="Hipervnculo"/>
            <w:rFonts w:eastAsia="Times New Roman"/>
            <w:noProof/>
          </w:rPr>
          <w:t>NOTAS ESTADO DE FLUJO DE EFECTIVO</w:t>
        </w:r>
        <w:r w:rsidR="00E54C34">
          <w:rPr>
            <w:noProof/>
            <w:webHidden/>
          </w:rPr>
          <w:tab/>
        </w:r>
        <w:r w:rsidR="00E54C34">
          <w:rPr>
            <w:noProof/>
            <w:webHidden/>
          </w:rPr>
          <w:fldChar w:fldCharType="begin"/>
        </w:r>
        <w:r w:rsidR="00E54C34">
          <w:rPr>
            <w:noProof/>
            <w:webHidden/>
          </w:rPr>
          <w:instrText xml:space="preserve"> PAGEREF _Toc189804929 \h </w:instrText>
        </w:r>
        <w:r w:rsidR="00E54C34">
          <w:rPr>
            <w:noProof/>
            <w:webHidden/>
          </w:rPr>
        </w:r>
        <w:r w:rsidR="00E54C34">
          <w:rPr>
            <w:noProof/>
            <w:webHidden/>
          </w:rPr>
          <w:fldChar w:fldCharType="separate"/>
        </w:r>
        <w:r w:rsidR="00E54C34">
          <w:rPr>
            <w:noProof/>
            <w:webHidden/>
          </w:rPr>
          <w:t>227</w:t>
        </w:r>
        <w:r w:rsidR="00E54C34">
          <w:rPr>
            <w:noProof/>
            <w:webHidden/>
          </w:rPr>
          <w:fldChar w:fldCharType="end"/>
        </w:r>
      </w:hyperlink>
    </w:p>
    <w:p w14:paraId="327A2208" w14:textId="132D0C62" w:rsidR="00E54C34" w:rsidRDefault="00C53097">
      <w:pPr>
        <w:pStyle w:val="TDC4"/>
        <w:tabs>
          <w:tab w:val="right" w:leader="dot" w:pos="8828"/>
        </w:tabs>
        <w:rPr>
          <w:rFonts w:eastAsiaTheme="minorEastAsia" w:cstheme="minorBidi"/>
          <w:noProof/>
          <w:sz w:val="22"/>
          <w:szCs w:val="22"/>
          <w:lang w:eastAsia="es-CR"/>
        </w:rPr>
      </w:pPr>
      <w:hyperlink w:anchor="_Toc189804930" w:history="1">
        <w:r w:rsidR="00E54C34" w:rsidRPr="00370E31">
          <w:rPr>
            <w:rStyle w:val="Hipervnculo"/>
            <w:rFonts w:eastAsia="Times New Roman"/>
            <w:noProof/>
            <w:lang w:eastAsia="es-CR"/>
          </w:rPr>
          <w:t>FLUJOS DE EFECTIVO DE LAS ACTIVIDADES DE OPERACIÓN</w:t>
        </w:r>
        <w:r w:rsidR="00E54C34">
          <w:rPr>
            <w:noProof/>
            <w:webHidden/>
          </w:rPr>
          <w:tab/>
        </w:r>
        <w:r w:rsidR="00E54C34">
          <w:rPr>
            <w:noProof/>
            <w:webHidden/>
          </w:rPr>
          <w:fldChar w:fldCharType="begin"/>
        </w:r>
        <w:r w:rsidR="00E54C34">
          <w:rPr>
            <w:noProof/>
            <w:webHidden/>
          </w:rPr>
          <w:instrText xml:space="preserve"> PAGEREF _Toc189804930 \h </w:instrText>
        </w:r>
        <w:r w:rsidR="00E54C34">
          <w:rPr>
            <w:noProof/>
            <w:webHidden/>
          </w:rPr>
        </w:r>
        <w:r w:rsidR="00E54C34">
          <w:rPr>
            <w:noProof/>
            <w:webHidden/>
          </w:rPr>
          <w:fldChar w:fldCharType="separate"/>
        </w:r>
        <w:r w:rsidR="00E54C34">
          <w:rPr>
            <w:noProof/>
            <w:webHidden/>
          </w:rPr>
          <w:t>227</w:t>
        </w:r>
        <w:r w:rsidR="00E54C34">
          <w:rPr>
            <w:noProof/>
            <w:webHidden/>
          </w:rPr>
          <w:fldChar w:fldCharType="end"/>
        </w:r>
      </w:hyperlink>
    </w:p>
    <w:p w14:paraId="12784A93" w14:textId="22D4A78C" w:rsidR="00E54C34" w:rsidRDefault="00C53097">
      <w:pPr>
        <w:pStyle w:val="TDC4"/>
        <w:tabs>
          <w:tab w:val="right" w:leader="dot" w:pos="8828"/>
        </w:tabs>
        <w:rPr>
          <w:rFonts w:eastAsiaTheme="minorEastAsia" w:cstheme="minorBidi"/>
          <w:noProof/>
          <w:sz w:val="22"/>
          <w:szCs w:val="22"/>
          <w:lang w:eastAsia="es-CR"/>
        </w:rPr>
      </w:pPr>
      <w:hyperlink w:anchor="_Toc189804931" w:history="1">
        <w:r w:rsidR="00E54C34" w:rsidRPr="00370E31">
          <w:rPr>
            <w:rStyle w:val="Hipervnculo"/>
            <w:rFonts w:eastAsia="Times New Roman" w:cs="Times New Roman"/>
            <w:bCs/>
            <w:noProof/>
          </w:rPr>
          <w:t>NOTA N°77</w:t>
        </w:r>
        <w:r w:rsidR="00E54C34">
          <w:rPr>
            <w:noProof/>
            <w:webHidden/>
          </w:rPr>
          <w:tab/>
        </w:r>
        <w:r w:rsidR="00E54C34">
          <w:rPr>
            <w:noProof/>
            <w:webHidden/>
          </w:rPr>
          <w:fldChar w:fldCharType="begin"/>
        </w:r>
        <w:r w:rsidR="00E54C34">
          <w:rPr>
            <w:noProof/>
            <w:webHidden/>
          </w:rPr>
          <w:instrText xml:space="preserve"> PAGEREF _Toc189804931 \h </w:instrText>
        </w:r>
        <w:r w:rsidR="00E54C34">
          <w:rPr>
            <w:noProof/>
            <w:webHidden/>
          </w:rPr>
        </w:r>
        <w:r w:rsidR="00E54C34">
          <w:rPr>
            <w:noProof/>
            <w:webHidden/>
          </w:rPr>
          <w:fldChar w:fldCharType="separate"/>
        </w:r>
        <w:r w:rsidR="00E54C34">
          <w:rPr>
            <w:noProof/>
            <w:webHidden/>
          </w:rPr>
          <w:t>227</w:t>
        </w:r>
        <w:r w:rsidR="00E54C34">
          <w:rPr>
            <w:noProof/>
            <w:webHidden/>
          </w:rPr>
          <w:fldChar w:fldCharType="end"/>
        </w:r>
      </w:hyperlink>
    </w:p>
    <w:p w14:paraId="2BD1AFB0" w14:textId="26BB678D" w:rsidR="00E54C34" w:rsidRDefault="00C53097">
      <w:pPr>
        <w:pStyle w:val="TDC4"/>
        <w:tabs>
          <w:tab w:val="right" w:leader="dot" w:pos="8828"/>
        </w:tabs>
        <w:rPr>
          <w:rFonts w:eastAsiaTheme="minorEastAsia" w:cstheme="minorBidi"/>
          <w:noProof/>
          <w:sz w:val="22"/>
          <w:szCs w:val="22"/>
          <w:lang w:eastAsia="es-CR"/>
        </w:rPr>
      </w:pPr>
      <w:hyperlink w:anchor="_Toc189804932" w:history="1">
        <w:r w:rsidR="00E54C34" w:rsidRPr="00370E31">
          <w:rPr>
            <w:rStyle w:val="Hipervnculo"/>
            <w:rFonts w:eastAsia="Times New Roman"/>
            <w:noProof/>
          </w:rPr>
          <w:t>NOTA N°78</w:t>
        </w:r>
        <w:r w:rsidR="00E54C34">
          <w:rPr>
            <w:noProof/>
            <w:webHidden/>
          </w:rPr>
          <w:tab/>
        </w:r>
        <w:r w:rsidR="00E54C34">
          <w:rPr>
            <w:noProof/>
            <w:webHidden/>
          </w:rPr>
          <w:fldChar w:fldCharType="begin"/>
        </w:r>
        <w:r w:rsidR="00E54C34">
          <w:rPr>
            <w:noProof/>
            <w:webHidden/>
          </w:rPr>
          <w:instrText xml:space="preserve"> PAGEREF _Toc189804932 \h </w:instrText>
        </w:r>
        <w:r w:rsidR="00E54C34">
          <w:rPr>
            <w:noProof/>
            <w:webHidden/>
          </w:rPr>
        </w:r>
        <w:r w:rsidR="00E54C34">
          <w:rPr>
            <w:noProof/>
            <w:webHidden/>
          </w:rPr>
          <w:fldChar w:fldCharType="separate"/>
        </w:r>
        <w:r w:rsidR="00E54C34">
          <w:rPr>
            <w:noProof/>
            <w:webHidden/>
          </w:rPr>
          <w:t>227</w:t>
        </w:r>
        <w:r w:rsidR="00E54C34">
          <w:rPr>
            <w:noProof/>
            <w:webHidden/>
          </w:rPr>
          <w:fldChar w:fldCharType="end"/>
        </w:r>
      </w:hyperlink>
    </w:p>
    <w:p w14:paraId="264DB4F4" w14:textId="5F2EA788" w:rsidR="00E54C34" w:rsidRDefault="00C53097">
      <w:pPr>
        <w:pStyle w:val="TDC4"/>
        <w:tabs>
          <w:tab w:val="right" w:leader="dot" w:pos="8828"/>
        </w:tabs>
        <w:rPr>
          <w:rFonts w:eastAsiaTheme="minorEastAsia" w:cstheme="minorBidi"/>
          <w:noProof/>
          <w:sz w:val="22"/>
          <w:szCs w:val="22"/>
          <w:lang w:eastAsia="es-CR"/>
        </w:rPr>
      </w:pPr>
      <w:hyperlink w:anchor="_Toc189804933" w:history="1">
        <w:r w:rsidR="00E54C34" w:rsidRPr="00370E31">
          <w:rPr>
            <w:rStyle w:val="Hipervnculo"/>
            <w:rFonts w:eastAsia="Times New Roman"/>
            <w:noProof/>
            <w:lang w:eastAsia="es-CR"/>
          </w:rPr>
          <w:t>FLUJOS DE EFECTIVO DE LAS ACTIVIDADES DE INVERSIÓN</w:t>
        </w:r>
        <w:r w:rsidR="00E54C34">
          <w:rPr>
            <w:noProof/>
            <w:webHidden/>
          </w:rPr>
          <w:tab/>
        </w:r>
        <w:r w:rsidR="00E54C34">
          <w:rPr>
            <w:noProof/>
            <w:webHidden/>
          </w:rPr>
          <w:fldChar w:fldCharType="begin"/>
        </w:r>
        <w:r w:rsidR="00E54C34">
          <w:rPr>
            <w:noProof/>
            <w:webHidden/>
          </w:rPr>
          <w:instrText xml:space="preserve"> PAGEREF _Toc189804933 \h </w:instrText>
        </w:r>
        <w:r w:rsidR="00E54C34">
          <w:rPr>
            <w:noProof/>
            <w:webHidden/>
          </w:rPr>
        </w:r>
        <w:r w:rsidR="00E54C34">
          <w:rPr>
            <w:noProof/>
            <w:webHidden/>
          </w:rPr>
          <w:fldChar w:fldCharType="separate"/>
        </w:r>
        <w:r w:rsidR="00E54C34">
          <w:rPr>
            <w:noProof/>
            <w:webHidden/>
          </w:rPr>
          <w:t>228</w:t>
        </w:r>
        <w:r w:rsidR="00E54C34">
          <w:rPr>
            <w:noProof/>
            <w:webHidden/>
          </w:rPr>
          <w:fldChar w:fldCharType="end"/>
        </w:r>
      </w:hyperlink>
    </w:p>
    <w:p w14:paraId="0E23A918" w14:textId="32B76820" w:rsidR="00E54C34" w:rsidRDefault="00C53097">
      <w:pPr>
        <w:pStyle w:val="TDC4"/>
        <w:tabs>
          <w:tab w:val="right" w:leader="dot" w:pos="8828"/>
        </w:tabs>
        <w:rPr>
          <w:rFonts w:eastAsiaTheme="minorEastAsia" w:cstheme="minorBidi"/>
          <w:noProof/>
          <w:sz w:val="22"/>
          <w:szCs w:val="22"/>
          <w:lang w:eastAsia="es-CR"/>
        </w:rPr>
      </w:pPr>
      <w:hyperlink w:anchor="_Toc189804934" w:history="1">
        <w:r w:rsidR="00E54C34" w:rsidRPr="00370E31">
          <w:rPr>
            <w:rStyle w:val="Hipervnculo"/>
            <w:rFonts w:eastAsia="Times New Roman"/>
            <w:bCs/>
            <w:noProof/>
          </w:rPr>
          <w:t>NOTA N°79</w:t>
        </w:r>
        <w:r w:rsidR="00E54C34">
          <w:rPr>
            <w:noProof/>
            <w:webHidden/>
          </w:rPr>
          <w:tab/>
        </w:r>
        <w:r w:rsidR="00E54C34">
          <w:rPr>
            <w:noProof/>
            <w:webHidden/>
          </w:rPr>
          <w:fldChar w:fldCharType="begin"/>
        </w:r>
        <w:r w:rsidR="00E54C34">
          <w:rPr>
            <w:noProof/>
            <w:webHidden/>
          </w:rPr>
          <w:instrText xml:space="preserve"> PAGEREF _Toc189804934 \h </w:instrText>
        </w:r>
        <w:r w:rsidR="00E54C34">
          <w:rPr>
            <w:noProof/>
            <w:webHidden/>
          </w:rPr>
        </w:r>
        <w:r w:rsidR="00E54C34">
          <w:rPr>
            <w:noProof/>
            <w:webHidden/>
          </w:rPr>
          <w:fldChar w:fldCharType="separate"/>
        </w:r>
        <w:r w:rsidR="00E54C34">
          <w:rPr>
            <w:noProof/>
            <w:webHidden/>
          </w:rPr>
          <w:t>228</w:t>
        </w:r>
        <w:r w:rsidR="00E54C34">
          <w:rPr>
            <w:noProof/>
            <w:webHidden/>
          </w:rPr>
          <w:fldChar w:fldCharType="end"/>
        </w:r>
      </w:hyperlink>
    </w:p>
    <w:p w14:paraId="091AB6E5" w14:textId="10764921" w:rsidR="00E54C34" w:rsidRDefault="00C53097">
      <w:pPr>
        <w:pStyle w:val="TDC4"/>
        <w:tabs>
          <w:tab w:val="right" w:leader="dot" w:pos="8828"/>
        </w:tabs>
        <w:rPr>
          <w:rFonts w:eastAsiaTheme="minorEastAsia" w:cstheme="minorBidi"/>
          <w:noProof/>
          <w:sz w:val="22"/>
          <w:szCs w:val="22"/>
          <w:lang w:eastAsia="es-CR"/>
        </w:rPr>
      </w:pPr>
      <w:hyperlink w:anchor="_Toc189804935" w:history="1">
        <w:r w:rsidR="00E54C34" w:rsidRPr="00370E31">
          <w:rPr>
            <w:rStyle w:val="Hipervnculo"/>
            <w:rFonts w:eastAsia="Times New Roman"/>
            <w:noProof/>
          </w:rPr>
          <w:t>NOTA N°80</w:t>
        </w:r>
        <w:r w:rsidR="00E54C34">
          <w:rPr>
            <w:noProof/>
            <w:webHidden/>
          </w:rPr>
          <w:tab/>
        </w:r>
        <w:r w:rsidR="00E54C34">
          <w:rPr>
            <w:noProof/>
            <w:webHidden/>
          </w:rPr>
          <w:fldChar w:fldCharType="begin"/>
        </w:r>
        <w:r w:rsidR="00E54C34">
          <w:rPr>
            <w:noProof/>
            <w:webHidden/>
          </w:rPr>
          <w:instrText xml:space="preserve"> PAGEREF _Toc189804935 \h </w:instrText>
        </w:r>
        <w:r w:rsidR="00E54C34">
          <w:rPr>
            <w:noProof/>
            <w:webHidden/>
          </w:rPr>
        </w:r>
        <w:r w:rsidR="00E54C34">
          <w:rPr>
            <w:noProof/>
            <w:webHidden/>
          </w:rPr>
          <w:fldChar w:fldCharType="separate"/>
        </w:r>
        <w:r w:rsidR="00E54C34">
          <w:rPr>
            <w:noProof/>
            <w:webHidden/>
          </w:rPr>
          <w:t>229</w:t>
        </w:r>
        <w:r w:rsidR="00E54C34">
          <w:rPr>
            <w:noProof/>
            <w:webHidden/>
          </w:rPr>
          <w:fldChar w:fldCharType="end"/>
        </w:r>
      </w:hyperlink>
    </w:p>
    <w:p w14:paraId="60E71301" w14:textId="73A56884" w:rsidR="00E54C34" w:rsidRDefault="00C53097">
      <w:pPr>
        <w:pStyle w:val="TDC4"/>
        <w:tabs>
          <w:tab w:val="right" w:leader="dot" w:pos="8828"/>
        </w:tabs>
        <w:rPr>
          <w:rFonts w:eastAsiaTheme="minorEastAsia" w:cstheme="minorBidi"/>
          <w:noProof/>
          <w:sz w:val="22"/>
          <w:szCs w:val="22"/>
          <w:lang w:eastAsia="es-CR"/>
        </w:rPr>
      </w:pPr>
      <w:hyperlink w:anchor="_Toc189804936" w:history="1">
        <w:r w:rsidR="00E54C34" w:rsidRPr="00370E31">
          <w:rPr>
            <w:rStyle w:val="Hipervnculo"/>
            <w:rFonts w:eastAsia="Times New Roman"/>
            <w:noProof/>
            <w:lang w:eastAsia="es-CR"/>
          </w:rPr>
          <w:t>FLUJOS DE EFECTIVO DE LAS ACTIVIDADES DE FINANCIACIÓN</w:t>
        </w:r>
        <w:r w:rsidR="00E54C34">
          <w:rPr>
            <w:noProof/>
            <w:webHidden/>
          </w:rPr>
          <w:tab/>
        </w:r>
        <w:r w:rsidR="00E54C34">
          <w:rPr>
            <w:noProof/>
            <w:webHidden/>
          </w:rPr>
          <w:fldChar w:fldCharType="begin"/>
        </w:r>
        <w:r w:rsidR="00E54C34">
          <w:rPr>
            <w:noProof/>
            <w:webHidden/>
          </w:rPr>
          <w:instrText xml:space="preserve"> PAGEREF _Toc189804936 \h </w:instrText>
        </w:r>
        <w:r w:rsidR="00E54C34">
          <w:rPr>
            <w:noProof/>
            <w:webHidden/>
          </w:rPr>
        </w:r>
        <w:r w:rsidR="00E54C34">
          <w:rPr>
            <w:noProof/>
            <w:webHidden/>
          </w:rPr>
          <w:fldChar w:fldCharType="separate"/>
        </w:r>
        <w:r w:rsidR="00E54C34">
          <w:rPr>
            <w:noProof/>
            <w:webHidden/>
          </w:rPr>
          <w:t>229</w:t>
        </w:r>
        <w:r w:rsidR="00E54C34">
          <w:rPr>
            <w:noProof/>
            <w:webHidden/>
          </w:rPr>
          <w:fldChar w:fldCharType="end"/>
        </w:r>
      </w:hyperlink>
    </w:p>
    <w:p w14:paraId="1BD106D3" w14:textId="35EA038E" w:rsidR="00E54C34" w:rsidRDefault="00C53097">
      <w:pPr>
        <w:pStyle w:val="TDC4"/>
        <w:tabs>
          <w:tab w:val="right" w:leader="dot" w:pos="8828"/>
        </w:tabs>
        <w:rPr>
          <w:rFonts w:eastAsiaTheme="minorEastAsia" w:cstheme="minorBidi"/>
          <w:noProof/>
          <w:sz w:val="22"/>
          <w:szCs w:val="22"/>
          <w:lang w:eastAsia="es-CR"/>
        </w:rPr>
      </w:pPr>
      <w:hyperlink w:anchor="_Toc189804937" w:history="1">
        <w:r w:rsidR="00E54C34" w:rsidRPr="00370E31">
          <w:rPr>
            <w:rStyle w:val="Hipervnculo"/>
            <w:rFonts w:eastAsia="Times New Roman"/>
            <w:bCs/>
            <w:noProof/>
          </w:rPr>
          <w:t>NOTA N°81</w:t>
        </w:r>
        <w:r w:rsidR="00E54C34">
          <w:rPr>
            <w:noProof/>
            <w:webHidden/>
          </w:rPr>
          <w:tab/>
        </w:r>
        <w:r w:rsidR="00E54C34">
          <w:rPr>
            <w:noProof/>
            <w:webHidden/>
          </w:rPr>
          <w:fldChar w:fldCharType="begin"/>
        </w:r>
        <w:r w:rsidR="00E54C34">
          <w:rPr>
            <w:noProof/>
            <w:webHidden/>
          </w:rPr>
          <w:instrText xml:space="preserve"> PAGEREF _Toc189804937 \h </w:instrText>
        </w:r>
        <w:r w:rsidR="00E54C34">
          <w:rPr>
            <w:noProof/>
            <w:webHidden/>
          </w:rPr>
        </w:r>
        <w:r w:rsidR="00E54C34">
          <w:rPr>
            <w:noProof/>
            <w:webHidden/>
          </w:rPr>
          <w:fldChar w:fldCharType="separate"/>
        </w:r>
        <w:r w:rsidR="00E54C34">
          <w:rPr>
            <w:noProof/>
            <w:webHidden/>
          </w:rPr>
          <w:t>229</w:t>
        </w:r>
        <w:r w:rsidR="00E54C34">
          <w:rPr>
            <w:noProof/>
            <w:webHidden/>
          </w:rPr>
          <w:fldChar w:fldCharType="end"/>
        </w:r>
      </w:hyperlink>
    </w:p>
    <w:p w14:paraId="3CFF90FD" w14:textId="3092BFF6" w:rsidR="00E54C34" w:rsidRDefault="00C53097">
      <w:pPr>
        <w:pStyle w:val="TDC4"/>
        <w:tabs>
          <w:tab w:val="right" w:leader="dot" w:pos="8828"/>
        </w:tabs>
        <w:rPr>
          <w:rFonts w:eastAsiaTheme="minorEastAsia" w:cstheme="minorBidi"/>
          <w:noProof/>
          <w:sz w:val="22"/>
          <w:szCs w:val="22"/>
          <w:lang w:eastAsia="es-CR"/>
        </w:rPr>
      </w:pPr>
      <w:hyperlink w:anchor="_Toc189804938" w:history="1">
        <w:r w:rsidR="00E54C34" w:rsidRPr="00370E31">
          <w:rPr>
            <w:rStyle w:val="Hipervnculo"/>
            <w:rFonts w:eastAsia="Times New Roman"/>
            <w:noProof/>
          </w:rPr>
          <w:t>NOTA N°82</w:t>
        </w:r>
        <w:r w:rsidR="00E54C34">
          <w:rPr>
            <w:noProof/>
            <w:webHidden/>
          </w:rPr>
          <w:tab/>
        </w:r>
        <w:r w:rsidR="00E54C34">
          <w:rPr>
            <w:noProof/>
            <w:webHidden/>
          </w:rPr>
          <w:fldChar w:fldCharType="begin"/>
        </w:r>
        <w:r w:rsidR="00E54C34">
          <w:rPr>
            <w:noProof/>
            <w:webHidden/>
          </w:rPr>
          <w:instrText xml:space="preserve"> PAGEREF _Toc189804938 \h </w:instrText>
        </w:r>
        <w:r w:rsidR="00E54C34">
          <w:rPr>
            <w:noProof/>
            <w:webHidden/>
          </w:rPr>
        </w:r>
        <w:r w:rsidR="00E54C34">
          <w:rPr>
            <w:noProof/>
            <w:webHidden/>
          </w:rPr>
          <w:fldChar w:fldCharType="separate"/>
        </w:r>
        <w:r w:rsidR="00E54C34">
          <w:rPr>
            <w:noProof/>
            <w:webHidden/>
          </w:rPr>
          <w:t>230</w:t>
        </w:r>
        <w:r w:rsidR="00E54C34">
          <w:rPr>
            <w:noProof/>
            <w:webHidden/>
          </w:rPr>
          <w:fldChar w:fldCharType="end"/>
        </w:r>
      </w:hyperlink>
    </w:p>
    <w:p w14:paraId="336A0690" w14:textId="19979D48" w:rsidR="00E54C34" w:rsidRDefault="00C53097">
      <w:pPr>
        <w:pStyle w:val="TDC4"/>
        <w:tabs>
          <w:tab w:val="right" w:leader="dot" w:pos="8828"/>
        </w:tabs>
        <w:rPr>
          <w:rFonts w:eastAsiaTheme="minorEastAsia" w:cstheme="minorBidi"/>
          <w:noProof/>
          <w:sz w:val="22"/>
          <w:szCs w:val="22"/>
          <w:lang w:eastAsia="es-CR"/>
        </w:rPr>
      </w:pPr>
      <w:hyperlink w:anchor="_Toc189804939" w:history="1">
        <w:r w:rsidR="00E54C34" w:rsidRPr="00370E31">
          <w:rPr>
            <w:rStyle w:val="Hipervnculo"/>
            <w:rFonts w:eastAsia="Times New Roman"/>
            <w:noProof/>
          </w:rPr>
          <w:t>NOTA N°83</w:t>
        </w:r>
        <w:r w:rsidR="00E54C34">
          <w:rPr>
            <w:noProof/>
            <w:webHidden/>
          </w:rPr>
          <w:tab/>
        </w:r>
        <w:r w:rsidR="00E54C34">
          <w:rPr>
            <w:noProof/>
            <w:webHidden/>
          </w:rPr>
          <w:fldChar w:fldCharType="begin"/>
        </w:r>
        <w:r w:rsidR="00E54C34">
          <w:rPr>
            <w:noProof/>
            <w:webHidden/>
          </w:rPr>
          <w:instrText xml:space="preserve"> PAGEREF _Toc189804939 \h </w:instrText>
        </w:r>
        <w:r w:rsidR="00E54C34">
          <w:rPr>
            <w:noProof/>
            <w:webHidden/>
          </w:rPr>
        </w:r>
        <w:r w:rsidR="00E54C34">
          <w:rPr>
            <w:noProof/>
            <w:webHidden/>
          </w:rPr>
          <w:fldChar w:fldCharType="separate"/>
        </w:r>
        <w:r w:rsidR="00E54C34">
          <w:rPr>
            <w:noProof/>
            <w:webHidden/>
          </w:rPr>
          <w:t>231</w:t>
        </w:r>
        <w:r w:rsidR="00E54C34">
          <w:rPr>
            <w:noProof/>
            <w:webHidden/>
          </w:rPr>
          <w:fldChar w:fldCharType="end"/>
        </w:r>
      </w:hyperlink>
    </w:p>
    <w:p w14:paraId="058A9530" w14:textId="471A9BCD" w:rsidR="00E54C34" w:rsidRDefault="00C53097">
      <w:pPr>
        <w:pStyle w:val="TDC2"/>
        <w:tabs>
          <w:tab w:val="right" w:leader="dot" w:pos="8828"/>
        </w:tabs>
        <w:rPr>
          <w:rFonts w:eastAsiaTheme="minorEastAsia" w:cstheme="minorBidi"/>
          <w:b w:val="0"/>
          <w:bCs w:val="0"/>
          <w:noProof/>
          <w:sz w:val="22"/>
          <w:szCs w:val="22"/>
          <w:lang w:eastAsia="es-CR"/>
        </w:rPr>
      </w:pPr>
      <w:hyperlink w:anchor="_Toc189804940" w:history="1">
        <w:r w:rsidR="00E54C34" w:rsidRPr="00370E31">
          <w:rPr>
            <w:rStyle w:val="Hipervnculo"/>
            <w:rFonts w:eastAsia="Times New Roman"/>
            <w:noProof/>
          </w:rPr>
          <w:t>NOTAS DEL ESTADO DE CAMBIOS EN EL PATRIMONIO NETO</w:t>
        </w:r>
        <w:r w:rsidR="00E54C34">
          <w:rPr>
            <w:noProof/>
            <w:webHidden/>
          </w:rPr>
          <w:tab/>
        </w:r>
        <w:r w:rsidR="00E54C34">
          <w:rPr>
            <w:noProof/>
            <w:webHidden/>
          </w:rPr>
          <w:fldChar w:fldCharType="begin"/>
        </w:r>
        <w:r w:rsidR="00E54C34">
          <w:rPr>
            <w:noProof/>
            <w:webHidden/>
          </w:rPr>
          <w:instrText xml:space="preserve"> PAGEREF _Toc189804940 \h </w:instrText>
        </w:r>
        <w:r w:rsidR="00E54C34">
          <w:rPr>
            <w:noProof/>
            <w:webHidden/>
          </w:rPr>
        </w:r>
        <w:r w:rsidR="00E54C34">
          <w:rPr>
            <w:noProof/>
            <w:webHidden/>
          </w:rPr>
          <w:fldChar w:fldCharType="separate"/>
        </w:r>
        <w:r w:rsidR="00E54C34">
          <w:rPr>
            <w:noProof/>
            <w:webHidden/>
          </w:rPr>
          <w:t>231</w:t>
        </w:r>
        <w:r w:rsidR="00E54C34">
          <w:rPr>
            <w:noProof/>
            <w:webHidden/>
          </w:rPr>
          <w:fldChar w:fldCharType="end"/>
        </w:r>
      </w:hyperlink>
    </w:p>
    <w:p w14:paraId="308A01DE" w14:textId="61264027" w:rsidR="00E54C34" w:rsidRDefault="00C53097">
      <w:pPr>
        <w:pStyle w:val="TDC4"/>
        <w:tabs>
          <w:tab w:val="right" w:leader="dot" w:pos="8828"/>
        </w:tabs>
        <w:rPr>
          <w:rFonts w:eastAsiaTheme="minorEastAsia" w:cstheme="minorBidi"/>
          <w:noProof/>
          <w:sz w:val="22"/>
          <w:szCs w:val="22"/>
          <w:lang w:eastAsia="es-CR"/>
        </w:rPr>
      </w:pPr>
      <w:hyperlink w:anchor="_Toc189804941" w:history="1">
        <w:r w:rsidR="00E54C34" w:rsidRPr="00370E31">
          <w:rPr>
            <w:rStyle w:val="Hipervnculo"/>
            <w:rFonts w:eastAsia="Times New Roman"/>
            <w:noProof/>
          </w:rPr>
          <w:t>NOTA N°84</w:t>
        </w:r>
        <w:r w:rsidR="00E54C34">
          <w:rPr>
            <w:noProof/>
            <w:webHidden/>
          </w:rPr>
          <w:tab/>
        </w:r>
        <w:r w:rsidR="00E54C34">
          <w:rPr>
            <w:noProof/>
            <w:webHidden/>
          </w:rPr>
          <w:fldChar w:fldCharType="begin"/>
        </w:r>
        <w:r w:rsidR="00E54C34">
          <w:rPr>
            <w:noProof/>
            <w:webHidden/>
          </w:rPr>
          <w:instrText xml:space="preserve"> PAGEREF _Toc189804941 \h </w:instrText>
        </w:r>
        <w:r w:rsidR="00E54C34">
          <w:rPr>
            <w:noProof/>
            <w:webHidden/>
          </w:rPr>
        </w:r>
        <w:r w:rsidR="00E54C34">
          <w:rPr>
            <w:noProof/>
            <w:webHidden/>
          </w:rPr>
          <w:fldChar w:fldCharType="separate"/>
        </w:r>
        <w:r w:rsidR="00E54C34">
          <w:rPr>
            <w:noProof/>
            <w:webHidden/>
          </w:rPr>
          <w:t>231</w:t>
        </w:r>
        <w:r w:rsidR="00E54C34">
          <w:rPr>
            <w:noProof/>
            <w:webHidden/>
          </w:rPr>
          <w:fldChar w:fldCharType="end"/>
        </w:r>
      </w:hyperlink>
    </w:p>
    <w:p w14:paraId="39767AAA" w14:textId="3D23AD55" w:rsidR="00E54C34" w:rsidRDefault="00C53097">
      <w:pPr>
        <w:pStyle w:val="TDC1"/>
        <w:tabs>
          <w:tab w:val="right" w:leader="dot" w:pos="8828"/>
        </w:tabs>
        <w:rPr>
          <w:rFonts w:asciiTheme="minorHAnsi" w:eastAsiaTheme="minorEastAsia" w:hAnsiTheme="minorHAnsi"/>
          <w:b w:val="0"/>
          <w:bCs w:val="0"/>
          <w:caps w:val="0"/>
          <w:noProof/>
          <w:sz w:val="22"/>
          <w:szCs w:val="22"/>
          <w:lang w:eastAsia="es-CR"/>
        </w:rPr>
      </w:pPr>
      <w:hyperlink w:anchor="_Toc189804942" w:history="1">
        <w:r w:rsidR="00E54C34" w:rsidRPr="00370E31">
          <w:rPr>
            <w:rStyle w:val="Hipervnculo"/>
            <w:rFonts w:eastAsia="Times New Roman"/>
            <w:noProof/>
          </w:rPr>
          <w:t>NOTAS AL INFORME COMPARATIVO DE EJECUCIÓN PRESUPUESTARIA CON DEVENGADO DE CONTABILIDAD</w:t>
        </w:r>
        <w:r w:rsidR="00E54C34">
          <w:rPr>
            <w:noProof/>
            <w:webHidden/>
          </w:rPr>
          <w:tab/>
        </w:r>
        <w:r w:rsidR="00E54C34">
          <w:rPr>
            <w:noProof/>
            <w:webHidden/>
          </w:rPr>
          <w:fldChar w:fldCharType="begin"/>
        </w:r>
        <w:r w:rsidR="00E54C34">
          <w:rPr>
            <w:noProof/>
            <w:webHidden/>
          </w:rPr>
          <w:instrText xml:space="preserve"> PAGEREF _Toc189804942 \h </w:instrText>
        </w:r>
        <w:r w:rsidR="00E54C34">
          <w:rPr>
            <w:noProof/>
            <w:webHidden/>
          </w:rPr>
        </w:r>
        <w:r w:rsidR="00E54C34">
          <w:rPr>
            <w:noProof/>
            <w:webHidden/>
          </w:rPr>
          <w:fldChar w:fldCharType="separate"/>
        </w:r>
        <w:r w:rsidR="00E54C34">
          <w:rPr>
            <w:noProof/>
            <w:webHidden/>
          </w:rPr>
          <w:t>232</w:t>
        </w:r>
        <w:r w:rsidR="00E54C34">
          <w:rPr>
            <w:noProof/>
            <w:webHidden/>
          </w:rPr>
          <w:fldChar w:fldCharType="end"/>
        </w:r>
      </w:hyperlink>
    </w:p>
    <w:p w14:paraId="114C9D82" w14:textId="3027424A" w:rsidR="00E54C34" w:rsidRDefault="00C53097">
      <w:pPr>
        <w:pStyle w:val="TDC4"/>
        <w:tabs>
          <w:tab w:val="right" w:leader="dot" w:pos="8828"/>
        </w:tabs>
        <w:rPr>
          <w:rFonts w:eastAsiaTheme="minorEastAsia" w:cstheme="minorBidi"/>
          <w:noProof/>
          <w:sz w:val="22"/>
          <w:szCs w:val="22"/>
          <w:lang w:eastAsia="es-CR"/>
        </w:rPr>
      </w:pPr>
      <w:hyperlink w:anchor="_Toc189804943" w:history="1">
        <w:r w:rsidR="00E54C34" w:rsidRPr="00370E31">
          <w:rPr>
            <w:rStyle w:val="Hipervnculo"/>
            <w:rFonts w:eastAsia="Times New Roman"/>
            <w:noProof/>
          </w:rPr>
          <w:t>NOTA N°85</w:t>
        </w:r>
        <w:r w:rsidR="00E54C34">
          <w:rPr>
            <w:noProof/>
            <w:webHidden/>
          </w:rPr>
          <w:tab/>
        </w:r>
        <w:r w:rsidR="00E54C34">
          <w:rPr>
            <w:noProof/>
            <w:webHidden/>
          </w:rPr>
          <w:fldChar w:fldCharType="begin"/>
        </w:r>
        <w:r w:rsidR="00E54C34">
          <w:rPr>
            <w:noProof/>
            <w:webHidden/>
          </w:rPr>
          <w:instrText xml:space="preserve"> PAGEREF _Toc189804943 \h </w:instrText>
        </w:r>
        <w:r w:rsidR="00E54C34">
          <w:rPr>
            <w:noProof/>
            <w:webHidden/>
          </w:rPr>
        </w:r>
        <w:r w:rsidR="00E54C34">
          <w:rPr>
            <w:noProof/>
            <w:webHidden/>
          </w:rPr>
          <w:fldChar w:fldCharType="separate"/>
        </w:r>
        <w:r w:rsidR="00E54C34">
          <w:rPr>
            <w:noProof/>
            <w:webHidden/>
          </w:rPr>
          <w:t>232</w:t>
        </w:r>
        <w:r w:rsidR="00E54C34">
          <w:rPr>
            <w:noProof/>
            <w:webHidden/>
          </w:rPr>
          <w:fldChar w:fldCharType="end"/>
        </w:r>
      </w:hyperlink>
    </w:p>
    <w:p w14:paraId="43433E39" w14:textId="0DD6AC36" w:rsidR="00E54C34" w:rsidRDefault="00C53097">
      <w:pPr>
        <w:pStyle w:val="TDC2"/>
        <w:tabs>
          <w:tab w:val="right" w:leader="dot" w:pos="8828"/>
        </w:tabs>
        <w:rPr>
          <w:rFonts w:eastAsiaTheme="minorEastAsia" w:cstheme="minorBidi"/>
          <w:b w:val="0"/>
          <w:bCs w:val="0"/>
          <w:noProof/>
          <w:sz w:val="22"/>
          <w:szCs w:val="22"/>
          <w:lang w:eastAsia="es-CR"/>
        </w:rPr>
      </w:pPr>
      <w:hyperlink w:anchor="_Toc189804944" w:history="1">
        <w:r w:rsidR="00E54C34" w:rsidRPr="00370E31">
          <w:rPr>
            <w:rStyle w:val="Hipervnculo"/>
            <w:rFonts w:eastAsia="Times New Roman"/>
            <w:noProof/>
          </w:rPr>
          <w:t>NOTAS AL INFORME DEUDA PÚBLICA</w:t>
        </w:r>
        <w:r w:rsidR="00E54C34">
          <w:rPr>
            <w:noProof/>
            <w:webHidden/>
          </w:rPr>
          <w:tab/>
        </w:r>
        <w:r w:rsidR="00E54C34">
          <w:rPr>
            <w:noProof/>
            <w:webHidden/>
          </w:rPr>
          <w:fldChar w:fldCharType="begin"/>
        </w:r>
        <w:r w:rsidR="00E54C34">
          <w:rPr>
            <w:noProof/>
            <w:webHidden/>
          </w:rPr>
          <w:instrText xml:space="preserve"> PAGEREF _Toc189804944 \h </w:instrText>
        </w:r>
        <w:r w:rsidR="00E54C34">
          <w:rPr>
            <w:noProof/>
            <w:webHidden/>
          </w:rPr>
        </w:r>
        <w:r w:rsidR="00E54C34">
          <w:rPr>
            <w:noProof/>
            <w:webHidden/>
          </w:rPr>
          <w:fldChar w:fldCharType="separate"/>
        </w:r>
        <w:r w:rsidR="00E54C34">
          <w:rPr>
            <w:noProof/>
            <w:webHidden/>
          </w:rPr>
          <w:t>233</w:t>
        </w:r>
        <w:r w:rsidR="00E54C34">
          <w:rPr>
            <w:noProof/>
            <w:webHidden/>
          </w:rPr>
          <w:fldChar w:fldCharType="end"/>
        </w:r>
      </w:hyperlink>
    </w:p>
    <w:p w14:paraId="05B6DAD1" w14:textId="1B887727" w:rsidR="00E54C34" w:rsidRDefault="00C53097">
      <w:pPr>
        <w:pStyle w:val="TDC4"/>
        <w:tabs>
          <w:tab w:val="right" w:leader="dot" w:pos="8828"/>
        </w:tabs>
        <w:rPr>
          <w:rFonts w:eastAsiaTheme="minorEastAsia" w:cstheme="minorBidi"/>
          <w:noProof/>
          <w:sz w:val="22"/>
          <w:szCs w:val="22"/>
          <w:lang w:eastAsia="es-CR"/>
        </w:rPr>
      </w:pPr>
      <w:hyperlink w:anchor="_Toc189804945" w:history="1">
        <w:r w:rsidR="00E54C34" w:rsidRPr="00370E31">
          <w:rPr>
            <w:rStyle w:val="Hipervnculo"/>
            <w:noProof/>
          </w:rPr>
          <w:t>NOTA N°86</w:t>
        </w:r>
        <w:r w:rsidR="00E54C34">
          <w:rPr>
            <w:noProof/>
            <w:webHidden/>
          </w:rPr>
          <w:tab/>
        </w:r>
        <w:r w:rsidR="00E54C34">
          <w:rPr>
            <w:noProof/>
            <w:webHidden/>
          </w:rPr>
          <w:fldChar w:fldCharType="begin"/>
        </w:r>
        <w:r w:rsidR="00E54C34">
          <w:rPr>
            <w:noProof/>
            <w:webHidden/>
          </w:rPr>
          <w:instrText xml:space="preserve"> PAGEREF _Toc189804945 \h </w:instrText>
        </w:r>
        <w:r w:rsidR="00E54C34">
          <w:rPr>
            <w:noProof/>
            <w:webHidden/>
          </w:rPr>
        </w:r>
        <w:r w:rsidR="00E54C34">
          <w:rPr>
            <w:noProof/>
            <w:webHidden/>
          </w:rPr>
          <w:fldChar w:fldCharType="separate"/>
        </w:r>
        <w:r w:rsidR="00E54C34">
          <w:rPr>
            <w:noProof/>
            <w:webHidden/>
          </w:rPr>
          <w:t>233</w:t>
        </w:r>
        <w:r w:rsidR="00E54C34">
          <w:rPr>
            <w:noProof/>
            <w:webHidden/>
          </w:rPr>
          <w:fldChar w:fldCharType="end"/>
        </w:r>
      </w:hyperlink>
    </w:p>
    <w:p w14:paraId="52F529B0" w14:textId="05537139" w:rsidR="00E54C34" w:rsidRDefault="00C53097">
      <w:pPr>
        <w:pStyle w:val="TDC2"/>
        <w:tabs>
          <w:tab w:val="right" w:leader="dot" w:pos="8828"/>
        </w:tabs>
        <w:rPr>
          <w:rFonts w:eastAsiaTheme="minorEastAsia" w:cstheme="minorBidi"/>
          <w:b w:val="0"/>
          <w:bCs w:val="0"/>
          <w:noProof/>
          <w:sz w:val="22"/>
          <w:szCs w:val="22"/>
          <w:lang w:eastAsia="es-CR"/>
        </w:rPr>
      </w:pPr>
      <w:hyperlink w:anchor="_Toc189804946" w:history="1">
        <w:r w:rsidR="00E54C34" w:rsidRPr="00370E31">
          <w:rPr>
            <w:rStyle w:val="Hipervnculo"/>
            <w:rFonts w:eastAsia="Calibri"/>
            <w:noProof/>
            <w:lang w:val="es-ES" w:eastAsia="es-CR"/>
          </w:rPr>
          <w:t>NOTAS INFORME ESTADO DE SITUACION Y EVOLUCION DE BIENES NO CONCECIONADOS Y CONCESIONADOS</w:t>
        </w:r>
        <w:r w:rsidR="00E54C34">
          <w:rPr>
            <w:noProof/>
            <w:webHidden/>
          </w:rPr>
          <w:tab/>
        </w:r>
        <w:r w:rsidR="00E54C34">
          <w:rPr>
            <w:noProof/>
            <w:webHidden/>
          </w:rPr>
          <w:fldChar w:fldCharType="begin"/>
        </w:r>
        <w:r w:rsidR="00E54C34">
          <w:rPr>
            <w:noProof/>
            <w:webHidden/>
          </w:rPr>
          <w:instrText xml:space="preserve"> PAGEREF _Toc189804946 \h </w:instrText>
        </w:r>
        <w:r w:rsidR="00E54C34">
          <w:rPr>
            <w:noProof/>
            <w:webHidden/>
          </w:rPr>
        </w:r>
        <w:r w:rsidR="00E54C34">
          <w:rPr>
            <w:noProof/>
            <w:webHidden/>
          </w:rPr>
          <w:fldChar w:fldCharType="separate"/>
        </w:r>
        <w:r w:rsidR="00E54C34">
          <w:rPr>
            <w:noProof/>
            <w:webHidden/>
          </w:rPr>
          <w:t>234</w:t>
        </w:r>
        <w:r w:rsidR="00E54C34">
          <w:rPr>
            <w:noProof/>
            <w:webHidden/>
          </w:rPr>
          <w:fldChar w:fldCharType="end"/>
        </w:r>
      </w:hyperlink>
    </w:p>
    <w:p w14:paraId="224D33C2" w14:textId="46C41F93" w:rsidR="00E54C34" w:rsidRDefault="00C53097">
      <w:pPr>
        <w:pStyle w:val="TDC4"/>
        <w:tabs>
          <w:tab w:val="right" w:leader="dot" w:pos="8828"/>
        </w:tabs>
        <w:rPr>
          <w:rFonts w:eastAsiaTheme="minorEastAsia" w:cstheme="minorBidi"/>
          <w:noProof/>
          <w:sz w:val="22"/>
          <w:szCs w:val="22"/>
          <w:lang w:eastAsia="es-CR"/>
        </w:rPr>
      </w:pPr>
      <w:hyperlink w:anchor="_Toc189804947" w:history="1">
        <w:r w:rsidR="00E54C34" w:rsidRPr="00370E31">
          <w:rPr>
            <w:rStyle w:val="Hipervnculo"/>
            <w:rFonts w:eastAsia="Calibri"/>
            <w:noProof/>
          </w:rPr>
          <w:t>NOTA N°87</w:t>
        </w:r>
        <w:r w:rsidR="00E54C34">
          <w:rPr>
            <w:noProof/>
            <w:webHidden/>
          </w:rPr>
          <w:tab/>
        </w:r>
        <w:r w:rsidR="00E54C34">
          <w:rPr>
            <w:noProof/>
            <w:webHidden/>
          </w:rPr>
          <w:fldChar w:fldCharType="begin"/>
        </w:r>
        <w:r w:rsidR="00E54C34">
          <w:rPr>
            <w:noProof/>
            <w:webHidden/>
          </w:rPr>
          <w:instrText xml:space="preserve"> PAGEREF _Toc189804947 \h </w:instrText>
        </w:r>
        <w:r w:rsidR="00E54C34">
          <w:rPr>
            <w:noProof/>
            <w:webHidden/>
          </w:rPr>
        </w:r>
        <w:r w:rsidR="00E54C34">
          <w:rPr>
            <w:noProof/>
            <w:webHidden/>
          </w:rPr>
          <w:fldChar w:fldCharType="separate"/>
        </w:r>
        <w:r w:rsidR="00E54C34">
          <w:rPr>
            <w:noProof/>
            <w:webHidden/>
          </w:rPr>
          <w:t>234</w:t>
        </w:r>
        <w:r w:rsidR="00E54C34">
          <w:rPr>
            <w:noProof/>
            <w:webHidden/>
          </w:rPr>
          <w:fldChar w:fldCharType="end"/>
        </w:r>
      </w:hyperlink>
    </w:p>
    <w:p w14:paraId="06C765C2" w14:textId="03E899B6" w:rsidR="00E54C34" w:rsidRDefault="00C53097">
      <w:pPr>
        <w:pStyle w:val="TDC2"/>
        <w:tabs>
          <w:tab w:val="right" w:leader="dot" w:pos="8828"/>
        </w:tabs>
        <w:rPr>
          <w:rFonts w:eastAsiaTheme="minorEastAsia" w:cstheme="minorBidi"/>
          <w:b w:val="0"/>
          <w:bCs w:val="0"/>
          <w:noProof/>
          <w:sz w:val="22"/>
          <w:szCs w:val="22"/>
          <w:lang w:eastAsia="es-CR"/>
        </w:rPr>
      </w:pPr>
      <w:hyperlink w:anchor="_Toc189804948" w:history="1">
        <w:r w:rsidR="00E54C34" w:rsidRPr="00370E31">
          <w:rPr>
            <w:rStyle w:val="Hipervnculo"/>
            <w:rFonts w:eastAsia="Times New Roman"/>
            <w:noProof/>
          </w:rPr>
          <w:t>NOTAS INFORME ESTADO POR SEGMENTOS</w:t>
        </w:r>
        <w:r w:rsidR="00E54C34">
          <w:rPr>
            <w:noProof/>
            <w:webHidden/>
          </w:rPr>
          <w:tab/>
        </w:r>
        <w:r w:rsidR="00E54C34">
          <w:rPr>
            <w:noProof/>
            <w:webHidden/>
          </w:rPr>
          <w:fldChar w:fldCharType="begin"/>
        </w:r>
        <w:r w:rsidR="00E54C34">
          <w:rPr>
            <w:noProof/>
            <w:webHidden/>
          </w:rPr>
          <w:instrText xml:space="preserve"> PAGEREF _Toc189804948 \h </w:instrText>
        </w:r>
        <w:r w:rsidR="00E54C34">
          <w:rPr>
            <w:noProof/>
            <w:webHidden/>
          </w:rPr>
        </w:r>
        <w:r w:rsidR="00E54C34">
          <w:rPr>
            <w:noProof/>
            <w:webHidden/>
          </w:rPr>
          <w:fldChar w:fldCharType="separate"/>
        </w:r>
        <w:r w:rsidR="00E54C34">
          <w:rPr>
            <w:noProof/>
            <w:webHidden/>
          </w:rPr>
          <w:t>235</w:t>
        </w:r>
        <w:r w:rsidR="00E54C34">
          <w:rPr>
            <w:noProof/>
            <w:webHidden/>
          </w:rPr>
          <w:fldChar w:fldCharType="end"/>
        </w:r>
      </w:hyperlink>
    </w:p>
    <w:p w14:paraId="2A977382" w14:textId="5D5C9B00" w:rsidR="00E54C34" w:rsidRDefault="00C53097">
      <w:pPr>
        <w:pStyle w:val="TDC1"/>
        <w:tabs>
          <w:tab w:val="right" w:leader="dot" w:pos="8828"/>
        </w:tabs>
        <w:rPr>
          <w:rFonts w:asciiTheme="minorHAnsi" w:eastAsiaTheme="minorEastAsia" w:hAnsiTheme="minorHAnsi"/>
          <w:b w:val="0"/>
          <w:bCs w:val="0"/>
          <w:caps w:val="0"/>
          <w:noProof/>
          <w:sz w:val="22"/>
          <w:szCs w:val="22"/>
          <w:lang w:eastAsia="es-CR"/>
        </w:rPr>
      </w:pPr>
      <w:hyperlink w:anchor="_Toc189804949" w:history="1">
        <w:r w:rsidR="00E54C34" w:rsidRPr="00370E31">
          <w:rPr>
            <w:rStyle w:val="Hipervnculo"/>
            <w:rFonts w:eastAsia="Times New Roman"/>
            <w:noProof/>
            <w:lang w:val="es-ES" w:eastAsia="es-ES"/>
          </w:rPr>
          <w:t>NOTAS CONTABLES PARTICULARES</w:t>
        </w:r>
        <w:r w:rsidR="00E54C34">
          <w:rPr>
            <w:noProof/>
            <w:webHidden/>
          </w:rPr>
          <w:tab/>
        </w:r>
        <w:r w:rsidR="00E54C34">
          <w:rPr>
            <w:noProof/>
            <w:webHidden/>
          </w:rPr>
          <w:fldChar w:fldCharType="begin"/>
        </w:r>
        <w:r w:rsidR="00E54C34">
          <w:rPr>
            <w:noProof/>
            <w:webHidden/>
          </w:rPr>
          <w:instrText xml:space="preserve"> PAGEREF _Toc189804949 \h </w:instrText>
        </w:r>
        <w:r w:rsidR="00E54C34">
          <w:rPr>
            <w:noProof/>
            <w:webHidden/>
          </w:rPr>
        </w:r>
        <w:r w:rsidR="00E54C34">
          <w:rPr>
            <w:noProof/>
            <w:webHidden/>
          </w:rPr>
          <w:fldChar w:fldCharType="separate"/>
        </w:r>
        <w:r w:rsidR="00E54C34">
          <w:rPr>
            <w:noProof/>
            <w:webHidden/>
          </w:rPr>
          <w:t>236</w:t>
        </w:r>
        <w:r w:rsidR="00E54C34">
          <w:rPr>
            <w:noProof/>
            <w:webHidden/>
          </w:rPr>
          <w:fldChar w:fldCharType="end"/>
        </w:r>
      </w:hyperlink>
    </w:p>
    <w:p w14:paraId="0F370644" w14:textId="461BD118" w:rsidR="00E54C34" w:rsidRDefault="00C53097">
      <w:pPr>
        <w:pStyle w:val="TDC2"/>
        <w:tabs>
          <w:tab w:val="right" w:leader="dot" w:pos="8828"/>
        </w:tabs>
        <w:rPr>
          <w:rFonts w:eastAsiaTheme="minorEastAsia" w:cstheme="minorBidi"/>
          <w:b w:val="0"/>
          <w:bCs w:val="0"/>
          <w:noProof/>
          <w:sz w:val="22"/>
          <w:szCs w:val="22"/>
          <w:lang w:eastAsia="es-CR"/>
        </w:rPr>
      </w:pPr>
      <w:hyperlink w:anchor="_Toc189804950" w:history="1">
        <w:r w:rsidR="00E54C34" w:rsidRPr="00370E31">
          <w:rPr>
            <w:rStyle w:val="Hipervnculo"/>
            <w:rFonts w:eastAsia="Times New Roman"/>
            <w:noProof/>
            <w:lang w:val="es-ES" w:eastAsia="es-ES"/>
          </w:rPr>
          <w:t>Entrega de Información</w:t>
        </w:r>
        <w:r w:rsidR="00E54C34">
          <w:rPr>
            <w:noProof/>
            <w:webHidden/>
          </w:rPr>
          <w:tab/>
        </w:r>
        <w:r w:rsidR="00E54C34">
          <w:rPr>
            <w:noProof/>
            <w:webHidden/>
          </w:rPr>
          <w:fldChar w:fldCharType="begin"/>
        </w:r>
        <w:r w:rsidR="00E54C34">
          <w:rPr>
            <w:noProof/>
            <w:webHidden/>
          </w:rPr>
          <w:instrText xml:space="preserve"> PAGEREF _Toc189804950 \h </w:instrText>
        </w:r>
        <w:r w:rsidR="00E54C34">
          <w:rPr>
            <w:noProof/>
            <w:webHidden/>
          </w:rPr>
        </w:r>
        <w:r w:rsidR="00E54C34">
          <w:rPr>
            <w:noProof/>
            <w:webHidden/>
          </w:rPr>
          <w:fldChar w:fldCharType="separate"/>
        </w:r>
        <w:r w:rsidR="00E54C34">
          <w:rPr>
            <w:noProof/>
            <w:webHidden/>
          </w:rPr>
          <w:t>236</w:t>
        </w:r>
        <w:r w:rsidR="00E54C34">
          <w:rPr>
            <w:noProof/>
            <w:webHidden/>
          </w:rPr>
          <w:fldChar w:fldCharType="end"/>
        </w:r>
      </w:hyperlink>
    </w:p>
    <w:p w14:paraId="4CF80F7B" w14:textId="6CCD59D1" w:rsidR="00E54C34" w:rsidRDefault="00C53097">
      <w:pPr>
        <w:pStyle w:val="TDC1"/>
        <w:tabs>
          <w:tab w:val="right" w:leader="dot" w:pos="8828"/>
        </w:tabs>
        <w:rPr>
          <w:rFonts w:asciiTheme="minorHAnsi" w:eastAsiaTheme="minorEastAsia" w:hAnsiTheme="minorHAnsi"/>
          <w:b w:val="0"/>
          <w:bCs w:val="0"/>
          <w:caps w:val="0"/>
          <w:noProof/>
          <w:sz w:val="22"/>
          <w:szCs w:val="22"/>
          <w:lang w:eastAsia="es-CR"/>
        </w:rPr>
      </w:pPr>
      <w:hyperlink w:anchor="_Toc189804951" w:history="1">
        <w:r w:rsidR="00E54C34" w:rsidRPr="00370E31">
          <w:rPr>
            <w:rStyle w:val="Hipervnculo"/>
            <w:noProof/>
            <w:lang w:val="es-ES"/>
          </w:rPr>
          <w:t>ANEXOS</w:t>
        </w:r>
        <w:r w:rsidR="00E54C34">
          <w:rPr>
            <w:noProof/>
            <w:webHidden/>
          </w:rPr>
          <w:tab/>
        </w:r>
        <w:r w:rsidR="00E54C34">
          <w:rPr>
            <w:noProof/>
            <w:webHidden/>
          </w:rPr>
          <w:fldChar w:fldCharType="begin"/>
        </w:r>
        <w:r w:rsidR="00E54C34">
          <w:rPr>
            <w:noProof/>
            <w:webHidden/>
          </w:rPr>
          <w:instrText xml:space="preserve"> PAGEREF _Toc189804951 \h </w:instrText>
        </w:r>
        <w:r w:rsidR="00E54C34">
          <w:rPr>
            <w:noProof/>
            <w:webHidden/>
          </w:rPr>
        </w:r>
        <w:r w:rsidR="00E54C34">
          <w:rPr>
            <w:noProof/>
            <w:webHidden/>
          </w:rPr>
          <w:fldChar w:fldCharType="separate"/>
        </w:r>
        <w:r w:rsidR="00E54C34">
          <w:rPr>
            <w:noProof/>
            <w:webHidden/>
          </w:rPr>
          <w:t>237</w:t>
        </w:r>
        <w:r w:rsidR="00E54C34">
          <w:rPr>
            <w:noProof/>
            <w:webHidden/>
          </w:rPr>
          <w:fldChar w:fldCharType="end"/>
        </w:r>
      </w:hyperlink>
    </w:p>
    <w:p w14:paraId="6376C509" w14:textId="30455717" w:rsidR="00E54C34" w:rsidRDefault="00C53097">
      <w:pPr>
        <w:pStyle w:val="TDC2"/>
        <w:tabs>
          <w:tab w:val="right" w:leader="dot" w:pos="8828"/>
        </w:tabs>
        <w:rPr>
          <w:rFonts w:eastAsiaTheme="minorEastAsia" w:cstheme="minorBidi"/>
          <w:b w:val="0"/>
          <w:bCs w:val="0"/>
          <w:noProof/>
          <w:sz w:val="22"/>
          <w:szCs w:val="22"/>
          <w:lang w:eastAsia="es-CR"/>
        </w:rPr>
      </w:pPr>
      <w:hyperlink w:anchor="_Toc189804952" w:history="1">
        <w:r w:rsidR="00E54C34" w:rsidRPr="00370E31">
          <w:rPr>
            <w:rStyle w:val="Hipervnculo"/>
            <w:rFonts w:eastAsia="Times New Roman"/>
            <w:noProof/>
          </w:rPr>
          <w:t>NICSP</w:t>
        </w:r>
        <w:r w:rsidR="00E54C34">
          <w:rPr>
            <w:noProof/>
            <w:webHidden/>
          </w:rPr>
          <w:tab/>
        </w:r>
        <w:r w:rsidR="00E54C34">
          <w:rPr>
            <w:noProof/>
            <w:webHidden/>
          </w:rPr>
          <w:fldChar w:fldCharType="begin"/>
        </w:r>
        <w:r w:rsidR="00E54C34">
          <w:rPr>
            <w:noProof/>
            <w:webHidden/>
          </w:rPr>
          <w:instrText xml:space="preserve"> PAGEREF _Toc189804952 \h </w:instrText>
        </w:r>
        <w:r w:rsidR="00E54C34">
          <w:rPr>
            <w:noProof/>
            <w:webHidden/>
          </w:rPr>
        </w:r>
        <w:r w:rsidR="00E54C34">
          <w:rPr>
            <w:noProof/>
            <w:webHidden/>
          </w:rPr>
          <w:fldChar w:fldCharType="separate"/>
        </w:r>
        <w:r w:rsidR="00E54C34">
          <w:rPr>
            <w:noProof/>
            <w:webHidden/>
          </w:rPr>
          <w:t>237</w:t>
        </w:r>
        <w:r w:rsidR="00E54C34">
          <w:rPr>
            <w:noProof/>
            <w:webHidden/>
          </w:rPr>
          <w:fldChar w:fldCharType="end"/>
        </w:r>
      </w:hyperlink>
    </w:p>
    <w:p w14:paraId="5E71E4ED" w14:textId="734391F8" w:rsidR="00E54C34" w:rsidRDefault="00C53097">
      <w:pPr>
        <w:pStyle w:val="TDC3"/>
        <w:tabs>
          <w:tab w:val="right" w:leader="dot" w:pos="8828"/>
        </w:tabs>
        <w:rPr>
          <w:rFonts w:eastAsiaTheme="minorEastAsia" w:cstheme="minorBidi"/>
          <w:noProof/>
          <w:sz w:val="22"/>
          <w:szCs w:val="22"/>
          <w:lang w:eastAsia="es-CR"/>
        </w:rPr>
      </w:pPr>
      <w:hyperlink w:anchor="_Toc189804953" w:history="1">
        <w:r w:rsidR="00E54C34" w:rsidRPr="00370E31">
          <w:rPr>
            <w:rStyle w:val="Hipervnculo"/>
            <w:rFonts w:eastAsia="Times New Roman"/>
            <w:noProof/>
            <w:lang w:eastAsia="es-CR"/>
          </w:rPr>
          <w:t>NICSP 13 ARRENDAMIENTOS</w:t>
        </w:r>
        <w:r w:rsidR="00E54C34">
          <w:rPr>
            <w:noProof/>
            <w:webHidden/>
          </w:rPr>
          <w:tab/>
        </w:r>
        <w:r w:rsidR="00E54C34">
          <w:rPr>
            <w:noProof/>
            <w:webHidden/>
          </w:rPr>
          <w:fldChar w:fldCharType="begin"/>
        </w:r>
        <w:r w:rsidR="00E54C34">
          <w:rPr>
            <w:noProof/>
            <w:webHidden/>
          </w:rPr>
          <w:instrText xml:space="preserve"> PAGEREF _Toc189804953 \h </w:instrText>
        </w:r>
        <w:r w:rsidR="00E54C34">
          <w:rPr>
            <w:noProof/>
            <w:webHidden/>
          </w:rPr>
        </w:r>
        <w:r w:rsidR="00E54C34">
          <w:rPr>
            <w:noProof/>
            <w:webHidden/>
          </w:rPr>
          <w:fldChar w:fldCharType="separate"/>
        </w:r>
        <w:r w:rsidR="00E54C34">
          <w:rPr>
            <w:noProof/>
            <w:webHidden/>
          </w:rPr>
          <w:t>237</w:t>
        </w:r>
        <w:r w:rsidR="00E54C34">
          <w:rPr>
            <w:noProof/>
            <w:webHidden/>
          </w:rPr>
          <w:fldChar w:fldCharType="end"/>
        </w:r>
      </w:hyperlink>
    </w:p>
    <w:p w14:paraId="52683F33" w14:textId="302E3FAB" w:rsidR="00E54C34" w:rsidRDefault="00C53097">
      <w:pPr>
        <w:pStyle w:val="TDC3"/>
        <w:tabs>
          <w:tab w:val="right" w:leader="dot" w:pos="8828"/>
        </w:tabs>
        <w:rPr>
          <w:rFonts w:eastAsiaTheme="minorEastAsia" w:cstheme="minorBidi"/>
          <w:noProof/>
          <w:sz w:val="22"/>
          <w:szCs w:val="22"/>
          <w:lang w:eastAsia="es-CR"/>
        </w:rPr>
      </w:pPr>
      <w:hyperlink w:anchor="_Toc189804954" w:history="1">
        <w:r w:rsidR="00E54C34" w:rsidRPr="00370E31">
          <w:rPr>
            <w:rStyle w:val="Hipervnculo"/>
            <w:rFonts w:eastAsia="Times New Roman"/>
            <w:noProof/>
            <w:lang w:eastAsia="es-CR"/>
          </w:rPr>
          <w:t>NICSP 16- PROPIEDADES DE INVERSIÓN</w:t>
        </w:r>
        <w:r w:rsidR="00E54C34">
          <w:rPr>
            <w:noProof/>
            <w:webHidden/>
          </w:rPr>
          <w:tab/>
        </w:r>
        <w:r w:rsidR="00E54C34">
          <w:rPr>
            <w:noProof/>
            <w:webHidden/>
          </w:rPr>
          <w:fldChar w:fldCharType="begin"/>
        </w:r>
        <w:r w:rsidR="00E54C34">
          <w:rPr>
            <w:noProof/>
            <w:webHidden/>
          </w:rPr>
          <w:instrText xml:space="preserve"> PAGEREF _Toc189804954 \h </w:instrText>
        </w:r>
        <w:r w:rsidR="00E54C34">
          <w:rPr>
            <w:noProof/>
            <w:webHidden/>
          </w:rPr>
        </w:r>
        <w:r w:rsidR="00E54C34">
          <w:rPr>
            <w:noProof/>
            <w:webHidden/>
          </w:rPr>
          <w:fldChar w:fldCharType="separate"/>
        </w:r>
        <w:r w:rsidR="00E54C34">
          <w:rPr>
            <w:noProof/>
            <w:webHidden/>
          </w:rPr>
          <w:t>238</w:t>
        </w:r>
        <w:r w:rsidR="00E54C34">
          <w:rPr>
            <w:noProof/>
            <w:webHidden/>
          </w:rPr>
          <w:fldChar w:fldCharType="end"/>
        </w:r>
      </w:hyperlink>
    </w:p>
    <w:p w14:paraId="044D5EF9" w14:textId="62BDBA62" w:rsidR="00E54C34" w:rsidRDefault="00C53097">
      <w:pPr>
        <w:pStyle w:val="TDC3"/>
        <w:tabs>
          <w:tab w:val="right" w:leader="dot" w:pos="8828"/>
        </w:tabs>
        <w:rPr>
          <w:rFonts w:eastAsiaTheme="minorEastAsia" w:cstheme="minorBidi"/>
          <w:noProof/>
          <w:sz w:val="22"/>
          <w:szCs w:val="22"/>
          <w:lang w:eastAsia="es-CR"/>
        </w:rPr>
      </w:pPr>
      <w:hyperlink w:anchor="_Toc189804955" w:history="1">
        <w:r w:rsidR="00E54C34" w:rsidRPr="00370E31">
          <w:rPr>
            <w:rStyle w:val="Hipervnculo"/>
            <w:rFonts w:eastAsia="Times New Roman"/>
            <w:noProof/>
            <w:lang w:eastAsia="es-CR"/>
          </w:rPr>
          <w:t>NICSP 17- PROPIEDAD, PLANTA Y EQUIPO</w:t>
        </w:r>
        <w:r w:rsidR="00E54C34">
          <w:rPr>
            <w:noProof/>
            <w:webHidden/>
          </w:rPr>
          <w:tab/>
        </w:r>
        <w:r w:rsidR="00E54C34">
          <w:rPr>
            <w:noProof/>
            <w:webHidden/>
          </w:rPr>
          <w:fldChar w:fldCharType="begin"/>
        </w:r>
        <w:r w:rsidR="00E54C34">
          <w:rPr>
            <w:noProof/>
            <w:webHidden/>
          </w:rPr>
          <w:instrText xml:space="preserve"> PAGEREF _Toc189804955 \h </w:instrText>
        </w:r>
        <w:r w:rsidR="00E54C34">
          <w:rPr>
            <w:noProof/>
            <w:webHidden/>
          </w:rPr>
        </w:r>
        <w:r w:rsidR="00E54C34">
          <w:rPr>
            <w:noProof/>
            <w:webHidden/>
          </w:rPr>
          <w:fldChar w:fldCharType="separate"/>
        </w:r>
        <w:r w:rsidR="00E54C34">
          <w:rPr>
            <w:noProof/>
            <w:webHidden/>
          </w:rPr>
          <w:t>238</w:t>
        </w:r>
        <w:r w:rsidR="00E54C34">
          <w:rPr>
            <w:noProof/>
            <w:webHidden/>
          </w:rPr>
          <w:fldChar w:fldCharType="end"/>
        </w:r>
      </w:hyperlink>
    </w:p>
    <w:p w14:paraId="274128F6" w14:textId="4EACFA37" w:rsidR="00E54C34" w:rsidRDefault="00C53097">
      <w:pPr>
        <w:pStyle w:val="TDC3"/>
        <w:tabs>
          <w:tab w:val="right" w:leader="dot" w:pos="8828"/>
        </w:tabs>
        <w:rPr>
          <w:rFonts w:eastAsiaTheme="minorEastAsia" w:cstheme="minorBidi"/>
          <w:noProof/>
          <w:sz w:val="22"/>
          <w:szCs w:val="22"/>
          <w:lang w:eastAsia="es-CR"/>
        </w:rPr>
      </w:pPr>
      <w:hyperlink w:anchor="_Toc189804956" w:history="1">
        <w:r w:rsidR="00E54C34" w:rsidRPr="00370E31">
          <w:rPr>
            <w:rStyle w:val="Hipervnculo"/>
            <w:noProof/>
            <w:lang w:eastAsia="es-CR"/>
          </w:rPr>
          <w:drawing>
            <wp:inline distT="0" distB="0" distL="0" distR="0" wp14:anchorId="1CED9703" wp14:editId="61C7206F">
              <wp:extent cx="6522280" cy="1859796"/>
              <wp:effectExtent l="0" t="0" r="0" b="7620"/>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54669" cy="1869032"/>
                      </a:xfrm>
                      <a:prstGeom prst="rect">
                        <a:avLst/>
                      </a:prstGeom>
                      <a:noFill/>
                      <a:ln>
                        <a:noFill/>
                      </a:ln>
                    </pic:spPr>
                  </pic:pic>
                </a:graphicData>
              </a:graphic>
            </wp:inline>
          </w:drawing>
        </w:r>
        <w:r w:rsidR="00E54C34">
          <w:rPr>
            <w:noProof/>
            <w:webHidden/>
          </w:rPr>
          <w:tab/>
        </w:r>
        <w:r w:rsidR="00E54C34">
          <w:rPr>
            <w:noProof/>
            <w:webHidden/>
          </w:rPr>
          <w:fldChar w:fldCharType="begin"/>
        </w:r>
        <w:r w:rsidR="00E54C34">
          <w:rPr>
            <w:noProof/>
            <w:webHidden/>
          </w:rPr>
          <w:instrText xml:space="preserve"> PAGEREF _Toc189804956 \h </w:instrText>
        </w:r>
        <w:r w:rsidR="00E54C34">
          <w:rPr>
            <w:noProof/>
            <w:webHidden/>
          </w:rPr>
        </w:r>
        <w:r w:rsidR="00E54C34">
          <w:rPr>
            <w:noProof/>
            <w:webHidden/>
          </w:rPr>
          <w:fldChar w:fldCharType="separate"/>
        </w:r>
        <w:r w:rsidR="00E54C34">
          <w:rPr>
            <w:noProof/>
            <w:webHidden/>
          </w:rPr>
          <w:t>238</w:t>
        </w:r>
        <w:r w:rsidR="00E54C34">
          <w:rPr>
            <w:noProof/>
            <w:webHidden/>
          </w:rPr>
          <w:fldChar w:fldCharType="end"/>
        </w:r>
      </w:hyperlink>
    </w:p>
    <w:p w14:paraId="09CD292E" w14:textId="2650FAC0" w:rsidR="00E54C34" w:rsidRDefault="00C53097">
      <w:pPr>
        <w:pStyle w:val="TDC3"/>
        <w:tabs>
          <w:tab w:val="right" w:leader="dot" w:pos="8828"/>
        </w:tabs>
        <w:rPr>
          <w:rFonts w:eastAsiaTheme="minorEastAsia" w:cstheme="minorBidi"/>
          <w:noProof/>
          <w:sz w:val="22"/>
          <w:szCs w:val="22"/>
          <w:lang w:eastAsia="es-CR"/>
        </w:rPr>
      </w:pPr>
      <w:hyperlink w:anchor="_Toc189804957" w:history="1">
        <w:r w:rsidR="00E54C34" w:rsidRPr="00370E31">
          <w:rPr>
            <w:rStyle w:val="Hipervnculo"/>
            <w:rFonts w:eastAsia="Times New Roman"/>
            <w:noProof/>
            <w:lang w:eastAsia="es-CR"/>
          </w:rPr>
          <w:t>NICSP 19- ACTIVOS CONTINGENTES</w:t>
        </w:r>
        <w:r w:rsidR="00E54C34">
          <w:rPr>
            <w:noProof/>
            <w:webHidden/>
          </w:rPr>
          <w:tab/>
        </w:r>
        <w:r w:rsidR="00E54C34">
          <w:rPr>
            <w:noProof/>
            <w:webHidden/>
          </w:rPr>
          <w:fldChar w:fldCharType="begin"/>
        </w:r>
        <w:r w:rsidR="00E54C34">
          <w:rPr>
            <w:noProof/>
            <w:webHidden/>
          </w:rPr>
          <w:instrText xml:space="preserve"> PAGEREF _Toc189804957 \h </w:instrText>
        </w:r>
        <w:r w:rsidR="00E54C34">
          <w:rPr>
            <w:noProof/>
            <w:webHidden/>
          </w:rPr>
        </w:r>
        <w:r w:rsidR="00E54C34">
          <w:rPr>
            <w:noProof/>
            <w:webHidden/>
          </w:rPr>
          <w:fldChar w:fldCharType="separate"/>
        </w:r>
        <w:r w:rsidR="00E54C34">
          <w:rPr>
            <w:noProof/>
            <w:webHidden/>
          </w:rPr>
          <w:t>240</w:t>
        </w:r>
        <w:r w:rsidR="00E54C34">
          <w:rPr>
            <w:noProof/>
            <w:webHidden/>
          </w:rPr>
          <w:fldChar w:fldCharType="end"/>
        </w:r>
      </w:hyperlink>
    </w:p>
    <w:p w14:paraId="1EB18BF3" w14:textId="1FBC8631" w:rsidR="00E54C34" w:rsidRDefault="00C53097">
      <w:pPr>
        <w:pStyle w:val="TDC3"/>
        <w:tabs>
          <w:tab w:val="right" w:leader="dot" w:pos="8828"/>
        </w:tabs>
        <w:rPr>
          <w:rFonts w:eastAsiaTheme="minorEastAsia" w:cstheme="minorBidi"/>
          <w:noProof/>
          <w:sz w:val="22"/>
          <w:szCs w:val="22"/>
          <w:lang w:eastAsia="es-CR"/>
        </w:rPr>
      </w:pPr>
      <w:hyperlink w:anchor="_Toc189804958" w:history="1">
        <w:r w:rsidR="00E54C34" w:rsidRPr="00370E31">
          <w:rPr>
            <w:rStyle w:val="Hipervnculo"/>
            <w:rFonts w:eastAsia="Times New Roman"/>
            <w:noProof/>
            <w:lang w:eastAsia="es-CR"/>
          </w:rPr>
          <w:t>NICSP 19- PASIVOS CONTINGENTES</w:t>
        </w:r>
        <w:r w:rsidR="00E54C34">
          <w:rPr>
            <w:noProof/>
            <w:webHidden/>
          </w:rPr>
          <w:tab/>
        </w:r>
        <w:r w:rsidR="00E54C34">
          <w:rPr>
            <w:noProof/>
            <w:webHidden/>
          </w:rPr>
          <w:fldChar w:fldCharType="begin"/>
        </w:r>
        <w:r w:rsidR="00E54C34">
          <w:rPr>
            <w:noProof/>
            <w:webHidden/>
          </w:rPr>
          <w:instrText xml:space="preserve"> PAGEREF _Toc189804958 \h </w:instrText>
        </w:r>
        <w:r w:rsidR="00E54C34">
          <w:rPr>
            <w:noProof/>
            <w:webHidden/>
          </w:rPr>
        </w:r>
        <w:r w:rsidR="00E54C34">
          <w:rPr>
            <w:noProof/>
            <w:webHidden/>
          </w:rPr>
          <w:fldChar w:fldCharType="separate"/>
        </w:r>
        <w:r w:rsidR="00E54C34">
          <w:rPr>
            <w:noProof/>
            <w:webHidden/>
          </w:rPr>
          <w:t>241</w:t>
        </w:r>
        <w:r w:rsidR="00E54C34">
          <w:rPr>
            <w:noProof/>
            <w:webHidden/>
          </w:rPr>
          <w:fldChar w:fldCharType="end"/>
        </w:r>
      </w:hyperlink>
    </w:p>
    <w:p w14:paraId="1C52B2A2" w14:textId="70EF331A" w:rsidR="00E54C34" w:rsidRDefault="00C53097">
      <w:pPr>
        <w:pStyle w:val="TDC3"/>
        <w:tabs>
          <w:tab w:val="right" w:leader="dot" w:pos="8828"/>
        </w:tabs>
        <w:rPr>
          <w:rFonts w:eastAsiaTheme="minorEastAsia" w:cstheme="minorBidi"/>
          <w:noProof/>
          <w:sz w:val="22"/>
          <w:szCs w:val="22"/>
          <w:lang w:eastAsia="es-CR"/>
        </w:rPr>
      </w:pPr>
      <w:hyperlink w:anchor="_Toc189804959" w:history="1">
        <w:r w:rsidR="00E54C34" w:rsidRPr="00370E31">
          <w:rPr>
            <w:rStyle w:val="Hipervnculo"/>
            <w:rFonts w:eastAsia="Times New Roman"/>
            <w:noProof/>
            <w:lang w:eastAsia="es-CR"/>
          </w:rPr>
          <w:t>NICSP 27- AGRICULTURA</w:t>
        </w:r>
        <w:r w:rsidR="00E54C34">
          <w:rPr>
            <w:noProof/>
            <w:webHidden/>
          </w:rPr>
          <w:tab/>
        </w:r>
        <w:r w:rsidR="00E54C34">
          <w:rPr>
            <w:noProof/>
            <w:webHidden/>
          </w:rPr>
          <w:fldChar w:fldCharType="begin"/>
        </w:r>
        <w:r w:rsidR="00E54C34">
          <w:rPr>
            <w:noProof/>
            <w:webHidden/>
          </w:rPr>
          <w:instrText xml:space="preserve"> PAGEREF _Toc189804959 \h </w:instrText>
        </w:r>
        <w:r w:rsidR="00E54C34">
          <w:rPr>
            <w:noProof/>
            <w:webHidden/>
          </w:rPr>
        </w:r>
        <w:r w:rsidR="00E54C34">
          <w:rPr>
            <w:noProof/>
            <w:webHidden/>
          </w:rPr>
          <w:fldChar w:fldCharType="separate"/>
        </w:r>
        <w:r w:rsidR="00E54C34">
          <w:rPr>
            <w:noProof/>
            <w:webHidden/>
          </w:rPr>
          <w:t>242</w:t>
        </w:r>
        <w:r w:rsidR="00E54C34">
          <w:rPr>
            <w:noProof/>
            <w:webHidden/>
          </w:rPr>
          <w:fldChar w:fldCharType="end"/>
        </w:r>
      </w:hyperlink>
    </w:p>
    <w:p w14:paraId="2B9BC406" w14:textId="7D970BCC" w:rsidR="00E54C34" w:rsidRDefault="00C53097">
      <w:pPr>
        <w:pStyle w:val="TDC3"/>
        <w:tabs>
          <w:tab w:val="right" w:leader="dot" w:pos="8828"/>
        </w:tabs>
        <w:rPr>
          <w:rFonts w:eastAsiaTheme="minorEastAsia" w:cstheme="minorBidi"/>
          <w:noProof/>
          <w:sz w:val="22"/>
          <w:szCs w:val="22"/>
          <w:lang w:eastAsia="es-CR"/>
        </w:rPr>
      </w:pPr>
      <w:hyperlink w:anchor="_Toc189804960" w:history="1">
        <w:r w:rsidR="00E54C34" w:rsidRPr="00370E31">
          <w:rPr>
            <w:rStyle w:val="Hipervnculo"/>
            <w:rFonts w:eastAsia="Times New Roman"/>
            <w:noProof/>
            <w:lang w:eastAsia="es-CR"/>
          </w:rPr>
          <w:t>NICSP 28- 29- 30</w:t>
        </w:r>
        <w:r w:rsidR="00E54C34">
          <w:rPr>
            <w:noProof/>
            <w:webHidden/>
          </w:rPr>
          <w:tab/>
        </w:r>
        <w:r w:rsidR="00E54C34">
          <w:rPr>
            <w:noProof/>
            <w:webHidden/>
          </w:rPr>
          <w:fldChar w:fldCharType="begin"/>
        </w:r>
        <w:r w:rsidR="00E54C34">
          <w:rPr>
            <w:noProof/>
            <w:webHidden/>
          </w:rPr>
          <w:instrText xml:space="preserve"> PAGEREF _Toc189804960 \h </w:instrText>
        </w:r>
        <w:r w:rsidR="00E54C34">
          <w:rPr>
            <w:noProof/>
            <w:webHidden/>
          </w:rPr>
        </w:r>
        <w:r w:rsidR="00E54C34">
          <w:rPr>
            <w:noProof/>
            <w:webHidden/>
          </w:rPr>
          <w:fldChar w:fldCharType="separate"/>
        </w:r>
        <w:r w:rsidR="00E54C34">
          <w:rPr>
            <w:noProof/>
            <w:webHidden/>
          </w:rPr>
          <w:t>243</w:t>
        </w:r>
        <w:r w:rsidR="00E54C34">
          <w:rPr>
            <w:noProof/>
            <w:webHidden/>
          </w:rPr>
          <w:fldChar w:fldCharType="end"/>
        </w:r>
      </w:hyperlink>
    </w:p>
    <w:p w14:paraId="11BBE57C" w14:textId="41121F75" w:rsidR="00E54C34" w:rsidRDefault="00C53097">
      <w:pPr>
        <w:pStyle w:val="TDC3"/>
        <w:tabs>
          <w:tab w:val="right" w:leader="dot" w:pos="8828"/>
        </w:tabs>
        <w:rPr>
          <w:rFonts w:eastAsiaTheme="minorEastAsia" w:cstheme="minorBidi"/>
          <w:noProof/>
          <w:sz w:val="22"/>
          <w:szCs w:val="22"/>
          <w:lang w:eastAsia="es-CR"/>
        </w:rPr>
      </w:pPr>
      <w:hyperlink w:anchor="_Toc189804961" w:history="1">
        <w:r w:rsidR="00E54C34" w:rsidRPr="00370E31">
          <w:rPr>
            <w:rStyle w:val="Hipervnculo"/>
            <w:rFonts w:eastAsia="Times New Roman"/>
            <w:noProof/>
            <w:lang w:eastAsia="es-CR"/>
          </w:rPr>
          <w:t>FIDEICOMISOS</w:t>
        </w:r>
        <w:r w:rsidR="00E54C34">
          <w:rPr>
            <w:noProof/>
            <w:webHidden/>
          </w:rPr>
          <w:tab/>
        </w:r>
        <w:r w:rsidR="00E54C34">
          <w:rPr>
            <w:noProof/>
            <w:webHidden/>
          </w:rPr>
          <w:fldChar w:fldCharType="begin"/>
        </w:r>
        <w:r w:rsidR="00E54C34">
          <w:rPr>
            <w:noProof/>
            <w:webHidden/>
          </w:rPr>
          <w:instrText xml:space="preserve"> PAGEREF _Toc189804961 \h </w:instrText>
        </w:r>
        <w:r w:rsidR="00E54C34">
          <w:rPr>
            <w:noProof/>
            <w:webHidden/>
          </w:rPr>
        </w:r>
        <w:r w:rsidR="00E54C34">
          <w:rPr>
            <w:noProof/>
            <w:webHidden/>
          </w:rPr>
          <w:fldChar w:fldCharType="separate"/>
        </w:r>
        <w:r w:rsidR="00E54C34">
          <w:rPr>
            <w:noProof/>
            <w:webHidden/>
          </w:rPr>
          <w:t>244</w:t>
        </w:r>
        <w:r w:rsidR="00E54C34">
          <w:rPr>
            <w:noProof/>
            <w:webHidden/>
          </w:rPr>
          <w:fldChar w:fldCharType="end"/>
        </w:r>
      </w:hyperlink>
    </w:p>
    <w:p w14:paraId="705F8E93" w14:textId="278B775E" w:rsidR="00E54C34" w:rsidRDefault="00C53097">
      <w:pPr>
        <w:pStyle w:val="TDC3"/>
        <w:tabs>
          <w:tab w:val="right" w:leader="dot" w:pos="8828"/>
        </w:tabs>
        <w:rPr>
          <w:rFonts w:eastAsiaTheme="minorEastAsia" w:cstheme="minorBidi"/>
          <w:noProof/>
          <w:sz w:val="22"/>
          <w:szCs w:val="22"/>
          <w:lang w:eastAsia="es-CR"/>
        </w:rPr>
      </w:pPr>
      <w:hyperlink w:anchor="_Toc189804962" w:history="1">
        <w:r w:rsidR="00E54C34" w:rsidRPr="00370E31">
          <w:rPr>
            <w:rStyle w:val="Hipervnculo"/>
            <w:rFonts w:eastAsia="Times New Roman"/>
            <w:noProof/>
            <w:lang w:eastAsia="es-CR"/>
          </w:rPr>
          <w:t>NICSP 31 NICSP 31</w:t>
        </w:r>
        <w:r w:rsidR="00E54C34">
          <w:rPr>
            <w:noProof/>
            <w:webHidden/>
          </w:rPr>
          <w:tab/>
        </w:r>
        <w:r w:rsidR="00E54C34">
          <w:rPr>
            <w:noProof/>
            <w:webHidden/>
          </w:rPr>
          <w:fldChar w:fldCharType="begin"/>
        </w:r>
        <w:r w:rsidR="00E54C34">
          <w:rPr>
            <w:noProof/>
            <w:webHidden/>
          </w:rPr>
          <w:instrText xml:space="preserve"> PAGEREF _Toc189804962 \h </w:instrText>
        </w:r>
        <w:r w:rsidR="00E54C34">
          <w:rPr>
            <w:noProof/>
            <w:webHidden/>
          </w:rPr>
        </w:r>
        <w:r w:rsidR="00E54C34">
          <w:rPr>
            <w:noProof/>
            <w:webHidden/>
          </w:rPr>
          <w:fldChar w:fldCharType="separate"/>
        </w:r>
        <w:r w:rsidR="00E54C34">
          <w:rPr>
            <w:noProof/>
            <w:webHidden/>
          </w:rPr>
          <w:t>244</w:t>
        </w:r>
        <w:r w:rsidR="00E54C34">
          <w:rPr>
            <w:noProof/>
            <w:webHidden/>
          </w:rPr>
          <w:fldChar w:fldCharType="end"/>
        </w:r>
      </w:hyperlink>
    </w:p>
    <w:p w14:paraId="16547B02" w14:textId="1807C4A4" w:rsidR="00E778C1" w:rsidRPr="00874E06" w:rsidRDefault="002C4091">
      <w:pPr>
        <w:rPr>
          <w:sz w:val="22"/>
        </w:rPr>
      </w:pPr>
      <w:r w:rsidRPr="00874E06">
        <w:rPr>
          <w:sz w:val="22"/>
        </w:rPr>
        <w:fldChar w:fldCharType="end"/>
      </w:r>
    </w:p>
    <w:p w14:paraId="0A38E0D3" w14:textId="4315A83D" w:rsidR="00E778C1" w:rsidRPr="006B75D2" w:rsidRDefault="00E778C1">
      <w:pPr>
        <w:rPr>
          <w:sz w:val="22"/>
        </w:rPr>
      </w:pPr>
    </w:p>
    <w:p w14:paraId="608912F3" w14:textId="77777777" w:rsidR="002407B9" w:rsidRDefault="002407B9">
      <w:pPr>
        <w:rPr>
          <w:sz w:val="22"/>
        </w:rPr>
      </w:pPr>
    </w:p>
    <w:p w14:paraId="3BEBF90C" w14:textId="77777777" w:rsidR="002407B9" w:rsidRDefault="002407B9">
      <w:pPr>
        <w:rPr>
          <w:sz w:val="22"/>
        </w:rPr>
      </w:pPr>
    </w:p>
    <w:p w14:paraId="5CC2CF9C" w14:textId="77777777" w:rsidR="006B75D2" w:rsidRDefault="006B75D2">
      <w:pPr>
        <w:rPr>
          <w:sz w:val="22"/>
        </w:rPr>
      </w:pPr>
    </w:p>
    <w:p w14:paraId="7042B10B" w14:textId="77777777" w:rsidR="006B75D2" w:rsidRDefault="006B75D2">
      <w:pPr>
        <w:rPr>
          <w:sz w:val="22"/>
        </w:rPr>
      </w:pPr>
    </w:p>
    <w:p w14:paraId="0C56DFBF" w14:textId="77777777" w:rsidR="006B75D2" w:rsidRDefault="006B75D2">
      <w:pPr>
        <w:rPr>
          <w:sz w:val="22"/>
        </w:rPr>
      </w:pPr>
    </w:p>
    <w:p w14:paraId="320FE7EC" w14:textId="77777777" w:rsidR="006B75D2" w:rsidRDefault="006B75D2">
      <w:pPr>
        <w:rPr>
          <w:sz w:val="22"/>
        </w:rPr>
      </w:pPr>
    </w:p>
    <w:p w14:paraId="1D680C9A" w14:textId="77777777" w:rsidR="006B75D2" w:rsidRDefault="006B75D2">
      <w:pPr>
        <w:rPr>
          <w:sz w:val="22"/>
        </w:rPr>
      </w:pPr>
    </w:p>
    <w:p w14:paraId="44732E00" w14:textId="77777777" w:rsidR="006B75D2" w:rsidRDefault="006B75D2">
      <w:pPr>
        <w:rPr>
          <w:sz w:val="22"/>
        </w:rPr>
      </w:pPr>
    </w:p>
    <w:p w14:paraId="1BC0DCF1" w14:textId="21DE5168" w:rsidR="002407B9" w:rsidRDefault="002407B9" w:rsidP="00B2071E">
      <w:pPr>
        <w:pStyle w:val="Ttulo1"/>
      </w:pPr>
      <w:bookmarkStart w:id="0" w:name="_Toc189804768"/>
      <w:bookmarkStart w:id="1" w:name="_Hlk153877590"/>
      <w:r>
        <w:t>Periodo Contable 202</w:t>
      </w:r>
      <w:r w:rsidR="00016C74">
        <w:t>4</w:t>
      </w:r>
      <w:bookmarkEnd w:id="0"/>
    </w:p>
    <w:bookmarkStart w:id="2" w:name="_MON_1590822211"/>
    <w:bookmarkEnd w:id="2"/>
    <w:p w14:paraId="68E5CD8F" w14:textId="05C9BE8C" w:rsidR="00391C5F" w:rsidRPr="00391C5F" w:rsidRDefault="00391C5F" w:rsidP="00391C5F">
      <w:r w:rsidRPr="00735F66">
        <w:object w:dxaOrig="9348" w:dyaOrig="3193" w14:anchorId="2F8B15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65pt;height:141.5pt" o:ole="">
            <v:imagedata r:id="rId12" o:title=""/>
          </v:shape>
          <o:OLEObject Type="Embed" ProgID="Excel.Sheet.12" ShapeID="_x0000_i1025" DrawAspect="Content" ObjectID="_1800678756" r:id="rId13"/>
        </w:object>
      </w:r>
    </w:p>
    <w:p w14:paraId="50E8DA06" w14:textId="56B79EE3" w:rsidR="002407B9" w:rsidRDefault="002407B9" w:rsidP="002407B9">
      <w:pPr>
        <w:ind w:left="708" w:hanging="708"/>
      </w:pPr>
    </w:p>
    <w:bookmarkEnd w:id="1"/>
    <w:p w14:paraId="1DC72EE9" w14:textId="77777777" w:rsidR="00E778C1" w:rsidRDefault="00E778C1" w:rsidP="00E778C1">
      <w:pPr>
        <w:rPr>
          <w:rFonts w:eastAsia="Times New Roman"/>
          <w:color w:val="FFFFFF"/>
          <w:sz w:val="14"/>
          <w:szCs w:val="24"/>
          <w:lang w:eastAsia="es-CR"/>
        </w:rPr>
      </w:pPr>
      <w:r w:rsidRPr="00E778C1">
        <w:rPr>
          <w:noProof/>
          <w:lang w:eastAsia="es-CR"/>
        </w:rPr>
        <w:drawing>
          <wp:inline distT="0" distB="0" distL="0" distR="0" wp14:anchorId="25F6424C" wp14:editId="735A1EB8">
            <wp:extent cx="5654040" cy="228600"/>
            <wp:effectExtent l="0" t="0" r="0" b="0"/>
            <wp:docPr id="523" name="Imagen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4040" cy="228600"/>
                    </a:xfrm>
                    <a:prstGeom prst="rect">
                      <a:avLst/>
                    </a:prstGeom>
                    <a:noFill/>
                    <a:ln>
                      <a:noFill/>
                    </a:ln>
                  </pic:spPr>
                </pic:pic>
              </a:graphicData>
            </a:graphic>
          </wp:inline>
        </w:drawing>
      </w:r>
    </w:p>
    <w:p w14:paraId="28419653" w14:textId="77777777" w:rsidR="00D33ADF" w:rsidRDefault="00D33ADF" w:rsidP="00E778C1">
      <w:pPr>
        <w:rPr>
          <w:rFonts w:eastAsia="Times New Roman"/>
          <w:color w:val="FFFFFF"/>
          <w:sz w:val="14"/>
          <w:szCs w:val="24"/>
          <w:lang w:eastAsia="es-CR"/>
        </w:rPr>
      </w:pPr>
    </w:p>
    <w:tbl>
      <w:tblPr>
        <w:tblpPr w:leftFromText="141" w:rightFromText="141" w:vertAnchor="text" w:horzAnchor="margin" w:tblpY="209"/>
        <w:tblW w:w="8958" w:type="dxa"/>
        <w:tblCellMar>
          <w:left w:w="70" w:type="dxa"/>
          <w:right w:w="70" w:type="dxa"/>
        </w:tblCellMar>
        <w:tblLook w:val="04A0" w:firstRow="1" w:lastRow="0" w:firstColumn="1" w:lastColumn="0" w:noHBand="0" w:noVBand="1"/>
      </w:tblPr>
      <w:tblGrid>
        <w:gridCol w:w="8958"/>
      </w:tblGrid>
      <w:tr w:rsidR="00294CCF" w:rsidRPr="00BF7D90" w14:paraId="2133DA0A" w14:textId="77777777" w:rsidTr="00DC6CF3">
        <w:trPr>
          <w:trHeight w:val="421"/>
        </w:trPr>
        <w:tc>
          <w:tcPr>
            <w:tcW w:w="8958" w:type="dxa"/>
            <w:tcBorders>
              <w:top w:val="nil"/>
              <w:left w:val="nil"/>
              <w:bottom w:val="nil"/>
              <w:right w:val="nil"/>
            </w:tcBorders>
            <w:shd w:val="clear" w:color="000000" w:fill="17375E"/>
            <w:noWrap/>
            <w:vAlign w:val="center"/>
            <w:hideMark/>
          </w:tcPr>
          <w:p w14:paraId="471F9214" w14:textId="77777777" w:rsidR="00294CCF" w:rsidRPr="00BF7D90" w:rsidRDefault="00294CCF" w:rsidP="00DC6CF3">
            <w:pPr>
              <w:spacing w:after="0" w:line="240" w:lineRule="auto"/>
              <w:rPr>
                <w:rFonts w:eastAsia="Times New Roman" w:cs="Calibri"/>
                <w:color w:val="FFFFFF"/>
                <w:szCs w:val="24"/>
                <w:lang w:eastAsia="es-CR"/>
              </w:rPr>
            </w:pPr>
            <w:r w:rsidRPr="00BF7D90">
              <w:rPr>
                <w:rFonts w:eastAsia="Times New Roman" w:cs="Calibri"/>
                <w:color w:val="FFFFFF"/>
                <w:szCs w:val="24"/>
                <w:lang w:eastAsia="es-CR"/>
              </w:rPr>
              <w:t>Entidad:</w:t>
            </w:r>
          </w:p>
        </w:tc>
      </w:tr>
    </w:tbl>
    <w:p w14:paraId="115AB7B8" w14:textId="77777777" w:rsidR="00391C5F" w:rsidRPr="007630E3" w:rsidRDefault="00391C5F" w:rsidP="007F4626">
      <w:pPr>
        <w:numPr>
          <w:ilvl w:val="0"/>
          <w:numId w:val="21"/>
        </w:numPr>
        <w:spacing w:before="120" w:after="120" w:line="240" w:lineRule="auto"/>
        <w:ind w:left="284" w:right="49" w:hanging="284"/>
        <w:rPr>
          <w:szCs w:val="24"/>
        </w:rPr>
      </w:pPr>
      <w:r w:rsidRPr="007630E3">
        <w:rPr>
          <w:szCs w:val="24"/>
        </w:rPr>
        <w:t>MUNICIPALIDAD DE BUENOS AIRES</w:t>
      </w:r>
    </w:p>
    <w:p w14:paraId="6046D88C" w14:textId="77777777" w:rsidR="00391C5F" w:rsidRPr="008C3150" w:rsidRDefault="00391C5F" w:rsidP="007F4626">
      <w:pPr>
        <w:numPr>
          <w:ilvl w:val="0"/>
          <w:numId w:val="21"/>
        </w:numPr>
        <w:spacing w:after="0" w:line="240" w:lineRule="auto"/>
        <w:ind w:left="284" w:right="-91" w:hanging="284"/>
        <w:rPr>
          <w:szCs w:val="24"/>
        </w:rPr>
      </w:pPr>
      <w:r w:rsidRPr="007630E3">
        <w:rPr>
          <w:szCs w:val="24"/>
        </w:rPr>
        <w:t>Las Municipalidades se rigen por un amplio marco normativo, donde destacan La Constitución Política de la República de Costa Rica (Título XII), el Código Municipal Ley 7794, la Ley General de Control Interno Ley 8292, la Ley de Contratación Administrativa Ley 7494 y su Reglamento, Ley de Administración Financiera de la República y Presupuestos Públicos Ley 8131.</w:t>
      </w:r>
    </w:p>
    <w:p w14:paraId="5D408421" w14:textId="77777777" w:rsidR="00294CCF" w:rsidRDefault="00294CCF" w:rsidP="00294CCF"/>
    <w:tbl>
      <w:tblPr>
        <w:tblpPr w:leftFromText="141" w:rightFromText="141" w:vertAnchor="text" w:horzAnchor="margin" w:tblpY="209"/>
        <w:tblW w:w="8958" w:type="dxa"/>
        <w:tblCellMar>
          <w:left w:w="70" w:type="dxa"/>
          <w:right w:w="70" w:type="dxa"/>
        </w:tblCellMar>
        <w:tblLook w:val="04A0" w:firstRow="1" w:lastRow="0" w:firstColumn="1" w:lastColumn="0" w:noHBand="0" w:noVBand="1"/>
      </w:tblPr>
      <w:tblGrid>
        <w:gridCol w:w="8958"/>
      </w:tblGrid>
      <w:tr w:rsidR="00294CCF" w:rsidRPr="00BF7D90" w14:paraId="69CCDA97" w14:textId="77777777" w:rsidTr="00DC6CF3">
        <w:trPr>
          <w:trHeight w:val="420"/>
        </w:trPr>
        <w:tc>
          <w:tcPr>
            <w:tcW w:w="8958" w:type="dxa"/>
            <w:tcBorders>
              <w:top w:val="nil"/>
              <w:left w:val="nil"/>
              <w:bottom w:val="nil"/>
              <w:right w:val="nil"/>
            </w:tcBorders>
            <w:shd w:val="clear" w:color="000000" w:fill="17375E"/>
            <w:noWrap/>
            <w:vAlign w:val="center"/>
            <w:hideMark/>
          </w:tcPr>
          <w:p w14:paraId="0F19BF4E" w14:textId="77777777" w:rsidR="00294CCF" w:rsidRPr="00BF7D90" w:rsidRDefault="00294CCF" w:rsidP="00DC6CF3">
            <w:pPr>
              <w:spacing w:after="0" w:line="240" w:lineRule="auto"/>
              <w:rPr>
                <w:rFonts w:eastAsia="Times New Roman" w:cs="Calibri"/>
                <w:color w:val="FFFFFF"/>
                <w:szCs w:val="24"/>
                <w:lang w:eastAsia="es-CR"/>
              </w:rPr>
            </w:pPr>
            <w:r>
              <w:rPr>
                <w:rFonts w:eastAsia="Times New Roman" w:cs="Calibri"/>
                <w:color w:val="FFFFFF"/>
                <w:szCs w:val="24"/>
                <w:lang w:eastAsia="es-CR"/>
              </w:rPr>
              <w:t>Ley de Creación</w:t>
            </w:r>
            <w:r w:rsidRPr="00BF7D90">
              <w:rPr>
                <w:rFonts w:eastAsia="Times New Roman" w:cs="Calibri"/>
                <w:color w:val="FFFFFF"/>
                <w:szCs w:val="24"/>
                <w:lang w:eastAsia="es-CR"/>
              </w:rPr>
              <w:t>:</w:t>
            </w:r>
          </w:p>
        </w:tc>
      </w:tr>
    </w:tbl>
    <w:p w14:paraId="01C610CD" w14:textId="77777777" w:rsidR="00391C5F" w:rsidRPr="00853F1B" w:rsidRDefault="00391C5F" w:rsidP="007F4626">
      <w:pPr>
        <w:numPr>
          <w:ilvl w:val="0"/>
          <w:numId w:val="21"/>
        </w:numPr>
        <w:spacing w:before="120" w:after="0" w:line="240" w:lineRule="auto"/>
        <w:ind w:left="284" w:hanging="284"/>
        <w:jc w:val="left"/>
        <w:rPr>
          <w:szCs w:val="24"/>
        </w:rPr>
      </w:pPr>
      <w:r w:rsidRPr="007630E3">
        <w:rPr>
          <w:szCs w:val="24"/>
        </w:rPr>
        <w:t>Fue creada, según Ley No. 185; el 29 de julio de 1940</w:t>
      </w:r>
    </w:p>
    <w:p w14:paraId="72EAC917" w14:textId="77777777" w:rsidR="00294CCF" w:rsidRDefault="00294CCF" w:rsidP="00294CCF"/>
    <w:tbl>
      <w:tblPr>
        <w:tblpPr w:leftFromText="141" w:rightFromText="141" w:vertAnchor="text" w:horzAnchor="margin" w:tblpY="209"/>
        <w:tblW w:w="8958" w:type="dxa"/>
        <w:tblCellMar>
          <w:left w:w="70" w:type="dxa"/>
          <w:right w:w="70" w:type="dxa"/>
        </w:tblCellMar>
        <w:tblLook w:val="04A0" w:firstRow="1" w:lastRow="0" w:firstColumn="1" w:lastColumn="0" w:noHBand="0" w:noVBand="1"/>
      </w:tblPr>
      <w:tblGrid>
        <w:gridCol w:w="8958"/>
      </w:tblGrid>
      <w:tr w:rsidR="00294CCF" w:rsidRPr="00BF7D90" w14:paraId="66A25344" w14:textId="77777777" w:rsidTr="00DC6CF3">
        <w:trPr>
          <w:trHeight w:val="433"/>
        </w:trPr>
        <w:tc>
          <w:tcPr>
            <w:tcW w:w="8958" w:type="dxa"/>
            <w:tcBorders>
              <w:top w:val="nil"/>
              <w:left w:val="nil"/>
              <w:bottom w:val="nil"/>
              <w:right w:val="nil"/>
            </w:tcBorders>
            <w:shd w:val="clear" w:color="000000" w:fill="17375E"/>
            <w:noWrap/>
            <w:vAlign w:val="center"/>
            <w:hideMark/>
          </w:tcPr>
          <w:p w14:paraId="34316953" w14:textId="77777777" w:rsidR="00294CCF" w:rsidRPr="00BF7D90" w:rsidRDefault="00294CCF" w:rsidP="00DC6CF3">
            <w:pPr>
              <w:spacing w:after="0" w:line="240" w:lineRule="auto"/>
              <w:rPr>
                <w:rFonts w:eastAsia="Times New Roman" w:cs="Calibri"/>
                <w:color w:val="FFFFFF"/>
                <w:szCs w:val="24"/>
                <w:lang w:eastAsia="es-CR"/>
              </w:rPr>
            </w:pPr>
            <w:r>
              <w:rPr>
                <w:rFonts w:eastAsia="Times New Roman" w:cs="Calibri"/>
                <w:color w:val="FFFFFF"/>
                <w:szCs w:val="24"/>
                <w:lang w:eastAsia="es-CR"/>
              </w:rPr>
              <w:t>Fines de creación de la Entidad</w:t>
            </w:r>
            <w:r w:rsidRPr="00BF7D90">
              <w:rPr>
                <w:rFonts w:eastAsia="Times New Roman" w:cs="Calibri"/>
                <w:color w:val="FFFFFF"/>
                <w:szCs w:val="24"/>
                <w:lang w:eastAsia="es-CR"/>
              </w:rPr>
              <w:t>:</w:t>
            </w:r>
          </w:p>
        </w:tc>
      </w:tr>
    </w:tbl>
    <w:p w14:paraId="1AE50681" w14:textId="77777777" w:rsidR="00391C5F" w:rsidRPr="00853F1B" w:rsidRDefault="00391C5F" w:rsidP="007F4626">
      <w:pPr>
        <w:numPr>
          <w:ilvl w:val="0"/>
          <w:numId w:val="21"/>
        </w:numPr>
        <w:spacing w:before="120" w:after="0" w:line="240" w:lineRule="auto"/>
        <w:ind w:left="284" w:right="-91" w:hanging="284"/>
        <w:rPr>
          <w:szCs w:val="24"/>
        </w:rPr>
      </w:pPr>
      <w:r w:rsidRPr="007630E3">
        <w:rPr>
          <w:szCs w:val="24"/>
        </w:rPr>
        <w:lastRenderedPageBreak/>
        <w:t>La Municipalidad de Buenos Aires es un gobierno local efectivo y transparente en la administración de las necesidades, intereses y los servicios a la ciudadanía, siendo garante del desarrollo humano inclusivo y sustentable para el cantón.</w:t>
      </w:r>
    </w:p>
    <w:p w14:paraId="3B0C2CC2" w14:textId="77777777" w:rsidR="00294CCF" w:rsidRDefault="00294CCF" w:rsidP="00294CCF"/>
    <w:p w14:paraId="7A6FDBBF" w14:textId="77777777" w:rsidR="006753AA" w:rsidRPr="00BF7D90" w:rsidRDefault="006753AA" w:rsidP="00294CCF"/>
    <w:tbl>
      <w:tblPr>
        <w:tblpPr w:leftFromText="141" w:rightFromText="141" w:vertAnchor="text" w:horzAnchor="margin" w:tblpY="209"/>
        <w:tblW w:w="8958" w:type="dxa"/>
        <w:tblCellMar>
          <w:left w:w="70" w:type="dxa"/>
          <w:right w:w="70" w:type="dxa"/>
        </w:tblCellMar>
        <w:tblLook w:val="04A0" w:firstRow="1" w:lastRow="0" w:firstColumn="1" w:lastColumn="0" w:noHBand="0" w:noVBand="1"/>
      </w:tblPr>
      <w:tblGrid>
        <w:gridCol w:w="8958"/>
      </w:tblGrid>
      <w:tr w:rsidR="00294CCF" w:rsidRPr="00BF7D90" w14:paraId="5FE4B768" w14:textId="77777777" w:rsidTr="00DC6CF3">
        <w:trPr>
          <w:trHeight w:val="420"/>
        </w:trPr>
        <w:tc>
          <w:tcPr>
            <w:tcW w:w="8958" w:type="dxa"/>
            <w:tcBorders>
              <w:top w:val="nil"/>
              <w:left w:val="nil"/>
              <w:bottom w:val="nil"/>
              <w:right w:val="nil"/>
            </w:tcBorders>
            <w:shd w:val="clear" w:color="000000" w:fill="17375E"/>
            <w:noWrap/>
            <w:vAlign w:val="center"/>
            <w:hideMark/>
          </w:tcPr>
          <w:p w14:paraId="5D1DEB9C" w14:textId="77777777" w:rsidR="00294CCF" w:rsidRPr="00BF7D90" w:rsidRDefault="00294CCF" w:rsidP="00DC6CF3">
            <w:pPr>
              <w:spacing w:after="0" w:line="240" w:lineRule="auto"/>
              <w:rPr>
                <w:rFonts w:eastAsia="Times New Roman" w:cs="Calibri"/>
                <w:color w:val="FFFFFF"/>
                <w:szCs w:val="24"/>
                <w:lang w:eastAsia="es-CR"/>
              </w:rPr>
            </w:pPr>
            <w:r>
              <w:rPr>
                <w:rFonts w:eastAsia="Times New Roman" w:cs="Calibri"/>
                <w:color w:val="FFFFFF"/>
                <w:szCs w:val="24"/>
                <w:lang w:eastAsia="es-CR"/>
              </w:rPr>
              <w:t>Objetivos de la Entidad</w:t>
            </w:r>
            <w:r w:rsidRPr="00BF7D90">
              <w:rPr>
                <w:rFonts w:eastAsia="Times New Roman" w:cs="Calibri"/>
                <w:color w:val="FFFFFF"/>
                <w:szCs w:val="24"/>
                <w:lang w:eastAsia="es-CR"/>
              </w:rPr>
              <w:t>:</w:t>
            </w:r>
          </w:p>
        </w:tc>
      </w:tr>
    </w:tbl>
    <w:p w14:paraId="4F83EA2D" w14:textId="77777777" w:rsidR="00391C5F" w:rsidRPr="007630E3" w:rsidRDefault="00391C5F" w:rsidP="007F4626">
      <w:pPr>
        <w:numPr>
          <w:ilvl w:val="0"/>
          <w:numId w:val="22"/>
        </w:numPr>
        <w:shd w:val="clear" w:color="auto" w:fill="FFFFFF"/>
        <w:tabs>
          <w:tab w:val="clear" w:pos="720"/>
        </w:tabs>
        <w:spacing w:before="120" w:after="120" w:line="240" w:lineRule="auto"/>
        <w:ind w:left="284" w:hanging="284"/>
        <w:textAlignment w:val="baseline"/>
        <w:rPr>
          <w:szCs w:val="24"/>
        </w:rPr>
      </w:pPr>
      <w:r w:rsidRPr="007630E3">
        <w:rPr>
          <w:szCs w:val="24"/>
        </w:rPr>
        <w:t>Planificar, ejecutar y promover, el conjunto de acciones necesarias, orientadas a proporcionar a la ciudadanía un ambiente socioeconómico y cultural adecuados para la atención de sus necesidades vitales en los aspectos de vivienda, salubridad, comercialización, educación, ecología, seguridad, deportes, recreación, planificación urbana y transporte, administrando racionalmente los tributos municipales, priorizando los gastos, con transparencia publica, generando actividades, proyectos y obras enmarcados en los presupuestos institucionales, planes operativos y la escala de prioridades.</w:t>
      </w:r>
    </w:p>
    <w:p w14:paraId="12BBA32E" w14:textId="77777777" w:rsidR="00391C5F" w:rsidRPr="007630E3" w:rsidRDefault="00391C5F" w:rsidP="007F4626">
      <w:pPr>
        <w:numPr>
          <w:ilvl w:val="0"/>
          <w:numId w:val="22"/>
        </w:numPr>
        <w:shd w:val="clear" w:color="auto" w:fill="FFFFFF"/>
        <w:tabs>
          <w:tab w:val="clear" w:pos="720"/>
        </w:tabs>
        <w:spacing w:after="120" w:line="240" w:lineRule="auto"/>
        <w:ind w:left="284" w:hanging="284"/>
        <w:textAlignment w:val="baseline"/>
        <w:rPr>
          <w:szCs w:val="24"/>
        </w:rPr>
      </w:pPr>
      <w:r w:rsidRPr="007630E3">
        <w:rPr>
          <w:szCs w:val="24"/>
        </w:rPr>
        <w:t>Estimular e institucionalizar la participación responsable de la población en la gestión municipal, fomentando el trabajo comunal y dando opción al ejercicio de libre iniciativa individual y colectiva, en función a los Planes de Desarrollo Local Participativo y concertado.</w:t>
      </w:r>
    </w:p>
    <w:p w14:paraId="436FE597" w14:textId="77777777" w:rsidR="00391C5F" w:rsidRPr="00853F1B" w:rsidRDefault="00391C5F" w:rsidP="007F4626">
      <w:pPr>
        <w:numPr>
          <w:ilvl w:val="0"/>
          <w:numId w:val="22"/>
        </w:numPr>
        <w:shd w:val="clear" w:color="auto" w:fill="FFFFFF"/>
        <w:tabs>
          <w:tab w:val="clear" w:pos="720"/>
        </w:tabs>
        <w:spacing w:after="120" w:line="240" w:lineRule="auto"/>
        <w:ind w:left="284" w:hanging="284"/>
        <w:textAlignment w:val="baseline"/>
        <w:rPr>
          <w:szCs w:val="24"/>
        </w:rPr>
      </w:pPr>
      <w:r w:rsidRPr="007630E3">
        <w:rPr>
          <w:szCs w:val="24"/>
        </w:rPr>
        <w:t>Garantizar la prestación de los servicios institucionales mediante la utilización de los mejores métodos de trabajo, con el acompañamiento de las mejores herramientas y con el concurso del talento humano capacitado según las competencias requeridas para cada puesto en cada proceso, con el propósito fundamental de alcanzar los más altos estándares de calidad.</w:t>
      </w:r>
    </w:p>
    <w:p w14:paraId="5D22D61A" w14:textId="77777777" w:rsidR="00294CCF" w:rsidRPr="00E778C1" w:rsidRDefault="00294CCF" w:rsidP="00294CCF"/>
    <w:tbl>
      <w:tblPr>
        <w:tblpPr w:leftFromText="141" w:rightFromText="141" w:vertAnchor="text" w:horzAnchor="margin" w:tblpY="209"/>
        <w:tblW w:w="8958" w:type="dxa"/>
        <w:tblCellMar>
          <w:left w:w="70" w:type="dxa"/>
          <w:right w:w="70" w:type="dxa"/>
        </w:tblCellMar>
        <w:tblLook w:val="04A0" w:firstRow="1" w:lastRow="0" w:firstColumn="1" w:lastColumn="0" w:noHBand="0" w:noVBand="1"/>
      </w:tblPr>
      <w:tblGrid>
        <w:gridCol w:w="8958"/>
      </w:tblGrid>
      <w:tr w:rsidR="00294CCF" w:rsidRPr="00BF7D90" w14:paraId="724903E0" w14:textId="77777777" w:rsidTr="00DC6CF3">
        <w:trPr>
          <w:trHeight w:val="433"/>
        </w:trPr>
        <w:tc>
          <w:tcPr>
            <w:tcW w:w="8958" w:type="dxa"/>
            <w:tcBorders>
              <w:top w:val="nil"/>
              <w:left w:val="nil"/>
              <w:bottom w:val="nil"/>
              <w:right w:val="nil"/>
            </w:tcBorders>
            <w:shd w:val="clear" w:color="000000" w:fill="17375E"/>
            <w:noWrap/>
            <w:vAlign w:val="center"/>
            <w:hideMark/>
          </w:tcPr>
          <w:p w14:paraId="1C7C9411" w14:textId="77777777" w:rsidR="00294CCF" w:rsidRPr="00BF7D90" w:rsidRDefault="00294CCF" w:rsidP="00DC6CF3">
            <w:pPr>
              <w:spacing w:after="0" w:line="240" w:lineRule="auto"/>
              <w:rPr>
                <w:rFonts w:eastAsia="Times New Roman" w:cs="Calibri"/>
                <w:color w:val="FFFFFF"/>
                <w:szCs w:val="24"/>
                <w:lang w:eastAsia="es-CR"/>
              </w:rPr>
            </w:pPr>
            <w:r w:rsidRPr="001F6CBB">
              <w:rPr>
                <w:rFonts w:eastAsia="Times New Roman" w:cs="Calibri"/>
                <w:color w:val="FFFFFF"/>
                <w:szCs w:val="24"/>
                <w:lang w:eastAsia="es-CR"/>
              </w:rPr>
              <w:t>Domicilio y forma legal de la entidad, y jurisdicción en que opera:</w:t>
            </w:r>
          </w:p>
        </w:tc>
      </w:tr>
    </w:tbl>
    <w:p w14:paraId="13EFF7FF" w14:textId="77777777" w:rsidR="00391C5F" w:rsidRPr="007630E3" w:rsidRDefault="00391C5F" w:rsidP="007F4626">
      <w:pPr>
        <w:numPr>
          <w:ilvl w:val="0"/>
          <w:numId w:val="21"/>
        </w:numPr>
        <w:spacing w:before="120" w:after="120" w:line="240" w:lineRule="auto"/>
        <w:ind w:left="284" w:right="-91" w:hanging="284"/>
        <w:rPr>
          <w:szCs w:val="24"/>
        </w:rPr>
      </w:pPr>
      <w:r w:rsidRPr="007630E3">
        <w:rPr>
          <w:szCs w:val="24"/>
        </w:rPr>
        <w:t xml:space="preserve">Domicilio: Provincia de Puntarenas, Cantón Buenos Aires, Distrito Nº 1. Buenos Aires. </w:t>
      </w:r>
    </w:p>
    <w:p w14:paraId="78099D9E" w14:textId="77777777" w:rsidR="00391C5F" w:rsidRPr="007630E3" w:rsidRDefault="00391C5F" w:rsidP="007F4626">
      <w:pPr>
        <w:numPr>
          <w:ilvl w:val="0"/>
          <w:numId w:val="21"/>
        </w:numPr>
        <w:spacing w:after="120" w:line="240" w:lineRule="auto"/>
        <w:ind w:left="284" w:right="-91" w:hanging="284"/>
        <w:rPr>
          <w:szCs w:val="24"/>
        </w:rPr>
      </w:pPr>
      <w:r w:rsidRPr="007630E3">
        <w:rPr>
          <w:szCs w:val="24"/>
        </w:rPr>
        <w:t xml:space="preserve">Forma legal de la entidad: Corresponde al Sector Municipal o Gobierno Local. </w:t>
      </w:r>
    </w:p>
    <w:p w14:paraId="23F0A824" w14:textId="77777777" w:rsidR="00391C5F" w:rsidRPr="00853F1B" w:rsidRDefault="00391C5F" w:rsidP="007F4626">
      <w:pPr>
        <w:numPr>
          <w:ilvl w:val="0"/>
          <w:numId w:val="21"/>
        </w:numPr>
        <w:spacing w:after="0" w:line="240" w:lineRule="auto"/>
        <w:ind w:left="284" w:right="-93" w:hanging="284"/>
        <w:rPr>
          <w:szCs w:val="24"/>
        </w:rPr>
      </w:pPr>
      <w:r w:rsidRPr="007630E3">
        <w:rPr>
          <w:szCs w:val="24"/>
        </w:rPr>
        <w:t>Jurisdicción en que opera: Es en el Cantón III de la Provincia de Puntarenas denominado legamente como Buenos Aires, cuenta con una extensión de 2 382,61 Kms², y está conformado por nueve (9) distritos, cuya cabecera lleva el mismo nombre del Cantón. Sus límites son: Al Este con Talamanca y Coto Brus, al Oeste con Pérez Zeledón, al Norte con Talamanca y Pérez Zeledón y al Sur con Osa y Coto Brus.</w:t>
      </w:r>
    </w:p>
    <w:p w14:paraId="4046F3BE" w14:textId="77777777" w:rsidR="00294CCF" w:rsidRPr="00E778C1" w:rsidRDefault="00294CCF" w:rsidP="00294CCF"/>
    <w:tbl>
      <w:tblPr>
        <w:tblpPr w:leftFromText="141" w:rightFromText="141" w:vertAnchor="text" w:horzAnchor="margin" w:tblpY="209"/>
        <w:tblW w:w="8958" w:type="dxa"/>
        <w:tblCellMar>
          <w:left w:w="70" w:type="dxa"/>
          <w:right w:w="70" w:type="dxa"/>
        </w:tblCellMar>
        <w:tblLook w:val="04A0" w:firstRow="1" w:lastRow="0" w:firstColumn="1" w:lastColumn="0" w:noHBand="0" w:noVBand="1"/>
      </w:tblPr>
      <w:tblGrid>
        <w:gridCol w:w="8958"/>
      </w:tblGrid>
      <w:tr w:rsidR="00294CCF" w:rsidRPr="00BF7D90" w14:paraId="40F44AE8" w14:textId="77777777" w:rsidTr="00DC6CF3">
        <w:trPr>
          <w:trHeight w:val="420"/>
        </w:trPr>
        <w:tc>
          <w:tcPr>
            <w:tcW w:w="8958" w:type="dxa"/>
            <w:tcBorders>
              <w:top w:val="nil"/>
              <w:left w:val="nil"/>
              <w:bottom w:val="nil"/>
              <w:right w:val="nil"/>
            </w:tcBorders>
            <w:shd w:val="clear" w:color="000000" w:fill="17375E"/>
            <w:noWrap/>
            <w:vAlign w:val="center"/>
            <w:hideMark/>
          </w:tcPr>
          <w:p w14:paraId="7D01966A" w14:textId="77777777" w:rsidR="00294CCF" w:rsidRPr="00BD742A" w:rsidRDefault="00294CCF" w:rsidP="00DC6CF3">
            <w:pPr>
              <w:spacing w:after="0" w:line="240" w:lineRule="auto"/>
              <w:rPr>
                <w:rFonts w:cs="Calibri"/>
                <w:color w:val="FFFFFF"/>
              </w:rPr>
            </w:pPr>
            <w:r w:rsidRPr="00CF06B8">
              <w:rPr>
                <w:rFonts w:eastAsia="Times New Roman" w:cs="Calibri"/>
                <w:color w:val="FFFFFF"/>
                <w:szCs w:val="24"/>
                <w:lang w:eastAsia="es-CR"/>
              </w:rPr>
              <w:t>Descripción de la naturaleza de las operaciones de la entidad, y principales actividades:</w:t>
            </w:r>
          </w:p>
        </w:tc>
      </w:tr>
    </w:tbl>
    <w:p w14:paraId="11DF152F" w14:textId="77777777" w:rsidR="00391C5F" w:rsidRPr="007630E3" w:rsidRDefault="00391C5F" w:rsidP="00391C5F">
      <w:pPr>
        <w:spacing w:before="120" w:after="120" w:line="240" w:lineRule="auto"/>
        <w:rPr>
          <w:szCs w:val="24"/>
        </w:rPr>
      </w:pPr>
      <w:r w:rsidRPr="007630E3">
        <w:rPr>
          <w:szCs w:val="24"/>
        </w:rPr>
        <w:t>La Municipalidad es el gobierno municipal con personería jurídica estatal, con patrimonio propio y personalidad, y capacidad jurídica plenas para ejecutar todo tipo de actos y contratos necesarios para cumplir sus fines, promover y administrar los intereses de las personas vecinas residentes en el Cantón.</w:t>
      </w:r>
    </w:p>
    <w:p w14:paraId="363C6AF1" w14:textId="77777777" w:rsidR="00391C5F" w:rsidRPr="007630E3" w:rsidRDefault="00391C5F" w:rsidP="00391C5F">
      <w:pPr>
        <w:spacing w:after="120" w:line="240" w:lineRule="auto"/>
        <w:rPr>
          <w:szCs w:val="24"/>
        </w:rPr>
      </w:pPr>
      <w:r w:rsidRPr="007630E3">
        <w:rPr>
          <w:szCs w:val="24"/>
        </w:rPr>
        <w:lastRenderedPageBreak/>
        <w:t xml:space="preserve"> De acuerdo con el Artículo 4 del Código Municipal, la Municipalidad posee la autonomía política, administrativa y financiera que le confiere la Constitución Política y dentro de sus atribuciones se incluyen las siguientes:</w:t>
      </w:r>
    </w:p>
    <w:p w14:paraId="46DF623D" w14:textId="77777777" w:rsidR="00391C5F" w:rsidRPr="007630E3" w:rsidRDefault="00391C5F" w:rsidP="00391C5F">
      <w:pPr>
        <w:spacing w:after="120" w:line="240" w:lineRule="auto"/>
        <w:ind w:left="284" w:hanging="284"/>
        <w:rPr>
          <w:szCs w:val="24"/>
        </w:rPr>
      </w:pPr>
      <w:r w:rsidRPr="007630E3">
        <w:rPr>
          <w:szCs w:val="24"/>
        </w:rPr>
        <w:t>a) </w:t>
      </w:r>
      <w:r w:rsidRPr="007630E3">
        <w:rPr>
          <w:szCs w:val="24"/>
        </w:rPr>
        <w:tab/>
        <w:t>Dictar los reglamentos autónomos de organización y de servicio, así como cualquier otra disposición que autorice el ordenamiento jurídico.</w:t>
      </w:r>
    </w:p>
    <w:p w14:paraId="02C88AF7" w14:textId="77777777" w:rsidR="00391C5F" w:rsidRPr="007630E3" w:rsidRDefault="00391C5F" w:rsidP="00391C5F">
      <w:pPr>
        <w:spacing w:after="120" w:line="240" w:lineRule="auto"/>
        <w:ind w:left="284" w:hanging="284"/>
        <w:rPr>
          <w:szCs w:val="24"/>
        </w:rPr>
      </w:pPr>
      <w:r w:rsidRPr="007630E3">
        <w:rPr>
          <w:szCs w:val="24"/>
        </w:rPr>
        <w:t>b)  Acordar sus presupuestos y ejecutarlos.</w:t>
      </w:r>
    </w:p>
    <w:p w14:paraId="6287E02C" w14:textId="77777777" w:rsidR="00391C5F" w:rsidRPr="007630E3" w:rsidRDefault="00391C5F" w:rsidP="00391C5F">
      <w:pPr>
        <w:spacing w:after="120" w:line="240" w:lineRule="auto"/>
        <w:ind w:left="284" w:hanging="284"/>
        <w:rPr>
          <w:szCs w:val="24"/>
        </w:rPr>
      </w:pPr>
      <w:r w:rsidRPr="007630E3">
        <w:rPr>
          <w:szCs w:val="24"/>
        </w:rPr>
        <w:t>c)  Administrar y prestar los servicios públicos municipales, así como velar por su vigilancia y control.</w:t>
      </w:r>
    </w:p>
    <w:p w14:paraId="11AFEBE7" w14:textId="77777777" w:rsidR="00391C5F" w:rsidRPr="007630E3" w:rsidRDefault="00391C5F" w:rsidP="00391C5F">
      <w:pPr>
        <w:spacing w:after="120" w:line="240" w:lineRule="auto"/>
        <w:ind w:left="284" w:hanging="284"/>
        <w:rPr>
          <w:szCs w:val="24"/>
        </w:rPr>
      </w:pPr>
      <w:r w:rsidRPr="007630E3">
        <w:rPr>
          <w:szCs w:val="24"/>
        </w:rPr>
        <w:t>d)  Aprobar las tasas, los precios y las contribuciones municipales, así como proponer los proyectos de tarifas de impuestos municipales.</w:t>
      </w:r>
    </w:p>
    <w:p w14:paraId="24F9C753" w14:textId="77777777" w:rsidR="00391C5F" w:rsidRPr="007630E3" w:rsidRDefault="00391C5F" w:rsidP="00391C5F">
      <w:pPr>
        <w:spacing w:after="120" w:line="240" w:lineRule="auto"/>
        <w:ind w:left="284" w:hanging="284"/>
        <w:rPr>
          <w:szCs w:val="24"/>
        </w:rPr>
      </w:pPr>
      <w:r w:rsidRPr="007630E3">
        <w:rPr>
          <w:szCs w:val="24"/>
        </w:rPr>
        <w:t>e) </w:t>
      </w:r>
      <w:r w:rsidRPr="007630E3">
        <w:rPr>
          <w:szCs w:val="24"/>
        </w:rPr>
        <w:tab/>
        <w:t>Percibir y administrar, en su carácter de administración tributaria, los tributos y demás ingresos municipales.</w:t>
      </w:r>
    </w:p>
    <w:p w14:paraId="1D607CCB" w14:textId="77777777" w:rsidR="00391C5F" w:rsidRPr="007630E3" w:rsidRDefault="00391C5F" w:rsidP="00391C5F">
      <w:pPr>
        <w:spacing w:after="120" w:line="240" w:lineRule="auto"/>
        <w:ind w:left="284" w:hanging="284"/>
        <w:rPr>
          <w:szCs w:val="24"/>
        </w:rPr>
      </w:pPr>
      <w:r w:rsidRPr="007630E3">
        <w:rPr>
          <w:szCs w:val="24"/>
        </w:rPr>
        <w:t>f)  Concertar, con personas o entidades nacionales o extranjeras, pactos, convenios o contratos necesarios para el cumplimiento de sus funciones.</w:t>
      </w:r>
    </w:p>
    <w:p w14:paraId="19A02FB8" w14:textId="77777777" w:rsidR="00391C5F" w:rsidRPr="007630E3" w:rsidRDefault="00391C5F" w:rsidP="00391C5F">
      <w:pPr>
        <w:spacing w:after="120" w:line="240" w:lineRule="auto"/>
        <w:ind w:left="284" w:hanging="284"/>
        <w:rPr>
          <w:szCs w:val="24"/>
        </w:rPr>
      </w:pPr>
      <w:r w:rsidRPr="007630E3">
        <w:rPr>
          <w:szCs w:val="24"/>
        </w:rPr>
        <w:t>g) </w:t>
      </w:r>
      <w:r w:rsidRPr="007630E3">
        <w:rPr>
          <w:szCs w:val="24"/>
        </w:rPr>
        <w:tab/>
        <w:t>Convocar al municipio a consultas populares, para los fines establecidos en esta Ley y su Reglamento.</w:t>
      </w:r>
    </w:p>
    <w:p w14:paraId="3153739F" w14:textId="77777777" w:rsidR="00391C5F" w:rsidRPr="007630E3" w:rsidRDefault="00391C5F" w:rsidP="00391C5F">
      <w:pPr>
        <w:spacing w:after="120" w:line="240" w:lineRule="auto"/>
        <w:ind w:left="284" w:hanging="284"/>
        <w:rPr>
          <w:szCs w:val="24"/>
        </w:rPr>
      </w:pPr>
      <w:r w:rsidRPr="007630E3">
        <w:rPr>
          <w:szCs w:val="24"/>
        </w:rPr>
        <w:t>h) </w:t>
      </w:r>
      <w:r w:rsidRPr="007630E3">
        <w:rPr>
          <w:szCs w:val="24"/>
        </w:rPr>
        <w:tab/>
        <w:t>Promover un desarrollo local participativo e inclusivo, que contemple la diversidad de las necesidades y los intereses de la población.</w:t>
      </w:r>
    </w:p>
    <w:p w14:paraId="69876311" w14:textId="77777777" w:rsidR="00391C5F" w:rsidRPr="007630E3" w:rsidRDefault="00391C5F" w:rsidP="00391C5F">
      <w:pPr>
        <w:spacing w:after="120" w:line="240" w:lineRule="auto"/>
        <w:ind w:left="284" w:hanging="284"/>
        <w:rPr>
          <w:szCs w:val="24"/>
        </w:rPr>
      </w:pPr>
      <w:r w:rsidRPr="007630E3">
        <w:rPr>
          <w:szCs w:val="24"/>
        </w:rPr>
        <w:t xml:space="preserve">i)  </w:t>
      </w:r>
      <w:r w:rsidRPr="007630E3">
        <w:rPr>
          <w:szCs w:val="24"/>
        </w:rPr>
        <w:tab/>
        <w:t>Impulsar políticas públicas locales para la promoción de los derechos y la ciudadanía de las mujeres, en favor de la igualdad y la equidad de género.</w:t>
      </w:r>
    </w:p>
    <w:p w14:paraId="1965131A" w14:textId="1335B50C" w:rsidR="00E778C1" w:rsidRDefault="00E778C1" w:rsidP="00756E35">
      <w:pPr>
        <w:pStyle w:val="Ttulo1"/>
      </w:pPr>
      <w:bookmarkStart w:id="3" w:name="_Toc189804769"/>
      <w:r w:rsidRPr="00E778C1">
        <w:t>NOTAS NORMAS INTERNACIONALES DE CONTABILIDAD PARA EL SECTOR PUBLICO COSTARRICENSE</w:t>
      </w:r>
      <w:bookmarkEnd w:id="3"/>
    </w:p>
    <w:p w14:paraId="0E6F53A5" w14:textId="77777777" w:rsidR="00756E35" w:rsidRPr="00756E35" w:rsidRDefault="00756E35" w:rsidP="00756E35"/>
    <w:p w14:paraId="44207989" w14:textId="5C6FF4B0" w:rsidR="00E778C1" w:rsidRPr="00E778C1" w:rsidRDefault="00E778C1" w:rsidP="00E778C1">
      <w:pPr>
        <w:pStyle w:val="Ttulo2"/>
        <w:spacing w:after="240"/>
      </w:pPr>
      <w:bookmarkStart w:id="4" w:name="_Toc189804770"/>
      <w:r>
        <w:t>DECLARACIÓN DE CUMPLIMIENTO</w:t>
      </w:r>
      <w:bookmarkEnd w:id="4"/>
    </w:p>
    <w:p w14:paraId="452F13AC" w14:textId="790E12B4" w:rsidR="00E778C1" w:rsidRDefault="00E778C1" w:rsidP="00E778C1">
      <w:r>
        <w:t xml:space="preserve">El Ente Contable aplica lo dispuesto en la Resolución DCN-0003-2022 con respecto a la Afirmación Explicita e Incondicional sobre el cumplimiento de las NICSP, y de las Políticas Contables Generales. </w:t>
      </w:r>
    </w:p>
    <w:p w14:paraId="6B872973" w14:textId="77777777" w:rsidR="00396CB4" w:rsidRPr="00396CB4" w:rsidRDefault="00E778C1" w:rsidP="00396CB4">
      <w:r>
        <w:t xml:space="preserve"> </w:t>
      </w:r>
      <w:r w:rsidR="00801B52">
        <w:t>I</w:t>
      </w:r>
      <w:r w:rsidR="00801B52" w:rsidRPr="00801B52">
        <w:t xml:space="preserve">ndicar SI o NO </w:t>
      </w:r>
      <w:r w:rsidR="00E044CF">
        <w:t xml:space="preserve">de acuerdo a las condiciones de la entidad: </w:t>
      </w:r>
      <w:r w:rsidR="00BF6D99">
        <w:fldChar w:fldCharType="begin"/>
      </w:r>
      <w:r w:rsidR="00BF6D99">
        <w:instrText xml:space="preserve"> LINK </w:instrText>
      </w:r>
      <w:r w:rsidR="00756467">
        <w:instrText xml:space="preserve">Excel.SheetMacroEnabled.12 "C:\\Users\\gcordero\\Downloads\\Notas diciembre 2024\\Formato_Notas_EEFF_Vinculadas_2024\\Formato_Notas_EEFF_Vinculadas_2024\\15603_T04_2024_Anexo_Estado_Notas_Contables_Vinculadas.xlsm" NICSP_1!F16C3:F16C4 </w:instrText>
      </w:r>
      <w:r w:rsidR="00BF6D99">
        <w:instrText xml:space="preserve">\a \f 4 \h  \* MERGEFORMAT </w:instrText>
      </w:r>
      <w:r w:rsidR="00BF6D99">
        <w:fldChar w:fldCharType="separate"/>
      </w:r>
    </w:p>
    <w:tbl>
      <w:tblPr>
        <w:tblW w:w="0" w:type="auto"/>
        <w:tblCellMar>
          <w:left w:w="70" w:type="dxa"/>
          <w:right w:w="70" w:type="dxa"/>
        </w:tblCellMar>
        <w:tblLook w:val="04A0" w:firstRow="1" w:lastRow="0" w:firstColumn="1" w:lastColumn="0" w:noHBand="0" w:noVBand="1"/>
      </w:tblPr>
      <w:tblGrid>
        <w:gridCol w:w="2233"/>
        <w:gridCol w:w="1712"/>
      </w:tblGrid>
      <w:tr w:rsidR="00396CB4" w:rsidRPr="00396CB4" w14:paraId="24F77A25" w14:textId="77777777" w:rsidTr="00396CB4">
        <w:trPr>
          <w:divId w:val="764963343"/>
          <w:trHeight w:val="410"/>
        </w:trPr>
        <w:tc>
          <w:tcPr>
            <w:tcW w:w="2233" w:type="dxa"/>
            <w:tcBorders>
              <w:top w:val="single" w:sz="8" w:space="0" w:color="auto"/>
              <w:left w:val="single" w:sz="8" w:space="0" w:color="auto"/>
              <w:bottom w:val="single" w:sz="8" w:space="0" w:color="auto"/>
              <w:right w:val="single" w:sz="8" w:space="0" w:color="auto"/>
            </w:tcBorders>
            <w:shd w:val="clear" w:color="000000" w:fill="17365D"/>
            <w:noWrap/>
            <w:vAlign w:val="center"/>
            <w:hideMark/>
          </w:tcPr>
          <w:p w14:paraId="6286D5B1" w14:textId="4515AC7E" w:rsidR="00396CB4" w:rsidRPr="00396CB4" w:rsidRDefault="00396CB4" w:rsidP="00396CB4">
            <w:pPr>
              <w:spacing w:after="0" w:line="240" w:lineRule="auto"/>
              <w:jc w:val="left"/>
              <w:rPr>
                <w:rFonts w:eastAsia="Times New Roman" w:cs="Calibri"/>
                <w:color w:val="FFFFFF"/>
                <w:szCs w:val="24"/>
                <w:lang w:eastAsia="es-CR"/>
              </w:rPr>
            </w:pPr>
            <w:r w:rsidRPr="00396CB4">
              <w:rPr>
                <w:rFonts w:eastAsia="Times New Roman" w:cs="Calibri"/>
                <w:color w:val="FFFFFF"/>
                <w:szCs w:val="24"/>
                <w:lang w:eastAsia="es-CR"/>
              </w:rPr>
              <w:t>APLICACIÓN</w:t>
            </w:r>
          </w:p>
        </w:tc>
        <w:tc>
          <w:tcPr>
            <w:tcW w:w="17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C0CFF9" w14:textId="77777777" w:rsidR="00396CB4" w:rsidRPr="00396CB4" w:rsidRDefault="00396CB4" w:rsidP="00396CB4">
            <w:pPr>
              <w:spacing w:after="0" w:line="240" w:lineRule="auto"/>
              <w:jc w:val="center"/>
              <w:rPr>
                <w:rFonts w:eastAsia="Times New Roman" w:cs="Calibri"/>
                <w:color w:val="000000"/>
                <w:sz w:val="22"/>
                <w:lang w:eastAsia="es-CR"/>
              </w:rPr>
            </w:pPr>
            <w:r w:rsidRPr="00396CB4">
              <w:rPr>
                <w:rFonts w:eastAsia="Times New Roman" w:cs="Calibri"/>
                <w:color w:val="000000"/>
                <w:sz w:val="22"/>
                <w:lang w:eastAsia="es-CR"/>
              </w:rPr>
              <w:t>NO</w:t>
            </w:r>
          </w:p>
        </w:tc>
      </w:tr>
    </w:tbl>
    <w:p w14:paraId="782A8926" w14:textId="4BCA384C" w:rsidR="00E778C1" w:rsidRDefault="00BF6D99" w:rsidP="00BF6D99">
      <w:pPr>
        <w:spacing w:before="240"/>
      </w:pPr>
      <w:r>
        <w:fldChar w:fldCharType="end"/>
      </w:r>
      <w:r w:rsidR="00E778C1">
        <w:t>En caso de que el Ente cumpla con lo establecido en la Resolución DCN-0003-2022 conforme a los plazos y ya este al 100% de la aplicación de las NICSP y las Políticas Contables Generales,</w:t>
      </w:r>
      <w:r w:rsidR="00E778C1">
        <w:rPr>
          <w:rFonts w:ascii="Arial" w:hAnsi="Arial" w:cs="Arial"/>
        </w:rPr>
        <w:t> </w:t>
      </w:r>
      <w:r w:rsidR="00E778C1">
        <w:t>debe llenar y presentar los datos de la siguiente afirmaci</w:t>
      </w:r>
      <w:r w:rsidR="00E778C1">
        <w:rPr>
          <w:rFonts w:cs="Arial Narrow"/>
        </w:rPr>
        <w:t>ó</w:t>
      </w:r>
      <w:r w:rsidR="00E778C1">
        <w:t xml:space="preserve">n: </w:t>
      </w:r>
    </w:p>
    <w:p w14:paraId="6C843E1F" w14:textId="77777777" w:rsidR="00391C5F" w:rsidRDefault="00391C5F" w:rsidP="00391C5F">
      <w:pPr>
        <w:rPr>
          <w:b/>
          <w:bCs/>
          <w:szCs w:val="24"/>
        </w:rPr>
      </w:pPr>
      <w:r w:rsidRPr="007630E3">
        <w:rPr>
          <w:b/>
          <w:bCs/>
          <w:szCs w:val="24"/>
        </w:rPr>
        <w:lastRenderedPageBreak/>
        <w:t xml:space="preserve">La MUNICIPALIDAD DE BUENOS AIRES, cedula jurídica 3-014-042112, y cuyo Representante Legal es MÁSTER </w:t>
      </w:r>
      <w:r>
        <w:rPr>
          <w:b/>
          <w:bCs/>
          <w:szCs w:val="24"/>
        </w:rPr>
        <w:t>ANA MARGOTH MORA NAVARRO</w:t>
      </w:r>
      <w:r w:rsidRPr="007630E3">
        <w:rPr>
          <w:b/>
          <w:bCs/>
          <w:szCs w:val="24"/>
        </w:rPr>
        <w:t>, port</w:t>
      </w:r>
      <w:r>
        <w:rPr>
          <w:b/>
          <w:bCs/>
          <w:szCs w:val="24"/>
        </w:rPr>
        <w:t>ador de la cédula de identidad 1-0280-0849</w:t>
      </w:r>
      <w:r w:rsidRPr="007630E3">
        <w:rPr>
          <w:b/>
          <w:bCs/>
          <w:szCs w:val="24"/>
        </w:rPr>
        <w:t>, CERTIFICA QUE: Declara que la Municipalidad se encuentra en el periodo de transición a las NICSP. En esta transición a las NICSP de base de devengo la Municipalidad de Buenos Aires aprovechó las exenciones transitorias concedidas en varias normas. En consecuencia, no puede hacer una declaración explicita y sin reservas de conformidad con las NICSP de base de acumulación (o devengo) al preparar sus estados financieros de transición conforme a las NICSP para este periodo sobre el que se informa. La Municipalidad de Buenos Aires pretende reconocer o medir todos sus activos, pasivos, ingresos y gastos en el año 2024.</w:t>
      </w:r>
    </w:p>
    <w:p w14:paraId="36C73F6C" w14:textId="12022E69" w:rsidR="00756E35" w:rsidRDefault="00756E35" w:rsidP="00756E35">
      <w:pPr>
        <w:pStyle w:val="Ttulo2"/>
      </w:pPr>
      <w:bookmarkStart w:id="5" w:name="_Toc189804771"/>
      <w:r>
        <w:t>CERTIFICACIÓN COMISIÓN DE NICSP INSTITUCIONAL</w:t>
      </w:r>
      <w:bookmarkEnd w:id="5"/>
    </w:p>
    <w:p w14:paraId="1D73726E" w14:textId="03EC93A4" w:rsidR="003441B0" w:rsidRDefault="00756E35" w:rsidP="003441B0">
      <w:pPr>
        <w:spacing w:before="240"/>
      </w:pPr>
      <w:r w:rsidRPr="00756E35">
        <w:t>(Certificación o (Constancia – Sector Municipal) de conformación de Comisión NICSP Institucional). La Comisión de NICSP Institucional es obligatoria y debe ser coordinada por el Director Administrativo y Financiero e integrada por jefes de departamentos que generan la información para la elaboración de los EEFF.</w:t>
      </w:r>
      <w:bookmarkStart w:id="6" w:name="_Hlk120618070"/>
    </w:p>
    <w:p w14:paraId="25E8AA62" w14:textId="7771B4DA" w:rsidR="00DF7432" w:rsidRDefault="00DF7432" w:rsidP="003441B0">
      <w:pPr>
        <w:spacing w:before="240"/>
        <w:rPr>
          <w:rFonts w:eastAsia="Calibri" w:cs="Times New Roman"/>
        </w:rPr>
      </w:pPr>
    </w:p>
    <w:p w14:paraId="1D00E8F9" w14:textId="77777777" w:rsidR="00B4271E" w:rsidRDefault="00B4271E" w:rsidP="00B4271E">
      <w:pPr>
        <w:pBdr>
          <w:top w:val="single" w:sz="4" w:space="0" w:color="auto"/>
          <w:left w:val="single" w:sz="4" w:space="4" w:color="auto"/>
          <w:bottom w:val="single" w:sz="4" w:space="1" w:color="auto"/>
          <w:right w:val="single" w:sz="4" w:space="4" w:color="auto"/>
        </w:pBdr>
        <w:rPr>
          <w:b/>
          <w:bCs/>
        </w:rPr>
      </w:pPr>
      <w:bookmarkStart w:id="7" w:name="_Hlk41839088"/>
      <w:bookmarkEnd w:id="6"/>
    </w:p>
    <w:p w14:paraId="5192B15E" w14:textId="77777777" w:rsidR="00391C5F" w:rsidRDefault="00391C5F" w:rsidP="00391C5F">
      <w:pPr>
        <w:pBdr>
          <w:top w:val="single" w:sz="4" w:space="0" w:color="auto"/>
          <w:left w:val="single" w:sz="4" w:space="4" w:color="auto"/>
          <w:bottom w:val="single" w:sz="4" w:space="1" w:color="auto"/>
          <w:right w:val="single" w:sz="4" w:space="4" w:color="auto"/>
        </w:pBdr>
        <w:spacing w:line="240" w:lineRule="auto"/>
      </w:pPr>
      <w:bookmarkStart w:id="8" w:name="_Hlk115886974"/>
      <w:r w:rsidRPr="00BC7C5B">
        <w:t>La</w:t>
      </w:r>
      <w:r>
        <w:t xml:space="preserve"> Municipalidad de Buenos Aires</w:t>
      </w:r>
      <w:r w:rsidRPr="00BC7C5B">
        <w:t xml:space="preserve">, cedula jurídica </w:t>
      </w:r>
      <w:r w:rsidRPr="00FB0D9A">
        <w:rPr>
          <w:b/>
        </w:rPr>
        <w:t>3-014-042112</w:t>
      </w:r>
      <w:r w:rsidRPr="00BC7C5B">
        <w:t>, y cuyo Representante Legal es</w:t>
      </w:r>
      <w:r>
        <w:t xml:space="preserve"> </w:t>
      </w:r>
      <w:r w:rsidRPr="00FB0D9A">
        <w:rPr>
          <w:b/>
        </w:rPr>
        <w:t xml:space="preserve">MÁSTER </w:t>
      </w:r>
      <w:r>
        <w:rPr>
          <w:b/>
        </w:rPr>
        <w:t>ANA MARGOTH MORA NAVARRO</w:t>
      </w:r>
      <w:r w:rsidRPr="00BC7C5B">
        <w:t xml:space="preserve">, portadora de la cedula de identidad </w:t>
      </w:r>
      <w:bookmarkEnd w:id="8"/>
      <w:r>
        <w:rPr>
          <w:b/>
        </w:rPr>
        <w:t>1-0280-0849</w:t>
      </w:r>
      <w:r>
        <w:t>.</w:t>
      </w:r>
    </w:p>
    <w:p w14:paraId="24FD8B88" w14:textId="77777777" w:rsidR="00287118" w:rsidRDefault="00287118" w:rsidP="00391C5F">
      <w:pPr>
        <w:pBdr>
          <w:top w:val="single" w:sz="4" w:space="0" w:color="auto"/>
          <w:left w:val="single" w:sz="4" w:space="4" w:color="auto"/>
          <w:bottom w:val="single" w:sz="4" w:space="1" w:color="auto"/>
          <w:right w:val="single" w:sz="4" w:space="4" w:color="auto"/>
        </w:pBdr>
        <w:spacing w:line="240" w:lineRule="auto"/>
      </w:pPr>
    </w:p>
    <w:p w14:paraId="03AB35CC" w14:textId="77777777" w:rsidR="00391C5F" w:rsidRDefault="00391C5F" w:rsidP="00391C5F">
      <w:pPr>
        <w:pBdr>
          <w:top w:val="single" w:sz="4" w:space="0" w:color="auto"/>
          <w:left w:val="single" w:sz="4" w:space="4" w:color="auto"/>
          <w:bottom w:val="single" w:sz="4" w:space="1" w:color="auto"/>
          <w:right w:val="single" w:sz="4" w:space="4" w:color="auto"/>
        </w:pBdr>
        <w:spacing w:line="240" w:lineRule="auto"/>
        <w:rPr>
          <w:u w:val="single"/>
        </w:rPr>
      </w:pPr>
      <w:r w:rsidRPr="00BC7C5B">
        <w:t xml:space="preserve">CERTIFICA QUE: </w:t>
      </w:r>
      <w:r w:rsidRPr="00BC7C5B">
        <w:rPr>
          <w:u w:val="single"/>
        </w:rPr>
        <w:t xml:space="preserve">la entidad cuenta con una Comisión de NICSP, y que de acuerdo con el oficio </w:t>
      </w:r>
      <w:r w:rsidRPr="000917D8">
        <w:rPr>
          <w:u w:val="single"/>
        </w:rPr>
        <w:t>AMBA</w:t>
      </w:r>
      <w:r w:rsidRPr="000917D8">
        <w:rPr>
          <w:b/>
          <w:u w:val="single"/>
        </w:rPr>
        <w:t>-</w:t>
      </w:r>
      <w:r>
        <w:rPr>
          <w:b/>
          <w:u w:val="single"/>
        </w:rPr>
        <w:t>554</w:t>
      </w:r>
      <w:r w:rsidRPr="000917D8">
        <w:rPr>
          <w:b/>
          <w:u w:val="single"/>
        </w:rPr>
        <w:t>-202</w:t>
      </w:r>
      <w:r>
        <w:rPr>
          <w:b/>
          <w:u w:val="single"/>
        </w:rPr>
        <w:t>3</w:t>
      </w:r>
      <w:r w:rsidRPr="00FB0D9A">
        <w:t xml:space="preserve"> </w:t>
      </w:r>
      <w:r w:rsidRPr="00BC7C5B">
        <w:rPr>
          <w:u w:val="single"/>
        </w:rPr>
        <w:t xml:space="preserve">de fecha </w:t>
      </w:r>
      <w:r w:rsidRPr="000917D8">
        <w:rPr>
          <w:u w:val="single"/>
        </w:rPr>
        <w:t>1</w:t>
      </w:r>
      <w:r>
        <w:rPr>
          <w:u w:val="single"/>
        </w:rPr>
        <w:t>0</w:t>
      </w:r>
      <w:r w:rsidRPr="000917D8">
        <w:rPr>
          <w:u w:val="single"/>
        </w:rPr>
        <w:t xml:space="preserve"> de o</w:t>
      </w:r>
      <w:r>
        <w:rPr>
          <w:u w:val="single"/>
        </w:rPr>
        <w:t>ctubre</w:t>
      </w:r>
      <w:r w:rsidRPr="000917D8">
        <w:rPr>
          <w:u w:val="single"/>
        </w:rPr>
        <w:t xml:space="preserve"> de 202</w:t>
      </w:r>
      <w:r>
        <w:rPr>
          <w:u w:val="single"/>
        </w:rPr>
        <w:t>3,</w:t>
      </w:r>
      <w:r w:rsidRPr="000917D8">
        <w:rPr>
          <w:u w:val="single"/>
        </w:rPr>
        <w:t xml:space="preserve"> </w:t>
      </w:r>
      <w:r w:rsidRPr="00BC7C5B">
        <w:rPr>
          <w:u w:val="single"/>
        </w:rPr>
        <w:t>se oficializó.</w:t>
      </w:r>
    </w:p>
    <w:p w14:paraId="71340AB3" w14:textId="77777777" w:rsidR="00287118" w:rsidRPr="00BC7C5B" w:rsidRDefault="00287118" w:rsidP="00391C5F">
      <w:pPr>
        <w:pBdr>
          <w:top w:val="single" w:sz="4" w:space="0" w:color="auto"/>
          <w:left w:val="single" w:sz="4" w:space="4" w:color="auto"/>
          <w:bottom w:val="single" w:sz="4" w:space="1" w:color="auto"/>
          <w:right w:val="single" w:sz="4" w:space="4" w:color="auto"/>
        </w:pBdr>
        <w:spacing w:line="240" w:lineRule="auto"/>
        <w:rPr>
          <w:u w:val="single"/>
        </w:rPr>
      </w:pPr>
    </w:p>
    <w:p w14:paraId="5A3B93FF" w14:textId="77777777" w:rsidR="00391C5F" w:rsidRPr="00BC7C5B" w:rsidRDefault="00391C5F" w:rsidP="00391C5F">
      <w:pPr>
        <w:pBdr>
          <w:top w:val="single" w:sz="4" w:space="0" w:color="auto"/>
          <w:left w:val="single" w:sz="4" w:space="4" w:color="auto"/>
          <w:bottom w:val="single" w:sz="4" w:space="1" w:color="auto"/>
          <w:right w:val="single" w:sz="4" w:space="4" w:color="auto"/>
        </w:pBdr>
        <w:spacing w:line="240" w:lineRule="auto"/>
      </w:pPr>
      <w:r w:rsidRPr="00BC7C5B">
        <w:t>Los Integrantes son:</w:t>
      </w:r>
    </w:p>
    <w:p w14:paraId="3AA98304" w14:textId="77777777" w:rsidR="00391C5F" w:rsidRPr="00BC7C5B" w:rsidRDefault="00391C5F" w:rsidP="00391C5F">
      <w:pPr>
        <w:pBdr>
          <w:top w:val="single" w:sz="4" w:space="0" w:color="auto"/>
          <w:left w:val="single" w:sz="4" w:space="4" w:color="auto"/>
          <w:bottom w:val="single" w:sz="4" w:space="1" w:color="auto"/>
          <w:right w:val="single" w:sz="4" w:space="4" w:color="auto"/>
        </w:pBdr>
        <w:spacing w:line="240" w:lineRule="auto"/>
      </w:pPr>
      <w:r w:rsidRPr="000917D8">
        <w:rPr>
          <w:b/>
          <w:bCs/>
        </w:rPr>
        <w:t>Gerardo Cordero Arguedas, Contador Municipal.</w:t>
      </w:r>
      <w:r w:rsidRPr="00BC7C5B">
        <w:t xml:space="preserve"> Coordinador de la Comisión.</w:t>
      </w:r>
    </w:p>
    <w:p w14:paraId="14140114" w14:textId="77777777" w:rsidR="00391C5F" w:rsidRDefault="00391C5F" w:rsidP="00391C5F">
      <w:pPr>
        <w:pBdr>
          <w:top w:val="single" w:sz="4" w:space="0" w:color="auto"/>
          <w:left w:val="single" w:sz="4" w:space="4" w:color="auto"/>
          <w:bottom w:val="single" w:sz="4" w:space="1" w:color="auto"/>
          <w:right w:val="single" w:sz="4" w:space="4" w:color="auto"/>
        </w:pBdr>
        <w:spacing w:line="276" w:lineRule="auto"/>
        <w:rPr>
          <w:b/>
          <w:bCs/>
        </w:rPr>
      </w:pPr>
      <w:r w:rsidRPr="00BC7C5B">
        <w:rPr>
          <w:b/>
          <w:bCs/>
        </w:rPr>
        <w:t>Integrantes</w:t>
      </w:r>
      <w:r>
        <w:rPr>
          <w:b/>
          <w:bCs/>
        </w:rPr>
        <w:t>:</w:t>
      </w:r>
    </w:p>
    <w:p w14:paraId="5E7A20D3" w14:textId="77777777" w:rsidR="00391C5F" w:rsidRDefault="00391C5F" w:rsidP="00391C5F">
      <w:pPr>
        <w:pBdr>
          <w:top w:val="single" w:sz="4" w:space="0" w:color="auto"/>
          <w:left w:val="single" w:sz="4" w:space="4" w:color="auto"/>
          <w:bottom w:val="single" w:sz="4" w:space="1" w:color="auto"/>
          <w:right w:val="single" w:sz="4" w:space="4" w:color="auto"/>
        </w:pBdr>
        <w:spacing w:after="0" w:line="240" w:lineRule="auto"/>
      </w:pPr>
      <w:r>
        <w:t xml:space="preserve">Karol Zapata </w:t>
      </w:r>
      <w:proofErr w:type="spellStart"/>
      <w:r>
        <w:t>Zapata</w:t>
      </w:r>
      <w:proofErr w:type="spellEnd"/>
      <w:r>
        <w:t>, Vice Alcaldesa.</w:t>
      </w:r>
    </w:p>
    <w:p w14:paraId="0E4A2036" w14:textId="77777777" w:rsidR="00391C5F" w:rsidRDefault="00391C5F" w:rsidP="00391C5F">
      <w:pPr>
        <w:pBdr>
          <w:top w:val="single" w:sz="4" w:space="0" w:color="auto"/>
          <w:left w:val="single" w:sz="4" w:space="4" w:color="auto"/>
          <w:bottom w:val="single" w:sz="4" w:space="1" w:color="auto"/>
          <w:right w:val="single" w:sz="4" w:space="4" w:color="auto"/>
        </w:pBdr>
        <w:spacing w:after="0" w:line="240" w:lineRule="auto"/>
        <w:rPr>
          <w:bCs/>
        </w:rPr>
      </w:pPr>
      <w:r w:rsidRPr="00FB0D9A">
        <w:rPr>
          <w:bCs/>
        </w:rPr>
        <w:t xml:space="preserve">Maribel Pérez Monge, </w:t>
      </w:r>
      <w:r>
        <w:rPr>
          <w:bCs/>
        </w:rPr>
        <w:t xml:space="preserve">Encargada Departamento </w:t>
      </w:r>
      <w:r w:rsidRPr="00FB0D9A">
        <w:rPr>
          <w:bCs/>
        </w:rPr>
        <w:t>Administra</w:t>
      </w:r>
      <w:r>
        <w:rPr>
          <w:bCs/>
        </w:rPr>
        <w:t>ción</w:t>
      </w:r>
      <w:r w:rsidRPr="00FB0D9A">
        <w:rPr>
          <w:bCs/>
        </w:rPr>
        <w:t xml:space="preserve"> Tributaria</w:t>
      </w:r>
    </w:p>
    <w:p w14:paraId="4CC27E20" w14:textId="77777777" w:rsidR="00391C5F" w:rsidRDefault="00391C5F" w:rsidP="00391C5F">
      <w:pPr>
        <w:pBdr>
          <w:top w:val="single" w:sz="4" w:space="0" w:color="auto"/>
          <w:left w:val="single" w:sz="4" w:space="4" w:color="auto"/>
          <w:bottom w:val="single" w:sz="4" w:space="1" w:color="auto"/>
          <w:right w:val="single" w:sz="4" w:space="4" w:color="auto"/>
        </w:pBdr>
        <w:spacing w:after="0" w:line="240" w:lineRule="auto"/>
      </w:pPr>
      <w:r w:rsidRPr="00FB0D9A">
        <w:rPr>
          <w:bCs/>
        </w:rPr>
        <w:t>Esteban Fallas Vidal, Tesorería</w:t>
      </w:r>
    </w:p>
    <w:p w14:paraId="5C6D688A" w14:textId="77777777" w:rsidR="00391C5F" w:rsidRDefault="00391C5F" w:rsidP="00391C5F">
      <w:pPr>
        <w:pBdr>
          <w:top w:val="single" w:sz="4" w:space="0" w:color="auto"/>
          <w:left w:val="single" w:sz="4" w:space="4" w:color="auto"/>
          <w:bottom w:val="single" w:sz="4" w:space="1" w:color="auto"/>
          <w:right w:val="single" w:sz="4" w:space="4" w:color="auto"/>
        </w:pBdr>
        <w:spacing w:after="0" w:line="240" w:lineRule="auto"/>
        <w:rPr>
          <w:bCs/>
        </w:rPr>
      </w:pPr>
      <w:r>
        <w:rPr>
          <w:bCs/>
        </w:rPr>
        <w:t>Natalia Saldaña Delgado</w:t>
      </w:r>
      <w:r w:rsidRPr="00FB0D9A">
        <w:rPr>
          <w:bCs/>
        </w:rPr>
        <w:t xml:space="preserve">, </w:t>
      </w:r>
      <w:r>
        <w:rPr>
          <w:bCs/>
        </w:rPr>
        <w:t>Departamento de TI</w:t>
      </w:r>
    </w:p>
    <w:p w14:paraId="6C506AF2" w14:textId="77777777" w:rsidR="00391C5F" w:rsidRDefault="00391C5F" w:rsidP="00391C5F">
      <w:pPr>
        <w:pBdr>
          <w:top w:val="single" w:sz="4" w:space="0" w:color="auto"/>
          <w:left w:val="single" w:sz="4" w:space="4" w:color="auto"/>
          <w:bottom w:val="single" w:sz="4" w:space="1" w:color="auto"/>
          <w:right w:val="single" w:sz="4" w:space="4" w:color="auto"/>
        </w:pBdr>
        <w:spacing w:after="0" w:line="240" w:lineRule="auto"/>
        <w:rPr>
          <w:bCs/>
        </w:rPr>
      </w:pPr>
      <w:proofErr w:type="spellStart"/>
      <w:r>
        <w:rPr>
          <w:bCs/>
        </w:rPr>
        <w:t>Edylma</w:t>
      </w:r>
      <w:proofErr w:type="spellEnd"/>
      <w:r>
        <w:rPr>
          <w:bCs/>
        </w:rPr>
        <w:t xml:space="preserve"> Granados Bermúdez</w:t>
      </w:r>
    </w:p>
    <w:p w14:paraId="6423A692" w14:textId="77777777" w:rsidR="00391C5F" w:rsidRDefault="00391C5F" w:rsidP="00391C5F">
      <w:pPr>
        <w:pBdr>
          <w:top w:val="single" w:sz="4" w:space="0" w:color="auto"/>
          <w:left w:val="single" w:sz="4" w:space="4" w:color="auto"/>
          <w:bottom w:val="single" w:sz="4" w:space="1" w:color="auto"/>
          <w:right w:val="single" w:sz="4" w:space="4" w:color="auto"/>
        </w:pBdr>
        <w:spacing w:after="0" w:line="240" w:lineRule="auto"/>
        <w:rPr>
          <w:bCs/>
        </w:rPr>
      </w:pPr>
      <w:proofErr w:type="spellStart"/>
      <w:r>
        <w:rPr>
          <w:bCs/>
        </w:rPr>
        <w:t>Limsay</w:t>
      </w:r>
      <w:proofErr w:type="spellEnd"/>
      <w:r>
        <w:rPr>
          <w:bCs/>
        </w:rPr>
        <w:t xml:space="preserve"> Acuña López</w:t>
      </w:r>
    </w:p>
    <w:p w14:paraId="46BA152B" w14:textId="77777777" w:rsidR="00391C5F" w:rsidRDefault="00391C5F" w:rsidP="00391C5F">
      <w:pPr>
        <w:pBdr>
          <w:top w:val="single" w:sz="4" w:space="0" w:color="auto"/>
          <w:left w:val="single" w:sz="4" w:space="4" w:color="auto"/>
          <w:bottom w:val="single" w:sz="4" w:space="1" w:color="auto"/>
          <w:right w:val="single" w:sz="4" w:space="4" w:color="auto"/>
        </w:pBdr>
        <w:spacing w:after="0" w:line="240" w:lineRule="auto"/>
        <w:rPr>
          <w:bCs/>
        </w:rPr>
      </w:pPr>
      <w:r>
        <w:rPr>
          <w:bCs/>
        </w:rPr>
        <w:lastRenderedPageBreak/>
        <w:t>Andrea Espinoza Arauz, Encargada Recursos Humanos</w:t>
      </w:r>
    </w:p>
    <w:p w14:paraId="6BCADC33" w14:textId="77777777" w:rsidR="00391C5F" w:rsidRDefault="00391C5F" w:rsidP="00391C5F">
      <w:pPr>
        <w:pBdr>
          <w:top w:val="single" w:sz="4" w:space="0" w:color="auto"/>
          <w:left w:val="single" w:sz="4" w:space="4" w:color="auto"/>
          <w:bottom w:val="single" w:sz="4" w:space="1" w:color="auto"/>
          <w:right w:val="single" w:sz="4" w:space="4" w:color="auto"/>
        </w:pBdr>
        <w:spacing w:after="0" w:line="240" w:lineRule="auto"/>
        <w:rPr>
          <w:bCs/>
        </w:rPr>
      </w:pPr>
      <w:r w:rsidRPr="00FB0D9A">
        <w:rPr>
          <w:bCs/>
        </w:rPr>
        <w:t xml:space="preserve">Albán Serrano Siles, </w:t>
      </w:r>
      <w:r>
        <w:rPr>
          <w:bCs/>
        </w:rPr>
        <w:t xml:space="preserve">Encargado </w:t>
      </w:r>
      <w:r w:rsidRPr="00FB0D9A">
        <w:rPr>
          <w:bCs/>
        </w:rPr>
        <w:t>Prov</w:t>
      </w:r>
      <w:r>
        <w:rPr>
          <w:bCs/>
        </w:rPr>
        <w:t xml:space="preserve">eeduría </w:t>
      </w:r>
      <w:r w:rsidRPr="00FB0D9A">
        <w:rPr>
          <w:bCs/>
        </w:rPr>
        <w:t>Municipal</w:t>
      </w:r>
    </w:p>
    <w:p w14:paraId="606E789A" w14:textId="77777777" w:rsidR="00391C5F" w:rsidRDefault="00391C5F" w:rsidP="00391C5F">
      <w:pPr>
        <w:pBdr>
          <w:top w:val="single" w:sz="4" w:space="0" w:color="auto"/>
          <w:left w:val="single" w:sz="4" w:space="4" w:color="auto"/>
          <w:bottom w:val="single" w:sz="4" w:space="1" w:color="auto"/>
          <w:right w:val="single" w:sz="4" w:space="4" w:color="auto"/>
        </w:pBdr>
        <w:spacing w:after="0" w:line="240" w:lineRule="auto"/>
        <w:rPr>
          <w:bCs/>
        </w:rPr>
      </w:pPr>
      <w:r>
        <w:rPr>
          <w:bCs/>
        </w:rPr>
        <w:t>Graciela Núñez Marchena.</w:t>
      </w:r>
    </w:p>
    <w:p w14:paraId="09159154" w14:textId="77777777" w:rsidR="00391C5F" w:rsidRDefault="00391C5F" w:rsidP="00391C5F">
      <w:pPr>
        <w:pBdr>
          <w:top w:val="single" w:sz="4" w:space="0" w:color="auto"/>
          <w:left w:val="single" w:sz="4" w:space="4" w:color="auto"/>
          <w:bottom w:val="single" w:sz="4" w:space="1" w:color="auto"/>
          <w:right w:val="single" w:sz="4" w:space="4" w:color="auto"/>
        </w:pBdr>
        <w:spacing w:after="0" w:line="240" w:lineRule="auto"/>
        <w:rPr>
          <w:bCs/>
        </w:rPr>
      </w:pPr>
      <w:r w:rsidRPr="00FB0D9A">
        <w:rPr>
          <w:bCs/>
        </w:rPr>
        <w:t xml:space="preserve">Johnny Vidal Atencio, Asesor </w:t>
      </w:r>
      <w:r>
        <w:rPr>
          <w:bCs/>
        </w:rPr>
        <w:t>Legal</w:t>
      </w:r>
    </w:p>
    <w:p w14:paraId="1B74EDC7" w14:textId="77777777" w:rsidR="00391C5F" w:rsidRDefault="00391C5F" w:rsidP="00391C5F">
      <w:pPr>
        <w:pBdr>
          <w:top w:val="single" w:sz="4" w:space="0" w:color="auto"/>
          <w:left w:val="single" w:sz="4" w:space="4" w:color="auto"/>
          <w:bottom w:val="single" w:sz="4" w:space="1" w:color="auto"/>
          <w:right w:val="single" w:sz="4" w:space="4" w:color="auto"/>
        </w:pBdr>
        <w:spacing w:after="0" w:line="240" w:lineRule="auto"/>
        <w:rPr>
          <w:bCs/>
        </w:rPr>
      </w:pPr>
      <w:r>
        <w:rPr>
          <w:bCs/>
        </w:rPr>
        <w:t>J</w:t>
      </w:r>
      <w:r w:rsidRPr="00FB0D9A">
        <w:rPr>
          <w:bCs/>
        </w:rPr>
        <w:t>eannette Chaves Ortiz, Presupuesto</w:t>
      </w:r>
    </w:p>
    <w:p w14:paraId="6FD2AFDA" w14:textId="77777777" w:rsidR="00391C5F" w:rsidRDefault="00391C5F" w:rsidP="00391C5F">
      <w:pPr>
        <w:pBdr>
          <w:top w:val="single" w:sz="4" w:space="0" w:color="auto"/>
          <w:left w:val="single" w:sz="4" w:space="4" w:color="auto"/>
          <w:bottom w:val="single" w:sz="4" w:space="1" w:color="auto"/>
          <w:right w:val="single" w:sz="4" w:space="4" w:color="auto"/>
        </w:pBdr>
        <w:spacing w:after="0" w:line="240" w:lineRule="auto"/>
        <w:rPr>
          <w:bCs/>
        </w:rPr>
      </w:pPr>
      <w:r>
        <w:rPr>
          <w:bCs/>
        </w:rPr>
        <w:t>Freddy Jiménez Torres</w:t>
      </w:r>
      <w:r w:rsidRPr="00FB0D9A">
        <w:rPr>
          <w:bCs/>
        </w:rPr>
        <w:t>.</w:t>
      </w:r>
      <w:r>
        <w:rPr>
          <w:bCs/>
        </w:rPr>
        <w:t xml:space="preserve"> Coordinador General Gestión Vial</w:t>
      </w:r>
    </w:p>
    <w:p w14:paraId="00B11FC2" w14:textId="77777777" w:rsidR="00391C5F" w:rsidRPr="00C276CA" w:rsidRDefault="00391C5F" w:rsidP="00391C5F">
      <w:pPr>
        <w:pBdr>
          <w:top w:val="single" w:sz="4" w:space="0" w:color="auto"/>
          <w:left w:val="single" w:sz="4" w:space="4" w:color="auto"/>
          <w:bottom w:val="single" w:sz="4" w:space="1" w:color="auto"/>
          <w:right w:val="single" w:sz="4" w:space="4" w:color="auto"/>
        </w:pBdr>
        <w:spacing w:after="0" w:line="240" w:lineRule="auto"/>
        <w:rPr>
          <w:bCs/>
        </w:rPr>
      </w:pPr>
      <w:r w:rsidRPr="00C276CA">
        <w:rPr>
          <w:bCs/>
        </w:rPr>
        <w:t xml:space="preserve">Jorge Morales Black, </w:t>
      </w:r>
      <w:r>
        <w:rPr>
          <w:bCs/>
        </w:rPr>
        <w:t>Desarrollo Urbano</w:t>
      </w:r>
    </w:p>
    <w:p w14:paraId="261BF5C6" w14:textId="77777777" w:rsidR="00391C5F" w:rsidRPr="00C276CA" w:rsidRDefault="00391C5F" w:rsidP="00391C5F">
      <w:pPr>
        <w:pBdr>
          <w:top w:val="single" w:sz="4" w:space="0" w:color="auto"/>
          <w:left w:val="single" w:sz="4" w:space="4" w:color="auto"/>
          <w:bottom w:val="single" w:sz="4" w:space="1" w:color="auto"/>
          <w:right w:val="single" w:sz="4" w:space="4" w:color="auto"/>
        </w:pBdr>
        <w:spacing w:after="0" w:line="240" w:lineRule="auto"/>
        <w:rPr>
          <w:bCs/>
        </w:rPr>
      </w:pPr>
      <w:r w:rsidRPr="00C276CA">
        <w:rPr>
          <w:bCs/>
        </w:rPr>
        <w:t>Marisol Monge Ortiz</w:t>
      </w:r>
    </w:p>
    <w:p w14:paraId="19B06B6C" w14:textId="77777777" w:rsidR="00391C5F" w:rsidRDefault="00391C5F" w:rsidP="00391C5F">
      <w:pPr>
        <w:pBdr>
          <w:top w:val="single" w:sz="4" w:space="0" w:color="auto"/>
          <w:left w:val="single" w:sz="4" w:space="4" w:color="auto"/>
          <w:bottom w:val="single" w:sz="4" w:space="1" w:color="auto"/>
          <w:right w:val="single" w:sz="4" w:space="4" w:color="auto"/>
        </w:pBdr>
        <w:spacing w:after="0" w:line="240" w:lineRule="auto"/>
        <w:rPr>
          <w:bCs/>
        </w:rPr>
      </w:pPr>
      <w:r w:rsidRPr="00C276CA">
        <w:rPr>
          <w:bCs/>
        </w:rPr>
        <w:t>Michael Piedra Maroto</w:t>
      </w:r>
    </w:p>
    <w:p w14:paraId="43A97BB6" w14:textId="77777777" w:rsidR="00287118" w:rsidRDefault="00287118" w:rsidP="00391C5F">
      <w:pPr>
        <w:pBdr>
          <w:top w:val="single" w:sz="4" w:space="0" w:color="auto"/>
          <w:left w:val="single" w:sz="4" w:space="4" w:color="auto"/>
          <w:bottom w:val="single" w:sz="4" w:space="1" w:color="auto"/>
          <w:right w:val="single" w:sz="4" w:space="4" w:color="auto"/>
        </w:pBdr>
        <w:spacing w:after="0" w:line="240" w:lineRule="auto"/>
        <w:rPr>
          <w:bCs/>
        </w:rPr>
      </w:pPr>
    </w:p>
    <w:p w14:paraId="2015DFF2" w14:textId="77777777" w:rsidR="00391C5F" w:rsidRDefault="00391C5F" w:rsidP="00391C5F">
      <w:pPr>
        <w:pBdr>
          <w:top w:val="single" w:sz="4" w:space="0" w:color="auto"/>
          <w:left w:val="single" w:sz="4" w:space="4" w:color="auto"/>
          <w:bottom w:val="single" w:sz="4" w:space="1" w:color="auto"/>
          <w:right w:val="single" w:sz="4" w:space="4" w:color="auto"/>
        </w:pBdr>
        <w:spacing w:line="276" w:lineRule="auto"/>
      </w:pPr>
      <w:r w:rsidRPr="00BC7C5B">
        <w:rPr>
          <w:b/>
          <w:bCs/>
        </w:rPr>
        <w:t>Observaciones:</w:t>
      </w:r>
      <w:r w:rsidRPr="00BC7C5B">
        <w:t xml:space="preserve"> (Principales acuerdos y logros en el periodo).</w:t>
      </w:r>
    </w:p>
    <w:p w14:paraId="023D109C" w14:textId="77777777" w:rsidR="00391C5F" w:rsidRDefault="00391C5F" w:rsidP="00391C5F">
      <w:pPr>
        <w:pBdr>
          <w:top w:val="single" w:sz="4" w:space="0" w:color="auto"/>
          <w:left w:val="single" w:sz="4" w:space="4" w:color="auto"/>
          <w:bottom w:val="single" w:sz="4" w:space="1" w:color="auto"/>
          <w:right w:val="single" w:sz="4" w:space="4" w:color="auto"/>
        </w:pBdr>
        <w:spacing w:line="276" w:lineRule="auto"/>
      </w:pPr>
      <w:r w:rsidRPr="00FB0D9A">
        <w:t xml:space="preserve">Se han promovido reuniones con la Alcaldía Municipal para fortalecer el proceso de implementación de las NICSP y lograr avanzar en el cumplimiento de los planes de acción que corresponden a las unidades primarias de registro.  </w:t>
      </w:r>
    </w:p>
    <w:p w14:paraId="7BB2E9A7" w14:textId="77777777" w:rsidR="00391C5F" w:rsidRDefault="00391C5F" w:rsidP="00391C5F">
      <w:pPr>
        <w:pBdr>
          <w:top w:val="single" w:sz="4" w:space="0" w:color="auto"/>
          <w:left w:val="single" w:sz="4" w:space="4" w:color="auto"/>
          <w:bottom w:val="single" w:sz="4" w:space="1" w:color="auto"/>
          <w:right w:val="single" w:sz="4" w:space="4" w:color="auto"/>
        </w:pBdr>
      </w:pPr>
      <w:r w:rsidRPr="00AD752F">
        <w:rPr>
          <w:b/>
        </w:rPr>
        <w:t>Nota:</w:t>
      </w:r>
      <w:r w:rsidRPr="00343AA4">
        <w:t xml:space="preserve">  La firma del </w:t>
      </w:r>
      <w:r w:rsidRPr="00AE31D6">
        <w:t xml:space="preserve">Director Administrativo -Financiero o su equivalente </w:t>
      </w:r>
      <w:r w:rsidRPr="00343AA4">
        <w:t>está incluida en las firmas del estado de notas en su conjunto.</w:t>
      </w:r>
    </w:p>
    <w:p w14:paraId="00445933" w14:textId="77777777" w:rsidR="004E2078" w:rsidRPr="00BC7C5B" w:rsidRDefault="004E2078" w:rsidP="004E2078">
      <w:pPr>
        <w:pBdr>
          <w:top w:val="single" w:sz="4" w:space="0" w:color="auto"/>
          <w:left w:val="single" w:sz="4" w:space="4" w:color="auto"/>
          <w:bottom w:val="single" w:sz="4" w:space="1" w:color="auto"/>
          <w:right w:val="single" w:sz="4" w:space="4" w:color="auto"/>
        </w:pBdr>
        <w:jc w:val="center"/>
        <w:rPr>
          <w:b/>
          <w:bCs/>
        </w:rPr>
      </w:pPr>
      <w:r w:rsidRPr="00BC7C5B">
        <w:rPr>
          <w:b/>
          <w:bCs/>
        </w:rPr>
        <w:t>Certificación o Constancia:</w:t>
      </w:r>
    </w:p>
    <w:p w14:paraId="5D83D8D5" w14:textId="3D55321F" w:rsidR="00AA4486" w:rsidRDefault="004E2078" w:rsidP="00B4271E">
      <w:pPr>
        <w:pBdr>
          <w:top w:val="single" w:sz="4" w:space="0" w:color="auto"/>
          <w:left w:val="single" w:sz="4" w:space="4" w:color="auto"/>
          <w:bottom w:val="single" w:sz="4" w:space="1" w:color="auto"/>
          <w:right w:val="single" w:sz="4" w:space="4" w:color="auto"/>
        </w:pBdr>
      </w:pPr>
      <w:r>
        <w:t>Sobre</w:t>
      </w:r>
      <w:r w:rsidR="00AA4486" w:rsidRPr="00AA4486">
        <w:t xml:space="preserve"> Estándares de Sostenibilidad que el ente contable está atendiendo este tema</w:t>
      </w:r>
      <w:r>
        <w:t>:</w:t>
      </w:r>
    </w:p>
    <w:p w14:paraId="5B04C3E7" w14:textId="77777777" w:rsidR="00391C5F" w:rsidRDefault="00391C5F" w:rsidP="00391C5F">
      <w:pPr>
        <w:pBdr>
          <w:top w:val="single" w:sz="4" w:space="0" w:color="auto"/>
          <w:left w:val="single" w:sz="4" w:space="4" w:color="auto"/>
          <w:bottom w:val="single" w:sz="4" w:space="1" w:color="auto"/>
          <w:right w:val="single" w:sz="4" w:space="4" w:color="auto"/>
        </w:pBdr>
      </w:pPr>
      <w:r>
        <w:t>Por medio del presente, se hace constar que la Comisión Institucional de Adopción e Implementación de Normas Internacionales de Contabilidad del Sector Público (NICSP) de la Municipalidad de Buenos Aires, ha recibido una presentación introductoria sobre los estándares de sostenibilidad, específicamente los Requerimientos Generales sobre Sostenibilidad (NIIF S1) y sobre Clima (NIIF S2). Dicha presentación se realizó el día 23 de Julio del 2024 en reunión de Comisión Institucional de N. Minuta 48-2024</w:t>
      </w:r>
    </w:p>
    <w:p w14:paraId="60DC4923" w14:textId="77777777" w:rsidR="00391C5F" w:rsidRDefault="00391C5F" w:rsidP="00391C5F">
      <w:pPr>
        <w:pBdr>
          <w:top w:val="single" w:sz="4" w:space="0" w:color="auto"/>
          <w:left w:val="single" w:sz="4" w:space="4" w:color="auto"/>
          <w:bottom w:val="single" w:sz="4" w:space="1" w:color="auto"/>
          <w:right w:val="single" w:sz="4" w:space="4" w:color="auto"/>
        </w:pBdr>
      </w:pPr>
      <w:r>
        <w:t>En dicha presentación se expuso el cronograma propuesto por el ente rector para la implementación de los informes de sostenibilidad en nuestra institución, el cual es el siguiente:</w:t>
      </w:r>
    </w:p>
    <w:p w14:paraId="7DEEA3D8" w14:textId="77777777" w:rsidR="00391C5F" w:rsidRDefault="00391C5F" w:rsidP="00391C5F">
      <w:pPr>
        <w:pBdr>
          <w:top w:val="single" w:sz="4" w:space="0" w:color="auto"/>
          <w:left w:val="single" w:sz="4" w:space="4" w:color="auto"/>
          <w:bottom w:val="single" w:sz="4" w:space="1" w:color="auto"/>
          <w:right w:val="single" w:sz="4" w:space="4" w:color="auto"/>
        </w:pBdr>
      </w:pPr>
      <w:r>
        <w:t>AÑO</w:t>
      </w:r>
      <w:r>
        <w:tab/>
        <w:t>PROCEDIMIENTO</w:t>
      </w:r>
    </w:p>
    <w:p w14:paraId="47109765" w14:textId="2D7CFA75" w:rsidR="00391C5F" w:rsidRDefault="00391C5F" w:rsidP="00391C5F">
      <w:pPr>
        <w:pBdr>
          <w:top w:val="single" w:sz="4" w:space="0" w:color="auto"/>
          <w:left w:val="single" w:sz="4" w:space="4" w:color="auto"/>
          <w:bottom w:val="single" w:sz="4" w:space="1" w:color="auto"/>
          <w:right w:val="single" w:sz="4" w:space="4" w:color="auto"/>
        </w:pBdr>
      </w:pPr>
      <w:r>
        <w:t>2024</w:t>
      </w:r>
      <w:r w:rsidR="00287118">
        <w:t>.</w:t>
      </w:r>
      <w:r>
        <w:tab/>
        <w:t>Proceso de aprendizaje y análisis.</w:t>
      </w:r>
    </w:p>
    <w:p w14:paraId="628CD654" w14:textId="2EA12535" w:rsidR="00391C5F" w:rsidRDefault="00391C5F" w:rsidP="00391C5F">
      <w:pPr>
        <w:pBdr>
          <w:top w:val="single" w:sz="4" w:space="0" w:color="auto"/>
          <w:left w:val="single" w:sz="4" w:space="4" w:color="auto"/>
          <w:bottom w:val="single" w:sz="4" w:space="1" w:color="auto"/>
          <w:right w:val="single" w:sz="4" w:space="4" w:color="auto"/>
        </w:pBdr>
      </w:pPr>
      <w:r>
        <w:t>2025</w:t>
      </w:r>
      <w:r w:rsidR="00287118">
        <w:t>.</w:t>
      </w:r>
      <w:r>
        <w:tab/>
        <w:t>Implementación de informes de NIIF S1 y NIIF S2.</w:t>
      </w:r>
    </w:p>
    <w:p w14:paraId="50075026" w14:textId="771D3FC3" w:rsidR="00391C5F" w:rsidRDefault="00391C5F" w:rsidP="00391C5F">
      <w:pPr>
        <w:pBdr>
          <w:top w:val="single" w:sz="4" w:space="0" w:color="auto"/>
          <w:left w:val="single" w:sz="4" w:space="4" w:color="auto"/>
          <w:bottom w:val="single" w:sz="4" w:space="1" w:color="auto"/>
          <w:right w:val="single" w:sz="4" w:space="4" w:color="auto"/>
        </w:pBdr>
      </w:pPr>
      <w:r>
        <w:t>2026</w:t>
      </w:r>
      <w:r w:rsidR="00287118">
        <w:t>.</w:t>
      </w:r>
      <w:r>
        <w:tab/>
        <w:t>Presentación formal de Informes de Sostenibilidad.</w:t>
      </w:r>
    </w:p>
    <w:p w14:paraId="439A9068" w14:textId="77777777" w:rsidR="00391C5F" w:rsidRDefault="00391C5F" w:rsidP="00391C5F">
      <w:pPr>
        <w:pBdr>
          <w:top w:val="single" w:sz="4" w:space="0" w:color="auto"/>
          <w:left w:val="single" w:sz="4" w:space="4" w:color="auto"/>
          <w:bottom w:val="single" w:sz="4" w:space="1" w:color="auto"/>
          <w:right w:val="single" w:sz="4" w:space="4" w:color="auto"/>
        </w:pBdr>
      </w:pPr>
    </w:p>
    <w:p w14:paraId="1BA2AE04" w14:textId="77777777" w:rsidR="00391C5F" w:rsidRDefault="00391C5F" w:rsidP="00391C5F">
      <w:pPr>
        <w:pBdr>
          <w:top w:val="single" w:sz="4" w:space="0" w:color="auto"/>
          <w:left w:val="single" w:sz="4" w:space="4" w:color="auto"/>
          <w:bottom w:val="single" w:sz="4" w:space="1" w:color="auto"/>
          <w:right w:val="single" w:sz="4" w:space="4" w:color="auto"/>
        </w:pBdr>
      </w:pPr>
      <w:r>
        <w:lastRenderedPageBreak/>
        <w:t>Se hace constar que, a la fecha de este documento, la Comisión Institucional de NICSP ha comenzado a tratar el tema de los estándares de sostenibilidad como parte de su agenda de trabajo, y se compromete a seguir el cronograma establecido por la Contabilidad Nacional para su implementación.</w:t>
      </w:r>
    </w:p>
    <w:p w14:paraId="4AFA86D3" w14:textId="77777777" w:rsidR="00391C5F" w:rsidRDefault="00391C5F" w:rsidP="00391C5F">
      <w:pPr>
        <w:pBdr>
          <w:top w:val="single" w:sz="4" w:space="0" w:color="auto"/>
          <w:left w:val="single" w:sz="4" w:space="4" w:color="auto"/>
          <w:bottom w:val="single" w:sz="4" w:space="1" w:color="auto"/>
          <w:right w:val="single" w:sz="4" w:space="4" w:color="auto"/>
        </w:pBdr>
      </w:pPr>
      <w:r>
        <w:t>Se emite el presente documento a solicitud de Contabilidad Nacional mediante Oficio MH-DGCN-DIR-OF-0834-2024.</w:t>
      </w:r>
    </w:p>
    <w:bookmarkEnd w:id="7"/>
    <w:p w14:paraId="4C096966" w14:textId="77777777" w:rsidR="002962F2" w:rsidRDefault="002962F2" w:rsidP="002962F2"/>
    <w:p w14:paraId="79BE5729" w14:textId="730CC5B3" w:rsidR="00B4271E" w:rsidRDefault="00B4271E">
      <w:pPr>
        <w:pStyle w:val="Ttulo4"/>
        <w:numPr>
          <w:ilvl w:val="0"/>
          <w:numId w:val="1"/>
        </w:numPr>
      </w:pPr>
      <w:bookmarkStart w:id="9" w:name="_Toc189804772"/>
      <w:r w:rsidRPr="00B4271E">
        <w:t>Cuadro Resumen- Normativa Contable</w:t>
      </w:r>
      <w:bookmarkEnd w:id="9"/>
      <w:r w:rsidRPr="00B4271E">
        <w:t xml:space="preserve"> </w:t>
      </w:r>
    </w:p>
    <w:p w14:paraId="103C02F5" w14:textId="12379791" w:rsidR="00756E35" w:rsidRDefault="00B4271E" w:rsidP="00B4271E">
      <w:pPr>
        <w:spacing w:before="240"/>
      </w:pPr>
      <w:r w:rsidRPr="00B4271E">
        <w:t xml:space="preserve">Normas Internacionales de Contabilidad </w:t>
      </w:r>
      <w:r>
        <w:t xml:space="preserve">Sector Público) </w:t>
      </w:r>
    </w:p>
    <w:p w14:paraId="4AB60C2B" w14:textId="50BCE2BF" w:rsidR="00B4271E" w:rsidRPr="00DF7432" w:rsidRDefault="00B4271E">
      <w:pPr>
        <w:pStyle w:val="Ttulo4"/>
        <w:numPr>
          <w:ilvl w:val="0"/>
          <w:numId w:val="1"/>
        </w:numPr>
        <w:spacing w:after="240"/>
      </w:pPr>
      <w:bookmarkStart w:id="10" w:name="_Toc189804773"/>
      <w:r w:rsidRPr="00CF291B">
        <w:t>Transitorios</w:t>
      </w:r>
      <w:bookmarkEnd w:id="10"/>
    </w:p>
    <w:p w14:paraId="44FDAD28" w14:textId="087149BE" w:rsidR="00B4271E" w:rsidRDefault="00B4271E" w:rsidP="00B4271E">
      <w:r w:rsidRPr="00CF291B">
        <w:t>Para todos los efectos las Normas que tienen transitorio, y para las cuales se acoja la entidad, debe también tener un plan de acción.</w:t>
      </w:r>
    </w:p>
    <w:p w14:paraId="7D26AA61" w14:textId="4F633975" w:rsidR="00B4271E" w:rsidRDefault="00B4271E" w:rsidP="00B4271E">
      <w:pPr>
        <w:jc w:val="center"/>
      </w:pPr>
      <w:r w:rsidRPr="00A27B4B">
        <w:rPr>
          <w:noProof/>
          <w:highlight w:val="yellow"/>
          <w:lang w:eastAsia="es-CR"/>
        </w:rPr>
        <w:drawing>
          <wp:inline distT="0" distB="0" distL="0" distR="0" wp14:anchorId="2CA01ED6" wp14:editId="15CBCFB6">
            <wp:extent cx="4594860" cy="2164080"/>
            <wp:effectExtent l="0" t="0" r="0" b="0"/>
            <wp:docPr id="5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94860" cy="2164080"/>
                    </a:xfrm>
                    <a:prstGeom prst="rect">
                      <a:avLst/>
                    </a:prstGeom>
                    <a:noFill/>
                    <a:ln>
                      <a:noFill/>
                    </a:ln>
                  </pic:spPr>
                </pic:pic>
              </a:graphicData>
            </a:graphic>
          </wp:inline>
        </w:drawing>
      </w:r>
    </w:p>
    <w:p w14:paraId="335C609B" w14:textId="77777777" w:rsidR="00396CB4" w:rsidRPr="00396CB4" w:rsidRDefault="00B4271E" w:rsidP="00B4271E">
      <w:pPr>
        <w:spacing w:before="240"/>
      </w:pPr>
      <w:r w:rsidRPr="00B4271E">
        <w:t>Para la elaboración del ESFA de las Instituciones del Sector Público Costarricense usarán las políticas contables establecidas en el PGCN y podrán aplicar las disposiciones transitorias establecidas en las NICSP, para lo cual deberán informar en Nota al ESFA que han adoptado una disposición transitoria</w:t>
      </w:r>
      <w:r w:rsidR="00BF6D99">
        <w:fldChar w:fldCharType="begin"/>
      </w:r>
      <w:r w:rsidR="00BF6D99">
        <w:instrText xml:space="preserve"> LINK </w:instrText>
      </w:r>
      <w:r w:rsidR="00756467">
        <w:instrText xml:space="preserve">Excel.SheetMacroEnabled.12 "C:\\Users\\gcordero\\Downloads\\Notas diciembre 2024\\Formato_Notas_EEFF_Vinculadas_2024\\Formato_Notas_EEFF_Vinculadas_2024\\15603_T04_2024_Anexo_Estado_Notas_Contables_Vinculadas.xlsm" NICSP!F9C2:F49C8 </w:instrText>
      </w:r>
      <w:r w:rsidR="00BF6D99">
        <w:instrText xml:space="preserve">\a \f 4 \h  \* MERGEFORMAT </w:instrText>
      </w:r>
      <w:r w:rsidR="00BF6D99">
        <w:fldChar w:fldCharType="separate"/>
      </w:r>
    </w:p>
    <w:tbl>
      <w:tblPr>
        <w:tblW w:w="9946" w:type="dxa"/>
        <w:tblInd w:w="-577" w:type="dxa"/>
        <w:tblCellMar>
          <w:left w:w="70" w:type="dxa"/>
          <w:right w:w="70" w:type="dxa"/>
        </w:tblCellMar>
        <w:tblLook w:val="04A0" w:firstRow="1" w:lastRow="0" w:firstColumn="1" w:lastColumn="0" w:noHBand="0" w:noVBand="1"/>
      </w:tblPr>
      <w:tblGrid>
        <w:gridCol w:w="851"/>
        <w:gridCol w:w="3685"/>
        <w:gridCol w:w="1157"/>
        <w:gridCol w:w="970"/>
        <w:gridCol w:w="1059"/>
        <w:gridCol w:w="1067"/>
        <w:gridCol w:w="1157"/>
      </w:tblGrid>
      <w:tr w:rsidR="00396CB4" w:rsidRPr="00396CB4" w14:paraId="0E27FC06" w14:textId="77777777" w:rsidTr="00396CB4">
        <w:trPr>
          <w:divId w:val="2105030683"/>
          <w:trHeight w:val="840"/>
        </w:trPr>
        <w:tc>
          <w:tcPr>
            <w:tcW w:w="4536" w:type="dxa"/>
            <w:gridSpan w:val="2"/>
            <w:tcBorders>
              <w:top w:val="single" w:sz="8" w:space="0" w:color="auto"/>
              <w:left w:val="single" w:sz="8" w:space="0" w:color="auto"/>
              <w:bottom w:val="single" w:sz="8" w:space="0" w:color="auto"/>
              <w:right w:val="single" w:sz="8" w:space="0" w:color="000000"/>
            </w:tcBorders>
            <w:shd w:val="clear" w:color="000000" w:fill="632523"/>
            <w:vAlign w:val="center"/>
            <w:hideMark/>
          </w:tcPr>
          <w:p w14:paraId="753D427C" w14:textId="1EF4E0AF" w:rsidR="00396CB4" w:rsidRPr="00396CB4" w:rsidRDefault="00396CB4" w:rsidP="00396CB4">
            <w:pPr>
              <w:spacing w:after="0" w:line="240" w:lineRule="auto"/>
              <w:jc w:val="center"/>
              <w:rPr>
                <w:rFonts w:eastAsia="Times New Roman" w:cs="Calibri"/>
                <w:b/>
                <w:bCs/>
                <w:color w:val="FFFFFF"/>
                <w:sz w:val="18"/>
                <w:szCs w:val="20"/>
                <w:lang w:eastAsia="es-CR"/>
              </w:rPr>
            </w:pPr>
            <w:r w:rsidRPr="00396CB4">
              <w:rPr>
                <w:rFonts w:eastAsia="Times New Roman" w:cs="Calibri"/>
                <w:b/>
                <w:bCs/>
                <w:color w:val="FFFFFF"/>
                <w:sz w:val="18"/>
                <w:szCs w:val="20"/>
                <w:lang w:eastAsia="es-CR"/>
              </w:rPr>
              <w:t>NORMA</w:t>
            </w:r>
          </w:p>
        </w:tc>
        <w:tc>
          <w:tcPr>
            <w:tcW w:w="1157" w:type="dxa"/>
            <w:tcBorders>
              <w:top w:val="nil"/>
              <w:left w:val="nil"/>
              <w:bottom w:val="nil"/>
              <w:right w:val="nil"/>
            </w:tcBorders>
            <w:shd w:val="clear" w:color="000000" w:fill="632523"/>
            <w:vAlign w:val="center"/>
            <w:hideMark/>
          </w:tcPr>
          <w:p w14:paraId="4A2C8A87" w14:textId="77777777" w:rsidR="00396CB4" w:rsidRPr="00396CB4" w:rsidRDefault="00396CB4" w:rsidP="00396CB4">
            <w:pPr>
              <w:spacing w:after="0" w:line="240" w:lineRule="auto"/>
              <w:jc w:val="center"/>
              <w:rPr>
                <w:rFonts w:eastAsia="Times New Roman" w:cs="Calibri"/>
                <w:b/>
                <w:bCs/>
                <w:color w:val="FFFFFF"/>
                <w:sz w:val="18"/>
                <w:szCs w:val="20"/>
                <w:lang w:eastAsia="es-CR"/>
              </w:rPr>
            </w:pPr>
            <w:r w:rsidRPr="00396CB4">
              <w:rPr>
                <w:rFonts w:eastAsia="Times New Roman" w:cs="Calibri"/>
                <w:b/>
                <w:bCs/>
                <w:color w:val="FFFFFF"/>
                <w:sz w:val="18"/>
                <w:szCs w:val="20"/>
                <w:lang w:eastAsia="es-CR"/>
              </w:rPr>
              <w:t>NORMA TRANSITORIO</w:t>
            </w:r>
          </w:p>
        </w:tc>
        <w:tc>
          <w:tcPr>
            <w:tcW w:w="970" w:type="dxa"/>
            <w:tcBorders>
              <w:top w:val="nil"/>
              <w:left w:val="nil"/>
              <w:bottom w:val="nil"/>
              <w:right w:val="nil"/>
            </w:tcBorders>
            <w:shd w:val="clear" w:color="000000" w:fill="632523"/>
            <w:vAlign w:val="center"/>
            <w:hideMark/>
          </w:tcPr>
          <w:p w14:paraId="29CB4412" w14:textId="77777777" w:rsidR="00396CB4" w:rsidRPr="00396CB4" w:rsidRDefault="00396CB4" w:rsidP="00396CB4">
            <w:pPr>
              <w:spacing w:after="0" w:line="240" w:lineRule="auto"/>
              <w:jc w:val="center"/>
              <w:rPr>
                <w:rFonts w:eastAsia="Times New Roman" w:cs="Calibri"/>
                <w:b/>
                <w:bCs/>
                <w:color w:val="FFFFFF"/>
                <w:sz w:val="18"/>
                <w:lang w:eastAsia="es-CR"/>
              </w:rPr>
            </w:pPr>
            <w:r w:rsidRPr="00396CB4">
              <w:rPr>
                <w:rFonts w:eastAsia="Times New Roman" w:cs="Calibri"/>
                <w:b/>
                <w:bCs/>
                <w:color w:val="FFFFFF"/>
                <w:sz w:val="18"/>
                <w:lang w:eastAsia="es-CR"/>
              </w:rPr>
              <w:t>FECHA</w:t>
            </w:r>
          </w:p>
        </w:tc>
        <w:tc>
          <w:tcPr>
            <w:tcW w:w="1059" w:type="dxa"/>
            <w:tcBorders>
              <w:top w:val="nil"/>
              <w:left w:val="nil"/>
              <w:bottom w:val="nil"/>
              <w:right w:val="nil"/>
            </w:tcBorders>
            <w:shd w:val="clear" w:color="632523" w:fill="632523"/>
            <w:vAlign w:val="center"/>
            <w:hideMark/>
          </w:tcPr>
          <w:p w14:paraId="75FF3702" w14:textId="77777777" w:rsidR="00396CB4" w:rsidRPr="00396CB4" w:rsidRDefault="00396CB4" w:rsidP="00396CB4">
            <w:pPr>
              <w:spacing w:after="0" w:line="240" w:lineRule="auto"/>
              <w:jc w:val="center"/>
              <w:rPr>
                <w:rFonts w:eastAsia="Times New Roman" w:cs="Calibri"/>
                <w:b/>
                <w:bCs/>
                <w:color w:val="FFFFFF"/>
                <w:sz w:val="18"/>
                <w:szCs w:val="20"/>
                <w:lang w:eastAsia="es-CR"/>
              </w:rPr>
            </w:pPr>
            <w:r w:rsidRPr="00396CB4">
              <w:rPr>
                <w:rFonts w:eastAsia="Times New Roman" w:cs="Calibri"/>
                <w:b/>
                <w:bCs/>
                <w:color w:val="FFFFFF"/>
                <w:sz w:val="18"/>
                <w:szCs w:val="20"/>
                <w:lang w:eastAsia="es-CR"/>
              </w:rPr>
              <w:t>APLICACIÓN</w:t>
            </w:r>
          </w:p>
        </w:tc>
        <w:tc>
          <w:tcPr>
            <w:tcW w:w="1067" w:type="dxa"/>
            <w:tcBorders>
              <w:top w:val="nil"/>
              <w:left w:val="nil"/>
              <w:bottom w:val="nil"/>
              <w:right w:val="nil"/>
            </w:tcBorders>
            <w:shd w:val="clear" w:color="632523" w:fill="632523"/>
            <w:vAlign w:val="center"/>
            <w:hideMark/>
          </w:tcPr>
          <w:p w14:paraId="5AEE4B13" w14:textId="77777777" w:rsidR="00396CB4" w:rsidRPr="00396CB4" w:rsidRDefault="00396CB4" w:rsidP="00396CB4">
            <w:pPr>
              <w:spacing w:after="0" w:line="240" w:lineRule="auto"/>
              <w:jc w:val="center"/>
              <w:rPr>
                <w:rFonts w:eastAsia="Times New Roman" w:cs="Calibri"/>
                <w:b/>
                <w:bCs/>
                <w:color w:val="FFFFFF"/>
                <w:sz w:val="18"/>
                <w:szCs w:val="20"/>
                <w:lang w:eastAsia="es-CR"/>
              </w:rPr>
            </w:pPr>
            <w:r w:rsidRPr="00396CB4">
              <w:rPr>
                <w:rFonts w:eastAsia="Times New Roman" w:cs="Calibri"/>
                <w:b/>
                <w:bCs/>
                <w:color w:val="FFFFFF"/>
                <w:sz w:val="18"/>
                <w:szCs w:val="20"/>
                <w:lang w:eastAsia="es-CR"/>
              </w:rPr>
              <w:t>GRADO APLICACION</w:t>
            </w:r>
          </w:p>
        </w:tc>
        <w:tc>
          <w:tcPr>
            <w:tcW w:w="1157" w:type="dxa"/>
            <w:tcBorders>
              <w:top w:val="nil"/>
              <w:left w:val="nil"/>
              <w:bottom w:val="nil"/>
              <w:right w:val="nil"/>
            </w:tcBorders>
            <w:shd w:val="clear" w:color="632523" w:fill="632523"/>
            <w:vAlign w:val="center"/>
            <w:hideMark/>
          </w:tcPr>
          <w:p w14:paraId="02C301C8" w14:textId="77777777" w:rsidR="00396CB4" w:rsidRPr="00396CB4" w:rsidRDefault="00396CB4" w:rsidP="00396CB4">
            <w:pPr>
              <w:spacing w:after="0" w:line="240" w:lineRule="auto"/>
              <w:jc w:val="center"/>
              <w:rPr>
                <w:rFonts w:eastAsia="Times New Roman" w:cs="Calibri"/>
                <w:b/>
                <w:bCs/>
                <w:color w:val="FFFFFF"/>
                <w:sz w:val="18"/>
                <w:szCs w:val="20"/>
                <w:lang w:eastAsia="es-CR"/>
              </w:rPr>
            </w:pPr>
            <w:r w:rsidRPr="00396CB4">
              <w:rPr>
                <w:rFonts w:eastAsia="Times New Roman" w:cs="Calibri"/>
                <w:b/>
                <w:bCs/>
                <w:color w:val="FFFFFF"/>
                <w:sz w:val="18"/>
                <w:szCs w:val="20"/>
                <w:lang w:eastAsia="es-CR"/>
              </w:rPr>
              <w:t>APLICACIÓN TRANSITORIO</w:t>
            </w:r>
          </w:p>
        </w:tc>
      </w:tr>
      <w:tr w:rsidR="00396CB4" w:rsidRPr="00396CB4" w14:paraId="5A208B9B" w14:textId="77777777" w:rsidTr="00396CB4">
        <w:trPr>
          <w:divId w:val="2105030683"/>
          <w:trHeight w:val="324"/>
        </w:trPr>
        <w:tc>
          <w:tcPr>
            <w:tcW w:w="851" w:type="dxa"/>
            <w:tcBorders>
              <w:top w:val="nil"/>
              <w:left w:val="single" w:sz="8" w:space="0" w:color="auto"/>
              <w:bottom w:val="single" w:sz="8" w:space="0" w:color="auto"/>
              <w:right w:val="nil"/>
            </w:tcBorders>
            <w:shd w:val="clear" w:color="auto" w:fill="auto"/>
            <w:vAlign w:val="center"/>
            <w:hideMark/>
          </w:tcPr>
          <w:p w14:paraId="2EFC25A9" w14:textId="77777777" w:rsidR="00396CB4" w:rsidRPr="00396CB4" w:rsidRDefault="00396CB4" w:rsidP="00396CB4">
            <w:pPr>
              <w:spacing w:after="0" w:line="240" w:lineRule="auto"/>
              <w:rPr>
                <w:rFonts w:eastAsia="Times New Roman" w:cs="Calibri"/>
                <w:b/>
                <w:bCs/>
                <w:i/>
                <w:iCs/>
                <w:color w:val="000000"/>
                <w:sz w:val="18"/>
                <w:szCs w:val="18"/>
                <w:lang w:eastAsia="es-CR"/>
              </w:rPr>
            </w:pPr>
            <w:r w:rsidRPr="00396CB4">
              <w:rPr>
                <w:rFonts w:eastAsia="Times New Roman" w:cs="Calibri"/>
                <w:b/>
                <w:bCs/>
                <w:i/>
                <w:iCs/>
                <w:color w:val="000000"/>
                <w:sz w:val="18"/>
                <w:szCs w:val="18"/>
                <w:lang w:eastAsia="es-CR"/>
              </w:rPr>
              <w:t>NICSP 1</w:t>
            </w:r>
          </w:p>
        </w:tc>
        <w:tc>
          <w:tcPr>
            <w:tcW w:w="3685" w:type="dxa"/>
            <w:tcBorders>
              <w:top w:val="nil"/>
              <w:left w:val="single" w:sz="8" w:space="0" w:color="auto"/>
              <w:bottom w:val="single" w:sz="8" w:space="0" w:color="auto"/>
              <w:right w:val="nil"/>
            </w:tcBorders>
            <w:shd w:val="clear" w:color="auto" w:fill="auto"/>
            <w:vAlign w:val="center"/>
            <w:hideMark/>
          </w:tcPr>
          <w:p w14:paraId="1A3D86B5" w14:textId="77777777" w:rsidR="00396CB4" w:rsidRPr="00396CB4" w:rsidRDefault="00396CB4" w:rsidP="00396CB4">
            <w:pPr>
              <w:spacing w:after="0" w:line="240" w:lineRule="auto"/>
              <w:rPr>
                <w:rFonts w:eastAsia="Times New Roman" w:cs="Calibri"/>
                <w:color w:val="000000"/>
                <w:sz w:val="18"/>
                <w:lang w:eastAsia="es-CR"/>
              </w:rPr>
            </w:pPr>
            <w:r w:rsidRPr="00396CB4">
              <w:rPr>
                <w:rFonts w:eastAsia="Times New Roman" w:cs="Calibri"/>
                <w:color w:val="000000"/>
                <w:sz w:val="18"/>
                <w:lang w:eastAsia="es-CR"/>
              </w:rPr>
              <w:t>Presentación Estados Financieros</w:t>
            </w:r>
          </w:p>
        </w:tc>
        <w:tc>
          <w:tcPr>
            <w:tcW w:w="1157" w:type="dxa"/>
            <w:tcBorders>
              <w:top w:val="single" w:sz="8" w:space="0" w:color="auto"/>
              <w:left w:val="single" w:sz="8" w:space="0" w:color="auto"/>
              <w:bottom w:val="single" w:sz="8" w:space="0" w:color="auto"/>
              <w:right w:val="single" w:sz="8" w:space="0" w:color="auto"/>
            </w:tcBorders>
            <w:shd w:val="clear" w:color="000000" w:fill="203764"/>
            <w:noWrap/>
            <w:vAlign w:val="center"/>
            <w:hideMark/>
          </w:tcPr>
          <w:p w14:paraId="45659E14" w14:textId="77777777" w:rsidR="00396CB4" w:rsidRPr="00396CB4" w:rsidRDefault="00396CB4" w:rsidP="00396CB4">
            <w:pPr>
              <w:spacing w:after="0" w:line="240" w:lineRule="auto"/>
              <w:jc w:val="center"/>
              <w:rPr>
                <w:rFonts w:eastAsia="Times New Roman" w:cs="Calibri"/>
                <w:color w:val="FFFFFF"/>
                <w:sz w:val="18"/>
                <w:szCs w:val="24"/>
                <w:lang w:eastAsia="es-CR"/>
              </w:rPr>
            </w:pPr>
            <w:r w:rsidRPr="00396CB4">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666E3450"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31/12/2024</w:t>
            </w:r>
          </w:p>
        </w:tc>
        <w:tc>
          <w:tcPr>
            <w:tcW w:w="10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CD9D31B"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Si</w:t>
            </w:r>
          </w:p>
        </w:tc>
        <w:tc>
          <w:tcPr>
            <w:tcW w:w="1067" w:type="dxa"/>
            <w:tcBorders>
              <w:top w:val="single" w:sz="8" w:space="0" w:color="auto"/>
              <w:left w:val="nil"/>
              <w:bottom w:val="single" w:sz="8" w:space="0" w:color="auto"/>
              <w:right w:val="single" w:sz="8" w:space="0" w:color="auto"/>
            </w:tcBorders>
            <w:shd w:val="clear" w:color="auto" w:fill="auto"/>
            <w:noWrap/>
            <w:vAlign w:val="bottom"/>
            <w:hideMark/>
          </w:tcPr>
          <w:p w14:paraId="3B8477D1"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98,70%</w:t>
            </w:r>
          </w:p>
        </w:tc>
        <w:tc>
          <w:tcPr>
            <w:tcW w:w="1157" w:type="dxa"/>
            <w:tcBorders>
              <w:top w:val="single" w:sz="8" w:space="0" w:color="auto"/>
              <w:left w:val="nil"/>
              <w:bottom w:val="single" w:sz="8" w:space="0" w:color="auto"/>
              <w:right w:val="single" w:sz="8" w:space="0" w:color="auto"/>
            </w:tcBorders>
            <w:shd w:val="clear" w:color="auto" w:fill="auto"/>
            <w:noWrap/>
            <w:vAlign w:val="bottom"/>
            <w:hideMark/>
          </w:tcPr>
          <w:p w14:paraId="63F571ED"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Si</w:t>
            </w:r>
          </w:p>
        </w:tc>
      </w:tr>
      <w:tr w:rsidR="00396CB4" w:rsidRPr="00396CB4" w14:paraId="359C356B" w14:textId="77777777" w:rsidTr="00396CB4">
        <w:trPr>
          <w:divId w:val="2105030683"/>
          <w:trHeight w:val="324"/>
        </w:trPr>
        <w:tc>
          <w:tcPr>
            <w:tcW w:w="851" w:type="dxa"/>
            <w:tcBorders>
              <w:top w:val="nil"/>
              <w:left w:val="single" w:sz="8" w:space="0" w:color="auto"/>
              <w:bottom w:val="single" w:sz="8" w:space="0" w:color="auto"/>
              <w:right w:val="nil"/>
            </w:tcBorders>
            <w:shd w:val="clear" w:color="auto" w:fill="auto"/>
            <w:vAlign w:val="center"/>
            <w:hideMark/>
          </w:tcPr>
          <w:p w14:paraId="2D98927A" w14:textId="77777777" w:rsidR="00396CB4" w:rsidRPr="00396CB4" w:rsidRDefault="00396CB4" w:rsidP="00396CB4">
            <w:pPr>
              <w:spacing w:after="0" w:line="240" w:lineRule="auto"/>
              <w:rPr>
                <w:rFonts w:eastAsia="Times New Roman" w:cs="Calibri"/>
                <w:b/>
                <w:bCs/>
                <w:i/>
                <w:iCs/>
                <w:color w:val="000000"/>
                <w:sz w:val="18"/>
                <w:szCs w:val="18"/>
                <w:lang w:eastAsia="es-CR"/>
              </w:rPr>
            </w:pPr>
            <w:r w:rsidRPr="00396CB4">
              <w:rPr>
                <w:rFonts w:eastAsia="Times New Roman" w:cs="Calibri"/>
                <w:b/>
                <w:bCs/>
                <w:i/>
                <w:iCs/>
                <w:color w:val="000000"/>
                <w:sz w:val="18"/>
                <w:szCs w:val="18"/>
                <w:lang w:eastAsia="es-CR"/>
              </w:rPr>
              <w:t>NICSP 2</w:t>
            </w:r>
          </w:p>
        </w:tc>
        <w:tc>
          <w:tcPr>
            <w:tcW w:w="3685" w:type="dxa"/>
            <w:tcBorders>
              <w:top w:val="nil"/>
              <w:left w:val="single" w:sz="8" w:space="0" w:color="auto"/>
              <w:bottom w:val="single" w:sz="8" w:space="0" w:color="auto"/>
              <w:right w:val="nil"/>
            </w:tcBorders>
            <w:shd w:val="clear" w:color="auto" w:fill="auto"/>
            <w:vAlign w:val="center"/>
            <w:hideMark/>
          </w:tcPr>
          <w:p w14:paraId="51380BA4" w14:textId="77777777" w:rsidR="00396CB4" w:rsidRPr="00396CB4" w:rsidRDefault="00396CB4" w:rsidP="00396CB4">
            <w:pPr>
              <w:spacing w:after="0" w:line="240" w:lineRule="auto"/>
              <w:rPr>
                <w:rFonts w:eastAsia="Times New Roman" w:cs="Calibri"/>
                <w:color w:val="000000"/>
                <w:sz w:val="18"/>
                <w:lang w:eastAsia="es-CR"/>
              </w:rPr>
            </w:pPr>
            <w:r w:rsidRPr="00396CB4">
              <w:rPr>
                <w:rFonts w:eastAsia="Times New Roman" w:cs="Calibri"/>
                <w:color w:val="000000"/>
                <w:sz w:val="18"/>
                <w:lang w:eastAsia="es-CR"/>
              </w:rPr>
              <w:t>Estado Flujo de Efectivo</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6E236AB1" w14:textId="77777777" w:rsidR="00396CB4" w:rsidRPr="00396CB4" w:rsidRDefault="00396CB4" w:rsidP="00396CB4">
            <w:pPr>
              <w:spacing w:after="0" w:line="240" w:lineRule="auto"/>
              <w:jc w:val="center"/>
              <w:rPr>
                <w:rFonts w:eastAsia="Times New Roman" w:cs="Calibri"/>
                <w:color w:val="FFFFFF"/>
                <w:sz w:val="18"/>
                <w:szCs w:val="24"/>
                <w:lang w:eastAsia="es-CR"/>
              </w:rPr>
            </w:pPr>
            <w:r w:rsidRPr="00396CB4">
              <w:rPr>
                <w:rFonts w:eastAsia="Times New Roman" w:cs="Calibri"/>
                <w:color w:val="FFFFFF"/>
                <w:sz w:val="18"/>
                <w:szCs w:val="24"/>
                <w:lang w:eastAsia="es-CR"/>
              </w:rPr>
              <w:t>NO</w:t>
            </w:r>
          </w:p>
        </w:tc>
        <w:tc>
          <w:tcPr>
            <w:tcW w:w="970" w:type="dxa"/>
            <w:tcBorders>
              <w:top w:val="nil"/>
              <w:left w:val="nil"/>
              <w:bottom w:val="single" w:sz="8" w:space="0" w:color="auto"/>
              <w:right w:val="nil"/>
            </w:tcBorders>
            <w:shd w:val="clear" w:color="auto" w:fill="auto"/>
            <w:vAlign w:val="center"/>
            <w:hideMark/>
          </w:tcPr>
          <w:p w14:paraId="5FC0F984"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31-12-2022</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0931287B"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Si</w:t>
            </w:r>
          </w:p>
        </w:tc>
        <w:tc>
          <w:tcPr>
            <w:tcW w:w="1067" w:type="dxa"/>
            <w:tcBorders>
              <w:top w:val="nil"/>
              <w:left w:val="nil"/>
              <w:bottom w:val="single" w:sz="8" w:space="0" w:color="auto"/>
              <w:right w:val="single" w:sz="8" w:space="0" w:color="auto"/>
            </w:tcBorders>
            <w:shd w:val="clear" w:color="auto" w:fill="auto"/>
            <w:noWrap/>
            <w:vAlign w:val="bottom"/>
            <w:hideMark/>
          </w:tcPr>
          <w:p w14:paraId="3DEA9CE6"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100,00%</w:t>
            </w:r>
          </w:p>
        </w:tc>
        <w:tc>
          <w:tcPr>
            <w:tcW w:w="1157" w:type="dxa"/>
            <w:tcBorders>
              <w:top w:val="nil"/>
              <w:left w:val="nil"/>
              <w:bottom w:val="single" w:sz="8" w:space="0" w:color="auto"/>
              <w:right w:val="single" w:sz="8" w:space="0" w:color="auto"/>
            </w:tcBorders>
            <w:shd w:val="clear" w:color="auto" w:fill="auto"/>
            <w:noWrap/>
            <w:vAlign w:val="bottom"/>
            <w:hideMark/>
          </w:tcPr>
          <w:p w14:paraId="6C91EF74"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0</w:t>
            </w:r>
          </w:p>
        </w:tc>
      </w:tr>
      <w:tr w:rsidR="00396CB4" w:rsidRPr="00396CB4" w14:paraId="3E3F7691" w14:textId="77777777" w:rsidTr="00396CB4">
        <w:trPr>
          <w:divId w:val="2105030683"/>
          <w:trHeight w:val="324"/>
        </w:trPr>
        <w:tc>
          <w:tcPr>
            <w:tcW w:w="851" w:type="dxa"/>
            <w:tcBorders>
              <w:top w:val="nil"/>
              <w:left w:val="single" w:sz="8" w:space="0" w:color="auto"/>
              <w:bottom w:val="single" w:sz="8" w:space="0" w:color="auto"/>
              <w:right w:val="nil"/>
            </w:tcBorders>
            <w:shd w:val="clear" w:color="auto" w:fill="auto"/>
            <w:vAlign w:val="center"/>
            <w:hideMark/>
          </w:tcPr>
          <w:p w14:paraId="44BA2283" w14:textId="77777777" w:rsidR="00396CB4" w:rsidRPr="00396CB4" w:rsidRDefault="00396CB4" w:rsidP="00396CB4">
            <w:pPr>
              <w:spacing w:after="0" w:line="240" w:lineRule="auto"/>
              <w:rPr>
                <w:rFonts w:eastAsia="Times New Roman" w:cs="Calibri"/>
                <w:b/>
                <w:bCs/>
                <w:i/>
                <w:iCs/>
                <w:color w:val="000000"/>
                <w:sz w:val="18"/>
                <w:szCs w:val="18"/>
                <w:lang w:eastAsia="es-CR"/>
              </w:rPr>
            </w:pPr>
            <w:r w:rsidRPr="00396CB4">
              <w:rPr>
                <w:rFonts w:eastAsia="Times New Roman" w:cs="Calibri"/>
                <w:b/>
                <w:bCs/>
                <w:i/>
                <w:iCs/>
                <w:color w:val="000000"/>
                <w:sz w:val="18"/>
                <w:szCs w:val="18"/>
                <w:lang w:eastAsia="es-CR"/>
              </w:rPr>
              <w:lastRenderedPageBreak/>
              <w:t>NICSP 3</w:t>
            </w:r>
          </w:p>
        </w:tc>
        <w:tc>
          <w:tcPr>
            <w:tcW w:w="3685" w:type="dxa"/>
            <w:tcBorders>
              <w:top w:val="nil"/>
              <w:left w:val="single" w:sz="8" w:space="0" w:color="auto"/>
              <w:bottom w:val="single" w:sz="8" w:space="0" w:color="auto"/>
              <w:right w:val="nil"/>
            </w:tcBorders>
            <w:shd w:val="clear" w:color="auto" w:fill="auto"/>
            <w:vAlign w:val="center"/>
            <w:hideMark/>
          </w:tcPr>
          <w:p w14:paraId="33CAD0DC" w14:textId="77777777" w:rsidR="00396CB4" w:rsidRPr="00396CB4" w:rsidRDefault="00396CB4" w:rsidP="00396CB4">
            <w:pPr>
              <w:spacing w:after="0" w:line="240" w:lineRule="auto"/>
              <w:rPr>
                <w:rFonts w:eastAsia="Times New Roman" w:cs="Calibri"/>
                <w:color w:val="000000"/>
                <w:sz w:val="18"/>
                <w:lang w:eastAsia="es-CR"/>
              </w:rPr>
            </w:pPr>
            <w:r w:rsidRPr="00396CB4">
              <w:rPr>
                <w:rFonts w:eastAsia="Times New Roman" w:cs="Calibri"/>
                <w:color w:val="000000"/>
                <w:sz w:val="18"/>
                <w:lang w:eastAsia="es-CR"/>
              </w:rPr>
              <w:t>Políticas Contables, Cambios en las estimaciones contables y Errores</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06BB5687" w14:textId="77777777" w:rsidR="00396CB4" w:rsidRPr="00396CB4" w:rsidRDefault="00396CB4" w:rsidP="00396CB4">
            <w:pPr>
              <w:spacing w:after="0" w:line="240" w:lineRule="auto"/>
              <w:jc w:val="center"/>
              <w:rPr>
                <w:rFonts w:eastAsia="Times New Roman" w:cs="Calibri"/>
                <w:color w:val="FFFFFF"/>
                <w:sz w:val="18"/>
                <w:szCs w:val="24"/>
                <w:lang w:eastAsia="es-CR"/>
              </w:rPr>
            </w:pPr>
            <w:r w:rsidRPr="00396CB4">
              <w:rPr>
                <w:rFonts w:eastAsia="Times New Roman" w:cs="Calibri"/>
                <w:color w:val="FFFFFF"/>
                <w:sz w:val="18"/>
                <w:szCs w:val="24"/>
                <w:lang w:eastAsia="es-CR"/>
              </w:rPr>
              <w:t>NO</w:t>
            </w:r>
          </w:p>
        </w:tc>
        <w:tc>
          <w:tcPr>
            <w:tcW w:w="970" w:type="dxa"/>
            <w:tcBorders>
              <w:top w:val="nil"/>
              <w:left w:val="nil"/>
              <w:bottom w:val="single" w:sz="8" w:space="0" w:color="auto"/>
              <w:right w:val="nil"/>
            </w:tcBorders>
            <w:shd w:val="clear" w:color="auto" w:fill="auto"/>
            <w:vAlign w:val="center"/>
            <w:hideMark/>
          </w:tcPr>
          <w:p w14:paraId="5BF31AE9"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31-12-2022</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185C3A62"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Si</w:t>
            </w:r>
          </w:p>
        </w:tc>
        <w:tc>
          <w:tcPr>
            <w:tcW w:w="1067" w:type="dxa"/>
            <w:tcBorders>
              <w:top w:val="nil"/>
              <w:left w:val="nil"/>
              <w:bottom w:val="single" w:sz="8" w:space="0" w:color="auto"/>
              <w:right w:val="single" w:sz="8" w:space="0" w:color="auto"/>
            </w:tcBorders>
            <w:shd w:val="clear" w:color="auto" w:fill="auto"/>
            <w:noWrap/>
            <w:vAlign w:val="bottom"/>
            <w:hideMark/>
          </w:tcPr>
          <w:p w14:paraId="25387DFF"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90,00%</w:t>
            </w:r>
          </w:p>
        </w:tc>
        <w:tc>
          <w:tcPr>
            <w:tcW w:w="1157" w:type="dxa"/>
            <w:tcBorders>
              <w:top w:val="nil"/>
              <w:left w:val="nil"/>
              <w:bottom w:val="single" w:sz="8" w:space="0" w:color="auto"/>
              <w:right w:val="single" w:sz="8" w:space="0" w:color="auto"/>
            </w:tcBorders>
            <w:shd w:val="clear" w:color="auto" w:fill="auto"/>
            <w:noWrap/>
            <w:vAlign w:val="bottom"/>
            <w:hideMark/>
          </w:tcPr>
          <w:p w14:paraId="0346628D"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No</w:t>
            </w:r>
          </w:p>
        </w:tc>
      </w:tr>
      <w:tr w:rsidR="00396CB4" w:rsidRPr="00396CB4" w14:paraId="5A8E1B30" w14:textId="77777777" w:rsidTr="00396CB4">
        <w:trPr>
          <w:divId w:val="2105030683"/>
          <w:trHeight w:val="324"/>
        </w:trPr>
        <w:tc>
          <w:tcPr>
            <w:tcW w:w="851" w:type="dxa"/>
            <w:tcBorders>
              <w:top w:val="nil"/>
              <w:left w:val="single" w:sz="8" w:space="0" w:color="auto"/>
              <w:bottom w:val="single" w:sz="8" w:space="0" w:color="auto"/>
              <w:right w:val="nil"/>
            </w:tcBorders>
            <w:shd w:val="clear" w:color="auto" w:fill="auto"/>
            <w:vAlign w:val="center"/>
            <w:hideMark/>
          </w:tcPr>
          <w:p w14:paraId="23B46D20" w14:textId="77777777" w:rsidR="00396CB4" w:rsidRPr="00396CB4" w:rsidRDefault="00396CB4" w:rsidP="00396CB4">
            <w:pPr>
              <w:spacing w:after="0" w:line="240" w:lineRule="auto"/>
              <w:rPr>
                <w:rFonts w:eastAsia="Times New Roman" w:cs="Calibri"/>
                <w:b/>
                <w:bCs/>
                <w:i/>
                <w:iCs/>
                <w:color w:val="000000"/>
                <w:sz w:val="18"/>
                <w:szCs w:val="18"/>
                <w:lang w:eastAsia="es-CR"/>
              </w:rPr>
            </w:pPr>
            <w:r w:rsidRPr="00396CB4">
              <w:rPr>
                <w:rFonts w:eastAsia="Times New Roman" w:cs="Calibri"/>
                <w:b/>
                <w:bCs/>
                <w:i/>
                <w:iCs/>
                <w:color w:val="000000"/>
                <w:sz w:val="18"/>
                <w:szCs w:val="18"/>
                <w:lang w:eastAsia="es-CR"/>
              </w:rPr>
              <w:t>NICSP 4</w:t>
            </w:r>
          </w:p>
        </w:tc>
        <w:tc>
          <w:tcPr>
            <w:tcW w:w="3685" w:type="dxa"/>
            <w:tcBorders>
              <w:top w:val="nil"/>
              <w:left w:val="single" w:sz="8" w:space="0" w:color="auto"/>
              <w:bottom w:val="single" w:sz="8" w:space="0" w:color="auto"/>
              <w:right w:val="nil"/>
            </w:tcBorders>
            <w:shd w:val="clear" w:color="auto" w:fill="auto"/>
            <w:vAlign w:val="center"/>
            <w:hideMark/>
          </w:tcPr>
          <w:p w14:paraId="5BCB23F0" w14:textId="77777777" w:rsidR="00396CB4" w:rsidRPr="00396CB4" w:rsidRDefault="00396CB4" w:rsidP="00396CB4">
            <w:pPr>
              <w:spacing w:after="0" w:line="240" w:lineRule="auto"/>
              <w:rPr>
                <w:rFonts w:eastAsia="Times New Roman" w:cs="Calibri"/>
                <w:color w:val="000000"/>
                <w:sz w:val="18"/>
                <w:lang w:eastAsia="es-CR"/>
              </w:rPr>
            </w:pPr>
            <w:r w:rsidRPr="00396CB4">
              <w:rPr>
                <w:rFonts w:eastAsia="Times New Roman" w:cs="Calibri"/>
                <w:color w:val="000000"/>
                <w:sz w:val="18"/>
                <w:lang w:eastAsia="es-CR"/>
              </w:rPr>
              <w:t>Efectos de las variaciones en las tasas de cambio de la moneda</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1B2E9AB0" w14:textId="77777777" w:rsidR="00396CB4" w:rsidRPr="00396CB4" w:rsidRDefault="00396CB4" w:rsidP="00396CB4">
            <w:pPr>
              <w:spacing w:after="0" w:line="240" w:lineRule="auto"/>
              <w:jc w:val="center"/>
              <w:rPr>
                <w:rFonts w:eastAsia="Times New Roman" w:cs="Calibri"/>
                <w:color w:val="FFFFFF"/>
                <w:sz w:val="18"/>
                <w:szCs w:val="24"/>
                <w:lang w:eastAsia="es-CR"/>
              </w:rPr>
            </w:pPr>
            <w:r w:rsidRPr="00396CB4">
              <w:rPr>
                <w:rFonts w:eastAsia="Times New Roman" w:cs="Calibri"/>
                <w:color w:val="FFFFFF"/>
                <w:sz w:val="18"/>
                <w:szCs w:val="24"/>
                <w:lang w:eastAsia="es-CR"/>
              </w:rPr>
              <w:t>NO</w:t>
            </w:r>
          </w:p>
        </w:tc>
        <w:tc>
          <w:tcPr>
            <w:tcW w:w="970" w:type="dxa"/>
            <w:tcBorders>
              <w:top w:val="nil"/>
              <w:left w:val="nil"/>
              <w:bottom w:val="single" w:sz="8" w:space="0" w:color="auto"/>
              <w:right w:val="nil"/>
            </w:tcBorders>
            <w:shd w:val="clear" w:color="auto" w:fill="auto"/>
            <w:vAlign w:val="center"/>
            <w:hideMark/>
          </w:tcPr>
          <w:p w14:paraId="65F10603"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31-12-2022</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6A808425"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Si</w:t>
            </w:r>
          </w:p>
        </w:tc>
        <w:tc>
          <w:tcPr>
            <w:tcW w:w="1067" w:type="dxa"/>
            <w:tcBorders>
              <w:top w:val="nil"/>
              <w:left w:val="nil"/>
              <w:bottom w:val="single" w:sz="8" w:space="0" w:color="auto"/>
              <w:right w:val="single" w:sz="8" w:space="0" w:color="auto"/>
            </w:tcBorders>
            <w:shd w:val="clear" w:color="auto" w:fill="auto"/>
            <w:noWrap/>
            <w:vAlign w:val="bottom"/>
            <w:hideMark/>
          </w:tcPr>
          <w:p w14:paraId="5F5A5E39"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47,14%</w:t>
            </w:r>
          </w:p>
        </w:tc>
        <w:tc>
          <w:tcPr>
            <w:tcW w:w="1157" w:type="dxa"/>
            <w:tcBorders>
              <w:top w:val="nil"/>
              <w:left w:val="nil"/>
              <w:bottom w:val="single" w:sz="8" w:space="0" w:color="auto"/>
              <w:right w:val="single" w:sz="8" w:space="0" w:color="auto"/>
            </w:tcBorders>
            <w:shd w:val="clear" w:color="auto" w:fill="auto"/>
            <w:noWrap/>
            <w:vAlign w:val="bottom"/>
            <w:hideMark/>
          </w:tcPr>
          <w:p w14:paraId="28DDA84B"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0</w:t>
            </w:r>
          </w:p>
        </w:tc>
      </w:tr>
      <w:tr w:rsidR="00396CB4" w:rsidRPr="00396CB4" w14:paraId="516E33C6" w14:textId="77777777" w:rsidTr="00396CB4">
        <w:trPr>
          <w:divId w:val="2105030683"/>
          <w:trHeight w:val="324"/>
        </w:trPr>
        <w:tc>
          <w:tcPr>
            <w:tcW w:w="851" w:type="dxa"/>
            <w:tcBorders>
              <w:top w:val="nil"/>
              <w:left w:val="single" w:sz="8" w:space="0" w:color="auto"/>
              <w:bottom w:val="single" w:sz="8" w:space="0" w:color="auto"/>
              <w:right w:val="nil"/>
            </w:tcBorders>
            <w:shd w:val="clear" w:color="auto" w:fill="auto"/>
            <w:vAlign w:val="center"/>
            <w:hideMark/>
          </w:tcPr>
          <w:p w14:paraId="18B5E764" w14:textId="77777777" w:rsidR="00396CB4" w:rsidRPr="00396CB4" w:rsidRDefault="00396CB4" w:rsidP="00396CB4">
            <w:pPr>
              <w:spacing w:after="0" w:line="240" w:lineRule="auto"/>
              <w:rPr>
                <w:rFonts w:eastAsia="Times New Roman" w:cs="Calibri"/>
                <w:b/>
                <w:bCs/>
                <w:i/>
                <w:iCs/>
                <w:color w:val="000000"/>
                <w:sz w:val="18"/>
                <w:szCs w:val="18"/>
                <w:lang w:eastAsia="es-CR"/>
              </w:rPr>
            </w:pPr>
            <w:r w:rsidRPr="00396CB4">
              <w:rPr>
                <w:rFonts w:eastAsia="Times New Roman" w:cs="Calibri"/>
                <w:b/>
                <w:bCs/>
                <w:i/>
                <w:iCs/>
                <w:color w:val="000000"/>
                <w:sz w:val="18"/>
                <w:szCs w:val="18"/>
                <w:lang w:eastAsia="es-CR"/>
              </w:rPr>
              <w:t>NICSP 5</w:t>
            </w:r>
          </w:p>
        </w:tc>
        <w:tc>
          <w:tcPr>
            <w:tcW w:w="3685" w:type="dxa"/>
            <w:tcBorders>
              <w:top w:val="nil"/>
              <w:left w:val="single" w:sz="8" w:space="0" w:color="auto"/>
              <w:bottom w:val="single" w:sz="8" w:space="0" w:color="auto"/>
              <w:right w:val="nil"/>
            </w:tcBorders>
            <w:shd w:val="clear" w:color="auto" w:fill="auto"/>
            <w:vAlign w:val="center"/>
            <w:hideMark/>
          </w:tcPr>
          <w:p w14:paraId="157AB0D6" w14:textId="77777777" w:rsidR="00396CB4" w:rsidRPr="00396CB4" w:rsidRDefault="00396CB4" w:rsidP="00396CB4">
            <w:pPr>
              <w:spacing w:after="0" w:line="240" w:lineRule="auto"/>
              <w:rPr>
                <w:rFonts w:eastAsia="Times New Roman" w:cs="Calibri"/>
                <w:color w:val="000000"/>
                <w:sz w:val="18"/>
                <w:lang w:eastAsia="es-CR"/>
              </w:rPr>
            </w:pPr>
            <w:r w:rsidRPr="00396CB4">
              <w:rPr>
                <w:rFonts w:eastAsia="Times New Roman" w:cs="Calibri"/>
                <w:color w:val="000000"/>
                <w:sz w:val="18"/>
                <w:lang w:eastAsia="es-CR"/>
              </w:rPr>
              <w:t>Costo por Préstamos</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1EDEBC7D" w14:textId="77777777" w:rsidR="00396CB4" w:rsidRPr="00396CB4" w:rsidRDefault="00396CB4" w:rsidP="00396CB4">
            <w:pPr>
              <w:spacing w:after="0" w:line="240" w:lineRule="auto"/>
              <w:jc w:val="center"/>
              <w:rPr>
                <w:rFonts w:eastAsia="Times New Roman" w:cs="Calibri"/>
                <w:color w:val="FFFFFF"/>
                <w:sz w:val="18"/>
                <w:szCs w:val="24"/>
                <w:lang w:eastAsia="es-CR"/>
              </w:rPr>
            </w:pPr>
            <w:r w:rsidRPr="00396CB4">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61F1CA78"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13F14D3D"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Si</w:t>
            </w:r>
          </w:p>
        </w:tc>
        <w:tc>
          <w:tcPr>
            <w:tcW w:w="1067" w:type="dxa"/>
            <w:tcBorders>
              <w:top w:val="nil"/>
              <w:left w:val="nil"/>
              <w:bottom w:val="single" w:sz="8" w:space="0" w:color="auto"/>
              <w:right w:val="single" w:sz="8" w:space="0" w:color="auto"/>
            </w:tcBorders>
            <w:shd w:val="clear" w:color="auto" w:fill="auto"/>
            <w:noWrap/>
            <w:vAlign w:val="bottom"/>
            <w:hideMark/>
          </w:tcPr>
          <w:p w14:paraId="2B2CE95D"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100,00%</w:t>
            </w:r>
          </w:p>
        </w:tc>
        <w:tc>
          <w:tcPr>
            <w:tcW w:w="1157" w:type="dxa"/>
            <w:tcBorders>
              <w:top w:val="nil"/>
              <w:left w:val="nil"/>
              <w:bottom w:val="single" w:sz="8" w:space="0" w:color="auto"/>
              <w:right w:val="single" w:sz="8" w:space="0" w:color="auto"/>
            </w:tcBorders>
            <w:shd w:val="clear" w:color="auto" w:fill="auto"/>
            <w:noWrap/>
            <w:vAlign w:val="bottom"/>
            <w:hideMark/>
          </w:tcPr>
          <w:p w14:paraId="75016435"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0</w:t>
            </w:r>
          </w:p>
        </w:tc>
      </w:tr>
      <w:tr w:rsidR="00396CB4" w:rsidRPr="00396CB4" w14:paraId="4172DB56" w14:textId="77777777" w:rsidTr="00396CB4">
        <w:trPr>
          <w:divId w:val="2105030683"/>
          <w:trHeight w:val="288"/>
        </w:trPr>
        <w:tc>
          <w:tcPr>
            <w:tcW w:w="851" w:type="dxa"/>
            <w:tcBorders>
              <w:top w:val="nil"/>
              <w:left w:val="single" w:sz="8" w:space="0" w:color="auto"/>
              <w:bottom w:val="single" w:sz="8" w:space="0" w:color="auto"/>
              <w:right w:val="nil"/>
            </w:tcBorders>
            <w:shd w:val="clear" w:color="000000" w:fill="FFC000"/>
            <w:vAlign w:val="center"/>
            <w:hideMark/>
          </w:tcPr>
          <w:p w14:paraId="0BC509C6" w14:textId="77777777" w:rsidR="00396CB4" w:rsidRPr="00396CB4" w:rsidRDefault="00396CB4" w:rsidP="00396CB4">
            <w:pPr>
              <w:spacing w:after="0" w:line="240" w:lineRule="auto"/>
              <w:rPr>
                <w:rFonts w:eastAsia="Times New Roman" w:cs="Calibri"/>
                <w:b/>
                <w:bCs/>
                <w:i/>
                <w:iCs/>
                <w:color w:val="000000"/>
                <w:sz w:val="18"/>
                <w:szCs w:val="18"/>
                <w:lang w:eastAsia="es-CR"/>
              </w:rPr>
            </w:pPr>
            <w:r w:rsidRPr="00396CB4">
              <w:rPr>
                <w:rFonts w:eastAsia="Times New Roman" w:cs="Calibri"/>
                <w:b/>
                <w:bCs/>
                <w:i/>
                <w:iCs/>
                <w:color w:val="000000"/>
                <w:sz w:val="18"/>
                <w:szCs w:val="18"/>
                <w:lang w:eastAsia="es-CR"/>
              </w:rPr>
              <w:t>NICSP 6</w:t>
            </w:r>
          </w:p>
        </w:tc>
        <w:tc>
          <w:tcPr>
            <w:tcW w:w="3685" w:type="dxa"/>
            <w:tcBorders>
              <w:top w:val="nil"/>
              <w:left w:val="single" w:sz="8" w:space="0" w:color="auto"/>
              <w:bottom w:val="single" w:sz="8" w:space="0" w:color="auto"/>
              <w:right w:val="nil"/>
            </w:tcBorders>
            <w:shd w:val="clear" w:color="000000" w:fill="FFC000"/>
            <w:vAlign w:val="center"/>
            <w:hideMark/>
          </w:tcPr>
          <w:p w14:paraId="2114B86A" w14:textId="77777777" w:rsidR="00396CB4" w:rsidRPr="00396CB4" w:rsidRDefault="00396CB4" w:rsidP="00396CB4">
            <w:pPr>
              <w:spacing w:after="0" w:line="240" w:lineRule="auto"/>
              <w:rPr>
                <w:rFonts w:eastAsia="Times New Roman" w:cs="Calibri"/>
                <w:color w:val="000000"/>
                <w:sz w:val="18"/>
                <w:lang w:eastAsia="es-CR"/>
              </w:rPr>
            </w:pPr>
            <w:r w:rsidRPr="00396CB4">
              <w:rPr>
                <w:rFonts w:eastAsia="Times New Roman" w:cs="Calibri"/>
                <w:color w:val="000000"/>
                <w:sz w:val="18"/>
                <w:lang w:eastAsia="es-CR"/>
              </w:rPr>
              <w:t>Estados Financieros Consolidados y separados.</w:t>
            </w:r>
          </w:p>
        </w:tc>
        <w:tc>
          <w:tcPr>
            <w:tcW w:w="5410" w:type="dxa"/>
            <w:gridSpan w:val="5"/>
            <w:tcBorders>
              <w:top w:val="single" w:sz="8" w:space="0" w:color="auto"/>
              <w:left w:val="single" w:sz="8" w:space="0" w:color="auto"/>
              <w:bottom w:val="single" w:sz="8" w:space="0" w:color="auto"/>
              <w:right w:val="single" w:sz="8" w:space="0" w:color="000000"/>
            </w:tcBorders>
            <w:shd w:val="clear" w:color="000000" w:fill="FFC000"/>
            <w:noWrap/>
            <w:vAlign w:val="center"/>
            <w:hideMark/>
          </w:tcPr>
          <w:p w14:paraId="32F378ED"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Derogada en la versión 2018</w:t>
            </w:r>
          </w:p>
        </w:tc>
      </w:tr>
      <w:tr w:rsidR="00396CB4" w:rsidRPr="00396CB4" w14:paraId="551DBF62" w14:textId="77777777" w:rsidTr="00396CB4">
        <w:trPr>
          <w:divId w:val="2105030683"/>
          <w:trHeight w:val="288"/>
        </w:trPr>
        <w:tc>
          <w:tcPr>
            <w:tcW w:w="851" w:type="dxa"/>
            <w:tcBorders>
              <w:top w:val="nil"/>
              <w:left w:val="single" w:sz="8" w:space="0" w:color="auto"/>
              <w:bottom w:val="single" w:sz="8" w:space="0" w:color="auto"/>
              <w:right w:val="nil"/>
            </w:tcBorders>
            <w:shd w:val="clear" w:color="000000" w:fill="FFC000"/>
            <w:vAlign w:val="center"/>
            <w:hideMark/>
          </w:tcPr>
          <w:p w14:paraId="6E5557C4" w14:textId="77777777" w:rsidR="00396CB4" w:rsidRPr="00396CB4" w:rsidRDefault="00396CB4" w:rsidP="00396CB4">
            <w:pPr>
              <w:spacing w:after="0" w:line="240" w:lineRule="auto"/>
              <w:rPr>
                <w:rFonts w:eastAsia="Times New Roman" w:cs="Calibri"/>
                <w:b/>
                <w:bCs/>
                <w:i/>
                <w:iCs/>
                <w:color w:val="000000"/>
                <w:sz w:val="18"/>
                <w:szCs w:val="18"/>
                <w:lang w:eastAsia="es-CR"/>
              </w:rPr>
            </w:pPr>
            <w:r w:rsidRPr="00396CB4">
              <w:rPr>
                <w:rFonts w:eastAsia="Times New Roman" w:cs="Calibri"/>
                <w:b/>
                <w:bCs/>
                <w:i/>
                <w:iCs/>
                <w:color w:val="000000"/>
                <w:sz w:val="18"/>
                <w:szCs w:val="18"/>
                <w:lang w:eastAsia="es-CR"/>
              </w:rPr>
              <w:t>NICSP 7</w:t>
            </w:r>
          </w:p>
        </w:tc>
        <w:tc>
          <w:tcPr>
            <w:tcW w:w="3685" w:type="dxa"/>
            <w:tcBorders>
              <w:top w:val="nil"/>
              <w:left w:val="single" w:sz="8" w:space="0" w:color="auto"/>
              <w:bottom w:val="single" w:sz="8" w:space="0" w:color="auto"/>
              <w:right w:val="nil"/>
            </w:tcBorders>
            <w:shd w:val="clear" w:color="000000" w:fill="FFC000"/>
            <w:vAlign w:val="center"/>
            <w:hideMark/>
          </w:tcPr>
          <w:p w14:paraId="5B14FF20" w14:textId="77777777" w:rsidR="00396CB4" w:rsidRPr="00396CB4" w:rsidRDefault="00396CB4" w:rsidP="00396CB4">
            <w:pPr>
              <w:spacing w:after="0" w:line="240" w:lineRule="auto"/>
              <w:rPr>
                <w:rFonts w:eastAsia="Times New Roman" w:cs="Calibri"/>
                <w:color w:val="000000"/>
                <w:sz w:val="18"/>
                <w:lang w:eastAsia="es-CR"/>
              </w:rPr>
            </w:pPr>
            <w:r w:rsidRPr="00396CB4">
              <w:rPr>
                <w:rFonts w:eastAsia="Times New Roman" w:cs="Calibri"/>
                <w:color w:val="000000"/>
                <w:sz w:val="18"/>
                <w:lang w:eastAsia="es-CR"/>
              </w:rPr>
              <w:t>Inversiones en Asociadas</w:t>
            </w:r>
          </w:p>
        </w:tc>
        <w:tc>
          <w:tcPr>
            <w:tcW w:w="5410" w:type="dxa"/>
            <w:gridSpan w:val="5"/>
            <w:tcBorders>
              <w:top w:val="single" w:sz="8" w:space="0" w:color="auto"/>
              <w:left w:val="single" w:sz="8" w:space="0" w:color="auto"/>
              <w:bottom w:val="single" w:sz="8" w:space="0" w:color="auto"/>
              <w:right w:val="single" w:sz="8" w:space="0" w:color="000000"/>
            </w:tcBorders>
            <w:shd w:val="clear" w:color="000000" w:fill="FFC000"/>
            <w:noWrap/>
            <w:vAlign w:val="center"/>
            <w:hideMark/>
          </w:tcPr>
          <w:p w14:paraId="4F8C5174"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Derogada en la versión 2018</w:t>
            </w:r>
          </w:p>
        </w:tc>
      </w:tr>
      <w:tr w:rsidR="00396CB4" w:rsidRPr="00396CB4" w14:paraId="6F43CBF1" w14:textId="77777777" w:rsidTr="00396CB4">
        <w:trPr>
          <w:divId w:val="2105030683"/>
          <w:trHeight w:val="288"/>
        </w:trPr>
        <w:tc>
          <w:tcPr>
            <w:tcW w:w="851" w:type="dxa"/>
            <w:tcBorders>
              <w:top w:val="nil"/>
              <w:left w:val="single" w:sz="8" w:space="0" w:color="auto"/>
              <w:bottom w:val="single" w:sz="8" w:space="0" w:color="auto"/>
              <w:right w:val="nil"/>
            </w:tcBorders>
            <w:shd w:val="clear" w:color="000000" w:fill="FFC000"/>
            <w:vAlign w:val="center"/>
            <w:hideMark/>
          </w:tcPr>
          <w:p w14:paraId="7143F02F" w14:textId="77777777" w:rsidR="00396CB4" w:rsidRPr="00396CB4" w:rsidRDefault="00396CB4" w:rsidP="00396CB4">
            <w:pPr>
              <w:spacing w:after="0" w:line="240" w:lineRule="auto"/>
              <w:rPr>
                <w:rFonts w:eastAsia="Times New Roman" w:cs="Calibri"/>
                <w:b/>
                <w:bCs/>
                <w:i/>
                <w:iCs/>
                <w:color w:val="000000"/>
                <w:sz w:val="18"/>
                <w:szCs w:val="18"/>
                <w:lang w:eastAsia="es-CR"/>
              </w:rPr>
            </w:pPr>
            <w:r w:rsidRPr="00396CB4">
              <w:rPr>
                <w:rFonts w:eastAsia="Times New Roman" w:cs="Calibri"/>
                <w:b/>
                <w:bCs/>
                <w:i/>
                <w:iCs/>
                <w:color w:val="000000"/>
                <w:sz w:val="18"/>
                <w:szCs w:val="18"/>
                <w:lang w:eastAsia="es-CR"/>
              </w:rPr>
              <w:t>NICSP 8</w:t>
            </w:r>
          </w:p>
        </w:tc>
        <w:tc>
          <w:tcPr>
            <w:tcW w:w="3685" w:type="dxa"/>
            <w:tcBorders>
              <w:top w:val="nil"/>
              <w:left w:val="single" w:sz="8" w:space="0" w:color="auto"/>
              <w:bottom w:val="single" w:sz="8" w:space="0" w:color="auto"/>
              <w:right w:val="nil"/>
            </w:tcBorders>
            <w:shd w:val="clear" w:color="000000" w:fill="FFC000"/>
            <w:vAlign w:val="center"/>
            <w:hideMark/>
          </w:tcPr>
          <w:p w14:paraId="56623641" w14:textId="77777777" w:rsidR="00396CB4" w:rsidRPr="00396CB4" w:rsidRDefault="00396CB4" w:rsidP="00396CB4">
            <w:pPr>
              <w:spacing w:after="0" w:line="240" w:lineRule="auto"/>
              <w:rPr>
                <w:rFonts w:eastAsia="Times New Roman" w:cs="Calibri"/>
                <w:color w:val="000000"/>
                <w:sz w:val="18"/>
                <w:lang w:eastAsia="es-CR"/>
              </w:rPr>
            </w:pPr>
            <w:r w:rsidRPr="00396CB4">
              <w:rPr>
                <w:rFonts w:eastAsia="Times New Roman" w:cs="Calibri"/>
                <w:color w:val="000000"/>
                <w:sz w:val="18"/>
                <w:lang w:eastAsia="es-CR"/>
              </w:rPr>
              <w:t>Participaciones en Negocios Conjuntos</w:t>
            </w:r>
          </w:p>
        </w:tc>
        <w:tc>
          <w:tcPr>
            <w:tcW w:w="5410" w:type="dxa"/>
            <w:gridSpan w:val="5"/>
            <w:tcBorders>
              <w:top w:val="single" w:sz="8" w:space="0" w:color="auto"/>
              <w:left w:val="single" w:sz="8" w:space="0" w:color="auto"/>
              <w:bottom w:val="single" w:sz="8" w:space="0" w:color="auto"/>
              <w:right w:val="single" w:sz="8" w:space="0" w:color="000000"/>
            </w:tcBorders>
            <w:shd w:val="clear" w:color="000000" w:fill="FFC000"/>
            <w:noWrap/>
            <w:vAlign w:val="center"/>
            <w:hideMark/>
          </w:tcPr>
          <w:p w14:paraId="10C84D22"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Derogada en la versión 2018</w:t>
            </w:r>
          </w:p>
        </w:tc>
      </w:tr>
      <w:tr w:rsidR="00396CB4" w:rsidRPr="00396CB4" w14:paraId="3870ED13" w14:textId="77777777" w:rsidTr="00396CB4">
        <w:trPr>
          <w:divId w:val="2105030683"/>
          <w:trHeight w:val="324"/>
        </w:trPr>
        <w:tc>
          <w:tcPr>
            <w:tcW w:w="851" w:type="dxa"/>
            <w:tcBorders>
              <w:top w:val="nil"/>
              <w:left w:val="single" w:sz="8" w:space="0" w:color="auto"/>
              <w:bottom w:val="single" w:sz="8" w:space="0" w:color="auto"/>
              <w:right w:val="nil"/>
            </w:tcBorders>
            <w:shd w:val="clear" w:color="auto" w:fill="auto"/>
            <w:vAlign w:val="center"/>
            <w:hideMark/>
          </w:tcPr>
          <w:p w14:paraId="16F3DE68" w14:textId="77777777" w:rsidR="00396CB4" w:rsidRPr="00396CB4" w:rsidRDefault="00396CB4" w:rsidP="00396CB4">
            <w:pPr>
              <w:spacing w:after="0" w:line="240" w:lineRule="auto"/>
              <w:rPr>
                <w:rFonts w:eastAsia="Times New Roman" w:cs="Calibri"/>
                <w:b/>
                <w:bCs/>
                <w:i/>
                <w:iCs/>
                <w:color w:val="000000"/>
                <w:sz w:val="18"/>
                <w:szCs w:val="18"/>
                <w:lang w:eastAsia="es-CR"/>
              </w:rPr>
            </w:pPr>
            <w:r w:rsidRPr="00396CB4">
              <w:rPr>
                <w:rFonts w:eastAsia="Times New Roman" w:cs="Calibri"/>
                <w:b/>
                <w:bCs/>
                <w:i/>
                <w:iCs/>
                <w:color w:val="000000"/>
                <w:sz w:val="18"/>
                <w:szCs w:val="18"/>
                <w:lang w:eastAsia="es-CR"/>
              </w:rPr>
              <w:t>NICSP 9</w:t>
            </w:r>
          </w:p>
        </w:tc>
        <w:tc>
          <w:tcPr>
            <w:tcW w:w="3685" w:type="dxa"/>
            <w:tcBorders>
              <w:top w:val="nil"/>
              <w:left w:val="single" w:sz="8" w:space="0" w:color="auto"/>
              <w:bottom w:val="single" w:sz="8" w:space="0" w:color="auto"/>
              <w:right w:val="nil"/>
            </w:tcBorders>
            <w:shd w:val="clear" w:color="auto" w:fill="auto"/>
            <w:vAlign w:val="center"/>
            <w:hideMark/>
          </w:tcPr>
          <w:p w14:paraId="24A7E704" w14:textId="77777777" w:rsidR="00396CB4" w:rsidRPr="00396CB4" w:rsidRDefault="00396CB4" w:rsidP="00396CB4">
            <w:pPr>
              <w:spacing w:after="0" w:line="240" w:lineRule="auto"/>
              <w:rPr>
                <w:rFonts w:eastAsia="Times New Roman" w:cs="Calibri"/>
                <w:color w:val="000000"/>
                <w:sz w:val="18"/>
                <w:lang w:eastAsia="es-CR"/>
              </w:rPr>
            </w:pPr>
            <w:r w:rsidRPr="00396CB4">
              <w:rPr>
                <w:rFonts w:eastAsia="Times New Roman" w:cs="Calibri"/>
                <w:color w:val="000000"/>
                <w:sz w:val="18"/>
                <w:lang w:eastAsia="es-CR"/>
              </w:rPr>
              <w:t>Ingresos de transacciones con contraprestación</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585656E0" w14:textId="77777777" w:rsidR="00396CB4" w:rsidRPr="00396CB4" w:rsidRDefault="00396CB4" w:rsidP="00396CB4">
            <w:pPr>
              <w:spacing w:after="0" w:line="240" w:lineRule="auto"/>
              <w:jc w:val="center"/>
              <w:rPr>
                <w:rFonts w:eastAsia="Times New Roman" w:cs="Calibri"/>
                <w:color w:val="FFFFFF"/>
                <w:sz w:val="18"/>
                <w:szCs w:val="24"/>
                <w:lang w:eastAsia="es-CR"/>
              </w:rPr>
            </w:pPr>
            <w:r w:rsidRPr="00396CB4">
              <w:rPr>
                <w:rFonts w:eastAsia="Times New Roman" w:cs="Calibri"/>
                <w:color w:val="FFFFFF"/>
                <w:sz w:val="18"/>
                <w:szCs w:val="24"/>
                <w:lang w:eastAsia="es-CR"/>
              </w:rPr>
              <w:t>NO</w:t>
            </w:r>
          </w:p>
        </w:tc>
        <w:tc>
          <w:tcPr>
            <w:tcW w:w="970" w:type="dxa"/>
            <w:tcBorders>
              <w:top w:val="nil"/>
              <w:left w:val="nil"/>
              <w:bottom w:val="single" w:sz="8" w:space="0" w:color="auto"/>
              <w:right w:val="nil"/>
            </w:tcBorders>
            <w:shd w:val="clear" w:color="auto" w:fill="auto"/>
            <w:vAlign w:val="center"/>
            <w:hideMark/>
          </w:tcPr>
          <w:p w14:paraId="034FA1BA"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31-12-2022</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20FC0196"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Si</w:t>
            </w:r>
          </w:p>
        </w:tc>
        <w:tc>
          <w:tcPr>
            <w:tcW w:w="1067" w:type="dxa"/>
            <w:tcBorders>
              <w:top w:val="nil"/>
              <w:left w:val="nil"/>
              <w:bottom w:val="single" w:sz="8" w:space="0" w:color="auto"/>
              <w:right w:val="single" w:sz="8" w:space="0" w:color="auto"/>
            </w:tcBorders>
            <w:shd w:val="clear" w:color="auto" w:fill="auto"/>
            <w:noWrap/>
            <w:vAlign w:val="bottom"/>
            <w:hideMark/>
          </w:tcPr>
          <w:p w14:paraId="7ED5A6FD"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100,00%</w:t>
            </w:r>
          </w:p>
        </w:tc>
        <w:tc>
          <w:tcPr>
            <w:tcW w:w="1157" w:type="dxa"/>
            <w:tcBorders>
              <w:top w:val="nil"/>
              <w:left w:val="nil"/>
              <w:bottom w:val="single" w:sz="8" w:space="0" w:color="auto"/>
              <w:right w:val="single" w:sz="8" w:space="0" w:color="auto"/>
            </w:tcBorders>
            <w:shd w:val="clear" w:color="auto" w:fill="auto"/>
            <w:noWrap/>
            <w:vAlign w:val="bottom"/>
            <w:hideMark/>
          </w:tcPr>
          <w:p w14:paraId="65744466"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0</w:t>
            </w:r>
          </w:p>
        </w:tc>
      </w:tr>
      <w:tr w:rsidR="00396CB4" w:rsidRPr="00396CB4" w14:paraId="3E59D69A" w14:textId="77777777" w:rsidTr="00396CB4">
        <w:trPr>
          <w:divId w:val="2105030683"/>
          <w:trHeight w:val="324"/>
        </w:trPr>
        <w:tc>
          <w:tcPr>
            <w:tcW w:w="851" w:type="dxa"/>
            <w:tcBorders>
              <w:top w:val="nil"/>
              <w:left w:val="single" w:sz="8" w:space="0" w:color="auto"/>
              <w:bottom w:val="single" w:sz="8" w:space="0" w:color="auto"/>
              <w:right w:val="nil"/>
            </w:tcBorders>
            <w:shd w:val="clear" w:color="auto" w:fill="auto"/>
            <w:vAlign w:val="center"/>
            <w:hideMark/>
          </w:tcPr>
          <w:p w14:paraId="5F43BA95" w14:textId="77777777" w:rsidR="00396CB4" w:rsidRPr="00396CB4" w:rsidRDefault="00396CB4" w:rsidP="00396CB4">
            <w:pPr>
              <w:spacing w:after="0" w:line="240" w:lineRule="auto"/>
              <w:rPr>
                <w:rFonts w:eastAsia="Times New Roman" w:cs="Calibri"/>
                <w:b/>
                <w:bCs/>
                <w:i/>
                <w:iCs/>
                <w:color w:val="000000"/>
                <w:sz w:val="18"/>
                <w:szCs w:val="18"/>
                <w:lang w:eastAsia="es-CR"/>
              </w:rPr>
            </w:pPr>
            <w:r w:rsidRPr="00396CB4">
              <w:rPr>
                <w:rFonts w:eastAsia="Times New Roman" w:cs="Calibri"/>
                <w:b/>
                <w:bCs/>
                <w:i/>
                <w:iCs/>
                <w:color w:val="000000"/>
                <w:sz w:val="18"/>
                <w:szCs w:val="18"/>
                <w:lang w:eastAsia="es-CR"/>
              </w:rPr>
              <w:t>NICSP 10</w:t>
            </w:r>
          </w:p>
        </w:tc>
        <w:tc>
          <w:tcPr>
            <w:tcW w:w="3685" w:type="dxa"/>
            <w:tcBorders>
              <w:top w:val="nil"/>
              <w:left w:val="single" w:sz="8" w:space="0" w:color="auto"/>
              <w:bottom w:val="single" w:sz="8" w:space="0" w:color="auto"/>
              <w:right w:val="nil"/>
            </w:tcBorders>
            <w:shd w:val="clear" w:color="auto" w:fill="auto"/>
            <w:vAlign w:val="center"/>
            <w:hideMark/>
          </w:tcPr>
          <w:p w14:paraId="4459C750" w14:textId="77777777" w:rsidR="00396CB4" w:rsidRPr="00396CB4" w:rsidRDefault="00396CB4" w:rsidP="00396CB4">
            <w:pPr>
              <w:spacing w:after="0" w:line="240" w:lineRule="auto"/>
              <w:rPr>
                <w:rFonts w:eastAsia="Times New Roman" w:cs="Calibri"/>
                <w:color w:val="000000"/>
                <w:sz w:val="18"/>
                <w:lang w:eastAsia="es-CR"/>
              </w:rPr>
            </w:pPr>
            <w:r w:rsidRPr="00396CB4">
              <w:rPr>
                <w:rFonts w:eastAsia="Times New Roman" w:cs="Calibri"/>
                <w:color w:val="000000"/>
                <w:sz w:val="18"/>
                <w:lang w:eastAsia="es-CR"/>
              </w:rPr>
              <w:t>Información Financiera en Economía Hiperinflacionarias</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43401217" w14:textId="77777777" w:rsidR="00396CB4" w:rsidRPr="00396CB4" w:rsidRDefault="00396CB4" w:rsidP="00396CB4">
            <w:pPr>
              <w:spacing w:after="0" w:line="240" w:lineRule="auto"/>
              <w:jc w:val="center"/>
              <w:rPr>
                <w:rFonts w:eastAsia="Times New Roman" w:cs="Calibri"/>
                <w:color w:val="FFFFFF"/>
                <w:sz w:val="18"/>
                <w:szCs w:val="24"/>
                <w:lang w:eastAsia="es-CR"/>
              </w:rPr>
            </w:pPr>
            <w:r w:rsidRPr="00396CB4">
              <w:rPr>
                <w:rFonts w:eastAsia="Times New Roman" w:cs="Calibri"/>
                <w:color w:val="FFFFFF"/>
                <w:sz w:val="18"/>
                <w:szCs w:val="24"/>
                <w:lang w:eastAsia="es-CR"/>
              </w:rPr>
              <w:t>NO</w:t>
            </w:r>
          </w:p>
        </w:tc>
        <w:tc>
          <w:tcPr>
            <w:tcW w:w="970" w:type="dxa"/>
            <w:tcBorders>
              <w:top w:val="nil"/>
              <w:left w:val="nil"/>
              <w:bottom w:val="single" w:sz="8" w:space="0" w:color="auto"/>
              <w:right w:val="nil"/>
            </w:tcBorders>
            <w:shd w:val="clear" w:color="auto" w:fill="auto"/>
            <w:vAlign w:val="center"/>
            <w:hideMark/>
          </w:tcPr>
          <w:p w14:paraId="0C02E7E2"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31-12-2022</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66866F50"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No</w:t>
            </w:r>
          </w:p>
        </w:tc>
        <w:tc>
          <w:tcPr>
            <w:tcW w:w="1067" w:type="dxa"/>
            <w:tcBorders>
              <w:top w:val="nil"/>
              <w:left w:val="nil"/>
              <w:bottom w:val="single" w:sz="8" w:space="0" w:color="auto"/>
              <w:right w:val="single" w:sz="8" w:space="0" w:color="auto"/>
            </w:tcBorders>
            <w:shd w:val="clear" w:color="auto" w:fill="auto"/>
            <w:noWrap/>
            <w:vAlign w:val="bottom"/>
            <w:hideMark/>
          </w:tcPr>
          <w:p w14:paraId="4E694254"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 </w:t>
            </w:r>
          </w:p>
        </w:tc>
        <w:tc>
          <w:tcPr>
            <w:tcW w:w="1157" w:type="dxa"/>
            <w:tcBorders>
              <w:top w:val="nil"/>
              <w:left w:val="nil"/>
              <w:bottom w:val="single" w:sz="8" w:space="0" w:color="auto"/>
              <w:right w:val="single" w:sz="8" w:space="0" w:color="auto"/>
            </w:tcBorders>
            <w:shd w:val="clear" w:color="auto" w:fill="auto"/>
            <w:noWrap/>
            <w:vAlign w:val="bottom"/>
            <w:hideMark/>
          </w:tcPr>
          <w:p w14:paraId="37226A6E"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 </w:t>
            </w:r>
          </w:p>
        </w:tc>
      </w:tr>
      <w:tr w:rsidR="00396CB4" w:rsidRPr="00396CB4" w14:paraId="46171796" w14:textId="77777777" w:rsidTr="00396CB4">
        <w:trPr>
          <w:divId w:val="2105030683"/>
          <w:trHeight w:val="324"/>
        </w:trPr>
        <w:tc>
          <w:tcPr>
            <w:tcW w:w="851" w:type="dxa"/>
            <w:tcBorders>
              <w:top w:val="nil"/>
              <w:left w:val="single" w:sz="8" w:space="0" w:color="auto"/>
              <w:bottom w:val="single" w:sz="8" w:space="0" w:color="auto"/>
              <w:right w:val="nil"/>
            </w:tcBorders>
            <w:shd w:val="clear" w:color="auto" w:fill="auto"/>
            <w:vAlign w:val="center"/>
            <w:hideMark/>
          </w:tcPr>
          <w:p w14:paraId="178AA737" w14:textId="77777777" w:rsidR="00396CB4" w:rsidRPr="00396CB4" w:rsidRDefault="00396CB4" w:rsidP="00396CB4">
            <w:pPr>
              <w:spacing w:after="0" w:line="240" w:lineRule="auto"/>
              <w:rPr>
                <w:rFonts w:eastAsia="Times New Roman" w:cs="Calibri"/>
                <w:b/>
                <w:bCs/>
                <w:i/>
                <w:iCs/>
                <w:color w:val="000000"/>
                <w:sz w:val="18"/>
                <w:szCs w:val="18"/>
                <w:lang w:eastAsia="es-CR"/>
              </w:rPr>
            </w:pPr>
            <w:r w:rsidRPr="00396CB4">
              <w:rPr>
                <w:rFonts w:eastAsia="Times New Roman" w:cs="Calibri"/>
                <w:b/>
                <w:bCs/>
                <w:i/>
                <w:iCs/>
                <w:color w:val="000000"/>
                <w:sz w:val="18"/>
                <w:szCs w:val="18"/>
                <w:lang w:eastAsia="es-CR"/>
              </w:rPr>
              <w:t>NICSP 11</w:t>
            </w:r>
          </w:p>
        </w:tc>
        <w:tc>
          <w:tcPr>
            <w:tcW w:w="3685" w:type="dxa"/>
            <w:tcBorders>
              <w:top w:val="nil"/>
              <w:left w:val="single" w:sz="8" w:space="0" w:color="auto"/>
              <w:bottom w:val="single" w:sz="8" w:space="0" w:color="auto"/>
              <w:right w:val="nil"/>
            </w:tcBorders>
            <w:shd w:val="clear" w:color="auto" w:fill="auto"/>
            <w:vAlign w:val="center"/>
            <w:hideMark/>
          </w:tcPr>
          <w:p w14:paraId="3D3DB795" w14:textId="77777777" w:rsidR="00396CB4" w:rsidRPr="00396CB4" w:rsidRDefault="00396CB4" w:rsidP="00396CB4">
            <w:pPr>
              <w:spacing w:after="0" w:line="240" w:lineRule="auto"/>
              <w:rPr>
                <w:rFonts w:eastAsia="Times New Roman" w:cs="Calibri"/>
                <w:color w:val="000000"/>
                <w:sz w:val="18"/>
                <w:lang w:eastAsia="es-CR"/>
              </w:rPr>
            </w:pPr>
            <w:r w:rsidRPr="00396CB4">
              <w:rPr>
                <w:rFonts w:eastAsia="Times New Roman" w:cs="Calibri"/>
                <w:color w:val="000000"/>
                <w:sz w:val="18"/>
                <w:lang w:eastAsia="es-CR"/>
              </w:rPr>
              <w:t>Contrato de Construcción</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03B8975D" w14:textId="77777777" w:rsidR="00396CB4" w:rsidRPr="00396CB4" w:rsidRDefault="00396CB4" w:rsidP="00396CB4">
            <w:pPr>
              <w:spacing w:after="0" w:line="240" w:lineRule="auto"/>
              <w:jc w:val="center"/>
              <w:rPr>
                <w:rFonts w:eastAsia="Times New Roman" w:cs="Calibri"/>
                <w:color w:val="FFFFFF"/>
                <w:sz w:val="18"/>
                <w:szCs w:val="24"/>
                <w:lang w:eastAsia="es-CR"/>
              </w:rPr>
            </w:pPr>
            <w:r w:rsidRPr="00396CB4">
              <w:rPr>
                <w:rFonts w:eastAsia="Times New Roman" w:cs="Calibri"/>
                <w:color w:val="FFFFFF"/>
                <w:sz w:val="18"/>
                <w:szCs w:val="24"/>
                <w:lang w:eastAsia="es-CR"/>
              </w:rPr>
              <w:t>NO</w:t>
            </w:r>
          </w:p>
        </w:tc>
        <w:tc>
          <w:tcPr>
            <w:tcW w:w="970" w:type="dxa"/>
            <w:tcBorders>
              <w:top w:val="nil"/>
              <w:left w:val="nil"/>
              <w:bottom w:val="single" w:sz="8" w:space="0" w:color="auto"/>
              <w:right w:val="nil"/>
            </w:tcBorders>
            <w:shd w:val="clear" w:color="auto" w:fill="auto"/>
            <w:vAlign w:val="center"/>
            <w:hideMark/>
          </w:tcPr>
          <w:p w14:paraId="5B938228"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31-12-2022</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44F51B49"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No</w:t>
            </w:r>
          </w:p>
        </w:tc>
        <w:tc>
          <w:tcPr>
            <w:tcW w:w="1067" w:type="dxa"/>
            <w:tcBorders>
              <w:top w:val="nil"/>
              <w:left w:val="nil"/>
              <w:bottom w:val="single" w:sz="8" w:space="0" w:color="auto"/>
              <w:right w:val="single" w:sz="8" w:space="0" w:color="auto"/>
            </w:tcBorders>
            <w:shd w:val="clear" w:color="auto" w:fill="auto"/>
            <w:noWrap/>
            <w:vAlign w:val="bottom"/>
            <w:hideMark/>
          </w:tcPr>
          <w:p w14:paraId="0A24A8CC"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 </w:t>
            </w:r>
          </w:p>
        </w:tc>
        <w:tc>
          <w:tcPr>
            <w:tcW w:w="1157" w:type="dxa"/>
            <w:tcBorders>
              <w:top w:val="nil"/>
              <w:left w:val="nil"/>
              <w:bottom w:val="single" w:sz="8" w:space="0" w:color="auto"/>
              <w:right w:val="single" w:sz="8" w:space="0" w:color="auto"/>
            </w:tcBorders>
            <w:shd w:val="clear" w:color="auto" w:fill="auto"/>
            <w:noWrap/>
            <w:vAlign w:val="bottom"/>
            <w:hideMark/>
          </w:tcPr>
          <w:p w14:paraId="3B6C5574"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 </w:t>
            </w:r>
          </w:p>
        </w:tc>
      </w:tr>
      <w:tr w:rsidR="00396CB4" w:rsidRPr="00396CB4" w14:paraId="61C3F934" w14:textId="77777777" w:rsidTr="00396CB4">
        <w:trPr>
          <w:divId w:val="2105030683"/>
          <w:trHeight w:val="324"/>
        </w:trPr>
        <w:tc>
          <w:tcPr>
            <w:tcW w:w="851" w:type="dxa"/>
            <w:tcBorders>
              <w:top w:val="nil"/>
              <w:left w:val="single" w:sz="8" w:space="0" w:color="auto"/>
              <w:bottom w:val="single" w:sz="8" w:space="0" w:color="auto"/>
              <w:right w:val="nil"/>
            </w:tcBorders>
            <w:shd w:val="clear" w:color="auto" w:fill="auto"/>
            <w:vAlign w:val="center"/>
            <w:hideMark/>
          </w:tcPr>
          <w:p w14:paraId="7EF0A42A" w14:textId="77777777" w:rsidR="00396CB4" w:rsidRPr="00396CB4" w:rsidRDefault="00396CB4" w:rsidP="00396CB4">
            <w:pPr>
              <w:spacing w:after="0" w:line="240" w:lineRule="auto"/>
              <w:rPr>
                <w:rFonts w:eastAsia="Times New Roman" w:cs="Calibri"/>
                <w:b/>
                <w:bCs/>
                <w:i/>
                <w:iCs/>
                <w:color w:val="000000"/>
                <w:sz w:val="18"/>
                <w:szCs w:val="18"/>
                <w:lang w:eastAsia="es-CR"/>
              </w:rPr>
            </w:pPr>
            <w:r w:rsidRPr="00396CB4">
              <w:rPr>
                <w:rFonts w:eastAsia="Times New Roman" w:cs="Calibri"/>
                <w:b/>
                <w:bCs/>
                <w:i/>
                <w:iCs/>
                <w:color w:val="000000"/>
                <w:sz w:val="18"/>
                <w:szCs w:val="18"/>
                <w:lang w:eastAsia="es-CR"/>
              </w:rPr>
              <w:t>NICSP 12</w:t>
            </w:r>
          </w:p>
        </w:tc>
        <w:tc>
          <w:tcPr>
            <w:tcW w:w="3685" w:type="dxa"/>
            <w:tcBorders>
              <w:top w:val="nil"/>
              <w:left w:val="single" w:sz="8" w:space="0" w:color="auto"/>
              <w:bottom w:val="single" w:sz="8" w:space="0" w:color="auto"/>
              <w:right w:val="nil"/>
            </w:tcBorders>
            <w:shd w:val="clear" w:color="auto" w:fill="auto"/>
            <w:vAlign w:val="center"/>
            <w:hideMark/>
          </w:tcPr>
          <w:p w14:paraId="70D6D4D1" w14:textId="77777777" w:rsidR="00396CB4" w:rsidRPr="00396CB4" w:rsidRDefault="00396CB4" w:rsidP="00396CB4">
            <w:pPr>
              <w:spacing w:after="0" w:line="240" w:lineRule="auto"/>
              <w:rPr>
                <w:rFonts w:eastAsia="Times New Roman" w:cs="Calibri"/>
                <w:color w:val="000000"/>
                <w:sz w:val="18"/>
                <w:lang w:eastAsia="es-CR"/>
              </w:rPr>
            </w:pPr>
            <w:r w:rsidRPr="00396CB4">
              <w:rPr>
                <w:rFonts w:eastAsia="Times New Roman" w:cs="Calibri"/>
                <w:color w:val="000000"/>
                <w:sz w:val="18"/>
                <w:lang w:eastAsia="es-CR"/>
              </w:rPr>
              <w:t>Inventarios</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7CAF55FA" w14:textId="77777777" w:rsidR="00396CB4" w:rsidRPr="00396CB4" w:rsidRDefault="00396CB4" w:rsidP="00396CB4">
            <w:pPr>
              <w:spacing w:after="0" w:line="240" w:lineRule="auto"/>
              <w:jc w:val="center"/>
              <w:rPr>
                <w:rFonts w:eastAsia="Times New Roman" w:cs="Calibri"/>
                <w:color w:val="FFFFFF"/>
                <w:sz w:val="18"/>
                <w:szCs w:val="24"/>
                <w:lang w:eastAsia="es-CR"/>
              </w:rPr>
            </w:pPr>
            <w:r w:rsidRPr="00396CB4">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6D8241FE"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392A95F3"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Si</w:t>
            </w:r>
          </w:p>
        </w:tc>
        <w:tc>
          <w:tcPr>
            <w:tcW w:w="1067" w:type="dxa"/>
            <w:tcBorders>
              <w:top w:val="nil"/>
              <w:left w:val="nil"/>
              <w:bottom w:val="single" w:sz="8" w:space="0" w:color="auto"/>
              <w:right w:val="single" w:sz="8" w:space="0" w:color="auto"/>
            </w:tcBorders>
            <w:shd w:val="clear" w:color="auto" w:fill="auto"/>
            <w:noWrap/>
            <w:vAlign w:val="bottom"/>
            <w:hideMark/>
          </w:tcPr>
          <w:p w14:paraId="31C75BAD"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97,00%</w:t>
            </w:r>
          </w:p>
        </w:tc>
        <w:tc>
          <w:tcPr>
            <w:tcW w:w="1157" w:type="dxa"/>
            <w:tcBorders>
              <w:top w:val="nil"/>
              <w:left w:val="nil"/>
              <w:bottom w:val="single" w:sz="8" w:space="0" w:color="auto"/>
              <w:right w:val="single" w:sz="8" w:space="0" w:color="auto"/>
            </w:tcBorders>
            <w:shd w:val="clear" w:color="auto" w:fill="auto"/>
            <w:noWrap/>
            <w:vAlign w:val="bottom"/>
            <w:hideMark/>
          </w:tcPr>
          <w:p w14:paraId="4814D1DD"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Si</w:t>
            </w:r>
          </w:p>
        </w:tc>
      </w:tr>
      <w:tr w:rsidR="00396CB4" w:rsidRPr="00396CB4" w14:paraId="3CF16F5E" w14:textId="77777777" w:rsidTr="00396CB4">
        <w:trPr>
          <w:divId w:val="2105030683"/>
          <w:trHeight w:val="324"/>
        </w:trPr>
        <w:tc>
          <w:tcPr>
            <w:tcW w:w="851" w:type="dxa"/>
            <w:tcBorders>
              <w:top w:val="nil"/>
              <w:left w:val="single" w:sz="8" w:space="0" w:color="auto"/>
              <w:bottom w:val="single" w:sz="8" w:space="0" w:color="auto"/>
              <w:right w:val="nil"/>
            </w:tcBorders>
            <w:shd w:val="clear" w:color="auto" w:fill="auto"/>
            <w:vAlign w:val="center"/>
            <w:hideMark/>
          </w:tcPr>
          <w:p w14:paraId="363C2BA3" w14:textId="77777777" w:rsidR="00396CB4" w:rsidRPr="00396CB4" w:rsidRDefault="00396CB4" w:rsidP="00396CB4">
            <w:pPr>
              <w:spacing w:after="0" w:line="240" w:lineRule="auto"/>
              <w:rPr>
                <w:rFonts w:eastAsia="Times New Roman" w:cs="Calibri"/>
                <w:b/>
                <w:bCs/>
                <w:i/>
                <w:iCs/>
                <w:color w:val="000000"/>
                <w:sz w:val="18"/>
                <w:szCs w:val="18"/>
                <w:lang w:eastAsia="es-CR"/>
              </w:rPr>
            </w:pPr>
            <w:r w:rsidRPr="00396CB4">
              <w:rPr>
                <w:rFonts w:eastAsia="Times New Roman" w:cs="Calibri"/>
                <w:b/>
                <w:bCs/>
                <w:i/>
                <w:iCs/>
                <w:color w:val="000000"/>
                <w:sz w:val="18"/>
                <w:szCs w:val="18"/>
                <w:lang w:eastAsia="es-CR"/>
              </w:rPr>
              <w:t>NICSP 13</w:t>
            </w:r>
          </w:p>
        </w:tc>
        <w:tc>
          <w:tcPr>
            <w:tcW w:w="3685" w:type="dxa"/>
            <w:tcBorders>
              <w:top w:val="nil"/>
              <w:left w:val="single" w:sz="8" w:space="0" w:color="auto"/>
              <w:bottom w:val="single" w:sz="8" w:space="0" w:color="auto"/>
              <w:right w:val="nil"/>
            </w:tcBorders>
            <w:shd w:val="clear" w:color="auto" w:fill="auto"/>
            <w:vAlign w:val="center"/>
            <w:hideMark/>
          </w:tcPr>
          <w:p w14:paraId="3D62EDB2" w14:textId="77777777" w:rsidR="00396CB4" w:rsidRPr="00396CB4" w:rsidRDefault="00396CB4" w:rsidP="00396CB4">
            <w:pPr>
              <w:spacing w:after="0" w:line="240" w:lineRule="auto"/>
              <w:rPr>
                <w:rFonts w:eastAsia="Times New Roman" w:cs="Calibri"/>
                <w:color w:val="000000"/>
                <w:sz w:val="18"/>
                <w:lang w:eastAsia="es-CR"/>
              </w:rPr>
            </w:pPr>
            <w:r w:rsidRPr="00396CB4">
              <w:rPr>
                <w:rFonts w:eastAsia="Times New Roman" w:cs="Calibri"/>
                <w:color w:val="000000"/>
                <w:sz w:val="18"/>
                <w:lang w:eastAsia="es-CR"/>
              </w:rPr>
              <w:t>Arrendamientos</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1745AB92" w14:textId="77777777" w:rsidR="00396CB4" w:rsidRPr="00396CB4" w:rsidRDefault="00396CB4" w:rsidP="00396CB4">
            <w:pPr>
              <w:spacing w:after="0" w:line="240" w:lineRule="auto"/>
              <w:jc w:val="center"/>
              <w:rPr>
                <w:rFonts w:eastAsia="Times New Roman" w:cs="Calibri"/>
                <w:color w:val="FFFFFF"/>
                <w:sz w:val="18"/>
                <w:szCs w:val="24"/>
                <w:lang w:eastAsia="es-CR"/>
              </w:rPr>
            </w:pPr>
            <w:r w:rsidRPr="00396CB4">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66D3B4B6"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62C89E8E"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Si</w:t>
            </w:r>
          </w:p>
        </w:tc>
        <w:tc>
          <w:tcPr>
            <w:tcW w:w="1067" w:type="dxa"/>
            <w:tcBorders>
              <w:top w:val="nil"/>
              <w:left w:val="nil"/>
              <w:bottom w:val="single" w:sz="8" w:space="0" w:color="auto"/>
              <w:right w:val="single" w:sz="8" w:space="0" w:color="auto"/>
            </w:tcBorders>
            <w:shd w:val="clear" w:color="auto" w:fill="auto"/>
            <w:noWrap/>
            <w:vAlign w:val="bottom"/>
            <w:hideMark/>
          </w:tcPr>
          <w:p w14:paraId="457791C4"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79,71%</w:t>
            </w:r>
          </w:p>
        </w:tc>
        <w:tc>
          <w:tcPr>
            <w:tcW w:w="1157" w:type="dxa"/>
            <w:tcBorders>
              <w:top w:val="nil"/>
              <w:left w:val="nil"/>
              <w:bottom w:val="single" w:sz="8" w:space="0" w:color="auto"/>
              <w:right w:val="single" w:sz="8" w:space="0" w:color="auto"/>
            </w:tcBorders>
            <w:shd w:val="clear" w:color="auto" w:fill="auto"/>
            <w:noWrap/>
            <w:vAlign w:val="bottom"/>
            <w:hideMark/>
          </w:tcPr>
          <w:p w14:paraId="171FE06D"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Si</w:t>
            </w:r>
          </w:p>
        </w:tc>
      </w:tr>
      <w:tr w:rsidR="00396CB4" w:rsidRPr="00396CB4" w14:paraId="459C4864" w14:textId="77777777" w:rsidTr="00396CB4">
        <w:trPr>
          <w:divId w:val="2105030683"/>
          <w:trHeight w:val="324"/>
        </w:trPr>
        <w:tc>
          <w:tcPr>
            <w:tcW w:w="851" w:type="dxa"/>
            <w:tcBorders>
              <w:top w:val="nil"/>
              <w:left w:val="single" w:sz="8" w:space="0" w:color="auto"/>
              <w:bottom w:val="single" w:sz="8" w:space="0" w:color="auto"/>
              <w:right w:val="nil"/>
            </w:tcBorders>
            <w:shd w:val="clear" w:color="auto" w:fill="auto"/>
            <w:vAlign w:val="center"/>
            <w:hideMark/>
          </w:tcPr>
          <w:p w14:paraId="154A44B7" w14:textId="77777777" w:rsidR="00396CB4" w:rsidRPr="00396CB4" w:rsidRDefault="00396CB4" w:rsidP="00396CB4">
            <w:pPr>
              <w:spacing w:after="0" w:line="240" w:lineRule="auto"/>
              <w:rPr>
                <w:rFonts w:eastAsia="Times New Roman" w:cs="Calibri"/>
                <w:b/>
                <w:bCs/>
                <w:i/>
                <w:iCs/>
                <w:color w:val="000000"/>
                <w:sz w:val="18"/>
                <w:szCs w:val="18"/>
                <w:lang w:eastAsia="es-CR"/>
              </w:rPr>
            </w:pPr>
            <w:r w:rsidRPr="00396CB4">
              <w:rPr>
                <w:rFonts w:eastAsia="Times New Roman" w:cs="Calibri"/>
                <w:b/>
                <w:bCs/>
                <w:i/>
                <w:iCs/>
                <w:color w:val="000000"/>
                <w:sz w:val="18"/>
                <w:szCs w:val="18"/>
                <w:lang w:eastAsia="es-CR"/>
              </w:rPr>
              <w:t>NICSP 14</w:t>
            </w:r>
          </w:p>
        </w:tc>
        <w:tc>
          <w:tcPr>
            <w:tcW w:w="3685" w:type="dxa"/>
            <w:tcBorders>
              <w:top w:val="nil"/>
              <w:left w:val="single" w:sz="8" w:space="0" w:color="auto"/>
              <w:bottom w:val="single" w:sz="8" w:space="0" w:color="auto"/>
              <w:right w:val="nil"/>
            </w:tcBorders>
            <w:shd w:val="clear" w:color="auto" w:fill="auto"/>
            <w:vAlign w:val="center"/>
            <w:hideMark/>
          </w:tcPr>
          <w:p w14:paraId="5D3AD29B" w14:textId="77777777" w:rsidR="00396CB4" w:rsidRPr="00396CB4" w:rsidRDefault="00396CB4" w:rsidP="00396CB4">
            <w:pPr>
              <w:spacing w:after="0" w:line="240" w:lineRule="auto"/>
              <w:rPr>
                <w:rFonts w:eastAsia="Times New Roman" w:cs="Calibri"/>
                <w:color w:val="000000"/>
                <w:sz w:val="18"/>
                <w:lang w:eastAsia="es-CR"/>
              </w:rPr>
            </w:pPr>
            <w:r w:rsidRPr="00396CB4">
              <w:rPr>
                <w:rFonts w:eastAsia="Times New Roman" w:cs="Calibri"/>
                <w:color w:val="000000"/>
                <w:sz w:val="18"/>
                <w:lang w:eastAsia="es-CR"/>
              </w:rPr>
              <w:t>Hechos ocurridos después de la fecha de presentación.</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34AE7201" w14:textId="77777777" w:rsidR="00396CB4" w:rsidRPr="00396CB4" w:rsidRDefault="00396CB4" w:rsidP="00396CB4">
            <w:pPr>
              <w:spacing w:after="0" w:line="240" w:lineRule="auto"/>
              <w:jc w:val="center"/>
              <w:rPr>
                <w:rFonts w:eastAsia="Times New Roman" w:cs="Calibri"/>
                <w:color w:val="FFFFFF"/>
                <w:sz w:val="18"/>
                <w:szCs w:val="24"/>
                <w:lang w:eastAsia="es-CR"/>
              </w:rPr>
            </w:pPr>
            <w:r w:rsidRPr="00396CB4">
              <w:rPr>
                <w:rFonts w:eastAsia="Times New Roman" w:cs="Calibri"/>
                <w:color w:val="FFFFFF"/>
                <w:sz w:val="18"/>
                <w:szCs w:val="24"/>
                <w:lang w:eastAsia="es-CR"/>
              </w:rPr>
              <w:t>NO</w:t>
            </w:r>
          </w:p>
        </w:tc>
        <w:tc>
          <w:tcPr>
            <w:tcW w:w="970" w:type="dxa"/>
            <w:tcBorders>
              <w:top w:val="nil"/>
              <w:left w:val="nil"/>
              <w:bottom w:val="single" w:sz="8" w:space="0" w:color="auto"/>
              <w:right w:val="nil"/>
            </w:tcBorders>
            <w:shd w:val="clear" w:color="auto" w:fill="auto"/>
            <w:vAlign w:val="center"/>
            <w:hideMark/>
          </w:tcPr>
          <w:p w14:paraId="23586735"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31-12-2022</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117C23BD"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Si</w:t>
            </w:r>
          </w:p>
        </w:tc>
        <w:tc>
          <w:tcPr>
            <w:tcW w:w="1067" w:type="dxa"/>
            <w:tcBorders>
              <w:top w:val="nil"/>
              <w:left w:val="nil"/>
              <w:bottom w:val="single" w:sz="8" w:space="0" w:color="auto"/>
              <w:right w:val="single" w:sz="8" w:space="0" w:color="auto"/>
            </w:tcBorders>
            <w:shd w:val="clear" w:color="auto" w:fill="auto"/>
            <w:noWrap/>
            <w:vAlign w:val="bottom"/>
            <w:hideMark/>
          </w:tcPr>
          <w:p w14:paraId="6273C813"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100,00%</w:t>
            </w:r>
          </w:p>
        </w:tc>
        <w:tc>
          <w:tcPr>
            <w:tcW w:w="1157" w:type="dxa"/>
            <w:tcBorders>
              <w:top w:val="nil"/>
              <w:left w:val="nil"/>
              <w:bottom w:val="single" w:sz="8" w:space="0" w:color="auto"/>
              <w:right w:val="single" w:sz="8" w:space="0" w:color="auto"/>
            </w:tcBorders>
            <w:shd w:val="clear" w:color="auto" w:fill="auto"/>
            <w:noWrap/>
            <w:vAlign w:val="bottom"/>
            <w:hideMark/>
          </w:tcPr>
          <w:p w14:paraId="0ECF6682"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0</w:t>
            </w:r>
          </w:p>
        </w:tc>
      </w:tr>
      <w:tr w:rsidR="00396CB4" w:rsidRPr="00396CB4" w14:paraId="47B4DA17" w14:textId="77777777" w:rsidTr="00396CB4">
        <w:trPr>
          <w:divId w:val="2105030683"/>
          <w:trHeight w:val="324"/>
        </w:trPr>
        <w:tc>
          <w:tcPr>
            <w:tcW w:w="851" w:type="dxa"/>
            <w:tcBorders>
              <w:top w:val="nil"/>
              <w:left w:val="single" w:sz="8" w:space="0" w:color="auto"/>
              <w:bottom w:val="single" w:sz="8" w:space="0" w:color="auto"/>
              <w:right w:val="nil"/>
            </w:tcBorders>
            <w:shd w:val="clear" w:color="auto" w:fill="auto"/>
            <w:vAlign w:val="center"/>
            <w:hideMark/>
          </w:tcPr>
          <w:p w14:paraId="179202E4" w14:textId="77777777" w:rsidR="00396CB4" w:rsidRPr="00396CB4" w:rsidRDefault="00396CB4" w:rsidP="00396CB4">
            <w:pPr>
              <w:spacing w:after="0" w:line="240" w:lineRule="auto"/>
              <w:rPr>
                <w:rFonts w:eastAsia="Times New Roman" w:cs="Calibri"/>
                <w:b/>
                <w:bCs/>
                <w:i/>
                <w:iCs/>
                <w:color w:val="000000"/>
                <w:sz w:val="18"/>
                <w:szCs w:val="18"/>
                <w:lang w:eastAsia="es-CR"/>
              </w:rPr>
            </w:pPr>
            <w:r w:rsidRPr="00396CB4">
              <w:rPr>
                <w:rFonts w:eastAsia="Times New Roman" w:cs="Calibri"/>
                <w:b/>
                <w:bCs/>
                <w:i/>
                <w:iCs/>
                <w:color w:val="000000"/>
                <w:sz w:val="18"/>
                <w:szCs w:val="18"/>
                <w:lang w:eastAsia="es-CR"/>
              </w:rPr>
              <w:t>NICSP 16</w:t>
            </w:r>
          </w:p>
        </w:tc>
        <w:tc>
          <w:tcPr>
            <w:tcW w:w="3685" w:type="dxa"/>
            <w:tcBorders>
              <w:top w:val="nil"/>
              <w:left w:val="single" w:sz="8" w:space="0" w:color="auto"/>
              <w:bottom w:val="single" w:sz="8" w:space="0" w:color="auto"/>
              <w:right w:val="nil"/>
            </w:tcBorders>
            <w:shd w:val="clear" w:color="auto" w:fill="auto"/>
            <w:vAlign w:val="center"/>
            <w:hideMark/>
          </w:tcPr>
          <w:p w14:paraId="5785A125" w14:textId="77777777" w:rsidR="00396CB4" w:rsidRPr="00396CB4" w:rsidRDefault="00396CB4" w:rsidP="00396CB4">
            <w:pPr>
              <w:spacing w:after="0" w:line="240" w:lineRule="auto"/>
              <w:rPr>
                <w:rFonts w:eastAsia="Times New Roman" w:cs="Calibri"/>
                <w:color w:val="000000"/>
                <w:sz w:val="18"/>
                <w:lang w:eastAsia="es-CR"/>
              </w:rPr>
            </w:pPr>
            <w:r w:rsidRPr="00396CB4">
              <w:rPr>
                <w:rFonts w:eastAsia="Times New Roman" w:cs="Calibri"/>
                <w:color w:val="000000"/>
                <w:sz w:val="18"/>
                <w:lang w:eastAsia="es-CR"/>
              </w:rPr>
              <w:t>Propiedades de Inversión</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3C83EABF" w14:textId="77777777" w:rsidR="00396CB4" w:rsidRPr="00396CB4" w:rsidRDefault="00396CB4" w:rsidP="00396CB4">
            <w:pPr>
              <w:spacing w:after="0" w:line="240" w:lineRule="auto"/>
              <w:jc w:val="center"/>
              <w:rPr>
                <w:rFonts w:eastAsia="Times New Roman" w:cs="Calibri"/>
                <w:color w:val="FFFFFF"/>
                <w:sz w:val="18"/>
                <w:szCs w:val="24"/>
                <w:lang w:eastAsia="es-CR"/>
              </w:rPr>
            </w:pPr>
            <w:r w:rsidRPr="00396CB4">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2BD18737"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203D1D0D"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No</w:t>
            </w:r>
          </w:p>
        </w:tc>
        <w:tc>
          <w:tcPr>
            <w:tcW w:w="1067" w:type="dxa"/>
            <w:tcBorders>
              <w:top w:val="nil"/>
              <w:left w:val="nil"/>
              <w:bottom w:val="single" w:sz="8" w:space="0" w:color="auto"/>
              <w:right w:val="single" w:sz="8" w:space="0" w:color="auto"/>
            </w:tcBorders>
            <w:shd w:val="clear" w:color="auto" w:fill="auto"/>
            <w:noWrap/>
            <w:vAlign w:val="bottom"/>
            <w:hideMark/>
          </w:tcPr>
          <w:p w14:paraId="63904DEB"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 </w:t>
            </w:r>
          </w:p>
        </w:tc>
        <w:tc>
          <w:tcPr>
            <w:tcW w:w="1157" w:type="dxa"/>
            <w:tcBorders>
              <w:top w:val="nil"/>
              <w:left w:val="nil"/>
              <w:bottom w:val="single" w:sz="8" w:space="0" w:color="auto"/>
              <w:right w:val="single" w:sz="8" w:space="0" w:color="auto"/>
            </w:tcBorders>
            <w:shd w:val="clear" w:color="auto" w:fill="auto"/>
            <w:noWrap/>
            <w:vAlign w:val="bottom"/>
            <w:hideMark/>
          </w:tcPr>
          <w:p w14:paraId="320A142D"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 </w:t>
            </w:r>
          </w:p>
        </w:tc>
      </w:tr>
      <w:tr w:rsidR="00396CB4" w:rsidRPr="00396CB4" w14:paraId="4BBA2E9E" w14:textId="77777777" w:rsidTr="00396CB4">
        <w:trPr>
          <w:divId w:val="2105030683"/>
          <w:trHeight w:val="324"/>
        </w:trPr>
        <w:tc>
          <w:tcPr>
            <w:tcW w:w="851" w:type="dxa"/>
            <w:tcBorders>
              <w:top w:val="nil"/>
              <w:left w:val="single" w:sz="8" w:space="0" w:color="auto"/>
              <w:bottom w:val="single" w:sz="8" w:space="0" w:color="auto"/>
              <w:right w:val="nil"/>
            </w:tcBorders>
            <w:shd w:val="clear" w:color="auto" w:fill="auto"/>
            <w:vAlign w:val="center"/>
            <w:hideMark/>
          </w:tcPr>
          <w:p w14:paraId="001F72BC" w14:textId="77777777" w:rsidR="00396CB4" w:rsidRPr="00396CB4" w:rsidRDefault="00396CB4" w:rsidP="00396CB4">
            <w:pPr>
              <w:spacing w:after="0" w:line="240" w:lineRule="auto"/>
              <w:rPr>
                <w:rFonts w:eastAsia="Times New Roman" w:cs="Calibri"/>
                <w:b/>
                <w:bCs/>
                <w:i/>
                <w:iCs/>
                <w:color w:val="000000"/>
                <w:sz w:val="18"/>
                <w:szCs w:val="18"/>
                <w:lang w:eastAsia="es-CR"/>
              </w:rPr>
            </w:pPr>
            <w:r w:rsidRPr="00396CB4">
              <w:rPr>
                <w:rFonts w:eastAsia="Times New Roman" w:cs="Calibri"/>
                <w:b/>
                <w:bCs/>
                <w:i/>
                <w:iCs/>
                <w:color w:val="000000"/>
                <w:sz w:val="18"/>
                <w:szCs w:val="18"/>
                <w:lang w:eastAsia="es-CR"/>
              </w:rPr>
              <w:t>NICSP 17</w:t>
            </w:r>
          </w:p>
        </w:tc>
        <w:tc>
          <w:tcPr>
            <w:tcW w:w="3685" w:type="dxa"/>
            <w:tcBorders>
              <w:top w:val="nil"/>
              <w:left w:val="single" w:sz="8" w:space="0" w:color="auto"/>
              <w:bottom w:val="single" w:sz="8" w:space="0" w:color="auto"/>
              <w:right w:val="nil"/>
            </w:tcBorders>
            <w:shd w:val="clear" w:color="auto" w:fill="auto"/>
            <w:vAlign w:val="center"/>
            <w:hideMark/>
          </w:tcPr>
          <w:p w14:paraId="5181499F" w14:textId="77777777" w:rsidR="00396CB4" w:rsidRPr="00396CB4" w:rsidRDefault="00396CB4" w:rsidP="00396CB4">
            <w:pPr>
              <w:spacing w:after="0" w:line="240" w:lineRule="auto"/>
              <w:rPr>
                <w:rFonts w:eastAsia="Times New Roman" w:cs="Calibri"/>
                <w:color w:val="000000"/>
                <w:sz w:val="18"/>
                <w:lang w:eastAsia="es-CR"/>
              </w:rPr>
            </w:pPr>
            <w:r w:rsidRPr="00396CB4">
              <w:rPr>
                <w:rFonts w:eastAsia="Times New Roman" w:cs="Calibri"/>
                <w:color w:val="000000"/>
                <w:sz w:val="18"/>
                <w:lang w:eastAsia="es-CR"/>
              </w:rPr>
              <w:t>Propiedad, Planta y Equipo</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67F242DC" w14:textId="77777777" w:rsidR="00396CB4" w:rsidRPr="00396CB4" w:rsidRDefault="00396CB4" w:rsidP="00396CB4">
            <w:pPr>
              <w:spacing w:after="0" w:line="240" w:lineRule="auto"/>
              <w:jc w:val="center"/>
              <w:rPr>
                <w:rFonts w:eastAsia="Times New Roman" w:cs="Calibri"/>
                <w:color w:val="FFFFFF"/>
                <w:sz w:val="18"/>
                <w:szCs w:val="24"/>
                <w:lang w:eastAsia="es-CR"/>
              </w:rPr>
            </w:pPr>
            <w:r w:rsidRPr="00396CB4">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53FBE1F0"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0117A33C"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Si</w:t>
            </w:r>
          </w:p>
        </w:tc>
        <w:tc>
          <w:tcPr>
            <w:tcW w:w="1067" w:type="dxa"/>
            <w:tcBorders>
              <w:top w:val="nil"/>
              <w:left w:val="nil"/>
              <w:bottom w:val="single" w:sz="8" w:space="0" w:color="auto"/>
              <w:right w:val="single" w:sz="8" w:space="0" w:color="auto"/>
            </w:tcBorders>
            <w:shd w:val="clear" w:color="auto" w:fill="auto"/>
            <w:noWrap/>
            <w:vAlign w:val="bottom"/>
            <w:hideMark/>
          </w:tcPr>
          <w:p w14:paraId="02DDEF9F"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96,25%</w:t>
            </w:r>
          </w:p>
        </w:tc>
        <w:tc>
          <w:tcPr>
            <w:tcW w:w="1157" w:type="dxa"/>
            <w:tcBorders>
              <w:top w:val="nil"/>
              <w:left w:val="nil"/>
              <w:bottom w:val="single" w:sz="8" w:space="0" w:color="auto"/>
              <w:right w:val="single" w:sz="8" w:space="0" w:color="auto"/>
            </w:tcBorders>
            <w:shd w:val="clear" w:color="auto" w:fill="auto"/>
            <w:noWrap/>
            <w:vAlign w:val="bottom"/>
            <w:hideMark/>
          </w:tcPr>
          <w:p w14:paraId="173E4A6E"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Si</w:t>
            </w:r>
          </w:p>
        </w:tc>
      </w:tr>
      <w:tr w:rsidR="00396CB4" w:rsidRPr="00396CB4" w14:paraId="77CBDECD" w14:textId="77777777" w:rsidTr="00396CB4">
        <w:trPr>
          <w:divId w:val="2105030683"/>
          <w:trHeight w:val="324"/>
        </w:trPr>
        <w:tc>
          <w:tcPr>
            <w:tcW w:w="851" w:type="dxa"/>
            <w:tcBorders>
              <w:top w:val="nil"/>
              <w:left w:val="single" w:sz="8" w:space="0" w:color="auto"/>
              <w:bottom w:val="single" w:sz="8" w:space="0" w:color="auto"/>
              <w:right w:val="nil"/>
            </w:tcBorders>
            <w:shd w:val="clear" w:color="auto" w:fill="auto"/>
            <w:vAlign w:val="center"/>
            <w:hideMark/>
          </w:tcPr>
          <w:p w14:paraId="409B4DFC" w14:textId="77777777" w:rsidR="00396CB4" w:rsidRPr="00396CB4" w:rsidRDefault="00396CB4" w:rsidP="00396CB4">
            <w:pPr>
              <w:spacing w:after="0" w:line="240" w:lineRule="auto"/>
              <w:rPr>
                <w:rFonts w:eastAsia="Times New Roman" w:cs="Calibri"/>
                <w:b/>
                <w:bCs/>
                <w:i/>
                <w:iCs/>
                <w:color w:val="000000"/>
                <w:sz w:val="18"/>
                <w:szCs w:val="18"/>
                <w:lang w:eastAsia="es-CR"/>
              </w:rPr>
            </w:pPr>
            <w:r w:rsidRPr="00396CB4">
              <w:rPr>
                <w:rFonts w:eastAsia="Times New Roman" w:cs="Calibri"/>
                <w:b/>
                <w:bCs/>
                <w:i/>
                <w:iCs/>
                <w:color w:val="000000"/>
                <w:sz w:val="18"/>
                <w:szCs w:val="18"/>
                <w:lang w:eastAsia="es-CR"/>
              </w:rPr>
              <w:t>NICSP 18</w:t>
            </w:r>
          </w:p>
        </w:tc>
        <w:tc>
          <w:tcPr>
            <w:tcW w:w="3685" w:type="dxa"/>
            <w:tcBorders>
              <w:top w:val="nil"/>
              <w:left w:val="single" w:sz="8" w:space="0" w:color="auto"/>
              <w:bottom w:val="single" w:sz="8" w:space="0" w:color="auto"/>
              <w:right w:val="nil"/>
            </w:tcBorders>
            <w:shd w:val="clear" w:color="auto" w:fill="auto"/>
            <w:vAlign w:val="center"/>
            <w:hideMark/>
          </w:tcPr>
          <w:p w14:paraId="210B91F8" w14:textId="77777777" w:rsidR="00396CB4" w:rsidRPr="00396CB4" w:rsidRDefault="00396CB4" w:rsidP="00396CB4">
            <w:pPr>
              <w:spacing w:after="0" w:line="240" w:lineRule="auto"/>
              <w:rPr>
                <w:rFonts w:eastAsia="Times New Roman" w:cs="Calibri"/>
                <w:color w:val="000000"/>
                <w:sz w:val="18"/>
                <w:lang w:eastAsia="es-CR"/>
              </w:rPr>
            </w:pPr>
            <w:r w:rsidRPr="00396CB4">
              <w:rPr>
                <w:rFonts w:eastAsia="Times New Roman" w:cs="Calibri"/>
                <w:color w:val="000000"/>
                <w:sz w:val="18"/>
                <w:lang w:eastAsia="es-CR"/>
              </w:rPr>
              <w:t>Información Financiera por Segmentos</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53EB8D44" w14:textId="77777777" w:rsidR="00396CB4" w:rsidRPr="00396CB4" w:rsidRDefault="00396CB4" w:rsidP="00396CB4">
            <w:pPr>
              <w:spacing w:after="0" w:line="240" w:lineRule="auto"/>
              <w:jc w:val="center"/>
              <w:rPr>
                <w:rFonts w:eastAsia="Times New Roman" w:cs="Calibri"/>
                <w:color w:val="FFFFFF"/>
                <w:sz w:val="18"/>
                <w:szCs w:val="24"/>
                <w:lang w:eastAsia="es-CR"/>
              </w:rPr>
            </w:pPr>
            <w:r w:rsidRPr="00396CB4">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0E97500F"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5DE70792"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No</w:t>
            </w:r>
          </w:p>
        </w:tc>
        <w:tc>
          <w:tcPr>
            <w:tcW w:w="1067" w:type="dxa"/>
            <w:tcBorders>
              <w:top w:val="nil"/>
              <w:left w:val="nil"/>
              <w:bottom w:val="single" w:sz="8" w:space="0" w:color="auto"/>
              <w:right w:val="single" w:sz="8" w:space="0" w:color="auto"/>
            </w:tcBorders>
            <w:shd w:val="clear" w:color="auto" w:fill="auto"/>
            <w:noWrap/>
            <w:vAlign w:val="bottom"/>
            <w:hideMark/>
          </w:tcPr>
          <w:p w14:paraId="031A47C1"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 </w:t>
            </w:r>
          </w:p>
        </w:tc>
        <w:tc>
          <w:tcPr>
            <w:tcW w:w="1157" w:type="dxa"/>
            <w:tcBorders>
              <w:top w:val="nil"/>
              <w:left w:val="nil"/>
              <w:bottom w:val="single" w:sz="8" w:space="0" w:color="auto"/>
              <w:right w:val="single" w:sz="8" w:space="0" w:color="auto"/>
            </w:tcBorders>
            <w:shd w:val="clear" w:color="auto" w:fill="auto"/>
            <w:noWrap/>
            <w:vAlign w:val="bottom"/>
            <w:hideMark/>
          </w:tcPr>
          <w:p w14:paraId="223F772E"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 </w:t>
            </w:r>
          </w:p>
        </w:tc>
      </w:tr>
      <w:tr w:rsidR="00396CB4" w:rsidRPr="00396CB4" w14:paraId="4272E7DF" w14:textId="77777777" w:rsidTr="00396CB4">
        <w:trPr>
          <w:divId w:val="2105030683"/>
          <w:trHeight w:val="324"/>
        </w:trPr>
        <w:tc>
          <w:tcPr>
            <w:tcW w:w="851" w:type="dxa"/>
            <w:tcBorders>
              <w:top w:val="nil"/>
              <w:left w:val="single" w:sz="8" w:space="0" w:color="auto"/>
              <w:bottom w:val="single" w:sz="8" w:space="0" w:color="auto"/>
              <w:right w:val="nil"/>
            </w:tcBorders>
            <w:shd w:val="clear" w:color="auto" w:fill="auto"/>
            <w:vAlign w:val="center"/>
            <w:hideMark/>
          </w:tcPr>
          <w:p w14:paraId="632F4D11" w14:textId="77777777" w:rsidR="00396CB4" w:rsidRPr="00396CB4" w:rsidRDefault="00396CB4" w:rsidP="00396CB4">
            <w:pPr>
              <w:spacing w:after="0" w:line="240" w:lineRule="auto"/>
              <w:rPr>
                <w:rFonts w:eastAsia="Times New Roman" w:cs="Calibri"/>
                <w:b/>
                <w:bCs/>
                <w:i/>
                <w:iCs/>
                <w:color w:val="000000"/>
                <w:sz w:val="18"/>
                <w:szCs w:val="18"/>
                <w:lang w:eastAsia="es-CR"/>
              </w:rPr>
            </w:pPr>
            <w:r w:rsidRPr="00396CB4">
              <w:rPr>
                <w:rFonts w:eastAsia="Times New Roman" w:cs="Calibri"/>
                <w:b/>
                <w:bCs/>
                <w:i/>
                <w:iCs/>
                <w:color w:val="000000"/>
                <w:sz w:val="18"/>
                <w:szCs w:val="18"/>
                <w:lang w:eastAsia="es-CR"/>
              </w:rPr>
              <w:t>NICSP 19</w:t>
            </w:r>
          </w:p>
        </w:tc>
        <w:tc>
          <w:tcPr>
            <w:tcW w:w="3685" w:type="dxa"/>
            <w:tcBorders>
              <w:top w:val="nil"/>
              <w:left w:val="single" w:sz="8" w:space="0" w:color="auto"/>
              <w:bottom w:val="single" w:sz="8" w:space="0" w:color="auto"/>
              <w:right w:val="nil"/>
            </w:tcBorders>
            <w:shd w:val="clear" w:color="auto" w:fill="auto"/>
            <w:vAlign w:val="center"/>
            <w:hideMark/>
          </w:tcPr>
          <w:p w14:paraId="28AC62EA" w14:textId="77777777" w:rsidR="00396CB4" w:rsidRPr="00396CB4" w:rsidRDefault="00396CB4" w:rsidP="00396CB4">
            <w:pPr>
              <w:spacing w:after="0" w:line="240" w:lineRule="auto"/>
              <w:rPr>
                <w:rFonts w:eastAsia="Times New Roman" w:cs="Calibri"/>
                <w:color w:val="000000"/>
                <w:sz w:val="18"/>
                <w:lang w:eastAsia="es-CR"/>
              </w:rPr>
            </w:pPr>
            <w:r w:rsidRPr="00396CB4">
              <w:rPr>
                <w:rFonts w:eastAsia="Times New Roman" w:cs="Calibri"/>
                <w:color w:val="000000"/>
                <w:sz w:val="18"/>
                <w:lang w:eastAsia="es-CR"/>
              </w:rPr>
              <w:t>Provisiones, Pasivos contingentes y Activos Contingentes</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785B6766" w14:textId="77777777" w:rsidR="00396CB4" w:rsidRPr="00396CB4" w:rsidRDefault="00396CB4" w:rsidP="00396CB4">
            <w:pPr>
              <w:spacing w:after="0" w:line="240" w:lineRule="auto"/>
              <w:jc w:val="center"/>
              <w:rPr>
                <w:rFonts w:eastAsia="Times New Roman" w:cs="Calibri"/>
                <w:color w:val="FFFFFF"/>
                <w:sz w:val="18"/>
                <w:szCs w:val="24"/>
                <w:lang w:eastAsia="es-CR"/>
              </w:rPr>
            </w:pPr>
            <w:r w:rsidRPr="00396CB4">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659A9D54"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7792814B"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Si</w:t>
            </w:r>
          </w:p>
        </w:tc>
        <w:tc>
          <w:tcPr>
            <w:tcW w:w="1067" w:type="dxa"/>
            <w:tcBorders>
              <w:top w:val="nil"/>
              <w:left w:val="nil"/>
              <w:bottom w:val="single" w:sz="8" w:space="0" w:color="auto"/>
              <w:right w:val="single" w:sz="8" w:space="0" w:color="auto"/>
            </w:tcBorders>
            <w:shd w:val="clear" w:color="auto" w:fill="auto"/>
            <w:noWrap/>
            <w:vAlign w:val="bottom"/>
            <w:hideMark/>
          </w:tcPr>
          <w:p w14:paraId="4A771C06"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92,00%</w:t>
            </w:r>
          </w:p>
        </w:tc>
        <w:tc>
          <w:tcPr>
            <w:tcW w:w="1157" w:type="dxa"/>
            <w:tcBorders>
              <w:top w:val="nil"/>
              <w:left w:val="nil"/>
              <w:bottom w:val="single" w:sz="8" w:space="0" w:color="auto"/>
              <w:right w:val="single" w:sz="8" w:space="0" w:color="auto"/>
            </w:tcBorders>
            <w:shd w:val="clear" w:color="auto" w:fill="auto"/>
            <w:noWrap/>
            <w:vAlign w:val="bottom"/>
            <w:hideMark/>
          </w:tcPr>
          <w:p w14:paraId="567ADCBB"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Si</w:t>
            </w:r>
          </w:p>
        </w:tc>
      </w:tr>
      <w:tr w:rsidR="00396CB4" w:rsidRPr="00396CB4" w14:paraId="16169A23" w14:textId="77777777" w:rsidTr="00396CB4">
        <w:trPr>
          <w:divId w:val="2105030683"/>
          <w:trHeight w:val="324"/>
        </w:trPr>
        <w:tc>
          <w:tcPr>
            <w:tcW w:w="851" w:type="dxa"/>
            <w:tcBorders>
              <w:top w:val="nil"/>
              <w:left w:val="single" w:sz="8" w:space="0" w:color="auto"/>
              <w:bottom w:val="single" w:sz="8" w:space="0" w:color="auto"/>
              <w:right w:val="nil"/>
            </w:tcBorders>
            <w:shd w:val="clear" w:color="auto" w:fill="auto"/>
            <w:vAlign w:val="center"/>
            <w:hideMark/>
          </w:tcPr>
          <w:p w14:paraId="4D362C1B" w14:textId="77777777" w:rsidR="00396CB4" w:rsidRPr="00396CB4" w:rsidRDefault="00396CB4" w:rsidP="00396CB4">
            <w:pPr>
              <w:spacing w:after="0" w:line="240" w:lineRule="auto"/>
              <w:rPr>
                <w:rFonts w:eastAsia="Times New Roman" w:cs="Calibri"/>
                <w:b/>
                <w:bCs/>
                <w:i/>
                <w:iCs/>
                <w:color w:val="000000"/>
                <w:sz w:val="18"/>
                <w:szCs w:val="18"/>
                <w:lang w:eastAsia="es-CR"/>
              </w:rPr>
            </w:pPr>
            <w:r w:rsidRPr="00396CB4">
              <w:rPr>
                <w:rFonts w:eastAsia="Times New Roman" w:cs="Calibri"/>
                <w:b/>
                <w:bCs/>
                <w:i/>
                <w:iCs/>
                <w:color w:val="000000"/>
                <w:sz w:val="18"/>
                <w:szCs w:val="18"/>
                <w:lang w:eastAsia="es-CR"/>
              </w:rPr>
              <w:t>NICSP 20</w:t>
            </w:r>
          </w:p>
        </w:tc>
        <w:tc>
          <w:tcPr>
            <w:tcW w:w="3685" w:type="dxa"/>
            <w:tcBorders>
              <w:top w:val="nil"/>
              <w:left w:val="single" w:sz="8" w:space="0" w:color="auto"/>
              <w:bottom w:val="single" w:sz="8" w:space="0" w:color="auto"/>
              <w:right w:val="nil"/>
            </w:tcBorders>
            <w:shd w:val="clear" w:color="auto" w:fill="auto"/>
            <w:vAlign w:val="center"/>
            <w:hideMark/>
          </w:tcPr>
          <w:p w14:paraId="3246D656" w14:textId="77777777" w:rsidR="00396CB4" w:rsidRPr="00396CB4" w:rsidRDefault="00396CB4" w:rsidP="00396CB4">
            <w:pPr>
              <w:spacing w:after="0" w:line="240" w:lineRule="auto"/>
              <w:rPr>
                <w:rFonts w:eastAsia="Times New Roman" w:cs="Calibri"/>
                <w:color w:val="000000"/>
                <w:sz w:val="18"/>
                <w:lang w:eastAsia="es-CR"/>
              </w:rPr>
            </w:pPr>
            <w:r w:rsidRPr="00396CB4">
              <w:rPr>
                <w:rFonts w:eastAsia="Times New Roman" w:cs="Calibri"/>
                <w:color w:val="000000"/>
                <w:sz w:val="18"/>
                <w:lang w:eastAsia="es-CR"/>
              </w:rPr>
              <w:t>Información a Revelar sobre partes relacionadas</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62996281" w14:textId="77777777" w:rsidR="00396CB4" w:rsidRPr="00396CB4" w:rsidRDefault="00396CB4" w:rsidP="00396CB4">
            <w:pPr>
              <w:spacing w:after="0" w:line="240" w:lineRule="auto"/>
              <w:jc w:val="center"/>
              <w:rPr>
                <w:rFonts w:eastAsia="Times New Roman" w:cs="Calibri"/>
                <w:color w:val="FFFFFF"/>
                <w:sz w:val="18"/>
                <w:szCs w:val="24"/>
                <w:lang w:eastAsia="es-CR"/>
              </w:rPr>
            </w:pPr>
            <w:r w:rsidRPr="00396CB4">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3164D0B9"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03A8053B"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Si</w:t>
            </w:r>
          </w:p>
        </w:tc>
        <w:tc>
          <w:tcPr>
            <w:tcW w:w="1067" w:type="dxa"/>
            <w:tcBorders>
              <w:top w:val="nil"/>
              <w:left w:val="nil"/>
              <w:bottom w:val="single" w:sz="8" w:space="0" w:color="auto"/>
              <w:right w:val="single" w:sz="8" w:space="0" w:color="auto"/>
            </w:tcBorders>
            <w:shd w:val="clear" w:color="auto" w:fill="auto"/>
            <w:noWrap/>
            <w:vAlign w:val="bottom"/>
            <w:hideMark/>
          </w:tcPr>
          <w:p w14:paraId="5FDD4880"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64,00%</w:t>
            </w:r>
          </w:p>
        </w:tc>
        <w:tc>
          <w:tcPr>
            <w:tcW w:w="1157" w:type="dxa"/>
            <w:tcBorders>
              <w:top w:val="nil"/>
              <w:left w:val="nil"/>
              <w:bottom w:val="single" w:sz="8" w:space="0" w:color="auto"/>
              <w:right w:val="single" w:sz="8" w:space="0" w:color="auto"/>
            </w:tcBorders>
            <w:shd w:val="clear" w:color="auto" w:fill="auto"/>
            <w:noWrap/>
            <w:vAlign w:val="bottom"/>
            <w:hideMark/>
          </w:tcPr>
          <w:p w14:paraId="47334CD0"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Si</w:t>
            </w:r>
          </w:p>
        </w:tc>
      </w:tr>
      <w:tr w:rsidR="00396CB4" w:rsidRPr="00396CB4" w14:paraId="45111BD1" w14:textId="77777777" w:rsidTr="00396CB4">
        <w:trPr>
          <w:divId w:val="2105030683"/>
          <w:trHeight w:val="324"/>
        </w:trPr>
        <w:tc>
          <w:tcPr>
            <w:tcW w:w="851" w:type="dxa"/>
            <w:tcBorders>
              <w:top w:val="nil"/>
              <w:left w:val="single" w:sz="8" w:space="0" w:color="auto"/>
              <w:bottom w:val="single" w:sz="8" w:space="0" w:color="auto"/>
              <w:right w:val="nil"/>
            </w:tcBorders>
            <w:shd w:val="clear" w:color="auto" w:fill="auto"/>
            <w:vAlign w:val="center"/>
            <w:hideMark/>
          </w:tcPr>
          <w:p w14:paraId="7C23EAA2" w14:textId="77777777" w:rsidR="00396CB4" w:rsidRPr="00396CB4" w:rsidRDefault="00396CB4" w:rsidP="00396CB4">
            <w:pPr>
              <w:spacing w:after="0" w:line="240" w:lineRule="auto"/>
              <w:rPr>
                <w:rFonts w:eastAsia="Times New Roman" w:cs="Calibri"/>
                <w:b/>
                <w:bCs/>
                <w:i/>
                <w:iCs/>
                <w:color w:val="000000"/>
                <w:sz w:val="18"/>
                <w:szCs w:val="18"/>
                <w:lang w:eastAsia="es-CR"/>
              </w:rPr>
            </w:pPr>
            <w:r w:rsidRPr="00396CB4">
              <w:rPr>
                <w:rFonts w:eastAsia="Times New Roman" w:cs="Calibri"/>
                <w:b/>
                <w:bCs/>
                <w:i/>
                <w:iCs/>
                <w:color w:val="000000"/>
                <w:sz w:val="18"/>
                <w:szCs w:val="18"/>
                <w:lang w:eastAsia="es-CR"/>
              </w:rPr>
              <w:t>NICSP 21</w:t>
            </w:r>
          </w:p>
        </w:tc>
        <w:tc>
          <w:tcPr>
            <w:tcW w:w="3685" w:type="dxa"/>
            <w:tcBorders>
              <w:top w:val="nil"/>
              <w:left w:val="single" w:sz="8" w:space="0" w:color="auto"/>
              <w:bottom w:val="single" w:sz="8" w:space="0" w:color="auto"/>
              <w:right w:val="nil"/>
            </w:tcBorders>
            <w:shd w:val="clear" w:color="auto" w:fill="auto"/>
            <w:vAlign w:val="center"/>
            <w:hideMark/>
          </w:tcPr>
          <w:p w14:paraId="08ED325B" w14:textId="77777777" w:rsidR="00396CB4" w:rsidRPr="00396CB4" w:rsidRDefault="00396CB4" w:rsidP="00396CB4">
            <w:pPr>
              <w:spacing w:after="0" w:line="240" w:lineRule="auto"/>
              <w:rPr>
                <w:rFonts w:eastAsia="Times New Roman" w:cs="Calibri"/>
                <w:color w:val="000000"/>
                <w:sz w:val="18"/>
                <w:lang w:eastAsia="es-CR"/>
              </w:rPr>
            </w:pPr>
            <w:r w:rsidRPr="00396CB4">
              <w:rPr>
                <w:rFonts w:eastAsia="Times New Roman" w:cs="Calibri"/>
                <w:color w:val="000000"/>
                <w:sz w:val="18"/>
                <w:lang w:eastAsia="es-CR"/>
              </w:rPr>
              <w:t>Deterioro de Valor de Activos no generadores de Efectivo</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0EB176F2" w14:textId="77777777" w:rsidR="00396CB4" w:rsidRPr="00396CB4" w:rsidRDefault="00396CB4" w:rsidP="00396CB4">
            <w:pPr>
              <w:spacing w:after="0" w:line="240" w:lineRule="auto"/>
              <w:jc w:val="center"/>
              <w:rPr>
                <w:rFonts w:eastAsia="Times New Roman" w:cs="Calibri"/>
                <w:color w:val="FFFFFF"/>
                <w:sz w:val="18"/>
                <w:szCs w:val="24"/>
                <w:lang w:eastAsia="es-CR"/>
              </w:rPr>
            </w:pPr>
            <w:r w:rsidRPr="00396CB4">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492CE9FF"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5B19AB6F"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Si</w:t>
            </w:r>
          </w:p>
        </w:tc>
        <w:tc>
          <w:tcPr>
            <w:tcW w:w="1067" w:type="dxa"/>
            <w:tcBorders>
              <w:top w:val="nil"/>
              <w:left w:val="nil"/>
              <w:bottom w:val="single" w:sz="8" w:space="0" w:color="auto"/>
              <w:right w:val="single" w:sz="8" w:space="0" w:color="auto"/>
            </w:tcBorders>
            <w:shd w:val="clear" w:color="auto" w:fill="auto"/>
            <w:noWrap/>
            <w:vAlign w:val="bottom"/>
            <w:hideMark/>
          </w:tcPr>
          <w:p w14:paraId="02D2AC53"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26,67%</w:t>
            </w:r>
          </w:p>
        </w:tc>
        <w:tc>
          <w:tcPr>
            <w:tcW w:w="1157" w:type="dxa"/>
            <w:tcBorders>
              <w:top w:val="nil"/>
              <w:left w:val="nil"/>
              <w:bottom w:val="single" w:sz="8" w:space="0" w:color="auto"/>
              <w:right w:val="single" w:sz="8" w:space="0" w:color="auto"/>
            </w:tcBorders>
            <w:shd w:val="clear" w:color="auto" w:fill="auto"/>
            <w:noWrap/>
            <w:vAlign w:val="bottom"/>
            <w:hideMark/>
          </w:tcPr>
          <w:p w14:paraId="6729AE50"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Si</w:t>
            </w:r>
          </w:p>
        </w:tc>
      </w:tr>
      <w:tr w:rsidR="00396CB4" w:rsidRPr="00396CB4" w14:paraId="29FBAABC" w14:textId="77777777" w:rsidTr="00396CB4">
        <w:trPr>
          <w:divId w:val="2105030683"/>
          <w:trHeight w:val="528"/>
        </w:trPr>
        <w:tc>
          <w:tcPr>
            <w:tcW w:w="851" w:type="dxa"/>
            <w:tcBorders>
              <w:top w:val="nil"/>
              <w:left w:val="single" w:sz="8" w:space="0" w:color="auto"/>
              <w:bottom w:val="single" w:sz="8" w:space="0" w:color="auto"/>
              <w:right w:val="nil"/>
            </w:tcBorders>
            <w:shd w:val="clear" w:color="auto" w:fill="auto"/>
            <w:vAlign w:val="center"/>
            <w:hideMark/>
          </w:tcPr>
          <w:p w14:paraId="3C64E8DC" w14:textId="77777777" w:rsidR="00396CB4" w:rsidRPr="00396CB4" w:rsidRDefault="00396CB4" w:rsidP="00396CB4">
            <w:pPr>
              <w:spacing w:after="0" w:line="240" w:lineRule="auto"/>
              <w:rPr>
                <w:rFonts w:eastAsia="Times New Roman" w:cs="Calibri"/>
                <w:b/>
                <w:bCs/>
                <w:i/>
                <w:iCs/>
                <w:color w:val="000000"/>
                <w:sz w:val="18"/>
                <w:szCs w:val="18"/>
                <w:lang w:eastAsia="es-CR"/>
              </w:rPr>
            </w:pPr>
            <w:r w:rsidRPr="00396CB4">
              <w:rPr>
                <w:rFonts w:eastAsia="Times New Roman" w:cs="Calibri"/>
                <w:b/>
                <w:bCs/>
                <w:i/>
                <w:iCs/>
                <w:color w:val="000000"/>
                <w:sz w:val="18"/>
                <w:szCs w:val="18"/>
                <w:lang w:eastAsia="es-CR"/>
              </w:rPr>
              <w:t>NICSP 22</w:t>
            </w:r>
          </w:p>
        </w:tc>
        <w:tc>
          <w:tcPr>
            <w:tcW w:w="3685" w:type="dxa"/>
            <w:tcBorders>
              <w:top w:val="nil"/>
              <w:left w:val="single" w:sz="8" w:space="0" w:color="auto"/>
              <w:bottom w:val="single" w:sz="8" w:space="0" w:color="auto"/>
              <w:right w:val="nil"/>
            </w:tcBorders>
            <w:shd w:val="clear" w:color="auto" w:fill="auto"/>
            <w:vAlign w:val="center"/>
            <w:hideMark/>
          </w:tcPr>
          <w:p w14:paraId="064601CA" w14:textId="77777777" w:rsidR="00396CB4" w:rsidRPr="00396CB4" w:rsidRDefault="00396CB4" w:rsidP="00396CB4">
            <w:pPr>
              <w:spacing w:after="0" w:line="240" w:lineRule="auto"/>
              <w:rPr>
                <w:rFonts w:eastAsia="Times New Roman" w:cs="Calibri"/>
                <w:color w:val="000000"/>
                <w:sz w:val="18"/>
                <w:lang w:eastAsia="es-CR"/>
              </w:rPr>
            </w:pPr>
            <w:r w:rsidRPr="00396CB4">
              <w:rPr>
                <w:rFonts w:eastAsia="Times New Roman" w:cs="Calibri"/>
                <w:color w:val="000000"/>
                <w:sz w:val="18"/>
                <w:lang w:eastAsia="es-CR"/>
              </w:rPr>
              <w:t>Revelación de Información Financiera sobre Sector Gobierno General</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46BF48E5" w14:textId="77777777" w:rsidR="00396CB4" w:rsidRPr="00396CB4" w:rsidRDefault="00396CB4" w:rsidP="00396CB4">
            <w:pPr>
              <w:spacing w:after="0" w:line="240" w:lineRule="auto"/>
              <w:jc w:val="center"/>
              <w:rPr>
                <w:rFonts w:eastAsia="Times New Roman" w:cs="Calibri"/>
                <w:color w:val="FFFFFF"/>
                <w:sz w:val="18"/>
                <w:szCs w:val="24"/>
                <w:lang w:eastAsia="es-CR"/>
              </w:rPr>
            </w:pPr>
            <w:r w:rsidRPr="00396CB4">
              <w:rPr>
                <w:rFonts w:eastAsia="Times New Roman" w:cs="Calibri"/>
                <w:color w:val="FFFFFF"/>
                <w:sz w:val="18"/>
                <w:szCs w:val="24"/>
                <w:lang w:eastAsia="es-CR"/>
              </w:rPr>
              <w:t>NO</w:t>
            </w:r>
          </w:p>
        </w:tc>
        <w:tc>
          <w:tcPr>
            <w:tcW w:w="970" w:type="dxa"/>
            <w:tcBorders>
              <w:top w:val="nil"/>
              <w:left w:val="nil"/>
              <w:bottom w:val="single" w:sz="8" w:space="0" w:color="auto"/>
              <w:right w:val="nil"/>
            </w:tcBorders>
            <w:shd w:val="clear" w:color="auto" w:fill="auto"/>
            <w:vAlign w:val="center"/>
            <w:hideMark/>
          </w:tcPr>
          <w:p w14:paraId="335C60F8"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31-12-2022</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7A00D385"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No</w:t>
            </w:r>
          </w:p>
        </w:tc>
        <w:tc>
          <w:tcPr>
            <w:tcW w:w="1067" w:type="dxa"/>
            <w:tcBorders>
              <w:top w:val="nil"/>
              <w:left w:val="nil"/>
              <w:bottom w:val="single" w:sz="8" w:space="0" w:color="auto"/>
              <w:right w:val="single" w:sz="8" w:space="0" w:color="auto"/>
            </w:tcBorders>
            <w:shd w:val="clear" w:color="auto" w:fill="auto"/>
            <w:noWrap/>
            <w:vAlign w:val="bottom"/>
            <w:hideMark/>
          </w:tcPr>
          <w:p w14:paraId="0CBF95D2"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 </w:t>
            </w:r>
          </w:p>
        </w:tc>
        <w:tc>
          <w:tcPr>
            <w:tcW w:w="1157" w:type="dxa"/>
            <w:tcBorders>
              <w:top w:val="nil"/>
              <w:left w:val="nil"/>
              <w:bottom w:val="single" w:sz="8" w:space="0" w:color="auto"/>
              <w:right w:val="single" w:sz="8" w:space="0" w:color="auto"/>
            </w:tcBorders>
            <w:shd w:val="clear" w:color="auto" w:fill="auto"/>
            <w:noWrap/>
            <w:vAlign w:val="bottom"/>
            <w:hideMark/>
          </w:tcPr>
          <w:p w14:paraId="2CE3608C"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 </w:t>
            </w:r>
          </w:p>
        </w:tc>
      </w:tr>
      <w:tr w:rsidR="00396CB4" w:rsidRPr="00396CB4" w14:paraId="7B0C77C6" w14:textId="77777777" w:rsidTr="00396CB4">
        <w:trPr>
          <w:divId w:val="2105030683"/>
          <w:trHeight w:val="564"/>
        </w:trPr>
        <w:tc>
          <w:tcPr>
            <w:tcW w:w="851" w:type="dxa"/>
            <w:tcBorders>
              <w:top w:val="nil"/>
              <w:left w:val="single" w:sz="8" w:space="0" w:color="auto"/>
              <w:bottom w:val="single" w:sz="8" w:space="0" w:color="auto"/>
              <w:right w:val="nil"/>
            </w:tcBorders>
            <w:shd w:val="clear" w:color="auto" w:fill="auto"/>
            <w:vAlign w:val="center"/>
            <w:hideMark/>
          </w:tcPr>
          <w:p w14:paraId="36D1B9E7" w14:textId="77777777" w:rsidR="00396CB4" w:rsidRPr="00396CB4" w:rsidRDefault="00396CB4" w:rsidP="00396CB4">
            <w:pPr>
              <w:spacing w:after="0" w:line="240" w:lineRule="auto"/>
              <w:rPr>
                <w:rFonts w:eastAsia="Times New Roman" w:cs="Calibri"/>
                <w:b/>
                <w:bCs/>
                <w:i/>
                <w:iCs/>
                <w:color w:val="000000"/>
                <w:sz w:val="18"/>
                <w:szCs w:val="18"/>
                <w:lang w:eastAsia="es-CR"/>
              </w:rPr>
            </w:pPr>
            <w:r w:rsidRPr="00396CB4">
              <w:rPr>
                <w:rFonts w:eastAsia="Times New Roman" w:cs="Calibri"/>
                <w:b/>
                <w:bCs/>
                <w:i/>
                <w:iCs/>
                <w:color w:val="000000"/>
                <w:sz w:val="18"/>
                <w:szCs w:val="18"/>
                <w:lang w:eastAsia="es-CR"/>
              </w:rPr>
              <w:t>NICSP 23</w:t>
            </w:r>
          </w:p>
        </w:tc>
        <w:tc>
          <w:tcPr>
            <w:tcW w:w="3685" w:type="dxa"/>
            <w:tcBorders>
              <w:top w:val="nil"/>
              <w:left w:val="single" w:sz="8" w:space="0" w:color="auto"/>
              <w:bottom w:val="single" w:sz="8" w:space="0" w:color="auto"/>
              <w:right w:val="nil"/>
            </w:tcBorders>
            <w:shd w:val="clear" w:color="auto" w:fill="auto"/>
            <w:vAlign w:val="center"/>
            <w:hideMark/>
          </w:tcPr>
          <w:p w14:paraId="26D590F6" w14:textId="77777777" w:rsidR="00396CB4" w:rsidRPr="00396CB4" w:rsidRDefault="00396CB4" w:rsidP="00396CB4">
            <w:pPr>
              <w:spacing w:after="0" w:line="240" w:lineRule="auto"/>
              <w:rPr>
                <w:rFonts w:eastAsia="Times New Roman" w:cs="Calibri"/>
                <w:color w:val="000000"/>
                <w:sz w:val="18"/>
                <w:lang w:eastAsia="es-CR"/>
              </w:rPr>
            </w:pPr>
            <w:r w:rsidRPr="00396CB4">
              <w:rPr>
                <w:rFonts w:eastAsia="Times New Roman" w:cs="Calibri"/>
                <w:color w:val="000000"/>
                <w:sz w:val="18"/>
                <w:lang w:eastAsia="es-CR"/>
              </w:rPr>
              <w:t>Ingresos ordinarios provenientes de transacciones que no son de intercambio (Impuestos y transferencias)</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6A26F020" w14:textId="77777777" w:rsidR="00396CB4" w:rsidRPr="00396CB4" w:rsidRDefault="00396CB4" w:rsidP="00396CB4">
            <w:pPr>
              <w:spacing w:after="0" w:line="240" w:lineRule="auto"/>
              <w:jc w:val="center"/>
              <w:rPr>
                <w:rFonts w:eastAsia="Times New Roman" w:cs="Calibri"/>
                <w:color w:val="FFFFFF"/>
                <w:sz w:val="18"/>
                <w:szCs w:val="24"/>
                <w:lang w:eastAsia="es-CR"/>
              </w:rPr>
            </w:pPr>
            <w:r w:rsidRPr="00396CB4">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72D6F5C1"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3B9EF02A"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Si</w:t>
            </w:r>
          </w:p>
        </w:tc>
        <w:tc>
          <w:tcPr>
            <w:tcW w:w="1067" w:type="dxa"/>
            <w:tcBorders>
              <w:top w:val="nil"/>
              <w:left w:val="nil"/>
              <w:bottom w:val="single" w:sz="8" w:space="0" w:color="auto"/>
              <w:right w:val="single" w:sz="8" w:space="0" w:color="auto"/>
            </w:tcBorders>
            <w:shd w:val="clear" w:color="auto" w:fill="auto"/>
            <w:noWrap/>
            <w:vAlign w:val="bottom"/>
            <w:hideMark/>
          </w:tcPr>
          <w:p w14:paraId="5B704942"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96,47%</w:t>
            </w:r>
          </w:p>
        </w:tc>
        <w:tc>
          <w:tcPr>
            <w:tcW w:w="1157" w:type="dxa"/>
            <w:tcBorders>
              <w:top w:val="nil"/>
              <w:left w:val="nil"/>
              <w:bottom w:val="single" w:sz="8" w:space="0" w:color="auto"/>
              <w:right w:val="single" w:sz="8" w:space="0" w:color="auto"/>
            </w:tcBorders>
            <w:shd w:val="clear" w:color="auto" w:fill="auto"/>
            <w:noWrap/>
            <w:vAlign w:val="bottom"/>
            <w:hideMark/>
          </w:tcPr>
          <w:p w14:paraId="7DB7462F"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Si</w:t>
            </w:r>
          </w:p>
        </w:tc>
      </w:tr>
      <w:tr w:rsidR="00396CB4" w:rsidRPr="00396CB4" w14:paraId="6A5B254A" w14:textId="77777777" w:rsidTr="00396CB4">
        <w:trPr>
          <w:divId w:val="2105030683"/>
          <w:trHeight w:val="540"/>
        </w:trPr>
        <w:tc>
          <w:tcPr>
            <w:tcW w:w="851" w:type="dxa"/>
            <w:tcBorders>
              <w:top w:val="nil"/>
              <w:left w:val="single" w:sz="8" w:space="0" w:color="auto"/>
              <w:bottom w:val="single" w:sz="8" w:space="0" w:color="auto"/>
              <w:right w:val="nil"/>
            </w:tcBorders>
            <w:shd w:val="clear" w:color="auto" w:fill="auto"/>
            <w:vAlign w:val="center"/>
            <w:hideMark/>
          </w:tcPr>
          <w:p w14:paraId="285BED21" w14:textId="77777777" w:rsidR="00396CB4" w:rsidRPr="00396CB4" w:rsidRDefault="00396CB4" w:rsidP="00396CB4">
            <w:pPr>
              <w:spacing w:after="0" w:line="240" w:lineRule="auto"/>
              <w:rPr>
                <w:rFonts w:eastAsia="Times New Roman" w:cs="Calibri"/>
                <w:b/>
                <w:bCs/>
                <w:i/>
                <w:iCs/>
                <w:color w:val="000000"/>
                <w:sz w:val="18"/>
                <w:szCs w:val="18"/>
                <w:lang w:eastAsia="es-CR"/>
              </w:rPr>
            </w:pPr>
            <w:r w:rsidRPr="00396CB4">
              <w:rPr>
                <w:rFonts w:eastAsia="Times New Roman" w:cs="Calibri"/>
                <w:b/>
                <w:bCs/>
                <w:i/>
                <w:iCs/>
                <w:color w:val="000000"/>
                <w:sz w:val="18"/>
                <w:szCs w:val="18"/>
                <w:lang w:eastAsia="es-CR"/>
              </w:rPr>
              <w:t>NICSP 24</w:t>
            </w:r>
          </w:p>
        </w:tc>
        <w:tc>
          <w:tcPr>
            <w:tcW w:w="3685" w:type="dxa"/>
            <w:tcBorders>
              <w:top w:val="nil"/>
              <w:left w:val="single" w:sz="8" w:space="0" w:color="auto"/>
              <w:bottom w:val="single" w:sz="8" w:space="0" w:color="auto"/>
              <w:right w:val="nil"/>
            </w:tcBorders>
            <w:shd w:val="clear" w:color="auto" w:fill="auto"/>
            <w:vAlign w:val="center"/>
            <w:hideMark/>
          </w:tcPr>
          <w:p w14:paraId="69A4CAC0" w14:textId="77777777" w:rsidR="00396CB4" w:rsidRPr="00396CB4" w:rsidRDefault="00396CB4" w:rsidP="00396CB4">
            <w:pPr>
              <w:spacing w:after="0" w:line="240" w:lineRule="auto"/>
              <w:rPr>
                <w:rFonts w:eastAsia="Times New Roman" w:cs="Calibri"/>
                <w:color w:val="000000"/>
                <w:sz w:val="18"/>
                <w:lang w:eastAsia="es-CR"/>
              </w:rPr>
            </w:pPr>
            <w:r w:rsidRPr="00396CB4">
              <w:rPr>
                <w:rFonts w:eastAsia="Times New Roman" w:cs="Calibri"/>
                <w:color w:val="000000"/>
                <w:sz w:val="18"/>
                <w:lang w:eastAsia="es-CR"/>
              </w:rPr>
              <w:t>Presentación de Información del presupuesto en los Estados Financieros</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720317B1" w14:textId="77777777" w:rsidR="00396CB4" w:rsidRPr="00396CB4" w:rsidRDefault="00396CB4" w:rsidP="00396CB4">
            <w:pPr>
              <w:spacing w:after="0" w:line="240" w:lineRule="auto"/>
              <w:jc w:val="center"/>
              <w:rPr>
                <w:rFonts w:eastAsia="Times New Roman" w:cs="Calibri"/>
                <w:color w:val="FFFFFF"/>
                <w:sz w:val="18"/>
                <w:szCs w:val="24"/>
                <w:lang w:eastAsia="es-CR"/>
              </w:rPr>
            </w:pPr>
            <w:r w:rsidRPr="00396CB4">
              <w:rPr>
                <w:rFonts w:eastAsia="Times New Roman" w:cs="Calibri"/>
                <w:color w:val="FFFFFF"/>
                <w:sz w:val="18"/>
                <w:szCs w:val="24"/>
                <w:lang w:eastAsia="es-CR"/>
              </w:rPr>
              <w:t>NO</w:t>
            </w:r>
          </w:p>
        </w:tc>
        <w:tc>
          <w:tcPr>
            <w:tcW w:w="970" w:type="dxa"/>
            <w:tcBorders>
              <w:top w:val="nil"/>
              <w:left w:val="nil"/>
              <w:bottom w:val="single" w:sz="8" w:space="0" w:color="auto"/>
              <w:right w:val="nil"/>
            </w:tcBorders>
            <w:shd w:val="clear" w:color="auto" w:fill="auto"/>
            <w:vAlign w:val="center"/>
            <w:hideMark/>
          </w:tcPr>
          <w:p w14:paraId="7BB0C95F"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31-12-2022</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482A4D41"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Si</w:t>
            </w:r>
          </w:p>
        </w:tc>
        <w:tc>
          <w:tcPr>
            <w:tcW w:w="1067" w:type="dxa"/>
            <w:tcBorders>
              <w:top w:val="nil"/>
              <w:left w:val="nil"/>
              <w:bottom w:val="single" w:sz="8" w:space="0" w:color="auto"/>
              <w:right w:val="single" w:sz="8" w:space="0" w:color="auto"/>
            </w:tcBorders>
            <w:shd w:val="clear" w:color="auto" w:fill="auto"/>
            <w:noWrap/>
            <w:vAlign w:val="bottom"/>
            <w:hideMark/>
          </w:tcPr>
          <w:p w14:paraId="19E28750"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62,50%</w:t>
            </w:r>
          </w:p>
        </w:tc>
        <w:tc>
          <w:tcPr>
            <w:tcW w:w="1157" w:type="dxa"/>
            <w:tcBorders>
              <w:top w:val="nil"/>
              <w:left w:val="nil"/>
              <w:bottom w:val="single" w:sz="8" w:space="0" w:color="auto"/>
              <w:right w:val="single" w:sz="8" w:space="0" w:color="auto"/>
            </w:tcBorders>
            <w:shd w:val="clear" w:color="auto" w:fill="auto"/>
            <w:noWrap/>
            <w:vAlign w:val="bottom"/>
            <w:hideMark/>
          </w:tcPr>
          <w:p w14:paraId="226DD398"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No</w:t>
            </w:r>
          </w:p>
        </w:tc>
      </w:tr>
      <w:tr w:rsidR="00396CB4" w:rsidRPr="00396CB4" w14:paraId="1CB1D0BB" w14:textId="77777777" w:rsidTr="00396CB4">
        <w:trPr>
          <w:divId w:val="2105030683"/>
          <w:trHeight w:val="288"/>
        </w:trPr>
        <w:tc>
          <w:tcPr>
            <w:tcW w:w="851" w:type="dxa"/>
            <w:tcBorders>
              <w:top w:val="nil"/>
              <w:left w:val="single" w:sz="8" w:space="0" w:color="auto"/>
              <w:bottom w:val="single" w:sz="8" w:space="0" w:color="auto"/>
              <w:right w:val="nil"/>
            </w:tcBorders>
            <w:shd w:val="clear" w:color="000000" w:fill="FFC000"/>
            <w:vAlign w:val="center"/>
            <w:hideMark/>
          </w:tcPr>
          <w:p w14:paraId="45B27521" w14:textId="77777777" w:rsidR="00396CB4" w:rsidRPr="00396CB4" w:rsidRDefault="00396CB4" w:rsidP="00396CB4">
            <w:pPr>
              <w:spacing w:after="0" w:line="240" w:lineRule="auto"/>
              <w:rPr>
                <w:rFonts w:eastAsia="Times New Roman" w:cs="Calibri"/>
                <w:b/>
                <w:bCs/>
                <w:i/>
                <w:iCs/>
                <w:color w:val="000000"/>
                <w:sz w:val="18"/>
                <w:szCs w:val="18"/>
                <w:lang w:eastAsia="es-CR"/>
              </w:rPr>
            </w:pPr>
            <w:r w:rsidRPr="00396CB4">
              <w:rPr>
                <w:rFonts w:eastAsia="Times New Roman" w:cs="Calibri"/>
                <w:b/>
                <w:bCs/>
                <w:i/>
                <w:iCs/>
                <w:color w:val="000000"/>
                <w:sz w:val="18"/>
                <w:szCs w:val="18"/>
                <w:lang w:eastAsia="es-CR"/>
              </w:rPr>
              <w:t>NICSP 25</w:t>
            </w:r>
          </w:p>
        </w:tc>
        <w:tc>
          <w:tcPr>
            <w:tcW w:w="3685" w:type="dxa"/>
            <w:tcBorders>
              <w:top w:val="nil"/>
              <w:left w:val="single" w:sz="8" w:space="0" w:color="auto"/>
              <w:bottom w:val="single" w:sz="8" w:space="0" w:color="auto"/>
              <w:right w:val="nil"/>
            </w:tcBorders>
            <w:shd w:val="clear" w:color="000000" w:fill="FFC000"/>
            <w:vAlign w:val="center"/>
            <w:hideMark/>
          </w:tcPr>
          <w:p w14:paraId="6A444662" w14:textId="77777777" w:rsidR="00396CB4" w:rsidRPr="00396CB4" w:rsidRDefault="00396CB4" w:rsidP="00396CB4">
            <w:pPr>
              <w:spacing w:after="0" w:line="240" w:lineRule="auto"/>
              <w:rPr>
                <w:rFonts w:eastAsia="Times New Roman" w:cs="Calibri"/>
                <w:color w:val="000000"/>
                <w:sz w:val="18"/>
                <w:lang w:eastAsia="es-CR"/>
              </w:rPr>
            </w:pPr>
            <w:r w:rsidRPr="00396CB4">
              <w:rPr>
                <w:rFonts w:eastAsia="Times New Roman" w:cs="Calibri"/>
                <w:color w:val="000000"/>
                <w:sz w:val="18"/>
                <w:lang w:eastAsia="es-CR"/>
              </w:rPr>
              <w:t>Beneficios a los Empleados</w:t>
            </w:r>
          </w:p>
        </w:tc>
        <w:tc>
          <w:tcPr>
            <w:tcW w:w="5410" w:type="dxa"/>
            <w:gridSpan w:val="5"/>
            <w:tcBorders>
              <w:top w:val="single" w:sz="8" w:space="0" w:color="auto"/>
              <w:left w:val="single" w:sz="8" w:space="0" w:color="auto"/>
              <w:bottom w:val="single" w:sz="8" w:space="0" w:color="auto"/>
              <w:right w:val="single" w:sz="8" w:space="0" w:color="000000"/>
            </w:tcBorders>
            <w:shd w:val="clear" w:color="000000" w:fill="FFC000"/>
            <w:noWrap/>
            <w:vAlign w:val="center"/>
            <w:hideMark/>
          </w:tcPr>
          <w:p w14:paraId="584CFDCF"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Derogada en la versión 2018</w:t>
            </w:r>
          </w:p>
        </w:tc>
      </w:tr>
      <w:tr w:rsidR="00396CB4" w:rsidRPr="00396CB4" w14:paraId="0E9A662C" w14:textId="77777777" w:rsidTr="00396CB4">
        <w:trPr>
          <w:divId w:val="2105030683"/>
          <w:trHeight w:val="324"/>
        </w:trPr>
        <w:tc>
          <w:tcPr>
            <w:tcW w:w="851" w:type="dxa"/>
            <w:tcBorders>
              <w:top w:val="nil"/>
              <w:left w:val="single" w:sz="8" w:space="0" w:color="auto"/>
              <w:bottom w:val="single" w:sz="8" w:space="0" w:color="auto"/>
              <w:right w:val="nil"/>
            </w:tcBorders>
            <w:shd w:val="clear" w:color="auto" w:fill="auto"/>
            <w:vAlign w:val="center"/>
            <w:hideMark/>
          </w:tcPr>
          <w:p w14:paraId="6CA16A4D" w14:textId="77777777" w:rsidR="00396CB4" w:rsidRPr="00396CB4" w:rsidRDefault="00396CB4" w:rsidP="00396CB4">
            <w:pPr>
              <w:spacing w:after="0" w:line="240" w:lineRule="auto"/>
              <w:rPr>
                <w:rFonts w:eastAsia="Times New Roman" w:cs="Calibri"/>
                <w:b/>
                <w:bCs/>
                <w:i/>
                <w:iCs/>
                <w:color w:val="000000"/>
                <w:sz w:val="18"/>
                <w:szCs w:val="18"/>
                <w:lang w:eastAsia="es-CR"/>
              </w:rPr>
            </w:pPr>
            <w:r w:rsidRPr="00396CB4">
              <w:rPr>
                <w:rFonts w:eastAsia="Times New Roman" w:cs="Calibri"/>
                <w:b/>
                <w:bCs/>
                <w:i/>
                <w:iCs/>
                <w:color w:val="000000"/>
                <w:sz w:val="18"/>
                <w:szCs w:val="18"/>
                <w:lang w:eastAsia="es-CR"/>
              </w:rPr>
              <w:t>NICSP 26</w:t>
            </w:r>
          </w:p>
        </w:tc>
        <w:tc>
          <w:tcPr>
            <w:tcW w:w="3685" w:type="dxa"/>
            <w:tcBorders>
              <w:top w:val="nil"/>
              <w:left w:val="single" w:sz="8" w:space="0" w:color="auto"/>
              <w:bottom w:val="single" w:sz="8" w:space="0" w:color="auto"/>
              <w:right w:val="nil"/>
            </w:tcBorders>
            <w:shd w:val="clear" w:color="auto" w:fill="auto"/>
            <w:vAlign w:val="center"/>
            <w:hideMark/>
          </w:tcPr>
          <w:p w14:paraId="0777FA0C" w14:textId="77777777" w:rsidR="00396CB4" w:rsidRPr="00396CB4" w:rsidRDefault="00396CB4" w:rsidP="00396CB4">
            <w:pPr>
              <w:spacing w:after="0" w:line="240" w:lineRule="auto"/>
              <w:rPr>
                <w:rFonts w:eastAsia="Times New Roman" w:cs="Calibri"/>
                <w:color w:val="000000"/>
                <w:sz w:val="18"/>
                <w:lang w:eastAsia="es-CR"/>
              </w:rPr>
            </w:pPr>
            <w:r w:rsidRPr="00396CB4">
              <w:rPr>
                <w:rFonts w:eastAsia="Times New Roman" w:cs="Calibri"/>
                <w:color w:val="000000"/>
                <w:sz w:val="18"/>
                <w:lang w:eastAsia="es-CR"/>
              </w:rPr>
              <w:t>Deterioro del Valor de Activos generadores de efectivo</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20C04B65" w14:textId="77777777" w:rsidR="00396CB4" w:rsidRPr="00396CB4" w:rsidRDefault="00396CB4" w:rsidP="00396CB4">
            <w:pPr>
              <w:spacing w:after="0" w:line="240" w:lineRule="auto"/>
              <w:jc w:val="center"/>
              <w:rPr>
                <w:rFonts w:eastAsia="Times New Roman" w:cs="Calibri"/>
                <w:color w:val="FFFFFF"/>
                <w:sz w:val="18"/>
                <w:szCs w:val="24"/>
                <w:lang w:eastAsia="es-CR"/>
              </w:rPr>
            </w:pPr>
            <w:r w:rsidRPr="00396CB4">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0C191B8A"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3A42394D"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Si</w:t>
            </w:r>
          </w:p>
        </w:tc>
        <w:tc>
          <w:tcPr>
            <w:tcW w:w="1067" w:type="dxa"/>
            <w:tcBorders>
              <w:top w:val="nil"/>
              <w:left w:val="nil"/>
              <w:bottom w:val="single" w:sz="8" w:space="0" w:color="auto"/>
              <w:right w:val="single" w:sz="8" w:space="0" w:color="auto"/>
            </w:tcBorders>
            <w:shd w:val="clear" w:color="auto" w:fill="auto"/>
            <w:noWrap/>
            <w:vAlign w:val="bottom"/>
            <w:hideMark/>
          </w:tcPr>
          <w:p w14:paraId="199D1358" w14:textId="2352351A" w:rsidR="00396CB4" w:rsidRPr="00396CB4" w:rsidRDefault="00796636" w:rsidP="00396CB4">
            <w:pPr>
              <w:spacing w:after="0" w:line="240" w:lineRule="auto"/>
              <w:jc w:val="center"/>
              <w:rPr>
                <w:rFonts w:eastAsia="Times New Roman" w:cs="Calibri"/>
                <w:color w:val="000000"/>
                <w:sz w:val="18"/>
                <w:lang w:eastAsia="es-CR"/>
              </w:rPr>
            </w:pPr>
            <w:r>
              <w:rPr>
                <w:rFonts w:eastAsia="Times New Roman" w:cs="Calibri"/>
                <w:color w:val="000000"/>
                <w:sz w:val="18"/>
                <w:lang w:eastAsia="es-CR"/>
              </w:rPr>
              <w:t>31</w:t>
            </w:r>
            <w:r w:rsidR="00396CB4" w:rsidRPr="00396CB4">
              <w:rPr>
                <w:rFonts w:eastAsia="Times New Roman" w:cs="Calibri"/>
                <w:color w:val="000000"/>
                <w:sz w:val="18"/>
                <w:lang w:eastAsia="es-CR"/>
              </w:rPr>
              <w:t>,00%</w:t>
            </w:r>
          </w:p>
        </w:tc>
        <w:tc>
          <w:tcPr>
            <w:tcW w:w="1157" w:type="dxa"/>
            <w:tcBorders>
              <w:top w:val="nil"/>
              <w:left w:val="nil"/>
              <w:bottom w:val="single" w:sz="8" w:space="0" w:color="auto"/>
              <w:right w:val="single" w:sz="8" w:space="0" w:color="auto"/>
            </w:tcBorders>
            <w:shd w:val="clear" w:color="auto" w:fill="auto"/>
            <w:noWrap/>
            <w:vAlign w:val="bottom"/>
            <w:hideMark/>
          </w:tcPr>
          <w:p w14:paraId="39FBDEAD"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Si</w:t>
            </w:r>
          </w:p>
        </w:tc>
      </w:tr>
      <w:tr w:rsidR="00396CB4" w:rsidRPr="00396CB4" w14:paraId="3A7B86C7" w14:textId="77777777" w:rsidTr="00396CB4">
        <w:trPr>
          <w:divId w:val="2105030683"/>
          <w:trHeight w:val="324"/>
        </w:trPr>
        <w:tc>
          <w:tcPr>
            <w:tcW w:w="851" w:type="dxa"/>
            <w:tcBorders>
              <w:top w:val="nil"/>
              <w:left w:val="single" w:sz="8" w:space="0" w:color="auto"/>
              <w:bottom w:val="single" w:sz="8" w:space="0" w:color="auto"/>
              <w:right w:val="nil"/>
            </w:tcBorders>
            <w:shd w:val="clear" w:color="auto" w:fill="auto"/>
            <w:vAlign w:val="center"/>
            <w:hideMark/>
          </w:tcPr>
          <w:p w14:paraId="544E58DC" w14:textId="77777777" w:rsidR="00396CB4" w:rsidRPr="00396CB4" w:rsidRDefault="00396CB4" w:rsidP="00396CB4">
            <w:pPr>
              <w:spacing w:after="0" w:line="240" w:lineRule="auto"/>
              <w:rPr>
                <w:rFonts w:eastAsia="Times New Roman" w:cs="Calibri"/>
                <w:b/>
                <w:bCs/>
                <w:i/>
                <w:iCs/>
                <w:color w:val="000000"/>
                <w:sz w:val="18"/>
                <w:szCs w:val="18"/>
                <w:lang w:eastAsia="es-CR"/>
              </w:rPr>
            </w:pPr>
            <w:r w:rsidRPr="00396CB4">
              <w:rPr>
                <w:rFonts w:eastAsia="Times New Roman" w:cs="Calibri"/>
                <w:b/>
                <w:bCs/>
                <w:i/>
                <w:iCs/>
                <w:color w:val="000000"/>
                <w:sz w:val="18"/>
                <w:szCs w:val="18"/>
                <w:lang w:eastAsia="es-CR"/>
              </w:rPr>
              <w:t>NICSP 27</w:t>
            </w:r>
          </w:p>
        </w:tc>
        <w:tc>
          <w:tcPr>
            <w:tcW w:w="3685" w:type="dxa"/>
            <w:tcBorders>
              <w:top w:val="nil"/>
              <w:left w:val="single" w:sz="8" w:space="0" w:color="auto"/>
              <w:bottom w:val="single" w:sz="8" w:space="0" w:color="auto"/>
              <w:right w:val="nil"/>
            </w:tcBorders>
            <w:shd w:val="clear" w:color="auto" w:fill="auto"/>
            <w:vAlign w:val="center"/>
            <w:hideMark/>
          </w:tcPr>
          <w:p w14:paraId="5CB3D692" w14:textId="77777777" w:rsidR="00396CB4" w:rsidRPr="00396CB4" w:rsidRDefault="00396CB4" w:rsidP="00396CB4">
            <w:pPr>
              <w:spacing w:after="0" w:line="240" w:lineRule="auto"/>
              <w:rPr>
                <w:rFonts w:eastAsia="Times New Roman" w:cs="Calibri"/>
                <w:color w:val="000000"/>
                <w:sz w:val="18"/>
                <w:lang w:eastAsia="es-CR"/>
              </w:rPr>
            </w:pPr>
            <w:r w:rsidRPr="00396CB4">
              <w:rPr>
                <w:rFonts w:eastAsia="Times New Roman" w:cs="Calibri"/>
                <w:color w:val="000000"/>
                <w:sz w:val="18"/>
                <w:lang w:eastAsia="es-CR"/>
              </w:rPr>
              <w:t>Agricultura</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7A3B9965" w14:textId="77777777" w:rsidR="00396CB4" w:rsidRPr="00396CB4" w:rsidRDefault="00396CB4" w:rsidP="00396CB4">
            <w:pPr>
              <w:spacing w:after="0" w:line="240" w:lineRule="auto"/>
              <w:jc w:val="center"/>
              <w:rPr>
                <w:rFonts w:eastAsia="Times New Roman" w:cs="Calibri"/>
                <w:color w:val="FFFFFF"/>
                <w:sz w:val="18"/>
                <w:szCs w:val="24"/>
                <w:lang w:eastAsia="es-CR"/>
              </w:rPr>
            </w:pPr>
            <w:r w:rsidRPr="00396CB4">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5B78A948"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3F031715"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No</w:t>
            </w:r>
          </w:p>
        </w:tc>
        <w:tc>
          <w:tcPr>
            <w:tcW w:w="1067" w:type="dxa"/>
            <w:tcBorders>
              <w:top w:val="nil"/>
              <w:left w:val="nil"/>
              <w:bottom w:val="single" w:sz="8" w:space="0" w:color="auto"/>
              <w:right w:val="single" w:sz="8" w:space="0" w:color="auto"/>
            </w:tcBorders>
            <w:shd w:val="clear" w:color="auto" w:fill="auto"/>
            <w:noWrap/>
            <w:vAlign w:val="bottom"/>
            <w:hideMark/>
          </w:tcPr>
          <w:p w14:paraId="749957FE"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 </w:t>
            </w:r>
          </w:p>
        </w:tc>
        <w:tc>
          <w:tcPr>
            <w:tcW w:w="1157" w:type="dxa"/>
            <w:tcBorders>
              <w:top w:val="nil"/>
              <w:left w:val="nil"/>
              <w:bottom w:val="single" w:sz="8" w:space="0" w:color="auto"/>
              <w:right w:val="single" w:sz="8" w:space="0" w:color="auto"/>
            </w:tcBorders>
            <w:shd w:val="clear" w:color="auto" w:fill="auto"/>
            <w:noWrap/>
            <w:vAlign w:val="bottom"/>
            <w:hideMark/>
          </w:tcPr>
          <w:p w14:paraId="39D1A389"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 </w:t>
            </w:r>
          </w:p>
        </w:tc>
      </w:tr>
      <w:tr w:rsidR="00396CB4" w:rsidRPr="00396CB4" w14:paraId="4A67BACD" w14:textId="77777777" w:rsidTr="00396CB4">
        <w:trPr>
          <w:divId w:val="2105030683"/>
          <w:trHeight w:val="324"/>
        </w:trPr>
        <w:tc>
          <w:tcPr>
            <w:tcW w:w="851" w:type="dxa"/>
            <w:tcBorders>
              <w:top w:val="nil"/>
              <w:left w:val="single" w:sz="8" w:space="0" w:color="auto"/>
              <w:bottom w:val="single" w:sz="8" w:space="0" w:color="auto"/>
              <w:right w:val="nil"/>
            </w:tcBorders>
            <w:shd w:val="clear" w:color="auto" w:fill="auto"/>
            <w:vAlign w:val="center"/>
            <w:hideMark/>
          </w:tcPr>
          <w:p w14:paraId="2FEE4920" w14:textId="77777777" w:rsidR="00396CB4" w:rsidRPr="00396CB4" w:rsidRDefault="00396CB4" w:rsidP="00396CB4">
            <w:pPr>
              <w:spacing w:after="0" w:line="240" w:lineRule="auto"/>
              <w:rPr>
                <w:rFonts w:eastAsia="Times New Roman" w:cs="Calibri"/>
                <w:b/>
                <w:bCs/>
                <w:i/>
                <w:iCs/>
                <w:color w:val="000000"/>
                <w:sz w:val="18"/>
                <w:szCs w:val="18"/>
                <w:lang w:eastAsia="es-CR"/>
              </w:rPr>
            </w:pPr>
            <w:r w:rsidRPr="00396CB4">
              <w:rPr>
                <w:rFonts w:eastAsia="Times New Roman" w:cs="Calibri"/>
                <w:b/>
                <w:bCs/>
                <w:i/>
                <w:iCs/>
                <w:color w:val="000000"/>
                <w:sz w:val="18"/>
                <w:szCs w:val="18"/>
                <w:lang w:eastAsia="es-CR"/>
              </w:rPr>
              <w:t>NICSP 28</w:t>
            </w:r>
          </w:p>
        </w:tc>
        <w:tc>
          <w:tcPr>
            <w:tcW w:w="3685" w:type="dxa"/>
            <w:tcBorders>
              <w:top w:val="nil"/>
              <w:left w:val="single" w:sz="8" w:space="0" w:color="auto"/>
              <w:bottom w:val="single" w:sz="8" w:space="0" w:color="auto"/>
              <w:right w:val="nil"/>
            </w:tcBorders>
            <w:shd w:val="clear" w:color="auto" w:fill="auto"/>
            <w:vAlign w:val="center"/>
            <w:hideMark/>
          </w:tcPr>
          <w:p w14:paraId="63781961" w14:textId="77777777" w:rsidR="00396CB4" w:rsidRPr="00396CB4" w:rsidRDefault="00396CB4" w:rsidP="00396CB4">
            <w:pPr>
              <w:spacing w:after="0" w:line="240" w:lineRule="auto"/>
              <w:rPr>
                <w:rFonts w:eastAsia="Times New Roman" w:cs="Calibri"/>
                <w:color w:val="000000"/>
                <w:sz w:val="18"/>
                <w:lang w:eastAsia="es-CR"/>
              </w:rPr>
            </w:pPr>
            <w:r w:rsidRPr="00396CB4">
              <w:rPr>
                <w:rFonts w:eastAsia="Times New Roman" w:cs="Calibri"/>
                <w:color w:val="000000"/>
                <w:sz w:val="18"/>
                <w:lang w:eastAsia="es-CR"/>
              </w:rPr>
              <w:t>Instrumentos Financieros- Presentación</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11728664" w14:textId="77777777" w:rsidR="00396CB4" w:rsidRPr="00396CB4" w:rsidRDefault="00396CB4" w:rsidP="00396CB4">
            <w:pPr>
              <w:spacing w:after="0" w:line="240" w:lineRule="auto"/>
              <w:jc w:val="center"/>
              <w:rPr>
                <w:rFonts w:eastAsia="Times New Roman" w:cs="Calibri"/>
                <w:color w:val="FFFFFF"/>
                <w:sz w:val="18"/>
                <w:szCs w:val="24"/>
                <w:lang w:eastAsia="es-CR"/>
              </w:rPr>
            </w:pPr>
            <w:r w:rsidRPr="00396CB4">
              <w:rPr>
                <w:rFonts w:eastAsia="Times New Roman" w:cs="Calibri"/>
                <w:color w:val="FFFFFF"/>
                <w:sz w:val="18"/>
                <w:szCs w:val="24"/>
                <w:lang w:eastAsia="es-CR"/>
              </w:rPr>
              <w:t>NO</w:t>
            </w:r>
          </w:p>
        </w:tc>
        <w:tc>
          <w:tcPr>
            <w:tcW w:w="970" w:type="dxa"/>
            <w:tcBorders>
              <w:top w:val="nil"/>
              <w:left w:val="nil"/>
              <w:bottom w:val="single" w:sz="8" w:space="0" w:color="auto"/>
              <w:right w:val="nil"/>
            </w:tcBorders>
            <w:shd w:val="clear" w:color="auto" w:fill="auto"/>
            <w:vAlign w:val="center"/>
            <w:hideMark/>
          </w:tcPr>
          <w:p w14:paraId="719A703C"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31-12-2022</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4CD099B1"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Si</w:t>
            </w:r>
          </w:p>
        </w:tc>
        <w:tc>
          <w:tcPr>
            <w:tcW w:w="1067" w:type="dxa"/>
            <w:tcBorders>
              <w:top w:val="nil"/>
              <w:left w:val="nil"/>
              <w:bottom w:val="single" w:sz="8" w:space="0" w:color="auto"/>
              <w:right w:val="single" w:sz="8" w:space="0" w:color="auto"/>
            </w:tcBorders>
            <w:shd w:val="clear" w:color="auto" w:fill="auto"/>
            <w:noWrap/>
            <w:vAlign w:val="bottom"/>
            <w:hideMark/>
          </w:tcPr>
          <w:p w14:paraId="79A50AB7"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100,00%</w:t>
            </w:r>
          </w:p>
        </w:tc>
        <w:tc>
          <w:tcPr>
            <w:tcW w:w="1157" w:type="dxa"/>
            <w:tcBorders>
              <w:top w:val="nil"/>
              <w:left w:val="nil"/>
              <w:bottom w:val="single" w:sz="8" w:space="0" w:color="auto"/>
              <w:right w:val="single" w:sz="8" w:space="0" w:color="auto"/>
            </w:tcBorders>
            <w:shd w:val="clear" w:color="auto" w:fill="auto"/>
            <w:noWrap/>
            <w:vAlign w:val="bottom"/>
            <w:hideMark/>
          </w:tcPr>
          <w:p w14:paraId="4B991281"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0</w:t>
            </w:r>
          </w:p>
        </w:tc>
      </w:tr>
      <w:tr w:rsidR="00396CB4" w:rsidRPr="00396CB4" w14:paraId="69DAEFF7" w14:textId="77777777" w:rsidTr="00396CB4">
        <w:trPr>
          <w:divId w:val="2105030683"/>
          <w:trHeight w:val="324"/>
        </w:trPr>
        <w:tc>
          <w:tcPr>
            <w:tcW w:w="851" w:type="dxa"/>
            <w:tcBorders>
              <w:top w:val="nil"/>
              <w:left w:val="single" w:sz="8" w:space="0" w:color="auto"/>
              <w:bottom w:val="single" w:sz="8" w:space="0" w:color="auto"/>
              <w:right w:val="nil"/>
            </w:tcBorders>
            <w:shd w:val="clear" w:color="auto" w:fill="auto"/>
            <w:vAlign w:val="center"/>
            <w:hideMark/>
          </w:tcPr>
          <w:p w14:paraId="08761F72" w14:textId="77777777" w:rsidR="00396CB4" w:rsidRPr="00396CB4" w:rsidRDefault="00396CB4" w:rsidP="00396CB4">
            <w:pPr>
              <w:spacing w:after="0" w:line="240" w:lineRule="auto"/>
              <w:rPr>
                <w:rFonts w:eastAsia="Times New Roman" w:cs="Calibri"/>
                <w:b/>
                <w:bCs/>
                <w:i/>
                <w:iCs/>
                <w:color w:val="000000"/>
                <w:sz w:val="18"/>
                <w:szCs w:val="18"/>
                <w:lang w:eastAsia="es-CR"/>
              </w:rPr>
            </w:pPr>
            <w:r w:rsidRPr="00396CB4">
              <w:rPr>
                <w:rFonts w:eastAsia="Times New Roman" w:cs="Calibri"/>
                <w:b/>
                <w:bCs/>
                <w:i/>
                <w:iCs/>
                <w:color w:val="000000"/>
                <w:sz w:val="18"/>
                <w:szCs w:val="18"/>
                <w:lang w:eastAsia="es-CR"/>
              </w:rPr>
              <w:t>NICSP 29</w:t>
            </w:r>
          </w:p>
        </w:tc>
        <w:tc>
          <w:tcPr>
            <w:tcW w:w="3685" w:type="dxa"/>
            <w:tcBorders>
              <w:top w:val="nil"/>
              <w:left w:val="single" w:sz="8" w:space="0" w:color="auto"/>
              <w:bottom w:val="single" w:sz="8" w:space="0" w:color="auto"/>
              <w:right w:val="nil"/>
            </w:tcBorders>
            <w:shd w:val="clear" w:color="auto" w:fill="auto"/>
            <w:vAlign w:val="center"/>
            <w:hideMark/>
          </w:tcPr>
          <w:p w14:paraId="36A10B24" w14:textId="77777777" w:rsidR="00396CB4" w:rsidRPr="00396CB4" w:rsidRDefault="00396CB4" w:rsidP="00396CB4">
            <w:pPr>
              <w:spacing w:after="0" w:line="240" w:lineRule="auto"/>
              <w:rPr>
                <w:rFonts w:eastAsia="Times New Roman" w:cs="Calibri"/>
                <w:color w:val="000000"/>
                <w:sz w:val="18"/>
                <w:lang w:eastAsia="es-CR"/>
              </w:rPr>
            </w:pPr>
            <w:r w:rsidRPr="00396CB4">
              <w:rPr>
                <w:rFonts w:eastAsia="Times New Roman" w:cs="Calibri"/>
                <w:color w:val="000000"/>
                <w:sz w:val="18"/>
                <w:lang w:eastAsia="es-CR"/>
              </w:rPr>
              <w:t>Instrumentos Financieros- Reconocimiento y Medición</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5B353CCB" w14:textId="77777777" w:rsidR="00396CB4" w:rsidRPr="00396CB4" w:rsidRDefault="00396CB4" w:rsidP="00396CB4">
            <w:pPr>
              <w:spacing w:after="0" w:line="240" w:lineRule="auto"/>
              <w:jc w:val="center"/>
              <w:rPr>
                <w:rFonts w:eastAsia="Times New Roman" w:cs="Calibri"/>
                <w:color w:val="FFFFFF"/>
                <w:sz w:val="18"/>
                <w:szCs w:val="24"/>
                <w:lang w:eastAsia="es-CR"/>
              </w:rPr>
            </w:pPr>
            <w:r w:rsidRPr="00396CB4">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246A13FC"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148D7507"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Si</w:t>
            </w:r>
          </w:p>
        </w:tc>
        <w:tc>
          <w:tcPr>
            <w:tcW w:w="1067" w:type="dxa"/>
            <w:tcBorders>
              <w:top w:val="nil"/>
              <w:left w:val="nil"/>
              <w:bottom w:val="single" w:sz="8" w:space="0" w:color="auto"/>
              <w:right w:val="single" w:sz="8" w:space="0" w:color="auto"/>
            </w:tcBorders>
            <w:shd w:val="clear" w:color="auto" w:fill="auto"/>
            <w:noWrap/>
            <w:vAlign w:val="bottom"/>
            <w:hideMark/>
          </w:tcPr>
          <w:p w14:paraId="11CF5627"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100,00%</w:t>
            </w:r>
          </w:p>
        </w:tc>
        <w:tc>
          <w:tcPr>
            <w:tcW w:w="1157" w:type="dxa"/>
            <w:tcBorders>
              <w:top w:val="nil"/>
              <w:left w:val="nil"/>
              <w:bottom w:val="single" w:sz="8" w:space="0" w:color="auto"/>
              <w:right w:val="single" w:sz="8" w:space="0" w:color="auto"/>
            </w:tcBorders>
            <w:shd w:val="clear" w:color="auto" w:fill="auto"/>
            <w:noWrap/>
            <w:vAlign w:val="bottom"/>
            <w:hideMark/>
          </w:tcPr>
          <w:p w14:paraId="5A28CA04"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Si</w:t>
            </w:r>
          </w:p>
        </w:tc>
      </w:tr>
      <w:tr w:rsidR="00396CB4" w:rsidRPr="00396CB4" w14:paraId="41E4C09F" w14:textId="77777777" w:rsidTr="00396CB4">
        <w:trPr>
          <w:divId w:val="2105030683"/>
          <w:trHeight w:val="324"/>
        </w:trPr>
        <w:tc>
          <w:tcPr>
            <w:tcW w:w="851" w:type="dxa"/>
            <w:tcBorders>
              <w:top w:val="nil"/>
              <w:left w:val="single" w:sz="8" w:space="0" w:color="auto"/>
              <w:bottom w:val="single" w:sz="8" w:space="0" w:color="auto"/>
              <w:right w:val="nil"/>
            </w:tcBorders>
            <w:shd w:val="clear" w:color="auto" w:fill="auto"/>
            <w:vAlign w:val="center"/>
            <w:hideMark/>
          </w:tcPr>
          <w:p w14:paraId="0F34C1E2" w14:textId="62119AC3" w:rsidR="00396CB4" w:rsidRPr="00396CB4" w:rsidRDefault="00396CB4" w:rsidP="00396CB4">
            <w:pPr>
              <w:spacing w:after="0" w:line="240" w:lineRule="auto"/>
              <w:rPr>
                <w:rFonts w:eastAsia="Times New Roman" w:cs="Calibri"/>
                <w:b/>
                <w:bCs/>
                <w:i/>
                <w:iCs/>
                <w:color w:val="000000"/>
                <w:sz w:val="18"/>
                <w:szCs w:val="18"/>
                <w:lang w:eastAsia="es-CR"/>
              </w:rPr>
            </w:pPr>
            <w:r w:rsidRPr="00396CB4">
              <w:rPr>
                <w:rFonts w:eastAsia="Times New Roman" w:cs="Calibri"/>
                <w:b/>
                <w:bCs/>
                <w:i/>
                <w:iCs/>
                <w:color w:val="000000"/>
                <w:sz w:val="18"/>
                <w:szCs w:val="18"/>
                <w:lang w:eastAsia="es-CR"/>
              </w:rPr>
              <w:t xml:space="preserve">NICSP </w:t>
            </w:r>
            <w:r w:rsidR="00796636">
              <w:rPr>
                <w:rFonts w:eastAsia="Times New Roman" w:cs="Calibri"/>
                <w:b/>
                <w:bCs/>
                <w:i/>
                <w:iCs/>
                <w:color w:val="000000"/>
                <w:sz w:val="18"/>
                <w:szCs w:val="18"/>
                <w:lang w:eastAsia="es-CR"/>
              </w:rPr>
              <w:t>31</w:t>
            </w:r>
          </w:p>
        </w:tc>
        <w:tc>
          <w:tcPr>
            <w:tcW w:w="3685" w:type="dxa"/>
            <w:tcBorders>
              <w:top w:val="nil"/>
              <w:left w:val="single" w:sz="8" w:space="0" w:color="auto"/>
              <w:bottom w:val="single" w:sz="8" w:space="0" w:color="auto"/>
              <w:right w:val="nil"/>
            </w:tcBorders>
            <w:shd w:val="clear" w:color="auto" w:fill="auto"/>
            <w:vAlign w:val="center"/>
            <w:hideMark/>
          </w:tcPr>
          <w:p w14:paraId="75FEA4D5" w14:textId="77777777" w:rsidR="00396CB4" w:rsidRPr="00396CB4" w:rsidRDefault="00396CB4" w:rsidP="00396CB4">
            <w:pPr>
              <w:spacing w:after="0" w:line="240" w:lineRule="auto"/>
              <w:rPr>
                <w:rFonts w:eastAsia="Times New Roman" w:cs="Calibri"/>
                <w:color w:val="000000"/>
                <w:sz w:val="18"/>
                <w:lang w:eastAsia="es-CR"/>
              </w:rPr>
            </w:pPr>
            <w:r w:rsidRPr="00396CB4">
              <w:rPr>
                <w:rFonts w:eastAsia="Times New Roman" w:cs="Calibri"/>
                <w:color w:val="000000"/>
                <w:sz w:val="18"/>
                <w:lang w:eastAsia="es-CR"/>
              </w:rPr>
              <w:t>Instrumentos Financieros- Información a revelar</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45068640" w14:textId="77777777" w:rsidR="00396CB4" w:rsidRPr="00396CB4" w:rsidRDefault="00396CB4" w:rsidP="00396CB4">
            <w:pPr>
              <w:spacing w:after="0" w:line="240" w:lineRule="auto"/>
              <w:jc w:val="center"/>
              <w:rPr>
                <w:rFonts w:eastAsia="Times New Roman" w:cs="Calibri"/>
                <w:color w:val="FFFFFF"/>
                <w:sz w:val="18"/>
                <w:szCs w:val="24"/>
                <w:lang w:eastAsia="es-CR"/>
              </w:rPr>
            </w:pPr>
            <w:r w:rsidRPr="00396CB4">
              <w:rPr>
                <w:rFonts w:eastAsia="Times New Roman" w:cs="Calibri"/>
                <w:color w:val="FFFFFF"/>
                <w:sz w:val="18"/>
                <w:szCs w:val="24"/>
                <w:lang w:eastAsia="es-CR"/>
              </w:rPr>
              <w:t>NO</w:t>
            </w:r>
          </w:p>
        </w:tc>
        <w:tc>
          <w:tcPr>
            <w:tcW w:w="970" w:type="dxa"/>
            <w:tcBorders>
              <w:top w:val="nil"/>
              <w:left w:val="nil"/>
              <w:bottom w:val="single" w:sz="8" w:space="0" w:color="auto"/>
              <w:right w:val="nil"/>
            </w:tcBorders>
            <w:shd w:val="clear" w:color="auto" w:fill="auto"/>
            <w:vAlign w:val="center"/>
            <w:hideMark/>
          </w:tcPr>
          <w:p w14:paraId="26591D4B"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31-12-2022</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43C58A22"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Si</w:t>
            </w:r>
          </w:p>
        </w:tc>
        <w:tc>
          <w:tcPr>
            <w:tcW w:w="1067" w:type="dxa"/>
            <w:tcBorders>
              <w:top w:val="nil"/>
              <w:left w:val="nil"/>
              <w:bottom w:val="single" w:sz="8" w:space="0" w:color="auto"/>
              <w:right w:val="single" w:sz="8" w:space="0" w:color="auto"/>
            </w:tcBorders>
            <w:shd w:val="clear" w:color="auto" w:fill="auto"/>
            <w:noWrap/>
            <w:vAlign w:val="bottom"/>
            <w:hideMark/>
          </w:tcPr>
          <w:p w14:paraId="0C51038F"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65,15%</w:t>
            </w:r>
          </w:p>
        </w:tc>
        <w:tc>
          <w:tcPr>
            <w:tcW w:w="1157" w:type="dxa"/>
            <w:tcBorders>
              <w:top w:val="nil"/>
              <w:left w:val="nil"/>
              <w:bottom w:val="single" w:sz="8" w:space="0" w:color="auto"/>
              <w:right w:val="single" w:sz="8" w:space="0" w:color="auto"/>
            </w:tcBorders>
            <w:shd w:val="clear" w:color="auto" w:fill="auto"/>
            <w:noWrap/>
            <w:vAlign w:val="bottom"/>
            <w:hideMark/>
          </w:tcPr>
          <w:p w14:paraId="1B024A2F"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No</w:t>
            </w:r>
          </w:p>
        </w:tc>
      </w:tr>
      <w:tr w:rsidR="00396CB4" w:rsidRPr="00396CB4" w14:paraId="2E06298E" w14:textId="77777777" w:rsidTr="00396CB4">
        <w:trPr>
          <w:divId w:val="2105030683"/>
          <w:trHeight w:val="324"/>
        </w:trPr>
        <w:tc>
          <w:tcPr>
            <w:tcW w:w="851" w:type="dxa"/>
            <w:tcBorders>
              <w:top w:val="nil"/>
              <w:left w:val="single" w:sz="8" w:space="0" w:color="auto"/>
              <w:bottom w:val="single" w:sz="8" w:space="0" w:color="auto"/>
              <w:right w:val="nil"/>
            </w:tcBorders>
            <w:shd w:val="clear" w:color="auto" w:fill="auto"/>
            <w:vAlign w:val="center"/>
            <w:hideMark/>
          </w:tcPr>
          <w:p w14:paraId="7FBE5B8A" w14:textId="77777777" w:rsidR="00396CB4" w:rsidRPr="00396CB4" w:rsidRDefault="00396CB4" w:rsidP="00396CB4">
            <w:pPr>
              <w:spacing w:after="0" w:line="240" w:lineRule="auto"/>
              <w:rPr>
                <w:rFonts w:eastAsia="Times New Roman" w:cs="Calibri"/>
                <w:b/>
                <w:bCs/>
                <w:i/>
                <w:iCs/>
                <w:color w:val="000000"/>
                <w:sz w:val="18"/>
                <w:szCs w:val="18"/>
                <w:lang w:eastAsia="es-CR"/>
              </w:rPr>
            </w:pPr>
            <w:r w:rsidRPr="00396CB4">
              <w:rPr>
                <w:rFonts w:eastAsia="Times New Roman" w:cs="Calibri"/>
                <w:b/>
                <w:bCs/>
                <w:i/>
                <w:iCs/>
                <w:color w:val="000000"/>
                <w:sz w:val="18"/>
                <w:szCs w:val="18"/>
                <w:lang w:eastAsia="es-CR"/>
              </w:rPr>
              <w:t>NICSP 31</w:t>
            </w:r>
          </w:p>
        </w:tc>
        <w:tc>
          <w:tcPr>
            <w:tcW w:w="3685" w:type="dxa"/>
            <w:tcBorders>
              <w:top w:val="nil"/>
              <w:left w:val="single" w:sz="8" w:space="0" w:color="auto"/>
              <w:bottom w:val="single" w:sz="8" w:space="0" w:color="auto"/>
              <w:right w:val="nil"/>
            </w:tcBorders>
            <w:shd w:val="clear" w:color="auto" w:fill="auto"/>
            <w:vAlign w:val="center"/>
            <w:hideMark/>
          </w:tcPr>
          <w:p w14:paraId="44CABDC9" w14:textId="77777777" w:rsidR="00396CB4" w:rsidRPr="00396CB4" w:rsidRDefault="00396CB4" w:rsidP="00396CB4">
            <w:pPr>
              <w:spacing w:after="0" w:line="240" w:lineRule="auto"/>
              <w:rPr>
                <w:rFonts w:eastAsia="Times New Roman" w:cs="Calibri"/>
                <w:color w:val="000000"/>
                <w:sz w:val="18"/>
                <w:lang w:eastAsia="es-CR"/>
              </w:rPr>
            </w:pPr>
            <w:r w:rsidRPr="00396CB4">
              <w:rPr>
                <w:rFonts w:eastAsia="Times New Roman" w:cs="Calibri"/>
                <w:color w:val="000000"/>
                <w:sz w:val="18"/>
                <w:lang w:eastAsia="es-CR"/>
              </w:rPr>
              <w:t>Activos Intangibles</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30DF9D37" w14:textId="77777777" w:rsidR="00396CB4" w:rsidRPr="00396CB4" w:rsidRDefault="00396CB4" w:rsidP="00396CB4">
            <w:pPr>
              <w:spacing w:after="0" w:line="240" w:lineRule="auto"/>
              <w:jc w:val="center"/>
              <w:rPr>
                <w:rFonts w:eastAsia="Times New Roman" w:cs="Calibri"/>
                <w:color w:val="FFFFFF"/>
                <w:sz w:val="18"/>
                <w:szCs w:val="24"/>
                <w:lang w:eastAsia="es-CR"/>
              </w:rPr>
            </w:pPr>
            <w:r w:rsidRPr="00396CB4">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0D9F0E9E"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2A006964"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Si</w:t>
            </w:r>
          </w:p>
        </w:tc>
        <w:tc>
          <w:tcPr>
            <w:tcW w:w="1067" w:type="dxa"/>
            <w:tcBorders>
              <w:top w:val="nil"/>
              <w:left w:val="nil"/>
              <w:bottom w:val="single" w:sz="8" w:space="0" w:color="auto"/>
              <w:right w:val="single" w:sz="8" w:space="0" w:color="auto"/>
            </w:tcBorders>
            <w:shd w:val="clear" w:color="auto" w:fill="auto"/>
            <w:noWrap/>
            <w:vAlign w:val="bottom"/>
            <w:hideMark/>
          </w:tcPr>
          <w:p w14:paraId="6CD7D853"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53,33%</w:t>
            </w:r>
          </w:p>
        </w:tc>
        <w:tc>
          <w:tcPr>
            <w:tcW w:w="1157" w:type="dxa"/>
            <w:tcBorders>
              <w:top w:val="nil"/>
              <w:left w:val="nil"/>
              <w:bottom w:val="single" w:sz="8" w:space="0" w:color="auto"/>
              <w:right w:val="single" w:sz="8" w:space="0" w:color="auto"/>
            </w:tcBorders>
            <w:shd w:val="clear" w:color="auto" w:fill="auto"/>
            <w:noWrap/>
            <w:vAlign w:val="bottom"/>
            <w:hideMark/>
          </w:tcPr>
          <w:p w14:paraId="2F92CE6E"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Si</w:t>
            </w:r>
          </w:p>
        </w:tc>
      </w:tr>
      <w:tr w:rsidR="00396CB4" w:rsidRPr="00396CB4" w14:paraId="496B4196" w14:textId="77777777" w:rsidTr="00396CB4">
        <w:trPr>
          <w:divId w:val="2105030683"/>
          <w:trHeight w:val="324"/>
        </w:trPr>
        <w:tc>
          <w:tcPr>
            <w:tcW w:w="851" w:type="dxa"/>
            <w:tcBorders>
              <w:top w:val="nil"/>
              <w:left w:val="single" w:sz="8" w:space="0" w:color="auto"/>
              <w:bottom w:val="nil"/>
              <w:right w:val="nil"/>
            </w:tcBorders>
            <w:shd w:val="clear" w:color="auto" w:fill="auto"/>
            <w:vAlign w:val="center"/>
            <w:hideMark/>
          </w:tcPr>
          <w:p w14:paraId="3D74ED06" w14:textId="77777777" w:rsidR="00396CB4" w:rsidRPr="00396CB4" w:rsidRDefault="00396CB4" w:rsidP="00396CB4">
            <w:pPr>
              <w:spacing w:after="0" w:line="240" w:lineRule="auto"/>
              <w:rPr>
                <w:rFonts w:eastAsia="Times New Roman" w:cs="Calibri"/>
                <w:b/>
                <w:bCs/>
                <w:i/>
                <w:iCs/>
                <w:color w:val="000000"/>
                <w:sz w:val="18"/>
                <w:szCs w:val="18"/>
                <w:lang w:eastAsia="es-CR"/>
              </w:rPr>
            </w:pPr>
            <w:r w:rsidRPr="00396CB4">
              <w:rPr>
                <w:rFonts w:eastAsia="Times New Roman" w:cs="Calibri"/>
                <w:b/>
                <w:bCs/>
                <w:i/>
                <w:iCs/>
                <w:color w:val="000000"/>
                <w:sz w:val="18"/>
                <w:szCs w:val="18"/>
                <w:lang w:eastAsia="es-CR"/>
              </w:rPr>
              <w:t>NICSP 32</w:t>
            </w:r>
          </w:p>
        </w:tc>
        <w:tc>
          <w:tcPr>
            <w:tcW w:w="3685" w:type="dxa"/>
            <w:tcBorders>
              <w:top w:val="nil"/>
              <w:left w:val="single" w:sz="8" w:space="0" w:color="auto"/>
              <w:bottom w:val="nil"/>
              <w:right w:val="nil"/>
            </w:tcBorders>
            <w:shd w:val="clear" w:color="auto" w:fill="auto"/>
            <w:vAlign w:val="center"/>
            <w:hideMark/>
          </w:tcPr>
          <w:p w14:paraId="49B5E11C" w14:textId="77777777" w:rsidR="00396CB4" w:rsidRPr="00396CB4" w:rsidRDefault="00396CB4" w:rsidP="00396CB4">
            <w:pPr>
              <w:spacing w:after="0" w:line="240" w:lineRule="auto"/>
              <w:rPr>
                <w:rFonts w:eastAsia="Times New Roman" w:cs="Calibri"/>
                <w:color w:val="000000"/>
                <w:sz w:val="18"/>
                <w:lang w:eastAsia="es-CR"/>
              </w:rPr>
            </w:pPr>
            <w:r w:rsidRPr="00396CB4">
              <w:rPr>
                <w:rFonts w:eastAsia="Times New Roman" w:cs="Calibri"/>
                <w:color w:val="000000"/>
                <w:sz w:val="18"/>
                <w:lang w:eastAsia="es-CR"/>
              </w:rPr>
              <w:t>Acuerdos de servicio de concesión: Otorgante</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6189D885" w14:textId="77777777" w:rsidR="00396CB4" w:rsidRPr="00396CB4" w:rsidRDefault="00396CB4" w:rsidP="00396CB4">
            <w:pPr>
              <w:spacing w:after="0" w:line="240" w:lineRule="auto"/>
              <w:jc w:val="center"/>
              <w:rPr>
                <w:rFonts w:eastAsia="Times New Roman" w:cs="Calibri"/>
                <w:color w:val="FFFFFF"/>
                <w:sz w:val="18"/>
                <w:szCs w:val="24"/>
                <w:lang w:eastAsia="es-CR"/>
              </w:rPr>
            </w:pPr>
            <w:r w:rsidRPr="00396CB4">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00444EFF"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57973698"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No</w:t>
            </w:r>
          </w:p>
        </w:tc>
        <w:tc>
          <w:tcPr>
            <w:tcW w:w="1067" w:type="dxa"/>
            <w:tcBorders>
              <w:top w:val="nil"/>
              <w:left w:val="nil"/>
              <w:bottom w:val="single" w:sz="8" w:space="0" w:color="auto"/>
              <w:right w:val="single" w:sz="8" w:space="0" w:color="auto"/>
            </w:tcBorders>
            <w:shd w:val="clear" w:color="auto" w:fill="auto"/>
            <w:noWrap/>
            <w:vAlign w:val="bottom"/>
            <w:hideMark/>
          </w:tcPr>
          <w:p w14:paraId="5F165AA2"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 </w:t>
            </w:r>
          </w:p>
        </w:tc>
        <w:tc>
          <w:tcPr>
            <w:tcW w:w="1157" w:type="dxa"/>
            <w:tcBorders>
              <w:top w:val="nil"/>
              <w:left w:val="nil"/>
              <w:bottom w:val="single" w:sz="8" w:space="0" w:color="auto"/>
              <w:right w:val="single" w:sz="8" w:space="0" w:color="auto"/>
            </w:tcBorders>
            <w:shd w:val="clear" w:color="auto" w:fill="auto"/>
            <w:noWrap/>
            <w:vAlign w:val="bottom"/>
            <w:hideMark/>
          </w:tcPr>
          <w:p w14:paraId="779FD2EA"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 </w:t>
            </w:r>
          </w:p>
        </w:tc>
      </w:tr>
      <w:tr w:rsidR="00396CB4" w:rsidRPr="00396CB4" w14:paraId="1C85C958" w14:textId="77777777" w:rsidTr="00396CB4">
        <w:trPr>
          <w:divId w:val="2105030683"/>
          <w:trHeight w:val="564"/>
        </w:trPr>
        <w:tc>
          <w:tcPr>
            <w:tcW w:w="851" w:type="dxa"/>
            <w:tcBorders>
              <w:top w:val="single" w:sz="8" w:space="0" w:color="auto"/>
              <w:left w:val="single" w:sz="8" w:space="0" w:color="auto"/>
              <w:bottom w:val="nil"/>
              <w:right w:val="nil"/>
            </w:tcBorders>
            <w:shd w:val="clear" w:color="auto" w:fill="auto"/>
            <w:vAlign w:val="center"/>
            <w:hideMark/>
          </w:tcPr>
          <w:p w14:paraId="32BFE498" w14:textId="77777777" w:rsidR="00396CB4" w:rsidRPr="00396CB4" w:rsidRDefault="00396CB4" w:rsidP="00396CB4">
            <w:pPr>
              <w:spacing w:after="0" w:line="240" w:lineRule="auto"/>
              <w:rPr>
                <w:rFonts w:eastAsia="Times New Roman" w:cs="Calibri"/>
                <w:b/>
                <w:bCs/>
                <w:i/>
                <w:iCs/>
                <w:color w:val="000000"/>
                <w:sz w:val="18"/>
                <w:szCs w:val="18"/>
                <w:lang w:eastAsia="es-CR"/>
              </w:rPr>
            </w:pPr>
            <w:r w:rsidRPr="00396CB4">
              <w:rPr>
                <w:rFonts w:eastAsia="Times New Roman" w:cs="Calibri"/>
                <w:b/>
                <w:bCs/>
                <w:i/>
                <w:iCs/>
                <w:color w:val="000000"/>
                <w:sz w:val="18"/>
                <w:szCs w:val="18"/>
                <w:lang w:eastAsia="es-CR"/>
              </w:rPr>
              <w:t>NICSP 33</w:t>
            </w:r>
          </w:p>
        </w:tc>
        <w:tc>
          <w:tcPr>
            <w:tcW w:w="3685" w:type="dxa"/>
            <w:tcBorders>
              <w:top w:val="single" w:sz="8" w:space="0" w:color="auto"/>
              <w:left w:val="single" w:sz="8" w:space="0" w:color="auto"/>
              <w:bottom w:val="nil"/>
              <w:right w:val="nil"/>
            </w:tcBorders>
            <w:shd w:val="clear" w:color="auto" w:fill="auto"/>
            <w:vAlign w:val="center"/>
            <w:hideMark/>
          </w:tcPr>
          <w:p w14:paraId="06B1718A" w14:textId="77777777" w:rsidR="00396CB4" w:rsidRPr="00396CB4" w:rsidRDefault="00396CB4" w:rsidP="00396CB4">
            <w:pPr>
              <w:spacing w:after="0" w:line="240" w:lineRule="auto"/>
              <w:rPr>
                <w:rFonts w:eastAsia="Times New Roman" w:cs="Calibri"/>
                <w:color w:val="000000"/>
                <w:sz w:val="18"/>
                <w:lang w:eastAsia="es-CR"/>
              </w:rPr>
            </w:pPr>
            <w:r w:rsidRPr="00396CB4">
              <w:rPr>
                <w:rFonts w:eastAsia="Times New Roman" w:cs="Calibri"/>
                <w:color w:val="000000"/>
                <w:sz w:val="18"/>
                <w:lang w:eastAsia="es-CR"/>
              </w:rPr>
              <w:t>Adopción por primera vez de las NICSP de base de acumulación (o Devengo)</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605D7833" w14:textId="77777777" w:rsidR="00396CB4" w:rsidRPr="00396CB4" w:rsidRDefault="00396CB4" w:rsidP="00396CB4">
            <w:pPr>
              <w:spacing w:after="0" w:line="240" w:lineRule="auto"/>
              <w:jc w:val="center"/>
              <w:rPr>
                <w:rFonts w:eastAsia="Times New Roman" w:cs="Calibri"/>
                <w:color w:val="FFFFFF"/>
                <w:sz w:val="18"/>
                <w:szCs w:val="24"/>
                <w:lang w:eastAsia="es-CR"/>
              </w:rPr>
            </w:pPr>
            <w:r w:rsidRPr="00396CB4">
              <w:rPr>
                <w:rFonts w:eastAsia="Times New Roman" w:cs="Calibri"/>
                <w:color w:val="FFFFFF"/>
                <w:sz w:val="18"/>
                <w:szCs w:val="24"/>
                <w:lang w:eastAsia="es-CR"/>
              </w:rPr>
              <w:t>NO</w:t>
            </w:r>
          </w:p>
        </w:tc>
        <w:tc>
          <w:tcPr>
            <w:tcW w:w="970" w:type="dxa"/>
            <w:tcBorders>
              <w:top w:val="nil"/>
              <w:left w:val="nil"/>
              <w:bottom w:val="single" w:sz="8" w:space="0" w:color="auto"/>
              <w:right w:val="nil"/>
            </w:tcBorders>
            <w:shd w:val="clear" w:color="auto" w:fill="auto"/>
            <w:vAlign w:val="center"/>
            <w:hideMark/>
          </w:tcPr>
          <w:p w14:paraId="7CD917C9"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31-12-2022</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2F72835D"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Si</w:t>
            </w:r>
          </w:p>
        </w:tc>
        <w:tc>
          <w:tcPr>
            <w:tcW w:w="1067" w:type="dxa"/>
            <w:tcBorders>
              <w:top w:val="nil"/>
              <w:left w:val="nil"/>
              <w:bottom w:val="single" w:sz="8" w:space="0" w:color="auto"/>
              <w:right w:val="single" w:sz="8" w:space="0" w:color="auto"/>
            </w:tcBorders>
            <w:shd w:val="clear" w:color="auto" w:fill="auto"/>
            <w:noWrap/>
            <w:vAlign w:val="bottom"/>
            <w:hideMark/>
          </w:tcPr>
          <w:p w14:paraId="57265EAD"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75,00%</w:t>
            </w:r>
          </w:p>
        </w:tc>
        <w:tc>
          <w:tcPr>
            <w:tcW w:w="1157" w:type="dxa"/>
            <w:tcBorders>
              <w:top w:val="nil"/>
              <w:left w:val="nil"/>
              <w:bottom w:val="single" w:sz="8" w:space="0" w:color="auto"/>
              <w:right w:val="single" w:sz="8" w:space="0" w:color="auto"/>
            </w:tcBorders>
            <w:shd w:val="clear" w:color="auto" w:fill="auto"/>
            <w:noWrap/>
            <w:vAlign w:val="bottom"/>
            <w:hideMark/>
          </w:tcPr>
          <w:p w14:paraId="760AEF28"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No</w:t>
            </w:r>
          </w:p>
        </w:tc>
      </w:tr>
      <w:tr w:rsidR="00396CB4" w:rsidRPr="00396CB4" w14:paraId="1E924699" w14:textId="77777777" w:rsidTr="00396CB4">
        <w:trPr>
          <w:divId w:val="2105030683"/>
          <w:trHeight w:val="324"/>
        </w:trPr>
        <w:tc>
          <w:tcPr>
            <w:tcW w:w="851" w:type="dxa"/>
            <w:tcBorders>
              <w:top w:val="single" w:sz="8" w:space="0" w:color="auto"/>
              <w:left w:val="single" w:sz="8" w:space="0" w:color="auto"/>
              <w:bottom w:val="nil"/>
              <w:right w:val="nil"/>
            </w:tcBorders>
            <w:shd w:val="clear" w:color="auto" w:fill="auto"/>
            <w:vAlign w:val="center"/>
            <w:hideMark/>
          </w:tcPr>
          <w:p w14:paraId="5389F987" w14:textId="77777777" w:rsidR="00396CB4" w:rsidRPr="00396CB4" w:rsidRDefault="00396CB4" w:rsidP="00396CB4">
            <w:pPr>
              <w:spacing w:after="0" w:line="240" w:lineRule="auto"/>
              <w:rPr>
                <w:rFonts w:eastAsia="Times New Roman" w:cs="Calibri"/>
                <w:b/>
                <w:bCs/>
                <w:i/>
                <w:iCs/>
                <w:color w:val="000000"/>
                <w:sz w:val="18"/>
                <w:szCs w:val="18"/>
                <w:lang w:eastAsia="es-CR"/>
              </w:rPr>
            </w:pPr>
            <w:r w:rsidRPr="00396CB4">
              <w:rPr>
                <w:rFonts w:eastAsia="Times New Roman" w:cs="Calibri"/>
                <w:b/>
                <w:bCs/>
                <w:i/>
                <w:iCs/>
                <w:color w:val="000000"/>
                <w:sz w:val="18"/>
                <w:szCs w:val="18"/>
                <w:lang w:eastAsia="es-CR"/>
              </w:rPr>
              <w:t>NICSP 34</w:t>
            </w:r>
          </w:p>
        </w:tc>
        <w:tc>
          <w:tcPr>
            <w:tcW w:w="3685" w:type="dxa"/>
            <w:tcBorders>
              <w:top w:val="single" w:sz="8" w:space="0" w:color="auto"/>
              <w:left w:val="single" w:sz="8" w:space="0" w:color="auto"/>
              <w:bottom w:val="nil"/>
              <w:right w:val="nil"/>
            </w:tcBorders>
            <w:shd w:val="clear" w:color="auto" w:fill="auto"/>
            <w:vAlign w:val="center"/>
            <w:hideMark/>
          </w:tcPr>
          <w:p w14:paraId="6F369199" w14:textId="77777777" w:rsidR="00396CB4" w:rsidRPr="00396CB4" w:rsidRDefault="00396CB4" w:rsidP="00396CB4">
            <w:pPr>
              <w:spacing w:after="0" w:line="240" w:lineRule="auto"/>
              <w:rPr>
                <w:rFonts w:eastAsia="Times New Roman" w:cs="Calibri"/>
                <w:color w:val="000000"/>
                <w:sz w:val="18"/>
                <w:lang w:eastAsia="es-CR"/>
              </w:rPr>
            </w:pPr>
            <w:r w:rsidRPr="00396CB4">
              <w:rPr>
                <w:rFonts w:eastAsia="Times New Roman" w:cs="Calibri"/>
                <w:color w:val="000000"/>
                <w:sz w:val="18"/>
                <w:lang w:eastAsia="es-CR"/>
              </w:rPr>
              <w:t>Estados financieros separados</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1B7C8775" w14:textId="77777777" w:rsidR="00396CB4" w:rsidRPr="00396CB4" w:rsidRDefault="00396CB4" w:rsidP="00396CB4">
            <w:pPr>
              <w:spacing w:after="0" w:line="240" w:lineRule="auto"/>
              <w:jc w:val="center"/>
              <w:rPr>
                <w:rFonts w:eastAsia="Times New Roman" w:cs="Calibri"/>
                <w:color w:val="FFFFFF"/>
                <w:sz w:val="18"/>
                <w:szCs w:val="24"/>
                <w:lang w:eastAsia="es-CR"/>
              </w:rPr>
            </w:pPr>
            <w:r w:rsidRPr="00396CB4">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13654423"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2EF3A1C5"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No</w:t>
            </w:r>
          </w:p>
        </w:tc>
        <w:tc>
          <w:tcPr>
            <w:tcW w:w="1067" w:type="dxa"/>
            <w:tcBorders>
              <w:top w:val="nil"/>
              <w:left w:val="nil"/>
              <w:bottom w:val="single" w:sz="8" w:space="0" w:color="auto"/>
              <w:right w:val="single" w:sz="8" w:space="0" w:color="auto"/>
            </w:tcBorders>
            <w:shd w:val="clear" w:color="auto" w:fill="auto"/>
            <w:noWrap/>
            <w:vAlign w:val="bottom"/>
            <w:hideMark/>
          </w:tcPr>
          <w:p w14:paraId="5391DF1A"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 </w:t>
            </w:r>
          </w:p>
        </w:tc>
        <w:tc>
          <w:tcPr>
            <w:tcW w:w="1157" w:type="dxa"/>
            <w:tcBorders>
              <w:top w:val="nil"/>
              <w:left w:val="nil"/>
              <w:bottom w:val="single" w:sz="8" w:space="0" w:color="auto"/>
              <w:right w:val="single" w:sz="8" w:space="0" w:color="auto"/>
            </w:tcBorders>
            <w:shd w:val="clear" w:color="auto" w:fill="auto"/>
            <w:noWrap/>
            <w:vAlign w:val="bottom"/>
            <w:hideMark/>
          </w:tcPr>
          <w:p w14:paraId="1E28CECD"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 </w:t>
            </w:r>
          </w:p>
        </w:tc>
      </w:tr>
      <w:tr w:rsidR="00396CB4" w:rsidRPr="00396CB4" w14:paraId="1FAD07FE" w14:textId="77777777" w:rsidTr="00396CB4">
        <w:trPr>
          <w:divId w:val="2105030683"/>
          <w:trHeight w:val="324"/>
        </w:trPr>
        <w:tc>
          <w:tcPr>
            <w:tcW w:w="851" w:type="dxa"/>
            <w:tcBorders>
              <w:top w:val="single" w:sz="8" w:space="0" w:color="auto"/>
              <w:left w:val="single" w:sz="8" w:space="0" w:color="auto"/>
              <w:bottom w:val="nil"/>
              <w:right w:val="nil"/>
            </w:tcBorders>
            <w:shd w:val="clear" w:color="auto" w:fill="auto"/>
            <w:vAlign w:val="center"/>
            <w:hideMark/>
          </w:tcPr>
          <w:p w14:paraId="6CAB10EE" w14:textId="77777777" w:rsidR="00396CB4" w:rsidRPr="00396CB4" w:rsidRDefault="00396CB4" w:rsidP="00396CB4">
            <w:pPr>
              <w:spacing w:after="0" w:line="240" w:lineRule="auto"/>
              <w:rPr>
                <w:rFonts w:eastAsia="Times New Roman" w:cs="Calibri"/>
                <w:b/>
                <w:bCs/>
                <w:i/>
                <w:iCs/>
                <w:color w:val="000000"/>
                <w:sz w:val="18"/>
                <w:szCs w:val="18"/>
                <w:lang w:eastAsia="es-CR"/>
              </w:rPr>
            </w:pPr>
            <w:r w:rsidRPr="00396CB4">
              <w:rPr>
                <w:rFonts w:eastAsia="Times New Roman" w:cs="Calibri"/>
                <w:b/>
                <w:bCs/>
                <w:i/>
                <w:iCs/>
                <w:color w:val="000000"/>
                <w:sz w:val="18"/>
                <w:szCs w:val="18"/>
                <w:lang w:eastAsia="es-CR"/>
              </w:rPr>
              <w:t>NICSP 35</w:t>
            </w:r>
          </w:p>
        </w:tc>
        <w:tc>
          <w:tcPr>
            <w:tcW w:w="3685" w:type="dxa"/>
            <w:tcBorders>
              <w:top w:val="single" w:sz="8" w:space="0" w:color="auto"/>
              <w:left w:val="single" w:sz="8" w:space="0" w:color="auto"/>
              <w:bottom w:val="nil"/>
              <w:right w:val="nil"/>
            </w:tcBorders>
            <w:shd w:val="clear" w:color="auto" w:fill="auto"/>
            <w:vAlign w:val="center"/>
            <w:hideMark/>
          </w:tcPr>
          <w:p w14:paraId="79B560E2" w14:textId="77777777" w:rsidR="00396CB4" w:rsidRPr="00396CB4" w:rsidRDefault="00396CB4" w:rsidP="00396CB4">
            <w:pPr>
              <w:spacing w:after="0" w:line="240" w:lineRule="auto"/>
              <w:rPr>
                <w:rFonts w:eastAsia="Times New Roman" w:cs="Calibri"/>
                <w:color w:val="000000"/>
                <w:sz w:val="18"/>
                <w:lang w:eastAsia="es-CR"/>
              </w:rPr>
            </w:pPr>
            <w:r w:rsidRPr="00396CB4">
              <w:rPr>
                <w:rFonts w:eastAsia="Times New Roman" w:cs="Calibri"/>
                <w:color w:val="000000"/>
                <w:sz w:val="18"/>
                <w:lang w:eastAsia="es-CR"/>
              </w:rPr>
              <w:t>Estados financieros consolidados</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3E52C9FE" w14:textId="77777777" w:rsidR="00396CB4" w:rsidRPr="00396CB4" w:rsidRDefault="00396CB4" w:rsidP="00396CB4">
            <w:pPr>
              <w:spacing w:after="0" w:line="240" w:lineRule="auto"/>
              <w:jc w:val="center"/>
              <w:rPr>
                <w:rFonts w:eastAsia="Times New Roman" w:cs="Calibri"/>
                <w:color w:val="FFFFFF"/>
                <w:sz w:val="18"/>
                <w:szCs w:val="24"/>
                <w:lang w:eastAsia="es-CR"/>
              </w:rPr>
            </w:pPr>
            <w:r w:rsidRPr="00396CB4">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091BF3E9"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1068F4EF"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Si</w:t>
            </w:r>
          </w:p>
        </w:tc>
        <w:tc>
          <w:tcPr>
            <w:tcW w:w="1067" w:type="dxa"/>
            <w:tcBorders>
              <w:top w:val="nil"/>
              <w:left w:val="nil"/>
              <w:bottom w:val="single" w:sz="8" w:space="0" w:color="auto"/>
              <w:right w:val="single" w:sz="8" w:space="0" w:color="auto"/>
            </w:tcBorders>
            <w:shd w:val="clear" w:color="auto" w:fill="auto"/>
            <w:noWrap/>
            <w:vAlign w:val="bottom"/>
            <w:hideMark/>
          </w:tcPr>
          <w:p w14:paraId="25892CA6"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40,00%</w:t>
            </w:r>
          </w:p>
        </w:tc>
        <w:tc>
          <w:tcPr>
            <w:tcW w:w="1157" w:type="dxa"/>
            <w:tcBorders>
              <w:top w:val="nil"/>
              <w:left w:val="nil"/>
              <w:bottom w:val="single" w:sz="8" w:space="0" w:color="auto"/>
              <w:right w:val="single" w:sz="8" w:space="0" w:color="auto"/>
            </w:tcBorders>
            <w:shd w:val="clear" w:color="auto" w:fill="auto"/>
            <w:noWrap/>
            <w:vAlign w:val="bottom"/>
            <w:hideMark/>
          </w:tcPr>
          <w:p w14:paraId="1A829C25"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Si</w:t>
            </w:r>
          </w:p>
        </w:tc>
      </w:tr>
      <w:tr w:rsidR="00396CB4" w:rsidRPr="00396CB4" w14:paraId="2A0CE78F" w14:textId="77777777" w:rsidTr="00396CB4">
        <w:trPr>
          <w:divId w:val="2105030683"/>
          <w:trHeight w:val="324"/>
        </w:trPr>
        <w:tc>
          <w:tcPr>
            <w:tcW w:w="851" w:type="dxa"/>
            <w:tcBorders>
              <w:top w:val="single" w:sz="8" w:space="0" w:color="auto"/>
              <w:left w:val="single" w:sz="8" w:space="0" w:color="auto"/>
              <w:bottom w:val="nil"/>
              <w:right w:val="nil"/>
            </w:tcBorders>
            <w:shd w:val="clear" w:color="auto" w:fill="auto"/>
            <w:vAlign w:val="center"/>
            <w:hideMark/>
          </w:tcPr>
          <w:p w14:paraId="4C1858DD" w14:textId="77777777" w:rsidR="00396CB4" w:rsidRPr="00396CB4" w:rsidRDefault="00396CB4" w:rsidP="00396CB4">
            <w:pPr>
              <w:spacing w:after="0" w:line="240" w:lineRule="auto"/>
              <w:rPr>
                <w:rFonts w:eastAsia="Times New Roman" w:cs="Calibri"/>
                <w:b/>
                <w:bCs/>
                <w:i/>
                <w:iCs/>
                <w:color w:val="000000"/>
                <w:sz w:val="18"/>
                <w:szCs w:val="18"/>
                <w:lang w:eastAsia="es-CR"/>
              </w:rPr>
            </w:pPr>
            <w:r w:rsidRPr="00396CB4">
              <w:rPr>
                <w:rFonts w:eastAsia="Times New Roman" w:cs="Calibri"/>
                <w:b/>
                <w:bCs/>
                <w:i/>
                <w:iCs/>
                <w:color w:val="000000"/>
                <w:sz w:val="18"/>
                <w:szCs w:val="18"/>
                <w:lang w:eastAsia="es-CR"/>
              </w:rPr>
              <w:t>NICSP 36</w:t>
            </w:r>
          </w:p>
        </w:tc>
        <w:tc>
          <w:tcPr>
            <w:tcW w:w="3685" w:type="dxa"/>
            <w:tcBorders>
              <w:top w:val="single" w:sz="8" w:space="0" w:color="auto"/>
              <w:left w:val="single" w:sz="8" w:space="0" w:color="auto"/>
              <w:bottom w:val="nil"/>
              <w:right w:val="nil"/>
            </w:tcBorders>
            <w:shd w:val="clear" w:color="auto" w:fill="auto"/>
            <w:vAlign w:val="center"/>
            <w:hideMark/>
          </w:tcPr>
          <w:p w14:paraId="5D15FBF6" w14:textId="77777777" w:rsidR="00396CB4" w:rsidRPr="00396CB4" w:rsidRDefault="00396CB4" w:rsidP="00396CB4">
            <w:pPr>
              <w:spacing w:after="0" w:line="240" w:lineRule="auto"/>
              <w:rPr>
                <w:rFonts w:eastAsia="Times New Roman" w:cs="Calibri"/>
                <w:color w:val="000000"/>
                <w:sz w:val="18"/>
                <w:lang w:eastAsia="es-CR"/>
              </w:rPr>
            </w:pPr>
            <w:r w:rsidRPr="00396CB4">
              <w:rPr>
                <w:rFonts w:eastAsia="Times New Roman" w:cs="Calibri"/>
                <w:color w:val="000000"/>
                <w:sz w:val="18"/>
                <w:lang w:eastAsia="es-CR"/>
              </w:rPr>
              <w:t>Inversiones en asociadas y negocios conjuntos</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2F6FF8DD" w14:textId="77777777" w:rsidR="00396CB4" w:rsidRPr="00396CB4" w:rsidRDefault="00396CB4" w:rsidP="00396CB4">
            <w:pPr>
              <w:spacing w:after="0" w:line="240" w:lineRule="auto"/>
              <w:jc w:val="center"/>
              <w:rPr>
                <w:rFonts w:eastAsia="Times New Roman" w:cs="Calibri"/>
                <w:color w:val="FFFFFF"/>
                <w:sz w:val="18"/>
                <w:szCs w:val="24"/>
                <w:lang w:eastAsia="es-CR"/>
              </w:rPr>
            </w:pPr>
            <w:r w:rsidRPr="00396CB4">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75AB10B8"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3EAD6C43"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No</w:t>
            </w:r>
          </w:p>
        </w:tc>
        <w:tc>
          <w:tcPr>
            <w:tcW w:w="1067" w:type="dxa"/>
            <w:tcBorders>
              <w:top w:val="nil"/>
              <w:left w:val="nil"/>
              <w:bottom w:val="single" w:sz="8" w:space="0" w:color="auto"/>
              <w:right w:val="single" w:sz="8" w:space="0" w:color="auto"/>
            </w:tcBorders>
            <w:shd w:val="clear" w:color="auto" w:fill="auto"/>
            <w:noWrap/>
            <w:vAlign w:val="bottom"/>
            <w:hideMark/>
          </w:tcPr>
          <w:p w14:paraId="1E1F2547"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 </w:t>
            </w:r>
          </w:p>
        </w:tc>
        <w:tc>
          <w:tcPr>
            <w:tcW w:w="1157" w:type="dxa"/>
            <w:tcBorders>
              <w:top w:val="nil"/>
              <w:left w:val="nil"/>
              <w:bottom w:val="single" w:sz="8" w:space="0" w:color="auto"/>
              <w:right w:val="single" w:sz="8" w:space="0" w:color="auto"/>
            </w:tcBorders>
            <w:shd w:val="clear" w:color="auto" w:fill="auto"/>
            <w:noWrap/>
            <w:vAlign w:val="bottom"/>
            <w:hideMark/>
          </w:tcPr>
          <w:p w14:paraId="2BE5CD97"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 </w:t>
            </w:r>
          </w:p>
        </w:tc>
      </w:tr>
      <w:tr w:rsidR="00396CB4" w:rsidRPr="00396CB4" w14:paraId="13B54EA5" w14:textId="77777777" w:rsidTr="00396CB4">
        <w:trPr>
          <w:divId w:val="2105030683"/>
          <w:trHeight w:val="324"/>
        </w:trPr>
        <w:tc>
          <w:tcPr>
            <w:tcW w:w="851" w:type="dxa"/>
            <w:tcBorders>
              <w:top w:val="single" w:sz="8" w:space="0" w:color="auto"/>
              <w:left w:val="single" w:sz="8" w:space="0" w:color="auto"/>
              <w:bottom w:val="nil"/>
              <w:right w:val="nil"/>
            </w:tcBorders>
            <w:shd w:val="clear" w:color="auto" w:fill="auto"/>
            <w:vAlign w:val="center"/>
            <w:hideMark/>
          </w:tcPr>
          <w:p w14:paraId="4C1C1A49" w14:textId="77777777" w:rsidR="00396CB4" w:rsidRPr="00396CB4" w:rsidRDefault="00396CB4" w:rsidP="00396CB4">
            <w:pPr>
              <w:spacing w:after="0" w:line="240" w:lineRule="auto"/>
              <w:rPr>
                <w:rFonts w:eastAsia="Times New Roman" w:cs="Calibri"/>
                <w:b/>
                <w:bCs/>
                <w:i/>
                <w:iCs/>
                <w:color w:val="000000"/>
                <w:sz w:val="18"/>
                <w:szCs w:val="18"/>
                <w:lang w:eastAsia="es-CR"/>
              </w:rPr>
            </w:pPr>
            <w:r w:rsidRPr="00396CB4">
              <w:rPr>
                <w:rFonts w:eastAsia="Times New Roman" w:cs="Calibri"/>
                <w:b/>
                <w:bCs/>
                <w:i/>
                <w:iCs/>
                <w:color w:val="000000"/>
                <w:sz w:val="18"/>
                <w:szCs w:val="18"/>
                <w:lang w:eastAsia="es-CR"/>
              </w:rPr>
              <w:t>NICSP 37</w:t>
            </w:r>
          </w:p>
        </w:tc>
        <w:tc>
          <w:tcPr>
            <w:tcW w:w="3685" w:type="dxa"/>
            <w:tcBorders>
              <w:top w:val="single" w:sz="8" w:space="0" w:color="auto"/>
              <w:left w:val="single" w:sz="8" w:space="0" w:color="auto"/>
              <w:bottom w:val="nil"/>
              <w:right w:val="nil"/>
            </w:tcBorders>
            <w:shd w:val="clear" w:color="auto" w:fill="auto"/>
            <w:vAlign w:val="center"/>
            <w:hideMark/>
          </w:tcPr>
          <w:p w14:paraId="6D294B57" w14:textId="77777777" w:rsidR="00396CB4" w:rsidRPr="00396CB4" w:rsidRDefault="00396CB4" w:rsidP="00396CB4">
            <w:pPr>
              <w:spacing w:after="0" w:line="240" w:lineRule="auto"/>
              <w:rPr>
                <w:rFonts w:eastAsia="Times New Roman" w:cs="Calibri"/>
                <w:color w:val="000000"/>
                <w:sz w:val="18"/>
                <w:lang w:eastAsia="es-CR"/>
              </w:rPr>
            </w:pPr>
            <w:r w:rsidRPr="00396CB4">
              <w:rPr>
                <w:rFonts w:eastAsia="Times New Roman" w:cs="Calibri"/>
                <w:color w:val="000000"/>
                <w:sz w:val="18"/>
                <w:lang w:eastAsia="es-CR"/>
              </w:rPr>
              <w:t>Acuerdos conjuntos</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643C4D3A" w14:textId="77777777" w:rsidR="00396CB4" w:rsidRPr="00396CB4" w:rsidRDefault="00396CB4" w:rsidP="00396CB4">
            <w:pPr>
              <w:spacing w:after="0" w:line="240" w:lineRule="auto"/>
              <w:jc w:val="center"/>
              <w:rPr>
                <w:rFonts w:eastAsia="Times New Roman" w:cs="Calibri"/>
                <w:color w:val="FFFFFF"/>
                <w:sz w:val="18"/>
                <w:szCs w:val="24"/>
                <w:lang w:eastAsia="es-CR"/>
              </w:rPr>
            </w:pPr>
            <w:r w:rsidRPr="00396CB4">
              <w:rPr>
                <w:rFonts w:eastAsia="Times New Roman" w:cs="Calibri"/>
                <w:color w:val="FFFFFF"/>
                <w:sz w:val="18"/>
                <w:szCs w:val="24"/>
                <w:lang w:eastAsia="es-CR"/>
              </w:rPr>
              <w:t>NO</w:t>
            </w:r>
          </w:p>
        </w:tc>
        <w:tc>
          <w:tcPr>
            <w:tcW w:w="970" w:type="dxa"/>
            <w:tcBorders>
              <w:top w:val="nil"/>
              <w:left w:val="nil"/>
              <w:bottom w:val="single" w:sz="8" w:space="0" w:color="auto"/>
              <w:right w:val="nil"/>
            </w:tcBorders>
            <w:shd w:val="clear" w:color="auto" w:fill="auto"/>
            <w:vAlign w:val="center"/>
            <w:hideMark/>
          </w:tcPr>
          <w:p w14:paraId="786B9763"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31-12-2022</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529BB1B1"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No</w:t>
            </w:r>
          </w:p>
        </w:tc>
        <w:tc>
          <w:tcPr>
            <w:tcW w:w="1067" w:type="dxa"/>
            <w:tcBorders>
              <w:top w:val="nil"/>
              <w:left w:val="nil"/>
              <w:bottom w:val="single" w:sz="8" w:space="0" w:color="auto"/>
              <w:right w:val="single" w:sz="8" w:space="0" w:color="auto"/>
            </w:tcBorders>
            <w:shd w:val="clear" w:color="auto" w:fill="auto"/>
            <w:noWrap/>
            <w:vAlign w:val="bottom"/>
            <w:hideMark/>
          </w:tcPr>
          <w:p w14:paraId="39FCAF8A"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 </w:t>
            </w:r>
          </w:p>
        </w:tc>
        <w:tc>
          <w:tcPr>
            <w:tcW w:w="1157" w:type="dxa"/>
            <w:tcBorders>
              <w:top w:val="nil"/>
              <w:left w:val="nil"/>
              <w:bottom w:val="single" w:sz="8" w:space="0" w:color="auto"/>
              <w:right w:val="single" w:sz="8" w:space="0" w:color="auto"/>
            </w:tcBorders>
            <w:shd w:val="clear" w:color="auto" w:fill="auto"/>
            <w:noWrap/>
            <w:vAlign w:val="bottom"/>
            <w:hideMark/>
          </w:tcPr>
          <w:p w14:paraId="2DE70B9D"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 </w:t>
            </w:r>
          </w:p>
        </w:tc>
      </w:tr>
      <w:tr w:rsidR="00396CB4" w:rsidRPr="00396CB4" w14:paraId="70B6EB00" w14:textId="77777777" w:rsidTr="00396CB4">
        <w:trPr>
          <w:divId w:val="2105030683"/>
          <w:trHeight w:val="324"/>
        </w:trPr>
        <w:tc>
          <w:tcPr>
            <w:tcW w:w="851" w:type="dxa"/>
            <w:tcBorders>
              <w:top w:val="single" w:sz="8" w:space="0" w:color="auto"/>
              <w:left w:val="single" w:sz="8" w:space="0" w:color="auto"/>
              <w:bottom w:val="nil"/>
              <w:right w:val="nil"/>
            </w:tcBorders>
            <w:shd w:val="clear" w:color="auto" w:fill="auto"/>
            <w:vAlign w:val="center"/>
            <w:hideMark/>
          </w:tcPr>
          <w:p w14:paraId="2D96C3CB" w14:textId="77777777" w:rsidR="00396CB4" w:rsidRPr="00396CB4" w:rsidRDefault="00396CB4" w:rsidP="00396CB4">
            <w:pPr>
              <w:spacing w:after="0" w:line="240" w:lineRule="auto"/>
              <w:rPr>
                <w:rFonts w:eastAsia="Times New Roman" w:cs="Calibri"/>
                <w:b/>
                <w:bCs/>
                <w:i/>
                <w:iCs/>
                <w:color w:val="000000"/>
                <w:sz w:val="18"/>
                <w:szCs w:val="18"/>
                <w:lang w:eastAsia="es-CR"/>
              </w:rPr>
            </w:pPr>
            <w:r w:rsidRPr="00396CB4">
              <w:rPr>
                <w:rFonts w:eastAsia="Times New Roman" w:cs="Calibri"/>
                <w:b/>
                <w:bCs/>
                <w:i/>
                <w:iCs/>
                <w:color w:val="000000"/>
                <w:sz w:val="18"/>
                <w:szCs w:val="18"/>
                <w:lang w:eastAsia="es-CR"/>
              </w:rPr>
              <w:lastRenderedPageBreak/>
              <w:t>NICSP 38</w:t>
            </w:r>
          </w:p>
        </w:tc>
        <w:tc>
          <w:tcPr>
            <w:tcW w:w="3685" w:type="dxa"/>
            <w:tcBorders>
              <w:top w:val="single" w:sz="8" w:space="0" w:color="auto"/>
              <w:left w:val="single" w:sz="8" w:space="0" w:color="auto"/>
              <w:bottom w:val="nil"/>
              <w:right w:val="nil"/>
            </w:tcBorders>
            <w:shd w:val="clear" w:color="auto" w:fill="auto"/>
            <w:vAlign w:val="center"/>
            <w:hideMark/>
          </w:tcPr>
          <w:p w14:paraId="0BE210E6" w14:textId="77777777" w:rsidR="00396CB4" w:rsidRPr="00396CB4" w:rsidRDefault="00396CB4" w:rsidP="00396CB4">
            <w:pPr>
              <w:spacing w:after="0" w:line="240" w:lineRule="auto"/>
              <w:rPr>
                <w:rFonts w:eastAsia="Times New Roman" w:cs="Calibri"/>
                <w:color w:val="000000"/>
                <w:sz w:val="18"/>
                <w:lang w:eastAsia="es-CR"/>
              </w:rPr>
            </w:pPr>
            <w:r w:rsidRPr="00396CB4">
              <w:rPr>
                <w:rFonts w:eastAsia="Times New Roman" w:cs="Calibri"/>
                <w:color w:val="000000"/>
                <w:sz w:val="18"/>
                <w:lang w:eastAsia="es-CR"/>
              </w:rPr>
              <w:t>Revelación de intereses en otras entidades</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7AAF0C56" w14:textId="77777777" w:rsidR="00396CB4" w:rsidRPr="00396CB4" w:rsidRDefault="00396CB4" w:rsidP="00396CB4">
            <w:pPr>
              <w:spacing w:after="0" w:line="240" w:lineRule="auto"/>
              <w:jc w:val="center"/>
              <w:rPr>
                <w:rFonts w:eastAsia="Times New Roman" w:cs="Calibri"/>
                <w:color w:val="FFFFFF"/>
                <w:sz w:val="18"/>
                <w:szCs w:val="24"/>
                <w:lang w:eastAsia="es-CR"/>
              </w:rPr>
            </w:pPr>
            <w:r w:rsidRPr="00396CB4">
              <w:rPr>
                <w:rFonts w:eastAsia="Times New Roman" w:cs="Calibri"/>
                <w:color w:val="FFFFFF"/>
                <w:sz w:val="18"/>
                <w:szCs w:val="24"/>
                <w:lang w:eastAsia="es-CR"/>
              </w:rPr>
              <w:t>NO</w:t>
            </w:r>
          </w:p>
        </w:tc>
        <w:tc>
          <w:tcPr>
            <w:tcW w:w="970" w:type="dxa"/>
            <w:tcBorders>
              <w:top w:val="nil"/>
              <w:left w:val="nil"/>
              <w:bottom w:val="single" w:sz="8" w:space="0" w:color="auto"/>
              <w:right w:val="nil"/>
            </w:tcBorders>
            <w:shd w:val="clear" w:color="auto" w:fill="auto"/>
            <w:vAlign w:val="center"/>
            <w:hideMark/>
          </w:tcPr>
          <w:p w14:paraId="287935B5"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31-12-2022</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4D0E1AF9"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No</w:t>
            </w:r>
          </w:p>
        </w:tc>
        <w:tc>
          <w:tcPr>
            <w:tcW w:w="1067" w:type="dxa"/>
            <w:tcBorders>
              <w:top w:val="nil"/>
              <w:left w:val="nil"/>
              <w:bottom w:val="single" w:sz="8" w:space="0" w:color="auto"/>
              <w:right w:val="single" w:sz="8" w:space="0" w:color="auto"/>
            </w:tcBorders>
            <w:shd w:val="clear" w:color="auto" w:fill="auto"/>
            <w:noWrap/>
            <w:vAlign w:val="bottom"/>
            <w:hideMark/>
          </w:tcPr>
          <w:p w14:paraId="312DA178"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 </w:t>
            </w:r>
          </w:p>
        </w:tc>
        <w:tc>
          <w:tcPr>
            <w:tcW w:w="1157" w:type="dxa"/>
            <w:tcBorders>
              <w:top w:val="nil"/>
              <w:left w:val="nil"/>
              <w:bottom w:val="single" w:sz="8" w:space="0" w:color="auto"/>
              <w:right w:val="single" w:sz="8" w:space="0" w:color="auto"/>
            </w:tcBorders>
            <w:shd w:val="clear" w:color="auto" w:fill="auto"/>
            <w:noWrap/>
            <w:vAlign w:val="bottom"/>
            <w:hideMark/>
          </w:tcPr>
          <w:p w14:paraId="3E98385C"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 </w:t>
            </w:r>
          </w:p>
        </w:tc>
      </w:tr>
      <w:tr w:rsidR="00396CB4" w:rsidRPr="00396CB4" w14:paraId="040C97DE" w14:textId="77777777" w:rsidTr="00396CB4">
        <w:trPr>
          <w:divId w:val="2105030683"/>
          <w:trHeight w:val="324"/>
        </w:trPr>
        <w:tc>
          <w:tcPr>
            <w:tcW w:w="851" w:type="dxa"/>
            <w:tcBorders>
              <w:top w:val="single" w:sz="8" w:space="0" w:color="auto"/>
              <w:left w:val="single" w:sz="8" w:space="0" w:color="auto"/>
              <w:bottom w:val="nil"/>
              <w:right w:val="nil"/>
            </w:tcBorders>
            <w:shd w:val="clear" w:color="auto" w:fill="auto"/>
            <w:vAlign w:val="center"/>
            <w:hideMark/>
          </w:tcPr>
          <w:p w14:paraId="34624714" w14:textId="77777777" w:rsidR="00396CB4" w:rsidRPr="00396CB4" w:rsidRDefault="00396CB4" w:rsidP="00396CB4">
            <w:pPr>
              <w:spacing w:after="0" w:line="240" w:lineRule="auto"/>
              <w:rPr>
                <w:rFonts w:eastAsia="Times New Roman" w:cs="Calibri"/>
                <w:b/>
                <w:bCs/>
                <w:i/>
                <w:iCs/>
                <w:color w:val="000000"/>
                <w:sz w:val="18"/>
                <w:szCs w:val="18"/>
                <w:lang w:eastAsia="es-CR"/>
              </w:rPr>
            </w:pPr>
            <w:r w:rsidRPr="00396CB4">
              <w:rPr>
                <w:rFonts w:eastAsia="Times New Roman" w:cs="Calibri"/>
                <w:b/>
                <w:bCs/>
                <w:i/>
                <w:iCs/>
                <w:color w:val="000000"/>
                <w:sz w:val="18"/>
                <w:szCs w:val="18"/>
                <w:lang w:eastAsia="es-CR"/>
              </w:rPr>
              <w:t>NICSP 39</w:t>
            </w:r>
          </w:p>
        </w:tc>
        <w:tc>
          <w:tcPr>
            <w:tcW w:w="3685" w:type="dxa"/>
            <w:tcBorders>
              <w:top w:val="single" w:sz="8" w:space="0" w:color="auto"/>
              <w:left w:val="single" w:sz="8" w:space="0" w:color="auto"/>
              <w:bottom w:val="nil"/>
              <w:right w:val="nil"/>
            </w:tcBorders>
            <w:shd w:val="clear" w:color="auto" w:fill="auto"/>
            <w:vAlign w:val="center"/>
            <w:hideMark/>
          </w:tcPr>
          <w:p w14:paraId="394D8948" w14:textId="77777777" w:rsidR="00396CB4" w:rsidRPr="00396CB4" w:rsidRDefault="00396CB4" w:rsidP="00396CB4">
            <w:pPr>
              <w:spacing w:after="0" w:line="240" w:lineRule="auto"/>
              <w:rPr>
                <w:rFonts w:eastAsia="Times New Roman" w:cs="Calibri"/>
                <w:color w:val="000000"/>
                <w:sz w:val="18"/>
                <w:lang w:eastAsia="es-CR"/>
              </w:rPr>
            </w:pPr>
            <w:r w:rsidRPr="00396CB4">
              <w:rPr>
                <w:rFonts w:eastAsia="Times New Roman" w:cs="Calibri"/>
                <w:color w:val="000000"/>
                <w:sz w:val="18"/>
                <w:lang w:eastAsia="es-CR"/>
              </w:rPr>
              <w:t>Beneficios para empleados</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6E985FC7" w14:textId="77777777" w:rsidR="00396CB4" w:rsidRPr="00396CB4" w:rsidRDefault="00396CB4" w:rsidP="00396CB4">
            <w:pPr>
              <w:spacing w:after="0" w:line="240" w:lineRule="auto"/>
              <w:jc w:val="center"/>
              <w:rPr>
                <w:rFonts w:eastAsia="Times New Roman" w:cs="Calibri"/>
                <w:color w:val="FFFFFF"/>
                <w:sz w:val="18"/>
                <w:szCs w:val="24"/>
                <w:lang w:eastAsia="es-CR"/>
              </w:rPr>
            </w:pPr>
            <w:r w:rsidRPr="00396CB4">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669F4037"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066F5F9E"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Si</w:t>
            </w:r>
          </w:p>
        </w:tc>
        <w:tc>
          <w:tcPr>
            <w:tcW w:w="1067" w:type="dxa"/>
            <w:tcBorders>
              <w:top w:val="nil"/>
              <w:left w:val="nil"/>
              <w:bottom w:val="single" w:sz="8" w:space="0" w:color="auto"/>
              <w:right w:val="single" w:sz="8" w:space="0" w:color="auto"/>
            </w:tcBorders>
            <w:shd w:val="clear" w:color="auto" w:fill="auto"/>
            <w:noWrap/>
            <w:vAlign w:val="bottom"/>
            <w:hideMark/>
          </w:tcPr>
          <w:p w14:paraId="79B3D782"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70,00%</w:t>
            </w:r>
          </w:p>
        </w:tc>
        <w:tc>
          <w:tcPr>
            <w:tcW w:w="1157" w:type="dxa"/>
            <w:tcBorders>
              <w:top w:val="nil"/>
              <w:left w:val="nil"/>
              <w:bottom w:val="single" w:sz="8" w:space="0" w:color="auto"/>
              <w:right w:val="single" w:sz="8" w:space="0" w:color="auto"/>
            </w:tcBorders>
            <w:shd w:val="clear" w:color="auto" w:fill="auto"/>
            <w:noWrap/>
            <w:vAlign w:val="bottom"/>
            <w:hideMark/>
          </w:tcPr>
          <w:p w14:paraId="035F8F64"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Si</w:t>
            </w:r>
          </w:p>
        </w:tc>
      </w:tr>
      <w:tr w:rsidR="00396CB4" w:rsidRPr="00396CB4" w14:paraId="1907E3A5" w14:textId="77777777" w:rsidTr="00396CB4">
        <w:trPr>
          <w:divId w:val="2105030683"/>
          <w:trHeight w:val="324"/>
        </w:trPr>
        <w:tc>
          <w:tcPr>
            <w:tcW w:w="851" w:type="dxa"/>
            <w:tcBorders>
              <w:top w:val="single" w:sz="8" w:space="0" w:color="auto"/>
              <w:left w:val="single" w:sz="8" w:space="0" w:color="auto"/>
              <w:bottom w:val="single" w:sz="8" w:space="0" w:color="auto"/>
              <w:right w:val="nil"/>
            </w:tcBorders>
            <w:shd w:val="clear" w:color="auto" w:fill="auto"/>
            <w:vAlign w:val="center"/>
            <w:hideMark/>
          </w:tcPr>
          <w:p w14:paraId="722ADD63" w14:textId="77777777" w:rsidR="00396CB4" w:rsidRPr="00396CB4" w:rsidRDefault="00396CB4" w:rsidP="00396CB4">
            <w:pPr>
              <w:spacing w:after="0" w:line="240" w:lineRule="auto"/>
              <w:rPr>
                <w:rFonts w:eastAsia="Times New Roman" w:cs="Calibri"/>
                <w:b/>
                <w:bCs/>
                <w:i/>
                <w:iCs/>
                <w:color w:val="000000"/>
                <w:sz w:val="18"/>
                <w:szCs w:val="18"/>
                <w:lang w:eastAsia="es-CR"/>
              </w:rPr>
            </w:pPr>
            <w:r w:rsidRPr="00396CB4">
              <w:rPr>
                <w:rFonts w:eastAsia="Times New Roman" w:cs="Calibri"/>
                <w:b/>
                <w:bCs/>
                <w:i/>
                <w:iCs/>
                <w:color w:val="000000"/>
                <w:sz w:val="18"/>
                <w:szCs w:val="18"/>
                <w:lang w:eastAsia="es-CR"/>
              </w:rPr>
              <w:t>NICSP 40</w:t>
            </w:r>
          </w:p>
        </w:tc>
        <w:tc>
          <w:tcPr>
            <w:tcW w:w="3685" w:type="dxa"/>
            <w:tcBorders>
              <w:top w:val="single" w:sz="8" w:space="0" w:color="auto"/>
              <w:left w:val="single" w:sz="8" w:space="0" w:color="auto"/>
              <w:bottom w:val="single" w:sz="8" w:space="0" w:color="auto"/>
              <w:right w:val="nil"/>
            </w:tcBorders>
            <w:shd w:val="clear" w:color="auto" w:fill="auto"/>
            <w:vAlign w:val="center"/>
            <w:hideMark/>
          </w:tcPr>
          <w:p w14:paraId="717C1294" w14:textId="77777777" w:rsidR="00396CB4" w:rsidRPr="00396CB4" w:rsidRDefault="00396CB4" w:rsidP="00396CB4">
            <w:pPr>
              <w:spacing w:after="0" w:line="240" w:lineRule="auto"/>
              <w:rPr>
                <w:rFonts w:eastAsia="Times New Roman" w:cs="Calibri"/>
                <w:color w:val="000000"/>
                <w:sz w:val="18"/>
                <w:lang w:eastAsia="es-CR"/>
              </w:rPr>
            </w:pPr>
            <w:r w:rsidRPr="00396CB4">
              <w:rPr>
                <w:rFonts w:eastAsia="Times New Roman" w:cs="Calibri"/>
                <w:color w:val="000000"/>
                <w:sz w:val="18"/>
                <w:lang w:eastAsia="es-CR"/>
              </w:rPr>
              <w:t>Combinaciones en el sector público</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3FE19C18" w14:textId="77777777" w:rsidR="00396CB4" w:rsidRPr="00396CB4" w:rsidRDefault="00396CB4" w:rsidP="00396CB4">
            <w:pPr>
              <w:spacing w:after="0" w:line="240" w:lineRule="auto"/>
              <w:jc w:val="center"/>
              <w:rPr>
                <w:rFonts w:eastAsia="Times New Roman" w:cs="Calibri"/>
                <w:color w:val="FFFFFF"/>
                <w:sz w:val="18"/>
                <w:szCs w:val="24"/>
                <w:lang w:eastAsia="es-CR"/>
              </w:rPr>
            </w:pPr>
            <w:r w:rsidRPr="00396CB4">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4D2E26F3"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7E991722"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No</w:t>
            </w:r>
          </w:p>
        </w:tc>
        <w:tc>
          <w:tcPr>
            <w:tcW w:w="1067" w:type="dxa"/>
            <w:tcBorders>
              <w:top w:val="nil"/>
              <w:left w:val="nil"/>
              <w:bottom w:val="single" w:sz="8" w:space="0" w:color="auto"/>
              <w:right w:val="single" w:sz="8" w:space="0" w:color="auto"/>
            </w:tcBorders>
            <w:shd w:val="clear" w:color="auto" w:fill="auto"/>
            <w:noWrap/>
            <w:vAlign w:val="bottom"/>
            <w:hideMark/>
          </w:tcPr>
          <w:p w14:paraId="521971E8"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 </w:t>
            </w:r>
          </w:p>
        </w:tc>
        <w:tc>
          <w:tcPr>
            <w:tcW w:w="1157" w:type="dxa"/>
            <w:tcBorders>
              <w:top w:val="nil"/>
              <w:left w:val="nil"/>
              <w:bottom w:val="single" w:sz="8" w:space="0" w:color="auto"/>
              <w:right w:val="single" w:sz="8" w:space="0" w:color="auto"/>
            </w:tcBorders>
            <w:shd w:val="clear" w:color="auto" w:fill="auto"/>
            <w:noWrap/>
            <w:vAlign w:val="bottom"/>
            <w:hideMark/>
          </w:tcPr>
          <w:p w14:paraId="3533A32E"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 </w:t>
            </w:r>
          </w:p>
        </w:tc>
      </w:tr>
      <w:tr w:rsidR="00396CB4" w:rsidRPr="00396CB4" w14:paraId="158B602A" w14:textId="77777777" w:rsidTr="00396CB4">
        <w:trPr>
          <w:divId w:val="2105030683"/>
          <w:trHeight w:val="324"/>
        </w:trPr>
        <w:tc>
          <w:tcPr>
            <w:tcW w:w="851" w:type="dxa"/>
            <w:tcBorders>
              <w:top w:val="nil"/>
              <w:left w:val="nil"/>
              <w:bottom w:val="nil"/>
              <w:right w:val="nil"/>
            </w:tcBorders>
            <w:shd w:val="clear" w:color="auto" w:fill="auto"/>
            <w:noWrap/>
            <w:vAlign w:val="bottom"/>
            <w:hideMark/>
          </w:tcPr>
          <w:p w14:paraId="5EB4F2CD" w14:textId="77777777" w:rsidR="00396CB4" w:rsidRPr="00396CB4" w:rsidRDefault="00396CB4" w:rsidP="00396CB4">
            <w:pPr>
              <w:spacing w:after="0" w:line="240" w:lineRule="auto"/>
              <w:jc w:val="center"/>
              <w:rPr>
                <w:rFonts w:eastAsia="Times New Roman" w:cs="Calibri"/>
                <w:color w:val="000000"/>
                <w:sz w:val="18"/>
                <w:lang w:eastAsia="es-CR"/>
              </w:rPr>
            </w:pPr>
          </w:p>
        </w:tc>
        <w:tc>
          <w:tcPr>
            <w:tcW w:w="3685" w:type="dxa"/>
            <w:tcBorders>
              <w:top w:val="nil"/>
              <w:left w:val="single" w:sz="8" w:space="0" w:color="auto"/>
              <w:bottom w:val="single" w:sz="8" w:space="0" w:color="auto"/>
              <w:right w:val="nil"/>
            </w:tcBorders>
            <w:shd w:val="clear" w:color="auto" w:fill="auto"/>
            <w:vAlign w:val="center"/>
            <w:hideMark/>
          </w:tcPr>
          <w:p w14:paraId="5ED395B6" w14:textId="77777777" w:rsidR="00396CB4" w:rsidRPr="00396CB4" w:rsidRDefault="00396CB4" w:rsidP="00396CB4">
            <w:pPr>
              <w:spacing w:after="0" w:line="240" w:lineRule="auto"/>
              <w:rPr>
                <w:rFonts w:eastAsia="Times New Roman" w:cs="Calibri"/>
                <w:color w:val="000000"/>
                <w:sz w:val="18"/>
                <w:lang w:eastAsia="es-CR"/>
              </w:rPr>
            </w:pPr>
            <w:r w:rsidRPr="00396CB4">
              <w:rPr>
                <w:rFonts w:eastAsia="Times New Roman" w:cs="Calibri"/>
                <w:color w:val="000000"/>
                <w:sz w:val="18"/>
                <w:lang w:eastAsia="es-CR"/>
              </w:rPr>
              <w:t>Fideicomisos</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76234EE4" w14:textId="77777777" w:rsidR="00396CB4" w:rsidRPr="00396CB4" w:rsidRDefault="00396CB4" w:rsidP="00396CB4">
            <w:pPr>
              <w:spacing w:after="0" w:line="240" w:lineRule="auto"/>
              <w:jc w:val="center"/>
              <w:rPr>
                <w:rFonts w:eastAsia="Times New Roman" w:cs="Calibri"/>
                <w:color w:val="FFFFFF"/>
                <w:sz w:val="18"/>
                <w:szCs w:val="24"/>
                <w:lang w:eastAsia="es-CR"/>
              </w:rPr>
            </w:pPr>
            <w:r w:rsidRPr="00396CB4">
              <w:rPr>
                <w:rFonts w:eastAsia="Times New Roman" w:cs="Calibri"/>
                <w:color w:val="FFFFFF"/>
                <w:sz w:val="18"/>
                <w:szCs w:val="24"/>
                <w:lang w:eastAsia="es-CR"/>
              </w:rPr>
              <w:t> </w:t>
            </w:r>
          </w:p>
        </w:tc>
        <w:tc>
          <w:tcPr>
            <w:tcW w:w="970" w:type="dxa"/>
            <w:tcBorders>
              <w:top w:val="nil"/>
              <w:left w:val="nil"/>
              <w:bottom w:val="single" w:sz="8" w:space="0" w:color="auto"/>
              <w:right w:val="single" w:sz="8" w:space="0" w:color="auto"/>
            </w:tcBorders>
            <w:shd w:val="clear" w:color="000000" w:fill="203764"/>
            <w:noWrap/>
            <w:vAlign w:val="center"/>
            <w:hideMark/>
          </w:tcPr>
          <w:p w14:paraId="4396709F" w14:textId="77777777" w:rsidR="00396CB4" w:rsidRPr="00396CB4" w:rsidRDefault="00396CB4" w:rsidP="00396CB4">
            <w:pPr>
              <w:spacing w:after="0" w:line="240" w:lineRule="auto"/>
              <w:jc w:val="center"/>
              <w:rPr>
                <w:rFonts w:eastAsia="Times New Roman" w:cs="Calibri"/>
                <w:color w:val="FFFFFF"/>
                <w:sz w:val="18"/>
                <w:szCs w:val="24"/>
                <w:lang w:eastAsia="es-CR"/>
              </w:rPr>
            </w:pPr>
            <w:r w:rsidRPr="00396CB4">
              <w:rPr>
                <w:rFonts w:eastAsia="Times New Roman" w:cs="Calibri"/>
                <w:color w:val="FFFFFF"/>
                <w:sz w:val="18"/>
                <w:szCs w:val="24"/>
                <w:lang w:eastAsia="es-CR"/>
              </w:rPr>
              <w:t> </w:t>
            </w:r>
          </w:p>
        </w:tc>
        <w:tc>
          <w:tcPr>
            <w:tcW w:w="1059" w:type="dxa"/>
            <w:tcBorders>
              <w:top w:val="nil"/>
              <w:left w:val="nil"/>
              <w:bottom w:val="single" w:sz="8" w:space="0" w:color="auto"/>
              <w:right w:val="single" w:sz="8" w:space="0" w:color="auto"/>
            </w:tcBorders>
            <w:shd w:val="clear" w:color="auto" w:fill="auto"/>
            <w:noWrap/>
            <w:vAlign w:val="bottom"/>
            <w:hideMark/>
          </w:tcPr>
          <w:p w14:paraId="7D6B5DE6" w14:textId="77777777" w:rsidR="00396CB4" w:rsidRPr="00396CB4" w:rsidRDefault="00396CB4" w:rsidP="00396CB4">
            <w:pPr>
              <w:spacing w:after="0" w:line="240" w:lineRule="auto"/>
              <w:jc w:val="center"/>
              <w:rPr>
                <w:rFonts w:eastAsia="Times New Roman" w:cs="Calibri"/>
                <w:color w:val="000000"/>
                <w:sz w:val="18"/>
                <w:lang w:eastAsia="es-CR"/>
              </w:rPr>
            </w:pPr>
            <w:r w:rsidRPr="00396CB4">
              <w:rPr>
                <w:rFonts w:eastAsia="Times New Roman" w:cs="Calibri"/>
                <w:color w:val="000000"/>
                <w:sz w:val="18"/>
                <w:lang w:eastAsia="es-CR"/>
              </w:rPr>
              <w:t> </w:t>
            </w:r>
          </w:p>
        </w:tc>
        <w:tc>
          <w:tcPr>
            <w:tcW w:w="1067" w:type="dxa"/>
            <w:tcBorders>
              <w:top w:val="nil"/>
              <w:left w:val="nil"/>
              <w:bottom w:val="single" w:sz="8" w:space="0" w:color="auto"/>
              <w:right w:val="single" w:sz="8" w:space="0" w:color="auto"/>
            </w:tcBorders>
            <w:shd w:val="clear" w:color="000000" w:fill="203764"/>
            <w:noWrap/>
            <w:vAlign w:val="center"/>
            <w:hideMark/>
          </w:tcPr>
          <w:p w14:paraId="1AFE2E1A" w14:textId="77777777" w:rsidR="00396CB4" w:rsidRPr="00396CB4" w:rsidRDefault="00396CB4" w:rsidP="00396CB4">
            <w:pPr>
              <w:spacing w:after="0" w:line="240" w:lineRule="auto"/>
              <w:jc w:val="center"/>
              <w:rPr>
                <w:rFonts w:eastAsia="Times New Roman" w:cs="Calibri"/>
                <w:color w:val="FFFFFF"/>
                <w:sz w:val="18"/>
                <w:szCs w:val="24"/>
                <w:lang w:eastAsia="es-CR"/>
              </w:rPr>
            </w:pPr>
            <w:r w:rsidRPr="00396CB4">
              <w:rPr>
                <w:rFonts w:eastAsia="Times New Roman" w:cs="Calibri"/>
                <w:color w:val="FFFFFF"/>
                <w:sz w:val="18"/>
                <w:szCs w:val="24"/>
                <w:lang w:eastAsia="es-CR"/>
              </w:rPr>
              <w:t> </w:t>
            </w:r>
          </w:p>
        </w:tc>
        <w:tc>
          <w:tcPr>
            <w:tcW w:w="1157" w:type="dxa"/>
            <w:tcBorders>
              <w:top w:val="nil"/>
              <w:left w:val="nil"/>
              <w:bottom w:val="single" w:sz="8" w:space="0" w:color="auto"/>
              <w:right w:val="single" w:sz="8" w:space="0" w:color="auto"/>
            </w:tcBorders>
            <w:shd w:val="clear" w:color="000000" w:fill="203764"/>
            <w:noWrap/>
            <w:vAlign w:val="center"/>
            <w:hideMark/>
          </w:tcPr>
          <w:p w14:paraId="243B6481" w14:textId="77777777" w:rsidR="00396CB4" w:rsidRPr="00396CB4" w:rsidRDefault="00396CB4" w:rsidP="00396CB4">
            <w:pPr>
              <w:spacing w:after="0" w:line="240" w:lineRule="auto"/>
              <w:jc w:val="center"/>
              <w:rPr>
                <w:rFonts w:eastAsia="Times New Roman" w:cs="Calibri"/>
                <w:color w:val="FFFFFF"/>
                <w:sz w:val="18"/>
                <w:szCs w:val="24"/>
                <w:lang w:eastAsia="es-CR"/>
              </w:rPr>
            </w:pPr>
            <w:r w:rsidRPr="00396CB4">
              <w:rPr>
                <w:rFonts w:eastAsia="Times New Roman" w:cs="Calibri"/>
                <w:color w:val="FFFFFF"/>
                <w:sz w:val="18"/>
                <w:szCs w:val="24"/>
                <w:lang w:eastAsia="es-CR"/>
              </w:rPr>
              <w:t> </w:t>
            </w:r>
          </w:p>
        </w:tc>
      </w:tr>
    </w:tbl>
    <w:p w14:paraId="05D0C3A8" w14:textId="4ADD53E5" w:rsidR="00BF6D99" w:rsidRDefault="00BF6D99" w:rsidP="00B4271E">
      <w:pPr>
        <w:spacing w:before="240"/>
      </w:pPr>
      <w:r>
        <w:fldChar w:fldCharType="end"/>
      </w:r>
    </w:p>
    <w:p w14:paraId="698C233C" w14:textId="035A182B" w:rsidR="00F11F6C" w:rsidRPr="005D574A" w:rsidRDefault="00F11F6C" w:rsidP="005D574A">
      <w:pPr>
        <w:pStyle w:val="Ttulo3"/>
        <w:spacing w:after="240"/>
        <w:rPr>
          <w:rFonts w:eastAsia="Calibri"/>
        </w:rPr>
      </w:pPr>
      <w:bookmarkStart w:id="11" w:name="_Toc189804774"/>
      <w:r w:rsidRPr="00F11F6C">
        <w:rPr>
          <w:rFonts w:eastAsia="Calibri"/>
        </w:rPr>
        <w:t>Base de Medición</w:t>
      </w:r>
      <w:bookmarkEnd w:id="11"/>
      <w:r w:rsidRPr="00F11F6C">
        <w:rPr>
          <w:rFonts w:eastAsia="Calibri"/>
        </w:rPr>
        <w:t xml:space="preserve"> </w:t>
      </w:r>
    </w:p>
    <w:p w14:paraId="40309B26" w14:textId="77777777" w:rsidR="00F11F6C" w:rsidRPr="00F11F6C" w:rsidRDefault="00F11F6C" w:rsidP="00F11F6C">
      <w:r w:rsidRPr="00F11F6C">
        <w:t>Los Estados Financieros han sido preparados según las bases de medición contenidas en las NICSP (2018) para cada saldo de cuenta. Las principales bases están determinadas en las Políticas Contables Generales emitidas por la Contabilidad Nacional versión (2021) y la emisión de la Metodología de Implementación de NICSP la versión del 2021 y en cuanto al Plan General de Cuentas y el Manual Funcional de Cuentas Contable para el Sector Público.</w:t>
      </w:r>
    </w:p>
    <w:p w14:paraId="315F1286" w14:textId="3D4D3D56" w:rsidR="00F11F6C" w:rsidRPr="00F11F6C" w:rsidRDefault="00F11F6C" w:rsidP="00F11F6C">
      <w:pPr>
        <w:spacing w:before="240"/>
      </w:pPr>
      <w:r w:rsidRPr="00F11F6C">
        <w:t>Considerar lo indicado en la NICSP 1 párrafo 133.</w:t>
      </w:r>
    </w:p>
    <w:p w14:paraId="27567D64" w14:textId="77777777" w:rsidR="00F11F6C" w:rsidRPr="00F11F6C" w:rsidRDefault="00F11F6C" w:rsidP="00F11F6C">
      <w:pPr>
        <w:spacing w:before="240"/>
        <w:rPr>
          <w:i/>
        </w:rPr>
      </w:pPr>
      <w:r w:rsidRPr="00F11F6C">
        <w:rPr>
          <w:i/>
        </w:rPr>
        <w:t>“Es importante para los usuarios estar informados acerca de la base de medición utilizada en los estados financieros (por ejemplo: costo histórico, costo corriente, valor realizable neto, valor razonable, importe recuperable o importe de servicio recuperable), puesto que esas bases, sobre las cuales se elaboran los estados financieros, afectan significativamente a su análisis.</w:t>
      </w:r>
    </w:p>
    <w:p w14:paraId="13CF4132" w14:textId="311FD296" w:rsidR="00F11F6C" w:rsidRPr="00F11F6C" w:rsidRDefault="00F11F6C" w:rsidP="00F11F6C">
      <w:pPr>
        <w:spacing w:before="240"/>
        <w:rPr>
          <w:i/>
        </w:rPr>
      </w:pPr>
      <w:r w:rsidRPr="00F11F6C">
        <w:rPr>
          <w:i/>
        </w:rPr>
        <w:t>Cuando se haya usado más de una base de medición al elaborar los estados financieros, por ejemplo, si se han revaluado sólo ciertas clases de activos, será suficiente con suministrar una indicación respecto a las categorías de activos y pasivos a los cuales se ha aplicado cada base de medición y se debe revelar la información.”</w:t>
      </w:r>
    </w:p>
    <w:p w14:paraId="67E00230" w14:textId="60AF86F6" w:rsidR="00641AF6" w:rsidRDefault="00F11F6C" w:rsidP="00F266E7">
      <w:pPr>
        <w:spacing w:before="240"/>
      </w:pPr>
      <w:r w:rsidRPr="00F11F6C">
        <w:t>Por lo anterior el ente contable a continuación debe revelar con lo estipulado NICSP 1 párrafo 133 y a continuación indicar la base de medición utilizada en los estados financieros:</w:t>
      </w:r>
    </w:p>
    <w:p w14:paraId="21CE90F9" w14:textId="0FFE61A1" w:rsidR="00641AF6" w:rsidRDefault="00641AF6" w:rsidP="00641AF6">
      <w:pPr>
        <w:spacing w:before="24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401F97B" w14:textId="6FB8DBA1" w:rsidR="00F11F6C" w:rsidRPr="00F266E7" w:rsidRDefault="00F11F6C" w:rsidP="00F266E7">
      <w:pPr>
        <w:pStyle w:val="Ttulo3"/>
      </w:pPr>
      <w:bookmarkStart w:id="12" w:name="_Toc189804775"/>
      <w:r w:rsidRPr="00F266E7">
        <w:lastRenderedPageBreak/>
        <w:t>Moneda Funcional y de Presentación</w:t>
      </w:r>
      <w:bookmarkEnd w:id="12"/>
    </w:p>
    <w:p w14:paraId="771D4290" w14:textId="41F5D995" w:rsidR="00F11F6C" w:rsidRPr="00F11F6C" w:rsidRDefault="00F11F6C" w:rsidP="00F11F6C">
      <w:pPr>
        <w:spacing w:before="240"/>
      </w:pPr>
      <w:r w:rsidRPr="00F11F6C">
        <w:t>Los Estados Financieros se presentan en colones costarricenses (¢), la cual ha sido determinada por esta entidad como su moneda funcional. Toda información financiera contenida en los Estados Financieros y sus notas se presentan en miles de colones.</w:t>
      </w:r>
    </w:p>
    <w:p w14:paraId="73A38EFE" w14:textId="2107EF1D" w:rsidR="00F11F6C" w:rsidRPr="00F11F6C" w:rsidRDefault="00F11F6C" w:rsidP="00DF7432">
      <w:pPr>
        <w:spacing w:before="240"/>
        <w:jc w:val="center"/>
      </w:pPr>
      <w:r w:rsidRPr="00F11F6C">
        <w:rPr>
          <w:noProof/>
          <w:lang w:eastAsia="es-CR"/>
        </w:rPr>
        <w:drawing>
          <wp:inline distT="0" distB="0" distL="0" distR="0" wp14:anchorId="0F40BD01" wp14:editId="419F7D5F">
            <wp:extent cx="4785360" cy="1051560"/>
            <wp:effectExtent l="0" t="0" r="0" b="0"/>
            <wp:docPr id="5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85360" cy="1051560"/>
                    </a:xfrm>
                    <a:prstGeom prst="rect">
                      <a:avLst/>
                    </a:prstGeom>
                    <a:noFill/>
                    <a:ln>
                      <a:noFill/>
                    </a:ln>
                  </pic:spPr>
                </pic:pic>
              </a:graphicData>
            </a:graphic>
          </wp:inline>
        </w:drawing>
      </w:r>
    </w:p>
    <w:p w14:paraId="166CB07B" w14:textId="62121A81" w:rsidR="005D574A" w:rsidRDefault="00F11F6C" w:rsidP="00F11F6C">
      <w:pPr>
        <w:spacing w:before="240"/>
      </w:pPr>
      <w:r w:rsidRPr="00F11F6C">
        <w:t>La moneda funcional será la de curso legal del país. La misma refleja las transacciones, sucesos y condiciones que subyacen y son relevantes para la misma.</w:t>
      </w:r>
    </w:p>
    <w:p w14:paraId="6B8FB54E" w14:textId="77777777" w:rsidR="005D574A" w:rsidRPr="00F11F6C" w:rsidRDefault="005D574A" w:rsidP="00F11F6C">
      <w:pPr>
        <w:spacing w:before="240"/>
      </w:pPr>
    </w:p>
    <w:p w14:paraId="7AD22E75" w14:textId="68B62486" w:rsidR="00006A63" w:rsidRDefault="00A266AB" w:rsidP="00006A63">
      <w:pPr>
        <w:pStyle w:val="Ttulo3"/>
        <w:rPr>
          <w:rFonts w:eastAsia="Calibri"/>
        </w:rPr>
      </w:pPr>
      <w:bookmarkStart w:id="13" w:name="_Toc189804776"/>
      <w:r w:rsidRPr="00A266AB">
        <w:rPr>
          <w:rFonts w:eastAsia="Calibri"/>
        </w:rPr>
        <w:t>Políticas Contables:</w:t>
      </w:r>
      <w:bookmarkEnd w:id="13"/>
    </w:p>
    <w:p w14:paraId="2EA40751" w14:textId="77777777" w:rsidR="00006A63" w:rsidRPr="00006A63" w:rsidRDefault="00006A63" w:rsidP="00006A63">
      <w:pPr>
        <w:spacing w:after="0"/>
      </w:pPr>
    </w:p>
    <w:p w14:paraId="00F5B440" w14:textId="040C3D2E" w:rsidR="00006A63" w:rsidRPr="00A266AB" w:rsidRDefault="00A266AB" w:rsidP="00A266AB">
      <w:r w:rsidRPr="00A266AB">
        <w:t xml:space="preserve"> El ente contable debe llenar la siguiente declaración:</w:t>
      </w:r>
    </w:p>
    <w:p w14:paraId="717A57A8" w14:textId="6C91C234" w:rsidR="005D574A" w:rsidRPr="005D574A" w:rsidRDefault="00A266AB" w:rsidP="005D574A">
      <w:pPr>
        <w:pStyle w:val="Ttulo2"/>
        <w:spacing w:after="240"/>
        <w:rPr>
          <w:rFonts w:eastAsia="Times New Roman"/>
          <w:lang w:eastAsia="es-CR"/>
        </w:rPr>
      </w:pPr>
      <w:bookmarkStart w:id="14" w:name="_Toc82768839"/>
      <w:bookmarkStart w:id="15" w:name="_Toc189804777"/>
      <w:r w:rsidRPr="00A266AB">
        <w:rPr>
          <w:rFonts w:eastAsia="Times New Roman"/>
          <w:lang w:eastAsia="es-CR"/>
        </w:rPr>
        <w:t>CERTIFICACIÓN POLITICAS CONTABLES</w:t>
      </w:r>
      <w:bookmarkEnd w:id="14"/>
      <w:bookmarkEnd w:id="15"/>
    </w:p>
    <w:p w14:paraId="69BABD19" w14:textId="62F328C5" w:rsidR="00B70FD4" w:rsidRPr="00A266AB" w:rsidRDefault="00A266AB" w:rsidP="00A266AB">
      <w:pPr>
        <w:rPr>
          <w:lang w:eastAsia="es-CR"/>
        </w:rPr>
      </w:pPr>
      <w:r w:rsidRPr="00A266AB">
        <w:rPr>
          <w:lang w:eastAsia="es-CR"/>
        </w:rPr>
        <w:t xml:space="preserve">(Certificación (Constancia – Sector Municipal) de Políticas Contables): </w:t>
      </w:r>
      <w:r w:rsidR="00482942">
        <w:rPr>
          <w:lang w:eastAsia="es-CR"/>
        </w:rPr>
        <w:t xml:space="preserve">El ente debe revelar y cumplir </w:t>
      </w:r>
      <w:r w:rsidRPr="00A266AB">
        <w:rPr>
          <w:lang w:eastAsia="es-CR"/>
        </w:rPr>
        <w:t>con las Políticas Contables Generales que emita la Contabilidad Nacional, es por ello que los responsables contables deben estudiarlas y analizarlas e incluirlas dentro del tratamiento contable, de igual manera de estar al tanto de las actualizaciones.</w:t>
      </w:r>
    </w:p>
    <w:p w14:paraId="7ACD9358" w14:textId="71A1AD58" w:rsidR="00A266AB" w:rsidRDefault="00A266AB" w:rsidP="00B70FD4">
      <w:pPr>
        <w:pBdr>
          <w:top w:val="single" w:sz="4" w:space="1" w:color="auto"/>
          <w:left w:val="single" w:sz="4" w:space="4" w:color="auto"/>
          <w:right w:val="single" w:sz="4" w:space="4" w:color="auto"/>
        </w:pBdr>
        <w:jc w:val="center"/>
        <w:rPr>
          <w:b/>
        </w:rPr>
      </w:pPr>
      <w:r w:rsidRPr="00B70FD4">
        <w:rPr>
          <w:b/>
        </w:rPr>
        <w:t>Certificación</w:t>
      </w:r>
      <w:r w:rsidRPr="00B70FD4">
        <w:rPr>
          <w:rStyle w:val="nfasissutil"/>
          <w:b/>
        </w:rPr>
        <w:t xml:space="preserve"> </w:t>
      </w:r>
      <w:r w:rsidRPr="00B70FD4">
        <w:rPr>
          <w:b/>
        </w:rPr>
        <w:t>o Constancia:</w:t>
      </w:r>
    </w:p>
    <w:p w14:paraId="2C552702" w14:textId="77777777" w:rsidR="00E1374A" w:rsidRDefault="00E1374A" w:rsidP="00E1374A">
      <w:pPr>
        <w:pBdr>
          <w:left w:val="single" w:sz="4" w:space="4" w:color="auto"/>
          <w:right w:val="single" w:sz="4" w:space="4" w:color="auto"/>
        </w:pBdr>
      </w:pPr>
      <w:r>
        <w:t xml:space="preserve">La </w:t>
      </w:r>
      <w:r w:rsidRPr="0042740E">
        <w:rPr>
          <w:b/>
          <w:color w:val="000000"/>
        </w:rPr>
        <w:t>MUNICIPALIDAD DE BUENOS AIRES</w:t>
      </w:r>
      <w:r>
        <w:t xml:space="preserve">, cedula jurídica </w:t>
      </w:r>
      <w:r w:rsidRPr="0042740E">
        <w:rPr>
          <w:b/>
        </w:rPr>
        <w:t>3-014-042112</w:t>
      </w:r>
      <w:r>
        <w:t xml:space="preserve">, y cuyo Representante Legal es </w:t>
      </w:r>
      <w:r w:rsidRPr="0042740E">
        <w:rPr>
          <w:b/>
          <w:color w:val="000000"/>
        </w:rPr>
        <w:t xml:space="preserve">MÁSTER </w:t>
      </w:r>
      <w:r>
        <w:rPr>
          <w:b/>
          <w:color w:val="000000"/>
        </w:rPr>
        <w:t>ANA MARGOTH MORA NAVARRO</w:t>
      </w:r>
      <w:r>
        <w:t xml:space="preserve">, portadora de la cédula de identidad </w:t>
      </w:r>
      <w:r>
        <w:rPr>
          <w:b/>
          <w:color w:val="000000"/>
        </w:rPr>
        <w:t>1-0280-0849</w:t>
      </w:r>
      <w:r w:rsidRPr="0042740E">
        <w:t>,</w:t>
      </w:r>
      <w:r w:rsidRPr="00916044">
        <w:rPr>
          <w:highlight w:val="lightGray"/>
        </w:rPr>
        <w:t xml:space="preserve"> </w:t>
      </w:r>
      <w:r>
        <w:t>CERTIFICA QUE:</w:t>
      </w:r>
    </w:p>
    <w:p w14:paraId="59C65516" w14:textId="77777777" w:rsidR="00E1374A" w:rsidRPr="00B70FD4" w:rsidRDefault="00E1374A" w:rsidP="00E1374A">
      <w:pPr>
        <w:pBdr>
          <w:left w:val="single" w:sz="4" w:space="4" w:color="auto"/>
          <w:right w:val="single" w:sz="4" w:space="4" w:color="auto"/>
        </w:pBdr>
        <w:rPr>
          <w:u w:val="single"/>
        </w:rPr>
      </w:pPr>
      <w:r w:rsidRPr="00B70FD4">
        <w:rPr>
          <w:u w:val="single"/>
        </w:rPr>
        <w:t xml:space="preserve"> Los registros contables y estados financieros se ajustan a la Políticas Contables Generales emitidas por la DGCN en su versión 2021.</w:t>
      </w:r>
    </w:p>
    <w:p w14:paraId="28BB1345" w14:textId="77777777" w:rsidR="00E1374A" w:rsidRPr="00B70FD4" w:rsidRDefault="00E1374A" w:rsidP="00E1374A">
      <w:pPr>
        <w:pBdr>
          <w:left w:val="single" w:sz="4" w:space="4" w:color="auto"/>
          <w:bottom w:val="single" w:sz="4" w:space="1" w:color="auto"/>
          <w:right w:val="single" w:sz="4" w:space="4" w:color="auto"/>
        </w:pBdr>
        <w:rPr>
          <w:b/>
        </w:rPr>
      </w:pPr>
      <w:r w:rsidRPr="00B70FD4">
        <w:rPr>
          <w:b/>
        </w:rPr>
        <w:lastRenderedPageBreak/>
        <w:t>Nota:</w:t>
      </w:r>
      <w:r>
        <w:t xml:space="preserve">  La firma del Máximo Jerarca está incluida en las firmas del estado de notas en su conjunto.</w:t>
      </w:r>
      <w:r w:rsidRPr="00B70FD4">
        <w:rPr>
          <w:b/>
        </w:rPr>
        <w:t xml:space="preserve"> De acuerdo con las particularidades del ente contable, estas son las políticas contables de mayor relevancia para el tratamiento contable</w:t>
      </w:r>
      <w:r>
        <w:rPr>
          <w:b/>
        </w:rPr>
        <w:t>.</w:t>
      </w:r>
    </w:p>
    <w:p w14:paraId="381B66A5" w14:textId="77777777" w:rsidR="00A266AB" w:rsidRPr="00A266AB" w:rsidRDefault="00A266AB" w:rsidP="0077456B">
      <w:pPr>
        <w:rPr>
          <w:highlight w:val="lightGray"/>
          <w:lang w:eastAsia="es-CR"/>
        </w:rPr>
      </w:pPr>
    </w:p>
    <w:p w14:paraId="6C9F90E5" w14:textId="6D96EC2B" w:rsidR="00A266AB" w:rsidRDefault="00A266AB" w:rsidP="0077456B">
      <w:pPr>
        <w:rPr>
          <w:b/>
          <w:lang w:eastAsia="es-CR"/>
        </w:rPr>
      </w:pPr>
      <w:r w:rsidRPr="0077456B">
        <w:rPr>
          <w:b/>
          <w:lang w:eastAsia="es-CR"/>
        </w:rPr>
        <w:t>Una entidad revelara las políticas contables utilizadas que sean relevantes para la comprensión de los Estados Financieros en el siguiente cuadro:</w:t>
      </w:r>
    </w:p>
    <w:tbl>
      <w:tblPr>
        <w:tblW w:w="5000" w:type="pct"/>
        <w:tblLayout w:type="fixed"/>
        <w:tblCellMar>
          <w:left w:w="70" w:type="dxa"/>
          <w:right w:w="70" w:type="dxa"/>
        </w:tblCellMar>
        <w:tblLook w:val="04A0" w:firstRow="1" w:lastRow="0" w:firstColumn="1" w:lastColumn="0" w:noHBand="0" w:noVBand="1"/>
      </w:tblPr>
      <w:tblGrid>
        <w:gridCol w:w="661"/>
        <w:gridCol w:w="1270"/>
        <w:gridCol w:w="2683"/>
        <w:gridCol w:w="1378"/>
        <w:gridCol w:w="2841"/>
      </w:tblGrid>
      <w:tr w:rsidR="00E1374A" w:rsidRPr="00B90399" w14:paraId="49B8F50B" w14:textId="77777777" w:rsidTr="007B0BB6">
        <w:trPr>
          <w:trHeight w:val="236"/>
        </w:trPr>
        <w:tc>
          <w:tcPr>
            <w:tcW w:w="5000" w:type="pct"/>
            <w:gridSpan w:val="5"/>
            <w:tcBorders>
              <w:top w:val="nil"/>
              <w:left w:val="single" w:sz="4" w:space="0" w:color="auto"/>
              <w:bottom w:val="single" w:sz="4" w:space="0" w:color="auto"/>
              <w:right w:val="nil"/>
            </w:tcBorders>
            <w:shd w:val="clear" w:color="000000" w:fill="305496"/>
            <w:noWrap/>
            <w:vAlign w:val="center"/>
            <w:hideMark/>
          </w:tcPr>
          <w:p w14:paraId="53143819" w14:textId="77777777" w:rsidR="00E1374A" w:rsidRPr="00B90399" w:rsidRDefault="00E1374A" w:rsidP="007B0BB6">
            <w:pPr>
              <w:spacing w:before="120" w:after="120" w:line="240" w:lineRule="auto"/>
              <w:jc w:val="center"/>
              <w:rPr>
                <w:rFonts w:eastAsia="Times New Roman" w:cs="Calibri"/>
                <w:color w:val="FFFFFF"/>
                <w:sz w:val="16"/>
                <w:szCs w:val="16"/>
                <w:lang w:eastAsia="es-CR"/>
              </w:rPr>
            </w:pPr>
            <w:r w:rsidRPr="00B90399">
              <w:rPr>
                <w:rFonts w:eastAsia="Times New Roman" w:cs="Calibri"/>
                <w:color w:val="FFFFFF"/>
                <w:sz w:val="16"/>
                <w:szCs w:val="16"/>
                <w:lang w:eastAsia="es-CR"/>
              </w:rPr>
              <w:t>Políticas</w:t>
            </w:r>
          </w:p>
        </w:tc>
      </w:tr>
      <w:tr w:rsidR="00E1374A" w:rsidRPr="00B90399" w14:paraId="4EB397C9" w14:textId="77777777" w:rsidTr="007B0BB6">
        <w:trPr>
          <w:trHeight w:val="457"/>
        </w:trPr>
        <w:tc>
          <w:tcPr>
            <w:tcW w:w="374" w:type="pct"/>
            <w:vMerge w:val="restart"/>
            <w:tcBorders>
              <w:top w:val="nil"/>
              <w:left w:val="nil"/>
              <w:bottom w:val="single" w:sz="4" w:space="0" w:color="000000"/>
              <w:right w:val="single" w:sz="4" w:space="0" w:color="auto"/>
            </w:tcBorders>
            <w:shd w:val="clear" w:color="000000" w:fill="305496"/>
            <w:vAlign w:val="center"/>
            <w:hideMark/>
          </w:tcPr>
          <w:p w14:paraId="579D784B" w14:textId="77777777" w:rsidR="00E1374A" w:rsidRPr="00B90399" w:rsidRDefault="00E1374A" w:rsidP="007B0BB6">
            <w:pPr>
              <w:spacing w:after="0" w:line="240" w:lineRule="auto"/>
              <w:jc w:val="center"/>
              <w:rPr>
                <w:rFonts w:eastAsia="Times New Roman" w:cs="Calibri"/>
                <w:color w:val="FFFFFF"/>
                <w:sz w:val="16"/>
                <w:szCs w:val="16"/>
                <w:lang w:eastAsia="es-CR"/>
              </w:rPr>
            </w:pPr>
            <w:r w:rsidRPr="00B90399">
              <w:rPr>
                <w:rFonts w:eastAsia="Times New Roman" w:cs="Calibri"/>
                <w:color w:val="FFFFFF"/>
                <w:sz w:val="16"/>
                <w:szCs w:val="16"/>
                <w:lang w:eastAsia="es-CR"/>
              </w:rPr>
              <w:t xml:space="preserve">N° Política </w:t>
            </w:r>
          </w:p>
        </w:tc>
        <w:tc>
          <w:tcPr>
            <w:tcW w:w="719" w:type="pct"/>
            <w:vMerge w:val="restart"/>
            <w:tcBorders>
              <w:top w:val="nil"/>
              <w:left w:val="nil"/>
              <w:bottom w:val="single" w:sz="4" w:space="0" w:color="000000"/>
              <w:right w:val="single" w:sz="4" w:space="0" w:color="auto"/>
            </w:tcBorders>
            <w:shd w:val="clear" w:color="000000" w:fill="305496"/>
            <w:vAlign w:val="center"/>
            <w:hideMark/>
          </w:tcPr>
          <w:p w14:paraId="4F1CB228" w14:textId="77777777" w:rsidR="00E1374A" w:rsidRPr="00B90399" w:rsidRDefault="00E1374A" w:rsidP="007B0BB6">
            <w:pPr>
              <w:spacing w:after="0" w:line="240" w:lineRule="auto"/>
              <w:jc w:val="center"/>
              <w:rPr>
                <w:rFonts w:eastAsia="Times New Roman" w:cs="Calibri"/>
                <w:color w:val="FFFFFF"/>
                <w:sz w:val="16"/>
                <w:szCs w:val="16"/>
                <w:lang w:eastAsia="es-CR"/>
              </w:rPr>
            </w:pPr>
            <w:r w:rsidRPr="00B90399">
              <w:rPr>
                <w:rFonts w:eastAsia="Times New Roman" w:cs="Calibri"/>
                <w:color w:val="FFFFFF"/>
                <w:sz w:val="16"/>
                <w:szCs w:val="16"/>
                <w:lang w:eastAsia="es-CR"/>
              </w:rPr>
              <w:t>Concepto</w:t>
            </w:r>
          </w:p>
        </w:tc>
        <w:tc>
          <w:tcPr>
            <w:tcW w:w="1519" w:type="pct"/>
            <w:vMerge w:val="restart"/>
            <w:tcBorders>
              <w:top w:val="nil"/>
              <w:left w:val="nil"/>
              <w:bottom w:val="single" w:sz="4" w:space="0" w:color="000000"/>
              <w:right w:val="single" w:sz="4" w:space="0" w:color="auto"/>
            </w:tcBorders>
            <w:shd w:val="clear" w:color="000000" w:fill="305496"/>
            <w:vAlign w:val="center"/>
            <w:hideMark/>
          </w:tcPr>
          <w:p w14:paraId="1AEB8B5D" w14:textId="77777777" w:rsidR="00E1374A" w:rsidRPr="00B90399" w:rsidRDefault="00E1374A" w:rsidP="007B0BB6">
            <w:pPr>
              <w:spacing w:after="0" w:line="240" w:lineRule="auto"/>
              <w:jc w:val="center"/>
              <w:rPr>
                <w:rFonts w:eastAsia="Times New Roman" w:cs="Calibri"/>
                <w:color w:val="FFFFFF"/>
                <w:sz w:val="16"/>
                <w:szCs w:val="16"/>
                <w:lang w:eastAsia="es-CR"/>
              </w:rPr>
            </w:pPr>
            <w:r w:rsidRPr="00B90399">
              <w:rPr>
                <w:rFonts w:eastAsia="Times New Roman" w:cs="Calibri"/>
                <w:color w:val="FFFFFF"/>
                <w:sz w:val="16"/>
                <w:szCs w:val="16"/>
                <w:lang w:eastAsia="es-CR"/>
              </w:rPr>
              <w:t xml:space="preserve">Rubro que afecta </w:t>
            </w:r>
          </w:p>
        </w:tc>
        <w:tc>
          <w:tcPr>
            <w:tcW w:w="780" w:type="pct"/>
            <w:vMerge w:val="restart"/>
            <w:tcBorders>
              <w:top w:val="nil"/>
              <w:left w:val="single" w:sz="4" w:space="0" w:color="auto"/>
              <w:bottom w:val="single" w:sz="4" w:space="0" w:color="auto"/>
              <w:right w:val="single" w:sz="4" w:space="0" w:color="auto"/>
            </w:tcBorders>
            <w:shd w:val="clear" w:color="000000" w:fill="305496"/>
            <w:vAlign w:val="center"/>
            <w:hideMark/>
          </w:tcPr>
          <w:p w14:paraId="594E38AA" w14:textId="77777777" w:rsidR="00E1374A" w:rsidRPr="00B90399" w:rsidRDefault="00E1374A" w:rsidP="007B0BB6">
            <w:pPr>
              <w:spacing w:after="0" w:line="240" w:lineRule="auto"/>
              <w:jc w:val="center"/>
              <w:rPr>
                <w:rFonts w:eastAsia="Times New Roman" w:cs="Calibri"/>
                <w:color w:val="FFFFFF"/>
                <w:sz w:val="16"/>
                <w:szCs w:val="16"/>
                <w:lang w:eastAsia="es-CR"/>
              </w:rPr>
            </w:pPr>
            <w:r w:rsidRPr="00B90399">
              <w:rPr>
                <w:rFonts w:eastAsia="Times New Roman" w:cs="Calibri"/>
                <w:color w:val="FFFFFF"/>
                <w:sz w:val="16"/>
                <w:szCs w:val="16"/>
                <w:lang w:eastAsia="es-CR"/>
              </w:rPr>
              <w:t>NICSP Relacionada</w:t>
            </w:r>
          </w:p>
        </w:tc>
        <w:tc>
          <w:tcPr>
            <w:tcW w:w="1608" w:type="pct"/>
            <w:vMerge w:val="restart"/>
            <w:tcBorders>
              <w:top w:val="nil"/>
              <w:left w:val="single" w:sz="4" w:space="0" w:color="auto"/>
              <w:bottom w:val="single" w:sz="4" w:space="0" w:color="auto"/>
              <w:right w:val="single" w:sz="4" w:space="0" w:color="auto"/>
            </w:tcBorders>
            <w:shd w:val="clear" w:color="000000" w:fill="305496"/>
            <w:vAlign w:val="center"/>
            <w:hideMark/>
          </w:tcPr>
          <w:p w14:paraId="28E0AF58" w14:textId="77777777" w:rsidR="00E1374A" w:rsidRPr="00B90399" w:rsidRDefault="00E1374A" w:rsidP="007B0BB6">
            <w:pPr>
              <w:spacing w:after="0" w:line="240" w:lineRule="auto"/>
              <w:jc w:val="center"/>
              <w:rPr>
                <w:rFonts w:eastAsia="Times New Roman" w:cs="Calibri"/>
                <w:color w:val="FFFFFF"/>
                <w:sz w:val="16"/>
                <w:szCs w:val="16"/>
                <w:lang w:eastAsia="es-CR"/>
              </w:rPr>
            </w:pPr>
            <w:r w:rsidRPr="00B90399">
              <w:rPr>
                <w:rFonts w:eastAsia="Times New Roman" w:cs="Calibri"/>
                <w:color w:val="FFFFFF"/>
                <w:sz w:val="16"/>
                <w:szCs w:val="16"/>
                <w:lang w:eastAsia="es-CR"/>
              </w:rPr>
              <w:t>Detalle</w:t>
            </w:r>
          </w:p>
        </w:tc>
      </w:tr>
      <w:tr w:rsidR="00E1374A" w:rsidRPr="00B90399" w14:paraId="7FE23E1C" w14:textId="77777777" w:rsidTr="007B0BB6">
        <w:trPr>
          <w:trHeight w:val="457"/>
        </w:trPr>
        <w:tc>
          <w:tcPr>
            <w:tcW w:w="374" w:type="pct"/>
            <w:vMerge/>
            <w:tcBorders>
              <w:top w:val="nil"/>
              <w:left w:val="nil"/>
              <w:bottom w:val="single" w:sz="4" w:space="0" w:color="000000"/>
              <w:right w:val="single" w:sz="4" w:space="0" w:color="auto"/>
            </w:tcBorders>
            <w:vAlign w:val="center"/>
            <w:hideMark/>
          </w:tcPr>
          <w:p w14:paraId="5AD2EB89" w14:textId="77777777" w:rsidR="00E1374A" w:rsidRPr="00B90399" w:rsidRDefault="00E1374A" w:rsidP="007B0BB6">
            <w:pPr>
              <w:spacing w:after="0" w:line="240" w:lineRule="auto"/>
              <w:jc w:val="left"/>
              <w:rPr>
                <w:rFonts w:eastAsia="Times New Roman" w:cs="Calibri"/>
                <w:color w:val="FFFFFF"/>
                <w:sz w:val="16"/>
                <w:szCs w:val="16"/>
                <w:lang w:eastAsia="es-CR"/>
              </w:rPr>
            </w:pPr>
          </w:p>
        </w:tc>
        <w:tc>
          <w:tcPr>
            <w:tcW w:w="719" w:type="pct"/>
            <w:vMerge/>
            <w:tcBorders>
              <w:top w:val="nil"/>
              <w:left w:val="nil"/>
              <w:bottom w:val="single" w:sz="4" w:space="0" w:color="000000"/>
              <w:right w:val="single" w:sz="4" w:space="0" w:color="auto"/>
            </w:tcBorders>
            <w:vAlign w:val="center"/>
            <w:hideMark/>
          </w:tcPr>
          <w:p w14:paraId="68A2C7B9" w14:textId="77777777" w:rsidR="00E1374A" w:rsidRPr="00B90399" w:rsidRDefault="00E1374A" w:rsidP="007B0BB6">
            <w:pPr>
              <w:spacing w:after="0" w:line="240" w:lineRule="auto"/>
              <w:jc w:val="left"/>
              <w:rPr>
                <w:rFonts w:eastAsia="Times New Roman" w:cs="Calibri"/>
                <w:color w:val="FFFFFF"/>
                <w:sz w:val="16"/>
                <w:szCs w:val="16"/>
                <w:lang w:eastAsia="es-CR"/>
              </w:rPr>
            </w:pPr>
          </w:p>
        </w:tc>
        <w:tc>
          <w:tcPr>
            <w:tcW w:w="1519" w:type="pct"/>
            <w:vMerge/>
            <w:tcBorders>
              <w:top w:val="nil"/>
              <w:left w:val="nil"/>
              <w:bottom w:val="single" w:sz="4" w:space="0" w:color="000000"/>
              <w:right w:val="single" w:sz="4" w:space="0" w:color="auto"/>
            </w:tcBorders>
            <w:vAlign w:val="center"/>
            <w:hideMark/>
          </w:tcPr>
          <w:p w14:paraId="47D5060F" w14:textId="77777777" w:rsidR="00E1374A" w:rsidRPr="00B90399" w:rsidRDefault="00E1374A" w:rsidP="007B0BB6">
            <w:pPr>
              <w:spacing w:after="0" w:line="240" w:lineRule="auto"/>
              <w:jc w:val="left"/>
              <w:rPr>
                <w:rFonts w:eastAsia="Times New Roman" w:cs="Calibri"/>
                <w:color w:val="FFFFFF"/>
                <w:sz w:val="16"/>
                <w:szCs w:val="16"/>
                <w:lang w:eastAsia="es-CR"/>
              </w:rPr>
            </w:pPr>
          </w:p>
        </w:tc>
        <w:tc>
          <w:tcPr>
            <w:tcW w:w="780" w:type="pct"/>
            <w:vMerge/>
            <w:tcBorders>
              <w:top w:val="nil"/>
              <w:left w:val="single" w:sz="4" w:space="0" w:color="auto"/>
              <w:bottom w:val="single" w:sz="4" w:space="0" w:color="auto"/>
              <w:right w:val="single" w:sz="4" w:space="0" w:color="auto"/>
            </w:tcBorders>
            <w:vAlign w:val="center"/>
            <w:hideMark/>
          </w:tcPr>
          <w:p w14:paraId="52563EF8" w14:textId="77777777" w:rsidR="00E1374A" w:rsidRPr="00B90399" w:rsidRDefault="00E1374A" w:rsidP="007B0BB6">
            <w:pPr>
              <w:spacing w:after="0" w:line="240" w:lineRule="auto"/>
              <w:jc w:val="left"/>
              <w:rPr>
                <w:rFonts w:eastAsia="Times New Roman" w:cs="Calibri"/>
                <w:color w:val="FFFFFF"/>
                <w:sz w:val="16"/>
                <w:szCs w:val="16"/>
                <w:lang w:eastAsia="es-CR"/>
              </w:rPr>
            </w:pPr>
          </w:p>
        </w:tc>
        <w:tc>
          <w:tcPr>
            <w:tcW w:w="1608" w:type="pct"/>
            <w:vMerge/>
            <w:tcBorders>
              <w:top w:val="nil"/>
              <w:left w:val="single" w:sz="4" w:space="0" w:color="auto"/>
              <w:bottom w:val="single" w:sz="4" w:space="0" w:color="auto"/>
              <w:right w:val="single" w:sz="4" w:space="0" w:color="auto"/>
            </w:tcBorders>
            <w:vAlign w:val="center"/>
            <w:hideMark/>
          </w:tcPr>
          <w:p w14:paraId="51BAA1E9" w14:textId="77777777" w:rsidR="00E1374A" w:rsidRPr="00B90399" w:rsidRDefault="00E1374A" w:rsidP="007B0BB6">
            <w:pPr>
              <w:spacing w:after="0" w:line="240" w:lineRule="auto"/>
              <w:jc w:val="left"/>
              <w:rPr>
                <w:rFonts w:eastAsia="Times New Roman" w:cs="Calibri"/>
                <w:color w:val="FFFFFF"/>
                <w:sz w:val="16"/>
                <w:szCs w:val="16"/>
                <w:lang w:eastAsia="es-CR"/>
              </w:rPr>
            </w:pPr>
          </w:p>
        </w:tc>
      </w:tr>
      <w:tr w:rsidR="00E1374A" w:rsidRPr="00B90399" w14:paraId="3D72EEA9" w14:textId="77777777" w:rsidTr="007B0BB6">
        <w:trPr>
          <w:trHeight w:val="236"/>
        </w:trPr>
        <w:tc>
          <w:tcPr>
            <w:tcW w:w="374" w:type="pct"/>
            <w:tcBorders>
              <w:top w:val="nil"/>
              <w:left w:val="single" w:sz="4" w:space="0" w:color="auto"/>
              <w:bottom w:val="single" w:sz="4" w:space="0" w:color="auto"/>
              <w:right w:val="single" w:sz="4" w:space="0" w:color="auto"/>
            </w:tcBorders>
            <w:shd w:val="clear" w:color="auto" w:fill="auto"/>
            <w:noWrap/>
            <w:vAlign w:val="center"/>
            <w:hideMark/>
          </w:tcPr>
          <w:p w14:paraId="2575A98A" w14:textId="77777777" w:rsidR="00E1374A" w:rsidRPr="00B90399" w:rsidRDefault="00E1374A" w:rsidP="007B0BB6">
            <w:pPr>
              <w:spacing w:after="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1.29,</w:t>
            </w:r>
          </w:p>
          <w:p w14:paraId="2DF5E63B" w14:textId="1EE9BE81" w:rsidR="00E1374A" w:rsidRPr="00B90399" w:rsidRDefault="00E1374A" w:rsidP="007B0BB6">
            <w:pPr>
              <w:spacing w:after="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1.</w:t>
            </w:r>
            <w:r w:rsidR="00796636">
              <w:rPr>
                <w:rFonts w:ascii="Calibri" w:eastAsia="Times New Roman" w:hAnsi="Calibri" w:cs="Calibri"/>
                <w:color w:val="000000"/>
                <w:sz w:val="16"/>
                <w:szCs w:val="16"/>
                <w:lang w:eastAsia="es-CR"/>
              </w:rPr>
              <w:t>31</w:t>
            </w:r>
            <w:r w:rsidRPr="00B90399">
              <w:rPr>
                <w:rFonts w:ascii="Calibri" w:eastAsia="Times New Roman" w:hAnsi="Calibri" w:cs="Calibri"/>
                <w:color w:val="000000"/>
                <w:sz w:val="16"/>
                <w:szCs w:val="16"/>
                <w:lang w:eastAsia="es-CR"/>
              </w:rPr>
              <w:t>,</w:t>
            </w:r>
          </w:p>
        </w:tc>
        <w:tc>
          <w:tcPr>
            <w:tcW w:w="719" w:type="pct"/>
            <w:tcBorders>
              <w:top w:val="nil"/>
              <w:left w:val="nil"/>
              <w:bottom w:val="single" w:sz="4" w:space="0" w:color="auto"/>
              <w:right w:val="single" w:sz="4" w:space="0" w:color="auto"/>
            </w:tcBorders>
            <w:shd w:val="clear" w:color="auto" w:fill="auto"/>
            <w:vAlign w:val="center"/>
            <w:hideMark/>
          </w:tcPr>
          <w:p w14:paraId="4D8E29C5" w14:textId="77777777" w:rsidR="00E1374A" w:rsidRPr="00B90399" w:rsidRDefault="00E1374A" w:rsidP="007B0BB6">
            <w:pPr>
              <w:spacing w:after="0" w:line="240" w:lineRule="auto"/>
              <w:jc w:val="center"/>
              <w:rPr>
                <w:rFonts w:eastAsia="Times New Roman" w:cs="Times New Roman"/>
                <w:bCs/>
                <w:sz w:val="16"/>
                <w:szCs w:val="16"/>
                <w:lang w:eastAsia="es-CR"/>
              </w:rPr>
            </w:pPr>
            <w:r w:rsidRPr="00B90399">
              <w:rPr>
                <w:rFonts w:eastAsia="Times New Roman" w:cs="Calibri"/>
                <w:sz w:val="16"/>
                <w:szCs w:val="16"/>
                <w:lang w:eastAsia="es-CR"/>
              </w:rPr>
              <w:t>Activos financieros</w:t>
            </w:r>
          </w:p>
        </w:tc>
        <w:tc>
          <w:tcPr>
            <w:tcW w:w="1519" w:type="pct"/>
            <w:tcBorders>
              <w:top w:val="nil"/>
              <w:left w:val="nil"/>
              <w:bottom w:val="single" w:sz="4" w:space="0" w:color="auto"/>
              <w:right w:val="single" w:sz="4" w:space="0" w:color="auto"/>
            </w:tcBorders>
            <w:shd w:val="clear" w:color="auto" w:fill="auto"/>
            <w:noWrap/>
            <w:vAlign w:val="bottom"/>
            <w:hideMark/>
          </w:tcPr>
          <w:p w14:paraId="61E53737" w14:textId="77777777" w:rsidR="00E1374A" w:rsidRPr="00B90399" w:rsidRDefault="00E1374A" w:rsidP="007B0BB6">
            <w:pPr>
              <w:spacing w:after="120" w:line="240" w:lineRule="auto"/>
              <w:jc w:val="center"/>
              <w:rPr>
                <w:rFonts w:eastAsia="Times New Roman" w:cs="Calibri"/>
                <w:sz w:val="16"/>
                <w:szCs w:val="16"/>
                <w:lang w:eastAsia="es-CR"/>
              </w:rPr>
            </w:pPr>
            <w:r w:rsidRPr="00B90399">
              <w:rPr>
                <w:rFonts w:eastAsia="Times New Roman" w:cs="Calibri"/>
                <w:sz w:val="16"/>
                <w:szCs w:val="16"/>
                <w:lang w:eastAsia="es-CR"/>
              </w:rPr>
              <w:t>Efectivo y Equivalentes de Efectivo </w:t>
            </w:r>
          </w:p>
        </w:tc>
        <w:tc>
          <w:tcPr>
            <w:tcW w:w="780" w:type="pct"/>
            <w:tcBorders>
              <w:top w:val="nil"/>
              <w:left w:val="nil"/>
              <w:bottom w:val="single" w:sz="4" w:space="0" w:color="auto"/>
              <w:right w:val="single" w:sz="4" w:space="0" w:color="auto"/>
            </w:tcBorders>
            <w:shd w:val="clear" w:color="auto" w:fill="auto"/>
            <w:noWrap/>
            <w:vAlign w:val="bottom"/>
            <w:hideMark/>
          </w:tcPr>
          <w:p w14:paraId="31843237" w14:textId="50262C5D" w:rsidR="00E1374A" w:rsidRPr="00B90399" w:rsidRDefault="00E1374A" w:rsidP="007B0BB6">
            <w:pPr>
              <w:spacing w:after="0" w:line="240" w:lineRule="auto"/>
              <w:jc w:val="center"/>
              <w:rPr>
                <w:rFonts w:eastAsia="Times New Roman" w:cs="Calibri"/>
                <w:sz w:val="16"/>
                <w:szCs w:val="16"/>
                <w:lang w:eastAsia="es-CR"/>
              </w:rPr>
            </w:pPr>
            <w:r w:rsidRPr="00B90399">
              <w:rPr>
                <w:rFonts w:eastAsia="Times New Roman" w:cs="Calibri"/>
                <w:sz w:val="16"/>
                <w:szCs w:val="16"/>
                <w:lang w:eastAsia="es-CR"/>
              </w:rPr>
              <w:t> NICSP 1 y NICSP 28,29,</w:t>
            </w:r>
            <w:r w:rsidR="00796636">
              <w:rPr>
                <w:rFonts w:eastAsia="Times New Roman" w:cs="Calibri"/>
                <w:sz w:val="16"/>
                <w:szCs w:val="16"/>
                <w:lang w:eastAsia="es-CR"/>
              </w:rPr>
              <w:t>31</w:t>
            </w:r>
          </w:p>
        </w:tc>
        <w:tc>
          <w:tcPr>
            <w:tcW w:w="1608" w:type="pct"/>
            <w:tcBorders>
              <w:top w:val="nil"/>
              <w:left w:val="nil"/>
              <w:bottom w:val="single" w:sz="4" w:space="0" w:color="auto"/>
              <w:right w:val="single" w:sz="4" w:space="0" w:color="auto"/>
            </w:tcBorders>
            <w:shd w:val="clear" w:color="auto" w:fill="auto"/>
            <w:noWrap/>
            <w:vAlign w:val="bottom"/>
            <w:hideMark/>
          </w:tcPr>
          <w:p w14:paraId="37873DC6" w14:textId="77777777" w:rsidR="00E1374A" w:rsidRPr="00B90399" w:rsidRDefault="00E1374A" w:rsidP="007B0BB6">
            <w:pPr>
              <w:spacing w:after="0" w:line="240" w:lineRule="auto"/>
              <w:jc w:val="left"/>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-Efectivo,</w:t>
            </w:r>
          </w:p>
          <w:p w14:paraId="5A59ADF1" w14:textId="77777777" w:rsidR="00E1374A" w:rsidRPr="00B90399" w:rsidRDefault="00E1374A" w:rsidP="007B0BB6">
            <w:pPr>
              <w:spacing w:after="0" w:line="240" w:lineRule="auto"/>
              <w:jc w:val="left"/>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 Equivalente de efectivo</w:t>
            </w:r>
          </w:p>
        </w:tc>
      </w:tr>
      <w:tr w:rsidR="00E1374A" w:rsidRPr="00B90399" w14:paraId="6C01D341" w14:textId="77777777" w:rsidTr="007B0BB6">
        <w:trPr>
          <w:trHeight w:val="236"/>
        </w:trPr>
        <w:tc>
          <w:tcPr>
            <w:tcW w:w="374" w:type="pct"/>
            <w:tcBorders>
              <w:top w:val="nil"/>
              <w:left w:val="single" w:sz="4" w:space="0" w:color="auto"/>
              <w:bottom w:val="single" w:sz="4" w:space="0" w:color="auto"/>
              <w:right w:val="single" w:sz="4" w:space="0" w:color="auto"/>
            </w:tcBorders>
            <w:shd w:val="clear" w:color="auto" w:fill="auto"/>
            <w:noWrap/>
            <w:vAlign w:val="center"/>
            <w:hideMark/>
          </w:tcPr>
          <w:p w14:paraId="7D3AA9C0" w14:textId="77777777" w:rsidR="00E1374A" w:rsidRPr="00B90399" w:rsidRDefault="00E1374A" w:rsidP="007B0BB6">
            <w:pPr>
              <w:spacing w:after="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1.48,</w:t>
            </w:r>
          </w:p>
          <w:p w14:paraId="4E8F1B38" w14:textId="77777777" w:rsidR="00E1374A" w:rsidRPr="00B90399" w:rsidRDefault="00E1374A" w:rsidP="007B0BB6">
            <w:pPr>
              <w:spacing w:after="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1.49,</w:t>
            </w:r>
          </w:p>
          <w:p w14:paraId="6313FF8B" w14:textId="77777777" w:rsidR="00E1374A" w:rsidRPr="00B90399" w:rsidRDefault="00E1374A" w:rsidP="007B0BB6">
            <w:pPr>
              <w:spacing w:after="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1.50</w:t>
            </w:r>
          </w:p>
        </w:tc>
        <w:tc>
          <w:tcPr>
            <w:tcW w:w="719" w:type="pct"/>
            <w:tcBorders>
              <w:top w:val="nil"/>
              <w:left w:val="nil"/>
              <w:bottom w:val="single" w:sz="4" w:space="0" w:color="auto"/>
              <w:right w:val="single" w:sz="4" w:space="0" w:color="auto"/>
            </w:tcBorders>
            <w:shd w:val="clear" w:color="auto" w:fill="auto"/>
            <w:vAlign w:val="center"/>
            <w:hideMark/>
          </w:tcPr>
          <w:p w14:paraId="113F6D49" w14:textId="77777777" w:rsidR="00E1374A" w:rsidRPr="00B90399" w:rsidRDefault="00E1374A" w:rsidP="007B0BB6">
            <w:pPr>
              <w:spacing w:after="0" w:line="240" w:lineRule="auto"/>
              <w:jc w:val="center"/>
              <w:rPr>
                <w:rFonts w:eastAsia="Times New Roman" w:cs="Calibri"/>
                <w:color w:val="000000"/>
                <w:sz w:val="16"/>
                <w:szCs w:val="16"/>
                <w:lang w:eastAsia="es-CR"/>
              </w:rPr>
            </w:pPr>
            <w:r w:rsidRPr="00B90399">
              <w:rPr>
                <w:rFonts w:eastAsia="Times New Roman" w:cs="Calibri"/>
                <w:color w:val="000000"/>
                <w:sz w:val="16"/>
                <w:szCs w:val="16"/>
                <w:lang w:eastAsia="es-CR"/>
              </w:rPr>
              <w:t>Activos financieros</w:t>
            </w:r>
          </w:p>
        </w:tc>
        <w:tc>
          <w:tcPr>
            <w:tcW w:w="1519" w:type="pct"/>
            <w:tcBorders>
              <w:top w:val="nil"/>
              <w:left w:val="nil"/>
              <w:bottom w:val="single" w:sz="4" w:space="0" w:color="auto"/>
              <w:right w:val="single" w:sz="4" w:space="0" w:color="auto"/>
            </w:tcBorders>
            <w:shd w:val="clear" w:color="auto" w:fill="auto"/>
            <w:noWrap/>
            <w:vAlign w:val="bottom"/>
            <w:hideMark/>
          </w:tcPr>
          <w:p w14:paraId="495051AD" w14:textId="77777777" w:rsidR="00E1374A" w:rsidRPr="00B90399" w:rsidRDefault="00E1374A" w:rsidP="007B0BB6">
            <w:pPr>
              <w:spacing w:after="480" w:line="240" w:lineRule="auto"/>
              <w:jc w:val="center"/>
              <w:rPr>
                <w:rFonts w:eastAsia="Times New Roman" w:cs="Calibri"/>
                <w:sz w:val="16"/>
                <w:szCs w:val="16"/>
                <w:lang w:eastAsia="es-CR"/>
              </w:rPr>
            </w:pPr>
            <w:r w:rsidRPr="00B90399">
              <w:rPr>
                <w:rFonts w:eastAsia="Times New Roman" w:cs="Calibri"/>
                <w:sz w:val="16"/>
                <w:szCs w:val="16"/>
                <w:lang w:eastAsia="es-CR"/>
              </w:rPr>
              <w:t>Cuentas y Documentos por Cobrar</w:t>
            </w:r>
          </w:p>
        </w:tc>
        <w:tc>
          <w:tcPr>
            <w:tcW w:w="780" w:type="pct"/>
            <w:tcBorders>
              <w:top w:val="nil"/>
              <w:left w:val="nil"/>
              <w:bottom w:val="single" w:sz="4" w:space="0" w:color="auto"/>
              <w:right w:val="single" w:sz="4" w:space="0" w:color="auto"/>
            </w:tcBorders>
            <w:shd w:val="clear" w:color="auto" w:fill="auto"/>
            <w:noWrap/>
            <w:vAlign w:val="bottom"/>
            <w:hideMark/>
          </w:tcPr>
          <w:p w14:paraId="295A309E" w14:textId="5DA06301" w:rsidR="00E1374A" w:rsidRPr="00B90399" w:rsidRDefault="00E1374A" w:rsidP="007B0BB6">
            <w:pPr>
              <w:spacing w:after="480" w:line="240" w:lineRule="auto"/>
              <w:jc w:val="center"/>
              <w:rPr>
                <w:rFonts w:eastAsia="Times New Roman" w:cs="Calibri"/>
                <w:sz w:val="16"/>
                <w:szCs w:val="16"/>
                <w:lang w:eastAsia="es-CR"/>
              </w:rPr>
            </w:pPr>
            <w:r w:rsidRPr="00B90399">
              <w:rPr>
                <w:rFonts w:eastAsia="Times New Roman" w:cs="Calibri"/>
                <w:sz w:val="16"/>
                <w:szCs w:val="16"/>
                <w:lang w:eastAsia="es-CR"/>
              </w:rPr>
              <w:t> NICSP 28,29,</w:t>
            </w:r>
            <w:r w:rsidR="00796636">
              <w:rPr>
                <w:rFonts w:eastAsia="Times New Roman" w:cs="Calibri"/>
                <w:sz w:val="16"/>
                <w:szCs w:val="16"/>
                <w:lang w:eastAsia="es-CR"/>
              </w:rPr>
              <w:t>31</w:t>
            </w:r>
          </w:p>
        </w:tc>
        <w:tc>
          <w:tcPr>
            <w:tcW w:w="1608" w:type="pct"/>
            <w:tcBorders>
              <w:top w:val="nil"/>
              <w:left w:val="nil"/>
              <w:bottom w:val="single" w:sz="4" w:space="0" w:color="auto"/>
              <w:right w:val="single" w:sz="4" w:space="0" w:color="auto"/>
            </w:tcBorders>
            <w:shd w:val="clear" w:color="auto" w:fill="auto"/>
            <w:noWrap/>
            <w:vAlign w:val="bottom"/>
            <w:hideMark/>
          </w:tcPr>
          <w:p w14:paraId="0407DDEA" w14:textId="77777777" w:rsidR="00E1374A" w:rsidRPr="00B90399" w:rsidRDefault="00E1374A" w:rsidP="007F4626">
            <w:pPr>
              <w:numPr>
                <w:ilvl w:val="0"/>
                <w:numId w:val="23"/>
              </w:numPr>
              <w:spacing w:after="0" w:line="240" w:lineRule="auto"/>
              <w:ind w:left="26" w:hanging="77"/>
              <w:contextualSpacing/>
              <w:jc w:val="left"/>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Cuentas por cobrar, Reconocimiento y Clasificación,</w:t>
            </w:r>
          </w:p>
          <w:p w14:paraId="3CD91C8B" w14:textId="77777777" w:rsidR="00E1374A" w:rsidRPr="00B90399" w:rsidRDefault="00E1374A" w:rsidP="007F4626">
            <w:pPr>
              <w:numPr>
                <w:ilvl w:val="0"/>
                <w:numId w:val="23"/>
              </w:numPr>
              <w:spacing w:after="0" w:line="240" w:lineRule="auto"/>
              <w:ind w:left="26" w:hanging="77"/>
              <w:contextualSpacing/>
              <w:jc w:val="left"/>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Medición inicial de las Cuentas por Cobrar</w:t>
            </w:r>
          </w:p>
          <w:p w14:paraId="7028E5B9" w14:textId="77777777" w:rsidR="00E1374A" w:rsidRPr="00B90399" w:rsidRDefault="00E1374A" w:rsidP="007F4626">
            <w:pPr>
              <w:numPr>
                <w:ilvl w:val="0"/>
                <w:numId w:val="23"/>
              </w:numPr>
              <w:spacing w:after="0" w:line="240" w:lineRule="auto"/>
              <w:ind w:left="26" w:hanging="77"/>
              <w:contextualSpacing/>
              <w:jc w:val="left"/>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Medición posterior de las cuentas por cobrar financieras</w:t>
            </w:r>
          </w:p>
        </w:tc>
      </w:tr>
      <w:tr w:rsidR="00E1374A" w:rsidRPr="00B90399" w14:paraId="426989D3" w14:textId="77777777" w:rsidTr="007B0BB6">
        <w:trPr>
          <w:trHeight w:val="599"/>
        </w:trPr>
        <w:tc>
          <w:tcPr>
            <w:tcW w:w="374" w:type="pct"/>
            <w:tcBorders>
              <w:top w:val="nil"/>
              <w:left w:val="single" w:sz="4" w:space="0" w:color="auto"/>
              <w:bottom w:val="single" w:sz="4" w:space="0" w:color="auto"/>
              <w:right w:val="single" w:sz="4" w:space="0" w:color="auto"/>
            </w:tcBorders>
            <w:shd w:val="clear" w:color="auto" w:fill="auto"/>
            <w:noWrap/>
            <w:vAlign w:val="center"/>
          </w:tcPr>
          <w:p w14:paraId="1D1257EE" w14:textId="77777777" w:rsidR="00E1374A" w:rsidRPr="00B90399" w:rsidRDefault="00E1374A" w:rsidP="007B0BB6">
            <w:pPr>
              <w:spacing w:after="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1.63</w:t>
            </w:r>
          </w:p>
        </w:tc>
        <w:tc>
          <w:tcPr>
            <w:tcW w:w="719" w:type="pct"/>
            <w:tcBorders>
              <w:top w:val="nil"/>
              <w:left w:val="nil"/>
              <w:bottom w:val="single" w:sz="4" w:space="0" w:color="auto"/>
              <w:right w:val="single" w:sz="4" w:space="0" w:color="auto"/>
            </w:tcBorders>
            <w:shd w:val="clear" w:color="auto" w:fill="auto"/>
            <w:vAlign w:val="center"/>
          </w:tcPr>
          <w:p w14:paraId="63C40DEA" w14:textId="77777777" w:rsidR="00E1374A" w:rsidRPr="00B90399" w:rsidRDefault="00E1374A" w:rsidP="007B0BB6">
            <w:pPr>
              <w:spacing w:after="0" w:line="240" w:lineRule="auto"/>
              <w:jc w:val="center"/>
              <w:rPr>
                <w:rFonts w:eastAsia="Times New Roman" w:cs="Calibri"/>
                <w:color w:val="000000"/>
                <w:sz w:val="16"/>
                <w:szCs w:val="16"/>
                <w:lang w:eastAsia="es-CR"/>
              </w:rPr>
            </w:pPr>
            <w:r w:rsidRPr="00B90399">
              <w:rPr>
                <w:rFonts w:eastAsia="Times New Roman" w:cs="Calibri"/>
                <w:color w:val="000000"/>
                <w:sz w:val="16"/>
                <w:szCs w:val="16"/>
                <w:lang w:eastAsia="es-CR"/>
              </w:rPr>
              <w:t>Activos financieros</w:t>
            </w:r>
          </w:p>
        </w:tc>
        <w:tc>
          <w:tcPr>
            <w:tcW w:w="1519" w:type="pct"/>
            <w:tcBorders>
              <w:top w:val="nil"/>
              <w:left w:val="nil"/>
              <w:bottom w:val="single" w:sz="4" w:space="0" w:color="auto"/>
              <w:right w:val="single" w:sz="4" w:space="0" w:color="auto"/>
            </w:tcBorders>
            <w:shd w:val="clear" w:color="auto" w:fill="auto"/>
            <w:noWrap/>
            <w:vAlign w:val="bottom"/>
          </w:tcPr>
          <w:p w14:paraId="7356BCA5" w14:textId="77777777" w:rsidR="00E1374A" w:rsidRPr="00B90399" w:rsidRDefault="00E1374A" w:rsidP="007B0BB6">
            <w:pPr>
              <w:spacing w:after="180" w:line="240" w:lineRule="auto"/>
              <w:jc w:val="center"/>
              <w:rPr>
                <w:rFonts w:eastAsia="Times New Roman" w:cs="Calibri"/>
                <w:color w:val="000000"/>
                <w:sz w:val="16"/>
                <w:szCs w:val="16"/>
                <w:lang w:eastAsia="es-CR"/>
              </w:rPr>
            </w:pPr>
            <w:r w:rsidRPr="00B90399">
              <w:rPr>
                <w:rFonts w:eastAsia="Times New Roman" w:cs="Calibri"/>
                <w:color w:val="000000"/>
                <w:sz w:val="16"/>
                <w:szCs w:val="16"/>
                <w:lang w:eastAsia="es-CR"/>
              </w:rPr>
              <w:t>Transferencia por cobrar</w:t>
            </w:r>
          </w:p>
        </w:tc>
        <w:tc>
          <w:tcPr>
            <w:tcW w:w="780" w:type="pct"/>
            <w:tcBorders>
              <w:top w:val="nil"/>
              <w:left w:val="nil"/>
              <w:bottom w:val="single" w:sz="4" w:space="0" w:color="auto"/>
              <w:right w:val="single" w:sz="4" w:space="0" w:color="auto"/>
            </w:tcBorders>
            <w:shd w:val="clear" w:color="auto" w:fill="auto"/>
            <w:noWrap/>
            <w:vAlign w:val="bottom"/>
          </w:tcPr>
          <w:p w14:paraId="619002B2" w14:textId="26A70DFF" w:rsidR="00E1374A" w:rsidRPr="00B90399" w:rsidRDefault="00E1374A" w:rsidP="007B0BB6">
            <w:pPr>
              <w:spacing w:after="180" w:line="240" w:lineRule="auto"/>
              <w:jc w:val="center"/>
              <w:rPr>
                <w:rFonts w:eastAsia="Times New Roman" w:cs="Calibri"/>
                <w:color w:val="000000"/>
                <w:sz w:val="16"/>
                <w:szCs w:val="16"/>
                <w:lang w:eastAsia="es-CR"/>
              </w:rPr>
            </w:pPr>
            <w:r w:rsidRPr="00B90399">
              <w:rPr>
                <w:rFonts w:eastAsia="Times New Roman" w:cs="Calibri"/>
                <w:color w:val="000000"/>
                <w:sz w:val="16"/>
                <w:szCs w:val="16"/>
                <w:lang w:eastAsia="es-CR"/>
              </w:rPr>
              <w:t> NICSP 28,29,</w:t>
            </w:r>
            <w:r w:rsidR="00796636">
              <w:rPr>
                <w:rFonts w:eastAsia="Times New Roman" w:cs="Calibri"/>
                <w:color w:val="000000"/>
                <w:sz w:val="16"/>
                <w:szCs w:val="16"/>
                <w:lang w:eastAsia="es-CR"/>
              </w:rPr>
              <w:t>31</w:t>
            </w:r>
          </w:p>
        </w:tc>
        <w:tc>
          <w:tcPr>
            <w:tcW w:w="1608" w:type="pct"/>
            <w:tcBorders>
              <w:top w:val="nil"/>
              <w:left w:val="nil"/>
              <w:bottom w:val="single" w:sz="4" w:space="0" w:color="auto"/>
              <w:right w:val="single" w:sz="4" w:space="0" w:color="auto"/>
            </w:tcBorders>
            <w:shd w:val="clear" w:color="auto" w:fill="auto"/>
            <w:noWrap/>
            <w:vAlign w:val="bottom"/>
          </w:tcPr>
          <w:p w14:paraId="6CC45122" w14:textId="77777777" w:rsidR="00E1374A" w:rsidRPr="00B90399" w:rsidRDefault="00E1374A" w:rsidP="007F4626">
            <w:pPr>
              <w:numPr>
                <w:ilvl w:val="0"/>
                <w:numId w:val="23"/>
              </w:numPr>
              <w:spacing w:after="0" w:line="240" w:lineRule="auto"/>
              <w:ind w:left="26" w:hanging="77"/>
              <w:contextualSpacing/>
              <w:jc w:val="left"/>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Reconocimiento de las transferencias a cobrar (Derecho adquirido, Medición de las transferencias a cobrar</w:t>
            </w:r>
          </w:p>
        </w:tc>
      </w:tr>
      <w:tr w:rsidR="00E1374A" w:rsidRPr="00B90399" w14:paraId="1631FDD5" w14:textId="77777777" w:rsidTr="007B0BB6">
        <w:trPr>
          <w:trHeight w:val="236"/>
        </w:trPr>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D942E2" w14:textId="77777777" w:rsidR="00E1374A" w:rsidRPr="00B90399" w:rsidRDefault="00E1374A" w:rsidP="007B0BB6">
            <w:pPr>
              <w:spacing w:after="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1.72,</w:t>
            </w:r>
          </w:p>
          <w:p w14:paraId="5AE7D322" w14:textId="77777777" w:rsidR="00E1374A" w:rsidRPr="00B90399" w:rsidRDefault="00E1374A" w:rsidP="007B0BB6">
            <w:pPr>
              <w:spacing w:after="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1.76,</w:t>
            </w:r>
          </w:p>
          <w:p w14:paraId="0A9BA2EF" w14:textId="77777777" w:rsidR="00E1374A" w:rsidRPr="00B90399" w:rsidRDefault="00E1374A" w:rsidP="007B0BB6">
            <w:pPr>
              <w:spacing w:after="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1.78,</w:t>
            </w:r>
          </w:p>
          <w:p w14:paraId="0FC66DAA" w14:textId="77777777" w:rsidR="00E1374A" w:rsidRPr="00B90399" w:rsidRDefault="00E1374A" w:rsidP="007B0BB6">
            <w:pPr>
              <w:spacing w:after="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1.86,</w:t>
            </w:r>
          </w:p>
          <w:p w14:paraId="4A69C722" w14:textId="77777777" w:rsidR="00E1374A" w:rsidRPr="00B90399" w:rsidRDefault="00E1374A" w:rsidP="007B0BB6">
            <w:pPr>
              <w:spacing w:before="60" w:after="12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1.87,</w:t>
            </w:r>
          </w:p>
          <w:p w14:paraId="57093BEA" w14:textId="77777777" w:rsidR="00E1374A" w:rsidRPr="00B90399" w:rsidRDefault="00E1374A" w:rsidP="007B0BB6">
            <w:pPr>
              <w:spacing w:before="120" w:after="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1.89</w:t>
            </w:r>
          </w:p>
        </w:tc>
        <w:tc>
          <w:tcPr>
            <w:tcW w:w="719" w:type="pct"/>
            <w:tcBorders>
              <w:top w:val="single" w:sz="4" w:space="0" w:color="auto"/>
              <w:left w:val="nil"/>
              <w:bottom w:val="single" w:sz="4" w:space="0" w:color="auto"/>
              <w:right w:val="single" w:sz="4" w:space="0" w:color="auto"/>
            </w:tcBorders>
            <w:shd w:val="clear" w:color="auto" w:fill="auto"/>
            <w:vAlign w:val="center"/>
          </w:tcPr>
          <w:p w14:paraId="184C74AD" w14:textId="77777777" w:rsidR="00E1374A" w:rsidRPr="00B90399" w:rsidRDefault="00E1374A" w:rsidP="007B0BB6">
            <w:pPr>
              <w:spacing w:after="0" w:line="240" w:lineRule="auto"/>
              <w:jc w:val="center"/>
              <w:rPr>
                <w:rFonts w:eastAsia="Times New Roman" w:cs="Calibri"/>
                <w:color w:val="000000"/>
                <w:sz w:val="16"/>
                <w:szCs w:val="16"/>
                <w:lang w:eastAsia="es-CR"/>
              </w:rPr>
            </w:pPr>
            <w:r w:rsidRPr="00B90399">
              <w:rPr>
                <w:rFonts w:eastAsia="Times New Roman" w:cs="Calibri"/>
                <w:color w:val="000000"/>
                <w:sz w:val="16"/>
                <w:szCs w:val="16"/>
                <w:lang w:eastAsia="es-CR"/>
              </w:rPr>
              <w:t>Activo no financiero</w:t>
            </w:r>
          </w:p>
        </w:tc>
        <w:tc>
          <w:tcPr>
            <w:tcW w:w="1519" w:type="pct"/>
            <w:tcBorders>
              <w:top w:val="single" w:sz="4" w:space="0" w:color="auto"/>
              <w:left w:val="nil"/>
              <w:bottom w:val="single" w:sz="4" w:space="0" w:color="auto"/>
              <w:right w:val="single" w:sz="4" w:space="0" w:color="auto"/>
            </w:tcBorders>
            <w:shd w:val="clear" w:color="auto" w:fill="auto"/>
            <w:noWrap/>
            <w:vAlign w:val="bottom"/>
          </w:tcPr>
          <w:p w14:paraId="4824BD34" w14:textId="77777777" w:rsidR="00E1374A" w:rsidRPr="00B90399" w:rsidRDefault="00E1374A" w:rsidP="007B0BB6">
            <w:pPr>
              <w:spacing w:after="480" w:line="240" w:lineRule="auto"/>
              <w:jc w:val="center"/>
              <w:rPr>
                <w:rFonts w:eastAsia="Cambria" w:cs="Arial"/>
                <w:color w:val="000000"/>
                <w:sz w:val="16"/>
                <w:szCs w:val="16"/>
                <w:lang w:eastAsia="es-CR"/>
              </w:rPr>
            </w:pPr>
            <w:r w:rsidRPr="00B90399">
              <w:rPr>
                <w:rFonts w:eastAsia="Cambria" w:cs="Arial"/>
                <w:color w:val="000000"/>
                <w:sz w:val="16"/>
                <w:szCs w:val="16"/>
                <w:lang w:eastAsia="es-CR"/>
              </w:rPr>
              <w:t>Inventarios</w:t>
            </w:r>
          </w:p>
        </w:tc>
        <w:tc>
          <w:tcPr>
            <w:tcW w:w="780" w:type="pct"/>
            <w:tcBorders>
              <w:top w:val="single" w:sz="4" w:space="0" w:color="auto"/>
              <w:left w:val="nil"/>
              <w:bottom w:val="single" w:sz="4" w:space="0" w:color="auto"/>
              <w:right w:val="single" w:sz="4" w:space="0" w:color="auto"/>
            </w:tcBorders>
            <w:shd w:val="clear" w:color="auto" w:fill="auto"/>
            <w:noWrap/>
            <w:vAlign w:val="bottom"/>
          </w:tcPr>
          <w:p w14:paraId="447B621C" w14:textId="77777777" w:rsidR="00E1374A" w:rsidRPr="00B90399" w:rsidRDefault="00E1374A" w:rsidP="007B0BB6">
            <w:pPr>
              <w:spacing w:after="480" w:line="240" w:lineRule="auto"/>
              <w:jc w:val="center"/>
              <w:rPr>
                <w:rFonts w:eastAsia="Cambria" w:cs="Arial"/>
                <w:color w:val="000000"/>
                <w:sz w:val="16"/>
                <w:szCs w:val="16"/>
                <w:lang w:eastAsia="es-CR"/>
              </w:rPr>
            </w:pPr>
            <w:r w:rsidRPr="00B90399">
              <w:rPr>
                <w:rFonts w:eastAsia="Cambria" w:cs="Arial"/>
                <w:color w:val="000000"/>
                <w:sz w:val="16"/>
                <w:szCs w:val="16"/>
                <w:lang w:eastAsia="es-CR"/>
              </w:rPr>
              <w:t>NICSP 12</w:t>
            </w:r>
          </w:p>
        </w:tc>
        <w:tc>
          <w:tcPr>
            <w:tcW w:w="1608" w:type="pct"/>
            <w:tcBorders>
              <w:top w:val="single" w:sz="4" w:space="0" w:color="auto"/>
              <w:left w:val="nil"/>
              <w:bottom w:val="single" w:sz="4" w:space="0" w:color="auto"/>
              <w:right w:val="single" w:sz="4" w:space="0" w:color="auto"/>
            </w:tcBorders>
            <w:shd w:val="clear" w:color="auto" w:fill="auto"/>
            <w:noWrap/>
            <w:vAlign w:val="bottom"/>
          </w:tcPr>
          <w:p w14:paraId="4C6FAD6E" w14:textId="77777777" w:rsidR="00E1374A" w:rsidRPr="00B90399" w:rsidRDefault="00E1374A" w:rsidP="007F4626">
            <w:pPr>
              <w:numPr>
                <w:ilvl w:val="0"/>
                <w:numId w:val="23"/>
              </w:numPr>
              <w:spacing w:after="80" w:line="240" w:lineRule="auto"/>
              <w:ind w:left="26" w:hanging="91"/>
              <w:contextualSpacing/>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Catálogo (Integración y PPC),</w:t>
            </w:r>
          </w:p>
          <w:p w14:paraId="735D25F5" w14:textId="77777777" w:rsidR="00E1374A" w:rsidRPr="00B90399" w:rsidRDefault="00E1374A" w:rsidP="007F4626">
            <w:pPr>
              <w:numPr>
                <w:ilvl w:val="0"/>
                <w:numId w:val="23"/>
              </w:numPr>
              <w:spacing w:after="80" w:line="240" w:lineRule="auto"/>
              <w:ind w:left="26" w:hanging="91"/>
              <w:contextualSpacing/>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Medición general de los inventarios,</w:t>
            </w:r>
          </w:p>
          <w:p w14:paraId="57860F67" w14:textId="77777777" w:rsidR="00E1374A" w:rsidRPr="00B90399" w:rsidRDefault="00E1374A" w:rsidP="007F4626">
            <w:pPr>
              <w:numPr>
                <w:ilvl w:val="0"/>
                <w:numId w:val="23"/>
              </w:numPr>
              <w:spacing w:after="80" w:line="240" w:lineRule="auto"/>
              <w:ind w:left="26" w:hanging="91"/>
              <w:contextualSpacing/>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Costo de los inventarios,</w:t>
            </w:r>
          </w:p>
          <w:p w14:paraId="4D09D5BB" w14:textId="77777777" w:rsidR="00E1374A" w:rsidRPr="00B90399" w:rsidRDefault="00E1374A" w:rsidP="007F4626">
            <w:pPr>
              <w:numPr>
                <w:ilvl w:val="0"/>
                <w:numId w:val="23"/>
              </w:numPr>
              <w:spacing w:after="80" w:line="240" w:lineRule="auto"/>
              <w:ind w:left="26" w:hanging="91"/>
              <w:contextualSpacing/>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Costos de los bienes recibidos por un valor ínfimo o nulo,</w:t>
            </w:r>
          </w:p>
          <w:p w14:paraId="0D5955AE" w14:textId="77777777" w:rsidR="00E1374A" w:rsidRPr="00B90399" w:rsidRDefault="00E1374A" w:rsidP="007F4626">
            <w:pPr>
              <w:numPr>
                <w:ilvl w:val="0"/>
                <w:numId w:val="23"/>
              </w:numPr>
              <w:spacing w:after="0" w:line="240" w:lineRule="auto"/>
              <w:ind w:left="29" w:hanging="91"/>
              <w:contextualSpacing/>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Costos excluidos del valor de los inventarios,</w:t>
            </w:r>
          </w:p>
          <w:p w14:paraId="3738B985" w14:textId="77777777" w:rsidR="00E1374A" w:rsidRPr="00B90399" w:rsidRDefault="00E1374A" w:rsidP="007F4626">
            <w:pPr>
              <w:numPr>
                <w:ilvl w:val="0"/>
                <w:numId w:val="23"/>
              </w:numPr>
              <w:spacing w:after="80" w:line="240" w:lineRule="auto"/>
              <w:ind w:left="26" w:hanging="91"/>
              <w:contextualSpacing/>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Fórmulas del costo para inventarios</w:t>
            </w:r>
          </w:p>
        </w:tc>
      </w:tr>
      <w:tr w:rsidR="00E1374A" w:rsidRPr="00B90399" w14:paraId="3AD81D10" w14:textId="77777777" w:rsidTr="007B0BB6">
        <w:trPr>
          <w:trHeight w:val="236"/>
        </w:trPr>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E3980B" w14:textId="77777777" w:rsidR="00E1374A" w:rsidRPr="00B90399" w:rsidRDefault="00E1374A" w:rsidP="007B0BB6">
            <w:pPr>
              <w:spacing w:after="18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1.51,</w:t>
            </w:r>
          </w:p>
          <w:p w14:paraId="344C924C" w14:textId="77777777" w:rsidR="00E1374A" w:rsidRPr="00B90399" w:rsidRDefault="00E1374A" w:rsidP="007B0BB6">
            <w:pPr>
              <w:spacing w:after="12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1.55, 1.134, 1.136,</w:t>
            </w:r>
          </w:p>
          <w:p w14:paraId="78953F34" w14:textId="77777777" w:rsidR="00E1374A" w:rsidRPr="00B90399" w:rsidRDefault="00E1374A" w:rsidP="007B0BB6">
            <w:pPr>
              <w:spacing w:after="24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1.137,</w:t>
            </w:r>
          </w:p>
          <w:p w14:paraId="10A6A6AE" w14:textId="77777777" w:rsidR="00E1374A" w:rsidRPr="00B90399" w:rsidRDefault="00E1374A" w:rsidP="007B0BB6">
            <w:pPr>
              <w:spacing w:after="24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2.24,</w:t>
            </w:r>
          </w:p>
          <w:p w14:paraId="64550D31" w14:textId="77777777" w:rsidR="00E1374A" w:rsidRPr="00B90399" w:rsidRDefault="00E1374A" w:rsidP="007B0BB6">
            <w:pPr>
              <w:spacing w:after="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2.26</w:t>
            </w:r>
          </w:p>
        </w:tc>
        <w:tc>
          <w:tcPr>
            <w:tcW w:w="719" w:type="pct"/>
            <w:tcBorders>
              <w:top w:val="single" w:sz="4" w:space="0" w:color="auto"/>
              <w:left w:val="nil"/>
              <w:bottom w:val="single" w:sz="4" w:space="0" w:color="auto"/>
              <w:right w:val="single" w:sz="4" w:space="0" w:color="auto"/>
            </w:tcBorders>
            <w:shd w:val="clear" w:color="auto" w:fill="auto"/>
            <w:vAlign w:val="center"/>
          </w:tcPr>
          <w:p w14:paraId="2DE8028B" w14:textId="77777777" w:rsidR="00E1374A" w:rsidRPr="00B90399" w:rsidRDefault="00E1374A" w:rsidP="007B0BB6">
            <w:pPr>
              <w:spacing w:after="0" w:line="240" w:lineRule="auto"/>
              <w:jc w:val="center"/>
              <w:rPr>
                <w:rFonts w:eastAsia="Times New Roman" w:cs="Calibri"/>
                <w:color w:val="000000"/>
                <w:sz w:val="16"/>
                <w:szCs w:val="16"/>
                <w:lang w:eastAsia="es-CR"/>
              </w:rPr>
            </w:pPr>
            <w:r w:rsidRPr="00B90399">
              <w:rPr>
                <w:rFonts w:eastAsia="Times New Roman" w:cs="Calibri"/>
                <w:color w:val="000000"/>
                <w:sz w:val="16"/>
                <w:szCs w:val="16"/>
                <w:lang w:eastAsia="es-CR"/>
              </w:rPr>
              <w:t>Activo no corriente</w:t>
            </w:r>
          </w:p>
        </w:tc>
        <w:tc>
          <w:tcPr>
            <w:tcW w:w="1519" w:type="pct"/>
            <w:tcBorders>
              <w:top w:val="single" w:sz="4" w:space="0" w:color="auto"/>
              <w:left w:val="nil"/>
              <w:bottom w:val="single" w:sz="4" w:space="0" w:color="auto"/>
              <w:right w:val="single" w:sz="4" w:space="0" w:color="auto"/>
            </w:tcBorders>
            <w:shd w:val="clear" w:color="auto" w:fill="auto"/>
            <w:noWrap/>
            <w:vAlign w:val="bottom"/>
          </w:tcPr>
          <w:p w14:paraId="38B65DFF" w14:textId="77777777" w:rsidR="00E1374A" w:rsidRPr="00B90399" w:rsidRDefault="00E1374A" w:rsidP="007B0BB6">
            <w:pPr>
              <w:spacing w:after="960" w:line="240" w:lineRule="auto"/>
              <w:jc w:val="center"/>
              <w:rPr>
                <w:rFonts w:eastAsia="Times New Roman" w:cs="Calibri"/>
                <w:color w:val="000000"/>
                <w:sz w:val="16"/>
                <w:szCs w:val="16"/>
                <w:lang w:eastAsia="es-CR"/>
              </w:rPr>
            </w:pPr>
            <w:r w:rsidRPr="00B90399">
              <w:rPr>
                <w:rFonts w:eastAsia="Times New Roman" w:cs="Calibri"/>
                <w:color w:val="000000"/>
                <w:sz w:val="16"/>
                <w:szCs w:val="16"/>
                <w:lang w:eastAsia="es-CR"/>
              </w:rPr>
              <w:t>Arrendamientos</w:t>
            </w:r>
          </w:p>
        </w:tc>
        <w:tc>
          <w:tcPr>
            <w:tcW w:w="780" w:type="pct"/>
            <w:tcBorders>
              <w:top w:val="single" w:sz="4" w:space="0" w:color="auto"/>
              <w:left w:val="nil"/>
              <w:bottom w:val="single" w:sz="4" w:space="0" w:color="auto"/>
              <w:right w:val="single" w:sz="4" w:space="0" w:color="auto"/>
            </w:tcBorders>
            <w:shd w:val="clear" w:color="auto" w:fill="auto"/>
            <w:noWrap/>
            <w:vAlign w:val="bottom"/>
          </w:tcPr>
          <w:p w14:paraId="4740CEC3" w14:textId="77777777" w:rsidR="00E1374A" w:rsidRPr="00B90399" w:rsidRDefault="00E1374A" w:rsidP="007B0BB6">
            <w:pPr>
              <w:spacing w:after="960" w:line="240" w:lineRule="auto"/>
              <w:jc w:val="center"/>
              <w:rPr>
                <w:rFonts w:eastAsia="Times New Roman" w:cs="Calibri"/>
                <w:color w:val="000000"/>
                <w:sz w:val="16"/>
                <w:szCs w:val="16"/>
                <w:lang w:eastAsia="es-CR"/>
              </w:rPr>
            </w:pPr>
            <w:r w:rsidRPr="00B90399">
              <w:rPr>
                <w:rFonts w:eastAsia="Times New Roman" w:cs="Calibri"/>
                <w:color w:val="000000"/>
                <w:sz w:val="16"/>
                <w:szCs w:val="16"/>
                <w:lang w:eastAsia="es-CR"/>
              </w:rPr>
              <w:t>NICSP 13</w:t>
            </w:r>
          </w:p>
        </w:tc>
        <w:tc>
          <w:tcPr>
            <w:tcW w:w="1608" w:type="pct"/>
            <w:tcBorders>
              <w:top w:val="single" w:sz="4" w:space="0" w:color="auto"/>
              <w:left w:val="nil"/>
              <w:bottom w:val="single" w:sz="4" w:space="0" w:color="auto"/>
              <w:right w:val="single" w:sz="4" w:space="0" w:color="auto"/>
            </w:tcBorders>
            <w:shd w:val="clear" w:color="auto" w:fill="auto"/>
            <w:noWrap/>
            <w:vAlign w:val="bottom"/>
          </w:tcPr>
          <w:p w14:paraId="1C48E17D" w14:textId="77777777" w:rsidR="00E1374A" w:rsidRPr="00B90399" w:rsidRDefault="00E1374A" w:rsidP="007F4626">
            <w:pPr>
              <w:numPr>
                <w:ilvl w:val="0"/>
                <w:numId w:val="23"/>
              </w:numPr>
              <w:spacing w:after="0" w:line="240" w:lineRule="auto"/>
              <w:ind w:left="26" w:hanging="91"/>
              <w:contextualSpacing/>
              <w:jc w:val="left"/>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Clasificación de los arrendamientos financieros y operativos,</w:t>
            </w:r>
          </w:p>
          <w:p w14:paraId="32FF394D" w14:textId="77777777" w:rsidR="00E1374A" w:rsidRPr="00B90399" w:rsidRDefault="00E1374A" w:rsidP="007F4626">
            <w:pPr>
              <w:numPr>
                <w:ilvl w:val="0"/>
                <w:numId w:val="23"/>
              </w:numPr>
              <w:spacing w:after="0" w:line="240" w:lineRule="auto"/>
              <w:ind w:left="26" w:hanging="91"/>
              <w:contextualSpacing/>
              <w:jc w:val="left"/>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Inicio del arrendamiento,</w:t>
            </w:r>
          </w:p>
          <w:p w14:paraId="0445FDFE" w14:textId="77777777" w:rsidR="00E1374A" w:rsidRPr="00B90399" w:rsidRDefault="00E1374A" w:rsidP="007F4626">
            <w:pPr>
              <w:numPr>
                <w:ilvl w:val="0"/>
                <w:numId w:val="23"/>
              </w:numPr>
              <w:spacing w:after="0" w:line="240" w:lineRule="auto"/>
              <w:ind w:left="26" w:hanging="91"/>
              <w:contextualSpacing/>
              <w:jc w:val="left"/>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Registro inicial,</w:t>
            </w:r>
          </w:p>
          <w:p w14:paraId="0C2DA389" w14:textId="77777777" w:rsidR="00E1374A" w:rsidRPr="00B90399" w:rsidRDefault="00E1374A" w:rsidP="007F4626">
            <w:pPr>
              <w:numPr>
                <w:ilvl w:val="0"/>
                <w:numId w:val="23"/>
              </w:numPr>
              <w:spacing w:after="0" w:line="240" w:lineRule="auto"/>
              <w:ind w:left="26" w:hanging="91"/>
              <w:contextualSpacing/>
              <w:jc w:val="left"/>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Reconocimiento inicial de bienes arrendados (arrendamiento financiero),</w:t>
            </w:r>
          </w:p>
          <w:p w14:paraId="4DE78354" w14:textId="77777777" w:rsidR="00E1374A" w:rsidRPr="00B90399" w:rsidRDefault="00E1374A" w:rsidP="007F4626">
            <w:pPr>
              <w:numPr>
                <w:ilvl w:val="0"/>
                <w:numId w:val="23"/>
              </w:numPr>
              <w:spacing w:after="0" w:line="240" w:lineRule="auto"/>
              <w:ind w:left="26" w:hanging="91"/>
              <w:contextualSpacing/>
              <w:jc w:val="left"/>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Costos iniciales del arrendamiento financiero,</w:t>
            </w:r>
          </w:p>
          <w:p w14:paraId="45A60F12" w14:textId="77777777" w:rsidR="00E1374A" w:rsidRPr="00B90399" w:rsidRDefault="00E1374A" w:rsidP="007F4626">
            <w:pPr>
              <w:numPr>
                <w:ilvl w:val="0"/>
                <w:numId w:val="23"/>
              </w:numPr>
              <w:spacing w:after="0" w:line="240" w:lineRule="auto"/>
              <w:ind w:left="26" w:hanging="91"/>
              <w:contextualSpacing/>
              <w:jc w:val="left"/>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Reconocimiento inicial de arrendamientos financieros,</w:t>
            </w:r>
          </w:p>
          <w:p w14:paraId="0E9D126A" w14:textId="77777777" w:rsidR="00E1374A" w:rsidRPr="00B90399" w:rsidRDefault="00E1374A" w:rsidP="007F4626">
            <w:pPr>
              <w:numPr>
                <w:ilvl w:val="0"/>
                <w:numId w:val="23"/>
              </w:numPr>
              <w:spacing w:after="0" w:line="240" w:lineRule="auto"/>
              <w:ind w:left="26" w:hanging="91"/>
              <w:contextualSpacing/>
              <w:jc w:val="left"/>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Pasivo por arrendamiento operativo</w:t>
            </w:r>
          </w:p>
        </w:tc>
      </w:tr>
      <w:tr w:rsidR="00E1374A" w:rsidRPr="00B90399" w14:paraId="1B8FD274" w14:textId="77777777" w:rsidTr="007B0BB6">
        <w:trPr>
          <w:trHeight w:val="236"/>
        </w:trPr>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DFBD44" w14:textId="77777777" w:rsidR="00E1374A" w:rsidRPr="00B90399" w:rsidRDefault="00E1374A" w:rsidP="007B0BB6">
            <w:pPr>
              <w:spacing w:after="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1.110,</w:t>
            </w:r>
          </w:p>
          <w:p w14:paraId="156C9400" w14:textId="77777777" w:rsidR="00E1374A" w:rsidRPr="00B90399" w:rsidRDefault="00E1374A" w:rsidP="007B0BB6">
            <w:pPr>
              <w:spacing w:before="180" w:after="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1.113,</w:t>
            </w:r>
          </w:p>
          <w:p w14:paraId="0176839E" w14:textId="77777777" w:rsidR="00E1374A" w:rsidRPr="00B90399" w:rsidRDefault="00E1374A" w:rsidP="007B0BB6">
            <w:pPr>
              <w:spacing w:before="120" w:after="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1.117,</w:t>
            </w:r>
          </w:p>
          <w:p w14:paraId="3AA4000B" w14:textId="77777777" w:rsidR="00E1374A" w:rsidRPr="00B90399" w:rsidRDefault="00E1374A" w:rsidP="007B0BB6">
            <w:pPr>
              <w:spacing w:after="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1.120,</w:t>
            </w:r>
          </w:p>
          <w:p w14:paraId="40A26FF4" w14:textId="77777777" w:rsidR="00E1374A" w:rsidRPr="00B90399" w:rsidRDefault="00E1374A" w:rsidP="007B0BB6">
            <w:pPr>
              <w:spacing w:after="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1.121</w:t>
            </w:r>
          </w:p>
        </w:tc>
        <w:tc>
          <w:tcPr>
            <w:tcW w:w="719" w:type="pct"/>
            <w:tcBorders>
              <w:top w:val="single" w:sz="4" w:space="0" w:color="auto"/>
              <w:left w:val="nil"/>
              <w:bottom w:val="single" w:sz="4" w:space="0" w:color="auto"/>
              <w:right w:val="single" w:sz="4" w:space="0" w:color="auto"/>
            </w:tcBorders>
            <w:shd w:val="clear" w:color="auto" w:fill="auto"/>
            <w:vAlign w:val="center"/>
          </w:tcPr>
          <w:p w14:paraId="32ADAD4C" w14:textId="77777777" w:rsidR="00E1374A" w:rsidRPr="00B90399" w:rsidRDefault="00E1374A" w:rsidP="007B0BB6">
            <w:pPr>
              <w:spacing w:after="0" w:line="240" w:lineRule="auto"/>
              <w:jc w:val="center"/>
              <w:rPr>
                <w:rFonts w:eastAsia="Times New Roman" w:cs="Calibri"/>
                <w:color w:val="000000"/>
                <w:sz w:val="16"/>
                <w:szCs w:val="16"/>
                <w:lang w:eastAsia="es-CR"/>
              </w:rPr>
            </w:pPr>
            <w:r w:rsidRPr="00B90399">
              <w:rPr>
                <w:rFonts w:eastAsia="Times New Roman" w:cs="Calibri"/>
                <w:color w:val="000000"/>
                <w:sz w:val="16"/>
                <w:szCs w:val="16"/>
                <w:lang w:eastAsia="es-CR"/>
              </w:rPr>
              <w:t>Activo no corriente</w:t>
            </w:r>
          </w:p>
        </w:tc>
        <w:tc>
          <w:tcPr>
            <w:tcW w:w="1519" w:type="pct"/>
            <w:tcBorders>
              <w:top w:val="single" w:sz="4" w:space="0" w:color="auto"/>
              <w:left w:val="nil"/>
              <w:bottom w:val="single" w:sz="4" w:space="0" w:color="auto"/>
              <w:right w:val="single" w:sz="4" w:space="0" w:color="auto"/>
            </w:tcBorders>
            <w:shd w:val="clear" w:color="auto" w:fill="auto"/>
            <w:noWrap/>
            <w:vAlign w:val="bottom"/>
          </w:tcPr>
          <w:p w14:paraId="4BDE054A" w14:textId="77777777" w:rsidR="00E1374A" w:rsidRPr="00B90399" w:rsidRDefault="00E1374A" w:rsidP="007B0BB6">
            <w:pPr>
              <w:spacing w:after="600" w:line="240" w:lineRule="auto"/>
              <w:jc w:val="center"/>
              <w:rPr>
                <w:rFonts w:eastAsia="Times New Roman" w:cs="Calibri"/>
                <w:color w:val="000000"/>
                <w:sz w:val="16"/>
                <w:szCs w:val="16"/>
                <w:lang w:eastAsia="es-CR"/>
              </w:rPr>
            </w:pPr>
            <w:r w:rsidRPr="00B90399">
              <w:rPr>
                <w:rFonts w:eastAsia="Times New Roman" w:cs="Calibri"/>
                <w:color w:val="000000"/>
                <w:sz w:val="16"/>
                <w:szCs w:val="16"/>
                <w:lang w:eastAsia="es-CR"/>
              </w:rPr>
              <w:t>Propiedades de Inversión</w:t>
            </w:r>
          </w:p>
        </w:tc>
        <w:tc>
          <w:tcPr>
            <w:tcW w:w="780" w:type="pct"/>
            <w:tcBorders>
              <w:top w:val="single" w:sz="4" w:space="0" w:color="auto"/>
              <w:left w:val="nil"/>
              <w:bottom w:val="single" w:sz="4" w:space="0" w:color="auto"/>
              <w:right w:val="single" w:sz="4" w:space="0" w:color="auto"/>
            </w:tcBorders>
            <w:shd w:val="clear" w:color="auto" w:fill="auto"/>
            <w:noWrap/>
            <w:vAlign w:val="bottom"/>
          </w:tcPr>
          <w:p w14:paraId="1F7DC911" w14:textId="77777777" w:rsidR="00E1374A" w:rsidRPr="00B90399" w:rsidRDefault="00E1374A" w:rsidP="007B0BB6">
            <w:pPr>
              <w:spacing w:after="600" w:line="240" w:lineRule="auto"/>
              <w:jc w:val="center"/>
              <w:rPr>
                <w:rFonts w:eastAsia="Times New Roman" w:cs="Calibri"/>
                <w:color w:val="000000"/>
                <w:sz w:val="16"/>
                <w:szCs w:val="16"/>
                <w:lang w:eastAsia="es-CR"/>
              </w:rPr>
            </w:pPr>
            <w:r w:rsidRPr="00B90399">
              <w:rPr>
                <w:rFonts w:eastAsia="Times New Roman" w:cs="Calibri"/>
                <w:color w:val="000000"/>
                <w:sz w:val="16"/>
                <w:szCs w:val="16"/>
                <w:lang w:eastAsia="es-CR"/>
              </w:rPr>
              <w:t>NICSP 16</w:t>
            </w:r>
          </w:p>
        </w:tc>
        <w:tc>
          <w:tcPr>
            <w:tcW w:w="1608" w:type="pct"/>
            <w:tcBorders>
              <w:top w:val="single" w:sz="4" w:space="0" w:color="auto"/>
              <w:left w:val="nil"/>
              <w:bottom w:val="single" w:sz="4" w:space="0" w:color="auto"/>
              <w:right w:val="single" w:sz="4" w:space="0" w:color="auto"/>
            </w:tcBorders>
            <w:shd w:val="clear" w:color="auto" w:fill="auto"/>
            <w:noWrap/>
            <w:vAlign w:val="bottom"/>
          </w:tcPr>
          <w:p w14:paraId="37975B35" w14:textId="77777777" w:rsidR="00E1374A" w:rsidRPr="00B90399" w:rsidRDefault="00E1374A" w:rsidP="007F4626">
            <w:pPr>
              <w:numPr>
                <w:ilvl w:val="0"/>
                <w:numId w:val="23"/>
              </w:numPr>
              <w:spacing w:after="60" w:line="240" w:lineRule="auto"/>
              <w:ind w:left="26" w:hanging="76"/>
              <w:contextualSpacing/>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Bienes imputados a propiedades de inversión,</w:t>
            </w:r>
          </w:p>
          <w:p w14:paraId="4492C56A" w14:textId="77777777" w:rsidR="00E1374A" w:rsidRPr="00B90399" w:rsidRDefault="00E1374A" w:rsidP="007F4626">
            <w:pPr>
              <w:numPr>
                <w:ilvl w:val="0"/>
                <w:numId w:val="23"/>
              </w:numPr>
              <w:spacing w:after="60" w:line="240" w:lineRule="auto"/>
              <w:ind w:left="26" w:hanging="76"/>
              <w:contextualSpacing/>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Reconocimiento de propiedades de inversión,</w:t>
            </w:r>
          </w:p>
          <w:p w14:paraId="4DAC4016" w14:textId="77777777" w:rsidR="00E1374A" w:rsidRPr="00B90399" w:rsidRDefault="00E1374A" w:rsidP="007F4626">
            <w:pPr>
              <w:numPr>
                <w:ilvl w:val="0"/>
                <w:numId w:val="23"/>
              </w:numPr>
              <w:spacing w:after="60" w:line="240" w:lineRule="auto"/>
              <w:ind w:left="26" w:hanging="76"/>
              <w:contextualSpacing/>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Arrendamiento y propiedad de inversión,</w:t>
            </w:r>
          </w:p>
          <w:p w14:paraId="642357E5" w14:textId="77777777" w:rsidR="00E1374A" w:rsidRPr="00B90399" w:rsidRDefault="00E1374A" w:rsidP="007F4626">
            <w:pPr>
              <w:numPr>
                <w:ilvl w:val="0"/>
                <w:numId w:val="23"/>
              </w:numPr>
              <w:spacing w:after="60" w:line="240" w:lineRule="auto"/>
              <w:ind w:left="26" w:hanging="76"/>
              <w:contextualSpacing/>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Medición posterior al inicio,</w:t>
            </w:r>
          </w:p>
          <w:p w14:paraId="3AEFC61B" w14:textId="77777777" w:rsidR="00E1374A" w:rsidRPr="00B90399" w:rsidRDefault="00E1374A" w:rsidP="007F4626">
            <w:pPr>
              <w:numPr>
                <w:ilvl w:val="0"/>
                <w:numId w:val="23"/>
              </w:numPr>
              <w:spacing w:after="60" w:line="240" w:lineRule="auto"/>
              <w:ind w:left="26" w:hanging="76"/>
              <w:contextualSpacing/>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Modelo de costo como modelo general</w:t>
            </w:r>
          </w:p>
        </w:tc>
      </w:tr>
      <w:tr w:rsidR="00E1374A" w:rsidRPr="00B90399" w14:paraId="6F43F14D" w14:textId="77777777" w:rsidTr="007B0BB6">
        <w:trPr>
          <w:trHeight w:val="236"/>
        </w:trPr>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895B0B" w14:textId="77777777" w:rsidR="00E1374A" w:rsidRPr="00B90399" w:rsidRDefault="00E1374A" w:rsidP="007B0BB6">
            <w:pPr>
              <w:spacing w:after="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lastRenderedPageBreak/>
              <w:t>1.92,</w:t>
            </w:r>
          </w:p>
          <w:p w14:paraId="6B76A9F5" w14:textId="77777777" w:rsidR="00E1374A" w:rsidRPr="00B90399" w:rsidRDefault="00E1374A" w:rsidP="007B0BB6">
            <w:pPr>
              <w:spacing w:after="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1.95,</w:t>
            </w:r>
          </w:p>
          <w:p w14:paraId="42630AAC" w14:textId="77777777" w:rsidR="00E1374A" w:rsidRPr="00B90399" w:rsidRDefault="00E1374A" w:rsidP="007B0BB6">
            <w:pPr>
              <w:spacing w:after="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1.96,</w:t>
            </w:r>
          </w:p>
          <w:p w14:paraId="6C9D4D43" w14:textId="77777777" w:rsidR="00E1374A" w:rsidRPr="00B90399" w:rsidRDefault="00E1374A" w:rsidP="007B0BB6">
            <w:pPr>
              <w:spacing w:after="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1.98,</w:t>
            </w:r>
          </w:p>
          <w:p w14:paraId="69A9E8F1" w14:textId="77777777" w:rsidR="00E1374A" w:rsidRPr="00B90399" w:rsidRDefault="00E1374A" w:rsidP="007B0BB6">
            <w:pPr>
              <w:spacing w:after="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1.101,</w:t>
            </w:r>
          </w:p>
          <w:p w14:paraId="365A4B14" w14:textId="77777777" w:rsidR="00E1374A" w:rsidRPr="00B90399" w:rsidRDefault="00E1374A" w:rsidP="007B0BB6">
            <w:pPr>
              <w:spacing w:after="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1.102,</w:t>
            </w:r>
          </w:p>
          <w:p w14:paraId="40FF1CD3" w14:textId="77777777" w:rsidR="00E1374A" w:rsidRPr="00B90399" w:rsidRDefault="00E1374A" w:rsidP="007B0BB6">
            <w:pPr>
              <w:spacing w:after="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1.104.</w:t>
            </w:r>
          </w:p>
          <w:p w14:paraId="1601AD56" w14:textId="77777777" w:rsidR="00E1374A" w:rsidRPr="00B90399" w:rsidRDefault="00E1374A" w:rsidP="007B0BB6">
            <w:pPr>
              <w:spacing w:after="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1.108,</w:t>
            </w:r>
          </w:p>
          <w:p w14:paraId="5963782F" w14:textId="77777777" w:rsidR="00E1374A" w:rsidRPr="00B90399" w:rsidRDefault="00E1374A" w:rsidP="007B0BB6">
            <w:pPr>
              <w:spacing w:after="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1.149,</w:t>
            </w:r>
          </w:p>
          <w:p w14:paraId="580688E7" w14:textId="77777777" w:rsidR="00E1374A" w:rsidRPr="00B90399" w:rsidRDefault="00E1374A" w:rsidP="007B0BB6">
            <w:pPr>
              <w:spacing w:after="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1.163,</w:t>
            </w:r>
          </w:p>
          <w:p w14:paraId="0DBED9FE" w14:textId="77777777" w:rsidR="00E1374A" w:rsidRPr="00B90399" w:rsidRDefault="00E1374A" w:rsidP="007B0BB6">
            <w:pPr>
              <w:spacing w:after="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1.190,</w:t>
            </w:r>
          </w:p>
          <w:p w14:paraId="6DBD911B" w14:textId="77777777" w:rsidR="00E1374A" w:rsidRPr="00B90399" w:rsidRDefault="00E1374A" w:rsidP="007B0BB6">
            <w:pPr>
              <w:spacing w:after="12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1.193,</w:t>
            </w:r>
          </w:p>
          <w:p w14:paraId="1C749C9E" w14:textId="77777777" w:rsidR="00E1374A" w:rsidRPr="00B90399" w:rsidRDefault="00E1374A" w:rsidP="007B0BB6">
            <w:pPr>
              <w:spacing w:after="12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1.209,</w:t>
            </w:r>
          </w:p>
          <w:p w14:paraId="40A90AC7" w14:textId="77777777" w:rsidR="00E1374A" w:rsidRPr="00B90399" w:rsidRDefault="00E1374A" w:rsidP="007B0BB6">
            <w:pPr>
              <w:spacing w:after="12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1.213,</w:t>
            </w:r>
          </w:p>
          <w:p w14:paraId="300F42AB" w14:textId="77777777" w:rsidR="00E1374A" w:rsidRPr="00B90399" w:rsidRDefault="00E1374A" w:rsidP="007B0BB6">
            <w:pPr>
              <w:spacing w:after="12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1.214,</w:t>
            </w:r>
          </w:p>
          <w:p w14:paraId="547D73CF" w14:textId="77777777" w:rsidR="00E1374A" w:rsidRPr="00B90399" w:rsidRDefault="00E1374A" w:rsidP="007B0BB6">
            <w:pPr>
              <w:spacing w:after="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1.219,</w:t>
            </w:r>
          </w:p>
          <w:p w14:paraId="6BD0B64C" w14:textId="77777777" w:rsidR="00E1374A" w:rsidRPr="00B90399" w:rsidRDefault="00E1374A" w:rsidP="007B0BB6">
            <w:pPr>
              <w:spacing w:after="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1.220</w:t>
            </w:r>
          </w:p>
        </w:tc>
        <w:tc>
          <w:tcPr>
            <w:tcW w:w="719" w:type="pct"/>
            <w:tcBorders>
              <w:top w:val="single" w:sz="4" w:space="0" w:color="auto"/>
              <w:left w:val="nil"/>
              <w:bottom w:val="single" w:sz="4" w:space="0" w:color="auto"/>
              <w:right w:val="single" w:sz="4" w:space="0" w:color="auto"/>
            </w:tcBorders>
            <w:shd w:val="clear" w:color="auto" w:fill="auto"/>
            <w:vAlign w:val="center"/>
          </w:tcPr>
          <w:p w14:paraId="40EE633E" w14:textId="77777777" w:rsidR="00E1374A" w:rsidRPr="00B90399" w:rsidRDefault="00E1374A" w:rsidP="007B0BB6">
            <w:pPr>
              <w:spacing w:after="0" w:line="240" w:lineRule="auto"/>
              <w:jc w:val="center"/>
              <w:rPr>
                <w:rFonts w:eastAsia="Times New Roman" w:cs="Calibri"/>
                <w:color w:val="000000"/>
                <w:sz w:val="16"/>
                <w:szCs w:val="16"/>
                <w:lang w:eastAsia="es-CR"/>
              </w:rPr>
            </w:pPr>
            <w:r w:rsidRPr="00B90399">
              <w:rPr>
                <w:rFonts w:eastAsia="Times New Roman" w:cs="Calibri"/>
                <w:color w:val="000000"/>
                <w:sz w:val="16"/>
                <w:szCs w:val="16"/>
                <w:lang w:eastAsia="es-CR"/>
              </w:rPr>
              <w:t>Activo no corriente</w:t>
            </w:r>
          </w:p>
        </w:tc>
        <w:tc>
          <w:tcPr>
            <w:tcW w:w="1519" w:type="pct"/>
            <w:tcBorders>
              <w:top w:val="single" w:sz="4" w:space="0" w:color="auto"/>
              <w:left w:val="nil"/>
              <w:bottom w:val="single" w:sz="4" w:space="0" w:color="auto"/>
              <w:right w:val="single" w:sz="4" w:space="0" w:color="auto"/>
            </w:tcBorders>
            <w:shd w:val="clear" w:color="auto" w:fill="auto"/>
            <w:noWrap/>
            <w:vAlign w:val="bottom"/>
          </w:tcPr>
          <w:p w14:paraId="14620F14" w14:textId="77777777" w:rsidR="00E1374A" w:rsidRPr="00B90399" w:rsidRDefault="00E1374A" w:rsidP="007B0BB6">
            <w:pPr>
              <w:spacing w:after="120" w:line="240" w:lineRule="auto"/>
              <w:jc w:val="center"/>
              <w:rPr>
                <w:rFonts w:eastAsia="Times New Roman" w:cs="Calibri"/>
                <w:color w:val="000000"/>
                <w:sz w:val="16"/>
                <w:szCs w:val="16"/>
                <w:lang w:eastAsia="es-CR"/>
              </w:rPr>
            </w:pPr>
            <w:r w:rsidRPr="00B90399">
              <w:rPr>
                <w:rFonts w:eastAsia="Times New Roman" w:cs="Calibri"/>
                <w:color w:val="000000"/>
                <w:sz w:val="16"/>
                <w:szCs w:val="16"/>
                <w:lang w:eastAsia="es-CR"/>
              </w:rPr>
              <w:t xml:space="preserve">Activo Propiedad Planta y Equipo; y </w:t>
            </w:r>
          </w:p>
          <w:p w14:paraId="10E925AB" w14:textId="77777777" w:rsidR="00E1374A" w:rsidRPr="00B90399" w:rsidRDefault="00E1374A" w:rsidP="007B0BB6">
            <w:pPr>
              <w:spacing w:after="1680" w:line="240" w:lineRule="auto"/>
              <w:jc w:val="center"/>
              <w:rPr>
                <w:rFonts w:eastAsia="Times New Roman" w:cs="Calibri"/>
                <w:color w:val="000000"/>
                <w:sz w:val="16"/>
                <w:szCs w:val="16"/>
                <w:lang w:eastAsia="es-CR"/>
              </w:rPr>
            </w:pPr>
            <w:r w:rsidRPr="00B90399">
              <w:rPr>
                <w:rFonts w:eastAsia="Cambria" w:cs="Arial"/>
                <w:color w:val="000000"/>
                <w:sz w:val="16"/>
                <w:szCs w:val="16"/>
                <w:lang w:eastAsia="es-CR"/>
              </w:rPr>
              <w:t>Bienes de infraestructura y de beneficio y uso público</w:t>
            </w:r>
          </w:p>
        </w:tc>
        <w:tc>
          <w:tcPr>
            <w:tcW w:w="780" w:type="pct"/>
            <w:tcBorders>
              <w:top w:val="single" w:sz="4" w:space="0" w:color="auto"/>
              <w:left w:val="nil"/>
              <w:bottom w:val="single" w:sz="4" w:space="0" w:color="auto"/>
              <w:right w:val="single" w:sz="4" w:space="0" w:color="auto"/>
            </w:tcBorders>
            <w:shd w:val="clear" w:color="auto" w:fill="auto"/>
            <w:noWrap/>
            <w:vAlign w:val="bottom"/>
          </w:tcPr>
          <w:p w14:paraId="5B56DBD3" w14:textId="77777777" w:rsidR="00E1374A" w:rsidRPr="00B90399" w:rsidRDefault="00E1374A" w:rsidP="007B0BB6">
            <w:pPr>
              <w:spacing w:after="1800" w:line="240" w:lineRule="auto"/>
              <w:jc w:val="center"/>
              <w:rPr>
                <w:rFonts w:eastAsia="Times New Roman" w:cs="Calibri"/>
                <w:color w:val="000000"/>
                <w:sz w:val="16"/>
                <w:szCs w:val="16"/>
                <w:lang w:eastAsia="es-CR"/>
              </w:rPr>
            </w:pPr>
            <w:r w:rsidRPr="00B90399">
              <w:rPr>
                <w:rFonts w:eastAsia="Times New Roman" w:cs="Calibri"/>
                <w:color w:val="000000"/>
                <w:sz w:val="16"/>
                <w:szCs w:val="16"/>
                <w:lang w:eastAsia="es-CR"/>
              </w:rPr>
              <w:t>NICSP 17</w:t>
            </w:r>
          </w:p>
        </w:tc>
        <w:tc>
          <w:tcPr>
            <w:tcW w:w="1608" w:type="pct"/>
            <w:tcBorders>
              <w:top w:val="single" w:sz="4" w:space="0" w:color="auto"/>
              <w:left w:val="nil"/>
              <w:bottom w:val="single" w:sz="4" w:space="0" w:color="auto"/>
              <w:right w:val="single" w:sz="4" w:space="0" w:color="auto"/>
            </w:tcBorders>
            <w:shd w:val="clear" w:color="auto" w:fill="auto"/>
            <w:noWrap/>
            <w:vAlign w:val="bottom"/>
          </w:tcPr>
          <w:p w14:paraId="2E3C0B2A" w14:textId="77777777" w:rsidR="00E1374A" w:rsidRPr="00B90399" w:rsidRDefault="00E1374A" w:rsidP="007F4626">
            <w:pPr>
              <w:numPr>
                <w:ilvl w:val="0"/>
                <w:numId w:val="23"/>
              </w:numPr>
              <w:spacing w:after="60" w:line="240" w:lineRule="auto"/>
              <w:ind w:left="26" w:hanging="76"/>
              <w:contextualSpacing/>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Clases de bienes,</w:t>
            </w:r>
          </w:p>
          <w:p w14:paraId="5085181C" w14:textId="77777777" w:rsidR="00E1374A" w:rsidRPr="00B90399" w:rsidRDefault="00E1374A" w:rsidP="007F4626">
            <w:pPr>
              <w:numPr>
                <w:ilvl w:val="0"/>
                <w:numId w:val="23"/>
              </w:numPr>
              <w:spacing w:after="60" w:line="240" w:lineRule="auto"/>
              <w:ind w:left="26" w:hanging="76"/>
              <w:contextualSpacing/>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Reconocimiento del activo,</w:t>
            </w:r>
          </w:p>
          <w:p w14:paraId="1CFAB973" w14:textId="77777777" w:rsidR="00E1374A" w:rsidRPr="00B90399" w:rsidRDefault="00E1374A" w:rsidP="007F4626">
            <w:pPr>
              <w:numPr>
                <w:ilvl w:val="0"/>
                <w:numId w:val="23"/>
              </w:numPr>
              <w:spacing w:after="60" w:line="240" w:lineRule="auto"/>
              <w:ind w:left="26" w:hanging="76"/>
              <w:contextualSpacing/>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Bienes contemplados,</w:t>
            </w:r>
          </w:p>
          <w:p w14:paraId="59A92AFF" w14:textId="77777777" w:rsidR="00E1374A" w:rsidRPr="00B90399" w:rsidRDefault="00E1374A" w:rsidP="007F4626">
            <w:pPr>
              <w:numPr>
                <w:ilvl w:val="0"/>
                <w:numId w:val="23"/>
              </w:numPr>
              <w:spacing w:after="60" w:line="240" w:lineRule="auto"/>
              <w:ind w:left="26" w:hanging="76"/>
              <w:contextualSpacing/>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Medición y reconocimiento inicial</w:t>
            </w:r>
          </w:p>
          <w:p w14:paraId="49E357A5" w14:textId="77777777" w:rsidR="00E1374A" w:rsidRPr="00B90399" w:rsidRDefault="00E1374A" w:rsidP="007F4626">
            <w:pPr>
              <w:numPr>
                <w:ilvl w:val="0"/>
                <w:numId w:val="23"/>
              </w:numPr>
              <w:spacing w:after="60" w:line="240" w:lineRule="auto"/>
              <w:ind w:left="26" w:hanging="76"/>
              <w:contextualSpacing/>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Medición y reconocimiento posterior,</w:t>
            </w:r>
          </w:p>
          <w:p w14:paraId="31A63B12" w14:textId="77777777" w:rsidR="00E1374A" w:rsidRPr="00B90399" w:rsidRDefault="00E1374A" w:rsidP="007F4626">
            <w:pPr>
              <w:numPr>
                <w:ilvl w:val="0"/>
                <w:numId w:val="23"/>
              </w:numPr>
              <w:spacing w:after="60" w:line="240" w:lineRule="auto"/>
              <w:ind w:left="26" w:hanging="76"/>
              <w:contextualSpacing/>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Modelo de Costo,</w:t>
            </w:r>
          </w:p>
          <w:p w14:paraId="5134EB1E" w14:textId="77777777" w:rsidR="00E1374A" w:rsidRPr="00B90399" w:rsidRDefault="00E1374A" w:rsidP="007F4626">
            <w:pPr>
              <w:numPr>
                <w:ilvl w:val="0"/>
                <w:numId w:val="23"/>
              </w:numPr>
              <w:spacing w:after="60" w:line="240" w:lineRule="auto"/>
              <w:ind w:left="26" w:hanging="76"/>
              <w:contextualSpacing/>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Componentes del costo,</w:t>
            </w:r>
          </w:p>
          <w:p w14:paraId="762CC5F9" w14:textId="77777777" w:rsidR="00E1374A" w:rsidRPr="00B90399" w:rsidRDefault="00E1374A" w:rsidP="007F4626">
            <w:pPr>
              <w:numPr>
                <w:ilvl w:val="0"/>
                <w:numId w:val="23"/>
              </w:numPr>
              <w:spacing w:after="60" w:line="240" w:lineRule="auto"/>
              <w:ind w:left="26" w:hanging="76"/>
              <w:contextualSpacing/>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Bajas de bienes,</w:t>
            </w:r>
          </w:p>
          <w:p w14:paraId="2EB3C6C3" w14:textId="77777777" w:rsidR="00E1374A" w:rsidRPr="00B90399" w:rsidRDefault="00E1374A" w:rsidP="007F4626">
            <w:pPr>
              <w:numPr>
                <w:ilvl w:val="0"/>
                <w:numId w:val="23"/>
              </w:numPr>
              <w:spacing w:after="60" w:line="240" w:lineRule="auto"/>
              <w:ind w:left="26" w:hanging="76"/>
              <w:contextualSpacing/>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Bienes de infraestructura,</w:t>
            </w:r>
          </w:p>
          <w:p w14:paraId="41DCF07F" w14:textId="77777777" w:rsidR="00E1374A" w:rsidRPr="00B90399" w:rsidRDefault="00E1374A" w:rsidP="007F4626">
            <w:pPr>
              <w:numPr>
                <w:ilvl w:val="0"/>
                <w:numId w:val="23"/>
              </w:numPr>
              <w:spacing w:after="60" w:line="240" w:lineRule="auto"/>
              <w:ind w:left="26" w:hanging="76"/>
              <w:contextualSpacing/>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Contrato de construcción</w:t>
            </w:r>
          </w:p>
          <w:p w14:paraId="540300D1" w14:textId="77777777" w:rsidR="00E1374A" w:rsidRPr="00B90399" w:rsidRDefault="00E1374A" w:rsidP="007F4626">
            <w:pPr>
              <w:numPr>
                <w:ilvl w:val="0"/>
                <w:numId w:val="23"/>
              </w:numPr>
              <w:spacing w:after="60" w:line="240" w:lineRule="auto"/>
              <w:ind w:left="26" w:hanging="76"/>
              <w:contextualSpacing/>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Activos sujetos a evaluación de deterioro,</w:t>
            </w:r>
          </w:p>
          <w:p w14:paraId="1243331C" w14:textId="77777777" w:rsidR="00E1374A" w:rsidRPr="00B90399" w:rsidRDefault="00E1374A" w:rsidP="007F4626">
            <w:pPr>
              <w:numPr>
                <w:ilvl w:val="0"/>
                <w:numId w:val="23"/>
              </w:numPr>
              <w:spacing w:after="60" w:line="240" w:lineRule="auto"/>
              <w:ind w:left="26" w:hanging="76"/>
              <w:contextualSpacing/>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Deterioro del valor,</w:t>
            </w:r>
          </w:p>
          <w:p w14:paraId="370C8334" w14:textId="77777777" w:rsidR="00E1374A" w:rsidRPr="00B90399" w:rsidRDefault="00E1374A" w:rsidP="007F4626">
            <w:pPr>
              <w:numPr>
                <w:ilvl w:val="0"/>
                <w:numId w:val="23"/>
              </w:numPr>
              <w:spacing w:after="60" w:line="240" w:lineRule="auto"/>
              <w:ind w:left="26" w:hanging="76"/>
              <w:contextualSpacing/>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Reconocimiento de pérdidas por deterioro,</w:t>
            </w:r>
          </w:p>
          <w:p w14:paraId="7612270C" w14:textId="77777777" w:rsidR="00E1374A" w:rsidRPr="00B90399" w:rsidRDefault="00E1374A" w:rsidP="007F4626">
            <w:pPr>
              <w:numPr>
                <w:ilvl w:val="0"/>
                <w:numId w:val="23"/>
              </w:numPr>
              <w:spacing w:after="60" w:line="240" w:lineRule="auto"/>
              <w:ind w:left="26" w:hanging="76"/>
              <w:contextualSpacing/>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Reconocimiento de reversiones de pérdidas por deterioro,</w:t>
            </w:r>
          </w:p>
          <w:p w14:paraId="3170EA4D" w14:textId="77777777" w:rsidR="00E1374A" w:rsidRPr="00B90399" w:rsidRDefault="00E1374A" w:rsidP="007F4626">
            <w:pPr>
              <w:numPr>
                <w:ilvl w:val="0"/>
                <w:numId w:val="23"/>
              </w:numPr>
              <w:spacing w:after="60" w:line="240" w:lineRule="auto"/>
              <w:ind w:left="26" w:hanging="76"/>
              <w:contextualSpacing/>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Reversión de pérdidas por deterioro para unidades generadoras de efectivo,</w:t>
            </w:r>
          </w:p>
          <w:p w14:paraId="53D95806" w14:textId="77777777" w:rsidR="00E1374A" w:rsidRPr="00B90399" w:rsidRDefault="00E1374A" w:rsidP="007F4626">
            <w:pPr>
              <w:numPr>
                <w:ilvl w:val="0"/>
                <w:numId w:val="23"/>
              </w:numPr>
              <w:spacing w:after="60" w:line="240" w:lineRule="auto"/>
              <w:ind w:left="26" w:hanging="76"/>
              <w:contextualSpacing/>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Depreciaciones de bienes,</w:t>
            </w:r>
          </w:p>
          <w:p w14:paraId="5412C608" w14:textId="77777777" w:rsidR="00E1374A" w:rsidRPr="00B90399" w:rsidRDefault="00E1374A" w:rsidP="007F4626">
            <w:pPr>
              <w:numPr>
                <w:ilvl w:val="0"/>
                <w:numId w:val="23"/>
              </w:numPr>
              <w:spacing w:after="60" w:line="240" w:lineRule="auto"/>
              <w:ind w:left="26" w:hanging="76"/>
              <w:contextualSpacing/>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Cargo por depreciación</w:t>
            </w:r>
          </w:p>
        </w:tc>
      </w:tr>
      <w:tr w:rsidR="00E1374A" w:rsidRPr="00B90399" w14:paraId="777F69AF" w14:textId="77777777" w:rsidTr="007B0BB6">
        <w:trPr>
          <w:trHeight w:val="236"/>
        </w:trPr>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8D135B" w14:textId="77777777" w:rsidR="00E1374A" w:rsidRPr="00B90399" w:rsidRDefault="00E1374A" w:rsidP="007B0BB6">
            <w:pPr>
              <w:spacing w:after="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1.227,</w:t>
            </w:r>
          </w:p>
          <w:p w14:paraId="6B2C519D" w14:textId="77777777" w:rsidR="00E1374A" w:rsidRPr="00B90399" w:rsidRDefault="00E1374A" w:rsidP="007B0BB6">
            <w:pPr>
              <w:spacing w:after="18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1.231,</w:t>
            </w:r>
          </w:p>
          <w:p w14:paraId="1E43DFC9" w14:textId="77777777" w:rsidR="00E1374A" w:rsidRPr="00B90399" w:rsidRDefault="00E1374A" w:rsidP="007B0BB6">
            <w:pPr>
              <w:spacing w:after="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1.232,</w:t>
            </w:r>
          </w:p>
          <w:p w14:paraId="2CECDD4A" w14:textId="77777777" w:rsidR="00E1374A" w:rsidRPr="00B90399" w:rsidRDefault="00E1374A" w:rsidP="007B0BB6">
            <w:pPr>
              <w:spacing w:after="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1.236,</w:t>
            </w:r>
          </w:p>
          <w:p w14:paraId="15F22D5D" w14:textId="77777777" w:rsidR="00E1374A" w:rsidRPr="00B90399" w:rsidRDefault="00E1374A" w:rsidP="007B0BB6">
            <w:pPr>
              <w:spacing w:after="18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1.237,</w:t>
            </w:r>
          </w:p>
          <w:p w14:paraId="06C2F539" w14:textId="77777777" w:rsidR="00E1374A" w:rsidRPr="00B90399" w:rsidRDefault="00E1374A" w:rsidP="007B0BB6">
            <w:pPr>
              <w:spacing w:after="18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1.239,</w:t>
            </w:r>
          </w:p>
          <w:p w14:paraId="0046342C" w14:textId="77777777" w:rsidR="00E1374A" w:rsidRPr="00B90399" w:rsidRDefault="00E1374A" w:rsidP="007B0BB6">
            <w:pPr>
              <w:spacing w:after="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1.249</w:t>
            </w:r>
          </w:p>
        </w:tc>
        <w:tc>
          <w:tcPr>
            <w:tcW w:w="719" w:type="pct"/>
            <w:tcBorders>
              <w:top w:val="single" w:sz="4" w:space="0" w:color="auto"/>
              <w:left w:val="nil"/>
              <w:bottom w:val="single" w:sz="4" w:space="0" w:color="auto"/>
              <w:right w:val="single" w:sz="4" w:space="0" w:color="auto"/>
            </w:tcBorders>
            <w:shd w:val="clear" w:color="auto" w:fill="auto"/>
            <w:vAlign w:val="center"/>
          </w:tcPr>
          <w:p w14:paraId="204C32C2" w14:textId="77777777" w:rsidR="00E1374A" w:rsidRPr="00B90399" w:rsidRDefault="00E1374A" w:rsidP="007B0BB6">
            <w:pPr>
              <w:spacing w:after="0" w:line="240" w:lineRule="auto"/>
              <w:jc w:val="center"/>
              <w:rPr>
                <w:rFonts w:eastAsia="Times New Roman" w:cs="Calibri"/>
                <w:color w:val="000000"/>
                <w:sz w:val="16"/>
                <w:szCs w:val="16"/>
                <w:lang w:eastAsia="es-CR"/>
              </w:rPr>
            </w:pPr>
            <w:r w:rsidRPr="00B90399">
              <w:rPr>
                <w:rFonts w:eastAsia="Times New Roman" w:cs="Calibri"/>
                <w:color w:val="000000"/>
                <w:sz w:val="16"/>
                <w:szCs w:val="16"/>
                <w:lang w:eastAsia="es-CR"/>
              </w:rPr>
              <w:t>Activo no corriente</w:t>
            </w:r>
          </w:p>
        </w:tc>
        <w:tc>
          <w:tcPr>
            <w:tcW w:w="1519" w:type="pct"/>
            <w:tcBorders>
              <w:top w:val="single" w:sz="4" w:space="0" w:color="auto"/>
              <w:left w:val="nil"/>
              <w:bottom w:val="single" w:sz="4" w:space="0" w:color="auto"/>
              <w:right w:val="single" w:sz="4" w:space="0" w:color="auto"/>
            </w:tcBorders>
            <w:shd w:val="clear" w:color="auto" w:fill="auto"/>
            <w:noWrap/>
            <w:vAlign w:val="bottom"/>
          </w:tcPr>
          <w:p w14:paraId="26440DDA" w14:textId="77777777" w:rsidR="00E1374A" w:rsidRPr="00B90399" w:rsidRDefault="00E1374A" w:rsidP="007B0BB6">
            <w:pPr>
              <w:spacing w:after="900" w:line="240" w:lineRule="auto"/>
              <w:jc w:val="center"/>
              <w:rPr>
                <w:rFonts w:eastAsia="Times New Roman" w:cs="Calibri"/>
                <w:color w:val="000000"/>
                <w:sz w:val="16"/>
                <w:szCs w:val="16"/>
                <w:lang w:eastAsia="es-CR"/>
              </w:rPr>
            </w:pPr>
            <w:r w:rsidRPr="00B90399">
              <w:rPr>
                <w:rFonts w:eastAsia="Times New Roman" w:cs="Calibri"/>
                <w:color w:val="000000"/>
                <w:sz w:val="16"/>
                <w:szCs w:val="16"/>
                <w:lang w:eastAsia="es-CR"/>
              </w:rPr>
              <w:t>Bienes Intangibles</w:t>
            </w:r>
          </w:p>
        </w:tc>
        <w:tc>
          <w:tcPr>
            <w:tcW w:w="780" w:type="pct"/>
            <w:tcBorders>
              <w:top w:val="single" w:sz="4" w:space="0" w:color="auto"/>
              <w:left w:val="nil"/>
              <w:bottom w:val="single" w:sz="4" w:space="0" w:color="auto"/>
              <w:right w:val="single" w:sz="4" w:space="0" w:color="auto"/>
            </w:tcBorders>
            <w:shd w:val="clear" w:color="auto" w:fill="auto"/>
            <w:noWrap/>
            <w:vAlign w:val="bottom"/>
          </w:tcPr>
          <w:p w14:paraId="1BD4301A" w14:textId="77777777" w:rsidR="00E1374A" w:rsidRPr="00B90399" w:rsidRDefault="00E1374A" w:rsidP="007B0BB6">
            <w:pPr>
              <w:spacing w:after="900" w:line="240" w:lineRule="auto"/>
              <w:jc w:val="left"/>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NICSP 31</w:t>
            </w:r>
          </w:p>
        </w:tc>
        <w:tc>
          <w:tcPr>
            <w:tcW w:w="1608" w:type="pct"/>
            <w:tcBorders>
              <w:top w:val="single" w:sz="4" w:space="0" w:color="auto"/>
              <w:left w:val="nil"/>
              <w:bottom w:val="single" w:sz="4" w:space="0" w:color="auto"/>
              <w:right w:val="single" w:sz="4" w:space="0" w:color="auto"/>
            </w:tcBorders>
            <w:shd w:val="clear" w:color="auto" w:fill="auto"/>
            <w:noWrap/>
            <w:vAlign w:val="bottom"/>
          </w:tcPr>
          <w:p w14:paraId="364608FF" w14:textId="77777777" w:rsidR="00E1374A" w:rsidRPr="00B90399" w:rsidRDefault="00E1374A" w:rsidP="007F4626">
            <w:pPr>
              <w:numPr>
                <w:ilvl w:val="0"/>
                <w:numId w:val="23"/>
              </w:numPr>
              <w:spacing w:after="60" w:line="240" w:lineRule="auto"/>
              <w:ind w:left="26" w:hanging="76"/>
              <w:contextualSpacing/>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Alcance</w:t>
            </w:r>
          </w:p>
          <w:p w14:paraId="37D3F747" w14:textId="77777777" w:rsidR="00E1374A" w:rsidRPr="00B90399" w:rsidRDefault="00E1374A" w:rsidP="007F4626">
            <w:pPr>
              <w:numPr>
                <w:ilvl w:val="0"/>
                <w:numId w:val="23"/>
              </w:numPr>
              <w:spacing w:after="60" w:line="240" w:lineRule="auto"/>
              <w:ind w:left="26" w:hanging="76"/>
              <w:contextualSpacing/>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Bienes intangibles del patrimonio histórico-artístico y/o cultural,</w:t>
            </w:r>
          </w:p>
          <w:p w14:paraId="59C2340F" w14:textId="77777777" w:rsidR="00E1374A" w:rsidRPr="00B90399" w:rsidRDefault="00E1374A" w:rsidP="007F4626">
            <w:pPr>
              <w:numPr>
                <w:ilvl w:val="0"/>
                <w:numId w:val="23"/>
              </w:numPr>
              <w:spacing w:after="60" w:line="240" w:lineRule="auto"/>
              <w:ind w:left="26" w:hanging="76"/>
              <w:contextualSpacing/>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Condiciones previas al reconocimiento,</w:t>
            </w:r>
          </w:p>
          <w:p w14:paraId="0A54186A" w14:textId="77777777" w:rsidR="00E1374A" w:rsidRPr="00B90399" w:rsidRDefault="00E1374A" w:rsidP="007F4626">
            <w:pPr>
              <w:numPr>
                <w:ilvl w:val="0"/>
                <w:numId w:val="23"/>
              </w:numPr>
              <w:spacing w:after="60" w:line="240" w:lineRule="auto"/>
              <w:ind w:left="26" w:hanging="76"/>
              <w:contextualSpacing/>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Medición inicial,</w:t>
            </w:r>
          </w:p>
          <w:p w14:paraId="573962BD" w14:textId="77777777" w:rsidR="00E1374A" w:rsidRPr="00B90399" w:rsidRDefault="00E1374A" w:rsidP="007F4626">
            <w:pPr>
              <w:numPr>
                <w:ilvl w:val="0"/>
                <w:numId w:val="23"/>
              </w:numPr>
              <w:spacing w:after="60" w:line="240" w:lineRule="auto"/>
              <w:ind w:left="26" w:hanging="76"/>
              <w:contextualSpacing/>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Costo de un activo intangible de forma separada,</w:t>
            </w:r>
          </w:p>
          <w:p w14:paraId="4F8DCA65" w14:textId="77777777" w:rsidR="00E1374A" w:rsidRPr="00B90399" w:rsidRDefault="00E1374A" w:rsidP="007F4626">
            <w:pPr>
              <w:numPr>
                <w:ilvl w:val="0"/>
                <w:numId w:val="23"/>
              </w:numPr>
              <w:spacing w:after="60" w:line="240" w:lineRule="auto"/>
              <w:ind w:left="26" w:hanging="76"/>
              <w:contextualSpacing/>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Costo de un activo intangible generado internamente,</w:t>
            </w:r>
          </w:p>
          <w:p w14:paraId="0D9A6773" w14:textId="77777777" w:rsidR="00E1374A" w:rsidRPr="00B90399" w:rsidRDefault="00E1374A" w:rsidP="007F4626">
            <w:pPr>
              <w:numPr>
                <w:ilvl w:val="0"/>
                <w:numId w:val="23"/>
              </w:numPr>
              <w:spacing w:after="60" w:line="240" w:lineRule="auto"/>
              <w:ind w:left="26" w:hanging="76"/>
              <w:contextualSpacing/>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Medición posterior al inicio</w:t>
            </w:r>
          </w:p>
        </w:tc>
      </w:tr>
      <w:tr w:rsidR="00E1374A" w:rsidRPr="00B90399" w14:paraId="056248A8" w14:textId="77777777" w:rsidTr="007B0BB6">
        <w:trPr>
          <w:trHeight w:val="236"/>
        </w:trPr>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0666A4" w14:textId="77777777" w:rsidR="00E1374A" w:rsidRPr="00B90399" w:rsidRDefault="00E1374A" w:rsidP="007B0BB6">
            <w:pPr>
              <w:spacing w:after="6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1.270,</w:t>
            </w:r>
          </w:p>
          <w:p w14:paraId="069C9C64" w14:textId="77777777" w:rsidR="00E1374A" w:rsidRPr="00B90399" w:rsidRDefault="00E1374A" w:rsidP="007B0BB6">
            <w:pPr>
              <w:spacing w:after="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1.271</w:t>
            </w:r>
          </w:p>
          <w:p w14:paraId="412850B7" w14:textId="77777777" w:rsidR="00E1374A" w:rsidRPr="00B90399" w:rsidRDefault="00E1374A" w:rsidP="007B0BB6">
            <w:pPr>
              <w:spacing w:after="0" w:line="240" w:lineRule="auto"/>
              <w:jc w:val="center"/>
              <w:rPr>
                <w:rFonts w:ascii="Calibri" w:eastAsia="Times New Roman" w:hAnsi="Calibri" w:cs="Calibri"/>
                <w:color w:val="000000"/>
                <w:sz w:val="16"/>
                <w:szCs w:val="16"/>
                <w:lang w:eastAsia="es-CR"/>
              </w:rPr>
            </w:pPr>
          </w:p>
        </w:tc>
        <w:tc>
          <w:tcPr>
            <w:tcW w:w="719" w:type="pct"/>
            <w:tcBorders>
              <w:top w:val="single" w:sz="4" w:space="0" w:color="auto"/>
              <w:left w:val="nil"/>
              <w:bottom w:val="single" w:sz="4" w:space="0" w:color="auto"/>
              <w:right w:val="single" w:sz="4" w:space="0" w:color="auto"/>
            </w:tcBorders>
            <w:shd w:val="clear" w:color="auto" w:fill="auto"/>
            <w:vAlign w:val="center"/>
          </w:tcPr>
          <w:p w14:paraId="42AD52A6" w14:textId="77777777" w:rsidR="00E1374A" w:rsidRPr="00B90399" w:rsidRDefault="00E1374A" w:rsidP="007B0BB6">
            <w:pPr>
              <w:spacing w:after="0" w:line="240" w:lineRule="auto"/>
              <w:jc w:val="center"/>
              <w:rPr>
                <w:rFonts w:eastAsia="Times New Roman" w:cs="Calibri"/>
                <w:color w:val="000000"/>
                <w:sz w:val="16"/>
                <w:szCs w:val="16"/>
                <w:lang w:eastAsia="es-CR"/>
              </w:rPr>
            </w:pPr>
            <w:r w:rsidRPr="00B90399">
              <w:rPr>
                <w:rFonts w:eastAsia="Times New Roman" w:cs="Calibri"/>
                <w:color w:val="000000"/>
                <w:sz w:val="16"/>
                <w:szCs w:val="16"/>
                <w:lang w:eastAsia="es-CR"/>
              </w:rPr>
              <w:t>Activo corriente</w:t>
            </w:r>
          </w:p>
        </w:tc>
        <w:tc>
          <w:tcPr>
            <w:tcW w:w="1519" w:type="pct"/>
            <w:tcBorders>
              <w:top w:val="single" w:sz="4" w:space="0" w:color="auto"/>
              <w:left w:val="nil"/>
              <w:bottom w:val="single" w:sz="4" w:space="0" w:color="auto"/>
              <w:right w:val="single" w:sz="4" w:space="0" w:color="auto"/>
            </w:tcBorders>
            <w:shd w:val="clear" w:color="auto" w:fill="auto"/>
            <w:noWrap/>
            <w:vAlign w:val="bottom"/>
          </w:tcPr>
          <w:p w14:paraId="0E487FCD" w14:textId="77777777" w:rsidR="00E1374A" w:rsidRPr="00B90399" w:rsidRDefault="00E1374A" w:rsidP="007B0BB6">
            <w:pPr>
              <w:spacing w:after="240" w:line="240" w:lineRule="auto"/>
              <w:jc w:val="center"/>
              <w:rPr>
                <w:rFonts w:eastAsia="Times New Roman" w:cs="Calibri"/>
                <w:color w:val="000000"/>
                <w:sz w:val="16"/>
                <w:szCs w:val="16"/>
                <w:lang w:eastAsia="es-CR"/>
              </w:rPr>
            </w:pPr>
            <w:r w:rsidRPr="00B90399">
              <w:rPr>
                <w:rFonts w:eastAsia="Times New Roman" w:cs="Calibri"/>
                <w:color w:val="000000"/>
                <w:sz w:val="16"/>
                <w:szCs w:val="16"/>
                <w:lang w:eastAsia="es-CR"/>
              </w:rPr>
              <w:t>Activos Contingentes</w:t>
            </w:r>
          </w:p>
        </w:tc>
        <w:tc>
          <w:tcPr>
            <w:tcW w:w="780" w:type="pct"/>
            <w:tcBorders>
              <w:top w:val="single" w:sz="4" w:space="0" w:color="auto"/>
              <w:left w:val="nil"/>
              <w:bottom w:val="single" w:sz="4" w:space="0" w:color="auto"/>
              <w:right w:val="single" w:sz="4" w:space="0" w:color="auto"/>
            </w:tcBorders>
            <w:shd w:val="clear" w:color="auto" w:fill="auto"/>
            <w:noWrap/>
            <w:vAlign w:val="bottom"/>
          </w:tcPr>
          <w:p w14:paraId="0E5B989E" w14:textId="6C47DE9E" w:rsidR="00E1374A" w:rsidRPr="00B90399" w:rsidRDefault="00E1374A" w:rsidP="007B0BB6">
            <w:pPr>
              <w:spacing w:after="240" w:line="240" w:lineRule="auto"/>
              <w:jc w:val="center"/>
              <w:rPr>
                <w:rFonts w:eastAsia="Times New Roman" w:cs="Calibri"/>
                <w:color w:val="000000"/>
                <w:sz w:val="16"/>
                <w:szCs w:val="16"/>
                <w:lang w:eastAsia="es-CR"/>
              </w:rPr>
            </w:pPr>
            <w:r w:rsidRPr="00B90399">
              <w:rPr>
                <w:rFonts w:eastAsia="Times New Roman" w:cs="Calibri"/>
                <w:color w:val="000000"/>
                <w:sz w:val="16"/>
                <w:szCs w:val="16"/>
                <w:lang w:eastAsia="es-CR"/>
              </w:rPr>
              <w:t>NICSP28,29,</w:t>
            </w:r>
            <w:r w:rsidR="00796636">
              <w:rPr>
                <w:rFonts w:eastAsia="Times New Roman" w:cs="Calibri"/>
                <w:color w:val="000000"/>
                <w:sz w:val="16"/>
                <w:szCs w:val="16"/>
                <w:lang w:eastAsia="es-CR"/>
              </w:rPr>
              <w:t>31</w:t>
            </w:r>
          </w:p>
        </w:tc>
        <w:tc>
          <w:tcPr>
            <w:tcW w:w="1608" w:type="pct"/>
            <w:tcBorders>
              <w:top w:val="single" w:sz="4" w:space="0" w:color="auto"/>
              <w:left w:val="nil"/>
              <w:bottom w:val="single" w:sz="4" w:space="0" w:color="auto"/>
              <w:right w:val="single" w:sz="4" w:space="0" w:color="auto"/>
            </w:tcBorders>
            <w:shd w:val="clear" w:color="auto" w:fill="auto"/>
            <w:noWrap/>
            <w:vAlign w:val="bottom"/>
          </w:tcPr>
          <w:p w14:paraId="6AFAA144" w14:textId="77777777" w:rsidR="00E1374A" w:rsidRPr="00B90399" w:rsidRDefault="00E1374A" w:rsidP="007F4626">
            <w:pPr>
              <w:numPr>
                <w:ilvl w:val="0"/>
                <w:numId w:val="23"/>
              </w:numPr>
              <w:spacing w:after="60" w:line="240" w:lineRule="auto"/>
              <w:ind w:left="26" w:hanging="76"/>
              <w:contextualSpacing/>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Identificación de activos contingentes,</w:t>
            </w:r>
          </w:p>
          <w:p w14:paraId="2C098C90" w14:textId="77777777" w:rsidR="00E1374A" w:rsidRPr="00B90399" w:rsidRDefault="00E1374A" w:rsidP="007F4626">
            <w:pPr>
              <w:numPr>
                <w:ilvl w:val="0"/>
                <w:numId w:val="23"/>
              </w:numPr>
              <w:spacing w:after="60" w:line="240" w:lineRule="auto"/>
              <w:ind w:left="26" w:hanging="76"/>
              <w:contextualSpacing/>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Reconocimiento de un activo contingente,</w:t>
            </w:r>
          </w:p>
        </w:tc>
      </w:tr>
      <w:tr w:rsidR="00E1374A" w:rsidRPr="00B90399" w14:paraId="60858F94" w14:textId="77777777" w:rsidTr="007B0BB6">
        <w:trPr>
          <w:trHeight w:val="236"/>
        </w:trPr>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8A0E6E" w14:textId="77777777" w:rsidR="00E1374A" w:rsidRPr="00B90399" w:rsidRDefault="00E1374A" w:rsidP="007B0BB6">
            <w:pPr>
              <w:spacing w:after="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2.1,</w:t>
            </w:r>
          </w:p>
          <w:p w14:paraId="19584AAF" w14:textId="77777777" w:rsidR="00E1374A" w:rsidRPr="00B90399" w:rsidRDefault="00E1374A" w:rsidP="007B0BB6">
            <w:pPr>
              <w:spacing w:after="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2.23</w:t>
            </w:r>
          </w:p>
          <w:p w14:paraId="6B35E24E" w14:textId="77777777" w:rsidR="00E1374A" w:rsidRPr="00B90399" w:rsidRDefault="00E1374A" w:rsidP="007B0BB6">
            <w:pPr>
              <w:spacing w:after="0" w:line="240" w:lineRule="auto"/>
              <w:jc w:val="center"/>
              <w:rPr>
                <w:rFonts w:ascii="Calibri" w:eastAsia="Times New Roman" w:hAnsi="Calibri" w:cs="Calibri"/>
                <w:color w:val="000000"/>
                <w:sz w:val="16"/>
                <w:szCs w:val="16"/>
                <w:lang w:eastAsia="es-CR"/>
              </w:rPr>
            </w:pPr>
          </w:p>
        </w:tc>
        <w:tc>
          <w:tcPr>
            <w:tcW w:w="719" w:type="pct"/>
            <w:tcBorders>
              <w:top w:val="single" w:sz="4" w:space="0" w:color="auto"/>
              <w:left w:val="nil"/>
              <w:bottom w:val="single" w:sz="4" w:space="0" w:color="auto"/>
              <w:right w:val="single" w:sz="4" w:space="0" w:color="auto"/>
            </w:tcBorders>
            <w:shd w:val="clear" w:color="auto" w:fill="auto"/>
            <w:vAlign w:val="center"/>
          </w:tcPr>
          <w:p w14:paraId="0D37B629" w14:textId="77777777" w:rsidR="00E1374A" w:rsidRPr="00B90399" w:rsidRDefault="00E1374A" w:rsidP="007B0BB6">
            <w:pPr>
              <w:spacing w:after="0" w:line="240" w:lineRule="auto"/>
              <w:jc w:val="center"/>
              <w:rPr>
                <w:rFonts w:eastAsia="Times New Roman" w:cs="Calibri"/>
                <w:color w:val="000000"/>
                <w:sz w:val="16"/>
                <w:szCs w:val="16"/>
                <w:lang w:eastAsia="es-CR"/>
              </w:rPr>
            </w:pPr>
            <w:r w:rsidRPr="00B90399">
              <w:rPr>
                <w:rFonts w:eastAsia="Times New Roman" w:cs="Calibri"/>
                <w:color w:val="000000"/>
                <w:sz w:val="16"/>
                <w:szCs w:val="16"/>
                <w:lang w:eastAsia="es-CR"/>
              </w:rPr>
              <w:t>Pasivo</w:t>
            </w:r>
          </w:p>
        </w:tc>
        <w:tc>
          <w:tcPr>
            <w:tcW w:w="1519" w:type="pct"/>
            <w:tcBorders>
              <w:top w:val="single" w:sz="4" w:space="0" w:color="auto"/>
              <w:left w:val="nil"/>
              <w:bottom w:val="single" w:sz="4" w:space="0" w:color="auto"/>
              <w:right w:val="single" w:sz="4" w:space="0" w:color="auto"/>
            </w:tcBorders>
            <w:shd w:val="clear" w:color="auto" w:fill="auto"/>
            <w:noWrap/>
            <w:vAlign w:val="bottom"/>
          </w:tcPr>
          <w:p w14:paraId="2D54050F" w14:textId="77777777" w:rsidR="00E1374A" w:rsidRPr="00B90399" w:rsidRDefault="00E1374A" w:rsidP="007B0BB6">
            <w:pPr>
              <w:spacing w:after="240" w:line="240" w:lineRule="auto"/>
              <w:jc w:val="center"/>
              <w:rPr>
                <w:rFonts w:eastAsia="Times New Roman" w:cs="Calibri"/>
                <w:color w:val="000000"/>
                <w:sz w:val="16"/>
                <w:szCs w:val="16"/>
                <w:lang w:eastAsia="es-CR"/>
              </w:rPr>
            </w:pPr>
            <w:r w:rsidRPr="00B90399">
              <w:rPr>
                <w:rFonts w:eastAsia="Times New Roman" w:cs="Calibri"/>
                <w:color w:val="000000"/>
                <w:sz w:val="16"/>
                <w:szCs w:val="16"/>
                <w:lang w:eastAsia="es-CR"/>
              </w:rPr>
              <w:t>Cuentas por Pagar</w:t>
            </w:r>
          </w:p>
        </w:tc>
        <w:tc>
          <w:tcPr>
            <w:tcW w:w="780" w:type="pct"/>
            <w:tcBorders>
              <w:top w:val="single" w:sz="4" w:space="0" w:color="auto"/>
              <w:left w:val="nil"/>
              <w:bottom w:val="single" w:sz="4" w:space="0" w:color="auto"/>
              <w:right w:val="single" w:sz="4" w:space="0" w:color="auto"/>
            </w:tcBorders>
            <w:shd w:val="clear" w:color="auto" w:fill="auto"/>
            <w:noWrap/>
            <w:vAlign w:val="bottom"/>
          </w:tcPr>
          <w:p w14:paraId="0B52D2D7" w14:textId="1D92170A" w:rsidR="00E1374A" w:rsidRPr="00B90399" w:rsidRDefault="00E1374A" w:rsidP="007B0BB6">
            <w:pPr>
              <w:spacing w:after="240" w:line="240" w:lineRule="auto"/>
              <w:jc w:val="center"/>
              <w:rPr>
                <w:rFonts w:eastAsia="Times New Roman" w:cs="Calibri"/>
                <w:color w:val="000000"/>
                <w:sz w:val="16"/>
                <w:szCs w:val="16"/>
                <w:lang w:eastAsia="es-CR"/>
              </w:rPr>
            </w:pPr>
            <w:r w:rsidRPr="00B90399">
              <w:rPr>
                <w:rFonts w:eastAsia="Times New Roman" w:cs="Calibri"/>
                <w:color w:val="000000"/>
                <w:sz w:val="16"/>
                <w:szCs w:val="16"/>
                <w:lang w:eastAsia="es-CR"/>
              </w:rPr>
              <w:t>NICSP28,29,</w:t>
            </w:r>
            <w:r w:rsidR="00796636">
              <w:rPr>
                <w:rFonts w:eastAsia="Times New Roman" w:cs="Calibri"/>
                <w:color w:val="000000"/>
                <w:sz w:val="16"/>
                <w:szCs w:val="16"/>
                <w:lang w:eastAsia="es-CR"/>
              </w:rPr>
              <w:t>31</w:t>
            </w:r>
          </w:p>
        </w:tc>
        <w:tc>
          <w:tcPr>
            <w:tcW w:w="1608" w:type="pct"/>
            <w:tcBorders>
              <w:top w:val="single" w:sz="4" w:space="0" w:color="auto"/>
              <w:left w:val="nil"/>
              <w:bottom w:val="single" w:sz="4" w:space="0" w:color="auto"/>
              <w:right w:val="single" w:sz="4" w:space="0" w:color="auto"/>
            </w:tcBorders>
            <w:shd w:val="clear" w:color="auto" w:fill="auto"/>
            <w:noWrap/>
            <w:vAlign w:val="bottom"/>
          </w:tcPr>
          <w:p w14:paraId="036F330A" w14:textId="77777777" w:rsidR="00E1374A" w:rsidRPr="00B90399" w:rsidRDefault="00E1374A" w:rsidP="007F4626">
            <w:pPr>
              <w:numPr>
                <w:ilvl w:val="0"/>
                <w:numId w:val="23"/>
              </w:numPr>
              <w:spacing w:after="0" w:line="240" w:lineRule="auto"/>
              <w:ind w:left="26" w:hanging="91"/>
              <w:contextualSpacing/>
              <w:jc w:val="left"/>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Reconocimiento de un pasivo,</w:t>
            </w:r>
          </w:p>
          <w:p w14:paraId="5C05AB32" w14:textId="77777777" w:rsidR="00E1374A" w:rsidRPr="00B90399" w:rsidRDefault="00E1374A" w:rsidP="007F4626">
            <w:pPr>
              <w:numPr>
                <w:ilvl w:val="0"/>
                <w:numId w:val="23"/>
              </w:numPr>
              <w:spacing w:after="0" w:line="240" w:lineRule="auto"/>
              <w:ind w:left="26" w:hanging="91"/>
              <w:contextualSpacing/>
              <w:jc w:val="left"/>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Cuentas por pagar (Reconocimiento y cancelación, Origen, formas</w:t>
            </w:r>
          </w:p>
        </w:tc>
      </w:tr>
      <w:tr w:rsidR="00E1374A" w:rsidRPr="00B90399" w14:paraId="51BE5D5C" w14:textId="77777777" w:rsidTr="007B0BB6">
        <w:trPr>
          <w:trHeight w:val="236"/>
        </w:trPr>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E2089D" w14:textId="77777777" w:rsidR="00E1374A" w:rsidRPr="00B90399" w:rsidRDefault="00E1374A" w:rsidP="007B0BB6">
            <w:pPr>
              <w:spacing w:after="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1.78.1</w:t>
            </w:r>
          </w:p>
          <w:p w14:paraId="407165CC" w14:textId="77777777" w:rsidR="00E1374A" w:rsidRPr="00B90399" w:rsidRDefault="00E1374A" w:rsidP="007B0BB6">
            <w:pPr>
              <w:spacing w:after="24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1.78.2,</w:t>
            </w:r>
          </w:p>
          <w:p w14:paraId="595B1933" w14:textId="77777777" w:rsidR="00E1374A" w:rsidRPr="00B90399" w:rsidRDefault="00E1374A" w:rsidP="007B0BB6">
            <w:pPr>
              <w:spacing w:before="60" w:after="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2.2,</w:t>
            </w:r>
          </w:p>
          <w:p w14:paraId="16E2AE6B" w14:textId="77777777" w:rsidR="00E1374A" w:rsidRPr="00B90399" w:rsidRDefault="00E1374A" w:rsidP="007B0BB6">
            <w:pPr>
              <w:spacing w:after="12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2.13,</w:t>
            </w:r>
          </w:p>
          <w:p w14:paraId="114A0023" w14:textId="77777777" w:rsidR="00E1374A" w:rsidRPr="00B90399" w:rsidRDefault="00E1374A" w:rsidP="007B0BB6">
            <w:pPr>
              <w:spacing w:after="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2.15,</w:t>
            </w:r>
          </w:p>
          <w:p w14:paraId="5EF3FA35" w14:textId="77777777" w:rsidR="00E1374A" w:rsidRPr="00B90399" w:rsidRDefault="00E1374A" w:rsidP="007B0BB6">
            <w:pPr>
              <w:spacing w:after="8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2.16,</w:t>
            </w:r>
          </w:p>
          <w:p w14:paraId="50D2A5A2" w14:textId="77777777" w:rsidR="00E1374A" w:rsidRPr="00B90399" w:rsidRDefault="00E1374A" w:rsidP="007B0BB6">
            <w:pPr>
              <w:spacing w:before="240" w:after="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2.20</w:t>
            </w:r>
          </w:p>
        </w:tc>
        <w:tc>
          <w:tcPr>
            <w:tcW w:w="719" w:type="pct"/>
            <w:tcBorders>
              <w:top w:val="single" w:sz="4" w:space="0" w:color="auto"/>
              <w:left w:val="nil"/>
              <w:bottom w:val="single" w:sz="4" w:space="0" w:color="auto"/>
              <w:right w:val="single" w:sz="4" w:space="0" w:color="auto"/>
            </w:tcBorders>
            <w:shd w:val="clear" w:color="auto" w:fill="auto"/>
            <w:vAlign w:val="center"/>
          </w:tcPr>
          <w:p w14:paraId="3C2924A6" w14:textId="77777777" w:rsidR="00E1374A" w:rsidRPr="00B90399" w:rsidRDefault="00E1374A" w:rsidP="007B0BB6">
            <w:pPr>
              <w:spacing w:before="120" w:after="0" w:line="240" w:lineRule="auto"/>
              <w:jc w:val="center"/>
              <w:rPr>
                <w:rFonts w:eastAsia="Times New Roman" w:cs="Calibri"/>
                <w:color w:val="000000"/>
                <w:sz w:val="16"/>
                <w:szCs w:val="16"/>
                <w:lang w:eastAsia="es-CR"/>
              </w:rPr>
            </w:pPr>
            <w:r w:rsidRPr="00B90399">
              <w:rPr>
                <w:rFonts w:eastAsia="Times New Roman" w:cs="Calibri"/>
                <w:color w:val="000000"/>
                <w:sz w:val="16"/>
                <w:szCs w:val="16"/>
                <w:lang w:eastAsia="es-CR"/>
              </w:rPr>
              <w:t>Pasivo</w:t>
            </w:r>
          </w:p>
        </w:tc>
        <w:tc>
          <w:tcPr>
            <w:tcW w:w="1519" w:type="pct"/>
            <w:tcBorders>
              <w:top w:val="single" w:sz="4" w:space="0" w:color="auto"/>
              <w:left w:val="nil"/>
              <w:bottom w:val="single" w:sz="4" w:space="0" w:color="auto"/>
              <w:right w:val="single" w:sz="4" w:space="0" w:color="auto"/>
            </w:tcBorders>
            <w:shd w:val="clear" w:color="auto" w:fill="auto"/>
            <w:noWrap/>
            <w:vAlign w:val="bottom"/>
          </w:tcPr>
          <w:p w14:paraId="116FC442" w14:textId="77777777" w:rsidR="00E1374A" w:rsidRPr="00B90399" w:rsidRDefault="00E1374A" w:rsidP="007B0BB6">
            <w:pPr>
              <w:spacing w:before="240" w:after="600" w:line="240" w:lineRule="auto"/>
              <w:jc w:val="center"/>
              <w:rPr>
                <w:rFonts w:eastAsia="Times New Roman" w:cs="Calibri"/>
                <w:color w:val="000000"/>
                <w:sz w:val="16"/>
                <w:szCs w:val="16"/>
                <w:lang w:eastAsia="es-CR"/>
              </w:rPr>
            </w:pPr>
            <w:r w:rsidRPr="00B90399">
              <w:rPr>
                <w:rFonts w:eastAsia="Times New Roman" w:cs="Calibri"/>
                <w:color w:val="000000"/>
                <w:sz w:val="16"/>
                <w:szCs w:val="16"/>
                <w:lang w:eastAsia="es-CR"/>
              </w:rPr>
              <w:t>Préstamo por Pagar</w:t>
            </w:r>
          </w:p>
        </w:tc>
        <w:tc>
          <w:tcPr>
            <w:tcW w:w="780" w:type="pct"/>
            <w:tcBorders>
              <w:top w:val="single" w:sz="4" w:space="0" w:color="auto"/>
              <w:left w:val="nil"/>
              <w:bottom w:val="single" w:sz="4" w:space="0" w:color="auto"/>
              <w:right w:val="single" w:sz="4" w:space="0" w:color="auto"/>
            </w:tcBorders>
            <w:shd w:val="clear" w:color="auto" w:fill="auto"/>
            <w:noWrap/>
            <w:vAlign w:val="bottom"/>
          </w:tcPr>
          <w:p w14:paraId="07C8C430" w14:textId="4ADE8747" w:rsidR="00E1374A" w:rsidRPr="00B90399" w:rsidRDefault="00E1374A" w:rsidP="007B0BB6">
            <w:pPr>
              <w:spacing w:before="240" w:after="600" w:line="240" w:lineRule="auto"/>
              <w:jc w:val="center"/>
              <w:rPr>
                <w:rFonts w:eastAsia="Times New Roman" w:cs="Calibri"/>
                <w:color w:val="000000"/>
                <w:sz w:val="16"/>
                <w:szCs w:val="16"/>
                <w:lang w:eastAsia="es-CR"/>
              </w:rPr>
            </w:pPr>
            <w:r w:rsidRPr="00B90399">
              <w:rPr>
                <w:rFonts w:eastAsia="Times New Roman" w:cs="Calibri"/>
                <w:color w:val="000000"/>
                <w:sz w:val="16"/>
                <w:szCs w:val="16"/>
                <w:lang w:eastAsia="es-CR"/>
              </w:rPr>
              <w:t>NICSP28,29,</w:t>
            </w:r>
            <w:r w:rsidR="00796636">
              <w:rPr>
                <w:rFonts w:eastAsia="Times New Roman" w:cs="Calibri"/>
                <w:color w:val="000000"/>
                <w:sz w:val="16"/>
                <w:szCs w:val="16"/>
                <w:lang w:eastAsia="es-CR"/>
              </w:rPr>
              <w:t>31</w:t>
            </w:r>
          </w:p>
        </w:tc>
        <w:tc>
          <w:tcPr>
            <w:tcW w:w="1608" w:type="pct"/>
            <w:tcBorders>
              <w:top w:val="single" w:sz="4" w:space="0" w:color="auto"/>
              <w:left w:val="nil"/>
              <w:bottom w:val="single" w:sz="4" w:space="0" w:color="auto"/>
              <w:right w:val="single" w:sz="4" w:space="0" w:color="auto"/>
            </w:tcBorders>
            <w:shd w:val="clear" w:color="auto" w:fill="auto"/>
            <w:noWrap/>
            <w:vAlign w:val="bottom"/>
          </w:tcPr>
          <w:p w14:paraId="3C1B1F5C" w14:textId="77777777" w:rsidR="00E1374A" w:rsidRPr="00B90399" w:rsidRDefault="00E1374A" w:rsidP="007F4626">
            <w:pPr>
              <w:numPr>
                <w:ilvl w:val="0"/>
                <w:numId w:val="23"/>
              </w:numPr>
              <w:spacing w:after="0" w:line="240" w:lineRule="auto"/>
              <w:ind w:left="26" w:hanging="91"/>
              <w:contextualSpacing/>
              <w:jc w:val="left"/>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Costos por préstamos,</w:t>
            </w:r>
          </w:p>
          <w:p w14:paraId="778ECF8E" w14:textId="77777777" w:rsidR="00E1374A" w:rsidRPr="00B90399" w:rsidRDefault="00E1374A" w:rsidP="007F4626">
            <w:pPr>
              <w:numPr>
                <w:ilvl w:val="0"/>
                <w:numId w:val="23"/>
              </w:numPr>
              <w:spacing w:after="0" w:line="240" w:lineRule="auto"/>
              <w:ind w:left="26" w:hanging="91"/>
              <w:contextualSpacing/>
              <w:jc w:val="left"/>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Prohibición de capitalizar costos por préstamos,</w:t>
            </w:r>
          </w:p>
          <w:p w14:paraId="3CBD7133" w14:textId="77777777" w:rsidR="00E1374A" w:rsidRPr="00B90399" w:rsidRDefault="00E1374A" w:rsidP="007F4626">
            <w:pPr>
              <w:numPr>
                <w:ilvl w:val="0"/>
                <w:numId w:val="23"/>
              </w:numPr>
              <w:spacing w:after="0" w:line="240" w:lineRule="auto"/>
              <w:ind w:left="26" w:hanging="91"/>
              <w:contextualSpacing/>
              <w:jc w:val="left"/>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Pasivo financiero,</w:t>
            </w:r>
          </w:p>
          <w:p w14:paraId="4AAC79AF" w14:textId="77777777" w:rsidR="00E1374A" w:rsidRPr="00B90399" w:rsidRDefault="00E1374A" w:rsidP="007F4626">
            <w:pPr>
              <w:numPr>
                <w:ilvl w:val="0"/>
                <w:numId w:val="23"/>
              </w:numPr>
              <w:spacing w:after="0" w:line="240" w:lineRule="auto"/>
              <w:ind w:left="26" w:hanging="91"/>
              <w:contextualSpacing/>
              <w:jc w:val="left"/>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Reconocimiento inicial de pasivos financieros,</w:t>
            </w:r>
          </w:p>
          <w:p w14:paraId="55C50557" w14:textId="77777777" w:rsidR="00E1374A" w:rsidRPr="00B90399" w:rsidRDefault="00E1374A" w:rsidP="007F4626">
            <w:pPr>
              <w:numPr>
                <w:ilvl w:val="0"/>
                <w:numId w:val="23"/>
              </w:numPr>
              <w:spacing w:after="0" w:line="240" w:lineRule="auto"/>
              <w:ind w:left="26" w:hanging="91"/>
              <w:contextualSpacing/>
              <w:jc w:val="left"/>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Medición inicial,</w:t>
            </w:r>
          </w:p>
          <w:p w14:paraId="026AC17C" w14:textId="77777777" w:rsidR="00E1374A" w:rsidRPr="00B90399" w:rsidRDefault="00E1374A" w:rsidP="007F4626">
            <w:pPr>
              <w:numPr>
                <w:ilvl w:val="0"/>
                <w:numId w:val="23"/>
              </w:numPr>
              <w:spacing w:after="0" w:line="240" w:lineRule="auto"/>
              <w:ind w:left="26" w:hanging="91"/>
              <w:contextualSpacing/>
              <w:jc w:val="left"/>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Medición posterior de pasivos financieros,</w:t>
            </w:r>
          </w:p>
          <w:p w14:paraId="548D7495" w14:textId="77777777" w:rsidR="00E1374A" w:rsidRPr="00B90399" w:rsidRDefault="00E1374A" w:rsidP="007F4626">
            <w:pPr>
              <w:numPr>
                <w:ilvl w:val="0"/>
                <w:numId w:val="23"/>
              </w:numPr>
              <w:spacing w:after="0" w:line="240" w:lineRule="auto"/>
              <w:ind w:left="26" w:hanging="91"/>
              <w:contextualSpacing/>
              <w:jc w:val="left"/>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Hechos generados de la baja en cuentas</w:t>
            </w:r>
          </w:p>
        </w:tc>
      </w:tr>
      <w:tr w:rsidR="00E1374A" w:rsidRPr="00B90399" w14:paraId="2C863E5D" w14:textId="77777777" w:rsidTr="007B0BB6">
        <w:trPr>
          <w:trHeight w:val="236"/>
        </w:trPr>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106C1D" w14:textId="77777777" w:rsidR="00E1374A" w:rsidRPr="00B90399" w:rsidRDefault="00E1374A" w:rsidP="007B0BB6">
            <w:pPr>
              <w:spacing w:after="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2.29,</w:t>
            </w:r>
          </w:p>
          <w:p w14:paraId="04105846" w14:textId="3A8A616E" w:rsidR="00E1374A" w:rsidRPr="00B90399" w:rsidRDefault="00E1374A" w:rsidP="007B0BB6">
            <w:pPr>
              <w:spacing w:after="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2.</w:t>
            </w:r>
            <w:r w:rsidR="00796636">
              <w:rPr>
                <w:rFonts w:ascii="Calibri" w:eastAsia="Times New Roman" w:hAnsi="Calibri" w:cs="Calibri"/>
                <w:color w:val="000000"/>
                <w:sz w:val="16"/>
                <w:szCs w:val="16"/>
                <w:lang w:eastAsia="es-CR"/>
              </w:rPr>
              <w:t>31</w:t>
            </w:r>
          </w:p>
        </w:tc>
        <w:tc>
          <w:tcPr>
            <w:tcW w:w="719" w:type="pct"/>
            <w:tcBorders>
              <w:top w:val="single" w:sz="4" w:space="0" w:color="auto"/>
              <w:left w:val="nil"/>
              <w:bottom w:val="single" w:sz="4" w:space="0" w:color="auto"/>
              <w:right w:val="single" w:sz="4" w:space="0" w:color="auto"/>
            </w:tcBorders>
            <w:shd w:val="clear" w:color="auto" w:fill="auto"/>
            <w:vAlign w:val="center"/>
          </w:tcPr>
          <w:p w14:paraId="021730B4" w14:textId="77777777" w:rsidR="00E1374A" w:rsidRPr="00B90399" w:rsidRDefault="00E1374A" w:rsidP="007B0BB6">
            <w:pPr>
              <w:spacing w:after="0" w:line="240" w:lineRule="auto"/>
              <w:jc w:val="center"/>
              <w:rPr>
                <w:rFonts w:eastAsia="Times New Roman" w:cs="Calibri"/>
                <w:color w:val="000000"/>
                <w:sz w:val="16"/>
                <w:szCs w:val="16"/>
                <w:lang w:eastAsia="es-CR"/>
              </w:rPr>
            </w:pPr>
            <w:r w:rsidRPr="00B90399">
              <w:rPr>
                <w:rFonts w:eastAsia="Times New Roman" w:cs="Calibri"/>
                <w:color w:val="000000"/>
                <w:sz w:val="16"/>
                <w:szCs w:val="16"/>
                <w:lang w:eastAsia="es-CR"/>
              </w:rPr>
              <w:t>Pasivo</w:t>
            </w:r>
          </w:p>
        </w:tc>
        <w:tc>
          <w:tcPr>
            <w:tcW w:w="1519" w:type="pct"/>
            <w:tcBorders>
              <w:top w:val="single" w:sz="4" w:space="0" w:color="auto"/>
              <w:left w:val="nil"/>
              <w:bottom w:val="single" w:sz="4" w:space="0" w:color="auto"/>
              <w:right w:val="single" w:sz="4" w:space="0" w:color="auto"/>
            </w:tcBorders>
            <w:shd w:val="clear" w:color="auto" w:fill="auto"/>
            <w:noWrap/>
            <w:vAlign w:val="bottom"/>
          </w:tcPr>
          <w:p w14:paraId="4EB41081" w14:textId="77777777" w:rsidR="00E1374A" w:rsidRPr="00B90399" w:rsidRDefault="00E1374A" w:rsidP="007B0BB6">
            <w:pPr>
              <w:spacing w:after="120" w:line="240" w:lineRule="auto"/>
              <w:jc w:val="center"/>
              <w:rPr>
                <w:rFonts w:eastAsia="Times New Roman" w:cs="Calibri"/>
                <w:color w:val="000000"/>
                <w:sz w:val="16"/>
                <w:szCs w:val="16"/>
                <w:lang w:eastAsia="es-CR"/>
              </w:rPr>
            </w:pPr>
            <w:r w:rsidRPr="00B90399">
              <w:rPr>
                <w:rFonts w:eastAsia="Times New Roman" w:cs="Calibri"/>
                <w:color w:val="000000"/>
                <w:sz w:val="16"/>
                <w:szCs w:val="16"/>
                <w:lang w:eastAsia="es-CR"/>
              </w:rPr>
              <w:t>Anticipos recibidos</w:t>
            </w:r>
          </w:p>
        </w:tc>
        <w:tc>
          <w:tcPr>
            <w:tcW w:w="780" w:type="pct"/>
            <w:tcBorders>
              <w:top w:val="single" w:sz="4" w:space="0" w:color="auto"/>
              <w:left w:val="nil"/>
              <w:bottom w:val="single" w:sz="4" w:space="0" w:color="auto"/>
              <w:right w:val="single" w:sz="4" w:space="0" w:color="auto"/>
            </w:tcBorders>
            <w:shd w:val="clear" w:color="auto" w:fill="auto"/>
            <w:noWrap/>
            <w:vAlign w:val="bottom"/>
          </w:tcPr>
          <w:p w14:paraId="6CE9F7A9" w14:textId="4D364558" w:rsidR="00E1374A" w:rsidRPr="00B90399" w:rsidRDefault="00E1374A" w:rsidP="007B0BB6">
            <w:pPr>
              <w:spacing w:after="120" w:line="240" w:lineRule="auto"/>
              <w:jc w:val="center"/>
              <w:rPr>
                <w:rFonts w:eastAsia="Times New Roman" w:cs="Calibri"/>
                <w:color w:val="000000"/>
                <w:sz w:val="16"/>
                <w:szCs w:val="16"/>
                <w:lang w:eastAsia="es-CR"/>
              </w:rPr>
            </w:pPr>
            <w:r w:rsidRPr="00B90399">
              <w:rPr>
                <w:rFonts w:eastAsia="Times New Roman" w:cs="Calibri"/>
                <w:color w:val="000000"/>
                <w:sz w:val="16"/>
                <w:szCs w:val="16"/>
                <w:lang w:eastAsia="es-CR"/>
              </w:rPr>
              <w:t>NICSP 28,29,</w:t>
            </w:r>
            <w:r w:rsidR="00796636">
              <w:rPr>
                <w:rFonts w:eastAsia="Times New Roman" w:cs="Calibri"/>
                <w:color w:val="000000"/>
                <w:sz w:val="16"/>
                <w:szCs w:val="16"/>
                <w:lang w:eastAsia="es-CR"/>
              </w:rPr>
              <w:t>31</w:t>
            </w:r>
          </w:p>
        </w:tc>
        <w:tc>
          <w:tcPr>
            <w:tcW w:w="1608" w:type="pct"/>
            <w:tcBorders>
              <w:top w:val="single" w:sz="4" w:space="0" w:color="auto"/>
              <w:left w:val="nil"/>
              <w:bottom w:val="single" w:sz="4" w:space="0" w:color="auto"/>
              <w:right w:val="single" w:sz="4" w:space="0" w:color="auto"/>
            </w:tcBorders>
            <w:shd w:val="clear" w:color="auto" w:fill="auto"/>
            <w:noWrap/>
            <w:vAlign w:val="bottom"/>
          </w:tcPr>
          <w:p w14:paraId="66CEF438" w14:textId="77777777" w:rsidR="00E1374A" w:rsidRPr="00B90399" w:rsidRDefault="00E1374A" w:rsidP="007F4626">
            <w:pPr>
              <w:numPr>
                <w:ilvl w:val="0"/>
                <w:numId w:val="23"/>
              </w:numPr>
              <w:spacing w:after="0" w:line="240" w:lineRule="auto"/>
              <w:ind w:left="26" w:hanging="91"/>
              <w:contextualSpacing/>
              <w:jc w:val="left"/>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Anticipos de impuestos,</w:t>
            </w:r>
          </w:p>
          <w:p w14:paraId="2C7C02DA" w14:textId="77777777" w:rsidR="00E1374A" w:rsidRPr="00B90399" w:rsidRDefault="00E1374A" w:rsidP="007F4626">
            <w:pPr>
              <w:numPr>
                <w:ilvl w:val="0"/>
                <w:numId w:val="23"/>
              </w:numPr>
              <w:spacing w:after="0" w:line="240" w:lineRule="auto"/>
              <w:ind w:left="26" w:hanging="91"/>
              <w:contextualSpacing/>
              <w:jc w:val="left"/>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Cobros de transferencias por anticipado</w:t>
            </w:r>
          </w:p>
        </w:tc>
      </w:tr>
      <w:tr w:rsidR="00E1374A" w:rsidRPr="00B90399" w14:paraId="782F9BFE" w14:textId="77777777" w:rsidTr="007B0BB6">
        <w:trPr>
          <w:trHeight w:val="236"/>
        </w:trPr>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132F1B" w14:textId="77777777" w:rsidR="00E1374A" w:rsidRPr="00B90399" w:rsidRDefault="00E1374A" w:rsidP="007B0BB6">
            <w:pPr>
              <w:spacing w:after="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2.34,</w:t>
            </w:r>
          </w:p>
          <w:p w14:paraId="3C02F6ED" w14:textId="77777777" w:rsidR="00E1374A" w:rsidRPr="00B90399" w:rsidRDefault="00E1374A" w:rsidP="007B0BB6">
            <w:pPr>
              <w:spacing w:after="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2.35,</w:t>
            </w:r>
          </w:p>
          <w:p w14:paraId="58C7ACF3" w14:textId="77777777" w:rsidR="00E1374A" w:rsidRPr="00B90399" w:rsidRDefault="00E1374A" w:rsidP="007B0BB6">
            <w:pPr>
              <w:spacing w:after="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2.36,</w:t>
            </w:r>
          </w:p>
          <w:p w14:paraId="7F42D1B9" w14:textId="77777777" w:rsidR="00E1374A" w:rsidRPr="00B90399" w:rsidRDefault="00E1374A" w:rsidP="007B0BB6">
            <w:pPr>
              <w:spacing w:after="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2.37,</w:t>
            </w:r>
          </w:p>
          <w:p w14:paraId="4174922E" w14:textId="77777777" w:rsidR="00E1374A" w:rsidRPr="00B90399" w:rsidRDefault="00E1374A" w:rsidP="007B0BB6">
            <w:pPr>
              <w:spacing w:after="12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2.38,</w:t>
            </w:r>
          </w:p>
          <w:p w14:paraId="3018BED0" w14:textId="77777777" w:rsidR="00E1374A" w:rsidRPr="00B90399" w:rsidRDefault="00E1374A" w:rsidP="007B0BB6">
            <w:pPr>
              <w:spacing w:before="180" w:after="18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2.39,</w:t>
            </w:r>
          </w:p>
          <w:p w14:paraId="405CEBB5" w14:textId="77777777" w:rsidR="00E1374A" w:rsidRPr="00B90399" w:rsidRDefault="00E1374A" w:rsidP="007B0BB6">
            <w:pPr>
              <w:spacing w:after="18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2.40,</w:t>
            </w:r>
          </w:p>
          <w:p w14:paraId="47CB56CB" w14:textId="77777777" w:rsidR="00E1374A" w:rsidRPr="00B90399" w:rsidRDefault="00E1374A" w:rsidP="007B0BB6">
            <w:pPr>
              <w:spacing w:after="24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2.41,</w:t>
            </w:r>
          </w:p>
          <w:p w14:paraId="5ECD93FE" w14:textId="77777777" w:rsidR="00E1374A" w:rsidRPr="00B90399" w:rsidRDefault="00E1374A" w:rsidP="007B0BB6">
            <w:pPr>
              <w:spacing w:after="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2.42</w:t>
            </w:r>
          </w:p>
        </w:tc>
        <w:tc>
          <w:tcPr>
            <w:tcW w:w="719" w:type="pct"/>
            <w:tcBorders>
              <w:top w:val="single" w:sz="4" w:space="0" w:color="auto"/>
              <w:left w:val="nil"/>
              <w:bottom w:val="single" w:sz="4" w:space="0" w:color="auto"/>
              <w:right w:val="single" w:sz="4" w:space="0" w:color="auto"/>
            </w:tcBorders>
            <w:shd w:val="clear" w:color="auto" w:fill="auto"/>
            <w:vAlign w:val="center"/>
          </w:tcPr>
          <w:p w14:paraId="0FB366D8" w14:textId="77777777" w:rsidR="00E1374A" w:rsidRPr="00B90399" w:rsidRDefault="00E1374A" w:rsidP="007B0BB6">
            <w:pPr>
              <w:spacing w:after="0" w:line="240" w:lineRule="auto"/>
              <w:jc w:val="center"/>
              <w:rPr>
                <w:rFonts w:eastAsia="Times New Roman" w:cs="Calibri"/>
                <w:color w:val="000000"/>
                <w:sz w:val="16"/>
                <w:szCs w:val="16"/>
                <w:lang w:eastAsia="es-CR"/>
              </w:rPr>
            </w:pPr>
            <w:r w:rsidRPr="00B90399">
              <w:rPr>
                <w:rFonts w:eastAsia="Times New Roman" w:cs="Calibri"/>
                <w:color w:val="000000"/>
                <w:sz w:val="16"/>
                <w:szCs w:val="16"/>
                <w:lang w:eastAsia="es-CR"/>
              </w:rPr>
              <w:t>Pasivos</w:t>
            </w:r>
          </w:p>
        </w:tc>
        <w:tc>
          <w:tcPr>
            <w:tcW w:w="1519" w:type="pct"/>
            <w:tcBorders>
              <w:top w:val="single" w:sz="4" w:space="0" w:color="auto"/>
              <w:left w:val="nil"/>
              <w:bottom w:val="single" w:sz="4" w:space="0" w:color="auto"/>
              <w:right w:val="single" w:sz="4" w:space="0" w:color="auto"/>
            </w:tcBorders>
            <w:shd w:val="clear" w:color="auto" w:fill="auto"/>
            <w:noWrap/>
            <w:vAlign w:val="bottom"/>
          </w:tcPr>
          <w:p w14:paraId="707D31B3" w14:textId="77777777" w:rsidR="00E1374A" w:rsidRPr="00B90399" w:rsidRDefault="00E1374A" w:rsidP="007B0BB6">
            <w:pPr>
              <w:spacing w:after="1260" w:line="240" w:lineRule="auto"/>
              <w:jc w:val="center"/>
              <w:rPr>
                <w:rFonts w:eastAsia="Cambria" w:cs="Arial"/>
                <w:color w:val="000000"/>
                <w:sz w:val="16"/>
                <w:szCs w:val="16"/>
                <w:lang w:eastAsia="es-CR"/>
              </w:rPr>
            </w:pPr>
            <w:r w:rsidRPr="00B90399">
              <w:rPr>
                <w:rFonts w:eastAsia="Cambria" w:cs="Arial"/>
                <w:color w:val="000000"/>
                <w:sz w:val="16"/>
                <w:szCs w:val="16"/>
                <w:lang w:eastAsia="es-CR"/>
              </w:rPr>
              <w:t>Beneficios a los empleados</w:t>
            </w:r>
          </w:p>
        </w:tc>
        <w:tc>
          <w:tcPr>
            <w:tcW w:w="780" w:type="pct"/>
            <w:tcBorders>
              <w:top w:val="single" w:sz="4" w:space="0" w:color="auto"/>
              <w:left w:val="nil"/>
              <w:bottom w:val="single" w:sz="4" w:space="0" w:color="auto"/>
              <w:right w:val="single" w:sz="4" w:space="0" w:color="auto"/>
            </w:tcBorders>
            <w:shd w:val="clear" w:color="auto" w:fill="auto"/>
            <w:noWrap/>
            <w:vAlign w:val="bottom"/>
          </w:tcPr>
          <w:p w14:paraId="0DE899F0" w14:textId="77777777" w:rsidR="00E1374A" w:rsidRPr="00B90399" w:rsidRDefault="00E1374A" w:rsidP="007B0BB6">
            <w:pPr>
              <w:spacing w:after="126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NICSP 39</w:t>
            </w:r>
          </w:p>
        </w:tc>
        <w:tc>
          <w:tcPr>
            <w:tcW w:w="1608" w:type="pct"/>
            <w:tcBorders>
              <w:top w:val="single" w:sz="4" w:space="0" w:color="auto"/>
              <w:left w:val="nil"/>
              <w:bottom w:val="single" w:sz="4" w:space="0" w:color="auto"/>
              <w:right w:val="single" w:sz="4" w:space="0" w:color="auto"/>
            </w:tcBorders>
            <w:shd w:val="clear" w:color="auto" w:fill="auto"/>
            <w:noWrap/>
            <w:vAlign w:val="bottom"/>
          </w:tcPr>
          <w:p w14:paraId="2F66540C" w14:textId="77777777" w:rsidR="00E1374A" w:rsidRPr="00B90399" w:rsidRDefault="00E1374A" w:rsidP="007F4626">
            <w:pPr>
              <w:numPr>
                <w:ilvl w:val="0"/>
                <w:numId w:val="23"/>
              </w:numPr>
              <w:spacing w:after="0" w:line="240" w:lineRule="auto"/>
              <w:ind w:left="26" w:hanging="91"/>
              <w:contextualSpacing/>
              <w:jc w:val="left"/>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Beneficios a los empleados,</w:t>
            </w:r>
          </w:p>
          <w:p w14:paraId="03B30B42" w14:textId="77777777" w:rsidR="00E1374A" w:rsidRPr="00B90399" w:rsidRDefault="00E1374A" w:rsidP="007F4626">
            <w:pPr>
              <w:numPr>
                <w:ilvl w:val="0"/>
                <w:numId w:val="23"/>
              </w:numPr>
              <w:spacing w:after="0" w:line="240" w:lineRule="auto"/>
              <w:ind w:left="26" w:hanging="91"/>
              <w:contextualSpacing/>
              <w:jc w:val="left"/>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Alcance,</w:t>
            </w:r>
          </w:p>
          <w:p w14:paraId="06C38D9D" w14:textId="77777777" w:rsidR="00E1374A" w:rsidRPr="00B90399" w:rsidRDefault="00E1374A" w:rsidP="007F4626">
            <w:pPr>
              <w:numPr>
                <w:ilvl w:val="0"/>
                <w:numId w:val="23"/>
              </w:numPr>
              <w:spacing w:after="0" w:line="240" w:lineRule="auto"/>
              <w:ind w:left="26" w:hanging="91"/>
              <w:contextualSpacing/>
              <w:jc w:val="left"/>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Criterio general de reconocimiento,</w:t>
            </w:r>
          </w:p>
          <w:p w14:paraId="171C8113" w14:textId="77777777" w:rsidR="00E1374A" w:rsidRPr="00B90399" w:rsidRDefault="00E1374A" w:rsidP="007F4626">
            <w:pPr>
              <w:numPr>
                <w:ilvl w:val="0"/>
                <w:numId w:val="23"/>
              </w:numPr>
              <w:spacing w:after="0" w:line="240" w:lineRule="auto"/>
              <w:ind w:left="26" w:hanging="91"/>
              <w:contextualSpacing/>
              <w:jc w:val="left"/>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Categorías de beneficios a los empleados,</w:t>
            </w:r>
          </w:p>
          <w:p w14:paraId="3B9082DB" w14:textId="77777777" w:rsidR="00E1374A" w:rsidRPr="00B90399" w:rsidRDefault="00E1374A" w:rsidP="007F4626">
            <w:pPr>
              <w:numPr>
                <w:ilvl w:val="0"/>
                <w:numId w:val="23"/>
              </w:numPr>
              <w:spacing w:after="0" w:line="240" w:lineRule="auto"/>
              <w:ind w:left="26" w:hanging="91"/>
              <w:contextualSpacing/>
              <w:jc w:val="left"/>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Cuentas por pagar por concepto de aguinaldo,</w:t>
            </w:r>
          </w:p>
          <w:p w14:paraId="31F8D3F1" w14:textId="77777777" w:rsidR="00E1374A" w:rsidRPr="00B90399" w:rsidRDefault="00E1374A" w:rsidP="007F4626">
            <w:pPr>
              <w:numPr>
                <w:ilvl w:val="0"/>
                <w:numId w:val="23"/>
              </w:numPr>
              <w:spacing w:after="0" w:line="240" w:lineRule="auto"/>
              <w:ind w:left="26" w:hanging="91"/>
              <w:contextualSpacing/>
              <w:jc w:val="left"/>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Cuentas por Pagar por concepto de salario escolar,</w:t>
            </w:r>
          </w:p>
          <w:p w14:paraId="31E789DC" w14:textId="77777777" w:rsidR="00E1374A" w:rsidRPr="00B90399" w:rsidRDefault="00E1374A" w:rsidP="007F4626">
            <w:pPr>
              <w:numPr>
                <w:ilvl w:val="0"/>
                <w:numId w:val="23"/>
              </w:numPr>
              <w:spacing w:after="0" w:line="240" w:lineRule="auto"/>
              <w:ind w:left="26" w:hanging="91"/>
              <w:contextualSpacing/>
              <w:jc w:val="left"/>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Cuentas por Pagar por concepto de vacaciones,</w:t>
            </w:r>
          </w:p>
          <w:p w14:paraId="1AA09770" w14:textId="77777777" w:rsidR="00E1374A" w:rsidRPr="00B90399" w:rsidRDefault="00E1374A" w:rsidP="007F4626">
            <w:pPr>
              <w:numPr>
                <w:ilvl w:val="0"/>
                <w:numId w:val="23"/>
              </w:numPr>
              <w:spacing w:after="0" w:line="240" w:lineRule="auto"/>
              <w:ind w:left="26" w:hanging="91"/>
              <w:contextualSpacing/>
              <w:jc w:val="left"/>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Cuentas por Pagar por concepto de cesantía,</w:t>
            </w:r>
          </w:p>
          <w:p w14:paraId="1DDE675A" w14:textId="77777777" w:rsidR="00E1374A" w:rsidRPr="00B90399" w:rsidRDefault="00E1374A" w:rsidP="007F4626">
            <w:pPr>
              <w:numPr>
                <w:ilvl w:val="0"/>
                <w:numId w:val="23"/>
              </w:numPr>
              <w:spacing w:after="0" w:line="240" w:lineRule="auto"/>
              <w:ind w:left="26" w:hanging="91"/>
              <w:contextualSpacing/>
              <w:jc w:val="left"/>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Cuentas por Pagar por concepto de preaviso</w:t>
            </w:r>
          </w:p>
        </w:tc>
      </w:tr>
      <w:tr w:rsidR="00E1374A" w:rsidRPr="00B90399" w14:paraId="259904CF" w14:textId="77777777" w:rsidTr="007B0BB6">
        <w:trPr>
          <w:trHeight w:val="236"/>
        </w:trPr>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80573C" w14:textId="77777777" w:rsidR="00E1374A" w:rsidRPr="00B90399" w:rsidRDefault="00E1374A" w:rsidP="007B0BB6">
            <w:pPr>
              <w:spacing w:after="24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lastRenderedPageBreak/>
              <w:t>2.95,</w:t>
            </w:r>
          </w:p>
          <w:p w14:paraId="379F6B4B" w14:textId="77777777" w:rsidR="00E1374A" w:rsidRPr="00B90399" w:rsidRDefault="00E1374A" w:rsidP="007B0BB6">
            <w:pPr>
              <w:spacing w:after="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2.96,</w:t>
            </w:r>
          </w:p>
          <w:p w14:paraId="79E3F58F" w14:textId="77777777" w:rsidR="00E1374A" w:rsidRPr="00B90399" w:rsidRDefault="00E1374A" w:rsidP="007B0BB6">
            <w:pPr>
              <w:spacing w:after="12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2.103,</w:t>
            </w:r>
          </w:p>
          <w:p w14:paraId="39505C92" w14:textId="77777777" w:rsidR="00E1374A" w:rsidRPr="00B90399" w:rsidRDefault="00E1374A" w:rsidP="007B0BB6">
            <w:pPr>
              <w:spacing w:after="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2.109,</w:t>
            </w:r>
          </w:p>
          <w:p w14:paraId="5AFC1CFC" w14:textId="77777777" w:rsidR="00E1374A" w:rsidRPr="00B90399" w:rsidRDefault="00E1374A" w:rsidP="007B0BB6">
            <w:pPr>
              <w:spacing w:after="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2.110</w:t>
            </w:r>
          </w:p>
        </w:tc>
        <w:tc>
          <w:tcPr>
            <w:tcW w:w="719" w:type="pct"/>
            <w:tcBorders>
              <w:top w:val="single" w:sz="4" w:space="0" w:color="auto"/>
              <w:left w:val="nil"/>
              <w:bottom w:val="single" w:sz="4" w:space="0" w:color="auto"/>
              <w:right w:val="single" w:sz="4" w:space="0" w:color="auto"/>
            </w:tcBorders>
            <w:shd w:val="clear" w:color="auto" w:fill="auto"/>
            <w:vAlign w:val="center"/>
          </w:tcPr>
          <w:p w14:paraId="14F0E87C" w14:textId="77777777" w:rsidR="00E1374A" w:rsidRPr="00B90399" w:rsidRDefault="00E1374A" w:rsidP="007B0BB6">
            <w:pPr>
              <w:spacing w:after="0" w:line="240" w:lineRule="auto"/>
              <w:jc w:val="center"/>
              <w:rPr>
                <w:rFonts w:eastAsia="Times New Roman" w:cs="Calibri"/>
                <w:color w:val="000000"/>
                <w:sz w:val="16"/>
                <w:szCs w:val="16"/>
                <w:lang w:eastAsia="es-CR"/>
              </w:rPr>
            </w:pPr>
            <w:r w:rsidRPr="00B90399">
              <w:rPr>
                <w:rFonts w:eastAsia="Times New Roman" w:cs="Calibri"/>
                <w:color w:val="000000"/>
                <w:sz w:val="16"/>
                <w:szCs w:val="16"/>
                <w:lang w:eastAsia="es-CR"/>
              </w:rPr>
              <w:t>Pasivo</w:t>
            </w:r>
          </w:p>
        </w:tc>
        <w:tc>
          <w:tcPr>
            <w:tcW w:w="1519" w:type="pct"/>
            <w:tcBorders>
              <w:top w:val="single" w:sz="4" w:space="0" w:color="auto"/>
              <w:left w:val="nil"/>
              <w:bottom w:val="single" w:sz="4" w:space="0" w:color="auto"/>
              <w:right w:val="single" w:sz="4" w:space="0" w:color="auto"/>
            </w:tcBorders>
            <w:shd w:val="clear" w:color="auto" w:fill="auto"/>
            <w:noWrap/>
            <w:vAlign w:val="bottom"/>
          </w:tcPr>
          <w:p w14:paraId="791396F7" w14:textId="77777777" w:rsidR="00E1374A" w:rsidRPr="00B90399" w:rsidRDefault="00E1374A" w:rsidP="007B0BB6">
            <w:pPr>
              <w:spacing w:after="600" w:line="240" w:lineRule="auto"/>
              <w:jc w:val="center"/>
              <w:rPr>
                <w:rFonts w:eastAsia="Times New Roman" w:cs="Calibri"/>
                <w:color w:val="000000"/>
                <w:sz w:val="16"/>
                <w:szCs w:val="16"/>
                <w:lang w:eastAsia="es-CR"/>
              </w:rPr>
            </w:pPr>
            <w:r w:rsidRPr="00B90399">
              <w:rPr>
                <w:rFonts w:eastAsia="Times New Roman" w:cs="Calibri"/>
                <w:color w:val="000000"/>
                <w:sz w:val="16"/>
                <w:szCs w:val="16"/>
                <w:lang w:eastAsia="es-CR"/>
              </w:rPr>
              <w:t>Pasivo contingente</w:t>
            </w:r>
          </w:p>
        </w:tc>
        <w:tc>
          <w:tcPr>
            <w:tcW w:w="780" w:type="pct"/>
            <w:tcBorders>
              <w:top w:val="single" w:sz="4" w:space="0" w:color="auto"/>
              <w:left w:val="nil"/>
              <w:bottom w:val="single" w:sz="4" w:space="0" w:color="auto"/>
              <w:right w:val="single" w:sz="4" w:space="0" w:color="auto"/>
            </w:tcBorders>
            <w:shd w:val="clear" w:color="auto" w:fill="auto"/>
            <w:noWrap/>
            <w:vAlign w:val="bottom"/>
          </w:tcPr>
          <w:p w14:paraId="7F936B3A" w14:textId="7E1996A2" w:rsidR="00E1374A" w:rsidRPr="00B90399" w:rsidRDefault="00E1374A" w:rsidP="007B0BB6">
            <w:pPr>
              <w:spacing w:after="600" w:line="240" w:lineRule="auto"/>
              <w:jc w:val="center"/>
              <w:rPr>
                <w:rFonts w:eastAsia="Times New Roman" w:cs="Calibri"/>
                <w:color w:val="000000"/>
                <w:sz w:val="16"/>
                <w:szCs w:val="16"/>
                <w:lang w:eastAsia="es-CR"/>
              </w:rPr>
            </w:pPr>
            <w:r w:rsidRPr="00B90399">
              <w:rPr>
                <w:rFonts w:eastAsia="Times New Roman" w:cs="Calibri"/>
                <w:color w:val="000000"/>
                <w:sz w:val="16"/>
                <w:szCs w:val="16"/>
                <w:lang w:eastAsia="es-CR"/>
              </w:rPr>
              <w:t>NICSP 19, 28,29,</w:t>
            </w:r>
            <w:r w:rsidR="00796636">
              <w:rPr>
                <w:rFonts w:eastAsia="Times New Roman" w:cs="Calibri"/>
                <w:color w:val="000000"/>
                <w:sz w:val="16"/>
                <w:szCs w:val="16"/>
                <w:lang w:eastAsia="es-CR"/>
              </w:rPr>
              <w:t>31</w:t>
            </w:r>
          </w:p>
        </w:tc>
        <w:tc>
          <w:tcPr>
            <w:tcW w:w="1608" w:type="pct"/>
            <w:tcBorders>
              <w:top w:val="single" w:sz="4" w:space="0" w:color="auto"/>
              <w:left w:val="nil"/>
              <w:bottom w:val="single" w:sz="4" w:space="0" w:color="auto"/>
              <w:right w:val="single" w:sz="4" w:space="0" w:color="auto"/>
            </w:tcBorders>
            <w:shd w:val="clear" w:color="auto" w:fill="auto"/>
            <w:noWrap/>
            <w:vAlign w:val="bottom"/>
          </w:tcPr>
          <w:p w14:paraId="558586AE" w14:textId="77777777" w:rsidR="00E1374A" w:rsidRPr="00B90399" w:rsidRDefault="00E1374A" w:rsidP="007F4626">
            <w:pPr>
              <w:numPr>
                <w:ilvl w:val="0"/>
                <w:numId w:val="23"/>
              </w:numPr>
              <w:spacing w:after="0" w:line="240" w:lineRule="auto"/>
              <w:ind w:left="26" w:hanging="91"/>
              <w:contextualSpacing/>
              <w:jc w:val="left"/>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Reconocimiento de un pasivo contingente,</w:t>
            </w:r>
          </w:p>
          <w:p w14:paraId="7E8CAFBA" w14:textId="77777777" w:rsidR="00E1374A" w:rsidRPr="00B90399" w:rsidRDefault="00E1374A" w:rsidP="007F4626">
            <w:pPr>
              <w:numPr>
                <w:ilvl w:val="0"/>
                <w:numId w:val="23"/>
              </w:numPr>
              <w:spacing w:after="0" w:line="240" w:lineRule="auto"/>
              <w:ind w:left="26" w:hanging="91"/>
              <w:contextualSpacing/>
              <w:jc w:val="left"/>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Estimación fiable de la obligación,</w:t>
            </w:r>
          </w:p>
          <w:p w14:paraId="763E6FB3" w14:textId="77777777" w:rsidR="00E1374A" w:rsidRPr="00B90399" w:rsidRDefault="00E1374A" w:rsidP="007F4626">
            <w:pPr>
              <w:numPr>
                <w:ilvl w:val="0"/>
                <w:numId w:val="23"/>
              </w:numPr>
              <w:spacing w:after="0" w:line="240" w:lineRule="auto"/>
              <w:ind w:left="26" w:hanging="91"/>
              <w:contextualSpacing/>
              <w:jc w:val="left"/>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Evaluación continua de pasivos contingentes,</w:t>
            </w:r>
          </w:p>
          <w:p w14:paraId="54500D0E" w14:textId="77777777" w:rsidR="00E1374A" w:rsidRPr="00B90399" w:rsidRDefault="00E1374A" w:rsidP="007F4626">
            <w:pPr>
              <w:numPr>
                <w:ilvl w:val="0"/>
                <w:numId w:val="23"/>
              </w:numPr>
              <w:spacing w:after="0" w:line="240" w:lineRule="auto"/>
              <w:ind w:left="26" w:hanging="91"/>
              <w:contextualSpacing/>
              <w:jc w:val="left"/>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Pasivo Contingente,</w:t>
            </w:r>
          </w:p>
          <w:p w14:paraId="1E11A2A3" w14:textId="77777777" w:rsidR="00E1374A" w:rsidRPr="00B90399" w:rsidRDefault="00E1374A" w:rsidP="007F4626">
            <w:pPr>
              <w:numPr>
                <w:ilvl w:val="0"/>
                <w:numId w:val="23"/>
              </w:numPr>
              <w:spacing w:after="0" w:line="240" w:lineRule="auto"/>
              <w:ind w:left="26" w:hanging="91"/>
              <w:contextualSpacing/>
              <w:jc w:val="left"/>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Reconocimiento</w:t>
            </w:r>
          </w:p>
        </w:tc>
      </w:tr>
      <w:tr w:rsidR="00E1374A" w:rsidRPr="00B90399" w14:paraId="4FA97696" w14:textId="77777777" w:rsidTr="007B0BB6">
        <w:trPr>
          <w:trHeight w:val="236"/>
        </w:trPr>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5A3883" w14:textId="77777777" w:rsidR="00E1374A" w:rsidRPr="00B90399" w:rsidRDefault="00E1374A" w:rsidP="007B0BB6">
            <w:pPr>
              <w:spacing w:after="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2.93,</w:t>
            </w:r>
          </w:p>
          <w:p w14:paraId="7236E615" w14:textId="77777777" w:rsidR="00E1374A" w:rsidRPr="00B90399" w:rsidRDefault="00E1374A" w:rsidP="007B0BB6">
            <w:pPr>
              <w:spacing w:after="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2.95,</w:t>
            </w:r>
          </w:p>
          <w:p w14:paraId="3F25B46E" w14:textId="77777777" w:rsidR="00E1374A" w:rsidRPr="00B90399" w:rsidRDefault="00E1374A" w:rsidP="007B0BB6">
            <w:pPr>
              <w:spacing w:after="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2.99,</w:t>
            </w:r>
          </w:p>
          <w:p w14:paraId="2487C318" w14:textId="77777777" w:rsidR="00E1374A" w:rsidRPr="00B90399" w:rsidRDefault="00E1374A" w:rsidP="007B0BB6">
            <w:pPr>
              <w:spacing w:after="12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2.104,</w:t>
            </w:r>
          </w:p>
          <w:p w14:paraId="07542F1D" w14:textId="77777777" w:rsidR="00E1374A" w:rsidRPr="00B90399" w:rsidRDefault="00E1374A" w:rsidP="007B0BB6">
            <w:pPr>
              <w:spacing w:after="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2.107</w:t>
            </w:r>
          </w:p>
        </w:tc>
        <w:tc>
          <w:tcPr>
            <w:tcW w:w="719" w:type="pct"/>
            <w:tcBorders>
              <w:top w:val="single" w:sz="4" w:space="0" w:color="auto"/>
              <w:left w:val="nil"/>
              <w:bottom w:val="single" w:sz="4" w:space="0" w:color="auto"/>
              <w:right w:val="single" w:sz="4" w:space="0" w:color="auto"/>
            </w:tcBorders>
            <w:shd w:val="clear" w:color="auto" w:fill="auto"/>
            <w:vAlign w:val="center"/>
          </w:tcPr>
          <w:p w14:paraId="43A01246" w14:textId="77777777" w:rsidR="00E1374A" w:rsidRPr="00B90399" w:rsidRDefault="00E1374A" w:rsidP="007B0BB6">
            <w:pPr>
              <w:spacing w:after="0" w:line="240" w:lineRule="auto"/>
              <w:jc w:val="center"/>
              <w:rPr>
                <w:rFonts w:eastAsia="Times New Roman" w:cs="Calibri"/>
                <w:color w:val="000000"/>
                <w:sz w:val="16"/>
                <w:szCs w:val="16"/>
                <w:lang w:eastAsia="es-CR"/>
              </w:rPr>
            </w:pPr>
            <w:r w:rsidRPr="00B90399">
              <w:rPr>
                <w:rFonts w:eastAsia="Times New Roman" w:cs="Calibri"/>
                <w:color w:val="000000"/>
                <w:sz w:val="16"/>
                <w:szCs w:val="16"/>
                <w:lang w:eastAsia="es-CR"/>
              </w:rPr>
              <w:t>Pasivo</w:t>
            </w:r>
          </w:p>
        </w:tc>
        <w:tc>
          <w:tcPr>
            <w:tcW w:w="1519" w:type="pct"/>
            <w:tcBorders>
              <w:top w:val="single" w:sz="4" w:space="0" w:color="auto"/>
              <w:left w:val="nil"/>
              <w:bottom w:val="single" w:sz="4" w:space="0" w:color="auto"/>
              <w:right w:val="single" w:sz="4" w:space="0" w:color="auto"/>
            </w:tcBorders>
            <w:shd w:val="clear" w:color="auto" w:fill="auto"/>
            <w:noWrap/>
            <w:vAlign w:val="bottom"/>
          </w:tcPr>
          <w:p w14:paraId="6EE9DDBF" w14:textId="77777777" w:rsidR="00E1374A" w:rsidRPr="00B90399" w:rsidRDefault="00E1374A" w:rsidP="007B0BB6">
            <w:pPr>
              <w:spacing w:after="480" w:line="240" w:lineRule="auto"/>
              <w:jc w:val="center"/>
              <w:rPr>
                <w:rFonts w:eastAsia="Times New Roman" w:cs="Calibri"/>
                <w:color w:val="000000"/>
                <w:sz w:val="16"/>
                <w:szCs w:val="16"/>
                <w:lang w:eastAsia="es-CR"/>
              </w:rPr>
            </w:pPr>
            <w:r w:rsidRPr="00B90399">
              <w:rPr>
                <w:rFonts w:eastAsia="Times New Roman" w:cs="Calibri"/>
                <w:color w:val="000000"/>
                <w:sz w:val="16"/>
                <w:szCs w:val="16"/>
                <w:lang w:eastAsia="es-CR"/>
              </w:rPr>
              <w:t>Provisiones</w:t>
            </w:r>
          </w:p>
        </w:tc>
        <w:tc>
          <w:tcPr>
            <w:tcW w:w="780" w:type="pct"/>
            <w:tcBorders>
              <w:top w:val="single" w:sz="4" w:space="0" w:color="auto"/>
              <w:left w:val="nil"/>
              <w:bottom w:val="single" w:sz="4" w:space="0" w:color="auto"/>
              <w:right w:val="single" w:sz="4" w:space="0" w:color="auto"/>
            </w:tcBorders>
            <w:shd w:val="clear" w:color="auto" w:fill="auto"/>
            <w:noWrap/>
            <w:vAlign w:val="bottom"/>
          </w:tcPr>
          <w:p w14:paraId="1CECCBD2" w14:textId="77777777" w:rsidR="00E1374A" w:rsidRPr="00B90399" w:rsidRDefault="00E1374A" w:rsidP="007B0BB6">
            <w:pPr>
              <w:spacing w:after="480" w:line="240" w:lineRule="auto"/>
              <w:jc w:val="center"/>
              <w:rPr>
                <w:rFonts w:eastAsia="Times New Roman" w:cs="Calibri"/>
                <w:color w:val="000000"/>
                <w:sz w:val="16"/>
                <w:szCs w:val="16"/>
                <w:lang w:eastAsia="es-CR"/>
              </w:rPr>
            </w:pPr>
            <w:r w:rsidRPr="00B90399">
              <w:rPr>
                <w:rFonts w:eastAsia="Times New Roman" w:cs="Calibri"/>
                <w:color w:val="000000"/>
                <w:sz w:val="16"/>
                <w:szCs w:val="16"/>
                <w:lang w:eastAsia="es-CR"/>
              </w:rPr>
              <w:t>NICSP 19, 39</w:t>
            </w:r>
          </w:p>
        </w:tc>
        <w:tc>
          <w:tcPr>
            <w:tcW w:w="1608" w:type="pct"/>
            <w:tcBorders>
              <w:top w:val="single" w:sz="4" w:space="0" w:color="auto"/>
              <w:left w:val="nil"/>
              <w:bottom w:val="single" w:sz="4" w:space="0" w:color="auto"/>
              <w:right w:val="single" w:sz="4" w:space="0" w:color="auto"/>
            </w:tcBorders>
            <w:shd w:val="clear" w:color="auto" w:fill="auto"/>
            <w:noWrap/>
            <w:vAlign w:val="bottom"/>
          </w:tcPr>
          <w:p w14:paraId="4353EC43" w14:textId="77777777" w:rsidR="00E1374A" w:rsidRPr="00B90399" w:rsidRDefault="00E1374A" w:rsidP="007F4626">
            <w:pPr>
              <w:numPr>
                <w:ilvl w:val="0"/>
                <w:numId w:val="23"/>
              </w:numPr>
              <w:spacing w:after="0" w:line="240" w:lineRule="auto"/>
              <w:ind w:left="26" w:hanging="91"/>
              <w:contextualSpacing/>
              <w:jc w:val="left"/>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Provisiones,</w:t>
            </w:r>
          </w:p>
          <w:p w14:paraId="059BB04B" w14:textId="77777777" w:rsidR="00E1374A" w:rsidRPr="00B90399" w:rsidRDefault="00E1374A" w:rsidP="007F4626">
            <w:pPr>
              <w:numPr>
                <w:ilvl w:val="0"/>
                <w:numId w:val="23"/>
              </w:numPr>
              <w:spacing w:after="0" w:line="240" w:lineRule="auto"/>
              <w:ind w:left="26" w:hanging="91"/>
              <w:contextualSpacing/>
              <w:jc w:val="left"/>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Reconocimiento de una provisión,</w:t>
            </w:r>
          </w:p>
          <w:p w14:paraId="40C6DA94" w14:textId="77777777" w:rsidR="00E1374A" w:rsidRPr="00B90399" w:rsidRDefault="00E1374A" w:rsidP="007F4626">
            <w:pPr>
              <w:numPr>
                <w:ilvl w:val="0"/>
                <w:numId w:val="23"/>
              </w:numPr>
              <w:spacing w:after="0" w:line="240" w:lineRule="auto"/>
              <w:ind w:left="26" w:hanging="91"/>
              <w:contextualSpacing/>
              <w:jc w:val="left"/>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Medición de la provisión,</w:t>
            </w:r>
          </w:p>
          <w:p w14:paraId="27BC357C" w14:textId="77777777" w:rsidR="00E1374A" w:rsidRPr="00B90399" w:rsidRDefault="00E1374A" w:rsidP="007F4626">
            <w:pPr>
              <w:numPr>
                <w:ilvl w:val="0"/>
                <w:numId w:val="23"/>
              </w:numPr>
              <w:spacing w:after="0" w:line="240" w:lineRule="auto"/>
              <w:ind w:left="26" w:hanging="91"/>
              <w:contextualSpacing/>
              <w:jc w:val="left"/>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Aplicación de las provisiones,</w:t>
            </w:r>
          </w:p>
          <w:p w14:paraId="7A5CA817" w14:textId="77777777" w:rsidR="00E1374A" w:rsidRPr="00B90399" w:rsidRDefault="00E1374A" w:rsidP="007F4626">
            <w:pPr>
              <w:numPr>
                <w:ilvl w:val="0"/>
                <w:numId w:val="23"/>
              </w:numPr>
              <w:spacing w:after="0" w:line="240" w:lineRule="auto"/>
              <w:ind w:left="26" w:hanging="91"/>
              <w:contextualSpacing/>
              <w:jc w:val="left"/>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Provisiones para litigios y demandas (Etapas judiciales, informe jurídico)</w:t>
            </w:r>
          </w:p>
        </w:tc>
      </w:tr>
      <w:tr w:rsidR="00E1374A" w:rsidRPr="00B90399" w14:paraId="5CBFEDD7" w14:textId="77777777" w:rsidTr="007B0BB6">
        <w:trPr>
          <w:trHeight w:val="236"/>
        </w:trPr>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3738A0" w14:textId="77777777" w:rsidR="00E1374A" w:rsidRPr="00B90399" w:rsidRDefault="00E1374A" w:rsidP="007B0BB6">
            <w:pPr>
              <w:spacing w:after="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2.115</w:t>
            </w:r>
          </w:p>
        </w:tc>
        <w:tc>
          <w:tcPr>
            <w:tcW w:w="719" w:type="pct"/>
            <w:tcBorders>
              <w:top w:val="single" w:sz="4" w:space="0" w:color="auto"/>
              <w:left w:val="nil"/>
              <w:bottom w:val="single" w:sz="4" w:space="0" w:color="auto"/>
              <w:right w:val="single" w:sz="4" w:space="0" w:color="auto"/>
            </w:tcBorders>
            <w:shd w:val="clear" w:color="auto" w:fill="auto"/>
            <w:vAlign w:val="center"/>
          </w:tcPr>
          <w:p w14:paraId="68842DAF" w14:textId="77777777" w:rsidR="00E1374A" w:rsidRPr="00B90399" w:rsidRDefault="00E1374A" w:rsidP="007B0BB6">
            <w:pPr>
              <w:spacing w:after="0" w:line="240" w:lineRule="auto"/>
              <w:jc w:val="center"/>
              <w:rPr>
                <w:rFonts w:eastAsia="Times New Roman" w:cs="Calibri"/>
                <w:color w:val="000000"/>
                <w:sz w:val="16"/>
                <w:szCs w:val="16"/>
                <w:lang w:eastAsia="es-CR"/>
              </w:rPr>
            </w:pPr>
            <w:r w:rsidRPr="00B90399">
              <w:rPr>
                <w:rFonts w:eastAsia="Times New Roman" w:cs="Calibri"/>
                <w:color w:val="000000"/>
                <w:sz w:val="16"/>
                <w:szCs w:val="16"/>
                <w:lang w:eastAsia="es-CR"/>
              </w:rPr>
              <w:t>Pasivo</w:t>
            </w:r>
          </w:p>
        </w:tc>
        <w:tc>
          <w:tcPr>
            <w:tcW w:w="1519" w:type="pct"/>
            <w:tcBorders>
              <w:top w:val="single" w:sz="4" w:space="0" w:color="auto"/>
              <w:left w:val="nil"/>
              <w:bottom w:val="single" w:sz="4" w:space="0" w:color="auto"/>
              <w:right w:val="single" w:sz="4" w:space="0" w:color="auto"/>
            </w:tcBorders>
            <w:shd w:val="clear" w:color="auto" w:fill="auto"/>
            <w:noWrap/>
            <w:vAlign w:val="bottom"/>
          </w:tcPr>
          <w:p w14:paraId="31D9916E" w14:textId="77777777" w:rsidR="00E1374A" w:rsidRPr="00B90399" w:rsidRDefault="00E1374A" w:rsidP="007B0BB6">
            <w:pPr>
              <w:spacing w:after="60" w:line="240" w:lineRule="auto"/>
              <w:jc w:val="center"/>
              <w:rPr>
                <w:rFonts w:eastAsia="Times New Roman" w:cs="Calibri"/>
                <w:color w:val="000000"/>
                <w:sz w:val="16"/>
                <w:szCs w:val="16"/>
                <w:lang w:eastAsia="es-CR"/>
              </w:rPr>
            </w:pPr>
            <w:r w:rsidRPr="00B90399">
              <w:rPr>
                <w:rFonts w:eastAsia="Times New Roman" w:cs="Calibri"/>
                <w:color w:val="000000"/>
                <w:sz w:val="16"/>
                <w:szCs w:val="16"/>
                <w:lang w:eastAsia="es-CR"/>
              </w:rPr>
              <w:t>Ingresos a devengar</w:t>
            </w:r>
          </w:p>
        </w:tc>
        <w:tc>
          <w:tcPr>
            <w:tcW w:w="780" w:type="pct"/>
            <w:tcBorders>
              <w:top w:val="single" w:sz="4" w:space="0" w:color="auto"/>
              <w:left w:val="nil"/>
              <w:bottom w:val="single" w:sz="4" w:space="0" w:color="auto"/>
              <w:right w:val="single" w:sz="4" w:space="0" w:color="auto"/>
            </w:tcBorders>
            <w:shd w:val="clear" w:color="auto" w:fill="auto"/>
            <w:noWrap/>
            <w:vAlign w:val="bottom"/>
          </w:tcPr>
          <w:p w14:paraId="02ACF04C" w14:textId="4F0FA662" w:rsidR="00E1374A" w:rsidRPr="00B90399" w:rsidRDefault="00E1374A" w:rsidP="007B0BB6">
            <w:pPr>
              <w:spacing w:after="60" w:line="240" w:lineRule="auto"/>
              <w:jc w:val="center"/>
              <w:rPr>
                <w:rFonts w:eastAsia="Times New Roman" w:cs="Calibri"/>
                <w:color w:val="000000"/>
                <w:sz w:val="16"/>
                <w:szCs w:val="16"/>
                <w:lang w:eastAsia="es-CR"/>
              </w:rPr>
            </w:pPr>
            <w:r w:rsidRPr="00B90399">
              <w:rPr>
                <w:rFonts w:eastAsia="Times New Roman" w:cs="Calibri"/>
                <w:color w:val="000000"/>
                <w:sz w:val="16"/>
                <w:szCs w:val="16"/>
                <w:lang w:eastAsia="es-CR"/>
              </w:rPr>
              <w:t>NICSP 28,29,</w:t>
            </w:r>
            <w:r w:rsidR="00796636">
              <w:rPr>
                <w:rFonts w:eastAsia="Times New Roman" w:cs="Calibri"/>
                <w:color w:val="000000"/>
                <w:sz w:val="16"/>
                <w:szCs w:val="16"/>
                <w:lang w:eastAsia="es-CR"/>
              </w:rPr>
              <w:t>31</w:t>
            </w:r>
          </w:p>
        </w:tc>
        <w:tc>
          <w:tcPr>
            <w:tcW w:w="1608" w:type="pct"/>
            <w:tcBorders>
              <w:top w:val="single" w:sz="4" w:space="0" w:color="auto"/>
              <w:left w:val="nil"/>
              <w:bottom w:val="single" w:sz="4" w:space="0" w:color="auto"/>
              <w:right w:val="single" w:sz="4" w:space="0" w:color="auto"/>
            </w:tcBorders>
            <w:shd w:val="clear" w:color="auto" w:fill="auto"/>
            <w:noWrap/>
            <w:vAlign w:val="bottom"/>
          </w:tcPr>
          <w:p w14:paraId="3F8B4417" w14:textId="77777777" w:rsidR="00E1374A" w:rsidRPr="00B90399" w:rsidRDefault="00E1374A" w:rsidP="007B0BB6">
            <w:pPr>
              <w:spacing w:after="60" w:line="240" w:lineRule="auto"/>
              <w:rPr>
                <w:rFonts w:eastAsia="Times New Roman" w:cs="Calibri"/>
                <w:color w:val="000000"/>
                <w:sz w:val="16"/>
                <w:szCs w:val="16"/>
                <w:lang w:eastAsia="es-CR"/>
              </w:rPr>
            </w:pPr>
            <w:r w:rsidRPr="00B90399">
              <w:rPr>
                <w:rFonts w:eastAsia="Times New Roman" w:cs="Calibri"/>
                <w:color w:val="000000"/>
                <w:sz w:val="16"/>
                <w:szCs w:val="16"/>
                <w:lang w:eastAsia="es-CR"/>
              </w:rPr>
              <w:t>Ingresos a devengar</w:t>
            </w:r>
          </w:p>
        </w:tc>
      </w:tr>
      <w:tr w:rsidR="00E1374A" w:rsidRPr="00B90399" w14:paraId="09BFB50C" w14:textId="77777777" w:rsidTr="007B0BB6">
        <w:trPr>
          <w:trHeight w:val="236"/>
        </w:trPr>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142686" w14:textId="77777777" w:rsidR="00E1374A" w:rsidRPr="00B90399" w:rsidRDefault="00E1374A" w:rsidP="007B0BB6">
            <w:pPr>
              <w:spacing w:after="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3.1</w:t>
            </w:r>
          </w:p>
          <w:p w14:paraId="0216BF38" w14:textId="77777777" w:rsidR="00E1374A" w:rsidRPr="00B90399" w:rsidRDefault="00E1374A" w:rsidP="007B0BB6">
            <w:pPr>
              <w:spacing w:after="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3.2</w:t>
            </w:r>
          </w:p>
        </w:tc>
        <w:tc>
          <w:tcPr>
            <w:tcW w:w="719" w:type="pct"/>
            <w:tcBorders>
              <w:top w:val="single" w:sz="4" w:space="0" w:color="auto"/>
              <w:left w:val="nil"/>
              <w:bottom w:val="single" w:sz="4" w:space="0" w:color="auto"/>
              <w:right w:val="single" w:sz="4" w:space="0" w:color="auto"/>
            </w:tcBorders>
            <w:shd w:val="clear" w:color="auto" w:fill="auto"/>
            <w:vAlign w:val="center"/>
          </w:tcPr>
          <w:p w14:paraId="3DB28755" w14:textId="77777777" w:rsidR="00E1374A" w:rsidRPr="00B90399" w:rsidRDefault="00E1374A" w:rsidP="007B0BB6">
            <w:pPr>
              <w:spacing w:after="0" w:line="240" w:lineRule="auto"/>
              <w:jc w:val="center"/>
              <w:rPr>
                <w:rFonts w:eastAsia="Times New Roman" w:cs="Calibri"/>
                <w:color w:val="000000"/>
                <w:sz w:val="16"/>
                <w:szCs w:val="16"/>
                <w:lang w:eastAsia="es-CR"/>
              </w:rPr>
            </w:pPr>
            <w:r w:rsidRPr="00B90399">
              <w:rPr>
                <w:rFonts w:eastAsia="Times New Roman" w:cs="Calibri"/>
                <w:color w:val="000000"/>
                <w:sz w:val="16"/>
                <w:szCs w:val="16"/>
                <w:lang w:eastAsia="es-CR"/>
              </w:rPr>
              <w:t>Pasivo</w:t>
            </w:r>
          </w:p>
        </w:tc>
        <w:tc>
          <w:tcPr>
            <w:tcW w:w="1519" w:type="pct"/>
            <w:tcBorders>
              <w:top w:val="single" w:sz="4" w:space="0" w:color="auto"/>
              <w:left w:val="nil"/>
              <w:bottom w:val="single" w:sz="4" w:space="0" w:color="auto"/>
              <w:right w:val="single" w:sz="4" w:space="0" w:color="auto"/>
            </w:tcBorders>
            <w:shd w:val="clear" w:color="auto" w:fill="auto"/>
            <w:noWrap/>
            <w:vAlign w:val="bottom"/>
          </w:tcPr>
          <w:p w14:paraId="04FEA65F" w14:textId="77777777" w:rsidR="00E1374A" w:rsidRPr="00B90399" w:rsidRDefault="00E1374A" w:rsidP="007B0BB6">
            <w:pPr>
              <w:spacing w:after="80" w:line="240" w:lineRule="auto"/>
              <w:jc w:val="center"/>
              <w:rPr>
                <w:rFonts w:eastAsia="Cambria" w:cs="Arial"/>
                <w:color w:val="000000"/>
                <w:sz w:val="16"/>
                <w:szCs w:val="16"/>
                <w:lang w:eastAsia="es-CR"/>
              </w:rPr>
            </w:pPr>
            <w:r w:rsidRPr="00B90399">
              <w:rPr>
                <w:rFonts w:eastAsia="Times New Roman" w:cs="Calibri"/>
                <w:color w:val="000000"/>
                <w:sz w:val="16"/>
                <w:szCs w:val="16"/>
                <w:lang w:eastAsia="es-CR"/>
              </w:rPr>
              <w:t>Patrimonio gubernamental</w:t>
            </w:r>
          </w:p>
        </w:tc>
        <w:tc>
          <w:tcPr>
            <w:tcW w:w="780" w:type="pct"/>
            <w:tcBorders>
              <w:top w:val="single" w:sz="4" w:space="0" w:color="auto"/>
              <w:left w:val="nil"/>
              <w:bottom w:val="single" w:sz="4" w:space="0" w:color="auto"/>
              <w:right w:val="single" w:sz="4" w:space="0" w:color="auto"/>
            </w:tcBorders>
            <w:shd w:val="clear" w:color="auto" w:fill="auto"/>
            <w:noWrap/>
            <w:vAlign w:val="bottom"/>
          </w:tcPr>
          <w:p w14:paraId="38413080" w14:textId="77777777" w:rsidR="00E1374A" w:rsidRPr="00B90399" w:rsidRDefault="00E1374A" w:rsidP="007B0BB6">
            <w:pPr>
              <w:spacing w:after="8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NICSP 1</w:t>
            </w:r>
          </w:p>
        </w:tc>
        <w:tc>
          <w:tcPr>
            <w:tcW w:w="1608" w:type="pct"/>
            <w:tcBorders>
              <w:top w:val="single" w:sz="4" w:space="0" w:color="auto"/>
              <w:left w:val="nil"/>
              <w:bottom w:val="single" w:sz="4" w:space="0" w:color="auto"/>
              <w:right w:val="single" w:sz="4" w:space="0" w:color="auto"/>
            </w:tcBorders>
            <w:shd w:val="clear" w:color="auto" w:fill="auto"/>
            <w:noWrap/>
            <w:vAlign w:val="bottom"/>
          </w:tcPr>
          <w:p w14:paraId="37EE7BDD" w14:textId="77777777" w:rsidR="00E1374A" w:rsidRPr="00B90399" w:rsidRDefault="00E1374A" w:rsidP="007F4626">
            <w:pPr>
              <w:numPr>
                <w:ilvl w:val="0"/>
                <w:numId w:val="23"/>
              </w:numPr>
              <w:spacing w:after="0" w:line="240" w:lineRule="auto"/>
              <w:ind w:left="26" w:hanging="91"/>
              <w:contextualSpacing/>
              <w:jc w:val="left"/>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Definición,</w:t>
            </w:r>
          </w:p>
          <w:p w14:paraId="53128D33" w14:textId="77777777" w:rsidR="00E1374A" w:rsidRPr="00B90399" w:rsidRDefault="00E1374A" w:rsidP="007F4626">
            <w:pPr>
              <w:numPr>
                <w:ilvl w:val="0"/>
                <w:numId w:val="23"/>
              </w:numPr>
              <w:spacing w:after="0" w:line="240" w:lineRule="auto"/>
              <w:ind w:left="26" w:hanging="91"/>
              <w:contextualSpacing/>
              <w:jc w:val="left"/>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Instrumento de patrimonio</w:t>
            </w:r>
          </w:p>
        </w:tc>
      </w:tr>
      <w:tr w:rsidR="00E1374A" w:rsidRPr="00B90399" w14:paraId="28DB0BA4" w14:textId="77777777" w:rsidTr="007B0BB6">
        <w:trPr>
          <w:trHeight w:val="236"/>
        </w:trPr>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9146D5" w14:textId="77777777" w:rsidR="00E1374A" w:rsidRPr="00B90399" w:rsidRDefault="00E1374A" w:rsidP="007B0BB6">
            <w:pPr>
              <w:spacing w:after="0" w:line="240" w:lineRule="auto"/>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3.5</w:t>
            </w:r>
          </w:p>
        </w:tc>
        <w:tc>
          <w:tcPr>
            <w:tcW w:w="719" w:type="pct"/>
            <w:tcBorders>
              <w:top w:val="single" w:sz="4" w:space="0" w:color="auto"/>
              <w:left w:val="nil"/>
              <w:bottom w:val="single" w:sz="4" w:space="0" w:color="auto"/>
              <w:right w:val="single" w:sz="4" w:space="0" w:color="auto"/>
            </w:tcBorders>
            <w:shd w:val="clear" w:color="auto" w:fill="auto"/>
            <w:vAlign w:val="center"/>
          </w:tcPr>
          <w:p w14:paraId="52571911" w14:textId="77777777" w:rsidR="00E1374A" w:rsidRPr="00B90399" w:rsidRDefault="00E1374A" w:rsidP="007B0BB6">
            <w:pPr>
              <w:spacing w:after="0" w:line="240" w:lineRule="auto"/>
              <w:jc w:val="center"/>
              <w:rPr>
                <w:rFonts w:eastAsia="Times New Roman" w:cs="Calibri"/>
                <w:color w:val="000000"/>
                <w:sz w:val="16"/>
                <w:szCs w:val="16"/>
                <w:lang w:eastAsia="es-CR"/>
              </w:rPr>
            </w:pPr>
            <w:r w:rsidRPr="00B90399">
              <w:rPr>
                <w:rFonts w:eastAsia="Times New Roman" w:cs="Calibri"/>
                <w:color w:val="000000"/>
                <w:sz w:val="16"/>
                <w:szCs w:val="16"/>
                <w:lang w:eastAsia="es-CR"/>
              </w:rPr>
              <w:t>Patrimonio</w:t>
            </w:r>
          </w:p>
        </w:tc>
        <w:tc>
          <w:tcPr>
            <w:tcW w:w="1519" w:type="pct"/>
            <w:tcBorders>
              <w:top w:val="single" w:sz="4" w:space="0" w:color="auto"/>
              <w:left w:val="nil"/>
              <w:bottom w:val="single" w:sz="4" w:space="0" w:color="auto"/>
              <w:right w:val="single" w:sz="4" w:space="0" w:color="auto"/>
            </w:tcBorders>
            <w:shd w:val="clear" w:color="auto" w:fill="auto"/>
            <w:noWrap/>
            <w:vAlign w:val="bottom"/>
          </w:tcPr>
          <w:p w14:paraId="72698A26" w14:textId="77777777" w:rsidR="00E1374A" w:rsidRPr="00B90399" w:rsidRDefault="00E1374A" w:rsidP="007B0BB6">
            <w:pPr>
              <w:spacing w:after="80" w:line="240" w:lineRule="auto"/>
              <w:jc w:val="center"/>
              <w:rPr>
                <w:rFonts w:eastAsia="Cambria" w:cs="Arial"/>
                <w:color w:val="000000"/>
                <w:sz w:val="16"/>
                <w:szCs w:val="16"/>
                <w:lang w:eastAsia="es-CR"/>
              </w:rPr>
            </w:pPr>
            <w:r w:rsidRPr="00B90399">
              <w:rPr>
                <w:rFonts w:eastAsia="Cambria" w:cs="Arial"/>
                <w:color w:val="000000"/>
                <w:sz w:val="16"/>
                <w:szCs w:val="16"/>
                <w:lang w:eastAsia="es-CR"/>
              </w:rPr>
              <w:t>Capital Inicial</w:t>
            </w:r>
          </w:p>
        </w:tc>
        <w:tc>
          <w:tcPr>
            <w:tcW w:w="780" w:type="pct"/>
            <w:tcBorders>
              <w:top w:val="single" w:sz="4" w:space="0" w:color="auto"/>
              <w:left w:val="nil"/>
              <w:bottom w:val="single" w:sz="4" w:space="0" w:color="auto"/>
              <w:right w:val="single" w:sz="4" w:space="0" w:color="auto"/>
            </w:tcBorders>
            <w:shd w:val="clear" w:color="auto" w:fill="auto"/>
            <w:noWrap/>
            <w:vAlign w:val="bottom"/>
          </w:tcPr>
          <w:p w14:paraId="55E5C000" w14:textId="77777777" w:rsidR="00E1374A" w:rsidRPr="00B90399" w:rsidRDefault="00E1374A" w:rsidP="007B0BB6">
            <w:pPr>
              <w:spacing w:after="8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NICSP 1</w:t>
            </w:r>
          </w:p>
        </w:tc>
        <w:tc>
          <w:tcPr>
            <w:tcW w:w="1608" w:type="pct"/>
            <w:tcBorders>
              <w:top w:val="single" w:sz="4" w:space="0" w:color="auto"/>
              <w:left w:val="nil"/>
              <w:bottom w:val="single" w:sz="4" w:space="0" w:color="auto"/>
              <w:right w:val="single" w:sz="4" w:space="0" w:color="auto"/>
            </w:tcBorders>
            <w:shd w:val="clear" w:color="auto" w:fill="auto"/>
            <w:noWrap/>
            <w:vAlign w:val="bottom"/>
          </w:tcPr>
          <w:p w14:paraId="6A03A4ED" w14:textId="77777777" w:rsidR="00E1374A" w:rsidRPr="00B90399" w:rsidRDefault="00E1374A" w:rsidP="007F4626">
            <w:pPr>
              <w:numPr>
                <w:ilvl w:val="0"/>
                <w:numId w:val="23"/>
              </w:numPr>
              <w:spacing w:after="0" w:line="240" w:lineRule="auto"/>
              <w:ind w:left="26" w:hanging="91"/>
              <w:contextualSpacing/>
              <w:jc w:val="left"/>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Capital inicial (entidad nueva, Entidad en marcha, Incorporaciones al Capital inicial)</w:t>
            </w:r>
          </w:p>
        </w:tc>
      </w:tr>
      <w:tr w:rsidR="00E1374A" w:rsidRPr="00B90399" w14:paraId="69FCE9DF" w14:textId="77777777" w:rsidTr="007B0BB6">
        <w:trPr>
          <w:trHeight w:val="236"/>
        </w:trPr>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5A497F" w14:textId="77777777" w:rsidR="00E1374A" w:rsidRPr="00B90399" w:rsidRDefault="00E1374A" w:rsidP="007B0BB6">
            <w:pPr>
              <w:spacing w:after="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3.9</w:t>
            </w:r>
          </w:p>
        </w:tc>
        <w:tc>
          <w:tcPr>
            <w:tcW w:w="719" w:type="pct"/>
            <w:tcBorders>
              <w:top w:val="single" w:sz="4" w:space="0" w:color="auto"/>
              <w:left w:val="nil"/>
              <w:bottom w:val="single" w:sz="4" w:space="0" w:color="auto"/>
              <w:right w:val="single" w:sz="4" w:space="0" w:color="auto"/>
            </w:tcBorders>
            <w:shd w:val="clear" w:color="auto" w:fill="auto"/>
            <w:vAlign w:val="center"/>
          </w:tcPr>
          <w:p w14:paraId="00C292D0" w14:textId="77777777" w:rsidR="00E1374A" w:rsidRPr="00B90399" w:rsidRDefault="00E1374A" w:rsidP="007B0BB6">
            <w:pPr>
              <w:spacing w:after="0" w:line="240" w:lineRule="auto"/>
              <w:jc w:val="center"/>
              <w:rPr>
                <w:rFonts w:eastAsia="Times New Roman" w:cs="Calibri"/>
                <w:color w:val="000000"/>
                <w:sz w:val="16"/>
                <w:szCs w:val="16"/>
                <w:lang w:eastAsia="es-CR"/>
              </w:rPr>
            </w:pPr>
            <w:r w:rsidRPr="00B90399">
              <w:rPr>
                <w:rFonts w:eastAsia="Times New Roman" w:cs="Calibri"/>
                <w:color w:val="000000"/>
                <w:sz w:val="16"/>
                <w:szCs w:val="16"/>
                <w:lang w:eastAsia="es-CR"/>
              </w:rPr>
              <w:t>Patrimonio</w:t>
            </w:r>
          </w:p>
        </w:tc>
        <w:tc>
          <w:tcPr>
            <w:tcW w:w="1519" w:type="pct"/>
            <w:tcBorders>
              <w:top w:val="single" w:sz="4" w:space="0" w:color="auto"/>
              <w:left w:val="nil"/>
              <w:bottom w:val="single" w:sz="4" w:space="0" w:color="auto"/>
              <w:right w:val="single" w:sz="4" w:space="0" w:color="auto"/>
            </w:tcBorders>
            <w:shd w:val="clear" w:color="auto" w:fill="auto"/>
            <w:noWrap/>
            <w:vAlign w:val="bottom"/>
          </w:tcPr>
          <w:p w14:paraId="4386EAD6" w14:textId="77777777" w:rsidR="00E1374A" w:rsidRPr="00B90399" w:rsidRDefault="00E1374A" w:rsidP="007B0BB6">
            <w:pPr>
              <w:spacing w:after="180" w:line="240" w:lineRule="auto"/>
              <w:jc w:val="center"/>
              <w:rPr>
                <w:rFonts w:eastAsia="Cambria" w:cs="Arial"/>
                <w:color w:val="000000"/>
                <w:sz w:val="16"/>
                <w:szCs w:val="16"/>
                <w:lang w:eastAsia="es-CR"/>
              </w:rPr>
            </w:pPr>
            <w:r w:rsidRPr="00B90399">
              <w:rPr>
                <w:rFonts w:eastAsia="Cambria" w:cs="Arial"/>
                <w:color w:val="000000"/>
                <w:sz w:val="16"/>
                <w:szCs w:val="16"/>
                <w:lang w:eastAsia="es-CR"/>
              </w:rPr>
              <w:t>Reservas</w:t>
            </w:r>
          </w:p>
        </w:tc>
        <w:tc>
          <w:tcPr>
            <w:tcW w:w="780" w:type="pct"/>
            <w:tcBorders>
              <w:top w:val="single" w:sz="4" w:space="0" w:color="auto"/>
              <w:left w:val="nil"/>
              <w:bottom w:val="single" w:sz="4" w:space="0" w:color="auto"/>
              <w:right w:val="single" w:sz="4" w:space="0" w:color="auto"/>
            </w:tcBorders>
            <w:shd w:val="clear" w:color="auto" w:fill="auto"/>
            <w:noWrap/>
            <w:vAlign w:val="bottom"/>
          </w:tcPr>
          <w:p w14:paraId="29EBF334" w14:textId="77777777" w:rsidR="00E1374A" w:rsidRPr="00B90399" w:rsidRDefault="00E1374A" w:rsidP="007B0BB6">
            <w:pPr>
              <w:spacing w:after="18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NICSP 1</w:t>
            </w:r>
          </w:p>
        </w:tc>
        <w:tc>
          <w:tcPr>
            <w:tcW w:w="1608" w:type="pct"/>
            <w:tcBorders>
              <w:top w:val="single" w:sz="4" w:space="0" w:color="auto"/>
              <w:left w:val="nil"/>
              <w:bottom w:val="single" w:sz="4" w:space="0" w:color="auto"/>
              <w:right w:val="single" w:sz="4" w:space="0" w:color="auto"/>
            </w:tcBorders>
            <w:shd w:val="clear" w:color="auto" w:fill="auto"/>
            <w:noWrap/>
            <w:vAlign w:val="bottom"/>
          </w:tcPr>
          <w:p w14:paraId="5BDDE090" w14:textId="77777777" w:rsidR="00E1374A" w:rsidRPr="00B90399" w:rsidRDefault="00E1374A" w:rsidP="007F4626">
            <w:pPr>
              <w:numPr>
                <w:ilvl w:val="0"/>
                <w:numId w:val="23"/>
              </w:numPr>
              <w:spacing w:after="0" w:line="240" w:lineRule="auto"/>
              <w:ind w:left="26" w:hanging="91"/>
              <w:contextualSpacing/>
              <w:jc w:val="left"/>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Reservas (Reservas por revaluación del Activo, Reserva por revaluación de bienes intangibles, Información a revelar)</w:t>
            </w:r>
          </w:p>
        </w:tc>
      </w:tr>
      <w:tr w:rsidR="00E1374A" w:rsidRPr="00B90399" w14:paraId="705F2E3D" w14:textId="77777777" w:rsidTr="007B0BB6">
        <w:trPr>
          <w:trHeight w:val="236"/>
        </w:trPr>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A50FFE" w14:textId="77777777" w:rsidR="00E1374A" w:rsidRPr="00B90399" w:rsidRDefault="00E1374A" w:rsidP="007B0BB6">
            <w:pPr>
              <w:spacing w:after="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3.14,</w:t>
            </w:r>
          </w:p>
          <w:p w14:paraId="2563400B" w14:textId="77777777" w:rsidR="00E1374A" w:rsidRPr="00B90399" w:rsidRDefault="00E1374A" w:rsidP="007B0BB6">
            <w:pPr>
              <w:spacing w:after="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3.15</w:t>
            </w:r>
          </w:p>
        </w:tc>
        <w:tc>
          <w:tcPr>
            <w:tcW w:w="719" w:type="pct"/>
            <w:tcBorders>
              <w:top w:val="single" w:sz="4" w:space="0" w:color="auto"/>
              <w:left w:val="nil"/>
              <w:bottom w:val="single" w:sz="4" w:space="0" w:color="auto"/>
              <w:right w:val="single" w:sz="4" w:space="0" w:color="auto"/>
            </w:tcBorders>
            <w:shd w:val="clear" w:color="auto" w:fill="auto"/>
            <w:vAlign w:val="center"/>
          </w:tcPr>
          <w:p w14:paraId="6B9CA562" w14:textId="77777777" w:rsidR="00E1374A" w:rsidRPr="00B90399" w:rsidRDefault="00E1374A" w:rsidP="007B0BB6">
            <w:pPr>
              <w:spacing w:after="0" w:line="240" w:lineRule="auto"/>
              <w:jc w:val="center"/>
              <w:rPr>
                <w:rFonts w:eastAsia="Times New Roman" w:cs="Calibri"/>
                <w:color w:val="000000"/>
                <w:sz w:val="16"/>
                <w:szCs w:val="16"/>
                <w:lang w:eastAsia="es-CR"/>
              </w:rPr>
            </w:pPr>
            <w:r w:rsidRPr="00B90399">
              <w:rPr>
                <w:rFonts w:eastAsia="Times New Roman" w:cs="Calibri"/>
                <w:color w:val="000000"/>
                <w:sz w:val="16"/>
                <w:szCs w:val="16"/>
                <w:lang w:eastAsia="es-CR"/>
              </w:rPr>
              <w:t>Patrimonio</w:t>
            </w:r>
          </w:p>
        </w:tc>
        <w:tc>
          <w:tcPr>
            <w:tcW w:w="1519" w:type="pct"/>
            <w:tcBorders>
              <w:top w:val="single" w:sz="4" w:space="0" w:color="auto"/>
              <w:left w:val="nil"/>
              <w:bottom w:val="single" w:sz="4" w:space="0" w:color="auto"/>
              <w:right w:val="single" w:sz="4" w:space="0" w:color="auto"/>
            </w:tcBorders>
            <w:shd w:val="clear" w:color="auto" w:fill="auto"/>
            <w:noWrap/>
            <w:vAlign w:val="bottom"/>
          </w:tcPr>
          <w:p w14:paraId="73819410" w14:textId="77777777" w:rsidR="00E1374A" w:rsidRPr="00B90399" w:rsidRDefault="00E1374A" w:rsidP="007B0BB6">
            <w:pPr>
              <w:spacing w:after="180" w:line="240" w:lineRule="auto"/>
              <w:jc w:val="center"/>
              <w:rPr>
                <w:rFonts w:eastAsia="Cambria" w:cs="Arial"/>
                <w:color w:val="000000"/>
                <w:sz w:val="16"/>
                <w:szCs w:val="16"/>
                <w:lang w:eastAsia="es-CR"/>
              </w:rPr>
            </w:pPr>
            <w:r w:rsidRPr="00B90399">
              <w:rPr>
                <w:rFonts w:eastAsia="Cambria" w:cs="Arial"/>
                <w:color w:val="000000"/>
                <w:sz w:val="16"/>
                <w:szCs w:val="16"/>
                <w:lang w:eastAsia="es-CR"/>
              </w:rPr>
              <w:t>Resultados acumulados</w:t>
            </w:r>
          </w:p>
        </w:tc>
        <w:tc>
          <w:tcPr>
            <w:tcW w:w="780" w:type="pct"/>
            <w:tcBorders>
              <w:top w:val="single" w:sz="4" w:space="0" w:color="auto"/>
              <w:left w:val="nil"/>
              <w:bottom w:val="single" w:sz="4" w:space="0" w:color="auto"/>
              <w:right w:val="single" w:sz="4" w:space="0" w:color="auto"/>
            </w:tcBorders>
            <w:shd w:val="clear" w:color="auto" w:fill="auto"/>
            <w:noWrap/>
            <w:vAlign w:val="bottom"/>
          </w:tcPr>
          <w:p w14:paraId="4D1A2691" w14:textId="77777777" w:rsidR="00E1374A" w:rsidRPr="00B90399" w:rsidRDefault="00E1374A" w:rsidP="007B0BB6">
            <w:pPr>
              <w:spacing w:after="18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NICSP 1</w:t>
            </w:r>
          </w:p>
        </w:tc>
        <w:tc>
          <w:tcPr>
            <w:tcW w:w="1608" w:type="pct"/>
            <w:tcBorders>
              <w:top w:val="single" w:sz="4" w:space="0" w:color="auto"/>
              <w:left w:val="nil"/>
              <w:bottom w:val="single" w:sz="4" w:space="0" w:color="auto"/>
              <w:right w:val="single" w:sz="4" w:space="0" w:color="auto"/>
            </w:tcBorders>
            <w:shd w:val="clear" w:color="auto" w:fill="auto"/>
            <w:noWrap/>
            <w:vAlign w:val="bottom"/>
          </w:tcPr>
          <w:p w14:paraId="7F467325" w14:textId="77777777" w:rsidR="00E1374A" w:rsidRPr="00B90399" w:rsidRDefault="00E1374A" w:rsidP="007F4626">
            <w:pPr>
              <w:numPr>
                <w:ilvl w:val="0"/>
                <w:numId w:val="23"/>
              </w:numPr>
              <w:spacing w:after="0" w:line="240" w:lineRule="auto"/>
              <w:ind w:left="26" w:hanging="91"/>
              <w:contextualSpacing/>
              <w:jc w:val="left"/>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Definición,</w:t>
            </w:r>
          </w:p>
          <w:p w14:paraId="4CBC56EA" w14:textId="77777777" w:rsidR="00E1374A" w:rsidRPr="00B90399" w:rsidRDefault="00E1374A" w:rsidP="007F4626">
            <w:pPr>
              <w:numPr>
                <w:ilvl w:val="0"/>
                <w:numId w:val="23"/>
              </w:numPr>
              <w:spacing w:after="0" w:line="240" w:lineRule="auto"/>
              <w:ind w:left="26" w:hanging="91"/>
              <w:contextualSpacing/>
              <w:jc w:val="left"/>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Ajustes de resultados acumulados de ejercicios anteriores</w:t>
            </w:r>
          </w:p>
        </w:tc>
      </w:tr>
      <w:tr w:rsidR="00E1374A" w:rsidRPr="00B90399" w14:paraId="000C2B2E" w14:textId="77777777" w:rsidTr="007B0BB6">
        <w:trPr>
          <w:trHeight w:val="236"/>
        </w:trPr>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7DD532" w14:textId="77777777" w:rsidR="00E1374A" w:rsidRPr="00B90399" w:rsidRDefault="00E1374A" w:rsidP="007B0BB6">
            <w:pPr>
              <w:spacing w:after="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4.2,</w:t>
            </w:r>
          </w:p>
          <w:p w14:paraId="0C689C89" w14:textId="77777777" w:rsidR="00E1374A" w:rsidRPr="00B90399" w:rsidRDefault="00E1374A" w:rsidP="007B0BB6">
            <w:pPr>
              <w:spacing w:after="24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4.3,</w:t>
            </w:r>
          </w:p>
          <w:p w14:paraId="2449DE2E" w14:textId="77777777" w:rsidR="00E1374A" w:rsidRPr="00B90399" w:rsidRDefault="00E1374A" w:rsidP="007B0BB6">
            <w:pPr>
              <w:spacing w:after="24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4.4,</w:t>
            </w:r>
          </w:p>
          <w:p w14:paraId="40DD5D35" w14:textId="77777777" w:rsidR="00E1374A" w:rsidRPr="00B90399" w:rsidRDefault="00E1374A" w:rsidP="007B0BB6">
            <w:pPr>
              <w:spacing w:after="24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4.7,</w:t>
            </w:r>
          </w:p>
          <w:p w14:paraId="074D9392" w14:textId="77777777" w:rsidR="00E1374A" w:rsidRPr="00B90399" w:rsidRDefault="00E1374A" w:rsidP="007B0BB6">
            <w:pPr>
              <w:spacing w:after="36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4.8,</w:t>
            </w:r>
          </w:p>
          <w:p w14:paraId="46230F4C" w14:textId="77777777" w:rsidR="00E1374A" w:rsidRPr="00B90399" w:rsidRDefault="00E1374A" w:rsidP="007B0BB6">
            <w:pPr>
              <w:spacing w:after="36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4.9,</w:t>
            </w:r>
          </w:p>
          <w:p w14:paraId="4A0EA67C" w14:textId="77777777" w:rsidR="00E1374A" w:rsidRPr="00B90399" w:rsidRDefault="00E1374A" w:rsidP="007B0BB6">
            <w:pPr>
              <w:spacing w:after="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4.12,</w:t>
            </w:r>
          </w:p>
          <w:p w14:paraId="2F15AEA7" w14:textId="77777777" w:rsidR="00E1374A" w:rsidRPr="00B90399" w:rsidRDefault="00E1374A" w:rsidP="007B0BB6">
            <w:pPr>
              <w:spacing w:after="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4.13,</w:t>
            </w:r>
          </w:p>
          <w:p w14:paraId="6DD9FAB5" w14:textId="77777777" w:rsidR="00E1374A" w:rsidRPr="00B90399" w:rsidRDefault="00E1374A" w:rsidP="007B0BB6">
            <w:pPr>
              <w:spacing w:after="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4.15,</w:t>
            </w:r>
          </w:p>
          <w:p w14:paraId="5E73DAE0" w14:textId="77777777" w:rsidR="00E1374A" w:rsidRPr="00B90399" w:rsidRDefault="00E1374A" w:rsidP="007B0BB6">
            <w:pPr>
              <w:spacing w:after="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4.20,</w:t>
            </w:r>
          </w:p>
          <w:p w14:paraId="1DA0BD96" w14:textId="77777777" w:rsidR="00E1374A" w:rsidRPr="00B90399" w:rsidRDefault="00E1374A" w:rsidP="007B0BB6">
            <w:pPr>
              <w:spacing w:after="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4.23,</w:t>
            </w:r>
          </w:p>
          <w:p w14:paraId="3A95E0C9" w14:textId="77777777" w:rsidR="00E1374A" w:rsidRPr="00B90399" w:rsidRDefault="00E1374A" w:rsidP="007B0BB6">
            <w:pPr>
              <w:spacing w:after="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4.21,</w:t>
            </w:r>
          </w:p>
          <w:p w14:paraId="22DD48D3" w14:textId="77777777" w:rsidR="00E1374A" w:rsidRPr="00B90399" w:rsidRDefault="00E1374A" w:rsidP="007B0BB6">
            <w:pPr>
              <w:spacing w:after="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4.49</w:t>
            </w:r>
          </w:p>
        </w:tc>
        <w:tc>
          <w:tcPr>
            <w:tcW w:w="719" w:type="pct"/>
            <w:tcBorders>
              <w:top w:val="single" w:sz="4" w:space="0" w:color="auto"/>
              <w:left w:val="nil"/>
              <w:bottom w:val="single" w:sz="4" w:space="0" w:color="auto"/>
              <w:right w:val="single" w:sz="4" w:space="0" w:color="auto"/>
            </w:tcBorders>
            <w:shd w:val="clear" w:color="auto" w:fill="auto"/>
            <w:vAlign w:val="center"/>
          </w:tcPr>
          <w:p w14:paraId="1E3F9D46" w14:textId="77777777" w:rsidR="00E1374A" w:rsidRPr="00B90399" w:rsidRDefault="00E1374A" w:rsidP="007B0BB6">
            <w:pPr>
              <w:spacing w:after="0" w:line="240" w:lineRule="auto"/>
              <w:jc w:val="center"/>
              <w:rPr>
                <w:rFonts w:eastAsia="Times New Roman" w:cs="Calibri"/>
                <w:color w:val="000000"/>
                <w:sz w:val="16"/>
                <w:szCs w:val="16"/>
                <w:lang w:eastAsia="es-CR"/>
              </w:rPr>
            </w:pPr>
            <w:r w:rsidRPr="00B90399">
              <w:rPr>
                <w:rFonts w:eastAsia="Times New Roman" w:cs="Calibri"/>
                <w:color w:val="000000"/>
                <w:sz w:val="16"/>
                <w:szCs w:val="16"/>
                <w:lang w:eastAsia="es-CR"/>
              </w:rPr>
              <w:t>Ingresos</w:t>
            </w:r>
          </w:p>
        </w:tc>
        <w:tc>
          <w:tcPr>
            <w:tcW w:w="1519" w:type="pct"/>
            <w:tcBorders>
              <w:top w:val="single" w:sz="4" w:space="0" w:color="auto"/>
              <w:left w:val="nil"/>
              <w:bottom w:val="single" w:sz="4" w:space="0" w:color="auto"/>
              <w:right w:val="single" w:sz="4" w:space="0" w:color="auto"/>
            </w:tcBorders>
            <w:shd w:val="clear" w:color="auto" w:fill="auto"/>
            <w:noWrap/>
            <w:vAlign w:val="bottom"/>
          </w:tcPr>
          <w:p w14:paraId="09813903" w14:textId="77777777" w:rsidR="00E1374A" w:rsidRPr="00B90399" w:rsidRDefault="00E1374A" w:rsidP="007B0BB6">
            <w:pPr>
              <w:spacing w:after="1920" w:line="240" w:lineRule="auto"/>
              <w:jc w:val="center"/>
              <w:rPr>
                <w:rFonts w:eastAsia="Times New Roman" w:cs="Calibri"/>
                <w:color w:val="000000"/>
                <w:sz w:val="16"/>
                <w:szCs w:val="16"/>
                <w:lang w:eastAsia="es-CR"/>
              </w:rPr>
            </w:pPr>
            <w:r w:rsidRPr="00B90399">
              <w:rPr>
                <w:rFonts w:eastAsia="Times New Roman" w:cs="Calibri"/>
                <w:color w:val="000000"/>
                <w:sz w:val="16"/>
                <w:szCs w:val="16"/>
                <w:lang w:eastAsia="es-CR"/>
              </w:rPr>
              <w:t>Ingresos</w:t>
            </w:r>
          </w:p>
        </w:tc>
        <w:tc>
          <w:tcPr>
            <w:tcW w:w="780" w:type="pct"/>
            <w:tcBorders>
              <w:top w:val="single" w:sz="4" w:space="0" w:color="auto"/>
              <w:left w:val="nil"/>
              <w:bottom w:val="single" w:sz="4" w:space="0" w:color="auto"/>
              <w:right w:val="single" w:sz="4" w:space="0" w:color="auto"/>
            </w:tcBorders>
            <w:shd w:val="clear" w:color="auto" w:fill="auto"/>
            <w:noWrap/>
            <w:vAlign w:val="bottom"/>
          </w:tcPr>
          <w:p w14:paraId="3D74CC81" w14:textId="77777777" w:rsidR="00E1374A" w:rsidRPr="00B90399" w:rsidRDefault="00E1374A" w:rsidP="007B0BB6">
            <w:pPr>
              <w:spacing w:after="1920" w:line="240" w:lineRule="auto"/>
              <w:jc w:val="center"/>
              <w:rPr>
                <w:rFonts w:eastAsia="Times New Roman" w:cs="Calibri"/>
                <w:color w:val="000000"/>
                <w:sz w:val="16"/>
                <w:szCs w:val="16"/>
                <w:lang w:eastAsia="es-CR"/>
              </w:rPr>
            </w:pPr>
            <w:r w:rsidRPr="00B90399">
              <w:rPr>
                <w:rFonts w:eastAsia="Times New Roman" w:cs="Calibri"/>
                <w:color w:val="000000"/>
                <w:sz w:val="16"/>
                <w:szCs w:val="16"/>
                <w:lang w:eastAsia="es-CR"/>
              </w:rPr>
              <w:t>NICSP 9, 13, 23</w:t>
            </w:r>
          </w:p>
        </w:tc>
        <w:tc>
          <w:tcPr>
            <w:tcW w:w="1608" w:type="pct"/>
            <w:tcBorders>
              <w:top w:val="single" w:sz="4" w:space="0" w:color="auto"/>
              <w:left w:val="nil"/>
              <w:bottom w:val="single" w:sz="4" w:space="0" w:color="auto"/>
              <w:right w:val="single" w:sz="4" w:space="0" w:color="auto"/>
            </w:tcBorders>
            <w:shd w:val="clear" w:color="auto" w:fill="auto"/>
            <w:noWrap/>
            <w:vAlign w:val="bottom"/>
          </w:tcPr>
          <w:p w14:paraId="44D65558" w14:textId="77777777" w:rsidR="00E1374A" w:rsidRPr="00B90399" w:rsidRDefault="00E1374A" w:rsidP="007F4626">
            <w:pPr>
              <w:numPr>
                <w:ilvl w:val="0"/>
                <w:numId w:val="23"/>
              </w:numPr>
              <w:spacing w:after="0" w:line="240" w:lineRule="auto"/>
              <w:ind w:left="26" w:hanging="91"/>
              <w:contextualSpacing/>
              <w:jc w:val="left"/>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Componentes del ingreso,</w:t>
            </w:r>
          </w:p>
          <w:p w14:paraId="6D94DAB2" w14:textId="77777777" w:rsidR="00E1374A" w:rsidRPr="00B90399" w:rsidRDefault="00E1374A" w:rsidP="007F4626">
            <w:pPr>
              <w:numPr>
                <w:ilvl w:val="0"/>
                <w:numId w:val="23"/>
              </w:numPr>
              <w:spacing w:after="0" w:line="240" w:lineRule="auto"/>
              <w:ind w:left="26" w:hanging="91"/>
              <w:contextualSpacing/>
              <w:jc w:val="left"/>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Transacciones y eventos con contraprestación que general ingresos,</w:t>
            </w:r>
          </w:p>
          <w:p w14:paraId="0296D4AE" w14:textId="77777777" w:rsidR="00E1374A" w:rsidRPr="00B90399" w:rsidRDefault="00E1374A" w:rsidP="007F4626">
            <w:pPr>
              <w:numPr>
                <w:ilvl w:val="0"/>
                <w:numId w:val="23"/>
              </w:numPr>
              <w:spacing w:after="0" w:line="240" w:lineRule="auto"/>
              <w:ind w:left="26" w:hanging="91"/>
              <w:contextualSpacing/>
              <w:jc w:val="left"/>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Transacciones y eventos sin contraprestación,</w:t>
            </w:r>
          </w:p>
          <w:p w14:paraId="6F69CDFB" w14:textId="77777777" w:rsidR="00E1374A" w:rsidRPr="00B90399" w:rsidRDefault="00E1374A" w:rsidP="007F4626">
            <w:pPr>
              <w:numPr>
                <w:ilvl w:val="0"/>
                <w:numId w:val="23"/>
              </w:numPr>
              <w:spacing w:after="0" w:line="240" w:lineRule="auto"/>
              <w:ind w:left="26" w:hanging="91"/>
              <w:contextualSpacing/>
              <w:jc w:val="left"/>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Reconocimiento de activos por transacciones sin contraprestación,</w:t>
            </w:r>
          </w:p>
          <w:p w14:paraId="49100DEC" w14:textId="77777777" w:rsidR="00E1374A" w:rsidRPr="00B90399" w:rsidRDefault="00E1374A" w:rsidP="007F4626">
            <w:pPr>
              <w:numPr>
                <w:ilvl w:val="0"/>
                <w:numId w:val="23"/>
              </w:numPr>
              <w:spacing w:after="0" w:line="240" w:lineRule="auto"/>
              <w:ind w:left="26" w:hanging="91"/>
              <w:contextualSpacing/>
              <w:jc w:val="left"/>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Reconocimiento inicial de un activo adquirido mediante transacción sin contraprestación,</w:t>
            </w:r>
          </w:p>
          <w:p w14:paraId="07F2EB55" w14:textId="77777777" w:rsidR="00E1374A" w:rsidRPr="00B90399" w:rsidRDefault="00E1374A" w:rsidP="007F4626">
            <w:pPr>
              <w:numPr>
                <w:ilvl w:val="0"/>
                <w:numId w:val="23"/>
              </w:numPr>
              <w:spacing w:after="0" w:line="240" w:lineRule="auto"/>
              <w:ind w:left="26" w:hanging="91"/>
              <w:contextualSpacing/>
              <w:jc w:val="left"/>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Reconocimiento de ingresos por transacciones sin contraprestación,</w:t>
            </w:r>
          </w:p>
          <w:p w14:paraId="0D3AD221" w14:textId="77777777" w:rsidR="00E1374A" w:rsidRPr="00B90399" w:rsidRDefault="00E1374A" w:rsidP="007F4626">
            <w:pPr>
              <w:numPr>
                <w:ilvl w:val="0"/>
                <w:numId w:val="23"/>
              </w:numPr>
              <w:spacing w:after="0" w:line="240" w:lineRule="auto"/>
              <w:ind w:left="26" w:hanging="91"/>
              <w:contextualSpacing/>
              <w:jc w:val="left"/>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Reconocimiento de ingresos por impuestos,</w:t>
            </w:r>
          </w:p>
          <w:p w14:paraId="249C02F3" w14:textId="77777777" w:rsidR="00E1374A" w:rsidRPr="00B90399" w:rsidRDefault="00E1374A" w:rsidP="007F4626">
            <w:pPr>
              <w:numPr>
                <w:ilvl w:val="0"/>
                <w:numId w:val="23"/>
              </w:numPr>
              <w:spacing w:after="0" w:line="240" w:lineRule="auto"/>
              <w:ind w:left="26" w:hanging="91"/>
              <w:contextualSpacing/>
              <w:jc w:val="left"/>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Anticipos de impuestos,</w:t>
            </w:r>
          </w:p>
          <w:p w14:paraId="1029D848" w14:textId="77777777" w:rsidR="00E1374A" w:rsidRPr="00B90399" w:rsidRDefault="00E1374A" w:rsidP="007F4626">
            <w:pPr>
              <w:numPr>
                <w:ilvl w:val="0"/>
                <w:numId w:val="23"/>
              </w:numPr>
              <w:spacing w:after="0" w:line="240" w:lineRule="auto"/>
              <w:ind w:left="26" w:hanging="91"/>
              <w:contextualSpacing/>
              <w:jc w:val="left"/>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Transferencias,</w:t>
            </w:r>
          </w:p>
          <w:p w14:paraId="305AF7E2" w14:textId="77777777" w:rsidR="00E1374A" w:rsidRPr="00B90399" w:rsidRDefault="00E1374A" w:rsidP="007F4626">
            <w:pPr>
              <w:numPr>
                <w:ilvl w:val="0"/>
                <w:numId w:val="23"/>
              </w:numPr>
              <w:spacing w:after="0" w:line="240" w:lineRule="auto"/>
              <w:ind w:left="26" w:hanging="91"/>
              <w:contextualSpacing/>
              <w:jc w:val="left"/>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Reconocimiento de las transferencias,</w:t>
            </w:r>
          </w:p>
          <w:p w14:paraId="2CE455A5" w14:textId="77777777" w:rsidR="00E1374A" w:rsidRPr="00B90399" w:rsidRDefault="00E1374A" w:rsidP="007F4626">
            <w:pPr>
              <w:numPr>
                <w:ilvl w:val="0"/>
                <w:numId w:val="23"/>
              </w:numPr>
              <w:spacing w:after="0" w:line="240" w:lineRule="auto"/>
              <w:ind w:left="26" w:hanging="91"/>
              <w:contextualSpacing/>
              <w:jc w:val="left"/>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Reconocimiento y medición de multas,</w:t>
            </w:r>
          </w:p>
          <w:p w14:paraId="4EB66BCA" w14:textId="77777777" w:rsidR="00E1374A" w:rsidRPr="00B90399" w:rsidRDefault="00E1374A" w:rsidP="007F4626">
            <w:pPr>
              <w:numPr>
                <w:ilvl w:val="0"/>
                <w:numId w:val="23"/>
              </w:numPr>
              <w:spacing w:after="0" w:line="240" w:lineRule="auto"/>
              <w:ind w:left="26" w:hanging="91"/>
              <w:contextualSpacing/>
              <w:jc w:val="left"/>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Donaciones, regalos y bienes en especies,</w:t>
            </w:r>
          </w:p>
          <w:p w14:paraId="4751FDD9" w14:textId="77777777" w:rsidR="00E1374A" w:rsidRPr="00B90399" w:rsidRDefault="00E1374A" w:rsidP="007F4626">
            <w:pPr>
              <w:numPr>
                <w:ilvl w:val="0"/>
                <w:numId w:val="23"/>
              </w:numPr>
              <w:spacing w:after="0" w:line="240" w:lineRule="auto"/>
              <w:ind w:left="26" w:hanging="91"/>
              <w:contextualSpacing/>
              <w:jc w:val="left"/>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Prestación de servicios,</w:t>
            </w:r>
          </w:p>
          <w:p w14:paraId="2F844307" w14:textId="77777777" w:rsidR="00E1374A" w:rsidRPr="00B90399" w:rsidRDefault="00E1374A" w:rsidP="007F4626">
            <w:pPr>
              <w:numPr>
                <w:ilvl w:val="0"/>
                <w:numId w:val="23"/>
              </w:numPr>
              <w:spacing w:after="0" w:line="240" w:lineRule="auto"/>
              <w:ind w:left="26" w:hanging="91"/>
              <w:contextualSpacing/>
              <w:jc w:val="left"/>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Ingresos por arrendamientos operativos</w:t>
            </w:r>
          </w:p>
        </w:tc>
      </w:tr>
      <w:tr w:rsidR="00E1374A" w:rsidRPr="00B90399" w14:paraId="525FC369" w14:textId="77777777" w:rsidTr="007B0BB6">
        <w:trPr>
          <w:trHeight w:val="236"/>
        </w:trPr>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E129B2" w14:textId="77777777" w:rsidR="00E1374A" w:rsidRPr="00B90399" w:rsidRDefault="00E1374A" w:rsidP="007B0BB6">
            <w:pPr>
              <w:spacing w:after="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lastRenderedPageBreak/>
              <w:t>1.90,</w:t>
            </w:r>
          </w:p>
          <w:p w14:paraId="72099563" w14:textId="77777777" w:rsidR="00E1374A" w:rsidRPr="00B90399" w:rsidRDefault="00E1374A" w:rsidP="007B0BB6">
            <w:pPr>
              <w:spacing w:before="240" w:after="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5.1,</w:t>
            </w:r>
          </w:p>
          <w:p w14:paraId="74B4EB07" w14:textId="77777777" w:rsidR="00E1374A" w:rsidRPr="00B90399" w:rsidRDefault="00E1374A" w:rsidP="007B0BB6">
            <w:pPr>
              <w:spacing w:after="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5.2,</w:t>
            </w:r>
          </w:p>
          <w:p w14:paraId="5BA95351" w14:textId="77777777" w:rsidR="00E1374A" w:rsidRPr="00B90399" w:rsidRDefault="00E1374A" w:rsidP="007B0BB6">
            <w:pPr>
              <w:spacing w:after="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5.3,</w:t>
            </w:r>
          </w:p>
          <w:p w14:paraId="09EE3A4C" w14:textId="77777777" w:rsidR="00E1374A" w:rsidRPr="00B90399" w:rsidRDefault="00E1374A" w:rsidP="007B0BB6">
            <w:pPr>
              <w:spacing w:after="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5.4,</w:t>
            </w:r>
          </w:p>
          <w:p w14:paraId="133F305B" w14:textId="77777777" w:rsidR="00E1374A" w:rsidRPr="00B90399" w:rsidRDefault="00E1374A" w:rsidP="007B0BB6">
            <w:pPr>
              <w:spacing w:after="24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5.5,</w:t>
            </w:r>
          </w:p>
          <w:p w14:paraId="7A2ED61E" w14:textId="77777777" w:rsidR="00E1374A" w:rsidRPr="00B90399" w:rsidRDefault="00E1374A" w:rsidP="007B0BB6">
            <w:pPr>
              <w:spacing w:after="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5.6,</w:t>
            </w:r>
          </w:p>
          <w:p w14:paraId="71D92C8A" w14:textId="77777777" w:rsidR="00E1374A" w:rsidRPr="00B90399" w:rsidRDefault="00E1374A" w:rsidP="007B0BB6">
            <w:pPr>
              <w:spacing w:after="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5.7,</w:t>
            </w:r>
          </w:p>
          <w:p w14:paraId="338E9CD9" w14:textId="77777777" w:rsidR="00E1374A" w:rsidRPr="00B90399" w:rsidRDefault="00E1374A" w:rsidP="007B0BB6">
            <w:pPr>
              <w:spacing w:after="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5.12,</w:t>
            </w:r>
          </w:p>
          <w:p w14:paraId="01240E46" w14:textId="77777777" w:rsidR="00E1374A" w:rsidRPr="00B90399" w:rsidRDefault="00E1374A" w:rsidP="007B0BB6">
            <w:pPr>
              <w:spacing w:after="12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5.13,</w:t>
            </w:r>
          </w:p>
          <w:p w14:paraId="5F4433F2" w14:textId="77777777" w:rsidR="00E1374A" w:rsidRPr="00B90399" w:rsidRDefault="00E1374A" w:rsidP="007B0BB6">
            <w:pPr>
              <w:spacing w:after="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5.14,</w:t>
            </w:r>
          </w:p>
          <w:p w14:paraId="5689C4AC" w14:textId="77777777" w:rsidR="00E1374A" w:rsidRPr="00B90399" w:rsidRDefault="00E1374A" w:rsidP="007B0BB6">
            <w:pPr>
              <w:spacing w:after="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5.17,</w:t>
            </w:r>
          </w:p>
          <w:p w14:paraId="7E4AE627" w14:textId="77777777" w:rsidR="00E1374A" w:rsidRPr="00B90399" w:rsidRDefault="00E1374A" w:rsidP="007B0BB6">
            <w:pPr>
              <w:spacing w:after="12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5.18,</w:t>
            </w:r>
          </w:p>
          <w:p w14:paraId="1A6C670C" w14:textId="77777777" w:rsidR="00E1374A" w:rsidRPr="00B90399" w:rsidRDefault="00E1374A" w:rsidP="007B0BB6">
            <w:pPr>
              <w:spacing w:after="12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5.19,</w:t>
            </w:r>
          </w:p>
          <w:p w14:paraId="4BB9FB05" w14:textId="77777777" w:rsidR="00E1374A" w:rsidRPr="00B90399" w:rsidRDefault="00E1374A" w:rsidP="007B0BB6">
            <w:pPr>
              <w:spacing w:after="12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5.24,</w:t>
            </w:r>
          </w:p>
          <w:p w14:paraId="38DFC97B" w14:textId="77777777" w:rsidR="00E1374A" w:rsidRPr="00B90399" w:rsidRDefault="00E1374A" w:rsidP="007B0BB6">
            <w:pPr>
              <w:spacing w:after="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5.35,</w:t>
            </w:r>
          </w:p>
          <w:p w14:paraId="7C414547" w14:textId="77777777" w:rsidR="00E1374A" w:rsidRPr="00B90399" w:rsidRDefault="00E1374A" w:rsidP="007B0BB6">
            <w:pPr>
              <w:spacing w:after="12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5.37,</w:t>
            </w:r>
          </w:p>
          <w:p w14:paraId="6F0BAD93" w14:textId="77777777" w:rsidR="00E1374A" w:rsidRPr="00B90399" w:rsidRDefault="00E1374A" w:rsidP="007B0BB6">
            <w:pPr>
              <w:spacing w:after="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5.39,</w:t>
            </w:r>
          </w:p>
          <w:p w14:paraId="2E0ED91D" w14:textId="77777777" w:rsidR="00E1374A" w:rsidRPr="00B90399" w:rsidRDefault="00E1374A" w:rsidP="007B0BB6">
            <w:pPr>
              <w:spacing w:after="12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5.40,</w:t>
            </w:r>
          </w:p>
          <w:p w14:paraId="0AABF8FE" w14:textId="77777777" w:rsidR="00E1374A" w:rsidRPr="00B90399" w:rsidRDefault="00E1374A" w:rsidP="007B0BB6">
            <w:pPr>
              <w:spacing w:after="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5.44,</w:t>
            </w:r>
          </w:p>
          <w:p w14:paraId="027BD862" w14:textId="77777777" w:rsidR="00E1374A" w:rsidRPr="00B90399" w:rsidRDefault="00E1374A" w:rsidP="007B0BB6">
            <w:pPr>
              <w:spacing w:after="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5.46,</w:t>
            </w:r>
          </w:p>
          <w:p w14:paraId="6428CC3D" w14:textId="77777777" w:rsidR="00E1374A" w:rsidRPr="00B90399" w:rsidRDefault="00E1374A" w:rsidP="007B0BB6">
            <w:pPr>
              <w:spacing w:after="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5.55</w:t>
            </w:r>
          </w:p>
        </w:tc>
        <w:tc>
          <w:tcPr>
            <w:tcW w:w="719" w:type="pct"/>
            <w:tcBorders>
              <w:top w:val="single" w:sz="4" w:space="0" w:color="auto"/>
              <w:left w:val="nil"/>
              <w:bottom w:val="single" w:sz="4" w:space="0" w:color="auto"/>
              <w:right w:val="single" w:sz="4" w:space="0" w:color="auto"/>
            </w:tcBorders>
            <w:shd w:val="clear" w:color="auto" w:fill="auto"/>
            <w:vAlign w:val="center"/>
          </w:tcPr>
          <w:p w14:paraId="0C30398D" w14:textId="77777777" w:rsidR="00E1374A" w:rsidRPr="00B90399" w:rsidRDefault="00E1374A" w:rsidP="007B0BB6">
            <w:pPr>
              <w:spacing w:before="360" w:after="0" w:line="240" w:lineRule="auto"/>
              <w:jc w:val="center"/>
              <w:rPr>
                <w:rFonts w:eastAsia="Times New Roman" w:cs="Calibri"/>
                <w:color w:val="000000"/>
                <w:sz w:val="16"/>
                <w:szCs w:val="16"/>
                <w:lang w:eastAsia="es-CR"/>
              </w:rPr>
            </w:pPr>
            <w:r w:rsidRPr="00B90399">
              <w:rPr>
                <w:rFonts w:eastAsia="Times New Roman" w:cs="Calibri"/>
                <w:color w:val="000000"/>
                <w:sz w:val="16"/>
                <w:szCs w:val="16"/>
                <w:lang w:eastAsia="es-CR"/>
              </w:rPr>
              <w:t>Gastos</w:t>
            </w:r>
          </w:p>
        </w:tc>
        <w:tc>
          <w:tcPr>
            <w:tcW w:w="1519" w:type="pct"/>
            <w:tcBorders>
              <w:top w:val="single" w:sz="4" w:space="0" w:color="auto"/>
              <w:left w:val="nil"/>
              <w:bottom w:val="single" w:sz="4" w:space="0" w:color="auto"/>
              <w:right w:val="single" w:sz="4" w:space="0" w:color="auto"/>
            </w:tcBorders>
            <w:shd w:val="clear" w:color="auto" w:fill="auto"/>
            <w:noWrap/>
            <w:vAlign w:val="bottom"/>
          </w:tcPr>
          <w:p w14:paraId="311C843B" w14:textId="77777777" w:rsidR="00E1374A" w:rsidRPr="00B90399" w:rsidRDefault="00E1374A" w:rsidP="007B0BB6">
            <w:pPr>
              <w:spacing w:before="360" w:after="2820" w:line="240" w:lineRule="auto"/>
              <w:jc w:val="center"/>
              <w:rPr>
                <w:rFonts w:eastAsia="Cambria" w:cs="Arial"/>
                <w:color w:val="000000"/>
                <w:sz w:val="16"/>
                <w:szCs w:val="16"/>
                <w:lang w:eastAsia="es-CR"/>
              </w:rPr>
            </w:pPr>
            <w:r w:rsidRPr="00B90399">
              <w:rPr>
                <w:rFonts w:eastAsia="Cambria" w:cs="Arial"/>
                <w:color w:val="000000"/>
                <w:sz w:val="16"/>
                <w:szCs w:val="16"/>
                <w:lang w:eastAsia="es-CR"/>
              </w:rPr>
              <w:t>Gastos</w:t>
            </w:r>
          </w:p>
        </w:tc>
        <w:tc>
          <w:tcPr>
            <w:tcW w:w="780" w:type="pct"/>
            <w:tcBorders>
              <w:top w:val="single" w:sz="4" w:space="0" w:color="auto"/>
              <w:left w:val="nil"/>
              <w:bottom w:val="single" w:sz="4" w:space="0" w:color="auto"/>
              <w:right w:val="single" w:sz="4" w:space="0" w:color="auto"/>
            </w:tcBorders>
            <w:shd w:val="clear" w:color="auto" w:fill="auto"/>
            <w:noWrap/>
            <w:vAlign w:val="bottom"/>
          </w:tcPr>
          <w:p w14:paraId="2E099324" w14:textId="77777777" w:rsidR="00E1374A" w:rsidRPr="00B90399" w:rsidRDefault="00E1374A" w:rsidP="007B0BB6">
            <w:pPr>
              <w:spacing w:before="360" w:after="282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NICSP 5,12,13,17,19,39</w:t>
            </w:r>
          </w:p>
        </w:tc>
        <w:tc>
          <w:tcPr>
            <w:tcW w:w="1608" w:type="pct"/>
            <w:tcBorders>
              <w:top w:val="single" w:sz="4" w:space="0" w:color="auto"/>
              <w:left w:val="nil"/>
              <w:bottom w:val="single" w:sz="4" w:space="0" w:color="auto"/>
              <w:right w:val="single" w:sz="4" w:space="0" w:color="auto"/>
            </w:tcBorders>
            <w:shd w:val="clear" w:color="auto" w:fill="auto"/>
            <w:noWrap/>
            <w:vAlign w:val="bottom"/>
          </w:tcPr>
          <w:p w14:paraId="405E9F66" w14:textId="77777777" w:rsidR="00E1374A" w:rsidRPr="00B90399" w:rsidRDefault="00E1374A" w:rsidP="007F4626">
            <w:pPr>
              <w:numPr>
                <w:ilvl w:val="0"/>
                <w:numId w:val="23"/>
              </w:numPr>
              <w:spacing w:after="0" w:line="240" w:lineRule="auto"/>
              <w:ind w:left="26" w:hanging="91"/>
              <w:contextualSpacing/>
              <w:jc w:val="left"/>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Reconocimiento como un gasto (inventarios),</w:t>
            </w:r>
          </w:p>
          <w:p w14:paraId="0915E54C" w14:textId="77777777" w:rsidR="00E1374A" w:rsidRPr="00B90399" w:rsidRDefault="00E1374A" w:rsidP="007F4626">
            <w:pPr>
              <w:numPr>
                <w:ilvl w:val="0"/>
                <w:numId w:val="23"/>
              </w:numPr>
              <w:spacing w:after="0" w:line="240" w:lineRule="auto"/>
              <w:ind w:left="26" w:hanging="91"/>
              <w:contextualSpacing/>
              <w:jc w:val="left"/>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Gastos por beneficios a los empleados,</w:t>
            </w:r>
          </w:p>
          <w:p w14:paraId="280A54E6" w14:textId="77777777" w:rsidR="00E1374A" w:rsidRPr="00B90399" w:rsidRDefault="00E1374A" w:rsidP="007F4626">
            <w:pPr>
              <w:numPr>
                <w:ilvl w:val="0"/>
                <w:numId w:val="23"/>
              </w:numPr>
              <w:spacing w:after="0" w:line="240" w:lineRule="auto"/>
              <w:ind w:left="26" w:hanging="91"/>
              <w:contextualSpacing/>
              <w:jc w:val="left"/>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Gastos por concepto de salario escolar,</w:t>
            </w:r>
          </w:p>
          <w:p w14:paraId="2F67CF8D" w14:textId="77777777" w:rsidR="00E1374A" w:rsidRPr="00B90399" w:rsidRDefault="00E1374A" w:rsidP="007F4626">
            <w:pPr>
              <w:numPr>
                <w:ilvl w:val="0"/>
                <w:numId w:val="23"/>
              </w:numPr>
              <w:spacing w:after="0" w:line="240" w:lineRule="auto"/>
              <w:ind w:left="26" w:hanging="91"/>
              <w:contextualSpacing/>
              <w:jc w:val="left"/>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Gastos por concepto de vacaciones</w:t>
            </w:r>
          </w:p>
          <w:p w14:paraId="3C921F74" w14:textId="77777777" w:rsidR="00E1374A" w:rsidRPr="00B90399" w:rsidRDefault="00E1374A" w:rsidP="007F4626">
            <w:pPr>
              <w:numPr>
                <w:ilvl w:val="0"/>
                <w:numId w:val="23"/>
              </w:numPr>
              <w:spacing w:after="0" w:line="240" w:lineRule="auto"/>
              <w:ind w:left="26" w:hanging="91"/>
              <w:contextualSpacing/>
              <w:jc w:val="left"/>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Medición y Reconocimiento vacaciones,</w:t>
            </w:r>
          </w:p>
          <w:p w14:paraId="4CCD66B4" w14:textId="77777777" w:rsidR="00E1374A" w:rsidRPr="00B90399" w:rsidRDefault="00E1374A" w:rsidP="007F4626">
            <w:pPr>
              <w:numPr>
                <w:ilvl w:val="0"/>
                <w:numId w:val="23"/>
              </w:numPr>
              <w:spacing w:after="0" w:line="240" w:lineRule="auto"/>
              <w:ind w:left="26" w:hanging="91"/>
              <w:contextualSpacing/>
              <w:jc w:val="left"/>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Medición y reconocimiento de ausencias retribuidas,</w:t>
            </w:r>
          </w:p>
          <w:p w14:paraId="7EE9DEC1" w14:textId="77777777" w:rsidR="00E1374A" w:rsidRPr="00B90399" w:rsidRDefault="00E1374A" w:rsidP="007F4626">
            <w:pPr>
              <w:numPr>
                <w:ilvl w:val="0"/>
                <w:numId w:val="23"/>
              </w:numPr>
              <w:spacing w:after="0" w:line="240" w:lineRule="auto"/>
              <w:ind w:left="26" w:hanging="91"/>
              <w:contextualSpacing/>
              <w:jc w:val="left"/>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Pago por incentivos,</w:t>
            </w:r>
          </w:p>
          <w:p w14:paraId="6D138A5F" w14:textId="77777777" w:rsidR="00E1374A" w:rsidRPr="00B90399" w:rsidRDefault="00E1374A" w:rsidP="007F4626">
            <w:pPr>
              <w:numPr>
                <w:ilvl w:val="0"/>
                <w:numId w:val="23"/>
              </w:numPr>
              <w:spacing w:after="0" w:line="240" w:lineRule="auto"/>
              <w:ind w:left="26" w:hanging="91"/>
              <w:contextualSpacing/>
              <w:jc w:val="left"/>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Gastos por concepto de aguinaldo,</w:t>
            </w:r>
          </w:p>
          <w:p w14:paraId="21B04CE2" w14:textId="77777777" w:rsidR="00E1374A" w:rsidRPr="00B90399" w:rsidRDefault="00E1374A" w:rsidP="007F4626">
            <w:pPr>
              <w:numPr>
                <w:ilvl w:val="0"/>
                <w:numId w:val="23"/>
              </w:numPr>
              <w:spacing w:after="0" w:line="240" w:lineRule="auto"/>
              <w:ind w:left="26" w:hanging="91"/>
              <w:contextualSpacing/>
              <w:jc w:val="left"/>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Indemnizaciones por cese,</w:t>
            </w:r>
          </w:p>
          <w:p w14:paraId="03824303" w14:textId="77777777" w:rsidR="00E1374A" w:rsidRPr="00B90399" w:rsidRDefault="00E1374A" w:rsidP="007F4626">
            <w:pPr>
              <w:numPr>
                <w:ilvl w:val="0"/>
                <w:numId w:val="23"/>
              </w:numPr>
              <w:spacing w:after="0" w:line="240" w:lineRule="auto"/>
              <w:ind w:left="26" w:hanging="91"/>
              <w:contextualSpacing/>
              <w:jc w:val="left"/>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Gastos por concepto de auxilio de cesantía,</w:t>
            </w:r>
          </w:p>
          <w:p w14:paraId="37517373" w14:textId="77777777" w:rsidR="00E1374A" w:rsidRPr="00B90399" w:rsidRDefault="00E1374A" w:rsidP="007F4626">
            <w:pPr>
              <w:numPr>
                <w:ilvl w:val="0"/>
                <w:numId w:val="23"/>
              </w:numPr>
              <w:spacing w:after="0" w:line="240" w:lineRule="auto"/>
              <w:ind w:left="26" w:hanging="91"/>
              <w:contextualSpacing/>
              <w:jc w:val="left"/>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Gastos por concepto de preaviso,</w:t>
            </w:r>
          </w:p>
          <w:p w14:paraId="4AC6E6CE" w14:textId="77777777" w:rsidR="00E1374A" w:rsidRPr="00B90399" w:rsidRDefault="00E1374A" w:rsidP="007F4626">
            <w:pPr>
              <w:numPr>
                <w:ilvl w:val="0"/>
                <w:numId w:val="23"/>
              </w:numPr>
              <w:spacing w:after="0" w:line="240" w:lineRule="auto"/>
              <w:ind w:left="26" w:hanging="91"/>
              <w:contextualSpacing/>
              <w:jc w:val="left"/>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Servicios recibidos,</w:t>
            </w:r>
          </w:p>
          <w:p w14:paraId="4B91597B" w14:textId="77777777" w:rsidR="00E1374A" w:rsidRPr="00B90399" w:rsidRDefault="00E1374A" w:rsidP="007F4626">
            <w:pPr>
              <w:numPr>
                <w:ilvl w:val="0"/>
                <w:numId w:val="23"/>
              </w:numPr>
              <w:spacing w:after="0" w:line="240" w:lineRule="auto"/>
              <w:ind w:left="26" w:hanging="91"/>
              <w:contextualSpacing/>
              <w:jc w:val="left"/>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Reconocimiento de gastos por inventarios,</w:t>
            </w:r>
          </w:p>
          <w:p w14:paraId="2222AC10" w14:textId="77777777" w:rsidR="00E1374A" w:rsidRPr="00B90399" w:rsidRDefault="00E1374A" w:rsidP="007F4626">
            <w:pPr>
              <w:numPr>
                <w:ilvl w:val="0"/>
                <w:numId w:val="23"/>
              </w:numPr>
              <w:spacing w:after="0" w:line="240" w:lineRule="auto"/>
              <w:ind w:left="26" w:hanging="91"/>
              <w:contextualSpacing/>
              <w:jc w:val="left"/>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Reconocimiento de gastos por bienes del Activo Fijo,</w:t>
            </w:r>
          </w:p>
          <w:p w14:paraId="272F9644" w14:textId="77777777" w:rsidR="00E1374A" w:rsidRPr="00B90399" w:rsidRDefault="00E1374A" w:rsidP="007F4626">
            <w:pPr>
              <w:numPr>
                <w:ilvl w:val="0"/>
                <w:numId w:val="23"/>
              </w:numPr>
              <w:spacing w:after="0" w:line="240" w:lineRule="auto"/>
              <w:ind w:left="26" w:hanging="91"/>
              <w:contextualSpacing/>
              <w:jc w:val="left"/>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Cuotas del arrendamiento operativo para la entidad arrendataria,</w:t>
            </w:r>
          </w:p>
          <w:p w14:paraId="67A467DF" w14:textId="77777777" w:rsidR="00E1374A" w:rsidRPr="00B90399" w:rsidRDefault="00E1374A" w:rsidP="007F4626">
            <w:pPr>
              <w:numPr>
                <w:ilvl w:val="0"/>
                <w:numId w:val="23"/>
              </w:numPr>
              <w:spacing w:after="0" w:line="240" w:lineRule="auto"/>
              <w:ind w:left="26" w:hanging="91"/>
              <w:contextualSpacing/>
              <w:jc w:val="left"/>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Depreciaciones – Terrenos y Edificios,</w:t>
            </w:r>
          </w:p>
          <w:p w14:paraId="2931C68E" w14:textId="77777777" w:rsidR="00E1374A" w:rsidRPr="00B90399" w:rsidRDefault="00E1374A" w:rsidP="007F4626">
            <w:pPr>
              <w:numPr>
                <w:ilvl w:val="0"/>
                <w:numId w:val="23"/>
              </w:numPr>
              <w:spacing w:after="0" w:line="240" w:lineRule="auto"/>
              <w:ind w:left="26" w:hanging="91"/>
              <w:contextualSpacing/>
              <w:jc w:val="left"/>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Depreciación de los bienes dados en arrendamiento operativo,</w:t>
            </w:r>
          </w:p>
          <w:p w14:paraId="759B08AE" w14:textId="77777777" w:rsidR="00E1374A" w:rsidRPr="00B90399" w:rsidRDefault="00E1374A" w:rsidP="007F4626">
            <w:pPr>
              <w:numPr>
                <w:ilvl w:val="0"/>
                <w:numId w:val="23"/>
              </w:numPr>
              <w:spacing w:after="0" w:line="240" w:lineRule="auto"/>
              <w:ind w:left="26" w:hanging="91"/>
              <w:contextualSpacing/>
              <w:jc w:val="left"/>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Reconocimiento de depreciaciones y amortizaciones,</w:t>
            </w:r>
          </w:p>
          <w:p w14:paraId="57A8E5E8" w14:textId="77777777" w:rsidR="00E1374A" w:rsidRPr="00B90399" w:rsidRDefault="00E1374A" w:rsidP="007F4626">
            <w:pPr>
              <w:numPr>
                <w:ilvl w:val="0"/>
                <w:numId w:val="23"/>
              </w:numPr>
              <w:spacing w:after="0" w:line="240" w:lineRule="auto"/>
              <w:ind w:left="26" w:hanging="91"/>
              <w:contextualSpacing/>
              <w:jc w:val="left"/>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Deterioro del valor,</w:t>
            </w:r>
          </w:p>
          <w:p w14:paraId="0588E84D" w14:textId="77777777" w:rsidR="00E1374A" w:rsidRPr="00B90399" w:rsidRDefault="00E1374A" w:rsidP="007F4626">
            <w:pPr>
              <w:numPr>
                <w:ilvl w:val="0"/>
                <w:numId w:val="23"/>
              </w:numPr>
              <w:spacing w:after="0" w:line="240" w:lineRule="auto"/>
              <w:ind w:left="26" w:hanging="91"/>
              <w:contextualSpacing/>
              <w:jc w:val="left"/>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Pérdida del valor de los inventarios,</w:t>
            </w:r>
          </w:p>
          <w:p w14:paraId="70447E7A" w14:textId="77777777" w:rsidR="00E1374A" w:rsidRPr="00B90399" w:rsidRDefault="00E1374A" w:rsidP="007F4626">
            <w:pPr>
              <w:numPr>
                <w:ilvl w:val="0"/>
                <w:numId w:val="23"/>
              </w:numPr>
              <w:spacing w:after="0" w:line="240" w:lineRule="auto"/>
              <w:ind w:left="26" w:hanging="91"/>
              <w:contextualSpacing/>
              <w:jc w:val="left"/>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Deterioro e incobrabilidad de los activos financieros,</w:t>
            </w:r>
          </w:p>
          <w:p w14:paraId="0EB50A7B" w14:textId="77777777" w:rsidR="00E1374A" w:rsidRPr="00B90399" w:rsidRDefault="00E1374A" w:rsidP="007F4626">
            <w:pPr>
              <w:numPr>
                <w:ilvl w:val="0"/>
                <w:numId w:val="23"/>
              </w:numPr>
              <w:spacing w:after="0" w:line="240" w:lineRule="auto"/>
              <w:ind w:left="26" w:hanging="91"/>
              <w:contextualSpacing/>
              <w:jc w:val="left"/>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Reconocimiento en los EEFF de la variación de las diferencias de cambio</w:t>
            </w:r>
          </w:p>
        </w:tc>
      </w:tr>
      <w:tr w:rsidR="00E1374A" w:rsidRPr="00B90399" w14:paraId="4C743097" w14:textId="77777777" w:rsidTr="007B0BB6">
        <w:trPr>
          <w:trHeight w:val="236"/>
        </w:trPr>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D86BDC" w14:textId="77777777" w:rsidR="00E1374A" w:rsidRPr="00B90399" w:rsidRDefault="00E1374A" w:rsidP="007B0BB6">
            <w:pPr>
              <w:spacing w:after="48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6.13,</w:t>
            </w:r>
          </w:p>
          <w:p w14:paraId="0FAEB329" w14:textId="77777777" w:rsidR="00E1374A" w:rsidRPr="00B90399" w:rsidRDefault="00E1374A" w:rsidP="007B0BB6">
            <w:pPr>
              <w:spacing w:after="36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6.15,</w:t>
            </w:r>
          </w:p>
          <w:p w14:paraId="3C1BF660" w14:textId="77777777" w:rsidR="00E1374A" w:rsidRPr="00B90399" w:rsidRDefault="00E1374A" w:rsidP="007B0BB6">
            <w:pPr>
              <w:spacing w:after="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2.95</w:t>
            </w:r>
          </w:p>
        </w:tc>
        <w:tc>
          <w:tcPr>
            <w:tcW w:w="719" w:type="pct"/>
            <w:tcBorders>
              <w:top w:val="single" w:sz="4" w:space="0" w:color="auto"/>
              <w:left w:val="nil"/>
              <w:bottom w:val="single" w:sz="4" w:space="0" w:color="auto"/>
              <w:right w:val="single" w:sz="4" w:space="0" w:color="auto"/>
            </w:tcBorders>
            <w:shd w:val="clear" w:color="auto" w:fill="auto"/>
            <w:vAlign w:val="center"/>
          </w:tcPr>
          <w:p w14:paraId="17C7897C" w14:textId="77777777" w:rsidR="00E1374A" w:rsidRPr="00B90399" w:rsidRDefault="00E1374A" w:rsidP="007B0BB6">
            <w:pPr>
              <w:spacing w:after="0" w:line="240" w:lineRule="auto"/>
              <w:jc w:val="center"/>
              <w:rPr>
                <w:rFonts w:eastAsia="Times New Roman" w:cs="Calibri"/>
                <w:color w:val="000000"/>
                <w:sz w:val="16"/>
                <w:szCs w:val="16"/>
                <w:lang w:eastAsia="es-CR"/>
              </w:rPr>
            </w:pPr>
            <w:r w:rsidRPr="00B90399">
              <w:rPr>
                <w:rFonts w:eastAsia="Times New Roman" w:cs="Calibri"/>
                <w:color w:val="000000"/>
                <w:sz w:val="16"/>
                <w:szCs w:val="16"/>
                <w:lang w:eastAsia="es-CR"/>
              </w:rPr>
              <w:t>Presentación EEFF</w:t>
            </w:r>
          </w:p>
        </w:tc>
        <w:tc>
          <w:tcPr>
            <w:tcW w:w="1519" w:type="pct"/>
            <w:tcBorders>
              <w:top w:val="single" w:sz="4" w:space="0" w:color="auto"/>
              <w:left w:val="nil"/>
              <w:bottom w:val="single" w:sz="4" w:space="0" w:color="auto"/>
              <w:right w:val="single" w:sz="4" w:space="0" w:color="auto"/>
            </w:tcBorders>
            <w:shd w:val="clear" w:color="auto" w:fill="auto"/>
            <w:noWrap/>
            <w:vAlign w:val="bottom"/>
          </w:tcPr>
          <w:p w14:paraId="5CF20DE5" w14:textId="77777777" w:rsidR="00E1374A" w:rsidRPr="00B90399" w:rsidRDefault="00E1374A" w:rsidP="007B0BB6">
            <w:pPr>
              <w:spacing w:after="600" w:line="240" w:lineRule="auto"/>
              <w:rPr>
                <w:rFonts w:eastAsia="Cambria" w:cs="Arial"/>
                <w:color w:val="000000"/>
                <w:sz w:val="16"/>
                <w:szCs w:val="16"/>
                <w:lang w:eastAsia="es-CR"/>
              </w:rPr>
            </w:pPr>
            <w:r w:rsidRPr="00B90399">
              <w:rPr>
                <w:rFonts w:eastAsia="Cambria" w:cs="Arial"/>
                <w:color w:val="000000"/>
                <w:sz w:val="16"/>
                <w:szCs w:val="16"/>
                <w:lang w:eastAsia="es-CR"/>
              </w:rPr>
              <w:t>Hechos ocurridos después de la fecha de presentación</w:t>
            </w:r>
          </w:p>
        </w:tc>
        <w:tc>
          <w:tcPr>
            <w:tcW w:w="780" w:type="pct"/>
            <w:tcBorders>
              <w:top w:val="single" w:sz="4" w:space="0" w:color="auto"/>
              <w:left w:val="nil"/>
              <w:bottom w:val="single" w:sz="4" w:space="0" w:color="auto"/>
              <w:right w:val="single" w:sz="4" w:space="0" w:color="auto"/>
            </w:tcBorders>
            <w:shd w:val="clear" w:color="auto" w:fill="auto"/>
            <w:noWrap/>
            <w:vAlign w:val="bottom"/>
          </w:tcPr>
          <w:p w14:paraId="4D0BFEB4" w14:textId="77777777" w:rsidR="00E1374A" w:rsidRPr="00B90399" w:rsidRDefault="00E1374A" w:rsidP="007B0BB6">
            <w:pPr>
              <w:spacing w:after="60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NICSP 14</w:t>
            </w:r>
          </w:p>
        </w:tc>
        <w:tc>
          <w:tcPr>
            <w:tcW w:w="1608" w:type="pct"/>
            <w:tcBorders>
              <w:top w:val="single" w:sz="4" w:space="0" w:color="auto"/>
              <w:left w:val="nil"/>
              <w:bottom w:val="single" w:sz="4" w:space="0" w:color="auto"/>
              <w:right w:val="single" w:sz="4" w:space="0" w:color="auto"/>
            </w:tcBorders>
            <w:shd w:val="clear" w:color="auto" w:fill="auto"/>
            <w:noWrap/>
            <w:vAlign w:val="bottom"/>
          </w:tcPr>
          <w:p w14:paraId="60372A89" w14:textId="77777777" w:rsidR="00E1374A" w:rsidRPr="00B90399" w:rsidRDefault="00E1374A" w:rsidP="007F4626">
            <w:pPr>
              <w:numPr>
                <w:ilvl w:val="0"/>
                <w:numId w:val="23"/>
              </w:numPr>
              <w:spacing w:after="0" w:line="240" w:lineRule="auto"/>
              <w:ind w:left="26" w:hanging="91"/>
              <w:contextualSpacing/>
              <w:jc w:val="left"/>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Hechos ocurridos después de la fecha sobre la que se informa,</w:t>
            </w:r>
          </w:p>
          <w:p w14:paraId="3F67C03B" w14:textId="77777777" w:rsidR="00E1374A" w:rsidRPr="00B90399" w:rsidRDefault="00E1374A" w:rsidP="007F4626">
            <w:pPr>
              <w:numPr>
                <w:ilvl w:val="0"/>
                <w:numId w:val="23"/>
              </w:numPr>
              <w:spacing w:after="0" w:line="240" w:lineRule="auto"/>
              <w:ind w:left="26" w:hanging="91"/>
              <w:contextualSpacing/>
              <w:jc w:val="left"/>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Tratamiento de los hechos ocurridos después de la fecha sobre la que se informa,</w:t>
            </w:r>
          </w:p>
          <w:p w14:paraId="0A4677F2" w14:textId="77777777" w:rsidR="00E1374A" w:rsidRPr="00B90399" w:rsidRDefault="00E1374A" w:rsidP="007F4626">
            <w:pPr>
              <w:numPr>
                <w:ilvl w:val="0"/>
                <w:numId w:val="23"/>
              </w:numPr>
              <w:spacing w:after="0" w:line="240" w:lineRule="auto"/>
              <w:ind w:left="26" w:hanging="91"/>
              <w:contextualSpacing/>
              <w:jc w:val="left"/>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Reconocimiento de una provisión (Hechos ocurridos después de la fecha sobre la que se informa)</w:t>
            </w:r>
          </w:p>
        </w:tc>
      </w:tr>
      <w:tr w:rsidR="00E1374A" w:rsidRPr="00B90399" w14:paraId="3EB089B5" w14:textId="77777777" w:rsidTr="007B0BB6">
        <w:trPr>
          <w:trHeight w:val="236"/>
        </w:trPr>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78FB1B" w14:textId="77777777" w:rsidR="00E1374A" w:rsidRPr="00B90399" w:rsidRDefault="00E1374A" w:rsidP="007B0BB6">
            <w:pPr>
              <w:spacing w:after="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6.1,</w:t>
            </w:r>
          </w:p>
          <w:p w14:paraId="5C460403" w14:textId="77777777" w:rsidR="00E1374A" w:rsidRPr="00B90399" w:rsidRDefault="00E1374A" w:rsidP="007B0BB6">
            <w:pPr>
              <w:spacing w:before="240" w:after="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6.6,</w:t>
            </w:r>
          </w:p>
          <w:p w14:paraId="0514D2B1" w14:textId="77777777" w:rsidR="00E1374A" w:rsidRPr="00B90399" w:rsidRDefault="00E1374A" w:rsidP="007B0BB6">
            <w:pPr>
              <w:spacing w:before="240" w:after="0" w:line="240" w:lineRule="auto"/>
              <w:jc w:val="center"/>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6.9</w:t>
            </w:r>
          </w:p>
        </w:tc>
        <w:tc>
          <w:tcPr>
            <w:tcW w:w="719" w:type="pct"/>
            <w:tcBorders>
              <w:top w:val="single" w:sz="4" w:space="0" w:color="auto"/>
              <w:left w:val="nil"/>
              <w:bottom w:val="single" w:sz="4" w:space="0" w:color="auto"/>
              <w:right w:val="single" w:sz="4" w:space="0" w:color="auto"/>
            </w:tcBorders>
            <w:shd w:val="clear" w:color="auto" w:fill="auto"/>
            <w:vAlign w:val="center"/>
          </w:tcPr>
          <w:p w14:paraId="0AE37D7C" w14:textId="77777777" w:rsidR="00E1374A" w:rsidRPr="00B90399" w:rsidRDefault="00E1374A" w:rsidP="007B0BB6">
            <w:pPr>
              <w:spacing w:after="0" w:line="240" w:lineRule="auto"/>
              <w:jc w:val="center"/>
              <w:rPr>
                <w:rFonts w:eastAsia="Times New Roman" w:cs="Calibri"/>
                <w:color w:val="000000"/>
                <w:sz w:val="16"/>
                <w:szCs w:val="16"/>
                <w:lang w:eastAsia="es-CR"/>
              </w:rPr>
            </w:pPr>
            <w:r w:rsidRPr="00B90399">
              <w:rPr>
                <w:rFonts w:eastAsia="Times New Roman" w:cs="Calibri"/>
                <w:color w:val="000000"/>
                <w:sz w:val="16"/>
                <w:szCs w:val="16"/>
                <w:lang w:eastAsia="es-CR"/>
              </w:rPr>
              <w:t>Presentación EEFF</w:t>
            </w:r>
          </w:p>
        </w:tc>
        <w:tc>
          <w:tcPr>
            <w:tcW w:w="1519" w:type="pct"/>
            <w:tcBorders>
              <w:top w:val="single" w:sz="4" w:space="0" w:color="auto"/>
              <w:left w:val="nil"/>
              <w:bottom w:val="single" w:sz="4" w:space="0" w:color="auto"/>
              <w:right w:val="single" w:sz="4" w:space="0" w:color="auto"/>
            </w:tcBorders>
            <w:shd w:val="clear" w:color="auto" w:fill="auto"/>
            <w:noWrap/>
            <w:vAlign w:val="bottom"/>
          </w:tcPr>
          <w:p w14:paraId="5451C5D4" w14:textId="77777777" w:rsidR="00E1374A" w:rsidRPr="00B90399" w:rsidRDefault="00E1374A" w:rsidP="007B0BB6">
            <w:pPr>
              <w:spacing w:after="360" w:line="240" w:lineRule="auto"/>
              <w:rPr>
                <w:rFonts w:eastAsia="Cambria" w:cs="Arial"/>
                <w:color w:val="000000"/>
                <w:sz w:val="16"/>
                <w:szCs w:val="16"/>
                <w:lang w:eastAsia="es-CR"/>
              </w:rPr>
            </w:pPr>
            <w:r w:rsidRPr="00B90399">
              <w:rPr>
                <w:rFonts w:eastAsia="Cambria" w:cs="Arial"/>
                <w:color w:val="000000"/>
                <w:sz w:val="16"/>
                <w:szCs w:val="16"/>
                <w:lang w:eastAsia="es-CR"/>
              </w:rPr>
              <w:t>Estados financieros y Estados financieros consolidados</w:t>
            </w:r>
          </w:p>
        </w:tc>
        <w:tc>
          <w:tcPr>
            <w:tcW w:w="780" w:type="pct"/>
            <w:tcBorders>
              <w:top w:val="single" w:sz="4" w:space="0" w:color="auto"/>
              <w:left w:val="nil"/>
              <w:bottom w:val="single" w:sz="4" w:space="0" w:color="auto"/>
              <w:right w:val="single" w:sz="4" w:space="0" w:color="auto"/>
            </w:tcBorders>
            <w:shd w:val="clear" w:color="auto" w:fill="auto"/>
            <w:noWrap/>
            <w:vAlign w:val="bottom"/>
          </w:tcPr>
          <w:p w14:paraId="601F304D" w14:textId="77777777" w:rsidR="00E1374A" w:rsidRPr="00B90399" w:rsidRDefault="00E1374A" w:rsidP="007B0BB6">
            <w:pPr>
              <w:spacing w:after="480" w:line="240" w:lineRule="auto"/>
              <w:jc w:val="right"/>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NICSP 1, 20, 35</w:t>
            </w:r>
          </w:p>
        </w:tc>
        <w:tc>
          <w:tcPr>
            <w:tcW w:w="1608" w:type="pct"/>
            <w:tcBorders>
              <w:top w:val="single" w:sz="4" w:space="0" w:color="auto"/>
              <w:left w:val="nil"/>
              <w:bottom w:val="single" w:sz="4" w:space="0" w:color="auto"/>
              <w:right w:val="single" w:sz="4" w:space="0" w:color="auto"/>
            </w:tcBorders>
            <w:shd w:val="clear" w:color="auto" w:fill="auto"/>
            <w:noWrap/>
            <w:vAlign w:val="bottom"/>
          </w:tcPr>
          <w:p w14:paraId="278CF575" w14:textId="77777777" w:rsidR="00E1374A" w:rsidRPr="00B90399" w:rsidRDefault="00E1374A" w:rsidP="007F4626">
            <w:pPr>
              <w:numPr>
                <w:ilvl w:val="0"/>
                <w:numId w:val="23"/>
              </w:numPr>
              <w:spacing w:after="0" w:line="240" w:lineRule="auto"/>
              <w:ind w:left="26" w:hanging="91"/>
              <w:contextualSpacing/>
              <w:jc w:val="left"/>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 xml:space="preserve">Información Financiera de Propósito General, </w:t>
            </w:r>
          </w:p>
          <w:p w14:paraId="65B14A2A" w14:textId="77777777" w:rsidR="00E1374A" w:rsidRPr="00B90399" w:rsidRDefault="00E1374A" w:rsidP="007F4626">
            <w:pPr>
              <w:numPr>
                <w:ilvl w:val="0"/>
                <w:numId w:val="23"/>
              </w:numPr>
              <w:spacing w:after="0" w:line="240" w:lineRule="auto"/>
              <w:ind w:left="26" w:hanging="91"/>
              <w:contextualSpacing/>
              <w:jc w:val="left"/>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Estructura de los EEFF y de los EFC para el SPC,</w:t>
            </w:r>
          </w:p>
          <w:p w14:paraId="5D772418" w14:textId="77777777" w:rsidR="00E1374A" w:rsidRPr="00B90399" w:rsidRDefault="00E1374A" w:rsidP="007F4626">
            <w:pPr>
              <w:numPr>
                <w:ilvl w:val="0"/>
                <w:numId w:val="23"/>
              </w:numPr>
              <w:spacing w:after="0" w:line="240" w:lineRule="auto"/>
              <w:ind w:left="26" w:hanging="91"/>
              <w:contextualSpacing/>
              <w:jc w:val="left"/>
              <w:rPr>
                <w:rFonts w:ascii="Calibri" w:eastAsia="Times New Roman" w:hAnsi="Calibri" w:cs="Calibri"/>
                <w:color w:val="000000"/>
                <w:sz w:val="16"/>
                <w:szCs w:val="16"/>
                <w:lang w:eastAsia="es-CR"/>
              </w:rPr>
            </w:pPr>
            <w:r w:rsidRPr="00B90399">
              <w:rPr>
                <w:rFonts w:ascii="Calibri" w:eastAsia="Times New Roman" w:hAnsi="Calibri" w:cs="Calibri"/>
                <w:color w:val="000000"/>
                <w:sz w:val="16"/>
                <w:szCs w:val="16"/>
                <w:lang w:eastAsia="es-CR"/>
              </w:rPr>
              <w:t>Presentación razonable y cumplimiento de las NICSP</w:t>
            </w:r>
          </w:p>
        </w:tc>
      </w:tr>
    </w:tbl>
    <w:p w14:paraId="51EF20DC" w14:textId="1BE65A3A" w:rsidR="00E1374A" w:rsidRDefault="00E1374A" w:rsidP="0077456B">
      <w:pPr>
        <w:rPr>
          <w:b/>
          <w:lang w:eastAsia="es-CR"/>
        </w:rPr>
      </w:pPr>
    </w:p>
    <w:p w14:paraId="1E7A16B7" w14:textId="77777777" w:rsidR="007B0BB6" w:rsidRPr="00243AD8" w:rsidRDefault="007B0BB6" w:rsidP="007B0BB6">
      <w:pPr>
        <w:pStyle w:val="Ttulo2"/>
        <w:keepNext w:val="0"/>
        <w:widowControl w:val="0"/>
        <w:spacing w:before="0" w:after="240"/>
        <w:rPr>
          <w:b/>
          <w:bCs/>
          <w:color w:val="auto"/>
          <w:szCs w:val="24"/>
          <w:lang w:eastAsia="es-CR"/>
        </w:rPr>
      </w:pPr>
      <w:bookmarkStart w:id="16" w:name="_Toc133944314"/>
      <w:bookmarkStart w:id="17" w:name="_Toc173245184"/>
      <w:bookmarkStart w:id="18" w:name="_Toc181085885"/>
      <w:bookmarkStart w:id="19" w:name="_Toc189804778"/>
      <w:r>
        <w:rPr>
          <w:b/>
          <w:bCs/>
          <w:color w:val="auto"/>
          <w:szCs w:val="24"/>
          <w:lang w:eastAsia="es-CR"/>
        </w:rPr>
        <w:t>Otra r</w:t>
      </w:r>
      <w:r w:rsidRPr="00243AD8">
        <w:rPr>
          <w:b/>
          <w:bCs/>
          <w:color w:val="auto"/>
          <w:szCs w:val="24"/>
          <w:lang w:eastAsia="es-CR"/>
        </w:rPr>
        <w:t>evelación sobre las principales Políticas</w:t>
      </w:r>
      <w:bookmarkEnd w:id="16"/>
      <w:bookmarkEnd w:id="17"/>
      <w:bookmarkEnd w:id="18"/>
      <w:bookmarkEnd w:id="19"/>
    </w:p>
    <w:p w14:paraId="4CC63A81" w14:textId="77777777" w:rsidR="007B0BB6" w:rsidRDefault="007B0BB6" w:rsidP="007B0BB6">
      <w:pPr>
        <w:spacing w:after="0" w:line="240" w:lineRule="auto"/>
        <w:rPr>
          <w:rFonts w:eastAsia="Cambria" w:cs="Arial"/>
          <w:b/>
          <w:bCs/>
          <w:color w:val="000000"/>
          <w:lang w:eastAsia="es-CR"/>
        </w:rPr>
      </w:pPr>
      <w:r w:rsidRPr="00E91F3C">
        <w:rPr>
          <w:rFonts w:eastAsia="Cambria" w:cs="Arial"/>
          <w:b/>
          <w:bCs/>
          <w:color w:val="000000"/>
          <w:lang w:eastAsia="es-CR"/>
        </w:rPr>
        <w:t>ACTIVOS</w:t>
      </w:r>
    </w:p>
    <w:p w14:paraId="6BBF4066" w14:textId="77777777" w:rsidR="007B0BB6" w:rsidRPr="00E91F3C" w:rsidRDefault="007B0BB6" w:rsidP="007B0BB6">
      <w:pPr>
        <w:spacing w:after="0" w:line="240" w:lineRule="auto"/>
        <w:rPr>
          <w:rFonts w:eastAsia="Cambria" w:cs="Arial"/>
          <w:b/>
          <w:bCs/>
          <w:color w:val="000000"/>
          <w:lang w:eastAsia="es-CR"/>
        </w:rPr>
      </w:pPr>
    </w:p>
    <w:p w14:paraId="23168B95" w14:textId="77777777" w:rsidR="007B0BB6" w:rsidRPr="00E91F3C" w:rsidRDefault="007B0BB6" w:rsidP="007B0BB6">
      <w:pPr>
        <w:spacing w:after="0"/>
        <w:rPr>
          <w:rFonts w:eastAsia="Cambria" w:cs="Arial"/>
          <w:b/>
          <w:bCs/>
          <w:color w:val="000000"/>
          <w:lang w:eastAsia="es-CR"/>
        </w:rPr>
      </w:pPr>
      <w:r w:rsidRPr="00E91F3C">
        <w:rPr>
          <w:rFonts w:eastAsia="Cambria" w:cs="Arial"/>
          <w:b/>
          <w:bCs/>
          <w:color w:val="000000"/>
          <w:lang w:eastAsia="es-CR"/>
        </w:rPr>
        <w:t>Efectivo y Equivalentes de Efectivo</w:t>
      </w:r>
    </w:p>
    <w:p w14:paraId="32F596CA" w14:textId="77777777" w:rsidR="007B0BB6" w:rsidRPr="00740611" w:rsidRDefault="007B0BB6" w:rsidP="007B0BB6">
      <w:pPr>
        <w:spacing w:after="0" w:line="240" w:lineRule="auto"/>
        <w:rPr>
          <w:rFonts w:eastAsia="Cambria" w:cs="Arial"/>
          <w:b/>
          <w:szCs w:val="24"/>
          <w:lang w:eastAsia="es-CR"/>
        </w:rPr>
      </w:pPr>
      <w:r w:rsidRPr="00740611">
        <w:rPr>
          <w:rFonts w:eastAsia="Cambria" w:cs="Arial"/>
          <w:color w:val="000000"/>
          <w:szCs w:val="24"/>
          <w:lang w:eastAsia="es-CR"/>
        </w:rPr>
        <w:t>El Efectivo y Equivalentes de Efectivo se reconocen a su valor nominal. La Municipalidad de Buenos Aires tiene como políticas mantener el Efectivo y Equivalentes de Efectivo en cuentas bancarias en los bancos públicos Banco Nacional de Costa Rica y Banco de Costa Rica, en Caja Chica y en Caja Recaudadora, y se utiliza para cumplir los compromisos de pago a corto plazo. Además, posee</w:t>
      </w:r>
      <w:r w:rsidRPr="00740611">
        <w:rPr>
          <w:rFonts w:eastAsia="Cambria" w:cs="Arial"/>
          <w:b/>
          <w:color w:val="000000"/>
          <w:szCs w:val="24"/>
          <w:lang w:eastAsia="es-CR"/>
        </w:rPr>
        <w:t xml:space="preserve"> </w:t>
      </w:r>
      <w:r w:rsidRPr="00740611">
        <w:rPr>
          <w:rFonts w:eastAsia="Cambria" w:cs="Arial"/>
          <w:color w:val="000000"/>
          <w:szCs w:val="24"/>
          <w:lang w:eastAsia="es-CR"/>
        </w:rPr>
        <w:t xml:space="preserve">efectivo en la Caja Única del Estado (Tesorería Nacional), cuyo funcionamiento se rige por medio de lo dictado </w:t>
      </w:r>
      <w:r w:rsidRPr="00740611">
        <w:rPr>
          <w:rFonts w:eastAsia="Cambria" w:cs="Arial"/>
          <w:color w:val="000000"/>
          <w:szCs w:val="24"/>
          <w:lang w:eastAsia="es-CR"/>
        </w:rPr>
        <w:lastRenderedPageBreak/>
        <w:t>en el Artículo 43 de la Ley Nº 8131 Ley de Administración Financiera de la República y Presupuestos Públicos y en el Decreto Nº 33950-H Reglamento para el funcionamiento de la Caja Única.</w:t>
      </w:r>
    </w:p>
    <w:p w14:paraId="12A69E0D" w14:textId="77777777" w:rsidR="007B0BB6" w:rsidRDefault="007B0BB6" w:rsidP="007B0BB6">
      <w:pPr>
        <w:spacing w:after="0" w:line="240" w:lineRule="auto"/>
        <w:rPr>
          <w:rFonts w:eastAsia="Cambria" w:cs="Arial"/>
          <w:b/>
          <w:bCs/>
          <w:color w:val="000000"/>
          <w:lang w:eastAsia="es-CR"/>
        </w:rPr>
      </w:pPr>
    </w:p>
    <w:p w14:paraId="1D0A03F5" w14:textId="77777777" w:rsidR="007B0BB6" w:rsidRPr="00E91F3C" w:rsidRDefault="007B0BB6" w:rsidP="007B0BB6">
      <w:pPr>
        <w:spacing w:after="0"/>
        <w:rPr>
          <w:rFonts w:eastAsia="Cambria" w:cs="Arial"/>
          <w:b/>
          <w:bCs/>
          <w:color w:val="000000"/>
          <w:lang w:eastAsia="es-CR"/>
        </w:rPr>
      </w:pPr>
      <w:r w:rsidRPr="00E91F3C">
        <w:rPr>
          <w:rFonts w:eastAsia="Cambria" w:cs="Arial"/>
          <w:b/>
          <w:bCs/>
          <w:color w:val="000000"/>
          <w:lang w:eastAsia="es-CR"/>
        </w:rPr>
        <w:t>Cuentas y Documentos por Cobrar</w:t>
      </w:r>
    </w:p>
    <w:p w14:paraId="2446A06D" w14:textId="77777777" w:rsidR="007B0BB6" w:rsidRPr="00740611" w:rsidRDefault="007B0BB6" w:rsidP="007B0BB6">
      <w:pPr>
        <w:spacing w:line="240" w:lineRule="auto"/>
        <w:rPr>
          <w:rFonts w:eastAsia="Cambria" w:cs="Arial"/>
          <w:color w:val="000000"/>
          <w:szCs w:val="24"/>
          <w:lang w:eastAsia="es-CR"/>
        </w:rPr>
      </w:pPr>
      <w:r w:rsidRPr="00740611">
        <w:rPr>
          <w:rFonts w:eastAsia="Cambria" w:cs="Arial"/>
          <w:color w:val="000000"/>
          <w:szCs w:val="24"/>
          <w:lang w:eastAsia="es-CR"/>
        </w:rPr>
        <w:t xml:space="preserve">Los Instrumentos Financieros que posee la Municipalidad de Buenos Aires se incluyen los instrumentos primarios, tales como </w:t>
      </w:r>
      <w:r w:rsidRPr="00740611">
        <w:rPr>
          <w:rFonts w:eastAsia="Cambria" w:cs="Arial"/>
          <w:b/>
          <w:bCs/>
          <w:color w:val="000000"/>
          <w:szCs w:val="24"/>
          <w:lang w:eastAsia="es-CR"/>
        </w:rPr>
        <w:t>Cuentas por Cobrar</w:t>
      </w:r>
      <w:r w:rsidRPr="00740611">
        <w:rPr>
          <w:rFonts w:eastAsia="Cambria" w:cs="Arial"/>
          <w:color w:val="000000"/>
          <w:szCs w:val="24"/>
          <w:lang w:eastAsia="es-CR"/>
        </w:rPr>
        <w:t xml:space="preserve"> y </w:t>
      </w:r>
      <w:r w:rsidRPr="00740611">
        <w:rPr>
          <w:rFonts w:eastAsia="Cambria" w:cs="Arial"/>
          <w:b/>
          <w:bCs/>
          <w:color w:val="000000"/>
          <w:szCs w:val="24"/>
          <w:lang w:eastAsia="es-CR"/>
        </w:rPr>
        <w:t>Documentos por Cobrar</w:t>
      </w:r>
      <w:r w:rsidRPr="00740611">
        <w:rPr>
          <w:rFonts w:eastAsia="Cambria" w:cs="Arial"/>
          <w:color w:val="000000"/>
          <w:szCs w:val="24"/>
          <w:lang w:eastAsia="es-CR"/>
        </w:rPr>
        <w:t>, originados en una obligación que sea ineludible o probable; y que deba efectuar en una fecha determinada o determinable debido a la ocurrencia de cierto hecho por parte de los contribuyentes, y que los obliga a de entregar un activo a la Municipalidad. Dichos instrumentos financieros se reconocen por adeudo de impuestos, tasas, alquileres de bienes, por el otorgamiento de nuevos plazos para el cobro de cuentas por cobrar existentes.</w:t>
      </w:r>
    </w:p>
    <w:p w14:paraId="448547F2" w14:textId="77777777" w:rsidR="007B0BB6" w:rsidRPr="00740611" w:rsidRDefault="007B0BB6" w:rsidP="007B0BB6">
      <w:pPr>
        <w:spacing w:line="240" w:lineRule="auto"/>
        <w:rPr>
          <w:rFonts w:eastAsia="Cambria" w:cs="Arial"/>
          <w:color w:val="000000"/>
          <w:szCs w:val="24"/>
          <w:lang w:eastAsia="es-CR"/>
        </w:rPr>
      </w:pPr>
      <w:r w:rsidRPr="00740611">
        <w:rPr>
          <w:rFonts w:eastAsia="Cambria" w:cs="Arial"/>
          <w:color w:val="000000"/>
          <w:szCs w:val="24"/>
          <w:lang w:eastAsia="es-CR"/>
        </w:rPr>
        <w:t>La Municipalidad tiene como política de medición contable inicial de las cuentas por cobrar deberá realizarse al costo.  En relación con los Documentos por Cobrar se tiene establece como política de medición posterior que deberá realizarse por el costo amortizado a una tasa de interés efectiva.</w:t>
      </w:r>
    </w:p>
    <w:p w14:paraId="4825DA4B" w14:textId="77777777" w:rsidR="007B0BB6" w:rsidRDefault="007B0BB6" w:rsidP="007B0BB6">
      <w:pPr>
        <w:spacing w:after="0" w:line="240" w:lineRule="auto"/>
        <w:rPr>
          <w:rFonts w:eastAsia="Cambria" w:cs="Arial"/>
          <w:color w:val="000000"/>
          <w:szCs w:val="24"/>
          <w:lang w:eastAsia="es-CR"/>
        </w:rPr>
      </w:pPr>
      <w:r w:rsidRPr="00740611">
        <w:rPr>
          <w:rFonts w:eastAsia="Cambria" w:cs="Arial"/>
          <w:color w:val="000000"/>
          <w:szCs w:val="24"/>
          <w:lang w:eastAsia="es-CR"/>
        </w:rPr>
        <w:t>Para calcular el tipo de interés efectivo, la Municipalidad de Buenos Aires estimará los flujos de efectivo teniendo en cuenta todas las condiciones contractuales del instrumento financiero (por ejemplo, pagos anticipados, rescates y opciones similares). El cálculo incluirá todas las comisiones y puntos básicos de interés, pagados o recibidos por las partes del contrato, que integren el tipo de interés efectivo, así como los costes de transacción y cualquier otra prima o descuento.</w:t>
      </w:r>
    </w:p>
    <w:p w14:paraId="15D60609" w14:textId="77777777" w:rsidR="00A85187" w:rsidRDefault="00A85187" w:rsidP="007B0BB6">
      <w:pPr>
        <w:spacing w:after="0" w:line="240" w:lineRule="auto"/>
        <w:rPr>
          <w:rFonts w:eastAsia="Cambria" w:cs="Arial"/>
          <w:color w:val="000000"/>
          <w:szCs w:val="24"/>
          <w:lang w:eastAsia="es-CR"/>
        </w:rPr>
      </w:pPr>
    </w:p>
    <w:p w14:paraId="2805B1BB" w14:textId="77777777" w:rsidR="00A85187" w:rsidRDefault="00A85187" w:rsidP="007B0BB6">
      <w:pPr>
        <w:spacing w:after="0" w:line="240" w:lineRule="auto"/>
        <w:rPr>
          <w:rFonts w:eastAsia="Cambria" w:cs="Arial"/>
          <w:color w:val="000000"/>
          <w:szCs w:val="24"/>
          <w:lang w:eastAsia="es-CR"/>
        </w:rPr>
      </w:pPr>
    </w:p>
    <w:p w14:paraId="6F343EBE" w14:textId="77777777" w:rsidR="007B0BB6" w:rsidRPr="00740611" w:rsidRDefault="007B0BB6" w:rsidP="007B0BB6">
      <w:pPr>
        <w:spacing w:after="0" w:line="240" w:lineRule="auto"/>
        <w:rPr>
          <w:rFonts w:eastAsia="Cambria" w:cs="Arial"/>
          <w:color w:val="000000"/>
          <w:szCs w:val="24"/>
          <w:lang w:eastAsia="es-CR"/>
        </w:rPr>
      </w:pPr>
    </w:p>
    <w:p w14:paraId="4257F483" w14:textId="77777777" w:rsidR="007B0BB6" w:rsidRPr="00E91F3C" w:rsidRDefault="007B0BB6" w:rsidP="007B0BB6">
      <w:pPr>
        <w:spacing w:before="120" w:after="0"/>
        <w:rPr>
          <w:rFonts w:eastAsia="Cambria" w:cs="Arial"/>
          <w:b/>
          <w:bCs/>
          <w:color w:val="000000"/>
          <w:lang w:eastAsia="es-CR"/>
        </w:rPr>
      </w:pPr>
      <w:r w:rsidRPr="00E91F3C">
        <w:rPr>
          <w:rFonts w:eastAsia="Cambria" w:cs="Arial"/>
          <w:b/>
          <w:bCs/>
          <w:color w:val="000000"/>
          <w:lang w:eastAsia="es-CR"/>
        </w:rPr>
        <w:t xml:space="preserve">Transferencias </w:t>
      </w:r>
      <w:r>
        <w:rPr>
          <w:rFonts w:eastAsia="Cambria" w:cs="Arial"/>
          <w:b/>
          <w:bCs/>
          <w:color w:val="000000"/>
          <w:lang w:eastAsia="es-CR"/>
        </w:rPr>
        <w:t>p</w:t>
      </w:r>
      <w:r w:rsidRPr="00E91F3C">
        <w:rPr>
          <w:rFonts w:eastAsia="Cambria" w:cs="Arial"/>
          <w:b/>
          <w:bCs/>
          <w:color w:val="000000"/>
          <w:lang w:eastAsia="es-CR"/>
        </w:rPr>
        <w:t>or Cobrar</w:t>
      </w:r>
    </w:p>
    <w:p w14:paraId="434C183C" w14:textId="77777777" w:rsidR="007B0BB6" w:rsidRDefault="007B0BB6" w:rsidP="007B0BB6">
      <w:pPr>
        <w:spacing w:after="0" w:line="240" w:lineRule="auto"/>
        <w:rPr>
          <w:rFonts w:eastAsia="Cambria" w:cs="Arial"/>
          <w:color w:val="000000"/>
          <w:szCs w:val="24"/>
          <w:lang w:eastAsia="es-CR"/>
        </w:rPr>
      </w:pPr>
      <w:r w:rsidRPr="00740611">
        <w:rPr>
          <w:rFonts w:eastAsia="Cambria" w:cs="Arial"/>
          <w:color w:val="000000"/>
          <w:szCs w:val="24"/>
          <w:lang w:eastAsia="es-CR"/>
        </w:rPr>
        <w:t>Transferencias a Cobrar: comprende los créditos a favor de la Municipalidad de Buenos Aires, de carácter corriente, emergentes de obligaciones contraídas por terceros en concepto de ingresos de parte de personas, entes y órganos del sector público, privado y externo, con el fin de satisfacer necesidades públicas de diversa índole, sin cargo de devolución y sin que medie una contraprestación de bienes, servicios o derechos, según lo indica el Manual Funcional de Cuentas Contables en el punto 1.1.3.06., páginas 246, 247.</w:t>
      </w:r>
    </w:p>
    <w:p w14:paraId="594A9D0C" w14:textId="77777777" w:rsidR="007B0BB6" w:rsidRPr="00740611" w:rsidRDefault="007B0BB6" w:rsidP="007B0BB6">
      <w:pPr>
        <w:spacing w:after="120" w:line="240" w:lineRule="auto"/>
        <w:rPr>
          <w:rFonts w:eastAsia="Cambria" w:cs="Arial"/>
          <w:color w:val="000000"/>
          <w:szCs w:val="24"/>
          <w:lang w:eastAsia="es-CR"/>
        </w:rPr>
      </w:pPr>
    </w:p>
    <w:p w14:paraId="1E77BABD" w14:textId="77777777" w:rsidR="007B0BB6" w:rsidRPr="00E91F3C" w:rsidRDefault="007B0BB6" w:rsidP="007B0BB6">
      <w:pPr>
        <w:spacing w:after="0"/>
        <w:rPr>
          <w:rFonts w:eastAsia="Cambria" w:cs="Arial"/>
          <w:b/>
          <w:bCs/>
          <w:color w:val="000000"/>
          <w:lang w:eastAsia="es-CR"/>
        </w:rPr>
      </w:pPr>
      <w:r w:rsidRPr="00E91F3C">
        <w:rPr>
          <w:rFonts w:eastAsia="Cambria" w:cs="Arial"/>
          <w:b/>
          <w:bCs/>
          <w:color w:val="000000"/>
          <w:lang w:eastAsia="es-CR"/>
        </w:rPr>
        <w:t>Inventarios</w:t>
      </w:r>
    </w:p>
    <w:p w14:paraId="7243B548" w14:textId="77777777" w:rsidR="007B0BB6" w:rsidRDefault="007B0BB6" w:rsidP="007B0BB6">
      <w:pPr>
        <w:spacing w:after="120" w:line="240" w:lineRule="auto"/>
        <w:rPr>
          <w:rFonts w:eastAsia="Cambria" w:cs="Arial"/>
          <w:color w:val="000000"/>
          <w:szCs w:val="24"/>
          <w:lang w:eastAsia="es-CR"/>
        </w:rPr>
      </w:pPr>
      <w:r w:rsidRPr="00D65F43">
        <w:rPr>
          <w:rFonts w:eastAsia="Cambria" w:cs="Arial"/>
          <w:color w:val="000000"/>
          <w:szCs w:val="24"/>
          <w:lang w:eastAsia="es-CR"/>
        </w:rPr>
        <w:t>Los inventarios se reconocen como activos al momento de su ingreso a la bodega al costo. Las existencias en bodega se valoran por medio del método Primera en Entrar Primera en Salir “PEPS”, según lo establecido en las políticas generales emitidas por la Dirección General de Contabilidad Nacional (DGCN). Además, la Municipalidad actualmente tiene como política para su manejo utilizar el sistema de inventario “Periódico”, lo que exige realizar una toma física del inventario total al final del año.</w:t>
      </w:r>
    </w:p>
    <w:p w14:paraId="2A8E7615" w14:textId="77777777" w:rsidR="007B0BB6" w:rsidRPr="00D65F43" w:rsidRDefault="007B0BB6" w:rsidP="007B0BB6">
      <w:pPr>
        <w:spacing w:after="0" w:line="240" w:lineRule="auto"/>
        <w:rPr>
          <w:rFonts w:eastAsia="Cambria" w:cs="Arial"/>
          <w:color w:val="000000"/>
          <w:szCs w:val="24"/>
          <w:lang w:eastAsia="es-CR"/>
        </w:rPr>
      </w:pPr>
    </w:p>
    <w:p w14:paraId="3654BEE6" w14:textId="77777777" w:rsidR="007B0BB6" w:rsidRPr="00E91F3C" w:rsidRDefault="007B0BB6" w:rsidP="007B0BB6">
      <w:pPr>
        <w:spacing w:after="0"/>
        <w:rPr>
          <w:rFonts w:eastAsia="Cambria" w:cs="Arial"/>
          <w:b/>
          <w:bCs/>
          <w:color w:val="000000"/>
          <w:lang w:eastAsia="es-CR"/>
        </w:rPr>
      </w:pPr>
      <w:r w:rsidRPr="00E91F3C">
        <w:rPr>
          <w:rFonts w:eastAsia="Cambria" w:cs="Arial"/>
          <w:b/>
          <w:bCs/>
          <w:color w:val="000000"/>
          <w:lang w:eastAsia="es-CR"/>
        </w:rPr>
        <w:t>Activo Propiedad Planta y Equipo</w:t>
      </w:r>
    </w:p>
    <w:p w14:paraId="6C2C4B07" w14:textId="77777777" w:rsidR="007B0BB6" w:rsidRPr="00D65F43" w:rsidRDefault="007B0BB6" w:rsidP="007B0BB6">
      <w:pPr>
        <w:spacing w:line="240" w:lineRule="auto"/>
        <w:rPr>
          <w:rFonts w:eastAsia="Cambria" w:cs="Arial"/>
          <w:color w:val="000000"/>
          <w:szCs w:val="24"/>
          <w:lang w:eastAsia="es-CR"/>
        </w:rPr>
      </w:pPr>
      <w:r w:rsidRPr="00D65F43">
        <w:rPr>
          <w:rFonts w:eastAsia="Cambria" w:cs="Arial"/>
          <w:color w:val="000000"/>
          <w:szCs w:val="24"/>
          <w:lang w:eastAsia="es-CR"/>
        </w:rPr>
        <w:t xml:space="preserve">Un elemento del activo Propiedad Planta y Equipo se reconocerá como activo si cumple con las características: de que es probable que el Municipalidad de Buenos Aires reciba beneficios </w:t>
      </w:r>
      <w:r w:rsidRPr="00D65F43">
        <w:rPr>
          <w:rFonts w:eastAsia="Cambria" w:cs="Arial"/>
          <w:color w:val="000000"/>
          <w:szCs w:val="24"/>
          <w:lang w:eastAsia="es-CR"/>
        </w:rPr>
        <w:lastRenderedPageBreak/>
        <w:t>económicos o potenciales servicios asociados al activo; y su valor pueda ser establecido de forma fiable.</w:t>
      </w:r>
    </w:p>
    <w:p w14:paraId="7A4744B3" w14:textId="77777777" w:rsidR="007B0BB6" w:rsidRPr="00D65F43" w:rsidRDefault="007B0BB6" w:rsidP="007B0BB6">
      <w:pPr>
        <w:spacing w:line="240" w:lineRule="auto"/>
        <w:rPr>
          <w:rFonts w:eastAsia="Cambria" w:cs="Arial"/>
          <w:color w:val="000000"/>
          <w:szCs w:val="24"/>
          <w:lang w:eastAsia="es-CR"/>
        </w:rPr>
      </w:pPr>
      <w:r w:rsidRPr="00D65F43">
        <w:rPr>
          <w:rFonts w:eastAsia="Cambria" w:cs="Arial"/>
          <w:color w:val="000000"/>
          <w:szCs w:val="24"/>
          <w:lang w:eastAsia="es-CR"/>
        </w:rPr>
        <w:t>Los elementos de propiedades, planta y equipo se contabilizarán inicialmente por su costo y en el caso de activos adquiridos sin costo, o por un costo insignificante se valorará a su valor razonable en la fecha de la adquisición. Con posterioridad al reconocimiento inicial, el importe en libros de un elemento de propiedad, planta y equipo se establecerá por su costo menos la depreciación acumulada y el importe acumulado de las pérdidas por deterioro del valor.</w:t>
      </w:r>
    </w:p>
    <w:p w14:paraId="1B237C4B" w14:textId="77777777" w:rsidR="007B0BB6" w:rsidRDefault="007B0BB6" w:rsidP="007B0BB6">
      <w:pPr>
        <w:spacing w:after="120" w:line="240" w:lineRule="auto"/>
        <w:rPr>
          <w:rFonts w:eastAsia="Cambria" w:cs="Arial"/>
          <w:color w:val="000000"/>
          <w:szCs w:val="24"/>
          <w:lang w:eastAsia="es-CR"/>
        </w:rPr>
      </w:pPr>
      <w:r w:rsidRPr="00D65F43">
        <w:rPr>
          <w:rFonts w:eastAsia="Cambria" w:cs="Arial"/>
          <w:color w:val="000000"/>
          <w:szCs w:val="24"/>
          <w:lang w:eastAsia="es-CR"/>
        </w:rPr>
        <w:t>La Municipalidad de Buenos Aires tiene como política, depreciar los elementos de propiedad, planta y equipo por medio del método de línea recta durante la vida útil de los mismos, y la vida útil de los activos es la establecida por la DGCN en la directriz CN-001-2009 del 23 de noviembre de 2009.</w:t>
      </w:r>
    </w:p>
    <w:p w14:paraId="3B640710" w14:textId="77777777" w:rsidR="007B0BB6" w:rsidRPr="00D65F43" w:rsidRDefault="007B0BB6" w:rsidP="007B0BB6">
      <w:pPr>
        <w:spacing w:after="0" w:line="240" w:lineRule="auto"/>
        <w:rPr>
          <w:rFonts w:eastAsia="Cambria" w:cs="Arial"/>
          <w:color w:val="000000"/>
          <w:szCs w:val="24"/>
          <w:lang w:eastAsia="es-CR"/>
        </w:rPr>
      </w:pPr>
    </w:p>
    <w:p w14:paraId="076FC509" w14:textId="77777777" w:rsidR="007B0BB6" w:rsidRPr="00E91F3C" w:rsidRDefault="007B0BB6" w:rsidP="007B0BB6">
      <w:pPr>
        <w:spacing w:after="0"/>
        <w:rPr>
          <w:rFonts w:eastAsia="Cambria" w:cs="Arial"/>
          <w:b/>
          <w:bCs/>
          <w:color w:val="000000"/>
          <w:lang w:eastAsia="es-CR"/>
        </w:rPr>
      </w:pPr>
      <w:r w:rsidRPr="00E91F3C">
        <w:rPr>
          <w:rFonts w:eastAsia="Cambria" w:cs="Arial"/>
          <w:b/>
          <w:bCs/>
          <w:color w:val="000000"/>
          <w:lang w:eastAsia="es-CR"/>
        </w:rPr>
        <w:t>Propiedades de Inversión</w:t>
      </w:r>
    </w:p>
    <w:p w14:paraId="65E6A40A" w14:textId="77777777" w:rsidR="007B0BB6" w:rsidRDefault="007B0BB6" w:rsidP="007B0BB6">
      <w:pPr>
        <w:spacing w:after="120" w:line="240" w:lineRule="auto"/>
        <w:rPr>
          <w:rFonts w:eastAsia="Cambria" w:cs="Arial"/>
          <w:color w:val="000000"/>
          <w:szCs w:val="24"/>
          <w:lang w:eastAsia="es-CR"/>
        </w:rPr>
      </w:pPr>
      <w:r w:rsidRPr="00D65F43">
        <w:rPr>
          <w:rFonts w:eastAsia="Cambria" w:cs="Arial"/>
          <w:color w:val="000000"/>
          <w:szCs w:val="24"/>
          <w:lang w:eastAsia="es-CR"/>
        </w:rPr>
        <w:t>La Municipalidad tiene establecido que las Propiedades de Inversión medirán inicialmente a su costo (los costos asociados a la transacción deben incluirse en la medición inicial) y cuando se adquiere una propiedad de inversión a través de una transacción sin contraprestación, su costo se medirá a su valor razonable en la fecha de adquisición, se depreciarán por medio del método de línea recta durante la vida útil de los mismos, y la vida útil de los activos es la establecida por la DGCN en la directriz CN-001-2009 del 23 de noviembre de 2009.</w:t>
      </w:r>
    </w:p>
    <w:p w14:paraId="5C2FEF32" w14:textId="77777777" w:rsidR="007B0BB6" w:rsidRPr="00D65F43" w:rsidRDefault="007B0BB6" w:rsidP="007B0BB6">
      <w:pPr>
        <w:spacing w:after="0" w:line="240" w:lineRule="auto"/>
        <w:rPr>
          <w:rFonts w:eastAsia="Cambria" w:cs="Arial"/>
          <w:color w:val="000000"/>
          <w:szCs w:val="24"/>
          <w:lang w:eastAsia="es-CR"/>
        </w:rPr>
      </w:pPr>
    </w:p>
    <w:p w14:paraId="35F829A8" w14:textId="77777777" w:rsidR="007B0BB6" w:rsidRPr="00E91F3C" w:rsidRDefault="007B0BB6" w:rsidP="007B0BB6">
      <w:pPr>
        <w:spacing w:after="0"/>
        <w:rPr>
          <w:rFonts w:eastAsia="Cambria" w:cs="Arial"/>
          <w:b/>
          <w:bCs/>
          <w:color w:val="000000"/>
          <w:lang w:eastAsia="es-CR"/>
        </w:rPr>
      </w:pPr>
      <w:r w:rsidRPr="00E91F3C">
        <w:rPr>
          <w:rFonts w:eastAsia="Cambria" w:cs="Arial"/>
          <w:b/>
          <w:bCs/>
          <w:color w:val="000000"/>
          <w:lang w:eastAsia="es-CR"/>
        </w:rPr>
        <w:t>Bienes de infraestructura y de beneficio y uso público</w:t>
      </w:r>
    </w:p>
    <w:p w14:paraId="0C62D95E" w14:textId="77777777" w:rsidR="007B0BB6" w:rsidRPr="00D65F43" w:rsidRDefault="007B0BB6" w:rsidP="007B0BB6">
      <w:pPr>
        <w:spacing w:line="240" w:lineRule="auto"/>
        <w:rPr>
          <w:rFonts w:eastAsia="Cambria" w:cs="Arial"/>
          <w:color w:val="000000"/>
          <w:szCs w:val="24"/>
          <w:lang w:eastAsia="es-CR"/>
        </w:rPr>
      </w:pPr>
      <w:r w:rsidRPr="00D65F43">
        <w:rPr>
          <w:rFonts w:eastAsia="Cambria" w:cs="Arial"/>
          <w:color w:val="000000"/>
          <w:szCs w:val="24"/>
          <w:lang w:eastAsia="es-CR"/>
        </w:rPr>
        <w:t>Se consideran bienes de infraestructura las que cumplen con alguna de las siguientes características (o todas ellas): son parte de un sistema o red; son de naturaleza especializada y no tienen usos alternativos; no pueden moverse; son de uso público y pueden estar sujetos a limitaciones con respecto a su disposición.</w:t>
      </w:r>
    </w:p>
    <w:p w14:paraId="47399BA0" w14:textId="77777777" w:rsidR="007B0BB6" w:rsidRDefault="007B0BB6" w:rsidP="007B0BB6">
      <w:pPr>
        <w:spacing w:after="120" w:line="240" w:lineRule="auto"/>
        <w:rPr>
          <w:rFonts w:eastAsia="Cambria" w:cs="Arial"/>
          <w:color w:val="000000"/>
          <w:szCs w:val="24"/>
          <w:lang w:eastAsia="es-CR"/>
        </w:rPr>
      </w:pPr>
      <w:r w:rsidRPr="00D65F43">
        <w:rPr>
          <w:rFonts w:eastAsia="Cambria" w:cs="Arial"/>
          <w:color w:val="000000"/>
          <w:szCs w:val="24"/>
          <w:lang w:eastAsia="es-CR"/>
        </w:rPr>
        <w:t>Las infraestructuras cumplen con la definición de propiedades, planta y equipo y deberán contabilizarse según la NICSP 17.</w:t>
      </w:r>
    </w:p>
    <w:p w14:paraId="081436F9" w14:textId="77777777" w:rsidR="007B0BB6" w:rsidRPr="00D65F43" w:rsidRDefault="007B0BB6" w:rsidP="007B0BB6">
      <w:pPr>
        <w:spacing w:after="0" w:line="240" w:lineRule="auto"/>
        <w:rPr>
          <w:rFonts w:eastAsia="Cambria" w:cs="Arial"/>
          <w:color w:val="000000"/>
          <w:szCs w:val="24"/>
          <w:lang w:eastAsia="es-CR"/>
        </w:rPr>
      </w:pPr>
    </w:p>
    <w:p w14:paraId="0A8DACE0" w14:textId="77777777" w:rsidR="007B0BB6" w:rsidRPr="00E91F3C" w:rsidRDefault="007B0BB6" w:rsidP="007B0BB6">
      <w:pPr>
        <w:spacing w:after="0"/>
        <w:rPr>
          <w:rFonts w:eastAsia="Cambria" w:cs="Arial"/>
          <w:b/>
          <w:bCs/>
          <w:color w:val="000000"/>
          <w:lang w:eastAsia="es-CR"/>
        </w:rPr>
      </w:pPr>
      <w:r w:rsidRPr="00E91F3C">
        <w:rPr>
          <w:rFonts w:eastAsia="Cambria" w:cs="Arial"/>
          <w:b/>
          <w:bCs/>
          <w:color w:val="000000"/>
          <w:lang w:eastAsia="es-CR"/>
        </w:rPr>
        <w:t>Bienes Intangibles</w:t>
      </w:r>
    </w:p>
    <w:p w14:paraId="782DCC9D" w14:textId="77777777" w:rsidR="007B0BB6" w:rsidRPr="00D65F43" w:rsidRDefault="007B0BB6" w:rsidP="007B0BB6">
      <w:pPr>
        <w:spacing w:line="240" w:lineRule="auto"/>
        <w:rPr>
          <w:rFonts w:eastAsia="Cambria" w:cs="Arial"/>
          <w:color w:val="000000"/>
          <w:szCs w:val="24"/>
          <w:lang w:eastAsia="es-CR"/>
        </w:rPr>
      </w:pPr>
      <w:r w:rsidRPr="00D65F43">
        <w:rPr>
          <w:rFonts w:eastAsia="Cambria" w:cs="Arial"/>
          <w:color w:val="000000"/>
          <w:szCs w:val="24"/>
          <w:lang w:eastAsia="es-CR"/>
        </w:rPr>
        <w:t>Un bien activo intangible se reconocerá como tal, si es probable que los beneficios económicos y potencial de servicio futuros del bien intangible fluyan a la Municipalidad de Buenos Aires; y el valor del activo pueda ser medido con fiabilidad.</w:t>
      </w:r>
    </w:p>
    <w:p w14:paraId="100F8891" w14:textId="77777777" w:rsidR="007B0BB6" w:rsidRDefault="007B0BB6" w:rsidP="007B0BB6">
      <w:pPr>
        <w:spacing w:after="120" w:line="240" w:lineRule="auto"/>
        <w:rPr>
          <w:rFonts w:eastAsia="Cambria" w:cs="Arial"/>
          <w:color w:val="000000"/>
          <w:szCs w:val="24"/>
          <w:lang w:eastAsia="es-CR"/>
        </w:rPr>
      </w:pPr>
      <w:r w:rsidRPr="00D65F43">
        <w:rPr>
          <w:rFonts w:eastAsia="Cambria" w:cs="Arial"/>
          <w:color w:val="000000"/>
          <w:szCs w:val="24"/>
          <w:lang w:eastAsia="es-CR"/>
        </w:rPr>
        <w:t>Serán reconocidos cuando estén con las condiciones requeridas para su uso y se medirá inicialmente por su costo; y en el caso de activos adquiridos sin costo, o por un costo insignificante, se valorará a su valor razonable en la fecha de la adquisición. Los activos intangibles con vida definida se amortizarán utilizando el método de línea recta durante su vida útil.</w:t>
      </w:r>
    </w:p>
    <w:p w14:paraId="3EF6DAF3" w14:textId="77777777" w:rsidR="007B0BB6" w:rsidRPr="00D65F43" w:rsidRDefault="007B0BB6" w:rsidP="007B0BB6">
      <w:pPr>
        <w:spacing w:after="0" w:line="240" w:lineRule="auto"/>
        <w:rPr>
          <w:rFonts w:eastAsia="Cambria" w:cs="Arial"/>
          <w:color w:val="000000"/>
          <w:szCs w:val="24"/>
          <w:lang w:eastAsia="es-CR"/>
        </w:rPr>
      </w:pPr>
    </w:p>
    <w:p w14:paraId="1F3A5F91" w14:textId="77777777" w:rsidR="007B0BB6" w:rsidRPr="00E91F3C" w:rsidRDefault="007B0BB6" w:rsidP="007B0BB6">
      <w:pPr>
        <w:spacing w:after="0"/>
        <w:rPr>
          <w:rFonts w:eastAsia="Cambria" w:cs="Arial"/>
          <w:b/>
          <w:bCs/>
          <w:color w:val="000000"/>
          <w:lang w:eastAsia="es-CR"/>
        </w:rPr>
      </w:pPr>
      <w:r w:rsidRPr="00E91F3C">
        <w:rPr>
          <w:rFonts w:eastAsia="Cambria" w:cs="Arial"/>
          <w:b/>
          <w:bCs/>
          <w:color w:val="000000"/>
          <w:lang w:eastAsia="es-CR"/>
        </w:rPr>
        <w:t>Activos Contingentes</w:t>
      </w:r>
    </w:p>
    <w:p w14:paraId="1D70F580" w14:textId="77777777" w:rsidR="007B0BB6" w:rsidRPr="00D65F43" w:rsidRDefault="007B0BB6" w:rsidP="007B0BB6">
      <w:pPr>
        <w:spacing w:line="240" w:lineRule="auto"/>
        <w:rPr>
          <w:rFonts w:eastAsia="Cambria" w:cs="Arial"/>
          <w:color w:val="000000"/>
          <w:szCs w:val="24"/>
          <w:lang w:eastAsia="es-CR"/>
        </w:rPr>
      </w:pPr>
      <w:r w:rsidRPr="00D65F43">
        <w:rPr>
          <w:rFonts w:eastAsia="Cambria" w:cs="Arial"/>
          <w:color w:val="000000"/>
          <w:szCs w:val="24"/>
          <w:lang w:eastAsia="es-CR"/>
        </w:rPr>
        <w:t xml:space="preserve">La Municipalidad tiene establecido que se revelarán dentro de las notas a los estados financieros los activos contingentes que identifique la administración cuando exista una sentencia (primera y segunda instancia), que de indicio de una probabilidad cierta de entrada de recursos (entre 50% y 90%); y se </w:t>
      </w:r>
      <w:r w:rsidRPr="00D65F43">
        <w:rPr>
          <w:rFonts w:eastAsia="Cambria" w:cs="Arial"/>
          <w:color w:val="000000"/>
          <w:szCs w:val="24"/>
          <w:lang w:eastAsia="es-CR"/>
        </w:rPr>
        <w:lastRenderedPageBreak/>
        <w:t>reconocerá como activo puro (Cuenta por Cobrar), cuando exista una sentencia en firme o de instancia final (Casación).</w:t>
      </w:r>
    </w:p>
    <w:p w14:paraId="1186EF58" w14:textId="77777777" w:rsidR="007B0BB6" w:rsidRDefault="007B0BB6" w:rsidP="007B0BB6">
      <w:pPr>
        <w:spacing w:after="0" w:line="240" w:lineRule="auto"/>
        <w:rPr>
          <w:rFonts w:eastAsia="Cambria" w:cs="Arial"/>
          <w:color w:val="000000"/>
          <w:lang w:eastAsia="es-CR"/>
        </w:rPr>
      </w:pPr>
    </w:p>
    <w:p w14:paraId="0098AD28" w14:textId="77777777" w:rsidR="007B0BB6" w:rsidRPr="00E91F3C" w:rsidRDefault="007B0BB6" w:rsidP="007B0BB6">
      <w:pPr>
        <w:rPr>
          <w:rFonts w:eastAsia="Cambria" w:cs="Arial"/>
          <w:b/>
          <w:bCs/>
          <w:color w:val="000000"/>
          <w:lang w:eastAsia="es-CR"/>
        </w:rPr>
      </w:pPr>
      <w:r w:rsidRPr="00E91F3C">
        <w:rPr>
          <w:rFonts w:eastAsia="Cambria" w:cs="Arial"/>
          <w:b/>
          <w:bCs/>
          <w:color w:val="000000"/>
          <w:lang w:eastAsia="es-CR"/>
        </w:rPr>
        <w:t>PASIVOS</w:t>
      </w:r>
    </w:p>
    <w:p w14:paraId="7C37951E" w14:textId="77777777" w:rsidR="007B0BB6" w:rsidRPr="00E91F3C" w:rsidRDefault="007B0BB6" w:rsidP="007B0BB6">
      <w:pPr>
        <w:spacing w:after="0"/>
        <w:rPr>
          <w:rFonts w:eastAsia="Cambria" w:cs="Arial"/>
          <w:b/>
          <w:bCs/>
          <w:color w:val="000000"/>
          <w:lang w:eastAsia="es-CR"/>
        </w:rPr>
      </w:pPr>
      <w:r w:rsidRPr="00E91F3C">
        <w:rPr>
          <w:rFonts w:eastAsia="Cambria" w:cs="Arial"/>
          <w:b/>
          <w:bCs/>
          <w:color w:val="000000"/>
          <w:lang w:eastAsia="es-CR"/>
        </w:rPr>
        <w:t>Cuentas por Pagar</w:t>
      </w:r>
    </w:p>
    <w:p w14:paraId="7B60ABF0" w14:textId="77777777" w:rsidR="007B0BB6" w:rsidRPr="00D65F43" w:rsidRDefault="007B0BB6" w:rsidP="007B0BB6">
      <w:pPr>
        <w:spacing w:after="120" w:line="240" w:lineRule="auto"/>
        <w:rPr>
          <w:rFonts w:eastAsia="Cambria" w:cs="Arial"/>
          <w:color w:val="000000"/>
          <w:szCs w:val="24"/>
          <w:lang w:eastAsia="es-CR"/>
        </w:rPr>
      </w:pPr>
      <w:r w:rsidRPr="00D65F43">
        <w:rPr>
          <w:rFonts w:eastAsia="Cambria" w:cs="Arial"/>
          <w:color w:val="000000"/>
          <w:szCs w:val="24"/>
          <w:lang w:eastAsia="es-CR"/>
        </w:rPr>
        <w:t>Comprende el valor de las obligaciones de corto plazo contraídas por la Municipalidad con proveedores locales por concepto de adquisición de bienes y servicios requeridos para el desarrollo de las actividades sustantivas y administrativas. Las cuentas por pagar comerciales se reconocen de forma inicial al valor razonable.</w:t>
      </w:r>
    </w:p>
    <w:p w14:paraId="46B10E4C" w14:textId="77777777" w:rsidR="007B0BB6" w:rsidRPr="005E5249" w:rsidRDefault="007B0BB6" w:rsidP="007B0BB6">
      <w:pPr>
        <w:spacing w:after="0" w:line="240" w:lineRule="auto"/>
        <w:rPr>
          <w:rFonts w:eastAsia="Cambria" w:cs="Arial"/>
          <w:color w:val="000000"/>
          <w:sz w:val="22"/>
          <w:lang w:eastAsia="es-CR"/>
        </w:rPr>
      </w:pPr>
    </w:p>
    <w:p w14:paraId="117E5A0C" w14:textId="77777777" w:rsidR="007B0BB6" w:rsidRPr="00E91F3C" w:rsidRDefault="007B0BB6" w:rsidP="007B0BB6">
      <w:pPr>
        <w:spacing w:after="0"/>
        <w:rPr>
          <w:rFonts w:eastAsia="Cambria" w:cs="Arial"/>
          <w:b/>
          <w:bCs/>
          <w:color w:val="000000"/>
          <w:lang w:eastAsia="es-CR"/>
        </w:rPr>
      </w:pPr>
      <w:r w:rsidRPr="00E91F3C">
        <w:rPr>
          <w:rFonts w:eastAsia="Cambria" w:cs="Arial"/>
          <w:b/>
          <w:bCs/>
          <w:color w:val="000000"/>
          <w:lang w:eastAsia="es-CR"/>
        </w:rPr>
        <w:t>Documentos por Pagar</w:t>
      </w:r>
    </w:p>
    <w:p w14:paraId="37512912" w14:textId="77777777" w:rsidR="007B0BB6" w:rsidRPr="00D65F43" w:rsidRDefault="007B0BB6" w:rsidP="007B0BB6">
      <w:pPr>
        <w:spacing w:line="240" w:lineRule="auto"/>
        <w:rPr>
          <w:rFonts w:eastAsia="Cambria" w:cs="Arial"/>
          <w:color w:val="000000"/>
          <w:szCs w:val="24"/>
          <w:lang w:eastAsia="es-CR"/>
        </w:rPr>
      </w:pPr>
      <w:r w:rsidRPr="00D65F43">
        <w:rPr>
          <w:rFonts w:eastAsia="Cambria" w:cs="Arial"/>
          <w:color w:val="000000"/>
          <w:szCs w:val="24"/>
          <w:lang w:eastAsia="es-CR"/>
        </w:rPr>
        <w:t>Esta categoría de pasivos incluye diversas operaciones de crédito que la Municipalidad de Buenos Aires ha formalizado con entidades financieras nacionales y con el Instituto de Fomento y Asesoría Municipal (IFAM) fundamentalmente. Este tipo de obligaciones se reconocen inicialmente con base en la suscripción de contratos de crédito suscrito al valor razonable más o menos los costos de la transacción que eventualmente sean atribuibles a la formalización de dichos convenios de crédito.</w:t>
      </w:r>
    </w:p>
    <w:p w14:paraId="3FA15F8C" w14:textId="77777777" w:rsidR="007B0BB6" w:rsidRDefault="007B0BB6" w:rsidP="007B0BB6">
      <w:pPr>
        <w:spacing w:after="120" w:line="240" w:lineRule="auto"/>
        <w:rPr>
          <w:rFonts w:eastAsia="Cambria" w:cs="Arial"/>
          <w:color w:val="000000"/>
          <w:szCs w:val="24"/>
          <w:lang w:eastAsia="es-CR"/>
        </w:rPr>
      </w:pPr>
      <w:r w:rsidRPr="00D65F43">
        <w:rPr>
          <w:rFonts w:eastAsia="Cambria" w:cs="Arial"/>
          <w:color w:val="000000"/>
          <w:szCs w:val="24"/>
          <w:lang w:eastAsia="es-CR"/>
        </w:rPr>
        <w:t>La medición posterior de este tipo de pasivos se realizará al costo amortizado a la tasa de interés efectiva. En el caso de este tipo de pasivos financieros, el costo amortizado está representado por el principal del convenio de crédito, menos las amortizaciones a dicho principal, más o menos las primas o descuentos (pagadas o recibidas) al momento de la suscripción del contrato de crédito. La amortización de las primas o descuentos antes referidos se lleva a cabo utilizando el método del interés efectivo.</w:t>
      </w:r>
    </w:p>
    <w:p w14:paraId="2CDB46B1" w14:textId="77777777" w:rsidR="007B0BB6" w:rsidRPr="00D65F43" w:rsidRDefault="007B0BB6" w:rsidP="007B0BB6">
      <w:pPr>
        <w:spacing w:after="0" w:line="240" w:lineRule="auto"/>
        <w:rPr>
          <w:rFonts w:eastAsia="Cambria" w:cs="Arial"/>
          <w:color w:val="000000"/>
          <w:szCs w:val="24"/>
          <w:lang w:eastAsia="es-CR"/>
        </w:rPr>
      </w:pPr>
    </w:p>
    <w:p w14:paraId="7333BD0E" w14:textId="77777777" w:rsidR="007B0BB6" w:rsidRPr="00E91F3C" w:rsidRDefault="007B0BB6" w:rsidP="007B0BB6">
      <w:pPr>
        <w:spacing w:after="0"/>
        <w:rPr>
          <w:rFonts w:eastAsia="Cambria" w:cs="Arial"/>
          <w:b/>
          <w:bCs/>
          <w:color w:val="000000"/>
          <w:lang w:eastAsia="es-CR"/>
        </w:rPr>
      </w:pPr>
      <w:r w:rsidRPr="00E91F3C">
        <w:rPr>
          <w:rFonts w:eastAsia="Cambria" w:cs="Arial"/>
          <w:b/>
          <w:bCs/>
          <w:color w:val="000000"/>
          <w:lang w:eastAsia="es-CR"/>
        </w:rPr>
        <w:t>Pasivo contingente</w:t>
      </w:r>
    </w:p>
    <w:p w14:paraId="22E8AA3D" w14:textId="77777777" w:rsidR="007B0BB6" w:rsidRPr="00D65F43" w:rsidRDefault="007B0BB6" w:rsidP="007B0BB6">
      <w:pPr>
        <w:spacing w:line="240" w:lineRule="auto"/>
        <w:rPr>
          <w:rFonts w:eastAsia="Cambria" w:cs="Arial"/>
          <w:color w:val="000000"/>
          <w:szCs w:val="24"/>
          <w:lang w:eastAsia="es-CR"/>
        </w:rPr>
      </w:pPr>
      <w:r w:rsidRPr="00D65F43">
        <w:rPr>
          <w:rFonts w:eastAsia="Cambria" w:cs="Arial"/>
          <w:color w:val="000000"/>
          <w:szCs w:val="24"/>
          <w:lang w:eastAsia="es-CR"/>
        </w:rPr>
        <w:t>Los pasivos contingentes deben informarse en las notas a los EEFF. Como parte del proceso de cierre, trimestralmente el Departamento de Asesoría Jurídica enviará la información según los formatos preestablecidos, para que la Contabilidad juzgue realizar los registros o revelaciones pertinentes. Los pasivos contingentes han de ser objeto de evaluación de forma continua para asegurar que su evolución esté reflejada adecuadamente en los EEFF.</w:t>
      </w:r>
    </w:p>
    <w:p w14:paraId="52D7AC38" w14:textId="77777777" w:rsidR="007B0BB6" w:rsidRDefault="007B0BB6" w:rsidP="007B0BB6">
      <w:pPr>
        <w:spacing w:after="120" w:line="240" w:lineRule="auto"/>
        <w:rPr>
          <w:rFonts w:eastAsia="Cambria" w:cs="Arial"/>
          <w:color w:val="000000"/>
          <w:szCs w:val="24"/>
          <w:lang w:eastAsia="es-CR"/>
        </w:rPr>
      </w:pPr>
      <w:r w:rsidRPr="00D65F43">
        <w:rPr>
          <w:rFonts w:eastAsia="Cambria" w:cs="Arial"/>
          <w:color w:val="000000"/>
          <w:szCs w:val="24"/>
          <w:lang w:eastAsia="es-CR"/>
        </w:rPr>
        <w:t>El Municipalidad de Buenos Aires valuará mediante el análisis de la información previamente acordada y suministrada por la Dirección de Asuntos Jurídicos, si debe registrar un pasivo contingente que surge de una acción legal tomada contra el Municipalidad de Buenos Aires. Esto debido a que son obligaciones ligadas a una probabilidad de que se materialice el evento que surge a raíz de eventos pasados. Además, muchas veces es probable que dicha obligación no requiera que el Municipalidad de Buenos Aires se desprenda de recursos del Registro o que la obligación no pueda ser medida con suficiente fiabilidad.</w:t>
      </w:r>
    </w:p>
    <w:p w14:paraId="36F6B3D1" w14:textId="77777777" w:rsidR="007B0BB6" w:rsidRPr="00D65F43" w:rsidRDefault="007B0BB6" w:rsidP="007B0BB6">
      <w:pPr>
        <w:spacing w:after="0" w:line="240" w:lineRule="auto"/>
        <w:rPr>
          <w:rFonts w:eastAsia="Cambria" w:cs="Arial"/>
          <w:color w:val="000000"/>
          <w:szCs w:val="24"/>
          <w:lang w:eastAsia="es-CR"/>
        </w:rPr>
      </w:pPr>
    </w:p>
    <w:p w14:paraId="315D19BD" w14:textId="77777777" w:rsidR="007B0BB6" w:rsidRPr="00E91F3C" w:rsidRDefault="007B0BB6" w:rsidP="007B0BB6">
      <w:pPr>
        <w:spacing w:after="0"/>
        <w:rPr>
          <w:rFonts w:eastAsia="Cambria" w:cs="Arial"/>
          <w:b/>
          <w:bCs/>
          <w:color w:val="000000"/>
          <w:lang w:eastAsia="es-CR"/>
        </w:rPr>
      </w:pPr>
      <w:r w:rsidRPr="00E91F3C">
        <w:rPr>
          <w:rFonts w:eastAsia="Cambria" w:cs="Arial"/>
          <w:b/>
          <w:bCs/>
          <w:color w:val="000000"/>
          <w:lang w:eastAsia="es-CR"/>
        </w:rPr>
        <w:t>Provisiones</w:t>
      </w:r>
    </w:p>
    <w:p w14:paraId="5BB14612" w14:textId="77777777" w:rsidR="007B0BB6" w:rsidRPr="00D65F43" w:rsidRDefault="007B0BB6" w:rsidP="007B0BB6">
      <w:pPr>
        <w:spacing w:line="240" w:lineRule="auto"/>
        <w:rPr>
          <w:rFonts w:eastAsia="Cambria" w:cs="Arial"/>
          <w:color w:val="000000"/>
          <w:szCs w:val="24"/>
          <w:lang w:eastAsia="es-CR"/>
        </w:rPr>
      </w:pPr>
      <w:r w:rsidRPr="00D65F43">
        <w:rPr>
          <w:rFonts w:eastAsia="Cambria" w:cs="Arial"/>
          <w:color w:val="000000"/>
          <w:szCs w:val="24"/>
          <w:lang w:eastAsia="es-CR"/>
        </w:rPr>
        <w:t xml:space="preserve">Las provisiones pueden distinguirse de otros pasivos, tales como los acreedores comerciales y otras obligaciones acumuladas (o devengadas) que son objeto de estimación, por la existencia de </w:t>
      </w:r>
      <w:r w:rsidRPr="00D65F43">
        <w:rPr>
          <w:rFonts w:eastAsia="Cambria" w:cs="Arial"/>
          <w:color w:val="000000"/>
          <w:szCs w:val="24"/>
          <w:lang w:eastAsia="es-CR"/>
        </w:rPr>
        <w:lastRenderedPageBreak/>
        <w:t>incertidumbre acerca del momento del vencimiento o de los montos de los desembolsos futuros necesarios para proceder a su cancelación.</w:t>
      </w:r>
    </w:p>
    <w:p w14:paraId="3AD9F549" w14:textId="77777777" w:rsidR="007B0BB6" w:rsidRPr="00D65F43" w:rsidRDefault="007B0BB6" w:rsidP="007B0BB6">
      <w:pPr>
        <w:spacing w:line="240" w:lineRule="auto"/>
        <w:rPr>
          <w:rFonts w:eastAsia="Cambria" w:cs="Arial"/>
          <w:color w:val="000000"/>
          <w:szCs w:val="24"/>
          <w:lang w:eastAsia="es-CR"/>
        </w:rPr>
      </w:pPr>
      <w:r w:rsidRPr="00D65F43">
        <w:rPr>
          <w:rFonts w:eastAsia="Cambria" w:cs="Arial"/>
          <w:color w:val="000000"/>
          <w:szCs w:val="24"/>
          <w:lang w:eastAsia="es-CR"/>
        </w:rPr>
        <w:t xml:space="preserve">Una provisión debe reconocerse cuando: se tiene una obligación presente (ya sea legal o implícita) como resultado de un suceso pasado; es probable que la Municipalidad de Buenos Aires tenga que desprenderse de recursos que incorporen beneficios económicos para cancelar tal obligación; y puede hacerse una estimación fiable del importe de la obligación. </w:t>
      </w:r>
    </w:p>
    <w:p w14:paraId="56A3B5B4" w14:textId="77777777" w:rsidR="007B0BB6" w:rsidRPr="00D65F43" w:rsidRDefault="007B0BB6" w:rsidP="007B0BB6">
      <w:pPr>
        <w:spacing w:line="240" w:lineRule="auto"/>
        <w:rPr>
          <w:rFonts w:eastAsia="Cambria" w:cs="Arial"/>
          <w:color w:val="000000"/>
          <w:szCs w:val="24"/>
          <w:lang w:eastAsia="es-CR"/>
        </w:rPr>
      </w:pPr>
      <w:r w:rsidRPr="00D65F43">
        <w:rPr>
          <w:rFonts w:eastAsia="Cambria" w:cs="Arial"/>
          <w:color w:val="000000"/>
          <w:szCs w:val="24"/>
          <w:lang w:eastAsia="es-CR"/>
        </w:rPr>
        <w:t>Para llegar a la mejor estimación de una provisión debe tenerse en cuenta los riesgos e incertidumbres que inevitablemente rodean a muchos sucesos y circunstancias (Criterio técnico).</w:t>
      </w:r>
    </w:p>
    <w:p w14:paraId="617E9F78" w14:textId="77777777" w:rsidR="007B0BB6" w:rsidRPr="00D65F43" w:rsidRDefault="007B0BB6" w:rsidP="007B0BB6">
      <w:pPr>
        <w:spacing w:line="240" w:lineRule="auto"/>
        <w:rPr>
          <w:rFonts w:eastAsia="Cambria" w:cs="Arial"/>
          <w:color w:val="000000"/>
          <w:szCs w:val="24"/>
          <w:lang w:eastAsia="es-CR"/>
        </w:rPr>
      </w:pPr>
      <w:r w:rsidRPr="00D65F43">
        <w:rPr>
          <w:rFonts w:eastAsia="Cambria" w:cs="Arial"/>
          <w:color w:val="000000"/>
          <w:szCs w:val="24"/>
          <w:lang w:eastAsia="es-CR"/>
        </w:rPr>
        <w:t>Las provisiones se deben revisar en cada fecha sobre la que se informa, y deben ajustarse, en su caso para reflejar la mejor estimación existente en ese momento.  Si ya no es probable que, para liquidar la obligación, se vaya a requerir de un flujo de salida de recursos que incorporen beneficios económicos o un potencial de servicio, se deberá revertir la provisión.</w:t>
      </w:r>
    </w:p>
    <w:p w14:paraId="51B899B5" w14:textId="77777777" w:rsidR="007B0BB6" w:rsidRDefault="007B0BB6" w:rsidP="007B0BB6">
      <w:pPr>
        <w:spacing w:after="0"/>
        <w:rPr>
          <w:rFonts w:eastAsia="Cambria" w:cs="Arial"/>
          <w:b/>
          <w:bCs/>
          <w:color w:val="000000"/>
          <w:lang w:eastAsia="es-CR"/>
        </w:rPr>
      </w:pPr>
    </w:p>
    <w:p w14:paraId="31ED89CC" w14:textId="77777777" w:rsidR="007B0BB6" w:rsidRPr="00E91F3C" w:rsidRDefault="007B0BB6" w:rsidP="007B0BB6">
      <w:pPr>
        <w:rPr>
          <w:rFonts w:eastAsia="Cambria" w:cs="Arial"/>
          <w:b/>
          <w:bCs/>
          <w:color w:val="000000"/>
          <w:lang w:eastAsia="es-CR"/>
        </w:rPr>
      </w:pPr>
      <w:r w:rsidRPr="00E91F3C">
        <w:rPr>
          <w:rFonts w:eastAsia="Cambria" w:cs="Arial"/>
          <w:b/>
          <w:bCs/>
          <w:color w:val="000000"/>
          <w:lang w:eastAsia="es-CR"/>
        </w:rPr>
        <w:t>PATRIMONIO</w:t>
      </w:r>
    </w:p>
    <w:p w14:paraId="00CC372C" w14:textId="77777777" w:rsidR="007B0BB6" w:rsidRPr="00E91F3C" w:rsidRDefault="007B0BB6" w:rsidP="007B0BB6">
      <w:pPr>
        <w:spacing w:after="0"/>
        <w:rPr>
          <w:rFonts w:eastAsia="Cambria" w:cs="Arial"/>
          <w:b/>
          <w:bCs/>
          <w:color w:val="000000"/>
          <w:lang w:eastAsia="es-CR"/>
        </w:rPr>
      </w:pPr>
      <w:r w:rsidRPr="00E91F3C">
        <w:rPr>
          <w:rFonts w:eastAsia="Cambria" w:cs="Arial"/>
          <w:b/>
          <w:bCs/>
          <w:color w:val="000000"/>
          <w:lang w:eastAsia="es-CR"/>
        </w:rPr>
        <w:t>Capital Inicial</w:t>
      </w:r>
    </w:p>
    <w:p w14:paraId="356D4137" w14:textId="77777777" w:rsidR="007B0BB6" w:rsidRDefault="007B0BB6" w:rsidP="007B0BB6">
      <w:pPr>
        <w:spacing w:after="0" w:line="240" w:lineRule="auto"/>
        <w:rPr>
          <w:rFonts w:eastAsia="Cambria" w:cs="Arial"/>
          <w:color w:val="000000"/>
          <w:szCs w:val="24"/>
          <w:lang w:eastAsia="es-CR"/>
        </w:rPr>
      </w:pPr>
      <w:r w:rsidRPr="00DA6452">
        <w:rPr>
          <w:rFonts w:eastAsia="Cambria" w:cs="Arial"/>
          <w:color w:val="000000"/>
          <w:szCs w:val="24"/>
          <w:lang w:eastAsia="es-CR"/>
        </w:rPr>
        <w:t>El capital inicial está constituido por el valor de los recursos asignados al momento de su creación al inicio de la vida económica de la Municipalidad de Buenos Aires.</w:t>
      </w:r>
    </w:p>
    <w:p w14:paraId="3B6BB798" w14:textId="77777777" w:rsidR="007B0BB6" w:rsidRPr="00DA6452" w:rsidRDefault="007B0BB6" w:rsidP="007B0BB6">
      <w:pPr>
        <w:spacing w:after="0" w:line="240" w:lineRule="auto"/>
        <w:rPr>
          <w:rFonts w:eastAsia="Cambria" w:cs="Arial"/>
          <w:color w:val="000000"/>
          <w:szCs w:val="24"/>
          <w:lang w:eastAsia="es-CR"/>
        </w:rPr>
      </w:pPr>
    </w:p>
    <w:p w14:paraId="2E6F14A4" w14:textId="77777777" w:rsidR="007B0BB6" w:rsidRPr="00E91F3C" w:rsidRDefault="007B0BB6" w:rsidP="007B0BB6">
      <w:pPr>
        <w:spacing w:after="0"/>
        <w:rPr>
          <w:rFonts w:eastAsia="Cambria" w:cs="Arial"/>
          <w:b/>
          <w:bCs/>
          <w:color w:val="000000"/>
          <w:lang w:eastAsia="es-CR"/>
        </w:rPr>
      </w:pPr>
      <w:r w:rsidRPr="00E91F3C">
        <w:rPr>
          <w:rFonts w:eastAsia="Cambria" w:cs="Arial"/>
          <w:b/>
          <w:bCs/>
          <w:color w:val="000000"/>
          <w:lang w:eastAsia="es-CR"/>
        </w:rPr>
        <w:t>Reservas</w:t>
      </w:r>
    </w:p>
    <w:p w14:paraId="7677A9EC" w14:textId="77777777" w:rsidR="007B0BB6" w:rsidRDefault="007B0BB6" w:rsidP="007B0BB6">
      <w:pPr>
        <w:spacing w:after="120" w:line="240" w:lineRule="auto"/>
        <w:rPr>
          <w:rFonts w:eastAsia="Cambria" w:cs="Arial"/>
          <w:color w:val="000000"/>
          <w:szCs w:val="24"/>
          <w:lang w:eastAsia="es-CR"/>
        </w:rPr>
      </w:pPr>
      <w:r w:rsidRPr="00DA6452">
        <w:rPr>
          <w:rFonts w:eastAsia="Cambria" w:cs="Arial"/>
          <w:color w:val="000000"/>
          <w:szCs w:val="24"/>
          <w:lang w:eastAsia="es-CR"/>
        </w:rPr>
        <w:t>Representan la porción del Patrimonio Neto de la Municipalidad de Buenos Aires, originada en el incremento de recursos que no tienen por contrapartida ni la disminución de otros activos, ni el incremento de pasivos, y cuya acumulación tiene por objeto absorber futuras disminuciones de valor y/o afectarse a resultados en el ejercicio en que se disponga o realice el activo generador de la reserva.</w:t>
      </w:r>
    </w:p>
    <w:p w14:paraId="67BEB479" w14:textId="77777777" w:rsidR="007B0BB6" w:rsidRPr="00DA6452" w:rsidRDefault="007B0BB6" w:rsidP="007B0BB6">
      <w:pPr>
        <w:spacing w:after="0" w:line="240" w:lineRule="auto"/>
        <w:rPr>
          <w:rFonts w:eastAsia="Cambria" w:cs="Arial"/>
          <w:color w:val="000000"/>
          <w:szCs w:val="24"/>
          <w:lang w:eastAsia="es-CR"/>
        </w:rPr>
      </w:pPr>
    </w:p>
    <w:p w14:paraId="1A1E7BF9" w14:textId="77777777" w:rsidR="007B0BB6" w:rsidRPr="00E91F3C" w:rsidRDefault="007B0BB6" w:rsidP="007B0BB6">
      <w:pPr>
        <w:spacing w:after="0"/>
        <w:rPr>
          <w:rFonts w:eastAsia="Cambria" w:cs="Arial"/>
          <w:b/>
          <w:bCs/>
          <w:color w:val="000000"/>
          <w:lang w:eastAsia="es-CR"/>
        </w:rPr>
      </w:pPr>
      <w:r w:rsidRPr="00E91F3C">
        <w:rPr>
          <w:rFonts w:eastAsia="Cambria" w:cs="Arial"/>
          <w:b/>
          <w:bCs/>
          <w:color w:val="000000"/>
          <w:lang w:eastAsia="es-CR"/>
        </w:rPr>
        <w:t>Resultados acumulados</w:t>
      </w:r>
    </w:p>
    <w:p w14:paraId="1E86B628" w14:textId="77777777" w:rsidR="007B0BB6" w:rsidRPr="00DA6452" w:rsidRDefault="007B0BB6" w:rsidP="007B0BB6">
      <w:pPr>
        <w:spacing w:line="240" w:lineRule="auto"/>
        <w:rPr>
          <w:rFonts w:eastAsia="Cambria" w:cs="Arial"/>
          <w:color w:val="000000"/>
          <w:szCs w:val="24"/>
          <w:lang w:eastAsia="es-CR"/>
        </w:rPr>
      </w:pPr>
      <w:r w:rsidRPr="00DA6452">
        <w:rPr>
          <w:rFonts w:eastAsia="Cambria" w:cs="Arial"/>
          <w:color w:val="000000"/>
          <w:szCs w:val="24"/>
          <w:lang w:eastAsia="es-CR"/>
        </w:rPr>
        <w:t>Es la diferencia entre el Capital Inicial medido según cualquiera de los criterios de valoración establecido en las NICSP y activos y pasivos registrados (o resultados de ejercicios anteriores) al momento de adopción de las NICSP. Además, incluyen los resultados acumulados por la Municipalidad de Buenos Aires en sucesivos ejercicios, incluyendo el actual, que forman parte integrante del Patrimonio Neto.</w:t>
      </w:r>
    </w:p>
    <w:p w14:paraId="3106E6F0" w14:textId="77777777" w:rsidR="007B0BB6" w:rsidRPr="00DA6452" w:rsidRDefault="007B0BB6" w:rsidP="007B0BB6">
      <w:pPr>
        <w:spacing w:line="240" w:lineRule="auto"/>
        <w:rPr>
          <w:rFonts w:eastAsia="Cambria" w:cs="Arial"/>
          <w:color w:val="000000"/>
          <w:szCs w:val="24"/>
          <w:lang w:eastAsia="es-CR"/>
        </w:rPr>
      </w:pPr>
      <w:r w:rsidRPr="00DA6452">
        <w:rPr>
          <w:rFonts w:eastAsia="Cambria" w:cs="Arial"/>
          <w:color w:val="000000"/>
          <w:szCs w:val="24"/>
          <w:lang w:eastAsia="es-CR"/>
        </w:rPr>
        <w:t xml:space="preserve">Los ajustes retroactivos pueden ser por cambios en las políticas contables y por la re-expresión para la corrección de errores que se efectúe retroactivamente, en la medida en que estas correcciones sean practicables. Los ajustes y las re-expresiones retroactivas se realizan sobre el saldo de los resultados acumulados, deben ser aprobados formalmente por la autoridad administrativa superior (Alcalde).  </w:t>
      </w:r>
    </w:p>
    <w:p w14:paraId="18AEB9C3" w14:textId="11C7D500" w:rsidR="007B0BB6" w:rsidRDefault="007B0BB6" w:rsidP="008F0514">
      <w:pPr>
        <w:spacing w:after="120" w:line="240" w:lineRule="auto"/>
        <w:rPr>
          <w:rFonts w:eastAsia="Cambria" w:cs="Arial"/>
          <w:color w:val="000000"/>
          <w:szCs w:val="24"/>
          <w:lang w:eastAsia="es-CR"/>
        </w:rPr>
      </w:pPr>
      <w:r w:rsidRPr="00DA6452">
        <w:rPr>
          <w:rFonts w:eastAsia="Cambria" w:cs="Arial"/>
          <w:color w:val="000000"/>
          <w:szCs w:val="24"/>
          <w:lang w:eastAsia="es-CR"/>
        </w:rPr>
        <w:t>El efecto del reconocimiento inicial de propiedades, planta y equipo que la Municipalidad de Buenos Aires lleve a cabo dentro de los cinco años siguientes a la adopción de NICSP, se realizará con carácter de ajuste al saldo inicial de los resultados acumulados del período en que tenga lugar el reconocimiento. Dichos ajustes serán posteriormente capitalizados, separadamente del capital inicial, por la porción de las propiedades, planta y equipo respecto de la cual pueda afirmarse que estuvo originada en bienes existentes al momento de la adopción de las NICSP.</w:t>
      </w:r>
    </w:p>
    <w:p w14:paraId="02193D1E" w14:textId="77777777" w:rsidR="007B0BB6" w:rsidRPr="00DA6452" w:rsidRDefault="007B0BB6" w:rsidP="007B0BB6">
      <w:pPr>
        <w:spacing w:after="0" w:line="240" w:lineRule="auto"/>
        <w:rPr>
          <w:rFonts w:eastAsia="Cambria" w:cs="Arial"/>
          <w:color w:val="000000"/>
          <w:szCs w:val="24"/>
          <w:lang w:eastAsia="es-CR"/>
        </w:rPr>
      </w:pPr>
    </w:p>
    <w:p w14:paraId="1D4A621F" w14:textId="77777777" w:rsidR="007B0BB6" w:rsidRPr="00E91F3C" w:rsidRDefault="007B0BB6" w:rsidP="007B0BB6">
      <w:pPr>
        <w:spacing w:after="0"/>
        <w:rPr>
          <w:rFonts w:eastAsia="Cambria" w:cs="Arial"/>
          <w:b/>
          <w:bCs/>
          <w:color w:val="000000"/>
          <w:lang w:eastAsia="es-CR"/>
        </w:rPr>
      </w:pPr>
      <w:r w:rsidRPr="00E91F3C">
        <w:rPr>
          <w:rFonts w:eastAsia="Cambria" w:cs="Arial"/>
          <w:b/>
          <w:bCs/>
          <w:color w:val="000000"/>
          <w:lang w:eastAsia="es-CR"/>
        </w:rPr>
        <w:t>Ingresos</w:t>
      </w:r>
    </w:p>
    <w:p w14:paraId="49A2F7E9" w14:textId="77777777" w:rsidR="007B0BB6" w:rsidRDefault="007B0BB6" w:rsidP="007B0BB6">
      <w:pPr>
        <w:spacing w:after="120" w:line="240" w:lineRule="auto"/>
        <w:rPr>
          <w:rFonts w:eastAsia="Cambria" w:cs="Arial"/>
          <w:color w:val="000000"/>
          <w:szCs w:val="24"/>
          <w:lang w:eastAsia="es-CR"/>
        </w:rPr>
      </w:pPr>
      <w:r w:rsidRPr="00DA6452">
        <w:rPr>
          <w:rFonts w:eastAsia="Cambria" w:cs="Arial"/>
          <w:color w:val="000000"/>
          <w:szCs w:val="24"/>
          <w:lang w:eastAsia="es-CR"/>
        </w:rPr>
        <w:t>Los ingresos de la Municipalidad de Buenos Aires se originan por impuestos; tasas de servicios, por el alquiler de bienes; y la transferencia de fondos. Estos tipos de ingresos se registran con base en “devengo”; en el período en el que ocurren. Si por alguna razón, al cierre del período queda pendiente algún ingreso, éste se registra en el período en el cual se tuvo conocimiento, pero afectando la cuenta “Resultados Acumulados”.  Esta situación ocasiona que se reflejen diferencias entre los registros contables y los presupuestarios.  Así mismo, cuando se presentan devoluciones de derechos cuyo ingreso se recibió en períodos anteriores, dicha devolución se aplica a esa misma cuenta (Resultados acumulados). Una entrada de recursos de una transacción sin contraprestación se reconocerá cuando ocurra, a su valor nominal.</w:t>
      </w:r>
    </w:p>
    <w:p w14:paraId="0C0D7C6A" w14:textId="77777777" w:rsidR="007B0BB6" w:rsidRPr="00DA6452" w:rsidRDefault="007B0BB6" w:rsidP="007B0BB6">
      <w:pPr>
        <w:spacing w:after="0" w:line="240" w:lineRule="auto"/>
        <w:rPr>
          <w:rFonts w:eastAsia="Cambria" w:cs="Arial"/>
          <w:color w:val="000000"/>
          <w:szCs w:val="24"/>
          <w:lang w:eastAsia="es-CR"/>
        </w:rPr>
      </w:pPr>
    </w:p>
    <w:p w14:paraId="7C6AAF05" w14:textId="77777777" w:rsidR="007B0BB6" w:rsidRPr="00E91F3C" w:rsidRDefault="007B0BB6" w:rsidP="007B0BB6">
      <w:pPr>
        <w:spacing w:after="0"/>
        <w:rPr>
          <w:rFonts w:eastAsia="Cambria" w:cs="Arial"/>
          <w:b/>
          <w:bCs/>
          <w:color w:val="000000"/>
          <w:lang w:eastAsia="es-CR"/>
        </w:rPr>
      </w:pPr>
      <w:r w:rsidRPr="00E91F3C">
        <w:rPr>
          <w:rFonts w:eastAsia="Cambria" w:cs="Arial"/>
          <w:b/>
          <w:bCs/>
          <w:color w:val="000000"/>
          <w:lang w:eastAsia="es-CR"/>
        </w:rPr>
        <w:t>Gastos</w:t>
      </w:r>
    </w:p>
    <w:p w14:paraId="23C93BB8" w14:textId="77777777" w:rsidR="007B0BB6" w:rsidRPr="00DA6452" w:rsidRDefault="007B0BB6" w:rsidP="007B0BB6">
      <w:pPr>
        <w:spacing w:line="240" w:lineRule="auto"/>
        <w:rPr>
          <w:rFonts w:eastAsia="Cambria" w:cs="Arial"/>
          <w:color w:val="000000"/>
          <w:szCs w:val="24"/>
          <w:lang w:eastAsia="es-CR"/>
        </w:rPr>
      </w:pPr>
      <w:r w:rsidRPr="00DA6452">
        <w:rPr>
          <w:rFonts w:eastAsia="Cambria" w:cs="Arial"/>
          <w:color w:val="000000"/>
          <w:szCs w:val="24"/>
          <w:lang w:eastAsia="es-CR"/>
        </w:rPr>
        <w:t>Gastos en que incurre el Municipalidad de Buenos Aires, producto del funcionamiento o desarrollo normal de sus actividades y del cumplimiento de su cometido, los gastos y resultados negativos vinculados con transacciones de enajenación de bienes y prestaciones de servicios y las operaciones de financiamiento. Se consideran entre los gastos de funcionamiento o desarrollo normal de sus actividades los incurridos por concepto de las Remuneraciones; los Servicios; los Materiales y suministros consumidos; el consumo de activos de Propiedad, Planta y Equipo, y Bienes Intangibles (depreciación y amortización respectivamente).</w:t>
      </w:r>
    </w:p>
    <w:p w14:paraId="7A04C0B5" w14:textId="77777777" w:rsidR="007B0BB6" w:rsidRDefault="007B0BB6" w:rsidP="007B0BB6">
      <w:pPr>
        <w:spacing w:after="0" w:line="240" w:lineRule="auto"/>
        <w:rPr>
          <w:rFonts w:eastAsia="Cambria" w:cs="Arial"/>
          <w:color w:val="000000"/>
          <w:szCs w:val="24"/>
          <w:lang w:eastAsia="es-CR"/>
        </w:rPr>
      </w:pPr>
      <w:r w:rsidRPr="00DA6452">
        <w:rPr>
          <w:rFonts w:eastAsia="Cambria" w:cs="Arial"/>
          <w:color w:val="000000"/>
          <w:szCs w:val="24"/>
          <w:lang w:eastAsia="es-CR"/>
        </w:rPr>
        <w:t>Los gastos se reconocen por el Método de Devengado, es decir cuando ocurren (y no sólo cuando se cobra o paga el correspondiente efectivo o su equivalente). Por tanto, las transacciones y hechos se inscriben en los registros contables y se reconocen en los Estados Financieros de los ejercicios con los cuales se relacionan.</w:t>
      </w:r>
    </w:p>
    <w:p w14:paraId="2361C8CE" w14:textId="77777777" w:rsidR="007B0BB6" w:rsidRDefault="007B0BB6" w:rsidP="007B0BB6">
      <w:pPr>
        <w:spacing w:after="0" w:line="240" w:lineRule="auto"/>
        <w:rPr>
          <w:rFonts w:eastAsia="Cambria" w:cs="Arial"/>
          <w:color w:val="000000"/>
          <w:szCs w:val="24"/>
          <w:lang w:eastAsia="es-CR"/>
        </w:rPr>
      </w:pPr>
    </w:p>
    <w:p w14:paraId="3D387E2E" w14:textId="77777777" w:rsidR="008F0514" w:rsidRPr="00DA6452" w:rsidRDefault="008F0514" w:rsidP="007B0BB6">
      <w:pPr>
        <w:spacing w:after="0" w:line="240" w:lineRule="auto"/>
        <w:rPr>
          <w:rFonts w:eastAsia="Cambria" w:cs="Arial"/>
          <w:color w:val="000000"/>
          <w:szCs w:val="24"/>
          <w:lang w:eastAsia="es-CR"/>
        </w:rPr>
      </w:pPr>
    </w:p>
    <w:p w14:paraId="796153C9" w14:textId="77777777" w:rsidR="007B0BB6" w:rsidRDefault="007B0BB6" w:rsidP="007B0BB6">
      <w:pPr>
        <w:spacing w:before="120" w:after="0"/>
        <w:rPr>
          <w:rFonts w:eastAsia="Cambria" w:cs="Arial"/>
          <w:b/>
          <w:bCs/>
          <w:color w:val="000000"/>
          <w:lang w:eastAsia="es-CR"/>
        </w:rPr>
      </w:pPr>
      <w:r w:rsidRPr="003B7DD4">
        <w:rPr>
          <w:rFonts w:eastAsia="Cambria" w:cs="Arial"/>
          <w:b/>
          <w:bCs/>
          <w:color w:val="000000"/>
          <w:lang w:eastAsia="es-CR"/>
        </w:rPr>
        <w:t>Hechos ocurridos después de la fecha de presentación</w:t>
      </w:r>
    </w:p>
    <w:p w14:paraId="25D834C4" w14:textId="77777777" w:rsidR="007B0BB6" w:rsidRPr="00DA6452" w:rsidRDefault="007B0BB6" w:rsidP="007B0BB6">
      <w:pPr>
        <w:spacing w:line="240" w:lineRule="auto"/>
        <w:rPr>
          <w:szCs w:val="24"/>
        </w:rPr>
      </w:pPr>
      <w:r w:rsidRPr="00DA6452">
        <w:rPr>
          <w:szCs w:val="24"/>
          <w:lang w:val="es-ES"/>
        </w:rPr>
        <w:t>Se deben identificar los posibles hechos ocurridos después de fecha de presentación de los estados financieros y en caso de materializarse y de acuerdo la citada NICSP, serán objeto de reconocimiento y revelación (afectan los saldos a la fecha de presentación), únicamente deben ser reveladas; (tienen relación con los saldos después de la fecha de presentación), o que no implican ni reconocimiento ni revelación.</w:t>
      </w:r>
    </w:p>
    <w:p w14:paraId="726D08A9" w14:textId="0599783C" w:rsidR="007B0BB6" w:rsidRDefault="007B0BB6" w:rsidP="007B0BB6">
      <w:pPr>
        <w:spacing w:after="120" w:line="240" w:lineRule="auto"/>
        <w:rPr>
          <w:rFonts w:cs="Calibri"/>
          <w:szCs w:val="24"/>
        </w:rPr>
      </w:pPr>
      <w:r w:rsidRPr="00DA6452">
        <w:rPr>
          <w:rFonts w:cs="Calibri"/>
          <w:szCs w:val="24"/>
        </w:rPr>
        <w:t xml:space="preserve">Como parte del proceso de implementación de las NICSP </w:t>
      </w:r>
      <w:r w:rsidRPr="00DA6452">
        <w:rPr>
          <w:szCs w:val="24"/>
          <w:lang w:val="es-ES"/>
        </w:rPr>
        <w:t xml:space="preserve">se tiene programado establecer políticas y procedimientos internos para regular lo atinente a la aplicación de la NICSP 14. </w:t>
      </w:r>
      <w:r w:rsidRPr="00DA6452">
        <w:rPr>
          <w:rFonts w:cs="Calibri"/>
          <w:szCs w:val="24"/>
        </w:rPr>
        <w:t xml:space="preserve">Al </w:t>
      </w:r>
      <w:r w:rsidR="00796636">
        <w:rPr>
          <w:rFonts w:cs="Calibri"/>
          <w:szCs w:val="24"/>
        </w:rPr>
        <w:t>31</w:t>
      </w:r>
      <w:r>
        <w:rPr>
          <w:rFonts w:cs="Calibri"/>
          <w:szCs w:val="24"/>
        </w:rPr>
        <w:t xml:space="preserve"> de </w:t>
      </w:r>
      <w:r w:rsidR="00D64CF8">
        <w:rPr>
          <w:rFonts w:cs="Calibri"/>
          <w:szCs w:val="24"/>
        </w:rPr>
        <w:t>diciembre</w:t>
      </w:r>
      <w:r>
        <w:rPr>
          <w:rFonts w:cs="Calibri"/>
          <w:szCs w:val="24"/>
        </w:rPr>
        <w:t xml:space="preserve"> de 2024</w:t>
      </w:r>
      <w:r w:rsidRPr="00DA6452">
        <w:rPr>
          <w:rFonts w:cs="Calibri"/>
          <w:szCs w:val="24"/>
        </w:rPr>
        <w:t xml:space="preserve"> no se tuvo evidencia de Hechos ocurridos después de fecha de presentación de los estados financieros.</w:t>
      </w:r>
    </w:p>
    <w:p w14:paraId="5BF223D8" w14:textId="77777777" w:rsidR="007B0BB6" w:rsidRPr="00DA6452" w:rsidRDefault="007B0BB6" w:rsidP="007B0BB6">
      <w:pPr>
        <w:spacing w:after="0" w:line="240" w:lineRule="auto"/>
        <w:rPr>
          <w:rFonts w:cs="Calibri"/>
          <w:szCs w:val="24"/>
        </w:rPr>
      </w:pPr>
    </w:p>
    <w:p w14:paraId="7355F766" w14:textId="77777777" w:rsidR="007B0BB6" w:rsidRPr="003B7DD4" w:rsidRDefault="007B0BB6" w:rsidP="007B0BB6">
      <w:pPr>
        <w:spacing w:before="120" w:after="0"/>
        <w:rPr>
          <w:rFonts w:eastAsia="Cambria" w:cs="Arial"/>
          <w:b/>
          <w:bCs/>
          <w:color w:val="000000"/>
          <w:lang w:eastAsia="es-CR"/>
        </w:rPr>
      </w:pPr>
      <w:r>
        <w:rPr>
          <w:rFonts w:eastAsia="Cambria" w:cs="Arial"/>
          <w:b/>
          <w:bCs/>
          <w:color w:val="000000"/>
          <w:lang w:eastAsia="es-CR"/>
        </w:rPr>
        <w:t>Estados financieros consolidados</w:t>
      </w:r>
    </w:p>
    <w:p w14:paraId="4400ED67" w14:textId="77777777" w:rsidR="007B0BB6" w:rsidRPr="001A7303" w:rsidRDefault="007B0BB6" w:rsidP="007B0BB6">
      <w:pPr>
        <w:spacing w:line="240" w:lineRule="auto"/>
        <w:rPr>
          <w:szCs w:val="24"/>
          <w:lang w:val="es-AR"/>
        </w:rPr>
      </w:pPr>
      <w:r w:rsidRPr="00DA6452">
        <w:rPr>
          <w:szCs w:val="24"/>
        </w:rPr>
        <w:t xml:space="preserve">La Municipalidad de Buenos Aires deberá elaborar estados financieros consolidados incluyendo la información del Comité Cantonal de Deportes y Recreación (CCDR) de Buenos Aires. No obstante, no fue posible elaborar esos estados, debido a que el CCDR no remitió sus estados financieros a la Municipalidad. </w:t>
      </w:r>
      <w:r w:rsidRPr="00DA6452">
        <w:rPr>
          <w:szCs w:val="24"/>
          <w:lang w:val="es-AR"/>
        </w:rPr>
        <w:t xml:space="preserve">Esto debido a que dicho Comité se encuentra también en proceso de implementación </w:t>
      </w:r>
      <w:r w:rsidRPr="00DA6452">
        <w:rPr>
          <w:szCs w:val="24"/>
          <w:lang w:val="es-AR"/>
        </w:rPr>
        <w:lastRenderedPageBreak/>
        <w:t>y aplicación de las NICSP y la Municipalidad se encuentra coordinando lo pertinente para definir y consensuar alguna información propia del Comité y su registro contable, para su posterior consolidación.</w:t>
      </w:r>
    </w:p>
    <w:p w14:paraId="7C8E0ECB" w14:textId="4D91B582" w:rsidR="00422EDF" w:rsidRPr="00874E06" w:rsidRDefault="00D33ADF" w:rsidP="0004142E">
      <w:pPr>
        <w:rPr>
          <w:bCs/>
        </w:rPr>
      </w:pPr>
      <w:bookmarkStart w:id="20" w:name="_Hlk153877840"/>
      <w:r>
        <w:rPr>
          <w:bCs/>
        </w:rPr>
        <w:t>A</w:t>
      </w:r>
      <w:r w:rsidRPr="00564F81">
        <w:rPr>
          <w:bCs/>
        </w:rPr>
        <w:t xml:space="preserve">djuntar el Plan General Contable en anexos.  </w:t>
      </w:r>
      <w:bookmarkEnd w:id="20"/>
    </w:p>
    <w:p w14:paraId="2D93BB97" w14:textId="77777777" w:rsidR="00E319B8" w:rsidRPr="00E319B8" w:rsidRDefault="00E319B8" w:rsidP="00E319B8">
      <w:pPr>
        <w:pStyle w:val="Ttulo2"/>
        <w:rPr>
          <w:rFonts w:eastAsia="Times New Roman"/>
          <w:lang w:eastAsia="es-CR"/>
        </w:rPr>
      </w:pPr>
      <w:bookmarkStart w:id="21" w:name="_Toc82768861"/>
      <w:bookmarkStart w:id="22" w:name="_Toc189804779"/>
      <w:r w:rsidRPr="00E319B8">
        <w:rPr>
          <w:rFonts w:eastAsia="Times New Roman"/>
          <w:lang w:eastAsia="es-CR"/>
        </w:rPr>
        <w:t>CERTIFICACIÓN COMISIÓN DE RIESGO (SEVRI)</w:t>
      </w:r>
      <w:bookmarkEnd w:id="21"/>
      <w:bookmarkEnd w:id="22"/>
    </w:p>
    <w:p w14:paraId="58401BA3" w14:textId="094ADDF1" w:rsidR="00F21F36" w:rsidRPr="00E319B8" w:rsidRDefault="00E319B8" w:rsidP="00E319B8">
      <w:pPr>
        <w:rPr>
          <w:lang w:eastAsia="es-CR"/>
        </w:rPr>
      </w:pPr>
      <w:r w:rsidRPr="00E319B8">
        <w:rPr>
          <w:lang w:eastAsia="es-CR"/>
        </w:rPr>
        <w:t>(Certificación (Constancia – Sector Municipal) de Comisión de Riesgo). La comisión de riesgo es la misma que del SEVRI de acuerdo con la Ley General de Control Interno, por lo que se debe incluir el cumplimiento de las NICSP como parte de la valoración de riesgos institucional.</w:t>
      </w:r>
    </w:p>
    <w:p w14:paraId="73D15D93" w14:textId="77777777" w:rsidR="00E319B8" w:rsidRPr="00B70FD4" w:rsidRDefault="00E319B8" w:rsidP="00B70FD4">
      <w:pPr>
        <w:pBdr>
          <w:top w:val="single" w:sz="4" w:space="1" w:color="auto"/>
          <w:left w:val="single" w:sz="4" w:space="4" w:color="auto"/>
          <w:right w:val="single" w:sz="4" w:space="4" w:color="auto"/>
        </w:pBdr>
        <w:spacing w:after="0" w:line="240" w:lineRule="auto"/>
        <w:jc w:val="center"/>
        <w:rPr>
          <w:b/>
        </w:rPr>
      </w:pPr>
      <w:r w:rsidRPr="00B70FD4">
        <w:rPr>
          <w:b/>
        </w:rPr>
        <w:t>Certificación o Constancia:</w:t>
      </w:r>
    </w:p>
    <w:p w14:paraId="41FFBFAC" w14:textId="77777777" w:rsidR="00E319B8" w:rsidRPr="00E319B8" w:rsidRDefault="00E319B8" w:rsidP="00B70FD4">
      <w:pPr>
        <w:pBdr>
          <w:left w:val="single" w:sz="4" w:space="4" w:color="auto"/>
          <w:right w:val="single" w:sz="4" w:space="4" w:color="auto"/>
        </w:pBdr>
        <w:spacing w:after="0" w:line="240" w:lineRule="auto"/>
      </w:pPr>
    </w:p>
    <w:p w14:paraId="50EB25DB" w14:textId="77777777" w:rsidR="007B0BB6" w:rsidRPr="00E319B8" w:rsidRDefault="007B0BB6" w:rsidP="007B0BB6">
      <w:pPr>
        <w:pBdr>
          <w:left w:val="single" w:sz="4" w:space="4" w:color="auto"/>
          <w:right w:val="single" w:sz="4" w:space="4" w:color="auto"/>
        </w:pBdr>
        <w:spacing w:after="0" w:line="240" w:lineRule="auto"/>
      </w:pPr>
      <w:r w:rsidRPr="00E319B8">
        <w:t>La</w:t>
      </w:r>
      <w:r>
        <w:t xml:space="preserve"> MUNICIPALIDAD DE BUENOS AIRES</w:t>
      </w:r>
      <w:r w:rsidRPr="00E319B8">
        <w:t xml:space="preserve">, cédula jurídica </w:t>
      </w:r>
      <w:r w:rsidRPr="00DB124F">
        <w:rPr>
          <w:b/>
          <w:sz w:val="22"/>
        </w:rPr>
        <w:t>3-014-042112</w:t>
      </w:r>
      <w:r w:rsidRPr="00E319B8">
        <w:t xml:space="preserve">, y cuyo Representante Legal es </w:t>
      </w:r>
      <w:r w:rsidRPr="00DB124F">
        <w:rPr>
          <w:b/>
          <w:color w:val="000000"/>
          <w:sz w:val="22"/>
        </w:rPr>
        <w:t xml:space="preserve">MÁSTER </w:t>
      </w:r>
      <w:r>
        <w:rPr>
          <w:b/>
          <w:color w:val="000000"/>
          <w:sz w:val="22"/>
        </w:rPr>
        <w:t>ANA MARGOTH MORA NAVARRO</w:t>
      </w:r>
      <w:r w:rsidRPr="00E319B8">
        <w:t xml:space="preserve">, portadora de la cédula de identidad </w:t>
      </w:r>
      <w:r>
        <w:rPr>
          <w:b/>
          <w:color w:val="000000"/>
          <w:sz w:val="22"/>
        </w:rPr>
        <w:t>1-0280-0849</w:t>
      </w:r>
      <w:r w:rsidRPr="00E319B8">
        <w:t xml:space="preserve">, CERTIFICA QUE: </w:t>
      </w:r>
      <w:r w:rsidRPr="00E319B8">
        <w:rPr>
          <w:u w:val="single"/>
        </w:rPr>
        <w:t>la entidad cuenta con una Comisión de Riesgo, la cual incluyo el cumplimiento de las NICSP</w:t>
      </w:r>
      <w:r w:rsidRPr="00E319B8">
        <w:t>.</w:t>
      </w:r>
    </w:p>
    <w:p w14:paraId="68181E58" w14:textId="77777777" w:rsidR="007B0BB6" w:rsidRPr="00E319B8" w:rsidRDefault="007B0BB6" w:rsidP="007B0BB6">
      <w:pPr>
        <w:pBdr>
          <w:left w:val="single" w:sz="4" w:space="4" w:color="auto"/>
          <w:right w:val="single" w:sz="4" w:space="4" w:color="auto"/>
        </w:pBdr>
        <w:spacing w:after="0" w:line="240" w:lineRule="auto"/>
      </w:pPr>
    </w:p>
    <w:p w14:paraId="0051035E" w14:textId="77777777" w:rsidR="007B0BB6" w:rsidRPr="00B70FD4" w:rsidRDefault="007B0BB6" w:rsidP="007B0BB6">
      <w:pPr>
        <w:pBdr>
          <w:left w:val="single" w:sz="4" w:space="4" w:color="auto"/>
          <w:right w:val="single" w:sz="4" w:space="4" w:color="auto"/>
        </w:pBdr>
        <w:spacing w:after="0" w:line="240" w:lineRule="auto"/>
        <w:rPr>
          <w:b/>
        </w:rPr>
      </w:pPr>
      <w:r w:rsidRPr="00B70FD4">
        <w:rPr>
          <w:b/>
        </w:rPr>
        <w:t>Los Integrantes son:</w:t>
      </w:r>
    </w:p>
    <w:p w14:paraId="3EFAE81E" w14:textId="77777777" w:rsidR="007B0BB6" w:rsidRPr="00E319B8" w:rsidRDefault="007B0BB6" w:rsidP="007B0BB6">
      <w:pPr>
        <w:pBdr>
          <w:left w:val="single" w:sz="4" w:space="4" w:color="auto"/>
          <w:right w:val="single" w:sz="4" w:space="4" w:color="auto"/>
        </w:pBdr>
        <w:spacing w:after="0" w:line="240" w:lineRule="auto"/>
      </w:pPr>
    </w:p>
    <w:p w14:paraId="3AA79EDE" w14:textId="77777777" w:rsidR="007B0BB6" w:rsidRPr="00E319B8" w:rsidRDefault="007B0BB6" w:rsidP="007B0BB6">
      <w:pPr>
        <w:pBdr>
          <w:left w:val="single" w:sz="4" w:space="4" w:color="auto"/>
          <w:right w:val="single" w:sz="4" w:space="4" w:color="auto"/>
        </w:pBdr>
        <w:spacing w:after="0" w:line="240" w:lineRule="auto"/>
      </w:pPr>
      <w:proofErr w:type="spellStart"/>
      <w:r>
        <w:t>Curime</w:t>
      </w:r>
      <w:proofErr w:type="spellEnd"/>
      <w:r>
        <w:t xml:space="preserve"> Arguedas, Vice Alcalde</w:t>
      </w:r>
      <w:r w:rsidRPr="00E319B8">
        <w:t>. Coordinador de la Comisión.</w:t>
      </w:r>
    </w:p>
    <w:p w14:paraId="4B8675F3" w14:textId="77777777" w:rsidR="007B0BB6" w:rsidRPr="00E319B8" w:rsidRDefault="007B0BB6" w:rsidP="007B0BB6">
      <w:pPr>
        <w:pBdr>
          <w:left w:val="single" w:sz="4" w:space="4" w:color="auto"/>
          <w:right w:val="single" w:sz="4" w:space="4" w:color="auto"/>
        </w:pBdr>
        <w:spacing w:after="0" w:line="240" w:lineRule="auto"/>
      </w:pPr>
    </w:p>
    <w:p w14:paraId="0067DA2D" w14:textId="77777777" w:rsidR="007B0BB6" w:rsidRDefault="007B0BB6" w:rsidP="007B0BB6">
      <w:pPr>
        <w:pBdr>
          <w:left w:val="single" w:sz="4" w:space="4" w:color="auto"/>
          <w:right w:val="single" w:sz="4" w:space="4" w:color="auto"/>
        </w:pBdr>
        <w:spacing w:after="0" w:line="240" w:lineRule="auto"/>
        <w:rPr>
          <w:b/>
        </w:rPr>
      </w:pPr>
      <w:r w:rsidRPr="00B70FD4">
        <w:rPr>
          <w:b/>
        </w:rPr>
        <w:t>Integrantes:</w:t>
      </w:r>
    </w:p>
    <w:p w14:paraId="2B299D3B" w14:textId="77777777" w:rsidR="007B0BB6" w:rsidRDefault="007B0BB6" w:rsidP="007B0BB6">
      <w:pPr>
        <w:pBdr>
          <w:left w:val="single" w:sz="4" w:space="4" w:color="auto"/>
          <w:right w:val="single" w:sz="4" w:space="4" w:color="auto"/>
        </w:pBdr>
        <w:spacing w:after="0" w:line="240" w:lineRule="auto"/>
        <w:rPr>
          <w:b/>
        </w:rPr>
      </w:pPr>
    </w:p>
    <w:p w14:paraId="7681B2B4" w14:textId="77777777" w:rsidR="007B0BB6" w:rsidRDefault="007B0BB6" w:rsidP="007B0BB6">
      <w:pPr>
        <w:pBdr>
          <w:left w:val="single" w:sz="4" w:space="4" w:color="auto"/>
          <w:right w:val="single" w:sz="4" w:space="4" w:color="auto"/>
        </w:pBdr>
        <w:spacing w:after="0" w:line="240" w:lineRule="auto"/>
        <w:rPr>
          <w:bCs/>
        </w:rPr>
      </w:pPr>
      <w:r w:rsidRPr="00A123AD">
        <w:rPr>
          <w:bCs/>
        </w:rPr>
        <w:t>Gerardo Cordero Arguedas, Contador Municipal</w:t>
      </w:r>
    </w:p>
    <w:p w14:paraId="68B19C8C" w14:textId="77777777" w:rsidR="007B0BB6" w:rsidRDefault="007B0BB6" w:rsidP="007B0BB6">
      <w:pPr>
        <w:pBdr>
          <w:left w:val="single" w:sz="4" w:space="4" w:color="auto"/>
          <w:right w:val="single" w:sz="4" w:space="4" w:color="auto"/>
        </w:pBdr>
        <w:spacing w:after="0" w:line="240" w:lineRule="auto"/>
        <w:rPr>
          <w:bCs/>
        </w:rPr>
      </w:pPr>
      <w:r>
        <w:rPr>
          <w:bCs/>
        </w:rPr>
        <w:t>Maribel Pérez Monge, Encargada Departamento Administración Tributaria</w:t>
      </w:r>
    </w:p>
    <w:p w14:paraId="00CF9C20" w14:textId="77777777" w:rsidR="007B0BB6" w:rsidRDefault="007B0BB6" w:rsidP="007B0BB6">
      <w:pPr>
        <w:pBdr>
          <w:left w:val="single" w:sz="4" w:space="4" w:color="auto"/>
          <w:right w:val="single" w:sz="4" w:space="4" w:color="auto"/>
        </w:pBdr>
        <w:spacing w:after="0" w:line="240" w:lineRule="auto"/>
        <w:rPr>
          <w:bCs/>
        </w:rPr>
      </w:pPr>
      <w:r>
        <w:rPr>
          <w:bCs/>
        </w:rPr>
        <w:t>Esteban Fallas Vidal, Tesorero Municipal</w:t>
      </w:r>
    </w:p>
    <w:p w14:paraId="37A5355E" w14:textId="77777777" w:rsidR="007B0BB6" w:rsidRDefault="007B0BB6" w:rsidP="007B0BB6">
      <w:pPr>
        <w:pBdr>
          <w:left w:val="single" w:sz="4" w:space="4" w:color="auto"/>
          <w:right w:val="single" w:sz="4" w:space="4" w:color="auto"/>
        </w:pBdr>
        <w:spacing w:after="0" w:line="240" w:lineRule="auto"/>
        <w:rPr>
          <w:bCs/>
        </w:rPr>
      </w:pPr>
      <w:r>
        <w:rPr>
          <w:bCs/>
        </w:rPr>
        <w:t>Natalia Saldaña Delgado, Encargada Departamento de TI</w:t>
      </w:r>
    </w:p>
    <w:p w14:paraId="57FD2466" w14:textId="77777777" w:rsidR="007B0BB6" w:rsidRDefault="007B0BB6" w:rsidP="007B0BB6">
      <w:pPr>
        <w:pBdr>
          <w:left w:val="single" w:sz="4" w:space="4" w:color="auto"/>
          <w:right w:val="single" w:sz="4" w:space="4" w:color="auto"/>
        </w:pBdr>
        <w:spacing w:after="0" w:line="240" w:lineRule="auto"/>
        <w:rPr>
          <w:bCs/>
        </w:rPr>
      </w:pPr>
      <w:proofErr w:type="spellStart"/>
      <w:r>
        <w:rPr>
          <w:bCs/>
        </w:rPr>
        <w:t>Edylma</w:t>
      </w:r>
      <w:proofErr w:type="spellEnd"/>
      <w:r>
        <w:rPr>
          <w:bCs/>
        </w:rPr>
        <w:t xml:space="preserve"> Granados Bermúdez</w:t>
      </w:r>
    </w:p>
    <w:p w14:paraId="256A4CC6" w14:textId="77777777" w:rsidR="007B0BB6" w:rsidRDefault="007B0BB6" w:rsidP="007B0BB6">
      <w:pPr>
        <w:pBdr>
          <w:left w:val="single" w:sz="4" w:space="4" w:color="auto"/>
          <w:right w:val="single" w:sz="4" w:space="4" w:color="auto"/>
        </w:pBdr>
        <w:spacing w:after="0" w:line="240" w:lineRule="auto"/>
        <w:rPr>
          <w:bCs/>
        </w:rPr>
      </w:pPr>
      <w:proofErr w:type="spellStart"/>
      <w:r>
        <w:rPr>
          <w:bCs/>
        </w:rPr>
        <w:t>Limsay</w:t>
      </w:r>
      <w:proofErr w:type="spellEnd"/>
      <w:r>
        <w:rPr>
          <w:bCs/>
        </w:rPr>
        <w:t xml:space="preserve"> Acuña López</w:t>
      </w:r>
    </w:p>
    <w:p w14:paraId="7A101B19" w14:textId="77777777" w:rsidR="007B0BB6" w:rsidRDefault="007B0BB6" w:rsidP="007B0BB6">
      <w:pPr>
        <w:pBdr>
          <w:left w:val="single" w:sz="4" w:space="4" w:color="auto"/>
          <w:right w:val="single" w:sz="4" w:space="4" w:color="auto"/>
        </w:pBdr>
        <w:spacing w:after="0" w:line="240" w:lineRule="auto"/>
        <w:rPr>
          <w:bCs/>
        </w:rPr>
      </w:pPr>
      <w:r>
        <w:rPr>
          <w:bCs/>
        </w:rPr>
        <w:t>Andrea Espinoza Arauz, Encargada Recursos Humanos</w:t>
      </w:r>
    </w:p>
    <w:p w14:paraId="56EC7FBF" w14:textId="77777777" w:rsidR="007B0BB6" w:rsidRDefault="007B0BB6" w:rsidP="007B0BB6">
      <w:pPr>
        <w:pBdr>
          <w:left w:val="single" w:sz="4" w:space="4" w:color="auto"/>
          <w:right w:val="single" w:sz="4" w:space="4" w:color="auto"/>
        </w:pBdr>
        <w:spacing w:after="0" w:line="240" w:lineRule="auto"/>
        <w:rPr>
          <w:bCs/>
        </w:rPr>
      </w:pPr>
      <w:r>
        <w:rPr>
          <w:bCs/>
        </w:rPr>
        <w:t>Alban Serrano Siles, Encargado Proveeduría Municipal</w:t>
      </w:r>
    </w:p>
    <w:p w14:paraId="49EDB15B" w14:textId="77777777" w:rsidR="007B0BB6" w:rsidRDefault="007B0BB6" w:rsidP="007B0BB6">
      <w:pPr>
        <w:pBdr>
          <w:left w:val="single" w:sz="4" w:space="4" w:color="auto"/>
          <w:right w:val="single" w:sz="4" w:space="4" w:color="auto"/>
        </w:pBdr>
        <w:spacing w:after="0" w:line="240" w:lineRule="auto"/>
        <w:rPr>
          <w:bCs/>
        </w:rPr>
      </w:pPr>
      <w:r>
        <w:rPr>
          <w:bCs/>
        </w:rPr>
        <w:t>Graciela Núñez Marchena</w:t>
      </w:r>
    </w:p>
    <w:p w14:paraId="3EB9CA46" w14:textId="77777777" w:rsidR="007B0BB6" w:rsidRDefault="007B0BB6" w:rsidP="007B0BB6">
      <w:pPr>
        <w:pBdr>
          <w:left w:val="single" w:sz="4" w:space="4" w:color="auto"/>
          <w:right w:val="single" w:sz="4" w:space="4" w:color="auto"/>
        </w:pBdr>
        <w:spacing w:after="0" w:line="240" w:lineRule="auto"/>
        <w:rPr>
          <w:bCs/>
        </w:rPr>
      </w:pPr>
      <w:proofErr w:type="spellStart"/>
      <w:r>
        <w:rPr>
          <w:bCs/>
        </w:rPr>
        <w:t>Jhonny</w:t>
      </w:r>
      <w:proofErr w:type="spellEnd"/>
      <w:r>
        <w:rPr>
          <w:bCs/>
        </w:rPr>
        <w:t xml:space="preserve"> Vidal Atencio, Asesor Legal</w:t>
      </w:r>
    </w:p>
    <w:p w14:paraId="7891AD94" w14:textId="77777777" w:rsidR="007B0BB6" w:rsidRDefault="007B0BB6" w:rsidP="007B0BB6">
      <w:pPr>
        <w:pBdr>
          <w:left w:val="single" w:sz="4" w:space="4" w:color="auto"/>
          <w:right w:val="single" w:sz="4" w:space="4" w:color="auto"/>
        </w:pBdr>
        <w:spacing w:after="0" w:line="240" w:lineRule="auto"/>
        <w:rPr>
          <w:bCs/>
        </w:rPr>
      </w:pPr>
      <w:r>
        <w:rPr>
          <w:bCs/>
        </w:rPr>
        <w:t>Jeannette Chaves Ortiz, Encargada Presupuesto</w:t>
      </w:r>
    </w:p>
    <w:p w14:paraId="07BCF1EB" w14:textId="77777777" w:rsidR="007B0BB6" w:rsidRDefault="007B0BB6" w:rsidP="007B0BB6">
      <w:pPr>
        <w:pBdr>
          <w:left w:val="single" w:sz="4" w:space="4" w:color="auto"/>
          <w:right w:val="single" w:sz="4" w:space="4" w:color="auto"/>
        </w:pBdr>
        <w:spacing w:after="0" w:line="240" w:lineRule="auto"/>
        <w:rPr>
          <w:bCs/>
        </w:rPr>
      </w:pPr>
      <w:r>
        <w:rPr>
          <w:bCs/>
        </w:rPr>
        <w:t>Freddy Jiménez Torres, Coordinador General Gestión Vial</w:t>
      </w:r>
    </w:p>
    <w:p w14:paraId="76996E41" w14:textId="77777777" w:rsidR="007B0BB6" w:rsidRDefault="007B0BB6" w:rsidP="007B0BB6">
      <w:pPr>
        <w:pBdr>
          <w:left w:val="single" w:sz="4" w:space="4" w:color="auto"/>
          <w:right w:val="single" w:sz="4" w:space="4" w:color="auto"/>
        </w:pBdr>
        <w:spacing w:after="0" w:line="240" w:lineRule="auto"/>
        <w:rPr>
          <w:bCs/>
        </w:rPr>
      </w:pPr>
      <w:r>
        <w:rPr>
          <w:bCs/>
        </w:rPr>
        <w:t>Jorge Morales Black, Coordinados Desarrollo Urbano</w:t>
      </w:r>
    </w:p>
    <w:p w14:paraId="7727A20E" w14:textId="77777777" w:rsidR="007B0BB6" w:rsidRPr="00A123AD" w:rsidRDefault="007B0BB6" w:rsidP="007B0BB6">
      <w:pPr>
        <w:pBdr>
          <w:left w:val="single" w:sz="4" w:space="4" w:color="auto"/>
          <w:right w:val="single" w:sz="4" w:space="4" w:color="auto"/>
        </w:pBdr>
        <w:spacing w:after="0" w:line="240" w:lineRule="auto"/>
        <w:rPr>
          <w:bCs/>
        </w:rPr>
      </w:pPr>
      <w:r>
        <w:rPr>
          <w:bCs/>
        </w:rPr>
        <w:t>Marisol Monge Ortiz</w:t>
      </w:r>
    </w:p>
    <w:p w14:paraId="4680E966" w14:textId="77777777" w:rsidR="007B0BB6" w:rsidRPr="00A123AD" w:rsidRDefault="007B0BB6" w:rsidP="007B0BB6">
      <w:pPr>
        <w:pBdr>
          <w:left w:val="single" w:sz="4" w:space="4" w:color="auto"/>
          <w:right w:val="single" w:sz="4" w:space="4" w:color="auto"/>
        </w:pBdr>
        <w:spacing w:after="0" w:line="240" w:lineRule="auto"/>
        <w:rPr>
          <w:b/>
        </w:rPr>
      </w:pPr>
    </w:p>
    <w:p w14:paraId="5A86C0B3" w14:textId="77777777" w:rsidR="007B0BB6" w:rsidRPr="00E319B8" w:rsidRDefault="007B0BB6" w:rsidP="007B0BB6">
      <w:pPr>
        <w:pBdr>
          <w:left w:val="single" w:sz="4" w:space="4" w:color="auto"/>
          <w:right w:val="single" w:sz="4" w:space="4" w:color="auto"/>
        </w:pBdr>
        <w:spacing w:after="0" w:line="240" w:lineRule="auto"/>
      </w:pPr>
      <w:r w:rsidRPr="00B70FD4">
        <w:rPr>
          <w:b/>
        </w:rPr>
        <w:t>Observaciones:</w:t>
      </w:r>
      <w:r w:rsidRPr="00E319B8">
        <w:t xml:space="preserve"> </w:t>
      </w:r>
      <w:r>
        <w:t>Se han promovido reuniones con la Alcaldía Municipal para fortalecer el proceso de implementación de las NICSP y lograr avanzar en el cumplimiento de los planes de acción que corresponden a las unidades primarias de registro.</w:t>
      </w:r>
    </w:p>
    <w:p w14:paraId="7E9B7A46" w14:textId="77777777" w:rsidR="007B0BB6" w:rsidRPr="00E319B8" w:rsidRDefault="007B0BB6" w:rsidP="007B0BB6">
      <w:pPr>
        <w:pBdr>
          <w:left w:val="single" w:sz="4" w:space="4" w:color="auto"/>
          <w:right w:val="single" w:sz="4" w:space="4" w:color="auto"/>
        </w:pBdr>
        <w:spacing w:after="0" w:line="240" w:lineRule="auto"/>
      </w:pPr>
    </w:p>
    <w:p w14:paraId="62E6C00E" w14:textId="2DAEDB2C" w:rsidR="00B70FD4" w:rsidRDefault="007B0BB6" w:rsidP="007B0BB6">
      <w:pPr>
        <w:pBdr>
          <w:left w:val="single" w:sz="4" w:space="4" w:color="auto"/>
          <w:bottom w:val="single" w:sz="4" w:space="0" w:color="auto"/>
          <w:right w:val="single" w:sz="4" w:space="4" w:color="auto"/>
        </w:pBdr>
        <w:spacing w:after="0" w:line="240" w:lineRule="auto"/>
        <w:rPr>
          <w:rFonts w:eastAsia="Calibri" w:cs="Times New Roman"/>
        </w:rPr>
      </w:pPr>
      <w:r w:rsidRPr="00B70FD4">
        <w:rPr>
          <w:b/>
        </w:rPr>
        <w:t>Nota:</w:t>
      </w:r>
      <w:r w:rsidRPr="00E319B8">
        <w:t xml:space="preserve">  La firma del Máximo Jerarca está incluida en las firmas del estado de notas en su conjunto.</w:t>
      </w:r>
    </w:p>
    <w:p w14:paraId="024DAF7A" w14:textId="47872057" w:rsidR="00E319B8" w:rsidRPr="00E319B8" w:rsidRDefault="00E319B8" w:rsidP="00B70FD4">
      <w:pPr>
        <w:spacing w:before="240"/>
      </w:pPr>
      <w:r w:rsidRPr="00E319B8">
        <w:lastRenderedPageBreak/>
        <w:t xml:space="preserve">El siguiente cuadro debe presentarse como revelación </w:t>
      </w:r>
      <w:r w:rsidR="00150775">
        <w:t>al 2024</w:t>
      </w:r>
      <w:r w:rsidRPr="00E319B8">
        <w:t>, de acuerdo con sus particularidades.</w:t>
      </w:r>
    </w:p>
    <w:tbl>
      <w:tblPr>
        <w:tblW w:w="8960" w:type="dxa"/>
        <w:tblLook w:val="04A0" w:firstRow="1" w:lastRow="0" w:firstColumn="1" w:lastColumn="0" w:noHBand="0" w:noVBand="1"/>
      </w:tblPr>
      <w:tblGrid>
        <w:gridCol w:w="1840"/>
        <w:gridCol w:w="1840"/>
        <w:gridCol w:w="3460"/>
        <w:gridCol w:w="1820"/>
      </w:tblGrid>
      <w:tr w:rsidR="007B0BB6" w:rsidRPr="00AC668C" w14:paraId="1BE3907B" w14:textId="77777777" w:rsidTr="007B0BB6">
        <w:trPr>
          <w:trHeight w:val="310"/>
        </w:trPr>
        <w:tc>
          <w:tcPr>
            <w:tcW w:w="1840" w:type="dxa"/>
            <w:tcBorders>
              <w:top w:val="single" w:sz="8" w:space="0" w:color="auto"/>
              <w:left w:val="single" w:sz="8" w:space="0" w:color="auto"/>
              <w:bottom w:val="single" w:sz="4" w:space="0" w:color="auto"/>
              <w:right w:val="single" w:sz="8" w:space="0" w:color="auto"/>
            </w:tcBorders>
            <w:shd w:val="clear" w:color="000000" w:fill="1F3864"/>
            <w:noWrap/>
            <w:vAlign w:val="center"/>
            <w:hideMark/>
          </w:tcPr>
          <w:p w14:paraId="1B7A68BC" w14:textId="77777777" w:rsidR="007B0BB6" w:rsidRPr="00AC668C" w:rsidRDefault="007B0BB6" w:rsidP="007B0BB6">
            <w:pPr>
              <w:jc w:val="center"/>
              <w:rPr>
                <w:rFonts w:cs="Calibri"/>
                <w:color w:val="FFFFFF"/>
              </w:rPr>
            </w:pPr>
            <w:bookmarkStart w:id="23" w:name="_Toc82768862"/>
            <w:r w:rsidRPr="00AC668C">
              <w:rPr>
                <w:rFonts w:cs="Calibri"/>
                <w:color w:val="FFFFFF"/>
              </w:rPr>
              <w:t>Riesgo</w:t>
            </w:r>
          </w:p>
        </w:tc>
        <w:tc>
          <w:tcPr>
            <w:tcW w:w="1840" w:type="dxa"/>
            <w:tcBorders>
              <w:top w:val="single" w:sz="8" w:space="0" w:color="auto"/>
              <w:left w:val="nil"/>
              <w:bottom w:val="single" w:sz="4" w:space="0" w:color="auto"/>
              <w:right w:val="single" w:sz="8" w:space="0" w:color="auto"/>
            </w:tcBorders>
            <w:shd w:val="clear" w:color="000000" w:fill="1F3864"/>
            <w:vAlign w:val="center"/>
            <w:hideMark/>
          </w:tcPr>
          <w:p w14:paraId="4210B2DD" w14:textId="77777777" w:rsidR="007B0BB6" w:rsidRPr="00AC668C" w:rsidRDefault="007B0BB6" w:rsidP="007B0BB6">
            <w:pPr>
              <w:jc w:val="center"/>
              <w:rPr>
                <w:rFonts w:cs="Calibri"/>
                <w:color w:val="FFFFFF"/>
              </w:rPr>
            </w:pPr>
            <w:r w:rsidRPr="00AC668C">
              <w:rPr>
                <w:rFonts w:cs="Calibri"/>
                <w:color w:val="FFFFFF"/>
              </w:rPr>
              <w:t>Grado Impacto</w:t>
            </w:r>
          </w:p>
        </w:tc>
        <w:tc>
          <w:tcPr>
            <w:tcW w:w="3460" w:type="dxa"/>
            <w:tcBorders>
              <w:top w:val="single" w:sz="8" w:space="0" w:color="auto"/>
              <w:left w:val="nil"/>
              <w:bottom w:val="single" w:sz="4" w:space="0" w:color="auto"/>
              <w:right w:val="single" w:sz="8" w:space="0" w:color="auto"/>
            </w:tcBorders>
            <w:shd w:val="clear" w:color="000000" w:fill="1F3864"/>
            <w:vAlign w:val="center"/>
            <w:hideMark/>
          </w:tcPr>
          <w:p w14:paraId="15AA9577" w14:textId="77777777" w:rsidR="007B0BB6" w:rsidRPr="00AC668C" w:rsidRDefault="007B0BB6" w:rsidP="007B0BB6">
            <w:pPr>
              <w:jc w:val="center"/>
              <w:rPr>
                <w:rFonts w:cs="Calibri"/>
                <w:color w:val="FFFFFF"/>
              </w:rPr>
            </w:pPr>
            <w:r w:rsidRPr="00AC668C">
              <w:rPr>
                <w:rFonts w:cs="Calibri"/>
                <w:color w:val="FFFFFF"/>
              </w:rPr>
              <w:t>Medidas De Contención</w:t>
            </w:r>
          </w:p>
        </w:tc>
        <w:tc>
          <w:tcPr>
            <w:tcW w:w="1820" w:type="dxa"/>
            <w:tcBorders>
              <w:top w:val="single" w:sz="8" w:space="0" w:color="auto"/>
              <w:left w:val="nil"/>
              <w:bottom w:val="single" w:sz="4" w:space="0" w:color="auto"/>
              <w:right w:val="single" w:sz="8" w:space="0" w:color="auto"/>
            </w:tcBorders>
            <w:shd w:val="clear" w:color="000000" w:fill="1F3864"/>
            <w:vAlign w:val="center"/>
            <w:hideMark/>
          </w:tcPr>
          <w:p w14:paraId="4C34AD27" w14:textId="77777777" w:rsidR="007B0BB6" w:rsidRPr="00AC668C" w:rsidRDefault="007B0BB6" w:rsidP="007B0BB6">
            <w:pPr>
              <w:jc w:val="center"/>
              <w:rPr>
                <w:rFonts w:cs="Calibri"/>
                <w:color w:val="FFFFFF"/>
              </w:rPr>
            </w:pPr>
            <w:r w:rsidRPr="00AC668C">
              <w:rPr>
                <w:rFonts w:cs="Calibri"/>
                <w:color w:val="FFFFFF"/>
              </w:rPr>
              <w:t>Observaciones</w:t>
            </w:r>
          </w:p>
        </w:tc>
      </w:tr>
      <w:tr w:rsidR="007B0BB6" w:rsidRPr="00A13506" w14:paraId="6BA111E5" w14:textId="77777777" w:rsidTr="007B0BB6">
        <w:trPr>
          <w:trHeight w:val="2540"/>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2A73F6" w14:textId="77777777" w:rsidR="007B0BB6" w:rsidRPr="00A13506" w:rsidRDefault="007B0BB6" w:rsidP="007B0BB6">
            <w:pPr>
              <w:spacing w:after="60" w:line="240" w:lineRule="auto"/>
              <w:rPr>
                <w:rFonts w:cs="Arial"/>
                <w:color w:val="000000"/>
                <w:sz w:val="20"/>
                <w:szCs w:val="20"/>
              </w:rPr>
            </w:pPr>
            <w:r w:rsidRPr="00A13506">
              <w:rPr>
                <w:rFonts w:cs="Arial"/>
                <w:color w:val="000000"/>
                <w:sz w:val="20"/>
                <w:szCs w:val="20"/>
              </w:rPr>
              <w:t>Disminución en el flujo de caja institucional (menos ingresos)</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6BAF5D76" w14:textId="77777777" w:rsidR="007B0BB6" w:rsidRPr="00A13506" w:rsidRDefault="007B0BB6" w:rsidP="007B0BB6">
            <w:pPr>
              <w:spacing w:after="60" w:line="240" w:lineRule="auto"/>
              <w:jc w:val="center"/>
              <w:rPr>
                <w:rFonts w:cs="Arial"/>
                <w:color w:val="000000"/>
                <w:sz w:val="20"/>
                <w:szCs w:val="20"/>
              </w:rPr>
            </w:pPr>
            <w:r w:rsidRPr="00A13506">
              <w:rPr>
                <w:rFonts w:cs="Arial"/>
                <w:color w:val="000000"/>
                <w:sz w:val="20"/>
                <w:szCs w:val="20"/>
              </w:rPr>
              <w:t> Alto</w:t>
            </w:r>
          </w:p>
        </w:tc>
        <w:tc>
          <w:tcPr>
            <w:tcW w:w="3460" w:type="dxa"/>
            <w:tcBorders>
              <w:top w:val="single" w:sz="4" w:space="0" w:color="auto"/>
              <w:left w:val="nil"/>
              <w:bottom w:val="single" w:sz="4" w:space="0" w:color="auto"/>
              <w:right w:val="single" w:sz="4" w:space="0" w:color="auto"/>
            </w:tcBorders>
            <w:shd w:val="clear" w:color="auto" w:fill="auto"/>
            <w:vAlign w:val="center"/>
            <w:hideMark/>
          </w:tcPr>
          <w:p w14:paraId="41A16171" w14:textId="77777777" w:rsidR="007B0BB6" w:rsidRPr="00A13506" w:rsidRDefault="007B0BB6" w:rsidP="007B0BB6">
            <w:pPr>
              <w:spacing w:after="60" w:line="240" w:lineRule="auto"/>
              <w:rPr>
                <w:rFonts w:cs="Arial"/>
                <w:color w:val="000000"/>
                <w:sz w:val="20"/>
                <w:szCs w:val="20"/>
              </w:rPr>
            </w:pPr>
            <w:r w:rsidRPr="00A13506">
              <w:rPr>
                <w:rFonts w:cs="Arial"/>
                <w:color w:val="000000"/>
                <w:sz w:val="20"/>
                <w:szCs w:val="20"/>
              </w:rPr>
              <w:t>Impulsar el uso de las tecnologías información para el cobro de tributos y atención de consultas ciudadanas.</w:t>
            </w:r>
            <w:r w:rsidRPr="00A13506">
              <w:rPr>
                <w:rFonts w:cs="Arial"/>
                <w:color w:val="000000"/>
                <w:sz w:val="20"/>
                <w:szCs w:val="20"/>
              </w:rPr>
              <w:br/>
            </w:r>
            <w:r w:rsidRPr="00A13506">
              <w:rPr>
                <w:rFonts w:cs="Arial"/>
                <w:color w:val="000000"/>
                <w:sz w:val="20"/>
                <w:szCs w:val="20"/>
              </w:rPr>
              <w:br/>
              <w:t>Hacer uso de los medios dispuestos para el cobro de tributos en línea.</w:t>
            </w:r>
            <w:r w:rsidRPr="00A13506">
              <w:rPr>
                <w:rFonts w:cs="Arial"/>
                <w:color w:val="000000"/>
                <w:sz w:val="20"/>
                <w:szCs w:val="20"/>
              </w:rPr>
              <w:br/>
            </w:r>
            <w:r w:rsidRPr="00A13506">
              <w:rPr>
                <w:rFonts w:cs="Arial"/>
                <w:color w:val="000000"/>
                <w:sz w:val="20"/>
                <w:szCs w:val="20"/>
              </w:rPr>
              <w:br/>
              <w:t>Formular y poner en práctica políticas y protocolos para atención de trámites ciudadanos con alguna limitación para uso de trámites digitales.</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14:paraId="67240357" w14:textId="77777777" w:rsidR="007B0BB6" w:rsidRPr="00A13506" w:rsidRDefault="007B0BB6" w:rsidP="007B0BB6">
            <w:pPr>
              <w:spacing w:after="60" w:line="240" w:lineRule="auto"/>
              <w:rPr>
                <w:rFonts w:cs="Arial"/>
                <w:color w:val="000000"/>
                <w:sz w:val="20"/>
                <w:szCs w:val="20"/>
              </w:rPr>
            </w:pPr>
            <w:r w:rsidRPr="00A13506">
              <w:rPr>
                <w:rFonts w:cs="Arial"/>
                <w:color w:val="000000"/>
                <w:sz w:val="20"/>
                <w:szCs w:val="20"/>
              </w:rPr>
              <w:t xml:space="preserve"> </w:t>
            </w:r>
          </w:p>
        </w:tc>
      </w:tr>
      <w:tr w:rsidR="007B0BB6" w:rsidRPr="00A13506" w14:paraId="6D1FA676" w14:textId="77777777" w:rsidTr="007B0BB6">
        <w:trPr>
          <w:trHeight w:val="3188"/>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38709C" w14:textId="77777777" w:rsidR="007B0BB6" w:rsidRPr="00A13506" w:rsidRDefault="007B0BB6" w:rsidP="007B0BB6">
            <w:pPr>
              <w:spacing w:after="60" w:line="240" w:lineRule="auto"/>
              <w:rPr>
                <w:rFonts w:cs="Arial"/>
                <w:color w:val="000000"/>
                <w:sz w:val="20"/>
                <w:szCs w:val="20"/>
              </w:rPr>
            </w:pPr>
            <w:r w:rsidRPr="00A13506">
              <w:rPr>
                <w:rFonts w:cs="Arial"/>
                <w:color w:val="000000"/>
                <w:sz w:val="20"/>
                <w:szCs w:val="20"/>
              </w:rPr>
              <w:t xml:space="preserve">No se cuenta con una automatización completa de los servicios Municipales, los cuales se lleven a cabo a través </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44D23D" w14:textId="77777777" w:rsidR="007B0BB6" w:rsidRPr="00A13506" w:rsidRDefault="007B0BB6" w:rsidP="007B0BB6">
            <w:pPr>
              <w:spacing w:after="60" w:line="240" w:lineRule="auto"/>
              <w:jc w:val="center"/>
              <w:rPr>
                <w:rFonts w:cs="Arial"/>
                <w:color w:val="000000"/>
                <w:sz w:val="20"/>
                <w:szCs w:val="20"/>
              </w:rPr>
            </w:pPr>
            <w:r w:rsidRPr="00A13506">
              <w:rPr>
                <w:rFonts w:cs="Arial"/>
                <w:color w:val="000000"/>
                <w:sz w:val="20"/>
                <w:szCs w:val="20"/>
              </w:rPr>
              <w:t> Alto</w:t>
            </w:r>
          </w:p>
        </w:tc>
        <w:tc>
          <w:tcPr>
            <w:tcW w:w="3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421F2B" w14:textId="77777777" w:rsidR="007B0BB6" w:rsidRPr="00A13506" w:rsidRDefault="007B0BB6" w:rsidP="007B0BB6">
            <w:pPr>
              <w:spacing w:after="60" w:line="240" w:lineRule="auto"/>
              <w:rPr>
                <w:rFonts w:cs="Arial"/>
                <w:color w:val="000000"/>
                <w:sz w:val="20"/>
                <w:szCs w:val="20"/>
              </w:rPr>
            </w:pPr>
            <w:r w:rsidRPr="00A13506">
              <w:rPr>
                <w:rFonts w:cs="Arial"/>
                <w:color w:val="000000"/>
                <w:sz w:val="20"/>
                <w:szCs w:val="20"/>
              </w:rPr>
              <w:t>Impulsar el uso de las tecnologías información para el cobro de tributos y atención de consultas ciudadanas.</w:t>
            </w:r>
            <w:r w:rsidRPr="00A13506">
              <w:rPr>
                <w:rFonts w:cs="Arial"/>
                <w:color w:val="000000"/>
                <w:sz w:val="20"/>
                <w:szCs w:val="20"/>
              </w:rPr>
              <w:br/>
              <w:t>Fortalecer la gestión de las distintas unidades administrativas tendentes a mejorar los servicios que presta la Municipalidad.</w:t>
            </w:r>
            <w:r w:rsidRPr="00A13506">
              <w:rPr>
                <w:rFonts w:cs="Arial"/>
                <w:color w:val="000000"/>
                <w:sz w:val="20"/>
                <w:szCs w:val="20"/>
              </w:rPr>
              <w:br/>
              <w:t>Buscar mejorar las condiciones de trabajo aplicando distintas medidas como, habilitando nuevos espacios físicos, la modalidad de teletrabajo.</w:t>
            </w:r>
            <w:r w:rsidRPr="00A13506">
              <w:rPr>
                <w:rFonts w:cs="Arial"/>
                <w:color w:val="000000"/>
                <w:sz w:val="20"/>
                <w:szCs w:val="20"/>
              </w:rPr>
              <w:br/>
              <w:t>Plantear la necesidad de una revisión de los procesos a cargo de los diferentes departamentos con el fin de evaluar las cargas de trabajo.</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B26029" w14:textId="77777777" w:rsidR="007B0BB6" w:rsidRPr="00A13506" w:rsidRDefault="007B0BB6" w:rsidP="007B0BB6">
            <w:pPr>
              <w:spacing w:after="60" w:line="240" w:lineRule="auto"/>
              <w:rPr>
                <w:rFonts w:cs="Arial"/>
                <w:color w:val="000000"/>
                <w:sz w:val="20"/>
                <w:szCs w:val="20"/>
              </w:rPr>
            </w:pPr>
            <w:r w:rsidRPr="00A13506">
              <w:rPr>
                <w:rFonts w:cs="Arial"/>
                <w:color w:val="000000"/>
                <w:sz w:val="20"/>
                <w:szCs w:val="20"/>
              </w:rPr>
              <w:t> </w:t>
            </w:r>
          </w:p>
        </w:tc>
      </w:tr>
      <w:tr w:rsidR="007B0BB6" w:rsidRPr="00A13506" w14:paraId="36541DC3" w14:textId="77777777" w:rsidTr="007B0BB6">
        <w:trPr>
          <w:trHeight w:val="2540"/>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41F376" w14:textId="77777777" w:rsidR="007B0BB6" w:rsidRPr="00A13506" w:rsidRDefault="007B0BB6" w:rsidP="007B0BB6">
            <w:pPr>
              <w:spacing w:after="60" w:line="240" w:lineRule="auto"/>
              <w:rPr>
                <w:rFonts w:cs="Arial"/>
                <w:color w:val="000000"/>
                <w:sz w:val="20"/>
                <w:szCs w:val="20"/>
              </w:rPr>
            </w:pPr>
            <w:r w:rsidRPr="00A13506">
              <w:rPr>
                <w:rFonts w:cs="Arial"/>
                <w:color w:val="000000"/>
                <w:sz w:val="20"/>
                <w:szCs w:val="20"/>
              </w:rPr>
              <w:t>Afectación en la prestación de los servicios a las personas contribuyentes.</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25F3D2" w14:textId="77777777" w:rsidR="007B0BB6" w:rsidRPr="00A13506" w:rsidRDefault="007B0BB6" w:rsidP="007B0BB6">
            <w:pPr>
              <w:spacing w:after="60" w:line="240" w:lineRule="auto"/>
              <w:jc w:val="center"/>
              <w:rPr>
                <w:rFonts w:cs="Calibri"/>
                <w:color w:val="000000"/>
                <w:sz w:val="20"/>
                <w:szCs w:val="20"/>
              </w:rPr>
            </w:pPr>
            <w:r w:rsidRPr="00A13506">
              <w:rPr>
                <w:rFonts w:cs="Calibri"/>
                <w:color w:val="000000"/>
                <w:sz w:val="20"/>
                <w:szCs w:val="20"/>
              </w:rPr>
              <w:t>Alto</w:t>
            </w:r>
          </w:p>
        </w:tc>
        <w:tc>
          <w:tcPr>
            <w:tcW w:w="3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07A62B" w14:textId="77777777" w:rsidR="007B0BB6" w:rsidRPr="00A13506" w:rsidRDefault="007B0BB6" w:rsidP="007B0BB6">
            <w:pPr>
              <w:spacing w:after="60" w:line="240" w:lineRule="auto"/>
              <w:rPr>
                <w:rFonts w:cs="Arial"/>
                <w:color w:val="000000"/>
                <w:sz w:val="20"/>
                <w:szCs w:val="20"/>
              </w:rPr>
            </w:pPr>
            <w:r w:rsidRPr="00A13506">
              <w:rPr>
                <w:rFonts w:cs="Arial"/>
                <w:color w:val="000000"/>
                <w:sz w:val="20"/>
                <w:szCs w:val="20"/>
              </w:rPr>
              <w:t xml:space="preserve">Impulsar las acciones de mejora para generar información financiera y de gestión oportuna y confiable para la toma de decisiones. </w:t>
            </w:r>
            <w:r w:rsidRPr="00A13506">
              <w:rPr>
                <w:rFonts w:cs="Arial"/>
                <w:color w:val="000000"/>
                <w:sz w:val="20"/>
                <w:szCs w:val="20"/>
              </w:rPr>
              <w:br/>
              <w:t>Impulsar mejoras del sistema de control interno institucional mediante la formulación de procedimientos y herramientas que coadyuven en el mejor desempeño de las funciones.</w:t>
            </w:r>
            <w:r w:rsidRPr="00A13506">
              <w:rPr>
                <w:rFonts w:cs="Arial"/>
                <w:color w:val="000000"/>
                <w:sz w:val="20"/>
                <w:szCs w:val="20"/>
              </w:rPr>
              <w:br/>
              <w:t>Establecer las estrategias financieras que minimicen los riesgos de impactar en la continuidad de la prestación de los servicios municipales.</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7E8228" w14:textId="77777777" w:rsidR="007B0BB6" w:rsidRPr="00A13506" w:rsidRDefault="007B0BB6" w:rsidP="007B0BB6">
            <w:pPr>
              <w:spacing w:after="60" w:line="240" w:lineRule="auto"/>
              <w:rPr>
                <w:rFonts w:cs="Arial"/>
                <w:color w:val="000000"/>
                <w:sz w:val="20"/>
                <w:szCs w:val="20"/>
              </w:rPr>
            </w:pPr>
            <w:r w:rsidRPr="00A13506">
              <w:rPr>
                <w:rFonts w:cs="Arial"/>
                <w:color w:val="000000"/>
                <w:sz w:val="20"/>
                <w:szCs w:val="20"/>
              </w:rPr>
              <w:t> </w:t>
            </w:r>
          </w:p>
        </w:tc>
      </w:tr>
      <w:tr w:rsidR="007B0BB6" w:rsidRPr="00A13506" w14:paraId="7EF874BB" w14:textId="77777777" w:rsidTr="007B0BB6">
        <w:trPr>
          <w:trHeight w:val="1813"/>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068486" w14:textId="77777777" w:rsidR="007B0BB6" w:rsidRPr="00A13506" w:rsidRDefault="007B0BB6" w:rsidP="007B0BB6">
            <w:pPr>
              <w:spacing w:after="60" w:line="240" w:lineRule="auto"/>
              <w:rPr>
                <w:rFonts w:cs="Arial"/>
                <w:color w:val="000000"/>
                <w:sz w:val="20"/>
                <w:szCs w:val="20"/>
              </w:rPr>
            </w:pPr>
            <w:r w:rsidRPr="00A13506">
              <w:rPr>
                <w:rFonts w:cs="Arial"/>
                <w:color w:val="000000"/>
                <w:sz w:val="20"/>
                <w:szCs w:val="20"/>
              </w:rPr>
              <w:t>Retraso en la ejecución de proyectos de inversión.</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16FBD9" w14:textId="77777777" w:rsidR="007B0BB6" w:rsidRPr="00A13506" w:rsidRDefault="007B0BB6" w:rsidP="007B0BB6">
            <w:pPr>
              <w:spacing w:after="60" w:line="240" w:lineRule="auto"/>
              <w:jc w:val="center"/>
              <w:rPr>
                <w:rFonts w:cs="Calibri"/>
                <w:color w:val="000000"/>
                <w:sz w:val="20"/>
                <w:szCs w:val="20"/>
              </w:rPr>
            </w:pPr>
            <w:r w:rsidRPr="00A13506">
              <w:rPr>
                <w:rFonts w:cs="Calibri"/>
                <w:color w:val="000000"/>
                <w:sz w:val="20"/>
                <w:szCs w:val="20"/>
              </w:rPr>
              <w:t>Alto</w:t>
            </w:r>
          </w:p>
        </w:tc>
        <w:tc>
          <w:tcPr>
            <w:tcW w:w="3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C86E47" w14:textId="77777777" w:rsidR="007B0BB6" w:rsidRPr="00A13506" w:rsidRDefault="007B0BB6" w:rsidP="007B0BB6">
            <w:pPr>
              <w:spacing w:after="60" w:line="240" w:lineRule="auto"/>
              <w:rPr>
                <w:rFonts w:cs="Arial"/>
                <w:color w:val="000000"/>
                <w:sz w:val="20"/>
                <w:szCs w:val="20"/>
              </w:rPr>
            </w:pPr>
            <w:r w:rsidRPr="00A13506">
              <w:rPr>
                <w:rFonts w:cs="Arial"/>
                <w:color w:val="000000"/>
                <w:sz w:val="20"/>
                <w:szCs w:val="20"/>
              </w:rPr>
              <w:t xml:space="preserve">Fortalecer el proceso de planificación institucional que permita garantizar a la población la prestación de los servicios actuales y nuevos, así como la ejecución de obras públicas. </w:t>
            </w:r>
            <w:r w:rsidRPr="00A13506">
              <w:rPr>
                <w:rFonts w:cs="Arial"/>
                <w:color w:val="000000"/>
                <w:sz w:val="20"/>
                <w:szCs w:val="20"/>
              </w:rPr>
              <w:br/>
              <w:t>Impulsar las acciones de mejora para D10generar información financiera y de gestión oportuna y confiable para la toma de decisiones</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3B6759" w14:textId="77777777" w:rsidR="007B0BB6" w:rsidRPr="00A13506" w:rsidRDefault="007B0BB6" w:rsidP="007B0BB6">
            <w:pPr>
              <w:spacing w:after="60" w:line="240" w:lineRule="auto"/>
              <w:rPr>
                <w:rFonts w:cs="Arial"/>
                <w:color w:val="000000"/>
                <w:sz w:val="20"/>
                <w:szCs w:val="20"/>
              </w:rPr>
            </w:pPr>
            <w:r w:rsidRPr="00A13506">
              <w:rPr>
                <w:rFonts w:cs="Arial"/>
                <w:color w:val="000000"/>
                <w:sz w:val="20"/>
                <w:szCs w:val="20"/>
              </w:rPr>
              <w:t> </w:t>
            </w:r>
          </w:p>
        </w:tc>
      </w:tr>
      <w:tr w:rsidR="007B0BB6" w:rsidRPr="00A13506" w14:paraId="0DC029F1" w14:textId="77777777" w:rsidTr="007B0BB6">
        <w:trPr>
          <w:trHeight w:val="1850"/>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A31B01" w14:textId="77777777" w:rsidR="007B0BB6" w:rsidRPr="00A13506" w:rsidRDefault="007B0BB6" w:rsidP="007B0BB6">
            <w:pPr>
              <w:spacing w:after="60" w:line="240" w:lineRule="auto"/>
              <w:rPr>
                <w:rFonts w:cs="Arial"/>
                <w:color w:val="000000"/>
                <w:sz w:val="20"/>
                <w:szCs w:val="20"/>
              </w:rPr>
            </w:pPr>
            <w:r w:rsidRPr="00A13506">
              <w:rPr>
                <w:rFonts w:cs="Arial"/>
                <w:color w:val="000000"/>
                <w:sz w:val="20"/>
                <w:szCs w:val="20"/>
              </w:rPr>
              <w:lastRenderedPageBreak/>
              <w:t>Alto volumen de trabajo en relación con la disponibilidad de recurso humano y limitaciones de espacio físico.</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FAC96" w14:textId="77777777" w:rsidR="007B0BB6" w:rsidRPr="00A13506" w:rsidRDefault="007B0BB6" w:rsidP="007B0BB6">
            <w:pPr>
              <w:spacing w:after="60" w:line="240" w:lineRule="auto"/>
              <w:jc w:val="center"/>
              <w:rPr>
                <w:rFonts w:cs="Calibri"/>
                <w:color w:val="000000"/>
                <w:sz w:val="20"/>
                <w:szCs w:val="20"/>
              </w:rPr>
            </w:pPr>
            <w:r w:rsidRPr="00A13506">
              <w:rPr>
                <w:rFonts w:cs="Calibri"/>
                <w:color w:val="000000"/>
                <w:sz w:val="20"/>
                <w:szCs w:val="20"/>
              </w:rPr>
              <w:t>Alto</w:t>
            </w:r>
          </w:p>
        </w:tc>
        <w:tc>
          <w:tcPr>
            <w:tcW w:w="3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9CCB4F" w14:textId="77777777" w:rsidR="007B0BB6" w:rsidRPr="00A13506" w:rsidRDefault="007B0BB6" w:rsidP="007B0BB6">
            <w:pPr>
              <w:spacing w:after="60" w:line="240" w:lineRule="auto"/>
              <w:rPr>
                <w:rFonts w:cs="Arial"/>
                <w:color w:val="000000"/>
                <w:sz w:val="20"/>
                <w:szCs w:val="20"/>
              </w:rPr>
            </w:pPr>
            <w:r w:rsidRPr="00A13506">
              <w:rPr>
                <w:rFonts w:cs="Arial"/>
                <w:color w:val="000000"/>
                <w:sz w:val="20"/>
                <w:szCs w:val="20"/>
              </w:rPr>
              <w:t xml:space="preserve">Buscar mejorar las condiciones de trabajo aplicando distintas medidas como, habilitando nuevos espacios físicos, la modalidad de teletrabajo. </w:t>
            </w:r>
            <w:r w:rsidRPr="00A13506">
              <w:rPr>
                <w:rFonts w:cs="Arial"/>
                <w:color w:val="000000"/>
                <w:sz w:val="20"/>
                <w:szCs w:val="20"/>
              </w:rPr>
              <w:br/>
              <w:t>Plantear la necesidad de una revisión de los procesos a cargo de los diferentes departamentos con el fin de evaluar las cargas de trabajo.</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308738" w14:textId="77777777" w:rsidR="007B0BB6" w:rsidRPr="00A13506" w:rsidRDefault="007B0BB6" w:rsidP="007B0BB6">
            <w:pPr>
              <w:spacing w:after="60" w:line="240" w:lineRule="auto"/>
              <w:rPr>
                <w:rFonts w:cs="Arial"/>
                <w:color w:val="000000"/>
                <w:sz w:val="20"/>
                <w:szCs w:val="20"/>
              </w:rPr>
            </w:pPr>
            <w:r w:rsidRPr="00A13506">
              <w:rPr>
                <w:rFonts w:cs="Arial"/>
                <w:color w:val="000000"/>
                <w:sz w:val="20"/>
                <w:szCs w:val="20"/>
              </w:rPr>
              <w:t> </w:t>
            </w:r>
          </w:p>
        </w:tc>
      </w:tr>
      <w:tr w:rsidR="007B0BB6" w:rsidRPr="00A13506" w14:paraId="0C801D7B" w14:textId="77777777" w:rsidTr="007B0BB6">
        <w:trPr>
          <w:trHeight w:val="2472"/>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15B7AD" w14:textId="77777777" w:rsidR="007B0BB6" w:rsidRPr="00A13506" w:rsidRDefault="007B0BB6" w:rsidP="007B0BB6">
            <w:pPr>
              <w:spacing w:after="60" w:line="240" w:lineRule="auto"/>
              <w:rPr>
                <w:rFonts w:cs="Arial"/>
                <w:color w:val="000000"/>
                <w:sz w:val="20"/>
                <w:szCs w:val="20"/>
              </w:rPr>
            </w:pPr>
            <w:r w:rsidRPr="00A13506">
              <w:rPr>
                <w:rFonts w:cs="Arial"/>
                <w:color w:val="000000"/>
                <w:sz w:val="20"/>
                <w:szCs w:val="20"/>
              </w:rPr>
              <w:t>Ausencia de un sistema de información integrado para el control de cuentas por cobrar, inventario, propiedad, planta y equipo y, cuentas por pagar.</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34395E" w14:textId="77777777" w:rsidR="007B0BB6" w:rsidRPr="00A13506" w:rsidRDefault="007B0BB6" w:rsidP="007B0BB6">
            <w:pPr>
              <w:spacing w:after="60" w:line="240" w:lineRule="auto"/>
              <w:jc w:val="center"/>
              <w:rPr>
                <w:rFonts w:cs="Calibri"/>
                <w:color w:val="000000"/>
                <w:sz w:val="20"/>
                <w:szCs w:val="20"/>
              </w:rPr>
            </w:pPr>
            <w:r w:rsidRPr="00A13506">
              <w:rPr>
                <w:rFonts w:cs="Calibri"/>
                <w:color w:val="000000"/>
                <w:sz w:val="20"/>
                <w:szCs w:val="20"/>
              </w:rPr>
              <w:t>Alto</w:t>
            </w:r>
          </w:p>
        </w:tc>
        <w:tc>
          <w:tcPr>
            <w:tcW w:w="3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89BCF6" w14:textId="77777777" w:rsidR="007B0BB6" w:rsidRPr="00A13506" w:rsidRDefault="007B0BB6" w:rsidP="007B0BB6">
            <w:pPr>
              <w:spacing w:after="60" w:line="240" w:lineRule="auto"/>
              <w:rPr>
                <w:rFonts w:cs="Arial"/>
                <w:color w:val="000000"/>
                <w:sz w:val="20"/>
                <w:szCs w:val="20"/>
              </w:rPr>
            </w:pPr>
            <w:r w:rsidRPr="00A13506">
              <w:rPr>
                <w:rFonts w:cs="Arial"/>
                <w:color w:val="000000"/>
                <w:sz w:val="20"/>
                <w:szCs w:val="20"/>
              </w:rPr>
              <w:t xml:space="preserve">Impulsar las acciones de mejora para generar información financiera y de gestión oportuna y confiable para la toma de decisiones. </w:t>
            </w:r>
            <w:r w:rsidRPr="00A13506">
              <w:rPr>
                <w:rFonts w:cs="Arial"/>
                <w:color w:val="000000"/>
                <w:sz w:val="20"/>
                <w:szCs w:val="20"/>
              </w:rPr>
              <w:br/>
              <w:t xml:space="preserve">Impulsar mejoras del sistema de control interno institucional mediante la formulación de procedimientos y herramientas que coadyuven en el mejor desempeño de las funciones. </w:t>
            </w:r>
            <w:r w:rsidRPr="00A13506">
              <w:rPr>
                <w:rFonts w:cs="Arial"/>
                <w:color w:val="000000"/>
                <w:sz w:val="20"/>
                <w:szCs w:val="20"/>
              </w:rPr>
              <w:br/>
              <w:t>Aprovechar los servicios de asesoría externa contratados para fortalecer la gestión institucional.</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232647" w14:textId="77777777" w:rsidR="007B0BB6" w:rsidRPr="00A13506" w:rsidRDefault="007B0BB6" w:rsidP="007B0BB6">
            <w:pPr>
              <w:spacing w:after="60" w:line="240" w:lineRule="auto"/>
              <w:rPr>
                <w:rFonts w:cs="Arial"/>
                <w:color w:val="000000"/>
                <w:sz w:val="20"/>
                <w:szCs w:val="20"/>
              </w:rPr>
            </w:pPr>
            <w:r w:rsidRPr="00A13506">
              <w:rPr>
                <w:rFonts w:cs="Arial"/>
                <w:color w:val="000000"/>
                <w:sz w:val="20"/>
                <w:szCs w:val="20"/>
              </w:rPr>
              <w:t> </w:t>
            </w:r>
          </w:p>
        </w:tc>
      </w:tr>
      <w:tr w:rsidR="007B0BB6" w:rsidRPr="00A13506" w14:paraId="7BB7F39C" w14:textId="77777777" w:rsidTr="007B0BB6">
        <w:trPr>
          <w:trHeight w:val="1685"/>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F7A731" w14:textId="77777777" w:rsidR="007B0BB6" w:rsidRPr="00A13506" w:rsidRDefault="007B0BB6" w:rsidP="007B0BB6">
            <w:pPr>
              <w:spacing w:after="60" w:line="240" w:lineRule="auto"/>
              <w:rPr>
                <w:rFonts w:cs="Arial"/>
                <w:color w:val="000000"/>
                <w:sz w:val="20"/>
                <w:szCs w:val="20"/>
              </w:rPr>
            </w:pPr>
            <w:r w:rsidRPr="00A13506">
              <w:rPr>
                <w:rFonts w:cs="Arial"/>
                <w:color w:val="000000"/>
                <w:sz w:val="20"/>
                <w:szCs w:val="20"/>
              </w:rPr>
              <w:t>Limitaciones de recursos para la atención de emergencias y solicitudes de los ciudadanos.</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5BC6C" w14:textId="77777777" w:rsidR="007B0BB6" w:rsidRPr="00A13506" w:rsidRDefault="007B0BB6" w:rsidP="007B0BB6">
            <w:pPr>
              <w:spacing w:after="60" w:line="240" w:lineRule="auto"/>
              <w:jc w:val="center"/>
              <w:rPr>
                <w:rFonts w:cs="Calibri"/>
                <w:color w:val="000000"/>
                <w:sz w:val="20"/>
                <w:szCs w:val="20"/>
              </w:rPr>
            </w:pPr>
            <w:r w:rsidRPr="00A13506">
              <w:rPr>
                <w:rFonts w:cs="Calibri"/>
                <w:color w:val="000000"/>
                <w:sz w:val="20"/>
                <w:szCs w:val="20"/>
              </w:rPr>
              <w:t>Alto</w:t>
            </w:r>
          </w:p>
        </w:tc>
        <w:tc>
          <w:tcPr>
            <w:tcW w:w="3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AA48DC" w14:textId="77777777" w:rsidR="007B0BB6" w:rsidRPr="00A13506" w:rsidRDefault="007B0BB6" w:rsidP="007B0BB6">
            <w:pPr>
              <w:spacing w:after="60" w:line="240" w:lineRule="auto"/>
              <w:rPr>
                <w:rFonts w:cs="Arial"/>
                <w:color w:val="000000"/>
                <w:sz w:val="20"/>
                <w:szCs w:val="20"/>
              </w:rPr>
            </w:pPr>
            <w:r w:rsidRPr="00A13506">
              <w:rPr>
                <w:rFonts w:cs="Arial"/>
                <w:color w:val="000000"/>
                <w:sz w:val="20"/>
                <w:szCs w:val="20"/>
              </w:rPr>
              <w:t xml:space="preserve">Impulsar la suscripción de convenios o alianzas con instituciones pública y/ privadas para mejorar gestión institucional. </w:t>
            </w:r>
            <w:r w:rsidRPr="00A13506">
              <w:rPr>
                <w:rFonts w:cs="Arial"/>
                <w:color w:val="000000"/>
                <w:sz w:val="20"/>
                <w:szCs w:val="20"/>
              </w:rPr>
              <w:br/>
              <w:t>Impulsar las acciones de mejora para generar información financiera y de gestión oportuna y confiable para la toma de decisiones.</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BA00A7" w14:textId="77777777" w:rsidR="007B0BB6" w:rsidRPr="00A13506" w:rsidRDefault="007B0BB6" w:rsidP="007B0BB6">
            <w:pPr>
              <w:spacing w:after="60" w:line="240" w:lineRule="auto"/>
              <w:rPr>
                <w:rFonts w:cs="Arial"/>
                <w:color w:val="000000"/>
                <w:sz w:val="20"/>
                <w:szCs w:val="20"/>
              </w:rPr>
            </w:pPr>
            <w:r w:rsidRPr="00A13506">
              <w:rPr>
                <w:rFonts w:cs="Arial"/>
                <w:color w:val="000000"/>
                <w:sz w:val="20"/>
                <w:szCs w:val="20"/>
              </w:rPr>
              <w:t> </w:t>
            </w:r>
          </w:p>
        </w:tc>
      </w:tr>
      <w:tr w:rsidR="007B0BB6" w:rsidRPr="00A13506" w14:paraId="383CE971" w14:textId="77777777" w:rsidTr="007B0BB6">
        <w:trPr>
          <w:trHeight w:val="2815"/>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09AC12" w14:textId="77777777" w:rsidR="007B0BB6" w:rsidRPr="00A13506" w:rsidRDefault="007B0BB6" w:rsidP="007B0BB6">
            <w:pPr>
              <w:spacing w:after="60" w:line="240" w:lineRule="auto"/>
              <w:rPr>
                <w:rFonts w:cs="Arial"/>
                <w:color w:val="000000"/>
                <w:sz w:val="20"/>
                <w:szCs w:val="20"/>
              </w:rPr>
            </w:pPr>
            <w:r w:rsidRPr="00A13506">
              <w:rPr>
                <w:rFonts w:cs="Arial"/>
                <w:color w:val="000000"/>
                <w:sz w:val="20"/>
                <w:szCs w:val="20"/>
              </w:rPr>
              <w:t>Ausencia de sistemas de información integrados actualmente</w:t>
            </w:r>
          </w:p>
        </w:tc>
        <w:tc>
          <w:tcPr>
            <w:tcW w:w="1840" w:type="dxa"/>
            <w:tcBorders>
              <w:top w:val="single" w:sz="4" w:space="0" w:color="auto"/>
              <w:left w:val="nil"/>
              <w:bottom w:val="single" w:sz="4" w:space="0" w:color="auto"/>
              <w:right w:val="nil"/>
            </w:tcBorders>
            <w:shd w:val="clear" w:color="auto" w:fill="auto"/>
            <w:noWrap/>
            <w:vAlign w:val="center"/>
            <w:hideMark/>
          </w:tcPr>
          <w:p w14:paraId="1D1B06E2" w14:textId="77777777" w:rsidR="007B0BB6" w:rsidRPr="00A13506" w:rsidRDefault="007B0BB6" w:rsidP="007B0BB6">
            <w:pPr>
              <w:spacing w:after="60" w:line="240" w:lineRule="auto"/>
              <w:jc w:val="center"/>
              <w:rPr>
                <w:rFonts w:cs="Calibri"/>
                <w:color w:val="000000"/>
                <w:sz w:val="20"/>
                <w:szCs w:val="20"/>
              </w:rPr>
            </w:pPr>
            <w:r w:rsidRPr="00A13506">
              <w:rPr>
                <w:rFonts w:cs="Calibri"/>
                <w:color w:val="000000"/>
                <w:sz w:val="20"/>
                <w:szCs w:val="20"/>
              </w:rPr>
              <w:t>Alto</w:t>
            </w:r>
          </w:p>
        </w:tc>
        <w:tc>
          <w:tcPr>
            <w:tcW w:w="3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E3C57F" w14:textId="77777777" w:rsidR="007B0BB6" w:rsidRPr="00A13506" w:rsidRDefault="007B0BB6" w:rsidP="007B0BB6">
            <w:pPr>
              <w:spacing w:after="60" w:line="240" w:lineRule="auto"/>
              <w:rPr>
                <w:rFonts w:cs="Arial"/>
                <w:color w:val="000000"/>
                <w:sz w:val="20"/>
                <w:szCs w:val="20"/>
              </w:rPr>
            </w:pPr>
            <w:r w:rsidRPr="00A13506">
              <w:rPr>
                <w:rFonts w:cs="Arial"/>
                <w:color w:val="000000"/>
                <w:sz w:val="20"/>
                <w:szCs w:val="20"/>
              </w:rPr>
              <w:t xml:space="preserve">Impulsar el uso de las tecnologías información para el cobro de tributos y atención de consultas ciudadanas. </w:t>
            </w:r>
            <w:r w:rsidRPr="00A13506">
              <w:rPr>
                <w:rFonts w:cs="Arial"/>
                <w:color w:val="000000"/>
                <w:sz w:val="20"/>
                <w:szCs w:val="20"/>
              </w:rPr>
              <w:br/>
              <w:t>Fortalecer la gestión de las distintas unidades administrativas tendentes a mejorar los servicios que presta la Municipalidad e impulsando el proceso de implementación del sistema de información integrado, adquirido por la Municipalidad.</w:t>
            </w:r>
            <w:r w:rsidRPr="00A13506">
              <w:rPr>
                <w:rFonts w:cs="Arial"/>
                <w:color w:val="000000"/>
                <w:sz w:val="20"/>
                <w:szCs w:val="20"/>
              </w:rPr>
              <w:br/>
              <w:t>Buscar mejorar las condiciones de trabajo aplicando distintas medidas como, habilitando nuevos espacios físicos, la modalidad de teletrabajo.</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14:paraId="2D1C7839" w14:textId="77777777" w:rsidR="007B0BB6" w:rsidRPr="00A13506" w:rsidRDefault="007B0BB6" w:rsidP="007B0BB6">
            <w:pPr>
              <w:spacing w:after="60" w:line="240" w:lineRule="auto"/>
              <w:rPr>
                <w:rFonts w:cs="Arial"/>
                <w:color w:val="000000"/>
                <w:sz w:val="20"/>
                <w:szCs w:val="20"/>
              </w:rPr>
            </w:pPr>
            <w:r w:rsidRPr="00A13506">
              <w:rPr>
                <w:rFonts w:cs="Arial"/>
                <w:color w:val="000000"/>
                <w:sz w:val="20"/>
                <w:szCs w:val="20"/>
              </w:rPr>
              <w:t> </w:t>
            </w:r>
          </w:p>
        </w:tc>
      </w:tr>
      <w:tr w:rsidR="007B0BB6" w:rsidRPr="00A13506" w14:paraId="4C93ED79" w14:textId="77777777" w:rsidTr="007B0BB6">
        <w:trPr>
          <w:trHeight w:val="1609"/>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D45983" w14:textId="77777777" w:rsidR="007B0BB6" w:rsidRPr="00A13506" w:rsidRDefault="007B0BB6" w:rsidP="007B0BB6">
            <w:pPr>
              <w:spacing w:after="60" w:line="240" w:lineRule="auto"/>
              <w:rPr>
                <w:rFonts w:cs="Arial"/>
                <w:color w:val="000000"/>
                <w:sz w:val="20"/>
                <w:szCs w:val="20"/>
              </w:rPr>
            </w:pPr>
            <w:r w:rsidRPr="00A13506">
              <w:rPr>
                <w:rFonts w:cs="Arial"/>
                <w:color w:val="000000"/>
                <w:sz w:val="20"/>
                <w:szCs w:val="20"/>
              </w:rPr>
              <w:t>Limitaciones presupuestarias</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7AB8AD" w14:textId="77777777" w:rsidR="007B0BB6" w:rsidRPr="00A13506" w:rsidRDefault="007B0BB6" w:rsidP="007B0BB6">
            <w:pPr>
              <w:spacing w:after="60" w:line="240" w:lineRule="auto"/>
              <w:jc w:val="center"/>
              <w:rPr>
                <w:rFonts w:cs="Calibri"/>
                <w:color w:val="000000"/>
                <w:sz w:val="20"/>
                <w:szCs w:val="20"/>
              </w:rPr>
            </w:pPr>
            <w:r w:rsidRPr="00A13506">
              <w:rPr>
                <w:rFonts w:cs="Calibri"/>
                <w:color w:val="000000"/>
                <w:sz w:val="20"/>
                <w:szCs w:val="20"/>
              </w:rPr>
              <w:t>Alto</w:t>
            </w:r>
          </w:p>
        </w:tc>
        <w:tc>
          <w:tcPr>
            <w:tcW w:w="3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0BA6A2" w14:textId="77777777" w:rsidR="007B0BB6" w:rsidRPr="00A13506" w:rsidRDefault="007B0BB6" w:rsidP="007B0BB6">
            <w:pPr>
              <w:spacing w:after="60" w:line="240" w:lineRule="auto"/>
              <w:rPr>
                <w:rFonts w:cs="Arial"/>
                <w:color w:val="000000"/>
                <w:sz w:val="20"/>
                <w:szCs w:val="20"/>
              </w:rPr>
            </w:pPr>
            <w:r w:rsidRPr="00A13506">
              <w:rPr>
                <w:rFonts w:cs="Arial"/>
                <w:color w:val="000000"/>
                <w:sz w:val="20"/>
                <w:szCs w:val="20"/>
              </w:rPr>
              <w:t xml:space="preserve">Establecer las estrategias financieras que minimicen los riesgos de impactar en la continuidad de la prestación de los servicios municipales. </w:t>
            </w:r>
            <w:r w:rsidRPr="00A13506">
              <w:rPr>
                <w:rFonts w:cs="Arial"/>
                <w:color w:val="000000"/>
                <w:sz w:val="20"/>
                <w:szCs w:val="20"/>
              </w:rPr>
              <w:br/>
              <w:t>Mantener un monitoreo permanente sobre el comportamiento de los ingresos y egresos municipales, con el fin de tomar medidas correctivas oportunas.</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0449E6" w14:textId="77777777" w:rsidR="007B0BB6" w:rsidRPr="00A13506" w:rsidRDefault="007B0BB6" w:rsidP="007B0BB6">
            <w:pPr>
              <w:spacing w:after="60" w:line="240" w:lineRule="auto"/>
              <w:rPr>
                <w:rFonts w:cs="Arial"/>
                <w:color w:val="000000"/>
                <w:sz w:val="20"/>
                <w:szCs w:val="20"/>
              </w:rPr>
            </w:pPr>
            <w:r w:rsidRPr="00A13506">
              <w:rPr>
                <w:rFonts w:cs="Arial"/>
                <w:color w:val="000000"/>
                <w:sz w:val="20"/>
                <w:szCs w:val="20"/>
              </w:rPr>
              <w:t> </w:t>
            </w:r>
          </w:p>
        </w:tc>
      </w:tr>
      <w:tr w:rsidR="007B0BB6" w:rsidRPr="00A13506" w14:paraId="3F3C6220" w14:textId="77777777" w:rsidTr="007B0BB6">
        <w:trPr>
          <w:trHeight w:val="558"/>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0A2188" w14:textId="77777777" w:rsidR="007B0BB6" w:rsidRPr="00A13506" w:rsidRDefault="007B0BB6" w:rsidP="007B0BB6">
            <w:pPr>
              <w:spacing w:after="60" w:line="240" w:lineRule="auto"/>
              <w:rPr>
                <w:rFonts w:cs="Arial"/>
                <w:color w:val="000000"/>
                <w:sz w:val="20"/>
                <w:szCs w:val="20"/>
              </w:rPr>
            </w:pPr>
            <w:r w:rsidRPr="00A13506">
              <w:rPr>
                <w:rFonts w:cs="Arial"/>
                <w:color w:val="000000"/>
                <w:sz w:val="20"/>
                <w:szCs w:val="20"/>
              </w:rPr>
              <w:t>Cierre de negocios (patentados y contribuyentes).</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B551CC" w14:textId="77777777" w:rsidR="007B0BB6" w:rsidRPr="00A13506" w:rsidRDefault="007B0BB6" w:rsidP="007B0BB6">
            <w:pPr>
              <w:spacing w:after="60" w:line="240" w:lineRule="auto"/>
              <w:jc w:val="center"/>
              <w:rPr>
                <w:rFonts w:cs="Calibri"/>
                <w:color w:val="000000"/>
                <w:sz w:val="20"/>
                <w:szCs w:val="20"/>
              </w:rPr>
            </w:pPr>
            <w:r w:rsidRPr="00A13506">
              <w:rPr>
                <w:rFonts w:cs="Calibri"/>
                <w:color w:val="000000"/>
                <w:sz w:val="20"/>
                <w:szCs w:val="20"/>
              </w:rPr>
              <w:t>Alto</w:t>
            </w:r>
          </w:p>
        </w:tc>
        <w:tc>
          <w:tcPr>
            <w:tcW w:w="3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0FCE75" w14:textId="77777777" w:rsidR="007B0BB6" w:rsidRPr="00A13506" w:rsidRDefault="007B0BB6" w:rsidP="007B0BB6">
            <w:pPr>
              <w:spacing w:after="60" w:line="240" w:lineRule="auto"/>
              <w:rPr>
                <w:rFonts w:cs="Arial"/>
                <w:color w:val="000000"/>
                <w:sz w:val="20"/>
                <w:szCs w:val="20"/>
              </w:rPr>
            </w:pPr>
            <w:r w:rsidRPr="00A13506">
              <w:rPr>
                <w:rFonts w:cs="Arial"/>
                <w:color w:val="000000"/>
                <w:sz w:val="20"/>
                <w:szCs w:val="20"/>
              </w:rPr>
              <w:t xml:space="preserve">Establecer las estrategias financieras que minimicen los riesgos de impactar en la continuidad de la prestación de los servicios municipales. Impulsar la suscripción de convenios o alianzas con instituciones </w:t>
            </w:r>
            <w:r w:rsidRPr="00A13506">
              <w:rPr>
                <w:rFonts w:cs="Arial"/>
                <w:color w:val="000000"/>
                <w:sz w:val="20"/>
                <w:szCs w:val="20"/>
              </w:rPr>
              <w:lastRenderedPageBreak/>
              <w:t>pública y/ privadas para mejorar gestión institucional.</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70460F" w14:textId="77777777" w:rsidR="007B0BB6" w:rsidRPr="00A13506" w:rsidRDefault="007B0BB6" w:rsidP="007B0BB6">
            <w:pPr>
              <w:spacing w:after="60" w:line="240" w:lineRule="auto"/>
              <w:rPr>
                <w:rFonts w:cs="Arial"/>
                <w:color w:val="000000"/>
                <w:sz w:val="20"/>
                <w:szCs w:val="20"/>
              </w:rPr>
            </w:pPr>
            <w:r w:rsidRPr="00A13506">
              <w:rPr>
                <w:rFonts w:cs="Arial"/>
                <w:color w:val="000000"/>
                <w:sz w:val="20"/>
                <w:szCs w:val="20"/>
              </w:rPr>
              <w:lastRenderedPageBreak/>
              <w:t> </w:t>
            </w:r>
          </w:p>
        </w:tc>
      </w:tr>
      <w:tr w:rsidR="007B0BB6" w:rsidRPr="00A13506" w14:paraId="53E9EAFE" w14:textId="77777777" w:rsidTr="007B0BB6">
        <w:trPr>
          <w:trHeight w:val="1850"/>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8D33B4" w14:textId="77777777" w:rsidR="007B0BB6" w:rsidRPr="00A13506" w:rsidRDefault="007B0BB6" w:rsidP="007B0BB6">
            <w:pPr>
              <w:spacing w:after="60" w:line="240" w:lineRule="auto"/>
              <w:rPr>
                <w:rFonts w:cs="Arial"/>
                <w:color w:val="000000"/>
                <w:sz w:val="20"/>
                <w:szCs w:val="20"/>
              </w:rPr>
            </w:pPr>
            <w:r w:rsidRPr="00A13506">
              <w:rPr>
                <w:rFonts w:cs="Arial"/>
                <w:color w:val="000000"/>
                <w:sz w:val="20"/>
                <w:szCs w:val="20"/>
              </w:rPr>
              <w:t>Rezago en el mejoramiento de los servicios Municipales.</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053E34" w14:textId="77777777" w:rsidR="007B0BB6" w:rsidRPr="00A13506" w:rsidRDefault="007B0BB6" w:rsidP="007B0BB6">
            <w:pPr>
              <w:spacing w:after="60" w:line="240" w:lineRule="auto"/>
              <w:jc w:val="center"/>
              <w:rPr>
                <w:rFonts w:cs="Calibri"/>
                <w:color w:val="000000"/>
                <w:sz w:val="20"/>
                <w:szCs w:val="20"/>
              </w:rPr>
            </w:pPr>
            <w:r w:rsidRPr="00A13506">
              <w:rPr>
                <w:rFonts w:cs="Calibri"/>
                <w:color w:val="000000"/>
                <w:sz w:val="20"/>
                <w:szCs w:val="20"/>
              </w:rPr>
              <w:t>Alto</w:t>
            </w:r>
          </w:p>
        </w:tc>
        <w:tc>
          <w:tcPr>
            <w:tcW w:w="3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304B78" w14:textId="77777777" w:rsidR="007B0BB6" w:rsidRPr="00A13506" w:rsidRDefault="007B0BB6" w:rsidP="007B0BB6">
            <w:pPr>
              <w:spacing w:after="60" w:line="240" w:lineRule="auto"/>
              <w:rPr>
                <w:rFonts w:cs="Arial"/>
                <w:color w:val="000000"/>
                <w:sz w:val="20"/>
                <w:szCs w:val="20"/>
              </w:rPr>
            </w:pPr>
            <w:r w:rsidRPr="00A13506">
              <w:rPr>
                <w:rFonts w:cs="Arial"/>
                <w:color w:val="000000"/>
                <w:sz w:val="20"/>
                <w:szCs w:val="20"/>
              </w:rPr>
              <w:t xml:space="preserve">Establecer las estrategias financieras que minimicen los riesgos de impactar en la continuidad de la prestación de los servicios municipales. </w:t>
            </w:r>
            <w:r w:rsidRPr="00A13506">
              <w:rPr>
                <w:rFonts w:cs="Arial"/>
                <w:color w:val="000000"/>
                <w:sz w:val="20"/>
                <w:szCs w:val="20"/>
              </w:rPr>
              <w:br/>
              <w:t>Mantener un monitoreo permanente sobre el comportamiento de los ingresos y egresos municipales, con el fin de tomar medidas correctivas oportunas.</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CC4117" w14:textId="77777777" w:rsidR="007B0BB6" w:rsidRPr="00A13506" w:rsidRDefault="007B0BB6" w:rsidP="007B0BB6">
            <w:pPr>
              <w:spacing w:after="60" w:line="240" w:lineRule="auto"/>
              <w:rPr>
                <w:rFonts w:cs="Arial"/>
                <w:color w:val="000000"/>
                <w:sz w:val="20"/>
                <w:szCs w:val="20"/>
              </w:rPr>
            </w:pPr>
            <w:r w:rsidRPr="00A13506">
              <w:rPr>
                <w:rFonts w:cs="Arial"/>
                <w:color w:val="000000"/>
                <w:sz w:val="20"/>
                <w:szCs w:val="20"/>
              </w:rPr>
              <w:t> </w:t>
            </w:r>
          </w:p>
        </w:tc>
      </w:tr>
      <w:tr w:rsidR="007B0BB6" w:rsidRPr="00A13506" w14:paraId="4FBBD60C" w14:textId="77777777" w:rsidTr="007B0BB6">
        <w:trPr>
          <w:trHeight w:val="1621"/>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E8F1BB" w14:textId="77777777" w:rsidR="007B0BB6" w:rsidRPr="00A13506" w:rsidRDefault="007B0BB6" w:rsidP="007B0BB6">
            <w:pPr>
              <w:spacing w:after="60" w:line="240" w:lineRule="auto"/>
              <w:rPr>
                <w:rFonts w:cs="Arial"/>
                <w:color w:val="000000"/>
                <w:sz w:val="20"/>
                <w:szCs w:val="20"/>
              </w:rPr>
            </w:pPr>
            <w:r w:rsidRPr="00A13506">
              <w:rPr>
                <w:rFonts w:cs="Arial"/>
                <w:color w:val="000000"/>
                <w:sz w:val="20"/>
                <w:szCs w:val="20"/>
              </w:rPr>
              <w:t>Inobservancia en la aplicación de las medidas sanitarias por parte de la población.</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8E7C82" w14:textId="77777777" w:rsidR="007B0BB6" w:rsidRPr="00A13506" w:rsidRDefault="007B0BB6" w:rsidP="007B0BB6">
            <w:pPr>
              <w:spacing w:after="60" w:line="240" w:lineRule="auto"/>
              <w:jc w:val="center"/>
              <w:rPr>
                <w:rFonts w:cs="Calibri"/>
                <w:color w:val="000000"/>
                <w:sz w:val="20"/>
                <w:szCs w:val="20"/>
              </w:rPr>
            </w:pPr>
            <w:r w:rsidRPr="00A13506">
              <w:rPr>
                <w:rFonts w:cs="Calibri"/>
                <w:color w:val="000000"/>
                <w:sz w:val="20"/>
                <w:szCs w:val="20"/>
              </w:rPr>
              <w:t>Alto</w:t>
            </w:r>
          </w:p>
        </w:tc>
        <w:tc>
          <w:tcPr>
            <w:tcW w:w="3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4B5E72" w14:textId="77777777" w:rsidR="007B0BB6" w:rsidRPr="00A13506" w:rsidRDefault="007B0BB6" w:rsidP="007B0BB6">
            <w:pPr>
              <w:spacing w:after="60" w:line="240" w:lineRule="auto"/>
              <w:rPr>
                <w:rFonts w:cs="Arial"/>
                <w:color w:val="000000"/>
                <w:sz w:val="20"/>
                <w:szCs w:val="20"/>
              </w:rPr>
            </w:pPr>
            <w:r w:rsidRPr="00A13506">
              <w:rPr>
                <w:rFonts w:cs="Arial"/>
                <w:color w:val="000000"/>
                <w:sz w:val="20"/>
                <w:szCs w:val="20"/>
              </w:rPr>
              <w:t xml:space="preserve">Implementar las medidas de control sanitarias en el desarrollo de la gestión municipal para garantizar el cumplimiento de los objetivos de desarrollo local. </w:t>
            </w:r>
            <w:r w:rsidRPr="00A13506">
              <w:rPr>
                <w:rFonts w:cs="Arial"/>
                <w:color w:val="000000"/>
                <w:sz w:val="20"/>
                <w:szCs w:val="20"/>
              </w:rPr>
              <w:br/>
              <w:t>Impulsar los cambios en la cultura y de paradigmas de gestión para potenciar la comunicación virtual en las áreas que así lo posibiliten.</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72FF60" w14:textId="77777777" w:rsidR="007B0BB6" w:rsidRPr="00A13506" w:rsidRDefault="007B0BB6" w:rsidP="007B0BB6">
            <w:pPr>
              <w:spacing w:after="60" w:line="240" w:lineRule="auto"/>
              <w:rPr>
                <w:rFonts w:cs="Arial"/>
                <w:color w:val="000000"/>
                <w:sz w:val="20"/>
                <w:szCs w:val="20"/>
              </w:rPr>
            </w:pPr>
            <w:r w:rsidRPr="00A13506">
              <w:rPr>
                <w:rFonts w:cs="Arial"/>
                <w:color w:val="000000"/>
                <w:sz w:val="20"/>
                <w:szCs w:val="20"/>
              </w:rPr>
              <w:t> </w:t>
            </w:r>
          </w:p>
        </w:tc>
      </w:tr>
      <w:tr w:rsidR="007B0BB6" w:rsidRPr="00A13506" w14:paraId="306EBEA5" w14:textId="77777777" w:rsidTr="007B0BB6">
        <w:trPr>
          <w:trHeight w:val="977"/>
        </w:trPr>
        <w:tc>
          <w:tcPr>
            <w:tcW w:w="1840" w:type="dxa"/>
            <w:tcBorders>
              <w:top w:val="single" w:sz="4" w:space="0" w:color="auto"/>
              <w:left w:val="single" w:sz="4" w:space="0" w:color="auto"/>
              <w:bottom w:val="single" w:sz="4" w:space="0" w:color="auto"/>
              <w:right w:val="nil"/>
            </w:tcBorders>
            <w:shd w:val="clear" w:color="auto" w:fill="auto"/>
            <w:vAlign w:val="center"/>
            <w:hideMark/>
          </w:tcPr>
          <w:p w14:paraId="740F71D5" w14:textId="77777777" w:rsidR="007B0BB6" w:rsidRPr="00A13506" w:rsidRDefault="007B0BB6" w:rsidP="007B0BB6">
            <w:pPr>
              <w:spacing w:after="60" w:line="240" w:lineRule="auto"/>
              <w:rPr>
                <w:rFonts w:cs="Arial"/>
                <w:color w:val="000000"/>
                <w:sz w:val="20"/>
                <w:szCs w:val="20"/>
              </w:rPr>
            </w:pPr>
            <w:r w:rsidRPr="00A13506">
              <w:rPr>
                <w:rFonts w:cs="Arial"/>
                <w:color w:val="000000"/>
                <w:sz w:val="20"/>
                <w:szCs w:val="20"/>
              </w:rPr>
              <w:t>Grupo de personas con resistencia a uso de tecnología.</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8EF2AA" w14:textId="77777777" w:rsidR="007B0BB6" w:rsidRPr="00A13506" w:rsidRDefault="007B0BB6" w:rsidP="007B0BB6">
            <w:pPr>
              <w:spacing w:after="60" w:line="240" w:lineRule="auto"/>
              <w:jc w:val="center"/>
              <w:rPr>
                <w:rFonts w:cs="Calibri"/>
                <w:color w:val="000000"/>
                <w:sz w:val="20"/>
                <w:szCs w:val="20"/>
              </w:rPr>
            </w:pPr>
            <w:r w:rsidRPr="00A13506">
              <w:rPr>
                <w:rFonts w:cs="Calibri"/>
                <w:color w:val="000000"/>
                <w:sz w:val="20"/>
                <w:szCs w:val="20"/>
              </w:rPr>
              <w:t> </w:t>
            </w:r>
          </w:p>
        </w:tc>
        <w:tc>
          <w:tcPr>
            <w:tcW w:w="3460" w:type="dxa"/>
            <w:tcBorders>
              <w:top w:val="single" w:sz="4" w:space="0" w:color="auto"/>
              <w:left w:val="nil"/>
              <w:bottom w:val="single" w:sz="4" w:space="0" w:color="auto"/>
              <w:right w:val="single" w:sz="4" w:space="0" w:color="auto"/>
            </w:tcBorders>
            <w:shd w:val="clear" w:color="auto" w:fill="auto"/>
            <w:vAlign w:val="center"/>
            <w:hideMark/>
          </w:tcPr>
          <w:p w14:paraId="7A002804" w14:textId="77777777" w:rsidR="007B0BB6" w:rsidRPr="00A13506" w:rsidRDefault="007B0BB6" w:rsidP="007B0BB6">
            <w:pPr>
              <w:spacing w:after="60" w:line="240" w:lineRule="auto"/>
              <w:rPr>
                <w:rFonts w:cs="Arial"/>
                <w:color w:val="000000"/>
                <w:sz w:val="20"/>
                <w:szCs w:val="20"/>
              </w:rPr>
            </w:pPr>
            <w:r w:rsidRPr="00A13506">
              <w:rPr>
                <w:rFonts w:cs="Arial"/>
                <w:color w:val="000000"/>
                <w:sz w:val="20"/>
                <w:szCs w:val="20"/>
              </w:rPr>
              <w:t>Impulsar los cambios en la cultura y de paradigmas de gestión para potenciar la comunicación virtual en las áreas que así lo posibiliten.</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14:paraId="730C0D7F" w14:textId="77777777" w:rsidR="007B0BB6" w:rsidRPr="00A13506" w:rsidRDefault="007B0BB6" w:rsidP="007B0BB6">
            <w:pPr>
              <w:spacing w:after="60" w:line="240" w:lineRule="auto"/>
              <w:rPr>
                <w:rFonts w:cs="Arial"/>
                <w:color w:val="000000"/>
                <w:sz w:val="20"/>
                <w:szCs w:val="20"/>
              </w:rPr>
            </w:pPr>
            <w:r w:rsidRPr="00A13506">
              <w:rPr>
                <w:rFonts w:cs="Arial"/>
                <w:color w:val="000000"/>
                <w:sz w:val="20"/>
                <w:szCs w:val="20"/>
              </w:rPr>
              <w:t> </w:t>
            </w:r>
          </w:p>
        </w:tc>
      </w:tr>
    </w:tbl>
    <w:p w14:paraId="6A1504EF" w14:textId="0FE291AC" w:rsidR="00874E06" w:rsidRDefault="00874E06" w:rsidP="00874E06"/>
    <w:p w14:paraId="01FB32F4" w14:textId="77777777" w:rsidR="007B0BB6" w:rsidRDefault="007B0BB6" w:rsidP="00874E06"/>
    <w:p w14:paraId="47409E2D" w14:textId="63C91A4A" w:rsidR="00874E06" w:rsidRPr="00874E06" w:rsidRDefault="006031F8" w:rsidP="00874E06">
      <w:pPr>
        <w:pStyle w:val="Ttulo1"/>
      </w:pPr>
      <w:bookmarkStart w:id="24" w:name="_Toc189804780"/>
      <w:r w:rsidRPr="00BC7C5B">
        <w:t xml:space="preserve">INFORME DETALLADO AVANCE NICSP </w:t>
      </w:r>
      <w:r w:rsidR="00711BE1">
        <w:t>REVELACIÓN</w:t>
      </w:r>
      <w:r w:rsidRPr="00BC7C5B">
        <w:t xml:space="preserve"> </w:t>
      </w:r>
      <w:r>
        <w:t>202</w:t>
      </w:r>
      <w:bookmarkEnd w:id="23"/>
      <w:r w:rsidR="00150775">
        <w:t>4</w:t>
      </w:r>
      <w:bookmarkEnd w:id="24"/>
    </w:p>
    <w:p w14:paraId="7EED5CB8" w14:textId="77777777" w:rsidR="006031F8" w:rsidRPr="006031F8" w:rsidRDefault="006031F8" w:rsidP="006031F8"/>
    <w:p w14:paraId="63FDDA38" w14:textId="3123C3EB" w:rsidR="00BD44F5" w:rsidRDefault="006031F8" w:rsidP="00BD44F5">
      <w:pPr>
        <w:spacing w:before="240"/>
        <w:rPr>
          <w:rFonts w:eastAsia="Times New Roman"/>
          <w:lang w:val="es-MX" w:eastAsia="es-CR"/>
        </w:rPr>
      </w:pPr>
      <w:r w:rsidRPr="006031F8">
        <w:t>A continuación, se detalla cada una de las normas, donde se debe indicar la aplicación en la institución con base al avance en cada una de las NICSP</w:t>
      </w:r>
      <w:r w:rsidRPr="006031F8">
        <w:rPr>
          <w:rFonts w:eastAsia="Times New Roman"/>
          <w:lang w:val="es-MX" w:eastAsia="es-CR"/>
        </w:rPr>
        <w:t>, y a su vez debe contener la respectiva revelación solicitada en cada norma según la versión de las NICSP 2018, las Políticas Contables Generales versión 2021 emitidas por la Dirección General de Contabilidad.</w:t>
      </w:r>
    </w:p>
    <w:p w14:paraId="441FC97D" w14:textId="77777777" w:rsidR="00982595" w:rsidRPr="00BD44F5" w:rsidRDefault="00982595" w:rsidP="00BD44F5">
      <w:pPr>
        <w:spacing w:before="240"/>
        <w:rPr>
          <w:rFonts w:eastAsia="Times New Roman"/>
          <w:lang w:val="es-MX" w:eastAsia="es-CR"/>
        </w:rPr>
      </w:pPr>
    </w:p>
    <w:p w14:paraId="2FC72C5C" w14:textId="5115ED9A" w:rsidR="00F47F86" w:rsidRDefault="008F107F" w:rsidP="00A649A4">
      <w:pPr>
        <w:pStyle w:val="Ttulo2"/>
        <w:spacing w:after="240"/>
      </w:pPr>
      <w:bookmarkStart w:id="25" w:name="_Hlk123586541"/>
      <w:bookmarkStart w:id="26" w:name="_Toc189804781"/>
      <w:r w:rsidRPr="008F107F">
        <w:t>NICSP 1- PRESENTACIÓN DE ESTADOS FINANCIEROS</w:t>
      </w:r>
      <w:bookmarkEnd w:id="25"/>
      <w:r w:rsidRPr="008F107F">
        <w:t xml:space="preserve"> (DE APLICACIÓN OBLIGATORIA):</w:t>
      </w:r>
      <w:bookmarkEnd w:id="26"/>
    </w:p>
    <w:p w14:paraId="1EA4C769" w14:textId="77777777" w:rsidR="00396CB4" w:rsidRDefault="00405DBC" w:rsidP="00174505">
      <w:pPr>
        <w:rPr>
          <w:rFonts w:asciiTheme="minorHAnsi" w:hAnsiTheme="minorHAnsi"/>
          <w:sz w:val="22"/>
        </w:rPr>
      </w:pPr>
      <w:r>
        <w:t>De acuerdo con la</w:t>
      </w:r>
      <w:r w:rsidRPr="00405DBC">
        <w:t xml:space="preserve"> NICSP 1- Presentación </w:t>
      </w:r>
      <w:r>
        <w:t>d</w:t>
      </w:r>
      <w:r w:rsidRPr="00405DBC">
        <w:t>e Estados Financieros</w:t>
      </w:r>
      <w:r>
        <w:t>, i</w:t>
      </w:r>
      <w:r w:rsidR="00F47F86">
        <w:t xml:space="preserve">ndicar si este rubro afecta SI o NO a la institución, </w:t>
      </w:r>
      <w:r w:rsidRPr="00405DBC">
        <w:t>además del porcentaje de avance</w:t>
      </w:r>
      <w:r>
        <w:t xml:space="preserve"> en la implementación</w:t>
      </w:r>
      <w:r w:rsidRPr="00405DBC">
        <w:t xml:space="preserve"> que presenta</w:t>
      </w:r>
      <w:r w:rsidR="00D16DB1">
        <w:t>.</w:t>
      </w:r>
      <w:r w:rsidR="00BD44F5">
        <w:fldChar w:fldCharType="begin"/>
      </w:r>
      <w:r w:rsidR="00BD44F5">
        <w:instrText xml:space="preserve"> LINK </w:instrText>
      </w:r>
      <w:r w:rsidR="00756467">
        <w:instrText xml:space="preserve">Excel.SheetMacroEnabled.12 "C:\\Users\\gcordero\\Downloads\\Notas diciembre 2024\\Formato_Notas_EEFF_Vinculadas_2024\\Formato_Notas_EEFF_Vinculadas_2024\\15603_T04_2024_Anexo_Estado_Notas_Contables_Vinculadas.xlsm" NICSP_1!F9C3:F10C4 </w:instrText>
      </w:r>
      <w:r w:rsidR="00BD44F5">
        <w:instrText xml:space="preserve">\a \f 4 \h </w:instrText>
      </w:r>
      <w:r w:rsidR="00BD44F5">
        <w:fldChar w:fldCharType="separate"/>
      </w:r>
    </w:p>
    <w:tbl>
      <w:tblPr>
        <w:tblW w:w="4120" w:type="dxa"/>
        <w:tblCellMar>
          <w:left w:w="70" w:type="dxa"/>
          <w:right w:w="70" w:type="dxa"/>
        </w:tblCellMar>
        <w:tblLook w:val="04A0" w:firstRow="1" w:lastRow="0" w:firstColumn="1" w:lastColumn="0" w:noHBand="0" w:noVBand="1"/>
      </w:tblPr>
      <w:tblGrid>
        <w:gridCol w:w="2340"/>
        <w:gridCol w:w="1780"/>
      </w:tblGrid>
      <w:tr w:rsidR="00396CB4" w:rsidRPr="00396CB4" w14:paraId="56F9DE2A" w14:textId="77777777" w:rsidTr="00396CB4">
        <w:trPr>
          <w:divId w:val="535584004"/>
          <w:trHeight w:val="345"/>
        </w:trPr>
        <w:tc>
          <w:tcPr>
            <w:tcW w:w="234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73C3624D" w14:textId="7CCEA534" w:rsidR="00396CB4" w:rsidRPr="00396CB4" w:rsidRDefault="00396CB4" w:rsidP="00396CB4">
            <w:pPr>
              <w:rPr>
                <w:rFonts w:eastAsia="Times New Roman" w:cs="Calibri"/>
                <w:color w:val="FFFFFF"/>
                <w:szCs w:val="24"/>
                <w:lang w:eastAsia="es-CR"/>
              </w:rPr>
            </w:pPr>
            <w:r w:rsidRPr="00396CB4">
              <w:rPr>
                <w:rFonts w:eastAsia="Times New Roman" w:cs="Calibri"/>
                <w:color w:val="FFFFFF"/>
                <w:szCs w:val="24"/>
                <w:lang w:eastAsia="es-CR"/>
              </w:rPr>
              <w:t>Aplica</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9F151E" w14:textId="77777777" w:rsidR="00396CB4" w:rsidRPr="00396CB4" w:rsidRDefault="00396CB4" w:rsidP="00396CB4">
            <w:pPr>
              <w:spacing w:after="0" w:line="240" w:lineRule="auto"/>
              <w:jc w:val="center"/>
              <w:rPr>
                <w:rFonts w:eastAsia="Times New Roman" w:cs="Calibri"/>
                <w:color w:val="000000"/>
                <w:sz w:val="22"/>
                <w:lang w:eastAsia="es-CR"/>
              </w:rPr>
            </w:pPr>
            <w:r w:rsidRPr="00396CB4">
              <w:rPr>
                <w:rFonts w:eastAsia="Times New Roman" w:cs="Calibri"/>
                <w:color w:val="000000"/>
                <w:sz w:val="22"/>
                <w:lang w:eastAsia="es-CR"/>
              </w:rPr>
              <w:t>Si</w:t>
            </w:r>
          </w:p>
        </w:tc>
      </w:tr>
      <w:tr w:rsidR="00396CB4" w:rsidRPr="00396CB4" w14:paraId="493E79AC" w14:textId="77777777" w:rsidTr="006753AA">
        <w:trPr>
          <w:divId w:val="535584004"/>
          <w:trHeight w:val="345"/>
        </w:trPr>
        <w:tc>
          <w:tcPr>
            <w:tcW w:w="2340" w:type="dxa"/>
            <w:tcBorders>
              <w:top w:val="nil"/>
              <w:left w:val="single" w:sz="8" w:space="0" w:color="auto"/>
              <w:bottom w:val="nil"/>
              <w:right w:val="single" w:sz="8" w:space="0" w:color="auto"/>
            </w:tcBorders>
            <w:shd w:val="clear" w:color="000000" w:fill="17365D"/>
            <w:vAlign w:val="center"/>
            <w:hideMark/>
          </w:tcPr>
          <w:p w14:paraId="4ACCC8EC" w14:textId="77777777" w:rsidR="00396CB4" w:rsidRPr="00396CB4" w:rsidRDefault="00396CB4" w:rsidP="00396CB4">
            <w:pPr>
              <w:spacing w:after="0" w:line="240" w:lineRule="auto"/>
              <w:jc w:val="left"/>
              <w:rPr>
                <w:rFonts w:eastAsia="Times New Roman" w:cs="Calibri"/>
                <w:color w:val="FFFFFF"/>
                <w:szCs w:val="24"/>
                <w:lang w:eastAsia="es-CR"/>
              </w:rPr>
            </w:pPr>
            <w:proofErr w:type="spellStart"/>
            <w:r w:rsidRPr="00396CB4">
              <w:rPr>
                <w:rFonts w:eastAsia="Times New Roman" w:cs="Calibri"/>
                <w:color w:val="FFFFFF"/>
                <w:szCs w:val="24"/>
                <w:lang w:eastAsia="es-CR"/>
              </w:rPr>
              <w:t>Porcentaje_Avance</w:t>
            </w:r>
            <w:proofErr w:type="spellEnd"/>
          </w:p>
        </w:tc>
        <w:tc>
          <w:tcPr>
            <w:tcW w:w="1780" w:type="dxa"/>
            <w:tcBorders>
              <w:top w:val="nil"/>
              <w:left w:val="single" w:sz="4" w:space="0" w:color="auto"/>
              <w:bottom w:val="nil"/>
              <w:right w:val="single" w:sz="4" w:space="0" w:color="auto"/>
            </w:tcBorders>
            <w:shd w:val="clear" w:color="auto" w:fill="auto"/>
            <w:noWrap/>
            <w:vAlign w:val="bottom"/>
            <w:hideMark/>
          </w:tcPr>
          <w:p w14:paraId="2D44F381" w14:textId="77777777" w:rsidR="00396CB4" w:rsidRPr="00396CB4" w:rsidRDefault="00396CB4" w:rsidP="00396CB4">
            <w:pPr>
              <w:spacing w:after="0" w:line="240" w:lineRule="auto"/>
              <w:jc w:val="center"/>
              <w:rPr>
                <w:rFonts w:eastAsia="Times New Roman" w:cs="Calibri"/>
                <w:color w:val="000000"/>
                <w:sz w:val="22"/>
                <w:lang w:eastAsia="es-CR"/>
              </w:rPr>
            </w:pPr>
            <w:r w:rsidRPr="00396CB4">
              <w:rPr>
                <w:rFonts w:eastAsia="Times New Roman" w:cs="Calibri"/>
                <w:color w:val="000000"/>
                <w:sz w:val="22"/>
                <w:lang w:eastAsia="es-CR"/>
              </w:rPr>
              <w:t>98,70%</w:t>
            </w:r>
          </w:p>
        </w:tc>
      </w:tr>
      <w:tr w:rsidR="006753AA" w:rsidRPr="00396CB4" w14:paraId="7E27B9F1" w14:textId="77777777" w:rsidTr="00396CB4">
        <w:trPr>
          <w:divId w:val="535584004"/>
          <w:trHeight w:val="345"/>
        </w:trPr>
        <w:tc>
          <w:tcPr>
            <w:tcW w:w="2340" w:type="dxa"/>
            <w:tcBorders>
              <w:top w:val="nil"/>
              <w:left w:val="single" w:sz="8" w:space="0" w:color="auto"/>
              <w:bottom w:val="single" w:sz="8" w:space="0" w:color="auto"/>
              <w:right w:val="single" w:sz="8" w:space="0" w:color="auto"/>
            </w:tcBorders>
            <w:shd w:val="clear" w:color="000000" w:fill="17365D"/>
            <w:vAlign w:val="center"/>
          </w:tcPr>
          <w:p w14:paraId="0E138A4D" w14:textId="77777777" w:rsidR="006753AA" w:rsidRPr="00396CB4" w:rsidRDefault="006753AA" w:rsidP="00396CB4">
            <w:pPr>
              <w:spacing w:after="0" w:line="240" w:lineRule="auto"/>
              <w:jc w:val="left"/>
              <w:rPr>
                <w:rFonts w:eastAsia="Times New Roman" w:cs="Calibri"/>
                <w:color w:val="FFFFFF"/>
                <w:szCs w:val="24"/>
                <w:lang w:eastAsia="es-CR"/>
              </w:rPr>
            </w:pPr>
          </w:p>
        </w:tc>
        <w:tc>
          <w:tcPr>
            <w:tcW w:w="1780" w:type="dxa"/>
            <w:tcBorders>
              <w:top w:val="nil"/>
              <w:left w:val="single" w:sz="4" w:space="0" w:color="auto"/>
              <w:bottom w:val="single" w:sz="4" w:space="0" w:color="auto"/>
              <w:right w:val="single" w:sz="4" w:space="0" w:color="auto"/>
            </w:tcBorders>
            <w:shd w:val="clear" w:color="auto" w:fill="auto"/>
            <w:noWrap/>
            <w:vAlign w:val="bottom"/>
          </w:tcPr>
          <w:p w14:paraId="1EAD6C7D" w14:textId="77777777" w:rsidR="006753AA" w:rsidRPr="00396CB4" w:rsidRDefault="006753AA" w:rsidP="00396CB4">
            <w:pPr>
              <w:spacing w:after="0" w:line="240" w:lineRule="auto"/>
              <w:jc w:val="center"/>
              <w:rPr>
                <w:rFonts w:eastAsia="Times New Roman" w:cs="Calibri"/>
                <w:color w:val="000000"/>
                <w:sz w:val="22"/>
                <w:lang w:eastAsia="es-CR"/>
              </w:rPr>
            </w:pPr>
          </w:p>
        </w:tc>
      </w:tr>
    </w:tbl>
    <w:p w14:paraId="4A9A2199" w14:textId="45016F06" w:rsidR="00F47F86" w:rsidRPr="00707625" w:rsidRDefault="00BD44F5" w:rsidP="00174505">
      <w:r>
        <w:fldChar w:fldCharType="end"/>
      </w:r>
      <w:r>
        <w:rPr>
          <w:b/>
          <w:sz w:val="16"/>
          <w:szCs w:val="16"/>
          <w:lang w:eastAsia="es-CR"/>
        </w:rPr>
        <w:t xml:space="preserve">                                               </w:t>
      </w:r>
      <w:r w:rsidR="00217CA2" w:rsidRPr="00C35565">
        <w:rPr>
          <w:b/>
          <w:sz w:val="16"/>
          <w:szCs w:val="16"/>
          <w:lang w:eastAsia="es-CR"/>
        </w:rPr>
        <w:t>-Aplicación Obligatoria-</w:t>
      </w:r>
    </w:p>
    <w:p w14:paraId="431B661A" w14:textId="5D014817" w:rsidR="005907C4" w:rsidRPr="007B0BB6" w:rsidRDefault="005907C4" w:rsidP="005907C4">
      <w:pPr>
        <w:pBdr>
          <w:top w:val="single" w:sz="4" w:space="1" w:color="auto"/>
          <w:left w:val="single" w:sz="4" w:space="4" w:color="auto"/>
          <w:bottom w:val="single" w:sz="4" w:space="1" w:color="auto"/>
          <w:right w:val="single" w:sz="4" w:space="4" w:color="auto"/>
        </w:pBdr>
        <w:ind w:left="720"/>
        <w:jc w:val="center"/>
        <w:rPr>
          <w:b/>
          <w:bCs/>
        </w:rPr>
      </w:pPr>
      <w:r w:rsidRPr="007B0BB6">
        <w:rPr>
          <w:b/>
          <w:bCs/>
        </w:rPr>
        <w:t>COMISIÓN DE NICSP INSTITUCIONAL</w:t>
      </w:r>
    </w:p>
    <w:p w14:paraId="048AF296" w14:textId="77777777" w:rsidR="007B0BB6" w:rsidRPr="007B0BB6" w:rsidRDefault="007B0BB6" w:rsidP="007B0BB6">
      <w:pPr>
        <w:pBdr>
          <w:top w:val="single" w:sz="4" w:space="1" w:color="auto"/>
          <w:left w:val="single" w:sz="4" w:space="4" w:color="auto"/>
          <w:bottom w:val="single" w:sz="4" w:space="1" w:color="auto"/>
          <w:right w:val="single" w:sz="4" w:space="4" w:color="auto"/>
        </w:pBdr>
        <w:spacing w:after="0"/>
        <w:ind w:left="720"/>
        <w:rPr>
          <w:bCs/>
        </w:rPr>
      </w:pPr>
      <w:r w:rsidRPr="007B0BB6">
        <w:rPr>
          <w:bCs/>
        </w:rPr>
        <w:t xml:space="preserve">La </w:t>
      </w:r>
      <w:r w:rsidRPr="007B0BB6">
        <w:rPr>
          <w:b/>
          <w:bCs/>
        </w:rPr>
        <w:t>MUNICIPALIDAD DE BUENOS AIRES</w:t>
      </w:r>
      <w:r w:rsidRPr="007B0BB6">
        <w:rPr>
          <w:bCs/>
        </w:rPr>
        <w:t xml:space="preserve">, cedula jurídica </w:t>
      </w:r>
      <w:r w:rsidRPr="007B0BB6">
        <w:rPr>
          <w:b/>
          <w:bCs/>
        </w:rPr>
        <w:t>3-014-042112</w:t>
      </w:r>
      <w:r w:rsidRPr="007B0BB6">
        <w:rPr>
          <w:bCs/>
        </w:rPr>
        <w:t xml:space="preserve">, y cuyo Contador Municipal es el Bachiller </w:t>
      </w:r>
      <w:r w:rsidRPr="007B0BB6">
        <w:rPr>
          <w:b/>
          <w:bCs/>
        </w:rPr>
        <w:t>GERARDO CORDERO ARGUEDAS</w:t>
      </w:r>
      <w:r w:rsidRPr="007B0BB6">
        <w:rPr>
          <w:bCs/>
        </w:rPr>
        <w:t xml:space="preserve">, portadora de la cédula de identidad </w:t>
      </w:r>
      <w:r w:rsidRPr="007B0BB6">
        <w:rPr>
          <w:b/>
          <w:bCs/>
        </w:rPr>
        <w:t>6-0253-0912</w:t>
      </w:r>
      <w:r w:rsidRPr="007B0BB6">
        <w:rPr>
          <w:bCs/>
        </w:rPr>
        <w:t xml:space="preserve">, Coordinadora de la Comisión NICSP Institucional </w:t>
      </w:r>
    </w:p>
    <w:p w14:paraId="3A610FC7" w14:textId="77777777" w:rsidR="005907C4" w:rsidRDefault="005907C4" w:rsidP="005907C4">
      <w:pPr>
        <w:pBdr>
          <w:top w:val="single" w:sz="4" w:space="1" w:color="auto"/>
          <w:left w:val="single" w:sz="4" w:space="4" w:color="auto"/>
          <w:bottom w:val="single" w:sz="4" w:space="1" w:color="auto"/>
          <w:right w:val="single" w:sz="4" w:space="4" w:color="auto"/>
        </w:pBdr>
        <w:spacing w:after="0"/>
        <w:ind w:left="720"/>
      </w:pPr>
    </w:p>
    <w:p w14:paraId="38A71E29" w14:textId="5CBA32F7" w:rsidR="005907C4" w:rsidRDefault="005907C4" w:rsidP="005907C4">
      <w:pPr>
        <w:pBdr>
          <w:top w:val="single" w:sz="4" w:space="1" w:color="auto"/>
          <w:left w:val="single" w:sz="4" w:space="4" w:color="auto"/>
          <w:bottom w:val="single" w:sz="4" w:space="1" w:color="auto"/>
          <w:right w:val="single" w:sz="4" w:space="4" w:color="auto"/>
        </w:pBdr>
        <w:ind w:left="720"/>
      </w:pPr>
      <w:r w:rsidRPr="00BC7C5B">
        <w:t xml:space="preserve">CERTIFICA QUE: </w:t>
      </w:r>
      <w:r w:rsidRPr="00BC7C5B">
        <w:rPr>
          <w:u w:val="single"/>
        </w:rPr>
        <w:t xml:space="preserve">la entidad se encuentra en el proceso de implementación de NICSP en la </w:t>
      </w:r>
      <w:r w:rsidRPr="00D819F8">
        <w:rPr>
          <w:u w:val="single"/>
        </w:rPr>
        <w:t xml:space="preserve">versión 2018 </w:t>
      </w:r>
      <w:r w:rsidRPr="00BC7C5B">
        <w:rPr>
          <w:u w:val="single"/>
        </w:rPr>
        <w:t>y que está al tanto de los requerimientos solicitados por la DGCN en la presentación de los EEFF</w:t>
      </w:r>
      <w:r w:rsidRPr="00BC7C5B">
        <w:t>.</w:t>
      </w:r>
    </w:p>
    <w:p w14:paraId="6E4213EE" w14:textId="7803885E" w:rsidR="005907C4" w:rsidRDefault="005907C4" w:rsidP="005907C4">
      <w:pPr>
        <w:pBdr>
          <w:top w:val="single" w:sz="4" w:space="1" w:color="auto"/>
          <w:left w:val="single" w:sz="4" w:space="4" w:color="auto"/>
          <w:bottom w:val="single" w:sz="4" w:space="1" w:color="auto"/>
          <w:right w:val="single" w:sz="4" w:space="4" w:color="auto"/>
        </w:pBdr>
        <w:ind w:left="720"/>
      </w:pPr>
    </w:p>
    <w:p w14:paraId="36A4A110" w14:textId="3FDC6B67" w:rsidR="005907C4" w:rsidRPr="005907C4" w:rsidRDefault="005907C4" w:rsidP="005907C4">
      <w:pPr>
        <w:pBdr>
          <w:top w:val="single" w:sz="4" w:space="1" w:color="auto"/>
          <w:left w:val="single" w:sz="4" w:space="4" w:color="auto"/>
          <w:bottom w:val="single" w:sz="4" w:space="1" w:color="auto"/>
          <w:right w:val="single" w:sz="4" w:space="4" w:color="auto"/>
        </w:pBdr>
        <w:ind w:left="720"/>
        <w:jc w:val="center"/>
        <w:rPr>
          <w:b/>
          <w:bCs/>
        </w:rPr>
      </w:pPr>
      <w:r w:rsidRPr="00BC7C5B">
        <w:rPr>
          <w:b/>
          <w:bCs/>
        </w:rPr>
        <w:t>Firma Digital del Director Administrativo Financiero</w:t>
      </w:r>
    </w:p>
    <w:p w14:paraId="5E9892FB" w14:textId="77777777" w:rsidR="00016C74" w:rsidRDefault="00016C74" w:rsidP="00CD3A05">
      <w:pPr>
        <w:rPr>
          <w:color w:val="FFFFFF" w:themeColor="background1"/>
          <w:lang w:eastAsia="es-CR"/>
        </w:rPr>
      </w:pPr>
    </w:p>
    <w:p w14:paraId="255F03DE" w14:textId="77777777" w:rsidR="008F0514" w:rsidRDefault="008F0514" w:rsidP="00CD3A05">
      <w:pPr>
        <w:rPr>
          <w:color w:val="FFFFFF" w:themeColor="background1"/>
          <w:lang w:eastAsia="es-CR"/>
        </w:rPr>
      </w:pPr>
    </w:p>
    <w:p w14:paraId="07AFCCF0" w14:textId="77777777" w:rsidR="008F0514" w:rsidRPr="003516A2" w:rsidRDefault="008F0514" w:rsidP="00CD3A05">
      <w:pPr>
        <w:rPr>
          <w:color w:val="FFFFFF" w:themeColor="background1"/>
          <w:lang w:eastAsia="es-CR"/>
        </w:rPr>
      </w:pPr>
    </w:p>
    <w:p w14:paraId="479EFCD9" w14:textId="597452C7" w:rsidR="00104AD0" w:rsidRPr="00104AD0" w:rsidRDefault="00104AD0" w:rsidP="00CD3A05">
      <w:pPr>
        <w:rPr>
          <w:lang w:eastAsia="es-CR"/>
        </w:rPr>
      </w:pPr>
      <w:r w:rsidRPr="00104AD0">
        <w:rPr>
          <w:lang w:eastAsia="es-CR"/>
        </w:rPr>
        <w:t>De acuerdo con el párrafo 27 de la NICSP 1 Presentación razonable y conformidad con las NICSP</w:t>
      </w:r>
    </w:p>
    <w:p w14:paraId="3956EF18" w14:textId="3CD2AC7F" w:rsidR="00104AD0" w:rsidRDefault="00104AD0" w:rsidP="000B404C">
      <w:pPr>
        <w:spacing w:line="240" w:lineRule="auto"/>
        <w:rPr>
          <w:rStyle w:val="nfasis"/>
        </w:rPr>
      </w:pPr>
      <w:r w:rsidRPr="000B404C">
        <w:rPr>
          <w:rStyle w:val="nfasis"/>
        </w:rPr>
        <w:t xml:space="preserve">“Los estados financieros deberán presentar razonablemente la </w:t>
      </w:r>
      <w:r w:rsidR="008F0514" w:rsidRPr="000B404C">
        <w:rPr>
          <w:rStyle w:val="nfasis"/>
        </w:rPr>
        <w:t>situación y el rendimiento financieros</w:t>
      </w:r>
      <w:r w:rsidRPr="000B404C">
        <w:rPr>
          <w:rStyle w:val="nfasis"/>
        </w:rPr>
        <w:t>, así como los flujos de efectivo de una entidad. Esta presentación razonable requiere proporcionar la representación fiel de los efectos de las transacciones, así como de otros sucesos y condiciones, de acuerdo con las definiciones y los criterios de reconocimiento de activos, pasivos, ingresos y gastos establecidos en las NICSP. Se presume que la aplicación de las NICSP, acompañada de informaciones adicionales cuando sea preciso, dará lugar a estados financieros que proporcionen una presentación razonable”</w:t>
      </w:r>
    </w:p>
    <w:p w14:paraId="69704F76" w14:textId="77777777" w:rsidR="003516A2" w:rsidRDefault="003516A2" w:rsidP="000B404C">
      <w:pPr>
        <w:spacing w:line="240" w:lineRule="auto"/>
        <w:rPr>
          <w:rStyle w:val="nfasis"/>
        </w:rPr>
      </w:pPr>
    </w:p>
    <w:p w14:paraId="1FF5320F" w14:textId="77777777" w:rsidR="007B0BB6" w:rsidRDefault="003516A2" w:rsidP="007B0BB6">
      <w:pPr>
        <w:spacing w:line="240" w:lineRule="auto"/>
        <w:rPr>
          <w:b/>
          <w:color w:val="FFFFFF" w:themeColor="background1"/>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p>
    <w:p w14:paraId="56ECDE8C" w14:textId="6B43B7F5" w:rsidR="007B0BB6" w:rsidRPr="0037413F" w:rsidRDefault="007B0BB6" w:rsidP="007B0BB6">
      <w:pPr>
        <w:spacing w:line="240" w:lineRule="auto"/>
        <w:rPr>
          <w:bCs/>
        </w:rPr>
      </w:pPr>
      <w:r w:rsidRPr="0037413F">
        <w:rPr>
          <w:bCs/>
        </w:rPr>
        <w:t xml:space="preserve">Se adoptó la política contable que define los activos como "recursos controlados por la Municipalidad como resultado de eventos pasados </w:t>
      </w:r>
      <w:r w:rsidRPr="0037413F">
        <w:rPr>
          <w:rFonts w:ascii="Arial" w:hAnsi="Arial" w:cs="Arial"/>
          <w:bCs/>
        </w:rPr>
        <w:t>​​</w:t>
      </w:r>
      <w:r w:rsidRPr="0037413F">
        <w:rPr>
          <w:bCs/>
        </w:rPr>
        <w:t>y de los cuales se espera que los beneficios econ</w:t>
      </w:r>
      <w:r w:rsidRPr="0037413F">
        <w:rPr>
          <w:rFonts w:cs="Arial Narrow"/>
          <w:bCs/>
        </w:rPr>
        <w:t>ó</w:t>
      </w:r>
      <w:r w:rsidRPr="0037413F">
        <w:rPr>
          <w:bCs/>
        </w:rPr>
        <w:t xml:space="preserve">micos futuros o el potencial de servicio fluyan a la </w:t>
      </w:r>
      <w:r>
        <w:rPr>
          <w:bCs/>
        </w:rPr>
        <w:t>municipalidad.</w:t>
      </w:r>
    </w:p>
    <w:p w14:paraId="58228496" w14:textId="77777777" w:rsidR="007B0BB6" w:rsidRPr="0037413F" w:rsidRDefault="007B0BB6" w:rsidP="007B0BB6">
      <w:pPr>
        <w:spacing w:line="240" w:lineRule="auto"/>
        <w:rPr>
          <w:bCs/>
        </w:rPr>
      </w:pPr>
      <w:r>
        <w:rPr>
          <w:bCs/>
        </w:rPr>
        <w:t xml:space="preserve">Se adoptó la </w:t>
      </w:r>
      <w:r w:rsidRPr="0037413F">
        <w:rPr>
          <w:bCs/>
        </w:rPr>
        <w:t>política contable que define los pasivos como "obligaciones presentes de la entidad que surgen de eventos pasados, cuya liquidación se espera que resulte en una salida de la entidad de recursos que incorporen beneficios económicos o potencial de servicio"</w:t>
      </w:r>
      <w:r>
        <w:rPr>
          <w:bCs/>
        </w:rPr>
        <w:t>.</w:t>
      </w:r>
    </w:p>
    <w:p w14:paraId="3F4565A1" w14:textId="77777777" w:rsidR="007B0BB6" w:rsidRPr="0037413F" w:rsidRDefault="007B0BB6" w:rsidP="007B0BB6">
      <w:pPr>
        <w:spacing w:line="240" w:lineRule="auto"/>
        <w:rPr>
          <w:bCs/>
        </w:rPr>
      </w:pPr>
      <w:r>
        <w:rPr>
          <w:bCs/>
        </w:rPr>
        <w:lastRenderedPageBreak/>
        <w:t>Se adoptó la</w:t>
      </w:r>
      <w:r w:rsidRPr="0037413F">
        <w:rPr>
          <w:bCs/>
        </w:rPr>
        <w:t xml:space="preserve"> política contable que defin</w:t>
      </w:r>
      <w:r>
        <w:rPr>
          <w:bCs/>
        </w:rPr>
        <w:t>e</w:t>
      </w:r>
      <w:r w:rsidRPr="0037413F">
        <w:rPr>
          <w:bCs/>
        </w:rPr>
        <w:t xml:space="preserve"> los ingresos como "la entrada bruta de beneficios económicos o potencial de servicio durante el período de presentación de reportes cuando esas entradas producen un aumento en los activos netos / patrimonio neto, además de los incrementos relacionados con las contribuciones de los propietarios"</w:t>
      </w:r>
      <w:r>
        <w:rPr>
          <w:bCs/>
        </w:rPr>
        <w:t>.</w:t>
      </w:r>
    </w:p>
    <w:p w14:paraId="6458A3FC" w14:textId="77777777" w:rsidR="007B0BB6" w:rsidRPr="0037413F" w:rsidRDefault="007B0BB6" w:rsidP="007B0BB6">
      <w:pPr>
        <w:spacing w:line="240" w:lineRule="auto"/>
        <w:rPr>
          <w:bCs/>
        </w:rPr>
      </w:pPr>
      <w:r>
        <w:rPr>
          <w:bCs/>
        </w:rPr>
        <w:t xml:space="preserve">Se adoptó la </w:t>
      </w:r>
      <w:r w:rsidRPr="0037413F">
        <w:rPr>
          <w:bCs/>
        </w:rPr>
        <w:t>política contable que defin</w:t>
      </w:r>
      <w:r>
        <w:rPr>
          <w:bCs/>
        </w:rPr>
        <w:t>e</w:t>
      </w:r>
      <w:r w:rsidRPr="0037413F">
        <w:rPr>
          <w:bCs/>
        </w:rPr>
        <w:t xml:space="preserve"> los gastos como “disminuciones en los beneficios económicos o el potencial de servicio durante el período de presentación de reportes en forma de salidas o consumo de activos o incurrimientos de pasivos que resultan en disminuciones en los activos netos / patrimonio, distintos de los relacionados a distribuciones a propietarios"</w:t>
      </w:r>
    </w:p>
    <w:p w14:paraId="207CFDC9" w14:textId="1E059333" w:rsidR="000B404C" w:rsidRPr="003516A2" w:rsidRDefault="000B404C" w:rsidP="000B404C">
      <w:pPr>
        <w:spacing w:line="240" w:lineRule="auto"/>
        <w:rPr>
          <w:b/>
          <w:color w:val="FFFFFF" w:themeColor="background1"/>
          <w:highlight w:val="darkBlue"/>
          <w:u w:val="single"/>
        </w:rPr>
      </w:pPr>
    </w:p>
    <w:p w14:paraId="426ACE57" w14:textId="15D86DCF" w:rsidR="003516A2" w:rsidRPr="003516A2" w:rsidRDefault="003516A2" w:rsidP="000B404C">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33F3144A" w14:textId="77777777" w:rsidR="007B0BB6" w:rsidRDefault="007B0BB6" w:rsidP="007B0BB6">
      <w:pPr>
        <w:spacing w:line="240" w:lineRule="auto"/>
        <w:rPr>
          <w:bCs/>
        </w:rPr>
      </w:pPr>
      <w:r w:rsidRPr="0037413F">
        <w:rPr>
          <w:bCs/>
        </w:rPr>
        <w:t xml:space="preserve">De acuerdo con la política contable actual de la </w:t>
      </w:r>
      <w:r>
        <w:rPr>
          <w:bCs/>
        </w:rPr>
        <w:t>Municipalidad</w:t>
      </w:r>
      <w:r w:rsidRPr="0037413F">
        <w:rPr>
          <w:bCs/>
        </w:rPr>
        <w:t xml:space="preserve"> present</w:t>
      </w:r>
      <w:r>
        <w:rPr>
          <w:bCs/>
        </w:rPr>
        <w:t>a</w:t>
      </w:r>
      <w:r w:rsidRPr="0037413F">
        <w:rPr>
          <w:bCs/>
        </w:rPr>
        <w:t xml:space="preserve"> </w:t>
      </w:r>
      <w:r>
        <w:rPr>
          <w:bCs/>
        </w:rPr>
        <w:t xml:space="preserve">EEFF </w:t>
      </w:r>
      <w:r w:rsidRPr="0037413F">
        <w:rPr>
          <w:bCs/>
        </w:rPr>
        <w:t>basados en valores devengados</w:t>
      </w:r>
      <w:r>
        <w:rPr>
          <w:bCs/>
        </w:rPr>
        <w:t>.</w:t>
      </w:r>
    </w:p>
    <w:p w14:paraId="0F5E17CE" w14:textId="77777777" w:rsidR="007B0BB6" w:rsidRPr="0037413F" w:rsidRDefault="007B0BB6" w:rsidP="007B0BB6">
      <w:pPr>
        <w:spacing w:line="240" w:lineRule="auto"/>
        <w:rPr>
          <w:bCs/>
        </w:rPr>
      </w:pPr>
      <w:r>
        <w:rPr>
          <w:bCs/>
        </w:rPr>
        <w:t>Los EEFF r</w:t>
      </w:r>
      <w:r w:rsidRPr="0037413F">
        <w:rPr>
          <w:bCs/>
        </w:rPr>
        <w:t>evelan información sobre el cumplimiento de las normas legislativas, reglamentarias u otras disposiciones legales</w:t>
      </w:r>
      <w:r>
        <w:rPr>
          <w:bCs/>
        </w:rPr>
        <w:t>.</w:t>
      </w:r>
    </w:p>
    <w:p w14:paraId="27C3E0CD" w14:textId="77777777" w:rsidR="007B0BB6" w:rsidRPr="0037413F" w:rsidRDefault="007B0BB6" w:rsidP="007B0BB6">
      <w:pPr>
        <w:spacing w:line="240" w:lineRule="auto"/>
        <w:rPr>
          <w:bCs/>
        </w:rPr>
      </w:pPr>
      <w:r w:rsidRPr="0037413F">
        <w:rPr>
          <w:bCs/>
        </w:rPr>
        <w:t xml:space="preserve">Se presentan los </w:t>
      </w:r>
      <w:r>
        <w:rPr>
          <w:bCs/>
        </w:rPr>
        <w:t>EEFF</w:t>
      </w:r>
      <w:r w:rsidRPr="0037413F">
        <w:rPr>
          <w:bCs/>
        </w:rPr>
        <w:t xml:space="preserve"> dentro de los 6 meses posteriores a la fecha de informe</w:t>
      </w:r>
      <w:r>
        <w:rPr>
          <w:bCs/>
        </w:rPr>
        <w:t>.</w:t>
      </w:r>
    </w:p>
    <w:p w14:paraId="2093DD56" w14:textId="77777777" w:rsidR="007B0BB6" w:rsidRPr="0037413F" w:rsidRDefault="007B0BB6" w:rsidP="007B0BB6">
      <w:pPr>
        <w:spacing w:line="240" w:lineRule="auto"/>
        <w:rPr>
          <w:bCs/>
        </w:rPr>
      </w:pPr>
      <w:r w:rsidRPr="0037413F">
        <w:rPr>
          <w:bCs/>
        </w:rPr>
        <w:t>Se clasifican los activos tangibles o intangibles, de operación o financieros, ligados a la entidad a largo plazo como activos no corrientes</w:t>
      </w:r>
      <w:r>
        <w:rPr>
          <w:bCs/>
        </w:rPr>
        <w:t>.</w:t>
      </w:r>
    </w:p>
    <w:p w14:paraId="639EDCF2" w14:textId="77777777" w:rsidR="007B0BB6" w:rsidRPr="0037413F" w:rsidRDefault="007B0BB6" w:rsidP="007B0BB6">
      <w:pPr>
        <w:spacing w:line="240" w:lineRule="auto"/>
        <w:rPr>
          <w:bCs/>
        </w:rPr>
      </w:pPr>
      <w:r w:rsidRPr="0037413F">
        <w:rPr>
          <w:bCs/>
        </w:rPr>
        <w:t>Los activos propiedad, planta y equipo se clasifican por clases de conformidad con lo establecido para el tratamiento contable de propiedades, planta y equipo</w:t>
      </w:r>
      <w:r>
        <w:rPr>
          <w:bCs/>
        </w:rPr>
        <w:t>.</w:t>
      </w:r>
    </w:p>
    <w:p w14:paraId="608F0C4D" w14:textId="77777777" w:rsidR="007B0BB6" w:rsidRPr="0037413F" w:rsidRDefault="007B0BB6" w:rsidP="007B0BB6">
      <w:pPr>
        <w:spacing w:line="240" w:lineRule="auto"/>
        <w:rPr>
          <w:bCs/>
        </w:rPr>
      </w:pPr>
      <w:r w:rsidRPr="0037413F">
        <w:rPr>
          <w:bCs/>
        </w:rPr>
        <w:t>Las cuentas por cobrar se clasifican en cuentas por cobrar en concepto de ingresos ordinarios/recursos a cobrar por servicios suministrados y otros ingresos ordinarios/recursos con contraprestación, impuestos y otros ingresos ordinarios/recursos sin contraprestación, otras entidades y de otras partidas (o rubros)</w:t>
      </w:r>
      <w:r>
        <w:rPr>
          <w:bCs/>
        </w:rPr>
        <w:t>.</w:t>
      </w:r>
    </w:p>
    <w:p w14:paraId="6AD7BE63" w14:textId="77777777" w:rsidR="007B0BB6" w:rsidRPr="0037413F" w:rsidRDefault="007B0BB6" w:rsidP="007B0BB6">
      <w:pPr>
        <w:spacing w:line="240" w:lineRule="auto"/>
        <w:rPr>
          <w:bCs/>
        </w:rPr>
      </w:pPr>
      <w:r w:rsidRPr="0037413F">
        <w:rPr>
          <w:bCs/>
        </w:rPr>
        <w:t>Los inventarios se subdividen, de conformidad con normas adecuadas que aborden el tratamiento contable de las existencias, en categorías tales como mercaderías, materias primas, materiales, productos en proceso y productos terminados</w:t>
      </w:r>
      <w:r>
        <w:rPr>
          <w:bCs/>
        </w:rPr>
        <w:t>.</w:t>
      </w:r>
    </w:p>
    <w:p w14:paraId="71AFC2B0" w14:textId="77777777" w:rsidR="007B0BB6" w:rsidRPr="0037413F" w:rsidRDefault="007B0BB6" w:rsidP="007B0BB6">
      <w:pPr>
        <w:spacing w:line="240" w:lineRule="auto"/>
        <w:rPr>
          <w:bCs/>
        </w:rPr>
      </w:pPr>
      <w:r w:rsidRPr="0037413F">
        <w:rPr>
          <w:bCs/>
        </w:rPr>
        <w:t>Las cuentas por pagar se clasifican en devoluciones de tributos, las transferencias por pagar y cuantías por pagar a otras entidades pertenecientes a la entidad económica</w:t>
      </w:r>
      <w:r>
        <w:rPr>
          <w:bCs/>
        </w:rPr>
        <w:t>.</w:t>
      </w:r>
    </w:p>
    <w:p w14:paraId="7ECCDB56" w14:textId="77777777" w:rsidR="007B0BB6" w:rsidRPr="0037413F" w:rsidRDefault="007B0BB6" w:rsidP="007B0BB6">
      <w:pPr>
        <w:spacing w:line="240" w:lineRule="auto"/>
        <w:rPr>
          <w:bCs/>
        </w:rPr>
      </w:pPr>
      <w:r w:rsidRPr="0037413F">
        <w:rPr>
          <w:bCs/>
        </w:rPr>
        <w:t>Las provisiones</w:t>
      </w:r>
      <w:r>
        <w:rPr>
          <w:bCs/>
        </w:rPr>
        <w:t xml:space="preserve">, cuando corresponda, </w:t>
      </w:r>
      <w:r w:rsidRPr="0037413F">
        <w:rPr>
          <w:bCs/>
        </w:rPr>
        <w:t>se desglosa</w:t>
      </w:r>
      <w:r>
        <w:rPr>
          <w:bCs/>
        </w:rPr>
        <w:t>rá</w:t>
      </w:r>
      <w:r w:rsidRPr="0037413F">
        <w:rPr>
          <w:bCs/>
        </w:rPr>
        <w:t xml:space="preserve">n mostrando separadamente las que corresponden a provisiones por beneficios a empleados y cualesquiera otros tipos que sean adecuados según las actividades de la </w:t>
      </w:r>
      <w:r>
        <w:rPr>
          <w:bCs/>
        </w:rPr>
        <w:t>municipalidad.</w:t>
      </w:r>
    </w:p>
    <w:p w14:paraId="5444254C" w14:textId="17D03178" w:rsidR="003516A2" w:rsidRDefault="007B0BB6" w:rsidP="007B0BB6">
      <w:pPr>
        <w:spacing w:line="240" w:lineRule="auto"/>
        <w:rPr>
          <w:bCs/>
        </w:rPr>
      </w:pPr>
      <w:r w:rsidRPr="0037413F">
        <w:rPr>
          <w:bCs/>
        </w:rPr>
        <w:t>Los componentes de los activos netos/patrimonio neto se clasifican mostrando por separado el capital aportado, los resultados netos (ahorro o desahorro) acumulados</w:t>
      </w:r>
      <w:r>
        <w:rPr>
          <w:bCs/>
        </w:rPr>
        <w:t>.</w:t>
      </w:r>
    </w:p>
    <w:p w14:paraId="29068A9B" w14:textId="77777777" w:rsidR="00FA59BD" w:rsidRPr="000B404C" w:rsidRDefault="00FA59BD" w:rsidP="007B0BB6">
      <w:pPr>
        <w:spacing w:line="240" w:lineRule="auto"/>
        <w:rPr>
          <w:rStyle w:val="nfasis"/>
        </w:rPr>
      </w:pPr>
    </w:p>
    <w:p w14:paraId="3B46BBE4" w14:textId="3C40D9BB" w:rsidR="00104AD0" w:rsidRPr="00104AD0" w:rsidRDefault="00104AD0" w:rsidP="00104AD0">
      <w:pPr>
        <w:rPr>
          <w:b/>
          <w:u w:val="single"/>
        </w:rPr>
      </w:pPr>
      <w:r w:rsidRPr="00482942">
        <w:rPr>
          <w:b/>
          <w:color w:val="FFFFFF" w:themeColor="background1"/>
          <w:highlight w:val="darkBlue"/>
          <w:u w:val="single"/>
        </w:rPr>
        <w:t>Revelación Suficiente:</w:t>
      </w:r>
      <w:r w:rsidRPr="00104AD0">
        <w:rPr>
          <w:b/>
          <w:u w:val="single"/>
        </w:rPr>
        <w:t xml:space="preserve"> El ente debe</w:t>
      </w:r>
      <w:r w:rsidR="00482942">
        <w:rPr>
          <w:b/>
          <w:u w:val="single"/>
        </w:rPr>
        <w:t xml:space="preserve"> revelar y</w:t>
      </w:r>
      <w:r w:rsidRPr="00104AD0">
        <w:rPr>
          <w:b/>
          <w:u w:val="single"/>
        </w:rPr>
        <w:t xml:space="preserve"> cumplir con lo estipulado en revelación conforme a la NICSP, también debe considerar la política general y los párrafos incluidos en la matriz de autoevaluación referente a esta NICSP guías de aplicación. (Ver GA NICSP 1) </w:t>
      </w:r>
    </w:p>
    <w:p w14:paraId="45D8AC1A" w14:textId="77777777" w:rsidR="00FA59BD" w:rsidRPr="004A4DC7" w:rsidRDefault="00FA59BD" w:rsidP="00FA59BD">
      <w:pPr>
        <w:spacing w:after="0" w:line="240" w:lineRule="auto"/>
        <w:rPr>
          <w:lang w:val="es-MX"/>
        </w:rPr>
      </w:pPr>
      <w:r w:rsidRPr="004A4DC7">
        <w:rPr>
          <w:lang w:val="es-MX"/>
        </w:rPr>
        <w:lastRenderedPageBreak/>
        <w:t xml:space="preserve">Los estados financieros de la Municipalidad de Buenos Aires presentan razonablemente, la situación financiera, el rendimiento financiero, así como sus flujos de efectivo. </w:t>
      </w:r>
    </w:p>
    <w:p w14:paraId="244F3179" w14:textId="77777777" w:rsidR="00FA59BD" w:rsidRPr="004A4DC7" w:rsidRDefault="00FA59BD" w:rsidP="00FA59BD">
      <w:pPr>
        <w:spacing w:after="0" w:line="240" w:lineRule="auto"/>
        <w:rPr>
          <w:lang w:val="es-MX"/>
        </w:rPr>
      </w:pPr>
    </w:p>
    <w:p w14:paraId="0D29A223" w14:textId="77777777" w:rsidR="00FA59BD" w:rsidRPr="004A4DC7" w:rsidRDefault="00FA59BD" w:rsidP="00FA59BD">
      <w:pPr>
        <w:spacing w:after="120" w:line="240" w:lineRule="auto"/>
        <w:rPr>
          <w:lang w:val="es-MX"/>
        </w:rPr>
      </w:pPr>
      <w:r w:rsidRPr="004A4DC7">
        <w:rPr>
          <w:lang w:val="es-MX"/>
        </w:rPr>
        <w:t xml:space="preserve">Esta presentación razonable proporciona la representación de los efectos de las transacciones, así como de otros sucesos y condiciones, de acuerdo con las definiciones y los criterios de reconocimiento de activos, pasivos, ingresos y gastos establecidos en las NICSP. </w:t>
      </w:r>
    </w:p>
    <w:p w14:paraId="113DCE84" w14:textId="1ACA52F7" w:rsidR="00FA59BD" w:rsidRDefault="00FA59BD" w:rsidP="00FA59BD">
      <w:pPr>
        <w:spacing w:after="120" w:line="240" w:lineRule="auto"/>
        <w:ind w:right="51"/>
        <w:rPr>
          <w:lang w:val="es-MX"/>
        </w:rPr>
      </w:pPr>
      <w:r>
        <w:rPr>
          <w:lang w:val="es-MX"/>
        </w:rPr>
        <w:t xml:space="preserve">Los estados financieros presentan la información financiera al </w:t>
      </w:r>
      <w:r w:rsidR="00796636">
        <w:rPr>
          <w:lang w:val="es-MX"/>
        </w:rPr>
        <w:t>31</w:t>
      </w:r>
      <w:r>
        <w:rPr>
          <w:lang w:val="es-MX"/>
        </w:rPr>
        <w:t xml:space="preserve"> de </w:t>
      </w:r>
      <w:r w:rsidR="00D64CF8">
        <w:rPr>
          <w:lang w:val="es-MX"/>
        </w:rPr>
        <w:t>diciembre</w:t>
      </w:r>
      <w:r>
        <w:rPr>
          <w:lang w:val="es-MX"/>
        </w:rPr>
        <w:t xml:space="preserve"> de 2024 de manera comparativa con respecto al periodo finalizado al </w:t>
      </w:r>
      <w:r w:rsidR="00796636">
        <w:rPr>
          <w:lang w:val="es-MX"/>
        </w:rPr>
        <w:t>31</w:t>
      </w:r>
      <w:r>
        <w:rPr>
          <w:lang w:val="es-MX"/>
        </w:rPr>
        <w:t xml:space="preserve"> de </w:t>
      </w:r>
      <w:r w:rsidR="00D64CF8">
        <w:rPr>
          <w:lang w:val="es-MX"/>
        </w:rPr>
        <w:t>diciembre</w:t>
      </w:r>
      <w:r>
        <w:rPr>
          <w:lang w:val="es-MX"/>
        </w:rPr>
        <w:t xml:space="preserve"> de 2023, y en aquellos casos en que se requiera se incluye en las notas información adicional para aclarar cualquier variación que resulte por el efecto de encontrarse la Municipalidad en el periodo de transición. </w:t>
      </w:r>
    </w:p>
    <w:p w14:paraId="0B286178" w14:textId="77777777" w:rsidR="00FA59BD" w:rsidRDefault="00FA59BD" w:rsidP="00FA59BD">
      <w:pPr>
        <w:spacing w:after="120" w:line="240" w:lineRule="auto"/>
        <w:ind w:right="51"/>
        <w:rPr>
          <w:lang w:val="es-MX"/>
        </w:rPr>
      </w:pPr>
      <w:r>
        <w:rPr>
          <w:lang w:val="es-MX"/>
        </w:rPr>
        <w:t xml:space="preserve">Dichos estados se elaboraron con base en Acumulación o Devengo y considerando las disposiciones transitorias que conceden las NICSP 1, 5,12,13,17,19,20,21,23,26,31,35 y 39 que le son de aplicación a la Municipalidad. </w:t>
      </w:r>
    </w:p>
    <w:p w14:paraId="272FDEF5" w14:textId="77777777" w:rsidR="00FA59BD" w:rsidRDefault="00FA59BD" w:rsidP="00FA59BD">
      <w:pPr>
        <w:spacing w:after="120" w:line="240" w:lineRule="auto"/>
        <w:ind w:right="51"/>
        <w:rPr>
          <w:lang w:val="es-MX"/>
        </w:rPr>
      </w:pPr>
      <w:r>
        <w:rPr>
          <w:lang w:val="es-MX"/>
        </w:rPr>
        <w:t>Además, para la medición de los diferentes elementos que componen los estados financieros se utilizó alguna de las bases permitidas por las NICSP de que se trate; a saber: costo histórico, valor realizable neto, valor razonable, importe de servicio recuperable, importe recuperable, las cuales se especifican en detalle en las notas particulares de los estados financieros.</w:t>
      </w:r>
    </w:p>
    <w:p w14:paraId="728936D7" w14:textId="77777777" w:rsidR="00FA59BD" w:rsidRDefault="00FA59BD" w:rsidP="00FA59BD">
      <w:pPr>
        <w:spacing w:line="240" w:lineRule="auto"/>
        <w:ind w:right="49"/>
        <w:rPr>
          <w:lang w:val="es-MX"/>
        </w:rPr>
      </w:pPr>
      <w:r>
        <w:rPr>
          <w:lang w:val="es-MX"/>
        </w:rPr>
        <w:t xml:space="preserve">Como se indicó antes la Municipalidad de Buenos Aires se encuentra en el periodo de transición a las NICSP, por lo tanto, los estados financieros a que se refieren estas notas no proporcionan una representación fiel del efecto de las transacciones, así como de otros sucesos y condiciones, de acuerdo con las definiciones y los criterios de reconocimiento de activos, pasivos, ingresos y gastos establecidos en las NICSP. </w:t>
      </w:r>
    </w:p>
    <w:p w14:paraId="1509CE25" w14:textId="525872AB" w:rsidR="00FA59BD" w:rsidRDefault="00FA59BD" w:rsidP="00FA59BD">
      <w:pPr>
        <w:spacing w:line="240" w:lineRule="auto"/>
        <w:ind w:right="49"/>
        <w:rPr>
          <w:lang w:val="es-MX"/>
        </w:rPr>
      </w:pPr>
      <w:r>
        <w:rPr>
          <w:lang w:val="es-MX"/>
        </w:rPr>
        <w:t xml:space="preserve">Aunado, debe señalarse que, la presentación razonable no se ha alcanzado por cuanto aún se está pendiente la implementación operativa de varias políticas contables relacionadas con los activos de propiedad, planta y equipo, partida que al </w:t>
      </w:r>
      <w:r w:rsidR="00796636">
        <w:rPr>
          <w:lang w:val="es-MX"/>
        </w:rPr>
        <w:t>31</w:t>
      </w:r>
      <w:r>
        <w:rPr>
          <w:lang w:val="es-MX"/>
        </w:rPr>
        <w:t xml:space="preserve"> de </w:t>
      </w:r>
      <w:r w:rsidR="00D64CF8">
        <w:rPr>
          <w:lang w:val="es-MX"/>
        </w:rPr>
        <w:t>diciembre</w:t>
      </w:r>
      <w:r>
        <w:rPr>
          <w:lang w:val="es-MX"/>
        </w:rPr>
        <w:t xml:space="preserve"> de 2023 representa el </w:t>
      </w:r>
      <w:r w:rsidRPr="00373BFA">
        <w:rPr>
          <w:lang w:val="es-MX"/>
        </w:rPr>
        <w:t>98,</w:t>
      </w:r>
      <w:r w:rsidR="00796636">
        <w:rPr>
          <w:lang w:val="es-MX"/>
        </w:rPr>
        <w:t>31</w:t>
      </w:r>
      <w:r>
        <w:rPr>
          <w:lang w:val="es-MX"/>
        </w:rPr>
        <w:t xml:space="preserve"> % del total de los activos, constituyendo una partida influyente en las decisiones económica que pudieran tomar los usuarios de la información financiera.</w:t>
      </w:r>
    </w:p>
    <w:p w14:paraId="3436149E" w14:textId="77777777" w:rsidR="00FA59BD" w:rsidRDefault="00FA59BD" w:rsidP="00FA59BD">
      <w:pPr>
        <w:spacing w:line="240" w:lineRule="auto"/>
        <w:ind w:right="49"/>
        <w:rPr>
          <w:lang w:val="es-MX"/>
        </w:rPr>
      </w:pPr>
      <w:r>
        <w:rPr>
          <w:lang w:val="es-MX"/>
        </w:rPr>
        <w:t>Los estados financieros han sido preparados con base en el principio de negocio en marcha, lo cual implica que no se tiene ninguna intención de liquidar la Municipalidad o cesar sus operaciones. Asimismo, no existe incertidumbre material, relacionada con sucesos o condiciones que puedan aportar dudas significativas sobre la capacidad de que la Municipalidad pueda seguir operando con normalidad con base en los ingresos que se prevén recaudar y los gastos asociados a los mismos, según la planificación operativa y estratégica institucional.</w:t>
      </w:r>
    </w:p>
    <w:p w14:paraId="19C1CD90" w14:textId="77777777" w:rsidR="00FA59BD" w:rsidRDefault="00FA59BD" w:rsidP="00FA59BD">
      <w:pPr>
        <w:spacing w:line="240" w:lineRule="auto"/>
        <w:ind w:right="49"/>
        <w:rPr>
          <w:lang w:val="es-MX"/>
        </w:rPr>
      </w:pPr>
      <w:r>
        <w:rPr>
          <w:lang w:val="es-MX"/>
        </w:rPr>
        <w:t xml:space="preserve">Es pertinente indicar que los estados financieros conservan la misma estructura del periodo anterior, así como las partidas en los estados financieros conservan la presentación y clasificación. Esto incluye la no realización de compensaciones, por lo que las partidas de activo, pasivo, ingresos y gastos se presentan por separado considerando la materialidad conforme lo establece la NICSP 1. </w:t>
      </w:r>
    </w:p>
    <w:p w14:paraId="3AF7D0D3" w14:textId="77777777" w:rsidR="00FA59BD" w:rsidRDefault="00FA59BD" w:rsidP="00FA59BD">
      <w:pPr>
        <w:spacing w:line="240" w:lineRule="auto"/>
        <w:rPr>
          <w:lang w:val="es-MX"/>
        </w:rPr>
      </w:pPr>
      <w:r>
        <w:rPr>
          <w:lang w:val="es-MX"/>
        </w:rPr>
        <w:t>Finalmente, es preciso manifestar que como se indica en la Matriz NICSP y Plan de Acción aún se encuentra en proceso de implementación lo concerniente a:</w:t>
      </w:r>
    </w:p>
    <w:p w14:paraId="0202C896" w14:textId="77777777" w:rsidR="00A85187" w:rsidRDefault="00A85187" w:rsidP="00FA59BD">
      <w:pPr>
        <w:spacing w:line="240" w:lineRule="auto"/>
        <w:rPr>
          <w:lang w:val="es-MX"/>
        </w:rPr>
      </w:pPr>
    </w:p>
    <w:p w14:paraId="2BEADAF0" w14:textId="18C9D9BF" w:rsidR="00FA59BD" w:rsidRDefault="00FA59BD" w:rsidP="00FA59BD">
      <w:pPr>
        <w:spacing w:line="240" w:lineRule="auto"/>
        <w:rPr>
          <w:lang w:val="es-MX"/>
        </w:rPr>
      </w:pPr>
    </w:p>
    <w:tbl>
      <w:tblPr>
        <w:tblW w:w="10407" w:type="dxa"/>
        <w:tblLook w:val="04A0" w:firstRow="1" w:lastRow="0" w:firstColumn="1" w:lastColumn="0" w:noHBand="0" w:noVBand="1"/>
      </w:tblPr>
      <w:tblGrid>
        <w:gridCol w:w="7787"/>
        <w:gridCol w:w="1310"/>
        <w:gridCol w:w="1310"/>
      </w:tblGrid>
      <w:tr w:rsidR="00A85187" w:rsidRPr="000D4EE3" w14:paraId="42661566" w14:textId="4E9B6358" w:rsidTr="00A85187">
        <w:trPr>
          <w:trHeight w:val="790"/>
        </w:trPr>
        <w:tc>
          <w:tcPr>
            <w:tcW w:w="778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BDE0294" w14:textId="77777777" w:rsidR="00A85187" w:rsidRPr="000D4EE3" w:rsidRDefault="00A85187" w:rsidP="0061790F">
            <w:pPr>
              <w:spacing w:after="0" w:line="240" w:lineRule="auto"/>
              <w:jc w:val="center"/>
              <w:rPr>
                <w:rFonts w:eastAsia="Times New Roman" w:cs="Calibri"/>
                <w:b/>
                <w:bCs/>
                <w:sz w:val="20"/>
                <w:szCs w:val="20"/>
                <w:lang w:val="en-US"/>
              </w:rPr>
            </w:pPr>
            <w:proofErr w:type="spellStart"/>
            <w:r w:rsidRPr="000D4EE3">
              <w:rPr>
                <w:rFonts w:eastAsia="Times New Roman" w:cs="Calibri"/>
                <w:b/>
                <w:bCs/>
                <w:sz w:val="20"/>
                <w:szCs w:val="20"/>
                <w:lang w:val="en-US"/>
              </w:rPr>
              <w:lastRenderedPageBreak/>
              <w:t>Actividades</w:t>
            </w:r>
            <w:proofErr w:type="spellEnd"/>
            <w:r w:rsidRPr="000D4EE3">
              <w:rPr>
                <w:rFonts w:eastAsia="Times New Roman" w:cs="Calibri"/>
                <w:b/>
                <w:bCs/>
                <w:sz w:val="20"/>
                <w:szCs w:val="20"/>
                <w:lang w:val="en-US"/>
              </w:rPr>
              <w:t xml:space="preserve"> </w:t>
            </w:r>
            <w:proofErr w:type="spellStart"/>
            <w:r w:rsidRPr="000D4EE3">
              <w:rPr>
                <w:rFonts w:eastAsia="Times New Roman" w:cs="Calibri"/>
                <w:b/>
                <w:bCs/>
                <w:sz w:val="20"/>
                <w:szCs w:val="20"/>
                <w:lang w:val="en-US"/>
              </w:rPr>
              <w:t>Pendientes</w:t>
            </w:r>
            <w:proofErr w:type="spellEnd"/>
            <w:r w:rsidRPr="000D4EE3">
              <w:rPr>
                <w:rFonts w:eastAsia="Times New Roman" w:cs="Calibri"/>
                <w:b/>
                <w:bCs/>
                <w:sz w:val="20"/>
                <w:szCs w:val="20"/>
                <w:lang w:val="en-US"/>
              </w:rPr>
              <w:t xml:space="preserve"> de </w:t>
            </w:r>
            <w:proofErr w:type="spellStart"/>
            <w:r w:rsidRPr="000D4EE3">
              <w:rPr>
                <w:rFonts w:eastAsia="Times New Roman" w:cs="Calibri"/>
                <w:b/>
                <w:bCs/>
                <w:sz w:val="20"/>
                <w:szCs w:val="20"/>
                <w:lang w:val="en-US"/>
              </w:rPr>
              <w:t>Cumplimiento</w:t>
            </w:r>
            <w:proofErr w:type="spellEnd"/>
          </w:p>
        </w:tc>
        <w:tc>
          <w:tcPr>
            <w:tcW w:w="1310" w:type="dxa"/>
            <w:tcBorders>
              <w:top w:val="single" w:sz="8" w:space="0" w:color="auto"/>
              <w:left w:val="nil"/>
              <w:bottom w:val="single" w:sz="4" w:space="0" w:color="auto"/>
              <w:right w:val="single" w:sz="8" w:space="0" w:color="auto"/>
            </w:tcBorders>
            <w:shd w:val="clear" w:color="auto" w:fill="auto"/>
            <w:vAlign w:val="bottom"/>
            <w:hideMark/>
          </w:tcPr>
          <w:p w14:paraId="3F15CCFE" w14:textId="77777777" w:rsidR="00A85187" w:rsidRPr="000D4EE3" w:rsidRDefault="00A85187" w:rsidP="0061790F">
            <w:pPr>
              <w:spacing w:after="0" w:line="240" w:lineRule="auto"/>
              <w:jc w:val="center"/>
              <w:rPr>
                <w:rFonts w:eastAsia="Times New Roman" w:cs="Calibri"/>
                <w:b/>
                <w:bCs/>
                <w:color w:val="000000"/>
                <w:sz w:val="20"/>
                <w:szCs w:val="20"/>
                <w:lang w:val="en-US"/>
              </w:rPr>
            </w:pPr>
            <w:proofErr w:type="spellStart"/>
            <w:r w:rsidRPr="000D4EE3">
              <w:rPr>
                <w:rFonts w:eastAsia="Times New Roman" w:cs="Calibri"/>
                <w:b/>
                <w:bCs/>
                <w:color w:val="000000"/>
                <w:sz w:val="20"/>
                <w:szCs w:val="20"/>
                <w:lang w:val="en-US"/>
              </w:rPr>
              <w:t>Fecha</w:t>
            </w:r>
            <w:proofErr w:type="spellEnd"/>
            <w:r w:rsidRPr="000D4EE3">
              <w:rPr>
                <w:rFonts w:eastAsia="Times New Roman" w:cs="Calibri"/>
                <w:b/>
                <w:bCs/>
                <w:color w:val="000000"/>
                <w:sz w:val="20"/>
                <w:szCs w:val="20"/>
                <w:lang w:val="en-US"/>
              </w:rPr>
              <w:t xml:space="preserve"> </w:t>
            </w:r>
            <w:proofErr w:type="spellStart"/>
            <w:r w:rsidRPr="000D4EE3">
              <w:rPr>
                <w:rFonts w:eastAsia="Times New Roman" w:cs="Calibri"/>
                <w:b/>
                <w:bCs/>
                <w:color w:val="000000"/>
                <w:sz w:val="20"/>
                <w:szCs w:val="20"/>
                <w:lang w:val="en-US"/>
              </w:rPr>
              <w:t>Estimada</w:t>
            </w:r>
            <w:proofErr w:type="spellEnd"/>
            <w:r w:rsidRPr="000D4EE3">
              <w:rPr>
                <w:rFonts w:eastAsia="Times New Roman" w:cs="Calibri"/>
                <w:b/>
                <w:bCs/>
                <w:color w:val="000000"/>
                <w:sz w:val="20"/>
                <w:szCs w:val="20"/>
                <w:lang w:val="en-US"/>
              </w:rPr>
              <w:t xml:space="preserve"> </w:t>
            </w:r>
            <w:proofErr w:type="spellStart"/>
            <w:r w:rsidRPr="000D4EE3">
              <w:rPr>
                <w:rFonts w:eastAsia="Times New Roman" w:cs="Calibri"/>
                <w:b/>
                <w:bCs/>
                <w:color w:val="000000"/>
                <w:sz w:val="20"/>
                <w:szCs w:val="20"/>
                <w:lang w:val="en-US"/>
              </w:rPr>
              <w:t>Cumplimiento</w:t>
            </w:r>
            <w:proofErr w:type="spellEnd"/>
          </w:p>
        </w:tc>
        <w:tc>
          <w:tcPr>
            <w:tcW w:w="1310" w:type="dxa"/>
            <w:tcBorders>
              <w:top w:val="single" w:sz="8" w:space="0" w:color="auto"/>
              <w:left w:val="nil"/>
              <w:bottom w:val="single" w:sz="4" w:space="0" w:color="auto"/>
              <w:right w:val="single" w:sz="8" w:space="0" w:color="auto"/>
            </w:tcBorders>
          </w:tcPr>
          <w:p w14:paraId="3A3F1783" w14:textId="77777777" w:rsidR="00A85187" w:rsidRPr="000D4EE3" w:rsidRDefault="00A85187" w:rsidP="0061790F">
            <w:pPr>
              <w:spacing w:after="0" w:line="240" w:lineRule="auto"/>
              <w:jc w:val="center"/>
              <w:rPr>
                <w:rFonts w:eastAsia="Times New Roman" w:cs="Calibri"/>
                <w:b/>
                <w:bCs/>
                <w:color w:val="000000"/>
                <w:sz w:val="20"/>
                <w:szCs w:val="20"/>
                <w:lang w:val="en-US"/>
              </w:rPr>
            </w:pPr>
          </w:p>
        </w:tc>
      </w:tr>
      <w:tr w:rsidR="00A85187" w:rsidRPr="000D4EE3" w14:paraId="0CB89131" w14:textId="2175CFB0" w:rsidTr="00A85187">
        <w:trPr>
          <w:trHeight w:val="2311"/>
        </w:trPr>
        <w:tc>
          <w:tcPr>
            <w:tcW w:w="7787" w:type="dxa"/>
            <w:tcBorders>
              <w:top w:val="nil"/>
              <w:left w:val="single" w:sz="8" w:space="0" w:color="auto"/>
              <w:bottom w:val="single" w:sz="4" w:space="0" w:color="auto"/>
              <w:right w:val="single" w:sz="4" w:space="0" w:color="auto"/>
            </w:tcBorders>
            <w:shd w:val="clear" w:color="000000" w:fill="FFFFFF"/>
            <w:hideMark/>
          </w:tcPr>
          <w:p w14:paraId="614FBDD3" w14:textId="77777777" w:rsidR="00A85187" w:rsidRDefault="00A85187" w:rsidP="0061790F">
            <w:pPr>
              <w:spacing w:after="0" w:line="240" w:lineRule="auto"/>
              <w:rPr>
                <w:rFonts w:eastAsia="Times New Roman" w:cs="Calibri"/>
                <w:sz w:val="20"/>
                <w:szCs w:val="20"/>
              </w:rPr>
            </w:pPr>
            <w:r w:rsidRPr="000D4EE3">
              <w:rPr>
                <w:rFonts w:eastAsia="Times New Roman" w:cs="Calibri"/>
                <w:sz w:val="20"/>
                <w:szCs w:val="20"/>
              </w:rPr>
              <w:t>Concluir las depuraciones de los saldos correspondientes que se reflejan en los estados financieros y garantizar la información correcta acerca de las bases para la elaboración de los EEFF:</w:t>
            </w:r>
            <w:r w:rsidRPr="000D4EE3">
              <w:rPr>
                <w:rFonts w:eastAsia="Times New Roman" w:cs="Calibri"/>
                <w:sz w:val="20"/>
                <w:szCs w:val="20"/>
              </w:rPr>
              <w:br/>
              <w:t>1. Toma física y valuación de activos de infraestructura vial</w:t>
            </w:r>
            <w:r>
              <w:rPr>
                <w:rFonts w:eastAsia="Times New Roman" w:cs="Calibri"/>
                <w:sz w:val="20"/>
                <w:szCs w:val="20"/>
              </w:rPr>
              <w:t>.</w:t>
            </w:r>
          </w:p>
          <w:p w14:paraId="4B322457" w14:textId="77777777" w:rsidR="00A85187" w:rsidRDefault="00A85187" w:rsidP="0061790F">
            <w:pPr>
              <w:spacing w:after="0" w:line="240" w:lineRule="auto"/>
              <w:rPr>
                <w:rFonts w:eastAsia="Times New Roman" w:cs="Calibri"/>
                <w:sz w:val="20"/>
                <w:szCs w:val="20"/>
              </w:rPr>
            </w:pPr>
            <w:r w:rsidRPr="000D4EE3">
              <w:rPr>
                <w:rFonts w:eastAsia="Times New Roman" w:cs="Calibri"/>
                <w:sz w:val="20"/>
                <w:szCs w:val="20"/>
              </w:rPr>
              <w:t>2. Levantar el inventario y valuación de los activos intangibles</w:t>
            </w:r>
            <w:r>
              <w:rPr>
                <w:rFonts w:eastAsia="Times New Roman" w:cs="Calibri"/>
                <w:sz w:val="20"/>
                <w:szCs w:val="20"/>
              </w:rPr>
              <w:t>.</w:t>
            </w:r>
          </w:p>
          <w:p w14:paraId="5DA8EB88" w14:textId="77777777" w:rsidR="00A85187" w:rsidRDefault="00A85187" w:rsidP="0061790F">
            <w:pPr>
              <w:spacing w:after="0" w:line="240" w:lineRule="auto"/>
              <w:rPr>
                <w:rFonts w:eastAsia="Times New Roman" w:cs="Calibri"/>
                <w:sz w:val="20"/>
                <w:szCs w:val="20"/>
              </w:rPr>
            </w:pPr>
            <w:r w:rsidRPr="000D4EE3">
              <w:rPr>
                <w:rFonts w:eastAsia="Times New Roman" w:cs="Calibri"/>
                <w:sz w:val="20"/>
                <w:szCs w:val="20"/>
              </w:rPr>
              <w:t>3. Identificación y valoración de los terrenos propiedad de la Municipalidad.</w:t>
            </w:r>
          </w:p>
          <w:p w14:paraId="346096A6" w14:textId="77777777" w:rsidR="00A85187" w:rsidRDefault="00A85187" w:rsidP="0061790F">
            <w:pPr>
              <w:spacing w:after="0" w:line="240" w:lineRule="auto"/>
              <w:rPr>
                <w:rFonts w:eastAsia="Times New Roman" w:cs="Calibri"/>
                <w:sz w:val="20"/>
                <w:szCs w:val="20"/>
              </w:rPr>
            </w:pPr>
            <w:r w:rsidRPr="000D4EE3">
              <w:rPr>
                <w:rFonts w:eastAsia="Times New Roman" w:cs="Calibri"/>
                <w:sz w:val="20"/>
                <w:szCs w:val="20"/>
              </w:rPr>
              <w:t>4. Valuación de los edificios de propiedad municipal.</w:t>
            </w:r>
          </w:p>
          <w:p w14:paraId="78803AC3" w14:textId="77777777" w:rsidR="00A85187" w:rsidRDefault="00A85187" w:rsidP="0061790F">
            <w:pPr>
              <w:spacing w:after="0" w:line="240" w:lineRule="auto"/>
              <w:rPr>
                <w:rFonts w:eastAsia="Times New Roman" w:cs="Calibri"/>
                <w:sz w:val="20"/>
                <w:szCs w:val="20"/>
              </w:rPr>
            </w:pPr>
            <w:r w:rsidRPr="000D4EE3">
              <w:rPr>
                <w:rFonts w:eastAsia="Times New Roman" w:cs="Calibri"/>
                <w:sz w:val="20"/>
                <w:szCs w:val="20"/>
              </w:rPr>
              <w:t>5. Depuración de la base de datos de cuentas por cobrar.</w:t>
            </w:r>
          </w:p>
          <w:p w14:paraId="6A5B5096" w14:textId="77777777" w:rsidR="00A85187" w:rsidRDefault="00A85187" w:rsidP="0061790F">
            <w:pPr>
              <w:spacing w:after="0" w:line="240" w:lineRule="auto"/>
              <w:rPr>
                <w:rFonts w:eastAsia="Times New Roman" w:cs="Calibri"/>
                <w:sz w:val="20"/>
                <w:szCs w:val="20"/>
              </w:rPr>
            </w:pPr>
            <w:r w:rsidRPr="000D4EE3">
              <w:rPr>
                <w:rFonts w:eastAsia="Times New Roman" w:cs="Calibri"/>
                <w:sz w:val="20"/>
                <w:szCs w:val="20"/>
              </w:rPr>
              <w:t>6. Depuración de la información acerca de litigios en proceso</w:t>
            </w:r>
          </w:p>
          <w:p w14:paraId="4C2F6D2C" w14:textId="77777777" w:rsidR="00A85187" w:rsidRDefault="00A85187" w:rsidP="0061790F">
            <w:pPr>
              <w:spacing w:after="0" w:line="240" w:lineRule="auto"/>
              <w:rPr>
                <w:rFonts w:eastAsia="Times New Roman" w:cs="Calibri"/>
                <w:sz w:val="20"/>
                <w:szCs w:val="20"/>
              </w:rPr>
            </w:pPr>
            <w:r w:rsidRPr="000D4EE3">
              <w:rPr>
                <w:rFonts w:eastAsia="Times New Roman" w:cs="Calibri"/>
                <w:sz w:val="20"/>
                <w:szCs w:val="20"/>
              </w:rPr>
              <w:t>7. Información sobre el recurso humano acerca de los beneficios sociales.</w:t>
            </w:r>
          </w:p>
          <w:p w14:paraId="527C134A" w14:textId="77777777" w:rsidR="00A85187" w:rsidRPr="000D4EE3" w:rsidRDefault="00A85187" w:rsidP="0061790F">
            <w:pPr>
              <w:spacing w:after="0" w:line="240" w:lineRule="auto"/>
              <w:rPr>
                <w:rFonts w:eastAsia="Times New Roman" w:cs="Calibri"/>
                <w:sz w:val="20"/>
                <w:szCs w:val="20"/>
              </w:rPr>
            </w:pPr>
            <w:r w:rsidRPr="000D4EE3">
              <w:rPr>
                <w:rFonts w:eastAsia="Times New Roman" w:cs="Calibri"/>
                <w:sz w:val="20"/>
                <w:szCs w:val="20"/>
              </w:rPr>
              <w:t>8. EEFF del CCDRN</w:t>
            </w:r>
          </w:p>
        </w:tc>
        <w:tc>
          <w:tcPr>
            <w:tcW w:w="1310" w:type="dxa"/>
            <w:tcBorders>
              <w:top w:val="nil"/>
              <w:left w:val="nil"/>
              <w:bottom w:val="single" w:sz="4" w:space="0" w:color="auto"/>
              <w:right w:val="single" w:sz="8" w:space="0" w:color="auto"/>
            </w:tcBorders>
            <w:shd w:val="clear" w:color="000000" w:fill="FFFFFF"/>
            <w:noWrap/>
            <w:vAlign w:val="center"/>
            <w:hideMark/>
          </w:tcPr>
          <w:p w14:paraId="7CFCE3B5" w14:textId="510200F0" w:rsidR="00A85187" w:rsidRPr="000D4EE3" w:rsidRDefault="00A85187" w:rsidP="0061790F">
            <w:pPr>
              <w:spacing w:after="0" w:line="240" w:lineRule="auto"/>
              <w:jc w:val="center"/>
              <w:rPr>
                <w:rFonts w:eastAsia="Times New Roman" w:cs="Calibri"/>
                <w:sz w:val="20"/>
                <w:szCs w:val="20"/>
                <w:lang w:val="en-US"/>
              </w:rPr>
            </w:pPr>
            <w:r>
              <w:rPr>
                <w:rFonts w:eastAsia="Times New Roman" w:cs="Calibri"/>
                <w:sz w:val="20"/>
                <w:szCs w:val="20"/>
                <w:lang w:val="en-US"/>
              </w:rPr>
              <w:t>30/6/25</w:t>
            </w:r>
          </w:p>
        </w:tc>
        <w:tc>
          <w:tcPr>
            <w:tcW w:w="1310" w:type="dxa"/>
            <w:tcBorders>
              <w:top w:val="nil"/>
              <w:left w:val="nil"/>
              <w:bottom w:val="single" w:sz="4" w:space="0" w:color="auto"/>
              <w:right w:val="single" w:sz="8" w:space="0" w:color="auto"/>
            </w:tcBorders>
            <w:shd w:val="clear" w:color="000000" w:fill="FFFFFF"/>
          </w:tcPr>
          <w:p w14:paraId="3FAD5746" w14:textId="77777777" w:rsidR="00A85187" w:rsidRDefault="00A85187" w:rsidP="0061790F">
            <w:pPr>
              <w:spacing w:after="0" w:line="240" w:lineRule="auto"/>
              <w:jc w:val="center"/>
              <w:rPr>
                <w:rFonts w:eastAsia="Times New Roman" w:cs="Calibri"/>
                <w:sz w:val="20"/>
                <w:szCs w:val="20"/>
                <w:lang w:val="en-US"/>
              </w:rPr>
            </w:pPr>
          </w:p>
        </w:tc>
      </w:tr>
      <w:tr w:rsidR="00A85187" w:rsidRPr="000D4EE3" w14:paraId="123F4A8F" w14:textId="77F9E514" w:rsidTr="00A85187">
        <w:trPr>
          <w:trHeight w:val="520"/>
        </w:trPr>
        <w:tc>
          <w:tcPr>
            <w:tcW w:w="7787" w:type="dxa"/>
            <w:tcBorders>
              <w:top w:val="nil"/>
              <w:left w:val="single" w:sz="8" w:space="0" w:color="auto"/>
              <w:bottom w:val="single" w:sz="4" w:space="0" w:color="auto"/>
              <w:right w:val="single" w:sz="4" w:space="0" w:color="auto"/>
            </w:tcBorders>
            <w:shd w:val="clear" w:color="000000" w:fill="FFFFFF"/>
            <w:hideMark/>
          </w:tcPr>
          <w:p w14:paraId="1FA6B0C9" w14:textId="36EC9481" w:rsidR="00A85187" w:rsidRPr="000D4EE3" w:rsidRDefault="00A85187" w:rsidP="00D64CF8">
            <w:pPr>
              <w:spacing w:after="0" w:line="240" w:lineRule="auto"/>
              <w:rPr>
                <w:rFonts w:eastAsia="Times New Roman" w:cs="Calibri"/>
                <w:sz w:val="20"/>
                <w:szCs w:val="20"/>
              </w:rPr>
            </w:pPr>
            <w:r w:rsidRPr="000D4EE3">
              <w:rPr>
                <w:rFonts w:eastAsia="Times New Roman" w:cs="Calibri"/>
                <w:sz w:val="20"/>
                <w:szCs w:val="20"/>
              </w:rPr>
              <w:t>Contar con un sistema integrado que permita el registro de las transacciones que se realizan en la Institución y que genere los EEFF según la normativa contable</w:t>
            </w:r>
            <w:r>
              <w:rPr>
                <w:rFonts w:eastAsia="Times New Roman" w:cs="Calibri"/>
                <w:sz w:val="20"/>
                <w:szCs w:val="20"/>
              </w:rPr>
              <w:t>.</w:t>
            </w:r>
          </w:p>
        </w:tc>
        <w:tc>
          <w:tcPr>
            <w:tcW w:w="1310" w:type="dxa"/>
            <w:tcBorders>
              <w:top w:val="nil"/>
              <w:left w:val="nil"/>
              <w:bottom w:val="single" w:sz="4" w:space="0" w:color="auto"/>
              <w:right w:val="single" w:sz="8" w:space="0" w:color="auto"/>
            </w:tcBorders>
            <w:shd w:val="clear" w:color="000000" w:fill="FFFFFF"/>
            <w:noWrap/>
            <w:hideMark/>
          </w:tcPr>
          <w:p w14:paraId="58D8DA65" w14:textId="706B182A" w:rsidR="00A85187" w:rsidRPr="000D4EE3" w:rsidRDefault="00A85187" w:rsidP="00D64CF8">
            <w:pPr>
              <w:spacing w:after="0" w:line="240" w:lineRule="auto"/>
              <w:jc w:val="center"/>
              <w:rPr>
                <w:rFonts w:eastAsia="Times New Roman" w:cs="Calibri"/>
                <w:sz w:val="20"/>
                <w:szCs w:val="20"/>
                <w:lang w:val="en-US"/>
              </w:rPr>
            </w:pPr>
            <w:r>
              <w:rPr>
                <w:rFonts w:eastAsia="Times New Roman" w:cs="Calibri"/>
                <w:sz w:val="20"/>
                <w:szCs w:val="20"/>
                <w:lang w:val="en-US"/>
              </w:rPr>
              <w:t>30/6/25</w:t>
            </w:r>
          </w:p>
        </w:tc>
        <w:tc>
          <w:tcPr>
            <w:tcW w:w="1310" w:type="dxa"/>
            <w:tcBorders>
              <w:top w:val="nil"/>
              <w:left w:val="nil"/>
              <w:bottom w:val="single" w:sz="4" w:space="0" w:color="auto"/>
              <w:right w:val="single" w:sz="8" w:space="0" w:color="auto"/>
            </w:tcBorders>
            <w:shd w:val="clear" w:color="000000" w:fill="FFFFFF"/>
          </w:tcPr>
          <w:p w14:paraId="48D62980" w14:textId="77777777" w:rsidR="00A85187" w:rsidRDefault="00A85187" w:rsidP="00D64CF8">
            <w:pPr>
              <w:spacing w:after="0" w:line="240" w:lineRule="auto"/>
              <w:jc w:val="center"/>
              <w:rPr>
                <w:rFonts w:eastAsia="Times New Roman" w:cs="Calibri"/>
                <w:sz w:val="20"/>
                <w:szCs w:val="20"/>
                <w:lang w:val="en-US"/>
              </w:rPr>
            </w:pPr>
          </w:p>
        </w:tc>
      </w:tr>
      <w:tr w:rsidR="00A85187" w:rsidRPr="000D4EE3" w14:paraId="19589018" w14:textId="5B02E971" w:rsidTr="00A85187">
        <w:trPr>
          <w:trHeight w:val="520"/>
        </w:trPr>
        <w:tc>
          <w:tcPr>
            <w:tcW w:w="7787" w:type="dxa"/>
            <w:tcBorders>
              <w:top w:val="nil"/>
              <w:left w:val="single" w:sz="8" w:space="0" w:color="auto"/>
              <w:bottom w:val="single" w:sz="4" w:space="0" w:color="auto"/>
              <w:right w:val="single" w:sz="4" w:space="0" w:color="auto"/>
            </w:tcBorders>
            <w:shd w:val="clear" w:color="000000" w:fill="FFFFFF"/>
            <w:hideMark/>
          </w:tcPr>
          <w:p w14:paraId="211BF8B6" w14:textId="77777777" w:rsidR="00A85187" w:rsidRPr="000D4EE3" w:rsidRDefault="00A85187" w:rsidP="00D64CF8">
            <w:pPr>
              <w:spacing w:after="0" w:line="240" w:lineRule="auto"/>
              <w:rPr>
                <w:rFonts w:eastAsia="Times New Roman" w:cs="Calibri"/>
                <w:sz w:val="20"/>
                <w:szCs w:val="20"/>
              </w:rPr>
            </w:pPr>
            <w:r w:rsidRPr="000D4EE3">
              <w:rPr>
                <w:rFonts w:eastAsia="Times New Roman" w:cs="Calibri"/>
                <w:sz w:val="20"/>
                <w:szCs w:val="20"/>
              </w:rPr>
              <w:t>Concluir con la identificación de las principales políticas</w:t>
            </w:r>
            <w:r>
              <w:rPr>
                <w:rFonts w:eastAsia="Times New Roman" w:cs="Calibri"/>
                <w:sz w:val="20"/>
                <w:szCs w:val="20"/>
              </w:rPr>
              <w:t xml:space="preserve"> particulares</w:t>
            </w:r>
            <w:r w:rsidRPr="000D4EE3">
              <w:rPr>
                <w:rFonts w:eastAsia="Times New Roman" w:cs="Calibri"/>
                <w:sz w:val="20"/>
                <w:szCs w:val="20"/>
              </w:rPr>
              <w:t xml:space="preserve"> que se debe revelar en las notas a los estados financieros en relación con los saldos presentados en esos estados financieros</w:t>
            </w:r>
            <w:r>
              <w:rPr>
                <w:rFonts w:eastAsia="Times New Roman" w:cs="Calibri"/>
                <w:sz w:val="20"/>
                <w:szCs w:val="20"/>
              </w:rPr>
              <w:t>.</w:t>
            </w:r>
          </w:p>
        </w:tc>
        <w:tc>
          <w:tcPr>
            <w:tcW w:w="1310" w:type="dxa"/>
            <w:tcBorders>
              <w:top w:val="nil"/>
              <w:left w:val="nil"/>
              <w:bottom w:val="single" w:sz="4" w:space="0" w:color="auto"/>
              <w:right w:val="single" w:sz="8" w:space="0" w:color="auto"/>
            </w:tcBorders>
            <w:shd w:val="clear" w:color="000000" w:fill="FFFFFF"/>
            <w:noWrap/>
            <w:hideMark/>
          </w:tcPr>
          <w:p w14:paraId="492130C3" w14:textId="0B47353C" w:rsidR="00A85187" w:rsidRPr="000D4EE3" w:rsidRDefault="00A85187" w:rsidP="00D64CF8">
            <w:pPr>
              <w:spacing w:after="0" w:line="240" w:lineRule="auto"/>
              <w:jc w:val="center"/>
              <w:rPr>
                <w:rFonts w:eastAsia="Times New Roman" w:cs="Calibri"/>
                <w:sz w:val="20"/>
                <w:szCs w:val="20"/>
                <w:lang w:val="en-US"/>
              </w:rPr>
            </w:pPr>
            <w:r>
              <w:rPr>
                <w:rFonts w:eastAsia="Times New Roman" w:cs="Calibri"/>
                <w:sz w:val="20"/>
                <w:szCs w:val="20"/>
                <w:lang w:val="en-US"/>
              </w:rPr>
              <w:t>30/6/25</w:t>
            </w:r>
          </w:p>
        </w:tc>
        <w:tc>
          <w:tcPr>
            <w:tcW w:w="1310" w:type="dxa"/>
            <w:tcBorders>
              <w:top w:val="nil"/>
              <w:left w:val="nil"/>
              <w:bottom w:val="single" w:sz="4" w:space="0" w:color="auto"/>
              <w:right w:val="single" w:sz="8" w:space="0" w:color="auto"/>
            </w:tcBorders>
            <w:shd w:val="clear" w:color="000000" w:fill="FFFFFF"/>
          </w:tcPr>
          <w:p w14:paraId="19C27B01" w14:textId="77777777" w:rsidR="00A85187" w:rsidRDefault="00A85187" w:rsidP="00D64CF8">
            <w:pPr>
              <w:spacing w:after="0" w:line="240" w:lineRule="auto"/>
              <w:jc w:val="center"/>
              <w:rPr>
                <w:rFonts w:eastAsia="Times New Roman" w:cs="Calibri"/>
                <w:sz w:val="20"/>
                <w:szCs w:val="20"/>
                <w:lang w:val="en-US"/>
              </w:rPr>
            </w:pPr>
          </w:p>
        </w:tc>
      </w:tr>
      <w:tr w:rsidR="00A85187" w:rsidRPr="000D4EE3" w14:paraId="26C5CD4C" w14:textId="54F59EDE" w:rsidTr="00A85187">
        <w:trPr>
          <w:trHeight w:val="780"/>
        </w:trPr>
        <w:tc>
          <w:tcPr>
            <w:tcW w:w="7787" w:type="dxa"/>
            <w:tcBorders>
              <w:top w:val="nil"/>
              <w:left w:val="single" w:sz="8" w:space="0" w:color="auto"/>
              <w:bottom w:val="single" w:sz="4" w:space="0" w:color="auto"/>
              <w:right w:val="single" w:sz="4" w:space="0" w:color="auto"/>
            </w:tcBorders>
            <w:shd w:val="clear" w:color="000000" w:fill="FFFFFF"/>
            <w:hideMark/>
          </w:tcPr>
          <w:p w14:paraId="759CA7BB" w14:textId="77777777" w:rsidR="00A85187" w:rsidRPr="000D4EE3" w:rsidRDefault="00A85187" w:rsidP="00D64CF8">
            <w:pPr>
              <w:spacing w:after="0" w:line="240" w:lineRule="auto"/>
              <w:rPr>
                <w:rFonts w:eastAsia="Times New Roman" w:cs="Calibri"/>
                <w:sz w:val="20"/>
                <w:szCs w:val="20"/>
              </w:rPr>
            </w:pPr>
            <w:r w:rsidRPr="000D4EE3">
              <w:rPr>
                <w:rFonts w:eastAsia="Times New Roman" w:cs="Calibri"/>
                <w:sz w:val="20"/>
                <w:szCs w:val="20"/>
              </w:rPr>
              <w:t>Revisar y ajustar el contenido de las notas a los estados financieros con base en la información identificada en según la actividad anterior, con el fin de cumplir con lo establecido en la NICSP 1 y las demás NICSP relacionadas con los diferentes a componentes de los estados financieros</w:t>
            </w:r>
            <w:r>
              <w:rPr>
                <w:rFonts w:eastAsia="Times New Roman" w:cs="Calibri"/>
                <w:sz w:val="20"/>
                <w:szCs w:val="20"/>
              </w:rPr>
              <w:t>.</w:t>
            </w:r>
          </w:p>
        </w:tc>
        <w:tc>
          <w:tcPr>
            <w:tcW w:w="1310" w:type="dxa"/>
            <w:tcBorders>
              <w:top w:val="nil"/>
              <w:left w:val="nil"/>
              <w:bottom w:val="single" w:sz="4" w:space="0" w:color="auto"/>
              <w:right w:val="single" w:sz="8" w:space="0" w:color="auto"/>
            </w:tcBorders>
            <w:shd w:val="clear" w:color="000000" w:fill="FFFFFF"/>
            <w:noWrap/>
            <w:hideMark/>
          </w:tcPr>
          <w:p w14:paraId="15DBA7EC" w14:textId="2411448A" w:rsidR="00A85187" w:rsidRPr="000D4EE3" w:rsidRDefault="00A85187" w:rsidP="00D64CF8">
            <w:pPr>
              <w:spacing w:after="0" w:line="240" w:lineRule="auto"/>
              <w:jc w:val="center"/>
              <w:rPr>
                <w:rFonts w:eastAsia="Times New Roman" w:cs="Calibri"/>
                <w:sz w:val="20"/>
                <w:szCs w:val="20"/>
                <w:lang w:val="en-US"/>
              </w:rPr>
            </w:pPr>
            <w:r>
              <w:rPr>
                <w:rFonts w:eastAsia="Times New Roman" w:cs="Calibri"/>
                <w:sz w:val="20"/>
                <w:szCs w:val="20"/>
                <w:lang w:val="en-US"/>
              </w:rPr>
              <w:t>30/6/25</w:t>
            </w:r>
          </w:p>
        </w:tc>
        <w:tc>
          <w:tcPr>
            <w:tcW w:w="1310" w:type="dxa"/>
            <w:tcBorders>
              <w:top w:val="nil"/>
              <w:left w:val="nil"/>
              <w:bottom w:val="single" w:sz="4" w:space="0" w:color="auto"/>
              <w:right w:val="single" w:sz="8" w:space="0" w:color="auto"/>
            </w:tcBorders>
            <w:shd w:val="clear" w:color="000000" w:fill="FFFFFF"/>
          </w:tcPr>
          <w:p w14:paraId="6DDC8BC1" w14:textId="77777777" w:rsidR="00A85187" w:rsidRDefault="00A85187" w:rsidP="00D64CF8">
            <w:pPr>
              <w:spacing w:after="0" w:line="240" w:lineRule="auto"/>
              <w:jc w:val="center"/>
              <w:rPr>
                <w:rFonts w:eastAsia="Times New Roman" w:cs="Calibri"/>
                <w:sz w:val="20"/>
                <w:szCs w:val="20"/>
                <w:lang w:val="en-US"/>
              </w:rPr>
            </w:pPr>
          </w:p>
        </w:tc>
      </w:tr>
      <w:tr w:rsidR="00A85187" w:rsidRPr="000D4EE3" w14:paraId="6F7C80EA" w14:textId="40EA548A" w:rsidTr="00A85187">
        <w:trPr>
          <w:trHeight w:val="2330"/>
        </w:trPr>
        <w:tc>
          <w:tcPr>
            <w:tcW w:w="7787" w:type="dxa"/>
            <w:tcBorders>
              <w:top w:val="nil"/>
              <w:left w:val="single" w:sz="8" w:space="0" w:color="auto"/>
              <w:bottom w:val="single" w:sz="8" w:space="0" w:color="auto"/>
              <w:right w:val="single" w:sz="4" w:space="0" w:color="auto"/>
            </w:tcBorders>
            <w:shd w:val="clear" w:color="000000" w:fill="FFFFFF"/>
            <w:hideMark/>
          </w:tcPr>
          <w:p w14:paraId="0D6197CE" w14:textId="77777777" w:rsidR="00A85187" w:rsidRDefault="00A85187" w:rsidP="00D64CF8">
            <w:pPr>
              <w:spacing w:after="0" w:line="240" w:lineRule="auto"/>
              <w:jc w:val="left"/>
              <w:rPr>
                <w:rFonts w:eastAsia="Times New Roman" w:cs="Calibri"/>
                <w:sz w:val="20"/>
                <w:szCs w:val="20"/>
              </w:rPr>
            </w:pPr>
            <w:r w:rsidRPr="000D4EE3">
              <w:rPr>
                <w:rFonts w:eastAsia="Times New Roman" w:cs="Calibri"/>
                <w:sz w:val="20"/>
                <w:szCs w:val="20"/>
              </w:rPr>
              <w:t xml:space="preserve">Realizar un proceso elaboración de las políticas </w:t>
            </w:r>
            <w:r>
              <w:rPr>
                <w:rFonts w:eastAsia="Times New Roman" w:cs="Calibri"/>
                <w:sz w:val="20"/>
                <w:szCs w:val="20"/>
              </w:rPr>
              <w:t>particulares</w:t>
            </w:r>
            <w:r w:rsidRPr="000D4EE3">
              <w:rPr>
                <w:rFonts w:eastAsia="Times New Roman" w:cs="Calibri"/>
                <w:sz w:val="20"/>
                <w:szCs w:val="20"/>
              </w:rPr>
              <w:t xml:space="preserve"> según corresponda, Las políticas contables específicas a elaborar y emitir se refieren a los siguientes temas:  </w:t>
            </w:r>
            <w:r w:rsidRPr="000D4EE3">
              <w:rPr>
                <w:rFonts w:eastAsia="Times New Roman" w:cs="Calibri"/>
                <w:sz w:val="20"/>
                <w:szCs w:val="20"/>
              </w:rPr>
              <w:br/>
              <w:t>a) Reconocimiento, registro y control de activos fijos comprendidos en el rubro de Propiedad, Planta y Equipo</w:t>
            </w:r>
            <w:r>
              <w:rPr>
                <w:rFonts w:eastAsia="Times New Roman" w:cs="Calibri"/>
                <w:sz w:val="20"/>
                <w:szCs w:val="20"/>
              </w:rPr>
              <w:t>.</w:t>
            </w:r>
            <w:r w:rsidRPr="000D4EE3">
              <w:rPr>
                <w:rFonts w:eastAsia="Times New Roman" w:cs="Calibri"/>
                <w:sz w:val="20"/>
                <w:szCs w:val="20"/>
              </w:rPr>
              <w:br/>
              <w:t>b) Reconocimiento, registro y control de cuentas por cobrar y estimación de incobrables</w:t>
            </w:r>
            <w:r>
              <w:rPr>
                <w:rFonts w:eastAsia="Times New Roman" w:cs="Calibri"/>
                <w:sz w:val="20"/>
                <w:szCs w:val="20"/>
              </w:rPr>
              <w:t>.</w:t>
            </w:r>
            <w:r w:rsidRPr="000D4EE3">
              <w:rPr>
                <w:rFonts w:eastAsia="Times New Roman" w:cs="Calibri"/>
                <w:sz w:val="20"/>
                <w:szCs w:val="20"/>
              </w:rPr>
              <w:br/>
              <w:t>c) Registro de las inversiones que se realizan en la Red Vial Cantonal</w:t>
            </w:r>
            <w:r>
              <w:rPr>
                <w:rFonts w:eastAsia="Times New Roman" w:cs="Calibri"/>
                <w:sz w:val="20"/>
                <w:szCs w:val="20"/>
              </w:rPr>
              <w:t>.</w:t>
            </w:r>
            <w:r w:rsidRPr="000D4EE3">
              <w:rPr>
                <w:rFonts w:eastAsia="Times New Roman" w:cs="Calibri"/>
                <w:sz w:val="20"/>
                <w:szCs w:val="20"/>
              </w:rPr>
              <w:br/>
              <w:t>d) Reconocimiento, registro y control del inventario de materiales y suministros bajo el sistema de inventario permanente</w:t>
            </w:r>
            <w:r>
              <w:rPr>
                <w:rFonts w:eastAsia="Times New Roman" w:cs="Calibri"/>
                <w:sz w:val="20"/>
                <w:szCs w:val="20"/>
              </w:rPr>
              <w:t>.</w:t>
            </w:r>
          </w:p>
          <w:p w14:paraId="74098057" w14:textId="77777777" w:rsidR="00A85187" w:rsidRPr="000D4EE3" w:rsidRDefault="00A85187" w:rsidP="00D64CF8">
            <w:pPr>
              <w:spacing w:after="0" w:line="240" w:lineRule="auto"/>
              <w:rPr>
                <w:rFonts w:eastAsia="Times New Roman" w:cs="Calibri"/>
                <w:sz w:val="20"/>
                <w:szCs w:val="20"/>
              </w:rPr>
            </w:pPr>
            <w:r w:rsidRPr="000D4EE3">
              <w:rPr>
                <w:rFonts w:eastAsia="Times New Roman" w:cs="Calibri"/>
                <w:sz w:val="20"/>
                <w:szCs w:val="20"/>
              </w:rPr>
              <w:t xml:space="preserve">e) Registro de activos o pasivos contingentes de manera consistente. La Alcaldía emitió en diciembre 2021 una directriz relacionada con la coordinación acerca del traslado de la información para efectos del registro contable correspondiente. </w:t>
            </w:r>
          </w:p>
        </w:tc>
        <w:tc>
          <w:tcPr>
            <w:tcW w:w="1310" w:type="dxa"/>
            <w:tcBorders>
              <w:top w:val="nil"/>
              <w:left w:val="nil"/>
              <w:bottom w:val="single" w:sz="8" w:space="0" w:color="auto"/>
              <w:right w:val="single" w:sz="8" w:space="0" w:color="auto"/>
            </w:tcBorders>
            <w:shd w:val="clear" w:color="000000" w:fill="FFFFFF"/>
            <w:noWrap/>
            <w:hideMark/>
          </w:tcPr>
          <w:p w14:paraId="2B8D86E3" w14:textId="3CA57735" w:rsidR="00A85187" w:rsidRPr="000D4EE3" w:rsidRDefault="00A85187" w:rsidP="00D64CF8">
            <w:pPr>
              <w:spacing w:after="0" w:line="240" w:lineRule="auto"/>
              <w:jc w:val="center"/>
              <w:rPr>
                <w:rFonts w:eastAsia="Times New Roman" w:cs="Calibri"/>
                <w:sz w:val="20"/>
                <w:szCs w:val="20"/>
                <w:lang w:val="en-US"/>
              </w:rPr>
            </w:pPr>
            <w:r>
              <w:rPr>
                <w:rFonts w:eastAsia="Times New Roman" w:cs="Calibri"/>
                <w:sz w:val="20"/>
                <w:szCs w:val="20"/>
                <w:lang w:val="en-US"/>
              </w:rPr>
              <w:t>30/6/25</w:t>
            </w:r>
          </w:p>
        </w:tc>
        <w:tc>
          <w:tcPr>
            <w:tcW w:w="1310" w:type="dxa"/>
            <w:tcBorders>
              <w:top w:val="nil"/>
              <w:left w:val="nil"/>
              <w:bottom w:val="single" w:sz="8" w:space="0" w:color="auto"/>
              <w:right w:val="single" w:sz="8" w:space="0" w:color="auto"/>
            </w:tcBorders>
            <w:shd w:val="clear" w:color="000000" w:fill="FFFFFF"/>
          </w:tcPr>
          <w:p w14:paraId="78B9FB7C" w14:textId="77777777" w:rsidR="00A85187" w:rsidRDefault="00A85187" w:rsidP="00D64CF8">
            <w:pPr>
              <w:spacing w:after="0" w:line="240" w:lineRule="auto"/>
              <w:jc w:val="center"/>
              <w:rPr>
                <w:rFonts w:eastAsia="Times New Roman" w:cs="Calibri"/>
                <w:sz w:val="20"/>
                <w:szCs w:val="20"/>
                <w:lang w:val="en-US"/>
              </w:rPr>
            </w:pPr>
          </w:p>
        </w:tc>
      </w:tr>
    </w:tbl>
    <w:p w14:paraId="010CCF29" w14:textId="512C55B3" w:rsidR="000809F4" w:rsidRDefault="000809F4" w:rsidP="00FA59BD">
      <w:pPr>
        <w:spacing w:line="240" w:lineRule="auto"/>
        <w:rPr>
          <w:lang w:eastAsia="es-CR"/>
        </w:rPr>
      </w:pPr>
      <w:r>
        <w:rPr>
          <w:lang w:eastAsia="es-CR"/>
        </w:rPr>
        <w:t xml:space="preserve">Se hizo extensión a la fecha prevista esto debido a las cargas de trabajo en la institución, por tanto, no se pudo completar las actividades requeridas a la Norma </w:t>
      </w:r>
      <w:r>
        <w:rPr>
          <w:lang w:val="es-MX"/>
        </w:rPr>
        <w:t>NICSP 1.</w:t>
      </w:r>
    </w:p>
    <w:p w14:paraId="54B50296" w14:textId="77777777" w:rsidR="000809F4" w:rsidRDefault="000809F4" w:rsidP="00FA59BD">
      <w:pPr>
        <w:spacing w:line="240" w:lineRule="auto"/>
        <w:rPr>
          <w:lang w:eastAsia="es-CR"/>
        </w:rPr>
      </w:pPr>
    </w:p>
    <w:p w14:paraId="0C976CE3" w14:textId="65E31BF9" w:rsidR="00FA59BD" w:rsidRDefault="00FA59BD" w:rsidP="00FA59BD">
      <w:pPr>
        <w:spacing w:line="240" w:lineRule="auto"/>
        <w:rPr>
          <w:rStyle w:val="nfasis"/>
        </w:rPr>
      </w:pPr>
      <w:r>
        <w:rPr>
          <w:rStyle w:val="nfasis"/>
        </w:rPr>
        <w:t xml:space="preserve">De conformidad </w:t>
      </w:r>
      <w:r w:rsidRPr="00EF5BB2">
        <w:rPr>
          <w:rStyle w:val="nfasis"/>
          <w:b/>
          <w:bCs/>
        </w:rPr>
        <w:t>con la matriz de autoevaluación</w:t>
      </w:r>
      <w:r>
        <w:rPr>
          <w:rStyle w:val="nfasis"/>
        </w:rPr>
        <w:t>, razonablemente se ha atendido lo correspondiente a los criterios de reconocimiento y medición que le aplican a la Municipalidad; con los criterios de revelaciones (componentes de los estados financieros, información de la entidad, cumplimiento de las NICSP, negocio en marcha, acerca del período sobre el que se informa, información comparativa, congruencia de la presentación, con los estados de situación financiera; de rendimiento financiero, información presentada al frente del estado de rendimiento, el estado de cambios en activos netos/ patrimonio neto, patrimonio)</w:t>
      </w:r>
    </w:p>
    <w:p w14:paraId="28390A0C" w14:textId="77777777" w:rsidR="00FA59BD" w:rsidRDefault="00FA59BD" w:rsidP="00FA59BD">
      <w:pPr>
        <w:spacing w:after="0" w:line="240" w:lineRule="auto"/>
        <w:rPr>
          <w:rStyle w:val="nfasis"/>
        </w:rPr>
      </w:pPr>
      <w:r>
        <w:rPr>
          <w:rStyle w:val="nfasis"/>
        </w:rPr>
        <w:t>En cuanto a las notas de los Estados Financieros, se está fortaleciendo su presentación.</w:t>
      </w:r>
    </w:p>
    <w:p w14:paraId="2F433013" w14:textId="77777777" w:rsidR="00FA59BD" w:rsidRDefault="00FA59BD" w:rsidP="00FA59BD">
      <w:pPr>
        <w:spacing w:after="0" w:line="240" w:lineRule="auto"/>
        <w:rPr>
          <w:rStyle w:val="nfasis"/>
        </w:rPr>
      </w:pPr>
    </w:p>
    <w:p w14:paraId="3F9807D8" w14:textId="77777777" w:rsidR="00FA59BD" w:rsidRDefault="00FA59BD" w:rsidP="00FA59BD">
      <w:pPr>
        <w:spacing w:after="0" w:line="240" w:lineRule="auto"/>
        <w:rPr>
          <w:rStyle w:val="nfasis"/>
        </w:rPr>
      </w:pPr>
      <w:r>
        <w:rPr>
          <w:rStyle w:val="nfasis"/>
        </w:rPr>
        <w:t>De acuerdo con el plan de acción para el cierre de brechas corresponde realizar:</w:t>
      </w:r>
    </w:p>
    <w:p w14:paraId="4671B320" w14:textId="77777777" w:rsidR="00FA59BD" w:rsidRDefault="00FA59BD" w:rsidP="00FA59BD">
      <w:pPr>
        <w:spacing w:after="0" w:line="240" w:lineRule="auto"/>
        <w:rPr>
          <w:rStyle w:val="nfasis"/>
        </w:rPr>
      </w:pPr>
    </w:p>
    <w:p w14:paraId="12F19B4F" w14:textId="77777777" w:rsidR="00FA59BD" w:rsidRPr="00C81465" w:rsidRDefault="00FA59BD" w:rsidP="00FA59BD">
      <w:pPr>
        <w:spacing w:after="0" w:line="240" w:lineRule="auto"/>
        <w:rPr>
          <w:rStyle w:val="nfasis"/>
        </w:rPr>
      </w:pPr>
      <w:r>
        <w:rPr>
          <w:rStyle w:val="nfasis"/>
        </w:rPr>
        <w:t>L</w:t>
      </w:r>
      <w:r w:rsidRPr="00C81465">
        <w:rPr>
          <w:rStyle w:val="nfasis"/>
        </w:rPr>
        <w:t>as acciones que se vienen ejecutando para poder revelar la declaración explícita y sin reservas de cumplimiento con las NICSP.</w:t>
      </w:r>
    </w:p>
    <w:p w14:paraId="59DFE084" w14:textId="77777777" w:rsidR="00FA59BD" w:rsidRPr="00C81465" w:rsidRDefault="00FA59BD" w:rsidP="00FA59BD">
      <w:pPr>
        <w:spacing w:after="0" w:line="240" w:lineRule="auto"/>
        <w:rPr>
          <w:rStyle w:val="nfasis"/>
        </w:rPr>
      </w:pPr>
    </w:p>
    <w:p w14:paraId="7CB51858" w14:textId="77777777" w:rsidR="00FA59BD" w:rsidRPr="00C81465" w:rsidRDefault="00FA59BD" w:rsidP="00FA59BD">
      <w:pPr>
        <w:spacing w:after="0" w:line="240" w:lineRule="auto"/>
        <w:rPr>
          <w:rStyle w:val="nfasis"/>
        </w:rPr>
      </w:pPr>
      <w:r>
        <w:rPr>
          <w:rStyle w:val="nfasis"/>
        </w:rPr>
        <w:t>E</w:t>
      </w:r>
      <w:r w:rsidRPr="00C81465">
        <w:rPr>
          <w:rStyle w:val="nfasis"/>
        </w:rPr>
        <w:t>l proceso de comparación del presupuesto y los montos reales (declaración financiera separada).</w:t>
      </w:r>
    </w:p>
    <w:p w14:paraId="4A73D37E" w14:textId="77777777" w:rsidR="00FA59BD" w:rsidRPr="00C81465" w:rsidRDefault="00FA59BD" w:rsidP="00FA59BD">
      <w:pPr>
        <w:spacing w:after="0" w:line="240" w:lineRule="auto"/>
        <w:rPr>
          <w:rStyle w:val="nfasis"/>
        </w:rPr>
      </w:pPr>
    </w:p>
    <w:p w14:paraId="5885556D" w14:textId="77777777" w:rsidR="00FA59BD" w:rsidRPr="00C81465" w:rsidRDefault="00FA59BD" w:rsidP="00FA59BD">
      <w:pPr>
        <w:spacing w:after="0" w:line="240" w:lineRule="auto"/>
        <w:rPr>
          <w:rStyle w:val="nfasis"/>
        </w:rPr>
      </w:pPr>
      <w:r>
        <w:rPr>
          <w:rStyle w:val="nfasis"/>
        </w:rPr>
        <w:t>L</w:t>
      </w:r>
      <w:r w:rsidRPr="00C81465">
        <w:rPr>
          <w:rStyle w:val="nfasis"/>
        </w:rPr>
        <w:t>as acciones que permita formular las notas a los EEFF de modo que revelen la información acerca de las bases y las políticas contables específicas seleccionadas y aplicadas para las transacciones y sucesos significativos.</w:t>
      </w:r>
    </w:p>
    <w:p w14:paraId="38DB07DB" w14:textId="77777777" w:rsidR="00217CA2" w:rsidRDefault="00217CA2" w:rsidP="00217CA2">
      <w:pPr>
        <w:rPr>
          <w:lang w:val="es-MX"/>
        </w:rPr>
      </w:pPr>
    </w:p>
    <w:p w14:paraId="2C6826E8" w14:textId="77777777" w:rsidR="00B02660" w:rsidRDefault="00217CA2" w:rsidP="00B02660">
      <w:pPr>
        <w:pStyle w:val="Ttulo2"/>
        <w:spacing w:after="240"/>
        <w:rPr>
          <w:lang w:val="es-MX"/>
        </w:rPr>
      </w:pPr>
      <w:bookmarkStart w:id="27" w:name="_Toc189804782"/>
      <w:r w:rsidRPr="00217CA2">
        <w:rPr>
          <w:lang w:val="es-MX"/>
        </w:rPr>
        <w:t>NICSP 2 -ESTADO DE FLUJO DE EFECTIVO (DE APLICACIÓN OBLIGATORIA):</w:t>
      </w:r>
      <w:bookmarkEnd w:id="27"/>
    </w:p>
    <w:p w14:paraId="2F917EE1" w14:textId="77777777" w:rsidR="00396CB4" w:rsidRDefault="00405DBC" w:rsidP="00174505">
      <w:pPr>
        <w:rPr>
          <w:rFonts w:asciiTheme="minorHAnsi" w:hAnsiTheme="minorHAnsi"/>
          <w:sz w:val="22"/>
        </w:rPr>
      </w:pPr>
      <w:r w:rsidRPr="00405DBC">
        <w:t xml:space="preserve">De acuerdo con la NICSP 2- Estado de Flujo de </w:t>
      </w:r>
      <w:r w:rsidR="00551C7D" w:rsidRPr="00405DBC">
        <w:t>Efectivo,</w:t>
      </w:r>
      <w:r w:rsidR="00551C7D">
        <w:t xml:space="preserve"> i</w:t>
      </w:r>
      <w:r w:rsidR="00217CA2">
        <w:t xml:space="preserve">ndicar si este rubro afecta SI o NO a la institución, </w:t>
      </w:r>
      <w:r w:rsidRPr="00405DBC">
        <w:t>además del porcentaje de avance</w:t>
      </w:r>
      <w:r>
        <w:t xml:space="preserve"> en la implementación</w:t>
      </w:r>
      <w:r w:rsidRPr="00405DBC">
        <w:t xml:space="preserve"> que presenta</w:t>
      </w:r>
      <w:r>
        <w:t xml:space="preserve">, </w:t>
      </w:r>
      <w:r w:rsidRPr="00405DBC">
        <w:t>la entidad utiliza el Método Directo establecido por la DGCN</w:t>
      </w:r>
      <w:r w:rsidR="00D16DB1">
        <w:t>.</w:t>
      </w:r>
      <w:r w:rsidR="00707625">
        <w:rPr>
          <w:lang w:eastAsia="es-CR"/>
        </w:rPr>
        <w:fldChar w:fldCharType="begin"/>
      </w:r>
      <w:r w:rsidR="00707625">
        <w:rPr>
          <w:lang w:eastAsia="es-CR"/>
        </w:rPr>
        <w:instrText xml:space="preserve"> LINK </w:instrText>
      </w:r>
      <w:r w:rsidR="00756467">
        <w:rPr>
          <w:lang w:eastAsia="es-CR"/>
        </w:rPr>
        <w:instrText xml:space="preserve">Excel.SheetMacroEnabled.12 "C:\\Users\\gcordero\\Downloads\\Notas diciembre 2024\\Formato_Notas_EEFF_Vinculadas_2024\\Formato_Notas_EEFF_Vinculadas_2024\\15603_T04_2024_Anexo_Estado_Notas_Contables_Vinculadas.xlsm" NICSP_2!F9C3:F10C4 </w:instrText>
      </w:r>
      <w:r w:rsidR="00707625">
        <w:rPr>
          <w:lang w:eastAsia="es-CR"/>
        </w:rPr>
        <w:instrText xml:space="preserve">\a \f 4 \h </w:instrText>
      </w:r>
      <w:r w:rsidR="00707625">
        <w:rPr>
          <w:lang w:eastAsia="es-CR"/>
        </w:rPr>
        <w:fldChar w:fldCharType="separate"/>
      </w:r>
    </w:p>
    <w:tbl>
      <w:tblPr>
        <w:tblW w:w="4120" w:type="dxa"/>
        <w:tblCellMar>
          <w:left w:w="70" w:type="dxa"/>
          <w:right w:w="70" w:type="dxa"/>
        </w:tblCellMar>
        <w:tblLook w:val="04A0" w:firstRow="1" w:lastRow="0" w:firstColumn="1" w:lastColumn="0" w:noHBand="0" w:noVBand="1"/>
      </w:tblPr>
      <w:tblGrid>
        <w:gridCol w:w="2340"/>
        <w:gridCol w:w="1780"/>
      </w:tblGrid>
      <w:tr w:rsidR="00396CB4" w:rsidRPr="00396CB4" w14:paraId="40DB6606" w14:textId="77777777" w:rsidTr="00396CB4">
        <w:trPr>
          <w:divId w:val="2141224181"/>
          <w:trHeight w:val="345"/>
        </w:trPr>
        <w:tc>
          <w:tcPr>
            <w:tcW w:w="234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6CC8A000" w14:textId="14482A75" w:rsidR="00396CB4" w:rsidRPr="00396CB4" w:rsidRDefault="00396CB4" w:rsidP="00396CB4">
            <w:pPr>
              <w:rPr>
                <w:rFonts w:eastAsia="Times New Roman" w:cs="Calibri"/>
                <w:color w:val="FFFFFF"/>
                <w:szCs w:val="24"/>
                <w:lang w:eastAsia="es-CR"/>
              </w:rPr>
            </w:pPr>
            <w:r w:rsidRPr="00396CB4">
              <w:rPr>
                <w:rFonts w:eastAsia="Times New Roman" w:cs="Calibri"/>
                <w:color w:val="FFFFFF"/>
                <w:szCs w:val="24"/>
                <w:lang w:eastAsia="es-CR"/>
              </w:rPr>
              <w:t>Aplica</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AF0839" w14:textId="77777777" w:rsidR="00396CB4" w:rsidRPr="00396CB4" w:rsidRDefault="00396CB4" w:rsidP="00396CB4">
            <w:pPr>
              <w:spacing w:after="0" w:line="240" w:lineRule="auto"/>
              <w:jc w:val="center"/>
              <w:rPr>
                <w:rFonts w:eastAsia="Times New Roman" w:cs="Calibri"/>
                <w:color w:val="000000"/>
                <w:sz w:val="22"/>
                <w:lang w:eastAsia="es-CR"/>
              </w:rPr>
            </w:pPr>
            <w:r w:rsidRPr="00396CB4">
              <w:rPr>
                <w:rFonts w:eastAsia="Times New Roman" w:cs="Calibri"/>
                <w:color w:val="000000"/>
                <w:sz w:val="22"/>
                <w:lang w:eastAsia="es-CR"/>
              </w:rPr>
              <w:t>Si</w:t>
            </w:r>
          </w:p>
        </w:tc>
      </w:tr>
      <w:tr w:rsidR="00396CB4" w:rsidRPr="00396CB4" w14:paraId="77019F46" w14:textId="77777777" w:rsidTr="00396CB4">
        <w:trPr>
          <w:divId w:val="2141224181"/>
          <w:trHeight w:val="345"/>
        </w:trPr>
        <w:tc>
          <w:tcPr>
            <w:tcW w:w="2340" w:type="dxa"/>
            <w:tcBorders>
              <w:top w:val="nil"/>
              <w:left w:val="single" w:sz="8" w:space="0" w:color="auto"/>
              <w:bottom w:val="single" w:sz="8" w:space="0" w:color="auto"/>
              <w:right w:val="single" w:sz="8" w:space="0" w:color="auto"/>
            </w:tcBorders>
            <w:shd w:val="clear" w:color="000000" w:fill="17365D"/>
            <w:vAlign w:val="center"/>
            <w:hideMark/>
          </w:tcPr>
          <w:p w14:paraId="3BE5BC90" w14:textId="77777777" w:rsidR="00396CB4" w:rsidRPr="00396CB4" w:rsidRDefault="00396CB4" w:rsidP="00396CB4">
            <w:pPr>
              <w:spacing w:after="0" w:line="240" w:lineRule="auto"/>
              <w:jc w:val="left"/>
              <w:rPr>
                <w:rFonts w:eastAsia="Times New Roman" w:cs="Calibri"/>
                <w:color w:val="FFFFFF"/>
                <w:szCs w:val="24"/>
                <w:lang w:eastAsia="es-CR"/>
              </w:rPr>
            </w:pPr>
            <w:proofErr w:type="spellStart"/>
            <w:r w:rsidRPr="00396CB4">
              <w:rPr>
                <w:rFonts w:eastAsia="Times New Roman" w:cs="Calibri"/>
                <w:color w:val="FFFFFF"/>
                <w:szCs w:val="24"/>
                <w:lang w:eastAsia="es-CR"/>
              </w:rPr>
              <w:t>Porcentaje_Avance</w:t>
            </w:r>
            <w:proofErr w:type="spellEnd"/>
          </w:p>
        </w:tc>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777FA59E" w14:textId="77777777" w:rsidR="00396CB4" w:rsidRPr="00396CB4" w:rsidRDefault="00396CB4" w:rsidP="00396CB4">
            <w:pPr>
              <w:spacing w:after="0" w:line="240" w:lineRule="auto"/>
              <w:jc w:val="center"/>
              <w:rPr>
                <w:rFonts w:eastAsia="Times New Roman" w:cs="Calibri"/>
                <w:color w:val="000000"/>
                <w:sz w:val="22"/>
                <w:lang w:eastAsia="es-CR"/>
              </w:rPr>
            </w:pPr>
            <w:r w:rsidRPr="00396CB4">
              <w:rPr>
                <w:rFonts w:eastAsia="Times New Roman" w:cs="Calibri"/>
                <w:color w:val="000000"/>
                <w:sz w:val="22"/>
                <w:lang w:eastAsia="es-CR"/>
              </w:rPr>
              <w:t>100,00%</w:t>
            </w:r>
          </w:p>
        </w:tc>
      </w:tr>
    </w:tbl>
    <w:p w14:paraId="21C35074" w14:textId="12F2EAEB" w:rsidR="00174505" w:rsidRPr="00707625" w:rsidRDefault="00707625" w:rsidP="00174505">
      <w:pPr>
        <w:rPr>
          <w:b/>
          <w:sz w:val="16"/>
          <w:szCs w:val="16"/>
          <w:lang w:eastAsia="es-CR"/>
        </w:rPr>
      </w:pPr>
      <w:r>
        <w:rPr>
          <w:b/>
          <w:sz w:val="16"/>
          <w:szCs w:val="16"/>
          <w:lang w:eastAsia="es-CR"/>
        </w:rPr>
        <w:fldChar w:fldCharType="end"/>
      </w:r>
      <w:r w:rsidR="00174505">
        <w:rPr>
          <w:b/>
          <w:sz w:val="16"/>
          <w:szCs w:val="16"/>
          <w:lang w:eastAsia="es-CR"/>
        </w:rPr>
        <w:t xml:space="preserve"> </w:t>
      </w:r>
      <w:r>
        <w:rPr>
          <w:b/>
          <w:sz w:val="16"/>
          <w:szCs w:val="16"/>
          <w:lang w:eastAsia="es-CR"/>
        </w:rPr>
        <w:t xml:space="preserve">                                      </w:t>
      </w:r>
      <w:r w:rsidR="00174505">
        <w:rPr>
          <w:b/>
          <w:sz w:val="16"/>
          <w:szCs w:val="16"/>
          <w:lang w:eastAsia="es-CR"/>
        </w:rPr>
        <w:t xml:space="preserve">    </w:t>
      </w:r>
      <w:r w:rsidR="00174505" w:rsidRPr="00C35565">
        <w:rPr>
          <w:b/>
          <w:sz w:val="16"/>
          <w:szCs w:val="16"/>
          <w:lang w:eastAsia="es-CR"/>
        </w:rPr>
        <w:t>-Aplicación Obligatoria-</w:t>
      </w:r>
    </w:p>
    <w:p w14:paraId="6506BB6D" w14:textId="77777777" w:rsidR="00A85187" w:rsidRDefault="00A85187" w:rsidP="00FA59BD">
      <w:pPr>
        <w:spacing w:line="240" w:lineRule="auto"/>
        <w:rPr>
          <w:b/>
          <w:color w:val="FFFFFF" w:themeColor="background1"/>
          <w:highlight w:val="darkBlue"/>
          <w:u w:val="single"/>
        </w:rPr>
      </w:pPr>
    </w:p>
    <w:p w14:paraId="4D59D878" w14:textId="0C2AE7AE" w:rsidR="00FA59BD" w:rsidRDefault="003516A2" w:rsidP="00FA59BD">
      <w:pPr>
        <w:spacing w:line="240" w:lineRule="auto"/>
        <w:rPr>
          <w:b/>
          <w:color w:val="FFFFFF" w:themeColor="background1"/>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p>
    <w:p w14:paraId="55A2F755" w14:textId="5663CA6F" w:rsidR="00FA59BD" w:rsidRDefault="00FA59BD" w:rsidP="00FA59BD">
      <w:pPr>
        <w:spacing w:line="240" w:lineRule="auto"/>
        <w:rPr>
          <w:lang w:val="es-MX"/>
        </w:rPr>
      </w:pPr>
      <w:r>
        <w:rPr>
          <w:lang w:val="es-MX"/>
        </w:rPr>
        <w:t xml:space="preserve">El efectivo y equivalentes de efectivo procedentes de las actividades de operación, de inversión y de financiación se reconocen cuando se realizan los cobros o pagos en efectivo procedentes: </w:t>
      </w:r>
    </w:p>
    <w:p w14:paraId="67F75443" w14:textId="77777777" w:rsidR="00FA59BD" w:rsidRDefault="00FA59BD" w:rsidP="00FA59BD">
      <w:pPr>
        <w:spacing w:line="240" w:lineRule="auto"/>
        <w:rPr>
          <w:lang w:val="es-MX"/>
        </w:rPr>
      </w:pPr>
      <w:r w:rsidRPr="00C9412D">
        <w:rPr>
          <w:b/>
          <w:bCs/>
          <w:lang w:val="es-MX"/>
        </w:rPr>
        <w:t>Actividades de Operación:</w:t>
      </w:r>
      <w:r>
        <w:rPr>
          <w:lang w:val="es-MX"/>
        </w:rPr>
        <w:t xml:space="preserve"> de impuestos, de tasas por prestaciones de servicios, de contribuciones, de transferencias y subvenciones y otras asignaciones presupuestarias hechas por el gobierno central u otra entidad del sector público, de regalías donaciones, de multas e intereses; pago a proveedores de bienes, servicios y seguros, los pagos a y por cuenta de empleados, y cobros o pagos de arrendamientos o resoluciones de litigios.</w:t>
      </w:r>
    </w:p>
    <w:p w14:paraId="16688D1F" w14:textId="77777777" w:rsidR="00FA59BD" w:rsidRDefault="00FA59BD" w:rsidP="00FA59BD">
      <w:pPr>
        <w:spacing w:line="240" w:lineRule="auto"/>
        <w:rPr>
          <w:lang w:val="es-MX"/>
        </w:rPr>
      </w:pPr>
      <w:r w:rsidRPr="002B378A">
        <w:rPr>
          <w:b/>
          <w:bCs/>
          <w:lang w:val="es-MX"/>
        </w:rPr>
        <w:t>Actividades de Inversión:</w:t>
      </w:r>
      <w:r>
        <w:rPr>
          <w:lang w:val="es-MX"/>
        </w:rPr>
        <w:t xml:space="preserve"> cobros o pagos por concepto de compra o venta de propiedades, plantas y equipo, intangibles, otros activos a largo plazo, anticipos a proveedores por compra de PP y E </w:t>
      </w:r>
      <w:proofErr w:type="spellStart"/>
      <w:r>
        <w:rPr>
          <w:lang w:val="es-MX"/>
        </w:rPr>
        <w:t>e</w:t>
      </w:r>
      <w:proofErr w:type="spellEnd"/>
      <w:r>
        <w:rPr>
          <w:lang w:val="es-MX"/>
        </w:rPr>
        <w:t xml:space="preserve"> intangibles.</w:t>
      </w:r>
    </w:p>
    <w:p w14:paraId="43FA9EA0" w14:textId="77777777" w:rsidR="00FA59BD" w:rsidRPr="002B378A" w:rsidRDefault="00FA59BD" w:rsidP="00FA59BD">
      <w:pPr>
        <w:spacing w:line="240" w:lineRule="auto"/>
        <w:rPr>
          <w:b/>
          <w:bCs/>
          <w:lang w:val="es-MX"/>
        </w:rPr>
      </w:pPr>
      <w:r w:rsidRPr="002B378A">
        <w:rPr>
          <w:b/>
          <w:bCs/>
          <w:lang w:val="es-MX"/>
        </w:rPr>
        <w:t xml:space="preserve">Actividades de Financiación: </w:t>
      </w:r>
      <w:r>
        <w:rPr>
          <w:lang w:val="es-MX"/>
        </w:rPr>
        <w:t>Cobros o pagos de préstamos, reembolsos de fondos tomados en préstamo y pagos de arrendamientos financieros.</w:t>
      </w:r>
    </w:p>
    <w:p w14:paraId="00A43B18" w14:textId="77777777" w:rsidR="00FA59BD" w:rsidRDefault="00FA59BD" w:rsidP="00FA59BD">
      <w:pPr>
        <w:spacing w:line="240" w:lineRule="auto"/>
        <w:rPr>
          <w:lang w:val="es-MX"/>
        </w:rPr>
      </w:pPr>
      <w:r>
        <w:rPr>
          <w:lang w:val="es-MX"/>
        </w:rPr>
        <w:t>Los cobros no realizados no son flujos de efectivo; sin embargo, son considerados con objeto de presentación en el estado de flujos de efectivo para permitir la conciliación entre las existencias de efectivo y equivalentes de efectivo al principio y final del periodo.</w:t>
      </w:r>
    </w:p>
    <w:p w14:paraId="377BA877" w14:textId="1B56C5DA" w:rsidR="00FA59BD" w:rsidRDefault="00FA59BD" w:rsidP="00FA59BD">
      <w:pPr>
        <w:spacing w:line="240" w:lineRule="auto"/>
        <w:rPr>
          <w:lang w:val="es-MX"/>
        </w:rPr>
      </w:pPr>
      <w:r w:rsidRPr="005E39A7">
        <w:rPr>
          <w:lang w:val="es-MX"/>
        </w:rPr>
        <w:t xml:space="preserve">El importe de </w:t>
      </w:r>
      <w:r>
        <w:rPr>
          <w:lang w:val="es-MX"/>
        </w:rPr>
        <w:t>intereses recibidos y pagados durante el ejercicio se presentará, en el estado de flujo de efectivo, tanto si han sido reconocidos como gastos o si han sido capitalizados, de acuerdo con el tratamiento alternativo de la NICSP 5 “Costos por Préstamos”</w:t>
      </w:r>
      <w:r w:rsidR="00A85187">
        <w:rPr>
          <w:lang w:val="es-MX"/>
        </w:rPr>
        <w:t>.</w:t>
      </w:r>
    </w:p>
    <w:p w14:paraId="0EF4889F" w14:textId="77777777" w:rsidR="00A85187" w:rsidRDefault="00A85187" w:rsidP="00FA59BD">
      <w:pPr>
        <w:spacing w:line="240" w:lineRule="auto"/>
        <w:rPr>
          <w:lang w:val="es-MX"/>
        </w:rPr>
      </w:pPr>
    </w:p>
    <w:p w14:paraId="209556CD" w14:textId="77777777" w:rsidR="00A85187" w:rsidRDefault="00A85187" w:rsidP="00FA59BD">
      <w:pPr>
        <w:spacing w:line="240" w:lineRule="auto"/>
        <w:rPr>
          <w:lang w:val="es-MX"/>
        </w:rPr>
      </w:pPr>
    </w:p>
    <w:p w14:paraId="37F68D5B" w14:textId="77777777" w:rsidR="00A85187" w:rsidRDefault="00A85187" w:rsidP="00FA59BD">
      <w:pPr>
        <w:spacing w:line="240" w:lineRule="auto"/>
        <w:rPr>
          <w:lang w:val="es-MX"/>
        </w:rPr>
      </w:pPr>
    </w:p>
    <w:p w14:paraId="4F6DF029" w14:textId="7021A424" w:rsidR="003516A2" w:rsidRPr="003516A2" w:rsidRDefault="003516A2" w:rsidP="003516A2">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5222F828" w14:textId="77777777" w:rsidR="00FA59BD" w:rsidRDefault="00FA59BD" w:rsidP="00FA59BD">
      <w:pPr>
        <w:spacing w:line="240" w:lineRule="auto"/>
        <w:rPr>
          <w:b/>
          <w:u w:val="single"/>
        </w:rPr>
      </w:pPr>
      <w:r>
        <w:rPr>
          <w:bCs/>
        </w:rPr>
        <w:t>El efectivo y equivalente de efectivo</w:t>
      </w:r>
      <w:r w:rsidRPr="00852E6C">
        <w:rPr>
          <w:bCs/>
        </w:rPr>
        <w:t xml:space="preserve"> pagado o cobrado</w:t>
      </w:r>
      <w:r>
        <w:rPr>
          <w:bCs/>
        </w:rPr>
        <w:t xml:space="preserve"> en el periodo</w:t>
      </w:r>
      <w:r w:rsidRPr="00852E6C">
        <w:rPr>
          <w:bCs/>
        </w:rPr>
        <w:t xml:space="preserve"> por la compra</w:t>
      </w:r>
      <w:r>
        <w:rPr>
          <w:bCs/>
        </w:rPr>
        <w:t>, pago,</w:t>
      </w:r>
      <w:r w:rsidRPr="00852E6C">
        <w:rPr>
          <w:bCs/>
        </w:rPr>
        <w:t xml:space="preserve"> disposición o enajenación, </w:t>
      </w:r>
      <w:r>
        <w:rPr>
          <w:bCs/>
        </w:rPr>
        <w:t>se registra contablemente utilizando el método del devengo con base en lo establecido en los requerimientos de la NICSP que regula lo atinente a la operación que se trate, y el estado de flujo de efectivo se elabora con base en el método de efectivo.</w:t>
      </w:r>
    </w:p>
    <w:p w14:paraId="2297080D" w14:textId="77777777" w:rsidR="00FA59BD" w:rsidRDefault="00FA59BD" w:rsidP="00FA59BD">
      <w:pPr>
        <w:spacing w:line="240" w:lineRule="auto"/>
        <w:rPr>
          <w:lang w:val="es-MX"/>
        </w:rPr>
      </w:pPr>
      <w:r>
        <w:rPr>
          <w:lang w:val="es-MX"/>
        </w:rPr>
        <w:t>Los flujos de efectivo procedentes de transacciones en moneda extranjera se convertirán a la moneda funcional de la entidad aplicando el importe en moneda extranjera la tasa de cambio entre ambas monedas en la fecha de en qué se produjo cada flujo de efectivo de manera congruente con la NICSP 4 “Efectos de las variaciones en las Tasas de Cambio de la Moneda Extranjera”. Las ganancias y pérdidas no realizadas que surgen de cambio en moneda extranjera no son flujos de efectivo; sin embargo, son objeto de presentación en el estado fe flujos de efectivo para permitir la conciliación entre las existencias de efectivo y equivalentes de efectivo al principio y final del periodo.</w:t>
      </w:r>
    </w:p>
    <w:p w14:paraId="2A09D029" w14:textId="393D8713" w:rsidR="005A6B5F" w:rsidRDefault="005A6B5F" w:rsidP="00174505">
      <w:pPr>
        <w:rPr>
          <w:b/>
          <w:u w:val="single"/>
        </w:rPr>
      </w:pPr>
    </w:p>
    <w:p w14:paraId="2872B847" w14:textId="7F23AF79" w:rsidR="00174505" w:rsidRDefault="00174505" w:rsidP="00174505">
      <w:r w:rsidRPr="003516A2">
        <w:rPr>
          <w:b/>
          <w:color w:val="FFFFFF" w:themeColor="background1"/>
          <w:highlight w:val="darkBlue"/>
          <w:u w:val="single"/>
        </w:rPr>
        <w:t>Revelación Suficiente:</w:t>
      </w:r>
      <w:r w:rsidRPr="0074522C">
        <w:rPr>
          <w:b/>
          <w:u w:val="single"/>
        </w:rPr>
        <w:t xml:space="preserve"> El ente debe </w:t>
      </w:r>
      <w:r w:rsidR="00482942">
        <w:rPr>
          <w:b/>
          <w:u w:val="single"/>
        </w:rPr>
        <w:t xml:space="preserve">revelar y </w:t>
      </w:r>
      <w:r w:rsidRPr="0074522C">
        <w:rPr>
          <w:b/>
          <w:u w:val="single"/>
        </w:rPr>
        <w:t xml:space="preserve">cumplir con lo estipulado en revelación </w:t>
      </w:r>
      <w:r w:rsidR="00482942">
        <w:rPr>
          <w:b/>
          <w:u w:val="single"/>
        </w:rPr>
        <w:t>conforme</w:t>
      </w:r>
      <w:r w:rsidRPr="0074522C">
        <w:rPr>
          <w:b/>
          <w:u w:val="single"/>
        </w:rPr>
        <w:t xml:space="preserve"> a la NICSP, también debe considerar la política general y los párrafos incluidos en la matriz de autoevaluación referente a esta NICSP guías de aplicación</w:t>
      </w:r>
      <w:r>
        <w:t xml:space="preserve">.  </w:t>
      </w:r>
    </w:p>
    <w:p w14:paraId="0AD5D663" w14:textId="77777777" w:rsidR="00A85187" w:rsidRDefault="00A85187" w:rsidP="00174505"/>
    <w:p w14:paraId="0F53CCE3" w14:textId="77777777" w:rsidR="00FA59BD" w:rsidRPr="00F517AA" w:rsidRDefault="00FA59BD" w:rsidP="00FA59BD">
      <w:pPr>
        <w:spacing w:after="0" w:line="240" w:lineRule="auto"/>
        <w:rPr>
          <w:b/>
          <w:bCs/>
          <w:lang w:eastAsia="es-CR"/>
        </w:rPr>
      </w:pPr>
      <w:bookmarkStart w:id="28" w:name="_Toc33601182"/>
      <w:bookmarkStart w:id="29" w:name="_Toc82768865"/>
      <w:r w:rsidRPr="00F517AA">
        <w:rPr>
          <w:b/>
          <w:bCs/>
          <w:lang w:eastAsia="es-CR"/>
        </w:rPr>
        <w:t>Políticas Particulares</w:t>
      </w:r>
    </w:p>
    <w:p w14:paraId="1CE7E208" w14:textId="77777777" w:rsidR="00FA59BD" w:rsidRDefault="00FA59BD" w:rsidP="00FA59BD">
      <w:pPr>
        <w:spacing w:after="0" w:line="240" w:lineRule="auto"/>
        <w:rPr>
          <w:lang w:eastAsia="es-CR"/>
        </w:rPr>
      </w:pPr>
    </w:p>
    <w:p w14:paraId="06D7096A" w14:textId="77777777" w:rsidR="00FA59BD" w:rsidRPr="007630E3" w:rsidRDefault="00FA59BD" w:rsidP="00FA59BD">
      <w:pPr>
        <w:spacing w:after="0" w:line="240" w:lineRule="auto"/>
        <w:rPr>
          <w:szCs w:val="24"/>
        </w:rPr>
      </w:pPr>
      <w:r w:rsidRPr="007630E3">
        <w:rPr>
          <w:szCs w:val="24"/>
        </w:rPr>
        <w:t xml:space="preserve">En la MBA el EFE se elaborará utilizando el </w:t>
      </w:r>
      <w:r w:rsidRPr="007630E3">
        <w:rPr>
          <w:b/>
          <w:bCs/>
          <w:szCs w:val="24"/>
        </w:rPr>
        <w:t>“Método Directo”</w:t>
      </w:r>
      <w:r w:rsidRPr="007630E3">
        <w:rPr>
          <w:szCs w:val="24"/>
        </w:rPr>
        <w:t>, tomando los montos brutos a incorporar en dicho Estado de la base de datos del subsistema de contabilidad.</w:t>
      </w:r>
    </w:p>
    <w:p w14:paraId="0290E1B2" w14:textId="77777777" w:rsidR="00FA59BD" w:rsidRPr="007630E3" w:rsidRDefault="00FA59BD" w:rsidP="00FA59BD">
      <w:pPr>
        <w:spacing w:after="0" w:line="240" w:lineRule="auto"/>
        <w:rPr>
          <w:szCs w:val="24"/>
        </w:rPr>
      </w:pPr>
    </w:p>
    <w:p w14:paraId="0B2F0BA6" w14:textId="77777777" w:rsidR="00FA59BD" w:rsidRPr="007630E3" w:rsidRDefault="00FA59BD" w:rsidP="00FA59BD">
      <w:pPr>
        <w:spacing w:after="0" w:line="240" w:lineRule="auto"/>
        <w:rPr>
          <w:szCs w:val="24"/>
        </w:rPr>
      </w:pPr>
      <w:r w:rsidRPr="007630E3">
        <w:rPr>
          <w:szCs w:val="24"/>
        </w:rPr>
        <w:t xml:space="preserve">En el método directo, la información acerca de las principales categorías de cobros o pagos en términos brutos puede ser obtenida por uno de los siguientes procedimientos: </w:t>
      </w:r>
    </w:p>
    <w:p w14:paraId="26DE8DF4" w14:textId="77777777" w:rsidR="00FA59BD" w:rsidRPr="007630E3" w:rsidRDefault="00FA59BD" w:rsidP="00FA59BD">
      <w:pPr>
        <w:spacing w:after="0" w:line="240" w:lineRule="auto"/>
        <w:ind w:left="284" w:hanging="284"/>
        <w:rPr>
          <w:szCs w:val="24"/>
        </w:rPr>
      </w:pPr>
      <w:r w:rsidRPr="007630E3">
        <w:rPr>
          <w:szCs w:val="24"/>
        </w:rPr>
        <w:t xml:space="preserve">a) utilizando los registros contables de la entidad, o </w:t>
      </w:r>
    </w:p>
    <w:p w14:paraId="42F883AA" w14:textId="77777777" w:rsidR="00FA59BD" w:rsidRPr="007630E3" w:rsidRDefault="00FA59BD" w:rsidP="00FA59BD">
      <w:pPr>
        <w:spacing w:after="0" w:line="240" w:lineRule="auto"/>
        <w:ind w:left="284" w:hanging="284"/>
        <w:rPr>
          <w:szCs w:val="24"/>
        </w:rPr>
      </w:pPr>
      <w:r w:rsidRPr="007630E3">
        <w:rPr>
          <w:szCs w:val="24"/>
        </w:rPr>
        <w:t xml:space="preserve">b) ajustando los ingresos y gastos de operación, así como otras partidas del ERF, en relación con: </w:t>
      </w:r>
    </w:p>
    <w:p w14:paraId="52DFE247" w14:textId="77777777" w:rsidR="00FA59BD" w:rsidRPr="007630E3" w:rsidRDefault="00FA59BD" w:rsidP="00FA59BD">
      <w:pPr>
        <w:spacing w:after="0" w:line="240" w:lineRule="auto"/>
        <w:ind w:left="284"/>
        <w:rPr>
          <w:szCs w:val="24"/>
        </w:rPr>
      </w:pPr>
      <w:r w:rsidRPr="007630E3">
        <w:rPr>
          <w:szCs w:val="24"/>
        </w:rPr>
        <w:t xml:space="preserve">i. los cambios habidos durante el período en los inventarios y en las cuentas por cobrar y por pagar derivadas de las actividades de operación; </w:t>
      </w:r>
    </w:p>
    <w:p w14:paraId="71F8AF9B" w14:textId="77777777" w:rsidR="00FA59BD" w:rsidRPr="007630E3" w:rsidRDefault="00FA59BD" w:rsidP="00FA59BD">
      <w:pPr>
        <w:spacing w:after="0" w:line="240" w:lineRule="auto"/>
        <w:ind w:left="284"/>
        <w:rPr>
          <w:szCs w:val="24"/>
        </w:rPr>
      </w:pPr>
      <w:r w:rsidRPr="007630E3">
        <w:rPr>
          <w:szCs w:val="24"/>
        </w:rPr>
        <w:t xml:space="preserve">ii. otras partidas distintas del efectivo; y </w:t>
      </w:r>
    </w:p>
    <w:p w14:paraId="6C75CA23" w14:textId="77777777" w:rsidR="00FA59BD" w:rsidRPr="007630E3" w:rsidRDefault="00FA59BD" w:rsidP="00FA59BD">
      <w:pPr>
        <w:spacing w:after="0" w:line="240" w:lineRule="auto"/>
        <w:ind w:left="284"/>
        <w:rPr>
          <w:szCs w:val="24"/>
        </w:rPr>
      </w:pPr>
      <w:r w:rsidRPr="007630E3">
        <w:rPr>
          <w:szCs w:val="24"/>
        </w:rPr>
        <w:t xml:space="preserve">iii. otras partidas cuyos efectos monetarios se consideran flujos de efectivo, de inversión o financiación. </w:t>
      </w:r>
    </w:p>
    <w:p w14:paraId="7DD8923A" w14:textId="77777777" w:rsidR="00FA59BD" w:rsidRPr="007630E3" w:rsidRDefault="00FA59BD" w:rsidP="00FA59BD">
      <w:pPr>
        <w:spacing w:after="0" w:line="240" w:lineRule="auto"/>
        <w:rPr>
          <w:szCs w:val="24"/>
        </w:rPr>
      </w:pPr>
    </w:p>
    <w:p w14:paraId="786EC276" w14:textId="77777777" w:rsidR="00FA59BD" w:rsidRPr="007630E3" w:rsidRDefault="00FA59BD" w:rsidP="00FA59BD">
      <w:pPr>
        <w:spacing w:after="0" w:line="240" w:lineRule="auto"/>
        <w:rPr>
          <w:b/>
          <w:bCs/>
          <w:szCs w:val="24"/>
        </w:rPr>
      </w:pPr>
      <w:r w:rsidRPr="007630E3">
        <w:rPr>
          <w:szCs w:val="24"/>
        </w:rPr>
        <w:t xml:space="preserve">El EFE debe informar acerca de los flujos de efectivo habidos durante el período, clasificándolos por </w:t>
      </w:r>
      <w:r w:rsidRPr="007630E3">
        <w:rPr>
          <w:b/>
          <w:bCs/>
          <w:szCs w:val="24"/>
        </w:rPr>
        <w:t>actividades de operación, de inversión y de financiación.</w:t>
      </w:r>
    </w:p>
    <w:p w14:paraId="4C2731C3" w14:textId="77777777" w:rsidR="00FA59BD" w:rsidRPr="007630E3" w:rsidRDefault="00FA59BD" w:rsidP="00FA59BD">
      <w:pPr>
        <w:spacing w:after="0" w:line="240" w:lineRule="auto"/>
        <w:rPr>
          <w:b/>
          <w:bCs/>
          <w:szCs w:val="24"/>
        </w:rPr>
      </w:pPr>
    </w:p>
    <w:p w14:paraId="16ACDA49" w14:textId="1C2FC094" w:rsidR="00FA59BD" w:rsidRPr="007630E3" w:rsidRDefault="00FA59BD" w:rsidP="00FA59BD">
      <w:pPr>
        <w:spacing w:after="0" w:line="240" w:lineRule="auto"/>
        <w:rPr>
          <w:b/>
          <w:bCs/>
          <w:szCs w:val="24"/>
        </w:rPr>
      </w:pPr>
      <w:r w:rsidRPr="007630E3">
        <w:rPr>
          <w:szCs w:val="24"/>
        </w:rPr>
        <w:t xml:space="preserve">Los flujos de efectivo procedentes de actividades de </w:t>
      </w:r>
      <w:r w:rsidRPr="007630E3">
        <w:rPr>
          <w:b/>
          <w:bCs/>
          <w:szCs w:val="24"/>
        </w:rPr>
        <w:t>operación</w:t>
      </w:r>
      <w:r w:rsidRPr="007630E3">
        <w:rPr>
          <w:szCs w:val="24"/>
        </w:rPr>
        <w:t xml:space="preserve"> es un indicador clave del grado en que las operaciones de la entidad se hallan financiadas por: impuestos (directa e indirectamente); o los receptores de los bienes y servicios suministrados por la entidad. De acuerdo con lo anterior, los </w:t>
      </w:r>
      <w:r w:rsidRPr="007630E3">
        <w:rPr>
          <w:szCs w:val="24"/>
        </w:rPr>
        <w:lastRenderedPageBreak/>
        <w:t>flujos de efectivo procedentes de actividades de operación se derivan fundamentalmente, de las transacciones que constituyen la principal fuente de generación de efectivo de la entidad, pudiéndose</w:t>
      </w:r>
      <w:r w:rsidR="00A85187">
        <w:rPr>
          <w:szCs w:val="24"/>
        </w:rPr>
        <w:t>.</w:t>
      </w:r>
    </w:p>
    <w:p w14:paraId="003EF133" w14:textId="77777777" w:rsidR="00FA59BD" w:rsidRPr="007630E3" w:rsidRDefault="00FA59BD" w:rsidP="00FA59BD">
      <w:pPr>
        <w:spacing w:after="0" w:line="240" w:lineRule="auto"/>
        <w:rPr>
          <w:b/>
          <w:bCs/>
          <w:szCs w:val="24"/>
        </w:rPr>
      </w:pPr>
    </w:p>
    <w:p w14:paraId="09B7DA5E" w14:textId="77777777" w:rsidR="00FA59BD" w:rsidRPr="007630E3" w:rsidRDefault="00FA59BD" w:rsidP="00FA59BD">
      <w:pPr>
        <w:spacing w:after="0" w:line="240" w:lineRule="auto"/>
        <w:rPr>
          <w:szCs w:val="24"/>
        </w:rPr>
      </w:pPr>
      <w:r w:rsidRPr="007630E3">
        <w:rPr>
          <w:szCs w:val="24"/>
        </w:rPr>
        <w:t xml:space="preserve">Los flujos de efectivo procedentes de las actividades de </w:t>
      </w:r>
      <w:r w:rsidRPr="007630E3">
        <w:rPr>
          <w:b/>
          <w:bCs/>
          <w:szCs w:val="24"/>
        </w:rPr>
        <w:t>inversión</w:t>
      </w:r>
      <w:r w:rsidRPr="007630E3">
        <w:rPr>
          <w:szCs w:val="24"/>
        </w:rPr>
        <w:t xml:space="preserve"> representan los desembolsos realizados para constituir los recursos con que se pretende contribuir a la prestación de servicios de la entidad en el futuro. Constituyen flujos de efectivo provenientes de las actividades de inversión.</w:t>
      </w:r>
    </w:p>
    <w:p w14:paraId="6D40FB66" w14:textId="77777777" w:rsidR="00FA59BD" w:rsidRPr="007630E3" w:rsidRDefault="00FA59BD" w:rsidP="00FA59BD">
      <w:pPr>
        <w:spacing w:after="0" w:line="240" w:lineRule="auto"/>
        <w:rPr>
          <w:szCs w:val="24"/>
        </w:rPr>
      </w:pPr>
    </w:p>
    <w:p w14:paraId="70F9698F" w14:textId="77777777" w:rsidR="00FA59BD" w:rsidRPr="007630E3" w:rsidRDefault="00FA59BD" w:rsidP="00FA59BD">
      <w:pPr>
        <w:spacing w:after="0" w:line="240" w:lineRule="auto"/>
        <w:rPr>
          <w:szCs w:val="24"/>
        </w:rPr>
      </w:pPr>
      <w:r w:rsidRPr="007630E3">
        <w:rPr>
          <w:szCs w:val="24"/>
        </w:rPr>
        <w:t xml:space="preserve">Los flujos de efectivo procedentes de las actividades de </w:t>
      </w:r>
      <w:r w:rsidRPr="007630E3">
        <w:rPr>
          <w:b/>
          <w:bCs/>
          <w:szCs w:val="24"/>
        </w:rPr>
        <w:t>financiación</w:t>
      </w:r>
      <w:r w:rsidRPr="007630E3">
        <w:rPr>
          <w:szCs w:val="24"/>
        </w:rPr>
        <w:t xml:space="preserve">, es importante, ya que resulta de utilidad al efectuar la predicción de necesidades de efectivo para cubrir compromisos con los suministradores de capital a la entidad. Los flujos de efectivo que surgen de actividades de financiación son: cobros en efectivo procedentes de la emisión de obligaciones, préstamos, bonos, cédulas hipotecarias y otros fondos tomados en préstamo, a largo o a corto plazo; reembolsos de los fondos tomados en préstamo; y pagos realizados por el arrendatario para reducir la deuda pendiente procedente de un arrendamiento financiero. </w:t>
      </w:r>
    </w:p>
    <w:p w14:paraId="2B538B10" w14:textId="77777777" w:rsidR="00FA59BD" w:rsidRPr="007630E3" w:rsidRDefault="00FA59BD" w:rsidP="00FA59BD">
      <w:pPr>
        <w:spacing w:after="0" w:line="240" w:lineRule="auto"/>
        <w:rPr>
          <w:szCs w:val="24"/>
        </w:rPr>
      </w:pPr>
    </w:p>
    <w:p w14:paraId="3F0A9EE2" w14:textId="77777777" w:rsidR="00FA59BD" w:rsidRPr="007630E3" w:rsidRDefault="00FA59BD" w:rsidP="00FA59BD">
      <w:pPr>
        <w:spacing w:after="0" w:line="240" w:lineRule="auto"/>
        <w:rPr>
          <w:szCs w:val="24"/>
        </w:rPr>
      </w:pPr>
      <w:r w:rsidRPr="007630E3">
        <w:rPr>
          <w:szCs w:val="24"/>
        </w:rPr>
        <w:t>Cuando la entidad no pueda identificar separadamente las asignaciones o autorizaciones presupuestarias como actividades corrientes, inversiones de capital y contribuciones de capital, dichas asignaciones o autorizaciones presupuestarias deberán clasificarse como flujos de efectivo provenientes de las actividades de operación y este hecho deberá revelarse en las notas a los EEFF, explicando las razones de tal impedimento.</w:t>
      </w:r>
    </w:p>
    <w:p w14:paraId="157E152D" w14:textId="77777777" w:rsidR="00FA59BD" w:rsidRDefault="00FA59BD" w:rsidP="00FA59BD">
      <w:pPr>
        <w:spacing w:after="0" w:line="240" w:lineRule="auto"/>
        <w:rPr>
          <w:sz w:val="23"/>
          <w:szCs w:val="23"/>
        </w:rPr>
      </w:pPr>
    </w:p>
    <w:p w14:paraId="20FF275B" w14:textId="77777777" w:rsidR="00FA59BD" w:rsidRPr="00633704" w:rsidRDefault="00FA59BD" w:rsidP="00FA59BD">
      <w:pPr>
        <w:spacing w:after="0" w:line="240" w:lineRule="auto"/>
        <w:rPr>
          <w:b/>
          <w:bCs/>
          <w:szCs w:val="24"/>
          <w:lang w:eastAsia="es-CR"/>
        </w:rPr>
      </w:pPr>
      <w:r w:rsidRPr="00633704">
        <w:rPr>
          <w:b/>
          <w:bCs/>
          <w:szCs w:val="24"/>
        </w:rPr>
        <w:t>Otras revelaciones</w:t>
      </w:r>
    </w:p>
    <w:p w14:paraId="779596E3" w14:textId="77777777" w:rsidR="00FA59BD" w:rsidRDefault="00FA59BD" w:rsidP="00FA59BD">
      <w:pPr>
        <w:spacing w:after="0" w:line="240" w:lineRule="auto"/>
        <w:rPr>
          <w:lang w:eastAsia="es-CR"/>
        </w:rPr>
      </w:pPr>
    </w:p>
    <w:p w14:paraId="40CA7195" w14:textId="6FFE0421" w:rsidR="00FA59BD" w:rsidRPr="00FC0BAF" w:rsidRDefault="00FA59BD" w:rsidP="00FA59BD">
      <w:pPr>
        <w:spacing w:after="0" w:line="240" w:lineRule="auto"/>
        <w:rPr>
          <w:lang w:eastAsia="es-CR"/>
        </w:rPr>
      </w:pPr>
      <w:r w:rsidRPr="00FC0BAF">
        <w:rPr>
          <w:lang w:eastAsia="es-CR"/>
        </w:rPr>
        <w:t xml:space="preserve">En relación con el Efectivo y Equivalentes de Efectivo es pertinente indicar, que el efectivo mantenido en la Cuenta 1640-3 B.N.C.R. GARANTIAS por la suma de </w:t>
      </w:r>
      <w:r w:rsidRPr="00FC0BAF">
        <w:rPr>
          <w:rFonts w:ascii="Calibri" w:eastAsia="Times New Roman" w:hAnsi="Calibri" w:cs="Calibri"/>
          <w:color w:val="000000"/>
          <w:sz w:val="22"/>
        </w:rPr>
        <w:t>₡</w:t>
      </w:r>
      <w:r w:rsidR="003730A9">
        <w:rPr>
          <w:lang w:eastAsia="es-CR"/>
        </w:rPr>
        <w:t>62.539,31</w:t>
      </w:r>
      <w:r w:rsidRPr="00FC0BAF">
        <w:rPr>
          <w:lang w:eastAsia="es-CR"/>
        </w:rPr>
        <w:t xml:space="preserve"> en miles, no puede ser utilizado debido a que corresponde a sumas depositadas por personas o empresas que participan en procesos de contratación realizados por la Municipalidad, los cuales deberán ser devueltos una vez concluido el objeto de la contratación. Con respecto a los recursos por un monto de </w:t>
      </w:r>
      <w:r w:rsidRPr="00FC0BAF">
        <w:rPr>
          <w:rFonts w:ascii="Arial" w:hAnsi="Arial" w:cs="Arial"/>
          <w:lang w:eastAsia="es-CR"/>
        </w:rPr>
        <w:t>₡</w:t>
      </w:r>
      <w:r w:rsidR="003730A9">
        <w:rPr>
          <w:lang w:eastAsia="es-CR"/>
        </w:rPr>
        <w:t>2.067.891,03</w:t>
      </w:r>
      <w:r w:rsidRPr="00FC0BAF">
        <w:rPr>
          <w:lang w:eastAsia="es-CR"/>
        </w:rPr>
        <w:t xml:space="preserve"> miles en Caja Única del Estado, la Municipalidad puede disponer de los mismos conforme a la programación para su utilización existente en el Ministerio de Hacienda.</w:t>
      </w:r>
    </w:p>
    <w:p w14:paraId="3174495B" w14:textId="77777777" w:rsidR="00FA59BD" w:rsidRPr="00FA59BD" w:rsidRDefault="00FA59BD" w:rsidP="00FA59BD">
      <w:pPr>
        <w:spacing w:after="0" w:line="240" w:lineRule="auto"/>
        <w:rPr>
          <w:highlight w:val="yellow"/>
          <w:lang w:eastAsia="es-CR"/>
        </w:rPr>
      </w:pPr>
    </w:p>
    <w:p w14:paraId="552EF4EF" w14:textId="10842236" w:rsidR="00FA59BD" w:rsidRPr="003730A9" w:rsidRDefault="00FA59BD" w:rsidP="00FA59BD">
      <w:pPr>
        <w:spacing w:line="240" w:lineRule="auto"/>
        <w:rPr>
          <w:rFonts w:eastAsia="Times New Roman" w:cs="Calibri"/>
          <w:color w:val="000000"/>
          <w:sz w:val="18"/>
          <w:szCs w:val="18"/>
        </w:rPr>
      </w:pPr>
      <w:r w:rsidRPr="003730A9">
        <w:t xml:space="preserve">Además, la Municipalidad tiene aprobado un préstamo con el IFAM (Operación </w:t>
      </w:r>
      <w:r w:rsidR="00A85187" w:rsidRPr="003730A9">
        <w:t>N.º</w:t>
      </w:r>
      <w:r w:rsidRPr="003730A9">
        <w:t xml:space="preserve"> 6-CVL-1457-0718 DEL 19 de enero de 2019) por la suma de </w:t>
      </w:r>
      <w:r w:rsidRPr="003730A9">
        <w:rPr>
          <w:rFonts w:ascii="Calibri" w:eastAsia="Times New Roman" w:hAnsi="Calibri" w:cs="Calibri"/>
          <w:color w:val="000000"/>
          <w:sz w:val="22"/>
        </w:rPr>
        <w:t>₡</w:t>
      </w:r>
      <w:r w:rsidRPr="003730A9">
        <w:t xml:space="preserve">3 563 088,50 miles de los cuales al </w:t>
      </w:r>
      <w:r w:rsidR="00796636" w:rsidRPr="003730A9">
        <w:t>31</w:t>
      </w:r>
      <w:r w:rsidRPr="003730A9">
        <w:t xml:space="preserve"> de </w:t>
      </w:r>
      <w:r w:rsidR="00D64CF8" w:rsidRPr="003730A9">
        <w:t>diciembre</w:t>
      </w:r>
      <w:r w:rsidRPr="003730A9">
        <w:t xml:space="preserve"> de 2024 aún está pendiente de percibirse la suma de </w:t>
      </w:r>
      <w:r w:rsidRPr="003730A9">
        <w:rPr>
          <w:rFonts w:ascii="Arial" w:hAnsi="Arial" w:cs="Arial"/>
        </w:rPr>
        <w:t>₡</w:t>
      </w:r>
      <w:r w:rsidR="00DE3D7E" w:rsidRPr="003730A9">
        <w:t>341</w:t>
      </w:r>
      <w:r w:rsidR="00230464" w:rsidRPr="003730A9">
        <w:t>.</w:t>
      </w:r>
      <w:r w:rsidR="00DE3D7E" w:rsidRPr="003730A9">
        <w:t>717,64</w:t>
      </w:r>
      <w:r w:rsidRPr="003730A9">
        <w:t xml:space="preserve"> y de la suma recibida </w:t>
      </w:r>
      <w:r w:rsidRPr="003730A9">
        <w:rPr>
          <w:rFonts w:ascii="Arial" w:hAnsi="Arial" w:cs="Arial"/>
        </w:rPr>
        <w:t>₡</w:t>
      </w:r>
      <w:r w:rsidR="00230464" w:rsidRPr="003730A9">
        <w:t>3.221.370,86</w:t>
      </w:r>
      <w:r w:rsidRPr="003730A9">
        <w:t xml:space="preserve"> miles a la fecha de presentación de los estados financieros, se adeuda el monto de </w:t>
      </w:r>
      <w:r w:rsidRPr="003730A9">
        <w:rPr>
          <w:rFonts w:ascii="Arial" w:hAnsi="Arial" w:cs="Arial"/>
        </w:rPr>
        <w:t>₡</w:t>
      </w:r>
      <w:r w:rsidR="00230464" w:rsidRPr="003730A9">
        <w:t>2.115.032,77</w:t>
      </w:r>
      <w:r w:rsidRPr="003730A9">
        <w:t xml:space="preserve"> miles.</w:t>
      </w:r>
    </w:p>
    <w:p w14:paraId="04F581C5" w14:textId="5F95559A" w:rsidR="00796636" w:rsidRDefault="00796636" w:rsidP="00FA59BD">
      <w:pPr>
        <w:spacing w:after="0" w:line="240" w:lineRule="auto"/>
        <w:rPr>
          <w:highlight w:val="yellow"/>
        </w:rPr>
      </w:pPr>
    </w:p>
    <w:p w14:paraId="7F01D47A" w14:textId="0C677A33" w:rsidR="00796636" w:rsidRDefault="00796636" w:rsidP="00FA59BD">
      <w:pPr>
        <w:spacing w:after="0" w:line="240" w:lineRule="auto"/>
        <w:rPr>
          <w:highlight w:val="yellow"/>
        </w:rPr>
      </w:pPr>
    </w:p>
    <w:p w14:paraId="78C7B697" w14:textId="77777777" w:rsidR="00796636" w:rsidRPr="00500D34" w:rsidRDefault="00796636" w:rsidP="00FA59BD">
      <w:pPr>
        <w:spacing w:after="0" w:line="240" w:lineRule="auto"/>
      </w:pPr>
    </w:p>
    <w:p w14:paraId="4F284960" w14:textId="61BD564D" w:rsidR="00FA59BD" w:rsidRPr="00500D34" w:rsidRDefault="00FA59BD" w:rsidP="00FA59BD">
      <w:pPr>
        <w:spacing w:after="0" w:line="240" w:lineRule="auto"/>
      </w:pPr>
      <w:r w:rsidRPr="00500D34">
        <w:t>Efectivo y Equivalentes de Efectivo en miles de colones:</w:t>
      </w:r>
    </w:p>
    <w:p w14:paraId="37A4C33B" w14:textId="6EA1A4F8" w:rsidR="00796636" w:rsidRDefault="00796636" w:rsidP="00FA59BD">
      <w:pPr>
        <w:spacing w:after="0" w:line="240" w:lineRule="auto"/>
        <w:rPr>
          <w:highlight w:val="yellow"/>
        </w:rPr>
      </w:pPr>
    </w:p>
    <w:tbl>
      <w:tblPr>
        <w:tblW w:w="9600" w:type="dxa"/>
        <w:tblCellMar>
          <w:left w:w="70" w:type="dxa"/>
          <w:right w:w="70" w:type="dxa"/>
        </w:tblCellMar>
        <w:tblLook w:val="04A0" w:firstRow="1" w:lastRow="0" w:firstColumn="1" w:lastColumn="0" w:noHBand="0" w:noVBand="1"/>
      </w:tblPr>
      <w:tblGrid>
        <w:gridCol w:w="660"/>
        <w:gridCol w:w="3220"/>
        <w:gridCol w:w="500"/>
        <w:gridCol w:w="2100"/>
        <w:gridCol w:w="2100"/>
        <w:gridCol w:w="1020"/>
      </w:tblGrid>
      <w:tr w:rsidR="00A85187" w:rsidRPr="00A85187" w14:paraId="224E638C" w14:textId="77777777" w:rsidTr="00A85187">
        <w:trPr>
          <w:trHeight w:val="330"/>
        </w:trPr>
        <w:tc>
          <w:tcPr>
            <w:tcW w:w="6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ED2E2DB" w14:textId="77777777" w:rsidR="00A85187" w:rsidRPr="00A85187" w:rsidRDefault="00A85187" w:rsidP="00A85187">
            <w:pPr>
              <w:spacing w:after="0" w:line="240" w:lineRule="auto"/>
              <w:rPr>
                <w:rFonts w:eastAsia="Times New Roman" w:cs="Calibri"/>
                <w:b/>
                <w:bCs/>
                <w:color w:val="FFFFFF"/>
                <w:sz w:val="18"/>
                <w:szCs w:val="18"/>
                <w:lang w:eastAsia="es-CR"/>
              </w:rPr>
            </w:pPr>
            <w:r w:rsidRPr="00A85187">
              <w:rPr>
                <w:rFonts w:eastAsia="Times New Roman" w:cs="Calibri"/>
                <w:b/>
                <w:bCs/>
                <w:color w:val="FFFFFF"/>
                <w:sz w:val="18"/>
                <w:szCs w:val="18"/>
                <w:lang w:eastAsia="es-CR"/>
              </w:rPr>
              <w:t xml:space="preserve">Cuenta </w:t>
            </w:r>
          </w:p>
        </w:tc>
        <w:tc>
          <w:tcPr>
            <w:tcW w:w="32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B55A2EF" w14:textId="77777777" w:rsidR="00A85187" w:rsidRPr="00A85187" w:rsidRDefault="00A85187" w:rsidP="00A85187">
            <w:pPr>
              <w:spacing w:after="0" w:line="240" w:lineRule="auto"/>
              <w:jc w:val="center"/>
              <w:rPr>
                <w:rFonts w:eastAsia="Times New Roman" w:cs="Calibri"/>
                <w:b/>
                <w:bCs/>
                <w:color w:val="FFFFFF"/>
                <w:sz w:val="18"/>
                <w:szCs w:val="18"/>
                <w:lang w:eastAsia="es-CR"/>
              </w:rPr>
            </w:pPr>
            <w:r w:rsidRPr="00A85187">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F586737" w14:textId="77777777" w:rsidR="00A85187" w:rsidRPr="00A85187" w:rsidRDefault="00A85187" w:rsidP="00A85187">
            <w:pPr>
              <w:spacing w:after="0" w:line="240" w:lineRule="auto"/>
              <w:jc w:val="center"/>
              <w:rPr>
                <w:rFonts w:eastAsia="Times New Roman" w:cs="Calibri"/>
                <w:b/>
                <w:bCs/>
                <w:color w:val="FFFFFF"/>
                <w:sz w:val="18"/>
                <w:szCs w:val="18"/>
                <w:lang w:eastAsia="es-CR"/>
              </w:rPr>
            </w:pPr>
            <w:r w:rsidRPr="00A85187">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D7C9241" w14:textId="77777777" w:rsidR="00A85187" w:rsidRPr="00A85187" w:rsidRDefault="00A85187" w:rsidP="00A85187">
            <w:pPr>
              <w:spacing w:after="0" w:line="240" w:lineRule="auto"/>
              <w:jc w:val="center"/>
              <w:rPr>
                <w:rFonts w:eastAsia="Times New Roman" w:cs="Calibri"/>
                <w:b/>
                <w:bCs/>
                <w:color w:val="FFFFFF"/>
                <w:sz w:val="18"/>
                <w:szCs w:val="18"/>
                <w:lang w:eastAsia="es-CR"/>
              </w:rPr>
            </w:pPr>
            <w:r w:rsidRPr="00A85187">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F03A951" w14:textId="77777777" w:rsidR="00A85187" w:rsidRPr="00A85187" w:rsidRDefault="00A85187" w:rsidP="00A85187">
            <w:pPr>
              <w:spacing w:after="0" w:line="240" w:lineRule="auto"/>
              <w:jc w:val="center"/>
              <w:rPr>
                <w:rFonts w:eastAsia="Times New Roman" w:cs="Calibri"/>
                <w:b/>
                <w:bCs/>
                <w:color w:val="FFFFFF"/>
                <w:sz w:val="18"/>
                <w:szCs w:val="18"/>
                <w:lang w:eastAsia="es-CR"/>
              </w:rPr>
            </w:pPr>
            <w:r w:rsidRPr="00A85187">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7A83833B" w14:textId="77777777" w:rsidR="00A85187" w:rsidRPr="00A85187" w:rsidRDefault="00A85187" w:rsidP="00A85187">
            <w:pPr>
              <w:spacing w:after="0" w:line="240" w:lineRule="auto"/>
              <w:jc w:val="center"/>
              <w:rPr>
                <w:rFonts w:eastAsia="Times New Roman" w:cs="Calibri"/>
                <w:b/>
                <w:bCs/>
                <w:color w:val="FFFFFF"/>
                <w:sz w:val="18"/>
                <w:szCs w:val="18"/>
                <w:lang w:eastAsia="es-CR"/>
              </w:rPr>
            </w:pPr>
            <w:r w:rsidRPr="00A85187">
              <w:rPr>
                <w:rFonts w:eastAsia="Times New Roman" w:cs="Calibri"/>
                <w:b/>
                <w:bCs/>
                <w:color w:val="FFFFFF"/>
                <w:sz w:val="18"/>
                <w:szCs w:val="18"/>
                <w:lang w:eastAsia="es-CR"/>
              </w:rPr>
              <w:t xml:space="preserve">Diferencia </w:t>
            </w:r>
          </w:p>
        </w:tc>
      </w:tr>
      <w:tr w:rsidR="00A85187" w:rsidRPr="00A85187" w14:paraId="61085576" w14:textId="77777777" w:rsidTr="00A85187">
        <w:trPr>
          <w:trHeight w:val="330"/>
        </w:trPr>
        <w:tc>
          <w:tcPr>
            <w:tcW w:w="660" w:type="dxa"/>
            <w:vMerge/>
            <w:tcBorders>
              <w:top w:val="single" w:sz="8" w:space="0" w:color="auto"/>
              <w:left w:val="single" w:sz="8" w:space="0" w:color="auto"/>
              <w:bottom w:val="single" w:sz="8" w:space="0" w:color="000000"/>
              <w:right w:val="single" w:sz="8" w:space="0" w:color="auto"/>
            </w:tcBorders>
            <w:vAlign w:val="center"/>
            <w:hideMark/>
          </w:tcPr>
          <w:p w14:paraId="344DC81A" w14:textId="77777777" w:rsidR="00A85187" w:rsidRPr="00A85187" w:rsidRDefault="00A85187" w:rsidP="00A85187">
            <w:pPr>
              <w:spacing w:after="0" w:line="240" w:lineRule="auto"/>
              <w:jc w:val="left"/>
              <w:rPr>
                <w:rFonts w:eastAsia="Times New Roman" w:cs="Calibri"/>
                <w:b/>
                <w:bCs/>
                <w:color w:val="FFFFFF"/>
                <w:sz w:val="18"/>
                <w:szCs w:val="18"/>
                <w:lang w:eastAsia="es-CR"/>
              </w:rPr>
            </w:pPr>
          </w:p>
        </w:tc>
        <w:tc>
          <w:tcPr>
            <w:tcW w:w="3220" w:type="dxa"/>
            <w:vMerge/>
            <w:tcBorders>
              <w:top w:val="single" w:sz="8" w:space="0" w:color="auto"/>
              <w:left w:val="single" w:sz="8" w:space="0" w:color="auto"/>
              <w:bottom w:val="single" w:sz="8" w:space="0" w:color="000000"/>
              <w:right w:val="single" w:sz="8" w:space="0" w:color="auto"/>
            </w:tcBorders>
            <w:vAlign w:val="center"/>
            <w:hideMark/>
          </w:tcPr>
          <w:p w14:paraId="270269E9" w14:textId="77777777" w:rsidR="00A85187" w:rsidRPr="00A85187" w:rsidRDefault="00A85187" w:rsidP="00A85187">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22A5C8AB" w14:textId="77777777" w:rsidR="00A85187" w:rsidRPr="00A85187" w:rsidRDefault="00A85187" w:rsidP="00A85187">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4D10045D" w14:textId="77777777" w:rsidR="00A85187" w:rsidRPr="00A85187" w:rsidRDefault="00A85187" w:rsidP="00A85187">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7A843F1F" w14:textId="77777777" w:rsidR="00A85187" w:rsidRPr="00A85187" w:rsidRDefault="00A85187" w:rsidP="00A85187">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3E767236" w14:textId="77777777" w:rsidR="00A85187" w:rsidRPr="00A85187" w:rsidRDefault="00A85187" w:rsidP="00A85187">
            <w:pPr>
              <w:spacing w:after="0" w:line="240" w:lineRule="auto"/>
              <w:jc w:val="center"/>
              <w:rPr>
                <w:rFonts w:eastAsia="Times New Roman" w:cs="Calibri"/>
                <w:color w:val="FFFFFF"/>
                <w:sz w:val="18"/>
                <w:szCs w:val="18"/>
                <w:lang w:eastAsia="es-CR"/>
              </w:rPr>
            </w:pPr>
            <w:r w:rsidRPr="00A85187">
              <w:rPr>
                <w:rFonts w:eastAsia="Times New Roman" w:cs="Calibri"/>
                <w:color w:val="FFFFFF"/>
                <w:sz w:val="18"/>
                <w:szCs w:val="18"/>
                <w:lang w:eastAsia="es-CR"/>
              </w:rPr>
              <w:t>%</w:t>
            </w:r>
          </w:p>
        </w:tc>
      </w:tr>
      <w:tr w:rsidR="00A85187" w:rsidRPr="00A85187" w14:paraId="6672BF27" w14:textId="77777777" w:rsidTr="00A85187">
        <w:trPr>
          <w:trHeight w:val="330"/>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17C37386" w14:textId="77777777" w:rsidR="00A85187" w:rsidRPr="00A85187" w:rsidRDefault="00A85187" w:rsidP="00A85187">
            <w:pPr>
              <w:spacing w:after="0" w:line="240" w:lineRule="auto"/>
              <w:jc w:val="left"/>
              <w:rPr>
                <w:rFonts w:eastAsia="Times New Roman" w:cs="Calibri"/>
                <w:b/>
                <w:bCs/>
                <w:color w:val="000000"/>
                <w:sz w:val="18"/>
                <w:szCs w:val="18"/>
                <w:lang w:eastAsia="es-CR"/>
              </w:rPr>
            </w:pPr>
            <w:r w:rsidRPr="00A85187">
              <w:rPr>
                <w:rFonts w:eastAsia="Times New Roman" w:cs="Calibri"/>
                <w:b/>
                <w:bCs/>
                <w:color w:val="000000"/>
                <w:sz w:val="18"/>
                <w:szCs w:val="18"/>
                <w:lang w:eastAsia="es-CR"/>
              </w:rPr>
              <w:t>1.1.1.</w:t>
            </w:r>
          </w:p>
        </w:tc>
        <w:tc>
          <w:tcPr>
            <w:tcW w:w="3220" w:type="dxa"/>
            <w:tcBorders>
              <w:top w:val="nil"/>
              <w:left w:val="nil"/>
              <w:bottom w:val="single" w:sz="8" w:space="0" w:color="auto"/>
              <w:right w:val="single" w:sz="8" w:space="0" w:color="auto"/>
            </w:tcBorders>
            <w:shd w:val="clear" w:color="auto" w:fill="auto"/>
            <w:vAlign w:val="center"/>
            <w:hideMark/>
          </w:tcPr>
          <w:p w14:paraId="4033A57C" w14:textId="77777777" w:rsidR="00A85187" w:rsidRPr="00A85187" w:rsidRDefault="00A85187" w:rsidP="00A85187">
            <w:pPr>
              <w:spacing w:after="0" w:line="240" w:lineRule="auto"/>
              <w:jc w:val="left"/>
              <w:rPr>
                <w:rFonts w:eastAsia="Times New Roman" w:cs="Calibri"/>
                <w:b/>
                <w:bCs/>
                <w:color w:val="000000"/>
                <w:sz w:val="18"/>
                <w:szCs w:val="18"/>
                <w:lang w:eastAsia="es-CR"/>
              </w:rPr>
            </w:pPr>
            <w:r w:rsidRPr="00A85187">
              <w:rPr>
                <w:rFonts w:eastAsia="Times New Roman" w:cs="Calibri"/>
                <w:b/>
                <w:bCs/>
                <w:color w:val="000000"/>
                <w:sz w:val="18"/>
                <w:szCs w:val="18"/>
                <w:lang w:eastAsia="es-CR"/>
              </w:rPr>
              <w:t>Efectivo y equivalentes de efectivo</w:t>
            </w:r>
          </w:p>
        </w:tc>
        <w:tc>
          <w:tcPr>
            <w:tcW w:w="500" w:type="dxa"/>
            <w:tcBorders>
              <w:top w:val="nil"/>
              <w:left w:val="nil"/>
              <w:bottom w:val="single" w:sz="8" w:space="0" w:color="auto"/>
              <w:right w:val="single" w:sz="8" w:space="0" w:color="auto"/>
            </w:tcBorders>
            <w:shd w:val="clear" w:color="auto" w:fill="auto"/>
            <w:noWrap/>
            <w:vAlign w:val="center"/>
            <w:hideMark/>
          </w:tcPr>
          <w:p w14:paraId="18605CAB" w14:textId="77777777" w:rsidR="00A85187" w:rsidRPr="00A85187" w:rsidRDefault="00A85187" w:rsidP="00A85187">
            <w:pPr>
              <w:spacing w:after="0" w:line="240" w:lineRule="auto"/>
              <w:jc w:val="center"/>
              <w:rPr>
                <w:rFonts w:eastAsia="Times New Roman" w:cs="Calibri"/>
                <w:b/>
                <w:bCs/>
                <w:color w:val="000000"/>
                <w:sz w:val="18"/>
                <w:szCs w:val="18"/>
                <w:lang w:eastAsia="es-CR"/>
              </w:rPr>
            </w:pPr>
            <w:r w:rsidRPr="00A85187">
              <w:rPr>
                <w:rFonts w:eastAsia="Times New Roman" w:cs="Calibri"/>
                <w:b/>
                <w:bCs/>
                <w:color w:val="000000"/>
                <w:sz w:val="18"/>
                <w:szCs w:val="18"/>
                <w:lang w:eastAsia="es-CR"/>
              </w:rPr>
              <w:t>03</w:t>
            </w:r>
          </w:p>
        </w:tc>
        <w:tc>
          <w:tcPr>
            <w:tcW w:w="2100" w:type="dxa"/>
            <w:tcBorders>
              <w:top w:val="nil"/>
              <w:left w:val="nil"/>
              <w:bottom w:val="single" w:sz="8" w:space="0" w:color="auto"/>
              <w:right w:val="single" w:sz="8" w:space="0" w:color="auto"/>
            </w:tcBorders>
            <w:shd w:val="clear" w:color="auto" w:fill="auto"/>
            <w:noWrap/>
            <w:vAlign w:val="center"/>
            <w:hideMark/>
          </w:tcPr>
          <w:p w14:paraId="43CFBEB3" w14:textId="77777777" w:rsidR="00A85187" w:rsidRPr="00A85187" w:rsidRDefault="00A85187" w:rsidP="00A85187">
            <w:pPr>
              <w:spacing w:after="0" w:line="240" w:lineRule="auto"/>
              <w:jc w:val="center"/>
              <w:rPr>
                <w:rFonts w:eastAsia="Times New Roman" w:cs="Calibri"/>
                <w:b/>
                <w:bCs/>
                <w:color w:val="000000"/>
                <w:sz w:val="16"/>
                <w:szCs w:val="16"/>
                <w:lang w:eastAsia="es-CR"/>
              </w:rPr>
            </w:pPr>
            <w:r w:rsidRPr="00A85187">
              <w:rPr>
                <w:rFonts w:eastAsia="Times New Roman" w:cs="Calibri"/>
                <w:b/>
                <w:bCs/>
                <w:color w:val="000000"/>
                <w:sz w:val="16"/>
                <w:szCs w:val="16"/>
                <w:lang w:eastAsia="es-CR"/>
              </w:rPr>
              <w:t xml:space="preserve"> 2 779 345,66 </w:t>
            </w:r>
          </w:p>
        </w:tc>
        <w:tc>
          <w:tcPr>
            <w:tcW w:w="2100" w:type="dxa"/>
            <w:tcBorders>
              <w:top w:val="nil"/>
              <w:left w:val="nil"/>
              <w:bottom w:val="single" w:sz="8" w:space="0" w:color="auto"/>
              <w:right w:val="single" w:sz="8" w:space="0" w:color="auto"/>
            </w:tcBorders>
            <w:shd w:val="clear" w:color="auto" w:fill="auto"/>
            <w:noWrap/>
            <w:vAlign w:val="center"/>
            <w:hideMark/>
          </w:tcPr>
          <w:p w14:paraId="13D3A3CF" w14:textId="77777777" w:rsidR="00A85187" w:rsidRPr="00A85187" w:rsidRDefault="00A85187" w:rsidP="00A85187">
            <w:pPr>
              <w:spacing w:after="0" w:line="240" w:lineRule="auto"/>
              <w:jc w:val="center"/>
              <w:rPr>
                <w:rFonts w:eastAsia="Times New Roman" w:cs="Calibri"/>
                <w:b/>
                <w:bCs/>
                <w:color w:val="000000"/>
                <w:sz w:val="16"/>
                <w:szCs w:val="16"/>
                <w:lang w:eastAsia="es-CR"/>
              </w:rPr>
            </w:pPr>
            <w:r w:rsidRPr="00A85187">
              <w:rPr>
                <w:rFonts w:eastAsia="Times New Roman" w:cs="Calibri"/>
                <w:b/>
                <w:bCs/>
                <w:color w:val="000000"/>
                <w:sz w:val="16"/>
                <w:szCs w:val="16"/>
                <w:lang w:eastAsia="es-CR"/>
              </w:rPr>
              <w:t xml:space="preserve"> 2 106 811,91 </w:t>
            </w:r>
          </w:p>
        </w:tc>
        <w:tc>
          <w:tcPr>
            <w:tcW w:w="1020" w:type="dxa"/>
            <w:tcBorders>
              <w:top w:val="nil"/>
              <w:left w:val="nil"/>
              <w:bottom w:val="single" w:sz="8" w:space="0" w:color="auto"/>
              <w:right w:val="single" w:sz="8" w:space="0" w:color="auto"/>
            </w:tcBorders>
            <w:shd w:val="clear" w:color="auto" w:fill="auto"/>
            <w:noWrap/>
            <w:vAlign w:val="center"/>
            <w:hideMark/>
          </w:tcPr>
          <w:p w14:paraId="393FFA51" w14:textId="77777777" w:rsidR="00A85187" w:rsidRPr="00A85187" w:rsidRDefault="00A85187" w:rsidP="00A85187">
            <w:pPr>
              <w:spacing w:after="0" w:line="240" w:lineRule="auto"/>
              <w:jc w:val="center"/>
              <w:rPr>
                <w:rFonts w:eastAsia="Times New Roman" w:cs="Calibri"/>
                <w:b/>
                <w:bCs/>
                <w:color w:val="000000"/>
                <w:sz w:val="18"/>
                <w:szCs w:val="18"/>
                <w:lang w:eastAsia="es-CR"/>
              </w:rPr>
            </w:pPr>
            <w:r w:rsidRPr="00A85187">
              <w:rPr>
                <w:rFonts w:eastAsia="Times New Roman" w:cs="Calibri"/>
                <w:b/>
                <w:bCs/>
                <w:color w:val="000000"/>
                <w:sz w:val="18"/>
                <w:szCs w:val="18"/>
                <w:lang w:eastAsia="es-CR"/>
              </w:rPr>
              <w:t>31,92%</w:t>
            </w:r>
          </w:p>
        </w:tc>
      </w:tr>
    </w:tbl>
    <w:p w14:paraId="4A42A293" w14:textId="741962E5" w:rsidR="00796636" w:rsidRDefault="00796636" w:rsidP="00FA59BD">
      <w:pPr>
        <w:spacing w:after="0" w:line="240" w:lineRule="auto"/>
        <w:rPr>
          <w:highlight w:val="yellow"/>
        </w:rPr>
      </w:pPr>
    </w:p>
    <w:p w14:paraId="0CF3CDF3" w14:textId="77777777" w:rsidR="00796636" w:rsidRPr="00FA59BD" w:rsidRDefault="00796636" w:rsidP="00FA59BD">
      <w:pPr>
        <w:spacing w:after="0" w:line="240" w:lineRule="auto"/>
        <w:rPr>
          <w:highlight w:val="yellow"/>
        </w:rPr>
      </w:pPr>
    </w:p>
    <w:p w14:paraId="2B1357FC" w14:textId="77777777" w:rsidR="00FA59BD" w:rsidRPr="00500D34" w:rsidRDefault="00FA59BD" w:rsidP="00FA59BD">
      <w:pPr>
        <w:spacing w:after="0" w:line="240" w:lineRule="auto"/>
      </w:pPr>
      <w:r w:rsidRPr="00500D34">
        <w:t>Se debe indicar que la Municipalidad de Buenos Aires inicio la implementación de las NICSP en el año 2021; y aún está realizándose un proceso de revisión y depuración de cifras, con el objetivo de cumplir con todos los requisitos exigidos por las NICP en el plazo establecido por la Ley Nº 9635 “Ley de Fortalecimiento de las Finanzas Públicas.</w:t>
      </w:r>
    </w:p>
    <w:p w14:paraId="202320CA" w14:textId="77777777" w:rsidR="00FA59BD" w:rsidRPr="00FA59BD" w:rsidRDefault="00FA59BD" w:rsidP="00FA59BD">
      <w:pPr>
        <w:spacing w:after="0" w:line="240" w:lineRule="auto"/>
        <w:rPr>
          <w:highlight w:val="yellow"/>
        </w:rPr>
      </w:pPr>
    </w:p>
    <w:p w14:paraId="7EAD9F60" w14:textId="77777777" w:rsidR="00FA59BD" w:rsidRPr="00500D34" w:rsidRDefault="00FA59BD" w:rsidP="00FA59BD">
      <w:pPr>
        <w:spacing w:after="0" w:line="240" w:lineRule="auto"/>
      </w:pPr>
      <w:r w:rsidRPr="00500D34">
        <w:t>La Municipalidad de Buenos Aires confecciona el estado de flujo de efectivo utilizando el método directo con base en las políticas emitidas por la Dirección General de Contabilidad Nacional. Al respecto debe señalarse, que las principales entradas por actividades de operación que tiene la Municipalidad son: el cobro de impuestos (patentes, sobre bienes inmuebles, sobre construcciones, entre otros), el cobro de las tasas por la prestación de servicios comunitarios, y el cobro de multas e intereses por atraso de los contribuyentes; además, de las sumas cobradas por alquileres.</w:t>
      </w:r>
    </w:p>
    <w:p w14:paraId="65C81657" w14:textId="77777777" w:rsidR="00FA59BD" w:rsidRPr="00500D34" w:rsidRDefault="00FA59BD" w:rsidP="00FA59BD">
      <w:pPr>
        <w:spacing w:after="0" w:line="240" w:lineRule="auto"/>
      </w:pPr>
    </w:p>
    <w:p w14:paraId="480DFA2C" w14:textId="77777777" w:rsidR="00FA59BD" w:rsidRPr="00500D34" w:rsidRDefault="00FA59BD" w:rsidP="00FA59BD">
      <w:pPr>
        <w:spacing w:after="0" w:line="240" w:lineRule="auto"/>
      </w:pPr>
      <w:r w:rsidRPr="00500D34">
        <w:t>Por otra parte, debe indicarse que las principales salidas referentes a las actividades de operación están asociados al pago de beneficios al personal, prestaciones de la seguridad social, adquisición de servicios e inventarios y transferencias corrientes.  En cuanto a las actividades de financiamiento los principales gastos se refieren a la amortización de la deuda contraída por la Municipalidad con el Instituto de Fomento y Asesoría Municipal, operación Nª 6-CVL-1457-0718 para el mejoramiento de la red vial cantonal, compra de maquinaria, inventario de vías y estudios de pre-inversión para la construcción del plantel municipal y oficinas de la Unidad Técnica de Gestión Vial y Transferencia de Capital (IFAM) y el servicio de esa deuda.</w:t>
      </w:r>
    </w:p>
    <w:p w14:paraId="5B433968" w14:textId="77777777" w:rsidR="00FA59BD" w:rsidRPr="00500D34" w:rsidRDefault="00FA59BD" w:rsidP="00FA59BD">
      <w:pPr>
        <w:spacing w:after="0" w:line="240" w:lineRule="auto"/>
      </w:pPr>
    </w:p>
    <w:p w14:paraId="3CFE394D" w14:textId="0B2504C5" w:rsidR="00FA59BD" w:rsidRPr="00500D34" w:rsidRDefault="00FA59BD" w:rsidP="00FA59BD">
      <w:pPr>
        <w:spacing w:after="0" w:line="240" w:lineRule="auto"/>
      </w:pPr>
      <w:r w:rsidRPr="00500D34">
        <w:t xml:space="preserve">Los montos netos correspondiente a actividades de operación, inversión y financiamiento al </w:t>
      </w:r>
      <w:r w:rsidR="00796636" w:rsidRPr="00500D34">
        <w:t>31</w:t>
      </w:r>
      <w:r w:rsidRPr="00500D34">
        <w:t xml:space="preserve"> de </w:t>
      </w:r>
      <w:r w:rsidR="00D64CF8" w:rsidRPr="00500D34">
        <w:t>diciembre</w:t>
      </w:r>
      <w:r w:rsidRPr="00500D34">
        <w:t xml:space="preserve"> de 2024, presentado en miles de colones costarricenses se muestran en el siguiente cuadro:</w:t>
      </w:r>
    </w:p>
    <w:tbl>
      <w:tblPr>
        <w:tblW w:w="0" w:type="auto"/>
        <w:tblInd w:w="1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0"/>
        <w:gridCol w:w="1875"/>
      </w:tblGrid>
      <w:tr w:rsidR="00FA59BD" w:rsidRPr="00FA59BD" w14:paraId="4513A2BE" w14:textId="77777777" w:rsidTr="0061790F">
        <w:tc>
          <w:tcPr>
            <w:tcW w:w="3000" w:type="dxa"/>
            <w:tcBorders>
              <w:top w:val="single" w:sz="8" w:space="0" w:color="4F81BD"/>
              <w:left w:val="single" w:sz="8" w:space="0" w:color="4F81BD"/>
              <w:bottom w:val="single" w:sz="18" w:space="0" w:color="FFFFFF"/>
              <w:right w:val="single" w:sz="8" w:space="0" w:color="4F81BD"/>
            </w:tcBorders>
            <w:shd w:val="clear" w:color="auto" w:fill="002060"/>
          </w:tcPr>
          <w:p w14:paraId="7FE915BC" w14:textId="77777777" w:rsidR="00FA59BD" w:rsidRPr="00500D34" w:rsidRDefault="00FA59BD" w:rsidP="0061790F">
            <w:pPr>
              <w:spacing w:after="0" w:line="240" w:lineRule="auto"/>
            </w:pPr>
            <w:r w:rsidRPr="00500D34">
              <w:t>CONCEPTO</w:t>
            </w:r>
          </w:p>
        </w:tc>
        <w:tc>
          <w:tcPr>
            <w:tcW w:w="1875" w:type="dxa"/>
            <w:tcBorders>
              <w:top w:val="single" w:sz="8" w:space="0" w:color="4F81BD"/>
              <w:left w:val="single" w:sz="8" w:space="0" w:color="4F81BD"/>
              <w:bottom w:val="single" w:sz="18" w:space="0" w:color="FFFFFF"/>
              <w:right w:val="single" w:sz="8" w:space="0" w:color="4F81BD"/>
            </w:tcBorders>
            <w:shd w:val="clear" w:color="auto" w:fill="002060"/>
          </w:tcPr>
          <w:p w14:paraId="2BF3DA8A" w14:textId="77777777" w:rsidR="00FA59BD" w:rsidRPr="00500D34" w:rsidRDefault="00FA59BD" w:rsidP="0061790F">
            <w:pPr>
              <w:spacing w:after="0" w:line="240" w:lineRule="auto"/>
            </w:pPr>
            <w:r w:rsidRPr="00500D34">
              <w:t>MONTO</w:t>
            </w:r>
          </w:p>
        </w:tc>
      </w:tr>
      <w:tr w:rsidR="00FA59BD" w:rsidRPr="00FA59BD" w14:paraId="0EAC469C" w14:textId="77777777" w:rsidTr="0061790F">
        <w:tc>
          <w:tcPr>
            <w:tcW w:w="3000" w:type="dxa"/>
            <w:tcBorders>
              <w:top w:val="single" w:sz="18" w:space="0" w:color="FFFFFF"/>
              <w:left w:val="single" w:sz="8" w:space="0" w:color="4F81BD"/>
              <w:bottom w:val="single" w:sz="8" w:space="0" w:color="4F81BD"/>
              <w:right w:val="single" w:sz="8" w:space="0" w:color="4F81BD"/>
            </w:tcBorders>
            <w:shd w:val="clear" w:color="auto" w:fill="FFFFFF"/>
          </w:tcPr>
          <w:p w14:paraId="1D573F39" w14:textId="77777777" w:rsidR="00FA59BD" w:rsidRPr="00500D34" w:rsidRDefault="00FA59BD" w:rsidP="0061790F">
            <w:pPr>
              <w:spacing w:after="0" w:line="240" w:lineRule="auto"/>
            </w:pPr>
            <w:r w:rsidRPr="00500D34">
              <w:t>Actividades de operación</w:t>
            </w:r>
          </w:p>
        </w:tc>
        <w:tc>
          <w:tcPr>
            <w:tcW w:w="1875" w:type="dxa"/>
            <w:tcBorders>
              <w:top w:val="single" w:sz="18" w:space="0" w:color="FFFFFF"/>
              <w:left w:val="single" w:sz="8" w:space="0" w:color="4F81BD"/>
              <w:bottom w:val="single" w:sz="8" w:space="0" w:color="4F81BD"/>
              <w:right w:val="single" w:sz="8" w:space="0" w:color="4F81BD"/>
            </w:tcBorders>
            <w:shd w:val="clear" w:color="auto" w:fill="FFFFFF" w:themeFill="background1"/>
          </w:tcPr>
          <w:p w14:paraId="37212C46" w14:textId="52FD9399" w:rsidR="00FA59BD" w:rsidRPr="00500D34" w:rsidRDefault="00FA59BD" w:rsidP="0061790F">
            <w:pPr>
              <w:spacing w:line="240" w:lineRule="auto"/>
              <w:rPr>
                <w:rFonts w:cs="Arial"/>
                <w:b/>
                <w:bCs/>
                <w:sz w:val="20"/>
                <w:szCs w:val="20"/>
              </w:rPr>
            </w:pPr>
            <w:r w:rsidRPr="00500D34">
              <w:rPr>
                <w:rFonts w:ascii="Arial" w:hAnsi="Arial" w:cs="Arial"/>
                <w:b/>
                <w:bCs/>
                <w:sz w:val="20"/>
                <w:szCs w:val="20"/>
              </w:rPr>
              <w:t>₡</w:t>
            </w:r>
            <w:r w:rsidR="00500D34" w:rsidRPr="00500D34">
              <w:rPr>
                <w:rFonts w:cs="Arial"/>
                <w:b/>
                <w:bCs/>
                <w:sz w:val="20"/>
                <w:szCs w:val="20"/>
              </w:rPr>
              <w:t>696.993,37</w:t>
            </w:r>
          </w:p>
        </w:tc>
      </w:tr>
      <w:tr w:rsidR="00FA59BD" w:rsidRPr="00294804" w14:paraId="7116D1AE" w14:textId="77777777" w:rsidTr="0061790F">
        <w:tc>
          <w:tcPr>
            <w:tcW w:w="3000" w:type="dxa"/>
            <w:tcBorders>
              <w:top w:val="single" w:sz="8" w:space="0" w:color="4F81BD"/>
              <w:left w:val="single" w:sz="8" w:space="0" w:color="4F81BD"/>
              <w:bottom w:val="single" w:sz="8" w:space="0" w:color="4F81BD"/>
              <w:right w:val="single" w:sz="8" w:space="0" w:color="4F81BD"/>
            </w:tcBorders>
            <w:shd w:val="clear" w:color="auto" w:fill="FFFFFF"/>
          </w:tcPr>
          <w:p w14:paraId="021D8599" w14:textId="77777777" w:rsidR="00FA59BD" w:rsidRPr="00500D34" w:rsidRDefault="00FA59BD" w:rsidP="0061790F">
            <w:pPr>
              <w:spacing w:after="0" w:line="240" w:lineRule="auto"/>
            </w:pPr>
            <w:r w:rsidRPr="00500D34">
              <w:t>Actividades de inversión</w:t>
            </w:r>
          </w:p>
        </w:tc>
        <w:tc>
          <w:tcPr>
            <w:tcW w:w="1875" w:type="dxa"/>
            <w:tcBorders>
              <w:top w:val="single" w:sz="8" w:space="0" w:color="4F81BD"/>
              <w:left w:val="single" w:sz="8" w:space="0" w:color="4F81BD"/>
              <w:bottom w:val="single" w:sz="8" w:space="0" w:color="4F81BD"/>
              <w:right w:val="single" w:sz="8" w:space="0" w:color="4F81BD"/>
            </w:tcBorders>
            <w:shd w:val="clear" w:color="auto" w:fill="FFFFFF" w:themeFill="background1"/>
          </w:tcPr>
          <w:p w14:paraId="419AF787" w14:textId="0D0749E6" w:rsidR="00FA59BD" w:rsidRPr="00500D34" w:rsidRDefault="00E75CD6" w:rsidP="0061790F">
            <w:pPr>
              <w:spacing w:line="240" w:lineRule="auto"/>
              <w:rPr>
                <w:rFonts w:cs="Calibri"/>
                <w:b/>
                <w:bCs/>
                <w:sz w:val="20"/>
                <w:szCs w:val="20"/>
              </w:rPr>
            </w:pPr>
            <w:r>
              <w:rPr>
                <w:rFonts w:ascii="Arial" w:hAnsi="Arial" w:cs="Arial"/>
                <w:b/>
                <w:bCs/>
                <w:sz w:val="20"/>
                <w:szCs w:val="20"/>
              </w:rPr>
              <w:t>-</w:t>
            </w:r>
            <w:r w:rsidR="00FA59BD" w:rsidRPr="00500D34">
              <w:rPr>
                <w:rFonts w:ascii="Arial" w:hAnsi="Arial" w:cs="Arial"/>
                <w:b/>
                <w:bCs/>
                <w:sz w:val="20"/>
                <w:szCs w:val="20"/>
              </w:rPr>
              <w:t>₡</w:t>
            </w:r>
            <w:r w:rsidR="00500D34" w:rsidRPr="00500D34">
              <w:rPr>
                <w:rFonts w:cs="Arial"/>
                <w:b/>
                <w:bCs/>
                <w:sz w:val="20"/>
                <w:szCs w:val="20"/>
              </w:rPr>
              <w:t>509.414,18</w:t>
            </w:r>
          </w:p>
        </w:tc>
      </w:tr>
      <w:tr w:rsidR="00FA59BD" w:rsidRPr="00294804" w14:paraId="5AE93C2F" w14:textId="77777777" w:rsidTr="0061790F">
        <w:tc>
          <w:tcPr>
            <w:tcW w:w="3000" w:type="dxa"/>
            <w:tcBorders>
              <w:top w:val="single" w:sz="8" w:space="0" w:color="4F81BD"/>
              <w:left w:val="single" w:sz="8" w:space="0" w:color="4F81BD"/>
              <w:bottom w:val="single" w:sz="8" w:space="0" w:color="4F81BD"/>
              <w:right w:val="single" w:sz="8" w:space="0" w:color="4F81BD"/>
            </w:tcBorders>
            <w:shd w:val="clear" w:color="auto" w:fill="FFFFFF"/>
          </w:tcPr>
          <w:p w14:paraId="1376F6AD" w14:textId="77777777" w:rsidR="00FA59BD" w:rsidRPr="00500D34" w:rsidRDefault="00FA59BD" w:rsidP="0061790F">
            <w:pPr>
              <w:spacing w:after="0" w:line="240" w:lineRule="auto"/>
            </w:pPr>
            <w:r w:rsidRPr="00500D34">
              <w:t>Actividades de financiamiento</w:t>
            </w:r>
          </w:p>
        </w:tc>
        <w:tc>
          <w:tcPr>
            <w:tcW w:w="1875" w:type="dxa"/>
            <w:tcBorders>
              <w:top w:val="single" w:sz="8" w:space="0" w:color="4F81BD"/>
              <w:left w:val="single" w:sz="8" w:space="0" w:color="4F81BD"/>
              <w:bottom w:val="single" w:sz="8" w:space="0" w:color="4F81BD"/>
              <w:right w:val="single" w:sz="8" w:space="0" w:color="4F81BD"/>
            </w:tcBorders>
            <w:shd w:val="clear" w:color="auto" w:fill="FFFFFF" w:themeFill="background1"/>
          </w:tcPr>
          <w:p w14:paraId="55E20511" w14:textId="5E80A797" w:rsidR="00FA59BD" w:rsidRPr="00500D34" w:rsidRDefault="00FA59BD" w:rsidP="0061790F">
            <w:pPr>
              <w:spacing w:line="240" w:lineRule="auto"/>
              <w:rPr>
                <w:rFonts w:cs="Calibri"/>
                <w:b/>
                <w:bCs/>
                <w:sz w:val="20"/>
                <w:szCs w:val="20"/>
              </w:rPr>
            </w:pPr>
            <w:r w:rsidRPr="00500D34">
              <w:rPr>
                <w:rFonts w:ascii="Arial" w:hAnsi="Arial" w:cs="Arial"/>
                <w:b/>
                <w:bCs/>
                <w:sz w:val="20"/>
                <w:szCs w:val="20"/>
              </w:rPr>
              <w:t xml:space="preserve"> ₡</w:t>
            </w:r>
            <w:r w:rsidR="00500D34" w:rsidRPr="00500D34">
              <w:rPr>
                <w:rFonts w:cs="Arial"/>
                <w:b/>
                <w:bCs/>
                <w:sz w:val="20"/>
                <w:szCs w:val="20"/>
              </w:rPr>
              <w:t>484.954,56</w:t>
            </w:r>
          </w:p>
        </w:tc>
      </w:tr>
    </w:tbl>
    <w:p w14:paraId="30A85074" w14:textId="41255C83" w:rsidR="0092145A" w:rsidRDefault="0092145A" w:rsidP="00A649A4">
      <w:pPr>
        <w:pStyle w:val="Ttulo2"/>
        <w:spacing w:after="240"/>
      </w:pPr>
      <w:bookmarkStart w:id="30" w:name="_Toc189804783"/>
      <w:r w:rsidRPr="00D819F8">
        <w:t>NICSP 3- POLÍTICAS CONTABLES, CAMBIOS EN LAS ESTIMACIONES CONTABLES Y ERRORES (DE APLICACIÓN OBLIGATORIA):</w:t>
      </w:r>
      <w:bookmarkEnd w:id="28"/>
      <w:bookmarkEnd w:id="29"/>
      <w:bookmarkEnd w:id="30"/>
    </w:p>
    <w:p w14:paraId="167F9183" w14:textId="77777777" w:rsidR="00396CB4" w:rsidRDefault="0004771E" w:rsidP="0092145A">
      <w:pPr>
        <w:rPr>
          <w:rFonts w:asciiTheme="minorHAnsi" w:hAnsiTheme="minorHAnsi"/>
          <w:sz w:val="22"/>
        </w:rPr>
      </w:pPr>
      <w:r w:rsidRPr="0004771E">
        <w:t>De acuerdo con la NICSP 3- Políticas contables, cambios en las estimaciones contables y errores</w:t>
      </w:r>
      <w:r w:rsidR="00FB0858">
        <w:t>, i</w:t>
      </w:r>
      <w:r w:rsidR="0092145A">
        <w:t xml:space="preserve">ndicar si este rubro afecta SI o NO a la institución, </w:t>
      </w:r>
      <w:r w:rsidR="00405DBC" w:rsidRPr="00405DBC">
        <w:t>además del porcentaje de avance</w:t>
      </w:r>
      <w:r w:rsidR="00405DBC">
        <w:t xml:space="preserve"> en la implementación</w:t>
      </w:r>
      <w:r w:rsidR="00405DBC" w:rsidRPr="00405DBC">
        <w:t xml:space="preserve"> que presenta</w:t>
      </w:r>
      <w:r w:rsidR="00D16DB1">
        <w:t>.</w:t>
      </w:r>
      <w:r w:rsidR="0034451D">
        <w:fldChar w:fldCharType="begin"/>
      </w:r>
      <w:r w:rsidR="0034451D">
        <w:instrText xml:space="preserve"> LINK </w:instrText>
      </w:r>
      <w:r w:rsidR="00756467">
        <w:instrText xml:space="preserve">Excel.SheetMacroEnabled.12 "C:\\Users\\gcordero\\Downloads\\Notas diciembre 2024\\Formato_Notas_EEFF_Vinculadas_2024\\Formato_Notas_EEFF_Vinculadas_2024\\15603_T04_2024_Anexo_Estado_Notas_Contables_Vinculadas.xlsm" NICSP_3!F9C3:F10C4 </w:instrText>
      </w:r>
      <w:r w:rsidR="0034451D">
        <w:instrText xml:space="preserve">\a \f 4 \h </w:instrText>
      </w:r>
      <w:r w:rsidR="0034451D">
        <w:fldChar w:fldCharType="separate"/>
      </w:r>
    </w:p>
    <w:tbl>
      <w:tblPr>
        <w:tblW w:w="4220" w:type="dxa"/>
        <w:tblCellMar>
          <w:left w:w="70" w:type="dxa"/>
          <w:right w:w="70" w:type="dxa"/>
        </w:tblCellMar>
        <w:tblLook w:val="04A0" w:firstRow="1" w:lastRow="0" w:firstColumn="1" w:lastColumn="0" w:noHBand="0" w:noVBand="1"/>
      </w:tblPr>
      <w:tblGrid>
        <w:gridCol w:w="2340"/>
        <w:gridCol w:w="1880"/>
      </w:tblGrid>
      <w:tr w:rsidR="00396CB4" w:rsidRPr="00396CB4" w14:paraId="0E34917B" w14:textId="77777777" w:rsidTr="00396CB4">
        <w:trPr>
          <w:divId w:val="518979887"/>
          <w:trHeight w:val="345"/>
        </w:trPr>
        <w:tc>
          <w:tcPr>
            <w:tcW w:w="234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71172520" w14:textId="05AB44EB" w:rsidR="00396CB4" w:rsidRPr="00396CB4" w:rsidRDefault="00396CB4" w:rsidP="00396CB4">
            <w:pPr>
              <w:rPr>
                <w:rFonts w:eastAsia="Times New Roman" w:cs="Calibri"/>
                <w:color w:val="FFFFFF"/>
                <w:szCs w:val="24"/>
                <w:lang w:eastAsia="es-CR"/>
              </w:rPr>
            </w:pPr>
            <w:r w:rsidRPr="00396CB4">
              <w:rPr>
                <w:rFonts w:eastAsia="Times New Roman" w:cs="Calibri"/>
                <w:color w:val="FFFFFF"/>
                <w:szCs w:val="24"/>
                <w:lang w:eastAsia="es-CR"/>
              </w:rPr>
              <w:t>Aplica</w:t>
            </w:r>
          </w:p>
        </w:tc>
        <w:tc>
          <w:tcPr>
            <w:tcW w:w="1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F82873" w14:textId="77777777" w:rsidR="00396CB4" w:rsidRPr="00396CB4" w:rsidRDefault="00396CB4" w:rsidP="00396CB4">
            <w:pPr>
              <w:spacing w:after="0" w:line="240" w:lineRule="auto"/>
              <w:jc w:val="center"/>
              <w:rPr>
                <w:rFonts w:eastAsia="Times New Roman" w:cs="Calibri"/>
                <w:color w:val="000000"/>
                <w:sz w:val="22"/>
                <w:lang w:eastAsia="es-CR"/>
              </w:rPr>
            </w:pPr>
            <w:r w:rsidRPr="00396CB4">
              <w:rPr>
                <w:rFonts w:eastAsia="Times New Roman" w:cs="Calibri"/>
                <w:color w:val="000000"/>
                <w:sz w:val="22"/>
                <w:lang w:eastAsia="es-CR"/>
              </w:rPr>
              <w:t>Si</w:t>
            </w:r>
          </w:p>
        </w:tc>
      </w:tr>
      <w:tr w:rsidR="00396CB4" w:rsidRPr="00396CB4" w14:paraId="7346FED6" w14:textId="77777777" w:rsidTr="00396CB4">
        <w:trPr>
          <w:divId w:val="518979887"/>
          <w:trHeight w:val="345"/>
        </w:trPr>
        <w:tc>
          <w:tcPr>
            <w:tcW w:w="2340" w:type="dxa"/>
            <w:tcBorders>
              <w:top w:val="nil"/>
              <w:left w:val="single" w:sz="8" w:space="0" w:color="auto"/>
              <w:bottom w:val="single" w:sz="8" w:space="0" w:color="auto"/>
              <w:right w:val="single" w:sz="8" w:space="0" w:color="auto"/>
            </w:tcBorders>
            <w:shd w:val="clear" w:color="000000" w:fill="17365D"/>
            <w:vAlign w:val="center"/>
            <w:hideMark/>
          </w:tcPr>
          <w:p w14:paraId="11BDDD06" w14:textId="77777777" w:rsidR="00396CB4" w:rsidRPr="00396CB4" w:rsidRDefault="00396CB4" w:rsidP="00396CB4">
            <w:pPr>
              <w:spacing w:after="0" w:line="240" w:lineRule="auto"/>
              <w:jc w:val="left"/>
              <w:rPr>
                <w:rFonts w:eastAsia="Times New Roman" w:cs="Calibri"/>
                <w:color w:val="FFFFFF"/>
                <w:szCs w:val="24"/>
                <w:lang w:eastAsia="es-CR"/>
              </w:rPr>
            </w:pPr>
            <w:proofErr w:type="spellStart"/>
            <w:r w:rsidRPr="00396CB4">
              <w:rPr>
                <w:rFonts w:eastAsia="Times New Roman" w:cs="Calibri"/>
                <w:color w:val="FFFFFF"/>
                <w:szCs w:val="24"/>
                <w:lang w:eastAsia="es-CR"/>
              </w:rPr>
              <w:t>Porcentaje_Avance</w:t>
            </w:r>
            <w:proofErr w:type="spellEnd"/>
          </w:p>
        </w:tc>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3BD4F1A4" w14:textId="77777777" w:rsidR="00396CB4" w:rsidRPr="00396CB4" w:rsidRDefault="00396CB4" w:rsidP="00396CB4">
            <w:pPr>
              <w:spacing w:after="0" w:line="240" w:lineRule="auto"/>
              <w:jc w:val="center"/>
              <w:rPr>
                <w:rFonts w:eastAsia="Times New Roman" w:cs="Calibri"/>
                <w:color w:val="000000"/>
                <w:sz w:val="22"/>
                <w:lang w:eastAsia="es-CR"/>
              </w:rPr>
            </w:pPr>
            <w:r w:rsidRPr="00396CB4">
              <w:rPr>
                <w:rFonts w:eastAsia="Times New Roman" w:cs="Calibri"/>
                <w:color w:val="000000"/>
                <w:sz w:val="22"/>
                <w:lang w:eastAsia="es-CR"/>
              </w:rPr>
              <w:t>90,00%</w:t>
            </w:r>
          </w:p>
        </w:tc>
      </w:tr>
    </w:tbl>
    <w:p w14:paraId="0D4FDC6A" w14:textId="1537BF88" w:rsidR="0092145A" w:rsidRPr="0034451D" w:rsidRDefault="0034451D" w:rsidP="0092145A">
      <w:r>
        <w:fldChar w:fldCharType="end"/>
      </w:r>
      <w:r w:rsidR="0092145A">
        <w:rPr>
          <w:b/>
          <w:sz w:val="16"/>
          <w:szCs w:val="16"/>
          <w:lang w:eastAsia="es-CR"/>
        </w:rPr>
        <w:t xml:space="preserve">    </w:t>
      </w:r>
      <w:r>
        <w:rPr>
          <w:b/>
          <w:sz w:val="16"/>
          <w:szCs w:val="16"/>
          <w:lang w:eastAsia="es-CR"/>
        </w:rPr>
        <w:t xml:space="preserve">                                          </w:t>
      </w:r>
      <w:r w:rsidR="0092145A">
        <w:rPr>
          <w:b/>
          <w:sz w:val="16"/>
          <w:szCs w:val="16"/>
          <w:lang w:eastAsia="es-CR"/>
        </w:rPr>
        <w:t xml:space="preserve"> </w:t>
      </w:r>
      <w:r w:rsidR="0092145A" w:rsidRPr="00C35565">
        <w:rPr>
          <w:b/>
          <w:sz w:val="16"/>
          <w:szCs w:val="16"/>
          <w:lang w:eastAsia="es-CR"/>
        </w:rPr>
        <w:t>-Aplicación Obligatoria-</w:t>
      </w:r>
    </w:p>
    <w:p w14:paraId="4E3654F9" w14:textId="5B547E5B" w:rsidR="0092145A" w:rsidRDefault="00F56F0E" w:rsidP="00F56F0E">
      <w:pPr>
        <w:jc w:val="center"/>
      </w:pPr>
      <w:r w:rsidRPr="0059406F">
        <w:rPr>
          <w:noProof/>
          <w:lang w:eastAsia="es-CR"/>
        </w:rPr>
        <w:lastRenderedPageBreak/>
        <w:drawing>
          <wp:inline distT="0" distB="0" distL="0" distR="0" wp14:anchorId="54980D0B" wp14:editId="683949C4">
            <wp:extent cx="4602480" cy="2301240"/>
            <wp:effectExtent l="0" t="0" r="0" b="0"/>
            <wp:docPr id="5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02480" cy="2301240"/>
                    </a:xfrm>
                    <a:prstGeom prst="rect">
                      <a:avLst/>
                    </a:prstGeom>
                    <a:noFill/>
                    <a:ln>
                      <a:noFill/>
                    </a:ln>
                  </pic:spPr>
                </pic:pic>
              </a:graphicData>
            </a:graphic>
          </wp:inline>
        </w:drawing>
      </w:r>
    </w:p>
    <w:p w14:paraId="2B0E1765" w14:textId="77777777" w:rsidR="00F56F0E" w:rsidRPr="004C209C" w:rsidRDefault="00F56F0E" w:rsidP="00F56F0E">
      <w:pPr>
        <w:rPr>
          <w:lang w:val="es-ES"/>
        </w:rPr>
      </w:pPr>
      <w:r w:rsidRPr="004C209C">
        <w:rPr>
          <w:lang w:val="es-ES"/>
        </w:rPr>
        <w:t>En el presente PGCN se establece, conjuntamente con las NICSP, la normativa que se deberá aplicar ante las siguientes situaciones:</w:t>
      </w:r>
    </w:p>
    <w:p w14:paraId="3DF954E9" w14:textId="77777777" w:rsidR="00F56F0E" w:rsidRPr="00F56F0E" w:rsidRDefault="00F56F0E">
      <w:pPr>
        <w:pStyle w:val="Prrafodelista"/>
        <w:numPr>
          <w:ilvl w:val="0"/>
          <w:numId w:val="2"/>
        </w:numPr>
        <w:rPr>
          <w:lang w:val="es-ES"/>
        </w:rPr>
      </w:pPr>
      <w:r w:rsidRPr="00F56F0E">
        <w:rPr>
          <w:lang w:val="es-AR"/>
        </w:rPr>
        <w:t>la selección y aplicación de políticas contables;</w:t>
      </w:r>
    </w:p>
    <w:p w14:paraId="7069B4AE" w14:textId="77777777" w:rsidR="00F56F0E" w:rsidRPr="00F56F0E" w:rsidRDefault="00F56F0E">
      <w:pPr>
        <w:pStyle w:val="Prrafodelista"/>
        <w:numPr>
          <w:ilvl w:val="0"/>
          <w:numId w:val="2"/>
        </w:numPr>
        <w:rPr>
          <w:lang w:val="es-ES"/>
        </w:rPr>
      </w:pPr>
      <w:r w:rsidRPr="00F56F0E">
        <w:rPr>
          <w:lang w:val="es-AR"/>
        </w:rPr>
        <w:t xml:space="preserve">la contabilización de los cambios en las mismas, en las estimaciones contables; y </w:t>
      </w:r>
    </w:p>
    <w:p w14:paraId="12D6261A" w14:textId="3E8CBA1D" w:rsidR="00982595" w:rsidRPr="00486EC5" w:rsidRDefault="00F56F0E">
      <w:pPr>
        <w:pStyle w:val="Prrafodelista"/>
        <w:numPr>
          <w:ilvl w:val="0"/>
          <w:numId w:val="2"/>
        </w:numPr>
        <w:rPr>
          <w:lang w:val="es-ES"/>
        </w:rPr>
      </w:pPr>
      <w:r w:rsidRPr="00F56F0E">
        <w:rPr>
          <w:lang w:val="es-AR"/>
        </w:rPr>
        <w:t>la corrección de errores de períodos anteriores.</w:t>
      </w:r>
    </w:p>
    <w:p w14:paraId="1CFBDB39" w14:textId="77777777" w:rsidR="00396CB4" w:rsidRPr="00396CB4" w:rsidRDefault="00707625" w:rsidP="00396CB4">
      <w:pPr>
        <w:pStyle w:val="Prrafodelista"/>
        <w:rPr>
          <w:lang w:val="es-ES"/>
        </w:rPr>
      </w:pPr>
      <w:r>
        <w:rPr>
          <w:lang w:val="es-ES"/>
        </w:rPr>
        <w:fldChar w:fldCharType="begin"/>
      </w:r>
      <w:r w:rsidRPr="001C7FD6">
        <w:rPr>
          <w:lang w:val="es-ES"/>
        </w:rPr>
        <w:instrText xml:space="preserve"> LINK </w:instrText>
      </w:r>
      <w:r w:rsidR="00756467">
        <w:rPr>
          <w:lang w:val="es-ES"/>
        </w:rPr>
        <w:instrText xml:space="preserve">Excel.SheetMacroEnabled.12 "C:\\Users\\gcordero\\Downloads\\Notas diciembre 2024\\Formato_Notas_EEFF_Vinculadas_2024\\Formato_Notas_EEFF_Vinculadas_2024\\15603_T04_2024_Anexo_Estado_Notas_Contables_Vinculadas.xlsm" NICSP_3!F15C3:F18C6 </w:instrText>
      </w:r>
      <w:r w:rsidRPr="001C7FD6">
        <w:rPr>
          <w:lang w:val="es-ES"/>
        </w:rPr>
        <w:instrText xml:space="preserve">\a \f 4 \h  \* MERGEFORMAT </w:instrText>
      </w:r>
      <w:r>
        <w:rPr>
          <w:lang w:val="es-ES"/>
        </w:rPr>
        <w:fldChar w:fldCharType="separate"/>
      </w:r>
    </w:p>
    <w:tbl>
      <w:tblPr>
        <w:tblW w:w="7911" w:type="dxa"/>
        <w:jc w:val="center"/>
        <w:tblCellMar>
          <w:left w:w="70" w:type="dxa"/>
          <w:right w:w="70" w:type="dxa"/>
        </w:tblCellMar>
        <w:tblLook w:val="04A0" w:firstRow="1" w:lastRow="0" w:firstColumn="1" w:lastColumn="0" w:noHBand="0" w:noVBand="1"/>
      </w:tblPr>
      <w:tblGrid>
        <w:gridCol w:w="2411"/>
        <w:gridCol w:w="1933"/>
        <w:gridCol w:w="1455"/>
        <w:gridCol w:w="2112"/>
      </w:tblGrid>
      <w:tr w:rsidR="00396CB4" w:rsidRPr="00396CB4" w14:paraId="65925F8A" w14:textId="77777777" w:rsidTr="00396CB4">
        <w:trPr>
          <w:divId w:val="1165171765"/>
          <w:trHeight w:val="330"/>
          <w:jc w:val="center"/>
        </w:trPr>
        <w:tc>
          <w:tcPr>
            <w:tcW w:w="2411"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34F44478" w14:textId="7BB2FF5F" w:rsidR="00396CB4" w:rsidRPr="00396CB4" w:rsidRDefault="00396CB4" w:rsidP="00396CB4">
            <w:pPr>
              <w:spacing w:after="0" w:line="240" w:lineRule="auto"/>
              <w:jc w:val="center"/>
              <w:rPr>
                <w:rFonts w:eastAsia="Times New Roman" w:cs="Calibri"/>
                <w:color w:val="FFFFFF"/>
                <w:sz w:val="22"/>
                <w:lang w:eastAsia="es-CR"/>
              </w:rPr>
            </w:pPr>
            <w:r w:rsidRPr="00396CB4">
              <w:rPr>
                <w:rFonts w:eastAsia="Times New Roman" w:cs="Calibri"/>
                <w:color w:val="FFFFFF"/>
                <w:sz w:val="22"/>
                <w:lang w:eastAsia="es-CR"/>
              </w:rPr>
              <w:t>Cambio Estimación</w:t>
            </w:r>
          </w:p>
        </w:tc>
        <w:tc>
          <w:tcPr>
            <w:tcW w:w="1933" w:type="dxa"/>
            <w:tcBorders>
              <w:top w:val="single" w:sz="8" w:space="0" w:color="auto"/>
              <w:left w:val="nil"/>
              <w:bottom w:val="single" w:sz="8" w:space="0" w:color="auto"/>
              <w:right w:val="single" w:sz="8" w:space="0" w:color="auto"/>
            </w:tcBorders>
            <w:shd w:val="clear" w:color="000000" w:fill="1F3864"/>
            <w:noWrap/>
            <w:vAlign w:val="center"/>
            <w:hideMark/>
          </w:tcPr>
          <w:p w14:paraId="19F38E28" w14:textId="77777777" w:rsidR="00396CB4" w:rsidRPr="00396CB4" w:rsidRDefault="00396CB4" w:rsidP="00396CB4">
            <w:pPr>
              <w:spacing w:after="0" w:line="240" w:lineRule="auto"/>
              <w:jc w:val="center"/>
              <w:rPr>
                <w:rFonts w:eastAsia="Times New Roman" w:cs="Calibri"/>
                <w:color w:val="FFFFFF"/>
                <w:sz w:val="22"/>
                <w:lang w:eastAsia="es-CR"/>
              </w:rPr>
            </w:pPr>
            <w:r w:rsidRPr="00396CB4">
              <w:rPr>
                <w:rFonts w:eastAsia="Times New Roman" w:cs="Calibri"/>
                <w:color w:val="FFFFFF"/>
                <w:sz w:val="22"/>
                <w:lang w:eastAsia="es-CR"/>
              </w:rPr>
              <w:t>Naturaleza</w:t>
            </w:r>
          </w:p>
        </w:tc>
        <w:tc>
          <w:tcPr>
            <w:tcW w:w="1455" w:type="dxa"/>
            <w:tcBorders>
              <w:top w:val="single" w:sz="8" w:space="0" w:color="auto"/>
              <w:left w:val="nil"/>
              <w:bottom w:val="single" w:sz="8" w:space="0" w:color="auto"/>
              <w:right w:val="single" w:sz="8" w:space="0" w:color="auto"/>
            </w:tcBorders>
            <w:shd w:val="clear" w:color="000000" w:fill="1F3864"/>
            <w:noWrap/>
            <w:vAlign w:val="center"/>
            <w:hideMark/>
          </w:tcPr>
          <w:p w14:paraId="2FA150DA" w14:textId="77777777" w:rsidR="00396CB4" w:rsidRPr="00396CB4" w:rsidRDefault="00396CB4" w:rsidP="00396CB4">
            <w:pPr>
              <w:spacing w:after="0" w:line="240" w:lineRule="auto"/>
              <w:jc w:val="center"/>
              <w:rPr>
                <w:rFonts w:eastAsia="Times New Roman" w:cs="Calibri"/>
                <w:color w:val="FFFFFF"/>
                <w:sz w:val="22"/>
                <w:lang w:eastAsia="es-CR"/>
              </w:rPr>
            </w:pPr>
            <w:r w:rsidRPr="00396CB4">
              <w:rPr>
                <w:rFonts w:eastAsia="Times New Roman" w:cs="Calibri"/>
                <w:color w:val="FFFFFF"/>
                <w:sz w:val="22"/>
                <w:lang w:eastAsia="es-CR"/>
              </w:rPr>
              <w:t>Periodo</w:t>
            </w:r>
          </w:p>
        </w:tc>
        <w:tc>
          <w:tcPr>
            <w:tcW w:w="2112" w:type="dxa"/>
            <w:tcBorders>
              <w:top w:val="single" w:sz="8" w:space="0" w:color="auto"/>
              <w:left w:val="nil"/>
              <w:bottom w:val="single" w:sz="8" w:space="0" w:color="auto"/>
              <w:right w:val="single" w:sz="8" w:space="0" w:color="auto"/>
            </w:tcBorders>
            <w:shd w:val="clear" w:color="000000" w:fill="1F3864"/>
            <w:noWrap/>
            <w:vAlign w:val="center"/>
            <w:hideMark/>
          </w:tcPr>
          <w:p w14:paraId="5AA77723" w14:textId="77777777" w:rsidR="00396CB4" w:rsidRPr="00396CB4" w:rsidRDefault="00396CB4" w:rsidP="00396CB4">
            <w:pPr>
              <w:spacing w:after="0" w:line="240" w:lineRule="auto"/>
              <w:jc w:val="center"/>
              <w:rPr>
                <w:rFonts w:eastAsia="Times New Roman" w:cs="Calibri"/>
                <w:color w:val="FFFFFF"/>
                <w:sz w:val="22"/>
                <w:lang w:eastAsia="es-CR"/>
              </w:rPr>
            </w:pPr>
            <w:r w:rsidRPr="00396CB4">
              <w:rPr>
                <w:rFonts w:eastAsia="Times New Roman" w:cs="Calibri"/>
                <w:color w:val="FFFFFF"/>
                <w:sz w:val="22"/>
                <w:lang w:eastAsia="es-CR"/>
              </w:rPr>
              <w:t>Efecto futuro</w:t>
            </w:r>
          </w:p>
        </w:tc>
      </w:tr>
      <w:tr w:rsidR="00396CB4" w:rsidRPr="00396CB4" w14:paraId="739D687E" w14:textId="77777777" w:rsidTr="00396CB4">
        <w:trPr>
          <w:divId w:val="1165171765"/>
          <w:trHeight w:val="343"/>
          <w:jc w:val="center"/>
        </w:trPr>
        <w:tc>
          <w:tcPr>
            <w:tcW w:w="2411" w:type="dxa"/>
            <w:tcBorders>
              <w:top w:val="nil"/>
              <w:left w:val="single" w:sz="8" w:space="0" w:color="auto"/>
              <w:bottom w:val="single" w:sz="8" w:space="0" w:color="auto"/>
              <w:right w:val="single" w:sz="8" w:space="0" w:color="auto"/>
            </w:tcBorders>
            <w:shd w:val="clear" w:color="auto" w:fill="auto"/>
            <w:noWrap/>
            <w:vAlign w:val="bottom"/>
            <w:hideMark/>
          </w:tcPr>
          <w:p w14:paraId="3B682B91" w14:textId="77777777" w:rsidR="00396CB4" w:rsidRPr="00396CB4" w:rsidRDefault="00396CB4" w:rsidP="00396CB4">
            <w:pPr>
              <w:spacing w:after="0" w:line="240" w:lineRule="auto"/>
              <w:jc w:val="left"/>
              <w:rPr>
                <w:rFonts w:eastAsia="Times New Roman" w:cs="Calibri"/>
                <w:color w:val="000000"/>
                <w:sz w:val="20"/>
                <w:szCs w:val="20"/>
                <w:lang w:eastAsia="es-CR"/>
              </w:rPr>
            </w:pPr>
            <w:r w:rsidRPr="00396CB4">
              <w:rPr>
                <w:rFonts w:eastAsia="Times New Roman" w:cs="Calibri"/>
                <w:color w:val="000000"/>
                <w:sz w:val="20"/>
                <w:szCs w:val="20"/>
                <w:lang w:eastAsia="es-CR"/>
              </w:rPr>
              <w:t> </w:t>
            </w:r>
          </w:p>
        </w:tc>
        <w:tc>
          <w:tcPr>
            <w:tcW w:w="1933" w:type="dxa"/>
            <w:tcBorders>
              <w:top w:val="nil"/>
              <w:left w:val="nil"/>
              <w:bottom w:val="single" w:sz="8" w:space="0" w:color="auto"/>
              <w:right w:val="single" w:sz="8" w:space="0" w:color="auto"/>
            </w:tcBorders>
            <w:shd w:val="clear" w:color="auto" w:fill="auto"/>
            <w:noWrap/>
            <w:vAlign w:val="bottom"/>
            <w:hideMark/>
          </w:tcPr>
          <w:p w14:paraId="265C2BE0" w14:textId="77777777" w:rsidR="00396CB4" w:rsidRPr="00396CB4" w:rsidRDefault="00396CB4" w:rsidP="00396CB4">
            <w:pPr>
              <w:spacing w:after="0" w:line="240" w:lineRule="auto"/>
              <w:jc w:val="left"/>
              <w:rPr>
                <w:rFonts w:eastAsia="Times New Roman" w:cs="Calibri"/>
                <w:color w:val="000000"/>
                <w:sz w:val="20"/>
                <w:szCs w:val="20"/>
                <w:lang w:eastAsia="es-CR"/>
              </w:rPr>
            </w:pPr>
            <w:r w:rsidRPr="00396CB4">
              <w:rPr>
                <w:rFonts w:eastAsia="Times New Roman" w:cs="Calibri"/>
                <w:color w:val="000000"/>
                <w:sz w:val="20"/>
                <w:szCs w:val="20"/>
                <w:lang w:eastAsia="es-CR"/>
              </w:rPr>
              <w:t> </w:t>
            </w:r>
          </w:p>
        </w:tc>
        <w:tc>
          <w:tcPr>
            <w:tcW w:w="1455" w:type="dxa"/>
            <w:tcBorders>
              <w:top w:val="nil"/>
              <w:left w:val="nil"/>
              <w:bottom w:val="single" w:sz="8" w:space="0" w:color="auto"/>
              <w:right w:val="single" w:sz="8" w:space="0" w:color="auto"/>
            </w:tcBorders>
            <w:shd w:val="clear" w:color="auto" w:fill="auto"/>
            <w:noWrap/>
            <w:vAlign w:val="bottom"/>
            <w:hideMark/>
          </w:tcPr>
          <w:p w14:paraId="390BEDD1" w14:textId="77777777" w:rsidR="00396CB4" w:rsidRPr="00396CB4" w:rsidRDefault="00396CB4" w:rsidP="00396CB4">
            <w:pPr>
              <w:spacing w:after="0" w:line="240" w:lineRule="auto"/>
              <w:jc w:val="left"/>
              <w:rPr>
                <w:rFonts w:eastAsia="Times New Roman" w:cs="Calibri"/>
                <w:color w:val="000000"/>
                <w:sz w:val="20"/>
                <w:szCs w:val="20"/>
                <w:lang w:eastAsia="es-CR"/>
              </w:rPr>
            </w:pPr>
            <w:r w:rsidRPr="00396CB4">
              <w:rPr>
                <w:rFonts w:eastAsia="Times New Roman" w:cs="Calibri"/>
                <w:color w:val="000000"/>
                <w:sz w:val="20"/>
                <w:szCs w:val="20"/>
                <w:lang w:eastAsia="es-CR"/>
              </w:rPr>
              <w:t> </w:t>
            </w:r>
          </w:p>
        </w:tc>
        <w:tc>
          <w:tcPr>
            <w:tcW w:w="2112" w:type="dxa"/>
            <w:tcBorders>
              <w:top w:val="nil"/>
              <w:left w:val="nil"/>
              <w:bottom w:val="single" w:sz="8" w:space="0" w:color="auto"/>
              <w:right w:val="single" w:sz="8" w:space="0" w:color="auto"/>
            </w:tcBorders>
            <w:shd w:val="clear" w:color="auto" w:fill="auto"/>
            <w:noWrap/>
            <w:vAlign w:val="bottom"/>
            <w:hideMark/>
          </w:tcPr>
          <w:p w14:paraId="19AF42AB" w14:textId="77777777" w:rsidR="00396CB4" w:rsidRPr="00396CB4" w:rsidRDefault="00396CB4" w:rsidP="00396CB4">
            <w:pPr>
              <w:spacing w:after="0" w:line="240" w:lineRule="auto"/>
              <w:jc w:val="left"/>
              <w:rPr>
                <w:rFonts w:eastAsia="Times New Roman" w:cs="Calibri"/>
                <w:color w:val="000000"/>
                <w:sz w:val="20"/>
                <w:szCs w:val="20"/>
                <w:lang w:eastAsia="es-CR"/>
              </w:rPr>
            </w:pPr>
            <w:r w:rsidRPr="00396CB4">
              <w:rPr>
                <w:rFonts w:eastAsia="Times New Roman" w:cs="Calibri"/>
                <w:color w:val="000000"/>
                <w:sz w:val="20"/>
                <w:szCs w:val="20"/>
                <w:lang w:eastAsia="es-CR"/>
              </w:rPr>
              <w:t> </w:t>
            </w:r>
          </w:p>
        </w:tc>
      </w:tr>
      <w:tr w:rsidR="00396CB4" w:rsidRPr="00396CB4" w14:paraId="7AF1B527" w14:textId="77777777" w:rsidTr="00396CB4">
        <w:trPr>
          <w:divId w:val="1165171765"/>
          <w:trHeight w:val="343"/>
          <w:jc w:val="center"/>
        </w:trPr>
        <w:tc>
          <w:tcPr>
            <w:tcW w:w="2411" w:type="dxa"/>
            <w:tcBorders>
              <w:top w:val="nil"/>
              <w:left w:val="single" w:sz="8" w:space="0" w:color="auto"/>
              <w:bottom w:val="single" w:sz="8" w:space="0" w:color="auto"/>
              <w:right w:val="single" w:sz="8" w:space="0" w:color="auto"/>
            </w:tcBorders>
            <w:shd w:val="clear" w:color="auto" w:fill="auto"/>
            <w:noWrap/>
            <w:vAlign w:val="bottom"/>
            <w:hideMark/>
          </w:tcPr>
          <w:p w14:paraId="78BEA9D3" w14:textId="77777777" w:rsidR="00396CB4" w:rsidRPr="00396CB4" w:rsidRDefault="00396CB4" w:rsidP="00396CB4">
            <w:pPr>
              <w:spacing w:after="0" w:line="240" w:lineRule="auto"/>
              <w:jc w:val="left"/>
              <w:rPr>
                <w:rFonts w:eastAsia="Times New Roman" w:cs="Calibri"/>
                <w:color w:val="000000"/>
                <w:sz w:val="20"/>
                <w:szCs w:val="20"/>
                <w:lang w:eastAsia="es-CR"/>
              </w:rPr>
            </w:pPr>
            <w:r w:rsidRPr="00396CB4">
              <w:rPr>
                <w:rFonts w:eastAsia="Times New Roman" w:cs="Calibri"/>
                <w:color w:val="000000"/>
                <w:sz w:val="20"/>
                <w:szCs w:val="20"/>
                <w:lang w:eastAsia="es-CR"/>
              </w:rPr>
              <w:t> </w:t>
            </w:r>
          </w:p>
        </w:tc>
        <w:tc>
          <w:tcPr>
            <w:tcW w:w="1933" w:type="dxa"/>
            <w:tcBorders>
              <w:top w:val="nil"/>
              <w:left w:val="nil"/>
              <w:bottom w:val="single" w:sz="8" w:space="0" w:color="auto"/>
              <w:right w:val="single" w:sz="8" w:space="0" w:color="auto"/>
            </w:tcBorders>
            <w:shd w:val="clear" w:color="auto" w:fill="auto"/>
            <w:noWrap/>
            <w:vAlign w:val="bottom"/>
            <w:hideMark/>
          </w:tcPr>
          <w:p w14:paraId="4585EDD3" w14:textId="77777777" w:rsidR="00396CB4" w:rsidRPr="00396CB4" w:rsidRDefault="00396CB4" w:rsidP="00396CB4">
            <w:pPr>
              <w:spacing w:after="0" w:line="240" w:lineRule="auto"/>
              <w:jc w:val="left"/>
              <w:rPr>
                <w:rFonts w:eastAsia="Times New Roman" w:cs="Calibri"/>
                <w:color w:val="000000"/>
                <w:sz w:val="20"/>
                <w:szCs w:val="20"/>
                <w:lang w:eastAsia="es-CR"/>
              </w:rPr>
            </w:pPr>
            <w:r w:rsidRPr="00396CB4">
              <w:rPr>
                <w:rFonts w:eastAsia="Times New Roman" w:cs="Calibri"/>
                <w:color w:val="000000"/>
                <w:sz w:val="20"/>
                <w:szCs w:val="20"/>
                <w:lang w:eastAsia="es-CR"/>
              </w:rPr>
              <w:t> </w:t>
            </w:r>
          </w:p>
        </w:tc>
        <w:tc>
          <w:tcPr>
            <w:tcW w:w="1455" w:type="dxa"/>
            <w:tcBorders>
              <w:top w:val="nil"/>
              <w:left w:val="nil"/>
              <w:bottom w:val="single" w:sz="8" w:space="0" w:color="auto"/>
              <w:right w:val="single" w:sz="8" w:space="0" w:color="auto"/>
            </w:tcBorders>
            <w:shd w:val="clear" w:color="auto" w:fill="auto"/>
            <w:noWrap/>
            <w:vAlign w:val="bottom"/>
            <w:hideMark/>
          </w:tcPr>
          <w:p w14:paraId="3E01A054" w14:textId="77777777" w:rsidR="00396CB4" w:rsidRPr="00396CB4" w:rsidRDefault="00396CB4" w:rsidP="00396CB4">
            <w:pPr>
              <w:spacing w:after="0" w:line="240" w:lineRule="auto"/>
              <w:jc w:val="left"/>
              <w:rPr>
                <w:rFonts w:eastAsia="Times New Roman" w:cs="Calibri"/>
                <w:color w:val="000000"/>
                <w:sz w:val="20"/>
                <w:szCs w:val="20"/>
                <w:lang w:eastAsia="es-CR"/>
              </w:rPr>
            </w:pPr>
            <w:r w:rsidRPr="00396CB4">
              <w:rPr>
                <w:rFonts w:eastAsia="Times New Roman" w:cs="Calibri"/>
                <w:color w:val="000000"/>
                <w:sz w:val="20"/>
                <w:szCs w:val="20"/>
                <w:lang w:eastAsia="es-CR"/>
              </w:rPr>
              <w:t> </w:t>
            </w:r>
          </w:p>
        </w:tc>
        <w:tc>
          <w:tcPr>
            <w:tcW w:w="2112" w:type="dxa"/>
            <w:tcBorders>
              <w:top w:val="nil"/>
              <w:left w:val="nil"/>
              <w:bottom w:val="single" w:sz="8" w:space="0" w:color="auto"/>
              <w:right w:val="single" w:sz="8" w:space="0" w:color="auto"/>
            </w:tcBorders>
            <w:shd w:val="clear" w:color="auto" w:fill="auto"/>
            <w:noWrap/>
            <w:vAlign w:val="bottom"/>
            <w:hideMark/>
          </w:tcPr>
          <w:p w14:paraId="5F7086D6" w14:textId="77777777" w:rsidR="00396CB4" w:rsidRPr="00396CB4" w:rsidRDefault="00396CB4" w:rsidP="00396CB4">
            <w:pPr>
              <w:spacing w:after="0" w:line="240" w:lineRule="auto"/>
              <w:jc w:val="left"/>
              <w:rPr>
                <w:rFonts w:eastAsia="Times New Roman" w:cs="Calibri"/>
                <w:color w:val="000000"/>
                <w:sz w:val="20"/>
                <w:szCs w:val="20"/>
                <w:lang w:eastAsia="es-CR"/>
              </w:rPr>
            </w:pPr>
            <w:r w:rsidRPr="00396CB4">
              <w:rPr>
                <w:rFonts w:eastAsia="Times New Roman" w:cs="Calibri"/>
                <w:color w:val="000000"/>
                <w:sz w:val="20"/>
                <w:szCs w:val="20"/>
                <w:lang w:eastAsia="es-CR"/>
              </w:rPr>
              <w:t> </w:t>
            </w:r>
          </w:p>
        </w:tc>
      </w:tr>
      <w:tr w:rsidR="00396CB4" w:rsidRPr="00396CB4" w14:paraId="6DAF5DEB" w14:textId="77777777" w:rsidTr="00396CB4">
        <w:trPr>
          <w:divId w:val="1165171765"/>
          <w:trHeight w:val="343"/>
          <w:jc w:val="center"/>
        </w:trPr>
        <w:tc>
          <w:tcPr>
            <w:tcW w:w="2411" w:type="dxa"/>
            <w:tcBorders>
              <w:top w:val="nil"/>
              <w:left w:val="single" w:sz="8" w:space="0" w:color="auto"/>
              <w:bottom w:val="single" w:sz="8" w:space="0" w:color="auto"/>
              <w:right w:val="single" w:sz="8" w:space="0" w:color="auto"/>
            </w:tcBorders>
            <w:shd w:val="clear" w:color="auto" w:fill="auto"/>
            <w:noWrap/>
            <w:vAlign w:val="bottom"/>
            <w:hideMark/>
          </w:tcPr>
          <w:p w14:paraId="25BF8B36" w14:textId="77777777" w:rsidR="00396CB4" w:rsidRPr="00396CB4" w:rsidRDefault="00396CB4" w:rsidP="00396CB4">
            <w:pPr>
              <w:spacing w:after="0" w:line="240" w:lineRule="auto"/>
              <w:jc w:val="left"/>
              <w:rPr>
                <w:rFonts w:eastAsia="Times New Roman" w:cs="Calibri"/>
                <w:color w:val="000000"/>
                <w:sz w:val="20"/>
                <w:szCs w:val="20"/>
                <w:lang w:eastAsia="es-CR"/>
              </w:rPr>
            </w:pPr>
            <w:r w:rsidRPr="00396CB4">
              <w:rPr>
                <w:rFonts w:eastAsia="Times New Roman" w:cs="Calibri"/>
                <w:color w:val="000000"/>
                <w:sz w:val="20"/>
                <w:szCs w:val="20"/>
                <w:lang w:eastAsia="es-CR"/>
              </w:rPr>
              <w:t> </w:t>
            </w:r>
          </w:p>
        </w:tc>
        <w:tc>
          <w:tcPr>
            <w:tcW w:w="1933" w:type="dxa"/>
            <w:tcBorders>
              <w:top w:val="nil"/>
              <w:left w:val="nil"/>
              <w:bottom w:val="single" w:sz="8" w:space="0" w:color="auto"/>
              <w:right w:val="single" w:sz="8" w:space="0" w:color="auto"/>
            </w:tcBorders>
            <w:shd w:val="clear" w:color="auto" w:fill="auto"/>
            <w:noWrap/>
            <w:vAlign w:val="bottom"/>
            <w:hideMark/>
          </w:tcPr>
          <w:p w14:paraId="404C5BC7" w14:textId="77777777" w:rsidR="00396CB4" w:rsidRPr="00396CB4" w:rsidRDefault="00396CB4" w:rsidP="00396CB4">
            <w:pPr>
              <w:spacing w:after="0" w:line="240" w:lineRule="auto"/>
              <w:jc w:val="left"/>
              <w:rPr>
                <w:rFonts w:eastAsia="Times New Roman" w:cs="Calibri"/>
                <w:color w:val="000000"/>
                <w:sz w:val="20"/>
                <w:szCs w:val="20"/>
                <w:lang w:eastAsia="es-CR"/>
              </w:rPr>
            </w:pPr>
            <w:r w:rsidRPr="00396CB4">
              <w:rPr>
                <w:rFonts w:eastAsia="Times New Roman" w:cs="Calibri"/>
                <w:color w:val="000000"/>
                <w:sz w:val="20"/>
                <w:szCs w:val="20"/>
                <w:lang w:eastAsia="es-CR"/>
              </w:rPr>
              <w:t> </w:t>
            </w:r>
          </w:p>
        </w:tc>
        <w:tc>
          <w:tcPr>
            <w:tcW w:w="1455" w:type="dxa"/>
            <w:tcBorders>
              <w:top w:val="nil"/>
              <w:left w:val="nil"/>
              <w:bottom w:val="single" w:sz="8" w:space="0" w:color="auto"/>
              <w:right w:val="single" w:sz="8" w:space="0" w:color="auto"/>
            </w:tcBorders>
            <w:shd w:val="clear" w:color="auto" w:fill="auto"/>
            <w:noWrap/>
            <w:vAlign w:val="bottom"/>
            <w:hideMark/>
          </w:tcPr>
          <w:p w14:paraId="4C69ADDF" w14:textId="77777777" w:rsidR="00396CB4" w:rsidRPr="00396CB4" w:rsidRDefault="00396CB4" w:rsidP="00396CB4">
            <w:pPr>
              <w:spacing w:after="0" w:line="240" w:lineRule="auto"/>
              <w:jc w:val="left"/>
              <w:rPr>
                <w:rFonts w:eastAsia="Times New Roman" w:cs="Calibri"/>
                <w:color w:val="000000"/>
                <w:sz w:val="20"/>
                <w:szCs w:val="20"/>
                <w:lang w:eastAsia="es-CR"/>
              </w:rPr>
            </w:pPr>
            <w:r w:rsidRPr="00396CB4">
              <w:rPr>
                <w:rFonts w:eastAsia="Times New Roman" w:cs="Calibri"/>
                <w:color w:val="000000"/>
                <w:sz w:val="20"/>
                <w:szCs w:val="20"/>
                <w:lang w:eastAsia="es-CR"/>
              </w:rPr>
              <w:t> </w:t>
            </w:r>
          </w:p>
        </w:tc>
        <w:tc>
          <w:tcPr>
            <w:tcW w:w="2112" w:type="dxa"/>
            <w:tcBorders>
              <w:top w:val="nil"/>
              <w:left w:val="nil"/>
              <w:bottom w:val="single" w:sz="8" w:space="0" w:color="auto"/>
              <w:right w:val="single" w:sz="8" w:space="0" w:color="auto"/>
            </w:tcBorders>
            <w:shd w:val="clear" w:color="auto" w:fill="auto"/>
            <w:noWrap/>
            <w:vAlign w:val="bottom"/>
            <w:hideMark/>
          </w:tcPr>
          <w:p w14:paraId="0D400FEB" w14:textId="77777777" w:rsidR="00396CB4" w:rsidRPr="00396CB4" w:rsidRDefault="00396CB4" w:rsidP="00396CB4">
            <w:pPr>
              <w:spacing w:after="0" w:line="240" w:lineRule="auto"/>
              <w:jc w:val="left"/>
              <w:rPr>
                <w:rFonts w:eastAsia="Times New Roman" w:cs="Calibri"/>
                <w:color w:val="000000"/>
                <w:sz w:val="20"/>
                <w:szCs w:val="20"/>
                <w:lang w:eastAsia="es-CR"/>
              </w:rPr>
            </w:pPr>
            <w:r w:rsidRPr="00396CB4">
              <w:rPr>
                <w:rFonts w:eastAsia="Times New Roman" w:cs="Calibri"/>
                <w:color w:val="000000"/>
                <w:sz w:val="20"/>
                <w:szCs w:val="20"/>
                <w:lang w:eastAsia="es-CR"/>
              </w:rPr>
              <w:t> </w:t>
            </w:r>
          </w:p>
        </w:tc>
      </w:tr>
    </w:tbl>
    <w:p w14:paraId="2A0C164B" w14:textId="77777777" w:rsidR="00396CB4" w:rsidRPr="00396CB4" w:rsidRDefault="00707625" w:rsidP="00707625">
      <w:pPr>
        <w:rPr>
          <w:lang w:val="es-ES"/>
        </w:rPr>
      </w:pPr>
      <w:r>
        <w:rPr>
          <w:lang w:val="es-ES"/>
        </w:rPr>
        <w:fldChar w:fldCharType="end"/>
      </w:r>
      <w:r>
        <w:rPr>
          <w:lang w:val="es-ES"/>
        </w:rPr>
        <w:fldChar w:fldCharType="begin"/>
      </w:r>
      <w:r>
        <w:rPr>
          <w:lang w:val="es-ES"/>
        </w:rPr>
        <w:instrText xml:space="preserve"> LINK </w:instrText>
      </w:r>
      <w:r w:rsidR="00756467">
        <w:rPr>
          <w:lang w:val="es-ES"/>
        </w:rPr>
        <w:instrText xml:space="preserve">Excel.SheetMacroEnabled.12 "C:\\Users\\gcordero\\Downloads\\Notas diciembre 2024\\Formato_Notas_EEFF_Vinculadas_2024\\Formato_Notas_EEFF_Vinculadas_2024\\15603_T04_2024_Anexo_Estado_Notas_Contables_Vinculadas.xlsm" NICSP_3!F15C8:F18C11 </w:instrText>
      </w:r>
      <w:r>
        <w:rPr>
          <w:lang w:val="es-ES"/>
        </w:rPr>
        <w:instrText xml:space="preserve">\a \f 4 \h  \* MERGEFORMAT </w:instrText>
      </w:r>
      <w:r>
        <w:rPr>
          <w:lang w:val="es-ES"/>
        </w:rPr>
        <w:fldChar w:fldCharType="separate"/>
      </w:r>
    </w:p>
    <w:tbl>
      <w:tblPr>
        <w:tblW w:w="7925" w:type="dxa"/>
        <w:jc w:val="center"/>
        <w:tblCellMar>
          <w:left w:w="70" w:type="dxa"/>
          <w:right w:w="70" w:type="dxa"/>
        </w:tblCellMar>
        <w:tblLook w:val="04A0" w:firstRow="1" w:lastRow="0" w:firstColumn="1" w:lastColumn="0" w:noHBand="0" w:noVBand="1"/>
      </w:tblPr>
      <w:tblGrid>
        <w:gridCol w:w="2359"/>
        <w:gridCol w:w="1956"/>
        <w:gridCol w:w="1472"/>
        <w:gridCol w:w="2138"/>
      </w:tblGrid>
      <w:tr w:rsidR="00396CB4" w:rsidRPr="00396CB4" w14:paraId="47B724ED" w14:textId="77777777" w:rsidTr="00396CB4">
        <w:trPr>
          <w:divId w:val="1858470264"/>
          <w:trHeight w:val="314"/>
          <w:jc w:val="center"/>
        </w:trPr>
        <w:tc>
          <w:tcPr>
            <w:tcW w:w="2359"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4FB03ACF" w14:textId="14054A9D" w:rsidR="00396CB4" w:rsidRPr="00396CB4" w:rsidRDefault="00396CB4" w:rsidP="00396CB4">
            <w:pPr>
              <w:spacing w:after="0" w:line="240" w:lineRule="auto"/>
              <w:jc w:val="center"/>
              <w:rPr>
                <w:rFonts w:eastAsia="Times New Roman" w:cs="Calibri"/>
                <w:color w:val="FFFFFF"/>
                <w:sz w:val="22"/>
                <w:lang w:eastAsia="es-CR"/>
              </w:rPr>
            </w:pPr>
            <w:r w:rsidRPr="00396CB4">
              <w:rPr>
                <w:rFonts w:eastAsia="Times New Roman" w:cs="Calibri"/>
                <w:color w:val="FFFFFF"/>
                <w:sz w:val="22"/>
                <w:lang w:eastAsia="es-CR"/>
              </w:rPr>
              <w:t>Cambio Política Contable</w:t>
            </w:r>
          </w:p>
        </w:tc>
        <w:tc>
          <w:tcPr>
            <w:tcW w:w="1956" w:type="dxa"/>
            <w:tcBorders>
              <w:top w:val="single" w:sz="8" w:space="0" w:color="auto"/>
              <w:left w:val="nil"/>
              <w:bottom w:val="single" w:sz="8" w:space="0" w:color="auto"/>
              <w:right w:val="single" w:sz="8" w:space="0" w:color="auto"/>
            </w:tcBorders>
            <w:shd w:val="clear" w:color="000000" w:fill="1F3864"/>
            <w:noWrap/>
            <w:vAlign w:val="center"/>
            <w:hideMark/>
          </w:tcPr>
          <w:p w14:paraId="36CD00DA" w14:textId="77777777" w:rsidR="00396CB4" w:rsidRPr="00396CB4" w:rsidRDefault="00396CB4" w:rsidP="00396CB4">
            <w:pPr>
              <w:spacing w:after="0" w:line="240" w:lineRule="auto"/>
              <w:jc w:val="center"/>
              <w:rPr>
                <w:rFonts w:eastAsia="Times New Roman" w:cs="Calibri"/>
                <w:color w:val="FFFFFF"/>
                <w:sz w:val="22"/>
                <w:lang w:eastAsia="es-CR"/>
              </w:rPr>
            </w:pPr>
            <w:r w:rsidRPr="00396CB4">
              <w:rPr>
                <w:rFonts w:eastAsia="Times New Roman" w:cs="Calibri"/>
                <w:color w:val="FFFFFF"/>
                <w:sz w:val="22"/>
                <w:lang w:eastAsia="es-CR"/>
              </w:rPr>
              <w:t>Naturaleza</w:t>
            </w:r>
          </w:p>
        </w:tc>
        <w:tc>
          <w:tcPr>
            <w:tcW w:w="1472" w:type="dxa"/>
            <w:tcBorders>
              <w:top w:val="single" w:sz="8" w:space="0" w:color="auto"/>
              <w:left w:val="nil"/>
              <w:bottom w:val="single" w:sz="8" w:space="0" w:color="auto"/>
              <w:right w:val="single" w:sz="8" w:space="0" w:color="auto"/>
            </w:tcBorders>
            <w:shd w:val="clear" w:color="000000" w:fill="1F3864"/>
            <w:noWrap/>
            <w:vAlign w:val="center"/>
            <w:hideMark/>
          </w:tcPr>
          <w:p w14:paraId="71A66E7A" w14:textId="77777777" w:rsidR="00396CB4" w:rsidRPr="00396CB4" w:rsidRDefault="00396CB4" w:rsidP="00396CB4">
            <w:pPr>
              <w:spacing w:after="0" w:line="240" w:lineRule="auto"/>
              <w:jc w:val="center"/>
              <w:rPr>
                <w:rFonts w:eastAsia="Times New Roman" w:cs="Calibri"/>
                <w:color w:val="FFFFFF"/>
                <w:sz w:val="22"/>
                <w:lang w:eastAsia="es-CR"/>
              </w:rPr>
            </w:pPr>
            <w:r w:rsidRPr="00396CB4">
              <w:rPr>
                <w:rFonts w:eastAsia="Times New Roman" w:cs="Calibri"/>
                <w:color w:val="FFFFFF"/>
                <w:sz w:val="22"/>
                <w:lang w:eastAsia="es-CR"/>
              </w:rPr>
              <w:t>Periodo</w:t>
            </w:r>
          </w:p>
        </w:tc>
        <w:tc>
          <w:tcPr>
            <w:tcW w:w="2138" w:type="dxa"/>
            <w:tcBorders>
              <w:top w:val="single" w:sz="8" w:space="0" w:color="auto"/>
              <w:left w:val="nil"/>
              <w:bottom w:val="single" w:sz="8" w:space="0" w:color="auto"/>
              <w:right w:val="single" w:sz="8" w:space="0" w:color="auto"/>
            </w:tcBorders>
            <w:shd w:val="clear" w:color="000000" w:fill="1F3864"/>
            <w:noWrap/>
            <w:vAlign w:val="center"/>
            <w:hideMark/>
          </w:tcPr>
          <w:p w14:paraId="18E942DF" w14:textId="77777777" w:rsidR="00396CB4" w:rsidRPr="00396CB4" w:rsidRDefault="00396CB4" w:rsidP="00396CB4">
            <w:pPr>
              <w:spacing w:after="0" w:line="240" w:lineRule="auto"/>
              <w:jc w:val="center"/>
              <w:rPr>
                <w:rFonts w:eastAsia="Times New Roman" w:cs="Calibri"/>
                <w:color w:val="FFFFFF"/>
                <w:sz w:val="22"/>
                <w:lang w:eastAsia="es-CR"/>
              </w:rPr>
            </w:pPr>
            <w:r w:rsidRPr="00396CB4">
              <w:rPr>
                <w:rFonts w:eastAsia="Times New Roman" w:cs="Calibri"/>
                <w:color w:val="FFFFFF"/>
                <w:sz w:val="22"/>
                <w:lang w:eastAsia="es-CR"/>
              </w:rPr>
              <w:t>Efecto futuro</w:t>
            </w:r>
          </w:p>
        </w:tc>
      </w:tr>
      <w:tr w:rsidR="00396CB4" w:rsidRPr="00396CB4" w14:paraId="0C1ECF46" w14:textId="77777777" w:rsidTr="00396CB4">
        <w:trPr>
          <w:divId w:val="1858470264"/>
          <w:trHeight w:val="328"/>
          <w:jc w:val="center"/>
        </w:trPr>
        <w:tc>
          <w:tcPr>
            <w:tcW w:w="2359" w:type="dxa"/>
            <w:tcBorders>
              <w:top w:val="nil"/>
              <w:left w:val="single" w:sz="8" w:space="0" w:color="auto"/>
              <w:bottom w:val="single" w:sz="8" w:space="0" w:color="auto"/>
              <w:right w:val="single" w:sz="8" w:space="0" w:color="auto"/>
            </w:tcBorders>
            <w:shd w:val="clear" w:color="auto" w:fill="auto"/>
            <w:noWrap/>
            <w:vAlign w:val="bottom"/>
            <w:hideMark/>
          </w:tcPr>
          <w:p w14:paraId="58106F9D" w14:textId="77777777" w:rsidR="00396CB4" w:rsidRPr="00396CB4" w:rsidRDefault="00396CB4" w:rsidP="00396CB4">
            <w:pPr>
              <w:spacing w:after="0" w:line="240" w:lineRule="auto"/>
              <w:jc w:val="left"/>
              <w:rPr>
                <w:rFonts w:eastAsia="Times New Roman" w:cs="Calibri"/>
                <w:color w:val="000000"/>
                <w:sz w:val="20"/>
                <w:szCs w:val="20"/>
                <w:lang w:eastAsia="es-CR"/>
              </w:rPr>
            </w:pPr>
            <w:r w:rsidRPr="00396CB4">
              <w:rPr>
                <w:rFonts w:eastAsia="Times New Roman" w:cs="Calibri"/>
                <w:color w:val="000000"/>
                <w:sz w:val="20"/>
                <w:szCs w:val="20"/>
                <w:lang w:eastAsia="es-CR"/>
              </w:rPr>
              <w:t> </w:t>
            </w:r>
          </w:p>
        </w:tc>
        <w:tc>
          <w:tcPr>
            <w:tcW w:w="1956" w:type="dxa"/>
            <w:tcBorders>
              <w:top w:val="nil"/>
              <w:left w:val="nil"/>
              <w:bottom w:val="single" w:sz="8" w:space="0" w:color="auto"/>
              <w:right w:val="single" w:sz="8" w:space="0" w:color="auto"/>
            </w:tcBorders>
            <w:shd w:val="clear" w:color="auto" w:fill="auto"/>
            <w:noWrap/>
            <w:vAlign w:val="bottom"/>
            <w:hideMark/>
          </w:tcPr>
          <w:p w14:paraId="0996B9DF" w14:textId="77777777" w:rsidR="00396CB4" w:rsidRPr="00396CB4" w:rsidRDefault="00396CB4" w:rsidP="00396CB4">
            <w:pPr>
              <w:spacing w:after="0" w:line="240" w:lineRule="auto"/>
              <w:jc w:val="left"/>
              <w:rPr>
                <w:rFonts w:eastAsia="Times New Roman" w:cs="Calibri"/>
                <w:color w:val="000000"/>
                <w:sz w:val="20"/>
                <w:szCs w:val="20"/>
                <w:lang w:eastAsia="es-CR"/>
              </w:rPr>
            </w:pPr>
            <w:r w:rsidRPr="00396CB4">
              <w:rPr>
                <w:rFonts w:eastAsia="Times New Roman" w:cs="Calibri"/>
                <w:color w:val="000000"/>
                <w:sz w:val="20"/>
                <w:szCs w:val="20"/>
                <w:lang w:eastAsia="es-CR"/>
              </w:rPr>
              <w:t> </w:t>
            </w:r>
          </w:p>
        </w:tc>
        <w:tc>
          <w:tcPr>
            <w:tcW w:w="1472" w:type="dxa"/>
            <w:tcBorders>
              <w:top w:val="nil"/>
              <w:left w:val="nil"/>
              <w:bottom w:val="single" w:sz="8" w:space="0" w:color="auto"/>
              <w:right w:val="single" w:sz="8" w:space="0" w:color="auto"/>
            </w:tcBorders>
            <w:shd w:val="clear" w:color="auto" w:fill="auto"/>
            <w:noWrap/>
            <w:vAlign w:val="bottom"/>
            <w:hideMark/>
          </w:tcPr>
          <w:p w14:paraId="76655FB3" w14:textId="77777777" w:rsidR="00396CB4" w:rsidRPr="00396CB4" w:rsidRDefault="00396CB4" w:rsidP="00396CB4">
            <w:pPr>
              <w:spacing w:after="0" w:line="240" w:lineRule="auto"/>
              <w:jc w:val="left"/>
              <w:rPr>
                <w:rFonts w:eastAsia="Times New Roman" w:cs="Calibri"/>
                <w:color w:val="000000"/>
                <w:sz w:val="20"/>
                <w:szCs w:val="20"/>
                <w:lang w:eastAsia="es-CR"/>
              </w:rPr>
            </w:pPr>
            <w:r w:rsidRPr="00396CB4">
              <w:rPr>
                <w:rFonts w:eastAsia="Times New Roman" w:cs="Calibri"/>
                <w:color w:val="000000"/>
                <w:sz w:val="20"/>
                <w:szCs w:val="20"/>
                <w:lang w:eastAsia="es-CR"/>
              </w:rPr>
              <w:t> </w:t>
            </w:r>
          </w:p>
        </w:tc>
        <w:tc>
          <w:tcPr>
            <w:tcW w:w="2138" w:type="dxa"/>
            <w:tcBorders>
              <w:top w:val="nil"/>
              <w:left w:val="nil"/>
              <w:bottom w:val="single" w:sz="8" w:space="0" w:color="auto"/>
              <w:right w:val="single" w:sz="8" w:space="0" w:color="auto"/>
            </w:tcBorders>
            <w:shd w:val="clear" w:color="auto" w:fill="auto"/>
            <w:noWrap/>
            <w:vAlign w:val="bottom"/>
            <w:hideMark/>
          </w:tcPr>
          <w:p w14:paraId="2A153F01" w14:textId="77777777" w:rsidR="00396CB4" w:rsidRPr="00396CB4" w:rsidRDefault="00396CB4" w:rsidP="00396CB4">
            <w:pPr>
              <w:spacing w:after="0" w:line="240" w:lineRule="auto"/>
              <w:jc w:val="left"/>
              <w:rPr>
                <w:rFonts w:eastAsia="Times New Roman" w:cs="Calibri"/>
                <w:color w:val="000000"/>
                <w:sz w:val="20"/>
                <w:szCs w:val="20"/>
                <w:lang w:eastAsia="es-CR"/>
              </w:rPr>
            </w:pPr>
            <w:r w:rsidRPr="00396CB4">
              <w:rPr>
                <w:rFonts w:eastAsia="Times New Roman" w:cs="Calibri"/>
                <w:color w:val="000000"/>
                <w:sz w:val="20"/>
                <w:szCs w:val="20"/>
                <w:lang w:eastAsia="es-CR"/>
              </w:rPr>
              <w:t> </w:t>
            </w:r>
          </w:p>
        </w:tc>
      </w:tr>
      <w:tr w:rsidR="00396CB4" w:rsidRPr="00396CB4" w14:paraId="2BE4F71C" w14:textId="77777777" w:rsidTr="00396CB4">
        <w:trPr>
          <w:divId w:val="1858470264"/>
          <w:trHeight w:val="328"/>
          <w:jc w:val="center"/>
        </w:trPr>
        <w:tc>
          <w:tcPr>
            <w:tcW w:w="2359" w:type="dxa"/>
            <w:tcBorders>
              <w:top w:val="nil"/>
              <w:left w:val="single" w:sz="8" w:space="0" w:color="auto"/>
              <w:bottom w:val="single" w:sz="8" w:space="0" w:color="auto"/>
              <w:right w:val="single" w:sz="8" w:space="0" w:color="auto"/>
            </w:tcBorders>
            <w:shd w:val="clear" w:color="auto" w:fill="auto"/>
            <w:noWrap/>
            <w:vAlign w:val="bottom"/>
            <w:hideMark/>
          </w:tcPr>
          <w:p w14:paraId="150275F7" w14:textId="77777777" w:rsidR="00396CB4" w:rsidRPr="00396CB4" w:rsidRDefault="00396CB4" w:rsidP="00396CB4">
            <w:pPr>
              <w:spacing w:after="0" w:line="240" w:lineRule="auto"/>
              <w:jc w:val="left"/>
              <w:rPr>
                <w:rFonts w:eastAsia="Times New Roman" w:cs="Calibri"/>
                <w:color w:val="000000"/>
                <w:sz w:val="20"/>
                <w:szCs w:val="20"/>
                <w:lang w:eastAsia="es-CR"/>
              </w:rPr>
            </w:pPr>
            <w:r w:rsidRPr="00396CB4">
              <w:rPr>
                <w:rFonts w:eastAsia="Times New Roman" w:cs="Calibri"/>
                <w:color w:val="000000"/>
                <w:sz w:val="20"/>
                <w:szCs w:val="20"/>
                <w:lang w:eastAsia="es-CR"/>
              </w:rPr>
              <w:t> </w:t>
            </w:r>
          </w:p>
        </w:tc>
        <w:tc>
          <w:tcPr>
            <w:tcW w:w="1956" w:type="dxa"/>
            <w:tcBorders>
              <w:top w:val="nil"/>
              <w:left w:val="nil"/>
              <w:bottom w:val="single" w:sz="8" w:space="0" w:color="auto"/>
              <w:right w:val="single" w:sz="8" w:space="0" w:color="auto"/>
            </w:tcBorders>
            <w:shd w:val="clear" w:color="auto" w:fill="auto"/>
            <w:noWrap/>
            <w:vAlign w:val="bottom"/>
            <w:hideMark/>
          </w:tcPr>
          <w:p w14:paraId="1A744DCA" w14:textId="77777777" w:rsidR="00396CB4" w:rsidRPr="00396CB4" w:rsidRDefault="00396CB4" w:rsidP="00396CB4">
            <w:pPr>
              <w:spacing w:after="0" w:line="240" w:lineRule="auto"/>
              <w:jc w:val="left"/>
              <w:rPr>
                <w:rFonts w:eastAsia="Times New Roman" w:cs="Calibri"/>
                <w:color w:val="000000"/>
                <w:sz w:val="20"/>
                <w:szCs w:val="20"/>
                <w:lang w:eastAsia="es-CR"/>
              </w:rPr>
            </w:pPr>
            <w:r w:rsidRPr="00396CB4">
              <w:rPr>
                <w:rFonts w:eastAsia="Times New Roman" w:cs="Calibri"/>
                <w:color w:val="000000"/>
                <w:sz w:val="20"/>
                <w:szCs w:val="20"/>
                <w:lang w:eastAsia="es-CR"/>
              </w:rPr>
              <w:t> </w:t>
            </w:r>
          </w:p>
        </w:tc>
        <w:tc>
          <w:tcPr>
            <w:tcW w:w="1472" w:type="dxa"/>
            <w:tcBorders>
              <w:top w:val="nil"/>
              <w:left w:val="nil"/>
              <w:bottom w:val="single" w:sz="8" w:space="0" w:color="auto"/>
              <w:right w:val="single" w:sz="8" w:space="0" w:color="auto"/>
            </w:tcBorders>
            <w:shd w:val="clear" w:color="auto" w:fill="auto"/>
            <w:noWrap/>
            <w:vAlign w:val="bottom"/>
            <w:hideMark/>
          </w:tcPr>
          <w:p w14:paraId="7AD8F5AD" w14:textId="77777777" w:rsidR="00396CB4" w:rsidRPr="00396CB4" w:rsidRDefault="00396CB4" w:rsidP="00396CB4">
            <w:pPr>
              <w:spacing w:after="0" w:line="240" w:lineRule="auto"/>
              <w:jc w:val="left"/>
              <w:rPr>
                <w:rFonts w:eastAsia="Times New Roman" w:cs="Calibri"/>
                <w:color w:val="000000"/>
                <w:sz w:val="20"/>
                <w:szCs w:val="20"/>
                <w:lang w:eastAsia="es-CR"/>
              </w:rPr>
            </w:pPr>
            <w:r w:rsidRPr="00396CB4">
              <w:rPr>
                <w:rFonts w:eastAsia="Times New Roman" w:cs="Calibri"/>
                <w:color w:val="000000"/>
                <w:sz w:val="20"/>
                <w:szCs w:val="20"/>
                <w:lang w:eastAsia="es-CR"/>
              </w:rPr>
              <w:t> </w:t>
            </w:r>
          </w:p>
        </w:tc>
        <w:tc>
          <w:tcPr>
            <w:tcW w:w="2138" w:type="dxa"/>
            <w:tcBorders>
              <w:top w:val="nil"/>
              <w:left w:val="nil"/>
              <w:bottom w:val="single" w:sz="8" w:space="0" w:color="auto"/>
              <w:right w:val="single" w:sz="8" w:space="0" w:color="auto"/>
            </w:tcBorders>
            <w:shd w:val="clear" w:color="auto" w:fill="auto"/>
            <w:noWrap/>
            <w:vAlign w:val="bottom"/>
            <w:hideMark/>
          </w:tcPr>
          <w:p w14:paraId="7055EFFF" w14:textId="77777777" w:rsidR="00396CB4" w:rsidRPr="00396CB4" w:rsidRDefault="00396CB4" w:rsidP="00396CB4">
            <w:pPr>
              <w:spacing w:after="0" w:line="240" w:lineRule="auto"/>
              <w:jc w:val="left"/>
              <w:rPr>
                <w:rFonts w:eastAsia="Times New Roman" w:cs="Calibri"/>
                <w:color w:val="000000"/>
                <w:sz w:val="20"/>
                <w:szCs w:val="20"/>
                <w:lang w:eastAsia="es-CR"/>
              </w:rPr>
            </w:pPr>
            <w:r w:rsidRPr="00396CB4">
              <w:rPr>
                <w:rFonts w:eastAsia="Times New Roman" w:cs="Calibri"/>
                <w:color w:val="000000"/>
                <w:sz w:val="20"/>
                <w:szCs w:val="20"/>
                <w:lang w:eastAsia="es-CR"/>
              </w:rPr>
              <w:t> </w:t>
            </w:r>
          </w:p>
        </w:tc>
      </w:tr>
      <w:tr w:rsidR="00396CB4" w:rsidRPr="00396CB4" w14:paraId="4D8575CE" w14:textId="77777777" w:rsidTr="00396CB4">
        <w:trPr>
          <w:divId w:val="1858470264"/>
          <w:trHeight w:val="328"/>
          <w:jc w:val="center"/>
        </w:trPr>
        <w:tc>
          <w:tcPr>
            <w:tcW w:w="2359" w:type="dxa"/>
            <w:tcBorders>
              <w:top w:val="nil"/>
              <w:left w:val="single" w:sz="8" w:space="0" w:color="auto"/>
              <w:bottom w:val="single" w:sz="8" w:space="0" w:color="auto"/>
              <w:right w:val="single" w:sz="8" w:space="0" w:color="auto"/>
            </w:tcBorders>
            <w:shd w:val="clear" w:color="auto" w:fill="auto"/>
            <w:noWrap/>
            <w:vAlign w:val="bottom"/>
            <w:hideMark/>
          </w:tcPr>
          <w:p w14:paraId="09E8AF30" w14:textId="77777777" w:rsidR="00396CB4" w:rsidRPr="00396CB4" w:rsidRDefault="00396CB4" w:rsidP="00396CB4">
            <w:pPr>
              <w:spacing w:after="0" w:line="240" w:lineRule="auto"/>
              <w:jc w:val="left"/>
              <w:rPr>
                <w:rFonts w:eastAsia="Times New Roman" w:cs="Calibri"/>
                <w:color w:val="000000"/>
                <w:sz w:val="20"/>
                <w:szCs w:val="20"/>
                <w:lang w:eastAsia="es-CR"/>
              </w:rPr>
            </w:pPr>
            <w:r w:rsidRPr="00396CB4">
              <w:rPr>
                <w:rFonts w:eastAsia="Times New Roman" w:cs="Calibri"/>
                <w:color w:val="000000"/>
                <w:sz w:val="20"/>
                <w:szCs w:val="20"/>
                <w:lang w:eastAsia="es-CR"/>
              </w:rPr>
              <w:t> </w:t>
            </w:r>
          </w:p>
        </w:tc>
        <w:tc>
          <w:tcPr>
            <w:tcW w:w="1956" w:type="dxa"/>
            <w:tcBorders>
              <w:top w:val="nil"/>
              <w:left w:val="nil"/>
              <w:bottom w:val="single" w:sz="8" w:space="0" w:color="auto"/>
              <w:right w:val="single" w:sz="8" w:space="0" w:color="auto"/>
            </w:tcBorders>
            <w:shd w:val="clear" w:color="auto" w:fill="auto"/>
            <w:noWrap/>
            <w:vAlign w:val="bottom"/>
            <w:hideMark/>
          </w:tcPr>
          <w:p w14:paraId="3E9578E3" w14:textId="77777777" w:rsidR="00396CB4" w:rsidRPr="00396CB4" w:rsidRDefault="00396CB4" w:rsidP="00396CB4">
            <w:pPr>
              <w:spacing w:after="0" w:line="240" w:lineRule="auto"/>
              <w:jc w:val="left"/>
              <w:rPr>
                <w:rFonts w:eastAsia="Times New Roman" w:cs="Calibri"/>
                <w:color w:val="000000"/>
                <w:sz w:val="20"/>
                <w:szCs w:val="20"/>
                <w:lang w:eastAsia="es-CR"/>
              </w:rPr>
            </w:pPr>
            <w:r w:rsidRPr="00396CB4">
              <w:rPr>
                <w:rFonts w:eastAsia="Times New Roman" w:cs="Calibri"/>
                <w:color w:val="000000"/>
                <w:sz w:val="20"/>
                <w:szCs w:val="20"/>
                <w:lang w:eastAsia="es-CR"/>
              </w:rPr>
              <w:t> </w:t>
            </w:r>
          </w:p>
        </w:tc>
        <w:tc>
          <w:tcPr>
            <w:tcW w:w="1472" w:type="dxa"/>
            <w:tcBorders>
              <w:top w:val="nil"/>
              <w:left w:val="nil"/>
              <w:bottom w:val="single" w:sz="8" w:space="0" w:color="auto"/>
              <w:right w:val="single" w:sz="8" w:space="0" w:color="auto"/>
            </w:tcBorders>
            <w:shd w:val="clear" w:color="auto" w:fill="auto"/>
            <w:noWrap/>
            <w:vAlign w:val="bottom"/>
            <w:hideMark/>
          </w:tcPr>
          <w:p w14:paraId="074B7C01" w14:textId="77777777" w:rsidR="00396CB4" w:rsidRPr="00396CB4" w:rsidRDefault="00396CB4" w:rsidP="00396CB4">
            <w:pPr>
              <w:spacing w:after="0" w:line="240" w:lineRule="auto"/>
              <w:jc w:val="left"/>
              <w:rPr>
                <w:rFonts w:eastAsia="Times New Roman" w:cs="Calibri"/>
                <w:color w:val="000000"/>
                <w:sz w:val="20"/>
                <w:szCs w:val="20"/>
                <w:lang w:eastAsia="es-CR"/>
              </w:rPr>
            </w:pPr>
            <w:r w:rsidRPr="00396CB4">
              <w:rPr>
                <w:rFonts w:eastAsia="Times New Roman" w:cs="Calibri"/>
                <w:color w:val="000000"/>
                <w:sz w:val="20"/>
                <w:szCs w:val="20"/>
                <w:lang w:eastAsia="es-CR"/>
              </w:rPr>
              <w:t> </w:t>
            </w:r>
          </w:p>
        </w:tc>
        <w:tc>
          <w:tcPr>
            <w:tcW w:w="2138" w:type="dxa"/>
            <w:tcBorders>
              <w:top w:val="nil"/>
              <w:left w:val="nil"/>
              <w:bottom w:val="single" w:sz="8" w:space="0" w:color="auto"/>
              <w:right w:val="single" w:sz="8" w:space="0" w:color="auto"/>
            </w:tcBorders>
            <w:shd w:val="clear" w:color="auto" w:fill="auto"/>
            <w:noWrap/>
            <w:vAlign w:val="bottom"/>
            <w:hideMark/>
          </w:tcPr>
          <w:p w14:paraId="75E0D62D" w14:textId="77777777" w:rsidR="00396CB4" w:rsidRPr="00396CB4" w:rsidRDefault="00396CB4" w:rsidP="00396CB4">
            <w:pPr>
              <w:spacing w:after="0" w:line="240" w:lineRule="auto"/>
              <w:jc w:val="left"/>
              <w:rPr>
                <w:rFonts w:eastAsia="Times New Roman" w:cs="Calibri"/>
                <w:color w:val="000000"/>
                <w:sz w:val="20"/>
                <w:szCs w:val="20"/>
                <w:lang w:eastAsia="es-CR"/>
              </w:rPr>
            </w:pPr>
            <w:r w:rsidRPr="00396CB4">
              <w:rPr>
                <w:rFonts w:eastAsia="Times New Roman" w:cs="Calibri"/>
                <w:color w:val="000000"/>
                <w:sz w:val="20"/>
                <w:szCs w:val="20"/>
                <w:lang w:eastAsia="es-CR"/>
              </w:rPr>
              <w:t> </w:t>
            </w:r>
          </w:p>
        </w:tc>
      </w:tr>
    </w:tbl>
    <w:p w14:paraId="40A06CF7" w14:textId="77777777" w:rsidR="00396CB4" w:rsidRPr="00396CB4" w:rsidRDefault="00707625" w:rsidP="00707625">
      <w:pPr>
        <w:rPr>
          <w:lang w:val="es-ES"/>
        </w:rPr>
      </w:pPr>
      <w:r>
        <w:rPr>
          <w:lang w:val="es-ES"/>
        </w:rPr>
        <w:fldChar w:fldCharType="end"/>
      </w:r>
      <w:r>
        <w:rPr>
          <w:lang w:val="es-ES"/>
        </w:rPr>
        <w:fldChar w:fldCharType="begin"/>
      </w:r>
      <w:r>
        <w:rPr>
          <w:lang w:val="es-ES"/>
        </w:rPr>
        <w:instrText xml:space="preserve"> LINK </w:instrText>
      </w:r>
      <w:r w:rsidR="00756467">
        <w:rPr>
          <w:lang w:val="es-ES"/>
        </w:rPr>
        <w:instrText xml:space="preserve">Excel.SheetMacroEnabled.12 "C:\\Users\\gcordero\\Downloads\\Notas diciembre 2024\\Formato_Notas_EEFF_Vinculadas_2024\\Formato_Notas_EEFF_Vinculadas_2024\\15603_T04_2024_Anexo_Estado_Notas_Contables_Vinculadas.xlsm" NICSP_3!F15C13:F18C16 </w:instrText>
      </w:r>
      <w:r>
        <w:rPr>
          <w:lang w:val="es-ES"/>
        </w:rPr>
        <w:instrText xml:space="preserve">\a \f 4 \h  \* MERGEFORMAT </w:instrText>
      </w:r>
      <w:r>
        <w:rPr>
          <w:lang w:val="es-ES"/>
        </w:rPr>
        <w:fldChar w:fldCharType="separate"/>
      </w:r>
    </w:p>
    <w:tbl>
      <w:tblPr>
        <w:tblW w:w="7526" w:type="dxa"/>
        <w:jc w:val="center"/>
        <w:tblCellMar>
          <w:left w:w="70" w:type="dxa"/>
          <w:right w:w="70" w:type="dxa"/>
        </w:tblCellMar>
        <w:tblLook w:val="04A0" w:firstRow="1" w:lastRow="0" w:firstColumn="1" w:lastColumn="0" w:noHBand="0" w:noVBand="1"/>
      </w:tblPr>
      <w:tblGrid>
        <w:gridCol w:w="1957"/>
        <w:gridCol w:w="1957"/>
        <w:gridCol w:w="1473"/>
        <w:gridCol w:w="2139"/>
      </w:tblGrid>
      <w:tr w:rsidR="00396CB4" w:rsidRPr="00396CB4" w14:paraId="34A18A0F" w14:textId="77777777" w:rsidTr="00396CB4">
        <w:trPr>
          <w:divId w:val="2009866451"/>
          <w:trHeight w:val="335"/>
          <w:jc w:val="center"/>
        </w:trPr>
        <w:tc>
          <w:tcPr>
            <w:tcW w:w="1957"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62F7889D" w14:textId="150A20FE" w:rsidR="00396CB4" w:rsidRPr="00396CB4" w:rsidRDefault="00396CB4" w:rsidP="00396CB4">
            <w:pPr>
              <w:spacing w:after="0" w:line="240" w:lineRule="auto"/>
              <w:jc w:val="center"/>
              <w:rPr>
                <w:rFonts w:eastAsia="Times New Roman" w:cs="Calibri"/>
                <w:color w:val="FFFFFF"/>
                <w:sz w:val="22"/>
                <w:lang w:eastAsia="es-CR"/>
              </w:rPr>
            </w:pPr>
            <w:r w:rsidRPr="00396CB4">
              <w:rPr>
                <w:rFonts w:eastAsia="Times New Roman" w:cs="Calibri"/>
                <w:color w:val="FFFFFF"/>
                <w:sz w:val="22"/>
                <w:lang w:eastAsia="es-CR"/>
              </w:rPr>
              <w:t>Error</w:t>
            </w:r>
          </w:p>
        </w:tc>
        <w:tc>
          <w:tcPr>
            <w:tcW w:w="1957" w:type="dxa"/>
            <w:tcBorders>
              <w:top w:val="single" w:sz="8" w:space="0" w:color="auto"/>
              <w:left w:val="nil"/>
              <w:bottom w:val="single" w:sz="8" w:space="0" w:color="auto"/>
              <w:right w:val="single" w:sz="8" w:space="0" w:color="auto"/>
            </w:tcBorders>
            <w:shd w:val="clear" w:color="000000" w:fill="1F3864"/>
            <w:noWrap/>
            <w:vAlign w:val="center"/>
            <w:hideMark/>
          </w:tcPr>
          <w:p w14:paraId="4D40DB62" w14:textId="77777777" w:rsidR="00396CB4" w:rsidRPr="00396CB4" w:rsidRDefault="00396CB4" w:rsidP="00396CB4">
            <w:pPr>
              <w:spacing w:after="0" w:line="240" w:lineRule="auto"/>
              <w:jc w:val="center"/>
              <w:rPr>
                <w:rFonts w:eastAsia="Times New Roman" w:cs="Calibri"/>
                <w:color w:val="FFFFFF"/>
                <w:sz w:val="22"/>
                <w:lang w:eastAsia="es-CR"/>
              </w:rPr>
            </w:pPr>
            <w:r w:rsidRPr="00396CB4">
              <w:rPr>
                <w:rFonts w:eastAsia="Times New Roman" w:cs="Calibri"/>
                <w:color w:val="FFFFFF"/>
                <w:sz w:val="22"/>
                <w:lang w:eastAsia="es-CR"/>
              </w:rPr>
              <w:t>Naturaleza</w:t>
            </w:r>
          </w:p>
        </w:tc>
        <w:tc>
          <w:tcPr>
            <w:tcW w:w="1473" w:type="dxa"/>
            <w:tcBorders>
              <w:top w:val="single" w:sz="8" w:space="0" w:color="auto"/>
              <w:left w:val="nil"/>
              <w:bottom w:val="single" w:sz="8" w:space="0" w:color="auto"/>
              <w:right w:val="single" w:sz="8" w:space="0" w:color="auto"/>
            </w:tcBorders>
            <w:shd w:val="clear" w:color="000000" w:fill="1F3864"/>
            <w:noWrap/>
            <w:vAlign w:val="center"/>
            <w:hideMark/>
          </w:tcPr>
          <w:p w14:paraId="4C2D0B1A" w14:textId="77777777" w:rsidR="00396CB4" w:rsidRPr="00396CB4" w:rsidRDefault="00396CB4" w:rsidP="00396CB4">
            <w:pPr>
              <w:spacing w:after="0" w:line="240" w:lineRule="auto"/>
              <w:jc w:val="center"/>
              <w:rPr>
                <w:rFonts w:eastAsia="Times New Roman" w:cs="Calibri"/>
                <w:color w:val="FFFFFF"/>
                <w:sz w:val="22"/>
                <w:lang w:eastAsia="es-CR"/>
              </w:rPr>
            </w:pPr>
            <w:r w:rsidRPr="00396CB4">
              <w:rPr>
                <w:rFonts w:eastAsia="Times New Roman" w:cs="Calibri"/>
                <w:color w:val="FFFFFF"/>
                <w:sz w:val="22"/>
                <w:lang w:eastAsia="es-CR"/>
              </w:rPr>
              <w:t>Periodo</w:t>
            </w:r>
          </w:p>
        </w:tc>
        <w:tc>
          <w:tcPr>
            <w:tcW w:w="2139" w:type="dxa"/>
            <w:tcBorders>
              <w:top w:val="single" w:sz="8" w:space="0" w:color="auto"/>
              <w:left w:val="nil"/>
              <w:bottom w:val="single" w:sz="8" w:space="0" w:color="auto"/>
              <w:right w:val="single" w:sz="8" w:space="0" w:color="auto"/>
            </w:tcBorders>
            <w:shd w:val="clear" w:color="000000" w:fill="1F3864"/>
            <w:noWrap/>
            <w:vAlign w:val="center"/>
            <w:hideMark/>
          </w:tcPr>
          <w:p w14:paraId="770FCFBD" w14:textId="77777777" w:rsidR="00396CB4" w:rsidRPr="00396CB4" w:rsidRDefault="00396CB4" w:rsidP="00396CB4">
            <w:pPr>
              <w:spacing w:after="0" w:line="240" w:lineRule="auto"/>
              <w:jc w:val="center"/>
              <w:rPr>
                <w:rFonts w:eastAsia="Times New Roman" w:cs="Calibri"/>
                <w:color w:val="FFFFFF"/>
                <w:sz w:val="22"/>
                <w:lang w:eastAsia="es-CR"/>
              </w:rPr>
            </w:pPr>
            <w:r w:rsidRPr="00396CB4">
              <w:rPr>
                <w:rFonts w:eastAsia="Times New Roman" w:cs="Calibri"/>
                <w:color w:val="FFFFFF"/>
                <w:sz w:val="22"/>
                <w:lang w:eastAsia="es-CR"/>
              </w:rPr>
              <w:t>Efecto futuro</w:t>
            </w:r>
          </w:p>
        </w:tc>
      </w:tr>
      <w:tr w:rsidR="00396CB4" w:rsidRPr="00396CB4" w14:paraId="2B68A8BC" w14:textId="77777777" w:rsidTr="00396CB4">
        <w:trPr>
          <w:divId w:val="2009866451"/>
          <w:trHeight w:val="349"/>
          <w:jc w:val="center"/>
        </w:trPr>
        <w:tc>
          <w:tcPr>
            <w:tcW w:w="1957" w:type="dxa"/>
            <w:tcBorders>
              <w:top w:val="nil"/>
              <w:left w:val="single" w:sz="8" w:space="0" w:color="auto"/>
              <w:bottom w:val="single" w:sz="8" w:space="0" w:color="auto"/>
              <w:right w:val="single" w:sz="8" w:space="0" w:color="auto"/>
            </w:tcBorders>
            <w:shd w:val="clear" w:color="auto" w:fill="auto"/>
            <w:noWrap/>
            <w:vAlign w:val="bottom"/>
            <w:hideMark/>
          </w:tcPr>
          <w:p w14:paraId="343A39CA" w14:textId="77777777" w:rsidR="00396CB4" w:rsidRPr="00396CB4" w:rsidRDefault="00396CB4" w:rsidP="00396CB4">
            <w:pPr>
              <w:spacing w:after="0" w:line="240" w:lineRule="auto"/>
              <w:jc w:val="left"/>
              <w:rPr>
                <w:rFonts w:eastAsia="Times New Roman" w:cs="Calibri"/>
                <w:color w:val="000000"/>
                <w:sz w:val="20"/>
                <w:szCs w:val="20"/>
                <w:lang w:eastAsia="es-CR"/>
              </w:rPr>
            </w:pPr>
            <w:r w:rsidRPr="00396CB4">
              <w:rPr>
                <w:rFonts w:eastAsia="Times New Roman" w:cs="Calibri"/>
                <w:color w:val="000000"/>
                <w:sz w:val="20"/>
                <w:szCs w:val="20"/>
                <w:lang w:eastAsia="es-CR"/>
              </w:rPr>
              <w:t> </w:t>
            </w:r>
          </w:p>
        </w:tc>
        <w:tc>
          <w:tcPr>
            <w:tcW w:w="1957" w:type="dxa"/>
            <w:tcBorders>
              <w:top w:val="nil"/>
              <w:left w:val="nil"/>
              <w:bottom w:val="single" w:sz="8" w:space="0" w:color="auto"/>
              <w:right w:val="single" w:sz="8" w:space="0" w:color="auto"/>
            </w:tcBorders>
            <w:shd w:val="clear" w:color="auto" w:fill="auto"/>
            <w:noWrap/>
            <w:vAlign w:val="bottom"/>
            <w:hideMark/>
          </w:tcPr>
          <w:p w14:paraId="38C7DA24" w14:textId="77777777" w:rsidR="00396CB4" w:rsidRPr="00396CB4" w:rsidRDefault="00396CB4" w:rsidP="00396CB4">
            <w:pPr>
              <w:spacing w:after="0" w:line="240" w:lineRule="auto"/>
              <w:jc w:val="left"/>
              <w:rPr>
                <w:rFonts w:eastAsia="Times New Roman" w:cs="Calibri"/>
                <w:color w:val="000000"/>
                <w:sz w:val="20"/>
                <w:szCs w:val="20"/>
                <w:lang w:eastAsia="es-CR"/>
              </w:rPr>
            </w:pPr>
            <w:r w:rsidRPr="00396CB4">
              <w:rPr>
                <w:rFonts w:eastAsia="Times New Roman" w:cs="Calibri"/>
                <w:color w:val="000000"/>
                <w:sz w:val="20"/>
                <w:szCs w:val="20"/>
                <w:lang w:eastAsia="es-CR"/>
              </w:rPr>
              <w:t> </w:t>
            </w:r>
          </w:p>
        </w:tc>
        <w:tc>
          <w:tcPr>
            <w:tcW w:w="1473" w:type="dxa"/>
            <w:tcBorders>
              <w:top w:val="nil"/>
              <w:left w:val="nil"/>
              <w:bottom w:val="single" w:sz="8" w:space="0" w:color="auto"/>
              <w:right w:val="single" w:sz="8" w:space="0" w:color="auto"/>
            </w:tcBorders>
            <w:shd w:val="clear" w:color="auto" w:fill="auto"/>
            <w:noWrap/>
            <w:vAlign w:val="bottom"/>
            <w:hideMark/>
          </w:tcPr>
          <w:p w14:paraId="66087629" w14:textId="77777777" w:rsidR="00396CB4" w:rsidRPr="00396CB4" w:rsidRDefault="00396CB4" w:rsidP="00396CB4">
            <w:pPr>
              <w:spacing w:after="0" w:line="240" w:lineRule="auto"/>
              <w:jc w:val="left"/>
              <w:rPr>
                <w:rFonts w:eastAsia="Times New Roman" w:cs="Calibri"/>
                <w:color w:val="000000"/>
                <w:sz w:val="20"/>
                <w:szCs w:val="20"/>
                <w:lang w:eastAsia="es-CR"/>
              </w:rPr>
            </w:pPr>
            <w:r w:rsidRPr="00396CB4">
              <w:rPr>
                <w:rFonts w:eastAsia="Times New Roman" w:cs="Calibri"/>
                <w:color w:val="000000"/>
                <w:sz w:val="20"/>
                <w:szCs w:val="20"/>
                <w:lang w:eastAsia="es-CR"/>
              </w:rPr>
              <w:t> </w:t>
            </w:r>
          </w:p>
        </w:tc>
        <w:tc>
          <w:tcPr>
            <w:tcW w:w="2139" w:type="dxa"/>
            <w:tcBorders>
              <w:top w:val="nil"/>
              <w:left w:val="nil"/>
              <w:bottom w:val="single" w:sz="8" w:space="0" w:color="auto"/>
              <w:right w:val="single" w:sz="8" w:space="0" w:color="auto"/>
            </w:tcBorders>
            <w:shd w:val="clear" w:color="auto" w:fill="auto"/>
            <w:noWrap/>
            <w:vAlign w:val="bottom"/>
            <w:hideMark/>
          </w:tcPr>
          <w:p w14:paraId="6DA9EFFD" w14:textId="77777777" w:rsidR="00396CB4" w:rsidRPr="00396CB4" w:rsidRDefault="00396CB4" w:rsidP="00396CB4">
            <w:pPr>
              <w:spacing w:after="0" w:line="240" w:lineRule="auto"/>
              <w:jc w:val="left"/>
              <w:rPr>
                <w:rFonts w:eastAsia="Times New Roman" w:cs="Calibri"/>
                <w:color w:val="000000"/>
                <w:sz w:val="20"/>
                <w:szCs w:val="20"/>
                <w:lang w:eastAsia="es-CR"/>
              </w:rPr>
            </w:pPr>
            <w:r w:rsidRPr="00396CB4">
              <w:rPr>
                <w:rFonts w:eastAsia="Times New Roman" w:cs="Calibri"/>
                <w:color w:val="000000"/>
                <w:sz w:val="20"/>
                <w:szCs w:val="20"/>
                <w:lang w:eastAsia="es-CR"/>
              </w:rPr>
              <w:t> </w:t>
            </w:r>
          </w:p>
        </w:tc>
      </w:tr>
      <w:tr w:rsidR="00396CB4" w:rsidRPr="00396CB4" w14:paraId="78E415AB" w14:textId="77777777" w:rsidTr="00396CB4">
        <w:trPr>
          <w:divId w:val="2009866451"/>
          <w:trHeight w:val="349"/>
          <w:jc w:val="center"/>
        </w:trPr>
        <w:tc>
          <w:tcPr>
            <w:tcW w:w="1957" w:type="dxa"/>
            <w:tcBorders>
              <w:top w:val="nil"/>
              <w:left w:val="single" w:sz="8" w:space="0" w:color="auto"/>
              <w:bottom w:val="single" w:sz="8" w:space="0" w:color="auto"/>
              <w:right w:val="single" w:sz="8" w:space="0" w:color="auto"/>
            </w:tcBorders>
            <w:shd w:val="clear" w:color="auto" w:fill="auto"/>
            <w:noWrap/>
            <w:vAlign w:val="bottom"/>
            <w:hideMark/>
          </w:tcPr>
          <w:p w14:paraId="691DF675" w14:textId="77777777" w:rsidR="00396CB4" w:rsidRPr="00396CB4" w:rsidRDefault="00396CB4" w:rsidP="00396CB4">
            <w:pPr>
              <w:spacing w:after="0" w:line="240" w:lineRule="auto"/>
              <w:jc w:val="left"/>
              <w:rPr>
                <w:rFonts w:eastAsia="Times New Roman" w:cs="Calibri"/>
                <w:color w:val="000000"/>
                <w:sz w:val="20"/>
                <w:szCs w:val="20"/>
                <w:lang w:eastAsia="es-CR"/>
              </w:rPr>
            </w:pPr>
            <w:r w:rsidRPr="00396CB4">
              <w:rPr>
                <w:rFonts w:eastAsia="Times New Roman" w:cs="Calibri"/>
                <w:color w:val="000000"/>
                <w:sz w:val="20"/>
                <w:szCs w:val="20"/>
                <w:lang w:eastAsia="es-CR"/>
              </w:rPr>
              <w:t> </w:t>
            </w:r>
          </w:p>
        </w:tc>
        <w:tc>
          <w:tcPr>
            <w:tcW w:w="1957" w:type="dxa"/>
            <w:tcBorders>
              <w:top w:val="nil"/>
              <w:left w:val="nil"/>
              <w:bottom w:val="single" w:sz="8" w:space="0" w:color="auto"/>
              <w:right w:val="single" w:sz="8" w:space="0" w:color="auto"/>
            </w:tcBorders>
            <w:shd w:val="clear" w:color="auto" w:fill="auto"/>
            <w:noWrap/>
            <w:vAlign w:val="bottom"/>
            <w:hideMark/>
          </w:tcPr>
          <w:p w14:paraId="3D84CF41" w14:textId="77777777" w:rsidR="00396CB4" w:rsidRPr="00396CB4" w:rsidRDefault="00396CB4" w:rsidP="00396CB4">
            <w:pPr>
              <w:spacing w:after="0" w:line="240" w:lineRule="auto"/>
              <w:jc w:val="left"/>
              <w:rPr>
                <w:rFonts w:eastAsia="Times New Roman" w:cs="Calibri"/>
                <w:color w:val="000000"/>
                <w:sz w:val="20"/>
                <w:szCs w:val="20"/>
                <w:lang w:eastAsia="es-CR"/>
              </w:rPr>
            </w:pPr>
            <w:r w:rsidRPr="00396CB4">
              <w:rPr>
                <w:rFonts w:eastAsia="Times New Roman" w:cs="Calibri"/>
                <w:color w:val="000000"/>
                <w:sz w:val="20"/>
                <w:szCs w:val="20"/>
                <w:lang w:eastAsia="es-CR"/>
              </w:rPr>
              <w:t> </w:t>
            </w:r>
          </w:p>
        </w:tc>
        <w:tc>
          <w:tcPr>
            <w:tcW w:w="1473" w:type="dxa"/>
            <w:tcBorders>
              <w:top w:val="nil"/>
              <w:left w:val="nil"/>
              <w:bottom w:val="single" w:sz="8" w:space="0" w:color="auto"/>
              <w:right w:val="single" w:sz="8" w:space="0" w:color="auto"/>
            </w:tcBorders>
            <w:shd w:val="clear" w:color="auto" w:fill="auto"/>
            <w:noWrap/>
            <w:vAlign w:val="bottom"/>
            <w:hideMark/>
          </w:tcPr>
          <w:p w14:paraId="2B0FC7E8" w14:textId="77777777" w:rsidR="00396CB4" w:rsidRPr="00396CB4" w:rsidRDefault="00396CB4" w:rsidP="00396CB4">
            <w:pPr>
              <w:spacing w:after="0" w:line="240" w:lineRule="auto"/>
              <w:jc w:val="left"/>
              <w:rPr>
                <w:rFonts w:eastAsia="Times New Roman" w:cs="Calibri"/>
                <w:color w:val="000000"/>
                <w:sz w:val="20"/>
                <w:szCs w:val="20"/>
                <w:lang w:eastAsia="es-CR"/>
              </w:rPr>
            </w:pPr>
            <w:r w:rsidRPr="00396CB4">
              <w:rPr>
                <w:rFonts w:eastAsia="Times New Roman" w:cs="Calibri"/>
                <w:color w:val="000000"/>
                <w:sz w:val="20"/>
                <w:szCs w:val="20"/>
                <w:lang w:eastAsia="es-CR"/>
              </w:rPr>
              <w:t> </w:t>
            </w:r>
          </w:p>
        </w:tc>
        <w:tc>
          <w:tcPr>
            <w:tcW w:w="2139" w:type="dxa"/>
            <w:tcBorders>
              <w:top w:val="nil"/>
              <w:left w:val="nil"/>
              <w:bottom w:val="single" w:sz="8" w:space="0" w:color="auto"/>
              <w:right w:val="single" w:sz="8" w:space="0" w:color="auto"/>
            </w:tcBorders>
            <w:shd w:val="clear" w:color="auto" w:fill="auto"/>
            <w:noWrap/>
            <w:vAlign w:val="bottom"/>
            <w:hideMark/>
          </w:tcPr>
          <w:p w14:paraId="1774DA36" w14:textId="77777777" w:rsidR="00396CB4" w:rsidRPr="00396CB4" w:rsidRDefault="00396CB4" w:rsidP="00396CB4">
            <w:pPr>
              <w:spacing w:after="0" w:line="240" w:lineRule="auto"/>
              <w:jc w:val="left"/>
              <w:rPr>
                <w:rFonts w:eastAsia="Times New Roman" w:cs="Calibri"/>
                <w:color w:val="000000"/>
                <w:sz w:val="20"/>
                <w:szCs w:val="20"/>
                <w:lang w:eastAsia="es-CR"/>
              </w:rPr>
            </w:pPr>
            <w:r w:rsidRPr="00396CB4">
              <w:rPr>
                <w:rFonts w:eastAsia="Times New Roman" w:cs="Calibri"/>
                <w:color w:val="000000"/>
                <w:sz w:val="20"/>
                <w:szCs w:val="20"/>
                <w:lang w:eastAsia="es-CR"/>
              </w:rPr>
              <w:t> </w:t>
            </w:r>
          </w:p>
        </w:tc>
      </w:tr>
      <w:tr w:rsidR="00396CB4" w:rsidRPr="00396CB4" w14:paraId="1E393DF2" w14:textId="77777777" w:rsidTr="00396CB4">
        <w:trPr>
          <w:divId w:val="2009866451"/>
          <w:trHeight w:val="349"/>
          <w:jc w:val="center"/>
        </w:trPr>
        <w:tc>
          <w:tcPr>
            <w:tcW w:w="1957" w:type="dxa"/>
            <w:tcBorders>
              <w:top w:val="nil"/>
              <w:left w:val="single" w:sz="8" w:space="0" w:color="auto"/>
              <w:bottom w:val="single" w:sz="8" w:space="0" w:color="auto"/>
              <w:right w:val="single" w:sz="8" w:space="0" w:color="auto"/>
            </w:tcBorders>
            <w:shd w:val="clear" w:color="auto" w:fill="auto"/>
            <w:noWrap/>
            <w:vAlign w:val="bottom"/>
            <w:hideMark/>
          </w:tcPr>
          <w:p w14:paraId="612028F8" w14:textId="77777777" w:rsidR="00396CB4" w:rsidRPr="00396CB4" w:rsidRDefault="00396CB4" w:rsidP="00396CB4">
            <w:pPr>
              <w:spacing w:after="0" w:line="240" w:lineRule="auto"/>
              <w:jc w:val="left"/>
              <w:rPr>
                <w:rFonts w:eastAsia="Times New Roman" w:cs="Calibri"/>
                <w:color w:val="000000"/>
                <w:sz w:val="20"/>
                <w:szCs w:val="20"/>
                <w:lang w:eastAsia="es-CR"/>
              </w:rPr>
            </w:pPr>
            <w:r w:rsidRPr="00396CB4">
              <w:rPr>
                <w:rFonts w:eastAsia="Times New Roman" w:cs="Calibri"/>
                <w:color w:val="000000"/>
                <w:sz w:val="20"/>
                <w:szCs w:val="20"/>
                <w:lang w:eastAsia="es-CR"/>
              </w:rPr>
              <w:t> </w:t>
            </w:r>
          </w:p>
        </w:tc>
        <w:tc>
          <w:tcPr>
            <w:tcW w:w="1957" w:type="dxa"/>
            <w:tcBorders>
              <w:top w:val="nil"/>
              <w:left w:val="nil"/>
              <w:bottom w:val="single" w:sz="8" w:space="0" w:color="auto"/>
              <w:right w:val="single" w:sz="8" w:space="0" w:color="auto"/>
            </w:tcBorders>
            <w:shd w:val="clear" w:color="auto" w:fill="auto"/>
            <w:noWrap/>
            <w:vAlign w:val="bottom"/>
            <w:hideMark/>
          </w:tcPr>
          <w:p w14:paraId="29D0A902" w14:textId="77777777" w:rsidR="00396CB4" w:rsidRPr="00396CB4" w:rsidRDefault="00396CB4" w:rsidP="00396CB4">
            <w:pPr>
              <w:spacing w:after="0" w:line="240" w:lineRule="auto"/>
              <w:jc w:val="left"/>
              <w:rPr>
                <w:rFonts w:eastAsia="Times New Roman" w:cs="Calibri"/>
                <w:color w:val="000000"/>
                <w:sz w:val="20"/>
                <w:szCs w:val="20"/>
                <w:lang w:eastAsia="es-CR"/>
              </w:rPr>
            </w:pPr>
            <w:r w:rsidRPr="00396CB4">
              <w:rPr>
                <w:rFonts w:eastAsia="Times New Roman" w:cs="Calibri"/>
                <w:color w:val="000000"/>
                <w:sz w:val="20"/>
                <w:szCs w:val="20"/>
                <w:lang w:eastAsia="es-CR"/>
              </w:rPr>
              <w:t> </w:t>
            </w:r>
          </w:p>
        </w:tc>
        <w:tc>
          <w:tcPr>
            <w:tcW w:w="1473" w:type="dxa"/>
            <w:tcBorders>
              <w:top w:val="nil"/>
              <w:left w:val="nil"/>
              <w:bottom w:val="single" w:sz="8" w:space="0" w:color="auto"/>
              <w:right w:val="single" w:sz="8" w:space="0" w:color="auto"/>
            </w:tcBorders>
            <w:shd w:val="clear" w:color="auto" w:fill="auto"/>
            <w:noWrap/>
            <w:vAlign w:val="bottom"/>
            <w:hideMark/>
          </w:tcPr>
          <w:p w14:paraId="44F06F51" w14:textId="77777777" w:rsidR="00396CB4" w:rsidRPr="00396CB4" w:rsidRDefault="00396CB4" w:rsidP="00396CB4">
            <w:pPr>
              <w:spacing w:after="0" w:line="240" w:lineRule="auto"/>
              <w:jc w:val="left"/>
              <w:rPr>
                <w:rFonts w:eastAsia="Times New Roman" w:cs="Calibri"/>
                <w:color w:val="000000"/>
                <w:sz w:val="20"/>
                <w:szCs w:val="20"/>
                <w:lang w:eastAsia="es-CR"/>
              </w:rPr>
            </w:pPr>
            <w:r w:rsidRPr="00396CB4">
              <w:rPr>
                <w:rFonts w:eastAsia="Times New Roman" w:cs="Calibri"/>
                <w:color w:val="000000"/>
                <w:sz w:val="20"/>
                <w:szCs w:val="20"/>
                <w:lang w:eastAsia="es-CR"/>
              </w:rPr>
              <w:t> </w:t>
            </w:r>
          </w:p>
        </w:tc>
        <w:tc>
          <w:tcPr>
            <w:tcW w:w="2139" w:type="dxa"/>
            <w:tcBorders>
              <w:top w:val="nil"/>
              <w:left w:val="nil"/>
              <w:bottom w:val="single" w:sz="8" w:space="0" w:color="auto"/>
              <w:right w:val="single" w:sz="8" w:space="0" w:color="auto"/>
            </w:tcBorders>
            <w:shd w:val="clear" w:color="auto" w:fill="auto"/>
            <w:noWrap/>
            <w:vAlign w:val="bottom"/>
            <w:hideMark/>
          </w:tcPr>
          <w:p w14:paraId="56EB5C1A" w14:textId="77777777" w:rsidR="00396CB4" w:rsidRPr="00396CB4" w:rsidRDefault="00396CB4" w:rsidP="00396CB4">
            <w:pPr>
              <w:spacing w:after="0" w:line="240" w:lineRule="auto"/>
              <w:jc w:val="left"/>
              <w:rPr>
                <w:rFonts w:eastAsia="Times New Roman" w:cs="Calibri"/>
                <w:color w:val="000000"/>
                <w:sz w:val="20"/>
                <w:szCs w:val="20"/>
                <w:lang w:eastAsia="es-CR"/>
              </w:rPr>
            </w:pPr>
            <w:r w:rsidRPr="00396CB4">
              <w:rPr>
                <w:rFonts w:eastAsia="Times New Roman" w:cs="Calibri"/>
                <w:color w:val="000000"/>
                <w:sz w:val="20"/>
                <w:szCs w:val="20"/>
                <w:lang w:eastAsia="es-CR"/>
              </w:rPr>
              <w:t> </w:t>
            </w:r>
          </w:p>
        </w:tc>
      </w:tr>
    </w:tbl>
    <w:p w14:paraId="2DB89A8D" w14:textId="3EBEAD13" w:rsidR="00707625" w:rsidRDefault="00707625" w:rsidP="00707625">
      <w:pPr>
        <w:rPr>
          <w:lang w:val="es-ES"/>
        </w:rPr>
      </w:pPr>
      <w:r>
        <w:rPr>
          <w:lang w:val="es-ES"/>
        </w:rPr>
        <w:fldChar w:fldCharType="end"/>
      </w:r>
    </w:p>
    <w:p w14:paraId="3D094B31" w14:textId="77777777" w:rsidR="00FA59BD" w:rsidRDefault="003516A2" w:rsidP="00FA59BD">
      <w:pPr>
        <w:spacing w:line="240" w:lineRule="auto"/>
        <w:rPr>
          <w:b/>
          <w:color w:val="FFFFFF" w:themeColor="background1"/>
          <w:u w:val="single"/>
        </w:rPr>
      </w:pPr>
      <w:r w:rsidRPr="003516A2">
        <w:rPr>
          <w:b/>
          <w:color w:val="FFFFFF" w:themeColor="background1"/>
          <w:highlight w:val="darkBlue"/>
          <w:u w:val="single"/>
        </w:rPr>
        <w:lastRenderedPageBreak/>
        <w:t>Reconocimiento:</w:t>
      </w:r>
      <w:r>
        <w:rPr>
          <w:b/>
          <w:color w:val="FFFFFF" w:themeColor="background1"/>
          <w:highlight w:val="darkBlue"/>
          <w:u w:val="single"/>
        </w:rPr>
        <w:t xml:space="preserve"> </w:t>
      </w:r>
    </w:p>
    <w:p w14:paraId="46D7AD01" w14:textId="1C7E86E2" w:rsidR="00FA59BD" w:rsidRPr="00D35102" w:rsidRDefault="00FA59BD" w:rsidP="00FA59BD">
      <w:pPr>
        <w:spacing w:line="240" w:lineRule="auto"/>
        <w:rPr>
          <w:bCs/>
        </w:rPr>
      </w:pPr>
      <w:r w:rsidRPr="00D35102">
        <w:rPr>
          <w:bCs/>
        </w:rPr>
        <w:t xml:space="preserve">En ausencia de una NICSP que sea aplicable específicamente a una transacción o a otros hechos o condiciones, </w:t>
      </w:r>
      <w:r>
        <w:rPr>
          <w:bCs/>
        </w:rPr>
        <w:t xml:space="preserve">se </w:t>
      </w:r>
      <w:r w:rsidRPr="00D35102">
        <w:rPr>
          <w:bCs/>
        </w:rPr>
        <w:t>usa su juicio en el desarrollo y aplicación de una política contable, a fin de suministrar información</w:t>
      </w:r>
      <w:r>
        <w:rPr>
          <w:bCs/>
        </w:rPr>
        <w:t>.</w:t>
      </w:r>
    </w:p>
    <w:p w14:paraId="5B14CD36" w14:textId="77777777" w:rsidR="00FA59BD" w:rsidRPr="00D35102" w:rsidRDefault="00FA59BD" w:rsidP="00FA59BD">
      <w:pPr>
        <w:spacing w:line="240" w:lineRule="auto"/>
        <w:rPr>
          <w:bCs/>
        </w:rPr>
      </w:pPr>
      <w:r w:rsidRPr="00D35102">
        <w:rPr>
          <w:bCs/>
        </w:rPr>
        <w:t>Al realizar los juicios profesionales descritos anteriormente, se refiere, en orden descendente, a las siguientes fuentes y considera su aplicabilidad:</w:t>
      </w:r>
    </w:p>
    <w:p w14:paraId="48118641" w14:textId="77777777" w:rsidR="00FA59BD" w:rsidRPr="00D35102" w:rsidRDefault="00FA59BD" w:rsidP="00FA59BD">
      <w:pPr>
        <w:spacing w:line="240" w:lineRule="auto"/>
        <w:rPr>
          <w:bCs/>
        </w:rPr>
      </w:pPr>
      <w:r w:rsidRPr="00D35102">
        <w:rPr>
          <w:bCs/>
        </w:rPr>
        <w:t>(a) los requerimientos de las NICSP que traten temas similares y</w:t>
      </w:r>
      <w:r>
        <w:rPr>
          <w:bCs/>
        </w:rPr>
        <w:t xml:space="preserve"> </w:t>
      </w:r>
      <w:r w:rsidRPr="00D35102">
        <w:rPr>
          <w:bCs/>
        </w:rPr>
        <w:t>relacionados; y</w:t>
      </w:r>
    </w:p>
    <w:p w14:paraId="63584C32" w14:textId="77777777" w:rsidR="00FA59BD" w:rsidRDefault="00FA59BD" w:rsidP="00FA59BD">
      <w:pPr>
        <w:spacing w:line="240" w:lineRule="auto"/>
        <w:rPr>
          <w:bCs/>
        </w:rPr>
      </w:pPr>
      <w:r w:rsidRPr="00D35102">
        <w:rPr>
          <w:bCs/>
        </w:rPr>
        <w:t>(b) Las definiciones, criterios de reconocimiento y medición de activos, pasivos, ingresos y gastos establecidos en otras NICSP."</w:t>
      </w:r>
    </w:p>
    <w:p w14:paraId="4D6FF92C" w14:textId="77777777" w:rsidR="00FA59BD" w:rsidRDefault="00FA59BD" w:rsidP="00FA59BD">
      <w:pPr>
        <w:spacing w:line="240" w:lineRule="auto"/>
        <w:rPr>
          <w:bCs/>
        </w:rPr>
      </w:pPr>
      <w:r>
        <w:rPr>
          <w:bCs/>
        </w:rPr>
        <w:t>Todos los errores materiales de periodos anteriores son corregidos retrospectivamente en el primer conjunto de estados financieros autorizados. En aquellos casos en que no sea claro si se trata de un cambio de política o de estimación, la transacción resultante se tratará como un cambio en un estimado contable.</w:t>
      </w:r>
    </w:p>
    <w:p w14:paraId="5BB6F31C" w14:textId="77777777" w:rsidR="00FA59BD" w:rsidRPr="00D35102" w:rsidRDefault="00FA59BD" w:rsidP="00FA59BD">
      <w:pPr>
        <w:spacing w:line="240" w:lineRule="auto"/>
        <w:rPr>
          <w:bCs/>
        </w:rPr>
      </w:pPr>
      <w:r>
        <w:rPr>
          <w:bCs/>
        </w:rPr>
        <w:t>Un cambio en una política contable se contabiliza según los requerimientos de transición definidos en el pronunciamiento, si no se específica ninguno o el cambio es voluntario la nueva política se aplica retrospectivamente mediante reemitiendo los periodos anteriores y en caso de que la remisión sea impracticable el efecto acumulado de la nueva política se aplicará prospectivamente. Los cambios en estimaciones contables se contabilizan en el periodo corriente o en los periodos futuros.</w:t>
      </w:r>
    </w:p>
    <w:p w14:paraId="0E4C7D41" w14:textId="77777777" w:rsidR="003516A2" w:rsidRDefault="003516A2" w:rsidP="003516A2">
      <w:pPr>
        <w:spacing w:line="240" w:lineRule="auto"/>
        <w:rPr>
          <w:b/>
          <w:u w:val="single"/>
        </w:rPr>
      </w:pPr>
    </w:p>
    <w:p w14:paraId="276DE22F" w14:textId="77777777" w:rsidR="003516A2" w:rsidRPr="003516A2" w:rsidRDefault="003516A2" w:rsidP="003516A2">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7F61B54B" w14:textId="77777777" w:rsidR="00FA59BD" w:rsidRPr="00D35102" w:rsidRDefault="00FA59BD" w:rsidP="00FA59BD">
      <w:pPr>
        <w:spacing w:line="240" w:lineRule="auto"/>
        <w:rPr>
          <w:bCs/>
        </w:rPr>
      </w:pPr>
      <w:r w:rsidRPr="00D35102">
        <w:rPr>
          <w:bCs/>
        </w:rPr>
        <w:t>Un cambio en la política contable que resulta de la aplicación inicial de una NICSP se contabiliza de acuerdo con las disposiciones transitorias específicas</w:t>
      </w:r>
      <w:r>
        <w:rPr>
          <w:bCs/>
        </w:rPr>
        <w:t xml:space="preserve"> en esta norma y las respectivas</w:t>
      </w:r>
      <w:r w:rsidRPr="00D35102">
        <w:rPr>
          <w:bCs/>
        </w:rPr>
        <w:t xml:space="preserve"> </w:t>
      </w:r>
      <w:r>
        <w:rPr>
          <w:bCs/>
        </w:rPr>
        <w:t>n</w:t>
      </w:r>
      <w:r w:rsidRPr="00D35102">
        <w:rPr>
          <w:bCs/>
        </w:rPr>
        <w:t>orma</w:t>
      </w:r>
      <w:r>
        <w:rPr>
          <w:bCs/>
        </w:rPr>
        <w:t>s</w:t>
      </w:r>
      <w:r w:rsidRPr="00D35102">
        <w:rPr>
          <w:bCs/>
        </w:rPr>
        <w:t xml:space="preserve"> </w:t>
      </w:r>
      <w:r>
        <w:rPr>
          <w:bCs/>
        </w:rPr>
        <w:t>i</w:t>
      </w:r>
      <w:r w:rsidRPr="00D35102">
        <w:rPr>
          <w:bCs/>
        </w:rPr>
        <w:t>nternacional</w:t>
      </w:r>
      <w:r>
        <w:rPr>
          <w:bCs/>
        </w:rPr>
        <w:t>es</w:t>
      </w:r>
      <w:r w:rsidRPr="00D35102">
        <w:rPr>
          <w:bCs/>
        </w:rPr>
        <w:t xml:space="preserve"> de </w:t>
      </w:r>
      <w:r>
        <w:rPr>
          <w:bCs/>
        </w:rPr>
        <w:t>c</w:t>
      </w:r>
      <w:r w:rsidRPr="00D35102">
        <w:rPr>
          <w:bCs/>
        </w:rPr>
        <w:t xml:space="preserve">ontabilidad del </w:t>
      </w:r>
      <w:r>
        <w:rPr>
          <w:bCs/>
        </w:rPr>
        <w:t>s</w:t>
      </w:r>
      <w:r w:rsidRPr="00D35102">
        <w:rPr>
          <w:bCs/>
        </w:rPr>
        <w:t>ector</w:t>
      </w:r>
      <w:r>
        <w:rPr>
          <w:bCs/>
        </w:rPr>
        <w:t xml:space="preserve"> p</w:t>
      </w:r>
      <w:r w:rsidRPr="00D35102">
        <w:rPr>
          <w:bCs/>
        </w:rPr>
        <w:t>úblico</w:t>
      </w:r>
      <w:r>
        <w:rPr>
          <w:bCs/>
        </w:rPr>
        <w:t xml:space="preserve"> relacionadas</w:t>
      </w:r>
      <w:r w:rsidRPr="00D35102">
        <w:rPr>
          <w:bCs/>
        </w:rPr>
        <w:t xml:space="preserve"> si las hay</w:t>
      </w:r>
      <w:r>
        <w:rPr>
          <w:bCs/>
        </w:rPr>
        <w:t>. Asimismo, cuando</w:t>
      </w:r>
      <w:r w:rsidRPr="00D35102">
        <w:rPr>
          <w:bCs/>
        </w:rPr>
        <w:t xml:space="preserve"> se cometen errores</w:t>
      </w:r>
      <w:r>
        <w:rPr>
          <w:bCs/>
        </w:rPr>
        <w:t xml:space="preserve"> materiales realiza el ajuste por el monto establecido del error retrospectivamente y cuando se cambia una estimación, el monto por ajustar será el resultante de comparar la estimación anterior con la nueva estimación y se registra en el periodo corriente o en los periodos futuros. Además, en todos los casos se hace la revelación respectiva en las notas a los EEFF.</w:t>
      </w:r>
    </w:p>
    <w:p w14:paraId="446E2091" w14:textId="5049BBC7" w:rsidR="00F56F0E" w:rsidRPr="005D574A" w:rsidRDefault="00F56F0E" w:rsidP="005D574A">
      <w:pPr>
        <w:rPr>
          <w:b/>
          <w:u w:val="single"/>
        </w:rPr>
      </w:pPr>
      <w:r w:rsidRPr="003516A2">
        <w:rPr>
          <w:b/>
          <w:color w:val="FFFFFF" w:themeColor="background1"/>
          <w:highlight w:val="darkBlue"/>
          <w:u w:val="single"/>
        </w:rPr>
        <w:t>Revelación Suficiente:</w:t>
      </w:r>
      <w:r w:rsidRPr="005D574A">
        <w:rPr>
          <w:b/>
          <w:u w:val="single"/>
        </w:rPr>
        <w:t xml:space="preserve"> El ente debe </w:t>
      </w:r>
      <w:r w:rsidR="00482942">
        <w:rPr>
          <w:b/>
          <w:u w:val="single"/>
        </w:rPr>
        <w:t xml:space="preserve">revelar y </w:t>
      </w:r>
      <w:r w:rsidRPr="005D574A">
        <w:rPr>
          <w:b/>
          <w:u w:val="single"/>
        </w:rPr>
        <w:t xml:space="preserve">cumplir con lo estipulado en revelación </w:t>
      </w:r>
      <w:r w:rsidR="00482942">
        <w:rPr>
          <w:b/>
          <w:u w:val="single"/>
        </w:rPr>
        <w:t>conforme</w:t>
      </w:r>
      <w:r w:rsidRPr="005D574A">
        <w:rPr>
          <w:b/>
          <w:u w:val="single"/>
        </w:rPr>
        <w:t xml:space="preserve"> a la NICSP, también debe considerar la política general y los párrafos incluidos en la matriz de autoevaluación referente a esta NICSP y guías de aplicación (Ver GA NICSP 3).</w:t>
      </w:r>
    </w:p>
    <w:p w14:paraId="29EAE801" w14:textId="77777777" w:rsidR="00FA59BD" w:rsidRDefault="00FA59BD" w:rsidP="00FA59BD">
      <w:pPr>
        <w:spacing w:after="0" w:line="240" w:lineRule="auto"/>
        <w:rPr>
          <w:lang w:val="es-ES"/>
        </w:rPr>
      </w:pPr>
      <w:r w:rsidRPr="005C6BF2">
        <w:rPr>
          <w:lang w:val="es-ES"/>
        </w:rPr>
        <w:t xml:space="preserve">La Municipalidad de Buenos Aires inicio la implementación de las NICSP en febrero de 2021 y presentó los </w:t>
      </w:r>
      <w:r>
        <w:rPr>
          <w:lang w:val="es-ES"/>
        </w:rPr>
        <w:t xml:space="preserve">primeros </w:t>
      </w:r>
      <w:r w:rsidRPr="005C6BF2">
        <w:rPr>
          <w:lang w:val="es-ES"/>
        </w:rPr>
        <w:t xml:space="preserve">estados financieros </w:t>
      </w:r>
      <w:r>
        <w:rPr>
          <w:lang w:val="es-ES"/>
        </w:rPr>
        <w:t xml:space="preserve">de transición </w:t>
      </w:r>
      <w:r w:rsidRPr="005C6BF2">
        <w:rPr>
          <w:lang w:val="es-ES"/>
        </w:rPr>
        <w:t xml:space="preserve">bajo ese marco normativo en el primer trimestre del año 2021. Sobre el particular debe indicarse, que previo a esa fecha el ayuntamiento no llevaba contabilidad patrimonial solo presupuestaria. </w:t>
      </w:r>
    </w:p>
    <w:p w14:paraId="33D32B48" w14:textId="77777777" w:rsidR="00FA59BD" w:rsidRDefault="00FA59BD" w:rsidP="00FA59BD">
      <w:pPr>
        <w:spacing w:after="0" w:line="240" w:lineRule="auto"/>
        <w:rPr>
          <w:lang w:val="es-ES"/>
        </w:rPr>
      </w:pPr>
    </w:p>
    <w:p w14:paraId="4730367B" w14:textId="77777777" w:rsidR="00FA59BD" w:rsidRPr="005C6BF2" w:rsidRDefault="00FA59BD" w:rsidP="00FA59BD">
      <w:pPr>
        <w:spacing w:after="0" w:line="240" w:lineRule="auto"/>
        <w:rPr>
          <w:lang w:val="es-ES"/>
        </w:rPr>
      </w:pPr>
      <w:r w:rsidRPr="005C6BF2">
        <w:rPr>
          <w:lang w:val="es-ES"/>
        </w:rPr>
        <w:t xml:space="preserve">Por lo anterior, con la implementación de las NICSP </w:t>
      </w:r>
      <w:r>
        <w:rPr>
          <w:lang w:val="es-ES"/>
        </w:rPr>
        <w:t xml:space="preserve">en la fecha señalada, </w:t>
      </w:r>
      <w:r w:rsidRPr="005C6BF2">
        <w:rPr>
          <w:lang w:val="es-ES"/>
        </w:rPr>
        <w:t xml:space="preserve">se inició el establecimiento de las políticas contables pertinentes, las que se han mantenido por lo que durante el periodo de informe no se han presentado cambios en esas políticas contables que tengan efectos: a) en el periodo corriente o en algún período anterior, b) en el periodo si no fuera impracticable determinar el importe </w:t>
      </w:r>
      <w:r w:rsidRPr="005C6BF2">
        <w:rPr>
          <w:lang w:val="es-ES"/>
        </w:rPr>
        <w:lastRenderedPageBreak/>
        <w:t xml:space="preserve">del ajuste, o c) sobre periodos futuros. </w:t>
      </w:r>
      <w:r>
        <w:rPr>
          <w:lang w:val="es-ES"/>
        </w:rPr>
        <w:t>Por otra parte, t</w:t>
      </w:r>
      <w:r w:rsidRPr="005C6BF2">
        <w:rPr>
          <w:lang w:val="es-ES"/>
        </w:rPr>
        <w:t>ampoco se han realizado cambios en las estimaciones contables</w:t>
      </w:r>
      <w:r>
        <w:rPr>
          <w:lang w:val="es-ES"/>
        </w:rPr>
        <w:t xml:space="preserve"> implementadas bajo los requerimientos de las NICSP</w:t>
      </w:r>
      <w:r w:rsidRPr="005C6BF2">
        <w:rPr>
          <w:lang w:val="es-ES"/>
        </w:rPr>
        <w:t xml:space="preserve">, ni se han corregido errores que hayan producido efectos en el periodo corriente, </w:t>
      </w:r>
      <w:r>
        <w:rPr>
          <w:lang w:val="es-ES"/>
        </w:rPr>
        <w:t xml:space="preserve">en periodos anteriores, </w:t>
      </w:r>
      <w:r w:rsidRPr="005C6BF2">
        <w:rPr>
          <w:lang w:val="es-ES"/>
        </w:rPr>
        <w:t xml:space="preserve">o que se espere vayan a producir en períodos futuros. </w:t>
      </w:r>
    </w:p>
    <w:p w14:paraId="1FA6F7E9" w14:textId="77777777" w:rsidR="00FA59BD" w:rsidRPr="005C6BF2" w:rsidRDefault="00FA59BD" w:rsidP="00FA59BD">
      <w:pPr>
        <w:spacing w:after="0" w:line="240" w:lineRule="auto"/>
        <w:rPr>
          <w:lang w:val="es-ES"/>
        </w:rPr>
      </w:pPr>
    </w:p>
    <w:p w14:paraId="63815659" w14:textId="77777777" w:rsidR="00FA59BD" w:rsidRDefault="00FA59BD" w:rsidP="00FA59BD">
      <w:pPr>
        <w:spacing w:after="0" w:line="240" w:lineRule="auto"/>
        <w:rPr>
          <w:lang w:val="es-ES"/>
        </w:rPr>
      </w:pPr>
      <w:r w:rsidRPr="005C6BF2">
        <w:rPr>
          <w:lang w:val="es-ES"/>
        </w:rPr>
        <w:t xml:space="preserve">Además, </w:t>
      </w:r>
      <w:r>
        <w:rPr>
          <w:lang w:val="es-ES"/>
        </w:rPr>
        <w:t xml:space="preserve">tal como se indica en la Matriz de NICSP y Plan de Acción </w:t>
      </w:r>
      <w:r w:rsidRPr="005C6BF2">
        <w:rPr>
          <w:lang w:val="es-ES"/>
        </w:rPr>
        <w:t>debe señalarse que</w:t>
      </w:r>
      <w:r>
        <w:rPr>
          <w:lang w:val="es-ES"/>
        </w:rPr>
        <w:t>,</w:t>
      </w:r>
      <w:r w:rsidRPr="005C6BF2">
        <w:rPr>
          <w:lang w:val="es-ES"/>
        </w:rPr>
        <w:t xml:space="preserve"> como parte del proceso de implementación se está trabajando en concluir con el establecimiento de las políticas particulares aplicables a algunos tipos de transacciones, eventos o condiciones, aplicando lo establecido en las Normas respectivas</w:t>
      </w:r>
      <w:r>
        <w:rPr>
          <w:lang w:val="es-ES"/>
        </w:rPr>
        <w:t xml:space="preserve"> en cada caso y ajustar el sistema contable en caso de que corresponda.</w:t>
      </w:r>
    </w:p>
    <w:p w14:paraId="73DA70B7" w14:textId="77777777" w:rsidR="00FA59BD" w:rsidRDefault="00FA59BD" w:rsidP="00FA59BD">
      <w:pPr>
        <w:spacing w:after="0" w:line="240" w:lineRule="auto"/>
        <w:rPr>
          <w:lang w:val="es-ES"/>
        </w:rPr>
      </w:pPr>
    </w:p>
    <w:p w14:paraId="1E231B43" w14:textId="77777777" w:rsidR="00FA59BD" w:rsidRPr="00A4562C" w:rsidRDefault="00FA59BD" w:rsidP="00FA59BD">
      <w:pPr>
        <w:spacing w:line="240" w:lineRule="auto"/>
        <w:rPr>
          <w:rStyle w:val="nfasis"/>
          <w:i w:val="0"/>
          <w:iCs w:val="0"/>
          <w:szCs w:val="24"/>
        </w:rPr>
      </w:pPr>
      <w:r w:rsidRPr="00A4562C">
        <w:rPr>
          <w:rStyle w:val="nfasis"/>
          <w:i w:val="0"/>
          <w:iCs w:val="0"/>
          <w:szCs w:val="24"/>
        </w:rPr>
        <w:t xml:space="preserve">De conformidad con el esfuerzo institucional, razonablemente se está atendido lo correspondiente y en lo que le aplica los requisitos referidos al reconocimiento y medición.  En cuanto a revelaciones relacionados con cambios en políticas contables, está en proceso de actualización del marco normativo interno orientado a generar políticas </w:t>
      </w:r>
      <w:r>
        <w:rPr>
          <w:rStyle w:val="nfasis"/>
          <w:i w:val="0"/>
          <w:iCs w:val="0"/>
          <w:szCs w:val="24"/>
        </w:rPr>
        <w:t xml:space="preserve">y procedimientos </w:t>
      </w:r>
      <w:r w:rsidRPr="00A4562C">
        <w:rPr>
          <w:rStyle w:val="nfasis"/>
          <w:i w:val="0"/>
          <w:iCs w:val="0"/>
          <w:szCs w:val="24"/>
        </w:rPr>
        <w:t>que permitan suministrar información fiable y relevante sobre los efectos de las transacciones, otros eventos y condiciones que afecten la situación financiera, el rendimiento financiero o los flujos de efectivo de la Municipalidad.</w:t>
      </w:r>
    </w:p>
    <w:p w14:paraId="43D999B4" w14:textId="7441F36A" w:rsidR="00FA59BD" w:rsidRPr="00B80019" w:rsidRDefault="00FA59BD" w:rsidP="00FA59BD">
      <w:pPr>
        <w:spacing w:line="240" w:lineRule="auto"/>
        <w:rPr>
          <w:rStyle w:val="nfasis"/>
          <w:i w:val="0"/>
          <w:iCs w:val="0"/>
          <w:szCs w:val="24"/>
        </w:rPr>
      </w:pPr>
      <w:r w:rsidRPr="00B80019">
        <w:rPr>
          <w:rStyle w:val="nfasis"/>
          <w:i w:val="0"/>
          <w:iCs w:val="0"/>
          <w:szCs w:val="24"/>
        </w:rPr>
        <w:t xml:space="preserve">En general el plan </w:t>
      </w:r>
      <w:r>
        <w:rPr>
          <w:rStyle w:val="nfasis"/>
          <w:i w:val="0"/>
          <w:iCs w:val="0"/>
          <w:szCs w:val="24"/>
        </w:rPr>
        <w:t>de acción</w:t>
      </w:r>
      <w:r w:rsidRPr="00B80019">
        <w:rPr>
          <w:rStyle w:val="nfasis"/>
          <w:i w:val="0"/>
          <w:iCs w:val="0"/>
          <w:szCs w:val="24"/>
        </w:rPr>
        <w:t xml:space="preserve"> para el cierre de brechas según los resultados de la autoevaluación al </w:t>
      </w:r>
      <w:r w:rsidR="00796636">
        <w:rPr>
          <w:rStyle w:val="nfasis"/>
          <w:i w:val="0"/>
          <w:iCs w:val="0"/>
          <w:szCs w:val="24"/>
        </w:rPr>
        <w:t>31</w:t>
      </w:r>
      <w:r>
        <w:rPr>
          <w:rStyle w:val="nfasis"/>
          <w:i w:val="0"/>
          <w:iCs w:val="0"/>
          <w:szCs w:val="24"/>
        </w:rPr>
        <w:t xml:space="preserve"> de </w:t>
      </w:r>
      <w:r w:rsidR="00D64CF8">
        <w:rPr>
          <w:rStyle w:val="nfasis"/>
          <w:i w:val="0"/>
          <w:iCs w:val="0"/>
          <w:szCs w:val="24"/>
        </w:rPr>
        <w:t>diciembre</w:t>
      </w:r>
      <w:r w:rsidRPr="00B80019">
        <w:rPr>
          <w:rStyle w:val="nfasis"/>
          <w:i w:val="0"/>
          <w:iCs w:val="0"/>
          <w:szCs w:val="24"/>
        </w:rPr>
        <w:t xml:space="preserve"> de 202</w:t>
      </w:r>
      <w:r>
        <w:rPr>
          <w:rStyle w:val="nfasis"/>
          <w:i w:val="0"/>
          <w:iCs w:val="0"/>
          <w:szCs w:val="24"/>
        </w:rPr>
        <w:t>4</w:t>
      </w:r>
      <w:r w:rsidRPr="00B80019">
        <w:rPr>
          <w:rStyle w:val="nfasis"/>
          <w:i w:val="0"/>
          <w:iCs w:val="0"/>
          <w:szCs w:val="24"/>
        </w:rPr>
        <w:t xml:space="preserve"> considera entre otras medidas relevantes </w:t>
      </w:r>
      <w:r>
        <w:rPr>
          <w:rStyle w:val="nfasis"/>
          <w:i w:val="0"/>
          <w:iCs w:val="0"/>
          <w:szCs w:val="24"/>
        </w:rPr>
        <w:t>las siguientes</w:t>
      </w:r>
      <w:r w:rsidRPr="00B80019">
        <w:rPr>
          <w:rStyle w:val="nfasis"/>
          <w:i w:val="0"/>
          <w:iCs w:val="0"/>
          <w:szCs w:val="24"/>
        </w:rPr>
        <w:t>:</w:t>
      </w:r>
    </w:p>
    <w:p w14:paraId="0DEA695B" w14:textId="77777777" w:rsidR="00FA59BD" w:rsidRPr="00A4562C" w:rsidRDefault="00FA59BD" w:rsidP="00FA59BD">
      <w:pPr>
        <w:spacing w:after="0" w:line="240" w:lineRule="auto"/>
      </w:pPr>
    </w:p>
    <w:tbl>
      <w:tblPr>
        <w:tblW w:w="8813" w:type="dxa"/>
        <w:tblLook w:val="04A0" w:firstRow="1" w:lastRow="0" w:firstColumn="1" w:lastColumn="0" w:noHBand="0" w:noVBand="1"/>
      </w:tblPr>
      <w:tblGrid>
        <w:gridCol w:w="7503"/>
        <w:gridCol w:w="1310"/>
      </w:tblGrid>
      <w:tr w:rsidR="00FA59BD" w:rsidRPr="00901B72" w14:paraId="1B490FCC" w14:textId="77777777" w:rsidTr="0061790F">
        <w:trPr>
          <w:trHeight w:val="790"/>
        </w:trPr>
        <w:tc>
          <w:tcPr>
            <w:tcW w:w="7503"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4D88F2A" w14:textId="77777777" w:rsidR="00FA59BD" w:rsidRPr="004653E2" w:rsidRDefault="00FA59BD" w:rsidP="0061790F">
            <w:pPr>
              <w:spacing w:after="0" w:line="240" w:lineRule="auto"/>
              <w:jc w:val="center"/>
              <w:rPr>
                <w:rFonts w:eastAsia="Times New Roman" w:cs="Calibri"/>
                <w:b/>
                <w:bCs/>
                <w:sz w:val="20"/>
                <w:szCs w:val="20"/>
              </w:rPr>
            </w:pPr>
            <w:r w:rsidRPr="004653E2">
              <w:rPr>
                <w:rFonts w:eastAsia="Times New Roman" w:cs="Calibri"/>
                <w:b/>
                <w:bCs/>
                <w:sz w:val="20"/>
                <w:szCs w:val="20"/>
              </w:rPr>
              <w:t>Actividades Pendientes de Cumplimiento</w:t>
            </w:r>
          </w:p>
        </w:tc>
        <w:tc>
          <w:tcPr>
            <w:tcW w:w="1310" w:type="dxa"/>
            <w:tcBorders>
              <w:top w:val="single" w:sz="8" w:space="0" w:color="auto"/>
              <w:left w:val="nil"/>
              <w:bottom w:val="single" w:sz="4" w:space="0" w:color="auto"/>
              <w:right w:val="single" w:sz="8" w:space="0" w:color="auto"/>
            </w:tcBorders>
            <w:shd w:val="clear" w:color="auto" w:fill="auto"/>
            <w:vAlign w:val="bottom"/>
            <w:hideMark/>
          </w:tcPr>
          <w:p w14:paraId="32F9268F" w14:textId="77777777" w:rsidR="00FA59BD" w:rsidRPr="004653E2" w:rsidRDefault="00FA59BD" w:rsidP="0061790F">
            <w:pPr>
              <w:spacing w:after="0" w:line="240" w:lineRule="auto"/>
              <w:jc w:val="center"/>
              <w:rPr>
                <w:rFonts w:eastAsia="Times New Roman" w:cs="Calibri"/>
                <w:b/>
                <w:bCs/>
                <w:color w:val="000000"/>
                <w:sz w:val="20"/>
                <w:szCs w:val="20"/>
              </w:rPr>
            </w:pPr>
            <w:r w:rsidRPr="004653E2">
              <w:rPr>
                <w:rFonts w:eastAsia="Times New Roman" w:cs="Calibri"/>
                <w:b/>
                <w:bCs/>
                <w:color w:val="000000"/>
                <w:sz w:val="20"/>
                <w:szCs w:val="20"/>
              </w:rPr>
              <w:t>Fecha Estimada Cumplimiento</w:t>
            </w:r>
          </w:p>
        </w:tc>
      </w:tr>
      <w:tr w:rsidR="00FA59BD" w:rsidRPr="00901B72" w14:paraId="5D456853" w14:textId="77777777" w:rsidTr="0061790F">
        <w:trPr>
          <w:trHeight w:val="520"/>
        </w:trPr>
        <w:tc>
          <w:tcPr>
            <w:tcW w:w="7503" w:type="dxa"/>
            <w:tcBorders>
              <w:top w:val="nil"/>
              <w:left w:val="single" w:sz="8" w:space="0" w:color="auto"/>
              <w:bottom w:val="single" w:sz="4" w:space="0" w:color="auto"/>
              <w:right w:val="single" w:sz="4" w:space="0" w:color="auto"/>
            </w:tcBorders>
            <w:shd w:val="clear" w:color="000000" w:fill="FFFFFF"/>
            <w:hideMark/>
          </w:tcPr>
          <w:p w14:paraId="5CEFC266" w14:textId="77777777" w:rsidR="00FA59BD" w:rsidRPr="00901B72" w:rsidRDefault="00FA59BD" w:rsidP="0061790F">
            <w:pPr>
              <w:spacing w:after="0" w:line="240" w:lineRule="auto"/>
              <w:rPr>
                <w:rFonts w:eastAsia="Times New Roman" w:cs="Calibri"/>
                <w:color w:val="000000"/>
                <w:sz w:val="20"/>
                <w:szCs w:val="20"/>
              </w:rPr>
            </w:pPr>
            <w:r w:rsidRPr="00901B72">
              <w:rPr>
                <w:rFonts w:eastAsia="Times New Roman" w:cs="Calibri"/>
                <w:color w:val="000000"/>
                <w:sz w:val="20"/>
                <w:szCs w:val="20"/>
              </w:rPr>
              <w:t>Revisar y proponer las políticas particulares que correspondan conforme a la realidad institucional y la normativa contable aplicable según lo establece la NICSP 3</w:t>
            </w:r>
          </w:p>
        </w:tc>
        <w:tc>
          <w:tcPr>
            <w:tcW w:w="1310" w:type="dxa"/>
            <w:tcBorders>
              <w:top w:val="nil"/>
              <w:left w:val="nil"/>
              <w:bottom w:val="single" w:sz="4" w:space="0" w:color="auto"/>
              <w:right w:val="single" w:sz="8" w:space="0" w:color="auto"/>
            </w:tcBorders>
            <w:shd w:val="clear" w:color="000000" w:fill="FFFFFF"/>
            <w:noWrap/>
            <w:vAlign w:val="center"/>
            <w:hideMark/>
          </w:tcPr>
          <w:p w14:paraId="7501B338" w14:textId="7EF39C72" w:rsidR="00FA59BD" w:rsidRPr="00901B72" w:rsidRDefault="00520716" w:rsidP="0061790F">
            <w:pPr>
              <w:spacing w:after="0" w:line="240" w:lineRule="auto"/>
              <w:jc w:val="center"/>
              <w:rPr>
                <w:rFonts w:eastAsia="Times New Roman" w:cs="Calibri"/>
                <w:color w:val="000000"/>
                <w:sz w:val="20"/>
                <w:szCs w:val="20"/>
                <w:lang w:val="en-US"/>
              </w:rPr>
            </w:pPr>
            <w:r>
              <w:rPr>
                <w:rFonts w:eastAsia="Times New Roman" w:cs="Calibri"/>
                <w:color w:val="000000"/>
                <w:sz w:val="20"/>
                <w:szCs w:val="20"/>
                <w:lang w:val="en-US"/>
              </w:rPr>
              <w:t>30</w:t>
            </w:r>
            <w:r w:rsidR="00D64CF8">
              <w:rPr>
                <w:rFonts w:eastAsia="Times New Roman" w:cs="Calibri"/>
                <w:color w:val="000000"/>
                <w:sz w:val="20"/>
                <w:szCs w:val="20"/>
                <w:lang w:val="en-US"/>
              </w:rPr>
              <w:t>/6/25</w:t>
            </w:r>
          </w:p>
        </w:tc>
      </w:tr>
      <w:tr w:rsidR="00FA59BD" w:rsidRPr="00901B72" w14:paraId="0B203C9E" w14:textId="77777777" w:rsidTr="0061790F">
        <w:trPr>
          <w:trHeight w:val="300"/>
        </w:trPr>
        <w:tc>
          <w:tcPr>
            <w:tcW w:w="7503" w:type="dxa"/>
            <w:tcBorders>
              <w:top w:val="nil"/>
              <w:left w:val="single" w:sz="8" w:space="0" w:color="auto"/>
              <w:bottom w:val="single" w:sz="8" w:space="0" w:color="auto"/>
              <w:right w:val="single" w:sz="4" w:space="0" w:color="auto"/>
            </w:tcBorders>
            <w:shd w:val="clear" w:color="000000" w:fill="FFFFFF"/>
            <w:hideMark/>
          </w:tcPr>
          <w:p w14:paraId="4AC01118" w14:textId="77777777" w:rsidR="00FA59BD" w:rsidRPr="00901B72" w:rsidRDefault="00FA59BD" w:rsidP="0061790F">
            <w:pPr>
              <w:spacing w:after="0" w:line="240" w:lineRule="auto"/>
              <w:rPr>
                <w:rFonts w:eastAsia="Times New Roman" w:cs="Calibri"/>
                <w:color w:val="000000"/>
                <w:sz w:val="20"/>
                <w:szCs w:val="20"/>
              </w:rPr>
            </w:pPr>
            <w:r w:rsidRPr="00901B72">
              <w:rPr>
                <w:rFonts w:eastAsia="Times New Roman" w:cs="Calibri"/>
                <w:color w:val="000000"/>
                <w:sz w:val="20"/>
                <w:szCs w:val="20"/>
              </w:rPr>
              <w:t>Efectuar los ajustes correspondientes en el sistema contable en desarrollo.</w:t>
            </w:r>
          </w:p>
        </w:tc>
        <w:tc>
          <w:tcPr>
            <w:tcW w:w="1310" w:type="dxa"/>
            <w:tcBorders>
              <w:top w:val="nil"/>
              <w:left w:val="nil"/>
              <w:bottom w:val="single" w:sz="8" w:space="0" w:color="auto"/>
              <w:right w:val="single" w:sz="8" w:space="0" w:color="auto"/>
            </w:tcBorders>
            <w:shd w:val="clear" w:color="000000" w:fill="FFFFFF"/>
            <w:noWrap/>
            <w:vAlign w:val="center"/>
            <w:hideMark/>
          </w:tcPr>
          <w:p w14:paraId="455C907F" w14:textId="5D927C83" w:rsidR="00FA59BD" w:rsidRPr="00901B72" w:rsidRDefault="00520716" w:rsidP="0061790F">
            <w:pPr>
              <w:spacing w:after="0" w:line="240" w:lineRule="auto"/>
              <w:jc w:val="center"/>
              <w:rPr>
                <w:rFonts w:eastAsia="Times New Roman" w:cs="Calibri"/>
                <w:color w:val="000000"/>
                <w:sz w:val="20"/>
                <w:szCs w:val="20"/>
                <w:lang w:val="en-US"/>
              </w:rPr>
            </w:pPr>
            <w:r>
              <w:rPr>
                <w:rFonts w:eastAsia="Times New Roman" w:cs="Calibri"/>
                <w:color w:val="000000"/>
                <w:sz w:val="20"/>
                <w:szCs w:val="20"/>
                <w:lang w:val="en-US"/>
              </w:rPr>
              <w:t>30</w:t>
            </w:r>
            <w:r w:rsidR="00D64CF8">
              <w:rPr>
                <w:rFonts w:eastAsia="Times New Roman" w:cs="Calibri"/>
                <w:color w:val="000000"/>
                <w:sz w:val="20"/>
                <w:szCs w:val="20"/>
                <w:lang w:val="en-US"/>
              </w:rPr>
              <w:t>/6/25</w:t>
            </w:r>
          </w:p>
        </w:tc>
      </w:tr>
    </w:tbl>
    <w:p w14:paraId="221856DB" w14:textId="231DD0F9" w:rsidR="00F56F0E" w:rsidRDefault="00EE66B3" w:rsidP="00F56F0E">
      <w:r>
        <w:rPr>
          <w:lang w:eastAsia="es-CR"/>
        </w:rPr>
        <w:t xml:space="preserve">Se hizo extensión a la fecha prevista esto debido a las cargas de trabajo en la institución, por tanto, no se pudo completar las actividades requeridas a la Norma </w:t>
      </w:r>
      <w:r>
        <w:rPr>
          <w:lang w:val="es-MX"/>
        </w:rPr>
        <w:t>NICSP 3</w:t>
      </w:r>
    </w:p>
    <w:p w14:paraId="56E42509" w14:textId="2847EC84" w:rsidR="002007F6" w:rsidRDefault="002007F6" w:rsidP="00D16DB1">
      <w:pPr>
        <w:pStyle w:val="Ttulo2"/>
        <w:spacing w:after="240"/>
      </w:pPr>
      <w:bookmarkStart w:id="31" w:name="_Toc189804784"/>
      <w:r w:rsidRPr="002007F6">
        <w:t>NICSP 4- EFECTOS DE VARIACIONES EN LAS TASAS DE CAMBIO DE</w:t>
      </w:r>
      <w:r w:rsidR="000763A5">
        <w:tab/>
        <w:t xml:space="preserve">LA </w:t>
      </w:r>
      <w:r w:rsidRPr="002007F6">
        <w:t>MONEDA EXTRANJERA:</w:t>
      </w:r>
      <w:bookmarkEnd w:id="31"/>
    </w:p>
    <w:p w14:paraId="3B5A9321" w14:textId="77777777" w:rsidR="00396CB4" w:rsidRDefault="00FB0858" w:rsidP="002007F6">
      <w:pPr>
        <w:rPr>
          <w:rFonts w:asciiTheme="minorHAnsi" w:hAnsiTheme="minorHAnsi"/>
          <w:sz w:val="22"/>
        </w:rPr>
      </w:pPr>
      <w:r w:rsidRPr="00FB0858">
        <w:t>De acuerdo con la NICSP 4- Efectos de variaciones en las tasas de cambio de moneda extranjera</w:t>
      </w:r>
      <w:r>
        <w:t>, i</w:t>
      </w:r>
      <w:r w:rsidR="002007F6">
        <w:t xml:space="preserve">ndicar si este rubro afecta SI o NO a la institución, </w:t>
      </w:r>
      <w:r w:rsidR="00405DBC" w:rsidRPr="00405DBC">
        <w:t>además del porcentaje de avance</w:t>
      </w:r>
      <w:r w:rsidR="00405DBC">
        <w:t xml:space="preserve"> en la implementación</w:t>
      </w:r>
      <w:r w:rsidR="00405DBC" w:rsidRPr="00405DBC">
        <w:t xml:space="preserve"> que presenta</w:t>
      </w:r>
      <w:r w:rsidR="00D16DB1">
        <w:t>.</w:t>
      </w:r>
      <w:r w:rsidR="0025405A">
        <w:fldChar w:fldCharType="begin"/>
      </w:r>
      <w:r w:rsidR="0025405A">
        <w:instrText xml:space="preserve"> LINK </w:instrText>
      </w:r>
      <w:r w:rsidR="00756467">
        <w:instrText xml:space="preserve">Excel.SheetMacroEnabled.12 "C:\\Users\\gcordero\\Downloads\\Notas diciembre 2024\\Formato_Notas_EEFF_Vinculadas_2024\\Formato_Notas_EEFF_Vinculadas_2024\\15603_T04_2024_Anexo_Estado_Notas_Contables_Vinculadas.xlsm" NICSP_4!F9C3:F10C4 </w:instrText>
      </w:r>
      <w:r w:rsidR="0025405A">
        <w:instrText xml:space="preserve">\a \f 4 \h </w:instrText>
      </w:r>
      <w:r w:rsidR="0025405A">
        <w:fldChar w:fldCharType="separate"/>
      </w:r>
    </w:p>
    <w:p w14:paraId="4767708F" w14:textId="77777777" w:rsidR="006753AA" w:rsidRDefault="0025405A" w:rsidP="002007F6">
      <w:pPr>
        <w:rPr>
          <w:b/>
          <w:sz w:val="16"/>
          <w:szCs w:val="16"/>
          <w:lang w:eastAsia="es-CR"/>
        </w:rPr>
      </w:pPr>
      <w:r>
        <w:fldChar w:fldCharType="end"/>
      </w:r>
    </w:p>
    <w:tbl>
      <w:tblPr>
        <w:tblW w:w="4120" w:type="dxa"/>
        <w:tblCellMar>
          <w:left w:w="70" w:type="dxa"/>
          <w:right w:w="70" w:type="dxa"/>
        </w:tblCellMar>
        <w:tblLook w:val="04A0" w:firstRow="1" w:lastRow="0" w:firstColumn="1" w:lastColumn="0" w:noHBand="0" w:noVBand="1"/>
      </w:tblPr>
      <w:tblGrid>
        <w:gridCol w:w="2340"/>
        <w:gridCol w:w="1780"/>
      </w:tblGrid>
      <w:tr w:rsidR="006753AA" w:rsidRPr="006753AA" w14:paraId="11041050" w14:textId="77777777" w:rsidTr="006753AA">
        <w:trPr>
          <w:trHeight w:val="345"/>
        </w:trPr>
        <w:tc>
          <w:tcPr>
            <w:tcW w:w="234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6655E774" w14:textId="77777777" w:rsidR="006753AA" w:rsidRPr="006753AA" w:rsidRDefault="006753AA" w:rsidP="006753AA">
            <w:pPr>
              <w:spacing w:after="0" w:line="240" w:lineRule="auto"/>
              <w:jc w:val="left"/>
              <w:rPr>
                <w:rFonts w:eastAsia="Times New Roman" w:cs="Calibri"/>
                <w:color w:val="FFFFFF"/>
                <w:szCs w:val="24"/>
                <w:lang w:eastAsia="es-CR"/>
              </w:rPr>
            </w:pPr>
            <w:r w:rsidRPr="006753AA">
              <w:rPr>
                <w:rFonts w:eastAsia="Times New Roman" w:cs="Calibri"/>
                <w:color w:val="FFFFFF"/>
                <w:szCs w:val="24"/>
                <w:lang w:eastAsia="es-CR"/>
              </w:rPr>
              <w:t>Aplica</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9D2E40" w14:textId="77777777" w:rsidR="006753AA" w:rsidRPr="006753AA" w:rsidRDefault="006753AA" w:rsidP="006753AA">
            <w:pPr>
              <w:spacing w:after="0" w:line="240" w:lineRule="auto"/>
              <w:jc w:val="center"/>
              <w:rPr>
                <w:rFonts w:eastAsia="Times New Roman" w:cs="Calibri"/>
                <w:color w:val="000000"/>
                <w:sz w:val="22"/>
                <w:lang w:eastAsia="es-CR"/>
              </w:rPr>
            </w:pPr>
            <w:r w:rsidRPr="006753AA">
              <w:rPr>
                <w:rFonts w:eastAsia="Times New Roman" w:cs="Calibri"/>
                <w:color w:val="000000"/>
                <w:sz w:val="22"/>
                <w:lang w:eastAsia="es-CR"/>
              </w:rPr>
              <w:t>Si</w:t>
            </w:r>
          </w:p>
        </w:tc>
      </w:tr>
      <w:tr w:rsidR="006753AA" w:rsidRPr="006753AA" w14:paraId="4B21B968" w14:textId="77777777" w:rsidTr="006753AA">
        <w:trPr>
          <w:trHeight w:val="345"/>
        </w:trPr>
        <w:tc>
          <w:tcPr>
            <w:tcW w:w="2340" w:type="dxa"/>
            <w:tcBorders>
              <w:top w:val="nil"/>
              <w:left w:val="single" w:sz="8" w:space="0" w:color="auto"/>
              <w:bottom w:val="single" w:sz="8" w:space="0" w:color="auto"/>
              <w:right w:val="single" w:sz="8" w:space="0" w:color="auto"/>
            </w:tcBorders>
            <w:shd w:val="clear" w:color="000000" w:fill="17365D"/>
            <w:vAlign w:val="center"/>
            <w:hideMark/>
          </w:tcPr>
          <w:p w14:paraId="63F29657" w14:textId="77777777" w:rsidR="006753AA" w:rsidRPr="006753AA" w:rsidRDefault="006753AA" w:rsidP="006753AA">
            <w:pPr>
              <w:spacing w:after="0" w:line="240" w:lineRule="auto"/>
              <w:jc w:val="left"/>
              <w:rPr>
                <w:rFonts w:eastAsia="Times New Roman" w:cs="Calibri"/>
                <w:color w:val="FFFFFF"/>
                <w:szCs w:val="24"/>
                <w:lang w:eastAsia="es-CR"/>
              </w:rPr>
            </w:pPr>
            <w:proofErr w:type="spellStart"/>
            <w:r w:rsidRPr="006753AA">
              <w:rPr>
                <w:rFonts w:eastAsia="Times New Roman" w:cs="Calibri"/>
                <w:color w:val="FFFFFF"/>
                <w:szCs w:val="24"/>
                <w:lang w:eastAsia="es-CR"/>
              </w:rPr>
              <w:t>Porcentaje_Avance</w:t>
            </w:r>
            <w:proofErr w:type="spellEnd"/>
          </w:p>
        </w:tc>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6C7E7A2B" w14:textId="77777777" w:rsidR="006753AA" w:rsidRPr="006753AA" w:rsidRDefault="006753AA" w:rsidP="006753AA">
            <w:pPr>
              <w:spacing w:after="0" w:line="240" w:lineRule="auto"/>
              <w:jc w:val="center"/>
              <w:rPr>
                <w:rFonts w:eastAsia="Times New Roman" w:cs="Calibri"/>
                <w:color w:val="000000"/>
                <w:sz w:val="22"/>
                <w:lang w:eastAsia="es-CR"/>
              </w:rPr>
            </w:pPr>
            <w:r w:rsidRPr="006753AA">
              <w:rPr>
                <w:rFonts w:eastAsia="Times New Roman" w:cs="Calibri"/>
                <w:color w:val="000000"/>
                <w:sz w:val="22"/>
                <w:lang w:eastAsia="es-CR"/>
              </w:rPr>
              <w:t>91,43%</w:t>
            </w:r>
          </w:p>
        </w:tc>
      </w:tr>
    </w:tbl>
    <w:p w14:paraId="029096D2" w14:textId="4DAB8057" w:rsidR="0025405A" w:rsidRDefault="0025405A" w:rsidP="002007F6">
      <w:r>
        <w:rPr>
          <w:b/>
          <w:sz w:val="16"/>
          <w:szCs w:val="16"/>
          <w:lang w:eastAsia="es-CR"/>
        </w:rPr>
        <w:t xml:space="preserve">                                                 </w:t>
      </w:r>
      <w:r w:rsidR="002007F6" w:rsidRPr="00C35565">
        <w:rPr>
          <w:b/>
          <w:sz w:val="16"/>
          <w:szCs w:val="16"/>
          <w:lang w:eastAsia="es-CR"/>
        </w:rPr>
        <w:t>-Aplicación Obligatoria-</w:t>
      </w:r>
    </w:p>
    <w:p w14:paraId="3871615F" w14:textId="77777777" w:rsidR="000763A5" w:rsidRDefault="000763A5" w:rsidP="002007F6">
      <w:pPr>
        <w:rPr>
          <w:b/>
        </w:rPr>
      </w:pPr>
    </w:p>
    <w:p w14:paraId="5B595213" w14:textId="77777777" w:rsidR="000763A5" w:rsidRDefault="000763A5" w:rsidP="002007F6">
      <w:pPr>
        <w:rPr>
          <w:b/>
        </w:rPr>
      </w:pPr>
    </w:p>
    <w:p w14:paraId="01715CEB" w14:textId="70B142B7" w:rsidR="002007F6" w:rsidRPr="002007F6" w:rsidRDefault="002007F6" w:rsidP="002007F6">
      <w:pPr>
        <w:rPr>
          <w:b/>
          <w:lang w:val="es-MX"/>
        </w:rPr>
      </w:pPr>
      <w:r w:rsidRPr="002007F6">
        <w:rPr>
          <w:b/>
        </w:rPr>
        <w:t>Moneda Extranjera</w:t>
      </w:r>
    </w:p>
    <w:p w14:paraId="10F94098" w14:textId="3636E803" w:rsidR="002007F6" w:rsidRPr="00D16DB1" w:rsidRDefault="002007F6" w:rsidP="00CD3A05">
      <w:pPr>
        <w:rPr>
          <w:lang w:val="es-ES_tradnl" w:eastAsia="es-ES"/>
        </w:rPr>
      </w:pPr>
      <w:r w:rsidRPr="002007F6">
        <w:rPr>
          <w:lang w:val="es-ES_tradnl" w:eastAsia="es-ES"/>
        </w:rPr>
        <w:t xml:space="preserve">Las partidas monetarias en moneda extranjera se convertirán a la moneda funcional utilizando la tasa de cambio de la fecha de cierre de los EEFF. </w:t>
      </w:r>
    </w:p>
    <w:p w14:paraId="51A46126" w14:textId="74020B03" w:rsidR="002007F6" w:rsidRPr="002007F6" w:rsidRDefault="002007F6" w:rsidP="00CD3A05">
      <w:pPr>
        <w:jc w:val="center"/>
        <w:rPr>
          <w:lang w:val="es-MX"/>
        </w:rPr>
      </w:pPr>
      <w:r w:rsidRPr="002007F6">
        <w:rPr>
          <w:noProof/>
          <w:lang w:eastAsia="es-CR"/>
        </w:rPr>
        <w:drawing>
          <wp:inline distT="0" distB="0" distL="0" distR="0" wp14:anchorId="6D1EB6A0" wp14:editId="4E511BC6">
            <wp:extent cx="4210050" cy="12096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10050" cy="1209675"/>
                    </a:xfrm>
                    <a:prstGeom prst="rect">
                      <a:avLst/>
                    </a:prstGeom>
                  </pic:spPr>
                </pic:pic>
              </a:graphicData>
            </a:graphic>
          </wp:inline>
        </w:drawing>
      </w:r>
    </w:p>
    <w:p w14:paraId="05EC36B9" w14:textId="2F477289" w:rsidR="002007F6" w:rsidRPr="002007F6" w:rsidRDefault="002007F6" w:rsidP="000763A5">
      <w:pPr>
        <w:spacing w:line="240" w:lineRule="auto"/>
        <w:rPr>
          <w:lang w:val="es-MX"/>
        </w:rPr>
      </w:pPr>
      <w:r w:rsidRPr="002007F6">
        <w:rPr>
          <w:lang w:val="es-MX"/>
        </w:rPr>
        <w:t xml:space="preserve">Las partidas monetarias en moneda extranjera se convertirán utilizando la tasa de cambio al cierre de los EEFF. </w:t>
      </w:r>
    </w:p>
    <w:p w14:paraId="4AB489F5" w14:textId="7B568A8E" w:rsidR="002007F6" w:rsidRPr="002007F6" w:rsidRDefault="002007F6" w:rsidP="000763A5">
      <w:pPr>
        <w:spacing w:line="240" w:lineRule="auto"/>
        <w:rPr>
          <w:lang w:val="es-MX"/>
        </w:rPr>
      </w:pPr>
      <w:r w:rsidRPr="002007F6">
        <w:rPr>
          <w:lang w:val="es-MX"/>
        </w:rPr>
        <w:t>El tipo de cambio a utilizar para la conversión de las monedas a la moneda funcional será el siguiente: para las cuentas de activo, el tipo de cambio de compra y para las cuentas de pasivo, el tipo de cambio de venta, que emite el Banco Central de Costa Rica para las operaciones con el Sector Público no bancario. El ajuste por el diferencial cambiario se deberá realizar el último día de cada mes.</w:t>
      </w:r>
    </w:p>
    <w:p w14:paraId="1BD57ECF" w14:textId="5869B8C4" w:rsidR="00396CB4" w:rsidRDefault="002007F6" w:rsidP="000763A5">
      <w:pPr>
        <w:spacing w:line="240" w:lineRule="auto"/>
        <w:rPr>
          <w:rFonts w:asciiTheme="minorHAnsi" w:hAnsiTheme="minorHAnsi"/>
          <w:sz w:val="22"/>
        </w:rPr>
      </w:pPr>
      <w:r w:rsidRPr="002007F6">
        <w:rPr>
          <w:lang w:val="es-MX"/>
        </w:rPr>
        <w:t>A continuación, se presentan los tipos de cambio para transacciones en monedas extranjeras, tanto de compra como venta de (Dólar y Euros)</w:t>
      </w:r>
      <w:r w:rsidR="00DA0791">
        <w:rPr>
          <w:lang w:val="es-MX"/>
        </w:rPr>
        <w:t>.</w:t>
      </w:r>
      <w:r w:rsidR="007F098E">
        <w:rPr>
          <w:lang w:val="es-MX"/>
        </w:rPr>
        <w:fldChar w:fldCharType="begin"/>
      </w:r>
      <w:r w:rsidR="007F098E">
        <w:rPr>
          <w:lang w:val="es-MX"/>
        </w:rPr>
        <w:instrText xml:space="preserve"> LINK </w:instrText>
      </w:r>
      <w:r w:rsidR="00756467">
        <w:rPr>
          <w:lang w:val="es-MX"/>
        </w:rPr>
        <w:instrText xml:space="preserve">Excel.SheetMacroEnabled.12 "C:\\Users\\gcordero\\Downloads\\Notas diciembre 2024\\Formato_Notas_EEFF_Vinculadas_2024\\Formato_Notas_EEFF_Vinculadas_2024\\15603_T04_2024_Anexo_Estado_Notas_Contables_Vinculadas.xlsm" NICSP_4!F13C3:F15C5 </w:instrText>
      </w:r>
      <w:r w:rsidR="007F098E">
        <w:rPr>
          <w:lang w:val="es-MX"/>
        </w:rPr>
        <w:instrText xml:space="preserve">\a \f 4 \h </w:instrText>
      </w:r>
      <w:r w:rsidR="007F098E">
        <w:rPr>
          <w:lang w:val="es-MX"/>
        </w:rPr>
        <w:fldChar w:fldCharType="separate"/>
      </w:r>
    </w:p>
    <w:tbl>
      <w:tblPr>
        <w:tblW w:w="5900" w:type="dxa"/>
        <w:tblCellMar>
          <w:left w:w="70" w:type="dxa"/>
          <w:right w:w="70" w:type="dxa"/>
        </w:tblCellMar>
        <w:tblLook w:val="04A0" w:firstRow="1" w:lastRow="0" w:firstColumn="1" w:lastColumn="0" w:noHBand="0" w:noVBand="1"/>
      </w:tblPr>
      <w:tblGrid>
        <w:gridCol w:w="2340"/>
        <w:gridCol w:w="1780"/>
        <w:gridCol w:w="1780"/>
      </w:tblGrid>
      <w:tr w:rsidR="00396CB4" w:rsidRPr="00396CB4" w14:paraId="7CC8566B" w14:textId="77777777" w:rsidTr="00396CB4">
        <w:trPr>
          <w:divId w:val="610166680"/>
          <w:trHeight w:val="289"/>
        </w:trPr>
        <w:tc>
          <w:tcPr>
            <w:tcW w:w="2340" w:type="dxa"/>
            <w:tcBorders>
              <w:top w:val="single" w:sz="4" w:space="0" w:color="auto"/>
              <w:left w:val="single" w:sz="4" w:space="0" w:color="auto"/>
              <w:bottom w:val="single" w:sz="4" w:space="0" w:color="auto"/>
              <w:right w:val="single" w:sz="4" w:space="0" w:color="auto"/>
            </w:tcBorders>
            <w:shd w:val="clear" w:color="000000" w:fill="17365D"/>
            <w:noWrap/>
            <w:vAlign w:val="center"/>
            <w:hideMark/>
          </w:tcPr>
          <w:p w14:paraId="57CEFFFF" w14:textId="0DF219D3" w:rsidR="00396CB4" w:rsidRPr="00396CB4" w:rsidRDefault="00396CB4" w:rsidP="00396CB4">
            <w:pPr>
              <w:jc w:val="center"/>
              <w:rPr>
                <w:rFonts w:eastAsia="Times New Roman" w:cs="Calibri"/>
                <w:color w:val="FFFFFF"/>
                <w:szCs w:val="24"/>
                <w:lang w:eastAsia="es-CR"/>
              </w:rPr>
            </w:pPr>
            <w:r w:rsidRPr="00396CB4">
              <w:rPr>
                <w:rFonts w:eastAsia="Times New Roman" w:cs="Calibri"/>
                <w:color w:val="FFFFFF"/>
                <w:szCs w:val="24"/>
                <w:lang w:eastAsia="es-CR"/>
              </w:rPr>
              <w:t>Moneda</w:t>
            </w:r>
          </w:p>
        </w:tc>
        <w:tc>
          <w:tcPr>
            <w:tcW w:w="1780" w:type="dxa"/>
            <w:tcBorders>
              <w:top w:val="single" w:sz="4" w:space="0" w:color="auto"/>
              <w:left w:val="nil"/>
              <w:bottom w:val="single" w:sz="4" w:space="0" w:color="auto"/>
              <w:right w:val="single" w:sz="4" w:space="0" w:color="auto"/>
            </w:tcBorders>
            <w:shd w:val="clear" w:color="000000" w:fill="17365D"/>
            <w:noWrap/>
            <w:vAlign w:val="center"/>
            <w:hideMark/>
          </w:tcPr>
          <w:p w14:paraId="3B3FC0AA" w14:textId="77777777" w:rsidR="00396CB4" w:rsidRPr="00396CB4" w:rsidRDefault="00396CB4" w:rsidP="00396CB4">
            <w:pPr>
              <w:spacing w:after="0" w:line="240" w:lineRule="auto"/>
              <w:jc w:val="center"/>
              <w:rPr>
                <w:rFonts w:eastAsia="Times New Roman" w:cs="Calibri"/>
                <w:color w:val="FFFFFF"/>
                <w:szCs w:val="24"/>
                <w:lang w:eastAsia="es-CR"/>
              </w:rPr>
            </w:pPr>
            <w:r w:rsidRPr="00396CB4">
              <w:rPr>
                <w:rFonts w:eastAsia="Times New Roman" w:cs="Calibri"/>
                <w:color w:val="FFFFFF"/>
                <w:szCs w:val="24"/>
                <w:lang w:eastAsia="es-CR"/>
              </w:rPr>
              <w:t>Compra</w:t>
            </w:r>
          </w:p>
        </w:tc>
        <w:tc>
          <w:tcPr>
            <w:tcW w:w="1780" w:type="dxa"/>
            <w:tcBorders>
              <w:top w:val="single" w:sz="4" w:space="0" w:color="auto"/>
              <w:left w:val="nil"/>
              <w:bottom w:val="single" w:sz="4" w:space="0" w:color="auto"/>
              <w:right w:val="single" w:sz="4" w:space="0" w:color="auto"/>
            </w:tcBorders>
            <w:shd w:val="clear" w:color="000000" w:fill="17365D"/>
            <w:noWrap/>
            <w:vAlign w:val="center"/>
            <w:hideMark/>
          </w:tcPr>
          <w:p w14:paraId="17CF0A3C" w14:textId="77777777" w:rsidR="00396CB4" w:rsidRPr="00396CB4" w:rsidRDefault="00396CB4" w:rsidP="00396CB4">
            <w:pPr>
              <w:spacing w:after="0" w:line="240" w:lineRule="auto"/>
              <w:jc w:val="center"/>
              <w:rPr>
                <w:rFonts w:eastAsia="Times New Roman" w:cs="Calibri"/>
                <w:color w:val="FFFFFF"/>
                <w:szCs w:val="24"/>
                <w:lang w:eastAsia="es-CR"/>
              </w:rPr>
            </w:pPr>
            <w:r w:rsidRPr="00396CB4">
              <w:rPr>
                <w:rFonts w:eastAsia="Times New Roman" w:cs="Calibri"/>
                <w:color w:val="FFFFFF"/>
                <w:szCs w:val="24"/>
                <w:lang w:eastAsia="es-CR"/>
              </w:rPr>
              <w:t>Venta</w:t>
            </w:r>
          </w:p>
        </w:tc>
      </w:tr>
      <w:tr w:rsidR="00396CB4" w:rsidRPr="00396CB4" w14:paraId="4B84CA58" w14:textId="77777777" w:rsidTr="00396CB4">
        <w:trPr>
          <w:divId w:val="610166680"/>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2CA830AC" w14:textId="77777777" w:rsidR="00396CB4" w:rsidRPr="00396CB4" w:rsidRDefault="00396CB4" w:rsidP="00396CB4">
            <w:pPr>
              <w:spacing w:after="0" w:line="240" w:lineRule="auto"/>
              <w:jc w:val="center"/>
              <w:rPr>
                <w:rFonts w:eastAsia="Times New Roman" w:cs="Calibri"/>
                <w:color w:val="000000"/>
                <w:szCs w:val="24"/>
                <w:lang w:eastAsia="es-CR"/>
              </w:rPr>
            </w:pPr>
            <w:r w:rsidRPr="00396CB4">
              <w:rPr>
                <w:rFonts w:eastAsia="Times New Roman" w:cs="Calibri"/>
                <w:color w:val="000000"/>
                <w:szCs w:val="24"/>
                <w:lang w:eastAsia="es-CR"/>
              </w:rPr>
              <w:t>Dólar</w:t>
            </w:r>
          </w:p>
        </w:tc>
        <w:tc>
          <w:tcPr>
            <w:tcW w:w="1780" w:type="dxa"/>
            <w:tcBorders>
              <w:top w:val="nil"/>
              <w:left w:val="nil"/>
              <w:bottom w:val="single" w:sz="4" w:space="0" w:color="auto"/>
              <w:right w:val="single" w:sz="4" w:space="0" w:color="auto"/>
            </w:tcBorders>
            <w:shd w:val="clear" w:color="auto" w:fill="auto"/>
            <w:vAlign w:val="center"/>
            <w:hideMark/>
          </w:tcPr>
          <w:p w14:paraId="4B5FFC3E" w14:textId="77777777" w:rsidR="00396CB4" w:rsidRPr="00396CB4" w:rsidRDefault="00396CB4" w:rsidP="00396CB4">
            <w:pPr>
              <w:spacing w:after="0" w:line="240" w:lineRule="auto"/>
              <w:jc w:val="left"/>
              <w:rPr>
                <w:rFonts w:eastAsia="Times New Roman" w:cs="Calibri"/>
                <w:color w:val="000000"/>
                <w:sz w:val="20"/>
                <w:szCs w:val="20"/>
                <w:lang w:eastAsia="es-CR"/>
              </w:rPr>
            </w:pPr>
            <w:r w:rsidRPr="00396CB4">
              <w:rPr>
                <w:rFonts w:eastAsia="Times New Roman" w:cs="Calibri"/>
                <w:color w:val="000000"/>
                <w:sz w:val="20"/>
                <w:szCs w:val="20"/>
                <w:lang w:eastAsia="es-CR"/>
              </w:rPr>
              <w:t>508,81</w:t>
            </w:r>
          </w:p>
        </w:tc>
        <w:tc>
          <w:tcPr>
            <w:tcW w:w="1780" w:type="dxa"/>
            <w:tcBorders>
              <w:top w:val="nil"/>
              <w:left w:val="nil"/>
              <w:bottom w:val="single" w:sz="4" w:space="0" w:color="auto"/>
              <w:right w:val="single" w:sz="4" w:space="0" w:color="auto"/>
            </w:tcBorders>
            <w:shd w:val="clear" w:color="auto" w:fill="auto"/>
            <w:noWrap/>
            <w:vAlign w:val="center"/>
            <w:hideMark/>
          </w:tcPr>
          <w:p w14:paraId="3C5CB47C" w14:textId="77777777" w:rsidR="00396CB4" w:rsidRPr="00396CB4" w:rsidRDefault="00396CB4" w:rsidP="00396CB4">
            <w:pPr>
              <w:spacing w:after="0" w:line="240" w:lineRule="auto"/>
              <w:jc w:val="left"/>
              <w:rPr>
                <w:rFonts w:ascii="Calibri" w:eastAsia="Times New Roman" w:hAnsi="Calibri" w:cs="Calibri"/>
                <w:color w:val="000000"/>
                <w:sz w:val="22"/>
                <w:lang w:eastAsia="es-CR"/>
              </w:rPr>
            </w:pPr>
            <w:r w:rsidRPr="00396CB4">
              <w:rPr>
                <w:rFonts w:ascii="Calibri" w:eastAsia="Times New Roman" w:hAnsi="Calibri" w:cs="Calibri"/>
                <w:color w:val="000000"/>
                <w:sz w:val="22"/>
                <w:lang w:eastAsia="es-CR"/>
              </w:rPr>
              <w:t>509,31</w:t>
            </w:r>
          </w:p>
        </w:tc>
      </w:tr>
      <w:tr w:rsidR="00396CB4" w:rsidRPr="00396CB4" w14:paraId="5ADDE6F5" w14:textId="77777777" w:rsidTr="00396CB4">
        <w:trPr>
          <w:divId w:val="610166680"/>
          <w:trHeight w:val="315"/>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40536EE1" w14:textId="77777777" w:rsidR="00396CB4" w:rsidRPr="00396CB4" w:rsidRDefault="00396CB4" w:rsidP="00396CB4">
            <w:pPr>
              <w:spacing w:after="0" w:line="240" w:lineRule="auto"/>
              <w:jc w:val="center"/>
              <w:rPr>
                <w:rFonts w:eastAsia="Times New Roman" w:cs="Calibri"/>
                <w:color w:val="000000"/>
                <w:szCs w:val="24"/>
                <w:lang w:eastAsia="es-CR"/>
              </w:rPr>
            </w:pPr>
            <w:r w:rsidRPr="00396CB4">
              <w:rPr>
                <w:rFonts w:eastAsia="Times New Roman" w:cs="Calibri"/>
                <w:color w:val="000000"/>
                <w:szCs w:val="24"/>
                <w:lang w:eastAsia="es-CR"/>
              </w:rPr>
              <w:t>Euro</w:t>
            </w:r>
          </w:p>
        </w:tc>
        <w:tc>
          <w:tcPr>
            <w:tcW w:w="1780" w:type="dxa"/>
            <w:tcBorders>
              <w:top w:val="nil"/>
              <w:left w:val="nil"/>
              <w:bottom w:val="single" w:sz="4" w:space="0" w:color="auto"/>
              <w:right w:val="single" w:sz="4" w:space="0" w:color="auto"/>
            </w:tcBorders>
            <w:shd w:val="clear" w:color="auto" w:fill="auto"/>
            <w:vAlign w:val="center"/>
            <w:hideMark/>
          </w:tcPr>
          <w:p w14:paraId="5BD19091" w14:textId="77777777" w:rsidR="00396CB4" w:rsidRPr="00396CB4" w:rsidRDefault="00396CB4" w:rsidP="00396CB4">
            <w:pPr>
              <w:spacing w:after="0" w:line="240" w:lineRule="auto"/>
              <w:jc w:val="left"/>
              <w:rPr>
                <w:rFonts w:eastAsia="Times New Roman" w:cs="Calibri"/>
                <w:color w:val="000000"/>
                <w:sz w:val="20"/>
                <w:szCs w:val="20"/>
                <w:lang w:eastAsia="es-CR"/>
              </w:rPr>
            </w:pPr>
            <w:r w:rsidRPr="00396CB4">
              <w:rPr>
                <w:rFonts w:eastAsia="Times New Roman" w:cs="Calibri"/>
                <w:color w:val="000000"/>
                <w:sz w:val="20"/>
                <w:szCs w:val="20"/>
                <w:lang w:eastAsia="es-CR"/>
              </w:rPr>
              <w:t>535,31</w:t>
            </w:r>
          </w:p>
        </w:tc>
        <w:tc>
          <w:tcPr>
            <w:tcW w:w="1780" w:type="dxa"/>
            <w:tcBorders>
              <w:top w:val="nil"/>
              <w:left w:val="nil"/>
              <w:bottom w:val="single" w:sz="4" w:space="0" w:color="auto"/>
              <w:right w:val="single" w:sz="4" w:space="0" w:color="auto"/>
            </w:tcBorders>
            <w:shd w:val="clear" w:color="auto" w:fill="auto"/>
            <w:noWrap/>
            <w:vAlign w:val="center"/>
            <w:hideMark/>
          </w:tcPr>
          <w:p w14:paraId="11A3FAEC" w14:textId="77777777" w:rsidR="00396CB4" w:rsidRPr="00396CB4" w:rsidRDefault="00396CB4" w:rsidP="00396CB4">
            <w:pPr>
              <w:spacing w:after="0" w:line="240" w:lineRule="auto"/>
              <w:jc w:val="left"/>
              <w:rPr>
                <w:rFonts w:ascii="Calibri" w:eastAsia="Times New Roman" w:hAnsi="Calibri" w:cs="Calibri"/>
                <w:color w:val="000000"/>
                <w:sz w:val="22"/>
                <w:lang w:eastAsia="es-CR"/>
              </w:rPr>
            </w:pPr>
            <w:r w:rsidRPr="00396CB4">
              <w:rPr>
                <w:rFonts w:ascii="Calibri" w:eastAsia="Times New Roman" w:hAnsi="Calibri" w:cs="Calibri"/>
                <w:color w:val="000000"/>
                <w:sz w:val="22"/>
                <w:lang w:eastAsia="es-CR"/>
              </w:rPr>
              <w:t>535,84</w:t>
            </w:r>
          </w:p>
        </w:tc>
      </w:tr>
    </w:tbl>
    <w:p w14:paraId="1E1307A7" w14:textId="4165B576" w:rsidR="007F098E" w:rsidRDefault="007F098E" w:rsidP="00CD3A05">
      <w:pPr>
        <w:rPr>
          <w:lang w:val="es-MX"/>
        </w:rPr>
      </w:pPr>
      <w:r>
        <w:rPr>
          <w:lang w:val="es-MX"/>
        </w:rPr>
        <w:fldChar w:fldCharType="end"/>
      </w:r>
    </w:p>
    <w:p w14:paraId="0306B830" w14:textId="4F55B970" w:rsidR="008D70BB" w:rsidRDefault="000C3947" w:rsidP="008D70BB">
      <w:pPr>
        <w:spacing w:after="0" w:line="240" w:lineRule="auto"/>
        <w:rPr>
          <w:b/>
          <w:color w:val="FFFFFF" w:themeColor="background1"/>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p>
    <w:p w14:paraId="26B7E35E" w14:textId="77777777" w:rsidR="008D70BB" w:rsidRDefault="008D70BB" w:rsidP="008D70BB">
      <w:pPr>
        <w:spacing w:after="0" w:line="240" w:lineRule="auto"/>
        <w:rPr>
          <w:b/>
          <w:color w:val="FFFFFF" w:themeColor="background1"/>
          <w:u w:val="single"/>
        </w:rPr>
      </w:pPr>
    </w:p>
    <w:p w14:paraId="71B37EC0" w14:textId="5D0AD127" w:rsidR="008D70BB" w:rsidRDefault="008D70BB" w:rsidP="008D70BB">
      <w:pPr>
        <w:spacing w:after="0" w:line="240" w:lineRule="auto"/>
        <w:rPr>
          <w:szCs w:val="24"/>
        </w:rPr>
      </w:pPr>
      <w:r w:rsidRPr="00372829">
        <w:rPr>
          <w:szCs w:val="24"/>
        </w:rPr>
        <w:t>Una transacción en moneda extranjera se reconoc</w:t>
      </w:r>
      <w:r>
        <w:rPr>
          <w:szCs w:val="24"/>
        </w:rPr>
        <w:t>erá</w:t>
      </w:r>
      <w:r w:rsidRPr="00372829">
        <w:rPr>
          <w:szCs w:val="24"/>
        </w:rPr>
        <w:t xml:space="preserve"> inicial</w:t>
      </w:r>
      <w:r>
        <w:rPr>
          <w:szCs w:val="24"/>
        </w:rPr>
        <w:t>mente al momento</w:t>
      </w:r>
      <w:r w:rsidRPr="00372829">
        <w:rPr>
          <w:szCs w:val="24"/>
        </w:rPr>
        <w:t>, utilizando la moneda funcional, aplicando al importe en moneda extranjera la tasa de cambio de contado existente entre la moneda funcional y la moneda extranjera a la fecha de la transacción.</w:t>
      </w:r>
    </w:p>
    <w:p w14:paraId="0E127960" w14:textId="77777777" w:rsidR="008D70BB" w:rsidRPr="00372829" w:rsidRDefault="008D70BB" w:rsidP="008D70BB">
      <w:pPr>
        <w:autoSpaceDE w:val="0"/>
        <w:autoSpaceDN w:val="0"/>
        <w:adjustRightInd w:val="0"/>
        <w:spacing w:after="0" w:line="240" w:lineRule="auto"/>
        <w:rPr>
          <w:rFonts w:cs="Arial"/>
          <w:color w:val="000000"/>
          <w:szCs w:val="24"/>
        </w:rPr>
      </w:pPr>
    </w:p>
    <w:p w14:paraId="75C71863" w14:textId="77777777" w:rsidR="008D70BB" w:rsidRDefault="008D70BB" w:rsidP="007F4626">
      <w:pPr>
        <w:numPr>
          <w:ilvl w:val="1"/>
          <w:numId w:val="24"/>
        </w:numPr>
        <w:autoSpaceDE w:val="0"/>
        <w:autoSpaceDN w:val="0"/>
        <w:adjustRightInd w:val="0"/>
        <w:spacing w:after="0" w:line="240" w:lineRule="auto"/>
        <w:rPr>
          <w:rFonts w:cs="Arial"/>
          <w:color w:val="000000"/>
          <w:szCs w:val="24"/>
        </w:rPr>
      </w:pPr>
      <w:r w:rsidRPr="00090D25">
        <w:rPr>
          <w:rFonts w:cs="Arial"/>
          <w:color w:val="000000"/>
          <w:szCs w:val="24"/>
        </w:rPr>
        <w:t>Las ganancias o pérdidas por deterioro del valor y las diferencias de cambio se reconocerán en el resultado del ejercicio</w:t>
      </w:r>
      <w:r>
        <w:rPr>
          <w:rFonts w:cs="Arial"/>
          <w:color w:val="000000"/>
          <w:szCs w:val="24"/>
        </w:rPr>
        <w:t xml:space="preserve"> al final del periodo para lo cual, se realiza </w:t>
      </w:r>
      <w:r w:rsidRPr="00DE1098">
        <w:rPr>
          <w:rFonts w:cs="Arial"/>
          <w:color w:val="000000"/>
          <w:szCs w:val="24"/>
        </w:rPr>
        <w:t xml:space="preserve">la conversión </w:t>
      </w:r>
      <w:r>
        <w:rPr>
          <w:rFonts w:cs="Arial"/>
          <w:color w:val="000000"/>
          <w:szCs w:val="24"/>
        </w:rPr>
        <w:t xml:space="preserve">de la moneda extranjera </w:t>
      </w:r>
      <w:r w:rsidRPr="00DE1098">
        <w:rPr>
          <w:rFonts w:cs="Arial"/>
          <w:color w:val="000000"/>
          <w:szCs w:val="24"/>
        </w:rPr>
        <w:t>a moneda funcional de las partidas monetarias en moneda extranjera, considerando la variación de las tasas de cambio entre</w:t>
      </w:r>
      <w:r>
        <w:rPr>
          <w:rFonts w:cs="Arial"/>
          <w:color w:val="000000"/>
          <w:szCs w:val="24"/>
        </w:rPr>
        <w:t xml:space="preserve"> la fecha de origen de la transacción y la fecha de cierre de los estados financieros.</w:t>
      </w:r>
      <w:r w:rsidRPr="00372829">
        <w:rPr>
          <w:rFonts w:cs="Arial"/>
          <w:color w:val="000000"/>
          <w:szCs w:val="24"/>
        </w:rPr>
        <w:t xml:space="preserve"> </w:t>
      </w:r>
    </w:p>
    <w:p w14:paraId="71FF76DD" w14:textId="77777777" w:rsidR="008D70BB" w:rsidRDefault="008D70BB" w:rsidP="008D70BB">
      <w:pPr>
        <w:autoSpaceDE w:val="0"/>
        <w:autoSpaceDN w:val="0"/>
        <w:adjustRightInd w:val="0"/>
        <w:spacing w:after="0" w:line="240" w:lineRule="auto"/>
        <w:rPr>
          <w:rFonts w:cs="Arial"/>
          <w:color w:val="000000"/>
          <w:szCs w:val="24"/>
        </w:rPr>
      </w:pPr>
    </w:p>
    <w:p w14:paraId="27D87161" w14:textId="0379F0A0" w:rsidR="000C3947" w:rsidRDefault="008D70BB" w:rsidP="000C3947">
      <w:pPr>
        <w:spacing w:line="240" w:lineRule="auto"/>
        <w:rPr>
          <w:rFonts w:cs="Arial"/>
          <w:color w:val="000000"/>
          <w:szCs w:val="24"/>
        </w:rPr>
      </w:pPr>
      <w:r>
        <w:rPr>
          <w:rFonts w:cs="Arial"/>
          <w:color w:val="000000"/>
          <w:szCs w:val="24"/>
        </w:rPr>
        <w:t>Las diferencias de cambio resultantes se reconocen como un componente separado de activos netos / patrimonio</w:t>
      </w:r>
      <w:r w:rsidR="000763A5">
        <w:rPr>
          <w:rFonts w:cs="Arial"/>
          <w:color w:val="000000"/>
          <w:szCs w:val="24"/>
        </w:rPr>
        <w:t>.</w:t>
      </w:r>
    </w:p>
    <w:p w14:paraId="0F2A17B3" w14:textId="77777777" w:rsidR="000763A5" w:rsidRDefault="000763A5" w:rsidP="000C3947">
      <w:pPr>
        <w:spacing w:line="240" w:lineRule="auto"/>
        <w:rPr>
          <w:rFonts w:cs="Arial"/>
          <w:color w:val="000000"/>
          <w:szCs w:val="24"/>
        </w:rPr>
      </w:pPr>
    </w:p>
    <w:p w14:paraId="65E419C2" w14:textId="77777777" w:rsidR="000763A5" w:rsidRDefault="000763A5" w:rsidP="000C3947">
      <w:pPr>
        <w:spacing w:line="240" w:lineRule="auto"/>
        <w:rPr>
          <w:b/>
          <w:u w:val="single"/>
        </w:rPr>
      </w:pPr>
    </w:p>
    <w:p w14:paraId="35824D9C" w14:textId="77777777" w:rsidR="000C3947" w:rsidRPr="003516A2" w:rsidRDefault="000C3947" w:rsidP="000C3947">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51E4B280" w14:textId="77777777" w:rsidR="008D70BB" w:rsidRDefault="008D70BB" w:rsidP="008D70BB">
      <w:pPr>
        <w:spacing w:after="0" w:line="240" w:lineRule="auto"/>
        <w:rPr>
          <w:rFonts w:cs="Arial"/>
          <w:color w:val="000000"/>
          <w:szCs w:val="24"/>
        </w:rPr>
      </w:pPr>
      <w:r>
        <w:rPr>
          <w:rFonts w:cs="Arial"/>
          <w:color w:val="000000"/>
          <w:szCs w:val="24"/>
        </w:rPr>
        <w:t>Los ingresos y gastos de cada estado de rendimiento financiero se convierten a las tasas de cambio de compra y venta de referencia d</w:t>
      </w:r>
      <w:r w:rsidRPr="00372829">
        <w:rPr>
          <w:rFonts w:cs="Arial"/>
          <w:color w:val="000000"/>
          <w:szCs w:val="24"/>
        </w:rPr>
        <w:t>el Sector Público no bancario</w:t>
      </w:r>
      <w:r>
        <w:rPr>
          <w:rFonts w:cs="Arial"/>
          <w:color w:val="000000"/>
          <w:szCs w:val="24"/>
        </w:rPr>
        <w:t xml:space="preserve"> emitidas por Banco Central de Costa Rica, vigentes a en las fechas de las transacciones.</w:t>
      </w:r>
    </w:p>
    <w:p w14:paraId="4DA0AE24" w14:textId="77777777" w:rsidR="008D70BB" w:rsidRDefault="008D70BB" w:rsidP="008D70BB">
      <w:pPr>
        <w:spacing w:after="0" w:line="240" w:lineRule="auto"/>
        <w:rPr>
          <w:rFonts w:cs="Arial"/>
          <w:color w:val="000000"/>
          <w:szCs w:val="24"/>
        </w:rPr>
      </w:pPr>
    </w:p>
    <w:p w14:paraId="28458C85" w14:textId="77777777" w:rsidR="008D70BB" w:rsidRDefault="008D70BB" w:rsidP="008D70BB">
      <w:pPr>
        <w:spacing w:after="0" w:line="240" w:lineRule="auto"/>
        <w:rPr>
          <w:rFonts w:cs="Arial"/>
          <w:color w:val="000000"/>
          <w:szCs w:val="24"/>
        </w:rPr>
      </w:pPr>
      <w:r>
        <w:rPr>
          <w:rFonts w:cs="Arial"/>
          <w:color w:val="000000"/>
          <w:szCs w:val="24"/>
        </w:rPr>
        <w:t>Lo</w:t>
      </w:r>
      <w:r w:rsidRPr="00372829">
        <w:rPr>
          <w:rFonts w:cs="Arial"/>
          <w:color w:val="000000"/>
          <w:szCs w:val="24"/>
        </w:rPr>
        <w:t xml:space="preserve">s </w:t>
      </w:r>
      <w:r>
        <w:rPr>
          <w:rFonts w:cs="Arial"/>
          <w:color w:val="000000"/>
          <w:szCs w:val="24"/>
        </w:rPr>
        <w:t xml:space="preserve">activos y pasivos en </w:t>
      </w:r>
      <w:r w:rsidRPr="00372829">
        <w:rPr>
          <w:rFonts w:cs="Arial"/>
          <w:color w:val="000000"/>
          <w:szCs w:val="24"/>
        </w:rPr>
        <w:t xml:space="preserve">monedas </w:t>
      </w:r>
      <w:r>
        <w:rPr>
          <w:rFonts w:cs="Arial"/>
          <w:color w:val="000000"/>
          <w:szCs w:val="24"/>
        </w:rPr>
        <w:t xml:space="preserve">extranjeras se convierten </w:t>
      </w:r>
      <w:r w:rsidRPr="00372829">
        <w:rPr>
          <w:rFonts w:cs="Arial"/>
          <w:color w:val="000000"/>
          <w:szCs w:val="24"/>
        </w:rPr>
        <w:t xml:space="preserve">a la moneda funcional </w:t>
      </w:r>
      <w:r>
        <w:rPr>
          <w:rFonts w:cs="Arial"/>
          <w:color w:val="000000"/>
          <w:szCs w:val="24"/>
        </w:rPr>
        <w:t>según</w:t>
      </w:r>
      <w:r w:rsidRPr="00372829">
        <w:rPr>
          <w:rFonts w:cs="Arial"/>
          <w:color w:val="000000"/>
          <w:szCs w:val="24"/>
        </w:rPr>
        <w:t xml:space="preserve"> l</w:t>
      </w:r>
      <w:r>
        <w:rPr>
          <w:rFonts w:cs="Arial"/>
          <w:color w:val="000000"/>
          <w:szCs w:val="24"/>
        </w:rPr>
        <w:t>o</w:t>
      </w:r>
      <w:r w:rsidRPr="00372829">
        <w:rPr>
          <w:rFonts w:cs="Arial"/>
          <w:color w:val="000000"/>
          <w:szCs w:val="24"/>
        </w:rPr>
        <w:t xml:space="preserve"> siguiente: para las cuentas de activo, el tipo de cambio de compra y para las cuentas de pasivo, l</w:t>
      </w:r>
      <w:r>
        <w:rPr>
          <w:rFonts w:cs="Arial"/>
          <w:color w:val="000000"/>
          <w:szCs w:val="24"/>
        </w:rPr>
        <w:t>os</w:t>
      </w:r>
      <w:r w:rsidRPr="00372829">
        <w:rPr>
          <w:rFonts w:cs="Arial"/>
          <w:color w:val="000000"/>
          <w:szCs w:val="24"/>
        </w:rPr>
        <w:t xml:space="preserve"> tipo</w:t>
      </w:r>
      <w:r>
        <w:rPr>
          <w:rFonts w:cs="Arial"/>
          <w:color w:val="000000"/>
          <w:szCs w:val="24"/>
        </w:rPr>
        <w:t>s</w:t>
      </w:r>
      <w:r w:rsidRPr="00372829">
        <w:rPr>
          <w:rFonts w:cs="Arial"/>
          <w:color w:val="000000"/>
          <w:szCs w:val="24"/>
        </w:rPr>
        <w:t xml:space="preserve"> de cambio de </w:t>
      </w:r>
      <w:r>
        <w:rPr>
          <w:rFonts w:cs="Arial"/>
          <w:color w:val="000000"/>
          <w:szCs w:val="24"/>
        </w:rPr>
        <w:t>referencia</w:t>
      </w:r>
      <w:r w:rsidRPr="00372829">
        <w:rPr>
          <w:rFonts w:cs="Arial"/>
          <w:color w:val="000000"/>
          <w:szCs w:val="24"/>
        </w:rPr>
        <w:t xml:space="preserve">, que emite el Banco Central de Costa Rica para las operaciones con el Sector Público no bancario. </w:t>
      </w:r>
    </w:p>
    <w:p w14:paraId="0F2CA44F" w14:textId="77777777" w:rsidR="008D70BB" w:rsidRDefault="008D70BB" w:rsidP="008D70BB">
      <w:pPr>
        <w:spacing w:after="0" w:line="240" w:lineRule="auto"/>
        <w:rPr>
          <w:rFonts w:cs="Arial"/>
          <w:color w:val="000000"/>
          <w:szCs w:val="24"/>
        </w:rPr>
      </w:pPr>
    </w:p>
    <w:p w14:paraId="3EA823F2" w14:textId="77777777" w:rsidR="008D70BB" w:rsidRDefault="008D70BB" w:rsidP="008D70BB">
      <w:pPr>
        <w:spacing w:after="0" w:line="240" w:lineRule="auto"/>
        <w:rPr>
          <w:rFonts w:cs="Arial"/>
          <w:color w:val="000000"/>
          <w:szCs w:val="24"/>
        </w:rPr>
      </w:pPr>
      <w:r w:rsidRPr="00372829">
        <w:rPr>
          <w:rFonts w:cs="Arial"/>
          <w:color w:val="000000"/>
          <w:szCs w:val="24"/>
        </w:rPr>
        <w:t xml:space="preserve">El último día de cada mes </w:t>
      </w:r>
      <w:r>
        <w:rPr>
          <w:rFonts w:cs="Arial"/>
          <w:color w:val="000000"/>
          <w:szCs w:val="24"/>
        </w:rPr>
        <w:t xml:space="preserve">los saldos de activos y pasivos en moneda extranjera se ajustan </w:t>
      </w:r>
      <w:r w:rsidRPr="00372829">
        <w:rPr>
          <w:rFonts w:cs="Arial"/>
          <w:color w:val="000000"/>
          <w:szCs w:val="24"/>
        </w:rPr>
        <w:t xml:space="preserve">por el diferencial cambiario </w:t>
      </w:r>
      <w:r>
        <w:rPr>
          <w:rFonts w:cs="Arial"/>
          <w:color w:val="000000"/>
          <w:szCs w:val="24"/>
        </w:rPr>
        <w:t xml:space="preserve">a </w:t>
      </w:r>
      <w:r w:rsidRPr="00372829">
        <w:rPr>
          <w:rFonts w:cs="Arial"/>
          <w:color w:val="000000"/>
          <w:szCs w:val="24"/>
        </w:rPr>
        <w:t>l</w:t>
      </w:r>
      <w:r>
        <w:rPr>
          <w:rFonts w:cs="Arial"/>
          <w:color w:val="000000"/>
          <w:szCs w:val="24"/>
        </w:rPr>
        <w:t>os</w:t>
      </w:r>
      <w:r w:rsidRPr="00372829">
        <w:rPr>
          <w:rFonts w:cs="Arial"/>
          <w:color w:val="000000"/>
          <w:szCs w:val="24"/>
        </w:rPr>
        <w:t xml:space="preserve"> tipo</w:t>
      </w:r>
      <w:r>
        <w:rPr>
          <w:rFonts w:cs="Arial"/>
          <w:color w:val="000000"/>
          <w:szCs w:val="24"/>
        </w:rPr>
        <w:t>s</w:t>
      </w:r>
      <w:r w:rsidRPr="00372829">
        <w:rPr>
          <w:rFonts w:cs="Arial"/>
          <w:color w:val="000000"/>
          <w:szCs w:val="24"/>
        </w:rPr>
        <w:t xml:space="preserve"> de cambio de </w:t>
      </w:r>
      <w:r>
        <w:rPr>
          <w:rFonts w:cs="Arial"/>
          <w:color w:val="000000"/>
          <w:szCs w:val="24"/>
        </w:rPr>
        <w:t xml:space="preserve">referencia de compra y venta </w:t>
      </w:r>
      <w:r w:rsidRPr="00372829">
        <w:rPr>
          <w:rFonts w:cs="Arial"/>
          <w:color w:val="000000"/>
          <w:szCs w:val="24"/>
        </w:rPr>
        <w:t>el Sector Público no bancario, que emite el Banco Central de Costa Rica.</w:t>
      </w:r>
    </w:p>
    <w:p w14:paraId="4B4FBA0E" w14:textId="508B30CD" w:rsidR="002007F6" w:rsidRPr="00EC2994" w:rsidRDefault="002007F6" w:rsidP="009B7238">
      <w:pPr>
        <w:spacing w:before="240"/>
        <w:rPr>
          <w:rFonts w:eastAsia="Times New Roman"/>
          <w:b/>
          <w:color w:val="000000"/>
          <w:u w:val="single"/>
          <w:lang w:eastAsia="es-CR"/>
        </w:rPr>
      </w:pPr>
      <w:r w:rsidRPr="000C3947">
        <w:rPr>
          <w:b/>
          <w:color w:val="FFFFFF" w:themeColor="background1"/>
          <w:highlight w:val="darkBlue"/>
          <w:u w:val="single"/>
        </w:rPr>
        <w:t>Revelación Suficiente:</w:t>
      </w:r>
      <w:r w:rsidRPr="00EC2994">
        <w:rPr>
          <w:rFonts w:eastAsia="Times New Roman"/>
          <w:b/>
          <w:color w:val="000000"/>
          <w:u w:val="single"/>
          <w:lang w:eastAsia="es-CR"/>
        </w:rPr>
        <w:t xml:space="preserve"> </w:t>
      </w:r>
      <w:r w:rsidRPr="00EC2994">
        <w:rPr>
          <w:b/>
          <w:u w:val="single"/>
        </w:rPr>
        <w:t xml:space="preserve">El ente debe </w:t>
      </w:r>
      <w:r w:rsidR="00482942">
        <w:rPr>
          <w:b/>
          <w:u w:val="single"/>
        </w:rPr>
        <w:t xml:space="preserve">revelar y </w:t>
      </w:r>
      <w:r w:rsidRPr="00EC2994">
        <w:rPr>
          <w:b/>
          <w:u w:val="single"/>
        </w:rPr>
        <w:t xml:space="preserve">cumplir con lo estipulado en revelación </w:t>
      </w:r>
      <w:r w:rsidR="00482942">
        <w:rPr>
          <w:b/>
          <w:u w:val="single"/>
        </w:rPr>
        <w:t>conforme</w:t>
      </w:r>
      <w:r w:rsidRPr="00EC2994">
        <w:rPr>
          <w:b/>
          <w:u w:val="single"/>
        </w:rPr>
        <w:t xml:space="preserve"> a la NICSP, también debe considerar la política general y los párrafos incluidos en la matriz de autoevaluación referente a esta NICSP y guías de aplicación </w:t>
      </w:r>
      <w:r w:rsidRPr="00EC2994">
        <w:rPr>
          <w:rFonts w:eastAsia="Times New Roman"/>
          <w:b/>
          <w:color w:val="000000"/>
          <w:u w:val="single"/>
          <w:lang w:eastAsia="es-CR"/>
        </w:rPr>
        <w:t>(Indicar tipos de cambios utilizados en las distintas operaciones). Ver GA NICSP 4:</w:t>
      </w:r>
    </w:p>
    <w:p w14:paraId="68C2E9D0" w14:textId="77777777" w:rsidR="008D70BB" w:rsidRPr="00E67ECC" w:rsidRDefault="008D70BB" w:rsidP="008D70BB">
      <w:pPr>
        <w:spacing w:line="240" w:lineRule="auto"/>
        <w:rPr>
          <w:b/>
          <w:bCs/>
          <w:szCs w:val="24"/>
          <w:lang w:eastAsia="es-CR"/>
        </w:rPr>
      </w:pPr>
      <w:bookmarkStart w:id="32" w:name="_Toc54961671"/>
      <w:bookmarkStart w:id="33" w:name="_Toc82768867"/>
      <w:r w:rsidRPr="00E67ECC">
        <w:rPr>
          <w:b/>
          <w:bCs/>
          <w:szCs w:val="24"/>
          <w:lang w:eastAsia="es-CR"/>
        </w:rPr>
        <w:t>Principales Políticas</w:t>
      </w:r>
    </w:p>
    <w:p w14:paraId="1890B040" w14:textId="77777777" w:rsidR="008D70BB" w:rsidRPr="00372829" w:rsidRDefault="008D70BB" w:rsidP="008D70BB">
      <w:pPr>
        <w:autoSpaceDE w:val="0"/>
        <w:autoSpaceDN w:val="0"/>
        <w:adjustRightInd w:val="0"/>
        <w:spacing w:after="120" w:line="240" w:lineRule="auto"/>
        <w:rPr>
          <w:rFonts w:cs="Arial"/>
          <w:color w:val="000000"/>
          <w:szCs w:val="24"/>
        </w:rPr>
      </w:pPr>
      <w:r w:rsidRPr="00372829">
        <w:rPr>
          <w:rFonts w:cs="Arial"/>
          <w:color w:val="000000"/>
          <w:szCs w:val="24"/>
        </w:rPr>
        <w:t xml:space="preserve">Una </w:t>
      </w:r>
      <w:r w:rsidRPr="00372829">
        <w:rPr>
          <w:rFonts w:cs="Arial"/>
          <w:b/>
          <w:bCs/>
          <w:color w:val="000000"/>
          <w:szCs w:val="24"/>
        </w:rPr>
        <w:t xml:space="preserve">transacción en moneda extranjera </w:t>
      </w:r>
      <w:r w:rsidRPr="00372829">
        <w:rPr>
          <w:rFonts w:cs="Arial"/>
          <w:color w:val="000000"/>
          <w:szCs w:val="24"/>
        </w:rPr>
        <w:t xml:space="preserve">es aquélla cuyo importe se denomina, o cuya liquidación se exige, en una moneda distinta de la funcional, entre las que se incluyen cuando una entidad: </w:t>
      </w:r>
    </w:p>
    <w:p w14:paraId="01C63902" w14:textId="77777777" w:rsidR="008D70BB" w:rsidRPr="00DE1098" w:rsidRDefault="008D70BB" w:rsidP="007F4626">
      <w:pPr>
        <w:pStyle w:val="Prrafodelista"/>
        <w:numPr>
          <w:ilvl w:val="0"/>
          <w:numId w:val="27"/>
        </w:numPr>
        <w:autoSpaceDE w:val="0"/>
        <w:autoSpaceDN w:val="0"/>
        <w:adjustRightInd w:val="0"/>
        <w:spacing w:after="20" w:line="240" w:lineRule="auto"/>
        <w:ind w:left="426"/>
        <w:rPr>
          <w:rFonts w:cs="Arial"/>
          <w:color w:val="000000"/>
          <w:szCs w:val="24"/>
        </w:rPr>
      </w:pPr>
      <w:r w:rsidRPr="00DE1098">
        <w:rPr>
          <w:rFonts w:cs="Arial"/>
          <w:color w:val="000000"/>
          <w:szCs w:val="24"/>
        </w:rPr>
        <w:t xml:space="preserve">Compra o vende bienes o servicios cuyo precio se establece en una moneda extranjera; </w:t>
      </w:r>
    </w:p>
    <w:p w14:paraId="2C85A638" w14:textId="77777777" w:rsidR="008D70BB" w:rsidRPr="00DE1098" w:rsidRDefault="008D70BB" w:rsidP="007F4626">
      <w:pPr>
        <w:pStyle w:val="Prrafodelista"/>
        <w:numPr>
          <w:ilvl w:val="0"/>
          <w:numId w:val="27"/>
        </w:numPr>
        <w:autoSpaceDE w:val="0"/>
        <w:autoSpaceDN w:val="0"/>
        <w:adjustRightInd w:val="0"/>
        <w:spacing w:after="20" w:line="240" w:lineRule="auto"/>
        <w:ind w:left="426"/>
        <w:rPr>
          <w:rFonts w:cs="Arial"/>
          <w:color w:val="000000"/>
          <w:szCs w:val="24"/>
        </w:rPr>
      </w:pPr>
      <w:r w:rsidRPr="00DE1098">
        <w:rPr>
          <w:rFonts w:cs="Arial"/>
          <w:color w:val="000000"/>
          <w:szCs w:val="24"/>
        </w:rPr>
        <w:t xml:space="preserve">Presta o toma prestados fondos, si los importes correspondientes se establecen a cobrar o pagar en una moneda extranjera; o </w:t>
      </w:r>
    </w:p>
    <w:p w14:paraId="1E46776F" w14:textId="77777777" w:rsidR="008D70BB" w:rsidRPr="00DE1098" w:rsidRDefault="008D70BB" w:rsidP="007F4626">
      <w:pPr>
        <w:pStyle w:val="Prrafodelista"/>
        <w:numPr>
          <w:ilvl w:val="0"/>
          <w:numId w:val="27"/>
        </w:numPr>
        <w:autoSpaceDE w:val="0"/>
        <w:autoSpaceDN w:val="0"/>
        <w:adjustRightInd w:val="0"/>
        <w:spacing w:after="0" w:line="240" w:lineRule="auto"/>
        <w:ind w:left="426"/>
        <w:rPr>
          <w:rFonts w:cs="Arial"/>
          <w:color w:val="000000"/>
          <w:szCs w:val="24"/>
        </w:rPr>
      </w:pPr>
      <w:r w:rsidRPr="00DE1098">
        <w:rPr>
          <w:rFonts w:cs="Arial"/>
          <w:color w:val="000000"/>
          <w:szCs w:val="24"/>
        </w:rPr>
        <w:t>Adquiere o dispone de activos, o bien toma o liquida pasivos, en transacciones pactadas en moneda extranjera.</w:t>
      </w:r>
    </w:p>
    <w:p w14:paraId="10609393" w14:textId="77777777" w:rsidR="008D70BB" w:rsidRDefault="008D70BB" w:rsidP="008D70BB">
      <w:pPr>
        <w:spacing w:after="0" w:line="240" w:lineRule="auto"/>
        <w:rPr>
          <w:szCs w:val="24"/>
        </w:rPr>
      </w:pPr>
    </w:p>
    <w:p w14:paraId="640A355C" w14:textId="77777777" w:rsidR="008D70BB" w:rsidRDefault="008D70BB" w:rsidP="008D70BB">
      <w:pPr>
        <w:spacing w:after="0" w:line="240" w:lineRule="auto"/>
        <w:rPr>
          <w:sz w:val="23"/>
          <w:szCs w:val="23"/>
        </w:rPr>
      </w:pPr>
      <w:r w:rsidRPr="00372829">
        <w:rPr>
          <w:szCs w:val="24"/>
        </w:rPr>
        <w:t>Una transacción en moneda extranjera se registrará, en el momento de su reconocimiento inicial, utilizando la moneda funcional, aplicando al importe en moneda extranjera la tasa de cambio de contado existente entre la moneda funcional y la moneda extranjera a la fecha de la transacción.</w:t>
      </w:r>
      <w:r>
        <w:rPr>
          <w:szCs w:val="24"/>
        </w:rPr>
        <w:t xml:space="preserve"> </w:t>
      </w:r>
      <w:r>
        <w:rPr>
          <w:sz w:val="23"/>
          <w:szCs w:val="23"/>
        </w:rPr>
        <w:t>Las partidas monetarias en moneda extranjera se convertirán a la moneda funcional utilizando la tasa de cambio de la fecha de cierre de los EEFF.</w:t>
      </w:r>
    </w:p>
    <w:p w14:paraId="76ADE4C8" w14:textId="77777777" w:rsidR="008D70BB" w:rsidRPr="00372829" w:rsidRDefault="008D70BB" w:rsidP="008D70BB">
      <w:pPr>
        <w:autoSpaceDE w:val="0"/>
        <w:autoSpaceDN w:val="0"/>
        <w:adjustRightInd w:val="0"/>
        <w:spacing w:after="0" w:line="240" w:lineRule="auto"/>
        <w:rPr>
          <w:rFonts w:cs="Arial"/>
          <w:color w:val="000000"/>
          <w:szCs w:val="24"/>
        </w:rPr>
      </w:pPr>
    </w:p>
    <w:p w14:paraId="082ECF1C" w14:textId="77777777" w:rsidR="008D70BB" w:rsidRPr="00372829" w:rsidRDefault="008D70BB" w:rsidP="007F4626">
      <w:pPr>
        <w:numPr>
          <w:ilvl w:val="1"/>
          <w:numId w:val="24"/>
        </w:numPr>
        <w:autoSpaceDE w:val="0"/>
        <w:autoSpaceDN w:val="0"/>
        <w:adjustRightInd w:val="0"/>
        <w:spacing w:after="0" w:line="240" w:lineRule="auto"/>
        <w:rPr>
          <w:rFonts w:cs="Arial"/>
          <w:color w:val="000000"/>
          <w:szCs w:val="24"/>
        </w:rPr>
      </w:pPr>
      <w:r w:rsidRPr="00090D25">
        <w:rPr>
          <w:rFonts w:cs="Arial"/>
          <w:color w:val="000000"/>
          <w:szCs w:val="24"/>
        </w:rPr>
        <w:t>Las ganancias o pérdidas por deterioro del valor y las diferencias de cambio se reconocerán en el resultado del ejercicio</w:t>
      </w:r>
      <w:r>
        <w:rPr>
          <w:rFonts w:cs="Arial"/>
          <w:color w:val="000000"/>
          <w:szCs w:val="24"/>
        </w:rPr>
        <w:t>.</w:t>
      </w:r>
      <w:r w:rsidRPr="00372829">
        <w:rPr>
          <w:rFonts w:cs="Arial"/>
          <w:color w:val="000000"/>
          <w:szCs w:val="24"/>
        </w:rPr>
        <w:t xml:space="preserve"> </w:t>
      </w:r>
    </w:p>
    <w:p w14:paraId="06CC21CB" w14:textId="77777777" w:rsidR="008D70BB" w:rsidRPr="00372829" w:rsidRDefault="008D70BB" w:rsidP="007F4626">
      <w:pPr>
        <w:numPr>
          <w:ilvl w:val="1"/>
          <w:numId w:val="24"/>
        </w:numPr>
        <w:autoSpaceDE w:val="0"/>
        <w:autoSpaceDN w:val="0"/>
        <w:adjustRightInd w:val="0"/>
        <w:spacing w:after="0" w:line="240" w:lineRule="auto"/>
        <w:rPr>
          <w:rFonts w:cs="Arial"/>
          <w:color w:val="000000"/>
          <w:szCs w:val="24"/>
        </w:rPr>
      </w:pPr>
    </w:p>
    <w:p w14:paraId="60391A32" w14:textId="77777777" w:rsidR="008D70BB" w:rsidRPr="00DE1098" w:rsidRDefault="008D70BB" w:rsidP="008D70BB">
      <w:pPr>
        <w:autoSpaceDE w:val="0"/>
        <w:autoSpaceDN w:val="0"/>
        <w:adjustRightInd w:val="0"/>
        <w:spacing w:after="0" w:line="240" w:lineRule="auto"/>
        <w:rPr>
          <w:rFonts w:cs="Arial"/>
          <w:color w:val="000000"/>
          <w:szCs w:val="24"/>
        </w:rPr>
      </w:pPr>
      <w:r w:rsidRPr="00DE1098">
        <w:rPr>
          <w:rFonts w:cs="Arial"/>
          <w:color w:val="000000"/>
          <w:szCs w:val="24"/>
        </w:rPr>
        <w:t xml:space="preserve">En el caso de un activo no monetario, medido en una moneda extranjera, el importe en libros se determinará comparando: </w:t>
      </w:r>
    </w:p>
    <w:p w14:paraId="09AEEBE0" w14:textId="77777777" w:rsidR="008D70BB" w:rsidRPr="00DE1098" w:rsidRDefault="008D70BB" w:rsidP="007F4626">
      <w:pPr>
        <w:pStyle w:val="Prrafodelista"/>
        <w:numPr>
          <w:ilvl w:val="0"/>
          <w:numId w:val="28"/>
        </w:numPr>
        <w:autoSpaceDE w:val="0"/>
        <w:autoSpaceDN w:val="0"/>
        <w:adjustRightInd w:val="0"/>
        <w:spacing w:after="18" w:line="240" w:lineRule="auto"/>
        <w:ind w:left="426"/>
        <w:rPr>
          <w:rFonts w:cs="Arial"/>
          <w:color w:val="000000"/>
          <w:szCs w:val="24"/>
        </w:rPr>
      </w:pPr>
      <w:r w:rsidRPr="00DE1098">
        <w:rPr>
          <w:rFonts w:cs="Arial"/>
          <w:color w:val="000000"/>
          <w:szCs w:val="24"/>
        </w:rPr>
        <w:t xml:space="preserve">El costo en moneda extranjera convertido al tipo de cambio de la fecha de determinación de ese costo; </w:t>
      </w:r>
    </w:p>
    <w:p w14:paraId="169B9F95" w14:textId="77777777" w:rsidR="008D70BB" w:rsidRPr="00DE1098" w:rsidRDefault="008D70BB" w:rsidP="007F4626">
      <w:pPr>
        <w:pStyle w:val="Prrafodelista"/>
        <w:numPr>
          <w:ilvl w:val="0"/>
          <w:numId w:val="28"/>
        </w:numPr>
        <w:autoSpaceDE w:val="0"/>
        <w:autoSpaceDN w:val="0"/>
        <w:adjustRightInd w:val="0"/>
        <w:spacing w:after="0" w:line="240" w:lineRule="auto"/>
        <w:ind w:left="425" w:hanging="357"/>
        <w:rPr>
          <w:rFonts w:cs="Arial"/>
          <w:color w:val="000000"/>
          <w:szCs w:val="24"/>
        </w:rPr>
      </w:pPr>
      <w:r w:rsidRPr="00DE1098">
        <w:rPr>
          <w:rFonts w:cs="Arial"/>
          <w:color w:val="000000"/>
          <w:szCs w:val="24"/>
        </w:rPr>
        <w:lastRenderedPageBreak/>
        <w:t xml:space="preserve">El importe del servicio recuperable medido en moneda extranjera convertido al tipo de cambio de la fecha de dicha medición. </w:t>
      </w:r>
    </w:p>
    <w:p w14:paraId="6B45DB3D" w14:textId="77777777" w:rsidR="008D70BB" w:rsidRPr="00372829" w:rsidRDefault="008D70BB" w:rsidP="008D70BB">
      <w:pPr>
        <w:spacing w:after="0" w:line="240" w:lineRule="auto"/>
        <w:rPr>
          <w:rFonts w:cs="Arial"/>
          <w:color w:val="000000"/>
          <w:szCs w:val="24"/>
        </w:rPr>
      </w:pPr>
    </w:p>
    <w:p w14:paraId="71F89144" w14:textId="77777777" w:rsidR="008D70BB" w:rsidRPr="00372829" w:rsidRDefault="008D70BB" w:rsidP="008D70BB">
      <w:pPr>
        <w:autoSpaceDE w:val="0"/>
        <w:autoSpaceDN w:val="0"/>
        <w:adjustRightInd w:val="0"/>
        <w:spacing w:after="120" w:line="240" w:lineRule="auto"/>
        <w:rPr>
          <w:rFonts w:cs="Arial"/>
          <w:color w:val="000000"/>
          <w:szCs w:val="24"/>
        </w:rPr>
      </w:pPr>
      <w:r w:rsidRPr="00372829">
        <w:rPr>
          <w:rFonts w:cs="Arial"/>
          <w:color w:val="000000"/>
          <w:szCs w:val="24"/>
        </w:rPr>
        <w:t xml:space="preserve">En cada fecha de presentación de los EEFF se deberán incluir: </w:t>
      </w:r>
    </w:p>
    <w:p w14:paraId="67E9E34C" w14:textId="77777777" w:rsidR="008D70BB" w:rsidRPr="00DE1098" w:rsidRDefault="008D70BB" w:rsidP="007F4626">
      <w:pPr>
        <w:pStyle w:val="Prrafodelista"/>
        <w:numPr>
          <w:ilvl w:val="0"/>
          <w:numId w:val="29"/>
        </w:numPr>
        <w:autoSpaceDE w:val="0"/>
        <w:autoSpaceDN w:val="0"/>
        <w:adjustRightInd w:val="0"/>
        <w:spacing w:after="20" w:line="240" w:lineRule="auto"/>
        <w:ind w:left="426"/>
        <w:rPr>
          <w:rFonts w:cs="Arial"/>
          <w:color w:val="000000"/>
          <w:szCs w:val="24"/>
        </w:rPr>
      </w:pPr>
      <w:r w:rsidRPr="00DE1098">
        <w:rPr>
          <w:rFonts w:cs="Arial"/>
          <w:color w:val="000000"/>
          <w:szCs w:val="24"/>
        </w:rPr>
        <w:t xml:space="preserve">Las partidas monetarias en moneda extranjera, las cuales se convertirán utilizando la tasa de cambio de cierre; </w:t>
      </w:r>
    </w:p>
    <w:p w14:paraId="12C1D5B8" w14:textId="77777777" w:rsidR="008D70BB" w:rsidRPr="00DE1098" w:rsidRDefault="008D70BB" w:rsidP="007F4626">
      <w:pPr>
        <w:pStyle w:val="Prrafodelista"/>
        <w:numPr>
          <w:ilvl w:val="0"/>
          <w:numId w:val="29"/>
        </w:numPr>
        <w:autoSpaceDE w:val="0"/>
        <w:autoSpaceDN w:val="0"/>
        <w:adjustRightInd w:val="0"/>
        <w:spacing w:after="20" w:line="240" w:lineRule="auto"/>
        <w:ind w:left="426"/>
        <w:rPr>
          <w:rFonts w:cs="Arial"/>
          <w:color w:val="000000"/>
          <w:szCs w:val="24"/>
        </w:rPr>
      </w:pPr>
      <w:r w:rsidRPr="00DE1098">
        <w:rPr>
          <w:rFonts w:cs="Arial"/>
          <w:color w:val="000000"/>
          <w:szCs w:val="24"/>
        </w:rPr>
        <w:t xml:space="preserve">Las partidas no monetarias en moneda extranjera que se midan en términos de costo histórico, las cuales se convertirán utilizando la tasa de cambio en la fecha de la transacción; y </w:t>
      </w:r>
    </w:p>
    <w:p w14:paraId="3130B808" w14:textId="77777777" w:rsidR="008D70BB" w:rsidRPr="00DE1098" w:rsidRDefault="008D70BB" w:rsidP="007F4626">
      <w:pPr>
        <w:pStyle w:val="Prrafodelista"/>
        <w:numPr>
          <w:ilvl w:val="0"/>
          <w:numId w:val="29"/>
        </w:numPr>
        <w:autoSpaceDE w:val="0"/>
        <w:autoSpaceDN w:val="0"/>
        <w:adjustRightInd w:val="0"/>
        <w:spacing w:after="0" w:line="240" w:lineRule="auto"/>
        <w:ind w:left="426"/>
        <w:rPr>
          <w:rFonts w:cs="Arial"/>
          <w:color w:val="000000"/>
          <w:szCs w:val="24"/>
        </w:rPr>
      </w:pPr>
      <w:r>
        <w:rPr>
          <w:rFonts w:cs="Arial"/>
          <w:color w:val="000000"/>
          <w:szCs w:val="24"/>
        </w:rPr>
        <w:t>L</w:t>
      </w:r>
      <w:r w:rsidRPr="00DE1098">
        <w:rPr>
          <w:rFonts w:cs="Arial"/>
          <w:color w:val="000000"/>
          <w:szCs w:val="24"/>
        </w:rPr>
        <w:t xml:space="preserve">as partidas no monetarias que se midan al valor razonable en una moneda extranjera, las cuales se convertirán utilizando las tasas de cambio de la fecha en que se determine este valor razonable. </w:t>
      </w:r>
    </w:p>
    <w:p w14:paraId="3510C99F" w14:textId="77777777" w:rsidR="008D70BB" w:rsidRPr="00372829" w:rsidRDefault="008D70BB" w:rsidP="008D70BB">
      <w:pPr>
        <w:autoSpaceDE w:val="0"/>
        <w:autoSpaceDN w:val="0"/>
        <w:adjustRightInd w:val="0"/>
        <w:spacing w:after="0" w:line="240" w:lineRule="auto"/>
        <w:rPr>
          <w:rFonts w:cs="Arial"/>
          <w:color w:val="000000"/>
          <w:szCs w:val="24"/>
        </w:rPr>
      </w:pPr>
    </w:p>
    <w:p w14:paraId="6013B3DF" w14:textId="77777777" w:rsidR="008D70BB" w:rsidRDefault="008D70BB" w:rsidP="007F4626">
      <w:pPr>
        <w:numPr>
          <w:ilvl w:val="1"/>
          <w:numId w:val="25"/>
        </w:numPr>
        <w:autoSpaceDE w:val="0"/>
        <w:autoSpaceDN w:val="0"/>
        <w:adjustRightInd w:val="0"/>
        <w:spacing w:after="20" w:line="240" w:lineRule="auto"/>
        <w:ind w:left="1440" w:hanging="360"/>
        <w:rPr>
          <w:rFonts w:cs="Arial"/>
          <w:color w:val="000000"/>
          <w:szCs w:val="24"/>
        </w:rPr>
      </w:pPr>
      <w:r>
        <w:rPr>
          <w:rFonts w:cs="Arial"/>
          <w:color w:val="000000"/>
          <w:szCs w:val="24"/>
        </w:rPr>
        <w:t>S</w:t>
      </w:r>
      <w:r w:rsidRPr="00372829">
        <w:rPr>
          <w:rFonts w:cs="Arial"/>
          <w:color w:val="000000"/>
          <w:szCs w:val="24"/>
        </w:rPr>
        <w:t>e reconocerán diferencias de cambio respecto de la tenencia y/o liquidación de partidas monetarias, pautadas en moneda extranjera, en la medida de la variación del tipo de cambio a la fecha de cierre y/o liquidación respecto del vigente a la fecha de transacción y/o de inicio del ejercicio, según sea el caso</w:t>
      </w:r>
      <w:r>
        <w:rPr>
          <w:rFonts w:cs="Arial"/>
          <w:color w:val="000000"/>
          <w:szCs w:val="24"/>
        </w:rPr>
        <w:t>.</w:t>
      </w:r>
    </w:p>
    <w:p w14:paraId="6EE86D6B" w14:textId="77777777" w:rsidR="008D70BB" w:rsidRDefault="008D70BB" w:rsidP="007F4626">
      <w:pPr>
        <w:numPr>
          <w:ilvl w:val="1"/>
          <w:numId w:val="25"/>
        </w:numPr>
        <w:autoSpaceDE w:val="0"/>
        <w:autoSpaceDN w:val="0"/>
        <w:adjustRightInd w:val="0"/>
        <w:spacing w:after="20" w:line="240" w:lineRule="auto"/>
        <w:ind w:left="1440" w:hanging="360"/>
        <w:rPr>
          <w:rFonts w:cs="Arial"/>
          <w:color w:val="000000"/>
          <w:szCs w:val="24"/>
        </w:rPr>
      </w:pPr>
    </w:p>
    <w:p w14:paraId="65BA81ED" w14:textId="77777777" w:rsidR="008D70BB" w:rsidRPr="00DE1098" w:rsidRDefault="008D70BB" w:rsidP="007F4626">
      <w:pPr>
        <w:pStyle w:val="Prrafodelista"/>
        <w:numPr>
          <w:ilvl w:val="0"/>
          <w:numId w:val="25"/>
        </w:numPr>
        <w:autoSpaceDE w:val="0"/>
        <w:autoSpaceDN w:val="0"/>
        <w:adjustRightInd w:val="0"/>
        <w:spacing w:after="0" w:line="240" w:lineRule="auto"/>
        <w:ind w:hanging="360"/>
        <w:rPr>
          <w:rFonts w:cs="Arial"/>
          <w:color w:val="000000"/>
          <w:szCs w:val="24"/>
        </w:rPr>
      </w:pPr>
      <w:r w:rsidRPr="00DE1098">
        <w:rPr>
          <w:rFonts w:cs="Arial"/>
          <w:color w:val="000000"/>
          <w:szCs w:val="24"/>
        </w:rPr>
        <w:t>En particular, la diferencia de cambio surgirá de la conversión a moneda funcional de las partidas monetarias en moneda extranjera, considerando la variación de las tasas de cambio entre las siguientes fechas:</w:t>
      </w:r>
    </w:p>
    <w:p w14:paraId="3F175C35" w14:textId="77777777" w:rsidR="008D70BB" w:rsidRDefault="008D70BB" w:rsidP="008D70BB">
      <w:pPr>
        <w:autoSpaceDE w:val="0"/>
        <w:autoSpaceDN w:val="0"/>
        <w:adjustRightInd w:val="0"/>
        <w:spacing w:after="20" w:line="240" w:lineRule="auto"/>
        <w:rPr>
          <w:rFonts w:cs="Arial"/>
          <w:color w:val="000000"/>
          <w:szCs w:val="24"/>
        </w:rPr>
      </w:pPr>
    </w:p>
    <w:p w14:paraId="7E39216F" w14:textId="77777777" w:rsidR="008D70BB" w:rsidRPr="00372829" w:rsidRDefault="008D70BB" w:rsidP="007F4626">
      <w:pPr>
        <w:numPr>
          <w:ilvl w:val="1"/>
          <w:numId w:val="30"/>
        </w:numPr>
        <w:autoSpaceDE w:val="0"/>
        <w:autoSpaceDN w:val="0"/>
        <w:adjustRightInd w:val="0"/>
        <w:spacing w:after="20" w:line="240" w:lineRule="auto"/>
        <w:ind w:left="426"/>
        <w:rPr>
          <w:rFonts w:cs="Arial"/>
          <w:color w:val="000000"/>
          <w:szCs w:val="24"/>
        </w:rPr>
      </w:pPr>
      <w:r w:rsidRPr="00372829">
        <w:rPr>
          <w:rFonts w:cs="Arial"/>
          <w:b/>
          <w:bCs/>
          <w:color w:val="000000"/>
          <w:szCs w:val="24"/>
        </w:rPr>
        <w:t xml:space="preserve">fecha de liquidación y fecha de origen de la transacción: </w:t>
      </w:r>
      <w:r w:rsidRPr="00372829">
        <w:rPr>
          <w:rFonts w:cs="Arial"/>
          <w:color w:val="000000"/>
          <w:szCs w:val="24"/>
        </w:rPr>
        <w:t xml:space="preserve">en el caso de partidas originadas y liquidadas durante el ejercicio; </w:t>
      </w:r>
    </w:p>
    <w:p w14:paraId="70C4AAC3" w14:textId="77777777" w:rsidR="008D70BB" w:rsidRPr="00372829" w:rsidRDefault="008D70BB" w:rsidP="007F4626">
      <w:pPr>
        <w:numPr>
          <w:ilvl w:val="1"/>
          <w:numId w:val="30"/>
        </w:numPr>
        <w:autoSpaceDE w:val="0"/>
        <w:autoSpaceDN w:val="0"/>
        <w:adjustRightInd w:val="0"/>
        <w:spacing w:after="20" w:line="240" w:lineRule="auto"/>
        <w:ind w:left="426"/>
        <w:rPr>
          <w:rFonts w:cs="Arial"/>
          <w:color w:val="000000"/>
          <w:szCs w:val="24"/>
        </w:rPr>
      </w:pPr>
      <w:r w:rsidRPr="00372829">
        <w:rPr>
          <w:rFonts w:cs="Arial"/>
          <w:b/>
          <w:bCs/>
          <w:color w:val="000000"/>
          <w:szCs w:val="24"/>
        </w:rPr>
        <w:t xml:space="preserve">fecha de liquidación y fecha de inicio de ejercicio: </w:t>
      </w:r>
      <w:r w:rsidRPr="00372829">
        <w:rPr>
          <w:rFonts w:cs="Arial"/>
          <w:color w:val="000000"/>
          <w:szCs w:val="24"/>
        </w:rPr>
        <w:t xml:space="preserve">en el caso de partidas originadas en ejercicios anteriores y liquidadas en el ejercicio; </w:t>
      </w:r>
    </w:p>
    <w:p w14:paraId="43D7FC64" w14:textId="77777777" w:rsidR="008D70BB" w:rsidRPr="00372829" w:rsidRDefault="008D70BB" w:rsidP="007F4626">
      <w:pPr>
        <w:numPr>
          <w:ilvl w:val="1"/>
          <w:numId w:val="30"/>
        </w:numPr>
        <w:autoSpaceDE w:val="0"/>
        <w:autoSpaceDN w:val="0"/>
        <w:adjustRightInd w:val="0"/>
        <w:spacing w:after="0" w:line="240" w:lineRule="auto"/>
        <w:ind w:left="426"/>
        <w:rPr>
          <w:rFonts w:cs="Arial"/>
          <w:color w:val="000000"/>
          <w:szCs w:val="24"/>
        </w:rPr>
      </w:pPr>
      <w:r w:rsidRPr="00372829">
        <w:rPr>
          <w:rFonts w:cs="Arial"/>
          <w:b/>
          <w:bCs/>
          <w:color w:val="000000"/>
          <w:szCs w:val="24"/>
        </w:rPr>
        <w:t xml:space="preserve">fecha de cierre y fecha de origen de la transacción: </w:t>
      </w:r>
      <w:r w:rsidRPr="00372829">
        <w:rPr>
          <w:rFonts w:cs="Arial"/>
          <w:color w:val="000000"/>
          <w:szCs w:val="24"/>
        </w:rPr>
        <w:t xml:space="preserve">en el caso de partidas originadas durante el ejercicio y mantenidas al cierre del mismo; y </w:t>
      </w:r>
    </w:p>
    <w:p w14:paraId="4FFA646A" w14:textId="77777777" w:rsidR="008D70BB" w:rsidRDefault="008D70BB" w:rsidP="007F4626">
      <w:pPr>
        <w:numPr>
          <w:ilvl w:val="1"/>
          <w:numId w:val="30"/>
        </w:numPr>
        <w:autoSpaceDE w:val="0"/>
        <w:autoSpaceDN w:val="0"/>
        <w:adjustRightInd w:val="0"/>
        <w:spacing w:after="0" w:line="240" w:lineRule="auto"/>
        <w:ind w:left="426"/>
        <w:rPr>
          <w:rFonts w:cs="Arial"/>
          <w:szCs w:val="24"/>
        </w:rPr>
      </w:pPr>
      <w:r w:rsidRPr="00372829">
        <w:rPr>
          <w:rFonts w:cs="Arial"/>
          <w:b/>
          <w:bCs/>
          <w:szCs w:val="24"/>
        </w:rPr>
        <w:t xml:space="preserve">fecha de cierre y fecha de inicio del ejercicio: </w:t>
      </w:r>
      <w:r w:rsidRPr="00372829">
        <w:rPr>
          <w:rFonts w:cs="Arial"/>
          <w:szCs w:val="24"/>
        </w:rPr>
        <w:t xml:space="preserve">en el caso de partidas originadas en ejercicios anteriores y mantenidas al cierre del ejercicio. </w:t>
      </w:r>
    </w:p>
    <w:p w14:paraId="53EB196A" w14:textId="77777777" w:rsidR="008D70BB" w:rsidRPr="00372829" w:rsidRDefault="008D70BB" w:rsidP="007F4626">
      <w:pPr>
        <w:numPr>
          <w:ilvl w:val="1"/>
          <w:numId w:val="26"/>
        </w:numPr>
        <w:autoSpaceDE w:val="0"/>
        <w:autoSpaceDN w:val="0"/>
        <w:adjustRightInd w:val="0"/>
        <w:spacing w:after="0" w:line="240" w:lineRule="auto"/>
        <w:ind w:left="720" w:hanging="360"/>
        <w:rPr>
          <w:rFonts w:cs="Arial"/>
          <w:szCs w:val="24"/>
        </w:rPr>
      </w:pPr>
    </w:p>
    <w:p w14:paraId="7D3AC85A" w14:textId="77777777" w:rsidR="008D70BB" w:rsidRPr="00C876DD" w:rsidRDefault="008D70BB" w:rsidP="008D70BB">
      <w:pPr>
        <w:spacing w:line="240" w:lineRule="auto"/>
        <w:rPr>
          <w:b/>
          <w:bCs/>
          <w:szCs w:val="24"/>
          <w:lang w:eastAsia="es-CR"/>
        </w:rPr>
      </w:pPr>
      <w:r w:rsidRPr="00C876DD">
        <w:rPr>
          <w:b/>
          <w:bCs/>
          <w:szCs w:val="24"/>
          <w:lang w:eastAsia="es-CR"/>
        </w:rPr>
        <w:t>Otras revelaciones</w:t>
      </w:r>
    </w:p>
    <w:p w14:paraId="53252486" w14:textId="3C1F000F" w:rsidR="008D70BB" w:rsidRDefault="008D70BB" w:rsidP="008D70BB">
      <w:pPr>
        <w:spacing w:line="240" w:lineRule="auto"/>
        <w:rPr>
          <w:szCs w:val="24"/>
          <w:lang w:eastAsia="es-CR"/>
        </w:rPr>
      </w:pPr>
      <w:r w:rsidRPr="00BF3C19">
        <w:rPr>
          <w:szCs w:val="24"/>
          <w:lang w:eastAsia="es-CR"/>
        </w:rPr>
        <w:t xml:space="preserve">A la Municipalidad de Buenos Aires </w:t>
      </w:r>
      <w:r>
        <w:rPr>
          <w:szCs w:val="24"/>
          <w:lang w:eastAsia="es-CR"/>
        </w:rPr>
        <w:t>no</w:t>
      </w:r>
      <w:r w:rsidRPr="00BF3C19">
        <w:rPr>
          <w:szCs w:val="24"/>
          <w:lang w:eastAsia="es-CR"/>
        </w:rPr>
        <w:t xml:space="preserve"> mantiene cuentas </w:t>
      </w:r>
      <w:r>
        <w:rPr>
          <w:szCs w:val="24"/>
          <w:lang w:eastAsia="es-CR"/>
        </w:rPr>
        <w:t xml:space="preserve">corrientes </w:t>
      </w:r>
      <w:r w:rsidRPr="00BF3C19">
        <w:rPr>
          <w:szCs w:val="24"/>
          <w:lang w:eastAsia="es-CR"/>
        </w:rPr>
        <w:t xml:space="preserve">en moneda </w:t>
      </w:r>
      <w:r>
        <w:rPr>
          <w:szCs w:val="24"/>
          <w:lang w:eastAsia="es-CR"/>
        </w:rPr>
        <w:t xml:space="preserve">extranjera, sus cuentas corrientes son en moneda </w:t>
      </w:r>
      <w:r w:rsidRPr="00BF3C19">
        <w:rPr>
          <w:szCs w:val="24"/>
          <w:lang w:eastAsia="es-CR"/>
        </w:rPr>
        <w:t>nacional (colones costarricenses)</w:t>
      </w:r>
      <w:r>
        <w:rPr>
          <w:szCs w:val="24"/>
          <w:lang w:eastAsia="es-CR"/>
        </w:rPr>
        <w:t>, la cual se tiene establecida como moneda funcional</w:t>
      </w:r>
      <w:r w:rsidRPr="00BF3C19">
        <w:rPr>
          <w:szCs w:val="24"/>
          <w:lang w:eastAsia="es-CR"/>
        </w:rPr>
        <w:t xml:space="preserve">; asimismo, todas las transacciones se </w:t>
      </w:r>
      <w:r>
        <w:rPr>
          <w:szCs w:val="24"/>
          <w:lang w:eastAsia="es-CR"/>
        </w:rPr>
        <w:t>registran</w:t>
      </w:r>
      <w:r w:rsidRPr="00BF3C19">
        <w:rPr>
          <w:szCs w:val="24"/>
          <w:lang w:eastAsia="es-CR"/>
        </w:rPr>
        <w:t xml:space="preserve"> en esa moneda. </w:t>
      </w:r>
      <w:r>
        <w:rPr>
          <w:szCs w:val="24"/>
          <w:lang w:eastAsia="es-CR"/>
        </w:rPr>
        <w:t>Además, e</w:t>
      </w:r>
      <w:r w:rsidRPr="00BF3C19">
        <w:rPr>
          <w:szCs w:val="24"/>
          <w:lang w:eastAsia="es-CR"/>
        </w:rPr>
        <w:t>s pertinente indicar, que de manera excepcional se presenta</w:t>
      </w:r>
      <w:r>
        <w:rPr>
          <w:szCs w:val="24"/>
          <w:lang w:eastAsia="es-CR"/>
        </w:rPr>
        <w:t>n</w:t>
      </w:r>
      <w:r w:rsidRPr="00BF3C19">
        <w:rPr>
          <w:szCs w:val="24"/>
          <w:lang w:eastAsia="es-CR"/>
        </w:rPr>
        <w:t xml:space="preserve"> transacci</w:t>
      </w:r>
      <w:r>
        <w:rPr>
          <w:szCs w:val="24"/>
          <w:lang w:eastAsia="es-CR"/>
        </w:rPr>
        <w:t>o</w:t>
      </w:r>
      <w:r w:rsidRPr="00BF3C19">
        <w:rPr>
          <w:szCs w:val="24"/>
          <w:lang w:eastAsia="es-CR"/>
        </w:rPr>
        <w:t>n</w:t>
      </w:r>
      <w:r>
        <w:rPr>
          <w:szCs w:val="24"/>
          <w:lang w:eastAsia="es-CR"/>
        </w:rPr>
        <w:t>es</w:t>
      </w:r>
      <w:r w:rsidRPr="00BF3C19">
        <w:rPr>
          <w:szCs w:val="24"/>
          <w:lang w:eastAsia="es-CR"/>
        </w:rPr>
        <w:t xml:space="preserve"> en alguna moneda extranjera, en cuyo caso la misma se medirá al tipo de cambio oficial del día que se reconoce y cancela. </w:t>
      </w:r>
      <w:r>
        <w:rPr>
          <w:szCs w:val="24"/>
          <w:lang w:eastAsia="es-CR"/>
        </w:rPr>
        <w:t>Asimismo</w:t>
      </w:r>
      <w:r w:rsidRPr="00BF3C19">
        <w:rPr>
          <w:szCs w:val="24"/>
          <w:lang w:eastAsia="es-CR"/>
        </w:rPr>
        <w:t xml:space="preserve">, es pertinente indicar que al </w:t>
      </w:r>
      <w:r w:rsidR="00796636">
        <w:rPr>
          <w:szCs w:val="24"/>
          <w:lang w:eastAsia="es-CR"/>
        </w:rPr>
        <w:t>31</w:t>
      </w:r>
      <w:r>
        <w:rPr>
          <w:szCs w:val="24"/>
          <w:lang w:eastAsia="es-CR"/>
        </w:rPr>
        <w:t xml:space="preserve"> de </w:t>
      </w:r>
      <w:r w:rsidR="00D64CF8">
        <w:rPr>
          <w:szCs w:val="24"/>
          <w:lang w:eastAsia="es-CR"/>
        </w:rPr>
        <w:t>diciembre</w:t>
      </w:r>
      <w:r>
        <w:rPr>
          <w:szCs w:val="24"/>
          <w:lang w:eastAsia="es-CR"/>
        </w:rPr>
        <w:t xml:space="preserve"> de 2024</w:t>
      </w:r>
      <w:r w:rsidRPr="00BF3C19">
        <w:rPr>
          <w:szCs w:val="24"/>
          <w:lang w:eastAsia="es-CR"/>
        </w:rPr>
        <w:t xml:space="preserve"> la Municipalidad no posee efectivo ni equivalentes de efectivo, así como cualquier otra cuenta de activo o pasivo en moneda extranjera</w:t>
      </w:r>
      <w:r>
        <w:rPr>
          <w:szCs w:val="24"/>
          <w:lang w:eastAsia="es-CR"/>
        </w:rPr>
        <w:t xml:space="preserve"> que requiriera ajuste por variación del tipo de ca</w:t>
      </w:r>
      <w:r w:rsidR="001C1401">
        <w:rPr>
          <w:szCs w:val="24"/>
          <w:lang w:eastAsia="es-CR"/>
        </w:rPr>
        <w:t>m</w:t>
      </w:r>
      <w:r>
        <w:rPr>
          <w:szCs w:val="24"/>
          <w:lang w:eastAsia="es-CR"/>
        </w:rPr>
        <w:t>bio</w:t>
      </w:r>
      <w:r w:rsidRPr="00BF3C19">
        <w:rPr>
          <w:szCs w:val="24"/>
          <w:lang w:eastAsia="es-CR"/>
        </w:rPr>
        <w:t>.</w:t>
      </w:r>
    </w:p>
    <w:p w14:paraId="665B8F43" w14:textId="77777777" w:rsidR="001C1401" w:rsidRDefault="001C1401" w:rsidP="008D70BB">
      <w:pPr>
        <w:spacing w:line="240" w:lineRule="auto"/>
        <w:rPr>
          <w:szCs w:val="24"/>
          <w:lang w:eastAsia="es-CR"/>
        </w:rPr>
      </w:pPr>
    </w:p>
    <w:p w14:paraId="52F6FE06" w14:textId="408FBA68" w:rsidR="008D70BB" w:rsidRDefault="008D70BB" w:rsidP="008D70BB">
      <w:pPr>
        <w:spacing w:line="240" w:lineRule="auto"/>
        <w:rPr>
          <w:szCs w:val="24"/>
          <w:lang w:eastAsia="es-CR"/>
        </w:rPr>
      </w:pPr>
      <w:bookmarkStart w:id="34" w:name="_Hlk158621807"/>
      <w:r>
        <w:rPr>
          <w:szCs w:val="24"/>
          <w:lang w:eastAsia="es-CR"/>
        </w:rPr>
        <w:t xml:space="preserve">De acuerdo con lo consignado en la Matriz de NICSP y Plan de Acción al </w:t>
      </w:r>
      <w:r w:rsidR="00796636">
        <w:rPr>
          <w:szCs w:val="24"/>
          <w:lang w:eastAsia="es-CR"/>
        </w:rPr>
        <w:t>31</w:t>
      </w:r>
      <w:r>
        <w:rPr>
          <w:szCs w:val="24"/>
          <w:lang w:eastAsia="es-CR"/>
        </w:rPr>
        <w:t xml:space="preserve"> de </w:t>
      </w:r>
      <w:r w:rsidR="00D64CF8">
        <w:rPr>
          <w:szCs w:val="24"/>
          <w:lang w:eastAsia="es-CR"/>
        </w:rPr>
        <w:t>diciembre</w:t>
      </w:r>
      <w:r>
        <w:rPr>
          <w:szCs w:val="24"/>
          <w:lang w:eastAsia="es-CR"/>
        </w:rPr>
        <w:t xml:space="preserve"> se encuentra pendiente de implementar lo siguiente:</w:t>
      </w:r>
    </w:p>
    <w:p w14:paraId="24934A6E" w14:textId="136A841B" w:rsidR="001C1401" w:rsidRDefault="001C1401" w:rsidP="008D70BB">
      <w:pPr>
        <w:spacing w:line="240" w:lineRule="auto"/>
        <w:rPr>
          <w:szCs w:val="24"/>
          <w:lang w:eastAsia="es-CR"/>
        </w:rPr>
      </w:pPr>
    </w:p>
    <w:p w14:paraId="785AC351" w14:textId="77777777" w:rsidR="001C1401" w:rsidRDefault="001C1401" w:rsidP="008D70BB">
      <w:pPr>
        <w:spacing w:line="240" w:lineRule="auto"/>
        <w:rPr>
          <w:szCs w:val="24"/>
          <w:lang w:eastAsia="es-CR"/>
        </w:rPr>
      </w:pPr>
    </w:p>
    <w:tbl>
      <w:tblPr>
        <w:tblW w:w="8900" w:type="dxa"/>
        <w:tblLook w:val="04A0" w:firstRow="1" w:lastRow="0" w:firstColumn="1" w:lastColumn="0" w:noHBand="0" w:noVBand="1"/>
      </w:tblPr>
      <w:tblGrid>
        <w:gridCol w:w="7220"/>
        <w:gridCol w:w="1680"/>
      </w:tblGrid>
      <w:tr w:rsidR="008D70BB" w:rsidRPr="00031D3F" w14:paraId="78B46407" w14:textId="77777777" w:rsidTr="0061790F">
        <w:trPr>
          <w:trHeight w:val="530"/>
        </w:trPr>
        <w:tc>
          <w:tcPr>
            <w:tcW w:w="7220" w:type="dxa"/>
            <w:tcBorders>
              <w:top w:val="single" w:sz="8" w:space="0" w:color="auto"/>
              <w:left w:val="single" w:sz="8" w:space="0" w:color="auto"/>
              <w:bottom w:val="single" w:sz="4" w:space="0" w:color="auto"/>
              <w:right w:val="single" w:sz="4" w:space="0" w:color="auto"/>
            </w:tcBorders>
            <w:shd w:val="clear" w:color="auto" w:fill="auto"/>
            <w:noWrap/>
            <w:vAlign w:val="center"/>
            <w:hideMark/>
          </w:tcPr>
          <w:bookmarkEnd w:id="34"/>
          <w:p w14:paraId="687C01BF" w14:textId="77777777" w:rsidR="008D70BB" w:rsidRPr="005D7025" w:rsidRDefault="008D70BB" w:rsidP="0061790F">
            <w:pPr>
              <w:spacing w:after="0" w:line="240" w:lineRule="auto"/>
              <w:jc w:val="center"/>
              <w:rPr>
                <w:rFonts w:eastAsia="Times New Roman" w:cs="Calibri"/>
                <w:b/>
                <w:bCs/>
                <w:szCs w:val="24"/>
                <w:lang w:val="en-US"/>
              </w:rPr>
            </w:pPr>
            <w:proofErr w:type="spellStart"/>
            <w:r w:rsidRPr="005D7025">
              <w:rPr>
                <w:rFonts w:eastAsia="Times New Roman" w:cs="Calibri"/>
                <w:b/>
                <w:bCs/>
                <w:szCs w:val="24"/>
                <w:lang w:val="en-US"/>
              </w:rPr>
              <w:t>Actividades</w:t>
            </w:r>
            <w:proofErr w:type="spellEnd"/>
            <w:r w:rsidRPr="005D7025">
              <w:rPr>
                <w:rFonts w:eastAsia="Times New Roman" w:cs="Calibri"/>
                <w:b/>
                <w:bCs/>
                <w:szCs w:val="24"/>
                <w:lang w:val="en-US"/>
              </w:rPr>
              <w:t xml:space="preserve"> </w:t>
            </w:r>
            <w:proofErr w:type="spellStart"/>
            <w:r w:rsidRPr="005D7025">
              <w:rPr>
                <w:rFonts w:eastAsia="Times New Roman" w:cs="Calibri"/>
                <w:b/>
                <w:bCs/>
                <w:szCs w:val="24"/>
                <w:lang w:val="en-US"/>
              </w:rPr>
              <w:t>Pendientes</w:t>
            </w:r>
            <w:proofErr w:type="spellEnd"/>
            <w:r w:rsidRPr="005D7025">
              <w:rPr>
                <w:rFonts w:eastAsia="Times New Roman" w:cs="Calibri"/>
                <w:b/>
                <w:bCs/>
                <w:szCs w:val="24"/>
                <w:lang w:val="en-US"/>
              </w:rPr>
              <w:t xml:space="preserve"> de </w:t>
            </w:r>
            <w:proofErr w:type="spellStart"/>
            <w:r w:rsidRPr="005D7025">
              <w:rPr>
                <w:rFonts w:eastAsia="Times New Roman" w:cs="Calibri"/>
                <w:b/>
                <w:bCs/>
                <w:szCs w:val="24"/>
                <w:lang w:val="en-US"/>
              </w:rPr>
              <w:t>Cumplimiento</w:t>
            </w:r>
            <w:proofErr w:type="spellEnd"/>
          </w:p>
        </w:tc>
        <w:tc>
          <w:tcPr>
            <w:tcW w:w="1680" w:type="dxa"/>
            <w:tcBorders>
              <w:top w:val="single" w:sz="8" w:space="0" w:color="auto"/>
              <w:left w:val="nil"/>
              <w:bottom w:val="single" w:sz="4" w:space="0" w:color="auto"/>
              <w:right w:val="single" w:sz="8" w:space="0" w:color="auto"/>
            </w:tcBorders>
            <w:shd w:val="clear" w:color="000000" w:fill="FFFFFF"/>
            <w:vAlign w:val="bottom"/>
            <w:hideMark/>
          </w:tcPr>
          <w:p w14:paraId="785BE6DB" w14:textId="77777777" w:rsidR="008D70BB" w:rsidRPr="005D7025" w:rsidRDefault="008D70BB" w:rsidP="0061790F">
            <w:pPr>
              <w:spacing w:after="0" w:line="240" w:lineRule="auto"/>
              <w:jc w:val="center"/>
              <w:rPr>
                <w:rFonts w:eastAsia="Times New Roman" w:cs="Calibri"/>
                <w:b/>
                <w:bCs/>
                <w:color w:val="000000"/>
                <w:szCs w:val="24"/>
                <w:lang w:val="en-US"/>
              </w:rPr>
            </w:pPr>
            <w:proofErr w:type="spellStart"/>
            <w:r w:rsidRPr="005D7025">
              <w:rPr>
                <w:rFonts w:eastAsia="Times New Roman" w:cs="Calibri"/>
                <w:b/>
                <w:bCs/>
                <w:color w:val="000000"/>
                <w:szCs w:val="24"/>
                <w:lang w:val="en-US"/>
              </w:rPr>
              <w:t>Fecha</w:t>
            </w:r>
            <w:proofErr w:type="spellEnd"/>
            <w:r w:rsidRPr="005D7025">
              <w:rPr>
                <w:rFonts w:eastAsia="Times New Roman" w:cs="Calibri"/>
                <w:b/>
                <w:bCs/>
                <w:color w:val="000000"/>
                <w:szCs w:val="24"/>
                <w:lang w:val="en-US"/>
              </w:rPr>
              <w:t xml:space="preserve"> </w:t>
            </w:r>
            <w:proofErr w:type="spellStart"/>
            <w:r w:rsidRPr="005D7025">
              <w:rPr>
                <w:rFonts w:eastAsia="Times New Roman" w:cs="Calibri"/>
                <w:b/>
                <w:bCs/>
                <w:color w:val="000000"/>
                <w:szCs w:val="24"/>
                <w:lang w:val="en-US"/>
              </w:rPr>
              <w:t>Estimada</w:t>
            </w:r>
            <w:proofErr w:type="spellEnd"/>
            <w:r w:rsidRPr="005D7025">
              <w:rPr>
                <w:rFonts w:eastAsia="Times New Roman" w:cs="Calibri"/>
                <w:b/>
                <w:bCs/>
                <w:color w:val="000000"/>
                <w:szCs w:val="24"/>
                <w:lang w:val="en-US"/>
              </w:rPr>
              <w:t xml:space="preserve"> </w:t>
            </w:r>
            <w:proofErr w:type="spellStart"/>
            <w:r w:rsidRPr="005D7025">
              <w:rPr>
                <w:rFonts w:eastAsia="Times New Roman" w:cs="Calibri"/>
                <w:b/>
                <w:bCs/>
                <w:color w:val="000000"/>
                <w:szCs w:val="24"/>
                <w:lang w:val="en-US"/>
              </w:rPr>
              <w:t>Cumplimiento</w:t>
            </w:r>
            <w:proofErr w:type="spellEnd"/>
          </w:p>
        </w:tc>
      </w:tr>
      <w:tr w:rsidR="008D70BB" w:rsidRPr="00031D3F" w14:paraId="6A3D2DD6" w14:textId="77777777" w:rsidTr="0061790F">
        <w:trPr>
          <w:trHeight w:val="520"/>
        </w:trPr>
        <w:tc>
          <w:tcPr>
            <w:tcW w:w="7220" w:type="dxa"/>
            <w:tcBorders>
              <w:top w:val="nil"/>
              <w:left w:val="single" w:sz="8" w:space="0" w:color="auto"/>
              <w:bottom w:val="single" w:sz="4" w:space="0" w:color="auto"/>
              <w:right w:val="single" w:sz="4" w:space="0" w:color="auto"/>
            </w:tcBorders>
            <w:shd w:val="clear" w:color="000000" w:fill="FFFFFF"/>
            <w:vAlign w:val="center"/>
            <w:hideMark/>
          </w:tcPr>
          <w:p w14:paraId="3B6E6624" w14:textId="77777777" w:rsidR="008D70BB" w:rsidRPr="005D7025" w:rsidRDefault="008D70BB" w:rsidP="0061790F">
            <w:pPr>
              <w:spacing w:after="0" w:line="240" w:lineRule="auto"/>
              <w:rPr>
                <w:rFonts w:eastAsia="Times New Roman" w:cs="Calibri"/>
                <w:szCs w:val="24"/>
              </w:rPr>
            </w:pPr>
            <w:r w:rsidRPr="005D7025">
              <w:rPr>
                <w:rFonts w:eastAsia="Times New Roman" w:cs="Calibri"/>
                <w:szCs w:val="24"/>
              </w:rPr>
              <w:t>Emitir las políticas contables específicas para el reconocimiento y la medición de los efectos de los cambios en las divisas en los estados financieros</w:t>
            </w:r>
          </w:p>
        </w:tc>
        <w:tc>
          <w:tcPr>
            <w:tcW w:w="1680" w:type="dxa"/>
            <w:tcBorders>
              <w:top w:val="nil"/>
              <w:left w:val="nil"/>
              <w:bottom w:val="single" w:sz="4" w:space="0" w:color="auto"/>
              <w:right w:val="single" w:sz="8" w:space="0" w:color="auto"/>
            </w:tcBorders>
            <w:shd w:val="clear" w:color="000000" w:fill="FFFFFF"/>
            <w:noWrap/>
            <w:vAlign w:val="center"/>
            <w:hideMark/>
          </w:tcPr>
          <w:p w14:paraId="155147D3" w14:textId="6B930A56" w:rsidR="008D70BB" w:rsidRPr="005D7025" w:rsidRDefault="00796636" w:rsidP="0061790F">
            <w:pPr>
              <w:spacing w:after="0" w:line="240" w:lineRule="auto"/>
              <w:jc w:val="center"/>
              <w:rPr>
                <w:rFonts w:eastAsia="Times New Roman" w:cs="Calibri"/>
                <w:color w:val="000000"/>
                <w:szCs w:val="24"/>
                <w:lang w:val="en-US"/>
              </w:rPr>
            </w:pPr>
            <w:r w:rsidRPr="005D7025">
              <w:rPr>
                <w:rFonts w:eastAsia="Times New Roman" w:cs="Calibri"/>
                <w:color w:val="000000"/>
                <w:szCs w:val="24"/>
                <w:lang w:val="en-US"/>
              </w:rPr>
              <w:t>3</w:t>
            </w:r>
            <w:r w:rsidR="003163BA" w:rsidRPr="005D7025">
              <w:rPr>
                <w:rFonts w:eastAsia="Times New Roman" w:cs="Calibri"/>
                <w:color w:val="000000"/>
                <w:szCs w:val="24"/>
                <w:lang w:val="en-US"/>
              </w:rPr>
              <w:t>0</w:t>
            </w:r>
            <w:r w:rsidR="00D64CF8" w:rsidRPr="005D7025">
              <w:rPr>
                <w:rFonts w:eastAsia="Times New Roman" w:cs="Calibri"/>
                <w:color w:val="000000"/>
                <w:szCs w:val="24"/>
                <w:lang w:val="en-US"/>
              </w:rPr>
              <w:t>/06/25</w:t>
            </w:r>
          </w:p>
        </w:tc>
      </w:tr>
      <w:tr w:rsidR="00D64CF8" w:rsidRPr="00031D3F" w14:paraId="15CD7277" w14:textId="77777777" w:rsidTr="0061790F">
        <w:trPr>
          <w:trHeight w:val="780"/>
        </w:trPr>
        <w:tc>
          <w:tcPr>
            <w:tcW w:w="7220" w:type="dxa"/>
            <w:tcBorders>
              <w:top w:val="nil"/>
              <w:left w:val="single" w:sz="8" w:space="0" w:color="auto"/>
              <w:bottom w:val="single" w:sz="4" w:space="0" w:color="auto"/>
              <w:right w:val="single" w:sz="4" w:space="0" w:color="auto"/>
            </w:tcBorders>
            <w:shd w:val="clear" w:color="auto" w:fill="auto"/>
            <w:vAlign w:val="center"/>
            <w:hideMark/>
          </w:tcPr>
          <w:p w14:paraId="48144FD2" w14:textId="77777777" w:rsidR="00D64CF8" w:rsidRPr="005D7025" w:rsidRDefault="00D64CF8" w:rsidP="00D64CF8">
            <w:pPr>
              <w:spacing w:after="0" w:line="240" w:lineRule="auto"/>
              <w:rPr>
                <w:rFonts w:eastAsia="Times New Roman" w:cs="Calibri"/>
                <w:szCs w:val="24"/>
              </w:rPr>
            </w:pPr>
            <w:r w:rsidRPr="005D7025">
              <w:rPr>
                <w:rFonts w:eastAsia="Times New Roman" w:cs="Calibri"/>
                <w:szCs w:val="24"/>
              </w:rPr>
              <w:t>Poner en operación en cada fecha de presentación de los estados financieros la práctica de que las partidas monetarias y no monetarias en moneda extranjera se convierten utilizando la tasa de cambio de cierre.</w:t>
            </w:r>
          </w:p>
        </w:tc>
        <w:tc>
          <w:tcPr>
            <w:tcW w:w="1680" w:type="dxa"/>
            <w:tcBorders>
              <w:top w:val="nil"/>
              <w:left w:val="nil"/>
              <w:bottom w:val="single" w:sz="4" w:space="0" w:color="auto"/>
              <w:right w:val="single" w:sz="8" w:space="0" w:color="auto"/>
            </w:tcBorders>
            <w:shd w:val="clear" w:color="000000" w:fill="FFFFFF"/>
            <w:noWrap/>
            <w:hideMark/>
          </w:tcPr>
          <w:p w14:paraId="4E470667" w14:textId="38F5C167" w:rsidR="00D64CF8" w:rsidRPr="005D7025" w:rsidRDefault="003163BA" w:rsidP="00D64CF8">
            <w:pPr>
              <w:spacing w:after="0" w:line="240" w:lineRule="auto"/>
              <w:jc w:val="center"/>
              <w:rPr>
                <w:rFonts w:eastAsia="Times New Roman" w:cs="Calibri"/>
                <w:color w:val="000000"/>
                <w:szCs w:val="24"/>
                <w:lang w:val="en-US"/>
              </w:rPr>
            </w:pPr>
            <w:r w:rsidRPr="005D7025">
              <w:rPr>
                <w:rFonts w:eastAsia="Times New Roman" w:cs="Calibri"/>
                <w:color w:val="000000"/>
                <w:szCs w:val="24"/>
                <w:lang w:val="en-US"/>
              </w:rPr>
              <w:t>30/06/25</w:t>
            </w:r>
          </w:p>
        </w:tc>
      </w:tr>
    </w:tbl>
    <w:p w14:paraId="2BDB58C3" w14:textId="494F9833" w:rsidR="008D70BB" w:rsidRPr="00EE66B3" w:rsidRDefault="00EE66B3" w:rsidP="005D7025">
      <w:pPr>
        <w:pStyle w:val="Ttulo2"/>
        <w:spacing w:after="240" w:line="240" w:lineRule="auto"/>
        <w:rPr>
          <w:rFonts w:eastAsiaTheme="minorHAnsi" w:cstheme="minorBidi"/>
          <w:color w:val="auto"/>
          <w:szCs w:val="22"/>
        </w:rPr>
      </w:pPr>
      <w:bookmarkStart w:id="35" w:name="_Toc189804785"/>
      <w:r w:rsidRPr="00EE66B3">
        <w:rPr>
          <w:color w:val="auto"/>
          <w:lang w:eastAsia="es-CR"/>
        </w:rPr>
        <w:t xml:space="preserve">Se hizo extensión a la fecha prevista esto debido a las cargas de trabajo en la institución, por tanto, no se pudo completar las actividades requeridas a la Norma </w:t>
      </w:r>
      <w:r>
        <w:rPr>
          <w:color w:val="auto"/>
          <w:lang w:val="es-MX"/>
        </w:rPr>
        <w:t>NICSP 4</w:t>
      </w:r>
      <w:bookmarkEnd w:id="35"/>
    </w:p>
    <w:p w14:paraId="4F670294" w14:textId="1AB4F9AE" w:rsidR="00982595" w:rsidRPr="001C7FD6" w:rsidRDefault="00171A58" w:rsidP="00486EC5">
      <w:pPr>
        <w:pStyle w:val="Ttulo2"/>
        <w:spacing w:after="240"/>
      </w:pPr>
      <w:bookmarkStart w:id="36" w:name="_Toc189804786"/>
      <w:r w:rsidRPr="00171A58">
        <w:t>NICSP 5 COSTO POR INTERESES:</w:t>
      </w:r>
      <w:bookmarkEnd w:id="32"/>
      <w:bookmarkEnd w:id="33"/>
      <w:bookmarkEnd w:id="36"/>
      <w:r w:rsidRPr="00171A58">
        <w:t xml:space="preserve"> </w:t>
      </w:r>
    </w:p>
    <w:p w14:paraId="394D3D1B" w14:textId="77777777" w:rsidR="00396CB4" w:rsidRDefault="00FB0858" w:rsidP="002007F6">
      <w:pPr>
        <w:rPr>
          <w:rFonts w:asciiTheme="minorHAnsi" w:hAnsiTheme="minorHAnsi"/>
          <w:sz w:val="22"/>
        </w:rPr>
      </w:pPr>
      <w:r w:rsidRPr="00FB0858">
        <w:t>De acuerdo con la NICSP 5-: Costo por Intereses</w:t>
      </w:r>
      <w:r>
        <w:t>, i</w:t>
      </w:r>
      <w:r w:rsidR="00171A58">
        <w:t xml:space="preserve">ndicar si este rubro afecta SI o NO a la institución, </w:t>
      </w:r>
      <w:r w:rsidR="00405DBC" w:rsidRPr="00405DBC">
        <w:t>además del porcentaje de avance</w:t>
      </w:r>
      <w:r w:rsidR="00405DBC">
        <w:t xml:space="preserve"> en la implementación</w:t>
      </w:r>
      <w:r w:rsidR="00405DBC" w:rsidRPr="00405DBC">
        <w:t xml:space="preserve"> que presenta</w:t>
      </w:r>
      <w:r w:rsidR="00D16DB1">
        <w:t>.</w:t>
      </w:r>
      <w:r w:rsidR="00791EEB">
        <w:fldChar w:fldCharType="begin"/>
      </w:r>
      <w:r w:rsidR="00791EEB">
        <w:instrText xml:space="preserve"> LINK </w:instrText>
      </w:r>
      <w:r w:rsidR="00756467">
        <w:instrText xml:space="preserve">Excel.SheetMacroEnabled.12 "C:\\Users\\gcordero\\Downloads\\Notas diciembre 2024\\Formato_Notas_EEFF_Vinculadas_2024\\Formato_Notas_EEFF_Vinculadas_2024\\15603_T04_2024_Anexo_Estado_Notas_Contables_Vinculadas.xlsm" NICSP_5!F9C3:F10C4 </w:instrText>
      </w:r>
      <w:r w:rsidR="00791EEB">
        <w:instrText xml:space="preserve">\a \f 4 \h </w:instrText>
      </w:r>
      <w:r w:rsidR="00791EEB">
        <w:fldChar w:fldCharType="separate"/>
      </w:r>
    </w:p>
    <w:tbl>
      <w:tblPr>
        <w:tblW w:w="4120" w:type="dxa"/>
        <w:tblCellMar>
          <w:left w:w="70" w:type="dxa"/>
          <w:right w:w="70" w:type="dxa"/>
        </w:tblCellMar>
        <w:tblLook w:val="04A0" w:firstRow="1" w:lastRow="0" w:firstColumn="1" w:lastColumn="0" w:noHBand="0" w:noVBand="1"/>
      </w:tblPr>
      <w:tblGrid>
        <w:gridCol w:w="2340"/>
        <w:gridCol w:w="1780"/>
      </w:tblGrid>
      <w:tr w:rsidR="00396CB4" w:rsidRPr="00396CB4" w14:paraId="739AE7D0" w14:textId="77777777" w:rsidTr="00396CB4">
        <w:trPr>
          <w:divId w:val="1183326243"/>
          <w:trHeight w:val="345"/>
        </w:trPr>
        <w:tc>
          <w:tcPr>
            <w:tcW w:w="234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6858C4DA" w14:textId="78DFB5C5" w:rsidR="00396CB4" w:rsidRPr="00396CB4" w:rsidRDefault="00396CB4" w:rsidP="00396CB4">
            <w:pPr>
              <w:rPr>
                <w:rFonts w:eastAsia="Times New Roman" w:cs="Calibri"/>
                <w:color w:val="FFFFFF"/>
                <w:szCs w:val="24"/>
                <w:lang w:eastAsia="es-CR"/>
              </w:rPr>
            </w:pPr>
            <w:r w:rsidRPr="00396CB4">
              <w:rPr>
                <w:rFonts w:eastAsia="Times New Roman" w:cs="Calibri"/>
                <w:color w:val="FFFFFF"/>
                <w:szCs w:val="24"/>
                <w:lang w:eastAsia="es-CR"/>
              </w:rPr>
              <w:t>Aplica</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84D98E" w14:textId="77777777" w:rsidR="00396CB4" w:rsidRPr="00396CB4" w:rsidRDefault="00396CB4" w:rsidP="00396CB4">
            <w:pPr>
              <w:spacing w:after="0" w:line="240" w:lineRule="auto"/>
              <w:jc w:val="center"/>
              <w:rPr>
                <w:rFonts w:eastAsia="Times New Roman" w:cs="Calibri"/>
                <w:color w:val="000000"/>
                <w:sz w:val="22"/>
                <w:lang w:eastAsia="es-CR"/>
              </w:rPr>
            </w:pPr>
            <w:r w:rsidRPr="00396CB4">
              <w:rPr>
                <w:rFonts w:eastAsia="Times New Roman" w:cs="Calibri"/>
                <w:color w:val="000000"/>
                <w:sz w:val="22"/>
                <w:lang w:eastAsia="es-CR"/>
              </w:rPr>
              <w:t>Si</w:t>
            </w:r>
          </w:p>
        </w:tc>
      </w:tr>
      <w:tr w:rsidR="00396CB4" w:rsidRPr="00396CB4" w14:paraId="5D71FC0F" w14:textId="77777777" w:rsidTr="00396CB4">
        <w:trPr>
          <w:divId w:val="1183326243"/>
          <w:trHeight w:val="345"/>
        </w:trPr>
        <w:tc>
          <w:tcPr>
            <w:tcW w:w="2340" w:type="dxa"/>
            <w:tcBorders>
              <w:top w:val="nil"/>
              <w:left w:val="single" w:sz="8" w:space="0" w:color="auto"/>
              <w:bottom w:val="single" w:sz="8" w:space="0" w:color="auto"/>
              <w:right w:val="single" w:sz="8" w:space="0" w:color="auto"/>
            </w:tcBorders>
            <w:shd w:val="clear" w:color="000000" w:fill="17365D"/>
            <w:vAlign w:val="center"/>
            <w:hideMark/>
          </w:tcPr>
          <w:p w14:paraId="18BBFE7E" w14:textId="77777777" w:rsidR="00396CB4" w:rsidRPr="00396CB4" w:rsidRDefault="00396CB4" w:rsidP="00396CB4">
            <w:pPr>
              <w:spacing w:after="0" w:line="240" w:lineRule="auto"/>
              <w:jc w:val="left"/>
              <w:rPr>
                <w:rFonts w:eastAsia="Times New Roman" w:cs="Calibri"/>
                <w:color w:val="FFFFFF"/>
                <w:szCs w:val="24"/>
                <w:lang w:eastAsia="es-CR"/>
              </w:rPr>
            </w:pPr>
            <w:proofErr w:type="spellStart"/>
            <w:r w:rsidRPr="00396CB4">
              <w:rPr>
                <w:rFonts w:eastAsia="Times New Roman" w:cs="Calibri"/>
                <w:color w:val="FFFFFF"/>
                <w:szCs w:val="24"/>
                <w:lang w:eastAsia="es-CR"/>
              </w:rPr>
              <w:t>Porcentaje_Avance</w:t>
            </w:r>
            <w:proofErr w:type="spellEnd"/>
          </w:p>
        </w:tc>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7F1ED8D9" w14:textId="77777777" w:rsidR="00396CB4" w:rsidRPr="00396CB4" w:rsidRDefault="00396CB4" w:rsidP="00396CB4">
            <w:pPr>
              <w:spacing w:after="0" w:line="240" w:lineRule="auto"/>
              <w:jc w:val="center"/>
              <w:rPr>
                <w:rFonts w:eastAsia="Times New Roman" w:cs="Calibri"/>
                <w:color w:val="000000"/>
                <w:sz w:val="22"/>
                <w:lang w:eastAsia="es-CR"/>
              </w:rPr>
            </w:pPr>
            <w:r w:rsidRPr="00396CB4">
              <w:rPr>
                <w:rFonts w:eastAsia="Times New Roman" w:cs="Calibri"/>
                <w:color w:val="000000"/>
                <w:sz w:val="22"/>
                <w:lang w:eastAsia="es-CR"/>
              </w:rPr>
              <w:t>100,00%</w:t>
            </w:r>
          </w:p>
        </w:tc>
      </w:tr>
    </w:tbl>
    <w:p w14:paraId="41B1F314" w14:textId="56BCB125" w:rsidR="00171A58" w:rsidRDefault="00791EEB" w:rsidP="002007F6">
      <w:r>
        <w:fldChar w:fldCharType="end"/>
      </w:r>
    </w:p>
    <w:p w14:paraId="0DAB970F" w14:textId="03A86BCB" w:rsidR="00171A58" w:rsidRDefault="00171A58" w:rsidP="00171A58">
      <w:pPr>
        <w:jc w:val="center"/>
      </w:pPr>
      <w:r w:rsidRPr="00B96662">
        <w:rPr>
          <w:noProof/>
          <w:lang w:eastAsia="es-CR"/>
        </w:rPr>
        <w:drawing>
          <wp:inline distT="0" distB="0" distL="0" distR="0" wp14:anchorId="6C5C5F20" wp14:editId="2EBA37AD">
            <wp:extent cx="4274820" cy="1074420"/>
            <wp:effectExtent l="0" t="0" r="0" b="0"/>
            <wp:docPr id="5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74820" cy="1074420"/>
                    </a:xfrm>
                    <a:prstGeom prst="rect">
                      <a:avLst/>
                    </a:prstGeom>
                    <a:noFill/>
                    <a:ln>
                      <a:noFill/>
                    </a:ln>
                  </pic:spPr>
                </pic:pic>
              </a:graphicData>
            </a:graphic>
          </wp:inline>
        </w:drawing>
      </w:r>
    </w:p>
    <w:p w14:paraId="0ACEC084" w14:textId="77777777" w:rsidR="00171A58" w:rsidRDefault="00171A58" w:rsidP="00171A58">
      <w:r>
        <w:t>Se realizará la revelación considerando la política 1.172 del Plan General de Contabilidad.</w:t>
      </w:r>
    </w:p>
    <w:p w14:paraId="38BC45EB" w14:textId="77777777" w:rsidR="00171A58" w:rsidRDefault="00171A58" w:rsidP="00171A58">
      <w:r>
        <w:t>a) las políticas contables adoptadas con relación a los costos por préstamos;</w:t>
      </w:r>
    </w:p>
    <w:p w14:paraId="29D32A87" w14:textId="77777777" w:rsidR="00171A58" w:rsidRDefault="00171A58" w:rsidP="00171A58">
      <w:r>
        <w:t>b) el importe de los costos por préstamos capitalizados durante el período; y</w:t>
      </w:r>
    </w:p>
    <w:p w14:paraId="251354F0" w14:textId="77777777" w:rsidR="00171A58" w:rsidRDefault="00171A58" w:rsidP="00171A58">
      <w:r>
        <w:t>c) la tasa de capitalización utilizada para determinar el importe de los costos por préstamos susceptibles de capitalización (si ha sido necesario aplicar una tasa de capitalización a los fondos obtenidos mediante un endeudamiento centralizado).</w:t>
      </w:r>
    </w:p>
    <w:p w14:paraId="733470BF" w14:textId="77777777" w:rsidR="008D70BB" w:rsidRDefault="000C3947" w:rsidP="008D70BB">
      <w:pPr>
        <w:spacing w:after="120" w:line="240" w:lineRule="auto"/>
        <w:rPr>
          <w:b/>
          <w:color w:val="FFFFFF" w:themeColor="background1"/>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p>
    <w:p w14:paraId="27E6ABE2" w14:textId="48976618" w:rsidR="008D70BB" w:rsidRDefault="008D70BB" w:rsidP="008D70BB">
      <w:pPr>
        <w:spacing w:after="120" w:line="240" w:lineRule="auto"/>
        <w:rPr>
          <w:rFonts w:eastAsia="Calibri"/>
          <w:szCs w:val="24"/>
        </w:rPr>
      </w:pPr>
      <w:r w:rsidRPr="003934D3">
        <w:rPr>
          <w:rFonts w:eastAsia="Calibri"/>
          <w:szCs w:val="24"/>
        </w:rPr>
        <w:lastRenderedPageBreak/>
        <w:t>La Municipalidad adoptó como políticas contables en relación con los costos por préstamos, que los mismos serán reconocidos como gastos en el periodo en que se incurran</w:t>
      </w:r>
      <w:r>
        <w:rPr>
          <w:rFonts w:eastAsia="Calibri"/>
          <w:szCs w:val="24"/>
        </w:rPr>
        <w:t xml:space="preserve">, </w:t>
      </w:r>
      <w:r w:rsidRPr="00CC7AA4">
        <w:rPr>
          <w:lang w:val="es-MX"/>
        </w:rPr>
        <w:t>con independencia de los activos a los que fuesen aplicables</w:t>
      </w:r>
      <w:r w:rsidRPr="003934D3">
        <w:rPr>
          <w:rFonts w:eastAsia="Calibri"/>
          <w:szCs w:val="24"/>
        </w:rPr>
        <w:t xml:space="preserve">. </w:t>
      </w:r>
    </w:p>
    <w:p w14:paraId="575CD272" w14:textId="77777777" w:rsidR="008D70BB" w:rsidRDefault="008D70BB" w:rsidP="008D70BB">
      <w:pPr>
        <w:spacing w:after="120" w:line="240" w:lineRule="auto"/>
        <w:rPr>
          <w:rFonts w:eastAsia="Calibri"/>
          <w:szCs w:val="24"/>
        </w:rPr>
      </w:pPr>
      <w:r w:rsidRPr="003934D3">
        <w:rPr>
          <w:rFonts w:eastAsia="Calibri"/>
          <w:szCs w:val="24"/>
        </w:rPr>
        <w:t>En el caso de</w:t>
      </w:r>
      <w:r w:rsidRPr="00CC7AA4">
        <w:rPr>
          <w:lang w:val="es-MX"/>
        </w:rPr>
        <w:t>l tratamiento alternativo</w:t>
      </w:r>
      <w:r>
        <w:rPr>
          <w:lang w:val="es-MX"/>
        </w:rPr>
        <w:t>,</w:t>
      </w:r>
      <w:r w:rsidRPr="003934D3">
        <w:rPr>
          <w:rFonts w:eastAsia="Calibri"/>
          <w:szCs w:val="24"/>
        </w:rPr>
        <w:t xml:space="preserve"> aquellos costos por préstamos incurridos durante el proceso de construcción de un activo</w:t>
      </w:r>
      <w:r>
        <w:rPr>
          <w:rFonts w:eastAsia="Calibri"/>
          <w:szCs w:val="24"/>
        </w:rPr>
        <w:t xml:space="preserve"> que pueden ser medidos confiablemente, que sean atribuibles a la adquisición o construcción de un activo y que esos costos resulten en beneficios económicos futuros o potencial de servicio para la Municipalidad, </w:t>
      </w:r>
      <w:r w:rsidRPr="003934D3">
        <w:rPr>
          <w:rFonts w:eastAsia="Calibri"/>
          <w:szCs w:val="24"/>
        </w:rPr>
        <w:t>serán capitalizados por lo que pasan a formar parte del costo del activo.</w:t>
      </w:r>
    </w:p>
    <w:p w14:paraId="7A1B03DE" w14:textId="7827BF66" w:rsidR="000C3947" w:rsidRDefault="000C3947" w:rsidP="000C3947">
      <w:pPr>
        <w:spacing w:line="240" w:lineRule="auto"/>
        <w:rPr>
          <w:b/>
          <w:u w:val="single"/>
        </w:rPr>
      </w:pPr>
    </w:p>
    <w:p w14:paraId="79704691" w14:textId="77777777" w:rsidR="000C3947" w:rsidRPr="003516A2" w:rsidRDefault="000C3947" w:rsidP="000C3947">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32C71069" w14:textId="77777777" w:rsidR="00614393" w:rsidRDefault="00614393" w:rsidP="00614393">
      <w:pPr>
        <w:spacing w:line="240" w:lineRule="auto"/>
        <w:rPr>
          <w:lang w:val="es-MX"/>
        </w:rPr>
      </w:pPr>
      <w:r>
        <w:rPr>
          <w:lang w:val="es-MX"/>
        </w:rPr>
        <w:t>Los costos por préstamos (intereses), se miden por el valor aplicable a la tasa de capitalización (promedio ponderado de los costos por préstamos aplicables a los préstamos generales pendientes de pago durante el periodo de informe), a los gastos incurridos durante el periodo, para determinar la cantidad de los costos por préstamos elegibles para capitalizar o a registrar en resultados.</w:t>
      </w:r>
    </w:p>
    <w:p w14:paraId="19CD4AB6" w14:textId="77777777" w:rsidR="00614393" w:rsidRDefault="00614393" w:rsidP="00614393">
      <w:pPr>
        <w:spacing w:line="240" w:lineRule="auto"/>
      </w:pPr>
      <w:r>
        <w:rPr>
          <w:lang w:val="es-MX"/>
        </w:rPr>
        <w:t>Los otros costos (descuentos o primas en préstamos y otros costos accesorios incurridos en el acuerdo de préstamo) se miden por el valor de las sumas por amortizar en el transcurso de la vida del préstamo utilizando al respecto el método de línea recta.</w:t>
      </w:r>
    </w:p>
    <w:p w14:paraId="429FDD29" w14:textId="44A74253" w:rsidR="00171A58" w:rsidRPr="00171A58" w:rsidRDefault="00171A58" w:rsidP="00171A58">
      <w:pPr>
        <w:rPr>
          <w:b/>
          <w:u w:val="single"/>
        </w:rPr>
      </w:pPr>
      <w:r w:rsidRPr="000C3947">
        <w:rPr>
          <w:b/>
          <w:color w:val="FFFFFF" w:themeColor="background1"/>
          <w:highlight w:val="darkBlue"/>
          <w:u w:val="single"/>
        </w:rPr>
        <w:t>Revelación</w:t>
      </w:r>
      <w:r w:rsidR="000C3947">
        <w:rPr>
          <w:b/>
          <w:color w:val="FFFFFF" w:themeColor="background1"/>
          <w:highlight w:val="darkBlue"/>
          <w:u w:val="single"/>
        </w:rPr>
        <w:t xml:space="preserve"> Suficiente</w:t>
      </w:r>
      <w:r w:rsidRPr="000C3947">
        <w:rPr>
          <w:b/>
          <w:color w:val="FFFFFF" w:themeColor="background1"/>
          <w:highlight w:val="darkBlue"/>
          <w:u w:val="single"/>
        </w:rPr>
        <w:t>:</w:t>
      </w:r>
      <w:r w:rsidRPr="00171A58">
        <w:rPr>
          <w:b/>
          <w:u w:val="single"/>
        </w:rPr>
        <w:t xml:space="preserve"> El ente debe </w:t>
      </w:r>
      <w:r w:rsidR="00482942">
        <w:rPr>
          <w:b/>
          <w:u w:val="single"/>
        </w:rPr>
        <w:t xml:space="preserve">revelar y </w:t>
      </w:r>
      <w:r w:rsidRPr="00171A58">
        <w:rPr>
          <w:b/>
          <w:u w:val="single"/>
        </w:rPr>
        <w:t xml:space="preserve">cumplir con lo estipulado en revelación </w:t>
      </w:r>
      <w:r w:rsidR="00482942">
        <w:rPr>
          <w:b/>
          <w:u w:val="single"/>
        </w:rPr>
        <w:t>conforme</w:t>
      </w:r>
      <w:r w:rsidRPr="00171A58">
        <w:rPr>
          <w:b/>
          <w:u w:val="single"/>
        </w:rPr>
        <w:t xml:space="preserve"> a la NICSP, también debe considerar la política general y los párrafos incluidos en la matriz de autoevaluación referente a esta NICSP y guías de aplicación (Ver revelación y guía de aplicación de la NICSP 5)  </w:t>
      </w:r>
    </w:p>
    <w:p w14:paraId="179FDEC4" w14:textId="77777777" w:rsidR="009A7924" w:rsidRPr="002446E9" w:rsidRDefault="009A7924" w:rsidP="009A7924">
      <w:pPr>
        <w:shd w:val="clear" w:color="auto" w:fill="FFFFFF"/>
        <w:spacing w:after="0" w:line="240" w:lineRule="auto"/>
        <w:ind w:right="6"/>
      </w:pPr>
      <w:r>
        <w:rPr>
          <w:sz w:val="23"/>
          <w:szCs w:val="23"/>
        </w:rPr>
        <w:t>Se debe reiterar que la Municipalidad aprovecha la exención del párrafo 36 que permite un periodo de dispensa transitorio de tres años</w:t>
      </w:r>
      <w:r w:rsidRPr="002446E9">
        <w:rPr>
          <w:sz w:val="23"/>
          <w:szCs w:val="23"/>
        </w:rPr>
        <w:t xml:space="preserve"> para el reconocimiento o medición de activos de acuerdo con las NICSP 16, 17, 27, 31 y 32, no se requiere que capitalice los costos por préstamos incurridos en activos que cumplen los requisitos con anterioridad al, o durante el, periodo de transición</w:t>
      </w:r>
      <w:r>
        <w:rPr>
          <w:sz w:val="23"/>
          <w:szCs w:val="23"/>
        </w:rPr>
        <w:t xml:space="preserve">. </w:t>
      </w:r>
      <w:r w:rsidRPr="00CC7AA4">
        <w:rPr>
          <w:lang w:val="es-MX"/>
        </w:rPr>
        <w:t xml:space="preserve">Bajo el tratamiento de referencia, </w:t>
      </w:r>
      <w:r>
        <w:rPr>
          <w:lang w:val="es-MX"/>
        </w:rPr>
        <w:t xml:space="preserve">como se indicó antes, </w:t>
      </w:r>
      <w:r w:rsidRPr="00CC7AA4">
        <w:rPr>
          <w:lang w:val="es-MX"/>
        </w:rPr>
        <w:t>los costos por préstamos se reconocen como gastos del periodo en que se incurre en ellos, con independencia de los activos a los que fuesen aplicables</w:t>
      </w:r>
    </w:p>
    <w:p w14:paraId="6B31D047" w14:textId="77777777" w:rsidR="009A7924" w:rsidRPr="003934D3" w:rsidRDefault="009A7924" w:rsidP="009A7924">
      <w:pPr>
        <w:spacing w:after="120" w:line="240" w:lineRule="auto"/>
        <w:rPr>
          <w:rFonts w:eastAsia="Calibri"/>
          <w:szCs w:val="24"/>
        </w:rPr>
      </w:pPr>
    </w:p>
    <w:p w14:paraId="71103424" w14:textId="77777777" w:rsidR="009A7924" w:rsidRPr="00385A6C" w:rsidRDefault="009A7924" w:rsidP="009A7924">
      <w:pPr>
        <w:shd w:val="clear" w:color="auto" w:fill="FFFFFF"/>
        <w:spacing w:after="0" w:line="240" w:lineRule="auto"/>
        <w:ind w:right="6"/>
        <w:rPr>
          <w:rFonts w:cs="Arial"/>
          <w:b/>
          <w:bCs/>
          <w:szCs w:val="24"/>
          <w:lang w:eastAsia="es-CR"/>
        </w:rPr>
      </w:pPr>
      <w:r w:rsidRPr="00385A6C">
        <w:rPr>
          <w:rFonts w:cs="Arial"/>
          <w:b/>
          <w:bCs/>
          <w:szCs w:val="24"/>
          <w:lang w:eastAsia="es-CR"/>
        </w:rPr>
        <w:t>Otras Revelaciones</w:t>
      </w:r>
    </w:p>
    <w:p w14:paraId="15AD4F21" w14:textId="77777777" w:rsidR="009A7924" w:rsidRDefault="009A7924" w:rsidP="009A7924">
      <w:pPr>
        <w:shd w:val="clear" w:color="auto" w:fill="FFFFFF"/>
        <w:spacing w:after="0" w:line="240" w:lineRule="auto"/>
        <w:ind w:right="6"/>
        <w:rPr>
          <w:rFonts w:cs="Arial"/>
          <w:szCs w:val="24"/>
          <w:lang w:eastAsia="es-CR"/>
        </w:rPr>
      </w:pPr>
    </w:p>
    <w:p w14:paraId="34C156D1" w14:textId="77777777" w:rsidR="009A7924" w:rsidRPr="002E3B01" w:rsidRDefault="009A7924" w:rsidP="009A7924">
      <w:pPr>
        <w:shd w:val="clear" w:color="auto" w:fill="FFFFFF"/>
        <w:spacing w:after="0" w:line="240" w:lineRule="auto"/>
        <w:ind w:right="6"/>
        <w:rPr>
          <w:rFonts w:cs="Arial"/>
          <w:szCs w:val="24"/>
          <w:lang w:eastAsia="es-CR"/>
        </w:rPr>
      </w:pPr>
      <w:r w:rsidRPr="002E3B01">
        <w:rPr>
          <w:rFonts w:cs="Arial"/>
          <w:szCs w:val="24"/>
          <w:lang w:eastAsia="es-CR"/>
        </w:rPr>
        <w:t>La Municipalidad de Buenos Aires suscribió un contrato de préstamo con el Instituto de Fomento y Asesoría Municipal (IFAM) el 19 de enero de 2019, según operación Nº 6-CVL-1457-0718, para el mejoramiento de la red vial cantonal, compra de maquinaria, inventario de vías y estudios de pre-inversión para la construcción del plantel municipal y oficinas de la Unidad Técnica de Gestión Vial y Asfaltado.</w:t>
      </w:r>
    </w:p>
    <w:p w14:paraId="782C61BF" w14:textId="77777777" w:rsidR="009A7924" w:rsidRPr="009A7924" w:rsidRDefault="009A7924" w:rsidP="009A7924">
      <w:pPr>
        <w:shd w:val="clear" w:color="auto" w:fill="FFFFFF"/>
        <w:spacing w:after="0" w:line="240" w:lineRule="auto"/>
        <w:ind w:right="6"/>
        <w:rPr>
          <w:rFonts w:cs="Arial"/>
          <w:szCs w:val="24"/>
          <w:highlight w:val="yellow"/>
          <w:lang w:eastAsia="es-CR"/>
        </w:rPr>
      </w:pPr>
    </w:p>
    <w:p w14:paraId="59AEC3B6" w14:textId="77777777" w:rsidR="009A7924" w:rsidRPr="002E3B01" w:rsidRDefault="009A7924" w:rsidP="009A7924">
      <w:pPr>
        <w:shd w:val="clear" w:color="auto" w:fill="FFFFFF"/>
        <w:spacing w:after="0" w:line="240" w:lineRule="auto"/>
        <w:ind w:right="6"/>
        <w:rPr>
          <w:rFonts w:cs="Arial"/>
          <w:szCs w:val="24"/>
          <w:lang w:eastAsia="es-CR"/>
        </w:rPr>
      </w:pPr>
      <w:r w:rsidRPr="002E3B01">
        <w:rPr>
          <w:rFonts w:cs="Arial"/>
          <w:szCs w:val="24"/>
          <w:lang w:eastAsia="es-CR"/>
        </w:rPr>
        <w:t xml:space="preserve">De acuerdo con lo consignado en dicho contrato, el préstamo contraído con el IFAM es por la suma de ¢3.563.088,50 miles de colones el plazo de amortización y del préstamo es de 7 años; pagadero en 28 cuotas trimestrales. La tasa de interés ordinaria es del 7% anal fija sobre saldos. Además, en la Cláusula SÉTIMA del contrato se establece que los desembolsos se girarán en tractos directamente a la Municipalidad a solicitud del representante legal. Además, se establece en el citado contrato que </w:t>
      </w:r>
      <w:r w:rsidRPr="002E3B01">
        <w:rPr>
          <w:rFonts w:cs="Arial"/>
          <w:szCs w:val="24"/>
          <w:lang w:eastAsia="es-CR"/>
        </w:rPr>
        <w:lastRenderedPageBreak/>
        <w:t>la Municipalidad debe cancelar la suma de ¢17 815,44 miles de colones por concepto de comisión de formalización la cual se rebajaría en el primer desembolso.</w:t>
      </w:r>
    </w:p>
    <w:p w14:paraId="2097098A" w14:textId="77777777" w:rsidR="009A7924" w:rsidRPr="009A7924" w:rsidRDefault="009A7924" w:rsidP="009A7924">
      <w:pPr>
        <w:shd w:val="clear" w:color="auto" w:fill="FFFFFF"/>
        <w:spacing w:after="0" w:line="240" w:lineRule="auto"/>
        <w:ind w:right="6"/>
        <w:rPr>
          <w:rFonts w:cs="Arial"/>
          <w:szCs w:val="24"/>
          <w:highlight w:val="yellow"/>
          <w:lang w:eastAsia="es-CR"/>
        </w:rPr>
      </w:pPr>
      <w:r w:rsidRPr="009A7924">
        <w:rPr>
          <w:rFonts w:cs="Arial"/>
          <w:szCs w:val="24"/>
          <w:highlight w:val="yellow"/>
          <w:lang w:eastAsia="es-CR"/>
        </w:rPr>
        <w:t xml:space="preserve"> </w:t>
      </w:r>
    </w:p>
    <w:p w14:paraId="5D55C69A" w14:textId="2157DF7C" w:rsidR="009A7924" w:rsidRPr="002E3B01" w:rsidRDefault="009A7924" w:rsidP="009A7924">
      <w:pPr>
        <w:spacing w:after="0" w:line="240" w:lineRule="auto"/>
        <w:rPr>
          <w:rFonts w:cs="Arial"/>
          <w:szCs w:val="24"/>
          <w:lang w:eastAsia="es-CR"/>
        </w:rPr>
      </w:pPr>
      <w:r w:rsidRPr="002E3B01">
        <w:rPr>
          <w:rFonts w:cs="Arial"/>
          <w:szCs w:val="24"/>
          <w:lang w:eastAsia="es-CR"/>
        </w:rPr>
        <w:t xml:space="preserve">En ese sentido y tal como se muestra en el cuadro siguiente del monto de préstamo por ¢3.563.088,50 miles de colones, al </w:t>
      </w:r>
      <w:r w:rsidR="00796636" w:rsidRPr="002E3B01">
        <w:rPr>
          <w:rFonts w:cs="Arial"/>
          <w:szCs w:val="24"/>
          <w:lang w:eastAsia="es-CR"/>
        </w:rPr>
        <w:t>31</w:t>
      </w:r>
      <w:r w:rsidRPr="002E3B01">
        <w:rPr>
          <w:rFonts w:cs="Arial"/>
          <w:szCs w:val="24"/>
          <w:lang w:eastAsia="es-CR"/>
        </w:rPr>
        <w:t xml:space="preserve"> de </w:t>
      </w:r>
      <w:r w:rsidR="00D64CF8" w:rsidRPr="002E3B01">
        <w:rPr>
          <w:rFonts w:cs="Arial"/>
          <w:szCs w:val="24"/>
          <w:lang w:eastAsia="es-CR"/>
        </w:rPr>
        <w:t>diciembre</w:t>
      </w:r>
      <w:r w:rsidRPr="002E3B01">
        <w:rPr>
          <w:rFonts w:cs="Arial"/>
          <w:szCs w:val="24"/>
          <w:lang w:eastAsia="es-CR"/>
        </w:rPr>
        <w:t xml:space="preserve"> de 2024 la Municipalidad ha recibido a esa fecha de cierre de </w:t>
      </w:r>
      <w:r w:rsidR="008A3372">
        <w:rPr>
          <w:rFonts w:cs="Arial"/>
          <w:szCs w:val="24"/>
          <w:lang w:eastAsia="es-CR"/>
        </w:rPr>
        <w:t>estos estados financieros la suma de ¢3.221.370,86</w:t>
      </w:r>
      <w:r w:rsidRPr="002E3B01">
        <w:rPr>
          <w:rFonts w:cs="Arial"/>
          <w:szCs w:val="24"/>
          <w:lang w:eastAsia="es-CR"/>
        </w:rPr>
        <w:t xml:space="preserve"> miles de colones y de esa suma aún se adeuda un monto de ¢</w:t>
      </w:r>
      <w:r w:rsidR="002E3B01" w:rsidRPr="002E3B01">
        <w:rPr>
          <w:rFonts w:cs="Arial"/>
          <w:szCs w:val="24"/>
          <w:lang w:eastAsia="es-CR"/>
        </w:rPr>
        <w:t>2.115.032.77</w:t>
      </w:r>
      <w:r w:rsidRPr="002E3B01">
        <w:rPr>
          <w:rFonts w:cs="Arial"/>
          <w:szCs w:val="24"/>
          <w:lang w:eastAsia="es-CR"/>
        </w:rPr>
        <w:t xml:space="preserve"> miles como se muestra en el siguiente cuadro.</w:t>
      </w:r>
    </w:p>
    <w:p w14:paraId="23EC28AC" w14:textId="55B82EC0" w:rsidR="009A7924" w:rsidRDefault="009A7924" w:rsidP="009A7924">
      <w:pPr>
        <w:spacing w:after="0" w:line="240" w:lineRule="auto"/>
        <w:ind w:right="51"/>
      </w:pPr>
    </w:p>
    <w:p w14:paraId="35E1233B" w14:textId="4C0E302E" w:rsidR="009A7924" w:rsidRDefault="002E3B01" w:rsidP="009A7924">
      <w:pPr>
        <w:spacing w:after="0" w:line="240" w:lineRule="auto"/>
        <w:rPr>
          <w:rFonts w:eastAsia="Calibri"/>
          <w:szCs w:val="24"/>
        </w:rPr>
      </w:pPr>
      <w:r w:rsidRPr="002E3B01">
        <w:rPr>
          <w:noProof/>
          <w:lang w:eastAsia="es-CR"/>
        </w:rPr>
        <w:drawing>
          <wp:inline distT="0" distB="0" distL="0" distR="0" wp14:anchorId="2F82708B" wp14:editId="7804A0B4">
            <wp:extent cx="6078220" cy="981075"/>
            <wp:effectExtent l="0" t="0" r="0" b="9525"/>
            <wp:docPr id="196558998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0103" cy="981379"/>
                    </a:xfrm>
                    <a:prstGeom prst="rect">
                      <a:avLst/>
                    </a:prstGeom>
                    <a:noFill/>
                    <a:ln>
                      <a:noFill/>
                    </a:ln>
                  </pic:spPr>
                </pic:pic>
              </a:graphicData>
            </a:graphic>
          </wp:inline>
        </w:drawing>
      </w:r>
    </w:p>
    <w:p w14:paraId="440EC9C1" w14:textId="77777777" w:rsidR="002E3B01" w:rsidRDefault="002E3B01" w:rsidP="009A7924">
      <w:pPr>
        <w:spacing w:after="0" w:line="240" w:lineRule="auto"/>
        <w:rPr>
          <w:rFonts w:eastAsia="Calibri"/>
          <w:szCs w:val="24"/>
        </w:rPr>
      </w:pPr>
    </w:p>
    <w:p w14:paraId="1911529F" w14:textId="77777777" w:rsidR="009A7924" w:rsidRPr="005C6BF2" w:rsidRDefault="009A7924" w:rsidP="009A7924">
      <w:pPr>
        <w:spacing w:after="120" w:line="240" w:lineRule="auto"/>
        <w:rPr>
          <w:rFonts w:eastAsia="Calibri"/>
          <w:szCs w:val="24"/>
        </w:rPr>
      </w:pPr>
      <w:r w:rsidRPr="005C6BF2">
        <w:rPr>
          <w:rFonts w:eastAsia="Calibri"/>
          <w:szCs w:val="24"/>
        </w:rPr>
        <w:t>Por otra parte, durante el periodo informado la Municipalidad no ha incurrido en el pago de importes de los costos por préstamos que correspondan ser capitalizados.</w:t>
      </w:r>
    </w:p>
    <w:p w14:paraId="489B5C7A" w14:textId="77777777" w:rsidR="009A7924" w:rsidRPr="005C6BF2" w:rsidRDefault="009A7924" w:rsidP="009A7924">
      <w:pPr>
        <w:spacing w:after="120" w:line="240" w:lineRule="auto"/>
        <w:rPr>
          <w:rFonts w:eastAsia="Calibri"/>
          <w:szCs w:val="24"/>
        </w:rPr>
      </w:pPr>
      <w:r w:rsidRPr="005C6BF2">
        <w:rPr>
          <w:rFonts w:eastAsia="Calibri"/>
          <w:szCs w:val="24"/>
        </w:rPr>
        <w:t>Finalmente, de acuerdo con lo indicado en el inciso anterior no fue necesario aplicar ninguna tasa de capitalización para determinar el importe de los costos por préstamos susceptibles de capitalización.</w:t>
      </w:r>
    </w:p>
    <w:p w14:paraId="5F6E74B0" w14:textId="77777777" w:rsidR="000C3947" w:rsidRDefault="000C3947" w:rsidP="00171A58"/>
    <w:p w14:paraId="6B8B43A5" w14:textId="269CAAF0" w:rsidR="000B04D8" w:rsidRPr="00A649A4" w:rsidRDefault="000B04D8" w:rsidP="00791EEB">
      <w:pPr>
        <w:pStyle w:val="Ttulo2"/>
        <w:spacing w:after="240"/>
        <w:rPr>
          <w:rFonts w:eastAsia="Times New Roman"/>
          <w:lang w:eastAsia="es-CR"/>
        </w:rPr>
      </w:pPr>
      <w:bookmarkStart w:id="37" w:name="_Toc54961675"/>
      <w:bookmarkStart w:id="38" w:name="_Toc82768871"/>
      <w:bookmarkStart w:id="39" w:name="_Toc189804787"/>
      <w:r w:rsidRPr="000B04D8">
        <w:rPr>
          <w:rFonts w:eastAsia="Times New Roman"/>
          <w:lang w:eastAsia="es-CR"/>
        </w:rPr>
        <w:t>NICSP 9- INGRESOS DE TRANSACCIONES CON CONTRAPRESTACIÓN (DE APLICACIÓN OBLIGATORIA):</w:t>
      </w:r>
      <w:bookmarkEnd w:id="37"/>
      <w:bookmarkEnd w:id="38"/>
      <w:bookmarkEnd w:id="39"/>
      <w:r w:rsidRPr="000B04D8">
        <w:rPr>
          <w:rFonts w:eastAsia="Times New Roman"/>
          <w:lang w:eastAsia="es-CR"/>
        </w:rPr>
        <w:t xml:space="preserve"> </w:t>
      </w:r>
    </w:p>
    <w:p w14:paraId="6CF9B323" w14:textId="77777777" w:rsidR="00396CB4" w:rsidRDefault="00FB0858" w:rsidP="002D5C33">
      <w:pPr>
        <w:rPr>
          <w:rFonts w:asciiTheme="minorHAnsi" w:hAnsiTheme="minorHAnsi"/>
          <w:sz w:val="22"/>
        </w:rPr>
      </w:pPr>
      <w:bookmarkStart w:id="40" w:name="_Hlk123586132"/>
      <w:r w:rsidRPr="00FB0858">
        <w:t>De acuerdo con la NICSP 9- Ingresos de transacciones con contraprestación</w:t>
      </w:r>
      <w:r>
        <w:t>, i</w:t>
      </w:r>
      <w:r w:rsidR="000B04D8">
        <w:t xml:space="preserve">ndicar si este rubro afecta SI o NO a la institución, </w:t>
      </w:r>
      <w:r w:rsidR="00405DBC" w:rsidRPr="00405DBC">
        <w:t>además del porcentaje de avance</w:t>
      </w:r>
      <w:r w:rsidR="00405DBC">
        <w:t xml:space="preserve"> en la implementación</w:t>
      </w:r>
      <w:r w:rsidR="00405DBC" w:rsidRPr="00405DBC">
        <w:t xml:space="preserve"> que presenta</w:t>
      </w:r>
      <w:r w:rsidR="00D16DB1">
        <w:t>.</w:t>
      </w:r>
      <w:r w:rsidR="0025405A">
        <w:fldChar w:fldCharType="begin"/>
      </w:r>
      <w:r w:rsidR="0025405A">
        <w:instrText xml:space="preserve"> LINK </w:instrText>
      </w:r>
      <w:r w:rsidR="00756467">
        <w:instrText xml:space="preserve">Excel.SheetMacroEnabled.12 "C:\\Users\\gcordero\\Downloads\\Notas diciembre 2024\\Formato_Notas_EEFF_Vinculadas_2024\\Formato_Notas_EEFF_Vinculadas_2024\\15603_T04_2024_Anexo_Estado_Notas_Contables_Vinculadas.xlsm" NICSP_9!F9C3:F10C4 </w:instrText>
      </w:r>
      <w:r w:rsidR="0025405A">
        <w:instrText xml:space="preserve">\a \f 4 \h </w:instrText>
      </w:r>
      <w:r w:rsidR="0025405A">
        <w:fldChar w:fldCharType="separate"/>
      </w:r>
    </w:p>
    <w:tbl>
      <w:tblPr>
        <w:tblpPr w:leftFromText="141" w:rightFromText="141" w:vertAnchor="text" w:tblpY="1"/>
        <w:tblOverlap w:val="never"/>
        <w:tblW w:w="4260" w:type="dxa"/>
        <w:tblCellMar>
          <w:left w:w="70" w:type="dxa"/>
          <w:right w:w="70" w:type="dxa"/>
        </w:tblCellMar>
        <w:tblLook w:val="04A0" w:firstRow="1" w:lastRow="0" w:firstColumn="1" w:lastColumn="0" w:noHBand="0" w:noVBand="1"/>
      </w:tblPr>
      <w:tblGrid>
        <w:gridCol w:w="2500"/>
        <w:gridCol w:w="1760"/>
      </w:tblGrid>
      <w:tr w:rsidR="00396CB4" w:rsidRPr="00396CB4" w14:paraId="40CB330B" w14:textId="77777777" w:rsidTr="00745266">
        <w:trPr>
          <w:divId w:val="1992715636"/>
          <w:trHeight w:val="345"/>
        </w:trPr>
        <w:tc>
          <w:tcPr>
            <w:tcW w:w="250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1169AFE6" w14:textId="68465362" w:rsidR="00396CB4" w:rsidRPr="00396CB4" w:rsidRDefault="00396CB4" w:rsidP="00745266">
            <w:pPr>
              <w:rPr>
                <w:rFonts w:eastAsia="Times New Roman" w:cs="Calibri"/>
                <w:color w:val="FFFFFF"/>
                <w:szCs w:val="24"/>
                <w:lang w:eastAsia="es-CR"/>
              </w:rPr>
            </w:pPr>
            <w:r w:rsidRPr="00396CB4">
              <w:rPr>
                <w:rFonts w:eastAsia="Times New Roman" w:cs="Calibri"/>
                <w:color w:val="FFFFFF"/>
                <w:szCs w:val="24"/>
                <w:lang w:eastAsia="es-CR"/>
              </w:rPr>
              <w:t>Aplica</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8DCBAB" w14:textId="77777777" w:rsidR="00396CB4" w:rsidRPr="00396CB4" w:rsidRDefault="00396CB4" w:rsidP="00745266">
            <w:pPr>
              <w:spacing w:after="0" w:line="240" w:lineRule="auto"/>
              <w:jc w:val="center"/>
              <w:rPr>
                <w:rFonts w:eastAsia="Times New Roman" w:cs="Calibri"/>
                <w:color w:val="000000"/>
                <w:sz w:val="22"/>
                <w:lang w:eastAsia="es-CR"/>
              </w:rPr>
            </w:pPr>
            <w:r w:rsidRPr="00396CB4">
              <w:rPr>
                <w:rFonts w:eastAsia="Times New Roman" w:cs="Calibri"/>
                <w:color w:val="000000"/>
                <w:sz w:val="22"/>
                <w:lang w:eastAsia="es-CR"/>
              </w:rPr>
              <w:t>Si</w:t>
            </w:r>
          </w:p>
        </w:tc>
      </w:tr>
      <w:tr w:rsidR="00396CB4" w:rsidRPr="00396CB4" w14:paraId="54DAC863" w14:textId="77777777" w:rsidTr="00745266">
        <w:trPr>
          <w:divId w:val="1992715636"/>
          <w:trHeight w:val="345"/>
        </w:trPr>
        <w:tc>
          <w:tcPr>
            <w:tcW w:w="2500" w:type="dxa"/>
            <w:tcBorders>
              <w:top w:val="nil"/>
              <w:left w:val="single" w:sz="8" w:space="0" w:color="auto"/>
              <w:bottom w:val="single" w:sz="8" w:space="0" w:color="auto"/>
              <w:right w:val="single" w:sz="8" w:space="0" w:color="auto"/>
            </w:tcBorders>
            <w:shd w:val="clear" w:color="000000" w:fill="17365D"/>
            <w:vAlign w:val="center"/>
            <w:hideMark/>
          </w:tcPr>
          <w:p w14:paraId="4E71F141" w14:textId="77777777" w:rsidR="00396CB4" w:rsidRPr="00396CB4" w:rsidRDefault="00396CB4" w:rsidP="00745266">
            <w:pPr>
              <w:spacing w:after="0" w:line="240" w:lineRule="auto"/>
              <w:jc w:val="left"/>
              <w:rPr>
                <w:rFonts w:eastAsia="Times New Roman" w:cs="Calibri"/>
                <w:color w:val="FFFFFF"/>
                <w:szCs w:val="24"/>
                <w:lang w:eastAsia="es-CR"/>
              </w:rPr>
            </w:pPr>
            <w:proofErr w:type="spellStart"/>
            <w:r w:rsidRPr="00396CB4">
              <w:rPr>
                <w:rFonts w:eastAsia="Times New Roman" w:cs="Calibri"/>
                <w:color w:val="FFFFFF"/>
                <w:szCs w:val="24"/>
                <w:lang w:eastAsia="es-CR"/>
              </w:rPr>
              <w:t>Porcentaje_Avance</w:t>
            </w:r>
            <w:proofErr w:type="spellEnd"/>
          </w:p>
        </w:tc>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044136AA" w14:textId="77777777" w:rsidR="00396CB4" w:rsidRPr="00396CB4" w:rsidRDefault="00396CB4" w:rsidP="00745266">
            <w:pPr>
              <w:spacing w:after="0" w:line="240" w:lineRule="auto"/>
              <w:jc w:val="center"/>
              <w:rPr>
                <w:rFonts w:eastAsia="Times New Roman" w:cs="Calibri"/>
                <w:color w:val="000000"/>
                <w:sz w:val="22"/>
                <w:lang w:eastAsia="es-CR"/>
              </w:rPr>
            </w:pPr>
            <w:r w:rsidRPr="00396CB4">
              <w:rPr>
                <w:rFonts w:eastAsia="Times New Roman" w:cs="Calibri"/>
                <w:color w:val="000000"/>
                <w:sz w:val="22"/>
                <w:lang w:eastAsia="es-CR"/>
              </w:rPr>
              <w:t>100,00%</w:t>
            </w:r>
          </w:p>
        </w:tc>
      </w:tr>
    </w:tbl>
    <w:p w14:paraId="2DA5CED9" w14:textId="1A444696" w:rsidR="000B04D8" w:rsidRPr="00C35565" w:rsidRDefault="0025405A" w:rsidP="002D5C33">
      <w:pPr>
        <w:rPr>
          <w:b/>
          <w:sz w:val="16"/>
          <w:szCs w:val="16"/>
          <w:lang w:eastAsia="es-CR"/>
        </w:rPr>
      </w:pPr>
      <w:r>
        <w:fldChar w:fldCharType="end"/>
      </w:r>
      <w:r w:rsidR="00745266">
        <w:br w:type="textWrapping" w:clear="all"/>
      </w:r>
      <w:r>
        <w:t xml:space="preserve">                                  </w:t>
      </w:r>
      <w:r w:rsidR="000B04D8" w:rsidRPr="00C35565">
        <w:rPr>
          <w:b/>
          <w:sz w:val="16"/>
          <w:szCs w:val="16"/>
          <w:lang w:eastAsia="es-CR"/>
        </w:rPr>
        <w:t>-Aplicación Obligatoria-</w:t>
      </w:r>
    </w:p>
    <w:bookmarkEnd w:id="40"/>
    <w:p w14:paraId="64D3E0AB" w14:textId="77777777" w:rsidR="00396CB4" w:rsidRPr="00396CB4" w:rsidRDefault="000B04D8" w:rsidP="00CD3A05">
      <w:pPr>
        <w:rPr>
          <w:lang w:eastAsia="es-CR"/>
        </w:rPr>
      </w:pPr>
      <w:r w:rsidRPr="00AD752F">
        <w:rPr>
          <w:lang w:eastAsia="es-CR"/>
        </w:rPr>
        <w:t>Describir los tiempos del devengo en los principales ingresos de transacciones con contraprestación</w:t>
      </w:r>
      <w:r w:rsidR="002D5C33">
        <w:rPr>
          <w:lang w:eastAsia="es-CR"/>
        </w:rPr>
        <w:fldChar w:fldCharType="begin"/>
      </w:r>
      <w:r w:rsidR="002D5C33">
        <w:rPr>
          <w:lang w:eastAsia="es-CR"/>
        </w:rPr>
        <w:instrText xml:space="preserve"> LINK </w:instrText>
      </w:r>
      <w:r w:rsidR="00756467">
        <w:rPr>
          <w:lang w:eastAsia="es-CR"/>
        </w:rPr>
        <w:instrText xml:space="preserve">Excel.SheetMacroEnabled.12 "C:\\Users\\gcordero\\Downloads\\Notas diciembre 2024\\Formato_Notas_EEFF_Vinculadas_2024\\Formato_Notas_EEFF_Vinculadas_2024\\15603_T04_2024_Anexo_Estado_Notas_Contables_Vinculadas.xlsm" NICSP_9!F9C6:F18C7 </w:instrText>
      </w:r>
      <w:r w:rsidR="002D5C33">
        <w:rPr>
          <w:lang w:eastAsia="es-CR"/>
        </w:rPr>
        <w:instrText xml:space="preserve">\a \f 4 \h  \* MERGEFORMAT </w:instrText>
      </w:r>
      <w:r w:rsidR="002D5C33">
        <w:rPr>
          <w:lang w:eastAsia="es-CR"/>
        </w:rPr>
        <w:fldChar w:fldCharType="separate"/>
      </w:r>
    </w:p>
    <w:tbl>
      <w:tblPr>
        <w:tblW w:w="8339" w:type="dxa"/>
        <w:jc w:val="center"/>
        <w:tblCellMar>
          <w:left w:w="70" w:type="dxa"/>
          <w:right w:w="70" w:type="dxa"/>
        </w:tblCellMar>
        <w:tblLook w:val="04A0" w:firstRow="1" w:lastRow="0" w:firstColumn="1" w:lastColumn="0" w:noHBand="0" w:noVBand="1"/>
      </w:tblPr>
      <w:tblGrid>
        <w:gridCol w:w="3473"/>
        <w:gridCol w:w="4866"/>
      </w:tblGrid>
      <w:tr w:rsidR="00396CB4" w:rsidRPr="00396CB4" w14:paraId="60993265" w14:textId="77777777" w:rsidTr="00396CB4">
        <w:trPr>
          <w:divId w:val="778254055"/>
          <w:trHeight w:val="293"/>
          <w:jc w:val="center"/>
        </w:trPr>
        <w:tc>
          <w:tcPr>
            <w:tcW w:w="3473" w:type="dxa"/>
            <w:tcBorders>
              <w:top w:val="single" w:sz="4" w:space="0" w:color="auto"/>
              <w:left w:val="single" w:sz="4" w:space="0" w:color="auto"/>
              <w:bottom w:val="single" w:sz="4" w:space="0" w:color="auto"/>
              <w:right w:val="single" w:sz="4" w:space="0" w:color="auto"/>
            </w:tcBorders>
            <w:shd w:val="clear" w:color="000000" w:fill="1F3864"/>
            <w:noWrap/>
            <w:vAlign w:val="center"/>
            <w:hideMark/>
          </w:tcPr>
          <w:p w14:paraId="5925C455" w14:textId="638AF488" w:rsidR="00396CB4" w:rsidRPr="00396CB4" w:rsidRDefault="00396CB4" w:rsidP="00396CB4">
            <w:pPr>
              <w:spacing w:after="0" w:line="240" w:lineRule="auto"/>
              <w:jc w:val="center"/>
              <w:rPr>
                <w:rFonts w:eastAsia="Times New Roman" w:cs="Calibri"/>
                <w:color w:val="FFFFFF"/>
                <w:sz w:val="22"/>
                <w:lang w:eastAsia="es-CR"/>
              </w:rPr>
            </w:pPr>
            <w:r w:rsidRPr="00396CB4">
              <w:rPr>
                <w:rFonts w:eastAsia="Times New Roman" w:cs="Calibri"/>
                <w:color w:val="FFFFFF"/>
                <w:sz w:val="22"/>
                <w:lang w:eastAsia="es-CR"/>
              </w:rPr>
              <w:t>TIPO DE INGRESO</w:t>
            </w:r>
          </w:p>
        </w:tc>
        <w:tc>
          <w:tcPr>
            <w:tcW w:w="4866" w:type="dxa"/>
            <w:tcBorders>
              <w:top w:val="single" w:sz="4" w:space="0" w:color="auto"/>
              <w:left w:val="nil"/>
              <w:bottom w:val="single" w:sz="4" w:space="0" w:color="auto"/>
              <w:right w:val="single" w:sz="4" w:space="0" w:color="auto"/>
            </w:tcBorders>
            <w:shd w:val="clear" w:color="000000" w:fill="1F3864"/>
            <w:noWrap/>
            <w:vAlign w:val="center"/>
            <w:hideMark/>
          </w:tcPr>
          <w:p w14:paraId="18E9E8EB" w14:textId="77777777" w:rsidR="00396CB4" w:rsidRPr="00396CB4" w:rsidRDefault="00396CB4" w:rsidP="00396CB4">
            <w:pPr>
              <w:spacing w:after="0" w:line="240" w:lineRule="auto"/>
              <w:jc w:val="center"/>
              <w:rPr>
                <w:rFonts w:eastAsia="Times New Roman" w:cs="Calibri"/>
                <w:color w:val="FFFFFF"/>
                <w:sz w:val="22"/>
                <w:lang w:eastAsia="es-CR"/>
              </w:rPr>
            </w:pPr>
            <w:r w:rsidRPr="00396CB4">
              <w:rPr>
                <w:rFonts w:eastAsia="Times New Roman" w:cs="Calibri"/>
                <w:color w:val="FFFFFF"/>
                <w:sz w:val="22"/>
                <w:lang w:eastAsia="es-CR"/>
              </w:rPr>
              <w:t>TIEMPOS DEL DEVENGO:</w:t>
            </w:r>
          </w:p>
        </w:tc>
      </w:tr>
      <w:tr w:rsidR="00396CB4" w:rsidRPr="00396CB4" w14:paraId="69F5E0B2" w14:textId="77777777" w:rsidTr="00396CB4">
        <w:trPr>
          <w:divId w:val="778254055"/>
          <w:trHeight w:val="293"/>
          <w:jc w:val="center"/>
        </w:trPr>
        <w:tc>
          <w:tcPr>
            <w:tcW w:w="3473" w:type="dxa"/>
            <w:tcBorders>
              <w:top w:val="nil"/>
              <w:left w:val="single" w:sz="4" w:space="0" w:color="auto"/>
              <w:bottom w:val="single" w:sz="4" w:space="0" w:color="auto"/>
              <w:right w:val="single" w:sz="4" w:space="0" w:color="auto"/>
            </w:tcBorders>
            <w:shd w:val="clear" w:color="000000" w:fill="1F3864"/>
            <w:vAlign w:val="center"/>
            <w:hideMark/>
          </w:tcPr>
          <w:p w14:paraId="702F4147" w14:textId="77777777" w:rsidR="00396CB4" w:rsidRPr="00396CB4" w:rsidRDefault="00396CB4" w:rsidP="00396CB4">
            <w:pPr>
              <w:spacing w:after="0" w:line="240" w:lineRule="auto"/>
              <w:jc w:val="left"/>
              <w:rPr>
                <w:rFonts w:eastAsia="Times New Roman" w:cs="Calibri"/>
                <w:color w:val="FFFFFF"/>
                <w:sz w:val="22"/>
                <w:lang w:eastAsia="es-CR"/>
              </w:rPr>
            </w:pPr>
            <w:r w:rsidRPr="00396CB4">
              <w:rPr>
                <w:rFonts w:eastAsia="Times New Roman" w:cs="Calibri"/>
                <w:color w:val="FFFFFF"/>
                <w:sz w:val="22"/>
                <w:lang w:eastAsia="es-CR"/>
              </w:rPr>
              <w:t>Servicios de saneamiento ambiental</w:t>
            </w:r>
          </w:p>
        </w:tc>
        <w:tc>
          <w:tcPr>
            <w:tcW w:w="4866" w:type="dxa"/>
            <w:tcBorders>
              <w:top w:val="nil"/>
              <w:left w:val="nil"/>
              <w:bottom w:val="single" w:sz="4" w:space="0" w:color="auto"/>
              <w:right w:val="single" w:sz="4" w:space="0" w:color="auto"/>
            </w:tcBorders>
            <w:shd w:val="clear" w:color="auto" w:fill="auto"/>
            <w:noWrap/>
            <w:vAlign w:val="center"/>
            <w:hideMark/>
          </w:tcPr>
          <w:p w14:paraId="5FE832E8"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Trimestre vencido (abril, julio, octubre y enero)</w:t>
            </w:r>
          </w:p>
        </w:tc>
      </w:tr>
      <w:tr w:rsidR="00396CB4" w:rsidRPr="00396CB4" w14:paraId="0BA61EB7" w14:textId="77777777" w:rsidTr="00396CB4">
        <w:trPr>
          <w:divId w:val="778254055"/>
          <w:trHeight w:val="250"/>
          <w:jc w:val="center"/>
        </w:trPr>
        <w:tc>
          <w:tcPr>
            <w:tcW w:w="3473" w:type="dxa"/>
            <w:tcBorders>
              <w:top w:val="nil"/>
              <w:left w:val="single" w:sz="4" w:space="0" w:color="auto"/>
              <w:bottom w:val="single" w:sz="4" w:space="0" w:color="auto"/>
              <w:right w:val="single" w:sz="4" w:space="0" w:color="auto"/>
            </w:tcBorders>
            <w:shd w:val="clear" w:color="000000" w:fill="1F3864"/>
            <w:noWrap/>
            <w:vAlign w:val="center"/>
            <w:hideMark/>
          </w:tcPr>
          <w:p w14:paraId="18B9F484" w14:textId="77777777" w:rsidR="00396CB4" w:rsidRPr="00396CB4" w:rsidRDefault="00396CB4" w:rsidP="00396CB4">
            <w:pPr>
              <w:spacing w:after="0" w:line="240" w:lineRule="auto"/>
              <w:jc w:val="left"/>
              <w:rPr>
                <w:rFonts w:eastAsia="Times New Roman" w:cs="Calibri"/>
                <w:color w:val="FFFFFF"/>
                <w:sz w:val="22"/>
                <w:lang w:eastAsia="es-CR"/>
              </w:rPr>
            </w:pPr>
            <w:r w:rsidRPr="00396CB4">
              <w:rPr>
                <w:rFonts w:eastAsia="Times New Roman" w:cs="Calibri"/>
                <w:color w:val="FFFFFF"/>
                <w:sz w:val="22"/>
                <w:lang w:eastAsia="es-CR"/>
              </w:rPr>
              <w:t>Otros servicios comunitarios CECUDI</w:t>
            </w:r>
          </w:p>
        </w:tc>
        <w:tc>
          <w:tcPr>
            <w:tcW w:w="4866" w:type="dxa"/>
            <w:tcBorders>
              <w:top w:val="nil"/>
              <w:left w:val="nil"/>
              <w:bottom w:val="single" w:sz="4" w:space="0" w:color="auto"/>
              <w:right w:val="single" w:sz="4" w:space="0" w:color="auto"/>
            </w:tcBorders>
            <w:shd w:val="clear" w:color="auto" w:fill="auto"/>
            <w:noWrap/>
            <w:vAlign w:val="center"/>
            <w:hideMark/>
          </w:tcPr>
          <w:p w14:paraId="30E63C5A"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Mes adelantado (inicio del mes arrendado)</w:t>
            </w:r>
          </w:p>
        </w:tc>
      </w:tr>
      <w:tr w:rsidR="00396CB4" w:rsidRPr="00396CB4" w14:paraId="161DF616" w14:textId="77777777" w:rsidTr="00396CB4">
        <w:trPr>
          <w:divId w:val="778254055"/>
          <w:trHeight w:val="250"/>
          <w:jc w:val="center"/>
        </w:trPr>
        <w:tc>
          <w:tcPr>
            <w:tcW w:w="3473" w:type="dxa"/>
            <w:tcBorders>
              <w:top w:val="nil"/>
              <w:left w:val="single" w:sz="4" w:space="0" w:color="auto"/>
              <w:bottom w:val="single" w:sz="4" w:space="0" w:color="auto"/>
              <w:right w:val="single" w:sz="4" w:space="0" w:color="auto"/>
            </w:tcBorders>
            <w:shd w:val="clear" w:color="000000" w:fill="1F3864"/>
            <w:noWrap/>
            <w:vAlign w:val="center"/>
            <w:hideMark/>
          </w:tcPr>
          <w:p w14:paraId="7EF51A09" w14:textId="77777777" w:rsidR="00396CB4" w:rsidRPr="00396CB4" w:rsidRDefault="00396CB4" w:rsidP="00396CB4">
            <w:pPr>
              <w:spacing w:after="0" w:line="240" w:lineRule="auto"/>
              <w:jc w:val="left"/>
              <w:rPr>
                <w:rFonts w:eastAsia="Times New Roman" w:cs="Calibri"/>
                <w:color w:val="FFFFFF"/>
                <w:sz w:val="22"/>
                <w:lang w:eastAsia="es-CR"/>
              </w:rPr>
            </w:pPr>
            <w:r w:rsidRPr="00396CB4">
              <w:rPr>
                <w:rFonts w:eastAsia="Times New Roman" w:cs="Calibri"/>
                <w:color w:val="FFFFFF"/>
                <w:sz w:val="22"/>
                <w:lang w:eastAsia="es-CR"/>
              </w:rPr>
              <w:t>Alquiler de mercado</w:t>
            </w:r>
          </w:p>
        </w:tc>
        <w:tc>
          <w:tcPr>
            <w:tcW w:w="4866" w:type="dxa"/>
            <w:tcBorders>
              <w:top w:val="nil"/>
              <w:left w:val="nil"/>
              <w:bottom w:val="single" w:sz="4" w:space="0" w:color="auto"/>
              <w:right w:val="single" w:sz="4" w:space="0" w:color="auto"/>
            </w:tcBorders>
            <w:shd w:val="clear" w:color="auto" w:fill="auto"/>
            <w:noWrap/>
            <w:vAlign w:val="center"/>
            <w:hideMark/>
          </w:tcPr>
          <w:p w14:paraId="1BF4B705"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Mes adelantado (inicio del mes arrendado)</w:t>
            </w:r>
          </w:p>
        </w:tc>
      </w:tr>
      <w:tr w:rsidR="00396CB4" w:rsidRPr="00396CB4" w14:paraId="69BF1027" w14:textId="77777777" w:rsidTr="00396CB4">
        <w:trPr>
          <w:divId w:val="778254055"/>
          <w:trHeight w:val="250"/>
          <w:jc w:val="center"/>
        </w:trPr>
        <w:tc>
          <w:tcPr>
            <w:tcW w:w="3473" w:type="dxa"/>
            <w:tcBorders>
              <w:top w:val="nil"/>
              <w:left w:val="single" w:sz="4" w:space="0" w:color="auto"/>
              <w:bottom w:val="single" w:sz="4" w:space="0" w:color="auto"/>
              <w:right w:val="single" w:sz="4" w:space="0" w:color="auto"/>
            </w:tcBorders>
            <w:shd w:val="clear" w:color="000000" w:fill="1F3864"/>
            <w:noWrap/>
            <w:vAlign w:val="center"/>
            <w:hideMark/>
          </w:tcPr>
          <w:p w14:paraId="16767779" w14:textId="77777777" w:rsidR="00396CB4" w:rsidRPr="00396CB4" w:rsidRDefault="00396CB4" w:rsidP="00396CB4">
            <w:pPr>
              <w:spacing w:after="0" w:line="240" w:lineRule="auto"/>
              <w:jc w:val="left"/>
              <w:rPr>
                <w:rFonts w:eastAsia="Times New Roman" w:cs="Calibri"/>
                <w:color w:val="FFFFFF"/>
                <w:sz w:val="22"/>
                <w:lang w:eastAsia="es-CR"/>
              </w:rPr>
            </w:pPr>
            <w:r w:rsidRPr="00396CB4">
              <w:rPr>
                <w:rFonts w:eastAsia="Times New Roman" w:cs="Calibri"/>
                <w:color w:val="FFFFFF"/>
                <w:sz w:val="22"/>
                <w:lang w:eastAsia="es-CR"/>
              </w:rPr>
              <w:t xml:space="preserve">Alquiler de locales en edificio terminal de buses                       </w:t>
            </w:r>
          </w:p>
        </w:tc>
        <w:tc>
          <w:tcPr>
            <w:tcW w:w="4866" w:type="dxa"/>
            <w:tcBorders>
              <w:top w:val="nil"/>
              <w:left w:val="nil"/>
              <w:bottom w:val="single" w:sz="4" w:space="0" w:color="auto"/>
              <w:right w:val="single" w:sz="4" w:space="0" w:color="auto"/>
            </w:tcBorders>
            <w:shd w:val="clear" w:color="auto" w:fill="auto"/>
            <w:noWrap/>
            <w:vAlign w:val="center"/>
            <w:hideMark/>
          </w:tcPr>
          <w:p w14:paraId="59D20963"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Mes adelantado (inicio del mes arrendado)</w:t>
            </w:r>
          </w:p>
        </w:tc>
      </w:tr>
      <w:tr w:rsidR="00396CB4" w:rsidRPr="00396CB4" w14:paraId="37C14DA2" w14:textId="77777777" w:rsidTr="00396CB4">
        <w:trPr>
          <w:divId w:val="778254055"/>
          <w:trHeight w:val="250"/>
          <w:jc w:val="center"/>
        </w:trPr>
        <w:tc>
          <w:tcPr>
            <w:tcW w:w="3473" w:type="dxa"/>
            <w:tcBorders>
              <w:top w:val="nil"/>
              <w:left w:val="single" w:sz="4" w:space="0" w:color="auto"/>
              <w:bottom w:val="single" w:sz="4" w:space="0" w:color="auto"/>
              <w:right w:val="single" w:sz="4" w:space="0" w:color="auto"/>
            </w:tcBorders>
            <w:shd w:val="clear" w:color="000000" w:fill="1F3864"/>
            <w:noWrap/>
            <w:vAlign w:val="center"/>
            <w:hideMark/>
          </w:tcPr>
          <w:p w14:paraId="61DB854D" w14:textId="77777777" w:rsidR="00396CB4" w:rsidRPr="00396CB4" w:rsidRDefault="00396CB4" w:rsidP="00396CB4">
            <w:pPr>
              <w:spacing w:after="0" w:line="240" w:lineRule="auto"/>
              <w:jc w:val="left"/>
              <w:rPr>
                <w:rFonts w:eastAsia="Times New Roman" w:cs="Calibri"/>
                <w:color w:val="FFFFFF"/>
                <w:sz w:val="22"/>
                <w:lang w:eastAsia="es-CR"/>
              </w:rPr>
            </w:pPr>
            <w:r w:rsidRPr="00396CB4">
              <w:rPr>
                <w:rFonts w:eastAsia="Times New Roman" w:cs="Calibri"/>
                <w:color w:val="FFFFFF"/>
                <w:sz w:val="22"/>
                <w:lang w:eastAsia="es-CR"/>
              </w:rPr>
              <w:t xml:space="preserve">Servicios de cementerio                                                            </w:t>
            </w:r>
          </w:p>
        </w:tc>
        <w:tc>
          <w:tcPr>
            <w:tcW w:w="4866" w:type="dxa"/>
            <w:tcBorders>
              <w:top w:val="nil"/>
              <w:left w:val="nil"/>
              <w:bottom w:val="single" w:sz="4" w:space="0" w:color="auto"/>
              <w:right w:val="single" w:sz="4" w:space="0" w:color="auto"/>
            </w:tcBorders>
            <w:shd w:val="clear" w:color="auto" w:fill="auto"/>
            <w:noWrap/>
            <w:vAlign w:val="center"/>
            <w:hideMark/>
          </w:tcPr>
          <w:p w14:paraId="3D95D2B5"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Trimestre vencido (abril, julio, octubre y enero)</w:t>
            </w:r>
          </w:p>
        </w:tc>
      </w:tr>
      <w:tr w:rsidR="00396CB4" w:rsidRPr="00396CB4" w14:paraId="79FC48BD" w14:textId="77777777" w:rsidTr="00396CB4">
        <w:trPr>
          <w:divId w:val="778254055"/>
          <w:trHeight w:val="250"/>
          <w:jc w:val="center"/>
        </w:trPr>
        <w:tc>
          <w:tcPr>
            <w:tcW w:w="3473" w:type="dxa"/>
            <w:tcBorders>
              <w:top w:val="nil"/>
              <w:left w:val="single" w:sz="4" w:space="0" w:color="auto"/>
              <w:bottom w:val="single" w:sz="4" w:space="0" w:color="auto"/>
              <w:right w:val="single" w:sz="4" w:space="0" w:color="auto"/>
            </w:tcBorders>
            <w:shd w:val="clear" w:color="000000" w:fill="1F3864"/>
            <w:noWrap/>
            <w:vAlign w:val="center"/>
            <w:hideMark/>
          </w:tcPr>
          <w:p w14:paraId="0DCC1E90" w14:textId="77777777" w:rsidR="00396CB4" w:rsidRPr="00396CB4" w:rsidRDefault="00396CB4" w:rsidP="00396CB4">
            <w:pPr>
              <w:spacing w:after="0" w:line="240" w:lineRule="auto"/>
              <w:jc w:val="left"/>
              <w:rPr>
                <w:rFonts w:eastAsia="Times New Roman" w:cs="Calibri"/>
                <w:color w:val="FFFFFF"/>
                <w:sz w:val="22"/>
                <w:lang w:eastAsia="es-CR"/>
              </w:rPr>
            </w:pPr>
            <w:r w:rsidRPr="00396CB4">
              <w:rPr>
                <w:rFonts w:eastAsia="Times New Roman" w:cs="Calibri"/>
                <w:color w:val="FFFFFF"/>
                <w:sz w:val="22"/>
                <w:lang w:eastAsia="es-CR"/>
              </w:rPr>
              <w:t xml:space="preserve">Servicio de mantenimiento de parques obras y ornato             </w:t>
            </w:r>
          </w:p>
        </w:tc>
        <w:tc>
          <w:tcPr>
            <w:tcW w:w="4866" w:type="dxa"/>
            <w:tcBorders>
              <w:top w:val="nil"/>
              <w:left w:val="nil"/>
              <w:bottom w:val="single" w:sz="4" w:space="0" w:color="auto"/>
              <w:right w:val="single" w:sz="4" w:space="0" w:color="auto"/>
            </w:tcBorders>
            <w:shd w:val="clear" w:color="auto" w:fill="auto"/>
            <w:noWrap/>
            <w:vAlign w:val="center"/>
            <w:hideMark/>
          </w:tcPr>
          <w:p w14:paraId="6ABD4490"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Trimestre vencido (abril, julio, octubre y enero)</w:t>
            </w:r>
          </w:p>
        </w:tc>
      </w:tr>
      <w:tr w:rsidR="00396CB4" w:rsidRPr="00396CB4" w14:paraId="4F7596A8" w14:textId="77777777" w:rsidTr="00396CB4">
        <w:trPr>
          <w:divId w:val="778254055"/>
          <w:trHeight w:val="250"/>
          <w:jc w:val="center"/>
        </w:trPr>
        <w:tc>
          <w:tcPr>
            <w:tcW w:w="3473" w:type="dxa"/>
            <w:tcBorders>
              <w:top w:val="nil"/>
              <w:left w:val="single" w:sz="4" w:space="0" w:color="auto"/>
              <w:bottom w:val="single" w:sz="4" w:space="0" w:color="auto"/>
              <w:right w:val="single" w:sz="4" w:space="0" w:color="auto"/>
            </w:tcBorders>
            <w:shd w:val="clear" w:color="000000" w:fill="1F3864"/>
            <w:noWrap/>
            <w:vAlign w:val="center"/>
            <w:hideMark/>
          </w:tcPr>
          <w:p w14:paraId="5E7F613C" w14:textId="77777777" w:rsidR="00396CB4" w:rsidRPr="00396CB4" w:rsidRDefault="00396CB4" w:rsidP="00396CB4">
            <w:pPr>
              <w:spacing w:after="0" w:line="240" w:lineRule="auto"/>
              <w:jc w:val="left"/>
              <w:rPr>
                <w:rFonts w:eastAsia="Times New Roman" w:cs="Calibri"/>
                <w:color w:val="FFFFFF"/>
                <w:sz w:val="22"/>
                <w:lang w:eastAsia="es-CR"/>
              </w:rPr>
            </w:pPr>
            <w:r w:rsidRPr="00396CB4">
              <w:rPr>
                <w:rFonts w:eastAsia="Times New Roman" w:cs="Calibri"/>
                <w:color w:val="FFFFFF"/>
                <w:sz w:val="22"/>
                <w:lang w:eastAsia="es-CR"/>
              </w:rPr>
              <w:t> </w:t>
            </w:r>
          </w:p>
        </w:tc>
        <w:tc>
          <w:tcPr>
            <w:tcW w:w="4866" w:type="dxa"/>
            <w:tcBorders>
              <w:top w:val="nil"/>
              <w:left w:val="nil"/>
              <w:bottom w:val="single" w:sz="4" w:space="0" w:color="auto"/>
              <w:right w:val="single" w:sz="4" w:space="0" w:color="auto"/>
            </w:tcBorders>
            <w:shd w:val="clear" w:color="auto" w:fill="auto"/>
            <w:noWrap/>
            <w:vAlign w:val="center"/>
            <w:hideMark/>
          </w:tcPr>
          <w:p w14:paraId="57C22E43"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w:t>
            </w:r>
          </w:p>
        </w:tc>
      </w:tr>
      <w:tr w:rsidR="00396CB4" w:rsidRPr="00396CB4" w14:paraId="64D4751E" w14:textId="77777777" w:rsidTr="00396CB4">
        <w:trPr>
          <w:divId w:val="778254055"/>
          <w:trHeight w:val="250"/>
          <w:jc w:val="center"/>
        </w:trPr>
        <w:tc>
          <w:tcPr>
            <w:tcW w:w="3473" w:type="dxa"/>
            <w:tcBorders>
              <w:top w:val="nil"/>
              <w:left w:val="single" w:sz="4" w:space="0" w:color="auto"/>
              <w:bottom w:val="single" w:sz="4" w:space="0" w:color="auto"/>
              <w:right w:val="single" w:sz="4" w:space="0" w:color="auto"/>
            </w:tcBorders>
            <w:shd w:val="clear" w:color="000000" w:fill="1F3864"/>
            <w:noWrap/>
            <w:vAlign w:val="center"/>
            <w:hideMark/>
          </w:tcPr>
          <w:p w14:paraId="6D218E75" w14:textId="77777777" w:rsidR="00396CB4" w:rsidRPr="00396CB4" w:rsidRDefault="00396CB4" w:rsidP="00396CB4">
            <w:pPr>
              <w:spacing w:after="0" w:line="240" w:lineRule="auto"/>
              <w:jc w:val="left"/>
              <w:rPr>
                <w:rFonts w:eastAsia="Times New Roman" w:cs="Calibri"/>
                <w:color w:val="FFFFFF"/>
                <w:sz w:val="22"/>
                <w:lang w:eastAsia="es-CR"/>
              </w:rPr>
            </w:pPr>
            <w:r w:rsidRPr="00396CB4">
              <w:rPr>
                <w:rFonts w:eastAsia="Times New Roman" w:cs="Calibri"/>
                <w:color w:val="FFFFFF"/>
                <w:sz w:val="22"/>
                <w:lang w:eastAsia="es-CR"/>
              </w:rPr>
              <w:t> </w:t>
            </w:r>
          </w:p>
        </w:tc>
        <w:tc>
          <w:tcPr>
            <w:tcW w:w="4866" w:type="dxa"/>
            <w:tcBorders>
              <w:top w:val="nil"/>
              <w:left w:val="nil"/>
              <w:bottom w:val="single" w:sz="4" w:space="0" w:color="auto"/>
              <w:right w:val="single" w:sz="4" w:space="0" w:color="auto"/>
            </w:tcBorders>
            <w:shd w:val="clear" w:color="auto" w:fill="auto"/>
            <w:noWrap/>
            <w:vAlign w:val="center"/>
            <w:hideMark/>
          </w:tcPr>
          <w:p w14:paraId="3B632021"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w:t>
            </w:r>
          </w:p>
        </w:tc>
      </w:tr>
      <w:tr w:rsidR="00396CB4" w:rsidRPr="00396CB4" w14:paraId="2B43CFE3" w14:textId="77777777" w:rsidTr="00396CB4">
        <w:trPr>
          <w:divId w:val="778254055"/>
          <w:trHeight w:val="250"/>
          <w:jc w:val="center"/>
        </w:trPr>
        <w:tc>
          <w:tcPr>
            <w:tcW w:w="3473" w:type="dxa"/>
            <w:tcBorders>
              <w:top w:val="nil"/>
              <w:left w:val="single" w:sz="4" w:space="0" w:color="auto"/>
              <w:bottom w:val="single" w:sz="4" w:space="0" w:color="auto"/>
              <w:right w:val="single" w:sz="4" w:space="0" w:color="auto"/>
            </w:tcBorders>
            <w:shd w:val="clear" w:color="000000" w:fill="1F3864"/>
            <w:noWrap/>
            <w:vAlign w:val="center"/>
            <w:hideMark/>
          </w:tcPr>
          <w:p w14:paraId="459DE5A7" w14:textId="77777777" w:rsidR="00396CB4" w:rsidRPr="00396CB4" w:rsidRDefault="00396CB4" w:rsidP="00396CB4">
            <w:pPr>
              <w:spacing w:after="0" w:line="240" w:lineRule="auto"/>
              <w:jc w:val="left"/>
              <w:rPr>
                <w:rFonts w:eastAsia="Times New Roman" w:cs="Calibri"/>
                <w:color w:val="FFFFFF"/>
                <w:sz w:val="22"/>
                <w:lang w:eastAsia="es-CR"/>
              </w:rPr>
            </w:pPr>
            <w:r w:rsidRPr="00396CB4">
              <w:rPr>
                <w:rFonts w:eastAsia="Times New Roman" w:cs="Calibri"/>
                <w:color w:val="FFFFFF"/>
                <w:sz w:val="22"/>
                <w:lang w:eastAsia="es-CR"/>
              </w:rPr>
              <w:lastRenderedPageBreak/>
              <w:t> </w:t>
            </w:r>
          </w:p>
        </w:tc>
        <w:tc>
          <w:tcPr>
            <w:tcW w:w="4866" w:type="dxa"/>
            <w:tcBorders>
              <w:top w:val="nil"/>
              <w:left w:val="nil"/>
              <w:bottom w:val="single" w:sz="4" w:space="0" w:color="auto"/>
              <w:right w:val="single" w:sz="4" w:space="0" w:color="auto"/>
            </w:tcBorders>
            <w:shd w:val="clear" w:color="auto" w:fill="auto"/>
            <w:noWrap/>
            <w:vAlign w:val="center"/>
            <w:hideMark/>
          </w:tcPr>
          <w:p w14:paraId="558004C5"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w:t>
            </w:r>
          </w:p>
        </w:tc>
      </w:tr>
    </w:tbl>
    <w:p w14:paraId="28E8FEBB" w14:textId="3930E4D3" w:rsidR="009B7238" w:rsidRDefault="002D5C33" w:rsidP="00CD3A05">
      <w:pPr>
        <w:rPr>
          <w:lang w:eastAsia="es-CR"/>
        </w:rPr>
      </w:pPr>
      <w:r>
        <w:rPr>
          <w:lang w:eastAsia="es-CR"/>
        </w:rPr>
        <w:fldChar w:fldCharType="end"/>
      </w:r>
    </w:p>
    <w:p w14:paraId="70A775C9" w14:textId="253622FD" w:rsidR="000B04D8" w:rsidRPr="000B04D8" w:rsidRDefault="000B04D8" w:rsidP="00CD3A05">
      <w:pPr>
        <w:rPr>
          <w:lang w:eastAsia="es-CR"/>
        </w:rPr>
      </w:pPr>
      <w:r w:rsidRPr="000B04D8">
        <w:rPr>
          <w:lang w:eastAsia="es-CR"/>
        </w:rPr>
        <w:t>Se realizará la revelación considerando lo dispuesto en el párrafo 39 de la NICSP 9.</w:t>
      </w:r>
    </w:p>
    <w:p w14:paraId="635E8F5C" w14:textId="77777777" w:rsidR="000B04D8" w:rsidRPr="000B404C" w:rsidRDefault="000B04D8" w:rsidP="000B04D8">
      <w:pPr>
        <w:spacing w:after="0" w:line="240" w:lineRule="auto"/>
        <w:rPr>
          <w:rStyle w:val="nfasis"/>
        </w:rPr>
      </w:pPr>
      <w:r w:rsidRPr="000B404C">
        <w:rPr>
          <w:rStyle w:val="nfasis"/>
        </w:rPr>
        <w:t>“39. Una entidad revelará:</w:t>
      </w:r>
    </w:p>
    <w:p w14:paraId="3DAEB9A1" w14:textId="77777777" w:rsidR="000B04D8" w:rsidRPr="000B404C" w:rsidRDefault="000B04D8" w:rsidP="000B04D8">
      <w:pPr>
        <w:spacing w:after="0" w:line="240" w:lineRule="auto"/>
        <w:rPr>
          <w:rStyle w:val="nfasis"/>
        </w:rPr>
      </w:pPr>
      <w:r w:rsidRPr="000B404C">
        <w:rPr>
          <w:rStyle w:val="nfasis"/>
        </w:rPr>
        <w:t xml:space="preserve">(a) las políticas contables adoptadas para el reconocimiento de los ingresos, incluyendo los métodos utilizados para determinar el porcentaje de terminación de las transacciones involucradas con la prestación de servicios; </w:t>
      </w:r>
    </w:p>
    <w:p w14:paraId="73141CF8" w14:textId="77777777" w:rsidR="000B04D8" w:rsidRPr="000B404C" w:rsidRDefault="000B04D8" w:rsidP="000B04D8">
      <w:pPr>
        <w:spacing w:after="0" w:line="240" w:lineRule="auto"/>
        <w:rPr>
          <w:rStyle w:val="nfasis"/>
        </w:rPr>
      </w:pPr>
      <w:r w:rsidRPr="000B404C">
        <w:rPr>
          <w:rStyle w:val="nfasis"/>
        </w:rPr>
        <w:t xml:space="preserve">(b) la cuantía de cada categoría significativa de ingresos, reconocida durante el periodo, con indicación expresa de los ingresos procedentes de: </w:t>
      </w:r>
    </w:p>
    <w:p w14:paraId="65A83ADF" w14:textId="77777777" w:rsidR="000B04D8" w:rsidRPr="000B404C" w:rsidRDefault="000B04D8" w:rsidP="000B04D8">
      <w:pPr>
        <w:spacing w:after="0" w:line="240" w:lineRule="auto"/>
        <w:rPr>
          <w:rStyle w:val="nfasis"/>
        </w:rPr>
      </w:pPr>
      <w:r w:rsidRPr="000B404C">
        <w:rPr>
          <w:rStyle w:val="nfasis"/>
        </w:rPr>
        <w:tab/>
        <w:t xml:space="preserve">(i) la prestación de servicios; </w:t>
      </w:r>
    </w:p>
    <w:p w14:paraId="01E762B2" w14:textId="77777777" w:rsidR="000B04D8" w:rsidRPr="000B404C" w:rsidRDefault="000B04D8" w:rsidP="000B04D8">
      <w:pPr>
        <w:spacing w:after="0" w:line="240" w:lineRule="auto"/>
        <w:rPr>
          <w:rStyle w:val="nfasis"/>
        </w:rPr>
      </w:pPr>
      <w:r w:rsidRPr="000B404C">
        <w:rPr>
          <w:rStyle w:val="nfasis"/>
        </w:rPr>
        <w:tab/>
        <w:t xml:space="preserve">(ii) la venta de bienes; </w:t>
      </w:r>
    </w:p>
    <w:p w14:paraId="24C1E670" w14:textId="77777777" w:rsidR="000B04D8" w:rsidRPr="000B404C" w:rsidRDefault="000B04D8" w:rsidP="000B04D8">
      <w:pPr>
        <w:spacing w:after="0" w:line="240" w:lineRule="auto"/>
        <w:rPr>
          <w:rStyle w:val="nfasis"/>
        </w:rPr>
      </w:pPr>
      <w:r w:rsidRPr="000B404C">
        <w:rPr>
          <w:rStyle w:val="nfasis"/>
        </w:rPr>
        <w:tab/>
        <w:t xml:space="preserve">(iii) intereses; </w:t>
      </w:r>
    </w:p>
    <w:p w14:paraId="3DB20AC4" w14:textId="77777777" w:rsidR="000B04D8" w:rsidRPr="000B404C" w:rsidRDefault="000B04D8" w:rsidP="000B04D8">
      <w:pPr>
        <w:spacing w:after="0" w:line="240" w:lineRule="auto"/>
        <w:rPr>
          <w:rStyle w:val="nfasis"/>
        </w:rPr>
      </w:pPr>
      <w:r w:rsidRPr="000B404C">
        <w:rPr>
          <w:rStyle w:val="nfasis"/>
        </w:rPr>
        <w:tab/>
        <w:t xml:space="preserve">(iv) regalías; y </w:t>
      </w:r>
    </w:p>
    <w:p w14:paraId="151B5147" w14:textId="7F682D1B" w:rsidR="000B04D8" w:rsidRPr="000B404C" w:rsidRDefault="000B04D8" w:rsidP="000B04D8">
      <w:pPr>
        <w:spacing w:after="0" w:line="240" w:lineRule="auto"/>
        <w:rPr>
          <w:rStyle w:val="nfasis"/>
        </w:rPr>
      </w:pPr>
      <w:r w:rsidRPr="000B404C">
        <w:rPr>
          <w:rStyle w:val="nfasis"/>
        </w:rPr>
        <w:tab/>
        <w:t xml:space="preserve">(v) dividendos o distribuciones similares; y el importe de los ingresos producidos por </w:t>
      </w:r>
      <w:r w:rsidRPr="000B404C">
        <w:rPr>
          <w:rStyle w:val="nfasis"/>
        </w:rPr>
        <w:tab/>
        <w:t>intercambios de bienes o servicios incluidos en cada una de las categorías anteriores.”</w:t>
      </w:r>
    </w:p>
    <w:p w14:paraId="5409BC7A" w14:textId="77777777" w:rsidR="000B04D8" w:rsidRDefault="000B04D8" w:rsidP="000B04D8">
      <w:pPr>
        <w:rPr>
          <w:lang w:eastAsia="es-CR"/>
        </w:rPr>
      </w:pPr>
    </w:p>
    <w:p w14:paraId="7933258C" w14:textId="3D0DCC7D" w:rsidR="000C3947" w:rsidRDefault="000C3947" w:rsidP="000C3947">
      <w:pPr>
        <w:spacing w:line="240" w:lineRule="auto"/>
        <w:rPr>
          <w:lang w:val="es-MX"/>
        </w:rPr>
      </w:pPr>
      <w:r w:rsidRPr="003516A2">
        <w:rPr>
          <w:b/>
          <w:color w:val="FFFFFF" w:themeColor="background1"/>
          <w:highlight w:val="darkBlue"/>
          <w:u w:val="single"/>
        </w:rPr>
        <w:t>Reconocimiento:</w:t>
      </w:r>
      <w:r>
        <w:rPr>
          <w:b/>
          <w:color w:val="FFFFFF" w:themeColor="background1"/>
          <w:highlight w:val="darkBlue"/>
          <w:u w:val="single"/>
        </w:rPr>
        <w:t xml:space="preserve"> </w:t>
      </w:r>
    </w:p>
    <w:p w14:paraId="06114D7A" w14:textId="77777777" w:rsidR="009A7924" w:rsidRDefault="009A7924" w:rsidP="009A7924">
      <w:pPr>
        <w:spacing w:line="240" w:lineRule="auto"/>
        <w:rPr>
          <w:lang w:val="es-MX"/>
        </w:rPr>
      </w:pPr>
      <w:r>
        <w:rPr>
          <w:lang w:val="es-MX"/>
        </w:rPr>
        <w:t>Los ingresos provenientes de la prestación de servicios (saneamiento ambiental, cementerio y mantenimiento de parques obras y ornato), se reconocen como gasto y cuentas por cobrar, con base en el reporte de lo puesto al cobro emitido por la Unidad de Registro Primario respectiva en la fecha del reporte en los meses que se indica en el cuadro antes consignado en esta norma.</w:t>
      </w:r>
    </w:p>
    <w:p w14:paraId="60D5F026" w14:textId="77777777" w:rsidR="009A7924" w:rsidRDefault="009A7924" w:rsidP="009A7924">
      <w:pPr>
        <w:spacing w:line="240" w:lineRule="auto"/>
        <w:rPr>
          <w:lang w:val="es-MX"/>
        </w:rPr>
      </w:pPr>
      <w:r>
        <w:rPr>
          <w:lang w:val="es-MX"/>
        </w:rPr>
        <w:t>Los ingresos de servicios de CECUDI y alquileres, se reconocen de acuerdo con el plazo establecido en los contratos, acuerdos o convenios elaborados, que se encuentren formalmente aprobados por la Municipalidad.</w:t>
      </w:r>
    </w:p>
    <w:p w14:paraId="0A6ACFCE" w14:textId="77777777" w:rsidR="009A7924" w:rsidRPr="006B7DC6" w:rsidRDefault="009A7924" w:rsidP="009A7924">
      <w:pPr>
        <w:spacing w:line="240" w:lineRule="auto"/>
        <w:rPr>
          <w:lang w:val="es-MX"/>
        </w:rPr>
      </w:pPr>
      <w:r>
        <w:rPr>
          <w:lang w:val="es-MX"/>
        </w:rPr>
        <w:t>Los ingresos por venta de bienes, cuando los riesgos y recompensas importantes han sido transferidos al comprador, los ingresos ordinarios pueden ser medidos confiablemente, y es probable que los beneficios económicos o potencial de servicios asociados con la transacción fluirán a la Municipalidad y los costos incurridos o por incurrir en la transacción puedan ser medidos confiablemente.</w:t>
      </w:r>
    </w:p>
    <w:p w14:paraId="3A34702F" w14:textId="77777777" w:rsidR="000C3947" w:rsidRDefault="000C3947" w:rsidP="000C3947">
      <w:pPr>
        <w:spacing w:line="240" w:lineRule="auto"/>
        <w:rPr>
          <w:b/>
          <w:u w:val="single"/>
        </w:rPr>
      </w:pPr>
    </w:p>
    <w:p w14:paraId="08C08C86" w14:textId="77777777" w:rsidR="000C3947" w:rsidRPr="003516A2" w:rsidRDefault="000C3947" w:rsidP="000C3947">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313F4296" w14:textId="77777777" w:rsidR="009A7924" w:rsidRPr="00B45699" w:rsidRDefault="009A7924" w:rsidP="009A7924">
      <w:pPr>
        <w:spacing w:line="240" w:lineRule="auto"/>
        <w:rPr>
          <w:rFonts w:cs="Arial"/>
          <w:szCs w:val="24"/>
          <w:lang w:eastAsia="es-CR"/>
        </w:rPr>
      </w:pPr>
      <w:r w:rsidRPr="00B45699">
        <w:rPr>
          <w:rFonts w:cs="Arial"/>
          <w:szCs w:val="24"/>
          <w:lang w:eastAsia="es-CR"/>
        </w:rPr>
        <w:t>Los ingresos provenientes de transacciones con contraprestación (intercambio), se miden al valor razonable de la consideración recibida o por cobrar</w:t>
      </w:r>
      <w:r>
        <w:rPr>
          <w:rFonts w:cs="Arial"/>
          <w:szCs w:val="24"/>
          <w:lang w:eastAsia="es-CR"/>
        </w:rPr>
        <w:t>. Los montos de los ingresos que no pueden ser estimados confiablemente (multas, intereses, donaciones y regalías), se reconocerán solo por los beneficios económicos o potencial de servicio que fluirá a la Municipalidad en la extensión de los montos recuperables que puedan ser medidos confiablemente según se establezca en cada periodo (intereses: sobre la base de tiempo proporcional que tenga en cuenta el rendimiento del activo, donaciones y regalías; cuando sean un derecho de acuerdo con la sustancia del contrato, acuerdo o convenio vigente).</w:t>
      </w:r>
    </w:p>
    <w:p w14:paraId="4199818A" w14:textId="77777777" w:rsidR="000C3947" w:rsidRDefault="000C3947" w:rsidP="000C3947">
      <w:pPr>
        <w:rPr>
          <w:lang w:val="es-MX"/>
        </w:rPr>
      </w:pPr>
    </w:p>
    <w:p w14:paraId="14906A31" w14:textId="2B6E578D" w:rsidR="000B04D8" w:rsidRPr="000B04D8" w:rsidRDefault="000B04D8" w:rsidP="000B04D8">
      <w:pPr>
        <w:rPr>
          <w:rFonts w:cs="Times New Roman"/>
          <w:b/>
          <w:bCs/>
          <w:sz w:val="22"/>
          <w:u w:val="single"/>
          <w:lang w:eastAsia="es-CR"/>
        </w:rPr>
      </w:pPr>
      <w:r w:rsidRPr="000C3947">
        <w:rPr>
          <w:b/>
          <w:color w:val="FFFFFF" w:themeColor="background1"/>
          <w:highlight w:val="darkBlue"/>
          <w:u w:val="single"/>
        </w:rPr>
        <w:lastRenderedPageBreak/>
        <w:t>Revelación Suficiente:</w:t>
      </w:r>
      <w:r w:rsidRPr="000B04D8">
        <w:rPr>
          <w:rFonts w:cs="Times New Roman"/>
          <w:b/>
          <w:bCs/>
          <w:sz w:val="22"/>
          <w:u w:val="single"/>
          <w:lang w:eastAsia="es-CR"/>
        </w:rPr>
        <w:t xml:space="preserve"> El ente debe </w:t>
      </w:r>
      <w:r w:rsidR="00482942">
        <w:rPr>
          <w:rFonts w:cs="Times New Roman"/>
          <w:b/>
          <w:bCs/>
          <w:sz w:val="22"/>
          <w:u w:val="single"/>
          <w:lang w:eastAsia="es-CR"/>
        </w:rPr>
        <w:t xml:space="preserve">revelar y </w:t>
      </w:r>
      <w:r w:rsidRPr="000B04D8">
        <w:rPr>
          <w:rFonts w:cs="Times New Roman"/>
          <w:b/>
          <w:bCs/>
          <w:sz w:val="22"/>
          <w:u w:val="single"/>
          <w:lang w:eastAsia="es-CR"/>
        </w:rPr>
        <w:t xml:space="preserve">cumplir con lo estipulado en revelación conforme a la NICSP, también debe considerar la política general y los párrafos incluidos en la matriz de autoevaluación referente a esta NICSP y guías de aplicación </w:t>
      </w:r>
      <w:r w:rsidRPr="000B04D8">
        <w:rPr>
          <w:rFonts w:cs="Times New Roman"/>
          <w:b/>
          <w:bCs/>
          <w:szCs w:val="24"/>
          <w:u w:val="single"/>
          <w:lang w:eastAsia="es-CR"/>
        </w:rPr>
        <w:t>(</w:t>
      </w:r>
      <w:r w:rsidRPr="000B04D8">
        <w:rPr>
          <w:rFonts w:cs="Times New Roman"/>
          <w:b/>
          <w:bCs/>
          <w:sz w:val="22"/>
          <w:u w:val="single"/>
          <w:lang w:eastAsia="es-CR"/>
        </w:rPr>
        <w:t>Ver las GA de la NICSP 9).</w:t>
      </w:r>
    </w:p>
    <w:p w14:paraId="1883020E" w14:textId="77777777" w:rsidR="009A7924" w:rsidRPr="00290B8F" w:rsidRDefault="009A7924" w:rsidP="009A7924">
      <w:pPr>
        <w:spacing w:line="240" w:lineRule="auto"/>
        <w:rPr>
          <w:rFonts w:cs="Times New Roman"/>
          <w:sz w:val="22"/>
          <w:lang w:eastAsia="es-CR"/>
        </w:rPr>
      </w:pPr>
      <w:r w:rsidRPr="00290B8F">
        <w:rPr>
          <w:sz w:val="22"/>
        </w:rPr>
        <w:t xml:space="preserve">Los ingresos con contraprestación se miden utilizando </w:t>
      </w:r>
      <w:r w:rsidRPr="00290B8F">
        <w:rPr>
          <w:b/>
          <w:bCs/>
          <w:sz w:val="22"/>
        </w:rPr>
        <w:t>el valor razonable de la contrapartida</w:t>
      </w:r>
      <w:r w:rsidRPr="00290B8F">
        <w:rPr>
          <w:sz w:val="22"/>
        </w:rPr>
        <w:t>, recibida o por recibir, derivada de los mismos</w:t>
      </w:r>
      <w:r>
        <w:rPr>
          <w:sz w:val="22"/>
        </w:rPr>
        <w:t xml:space="preserve"> de acuerdo con lo establecido en el siguiente cuadro:</w:t>
      </w:r>
    </w:p>
    <w:tbl>
      <w:tblPr>
        <w:tblW w:w="8846" w:type="dxa"/>
        <w:tblInd w:w="80" w:type="dxa"/>
        <w:tblCellMar>
          <w:left w:w="70" w:type="dxa"/>
          <w:right w:w="70" w:type="dxa"/>
        </w:tblCellMar>
        <w:tblLook w:val="0000" w:firstRow="0" w:lastRow="0" w:firstColumn="0" w:lastColumn="0" w:noHBand="0" w:noVBand="0"/>
      </w:tblPr>
      <w:tblGrid>
        <w:gridCol w:w="3818"/>
        <w:gridCol w:w="5028"/>
      </w:tblGrid>
      <w:tr w:rsidR="009A7924" w14:paraId="7E89E126" w14:textId="77777777" w:rsidTr="0061790F">
        <w:trPr>
          <w:trHeight w:val="288"/>
        </w:trPr>
        <w:tc>
          <w:tcPr>
            <w:tcW w:w="3818" w:type="dxa"/>
            <w:tcBorders>
              <w:top w:val="single" w:sz="4" w:space="0" w:color="auto"/>
              <w:left w:val="single" w:sz="4" w:space="0" w:color="auto"/>
              <w:bottom w:val="single" w:sz="4" w:space="0" w:color="auto"/>
              <w:right w:val="single" w:sz="4" w:space="0" w:color="auto"/>
            </w:tcBorders>
            <w:shd w:val="clear" w:color="auto" w:fill="D9E2F3"/>
            <w:noWrap/>
            <w:vAlign w:val="bottom"/>
          </w:tcPr>
          <w:p w14:paraId="74F28E0D" w14:textId="77777777" w:rsidR="009A7924" w:rsidRDefault="009A7924" w:rsidP="0061790F">
            <w:pPr>
              <w:spacing w:after="0" w:line="240" w:lineRule="auto"/>
              <w:jc w:val="center"/>
              <w:rPr>
                <w:rFonts w:cs="Calibri"/>
                <w:b/>
                <w:bCs/>
                <w:color w:val="000000"/>
                <w:sz w:val="20"/>
                <w:szCs w:val="20"/>
                <w:lang w:val="es-ES" w:eastAsia="es-CR"/>
              </w:rPr>
            </w:pPr>
            <w:r>
              <w:rPr>
                <w:rFonts w:cs="Calibri"/>
                <w:b/>
                <w:bCs/>
                <w:color w:val="000000"/>
                <w:sz w:val="20"/>
                <w:szCs w:val="20"/>
                <w:lang w:val="es-ES" w:eastAsia="es-CR"/>
              </w:rPr>
              <w:t>Ingreso de transacciones c/contraprestación</w:t>
            </w:r>
          </w:p>
        </w:tc>
        <w:tc>
          <w:tcPr>
            <w:tcW w:w="5028" w:type="dxa"/>
            <w:tcBorders>
              <w:top w:val="single" w:sz="4" w:space="0" w:color="auto"/>
              <w:left w:val="single" w:sz="4" w:space="0" w:color="auto"/>
              <w:bottom w:val="single" w:sz="4" w:space="0" w:color="auto"/>
              <w:right w:val="single" w:sz="4" w:space="0" w:color="auto"/>
            </w:tcBorders>
            <w:shd w:val="clear" w:color="auto" w:fill="D9E2F3"/>
          </w:tcPr>
          <w:p w14:paraId="1840870E" w14:textId="77777777" w:rsidR="009A7924" w:rsidRDefault="009A7924" w:rsidP="0061790F">
            <w:pPr>
              <w:spacing w:after="0" w:line="240" w:lineRule="auto"/>
              <w:jc w:val="center"/>
              <w:rPr>
                <w:rFonts w:cs="Calibri"/>
                <w:b/>
                <w:bCs/>
                <w:color w:val="000000"/>
                <w:sz w:val="20"/>
                <w:szCs w:val="20"/>
                <w:lang w:eastAsia="es-CR"/>
              </w:rPr>
            </w:pPr>
            <w:r>
              <w:rPr>
                <w:rFonts w:cs="Calibri"/>
                <w:b/>
                <w:bCs/>
                <w:color w:val="000000"/>
                <w:sz w:val="20"/>
                <w:szCs w:val="20"/>
                <w:lang w:eastAsia="es-CR"/>
              </w:rPr>
              <w:t>Política contable</w:t>
            </w:r>
          </w:p>
        </w:tc>
      </w:tr>
      <w:tr w:rsidR="009A7924" w:rsidRPr="00DD3CC2" w14:paraId="1124CB1C" w14:textId="77777777" w:rsidTr="0061790F">
        <w:trPr>
          <w:trHeight w:val="946"/>
        </w:trPr>
        <w:tc>
          <w:tcPr>
            <w:tcW w:w="3818" w:type="dxa"/>
            <w:tcBorders>
              <w:top w:val="nil"/>
              <w:left w:val="single" w:sz="8" w:space="0" w:color="auto"/>
              <w:bottom w:val="single" w:sz="4" w:space="0" w:color="auto"/>
              <w:right w:val="single" w:sz="4" w:space="0" w:color="auto"/>
            </w:tcBorders>
            <w:noWrap/>
            <w:vAlign w:val="bottom"/>
          </w:tcPr>
          <w:p w14:paraId="0A8F706F" w14:textId="77777777" w:rsidR="009A7924" w:rsidRPr="00A14094" w:rsidRDefault="009A7924" w:rsidP="0061790F">
            <w:pPr>
              <w:spacing w:after="240" w:line="240" w:lineRule="auto"/>
              <w:rPr>
                <w:rFonts w:cs="Arial Narrow"/>
                <w:sz w:val="20"/>
                <w:szCs w:val="20"/>
                <w:lang w:val="es-ES" w:eastAsia="es-CR"/>
              </w:rPr>
            </w:pPr>
            <w:r>
              <w:rPr>
                <w:rFonts w:cs="Arial Narrow"/>
                <w:sz w:val="20"/>
                <w:szCs w:val="20"/>
                <w:lang w:val="es-ES" w:eastAsia="es-CR"/>
              </w:rPr>
              <w:t>Servicios Comunitarios: Saneamiento ambiental (recolección de residuos, tratamiento, aseo de vías, mantenimiento de parques).</w:t>
            </w:r>
          </w:p>
        </w:tc>
        <w:tc>
          <w:tcPr>
            <w:tcW w:w="5028" w:type="dxa"/>
            <w:tcBorders>
              <w:top w:val="nil"/>
              <w:left w:val="single" w:sz="8" w:space="0" w:color="auto"/>
              <w:bottom w:val="single" w:sz="4" w:space="0" w:color="auto"/>
              <w:right w:val="single" w:sz="4" w:space="0" w:color="auto"/>
            </w:tcBorders>
          </w:tcPr>
          <w:p w14:paraId="3BD90F17" w14:textId="77777777" w:rsidR="009A7924" w:rsidRPr="0042740E" w:rsidRDefault="009A7924" w:rsidP="0061790F">
            <w:pPr>
              <w:spacing w:after="0" w:line="240" w:lineRule="auto"/>
              <w:rPr>
                <w:rFonts w:cs="Arial Narrow"/>
                <w:sz w:val="20"/>
                <w:szCs w:val="20"/>
                <w:lang w:eastAsia="es-CR"/>
              </w:rPr>
            </w:pPr>
            <w:r w:rsidRPr="0042740E">
              <w:rPr>
                <w:rFonts w:cs="Arial Narrow"/>
                <w:sz w:val="20"/>
                <w:szCs w:val="20"/>
                <w:lang w:eastAsia="es-CR"/>
              </w:rPr>
              <w:t xml:space="preserve">De acuerdo con el artículo 83 del Código Municipal establece que la municipalidad calculará cada tasa por los servicios que preste de forma anual y las cobrará en tractos trimestrales </w:t>
            </w:r>
            <w:r>
              <w:rPr>
                <w:rFonts w:cs="Arial Narrow"/>
                <w:sz w:val="20"/>
                <w:szCs w:val="20"/>
                <w:lang w:eastAsia="es-CR"/>
              </w:rPr>
              <w:t>por trimestre</w:t>
            </w:r>
            <w:r w:rsidRPr="0042740E">
              <w:rPr>
                <w:rFonts w:cs="Arial Narrow"/>
                <w:sz w:val="20"/>
                <w:szCs w:val="20"/>
                <w:lang w:eastAsia="es-CR"/>
              </w:rPr>
              <w:t xml:space="preserve"> vencido</w:t>
            </w:r>
            <w:r>
              <w:rPr>
                <w:rFonts w:cs="Arial Narrow"/>
                <w:sz w:val="20"/>
                <w:szCs w:val="20"/>
                <w:lang w:eastAsia="es-CR"/>
              </w:rPr>
              <w:t>.</w:t>
            </w:r>
          </w:p>
        </w:tc>
      </w:tr>
      <w:tr w:rsidR="009A7924" w:rsidRPr="00DD3CC2" w14:paraId="35674830" w14:textId="77777777" w:rsidTr="0061790F">
        <w:trPr>
          <w:trHeight w:val="470"/>
        </w:trPr>
        <w:tc>
          <w:tcPr>
            <w:tcW w:w="3818" w:type="dxa"/>
            <w:tcBorders>
              <w:top w:val="nil"/>
              <w:left w:val="single" w:sz="8" w:space="0" w:color="auto"/>
              <w:bottom w:val="single" w:sz="4" w:space="0" w:color="auto"/>
              <w:right w:val="single" w:sz="4" w:space="0" w:color="auto"/>
            </w:tcBorders>
            <w:noWrap/>
            <w:vAlign w:val="bottom"/>
          </w:tcPr>
          <w:p w14:paraId="4B90BE46" w14:textId="77777777" w:rsidR="009A7924" w:rsidRDefault="009A7924" w:rsidP="0061790F">
            <w:pPr>
              <w:spacing w:after="0" w:line="240" w:lineRule="auto"/>
              <w:rPr>
                <w:rFonts w:cs="Arial Narrow"/>
                <w:sz w:val="20"/>
                <w:szCs w:val="20"/>
                <w:lang w:val="es-ES" w:eastAsia="es-CR"/>
              </w:rPr>
            </w:pPr>
            <w:r w:rsidRPr="0042740E">
              <w:rPr>
                <w:rFonts w:cs="Arial Narrow"/>
                <w:sz w:val="20"/>
                <w:szCs w:val="20"/>
                <w:lang w:eastAsia="es-CR"/>
              </w:rPr>
              <w:t> </w:t>
            </w:r>
            <w:r>
              <w:rPr>
                <w:rFonts w:cs="Arial Narrow"/>
                <w:sz w:val="20"/>
                <w:szCs w:val="20"/>
                <w:lang w:val="es-ES" w:eastAsia="es-CR"/>
              </w:rPr>
              <w:t xml:space="preserve">Servicios comunitarios: Cementerios </w:t>
            </w:r>
          </w:p>
          <w:p w14:paraId="0AE059C0" w14:textId="77777777" w:rsidR="009A7924" w:rsidRDefault="009A7924" w:rsidP="0061790F">
            <w:pPr>
              <w:spacing w:after="0" w:line="240" w:lineRule="auto"/>
              <w:rPr>
                <w:rFonts w:cs="Arial Narrow"/>
                <w:sz w:val="20"/>
                <w:szCs w:val="20"/>
                <w:lang w:eastAsia="es-CR"/>
              </w:rPr>
            </w:pPr>
          </w:p>
        </w:tc>
        <w:tc>
          <w:tcPr>
            <w:tcW w:w="5028" w:type="dxa"/>
            <w:tcBorders>
              <w:top w:val="nil"/>
              <w:left w:val="single" w:sz="8" w:space="0" w:color="auto"/>
              <w:bottom w:val="single" w:sz="4" w:space="0" w:color="auto"/>
              <w:right w:val="single" w:sz="4" w:space="0" w:color="auto"/>
            </w:tcBorders>
          </w:tcPr>
          <w:p w14:paraId="5BDFD7D1" w14:textId="77777777" w:rsidR="009A7924" w:rsidRPr="0042740E" w:rsidRDefault="009A7924" w:rsidP="0061790F">
            <w:pPr>
              <w:spacing w:after="0" w:line="240" w:lineRule="auto"/>
              <w:rPr>
                <w:rFonts w:cs="Arial Narrow"/>
                <w:sz w:val="20"/>
                <w:szCs w:val="20"/>
                <w:lang w:eastAsia="es-CR"/>
              </w:rPr>
            </w:pPr>
            <w:r w:rsidRPr="0042740E">
              <w:rPr>
                <w:rFonts w:cs="Arial Narrow"/>
                <w:sz w:val="20"/>
                <w:szCs w:val="20"/>
                <w:lang w:eastAsia="es-CR"/>
              </w:rPr>
              <w:t>Servicios de cementerios, conforme a las competencias establecidas en el Código Municipal y la realidad cantonal.</w:t>
            </w:r>
          </w:p>
        </w:tc>
      </w:tr>
      <w:tr w:rsidR="009A7924" w14:paraId="5F8DECB9" w14:textId="77777777" w:rsidTr="0061790F">
        <w:trPr>
          <w:trHeight w:val="288"/>
        </w:trPr>
        <w:tc>
          <w:tcPr>
            <w:tcW w:w="3818" w:type="dxa"/>
            <w:tcBorders>
              <w:top w:val="single" w:sz="4" w:space="0" w:color="auto"/>
              <w:left w:val="single" w:sz="8" w:space="0" w:color="auto"/>
              <w:bottom w:val="single" w:sz="4" w:space="0" w:color="auto"/>
              <w:right w:val="single" w:sz="4" w:space="0" w:color="auto"/>
            </w:tcBorders>
            <w:noWrap/>
            <w:vAlign w:val="bottom"/>
          </w:tcPr>
          <w:p w14:paraId="56493C6B" w14:textId="77777777" w:rsidR="009A7924" w:rsidRPr="00D05F48" w:rsidRDefault="009A7924" w:rsidP="0061790F">
            <w:pPr>
              <w:spacing w:after="0" w:line="240" w:lineRule="auto"/>
              <w:rPr>
                <w:rFonts w:cs="Arial Narrow"/>
                <w:sz w:val="20"/>
                <w:szCs w:val="20"/>
                <w:lang w:eastAsia="es-CR"/>
              </w:rPr>
            </w:pPr>
            <w:r w:rsidRPr="00D05F48">
              <w:rPr>
                <w:rFonts w:cs="Arial Narrow"/>
                <w:sz w:val="20"/>
                <w:szCs w:val="20"/>
                <w:lang w:eastAsia="es-CR"/>
              </w:rPr>
              <w:t>Alquileres</w:t>
            </w:r>
          </w:p>
          <w:p w14:paraId="529FACB0" w14:textId="77777777" w:rsidR="009A7924" w:rsidRDefault="009A7924" w:rsidP="0061790F">
            <w:pPr>
              <w:spacing w:after="0" w:line="240" w:lineRule="auto"/>
              <w:rPr>
                <w:rFonts w:cs="Arial Narrow"/>
                <w:sz w:val="20"/>
                <w:szCs w:val="20"/>
                <w:lang w:eastAsia="es-CR"/>
              </w:rPr>
            </w:pPr>
          </w:p>
        </w:tc>
        <w:tc>
          <w:tcPr>
            <w:tcW w:w="5028" w:type="dxa"/>
            <w:tcBorders>
              <w:top w:val="single" w:sz="4" w:space="0" w:color="auto"/>
              <w:left w:val="single" w:sz="8" w:space="0" w:color="auto"/>
              <w:bottom w:val="single" w:sz="4" w:space="0" w:color="auto"/>
              <w:right w:val="single" w:sz="4" w:space="0" w:color="auto"/>
            </w:tcBorders>
          </w:tcPr>
          <w:p w14:paraId="52B0B148" w14:textId="77777777" w:rsidR="009A7924" w:rsidRDefault="009A7924" w:rsidP="0061790F">
            <w:pPr>
              <w:spacing w:after="0" w:line="240" w:lineRule="auto"/>
              <w:rPr>
                <w:rFonts w:cs="Arial Narrow"/>
                <w:sz w:val="20"/>
                <w:szCs w:val="20"/>
                <w:lang w:eastAsia="es-CR"/>
              </w:rPr>
            </w:pPr>
            <w:r w:rsidRPr="0042740E">
              <w:rPr>
                <w:rFonts w:cs="Arial Narrow"/>
                <w:sz w:val="20"/>
                <w:szCs w:val="20"/>
                <w:lang w:eastAsia="es-CR"/>
              </w:rPr>
              <w:t xml:space="preserve">Se reciben por alquiler de locales en el mercado municipal y terminal de autobuses que según </w:t>
            </w:r>
            <w:r>
              <w:rPr>
                <w:rFonts w:cs="Arial Narrow"/>
                <w:sz w:val="20"/>
                <w:szCs w:val="20"/>
                <w:lang w:val="es-ES" w:eastAsia="es-CR"/>
              </w:rPr>
              <w:t xml:space="preserve">los contratos de arrendamiento que se suscriban conforme la competencia dada por la Ley sobre arrendamiento de Locales Municipales N° 7027.  El </w:t>
            </w:r>
            <w:r>
              <w:rPr>
                <w:rFonts w:cs="Arial Narrow"/>
                <w:sz w:val="20"/>
                <w:szCs w:val="20"/>
                <w:lang w:eastAsia="es-CR"/>
              </w:rPr>
              <w:t xml:space="preserve">precio de </w:t>
            </w:r>
            <w:r>
              <w:rPr>
                <w:rFonts w:cs="Arial Narrow"/>
                <w:sz w:val="20"/>
                <w:szCs w:val="20"/>
                <w:lang w:val="es-ES" w:eastAsia="es-CR"/>
              </w:rPr>
              <w:t xml:space="preserve">alquiler es </w:t>
            </w:r>
            <w:r>
              <w:rPr>
                <w:rFonts w:cs="Arial Narrow"/>
                <w:sz w:val="20"/>
                <w:szCs w:val="20"/>
                <w:lang w:eastAsia="es-CR"/>
              </w:rPr>
              <w:t>pagadero por adelantado.</w:t>
            </w:r>
          </w:p>
        </w:tc>
      </w:tr>
      <w:tr w:rsidR="009A7924" w:rsidRPr="00DD3CC2" w14:paraId="4CBCB3D9" w14:textId="77777777" w:rsidTr="0061790F">
        <w:trPr>
          <w:trHeight w:val="288"/>
        </w:trPr>
        <w:tc>
          <w:tcPr>
            <w:tcW w:w="3818" w:type="dxa"/>
            <w:tcBorders>
              <w:top w:val="single" w:sz="4" w:space="0" w:color="auto"/>
              <w:left w:val="single" w:sz="8" w:space="0" w:color="auto"/>
              <w:bottom w:val="single" w:sz="4" w:space="0" w:color="auto"/>
              <w:right w:val="single" w:sz="4" w:space="0" w:color="auto"/>
            </w:tcBorders>
            <w:noWrap/>
            <w:vAlign w:val="bottom"/>
          </w:tcPr>
          <w:p w14:paraId="62BF5FAE" w14:textId="77777777" w:rsidR="009A7924" w:rsidRPr="0042740E" w:rsidRDefault="009A7924" w:rsidP="0061790F">
            <w:pPr>
              <w:spacing w:after="0" w:line="240" w:lineRule="auto"/>
              <w:rPr>
                <w:rFonts w:cs="Arial Narrow"/>
                <w:sz w:val="20"/>
                <w:szCs w:val="20"/>
                <w:lang w:eastAsia="es-CR"/>
              </w:rPr>
            </w:pPr>
            <w:r w:rsidRPr="0042740E">
              <w:rPr>
                <w:rFonts w:cs="Arial Narrow"/>
                <w:sz w:val="20"/>
                <w:szCs w:val="20"/>
                <w:lang w:eastAsia="es-CR"/>
              </w:rPr>
              <w:t>Derechos administrativos a los servicios de transportes por carreteras.</w:t>
            </w:r>
          </w:p>
          <w:p w14:paraId="62C67452" w14:textId="77777777" w:rsidR="009A7924" w:rsidRPr="0042740E" w:rsidRDefault="009A7924" w:rsidP="0061790F">
            <w:pPr>
              <w:spacing w:after="0" w:line="240" w:lineRule="auto"/>
              <w:rPr>
                <w:rFonts w:cs="Arial Narrow"/>
                <w:sz w:val="20"/>
                <w:szCs w:val="20"/>
                <w:lang w:eastAsia="es-CR"/>
              </w:rPr>
            </w:pPr>
          </w:p>
        </w:tc>
        <w:tc>
          <w:tcPr>
            <w:tcW w:w="5028" w:type="dxa"/>
            <w:tcBorders>
              <w:top w:val="single" w:sz="4" w:space="0" w:color="auto"/>
              <w:left w:val="single" w:sz="8" w:space="0" w:color="auto"/>
              <w:bottom w:val="single" w:sz="4" w:space="0" w:color="auto"/>
              <w:right w:val="single" w:sz="4" w:space="0" w:color="auto"/>
            </w:tcBorders>
          </w:tcPr>
          <w:p w14:paraId="72694D05" w14:textId="77777777" w:rsidR="009A7924" w:rsidRPr="0042740E" w:rsidRDefault="009A7924" w:rsidP="0061790F">
            <w:pPr>
              <w:spacing w:after="0" w:line="240" w:lineRule="auto"/>
              <w:rPr>
                <w:rFonts w:cs="Arial Narrow"/>
                <w:sz w:val="20"/>
                <w:szCs w:val="20"/>
                <w:lang w:eastAsia="es-CR"/>
              </w:rPr>
            </w:pPr>
            <w:r>
              <w:rPr>
                <w:rFonts w:cs="Arial Narrow"/>
                <w:sz w:val="20"/>
                <w:szCs w:val="20"/>
                <w:lang w:val="es-ES" w:eastAsia="es-CR"/>
              </w:rPr>
              <w:t xml:space="preserve">Conforme con las facultades municipales </w:t>
            </w:r>
            <w:r w:rsidRPr="0042740E">
              <w:rPr>
                <w:rFonts w:cs="Arial Narrow"/>
                <w:sz w:val="20"/>
                <w:szCs w:val="20"/>
                <w:lang w:eastAsia="es-CR"/>
              </w:rPr>
              <w:t xml:space="preserve">se estableció </w:t>
            </w:r>
            <w:r>
              <w:rPr>
                <w:rFonts w:cs="Arial Narrow"/>
                <w:sz w:val="20"/>
                <w:szCs w:val="20"/>
                <w:lang w:val="es-ES" w:eastAsia="es-CR"/>
              </w:rPr>
              <w:t xml:space="preserve">el cobro de derechos </w:t>
            </w:r>
            <w:r w:rsidRPr="0048465A">
              <w:rPr>
                <w:rFonts w:cs="Arial Narrow"/>
                <w:sz w:val="20"/>
                <w:szCs w:val="20"/>
                <w:lang w:val="es-ES" w:eastAsia="es-CR"/>
              </w:rPr>
              <w:t xml:space="preserve">administrativos a los servicios de transportes por carretera, </w:t>
            </w:r>
            <w:r w:rsidRPr="0042740E">
              <w:rPr>
                <w:rFonts w:cs="Arial Narrow"/>
                <w:sz w:val="20"/>
                <w:szCs w:val="20"/>
                <w:lang w:eastAsia="es-CR"/>
              </w:rPr>
              <w:t>pagadero por adelantado</w:t>
            </w:r>
            <w:r w:rsidRPr="0048465A">
              <w:rPr>
                <w:rFonts w:cs="Arial Narrow"/>
                <w:sz w:val="20"/>
                <w:szCs w:val="20"/>
                <w:lang w:val="es-ES" w:eastAsia="es-CR"/>
              </w:rPr>
              <w:t xml:space="preserve"> por el uso de espacio en la terminal de buses en el centro de </w:t>
            </w:r>
            <w:r>
              <w:rPr>
                <w:rFonts w:cs="Arial Narrow"/>
                <w:sz w:val="20"/>
                <w:szCs w:val="20"/>
                <w:lang w:val="es-ES" w:eastAsia="es-CR"/>
              </w:rPr>
              <w:t>Buenos Aires</w:t>
            </w:r>
            <w:r w:rsidRPr="0042740E">
              <w:rPr>
                <w:rFonts w:cs="Arial Narrow"/>
                <w:sz w:val="20"/>
                <w:szCs w:val="20"/>
                <w:lang w:eastAsia="es-CR"/>
              </w:rPr>
              <w:t>.</w:t>
            </w:r>
          </w:p>
        </w:tc>
      </w:tr>
    </w:tbl>
    <w:p w14:paraId="56C24D19" w14:textId="77777777" w:rsidR="009A7924" w:rsidRDefault="009A7924" w:rsidP="009A7924">
      <w:pPr>
        <w:spacing w:after="0" w:line="240" w:lineRule="auto"/>
      </w:pPr>
    </w:p>
    <w:p w14:paraId="7714A852" w14:textId="77777777" w:rsidR="009A7924" w:rsidRDefault="009A7924" w:rsidP="009A7924">
      <w:pPr>
        <w:spacing w:after="0" w:line="240" w:lineRule="auto"/>
      </w:pPr>
    </w:p>
    <w:p w14:paraId="6E8A55BC" w14:textId="77777777" w:rsidR="009A7924" w:rsidRDefault="009A7924" w:rsidP="009A7924">
      <w:pPr>
        <w:spacing w:after="0" w:line="240" w:lineRule="auto"/>
      </w:pPr>
    </w:p>
    <w:p w14:paraId="4C08088E" w14:textId="77777777" w:rsidR="009A7924" w:rsidRDefault="009A7924" w:rsidP="009A7924">
      <w:pPr>
        <w:spacing w:after="0" w:line="240" w:lineRule="auto"/>
      </w:pPr>
    </w:p>
    <w:p w14:paraId="6B3D01C8" w14:textId="77777777" w:rsidR="009A7924" w:rsidRPr="00535A05" w:rsidRDefault="009A7924" w:rsidP="009A7924">
      <w:pPr>
        <w:spacing w:after="0" w:line="240" w:lineRule="auto"/>
      </w:pPr>
      <w:r w:rsidRPr="00535A05">
        <w:t>Los principales ingresos con contraprestación reconocidos durante el periodo objeto de informe se presentan en el siguiente cuadro:</w:t>
      </w:r>
    </w:p>
    <w:p w14:paraId="1E7A3977" w14:textId="77777777" w:rsidR="009A7924" w:rsidRPr="009A7924" w:rsidRDefault="009A7924" w:rsidP="009A7924">
      <w:pPr>
        <w:spacing w:after="0" w:line="240" w:lineRule="auto"/>
        <w:rPr>
          <w:highlight w:val="yellow"/>
        </w:rPr>
      </w:pPr>
    </w:p>
    <w:tbl>
      <w:tblPr>
        <w:tblW w:w="7822" w:type="dxa"/>
        <w:tblLook w:val="04A0" w:firstRow="1" w:lastRow="0" w:firstColumn="1" w:lastColumn="0" w:noHBand="0" w:noVBand="1"/>
      </w:tblPr>
      <w:tblGrid>
        <w:gridCol w:w="1311"/>
        <w:gridCol w:w="5200"/>
        <w:gridCol w:w="1311"/>
      </w:tblGrid>
      <w:tr w:rsidR="009A7924" w:rsidRPr="009A7924" w14:paraId="34211275" w14:textId="77777777" w:rsidTr="00535A05">
        <w:trPr>
          <w:trHeight w:val="470"/>
        </w:trPr>
        <w:tc>
          <w:tcPr>
            <w:tcW w:w="1311" w:type="dxa"/>
            <w:tcBorders>
              <w:top w:val="single" w:sz="8" w:space="0" w:color="auto"/>
              <w:left w:val="single" w:sz="8" w:space="0" w:color="auto"/>
              <w:bottom w:val="single" w:sz="4" w:space="0" w:color="auto"/>
              <w:right w:val="single" w:sz="8" w:space="0" w:color="auto"/>
            </w:tcBorders>
            <w:shd w:val="clear" w:color="000000" w:fill="366092"/>
            <w:vAlign w:val="center"/>
            <w:hideMark/>
          </w:tcPr>
          <w:p w14:paraId="51FB3B9C" w14:textId="77777777" w:rsidR="009A7924" w:rsidRPr="00535A05" w:rsidRDefault="009A7924" w:rsidP="0061790F">
            <w:pPr>
              <w:spacing w:after="0" w:line="240" w:lineRule="auto"/>
              <w:jc w:val="center"/>
              <w:rPr>
                <w:rFonts w:eastAsia="Times New Roman" w:cs="Calibri"/>
                <w:b/>
                <w:bCs/>
                <w:color w:val="FFFFFF"/>
                <w:sz w:val="20"/>
                <w:szCs w:val="20"/>
                <w:lang w:val="en-US"/>
              </w:rPr>
            </w:pPr>
            <w:proofErr w:type="spellStart"/>
            <w:r w:rsidRPr="00535A05">
              <w:rPr>
                <w:rFonts w:eastAsia="Times New Roman" w:cs="Calibri"/>
                <w:b/>
                <w:bCs/>
                <w:color w:val="FFFFFF"/>
                <w:sz w:val="20"/>
                <w:szCs w:val="20"/>
                <w:lang w:val="en-US"/>
              </w:rPr>
              <w:t>Cuenta</w:t>
            </w:r>
            <w:proofErr w:type="spellEnd"/>
          </w:p>
        </w:tc>
        <w:tc>
          <w:tcPr>
            <w:tcW w:w="5200" w:type="dxa"/>
            <w:tcBorders>
              <w:top w:val="single" w:sz="8" w:space="0" w:color="auto"/>
              <w:left w:val="nil"/>
              <w:bottom w:val="single" w:sz="4" w:space="0" w:color="auto"/>
              <w:right w:val="single" w:sz="8" w:space="0" w:color="auto"/>
            </w:tcBorders>
            <w:shd w:val="clear" w:color="000000" w:fill="366092"/>
            <w:vAlign w:val="center"/>
            <w:hideMark/>
          </w:tcPr>
          <w:p w14:paraId="2E2A9E0C" w14:textId="77777777" w:rsidR="009A7924" w:rsidRPr="00535A05" w:rsidRDefault="009A7924" w:rsidP="0061790F">
            <w:pPr>
              <w:spacing w:after="0" w:line="240" w:lineRule="auto"/>
              <w:jc w:val="center"/>
              <w:rPr>
                <w:rFonts w:eastAsia="Times New Roman" w:cs="Calibri"/>
                <w:b/>
                <w:bCs/>
                <w:color w:val="FFFFFF"/>
                <w:sz w:val="20"/>
                <w:szCs w:val="20"/>
                <w:lang w:val="en-US"/>
              </w:rPr>
            </w:pPr>
            <w:proofErr w:type="spellStart"/>
            <w:r w:rsidRPr="00535A05">
              <w:rPr>
                <w:rFonts w:eastAsia="Times New Roman" w:cs="Calibri"/>
                <w:b/>
                <w:bCs/>
                <w:color w:val="FFFFFF"/>
                <w:sz w:val="20"/>
                <w:szCs w:val="20"/>
                <w:lang w:val="en-US"/>
              </w:rPr>
              <w:t>Descripción</w:t>
            </w:r>
            <w:proofErr w:type="spellEnd"/>
          </w:p>
        </w:tc>
        <w:tc>
          <w:tcPr>
            <w:tcW w:w="1311" w:type="dxa"/>
            <w:tcBorders>
              <w:top w:val="single" w:sz="8" w:space="0" w:color="auto"/>
              <w:left w:val="nil"/>
              <w:bottom w:val="single" w:sz="4" w:space="0" w:color="auto"/>
              <w:right w:val="single" w:sz="8" w:space="0" w:color="auto"/>
            </w:tcBorders>
            <w:shd w:val="clear" w:color="000000" w:fill="366092"/>
            <w:vAlign w:val="center"/>
            <w:hideMark/>
          </w:tcPr>
          <w:p w14:paraId="33FE0C0D" w14:textId="4829B964" w:rsidR="009A7924" w:rsidRPr="00535A05" w:rsidRDefault="009A7924" w:rsidP="0061790F">
            <w:pPr>
              <w:spacing w:after="0" w:line="240" w:lineRule="auto"/>
              <w:jc w:val="center"/>
              <w:rPr>
                <w:rFonts w:eastAsia="Times New Roman" w:cs="Calibri"/>
                <w:b/>
                <w:bCs/>
                <w:color w:val="FFFFFF"/>
                <w:sz w:val="20"/>
                <w:szCs w:val="20"/>
                <w:lang w:val="en-US"/>
              </w:rPr>
            </w:pPr>
            <w:r w:rsidRPr="00535A05">
              <w:rPr>
                <w:rFonts w:eastAsia="Times New Roman" w:cs="Calibri"/>
                <w:b/>
                <w:bCs/>
                <w:color w:val="FFFFFF"/>
                <w:sz w:val="20"/>
                <w:szCs w:val="20"/>
                <w:lang w:val="en-US"/>
              </w:rPr>
              <w:t>Saldo Actual</w:t>
            </w:r>
          </w:p>
        </w:tc>
      </w:tr>
      <w:tr w:rsidR="00535A05" w:rsidRPr="009A7924" w14:paraId="3D65EE26" w14:textId="77777777" w:rsidTr="00535A05">
        <w:trPr>
          <w:trHeight w:val="290"/>
        </w:trPr>
        <w:tc>
          <w:tcPr>
            <w:tcW w:w="1311" w:type="dxa"/>
            <w:tcBorders>
              <w:top w:val="single" w:sz="4" w:space="0" w:color="auto"/>
              <w:left w:val="single" w:sz="4" w:space="0" w:color="auto"/>
              <w:right w:val="single" w:sz="4" w:space="0" w:color="auto"/>
            </w:tcBorders>
            <w:shd w:val="clear" w:color="000000" w:fill="FFFFFF"/>
            <w:noWrap/>
            <w:vAlign w:val="bottom"/>
            <w:hideMark/>
          </w:tcPr>
          <w:p w14:paraId="73CDF422" w14:textId="77777777" w:rsidR="00535A05" w:rsidRPr="00535A05" w:rsidRDefault="00535A05" w:rsidP="00535A05">
            <w:pPr>
              <w:spacing w:after="0" w:line="240" w:lineRule="auto"/>
              <w:jc w:val="left"/>
              <w:rPr>
                <w:rFonts w:eastAsia="Times New Roman" w:cs="Calibri"/>
                <w:b/>
                <w:bCs/>
                <w:color w:val="000000"/>
                <w:sz w:val="20"/>
                <w:szCs w:val="20"/>
                <w:lang w:val="en-US"/>
              </w:rPr>
            </w:pPr>
            <w:r w:rsidRPr="00535A05">
              <w:rPr>
                <w:rFonts w:eastAsia="Times New Roman" w:cs="Calibri"/>
                <w:b/>
                <w:bCs/>
                <w:color w:val="000000"/>
                <w:sz w:val="20"/>
                <w:szCs w:val="20"/>
                <w:lang w:val="en-US"/>
              </w:rPr>
              <w:t>4.4.1.02.04.</w:t>
            </w:r>
          </w:p>
        </w:tc>
        <w:tc>
          <w:tcPr>
            <w:tcW w:w="5200" w:type="dxa"/>
            <w:tcBorders>
              <w:top w:val="single" w:sz="4" w:space="0" w:color="auto"/>
              <w:left w:val="single" w:sz="4" w:space="0" w:color="auto"/>
              <w:right w:val="single" w:sz="4" w:space="0" w:color="auto"/>
            </w:tcBorders>
            <w:shd w:val="clear" w:color="auto" w:fill="auto"/>
            <w:noWrap/>
            <w:vAlign w:val="bottom"/>
            <w:hideMark/>
          </w:tcPr>
          <w:p w14:paraId="3F1BB031" w14:textId="77777777" w:rsidR="00535A05" w:rsidRPr="00535A05" w:rsidRDefault="00535A05" w:rsidP="00535A05">
            <w:pPr>
              <w:spacing w:after="0" w:line="240" w:lineRule="auto"/>
              <w:jc w:val="left"/>
              <w:rPr>
                <w:rFonts w:eastAsia="Times New Roman" w:cs="Calibri"/>
                <w:b/>
                <w:bCs/>
                <w:color w:val="000000"/>
                <w:sz w:val="20"/>
                <w:szCs w:val="20"/>
                <w:lang w:val="en-US"/>
              </w:rPr>
            </w:pPr>
            <w:proofErr w:type="spellStart"/>
            <w:r w:rsidRPr="00535A05">
              <w:rPr>
                <w:rFonts w:eastAsia="Times New Roman" w:cs="Calibri"/>
                <w:b/>
                <w:bCs/>
                <w:color w:val="000000"/>
                <w:sz w:val="20"/>
                <w:szCs w:val="20"/>
                <w:lang w:val="en-US"/>
              </w:rPr>
              <w:t>Servicios</w:t>
            </w:r>
            <w:proofErr w:type="spellEnd"/>
            <w:r w:rsidRPr="00535A05">
              <w:rPr>
                <w:rFonts w:eastAsia="Times New Roman" w:cs="Calibri"/>
                <w:b/>
                <w:bCs/>
                <w:color w:val="000000"/>
                <w:sz w:val="20"/>
                <w:szCs w:val="20"/>
                <w:lang w:val="en-US"/>
              </w:rPr>
              <w:t xml:space="preserve"> </w:t>
            </w:r>
            <w:proofErr w:type="spellStart"/>
            <w:r w:rsidRPr="00535A05">
              <w:rPr>
                <w:rFonts w:eastAsia="Times New Roman" w:cs="Calibri"/>
                <w:b/>
                <w:bCs/>
                <w:color w:val="000000"/>
                <w:sz w:val="20"/>
                <w:szCs w:val="20"/>
                <w:lang w:val="en-US"/>
              </w:rPr>
              <w:t>comunitarios</w:t>
            </w:r>
            <w:proofErr w:type="spellEnd"/>
          </w:p>
        </w:tc>
        <w:tc>
          <w:tcPr>
            <w:tcW w:w="1311" w:type="dxa"/>
            <w:tcBorders>
              <w:top w:val="single" w:sz="4" w:space="0" w:color="auto"/>
              <w:left w:val="single" w:sz="4" w:space="0" w:color="auto"/>
              <w:right w:val="single" w:sz="4" w:space="0" w:color="auto"/>
            </w:tcBorders>
            <w:shd w:val="clear" w:color="000000" w:fill="FFFFFF"/>
            <w:noWrap/>
            <w:vAlign w:val="bottom"/>
            <w:hideMark/>
          </w:tcPr>
          <w:p w14:paraId="24431AC0" w14:textId="7AD975CD" w:rsidR="00535A05" w:rsidRPr="00535A05" w:rsidRDefault="00535A05" w:rsidP="00535A05">
            <w:pPr>
              <w:spacing w:after="0" w:line="240" w:lineRule="auto"/>
              <w:jc w:val="left"/>
              <w:rPr>
                <w:rFonts w:eastAsia="Times New Roman" w:cs="Calibri"/>
                <w:b/>
                <w:color w:val="000000"/>
                <w:sz w:val="20"/>
                <w:szCs w:val="20"/>
                <w:lang w:val="en-US"/>
              </w:rPr>
            </w:pPr>
            <w:r w:rsidRPr="00535A05">
              <w:rPr>
                <w:rFonts w:ascii="Arial" w:hAnsi="Arial" w:cs="Arial"/>
                <w:b/>
                <w:bCs/>
                <w:color w:val="000000"/>
                <w:sz w:val="18"/>
                <w:szCs w:val="18"/>
              </w:rPr>
              <w:t>₡</w:t>
            </w:r>
            <w:r w:rsidRPr="00535A05">
              <w:rPr>
                <w:rFonts w:cs="Calibri"/>
                <w:b/>
                <w:bCs/>
                <w:color w:val="000000"/>
                <w:sz w:val="18"/>
                <w:szCs w:val="18"/>
              </w:rPr>
              <w:t>503 116,22</w:t>
            </w:r>
          </w:p>
        </w:tc>
      </w:tr>
      <w:tr w:rsidR="00535A05" w:rsidRPr="009A7924" w14:paraId="38EE7E71" w14:textId="77777777" w:rsidTr="00535A05">
        <w:trPr>
          <w:trHeight w:val="290"/>
        </w:trPr>
        <w:tc>
          <w:tcPr>
            <w:tcW w:w="1311" w:type="dxa"/>
            <w:tcBorders>
              <w:top w:val="nil"/>
              <w:left w:val="single" w:sz="4" w:space="0" w:color="auto"/>
              <w:right w:val="single" w:sz="4" w:space="0" w:color="auto"/>
            </w:tcBorders>
            <w:shd w:val="clear" w:color="000000" w:fill="FFFFFF"/>
            <w:noWrap/>
            <w:vAlign w:val="bottom"/>
            <w:hideMark/>
          </w:tcPr>
          <w:p w14:paraId="0A6DFCB4" w14:textId="77777777" w:rsidR="00535A05" w:rsidRPr="00535A05" w:rsidRDefault="00535A05" w:rsidP="00535A05">
            <w:pPr>
              <w:spacing w:after="0" w:line="240" w:lineRule="auto"/>
              <w:jc w:val="left"/>
              <w:rPr>
                <w:rFonts w:eastAsia="Times New Roman" w:cs="Calibri"/>
                <w:color w:val="000000"/>
                <w:sz w:val="20"/>
                <w:szCs w:val="20"/>
                <w:lang w:val="en-US"/>
              </w:rPr>
            </w:pPr>
            <w:r w:rsidRPr="00535A05">
              <w:rPr>
                <w:rFonts w:eastAsia="Times New Roman" w:cs="Calibri"/>
                <w:color w:val="000000"/>
                <w:sz w:val="20"/>
                <w:szCs w:val="20"/>
                <w:lang w:val="en-US"/>
              </w:rPr>
              <w:t>4.4.1.02.04.03.</w:t>
            </w:r>
          </w:p>
        </w:tc>
        <w:tc>
          <w:tcPr>
            <w:tcW w:w="5200" w:type="dxa"/>
            <w:tcBorders>
              <w:top w:val="nil"/>
              <w:left w:val="single" w:sz="4" w:space="0" w:color="auto"/>
              <w:right w:val="single" w:sz="4" w:space="0" w:color="auto"/>
            </w:tcBorders>
            <w:shd w:val="clear" w:color="auto" w:fill="auto"/>
            <w:noWrap/>
            <w:vAlign w:val="bottom"/>
            <w:hideMark/>
          </w:tcPr>
          <w:p w14:paraId="38843126" w14:textId="77777777" w:rsidR="00535A05" w:rsidRPr="00535A05" w:rsidRDefault="00535A05" w:rsidP="00535A05">
            <w:pPr>
              <w:spacing w:after="0" w:line="240" w:lineRule="auto"/>
              <w:jc w:val="left"/>
              <w:rPr>
                <w:rFonts w:eastAsia="Times New Roman" w:cs="Calibri"/>
                <w:color w:val="000000"/>
                <w:sz w:val="20"/>
                <w:szCs w:val="20"/>
                <w:lang w:val="en-US"/>
              </w:rPr>
            </w:pPr>
            <w:proofErr w:type="spellStart"/>
            <w:r w:rsidRPr="00535A05">
              <w:rPr>
                <w:rFonts w:eastAsia="Times New Roman" w:cs="Calibri"/>
                <w:color w:val="000000"/>
                <w:sz w:val="20"/>
                <w:szCs w:val="20"/>
                <w:lang w:val="en-US"/>
              </w:rPr>
              <w:t>Servicios</w:t>
            </w:r>
            <w:proofErr w:type="spellEnd"/>
            <w:r w:rsidRPr="00535A05">
              <w:rPr>
                <w:rFonts w:eastAsia="Times New Roman" w:cs="Calibri"/>
                <w:color w:val="000000"/>
                <w:sz w:val="20"/>
                <w:szCs w:val="20"/>
                <w:lang w:val="en-US"/>
              </w:rPr>
              <w:t xml:space="preserve"> de </w:t>
            </w:r>
            <w:proofErr w:type="spellStart"/>
            <w:r w:rsidRPr="00535A05">
              <w:rPr>
                <w:rFonts w:eastAsia="Times New Roman" w:cs="Calibri"/>
                <w:color w:val="000000"/>
                <w:sz w:val="20"/>
                <w:szCs w:val="20"/>
                <w:lang w:val="en-US"/>
              </w:rPr>
              <w:t>Cementerio</w:t>
            </w:r>
            <w:proofErr w:type="spellEnd"/>
          </w:p>
        </w:tc>
        <w:tc>
          <w:tcPr>
            <w:tcW w:w="1311" w:type="dxa"/>
            <w:tcBorders>
              <w:top w:val="nil"/>
              <w:left w:val="single" w:sz="4" w:space="0" w:color="auto"/>
              <w:right w:val="single" w:sz="4" w:space="0" w:color="auto"/>
            </w:tcBorders>
            <w:shd w:val="clear" w:color="000000" w:fill="FFFFFF"/>
            <w:noWrap/>
            <w:vAlign w:val="bottom"/>
            <w:hideMark/>
          </w:tcPr>
          <w:p w14:paraId="425E5BA4" w14:textId="3EAADF4F" w:rsidR="00535A05" w:rsidRPr="00535A05" w:rsidRDefault="00535A05" w:rsidP="00535A05">
            <w:pPr>
              <w:spacing w:after="0" w:line="240" w:lineRule="auto"/>
              <w:jc w:val="right"/>
              <w:rPr>
                <w:rFonts w:eastAsia="Times New Roman" w:cs="Calibri"/>
                <w:color w:val="000000"/>
                <w:sz w:val="20"/>
                <w:szCs w:val="20"/>
                <w:lang w:val="en-US"/>
              </w:rPr>
            </w:pPr>
            <w:r w:rsidRPr="00535A05">
              <w:rPr>
                <w:rFonts w:ascii="Arial" w:hAnsi="Arial" w:cs="Arial"/>
                <w:color w:val="000000"/>
                <w:sz w:val="18"/>
                <w:szCs w:val="18"/>
              </w:rPr>
              <w:t>₡</w:t>
            </w:r>
            <w:r w:rsidRPr="00535A05">
              <w:rPr>
                <w:rFonts w:cs="Calibri"/>
                <w:color w:val="000000"/>
                <w:sz w:val="18"/>
                <w:szCs w:val="18"/>
              </w:rPr>
              <w:t>37 075,26</w:t>
            </w:r>
          </w:p>
        </w:tc>
      </w:tr>
      <w:tr w:rsidR="00535A05" w:rsidRPr="009A7924" w14:paraId="0CEDA605" w14:textId="77777777" w:rsidTr="00535A05">
        <w:trPr>
          <w:trHeight w:val="290"/>
        </w:trPr>
        <w:tc>
          <w:tcPr>
            <w:tcW w:w="1311" w:type="dxa"/>
            <w:tcBorders>
              <w:top w:val="nil"/>
              <w:left w:val="single" w:sz="4" w:space="0" w:color="auto"/>
              <w:right w:val="single" w:sz="4" w:space="0" w:color="auto"/>
            </w:tcBorders>
            <w:shd w:val="clear" w:color="000000" w:fill="FFFFFF"/>
            <w:noWrap/>
            <w:vAlign w:val="bottom"/>
            <w:hideMark/>
          </w:tcPr>
          <w:p w14:paraId="3075830D" w14:textId="77777777" w:rsidR="00535A05" w:rsidRPr="00535A05" w:rsidRDefault="00535A05" w:rsidP="00535A05">
            <w:pPr>
              <w:spacing w:after="0" w:line="240" w:lineRule="auto"/>
              <w:jc w:val="left"/>
              <w:rPr>
                <w:rFonts w:eastAsia="Times New Roman" w:cs="Calibri"/>
                <w:color w:val="000000"/>
                <w:sz w:val="20"/>
                <w:szCs w:val="20"/>
                <w:lang w:val="en-US"/>
              </w:rPr>
            </w:pPr>
            <w:r w:rsidRPr="00535A05">
              <w:rPr>
                <w:rFonts w:eastAsia="Times New Roman" w:cs="Calibri"/>
                <w:color w:val="000000"/>
                <w:sz w:val="20"/>
                <w:szCs w:val="20"/>
                <w:lang w:val="en-US"/>
              </w:rPr>
              <w:t>4.4.1.02.04.04.</w:t>
            </w:r>
          </w:p>
        </w:tc>
        <w:tc>
          <w:tcPr>
            <w:tcW w:w="5200" w:type="dxa"/>
            <w:tcBorders>
              <w:top w:val="nil"/>
              <w:left w:val="single" w:sz="4" w:space="0" w:color="auto"/>
              <w:right w:val="single" w:sz="4" w:space="0" w:color="auto"/>
            </w:tcBorders>
            <w:shd w:val="clear" w:color="auto" w:fill="auto"/>
            <w:noWrap/>
            <w:vAlign w:val="bottom"/>
            <w:hideMark/>
          </w:tcPr>
          <w:p w14:paraId="273166EF" w14:textId="77777777" w:rsidR="00535A05" w:rsidRPr="00535A05" w:rsidRDefault="00535A05" w:rsidP="00535A05">
            <w:pPr>
              <w:spacing w:after="0" w:line="240" w:lineRule="auto"/>
              <w:jc w:val="left"/>
              <w:rPr>
                <w:rFonts w:eastAsia="Times New Roman" w:cs="Calibri"/>
                <w:color w:val="000000"/>
                <w:sz w:val="20"/>
                <w:szCs w:val="20"/>
                <w:lang w:val="en-US"/>
              </w:rPr>
            </w:pPr>
            <w:proofErr w:type="spellStart"/>
            <w:r w:rsidRPr="00535A05">
              <w:rPr>
                <w:rFonts w:eastAsia="Times New Roman" w:cs="Calibri"/>
                <w:color w:val="000000"/>
                <w:sz w:val="20"/>
                <w:szCs w:val="20"/>
                <w:lang w:val="en-US"/>
              </w:rPr>
              <w:t>Servicios</w:t>
            </w:r>
            <w:proofErr w:type="spellEnd"/>
            <w:r w:rsidRPr="00535A05">
              <w:rPr>
                <w:rFonts w:eastAsia="Times New Roman" w:cs="Calibri"/>
                <w:color w:val="000000"/>
                <w:sz w:val="20"/>
                <w:szCs w:val="20"/>
                <w:lang w:val="en-US"/>
              </w:rPr>
              <w:t xml:space="preserve"> de </w:t>
            </w:r>
            <w:proofErr w:type="spellStart"/>
            <w:r w:rsidRPr="00535A05">
              <w:rPr>
                <w:rFonts w:eastAsia="Times New Roman" w:cs="Calibri"/>
                <w:color w:val="000000"/>
                <w:sz w:val="20"/>
                <w:szCs w:val="20"/>
                <w:lang w:val="en-US"/>
              </w:rPr>
              <w:t>saneamiento</w:t>
            </w:r>
            <w:proofErr w:type="spellEnd"/>
            <w:r w:rsidRPr="00535A05">
              <w:rPr>
                <w:rFonts w:eastAsia="Times New Roman" w:cs="Calibri"/>
                <w:color w:val="000000"/>
                <w:sz w:val="20"/>
                <w:szCs w:val="20"/>
                <w:lang w:val="en-US"/>
              </w:rPr>
              <w:t xml:space="preserve"> </w:t>
            </w:r>
            <w:proofErr w:type="spellStart"/>
            <w:r w:rsidRPr="00535A05">
              <w:rPr>
                <w:rFonts w:eastAsia="Times New Roman" w:cs="Calibri"/>
                <w:color w:val="000000"/>
                <w:sz w:val="20"/>
                <w:szCs w:val="20"/>
                <w:lang w:val="en-US"/>
              </w:rPr>
              <w:t>Ambiental</w:t>
            </w:r>
            <w:proofErr w:type="spellEnd"/>
          </w:p>
        </w:tc>
        <w:tc>
          <w:tcPr>
            <w:tcW w:w="1311" w:type="dxa"/>
            <w:tcBorders>
              <w:top w:val="nil"/>
              <w:left w:val="single" w:sz="4" w:space="0" w:color="auto"/>
              <w:right w:val="single" w:sz="4" w:space="0" w:color="auto"/>
            </w:tcBorders>
            <w:shd w:val="clear" w:color="000000" w:fill="FFFFFF"/>
            <w:noWrap/>
            <w:vAlign w:val="bottom"/>
            <w:hideMark/>
          </w:tcPr>
          <w:p w14:paraId="2D46B72B" w14:textId="56060955" w:rsidR="00535A05" w:rsidRPr="00535A05" w:rsidRDefault="00535A05" w:rsidP="00535A05">
            <w:pPr>
              <w:spacing w:after="0" w:line="240" w:lineRule="auto"/>
              <w:jc w:val="right"/>
              <w:rPr>
                <w:rFonts w:eastAsia="Times New Roman" w:cs="Calibri"/>
                <w:color w:val="000000"/>
                <w:sz w:val="20"/>
                <w:szCs w:val="20"/>
                <w:lang w:val="en-US"/>
              </w:rPr>
            </w:pPr>
            <w:r w:rsidRPr="00535A05">
              <w:rPr>
                <w:rFonts w:ascii="Arial" w:hAnsi="Arial" w:cs="Arial"/>
                <w:color w:val="000000"/>
                <w:sz w:val="18"/>
                <w:szCs w:val="18"/>
              </w:rPr>
              <w:t>₡</w:t>
            </w:r>
            <w:r w:rsidRPr="00535A05">
              <w:rPr>
                <w:rFonts w:cs="Calibri"/>
                <w:color w:val="000000"/>
                <w:sz w:val="18"/>
                <w:szCs w:val="18"/>
              </w:rPr>
              <w:t>466 040,96</w:t>
            </w:r>
          </w:p>
        </w:tc>
      </w:tr>
      <w:tr w:rsidR="00535A05" w:rsidRPr="009A7924" w14:paraId="3D008842" w14:textId="77777777" w:rsidTr="00535A05">
        <w:trPr>
          <w:trHeight w:val="290"/>
        </w:trPr>
        <w:tc>
          <w:tcPr>
            <w:tcW w:w="1311" w:type="dxa"/>
            <w:tcBorders>
              <w:top w:val="nil"/>
              <w:left w:val="single" w:sz="4" w:space="0" w:color="auto"/>
              <w:right w:val="single" w:sz="4" w:space="0" w:color="auto"/>
            </w:tcBorders>
            <w:shd w:val="clear" w:color="000000" w:fill="FFFFFF"/>
            <w:noWrap/>
            <w:vAlign w:val="bottom"/>
            <w:hideMark/>
          </w:tcPr>
          <w:p w14:paraId="1406C68A" w14:textId="77777777" w:rsidR="00535A05" w:rsidRPr="00535A05" w:rsidRDefault="00535A05" w:rsidP="00535A05">
            <w:pPr>
              <w:spacing w:after="0" w:line="240" w:lineRule="auto"/>
              <w:jc w:val="left"/>
              <w:rPr>
                <w:rFonts w:eastAsia="Times New Roman" w:cs="Calibri"/>
                <w:b/>
                <w:bCs/>
                <w:color w:val="000000"/>
                <w:sz w:val="20"/>
                <w:szCs w:val="20"/>
                <w:lang w:val="en-US"/>
              </w:rPr>
            </w:pPr>
            <w:r w:rsidRPr="00535A05">
              <w:rPr>
                <w:rFonts w:eastAsia="Times New Roman" w:cs="Calibri"/>
                <w:b/>
                <w:bCs/>
                <w:color w:val="000000"/>
                <w:sz w:val="20"/>
                <w:szCs w:val="20"/>
                <w:lang w:val="en-US"/>
              </w:rPr>
              <w:t>4.4.1.02.99.</w:t>
            </w:r>
          </w:p>
        </w:tc>
        <w:tc>
          <w:tcPr>
            <w:tcW w:w="5200" w:type="dxa"/>
            <w:tcBorders>
              <w:top w:val="nil"/>
              <w:left w:val="single" w:sz="4" w:space="0" w:color="auto"/>
              <w:right w:val="single" w:sz="4" w:space="0" w:color="auto"/>
            </w:tcBorders>
            <w:shd w:val="clear" w:color="auto" w:fill="auto"/>
            <w:noWrap/>
            <w:vAlign w:val="bottom"/>
            <w:hideMark/>
          </w:tcPr>
          <w:p w14:paraId="62FB62DD" w14:textId="77777777" w:rsidR="00535A05" w:rsidRPr="00535A05" w:rsidRDefault="00535A05" w:rsidP="00535A05">
            <w:pPr>
              <w:spacing w:after="0" w:line="240" w:lineRule="auto"/>
              <w:jc w:val="left"/>
              <w:rPr>
                <w:rFonts w:eastAsia="Times New Roman" w:cs="Calibri"/>
                <w:b/>
                <w:bCs/>
                <w:color w:val="000000"/>
                <w:sz w:val="20"/>
                <w:szCs w:val="20"/>
                <w:lang w:val="en-US"/>
              </w:rPr>
            </w:pPr>
            <w:proofErr w:type="spellStart"/>
            <w:r w:rsidRPr="00535A05">
              <w:rPr>
                <w:rFonts w:eastAsia="Times New Roman" w:cs="Calibri"/>
                <w:b/>
                <w:bCs/>
                <w:color w:val="000000"/>
                <w:sz w:val="20"/>
                <w:szCs w:val="20"/>
                <w:lang w:val="en-US"/>
              </w:rPr>
              <w:t>Otras</w:t>
            </w:r>
            <w:proofErr w:type="spellEnd"/>
            <w:r w:rsidRPr="00535A05">
              <w:rPr>
                <w:rFonts w:eastAsia="Times New Roman" w:cs="Calibri"/>
                <w:b/>
                <w:bCs/>
                <w:color w:val="000000"/>
                <w:sz w:val="20"/>
                <w:szCs w:val="20"/>
                <w:lang w:val="en-US"/>
              </w:rPr>
              <w:t xml:space="preserve"> </w:t>
            </w:r>
            <w:proofErr w:type="spellStart"/>
            <w:r w:rsidRPr="00535A05">
              <w:rPr>
                <w:rFonts w:eastAsia="Times New Roman" w:cs="Calibri"/>
                <w:b/>
                <w:bCs/>
                <w:color w:val="000000"/>
                <w:sz w:val="20"/>
                <w:szCs w:val="20"/>
                <w:lang w:val="en-US"/>
              </w:rPr>
              <w:t>ventas</w:t>
            </w:r>
            <w:proofErr w:type="spellEnd"/>
            <w:r w:rsidRPr="00535A05">
              <w:rPr>
                <w:rFonts w:eastAsia="Times New Roman" w:cs="Calibri"/>
                <w:b/>
                <w:bCs/>
                <w:color w:val="000000"/>
                <w:sz w:val="20"/>
                <w:szCs w:val="20"/>
                <w:lang w:val="en-US"/>
              </w:rPr>
              <w:t xml:space="preserve"> de </w:t>
            </w:r>
            <w:proofErr w:type="spellStart"/>
            <w:r w:rsidRPr="00535A05">
              <w:rPr>
                <w:rFonts w:eastAsia="Times New Roman" w:cs="Calibri"/>
                <w:b/>
                <w:bCs/>
                <w:color w:val="000000"/>
                <w:sz w:val="20"/>
                <w:szCs w:val="20"/>
                <w:lang w:val="en-US"/>
              </w:rPr>
              <w:t>servicios</w:t>
            </w:r>
            <w:proofErr w:type="spellEnd"/>
          </w:p>
        </w:tc>
        <w:tc>
          <w:tcPr>
            <w:tcW w:w="1311" w:type="dxa"/>
            <w:tcBorders>
              <w:top w:val="nil"/>
              <w:left w:val="single" w:sz="4" w:space="0" w:color="auto"/>
              <w:right w:val="single" w:sz="4" w:space="0" w:color="auto"/>
            </w:tcBorders>
            <w:shd w:val="clear" w:color="000000" w:fill="FFFFFF"/>
            <w:noWrap/>
            <w:vAlign w:val="bottom"/>
            <w:hideMark/>
          </w:tcPr>
          <w:p w14:paraId="610CA41B" w14:textId="79F3E727" w:rsidR="00535A05" w:rsidRPr="00535A05" w:rsidRDefault="00535A05" w:rsidP="00535A05">
            <w:pPr>
              <w:spacing w:after="0" w:line="240" w:lineRule="auto"/>
              <w:jc w:val="left"/>
              <w:rPr>
                <w:rFonts w:eastAsia="Times New Roman" w:cs="Calibri"/>
                <w:b/>
                <w:color w:val="000000"/>
                <w:sz w:val="20"/>
                <w:szCs w:val="20"/>
                <w:lang w:val="en-US"/>
              </w:rPr>
            </w:pPr>
            <w:r w:rsidRPr="00535A05">
              <w:rPr>
                <w:rFonts w:ascii="Arial" w:hAnsi="Arial" w:cs="Arial"/>
                <w:b/>
                <w:bCs/>
                <w:color w:val="000000"/>
                <w:sz w:val="18"/>
                <w:szCs w:val="18"/>
              </w:rPr>
              <w:t>₡</w:t>
            </w:r>
            <w:r w:rsidRPr="00535A05">
              <w:rPr>
                <w:rFonts w:cs="Calibri"/>
                <w:b/>
                <w:bCs/>
                <w:color w:val="000000"/>
                <w:sz w:val="18"/>
                <w:szCs w:val="18"/>
              </w:rPr>
              <w:t>73 756,83</w:t>
            </w:r>
          </w:p>
        </w:tc>
      </w:tr>
      <w:tr w:rsidR="00535A05" w:rsidRPr="009A7924" w14:paraId="42ED762D" w14:textId="77777777" w:rsidTr="00535A05">
        <w:trPr>
          <w:trHeight w:val="300"/>
        </w:trPr>
        <w:tc>
          <w:tcPr>
            <w:tcW w:w="1311" w:type="dxa"/>
            <w:tcBorders>
              <w:top w:val="nil"/>
              <w:left w:val="single" w:sz="4" w:space="0" w:color="auto"/>
              <w:right w:val="single" w:sz="4" w:space="0" w:color="auto"/>
            </w:tcBorders>
            <w:shd w:val="clear" w:color="000000" w:fill="FFFFFF"/>
            <w:noWrap/>
            <w:vAlign w:val="bottom"/>
            <w:hideMark/>
          </w:tcPr>
          <w:p w14:paraId="58782DC2" w14:textId="77777777" w:rsidR="00535A05" w:rsidRPr="00535A05" w:rsidRDefault="00535A05" w:rsidP="00535A05">
            <w:pPr>
              <w:spacing w:after="0" w:line="240" w:lineRule="auto"/>
              <w:jc w:val="left"/>
              <w:rPr>
                <w:rFonts w:eastAsia="Times New Roman" w:cs="Calibri"/>
                <w:color w:val="000000"/>
                <w:sz w:val="20"/>
                <w:szCs w:val="20"/>
                <w:lang w:val="en-US"/>
              </w:rPr>
            </w:pPr>
            <w:r w:rsidRPr="00535A05">
              <w:rPr>
                <w:rFonts w:eastAsia="Times New Roman" w:cs="Calibri"/>
                <w:color w:val="000000"/>
                <w:sz w:val="20"/>
                <w:szCs w:val="20"/>
                <w:lang w:val="en-US"/>
              </w:rPr>
              <w:t>4.4.1.02.99.99.</w:t>
            </w:r>
          </w:p>
        </w:tc>
        <w:tc>
          <w:tcPr>
            <w:tcW w:w="5200" w:type="dxa"/>
            <w:tcBorders>
              <w:top w:val="nil"/>
              <w:left w:val="single" w:sz="4" w:space="0" w:color="auto"/>
              <w:right w:val="single" w:sz="4" w:space="0" w:color="auto"/>
            </w:tcBorders>
            <w:shd w:val="clear" w:color="auto" w:fill="auto"/>
            <w:noWrap/>
            <w:vAlign w:val="bottom"/>
            <w:hideMark/>
          </w:tcPr>
          <w:p w14:paraId="158046E4" w14:textId="77777777" w:rsidR="00535A05" w:rsidRPr="00535A05" w:rsidRDefault="00535A05" w:rsidP="00535A05">
            <w:pPr>
              <w:spacing w:after="0" w:line="240" w:lineRule="auto"/>
              <w:jc w:val="left"/>
              <w:rPr>
                <w:rFonts w:eastAsia="Times New Roman" w:cs="Calibri"/>
                <w:color w:val="000000"/>
                <w:sz w:val="20"/>
                <w:szCs w:val="20"/>
              </w:rPr>
            </w:pPr>
            <w:r w:rsidRPr="00535A05">
              <w:rPr>
                <w:rFonts w:eastAsia="Times New Roman" w:cs="Calibri"/>
                <w:color w:val="000000"/>
                <w:sz w:val="20"/>
                <w:szCs w:val="20"/>
              </w:rPr>
              <w:t>Otras ventas de servicios varios</w:t>
            </w:r>
          </w:p>
        </w:tc>
        <w:tc>
          <w:tcPr>
            <w:tcW w:w="1311" w:type="dxa"/>
            <w:tcBorders>
              <w:top w:val="nil"/>
              <w:left w:val="single" w:sz="4" w:space="0" w:color="auto"/>
              <w:right w:val="single" w:sz="4" w:space="0" w:color="auto"/>
            </w:tcBorders>
            <w:shd w:val="clear" w:color="000000" w:fill="FFFFFF"/>
            <w:noWrap/>
            <w:vAlign w:val="bottom"/>
            <w:hideMark/>
          </w:tcPr>
          <w:p w14:paraId="752C6361" w14:textId="68E0BBBE" w:rsidR="00535A05" w:rsidRPr="00535A05" w:rsidRDefault="00535A05" w:rsidP="00535A05">
            <w:pPr>
              <w:spacing w:after="0" w:line="240" w:lineRule="auto"/>
              <w:jc w:val="right"/>
              <w:rPr>
                <w:rFonts w:eastAsia="Times New Roman" w:cs="Calibri"/>
                <w:color w:val="000000"/>
                <w:sz w:val="20"/>
                <w:szCs w:val="20"/>
                <w:lang w:val="en-US"/>
              </w:rPr>
            </w:pPr>
            <w:r w:rsidRPr="00535A05">
              <w:rPr>
                <w:rFonts w:ascii="Arial" w:hAnsi="Arial" w:cs="Arial"/>
                <w:color w:val="000000"/>
                <w:sz w:val="18"/>
                <w:szCs w:val="18"/>
              </w:rPr>
              <w:t>₡</w:t>
            </w:r>
            <w:r w:rsidRPr="00535A05">
              <w:rPr>
                <w:rFonts w:cs="Calibri"/>
                <w:color w:val="000000"/>
                <w:sz w:val="18"/>
                <w:szCs w:val="18"/>
              </w:rPr>
              <w:t>73 756,83</w:t>
            </w:r>
          </w:p>
        </w:tc>
      </w:tr>
      <w:tr w:rsidR="00535A05" w:rsidRPr="009A7924" w14:paraId="2C0D00CE" w14:textId="77777777" w:rsidTr="00535A05">
        <w:trPr>
          <w:trHeight w:val="300"/>
        </w:trPr>
        <w:tc>
          <w:tcPr>
            <w:tcW w:w="1311" w:type="dxa"/>
            <w:tcBorders>
              <w:top w:val="nil"/>
              <w:left w:val="single" w:sz="4" w:space="0" w:color="auto"/>
              <w:right w:val="single" w:sz="4" w:space="0" w:color="auto"/>
            </w:tcBorders>
            <w:shd w:val="clear" w:color="000000" w:fill="FFFFFF"/>
            <w:noWrap/>
            <w:vAlign w:val="bottom"/>
            <w:hideMark/>
          </w:tcPr>
          <w:p w14:paraId="2ADB7297" w14:textId="77777777" w:rsidR="00535A05" w:rsidRPr="00535A05" w:rsidRDefault="00535A05" w:rsidP="00535A05">
            <w:pPr>
              <w:spacing w:after="0" w:line="240" w:lineRule="auto"/>
              <w:jc w:val="left"/>
              <w:rPr>
                <w:rFonts w:eastAsia="Times New Roman" w:cs="Calibri"/>
                <w:b/>
                <w:bCs/>
                <w:color w:val="000000"/>
                <w:sz w:val="20"/>
                <w:szCs w:val="20"/>
                <w:lang w:val="en-US"/>
              </w:rPr>
            </w:pPr>
            <w:r w:rsidRPr="00535A05">
              <w:rPr>
                <w:rFonts w:eastAsia="Times New Roman" w:cs="Calibri"/>
                <w:b/>
                <w:bCs/>
                <w:color w:val="000000"/>
                <w:sz w:val="20"/>
                <w:szCs w:val="20"/>
                <w:lang w:val="en-US"/>
              </w:rPr>
              <w:t>4.4.2.01.</w:t>
            </w:r>
          </w:p>
        </w:tc>
        <w:tc>
          <w:tcPr>
            <w:tcW w:w="5200" w:type="dxa"/>
            <w:tcBorders>
              <w:top w:val="nil"/>
              <w:left w:val="single" w:sz="4" w:space="0" w:color="auto"/>
              <w:right w:val="single" w:sz="4" w:space="0" w:color="auto"/>
            </w:tcBorders>
            <w:shd w:val="clear" w:color="auto" w:fill="auto"/>
            <w:noWrap/>
            <w:vAlign w:val="bottom"/>
            <w:hideMark/>
          </w:tcPr>
          <w:p w14:paraId="3FC7E751" w14:textId="77777777" w:rsidR="00535A05" w:rsidRPr="00535A05" w:rsidRDefault="00535A05" w:rsidP="00535A05">
            <w:pPr>
              <w:spacing w:after="0" w:line="240" w:lineRule="auto"/>
              <w:jc w:val="left"/>
              <w:rPr>
                <w:rFonts w:eastAsia="Times New Roman" w:cs="Calibri"/>
                <w:b/>
                <w:bCs/>
                <w:color w:val="000000"/>
                <w:sz w:val="20"/>
                <w:szCs w:val="20"/>
              </w:rPr>
            </w:pPr>
            <w:r w:rsidRPr="00535A05">
              <w:rPr>
                <w:rFonts w:eastAsia="Times New Roman" w:cs="Calibri"/>
                <w:b/>
                <w:bCs/>
                <w:color w:val="000000"/>
                <w:sz w:val="20"/>
                <w:szCs w:val="20"/>
              </w:rPr>
              <w:t>Derechos administrativos a los servicios de transporte</w:t>
            </w:r>
          </w:p>
        </w:tc>
        <w:tc>
          <w:tcPr>
            <w:tcW w:w="1311" w:type="dxa"/>
            <w:tcBorders>
              <w:top w:val="nil"/>
              <w:left w:val="single" w:sz="4" w:space="0" w:color="auto"/>
              <w:right w:val="single" w:sz="4" w:space="0" w:color="auto"/>
            </w:tcBorders>
            <w:shd w:val="clear" w:color="000000" w:fill="FFFFFF"/>
            <w:noWrap/>
            <w:vAlign w:val="bottom"/>
            <w:hideMark/>
          </w:tcPr>
          <w:p w14:paraId="7301EDCF" w14:textId="7995ED4C" w:rsidR="00535A05" w:rsidRPr="00535A05" w:rsidRDefault="00535A05" w:rsidP="00535A05">
            <w:pPr>
              <w:spacing w:after="0" w:line="240" w:lineRule="auto"/>
              <w:jc w:val="left"/>
              <w:rPr>
                <w:rFonts w:eastAsia="Times New Roman" w:cs="Calibri"/>
                <w:b/>
                <w:bCs/>
                <w:color w:val="000000"/>
                <w:sz w:val="20"/>
                <w:szCs w:val="20"/>
              </w:rPr>
            </w:pPr>
            <w:r w:rsidRPr="00535A05">
              <w:rPr>
                <w:rFonts w:cs="Calibri"/>
                <w:b/>
                <w:bCs/>
                <w:color w:val="000000"/>
                <w:sz w:val="20"/>
                <w:szCs w:val="20"/>
              </w:rPr>
              <w:t xml:space="preserve"> </w:t>
            </w:r>
            <w:r w:rsidRPr="00535A05">
              <w:rPr>
                <w:rFonts w:ascii="Arial" w:hAnsi="Arial" w:cs="Arial"/>
                <w:b/>
                <w:bCs/>
                <w:color w:val="000000"/>
                <w:sz w:val="20"/>
                <w:szCs w:val="20"/>
              </w:rPr>
              <w:t>₡</w:t>
            </w:r>
            <w:r w:rsidRPr="00535A05">
              <w:rPr>
                <w:rFonts w:cs="Calibri"/>
                <w:b/>
                <w:bCs/>
                <w:color w:val="000000"/>
                <w:sz w:val="20"/>
                <w:szCs w:val="20"/>
              </w:rPr>
              <w:t xml:space="preserve">   440,00 </w:t>
            </w:r>
          </w:p>
        </w:tc>
      </w:tr>
      <w:tr w:rsidR="00535A05" w:rsidRPr="009A7924" w14:paraId="4C794309" w14:textId="77777777" w:rsidTr="00535A05">
        <w:trPr>
          <w:trHeight w:val="290"/>
        </w:trPr>
        <w:tc>
          <w:tcPr>
            <w:tcW w:w="1311" w:type="dxa"/>
            <w:tcBorders>
              <w:top w:val="nil"/>
              <w:left w:val="single" w:sz="4" w:space="0" w:color="auto"/>
              <w:right w:val="single" w:sz="4" w:space="0" w:color="auto"/>
            </w:tcBorders>
            <w:shd w:val="clear" w:color="000000" w:fill="FFFFFF"/>
            <w:noWrap/>
            <w:vAlign w:val="bottom"/>
            <w:hideMark/>
          </w:tcPr>
          <w:p w14:paraId="09E4BA2D" w14:textId="77777777" w:rsidR="00535A05" w:rsidRPr="00535A05" w:rsidRDefault="00535A05" w:rsidP="00535A05">
            <w:pPr>
              <w:spacing w:after="0" w:line="240" w:lineRule="auto"/>
              <w:jc w:val="left"/>
              <w:rPr>
                <w:rFonts w:eastAsia="Times New Roman" w:cs="Calibri"/>
                <w:color w:val="000000"/>
                <w:sz w:val="20"/>
                <w:szCs w:val="20"/>
                <w:lang w:val="en-US"/>
              </w:rPr>
            </w:pPr>
            <w:r w:rsidRPr="00535A05">
              <w:rPr>
                <w:rFonts w:eastAsia="Times New Roman" w:cs="Calibri"/>
                <w:color w:val="000000"/>
                <w:sz w:val="20"/>
                <w:szCs w:val="20"/>
                <w:lang w:val="en-US"/>
              </w:rPr>
              <w:t>4.4.2.01.01</w:t>
            </w:r>
          </w:p>
        </w:tc>
        <w:tc>
          <w:tcPr>
            <w:tcW w:w="5200" w:type="dxa"/>
            <w:tcBorders>
              <w:top w:val="nil"/>
              <w:left w:val="single" w:sz="4" w:space="0" w:color="auto"/>
              <w:right w:val="single" w:sz="4" w:space="0" w:color="auto"/>
            </w:tcBorders>
            <w:shd w:val="clear" w:color="auto" w:fill="auto"/>
            <w:noWrap/>
            <w:vAlign w:val="bottom"/>
            <w:hideMark/>
          </w:tcPr>
          <w:p w14:paraId="26C713EF" w14:textId="77777777" w:rsidR="00535A05" w:rsidRPr="00535A05" w:rsidRDefault="00535A05" w:rsidP="00535A05">
            <w:pPr>
              <w:spacing w:after="0" w:line="240" w:lineRule="auto"/>
              <w:jc w:val="left"/>
              <w:rPr>
                <w:rFonts w:eastAsia="Times New Roman" w:cs="Calibri"/>
                <w:color w:val="000000"/>
                <w:sz w:val="20"/>
                <w:szCs w:val="20"/>
              </w:rPr>
            </w:pPr>
            <w:r w:rsidRPr="00535A05">
              <w:rPr>
                <w:rFonts w:eastAsia="Times New Roman" w:cs="Calibri"/>
                <w:color w:val="000000"/>
                <w:sz w:val="20"/>
                <w:szCs w:val="20"/>
              </w:rPr>
              <w:t>Derechos administrativos a los servicios de transporte por carretera</w:t>
            </w:r>
          </w:p>
        </w:tc>
        <w:tc>
          <w:tcPr>
            <w:tcW w:w="1311" w:type="dxa"/>
            <w:tcBorders>
              <w:top w:val="nil"/>
              <w:left w:val="single" w:sz="4" w:space="0" w:color="auto"/>
              <w:right w:val="single" w:sz="4" w:space="0" w:color="auto"/>
            </w:tcBorders>
            <w:shd w:val="clear" w:color="000000" w:fill="FFFFFF"/>
            <w:noWrap/>
            <w:vAlign w:val="bottom"/>
            <w:hideMark/>
          </w:tcPr>
          <w:p w14:paraId="3E548B85" w14:textId="0C24E0D5" w:rsidR="00535A05" w:rsidRPr="00535A05" w:rsidRDefault="00535A05" w:rsidP="00535A05">
            <w:pPr>
              <w:spacing w:after="0" w:line="240" w:lineRule="auto"/>
              <w:jc w:val="right"/>
              <w:rPr>
                <w:rFonts w:eastAsia="Times New Roman" w:cs="Calibri"/>
                <w:color w:val="000000"/>
                <w:sz w:val="20"/>
                <w:szCs w:val="20"/>
                <w:lang w:val="en-US"/>
              </w:rPr>
            </w:pPr>
            <w:r>
              <w:rPr>
                <w:rFonts w:cs="Calibri"/>
                <w:color w:val="000000"/>
                <w:sz w:val="20"/>
                <w:szCs w:val="20"/>
              </w:rPr>
              <w:t xml:space="preserve"> </w:t>
            </w:r>
            <w:r>
              <w:rPr>
                <w:rFonts w:ascii="Arial" w:hAnsi="Arial" w:cs="Arial"/>
                <w:color w:val="000000"/>
                <w:sz w:val="20"/>
                <w:szCs w:val="20"/>
              </w:rPr>
              <w:t>₡</w:t>
            </w:r>
            <w:r>
              <w:rPr>
                <w:rFonts w:cs="Calibri"/>
                <w:color w:val="000000"/>
                <w:sz w:val="20"/>
                <w:szCs w:val="20"/>
              </w:rPr>
              <w:t xml:space="preserve">   440,00 </w:t>
            </w:r>
          </w:p>
        </w:tc>
      </w:tr>
      <w:tr w:rsidR="00535A05" w:rsidRPr="009A7924" w14:paraId="276A3910" w14:textId="77777777" w:rsidTr="00535A05">
        <w:trPr>
          <w:trHeight w:val="290"/>
        </w:trPr>
        <w:tc>
          <w:tcPr>
            <w:tcW w:w="1311" w:type="dxa"/>
            <w:tcBorders>
              <w:top w:val="nil"/>
              <w:left w:val="single" w:sz="4" w:space="0" w:color="auto"/>
              <w:right w:val="single" w:sz="4" w:space="0" w:color="auto"/>
            </w:tcBorders>
            <w:shd w:val="clear" w:color="000000" w:fill="FFFFFF"/>
            <w:noWrap/>
            <w:vAlign w:val="bottom"/>
            <w:hideMark/>
          </w:tcPr>
          <w:p w14:paraId="630D8250" w14:textId="77777777" w:rsidR="00535A05" w:rsidRPr="00535A05" w:rsidRDefault="00535A05" w:rsidP="00535A05">
            <w:pPr>
              <w:spacing w:after="0" w:line="240" w:lineRule="auto"/>
              <w:jc w:val="left"/>
              <w:rPr>
                <w:rFonts w:eastAsia="Times New Roman" w:cs="Calibri"/>
                <w:b/>
                <w:bCs/>
                <w:color w:val="000000"/>
                <w:sz w:val="20"/>
                <w:szCs w:val="20"/>
                <w:lang w:val="en-US"/>
              </w:rPr>
            </w:pPr>
            <w:r w:rsidRPr="00535A05">
              <w:rPr>
                <w:rFonts w:eastAsia="Times New Roman" w:cs="Calibri"/>
                <w:b/>
                <w:bCs/>
                <w:color w:val="000000"/>
                <w:sz w:val="20"/>
                <w:szCs w:val="20"/>
                <w:lang w:val="en-US"/>
              </w:rPr>
              <w:t>4.4.2.99.</w:t>
            </w:r>
          </w:p>
        </w:tc>
        <w:tc>
          <w:tcPr>
            <w:tcW w:w="5200" w:type="dxa"/>
            <w:tcBorders>
              <w:top w:val="nil"/>
              <w:left w:val="single" w:sz="4" w:space="0" w:color="auto"/>
              <w:right w:val="single" w:sz="4" w:space="0" w:color="auto"/>
            </w:tcBorders>
            <w:shd w:val="clear" w:color="auto" w:fill="auto"/>
            <w:noWrap/>
            <w:vAlign w:val="bottom"/>
            <w:hideMark/>
          </w:tcPr>
          <w:p w14:paraId="184D334C" w14:textId="77777777" w:rsidR="00535A05" w:rsidRPr="00535A05" w:rsidRDefault="00535A05" w:rsidP="00535A05">
            <w:pPr>
              <w:spacing w:after="0" w:line="240" w:lineRule="auto"/>
              <w:jc w:val="left"/>
              <w:rPr>
                <w:rFonts w:eastAsia="Times New Roman" w:cs="Calibri"/>
                <w:b/>
                <w:bCs/>
                <w:color w:val="000000"/>
                <w:sz w:val="20"/>
                <w:szCs w:val="20"/>
                <w:lang w:val="en-US"/>
              </w:rPr>
            </w:pPr>
            <w:proofErr w:type="spellStart"/>
            <w:r w:rsidRPr="00535A05">
              <w:rPr>
                <w:rFonts w:eastAsia="Times New Roman" w:cs="Calibri"/>
                <w:b/>
                <w:bCs/>
                <w:color w:val="000000"/>
                <w:sz w:val="20"/>
                <w:szCs w:val="20"/>
                <w:lang w:val="en-US"/>
              </w:rPr>
              <w:t>Otros</w:t>
            </w:r>
            <w:proofErr w:type="spellEnd"/>
            <w:r w:rsidRPr="00535A05">
              <w:rPr>
                <w:rFonts w:eastAsia="Times New Roman" w:cs="Calibri"/>
                <w:b/>
                <w:bCs/>
                <w:color w:val="000000"/>
                <w:sz w:val="20"/>
                <w:szCs w:val="20"/>
                <w:lang w:val="en-US"/>
              </w:rPr>
              <w:t xml:space="preserve"> derechos </w:t>
            </w:r>
            <w:proofErr w:type="spellStart"/>
            <w:r w:rsidRPr="00535A05">
              <w:rPr>
                <w:rFonts w:eastAsia="Times New Roman" w:cs="Calibri"/>
                <w:b/>
                <w:bCs/>
                <w:color w:val="000000"/>
                <w:sz w:val="20"/>
                <w:szCs w:val="20"/>
                <w:lang w:val="en-US"/>
              </w:rPr>
              <w:t>administrativos</w:t>
            </w:r>
            <w:proofErr w:type="spellEnd"/>
            <w:r w:rsidRPr="00535A05">
              <w:rPr>
                <w:rFonts w:eastAsia="Times New Roman" w:cs="Calibri"/>
                <w:b/>
                <w:bCs/>
                <w:color w:val="000000"/>
                <w:sz w:val="20"/>
                <w:szCs w:val="20"/>
                <w:lang w:val="en-US"/>
              </w:rPr>
              <w:t xml:space="preserve"> </w:t>
            </w:r>
            <w:proofErr w:type="spellStart"/>
            <w:r w:rsidRPr="00535A05">
              <w:rPr>
                <w:rFonts w:eastAsia="Times New Roman" w:cs="Calibri"/>
                <w:b/>
                <w:bCs/>
                <w:color w:val="000000"/>
                <w:sz w:val="20"/>
                <w:szCs w:val="20"/>
                <w:lang w:val="en-US"/>
              </w:rPr>
              <w:t>varios</w:t>
            </w:r>
            <w:proofErr w:type="spellEnd"/>
          </w:p>
        </w:tc>
        <w:tc>
          <w:tcPr>
            <w:tcW w:w="1311" w:type="dxa"/>
            <w:tcBorders>
              <w:top w:val="nil"/>
              <w:left w:val="single" w:sz="4" w:space="0" w:color="auto"/>
              <w:right w:val="single" w:sz="4" w:space="0" w:color="auto"/>
            </w:tcBorders>
            <w:shd w:val="clear" w:color="auto" w:fill="auto"/>
            <w:noWrap/>
            <w:vAlign w:val="bottom"/>
            <w:hideMark/>
          </w:tcPr>
          <w:p w14:paraId="64B5A43A" w14:textId="58E6C790" w:rsidR="00535A05" w:rsidRPr="00535A05" w:rsidRDefault="00535A05" w:rsidP="00535A05">
            <w:pPr>
              <w:spacing w:after="0" w:line="240" w:lineRule="auto"/>
              <w:jc w:val="left"/>
              <w:rPr>
                <w:rFonts w:eastAsia="Times New Roman" w:cs="Calibri"/>
                <w:b/>
                <w:bCs/>
                <w:color w:val="000000"/>
                <w:sz w:val="20"/>
                <w:szCs w:val="20"/>
                <w:lang w:val="en-US"/>
              </w:rPr>
            </w:pPr>
            <w:r w:rsidRPr="00535A05">
              <w:rPr>
                <w:rFonts w:cs="Calibri"/>
                <w:b/>
                <w:bCs/>
                <w:color w:val="000000"/>
                <w:sz w:val="20"/>
                <w:szCs w:val="20"/>
              </w:rPr>
              <w:t xml:space="preserve"> </w:t>
            </w:r>
            <w:r w:rsidRPr="00535A05">
              <w:rPr>
                <w:rFonts w:ascii="Arial" w:hAnsi="Arial" w:cs="Arial"/>
                <w:b/>
                <w:bCs/>
                <w:color w:val="000000"/>
                <w:sz w:val="20"/>
                <w:szCs w:val="20"/>
              </w:rPr>
              <w:t>₡</w:t>
            </w:r>
            <w:r w:rsidRPr="00535A05">
              <w:rPr>
                <w:rFonts w:cs="Calibri"/>
                <w:b/>
                <w:bCs/>
                <w:color w:val="000000"/>
                <w:sz w:val="20"/>
                <w:szCs w:val="20"/>
              </w:rPr>
              <w:t xml:space="preserve">   214,52 </w:t>
            </w:r>
          </w:p>
        </w:tc>
      </w:tr>
      <w:tr w:rsidR="00535A05" w:rsidRPr="009A7924" w14:paraId="334CE5B3" w14:textId="77777777" w:rsidTr="00535A05">
        <w:trPr>
          <w:trHeight w:val="290"/>
        </w:trPr>
        <w:tc>
          <w:tcPr>
            <w:tcW w:w="1311" w:type="dxa"/>
            <w:tcBorders>
              <w:top w:val="nil"/>
              <w:left w:val="single" w:sz="4" w:space="0" w:color="auto"/>
              <w:right w:val="single" w:sz="4" w:space="0" w:color="auto"/>
            </w:tcBorders>
            <w:shd w:val="clear" w:color="000000" w:fill="FFFFFF"/>
            <w:noWrap/>
            <w:vAlign w:val="bottom"/>
            <w:hideMark/>
          </w:tcPr>
          <w:p w14:paraId="311BD52F" w14:textId="77777777" w:rsidR="00535A05" w:rsidRPr="00535A05" w:rsidRDefault="00535A05" w:rsidP="00535A05">
            <w:pPr>
              <w:spacing w:after="0" w:line="240" w:lineRule="auto"/>
              <w:jc w:val="left"/>
              <w:rPr>
                <w:rFonts w:eastAsia="Times New Roman" w:cs="Calibri"/>
                <w:color w:val="000000"/>
                <w:sz w:val="20"/>
                <w:szCs w:val="20"/>
                <w:lang w:val="en-US"/>
              </w:rPr>
            </w:pPr>
            <w:r w:rsidRPr="00535A05">
              <w:rPr>
                <w:rFonts w:eastAsia="Times New Roman" w:cs="Calibri"/>
                <w:color w:val="000000"/>
                <w:sz w:val="20"/>
                <w:szCs w:val="20"/>
                <w:lang w:val="en-US"/>
              </w:rPr>
              <w:t>4.4.2.99.99</w:t>
            </w:r>
          </w:p>
        </w:tc>
        <w:tc>
          <w:tcPr>
            <w:tcW w:w="5200" w:type="dxa"/>
            <w:tcBorders>
              <w:top w:val="nil"/>
              <w:left w:val="single" w:sz="4" w:space="0" w:color="auto"/>
              <w:right w:val="single" w:sz="4" w:space="0" w:color="auto"/>
            </w:tcBorders>
            <w:shd w:val="clear" w:color="auto" w:fill="auto"/>
            <w:noWrap/>
            <w:vAlign w:val="bottom"/>
            <w:hideMark/>
          </w:tcPr>
          <w:p w14:paraId="13CE32A9" w14:textId="77777777" w:rsidR="00535A05" w:rsidRPr="00535A05" w:rsidRDefault="00535A05" w:rsidP="00535A05">
            <w:pPr>
              <w:spacing w:after="0" w:line="240" w:lineRule="auto"/>
              <w:jc w:val="left"/>
              <w:rPr>
                <w:rFonts w:eastAsia="Times New Roman" w:cs="Calibri"/>
                <w:color w:val="000000"/>
                <w:sz w:val="20"/>
                <w:szCs w:val="20"/>
                <w:lang w:val="en-US"/>
              </w:rPr>
            </w:pPr>
            <w:proofErr w:type="spellStart"/>
            <w:r w:rsidRPr="00535A05">
              <w:rPr>
                <w:rFonts w:eastAsia="Times New Roman" w:cs="Calibri"/>
                <w:color w:val="000000"/>
                <w:sz w:val="20"/>
                <w:szCs w:val="20"/>
                <w:lang w:val="en-US"/>
              </w:rPr>
              <w:t>Otros</w:t>
            </w:r>
            <w:proofErr w:type="spellEnd"/>
            <w:r w:rsidRPr="00535A05">
              <w:rPr>
                <w:rFonts w:eastAsia="Times New Roman" w:cs="Calibri"/>
                <w:color w:val="000000"/>
                <w:sz w:val="20"/>
                <w:szCs w:val="20"/>
                <w:lang w:val="en-US"/>
              </w:rPr>
              <w:t xml:space="preserve"> derechos </w:t>
            </w:r>
            <w:proofErr w:type="spellStart"/>
            <w:r w:rsidRPr="00535A05">
              <w:rPr>
                <w:rFonts w:eastAsia="Times New Roman" w:cs="Calibri"/>
                <w:color w:val="000000"/>
                <w:sz w:val="20"/>
                <w:szCs w:val="20"/>
                <w:lang w:val="en-US"/>
              </w:rPr>
              <w:t>administrativos</w:t>
            </w:r>
            <w:proofErr w:type="spellEnd"/>
            <w:r w:rsidRPr="00535A05">
              <w:rPr>
                <w:rFonts w:eastAsia="Times New Roman" w:cs="Calibri"/>
                <w:color w:val="000000"/>
                <w:sz w:val="20"/>
                <w:szCs w:val="20"/>
                <w:lang w:val="en-US"/>
              </w:rPr>
              <w:t xml:space="preserve"> </w:t>
            </w:r>
            <w:proofErr w:type="spellStart"/>
            <w:r w:rsidRPr="00535A05">
              <w:rPr>
                <w:rFonts w:eastAsia="Times New Roman" w:cs="Calibri"/>
                <w:color w:val="000000"/>
                <w:sz w:val="20"/>
                <w:szCs w:val="20"/>
                <w:lang w:val="en-US"/>
              </w:rPr>
              <w:t>varios</w:t>
            </w:r>
            <w:proofErr w:type="spellEnd"/>
          </w:p>
        </w:tc>
        <w:tc>
          <w:tcPr>
            <w:tcW w:w="1311" w:type="dxa"/>
            <w:tcBorders>
              <w:top w:val="nil"/>
              <w:left w:val="single" w:sz="4" w:space="0" w:color="auto"/>
              <w:right w:val="single" w:sz="4" w:space="0" w:color="auto"/>
            </w:tcBorders>
            <w:shd w:val="clear" w:color="000000" w:fill="FFFFFF"/>
            <w:noWrap/>
            <w:vAlign w:val="bottom"/>
            <w:hideMark/>
          </w:tcPr>
          <w:p w14:paraId="687A34EA" w14:textId="391D0951" w:rsidR="00535A05" w:rsidRPr="00535A05" w:rsidRDefault="00535A05" w:rsidP="00535A05">
            <w:pPr>
              <w:spacing w:after="0" w:line="240" w:lineRule="auto"/>
              <w:rPr>
                <w:rFonts w:eastAsia="Times New Roman" w:cs="Calibri"/>
                <w:color w:val="000000"/>
                <w:sz w:val="20"/>
                <w:szCs w:val="20"/>
                <w:lang w:val="en-US"/>
              </w:rPr>
            </w:pPr>
            <w:r>
              <w:rPr>
                <w:rFonts w:cs="Calibri"/>
                <w:color w:val="000000"/>
                <w:sz w:val="20"/>
                <w:szCs w:val="20"/>
              </w:rPr>
              <w:t xml:space="preserve"> </w:t>
            </w:r>
            <w:r>
              <w:rPr>
                <w:rFonts w:ascii="Arial" w:hAnsi="Arial" w:cs="Arial"/>
                <w:color w:val="000000"/>
                <w:sz w:val="20"/>
                <w:szCs w:val="20"/>
              </w:rPr>
              <w:t>₡</w:t>
            </w:r>
            <w:r>
              <w:rPr>
                <w:rFonts w:cs="Calibri"/>
                <w:color w:val="000000"/>
                <w:sz w:val="20"/>
                <w:szCs w:val="20"/>
              </w:rPr>
              <w:t xml:space="preserve">   214,52 </w:t>
            </w:r>
          </w:p>
        </w:tc>
      </w:tr>
      <w:tr w:rsidR="00535A05" w:rsidRPr="009A7924" w14:paraId="6E831466" w14:textId="77777777" w:rsidTr="00A51EF0">
        <w:trPr>
          <w:trHeight w:val="290"/>
        </w:trPr>
        <w:tc>
          <w:tcPr>
            <w:tcW w:w="1311" w:type="dxa"/>
            <w:tcBorders>
              <w:top w:val="nil"/>
              <w:left w:val="single" w:sz="4" w:space="0" w:color="auto"/>
              <w:right w:val="single" w:sz="4" w:space="0" w:color="auto"/>
            </w:tcBorders>
            <w:shd w:val="clear" w:color="000000" w:fill="FFFFFF"/>
            <w:noWrap/>
            <w:vAlign w:val="bottom"/>
            <w:hideMark/>
          </w:tcPr>
          <w:p w14:paraId="2814E510" w14:textId="77777777" w:rsidR="00535A05" w:rsidRPr="00535A05" w:rsidRDefault="00535A05" w:rsidP="00535A05">
            <w:pPr>
              <w:spacing w:after="0" w:line="240" w:lineRule="auto"/>
              <w:jc w:val="left"/>
              <w:rPr>
                <w:rFonts w:eastAsia="Times New Roman" w:cs="Calibri"/>
                <w:b/>
                <w:bCs/>
                <w:color w:val="000000"/>
                <w:sz w:val="20"/>
                <w:szCs w:val="20"/>
                <w:lang w:val="en-US"/>
              </w:rPr>
            </w:pPr>
            <w:r w:rsidRPr="00535A05">
              <w:rPr>
                <w:rFonts w:eastAsia="Times New Roman" w:cs="Calibri"/>
                <w:b/>
                <w:bCs/>
                <w:color w:val="000000"/>
                <w:sz w:val="20"/>
                <w:szCs w:val="20"/>
                <w:lang w:val="en-US"/>
              </w:rPr>
              <w:t>4.5.2.01.</w:t>
            </w:r>
          </w:p>
        </w:tc>
        <w:tc>
          <w:tcPr>
            <w:tcW w:w="5200" w:type="dxa"/>
            <w:tcBorders>
              <w:top w:val="nil"/>
              <w:left w:val="single" w:sz="4" w:space="0" w:color="auto"/>
              <w:right w:val="single" w:sz="4" w:space="0" w:color="auto"/>
            </w:tcBorders>
            <w:shd w:val="clear" w:color="auto" w:fill="auto"/>
            <w:noWrap/>
            <w:vAlign w:val="bottom"/>
            <w:hideMark/>
          </w:tcPr>
          <w:p w14:paraId="44A452E8" w14:textId="77777777" w:rsidR="00535A05" w:rsidRPr="00535A05" w:rsidRDefault="00535A05" w:rsidP="00535A05">
            <w:pPr>
              <w:spacing w:after="0" w:line="240" w:lineRule="auto"/>
              <w:jc w:val="left"/>
              <w:rPr>
                <w:rFonts w:eastAsia="Times New Roman" w:cs="Calibri"/>
                <w:b/>
                <w:bCs/>
                <w:color w:val="000000"/>
                <w:sz w:val="20"/>
                <w:szCs w:val="20"/>
                <w:lang w:val="en-US"/>
              </w:rPr>
            </w:pPr>
            <w:proofErr w:type="spellStart"/>
            <w:r w:rsidRPr="00535A05">
              <w:rPr>
                <w:rFonts w:eastAsia="Times New Roman" w:cs="Calibri"/>
                <w:b/>
                <w:bCs/>
                <w:color w:val="000000"/>
                <w:sz w:val="20"/>
                <w:szCs w:val="20"/>
                <w:lang w:val="en-US"/>
              </w:rPr>
              <w:t>Alquileres</w:t>
            </w:r>
            <w:proofErr w:type="spellEnd"/>
          </w:p>
        </w:tc>
        <w:tc>
          <w:tcPr>
            <w:tcW w:w="1311" w:type="dxa"/>
            <w:tcBorders>
              <w:top w:val="nil"/>
              <w:left w:val="single" w:sz="4" w:space="0" w:color="auto"/>
              <w:right w:val="single" w:sz="4" w:space="0" w:color="auto"/>
            </w:tcBorders>
            <w:shd w:val="clear" w:color="000000" w:fill="FFFFFF"/>
            <w:noWrap/>
            <w:vAlign w:val="center"/>
            <w:hideMark/>
          </w:tcPr>
          <w:p w14:paraId="6F0D5BAE" w14:textId="0E1B3CAD" w:rsidR="00535A05" w:rsidRPr="00535A05" w:rsidRDefault="00535A05" w:rsidP="00535A05">
            <w:pPr>
              <w:spacing w:after="0" w:line="240" w:lineRule="auto"/>
              <w:jc w:val="left"/>
              <w:rPr>
                <w:rFonts w:ascii="Arial" w:hAnsi="Arial" w:cs="Arial"/>
                <w:b/>
                <w:bCs/>
                <w:color w:val="000000"/>
                <w:sz w:val="18"/>
                <w:szCs w:val="18"/>
              </w:rPr>
            </w:pPr>
            <w:r w:rsidRPr="00535A05">
              <w:rPr>
                <w:rFonts w:ascii="Arial" w:hAnsi="Arial" w:cs="Arial"/>
                <w:b/>
                <w:bCs/>
                <w:color w:val="000000"/>
                <w:sz w:val="18"/>
                <w:szCs w:val="18"/>
              </w:rPr>
              <w:t>₡39 497,46</w:t>
            </w:r>
          </w:p>
        </w:tc>
      </w:tr>
      <w:tr w:rsidR="00535A05" w:rsidRPr="008C172F" w14:paraId="25452521" w14:textId="77777777" w:rsidTr="00A51EF0">
        <w:trPr>
          <w:trHeight w:val="300"/>
        </w:trPr>
        <w:tc>
          <w:tcPr>
            <w:tcW w:w="1311" w:type="dxa"/>
            <w:tcBorders>
              <w:top w:val="nil"/>
              <w:left w:val="single" w:sz="4" w:space="0" w:color="auto"/>
              <w:bottom w:val="single" w:sz="4" w:space="0" w:color="auto"/>
              <w:right w:val="single" w:sz="4" w:space="0" w:color="auto"/>
            </w:tcBorders>
            <w:shd w:val="clear" w:color="000000" w:fill="FFFFFF"/>
            <w:noWrap/>
            <w:vAlign w:val="bottom"/>
            <w:hideMark/>
          </w:tcPr>
          <w:p w14:paraId="35B2865D" w14:textId="77777777" w:rsidR="00535A05" w:rsidRPr="00535A05" w:rsidRDefault="00535A05" w:rsidP="00535A05">
            <w:pPr>
              <w:spacing w:after="0" w:line="240" w:lineRule="auto"/>
              <w:jc w:val="left"/>
              <w:rPr>
                <w:rFonts w:eastAsia="Times New Roman" w:cs="Calibri"/>
                <w:color w:val="000000"/>
                <w:sz w:val="20"/>
                <w:szCs w:val="20"/>
                <w:lang w:val="en-US"/>
              </w:rPr>
            </w:pPr>
            <w:r w:rsidRPr="00535A05">
              <w:rPr>
                <w:rFonts w:eastAsia="Times New Roman" w:cs="Calibri"/>
                <w:color w:val="000000"/>
                <w:sz w:val="20"/>
                <w:szCs w:val="20"/>
                <w:lang w:val="en-US"/>
              </w:rPr>
              <w:t>5.5.2.01.02</w:t>
            </w:r>
          </w:p>
        </w:tc>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1CD97AA0" w14:textId="77777777" w:rsidR="00535A05" w:rsidRPr="00535A05" w:rsidRDefault="00535A05" w:rsidP="00535A05">
            <w:pPr>
              <w:spacing w:after="0" w:line="240" w:lineRule="auto"/>
              <w:jc w:val="left"/>
              <w:rPr>
                <w:rFonts w:eastAsia="Times New Roman" w:cs="Calibri"/>
                <w:color w:val="000000"/>
                <w:sz w:val="20"/>
                <w:szCs w:val="20"/>
                <w:lang w:val="en-US"/>
              </w:rPr>
            </w:pPr>
            <w:proofErr w:type="spellStart"/>
            <w:r w:rsidRPr="00535A05">
              <w:rPr>
                <w:rFonts w:eastAsia="Times New Roman" w:cs="Calibri"/>
                <w:color w:val="000000"/>
                <w:sz w:val="20"/>
                <w:szCs w:val="20"/>
                <w:lang w:val="en-US"/>
              </w:rPr>
              <w:t>Alquileres</w:t>
            </w:r>
            <w:proofErr w:type="spellEnd"/>
            <w:r w:rsidRPr="00535A05">
              <w:rPr>
                <w:rFonts w:eastAsia="Times New Roman" w:cs="Calibri"/>
                <w:color w:val="000000"/>
                <w:sz w:val="20"/>
                <w:szCs w:val="20"/>
                <w:lang w:val="en-US"/>
              </w:rPr>
              <w:t xml:space="preserve"> de </w:t>
            </w:r>
            <w:proofErr w:type="spellStart"/>
            <w:r w:rsidRPr="00535A05">
              <w:rPr>
                <w:rFonts w:eastAsia="Times New Roman" w:cs="Calibri"/>
                <w:color w:val="000000"/>
                <w:sz w:val="20"/>
                <w:szCs w:val="20"/>
                <w:lang w:val="en-US"/>
              </w:rPr>
              <w:t>edificios</w:t>
            </w:r>
            <w:proofErr w:type="spellEnd"/>
          </w:p>
        </w:tc>
        <w:tc>
          <w:tcPr>
            <w:tcW w:w="1311" w:type="dxa"/>
            <w:tcBorders>
              <w:top w:val="nil"/>
              <w:left w:val="single" w:sz="4" w:space="0" w:color="auto"/>
              <w:bottom w:val="single" w:sz="4" w:space="0" w:color="auto"/>
              <w:right w:val="single" w:sz="4" w:space="0" w:color="auto"/>
            </w:tcBorders>
            <w:shd w:val="clear" w:color="000000" w:fill="FFFFFF"/>
            <w:noWrap/>
            <w:vAlign w:val="center"/>
            <w:hideMark/>
          </w:tcPr>
          <w:p w14:paraId="5E42019F" w14:textId="254D8C50" w:rsidR="00535A05" w:rsidRPr="00535A05" w:rsidRDefault="00535A05" w:rsidP="00535A05">
            <w:pPr>
              <w:spacing w:after="0" w:line="240" w:lineRule="auto"/>
              <w:jc w:val="left"/>
              <w:rPr>
                <w:rFonts w:ascii="Arial" w:hAnsi="Arial" w:cs="Arial"/>
                <w:color w:val="000000"/>
                <w:sz w:val="18"/>
                <w:szCs w:val="18"/>
              </w:rPr>
            </w:pPr>
            <w:r w:rsidRPr="00535A05">
              <w:rPr>
                <w:rFonts w:ascii="Arial" w:hAnsi="Arial" w:cs="Arial"/>
                <w:color w:val="000000"/>
                <w:sz w:val="18"/>
                <w:szCs w:val="18"/>
              </w:rPr>
              <w:t>₡39 497,46</w:t>
            </w:r>
          </w:p>
        </w:tc>
      </w:tr>
    </w:tbl>
    <w:p w14:paraId="68AE19D5" w14:textId="77777777" w:rsidR="009A7924" w:rsidRDefault="009A7924" w:rsidP="009A7924">
      <w:pPr>
        <w:spacing w:after="0" w:line="240" w:lineRule="auto"/>
      </w:pPr>
    </w:p>
    <w:p w14:paraId="704C7222" w14:textId="77777777" w:rsidR="00745266" w:rsidRDefault="00745266" w:rsidP="009A7924">
      <w:pPr>
        <w:spacing w:after="0" w:line="240" w:lineRule="auto"/>
      </w:pPr>
    </w:p>
    <w:p w14:paraId="4B182BE3" w14:textId="77777777" w:rsidR="00745266" w:rsidRDefault="00745266" w:rsidP="009A7924">
      <w:pPr>
        <w:spacing w:after="0" w:line="240" w:lineRule="auto"/>
      </w:pPr>
    </w:p>
    <w:p w14:paraId="520593EE" w14:textId="77777777" w:rsidR="00745266" w:rsidRDefault="00745266" w:rsidP="009A7924">
      <w:pPr>
        <w:spacing w:after="0" w:line="240" w:lineRule="auto"/>
      </w:pPr>
    </w:p>
    <w:p w14:paraId="7A21FF14" w14:textId="77777777" w:rsidR="009A7924" w:rsidRPr="00FD51F5" w:rsidRDefault="009A7924" w:rsidP="009A7924">
      <w:pPr>
        <w:spacing w:after="0" w:line="240" w:lineRule="auto"/>
      </w:pPr>
      <w:r w:rsidRPr="00FD51F5">
        <w:lastRenderedPageBreak/>
        <w:t>Los servicios que generan ingresos con contraprestación se reconocen en los períodos en los cuales tiene lugar la prestación, según el avance de terminación alcanzado en cada período.</w:t>
      </w:r>
    </w:p>
    <w:p w14:paraId="0543A864" w14:textId="77777777" w:rsidR="009A7924" w:rsidRDefault="009A7924" w:rsidP="009A7924">
      <w:pPr>
        <w:spacing w:after="0" w:line="240" w:lineRule="auto"/>
      </w:pPr>
    </w:p>
    <w:p w14:paraId="0F9FBD34" w14:textId="77777777" w:rsidR="009A7924" w:rsidRPr="00FD51F5" w:rsidRDefault="009A7924" w:rsidP="009A7924">
      <w:pPr>
        <w:spacing w:after="0" w:line="240" w:lineRule="auto"/>
      </w:pPr>
      <w:r w:rsidRPr="00FD51F5">
        <w:t>Si surge algún tipo de incertidumbre acerca de los importes ya incluidos como ingresos, la cuantía incobrable, o el importe respecto del cual ha dejado de ser probable la recuperabilidad, se reconocen como un gasto y no se ajustan los importes originalmente reconocidos como ingresos. Es decir, que se tratarán como un deterioro del activo financiero surgido como consecuencia del ingreso reconocido oportunamente.</w:t>
      </w:r>
    </w:p>
    <w:p w14:paraId="7E2A2231" w14:textId="77777777" w:rsidR="009A7924" w:rsidRPr="00FD51F5" w:rsidRDefault="009A7924" w:rsidP="009A7924">
      <w:pPr>
        <w:spacing w:after="0" w:line="240" w:lineRule="auto"/>
      </w:pPr>
    </w:p>
    <w:p w14:paraId="316EBBBF" w14:textId="77777777" w:rsidR="009A7924" w:rsidRPr="00FD51F5" w:rsidRDefault="009A7924" w:rsidP="009A7924">
      <w:pPr>
        <w:spacing w:after="0" w:line="240" w:lineRule="auto"/>
      </w:pPr>
      <w:r w:rsidRPr="00FD51F5">
        <w:t>El porcentaje de terminación de una transacción puede determinarse mediante varios métodos, dependiendo de la naturaleza de la operación, pudiendo incluir:</w:t>
      </w:r>
      <w:r>
        <w:t xml:space="preserve"> </w:t>
      </w:r>
      <w:r w:rsidRPr="00FD51F5">
        <w:t xml:space="preserve">la inspección de los trabajos ejecutados; la proporción de los servicios ejecutados hasta la fecha como porcentaje del total de servicios a prestar; o la proporción de los costos incurridos hasta la fecha sobre el costo total estimado de la operación, considerando a tales efectos sólo los costos que reflejen servicios ya ejecutados. </w:t>
      </w:r>
    </w:p>
    <w:p w14:paraId="0025514D" w14:textId="77777777" w:rsidR="009A7924" w:rsidRDefault="009A7924" w:rsidP="009A7924">
      <w:pPr>
        <w:spacing w:after="0" w:line="240" w:lineRule="auto"/>
      </w:pPr>
    </w:p>
    <w:p w14:paraId="32ACB251" w14:textId="77777777" w:rsidR="009A7924" w:rsidRPr="00FD51F5" w:rsidRDefault="009A7924" w:rsidP="009A7924">
      <w:pPr>
        <w:spacing w:after="0" w:line="240" w:lineRule="auto"/>
      </w:pPr>
      <w:r>
        <w:t>L</w:t>
      </w:r>
      <w:r w:rsidRPr="00FD51F5">
        <w:t>os pagos a cuenta, los anticipos recibidos de los clientes reflejan el porcentaje de</w:t>
      </w:r>
      <w:r>
        <w:t xml:space="preserve"> </w:t>
      </w:r>
      <w:r w:rsidRPr="00FD51F5">
        <w:t>l</w:t>
      </w:r>
      <w:r>
        <w:t>os</w:t>
      </w:r>
      <w:r w:rsidRPr="00FD51F5">
        <w:t xml:space="preserve"> servicio</w:t>
      </w:r>
      <w:r>
        <w:t>s</w:t>
      </w:r>
      <w:r w:rsidRPr="00FD51F5">
        <w:t xml:space="preserve"> prestado</w:t>
      </w:r>
      <w:r>
        <w:t>s</w:t>
      </w:r>
      <w:r w:rsidRPr="00FD51F5">
        <w:t xml:space="preserve">, </w:t>
      </w:r>
      <w:r>
        <w:t xml:space="preserve">por lo </w:t>
      </w:r>
      <w:r w:rsidRPr="00FD51F5">
        <w:t>que s</w:t>
      </w:r>
      <w:r>
        <w:t>o</w:t>
      </w:r>
      <w:r w:rsidRPr="00FD51F5">
        <w:t>n tratados como pasivos</w:t>
      </w:r>
      <w:r>
        <w:t xml:space="preserve"> “Ingresos a Devengar”</w:t>
      </w:r>
      <w:r w:rsidRPr="00FD51F5">
        <w:t xml:space="preserve">. </w:t>
      </w:r>
    </w:p>
    <w:p w14:paraId="2641A1E0" w14:textId="77777777" w:rsidR="009A7924" w:rsidRPr="00FD51F5" w:rsidRDefault="009A7924" w:rsidP="009A7924">
      <w:pPr>
        <w:spacing w:after="0" w:line="240" w:lineRule="auto"/>
      </w:pPr>
    </w:p>
    <w:p w14:paraId="3EEBC513" w14:textId="77777777" w:rsidR="009A7924" w:rsidRPr="00FD51F5" w:rsidRDefault="009A7924" w:rsidP="009A7924">
      <w:pPr>
        <w:spacing w:after="0" w:line="240" w:lineRule="auto"/>
      </w:pPr>
      <w:r>
        <w:t>Si</w:t>
      </w:r>
      <w:r w:rsidRPr="00FD51F5">
        <w:t xml:space="preserve"> una transacción que impli</w:t>
      </w:r>
      <w:r>
        <w:t>ca</w:t>
      </w:r>
      <w:r w:rsidRPr="00FD51F5">
        <w:t xml:space="preserve"> la prestación de servicios, no pueda ser estimado de forma fiable, los ingresos deben ser reconocidos como tales, sólo en la cuantía de los gastos reconocidos que se consideren recuperables. </w:t>
      </w:r>
    </w:p>
    <w:p w14:paraId="32552FA5" w14:textId="77777777" w:rsidR="005D574A" w:rsidRDefault="005D574A" w:rsidP="00171A58"/>
    <w:p w14:paraId="2530C60F" w14:textId="00E2D5EC" w:rsidR="000B04D8" w:rsidRDefault="000B04D8" w:rsidP="00A649A4">
      <w:pPr>
        <w:pStyle w:val="Ttulo2"/>
        <w:spacing w:after="240"/>
      </w:pPr>
      <w:bookmarkStart w:id="41" w:name="_Toc54961676"/>
      <w:bookmarkStart w:id="42" w:name="_Toc82768872"/>
      <w:bookmarkStart w:id="43" w:name="_Toc189804788"/>
      <w:r w:rsidRPr="00BC7C5B">
        <w:t>NICSP 10- INFORMACIÓN FINANCIERA EN ECONOMÍAS HIPERINFLACIONARIAS:</w:t>
      </w:r>
      <w:bookmarkEnd w:id="41"/>
      <w:bookmarkEnd w:id="42"/>
      <w:bookmarkEnd w:id="43"/>
      <w:r w:rsidRPr="00BC7C5B">
        <w:t xml:space="preserve"> </w:t>
      </w:r>
    </w:p>
    <w:p w14:paraId="7612C160" w14:textId="77777777" w:rsidR="00396CB4" w:rsidRDefault="000B04D8" w:rsidP="000B04D8">
      <w:pPr>
        <w:rPr>
          <w:rFonts w:asciiTheme="minorHAnsi" w:hAnsiTheme="minorHAnsi"/>
          <w:sz w:val="22"/>
        </w:rPr>
      </w:pPr>
      <w:r>
        <w:t xml:space="preserve">Indicar si este rubro afecta SI o NO a la institución, </w:t>
      </w:r>
      <w:r w:rsidR="00405DBC" w:rsidRPr="00405DBC">
        <w:t>además del porcentaje de avance</w:t>
      </w:r>
      <w:r w:rsidR="00405DBC">
        <w:t xml:space="preserve"> en la implementación</w:t>
      </w:r>
      <w:r w:rsidR="00405DBC" w:rsidRPr="00405DBC">
        <w:t xml:space="preserve"> que presenta</w:t>
      </w:r>
      <w:r w:rsidR="00D16DB1">
        <w:t>.</w:t>
      </w:r>
      <w:r w:rsidR="001C7FD6">
        <w:rPr>
          <w:lang w:eastAsia="es-CR"/>
        </w:rPr>
        <w:fldChar w:fldCharType="begin"/>
      </w:r>
      <w:r w:rsidR="001C7FD6">
        <w:rPr>
          <w:lang w:eastAsia="es-CR"/>
        </w:rPr>
        <w:instrText xml:space="preserve"> LINK </w:instrText>
      </w:r>
      <w:r w:rsidR="00756467">
        <w:rPr>
          <w:lang w:eastAsia="es-CR"/>
        </w:rPr>
        <w:instrText xml:space="preserve">Excel.SheetMacroEnabled.12 "C:\\Users\\gcordero\\Downloads\\Notas diciembre 2024\\Formato_Notas_EEFF_Vinculadas_2024\\Formato_Notas_EEFF_Vinculadas_2024\\15603_T04_2024_Anexo_Estado_Notas_Contables_Vinculadas.xlsm" NISCP_10!F9C3:F10C4 </w:instrText>
      </w:r>
      <w:r w:rsidR="001C7FD6">
        <w:rPr>
          <w:lang w:eastAsia="es-CR"/>
        </w:rPr>
        <w:instrText xml:space="preserve">\a \f 4 \h </w:instrText>
      </w:r>
      <w:r w:rsidR="001C7FD6">
        <w:rPr>
          <w:lang w:eastAsia="es-CR"/>
        </w:rPr>
        <w:fldChar w:fldCharType="separate"/>
      </w:r>
    </w:p>
    <w:tbl>
      <w:tblPr>
        <w:tblW w:w="4120" w:type="dxa"/>
        <w:tblCellMar>
          <w:left w:w="70" w:type="dxa"/>
          <w:right w:w="70" w:type="dxa"/>
        </w:tblCellMar>
        <w:tblLook w:val="04A0" w:firstRow="1" w:lastRow="0" w:firstColumn="1" w:lastColumn="0" w:noHBand="0" w:noVBand="1"/>
      </w:tblPr>
      <w:tblGrid>
        <w:gridCol w:w="2340"/>
        <w:gridCol w:w="1780"/>
      </w:tblGrid>
      <w:tr w:rsidR="00396CB4" w:rsidRPr="00396CB4" w14:paraId="4E052DDA" w14:textId="77777777" w:rsidTr="00396CB4">
        <w:trPr>
          <w:divId w:val="678653287"/>
          <w:trHeight w:val="345"/>
        </w:trPr>
        <w:tc>
          <w:tcPr>
            <w:tcW w:w="234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41F0ADAF" w14:textId="44185F74" w:rsidR="00396CB4" w:rsidRPr="00396CB4" w:rsidRDefault="00396CB4" w:rsidP="00396CB4">
            <w:pPr>
              <w:rPr>
                <w:rFonts w:eastAsia="Times New Roman" w:cs="Calibri"/>
                <w:color w:val="FFFFFF"/>
                <w:szCs w:val="24"/>
                <w:lang w:eastAsia="es-CR"/>
              </w:rPr>
            </w:pPr>
            <w:r w:rsidRPr="00396CB4">
              <w:rPr>
                <w:rFonts w:eastAsia="Times New Roman" w:cs="Calibri"/>
                <w:color w:val="FFFFFF"/>
                <w:szCs w:val="24"/>
                <w:lang w:eastAsia="es-CR"/>
              </w:rPr>
              <w:t>Aplica</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43EDC3" w14:textId="77777777" w:rsidR="00396CB4" w:rsidRPr="00396CB4" w:rsidRDefault="00396CB4" w:rsidP="00396CB4">
            <w:pPr>
              <w:spacing w:after="0" w:line="240" w:lineRule="auto"/>
              <w:jc w:val="center"/>
              <w:rPr>
                <w:rFonts w:eastAsia="Times New Roman" w:cs="Calibri"/>
                <w:color w:val="000000"/>
                <w:sz w:val="22"/>
                <w:lang w:eastAsia="es-CR"/>
              </w:rPr>
            </w:pPr>
            <w:r w:rsidRPr="00396CB4">
              <w:rPr>
                <w:rFonts w:eastAsia="Times New Roman" w:cs="Calibri"/>
                <w:color w:val="000000"/>
                <w:sz w:val="22"/>
                <w:lang w:eastAsia="es-CR"/>
              </w:rPr>
              <w:t>No</w:t>
            </w:r>
          </w:p>
        </w:tc>
      </w:tr>
      <w:tr w:rsidR="00396CB4" w:rsidRPr="00396CB4" w14:paraId="6E761BE0" w14:textId="77777777" w:rsidTr="00396CB4">
        <w:trPr>
          <w:divId w:val="678653287"/>
          <w:trHeight w:val="345"/>
        </w:trPr>
        <w:tc>
          <w:tcPr>
            <w:tcW w:w="2340" w:type="dxa"/>
            <w:tcBorders>
              <w:top w:val="nil"/>
              <w:left w:val="single" w:sz="8" w:space="0" w:color="auto"/>
              <w:bottom w:val="single" w:sz="8" w:space="0" w:color="auto"/>
              <w:right w:val="single" w:sz="8" w:space="0" w:color="auto"/>
            </w:tcBorders>
            <w:shd w:val="clear" w:color="000000" w:fill="17365D"/>
            <w:vAlign w:val="center"/>
            <w:hideMark/>
          </w:tcPr>
          <w:p w14:paraId="37BCE022" w14:textId="77777777" w:rsidR="00396CB4" w:rsidRPr="00396CB4" w:rsidRDefault="00396CB4" w:rsidP="00396CB4">
            <w:pPr>
              <w:spacing w:after="0" w:line="240" w:lineRule="auto"/>
              <w:jc w:val="left"/>
              <w:rPr>
                <w:rFonts w:eastAsia="Times New Roman" w:cs="Calibri"/>
                <w:color w:val="FFFFFF"/>
                <w:szCs w:val="24"/>
                <w:lang w:eastAsia="es-CR"/>
              </w:rPr>
            </w:pPr>
            <w:proofErr w:type="spellStart"/>
            <w:r w:rsidRPr="00396CB4">
              <w:rPr>
                <w:rFonts w:eastAsia="Times New Roman" w:cs="Calibri"/>
                <w:color w:val="FFFFFF"/>
                <w:szCs w:val="24"/>
                <w:lang w:eastAsia="es-CR"/>
              </w:rPr>
              <w:t>Porcentaje_Avance</w:t>
            </w:r>
            <w:proofErr w:type="spellEnd"/>
          </w:p>
        </w:tc>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63EF4D52" w14:textId="77777777" w:rsidR="00396CB4" w:rsidRPr="00396CB4" w:rsidRDefault="00396CB4" w:rsidP="00396CB4">
            <w:pPr>
              <w:spacing w:after="0" w:line="240" w:lineRule="auto"/>
              <w:jc w:val="center"/>
              <w:rPr>
                <w:rFonts w:eastAsia="Times New Roman" w:cs="Calibri"/>
                <w:color w:val="000000"/>
                <w:sz w:val="22"/>
                <w:lang w:eastAsia="es-CR"/>
              </w:rPr>
            </w:pPr>
            <w:r w:rsidRPr="00396CB4">
              <w:rPr>
                <w:rFonts w:eastAsia="Times New Roman" w:cs="Calibri"/>
                <w:color w:val="000000"/>
                <w:sz w:val="22"/>
                <w:lang w:eastAsia="es-CR"/>
              </w:rPr>
              <w:t> </w:t>
            </w:r>
          </w:p>
        </w:tc>
      </w:tr>
    </w:tbl>
    <w:p w14:paraId="0DB333E5" w14:textId="6E040DC3" w:rsidR="00405DBC" w:rsidRDefault="001C7FD6" w:rsidP="000B04D8">
      <w:pPr>
        <w:rPr>
          <w:lang w:eastAsia="es-CR"/>
        </w:rPr>
      </w:pPr>
      <w:r>
        <w:rPr>
          <w:lang w:eastAsia="es-CR"/>
        </w:rPr>
        <w:fldChar w:fldCharType="end"/>
      </w:r>
    </w:p>
    <w:p w14:paraId="79AE8278" w14:textId="77777777" w:rsidR="000C3947" w:rsidRPr="003516A2" w:rsidRDefault="000C3947" w:rsidP="000C3947">
      <w:pPr>
        <w:spacing w:line="240" w:lineRule="auto"/>
        <w:rPr>
          <w:b/>
          <w:color w:val="FFFFFF" w:themeColor="background1"/>
          <w:highlight w:val="darkBlue"/>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r>
        <w:rPr>
          <w:lang w:val="es-MX"/>
        </w:rPr>
        <w:t>________________________________________________________________________________________________________________________________________________________________</w:t>
      </w:r>
    </w:p>
    <w:p w14:paraId="36D02C35" w14:textId="77777777" w:rsidR="000C3947" w:rsidRDefault="000C3947" w:rsidP="000C3947">
      <w:pPr>
        <w:spacing w:line="240" w:lineRule="auto"/>
        <w:rPr>
          <w:b/>
          <w:u w:val="single"/>
        </w:rPr>
      </w:pPr>
    </w:p>
    <w:p w14:paraId="6B3CB568" w14:textId="77777777" w:rsidR="000C3947" w:rsidRPr="003516A2" w:rsidRDefault="000C3947" w:rsidP="000C3947">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130853EA" w14:textId="77777777" w:rsidR="000C3947" w:rsidRPr="002007F6" w:rsidRDefault="000C3947" w:rsidP="000C3947">
      <w:pPr>
        <w:rPr>
          <w:lang w:val="es-MX"/>
        </w:rPr>
      </w:pPr>
      <w:r>
        <w:rPr>
          <w:lang w:val="es-MX"/>
        </w:rPr>
        <w:t>________________________________________________________________________________________________________________________________________________________________</w:t>
      </w:r>
    </w:p>
    <w:p w14:paraId="793B796F" w14:textId="77777777" w:rsidR="000C3947" w:rsidRPr="00C35565" w:rsidRDefault="000C3947" w:rsidP="000B04D8">
      <w:pPr>
        <w:rPr>
          <w:b/>
          <w:sz w:val="16"/>
          <w:szCs w:val="16"/>
          <w:lang w:eastAsia="es-CR"/>
        </w:rPr>
      </w:pPr>
    </w:p>
    <w:p w14:paraId="2E8FC256" w14:textId="29A3AD6C" w:rsidR="00405DBC" w:rsidRPr="00405DBC" w:rsidRDefault="00405DBC" w:rsidP="00405DBC">
      <w:pPr>
        <w:rPr>
          <w:b/>
          <w:u w:val="single"/>
          <w:lang w:val="es-MX"/>
        </w:rPr>
      </w:pPr>
      <w:r w:rsidRPr="000C3947">
        <w:rPr>
          <w:b/>
          <w:color w:val="FFFFFF" w:themeColor="background1"/>
          <w:highlight w:val="darkBlue"/>
          <w:u w:val="single"/>
        </w:rPr>
        <w:lastRenderedPageBreak/>
        <w:t>Revelación</w:t>
      </w:r>
      <w:r w:rsidR="000C3947">
        <w:rPr>
          <w:b/>
          <w:color w:val="FFFFFF" w:themeColor="background1"/>
          <w:highlight w:val="darkBlue"/>
          <w:u w:val="single"/>
        </w:rPr>
        <w:t xml:space="preserve"> </w:t>
      </w:r>
      <w:r w:rsidR="00C41D44">
        <w:rPr>
          <w:b/>
          <w:color w:val="FFFFFF" w:themeColor="background1"/>
          <w:highlight w:val="darkBlue"/>
          <w:u w:val="single"/>
        </w:rPr>
        <w:t>Suficiente</w:t>
      </w:r>
      <w:r w:rsidRPr="000C3947">
        <w:rPr>
          <w:b/>
          <w:color w:val="FFFFFF" w:themeColor="background1"/>
          <w:highlight w:val="darkBlue"/>
          <w:u w:val="single"/>
        </w:rPr>
        <w:t xml:space="preserve">: </w:t>
      </w:r>
      <w:r w:rsidRPr="00405DBC">
        <w:rPr>
          <w:b/>
          <w:u w:val="single"/>
        </w:rPr>
        <w:t>El ente debe</w:t>
      </w:r>
      <w:r w:rsidR="00482942">
        <w:rPr>
          <w:b/>
          <w:u w:val="single"/>
        </w:rPr>
        <w:t xml:space="preserve"> revelar y</w:t>
      </w:r>
      <w:r w:rsidRPr="00405DBC">
        <w:rPr>
          <w:b/>
          <w:u w:val="single"/>
        </w:rPr>
        <w:t xml:space="preserve"> cumplir con lo estipulado en revelación conforme a la NICSP, también debe considerar la política general y los párrafos incluidos en la matriz de autoevaluación referente a esta NICSP y guías de aplicación</w:t>
      </w:r>
      <w:r w:rsidRPr="00405DBC">
        <w:rPr>
          <w:b/>
          <w:u w:val="single"/>
          <w:lang w:val="es-MX"/>
        </w:rPr>
        <w:t xml:space="preserve"> (Ver guías de aplicación de la NICSP 10):</w:t>
      </w:r>
    </w:p>
    <w:p w14:paraId="1939FC4C" w14:textId="5C1F3475" w:rsidR="000B04D8" w:rsidRDefault="00405DBC" w:rsidP="00405DBC">
      <w:r>
        <w:rPr>
          <w:lang w:val="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6CD802D" w14:textId="59040EAE" w:rsidR="000B04D8" w:rsidRDefault="000B04D8" w:rsidP="00171A58"/>
    <w:p w14:paraId="62B20F63" w14:textId="77777777" w:rsidR="006E066C" w:rsidRDefault="00405DBC" w:rsidP="006E066C">
      <w:pPr>
        <w:pStyle w:val="Ttulo2"/>
        <w:spacing w:after="240"/>
      </w:pPr>
      <w:bookmarkStart w:id="44" w:name="_Toc54961677"/>
      <w:bookmarkStart w:id="45" w:name="_Toc82768873"/>
      <w:bookmarkStart w:id="46" w:name="_Toc189804789"/>
      <w:r w:rsidRPr="00BC7C5B">
        <w:t>NICSP 11- CONTRATOS DE CONSTRUCCIÓN:</w:t>
      </w:r>
      <w:bookmarkEnd w:id="44"/>
      <w:bookmarkEnd w:id="45"/>
      <w:bookmarkEnd w:id="46"/>
      <w:r w:rsidRPr="00BC7C5B">
        <w:t xml:space="preserve"> </w:t>
      </w:r>
    </w:p>
    <w:p w14:paraId="203465BE" w14:textId="77777777" w:rsidR="00396CB4" w:rsidRDefault="006E066C" w:rsidP="006E066C">
      <w:pPr>
        <w:spacing w:before="240"/>
        <w:rPr>
          <w:rFonts w:asciiTheme="minorHAnsi" w:hAnsiTheme="minorHAnsi"/>
          <w:sz w:val="22"/>
        </w:rPr>
      </w:pPr>
      <w:r w:rsidRPr="005F7730">
        <w:t>De acuerdo con la NICSP 11- Contratos de construcción: (El contratista). Indicar si este rubro afecta SI o NO a la institución, además del porcentaje de avance en la implementación que presenta.</w:t>
      </w:r>
      <w:r>
        <w:fldChar w:fldCharType="begin"/>
      </w:r>
      <w:r w:rsidRPr="005F7730">
        <w:instrText xml:space="preserve"> LINK </w:instrText>
      </w:r>
      <w:r w:rsidR="00756467">
        <w:instrText xml:space="preserve">Excel.SheetMacroEnabled.12 "C:\\Users\\gcordero\\Downloads\\Notas diciembre 2024\\Formato_Notas_EEFF_Vinculadas_2024\\Formato_Notas_EEFF_Vinculadas_2024\\15603_T04_2024_Anexo_Estado_Notas_Contables_Vinculadas.xlsm" NICSP_11!F9C3:F10C4 </w:instrText>
      </w:r>
      <w:r w:rsidRPr="005F7730">
        <w:instrText xml:space="preserve">\a \f 4 \h </w:instrText>
      </w:r>
      <w:r>
        <w:instrText xml:space="preserve"> \* MERGEFORMAT </w:instrText>
      </w:r>
      <w:r>
        <w:fldChar w:fldCharType="separate"/>
      </w:r>
    </w:p>
    <w:tbl>
      <w:tblPr>
        <w:tblW w:w="4240" w:type="dxa"/>
        <w:tblCellMar>
          <w:left w:w="70" w:type="dxa"/>
          <w:right w:w="70" w:type="dxa"/>
        </w:tblCellMar>
        <w:tblLook w:val="04A0" w:firstRow="1" w:lastRow="0" w:firstColumn="1" w:lastColumn="0" w:noHBand="0" w:noVBand="1"/>
      </w:tblPr>
      <w:tblGrid>
        <w:gridCol w:w="2400"/>
        <w:gridCol w:w="1840"/>
      </w:tblGrid>
      <w:tr w:rsidR="00396CB4" w:rsidRPr="00396CB4" w14:paraId="0053A6C3" w14:textId="77777777" w:rsidTr="00396CB4">
        <w:trPr>
          <w:divId w:val="1939557028"/>
          <w:trHeight w:val="324"/>
        </w:trPr>
        <w:tc>
          <w:tcPr>
            <w:tcW w:w="240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0A0051A3" w14:textId="1699AAA6" w:rsidR="00396CB4" w:rsidRPr="00396CB4" w:rsidRDefault="00396CB4" w:rsidP="00396CB4">
            <w:pPr>
              <w:rPr>
                <w:rFonts w:eastAsia="Times New Roman" w:cs="Calibri"/>
                <w:color w:val="FFFFFF"/>
                <w:szCs w:val="24"/>
                <w:lang w:eastAsia="es-CR"/>
              </w:rPr>
            </w:pPr>
            <w:r w:rsidRPr="00396CB4">
              <w:rPr>
                <w:rFonts w:eastAsia="Times New Roman" w:cs="Calibri"/>
                <w:color w:val="FFFFFF"/>
                <w:szCs w:val="24"/>
                <w:lang w:eastAsia="es-CR"/>
              </w:rPr>
              <w:t>Aplica</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48939C" w14:textId="77777777" w:rsidR="00396CB4" w:rsidRPr="00396CB4" w:rsidRDefault="00396CB4" w:rsidP="00396CB4">
            <w:pPr>
              <w:spacing w:after="0" w:line="240" w:lineRule="auto"/>
              <w:jc w:val="center"/>
              <w:rPr>
                <w:rFonts w:eastAsia="Times New Roman" w:cs="Calibri"/>
                <w:color w:val="000000"/>
                <w:sz w:val="22"/>
                <w:lang w:eastAsia="es-CR"/>
              </w:rPr>
            </w:pPr>
            <w:r w:rsidRPr="00396CB4">
              <w:rPr>
                <w:rFonts w:eastAsia="Times New Roman" w:cs="Calibri"/>
                <w:color w:val="000000"/>
                <w:sz w:val="22"/>
                <w:lang w:eastAsia="es-CR"/>
              </w:rPr>
              <w:t>No</w:t>
            </w:r>
          </w:p>
        </w:tc>
      </w:tr>
      <w:tr w:rsidR="00396CB4" w:rsidRPr="00396CB4" w14:paraId="57D4B7BD" w14:textId="77777777" w:rsidTr="00396CB4">
        <w:trPr>
          <w:divId w:val="1939557028"/>
          <w:trHeight w:val="324"/>
        </w:trPr>
        <w:tc>
          <w:tcPr>
            <w:tcW w:w="2400" w:type="dxa"/>
            <w:tcBorders>
              <w:top w:val="nil"/>
              <w:left w:val="single" w:sz="8" w:space="0" w:color="auto"/>
              <w:bottom w:val="single" w:sz="8" w:space="0" w:color="auto"/>
              <w:right w:val="single" w:sz="8" w:space="0" w:color="auto"/>
            </w:tcBorders>
            <w:shd w:val="clear" w:color="000000" w:fill="17365D"/>
            <w:vAlign w:val="center"/>
            <w:hideMark/>
          </w:tcPr>
          <w:p w14:paraId="24312736" w14:textId="77777777" w:rsidR="00396CB4" w:rsidRPr="00396CB4" w:rsidRDefault="00396CB4" w:rsidP="00396CB4">
            <w:pPr>
              <w:spacing w:after="0" w:line="240" w:lineRule="auto"/>
              <w:jc w:val="left"/>
              <w:rPr>
                <w:rFonts w:eastAsia="Times New Roman" w:cs="Calibri"/>
                <w:color w:val="FFFFFF"/>
                <w:szCs w:val="24"/>
                <w:lang w:eastAsia="es-CR"/>
              </w:rPr>
            </w:pPr>
            <w:proofErr w:type="spellStart"/>
            <w:r w:rsidRPr="00396CB4">
              <w:rPr>
                <w:rFonts w:eastAsia="Times New Roman" w:cs="Calibri"/>
                <w:color w:val="FFFFFF"/>
                <w:szCs w:val="24"/>
                <w:lang w:eastAsia="es-CR"/>
              </w:rPr>
              <w:t>Porcentaje_Avance</w:t>
            </w:r>
            <w:proofErr w:type="spellEnd"/>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0CBA0815" w14:textId="77777777" w:rsidR="00396CB4" w:rsidRPr="00396CB4" w:rsidRDefault="00396CB4" w:rsidP="00396CB4">
            <w:pPr>
              <w:spacing w:after="0" w:line="240" w:lineRule="auto"/>
              <w:jc w:val="center"/>
              <w:rPr>
                <w:rFonts w:eastAsia="Times New Roman" w:cs="Calibri"/>
                <w:color w:val="000000"/>
                <w:sz w:val="22"/>
                <w:lang w:eastAsia="es-CR"/>
              </w:rPr>
            </w:pPr>
            <w:r w:rsidRPr="00396CB4">
              <w:rPr>
                <w:rFonts w:eastAsia="Times New Roman" w:cs="Calibri"/>
                <w:color w:val="000000"/>
                <w:sz w:val="22"/>
                <w:lang w:eastAsia="es-CR"/>
              </w:rPr>
              <w:t> </w:t>
            </w:r>
          </w:p>
        </w:tc>
      </w:tr>
    </w:tbl>
    <w:p w14:paraId="3709C002" w14:textId="77777777" w:rsidR="000C3947" w:rsidRDefault="006E066C" w:rsidP="006E066C">
      <w:pPr>
        <w:spacing w:before="240"/>
      </w:pPr>
      <w:r>
        <w:fldChar w:fldCharType="end"/>
      </w:r>
    </w:p>
    <w:p w14:paraId="230D8729" w14:textId="77777777" w:rsidR="000C3947" w:rsidRPr="003516A2" w:rsidRDefault="000C3947" w:rsidP="000C3947">
      <w:pPr>
        <w:spacing w:line="240" w:lineRule="auto"/>
        <w:rPr>
          <w:b/>
          <w:color w:val="FFFFFF" w:themeColor="background1"/>
          <w:highlight w:val="darkBlue"/>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r>
        <w:rPr>
          <w:lang w:val="es-MX"/>
        </w:rPr>
        <w:t>________________________________________________________________________________________________________________________________________________________________</w:t>
      </w:r>
    </w:p>
    <w:p w14:paraId="5906E6AA" w14:textId="77777777" w:rsidR="000C3947" w:rsidRDefault="000C3947" w:rsidP="000C3947">
      <w:pPr>
        <w:spacing w:line="240" w:lineRule="auto"/>
        <w:rPr>
          <w:b/>
          <w:u w:val="single"/>
        </w:rPr>
      </w:pPr>
    </w:p>
    <w:p w14:paraId="78CBFF7D" w14:textId="77777777" w:rsidR="000C3947" w:rsidRPr="003516A2" w:rsidRDefault="000C3947" w:rsidP="000C3947">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451568A7" w14:textId="77777777" w:rsidR="000C3947" w:rsidRPr="002007F6" w:rsidRDefault="000C3947" w:rsidP="000C3947">
      <w:pPr>
        <w:rPr>
          <w:lang w:val="es-MX"/>
        </w:rPr>
      </w:pPr>
      <w:r>
        <w:rPr>
          <w:lang w:val="es-MX"/>
        </w:rPr>
        <w:t>________________________________________________________________________________________________________________________________________________________________</w:t>
      </w:r>
    </w:p>
    <w:p w14:paraId="7E09785A" w14:textId="55C0D362" w:rsidR="005D574A" w:rsidRPr="006E066C" w:rsidRDefault="005D574A" w:rsidP="006E066C">
      <w:pPr>
        <w:spacing w:before="240"/>
      </w:pPr>
      <w:r w:rsidRPr="000C3947">
        <w:rPr>
          <w:b/>
          <w:color w:val="FFFFFF" w:themeColor="background1"/>
          <w:highlight w:val="darkBlue"/>
          <w:u w:val="single"/>
        </w:rPr>
        <w:t>Revelación Suficiente:</w:t>
      </w:r>
      <w:r w:rsidRPr="005D574A">
        <w:rPr>
          <w:b/>
          <w:u w:val="single"/>
          <w:lang w:eastAsia="es-CR"/>
        </w:rPr>
        <w:t xml:space="preserve"> El ente debe </w:t>
      </w:r>
      <w:r w:rsidR="00482942">
        <w:rPr>
          <w:b/>
          <w:u w:val="single"/>
          <w:lang w:eastAsia="es-CR"/>
        </w:rPr>
        <w:t xml:space="preserve">revelar y </w:t>
      </w:r>
      <w:r w:rsidRPr="005D574A">
        <w:rPr>
          <w:b/>
          <w:u w:val="single"/>
          <w:lang w:eastAsia="es-CR"/>
        </w:rPr>
        <w:t xml:space="preserve">cumplir con lo estipulado en revelación </w:t>
      </w:r>
      <w:r w:rsidR="00482942">
        <w:rPr>
          <w:b/>
          <w:u w:val="single"/>
          <w:lang w:eastAsia="es-CR"/>
        </w:rPr>
        <w:t>conforme</w:t>
      </w:r>
      <w:r w:rsidRPr="005D574A">
        <w:rPr>
          <w:b/>
          <w:u w:val="single"/>
          <w:lang w:eastAsia="es-CR"/>
        </w:rPr>
        <w:t xml:space="preserve"> a la NICSP, también debe considerar la política general y los párrafos incluidos en la matriz de autoevaluación referente a esta NICSP y guías de aplicación</w:t>
      </w:r>
      <w:r w:rsidRPr="005D574A">
        <w:rPr>
          <w:b/>
          <w:u w:val="single"/>
          <w:lang w:val="es-MX" w:eastAsia="es-CR"/>
        </w:rPr>
        <w:t xml:space="preserve"> (Ver GA de la NICSP 11):</w:t>
      </w:r>
    </w:p>
    <w:p w14:paraId="711153DF" w14:textId="77777777" w:rsidR="005D574A" w:rsidRPr="005D574A" w:rsidRDefault="005D574A" w:rsidP="005D574A">
      <w:pPr>
        <w:rPr>
          <w:lang w:val="es-MX"/>
        </w:rPr>
      </w:pPr>
      <w:r w:rsidRPr="005D574A">
        <w:rPr>
          <w:lang w:val="es-MX"/>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0C57574" w14:textId="02379113" w:rsidR="00405DBC" w:rsidRDefault="00405DBC" w:rsidP="00171A58"/>
    <w:p w14:paraId="28C546A4" w14:textId="7F8FB63D" w:rsidR="00405DBC" w:rsidRPr="00A649A4" w:rsidRDefault="005D574A" w:rsidP="00A649A4">
      <w:pPr>
        <w:pStyle w:val="Ttulo2"/>
        <w:spacing w:after="240"/>
        <w:rPr>
          <w:rFonts w:eastAsia="Times New Roman"/>
          <w:lang w:eastAsia="es-CR"/>
        </w:rPr>
      </w:pPr>
      <w:bookmarkStart w:id="47" w:name="_Toc82768874"/>
      <w:bookmarkStart w:id="48" w:name="_Toc189804790"/>
      <w:r w:rsidRPr="005D574A">
        <w:rPr>
          <w:rFonts w:eastAsia="Times New Roman"/>
          <w:lang w:eastAsia="es-CR"/>
        </w:rPr>
        <w:t>NICSP 12-INVENTARIOS (DE APLICACIÓN OBLIGATORIA):</w:t>
      </w:r>
      <w:bookmarkEnd w:id="47"/>
      <w:bookmarkEnd w:id="48"/>
      <w:r w:rsidRPr="005D574A">
        <w:rPr>
          <w:rFonts w:eastAsia="Times New Roman"/>
          <w:lang w:eastAsia="es-CR"/>
        </w:rPr>
        <w:t xml:space="preserve"> </w:t>
      </w:r>
    </w:p>
    <w:p w14:paraId="702A156D" w14:textId="77777777" w:rsidR="00396CB4" w:rsidRDefault="005D574A" w:rsidP="005D574A">
      <w:pPr>
        <w:rPr>
          <w:rFonts w:asciiTheme="minorHAnsi" w:hAnsiTheme="minorHAnsi"/>
          <w:sz w:val="22"/>
        </w:rPr>
      </w:pPr>
      <w:r w:rsidRPr="00FB0858">
        <w:t xml:space="preserve">De acuerdo con la NICSP </w:t>
      </w:r>
      <w:r>
        <w:t xml:space="preserve">12- Inventarios, indicar si este rubro afecta SI o NO a la institución, </w:t>
      </w:r>
      <w:r w:rsidRPr="00405DBC">
        <w:t>además del porcentaje de avance</w:t>
      </w:r>
      <w:r>
        <w:t xml:space="preserve"> en la implementación</w:t>
      </w:r>
      <w:r w:rsidRPr="00405DBC">
        <w:t xml:space="preserve"> que presenta</w:t>
      </w:r>
      <w:r w:rsidR="00D16DB1">
        <w:t>.</w:t>
      </w:r>
      <w:r w:rsidR="0025405A">
        <w:fldChar w:fldCharType="begin"/>
      </w:r>
      <w:r w:rsidR="0025405A">
        <w:instrText xml:space="preserve"> LINK </w:instrText>
      </w:r>
      <w:r w:rsidR="00756467">
        <w:instrText xml:space="preserve">Excel.SheetMacroEnabled.12 "C:\\Users\\gcordero\\Downloads\\Notas diciembre 2024\\Formato_Notas_EEFF_Vinculadas_2024\\Formato_Notas_EEFF_Vinculadas_2024\\15603_T04_2024_Anexo_Estado_Notas_Contables_Vinculadas.xlsm" NICSP_12!F9C3:F10C4 </w:instrText>
      </w:r>
      <w:r w:rsidR="0025405A">
        <w:instrText xml:space="preserve">\a \f 4 \h </w:instrText>
      </w:r>
      <w:r w:rsidR="0025405A">
        <w:fldChar w:fldCharType="separate"/>
      </w:r>
    </w:p>
    <w:tbl>
      <w:tblPr>
        <w:tblW w:w="3820" w:type="dxa"/>
        <w:tblCellMar>
          <w:left w:w="70" w:type="dxa"/>
          <w:right w:w="70" w:type="dxa"/>
        </w:tblCellMar>
        <w:tblLook w:val="04A0" w:firstRow="1" w:lastRow="0" w:firstColumn="1" w:lastColumn="0" w:noHBand="0" w:noVBand="1"/>
      </w:tblPr>
      <w:tblGrid>
        <w:gridCol w:w="2200"/>
        <w:gridCol w:w="1620"/>
      </w:tblGrid>
      <w:tr w:rsidR="00396CB4" w:rsidRPr="00396CB4" w14:paraId="1DAA907F" w14:textId="77777777" w:rsidTr="00396CB4">
        <w:trPr>
          <w:divId w:val="1015309040"/>
          <w:trHeight w:val="345"/>
        </w:trPr>
        <w:tc>
          <w:tcPr>
            <w:tcW w:w="220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39B3A642" w14:textId="2934F865" w:rsidR="00396CB4" w:rsidRPr="00396CB4" w:rsidRDefault="00396CB4" w:rsidP="00396CB4">
            <w:pPr>
              <w:rPr>
                <w:rFonts w:eastAsia="Times New Roman" w:cs="Calibri"/>
                <w:color w:val="FFFFFF"/>
                <w:szCs w:val="24"/>
                <w:lang w:eastAsia="es-CR"/>
              </w:rPr>
            </w:pPr>
            <w:r w:rsidRPr="00396CB4">
              <w:rPr>
                <w:rFonts w:eastAsia="Times New Roman" w:cs="Calibri"/>
                <w:color w:val="FFFFFF"/>
                <w:szCs w:val="24"/>
                <w:lang w:eastAsia="es-CR"/>
              </w:rPr>
              <w:t>Aplica</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FE164E" w14:textId="77777777" w:rsidR="00396CB4" w:rsidRPr="00396CB4" w:rsidRDefault="00396CB4" w:rsidP="00396CB4">
            <w:pPr>
              <w:spacing w:after="0" w:line="240" w:lineRule="auto"/>
              <w:jc w:val="center"/>
              <w:rPr>
                <w:rFonts w:eastAsia="Times New Roman" w:cs="Calibri"/>
                <w:color w:val="000000"/>
                <w:sz w:val="22"/>
                <w:lang w:eastAsia="es-CR"/>
              </w:rPr>
            </w:pPr>
            <w:r w:rsidRPr="00396CB4">
              <w:rPr>
                <w:rFonts w:eastAsia="Times New Roman" w:cs="Calibri"/>
                <w:color w:val="000000"/>
                <w:sz w:val="22"/>
                <w:lang w:eastAsia="es-CR"/>
              </w:rPr>
              <w:t>Si</w:t>
            </w:r>
          </w:p>
        </w:tc>
      </w:tr>
      <w:tr w:rsidR="00396CB4" w:rsidRPr="00396CB4" w14:paraId="6C12D2FC" w14:textId="77777777" w:rsidTr="00396CB4">
        <w:trPr>
          <w:divId w:val="1015309040"/>
          <w:trHeight w:val="345"/>
        </w:trPr>
        <w:tc>
          <w:tcPr>
            <w:tcW w:w="2200" w:type="dxa"/>
            <w:tcBorders>
              <w:top w:val="nil"/>
              <w:left w:val="single" w:sz="8" w:space="0" w:color="auto"/>
              <w:bottom w:val="single" w:sz="8" w:space="0" w:color="auto"/>
              <w:right w:val="single" w:sz="8" w:space="0" w:color="auto"/>
            </w:tcBorders>
            <w:shd w:val="clear" w:color="000000" w:fill="17365D"/>
            <w:vAlign w:val="center"/>
            <w:hideMark/>
          </w:tcPr>
          <w:p w14:paraId="337609AA" w14:textId="77777777" w:rsidR="00396CB4" w:rsidRPr="00396CB4" w:rsidRDefault="00396CB4" w:rsidP="00396CB4">
            <w:pPr>
              <w:spacing w:after="0" w:line="240" w:lineRule="auto"/>
              <w:jc w:val="left"/>
              <w:rPr>
                <w:rFonts w:eastAsia="Times New Roman" w:cs="Calibri"/>
                <w:color w:val="FFFFFF"/>
                <w:szCs w:val="24"/>
                <w:lang w:eastAsia="es-CR"/>
              </w:rPr>
            </w:pPr>
            <w:proofErr w:type="spellStart"/>
            <w:r w:rsidRPr="00396CB4">
              <w:rPr>
                <w:rFonts w:eastAsia="Times New Roman" w:cs="Calibri"/>
                <w:color w:val="FFFFFF"/>
                <w:szCs w:val="24"/>
                <w:lang w:eastAsia="es-CR"/>
              </w:rPr>
              <w:t>Porcentaje_Avance</w:t>
            </w:r>
            <w:proofErr w:type="spellEnd"/>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525D9B12" w14:textId="77777777" w:rsidR="00396CB4" w:rsidRPr="00396CB4" w:rsidRDefault="00396CB4" w:rsidP="00396CB4">
            <w:pPr>
              <w:spacing w:after="0" w:line="240" w:lineRule="auto"/>
              <w:jc w:val="center"/>
              <w:rPr>
                <w:rFonts w:eastAsia="Times New Roman" w:cs="Calibri"/>
                <w:color w:val="000000"/>
                <w:sz w:val="22"/>
                <w:lang w:eastAsia="es-CR"/>
              </w:rPr>
            </w:pPr>
            <w:r w:rsidRPr="00396CB4">
              <w:rPr>
                <w:rFonts w:eastAsia="Times New Roman" w:cs="Calibri"/>
                <w:color w:val="000000"/>
                <w:sz w:val="22"/>
                <w:lang w:eastAsia="es-CR"/>
              </w:rPr>
              <w:t>97,00%</w:t>
            </w:r>
          </w:p>
        </w:tc>
      </w:tr>
    </w:tbl>
    <w:p w14:paraId="5AA84401" w14:textId="2014C0CE" w:rsidR="00396CB4" w:rsidRPr="0055236C" w:rsidRDefault="0025405A" w:rsidP="005D574A">
      <w:pPr>
        <w:rPr>
          <w:b/>
          <w:sz w:val="16"/>
          <w:szCs w:val="16"/>
          <w:lang w:eastAsia="es-CR"/>
        </w:rPr>
      </w:pPr>
      <w:r>
        <w:fldChar w:fldCharType="end"/>
      </w:r>
      <w:r>
        <w:rPr>
          <w:b/>
          <w:sz w:val="16"/>
          <w:szCs w:val="16"/>
          <w:lang w:eastAsia="es-CR"/>
        </w:rPr>
        <w:t xml:space="preserve">                                             </w:t>
      </w:r>
      <w:r w:rsidR="005D574A" w:rsidRPr="00C35565">
        <w:rPr>
          <w:b/>
          <w:sz w:val="16"/>
          <w:szCs w:val="16"/>
          <w:lang w:eastAsia="es-CR"/>
        </w:rPr>
        <w:t>-Aplicación Obligatoria-</w:t>
      </w:r>
      <w:r w:rsidR="00CF1073">
        <w:rPr>
          <w:lang w:eastAsia="es-CR"/>
        </w:rPr>
        <w:fldChar w:fldCharType="begin"/>
      </w:r>
      <w:r w:rsidR="00CF1073">
        <w:rPr>
          <w:lang w:eastAsia="es-CR"/>
        </w:rPr>
        <w:instrText xml:space="preserve"> LINK </w:instrText>
      </w:r>
      <w:r w:rsidR="00756467">
        <w:rPr>
          <w:lang w:eastAsia="es-CR"/>
        </w:rPr>
        <w:instrText xml:space="preserve">Excel.SheetMacroEnabled.12 "C:\\Users\\gcordero\\Downloads\\Notas diciembre 2024\\Formato_Notas_EEFF_Vinculadas_2024\\Formato_Notas_EEFF_Vinculadas_2024\\15603_T04_2024_Anexo_Estado_Notas_Contables_Vinculadas.xlsm" NICSP_12!F12C3:F16C5 </w:instrText>
      </w:r>
      <w:r w:rsidR="00CF1073">
        <w:rPr>
          <w:lang w:eastAsia="es-CR"/>
        </w:rPr>
        <w:instrText xml:space="preserve">\a \f 4 \h </w:instrText>
      </w:r>
      <w:r w:rsidR="00CF1073">
        <w:rPr>
          <w:lang w:eastAsia="es-CR"/>
        </w:rPr>
        <w:fldChar w:fldCharType="separate"/>
      </w:r>
    </w:p>
    <w:tbl>
      <w:tblPr>
        <w:tblW w:w="5700" w:type="dxa"/>
        <w:tblCellMar>
          <w:left w:w="70" w:type="dxa"/>
          <w:right w:w="70" w:type="dxa"/>
        </w:tblCellMar>
        <w:tblLook w:val="04A0" w:firstRow="1" w:lastRow="0" w:firstColumn="1" w:lastColumn="0" w:noHBand="0" w:noVBand="1"/>
      </w:tblPr>
      <w:tblGrid>
        <w:gridCol w:w="5700"/>
      </w:tblGrid>
      <w:tr w:rsidR="00396CB4" w:rsidRPr="00396CB4" w14:paraId="45B74070" w14:textId="77777777" w:rsidTr="00396CB4">
        <w:trPr>
          <w:divId w:val="1757551084"/>
          <w:trHeight w:val="345"/>
        </w:trPr>
        <w:tc>
          <w:tcPr>
            <w:tcW w:w="5700" w:type="dxa"/>
            <w:tcBorders>
              <w:top w:val="single" w:sz="8" w:space="0" w:color="auto"/>
              <w:left w:val="single" w:sz="8" w:space="0" w:color="auto"/>
              <w:bottom w:val="nil"/>
              <w:right w:val="single" w:sz="8" w:space="0" w:color="000000"/>
            </w:tcBorders>
            <w:shd w:val="clear" w:color="000000" w:fill="1F3864"/>
            <w:noWrap/>
            <w:vAlign w:val="center"/>
            <w:hideMark/>
          </w:tcPr>
          <w:p w14:paraId="7BE97194" w14:textId="37EEAE7A" w:rsidR="00396CB4" w:rsidRPr="00396CB4" w:rsidRDefault="00396CB4" w:rsidP="00396CB4">
            <w:pPr>
              <w:spacing w:after="0" w:line="240" w:lineRule="auto"/>
              <w:jc w:val="center"/>
              <w:rPr>
                <w:rFonts w:eastAsia="Times New Roman" w:cs="Calibri"/>
                <w:color w:val="FFFFFF"/>
                <w:sz w:val="22"/>
                <w:lang w:eastAsia="es-CR"/>
              </w:rPr>
            </w:pPr>
            <w:r w:rsidRPr="00396CB4">
              <w:rPr>
                <w:rFonts w:eastAsia="Times New Roman" w:cs="Calibri"/>
                <w:color w:val="FFFFFF"/>
                <w:sz w:val="22"/>
                <w:lang w:eastAsia="es-CR"/>
              </w:rPr>
              <w:t>TIEMPOS DEL DEVENGO:</w:t>
            </w:r>
          </w:p>
        </w:tc>
      </w:tr>
      <w:tr w:rsidR="00396CB4" w:rsidRPr="00396CB4" w14:paraId="2257239D" w14:textId="77777777" w:rsidTr="00396CB4">
        <w:trPr>
          <w:divId w:val="1757551084"/>
          <w:trHeight w:val="345"/>
        </w:trPr>
        <w:tc>
          <w:tcPr>
            <w:tcW w:w="570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222FE454" w14:textId="77777777" w:rsidR="00396CB4" w:rsidRPr="00396CB4" w:rsidRDefault="00396CB4" w:rsidP="00396CB4">
            <w:pPr>
              <w:spacing w:after="0" w:line="240" w:lineRule="auto"/>
              <w:jc w:val="center"/>
              <w:rPr>
                <w:rFonts w:eastAsia="Times New Roman" w:cs="Calibri"/>
                <w:color w:val="000000"/>
                <w:sz w:val="22"/>
                <w:lang w:eastAsia="es-CR"/>
              </w:rPr>
            </w:pPr>
            <w:r w:rsidRPr="00396CB4">
              <w:rPr>
                <w:rFonts w:eastAsia="Times New Roman" w:cs="Calibri"/>
                <w:color w:val="000000"/>
                <w:sz w:val="22"/>
                <w:lang w:eastAsia="es-CR"/>
              </w:rPr>
              <w:t xml:space="preserve">Describir los tiempos del devengo </w:t>
            </w:r>
          </w:p>
        </w:tc>
      </w:tr>
      <w:tr w:rsidR="00396CB4" w:rsidRPr="00396CB4" w14:paraId="4282A51A" w14:textId="77777777" w:rsidTr="00396CB4">
        <w:trPr>
          <w:divId w:val="1757551084"/>
          <w:trHeight w:val="345"/>
        </w:trPr>
        <w:tc>
          <w:tcPr>
            <w:tcW w:w="570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03FE0140" w14:textId="77777777" w:rsidR="00396CB4" w:rsidRPr="00396CB4" w:rsidRDefault="00396CB4" w:rsidP="00396CB4">
            <w:pPr>
              <w:spacing w:after="0" w:line="240" w:lineRule="auto"/>
              <w:jc w:val="center"/>
              <w:rPr>
                <w:rFonts w:eastAsia="Times New Roman" w:cs="Calibri"/>
                <w:color w:val="000000"/>
                <w:sz w:val="22"/>
                <w:lang w:eastAsia="es-CR"/>
              </w:rPr>
            </w:pPr>
            <w:r w:rsidRPr="00396CB4">
              <w:rPr>
                <w:rFonts w:eastAsia="Times New Roman" w:cs="Calibri"/>
                <w:color w:val="000000"/>
                <w:sz w:val="22"/>
                <w:lang w:eastAsia="es-CR"/>
              </w:rPr>
              <w:t>en los insumos que por materialidad aplica:</w:t>
            </w:r>
          </w:p>
        </w:tc>
      </w:tr>
      <w:tr w:rsidR="00396CB4" w:rsidRPr="00396CB4" w14:paraId="366415BE" w14:textId="77777777" w:rsidTr="00396CB4">
        <w:trPr>
          <w:divId w:val="1757551084"/>
          <w:trHeight w:val="330"/>
        </w:trPr>
        <w:tc>
          <w:tcPr>
            <w:tcW w:w="570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904C0C5"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Como parte de las políticas que están operando actualmente se tiene establecido reconocer el gasto de inventarios con base en el recuento que hacen los encargados de las diferentes bodegas trimestralmente, quienes informan a la contabilidad municipal los saldos de las existencias para que realice el registro respectivo.  Por lo tanto, el método que está operando actualmente es el de inventario periódico que hacen los encargados de las bodegas e informan los saldos de las existencias.</w:t>
            </w:r>
          </w:p>
        </w:tc>
      </w:tr>
      <w:tr w:rsidR="00396CB4" w:rsidRPr="00396CB4" w14:paraId="5ABDA1A2" w14:textId="77777777" w:rsidTr="00396CB4">
        <w:trPr>
          <w:divId w:val="1757551084"/>
          <w:trHeight w:val="345"/>
        </w:trPr>
        <w:tc>
          <w:tcPr>
            <w:tcW w:w="5700" w:type="dxa"/>
            <w:tcBorders>
              <w:top w:val="single" w:sz="4" w:space="0" w:color="auto"/>
              <w:left w:val="single" w:sz="8" w:space="0" w:color="auto"/>
              <w:bottom w:val="single" w:sz="8" w:space="0" w:color="auto"/>
              <w:right w:val="single" w:sz="8" w:space="0" w:color="000000"/>
            </w:tcBorders>
            <w:shd w:val="clear" w:color="auto" w:fill="auto"/>
            <w:vAlign w:val="center"/>
            <w:hideMark/>
          </w:tcPr>
          <w:p w14:paraId="38A2DB23"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De momento se está en proceso de construcción de las políticas y procedimientos de control para la administración de los inventarios de materiales y suministros, sustentado en el método de primera en entrar primera en salir.</w:t>
            </w:r>
          </w:p>
        </w:tc>
      </w:tr>
    </w:tbl>
    <w:p w14:paraId="2A032E2B" w14:textId="77777777" w:rsidR="00322641" w:rsidRDefault="00CF1073" w:rsidP="005D574A">
      <w:pPr>
        <w:rPr>
          <w:b/>
          <w:sz w:val="16"/>
          <w:szCs w:val="16"/>
          <w:lang w:eastAsia="es-CR"/>
        </w:rPr>
      </w:pPr>
      <w:r>
        <w:rPr>
          <w:b/>
          <w:sz w:val="16"/>
          <w:szCs w:val="16"/>
          <w:lang w:eastAsia="es-CR"/>
        </w:rPr>
        <w:fldChar w:fldCharType="end"/>
      </w:r>
    </w:p>
    <w:p w14:paraId="3426C335" w14:textId="77777777" w:rsidR="00322641" w:rsidRDefault="00322641" w:rsidP="005D574A">
      <w:pPr>
        <w:rPr>
          <w:b/>
          <w:sz w:val="16"/>
          <w:szCs w:val="16"/>
          <w:lang w:eastAsia="es-CR"/>
        </w:rPr>
      </w:pPr>
    </w:p>
    <w:p w14:paraId="037AAC53" w14:textId="7F529850" w:rsidR="00396CB4" w:rsidRDefault="0025405A" w:rsidP="005D574A">
      <w:pPr>
        <w:rPr>
          <w:rFonts w:asciiTheme="minorHAnsi" w:hAnsiTheme="minorHAnsi"/>
          <w:sz w:val="22"/>
        </w:rPr>
      </w:pPr>
      <w:r>
        <w:rPr>
          <w:lang w:eastAsia="es-CR"/>
        </w:rPr>
        <w:fldChar w:fldCharType="begin"/>
      </w:r>
      <w:r>
        <w:rPr>
          <w:lang w:eastAsia="es-CR"/>
        </w:rPr>
        <w:instrText xml:space="preserve"> LINK </w:instrText>
      </w:r>
      <w:r w:rsidR="00756467">
        <w:rPr>
          <w:lang w:eastAsia="es-CR"/>
        </w:rPr>
        <w:instrText xml:space="preserve">Excel.SheetMacroEnabled.12 "C:\\Users\\gcordero\\Downloads\\Notas diciembre 2024\\Formato_Notas_EEFF_Vinculadas_2024\\Formato_Notas_EEFF_Vinculadas_2024\\15603_T04_2024_Anexo_Estado_Notas_Contables_Vinculadas.xlsm" NICSP_12!F18C7:F21C10 </w:instrText>
      </w:r>
      <w:r>
        <w:rPr>
          <w:lang w:eastAsia="es-CR"/>
        </w:rPr>
        <w:instrText xml:space="preserve">\a \f 4 \h </w:instrText>
      </w:r>
      <w:r w:rsidR="00322641">
        <w:rPr>
          <w:lang w:eastAsia="es-CR"/>
        </w:rPr>
        <w:instrText xml:space="preserve"> \* MERGEFORMAT </w:instrText>
      </w:r>
      <w:r>
        <w:rPr>
          <w:lang w:eastAsia="es-CR"/>
        </w:rPr>
        <w:fldChar w:fldCharType="separate"/>
      </w:r>
    </w:p>
    <w:tbl>
      <w:tblPr>
        <w:tblW w:w="8818" w:type="dxa"/>
        <w:tblCellMar>
          <w:left w:w="70" w:type="dxa"/>
          <w:right w:w="70" w:type="dxa"/>
        </w:tblCellMar>
        <w:tblLook w:val="04A0" w:firstRow="1" w:lastRow="0" w:firstColumn="1" w:lastColumn="0" w:noHBand="0" w:noVBand="1"/>
      </w:tblPr>
      <w:tblGrid>
        <w:gridCol w:w="2249"/>
        <w:gridCol w:w="2403"/>
        <w:gridCol w:w="4166"/>
      </w:tblGrid>
      <w:tr w:rsidR="00396CB4" w:rsidRPr="00396CB4" w14:paraId="505E3F89" w14:textId="77777777" w:rsidTr="00396CB4">
        <w:trPr>
          <w:divId w:val="579949555"/>
          <w:trHeight w:val="300"/>
        </w:trPr>
        <w:tc>
          <w:tcPr>
            <w:tcW w:w="4652" w:type="dxa"/>
            <w:gridSpan w:val="2"/>
            <w:tcBorders>
              <w:top w:val="single" w:sz="8" w:space="0" w:color="auto"/>
              <w:left w:val="single" w:sz="8" w:space="0" w:color="auto"/>
              <w:bottom w:val="nil"/>
              <w:right w:val="single" w:sz="8" w:space="0" w:color="000000"/>
            </w:tcBorders>
            <w:shd w:val="clear" w:color="000000" w:fill="1F3864"/>
            <w:noWrap/>
            <w:vAlign w:val="center"/>
            <w:hideMark/>
          </w:tcPr>
          <w:p w14:paraId="20801D91" w14:textId="63E280F9" w:rsidR="00396CB4" w:rsidRPr="00396CB4" w:rsidRDefault="00396CB4" w:rsidP="00396CB4">
            <w:pPr>
              <w:jc w:val="center"/>
              <w:rPr>
                <w:rFonts w:eastAsia="Times New Roman" w:cs="Calibri"/>
                <w:color w:val="FFFFFF"/>
                <w:sz w:val="22"/>
                <w:lang w:eastAsia="es-CR"/>
              </w:rPr>
            </w:pPr>
            <w:r w:rsidRPr="00396CB4">
              <w:rPr>
                <w:rFonts w:eastAsia="Times New Roman" w:cs="Calibri"/>
                <w:color w:val="FFFFFF"/>
                <w:sz w:val="22"/>
                <w:lang w:eastAsia="es-CR"/>
              </w:rPr>
              <w:t>Inventarios Método Valuación PEPS.</w:t>
            </w:r>
          </w:p>
        </w:tc>
        <w:tc>
          <w:tcPr>
            <w:tcW w:w="4166" w:type="dxa"/>
            <w:tcBorders>
              <w:top w:val="single" w:sz="8" w:space="0" w:color="auto"/>
              <w:left w:val="nil"/>
              <w:bottom w:val="single" w:sz="8" w:space="0" w:color="auto"/>
              <w:right w:val="single" w:sz="8" w:space="0" w:color="auto"/>
            </w:tcBorders>
            <w:shd w:val="clear" w:color="000000" w:fill="1F3864"/>
            <w:noWrap/>
            <w:vAlign w:val="center"/>
            <w:hideMark/>
          </w:tcPr>
          <w:p w14:paraId="6DFAFA39" w14:textId="77777777" w:rsidR="00396CB4" w:rsidRPr="00396CB4" w:rsidRDefault="00396CB4" w:rsidP="00396CB4">
            <w:pPr>
              <w:spacing w:after="0" w:line="240" w:lineRule="auto"/>
              <w:jc w:val="center"/>
              <w:rPr>
                <w:rFonts w:eastAsia="Times New Roman" w:cs="Calibri"/>
                <w:color w:val="FFFFFF"/>
                <w:sz w:val="22"/>
                <w:lang w:eastAsia="es-CR"/>
              </w:rPr>
            </w:pPr>
            <w:r w:rsidRPr="00396CB4">
              <w:rPr>
                <w:rFonts w:eastAsia="Times New Roman" w:cs="Calibri"/>
                <w:color w:val="FFFFFF"/>
                <w:sz w:val="22"/>
                <w:lang w:eastAsia="es-CR"/>
              </w:rPr>
              <w:t>Observaciones</w:t>
            </w:r>
          </w:p>
        </w:tc>
      </w:tr>
      <w:tr w:rsidR="00396CB4" w:rsidRPr="00396CB4" w14:paraId="7B626F79" w14:textId="77777777" w:rsidTr="00396CB4">
        <w:trPr>
          <w:divId w:val="579949555"/>
          <w:trHeight w:val="300"/>
        </w:trPr>
        <w:tc>
          <w:tcPr>
            <w:tcW w:w="2249" w:type="dxa"/>
            <w:tcBorders>
              <w:top w:val="nil"/>
              <w:left w:val="single" w:sz="8" w:space="0" w:color="auto"/>
              <w:bottom w:val="single" w:sz="8" w:space="0" w:color="auto"/>
              <w:right w:val="single" w:sz="8" w:space="0" w:color="000000"/>
            </w:tcBorders>
            <w:shd w:val="clear" w:color="auto" w:fill="auto"/>
            <w:noWrap/>
            <w:vAlign w:val="center"/>
            <w:hideMark/>
          </w:tcPr>
          <w:p w14:paraId="4AB85B16"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xml:space="preserve">Nombre de responsables institucional </w:t>
            </w:r>
          </w:p>
        </w:tc>
        <w:tc>
          <w:tcPr>
            <w:tcW w:w="2403" w:type="dxa"/>
            <w:tcBorders>
              <w:top w:val="single" w:sz="8" w:space="0" w:color="auto"/>
              <w:left w:val="nil"/>
              <w:bottom w:val="single" w:sz="8" w:space="0" w:color="auto"/>
              <w:right w:val="single" w:sz="8" w:space="0" w:color="auto"/>
            </w:tcBorders>
            <w:shd w:val="clear" w:color="auto" w:fill="auto"/>
            <w:noWrap/>
            <w:vAlign w:val="center"/>
            <w:hideMark/>
          </w:tcPr>
          <w:p w14:paraId="1D8B3F8C"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Albán Serrano Siles, Proveedor Municipal</w:t>
            </w:r>
          </w:p>
        </w:tc>
        <w:tc>
          <w:tcPr>
            <w:tcW w:w="4166" w:type="dxa"/>
            <w:tcBorders>
              <w:top w:val="nil"/>
              <w:left w:val="nil"/>
              <w:bottom w:val="nil"/>
              <w:right w:val="single" w:sz="8" w:space="0" w:color="auto"/>
            </w:tcBorders>
            <w:shd w:val="clear" w:color="auto" w:fill="auto"/>
            <w:noWrap/>
            <w:vAlign w:val="center"/>
            <w:hideMark/>
          </w:tcPr>
          <w:p w14:paraId="0211AE90"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w:t>
            </w:r>
          </w:p>
        </w:tc>
      </w:tr>
      <w:tr w:rsidR="00396CB4" w:rsidRPr="00396CB4" w14:paraId="57099391" w14:textId="77777777" w:rsidTr="00396CB4">
        <w:trPr>
          <w:divId w:val="579949555"/>
          <w:trHeight w:val="300"/>
        </w:trPr>
        <w:tc>
          <w:tcPr>
            <w:tcW w:w="2249"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A5B78C3"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lastRenderedPageBreak/>
              <w:t>Fecha de ultimo inventario físico</w:t>
            </w:r>
          </w:p>
        </w:tc>
        <w:tc>
          <w:tcPr>
            <w:tcW w:w="2403" w:type="dxa"/>
            <w:tcBorders>
              <w:top w:val="nil"/>
              <w:left w:val="nil"/>
              <w:bottom w:val="single" w:sz="8" w:space="0" w:color="auto"/>
              <w:right w:val="single" w:sz="8" w:space="0" w:color="auto"/>
            </w:tcBorders>
            <w:shd w:val="clear" w:color="auto" w:fill="auto"/>
            <w:noWrap/>
            <w:vAlign w:val="center"/>
            <w:hideMark/>
          </w:tcPr>
          <w:p w14:paraId="7234885C" w14:textId="530A3F70"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w:t>
            </w:r>
            <w:r w:rsidR="00796636">
              <w:rPr>
                <w:rFonts w:eastAsia="Times New Roman" w:cs="Calibri"/>
                <w:color w:val="000000"/>
                <w:sz w:val="22"/>
                <w:lang w:eastAsia="es-CR"/>
              </w:rPr>
              <w:t>31</w:t>
            </w:r>
            <w:r w:rsidRPr="00396CB4">
              <w:rPr>
                <w:rFonts w:eastAsia="Times New Roman" w:cs="Calibri"/>
                <w:color w:val="000000"/>
                <w:sz w:val="22"/>
                <w:lang w:eastAsia="es-CR"/>
              </w:rPr>
              <w:t xml:space="preserve"> de </w:t>
            </w:r>
            <w:r w:rsidR="00D64CF8">
              <w:rPr>
                <w:rFonts w:eastAsia="Times New Roman" w:cs="Calibri"/>
                <w:color w:val="000000"/>
                <w:sz w:val="22"/>
                <w:lang w:eastAsia="es-CR"/>
              </w:rPr>
              <w:t>diciembre</w:t>
            </w:r>
            <w:r w:rsidRPr="00396CB4">
              <w:rPr>
                <w:rFonts w:eastAsia="Times New Roman" w:cs="Calibri"/>
                <w:color w:val="000000"/>
                <w:sz w:val="22"/>
                <w:lang w:eastAsia="es-CR"/>
              </w:rPr>
              <w:t xml:space="preserve"> de 2024</w:t>
            </w:r>
          </w:p>
        </w:tc>
        <w:tc>
          <w:tcPr>
            <w:tcW w:w="4166" w:type="dxa"/>
            <w:tcBorders>
              <w:top w:val="nil"/>
              <w:left w:val="nil"/>
              <w:bottom w:val="nil"/>
              <w:right w:val="single" w:sz="8" w:space="0" w:color="auto"/>
            </w:tcBorders>
            <w:shd w:val="clear" w:color="auto" w:fill="auto"/>
            <w:noWrap/>
            <w:vAlign w:val="center"/>
            <w:hideMark/>
          </w:tcPr>
          <w:p w14:paraId="6460221D"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w:t>
            </w:r>
          </w:p>
        </w:tc>
      </w:tr>
      <w:tr w:rsidR="00396CB4" w:rsidRPr="00396CB4" w14:paraId="3EEB4C7F" w14:textId="77777777" w:rsidTr="00396CB4">
        <w:trPr>
          <w:divId w:val="579949555"/>
          <w:trHeight w:val="300"/>
        </w:trPr>
        <w:tc>
          <w:tcPr>
            <w:tcW w:w="2249"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56F0422"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Fecha de ultimo asiento por depuración</w:t>
            </w:r>
          </w:p>
        </w:tc>
        <w:tc>
          <w:tcPr>
            <w:tcW w:w="2403" w:type="dxa"/>
            <w:tcBorders>
              <w:top w:val="nil"/>
              <w:left w:val="nil"/>
              <w:bottom w:val="single" w:sz="8" w:space="0" w:color="auto"/>
              <w:right w:val="single" w:sz="8" w:space="0" w:color="auto"/>
            </w:tcBorders>
            <w:shd w:val="clear" w:color="auto" w:fill="auto"/>
            <w:noWrap/>
            <w:vAlign w:val="center"/>
            <w:hideMark/>
          </w:tcPr>
          <w:p w14:paraId="2EFE59C1"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31 de mayo de 2023</w:t>
            </w:r>
          </w:p>
        </w:tc>
        <w:tc>
          <w:tcPr>
            <w:tcW w:w="4166" w:type="dxa"/>
            <w:tcBorders>
              <w:top w:val="nil"/>
              <w:left w:val="nil"/>
              <w:bottom w:val="single" w:sz="8" w:space="0" w:color="auto"/>
              <w:right w:val="single" w:sz="8" w:space="0" w:color="auto"/>
            </w:tcBorders>
            <w:shd w:val="clear" w:color="auto" w:fill="auto"/>
            <w:noWrap/>
            <w:vAlign w:val="center"/>
            <w:hideMark/>
          </w:tcPr>
          <w:p w14:paraId="6EC60CF0"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xml:space="preserve">Se registró el inventario de materiales y repuestos que mantiene la UTGV </w:t>
            </w:r>
          </w:p>
        </w:tc>
      </w:tr>
    </w:tbl>
    <w:p w14:paraId="2FE88413" w14:textId="77777777" w:rsidR="00396CB4" w:rsidRDefault="0025405A" w:rsidP="005D574A">
      <w:pPr>
        <w:rPr>
          <w:rFonts w:asciiTheme="minorHAnsi" w:hAnsiTheme="minorHAnsi"/>
          <w:sz w:val="22"/>
        </w:rPr>
      </w:pPr>
      <w:r>
        <w:rPr>
          <w:lang w:eastAsia="es-CR"/>
        </w:rPr>
        <w:fldChar w:fldCharType="end"/>
      </w:r>
      <w:r>
        <w:rPr>
          <w:lang w:eastAsia="es-CR"/>
        </w:rPr>
        <w:fldChar w:fldCharType="begin"/>
      </w:r>
      <w:r>
        <w:rPr>
          <w:lang w:eastAsia="es-CR"/>
        </w:rPr>
        <w:instrText xml:space="preserve"> LINK </w:instrText>
      </w:r>
      <w:r w:rsidR="00756467">
        <w:rPr>
          <w:lang w:eastAsia="es-CR"/>
        </w:rPr>
        <w:instrText xml:space="preserve">Excel.SheetMacroEnabled.12 "C:\\Users\\gcordero\\Downloads\\Notas diciembre 2024\\Formato_Notas_EEFF_Vinculadas_2024\\Formato_Notas_EEFF_Vinculadas_2024\\15603_T04_2024_Anexo_Estado_Notas_Contables_Vinculadas.xlsm" NICSP_12!F18C7:F21C10 </w:instrText>
      </w:r>
      <w:r>
        <w:rPr>
          <w:lang w:eastAsia="es-CR"/>
        </w:rPr>
        <w:instrText xml:space="preserve">\a \f 4 \h </w:instrText>
      </w:r>
      <w:r>
        <w:rPr>
          <w:lang w:eastAsia="es-CR"/>
        </w:rPr>
        <w:fldChar w:fldCharType="separate"/>
      </w:r>
    </w:p>
    <w:tbl>
      <w:tblPr>
        <w:tblW w:w="8818" w:type="dxa"/>
        <w:tblCellMar>
          <w:left w:w="70" w:type="dxa"/>
          <w:right w:w="70" w:type="dxa"/>
        </w:tblCellMar>
        <w:tblLook w:val="04A0" w:firstRow="1" w:lastRow="0" w:firstColumn="1" w:lastColumn="0" w:noHBand="0" w:noVBand="1"/>
      </w:tblPr>
      <w:tblGrid>
        <w:gridCol w:w="2249"/>
        <w:gridCol w:w="2403"/>
        <w:gridCol w:w="4166"/>
      </w:tblGrid>
      <w:tr w:rsidR="00396CB4" w:rsidRPr="00396CB4" w14:paraId="1B08A24A" w14:textId="77777777" w:rsidTr="00396CB4">
        <w:trPr>
          <w:divId w:val="646400403"/>
          <w:trHeight w:val="300"/>
        </w:trPr>
        <w:tc>
          <w:tcPr>
            <w:tcW w:w="4652" w:type="dxa"/>
            <w:gridSpan w:val="2"/>
            <w:tcBorders>
              <w:top w:val="single" w:sz="8" w:space="0" w:color="auto"/>
              <w:left w:val="single" w:sz="8" w:space="0" w:color="auto"/>
              <w:bottom w:val="nil"/>
              <w:right w:val="single" w:sz="8" w:space="0" w:color="000000"/>
            </w:tcBorders>
            <w:shd w:val="clear" w:color="000000" w:fill="1F3864"/>
            <w:noWrap/>
            <w:vAlign w:val="center"/>
            <w:hideMark/>
          </w:tcPr>
          <w:p w14:paraId="1E681849" w14:textId="76DA4DD3" w:rsidR="00396CB4" w:rsidRPr="00396CB4" w:rsidRDefault="00396CB4" w:rsidP="00396CB4">
            <w:pPr>
              <w:jc w:val="center"/>
              <w:rPr>
                <w:rFonts w:eastAsia="Times New Roman" w:cs="Calibri"/>
                <w:color w:val="FFFFFF"/>
                <w:sz w:val="22"/>
                <w:lang w:eastAsia="es-CR"/>
              </w:rPr>
            </w:pPr>
            <w:r w:rsidRPr="00396CB4">
              <w:rPr>
                <w:rFonts w:eastAsia="Times New Roman" w:cs="Calibri"/>
                <w:color w:val="FFFFFF"/>
                <w:sz w:val="22"/>
                <w:lang w:eastAsia="es-CR"/>
              </w:rPr>
              <w:t>Inventarios Método Valuación PEPS.</w:t>
            </w:r>
          </w:p>
        </w:tc>
        <w:tc>
          <w:tcPr>
            <w:tcW w:w="4166" w:type="dxa"/>
            <w:tcBorders>
              <w:top w:val="single" w:sz="8" w:space="0" w:color="auto"/>
              <w:left w:val="nil"/>
              <w:bottom w:val="single" w:sz="8" w:space="0" w:color="auto"/>
              <w:right w:val="single" w:sz="8" w:space="0" w:color="auto"/>
            </w:tcBorders>
            <w:shd w:val="clear" w:color="000000" w:fill="1F3864"/>
            <w:noWrap/>
            <w:vAlign w:val="center"/>
            <w:hideMark/>
          </w:tcPr>
          <w:p w14:paraId="1A787AB8" w14:textId="77777777" w:rsidR="00396CB4" w:rsidRPr="00396CB4" w:rsidRDefault="00396CB4" w:rsidP="00396CB4">
            <w:pPr>
              <w:spacing w:after="0" w:line="240" w:lineRule="auto"/>
              <w:jc w:val="center"/>
              <w:rPr>
                <w:rFonts w:eastAsia="Times New Roman" w:cs="Calibri"/>
                <w:color w:val="FFFFFF"/>
                <w:sz w:val="22"/>
                <w:lang w:eastAsia="es-CR"/>
              </w:rPr>
            </w:pPr>
            <w:r w:rsidRPr="00396CB4">
              <w:rPr>
                <w:rFonts w:eastAsia="Times New Roman" w:cs="Calibri"/>
                <w:color w:val="FFFFFF"/>
                <w:sz w:val="22"/>
                <w:lang w:eastAsia="es-CR"/>
              </w:rPr>
              <w:t>Observaciones</w:t>
            </w:r>
          </w:p>
        </w:tc>
      </w:tr>
      <w:tr w:rsidR="00396CB4" w:rsidRPr="00396CB4" w14:paraId="7C718BCB" w14:textId="77777777" w:rsidTr="00396CB4">
        <w:trPr>
          <w:divId w:val="646400403"/>
          <w:trHeight w:val="300"/>
        </w:trPr>
        <w:tc>
          <w:tcPr>
            <w:tcW w:w="2249" w:type="dxa"/>
            <w:tcBorders>
              <w:top w:val="nil"/>
              <w:left w:val="single" w:sz="8" w:space="0" w:color="auto"/>
              <w:bottom w:val="single" w:sz="8" w:space="0" w:color="auto"/>
              <w:right w:val="single" w:sz="8" w:space="0" w:color="000000"/>
            </w:tcBorders>
            <w:shd w:val="clear" w:color="auto" w:fill="auto"/>
            <w:noWrap/>
            <w:vAlign w:val="center"/>
            <w:hideMark/>
          </w:tcPr>
          <w:p w14:paraId="3546A243"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xml:space="preserve">Nombre de responsables institucional </w:t>
            </w:r>
          </w:p>
        </w:tc>
        <w:tc>
          <w:tcPr>
            <w:tcW w:w="2403" w:type="dxa"/>
            <w:tcBorders>
              <w:top w:val="single" w:sz="8" w:space="0" w:color="auto"/>
              <w:left w:val="nil"/>
              <w:bottom w:val="single" w:sz="8" w:space="0" w:color="auto"/>
              <w:right w:val="single" w:sz="8" w:space="0" w:color="auto"/>
            </w:tcBorders>
            <w:shd w:val="clear" w:color="auto" w:fill="auto"/>
            <w:noWrap/>
            <w:vAlign w:val="center"/>
            <w:hideMark/>
          </w:tcPr>
          <w:p w14:paraId="71CBB2B6"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Albán Serrano Siles, Proveedor Municipal</w:t>
            </w:r>
          </w:p>
        </w:tc>
        <w:tc>
          <w:tcPr>
            <w:tcW w:w="4166" w:type="dxa"/>
            <w:tcBorders>
              <w:top w:val="nil"/>
              <w:left w:val="nil"/>
              <w:bottom w:val="nil"/>
              <w:right w:val="single" w:sz="8" w:space="0" w:color="auto"/>
            </w:tcBorders>
            <w:shd w:val="clear" w:color="auto" w:fill="auto"/>
            <w:noWrap/>
            <w:vAlign w:val="center"/>
            <w:hideMark/>
          </w:tcPr>
          <w:p w14:paraId="2E93F02C"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w:t>
            </w:r>
          </w:p>
        </w:tc>
      </w:tr>
      <w:tr w:rsidR="00396CB4" w:rsidRPr="00396CB4" w14:paraId="405DFA7A" w14:textId="77777777" w:rsidTr="00396CB4">
        <w:trPr>
          <w:divId w:val="646400403"/>
          <w:trHeight w:val="300"/>
        </w:trPr>
        <w:tc>
          <w:tcPr>
            <w:tcW w:w="2249"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B0CD359"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Fecha de ultimo inventario físico</w:t>
            </w:r>
          </w:p>
        </w:tc>
        <w:tc>
          <w:tcPr>
            <w:tcW w:w="2403" w:type="dxa"/>
            <w:tcBorders>
              <w:top w:val="nil"/>
              <w:left w:val="nil"/>
              <w:bottom w:val="single" w:sz="8" w:space="0" w:color="auto"/>
              <w:right w:val="single" w:sz="8" w:space="0" w:color="auto"/>
            </w:tcBorders>
            <w:shd w:val="clear" w:color="auto" w:fill="auto"/>
            <w:noWrap/>
            <w:vAlign w:val="center"/>
            <w:hideMark/>
          </w:tcPr>
          <w:p w14:paraId="2614C6B0" w14:textId="2250DD42"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w:t>
            </w:r>
            <w:r w:rsidR="00796636">
              <w:rPr>
                <w:rFonts w:eastAsia="Times New Roman" w:cs="Calibri"/>
                <w:color w:val="000000"/>
                <w:sz w:val="22"/>
                <w:lang w:eastAsia="es-CR"/>
              </w:rPr>
              <w:t>31</w:t>
            </w:r>
            <w:r w:rsidRPr="00396CB4">
              <w:rPr>
                <w:rFonts w:eastAsia="Times New Roman" w:cs="Calibri"/>
                <w:color w:val="000000"/>
                <w:sz w:val="22"/>
                <w:lang w:eastAsia="es-CR"/>
              </w:rPr>
              <w:t xml:space="preserve"> de </w:t>
            </w:r>
            <w:r w:rsidR="00D64CF8">
              <w:rPr>
                <w:rFonts w:eastAsia="Times New Roman" w:cs="Calibri"/>
                <w:color w:val="000000"/>
                <w:sz w:val="22"/>
                <w:lang w:eastAsia="es-CR"/>
              </w:rPr>
              <w:t>diciembre</w:t>
            </w:r>
            <w:r w:rsidRPr="00396CB4">
              <w:rPr>
                <w:rFonts w:eastAsia="Times New Roman" w:cs="Calibri"/>
                <w:color w:val="000000"/>
                <w:sz w:val="22"/>
                <w:lang w:eastAsia="es-CR"/>
              </w:rPr>
              <w:t xml:space="preserve"> de 2024</w:t>
            </w:r>
          </w:p>
        </w:tc>
        <w:tc>
          <w:tcPr>
            <w:tcW w:w="4166" w:type="dxa"/>
            <w:tcBorders>
              <w:top w:val="nil"/>
              <w:left w:val="nil"/>
              <w:bottom w:val="nil"/>
              <w:right w:val="single" w:sz="8" w:space="0" w:color="auto"/>
            </w:tcBorders>
            <w:shd w:val="clear" w:color="auto" w:fill="auto"/>
            <w:noWrap/>
            <w:vAlign w:val="center"/>
            <w:hideMark/>
          </w:tcPr>
          <w:p w14:paraId="0617211D"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w:t>
            </w:r>
          </w:p>
        </w:tc>
      </w:tr>
      <w:tr w:rsidR="00396CB4" w:rsidRPr="00396CB4" w14:paraId="66B9896F" w14:textId="77777777" w:rsidTr="00396CB4">
        <w:trPr>
          <w:divId w:val="646400403"/>
          <w:trHeight w:val="300"/>
        </w:trPr>
        <w:tc>
          <w:tcPr>
            <w:tcW w:w="2249"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05EE2D9"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Fecha de ultimo asiento por depuración</w:t>
            </w:r>
          </w:p>
        </w:tc>
        <w:tc>
          <w:tcPr>
            <w:tcW w:w="2403" w:type="dxa"/>
            <w:tcBorders>
              <w:top w:val="nil"/>
              <w:left w:val="nil"/>
              <w:bottom w:val="single" w:sz="8" w:space="0" w:color="auto"/>
              <w:right w:val="single" w:sz="8" w:space="0" w:color="auto"/>
            </w:tcBorders>
            <w:shd w:val="clear" w:color="auto" w:fill="auto"/>
            <w:noWrap/>
            <w:vAlign w:val="center"/>
            <w:hideMark/>
          </w:tcPr>
          <w:p w14:paraId="03319872"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31 de mayo de 2023</w:t>
            </w:r>
          </w:p>
        </w:tc>
        <w:tc>
          <w:tcPr>
            <w:tcW w:w="4166" w:type="dxa"/>
            <w:tcBorders>
              <w:top w:val="nil"/>
              <w:left w:val="nil"/>
              <w:bottom w:val="single" w:sz="8" w:space="0" w:color="auto"/>
              <w:right w:val="single" w:sz="8" w:space="0" w:color="auto"/>
            </w:tcBorders>
            <w:shd w:val="clear" w:color="auto" w:fill="auto"/>
            <w:noWrap/>
            <w:vAlign w:val="center"/>
            <w:hideMark/>
          </w:tcPr>
          <w:p w14:paraId="20B1F966"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xml:space="preserve">Se registró el inventario de materiales y repuestos que mantiene la UTGV </w:t>
            </w:r>
          </w:p>
        </w:tc>
      </w:tr>
    </w:tbl>
    <w:p w14:paraId="022DFBF8" w14:textId="77777777" w:rsidR="00151BA7" w:rsidRDefault="0025405A" w:rsidP="005D574A">
      <w:pPr>
        <w:rPr>
          <w:lang w:eastAsia="es-CR"/>
        </w:rPr>
      </w:pPr>
      <w:r>
        <w:rPr>
          <w:lang w:eastAsia="es-CR"/>
        </w:rPr>
        <w:fldChar w:fldCharType="end"/>
      </w:r>
    </w:p>
    <w:p w14:paraId="37D3F09C" w14:textId="36C51CA5" w:rsidR="00396CB4" w:rsidRPr="00396CB4" w:rsidRDefault="00151BA7" w:rsidP="005D574A">
      <w:pPr>
        <w:rPr>
          <w:lang w:eastAsia="es-CR"/>
        </w:rPr>
      </w:pPr>
      <w:r w:rsidRPr="00361D83">
        <w:rPr>
          <w:lang w:eastAsia="es-CR"/>
        </w:rPr>
        <w:t xml:space="preserve">En el mes de mayo de 2023 con base en el Oficio Nro. </w:t>
      </w:r>
      <w:r w:rsidRPr="00361D83">
        <w:t>GV-MBA-</w:t>
      </w:r>
      <w:r w:rsidR="00796636">
        <w:t>31</w:t>
      </w:r>
      <w:r w:rsidRPr="00361D83">
        <w:t xml:space="preserve">3-2023 del 31 de mayo de 2023 remitido por el Coordinador General Gestión Vial, </w:t>
      </w:r>
      <w:r w:rsidRPr="00361D83">
        <w:rPr>
          <w:lang w:eastAsia="es-CR"/>
        </w:rPr>
        <w:t xml:space="preserve">se registró el inventario de materiales y repuestos que mantiene dicha Unidad Técnica en una bodega ubicada en el sitio conocido como el Remolino por un monto que ascendía a </w:t>
      </w:r>
      <w:r w:rsidRPr="00361D83">
        <w:rPr>
          <w:rFonts w:ascii="Arial" w:hAnsi="Arial" w:cs="Arial"/>
          <w:lang w:eastAsia="es-CR"/>
        </w:rPr>
        <w:t>₡</w:t>
      </w:r>
      <w:r w:rsidRPr="00361D83">
        <w:rPr>
          <w:lang w:eastAsia="es-CR"/>
        </w:rPr>
        <w:t>164 475,28 miles</w:t>
      </w:r>
      <w:r w:rsidRPr="00361D83">
        <w:rPr>
          <w:rFonts w:cs="Calibri"/>
          <w:color w:val="000000"/>
        </w:rPr>
        <w:t>, siendo este inventario el que fundamentalmente origina la variación como se consigna en el</w:t>
      </w:r>
      <w:r w:rsidRPr="00361D83">
        <w:rPr>
          <w:lang w:eastAsia="es-CR"/>
        </w:rPr>
        <w:t xml:space="preserve"> detalle de los inventarios registrado</w:t>
      </w:r>
      <w:r>
        <w:rPr>
          <w:lang w:eastAsia="es-CR"/>
        </w:rPr>
        <w:t>s</w:t>
      </w:r>
      <w:r w:rsidR="00A329CC">
        <w:rPr>
          <w:lang w:eastAsia="es-CR"/>
        </w:rPr>
        <w:t>.</w:t>
      </w:r>
      <w:r w:rsidR="00225A39">
        <w:rPr>
          <w:lang w:eastAsia="es-CR"/>
        </w:rPr>
        <w:fldChar w:fldCharType="begin"/>
      </w:r>
      <w:r w:rsidR="00225A39">
        <w:rPr>
          <w:lang w:eastAsia="es-CR"/>
        </w:rPr>
        <w:instrText xml:space="preserve"> LINK </w:instrText>
      </w:r>
      <w:r w:rsidR="00756467">
        <w:rPr>
          <w:lang w:eastAsia="es-CR"/>
        </w:rPr>
        <w:instrText xml:space="preserve">Excel.SheetMacroEnabled.12 "C:\\Users\\gcordero\\Downloads\\Notas diciembre 2024\\Formato_Notas_EEFF_Vinculadas_2024\\Formato_Notas_EEFF_Vinculadas_2024\\15603_T04_2024_Anexo_Estado_Notas_Contables_Vinculadas.xlsm" NICSP_12!F12C7:F14C9 </w:instrText>
      </w:r>
      <w:r w:rsidR="00225A39">
        <w:rPr>
          <w:lang w:eastAsia="es-CR"/>
        </w:rPr>
        <w:instrText xml:space="preserve">\a \f 4 \h  \* MERGEFORMAT </w:instrText>
      </w:r>
      <w:r w:rsidR="00225A39">
        <w:rPr>
          <w:lang w:eastAsia="es-CR"/>
        </w:rPr>
        <w:fldChar w:fldCharType="separate"/>
      </w:r>
    </w:p>
    <w:tbl>
      <w:tblPr>
        <w:tblW w:w="4740" w:type="dxa"/>
        <w:jc w:val="center"/>
        <w:tblCellMar>
          <w:left w:w="70" w:type="dxa"/>
          <w:right w:w="70" w:type="dxa"/>
        </w:tblCellMar>
        <w:tblLook w:val="04A0" w:firstRow="1" w:lastRow="0" w:firstColumn="1" w:lastColumn="0" w:noHBand="0" w:noVBand="1"/>
      </w:tblPr>
      <w:tblGrid>
        <w:gridCol w:w="2020"/>
        <w:gridCol w:w="1360"/>
        <w:gridCol w:w="1360"/>
      </w:tblGrid>
      <w:tr w:rsidR="00396CB4" w:rsidRPr="00396CB4" w14:paraId="6F1ACD43" w14:textId="77777777" w:rsidTr="00396CB4">
        <w:trPr>
          <w:divId w:val="1188760513"/>
          <w:trHeight w:val="288"/>
          <w:jc w:val="center"/>
        </w:trPr>
        <w:tc>
          <w:tcPr>
            <w:tcW w:w="202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71212FEB" w14:textId="2575EB63" w:rsidR="00396CB4" w:rsidRPr="00396CB4" w:rsidRDefault="00396CB4" w:rsidP="00396CB4">
            <w:pPr>
              <w:spacing w:after="0" w:line="240" w:lineRule="auto"/>
              <w:jc w:val="center"/>
              <w:rPr>
                <w:rFonts w:eastAsia="Times New Roman" w:cs="Calibri"/>
                <w:color w:val="FFFFFF"/>
                <w:sz w:val="22"/>
                <w:lang w:eastAsia="es-CR"/>
              </w:rPr>
            </w:pPr>
            <w:r w:rsidRPr="00396CB4">
              <w:rPr>
                <w:rFonts w:eastAsia="Times New Roman" w:cs="Calibri"/>
                <w:color w:val="FFFFFF"/>
                <w:sz w:val="22"/>
                <w:lang w:eastAsia="es-CR"/>
              </w:rPr>
              <w:t>Sistema de Inventario</w:t>
            </w:r>
          </w:p>
        </w:tc>
        <w:tc>
          <w:tcPr>
            <w:tcW w:w="1360" w:type="dxa"/>
            <w:tcBorders>
              <w:top w:val="single" w:sz="8" w:space="0" w:color="auto"/>
              <w:left w:val="nil"/>
              <w:bottom w:val="single" w:sz="8" w:space="0" w:color="auto"/>
              <w:right w:val="single" w:sz="8" w:space="0" w:color="auto"/>
            </w:tcBorders>
            <w:shd w:val="clear" w:color="000000" w:fill="1F3864"/>
            <w:noWrap/>
            <w:vAlign w:val="center"/>
            <w:hideMark/>
          </w:tcPr>
          <w:p w14:paraId="2138464E" w14:textId="77777777" w:rsidR="00396CB4" w:rsidRPr="00396CB4" w:rsidRDefault="00396CB4" w:rsidP="00396CB4">
            <w:pPr>
              <w:spacing w:after="0" w:line="240" w:lineRule="auto"/>
              <w:jc w:val="center"/>
              <w:rPr>
                <w:rFonts w:eastAsia="Times New Roman" w:cs="Calibri"/>
                <w:color w:val="FFFFFF"/>
                <w:sz w:val="22"/>
                <w:lang w:eastAsia="es-CR"/>
              </w:rPr>
            </w:pPr>
            <w:r w:rsidRPr="00396CB4">
              <w:rPr>
                <w:rFonts w:eastAsia="Times New Roman" w:cs="Calibri"/>
                <w:color w:val="FFFFFF"/>
                <w:sz w:val="22"/>
                <w:lang w:eastAsia="es-CR"/>
              </w:rPr>
              <w:t>SI</w:t>
            </w:r>
          </w:p>
        </w:tc>
        <w:tc>
          <w:tcPr>
            <w:tcW w:w="1360" w:type="dxa"/>
            <w:tcBorders>
              <w:top w:val="single" w:sz="8" w:space="0" w:color="auto"/>
              <w:left w:val="nil"/>
              <w:bottom w:val="single" w:sz="8" w:space="0" w:color="auto"/>
              <w:right w:val="single" w:sz="8" w:space="0" w:color="auto"/>
            </w:tcBorders>
            <w:shd w:val="clear" w:color="000000" w:fill="1F3864"/>
            <w:noWrap/>
            <w:vAlign w:val="center"/>
            <w:hideMark/>
          </w:tcPr>
          <w:p w14:paraId="06EDE299" w14:textId="77777777" w:rsidR="00396CB4" w:rsidRPr="00396CB4" w:rsidRDefault="00396CB4" w:rsidP="00396CB4">
            <w:pPr>
              <w:spacing w:after="0" w:line="240" w:lineRule="auto"/>
              <w:jc w:val="center"/>
              <w:rPr>
                <w:rFonts w:eastAsia="Times New Roman" w:cs="Calibri"/>
                <w:color w:val="FFFFFF"/>
                <w:sz w:val="22"/>
                <w:lang w:eastAsia="es-CR"/>
              </w:rPr>
            </w:pPr>
            <w:r w:rsidRPr="00396CB4">
              <w:rPr>
                <w:rFonts w:eastAsia="Times New Roman" w:cs="Calibri"/>
                <w:color w:val="FFFFFF"/>
                <w:sz w:val="22"/>
                <w:lang w:eastAsia="es-CR"/>
              </w:rPr>
              <w:t>NO</w:t>
            </w:r>
          </w:p>
        </w:tc>
      </w:tr>
      <w:tr w:rsidR="00396CB4" w:rsidRPr="00396CB4" w14:paraId="20BFC760" w14:textId="77777777" w:rsidTr="00396CB4">
        <w:trPr>
          <w:divId w:val="1188760513"/>
          <w:trHeight w:val="288"/>
          <w:jc w:val="center"/>
        </w:trPr>
        <w:tc>
          <w:tcPr>
            <w:tcW w:w="2020" w:type="dxa"/>
            <w:tcBorders>
              <w:top w:val="nil"/>
              <w:left w:val="single" w:sz="8" w:space="0" w:color="auto"/>
              <w:bottom w:val="single" w:sz="8" w:space="0" w:color="auto"/>
              <w:right w:val="single" w:sz="8" w:space="0" w:color="auto"/>
            </w:tcBorders>
            <w:shd w:val="clear" w:color="auto" w:fill="auto"/>
            <w:noWrap/>
            <w:vAlign w:val="center"/>
            <w:hideMark/>
          </w:tcPr>
          <w:p w14:paraId="724180B1"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Perpetuo o constante</w:t>
            </w:r>
          </w:p>
        </w:tc>
        <w:tc>
          <w:tcPr>
            <w:tcW w:w="1360" w:type="dxa"/>
            <w:tcBorders>
              <w:top w:val="nil"/>
              <w:left w:val="nil"/>
              <w:bottom w:val="single" w:sz="8" w:space="0" w:color="auto"/>
              <w:right w:val="single" w:sz="8" w:space="0" w:color="auto"/>
            </w:tcBorders>
            <w:shd w:val="clear" w:color="auto" w:fill="auto"/>
            <w:noWrap/>
            <w:vAlign w:val="center"/>
            <w:hideMark/>
          </w:tcPr>
          <w:p w14:paraId="55F30228"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w:t>
            </w:r>
          </w:p>
        </w:tc>
        <w:tc>
          <w:tcPr>
            <w:tcW w:w="1360" w:type="dxa"/>
            <w:tcBorders>
              <w:top w:val="nil"/>
              <w:left w:val="nil"/>
              <w:bottom w:val="single" w:sz="8" w:space="0" w:color="auto"/>
              <w:right w:val="single" w:sz="8" w:space="0" w:color="auto"/>
            </w:tcBorders>
            <w:shd w:val="clear" w:color="auto" w:fill="auto"/>
            <w:noWrap/>
            <w:vAlign w:val="center"/>
            <w:hideMark/>
          </w:tcPr>
          <w:p w14:paraId="66A69C1C"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1</w:t>
            </w:r>
          </w:p>
        </w:tc>
      </w:tr>
      <w:tr w:rsidR="00396CB4" w:rsidRPr="00396CB4" w14:paraId="1894F489" w14:textId="77777777" w:rsidTr="00396CB4">
        <w:trPr>
          <w:divId w:val="1188760513"/>
          <w:trHeight w:val="288"/>
          <w:jc w:val="center"/>
        </w:trPr>
        <w:tc>
          <w:tcPr>
            <w:tcW w:w="2020" w:type="dxa"/>
            <w:tcBorders>
              <w:top w:val="nil"/>
              <w:left w:val="single" w:sz="8" w:space="0" w:color="auto"/>
              <w:bottom w:val="single" w:sz="8" w:space="0" w:color="auto"/>
              <w:right w:val="single" w:sz="8" w:space="0" w:color="auto"/>
            </w:tcBorders>
            <w:shd w:val="clear" w:color="auto" w:fill="auto"/>
            <w:noWrap/>
            <w:vAlign w:val="center"/>
            <w:hideMark/>
          </w:tcPr>
          <w:p w14:paraId="7850623F"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periódico</w:t>
            </w:r>
          </w:p>
        </w:tc>
        <w:tc>
          <w:tcPr>
            <w:tcW w:w="1360" w:type="dxa"/>
            <w:tcBorders>
              <w:top w:val="nil"/>
              <w:left w:val="nil"/>
              <w:bottom w:val="single" w:sz="8" w:space="0" w:color="auto"/>
              <w:right w:val="single" w:sz="8" w:space="0" w:color="auto"/>
            </w:tcBorders>
            <w:shd w:val="clear" w:color="auto" w:fill="auto"/>
            <w:noWrap/>
            <w:vAlign w:val="center"/>
            <w:hideMark/>
          </w:tcPr>
          <w:p w14:paraId="3ED609D1"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1</w:t>
            </w:r>
          </w:p>
        </w:tc>
        <w:tc>
          <w:tcPr>
            <w:tcW w:w="1360" w:type="dxa"/>
            <w:tcBorders>
              <w:top w:val="nil"/>
              <w:left w:val="nil"/>
              <w:bottom w:val="single" w:sz="8" w:space="0" w:color="auto"/>
              <w:right w:val="single" w:sz="8" w:space="0" w:color="auto"/>
            </w:tcBorders>
            <w:shd w:val="clear" w:color="auto" w:fill="auto"/>
            <w:noWrap/>
            <w:vAlign w:val="center"/>
            <w:hideMark/>
          </w:tcPr>
          <w:p w14:paraId="34436560"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w:t>
            </w:r>
          </w:p>
        </w:tc>
      </w:tr>
    </w:tbl>
    <w:p w14:paraId="00DF89A0" w14:textId="061B8831" w:rsidR="00225A39" w:rsidRDefault="00225A39" w:rsidP="005D574A">
      <w:pPr>
        <w:rPr>
          <w:lang w:eastAsia="es-CR"/>
        </w:rPr>
      </w:pPr>
      <w:r>
        <w:rPr>
          <w:lang w:eastAsia="es-CR"/>
        </w:rPr>
        <w:fldChar w:fldCharType="end"/>
      </w:r>
    </w:p>
    <w:p w14:paraId="05399B95" w14:textId="34592C34" w:rsidR="005D574A" w:rsidRPr="005D574A" w:rsidRDefault="005D574A" w:rsidP="005D574A">
      <w:pPr>
        <w:rPr>
          <w:lang w:eastAsia="es-CR"/>
        </w:rPr>
      </w:pPr>
      <w:r w:rsidRPr="005D574A">
        <w:rPr>
          <w:lang w:eastAsia="es-CR"/>
        </w:rPr>
        <w:t>Se realizará la revelación considerando lo dispuesto en el párrafo 47 de la NICSP12.</w:t>
      </w:r>
    </w:p>
    <w:p w14:paraId="112D1955" w14:textId="77777777" w:rsidR="005D574A" w:rsidRPr="000B404C" w:rsidRDefault="005D574A" w:rsidP="000B404C">
      <w:pPr>
        <w:spacing w:after="0" w:line="240" w:lineRule="auto"/>
        <w:rPr>
          <w:rStyle w:val="nfasis"/>
        </w:rPr>
      </w:pPr>
      <w:r w:rsidRPr="000B404C">
        <w:rPr>
          <w:rStyle w:val="nfasis"/>
        </w:rPr>
        <w:t>“47. En los estados financieros se revelará la siguiente información:</w:t>
      </w:r>
    </w:p>
    <w:p w14:paraId="6447C0AF" w14:textId="77777777" w:rsidR="005D574A" w:rsidRPr="000B404C" w:rsidRDefault="005D574A">
      <w:pPr>
        <w:pStyle w:val="Prrafodelista"/>
        <w:numPr>
          <w:ilvl w:val="0"/>
          <w:numId w:val="3"/>
        </w:numPr>
        <w:spacing w:after="0" w:line="240" w:lineRule="auto"/>
        <w:rPr>
          <w:rStyle w:val="nfasis"/>
        </w:rPr>
      </w:pPr>
      <w:r w:rsidRPr="000B404C">
        <w:rPr>
          <w:rStyle w:val="nfasis"/>
        </w:rPr>
        <w:t>las políticas contables adoptadas para la medición de los inventarios, incluyendo la fórmula de medición de los costos utilizada;</w:t>
      </w:r>
    </w:p>
    <w:p w14:paraId="48601664" w14:textId="01744355" w:rsidR="005D574A" w:rsidRPr="000B404C" w:rsidRDefault="005D574A">
      <w:pPr>
        <w:pStyle w:val="Prrafodelista"/>
        <w:numPr>
          <w:ilvl w:val="0"/>
          <w:numId w:val="3"/>
        </w:numPr>
        <w:spacing w:after="0" w:line="240" w:lineRule="auto"/>
        <w:rPr>
          <w:rStyle w:val="nfasis"/>
        </w:rPr>
      </w:pPr>
      <w:r w:rsidRPr="000B404C">
        <w:rPr>
          <w:rStyle w:val="nfasis"/>
        </w:rPr>
        <w:t>el importe total en libros de los inventarios y los importes según la clasificación que resulte apropiada para la entidad; etc.”</w:t>
      </w:r>
    </w:p>
    <w:p w14:paraId="2947E6C0" w14:textId="77777777" w:rsidR="005D574A" w:rsidRDefault="005D574A" w:rsidP="005D574A">
      <w:pPr>
        <w:rPr>
          <w:lang w:val="es-MX" w:eastAsia="es-CR"/>
        </w:rPr>
      </w:pPr>
    </w:p>
    <w:p w14:paraId="2DC17702" w14:textId="77777777" w:rsidR="00151BA7" w:rsidRDefault="000C3947" w:rsidP="00151BA7">
      <w:pPr>
        <w:spacing w:line="240" w:lineRule="auto"/>
        <w:rPr>
          <w:b/>
          <w:color w:val="FFFFFF" w:themeColor="background1"/>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p>
    <w:p w14:paraId="291C6459" w14:textId="1242F519" w:rsidR="00151BA7" w:rsidRDefault="00151BA7" w:rsidP="00151BA7">
      <w:pPr>
        <w:spacing w:line="240" w:lineRule="auto"/>
        <w:rPr>
          <w:bCs/>
        </w:rPr>
      </w:pPr>
      <w:r>
        <w:rPr>
          <w:bCs/>
        </w:rPr>
        <w:t>Los elementos en inventarios para la venta, prestación de servicios, intercambiables o distribuidos el valor en libros se reconoce como un gasto en el periodo en el cual se reconocen los ingresos ordinarios relacionados. Si no hay ingresos ordinarios relacionados, el gasto se reconoce cuando los bienes sean distribuidos o hayan sido prestados los servicios relacionados.</w:t>
      </w:r>
    </w:p>
    <w:p w14:paraId="67216A7F" w14:textId="1D51D475" w:rsidR="00FD01F3" w:rsidRPr="00322641" w:rsidRDefault="00151BA7" w:rsidP="000C3947">
      <w:pPr>
        <w:spacing w:line="240" w:lineRule="auto"/>
        <w:rPr>
          <w:bCs/>
        </w:rPr>
      </w:pPr>
      <w:r>
        <w:rPr>
          <w:bCs/>
        </w:rPr>
        <w:lastRenderedPageBreak/>
        <w:t>El castigo al valor realizable neto se reconoce como un gasto en el periodo que se determine la pérdida o cuando ocurre el castigo. Además, las reservas originadas de un incremento en el valor realizable neto se reconocen como una reducción del gasto de inventario e</w:t>
      </w:r>
      <w:r w:rsidR="00322641">
        <w:rPr>
          <w:bCs/>
        </w:rPr>
        <w:t>n el periodo en el que ocurren.</w:t>
      </w:r>
    </w:p>
    <w:p w14:paraId="6FD88F61" w14:textId="77777777" w:rsidR="00FD01F3" w:rsidRDefault="00FD01F3" w:rsidP="000C3947">
      <w:pPr>
        <w:spacing w:line="240" w:lineRule="auto"/>
        <w:rPr>
          <w:b/>
          <w:u w:val="single"/>
        </w:rPr>
      </w:pPr>
    </w:p>
    <w:p w14:paraId="1C6B9521" w14:textId="77777777" w:rsidR="000C3947" w:rsidRPr="003516A2" w:rsidRDefault="000C3947" w:rsidP="000C3947">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42B2460C" w14:textId="77777777" w:rsidR="00151BA7" w:rsidRDefault="00151BA7" w:rsidP="00151BA7">
      <w:pPr>
        <w:spacing w:line="240" w:lineRule="auto"/>
        <w:rPr>
          <w:bCs/>
        </w:rPr>
      </w:pPr>
      <w:r>
        <w:rPr>
          <w:bCs/>
        </w:rPr>
        <w:t>El costo de los elementos de inventario incluye los costos de compra, de conversión y otros costos necesarios para llevar el inventario a su localización y condición presente, pero no las diferencias de cambio y los costos de venta. Los descuentos comerciales, rebajas y otros elementos similares se deducen en la determinación de los costos de compra.</w:t>
      </w:r>
    </w:p>
    <w:p w14:paraId="4C361625" w14:textId="77777777" w:rsidR="00151BA7" w:rsidRPr="00117B7D" w:rsidRDefault="00151BA7" w:rsidP="00151BA7">
      <w:pPr>
        <w:spacing w:line="240" w:lineRule="auto"/>
        <w:rPr>
          <w:lang w:val="es-MX"/>
        </w:rPr>
      </w:pPr>
      <w:r w:rsidRPr="005675B0">
        <w:rPr>
          <w:bCs/>
        </w:rPr>
        <w:t xml:space="preserve">Los </w:t>
      </w:r>
      <w:r>
        <w:rPr>
          <w:bCs/>
        </w:rPr>
        <w:t xml:space="preserve">inventarios son medidos al más bajo entre el costo y el valor realizable neto. </w:t>
      </w:r>
      <w:r w:rsidRPr="00117B7D">
        <w:rPr>
          <w:lang w:val="es-MX"/>
        </w:rPr>
        <w:t>En caso de inventarios a</w:t>
      </w:r>
      <w:r>
        <w:rPr>
          <w:lang w:val="es-MX"/>
        </w:rPr>
        <w:t>dquiridos a</w:t>
      </w:r>
      <w:r w:rsidRPr="00117B7D">
        <w:rPr>
          <w:lang w:val="es-MX"/>
        </w:rPr>
        <w:t xml:space="preserve"> través de una transacción sin contraprestación</w:t>
      </w:r>
      <w:r>
        <w:rPr>
          <w:lang w:val="es-MX"/>
        </w:rPr>
        <w:t xml:space="preserve">, que no es intercambiable </w:t>
      </w:r>
      <w:r w:rsidRPr="00117B7D">
        <w:rPr>
          <w:lang w:val="es-MX"/>
        </w:rPr>
        <w:t>su costo es medido a su valor razonable en la fecha de la adquisición</w:t>
      </w:r>
      <w:r>
        <w:rPr>
          <w:lang w:val="es-MX"/>
        </w:rPr>
        <w:t xml:space="preserve">. </w:t>
      </w:r>
      <w:r w:rsidRPr="00117B7D">
        <w:rPr>
          <w:lang w:val="es-MX"/>
        </w:rPr>
        <w:t xml:space="preserve">Cuando los inventarios se </w:t>
      </w:r>
      <w:r>
        <w:rPr>
          <w:lang w:val="es-MX"/>
        </w:rPr>
        <w:t>adquieren</w:t>
      </w:r>
      <w:r w:rsidRPr="00117B7D">
        <w:rPr>
          <w:lang w:val="es-MX"/>
        </w:rPr>
        <w:t xml:space="preserve"> sin contraprestación o con contraprestación insignificante, u usados para </w:t>
      </w:r>
      <w:r>
        <w:rPr>
          <w:lang w:val="es-MX"/>
        </w:rPr>
        <w:t>prestar servicios</w:t>
      </w:r>
      <w:r w:rsidRPr="00117B7D">
        <w:rPr>
          <w:lang w:val="es-MX"/>
        </w:rPr>
        <w:t xml:space="preserve"> que serán distribuidos sin contraprestación son medidos al menor valor entre el costo y el costo </w:t>
      </w:r>
      <w:r>
        <w:rPr>
          <w:lang w:val="es-MX"/>
        </w:rPr>
        <w:t>actual</w:t>
      </w:r>
      <w:r w:rsidRPr="00117B7D">
        <w:rPr>
          <w:lang w:val="es-MX"/>
        </w:rPr>
        <w:t xml:space="preserve"> de </w:t>
      </w:r>
      <w:r>
        <w:rPr>
          <w:lang w:val="es-MX"/>
        </w:rPr>
        <w:t>reemplazo.</w:t>
      </w:r>
    </w:p>
    <w:p w14:paraId="466C2738" w14:textId="29C07848" w:rsidR="005D574A" w:rsidRPr="005D574A" w:rsidRDefault="005D574A" w:rsidP="005D574A">
      <w:pPr>
        <w:rPr>
          <w:b/>
          <w:u w:val="single"/>
          <w:lang w:val="es-MX" w:eastAsia="es-CR"/>
        </w:rPr>
      </w:pPr>
      <w:r w:rsidRPr="000C3947">
        <w:rPr>
          <w:b/>
          <w:color w:val="FFFFFF" w:themeColor="background1"/>
          <w:highlight w:val="darkBlue"/>
          <w:u w:val="single"/>
        </w:rPr>
        <w:t>Revelación Suficiente:</w:t>
      </w:r>
      <w:r w:rsidRPr="005D574A">
        <w:rPr>
          <w:b/>
          <w:u w:val="single"/>
          <w:lang w:val="es-MX" w:eastAsia="es-CR"/>
        </w:rPr>
        <w:t xml:space="preserve"> </w:t>
      </w:r>
      <w:r w:rsidRPr="005D574A">
        <w:rPr>
          <w:b/>
          <w:u w:val="single"/>
          <w:lang w:eastAsia="es-CR"/>
        </w:rPr>
        <w:t xml:space="preserve">El ente debe </w:t>
      </w:r>
      <w:r w:rsidR="00482942">
        <w:rPr>
          <w:b/>
          <w:u w:val="single"/>
          <w:lang w:eastAsia="es-CR"/>
        </w:rPr>
        <w:t xml:space="preserve">revelar y </w:t>
      </w:r>
      <w:r w:rsidRPr="005D574A">
        <w:rPr>
          <w:b/>
          <w:u w:val="single"/>
          <w:lang w:eastAsia="es-CR"/>
        </w:rPr>
        <w:t xml:space="preserve">cumplir con lo estipulado en revelación </w:t>
      </w:r>
      <w:r w:rsidR="00482942">
        <w:rPr>
          <w:b/>
          <w:u w:val="single"/>
          <w:lang w:eastAsia="es-CR"/>
        </w:rPr>
        <w:t>conforme</w:t>
      </w:r>
      <w:r w:rsidRPr="005D574A">
        <w:rPr>
          <w:b/>
          <w:u w:val="single"/>
          <w:lang w:eastAsia="es-CR"/>
        </w:rPr>
        <w:t xml:space="preserve"> a la NICSP, también debe considerar la política general y los párrafos incluidos en la matriz de autoevaluación referente a esta NICSP y guías de aplicación</w:t>
      </w:r>
      <w:r w:rsidRPr="005D574A">
        <w:rPr>
          <w:b/>
          <w:u w:val="single"/>
          <w:lang w:val="es-MX" w:eastAsia="es-CR"/>
        </w:rPr>
        <w:t xml:space="preserve"> (Ver las GA de la NICSP 12):</w:t>
      </w:r>
    </w:p>
    <w:p w14:paraId="3E297685" w14:textId="77777777" w:rsidR="005D574A" w:rsidRPr="000C3947" w:rsidRDefault="005D574A" w:rsidP="005D574A">
      <w:pPr>
        <w:rPr>
          <w:b/>
          <w:color w:val="FFFFFF" w:themeColor="background1"/>
          <w:highlight w:val="darkBlue"/>
          <w:u w:val="single"/>
        </w:rPr>
      </w:pPr>
      <w:r w:rsidRPr="000C3947">
        <w:rPr>
          <w:b/>
          <w:color w:val="FFFFFF" w:themeColor="background1"/>
          <w:highlight w:val="darkBlue"/>
          <w:u w:val="single"/>
        </w:rPr>
        <w:t>*En caso de que la entidad este aplicando aun el método de Promedio Ponderado y esté en proceso de trasladarse a PEPS, deben revelar el impacto financiero al ajustar el cambio de política.</w:t>
      </w:r>
    </w:p>
    <w:p w14:paraId="50483E92" w14:textId="77777777" w:rsidR="00151BA7" w:rsidRPr="002D6330" w:rsidRDefault="00151BA7" w:rsidP="00151BA7">
      <w:pPr>
        <w:spacing w:after="0" w:line="240" w:lineRule="auto"/>
        <w:rPr>
          <w:b/>
          <w:bCs/>
          <w:lang w:eastAsia="es-CR"/>
        </w:rPr>
      </w:pPr>
      <w:bookmarkStart w:id="49" w:name="_Toc54961679"/>
      <w:bookmarkStart w:id="50" w:name="_Toc82768875"/>
      <w:r w:rsidRPr="002D6330">
        <w:rPr>
          <w:b/>
          <w:bCs/>
          <w:lang w:eastAsia="es-CR"/>
        </w:rPr>
        <w:t>Adopción de la dispensa de tres años concedida en la NICSP 33</w:t>
      </w:r>
    </w:p>
    <w:p w14:paraId="7E95418D" w14:textId="77777777" w:rsidR="00151BA7" w:rsidRDefault="00151BA7" w:rsidP="00151BA7">
      <w:pPr>
        <w:spacing w:after="0" w:line="240" w:lineRule="auto"/>
        <w:rPr>
          <w:lang w:eastAsia="es-CR"/>
        </w:rPr>
      </w:pPr>
    </w:p>
    <w:p w14:paraId="3F00A83F" w14:textId="77777777" w:rsidR="00151BA7" w:rsidRDefault="00151BA7" w:rsidP="00151BA7">
      <w:pPr>
        <w:spacing w:after="0" w:line="240" w:lineRule="auto"/>
        <w:rPr>
          <w:lang w:eastAsia="es-CR"/>
        </w:rPr>
      </w:pPr>
      <w:bookmarkStart w:id="51" w:name="_Hlk158793451"/>
      <w:r>
        <w:rPr>
          <w:lang w:eastAsia="es-CR"/>
        </w:rPr>
        <w:t>La Municipalidad se acogió al periodo de dispensa transitorio de tres años para el reconocimiento o medición de activos o pasivos que proporciona la NICSP 33 en los párrafos 36 a 62, el cual finaliza el 31 de diciembre de 2024. Durante este periodo la Municipalidad se encuentra realizando un proceso de cierre de brechas, con el fin de lograr cumplir con los requerimientos exigidos por la NICSP 12 y lograr presentar información razonable sobre los inventarios que posee.</w:t>
      </w:r>
    </w:p>
    <w:p w14:paraId="174353A1" w14:textId="77777777" w:rsidR="00151BA7" w:rsidRDefault="00151BA7" w:rsidP="00151BA7">
      <w:pPr>
        <w:spacing w:after="0" w:line="240" w:lineRule="auto"/>
        <w:rPr>
          <w:lang w:eastAsia="es-CR"/>
        </w:rPr>
      </w:pPr>
    </w:p>
    <w:p w14:paraId="0CEBF9B2" w14:textId="77777777" w:rsidR="00151BA7" w:rsidRPr="00AB7075" w:rsidRDefault="00151BA7" w:rsidP="00151BA7">
      <w:pPr>
        <w:spacing w:after="0" w:line="240" w:lineRule="auto"/>
        <w:rPr>
          <w:lang w:eastAsia="es-CR"/>
        </w:rPr>
      </w:pPr>
      <w:r>
        <w:rPr>
          <w:lang w:eastAsia="es-CR"/>
        </w:rPr>
        <w:t>Como parte del proceso de implementación s</w:t>
      </w:r>
      <w:r w:rsidRPr="00AB7075">
        <w:rPr>
          <w:lang w:eastAsia="es-CR"/>
        </w:rPr>
        <w:t xml:space="preserve">e está en proceso de elaboración de lineamientos internos para fortalecer el control de los inventarios de materiales y suministros.  De momento, para establecer el </w:t>
      </w:r>
      <w:r>
        <w:rPr>
          <w:lang w:eastAsia="es-CR"/>
        </w:rPr>
        <w:t>costo</w:t>
      </w:r>
      <w:r w:rsidRPr="00AB7075">
        <w:rPr>
          <w:lang w:eastAsia="es-CR"/>
        </w:rPr>
        <w:t xml:space="preserve"> de los materiales y suministros</w:t>
      </w:r>
      <w:r>
        <w:rPr>
          <w:lang w:eastAsia="es-CR"/>
        </w:rPr>
        <w:t xml:space="preserve"> en inventario se emplea el sistema de inventario periódico, con ese fin, </w:t>
      </w:r>
      <w:r w:rsidRPr="00AB7075">
        <w:rPr>
          <w:lang w:eastAsia="es-CR"/>
        </w:rPr>
        <w:t xml:space="preserve">se elaboraron formularios de uso común obligatorio para que todas las unidades usuarias que mantienen existencias en inventario </w:t>
      </w:r>
      <w:r>
        <w:rPr>
          <w:lang w:eastAsia="es-CR"/>
        </w:rPr>
        <w:t>lleven un control de</w:t>
      </w:r>
      <w:r w:rsidRPr="00AB7075">
        <w:rPr>
          <w:lang w:eastAsia="es-CR"/>
        </w:rPr>
        <w:t xml:space="preserve"> los movimientos</w:t>
      </w:r>
      <w:r>
        <w:rPr>
          <w:lang w:eastAsia="es-CR"/>
        </w:rPr>
        <w:t xml:space="preserve"> de entrada y salida de bienes, así como sobre </w:t>
      </w:r>
      <w:r w:rsidRPr="00AB7075">
        <w:rPr>
          <w:lang w:eastAsia="es-CR"/>
        </w:rPr>
        <w:t xml:space="preserve">las cantidades </w:t>
      </w:r>
      <w:r>
        <w:rPr>
          <w:lang w:eastAsia="es-CR"/>
        </w:rPr>
        <w:t xml:space="preserve">en existencia, y con base en esta información se procede a realizar </w:t>
      </w:r>
      <w:r w:rsidRPr="00AB7075">
        <w:rPr>
          <w:lang w:eastAsia="es-CR"/>
        </w:rPr>
        <w:t xml:space="preserve">la valuación de </w:t>
      </w:r>
      <w:r>
        <w:rPr>
          <w:lang w:eastAsia="es-CR"/>
        </w:rPr>
        <w:t>los inventarios a la fecha de presentación de EEFF.</w:t>
      </w:r>
    </w:p>
    <w:p w14:paraId="53D6C99A" w14:textId="77777777" w:rsidR="00151BA7" w:rsidRPr="005C6BF2" w:rsidRDefault="00151BA7" w:rsidP="00151BA7">
      <w:pPr>
        <w:spacing w:after="0" w:line="240" w:lineRule="auto"/>
        <w:rPr>
          <w:lang w:eastAsia="es-CR"/>
        </w:rPr>
      </w:pPr>
    </w:p>
    <w:p w14:paraId="7200EBAA" w14:textId="77777777" w:rsidR="00151BA7" w:rsidRPr="005C6BF2" w:rsidRDefault="00151BA7" w:rsidP="00151BA7">
      <w:pPr>
        <w:spacing w:after="0" w:line="240" w:lineRule="auto"/>
        <w:rPr>
          <w:lang w:eastAsia="es-CR"/>
        </w:rPr>
      </w:pPr>
      <w:r w:rsidRPr="005C6BF2">
        <w:rPr>
          <w:lang w:eastAsia="es-CR"/>
        </w:rPr>
        <w:t xml:space="preserve">Por otra parte, con el objetivo de fortalecer la administración de los inventarios de materiales y suministros de limpieza, se está trabajando en el establecimiento de las políticas para regular lo atinente a la medición, valuación y presentación de los bienes en inventario, tratar las bajas de </w:t>
      </w:r>
      <w:r w:rsidRPr="005C6BF2">
        <w:rPr>
          <w:lang w:eastAsia="es-CR"/>
        </w:rPr>
        <w:lastRenderedPageBreak/>
        <w:t>inventario; además, se implementarán los procedimientos requeridos sustentados en métodos de aceptación general y considerando lo normado en la NICSP 12, en la Ley General de Control Interno y en las Normas de Control Interno para el Sector Público.</w:t>
      </w:r>
    </w:p>
    <w:bookmarkEnd w:id="51"/>
    <w:p w14:paraId="285DC6FB" w14:textId="77777777" w:rsidR="00151BA7" w:rsidRDefault="00151BA7" w:rsidP="00151BA7">
      <w:pPr>
        <w:spacing w:after="0" w:line="240" w:lineRule="auto"/>
        <w:rPr>
          <w:lang w:eastAsia="es-CR"/>
        </w:rPr>
      </w:pPr>
    </w:p>
    <w:p w14:paraId="6E380AFC" w14:textId="77777777" w:rsidR="00FD01F3" w:rsidRDefault="00FD01F3" w:rsidP="00151BA7">
      <w:pPr>
        <w:spacing w:after="0" w:line="240" w:lineRule="auto"/>
        <w:rPr>
          <w:lang w:eastAsia="es-CR"/>
        </w:rPr>
      </w:pPr>
    </w:p>
    <w:p w14:paraId="30A74627" w14:textId="77777777" w:rsidR="00151BA7" w:rsidRPr="00745EB9" w:rsidRDefault="00151BA7" w:rsidP="00151BA7">
      <w:pPr>
        <w:spacing w:after="0" w:line="240" w:lineRule="auto"/>
        <w:rPr>
          <w:b/>
          <w:bCs/>
          <w:lang w:eastAsia="es-CR"/>
        </w:rPr>
      </w:pPr>
      <w:r w:rsidRPr="00745EB9">
        <w:rPr>
          <w:b/>
          <w:bCs/>
          <w:lang w:eastAsia="es-CR"/>
        </w:rPr>
        <w:t>Principales Políticas</w:t>
      </w:r>
    </w:p>
    <w:p w14:paraId="1C3B1E23" w14:textId="77777777" w:rsidR="00151BA7" w:rsidRDefault="00151BA7" w:rsidP="00151BA7">
      <w:pPr>
        <w:spacing w:after="0" w:line="240" w:lineRule="auto"/>
        <w:rPr>
          <w:lang w:eastAsia="es-CR"/>
        </w:rPr>
      </w:pPr>
    </w:p>
    <w:p w14:paraId="22FFE1A2" w14:textId="77777777" w:rsidR="00151BA7" w:rsidRDefault="00151BA7" w:rsidP="00151BA7">
      <w:pPr>
        <w:spacing w:after="0" w:line="240" w:lineRule="auto"/>
        <w:rPr>
          <w:lang w:eastAsia="es-CR"/>
        </w:rPr>
      </w:pPr>
      <w:r>
        <w:rPr>
          <w:lang w:eastAsia="es-CR"/>
        </w:rPr>
        <w:t>La Municipalidad de Buenos Aires adoptó como políticas contables las siguientes:</w:t>
      </w:r>
    </w:p>
    <w:p w14:paraId="4D7FD12D" w14:textId="77777777" w:rsidR="00151BA7" w:rsidRDefault="00151BA7" w:rsidP="00151BA7">
      <w:pPr>
        <w:spacing w:after="0" w:line="240" w:lineRule="auto"/>
        <w:rPr>
          <w:lang w:eastAsia="es-CR"/>
        </w:rPr>
      </w:pPr>
    </w:p>
    <w:p w14:paraId="3B889692" w14:textId="77777777" w:rsidR="00151BA7" w:rsidRDefault="00151BA7" w:rsidP="00151BA7">
      <w:pPr>
        <w:spacing w:after="0" w:line="240" w:lineRule="auto"/>
        <w:rPr>
          <w:lang w:eastAsia="es-CR"/>
        </w:rPr>
      </w:pPr>
      <w:r>
        <w:rPr>
          <w:lang w:eastAsia="es-CR"/>
        </w:rPr>
        <w:t>Los inventarios se miden al costo o valor realizable neto, el que sea menor. Los bienes adquiridos a través de una transacción sin contraprestación se medirán a su valor razonable a la fecha de adquisición y aquellos por distribuir sin contraprestación a cambio, o por una contraprestación insignificante se medirán al menor valor entre el costo y el costo corriente. Los inventarios recibidos por un valor ínfimo o nulo (sin contraprestación) se medirán por su valor razonable a la fecha de ingreso del activo.</w:t>
      </w:r>
    </w:p>
    <w:p w14:paraId="0205361C" w14:textId="77777777" w:rsidR="00151BA7" w:rsidRDefault="00151BA7" w:rsidP="00151BA7">
      <w:pPr>
        <w:spacing w:after="0" w:line="240" w:lineRule="auto"/>
        <w:rPr>
          <w:lang w:eastAsia="es-CR"/>
        </w:rPr>
      </w:pPr>
    </w:p>
    <w:p w14:paraId="1CF98633" w14:textId="77777777" w:rsidR="00151BA7" w:rsidRDefault="00151BA7" w:rsidP="00151BA7">
      <w:pPr>
        <w:spacing w:after="0" w:line="240" w:lineRule="auto"/>
        <w:rPr>
          <w:lang w:eastAsia="es-CR"/>
        </w:rPr>
      </w:pPr>
      <w:r>
        <w:rPr>
          <w:lang w:eastAsia="es-CR"/>
        </w:rPr>
        <w:t xml:space="preserve">El valor de los inventarios incluirá el precio de compra, los aranceles de importación y otros impuestos no recuperables por la Municipalidad, los transportes, el almacenamiento y otros costos directamente atribuibles a la adquisición. Los descuentos comerciales, rebajas y otros rubros similares se deducirán del costo de adquisición.  </w:t>
      </w:r>
    </w:p>
    <w:p w14:paraId="2B9E0495" w14:textId="77777777" w:rsidR="00151BA7" w:rsidRDefault="00151BA7" w:rsidP="00151BA7">
      <w:pPr>
        <w:spacing w:after="0" w:line="240" w:lineRule="auto"/>
        <w:rPr>
          <w:lang w:eastAsia="es-CR"/>
        </w:rPr>
      </w:pPr>
    </w:p>
    <w:p w14:paraId="68229F7E" w14:textId="77777777" w:rsidR="00151BA7" w:rsidRDefault="00151BA7" w:rsidP="00151BA7">
      <w:pPr>
        <w:spacing w:after="0" w:line="240" w:lineRule="auto"/>
        <w:rPr>
          <w:lang w:eastAsia="es-CR"/>
        </w:rPr>
      </w:pPr>
      <w:r>
        <w:rPr>
          <w:lang w:eastAsia="es-CR"/>
        </w:rPr>
        <w:t>Los inventarios cuyos beneficios o potencial de servicios futuros no estén directamente relacionados con la capacidad de generar entradas netas de efectivo se medirán al costo de reposición o a una estimación de este en caso de no existir un mercado de intercambio de estos.</w:t>
      </w:r>
    </w:p>
    <w:p w14:paraId="134D9D09" w14:textId="77777777" w:rsidR="00151BA7" w:rsidRDefault="00151BA7" w:rsidP="00151BA7">
      <w:pPr>
        <w:spacing w:after="0" w:line="240" w:lineRule="auto"/>
        <w:rPr>
          <w:lang w:eastAsia="es-CR"/>
        </w:rPr>
      </w:pPr>
    </w:p>
    <w:p w14:paraId="238E2A34" w14:textId="77777777" w:rsidR="00151BA7" w:rsidRDefault="00151BA7" w:rsidP="00151BA7">
      <w:pPr>
        <w:tabs>
          <w:tab w:val="left" w:pos="1600"/>
        </w:tabs>
        <w:spacing w:after="0" w:line="240" w:lineRule="auto"/>
        <w:rPr>
          <w:lang w:eastAsia="es-CR"/>
        </w:rPr>
      </w:pPr>
      <w:r>
        <w:rPr>
          <w:lang w:eastAsia="es-CR"/>
        </w:rPr>
        <w:t>El costo de los inventarios incluirá todos los costos derivados de su adquisición y transformación, así como los otros costos en los que se haya incurrido para darles su condición y ubicación actuales. En ningún caso se procederá a capitalizar los costos por préstamos, por lo que se afectarán íntegramente a los resultados del ejercicio en que se incurran.</w:t>
      </w:r>
    </w:p>
    <w:p w14:paraId="1FF5CEC1" w14:textId="77777777" w:rsidR="00151BA7" w:rsidRDefault="00151BA7" w:rsidP="00151BA7">
      <w:pPr>
        <w:tabs>
          <w:tab w:val="left" w:pos="1600"/>
        </w:tabs>
        <w:spacing w:after="0" w:line="240" w:lineRule="auto"/>
        <w:rPr>
          <w:lang w:eastAsia="es-CR"/>
        </w:rPr>
      </w:pPr>
    </w:p>
    <w:p w14:paraId="34098EFE" w14:textId="77777777" w:rsidR="00151BA7" w:rsidRDefault="00151BA7" w:rsidP="00151BA7">
      <w:pPr>
        <w:tabs>
          <w:tab w:val="left" w:pos="1600"/>
        </w:tabs>
        <w:spacing w:after="0" w:line="240" w:lineRule="auto"/>
        <w:rPr>
          <w:lang w:eastAsia="es-CR"/>
        </w:rPr>
      </w:pPr>
      <w:r>
        <w:rPr>
          <w:lang w:eastAsia="es-CR"/>
        </w:rPr>
        <w:t>El costo de los inventarios se asignará utilizando el método “Primera Entrada Primera Salida” (PEPS), el cual supone que los productos en inventario que fueron comprados o producidos antes, serán consumidos o vendidos en primer lugar, y consecuentemente, los productos que quedan en el inventario al final del periodo serán los producidos o comprados recientemente.</w:t>
      </w:r>
    </w:p>
    <w:p w14:paraId="6DBF67AF" w14:textId="77777777" w:rsidR="00151BA7" w:rsidRDefault="00151BA7" w:rsidP="00151BA7">
      <w:pPr>
        <w:tabs>
          <w:tab w:val="left" w:pos="1600"/>
        </w:tabs>
        <w:spacing w:after="0" w:line="240" w:lineRule="auto"/>
        <w:rPr>
          <w:lang w:eastAsia="es-CR"/>
        </w:rPr>
      </w:pPr>
    </w:p>
    <w:p w14:paraId="62F9945E" w14:textId="77777777" w:rsidR="00151BA7" w:rsidRDefault="00151BA7" w:rsidP="00151BA7">
      <w:pPr>
        <w:tabs>
          <w:tab w:val="left" w:pos="1600"/>
        </w:tabs>
        <w:spacing w:after="0" w:line="240" w:lineRule="auto"/>
        <w:rPr>
          <w:lang w:eastAsia="es-CR"/>
        </w:rPr>
      </w:pPr>
      <w:r>
        <w:rPr>
          <w:lang w:eastAsia="es-CR"/>
        </w:rPr>
        <w:t>Cuando los inventarios se distribuyen o consumen en las operaciones normales de la Municipalidad o se preste un servicio, se reconocerá como un gasto. El importe de cualquier rebaja en los inventarios y todas las pérdidas en los mismos, se reconocerá como un gasto en el periodo en que tenga lugar la rebaja. En caso de presentarse una reversión de las rebajas de inventario se registrará con cargo a los inventarios y como un menor gasto en el periodo que tenga lugar la reversión.</w:t>
      </w:r>
    </w:p>
    <w:p w14:paraId="1BBDB44A" w14:textId="77777777" w:rsidR="00151BA7" w:rsidRDefault="00151BA7" w:rsidP="00151BA7">
      <w:pPr>
        <w:tabs>
          <w:tab w:val="left" w:pos="1600"/>
        </w:tabs>
        <w:spacing w:after="0" w:line="240" w:lineRule="auto"/>
        <w:rPr>
          <w:lang w:eastAsia="es-CR"/>
        </w:rPr>
      </w:pPr>
    </w:p>
    <w:p w14:paraId="1F854F15" w14:textId="0130EBB2" w:rsidR="00151BA7" w:rsidRDefault="00151BA7" w:rsidP="00151BA7">
      <w:pPr>
        <w:tabs>
          <w:tab w:val="left" w:pos="1600"/>
        </w:tabs>
        <w:spacing w:after="0" w:line="240" w:lineRule="auto"/>
        <w:rPr>
          <w:lang w:eastAsia="es-CR"/>
        </w:rPr>
      </w:pPr>
      <w:r>
        <w:rPr>
          <w:lang w:eastAsia="es-CR"/>
        </w:rPr>
        <w:t xml:space="preserve">No se reconocerán como parte de los inventarios aquellos bienes sobre los que exista alguna pignoración </w:t>
      </w:r>
      <w:r w:rsidRPr="00AB7075">
        <w:rPr>
          <w:lang w:eastAsia="es-CR"/>
        </w:rPr>
        <w:t>o que se hayan dado en garantía de deudas contraídas con terceros</w:t>
      </w:r>
      <w:r>
        <w:rPr>
          <w:lang w:eastAsia="es-CR"/>
        </w:rPr>
        <w:t xml:space="preserve"> por la municipalidad y deberá revelarse esa situación detalladamente en las notas a los EEFF.</w:t>
      </w:r>
    </w:p>
    <w:p w14:paraId="5837A85A" w14:textId="7B547564" w:rsidR="00151BA7" w:rsidRPr="003D0479" w:rsidRDefault="00FD01F3" w:rsidP="00151BA7">
      <w:pPr>
        <w:tabs>
          <w:tab w:val="left" w:pos="1600"/>
        </w:tabs>
        <w:spacing w:after="0" w:line="240" w:lineRule="auto"/>
        <w:rPr>
          <w:b/>
          <w:bCs/>
          <w:lang w:eastAsia="es-CR"/>
        </w:rPr>
      </w:pPr>
      <w:r>
        <w:rPr>
          <w:b/>
          <w:bCs/>
          <w:lang w:eastAsia="es-CR"/>
        </w:rPr>
        <w:t>Otras revelaciones</w:t>
      </w:r>
    </w:p>
    <w:p w14:paraId="6A4268B9" w14:textId="77777777" w:rsidR="00151BA7" w:rsidRDefault="00151BA7" w:rsidP="00151BA7">
      <w:pPr>
        <w:tabs>
          <w:tab w:val="left" w:pos="1600"/>
        </w:tabs>
        <w:spacing w:after="0" w:line="240" w:lineRule="auto"/>
        <w:rPr>
          <w:lang w:eastAsia="es-CR"/>
        </w:rPr>
      </w:pPr>
    </w:p>
    <w:p w14:paraId="10B86DDB" w14:textId="6C62DD21" w:rsidR="00151BA7" w:rsidRPr="00AB7075" w:rsidRDefault="00151BA7" w:rsidP="00151BA7">
      <w:pPr>
        <w:spacing w:after="0" w:line="240" w:lineRule="auto"/>
        <w:rPr>
          <w:lang w:eastAsia="es-CR"/>
        </w:rPr>
      </w:pPr>
      <w:r w:rsidRPr="00C1530C">
        <w:rPr>
          <w:lang w:eastAsia="es-CR"/>
        </w:rPr>
        <w:lastRenderedPageBreak/>
        <w:t>El inventario que se lleva en la Municipalidad de Buenos Aires corresponde en gran parte a Combustibles y lubricantes (</w:t>
      </w:r>
      <w:r w:rsidRPr="00C1530C">
        <w:rPr>
          <w:rFonts w:ascii="Arial" w:eastAsia="Times New Roman" w:hAnsi="Arial" w:cs="Arial"/>
          <w:color w:val="000000"/>
          <w:sz w:val="20"/>
          <w:szCs w:val="20"/>
        </w:rPr>
        <w:t>₡</w:t>
      </w:r>
      <w:r w:rsidR="002A4922">
        <w:rPr>
          <w:lang w:eastAsia="es-CR"/>
        </w:rPr>
        <w:t>9.227,96</w:t>
      </w:r>
      <w:r w:rsidRPr="00C1530C">
        <w:rPr>
          <w:lang w:eastAsia="es-CR"/>
        </w:rPr>
        <w:t xml:space="preserve"> miles), Materiales y productos metálicos (</w:t>
      </w:r>
      <w:r w:rsidRPr="00C1530C">
        <w:rPr>
          <w:rFonts w:ascii="Arial" w:eastAsia="Times New Roman" w:hAnsi="Arial" w:cs="Arial"/>
          <w:color w:val="000000"/>
          <w:sz w:val="20"/>
          <w:szCs w:val="20"/>
        </w:rPr>
        <w:t>₡</w:t>
      </w:r>
      <w:r w:rsidR="002A4922">
        <w:rPr>
          <w:lang w:eastAsia="es-CR"/>
        </w:rPr>
        <w:t>25.375,22</w:t>
      </w:r>
      <w:r w:rsidRPr="00C1530C">
        <w:rPr>
          <w:lang w:eastAsia="es-CR"/>
        </w:rPr>
        <w:t xml:space="preserve"> miles) y Repuestos y accesorios nuevos (</w:t>
      </w:r>
      <w:r w:rsidRPr="00C1530C">
        <w:rPr>
          <w:rFonts w:ascii="Arial" w:eastAsia="Times New Roman" w:hAnsi="Arial" w:cs="Arial"/>
          <w:color w:val="000000"/>
          <w:sz w:val="20"/>
          <w:szCs w:val="20"/>
        </w:rPr>
        <w:t>₡</w:t>
      </w:r>
      <w:r w:rsidR="002A4922">
        <w:rPr>
          <w:lang w:eastAsia="es-CR"/>
        </w:rPr>
        <w:t>145.970,69</w:t>
      </w:r>
      <w:r w:rsidRPr="00C1530C">
        <w:rPr>
          <w:lang w:eastAsia="es-CR"/>
        </w:rPr>
        <w:t xml:space="preserve"> miles), si bien el control de este está centralizado en el Departamento de Proveeduría, las unidades municipales mantienen bajo su custodia y administran las existencias de algunos de esos bienes, los cuales son consumidos por cada una de ellas, y al cierre de cada mes suministran la información de sus existencias para los ajustes correspondientes.  El detalle de la composición de los inventarios por tipo de bien y por Unidades que los mantienen se consigna en la </w:t>
      </w:r>
      <w:r w:rsidRPr="00C1530C">
        <w:rPr>
          <w:b/>
          <w:bCs/>
          <w:lang w:eastAsia="es-CR"/>
        </w:rPr>
        <w:t xml:space="preserve">Nota </w:t>
      </w:r>
      <w:r w:rsidR="00FD01F3" w:rsidRPr="00C1530C">
        <w:rPr>
          <w:b/>
          <w:bCs/>
          <w:lang w:eastAsia="es-CR"/>
        </w:rPr>
        <w:t>N.º</w:t>
      </w:r>
      <w:r w:rsidRPr="00C1530C">
        <w:rPr>
          <w:b/>
          <w:bCs/>
          <w:lang w:eastAsia="es-CR"/>
        </w:rPr>
        <w:t xml:space="preserve"> 6.  Inventarios</w:t>
      </w:r>
      <w:r w:rsidRPr="00C1530C">
        <w:rPr>
          <w:lang w:eastAsia="es-CR"/>
        </w:rPr>
        <w:t>.</w:t>
      </w:r>
    </w:p>
    <w:p w14:paraId="0E5B2C93" w14:textId="77777777" w:rsidR="00151BA7" w:rsidRPr="00AB7075" w:rsidRDefault="00151BA7" w:rsidP="00151BA7">
      <w:pPr>
        <w:spacing w:after="0" w:line="240" w:lineRule="auto"/>
        <w:rPr>
          <w:lang w:eastAsia="es-CR"/>
        </w:rPr>
      </w:pPr>
    </w:p>
    <w:p w14:paraId="5AC9B7DA" w14:textId="77777777" w:rsidR="00151BA7" w:rsidRPr="00AB7075" w:rsidRDefault="00151BA7" w:rsidP="00151BA7">
      <w:pPr>
        <w:spacing w:after="0" w:line="240" w:lineRule="auto"/>
        <w:rPr>
          <w:lang w:eastAsia="es-CR"/>
        </w:rPr>
      </w:pPr>
      <w:r>
        <w:rPr>
          <w:lang w:eastAsia="es-CR"/>
        </w:rPr>
        <w:t>Durante el periodo informado l</w:t>
      </w:r>
      <w:r w:rsidRPr="00AB7075">
        <w:rPr>
          <w:lang w:eastAsia="es-CR"/>
        </w:rPr>
        <w:t xml:space="preserve">os inventarios se </w:t>
      </w:r>
      <w:r>
        <w:rPr>
          <w:lang w:eastAsia="es-CR"/>
        </w:rPr>
        <w:t>midieron</w:t>
      </w:r>
      <w:r w:rsidRPr="00AB7075">
        <w:rPr>
          <w:lang w:eastAsia="es-CR"/>
        </w:rPr>
        <w:t xml:space="preserve"> al costo o al valor realizable neto el que sea menor y se consideran las excepciones aprobadas por la DGCN. Asimismo, los bienes los bienes que se </w:t>
      </w:r>
      <w:r>
        <w:rPr>
          <w:lang w:eastAsia="es-CR"/>
        </w:rPr>
        <w:t>utilizaron</w:t>
      </w:r>
      <w:r w:rsidRPr="00AB7075">
        <w:rPr>
          <w:lang w:eastAsia="es-CR"/>
        </w:rPr>
        <w:t xml:space="preserve"> en una transacción sin contraprestación o por una contraprestación simbólica se </w:t>
      </w:r>
      <w:r>
        <w:rPr>
          <w:lang w:eastAsia="es-CR"/>
        </w:rPr>
        <w:t>midieron</w:t>
      </w:r>
      <w:r w:rsidRPr="00AB7075">
        <w:rPr>
          <w:lang w:eastAsia="es-CR"/>
        </w:rPr>
        <w:t xml:space="preserve"> al costo; y los bienes que se </w:t>
      </w:r>
      <w:r>
        <w:rPr>
          <w:lang w:eastAsia="es-CR"/>
        </w:rPr>
        <w:t>consumieron</w:t>
      </w:r>
      <w:r w:rsidRPr="00AB7075">
        <w:rPr>
          <w:lang w:eastAsia="es-CR"/>
        </w:rPr>
        <w:t xml:space="preserve"> en la prestación de servicios se </w:t>
      </w:r>
      <w:r>
        <w:rPr>
          <w:lang w:eastAsia="es-CR"/>
        </w:rPr>
        <w:t>midieron</w:t>
      </w:r>
      <w:r w:rsidRPr="00AB7075">
        <w:rPr>
          <w:lang w:eastAsia="es-CR"/>
        </w:rPr>
        <w:t xml:space="preserve"> al costo</w:t>
      </w:r>
      <w:r>
        <w:rPr>
          <w:lang w:eastAsia="es-CR"/>
        </w:rPr>
        <w:t>.</w:t>
      </w:r>
    </w:p>
    <w:p w14:paraId="079F05BC" w14:textId="77777777" w:rsidR="00151BA7" w:rsidRPr="00AB7075" w:rsidRDefault="00151BA7" w:rsidP="00151BA7">
      <w:pPr>
        <w:spacing w:after="0" w:line="240" w:lineRule="auto"/>
        <w:rPr>
          <w:lang w:eastAsia="es-CR"/>
        </w:rPr>
      </w:pPr>
    </w:p>
    <w:p w14:paraId="7AABA11C" w14:textId="77777777" w:rsidR="00151BA7" w:rsidRPr="00AB7075" w:rsidRDefault="00151BA7" w:rsidP="00151BA7">
      <w:pPr>
        <w:spacing w:after="0" w:line="240" w:lineRule="auto"/>
        <w:rPr>
          <w:lang w:eastAsia="es-CR"/>
        </w:rPr>
      </w:pPr>
      <w:r>
        <w:rPr>
          <w:lang w:eastAsia="es-CR"/>
        </w:rPr>
        <w:t>Por otra parte, d</w:t>
      </w:r>
      <w:r w:rsidRPr="00AB7075">
        <w:rPr>
          <w:lang w:eastAsia="es-CR"/>
        </w:rPr>
        <w:t xml:space="preserve">urante el </w:t>
      </w:r>
      <w:r>
        <w:rPr>
          <w:lang w:eastAsia="es-CR"/>
        </w:rPr>
        <w:t>año 2023</w:t>
      </w:r>
      <w:r w:rsidRPr="00AB7075">
        <w:rPr>
          <w:lang w:eastAsia="es-CR"/>
        </w:rPr>
        <w:t xml:space="preserve"> no se ha efectuado rebaja en el valor de los inventarios que haya sido reconocido como un gasto, ya que las circunstancias económicas se han mantenido estables. Además, porque el tipo de bienes que se mantienen en inventario son fundamentalmente para la operativa de las unidades administrativas de la Municipalidad y no para prestación de los servicios públicos que presta </w:t>
      </w:r>
      <w:r>
        <w:rPr>
          <w:lang w:eastAsia="es-CR"/>
        </w:rPr>
        <w:t>el Ayuntamiento</w:t>
      </w:r>
      <w:r w:rsidRPr="00AB7075">
        <w:rPr>
          <w:lang w:eastAsia="es-CR"/>
        </w:rPr>
        <w:t>. Además, tampoco se ha efectuado la reversión de rebajas en inventarios.</w:t>
      </w:r>
    </w:p>
    <w:p w14:paraId="2550A8A2" w14:textId="77777777" w:rsidR="00151BA7" w:rsidRPr="00AB7075" w:rsidRDefault="00151BA7" w:rsidP="00151BA7">
      <w:pPr>
        <w:spacing w:after="0" w:line="240" w:lineRule="auto"/>
        <w:rPr>
          <w:lang w:eastAsia="es-CR"/>
        </w:rPr>
      </w:pPr>
    </w:p>
    <w:p w14:paraId="22621343" w14:textId="205C5081" w:rsidR="00151BA7" w:rsidRPr="006B6A3A" w:rsidRDefault="00151BA7" w:rsidP="00151BA7">
      <w:pPr>
        <w:spacing w:after="0" w:line="240" w:lineRule="auto"/>
        <w:rPr>
          <w:lang w:eastAsia="es-CR"/>
        </w:rPr>
      </w:pPr>
      <w:r w:rsidRPr="006B6A3A">
        <w:rPr>
          <w:lang w:eastAsia="es-CR"/>
        </w:rPr>
        <w:t xml:space="preserve">Finalmente, al </w:t>
      </w:r>
      <w:r w:rsidR="00796636" w:rsidRPr="006B6A3A">
        <w:rPr>
          <w:lang w:eastAsia="es-CR"/>
        </w:rPr>
        <w:t>31</w:t>
      </w:r>
      <w:r w:rsidRPr="006B6A3A">
        <w:rPr>
          <w:lang w:eastAsia="es-CR"/>
        </w:rPr>
        <w:t xml:space="preserve"> de </w:t>
      </w:r>
      <w:r w:rsidR="00D64CF8" w:rsidRPr="006B6A3A">
        <w:rPr>
          <w:lang w:eastAsia="es-CR"/>
        </w:rPr>
        <w:t>diciembre</w:t>
      </w:r>
      <w:r w:rsidRPr="006B6A3A">
        <w:rPr>
          <w:lang w:eastAsia="es-CR"/>
        </w:rPr>
        <w:t xml:space="preserve"> de 2024, la Municipalidad de Buenos Aires no posee inventarios pignorados o que se hayan dado en garantía de deudas contraídas con terceros.</w:t>
      </w:r>
    </w:p>
    <w:p w14:paraId="2789C4F6" w14:textId="77777777" w:rsidR="00151BA7" w:rsidRPr="006B6A3A" w:rsidRDefault="00151BA7" w:rsidP="00151BA7">
      <w:pPr>
        <w:spacing w:after="0" w:line="240" w:lineRule="auto"/>
        <w:rPr>
          <w:lang w:eastAsia="es-CR"/>
        </w:rPr>
      </w:pPr>
    </w:p>
    <w:p w14:paraId="6B55E01D" w14:textId="78FE562D" w:rsidR="00151BA7" w:rsidRPr="006B6A3A" w:rsidRDefault="00151BA7" w:rsidP="00151BA7">
      <w:pPr>
        <w:spacing w:line="240" w:lineRule="auto"/>
        <w:rPr>
          <w:szCs w:val="24"/>
          <w:lang w:eastAsia="es-CR"/>
        </w:rPr>
      </w:pPr>
      <w:r w:rsidRPr="006B6A3A">
        <w:rPr>
          <w:szCs w:val="24"/>
          <w:lang w:eastAsia="es-CR"/>
        </w:rPr>
        <w:t xml:space="preserve">De acuerdo con lo consignado en la Matriz de NICSP y Plan de Acción al </w:t>
      </w:r>
      <w:r w:rsidR="00796636" w:rsidRPr="006B6A3A">
        <w:rPr>
          <w:szCs w:val="24"/>
          <w:lang w:eastAsia="es-CR"/>
        </w:rPr>
        <w:t>31</w:t>
      </w:r>
      <w:r w:rsidRPr="006B6A3A">
        <w:rPr>
          <w:szCs w:val="24"/>
          <w:lang w:eastAsia="es-CR"/>
        </w:rPr>
        <w:t xml:space="preserve"> de </w:t>
      </w:r>
      <w:r w:rsidR="00D64CF8" w:rsidRPr="006B6A3A">
        <w:rPr>
          <w:szCs w:val="24"/>
          <w:lang w:eastAsia="es-CR"/>
        </w:rPr>
        <w:t>diciembre</w:t>
      </w:r>
      <w:r w:rsidRPr="006B6A3A">
        <w:rPr>
          <w:szCs w:val="24"/>
          <w:lang w:eastAsia="es-CR"/>
        </w:rPr>
        <w:t xml:space="preserve"> se encuentra pendiente de implementar lo siguiente:</w:t>
      </w:r>
    </w:p>
    <w:tbl>
      <w:tblPr>
        <w:tblW w:w="8863" w:type="dxa"/>
        <w:tblLook w:val="04A0" w:firstRow="1" w:lastRow="0" w:firstColumn="1" w:lastColumn="0" w:noHBand="0" w:noVBand="1"/>
      </w:tblPr>
      <w:tblGrid>
        <w:gridCol w:w="7361"/>
        <w:gridCol w:w="1502"/>
      </w:tblGrid>
      <w:tr w:rsidR="00151BA7" w:rsidRPr="00151BA7" w14:paraId="7F329D5D" w14:textId="77777777" w:rsidTr="0061790F">
        <w:trPr>
          <w:trHeight w:val="530"/>
        </w:trPr>
        <w:tc>
          <w:tcPr>
            <w:tcW w:w="736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883B511" w14:textId="77777777" w:rsidR="00151BA7" w:rsidRPr="007843B9" w:rsidRDefault="00151BA7" w:rsidP="0061790F">
            <w:pPr>
              <w:spacing w:after="0" w:line="240" w:lineRule="auto"/>
              <w:jc w:val="center"/>
              <w:rPr>
                <w:rFonts w:eastAsia="Times New Roman" w:cs="Calibri"/>
                <w:b/>
                <w:bCs/>
                <w:sz w:val="20"/>
                <w:szCs w:val="20"/>
                <w:lang w:val="en-US"/>
              </w:rPr>
            </w:pPr>
            <w:proofErr w:type="spellStart"/>
            <w:r w:rsidRPr="007843B9">
              <w:rPr>
                <w:rFonts w:eastAsia="Times New Roman" w:cs="Calibri"/>
                <w:b/>
                <w:bCs/>
                <w:sz w:val="20"/>
                <w:szCs w:val="20"/>
                <w:lang w:val="en-US"/>
              </w:rPr>
              <w:t>Actividades</w:t>
            </w:r>
            <w:proofErr w:type="spellEnd"/>
            <w:r w:rsidRPr="007843B9">
              <w:rPr>
                <w:rFonts w:eastAsia="Times New Roman" w:cs="Calibri"/>
                <w:b/>
                <w:bCs/>
                <w:sz w:val="20"/>
                <w:szCs w:val="20"/>
                <w:lang w:val="en-US"/>
              </w:rPr>
              <w:t xml:space="preserve"> </w:t>
            </w:r>
            <w:proofErr w:type="spellStart"/>
            <w:r w:rsidRPr="007843B9">
              <w:rPr>
                <w:rFonts w:eastAsia="Times New Roman" w:cs="Calibri"/>
                <w:b/>
                <w:bCs/>
                <w:sz w:val="20"/>
                <w:szCs w:val="20"/>
                <w:lang w:val="en-US"/>
              </w:rPr>
              <w:t>Pendientes</w:t>
            </w:r>
            <w:proofErr w:type="spellEnd"/>
            <w:r w:rsidRPr="007843B9">
              <w:rPr>
                <w:rFonts w:eastAsia="Times New Roman" w:cs="Calibri"/>
                <w:b/>
                <w:bCs/>
                <w:sz w:val="20"/>
                <w:szCs w:val="20"/>
                <w:lang w:val="en-US"/>
              </w:rPr>
              <w:t xml:space="preserve"> de </w:t>
            </w:r>
            <w:proofErr w:type="spellStart"/>
            <w:r w:rsidRPr="007843B9">
              <w:rPr>
                <w:rFonts w:eastAsia="Times New Roman" w:cs="Calibri"/>
                <w:b/>
                <w:bCs/>
                <w:sz w:val="20"/>
                <w:szCs w:val="20"/>
                <w:lang w:val="en-US"/>
              </w:rPr>
              <w:t>Cumplimiento</w:t>
            </w:r>
            <w:proofErr w:type="spellEnd"/>
          </w:p>
        </w:tc>
        <w:tc>
          <w:tcPr>
            <w:tcW w:w="1502" w:type="dxa"/>
            <w:tcBorders>
              <w:top w:val="single" w:sz="8" w:space="0" w:color="auto"/>
              <w:left w:val="nil"/>
              <w:bottom w:val="single" w:sz="4" w:space="0" w:color="auto"/>
              <w:right w:val="single" w:sz="8" w:space="0" w:color="auto"/>
            </w:tcBorders>
            <w:shd w:val="clear" w:color="000000" w:fill="FFFFFF"/>
            <w:vAlign w:val="bottom"/>
            <w:hideMark/>
          </w:tcPr>
          <w:p w14:paraId="4FC622D1" w14:textId="77777777" w:rsidR="00151BA7" w:rsidRPr="007843B9" w:rsidRDefault="00151BA7" w:rsidP="0061790F">
            <w:pPr>
              <w:spacing w:after="0" w:line="240" w:lineRule="auto"/>
              <w:jc w:val="center"/>
              <w:rPr>
                <w:rFonts w:eastAsia="Times New Roman" w:cs="Calibri"/>
                <w:b/>
                <w:bCs/>
                <w:color w:val="000000"/>
                <w:sz w:val="20"/>
                <w:szCs w:val="20"/>
                <w:lang w:val="en-US"/>
              </w:rPr>
            </w:pPr>
            <w:proofErr w:type="spellStart"/>
            <w:r w:rsidRPr="007843B9">
              <w:rPr>
                <w:rFonts w:eastAsia="Times New Roman" w:cs="Calibri"/>
                <w:b/>
                <w:bCs/>
                <w:color w:val="000000"/>
                <w:sz w:val="20"/>
                <w:szCs w:val="20"/>
                <w:lang w:val="en-US"/>
              </w:rPr>
              <w:t>Fecha</w:t>
            </w:r>
            <w:proofErr w:type="spellEnd"/>
            <w:r w:rsidRPr="007843B9">
              <w:rPr>
                <w:rFonts w:eastAsia="Times New Roman" w:cs="Calibri"/>
                <w:b/>
                <w:bCs/>
                <w:color w:val="000000"/>
                <w:sz w:val="20"/>
                <w:szCs w:val="20"/>
                <w:lang w:val="en-US"/>
              </w:rPr>
              <w:t xml:space="preserve"> </w:t>
            </w:r>
            <w:proofErr w:type="spellStart"/>
            <w:r w:rsidRPr="007843B9">
              <w:rPr>
                <w:rFonts w:eastAsia="Times New Roman" w:cs="Calibri"/>
                <w:b/>
                <w:bCs/>
                <w:color w:val="000000"/>
                <w:sz w:val="20"/>
                <w:szCs w:val="20"/>
                <w:lang w:val="en-US"/>
              </w:rPr>
              <w:t>Estimada</w:t>
            </w:r>
            <w:proofErr w:type="spellEnd"/>
            <w:r w:rsidRPr="007843B9">
              <w:rPr>
                <w:rFonts w:eastAsia="Times New Roman" w:cs="Calibri"/>
                <w:b/>
                <w:bCs/>
                <w:color w:val="000000"/>
                <w:sz w:val="20"/>
                <w:szCs w:val="20"/>
                <w:lang w:val="en-US"/>
              </w:rPr>
              <w:t xml:space="preserve"> </w:t>
            </w:r>
            <w:proofErr w:type="spellStart"/>
            <w:r w:rsidRPr="007843B9">
              <w:rPr>
                <w:rFonts w:eastAsia="Times New Roman" w:cs="Calibri"/>
                <w:b/>
                <w:bCs/>
                <w:color w:val="000000"/>
                <w:sz w:val="20"/>
                <w:szCs w:val="20"/>
                <w:lang w:val="en-US"/>
              </w:rPr>
              <w:t>Cumplimiento</w:t>
            </w:r>
            <w:proofErr w:type="spellEnd"/>
          </w:p>
        </w:tc>
      </w:tr>
      <w:tr w:rsidR="00151BA7" w:rsidRPr="00151BA7" w14:paraId="4A20882C" w14:textId="77777777" w:rsidTr="0061790F">
        <w:trPr>
          <w:trHeight w:val="780"/>
        </w:trPr>
        <w:tc>
          <w:tcPr>
            <w:tcW w:w="7361" w:type="dxa"/>
            <w:tcBorders>
              <w:top w:val="nil"/>
              <w:left w:val="single" w:sz="8" w:space="0" w:color="auto"/>
              <w:bottom w:val="single" w:sz="4" w:space="0" w:color="auto"/>
              <w:right w:val="single" w:sz="4" w:space="0" w:color="auto"/>
            </w:tcBorders>
            <w:shd w:val="clear" w:color="000000" w:fill="FFFFFF"/>
            <w:vAlign w:val="center"/>
            <w:hideMark/>
          </w:tcPr>
          <w:p w14:paraId="53CBF923" w14:textId="77777777" w:rsidR="00151BA7" w:rsidRPr="007843B9" w:rsidRDefault="00151BA7" w:rsidP="0061790F">
            <w:pPr>
              <w:spacing w:after="0" w:line="240" w:lineRule="auto"/>
              <w:rPr>
                <w:rFonts w:eastAsia="Times New Roman" w:cs="Calibri"/>
                <w:sz w:val="20"/>
                <w:szCs w:val="20"/>
              </w:rPr>
            </w:pPr>
            <w:r w:rsidRPr="007843B9">
              <w:rPr>
                <w:rFonts w:eastAsia="Times New Roman" w:cs="Calibri"/>
                <w:sz w:val="20"/>
                <w:szCs w:val="20"/>
              </w:rPr>
              <w:t>Realizar el registro de entradas y salidas de inventarios mediante el devengo (registrar las entradas cuando se reciben y los gastos cuando salen los bienes del inventario), según corresponda como indica la NICSP 12.</w:t>
            </w:r>
          </w:p>
        </w:tc>
        <w:tc>
          <w:tcPr>
            <w:tcW w:w="1502" w:type="dxa"/>
            <w:tcBorders>
              <w:top w:val="nil"/>
              <w:left w:val="nil"/>
              <w:bottom w:val="single" w:sz="4" w:space="0" w:color="auto"/>
              <w:right w:val="single" w:sz="8" w:space="0" w:color="auto"/>
            </w:tcBorders>
            <w:shd w:val="clear" w:color="000000" w:fill="FFFFFF"/>
            <w:noWrap/>
            <w:vAlign w:val="center"/>
            <w:hideMark/>
          </w:tcPr>
          <w:p w14:paraId="53219366" w14:textId="0CFD9183" w:rsidR="00151BA7" w:rsidRPr="007843B9" w:rsidRDefault="00796636" w:rsidP="0061790F">
            <w:pPr>
              <w:spacing w:after="0" w:line="240" w:lineRule="auto"/>
              <w:jc w:val="center"/>
              <w:rPr>
                <w:rFonts w:eastAsia="Times New Roman" w:cs="Calibri"/>
                <w:color w:val="000000"/>
                <w:sz w:val="20"/>
                <w:szCs w:val="20"/>
                <w:lang w:val="en-US"/>
              </w:rPr>
            </w:pPr>
            <w:r>
              <w:rPr>
                <w:rFonts w:eastAsia="Times New Roman" w:cs="Calibri"/>
                <w:color w:val="000000"/>
                <w:sz w:val="20"/>
                <w:szCs w:val="20"/>
                <w:lang w:val="en-US"/>
              </w:rPr>
              <w:t>3</w:t>
            </w:r>
            <w:r w:rsidR="00FD01F3">
              <w:rPr>
                <w:rFonts w:eastAsia="Times New Roman" w:cs="Calibri"/>
                <w:color w:val="000000"/>
                <w:sz w:val="20"/>
                <w:szCs w:val="20"/>
                <w:lang w:val="en-US"/>
              </w:rPr>
              <w:t>0</w:t>
            </w:r>
            <w:r w:rsidR="007843B9" w:rsidRPr="007843B9">
              <w:rPr>
                <w:rFonts w:eastAsia="Times New Roman" w:cs="Calibri"/>
                <w:color w:val="000000"/>
                <w:sz w:val="20"/>
                <w:szCs w:val="20"/>
                <w:lang w:val="en-US"/>
              </w:rPr>
              <w:t>/6/25</w:t>
            </w:r>
          </w:p>
        </w:tc>
      </w:tr>
      <w:tr w:rsidR="007843B9" w:rsidRPr="00151BA7" w14:paraId="4C6EA069" w14:textId="77777777" w:rsidTr="0061790F">
        <w:trPr>
          <w:trHeight w:val="520"/>
        </w:trPr>
        <w:tc>
          <w:tcPr>
            <w:tcW w:w="7361" w:type="dxa"/>
            <w:tcBorders>
              <w:top w:val="nil"/>
              <w:left w:val="single" w:sz="8" w:space="0" w:color="auto"/>
              <w:bottom w:val="single" w:sz="4" w:space="0" w:color="auto"/>
              <w:right w:val="single" w:sz="4" w:space="0" w:color="auto"/>
            </w:tcBorders>
            <w:shd w:val="clear" w:color="auto" w:fill="auto"/>
            <w:vAlign w:val="center"/>
            <w:hideMark/>
          </w:tcPr>
          <w:p w14:paraId="5D14CAD6" w14:textId="77777777" w:rsidR="007843B9" w:rsidRPr="007843B9" w:rsidRDefault="007843B9" w:rsidP="007843B9">
            <w:pPr>
              <w:spacing w:after="0" w:line="240" w:lineRule="auto"/>
              <w:rPr>
                <w:rFonts w:eastAsia="Times New Roman" w:cs="Calibri"/>
                <w:sz w:val="20"/>
                <w:szCs w:val="20"/>
              </w:rPr>
            </w:pPr>
            <w:r w:rsidRPr="007843B9">
              <w:rPr>
                <w:rFonts w:eastAsia="Times New Roman" w:cs="Calibri"/>
                <w:sz w:val="20"/>
                <w:szCs w:val="20"/>
              </w:rPr>
              <w:t>Establecer y oficializar los procedimientos pertinentes para un adecuado registro, control y administración de los bienes en inventario.</w:t>
            </w:r>
          </w:p>
        </w:tc>
        <w:tc>
          <w:tcPr>
            <w:tcW w:w="1502" w:type="dxa"/>
            <w:tcBorders>
              <w:top w:val="nil"/>
              <w:left w:val="nil"/>
              <w:bottom w:val="single" w:sz="4" w:space="0" w:color="auto"/>
              <w:right w:val="single" w:sz="8" w:space="0" w:color="auto"/>
            </w:tcBorders>
            <w:shd w:val="clear" w:color="000000" w:fill="FFFFFF"/>
            <w:noWrap/>
            <w:hideMark/>
          </w:tcPr>
          <w:p w14:paraId="01B65F32" w14:textId="601C7B9F" w:rsidR="007843B9" w:rsidRPr="007843B9" w:rsidRDefault="00FD01F3" w:rsidP="007843B9">
            <w:pPr>
              <w:spacing w:after="0" w:line="240" w:lineRule="auto"/>
              <w:jc w:val="center"/>
              <w:rPr>
                <w:rFonts w:eastAsia="Times New Roman" w:cs="Calibri"/>
                <w:color w:val="000000"/>
                <w:sz w:val="20"/>
                <w:szCs w:val="20"/>
                <w:lang w:val="en-US"/>
              </w:rPr>
            </w:pPr>
            <w:r>
              <w:rPr>
                <w:rFonts w:eastAsia="Times New Roman" w:cs="Calibri"/>
                <w:color w:val="000000"/>
                <w:sz w:val="20"/>
                <w:szCs w:val="20"/>
                <w:lang w:val="en-US"/>
              </w:rPr>
              <w:t>30</w:t>
            </w:r>
            <w:r w:rsidRPr="007843B9">
              <w:rPr>
                <w:rFonts w:eastAsia="Times New Roman" w:cs="Calibri"/>
                <w:color w:val="000000"/>
                <w:sz w:val="20"/>
                <w:szCs w:val="20"/>
                <w:lang w:val="en-US"/>
              </w:rPr>
              <w:t>/6/25</w:t>
            </w:r>
          </w:p>
        </w:tc>
      </w:tr>
      <w:tr w:rsidR="007843B9" w:rsidRPr="00151BA7" w14:paraId="6D98C45A" w14:textId="77777777" w:rsidTr="0061790F">
        <w:trPr>
          <w:trHeight w:val="520"/>
        </w:trPr>
        <w:tc>
          <w:tcPr>
            <w:tcW w:w="7361" w:type="dxa"/>
            <w:tcBorders>
              <w:top w:val="nil"/>
              <w:left w:val="single" w:sz="8" w:space="0" w:color="auto"/>
              <w:bottom w:val="single" w:sz="4" w:space="0" w:color="auto"/>
              <w:right w:val="single" w:sz="4" w:space="0" w:color="auto"/>
            </w:tcBorders>
            <w:shd w:val="clear" w:color="000000" w:fill="FFFFFF"/>
            <w:vAlign w:val="center"/>
            <w:hideMark/>
          </w:tcPr>
          <w:p w14:paraId="4B0CAC2C" w14:textId="77777777" w:rsidR="007843B9" w:rsidRPr="007843B9" w:rsidRDefault="007843B9" w:rsidP="007843B9">
            <w:pPr>
              <w:spacing w:after="0" w:line="240" w:lineRule="auto"/>
              <w:rPr>
                <w:rFonts w:eastAsia="Times New Roman" w:cs="Calibri"/>
                <w:sz w:val="20"/>
                <w:szCs w:val="20"/>
              </w:rPr>
            </w:pPr>
            <w:r w:rsidRPr="007843B9">
              <w:rPr>
                <w:rFonts w:eastAsia="Times New Roman" w:cs="Calibri"/>
                <w:sz w:val="20"/>
                <w:szCs w:val="20"/>
              </w:rPr>
              <w:t>Concluir con el proceso de revisión de las notas a los estados financieros y ajustar la información contenida en las notas, según lo establecido en la NICSP 12.</w:t>
            </w:r>
          </w:p>
        </w:tc>
        <w:tc>
          <w:tcPr>
            <w:tcW w:w="1502" w:type="dxa"/>
            <w:tcBorders>
              <w:top w:val="nil"/>
              <w:left w:val="nil"/>
              <w:bottom w:val="single" w:sz="4" w:space="0" w:color="auto"/>
              <w:right w:val="single" w:sz="8" w:space="0" w:color="auto"/>
            </w:tcBorders>
            <w:shd w:val="clear" w:color="000000" w:fill="FFFFFF"/>
            <w:noWrap/>
            <w:hideMark/>
          </w:tcPr>
          <w:p w14:paraId="4035DE2A" w14:textId="3032B95D" w:rsidR="007843B9" w:rsidRPr="007843B9" w:rsidRDefault="00FD01F3" w:rsidP="007843B9">
            <w:pPr>
              <w:spacing w:after="0" w:line="240" w:lineRule="auto"/>
              <w:jc w:val="center"/>
              <w:rPr>
                <w:rFonts w:eastAsia="Times New Roman" w:cs="Calibri"/>
                <w:color w:val="000000"/>
                <w:sz w:val="20"/>
                <w:szCs w:val="20"/>
                <w:lang w:val="en-US"/>
              </w:rPr>
            </w:pPr>
            <w:r>
              <w:rPr>
                <w:rFonts w:eastAsia="Times New Roman" w:cs="Calibri"/>
                <w:color w:val="000000"/>
                <w:sz w:val="20"/>
                <w:szCs w:val="20"/>
                <w:lang w:val="en-US"/>
              </w:rPr>
              <w:t>30</w:t>
            </w:r>
            <w:r w:rsidRPr="007843B9">
              <w:rPr>
                <w:rFonts w:eastAsia="Times New Roman" w:cs="Calibri"/>
                <w:color w:val="000000"/>
                <w:sz w:val="20"/>
                <w:szCs w:val="20"/>
                <w:lang w:val="en-US"/>
              </w:rPr>
              <w:t>/6/25</w:t>
            </w:r>
          </w:p>
        </w:tc>
      </w:tr>
    </w:tbl>
    <w:p w14:paraId="36F13064" w14:textId="4D79BB04" w:rsidR="00EE66B3" w:rsidRPr="00EE66B3" w:rsidRDefault="00EE66B3" w:rsidP="00EE66B3">
      <w:pPr>
        <w:pStyle w:val="Ttulo2"/>
        <w:spacing w:after="240" w:line="240" w:lineRule="auto"/>
        <w:rPr>
          <w:rFonts w:eastAsiaTheme="minorHAnsi" w:cstheme="minorBidi"/>
          <w:color w:val="auto"/>
          <w:szCs w:val="22"/>
        </w:rPr>
      </w:pPr>
      <w:bookmarkStart w:id="52" w:name="_Toc189804791"/>
      <w:r w:rsidRPr="00EE66B3">
        <w:rPr>
          <w:color w:val="auto"/>
          <w:lang w:eastAsia="es-CR"/>
        </w:rPr>
        <w:t xml:space="preserve">Se hizo extensión a la fecha prevista esto debido a las cargas de trabajo en la institución, por tanto, no se pudo completar las actividades requeridas a la Norma </w:t>
      </w:r>
      <w:r>
        <w:rPr>
          <w:color w:val="auto"/>
          <w:lang w:val="es-MX"/>
        </w:rPr>
        <w:t>NI</w:t>
      </w:r>
      <w:r w:rsidR="00F000C2">
        <w:rPr>
          <w:color w:val="auto"/>
          <w:lang w:val="es-MX"/>
        </w:rPr>
        <w:t>CSP 12</w:t>
      </w:r>
      <w:bookmarkEnd w:id="52"/>
    </w:p>
    <w:p w14:paraId="44165230" w14:textId="28DC35C8" w:rsidR="00D16DB1" w:rsidRPr="00A649A4" w:rsidRDefault="00D16DB1" w:rsidP="00A649A4">
      <w:pPr>
        <w:pStyle w:val="Ttulo2"/>
        <w:spacing w:after="240"/>
        <w:rPr>
          <w:rFonts w:eastAsia="Times New Roman"/>
          <w:lang w:eastAsia="es-CR"/>
        </w:rPr>
      </w:pPr>
      <w:bookmarkStart w:id="53" w:name="_Toc189804792"/>
      <w:r w:rsidRPr="00D16DB1">
        <w:rPr>
          <w:rFonts w:eastAsia="Times New Roman"/>
          <w:lang w:eastAsia="es-CR"/>
        </w:rPr>
        <w:t>NICSP 13 ARRENDAMIENTOS:</w:t>
      </w:r>
      <w:bookmarkEnd w:id="49"/>
      <w:bookmarkEnd w:id="50"/>
      <w:bookmarkEnd w:id="53"/>
      <w:r w:rsidRPr="00D16DB1">
        <w:rPr>
          <w:rFonts w:eastAsia="Times New Roman"/>
          <w:lang w:eastAsia="es-CR"/>
        </w:rPr>
        <w:t xml:space="preserve"> </w:t>
      </w:r>
    </w:p>
    <w:p w14:paraId="4B57FBC7" w14:textId="77777777" w:rsidR="00396CB4" w:rsidRDefault="00D16DB1" w:rsidP="00D16DB1">
      <w:pPr>
        <w:rPr>
          <w:rFonts w:asciiTheme="minorHAnsi" w:hAnsiTheme="minorHAnsi"/>
          <w:sz w:val="22"/>
        </w:rPr>
      </w:pPr>
      <w:r w:rsidRPr="00405DBC">
        <w:t>De acuerdo con la NICSP 1</w:t>
      </w:r>
      <w:r>
        <w:t>3</w:t>
      </w:r>
      <w:r w:rsidRPr="00405DBC">
        <w:t xml:space="preserve">- </w:t>
      </w:r>
      <w:r>
        <w:t xml:space="preserve">Arrendamientos, </w:t>
      </w:r>
      <w:r w:rsidRPr="00405DBC">
        <w:t>Indicar si este rubro afecta SI o NO a la institución, además del porcentaje de avance</w:t>
      </w:r>
      <w:r>
        <w:t xml:space="preserve"> en la implementación</w:t>
      </w:r>
      <w:r w:rsidRPr="00405DBC">
        <w:t xml:space="preserve"> que presenta</w:t>
      </w:r>
      <w:r>
        <w:rPr>
          <w:b/>
        </w:rPr>
        <w:t>.</w:t>
      </w:r>
      <w:r w:rsidR="0025405A">
        <w:t xml:space="preserve"> </w:t>
      </w:r>
      <w:r w:rsidR="0025405A">
        <w:fldChar w:fldCharType="begin"/>
      </w:r>
      <w:r w:rsidR="0025405A">
        <w:instrText xml:space="preserve"> LINK </w:instrText>
      </w:r>
      <w:r w:rsidR="00756467">
        <w:instrText xml:space="preserve">Excel.SheetMacroEnabled.12 "C:\\Users\\gcordero\\Downloads\\Notas diciembre 2024\\Formato_Notas_EEFF_Vinculadas_2024\\Formato_Notas_EEFF_Vinculadas_2024\\15603_T04_2024_Anexo_Estado_Notas_Contables_Vinculadas.xlsm" NICSP_13!F9C3:F10C4 </w:instrText>
      </w:r>
      <w:r w:rsidR="0025405A">
        <w:instrText xml:space="preserve">\a \f 4 \h </w:instrText>
      </w:r>
      <w:r w:rsidR="0025405A">
        <w:fldChar w:fldCharType="separate"/>
      </w:r>
    </w:p>
    <w:tbl>
      <w:tblPr>
        <w:tblW w:w="4100" w:type="dxa"/>
        <w:tblCellMar>
          <w:left w:w="70" w:type="dxa"/>
          <w:right w:w="70" w:type="dxa"/>
        </w:tblCellMar>
        <w:tblLook w:val="04A0" w:firstRow="1" w:lastRow="0" w:firstColumn="1" w:lastColumn="0" w:noHBand="0" w:noVBand="1"/>
      </w:tblPr>
      <w:tblGrid>
        <w:gridCol w:w="2380"/>
        <w:gridCol w:w="1720"/>
      </w:tblGrid>
      <w:tr w:rsidR="00396CB4" w:rsidRPr="00396CB4" w14:paraId="68F1AF46" w14:textId="77777777" w:rsidTr="00396CB4">
        <w:trPr>
          <w:divId w:val="876937676"/>
          <w:trHeight w:val="345"/>
        </w:trPr>
        <w:tc>
          <w:tcPr>
            <w:tcW w:w="238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66984226" w14:textId="51733228" w:rsidR="00396CB4" w:rsidRPr="00396CB4" w:rsidRDefault="00396CB4" w:rsidP="00396CB4">
            <w:pPr>
              <w:rPr>
                <w:rFonts w:eastAsia="Times New Roman" w:cs="Calibri"/>
                <w:color w:val="FFFFFF"/>
                <w:szCs w:val="24"/>
                <w:lang w:eastAsia="es-CR"/>
              </w:rPr>
            </w:pPr>
            <w:r w:rsidRPr="00396CB4">
              <w:rPr>
                <w:rFonts w:eastAsia="Times New Roman" w:cs="Calibri"/>
                <w:color w:val="FFFFFF"/>
                <w:szCs w:val="24"/>
                <w:lang w:eastAsia="es-CR"/>
              </w:rPr>
              <w:t>Aplica</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2E9AB3" w14:textId="77777777" w:rsidR="00396CB4" w:rsidRPr="00396CB4" w:rsidRDefault="00396CB4" w:rsidP="00396CB4">
            <w:pPr>
              <w:spacing w:after="0" w:line="240" w:lineRule="auto"/>
              <w:jc w:val="center"/>
              <w:rPr>
                <w:rFonts w:eastAsia="Times New Roman" w:cs="Calibri"/>
                <w:color w:val="000000"/>
                <w:sz w:val="22"/>
                <w:lang w:eastAsia="es-CR"/>
              </w:rPr>
            </w:pPr>
            <w:r w:rsidRPr="00396CB4">
              <w:rPr>
                <w:rFonts w:eastAsia="Times New Roman" w:cs="Calibri"/>
                <w:color w:val="000000"/>
                <w:sz w:val="22"/>
                <w:lang w:eastAsia="es-CR"/>
              </w:rPr>
              <w:t>Si</w:t>
            </w:r>
          </w:p>
        </w:tc>
      </w:tr>
      <w:tr w:rsidR="00396CB4" w:rsidRPr="00396CB4" w14:paraId="2ED23620" w14:textId="77777777" w:rsidTr="00396CB4">
        <w:trPr>
          <w:divId w:val="876937676"/>
          <w:trHeight w:val="345"/>
        </w:trPr>
        <w:tc>
          <w:tcPr>
            <w:tcW w:w="2380" w:type="dxa"/>
            <w:tcBorders>
              <w:top w:val="nil"/>
              <w:left w:val="single" w:sz="8" w:space="0" w:color="auto"/>
              <w:bottom w:val="single" w:sz="8" w:space="0" w:color="auto"/>
              <w:right w:val="single" w:sz="8" w:space="0" w:color="auto"/>
            </w:tcBorders>
            <w:shd w:val="clear" w:color="000000" w:fill="17365D"/>
            <w:vAlign w:val="center"/>
            <w:hideMark/>
          </w:tcPr>
          <w:p w14:paraId="1ADE0026" w14:textId="77777777" w:rsidR="00396CB4" w:rsidRPr="00396CB4" w:rsidRDefault="00396CB4" w:rsidP="00396CB4">
            <w:pPr>
              <w:spacing w:after="0" w:line="240" w:lineRule="auto"/>
              <w:jc w:val="left"/>
              <w:rPr>
                <w:rFonts w:eastAsia="Times New Roman" w:cs="Calibri"/>
                <w:color w:val="FFFFFF"/>
                <w:szCs w:val="24"/>
                <w:lang w:eastAsia="es-CR"/>
              </w:rPr>
            </w:pPr>
            <w:proofErr w:type="spellStart"/>
            <w:r w:rsidRPr="00396CB4">
              <w:rPr>
                <w:rFonts w:eastAsia="Times New Roman" w:cs="Calibri"/>
                <w:color w:val="FFFFFF"/>
                <w:szCs w:val="24"/>
                <w:lang w:eastAsia="es-CR"/>
              </w:rPr>
              <w:lastRenderedPageBreak/>
              <w:t>Porcentaje_Avance</w:t>
            </w:r>
            <w:proofErr w:type="spellEnd"/>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51B884F9" w14:textId="77777777" w:rsidR="00396CB4" w:rsidRPr="00396CB4" w:rsidRDefault="00396CB4" w:rsidP="00396CB4">
            <w:pPr>
              <w:spacing w:after="0" w:line="240" w:lineRule="auto"/>
              <w:jc w:val="center"/>
              <w:rPr>
                <w:rFonts w:eastAsia="Times New Roman" w:cs="Calibri"/>
                <w:color w:val="000000"/>
                <w:sz w:val="22"/>
                <w:lang w:eastAsia="es-CR"/>
              </w:rPr>
            </w:pPr>
            <w:r w:rsidRPr="00396CB4">
              <w:rPr>
                <w:rFonts w:eastAsia="Times New Roman" w:cs="Calibri"/>
                <w:color w:val="000000"/>
                <w:sz w:val="22"/>
                <w:lang w:eastAsia="es-CR"/>
              </w:rPr>
              <w:t>79,71%</w:t>
            </w:r>
          </w:p>
        </w:tc>
      </w:tr>
    </w:tbl>
    <w:p w14:paraId="38EA6B55" w14:textId="7FCAF09E" w:rsidR="00F45904" w:rsidRDefault="0025405A" w:rsidP="00D16DB1">
      <w:r>
        <w:fldChar w:fldCharType="end"/>
      </w:r>
    </w:p>
    <w:p w14:paraId="2B2ED97F" w14:textId="77777777" w:rsidR="00396CB4" w:rsidRDefault="00D16DB1" w:rsidP="00D16DB1">
      <w:pPr>
        <w:rPr>
          <w:rFonts w:asciiTheme="minorHAnsi" w:hAnsiTheme="minorHAnsi"/>
          <w:sz w:val="22"/>
        </w:rPr>
      </w:pPr>
      <w:r w:rsidRPr="00D16DB1">
        <w:rPr>
          <w:lang w:eastAsia="es-CR"/>
        </w:rPr>
        <w:t>A continuación, un cuadro resumen, pero el detalle de los contratos debe ser adjuntados como anexos</w:t>
      </w:r>
      <w:r w:rsidR="005F2549">
        <w:rPr>
          <w:sz w:val="22"/>
          <w:lang w:val="es-MX"/>
        </w:rPr>
        <w:t xml:space="preserve">. </w:t>
      </w:r>
      <w:hyperlink w:anchor="_NICSP_13_Arrendamientos" w:history="1">
        <w:r w:rsidR="005F2549" w:rsidRPr="005F2549">
          <w:rPr>
            <w:rStyle w:val="Hipervnculo"/>
            <w:sz w:val="22"/>
            <w:lang w:val="es-MX"/>
          </w:rPr>
          <w:t>NICSP 13 - Arrendamientos</w:t>
        </w:r>
      </w:hyperlink>
      <w:r w:rsidR="005F2549">
        <w:rPr>
          <w:sz w:val="22"/>
          <w:lang w:val="es-MX"/>
        </w:rPr>
        <w:t xml:space="preserve"> </w:t>
      </w:r>
      <w:r w:rsidR="00900BB0">
        <w:rPr>
          <w:lang w:eastAsia="es-CR"/>
        </w:rPr>
        <w:fldChar w:fldCharType="begin"/>
      </w:r>
      <w:r w:rsidR="00900BB0">
        <w:rPr>
          <w:lang w:eastAsia="es-CR"/>
        </w:rPr>
        <w:instrText xml:space="preserve"> LINK </w:instrText>
      </w:r>
      <w:r w:rsidR="00756467">
        <w:rPr>
          <w:lang w:eastAsia="es-CR"/>
        </w:rPr>
        <w:instrText xml:space="preserve">Excel.SheetMacroEnabled.12 "C:\\Users\\gcordero\\Downloads\\Notas diciembre 2024\\Formato_Notas_EEFF_Vinculadas_2024\\Formato_Notas_EEFF_Vinculadas_2024\\15603_T04_2024_Anexo_Estado_Notas_Contables_Vinculadas.xlsm" NICSP_13!F12C3:F14C5 </w:instrText>
      </w:r>
      <w:r w:rsidR="00900BB0">
        <w:rPr>
          <w:lang w:eastAsia="es-CR"/>
        </w:rPr>
        <w:instrText xml:space="preserve">\a \f 4 \h </w:instrText>
      </w:r>
      <w:r w:rsidR="00900BB0">
        <w:rPr>
          <w:lang w:eastAsia="es-CR"/>
        </w:rPr>
        <w:fldChar w:fldCharType="separate"/>
      </w:r>
    </w:p>
    <w:tbl>
      <w:tblPr>
        <w:tblW w:w="5820" w:type="dxa"/>
        <w:tblCellMar>
          <w:left w:w="70" w:type="dxa"/>
          <w:right w:w="70" w:type="dxa"/>
        </w:tblCellMar>
        <w:tblLook w:val="04A0" w:firstRow="1" w:lastRow="0" w:firstColumn="1" w:lastColumn="0" w:noHBand="0" w:noVBand="1"/>
      </w:tblPr>
      <w:tblGrid>
        <w:gridCol w:w="2380"/>
        <w:gridCol w:w="1720"/>
        <w:gridCol w:w="1720"/>
      </w:tblGrid>
      <w:tr w:rsidR="00396CB4" w:rsidRPr="00396CB4" w14:paraId="4E19C301" w14:textId="77777777" w:rsidTr="00396CB4">
        <w:trPr>
          <w:divId w:val="1850025406"/>
          <w:trHeight w:val="345"/>
        </w:trPr>
        <w:tc>
          <w:tcPr>
            <w:tcW w:w="2380" w:type="dxa"/>
            <w:tcBorders>
              <w:top w:val="single" w:sz="8" w:space="0" w:color="auto"/>
              <w:left w:val="single" w:sz="8" w:space="0" w:color="auto"/>
              <w:bottom w:val="single" w:sz="8" w:space="0" w:color="auto"/>
              <w:right w:val="nil"/>
            </w:tcBorders>
            <w:shd w:val="clear" w:color="000000" w:fill="1F3864"/>
            <w:vAlign w:val="center"/>
            <w:hideMark/>
          </w:tcPr>
          <w:p w14:paraId="7F1E543C" w14:textId="0A52F287" w:rsidR="00396CB4" w:rsidRPr="00396CB4" w:rsidRDefault="00396CB4" w:rsidP="00396CB4">
            <w:pPr>
              <w:jc w:val="center"/>
              <w:rPr>
                <w:rFonts w:eastAsia="Times New Roman" w:cs="Calibri"/>
                <w:color w:val="FFFFFF"/>
                <w:szCs w:val="24"/>
                <w:lang w:eastAsia="es-CR"/>
              </w:rPr>
            </w:pPr>
            <w:r w:rsidRPr="00396CB4">
              <w:rPr>
                <w:rFonts w:eastAsia="Times New Roman" w:cs="Calibri"/>
                <w:color w:val="FFFFFF"/>
                <w:szCs w:val="24"/>
                <w:lang w:eastAsia="es-CR"/>
              </w:rPr>
              <w:t>Resumen</w:t>
            </w:r>
          </w:p>
        </w:tc>
        <w:tc>
          <w:tcPr>
            <w:tcW w:w="1720" w:type="dxa"/>
            <w:tcBorders>
              <w:top w:val="single" w:sz="8" w:space="0" w:color="auto"/>
              <w:left w:val="single" w:sz="8" w:space="0" w:color="auto"/>
              <w:bottom w:val="single" w:sz="8" w:space="0" w:color="auto"/>
              <w:right w:val="nil"/>
            </w:tcBorders>
            <w:shd w:val="clear" w:color="000000" w:fill="1F3864"/>
            <w:vAlign w:val="center"/>
            <w:hideMark/>
          </w:tcPr>
          <w:p w14:paraId="49927017" w14:textId="77777777" w:rsidR="00396CB4" w:rsidRPr="00396CB4" w:rsidRDefault="00396CB4" w:rsidP="00396CB4">
            <w:pPr>
              <w:spacing w:after="0" w:line="240" w:lineRule="auto"/>
              <w:jc w:val="center"/>
              <w:rPr>
                <w:rFonts w:eastAsia="Times New Roman" w:cs="Calibri"/>
                <w:color w:val="FFFFFF"/>
                <w:szCs w:val="24"/>
                <w:lang w:eastAsia="es-CR"/>
              </w:rPr>
            </w:pPr>
            <w:r w:rsidRPr="00396CB4">
              <w:rPr>
                <w:rFonts w:eastAsia="Times New Roman" w:cs="Calibri"/>
                <w:color w:val="FFFFFF"/>
                <w:szCs w:val="24"/>
                <w:lang w:eastAsia="es-CR"/>
              </w:rPr>
              <w:t xml:space="preserve">CANTIDAD </w:t>
            </w:r>
          </w:p>
        </w:tc>
        <w:tc>
          <w:tcPr>
            <w:tcW w:w="1720"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11E30A95" w14:textId="77777777" w:rsidR="00396CB4" w:rsidRPr="00396CB4" w:rsidRDefault="00396CB4" w:rsidP="00396CB4">
            <w:pPr>
              <w:spacing w:after="0" w:line="240" w:lineRule="auto"/>
              <w:jc w:val="center"/>
              <w:rPr>
                <w:rFonts w:eastAsia="Times New Roman" w:cs="Calibri"/>
                <w:color w:val="FFFFFF"/>
                <w:szCs w:val="24"/>
                <w:lang w:eastAsia="es-CR"/>
              </w:rPr>
            </w:pPr>
            <w:r w:rsidRPr="00396CB4">
              <w:rPr>
                <w:rFonts w:eastAsia="Times New Roman" w:cs="Calibri"/>
                <w:color w:val="FFFFFF"/>
                <w:szCs w:val="24"/>
                <w:lang w:eastAsia="es-CR"/>
              </w:rPr>
              <w:t>MONTO TOTAL</w:t>
            </w:r>
          </w:p>
        </w:tc>
      </w:tr>
      <w:tr w:rsidR="00396CB4" w:rsidRPr="00396CB4" w14:paraId="06625556" w14:textId="77777777" w:rsidTr="00396CB4">
        <w:trPr>
          <w:divId w:val="1850025406"/>
          <w:trHeight w:val="383"/>
        </w:trPr>
        <w:tc>
          <w:tcPr>
            <w:tcW w:w="2380" w:type="dxa"/>
            <w:tcBorders>
              <w:top w:val="nil"/>
              <w:left w:val="single" w:sz="8" w:space="0" w:color="auto"/>
              <w:bottom w:val="single" w:sz="8" w:space="0" w:color="auto"/>
              <w:right w:val="nil"/>
            </w:tcBorders>
            <w:shd w:val="clear" w:color="000000" w:fill="1F3864"/>
            <w:vAlign w:val="center"/>
            <w:hideMark/>
          </w:tcPr>
          <w:p w14:paraId="4D5AE523" w14:textId="77777777" w:rsidR="00396CB4" w:rsidRPr="00396CB4" w:rsidRDefault="00396CB4" w:rsidP="00396CB4">
            <w:pPr>
              <w:spacing w:after="0" w:line="240" w:lineRule="auto"/>
              <w:jc w:val="left"/>
              <w:rPr>
                <w:rFonts w:eastAsia="Times New Roman" w:cs="Calibri"/>
                <w:color w:val="FFFFFF"/>
                <w:szCs w:val="24"/>
                <w:lang w:eastAsia="es-CR"/>
              </w:rPr>
            </w:pPr>
            <w:r w:rsidRPr="00396CB4">
              <w:rPr>
                <w:rFonts w:eastAsia="Times New Roman" w:cs="Calibri"/>
                <w:color w:val="FFFFFF"/>
                <w:szCs w:val="24"/>
                <w:lang w:eastAsia="es-CR"/>
              </w:rPr>
              <w:t>Arrendamiento Operativo</w:t>
            </w:r>
          </w:p>
        </w:tc>
        <w:tc>
          <w:tcPr>
            <w:tcW w:w="1720" w:type="dxa"/>
            <w:tcBorders>
              <w:top w:val="nil"/>
              <w:left w:val="nil"/>
              <w:bottom w:val="single" w:sz="8" w:space="0" w:color="auto"/>
              <w:right w:val="single" w:sz="8" w:space="0" w:color="auto"/>
            </w:tcBorders>
            <w:shd w:val="clear" w:color="auto" w:fill="auto"/>
            <w:noWrap/>
            <w:vAlign w:val="center"/>
            <w:hideMark/>
          </w:tcPr>
          <w:p w14:paraId="33155F82" w14:textId="77777777" w:rsidR="00396CB4" w:rsidRPr="00396CB4" w:rsidRDefault="00396CB4" w:rsidP="00396CB4">
            <w:pPr>
              <w:spacing w:after="0" w:line="240" w:lineRule="auto"/>
              <w:jc w:val="right"/>
              <w:rPr>
                <w:rFonts w:eastAsia="Times New Roman" w:cs="Calibri"/>
                <w:color w:val="000000"/>
                <w:sz w:val="20"/>
                <w:szCs w:val="20"/>
                <w:lang w:eastAsia="es-CR"/>
              </w:rPr>
            </w:pPr>
            <w:r w:rsidRPr="00396CB4">
              <w:rPr>
                <w:rFonts w:eastAsia="Times New Roman" w:cs="Calibri"/>
                <w:color w:val="000000"/>
                <w:sz w:val="20"/>
                <w:szCs w:val="20"/>
                <w:lang w:eastAsia="es-CR"/>
              </w:rPr>
              <w:t>33</w:t>
            </w:r>
          </w:p>
        </w:tc>
        <w:tc>
          <w:tcPr>
            <w:tcW w:w="1720" w:type="dxa"/>
            <w:tcBorders>
              <w:top w:val="nil"/>
              <w:left w:val="nil"/>
              <w:bottom w:val="single" w:sz="8" w:space="0" w:color="auto"/>
              <w:right w:val="single" w:sz="8" w:space="0" w:color="auto"/>
            </w:tcBorders>
            <w:shd w:val="clear" w:color="auto" w:fill="auto"/>
            <w:noWrap/>
            <w:vAlign w:val="center"/>
            <w:hideMark/>
          </w:tcPr>
          <w:p w14:paraId="55FDD85D" w14:textId="77777777" w:rsidR="00396CB4" w:rsidRPr="00396CB4" w:rsidRDefault="00396CB4" w:rsidP="00396CB4">
            <w:pPr>
              <w:spacing w:after="0" w:line="240" w:lineRule="auto"/>
              <w:jc w:val="right"/>
              <w:rPr>
                <w:rFonts w:eastAsia="Times New Roman" w:cs="Calibri"/>
                <w:color w:val="000000"/>
                <w:sz w:val="20"/>
                <w:szCs w:val="20"/>
                <w:lang w:eastAsia="es-CR"/>
              </w:rPr>
            </w:pPr>
            <w:r w:rsidRPr="00396CB4">
              <w:rPr>
                <w:rFonts w:ascii="Arial" w:eastAsia="Times New Roman" w:hAnsi="Arial" w:cs="Arial"/>
                <w:color w:val="000000"/>
                <w:sz w:val="20"/>
                <w:szCs w:val="20"/>
                <w:lang w:eastAsia="es-CR"/>
              </w:rPr>
              <w:t>₡</w:t>
            </w:r>
            <w:r w:rsidRPr="00396CB4">
              <w:rPr>
                <w:rFonts w:eastAsia="Times New Roman" w:cs="Calibri"/>
                <w:color w:val="000000"/>
                <w:sz w:val="20"/>
                <w:szCs w:val="20"/>
                <w:lang w:eastAsia="es-CR"/>
              </w:rPr>
              <w:t>50 373,02</w:t>
            </w:r>
          </w:p>
        </w:tc>
      </w:tr>
      <w:tr w:rsidR="00396CB4" w:rsidRPr="00396CB4" w14:paraId="3230845F" w14:textId="77777777" w:rsidTr="00396CB4">
        <w:trPr>
          <w:divId w:val="1850025406"/>
          <w:trHeight w:val="383"/>
        </w:trPr>
        <w:tc>
          <w:tcPr>
            <w:tcW w:w="2380" w:type="dxa"/>
            <w:tcBorders>
              <w:top w:val="nil"/>
              <w:left w:val="single" w:sz="8" w:space="0" w:color="auto"/>
              <w:bottom w:val="single" w:sz="8" w:space="0" w:color="auto"/>
              <w:right w:val="nil"/>
            </w:tcBorders>
            <w:shd w:val="clear" w:color="000000" w:fill="1F3864"/>
            <w:vAlign w:val="center"/>
            <w:hideMark/>
          </w:tcPr>
          <w:p w14:paraId="057066CA" w14:textId="77777777" w:rsidR="00396CB4" w:rsidRPr="00396CB4" w:rsidRDefault="00396CB4" w:rsidP="00396CB4">
            <w:pPr>
              <w:spacing w:after="0" w:line="240" w:lineRule="auto"/>
              <w:jc w:val="left"/>
              <w:rPr>
                <w:rFonts w:eastAsia="Times New Roman" w:cs="Calibri"/>
                <w:color w:val="FFFFFF"/>
                <w:szCs w:val="24"/>
                <w:lang w:eastAsia="es-CR"/>
              </w:rPr>
            </w:pPr>
            <w:r w:rsidRPr="00396CB4">
              <w:rPr>
                <w:rFonts w:eastAsia="Times New Roman" w:cs="Calibri"/>
                <w:color w:val="FFFFFF"/>
                <w:szCs w:val="24"/>
                <w:lang w:eastAsia="es-CR"/>
              </w:rPr>
              <w:t>Arrendamiento Financiero</w:t>
            </w:r>
          </w:p>
        </w:tc>
        <w:tc>
          <w:tcPr>
            <w:tcW w:w="1720" w:type="dxa"/>
            <w:tcBorders>
              <w:top w:val="nil"/>
              <w:left w:val="nil"/>
              <w:bottom w:val="single" w:sz="8" w:space="0" w:color="auto"/>
              <w:right w:val="single" w:sz="8" w:space="0" w:color="auto"/>
            </w:tcBorders>
            <w:shd w:val="clear" w:color="auto" w:fill="auto"/>
            <w:noWrap/>
            <w:vAlign w:val="center"/>
            <w:hideMark/>
          </w:tcPr>
          <w:p w14:paraId="4423FCBE" w14:textId="77777777" w:rsidR="00396CB4" w:rsidRPr="00396CB4" w:rsidRDefault="00396CB4" w:rsidP="00396CB4">
            <w:pPr>
              <w:spacing w:after="0" w:line="240" w:lineRule="auto"/>
              <w:jc w:val="left"/>
              <w:rPr>
                <w:rFonts w:eastAsia="Times New Roman" w:cs="Calibri"/>
                <w:color w:val="000000"/>
                <w:sz w:val="20"/>
                <w:szCs w:val="20"/>
                <w:lang w:eastAsia="es-CR"/>
              </w:rPr>
            </w:pPr>
            <w:r w:rsidRPr="00396CB4">
              <w:rPr>
                <w:rFonts w:eastAsia="Times New Roman" w:cs="Calibri"/>
                <w:color w:val="000000"/>
                <w:sz w:val="20"/>
                <w:szCs w:val="20"/>
                <w:lang w:eastAsia="es-CR"/>
              </w:rPr>
              <w:t> </w:t>
            </w:r>
          </w:p>
        </w:tc>
        <w:tc>
          <w:tcPr>
            <w:tcW w:w="1720" w:type="dxa"/>
            <w:tcBorders>
              <w:top w:val="nil"/>
              <w:left w:val="nil"/>
              <w:bottom w:val="single" w:sz="8" w:space="0" w:color="auto"/>
              <w:right w:val="single" w:sz="8" w:space="0" w:color="auto"/>
            </w:tcBorders>
            <w:shd w:val="clear" w:color="auto" w:fill="auto"/>
            <w:noWrap/>
            <w:vAlign w:val="center"/>
            <w:hideMark/>
          </w:tcPr>
          <w:p w14:paraId="33A3E90E" w14:textId="77777777" w:rsidR="00396CB4" w:rsidRPr="00396CB4" w:rsidRDefault="00396CB4" w:rsidP="00396CB4">
            <w:pPr>
              <w:spacing w:after="0" w:line="240" w:lineRule="auto"/>
              <w:jc w:val="right"/>
              <w:rPr>
                <w:rFonts w:eastAsia="Times New Roman" w:cs="Calibri"/>
                <w:color w:val="000000"/>
                <w:sz w:val="20"/>
                <w:szCs w:val="20"/>
                <w:lang w:eastAsia="es-CR"/>
              </w:rPr>
            </w:pPr>
            <w:r w:rsidRPr="00396CB4">
              <w:rPr>
                <w:rFonts w:ascii="Arial" w:eastAsia="Times New Roman" w:hAnsi="Arial" w:cs="Arial"/>
                <w:color w:val="000000"/>
                <w:sz w:val="20"/>
                <w:szCs w:val="20"/>
                <w:lang w:eastAsia="es-CR"/>
              </w:rPr>
              <w:t>₡</w:t>
            </w:r>
            <w:r w:rsidRPr="00396CB4">
              <w:rPr>
                <w:rFonts w:eastAsia="Times New Roman" w:cs="Calibri"/>
                <w:color w:val="000000"/>
                <w:sz w:val="20"/>
                <w:szCs w:val="20"/>
                <w:lang w:eastAsia="es-CR"/>
              </w:rPr>
              <w:t>0,00</w:t>
            </w:r>
          </w:p>
        </w:tc>
      </w:tr>
    </w:tbl>
    <w:p w14:paraId="647B44B2" w14:textId="698CC92B" w:rsidR="00D16DB1" w:rsidRDefault="00900BB0" w:rsidP="00D16DB1">
      <w:pPr>
        <w:rPr>
          <w:lang w:eastAsia="es-CR"/>
        </w:rPr>
      </w:pPr>
      <w:r>
        <w:rPr>
          <w:lang w:eastAsia="es-CR"/>
        </w:rPr>
        <w:fldChar w:fldCharType="end"/>
      </w:r>
    </w:p>
    <w:p w14:paraId="20761122" w14:textId="1E84B75E" w:rsidR="00D16DB1" w:rsidRPr="00D16DB1" w:rsidRDefault="00D16DB1" w:rsidP="00D16DB1">
      <w:pPr>
        <w:rPr>
          <w:lang w:eastAsia="es-CR"/>
        </w:rPr>
      </w:pPr>
      <w:r w:rsidRPr="00D16DB1">
        <w:rPr>
          <w:lang w:eastAsia="es-CR"/>
        </w:rPr>
        <w:t>El responsable contable debe analizar las características de la esencia económica del tipo de arrendamiento, para determinar si es un arrendamiento operativo o arrendamiento financiero. Se realizará la revelación considerando lo dispuesto en el párrafo 40 y 44 de la NICSP 13.</w:t>
      </w:r>
    </w:p>
    <w:p w14:paraId="6C7C0D94" w14:textId="77777777" w:rsidR="00D16DB1" w:rsidRPr="00D16DB1" w:rsidRDefault="00D16DB1" w:rsidP="000B404C">
      <w:pPr>
        <w:spacing w:after="0" w:line="240" w:lineRule="auto"/>
        <w:rPr>
          <w:i/>
          <w:lang w:val="es-MX"/>
        </w:rPr>
      </w:pPr>
      <w:r w:rsidRPr="00D16DB1">
        <w:rPr>
          <w:i/>
          <w:lang w:val="es-MX"/>
        </w:rPr>
        <w:t>“40. Los arrendatarios revelarán la siguiente información sobre arrendamientos financieros:</w:t>
      </w:r>
    </w:p>
    <w:p w14:paraId="6E21EADD" w14:textId="77777777" w:rsidR="00D16DB1" w:rsidRPr="00D16DB1" w:rsidRDefault="00D16DB1" w:rsidP="000B404C">
      <w:pPr>
        <w:spacing w:after="0" w:line="240" w:lineRule="auto"/>
        <w:rPr>
          <w:i/>
          <w:lang w:val="es-MX"/>
        </w:rPr>
      </w:pPr>
      <w:r w:rsidRPr="00D16DB1">
        <w:rPr>
          <w:i/>
          <w:lang w:val="es-MX"/>
        </w:rPr>
        <w:t>(a) para cada clase de activos, el importe en libros neto en la fecha de presentación;</w:t>
      </w:r>
    </w:p>
    <w:p w14:paraId="263C031E" w14:textId="77777777" w:rsidR="00D16DB1" w:rsidRPr="00D16DB1" w:rsidRDefault="00D16DB1" w:rsidP="000B404C">
      <w:pPr>
        <w:spacing w:after="0" w:line="240" w:lineRule="auto"/>
        <w:rPr>
          <w:i/>
          <w:lang w:val="es-MX"/>
        </w:rPr>
      </w:pPr>
      <w:r w:rsidRPr="00D16DB1">
        <w:rPr>
          <w:i/>
          <w:lang w:val="es-MX"/>
        </w:rPr>
        <w:t>(b) una conciliación entre el total de pagos mínimos futuros por arrendamiento en la fecha de presentación, y su valor presente;</w:t>
      </w:r>
    </w:p>
    <w:p w14:paraId="67505FDA" w14:textId="77777777" w:rsidR="00D16DB1" w:rsidRPr="00D16DB1" w:rsidRDefault="00D16DB1" w:rsidP="000B404C">
      <w:pPr>
        <w:spacing w:after="0" w:line="240" w:lineRule="auto"/>
        <w:rPr>
          <w:i/>
          <w:lang w:val="es-MX"/>
        </w:rPr>
      </w:pPr>
      <w:r w:rsidRPr="00D16DB1">
        <w:rPr>
          <w:i/>
          <w:lang w:val="es-MX"/>
        </w:rPr>
        <w:t>(c) además, la entidad revelará el total de pagos mínimos futuros por arrendamiento en la fecha de presentación, y su valor presente, para cada uno de los siguientes periodos:</w:t>
      </w:r>
    </w:p>
    <w:p w14:paraId="117A12C1" w14:textId="77777777" w:rsidR="00D16DB1" w:rsidRPr="00D16DB1" w:rsidRDefault="00D16DB1" w:rsidP="000B404C">
      <w:pPr>
        <w:spacing w:after="0" w:line="240" w:lineRule="auto"/>
        <w:rPr>
          <w:i/>
          <w:lang w:val="es-MX"/>
        </w:rPr>
      </w:pPr>
      <w:r w:rsidRPr="00D16DB1">
        <w:rPr>
          <w:i/>
          <w:lang w:val="es-MX"/>
        </w:rPr>
        <w:tab/>
        <w:t>(i) hasta un año;</w:t>
      </w:r>
    </w:p>
    <w:p w14:paraId="132E2073" w14:textId="77777777" w:rsidR="00D16DB1" w:rsidRPr="00D16DB1" w:rsidRDefault="00D16DB1" w:rsidP="000B404C">
      <w:pPr>
        <w:spacing w:after="0" w:line="240" w:lineRule="auto"/>
        <w:rPr>
          <w:i/>
          <w:lang w:val="es-MX"/>
        </w:rPr>
      </w:pPr>
      <w:r w:rsidRPr="00D16DB1">
        <w:rPr>
          <w:i/>
          <w:lang w:val="es-MX"/>
        </w:rPr>
        <w:t>(ii) entre uno y cinco años; y</w:t>
      </w:r>
    </w:p>
    <w:p w14:paraId="6B9FA74D" w14:textId="77777777" w:rsidR="00D16DB1" w:rsidRPr="00D16DB1" w:rsidRDefault="00D16DB1" w:rsidP="000B404C">
      <w:pPr>
        <w:spacing w:after="0" w:line="240" w:lineRule="auto"/>
        <w:rPr>
          <w:i/>
          <w:lang w:val="es-MX"/>
        </w:rPr>
      </w:pPr>
      <w:r w:rsidRPr="00D16DB1">
        <w:rPr>
          <w:i/>
          <w:lang w:val="es-MX"/>
        </w:rPr>
        <w:t>(iii) más de cinco años.</w:t>
      </w:r>
    </w:p>
    <w:p w14:paraId="66E238C5" w14:textId="77777777" w:rsidR="00D16DB1" w:rsidRPr="00D16DB1" w:rsidRDefault="00D16DB1" w:rsidP="000B404C">
      <w:pPr>
        <w:spacing w:after="0" w:line="240" w:lineRule="auto"/>
        <w:rPr>
          <w:i/>
          <w:lang w:val="es-MX"/>
        </w:rPr>
      </w:pPr>
      <w:r w:rsidRPr="00D16DB1">
        <w:rPr>
          <w:i/>
          <w:lang w:val="es-MX"/>
        </w:rPr>
        <w:t>(d) cuotas contingentes reconocidas como gasto en el periodo;</w:t>
      </w:r>
    </w:p>
    <w:p w14:paraId="0FA8CAE4" w14:textId="77777777" w:rsidR="00D16DB1" w:rsidRPr="00D16DB1" w:rsidRDefault="00D16DB1" w:rsidP="000B404C">
      <w:pPr>
        <w:spacing w:after="0" w:line="240" w:lineRule="auto"/>
        <w:rPr>
          <w:i/>
          <w:lang w:val="es-MX"/>
        </w:rPr>
      </w:pPr>
      <w:r w:rsidRPr="00D16DB1">
        <w:rPr>
          <w:i/>
          <w:lang w:val="es-MX"/>
        </w:rPr>
        <w:t>(e) el total de los pagos futuros mínimos por subarrendamiento que se esperan recibir, en la fecha de presentación, por los subarrendamientos no cancelables; y</w:t>
      </w:r>
    </w:p>
    <w:p w14:paraId="597C40D4" w14:textId="77777777" w:rsidR="00D16DB1" w:rsidRPr="00D16DB1" w:rsidRDefault="00D16DB1" w:rsidP="000B404C">
      <w:pPr>
        <w:spacing w:after="0" w:line="240" w:lineRule="auto"/>
        <w:rPr>
          <w:i/>
          <w:lang w:val="es-MX"/>
        </w:rPr>
      </w:pPr>
      <w:r w:rsidRPr="00D16DB1">
        <w:rPr>
          <w:i/>
          <w:lang w:val="es-MX"/>
        </w:rPr>
        <w:t>(f) una descripción general de los acuerdos de arrendamiento significativos del arrendatario, donde se incluirán, pero sin limitarse a ellos, los siguientes datos:</w:t>
      </w:r>
    </w:p>
    <w:p w14:paraId="0ECFE11B" w14:textId="77777777" w:rsidR="00D16DB1" w:rsidRPr="00D16DB1" w:rsidRDefault="00D16DB1" w:rsidP="000B404C">
      <w:pPr>
        <w:spacing w:after="0" w:line="240" w:lineRule="auto"/>
        <w:rPr>
          <w:i/>
          <w:lang w:val="es-MX"/>
        </w:rPr>
      </w:pPr>
      <w:r w:rsidRPr="00D16DB1">
        <w:rPr>
          <w:i/>
          <w:lang w:val="es-MX"/>
        </w:rPr>
        <w:t>(i) las bases para la determinación de cualquier cuota de carácter contingente que se haya pactado;</w:t>
      </w:r>
    </w:p>
    <w:p w14:paraId="57FB8559" w14:textId="77777777" w:rsidR="00D16DB1" w:rsidRPr="00D16DB1" w:rsidRDefault="00D16DB1" w:rsidP="000B404C">
      <w:pPr>
        <w:spacing w:after="0" w:line="240" w:lineRule="auto"/>
        <w:rPr>
          <w:i/>
          <w:lang w:val="es-MX"/>
        </w:rPr>
      </w:pPr>
      <w:r w:rsidRPr="00D16DB1">
        <w:rPr>
          <w:i/>
          <w:lang w:val="es-MX"/>
        </w:rPr>
        <w:t>(ii) la existencia y, en su caso, los plazos de renovación o las opciones de compra y las cláusulas de actualización o escalonamiento; y</w:t>
      </w:r>
    </w:p>
    <w:p w14:paraId="67379E8A" w14:textId="77777777" w:rsidR="00D16DB1" w:rsidRPr="00D16DB1" w:rsidRDefault="00D16DB1" w:rsidP="000B404C">
      <w:pPr>
        <w:spacing w:after="0" w:line="240" w:lineRule="auto"/>
        <w:rPr>
          <w:i/>
          <w:lang w:val="es-MX"/>
        </w:rPr>
      </w:pPr>
      <w:r w:rsidRPr="00D16DB1">
        <w:rPr>
          <w:i/>
          <w:lang w:val="es-MX"/>
        </w:rPr>
        <w:t>(iii) las restricciones impuestas por contratos de arrendamiento, tales como las que se refieran a la devolución del resultado positivo (ahorro), devolución de las aportaciones de capital, la distribución de dividendos o distribuciones similares, endeudamiento adicional o a nuevos contratos de arrendamiento.”</w:t>
      </w:r>
    </w:p>
    <w:p w14:paraId="5BCA13F6" w14:textId="77777777" w:rsidR="00D16DB1" w:rsidRPr="00D16DB1" w:rsidRDefault="00D16DB1" w:rsidP="000B404C">
      <w:pPr>
        <w:spacing w:after="0" w:line="240" w:lineRule="auto"/>
        <w:rPr>
          <w:i/>
          <w:lang w:val="es-MX"/>
        </w:rPr>
      </w:pPr>
    </w:p>
    <w:p w14:paraId="726C998F" w14:textId="77777777" w:rsidR="00D16DB1" w:rsidRPr="00D16DB1" w:rsidRDefault="00D16DB1" w:rsidP="000B404C">
      <w:pPr>
        <w:spacing w:after="0" w:line="240" w:lineRule="auto"/>
        <w:rPr>
          <w:i/>
          <w:lang w:val="es-MX"/>
        </w:rPr>
      </w:pPr>
      <w:r w:rsidRPr="00D16DB1">
        <w:rPr>
          <w:i/>
          <w:lang w:val="es-MX"/>
        </w:rPr>
        <w:t>“44. Los arrendatarios revelarán la siguiente información sobre arrendamientos operativos:</w:t>
      </w:r>
    </w:p>
    <w:p w14:paraId="4B4BF0F2" w14:textId="77777777" w:rsidR="00D16DB1" w:rsidRPr="00D16DB1" w:rsidRDefault="00D16DB1" w:rsidP="000B404C">
      <w:pPr>
        <w:spacing w:after="0" w:line="240" w:lineRule="auto"/>
        <w:rPr>
          <w:i/>
          <w:lang w:val="es-MX"/>
        </w:rPr>
      </w:pPr>
      <w:r w:rsidRPr="00D16DB1">
        <w:rPr>
          <w:i/>
          <w:lang w:val="es-MX"/>
        </w:rPr>
        <w:t>(a) el total de pagos mínimos futuros del arrendamiento, derivados de contratos de arrendamiento operativo no cancelables, que se van a satisfacer en los siguientes plazos:</w:t>
      </w:r>
    </w:p>
    <w:p w14:paraId="3B674044" w14:textId="77777777" w:rsidR="00D16DB1" w:rsidRPr="00D16DB1" w:rsidRDefault="00D16DB1" w:rsidP="000B404C">
      <w:pPr>
        <w:spacing w:after="0" w:line="240" w:lineRule="auto"/>
        <w:rPr>
          <w:i/>
          <w:lang w:val="es-MX"/>
        </w:rPr>
      </w:pPr>
      <w:r w:rsidRPr="00D16DB1">
        <w:rPr>
          <w:i/>
          <w:lang w:val="es-MX"/>
        </w:rPr>
        <w:t>(i) hasta un año;</w:t>
      </w:r>
    </w:p>
    <w:p w14:paraId="03194E11" w14:textId="77777777" w:rsidR="00D16DB1" w:rsidRPr="00D16DB1" w:rsidRDefault="00D16DB1" w:rsidP="000B404C">
      <w:pPr>
        <w:spacing w:after="0" w:line="240" w:lineRule="auto"/>
        <w:rPr>
          <w:i/>
          <w:lang w:val="es-MX"/>
        </w:rPr>
      </w:pPr>
      <w:r w:rsidRPr="00D16DB1">
        <w:rPr>
          <w:i/>
          <w:lang w:val="es-MX"/>
        </w:rPr>
        <w:t>(ii) entre uno y cinco años; y</w:t>
      </w:r>
    </w:p>
    <w:p w14:paraId="7CD4A216" w14:textId="77777777" w:rsidR="00D16DB1" w:rsidRPr="00D16DB1" w:rsidRDefault="00D16DB1" w:rsidP="000B404C">
      <w:pPr>
        <w:spacing w:after="0" w:line="240" w:lineRule="auto"/>
        <w:rPr>
          <w:i/>
          <w:lang w:val="es-MX"/>
        </w:rPr>
      </w:pPr>
      <w:r w:rsidRPr="00D16DB1">
        <w:rPr>
          <w:i/>
          <w:lang w:val="es-MX"/>
        </w:rPr>
        <w:lastRenderedPageBreak/>
        <w:t>(iii) más de cinco años.</w:t>
      </w:r>
    </w:p>
    <w:p w14:paraId="045B23E1" w14:textId="77777777" w:rsidR="00D16DB1" w:rsidRPr="00D16DB1" w:rsidRDefault="00D16DB1" w:rsidP="000B404C">
      <w:pPr>
        <w:spacing w:after="0" w:line="240" w:lineRule="auto"/>
        <w:rPr>
          <w:i/>
          <w:lang w:val="es-MX"/>
        </w:rPr>
      </w:pPr>
      <w:r w:rsidRPr="00D16DB1">
        <w:rPr>
          <w:i/>
          <w:lang w:val="es-MX"/>
        </w:rPr>
        <w:t>(b) el total de los pagos futuros mínimos por subarrendamiento que se esperan recibir, en la fecha de presentación, por los subarrendamientos operativos no cancelables;</w:t>
      </w:r>
    </w:p>
    <w:p w14:paraId="377C18EC" w14:textId="77777777" w:rsidR="00D16DB1" w:rsidRPr="00D16DB1" w:rsidRDefault="00D16DB1" w:rsidP="000B404C">
      <w:pPr>
        <w:spacing w:after="0" w:line="240" w:lineRule="auto"/>
        <w:rPr>
          <w:i/>
          <w:lang w:val="es-MX"/>
        </w:rPr>
      </w:pPr>
      <w:r w:rsidRPr="00D16DB1">
        <w:rPr>
          <w:i/>
          <w:lang w:val="es-MX"/>
        </w:rPr>
        <w:t>(c) cuotas de arrendamientos y subarriendos reconocidas como gastos del periodo, revelando por separado los importes de los pagos mínimos por arrendamiento, las cuotas contingentes y las cuotas de subarriendo; y</w:t>
      </w:r>
    </w:p>
    <w:p w14:paraId="2ED4F9B1" w14:textId="77777777" w:rsidR="00D16DB1" w:rsidRPr="00D16DB1" w:rsidRDefault="00D16DB1" w:rsidP="000B404C">
      <w:pPr>
        <w:spacing w:after="0" w:line="240" w:lineRule="auto"/>
        <w:rPr>
          <w:i/>
          <w:lang w:val="es-MX"/>
        </w:rPr>
      </w:pPr>
      <w:r w:rsidRPr="00D16DB1">
        <w:rPr>
          <w:i/>
          <w:lang w:val="es-MX"/>
        </w:rPr>
        <w:t>(d) una descripción general de los acuerdos significativos del arrendamiento llevados a cabo por el arrendatario, donde se incluirán, sin limitarse a ellos, los siguientes datos:</w:t>
      </w:r>
    </w:p>
    <w:p w14:paraId="3B7BBA9E" w14:textId="77777777" w:rsidR="00D16DB1" w:rsidRPr="00D16DB1" w:rsidRDefault="00D16DB1" w:rsidP="000B404C">
      <w:pPr>
        <w:spacing w:after="0" w:line="240" w:lineRule="auto"/>
        <w:rPr>
          <w:i/>
          <w:lang w:val="es-MX"/>
        </w:rPr>
      </w:pPr>
      <w:r w:rsidRPr="00D16DB1">
        <w:rPr>
          <w:i/>
          <w:lang w:val="es-MX"/>
        </w:rPr>
        <w:t>(i) las bases para la determinación de cualquier eventual cuota de carácter contingente que se haya pactado;</w:t>
      </w:r>
    </w:p>
    <w:p w14:paraId="14B30589" w14:textId="77777777" w:rsidR="00D16DB1" w:rsidRPr="00D16DB1" w:rsidRDefault="00D16DB1" w:rsidP="000B404C">
      <w:pPr>
        <w:spacing w:after="0" w:line="240" w:lineRule="auto"/>
        <w:rPr>
          <w:i/>
          <w:lang w:val="es-MX"/>
        </w:rPr>
      </w:pPr>
      <w:r w:rsidRPr="00D16DB1">
        <w:rPr>
          <w:i/>
          <w:lang w:val="es-MX"/>
        </w:rPr>
        <w:t>(ii) la existencia y, en su caso, los plazos de renovación o las opciones de compra y las cláusulas de escalonamiento; y</w:t>
      </w:r>
    </w:p>
    <w:p w14:paraId="32E80CD9" w14:textId="1ACB8522" w:rsidR="00D16DB1" w:rsidRDefault="00D16DB1" w:rsidP="000B404C">
      <w:pPr>
        <w:spacing w:after="0" w:line="240" w:lineRule="auto"/>
        <w:rPr>
          <w:rStyle w:val="nfasis"/>
        </w:rPr>
      </w:pPr>
      <w:r w:rsidRPr="00D16DB1">
        <w:rPr>
          <w:rStyle w:val="nfasis"/>
        </w:rPr>
        <w:t>(iii) las restricciones impuestas por contratos de arrendamiento financiero, tales como las que se refieran a la devolución del resultado positivo (ahorro), devolución de las aportaciones de capital, la distribución de dividendos o distribuciones similares, endeudamiento adicional o a nuevos contratos de arrendamiento</w:t>
      </w:r>
    </w:p>
    <w:p w14:paraId="6AD98E6D" w14:textId="77777777" w:rsidR="000C3947" w:rsidRDefault="000C3947" w:rsidP="000B404C">
      <w:pPr>
        <w:spacing w:after="0" w:line="240" w:lineRule="auto"/>
        <w:rPr>
          <w:rStyle w:val="nfasis"/>
        </w:rPr>
      </w:pPr>
    </w:p>
    <w:p w14:paraId="6B4D7BBE" w14:textId="77777777" w:rsidR="00151BA7" w:rsidRDefault="000C3947" w:rsidP="00151BA7">
      <w:pPr>
        <w:spacing w:line="240" w:lineRule="auto"/>
        <w:rPr>
          <w:b/>
          <w:color w:val="FFFFFF" w:themeColor="background1"/>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p>
    <w:p w14:paraId="08E24C6D" w14:textId="26F049D7" w:rsidR="00151BA7" w:rsidRDefault="00151BA7" w:rsidP="00151BA7">
      <w:pPr>
        <w:spacing w:line="240" w:lineRule="auto"/>
        <w:rPr>
          <w:lang w:val="es-MX"/>
        </w:rPr>
      </w:pPr>
      <w:r>
        <w:rPr>
          <w:lang w:val="es-MX"/>
        </w:rPr>
        <w:t>A la fecha de presentación de los estados financieros la Municipalidad posee únicamente arrendamientos operativos tanto en calidad de arrendatario como de arrendador.</w:t>
      </w:r>
    </w:p>
    <w:p w14:paraId="6C9AAFCA" w14:textId="77777777" w:rsidR="00151BA7" w:rsidRDefault="00151BA7" w:rsidP="00151BA7">
      <w:pPr>
        <w:spacing w:line="240" w:lineRule="auto"/>
        <w:rPr>
          <w:lang w:val="es-MX"/>
        </w:rPr>
      </w:pPr>
      <w:r>
        <w:rPr>
          <w:lang w:val="es-MX"/>
        </w:rPr>
        <w:t>Arrendamientos operacionales en calidad de arrendatario: los pagos se reconocen como un gasto en el estado de rendimientos financieros sobre una base de línea recta durante el término del arrendamiento.</w:t>
      </w:r>
    </w:p>
    <w:p w14:paraId="0556C014" w14:textId="77777777" w:rsidR="00151BA7" w:rsidRDefault="00151BA7" w:rsidP="00151BA7">
      <w:pPr>
        <w:spacing w:line="240" w:lineRule="auto"/>
        <w:rPr>
          <w:lang w:val="es-MX"/>
        </w:rPr>
      </w:pPr>
      <w:r>
        <w:rPr>
          <w:lang w:val="es-MX"/>
        </w:rPr>
        <w:t>Arrendamientos operacionales en calidad de arrendador: los activos arrendados se mantienen en el estado de situación financiera de acuerdo con la naturaleza del activo. Los ingresos ordinarios se reconocen sobre una base de línea recta durante el término del arrendamiento.</w:t>
      </w:r>
    </w:p>
    <w:p w14:paraId="6C137297" w14:textId="77777777" w:rsidR="00151BA7" w:rsidRPr="003516A2" w:rsidRDefault="00151BA7" w:rsidP="00151BA7">
      <w:pPr>
        <w:spacing w:line="240" w:lineRule="auto"/>
        <w:rPr>
          <w:b/>
          <w:color w:val="FFFFFF" w:themeColor="background1"/>
          <w:highlight w:val="darkBlue"/>
          <w:u w:val="single"/>
        </w:rPr>
      </w:pPr>
      <w:r>
        <w:rPr>
          <w:lang w:val="es-MX"/>
        </w:rPr>
        <w:t xml:space="preserve">Los costos directos iniciales incurridos en la negociación y acuerdo del arrendamiento operacional de adicionan al valor en libros del activo arrendado y se reconocen como un gasto durante el término del arrendamiento con la misma base que los ingresos ordinarios del arrendamiento. </w:t>
      </w:r>
    </w:p>
    <w:p w14:paraId="1B64F9FE" w14:textId="77777777" w:rsidR="000C3947" w:rsidRDefault="000C3947" w:rsidP="000C3947">
      <w:pPr>
        <w:spacing w:line="240" w:lineRule="auto"/>
        <w:rPr>
          <w:b/>
          <w:u w:val="single"/>
        </w:rPr>
      </w:pPr>
    </w:p>
    <w:p w14:paraId="0BD73575" w14:textId="77777777" w:rsidR="000C3947" w:rsidRPr="003516A2" w:rsidRDefault="000C3947" w:rsidP="000C3947">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2614A11B" w14:textId="44988D91" w:rsidR="00151BA7" w:rsidRPr="002007F6" w:rsidRDefault="00151BA7" w:rsidP="00151BA7">
      <w:pPr>
        <w:spacing w:line="240" w:lineRule="auto"/>
        <w:rPr>
          <w:lang w:val="es-MX"/>
        </w:rPr>
      </w:pPr>
      <w:r>
        <w:rPr>
          <w:lang w:val="es-MX"/>
        </w:rPr>
        <w:t xml:space="preserve">Los arrendamientos operativos en los que la Municipalidad actúa como arrendatario o </w:t>
      </w:r>
      <w:r w:rsidR="00125A6A">
        <w:rPr>
          <w:lang w:val="es-MX"/>
        </w:rPr>
        <w:t>arrendador</w:t>
      </w:r>
      <w:r>
        <w:rPr>
          <w:lang w:val="es-MX"/>
        </w:rPr>
        <w:t xml:space="preserve"> se miden al valor razonable, el cual incluye el valor del activo y todos los costos directos iniciales adicionales incurridos en la negociación y acuerdo del contrato de arrendamiento.</w:t>
      </w:r>
    </w:p>
    <w:p w14:paraId="0CBF35EF" w14:textId="77777777" w:rsidR="00D16DB1" w:rsidRPr="00D16DB1" w:rsidRDefault="00D16DB1" w:rsidP="00D16DB1">
      <w:pPr>
        <w:spacing w:after="0"/>
        <w:rPr>
          <w:i/>
          <w:lang w:val="es-MX"/>
        </w:rPr>
      </w:pPr>
    </w:p>
    <w:p w14:paraId="0B419D87" w14:textId="5BE2AC21" w:rsidR="00D16DB1" w:rsidRPr="00D16DB1" w:rsidRDefault="00D16DB1" w:rsidP="00D16DB1">
      <w:pPr>
        <w:rPr>
          <w:b/>
          <w:u w:val="single"/>
          <w:lang w:val="es-MX" w:eastAsia="es-CR"/>
        </w:rPr>
      </w:pPr>
      <w:r w:rsidRPr="000C3947">
        <w:rPr>
          <w:b/>
          <w:color w:val="FFFFFF" w:themeColor="background1"/>
          <w:highlight w:val="darkBlue"/>
          <w:u w:val="single"/>
        </w:rPr>
        <w:t>Revelación Suficiente:</w:t>
      </w:r>
      <w:r w:rsidRPr="00D16DB1">
        <w:rPr>
          <w:b/>
          <w:u w:val="single"/>
          <w:lang w:eastAsia="es-CR"/>
        </w:rPr>
        <w:t xml:space="preserve"> </w:t>
      </w:r>
      <w:r w:rsidR="00482942">
        <w:rPr>
          <w:b/>
          <w:u w:val="single"/>
          <w:lang w:eastAsia="es-CR"/>
        </w:rPr>
        <w:t xml:space="preserve">El ente debe revelar y cumplir </w:t>
      </w:r>
      <w:r w:rsidRPr="00D16DB1">
        <w:rPr>
          <w:b/>
          <w:u w:val="single"/>
          <w:lang w:eastAsia="es-CR"/>
        </w:rPr>
        <w:t xml:space="preserve">con lo estipulado en revelación </w:t>
      </w:r>
      <w:r w:rsidR="00482942">
        <w:rPr>
          <w:b/>
          <w:u w:val="single"/>
          <w:lang w:eastAsia="es-CR"/>
        </w:rPr>
        <w:t>conforme</w:t>
      </w:r>
      <w:r w:rsidRPr="00D16DB1">
        <w:rPr>
          <w:b/>
          <w:u w:val="single"/>
          <w:lang w:eastAsia="es-CR"/>
        </w:rPr>
        <w:t xml:space="preserve"> a la NICSP, también debe considerar la política general y los párrafos incluidos en la matriz de autoevaluación referente a esta NICSP y guías de aplicación</w:t>
      </w:r>
      <w:r w:rsidRPr="00D16DB1">
        <w:rPr>
          <w:b/>
          <w:u w:val="single"/>
          <w:lang w:val="es-MX" w:eastAsia="es-CR"/>
        </w:rPr>
        <w:t xml:space="preserve"> (Ver GA NICSP 13):</w:t>
      </w:r>
    </w:p>
    <w:p w14:paraId="0EF518FC" w14:textId="77777777" w:rsidR="00151BA7" w:rsidRDefault="00151BA7" w:rsidP="00151BA7">
      <w:pPr>
        <w:spacing w:after="0" w:line="240" w:lineRule="auto"/>
        <w:rPr>
          <w:lang w:eastAsia="es-CR"/>
        </w:rPr>
      </w:pPr>
      <w:r w:rsidRPr="002D6330">
        <w:rPr>
          <w:b/>
          <w:bCs/>
          <w:lang w:eastAsia="es-CR"/>
        </w:rPr>
        <w:t>Adopción de la dispensa de tres años concedida en la NICSP 33</w:t>
      </w:r>
    </w:p>
    <w:p w14:paraId="6BCC3FBB" w14:textId="77777777" w:rsidR="00151BA7" w:rsidRDefault="00151BA7" w:rsidP="00151BA7">
      <w:pPr>
        <w:spacing w:after="0" w:line="240" w:lineRule="auto"/>
        <w:rPr>
          <w:lang w:eastAsia="es-CR"/>
        </w:rPr>
      </w:pPr>
    </w:p>
    <w:p w14:paraId="15B5CE04" w14:textId="77777777" w:rsidR="00151BA7" w:rsidRDefault="00151BA7" w:rsidP="00151BA7">
      <w:pPr>
        <w:spacing w:after="0" w:line="240" w:lineRule="auto"/>
        <w:rPr>
          <w:lang w:eastAsia="es-CR"/>
        </w:rPr>
      </w:pPr>
      <w:bookmarkStart w:id="54" w:name="_Hlk158793841"/>
      <w:r>
        <w:rPr>
          <w:lang w:eastAsia="es-CR"/>
        </w:rPr>
        <w:t>La Municipalidad se acogió al periodo de dispensa transitorio de tres años para el reconocimiento o medición de activos o pasivos que proporciona la NICSP 33 en los párrafos 36 a 62, para no reconocer activos de acuerdo con las NICSP 16, 17 y 31, el cual finaliza el 31 de diciembre de 2024. Durante este periodo la Municipalidad se encuentra realizando un proceso de cierre de brechas, con el fin de lograr cumplir con los requerimientos exigidos por la NICSP 13 y lograr presentar información razonable sobre los arrendamientos que posee.</w:t>
      </w:r>
    </w:p>
    <w:bookmarkEnd w:id="54"/>
    <w:p w14:paraId="7AAD2446" w14:textId="77777777" w:rsidR="00151BA7" w:rsidRDefault="00151BA7" w:rsidP="00151BA7">
      <w:pPr>
        <w:spacing w:after="0" w:line="240" w:lineRule="auto"/>
        <w:rPr>
          <w:lang w:eastAsia="es-CR"/>
        </w:rPr>
      </w:pPr>
    </w:p>
    <w:p w14:paraId="5F5593CE" w14:textId="77777777" w:rsidR="00151BA7" w:rsidRPr="00385A6C" w:rsidRDefault="00151BA7" w:rsidP="00151BA7">
      <w:pPr>
        <w:spacing w:after="0" w:line="240" w:lineRule="auto"/>
        <w:rPr>
          <w:b/>
          <w:bCs/>
          <w:lang w:eastAsia="es-CR"/>
        </w:rPr>
      </w:pPr>
      <w:r w:rsidRPr="00385A6C">
        <w:rPr>
          <w:b/>
          <w:bCs/>
          <w:lang w:eastAsia="es-CR"/>
        </w:rPr>
        <w:t>Principales Políticas</w:t>
      </w:r>
    </w:p>
    <w:p w14:paraId="711421C5" w14:textId="77777777" w:rsidR="00151BA7" w:rsidRDefault="00151BA7" w:rsidP="00151BA7">
      <w:pPr>
        <w:spacing w:after="0" w:line="240" w:lineRule="auto"/>
        <w:rPr>
          <w:lang w:eastAsia="es-CR"/>
        </w:rPr>
      </w:pPr>
    </w:p>
    <w:p w14:paraId="2C607DE6" w14:textId="77777777" w:rsidR="00151BA7" w:rsidRPr="009E4623" w:rsidRDefault="00151BA7" w:rsidP="00151BA7">
      <w:pPr>
        <w:spacing w:after="0" w:line="240" w:lineRule="auto"/>
        <w:rPr>
          <w:szCs w:val="24"/>
          <w:lang w:eastAsia="es-CR"/>
        </w:rPr>
      </w:pPr>
      <w:r w:rsidRPr="009E4623">
        <w:rPr>
          <w:szCs w:val="24"/>
          <w:lang w:eastAsia="es-CR"/>
        </w:rPr>
        <w:t xml:space="preserve">Los ingresos y gastos originados por concepto de arrendamientos operativos se clasificarán </w:t>
      </w:r>
      <w:r w:rsidRPr="009E4623">
        <w:rPr>
          <w:szCs w:val="24"/>
        </w:rPr>
        <w:t xml:space="preserve">de forma lineal a lo largo del plazo de arrendamiento </w:t>
      </w:r>
      <w:r w:rsidRPr="009E4623">
        <w:rPr>
          <w:szCs w:val="24"/>
          <w:lang w:eastAsia="es-CR"/>
        </w:rPr>
        <w:t>en el ERF según corresponda (ingresos con contraprestación o gastos de operación).</w:t>
      </w:r>
    </w:p>
    <w:p w14:paraId="0CCAB9CC" w14:textId="77777777" w:rsidR="00151BA7" w:rsidRPr="009E4623" w:rsidRDefault="00151BA7" w:rsidP="00151BA7">
      <w:pPr>
        <w:spacing w:after="0" w:line="240" w:lineRule="auto"/>
        <w:rPr>
          <w:szCs w:val="24"/>
          <w:lang w:eastAsia="es-CR"/>
        </w:rPr>
      </w:pPr>
    </w:p>
    <w:p w14:paraId="58468766" w14:textId="77777777" w:rsidR="00151BA7" w:rsidRPr="009E4623" w:rsidRDefault="00151BA7" w:rsidP="00151BA7">
      <w:pPr>
        <w:spacing w:after="0" w:line="240" w:lineRule="auto"/>
        <w:rPr>
          <w:szCs w:val="24"/>
        </w:rPr>
      </w:pPr>
      <w:r w:rsidRPr="009E4623">
        <w:rPr>
          <w:szCs w:val="24"/>
        </w:rPr>
        <w:t>Los pagos de arrendamientos financieros relativos a cada período contable, una vez excluidos los costos por servicios, se destinarán a cubrir la inversión bruta en el arrendamiento, reduciendo tanto el principal como los ingresos financieros no acumulados (no devengados).</w:t>
      </w:r>
    </w:p>
    <w:p w14:paraId="24C5280D" w14:textId="77777777" w:rsidR="00151BA7" w:rsidRPr="009E4623" w:rsidRDefault="00151BA7" w:rsidP="00151BA7">
      <w:pPr>
        <w:spacing w:after="0" w:line="240" w:lineRule="auto"/>
        <w:rPr>
          <w:szCs w:val="24"/>
        </w:rPr>
      </w:pPr>
    </w:p>
    <w:p w14:paraId="3A9E45F4" w14:textId="77777777" w:rsidR="00151BA7" w:rsidRPr="009E4623" w:rsidRDefault="00151BA7" w:rsidP="00151BA7">
      <w:pPr>
        <w:autoSpaceDE w:val="0"/>
        <w:autoSpaceDN w:val="0"/>
        <w:adjustRightInd w:val="0"/>
        <w:spacing w:after="0" w:line="240" w:lineRule="auto"/>
        <w:jc w:val="left"/>
        <w:rPr>
          <w:rFonts w:cs="Arial"/>
          <w:color w:val="000000"/>
          <w:szCs w:val="24"/>
        </w:rPr>
      </w:pPr>
      <w:r w:rsidRPr="009E4623">
        <w:rPr>
          <w:rFonts w:cs="Arial"/>
          <w:color w:val="000000"/>
          <w:szCs w:val="24"/>
        </w:rPr>
        <w:t>L</w:t>
      </w:r>
      <w:r>
        <w:rPr>
          <w:rFonts w:cs="Arial"/>
          <w:color w:val="000000"/>
          <w:szCs w:val="24"/>
        </w:rPr>
        <w:t xml:space="preserve">a Municipalidad </w:t>
      </w:r>
      <w:r w:rsidRPr="009E4623">
        <w:rPr>
          <w:rFonts w:cs="Arial"/>
          <w:color w:val="000000"/>
          <w:szCs w:val="24"/>
        </w:rPr>
        <w:t>revelará</w:t>
      </w:r>
      <w:r>
        <w:rPr>
          <w:rFonts w:cs="Arial"/>
          <w:color w:val="000000"/>
          <w:szCs w:val="24"/>
        </w:rPr>
        <w:t xml:space="preserve"> </w:t>
      </w:r>
      <w:r w:rsidRPr="009E4623">
        <w:rPr>
          <w:rFonts w:cs="Arial"/>
          <w:color w:val="000000"/>
          <w:szCs w:val="24"/>
        </w:rPr>
        <w:t xml:space="preserve">sobre arrendamientos operativos: </w:t>
      </w:r>
    </w:p>
    <w:p w14:paraId="64EE6333" w14:textId="77777777" w:rsidR="00151BA7" w:rsidRDefault="00151BA7" w:rsidP="007F4626">
      <w:pPr>
        <w:pStyle w:val="Prrafodelista"/>
        <w:numPr>
          <w:ilvl w:val="0"/>
          <w:numId w:val="31"/>
        </w:numPr>
        <w:autoSpaceDE w:val="0"/>
        <w:autoSpaceDN w:val="0"/>
        <w:adjustRightInd w:val="0"/>
        <w:spacing w:after="20" w:line="240" w:lineRule="auto"/>
        <w:ind w:left="284" w:hanging="284"/>
        <w:jc w:val="left"/>
        <w:rPr>
          <w:rFonts w:cs="Arial"/>
          <w:color w:val="000000"/>
          <w:szCs w:val="24"/>
        </w:rPr>
      </w:pPr>
      <w:r w:rsidRPr="00285CAD">
        <w:rPr>
          <w:rFonts w:cs="Arial"/>
          <w:color w:val="000000"/>
          <w:szCs w:val="24"/>
        </w:rPr>
        <w:t xml:space="preserve">los activos afectados a arrendamientos operativos, de acuerdo con la naturaleza de tales bienes; </w:t>
      </w:r>
    </w:p>
    <w:p w14:paraId="28609942" w14:textId="77777777" w:rsidR="00151BA7" w:rsidRPr="00285CAD" w:rsidRDefault="00151BA7" w:rsidP="007F4626">
      <w:pPr>
        <w:pStyle w:val="Prrafodelista"/>
        <w:numPr>
          <w:ilvl w:val="0"/>
          <w:numId w:val="31"/>
        </w:numPr>
        <w:autoSpaceDE w:val="0"/>
        <w:autoSpaceDN w:val="0"/>
        <w:adjustRightInd w:val="0"/>
        <w:spacing w:after="20" w:line="240" w:lineRule="auto"/>
        <w:ind w:left="284" w:hanging="284"/>
        <w:jc w:val="left"/>
        <w:rPr>
          <w:rFonts w:cs="Arial"/>
          <w:color w:val="000000"/>
          <w:szCs w:val="24"/>
        </w:rPr>
      </w:pPr>
      <w:r w:rsidRPr="00285CAD">
        <w:rPr>
          <w:rFonts w:cs="Arial"/>
          <w:color w:val="000000"/>
          <w:szCs w:val="24"/>
        </w:rPr>
        <w:t xml:space="preserve">el importe acumulado de los pagos mínimos futuros del arrendamiento, correspondientes a los arrendamientos operativos no cancelables, así como la distribución de dichos pagos futuros según los siguientes plazos: </w:t>
      </w:r>
    </w:p>
    <w:p w14:paraId="1CE44AE0" w14:textId="77777777" w:rsidR="00151BA7" w:rsidRPr="009E4623" w:rsidRDefault="00151BA7" w:rsidP="007F4626">
      <w:pPr>
        <w:numPr>
          <w:ilvl w:val="1"/>
          <w:numId w:val="32"/>
        </w:numPr>
        <w:autoSpaceDE w:val="0"/>
        <w:autoSpaceDN w:val="0"/>
        <w:adjustRightInd w:val="0"/>
        <w:spacing w:after="18" w:line="240" w:lineRule="auto"/>
        <w:jc w:val="left"/>
        <w:rPr>
          <w:rFonts w:cs="Arial"/>
          <w:color w:val="000000"/>
          <w:szCs w:val="24"/>
        </w:rPr>
      </w:pPr>
      <w:r w:rsidRPr="009E4623">
        <w:rPr>
          <w:rFonts w:cs="Arial"/>
          <w:color w:val="000000"/>
          <w:szCs w:val="24"/>
        </w:rPr>
        <w:t xml:space="preserve">a. hasta un año; </w:t>
      </w:r>
    </w:p>
    <w:p w14:paraId="7D193B4E" w14:textId="77777777" w:rsidR="00151BA7" w:rsidRPr="009E4623" w:rsidRDefault="00151BA7" w:rsidP="007F4626">
      <w:pPr>
        <w:numPr>
          <w:ilvl w:val="1"/>
          <w:numId w:val="32"/>
        </w:numPr>
        <w:autoSpaceDE w:val="0"/>
        <w:autoSpaceDN w:val="0"/>
        <w:adjustRightInd w:val="0"/>
        <w:spacing w:after="18" w:line="240" w:lineRule="auto"/>
        <w:jc w:val="left"/>
        <w:rPr>
          <w:rFonts w:cs="Arial"/>
          <w:color w:val="000000"/>
          <w:szCs w:val="24"/>
        </w:rPr>
      </w:pPr>
      <w:r w:rsidRPr="009E4623">
        <w:rPr>
          <w:rFonts w:cs="Arial"/>
          <w:color w:val="000000"/>
          <w:szCs w:val="24"/>
        </w:rPr>
        <w:t xml:space="preserve">b. entre uno y cinco años; </w:t>
      </w:r>
    </w:p>
    <w:p w14:paraId="4C050790" w14:textId="77777777" w:rsidR="00151BA7" w:rsidRPr="009E4623" w:rsidRDefault="00151BA7" w:rsidP="007F4626">
      <w:pPr>
        <w:numPr>
          <w:ilvl w:val="1"/>
          <w:numId w:val="32"/>
        </w:numPr>
        <w:autoSpaceDE w:val="0"/>
        <w:autoSpaceDN w:val="0"/>
        <w:adjustRightInd w:val="0"/>
        <w:spacing w:after="0" w:line="240" w:lineRule="auto"/>
        <w:jc w:val="left"/>
        <w:rPr>
          <w:rFonts w:cs="Arial"/>
          <w:color w:val="000000"/>
          <w:szCs w:val="24"/>
        </w:rPr>
      </w:pPr>
      <w:r w:rsidRPr="009E4623">
        <w:rPr>
          <w:rFonts w:cs="Arial"/>
          <w:color w:val="000000"/>
          <w:szCs w:val="24"/>
        </w:rPr>
        <w:t xml:space="preserve">c. más de cinco años; </w:t>
      </w:r>
    </w:p>
    <w:p w14:paraId="77FFEC43" w14:textId="77777777" w:rsidR="00151BA7" w:rsidRDefault="00151BA7" w:rsidP="007F4626">
      <w:pPr>
        <w:pStyle w:val="Prrafodelista"/>
        <w:numPr>
          <w:ilvl w:val="0"/>
          <w:numId w:val="31"/>
        </w:numPr>
        <w:autoSpaceDE w:val="0"/>
        <w:autoSpaceDN w:val="0"/>
        <w:adjustRightInd w:val="0"/>
        <w:spacing w:after="20" w:line="240" w:lineRule="auto"/>
        <w:ind w:left="284" w:hanging="284"/>
        <w:jc w:val="left"/>
        <w:rPr>
          <w:rFonts w:cs="Arial"/>
          <w:color w:val="000000"/>
          <w:szCs w:val="24"/>
        </w:rPr>
      </w:pPr>
      <w:r w:rsidRPr="009E4623">
        <w:rPr>
          <w:rFonts w:cs="Arial"/>
          <w:color w:val="000000"/>
          <w:szCs w:val="24"/>
        </w:rPr>
        <w:t xml:space="preserve">el total de las cuotas de carácter contingente reconocidas en el estado de rendimiento financiero del período; y </w:t>
      </w:r>
    </w:p>
    <w:p w14:paraId="3017B516" w14:textId="77777777" w:rsidR="00151BA7" w:rsidRPr="009E4623" w:rsidRDefault="00151BA7" w:rsidP="007F4626">
      <w:pPr>
        <w:pStyle w:val="Prrafodelista"/>
        <w:numPr>
          <w:ilvl w:val="0"/>
          <w:numId w:val="31"/>
        </w:numPr>
        <w:autoSpaceDE w:val="0"/>
        <w:autoSpaceDN w:val="0"/>
        <w:adjustRightInd w:val="0"/>
        <w:spacing w:after="20" w:line="240" w:lineRule="auto"/>
        <w:ind w:left="284" w:hanging="284"/>
        <w:jc w:val="left"/>
        <w:rPr>
          <w:rFonts w:cs="Arial"/>
          <w:color w:val="000000"/>
          <w:szCs w:val="24"/>
        </w:rPr>
      </w:pPr>
      <w:r w:rsidRPr="009E4623">
        <w:rPr>
          <w:rFonts w:cs="Arial"/>
          <w:color w:val="000000"/>
          <w:szCs w:val="24"/>
        </w:rPr>
        <w:t xml:space="preserve">una descripción general de las condiciones de los arrendamientos acordados. </w:t>
      </w:r>
    </w:p>
    <w:p w14:paraId="188AD274" w14:textId="77777777" w:rsidR="00151BA7" w:rsidRDefault="00151BA7" w:rsidP="00151BA7"/>
    <w:p w14:paraId="20B86E3B" w14:textId="77777777" w:rsidR="00151BA7" w:rsidRPr="00385A6C" w:rsidRDefault="00151BA7" w:rsidP="00151BA7">
      <w:pPr>
        <w:spacing w:after="0" w:line="240" w:lineRule="auto"/>
        <w:rPr>
          <w:b/>
          <w:bCs/>
          <w:lang w:eastAsia="es-CR"/>
        </w:rPr>
      </w:pPr>
      <w:r w:rsidRPr="00385A6C">
        <w:rPr>
          <w:b/>
          <w:bCs/>
          <w:lang w:eastAsia="es-CR"/>
        </w:rPr>
        <w:t>Otras Revelaciones</w:t>
      </w:r>
    </w:p>
    <w:p w14:paraId="5E6988DA" w14:textId="77777777" w:rsidR="00151BA7" w:rsidRDefault="00151BA7" w:rsidP="00151BA7">
      <w:pPr>
        <w:spacing w:after="0" w:line="240" w:lineRule="auto"/>
      </w:pPr>
    </w:p>
    <w:p w14:paraId="11B3EE9C" w14:textId="77777777" w:rsidR="00151BA7" w:rsidRPr="005C6BF2" w:rsidRDefault="00151BA7" w:rsidP="00151BA7">
      <w:pPr>
        <w:spacing w:after="0" w:line="240" w:lineRule="auto"/>
      </w:pPr>
      <w:r>
        <w:t>En relación con la NICSP 13, es pertinente señalar que l</w:t>
      </w:r>
      <w:r w:rsidRPr="005C6BF2">
        <w:t>a Municipalidad de Buenos Aires, en cumplimiento del mandato legal establecido por medio del artículo 3 del Código Municipal de velar por los intereses y servicios cantonales, destina varios espacios públicos de su propiedad para promover el desarrollo cantonal y apoyar a su ciudadanía en su fortalecimiento económico y promoción de fuentes de empleo en el Cantón.</w:t>
      </w:r>
    </w:p>
    <w:p w14:paraId="3ED5A13A" w14:textId="77777777" w:rsidR="00151BA7" w:rsidRPr="005C6BF2" w:rsidRDefault="00151BA7" w:rsidP="00151BA7">
      <w:pPr>
        <w:spacing w:after="0" w:line="240" w:lineRule="auto"/>
      </w:pPr>
    </w:p>
    <w:p w14:paraId="2496FDA5" w14:textId="77777777" w:rsidR="00151BA7" w:rsidRDefault="00151BA7" w:rsidP="00151BA7">
      <w:pPr>
        <w:spacing w:after="0" w:line="240" w:lineRule="auto"/>
      </w:pPr>
      <w:r>
        <w:t>Como parte del proceso de implementación la Municipalidad se encuentra realizando un estudio sobre los bienes municipales dados en arrendamiento, localizando los contratos para establecer su existencia y Vigencia.</w:t>
      </w:r>
    </w:p>
    <w:p w14:paraId="4F8D7909" w14:textId="77777777" w:rsidR="00151BA7" w:rsidRDefault="00151BA7" w:rsidP="00151BA7">
      <w:pPr>
        <w:spacing w:after="0" w:line="240" w:lineRule="auto"/>
      </w:pPr>
    </w:p>
    <w:p w14:paraId="01691CCC" w14:textId="77777777" w:rsidR="00151BA7" w:rsidRDefault="00151BA7" w:rsidP="00151BA7">
      <w:pPr>
        <w:spacing w:after="0" w:line="240" w:lineRule="auto"/>
      </w:pPr>
      <w:r>
        <w:t xml:space="preserve">Al respecto, se tienen identificados los siguientes bienes dados en </w:t>
      </w:r>
      <w:r w:rsidRPr="005C6BF2">
        <w:t>arriend</w:t>
      </w:r>
      <w:r>
        <w:t>o operativo:</w:t>
      </w:r>
      <w:r w:rsidRPr="005C6BF2">
        <w:t xml:space="preserve"> diecisiete (17) locales ubicados en el mercado municipal, en el cual se desarrollan actividades comerciales como bazar, zapaterías, sodas, verdulerías, panaderías, entre otras. También</w:t>
      </w:r>
      <w:r>
        <w:t>,</w:t>
      </w:r>
      <w:r w:rsidRPr="005C6BF2">
        <w:t xml:space="preserve"> arrienda tres (3) locales </w:t>
      </w:r>
      <w:r w:rsidRPr="005C6BF2">
        <w:lastRenderedPageBreak/>
        <w:t xml:space="preserve">ubicados en </w:t>
      </w:r>
      <w:bookmarkStart w:id="55" w:name="_Hlk78148474"/>
      <w:r w:rsidRPr="005C6BF2">
        <w:t>la terminal de autobuses</w:t>
      </w:r>
      <w:bookmarkEnd w:id="55"/>
      <w:r w:rsidRPr="005C6BF2">
        <w:t>, con la intención de coadyuvar a la actividad comercial del Cantón. Por último y con el fin de promover un desarrollo urbano controlado, mantiene en operación 7 espacios físicos destinado para terminal de autobuses, que brinda facilidades, tanto a los empresarios como a los usuarios del servicio de transporte colectivo.</w:t>
      </w:r>
    </w:p>
    <w:p w14:paraId="38827F5F" w14:textId="77777777" w:rsidR="00151BA7" w:rsidRDefault="00151BA7" w:rsidP="00151BA7">
      <w:pPr>
        <w:spacing w:after="0" w:line="240" w:lineRule="auto"/>
      </w:pPr>
    </w:p>
    <w:p w14:paraId="015D4160" w14:textId="77777777" w:rsidR="00151BA7" w:rsidRPr="00386000" w:rsidRDefault="00151BA7" w:rsidP="00151BA7">
      <w:pPr>
        <w:spacing w:after="0" w:line="240" w:lineRule="auto"/>
      </w:pPr>
      <w:r w:rsidRPr="00386000">
        <w:t>De acuerdo con la información suministrada por la Unidad Primaria de Registro el detalle los arrendamientos operativos mencionados es el siguiente:</w:t>
      </w:r>
    </w:p>
    <w:p w14:paraId="71A1A0FE" w14:textId="77777777" w:rsidR="00151BA7" w:rsidRPr="00151BA7" w:rsidRDefault="00151BA7" w:rsidP="00151BA7">
      <w:pPr>
        <w:pStyle w:val="NormalWeb"/>
        <w:spacing w:before="0" w:beforeAutospacing="0" w:after="0" w:afterAutospacing="0"/>
        <w:rPr>
          <w:rFonts w:ascii="Arial Narrow" w:hAnsi="Arial Narrow"/>
          <w:sz w:val="22"/>
          <w:szCs w:val="22"/>
          <w:highlight w:val="yellow"/>
        </w:rPr>
      </w:pPr>
    </w:p>
    <w:p w14:paraId="60AA150D" w14:textId="77777777" w:rsidR="00151BA7" w:rsidRPr="00151BA7" w:rsidRDefault="00151BA7" w:rsidP="00151BA7">
      <w:pPr>
        <w:spacing w:after="0" w:line="240" w:lineRule="auto"/>
        <w:rPr>
          <w:highlight w:val="yellow"/>
        </w:rPr>
      </w:pPr>
      <w:r w:rsidRPr="00386000">
        <w:rPr>
          <w:noProof/>
          <w:lang w:eastAsia="es-CR"/>
        </w:rPr>
        <w:drawing>
          <wp:inline distT="0" distB="0" distL="0" distR="0" wp14:anchorId="714696DD" wp14:editId="3C1690F3">
            <wp:extent cx="5612130" cy="1393190"/>
            <wp:effectExtent l="0" t="0" r="762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1393190"/>
                    </a:xfrm>
                    <a:prstGeom prst="rect">
                      <a:avLst/>
                    </a:prstGeom>
                    <a:noFill/>
                    <a:ln>
                      <a:noFill/>
                    </a:ln>
                  </pic:spPr>
                </pic:pic>
              </a:graphicData>
            </a:graphic>
          </wp:inline>
        </w:drawing>
      </w:r>
    </w:p>
    <w:p w14:paraId="77F684F0" w14:textId="77777777" w:rsidR="00151BA7" w:rsidRPr="00AC3AF5" w:rsidRDefault="00151BA7" w:rsidP="00151BA7">
      <w:pPr>
        <w:spacing w:after="0" w:line="240" w:lineRule="auto"/>
        <w:ind w:right="51"/>
        <w:rPr>
          <w:sz w:val="22"/>
          <w:lang w:eastAsia="es-CR"/>
        </w:rPr>
      </w:pPr>
    </w:p>
    <w:p w14:paraId="4756D6A2" w14:textId="77777777" w:rsidR="00151BA7" w:rsidRPr="00AC3AF5" w:rsidRDefault="00151BA7" w:rsidP="00151BA7">
      <w:pPr>
        <w:spacing w:after="0" w:line="240" w:lineRule="auto"/>
      </w:pPr>
      <w:r w:rsidRPr="00AC3AF5">
        <w:t>Como se indicó anteriormente, la información contenida el cuadro consignado está siendo objeto de revisión para establecer su corrección. Como parte del trabajo realizado debe indicarse que aun falta de ubicar algunos contratos.</w:t>
      </w:r>
    </w:p>
    <w:p w14:paraId="6974F0F9" w14:textId="77777777" w:rsidR="00151BA7" w:rsidRPr="00151BA7" w:rsidRDefault="00151BA7" w:rsidP="00151BA7">
      <w:pPr>
        <w:spacing w:after="0" w:line="240" w:lineRule="auto"/>
        <w:rPr>
          <w:highlight w:val="yellow"/>
        </w:rPr>
      </w:pPr>
    </w:p>
    <w:p w14:paraId="464D5E6B" w14:textId="77777777" w:rsidR="00151BA7" w:rsidRPr="009033A6" w:rsidRDefault="00151BA7" w:rsidP="00151BA7">
      <w:pPr>
        <w:spacing w:after="0" w:line="240" w:lineRule="auto"/>
      </w:pPr>
      <w:bookmarkStart w:id="56" w:name="_Hlk158794162"/>
      <w:r w:rsidRPr="009033A6">
        <w:t xml:space="preserve">Por otra parte, la Municipalidad tiene en arrendamiento operativo </w:t>
      </w:r>
      <w:bookmarkStart w:id="57" w:name="_Hlk78148505"/>
      <w:r w:rsidRPr="009033A6">
        <w:t>el edificio donde se ubica las oficinas de nuestra Unidad Técnica de Gestión Vial Municipal</w:t>
      </w:r>
      <w:bookmarkEnd w:id="57"/>
      <w:r w:rsidRPr="009033A6">
        <w:t xml:space="preserve"> por el cual la Municipalidad. Dicho edificio pertenece al Sr. Henry H. </w:t>
      </w:r>
      <w:proofErr w:type="spellStart"/>
      <w:r w:rsidRPr="009033A6">
        <w:t>Braddock</w:t>
      </w:r>
      <w:proofErr w:type="spellEnd"/>
      <w:r w:rsidRPr="009033A6">
        <w:t xml:space="preserve"> </w:t>
      </w:r>
      <w:proofErr w:type="spellStart"/>
      <w:r w:rsidRPr="009033A6">
        <w:t>Stradtmann</w:t>
      </w:r>
      <w:proofErr w:type="spellEnd"/>
      <w:r w:rsidRPr="009033A6">
        <w:t xml:space="preserve">, por dicho inmueble la Municipalidad cancela la suma de </w:t>
      </w:r>
      <w:r w:rsidRPr="009033A6">
        <w:rPr>
          <w:rFonts w:ascii="Arial" w:eastAsia="Times New Roman" w:hAnsi="Arial" w:cs="Arial"/>
          <w:color w:val="000000"/>
          <w:sz w:val="20"/>
          <w:szCs w:val="20"/>
        </w:rPr>
        <w:t>₡14 000 000,00 anuales (₡</w:t>
      </w:r>
      <w:r w:rsidRPr="009033A6">
        <w:t>1 200 000,00 colones mensuales), de acuerdo con lo establecido en el Contrato Número 0432019000400276-03 del 19 de enero de 2023, cuya vigencia es del 13 de enero 2023 al 12 de enero de 2024, prorrogable por tres años.</w:t>
      </w:r>
    </w:p>
    <w:bookmarkEnd w:id="56"/>
    <w:p w14:paraId="212C002C" w14:textId="77777777" w:rsidR="00151BA7" w:rsidRPr="009033A6" w:rsidRDefault="00151BA7" w:rsidP="00151BA7">
      <w:pPr>
        <w:autoSpaceDE w:val="0"/>
        <w:autoSpaceDN w:val="0"/>
        <w:adjustRightInd w:val="0"/>
        <w:spacing w:after="0" w:line="240" w:lineRule="auto"/>
        <w:jc w:val="left"/>
        <w:rPr>
          <w:rFonts w:ascii="Arial" w:hAnsi="Arial" w:cs="Arial"/>
          <w:color w:val="000000"/>
          <w:szCs w:val="24"/>
        </w:rPr>
      </w:pPr>
    </w:p>
    <w:p w14:paraId="300F4E89" w14:textId="0760E430" w:rsidR="00151BA7" w:rsidRPr="009033A6" w:rsidRDefault="00151BA7" w:rsidP="00151BA7">
      <w:pPr>
        <w:spacing w:line="240" w:lineRule="auto"/>
        <w:rPr>
          <w:szCs w:val="24"/>
          <w:lang w:eastAsia="es-CR"/>
        </w:rPr>
      </w:pPr>
      <w:r w:rsidRPr="009033A6">
        <w:rPr>
          <w:szCs w:val="24"/>
          <w:lang w:eastAsia="es-CR"/>
        </w:rPr>
        <w:t xml:space="preserve">De acuerdo con lo consignado en la Matriz de NICSP y Plan de Acción al </w:t>
      </w:r>
      <w:r w:rsidR="00796636" w:rsidRPr="009033A6">
        <w:rPr>
          <w:szCs w:val="24"/>
          <w:lang w:eastAsia="es-CR"/>
        </w:rPr>
        <w:t>31</w:t>
      </w:r>
      <w:r w:rsidRPr="009033A6">
        <w:rPr>
          <w:szCs w:val="24"/>
          <w:lang w:eastAsia="es-CR"/>
        </w:rPr>
        <w:t xml:space="preserve"> de </w:t>
      </w:r>
      <w:r w:rsidR="00D64CF8" w:rsidRPr="009033A6">
        <w:rPr>
          <w:szCs w:val="24"/>
          <w:lang w:eastAsia="es-CR"/>
        </w:rPr>
        <w:t>diciembre</w:t>
      </w:r>
      <w:r w:rsidRPr="009033A6">
        <w:rPr>
          <w:szCs w:val="24"/>
          <w:lang w:eastAsia="es-CR"/>
        </w:rPr>
        <w:t xml:space="preserve"> se encuentra pendiente de implementar lo siguiente:</w:t>
      </w:r>
      <w:r w:rsidR="00AC3AF5" w:rsidRPr="009033A6">
        <w:rPr>
          <w:szCs w:val="24"/>
          <w:lang w:eastAsia="es-CR"/>
        </w:rPr>
        <w:t xml:space="preserve"> </w:t>
      </w:r>
    </w:p>
    <w:tbl>
      <w:tblPr>
        <w:tblW w:w="8779" w:type="dxa"/>
        <w:tblLook w:val="04A0" w:firstRow="1" w:lastRow="0" w:firstColumn="1" w:lastColumn="0" w:noHBand="0" w:noVBand="1"/>
      </w:tblPr>
      <w:tblGrid>
        <w:gridCol w:w="7361"/>
        <w:gridCol w:w="1418"/>
      </w:tblGrid>
      <w:tr w:rsidR="00151BA7" w:rsidRPr="009033A6" w14:paraId="7AE8BD37" w14:textId="77777777" w:rsidTr="0061790F">
        <w:trPr>
          <w:trHeight w:val="530"/>
        </w:trPr>
        <w:tc>
          <w:tcPr>
            <w:tcW w:w="736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6449A3C" w14:textId="77777777" w:rsidR="00151BA7" w:rsidRPr="009033A6" w:rsidRDefault="00151BA7" w:rsidP="0061790F">
            <w:pPr>
              <w:spacing w:after="0" w:line="240" w:lineRule="auto"/>
              <w:jc w:val="center"/>
              <w:rPr>
                <w:rFonts w:eastAsia="Times New Roman" w:cs="Calibri"/>
                <w:b/>
                <w:bCs/>
                <w:sz w:val="20"/>
                <w:szCs w:val="20"/>
                <w:lang w:val="en-US"/>
              </w:rPr>
            </w:pPr>
            <w:proofErr w:type="spellStart"/>
            <w:r w:rsidRPr="009033A6">
              <w:rPr>
                <w:rFonts w:eastAsia="Times New Roman" w:cs="Calibri"/>
                <w:b/>
                <w:bCs/>
                <w:sz w:val="20"/>
                <w:szCs w:val="20"/>
                <w:lang w:val="en-US"/>
              </w:rPr>
              <w:t>Actividades</w:t>
            </w:r>
            <w:proofErr w:type="spellEnd"/>
            <w:r w:rsidRPr="009033A6">
              <w:rPr>
                <w:rFonts w:eastAsia="Times New Roman" w:cs="Calibri"/>
                <w:b/>
                <w:bCs/>
                <w:sz w:val="20"/>
                <w:szCs w:val="20"/>
                <w:lang w:val="en-US"/>
              </w:rPr>
              <w:t xml:space="preserve"> </w:t>
            </w:r>
            <w:proofErr w:type="spellStart"/>
            <w:r w:rsidRPr="009033A6">
              <w:rPr>
                <w:rFonts w:eastAsia="Times New Roman" w:cs="Calibri"/>
                <w:b/>
                <w:bCs/>
                <w:sz w:val="20"/>
                <w:szCs w:val="20"/>
                <w:lang w:val="en-US"/>
              </w:rPr>
              <w:t>Pendientes</w:t>
            </w:r>
            <w:proofErr w:type="spellEnd"/>
            <w:r w:rsidRPr="009033A6">
              <w:rPr>
                <w:rFonts w:eastAsia="Times New Roman" w:cs="Calibri"/>
                <w:b/>
                <w:bCs/>
                <w:sz w:val="20"/>
                <w:szCs w:val="20"/>
                <w:lang w:val="en-US"/>
              </w:rPr>
              <w:t xml:space="preserve"> de </w:t>
            </w:r>
            <w:proofErr w:type="spellStart"/>
            <w:r w:rsidRPr="009033A6">
              <w:rPr>
                <w:rFonts w:eastAsia="Times New Roman" w:cs="Calibri"/>
                <w:b/>
                <w:bCs/>
                <w:sz w:val="20"/>
                <w:szCs w:val="20"/>
                <w:lang w:val="en-US"/>
              </w:rPr>
              <w:t>Cumplimiento</w:t>
            </w:r>
            <w:proofErr w:type="spellEnd"/>
          </w:p>
        </w:tc>
        <w:tc>
          <w:tcPr>
            <w:tcW w:w="1418" w:type="dxa"/>
            <w:tcBorders>
              <w:top w:val="single" w:sz="8" w:space="0" w:color="auto"/>
              <w:left w:val="nil"/>
              <w:bottom w:val="single" w:sz="4" w:space="0" w:color="auto"/>
              <w:right w:val="single" w:sz="8" w:space="0" w:color="auto"/>
            </w:tcBorders>
            <w:shd w:val="clear" w:color="000000" w:fill="FFFFFF"/>
            <w:vAlign w:val="bottom"/>
            <w:hideMark/>
          </w:tcPr>
          <w:p w14:paraId="20DDE00B" w14:textId="77777777" w:rsidR="00151BA7" w:rsidRPr="009033A6" w:rsidRDefault="00151BA7" w:rsidP="0061790F">
            <w:pPr>
              <w:spacing w:after="0" w:line="240" w:lineRule="auto"/>
              <w:jc w:val="center"/>
              <w:rPr>
                <w:rFonts w:eastAsia="Times New Roman" w:cs="Calibri"/>
                <w:b/>
                <w:bCs/>
                <w:color w:val="000000"/>
                <w:sz w:val="20"/>
                <w:szCs w:val="20"/>
                <w:lang w:val="en-US"/>
              </w:rPr>
            </w:pPr>
            <w:proofErr w:type="spellStart"/>
            <w:r w:rsidRPr="009033A6">
              <w:rPr>
                <w:rFonts w:eastAsia="Times New Roman" w:cs="Calibri"/>
                <w:b/>
                <w:bCs/>
                <w:color w:val="000000"/>
                <w:sz w:val="20"/>
                <w:szCs w:val="20"/>
                <w:lang w:val="en-US"/>
              </w:rPr>
              <w:t>Fecha</w:t>
            </w:r>
            <w:proofErr w:type="spellEnd"/>
            <w:r w:rsidRPr="009033A6">
              <w:rPr>
                <w:rFonts w:eastAsia="Times New Roman" w:cs="Calibri"/>
                <w:b/>
                <w:bCs/>
                <w:color w:val="000000"/>
                <w:sz w:val="20"/>
                <w:szCs w:val="20"/>
                <w:lang w:val="en-US"/>
              </w:rPr>
              <w:t xml:space="preserve"> </w:t>
            </w:r>
            <w:proofErr w:type="spellStart"/>
            <w:r w:rsidRPr="009033A6">
              <w:rPr>
                <w:rFonts w:eastAsia="Times New Roman" w:cs="Calibri"/>
                <w:b/>
                <w:bCs/>
                <w:color w:val="000000"/>
                <w:sz w:val="20"/>
                <w:szCs w:val="20"/>
                <w:lang w:val="en-US"/>
              </w:rPr>
              <w:t>Estimada</w:t>
            </w:r>
            <w:proofErr w:type="spellEnd"/>
            <w:r w:rsidRPr="009033A6">
              <w:rPr>
                <w:rFonts w:eastAsia="Times New Roman" w:cs="Calibri"/>
                <w:b/>
                <w:bCs/>
                <w:color w:val="000000"/>
                <w:sz w:val="20"/>
                <w:szCs w:val="20"/>
                <w:lang w:val="en-US"/>
              </w:rPr>
              <w:t xml:space="preserve"> </w:t>
            </w:r>
            <w:proofErr w:type="spellStart"/>
            <w:r w:rsidRPr="009033A6">
              <w:rPr>
                <w:rFonts w:eastAsia="Times New Roman" w:cs="Calibri"/>
                <w:b/>
                <w:bCs/>
                <w:color w:val="000000"/>
                <w:sz w:val="20"/>
                <w:szCs w:val="20"/>
                <w:lang w:val="en-US"/>
              </w:rPr>
              <w:t>Cumplimiento</w:t>
            </w:r>
            <w:proofErr w:type="spellEnd"/>
          </w:p>
        </w:tc>
      </w:tr>
      <w:tr w:rsidR="00151BA7" w:rsidRPr="009033A6" w14:paraId="3D420D1A" w14:textId="77777777" w:rsidTr="0061790F">
        <w:trPr>
          <w:trHeight w:val="299"/>
        </w:trPr>
        <w:tc>
          <w:tcPr>
            <w:tcW w:w="7361" w:type="dxa"/>
            <w:tcBorders>
              <w:top w:val="nil"/>
              <w:left w:val="single" w:sz="8" w:space="0" w:color="auto"/>
              <w:bottom w:val="single" w:sz="4" w:space="0" w:color="auto"/>
              <w:right w:val="single" w:sz="4" w:space="0" w:color="auto"/>
            </w:tcBorders>
            <w:shd w:val="clear" w:color="000000" w:fill="FFFFFF"/>
            <w:hideMark/>
          </w:tcPr>
          <w:p w14:paraId="4DAFE229" w14:textId="77777777" w:rsidR="00151BA7" w:rsidRPr="009033A6" w:rsidRDefault="00151BA7" w:rsidP="0061790F">
            <w:pPr>
              <w:spacing w:after="0" w:line="240" w:lineRule="auto"/>
              <w:rPr>
                <w:rFonts w:eastAsia="Times New Roman" w:cs="Calibri"/>
                <w:sz w:val="20"/>
                <w:szCs w:val="20"/>
              </w:rPr>
            </w:pPr>
            <w:r w:rsidRPr="009033A6">
              <w:rPr>
                <w:rFonts w:eastAsia="Times New Roman" w:cs="Calibri"/>
                <w:sz w:val="20"/>
                <w:szCs w:val="20"/>
              </w:rPr>
              <w:t>Identificar los indicios de deterioro del valor de los activos en arrendamiento operativo.</w:t>
            </w:r>
          </w:p>
        </w:tc>
        <w:tc>
          <w:tcPr>
            <w:tcW w:w="1418" w:type="dxa"/>
            <w:tcBorders>
              <w:top w:val="nil"/>
              <w:left w:val="nil"/>
              <w:bottom w:val="single" w:sz="4" w:space="0" w:color="auto"/>
              <w:right w:val="single" w:sz="8" w:space="0" w:color="auto"/>
            </w:tcBorders>
            <w:shd w:val="clear" w:color="000000" w:fill="FFFFFF"/>
            <w:noWrap/>
            <w:vAlign w:val="center"/>
            <w:hideMark/>
          </w:tcPr>
          <w:p w14:paraId="6F843069" w14:textId="0B5D618E" w:rsidR="00151BA7" w:rsidRPr="009033A6" w:rsidRDefault="00796636" w:rsidP="0061790F">
            <w:pPr>
              <w:spacing w:after="0" w:line="240" w:lineRule="auto"/>
              <w:jc w:val="center"/>
              <w:rPr>
                <w:rFonts w:eastAsia="Times New Roman" w:cs="Calibri"/>
                <w:color w:val="000000"/>
                <w:sz w:val="20"/>
                <w:szCs w:val="20"/>
                <w:lang w:val="en-US"/>
              </w:rPr>
            </w:pPr>
            <w:r w:rsidRPr="009033A6">
              <w:rPr>
                <w:rFonts w:eastAsia="Times New Roman" w:cs="Calibri"/>
                <w:color w:val="000000"/>
                <w:sz w:val="20"/>
                <w:szCs w:val="20"/>
                <w:lang w:val="en-US"/>
              </w:rPr>
              <w:t>3</w:t>
            </w:r>
            <w:r w:rsidR="004200BF" w:rsidRPr="009033A6">
              <w:rPr>
                <w:rFonts w:eastAsia="Times New Roman" w:cs="Calibri"/>
                <w:color w:val="000000"/>
                <w:sz w:val="20"/>
                <w:szCs w:val="20"/>
                <w:lang w:val="en-US"/>
              </w:rPr>
              <w:t>0</w:t>
            </w:r>
            <w:r w:rsidR="007843B9" w:rsidRPr="009033A6">
              <w:rPr>
                <w:rFonts w:eastAsia="Times New Roman" w:cs="Calibri"/>
                <w:color w:val="000000"/>
                <w:sz w:val="20"/>
                <w:szCs w:val="20"/>
                <w:lang w:val="en-US"/>
              </w:rPr>
              <w:t>/6/25</w:t>
            </w:r>
          </w:p>
        </w:tc>
      </w:tr>
      <w:tr w:rsidR="007843B9" w:rsidRPr="009033A6" w14:paraId="71B6D090" w14:textId="77777777" w:rsidTr="00796636">
        <w:trPr>
          <w:trHeight w:val="701"/>
        </w:trPr>
        <w:tc>
          <w:tcPr>
            <w:tcW w:w="7361" w:type="dxa"/>
            <w:tcBorders>
              <w:top w:val="nil"/>
              <w:left w:val="single" w:sz="8" w:space="0" w:color="auto"/>
              <w:bottom w:val="single" w:sz="4" w:space="0" w:color="auto"/>
              <w:right w:val="single" w:sz="4" w:space="0" w:color="auto"/>
            </w:tcBorders>
            <w:shd w:val="clear" w:color="000000" w:fill="FFFFFF"/>
            <w:hideMark/>
          </w:tcPr>
          <w:p w14:paraId="29FD7A16" w14:textId="77777777" w:rsidR="007843B9" w:rsidRPr="009033A6" w:rsidRDefault="007843B9" w:rsidP="007843B9">
            <w:pPr>
              <w:spacing w:after="0" w:line="240" w:lineRule="auto"/>
              <w:rPr>
                <w:rFonts w:eastAsia="Times New Roman" w:cs="Calibri"/>
                <w:sz w:val="20"/>
                <w:szCs w:val="20"/>
              </w:rPr>
            </w:pPr>
            <w:r w:rsidRPr="009033A6">
              <w:rPr>
                <w:rFonts w:eastAsia="Times New Roman" w:cs="Calibri"/>
                <w:sz w:val="20"/>
                <w:szCs w:val="20"/>
              </w:rPr>
              <w:t>Medir y Reconocer el deterioro sufrido por los activos en arrendamiento operativo que como arrendador mantiene la Municipalidad, con fundamento en lo establecido por las NICSP que regulan esa materia.</w:t>
            </w:r>
          </w:p>
        </w:tc>
        <w:tc>
          <w:tcPr>
            <w:tcW w:w="1418" w:type="dxa"/>
            <w:tcBorders>
              <w:top w:val="nil"/>
              <w:left w:val="nil"/>
              <w:bottom w:val="single" w:sz="4" w:space="0" w:color="auto"/>
              <w:right w:val="single" w:sz="8" w:space="0" w:color="auto"/>
            </w:tcBorders>
            <w:shd w:val="clear" w:color="000000" w:fill="FFFFFF"/>
            <w:noWrap/>
            <w:vAlign w:val="center"/>
            <w:hideMark/>
          </w:tcPr>
          <w:p w14:paraId="7C415716" w14:textId="678640D5" w:rsidR="007843B9" w:rsidRPr="009033A6" w:rsidRDefault="004200BF" w:rsidP="007843B9">
            <w:pPr>
              <w:spacing w:after="0" w:line="240" w:lineRule="auto"/>
              <w:jc w:val="center"/>
              <w:rPr>
                <w:rFonts w:eastAsia="Times New Roman" w:cs="Calibri"/>
                <w:color w:val="000000"/>
                <w:sz w:val="20"/>
                <w:szCs w:val="20"/>
                <w:lang w:val="en-US"/>
              </w:rPr>
            </w:pPr>
            <w:r w:rsidRPr="009033A6">
              <w:rPr>
                <w:rFonts w:eastAsia="Times New Roman" w:cs="Calibri"/>
                <w:color w:val="000000"/>
                <w:sz w:val="20"/>
                <w:szCs w:val="20"/>
                <w:lang w:val="en-US"/>
              </w:rPr>
              <w:t>30/6/25</w:t>
            </w:r>
          </w:p>
        </w:tc>
      </w:tr>
      <w:tr w:rsidR="007843B9" w:rsidRPr="009033A6" w14:paraId="63D77C1A" w14:textId="77777777" w:rsidTr="00796636">
        <w:trPr>
          <w:trHeight w:val="290"/>
        </w:trPr>
        <w:tc>
          <w:tcPr>
            <w:tcW w:w="7361" w:type="dxa"/>
            <w:tcBorders>
              <w:top w:val="nil"/>
              <w:left w:val="single" w:sz="8" w:space="0" w:color="auto"/>
              <w:bottom w:val="single" w:sz="4" w:space="0" w:color="auto"/>
              <w:right w:val="single" w:sz="4" w:space="0" w:color="auto"/>
            </w:tcBorders>
            <w:shd w:val="clear" w:color="000000" w:fill="FFFFFF"/>
            <w:hideMark/>
          </w:tcPr>
          <w:p w14:paraId="0D6C21F8" w14:textId="77777777" w:rsidR="007843B9" w:rsidRPr="009033A6" w:rsidRDefault="007843B9" w:rsidP="007843B9">
            <w:pPr>
              <w:spacing w:after="0" w:line="240" w:lineRule="auto"/>
              <w:rPr>
                <w:rFonts w:eastAsia="Times New Roman" w:cs="Calibri"/>
                <w:sz w:val="20"/>
                <w:szCs w:val="20"/>
              </w:rPr>
            </w:pPr>
            <w:r w:rsidRPr="009033A6">
              <w:rPr>
                <w:rFonts w:eastAsia="Times New Roman" w:cs="Calibri"/>
                <w:sz w:val="20"/>
                <w:szCs w:val="20"/>
              </w:rPr>
              <w:t>Realizar las revelaciones establecidas en la norma referente a los arrendamientos.</w:t>
            </w:r>
          </w:p>
        </w:tc>
        <w:tc>
          <w:tcPr>
            <w:tcW w:w="1418" w:type="dxa"/>
            <w:tcBorders>
              <w:top w:val="nil"/>
              <w:left w:val="nil"/>
              <w:bottom w:val="single" w:sz="4" w:space="0" w:color="auto"/>
              <w:right w:val="single" w:sz="8" w:space="0" w:color="auto"/>
            </w:tcBorders>
            <w:shd w:val="clear" w:color="000000" w:fill="FFFFFF"/>
            <w:noWrap/>
            <w:vAlign w:val="center"/>
            <w:hideMark/>
          </w:tcPr>
          <w:p w14:paraId="085FF21A" w14:textId="2CA646B5" w:rsidR="007843B9" w:rsidRPr="009033A6" w:rsidRDefault="004200BF" w:rsidP="007843B9">
            <w:pPr>
              <w:spacing w:after="0" w:line="240" w:lineRule="auto"/>
              <w:jc w:val="center"/>
              <w:rPr>
                <w:rFonts w:eastAsia="Times New Roman" w:cs="Calibri"/>
                <w:color w:val="000000"/>
                <w:sz w:val="20"/>
                <w:szCs w:val="20"/>
                <w:lang w:val="en-US"/>
              </w:rPr>
            </w:pPr>
            <w:r w:rsidRPr="009033A6">
              <w:rPr>
                <w:rFonts w:eastAsia="Times New Roman" w:cs="Calibri"/>
                <w:color w:val="000000"/>
                <w:sz w:val="20"/>
                <w:szCs w:val="20"/>
                <w:lang w:val="en-US"/>
              </w:rPr>
              <w:t>30/6/25</w:t>
            </w:r>
          </w:p>
        </w:tc>
      </w:tr>
      <w:tr w:rsidR="007843B9" w:rsidRPr="003B67AD" w14:paraId="740EA7C1" w14:textId="77777777" w:rsidTr="00796636">
        <w:trPr>
          <w:trHeight w:val="461"/>
        </w:trPr>
        <w:tc>
          <w:tcPr>
            <w:tcW w:w="7361" w:type="dxa"/>
            <w:tcBorders>
              <w:top w:val="nil"/>
              <w:left w:val="single" w:sz="8" w:space="0" w:color="auto"/>
              <w:bottom w:val="single" w:sz="8" w:space="0" w:color="auto"/>
              <w:right w:val="single" w:sz="4" w:space="0" w:color="auto"/>
            </w:tcBorders>
            <w:shd w:val="clear" w:color="000000" w:fill="FFFFFF"/>
            <w:hideMark/>
          </w:tcPr>
          <w:p w14:paraId="5CC0D52C" w14:textId="77777777" w:rsidR="007843B9" w:rsidRPr="009033A6" w:rsidRDefault="007843B9" w:rsidP="007843B9">
            <w:pPr>
              <w:spacing w:after="0" w:line="240" w:lineRule="auto"/>
              <w:jc w:val="left"/>
              <w:rPr>
                <w:rFonts w:eastAsia="Times New Roman" w:cs="Calibri"/>
                <w:sz w:val="20"/>
                <w:szCs w:val="20"/>
              </w:rPr>
            </w:pPr>
            <w:r w:rsidRPr="009033A6">
              <w:rPr>
                <w:rFonts w:eastAsia="Times New Roman" w:cs="Calibri"/>
                <w:sz w:val="20"/>
                <w:szCs w:val="20"/>
              </w:rPr>
              <w:t>Determinar con las instancias respectivas la información relativa a los contratos de arrendamiento suscritos por la Municipalidad y verificar sus características y condiciones de arriendo.</w:t>
            </w:r>
          </w:p>
        </w:tc>
        <w:tc>
          <w:tcPr>
            <w:tcW w:w="1418" w:type="dxa"/>
            <w:tcBorders>
              <w:top w:val="nil"/>
              <w:left w:val="nil"/>
              <w:bottom w:val="single" w:sz="8" w:space="0" w:color="auto"/>
              <w:right w:val="single" w:sz="8" w:space="0" w:color="auto"/>
            </w:tcBorders>
            <w:shd w:val="clear" w:color="000000" w:fill="FFFFFF"/>
            <w:noWrap/>
            <w:vAlign w:val="center"/>
            <w:hideMark/>
          </w:tcPr>
          <w:p w14:paraId="6CBEF01E" w14:textId="6D481886" w:rsidR="007843B9" w:rsidRPr="003B67AD" w:rsidRDefault="004200BF" w:rsidP="007843B9">
            <w:pPr>
              <w:spacing w:after="0" w:line="240" w:lineRule="auto"/>
              <w:jc w:val="center"/>
              <w:rPr>
                <w:rFonts w:eastAsia="Times New Roman" w:cs="Calibri"/>
                <w:color w:val="000000"/>
                <w:sz w:val="20"/>
                <w:szCs w:val="20"/>
                <w:lang w:val="en-US"/>
              </w:rPr>
            </w:pPr>
            <w:r w:rsidRPr="009033A6">
              <w:rPr>
                <w:rFonts w:eastAsia="Times New Roman" w:cs="Calibri"/>
                <w:color w:val="000000"/>
                <w:sz w:val="20"/>
                <w:szCs w:val="20"/>
                <w:lang w:val="en-US"/>
              </w:rPr>
              <w:t>30/6/25</w:t>
            </w:r>
          </w:p>
        </w:tc>
      </w:tr>
    </w:tbl>
    <w:p w14:paraId="4B1AEC0A" w14:textId="6776A9FA" w:rsidR="00F000C2" w:rsidRPr="00EE66B3" w:rsidRDefault="00F000C2" w:rsidP="00F000C2">
      <w:pPr>
        <w:pStyle w:val="Ttulo2"/>
        <w:spacing w:after="240" w:line="240" w:lineRule="auto"/>
        <w:rPr>
          <w:rFonts w:eastAsiaTheme="minorHAnsi" w:cstheme="minorBidi"/>
          <w:color w:val="auto"/>
          <w:szCs w:val="22"/>
        </w:rPr>
      </w:pPr>
      <w:bookmarkStart w:id="58" w:name="_Toc189804793"/>
      <w:bookmarkStart w:id="59" w:name="_Toc33601181"/>
      <w:bookmarkStart w:id="60" w:name="_Toc54961680"/>
      <w:bookmarkStart w:id="61" w:name="_Toc82768876"/>
      <w:r w:rsidRPr="00EE66B3">
        <w:rPr>
          <w:color w:val="auto"/>
          <w:lang w:eastAsia="es-CR"/>
        </w:rPr>
        <w:lastRenderedPageBreak/>
        <w:t xml:space="preserve">Se hizo extensión a la fecha prevista esto debido a las cargas de trabajo en la institución, por tanto, no se pudo completar las actividades requeridas a la Norma </w:t>
      </w:r>
      <w:r>
        <w:rPr>
          <w:color w:val="auto"/>
          <w:lang w:val="es-MX"/>
        </w:rPr>
        <w:t>NICSP 13</w:t>
      </w:r>
      <w:bookmarkEnd w:id="58"/>
    </w:p>
    <w:p w14:paraId="11989AD9" w14:textId="34FFF10A" w:rsidR="000B404C" w:rsidRPr="00A649A4" w:rsidRDefault="000B404C" w:rsidP="00A649A4">
      <w:pPr>
        <w:pStyle w:val="Ttulo2"/>
        <w:spacing w:after="240"/>
        <w:rPr>
          <w:rFonts w:eastAsia="Times New Roman"/>
          <w:lang w:eastAsia="es-CR"/>
        </w:rPr>
      </w:pPr>
      <w:bookmarkStart w:id="62" w:name="_Toc189804794"/>
      <w:r w:rsidRPr="000B404C">
        <w:rPr>
          <w:rFonts w:eastAsia="Times New Roman"/>
          <w:lang w:eastAsia="es-CR"/>
        </w:rPr>
        <w:t>NICSP 14-HECHOS OCURRIDOS DESPUÉS DE FECHA DE PRESENTACIÓN</w:t>
      </w:r>
      <w:bookmarkEnd w:id="59"/>
      <w:bookmarkEnd w:id="60"/>
      <w:r w:rsidRPr="000B404C">
        <w:rPr>
          <w:rFonts w:eastAsia="Times New Roman"/>
          <w:lang w:eastAsia="es-CR"/>
        </w:rPr>
        <w:t xml:space="preserve"> (DE APLICACIÓN OBLIGATORIA):</w:t>
      </w:r>
      <w:bookmarkEnd w:id="61"/>
      <w:bookmarkEnd w:id="62"/>
      <w:r w:rsidRPr="000B404C">
        <w:rPr>
          <w:rFonts w:eastAsia="Times New Roman"/>
          <w:lang w:eastAsia="es-CR"/>
        </w:rPr>
        <w:t xml:space="preserve"> </w:t>
      </w:r>
    </w:p>
    <w:p w14:paraId="711990A6" w14:textId="77777777" w:rsidR="00396CB4" w:rsidRDefault="000B404C" w:rsidP="00900BB0">
      <w:pPr>
        <w:rPr>
          <w:rFonts w:asciiTheme="minorHAnsi" w:hAnsiTheme="minorHAnsi"/>
          <w:sz w:val="22"/>
        </w:rPr>
      </w:pPr>
      <w:bookmarkStart w:id="63" w:name="_Hlk123830644"/>
      <w:r w:rsidRPr="00FB0858">
        <w:t xml:space="preserve">De acuerdo con la </w:t>
      </w:r>
      <w:r w:rsidRPr="000B404C">
        <w:t>NICSP 14- Hechos ocurridos después de fecha de presentación</w:t>
      </w:r>
      <w:r>
        <w:t xml:space="preserve">, indicar si este rubro afecta SI o NO a la institución, </w:t>
      </w:r>
      <w:r w:rsidRPr="00405DBC">
        <w:t>además del porcentaje de avance</w:t>
      </w:r>
      <w:r>
        <w:t xml:space="preserve"> en la implementación</w:t>
      </w:r>
      <w:r w:rsidRPr="00405DBC">
        <w:t xml:space="preserve"> que presenta</w:t>
      </w:r>
      <w:r>
        <w:t>.</w:t>
      </w:r>
      <w:r w:rsidR="0025405A">
        <w:rPr>
          <w:lang w:eastAsia="es-CR"/>
        </w:rPr>
        <w:fldChar w:fldCharType="begin"/>
      </w:r>
      <w:r w:rsidR="0025405A">
        <w:rPr>
          <w:lang w:eastAsia="es-CR"/>
        </w:rPr>
        <w:instrText xml:space="preserve"> LINK </w:instrText>
      </w:r>
      <w:r w:rsidR="00756467">
        <w:rPr>
          <w:lang w:eastAsia="es-CR"/>
        </w:rPr>
        <w:instrText xml:space="preserve">Excel.SheetMacroEnabled.12 "C:\\Users\\gcordero\\Downloads\\Notas diciembre 2024\\Formato_Notas_EEFF_Vinculadas_2024\\Formato_Notas_EEFF_Vinculadas_2024\\15603_T04_2024_Anexo_Estado_Notas_Contables_Vinculadas.xlsm" NICSP_14!F9C3:F10C4 </w:instrText>
      </w:r>
      <w:r w:rsidR="0025405A">
        <w:rPr>
          <w:lang w:eastAsia="es-CR"/>
        </w:rPr>
        <w:instrText xml:space="preserve">\a \f 4 \h </w:instrText>
      </w:r>
      <w:r w:rsidR="0025405A">
        <w:rPr>
          <w:lang w:eastAsia="es-CR"/>
        </w:rPr>
        <w:fldChar w:fldCharType="separate"/>
      </w:r>
    </w:p>
    <w:tbl>
      <w:tblPr>
        <w:tblW w:w="4260" w:type="dxa"/>
        <w:tblCellMar>
          <w:left w:w="70" w:type="dxa"/>
          <w:right w:w="70" w:type="dxa"/>
        </w:tblCellMar>
        <w:tblLook w:val="04A0" w:firstRow="1" w:lastRow="0" w:firstColumn="1" w:lastColumn="0" w:noHBand="0" w:noVBand="1"/>
      </w:tblPr>
      <w:tblGrid>
        <w:gridCol w:w="2680"/>
        <w:gridCol w:w="1580"/>
      </w:tblGrid>
      <w:tr w:rsidR="00396CB4" w:rsidRPr="00396CB4" w14:paraId="6434B527" w14:textId="77777777" w:rsidTr="00396CB4">
        <w:trPr>
          <w:divId w:val="992294189"/>
          <w:trHeight w:val="345"/>
        </w:trPr>
        <w:tc>
          <w:tcPr>
            <w:tcW w:w="268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29F3DD78" w14:textId="0794C36B" w:rsidR="00396CB4" w:rsidRPr="00396CB4" w:rsidRDefault="00396CB4" w:rsidP="00396CB4">
            <w:pPr>
              <w:rPr>
                <w:rFonts w:eastAsia="Times New Roman" w:cs="Calibri"/>
                <w:color w:val="FFFFFF"/>
                <w:szCs w:val="24"/>
                <w:lang w:eastAsia="es-CR"/>
              </w:rPr>
            </w:pPr>
            <w:r w:rsidRPr="00396CB4">
              <w:rPr>
                <w:rFonts w:eastAsia="Times New Roman" w:cs="Calibri"/>
                <w:color w:val="FFFFFF"/>
                <w:szCs w:val="24"/>
                <w:lang w:eastAsia="es-CR"/>
              </w:rPr>
              <w:t>Aplica</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840EB4" w14:textId="77777777" w:rsidR="00396CB4" w:rsidRPr="00396CB4" w:rsidRDefault="00396CB4" w:rsidP="00396CB4">
            <w:pPr>
              <w:spacing w:after="0" w:line="240" w:lineRule="auto"/>
              <w:jc w:val="center"/>
              <w:rPr>
                <w:rFonts w:eastAsia="Times New Roman" w:cs="Calibri"/>
                <w:color w:val="000000"/>
                <w:sz w:val="22"/>
                <w:lang w:eastAsia="es-CR"/>
              </w:rPr>
            </w:pPr>
            <w:r w:rsidRPr="00396CB4">
              <w:rPr>
                <w:rFonts w:eastAsia="Times New Roman" w:cs="Calibri"/>
                <w:color w:val="000000"/>
                <w:sz w:val="22"/>
                <w:lang w:eastAsia="es-CR"/>
              </w:rPr>
              <w:t>Si</w:t>
            </w:r>
          </w:p>
        </w:tc>
      </w:tr>
      <w:tr w:rsidR="00396CB4" w:rsidRPr="00396CB4" w14:paraId="2CDF24D5" w14:textId="77777777" w:rsidTr="00396CB4">
        <w:trPr>
          <w:divId w:val="992294189"/>
          <w:trHeight w:val="345"/>
        </w:trPr>
        <w:tc>
          <w:tcPr>
            <w:tcW w:w="2680" w:type="dxa"/>
            <w:tcBorders>
              <w:top w:val="nil"/>
              <w:left w:val="single" w:sz="8" w:space="0" w:color="auto"/>
              <w:bottom w:val="single" w:sz="8" w:space="0" w:color="auto"/>
              <w:right w:val="single" w:sz="8" w:space="0" w:color="auto"/>
            </w:tcBorders>
            <w:shd w:val="clear" w:color="000000" w:fill="17365D"/>
            <w:vAlign w:val="center"/>
            <w:hideMark/>
          </w:tcPr>
          <w:p w14:paraId="551687FC" w14:textId="77777777" w:rsidR="00396CB4" w:rsidRPr="00396CB4" w:rsidRDefault="00396CB4" w:rsidP="00396CB4">
            <w:pPr>
              <w:spacing w:after="0" w:line="240" w:lineRule="auto"/>
              <w:jc w:val="left"/>
              <w:rPr>
                <w:rFonts w:eastAsia="Times New Roman" w:cs="Calibri"/>
                <w:color w:val="FFFFFF"/>
                <w:szCs w:val="24"/>
                <w:lang w:eastAsia="es-CR"/>
              </w:rPr>
            </w:pPr>
            <w:proofErr w:type="spellStart"/>
            <w:r w:rsidRPr="00396CB4">
              <w:rPr>
                <w:rFonts w:eastAsia="Times New Roman" w:cs="Calibri"/>
                <w:color w:val="FFFFFF"/>
                <w:szCs w:val="24"/>
                <w:lang w:eastAsia="es-CR"/>
              </w:rPr>
              <w:t>Porcentaje_Avance</w:t>
            </w:r>
            <w:proofErr w:type="spellEnd"/>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5C6BC130" w14:textId="77777777" w:rsidR="00396CB4" w:rsidRPr="00396CB4" w:rsidRDefault="00396CB4" w:rsidP="00396CB4">
            <w:pPr>
              <w:spacing w:after="0" w:line="240" w:lineRule="auto"/>
              <w:jc w:val="center"/>
              <w:rPr>
                <w:rFonts w:eastAsia="Times New Roman" w:cs="Calibri"/>
                <w:color w:val="000000"/>
                <w:sz w:val="22"/>
                <w:lang w:eastAsia="es-CR"/>
              </w:rPr>
            </w:pPr>
            <w:r w:rsidRPr="00396CB4">
              <w:rPr>
                <w:rFonts w:eastAsia="Times New Roman" w:cs="Calibri"/>
                <w:color w:val="000000"/>
                <w:sz w:val="22"/>
                <w:lang w:eastAsia="es-CR"/>
              </w:rPr>
              <w:t>100,00%</w:t>
            </w:r>
          </w:p>
        </w:tc>
      </w:tr>
    </w:tbl>
    <w:p w14:paraId="76D8A752" w14:textId="0DEBB4DD" w:rsidR="000B404C" w:rsidRDefault="0025405A" w:rsidP="00900BB0">
      <w:pPr>
        <w:rPr>
          <w:b/>
          <w:sz w:val="16"/>
          <w:szCs w:val="16"/>
          <w:lang w:eastAsia="es-CR"/>
        </w:rPr>
      </w:pPr>
      <w:r>
        <w:rPr>
          <w:lang w:eastAsia="es-CR"/>
        </w:rPr>
        <w:fldChar w:fldCharType="end"/>
      </w:r>
      <w:r>
        <w:rPr>
          <w:lang w:eastAsia="es-CR"/>
        </w:rPr>
        <w:t xml:space="preserve">                                      </w:t>
      </w:r>
      <w:r w:rsidR="000B404C" w:rsidRPr="00C35565">
        <w:rPr>
          <w:b/>
          <w:sz w:val="16"/>
          <w:szCs w:val="16"/>
          <w:lang w:eastAsia="es-CR"/>
        </w:rPr>
        <w:t>-Aplicación Obligatoria-</w:t>
      </w:r>
    </w:p>
    <w:bookmarkEnd w:id="63"/>
    <w:p w14:paraId="7F337884" w14:textId="77777777" w:rsidR="000B404C" w:rsidRDefault="000B404C" w:rsidP="000B404C">
      <w:pPr>
        <w:rPr>
          <w:b/>
          <w:sz w:val="16"/>
          <w:szCs w:val="16"/>
          <w:lang w:eastAsia="es-CR"/>
        </w:rPr>
      </w:pPr>
    </w:p>
    <w:p w14:paraId="5752B9DF" w14:textId="74A359EF" w:rsidR="000B404C" w:rsidRDefault="000B404C" w:rsidP="000B404C">
      <w:pPr>
        <w:jc w:val="center"/>
      </w:pPr>
      <w:r>
        <w:rPr>
          <w:noProof/>
          <w:lang w:eastAsia="es-CR"/>
        </w:rPr>
        <w:drawing>
          <wp:inline distT="0" distB="0" distL="0" distR="0" wp14:anchorId="6004E590" wp14:editId="776BB2A5">
            <wp:extent cx="4212590" cy="1286510"/>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12590" cy="1286510"/>
                    </a:xfrm>
                    <a:prstGeom prst="rect">
                      <a:avLst/>
                    </a:prstGeom>
                    <a:noFill/>
                  </pic:spPr>
                </pic:pic>
              </a:graphicData>
            </a:graphic>
          </wp:inline>
        </w:drawing>
      </w:r>
    </w:p>
    <w:p w14:paraId="699DB37D" w14:textId="77777777" w:rsidR="00396CB4" w:rsidRPr="00396CB4" w:rsidRDefault="000B404C" w:rsidP="00396CB4">
      <w:pPr>
        <w:rPr>
          <w:rFonts w:eastAsia="Calibri" w:cs="Arial"/>
          <w:color w:val="000000"/>
          <w:lang w:val="es-ES_tradnl"/>
        </w:rPr>
      </w:pPr>
      <w:r w:rsidRPr="000B404C">
        <w:rPr>
          <w:rFonts w:eastAsia="Calibri" w:cs="Arial"/>
          <w:color w:val="000000"/>
          <w:lang w:val="es-ES_tradnl"/>
        </w:rPr>
        <w:t>La fecha de emisión de los EEFF es aquélla en que los mismos son remitidos por el Ministerio de Hacienda a la Contraloría General de la República (conforme al plazo establecido en la normativa legal). La opinión de la Contraloría se efectúa sobre la base de dichos EEFF terminados.</w:t>
      </w:r>
      <w:r w:rsidR="00900BB0">
        <w:rPr>
          <w:lang w:val="es-ES_tradnl"/>
        </w:rPr>
        <w:fldChar w:fldCharType="begin"/>
      </w:r>
      <w:r w:rsidR="00900BB0">
        <w:rPr>
          <w:lang w:val="es-ES_tradnl"/>
        </w:rPr>
        <w:instrText xml:space="preserve"> LINK </w:instrText>
      </w:r>
      <w:r w:rsidR="00756467">
        <w:rPr>
          <w:lang w:val="es-ES_tradnl"/>
        </w:rPr>
        <w:instrText xml:space="preserve">Excel.SheetMacroEnabled.12 "C:\\Users\\gcordero\\Downloads\\Notas diciembre 2024\\Formato_Notas_EEFF_Vinculadas_2024\\Formato_Notas_EEFF_Vinculadas_2024\\15603_T04_2024_Anexo_Estado_Notas_Contables_Vinculadas.xlsm" NICSP_14!F15C5:F24C6 </w:instrText>
      </w:r>
      <w:r w:rsidR="00900BB0">
        <w:rPr>
          <w:lang w:val="es-ES_tradnl"/>
        </w:rPr>
        <w:instrText xml:space="preserve">\a \f 4 \h  \* MERGEFORMAT </w:instrText>
      </w:r>
      <w:r w:rsidR="00900BB0">
        <w:rPr>
          <w:lang w:val="es-ES_tradnl"/>
        </w:rPr>
        <w:fldChar w:fldCharType="separate"/>
      </w:r>
    </w:p>
    <w:tbl>
      <w:tblPr>
        <w:tblW w:w="8286" w:type="dxa"/>
        <w:jc w:val="center"/>
        <w:tblCellMar>
          <w:left w:w="70" w:type="dxa"/>
          <w:right w:w="70" w:type="dxa"/>
        </w:tblCellMar>
        <w:tblLook w:val="04A0" w:firstRow="1" w:lastRow="0" w:firstColumn="1" w:lastColumn="0" w:noHBand="0" w:noVBand="1"/>
      </w:tblPr>
      <w:tblGrid>
        <w:gridCol w:w="3590"/>
        <w:gridCol w:w="4696"/>
      </w:tblGrid>
      <w:tr w:rsidR="00396CB4" w:rsidRPr="00396CB4" w14:paraId="56FE1586" w14:textId="77777777" w:rsidTr="00396CB4">
        <w:trPr>
          <w:divId w:val="943459276"/>
          <w:trHeight w:val="249"/>
          <w:jc w:val="center"/>
        </w:trPr>
        <w:tc>
          <w:tcPr>
            <w:tcW w:w="8286" w:type="dxa"/>
            <w:gridSpan w:val="2"/>
            <w:tcBorders>
              <w:top w:val="single" w:sz="8" w:space="0" w:color="auto"/>
              <w:left w:val="single" w:sz="8" w:space="0" w:color="auto"/>
              <w:bottom w:val="single" w:sz="8" w:space="0" w:color="auto"/>
              <w:right w:val="single" w:sz="8" w:space="0" w:color="000000"/>
            </w:tcBorders>
            <w:shd w:val="clear" w:color="000000" w:fill="1F3864"/>
            <w:noWrap/>
            <w:vAlign w:val="center"/>
            <w:hideMark/>
          </w:tcPr>
          <w:p w14:paraId="193D1291" w14:textId="39F43B8F" w:rsidR="00396CB4" w:rsidRPr="00396CB4" w:rsidRDefault="00396CB4" w:rsidP="00396CB4">
            <w:pPr>
              <w:spacing w:after="0" w:line="240" w:lineRule="auto"/>
              <w:jc w:val="center"/>
              <w:rPr>
                <w:rFonts w:eastAsia="Times New Roman" w:cs="Calibri"/>
                <w:b/>
                <w:bCs/>
                <w:color w:val="FFFFFF"/>
                <w:sz w:val="22"/>
                <w:lang w:eastAsia="es-CR"/>
              </w:rPr>
            </w:pPr>
            <w:r w:rsidRPr="00396CB4">
              <w:rPr>
                <w:rFonts w:eastAsia="Times New Roman" w:cs="Calibri"/>
                <w:b/>
                <w:bCs/>
                <w:color w:val="FFFFFF"/>
                <w:sz w:val="22"/>
                <w:lang w:eastAsia="es-CR"/>
              </w:rPr>
              <w:t>Indique los eventos posteriores después del cierre</w:t>
            </w:r>
          </w:p>
        </w:tc>
      </w:tr>
      <w:tr w:rsidR="00396CB4" w:rsidRPr="00396CB4" w14:paraId="5C015BEB" w14:textId="77777777" w:rsidTr="00396CB4">
        <w:trPr>
          <w:divId w:val="943459276"/>
          <w:trHeight w:val="249"/>
          <w:jc w:val="center"/>
        </w:trPr>
        <w:tc>
          <w:tcPr>
            <w:tcW w:w="3590" w:type="dxa"/>
            <w:tcBorders>
              <w:top w:val="nil"/>
              <w:left w:val="single" w:sz="8" w:space="0" w:color="auto"/>
              <w:bottom w:val="single" w:sz="8" w:space="0" w:color="auto"/>
              <w:right w:val="single" w:sz="8" w:space="0" w:color="auto"/>
            </w:tcBorders>
            <w:shd w:val="clear" w:color="000000" w:fill="1F3864"/>
            <w:noWrap/>
            <w:vAlign w:val="center"/>
            <w:hideMark/>
          </w:tcPr>
          <w:p w14:paraId="6C8C8F24" w14:textId="77777777" w:rsidR="00396CB4" w:rsidRPr="00396CB4" w:rsidRDefault="00396CB4" w:rsidP="00396CB4">
            <w:pPr>
              <w:spacing w:after="0" w:line="240" w:lineRule="auto"/>
              <w:jc w:val="left"/>
              <w:rPr>
                <w:rFonts w:eastAsia="Times New Roman" w:cs="Calibri"/>
                <w:color w:val="FFFFFF"/>
                <w:sz w:val="22"/>
                <w:lang w:eastAsia="es-CR"/>
              </w:rPr>
            </w:pPr>
            <w:r w:rsidRPr="00396CB4">
              <w:rPr>
                <w:rFonts w:eastAsia="Times New Roman" w:cs="Calibri"/>
                <w:color w:val="FFFFFF"/>
                <w:sz w:val="22"/>
                <w:lang w:eastAsia="es-CR"/>
              </w:rPr>
              <w:t>Fecha de cierre</w:t>
            </w:r>
          </w:p>
        </w:tc>
        <w:tc>
          <w:tcPr>
            <w:tcW w:w="4696" w:type="dxa"/>
            <w:tcBorders>
              <w:top w:val="nil"/>
              <w:left w:val="nil"/>
              <w:bottom w:val="single" w:sz="8" w:space="0" w:color="auto"/>
              <w:right w:val="single" w:sz="8" w:space="0" w:color="auto"/>
            </w:tcBorders>
            <w:shd w:val="clear" w:color="auto" w:fill="auto"/>
            <w:noWrap/>
            <w:vAlign w:val="center"/>
            <w:hideMark/>
          </w:tcPr>
          <w:p w14:paraId="675C53A2"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w:t>
            </w:r>
          </w:p>
        </w:tc>
      </w:tr>
      <w:tr w:rsidR="00396CB4" w:rsidRPr="00396CB4" w14:paraId="7F9580CD" w14:textId="77777777" w:rsidTr="00396CB4">
        <w:trPr>
          <w:divId w:val="943459276"/>
          <w:trHeight w:val="249"/>
          <w:jc w:val="center"/>
        </w:trPr>
        <w:tc>
          <w:tcPr>
            <w:tcW w:w="3590" w:type="dxa"/>
            <w:tcBorders>
              <w:top w:val="nil"/>
              <w:left w:val="single" w:sz="8" w:space="0" w:color="auto"/>
              <w:bottom w:val="single" w:sz="8" w:space="0" w:color="auto"/>
              <w:right w:val="single" w:sz="8" w:space="0" w:color="auto"/>
            </w:tcBorders>
            <w:shd w:val="clear" w:color="000000" w:fill="1F3864"/>
            <w:noWrap/>
            <w:vAlign w:val="center"/>
            <w:hideMark/>
          </w:tcPr>
          <w:p w14:paraId="3B30400E" w14:textId="77777777" w:rsidR="00396CB4" w:rsidRPr="00396CB4" w:rsidRDefault="00396CB4" w:rsidP="00396CB4">
            <w:pPr>
              <w:spacing w:after="0" w:line="240" w:lineRule="auto"/>
              <w:jc w:val="left"/>
              <w:rPr>
                <w:rFonts w:eastAsia="Times New Roman" w:cs="Calibri"/>
                <w:color w:val="FFFFFF"/>
                <w:sz w:val="22"/>
                <w:lang w:eastAsia="es-CR"/>
              </w:rPr>
            </w:pPr>
            <w:r w:rsidRPr="00396CB4">
              <w:rPr>
                <w:rFonts w:eastAsia="Times New Roman" w:cs="Calibri"/>
                <w:color w:val="FFFFFF"/>
                <w:sz w:val="22"/>
                <w:lang w:eastAsia="es-CR"/>
              </w:rPr>
              <w:t>Fecha del Evento</w:t>
            </w:r>
          </w:p>
        </w:tc>
        <w:tc>
          <w:tcPr>
            <w:tcW w:w="4696" w:type="dxa"/>
            <w:tcBorders>
              <w:top w:val="nil"/>
              <w:left w:val="nil"/>
              <w:bottom w:val="single" w:sz="8" w:space="0" w:color="auto"/>
              <w:right w:val="single" w:sz="8" w:space="0" w:color="auto"/>
            </w:tcBorders>
            <w:shd w:val="clear" w:color="auto" w:fill="auto"/>
            <w:noWrap/>
            <w:vAlign w:val="center"/>
            <w:hideMark/>
          </w:tcPr>
          <w:p w14:paraId="45163253"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w:t>
            </w:r>
          </w:p>
        </w:tc>
      </w:tr>
      <w:tr w:rsidR="00396CB4" w:rsidRPr="00396CB4" w14:paraId="4D0D621B" w14:textId="77777777" w:rsidTr="00396CB4">
        <w:trPr>
          <w:divId w:val="943459276"/>
          <w:trHeight w:val="249"/>
          <w:jc w:val="center"/>
        </w:trPr>
        <w:tc>
          <w:tcPr>
            <w:tcW w:w="3590" w:type="dxa"/>
            <w:tcBorders>
              <w:top w:val="nil"/>
              <w:left w:val="single" w:sz="8" w:space="0" w:color="auto"/>
              <w:bottom w:val="single" w:sz="8" w:space="0" w:color="auto"/>
              <w:right w:val="single" w:sz="8" w:space="0" w:color="auto"/>
            </w:tcBorders>
            <w:shd w:val="clear" w:color="000000" w:fill="1F3864"/>
            <w:noWrap/>
            <w:vAlign w:val="center"/>
            <w:hideMark/>
          </w:tcPr>
          <w:p w14:paraId="257B32D5" w14:textId="77777777" w:rsidR="00396CB4" w:rsidRPr="00396CB4" w:rsidRDefault="00396CB4" w:rsidP="00396CB4">
            <w:pPr>
              <w:spacing w:after="0" w:line="240" w:lineRule="auto"/>
              <w:jc w:val="left"/>
              <w:rPr>
                <w:rFonts w:eastAsia="Times New Roman" w:cs="Calibri"/>
                <w:color w:val="FFFFFF"/>
                <w:sz w:val="22"/>
                <w:lang w:eastAsia="es-CR"/>
              </w:rPr>
            </w:pPr>
            <w:r w:rsidRPr="00396CB4">
              <w:rPr>
                <w:rFonts w:eastAsia="Times New Roman" w:cs="Calibri"/>
                <w:color w:val="FFFFFF"/>
                <w:sz w:val="22"/>
                <w:lang w:eastAsia="es-CR"/>
              </w:rPr>
              <w:t>Descripción</w:t>
            </w:r>
          </w:p>
        </w:tc>
        <w:tc>
          <w:tcPr>
            <w:tcW w:w="4696" w:type="dxa"/>
            <w:tcBorders>
              <w:top w:val="nil"/>
              <w:left w:val="nil"/>
              <w:bottom w:val="single" w:sz="8" w:space="0" w:color="auto"/>
              <w:right w:val="single" w:sz="8" w:space="0" w:color="auto"/>
            </w:tcBorders>
            <w:shd w:val="clear" w:color="auto" w:fill="auto"/>
            <w:noWrap/>
            <w:vAlign w:val="center"/>
            <w:hideMark/>
          </w:tcPr>
          <w:p w14:paraId="0259E0B0"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w:t>
            </w:r>
          </w:p>
        </w:tc>
      </w:tr>
      <w:tr w:rsidR="00396CB4" w:rsidRPr="00396CB4" w14:paraId="7B8F6620" w14:textId="77777777" w:rsidTr="00396CB4">
        <w:trPr>
          <w:divId w:val="943459276"/>
          <w:trHeight w:val="249"/>
          <w:jc w:val="center"/>
        </w:trPr>
        <w:tc>
          <w:tcPr>
            <w:tcW w:w="3590" w:type="dxa"/>
            <w:tcBorders>
              <w:top w:val="nil"/>
              <w:left w:val="single" w:sz="8" w:space="0" w:color="auto"/>
              <w:bottom w:val="single" w:sz="8" w:space="0" w:color="auto"/>
              <w:right w:val="single" w:sz="8" w:space="0" w:color="auto"/>
            </w:tcBorders>
            <w:shd w:val="clear" w:color="000000" w:fill="1F3864"/>
            <w:noWrap/>
            <w:vAlign w:val="center"/>
            <w:hideMark/>
          </w:tcPr>
          <w:p w14:paraId="1579790F" w14:textId="77777777" w:rsidR="00396CB4" w:rsidRPr="00396CB4" w:rsidRDefault="00396CB4" w:rsidP="00396CB4">
            <w:pPr>
              <w:spacing w:after="0" w:line="240" w:lineRule="auto"/>
              <w:jc w:val="left"/>
              <w:rPr>
                <w:rFonts w:eastAsia="Times New Roman" w:cs="Calibri"/>
                <w:color w:val="FFFFFF"/>
                <w:sz w:val="22"/>
                <w:lang w:eastAsia="es-CR"/>
              </w:rPr>
            </w:pPr>
            <w:r w:rsidRPr="00396CB4">
              <w:rPr>
                <w:rFonts w:eastAsia="Times New Roman" w:cs="Calibri"/>
                <w:color w:val="FFFFFF"/>
                <w:sz w:val="22"/>
                <w:lang w:eastAsia="es-CR"/>
              </w:rPr>
              <w:t>Cuenta Contable</w:t>
            </w:r>
          </w:p>
        </w:tc>
        <w:tc>
          <w:tcPr>
            <w:tcW w:w="4696" w:type="dxa"/>
            <w:tcBorders>
              <w:top w:val="nil"/>
              <w:left w:val="nil"/>
              <w:bottom w:val="single" w:sz="8" w:space="0" w:color="auto"/>
              <w:right w:val="single" w:sz="8" w:space="0" w:color="auto"/>
            </w:tcBorders>
            <w:shd w:val="clear" w:color="auto" w:fill="auto"/>
            <w:noWrap/>
            <w:vAlign w:val="center"/>
            <w:hideMark/>
          </w:tcPr>
          <w:p w14:paraId="7025F75C"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w:t>
            </w:r>
          </w:p>
        </w:tc>
      </w:tr>
      <w:tr w:rsidR="00396CB4" w:rsidRPr="00396CB4" w14:paraId="71273011" w14:textId="77777777" w:rsidTr="00396CB4">
        <w:trPr>
          <w:divId w:val="943459276"/>
          <w:trHeight w:val="249"/>
          <w:jc w:val="center"/>
        </w:trPr>
        <w:tc>
          <w:tcPr>
            <w:tcW w:w="3590" w:type="dxa"/>
            <w:tcBorders>
              <w:top w:val="nil"/>
              <w:left w:val="single" w:sz="8" w:space="0" w:color="auto"/>
              <w:bottom w:val="nil"/>
              <w:right w:val="single" w:sz="8" w:space="0" w:color="auto"/>
            </w:tcBorders>
            <w:shd w:val="clear" w:color="000000" w:fill="1F3864"/>
            <w:noWrap/>
            <w:vAlign w:val="center"/>
            <w:hideMark/>
          </w:tcPr>
          <w:p w14:paraId="474DD46F" w14:textId="77777777" w:rsidR="00396CB4" w:rsidRPr="00396CB4" w:rsidRDefault="00396CB4" w:rsidP="00396CB4">
            <w:pPr>
              <w:spacing w:after="0" w:line="240" w:lineRule="auto"/>
              <w:jc w:val="left"/>
              <w:rPr>
                <w:rFonts w:eastAsia="Times New Roman" w:cs="Calibri"/>
                <w:color w:val="FFFFFF"/>
                <w:sz w:val="22"/>
                <w:lang w:eastAsia="es-CR"/>
              </w:rPr>
            </w:pPr>
            <w:r w:rsidRPr="00396CB4">
              <w:rPr>
                <w:rFonts w:eastAsia="Times New Roman" w:cs="Calibri"/>
                <w:color w:val="FFFFFF"/>
                <w:sz w:val="22"/>
                <w:lang w:eastAsia="es-CR"/>
              </w:rPr>
              <w:t>Materialidad</w:t>
            </w:r>
          </w:p>
        </w:tc>
        <w:tc>
          <w:tcPr>
            <w:tcW w:w="4696" w:type="dxa"/>
            <w:tcBorders>
              <w:top w:val="nil"/>
              <w:left w:val="nil"/>
              <w:bottom w:val="nil"/>
              <w:right w:val="single" w:sz="8" w:space="0" w:color="auto"/>
            </w:tcBorders>
            <w:shd w:val="clear" w:color="auto" w:fill="auto"/>
            <w:noWrap/>
            <w:vAlign w:val="center"/>
            <w:hideMark/>
          </w:tcPr>
          <w:p w14:paraId="0FDB7514"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w:t>
            </w:r>
          </w:p>
        </w:tc>
      </w:tr>
      <w:tr w:rsidR="00396CB4" w:rsidRPr="00396CB4" w14:paraId="185F3440" w14:textId="77777777" w:rsidTr="00396CB4">
        <w:trPr>
          <w:divId w:val="943459276"/>
          <w:trHeight w:val="249"/>
          <w:jc w:val="center"/>
        </w:trPr>
        <w:tc>
          <w:tcPr>
            <w:tcW w:w="3590"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076BF809" w14:textId="77777777" w:rsidR="00396CB4" w:rsidRPr="00396CB4" w:rsidRDefault="00396CB4" w:rsidP="00396CB4">
            <w:pPr>
              <w:spacing w:after="0" w:line="240" w:lineRule="auto"/>
              <w:jc w:val="left"/>
              <w:rPr>
                <w:rFonts w:eastAsia="Times New Roman" w:cs="Calibri"/>
                <w:color w:val="FFFFFF"/>
                <w:sz w:val="22"/>
                <w:lang w:eastAsia="es-CR"/>
              </w:rPr>
            </w:pPr>
            <w:r w:rsidRPr="00396CB4">
              <w:rPr>
                <w:rFonts w:eastAsia="Times New Roman" w:cs="Calibri"/>
                <w:color w:val="FFFFFF"/>
                <w:sz w:val="22"/>
                <w:lang w:eastAsia="es-CR"/>
              </w:rPr>
              <w:t>Oficio de ente fiscalizador que lo detecto</w:t>
            </w:r>
          </w:p>
        </w:tc>
        <w:tc>
          <w:tcPr>
            <w:tcW w:w="4696" w:type="dxa"/>
            <w:tcBorders>
              <w:top w:val="single" w:sz="8" w:space="0" w:color="auto"/>
              <w:left w:val="nil"/>
              <w:bottom w:val="single" w:sz="8" w:space="0" w:color="auto"/>
              <w:right w:val="single" w:sz="8" w:space="0" w:color="auto"/>
            </w:tcBorders>
            <w:shd w:val="clear" w:color="auto" w:fill="auto"/>
            <w:noWrap/>
            <w:vAlign w:val="center"/>
            <w:hideMark/>
          </w:tcPr>
          <w:p w14:paraId="54172E7C"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w:t>
            </w:r>
          </w:p>
        </w:tc>
      </w:tr>
      <w:tr w:rsidR="00396CB4" w:rsidRPr="00396CB4" w14:paraId="540F859A" w14:textId="77777777" w:rsidTr="00396CB4">
        <w:trPr>
          <w:divId w:val="943459276"/>
          <w:trHeight w:val="249"/>
          <w:jc w:val="center"/>
        </w:trPr>
        <w:tc>
          <w:tcPr>
            <w:tcW w:w="3590" w:type="dxa"/>
            <w:tcBorders>
              <w:top w:val="nil"/>
              <w:left w:val="single" w:sz="8" w:space="0" w:color="auto"/>
              <w:bottom w:val="nil"/>
              <w:right w:val="single" w:sz="8" w:space="0" w:color="auto"/>
            </w:tcBorders>
            <w:shd w:val="clear" w:color="000000" w:fill="1F3864"/>
            <w:vAlign w:val="center"/>
            <w:hideMark/>
          </w:tcPr>
          <w:p w14:paraId="17642FA1" w14:textId="77777777" w:rsidR="00396CB4" w:rsidRPr="00396CB4" w:rsidRDefault="00396CB4" w:rsidP="00396CB4">
            <w:pPr>
              <w:spacing w:after="0" w:line="240" w:lineRule="auto"/>
              <w:jc w:val="left"/>
              <w:rPr>
                <w:rFonts w:eastAsia="Times New Roman" w:cs="Calibri"/>
                <w:color w:val="FFFFFF"/>
                <w:sz w:val="22"/>
                <w:lang w:eastAsia="es-CR"/>
              </w:rPr>
            </w:pPr>
            <w:r w:rsidRPr="00396CB4">
              <w:rPr>
                <w:rFonts w:eastAsia="Times New Roman" w:cs="Calibri"/>
                <w:color w:val="FFFFFF"/>
                <w:sz w:val="22"/>
                <w:lang w:eastAsia="es-CR"/>
              </w:rPr>
              <w:t>Oficio de la administración que lo detecto</w:t>
            </w:r>
          </w:p>
        </w:tc>
        <w:tc>
          <w:tcPr>
            <w:tcW w:w="4696" w:type="dxa"/>
            <w:tcBorders>
              <w:top w:val="nil"/>
              <w:left w:val="nil"/>
              <w:bottom w:val="single" w:sz="8" w:space="0" w:color="auto"/>
              <w:right w:val="single" w:sz="8" w:space="0" w:color="auto"/>
            </w:tcBorders>
            <w:shd w:val="clear" w:color="auto" w:fill="auto"/>
            <w:noWrap/>
            <w:vAlign w:val="center"/>
            <w:hideMark/>
          </w:tcPr>
          <w:p w14:paraId="7983E5B0"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w:t>
            </w:r>
          </w:p>
        </w:tc>
      </w:tr>
      <w:tr w:rsidR="00396CB4" w:rsidRPr="00396CB4" w14:paraId="66E95BF7" w14:textId="77777777" w:rsidTr="00396CB4">
        <w:trPr>
          <w:divId w:val="943459276"/>
          <w:trHeight w:val="249"/>
          <w:jc w:val="center"/>
        </w:trPr>
        <w:tc>
          <w:tcPr>
            <w:tcW w:w="3590"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728537BD" w14:textId="77777777" w:rsidR="00396CB4" w:rsidRPr="00396CB4" w:rsidRDefault="00396CB4" w:rsidP="00396CB4">
            <w:pPr>
              <w:spacing w:after="0" w:line="240" w:lineRule="auto"/>
              <w:jc w:val="left"/>
              <w:rPr>
                <w:rFonts w:eastAsia="Times New Roman" w:cs="Calibri"/>
                <w:color w:val="FFFFFF"/>
                <w:sz w:val="22"/>
                <w:lang w:eastAsia="es-CR"/>
              </w:rPr>
            </w:pPr>
            <w:r w:rsidRPr="00396CB4">
              <w:rPr>
                <w:rFonts w:eastAsia="Times New Roman" w:cs="Calibri"/>
                <w:color w:val="FFFFFF"/>
                <w:sz w:val="22"/>
                <w:lang w:eastAsia="es-CR"/>
              </w:rPr>
              <w:t>Fecha de Re expresión</w:t>
            </w:r>
          </w:p>
        </w:tc>
        <w:tc>
          <w:tcPr>
            <w:tcW w:w="4696" w:type="dxa"/>
            <w:tcBorders>
              <w:top w:val="nil"/>
              <w:left w:val="nil"/>
              <w:bottom w:val="single" w:sz="8" w:space="0" w:color="auto"/>
              <w:right w:val="single" w:sz="8" w:space="0" w:color="auto"/>
            </w:tcBorders>
            <w:shd w:val="clear" w:color="auto" w:fill="auto"/>
            <w:noWrap/>
            <w:vAlign w:val="center"/>
            <w:hideMark/>
          </w:tcPr>
          <w:p w14:paraId="7BB842D8"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w:t>
            </w:r>
          </w:p>
        </w:tc>
      </w:tr>
      <w:tr w:rsidR="00396CB4" w:rsidRPr="00396CB4" w14:paraId="4B2A89C6" w14:textId="77777777" w:rsidTr="00396CB4">
        <w:trPr>
          <w:divId w:val="943459276"/>
          <w:trHeight w:val="249"/>
          <w:jc w:val="center"/>
        </w:trPr>
        <w:tc>
          <w:tcPr>
            <w:tcW w:w="3590" w:type="dxa"/>
            <w:tcBorders>
              <w:top w:val="nil"/>
              <w:left w:val="single" w:sz="8" w:space="0" w:color="auto"/>
              <w:bottom w:val="single" w:sz="8" w:space="0" w:color="auto"/>
              <w:right w:val="single" w:sz="8" w:space="0" w:color="auto"/>
            </w:tcBorders>
            <w:shd w:val="clear" w:color="000000" w:fill="1F3864"/>
            <w:vAlign w:val="center"/>
            <w:hideMark/>
          </w:tcPr>
          <w:p w14:paraId="217A0A8B" w14:textId="77777777" w:rsidR="00396CB4" w:rsidRPr="00396CB4" w:rsidRDefault="00396CB4" w:rsidP="00396CB4">
            <w:pPr>
              <w:spacing w:after="0" w:line="240" w:lineRule="auto"/>
              <w:jc w:val="left"/>
              <w:rPr>
                <w:rFonts w:eastAsia="Times New Roman" w:cs="Calibri"/>
                <w:color w:val="FFFFFF"/>
                <w:sz w:val="22"/>
                <w:lang w:eastAsia="es-CR"/>
              </w:rPr>
            </w:pPr>
            <w:r w:rsidRPr="00396CB4">
              <w:rPr>
                <w:rFonts w:eastAsia="Times New Roman" w:cs="Calibri"/>
                <w:color w:val="FFFFFF"/>
                <w:sz w:val="22"/>
                <w:lang w:eastAsia="es-CR"/>
              </w:rPr>
              <w:t>Observaciones</w:t>
            </w:r>
          </w:p>
        </w:tc>
        <w:tc>
          <w:tcPr>
            <w:tcW w:w="4696" w:type="dxa"/>
            <w:tcBorders>
              <w:top w:val="nil"/>
              <w:left w:val="nil"/>
              <w:bottom w:val="single" w:sz="8" w:space="0" w:color="auto"/>
              <w:right w:val="single" w:sz="8" w:space="0" w:color="auto"/>
            </w:tcBorders>
            <w:shd w:val="clear" w:color="auto" w:fill="auto"/>
            <w:noWrap/>
            <w:vAlign w:val="center"/>
            <w:hideMark/>
          </w:tcPr>
          <w:p w14:paraId="61F33AFB"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w:t>
            </w:r>
          </w:p>
        </w:tc>
      </w:tr>
    </w:tbl>
    <w:p w14:paraId="4A4C4BA0" w14:textId="267FB9F6" w:rsidR="000B404C" w:rsidRPr="0074522C" w:rsidRDefault="00900BB0" w:rsidP="003A31CC">
      <w:pPr>
        <w:spacing w:before="240"/>
        <w:rPr>
          <w:rFonts w:eastAsia="Calibri" w:cs="Arial"/>
          <w:color w:val="000000"/>
          <w:lang w:val="es-ES_tradnl"/>
        </w:rPr>
      </w:pPr>
      <w:r>
        <w:rPr>
          <w:rFonts w:eastAsia="Calibri" w:cs="Arial"/>
          <w:color w:val="000000"/>
          <w:lang w:val="es-ES_tradnl"/>
        </w:rPr>
        <w:fldChar w:fldCharType="end"/>
      </w:r>
      <w:r w:rsidR="000B404C" w:rsidRPr="000B404C">
        <w:t xml:space="preserve">El responsable contable no solamente debe analizar hechos ocurridos después de la fecha de presentación que impliquen ajustes, sino también los hechos ocurridos después de la fecha de </w:t>
      </w:r>
      <w:r w:rsidR="000B404C" w:rsidRPr="000B404C">
        <w:lastRenderedPageBreak/>
        <w:t xml:space="preserve">presentación que no implican ajustes y realizar la revelación considerando lo dispuesto en el párrafo </w:t>
      </w:r>
      <w:r w:rsidR="00796636">
        <w:t>31</w:t>
      </w:r>
      <w:r w:rsidR="000B404C" w:rsidRPr="000B404C">
        <w:t xml:space="preserve"> de la NICSP 14.</w:t>
      </w:r>
    </w:p>
    <w:p w14:paraId="3E1A82D5" w14:textId="77777777" w:rsidR="000B404C" w:rsidRPr="000B404C" w:rsidRDefault="000B404C" w:rsidP="000B404C">
      <w:pPr>
        <w:rPr>
          <w:b/>
        </w:rPr>
      </w:pPr>
      <w:r w:rsidRPr="000B404C">
        <w:rPr>
          <w:b/>
        </w:rPr>
        <w:t xml:space="preserve">Revelación de hechos ocurridos después de la fecha de presentación que no implican ajustes </w:t>
      </w:r>
    </w:p>
    <w:p w14:paraId="6FC2B51D" w14:textId="6A3F9E05" w:rsidR="000B404C" w:rsidRPr="000B404C" w:rsidRDefault="000B404C" w:rsidP="000B404C">
      <w:pPr>
        <w:spacing w:line="240" w:lineRule="auto"/>
        <w:rPr>
          <w:rStyle w:val="nfasis"/>
        </w:rPr>
      </w:pPr>
      <w:r w:rsidRPr="000B404C">
        <w:rPr>
          <w:rStyle w:val="nfasis"/>
        </w:rPr>
        <w:t>“</w:t>
      </w:r>
      <w:r w:rsidR="00796636">
        <w:rPr>
          <w:rStyle w:val="nfasis"/>
        </w:rPr>
        <w:t>31</w:t>
      </w:r>
      <w:r w:rsidRPr="000B404C">
        <w:rPr>
          <w:rStyle w:val="nfasis"/>
        </w:rPr>
        <w:t>. Si los hechos posteriores a la fecha de presentación que no implican ajustes tienen importancia relativa o son significativos, su no revelación puede influir en las decisiones económicas de los usuarios tomadas a partir de los estados financieros. En consecuencia, una entidad deberá revelar la siguiente información para cada una de las categorías significativas de hechos ocurridos después de la fecha de presentación que no implican ajustes: (a) la naturaleza del hecho; y (b) una estimación de su efecto financiero, o un pronunciamiento sobre la imposibilidad de realizar tal estimación.”</w:t>
      </w:r>
    </w:p>
    <w:p w14:paraId="37428F49" w14:textId="77777777" w:rsidR="00151BA7" w:rsidRDefault="000C3947" w:rsidP="00151BA7">
      <w:pPr>
        <w:spacing w:line="240" w:lineRule="auto"/>
        <w:rPr>
          <w:b/>
          <w:color w:val="FFFFFF" w:themeColor="background1"/>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p>
    <w:p w14:paraId="6645DFA9" w14:textId="56167991" w:rsidR="00151BA7" w:rsidRDefault="00151BA7" w:rsidP="00151BA7">
      <w:pPr>
        <w:spacing w:line="240" w:lineRule="auto"/>
        <w:rPr>
          <w:lang w:val="es-MX"/>
        </w:rPr>
      </w:pPr>
      <w:r w:rsidRPr="00D15A6E">
        <w:t>Los</w:t>
      </w:r>
      <w:r>
        <w:rPr>
          <w:lang w:val="es-MX"/>
        </w:rPr>
        <w:t xml:space="preserve"> eventos de ajuste después de la fecha de presentación de reporte, los que proporcionan evidencia de condiciones que existían a la fecha de presentación de reporte se ajustan los estados financieros para reflejar los eventos.</w:t>
      </w:r>
    </w:p>
    <w:p w14:paraId="21A24C2F" w14:textId="77777777" w:rsidR="00151BA7" w:rsidRDefault="00151BA7" w:rsidP="00151BA7">
      <w:pPr>
        <w:spacing w:line="240" w:lineRule="auto"/>
        <w:rPr>
          <w:lang w:val="es-MX"/>
        </w:rPr>
      </w:pPr>
      <w:r>
        <w:rPr>
          <w:lang w:val="es-MX"/>
        </w:rPr>
        <w:t>Los eventos que no requieren ajuste después de la fecha de presentación de reporte, y que están relacionados con condiciones que surgen después de la fecha de presentación de reporte no se ajustan en los estados financieros para reflejar dichos eventos, pero si se hacen las revelaciones pertinentes.</w:t>
      </w:r>
    </w:p>
    <w:p w14:paraId="6A516F3A" w14:textId="77777777" w:rsidR="00151BA7" w:rsidRDefault="00151BA7" w:rsidP="00151BA7">
      <w:pPr>
        <w:spacing w:line="240" w:lineRule="auto"/>
        <w:rPr>
          <w:b/>
          <w:u w:val="single"/>
        </w:rPr>
      </w:pPr>
      <w:r>
        <w:rPr>
          <w:lang w:val="es-MX"/>
        </w:rPr>
        <w:t>Si se obtiene información después de la fecha de presentación de reporte, pero antes que los estados financieros sean autorizados para emisión, acerca de condiciones que existían a la fecha de presentación de reporte, la entidad tiene que actualizar las revelaciones que se relacionen con esas condiciones sobre la nueva información</w:t>
      </w:r>
    </w:p>
    <w:p w14:paraId="61C4A7C1" w14:textId="20227DEE" w:rsidR="000C3947" w:rsidRPr="003516A2" w:rsidRDefault="000C3947" w:rsidP="000C3947">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53E1DA01" w14:textId="3C8B55CF" w:rsidR="00151BA7" w:rsidRDefault="00151BA7" w:rsidP="00151BA7">
      <w:pPr>
        <w:spacing w:after="120" w:line="240" w:lineRule="auto"/>
        <w:rPr>
          <w:lang w:val="es-MX"/>
        </w:rPr>
      </w:pPr>
      <w:r>
        <w:rPr>
          <w:lang w:val="es-MX"/>
        </w:rPr>
        <w:t xml:space="preserve">Los eventos favorables o desfavorables ocurridos entre la fecha de presentación de reporte y la fecha de autorización de los estados financieros para emisión se miden y/o revelan por el valor confiable del evento determinado a la fecha de presentación de reporte, </w:t>
      </w:r>
      <w:r w:rsidRPr="00716167">
        <w:rPr>
          <w:lang w:val="es-MX"/>
        </w:rPr>
        <w:t>para reflejar la incidencia de los hechos ocurridos después de la fecha de presentación</w:t>
      </w:r>
      <w:r>
        <w:rPr>
          <w:lang w:val="es-MX"/>
        </w:rPr>
        <w:t xml:space="preserve">. </w:t>
      </w:r>
    </w:p>
    <w:p w14:paraId="4867AD75" w14:textId="77777777" w:rsidR="00151BA7" w:rsidRPr="002007F6" w:rsidRDefault="00151BA7" w:rsidP="00151BA7">
      <w:pPr>
        <w:spacing w:after="120" w:line="240" w:lineRule="auto"/>
        <w:rPr>
          <w:lang w:val="es-MX"/>
        </w:rPr>
      </w:pPr>
    </w:p>
    <w:p w14:paraId="30A7ED08" w14:textId="5B1E0B44" w:rsidR="000B404C" w:rsidRPr="000B404C" w:rsidRDefault="000B404C" w:rsidP="000B404C">
      <w:pPr>
        <w:rPr>
          <w:b/>
          <w:u w:val="single"/>
        </w:rPr>
      </w:pPr>
      <w:r w:rsidRPr="000C3947">
        <w:rPr>
          <w:b/>
          <w:color w:val="FFFFFF" w:themeColor="background1"/>
          <w:highlight w:val="darkBlue"/>
          <w:u w:val="single"/>
        </w:rPr>
        <w:t>Revelación Suficiente:</w:t>
      </w:r>
      <w:r w:rsidRPr="000B404C">
        <w:rPr>
          <w:b/>
          <w:u w:val="single"/>
        </w:rPr>
        <w:t xml:space="preserve"> </w:t>
      </w:r>
      <w:r w:rsidR="00482942">
        <w:rPr>
          <w:b/>
          <w:u w:val="single"/>
        </w:rPr>
        <w:t xml:space="preserve">El ente debe revelar y cumplir </w:t>
      </w:r>
      <w:r w:rsidRPr="000B404C">
        <w:rPr>
          <w:b/>
          <w:u w:val="single"/>
        </w:rPr>
        <w:t xml:space="preserve">con lo estipulado en revelación </w:t>
      </w:r>
      <w:r w:rsidR="00482942">
        <w:rPr>
          <w:b/>
          <w:u w:val="single"/>
        </w:rPr>
        <w:t>conforme</w:t>
      </w:r>
      <w:r w:rsidRPr="000B404C">
        <w:rPr>
          <w:b/>
          <w:u w:val="single"/>
        </w:rPr>
        <w:t xml:space="preserve"> a la NICSP, también debe considerar la política general y los párrafos incluidos en la matriz de autoevaluación referente a esta NICSP y guías de aplicación (Ver GA NICSP 14) Considerar también aquellos hechos que no tienen impacto contable:</w:t>
      </w:r>
    </w:p>
    <w:p w14:paraId="56EDD65C" w14:textId="77777777" w:rsidR="00C82A94" w:rsidRPr="002B5BDB" w:rsidRDefault="00C82A94" w:rsidP="00C82A94">
      <w:pPr>
        <w:spacing w:after="0" w:line="240" w:lineRule="auto"/>
        <w:rPr>
          <w:rFonts w:eastAsia="Calibri" w:cs="Arial"/>
          <w:b/>
          <w:bCs/>
          <w:color w:val="000000"/>
          <w:lang w:val="es-ES_tradnl"/>
        </w:rPr>
      </w:pPr>
      <w:r w:rsidRPr="00285CAD">
        <w:rPr>
          <w:rFonts w:eastAsia="Calibri" w:cs="Arial"/>
          <w:b/>
          <w:bCs/>
          <w:color w:val="000000"/>
          <w:lang w:val="es-ES_tradnl"/>
        </w:rPr>
        <w:t>Principales Políticas</w:t>
      </w:r>
    </w:p>
    <w:p w14:paraId="7D457018" w14:textId="77777777" w:rsidR="00C82A94" w:rsidRPr="00AF3F82" w:rsidRDefault="00C82A94" w:rsidP="00C82A94">
      <w:pPr>
        <w:autoSpaceDE w:val="0"/>
        <w:autoSpaceDN w:val="0"/>
        <w:adjustRightInd w:val="0"/>
        <w:spacing w:after="0" w:line="240" w:lineRule="auto"/>
        <w:jc w:val="left"/>
        <w:rPr>
          <w:rFonts w:ascii="Arial" w:hAnsi="Arial" w:cs="Arial"/>
          <w:color w:val="000000"/>
          <w:szCs w:val="24"/>
          <w:lang w:val="en-US"/>
        </w:rPr>
      </w:pPr>
    </w:p>
    <w:p w14:paraId="6BEA3F67" w14:textId="77777777" w:rsidR="00C82A94" w:rsidRPr="002B5BDB" w:rsidRDefault="00C82A94" w:rsidP="007F4626">
      <w:pPr>
        <w:numPr>
          <w:ilvl w:val="1"/>
          <w:numId w:val="33"/>
        </w:numPr>
        <w:autoSpaceDE w:val="0"/>
        <w:autoSpaceDN w:val="0"/>
        <w:adjustRightInd w:val="0"/>
        <w:spacing w:after="20" w:line="240" w:lineRule="auto"/>
        <w:rPr>
          <w:rFonts w:ascii="Arial" w:hAnsi="Arial" w:cs="Arial"/>
          <w:color w:val="000000"/>
          <w:sz w:val="23"/>
          <w:szCs w:val="23"/>
        </w:rPr>
      </w:pPr>
      <w:r>
        <w:rPr>
          <w:rFonts w:cs="Arial"/>
          <w:color w:val="000000"/>
          <w:szCs w:val="24"/>
        </w:rPr>
        <w:t xml:space="preserve">La MBA </w:t>
      </w:r>
      <w:r w:rsidRPr="00AF3F82">
        <w:rPr>
          <w:rFonts w:cs="Arial"/>
          <w:color w:val="000000"/>
          <w:szCs w:val="24"/>
        </w:rPr>
        <w:t xml:space="preserve">procederá a determinar la existencia o no de </w:t>
      </w:r>
      <w:r w:rsidRPr="00AF3F82">
        <w:rPr>
          <w:rFonts w:cs="Arial"/>
          <w:b/>
          <w:bCs/>
          <w:color w:val="000000"/>
          <w:szCs w:val="24"/>
        </w:rPr>
        <w:t>hechos ocurridos después la fecha sobre la que se informa</w:t>
      </w:r>
      <w:r w:rsidRPr="00AF3F82">
        <w:rPr>
          <w:rFonts w:cs="Arial"/>
          <w:color w:val="000000"/>
          <w:szCs w:val="24"/>
        </w:rPr>
        <w:t>. A partir de esa evidencia</w:t>
      </w:r>
      <w:r>
        <w:rPr>
          <w:rFonts w:cs="Arial"/>
          <w:color w:val="000000"/>
          <w:szCs w:val="24"/>
        </w:rPr>
        <w:t xml:space="preserve"> establecerá</w:t>
      </w:r>
      <w:r w:rsidRPr="00AF3F82">
        <w:rPr>
          <w:rFonts w:cs="Arial"/>
          <w:color w:val="000000"/>
          <w:szCs w:val="24"/>
        </w:rPr>
        <w:t xml:space="preserve">: </w:t>
      </w:r>
    </w:p>
    <w:p w14:paraId="148F47D5" w14:textId="77777777" w:rsidR="00C82A94" w:rsidRPr="00AF3F82" w:rsidRDefault="00C82A94" w:rsidP="007F4626">
      <w:pPr>
        <w:numPr>
          <w:ilvl w:val="1"/>
          <w:numId w:val="34"/>
        </w:numPr>
        <w:autoSpaceDE w:val="0"/>
        <w:autoSpaceDN w:val="0"/>
        <w:adjustRightInd w:val="0"/>
        <w:spacing w:after="20" w:line="240" w:lineRule="auto"/>
        <w:rPr>
          <w:rFonts w:ascii="Arial" w:hAnsi="Arial" w:cs="Arial"/>
          <w:color w:val="000000"/>
          <w:sz w:val="23"/>
          <w:szCs w:val="23"/>
        </w:rPr>
      </w:pPr>
      <w:r>
        <w:rPr>
          <w:rFonts w:cs="Arial"/>
          <w:color w:val="000000"/>
          <w:szCs w:val="24"/>
        </w:rPr>
        <w:lastRenderedPageBreak/>
        <w:t>S</w:t>
      </w:r>
      <w:r w:rsidRPr="00AF3F82">
        <w:rPr>
          <w:rFonts w:cs="Arial"/>
          <w:color w:val="000000"/>
          <w:szCs w:val="24"/>
        </w:rPr>
        <w:t xml:space="preserve">i es </w:t>
      </w:r>
      <w:r w:rsidRPr="00AF3F82">
        <w:rPr>
          <w:rFonts w:cs="Arial"/>
          <w:b/>
          <w:bCs/>
          <w:color w:val="000000"/>
          <w:szCs w:val="24"/>
        </w:rPr>
        <w:t xml:space="preserve">más probable que improbable </w:t>
      </w:r>
      <w:r w:rsidRPr="00AF3F82">
        <w:rPr>
          <w:rFonts w:cs="Arial"/>
          <w:color w:val="000000"/>
          <w:szCs w:val="24"/>
        </w:rPr>
        <w:t xml:space="preserve">que una obligación presente </w:t>
      </w:r>
      <w:r w:rsidRPr="00AF3F82">
        <w:rPr>
          <w:rFonts w:cs="Arial"/>
          <w:b/>
          <w:bCs/>
          <w:color w:val="000000"/>
          <w:szCs w:val="24"/>
        </w:rPr>
        <w:t xml:space="preserve">exista </w:t>
      </w:r>
      <w:r w:rsidRPr="00AF3F82">
        <w:rPr>
          <w:rFonts w:cs="Arial"/>
          <w:color w:val="000000"/>
          <w:szCs w:val="24"/>
        </w:rPr>
        <w:t>en la fecha sobre la que se informa, la entidad reconocerá una provisión (siempre que se satisfagan los criterios de reconocimiento);</w:t>
      </w:r>
      <w:r w:rsidRPr="00AF3F82">
        <w:rPr>
          <w:rFonts w:ascii="Arial" w:hAnsi="Arial" w:cs="Arial"/>
          <w:color w:val="000000"/>
          <w:sz w:val="23"/>
          <w:szCs w:val="23"/>
        </w:rPr>
        <w:t xml:space="preserve"> </w:t>
      </w:r>
    </w:p>
    <w:p w14:paraId="57C38221" w14:textId="77777777" w:rsidR="00C82A94" w:rsidRPr="00AF3F82" w:rsidRDefault="00C82A94" w:rsidP="007F4626">
      <w:pPr>
        <w:numPr>
          <w:ilvl w:val="1"/>
          <w:numId w:val="34"/>
        </w:numPr>
        <w:autoSpaceDE w:val="0"/>
        <w:autoSpaceDN w:val="0"/>
        <w:adjustRightInd w:val="0"/>
        <w:spacing w:after="0" w:line="240" w:lineRule="auto"/>
        <w:rPr>
          <w:rFonts w:cs="Arial"/>
          <w:color w:val="000000"/>
          <w:szCs w:val="24"/>
        </w:rPr>
      </w:pPr>
      <w:r>
        <w:rPr>
          <w:rFonts w:cs="Arial"/>
          <w:color w:val="000000"/>
          <w:szCs w:val="24"/>
        </w:rPr>
        <w:t>S</w:t>
      </w:r>
      <w:r w:rsidRPr="00AF3F82">
        <w:rPr>
          <w:rFonts w:cs="Arial"/>
          <w:color w:val="000000"/>
          <w:szCs w:val="24"/>
        </w:rPr>
        <w:t xml:space="preserve">i es </w:t>
      </w:r>
      <w:r w:rsidRPr="00AF3F82">
        <w:rPr>
          <w:rFonts w:cs="Arial"/>
          <w:b/>
          <w:bCs/>
          <w:color w:val="000000"/>
          <w:szCs w:val="24"/>
        </w:rPr>
        <w:t xml:space="preserve">más probable que improbable </w:t>
      </w:r>
      <w:r w:rsidRPr="00AF3F82">
        <w:rPr>
          <w:rFonts w:cs="Arial"/>
          <w:color w:val="000000"/>
          <w:szCs w:val="24"/>
        </w:rPr>
        <w:t xml:space="preserve">que </w:t>
      </w:r>
      <w:r w:rsidRPr="00AF3F82">
        <w:rPr>
          <w:rFonts w:cs="Arial"/>
          <w:b/>
          <w:bCs/>
          <w:color w:val="000000"/>
          <w:szCs w:val="24"/>
        </w:rPr>
        <w:t xml:space="preserve">ninguna obligación presente exista </w:t>
      </w:r>
      <w:r w:rsidRPr="00AF3F82">
        <w:rPr>
          <w:rFonts w:cs="Arial"/>
          <w:color w:val="000000"/>
          <w:szCs w:val="24"/>
        </w:rPr>
        <w:t xml:space="preserve">en la fecha sobre la que se informa, la entidad </w:t>
      </w:r>
      <w:r w:rsidRPr="00AF3F82">
        <w:rPr>
          <w:rFonts w:cs="Arial"/>
          <w:b/>
          <w:bCs/>
          <w:color w:val="000000"/>
          <w:szCs w:val="24"/>
        </w:rPr>
        <w:t xml:space="preserve">informará en las notas de la existencia de un pasivo contingente, </w:t>
      </w:r>
      <w:r w:rsidRPr="00AF3F82">
        <w:rPr>
          <w:rFonts w:cs="Arial"/>
          <w:color w:val="000000"/>
          <w:szCs w:val="24"/>
        </w:rPr>
        <w:t xml:space="preserve">salvo que la posibilidad de un flujo de salida de recursos que incorporen beneficios económicos o un potencial de servicio sea remota. </w:t>
      </w:r>
    </w:p>
    <w:p w14:paraId="02641E55" w14:textId="77777777" w:rsidR="00C82A94" w:rsidRPr="00AF3F82" w:rsidRDefault="00C82A94" w:rsidP="007F4626">
      <w:pPr>
        <w:numPr>
          <w:ilvl w:val="1"/>
          <w:numId w:val="33"/>
        </w:numPr>
        <w:autoSpaceDE w:val="0"/>
        <w:autoSpaceDN w:val="0"/>
        <w:adjustRightInd w:val="0"/>
        <w:spacing w:after="0" w:line="240" w:lineRule="auto"/>
        <w:rPr>
          <w:rFonts w:cs="Arial"/>
          <w:color w:val="000000"/>
          <w:szCs w:val="24"/>
        </w:rPr>
      </w:pPr>
    </w:p>
    <w:p w14:paraId="55EC5D66" w14:textId="77777777" w:rsidR="00C82A94" w:rsidRDefault="00C82A94" w:rsidP="00C82A94">
      <w:pPr>
        <w:autoSpaceDE w:val="0"/>
        <w:autoSpaceDN w:val="0"/>
        <w:adjustRightInd w:val="0"/>
        <w:spacing w:after="0" w:line="240" w:lineRule="auto"/>
        <w:rPr>
          <w:rFonts w:cs="Arial"/>
          <w:color w:val="000000"/>
          <w:szCs w:val="24"/>
        </w:rPr>
      </w:pPr>
      <w:r w:rsidRPr="00AF3F82">
        <w:rPr>
          <w:rFonts w:cs="Arial"/>
          <w:color w:val="000000"/>
          <w:szCs w:val="24"/>
        </w:rPr>
        <w:t>S</w:t>
      </w:r>
      <w:r>
        <w:rPr>
          <w:rFonts w:cs="Arial"/>
          <w:color w:val="000000"/>
          <w:szCs w:val="24"/>
        </w:rPr>
        <w:t xml:space="preserve">e considerarán </w:t>
      </w:r>
      <w:r w:rsidRPr="00AF3F82">
        <w:rPr>
          <w:rFonts w:cs="Arial"/>
          <w:b/>
          <w:bCs/>
          <w:color w:val="000000"/>
          <w:szCs w:val="24"/>
        </w:rPr>
        <w:t>hechos ocurridos después la fecha sobre la que se informa</w:t>
      </w:r>
      <w:r>
        <w:rPr>
          <w:rFonts w:cs="Arial"/>
          <w:b/>
          <w:bCs/>
          <w:color w:val="000000"/>
          <w:szCs w:val="24"/>
        </w:rPr>
        <w:t>,</w:t>
      </w:r>
      <w:r w:rsidRPr="00AF3F82">
        <w:rPr>
          <w:rFonts w:cs="Arial"/>
          <w:color w:val="000000"/>
          <w:szCs w:val="24"/>
        </w:rPr>
        <w:t xml:space="preserve"> todos aquellos sucesos, ya sean favorables o desfavorables, que se han producido entre la fecha sobre la que se informa y la fecha de autorización de los EEFF para su emisión. Pueden identificarse dos tipos de tales sucesos:</w:t>
      </w:r>
    </w:p>
    <w:p w14:paraId="67C7E693" w14:textId="77777777" w:rsidR="00C82A94" w:rsidRPr="00AF3F82" w:rsidRDefault="00C82A94" w:rsidP="00C82A94">
      <w:pPr>
        <w:autoSpaceDE w:val="0"/>
        <w:autoSpaceDN w:val="0"/>
        <w:adjustRightInd w:val="0"/>
        <w:spacing w:after="0" w:line="240" w:lineRule="auto"/>
        <w:rPr>
          <w:rFonts w:cs="Arial"/>
          <w:color w:val="000000"/>
          <w:szCs w:val="24"/>
        </w:rPr>
      </w:pPr>
    </w:p>
    <w:p w14:paraId="7AE5820C" w14:textId="77777777" w:rsidR="00C82A94" w:rsidRPr="002B5BDB" w:rsidRDefault="00C82A94" w:rsidP="007F4626">
      <w:pPr>
        <w:numPr>
          <w:ilvl w:val="0"/>
          <w:numId w:val="35"/>
        </w:numPr>
        <w:autoSpaceDE w:val="0"/>
        <w:autoSpaceDN w:val="0"/>
        <w:adjustRightInd w:val="0"/>
        <w:spacing w:after="19" w:line="240" w:lineRule="auto"/>
        <w:ind w:left="284" w:hanging="284"/>
        <w:rPr>
          <w:rFonts w:cs="Arial"/>
          <w:color w:val="000000"/>
          <w:szCs w:val="24"/>
        </w:rPr>
      </w:pPr>
      <w:r>
        <w:rPr>
          <w:rFonts w:cs="Arial"/>
          <w:color w:val="000000"/>
          <w:szCs w:val="24"/>
        </w:rPr>
        <w:t>L</w:t>
      </w:r>
      <w:r w:rsidRPr="00AF3F82">
        <w:rPr>
          <w:rFonts w:cs="Arial"/>
          <w:color w:val="000000"/>
          <w:szCs w:val="24"/>
        </w:rPr>
        <w:t>os</w:t>
      </w:r>
      <w:r>
        <w:rPr>
          <w:rFonts w:cs="Arial"/>
          <w:color w:val="000000"/>
          <w:szCs w:val="24"/>
        </w:rPr>
        <w:t xml:space="preserve"> que implican ajustes, son aquellos</w:t>
      </w:r>
      <w:r w:rsidRPr="00AF3F82">
        <w:rPr>
          <w:rFonts w:cs="Arial"/>
          <w:color w:val="000000"/>
          <w:szCs w:val="24"/>
        </w:rPr>
        <w:t xml:space="preserve"> que suministran evidencia de condiciones que ya existían en la fecha sobre la que se informa (hechos posteriores a la fecha sobre la que se informa que implican ajuste); </w:t>
      </w:r>
      <w:r>
        <w:rPr>
          <w:rFonts w:cs="Arial"/>
          <w:color w:val="000000"/>
          <w:szCs w:val="24"/>
        </w:rPr>
        <w:t>en este caso se procederá</w:t>
      </w:r>
      <w:r w:rsidRPr="002B5BDB">
        <w:rPr>
          <w:szCs w:val="24"/>
        </w:rPr>
        <w:t xml:space="preserve"> modificar los importes reconocidos en sus EEFF para reflejar la incidencia de los hechos ocurridos después de la fecha sobre la que se informa, que impliquen ajustes;</w:t>
      </w:r>
    </w:p>
    <w:p w14:paraId="51BAEEBC" w14:textId="77777777" w:rsidR="00C82A94" w:rsidRPr="00AF3F82" w:rsidRDefault="00C82A94" w:rsidP="007F4626">
      <w:pPr>
        <w:numPr>
          <w:ilvl w:val="0"/>
          <w:numId w:val="35"/>
        </w:numPr>
        <w:autoSpaceDE w:val="0"/>
        <w:autoSpaceDN w:val="0"/>
        <w:adjustRightInd w:val="0"/>
        <w:spacing w:after="0" w:line="240" w:lineRule="auto"/>
        <w:ind w:left="284" w:hanging="284"/>
        <w:rPr>
          <w:rFonts w:cs="Arial"/>
          <w:color w:val="000000"/>
          <w:szCs w:val="24"/>
        </w:rPr>
      </w:pPr>
      <w:r>
        <w:rPr>
          <w:rFonts w:cs="Arial"/>
          <w:color w:val="000000"/>
          <w:szCs w:val="24"/>
        </w:rPr>
        <w:t>L</w:t>
      </w:r>
      <w:r w:rsidRPr="00AF3F82">
        <w:rPr>
          <w:rFonts w:cs="Arial"/>
          <w:color w:val="000000"/>
          <w:szCs w:val="24"/>
        </w:rPr>
        <w:t xml:space="preserve">os </w:t>
      </w:r>
      <w:r>
        <w:rPr>
          <w:rFonts w:cs="Arial"/>
          <w:color w:val="000000"/>
          <w:szCs w:val="24"/>
        </w:rPr>
        <w:t>no implican ajustes, son a</w:t>
      </w:r>
      <w:r w:rsidRPr="00AF3F82">
        <w:rPr>
          <w:rFonts w:cs="Arial"/>
          <w:color w:val="000000"/>
          <w:szCs w:val="24"/>
        </w:rPr>
        <w:t>que</w:t>
      </w:r>
      <w:r>
        <w:rPr>
          <w:rFonts w:cs="Arial"/>
          <w:color w:val="000000"/>
          <w:szCs w:val="24"/>
        </w:rPr>
        <w:t>llos</w:t>
      </w:r>
      <w:r w:rsidRPr="00AF3F82">
        <w:rPr>
          <w:rFonts w:cs="Arial"/>
          <w:color w:val="000000"/>
          <w:szCs w:val="24"/>
        </w:rPr>
        <w:t xml:space="preserve"> indicativos de condiciones que han aparecido después de la fecha sobre la que se informa (hechos posteriores a la fecha sobre la que se informa que no implican ajuste</w:t>
      </w:r>
      <w:r>
        <w:rPr>
          <w:rFonts w:cs="Arial"/>
          <w:color w:val="000000"/>
          <w:szCs w:val="24"/>
        </w:rPr>
        <w:t>)</w:t>
      </w:r>
      <w:r w:rsidRPr="00AF3F82">
        <w:rPr>
          <w:rFonts w:cs="Arial"/>
          <w:color w:val="000000"/>
          <w:szCs w:val="24"/>
        </w:rPr>
        <w:t xml:space="preserve"> </w:t>
      </w:r>
    </w:p>
    <w:p w14:paraId="0B657D30" w14:textId="77777777" w:rsidR="00C82A94" w:rsidRPr="002B5BDB" w:rsidRDefault="00C82A94" w:rsidP="00C82A94">
      <w:pPr>
        <w:spacing w:after="0" w:line="240" w:lineRule="auto"/>
        <w:rPr>
          <w:rFonts w:eastAsia="Calibri" w:cs="Arial"/>
          <w:color w:val="000000"/>
          <w:szCs w:val="24"/>
        </w:rPr>
      </w:pPr>
    </w:p>
    <w:p w14:paraId="4F805A93" w14:textId="77777777" w:rsidR="00C82A94" w:rsidRPr="002B5BDB" w:rsidRDefault="00C82A94" w:rsidP="00C82A94">
      <w:pPr>
        <w:spacing w:after="0" w:line="240" w:lineRule="auto"/>
        <w:rPr>
          <w:szCs w:val="24"/>
        </w:rPr>
      </w:pPr>
      <w:r w:rsidRPr="002B5BDB">
        <w:rPr>
          <w:szCs w:val="24"/>
        </w:rPr>
        <w:t xml:space="preserve">La </w:t>
      </w:r>
      <w:r>
        <w:rPr>
          <w:szCs w:val="24"/>
        </w:rPr>
        <w:t xml:space="preserve">MBA revelará lo pertinente sobre </w:t>
      </w:r>
      <w:r w:rsidRPr="002B5BDB">
        <w:rPr>
          <w:szCs w:val="24"/>
        </w:rPr>
        <w:t>la premisa básica de “ente en marcha”</w:t>
      </w:r>
      <w:r>
        <w:rPr>
          <w:szCs w:val="24"/>
        </w:rPr>
        <w:t>, entre lo que incluye l</w:t>
      </w:r>
      <w:r w:rsidRPr="001C1A34">
        <w:rPr>
          <w:szCs w:val="24"/>
        </w:rPr>
        <w:t xml:space="preserve">a intención de liquidar la entidad o cesar en sus operaciones </w:t>
      </w:r>
      <w:r w:rsidRPr="002B5BDB">
        <w:rPr>
          <w:szCs w:val="24"/>
        </w:rPr>
        <w:t>deberá quedar formalizada por escrito y autorizada por autoridad competente.</w:t>
      </w:r>
    </w:p>
    <w:p w14:paraId="0A1FA5D4" w14:textId="77777777" w:rsidR="00C82A94" w:rsidRPr="002B5BDB" w:rsidRDefault="00C82A94" w:rsidP="00C82A94">
      <w:pPr>
        <w:spacing w:after="0" w:line="240" w:lineRule="auto"/>
        <w:rPr>
          <w:szCs w:val="24"/>
        </w:rPr>
      </w:pPr>
    </w:p>
    <w:p w14:paraId="7B29631F" w14:textId="77777777" w:rsidR="00C82A94" w:rsidRDefault="00C82A94" w:rsidP="00C82A94">
      <w:pPr>
        <w:spacing w:after="0" w:line="240" w:lineRule="auto"/>
        <w:rPr>
          <w:szCs w:val="24"/>
        </w:rPr>
      </w:pPr>
      <w:r w:rsidRPr="002B5BDB">
        <w:rPr>
          <w:szCs w:val="24"/>
        </w:rPr>
        <w:t xml:space="preserve">Cuando </w:t>
      </w:r>
      <w:r>
        <w:rPr>
          <w:szCs w:val="24"/>
        </w:rPr>
        <w:t xml:space="preserve">la MBA anuncie </w:t>
      </w:r>
      <w:r w:rsidRPr="002B5BDB">
        <w:rPr>
          <w:szCs w:val="24"/>
        </w:rPr>
        <w:t>una reestructuración después de la fecha sobre la que se</w:t>
      </w:r>
      <w:r>
        <w:rPr>
          <w:szCs w:val="24"/>
        </w:rPr>
        <w:t xml:space="preserve"> informa analizará e indicará</w:t>
      </w:r>
      <w:r w:rsidRPr="002B5BDB">
        <w:rPr>
          <w:szCs w:val="24"/>
        </w:rPr>
        <w:t xml:space="preserve"> que no implica ajuste</w:t>
      </w:r>
      <w:r>
        <w:rPr>
          <w:szCs w:val="24"/>
        </w:rPr>
        <w:t xml:space="preserve"> y</w:t>
      </w:r>
      <w:r w:rsidRPr="002B5BDB">
        <w:rPr>
          <w:szCs w:val="24"/>
        </w:rPr>
        <w:t>, se realizará una adecuada revelación de información sobre el particular.</w:t>
      </w:r>
      <w:r>
        <w:rPr>
          <w:szCs w:val="24"/>
        </w:rPr>
        <w:t xml:space="preserve"> </w:t>
      </w:r>
      <w:r w:rsidRPr="002B5BDB">
        <w:rPr>
          <w:szCs w:val="24"/>
        </w:rPr>
        <w:t xml:space="preserve">Sin embargo, cuando una reestructuración anunciada después de la fecha sobre la que se informa implica que </w:t>
      </w:r>
      <w:r>
        <w:rPr>
          <w:szCs w:val="24"/>
        </w:rPr>
        <w:t>la Municipalidad</w:t>
      </w:r>
      <w:r w:rsidRPr="002B5BDB">
        <w:rPr>
          <w:szCs w:val="24"/>
        </w:rPr>
        <w:t xml:space="preserve"> ya no se considera</w:t>
      </w:r>
      <w:r>
        <w:rPr>
          <w:szCs w:val="24"/>
        </w:rPr>
        <w:t>rá</w:t>
      </w:r>
      <w:r w:rsidRPr="002B5BDB">
        <w:rPr>
          <w:szCs w:val="24"/>
        </w:rPr>
        <w:t xml:space="preserve"> un ente en marcha, </w:t>
      </w:r>
      <w:r>
        <w:rPr>
          <w:szCs w:val="24"/>
        </w:rPr>
        <w:t xml:space="preserve">se deberá revelar lo pertinente sobre los posibles </w:t>
      </w:r>
      <w:r w:rsidRPr="002B5BDB">
        <w:rPr>
          <w:szCs w:val="24"/>
        </w:rPr>
        <w:t>cambi</w:t>
      </w:r>
      <w:r>
        <w:rPr>
          <w:szCs w:val="24"/>
        </w:rPr>
        <w:t>os,</w:t>
      </w:r>
      <w:r w:rsidRPr="002B5BDB">
        <w:rPr>
          <w:szCs w:val="24"/>
        </w:rPr>
        <w:t xml:space="preserve"> la naturaleza y los importes de activos y pasivos.</w:t>
      </w:r>
    </w:p>
    <w:p w14:paraId="7DCC836F" w14:textId="77777777" w:rsidR="00C82A94" w:rsidRDefault="00C82A94" w:rsidP="00C82A94">
      <w:pPr>
        <w:spacing w:after="0" w:line="240" w:lineRule="auto"/>
        <w:rPr>
          <w:szCs w:val="24"/>
        </w:rPr>
      </w:pPr>
    </w:p>
    <w:p w14:paraId="29DB3E2C" w14:textId="77777777" w:rsidR="00C82A94" w:rsidRDefault="00C82A94" w:rsidP="00C82A94">
      <w:pPr>
        <w:autoSpaceDE w:val="0"/>
        <w:autoSpaceDN w:val="0"/>
        <w:adjustRightInd w:val="0"/>
        <w:spacing w:after="0" w:line="240" w:lineRule="auto"/>
        <w:rPr>
          <w:rFonts w:cs="Arial"/>
          <w:color w:val="000000"/>
          <w:szCs w:val="24"/>
        </w:rPr>
      </w:pPr>
      <w:r w:rsidRPr="002B5BDB">
        <w:rPr>
          <w:rFonts w:cs="Arial"/>
          <w:color w:val="000000"/>
          <w:szCs w:val="24"/>
        </w:rPr>
        <w:t xml:space="preserve">Las </w:t>
      </w:r>
      <w:r>
        <w:rPr>
          <w:rFonts w:cs="Arial"/>
          <w:color w:val="000000"/>
          <w:szCs w:val="24"/>
        </w:rPr>
        <w:t>MBA</w:t>
      </w:r>
      <w:r w:rsidRPr="002B5BDB">
        <w:rPr>
          <w:rFonts w:cs="Arial"/>
          <w:color w:val="000000"/>
          <w:szCs w:val="24"/>
        </w:rPr>
        <w:t xml:space="preserve"> revelar</w:t>
      </w:r>
      <w:r>
        <w:rPr>
          <w:rFonts w:cs="Arial"/>
          <w:color w:val="000000"/>
          <w:szCs w:val="24"/>
        </w:rPr>
        <w:t>á</w:t>
      </w:r>
      <w:r w:rsidRPr="002B5BDB">
        <w:rPr>
          <w:rFonts w:cs="Arial"/>
          <w:color w:val="000000"/>
          <w:szCs w:val="24"/>
        </w:rPr>
        <w:t xml:space="preserve"> en Notas a los EEFF, </w:t>
      </w:r>
      <w:r>
        <w:rPr>
          <w:rFonts w:cs="Arial"/>
          <w:color w:val="000000"/>
          <w:szCs w:val="24"/>
        </w:rPr>
        <w:t xml:space="preserve">la </w:t>
      </w:r>
      <w:r w:rsidRPr="002B5BDB">
        <w:rPr>
          <w:rFonts w:cs="Arial"/>
          <w:color w:val="000000"/>
          <w:szCs w:val="24"/>
        </w:rPr>
        <w:t xml:space="preserve">Fecha de autorización: </w:t>
      </w:r>
      <w:r>
        <w:rPr>
          <w:rFonts w:cs="Arial"/>
          <w:color w:val="000000"/>
          <w:szCs w:val="24"/>
        </w:rPr>
        <w:t xml:space="preserve">la Fecha </w:t>
      </w:r>
      <w:r w:rsidRPr="002B5BDB">
        <w:rPr>
          <w:rFonts w:cs="Arial"/>
          <w:color w:val="000000"/>
          <w:szCs w:val="24"/>
        </w:rPr>
        <w:t>Actualización de las revelaciones sobre condiciones existentes a la fecha sobre la que se informa</w:t>
      </w:r>
      <w:r w:rsidRPr="00A5738D">
        <w:rPr>
          <w:rFonts w:cs="Arial"/>
          <w:color w:val="000000"/>
          <w:szCs w:val="24"/>
        </w:rPr>
        <w:t xml:space="preserve">, </w:t>
      </w:r>
      <w:r w:rsidRPr="002B5BDB">
        <w:rPr>
          <w:rFonts w:cs="Arial"/>
          <w:color w:val="000000"/>
          <w:szCs w:val="24"/>
        </w:rPr>
        <w:t>Revelación de hechos ocurridos después de la fecha sobre la que se informa y que no implican ajustes</w:t>
      </w:r>
      <w:r>
        <w:rPr>
          <w:rFonts w:cs="Arial"/>
          <w:color w:val="000000"/>
          <w:szCs w:val="24"/>
        </w:rPr>
        <w:t>.</w:t>
      </w:r>
    </w:p>
    <w:p w14:paraId="5AECF9C5" w14:textId="77777777" w:rsidR="00C82A94" w:rsidRDefault="00C82A94" w:rsidP="00C82A94">
      <w:pPr>
        <w:spacing w:after="0" w:line="240" w:lineRule="auto"/>
        <w:rPr>
          <w:rFonts w:eastAsia="Calibri" w:cs="Arial"/>
          <w:color w:val="000000"/>
          <w:lang w:val="es-ES_tradnl"/>
        </w:rPr>
      </w:pPr>
    </w:p>
    <w:p w14:paraId="5036E7F6" w14:textId="77777777" w:rsidR="00C82A94" w:rsidRPr="002B5BDB" w:rsidRDefault="00C82A94" w:rsidP="00C82A94">
      <w:pPr>
        <w:spacing w:after="0" w:line="240" w:lineRule="auto"/>
        <w:rPr>
          <w:rFonts w:eastAsia="Calibri" w:cs="Arial"/>
          <w:b/>
          <w:bCs/>
          <w:color w:val="000000"/>
          <w:lang w:val="es-ES_tradnl"/>
        </w:rPr>
      </w:pPr>
      <w:r w:rsidRPr="002B5BDB">
        <w:rPr>
          <w:rFonts w:eastAsia="Calibri" w:cs="Arial"/>
          <w:b/>
          <w:bCs/>
          <w:color w:val="000000"/>
          <w:lang w:val="es-ES_tradnl"/>
        </w:rPr>
        <w:t>Otras Revelaciones</w:t>
      </w:r>
    </w:p>
    <w:p w14:paraId="656DA9B2" w14:textId="77777777" w:rsidR="00C82A94" w:rsidRPr="002B5BDB" w:rsidRDefault="00C82A94" w:rsidP="00C82A94">
      <w:pPr>
        <w:spacing w:after="0" w:line="240" w:lineRule="auto"/>
        <w:rPr>
          <w:rFonts w:eastAsia="Calibri" w:cs="Arial"/>
          <w:color w:val="000000"/>
          <w:szCs w:val="24"/>
          <w:lang w:val="es-ES_tradnl"/>
        </w:rPr>
      </w:pPr>
    </w:p>
    <w:p w14:paraId="3B140FFE" w14:textId="77777777" w:rsidR="00C82A94" w:rsidRDefault="00C82A94" w:rsidP="00C82A94">
      <w:pPr>
        <w:rPr>
          <w:rFonts w:cs="Arial"/>
          <w:color w:val="000000"/>
          <w:szCs w:val="24"/>
        </w:rPr>
      </w:pPr>
      <w:r w:rsidRPr="002B5BDB">
        <w:rPr>
          <w:rFonts w:cs="Arial"/>
          <w:color w:val="000000"/>
          <w:szCs w:val="24"/>
        </w:rPr>
        <w:t xml:space="preserve">Las </w:t>
      </w:r>
      <w:r>
        <w:rPr>
          <w:rFonts w:cs="Arial"/>
          <w:color w:val="000000"/>
          <w:szCs w:val="24"/>
        </w:rPr>
        <w:t>MBA</w:t>
      </w:r>
      <w:r w:rsidRPr="002B5BDB">
        <w:rPr>
          <w:rFonts w:cs="Arial"/>
          <w:color w:val="000000"/>
          <w:szCs w:val="24"/>
        </w:rPr>
        <w:t xml:space="preserve"> revelar</w:t>
      </w:r>
      <w:r>
        <w:rPr>
          <w:rFonts w:cs="Arial"/>
          <w:color w:val="000000"/>
          <w:szCs w:val="24"/>
        </w:rPr>
        <w:t>á</w:t>
      </w:r>
      <w:r w:rsidRPr="002B5BDB">
        <w:rPr>
          <w:rFonts w:cs="Arial"/>
          <w:color w:val="000000"/>
          <w:szCs w:val="24"/>
        </w:rPr>
        <w:t xml:space="preserve"> en Notas a los EEFF, </w:t>
      </w:r>
      <w:r>
        <w:rPr>
          <w:rFonts w:cs="Arial"/>
          <w:color w:val="000000"/>
          <w:szCs w:val="24"/>
        </w:rPr>
        <w:t xml:space="preserve">la </w:t>
      </w:r>
      <w:r w:rsidRPr="002B5BDB">
        <w:rPr>
          <w:rFonts w:cs="Arial"/>
          <w:color w:val="000000"/>
          <w:szCs w:val="24"/>
        </w:rPr>
        <w:t xml:space="preserve">Fecha de autorización: </w:t>
      </w:r>
      <w:r>
        <w:rPr>
          <w:rFonts w:cs="Arial"/>
          <w:color w:val="000000"/>
          <w:szCs w:val="24"/>
        </w:rPr>
        <w:t xml:space="preserve">la Fecha </w:t>
      </w:r>
      <w:r w:rsidRPr="002B5BDB">
        <w:rPr>
          <w:rFonts w:cs="Arial"/>
          <w:color w:val="000000"/>
          <w:szCs w:val="24"/>
        </w:rPr>
        <w:t>Actualización de las revelaciones sobre condiciones existentes a la fecha sobre la que se informa</w:t>
      </w:r>
      <w:r w:rsidRPr="00A5738D">
        <w:rPr>
          <w:rFonts w:cs="Arial"/>
          <w:color w:val="000000"/>
          <w:szCs w:val="24"/>
        </w:rPr>
        <w:t xml:space="preserve">, </w:t>
      </w:r>
      <w:r w:rsidRPr="002B5BDB">
        <w:rPr>
          <w:rFonts w:cs="Arial"/>
          <w:color w:val="000000"/>
          <w:szCs w:val="24"/>
        </w:rPr>
        <w:t>Revelación de hechos ocurridos después de la fecha sobre la que se informa y que no implican ajustes</w:t>
      </w:r>
      <w:r>
        <w:rPr>
          <w:rFonts w:cs="Arial"/>
          <w:color w:val="000000"/>
          <w:szCs w:val="24"/>
        </w:rPr>
        <w:t>.</w:t>
      </w:r>
    </w:p>
    <w:p w14:paraId="0BB6668F" w14:textId="77777777" w:rsidR="00C82A94" w:rsidRPr="005C6BF2" w:rsidRDefault="00C82A94" w:rsidP="00C82A94">
      <w:pPr>
        <w:spacing w:after="0" w:line="240" w:lineRule="auto"/>
        <w:rPr>
          <w:rFonts w:eastAsia="Calibri" w:cs="Arial"/>
          <w:color w:val="000000"/>
          <w:lang w:val="es-ES_tradnl"/>
        </w:rPr>
      </w:pPr>
      <w:r w:rsidRPr="005C6BF2">
        <w:rPr>
          <w:rFonts w:eastAsia="Calibri" w:cs="Arial"/>
          <w:color w:val="000000"/>
          <w:lang w:val="es-ES_tradnl"/>
        </w:rPr>
        <w:t xml:space="preserve">Los estados financieros se emiten conforme los lineamientos dados por la DGCN, en los cuales se establece que la fecha de presentación de dichos estados es mensualmente. Por otro lado, la información sobre el presupuesto se elabora conforme lo establecido en las Normas Técnicas sobre Presupuesto Público formuladas por la Contraloría General de la República, de acuerdo con estas se </w:t>
      </w:r>
      <w:r w:rsidRPr="005C6BF2">
        <w:rPr>
          <w:rFonts w:eastAsia="Calibri" w:cs="Arial"/>
          <w:color w:val="000000"/>
          <w:lang w:val="es-ES_tradnl"/>
        </w:rPr>
        <w:lastRenderedPageBreak/>
        <w:t xml:space="preserve">debe presentar informes sobre el presupuesto semestral y anualmente se realiza la liquidación del mismo.  </w:t>
      </w:r>
    </w:p>
    <w:p w14:paraId="6F8922E9" w14:textId="77777777" w:rsidR="00C82A94" w:rsidRPr="005C6BF2" w:rsidRDefault="00C82A94" w:rsidP="00C82A94">
      <w:pPr>
        <w:spacing w:after="0" w:line="240" w:lineRule="auto"/>
        <w:rPr>
          <w:rFonts w:eastAsia="Calibri" w:cs="Arial"/>
          <w:color w:val="000000"/>
          <w:lang w:val="es-ES_tradnl"/>
        </w:rPr>
      </w:pPr>
    </w:p>
    <w:p w14:paraId="7B0D2FDD" w14:textId="77777777" w:rsidR="00C82A94" w:rsidRPr="005C6BF2" w:rsidRDefault="00C82A94" w:rsidP="00C82A94">
      <w:pPr>
        <w:spacing w:after="0" w:line="240" w:lineRule="auto"/>
        <w:rPr>
          <w:rFonts w:eastAsia="Calibri" w:cs="Arial"/>
          <w:color w:val="000000"/>
          <w:lang w:val="es-ES_tradnl"/>
        </w:rPr>
      </w:pPr>
      <w:bookmarkStart w:id="64" w:name="_Hlk158794468"/>
      <w:r w:rsidRPr="005C6BF2">
        <w:rPr>
          <w:rFonts w:eastAsia="Calibri" w:cs="Arial"/>
          <w:color w:val="000000"/>
          <w:lang w:val="es-ES_tradnl"/>
        </w:rPr>
        <w:t>No se tuvo evidencia de hechos significativos ocurridos después de fecha de presentación de los estados financieros, que hiciera dudar de la hipótesis de negocio en marcha o de otro tipo, que requiriera ser revelada o efectuar algún ajustar a uno o más de los saldos presentados en los estados financieros que hubiera sido impactado sustancialmente. Además, es pertinente indicar que como parte del proceso de implementación de las NICSP se están formulando políticas y procedimientos internos para regular lo atinente a la aplicación de la NICSP 14.</w:t>
      </w:r>
    </w:p>
    <w:bookmarkEnd w:id="64"/>
    <w:p w14:paraId="43F22ECA" w14:textId="77777777" w:rsidR="00C82A94" w:rsidRPr="005C6BF2" w:rsidRDefault="00C82A94" w:rsidP="00C82A94">
      <w:pPr>
        <w:spacing w:after="0" w:line="240" w:lineRule="auto"/>
        <w:rPr>
          <w:rFonts w:eastAsia="Calibri" w:cs="Arial"/>
          <w:color w:val="000000"/>
          <w:lang w:val="es-ES_tradnl"/>
        </w:rPr>
      </w:pPr>
    </w:p>
    <w:p w14:paraId="3CF9DED0" w14:textId="77777777" w:rsidR="00C82A94" w:rsidRDefault="00C82A94" w:rsidP="00C82A94">
      <w:pPr>
        <w:spacing w:after="0" w:line="240" w:lineRule="auto"/>
        <w:rPr>
          <w:rFonts w:eastAsia="Calibri" w:cs="Arial"/>
          <w:color w:val="000000"/>
          <w:lang w:val="es-ES_tradnl"/>
        </w:rPr>
      </w:pPr>
      <w:r w:rsidRPr="005C6BF2">
        <w:rPr>
          <w:rFonts w:eastAsia="Calibri" w:cs="Arial"/>
          <w:color w:val="000000"/>
          <w:lang w:val="es-ES_tradnl"/>
        </w:rPr>
        <w:t xml:space="preserve">Asimismo, se </w:t>
      </w:r>
      <w:r>
        <w:rPr>
          <w:rFonts w:eastAsia="Calibri" w:cs="Arial"/>
          <w:color w:val="000000"/>
          <w:lang w:val="es-ES_tradnl"/>
        </w:rPr>
        <w:t>analizó la existencia de</w:t>
      </w:r>
      <w:r w:rsidRPr="005C6BF2">
        <w:rPr>
          <w:rFonts w:eastAsia="Calibri" w:cs="Arial"/>
          <w:color w:val="000000"/>
          <w:lang w:val="es-ES_tradnl"/>
        </w:rPr>
        <w:t xml:space="preserve"> posibles hechos que en caso de materializarse y de acuerdo la citada NICSP, ser</w:t>
      </w:r>
      <w:r>
        <w:rPr>
          <w:rFonts w:eastAsia="Calibri" w:cs="Arial"/>
          <w:color w:val="000000"/>
          <w:lang w:val="es-ES_tradnl"/>
        </w:rPr>
        <w:t>án</w:t>
      </w:r>
      <w:r w:rsidRPr="005C6BF2">
        <w:rPr>
          <w:rFonts w:eastAsia="Calibri" w:cs="Arial"/>
          <w:color w:val="000000"/>
          <w:lang w:val="es-ES_tradnl"/>
        </w:rPr>
        <w:t xml:space="preserve"> objeto de reconocimiento y revelación (afectan los saldos a la fecha de presentación), únicamente deben ser reveladas (tienen relación con los saldos después de la fecha de presentación), o que no implican ni reconocimiento ni revelación.</w:t>
      </w:r>
    </w:p>
    <w:p w14:paraId="58E5ACD3" w14:textId="77777777" w:rsidR="00C82A94" w:rsidRDefault="00C82A94" w:rsidP="00C82A94">
      <w:pPr>
        <w:rPr>
          <w:lang w:eastAsia="es-CR"/>
        </w:rPr>
      </w:pPr>
    </w:p>
    <w:p w14:paraId="0FDC405E" w14:textId="005D2F9F" w:rsidR="000B404C" w:rsidRPr="00A649A4" w:rsidRDefault="000B404C" w:rsidP="00A649A4">
      <w:pPr>
        <w:pStyle w:val="Ttulo2"/>
        <w:spacing w:after="240"/>
        <w:rPr>
          <w:rFonts w:eastAsia="Times New Roman"/>
          <w:lang w:eastAsia="es-CR"/>
        </w:rPr>
      </w:pPr>
      <w:bookmarkStart w:id="65" w:name="_Toc189804795"/>
      <w:r w:rsidRPr="000B404C">
        <w:rPr>
          <w:rFonts w:eastAsia="Times New Roman"/>
          <w:lang w:eastAsia="es-CR"/>
        </w:rPr>
        <w:t>NICSP 16- PROPIEDADES DE INVERSIÓN:</w:t>
      </w:r>
      <w:bookmarkEnd w:id="65"/>
    </w:p>
    <w:p w14:paraId="1DDEA2B4" w14:textId="77777777" w:rsidR="00396CB4" w:rsidRDefault="000B404C" w:rsidP="0074522C">
      <w:pPr>
        <w:spacing w:before="240"/>
        <w:rPr>
          <w:rFonts w:asciiTheme="minorHAnsi" w:hAnsiTheme="minorHAnsi"/>
          <w:sz w:val="22"/>
        </w:rPr>
      </w:pPr>
      <w:r w:rsidRPr="00405DBC">
        <w:t xml:space="preserve">De acuerdo con la </w:t>
      </w:r>
      <w:r w:rsidRPr="00BC7C5B">
        <w:rPr>
          <w:rFonts w:eastAsia="Times New Roman"/>
          <w:lang w:val="es-MX" w:eastAsia="es-CR"/>
        </w:rPr>
        <w:t>NICSP 16- Propiedades de Inversión</w:t>
      </w:r>
      <w:r>
        <w:t xml:space="preserve">, </w:t>
      </w:r>
      <w:r w:rsidRPr="00405DBC">
        <w:t>Indicar si este rubro afecta SI o NO a la institución, además del porcentaje de avance</w:t>
      </w:r>
      <w:r>
        <w:t xml:space="preserve"> en la implementación</w:t>
      </w:r>
      <w:r w:rsidRPr="00405DBC">
        <w:t xml:space="preserve"> que presenta</w:t>
      </w:r>
      <w:r>
        <w:rPr>
          <w:b/>
        </w:rPr>
        <w:t>.</w:t>
      </w:r>
      <w:r w:rsidR="0025405A">
        <w:t xml:space="preserve"> </w:t>
      </w:r>
      <w:r w:rsidR="0025405A">
        <w:rPr>
          <w:lang w:val="es-MX" w:eastAsia="es-CR"/>
        </w:rPr>
        <w:fldChar w:fldCharType="begin"/>
      </w:r>
      <w:r w:rsidR="0025405A">
        <w:rPr>
          <w:lang w:val="es-MX" w:eastAsia="es-CR"/>
        </w:rPr>
        <w:instrText xml:space="preserve"> LINK </w:instrText>
      </w:r>
      <w:r w:rsidR="00756467">
        <w:rPr>
          <w:lang w:val="es-MX" w:eastAsia="es-CR"/>
        </w:rPr>
        <w:instrText xml:space="preserve">Excel.SheetMacroEnabled.12 "C:\\Users\\gcordero\\Downloads\\Notas diciembre 2024\\Formato_Notas_EEFF_Vinculadas_2024\\Formato_Notas_EEFF_Vinculadas_2024\\15603_T04_2024_Anexo_Estado_Notas_Contables_Vinculadas.xlsm" NICSP_16!F9C3:F10C4 </w:instrText>
      </w:r>
      <w:r w:rsidR="0025405A">
        <w:rPr>
          <w:lang w:val="es-MX" w:eastAsia="es-CR"/>
        </w:rPr>
        <w:instrText xml:space="preserve">\a \f 4 \h </w:instrText>
      </w:r>
      <w:r w:rsidR="0025405A">
        <w:rPr>
          <w:lang w:val="es-MX" w:eastAsia="es-CR"/>
        </w:rPr>
        <w:fldChar w:fldCharType="separate"/>
      </w:r>
    </w:p>
    <w:tbl>
      <w:tblPr>
        <w:tblW w:w="3820" w:type="dxa"/>
        <w:tblCellMar>
          <w:left w:w="70" w:type="dxa"/>
          <w:right w:w="70" w:type="dxa"/>
        </w:tblCellMar>
        <w:tblLook w:val="04A0" w:firstRow="1" w:lastRow="0" w:firstColumn="1" w:lastColumn="0" w:noHBand="0" w:noVBand="1"/>
      </w:tblPr>
      <w:tblGrid>
        <w:gridCol w:w="2380"/>
        <w:gridCol w:w="1440"/>
      </w:tblGrid>
      <w:tr w:rsidR="00396CB4" w:rsidRPr="00396CB4" w14:paraId="646F30BA" w14:textId="77777777" w:rsidTr="00396CB4">
        <w:trPr>
          <w:divId w:val="1052190480"/>
          <w:trHeight w:val="360"/>
        </w:trPr>
        <w:tc>
          <w:tcPr>
            <w:tcW w:w="238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13F1B56C" w14:textId="1BF840E7" w:rsidR="00396CB4" w:rsidRPr="00396CB4" w:rsidRDefault="00396CB4" w:rsidP="00396CB4">
            <w:pPr>
              <w:rPr>
                <w:rFonts w:eastAsia="Times New Roman" w:cs="Calibri"/>
                <w:color w:val="FFFFFF"/>
                <w:szCs w:val="24"/>
                <w:lang w:eastAsia="es-CR"/>
              </w:rPr>
            </w:pPr>
            <w:r w:rsidRPr="00396CB4">
              <w:rPr>
                <w:rFonts w:eastAsia="Times New Roman" w:cs="Calibri"/>
                <w:color w:val="FFFFFF"/>
                <w:szCs w:val="24"/>
                <w:lang w:eastAsia="es-CR"/>
              </w:rPr>
              <w:t>Aplica</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C9A296" w14:textId="77777777" w:rsidR="00396CB4" w:rsidRPr="00396CB4" w:rsidRDefault="00396CB4" w:rsidP="00396CB4">
            <w:pPr>
              <w:spacing w:after="0" w:line="240" w:lineRule="auto"/>
              <w:jc w:val="center"/>
              <w:rPr>
                <w:rFonts w:eastAsia="Times New Roman" w:cs="Calibri"/>
                <w:color w:val="000000"/>
                <w:sz w:val="22"/>
                <w:lang w:eastAsia="es-CR"/>
              </w:rPr>
            </w:pPr>
            <w:r w:rsidRPr="00396CB4">
              <w:rPr>
                <w:rFonts w:eastAsia="Times New Roman" w:cs="Calibri"/>
                <w:color w:val="000000"/>
                <w:sz w:val="22"/>
                <w:lang w:eastAsia="es-CR"/>
              </w:rPr>
              <w:t>No</w:t>
            </w:r>
          </w:p>
        </w:tc>
      </w:tr>
      <w:tr w:rsidR="00396CB4" w:rsidRPr="00396CB4" w14:paraId="3E2491C0" w14:textId="77777777" w:rsidTr="00396CB4">
        <w:trPr>
          <w:divId w:val="1052190480"/>
          <w:trHeight w:val="360"/>
        </w:trPr>
        <w:tc>
          <w:tcPr>
            <w:tcW w:w="2380" w:type="dxa"/>
            <w:tcBorders>
              <w:top w:val="nil"/>
              <w:left w:val="single" w:sz="8" w:space="0" w:color="auto"/>
              <w:bottom w:val="single" w:sz="8" w:space="0" w:color="auto"/>
              <w:right w:val="single" w:sz="8" w:space="0" w:color="auto"/>
            </w:tcBorders>
            <w:shd w:val="clear" w:color="000000" w:fill="17365D"/>
            <w:vAlign w:val="center"/>
            <w:hideMark/>
          </w:tcPr>
          <w:p w14:paraId="18AD406A" w14:textId="77777777" w:rsidR="00396CB4" w:rsidRPr="00396CB4" w:rsidRDefault="00396CB4" w:rsidP="00396CB4">
            <w:pPr>
              <w:spacing w:after="0" w:line="240" w:lineRule="auto"/>
              <w:jc w:val="left"/>
              <w:rPr>
                <w:rFonts w:eastAsia="Times New Roman" w:cs="Calibri"/>
                <w:color w:val="FFFFFF"/>
                <w:szCs w:val="24"/>
                <w:lang w:eastAsia="es-CR"/>
              </w:rPr>
            </w:pPr>
            <w:proofErr w:type="spellStart"/>
            <w:r w:rsidRPr="00396CB4">
              <w:rPr>
                <w:rFonts w:eastAsia="Times New Roman" w:cs="Calibri"/>
                <w:color w:val="FFFFFF"/>
                <w:szCs w:val="24"/>
                <w:lang w:eastAsia="es-CR"/>
              </w:rPr>
              <w:t>Porcentaje_Avance</w:t>
            </w:r>
            <w:proofErr w:type="spellEnd"/>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98CEB1D" w14:textId="77777777" w:rsidR="00396CB4" w:rsidRPr="00396CB4" w:rsidRDefault="00396CB4" w:rsidP="00396CB4">
            <w:pPr>
              <w:spacing w:after="0" w:line="240" w:lineRule="auto"/>
              <w:jc w:val="center"/>
              <w:rPr>
                <w:rFonts w:eastAsia="Times New Roman" w:cs="Calibri"/>
                <w:color w:val="000000"/>
                <w:sz w:val="22"/>
                <w:lang w:eastAsia="es-CR"/>
              </w:rPr>
            </w:pPr>
            <w:r w:rsidRPr="00396CB4">
              <w:rPr>
                <w:rFonts w:eastAsia="Times New Roman" w:cs="Calibri"/>
                <w:color w:val="000000"/>
                <w:sz w:val="22"/>
                <w:lang w:eastAsia="es-CR"/>
              </w:rPr>
              <w:t> </w:t>
            </w:r>
          </w:p>
        </w:tc>
      </w:tr>
    </w:tbl>
    <w:p w14:paraId="6EF9FE76" w14:textId="54338A4E" w:rsidR="000B404C" w:rsidRPr="000B404C" w:rsidRDefault="0025405A" w:rsidP="0074522C">
      <w:pPr>
        <w:spacing w:before="240"/>
        <w:rPr>
          <w:lang w:val="es-MX" w:eastAsia="es-CR"/>
        </w:rPr>
      </w:pPr>
      <w:r>
        <w:rPr>
          <w:lang w:val="es-MX" w:eastAsia="es-CR"/>
        </w:rPr>
        <w:fldChar w:fldCharType="end"/>
      </w:r>
      <w:r w:rsidR="000B404C" w:rsidRPr="000B404C">
        <w:rPr>
          <w:lang w:val="es-MX" w:eastAsia="es-CR"/>
        </w:rPr>
        <w:t>El responsable contable debe analizar las características del activo para determinar su tratamiento</w:t>
      </w:r>
    </w:p>
    <w:p w14:paraId="6EE98A47" w14:textId="77777777" w:rsidR="005F2549" w:rsidRDefault="000B404C" w:rsidP="000B404C">
      <w:pPr>
        <w:rPr>
          <w:sz w:val="22"/>
          <w:lang w:val="es-MX" w:eastAsia="es-CR"/>
        </w:rPr>
      </w:pPr>
      <w:r w:rsidRPr="000B404C">
        <w:rPr>
          <w:sz w:val="22"/>
          <w:lang w:val="es-MX" w:eastAsia="es-CR"/>
        </w:rPr>
        <w:t>A continuación, un cuadro resumen, pero el detalle de los cuadros debe ser adjuntados como anexos</w:t>
      </w:r>
    </w:p>
    <w:p w14:paraId="3D6A1A1C" w14:textId="77777777" w:rsidR="003A31CC" w:rsidRDefault="000B404C" w:rsidP="000B404C">
      <w:pPr>
        <w:rPr>
          <w:rFonts w:eastAsia="Calibri" w:cs="Arial"/>
          <w:color w:val="000000"/>
          <w:lang w:val="es-ES_tradnl"/>
        </w:rPr>
      </w:pPr>
      <w:r w:rsidRPr="000B404C">
        <w:rPr>
          <w:sz w:val="22"/>
          <w:lang w:val="es-MX" w:eastAsia="es-CR"/>
        </w:rPr>
        <w:t xml:space="preserve"> </w:t>
      </w:r>
      <w:hyperlink w:anchor="_NICSP_16-_Propiedades" w:history="1">
        <w:r w:rsidRPr="000B404C">
          <w:rPr>
            <w:color w:val="0000FF"/>
            <w:sz w:val="22"/>
            <w:u w:val="single"/>
            <w:lang w:val="es-MX" w:eastAsia="es-CR"/>
          </w:rPr>
          <w:t>NICSP 16- Propiedades de Inversión</w:t>
        </w:r>
      </w:hyperlink>
      <w:r w:rsidRPr="000B404C">
        <w:rPr>
          <w:sz w:val="22"/>
          <w:lang w:val="es-MX" w:eastAsia="es-CR"/>
        </w:rPr>
        <w:t>:</w:t>
      </w:r>
      <w:r w:rsidRPr="000B404C">
        <w:rPr>
          <w:rFonts w:eastAsia="Calibri" w:cs="Arial"/>
          <w:color w:val="000000"/>
          <w:lang w:val="es-ES_tradnl"/>
        </w:rPr>
        <w:t xml:space="preserve"> </w:t>
      </w:r>
    </w:p>
    <w:p w14:paraId="08452E93" w14:textId="77777777" w:rsidR="00396CB4" w:rsidRDefault="00F56027" w:rsidP="000B404C">
      <w:pPr>
        <w:rPr>
          <w:rFonts w:asciiTheme="minorHAnsi" w:hAnsiTheme="minorHAnsi"/>
          <w:sz w:val="22"/>
        </w:rPr>
      </w:pPr>
      <w:r>
        <w:rPr>
          <w:lang w:val="es-ES_tradnl"/>
        </w:rPr>
        <w:fldChar w:fldCharType="begin"/>
      </w:r>
      <w:r>
        <w:rPr>
          <w:lang w:val="es-ES_tradnl"/>
        </w:rPr>
        <w:instrText xml:space="preserve"> LINK </w:instrText>
      </w:r>
      <w:r w:rsidR="00756467">
        <w:rPr>
          <w:lang w:val="es-ES_tradnl"/>
        </w:rPr>
        <w:instrText xml:space="preserve">Excel.SheetMacroEnabled.12 "C:\\Users\\gcordero\\Downloads\\Notas diciembre 2024\\Formato_Notas_EEFF_Vinculadas_2024\\Formato_Notas_EEFF_Vinculadas_2024\\15603_T04_2024_Anexo_Estado_Notas_Contables_Vinculadas.xlsm" NICSP_16!F12C3:F13C5 </w:instrText>
      </w:r>
      <w:r>
        <w:rPr>
          <w:lang w:val="es-ES_tradnl"/>
        </w:rPr>
        <w:instrText xml:space="preserve">\a \f 4 \h </w:instrText>
      </w:r>
      <w:r>
        <w:rPr>
          <w:lang w:val="es-ES_tradnl"/>
        </w:rPr>
        <w:fldChar w:fldCharType="separate"/>
      </w:r>
    </w:p>
    <w:tbl>
      <w:tblPr>
        <w:tblW w:w="5780" w:type="dxa"/>
        <w:tblCellMar>
          <w:left w:w="70" w:type="dxa"/>
          <w:right w:w="70" w:type="dxa"/>
        </w:tblCellMar>
        <w:tblLook w:val="04A0" w:firstRow="1" w:lastRow="0" w:firstColumn="1" w:lastColumn="0" w:noHBand="0" w:noVBand="1"/>
      </w:tblPr>
      <w:tblGrid>
        <w:gridCol w:w="2380"/>
        <w:gridCol w:w="1440"/>
        <w:gridCol w:w="1960"/>
      </w:tblGrid>
      <w:tr w:rsidR="00396CB4" w:rsidRPr="00396CB4" w14:paraId="2AFA8FAD" w14:textId="77777777" w:rsidTr="00396CB4">
        <w:trPr>
          <w:divId w:val="2087416716"/>
          <w:trHeight w:val="345"/>
        </w:trPr>
        <w:tc>
          <w:tcPr>
            <w:tcW w:w="2380" w:type="dxa"/>
            <w:tcBorders>
              <w:top w:val="single" w:sz="8" w:space="0" w:color="auto"/>
              <w:left w:val="single" w:sz="8" w:space="0" w:color="auto"/>
              <w:bottom w:val="single" w:sz="8" w:space="0" w:color="auto"/>
              <w:right w:val="nil"/>
            </w:tcBorders>
            <w:shd w:val="clear" w:color="000000" w:fill="1F3864"/>
            <w:vAlign w:val="center"/>
            <w:hideMark/>
          </w:tcPr>
          <w:p w14:paraId="6FFB32EF" w14:textId="1407BF5E" w:rsidR="00396CB4" w:rsidRPr="00396CB4" w:rsidRDefault="00396CB4" w:rsidP="00396CB4">
            <w:pPr>
              <w:spacing w:after="0" w:line="240" w:lineRule="auto"/>
              <w:jc w:val="left"/>
              <w:rPr>
                <w:rFonts w:eastAsia="Times New Roman" w:cs="Calibri"/>
                <w:color w:val="FFFFFF"/>
                <w:szCs w:val="24"/>
                <w:lang w:eastAsia="es-CR"/>
              </w:rPr>
            </w:pPr>
            <w:r w:rsidRPr="00396CB4">
              <w:rPr>
                <w:rFonts w:eastAsia="Times New Roman" w:cs="Calibri"/>
                <w:color w:val="FFFFFF"/>
                <w:szCs w:val="24"/>
                <w:lang w:eastAsia="es-CR"/>
              </w:rPr>
              <w:t>Resumen</w:t>
            </w:r>
          </w:p>
        </w:tc>
        <w:tc>
          <w:tcPr>
            <w:tcW w:w="1440" w:type="dxa"/>
            <w:tcBorders>
              <w:top w:val="single" w:sz="8" w:space="0" w:color="auto"/>
              <w:left w:val="single" w:sz="8" w:space="0" w:color="auto"/>
              <w:bottom w:val="single" w:sz="8" w:space="0" w:color="auto"/>
              <w:right w:val="nil"/>
            </w:tcBorders>
            <w:shd w:val="clear" w:color="000000" w:fill="1F3864"/>
            <w:vAlign w:val="center"/>
            <w:hideMark/>
          </w:tcPr>
          <w:p w14:paraId="12DDF5EF" w14:textId="77777777" w:rsidR="00396CB4" w:rsidRPr="00396CB4" w:rsidRDefault="00396CB4" w:rsidP="00396CB4">
            <w:pPr>
              <w:spacing w:after="0" w:line="240" w:lineRule="auto"/>
              <w:jc w:val="center"/>
              <w:rPr>
                <w:rFonts w:eastAsia="Times New Roman" w:cs="Calibri"/>
                <w:color w:val="FFFFFF"/>
                <w:szCs w:val="24"/>
                <w:lang w:eastAsia="es-CR"/>
              </w:rPr>
            </w:pPr>
            <w:r w:rsidRPr="00396CB4">
              <w:rPr>
                <w:rFonts w:eastAsia="Times New Roman" w:cs="Calibri"/>
                <w:color w:val="FFFFFF"/>
                <w:szCs w:val="24"/>
                <w:lang w:eastAsia="es-CR"/>
              </w:rPr>
              <w:t xml:space="preserve">CANTIDAD </w:t>
            </w:r>
          </w:p>
        </w:tc>
        <w:tc>
          <w:tcPr>
            <w:tcW w:w="1960"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68309615" w14:textId="77777777" w:rsidR="00396CB4" w:rsidRPr="00396CB4" w:rsidRDefault="00396CB4" w:rsidP="00396CB4">
            <w:pPr>
              <w:spacing w:after="0" w:line="240" w:lineRule="auto"/>
              <w:jc w:val="center"/>
              <w:rPr>
                <w:rFonts w:eastAsia="Times New Roman" w:cs="Calibri"/>
                <w:color w:val="FFFFFF"/>
                <w:szCs w:val="24"/>
                <w:lang w:eastAsia="es-CR"/>
              </w:rPr>
            </w:pPr>
            <w:r w:rsidRPr="00396CB4">
              <w:rPr>
                <w:rFonts w:eastAsia="Times New Roman" w:cs="Calibri"/>
                <w:color w:val="FFFFFF"/>
                <w:szCs w:val="24"/>
                <w:lang w:eastAsia="es-CR"/>
              </w:rPr>
              <w:t>MONTO TOTAL</w:t>
            </w:r>
          </w:p>
        </w:tc>
      </w:tr>
      <w:tr w:rsidR="00396CB4" w:rsidRPr="00396CB4" w14:paraId="74FC7454" w14:textId="77777777" w:rsidTr="00396CB4">
        <w:trPr>
          <w:divId w:val="2087416716"/>
          <w:trHeight w:val="645"/>
        </w:trPr>
        <w:tc>
          <w:tcPr>
            <w:tcW w:w="2380" w:type="dxa"/>
            <w:tcBorders>
              <w:top w:val="nil"/>
              <w:left w:val="single" w:sz="8" w:space="0" w:color="auto"/>
              <w:bottom w:val="single" w:sz="8" w:space="0" w:color="auto"/>
              <w:right w:val="nil"/>
            </w:tcBorders>
            <w:shd w:val="clear" w:color="000000" w:fill="1F3864"/>
            <w:vAlign w:val="center"/>
            <w:hideMark/>
          </w:tcPr>
          <w:p w14:paraId="6966B6D6" w14:textId="77777777" w:rsidR="00396CB4" w:rsidRPr="00396CB4" w:rsidRDefault="00396CB4" w:rsidP="00396CB4">
            <w:pPr>
              <w:spacing w:after="0" w:line="240" w:lineRule="auto"/>
              <w:jc w:val="center"/>
              <w:rPr>
                <w:rFonts w:eastAsia="Times New Roman" w:cs="Calibri"/>
                <w:color w:val="FFFFFF"/>
                <w:szCs w:val="24"/>
                <w:lang w:eastAsia="es-CR"/>
              </w:rPr>
            </w:pPr>
            <w:r w:rsidRPr="00396CB4">
              <w:rPr>
                <w:rFonts w:eastAsia="Times New Roman" w:cs="Calibri"/>
                <w:color w:val="FFFFFF"/>
                <w:szCs w:val="24"/>
                <w:lang w:eastAsia="es-CR"/>
              </w:rPr>
              <w:t>Propiedades de Inversión</w:t>
            </w:r>
          </w:p>
        </w:tc>
        <w:tc>
          <w:tcPr>
            <w:tcW w:w="1440" w:type="dxa"/>
            <w:tcBorders>
              <w:top w:val="nil"/>
              <w:left w:val="nil"/>
              <w:bottom w:val="single" w:sz="8" w:space="0" w:color="auto"/>
              <w:right w:val="single" w:sz="8" w:space="0" w:color="auto"/>
            </w:tcBorders>
            <w:shd w:val="clear" w:color="auto" w:fill="auto"/>
            <w:noWrap/>
            <w:vAlign w:val="center"/>
            <w:hideMark/>
          </w:tcPr>
          <w:p w14:paraId="24812B87" w14:textId="77777777" w:rsidR="00396CB4" w:rsidRPr="00396CB4" w:rsidRDefault="00396CB4" w:rsidP="00396CB4">
            <w:pPr>
              <w:spacing w:after="0" w:line="240" w:lineRule="auto"/>
              <w:jc w:val="center"/>
              <w:rPr>
                <w:rFonts w:eastAsia="Times New Roman" w:cs="Calibri"/>
                <w:color w:val="000000"/>
                <w:sz w:val="20"/>
                <w:szCs w:val="20"/>
                <w:lang w:eastAsia="es-CR"/>
              </w:rPr>
            </w:pPr>
            <w:r w:rsidRPr="00396CB4">
              <w:rPr>
                <w:rFonts w:eastAsia="Times New Roman" w:cs="Calibri"/>
                <w:color w:val="000000"/>
                <w:sz w:val="20"/>
                <w:szCs w:val="20"/>
                <w:lang w:eastAsia="es-CR"/>
              </w:rPr>
              <w:t> </w:t>
            </w:r>
          </w:p>
        </w:tc>
        <w:tc>
          <w:tcPr>
            <w:tcW w:w="1960" w:type="dxa"/>
            <w:tcBorders>
              <w:top w:val="nil"/>
              <w:left w:val="nil"/>
              <w:bottom w:val="single" w:sz="8" w:space="0" w:color="auto"/>
              <w:right w:val="single" w:sz="8" w:space="0" w:color="auto"/>
            </w:tcBorders>
            <w:shd w:val="clear" w:color="auto" w:fill="auto"/>
            <w:noWrap/>
            <w:vAlign w:val="center"/>
            <w:hideMark/>
          </w:tcPr>
          <w:p w14:paraId="0A6F9038" w14:textId="77777777" w:rsidR="00396CB4" w:rsidRPr="00396CB4" w:rsidRDefault="00396CB4" w:rsidP="00396CB4">
            <w:pPr>
              <w:spacing w:after="0" w:line="240" w:lineRule="auto"/>
              <w:jc w:val="right"/>
              <w:rPr>
                <w:rFonts w:eastAsia="Times New Roman" w:cs="Calibri"/>
                <w:color w:val="000000"/>
                <w:sz w:val="20"/>
                <w:szCs w:val="20"/>
                <w:lang w:eastAsia="es-CR"/>
              </w:rPr>
            </w:pPr>
            <w:r w:rsidRPr="00396CB4">
              <w:rPr>
                <w:rFonts w:ascii="Arial" w:eastAsia="Times New Roman" w:hAnsi="Arial" w:cs="Arial"/>
                <w:color w:val="000000"/>
                <w:sz w:val="20"/>
                <w:szCs w:val="20"/>
                <w:lang w:eastAsia="es-CR"/>
              </w:rPr>
              <w:t>₡</w:t>
            </w:r>
            <w:r w:rsidRPr="00396CB4">
              <w:rPr>
                <w:rFonts w:eastAsia="Times New Roman" w:cs="Calibri"/>
                <w:color w:val="000000"/>
                <w:sz w:val="20"/>
                <w:szCs w:val="20"/>
                <w:lang w:eastAsia="es-CR"/>
              </w:rPr>
              <w:t>0,00</w:t>
            </w:r>
          </w:p>
        </w:tc>
      </w:tr>
    </w:tbl>
    <w:p w14:paraId="181C259A" w14:textId="41942D38" w:rsidR="000B404C" w:rsidRPr="000B404C" w:rsidRDefault="00F56027" w:rsidP="000B404C">
      <w:pPr>
        <w:rPr>
          <w:rFonts w:eastAsia="Calibri" w:cs="Arial"/>
          <w:color w:val="000000"/>
          <w:lang w:val="es-ES_tradnl"/>
        </w:rPr>
      </w:pPr>
      <w:r>
        <w:rPr>
          <w:rFonts w:eastAsia="Calibri" w:cs="Arial"/>
          <w:color w:val="000000"/>
          <w:lang w:val="es-ES_tradnl"/>
        </w:rPr>
        <w:fldChar w:fldCharType="end"/>
      </w:r>
    </w:p>
    <w:p w14:paraId="5329F945" w14:textId="77777777" w:rsidR="000B404C" w:rsidRDefault="000B404C" w:rsidP="000B404C">
      <w:r w:rsidRPr="000B404C">
        <w:t>El responsable contable deberá revelar considerando lo dispuesto en el párrafo 86 de la NICSP 16, si aplica el modelo del valor razonable o el modelo del costo y todo lo que solicita la norma al respecto.</w:t>
      </w:r>
    </w:p>
    <w:p w14:paraId="17B4EA92" w14:textId="77777777" w:rsidR="004B38F9" w:rsidRPr="003516A2" w:rsidRDefault="004B38F9" w:rsidP="004B38F9">
      <w:pPr>
        <w:spacing w:line="240" w:lineRule="auto"/>
        <w:rPr>
          <w:b/>
          <w:color w:val="FFFFFF" w:themeColor="background1"/>
          <w:highlight w:val="darkBlue"/>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r>
        <w:rPr>
          <w:lang w:val="es-MX"/>
        </w:rPr>
        <w:t>________________________________________________________________________________________________________________________________________________________________</w:t>
      </w:r>
    </w:p>
    <w:p w14:paraId="1297B085" w14:textId="77777777" w:rsidR="004B38F9" w:rsidRDefault="004B38F9" w:rsidP="004B38F9">
      <w:pPr>
        <w:spacing w:line="240" w:lineRule="auto"/>
        <w:rPr>
          <w:b/>
          <w:u w:val="single"/>
        </w:rPr>
      </w:pPr>
    </w:p>
    <w:p w14:paraId="09D8E096" w14:textId="77777777" w:rsidR="00311341" w:rsidRDefault="00311341" w:rsidP="004B38F9">
      <w:pPr>
        <w:spacing w:line="240" w:lineRule="auto"/>
        <w:rPr>
          <w:b/>
          <w:u w:val="single"/>
        </w:rPr>
      </w:pPr>
    </w:p>
    <w:p w14:paraId="2B8DEF64" w14:textId="77777777" w:rsidR="00311341" w:rsidRDefault="00311341" w:rsidP="004B38F9">
      <w:pPr>
        <w:spacing w:line="240" w:lineRule="auto"/>
        <w:rPr>
          <w:b/>
          <w:u w:val="single"/>
        </w:rPr>
      </w:pPr>
    </w:p>
    <w:p w14:paraId="605B8ABF" w14:textId="77777777" w:rsidR="004B38F9" w:rsidRPr="003516A2" w:rsidRDefault="004B38F9" w:rsidP="004B38F9">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32E6B693" w14:textId="77777777" w:rsidR="004B38F9" w:rsidRPr="002007F6" w:rsidRDefault="004B38F9" w:rsidP="004B38F9">
      <w:pPr>
        <w:rPr>
          <w:lang w:val="es-MX"/>
        </w:rPr>
      </w:pPr>
      <w:r>
        <w:rPr>
          <w:lang w:val="es-MX"/>
        </w:rPr>
        <w:t>________________________________________________________________________________________________________________________________________________________________</w:t>
      </w:r>
    </w:p>
    <w:p w14:paraId="0777BDB1" w14:textId="77777777" w:rsidR="004B38F9" w:rsidRPr="000B404C" w:rsidRDefault="004B38F9" w:rsidP="000B404C"/>
    <w:p w14:paraId="0C4CA708" w14:textId="4F246377" w:rsidR="000B404C" w:rsidRPr="000B404C" w:rsidRDefault="000B404C" w:rsidP="000B404C">
      <w:pPr>
        <w:rPr>
          <w:b/>
          <w:szCs w:val="24"/>
          <w:u w:val="single"/>
          <w:lang w:val="es-MX" w:eastAsia="es-CR"/>
        </w:rPr>
      </w:pPr>
      <w:r w:rsidRPr="004B38F9">
        <w:rPr>
          <w:b/>
          <w:color w:val="FFFFFF" w:themeColor="background1"/>
          <w:highlight w:val="darkBlue"/>
          <w:u w:val="single"/>
        </w:rPr>
        <w:t>Revelación Suficiente:</w:t>
      </w:r>
      <w:r w:rsidRPr="000B404C">
        <w:rPr>
          <w:b/>
          <w:u w:val="single"/>
          <w:lang w:eastAsia="es-CR"/>
        </w:rPr>
        <w:t xml:space="preserve"> </w:t>
      </w:r>
      <w:r w:rsidR="00482942">
        <w:rPr>
          <w:b/>
          <w:u w:val="single"/>
          <w:lang w:eastAsia="es-CR"/>
        </w:rPr>
        <w:t xml:space="preserve">El ente debe revelar y cumplir </w:t>
      </w:r>
      <w:r w:rsidRPr="000B404C">
        <w:rPr>
          <w:b/>
          <w:u w:val="single"/>
          <w:lang w:eastAsia="es-CR"/>
        </w:rPr>
        <w:t xml:space="preserve">con lo estipulado en revelación </w:t>
      </w:r>
      <w:r w:rsidR="00482942">
        <w:rPr>
          <w:b/>
          <w:u w:val="single"/>
          <w:lang w:eastAsia="es-CR"/>
        </w:rPr>
        <w:t>conforme</w:t>
      </w:r>
      <w:r w:rsidRPr="000B404C">
        <w:rPr>
          <w:b/>
          <w:u w:val="single"/>
          <w:lang w:eastAsia="es-CR"/>
        </w:rPr>
        <w:t xml:space="preserve"> a la NICSP, también debe considerar la política general y los párrafos incluidos en la matriz de autoevaluación referente a esta NICSP y guías de aplicación</w:t>
      </w:r>
      <w:r w:rsidRPr="000B404C">
        <w:rPr>
          <w:b/>
          <w:szCs w:val="24"/>
          <w:u w:val="single"/>
          <w:lang w:eastAsia="es-CR"/>
        </w:rPr>
        <w:t xml:space="preserve"> (Ver GA NICSP 16): </w:t>
      </w:r>
    </w:p>
    <w:p w14:paraId="5AD5BA0E" w14:textId="77777777" w:rsidR="00C82A94" w:rsidRPr="00A7067D" w:rsidRDefault="00C82A94" w:rsidP="00C82A94">
      <w:pPr>
        <w:spacing w:after="0" w:line="240" w:lineRule="auto"/>
        <w:ind w:right="51"/>
        <w:rPr>
          <w:szCs w:val="24"/>
        </w:rPr>
      </w:pPr>
      <w:bookmarkStart w:id="66" w:name="_Hlk158794980"/>
      <w:bookmarkStart w:id="67" w:name="_Toc54961682"/>
      <w:bookmarkStart w:id="68" w:name="_Toc82768878"/>
      <w:r w:rsidRPr="00A7067D">
        <w:rPr>
          <w:szCs w:val="24"/>
        </w:rPr>
        <w:t>Como parte del proceso de implementación se está llevando a cabo un inventario de los activos de propiedad, planta y equipo que posee la Municipalidad, y conjuntamente se está revisando el uso que se le está dando a los diferentes bienes, con el fin de proceder a establecer la acciones que procedan para el correcto registro de todos los bienes (como propiedad, planta y equipo o como propiedades de inversión), según el uso que se les está dando.</w:t>
      </w:r>
    </w:p>
    <w:bookmarkEnd w:id="66"/>
    <w:p w14:paraId="544F9196" w14:textId="77777777" w:rsidR="00C82A94" w:rsidRPr="00A7067D" w:rsidRDefault="00C82A94" w:rsidP="00C82A94">
      <w:pPr>
        <w:spacing w:after="0" w:line="240" w:lineRule="auto"/>
        <w:ind w:right="51"/>
        <w:rPr>
          <w:b/>
          <w:szCs w:val="24"/>
          <w:u w:val="single"/>
        </w:rPr>
      </w:pPr>
    </w:p>
    <w:p w14:paraId="0B9113EB" w14:textId="77777777" w:rsidR="00C82A94" w:rsidRDefault="00C82A94" w:rsidP="00C82A94">
      <w:pPr>
        <w:spacing w:after="0" w:line="240" w:lineRule="auto"/>
        <w:ind w:right="51"/>
        <w:rPr>
          <w:szCs w:val="24"/>
        </w:rPr>
      </w:pPr>
      <w:r w:rsidRPr="00A7067D">
        <w:rPr>
          <w:szCs w:val="24"/>
        </w:rPr>
        <w:t xml:space="preserve">Además, es pertinente agregar </w:t>
      </w:r>
      <w:r w:rsidRPr="00A7067D">
        <w:rPr>
          <w:szCs w:val="24"/>
          <w:lang w:val="es-ES"/>
        </w:rPr>
        <w:t xml:space="preserve">que se está analizando si los locales y propiedades que se tienen en arriendo (locales en el mercado municipal, </w:t>
      </w:r>
      <w:r>
        <w:rPr>
          <w:szCs w:val="24"/>
          <w:lang w:val="es-ES"/>
        </w:rPr>
        <w:t>en la terminal</w:t>
      </w:r>
      <w:r w:rsidRPr="00A7067D">
        <w:rPr>
          <w:szCs w:val="24"/>
          <w:lang w:val="es-ES"/>
        </w:rPr>
        <w:t xml:space="preserve"> de autobuses y </w:t>
      </w:r>
      <w:r>
        <w:rPr>
          <w:szCs w:val="24"/>
          <w:lang w:val="es-ES"/>
        </w:rPr>
        <w:t xml:space="preserve">el </w:t>
      </w:r>
      <w:r w:rsidRPr="00A7067D">
        <w:rPr>
          <w:szCs w:val="24"/>
          <w:lang w:val="es-ES"/>
        </w:rPr>
        <w:t>cementerio municipal),</w:t>
      </w:r>
      <w:r w:rsidRPr="00A7067D">
        <w:rPr>
          <w:szCs w:val="24"/>
        </w:rPr>
        <w:t xml:space="preserve"> constituyen propiedades de inversión para proceder a su registro </w:t>
      </w:r>
      <w:r w:rsidRPr="00A7067D">
        <w:rPr>
          <w:szCs w:val="24"/>
          <w:lang w:val="es-ES"/>
        </w:rPr>
        <w:t>de acuerdo con lo establecido por la</w:t>
      </w:r>
      <w:r w:rsidRPr="00A7067D">
        <w:rPr>
          <w:szCs w:val="24"/>
        </w:rPr>
        <w:t xml:space="preserve"> NICSP 17 bajo el modelo del costo y en aquellos casos en que no sea posible establecer un valor de costo fiable, se les asignará un valor atribuido según lo establecido en las NICSP 16 y 33;  y a aquellos que corresponda se les aplicará la depreciación utilizando el método de línea recta permitido por la NICSP 17 y sugerido por la Dirección General de Contabilidad Nacional.</w:t>
      </w:r>
    </w:p>
    <w:p w14:paraId="4901DC5A" w14:textId="77777777" w:rsidR="000B404C" w:rsidRDefault="000B404C" w:rsidP="000B404C">
      <w:pPr>
        <w:rPr>
          <w:lang w:eastAsia="es-CR"/>
        </w:rPr>
      </w:pPr>
    </w:p>
    <w:p w14:paraId="39BE1AF0" w14:textId="41AB815E" w:rsidR="000B404C" w:rsidRPr="00A649A4" w:rsidRDefault="000B404C" w:rsidP="00A649A4">
      <w:pPr>
        <w:pStyle w:val="Ttulo2"/>
        <w:spacing w:after="240"/>
        <w:rPr>
          <w:rFonts w:eastAsia="Times New Roman"/>
          <w:lang w:eastAsia="es-CR"/>
        </w:rPr>
      </w:pPr>
      <w:bookmarkStart w:id="69" w:name="_Toc189804796"/>
      <w:r w:rsidRPr="000B404C">
        <w:rPr>
          <w:rFonts w:eastAsia="Times New Roman"/>
          <w:lang w:eastAsia="es-CR"/>
        </w:rPr>
        <w:t>NICSP 17- PROPIEDAD, PLANTA Y EQUIPO (DE APLICACIÓN OBLIGATORIA):</w:t>
      </w:r>
      <w:bookmarkEnd w:id="67"/>
      <w:bookmarkEnd w:id="68"/>
      <w:bookmarkEnd w:id="69"/>
    </w:p>
    <w:p w14:paraId="1A6CEE8D" w14:textId="77777777" w:rsidR="00396CB4" w:rsidRDefault="000B404C" w:rsidP="000B404C">
      <w:pPr>
        <w:rPr>
          <w:rFonts w:asciiTheme="minorHAnsi" w:hAnsiTheme="minorHAnsi"/>
          <w:sz w:val="22"/>
        </w:rPr>
      </w:pPr>
      <w:bookmarkStart w:id="70" w:name="_Hlk123831052"/>
      <w:r w:rsidRPr="00FB0858">
        <w:t xml:space="preserve">De acuerdo con la </w:t>
      </w:r>
      <w:r w:rsidRPr="000B404C">
        <w:t>De acuerdo con la NICSP 17- Propiedad, Planta y Equipo</w:t>
      </w:r>
      <w:r>
        <w:t xml:space="preserve">, indicar si este rubro afecta SI o NO a la institución, </w:t>
      </w:r>
      <w:r w:rsidRPr="00405DBC">
        <w:t>además del porcentaje de avance</w:t>
      </w:r>
      <w:r>
        <w:t xml:space="preserve"> en la implementación</w:t>
      </w:r>
      <w:r w:rsidRPr="00405DBC">
        <w:t xml:space="preserve"> que presenta</w:t>
      </w:r>
      <w:r>
        <w:t>.</w:t>
      </w:r>
      <w:r w:rsidR="001D0A81">
        <w:rPr>
          <w:lang w:eastAsia="es-CR"/>
        </w:rPr>
        <w:fldChar w:fldCharType="begin"/>
      </w:r>
      <w:r w:rsidR="001D0A81">
        <w:rPr>
          <w:lang w:eastAsia="es-CR"/>
        </w:rPr>
        <w:instrText xml:space="preserve"> LINK </w:instrText>
      </w:r>
      <w:r w:rsidR="00756467">
        <w:rPr>
          <w:lang w:eastAsia="es-CR"/>
        </w:rPr>
        <w:instrText xml:space="preserve">Excel.SheetMacroEnabled.12 "C:\\Users\\gcordero\\Downloads\\Notas diciembre 2024\\Formato_Notas_EEFF_Vinculadas_2024\\Formato_Notas_EEFF_Vinculadas_2024\\15603_T04_2024_Anexo_Estado_Notas_Contables_Vinculadas.xlsm" NICSP_17!F9C3:F10C4 </w:instrText>
      </w:r>
      <w:r w:rsidR="001D0A81">
        <w:rPr>
          <w:lang w:eastAsia="es-CR"/>
        </w:rPr>
        <w:instrText xml:space="preserve">\a \f 4 \h </w:instrText>
      </w:r>
      <w:r w:rsidR="001D0A81">
        <w:rPr>
          <w:lang w:eastAsia="es-CR"/>
        </w:rPr>
        <w:fldChar w:fldCharType="separate"/>
      </w:r>
    </w:p>
    <w:tbl>
      <w:tblPr>
        <w:tblW w:w="4500" w:type="dxa"/>
        <w:tblCellMar>
          <w:left w:w="70" w:type="dxa"/>
          <w:right w:w="70" w:type="dxa"/>
        </w:tblCellMar>
        <w:tblLook w:val="04A0" w:firstRow="1" w:lastRow="0" w:firstColumn="1" w:lastColumn="0" w:noHBand="0" w:noVBand="1"/>
      </w:tblPr>
      <w:tblGrid>
        <w:gridCol w:w="3040"/>
        <w:gridCol w:w="1460"/>
      </w:tblGrid>
      <w:tr w:rsidR="00396CB4" w:rsidRPr="00396CB4" w14:paraId="24F93EE2" w14:textId="77777777" w:rsidTr="00396CB4">
        <w:trPr>
          <w:divId w:val="1547792791"/>
          <w:trHeight w:val="345"/>
        </w:trPr>
        <w:tc>
          <w:tcPr>
            <w:tcW w:w="304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4498627E" w14:textId="45C10F18" w:rsidR="00396CB4" w:rsidRPr="00396CB4" w:rsidRDefault="00396CB4" w:rsidP="00396CB4">
            <w:pPr>
              <w:rPr>
                <w:rFonts w:eastAsia="Times New Roman" w:cs="Calibri"/>
                <w:color w:val="FFFFFF"/>
                <w:szCs w:val="24"/>
                <w:lang w:eastAsia="es-CR"/>
              </w:rPr>
            </w:pPr>
            <w:r w:rsidRPr="00396CB4">
              <w:rPr>
                <w:rFonts w:eastAsia="Times New Roman" w:cs="Calibri"/>
                <w:color w:val="FFFFFF"/>
                <w:szCs w:val="24"/>
                <w:lang w:eastAsia="es-CR"/>
              </w:rPr>
              <w:t>Aplica</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07529E" w14:textId="77777777" w:rsidR="00396CB4" w:rsidRPr="00396CB4" w:rsidRDefault="00396CB4" w:rsidP="00396CB4">
            <w:pPr>
              <w:spacing w:after="0" w:line="240" w:lineRule="auto"/>
              <w:jc w:val="center"/>
              <w:rPr>
                <w:rFonts w:eastAsia="Times New Roman" w:cs="Calibri"/>
                <w:color w:val="000000"/>
                <w:sz w:val="22"/>
                <w:lang w:eastAsia="es-CR"/>
              </w:rPr>
            </w:pPr>
            <w:r w:rsidRPr="00396CB4">
              <w:rPr>
                <w:rFonts w:eastAsia="Times New Roman" w:cs="Calibri"/>
                <w:color w:val="000000"/>
                <w:sz w:val="22"/>
                <w:lang w:eastAsia="es-CR"/>
              </w:rPr>
              <w:t>Si</w:t>
            </w:r>
          </w:p>
        </w:tc>
      </w:tr>
      <w:tr w:rsidR="00396CB4" w:rsidRPr="00396CB4" w14:paraId="7FC1B81C" w14:textId="77777777" w:rsidTr="00396CB4">
        <w:trPr>
          <w:divId w:val="1547792791"/>
          <w:trHeight w:val="345"/>
        </w:trPr>
        <w:tc>
          <w:tcPr>
            <w:tcW w:w="3040" w:type="dxa"/>
            <w:tcBorders>
              <w:top w:val="nil"/>
              <w:left w:val="single" w:sz="8" w:space="0" w:color="auto"/>
              <w:bottom w:val="single" w:sz="8" w:space="0" w:color="auto"/>
              <w:right w:val="single" w:sz="8" w:space="0" w:color="auto"/>
            </w:tcBorders>
            <w:shd w:val="clear" w:color="000000" w:fill="17365D"/>
            <w:vAlign w:val="center"/>
            <w:hideMark/>
          </w:tcPr>
          <w:p w14:paraId="08EE2285" w14:textId="77777777" w:rsidR="00396CB4" w:rsidRPr="00396CB4" w:rsidRDefault="00396CB4" w:rsidP="00396CB4">
            <w:pPr>
              <w:spacing w:after="0" w:line="240" w:lineRule="auto"/>
              <w:jc w:val="left"/>
              <w:rPr>
                <w:rFonts w:eastAsia="Times New Roman" w:cs="Calibri"/>
                <w:color w:val="FFFFFF"/>
                <w:szCs w:val="24"/>
                <w:lang w:eastAsia="es-CR"/>
              </w:rPr>
            </w:pPr>
            <w:proofErr w:type="spellStart"/>
            <w:r w:rsidRPr="00396CB4">
              <w:rPr>
                <w:rFonts w:eastAsia="Times New Roman" w:cs="Calibri"/>
                <w:color w:val="FFFFFF"/>
                <w:szCs w:val="24"/>
                <w:lang w:eastAsia="es-CR"/>
              </w:rPr>
              <w:t>Porcentaje_Avance</w:t>
            </w:r>
            <w:proofErr w:type="spellEnd"/>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32AF078F" w14:textId="77777777" w:rsidR="00396CB4" w:rsidRPr="00396CB4" w:rsidRDefault="00396CB4" w:rsidP="00396CB4">
            <w:pPr>
              <w:spacing w:after="0" w:line="240" w:lineRule="auto"/>
              <w:jc w:val="center"/>
              <w:rPr>
                <w:rFonts w:eastAsia="Times New Roman" w:cs="Calibri"/>
                <w:color w:val="000000"/>
                <w:sz w:val="22"/>
                <w:lang w:eastAsia="es-CR"/>
              </w:rPr>
            </w:pPr>
            <w:r w:rsidRPr="00396CB4">
              <w:rPr>
                <w:rFonts w:eastAsia="Times New Roman" w:cs="Calibri"/>
                <w:color w:val="000000"/>
                <w:sz w:val="22"/>
                <w:lang w:eastAsia="es-CR"/>
              </w:rPr>
              <w:t>96,25%</w:t>
            </w:r>
          </w:p>
        </w:tc>
      </w:tr>
    </w:tbl>
    <w:p w14:paraId="59924DCE" w14:textId="1C8DB292" w:rsidR="000B404C" w:rsidRPr="00F56027" w:rsidRDefault="001D0A81" w:rsidP="000B404C">
      <w:pPr>
        <w:rPr>
          <w:b/>
          <w:sz w:val="16"/>
          <w:szCs w:val="16"/>
          <w:lang w:eastAsia="es-CR"/>
        </w:rPr>
      </w:pPr>
      <w:r>
        <w:rPr>
          <w:lang w:eastAsia="es-CR"/>
        </w:rPr>
        <w:fldChar w:fldCharType="end"/>
      </w:r>
      <w:r>
        <w:rPr>
          <w:lang w:eastAsia="es-CR"/>
        </w:rPr>
        <w:t xml:space="preserve">                                           </w:t>
      </w:r>
      <w:r w:rsidR="000B404C" w:rsidRPr="00C35565">
        <w:rPr>
          <w:b/>
          <w:sz w:val="16"/>
          <w:szCs w:val="16"/>
          <w:lang w:eastAsia="es-CR"/>
        </w:rPr>
        <w:t>-Aplicación Obligatoria-</w:t>
      </w:r>
      <w:bookmarkEnd w:id="70"/>
    </w:p>
    <w:p w14:paraId="6C919055" w14:textId="77777777" w:rsidR="00E10611" w:rsidRDefault="000B404C" w:rsidP="00F56027">
      <w:pPr>
        <w:rPr>
          <w:lang w:val="es-MX"/>
        </w:rPr>
      </w:pPr>
      <w:r w:rsidRPr="007D51EA">
        <w:rPr>
          <w:lang w:val="es-MX"/>
        </w:rPr>
        <w:t>A continuación, un cuadro resumen, pero el detalle de los c</w:t>
      </w:r>
      <w:r>
        <w:rPr>
          <w:lang w:val="es-MX"/>
        </w:rPr>
        <w:t>uadros</w:t>
      </w:r>
      <w:r w:rsidRPr="007D51EA">
        <w:rPr>
          <w:lang w:val="es-MX"/>
        </w:rPr>
        <w:t xml:space="preserve"> debe ser adjuntados como</w:t>
      </w:r>
      <w:r>
        <w:rPr>
          <w:lang w:val="es-MX"/>
        </w:rPr>
        <w:t xml:space="preserve"> </w:t>
      </w:r>
      <w:r w:rsidRPr="00CB4CC6">
        <w:rPr>
          <w:lang w:val="es-MX"/>
        </w:rPr>
        <w:t>anexos</w:t>
      </w:r>
      <w:r>
        <w:rPr>
          <w:lang w:val="es-MX"/>
        </w:rPr>
        <w:t xml:space="preserve"> </w:t>
      </w:r>
    </w:p>
    <w:p w14:paraId="68FB086E" w14:textId="77777777" w:rsidR="00E10611" w:rsidRDefault="00E10611" w:rsidP="00F56027">
      <w:pPr>
        <w:rPr>
          <w:lang w:val="es-MX"/>
        </w:rPr>
      </w:pPr>
    </w:p>
    <w:p w14:paraId="0A500931" w14:textId="77777777" w:rsidR="00E10611" w:rsidRDefault="00E10611" w:rsidP="00F56027">
      <w:pPr>
        <w:rPr>
          <w:lang w:val="es-MX"/>
        </w:rPr>
      </w:pPr>
    </w:p>
    <w:p w14:paraId="4FDCC3B8" w14:textId="77777777" w:rsidR="00E10611" w:rsidRDefault="00E10611" w:rsidP="00F56027">
      <w:pPr>
        <w:rPr>
          <w:lang w:val="es-MX"/>
        </w:rPr>
      </w:pPr>
    </w:p>
    <w:p w14:paraId="50C6FEE8" w14:textId="634D41A8" w:rsidR="00396CB4" w:rsidRPr="00E10611" w:rsidRDefault="00C53097" w:rsidP="00F56027">
      <w:pPr>
        <w:rPr>
          <w:lang w:val="es-MX"/>
        </w:rPr>
      </w:pPr>
      <w:hyperlink w:anchor="_NICSP_17-_Propiedad," w:history="1">
        <w:r w:rsidR="000B404C" w:rsidRPr="005F2549">
          <w:rPr>
            <w:rStyle w:val="Hipervnculo"/>
            <w:rFonts w:eastAsia="Calibri"/>
            <w:sz w:val="22"/>
            <w:lang w:val="es-MX"/>
          </w:rPr>
          <w:t>NICSP 17- Propiedad, Planta y Equipo</w:t>
        </w:r>
      </w:hyperlink>
      <w:r w:rsidR="000B404C" w:rsidRPr="007D51EA">
        <w:rPr>
          <w:lang w:val="es-MX"/>
        </w:rPr>
        <w:t>:</w:t>
      </w:r>
      <w:r w:rsidR="00F56027">
        <w:fldChar w:fldCharType="begin"/>
      </w:r>
      <w:r w:rsidR="00F56027">
        <w:instrText xml:space="preserve"> LINK </w:instrText>
      </w:r>
      <w:r w:rsidR="00756467">
        <w:instrText xml:space="preserve">Excel.SheetMacroEnabled.12 "C:\\Users\\gcordero\\Downloads\\Notas diciembre 2024\\Formato_Notas_EEFF_Vinculadas_2024\\Formato_Notas_EEFF_Vinculadas_2024\\15603_T04_2024_Anexo_Estado_Notas_Contables_Vinculadas.xlsm" NICSP_17!F12C3:F21C4 </w:instrText>
      </w:r>
      <w:r w:rsidR="00F56027">
        <w:instrText xml:space="preserve">\a \f 4 \h </w:instrText>
      </w:r>
      <w:r w:rsidR="00F56027">
        <w:fldChar w:fldCharType="separate"/>
      </w:r>
    </w:p>
    <w:tbl>
      <w:tblPr>
        <w:tblW w:w="4500" w:type="dxa"/>
        <w:tblCellMar>
          <w:left w:w="70" w:type="dxa"/>
          <w:right w:w="70" w:type="dxa"/>
        </w:tblCellMar>
        <w:tblLook w:val="04A0" w:firstRow="1" w:lastRow="0" w:firstColumn="1" w:lastColumn="0" w:noHBand="0" w:noVBand="1"/>
      </w:tblPr>
      <w:tblGrid>
        <w:gridCol w:w="3040"/>
        <w:gridCol w:w="1460"/>
      </w:tblGrid>
      <w:tr w:rsidR="00396CB4" w:rsidRPr="00396CB4" w14:paraId="4EEEA624" w14:textId="77777777" w:rsidTr="00396CB4">
        <w:trPr>
          <w:divId w:val="1537354147"/>
          <w:trHeight w:val="492"/>
        </w:trPr>
        <w:tc>
          <w:tcPr>
            <w:tcW w:w="3040" w:type="dxa"/>
            <w:tcBorders>
              <w:top w:val="single" w:sz="4" w:space="0" w:color="auto"/>
              <w:left w:val="single" w:sz="4" w:space="0" w:color="auto"/>
              <w:bottom w:val="single" w:sz="4" w:space="0" w:color="auto"/>
              <w:right w:val="single" w:sz="4" w:space="0" w:color="auto"/>
            </w:tcBorders>
            <w:shd w:val="clear" w:color="000000" w:fill="1F3864"/>
            <w:vAlign w:val="center"/>
            <w:hideMark/>
          </w:tcPr>
          <w:p w14:paraId="71B40EA9" w14:textId="09B0700B" w:rsidR="00396CB4" w:rsidRPr="00396CB4" w:rsidRDefault="00396CB4" w:rsidP="00396CB4">
            <w:pPr>
              <w:spacing w:after="0" w:line="240" w:lineRule="auto"/>
              <w:jc w:val="center"/>
              <w:rPr>
                <w:rFonts w:eastAsia="Times New Roman" w:cs="Calibri"/>
                <w:color w:val="FFFFFF"/>
                <w:szCs w:val="24"/>
                <w:lang w:eastAsia="es-CR"/>
              </w:rPr>
            </w:pPr>
            <w:r w:rsidRPr="00396CB4">
              <w:rPr>
                <w:rFonts w:eastAsia="Times New Roman" w:cs="Calibri"/>
                <w:color w:val="FFFFFF"/>
                <w:szCs w:val="24"/>
                <w:lang w:eastAsia="es-CR"/>
              </w:rPr>
              <w:t>Resumen</w:t>
            </w:r>
          </w:p>
        </w:tc>
        <w:tc>
          <w:tcPr>
            <w:tcW w:w="1460" w:type="dxa"/>
            <w:tcBorders>
              <w:top w:val="single" w:sz="4" w:space="0" w:color="auto"/>
              <w:left w:val="nil"/>
              <w:bottom w:val="single" w:sz="4" w:space="0" w:color="auto"/>
              <w:right w:val="single" w:sz="4" w:space="0" w:color="auto"/>
            </w:tcBorders>
            <w:shd w:val="clear" w:color="000000" w:fill="1F3864"/>
            <w:vAlign w:val="center"/>
            <w:hideMark/>
          </w:tcPr>
          <w:p w14:paraId="23A3688D" w14:textId="77777777" w:rsidR="00396CB4" w:rsidRPr="00396CB4" w:rsidRDefault="00396CB4" w:rsidP="00396CB4">
            <w:pPr>
              <w:spacing w:after="0" w:line="240" w:lineRule="auto"/>
              <w:jc w:val="center"/>
              <w:rPr>
                <w:rFonts w:eastAsia="Times New Roman" w:cs="Calibri"/>
                <w:color w:val="FFFFFF"/>
                <w:szCs w:val="24"/>
                <w:lang w:eastAsia="es-CR"/>
              </w:rPr>
            </w:pPr>
            <w:r w:rsidRPr="00396CB4">
              <w:rPr>
                <w:rFonts w:eastAsia="Times New Roman" w:cs="Calibri"/>
                <w:color w:val="FFFFFF"/>
                <w:szCs w:val="24"/>
                <w:lang w:eastAsia="es-CR"/>
              </w:rPr>
              <w:t>PPE</w:t>
            </w:r>
          </w:p>
        </w:tc>
      </w:tr>
      <w:tr w:rsidR="00396CB4" w:rsidRPr="00396CB4" w14:paraId="765A9CA4" w14:textId="77777777" w:rsidTr="00396CB4">
        <w:trPr>
          <w:divId w:val="1537354147"/>
          <w:trHeight w:val="492"/>
        </w:trPr>
        <w:tc>
          <w:tcPr>
            <w:tcW w:w="3040" w:type="dxa"/>
            <w:tcBorders>
              <w:top w:val="nil"/>
              <w:left w:val="single" w:sz="4" w:space="0" w:color="auto"/>
              <w:bottom w:val="single" w:sz="4" w:space="0" w:color="auto"/>
              <w:right w:val="single" w:sz="4" w:space="0" w:color="auto"/>
            </w:tcBorders>
            <w:shd w:val="clear" w:color="000000" w:fill="1F3864"/>
            <w:vAlign w:val="center"/>
            <w:hideMark/>
          </w:tcPr>
          <w:p w14:paraId="34688068" w14:textId="77777777" w:rsidR="00396CB4" w:rsidRPr="00396CB4" w:rsidRDefault="00396CB4" w:rsidP="00396CB4">
            <w:pPr>
              <w:spacing w:after="0" w:line="240" w:lineRule="auto"/>
              <w:jc w:val="left"/>
              <w:rPr>
                <w:rFonts w:eastAsia="Times New Roman" w:cs="Calibri"/>
                <w:color w:val="FFFFFF"/>
                <w:szCs w:val="24"/>
                <w:lang w:eastAsia="es-CR"/>
              </w:rPr>
            </w:pPr>
            <w:r w:rsidRPr="00396CB4">
              <w:rPr>
                <w:rFonts w:eastAsia="Times New Roman" w:cs="Calibri"/>
                <w:color w:val="FFFFFF"/>
                <w:szCs w:val="24"/>
                <w:lang w:eastAsia="es-CR"/>
              </w:rPr>
              <w:t xml:space="preserve">CANTIDAD </w:t>
            </w:r>
          </w:p>
        </w:tc>
        <w:tc>
          <w:tcPr>
            <w:tcW w:w="1460" w:type="dxa"/>
            <w:tcBorders>
              <w:top w:val="nil"/>
              <w:left w:val="nil"/>
              <w:bottom w:val="single" w:sz="4" w:space="0" w:color="auto"/>
              <w:right w:val="single" w:sz="4" w:space="0" w:color="auto"/>
            </w:tcBorders>
            <w:shd w:val="clear" w:color="auto" w:fill="auto"/>
            <w:noWrap/>
            <w:vAlign w:val="center"/>
            <w:hideMark/>
          </w:tcPr>
          <w:p w14:paraId="2812DAA4" w14:textId="77777777" w:rsidR="00396CB4" w:rsidRPr="00396CB4" w:rsidRDefault="00396CB4" w:rsidP="00396CB4">
            <w:pPr>
              <w:spacing w:after="0" w:line="240" w:lineRule="auto"/>
              <w:jc w:val="center"/>
              <w:rPr>
                <w:rFonts w:eastAsia="Times New Roman" w:cs="Calibri"/>
                <w:color w:val="000000"/>
                <w:sz w:val="20"/>
                <w:szCs w:val="20"/>
                <w:lang w:eastAsia="es-CR"/>
              </w:rPr>
            </w:pPr>
            <w:r w:rsidRPr="00396CB4">
              <w:rPr>
                <w:rFonts w:eastAsia="Times New Roman" w:cs="Calibri"/>
                <w:color w:val="000000"/>
                <w:sz w:val="20"/>
                <w:szCs w:val="20"/>
                <w:lang w:eastAsia="es-CR"/>
              </w:rPr>
              <w:t>1026</w:t>
            </w:r>
          </w:p>
        </w:tc>
      </w:tr>
      <w:tr w:rsidR="00396CB4" w:rsidRPr="00396CB4" w14:paraId="61AA390E" w14:textId="77777777" w:rsidTr="00396CB4">
        <w:trPr>
          <w:divId w:val="1537354147"/>
          <w:trHeight w:val="492"/>
        </w:trPr>
        <w:tc>
          <w:tcPr>
            <w:tcW w:w="3040" w:type="dxa"/>
            <w:tcBorders>
              <w:top w:val="nil"/>
              <w:left w:val="single" w:sz="4" w:space="0" w:color="auto"/>
              <w:bottom w:val="single" w:sz="4" w:space="0" w:color="auto"/>
              <w:right w:val="single" w:sz="4" w:space="0" w:color="auto"/>
            </w:tcBorders>
            <w:shd w:val="clear" w:color="000000" w:fill="1F3864"/>
            <w:vAlign w:val="center"/>
            <w:hideMark/>
          </w:tcPr>
          <w:p w14:paraId="0D384255" w14:textId="77777777" w:rsidR="00396CB4" w:rsidRPr="00396CB4" w:rsidRDefault="00396CB4" w:rsidP="00396CB4">
            <w:pPr>
              <w:spacing w:after="0" w:line="240" w:lineRule="auto"/>
              <w:jc w:val="left"/>
              <w:rPr>
                <w:rFonts w:eastAsia="Times New Roman" w:cs="Calibri"/>
                <w:color w:val="FFFFFF"/>
                <w:sz w:val="22"/>
                <w:lang w:eastAsia="es-CR"/>
              </w:rPr>
            </w:pPr>
            <w:r w:rsidRPr="00396CB4">
              <w:rPr>
                <w:rFonts w:eastAsia="Times New Roman" w:cs="Calibri"/>
                <w:color w:val="FFFFFF"/>
                <w:sz w:val="22"/>
                <w:lang w:eastAsia="es-CR"/>
              </w:rPr>
              <w:t xml:space="preserve">Valor  Inicio </w:t>
            </w:r>
          </w:p>
        </w:tc>
        <w:tc>
          <w:tcPr>
            <w:tcW w:w="1460" w:type="dxa"/>
            <w:tcBorders>
              <w:top w:val="nil"/>
              <w:left w:val="nil"/>
              <w:bottom w:val="single" w:sz="4" w:space="0" w:color="auto"/>
              <w:right w:val="single" w:sz="4" w:space="0" w:color="auto"/>
            </w:tcBorders>
            <w:shd w:val="clear" w:color="auto" w:fill="auto"/>
            <w:noWrap/>
            <w:vAlign w:val="bottom"/>
            <w:hideMark/>
          </w:tcPr>
          <w:p w14:paraId="42556902" w14:textId="77777777" w:rsidR="00396CB4" w:rsidRPr="00396CB4" w:rsidRDefault="00396CB4" w:rsidP="00396CB4">
            <w:pPr>
              <w:spacing w:after="0" w:line="240" w:lineRule="auto"/>
              <w:jc w:val="center"/>
              <w:rPr>
                <w:rFonts w:eastAsia="Times New Roman" w:cs="Calibri"/>
                <w:color w:val="000000"/>
                <w:sz w:val="22"/>
                <w:lang w:eastAsia="es-CR"/>
              </w:rPr>
            </w:pPr>
            <w:r w:rsidRPr="00396CB4">
              <w:rPr>
                <w:rFonts w:eastAsia="Times New Roman" w:cs="Calibri"/>
                <w:color w:val="000000"/>
                <w:sz w:val="22"/>
                <w:lang w:eastAsia="es-CR"/>
              </w:rPr>
              <w:t>164474502,57</w:t>
            </w:r>
          </w:p>
        </w:tc>
      </w:tr>
      <w:tr w:rsidR="00396CB4" w:rsidRPr="00396CB4" w14:paraId="2F6B9B5A" w14:textId="77777777" w:rsidTr="00396CB4">
        <w:trPr>
          <w:divId w:val="1537354147"/>
          <w:trHeight w:val="492"/>
        </w:trPr>
        <w:tc>
          <w:tcPr>
            <w:tcW w:w="3040" w:type="dxa"/>
            <w:tcBorders>
              <w:top w:val="nil"/>
              <w:left w:val="single" w:sz="4" w:space="0" w:color="auto"/>
              <w:bottom w:val="single" w:sz="4" w:space="0" w:color="auto"/>
              <w:right w:val="single" w:sz="4" w:space="0" w:color="auto"/>
            </w:tcBorders>
            <w:shd w:val="clear" w:color="000000" w:fill="1F3864"/>
            <w:vAlign w:val="center"/>
            <w:hideMark/>
          </w:tcPr>
          <w:p w14:paraId="5A5BCB4A" w14:textId="77777777" w:rsidR="00396CB4" w:rsidRPr="00396CB4" w:rsidRDefault="00396CB4" w:rsidP="00396CB4">
            <w:pPr>
              <w:spacing w:after="0" w:line="240" w:lineRule="auto"/>
              <w:jc w:val="left"/>
              <w:rPr>
                <w:rFonts w:eastAsia="Times New Roman" w:cs="Calibri"/>
                <w:color w:val="FFFFFF"/>
                <w:sz w:val="22"/>
                <w:lang w:eastAsia="es-CR"/>
              </w:rPr>
            </w:pPr>
            <w:r w:rsidRPr="00396CB4">
              <w:rPr>
                <w:rFonts w:eastAsia="Times New Roman" w:cs="Calibri"/>
                <w:color w:val="FFFFFF"/>
                <w:sz w:val="22"/>
                <w:lang w:eastAsia="es-CR"/>
              </w:rPr>
              <w:t>Altas</w:t>
            </w:r>
          </w:p>
        </w:tc>
        <w:tc>
          <w:tcPr>
            <w:tcW w:w="1460" w:type="dxa"/>
            <w:tcBorders>
              <w:top w:val="nil"/>
              <w:left w:val="nil"/>
              <w:bottom w:val="single" w:sz="4" w:space="0" w:color="auto"/>
              <w:right w:val="single" w:sz="4" w:space="0" w:color="auto"/>
            </w:tcBorders>
            <w:shd w:val="clear" w:color="auto" w:fill="auto"/>
            <w:noWrap/>
            <w:vAlign w:val="bottom"/>
            <w:hideMark/>
          </w:tcPr>
          <w:p w14:paraId="0E92C3BB" w14:textId="71EE3AD1" w:rsidR="00396CB4" w:rsidRPr="00396CB4" w:rsidRDefault="00024A42" w:rsidP="00396CB4">
            <w:pPr>
              <w:spacing w:after="0" w:line="240" w:lineRule="auto"/>
              <w:jc w:val="center"/>
              <w:rPr>
                <w:rFonts w:eastAsia="Times New Roman" w:cs="Calibri"/>
                <w:color w:val="000000"/>
                <w:sz w:val="22"/>
                <w:lang w:eastAsia="es-CR"/>
              </w:rPr>
            </w:pPr>
            <w:r>
              <w:rPr>
                <w:rFonts w:eastAsia="Times New Roman" w:cs="Calibri"/>
                <w:color w:val="000000"/>
                <w:sz w:val="22"/>
                <w:lang w:eastAsia="es-CR"/>
              </w:rPr>
              <w:t>4002583,24</w:t>
            </w:r>
          </w:p>
        </w:tc>
      </w:tr>
      <w:tr w:rsidR="00396CB4" w:rsidRPr="00396CB4" w14:paraId="2029D342" w14:textId="77777777" w:rsidTr="00396CB4">
        <w:trPr>
          <w:divId w:val="1537354147"/>
          <w:trHeight w:val="492"/>
        </w:trPr>
        <w:tc>
          <w:tcPr>
            <w:tcW w:w="3040" w:type="dxa"/>
            <w:tcBorders>
              <w:top w:val="nil"/>
              <w:left w:val="single" w:sz="4" w:space="0" w:color="auto"/>
              <w:bottom w:val="single" w:sz="4" w:space="0" w:color="auto"/>
              <w:right w:val="single" w:sz="4" w:space="0" w:color="auto"/>
            </w:tcBorders>
            <w:shd w:val="clear" w:color="000000" w:fill="1F3864"/>
            <w:vAlign w:val="center"/>
            <w:hideMark/>
          </w:tcPr>
          <w:p w14:paraId="4E338AEF" w14:textId="77777777" w:rsidR="00396CB4" w:rsidRPr="00396CB4" w:rsidRDefault="00396CB4" w:rsidP="00396CB4">
            <w:pPr>
              <w:spacing w:after="0" w:line="240" w:lineRule="auto"/>
              <w:jc w:val="left"/>
              <w:rPr>
                <w:rFonts w:eastAsia="Times New Roman" w:cs="Calibri"/>
                <w:color w:val="FFFFFF"/>
                <w:sz w:val="22"/>
                <w:lang w:eastAsia="es-CR"/>
              </w:rPr>
            </w:pPr>
            <w:r w:rsidRPr="00396CB4">
              <w:rPr>
                <w:rFonts w:eastAsia="Times New Roman" w:cs="Calibri"/>
                <w:color w:val="FFFFFF"/>
                <w:sz w:val="22"/>
                <w:lang w:eastAsia="es-CR"/>
              </w:rPr>
              <w:t xml:space="preserve"> Bajas</w:t>
            </w:r>
          </w:p>
        </w:tc>
        <w:tc>
          <w:tcPr>
            <w:tcW w:w="1460" w:type="dxa"/>
            <w:tcBorders>
              <w:top w:val="nil"/>
              <w:left w:val="nil"/>
              <w:bottom w:val="single" w:sz="4" w:space="0" w:color="auto"/>
              <w:right w:val="single" w:sz="4" w:space="0" w:color="auto"/>
            </w:tcBorders>
            <w:shd w:val="clear" w:color="auto" w:fill="auto"/>
            <w:noWrap/>
            <w:vAlign w:val="bottom"/>
            <w:hideMark/>
          </w:tcPr>
          <w:p w14:paraId="2A65D85B" w14:textId="77777777" w:rsidR="00396CB4" w:rsidRPr="00396CB4" w:rsidRDefault="00396CB4" w:rsidP="00396CB4">
            <w:pPr>
              <w:spacing w:after="0" w:line="240" w:lineRule="auto"/>
              <w:jc w:val="center"/>
              <w:rPr>
                <w:rFonts w:eastAsia="Times New Roman" w:cs="Calibri"/>
                <w:color w:val="000000"/>
                <w:sz w:val="22"/>
                <w:lang w:eastAsia="es-CR"/>
              </w:rPr>
            </w:pPr>
            <w:r w:rsidRPr="00396CB4">
              <w:rPr>
                <w:rFonts w:eastAsia="Times New Roman" w:cs="Calibri"/>
                <w:color w:val="000000"/>
                <w:sz w:val="22"/>
                <w:lang w:eastAsia="es-CR"/>
              </w:rPr>
              <w:t>-1597,50</w:t>
            </w:r>
          </w:p>
        </w:tc>
      </w:tr>
      <w:tr w:rsidR="00396CB4" w:rsidRPr="00396CB4" w14:paraId="170C090E" w14:textId="77777777" w:rsidTr="00396CB4">
        <w:trPr>
          <w:divId w:val="1537354147"/>
          <w:trHeight w:val="492"/>
        </w:trPr>
        <w:tc>
          <w:tcPr>
            <w:tcW w:w="3040" w:type="dxa"/>
            <w:tcBorders>
              <w:top w:val="nil"/>
              <w:left w:val="single" w:sz="4" w:space="0" w:color="auto"/>
              <w:bottom w:val="single" w:sz="4" w:space="0" w:color="auto"/>
              <w:right w:val="single" w:sz="4" w:space="0" w:color="auto"/>
            </w:tcBorders>
            <w:shd w:val="clear" w:color="000000" w:fill="1F3864"/>
            <w:vAlign w:val="center"/>
            <w:hideMark/>
          </w:tcPr>
          <w:p w14:paraId="7F9A474A" w14:textId="77777777" w:rsidR="00396CB4" w:rsidRPr="00396CB4" w:rsidRDefault="00396CB4" w:rsidP="00396CB4">
            <w:pPr>
              <w:spacing w:after="0" w:line="240" w:lineRule="auto"/>
              <w:jc w:val="left"/>
              <w:rPr>
                <w:rFonts w:eastAsia="Times New Roman" w:cs="Calibri"/>
                <w:color w:val="FFFFFF"/>
                <w:sz w:val="22"/>
                <w:lang w:eastAsia="es-CR"/>
              </w:rPr>
            </w:pPr>
            <w:r w:rsidRPr="00396CB4">
              <w:rPr>
                <w:rFonts w:eastAsia="Times New Roman" w:cs="Calibri"/>
                <w:color w:val="FFFFFF"/>
                <w:sz w:val="22"/>
                <w:lang w:eastAsia="es-CR"/>
              </w:rPr>
              <w:t>Depreciación</w:t>
            </w:r>
          </w:p>
        </w:tc>
        <w:tc>
          <w:tcPr>
            <w:tcW w:w="1460" w:type="dxa"/>
            <w:tcBorders>
              <w:top w:val="nil"/>
              <w:left w:val="nil"/>
              <w:bottom w:val="single" w:sz="4" w:space="0" w:color="auto"/>
              <w:right w:val="single" w:sz="4" w:space="0" w:color="auto"/>
            </w:tcBorders>
            <w:shd w:val="clear" w:color="auto" w:fill="auto"/>
            <w:noWrap/>
            <w:vAlign w:val="bottom"/>
            <w:hideMark/>
          </w:tcPr>
          <w:p w14:paraId="5CADEA8D" w14:textId="77777777" w:rsidR="00396CB4" w:rsidRPr="00396CB4" w:rsidRDefault="00396CB4" w:rsidP="00396CB4">
            <w:pPr>
              <w:spacing w:after="0" w:line="240" w:lineRule="auto"/>
              <w:jc w:val="center"/>
              <w:rPr>
                <w:rFonts w:eastAsia="Times New Roman" w:cs="Calibri"/>
                <w:color w:val="000000"/>
                <w:sz w:val="22"/>
                <w:lang w:eastAsia="es-CR"/>
              </w:rPr>
            </w:pPr>
            <w:r w:rsidRPr="00396CB4">
              <w:rPr>
                <w:rFonts w:eastAsia="Times New Roman" w:cs="Calibri"/>
                <w:color w:val="000000"/>
                <w:sz w:val="22"/>
                <w:lang w:eastAsia="es-CR"/>
              </w:rPr>
              <w:t>-1866945,76</w:t>
            </w:r>
          </w:p>
        </w:tc>
      </w:tr>
      <w:tr w:rsidR="00396CB4" w:rsidRPr="00396CB4" w14:paraId="0AFFCD5C" w14:textId="77777777" w:rsidTr="00396CB4">
        <w:trPr>
          <w:divId w:val="1537354147"/>
          <w:trHeight w:val="492"/>
        </w:trPr>
        <w:tc>
          <w:tcPr>
            <w:tcW w:w="3040" w:type="dxa"/>
            <w:tcBorders>
              <w:top w:val="nil"/>
              <w:left w:val="single" w:sz="4" w:space="0" w:color="auto"/>
              <w:bottom w:val="single" w:sz="4" w:space="0" w:color="auto"/>
              <w:right w:val="single" w:sz="4" w:space="0" w:color="auto"/>
            </w:tcBorders>
            <w:shd w:val="clear" w:color="000000" w:fill="1F3864"/>
            <w:vAlign w:val="center"/>
            <w:hideMark/>
          </w:tcPr>
          <w:p w14:paraId="43C40BCB" w14:textId="77777777" w:rsidR="00396CB4" w:rsidRPr="00396CB4" w:rsidRDefault="00396CB4" w:rsidP="00396CB4">
            <w:pPr>
              <w:spacing w:after="0" w:line="240" w:lineRule="auto"/>
              <w:jc w:val="left"/>
              <w:rPr>
                <w:rFonts w:eastAsia="Times New Roman" w:cs="Calibri"/>
                <w:color w:val="FFFFFF"/>
                <w:sz w:val="22"/>
                <w:lang w:eastAsia="es-CR"/>
              </w:rPr>
            </w:pPr>
            <w:r w:rsidRPr="00396CB4">
              <w:rPr>
                <w:rFonts w:eastAsia="Times New Roman" w:cs="Calibri"/>
                <w:color w:val="FFFFFF"/>
                <w:sz w:val="22"/>
                <w:lang w:eastAsia="es-CR"/>
              </w:rPr>
              <w:t>Deterioro</w:t>
            </w:r>
          </w:p>
        </w:tc>
        <w:tc>
          <w:tcPr>
            <w:tcW w:w="1460" w:type="dxa"/>
            <w:tcBorders>
              <w:top w:val="nil"/>
              <w:left w:val="nil"/>
              <w:bottom w:val="single" w:sz="4" w:space="0" w:color="auto"/>
              <w:right w:val="single" w:sz="4" w:space="0" w:color="auto"/>
            </w:tcBorders>
            <w:shd w:val="clear" w:color="auto" w:fill="auto"/>
            <w:noWrap/>
            <w:vAlign w:val="bottom"/>
            <w:hideMark/>
          </w:tcPr>
          <w:p w14:paraId="53053CF1" w14:textId="77777777" w:rsidR="00396CB4" w:rsidRPr="00396CB4" w:rsidRDefault="00396CB4" w:rsidP="00396CB4">
            <w:pPr>
              <w:spacing w:after="0" w:line="240" w:lineRule="auto"/>
              <w:jc w:val="center"/>
              <w:rPr>
                <w:rFonts w:eastAsia="Times New Roman" w:cs="Calibri"/>
                <w:color w:val="000000"/>
                <w:sz w:val="22"/>
                <w:lang w:eastAsia="es-CR"/>
              </w:rPr>
            </w:pPr>
            <w:r w:rsidRPr="00396CB4">
              <w:rPr>
                <w:rFonts w:eastAsia="Times New Roman" w:cs="Calibri"/>
                <w:color w:val="000000"/>
                <w:sz w:val="22"/>
                <w:lang w:eastAsia="es-CR"/>
              </w:rPr>
              <w:t>0,00</w:t>
            </w:r>
          </w:p>
        </w:tc>
      </w:tr>
      <w:tr w:rsidR="00396CB4" w:rsidRPr="00396CB4" w14:paraId="4FE3D785" w14:textId="77777777" w:rsidTr="00396CB4">
        <w:trPr>
          <w:divId w:val="1537354147"/>
          <w:trHeight w:val="492"/>
        </w:trPr>
        <w:tc>
          <w:tcPr>
            <w:tcW w:w="3040" w:type="dxa"/>
            <w:tcBorders>
              <w:top w:val="nil"/>
              <w:left w:val="single" w:sz="4" w:space="0" w:color="auto"/>
              <w:bottom w:val="single" w:sz="4" w:space="0" w:color="auto"/>
              <w:right w:val="single" w:sz="4" w:space="0" w:color="auto"/>
            </w:tcBorders>
            <w:shd w:val="clear" w:color="000000" w:fill="1F3864"/>
            <w:vAlign w:val="center"/>
            <w:hideMark/>
          </w:tcPr>
          <w:p w14:paraId="1275F3CD" w14:textId="77777777" w:rsidR="00396CB4" w:rsidRPr="00396CB4" w:rsidRDefault="00396CB4" w:rsidP="00396CB4">
            <w:pPr>
              <w:spacing w:after="0" w:line="240" w:lineRule="auto"/>
              <w:jc w:val="left"/>
              <w:rPr>
                <w:rFonts w:eastAsia="Times New Roman" w:cs="Calibri"/>
                <w:color w:val="FFFFFF"/>
                <w:sz w:val="22"/>
                <w:lang w:eastAsia="es-CR"/>
              </w:rPr>
            </w:pPr>
            <w:r w:rsidRPr="00396CB4">
              <w:rPr>
                <w:rFonts w:eastAsia="Times New Roman" w:cs="Calibri"/>
                <w:color w:val="FFFFFF"/>
                <w:sz w:val="22"/>
                <w:lang w:eastAsia="es-CR"/>
              </w:rPr>
              <w:t xml:space="preserve">Ajustes por reversión de Deterioro </w:t>
            </w:r>
          </w:p>
        </w:tc>
        <w:tc>
          <w:tcPr>
            <w:tcW w:w="1460" w:type="dxa"/>
            <w:tcBorders>
              <w:top w:val="nil"/>
              <w:left w:val="nil"/>
              <w:bottom w:val="single" w:sz="4" w:space="0" w:color="auto"/>
              <w:right w:val="single" w:sz="4" w:space="0" w:color="auto"/>
            </w:tcBorders>
            <w:shd w:val="clear" w:color="auto" w:fill="auto"/>
            <w:noWrap/>
            <w:vAlign w:val="bottom"/>
            <w:hideMark/>
          </w:tcPr>
          <w:p w14:paraId="5216CDD9" w14:textId="77777777" w:rsidR="00396CB4" w:rsidRPr="00396CB4" w:rsidRDefault="00396CB4" w:rsidP="00396CB4">
            <w:pPr>
              <w:spacing w:after="0" w:line="240" w:lineRule="auto"/>
              <w:jc w:val="center"/>
              <w:rPr>
                <w:rFonts w:eastAsia="Times New Roman" w:cs="Calibri"/>
                <w:color w:val="000000"/>
                <w:sz w:val="22"/>
                <w:lang w:eastAsia="es-CR"/>
              </w:rPr>
            </w:pPr>
            <w:r w:rsidRPr="00396CB4">
              <w:rPr>
                <w:rFonts w:eastAsia="Times New Roman" w:cs="Calibri"/>
                <w:color w:val="000000"/>
                <w:sz w:val="22"/>
                <w:lang w:eastAsia="es-CR"/>
              </w:rPr>
              <w:t>0,00</w:t>
            </w:r>
          </w:p>
        </w:tc>
      </w:tr>
      <w:tr w:rsidR="00396CB4" w:rsidRPr="00396CB4" w14:paraId="324A31A1" w14:textId="77777777" w:rsidTr="00396CB4">
        <w:trPr>
          <w:divId w:val="1537354147"/>
          <w:trHeight w:val="492"/>
        </w:trPr>
        <w:tc>
          <w:tcPr>
            <w:tcW w:w="3040" w:type="dxa"/>
            <w:tcBorders>
              <w:top w:val="nil"/>
              <w:left w:val="single" w:sz="4" w:space="0" w:color="auto"/>
              <w:bottom w:val="single" w:sz="4" w:space="0" w:color="auto"/>
              <w:right w:val="single" w:sz="4" w:space="0" w:color="auto"/>
            </w:tcBorders>
            <w:shd w:val="clear" w:color="000000" w:fill="1F3864"/>
            <w:vAlign w:val="center"/>
            <w:hideMark/>
          </w:tcPr>
          <w:p w14:paraId="72CFF369" w14:textId="77777777" w:rsidR="00396CB4" w:rsidRPr="00396CB4" w:rsidRDefault="00396CB4" w:rsidP="00396CB4">
            <w:pPr>
              <w:spacing w:after="0" w:line="240" w:lineRule="auto"/>
              <w:jc w:val="left"/>
              <w:rPr>
                <w:rFonts w:eastAsia="Times New Roman" w:cs="Calibri"/>
                <w:color w:val="FFFFFF"/>
                <w:sz w:val="22"/>
                <w:lang w:eastAsia="es-CR"/>
              </w:rPr>
            </w:pPr>
            <w:r w:rsidRPr="00396CB4">
              <w:rPr>
                <w:rFonts w:eastAsia="Times New Roman" w:cs="Calibri"/>
                <w:color w:val="FFFFFF"/>
                <w:sz w:val="22"/>
                <w:lang w:eastAsia="es-CR"/>
              </w:rPr>
              <w:t> </w:t>
            </w:r>
          </w:p>
        </w:tc>
        <w:tc>
          <w:tcPr>
            <w:tcW w:w="1460" w:type="dxa"/>
            <w:tcBorders>
              <w:top w:val="nil"/>
              <w:left w:val="nil"/>
              <w:bottom w:val="single" w:sz="4" w:space="0" w:color="auto"/>
              <w:right w:val="single" w:sz="4" w:space="0" w:color="auto"/>
            </w:tcBorders>
            <w:shd w:val="clear" w:color="auto" w:fill="auto"/>
            <w:noWrap/>
            <w:vAlign w:val="bottom"/>
            <w:hideMark/>
          </w:tcPr>
          <w:p w14:paraId="2EBA0B24" w14:textId="77777777" w:rsidR="00396CB4" w:rsidRPr="00396CB4" w:rsidRDefault="00396CB4" w:rsidP="00396CB4">
            <w:pPr>
              <w:spacing w:after="0" w:line="240" w:lineRule="auto"/>
              <w:jc w:val="center"/>
              <w:rPr>
                <w:rFonts w:eastAsia="Times New Roman" w:cs="Calibri"/>
                <w:color w:val="000000"/>
                <w:sz w:val="22"/>
                <w:lang w:eastAsia="es-CR"/>
              </w:rPr>
            </w:pPr>
            <w:r w:rsidRPr="00396CB4">
              <w:rPr>
                <w:rFonts w:eastAsia="Times New Roman" w:cs="Calibri"/>
                <w:color w:val="000000"/>
                <w:sz w:val="22"/>
                <w:lang w:eastAsia="es-CR"/>
              </w:rPr>
              <w:t> </w:t>
            </w:r>
          </w:p>
        </w:tc>
      </w:tr>
      <w:tr w:rsidR="00396CB4" w:rsidRPr="00396CB4" w14:paraId="41CDA7F0" w14:textId="77777777" w:rsidTr="00396CB4">
        <w:trPr>
          <w:divId w:val="1537354147"/>
          <w:trHeight w:val="492"/>
        </w:trPr>
        <w:tc>
          <w:tcPr>
            <w:tcW w:w="3040" w:type="dxa"/>
            <w:tcBorders>
              <w:top w:val="nil"/>
              <w:left w:val="single" w:sz="4" w:space="0" w:color="auto"/>
              <w:bottom w:val="single" w:sz="4" w:space="0" w:color="auto"/>
              <w:right w:val="single" w:sz="4" w:space="0" w:color="auto"/>
            </w:tcBorders>
            <w:shd w:val="clear" w:color="000000" w:fill="1F3864"/>
            <w:vAlign w:val="center"/>
            <w:hideMark/>
          </w:tcPr>
          <w:p w14:paraId="635EC740" w14:textId="77777777" w:rsidR="00396CB4" w:rsidRPr="00396CB4" w:rsidRDefault="00396CB4" w:rsidP="00396CB4">
            <w:pPr>
              <w:spacing w:after="0" w:line="240" w:lineRule="auto"/>
              <w:jc w:val="left"/>
              <w:rPr>
                <w:rFonts w:eastAsia="Times New Roman" w:cs="Calibri"/>
                <w:color w:val="FFFFFF"/>
                <w:sz w:val="22"/>
                <w:lang w:eastAsia="es-CR"/>
              </w:rPr>
            </w:pPr>
            <w:r w:rsidRPr="00396CB4">
              <w:rPr>
                <w:rFonts w:eastAsia="Times New Roman" w:cs="Calibri"/>
                <w:color w:val="FFFFFF"/>
                <w:sz w:val="22"/>
                <w:lang w:eastAsia="es-CR"/>
              </w:rPr>
              <w:t> </w:t>
            </w:r>
          </w:p>
        </w:tc>
        <w:tc>
          <w:tcPr>
            <w:tcW w:w="1460" w:type="dxa"/>
            <w:tcBorders>
              <w:top w:val="nil"/>
              <w:left w:val="nil"/>
              <w:bottom w:val="single" w:sz="4" w:space="0" w:color="auto"/>
              <w:right w:val="single" w:sz="4" w:space="0" w:color="auto"/>
            </w:tcBorders>
            <w:shd w:val="clear" w:color="auto" w:fill="auto"/>
            <w:noWrap/>
            <w:vAlign w:val="bottom"/>
            <w:hideMark/>
          </w:tcPr>
          <w:p w14:paraId="460ED351" w14:textId="77777777" w:rsidR="00396CB4" w:rsidRPr="00396CB4" w:rsidRDefault="00396CB4" w:rsidP="00396CB4">
            <w:pPr>
              <w:spacing w:after="0" w:line="240" w:lineRule="auto"/>
              <w:jc w:val="center"/>
              <w:rPr>
                <w:rFonts w:eastAsia="Times New Roman" w:cs="Calibri"/>
                <w:color w:val="000000"/>
                <w:sz w:val="22"/>
                <w:lang w:eastAsia="es-CR"/>
              </w:rPr>
            </w:pPr>
            <w:r w:rsidRPr="00396CB4">
              <w:rPr>
                <w:rFonts w:eastAsia="Times New Roman" w:cs="Calibri"/>
                <w:color w:val="000000"/>
                <w:sz w:val="22"/>
                <w:lang w:eastAsia="es-CR"/>
              </w:rPr>
              <w:t> </w:t>
            </w:r>
          </w:p>
        </w:tc>
      </w:tr>
    </w:tbl>
    <w:p w14:paraId="03A6E975" w14:textId="3C8773E6" w:rsidR="000B404C" w:rsidRDefault="00F56027" w:rsidP="00F56027">
      <w:r>
        <w:fldChar w:fldCharType="end"/>
      </w:r>
    </w:p>
    <w:p w14:paraId="1F2B6482" w14:textId="77C32310" w:rsidR="000B404C" w:rsidRDefault="000B404C" w:rsidP="00F56027">
      <w:pPr>
        <w:jc w:val="center"/>
      </w:pPr>
      <w:r>
        <w:rPr>
          <w:noProof/>
          <w:lang w:eastAsia="es-CR"/>
        </w:rPr>
        <w:drawing>
          <wp:inline distT="0" distB="0" distL="0" distR="0" wp14:anchorId="1C8E41BD" wp14:editId="64A9800F">
            <wp:extent cx="4231005" cy="1438910"/>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31005" cy="1438910"/>
                    </a:xfrm>
                    <a:prstGeom prst="rect">
                      <a:avLst/>
                    </a:prstGeom>
                    <a:noFill/>
                  </pic:spPr>
                </pic:pic>
              </a:graphicData>
            </a:graphic>
          </wp:inline>
        </w:drawing>
      </w:r>
    </w:p>
    <w:p w14:paraId="2D19EE5A" w14:textId="77777777" w:rsidR="000B404C" w:rsidRPr="000B404C" w:rsidRDefault="000B404C" w:rsidP="000B404C">
      <w:pPr>
        <w:rPr>
          <w:lang w:eastAsia="es-CR"/>
        </w:rPr>
      </w:pPr>
      <w:r w:rsidRPr="000B404C">
        <w:rPr>
          <w:lang w:eastAsia="es-CR"/>
        </w:rPr>
        <w:t>El responsable contable debe analizar y revelar lo dispuesto en los párrafos 12 de la NICSP 17.</w:t>
      </w:r>
    </w:p>
    <w:p w14:paraId="56D9C2B8" w14:textId="47C0D08B" w:rsidR="000B404C" w:rsidRPr="000B404C" w:rsidRDefault="000B404C" w:rsidP="000B404C">
      <w:pPr>
        <w:spacing w:line="240" w:lineRule="auto"/>
        <w:rPr>
          <w:rStyle w:val="nfasis"/>
        </w:rPr>
      </w:pPr>
      <w:r w:rsidRPr="000B404C">
        <w:rPr>
          <w:rStyle w:val="nfasis"/>
          <w:lang w:val="es-ES" w:eastAsia="es-ES" w:bidi="es-ES"/>
        </w:rPr>
        <w:t>“</w:t>
      </w:r>
      <w:r w:rsidRPr="000B404C">
        <w:rPr>
          <w:rStyle w:val="nfasis"/>
        </w:rPr>
        <w:t xml:space="preserve">La información a revelar exigida en los párrafos 88 a 94 requiere que las entidades revelen información sobre los activos reconocidos. Por lo tanto, a las entidades que reconocen bienes del patrimonio histórico artístico y/o cultural se les requiere que revelen, </w:t>
      </w:r>
      <w:r w:rsidR="00E10611" w:rsidRPr="000B404C">
        <w:rPr>
          <w:rStyle w:val="nfasis"/>
        </w:rPr>
        <w:t>con relación a</w:t>
      </w:r>
      <w:r w:rsidRPr="000B404C">
        <w:rPr>
          <w:rStyle w:val="nfasis"/>
        </w:rPr>
        <w:t xml:space="preserve"> dichos bienes, puntos tales como, por ejemplo, los siguientes:</w:t>
      </w:r>
    </w:p>
    <w:p w14:paraId="7B0FE661" w14:textId="77777777" w:rsidR="000B404C" w:rsidRPr="000B404C" w:rsidRDefault="000B404C" w:rsidP="000B404C">
      <w:pPr>
        <w:spacing w:line="240" w:lineRule="auto"/>
        <w:rPr>
          <w:rStyle w:val="nfasis"/>
        </w:rPr>
      </w:pPr>
      <w:r w:rsidRPr="000B404C">
        <w:rPr>
          <w:rStyle w:val="nfasis"/>
        </w:rPr>
        <w:t>la base de medición utilizada;</w:t>
      </w:r>
    </w:p>
    <w:p w14:paraId="2C0619C4" w14:textId="77777777" w:rsidR="000B404C" w:rsidRPr="000B404C" w:rsidRDefault="000B404C" w:rsidP="000B404C">
      <w:pPr>
        <w:spacing w:line="240" w:lineRule="auto"/>
        <w:rPr>
          <w:rStyle w:val="nfasis"/>
        </w:rPr>
      </w:pPr>
      <w:r w:rsidRPr="000B404C">
        <w:rPr>
          <w:rStyle w:val="nfasis"/>
        </w:rPr>
        <w:t>el método de depreciación utilizado, si los hubiere;</w:t>
      </w:r>
    </w:p>
    <w:p w14:paraId="011737DE" w14:textId="77777777" w:rsidR="000B404C" w:rsidRPr="000B404C" w:rsidRDefault="000B404C" w:rsidP="000B404C">
      <w:pPr>
        <w:spacing w:line="240" w:lineRule="auto"/>
        <w:rPr>
          <w:rStyle w:val="nfasis"/>
        </w:rPr>
      </w:pPr>
      <w:r w:rsidRPr="000B404C">
        <w:rPr>
          <w:rStyle w:val="nfasis"/>
        </w:rPr>
        <w:t>el valor bruto en libros;</w:t>
      </w:r>
    </w:p>
    <w:p w14:paraId="72C6F3F2" w14:textId="77777777" w:rsidR="000B404C" w:rsidRPr="000B404C" w:rsidRDefault="000B404C" w:rsidP="000B404C">
      <w:pPr>
        <w:spacing w:line="240" w:lineRule="auto"/>
        <w:rPr>
          <w:rStyle w:val="nfasis"/>
        </w:rPr>
      </w:pPr>
      <w:r w:rsidRPr="000B404C">
        <w:rPr>
          <w:rStyle w:val="nfasis"/>
        </w:rPr>
        <w:lastRenderedPageBreak/>
        <w:t>la depreciación acumulada al final del periodo, si la hubiere; y</w:t>
      </w:r>
    </w:p>
    <w:p w14:paraId="176EA96A" w14:textId="56C1138B" w:rsidR="000B404C" w:rsidRDefault="000B404C" w:rsidP="0074522C">
      <w:pPr>
        <w:spacing w:line="240" w:lineRule="auto"/>
        <w:rPr>
          <w:rStyle w:val="nfasis"/>
        </w:rPr>
      </w:pPr>
      <w:r w:rsidRPr="000B404C">
        <w:rPr>
          <w:rStyle w:val="nfasis"/>
        </w:rPr>
        <w:t xml:space="preserve">una conciliación entre el valor en libros al comienzo y al final del periodo mostrando determinados componentes de </w:t>
      </w:r>
      <w:r w:rsidR="00E10611" w:rsidRPr="000B404C">
        <w:rPr>
          <w:rStyle w:val="nfasis"/>
        </w:rPr>
        <w:t>esta</w:t>
      </w:r>
      <w:r w:rsidRPr="000B404C">
        <w:rPr>
          <w:rStyle w:val="nfasis"/>
        </w:rPr>
        <w:t>.”</w:t>
      </w:r>
    </w:p>
    <w:p w14:paraId="4443868A" w14:textId="77777777" w:rsidR="00C82A94" w:rsidRDefault="004B38F9" w:rsidP="00C82A94">
      <w:pPr>
        <w:spacing w:line="240" w:lineRule="auto"/>
        <w:rPr>
          <w:b/>
          <w:color w:val="FFFFFF" w:themeColor="background1"/>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p>
    <w:p w14:paraId="01B44AB1" w14:textId="39C8C0F1" w:rsidR="00C82A94" w:rsidRDefault="00C82A94" w:rsidP="00C82A94">
      <w:pPr>
        <w:spacing w:line="240" w:lineRule="auto"/>
        <w:rPr>
          <w:lang w:val="es-MX"/>
        </w:rPr>
      </w:pPr>
      <w:r>
        <w:rPr>
          <w:lang w:val="es-MX"/>
        </w:rPr>
        <w:t xml:space="preserve">Los elementos </w:t>
      </w:r>
      <w:r w:rsidR="00E10611">
        <w:rPr>
          <w:lang w:val="es-MX"/>
        </w:rPr>
        <w:t>del PP</w:t>
      </w:r>
      <w:r>
        <w:rPr>
          <w:lang w:val="es-MX"/>
        </w:rPr>
        <w:t xml:space="preserve"> y E serán reconocidos como activos si, y solo si, es probable que los beneficios económicos futuros o el potencial de servicios asociados con el elemento fluirá para la entidad, y el costo o el valor razonable del elemento puede ser medido confiablemente.</w:t>
      </w:r>
    </w:p>
    <w:p w14:paraId="7CA20CF0" w14:textId="3FC05514" w:rsidR="00C82A94" w:rsidRDefault="00C82A94" w:rsidP="00C82A94">
      <w:pPr>
        <w:spacing w:line="240" w:lineRule="auto"/>
        <w:rPr>
          <w:lang w:val="es-MX"/>
        </w:rPr>
      </w:pPr>
      <w:r>
        <w:rPr>
          <w:lang w:val="es-MX"/>
        </w:rPr>
        <w:t xml:space="preserve">Los elementos </w:t>
      </w:r>
      <w:r w:rsidR="00E10611">
        <w:rPr>
          <w:lang w:val="es-MX"/>
        </w:rPr>
        <w:t>del PP</w:t>
      </w:r>
      <w:r>
        <w:rPr>
          <w:lang w:val="es-MX"/>
        </w:rPr>
        <w:t xml:space="preserve"> y E se reconocerán como activos de la entidad en el momento en que su propiedad sea transferida a la Municipalidad, sean recibidos a satisfacción y estén listos para su uso.</w:t>
      </w:r>
    </w:p>
    <w:p w14:paraId="6FD74C92" w14:textId="6EBC4F75" w:rsidR="00C82A94" w:rsidRDefault="00C82A94" w:rsidP="00C82A94">
      <w:pPr>
        <w:spacing w:line="240" w:lineRule="auto"/>
        <w:rPr>
          <w:lang w:val="es-MX"/>
        </w:rPr>
      </w:pPr>
      <w:r>
        <w:rPr>
          <w:lang w:val="es-MX"/>
        </w:rPr>
        <w:t xml:space="preserve">El valor en libros de los activos </w:t>
      </w:r>
      <w:r w:rsidR="00E10611">
        <w:rPr>
          <w:lang w:val="es-MX"/>
        </w:rPr>
        <w:t>del PP</w:t>
      </w:r>
      <w:r>
        <w:rPr>
          <w:lang w:val="es-MX"/>
        </w:rPr>
        <w:t xml:space="preserve"> y E se eliminarán de los registros contables cuando se disponga de estos y cuando de su uso o disposición no se esperen beneficios económicos futuros o potencial de servicio.</w:t>
      </w:r>
    </w:p>
    <w:p w14:paraId="31A177D9" w14:textId="77777777" w:rsidR="00C82A94" w:rsidRDefault="00C82A94" w:rsidP="00C82A94">
      <w:pPr>
        <w:spacing w:line="240" w:lineRule="auto"/>
        <w:rPr>
          <w:lang w:val="es-MX"/>
        </w:rPr>
      </w:pPr>
      <w:r>
        <w:rPr>
          <w:lang w:val="es-MX"/>
        </w:rPr>
        <w:t>El gasto de depreciación es cargado sistemáticamente durante la vida útil del activo.</w:t>
      </w:r>
    </w:p>
    <w:p w14:paraId="1A7F8E96" w14:textId="43BA1FC2" w:rsidR="00C82A94" w:rsidRPr="006E2BD8" w:rsidRDefault="00C82A94" w:rsidP="00C82A94">
      <w:pPr>
        <w:spacing w:line="240" w:lineRule="auto"/>
        <w:rPr>
          <w:lang w:val="es-MX"/>
        </w:rPr>
      </w:pPr>
      <w:r>
        <w:rPr>
          <w:lang w:val="es-MX"/>
        </w:rPr>
        <w:t xml:space="preserve">Las ganancias o pérdidas que surjan del des-reconocimiento de un activo </w:t>
      </w:r>
      <w:r w:rsidR="00E10611">
        <w:rPr>
          <w:lang w:val="es-MX"/>
        </w:rPr>
        <w:t>del PP</w:t>
      </w:r>
      <w:r>
        <w:rPr>
          <w:lang w:val="es-MX"/>
        </w:rPr>
        <w:t xml:space="preserve"> y E se reconoce en los resultados del periodo en que el activo es dado de baja.</w:t>
      </w:r>
    </w:p>
    <w:p w14:paraId="22607FA9" w14:textId="1ACE9199" w:rsidR="004B38F9" w:rsidRDefault="004B38F9" w:rsidP="004B38F9">
      <w:pPr>
        <w:spacing w:line="240" w:lineRule="auto"/>
        <w:rPr>
          <w:b/>
          <w:u w:val="single"/>
        </w:rPr>
      </w:pPr>
    </w:p>
    <w:p w14:paraId="6B0E2E4A" w14:textId="77777777" w:rsidR="004B38F9" w:rsidRPr="003516A2" w:rsidRDefault="004B38F9" w:rsidP="004B38F9">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24FF735C" w14:textId="77777777" w:rsidR="00C82A94" w:rsidRDefault="00C82A94" w:rsidP="00C82A94">
      <w:pPr>
        <w:spacing w:line="240" w:lineRule="auto"/>
        <w:rPr>
          <w:lang w:val="es-MX"/>
        </w:rPr>
      </w:pPr>
      <w:r>
        <w:rPr>
          <w:lang w:val="es-MX"/>
        </w:rPr>
        <w:t>Inicialmente los activos se medirán al costo, el cual incluye todos los costos necesarios para conseguir que el activo esté listo para el uso que se tiene intención darle al activo. Los activos adquiridos sin costo, o por un costo nominal, se medirá por el valor razonable a la fecha de adquisición, si el pago del activo es diferido, los intereses tienen ser reconocidos como parte del costo.</w:t>
      </w:r>
    </w:p>
    <w:p w14:paraId="76F95FB1" w14:textId="77777777" w:rsidR="00C82A94" w:rsidRDefault="00C82A94" w:rsidP="00C82A94">
      <w:pPr>
        <w:spacing w:line="240" w:lineRule="auto"/>
        <w:rPr>
          <w:lang w:val="es-MX"/>
        </w:rPr>
      </w:pPr>
      <w:r>
        <w:rPr>
          <w:lang w:val="es-MX"/>
        </w:rPr>
        <w:t>Posterior a la adquisición, la Municipalidad utiliza el modelo del costo, es decir, el activo es llevado al costo, menos la depreciación acumulada y pérdidas por deterioro.</w:t>
      </w:r>
    </w:p>
    <w:p w14:paraId="57D9103F" w14:textId="77777777" w:rsidR="00C82A94" w:rsidRDefault="00C82A94" w:rsidP="00C82A94">
      <w:pPr>
        <w:spacing w:line="240" w:lineRule="auto"/>
        <w:rPr>
          <w:lang w:val="es-MX"/>
        </w:rPr>
      </w:pPr>
      <w:r>
        <w:rPr>
          <w:lang w:val="es-MX"/>
        </w:rPr>
        <w:t>El monto de la depreciación sistemática tiene que reflejar el patrón con el cual los beneficios económicos futuros del activo o el potencial de servicios del activo se espera consumidos por la entidad.</w:t>
      </w:r>
    </w:p>
    <w:p w14:paraId="3D511FF9" w14:textId="481D27FB" w:rsidR="00C82A94" w:rsidRPr="003516A2" w:rsidRDefault="00C82A94" w:rsidP="00C82A94">
      <w:pPr>
        <w:spacing w:line="240" w:lineRule="auto"/>
        <w:rPr>
          <w:b/>
          <w:color w:val="FFFFFF" w:themeColor="background1"/>
          <w:highlight w:val="darkBlue"/>
          <w:u w:val="single"/>
        </w:rPr>
      </w:pPr>
      <w:r>
        <w:rPr>
          <w:lang w:val="es-MX"/>
        </w:rPr>
        <w:t xml:space="preserve">La ganancia o pérdida que surja del des-reconocimiento de un activo </w:t>
      </w:r>
      <w:r w:rsidR="00E10611">
        <w:rPr>
          <w:lang w:val="es-MX"/>
        </w:rPr>
        <w:t>del PP</w:t>
      </w:r>
      <w:r>
        <w:rPr>
          <w:lang w:val="es-MX"/>
        </w:rPr>
        <w:t xml:space="preserve"> y E es la diferencia entre los productos netos de la disposición, si los hay, y el valor en libros del activo.</w:t>
      </w:r>
    </w:p>
    <w:p w14:paraId="6F2A7F80" w14:textId="77777777" w:rsidR="004B38F9" w:rsidRPr="0074522C" w:rsidRDefault="004B38F9" w:rsidP="0074522C">
      <w:pPr>
        <w:spacing w:line="240" w:lineRule="auto"/>
        <w:rPr>
          <w:i/>
          <w:iCs/>
        </w:rPr>
      </w:pPr>
    </w:p>
    <w:p w14:paraId="621E09EF" w14:textId="60E63190" w:rsidR="000B404C" w:rsidRPr="000B404C" w:rsidRDefault="000B404C" w:rsidP="000B404C">
      <w:pPr>
        <w:rPr>
          <w:b/>
          <w:u w:val="single"/>
          <w:lang w:eastAsia="es-CR"/>
        </w:rPr>
      </w:pPr>
      <w:r w:rsidRPr="004B38F9">
        <w:rPr>
          <w:b/>
          <w:color w:val="FFFFFF" w:themeColor="background1"/>
          <w:highlight w:val="darkBlue"/>
          <w:u w:val="single"/>
        </w:rPr>
        <w:t>Revelación Suficiente:</w:t>
      </w:r>
      <w:r w:rsidRPr="000B404C">
        <w:rPr>
          <w:b/>
          <w:bCs/>
          <w:u w:val="single"/>
          <w:lang w:eastAsia="es-CR"/>
        </w:rPr>
        <w:t xml:space="preserve"> </w:t>
      </w:r>
      <w:r w:rsidR="00482942">
        <w:rPr>
          <w:b/>
          <w:bCs/>
          <w:u w:val="single"/>
          <w:lang w:eastAsia="es-CR"/>
        </w:rPr>
        <w:t xml:space="preserve">El ente debe revelar y cumplir </w:t>
      </w:r>
      <w:r w:rsidRPr="000B404C">
        <w:rPr>
          <w:b/>
          <w:bCs/>
          <w:u w:val="single"/>
          <w:lang w:eastAsia="es-CR"/>
        </w:rPr>
        <w:t xml:space="preserve">con lo estipulado en revelación </w:t>
      </w:r>
      <w:r w:rsidR="00482942">
        <w:rPr>
          <w:b/>
          <w:bCs/>
          <w:u w:val="single"/>
          <w:lang w:eastAsia="es-CR"/>
        </w:rPr>
        <w:t>conforme</w:t>
      </w:r>
      <w:r w:rsidRPr="000B404C">
        <w:rPr>
          <w:b/>
          <w:bCs/>
          <w:u w:val="single"/>
          <w:lang w:eastAsia="es-CR"/>
        </w:rPr>
        <w:t xml:space="preserve"> a la NICSP, también debe considerar la política general y los párrafos incluidos en la matriz de autoevaluación referente a esta NICSP y guías de aplicación</w:t>
      </w:r>
      <w:r w:rsidRPr="000B404C">
        <w:rPr>
          <w:b/>
          <w:u w:val="single"/>
          <w:lang w:eastAsia="es-CR"/>
        </w:rPr>
        <w:t xml:space="preserve"> (Ver GA NICSP 17):</w:t>
      </w:r>
    </w:p>
    <w:p w14:paraId="70C57D97" w14:textId="77777777" w:rsidR="00C82A94" w:rsidRPr="002D6330" w:rsidRDefault="00C82A94" w:rsidP="00C82A94">
      <w:pPr>
        <w:spacing w:after="0" w:line="240" w:lineRule="auto"/>
        <w:rPr>
          <w:b/>
          <w:bCs/>
          <w:lang w:eastAsia="es-CR"/>
        </w:rPr>
      </w:pPr>
      <w:r w:rsidRPr="002D6330">
        <w:rPr>
          <w:b/>
          <w:bCs/>
          <w:lang w:eastAsia="es-CR"/>
        </w:rPr>
        <w:t>Adopción de la dispensa de tres años concedida en la NICSP 33</w:t>
      </w:r>
    </w:p>
    <w:p w14:paraId="637010CD" w14:textId="77777777" w:rsidR="00C82A94" w:rsidRDefault="00C82A94" w:rsidP="00C82A94">
      <w:pPr>
        <w:spacing w:after="0" w:line="240" w:lineRule="auto"/>
        <w:rPr>
          <w:lang w:eastAsia="es-CR"/>
        </w:rPr>
      </w:pPr>
    </w:p>
    <w:p w14:paraId="5D41678E" w14:textId="77777777" w:rsidR="00C82A94" w:rsidRDefault="00C82A94" w:rsidP="00C82A94">
      <w:pPr>
        <w:spacing w:after="0" w:line="240" w:lineRule="auto"/>
        <w:rPr>
          <w:lang w:eastAsia="es-CR"/>
        </w:rPr>
      </w:pPr>
      <w:bookmarkStart w:id="71" w:name="_Hlk158796817"/>
      <w:r>
        <w:rPr>
          <w:lang w:eastAsia="es-CR"/>
        </w:rPr>
        <w:t xml:space="preserve">La Municipalidad se acogió al periodo de dispensa transitorio de tres años para el reconocimiento o medición de activos o pasivos que proporciona la NICSP 33 en los párrafos 36 a 62, el cual finaliza el </w:t>
      </w:r>
      <w:r>
        <w:rPr>
          <w:lang w:eastAsia="es-CR"/>
        </w:rPr>
        <w:lastRenderedPageBreak/>
        <w:t>31 de diciembre de 2024. Durante este periodo la Municipalidad se encuentra realizando un proceso de cierre de brechas, con el fin de lograr cumplir con los requerimientos exigidos por la NICSP 17 y lograr presentar información razonable sobre los inventarios que posee.</w:t>
      </w:r>
    </w:p>
    <w:bookmarkEnd w:id="71"/>
    <w:p w14:paraId="312E9FAF" w14:textId="77777777" w:rsidR="00C82A94" w:rsidRPr="00A7067D" w:rsidRDefault="00C82A94" w:rsidP="00C82A94">
      <w:pPr>
        <w:spacing w:after="0" w:line="240" w:lineRule="auto"/>
        <w:rPr>
          <w:szCs w:val="24"/>
          <w:lang w:val="es-MX" w:eastAsia="es-CR"/>
        </w:rPr>
      </w:pPr>
    </w:p>
    <w:p w14:paraId="64B0C208" w14:textId="77777777" w:rsidR="00C82A94" w:rsidRDefault="00C82A94" w:rsidP="00C82A94">
      <w:pPr>
        <w:spacing w:after="0" w:line="240" w:lineRule="auto"/>
        <w:rPr>
          <w:szCs w:val="24"/>
          <w:lang w:val="es-MX" w:eastAsia="es-CR"/>
        </w:rPr>
      </w:pPr>
      <w:r w:rsidRPr="00A7067D">
        <w:rPr>
          <w:szCs w:val="24"/>
          <w:lang w:val="es-MX" w:eastAsia="es-CR"/>
        </w:rPr>
        <w:t>La Municipalidad se encuentra llevando a cabo un proceso de levantamiento de inventario con base en el cual, se efectúa la identificación, depuración y actualización del registro que mantenía la Proveeduría Municipal de sus bienes de propiedad, planta y equipo, procediéndose con base en dicho levantamiento a establecer los valores correctos de cada uno de sus activos, determinar la depreciación acumulada y los criterios de deterioro que pueden afectar alguno o algunos de sus activos, tanto los generadores como los no generadores de efectivo, según lo establecido en las NICSP 21 y NICSP 26.</w:t>
      </w:r>
    </w:p>
    <w:p w14:paraId="6C10955B" w14:textId="77777777" w:rsidR="00C82A94" w:rsidRPr="00A7067D" w:rsidRDefault="00C82A94" w:rsidP="00C82A94">
      <w:pPr>
        <w:spacing w:after="0" w:line="240" w:lineRule="auto"/>
        <w:rPr>
          <w:szCs w:val="24"/>
          <w:lang w:val="es-MX" w:eastAsia="es-CR"/>
        </w:rPr>
      </w:pPr>
    </w:p>
    <w:p w14:paraId="533EA5D7" w14:textId="77777777" w:rsidR="00C82A94" w:rsidRDefault="00C82A94" w:rsidP="00C82A94">
      <w:pPr>
        <w:spacing w:after="0" w:line="240" w:lineRule="auto"/>
        <w:rPr>
          <w:szCs w:val="24"/>
          <w:lang w:val="es-ES" w:eastAsia="es-CR"/>
        </w:rPr>
      </w:pPr>
      <w:r w:rsidRPr="00A7067D">
        <w:rPr>
          <w:szCs w:val="24"/>
          <w:lang w:val="es-MX" w:eastAsia="es-CR"/>
        </w:rPr>
        <w:t xml:space="preserve">Además, </w:t>
      </w:r>
      <w:bookmarkStart w:id="72" w:name="_Hlk158796906"/>
      <w:r w:rsidRPr="00A7067D">
        <w:rPr>
          <w:szCs w:val="24"/>
          <w:lang w:val="es-MX" w:eastAsia="es-CR"/>
        </w:rPr>
        <w:t xml:space="preserve">como parte del proceso en mención, se verificará la titularidad de las propiedades y planta que sean identificados y en caso de que corresponda se procederá a efectuar las gestiones y ajustes pertinentes, revelando los importes que están afectos a alguna condición especial, </w:t>
      </w:r>
      <w:r w:rsidRPr="00A7067D">
        <w:rPr>
          <w:szCs w:val="24"/>
          <w:lang w:val="es-ES" w:eastAsia="es-CR"/>
        </w:rPr>
        <w:t>así como cualquier otra revelación conforme lo establece la normativa técnica y legal que regula lo concerniente a los bienes municipales.</w:t>
      </w:r>
    </w:p>
    <w:bookmarkEnd w:id="72"/>
    <w:p w14:paraId="256D0498" w14:textId="77777777" w:rsidR="00C82A94" w:rsidRDefault="00C82A94" w:rsidP="00C82A94">
      <w:pPr>
        <w:spacing w:after="0" w:line="240" w:lineRule="auto"/>
        <w:rPr>
          <w:szCs w:val="24"/>
          <w:lang w:val="es-ES" w:eastAsia="es-CR"/>
        </w:rPr>
      </w:pPr>
    </w:p>
    <w:p w14:paraId="62560CBD" w14:textId="77777777" w:rsidR="00C82A94" w:rsidRDefault="00C82A94" w:rsidP="00C82A94">
      <w:pPr>
        <w:spacing w:after="0" w:line="240" w:lineRule="auto"/>
        <w:rPr>
          <w:szCs w:val="24"/>
          <w:lang w:val="es-ES" w:eastAsia="es-CR"/>
        </w:rPr>
      </w:pPr>
      <w:r>
        <w:rPr>
          <w:szCs w:val="24"/>
          <w:lang w:val="es-ES" w:eastAsia="es-CR"/>
        </w:rPr>
        <w:t>De acuerdo con lo consignado en el Plan de Acción para implementación de las NICSP, se está realizando un inventario físico de cada una de las clases de activos que posee la Municipalidad, luego se procede a valorar los bienes identificados y su posterior registro y a hacer las revelaciones respectivas. Conforme lo indicado en el citado Plan de Acción la totalidad de los requerimientos de esta norma se estima cumplirlos a más tardar el 31 de diciembre de 2024.</w:t>
      </w:r>
    </w:p>
    <w:p w14:paraId="1A33A07B" w14:textId="77777777" w:rsidR="00C82A94" w:rsidRDefault="00C82A94" w:rsidP="00C82A94">
      <w:pPr>
        <w:spacing w:after="0" w:line="240" w:lineRule="auto"/>
        <w:rPr>
          <w:szCs w:val="24"/>
          <w:lang w:val="es-ES" w:eastAsia="es-CR"/>
        </w:rPr>
      </w:pPr>
    </w:p>
    <w:p w14:paraId="49A03ECA" w14:textId="77777777" w:rsidR="00C82A94" w:rsidRDefault="00C82A94" w:rsidP="00C82A94">
      <w:pPr>
        <w:spacing w:after="0" w:line="240" w:lineRule="auto"/>
        <w:rPr>
          <w:szCs w:val="24"/>
          <w:lang w:val="es-ES" w:eastAsia="es-CR"/>
        </w:rPr>
      </w:pPr>
      <w:r>
        <w:rPr>
          <w:szCs w:val="24"/>
          <w:lang w:val="es-ES" w:eastAsia="es-CR"/>
        </w:rPr>
        <w:t xml:space="preserve">Cabe señalar, que debido a que antes de iniciar la implementación de las NICSP la Municipalidad no llevaba una contabilidad patrimonial, por lo tanto, desde un inicio los activos de </w:t>
      </w:r>
      <w:proofErr w:type="spellStart"/>
      <w:r>
        <w:rPr>
          <w:szCs w:val="24"/>
          <w:lang w:val="es-ES" w:eastAsia="es-CR"/>
        </w:rPr>
        <w:t>PPyE</w:t>
      </w:r>
      <w:proofErr w:type="spellEnd"/>
      <w:r>
        <w:rPr>
          <w:szCs w:val="24"/>
          <w:lang w:val="es-ES" w:eastAsia="es-CR"/>
        </w:rPr>
        <w:t xml:space="preserve"> se reconocen y miden con base en lo establecido en las NICSP.</w:t>
      </w:r>
    </w:p>
    <w:p w14:paraId="23959663" w14:textId="77777777" w:rsidR="00C82A94" w:rsidRPr="00A7067D" w:rsidRDefault="00C82A94" w:rsidP="00C82A94">
      <w:pPr>
        <w:spacing w:after="0" w:line="240" w:lineRule="auto"/>
        <w:rPr>
          <w:szCs w:val="24"/>
          <w:lang w:val="es-ES" w:eastAsia="es-CR"/>
        </w:rPr>
      </w:pPr>
    </w:p>
    <w:p w14:paraId="3CB726FC" w14:textId="77777777" w:rsidR="00C82A94" w:rsidRPr="00DC114B" w:rsidRDefault="00C82A94" w:rsidP="00C82A94">
      <w:pPr>
        <w:spacing w:after="0" w:line="240" w:lineRule="auto"/>
        <w:rPr>
          <w:b/>
          <w:bCs/>
          <w:szCs w:val="24"/>
          <w:lang w:val="es-ES" w:eastAsia="es-CR"/>
        </w:rPr>
      </w:pPr>
      <w:r w:rsidRPr="00DC114B">
        <w:rPr>
          <w:b/>
          <w:bCs/>
          <w:szCs w:val="24"/>
          <w:lang w:val="es-ES" w:eastAsia="es-CR"/>
        </w:rPr>
        <w:t>Principales Políticas</w:t>
      </w:r>
    </w:p>
    <w:p w14:paraId="595F7546" w14:textId="77777777" w:rsidR="00C82A94" w:rsidRDefault="00C82A94" w:rsidP="00C82A94">
      <w:pPr>
        <w:spacing w:after="0" w:line="240" w:lineRule="auto"/>
        <w:rPr>
          <w:szCs w:val="24"/>
          <w:lang w:val="es-ES" w:eastAsia="es-CR"/>
        </w:rPr>
      </w:pPr>
    </w:p>
    <w:p w14:paraId="3E22F591" w14:textId="77777777" w:rsidR="00C82A94" w:rsidRDefault="00C82A94" w:rsidP="00C82A94">
      <w:pPr>
        <w:spacing w:after="0" w:line="240" w:lineRule="auto"/>
        <w:rPr>
          <w:szCs w:val="24"/>
          <w:lang w:val="es-MX" w:eastAsia="es-CR"/>
        </w:rPr>
      </w:pPr>
      <w:r>
        <w:rPr>
          <w:szCs w:val="24"/>
          <w:lang w:val="es-MX" w:eastAsia="es-CR"/>
        </w:rPr>
        <w:t xml:space="preserve">Un activo se reconocerá como activo de Propiedad, Planta y Equipo si y solo si cumple las características a) es probable que la entidad reciba beneficios económicos o potencial de servicios futuros asociados al activo; y b) el valor razonable o el costo del activo puede ser medido de forma fiable. El costo de un elemento de propiedad planta y equipo será el precio equivalente al contado. </w:t>
      </w:r>
    </w:p>
    <w:p w14:paraId="5E338E2C" w14:textId="77777777" w:rsidR="00C82A94" w:rsidRDefault="00C82A94" w:rsidP="00C82A94">
      <w:pPr>
        <w:spacing w:after="0" w:line="240" w:lineRule="auto"/>
        <w:rPr>
          <w:szCs w:val="24"/>
          <w:lang w:val="es-MX" w:eastAsia="es-CR"/>
        </w:rPr>
      </w:pPr>
    </w:p>
    <w:p w14:paraId="7AE2074C" w14:textId="77777777" w:rsidR="00C82A94" w:rsidRDefault="00C82A94" w:rsidP="00C82A94">
      <w:pPr>
        <w:spacing w:after="0" w:line="240" w:lineRule="auto"/>
        <w:rPr>
          <w:szCs w:val="24"/>
          <w:lang w:val="es-MX" w:eastAsia="es-CR"/>
        </w:rPr>
      </w:pPr>
      <w:r w:rsidRPr="00A7067D">
        <w:rPr>
          <w:szCs w:val="24"/>
          <w:lang w:val="es-MX" w:eastAsia="es-CR"/>
        </w:rPr>
        <w:t xml:space="preserve">La base de medición utilizada para determinar el importe en libros bruto es el método de costo, y en el caso de aquello activos que se encuentran en uso y se desconoce su valor </w:t>
      </w:r>
      <w:r>
        <w:rPr>
          <w:szCs w:val="24"/>
          <w:lang w:val="es-MX" w:eastAsia="es-CR"/>
        </w:rPr>
        <w:t xml:space="preserve">o no se dispone de información fiable del mismo </w:t>
      </w:r>
      <w:r w:rsidRPr="00A7067D">
        <w:rPr>
          <w:szCs w:val="24"/>
          <w:lang w:val="es-MX" w:eastAsia="es-CR"/>
        </w:rPr>
        <w:t xml:space="preserve">se </w:t>
      </w:r>
      <w:r>
        <w:rPr>
          <w:szCs w:val="24"/>
          <w:lang w:val="es-MX" w:eastAsia="es-CR"/>
        </w:rPr>
        <w:t>le aplicará un</w:t>
      </w:r>
      <w:r w:rsidRPr="00A7067D">
        <w:rPr>
          <w:szCs w:val="24"/>
          <w:lang w:val="es-MX" w:eastAsia="es-CR"/>
        </w:rPr>
        <w:t xml:space="preserve"> valor razonable</w:t>
      </w:r>
      <w:r>
        <w:rPr>
          <w:szCs w:val="24"/>
          <w:lang w:val="es-MX" w:eastAsia="es-CR"/>
        </w:rPr>
        <w:t xml:space="preserve"> como el costo atribuido conforme lo establece la NICSP 33, el cual será establecido </w:t>
      </w:r>
      <w:r w:rsidRPr="00A7067D">
        <w:rPr>
          <w:szCs w:val="24"/>
          <w:lang w:val="es-MX" w:eastAsia="es-CR"/>
        </w:rPr>
        <w:t xml:space="preserve">con </w:t>
      </w:r>
      <w:r>
        <w:rPr>
          <w:szCs w:val="24"/>
          <w:lang w:val="es-MX" w:eastAsia="es-CR"/>
        </w:rPr>
        <w:t xml:space="preserve">base en </w:t>
      </w:r>
      <w:r w:rsidRPr="00A7067D">
        <w:rPr>
          <w:szCs w:val="24"/>
          <w:lang w:val="es-MX" w:eastAsia="es-CR"/>
        </w:rPr>
        <w:t>un estudio de mercado</w:t>
      </w:r>
      <w:r>
        <w:rPr>
          <w:szCs w:val="24"/>
          <w:lang w:val="es-MX" w:eastAsia="es-CR"/>
        </w:rPr>
        <w:t xml:space="preserve"> o un avalúo realizado por un profesional experto</w:t>
      </w:r>
      <w:r w:rsidRPr="00A7067D">
        <w:rPr>
          <w:szCs w:val="24"/>
          <w:lang w:val="es-MX" w:eastAsia="es-CR"/>
        </w:rPr>
        <w:t>.</w:t>
      </w:r>
    </w:p>
    <w:p w14:paraId="4C3EDC3B" w14:textId="77777777" w:rsidR="00C82A94" w:rsidRDefault="00C82A94" w:rsidP="00C82A94">
      <w:pPr>
        <w:spacing w:after="0" w:line="240" w:lineRule="auto"/>
        <w:rPr>
          <w:szCs w:val="24"/>
          <w:lang w:val="es-MX" w:eastAsia="es-CR"/>
        </w:rPr>
      </w:pPr>
    </w:p>
    <w:p w14:paraId="22939362" w14:textId="77777777" w:rsidR="00C82A94" w:rsidRDefault="00C82A94" w:rsidP="00C82A94">
      <w:pPr>
        <w:spacing w:after="0" w:line="240" w:lineRule="auto"/>
        <w:rPr>
          <w:szCs w:val="24"/>
          <w:lang w:val="es-MX" w:eastAsia="es-CR"/>
        </w:rPr>
      </w:pPr>
      <w:r>
        <w:rPr>
          <w:szCs w:val="24"/>
          <w:lang w:val="es-MX" w:eastAsia="es-CR"/>
        </w:rPr>
        <w:t>Con posterioridad al reconocimiento inicial un activo de propiedad, planta y equipo se contabilizará por su costo menos la depreciación y el importe acumulados de las pérdidas por deterioro del valor.</w:t>
      </w:r>
    </w:p>
    <w:p w14:paraId="1289E92D" w14:textId="77777777" w:rsidR="00C82A94" w:rsidRDefault="00C82A94" w:rsidP="00C82A94">
      <w:pPr>
        <w:spacing w:after="0" w:line="240" w:lineRule="auto"/>
        <w:rPr>
          <w:szCs w:val="24"/>
          <w:lang w:val="es-MX" w:eastAsia="es-CR"/>
        </w:rPr>
      </w:pPr>
    </w:p>
    <w:p w14:paraId="4FC31D44" w14:textId="77777777" w:rsidR="00C82A94" w:rsidRDefault="00C82A94" w:rsidP="00C82A94">
      <w:pPr>
        <w:spacing w:after="0" w:line="240" w:lineRule="auto"/>
        <w:rPr>
          <w:szCs w:val="24"/>
          <w:lang w:val="es-MX" w:eastAsia="es-CR"/>
        </w:rPr>
      </w:pPr>
      <w:r>
        <w:rPr>
          <w:szCs w:val="24"/>
          <w:lang w:val="es-MX" w:eastAsia="es-CR"/>
        </w:rPr>
        <w:t>Todos aquellos desembolsos que se realicen que no incrementen los beneficios económicos o el potencial de servicios futuros, será considerado con carácter de gasto de mantenimiento y por lo tanto se reconocerá como gasto del periodo.</w:t>
      </w:r>
    </w:p>
    <w:p w14:paraId="0B46A335" w14:textId="77777777" w:rsidR="00C82A94" w:rsidRDefault="00C82A94" w:rsidP="00C82A94">
      <w:pPr>
        <w:spacing w:after="0" w:line="240" w:lineRule="auto"/>
        <w:rPr>
          <w:szCs w:val="24"/>
          <w:lang w:val="es-MX" w:eastAsia="es-CR"/>
        </w:rPr>
      </w:pPr>
    </w:p>
    <w:p w14:paraId="2FEFD224" w14:textId="77777777" w:rsidR="00C82A94" w:rsidRDefault="00C82A94" w:rsidP="00C82A94">
      <w:pPr>
        <w:spacing w:after="0" w:line="240" w:lineRule="auto"/>
        <w:rPr>
          <w:szCs w:val="24"/>
          <w:lang w:val="es-MX" w:eastAsia="es-CR"/>
        </w:rPr>
      </w:pPr>
      <w:r w:rsidRPr="00A7067D">
        <w:rPr>
          <w:szCs w:val="24"/>
          <w:lang w:val="es-MX" w:eastAsia="es-CR"/>
        </w:rPr>
        <w:t>El método de depreciación que se utiliza es el de línea recta, permitido por la NICSP 17 y sugerido por la Contabilidad Nacional; y la determinación de las vidas útiles o los porcentajes de depreciación empleados se realiza con base en la Directriz CN-001-2009 emitida por la DGCN.</w:t>
      </w:r>
    </w:p>
    <w:p w14:paraId="1E5D7729" w14:textId="77777777" w:rsidR="00C82A94" w:rsidRDefault="00C82A94" w:rsidP="00C82A94">
      <w:pPr>
        <w:spacing w:after="0" w:line="240" w:lineRule="auto"/>
        <w:rPr>
          <w:szCs w:val="24"/>
          <w:lang w:val="es-MX" w:eastAsia="es-CR"/>
        </w:rPr>
      </w:pPr>
    </w:p>
    <w:p w14:paraId="02B12FB2" w14:textId="435B3432" w:rsidR="00C82A94" w:rsidRDefault="00C82A94" w:rsidP="00C82A94">
      <w:pPr>
        <w:spacing w:after="0" w:line="240" w:lineRule="auto"/>
        <w:rPr>
          <w:szCs w:val="24"/>
          <w:lang w:val="es-MX" w:eastAsia="es-CR"/>
        </w:rPr>
      </w:pPr>
      <w:r>
        <w:rPr>
          <w:szCs w:val="24"/>
          <w:lang w:val="es-MX" w:eastAsia="es-CR"/>
        </w:rPr>
        <w:t>Un elemento de</w:t>
      </w:r>
      <w:r w:rsidR="00E10611">
        <w:rPr>
          <w:szCs w:val="24"/>
          <w:lang w:val="es-MX" w:eastAsia="es-CR"/>
        </w:rPr>
        <w:t>l</w:t>
      </w:r>
      <w:r>
        <w:rPr>
          <w:szCs w:val="24"/>
          <w:lang w:val="es-MX" w:eastAsia="es-CR"/>
        </w:rPr>
        <w:t xml:space="preserve"> PP</w:t>
      </w:r>
      <w:r w:rsidR="00E10611">
        <w:rPr>
          <w:szCs w:val="24"/>
          <w:lang w:val="es-MX" w:eastAsia="es-CR"/>
        </w:rPr>
        <w:t xml:space="preserve"> </w:t>
      </w:r>
      <w:r>
        <w:rPr>
          <w:szCs w:val="24"/>
          <w:lang w:val="es-MX" w:eastAsia="es-CR"/>
        </w:rPr>
        <w:t>y</w:t>
      </w:r>
      <w:r w:rsidR="00E10611">
        <w:rPr>
          <w:szCs w:val="24"/>
          <w:lang w:val="es-MX" w:eastAsia="es-CR"/>
        </w:rPr>
        <w:t xml:space="preserve"> </w:t>
      </w:r>
      <w:r>
        <w:rPr>
          <w:szCs w:val="24"/>
          <w:lang w:val="es-MX" w:eastAsia="es-CR"/>
        </w:rPr>
        <w:t>E se dará de baja porque no se espere obtener ningún beneficio futuro o potencial de servicio por su uso o disposición. La disposición de un activo puede llevarse a cabo mediante, su venta, donación o desecho.</w:t>
      </w:r>
    </w:p>
    <w:p w14:paraId="627F844C" w14:textId="77777777" w:rsidR="00C82A94" w:rsidRPr="00D02440" w:rsidRDefault="00C82A94" w:rsidP="00C82A94">
      <w:pPr>
        <w:spacing w:after="0" w:line="240" w:lineRule="auto"/>
        <w:rPr>
          <w:szCs w:val="24"/>
          <w:lang w:val="es-MX" w:eastAsia="es-CR"/>
        </w:rPr>
      </w:pPr>
    </w:p>
    <w:p w14:paraId="51034023" w14:textId="77777777" w:rsidR="00C82A94" w:rsidRDefault="00C82A94" w:rsidP="00C82A94">
      <w:pPr>
        <w:spacing w:after="0" w:line="240" w:lineRule="auto"/>
        <w:rPr>
          <w:szCs w:val="24"/>
          <w:lang w:val="es-ES" w:eastAsia="es-CR"/>
        </w:rPr>
      </w:pPr>
      <w:r>
        <w:rPr>
          <w:szCs w:val="24"/>
          <w:lang w:val="es-MX" w:eastAsia="es-CR"/>
        </w:rPr>
        <w:t>L</w:t>
      </w:r>
      <w:r w:rsidRPr="00A7067D">
        <w:rPr>
          <w:szCs w:val="24"/>
          <w:lang w:val="es-ES" w:eastAsia="es-CR"/>
        </w:rPr>
        <w:t>a depreciación de los activos que conforman la Propiedad, planta y equipo municipal, se debe indicar</w:t>
      </w:r>
      <w:r>
        <w:rPr>
          <w:szCs w:val="24"/>
          <w:lang w:val="es-ES" w:eastAsia="es-CR"/>
        </w:rPr>
        <w:t>,</w:t>
      </w:r>
      <w:r w:rsidRPr="00A7067D">
        <w:rPr>
          <w:szCs w:val="24"/>
          <w:lang w:val="es-ES" w:eastAsia="es-CR"/>
        </w:rPr>
        <w:t xml:space="preserve"> que como parte del proceso de depuración con forme se van inventariando los activos se procede a establecer los criterios para el cálculo de la </w:t>
      </w:r>
      <w:r>
        <w:rPr>
          <w:szCs w:val="24"/>
          <w:lang w:val="es-ES" w:eastAsia="es-CR"/>
        </w:rPr>
        <w:t>d</w:t>
      </w:r>
      <w:r w:rsidRPr="00A7067D">
        <w:rPr>
          <w:szCs w:val="24"/>
          <w:lang w:val="es-ES" w:eastAsia="es-CR"/>
        </w:rPr>
        <w:t xml:space="preserve">epreciación de acuerdo con lo establecido en </w:t>
      </w:r>
      <w:r w:rsidRPr="00A7067D">
        <w:rPr>
          <w:szCs w:val="24"/>
          <w:lang w:val="es-MX" w:eastAsia="es-CR"/>
        </w:rPr>
        <w:t>la Directriz CN-001-2009 emitida por la DGCN</w:t>
      </w:r>
      <w:r w:rsidRPr="00A7067D">
        <w:rPr>
          <w:szCs w:val="24"/>
          <w:lang w:val="es-ES" w:eastAsia="es-CR"/>
        </w:rPr>
        <w:t>.</w:t>
      </w:r>
      <w:r>
        <w:rPr>
          <w:szCs w:val="24"/>
          <w:lang w:val="es-ES" w:eastAsia="es-CR"/>
        </w:rPr>
        <w:t xml:space="preserve"> </w:t>
      </w:r>
    </w:p>
    <w:p w14:paraId="04C0581C" w14:textId="77777777" w:rsidR="00C82A94" w:rsidRDefault="00C82A94" w:rsidP="00C82A94">
      <w:pPr>
        <w:spacing w:after="0" w:line="240" w:lineRule="auto"/>
        <w:rPr>
          <w:szCs w:val="24"/>
          <w:lang w:val="es-ES" w:eastAsia="es-CR"/>
        </w:rPr>
      </w:pPr>
    </w:p>
    <w:p w14:paraId="6200D208" w14:textId="77777777" w:rsidR="00C82A94" w:rsidRPr="00A7067D" w:rsidRDefault="00C82A94" w:rsidP="00C82A94">
      <w:pPr>
        <w:spacing w:after="0" w:line="240" w:lineRule="auto"/>
        <w:rPr>
          <w:szCs w:val="24"/>
          <w:lang w:val="es-ES" w:eastAsia="es-CR"/>
        </w:rPr>
      </w:pPr>
      <w:r>
        <w:rPr>
          <w:szCs w:val="24"/>
          <w:lang w:val="es-ES" w:eastAsia="es-CR"/>
        </w:rPr>
        <w:t>De acuerdo con dicha tabla a los activos más significativos se les estima la vida útil de la siguiente manera: a los edificios entre 17 y 50 años (se deprecian dependiendo de los materiales constructivos entre 2% y 6% anual); la maquinaria y equipos para la construcción, y los equipos y mobiliario de oficina tienen una vida útil estimada de 10 años (se deprecian un 10% anual); los equipos de computación tienen una vida estimada de 5 años (se deprecian un 20% anual) Los equipos de transporte tracción y elevación tienen vidas útiles que van de los 5 a los 20 años (dependiendo de las características y actividad a la que se dediquen tendrán tasas de depreciación entre 5% y 20%) y al equipo de comunicación se le asigna una vida útil de 10 años (se depreciaran 10% anual).</w:t>
      </w:r>
    </w:p>
    <w:p w14:paraId="54866F05" w14:textId="77777777" w:rsidR="00C82A94" w:rsidRPr="002E52D8" w:rsidRDefault="00C82A94" w:rsidP="00C82A94">
      <w:pPr>
        <w:tabs>
          <w:tab w:val="left" w:pos="2240"/>
        </w:tabs>
        <w:spacing w:after="0" w:line="240" w:lineRule="auto"/>
        <w:rPr>
          <w:lang w:val="es-ES"/>
        </w:rPr>
      </w:pPr>
    </w:p>
    <w:p w14:paraId="445E0528" w14:textId="77777777" w:rsidR="00C82A94" w:rsidRPr="002E52D8" w:rsidRDefault="00C82A94" w:rsidP="00C82A94">
      <w:pPr>
        <w:spacing w:after="0" w:line="240" w:lineRule="auto"/>
        <w:rPr>
          <w:b/>
          <w:bCs/>
          <w:szCs w:val="24"/>
          <w:lang w:val="es-ES" w:eastAsia="es-CR"/>
        </w:rPr>
      </w:pPr>
      <w:r w:rsidRPr="002E52D8">
        <w:rPr>
          <w:b/>
          <w:bCs/>
          <w:szCs w:val="24"/>
          <w:lang w:val="es-ES" w:eastAsia="es-CR"/>
        </w:rPr>
        <w:t>Otras revelaciones</w:t>
      </w:r>
    </w:p>
    <w:p w14:paraId="65F8B069" w14:textId="77777777" w:rsidR="00C82A94" w:rsidRDefault="00C82A94" w:rsidP="00C82A94">
      <w:pPr>
        <w:spacing w:after="0" w:line="240" w:lineRule="auto"/>
        <w:rPr>
          <w:szCs w:val="24"/>
          <w:lang w:val="es-ES" w:eastAsia="es-CR"/>
        </w:rPr>
      </w:pPr>
    </w:p>
    <w:p w14:paraId="1094A708" w14:textId="3AC1720E" w:rsidR="00C82A94" w:rsidRPr="00A26C62" w:rsidRDefault="00C82A94" w:rsidP="00C82A94">
      <w:pPr>
        <w:spacing w:after="0" w:line="240" w:lineRule="auto"/>
        <w:rPr>
          <w:lang w:val="es-ES"/>
        </w:rPr>
      </w:pPr>
      <w:r w:rsidRPr="00A26C62">
        <w:rPr>
          <w:szCs w:val="24"/>
          <w:lang w:val="es-ES" w:eastAsia="es-CR"/>
        </w:rPr>
        <w:t xml:space="preserve">Tal como se aprecia en el siguiente detalle los bienes de infraestructura y de beneficio y uso público en servicio son los que representan la mayor cuantía de la propiedad planta y equipo, siendo principalmente los bienes correspondientes a Infraestructura Vial, los que presentan una cuantía significativa dentro de este grupo de activos; los segundos en importancia son los edificios; en tercer lugar se tiene la maquinaria y equipo de trabajo, equipo de cómputo y de oficina; y finalmente los activos intangibles. </w:t>
      </w:r>
      <w:r w:rsidRPr="00A26C62">
        <w:rPr>
          <w:lang w:val="es-ES"/>
        </w:rPr>
        <w:t xml:space="preserve">El detalle de los activos de Infraestructura Vial al </w:t>
      </w:r>
      <w:r w:rsidR="00796636" w:rsidRPr="00A26C62">
        <w:rPr>
          <w:lang w:val="es-ES"/>
        </w:rPr>
        <w:t>31</w:t>
      </w:r>
      <w:r w:rsidRPr="00A26C62">
        <w:rPr>
          <w:lang w:val="es-ES"/>
        </w:rPr>
        <w:t xml:space="preserve"> de </w:t>
      </w:r>
      <w:r w:rsidR="00D64CF8" w:rsidRPr="00A26C62">
        <w:rPr>
          <w:lang w:val="es-ES"/>
        </w:rPr>
        <w:t>diciembre</w:t>
      </w:r>
      <w:r w:rsidRPr="00A26C62">
        <w:rPr>
          <w:lang w:val="es-ES"/>
        </w:rPr>
        <w:t xml:space="preserve"> de 2024 es el siguiente:</w:t>
      </w:r>
    </w:p>
    <w:p w14:paraId="31D88D30" w14:textId="77777777" w:rsidR="00C82A94" w:rsidRPr="00C82A94" w:rsidRDefault="00C82A94" w:rsidP="00C82A94">
      <w:pPr>
        <w:spacing w:after="0" w:line="240" w:lineRule="auto"/>
        <w:rPr>
          <w:highlight w:val="yellow"/>
          <w:lang w:val="es-ES"/>
        </w:rPr>
      </w:pPr>
    </w:p>
    <w:p w14:paraId="5BAD3584" w14:textId="77777777" w:rsidR="00C82A94" w:rsidRPr="00C82A94" w:rsidRDefault="00C82A94" w:rsidP="00C82A94">
      <w:pPr>
        <w:spacing w:after="0" w:line="240" w:lineRule="auto"/>
        <w:rPr>
          <w:highlight w:val="yellow"/>
          <w:lang w:val="es-ES"/>
        </w:rPr>
      </w:pPr>
    </w:p>
    <w:tbl>
      <w:tblPr>
        <w:tblW w:w="8921" w:type="dxa"/>
        <w:tblLook w:val="04A0" w:firstRow="1" w:lastRow="0" w:firstColumn="1" w:lastColumn="0" w:noHBand="0" w:noVBand="1"/>
      </w:tblPr>
      <w:tblGrid>
        <w:gridCol w:w="901"/>
        <w:gridCol w:w="3909"/>
        <w:gridCol w:w="1374"/>
        <w:gridCol w:w="1348"/>
        <w:gridCol w:w="1389"/>
      </w:tblGrid>
      <w:tr w:rsidR="00C82A94" w:rsidRPr="00A26C62" w14:paraId="3D2384C0" w14:textId="77777777" w:rsidTr="0061790F">
        <w:trPr>
          <w:trHeight w:val="700"/>
        </w:trPr>
        <w:tc>
          <w:tcPr>
            <w:tcW w:w="901" w:type="dxa"/>
            <w:tcBorders>
              <w:top w:val="single" w:sz="8" w:space="0" w:color="auto"/>
              <w:left w:val="single" w:sz="8" w:space="0" w:color="auto"/>
              <w:bottom w:val="nil"/>
              <w:right w:val="single" w:sz="8" w:space="0" w:color="auto"/>
            </w:tcBorders>
            <w:shd w:val="clear" w:color="000000" w:fill="203764"/>
            <w:vAlign w:val="center"/>
            <w:hideMark/>
          </w:tcPr>
          <w:p w14:paraId="1EEAE2F2" w14:textId="77777777" w:rsidR="00C82A94" w:rsidRPr="00A26C62" w:rsidRDefault="00C82A94" w:rsidP="0061790F">
            <w:pPr>
              <w:spacing w:after="0" w:line="240" w:lineRule="auto"/>
              <w:jc w:val="center"/>
              <w:rPr>
                <w:rFonts w:eastAsia="Times New Roman" w:cs="Calibri"/>
                <w:b/>
                <w:bCs/>
                <w:sz w:val="18"/>
                <w:szCs w:val="18"/>
                <w:lang w:val="en-US"/>
              </w:rPr>
            </w:pPr>
            <w:proofErr w:type="spellStart"/>
            <w:r w:rsidRPr="00A26C62">
              <w:rPr>
                <w:rFonts w:eastAsia="Times New Roman" w:cs="Calibri"/>
                <w:b/>
                <w:bCs/>
                <w:sz w:val="18"/>
                <w:szCs w:val="18"/>
                <w:lang w:val="en-US"/>
              </w:rPr>
              <w:t>Cantidad</w:t>
            </w:r>
            <w:proofErr w:type="spellEnd"/>
          </w:p>
        </w:tc>
        <w:tc>
          <w:tcPr>
            <w:tcW w:w="3909" w:type="dxa"/>
            <w:tcBorders>
              <w:top w:val="single" w:sz="8" w:space="0" w:color="auto"/>
              <w:left w:val="nil"/>
              <w:bottom w:val="nil"/>
              <w:right w:val="single" w:sz="8" w:space="0" w:color="auto"/>
            </w:tcBorders>
            <w:shd w:val="clear" w:color="000000" w:fill="203764"/>
            <w:vAlign w:val="center"/>
            <w:hideMark/>
          </w:tcPr>
          <w:p w14:paraId="34111729" w14:textId="77777777" w:rsidR="00C82A94" w:rsidRPr="00A26C62" w:rsidRDefault="00C82A94" w:rsidP="0061790F">
            <w:pPr>
              <w:spacing w:after="0" w:line="240" w:lineRule="auto"/>
              <w:jc w:val="center"/>
              <w:rPr>
                <w:rFonts w:eastAsia="Times New Roman" w:cs="Calibri"/>
                <w:b/>
                <w:bCs/>
                <w:sz w:val="18"/>
                <w:szCs w:val="18"/>
                <w:lang w:val="en-US"/>
              </w:rPr>
            </w:pPr>
            <w:r w:rsidRPr="00A26C62">
              <w:rPr>
                <w:rFonts w:eastAsia="Times New Roman" w:cs="Calibri"/>
                <w:b/>
                <w:bCs/>
                <w:sz w:val="18"/>
                <w:szCs w:val="18"/>
                <w:lang w:val="en-US"/>
              </w:rPr>
              <w:t>DESCRIPCIÓN DEL ACTIVO</w:t>
            </w:r>
          </w:p>
        </w:tc>
        <w:tc>
          <w:tcPr>
            <w:tcW w:w="1374" w:type="dxa"/>
            <w:tcBorders>
              <w:top w:val="single" w:sz="8" w:space="0" w:color="auto"/>
              <w:left w:val="nil"/>
              <w:bottom w:val="nil"/>
              <w:right w:val="single" w:sz="8" w:space="0" w:color="auto"/>
            </w:tcBorders>
            <w:shd w:val="clear" w:color="000000" w:fill="203764"/>
            <w:vAlign w:val="center"/>
            <w:hideMark/>
          </w:tcPr>
          <w:p w14:paraId="0EB2510C" w14:textId="77777777" w:rsidR="00C82A94" w:rsidRPr="00A26C62" w:rsidRDefault="00C82A94" w:rsidP="0061790F">
            <w:pPr>
              <w:spacing w:after="0" w:line="240" w:lineRule="auto"/>
              <w:jc w:val="center"/>
              <w:rPr>
                <w:rFonts w:eastAsia="Times New Roman" w:cs="Calibri"/>
                <w:b/>
                <w:bCs/>
                <w:sz w:val="18"/>
                <w:szCs w:val="18"/>
                <w:lang w:val="en-US"/>
              </w:rPr>
            </w:pPr>
            <w:r w:rsidRPr="00A26C62">
              <w:rPr>
                <w:rFonts w:eastAsia="Times New Roman" w:cs="Calibri"/>
                <w:b/>
                <w:bCs/>
                <w:sz w:val="18"/>
                <w:szCs w:val="18"/>
                <w:lang w:val="en-US"/>
              </w:rPr>
              <w:t>COSTO</w:t>
            </w:r>
          </w:p>
        </w:tc>
        <w:tc>
          <w:tcPr>
            <w:tcW w:w="1348" w:type="dxa"/>
            <w:tcBorders>
              <w:top w:val="single" w:sz="8" w:space="0" w:color="auto"/>
              <w:left w:val="nil"/>
              <w:bottom w:val="nil"/>
              <w:right w:val="single" w:sz="8" w:space="0" w:color="auto"/>
            </w:tcBorders>
            <w:shd w:val="clear" w:color="000000" w:fill="203764"/>
            <w:vAlign w:val="center"/>
            <w:hideMark/>
          </w:tcPr>
          <w:p w14:paraId="69DBE1F8" w14:textId="14A8BBCE" w:rsidR="00C82A94" w:rsidRPr="00A26C62" w:rsidRDefault="00C82A94" w:rsidP="0061790F">
            <w:pPr>
              <w:spacing w:after="0" w:line="240" w:lineRule="auto"/>
              <w:jc w:val="center"/>
              <w:rPr>
                <w:rFonts w:eastAsia="Times New Roman" w:cs="Calibri"/>
                <w:b/>
                <w:bCs/>
                <w:sz w:val="18"/>
                <w:szCs w:val="18"/>
                <w:lang w:val="en-US"/>
              </w:rPr>
            </w:pPr>
            <w:r w:rsidRPr="00A26C62">
              <w:rPr>
                <w:rFonts w:eastAsia="Times New Roman" w:cs="Calibri"/>
                <w:b/>
                <w:bCs/>
                <w:sz w:val="18"/>
                <w:szCs w:val="18"/>
                <w:lang w:val="en-US"/>
              </w:rPr>
              <w:t>DEPRECIACIÓN</w:t>
            </w:r>
            <w:r w:rsidRPr="00A26C62">
              <w:rPr>
                <w:rFonts w:eastAsia="Times New Roman" w:cs="Calibri"/>
                <w:b/>
                <w:bCs/>
                <w:sz w:val="18"/>
                <w:szCs w:val="18"/>
                <w:lang w:val="en-US"/>
              </w:rPr>
              <w:br/>
              <w:t xml:space="preserve">ACUMULADA </w:t>
            </w:r>
            <w:r w:rsidR="00D64CF8" w:rsidRPr="00A26C62">
              <w:rPr>
                <w:rFonts w:eastAsia="Times New Roman" w:cs="Calibri"/>
                <w:b/>
                <w:bCs/>
                <w:sz w:val="18"/>
                <w:szCs w:val="18"/>
                <w:lang w:val="en-US"/>
              </w:rPr>
              <w:t>DICIEMBRE</w:t>
            </w:r>
            <w:r w:rsidRPr="00A26C62">
              <w:rPr>
                <w:rFonts w:eastAsia="Times New Roman" w:cs="Calibri"/>
                <w:b/>
                <w:bCs/>
                <w:sz w:val="18"/>
                <w:szCs w:val="18"/>
                <w:lang w:val="en-US"/>
              </w:rPr>
              <w:t xml:space="preserve"> 2024</w:t>
            </w:r>
          </w:p>
        </w:tc>
        <w:tc>
          <w:tcPr>
            <w:tcW w:w="1389" w:type="dxa"/>
            <w:tcBorders>
              <w:top w:val="single" w:sz="8" w:space="0" w:color="auto"/>
              <w:left w:val="nil"/>
              <w:bottom w:val="nil"/>
              <w:right w:val="single" w:sz="8" w:space="0" w:color="auto"/>
            </w:tcBorders>
            <w:shd w:val="clear" w:color="000000" w:fill="203764"/>
            <w:vAlign w:val="center"/>
            <w:hideMark/>
          </w:tcPr>
          <w:p w14:paraId="3378D22B" w14:textId="42CC1898" w:rsidR="00C82A94" w:rsidRPr="00A26C62" w:rsidRDefault="00C82A94" w:rsidP="0061790F">
            <w:pPr>
              <w:spacing w:after="0" w:line="240" w:lineRule="auto"/>
              <w:jc w:val="center"/>
              <w:rPr>
                <w:rFonts w:eastAsia="Times New Roman" w:cs="Calibri"/>
                <w:b/>
                <w:bCs/>
                <w:sz w:val="18"/>
                <w:szCs w:val="18"/>
                <w:lang w:val="en-US"/>
              </w:rPr>
            </w:pPr>
            <w:r w:rsidRPr="00A26C62">
              <w:rPr>
                <w:rFonts w:eastAsia="Times New Roman" w:cs="Calibri"/>
                <w:b/>
                <w:bCs/>
                <w:sz w:val="18"/>
                <w:szCs w:val="18"/>
                <w:lang w:val="en-US"/>
              </w:rPr>
              <w:t xml:space="preserve">VALOR EN </w:t>
            </w:r>
            <w:r w:rsidRPr="00A26C62">
              <w:rPr>
                <w:rFonts w:eastAsia="Times New Roman" w:cs="Calibri"/>
                <w:b/>
                <w:bCs/>
                <w:sz w:val="18"/>
                <w:szCs w:val="18"/>
                <w:lang w:val="en-US"/>
              </w:rPr>
              <w:br/>
              <w:t xml:space="preserve">LIBROS </w:t>
            </w:r>
            <w:r w:rsidR="00D64CF8" w:rsidRPr="00A26C62">
              <w:rPr>
                <w:rFonts w:eastAsia="Times New Roman" w:cs="Calibri"/>
                <w:b/>
                <w:bCs/>
                <w:sz w:val="18"/>
                <w:szCs w:val="18"/>
                <w:lang w:val="en-US"/>
              </w:rPr>
              <w:t>DICIEMBRE</w:t>
            </w:r>
            <w:r w:rsidRPr="00A26C62">
              <w:rPr>
                <w:rFonts w:eastAsia="Times New Roman" w:cs="Calibri"/>
                <w:b/>
                <w:bCs/>
                <w:sz w:val="18"/>
                <w:szCs w:val="18"/>
                <w:lang w:val="en-US"/>
              </w:rPr>
              <w:t xml:space="preserve"> 2024</w:t>
            </w:r>
          </w:p>
        </w:tc>
      </w:tr>
      <w:tr w:rsidR="00C82A94" w:rsidRPr="00A26C62" w14:paraId="04F71E54" w14:textId="77777777" w:rsidTr="0061790F">
        <w:trPr>
          <w:trHeight w:val="300"/>
        </w:trPr>
        <w:tc>
          <w:tcPr>
            <w:tcW w:w="901" w:type="dxa"/>
            <w:tcBorders>
              <w:top w:val="single" w:sz="8" w:space="0" w:color="auto"/>
              <w:left w:val="single" w:sz="8" w:space="0" w:color="auto"/>
              <w:bottom w:val="single" w:sz="6" w:space="0" w:color="auto"/>
              <w:right w:val="single" w:sz="4" w:space="0" w:color="auto"/>
            </w:tcBorders>
            <w:shd w:val="clear" w:color="000000" w:fill="FFFFFF"/>
            <w:vAlign w:val="bottom"/>
            <w:hideMark/>
          </w:tcPr>
          <w:p w14:paraId="16A89E62" w14:textId="77777777" w:rsidR="00C82A94" w:rsidRPr="00A26C62" w:rsidRDefault="00C82A94" w:rsidP="0061790F">
            <w:pPr>
              <w:spacing w:after="0" w:line="240" w:lineRule="auto"/>
              <w:jc w:val="center"/>
              <w:rPr>
                <w:rFonts w:eastAsia="Times New Roman" w:cs="Calibri"/>
                <w:b/>
                <w:bCs/>
                <w:color w:val="000000"/>
                <w:sz w:val="20"/>
                <w:szCs w:val="20"/>
                <w:lang w:val="en-US"/>
              </w:rPr>
            </w:pPr>
            <w:r w:rsidRPr="00A26C62">
              <w:rPr>
                <w:rFonts w:eastAsia="Times New Roman" w:cs="Calibri"/>
                <w:color w:val="000000"/>
                <w:sz w:val="20"/>
                <w:szCs w:val="20"/>
                <w:lang w:val="en-US"/>
              </w:rPr>
              <w:t xml:space="preserve">756 </w:t>
            </w:r>
            <w:r w:rsidRPr="00A26C62">
              <w:rPr>
                <w:rFonts w:eastAsia="Times New Roman" w:cs="Calibri"/>
                <w:b/>
                <w:bCs/>
                <w:color w:val="FF0000"/>
                <w:sz w:val="20"/>
                <w:szCs w:val="20"/>
                <w:lang w:val="en-US"/>
              </w:rPr>
              <w:t>**</w:t>
            </w:r>
          </w:p>
        </w:tc>
        <w:tc>
          <w:tcPr>
            <w:tcW w:w="3909" w:type="dxa"/>
            <w:tcBorders>
              <w:top w:val="single" w:sz="8" w:space="0" w:color="auto"/>
              <w:left w:val="nil"/>
              <w:bottom w:val="single" w:sz="6" w:space="0" w:color="auto"/>
              <w:right w:val="single" w:sz="4" w:space="0" w:color="auto"/>
            </w:tcBorders>
            <w:shd w:val="clear" w:color="000000" w:fill="FFFFFF"/>
            <w:vAlign w:val="bottom"/>
            <w:hideMark/>
          </w:tcPr>
          <w:p w14:paraId="5DD0C6E7" w14:textId="77777777" w:rsidR="00C82A94" w:rsidRPr="00A26C62" w:rsidRDefault="00C82A94" w:rsidP="0061790F">
            <w:pPr>
              <w:spacing w:after="0" w:line="240" w:lineRule="auto"/>
              <w:jc w:val="left"/>
              <w:rPr>
                <w:rFonts w:eastAsia="Times New Roman" w:cs="Calibri"/>
                <w:sz w:val="20"/>
                <w:szCs w:val="20"/>
              </w:rPr>
            </w:pPr>
            <w:r w:rsidRPr="00A26C62">
              <w:rPr>
                <w:rFonts w:eastAsia="Times New Roman" w:cs="Calibri"/>
                <w:sz w:val="20"/>
                <w:szCs w:val="20"/>
              </w:rPr>
              <w:t>Carreteras y caminos (Terrenos)</w:t>
            </w:r>
          </w:p>
        </w:tc>
        <w:tc>
          <w:tcPr>
            <w:tcW w:w="1374" w:type="dxa"/>
            <w:tcBorders>
              <w:top w:val="single" w:sz="8" w:space="0" w:color="auto"/>
              <w:left w:val="nil"/>
              <w:bottom w:val="single" w:sz="6" w:space="0" w:color="auto"/>
              <w:right w:val="single" w:sz="4" w:space="0" w:color="auto"/>
            </w:tcBorders>
            <w:shd w:val="clear" w:color="000000" w:fill="FFFFFF"/>
            <w:noWrap/>
            <w:vAlign w:val="bottom"/>
          </w:tcPr>
          <w:p w14:paraId="2D6B79B0" w14:textId="77777777" w:rsidR="00C82A94" w:rsidRPr="00A26C62" w:rsidRDefault="00C82A94" w:rsidP="0061790F">
            <w:pPr>
              <w:spacing w:after="0" w:line="240" w:lineRule="auto"/>
              <w:jc w:val="right"/>
              <w:rPr>
                <w:rFonts w:eastAsia="Times New Roman" w:cs="Calibri"/>
                <w:sz w:val="20"/>
                <w:szCs w:val="20"/>
                <w:lang w:val="en-US"/>
              </w:rPr>
            </w:pPr>
            <w:r w:rsidRPr="00A26C62">
              <w:rPr>
                <w:rFonts w:eastAsia="Times New Roman" w:cs="Calibri"/>
                <w:sz w:val="20"/>
                <w:szCs w:val="20"/>
                <w:lang w:val="en-US"/>
              </w:rPr>
              <w:t>22 435 224,77</w:t>
            </w:r>
          </w:p>
        </w:tc>
        <w:tc>
          <w:tcPr>
            <w:tcW w:w="1348" w:type="dxa"/>
            <w:tcBorders>
              <w:top w:val="single" w:sz="8" w:space="0" w:color="auto"/>
              <w:left w:val="nil"/>
              <w:bottom w:val="single" w:sz="6" w:space="0" w:color="auto"/>
              <w:right w:val="single" w:sz="4" w:space="0" w:color="auto"/>
            </w:tcBorders>
            <w:shd w:val="clear" w:color="000000" w:fill="FFFFFF"/>
            <w:noWrap/>
            <w:vAlign w:val="bottom"/>
            <w:hideMark/>
          </w:tcPr>
          <w:p w14:paraId="0F2832C0" w14:textId="79EC1CB8" w:rsidR="00C82A94" w:rsidRPr="000D14F7" w:rsidRDefault="000D14F7" w:rsidP="000D14F7">
            <w:pPr>
              <w:spacing w:after="0" w:line="240" w:lineRule="auto"/>
              <w:jc w:val="right"/>
              <w:rPr>
                <w:rFonts w:eastAsia="Times New Roman" w:cs="Calibri"/>
                <w:sz w:val="20"/>
                <w:szCs w:val="20"/>
                <w:lang w:val="en-US"/>
              </w:rPr>
            </w:pPr>
            <w:r w:rsidRPr="000D14F7">
              <w:rPr>
                <w:rFonts w:eastAsia="Times New Roman" w:cs="Calibri"/>
                <w:sz w:val="20"/>
                <w:szCs w:val="20"/>
                <w:lang w:val="en-US"/>
              </w:rPr>
              <w:t>0,00</w:t>
            </w:r>
          </w:p>
        </w:tc>
        <w:tc>
          <w:tcPr>
            <w:tcW w:w="1389" w:type="dxa"/>
            <w:tcBorders>
              <w:top w:val="single" w:sz="8" w:space="0" w:color="auto"/>
              <w:left w:val="nil"/>
              <w:bottom w:val="single" w:sz="6" w:space="0" w:color="auto"/>
              <w:right w:val="single" w:sz="8" w:space="0" w:color="auto"/>
            </w:tcBorders>
            <w:shd w:val="clear" w:color="000000" w:fill="FFFFFF"/>
            <w:noWrap/>
            <w:vAlign w:val="bottom"/>
            <w:hideMark/>
          </w:tcPr>
          <w:p w14:paraId="142FB31D" w14:textId="77777777" w:rsidR="00C82A94" w:rsidRPr="00A26C62" w:rsidRDefault="00C82A94" w:rsidP="0061790F">
            <w:pPr>
              <w:spacing w:after="0" w:line="240" w:lineRule="auto"/>
              <w:jc w:val="right"/>
              <w:rPr>
                <w:rFonts w:eastAsia="Times New Roman" w:cs="Calibri"/>
                <w:b/>
                <w:bCs/>
                <w:sz w:val="20"/>
                <w:szCs w:val="20"/>
                <w:lang w:val="en-US"/>
              </w:rPr>
            </w:pPr>
            <w:r w:rsidRPr="00A26C62">
              <w:rPr>
                <w:rFonts w:eastAsia="Times New Roman" w:cs="Calibri"/>
                <w:sz w:val="20"/>
                <w:szCs w:val="20"/>
                <w:lang w:val="en-US"/>
              </w:rPr>
              <w:t>22 435 224,77</w:t>
            </w:r>
          </w:p>
        </w:tc>
      </w:tr>
      <w:tr w:rsidR="00C82A94" w:rsidRPr="00A26C62" w14:paraId="337914C1" w14:textId="77777777" w:rsidTr="0061790F">
        <w:trPr>
          <w:trHeight w:val="300"/>
        </w:trPr>
        <w:tc>
          <w:tcPr>
            <w:tcW w:w="901" w:type="dxa"/>
            <w:tcBorders>
              <w:top w:val="single" w:sz="6" w:space="0" w:color="auto"/>
              <w:left w:val="single" w:sz="6" w:space="0" w:color="auto"/>
              <w:bottom w:val="single" w:sz="6" w:space="0" w:color="auto"/>
              <w:right w:val="single" w:sz="6" w:space="0" w:color="auto"/>
            </w:tcBorders>
            <w:shd w:val="clear" w:color="000000" w:fill="FFFFFF"/>
            <w:vAlign w:val="bottom"/>
          </w:tcPr>
          <w:p w14:paraId="1753383C" w14:textId="77777777" w:rsidR="00C82A94" w:rsidRPr="00A26C62" w:rsidRDefault="00C82A94" w:rsidP="0061790F">
            <w:pPr>
              <w:spacing w:after="0" w:line="240" w:lineRule="auto"/>
              <w:jc w:val="center"/>
              <w:rPr>
                <w:rFonts w:eastAsia="Times New Roman" w:cs="Calibri"/>
                <w:color w:val="000000"/>
                <w:sz w:val="20"/>
                <w:szCs w:val="20"/>
                <w:lang w:val="en-US"/>
              </w:rPr>
            </w:pPr>
            <w:r w:rsidRPr="00A26C62">
              <w:rPr>
                <w:rFonts w:eastAsia="Times New Roman" w:cs="Calibri"/>
                <w:color w:val="000000"/>
                <w:sz w:val="20"/>
                <w:szCs w:val="20"/>
                <w:lang w:val="en-US"/>
              </w:rPr>
              <w:t>1943,65 Km</w:t>
            </w:r>
          </w:p>
        </w:tc>
        <w:tc>
          <w:tcPr>
            <w:tcW w:w="3909" w:type="dxa"/>
            <w:tcBorders>
              <w:top w:val="single" w:sz="6" w:space="0" w:color="auto"/>
              <w:left w:val="single" w:sz="6" w:space="0" w:color="auto"/>
              <w:bottom w:val="single" w:sz="6" w:space="0" w:color="auto"/>
              <w:right w:val="single" w:sz="6" w:space="0" w:color="auto"/>
            </w:tcBorders>
            <w:shd w:val="clear" w:color="000000" w:fill="FFFFFF"/>
            <w:vAlign w:val="bottom"/>
          </w:tcPr>
          <w:p w14:paraId="6EA126B8" w14:textId="77777777" w:rsidR="00C82A94" w:rsidRPr="00A26C62" w:rsidRDefault="00C82A94" w:rsidP="0061790F">
            <w:pPr>
              <w:spacing w:after="0" w:line="240" w:lineRule="auto"/>
              <w:jc w:val="left"/>
              <w:rPr>
                <w:rFonts w:eastAsia="Times New Roman" w:cs="Calibri"/>
                <w:sz w:val="20"/>
                <w:szCs w:val="20"/>
              </w:rPr>
            </w:pPr>
            <w:r w:rsidRPr="00A26C62">
              <w:rPr>
                <w:rFonts w:eastAsia="Times New Roman" w:cs="Calibri"/>
                <w:sz w:val="20"/>
                <w:szCs w:val="20"/>
              </w:rPr>
              <w:t>Carreteras y caminos Porción terreno (Longitud de superficie)</w:t>
            </w:r>
          </w:p>
        </w:tc>
        <w:tc>
          <w:tcPr>
            <w:tcW w:w="1374" w:type="dxa"/>
            <w:tcBorders>
              <w:top w:val="single" w:sz="6" w:space="0" w:color="auto"/>
              <w:left w:val="single" w:sz="6" w:space="0" w:color="auto"/>
              <w:bottom w:val="single" w:sz="6" w:space="0" w:color="auto"/>
              <w:right w:val="single" w:sz="6" w:space="0" w:color="auto"/>
            </w:tcBorders>
            <w:shd w:val="clear" w:color="000000" w:fill="FFFFFF"/>
            <w:noWrap/>
            <w:vAlign w:val="bottom"/>
          </w:tcPr>
          <w:p w14:paraId="37574147" w14:textId="77777777" w:rsidR="00C82A94" w:rsidRPr="00A26C62" w:rsidRDefault="00C82A94" w:rsidP="0061790F">
            <w:pPr>
              <w:spacing w:after="0" w:line="240" w:lineRule="auto"/>
              <w:jc w:val="right"/>
              <w:rPr>
                <w:rFonts w:eastAsia="Times New Roman" w:cs="Calibri"/>
                <w:color w:val="000000"/>
                <w:sz w:val="20"/>
                <w:szCs w:val="20"/>
                <w:lang w:val="en-US"/>
              </w:rPr>
            </w:pPr>
            <w:r w:rsidRPr="00A26C62">
              <w:rPr>
                <w:rFonts w:eastAsia="Times New Roman" w:cs="Calibri"/>
                <w:color w:val="000000"/>
                <w:sz w:val="20"/>
                <w:szCs w:val="20"/>
                <w:lang w:val="en-US"/>
              </w:rPr>
              <w:t>120 894 567,95</w:t>
            </w:r>
          </w:p>
        </w:tc>
        <w:tc>
          <w:tcPr>
            <w:tcW w:w="1348" w:type="dxa"/>
            <w:tcBorders>
              <w:top w:val="single" w:sz="6" w:space="0" w:color="auto"/>
              <w:left w:val="single" w:sz="6" w:space="0" w:color="auto"/>
              <w:bottom w:val="single" w:sz="6" w:space="0" w:color="auto"/>
              <w:right w:val="single" w:sz="6" w:space="0" w:color="auto"/>
            </w:tcBorders>
            <w:shd w:val="clear" w:color="000000" w:fill="FFFFFF"/>
            <w:noWrap/>
            <w:vAlign w:val="bottom"/>
          </w:tcPr>
          <w:p w14:paraId="297011F1" w14:textId="7216B0BB" w:rsidR="00C82A94" w:rsidRPr="00A26C62" w:rsidRDefault="000D14F7" w:rsidP="000D14F7">
            <w:pPr>
              <w:spacing w:after="0" w:line="240" w:lineRule="auto"/>
              <w:jc w:val="right"/>
              <w:rPr>
                <w:rFonts w:eastAsia="Times New Roman" w:cs="Calibri"/>
                <w:color w:val="000000"/>
                <w:sz w:val="20"/>
                <w:szCs w:val="20"/>
                <w:lang w:val="en-US"/>
              </w:rPr>
            </w:pPr>
            <w:r w:rsidRPr="000D14F7">
              <w:rPr>
                <w:rFonts w:eastAsia="Times New Roman" w:cs="Calibri"/>
                <w:sz w:val="20"/>
                <w:szCs w:val="20"/>
                <w:lang w:val="en-US"/>
              </w:rPr>
              <w:t>0,00</w:t>
            </w:r>
          </w:p>
        </w:tc>
        <w:tc>
          <w:tcPr>
            <w:tcW w:w="1389" w:type="dxa"/>
            <w:tcBorders>
              <w:top w:val="single" w:sz="6" w:space="0" w:color="auto"/>
              <w:left w:val="single" w:sz="6" w:space="0" w:color="auto"/>
              <w:bottom w:val="single" w:sz="6" w:space="0" w:color="auto"/>
              <w:right w:val="single" w:sz="6" w:space="0" w:color="auto"/>
            </w:tcBorders>
            <w:shd w:val="clear" w:color="000000" w:fill="FFFFFF"/>
            <w:noWrap/>
            <w:vAlign w:val="bottom"/>
          </w:tcPr>
          <w:p w14:paraId="4B6D1986" w14:textId="77777777" w:rsidR="00C82A94" w:rsidRPr="00A26C62" w:rsidRDefault="00C82A94" w:rsidP="0061790F">
            <w:pPr>
              <w:spacing w:after="0" w:line="240" w:lineRule="auto"/>
              <w:jc w:val="right"/>
              <w:rPr>
                <w:rFonts w:eastAsia="Times New Roman" w:cs="Calibri"/>
                <w:color w:val="000000"/>
                <w:sz w:val="20"/>
                <w:szCs w:val="20"/>
                <w:lang w:val="en-US"/>
              </w:rPr>
            </w:pPr>
            <w:r w:rsidRPr="00A26C62">
              <w:rPr>
                <w:rFonts w:eastAsia="Times New Roman" w:cs="Calibri"/>
                <w:color w:val="000000"/>
                <w:sz w:val="20"/>
                <w:szCs w:val="20"/>
                <w:lang w:val="en-US"/>
              </w:rPr>
              <w:t>120 894 567,95</w:t>
            </w:r>
          </w:p>
        </w:tc>
      </w:tr>
      <w:tr w:rsidR="00C82A94" w:rsidRPr="00A26C62" w14:paraId="6A40F3B4" w14:textId="77777777" w:rsidTr="0061790F">
        <w:trPr>
          <w:trHeight w:val="107"/>
        </w:trPr>
        <w:tc>
          <w:tcPr>
            <w:tcW w:w="901" w:type="dxa"/>
            <w:tcBorders>
              <w:top w:val="single" w:sz="6" w:space="0" w:color="auto"/>
              <w:left w:val="single" w:sz="6" w:space="0" w:color="auto"/>
              <w:bottom w:val="single" w:sz="6" w:space="0" w:color="auto"/>
              <w:right w:val="single" w:sz="6" w:space="0" w:color="auto"/>
            </w:tcBorders>
            <w:shd w:val="clear" w:color="000000" w:fill="FFFFFF"/>
            <w:vAlign w:val="bottom"/>
          </w:tcPr>
          <w:p w14:paraId="471DF93E" w14:textId="77777777" w:rsidR="00C82A94" w:rsidRPr="00A26C62" w:rsidRDefault="00C82A94" w:rsidP="0061790F">
            <w:pPr>
              <w:spacing w:after="0" w:line="240" w:lineRule="auto"/>
              <w:jc w:val="center"/>
              <w:rPr>
                <w:rFonts w:eastAsia="Times New Roman" w:cs="Calibri"/>
                <w:color w:val="000000"/>
                <w:sz w:val="20"/>
                <w:szCs w:val="20"/>
                <w:lang w:val="en-US"/>
              </w:rPr>
            </w:pPr>
            <w:r w:rsidRPr="00A26C62">
              <w:rPr>
                <w:rFonts w:eastAsia="Times New Roman" w:cs="Calibri"/>
                <w:color w:val="000000"/>
                <w:sz w:val="20"/>
                <w:szCs w:val="20"/>
                <w:lang w:val="en-US"/>
              </w:rPr>
              <w:t>99</w:t>
            </w:r>
          </w:p>
        </w:tc>
        <w:tc>
          <w:tcPr>
            <w:tcW w:w="3909" w:type="dxa"/>
            <w:tcBorders>
              <w:top w:val="single" w:sz="6" w:space="0" w:color="auto"/>
              <w:left w:val="single" w:sz="6" w:space="0" w:color="auto"/>
              <w:bottom w:val="single" w:sz="6" w:space="0" w:color="auto"/>
              <w:right w:val="single" w:sz="6" w:space="0" w:color="auto"/>
            </w:tcBorders>
            <w:shd w:val="clear" w:color="000000" w:fill="FFFFFF"/>
            <w:vAlign w:val="bottom"/>
          </w:tcPr>
          <w:p w14:paraId="63EFA426" w14:textId="77777777" w:rsidR="00C82A94" w:rsidRPr="00A26C62" w:rsidRDefault="00C82A94" w:rsidP="0061790F">
            <w:pPr>
              <w:spacing w:after="0" w:line="240" w:lineRule="auto"/>
              <w:jc w:val="left"/>
              <w:rPr>
                <w:rFonts w:eastAsia="Times New Roman" w:cs="Calibri"/>
                <w:sz w:val="20"/>
                <w:szCs w:val="20"/>
              </w:rPr>
            </w:pPr>
            <w:r w:rsidRPr="00A26C62">
              <w:rPr>
                <w:rFonts w:eastAsia="Times New Roman" w:cs="Calibri"/>
                <w:sz w:val="20"/>
                <w:szCs w:val="20"/>
              </w:rPr>
              <w:t>Puentes</w:t>
            </w:r>
          </w:p>
        </w:tc>
        <w:tc>
          <w:tcPr>
            <w:tcW w:w="1374" w:type="dxa"/>
            <w:tcBorders>
              <w:top w:val="single" w:sz="6" w:space="0" w:color="auto"/>
              <w:left w:val="single" w:sz="6" w:space="0" w:color="auto"/>
              <w:bottom w:val="single" w:sz="6" w:space="0" w:color="auto"/>
              <w:right w:val="single" w:sz="6" w:space="0" w:color="auto"/>
            </w:tcBorders>
            <w:shd w:val="clear" w:color="000000" w:fill="FFFFFF"/>
            <w:noWrap/>
            <w:vAlign w:val="bottom"/>
          </w:tcPr>
          <w:p w14:paraId="7B7943D5" w14:textId="77777777" w:rsidR="00C82A94" w:rsidRPr="00A26C62" w:rsidRDefault="00C82A94" w:rsidP="0061790F">
            <w:pPr>
              <w:spacing w:after="0" w:line="240" w:lineRule="auto"/>
              <w:jc w:val="right"/>
              <w:rPr>
                <w:rFonts w:eastAsia="Times New Roman" w:cs="Calibri"/>
                <w:color w:val="000000"/>
                <w:sz w:val="20"/>
                <w:szCs w:val="20"/>
                <w:lang w:val="en-US"/>
              </w:rPr>
            </w:pPr>
            <w:r w:rsidRPr="00A26C62">
              <w:rPr>
                <w:rFonts w:eastAsia="Times New Roman" w:cs="Calibri"/>
                <w:color w:val="000000"/>
                <w:sz w:val="20"/>
                <w:szCs w:val="20"/>
                <w:lang w:val="en-US"/>
              </w:rPr>
              <w:t>13 385 469,37</w:t>
            </w:r>
          </w:p>
        </w:tc>
        <w:tc>
          <w:tcPr>
            <w:tcW w:w="1348" w:type="dxa"/>
            <w:tcBorders>
              <w:top w:val="single" w:sz="6" w:space="0" w:color="auto"/>
              <w:left w:val="single" w:sz="6" w:space="0" w:color="auto"/>
              <w:bottom w:val="single" w:sz="6" w:space="0" w:color="auto"/>
              <w:right w:val="single" w:sz="6" w:space="0" w:color="auto"/>
            </w:tcBorders>
            <w:shd w:val="clear" w:color="000000" w:fill="FFFFFF"/>
            <w:noWrap/>
            <w:vAlign w:val="bottom"/>
          </w:tcPr>
          <w:p w14:paraId="762C3025" w14:textId="6B86F9BB" w:rsidR="00C82A94" w:rsidRPr="00A26C62" w:rsidRDefault="000D14F7" w:rsidP="000D14F7">
            <w:pPr>
              <w:spacing w:after="0" w:line="240" w:lineRule="auto"/>
              <w:jc w:val="right"/>
              <w:rPr>
                <w:rFonts w:eastAsia="Times New Roman" w:cs="Calibri"/>
                <w:color w:val="000000"/>
                <w:sz w:val="20"/>
                <w:szCs w:val="20"/>
                <w:lang w:val="en-US"/>
              </w:rPr>
            </w:pPr>
            <w:r w:rsidRPr="000D14F7">
              <w:rPr>
                <w:rFonts w:eastAsia="Times New Roman" w:cs="Calibri"/>
                <w:sz w:val="20"/>
                <w:szCs w:val="20"/>
                <w:lang w:val="en-US"/>
              </w:rPr>
              <w:t>0,00</w:t>
            </w:r>
          </w:p>
        </w:tc>
        <w:tc>
          <w:tcPr>
            <w:tcW w:w="1389" w:type="dxa"/>
            <w:tcBorders>
              <w:top w:val="single" w:sz="6" w:space="0" w:color="auto"/>
              <w:left w:val="single" w:sz="6" w:space="0" w:color="auto"/>
              <w:bottom w:val="single" w:sz="6" w:space="0" w:color="auto"/>
              <w:right w:val="single" w:sz="6" w:space="0" w:color="auto"/>
            </w:tcBorders>
            <w:shd w:val="clear" w:color="000000" w:fill="FFFFFF"/>
            <w:noWrap/>
            <w:vAlign w:val="bottom"/>
          </w:tcPr>
          <w:p w14:paraId="183FFFB1" w14:textId="77777777" w:rsidR="00C82A94" w:rsidRPr="00A26C62" w:rsidRDefault="00C82A94" w:rsidP="0061790F">
            <w:pPr>
              <w:spacing w:after="0" w:line="240" w:lineRule="auto"/>
              <w:jc w:val="right"/>
              <w:rPr>
                <w:rFonts w:eastAsia="Times New Roman" w:cs="Calibri"/>
                <w:color w:val="000000"/>
                <w:sz w:val="20"/>
                <w:szCs w:val="20"/>
                <w:lang w:val="en-US"/>
              </w:rPr>
            </w:pPr>
            <w:r w:rsidRPr="00A26C62">
              <w:rPr>
                <w:rFonts w:eastAsia="Times New Roman" w:cs="Calibri"/>
                <w:color w:val="000000"/>
                <w:sz w:val="20"/>
                <w:szCs w:val="20"/>
                <w:lang w:val="en-US"/>
              </w:rPr>
              <w:t>13 385 469,37</w:t>
            </w:r>
          </w:p>
        </w:tc>
      </w:tr>
      <w:tr w:rsidR="00C82A94" w:rsidRPr="00A26C62" w14:paraId="25BAF6F2" w14:textId="77777777" w:rsidTr="0061790F">
        <w:trPr>
          <w:trHeight w:val="300"/>
        </w:trPr>
        <w:tc>
          <w:tcPr>
            <w:tcW w:w="901" w:type="dxa"/>
            <w:tcBorders>
              <w:top w:val="single" w:sz="6" w:space="0" w:color="auto"/>
              <w:left w:val="single" w:sz="6" w:space="0" w:color="auto"/>
              <w:bottom w:val="single" w:sz="6" w:space="0" w:color="auto"/>
              <w:right w:val="single" w:sz="6" w:space="0" w:color="auto"/>
            </w:tcBorders>
            <w:shd w:val="clear" w:color="000000" w:fill="FFFFFF"/>
            <w:vAlign w:val="bottom"/>
          </w:tcPr>
          <w:p w14:paraId="58D22864" w14:textId="77777777" w:rsidR="00C82A94" w:rsidRPr="00A26C62" w:rsidRDefault="00C82A94" w:rsidP="0061790F">
            <w:pPr>
              <w:spacing w:after="0" w:line="240" w:lineRule="auto"/>
              <w:jc w:val="center"/>
              <w:rPr>
                <w:rFonts w:eastAsia="Times New Roman" w:cs="Calibri"/>
                <w:color w:val="000000"/>
                <w:sz w:val="20"/>
                <w:szCs w:val="20"/>
                <w:lang w:val="en-US"/>
              </w:rPr>
            </w:pPr>
            <w:r w:rsidRPr="00A26C62">
              <w:rPr>
                <w:rFonts w:eastAsia="Times New Roman" w:cs="Calibri"/>
                <w:color w:val="000000"/>
                <w:sz w:val="20"/>
                <w:szCs w:val="20"/>
                <w:lang w:val="en-US"/>
              </w:rPr>
              <w:t>18112,72</w:t>
            </w:r>
          </w:p>
        </w:tc>
        <w:tc>
          <w:tcPr>
            <w:tcW w:w="3909" w:type="dxa"/>
            <w:tcBorders>
              <w:top w:val="single" w:sz="6" w:space="0" w:color="auto"/>
              <w:left w:val="single" w:sz="6" w:space="0" w:color="auto"/>
              <w:bottom w:val="single" w:sz="6" w:space="0" w:color="auto"/>
              <w:right w:val="single" w:sz="6" w:space="0" w:color="auto"/>
            </w:tcBorders>
            <w:shd w:val="clear" w:color="000000" w:fill="FFFFFF"/>
            <w:vAlign w:val="bottom"/>
          </w:tcPr>
          <w:p w14:paraId="116462AA" w14:textId="77777777" w:rsidR="00C82A94" w:rsidRPr="00A26C62" w:rsidRDefault="00C82A94" w:rsidP="0061790F">
            <w:pPr>
              <w:spacing w:after="0" w:line="240" w:lineRule="auto"/>
              <w:jc w:val="left"/>
              <w:rPr>
                <w:rFonts w:eastAsia="Times New Roman" w:cs="Calibri"/>
                <w:sz w:val="20"/>
                <w:szCs w:val="20"/>
              </w:rPr>
            </w:pPr>
            <w:r w:rsidRPr="00A26C62">
              <w:rPr>
                <w:rFonts w:eastAsia="Times New Roman" w:cs="Calibri"/>
                <w:sz w:val="20"/>
                <w:szCs w:val="20"/>
              </w:rPr>
              <w:t>Centrales redes de comunicación energía (m de longitud)</w:t>
            </w:r>
          </w:p>
        </w:tc>
        <w:tc>
          <w:tcPr>
            <w:tcW w:w="1374" w:type="dxa"/>
            <w:tcBorders>
              <w:top w:val="single" w:sz="6" w:space="0" w:color="auto"/>
              <w:left w:val="single" w:sz="6" w:space="0" w:color="auto"/>
              <w:bottom w:val="single" w:sz="6" w:space="0" w:color="auto"/>
              <w:right w:val="single" w:sz="6" w:space="0" w:color="auto"/>
            </w:tcBorders>
            <w:shd w:val="clear" w:color="000000" w:fill="FFFFFF"/>
            <w:noWrap/>
            <w:vAlign w:val="bottom"/>
          </w:tcPr>
          <w:p w14:paraId="5329E188" w14:textId="77777777" w:rsidR="00C82A94" w:rsidRPr="00A26C62" w:rsidRDefault="00C82A94" w:rsidP="0061790F">
            <w:pPr>
              <w:spacing w:after="0" w:line="240" w:lineRule="auto"/>
              <w:jc w:val="right"/>
              <w:rPr>
                <w:rFonts w:eastAsia="Times New Roman" w:cs="Calibri"/>
                <w:color w:val="000000"/>
                <w:sz w:val="20"/>
                <w:szCs w:val="20"/>
                <w:lang w:val="en-US"/>
              </w:rPr>
            </w:pPr>
            <w:r w:rsidRPr="00A26C62">
              <w:rPr>
                <w:rFonts w:eastAsia="Times New Roman" w:cs="Calibri"/>
                <w:color w:val="000000"/>
                <w:sz w:val="20"/>
                <w:szCs w:val="20"/>
                <w:lang w:val="en-US"/>
              </w:rPr>
              <w:t>4 013 723,66</w:t>
            </w:r>
          </w:p>
        </w:tc>
        <w:tc>
          <w:tcPr>
            <w:tcW w:w="1348" w:type="dxa"/>
            <w:tcBorders>
              <w:top w:val="single" w:sz="6" w:space="0" w:color="auto"/>
              <w:left w:val="single" w:sz="6" w:space="0" w:color="auto"/>
              <w:bottom w:val="single" w:sz="6" w:space="0" w:color="auto"/>
              <w:right w:val="single" w:sz="6" w:space="0" w:color="auto"/>
            </w:tcBorders>
            <w:shd w:val="clear" w:color="000000" w:fill="FFFFFF"/>
            <w:noWrap/>
            <w:vAlign w:val="bottom"/>
          </w:tcPr>
          <w:p w14:paraId="08BE0D14" w14:textId="34276841" w:rsidR="00C82A94" w:rsidRPr="00A26C62" w:rsidRDefault="000D14F7" w:rsidP="000D14F7">
            <w:pPr>
              <w:spacing w:after="0" w:line="240" w:lineRule="auto"/>
              <w:jc w:val="right"/>
              <w:rPr>
                <w:rFonts w:eastAsia="Times New Roman" w:cs="Calibri"/>
                <w:color w:val="000000"/>
                <w:sz w:val="20"/>
                <w:szCs w:val="20"/>
                <w:lang w:val="en-US"/>
              </w:rPr>
            </w:pPr>
            <w:r w:rsidRPr="000D14F7">
              <w:rPr>
                <w:rFonts w:eastAsia="Times New Roman" w:cs="Calibri"/>
                <w:sz w:val="20"/>
                <w:szCs w:val="20"/>
                <w:lang w:val="en-US"/>
              </w:rPr>
              <w:t>0,00</w:t>
            </w:r>
          </w:p>
        </w:tc>
        <w:tc>
          <w:tcPr>
            <w:tcW w:w="1389" w:type="dxa"/>
            <w:tcBorders>
              <w:top w:val="single" w:sz="6" w:space="0" w:color="auto"/>
              <w:left w:val="single" w:sz="6" w:space="0" w:color="auto"/>
              <w:bottom w:val="single" w:sz="6" w:space="0" w:color="auto"/>
              <w:right w:val="single" w:sz="6" w:space="0" w:color="auto"/>
            </w:tcBorders>
            <w:shd w:val="clear" w:color="000000" w:fill="FFFFFF"/>
            <w:noWrap/>
            <w:vAlign w:val="bottom"/>
          </w:tcPr>
          <w:p w14:paraId="7E08769A" w14:textId="77777777" w:rsidR="00C82A94" w:rsidRPr="00A26C62" w:rsidRDefault="00C82A94" w:rsidP="0061790F">
            <w:pPr>
              <w:spacing w:after="0" w:line="240" w:lineRule="auto"/>
              <w:jc w:val="right"/>
              <w:rPr>
                <w:rFonts w:eastAsia="Times New Roman" w:cs="Calibri"/>
                <w:color w:val="000000"/>
                <w:sz w:val="20"/>
                <w:szCs w:val="20"/>
                <w:lang w:val="en-US"/>
              </w:rPr>
            </w:pPr>
            <w:r w:rsidRPr="00A26C62">
              <w:rPr>
                <w:rFonts w:eastAsia="Times New Roman" w:cs="Calibri"/>
                <w:color w:val="000000"/>
                <w:sz w:val="20"/>
                <w:szCs w:val="20"/>
                <w:lang w:val="en-US"/>
              </w:rPr>
              <w:t>4 013 723,66</w:t>
            </w:r>
          </w:p>
        </w:tc>
      </w:tr>
      <w:tr w:rsidR="00C82A94" w:rsidRPr="00A26C62" w14:paraId="516E44A3" w14:textId="77777777" w:rsidTr="0061790F">
        <w:trPr>
          <w:trHeight w:val="218"/>
        </w:trPr>
        <w:tc>
          <w:tcPr>
            <w:tcW w:w="901" w:type="dxa"/>
            <w:tcBorders>
              <w:top w:val="single" w:sz="6" w:space="0" w:color="auto"/>
              <w:left w:val="single" w:sz="6" w:space="0" w:color="auto"/>
              <w:bottom w:val="single" w:sz="6" w:space="0" w:color="auto"/>
              <w:right w:val="single" w:sz="6" w:space="0" w:color="auto"/>
            </w:tcBorders>
            <w:shd w:val="clear" w:color="000000" w:fill="FFFFFF"/>
            <w:vAlign w:val="bottom"/>
          </w:tcPr>
          <w:p w14:paraId="10A06547" w14:textId="77777777" w:rsidR="00C82A94" w:rsidRPr="00A26C62" w:rsidRDefault="00C82A94" w:rsidP="0061790F">
            <w:pPr>
              <w:spacing w:after="0" w:line="240" w:lineRule="auto"/>
              <w:jc w:val="center"/>
              <w:rPr>
                <w:rFonts w:eastAsia="Times New Roman" w:cs="Calibri"/>
                <w:color w:val="000000"/>
                <w:sz w:val="20"/>
                <w:szCs w:val="20"/>
                <w:lang w:val="en-US"/>
              </w:rPr>
            </w:pPr>
            <w:r w:rsidRPr="00A26C62">
              <w:rPr>
                <w:rFonts w:eastAsia="Times New Roman" w:cs="Calibri"/>
                <w:color w:val="000000"/>
                <w:sz w:val="20"/>
                <w:szCs w:val="20"/>
                <w:lang w:val="en-US"/>
              </w:rPr>
              <w:t>*</w:t>
            </w:r>
          </w:p>
        </w:tc>
        <w:tc>
          <w:tcPr>
            <w:tcW w:w="3909" w:type="dxa"/>
            <w:tcBorders>
              <w:top w:val="single" w:sz="6" w:space="0" w:color="auto"/>
              <w:left w:val="single" w:sz="6" w:space="0" w:color="auto"/>
              <w:bottom w:val="single" w:sz="6" w:space="0" w:color="auto"/>
              <w:right w:val="single" w:sz="6" w:space="0" w:color="auto"/>
            </w:tcBorders>
            <w:shd w:val="clear" w:color="000000" w:fill="FFFFFF"/>
            <w:vAlign w:val="bottom"/>
          </w:tcPr>
          <w:p w14:paraId="745A1394" w14:textId="77777777" w:rsidR="00C82A94" w:rsidRPr="00A26C62" w:rsidRDefault="00C82A94" w:rsidP="0061790F">
            <w:pPr>
              <w:spacing w:after="0" w:line="240" w:lineRule="auto"/>
              <w:jc w:val="left"/>
              <w:rPr>
                <w:rFonts w:eastAsia="Times New Roman" w:cs="Calibri"/>
                <w:sz w:val="20"/>
                <w:szCs w:val="20"/>
              </w:rPr>
            </w:pPr>
            <w:r w:rsidRPr="00A26C62">
              <w:rPr>
                <w:rFonts w:eastAsia="Times New Roman" w:cs="Calibri"/>
                <w:sz w:val="20"/>
                <w:szCs w:val="20"/>
              </w:rPr>
              <w:t>Otras vías de comunicación terrestre</w:t>
            </w:r>
          </w:p>
        </w:tc>
        <w:tc>
          <w:tcPr>
            <w:tcW w:w="1374" w:type="dxa"/>
            <w:tcBorders>
              <w:top w:val="single" w:sz="6" w:space="0" w:color="auto"/>
              <w:left w:val="single" w:sz="6" w:space="0" w:color="auto"/>
              <w:bottom w:val="single" w:sz="6" w:space="0" w:color="auto"/>
              <w:right w:val="single" w:sz="6" w:space="0" w:color="auto"/>
            </w:tcBorders>
            <w:shd w:val="clear" w:color="000000" w:fill="FFFFFF"/>
            <w:noWrap/>
            <w:vAlign w:val="bottom"/>
          </w:tcPr>
          <w:p w14:paraId="3EAE1D36" w14:textId="77777777" w:rsidR="00C82A94" w:rsidRPr="00A26C62" w:rsidRDefault="00C82A94" w:rsidP="0061790F">
            <w:pPr>
              <w:spacing w:after="0" w:line="240" w:lineRule="auto"/>
              <w:jc w:val="right"/>
              <w:rPr>
                <w:rFonts w:eastAsia="Times New Roman" w:cs="Calibri"/>
                <w:color w:val="000000"/>
                <w:sz w:val="20"/>
                <w:szCs w:val="20"/>
                <w:lang w:val="en-US"/>
              </w:rPr>
            </w:pPr>
            <w:r w:rsidRPr="00A26C62">
              <w:rPr>
                <w:rFonts w:eastAsia="Times New Roman" w:cs="Calibri"/>
                <w:color w:val="000000"/>
                <w:sz w:val="20"/>
                <w:szCs w:val="20"/>
                <w:lang w:val="en-US"/>
              </w:rPr>
              <w:t>16 665,42</w:t>
            </w:r>
          </w:p>
        </w:tc>
        <w:tc>
          <w:tcPr>
            <w:tcW w:w="1348" w:type="dxa"/>
            <w:tcBorders>
              <w:top w:val="single" w:sz="6" w:space="0" w:color="auto"/>
              <w:left w:val="single" w:sz="6" w:space="0" w:color="auto"/>
              <w:bottom w:val="single" w:sz="6" w:space="0" w:color="auto"/>
              <w:right w:val="single" w:sz="6" w:space="0" w:color="auto"/>
            </w:tcBorders>
            <w:shd w:val="clear" w:color="000000" w:fill="FFFFFF"/>
            <w:noWrap/>
            <w:vAlign w:val="bottom"/>
          </w:tcPr>
          <w:p w14:paraId="38A3719E" w14:textId="66D7600D" w:rsidR="00C82A94" w:rsidRPr="00A26C62" w:rsidRDefault="000D14F7" w:rsidP="000D14F7">
            <w:pPr>
              <w:spacing w:after="0" w:line="240" w:lineRule="auto"/>
              <w:jc w:val="right"/>
              <w:rPr>
                <w:rFonts w:eastAsia="Times New Roman" w:cs="Calibri"/>
                <w:color w:val="000000"/>
                <w:sz w:val="20"/>
                <w:szCs w:val="20"/>
                <w:lang w:val="en-US"/>
              </w:rPr>
            </w:pPr>
            <w:r w:rsidRPr="000D14F7">
              <w:rPr>
                <w:rFonts w:eastAsia="Times New Roman" w:cs="Calibri"/>
                <w:sz w:val="20"/>
                <w:szCs w:val="20"/>
                <w:lang w:val="en-US"/>
              </w:rPr>
              <w:t>0,00</w:t>
            </w:r>
          </w:p>
        </w:tc>
        <w:tc>
          <w:tcPr>
            <w:tcW w:w="1389" w:type="dxa"/>
            <w:tcBorders>
              <w:top w:val="single" w:sz="6" w:space="0" w:color="auto"/>
              <w:left w:val="single" w:sz="6" w:space="0" w:color="auto"/>
              <w:bottom w:val="single" w:sz="6" w:space="0" w:color="auto"/>
              <w:right w:val="single" w:sz="6" w:space="0" w:color="auto"/>
            </w:tcBorders>
            <w:shd w:val="clear" w:color="000000" w:fill="FFFFFF"/>
            <w:noWrap/>
            <w:vAlign w:val="bottom"/>
          </w:tcPr>
          <w:p w14:paraId="714A7B6F" w14:textId="77777777" w:rsidR="00C82A94" w:rsidRPr="00A26C62" w:rsidRDefault="00C82A94" w:rsidP="0061790F">
            <w:pPr>
              <w:spacing w:after="0" w:line="240" w:lineRule="auto"/>
              <w:jc w:val="right"/>
              <w:rPr>
                <w:rFonts w:eastAsia="Times New Roman" w:cs="Calibri"/>
                <w:color w:val="000000"/>
                <w:sz w:val="20"/>
                <w:szCs w:val="20"/>
                <w:lang w:val="en-US"/>
              </w:rPr>
            </w:pPr>
            <w:r w:rsidRPr="00A26C62">
              <w:rPr>
                <w:rFonts w:eastAsia="Times New Roman" w:cs="Calibri"/>
                <w:color w:val="000000"/>
                <w:sz w:val="20"/>
                <w:szCs w:val="20"/>
                <w:lang w:val="en-US"/>
              </w:rPr>
              <w:t>16 665,42</w:t>
            </w:r>
          </w:p>
        </w:tc>
      </w:tr>
      <w:tr w:rsidR="00C82A94" w:rsidRPr="00A26C62" w14:paraId="476ED6C5" w14:textId="77777777" w:rsidTr="0061790F">
        <w:trPr>
          <w:trHeight w:val="300"/>
        </w:trPr>
        <w:tc>
          <w:tcPr>
            <w:tcW w:w="901" w:type="dxa"/>
            <w:tcBorders>
              <w:top w:val="single" w:sz="6" w:space="0" w:color="auto"/>
              <w:left w:val="single" w:sz="6" w:space="0" w:color="auto"/>
              <w:bottom w:val="single" w:sz="6" w:space="0" w:color="auto"/>
              <w:right w:val="single" w:sz="6" w:space="0" w:color="auto"/>
            </w:tcBorders>
            <w:shd w:val="clear" w:color="000000" w:fill="FFFFFF"/>
            <w:vAlign w:val="bottom"/>
          </w:tcPr>
          <w:p w14:paraId="0E4C100A" w14:textId="77777777" w:rsidR="00C82A94" w:rsidRPr="00A26C62" w:rsidRDefault="00C82A94" w:rsidP="0061790F">
            <w:pPr>
              <w:spacing w:after="0" w:line="240" w:lineRule="auto"/>
              <w:jc w:val="center"/>
              <w:rPr>
                <w:rFonts w:eastAsia="Times New Roman" w:cs="Calibri"/>
                <w:color w:val="000000"/>
                <w:sz w:val="20"/>
                <w:szCs w:val="20"/>
                <w:lang w:val="en-US"/>
              </w:rPr>
            </w:pPr>
            <w:r w:rsidRPr="00A26C62">
              <w:rPr>
                <w:rFonts w:eastAsia="Times New Roman" w:cs="Calibri"/>
                <w:color w:val="000000"/>
                <w:sz w:val="20"/>
                <w:szCs w:val="20"/>
                <w:lang w:val="en-US"/>
              </w:rPr>
              <w:t>*</w:t>
            </w:r>
          </w:p>
        </w:tc>
        <w:tc>
          <w:tcPr>
            <w:tcW w:w="3909" w:type="dxa"/>
            <w:tcBorders>
              <w:top w:val="single" w:sz="6" w:space="0" w:color="auto"/>
              <w:left w:val="single" w:sz="6" w:space="0" w:color="auto"/>
              <w:bottom w:val="single" w:sz="6" w:space="0" w:color="auto"/>
              <w:right w:val="single" w:sz="6" w:space="0" w:color="auto"/>
            </w:tcBorders>
            <w:shd w:val="clear" w:color="000000" w:fill="FFFFFF"/>
            <w:vAlign w:val="bottom"/>
          </w:tcPr>
          <w:p w14:paraId="170FF58D" w14:textId="77777777" w:rsidR="00C82A94" w:rsidRPr="00A26C62" w:rsidRDefault="00C82A94" w:rsidP="0061790F">
            <w:pPr>
              <w:spacing w:after="0" w:line="240" w:lineRule="auto"/>
              <w:jc w:val="left"/>
              <w:rPr>
                <w:rFonts w:eastAsia="Times New Roman" w:cs="Calibri"/>
                <w:sz w:val="20"/>
                <w:szCs w:val="20"/>
              </w:rPr>
            </w:pPr>
            <w:r w:rsidRPr="00A26C62">
              <w:rPr>
                <w:rFonts w:eastAsia="Times New Roman" w:cs="Calibri"/>
                <w:sz w:val="20"/>
                <w:szCs w:val="20"/>
              </w:rPr>
              <w:t>Otros bienes de infraestructura y beneficio y uso público en servicio</w:t>
            </w:r>
          </w:p>
        </w:tc>
        <w:tc>
          <w:tcPr>
            <w:tcW w:w="1374" w:type="dxa"/>
            <w:tcBorders>
              <w:top w:val="single" w:sz="6" w:space="0" w:color="auto"/>
              <w:left w:val="single" w:sz="6" w:space="0" w:color="auto"/>
              <w:bottom w:val="single" w:sz="6" w:space="0" w:color="auto"/>
              <w:right w:val="single" w:sz="6" w:space="0" w:color="auto"/>
            </w:tcBorders>
            <w:shd w:val="clear" w:color="000000" w:fill="FFFFFF"/>
            <w:noWrap/>
            <w:vAlign w:val="bottom"/>
          </w:tcPr>
          <w:p w14:paraId="5A4BD240" w14:textId="77777777" w:rsidR="00C82A94" w:rsidRPr="00A26C62" w:rsidRDefault="00C82A94" w:rsidP="0061790F">
            <w:pPr>
              <w:spacing w:after="0" w:line="240" w:lineRule="auto"/>
              <w:jc w:val="right"/>
              <w:rPr>
                <w:rFonts w:eastAsia="Times New Roman" w:cs="Calibri"/>
                <w:color w:val="000000"/>
                <w:sz w:val="20"/>
                <w:szCs w:val="20"/>
                <w:lang w:val="en-US"/>
              </w:rPr>
            </w:pPr>
            <w:r w:rsidRPr="00A26C62">
              <w:rPr>
                <w:rFonts w:eastAsia="Times New Roman" w:cs="Calibri"/>
                <w:color w:val="000000"/>
                <w:sz w:val="20"/>
                <w:szCs w:val="20"/>
                <w:lang w:val="en-US"/>
              </w:rPr>
              <w:t>19 846,91</w:t>
            </w:r>
          </w:p>
        </w:tc>
        <w:tc>
          <w:tcPr>
            <w:tcW w:w="1348" w:type="dxa"/>
            <w:tcBorders>
              <w:top w:val="single" w:sz="6" w:space="0" w:color="auto"/>
              <w:left w:val="single" w:sz="6" w:space="0" w:color="auto"/>
              <w:bottom w:val="single" w:sz="6" w:space="0" w:color="auto"/>
              <w:right w:val="single" w:sz="6" w:space="0" w:color="auto"/>
            </w:tcBorders>
            <w:shd w:val="clear" w:color="000000" w:fill="FFFFFF"/>
            <w:noWrap/>
            <w:vAlign w:val="bottom"/>
          </w:tcPr>
          <w:p w14:paraId="29CDCBA6" w14:textId="6F8CB5C6" w:rsidR="00C82A94" w:rsidRPr="00A26C62" w:rsidRDefault="000D14F7" w:rsidP="000D14F7">
            <w:pPr>
              <w:spacing w:after="0" w:line="240" w:lineRule="auto"/>
              <w:jc w:val="right"/>
              <w:rPr>
                <w:rFonts w:eastAsia="Times New Roman" w:cs="Calibri"/>
                <w:color w:val="000000"/>
                <w:sz w:val="20"/>
                <w:szCs w:val="20"/>
                <w:lang w:val="en-US"/>
              </w:rPr>
            </w:pPr>
            <w:r w:rsidRPr="000D14F7">
              <w:rPr>
                <w:rFonts w:eastAsia="Times New Roman" w:cs="Calibri"/>
                <w:sz w:val="20"/>
                <w:szCs w:val="20"/>
                <w:lang w:val="en-US"/>
              </w:rPr>
              <w:t>0,00</w:t>
            </w:r>
          </w:p>
        </w:tc>
        <w:tc>
          <w:tcPr>
            <w:tcW w:w="1389" w:type="dxa"/>
            <w:tcBorders>
              <w:top w:val="single" w:sz="6" w:space="0" w:color="auto"/>
              <w:left w:val="single" w:sz="6" w:space="0" w:color="auto"/>
              <w:bottom w:val="single" w:sz="6" w:space="0" w:color="auto"/>
              <w:right w:val="single" w:sz="6" w:space="0" w:color="auto"/>
            </w:tcBorders>
            <w:shd w:val="clear" w:color="000000" w:fill="FFFFFF"/>
            <w:noWrap/>
            <w:vAlign w:val="bottom"/>
          </w:tcPr>
          <w:p w14:paraId="570A7672" w14:textId="77777777" w:rsidR="00C82A94" w:rsidRPr="00A26C62" w:rsidRDefault="00C82A94" w:rsidP="0061790F">
            <w:pPr>
              <w:spacing w:after="0" w:line="240" w:lineRule="auto"/>
              <w:jc w:val="right"/>
              <w:rPr>
                <w:rFonts w:eastAsia="Times New Roman" w:cs="Calibri"/>
                <w:color w:val="000000"/>
                <w:sz w:val="20"/>
                <w:szCs w:val="20"/>
                <w:lang w:val="en-US"/>
              </w:rPr>
            </w:pPr>
            <w:r w:rsidRPr="00A26C62">
              <w:rPr>
                <w:rFonts w:eastAsia="Times New Roman" w:cs="Calibri"/>
                <w:color w:val="000000"/>
                <w:sz w:val="20"/>
                <w:szCs w:val="20"/>
                <w:lang w:val="en-US"/>
              </w:rPr>
              <w:t>19 846,91</w:t>
            </w:r>
          </w:p>
        </w:tc>
      </w:tr>
      <w:tr w:rsidR="00C82A94" w:rsidRPr="00A26C62" w14:paraId="68EB33A4" w14:textId="77777777" w:rsidTr="0061790F">
        <w:trPr>
          <w:trHeight w:val="300"/>
        </w:trPr>
        <w:tc>
          <w:tcPr>
            <w:tcW w:w="901" w:type="dxa"/>
            <w:tcBorders>
              <w:top w:val="single" w:sz="6" w:space="0" w:color="auto"/>
              <w:left w:val="single" w:sz="4" w:space="0" w:color="auto"/>
              <w:bottom w:val="single" w:sz="8" w:space="0" w:color="auto"/>
              <w:right w:val="single" w:sz="4" w:space="0" w:color="auto"/>
            </w:tcBorders>
            <w:shd w:val="clear" w:color="000000" w:fill="FFFFFF"/>
            <w:vAlign w:val="bottom"/>
          </w:tcPr>
          <w:p w14:paraId="023217DD" w14:textId="77777777" w:rsidR="00C82A94" w:rsidRPr="00A26C62" w:rsidRDefault="00C82A94" w:rsidP="0061790F">
            <w:pPr>
              <w:spacing w:after="0" w:line="240" w:lineRule="auto"/>
              <w:jc w:val="center"/>
              <w:rPr>
                <w:rFonts w:eastAsia="Times New Roman" w:cs="Calibri"/>
                <w:color w:val="000000"/>
                <w:sz w:val="20"/>
                <w:szCs w:val="20"/>
                <w:lang w:val="en-US"/>
              </w:rPr>
            </w:pPr>
          </w:p>
        </w:tc>
        <w:tc>
          <w:tcPr>
            <w:tcW w:w="3909" w:type="dxa"/>
            <w:tcBorders>
              <w:top w:val="single" w:sz="6" w:space="0" w:color="auto"/>
              <w:left w:val="nil"/>
              <w:bottom w:val="single" w:sz="8" w:space="0" w:color="auto"/>
              <w:right w:val="single" w:sz="4" w:space="0" w:color="auto"/>
            </w:tcBorders>
            <w:shd w:val="clear" w:color="000000" w:fill="FFFFFF"/>
            <w:vAlign w:val="bottom"/>
          </w:tcPr>
          <w:p w14:paraId="56CA3A06" w14:textId="1536B054" w:rsidR="00C82A94" w:rsidRPr="00A26C62" w:rsidRDefault="00A26C62" w:rsidP="0061790F">
            <w:pPr>
              <w:spacing w:after="0" w:line="240" w:lineRule="auto"/>
              <w:jc w:val="left"/>
              <w:rPr>
                <w:rFonts w:eastAsia="Times New Roman" w:cs="Calibri"/>
                <w:color w:val="000000"/>
                <w:sz w:val="20"/>
                <w:szCs w:val="20"/>
              </w:rPr>
            </w:pPr>
            <w:r w:rsidRPr="00A26C62">
              <w:rPr>
                <w:rFonts w:eastAsia="Times New Roman" w:cs="Calibri"/>
                <w:b/>
                <w:bCs/>
                <w:sz w:val="20"/>
                <w:szCs w:val="20"/>
              </w:rPr>
              <w:t>TOTAL,</w:t>
            </w:r>
            <w:r w:rsidR="00C82A94" w:rsidRPr="00A26C62">
              <w:rPr>
                <w:rFonts w:eastAsia="Times New Roman" w:cs="Calibri"/>
                <w:b/>
                <w:bCs/>
                <w:sz w:val="20"/>
                <w:szCs w:val="20"/>
              </w:rPr>
              <w:t xml:space="preserve"> BIENES INFRAESTRUCTURA VIAL</w:t>
            </w:r>
          </w:p>
        </w:tc>
        <w:tc>
          <w:tcPr>
            <w:tcW w:w="1374" w:type="dxa"/>
            <w:tcBorders>
              <w:top w:val="single" w:sz="6" w:space="0" w:color="auto"/>
              <w:left w:val="nil"/>
              <w:bottom w:val="single" w:sz="8" w:space="0" w:color="auto"/>
              <w:right w:val="single" w:sz="4" w:space="0" w:color="auto"/>
            </w:tcBorders>
            <w:shd w:val="clear" w:color="000000" w:fill="FFFFFF"/>
            <w:noWrap/>
            <w:vAlign w:val="bottom"/>
          </w:tcPr>
          <w:p w14:paraId="2720CFA0" w14:textId="77777777" w:rsidR="00C82A94" w:rsidRPr="00A26C62" w:rsidRDefault="00C82A94" w:rsidP="0061790F">
            <w:pPr>
              <w:spacing w:after="0" w:line="240" w:lineRule="auto"/>
              <w:jc w:val="right"/>
              <w:rPr>
                <w:rFonts w:eastAsia="Times New Roman" w:cs="Calibri"/>
                <w:b/>
                <w:bCs/>
                <w:sz w:val="20"/>
                <w:szCs w:val="20"/>
                <w:lang w:val="en-US"/>
              </w:rPr>
            </w:pPr>
            <w:r w:rsidRPr="00A26C62">
              <w:rPr>
                <w:rFonts w:eastAsia="Times New Roman" w:cs="Calibri"/>
                <w:b/>
                <w:bCs/>
                <w:sz w:val="20"/>
                <w:szCs w:val="20"/>
                <w:lang w:val="en-US"/>
              </w:rPr>
              <w:t>160 765 498,08</w:t>
            </w:r>
          </w:p>
        </w:tc>
        <w:tc>
          <w:tcPr>
            <w:tcW w:w="1348" w:type="dxa"/>
            <w:tcBorders>
              <w:top w:val="single" w:sz="6" w:space="0" w:color="auto"/>
              <w:left w:val="nil"/>
              <w:bottom w:val="single" w:sz="8" w:space="0" w:color="auto"/>
              <w:right w:val="single" w:sz="4" w:space="0" w:color="auto"/>
            </w:tcBorders>
            <w:shd w:val="clear" w:color="000000" w:fill="FFFFFF"/>
            <w:noWrap/>
            <w:vAlign w:val="bottom"/>
          </w:tcPr>
          <w:p w14:paraId="30C9F6A2" w14:textId="04267215" w:rsidR="00C82A94" w:rsidRPr="000D14F7" w:rsidRDefault="000D14F7" w:rsidP="0061790F">
            <w:pPr>
              <w:spacing w:after="0" w:line="240" w:lineRule="auto"/>
              <w:jc w:val="right"/>
              <w:rPr>
                <w:rFonts w:eastAsia="Times New Roman" w:cs="Calibri"/>
                <w:b/>
                <w:bCs/>
                <w:sz w:val="20"/>
                <w:szCs w:val="20"/>
              </w:rPr>
            </w:pPr>
            <w:r w:rsidRPr="000D14F7">
              <w:rPr>
                <w:rFonts w:eastAsia="Times New Roman" w:cs="Calibri"/>
                <w:b/>
                <w:bCs/>
                <w:sz w:val="20"/>
                <w:szCs w:val="20"/>
                <w:lang w:val="en-US"/>
              </w:rPr>
              <w:t>0,00</w:t>
            </w:r>
          </w:p>
        </w:tc>
        <w:tc>
          <w:tcPr>
            <w:tcW w:w="1389" w:type="dxa"/>
            <w:tcBorders>
              <w:top w:val="single" w:sz="6" w:space="0" w:color="auto"/>
              <w:left w:val="nil"/>
              <w:bottom w:val="single" w:sz="8" w:space="0" w:color="auto"/>
              <w:right w:val="single" w:sz="4" w:space="0" w:color="auto"/>
            </w:tcBorders>
            <w:shd w:val="clear" w:color="000000" w:fill="FFFFFF"/>
            <w:noWrap/>
            <w:vAlign w:val="bottom"/>
          </w:tcPr>
          <w:p w14:paraId="4F075F98" w14:textId="77777777" w:rsidR="00C82A94" w:rsidRPr="00A26C62" w:rsidRDefault="00C82A94" w:rsidP="0061790F">
            <w:pPr>
              <w:spacing w:after="0" w:line="240" w:lineRule="auto"/>
              <w:jc w:val="right"/>
              <w:rPr>
                <w:rFonts w:eastAsia="Times New Roman" w:cs="Calibri"/>
                <w:b/>
                <w:bCs/>
                <w:sz w:val="20"/>
                <w:szCs w:val="20"/>
              </w:rPr>
            </w:pPr>
            <w:r w:rsidRPr="00A26C62">
              <w:rPr>
                <w:rFonts w:eastAsia="Times New Roman" w:cs="Calibri"/>
                <w:b/>
                <w:bCs/>
                <w:sz w:val="20"/>
                <w:szCs w:val="20"/>
                <w:lang w:val="en-US"/>
              </w:rPr>
              <w:t>160 765 498,08</w:t>
            </w:r>
          </w:p>
        </w:tc>
      </w:tr>
    </w:tbl>
    <w:p w14:paraId="22290A39" w14:textId="77777777" w:rsidR="00C82A94" w:rsidRPr="00A26C62" w:rsidRDefault="00C82A94" w:rsidP="00C82A94">
      <w:pPr>
        <w:spacing w:after="0" w:line="240" w:lineRule="auto"/>
        <w:ind w:left="709" w:hanging="709"/>
        <w:rPr>
          <w:sz w:val="18"/>
          <w:szCs w:val="18"/>
          <w:lang w:val="es-ES"/>
        </w:rPr>
      </w:pPr>
      <w:r w:rsidRPr="00A26C62">
        <w:rPr>
          <w:sz w:val="18"/>
          <w:szCs w:val="18"/>
          <w:lang w:val="es-ES"/>
        </w:rPr>
        <w:t xml:space="preserve">Nota: </w:t>
      </w:r>
      <w:r w:rsidRPr="00A26C62">
        <w:rPr>
          <w:color w:val="FF0000"/>
          <w:sz w:val="18"/>
          <w:szCs w:val="18"/>
          <w:lang w:val="es-ES"/>
        </w:rPr>
        <w:t>*</w:t>
      </w:r>
      <w:r w:rsidRPr="00A26C62">
        <w:rPr>
          <w:sz w:val="18"/>
          <w:szCs w:val="18"/>
          <w:lang w:val="es-ES"/>
        </w:rPr>
        <w:t xml:space="preserve"> Estos rubros están siendo revisados para determinar la corrección y cantidad de bienes respectiva.</w:t>
      </w:r>
    </w:p>
    <w:p w14:paraId="1B79F8E9" w14:textId="77777777" w:rsidR="00C82A94" w:rsidRPr="00A26C62" w:rsidRDefault="00C82A94" w:rsidP="00C82A94">
      <w:pPr>
        <w:spacing w:after="0" w:line="240" w:lineRule="auto"/>
        <w:ind w:left="709" w:hanging="283"/>
        <w:rPr>
          <w:color w:val="FF0000"/>
          <w:sz w:val="18"/>
          <w:szCs w:val="18"/>
          <w:lang w:val="es-ES"/>
        </w:rPr>
      </w:pPr>
      <w:r w:rsidRPr="00A26C62">
        <w:rPr>
          <w:color w:val="FF0000"/>
          <w:sz w:val="18"/>
          <w:szCs w:val="18"/>
          <w:lang w:val="es-ES"/>
        </w:rPr>
        <w:lastRenderedPageBreak/>
        <w:t xml:space="preserve">** </w:t>
      </w:r>
      <w:r w:rsidRPr="00A26C62">
        <w:rPr>
          <w:sz w:val="18"/>
          <w:szCs w:val="18"/>
          <w:lang w:val="es-ES"/>
        </w:rPr>
        <w:t>Corresponde a cantidad de propiedades</w:t>
      </w:r>
      <w:r w:rsidRPr="00A26C62">
        <w:rPr>
          <w:color w:val="FF0000"/>
          <w:sz w:val="18"/>
          <w:szCs w:val="18"/>
          <w:lang w:val="es-ES"/>
        </w:rPr>
        <w:t xml:space="preserve"> </w:t>
      </w:r>
    </w:p>
    <w:p w14:paraId="314ED212" w14:textId="77777777" w:rsidR="00C82A94" w:rsidRPr="00C82A94" w:rsidRDefault="00C82A94" w:rsidP="00C82A94">
      <w:pPr>
        <w:rPr>
          <w:highlight w:val="yellow"/>
          <w:lang w:val="es-ES"/>
        </w:rPr>
      </w:pPr>
    </w:p>
    <w:p w14:paraId="37DDC4B2" w14:textId="40E48CC5" w:rsidR="00C82A94" w:rsidRPr="00FE4F6C" w:rsidRDefault="00C82A94" w:rsidP="00C82A94">
      <w:pPr>
        <w:spacing w:line="240" w:lineRule="auto"/>
        <w:rPr>
          <w:szCs w:val="24"/>
          <w:lang w:eastAsia="es-CR"/>
        </w:rPr>
      </w:pPr>
      <w:r w:rsidRPr="00FE4F6C">
        <w:rPr>
          <w:szCs w:val="24"/>
          <w:lang w:eastAsia="es-CR"/>
        </w:rPr>
        <w:t xml:space="preserve">De acuerdo con lo consignado en la Matriz de NICSP y Plan de Acción al </w:t>
      </w:r>
      <w:r w:rsidR="00796636" w:rsidRPr="00FE4F6C">
        <w:rPr>
          <w:szCs w:val="24"/>
          <w:lang w:eastAsia="es-CR"/>
        </w:rPr>
        <w:t>31</w:t>
      </w:r>
      <w:r w:rsidRPr="00FE4F6C">
        <w:rPr>
          <w:szCs w:val="24"/>
          <w:lang w:eastAsia="es-CR"/>
        </w:rPr>
        <w:t xml:space="preserve"> de </w:t>
      </w:r>
      <w:r w:rsidR="00D64CF8" w:rsidRPr="00FE4F6C">
        <w:rPr>
          <w:szCs w:val="24"/>
          <w:lang w:eastAsia="es-CR"/>
        </w:rPr>
        <w:t>diciembre</w:t>
      </w:r>
      <w:r w:rsidR="00723F55" w:rsidRPr="00FE4F6C">
        <w:rPr>
          <w:szCs w:val="24"/>
          <w:lang w:eastAsia="es-CR"/>
        </w:rPr>
        <w:t xml:space="preserve"> 2024</w:t>
      </w:r>
      <w:r w:rsidRPr="00FE4F6C">
        <w:rPr>
          <w:szCs w:val="24"/>
          <w:lang w:eastAsia="es-CR"/>
        </w:rPr>
        <w:t xml:space="preserve"> se encuentra pendiente de implementar lo siguiente:</w:t>
      </w:r>
    </w:p>
    <w:tbl>
      <w:tblPr>
        <w:tblW w:w="8920" w:type="dxa"/>
        <w:tblLook w:val="04A0" w:firstRow="1" w:lastRow="0" w:firstColumn="1" w:lastColumn="0" w:noHBand="0" w:noVBand="1"/>
      </w:tblPr>
      <w:tblGrid>
        <w:gridCol w:w="7503"/>
        <w:gridCol w:w="1417"/>
      </w:tblGrid>
      <w:tr w:rsidR="00C82A94" w:rsidRPr="00C82A94" w14:paraId="709743A4" w14:textId="77777777" w:rsidTr="0061790F">
        <w:trPr>
          <w:trHeight w:val="530"/>
        </w:trPr>
        <w:tc>
          <w:tcPr>
            <w:tcW w:w="7503"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51CFB76E" w14:textId="77777777" w:rsidR="00C82A94" w:rsidRPr="007843B9" w:rsidRDefault="00C82A94" w:rsidP="0061790F">
            <w:pPr>
              <w:spacing w:after="0" w:line="240" w:lineRule="auto"/>
              <w:jc w:val="center"/>
              <w:rPr>
                <w:rFonts w:eastAsia="Times New Roman" w:cs="Calibri"/>
                <w:b/>
                <w:bCs/>
                <w:sz w:val="20"/>
                <w:szCs w:val="20"/>
                <w:lang w:val="en-US"/>
              </w:rPr>
            </w:pPr>
            <w:proofErr w:type="spellStart"/>
            <w:r w:rsidRPr="007843B9">
              <w:rPr>
                <w:rFonts w:eastAsia="Times New Roman" w:cs="Calibri"/>
                <w:b/>
                <w:bCs/>
                <w:sz w:val="20"/>
                <w:szCs w:val="20"/>
                <w:lang w:val="en-US"/>
              </w:rPr>
              <w:t>Actividades</w:t>
            </w:r>
            <w:proofErr w:type="spellEnd"/>
            <w:r w:rsidRPr="007843B9">
              <w:rPr>
                <w:rFonts w:eastAsia="Times New Roman" w:cs="Calibri"/>
                <w:b/>
                <w:bCs/>
                <w:sz w:val="20"/>
                <w:szCs w:val="20"/>
                <w:lang w:val="en-US"/>
              </w:rPr>
              <w:t xml:space="preserve"> </w:t>
            </w:r>
            <w:proofErr w:type="spellStart"/>
            <w:r w:rsidRPr="007843B9">
              <w:rPr>
                <w:rFonts w:eastAsia="Times New Roman" w:cs="Calibri"/>
                <w:b/>
                <w:bCs/>
                <w:sz w:val="20"/>
                <w:szCs w:val="20"/>
                <w:lang w:val="en-US"/>
              </w:rPr>
              <w:t>Pendientes</w:t>
            </w:r>
            <w:proofErr w:type="spellEnd"/>
            <w:r w:rsidRPr="007843B9">
              <w:rPr>
                <w:rFonts w:eastAsia="Times New Roman" w:cs="Calibri"/>
                <w:b/>
                <w:bCs/>
                <w:sz w:val="20"/>
                <w:szCs w:val="20"/>
                <w:lang w:val="en-US"/>
              </w:rPr>
              <w:t xml:space="preserve"> de </w:t>
            </w:r>
            <w:proofErr w:type="spellStart"/>
            <w:r w:rsidRPr="007843B9">
              <w:rPr>
                <w:rFonts w:eastAsia="Times New Roman" w:cs="Calibri"/>
                <w:b/>
                <w:bCs/>
                <w:sz w:val="20"/>
                <w:szCs w:val="20"/>
                <w:lang w:val="en-US"/>
              </w:rPr>
              <w:t>Cumplimiento</w:t>
            </w:r>
            <w:proofErr w:type="spellEnd"/>
          </w:p>
        </w:tc>
        <w:tc>
          <w:tcPr>
            <w:tcW w:w="1417" w:type="dxa"/>
            <w:tcBorders>
              <w:top w:val="single" w:sz="8" w:space="0" w:color="auto"/>
              <w:left w:val="nil"/>
              <w:bottom w:val="single" w:sz="4" w:space="0" w:color="auto"/>
              <w:right w:val="single" w:sz="8" w:space="0" w:color="auto"/>
            </w:tcBorders>
            <w:shd w:val="clear" w:color="000000" w:fill="FFFFFF"/>
            <w:vAlign w:val="bottom"/>
            <w:hideMark/>
          </w:tcPr>
          <w:p w14:paraId="28BCDDD7" w14:textId="77777777" w:rsidR="00C82A94" w:rsidRPr="007843B9" w:rsidRDefault="00C82A94" w:rsidP="0061790F">
            <w:pPr>
              <w:spacing w:after="0" w:line="240" w:lineRule="auto"/>
              <w:jc w:val="center"/>
              <w:rPr>
                <w:rFonts w:eastAsia="Times New Roman" w:cs="Calibri"/>
                <w:b/>
                <w:bCs/>
                <w:color w:val="000000"/>
                <w:sz w:val="20"/>
                <w:szCs w:val="20"/>
                <w:lang w:val="en-US"/>
              </w:rPr>
            </w:pPr>
            <w:proofErr w:type="spellStart"/>
            <w:r w:rsidRPr="007843B9">
              <w:rPr>
                <w:rFonts w:eastAsia="Times New Roman" w:cs="Calibri"/>
                <w:b/>
                <w:bCs/>
                <w:color w:val="000000"/>
                <w:sz w:val="20"/>
                <w:szCs w:val="20"/>
                <w:lang w:val="en-US"/>
              </w:rPr>
              <w:t>Fecha</w:t>
            </w:r>
            <w:proofErr w:type="spellEnd"/>
            <w:r w:rsidRPr="007843B9">
              <w:rPr>
                <w:rFonts w:eastAsia="Times New Roman" w:cs="Calibri"/>
                <w:b/>
                <w:bCs/>
                <w:color w:val="000000"/>
                <w:sz w:val="20"/>
                <w:szCs w:val="20"/>
                <w:lang w:val="en-US"/>
              </w:rPr>
              <w:t xml:space="preserve"> </w:t>
            </w:r>
            <w:proofErr w:type="spellStart"/>
            <w:r w:rsidRPr="007843B9">
              <w:rPr>
                <w:rFonts w:eastAsia="Times New Roman" w:cs="Calibri"/>
                <w:b/>
                <w:bCs/>
                <w:color w:val="000000"/>
                <w:sz w:val="20"/>
                <w:szCs w:val="20"/>
                <w:lang w:val="en-US"/>
              </w:rPr>
              <w:t>Estimada</w:t>
            </w:r>
            <w:proofErr w:type="spellEnd"/>
            <w:r w:rsidRPr="007843B9">
              <w:rPr>
                <w:rFonts w:eastAsia="Times New Roman" w:cs="Calibri"/>
                <w:b/>
                <w:bCs/>
                <w:color w:val="000000"/>
                <w:sz w:val="20"/>
                <w:szCs w:val="20"/>
                <w:lang w:val="en-US"/>
              </w:rPr>
              <w:t xml:space="preserve"> </w:t>
            </w:r>
            <w:proofErr w:type="spellStart"/>
            <w:r w:rsidRPr="007843B9">
              <w:rPr>
                <w:rFonts w:eastAsia="Times New Roman" w:cs="Calibri"/>
                <w:b/>
                <w:bCs/>
                <w:color w:val="000000"/>
                <w:sz w:val="20"/>
                <w:szCs w:val="20"/>
                <w:lang w:val="en-US"/>
              </w:rPr>
              <w:t>Cumplimiento</w:t>
            </w:r>
            <w:proofErr w:type="spellEnd"/>
          </w:p>
        </w:tc>
      </w:tr>
      <w:tr w:rsidR="00C82A94" w:rsidRPr="00C82A94" w14:paraId="3FF1416A" w14:textId="77777777" w:rsidTr="0061790F">
        <w:trPr>
          <w:trHeight w:val="1260"/>
        </w:trPr>
        <w:tc>
          <w:tcPr>
            <w:tcW w:w="7503" w:type="dxa"/>
            <w:tcBorders>
              <w:top w:val="nil"/>
              <w:left w:val="single" w:sz="8" w:space="0" w:color="auto"/>
              <w:bottom w:val="single" w:sz="4" w:space="0" w:color="auto"/>
              <w:right w:val="single" w:sz="4" w:space="0" w:color="auto"/>
            </w:tcBorders>
            <w:shd w:val="clear" w:color="000000" w:fill="FFFFFF"/>
            <w:hideMark/>
          </w:tcPr>
          <w:p w14:paraId="760ACFCE" w14:textId="77777777" w:rsidR="00C82A94" w:rsidRPr="007843B9" w:rsidRDefault="00C82A94" w:rsidP="0061790F">
            <w:pPr>
              <w:spacing w:after="0" w:line="240" w:lineRule="auto"/>
              <w:rPr>
                <w:rFonts w:ascii="Arial" w:eastAsia="Times New Roman" w:hAnsi="Arial" w:cs="Arial"/>
                <w:b/>
                <w:bCs/>
                <w:sz w:val="20"/>
                <w:szCs w:val="20"/>
              </w:rPr>
            </w:pPr>
            <w:r w:rsidRPr="007843B9">
              <w:rPr>
                <w:rFonts w:ascii="Arial" w:eastAsia="Times New Roman" w:hAnsi="Arial" w:cs="Arial"/>
                <w:sz w:val="20"/>
                <w:szCs w:val="20"/>
              </w:rPr>
              <w:t>Realizar la identificación, el reconocimiento y clasificación, medición y registro de los terrenos según las NICSP.</w:t>
            </w:r>
            <w:r w:rsidRPr="007843B9">
              <w:rPr>
                <w:rFonts w:ascii="Arial" w:eastAsia="Times New Roman" w:hAnsi="Arial" w:cs="Arial"/>
                <w:b/>
                <w:bCs/>
                <w:sz w:val="20"/>
                <w:szCs w:val="20"/>
              </w:rPr>
              <w:t xml:space="preserve"> </w:t>
            </w:r>
          </w:p>
          <w:p w14:paraId="17D2FAF7" w14:textId="77777777" w:rsidR="00C82A94" w:rsidRPr="007843B9" w:rsidRDefault="00C82A94" w:rsidP="007F4626">
            <w:pPr>
              <w:pStyle w:val="Prrafodelista"/>
              <w:numPr>
                <w:ilvl w:val="1"/>
                <w:numId w:val="22"/>
              </w:numPr>
              <w:spacing w:after="0" w:line="240" w:lineRule="auto"/>
              <w:ind w:left="306"/>
              <w:rPr>
                <w:rFonts w:ascii="Arial" w:eastAsia="Times New Roman" w:hAnsi="Arial" w:cs="Arial"/>
                <w:sz w:val="20"/>
                <w:szCs w:val="20"/>
              </w:rPr>
            </w:pPr>
            <w:r w:rsidRPr="007843B9">
              <w:rPr>
                <w:rFonts w:ascii="Arial" w:eastAsia="Times New Roman" w:hAnsi="Arial" w:cs="Arial"/>
                <w:sz w:val="20"/>
                <w:szCs w:val="20"/>
              </w:rPr>
              <w:t>Levantar un inventario,</w:t>
            </w:r>
          </w:p>
          <w:p w14:paraId="13F28337" w14:textId="6830448D" w:rsidR="00C82A94" w:rsidRPr="007843B9" w:rsidRDefault="009F6D30" w:rsidP="007F4626">
            <w:pPr>
              <w:pStyle w:val="Prrafodelista"/>
              <w:numPr>
                <w:ilvl w:val="1"/>
                <w:numId w:val="22"/>
              </w:numPr>
              <w:spacing w:after="0" w:line="240" w:lineRule="auto"/>
              <w:ind w:left="306"/>
              <w:rPr>
                <w:rFonts w:ascii="Arial" w:eastAsia="Times New Roman" w:hAnsi="Arial" w:cs="Arial"/>
                <w:sz w:val="20"/>
                <w:szCs w:val="20"/>
              </w:rPr>
            </w:pPr>
            <w:proofErr w:type="spellStart"/>
            <w:r>
              <w:rPr>
                <w:rFonts w:ascii="Arial" w:eastAsia="Times New Roman" w:hAnsi="Arial" w:cs="Arial"/>
                <w:sz w:val="20"/>
                <w:szCs w:val="20"/>
              </w:rPr>
              <w:t>V</w:t>
            </w:r>
            <w:r w:rsidR="00C82A94" w:rsidRPr="007843B9">
              <w:rPr>
                <w:rFonts w:ascii="Arial" w:eastAsia="Times New Roman" w:hAnsi="Arial" w:cs="Arial"/>
                <w:sz w:val="20"/>
                <w:szCs w:val="20"/>
              </w:rPr>
              <w:t>aluarlo</w:t>
            </w:r>
            <w:proofErr w:type="spellEnd"/>
            <w:r w:rsidR="00C82A94" w:rsidRPr="007843B9">
              <w:rPr>
                <w:rFonts w:ascii="Arial" w:eastAsia="Times New Roman" w:hAnsi="Arial" w:cs="Arial"/>
                <w:sz w:val="20"/>
                <w:szCs w:val="20"/>
              </w:rPr>
              <w:t>, y</w:t>
            </w:r>
          </w:p>
          <w:p w14:paraId="59A09245" w14:textId="2F581840" w:rsidR="00C82A94" w:rsidRPr="007843B9" w:rsidRDefault="009F6D30" w:rsidP="007F4626">
            <w:pPr>
              <w:pStyle w:val="Prrafodelista"/>
              <w:numPr>
                <w:ilvl w:val="1"/>
                <w:numId w:val="22"/>
              </w:numPr>
              <w:spacing w:after="0" w:line="240" w:lineRule="auto"/>
              <w:ind w:left="306"/>
              <w:rPr>
                <w:rFonts w:ascii="Arial" w:eastAsia="Times New Roman" w:hAnsi="Arial" w:cs="Arial"/>
                <w:sz w:val="20"/>
                <w:szCs w:val="20"/>
              </w:rPr>
            </w:pPr>
            <w:proofErr w:type="spellStart"/>
            <w:r>
              <w:rPr>
                <w:rFonts w:ascii="Arial" w:eastAsia="Times New Roman" w:hAnsi="Arial" w:cs="Arial"/>
                <w:sz w:val="20"/>
                <w:szCs w:val="20"/>
              </w:rPr>
              <w:t>C</w:t>
            </w:r>
            <w:r w:rsidR="00C82A94" w:rsidRPr="007843B9">
              <w:rPr>
                <w:rFonts w:ascii="Arial" w:eastAsia="Times New Roman" w:hAnsi="Arial" w:cs="Arial"/>
                <w:sz w:val="20"/>
                <w:szCs w:val="20"/>
              </w:rPr>
              <w:t>onabilizarlo</w:t>
            </w:r>
            <w:proofErr w:type="spellEnd"/>
            <w:r w:rsidR="00C82A94" w:rsidRPr="007843B9">
              <w:rPr>
                <w:rFonts w:ascii="Arial" w:eastAsia="Times New Roman" w:hAnsi="Arial" w:cs="Arial"/>
                <w:sz w:val="20"/>
                <w:szCs w:val="20"/>
              </w:rPr>
              <w:t xml:space="preserve"> en el sistema contable para actualizar el auxiliar contable.</w:t>
            </w:r>
          </w:p>
        </w:tc>
        <w:tc>
          <w:tcPr>
            <w:tcW w:w="1417" w:type="dxa"/>
            <w:tcBorders>
              <w:top w:val="nil"/>
              <w:left w:val="nil"/>
              <w:bottom w:val="single" w:sz="4" w:space="0" w:color="auto"/>
              <w:right w:val="single" w:sz="8" w:space="0" w:color="auto"/>
            </w:tcBorders>
            <w:shd w:val="clear" w:color="000000" w:fill="FFFFFF"/>
            <w:noWrap/>
            <w:vAlign w:val="center"/>
            <w:hideMark/>
          </w:tcPr>
          <w:p w14:paraId="0018513D" w14:textId="78D45A8B" w:rsidR="00C82A94" w:rsidRPr="007843B9" w:rsidRDefault="00796636" w:rsidP="0061790F">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3</w:t>
            </w:r>
            <w:r w:rsidR="009F6D30">
              <w:rPr>
                <w:rFonts w:ascii="Arial" w:eastAsia="Times New Roman" w:hAnsi="Arial" w:cs="Arial"/>
                <w:color w:val="000000"/>
                <w:sz w:val="20"/>
                <w:szCs w:val="20"/>
                <w:lang w:val="en-US"/>
              </w:rPr>
              <w:t>0</w:t>
            </w:r>
            <w:r w:rsidR="007843B9" w:rsidRPr="007843B9">
              <w:rPr>
                <w:rFonts w:ascii="Arial" w:eastAsia="Times New Roman" w:hAnsi="Arial" w:cs="Arial"/>
                <w:color w:val="000000"/>
                <w:sz w:val="20"/>
                <w:szCs w:val="20"/>
                <w:lang w:val="en-US"/>
              </w:rPr>
              <w:t>/09/25</w:t>
            </w:r>
          </w:p>
        </w:tc>
      </w:tr>
      <w:tr w:rsidR="007843B9" w:rsidRPr="00C82A94" w14:paraId="08B302AF" w14:textId="77777777" w:rsidTr="00796636">
        <w:trPr>
          <w:trHeight w:val="1500"/>
        </w:trPr>
        <w:tc>
          <w:tcPr>
            <w:tcW w:w="7503" w:type="dxa"/>
            <w:tcBorders>
              <w:top w:val="nil"/>
              <w:left w:val="single" w:sz="8" w:space="0" w:color="auto"/>
              <w:bottom w:val="single" w:sz="4" w:space="0" w:color="auto"/>
              <w:right w:val="single" w:sz="4" w:space="0" w:color="auto"/>
            </w:tcBorders>
            <w:shd w:val="clear" w:color="000000" w:fill="FFFFFF"/>
            <w:hideMark/>
          </w:tcPr>
          <w:p w14:paraId="25675873" w14:textId="77777777" w:rsidR="007843B9" w:rsidRPr="007843B9" w:rsidRDefault="007843B9" w:rsidP="007843B9">
            <w:pPr>
              <w:spacing w:after="0" w:line="240" w:lineRule="auto"/>
              <w:rPr>
                <w:rFonts w:ascii="Arial" w:eastAsia="Times New Roman" w:hAnsi="Arial" w:cs="Arial"/>
                <w:sz w:val="20"/>
                <w:szCs w:val="20"/>
              </w:rPr>
            </w:pPr>
            <w:r w:rsidRPr="007843B9">
              <w:rPr>
                <w:rFonts w:ascii="Arial" w:eastAsia="Times New Roman" w:hAnsi="Arial" w:cs="Arial"/>
                <w:sz w:val="20"/>
                <w:szCs w:val="20"/>
              </w:rPr>
              <w:t>Realizar la identificación, el reconocimiento y clasificación, medición y registro de los edificios según las NICSP y el catálogo contable. Esto implica:</w:t>
            </w:r>
          </w:p>
          <w:p w14:paraId="08B90C32" w14:textId="77777777" w:rsidR="007843B9" w:rsidRPr="007843B9" w:rsidRDefault="007843B9" w:rsidP="007843B9">
            <w:pPr>
              <w:pStyle w:val="Prrafodelista"/>
              <w:numPr>
                <w:ilvl w:val="0"/>
                <w:numId w:val="36"/>
              </w:numPr>
              <w:spacing w:after="0" w:line="240" w:lineRule="auto"/>
              <w:ind w:left="306"/>
              <w:rPr>
                <w:rFonts w:ascii="Arial" w:eastAsia="Times New Roman" w:hAnsi="Arial" w:cs="Arial"/>
                <w:sz w:val="20"/>
                <w:szCs w:val="20"/>
              </w:rPr>
            </w:pPr>
            <w:r w:rsidRPr="007843B9">
              <w:rPr>
                <w:rFonts w:ascii="Arial" w:eastAsia="Times New Roman" w:hAnsi="Arial" w:cs="Arial"/>
                <w:sz w:val="20"/>
                <w:szCs w:val="20"/>
              </w:rPr>
              <w:t>Levantar un inventario,</w:t>
            </w:r>
          </w:p>
          <w:p w14:paraId="3E159A87" w14:textId="63F75380" w:rsidR="007843B9" w:rsidRPr="007843B9" w:rsidRDefault="009F6D30" w:rsidP="007843B9">
            <w:pPr>
              <w:pStyle w:val="Prrafodelista"/>
              <w:numPr>
                <w:ilvl w:val="0"/>
                <w:numId w:val="36"/>
              </w:numPr>
              <w:spacing w:after="0" w:line="240" w:lineRule="auto"/>
              <w:ind w:left="306"/>
              <w:rPr>
                <w:rFonts w:ascii="Arial" w:eastAsia="Times New Roman" w:hAnsi="Arial" w:cs="Arial"/>
                <w:sz w:val="20"/>
                <w:szCs w:val="20"/>
              </w:rPr>
            </w:pPr>
            <w:proofErr w:type="spellStart"/>
            <w:r>
              <w:rPr>
                <w:rFonts w:ascii="Arial" w:eastAsia="Times New Roman" w:hAnsi="Arial" w:cs="Arial"/>
                <w:sz w:val="20"/>
                <w:szCs w:val="20"/>
              </w:rPr>
              <w:t>V</w:t>
            </w:r>
            <w:r w:rsidR="007843B9" w:rsidRPr="007843B9">
              <w:rPr>
                <w:rFonts w:ascii="Arial" w:eastAsia="Times New Roman" w:hAnsi="Arial" w:cs="Arial"/>
                <w:sz w:val="20"/>
                <w:szCs w:val="20"/>
              </w:rPr>
              <w:t>aluarlo</w:t>
            </w:r>
            <w:proofErr w:type="spellEnd"/>
            <w:r w:rsidR="007843B9" w:rsidRPr="007843B9">
              <w:rPr>
                <w:rFonts w:ascii="Arial" w:eastAsia="Times New Roman" w:hAnsi="Arial" w:cs="Arial"/>
                <w:sz w:val="20"/>
                <w:szCs w:val="20"/>
              </w:rPr>
              <w:t>, y</w:t>
            </w:r>
          </w:p>
          <w:p w14:paraId="5DD60801" w14:textId="3D5AA0A0" w:rsidR="007843B9" w:rsidRPr="007843B9" w:rsidRDefault="009F6D30" w:rsidP="007843B9">
            <w:pPr>
              <w:pStyle w:val="Prrafodelista"/>
              <w:numPr>
                <w:ilvl w:val="0"/>
                <w:numId w:val="36"/>
              </w:numPr>
              <w:spacing w:after="0" w:line="240" w:lineRule="auto"/>
              <w:ind w:left="306"/>
              <w:rPr>
                <w:rFonts w:ascii="Arial" w:eastAsia="Times New Roman" w:hAnsi="Arial" w:cs="Arial"/>
                <w:sz w:val="20"/>
                <w:szCs w:val="20"/>
              </w:rPr>
            </w:pPr>
            <w:proofErr w:type="spellStart"/>
            <w:r>
              <w:rPr>
                <w:rFonts w:ascii="Arial" w:eastAsia="Times New Roman" w:hAnsi="Arial" w:cs="Arial"/>
                <w:sz w:val="20"/>
                <w:szCs w:val="20"/>
              </w:rPr>
              <w:t>C</w:t>
            </w:r>
            <w:r w:rsidR="007843B9" w:rsidRPr="007843B9">
              <w:rPr>
                <w:rFonts w:ascii="Arial" w:eastAsia="Times New Roman" w:hAnsi="Arial" w:cs="Arial"/>
                <w:sz w:val="20"/>
                <w:szCs w:val="20"/>
              </w:rPr>
              <w:t>onabilizarlo</w:t>
            </w:r>
            <w:proofErr w:type="spellEnd"/>
            <w:r w:rsidR="007843B9" w:rsidRPr="007843B9">
              <w:rPr>
                <w:rFonts w:ascii="Arial" w:eastAsia="Times New Roman" w:hAnsi="Arial" w:cs="Arial"/>
                <w:sz w:val="20"/>
                <w:szCs w:val="20"/>
              </w:rPr>
              <w:t xml:space="preserve"> en el sistema contable para actualizar el auxiliar contable.</w:t>
            </w:r>
          </w:p>
        </w:tc>
        <w:tc>
          <w:tcPr>
            <w:tcW w:w="1417" w:type="dxa"/>
            <w:tcBorders>
              <w:top w:val="nil"/>
              <w:left w:val="nil"/>
              <w:bottom w:val="single" w:sz="4" w:space="0" w:color="auto"/>
              <w:right w:val="single" w:sz="8" w:space="0" w:color="auto"/>
            </w:tcBorders>
            <w:shd w:val="clear" w:color="000000" w:fill="FFFFFF"/>
            <w:noWrap/>
            <w:hideMark/>
          </w:tcPr>
          <w:p w14:paraId="76FDFBD5" w14:textId="61B89370" w:rsidR="007843B9" w:rsidRPr="007843B9" w:rsidRDefault="009F6D30" w:rsidP="007843B9">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30</w:t>
            </w:r>
            <w:r w:rsidRPr="007843B9">
              <w:rPr>
                <w:rFonts w:ascii="Arial" w:eastAsia="Times New Roman" w:hAnsi="Arial" w:cs="Arial"/>
                <w:color w:val="000000"/>
                <w:sz w:val="20"/>
                <w:szCs w:val="20"/>
                <w:lang w:val="en-US"/>
              </w:rPr>
              <w:t>/09/25</w:t>
            </w:r>
          </w:p>
        </w:tc>
      </w:tr>
      <w:tr w:rsidR="007843B9" w:rsidRPr="00C82A94" w14:paraId="37773F86" w14:textId="77777777" w:rsidTr="00796636">
        <w:trPr>
          <w:trHeight w:val="1500"/>
        </w:trPr>
        <w:tc>
          <w:tcPr>
            <w:tcW w:w="7503" w:type="dxa"/>
            <w:tcBorders>
              <w:top w:val="nil"/>
              <w:left w:val="single" w:sz="8" w:space="0" w:color="auto"/>
              <w:bottom w:val="single" w:sz="4" w:space="0" w:color="auto"/>
              <w:right w:val="single" w:sz="4" w:space="0" w:color="auto"/>
            </w:tcBorders>
            <w:shd w:val="clear" w:color="000000" w:fill="FFFFFF"/>
            <w:hideMark/>
          </w:tcPr>
          <w:p w14:paraId="567AA10E" w14:textId="77777777" w:rsidR="007843B9" w:rsidRPr="007843B9" w:rsidRDefault="007843B9" w:rsidP="007843B9">
            <w:pPr>
              <w:spacing w:after="0" w:line="240" w:lineRule="auto"/>
              <w:rPr>
                <w:rFonts w:ascii="Arial" w:eastAsia="Times New Roman" w:hAnsi="Arial" w:cs="Arial"/>
                <w:sz w:val="20"/>
                <w:szCs w:val="20"/>
              </w:rPr>
            </w:pPr>
            <w:r w:rsidRPr="007843B9">
              <w:rPr>
                <w:rFonts w:ascii="Arial" w:eastAsia="Times New Roman" w:hAnsi="Arial" w:cs="Arial"/>
                <w:sz w:val="20"/>
                <w:szCs w:val="20"/>
              </w:rPr>
              <w:t xml:space="preserve">Realizar la identificación el reconocimiento y clasificación, medición y registro de los de los activos de planta y equipo según las NICSP y el catálogo contable. </w:t>
            </w:r>
            <w:r w:rsidRPr="007843B9">
              <w:rPr>
                <w:rFonts w:ascii="Arial" w:eastAsia="Times New Roman" w:hAnsi="Arial" w:cs="Arial"/>
                <w:color w:val="548235"/>
                <w:sz w:val="20"/>
                <w:szCs w:val="20"/>
              </w:rPr>
              <w:t xml:space="preserve"> </w:t>
            </w:r>
            <w:r w:rsidRPr="007843B9">
              <w:rPr>
                <w:rFonts w:ascii="Arial" w:eastAsia="Times New Roman" w:hAnsi="Arial" w:cs="Arial"/>
                <w:sz w:val="20"/>
                <w:szCs w:val="20"/>
              </w:rPr>
              <w:br/>
              <w:t>Esto implica:</w:t>
            </w:r>
          </w:p>
          <w:p w14:paraId="398179BE" w14:textId="77777777" w:rsidR="007843B9" w:rsidRPr="007843B9" w:rsidRDefault="007843B9" w:rsidP="007843B9">
            <w:pPr>
              <w:spacing w:after="0" w:line="240" w:lineRule="auto"/>
              <w:rPr>
                <w:rFonts w:ascii="Arial" w:eastAsia="Times New Roman" w:hAnsi="Arial" w:cs="Arial"/>
                <w:sz w:val="20"/>
                <w:szCs w:val="20"/>
              </w:rPr>
            </w:pPr>
            <w:r w:rsidRPr="007843B9">
              <w:rPr>
                <w:rFonts w:ascii="Arial" w:eastAsia="Times New Roman" w:hAnsi="Arial" w:cs="Arial"/>
                <w:sz w:val="20"/>
                <w:szCs w:val="20"/>
              </w:rPr>
              <w:t>a. Levantar un inventario,</w:t>
            </w:r>
          </w:p>
          <w:p w14:paraId="372837D4" w14:textId="6390B7E0" w:rsidR="007843B9" w:rsidRPr="007843B9" w:rsidRDefault="007843B9" w:rsidP="007843B9">
            <w:pPr>
              <w:spacing w:after="0" w:line="240" w:lineRule="auto"/>
              <w:rPr>
                <w:rFonts w:ascii="Arial" w:eastAsia="Times New Roman" w:hAnsi="Arial" w:cs="Arial"/>
                <w:sz w:val="20"/>
                <w:szCs w:val="20"/>
              </w:rPr>
            </w:pPr>
            <w:r w:rsidRPr="007843B9">
              <w:rPr>
                <w:rFonts w:ascii="Arial" w:eastAsia="Times New Roman" w:hAnsi="Arial" w:cs="Arial"/>
                <w:sz w:val="20"/>
                <w:szCs w:val="20"/>
              </w:rPr>
              <w:t xml:space="preserve">b. </w:t>
            </w:r>
            <w:proofErr w:type="spellStart"/>
            <w:r w:rsidR="009F6D30">
              <w:rPr>
                <w:rFonts w:ascii="Arial" w:eastAsia="Times New Roman" w:hAnsi="Arial" w:cs="Arial"/>
                <w:sz w:val="20"/>
                <w:szCs w:val="20"/>
              </w:rPr>
              <w:t>V</w:t>
            </w:r>
            <w:r w:rsidRPr="007843B9">
              <w:rPr>
                <w:rFonts w:ascii="Arial" w:eastAsia="Times New Roman" w:hAnsi="Arial" w:cs="Arial"/>
                <w:sz w:val="20"/>
                <w:szCs w:val="20"/>
              </w:rPr>
              <w:t>aluarlo</w:t>
            </w:r>
            <w:proofErr w:type="spellEnd"/>
            <w:r w:rsidRPr="007843B9">
              <w:rPr>
                <w:rFonts w:ascii="Arial" w:eastAsia="Times New Roman" w:hAnsi="Arial" w:cs="Arial"/>
                <w:sz w:val="20"/>
                <w:szCs w:val="20"/>
              </w:rPr>
              <w:t>, y</w:t>
            </w:r>
          </w:p>
          <w:p w14:paraId="1CF296A3" w14:textId="6CDEEE85" w:rsidR="007843B9" w:rsidRPr="007843B9" w:rsidRDefault="007843B9" w:rsidP="007843B9">
            <w:pPr>
              <w:spacing w:after="0" w:line="240" w:lineRule="auto"/>
              <w:rPr>
                <w:rFonts w:ascii="Arial" w:eastAsia="Times New Roman" w:hAnsi="Arial" w:cs="Arial"/>
                <w:sz w:val="20"/>
                <w:szCs w:val="20"/>
              </w:rPr>
            </w:pPr>
            <w:r w:rsidRPr="007843B9">
              <w:rPr>
                <w:rFonts w:ascii="Arial" w:eastAsia="Times New Roman" w:hAnsi="Arial" w:cs="Arial"/>
                <w:sz w:val="20"/>
                <w:szCs w:val="20"/>
              </w:rPr>
              <w:t xml:space="preserve">c. </w:t>
            </w:r>
            <w:proofErr w:type="spellStart"/>
            <w:r w:rsidR="009F6D30">
              <w:rPr>
                <w:rFonts w:ascii="Arial" w:eastAsia="Times New Roman" w:hAnsi="Arial" w:cs="Arial"/>
                <w:sz w:val="20"/>
                <w:szCs w:val="20"/>
              </w:rPr>
              <w:t>C</w:t>
            </w:r>
            <w:r w:rsidRPr="007843B9">
              <w:rPr>
                <w:rFonts w:ascii="Arial" w:eastAsia="Times New Roman" w:hAnsi="Arial" w:cs="Arial"/>
                <w:sz w:val="20"/>
                <w:szCs w:val="20"/>
              </w:rPr>
              <w:t>onabilizarlo</w:t>
            </w:r>
            <w:proofErr w:type="spellEnd"/>
            <w:r w:rsidRPr="007843B9">
              <w:rPr>
                <w:rFonts w:ascii="Arial" w:eastAsia="Times New Roman" w:hAnsi="Arial" w:cs="Arial"/>
                <w:sz w:val="20"/>
                <w:szCs w:val="20"/>
              </w:rPr>
              <w:t xml:space="preserve"> en el sistema contable para actualizar el auxiliar contable.</w:t>
            </w:r>
          </w:p>
        </w:tc>
        <w:tc>
          <w:tcPr>
            <w:tcW w:w="1417" w:type="dxa"/>
            <w:tcBorders>
              <w:top w:val="nil"/>
              <w:left w:val="nil"/>
              <w:bottom w:val="single" w:sz="4" w:space="0" w:color="auto"/>
              <w:right w:val="single" w:sz="8" w:space="0" w:color="auto"/>
            </w:tcBorders>
            <w:shd w:val="clear" w:color="000000" w:fill="FFFFFF"/>
            <w:noWrap/>
            <w:hideMark/>
          </w:tcPr>
          <w:p w14:paraId="21899DCB" w14:textId="09FE0834" w:rsidR="007843B9" w:rsidRPr="007843B9" w:rsidRDefault="009F6D30" w:rsidP="007843B9">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30</w:t>
            </w:r>
            <w:r w:rsidRPr="007843B9">
              <w:rPr>
                <w:rFonts w:ascii="Arial" w:eastAsia="Times New Roman" w:hAnsi="Arial" w:cs="Arial"/>
                <w:color w:val="000000"/>
                <w:sz w:val="20"/>
                <w:szCs w:val="20"/>
                <w:lang w:val="en-US"/>
              </w:rPr>
              <w:t>/09/25</w:t>
            </w:r>
          </w:p>
        </w:tc>
      </w:tr>
      <w:tr w:rsidR="007843B9" w:rsidRPr="00C82A94" w14:paraId="579DFBC6" w14:textId="77777777" w:rsidTr="00796636">
        <w:trPr>
          <w:trHeight w:val="500"/>
        </w:trPr>
        <w:tc>
          <w:tcPr>
            <w:tcW w:w="7503" w:type="dxa"/>
            <w:tcBorders>
              <w:top w:val="nil"/>
              <w:left w:val="single" w:sz="8" w:space="0" w:color="auto"/>
              <w:bottom w:val="single" w:sz="4" w:space="0" w:color="auto"/>
              <w:right w:val="single" w:sz="4" w:space="0" w:color="auto"/>
            </w:tcBorders>
            <w:shd w:val="clear" w:color="000000" w:fill="FFFFFF"/>
            <w:hideMark/>
          </w:tcPr>
          <w:p w14:paraId="74CCDC28" w14:textId="77777777" w:rsidR="007843B9" w:rsidRPr="007843B9" w:rsidRDefault="007843B9" w:rsidP="007843B9">
            <w:pPr>
              <w:spacing w:after="0" w:line="240" w:lineRule="auto"/>
              <w:rPr>
                <w:rFonts w:ascii="Arial" w:eastAsia="Times New Roman" w:hAnsi="Arial" w:cs="Arial"/>
                <w:sz w:val="20"/>
                <w:szCs w:val="20"/>
              </w:rPr>
            </w:pPr>
            <w:r w:rsidRPr="007843B9">
              <w:rPr>
                <w:rFonts w:ascii="Arial" w:eastAsia="Times New Roman" w:hAnsi="Arial" w:cs="Arial"/>
                <w:sz w:val="20"/>
                <w:szCs w:val="20"/>
              </w:rPr>
              <w:t>Realizar el cálculo y reconocimiento de la depreciación de los elementos de propiedad, planta y equipo.</w:t>
            </w:r>
          </w:p>
        </w:tc>
        <w:tc>
          <w:tcPr>
            <w:tcW w:w="1417" w:type="dxa"/>
            <w:tcBorders>
              <w:top w:val="nil"/>
              <w:left w:val="nil"/>
              <w:bottom w:val="single" w:sz="4" w:space="0" w:color="auto"/>
              <w:right w:val="single" w:sz="8" w:space="0" w:color="auto"/>
            </w:tcBorders>
            <w:shd w:val="clear" w:color="000000" w:fill="FFFFFF"/>
            <w:noWrap/>
            <w:hideMark/>
          </w:tcPr>
          <w:p w14:paraId="7226DA9F" w14:textId="5B857FD3" w:rsidR="007843B9" w:rsidRPr="007843B9" w:rsidRDefault="009F6D30" w:rsidP="007843B9">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30</w:t>
            </w:r>
            <w:r w:rsidRPr="007843B9">
              <w:rPr>
                <w:rFonts w:ascii="Arial" w:eastAsia="Times New Roman" w:hAnsi="Arial" w:cs="Arial"/>
                <w:color w:val="000000"/>
                <w:sz w:val="20"/>
                <w:szCs w:val="20"/>
                <w:lang w:val="en-US"/>
              </w:rPr>
              <w:t>/09/25</w:t>
            </w:r>
          </w:p>
        </w:tc>
      </w:tr>
      <w:tr w:rsidR="007843B9" w:rsidRPr="00C82A94" w14:paraId="2D3D1FBE" w14:textId="77777777" w:rsidTr="00796636">
        <w:trPr>
          <w:trHeight w:val="500"/>
        </w:trPr>
        <w:tc>
          <w:tcPr>
            <w:tcW w:w="7503" w:type="dxa"/>
            <w:tcBorders>
              <w:top w:val="nil"/>
              <w:left w:val="single" w:sz="8" w:space="0" w:color="auto"/>
              <w:bottom w:val="single" w:sz="4" w:space="0" w:color="auto"/>
              <w:right w:val="single" w:sz="4" w:space="0" w:color="auto"/>
            </w:tcBorders>
            <w:shd w:val="clear" w:color="000000" w:fill="FFFFFF"/>
            <w:hideMark/>
          </w:tcPr>
          <w:p w14:paraId="62D0B810" w14:textId="77777777" w:rsidR="007843B9" w:rsidRPr="007843B9" w:rsidRDefault="007843B9" w:rsidP="007843B9">
            <w:pPr>
              <w:spacing w:after="0" w:line="240" w:lineRule="auto"/>
              <w:rPr>
                <w:rFonts w:ascii="Arial" w:eastAsia="Times New Roman" w:hAnsi="Arial" w:cs="Arial"/>
                <w:sz w:val="20"/>
                <w:szCs w:val="20"/>
              </w:rPr>
            </w:pPr>
            <w:r w:rsidRPr="007843B9">
              <w:rPr>
                <w:rFonts w:ascii="Arial" w:eastAsia="Times New Roman" w:hAnsi="Arial" w:cs="Arial"/>
                <w:sz w:val="20"/>
                <w:szCs w:val="20"/>
              </w:rPr>
              <w:t>Realizar las revelaciones correspondientes sobre los activos de Propiedad, Planta y Equipo, según lo establecido por la norma.</w:t>
            </w:r>
          </w:p>
        </w:tc>
        <w:tc>
          <w:tcPr>
            <w:tcW w:w="1417" w:type="dxa"/>
            <w:tcBorders>
              <w:top w:val="nil"/>
              <w:left w:val="nil"/>
              <w:bottom w:val="single" w:sz="4" w:space="0" w:color="auto"/>
              <w:right w:val="single" w:sz="8" w:space="0" w:color="auto"/>
            </w:tcBorders>
            <w:shd w:val="clear" w:color="000000" w:fill="FFFFFF"/>
            <w:noWrap/>
            <w:hideMark/>
          </w:tcPr>
          <w:p w14:paraId="7C32358B" w14:textId="42D59DFA" w:rsidR="007843B9" w:rsidRPr="007843B9" w:rsidRDefault="009F6D30" w:rsidP="007843B9">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30</w:t>
            </w:r>
            <w:r w:rsidRPr="007843B9">
              <w:rPr>
                <w:rFonts w:ascii="Arial" w:eastAsia="Times New Roman" w:hAnsi="Arial" w:cs="Arial"/>
                <w:color w:val="000000"/>
                <w:sz w:val="20"/>
                <w:szCs w:val="20"/>
                <w:lang w:val="en-US"/>
              </w:rPr>
              <w:t>/09/25</w:t>
            </w:r>
          </w:p>
        </w:tc>
      </w:tr>
      <w:tr w:rsidR="007843B9" w:rsidRPr="003B67AD" w14:paraId="6013E528" w14:textId="77777777" w:rsidTr="00796636">
        <w:trPr>
          <w:trHeight w:val="760"/>
        </w:trPr>
        <w:tc>
          <w:tcPr>
            <w:tcW w:w="7503" w:type="dxa"/>
            <w:tcBorders>
              <w:top w:val="nil"/>
              <w:left w:val="single" w:sz="8" w:space="0" w:color="auto"/>
              <w:bottom w:val="single" w:sz="8" w:space="0" w:color="auto"/>
              <w:right w:val="single" w:sz="4" w:space="0" w:color="auto"/>
            </w:tcBorders>
            <w:shd w:val="clear" w:color="000000" w:fill="FFFFFF"/>
            <w:hideMark/>
          </w:tcPr>
          <w:p w14:paraId="1CF77472" w14:textId="6297DE88" w:rsidR="007843B9" w:rsidRPr="007843B9" w:rsidRDefault="007843B9" w:rsidP="007843B9">
            <w:pPr>
              <w:spacing w:after="0" w:line="240" w:lineRule="auto"/>
              <w:rPr>
                <w:rFonts w:ascii="Arial" w:eastAsia="Times New Roman" w:hAnsi="Arial" w:cs="Arial"/>
                <w:sz w:val="20"/>
                <w:szCs w:val="20"/>
              </w:rPr>
            </w:pPr>
            <w:r w:rsidRPr="007843B9">
              <w:rPr>
                <w:rFonts w:ascii="Arial" w:eastAsia="Times New Roman" w:hAnsi="Arial" w:cs="Arial"/>
                <w:sz w:val="20"/>
                <w:szCs w:val="20"/>
              </w:rPr>
              <w:t>Establecerse el procedimiento particular para la administración de activo de Propiedad, Planta y equipo, así como definir el responsable de informar a la Contabilidad sobre el avance obras en proceso y de cierre de proyectos para su registro como elementos de</w:t>
            </w:r>
            <w:r w:rsidR="000D14F7">
              <w:rPr>
                <w:rFonts w:ascii="Arial" w:eastAsia="Times New Roman" w:hAnsi="Arial" w:cs="Arial"/>
                <w:sz w:val="20"/>
                <w:szCs w:val="20"/>
              </w:rPr>
              <w:t>l</w:t>
            </w:r>
            <w:r w:rsidRPr="007843B9">
              <w:rPr>
                <w:rFonts w:ascii="Arial" w:eastAsia="Times New Roman" w:hAnsi="Arial" w:cs="Arial"/>
                <w:sz w:val="20"/>
                <w:szCs w:val="20"/>
              </w:rPr>
              <w:t xml:space="preserve"> PP</w:t>
            </w:r>
            <w:r w:rsidR="000D14F7">
              <w:rPr>
                <w:rFonts w:ascii="Arial" w:eastAsia="Times New Roman" w:hAnsi="Arial" w:cs="Arial"/>
                <w:sz w:val="20"/>
                <w:szCs w:val="20"/>
              </w:rPr>
              <w:t xml:space="preserve"> </w:t>
            </w:r>
            <w:r w:rsidRPr="007843B9">
              <w:rPr>
                <w:rFonts w:ascii="Arial" w:eastAsia="Times New Roman" w:hAnsi="Arial" w:cs="Arial"/>
                <w:sz w:val="20"/>
                <w:szCs w:val="20"/>
              </w:rPr>
              <w:t>y</w:t>
            </w:r>
            <w:r w:rsidR="000D14F7">
              <w:rPr>
                <w:rFonts w:ascii="Arial" w:eastAsia="Times New Roman" w:hAnsi="Arial" w:cs="Arial"/>
                <w:sz w:val="20"/>
                <w:szCs w:val="20"/>
              </w:rPr>
              <w:t xml:space="preserve"> </w:t>
            </w:r>
            <w:r w:rsidRPr="007843B9">
              <w:rPr>
                <w:rFonts w:ascii="Arial" w:eastAsia="Times New Roman" w:hAnsi="Arial" w:cs="Arial"/>
                <w:sz w:val="20"/>
                <w:szCs w:val="20"/>
              </w:rPr>
              <w:t>E.</w:t>
            </w:r>
          </w:p>
        </w:tc>
        <w:tc>
          <w:tcPr>
            <w:tcW w:w="1417" w:type="dxa"/>
            <w:tcBorders>
              <w:top w:val="nil"/>
              <w:left w:val="nil"/>
              <w:bottom w:val="single" w:sz="8" w:space="0" w:color="auto"/>
              <w:right w:val="single" w:sz="8" w:space="0" w:color="auto"/>
            </w:tcBorders>
            <w:shd w:val="clear" w:color="000000" w:fill="FFFFFF"/>
            <w:noWrap/>
            <w:hideMark/>
          </w:tcPr>
          <w:p w14:paraId="5C3B0AA3" w14:textId="442E0E3E" w:rsidR="007843B9" w:rsidRPr="007843B9" w:rsidRDefault="009F6D30" w:rsidP="007843B9">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30</w:t>
            </w:r>
            <w:r w:rsidRPr="007843B9">
              <w:rPr>
                <w:rFonts w:ascii="Arial" w:eastAsia="Times New Roman" w:hAnsi="Arial" w:cs="Arial"/>
                <w:color w:val="000000"/>
                <w:sz w:val="20"/>
                <w:szCs w:val="20"/>
                <w:lang w:val="en-US"/>
              </w:rPr>
              <w:t>/09/25</w:t>
            </w:r>
          </w:p>
        </w:tc>
      </w:tr>
    </w:tbl>
    <w:p w14:paraId="3A8ABF6E" w14:textId="2948BF6F" w:rsidR="00FE4F6C" w:rsidRDefault="00FE4F6C" w:rsidP="001C7FD6">
      <w:pPr>
        <w:pStyle w:val="Ttulo2"/>
        <w:spacing w:after="240"/>
        <w:rPr>
          <w:rFonts w:eastAsia="Times New Roman"/>
          <w:lang w:eastAsia="es-CR"/>
        </w:rPr>
      </w:pPr>
      <w:bookmarkStart w:id="73" w:name="_Toc33601178"/>
      <w:bookmarkStart w:id="74" w:name="_Toc54961683"/>
      <w:bookmarkStart w:id="75" w:name="_Toc82768879"/>
    </w:p>
    <w:p w14:paraId="66E4C3BD" w14:textId="3F110A0C" w:rsidR="00EF1198" w:rsidRDefault="006777D1" w:rsidP="00EF1198">
      <w:pPr>
        <w:rPr>
          <w:lang w:eastAsia="es-CR"/>
        </w:rPr>
      </w:pPr>
      <w:r>
        <w:rPr>
          <w:lang w:eastAsia="es-CR"/>
        </w:rPr>
        <w:t>Se hizo extensión a la fecha prevista esto debido a las cargas de trabajo en la institución, por tanto, no se pudo completar las actividades requeridas a la Norma 17, para esta norma s</w:t>
      </w:r>
      <w:r w:rsidR="00EF1198">
        <w:rPr>
          <w:lang w:eastAsia="es-CR"/>
        </w:rPr>
        <w:t xml:space="preserve">e necesita depurar el inventario, y se está en proceso de actualización del inventario de la red vial cantonal y establecimiento del proceso </w:t>
      </w:r>
      <w:r w:rsidR="00C14832">
        <w:rPr>
          <w:lang w:eastAsia="es-CR"/>
        </w:rPr>
        <w:t xml:space="preserve">de depreciación </w:t>
      </w:r>
      <w:r w:rsidR="00EF1198">
        <w:rPr>
          <w:lang w:eastAsia="es-CR"/>
        </w:rPr>
        <w:t>de la red vial cantonal</w:t>
      </w:r>
      <w:r w:rsidR="00C14832">
        <w:rPr>
          <w:lang w:eastAsia="es-CR"/>
        </w:rPr>
        <w:t>.</w:t>
      </w:r>
    </w:p>
    <w:p w14:paraId="654178E7" w14:textId="77777777" w:rsidR="00C14832" w:rsidRPr="00EF1198" w:rsidRDefault="00C14832" w:rsidP="00EF1198">
      <w:pPr>
        <w:rPr>
          <w:lang w:eastAsia="es-CR"/>
        </w:rPr>
      </w:pPr>
    </w:p>
    <w:p w14:paraId="64FC6E01" w14:textId="2972F76C" w:rsidR="001C7FD6" w:rsidRPr="001C7FD6" w:rsidRDefault="00295C0B" w:rsidP="001C7FD6">
      <w:pPr>
        <w:pStyle w:val="Ttulo2"/>
        <w:spacing w:after="240"/>
        <w:rPr>
          <w:rFonts w:eastAsia="Times New Roman"/>
          <w:lang w:eastAsia="es-CR"/>
        </w:rPr>
      </w:pPr>
      <w:bookmarkStart w:id="76" w:name="_Toc189804797"/>
      <w:r w:rsidRPr="00295C0B">
        <w:rPr>
          <w:rFonts w:eastAsia="Times New Roman"/>
          <w:lang w:eastAsia="es-CR"/>
        </w:rPr>
        <w:t>NICSP 18- INFORMACIÓN FINANCIERA POR SEGMENTOS:</w:t>
      </w:r>
      <w:bookmarkEnd w:id="73"/>
      <w:bookmarkEnd w:id="74"/>
      <w:bookmarkEnd w:id="75"/>
      <w:bookmarkEnd w:id="76"/>
      <w:r w:rsidRPr="00295C0B">
        <w:rPr>
          <w:rFonts w:eastAsia="Times New Roman"/>
          <w:lang w:eastAsia="es-CR"/>
        </w:rPr>
        <w:t xml:space="preserve"> </w:t>
      </w:r>
    </w:p>
    <w:p w14:paraId="498312BE" w14:textId="77777777" w:rsidR="00396CB4" w:rsidRDefault="00295C0B" w:rsidP="00295C0B">
      <w:pPr>
        <w:rPr>
          <w:rFonts w:asciiTheme="minorHAnsi" w:hAnsiTheme="minorHAnsi"/>
          <w:sz w:val="22"/>
        </w:rPr>
      </w:pPr>
      <w:r w:rsidRPr="00405DBC">
        <w:t xml:space="preserve">De acuerdo con la </w:t>
      </w:r>
      <w:r w:rsidRPr="00295C0B">
        <w:rPr>
          <w:rFonts w:eastAsia="Times New Roman"/>
          <w:lang w:val="es-MX" w:eastAsia="es-CR"/>
        </w:rPr>
        <w:t>NICSP 18- Información Financiera por Segmentos</w:t>
      </w:r>
      <w:r>
        <w:t xml:space="preserve">, </w:t>
      </w:r>
      <w:r w:rsidRPr="00405DBC">
        <w:t>Indicar si este rubro afecta SI o NO a la institución, además del porcentaje de avance</w:t>
      </w:r>
      <w:r>
        <w:t xml:space="preserve"> en la implementación</w:t>
      </w:r>
      <w:r w:rsidRPr="00405DBC">
        <w:t xml:space="preserve"> que presenta</w:t>
      </w:r>
      <w:r>
        <w:rPr>
          <w:b/>
        </w:rPr>
        <w:t>.</w:t>
      </w:r>
      <w:r w:rsidR="00F56027">
        <w:fldChar w:fldCharType="begin"/>
      </w:r>
      <w:r w:rsidR="00F56027">
        <w:instrText xml:space="preserve"> LINK </w:instrText>
      </w:r>
      <w:r w:rsidR="00756467">
        <w:instrText xml:space="preserve">Excel.SheetMacroEnabled.12 "C:\\Users\\gcordero\\Downloads\\Notas diciembre 2024\\Formato_Notas_EEFF_Vinculadas_2024\\Formato_Notas_EEFF_Vinculadas_2024\\15603_T04_2024_Anexo_Estado_Notas_Contables_Vinculadas.xlsm" NICSP_18!F9C3:F10C4 </w:instrText>
      </w:r>
      <w:r w:rsidR="00F56027">
        <w:instrText xml:space="preserve">\a \f 4 \h </w:instrText>
      </w:r>
      <w:r w:rsidR="00F56027">
        <w:fldChar w:fldCharType="separate"/>
      </w:r>
    </w:p>
    <w:tbl>
      <w:tblPr>
        <w:tblW w:w="3640" w:type="dxa"/>
        <w:tblCellMar>
          <w:left w:w="70" w:type="dxa"/>
          <w:right w:w="70" w:type="dxa"/>
        </w:tblCellMar>
        <w:tblLook w:val="04A0" w:firstRow="1" w:lastRow="0" w:firstColumn="1" w:lastColumn="0" w:noHBand="0" w:noVBand="1"/>
      </w:tblPr>
      <w:tblGrid>
        <w:gridCol w:w="2280"/>
        <w:gridCol w:w="1360"/>
      </w:tblGrid>
      <w:tr w:rsidR="00396CB4" w:rsidRPr="00396CB4" w14:paraId="3E3C4B00" w14:textId="77777777" w:rsidTr="00396CB4">
        <w:trPr>
          <w:divId w:val="840630482"/>
          <w:trHeight w:val="345"/>
        </w:trPr>
        <w:tc>
          <w:tcPr>
            <w:tcW w:w="228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73D40299" w14:textId="18532A1B" w:rsidR="00396CB4" w:rsidRPr="00396CB4" w:rsidRDefault="00396CB4" w:rsidP="00396CB4">
            <w:pPr>
              <w:rPr>
                <w:rFonts w:eastAsia="Times New Roman" w:cs="Calibri"/>
                <w:color w:val="FFFFFF"/>
                <w:szCs w:val="24"/>
                <w:lang w:eastAsia="es-CR"/>
              </w:rPr>
            </w:pPr>
            <w:r w:rsidRPr="00396CB4">
              <w:rPr>
                <w:rFonts w:eastAsia="Times New Roman" w:cs="Calibri"/>
                <w:color w:val="FFFFFF"/>
                <w:szCs w:val="24"/>
                <w:lang w:eastAsia="es-CR"/>
              </w:rPr>
              <w:lastRenderedPageBreak/>
              <w:t>Aplica</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74931B" w14:textId="77777777" w:rsidR="00396CB4" w:rsidRPr="00396CB4" w:rsidRDefault="00396CB4" w:rsidP="00396CB4">
            <w:pPr>
              <w:spacing w:after="0" w:line="240" w:lineRule="auto"/>
              <w:jc w:val="center"/>
              <w:rPr>
                <w:rFonts w:eastAsia="Times New Roman" w:cs="Calibri"/>
                <w:color w:val="000000"/>
                <w:sz w:val="22"/>
                <w:lang w:eastAsia="es-CR"/>
              </w:rPr>
            </w:pPr>
            <w:r w:rsidRPr="00396CB4">
              <w:rPr>
                <w:rFonts w:eastAsia="Times New Roman" w:cs="Calibri"/>
                <w:color w:val="000000"/>
                <w:sz w:val="22"/>
                <w:lang w:eastAsia="es-CR"/>
              </w:rPr>
              <w:t>No</w:t>
            </w:r>
          </w:p>
        </w:tc>
      </w:tr>
      <w:tr w:rsidR="00396CB4" w:rsidRPr="00396CB4" w14:paraId="557F8661" w14:textId="77777777" w:rsidTr="00396CB4">
        <w:trPr>
          <w:divId w:val="840630482"/>
          <w:trHeight w:val="345"/>
        </w:trPr>
        <w:tc>
          <w:tcPr>
            <w:tcW w:w="2280" w:type="dxa"/>
            <w:tcBorders>
              <w:top w:val="nil"/>
              <w:left w:val="single" w:sz="8" w:space="0" w:color="auto"/>
              <w:bottom w:val="single" w:sz="8" w:space="0" w:color="auto"/>
              <w:right w:val="single" w:sz="8" w:space="0" w:color="auto"/>
            </w:tcBorders>
            <w:shd w:val="clear" w:color="000000" w:fill="17365D"/>
            <w:vAlign w:val="center"/>
            <w:hideMark/>
          </w:tcPr>
          <w:p w14:paraId="2A1610D3" w14:textId="77777777" w:rsidR="00396CB4" w:rsidRPr="00396CB4" w:rsidRDefault="00396CB4" w:rsidP="00396CB4">
            <w:pPr>
              <w:spacing w:after="0" w:line="240" w:lineRule="auto"/>
              <w:jc w:val="left"/>
              <w:rPr>
                <w:rFonts w:eastAsia="Times New Roman" w:cs="Calibri"/>
                <w:color w:val="FFFFFF"/>
                <w:szCs w:val="24"/>
                <w:lang w:eastAsia="es-CR"/>
              </w:rPr>
            </w:pPr>
            <w:proofErr w:type="spellStart"/>
            <w:r w:rsidRPr="00396CB4">
              <w:rPr>
                <w:rFonts w:eastAsia="Times New Roman" w:cs="Calibri"/>
                <w:color w:val="FFFFFF"/>
                <w:szCs w:val="24"/>
                <w:lang w:eastAsia="es-CR"/>
              </w:rPr>
              <w:t>Porcentaje_Avance</w:t>
            </w:r>
            <w:proofErr w:type="spellEnd"/>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2B902F9E" w14:textId="77777777" w:rsidR="00396CB4" w:rsidRPr="00396CB4" w:rsidRDefault="00396CB4" w:rsidP="00396CB4">
            <w:pPr>
              <w:spacing w:after="0" w:line="240" w:lineRule="auto"/>
              <w:jc w:val="center"/>
              <w:rPr>
                <w:rFonts w:eastAsia="Times New Roman" w:cs="Calibri"/>
                <w:color w:val="000000"/>
                <w:sz w:val="22"/>
                <w:lang w:eastAsia="es-CR"/>
              </w:rPr>
            </w:pPr>
            <w:r w:rsidRPr="00396CB4">
              <w:rPr>
                <w:rFonts w:eastAsia="Times New Roman" w:cs="Calibri"/>
                <w:color w:val="000000"/>
                <w:sz w:val="22"/>
                <w:lang w:eastAsia="es-CR"/>
              </w:rPr>
              <w:t> </w:t>
            </w:r>
          </w:p>
        </w:tc>
      </w:tr>
    </w:tbl>
    <w:p w14:paraId="4C5C3936" w14:textId="1B6FC379" w:rsidR="00295C0B" w:rsidRDefault="00F56027" w:rsidP="00295C0B">
      <w:r>
        <w:fldChar w:fldCharType="end"/>
      </w:r>
    </w:p>
    <w:p w14:paraId="72264AFA" w14:textId="480CE1F1" w:rsidR="00C94496" w:rsidRDefault="00295C0B" w:rsidP="00295C0B">
      <w:pPr>
        <w:jc w:val="center"/>
      </w:pPr>
      <w:r w:rsidRPr="0003248F">
        <w:rPr>
          <w:noProof/>
          <w:lang w:eastAsia="es-CR"/>
        </w:rPr>
        <w:drawing>
          <wp:inline distT="0" distB="0" distL="0" distR="0" wp14:anchorId="48C6B35F" wp14:editId="09DC1616">
            <wp:extent cx="4602480" cy="1584960"/>
            <wp:effectExtent l="0" t="0" r="0" b="0"/>
            <wp:docPr id="5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02480" cy="1584960"/>
                    </a:xfrm>
                    <a:prstGeom prst="rect">
                      <a:avLst/>
                    </a:prstGeom>
                    <a:noFill/>
                    <a:ln>
                      <a:noFill/>
                    </a:ln>
                  </pic:spPr>
                </pic:pic>
              </a:graphicData>
            </a:graphic>
          </wp:inline>
        </w:drawing>
      </w:r>
    </w:p>
    <w:p w14:paraId="19754494" w14:textId="2EE00866" w:rsidR="00295C0B" w:rsidRPr="00295C0B" w:rsidRDefault="00295C0B" w:rsidP="00295C0B">
      <w:pPr>
        <w:rPr>
          <w:lang w:val="es-MX"/>
        </w:rPr>
      </w:pPr>
      <w:r w:rsidRPr="00295C0B">
        <w:rPr>
          <w:lang w:val="es-MX"/>
        </w:rPr>
        <w:t>Se define al segmento como una actividad o grupo de actividades de la entidad, que son identificables y para las cuales es apropiado presentar información financiera separada con el fin de:</w:t>
      </w:r>
    </w:p>
    <w:p w14:paraId="243F4087" w14:textId="318A18F8" w:rsidR="001D0A81" w:rsidRPr="004B38F9" w:rsidRDefault="00295C0B">
      <w:pPr>
        <w:pStyle w:val="Prrafodelista"/>
        <w:numPr>
          <w:ilvl w:val="0"/>
          <w:numId w:val="4"/>
        </w:numPr>
        <w:rPr>
          <w:lang w:val="es-MX"/>
        </w:rPr>
      </w:pPr>
      <w:r w:rsidRPr="00295C0B">
        <w:rPr>
          <w:lang w:val="es-MX"/>
        </w:rPr>
        <w:t>evaluar el rendimiento pasado de la entidad en la consecución de sus objetivos; y</w:t>
      </w:r>
      <w:r w:rsidR="004B38F9">
        <w:rPr>
          <w:lang w:val="es-MX"/>
        </w:rPr>
        <w:t xml:space="preserve"> </w:t>
      </w:r>
      <w:r w:rsidRPr="004B38F9">
        <w:rPr>
          <w:lang w:val="es-MX"/>
        </w:rPr>
        <w:t>tomar decisiones respecto de la futura asignación de recursos.</w:t>
      </w:r>
    </w:p>
    <w:p w14:paraId="65E0FF37" w14:textId="77777777" w:rsidR="00396CB4" w:rsidRDefault="00F56027" w:rsidP="004B38F9">
      <w:pPr>
        <w:spacing w:line="240" w:lineRule="auto"/>
        <w:rPr>
          <w:rFonts w:asciiTheme="minorHAnsi" w:hAnsiTheme="minorHAnsi"/>
          <w:sz w:val="22"/>
        </w:rPr>
      </w:pPr>
      <w:r>
        <w:rPr>
          <w:lang w:val="es-MX"/>
        </w:rPr>
        <w:fldChar w:fldCharType="begin"/>
      </w:r>
      <w:r w:rsidRPr="00F56027">
        <w:rPr>
          <w:lang w:val="es-MX"/>
        </w:rPr>
        <w:instrText xml:space="preserve"> LINK </w:instrText>
      </w:r>
      <w:r w:rsidR="00756467">
        <w:rPr>
          <w:lang w:val="es-MX"/>
        </w:rPr>
        <w:instrText xml:space="preserve">Excel.SheetMacroEnabled.12 "C:\\Users\\gcordero\\Downloads\\Notas diciembre 2024\\Formato_Notas_EEFF_Vinculadas_2024\\Formato_Notas_EEFF_Vinculadas_2024\\15603_T04_2024_Anexo_Estado_Notas_Contables_Vinculadas.xlsm" NICSP_18!F9C6:F14C7 </w:instrText>
      </w:r>
      <w:r w:rsidRPr="00F56027">
        <w:rPr>
          <w:lang w:val="es-MX"/>
        </w:rPr>
        <w:instrText xml:space="preserve">\a \f 4 \h </w:instrText>
      </w:r>
      <w:r>
        <w:rPr>
          <w:lang w:val="es-MX"/>
        </w:rPr>
        <w:fldChar w:fldCharType="separate"/>
      </w:r>
    </w:p>
    <w:tbl>
      <w:tblPr>
        <w:tblW w:w="6800" w:type="dxa"/>
        <w:tblCellMar>
          <w:left w:w="70" w:type="dxa"/>
          <w:right w:w="70" w:type="dxa"/>
        </w:tblCellMar>
        <w:tblLook w:val="04A0" w:firstRow="1" w:lastRow="0" w:firstColumn="1" w:lastColumn="0" w:noHBand="0" w:noVBand="1"/>
      </w:tblPr>
      <w:tblGrid>
        <w:gridCol w:w="2340"/>
        <w:gridCol w:w="4460"/>
      </w:tblGrid>
      <w:tr w:rsidR="00396CB4" w:rsidRPr="00396CB4" w14:paraId="52ABEAA1" w14:textId="77777777" w:rsidTr="00396CB4">
        <w:trPr>
          <w:divId w:val="1144084415"/>
          <w:trHeight w:val="345"/>
        </w:trPr>
        <w:tc>
          <w:tcPr>
            <w:tcW w:w="234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52A7746B" w14:textId="5D60CE8E" w:rsidR="00396CB4" w:rsidRPr="00396CB4" w:rsidRDefault="00396CB4" w:rsidP="00396CB4">
            <w:pPr>
              <w:spacing w:after="0" w:line="240" w:lineRule="auto"/>
              <w:jc w:val="center"/>
              <w:rPr>
                <w:rFonts w:eastAsia="Times New Roman" w:cs="Calibri"/>
                <w:color w:val="FFFFFF"/>
                <w:sz w:val="22"/>
                <w:lang w:eastAsia="es-CR"/>
              </w:rPr>
            </w:pPr>
            <w:r w:rsidRPr="00396CB4">
              <w:rPr>
                <w:rFonts w:eastAsia="Times New Roman" w:cs="Calibri"/>
                <w:color w:val="FFFFFF"/>
                <w:sz w:val="22"/>
                <w:lang w:eastAsia="es-CR"/>
              </w:rPr>
              <w:t>Ente contable</w:t>
            </w:r>
          </w:p>
        </w:tc>
        <w:tc>
          <w:tcPr>
            <w:tcW w:w="4460" w:type="dxa"/>
            <w:tcBorders>
              <w:top w:val="single" w:sz="8" w:space="0" w:color="auto"/>
              <w:left w:val="nil"/>
              <w:bottom w:val="single" w:sz="8" w:space="0" w:color="auto"/>
              <w:right w:val="single" w:sz="8" w:space="0" w:color="auto"/>
            </w:tcBorders>
            <w:shd w:val="clear" w:color="000000" w:fill="1F3864"/>
            <w:noWrap/>
            <w:vAlign w:val="center"/>
            <w:hideMark/>
          </w:tcPr>
          <w:p w14:paraId="7D2A1671" w14:textId="77777777" w:rsidR="00396CB4" w:rsidRPr="00396CB4" w:rsidRDefault="00396CB4" w:rsidP="00396CB4">
            <w:pPr>
              <w:spacing w:after="0" w:line="240" w:lineRule="auto"/>
              <w:jc w:val="center"/>
              <w:rPr>
                <w:rFonts w:eastAsia="Times New Roman" w:cs="Calibri"/>
                <w:color w:val="FFFFFF"/>
                <w:sz w:val="22"/>
                <w:lang w:eastAsia="es-CR"/>
              </w:rPr>
            </w:pPr>
            <w:r w:rsidRPr="00396CB4">
              <w:rPr>
                <w:rFonts w:eastAsia="Times New Roman" w:cs="Calibri"/>
                <w:color w:val="FFFFFF"/>
                <w:sz w:val="22"/>
                <w:lang w:eastAsia="es-CR"/>
              </w:rPr>
              <w:t>Código de Segmento asignado</w:t>
            </w:r>
          </w:p>
        </w:tc>
      </w:tr>
      <w:tr w:rsidR="00396CB4" w:rsidRPr="00396CB4" w14:paraId="6A07AEC5" w14:textId="77777777" w:rsidTr="00396CB4">
        <w:trPr>
          <w:divId w:val="1144084415"/>
          <w:trHeight w:val="345"/>
        </w:trPr>
        <w:tc>
          <w:tcPr>
            <w:tcW w:w="2340" w:type="dxa"/>
            <w:tcBorders>
              <w:top w:val="nil"/>
              <w:left w:val="single" w:sz="8" w:space="0" w:color="auto"/>
              <w:bottom w:val="single" w:sz="8" w:space="0" w:color="auto"/>
              <w:right w:val="single" w:sz="8" w:space="0" w:color="auto"/>
            </w:tcBorders>
            <w:shd w:val="clear" w:color="auto" w:fill="auto"/>
            <w:noWrap/>
            <w:vAlign w:val="center"/>
            <w:hideMark/>
          </w:tcPr>
          <w:p w14:paraId="28550CD0"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w:t>
            </w:r>
          </w:p>
        </w:tc>
        <w:tc>
          <w:tcPr>
            <w:tcW w:w="4460" w:type="dxa"/>
            <w:tcBorders>
              <w:top w:val="nil"/>
              <w:left w:val="nil"/>
              <w:bottom w:val="single" w:sz="8" w:space="0" w:color="auto"/>
              <w:right w:val="single" w:sz="8" w:space="0" w:color="auto"/>
            </w:tcBorders>
            <w:shd w:val="clear" w:color="auto" w:fill="auto"/>
            <w:noWrap/>
            <w:vAlign w:val="center"/>
            <w:hideMark/>
          </w:tcPr>
          <w:p w14:paraId="61D957BC"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w:t>
            </w:r>
          </w:p>
        </w:tc>
      </w:tr>
      <w:tr w:rsidR="00396CB4" w:rsidRPr="00396CB4" w14:paraId="2A50BE30" w14:textId="77777777" w:rsidTr="00396CB4">
        <w:trPr>
          <w:divId w:val="1144084415"/>
          <w:trHeight w:val="345"/>
        </w:trPr>
        <w:tc>
          <w:tcPr>
            <w:tcW w:w="2340" w:type="dxa"/>
            <w:tcBorders>
              <w:top w:val="nil"/>
              <w:left w:val="single" w:sz="8" w:space="0" w:color="auto"/>
              <w:bottom w:val="single" w:sz="8" w:space="0" w:color="auto"/>
              <w:right w:val="single" w:sz="8" w:space="0" w:color="auto"/>
            </w:tcBorders>
            <w:shd w:val="clear" w:color="auto" w:fill="auto"/>
            <w:noWrap/>
            <w:vAlign w:val="center"/>
            <w:hideMark/>
          </w:tcPr>
          <w:p w14:paraId="43C8B5D9"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w:t>
            </w:r>
          </w:p>
        </w:tc>
        <w:tc>
          <w:tcPr>
            <w:tcW w:w="4460" w:type="dxa"/>
            <w:tcBorders>
              <w:top w:val="nil"/>
              <w:left w:val="nil"/>
              <w:bottom w:val="single" w:sz="8" w:space="0" w:color="auto"/>
              <w:right w:val="single" w:sz="8" w:space="0" w:color="auto"/>
            </w:tcBorders>
            <w:shd w:val="clear" w:color="auto" w:fill="auto"/>
            <w:noWrap/>
            <w:vAlign w:val="center"/>
            <w:hideMark/>
          </w:tcPr>
          <w:p w14:paraId="05F53075"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w:t>
            </w:r>
          </w:p>
        </w:tc>
      </w:tr>
      <w:tr w:rsidR="00396CB4" w:rsidRPr="00396CB4" w14:paraId="556DD0C6" w14:textId="77777777" w:rsidTr="00396CB4">
        <w:trPr>
          <w:divId w:val="1144084415"/>
          <w:trHeight w:val="345"/>
        </w:trPr>
        <w:tc>
          <w:tcPr>
            <w:tcW w:w="2340" w:type="dxa"/>
            <w:tcBorders>
              <w:top w:val="nil"/>
              <w:left w:val="single" w:sz="8" w:space="0" w:color="auto"/>
              <w:bottom w:val="single" w:sz="8" w:space="0" w:color="auto"/>
              <w:right w:val="single" w:sz="8" w:space="0" w:color="auto"/>
            </w:tcBorders>
            <w:shd w:val="clear" w:color="auto" w:fill="auto"/>
            <w:noWrap/>
            <w:vAlign w:val="center"/>
            <w:hideMark/>
          </w:tcPr>
          <w:p w14:paraId="769D0E6D"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w:t>
            </w:r>
          </w:p>
        </w:tc>
        <w:tc>
          <w:tcPr>
            <w:tcW w:w="4460" w:type="dxa"/>
            <w:tcBorders>
              <w:top w:val="nil"/>
              <w:left w:val="nil"/>
              <w:bottom w:val="single" w:sz="8" w:space="0" w:color="auto"/>
              <w:right w:val="single" w:sz="8" w:space="0" w:color="auto"/>
            </w:tcBorders>
            <w:shd w:val="clear" w:color="auto" w:fill="auto"/>
            <w:noWrap/>
            <w:vAlign w:val="center"/>
            <w:hideMark/>
          </w:tcPr>
          <w:p w14:paraId="023F6762"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w:t>
            </w:r>
          </w:p>
        </w:tc>
      </w:tr>
      <w:tr w:rsidR="00396CB4" w:rsidRPr="00396CB4" w14:paraId="0EFBA197" w14:textId="77777777" w:rsidTr="00396CB4">
        <w:trPr>
          <w:divId w:val="1144084415"/>
          <w:trHeight w:val="345"/>
        </w:trPr>
        <w:tc>
          <w:tcPr>
            <w:tcW w:w="2340" w:type="dxa"/>
            <w:tcBorders>
              <w:top w:val="nil"/>
              <w:left w:val="single" w:sz="8" w:space="0" w:color="auto"/>
              <w:bottom w:val="single" w:sz="8" w:space="0" w:color="auto"/>
              <w:right w:val="single" w:sz="8" w:space="0" w:color="auto"/>
            </w:tcBorders>
            <w:shd w:val="clear" w:color="auto" w:fill="auto"/>
            <w:noWrap/>
            <w:vAlign w:val="center"/>
            <w:hideMark/>
          </w:tcPr>
          <w:p w14:paraId="70EF2248"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w:t>
            </w:r>
          </w:p>
        </w:tc>
        <w:tc>
          <w:tcPr>
            <w:tcW w:w="4460" w:type="dxa"/>
            <w:tcBorders>
              <w:top w:val="nil"/>
              <w:left w:val="nil"/>
              <w:bottom w:val="single" w:sz="8" w:space="0" w:color="auto"/>
              <w:right w:val="single" w:sz="8" w:space="0" w:color="auto"/>
            </w:tcBorders>
            <w:shd w:val="clear" w:color="auto" w:fill="auto"/>
            <w:noWrap/>
            <w:vAlign w:val="center"/>
            <w:hideMark/>
          </w:tcPr>
          <w:p w14:paraId="210319A5"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w:t>
            </w:r>
          </w:p>
        </w:tc>
      </w:tr>
      <w:tr w:rsidR="00396CB4" w:rsidRPr="00396CB4" w14:paraId="7D2DB40A" w14:textId="77777777" w:rsidTr="00396CB4">
        <w:trPr>
          <w:divId w:val="1144084415"/>
          <w:trHeight w:val="345"/>
        </w:trPr>
        <w:tc>
          <w:tcPr>
            <w:tcW w:w="2340" w:type="dxa"/>
            <w:tcBorders>
              <w:top w:val="nil"/>
              <w:left w:val="single" w:sz="8" w:space="0" w:color="auto"/>
              <w:bottom w:val="single" w:sz="8" w:space="0" w:color="auto"/>
              <w:right w:val="single" w:sz="8" w:space="0" w:color="auto"/>
            </w:tcBorders>
            <w:shd w:val="clear" w:color="auto" w:fill="auto"/>
            <w:noWrap/>
            <w:vAlign w:val="center"/>
            <w:hideMark/>
          </w:tcPr>
          <w:p w14:paraId="6672DEBE"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w:t>
            </w:r>
          </w:p>
        </w:tc>
        <w:tc>
          <w:tcPr>
            <w:tcW w:w="4460" w:type="dxa"/>
            <w:tcBorders>
              <w:top w:val="nil"/>
              <w:left w:val="nil"/>
              <w:bottom w:val="single" w:sz="8" w:space="0" w:color="auto"/>
              <w:right w:val="single" w:sz="8" w:space="0" w:color="auto"/>
            </w:tcBorders>
            <w:shd w:val="clear" w:color="auto" w:fill="auto"/>
            <w:noWrap/>
            <w:vAlign w:val="center"/>
            <w:hideMark/>
          </w:tcPr>
          <w:p w14:paraId="5FD80466"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w:t>
            </w:r>
          </w:p>
        </w:tc>
      </w:tr>
    </w:tbl>
    <w:p w14:paraId="23E639D6" w14:textId="77777777" w:rsidR="004B38F9" w:rsidRDefault="00F56027" w:rsidP="004B38F9">
      <w:pPr>
        <w:spacing w:line="240" w:lineRule="auto"/>
        <w:rPr>
          <w:lang w:val="es-MX"/>
        </w:rPr>
      </w:pPr>
      <w:r>
        <w:rPr>
          <w:lang w:val="es-MX"/>
        </w:rPr>
        <w:fldChar w:fldCharType="end"/>
      </w:r>
    </w:p>
    <w:p w14:paraId="59C48E86" w14:textId="28C4E086" w:rsidR="004B38F9" w:rsidRPr="003516A2" w:rsidRDefault="004B38F9" w:rsidP="004B38F9">
      <w:pPr>
        <w:spacing w:line="240" w:lineRule="auto"/>
        <w:rPr>
          <w:b/>
          <w:color w:val="FFFFFF" w:themeColor="background1"/>
          <w:highlight w:val="darkBlue"/>
          <w:u w:val="single"/>
        </w:rPr>
      </w:pPr>
      <w:r w:rsidRPr="004B38F9">
        <w:rPr>
          <w:b/>
          <w:color w:val="FFFFFF" w:themeColor="background1"/>
          <w:highlight w:val="darkBlue"/>
          <w:u w:val="single"/>
        </w:rPr>
        <w:t xml:space="preserve"> </w:t>
      </w:r>
      <w:r w:rsidRPr="003516A2">
        <w:rPr>
          <w:b/>
          <w:color w:val="FFFFFF" w:themeColor="background1"/>
          <w:highlight w:val="darkBlue"/>
          <w:u w:val="single"/>
        </w:rPr>
        <w:t>Reconocimiento:</w:t>
      </w:r>
      <w:r>
        <w:rPr>
          <w:b/>
          <w:color w:val="FFFFFF" w:themeColor="background1"/>
          <w:highlight w:val="darkBlue"/>
          <w:u w:val="single"/>
        </w:rPr>
        <w:t xml:space="preserve"> </w:t>
      </w:r>
      <w:r>
        <w:rPr>
          <w:lang w:val="es-MX"/>
        </w:rPr>
        <w:t>________________________________________________________________________________________________________________________________________________________________</w:t>
      </w:r>
    </w:p>
    <w:p w14:paraId="649C9F44" w14:textId="77777777" w:rsidR="004B38F9" w:rsidRDefault="004B38F9" w:rsidP="004B38F9">
      <w:pPr>
        <w:spacing w:line="240" w:lineRule="auto"/>
        <w:rPr>
          <w:b/>
          <w:u w:val="single"/>
        </w:rPr>
      </w:pPr>
    </w:p>
    <w:p w14:paraId="6796E5D1" w14:textId="77777777" w:rsidR="004B38F9" w:rsidRPr="003516A2" w:rsidRDefault="004B38F9" w:rsidP="004B38F9">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22FB7545" w14:textId="77777777" w:rsidR="004B38F9" w:rsidRPr="002007F6" w:rsidRDefault="004B38F9" w:rsidP="004B38F9">
      <w:pPr>
        <w:rPr>
          <w:lang w:val="es-MX"/>
        </w:rPr>
      </w:pPr>
      <w:r>
        <w:rPr>
          <w:lang w:val="es-MX"/>
        </w:rPr>
        <w:t>________________________________________________________________________________________________________________________________________________________________</w:t>
      </w:r>
    </w:p>
    <w:p w14:paraId="2EC09C60" w14:textId="2B6A1AF8" w:rsidR="00295C0B" w:rsidRPr="00422EDF" w:rsidRDefault="00295C0B" w:rsidP="00422EDF">
      <w:pPr>
        <w:spacing w:before="240"/>
        <w:rPr>
          <w:lang w:val="es-MX"/>
        </w:rPr>
      </w:pPr>
      <w:r w:rsidRPr="004B38F9">
        <w:rPr>
          <w:b/>
          <w:color w:val="FFFFFF" w:themeColor="background1"/>
          <w:highlight w:val="darkBlue"/>
          <w:u w:val="single"/>
        </w:rPr>
        <w:lastRenderedPageBreak/>
        <w:t>Revelación Suficiente:</w:t>
      </w:r>
      <w:r w:rsidRPr="00295C0B">
        <w:rPr>
          <w:b/>
          <w:u w:val="single"/>
          <w:lang w:eastAsia="es-CR"/>
        </w:rPr>
        <w:t xml:space="preserve"> </w:t>
      </w:r>
      <w:r w:rsidR="00482942">
        <w:rPr>
          <w:b/>
          <w:u w:val="single"/>
          <w:lang w:eastAsia="es-CR"/>
        </w:rPr>
        <w:t xml:space="preserve">El ente debe revelar y cumplir </w:t>
      </w:r>
      <w:r w:rsidRPr="00295C0B">
        <w:rPr>
          <w:b/>
          <w:u w:val="single"/>
          <w:lang w:eastAsia="es-CR"/>
        </w:rPr>
        <w:t xml:space="preserve">con lo estipulado en revelación </w:t>
      </w:r>
      <w:r w:rsidR="00482942">
        <w:rPr>
          <w:b/>
          <w:u w:val="single"/>
          <w:lang w:eastAsia="es-CR"/>
        </w:rPr>
        <w:t>conforme</w:t>
      </w:r>
      <w:r w:rsidRPr="00295C0B">
        <w:rPr>
          <w:b/>
          <w:u w:val="single"/>
          <w:lang w:eastAsia="es-CR"/>
        </w:rPr>
        <w:t xml:space="preserve"> a la NICSP, también debe considerar la política general y los párrafos incluidos en la matriz de autoevaluación referente a esta NICSP y guías de aplicación (Ver GA NICSP 18):</w:t>
      </w:r>
    </w:p>
    <w:p w14:paraId="3E2ACFE1" w14:textId="77777777" w:rsidR="007D62A5" w:rsidRPr="00B92CC6" w:rsidRDefault="007D62A5" w:rsidP="007D62A5">
      <w:pPr>
        <w:spacing w:after="0" w:line="240" w:lineRule="auto"/>
        <w:ind w:right="51"/>
        <w:rPr>
          <w:szCs w:val="24"/>
        </w:rPr>
      </w:pPr>
      <w:r w:rsidRPr="00B92CC6">
        <w:rPr>
          <w:szCs w:val="24"/>
        </w:rPr>
        <w:t>La Municipal no se tiene la estructura organizacional para generar la información financiera por segmentos; además el nivel superior no ha establecido la necesidad de generar dicha información.  Como parte de las acciones incluidas en el plan de acción de implementación de las NICSP se tiene programado hacer un análisis para establecer las acciones y requerimientos pertinentes para promover el control financiero administrativo por segmentos.</w:t>
      </w:r>
    </w:p>
    <w:p w14:paraId="1AE4964B" w14:textId="77777777" w:rsidR="007D62A5" w:rsidRDefault="007D62A5" w:rsidP="00A649A4">
      <w:pPr>
        <w:pStyle w:val="Ttulo2"/>
        <w:spacing w:after="240"/>
        <w:rPr>
          <w:rFonts w:eastAsia="Times New Roman"/>
          <w:lang w:eastAsia="es-CR"/>
        </w:rPr>
      </w:pPr>
      <w:bookmarkStart w:id="77" w:name="_Toc54961684"/>
      <w:bookmarkStart w:id="78" w:name="_Toc82768880"/>
    </w:p>
    <w:p w14:paraId="3F3ECDD8" w14:textId="700C173E" w:rsidR="00295C0B" w:rsidRPr="00A649A4" w:rsidRDefault="00295C0B" w:rsidP="00A649A4">
      <w:pPr>
        <w:pStyle w:val="Ttulo2"/>
        <w:spacing w:after="240"/>
        <w:rPr>
          <w:rFonts w:eastAsia="Times New Roman"/>
          <w:lang w:eastAsia="es-CR"/>
        </w:rPr>
      </w:pPr>
      <w:bookmarkStart w:id="79" w:name="_Toc189804798"/>
      <w:r w:rsidRPr="00295C0B">
        <w:rPr>
          <w:rFonts w:eastAsia="Times New Roman"/>
          <w:lang w:eastAsia="es-CR"/>
        </w:rPr>
        <w:t>NICSP 19- PROVISIONES, ACTIVOS Y PASIVOS CONTINGENTES</w:t>
      </w:r>
      <w:bookmarkEnd w:id="77"/>
      <w:bookmarkEnd w:id="78"/>
      <w:r w:rsidRPr="00295C0B">
        <w:rPr>
          <w:rFonts w:eastAsia="Times New Roman"/>
          <w:lang w:eastAsia="es-CR"/>
        </w:rPr>
        <w:t xml:space="preserve"> (DE APLICACIÓN OBLIGATORIA):</w:t>
      </w:r>
      <w:bookmarkEnd w:id="79"/>
      <w:r w:rsidRPr="00295C0B">
        <w:rPr>
          <w:rFonts w:eastAsia="Times New Roman"/>
          <w:lang w:eastAsia="es-CR"/>
        </w:rPr>
        <w:t xml:space="preserve"> </w:t>
      </w:r>
    </w:p>
    <w:p w14:paraId="77670C7F" w14:textId="1596DFA4" w:rsidR="006753AA" w:rsidRDefault="00295C0B" w:rsidP="006753AA">
      <w:pPr>
        <w:rPr>
          <w:b/>
          <w:sz w:val="16"/>
          <w:szCs w:val="16"/>
          <w:lang w:eastAsia="es-CR"/>
        </w:rPr>
      </w:pPr>
      <w:r w:rsidRPr="00FB0858">
        <w:t xml:space="preserve">De acuerdo con la </w:t>
      </w:r>
      <w:r w:rsidRPr="000B404C">
        <w:t xml:space="preserve">De acuerdo con la </w:t>
      </w:r>
      <w:r w:rsidRPr="00295C0B">
        <w:t>NICSP 19- Activos y Pasivos Contingentes</w:t>
      </w:r>
      <w:r>
        <w:t xml:space="preserve">, indicar si este rubro afecta SI o NO a la institución, </w:t>
      </w:r>
      <w:r w:rsidRPr="00405DBC">
        <w:t>además del porcentaje de avance</w:t>
      </w:r>
      <w:r>
        <w:t xml:space="preserve"> en la implementación</w:t>
      </w:r>
      <w:r w:rsidRPr="00405DBC">
        <w:t xml:space="preserve"> que presenta</w:t>
      </w:r>
      <w:r>
        <w:t>.</w:t>
      </w:r>
      <w:r w:rsidR="006753AA">
        <w:rPr>
          <w:b/>
          <w:sz w:val="16"/>
          <w:szCs w:val="16"/>
          <w:lang w:eastAsia="es-CR"/>
        </w:rPr>
        <w:t xml:space="preserve"> </w:t>
      </w:r>
    </w:p>
    <w:p w14:paraId="77F03C6D" w14:textId="0EF3EB1A" w:rsidR="006753AA" w:rsidRDefault="006753AA" w:rsidP="00295C0B">
      <w:pPr>
        <w:rPr>
          <w:b/>
          <w:sz w:val="16"/>
          <w:szCs w:val="16"/>
          <w:lang w:eastAsia="es-CR"/>
        </w:rPr>
      </w:pPr>
    </w:p>
    <w:tbl>
      <w:tblPr>
        <w:tblW w:w="3620" w:type="dxa"/>
        <w:tblCellMar>
          <w:left w:w="70" w:type="dxa"/>
          <w:right w:w="70" w:type="dxa"/>
        </w:tblCellMar>
        <w:tblLook w:val="04A0" w:firstRow="1" w:lastRow="0" w:firstColumn="1" w:lastColumn="0" w:noHBand="0" w:noVBand="1"/>
      </w:tblPr>
      <w:tblGrid>
        <w:gridCol w:w="2140"/>
        <w:gridCol w:w="1480"/>
      </w:tblGrid>
      <w:tr w:rsidR="006753AA" w:rsidRPr="006753AA" w14:paraId="7B43480C" w14:textId="77777777" w:rsidTr="006753AA">
        <w:trPr>
          <w:trHeight w:val="345"/>
        </w:trPr>
        <w:tc>
          <w:tcPr>
            <w:tcW w:w="214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564B1523" w14:textId="77777777" w:rsidR="006753AA" w:rsidRPr="006753AA" w:rsidRDefault="006753AA" w:rsidP="006753AA">
            <w:pPr>
              <w:spacing w:after="0" w:line="240" w:lineRule="auto"/>
              <w:jc w:val="left"/>
              <w:rPr>
                <w:rFonts w:eastAsia="Times New Roman" w:cs="Calibri"/>
                <w:color w:val="FFFFFF"/>
                <w:szCs w:val="24"/>
                <w:lang w:eastAsia="es-CR"/>
              </w:rPr>
            </w:pPr>
            <w:r w:rsidRPr="006753AA">
              <w:rPr>
                <w:rFonts w:eastAsia="Times New Roman" w:cs="Calibri"/>
                <w:color w:val="FFFFFF"/>
                <w:szCs w:val="24"/>
                <w:lang w:eastAsia="es-CR"/>
              </w:rPr>
              <w:t>Aplica</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76BD27" w14:textId="77777777" w:rsidR="006753AA" w:rsidRPr="006753AA" w:rsidRDefault="006753AA" w:rsidP="006753AA">
            <w:pPr>
              <w:spacing w:after="0" w:line="240" w:lineRule="auto"/>
              <w:jc w:val="center"/>
              <w:rPr>
                <w:rFonts w:eastAsia="Times New Roman" w:cs="Calibri"/>
                <w:color w:val="000000"/>
                <w:sz w:val="22"/>
                <w:lang w:eastAsia="es-CR"/>
              </w:rPr>
            </w:pPr>
            <w:r w:rsidRPr="006753AA">
              <w:rPr>
                <w:rFonts w:eastAsia="Times New Roman" w:cs="Calibri"/>
                <w:color w:val="000000"/>
                <w:sz w:val="22"/>
                <w:lang w:eastAsia="es-CR"/>
              </w:rPr>
              <w:t>Si</w:t>
            </w:r>
          </w:p>
        </w:tc>
      </w:tr>
      <w:tr w:rsidR="006753AA" w:rsidRPr="006753AA" w14:paraId="35D52F36" w14:textId="77777777" w:rsidTr="006753AA">
        <w:trPr>
          <w:trHeight w:val="345"/>
        </w:trPr>
        <w:tc>
          <w:tcPr>
            <w:tcW w:w="2140" w:type="dxa"/>
            <w:tcBorders>
              <w:top w:val="nil"/>
              <w:left w:val="single" w:sz="8" w:space="0" w:color="auto"/>
              <w:bottom w:val="single" w:sz="8" w:space="0" w:color="auto"/>
              <w:right w:val="single" w:sz="8" w:space="0" w:color="auto"/>
            </w:tcBorders>
            <w:shd w:val="clear" w:color="000000" w:fill="17365D"/>
            <w:vAlign w:val="center"/>
            <w:hideMark/>
          </w:tcPr>
          <w:p w14:paraId="5F2FEE1E" w14:textId="77777777" w:rsidR="006753AA" w:rsidRPr="006753AA" w:rsidRDefault="006753AA" w:rsidP="006753AA">
            <w:pPr>
              <w:spacing w:after="0" w:line="240" w:lineRule="auto"/>
              <w:jc w:val="left"/>
              <w:rPr>
                <w:rFonts w:eastAsia="Times New Roman" w:cs="Calibri"/>
                <w:color w:val="FFFFFF"/>
                <w:szCs w:val="24"/>
                <w:lang w:eastAsia="es-CR"/>
              </w:rPr>
            </w:pPr>
            <w:proofErr w:type="spellStart"/>
            <w:r w:rsidRPr="006753AA">
              <w:rPr>
                <w:rFonts w:eastAsia="Times New Roman" w:cs="Calibri"/>
                <w:color w:val="FFFFFF"/>
                <w:szCs w:val="24"/>
                <w:lang w:eastAsia="es-CR"/>
              </w:rPr>
              <w:t>Porcentaje_Avance</w:t>
            </w:r>
            <w:proofErr w:type="spellEnd"/>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4CCED52E" w14:textId="77777777" w:rsidR="006753AA" w:rsidRPr="006753AA" w:rsidRDefault="006753AA" w:rsidP="006753AA">
            <w:pPr>
              <w:spacing w:after="0" w:line="240" w:lineRule="auto"/>
              <w:jc w:val="center"/>
              <w:rPr>
                <w:rFonts w:eastAsia="Times New Roman" w:cs="Calibri"/>
                <w:color w:val="000000"/>
                <w:sz w:val="22"/>
                <w:lang w:eastAsia="es-CR"/>
              </w:rPr>
            </w:pPr>
            <w:r w:rsidRPr="006753AA">
              <w:rPr>
                <w:rFonts w:eastAsia="Times New Roman" w:cs="Calibri"/>
                <w:color w:val="000000"/>
                <w:sz w:val="22"/>
                <w:lang w:eastAsia="es-CR"/>
              </w:rPr>
              <w:t>93,85%</w:t>
            </w:r>
          </w:p>
        </w:tc>
      </w:tr>
    </w:tbl>
    <w:p w14:paraId="26549DE6" w14:textId="0F9C3D81" w:rsidR="00295C0B" w:rsidRDefault="001F4B1E" w:rsidP="00295C0B">
      <w:pPr>
        <w:rPr>
          <w:b/>
          <w:sz w:val="16"/>
          <w:szCs w:val="16"/>
          <w:lang w:eastAsia="es-CR"/>
        </w:rPr>
      </w:pPr>
      <w:r>
        <w:rPr>
          <w:b/>
          <w:sz w:val="16"/>
          <w:szCs w:val="16"/>
          <w:lang w:eastAsia="es-CR"/>
        </w:rPr>
        <w:t xml:space="preserve">                                          </w:t>
      </w:r>
      <w:r w:rsidR="00295C0B" w:rsidRPr="00C35565">
        <w:rPr>
          <w:b/>
          <w:sz w:val="16"/>
          <w:szCs w:val="16"/>
          <w:lang w:eastAsia="es-CR"/>
        </w:rPr>
        <w:t>-Aplicación Obligatoria-</w:t>
      </w:r>
    </w:p>
    <w:p w14:paraId="3C30868C" w14:textId="77777777" w:rsidR="001D0A81" w:rsidRPr="00295C0B" w:rsidRDefault="001D0A81" w:rsidP="00295C0B">
      <w:pPr>
        <w:rPr>
          <w:b/>
          <w:sz w:val="16"/>
          <w:szCs w:val="16"/>
          <w:lang w:eastAsia="es-CR"/>
        </w:rPr>
      </w:pPr>
    </w:p>
    <w:p w14:paraId="2A0BA1EF" w14:textId="77777777" w:rsidR="00295C0B" w:rsidRPr="00295C0B" w:rsidRDefault="00295C0B" w:rsidP="00295C0B">
      <w:pPr>
        <w:rPr>
          <w:rFonts w:eastAsia="Times New Roman" w:cs="Times New Roman"/>
          <w:sz w:val="22"/>
          <w:lang w:val="es-ES_tradnl" w:eastAsia="es-CR"/>
        </w:rPr>
      </w:pPr>
      <w:r w:rsidRPr="00295C0B">
        <w:rPr>
          <w:rFonts w:eastAsia="Times New Roman" w:cs="Times New Roman"/>
          <w:sz w:val="22"/>
          <w:lang w:val="es-ES_tradnl" w:eastAsia="es-CR"/>
        </w:rPr>
        <w:t>El responsable contable debe analizar el tratamiento contable:</w:t>
      </w:r>
    </w:p>
    <w:p w14:paraId="5D0B71ED" w14:textId="77777777" w:rsidR="005F2549" w:rsidRDefault="00295C0B" w:rsidP="000B404C">
      <w:pPr>
        <w:rPr>
          <w:rFonts w:eastAsia="Calibri" w:cs="Times New Roman"/>
          <w:sz w:val="22"/>
          <w:lang w:val="es-MX"/>
        </w:rPr>
      </w:pPr>
      <w:r w:rsidRPr="00295C0B">
        <w:rPr>
          <w:rFonts w:eastAsia="Calibri" w:cs="Times New Roman"/>
          <w:sz w:val="22"/>
          <w:lang w:val="es-MX"/>
        </w:rPr>
        <w:t>A continuación, un cuadro resumen, pero el detalle de los cuadros debe ser adjuntados como anexos</w:t>
      </w:r>
    </w:p>
    <w:p w14:paraId="1E6C447D" w14:textId="77777777" w:rsidR="001D0A81" w:rsidRDefault="00C53097" w:rsidP="001F4B1E">
      <w:pPr>
        <w:rPr>
          <w:rFonts w:eastAsia="Calibri" w:cs="Times New Roman"/>
          <w:sz w:val="22"/>
          <w:lang w:val="es-MX"/>
        </w:rPr>
      </w:pPr>
      <w:hyperlink w:anchor="_NICSP_19-_Activos" w:history="1">
        <w:r w:rsidR="00295C0B" w:rsidRPr="005F2549">
          <w:rPr>
            <w:rStyle w:val="Hipervnculo"/>
            <w:rFonts w:eastAsia="Calibri" w:cs="Times New Roman"/>
            <w:sz w:val="22"/>
            <w:lang w:val="es-MX"/>
          </w:rPr>
          <w:t xml:space="preserve"> NICSP 19- Activos Contingentes</w:t>
        </w:r>
      </w:hyperlink>
      <w:r w:rsidR="005F2549">
        <w:rPr>
          <w:rFonts w:eastAsia="Calibri" w:cs="Times New Roman"/>
          <w:sz w:val="22"/>
          <w:lang w:val="es-MX"/>
        </w:rPr>
        <w:t xml:space="preserve">  / </w:t>
      </w:r>
      <w:r w:rsidR="005F2549" w:rsidRPr="005F2549">
        <w:rPr>
          <w:rFonts w:eastAsia="Calibri" w:cs="Times New Roman"/>
          <w:sz w:val="22"/>
          <w:lang w:val="es-MX"/>
        </w:rPr>
        <w:t xml:space="preserve"> </w:t>
      </w:r>
      <w:hyperlink w:anchor="_NICSP_19-_PASIVOS" w:history="1">
        <w:r w:rsidR="005F2549" w:rsidRPr="005F2549">
          <w:rPr>
            <w:rStyle w:val="Hipervnculo"/>
            <w:rFonts w:eastAsia="Calibri" w:cs="Times New Roman"/>
            <w:sz w:val="22"/>
            <w:lang w:val="es-MX"/>
          </w:rPr>
          <w:t>NICSP 19- Pasivos Contingentes</w:t>
        </w:r>
      </w:hyperlink>
      <w:r w:rsidR="005F2549" w:rsidRPr="005F2549">
        <w:rPr>
          <w:rFonts w:eastAsia="Calibri" w:cs="Times New Roman"/>
          <w:sz w:val="22"/>
          <w:lang w:val="es-MX"/>
        </w:rPr>
        <w:t>:</w:t>
      </w:r>
    </w:p>
    <w:p w14:paraId="588239E5" w14:textId="00291E15" w:rsidR="00396CB4" w:rsidRDefault="001F4B1E" w:rsidP="001F4B1E">
      <w:pPr>
        <w:rPr>
          <w:rFonts w:asciiTheme="minorHAnsi" w:hAnsiTheme="minorHAnsi"/>
          <w:sz w:val="22"/>
        </w:rPr>
      </w:pPr>
      <w:r>
        <w:fldChar w:fldCharType="begin"/>
      </w:r>
      <w:r>
        <w:instrText xml:space="preserve"> LINK </w:instrText>
      </w:r>
      <w:r w:rsidR="00756467">
        <w:instrText xml:space="preserve">Excel.SheetMacroEnabled.12 "C:\\Users\\gcordero\\Downloads\\Notas diciembre 2024\\Formato_Notas_EEFF_Vinculadas_2024\\Formato_Notas_EEFF_Vinculadas_2024\\15603_T04_2024_Anexo_Estado_Notas_Contables_Vinculadas.xlsm" NICSP_19_ACTIVO!F13C6:F18C10 </w:instrText>
      </w:r>
      <w:r>
        <w:instrText xml:space="preserve">\a \f 4 \h </w:instrText>
      </w:r>
      <w:r w:rsidR="004803ED">
        <w:instrText xml:space="preserve"> \* MERGEFORMAT </w:instrText>
      </w:r>
      <w:r>
        <w:fldChar w:fldCharType="separate"/>
      </w:r>
    </w:p>
    <w:tbl>
      <w:tblPr>
        <w:tblW w:w="9500" w:type="dxa"/>
        <w:tblCellMar>
          <w:left w:w="70" w:type="dxa"/>
          <w:right w:w="70" w:type="dxa"/>
        </w:tblCellMar>
        <w:tblLook w:val="04A0" w:firstRow="1" w:lastRow="0" w:firstColumn="1" w:lastColumn="0" w:noHBand="0" w:noVBand="1"/>
      </w:tblPr>
      <w:tblGrid>
        <w:gridCol w:w="2436"/>
        <w:gridCol w:w="1919"/>
        <w:gridCol w:w="948"/>
        <w:gridCol w:w="2278"/>
        <w:gridCol w:w="1919"/>
      </w:tblGrid>
      <w:tr w:rsidR="00396CB4" w:rsidRPr="00396CB4" w14:paraId="30F9B225" w14:textId="77777777" w:rsidTr="00396CB4">
        <w:trPr>
          <w:divId w:val="1693843608"/>
          <w:trHeight w:val="645"/>
        </w:trPr>
        <w:tc>
          <w:tcPr>
            <w:tcW w:w="2436" w:type="dxa"/>
            <w:tcBorders>
              <w:top w:val="single" w:sz="8" w:space="0" w:color="auto"/>
              <w:left w:val="single" w:sz="8" w:space="0" w:color="auto"/>
              <w:bottom w:val="single" w:sz="8" w:space="0" w:color="auto"/>
              <w:right w:val="nil"/>
            </w:tcBorders>
            <w:shd w:val="clear" w:color="000000" w:fill="1F3864"/>
            <w:vAlign w:val="center"/>
            <w:hideMark/>
          </w:tcPr>
          <w:p w14:paraId="51A07E03" w14:textId="6E15E1BE" w:rsidR="00396CB4" w:rsidRPr="00396CB4" w:rsidRDefault="00396CB4" w:rsidP="00396CB4">
            <w:pPr>
              <w:spacing w:after="0" w:line="240" w:lineRule="auto"/>
              <w:jc w:val="center"/>
              <w:rPr>
                <w:rFonts w:eastAsia="Times New Roman" w:cs="Calibri"/>
                <w:color w:val="FFFFFF"/>
                <w:szCs w:val="24"/>
                <w:lang w:eastAsia="es-CR"/>
              </w:rPr>
            </w:pPr>
            <w:r w:rsidRPr="00396CB4">
              <w:rPr>
                <w:rFonts w:eastAsia="Times New Roman" w:cs="Calibri"/>
                <w:color w:val="FFFFFF"/>
                <w:szCs w:val="24"/>
                <w:lang w:eastAsia="es-CR"/>
              </w:rPr>
              <w:t>Resumen</w:t>
            </w:r>
            <w:r w:rsidRPr="00396CB4">
              <w:rPr>
                <w:rFonts w:eastAsia="Times New Roman" w:cs="Calibri"/>
                <w:color w:val="FFFFFF"/>
                <w:szCs w:val="24"/>
                <w:lang w:eastAsia="es-CR"/>
              </w:rPr>
              <w:br/>
              <w:t>Montos</w:t>
            </w:r>
          </w:p>
        </w:tc>
        <w:tc>
          <w:tcPr>
            <w:tcW w:w="1919" w:type="dxa"/>
            <w:tcBorders>
              <w:top w:val="single" w:sz="8" w:space="0" w:color="auto"/>
              <w:left w:val="single" w:sz="8" w:space="0" w:color="auto"/>
              <w:bottom w:val="single" w:sz="8" w:space="0" w:color="auto"/>
              <w:right w:val="nil"/>
            </w:tcBorders>
            <w:shd w:val="clear" w:color="000000" w:fill="1F3864"/>
            <w:vAlign w:val="center"/>
            <w:hideMark/>
          </w:tcPr>
          <w:p w14:paraId="150F1ABA" w14:textId="77777777" w:rsidR="00396CB4" w:rsidRPr="00396CB4" w:rsidRDefault="00396CB4" w:rsidP="00396CB4">
            <w:pPr>
              <w:spacing w:after="0" w:line="240" w:lineRule="auto"/>
              <w:jc w:val="center"/>
              <w:rPr>
                <w:rFonts w:eastAsia="Times New Roman" w:cs="Calibri"/>
                <w:color w:val="FFFFFF"/>
                <w:szCs w:val="24"/>
                <w:lang w:eastAsia="es-CR"/>
              </w:rPr>
            </w:pPr>
            <w:r w:rsidRPr="00396CB4">
              <w:rPr>
                <w:rFonts w:eastAsia="Times New Roman" w:cs="Calibri"/>
                <w:color w:val="FFFFFF"/>
                <w:szCs w:val="24"/>
                <w:lang w:eastAsia="es-CR"/>
              </w:rPr>
              <w:t>Activos Contingentes</w:t>
            </w:r>
          </w:p>
        </w:tc>
        <w:tc>
          <w:tcPr>
            <w:tcW w:w="948" w:type="dxa"/>
            <w:tcBorders>
              <w:top w:val="nil"/>
              <w:left w:val="nil"/>
              <w:bottom w:val="nil"/>
              <w:right w:val="nil"/>
            </w:tcBorders>
            <w:shd w:val="clear" w:color="auto" w:fill="auto"/>
            <w:noWrap/>
            <w:vAlign w:val="bottom"/>
            <w:hideMark/>
          </w:tcPr>
          <w:p w14:paraId="7F810425" w14:textId="77777777" w:rsidR="00396CB4" w:rsidRPr="00396CB4" w:rsidRDefault="00396CB4" w:rsidP="00396CB4">
            <w:pPr>
              <w:spacing w:after="0" w:line="240" w:lineRule="auto"/>
              <w:jc w:val="center"/>
              <w:rPr>
                <w:rFonts w:eastAsia="Times New Roman" w:cs="Calibri"/>
                <w:color w:val="FFFFFF"/>
                <w:szCs w:val="24"/>
                <w:lang w:eastAsia="es-CR"/>
              </w:rPr>
            </w:pPr>
          </w:p>
        </w:tc>
        <w:tc>
          <w:tcPr>
            <w:tcW w:w="2278" w:type="dxa"/>
            <w:tcBorders>
              <w:top w:val="single" w:sz="8" w:space="0" w:color="auto"/>
              <w:left w:val="single" w:sz="8" w:space="0" w:color="auto"/>
              <w:bottom w:val="single" w:sz="8" w:space="0" w:color="auto"/>
              <w:right w:val="nil"/>
            </w:tcBorders>
            <w:shd w:val="clear" w:color="000000" w:fill="1F3864"/>
            <w:vAlign w:val="center"/>
            <w:hideMark/>
          </w:tcPr>
          <w:p w14:paraId="1388F096" w14:textId="77777777" w:rsidR="00396CB4" w:rsidRPr="00396CB4" w:rsidRDefault="00396CB4" w:rsidP="00396CB4">
            <w:pPr>
              <w:spacing w:after="0" w:line="240" w:lineRule="auto"/>
              <w:jc w:val="center"/>
              <w:rPr>
                <w:rFonts w:eastAsia="Times New Roman" w:cs="Calibri"/>
                <w:color w:val="FFFFFF"/>
                <w:szCs w:val="24"/>
                <w:lang w:eastAsia="es-CR"/>
              </w:rPr>
            </w:pPr>
            <w:r w:rsidRPr="00396CB4">
              <w:rPr>
                <w:rFonts w:eastAsia="Times New Roman" w:cs="Calibri"/>
                <w:color w:val="FFFFFF"/>
                <w:szCs w:val="24"/>
                <w:lang w:eastAsia="es-CR"/>
              </w:rPr>
              <w:t>Resumen</w:t>
            </w:r>
            <w:r w:rsidRPr="00396CB4">
              <w:rPr>
                <w:rFonts w:eastAsia="Times New Roman" w:cs="Calibri"/>
                <w:color w:val="FFFFFF"/>
                <w:szCs w:val="24"/>
                <w:lang w:eastAsia="es-CR"/>
              </w:rPr>
              <w:br/>
              <w:t xml:space="preserve">Cantidad </w:t>
            </w:r>
          </w:p>
        </w:tc>
        <w:tc>
          <w:tcPr>
            <w:tcW w:w="1919" w:type="dxa"/>
            <w:tcBorders>
              <w:top w:val="single" w:sz="8" w:space="0" w:color="auto"/>
              <w:left w:val="single" w:sz="8" w:space="0" w:color="auto"/>
              <w:bottom w:val="single" w:sz="8" w:space="0" w:color="auto"/>
              <w:right w:val="nil"/>
            </w:tcBorders>
            <w:shd w:val="clear" w:color="000000" w:fill="1F3864"/>
            <w:vAlign w:val="center"/>
            <w:hideMark/>
          </w:tcPr>
          <w:p w14:paraId="078268C3" w14:textId="77777777" w:rsidR="00396CB4" w:rsidRPr="00396CB4" w:rsidRDefault="00396CB4" w:rsidP="00396CB4">
            <w:pPr>
              <w:spacing w:after="0" w:line="240" w:lineRule="auto"/>
              <w:jc w:val="center"/>
              <w:rPr>
                <w:rFonts w:eastAsia="Times New Roman" w:cs="Calibri"/>
                <w:color w:val="FFFFFF"/>
                <w:szCs w:val="24"/>
                <w:lang w:eastAsia="es-CR"/>
              </w:rPr>
            </w:pPr>
            <w:r w:rsidRPr="00396CB4">
              <w:rPr>
                <w:rFonts w:eastAsia="Times New Roman" w:cs="Calibri"/>
                <w:color w:val="FFFFFF"/>
                <w:szCs w:val="24"/>
                <w:lang w:eastAsia="es-CR"/>
              </w:rPr>
              <w:t>Activos Contingentes</w:t>
            </w:r>
          </w:p>
        </w:tc>
      </w:tr>
      <w:tr w:rsidR="004803ED" w:rsidRPr="00396CB4" w14:paraId="1F786F6C" w14:textId="77777777" w:rsidTr="00396CB4">
        <w:trPr>
          <w:divId w:val="1693843608"/>
          <w:trHeight w:val="345"/>
        </w:trPr>
        <w:tc>
          <w:tcPr>
            <w:tcW w:w="2436" w:type="dxa"/>
            <w:tcBorders>
              <w:top w:val="nil"/>
              <w:left w:val="single" w:sz="8" w:space="0" w:color="auto"/>
              <w:bottom w:val="single" w:sz="8" w:space="0" w:color="auto"/>
              <w:right w:val="nil"/>
            </w:tcBorders>
            <w:shd w:val="clear" w:color="000000" w:fill="1F3864"/>
            <w:vAlign w:val="center"/>
            <w:hideMark/>
          </w:tcPr>
          <w:p w14:paraId="7633FCD8" w14:textId="77777777" w:rsidR="004803ED" w:rsidRPr="00396CB4" w:rsidRDefault="004803ED" w:rsidP="004803ED">
            <w:pPr>
              <w:spacing w:after="0" w:line="240" w:lineRule="auto"/>
              <w:jc w:val="left"/>
              <w:rPr>
                <w:rFonts w:eastAsia="Times New Roman" w:cs="Calibri"/>
                <w:color w:val="FFFFFF"/>
                <w:szCs w:val="24"/>
                <w:lang w:eastAsia="es-CR"/>
              </w:rPr>
            </w:pPr>
            <w:r w:rsidRPr="00396CB4">
              <w:rPr>
                <w:rFonts w:eastAsia="Times New Roman" w:cs="Calibri"/>
                <w:color w:val="FFFFFF"/>
                <w:szCs w:val="24"/>
                <w:lang w:eastAsia="es-CR"/>
              </w:rPr>
              <w:t>Pretensión Inicial</w:t>
            </w:r>
          </w:p>
        </w:tc>
        <w:tc>
          <w:tcPr>
            <w:tcW w:w="1919" w:type="dxa"/>
            <w:tcBorders>
              <w:top w:val="nil"/>
              <w:left w:val="nil"/>
              <w:bottom w:val="single" w:sz="8" w:space="0" w:color="auto"/>
              <w:right w:val="single" w:sz="8" w:space="0" w:color="auto"/>
            </w:tcBorders>
            <w:shd w:val="clear" w:color="auto" w:fill="auto"/>
            <w:noWrap/>
            <w:vAlign w:val="center"/>
            <w:hideMark/>
          </w:tcPr>
          <w:p w14:paraId="4377EEA4" w14:textId="77777777" w:rsidR="004803ED" w:rsidRPr="00396CB4" w:rsidRDefault="004803ED" w:rsidP="004803ED">
            <w:pPr>
              <w:spacing w:after="0" w:line="240" w:lineRule="auto"/>
              <w:jc w:val="right"/>
              <w:rPr>
                <w:rFonts w:eastAsia="Times New Roman" w:cs="Calibri"/>
                <w:color w:val="000000"/>
                <w:sz w:val="20"/>
                <w:szCs w:val="20"/>
                <w:lang w:eastAsia="es-CR"/>
              </w:rPr>
            </w:pPr>
            <w:r w:rsidRPr="00396CB4">
              <w:rPr>
                <w:rFonts w:ascii="Arial" w:eastAsia="Times New Roman" w:hAnsi="Arial" w:cs="Arial"/>
                <w:color w:val="000000"/>
                <w:sz w:val="20"/>
                <w:szCs w:val="20"/>
                <w:lang w:eastAsia="es-CR"/>
              </w:rPr>
              <w:t>₡</w:t>
            </w:r>
            <w:r w:rsidRPr="00396CB4">
              <w:rPr>
                <w:rFonts w:eastAsia="Times New Roman" w:cs="Calibri"/>
                <w:color w:val="000000"/>
                <w:sz w:val="20"/>
                <w:szCs w:val="20"/>
                <w:lang w:eastAsia="es-CR"/>
              </w:rPr>
              <w:t>0,00</w:t>
            </w:r>
          </w:p>
        </w:tc>
        <w:tc>
          <w:tcPr>
            <w:tcW w:w="948" w:type="dxa"/>
            <w:tcBorders>
              <w:top w:val="nil"/>
              <w:left w:val="nil"/>
              <w:bottom w:val="nil"/>
              <w:right w:val="nil"/>
            </w:tcBorders>
            <w:shd w:val="clear" w:color="auto" w:fill="auto"/>
            <w:noWrap/>
            <w:vAlign w:val="bottom"/>
            <w:hideMark/>
          </w:tcPr>
          <w:p w14:paraId="6B0AF34D" w14:textId="77777777" w:rsidR="004803ED" w:rsidRPr="00396CB4" w:rsidRDefault="004803ED" w:rsidP="004803ED">
            <w:pPr>
              <w:spacing w:after="0" w:line="240" w:lineRule="auto"/>
              <w:jc w:val="right"/>
              <w:rPr>
                <w:rFonts w:eastAsia="Times New Roman" w:cs="Calibri"/>
                <w:color w:val="000000"/>
                <w:sz w:val="20"/>
                <w:szCs w:val="20"/>
                <w:lang w:eastAsia="es-CR"/>
              </w:rPr>
            </w:pPr>
          </w:p>
        </w:tc>
        <w:tc>
          <w:tcPr>
            <w:tcW w:w="2278" w:type="dxa"/>
            <w:tcBorders>
              <w:top w:val="nil"/>
              <w:left w:val="single" w:sz="8" w:space="0" w:color="auto"/>
              <w:bottom w:val="single" w:sz="8" w:space="0" w:color="auto"/>
              <w:right w:val="nil"/>
            </w:tcBorders>
            <w:shd w:val="clear" w:color="000000" w:fill="1F3864"/>
            <w:vAlign w:val="center"/>
            <w:hideMark/>
          </w:tcPr>
          <w:p w14:paraId="1E24B621" w14:textId="77777777" w:rsidR="004803ED" w:rsidRPr="00396CB4" w:rsidRDefault="004803ED" w:rsidP="004803ED">
            <w:pPr>
              <w:spacing w:after="0" w:line="240" w:lineRule="auto"/>
              <w:jc w:val="left"/>
              <w:rPr>
                <w:rFonts w:eastAsia="Times New Roman" w:cs="Calibri"/>
                <w:color w:val="FFFFFF"/>
                <w:szCs w:val="24"/>
                <w:lang w:eastAsia="es-CR"/>
              </w:rPr>
            </w:pPr>
            <w:r w:rsidRPr="00396CB4">
              <w:rPr>
                <w:rFonts w:eastAsia="Times New Roman" w:cs="Calibri"/>
                <w:color w:val="FFFFFF"/>
                <w:szCs w:val="24"/>
                <w:lang w:eastAsia="es-CR"/>
              </w:rPr>
              <w:t>Pretensión Inicial</w:t>
            </w:r>
          </w:p>
        </w:tc>
        <w:tc>
          <w:tcPr>
            <w:tcW w:w="1919" w:type="dxa"/>
            <w:tcBorders>
              <w:top w:val="nil"/>
              <w:left w:val="nil"/>
              <w:bottom w:val="single" w:sz="8" w:space="0" w:color="auto"/>
              <w:right w:val="single" w:sz="8" w:space="0" w:color="auto"/>
            </w:tcBorders>
            <w:shd w:val="clear" w:color="auto" w:fill="auto"/>
            <w:noWrap/>
            <w:vAlign w:val="center"/>
            <w:hideMark/>
          </w:tcPr>
          <w:p w14:paraId="016BCBDC" w14:textId="5561148D" w:rsidR="004803ED" w:rsidRPr="00396CB4" w:rsidRDefault="004803ED" w:rsidP="004803ED">
            <w:pPr>
              <w:spacing w:after="0" w:line="240" w:lineRule="auto"/>
              <w:jc w:val="right"/>
              <w:rPr>
                <w:rFonts w:eastAsia="Times New Roman" w:cs="Calibri"/>
                <w:color w:val="000000"/>
                <w:sz w:val="20"/>
                <w:szCs w:val="20"/>
                <w:lang w:eastAsia="es-CR"/>
              </w:rPr>
            </w:pPr>
            <w:r w:rsidRPr="00396CB4">
              <w:rPr>
                <w:rFonts w:ascii="Arial" w:eastAsia="Times New Roman" w:hAnsi="Arial" w:cs="Arial"/>
                <w:color w:val="000000"/>
                <w:sz w:val="20"/>
                <w:szCs w:val="20"/>
                <w:lang w:eastAsia="es-CR"/>
              </w:rPr>
              <w:t>₡</w:t>
            </w:r>
            <w:r w:rsidRPr="00396CB4">
              <w:rPr>
                <w:rFonts w:eastAsia="Times New Roman" w:cs="Calibri"/>
                <w:color w:val="000000"/>
                <w:sz w:val="20"/>
                <w:szCs w:val="20"/>
                <w:lang w:eastAsia="es-CR"/>
              </w:rPr>
              <w:t>0,00</w:t>
            </w:r>
          </w:p>
        </w:tc>
      </w:tr>
      <w:tr w:rsidR="004803ED" w:rsidRPr="00396CB4" w14:paraId="123F9199" w14:textId="77777777" w:rsidTr="00396CB4">
        <w:trPr>
          <w:divId w:val="1693843608"/>
          <w:trHeight w:val="645"/>
        </w:trPr>
        <w:tc>
          <w:tcPr>
            <w:tcW w:w="2436" w:type="dxa"/>
            <w:tcBorders>
              <w:top w:val="nil"/>
              <w:left w:val="single" w:sz="8" w:space="0" w:color="auto"/>
              <w:bottom w:val="single" w:sz="8" w:space="0" w:color="auto"/>
              <w:right w:val="nil"/>
            </w:tcBorders>
            <w:shd w:val="clear" w:color="000000" w:fill="1F3864"/>
            <w:vAlign w:val="center"/>
            <w:hideMark/>
          </w:tcPr>
          <w:p w14:paraId="6A573410" w14:textId="77777777" w:rsidR="004803ED" w:rsidRPr="00396CB4" w:rsidRDefault="004803ED" w:rsidP="004803ED">
            <w:pPr>
              <w:spacing w:after="0" w:line="240" w:lineRule="auto"/>
              <w:jc w:val="left"/>
              <w:rPr>
                <w:rFonts w:eastAsia="Times New Roman" w:cs="Calibri"/>
                <w:color w:val="FFFFFF"/>
                <w:szCs w:val="24"/>
                <w:lang w:eastAsia="es-CR"/>
              </w:rPr>
            </w:pPr>
            <w:r w:rsidRPr="00396CB4">
              <w:rPr>
                <w:rFonts w:eastAsia="Times New Roman" w:cs="Calibri"/>
                <w:color w:val="FFFFFF"/>
                <w:szCs w:val="24"/>
                <w:lang w:eastAsia="es-CR"/>
              </w:rPr>
              <w:t>Resolución provisional 1</w:t>
            </w:r>
          </w:p>
        </w:tc>
        <w:tc>
          <w:tcPr>
            <w:tcW w:w="1919" w:type="dxa"/>
            <w:tcBorders>
              <w:top w:val="nil"/>
              <w:left w:val="nil"/>
              <w:bottom w:val="single" w:sz="8" w:space="0" w:color="auto"/>
              <w:right w:val="single" w:sz="8" w:space="0" w:color="auto"/>
            </w:tcBorders>
            <w:shd w:val="clear" w:color="auto" w:fill="auto"/>
            <w:noWrap/>
            <w:vAlign w:val="center"/>
            <w:hideMark/>
          </w:tcPr>
          <w:p w14:paraId="2E752723" w14:textId="77777777" w:rsidR="004803ED" w:rsidRPr="00396CB4" w:rsidRDefault="004803ED" w:rsidP="004803ED">
            <w:pPr>
              <w:spacing w:after="0" w:line="240" w:lineRule="auto"/>
              <w:jc w:val="right"/>
              <w:rPr>
                <w:rFonts w:eastAsia="Times New Roman" w:cs="Calibri"/>
                <w:color w:val="000000"/>
                <w:sz w:val="20"/>
                <w:szCs w:val="20"/>
                <w:lang w:eastAsia="es-CR"/>
              </w:rPr>
            </w:pPr>
            <w:r w:rsidRPr="00396CB4">
              <w:rPr>
                <w:rFonts w:ascii="Arial" w:eastAsia="Times New Roman" w:hAnsi="Arial" w:cs="Arial"/>
                <w:color w:val="000000"/>
                <w:sz w:val="20"/>
                <w:szCs w:val="20"/>
                <w:lang w:eastAsia="es-CR"/>
              </w:rPr>
              <w:t>₡</w:t>
            </w:r>
            <w:r w:rsidRPr="00396CB4">
              <w:rPr>
                <w:rFonts w:eastAsia="Times New Roman" w:cs="Calibri"/>
                <w:color w:val="000000"/>
                <w:sz w:val="20"/>
                <w:szCs w:val="20"/>
                <w:lang w:eastAsia="es-CR"/>
              </w:rPr>
              <w:t>0,00</w:t>
            </w:r>
          </w:p>
        </w:tc>
        <w:tc>
          <w:tcPr>
            <w:tcW w:w="948" w:type="dxa"/>
            <w:tcBorders>
              <w:top w:val="nil"/>
              <w:left w:val="nil"/>
              <w:bottom w:val="nil"/>
              <w:right w:val="nil"/>
            </w:tcBorders>
            <w:shd w:val="clear" w:color="auto" w:fill="auto"/>
            <w:noWrap/>
            <w:vAlign w:val="bottom"/>
            <w:hideMark/>
          </w:tcPr>
          <w:p w14:paraId="5F6B3949" w14:textId="77777777" w:rsidR="004803ED" w:rsidRPr="00396CB4" w:rsidRDefault="004803ED" w:rsidP="004803ED">
            <w:pPr>
              <w:spacing w:after="0" w:line="240" w:lineRule="auto"/>
              <w:jc w:val="right"/>
              <w:rPr>
                <w:rFonts w:eastAsia="Times New Roman" w:cs="Calibri"/>
                <w:color w:val="000000"/>
                <w:sz w:val="20"/>
                <w:szCs w:val="20"/>
                <w:lang w:eastAsia="es-CR"/>
              </w:rPr>
            </w:pPr>
          </w:p>
        </w:tc>
        <w:tc>
          <w:tcPr>
            <w:tcW w:w="2278" w:type="dxa"/>
            <w:tcBorders>
              <w:top w:val="nil"/>
              <w:left w:val="single" w:sz="8" w:space="0" w:color="auto"/>
              <w:bottom w:val="single" w:sz="8" w:space="0" w:color="auto"/>
              <w:right w:val="nil"/>
            </w:tcBorders>
            <w:shd w:val="clear" w:color="000000" w:fill="1F3864"/>
            <w:vAlign w:val="center"/>
            <w:hideMark/>
          </w:tcPr>
          <w:p w14:paraId="2F81A1FA" w14:textId="77777777" w:rsidR="004803ED" w:rsidRPr="00396CB4" w:rsidRDefault="004803ED" w:rsidP="004803ED">
            <w:pPr>
              <w:spacing w:after="0" w:line="240" w:lineRule="auto"/>
              <w:jc w:val="left"/>
              <w:rPr>
                <w:rFonts w:eastAsia="Times New Roman" w:cs="Calibri"/>
                <w:color w:val="FFFFFF"/>
                <w:szCs w:val="24"/>
                <w:lang w:eastAsia="es-CR"/>
              </w:rPr>
            </w:pPr>
            <w:r w:rsidRPr="00396CB4">
              <w:rPr>
                <w:rFonts w:eastAsia="Times New Roman" w:cs="Calibri"/>
                <w:color w:val="FFFFFF"/>
                <w:szCs w:val="24"/>
                <w:lang w:eastAsia="es-CR"/>
              </w:rPr>
              <w:t>Resolución provisional 1</w:t>
            </w:r>
          </w:p>
        </w:tc>
        <w:tc>
          <w:tcPr>
            <w:tcW w:w="1919" w:type="dxa"/>
            <w:tcBorders>
              <w:top w:val="nil"/>
              <w:left w:val="nil"/>
              <w:bottom w:val="single" w:sz="8" w:space="0" w:color="auto"/>
              <w:right w:val="single" w:sz="8" w:space="0" w:color="auto"/>
            </w:tcBorders>
            <w:shd w:val="clear" w:color="auto" w:fill="auto"/>
            <w:noWrap/>
            <w:vAlign w:val="center"/>
            <w:hideMark/>
          </w:tcPr>
          <w:p w14:paraId="1B2FC259" w14:textId="230D95D5" w:rsidR="004803ED" w:rsidRPr="00396CB4" w:rsidRDefault="004803ED" w:rsidP="004803ED">
            <w:pPr>
              <w:spacing w:after="0" w:line="240" w:lineRule="auto"/>
              <w:jc w:val="right"/>
              <w:rPr>
                <w:rFonts w:eastAsia="Times New Roman" w:cs="Calibri"/>
                <w:color w:val="000000"/>
                <w:sz w:val="20"/>
                <w:szCs w:val="20"/>
                <w:lang w:eastAsia="es-CR"/>
              </w:rPr>
            </w:pPr>
            <w:r w:rsidRPr="00396CB4">
              <w:rPr>
                <w:rFonts w:ascii="Arial" w:eastAsia="Times New Roman" w:hAnsi="Arial" w:cs="Arial"/>
                <w:color w:val="000000"/>
                <w:sz w:val="20"/>
                <w:szCs w:val="20"/>
                <w:lang w:eastAsia="es-CR"/>
              </w:rPr>
              <w:t>₡</w:t>
            </w:r>
            <w:r w:rsidRPr="00396CB4">
              <w:rPr>
                <w:rFonts w:eastAsia="Times New Roman" w:cs="Calibri"/>
                <w:color w:val="000000"/>
                <w:sz w:val="20"/>
                <w:szCs w:val="20"/>
                <w:lang w:eastAsia="es-CR"/>
              </w:rPr>
              <w:t>0,00</w:t>
            </w:r>
          </w:p>
        </w:tc>
      </w:tr>
      <w:tr w:rsidR="004803ED" w:rsidRPr="00396CB4" w14:paraId="749433E1" w14:textId="77777777" w:rsidTr="00396CB4">
        <w:trPr>
          <w:divId w:val="1693843608"/>
          <w:trHeight w:val="645"/>
        </w:trPr>
        <w:tc>
          <w:tcPr>
            <w:tcW w:w="2436" w:type="dxa"/>
            <w:tcBorders>
              <w:top w:val="nil"/>
              <w:left w:val="single" w:sz="8" w:space="0" w:color="auto"/>
              <w:bottom w:val="single" w:sz="8" w:space="0" w:color="auto"/>
              <w:right w:val="nil"/>
            </w:tcBorders>
            <w:shd w:val="clear" w:color="000000" w:fill="1F3864"/>
            <w:vAlign w:val="center"/>
            <w:hideMark/>
          </w:tcPr>
          <w:p w14:paraId="2BC15614" w14:textId="77777777" w:rsidR="004803ED" w:rsidRPr="00396CB4" w:rsidRDefault="004803ED" w:rsidP="004803ED">
            <w:pPr>
              <w:spacing w:after="0" w:line="240" w:lineRule="auto"/>
              <w:jc w:val="left"/>
              <w:rPr>
                <w:rFonts w:eastAsia="Times New Roman" w:cs="Calibri"/>
                <w:color w:val="FFFFFF"/>
                <w:szCs w:val="24"/>
                <w:lang w:eastAsia="es-CR"/>
              </w:rPr>
            </w:pPr>
            <w:r w:rsidRPr="00396CB4">
              <w:rPr>
                <w:rFonts w:eastAsia="Times New Roman" w:cs="Calibri"/>
                <w:color w:val="FFFFFF"/>
                <w:szCs w:val="24"/>
                <w:lang w:eastAsia="es-CR"/>
              </w:rPr>
              <w:t>Resolución provisional 2</w:t>
            </w:r>
          </w:p>
        </w:tc>
        <w:tc>
          <w:tcPr>
            <w:tcW w:w="1919" w:type="dxa"/>
            <w:tcBorders>
              <w:top w:val="nil"/>
              <w:left w:val="nil"/>
              <w:bottom w:val="single" w:sz="8" w:space="0" w:color="auto"/>
              <w:right w:val="single" w:sz="8" w:space="0" w:color="auto"/>
            </w:tcBorders>
            <w:shd w:val="clear" w:color="auto" w:fill="auto"/>
            <w:noWrap/>
            <w:vAlign w:val="center"/>
            <w:hideMark/>
          </w:tcPr>
          <w:p w14:paraId="330FF949" w14:textId="77777777" w:rsidR="004803ED" w:rsidRPr="00396CB4" w:rsidRDefault="004803ED" w:rsidP="004803ED">
            <w:pPr>
              <w:spacing w:after="0" w:line="240" w:lineRule="auto"/>
              <w:jc w:val="right"/>
              <w:rPr>
                <w:rFonts w:eastAsia="Times New Roman" w:cs="Calibri"/>
                <w:color w:val="000000"/>
                <w:sz w:val="20"/>
                <w:szCs w:val="20"/>
                <w:lang w:eastAsia="es-CR"/>
              </w:rPr>
            </w:pPr>
            <w:r w:rsidRPr="00396CB4">
              <w:rPr>
                <w:rFonts w:ascii="Arial" w:eastAsia="Times New Roman" w:hAnsi="Arial" w:cs="Arial"/>
                <w:color w:val="000000"/>
                <w:sz w:val="20"/>
                <w:szCs w:val="20"/>
                <w:lang w:eastAsia="es-CR"/>
              </w:rPr>
              <w:t>₡</w:t>
            </w:r>
            <w:r w:rsidRPr="00396CB4">
              <w:rPr>
                <w:rFonts w:eastAsia="Times New Roman" w:cs="Calibri"/>
                <w:color w:val="000000"/>
                <w:sz w:val="20"/>
                <w:szCs w:val="20"/>
                <w:lang w:eastAsia="es-CR"/>
              </w:rPr>
              <w:t>0,00</w:t>
            </w:r>
          </w:p>
        </w:tc>
        <w:tc>
          <w:tcPr>
            <w:tcW w:w="948" w:type="dxa"/>
            <w:tcBorders>
              <w:top w:val="nil"/>
              <w:left w:val="nil"/>
              <w:bottom w:val="nil"/>
              <w:right w:val="nil"/>
            </w:tcBorders>
            <w:shd w:val="clear" w:color="auto" w:fill="auto"/>
            <w:noWrap/>
            <w:vAlign w:val="bottom"/>
            <w:hideMark/>
          </w:tcPr>
          <w:p w14:paraId="06DB2BF5" w14:textId="77777777" w:rsidR="004803ED" w:rsidRPr="00396CB4" w:rsidRDefault="004803ED" w:rsidP="004803ED">
            <w:pPr>
              <w:spacing w:after="0" w:line="240" w:lineRule="auto"/>
              <w:jc w:val="right"/>
              <w:rPr>
                <w:rFonts w:eastAsia="Times New Roman" w:cs="Calibri"/>
                <w:color w:val="000000"/>
                <w:sz w:val="20"/>
                <w:szCs w:val="20"/>
                <w:lang w:eastAsia="es-CR"/>
              </w:rPr>
            </w:pPr>
          </w:p>
        </w:tc>
        <w:tc>
          <w:tcPr>
            <w:tcW w:w="2278" w:type="dxa"/>
            <w:tcBorders>
              <w:top w:val="nil"/>
              <w:left w:val="single" w:sz="8" w:space="0" w:color="auto"/>
              <w:bottom w:val="single" w:sz="8" w:space="0" w:color="auto"/>
              <w:right w:val="nil"/>
            </w:tcBorders>
            <w:shd w:val="clear" w:color="000000" w:fill="1F3864"/>
            <w:vAlign w:val="center"/>
            <w:hideMark/>
          </w:tcPr>
          <w:p w14:paraId="2131FF97" w14:textId="77777777" w:rsidR="004803ED" w:rsidRPr="00396CB4" w:rsidRDefault="004803ED" w:rsidP="004803ED">
            <w:pPr>
              <w:spacing w:after="0" w:line="240" w:lineRule="auto"/>
              <w:jc w:val="left"/>
              <w:rPr>
                <w:rFonts w:eastAsia="Times New Roman" w:cs="Calibri"/>
                <w:color w:val="FFFFFF"/>
                <w:szCs w:val="24"/>
                <w:lang w:eastAsia="es-CR"/>
              </w:rPr>
            </w:pPr>
            <w:r w:rsidRPr="00396CB4">
              <w:rPr>
                <w:rFonts w:eastAsia="Times New Roman" w:cs="Calibri"/>
                <w:color w:val="FFFFFF"/>
                <w:szCs w:val="24"/>
                <w:lang w:eastAsia="es-CR"/>
              </w:rPr>
              <w:t>Resolución provisional 2</w:t>
            </w:r>
          </w:p>
        </w:tc>
        <w:tc>
          <w:tcPr>
            <w:tcW w:w="1919" w:type="dxa"/>
            <w:tcBorders>
              <w:top w:val="nil"/>
              <w:left w:val="nil"/>
              <w:bottom w:val="single" w:sz="8" w:space="0" w:color="auto"/>
              <w:right w:val="single" w:sz="8" w:space="0" w:color="auto"/>
            </w:tcBorders>
            <w:shd w:val="clear" w:color="auto" w:fill="auto"/>
            <w:noWrap/>
            <w:vAlign w:val="center"/>
            <w:hideMark/>
          </w:tcPr>
          <w:p w14:paraId="1627166E" w14:textId="52343E36" w:rsidR="004803ED" w:rsidRPr="00396CB4" w:rsidRDefault="004803ED" w:rsidP="004803ED">
            <w:pPr>
              <w:spacing w:after="0" w:line="240" w:lineRule="auto"/>
              <w:jc w:val="right"/>
              <w:rPr>
                <w:rFonts w:eastAsia="Times New Roman" w:cs="Calibri"/>
                <w:color w:val="000000"/>
                <w:sz w:val="20"/>
                <w:szCs w:val="20"/>
                <w:lang w:eastAsia="es-CR"/>
              </w:rPr>
            </w:pPr>
            <w:r w:rsidRPr="00396CB4">
              <w:rPr>
                <w:rFonts w:ascii="Arial" w:eastAsia="Times New Roman" w:hAnsi="Arial" w:cs="Arial"/>
                <w:color w:val="000000"/>
                <w:sz w:val="20"/>
                <w:szCs w:val="20"/>
                <w:lang w:eastAsia="es-CR"/>
              </w:rPr>
              <w:t>₡</w:t>
            </w:r>
            <w:r w:rsidRPr="00396CB4">
              <w:rPr>
                <w:rFonts w:eastAsia="Times New Roman" w:cs="Calibri"/>
                <w:color w:val="000000"/>
                <w:sz w:val="20"/>
                <w:szCs w:val="20"/>
                <w:lang w:eastAsia="es-CR"/>
              </w:rPr>
              <w:t>0,00</w:t>
            </w:r>
          </w:p>
        </w:tc>
      </w:tr>
      <w:tr w:rsidR="004803ED" w:rsidRPr="00396CB4" w14:paraId="2AAB55AC" w14:textId="77777777" w:rsidTr="00396CB4">
        <w:trPr>
          <w:divId w:val="1693843608"/>
          <w:trHeight w:val="345"/>
        </w:trPr>
        <w:tc>
          <w:tcPr>
            <w:tcW w:w="2436" w:type="dxa"/>
            <w:tcBorders>
              <w:top w:val="nil"/>
              <w:left w:val="single" w:sz="8" w:space="0" w:color="auto"/>
              <w:bottom w:val="single" w:sz="8" w:space="0" w:color="auto"/>
              <w:right w:val="nil"/>
            </w:tcBorders>
            <w:shd w:val="clear" w:color="000000" w:fill="1F3864"/>
            <w:vAlign w:val="center"/>
            <w:hideMark/>
          </w:tcPr>
          <w:p w14:paraId="7497283C" w14:textId="77777777" w:rsidR="004803ED" w:rsidRPr="00396CB4" w:rsidRDefault="004803ED" w:rsidP="004803ED">
            <w:pPr>
              <w:spacing w:after="0" w:line="240" w:lineRule="auto"/>
              <w:jc w:val="left"/>
              <w:rPr>
                <w:rFonts w:eastAsia="Times New Roman" w:cs="Calibri"/>
                <w:color w:val="FFFFFF"/>
                <w:szCs w:val="24"/>
                <w:lang w:eastAsia="es-CR"/>
              </w:rPr>
            </w:pPr>
            <w:r w:rsidRPr="00396CB4">
              <w:rPr>
                <w:rFonts w:eastAsia="Times New Roman" w:cs="Calibri"/>
                <w:color w:val="FFFFFF"/>
                <w:szCs w:val="24"/>
                <w:lang w:eastAsia="es-CR"/>
              </w:rPr>
              <w:t>Resolución en firme</w:t>
            </w:r>
          </w:p>
        </w:tc>
        <w:tc>
          <w:tcPr>
            <w:tcW w:w="1919" w:type="dxa"/>
            <w:tcBorders>
              <w:top w:val="nil"/>
              <w:left w:val="nil"/>
              <w:bottom w:val="single" w:sz="8" w:space="0" w:color="auto"/>
              <w:right w:val="single" w:sz="8" w:space="0" w:color="auto"/>
            </w:tcBorders>
            <w:shd w:val="clear" w:color="auto" w:fill="auto"/>
            <w:noWrap/>
            <w:vAlign w:val="center"/>
            <w:hideMark/>
          </w:tcPr>
          <w:p w14:paraId="65EF7C68" w14:textId="77777777" w:rsidR="004803ED" w:rsidRPr="00396CB4" w:rsidRDefault="004803ED" w:rsidP="004803ED">
            <w:pPr>
              <w:spacing w:after="0" w:line="240" w:lineRule="auto"/>
              <w:jc w:val="right"/>
              <w:rPr>
                <w:rFonts w:eastAsia="Times New Roman" w:cs="Calibri"/>
                <w:color w:val="000000"/>
                <w:sz w:val="20"/>
                <w:szCs w:val="20"/>
                <w:lang w:eastAsia="es-CR"/>
              </w:rPr>
            </w:pPr>
            <w:r w:rsidRPr="00396CB4">
              <w:rPr>
                <w:rFonts w:ascii="Arial" w:eastAsia="Times New Roman" w:hAnsi="Arial" w:cs="Arial"/>
                <w:color w:val="000000"/>
                <w:sz w:val="20"/>
                <w:szCs w:val="20"/>
                <w:lang w:eastAsia="es-CR"/>
              </w:rPr>
              <w:t>₡</w:t>
            </w:r>
            <w:r w:rsidRPr="00396CB4">
              <w:rPr>
                <w:rFonts w:eastAsia="Times New Roman" w:cs="Calibri"/>
                <w:color w:val="000000"/>
                <w:sz w:val="20"/>
                <w:szCs w:val="20"/>
                <w:lang w:eastAsia="es-CR"/>
              </w:rPr>
              <w:t>0,00</w:t>
            </w:r>
          </w:p>
        </w:tc>
        <w:tc>
          <w:tcPr>
            <w:tcW w:w="948" w:type="dxa"/>
            <w:tcBorders>
              <w:top w:val="nil"/>
              <w:left w:val="nil"/>
              <w:bottom w:val="nil"/>
              <w:right w:val="nil"/>
            </w:tcBorders>
            <w:shd w:val="clear" w:color="auto" w:fill="auto"/>
            <w:noWrap/>
            <w:vAlign w:val="bottom"/>
            <w:hideMark/>
          </w:tcPr>
          <w:p w14:paraId="2F84904D" w14:textId="77777777" w:rsidR="004803ED" w:rsidRPr="00396CB4" w:rsidRDefault="004803ED" w:rsidP="004803ED">
            <w:pPr>
              <w:spacing w:after="0" w:line="240" w:lineRule="auto"/>
              <w:jc w:val="right"/>
              <w:rPr>
                <w:rFonts w:eastAsia="Times New Roman" w:cs="Calibri"/>
                <w:color w:val="000000"/>
                <w:sz w:val="20"/>
                <w:szCs w:val="20"/>
                <w:lang w:eastAsia="es-CR"/>
              </w:rPr>
            </w:pPr>
          </w:p>
        </w:tc>
        <w:tc>
          <w:tcPr>
            <w:tcW w:w="2278" w:type="dxa"/>
            <w:tcBorders>
              <w:top w:val="nil"/>
              <w:left w:val="single" w:sz="8" w:space="0" w:color="auto"/>
              <w:bottom w:val="single" w:sz="8" w:space="0" w:color="auto"/>
              <w:right w:val="nil"/>
            </w:tcBorders>
            <w:shd w:val="clear" w:color="000000" w:fill="1F3864"/>
            <w:vAlign w:val="center"/>
            <w:hideMark/>
          </w:tcPr>
          <w:p w14:paraId="0BA0B0BE" w14:textId="77777777" w:rsidR="004803ED" w:rsidRPr="00396CB4" w:rsidRDefault="004803ED" w:rsidP="004803ED">
            <w:pPr>
              <w:spacing w:after="0" w:line="240" w:lineRule="auto"/>
              <w:jc w:val="left"/>
              <w:rPr>
                <w:rFonts w:eastAsia="Times New Roman" w:cs="Calibri"/>
                <w:color w:val="FFFFFF"/>
                <w:szCs w:val="24"/>
                <w:lang w:eastAsia="es-CR"/>
              </w:rPr>
            </w:pPr>
            <w:r w:rsidRPr="00396CB4">
              <w:rPr>
                <w:rFonts w:eastAsia="Times New Roman" w:cs="Calibri"/>
                <w:color w:val="FFFFFF"/>
                <w:szCs w:val="24"/>
                <w:lang w:eastAsia="es-CR"/>
              </w:rPr>
              <w:t>Resolución en firme</w:t>
            </w:r>
          </w:p>
        </w:tc>
        <w:tc>
          <w:tcPr>
            <w:tcW w:w="1919" w:type="dxa"/>
            <w:tcBorders>
              <w:top w:val="nil"/>
              <w:left w:val="nil"/>
              <w:bottom w:val="single" w:sz="8" w:space="0" w:color="auto"/>
              <w:right w:val="single" w:sz="8" w:space="0" w:color="auto"/>
            </w:tcBorders>
            <w:shd w:val="clear" w:color="auto" w:fill="auto"/>
            <w:noWrap/>
            <w:vAlign w:val="center"/>
            <w:hideMark/>
          </w:tcPr>
          <w:p w14:paraId="2EA9298A" w14:textId="6E2D7F72" w:rsidR="004803ED" w:rsidRPr="00396CB4" w:rsidRDefault="004803ED" w:rsidP="004803ED">
            <w:pPr>
              <w:spacing w:after="0" w:line="240" w:lineRule="auto"/>
              <w:jc w:val="right"/>
              <w:rPr>
                <w:rFonts w:eastAsia="Times New Roman" w:cs="Calibri"/>
                <w:color w:val="000000"/>
                <w:sz w:val="20"/>
                <w:szCs w:val="20"/>
                <w:lang w:eastAsia="es-CR"/>
              </w:rPr>
            </w:pPr>
            <w:r w:rsidRPr="00396CB4">
              <w:rPr>
                <w:rFonts w:ascii="Arial" w:eastAsia="Times New Roman" w:hAnsi="Arial" w:cs="Arial"/>
                <w:color w:val="000000"/>
                <w:sz w:val="20"/>
                <w:szCs w:val="20"/>
                <w:lang w:eastAsia="es-CR"/>
              </w:rPr>
              <w:t>₡</w:t>
            </w:r>
            <w:r w:rsidRPr="00396CB4">
              <w:rPr>
                <w:rFonts w:eastAsia="Times New Roman" w:cs="Calibri"/>
                <w:color w:val="000000"/>
                <w:sz w:val="20"/>
                <w:szCs w:val="20"/>
                <w:lang w:eastAsia="es-CR"/>
              </w:rPr>
              <w:t>0,00</w:t>
            </w:r>
          </w:p>
        </w:tc>
      </w:tr>
      <w:tr w:rsidR="004803ED" w:rsidRPr="00396CB4" w14:paraId="22428C87" w14:textId="77777777" w:rsidTr="00396CB4">
        <w:trPr>
          <w:divId w:val="1693843608"/>
          <w:trHeight w:val="345"/>
        </w:trPr>
        <w:tc>
          <w:tcPr>
            <w:tcW w:w="2436" w:type="dxa"/>
            <w:tcBorders>
              <w:top w:val="nil"/>
              <w:left w:val="single" w:sz="8" w:space="0" w:color="auto"/>
              <w:bottom w:val="single" w:sz="8" w:space="0" w:color="auto"/>
              <w:right w:val="nil"/>
            </w:tcBorders>
            <w:shd w:val="clear" w:color="000000" w:fill="1F3864"/>
            <w:vAlign w:val="center"/>
            <w:hideMark/>
          </w:tcPr>
          <w:p w14:paraId="0A02665A" w14:textId="77777777" w:rsidR="004803ED" w:rsidRPr="00396CB4" w:rsidRDefault="004803ED" w:rsidP="004803ED">
            <w:pPr>
              <w:spacing w:after="0" w:line="240" w:lineRule="auto"/>
              <w:jc w:val="left"/>
              <w:rPr>
                <w:rFonts w:eastAsia="Times New Roman" w:cs="Calibri"/>
                <w:color w:val="FFFFFF"/>
                <w:szCs w:val="24"/>
                <w:lang w:eastAsia="es-CR"/>
              </w:rPr>
            </w:pPr>
            <w:r w:rsidRPr="00396CB4">
              <w:rPr>
                <w:rFonts w:eastAsia="Times New Roman" w:cs="Calibri"/>
                <w:color w:val="FFFFFF"/>
                <w:szCs w:val="24"/>
                <w:lang w:eastAsia="es-CR"/>
              </w:rPr>
              <w:t>GRAN TOTAL</w:t>
            </w:r>
          </w:p>
        </w:tc>
        <w:tc>
          <w:tcPr>
            <w:tcW w:w="1919" w:type="dxa"/>
            <w:tcBorders>
              <w:top w:val="nil"/>
              <w:left w:val="nil"/>
              <w:bottom w:val="single" w:sz="8" w:space="0" w:color="auto"/>
              <w:right w:val="single" w:sz="8" w:space="0" w:color="auto"/>
            </w:tcBorders>
            <w:shd w:val="clear" w:color="auto" w:fill="auto"/>
            <w:noWrap/>
            <w:vAlign w:val="center"/>
            <w:hideMark/>
          </w:tcPr>
          <w:p w14:paraId="191D4D62" w14:textId="77777777" w:rsidR="004803ED" w:rsidRPr="00396CB4" w:rsidRDefault="004803ED" w:rsidP="004803ED">
            <w:pPr>
              <w:spacing w:after="0" w:line="240" w:lineRule="auto"/>
              <w:jc w:val="right"/>
              <w:rPr>
                <w:rFonts w:eastAsia="Times New Roman" w:cs="Calibri"/>
                <w:b/>
                <w:bCs/>
                <w:color w:val="000000"/>
                <w:sz w:val="20"/>
                <w:szCs w:val="20"/>
                <w:lang w:eastAsia="es-CR"/>
              </w:rPr>
            </w:pPr>
            <w:r w:rsidRPr="00396CB4">
              <w:rPr>
                <w:rFonts w:ascii="Arial" w:eastAsia="Times New Roman" w:hAnsi="Arial" w:cs="Arial"/>
                <w:b/>
                <w:bCs/>
                <w:color w:val="000000"/>
                <w:sz w:val="20"/>
                <w:szCs w:val="20"/>
                <w:lang w:eastAsia="es-CR"/>
              </w:rPr>
              <w:t>₡</w:t>
            </w:r>
            <w:r w:rsidRPr="00396CB4">
              <w:rPr>
                <w:rFonts w:eastAsia="Times New Roman" w:cs="Calibri"/>
                <w:b/>
                <w:bCs/>
                <w:color w:val="000000"/>
                <w:sz w:val="20"/>
                <w:szCs w:val="20"/>
                <w:lang w:eastAsia="es-CR"/>
              </w:rPr>
              <w:t>0,00</w:t>
            </w:r>
          </w:p>
        </w:tc>
        <w:tc>
          <w:tcPr>
            <w:tcW w:w="948" w:type="dxa"/>
            <w:tcBorders>
              <w:top w:val="nil"/>
              <w:left w:val="nil"/>
              <w:bottom w:val="nil"/>
              <w:right w:val="nil"/>
            </w:tcBorders>
            <w:shd w:val="clear" w:color="auto" w:fill="auto"/>
            <w:noWrap/>
            <w:vAlign w:val="bottom"/>
            <w:hideMark/>
          </w:tcPr>
          <w:p w14:paraId="142E7568" w14:textId="77777777" w:rsidR="004803ED" w:rsidRPr="00396CB4" w:rsidRDefault="004803ED" w:rsidP="004803ED">
            <w:pPr>
              <w:spacing w:after="0" w:line="240" w:lineRule="auto"/>
              <w:jc w:val="right"/>
              <w:rPr>
                <w:rFonts w:eastAsia="Times New Roman" w:cs="Calibri"/>
                <w:b/>
                <w:bCs/>
                <w:color w:val="000000"/>
                <w:sz w:val="20"/>
                <w:szCs w:val="20"/>
                <w:lang w:eastAsia="es-CR"/>
              </w:rPr>
            </w:pPr>
          </w:p>
        </w:tc>
        <w:tc>
          <w:tcPr>
            <w:tcW w:w="2278" w:type="dxa"/>
            <w:tcBorders>
              <w:top w:val="nil"/>
              <w:left w:val="single" w:sz="8" w:space="0" w:color="auto"/>
              <w:bottom w:val="single" w:sz="8" w:space="0" w:color="auto"/>
              <w:right w:val="nil"/>
            </w:tcBorders>
            <w:shd w:val="clear" w:color="000000" w:fill="1F3864"/>
            <w:vAlign w:val="center"/>
            <w:hideMark/>
          </w:tcPr>
          <w:p w14:paraId="555AD139" w14:textId="77777777" w:rsidR="004803ED" w:rsidRPr="00396CB4" w:rsidRDefault="004803ED" w:rsidP="004803ED">
            <w:pPr>
              <w:spacing w:after="0" w:line="240" w:lineRule="auto"/>
              <w:jc w:val="left"/>
              <w:rPr>
                <w:rFonts w:eastAsia="Times New Roman" w:cs="Calibri"/>
                <w:color w:val="FFFFFF"/>
                <w:szCs w:val="24"/>
                <w:lang w:eastAsia="es-CR"/>
              </w:rPr>
            </w:pPr>
            <w:r w:rsidRPr="00396CB4">
              <w:rPr>
                <w:rFonts w:eastAsia="Times New Roman" w:cs="Calibri"/>
                <w:color w:val="FFFFFF"/>
                <w:szCs w:val="24"/>
                <w:lang w:eastAsia="es-CR"/>
              </w:rPr>
              <w:t>GRAN TOTAL</w:t>
            </w:r>
          </w:p>
        </w:tc>
        <w:tc>
          <w:tcPr>
            <w:tcW w:w="1919" w:type="dxa"/>
            <w:tcBorders>
              <w:top w:val="nil"/>
              <w:left w:val="nil"/>
              <w:bottom w:val="single" w:sz="8" w:space="0" w:color="auto"/>
              <w:right w:val="single" w:sz="8" w:space="0" w:color="auto"/>
            </w:tcBorders>
            <w:shd w:val="clear" w:color="auto" w:fill="auto"/>
            <w:noWrap/>
            <w:vAlign w:val="center"/>
            <w:hideMark/>
          </w:tcPr>
          <w:p w14:paraId="18196BA0" w14:textId="45559B06" w:rsidR="004803ED" w:rsidRPr="00396CB4" w:rsidRDefault="004803ED" w:rsidP="004803ED">
            <w:pPr>
              <w:spacing w:after="0" w:line="240" w:lineRule="auto"/>
              <w:jc w:val="right"/>
              <w:rPr>
                <w:rFonts w:eastAsia="Times New Roman" w:cs="Calibri"/>
                <w:b/>
                <w:bCs/>
                <w:color w:val="000000"/>
                <w:sz w:val="20"/>
                <w:szCs w:val="20"/>
                <w:lang w:eastAsia="es-CR"/>
              </w:rPr>
            </w:pPr>
            <w:r w:rsidRPr="00396CB4">
              <w:rPr>
                <w:rFonts w:ascii="Arial" w:eastAsia="Times New Roman" w:hAnsi="Arial" w:cs="Arial"/>
                <w:b/>
                <w:bCs/>
                <w:color w:val="000000"/>
                <w:sz w:val="20"/>
                <w:szCs w:val="20"/>
                <w:lang w:eastAsia="es-CR"/>
              </w:rPr>
              <w:t>₡</w:t>
            </w:r>
            <w:r w:rsidRPr="00396CB4">
              <w:rPr>
                <w:rFonts w:eastAsia="Times New Roman" w:cs="Calibri"/>
                <w:b/>
                <w:bCs/>
                <w:color w:val="000000"/>
                <w:sz w:val="20"/>
                <w:szCs w:val="20"/>
                <w:lang w:eastAsia="es-CR"/>
              </w:rPr>
              <w:t>0,00</w:t>
            </w:r>
          </w:p>
        </w:tc>
      </w:tr>
    </w:tbl>
    <w:p w14:paraId="2E25A322" w14:textId="3BF4E57E" w:rsidR="00396CB4" w:rsidRDefault="001F4B1E" w:rsidP="001F4B1E">
      <w:pPr>
        <w:rPr>
          <w:rFonts w:asciiTheme="minorHAnsi" w:hAnsiTheme="minorHAnsi"/>
          <w:sz w:val="22"/>
        </w:rPr>
      </w:pPr>
      <w:r>
        <w:lastRenderedPageBreak/>
        <w:fldChar w:fldCharType="end"/>
      </w:r>
      <w:r>
        <w:fldChar w:fldCharType="begin"/>
      </w:r>
      <w:r>
        <w:instrText xml:space="preserve"> LINK </w:instrText>
      </w:r>
      <w:r w:rsidR="00756467">
        <w:instrText xml:space="preserve">Excel.SheetMacroEnabled.12 "C:\\Users\\gcordero\\Downloads\\Notas diciembre 2024\\Formato_Notas_EEFF_Vinculadas_2024\\Formato_Notas_EEFF_Vinculadas_2024\\15603_T04_2024_Anexo_Estado_Notas_Contables_Vinculadas.xlsm" NICSP_19_PASIVO!F13C6:F18C10 </w:instrText>
      </w:r>
      <w:r>
        <w:instrText xml:space="preserve">\a \f 4 \h </w:instrText>
      </w:r>
      <w:r w:rsidR="00313CC3">
        <w:instrText xml:space="preserve"> \* MERGEFORMAT </w:instrText>
      </w:r>
      <w:r>
        <w:fldChar w:fldCharType="separate"/>
      </w:r>
    </w:p>
    <w:tbl>
      <w:tblPr>
        <w:tblW w:w="9580" w:type="dxa"/>
        <w:tblCellMar>
          <w:left w:w="70" w:type="dxa"/>
          <w:right w:w="70" w:type="dxa"/>
        </w:tblCellMar>
        <w:tblLook w:val="04A0" w:firstRow="1" w:lastRow="0" w:firstColumn="1" w:lastColumn="0" w:noHBand="0" w:noVBand="1"/>
      </w:tblPr>
      <w:tblGrid>
        <w:gridCol w:w="2317"/>
        <w:gridCol w:w="1959"/>
        <w:gridCol w:w="888"/>
        <w:gridCol w:w="2338"/>
        <w:gridCol w:w="2078"/>
      </w:tblGrid>
      <w:tr w:rsidR="00396CB4" w:rsidRPr="00396CB4" w14:paraId="352812A1" w14:textId="77777777" w:rsidTr="00396CB4">
        <w:trPr>
          <w:divId w:val="1204756256"/>
          <w:trHeight w:val="645"/>
        </w:trPr>
        <w:tc>
          <w:tcPr>
            <w:tcW w:w="2317" w:type="dxa"/>
            <w:tcBorders>
              <w:top w:val="single" w:sz="8" w:space="0" w:color="auto"/>
              <w:left w:val="single" w:sz="8" w:space="0" w:color="auto"/>
              <w:bottom w:val="single" w:sz="8" w:space="0" w:color="auto"/>
              <w:right w:val="nil"/>
            </w:tcBorders>
            <w:shd w:val="clear" w:color="000000" w:fill="1F3864"/>
            <w:vAlign w:val="center"/>
            <w:hideMark/>
          </w:tcPr>
          <w:p w14:paraId="2C56667E" w14:textId="670E642B" w:rsidR="00396CB4" w:rsidRPr="00396CB4" w:rsidRDefault="00396CB4" w:rsidP="00396CB4">
            <w:pPr>
              <w:jc w:val="center"/>
              <w:rPr>
                <w:rFonts w:eastAsia="Times New Roman" w:cs="Calibri"/>
                <w:color w:val="FFFFFF"/>
                <w:szCs w:val="24"/>
                <w:lang w:eastAsia="es-CR"/>
              </w:rPr>
            </w:pPr>
            <w:r w:rsidRPr="00396CB4">
              <w:rPr>
                <w:rFonts w:eastAsia="Times New Roman" w:cs="Calibri"/>
                <w:color w:val="FFFFFF"/>
                <w:szCs w:val="24"/>
                <w:lang w:eastAsia="es-CR"/>
              </w:rPr>
              <w:t>Resumen</w:t>
            </w:r>
            <w:r w:rsidRPr="00396CB4">
              <w:rPr>
                <w:rFonts w:eastAsia="Times New Roman" w:cs="Calibri"/>
                <w:color w:val="FFFFFF"/>
                <w:szCs w:val="24"/>
                <w:lang w:eastAsia="es-CR"/>
              </w:rPr>
              <w:br/>
              <w:t>Montos</w:t>
            </w:r>
          </w:p>
        </w:tc>
        <w:tc>
          <w:tcPr>
            <w:tcW w:w="1959" w:type="dxa"/>
            <w:tcBorders>
              <w:top w:val="single" w:sz="8" w:space="0" w:color="auto"/>
              <w:left w:val="single" w:sz="8" w:space="0" w:color="auto"/>
              <w:bottom w:val="single" w:sz="8" w:space="0" w:color="auto"/>
              <w:right w:val="nil"/>
            </w:tcBorders>
            <w:shd w:val="clear" w:color="000000" w:fill="1F3864"/>
            <w:vAlign w:val="center"/>
            <w:hideMark/>
          </w:tcPr>
          <w:p w14:paraId="09A6C4E5" w14:textId="77777777" w:rsidR="00396CB4" w:rsidRPr="00396CB4" w:rsidRDefault="00396CB4" w:rsidP="00396CB4">
            <w:pPr>
              <w:spacing w:after="0" w:line="240" w:lineRule="auto"/>
              <w:jc w:val="center"/>
              <w:rPr>
                <w:rFonts w:eastAsia="Times New Roman" w:cs="Calibri"/>
                <w:color w:val="FFFFFF"/>
                <w:szCs w:val="24"/>
                <w:lang w:eastAsia="es-CR"/>
              </w:rPr>
            </w:pPr>
            <w:r w:rsidRPr="00396CB4">
              <w:rPr>
                <w:rFonts w:eastAsia="Times New Roman" w:cs="Calibri"/>
                <w:color w:val="FFFFFF"/>
                <w:szCs w:val="24"/>
                <w:lang w:eastAsia="es-CR"/>
              </w:rPr>
              <w:t>Pasivos Contingentes</w:t>
            </w:r>
          </w:p>
        </w:tc>
        <w:tc>
          <w:tcPr>
            <w:tcW w:w="888" w:type="dxa"/>
            <w:tcBorders>
              <w:top w:val="nil"/>
              <w:left w:val="nil"/>
              <w:bottom w:val="nil"/>
              <w:right w:val="nil"/>
            </w:tcBorders>
            <w:shd w:val="clear" w:color="auto" w:fill="auto"/>
            <w:noWrap/>
            <w:vAlign w:val="bottom"/>
            <w:hideMark/>
          </w:tcPr>
          <w:p w14:paraId="5DDC45DA" w14:textId="77777777" w:rsidR="00396CB4" w:rsidRPr="00396CB4" w:rsidRDefault="00396CB4" w:rsidP="00396CB4">
            <w:pPr>
              <w:spacing w:after="0" w:line="240" w:lineRule="auto"/>
              <w:jc w:val="center"/>
              <w:rPr>
                <w:rFonts w:eastAsia="Times New Roman" w:cs="Calibri"/>
                <w:color w:val="FFFFFF"/>
                <w:szCs w:val="24"/>
                <w:lang w:eastAsia="es-CR"/>
              </w:rPr>
            </w:pPr>
          </w:p>
        </w:tc>
        <w:tc>
          <w:tcPr>
            <w:tcW w:w="2338" w:type="dxa"/>
            <w:tcBorders>
              <w:top w:val="single" w:sz="8" w:space="0" w:color="auto"/>
              <w:left w:val="single" w:sz="8" w:space="0" w:color="auto"/>
              <w:bottom w:val="single" w:sz="8" w:space="0" w:color="auto"/>
              <w:right w:val="nil"/>
            </w:tcBorders>
            <w:shd w:val="clear" w:color="000000" w:fill="1F3864"/>
            <w:vAlign w:val="center"/>
            <w:hideMark/>
          </w:tcPr>
          <w:p w14:paraId="6670B308" w14:textId="77777777" w:rsidR="00396CB4" w:rsidRPr="00396CB4" w:rsidRDefault="00396CB4" w:rsidP="00396CB4">
            <w:pPr>
              <w:spacing w:after="0" w:line="240" w:lineRule="auto"/>
              <w:jc w:val="center"/>
              <w:rPr>
                <w:rFonts w:eastAsia="Times New Roman" w:cs="Calibri"/>
                <w:color w:val="FFFFFF"/>
                <w:szCs w:val="24"/>
                <w:lang w:eastAsia="es-CR"/>
              </w:rPr>
            </w:pPr>
            <w:r w:rsidRPr="00396CB4">
              <w:rPr>
                <w:rFonts w:eastAsia="Times New Roman" w:cs="Calibri"/>
                <w:color w:val="FFFFFF"/>
                <w:szCs w:val="24"/>
                <w:lang w:eastAsia="es-CR"/>
              </w:rPr>
              <w:t>Resumen</w:t>
            </w:r>
            <w:r w:rsidRPr="00396CB4">
              <w:rPr>
                <w:rFonts w:eastAsia="Times New Roman" w:cs="Calibri"/>
                <w:color w:val="FFFFFF"/>
                <w:szCs w:val="24"/>
                <w:lang w:eastAsia="es-CR"/>
              </w:rPr>
              <w:br/>
              <w:t xml:space="preserve">Cantidad </w:t>
            </w:r>
          </w:p>
        </w:tc>
        <w:tc>
          <w:tcPr>
            <w:tcW w:w="2078" w:type="dxa"/>
            <w:tcBorders>
              <w:top w:val="single" w:sz="8" w:space="0" w:color="auto"/>
              <w:left w:val="single" w:sz="8" w:space="0" w:color="auto"/>
              <w:bottom w:val="single" w:sz="8" w:space="0" w:color="auto"/>
              <w:right w:val="nil"/>
            </w:tcBorders>
            <w:shd w:val="clear" w:color="000000" w:fill="1F3864"/>
            <w:vAlign w:val="center"/>
            <w:hideMark/>
          </w:tcPr>
          <w:p w14:paraId="0C9116E5" w14:textId="77777777" w:rsidR="00396CB4" w:rsidRPr="00396CB4" w:rsidRDefault="00396CB4" w:rsidP="00396CB4">
            <w:pPr>
              <w:spacing w:after="0" w:line="240" w:lineRule="auto"/>
              <w:jc w:val="center"/>
              <w:rPr>
                <w:rFonts w:eastAsia="Times New Roman" w:cs="Calibri"/>
                <w:color w:val="FFFFFF"/>
                <w:szCs w:val="24"/>
                <w:lang w:eastAsia="es-CR"/>
              </w:rPr>
            </w:pPr>
            <w:r w:rsidRPr="00396CB4">
              <w:rPr>
                <w:rFonts w:eastAsia="Times New Roman" w:cs="Calibri"/>
                <w:color w:val="FFFFFF"/>
                <w:szCs w:val="24"/>
                <w:lang w:eastAsia="es-CR"/>
              </w:rPr>
              <w:t>Pasivos Contingentes</w:t>
            </w:r>
          </w:p>
        </w:tc>
      </w:tr>
      <w:tr w:rsidR="00396CB4" w:rsidRPr="00396CB4" w14:paraId="6E011BD7" w14:textId="77777777" w:rsidTr="00396CB4">
        <w:trPr>
          <w:divId w:val="1204756256"/>
          <w:trHeight w:val="345"/>
        </w:trPr>
        <w:tc>
          <w:tcPr>
            <w:tcW w:w="2317" w:type="dxa"/>
            <w:tcBorders>
              <w:top w:val="nil"/>
              <w:left w:val="single" w:sz="8" w:space="0" w:color="auto"/>
              <w:bottom w:val="single" w:sz="8" w:space="0" w:color="auto"/>
              <w:right w:val="nil"/>
            </w:tcBorders>
            <w:shd w:val="clear" w:color="000000" w:fill="1F3864"/>
            <w:vAlign w:val="center"/>
            <w:hideMark/>
          </w:tcPr>
          <w:p w14:paraId="5D5F703F" w14:textId="77777777" w:rsidR="00396CB4" w:rsidRPr="00396CB4" w:rsidRDefault="00396CB4" w:rsidP="00396CB4">
            <w:pPr>
              <w:spacing w:after="0" w:line="240" w:lineRule="auto"/>
              <w:jc w:val="left"/>
              <w:rPr>
                <w:rFonts w:eastAsia="Times New Roman" w:cs="Calibri"/>
                <w:color w:val="FFFFFF"/>
                <w:szCs w:val="24"/>
                <w:lang w:eastAsia="es-CR"/>
              </w:rPr>
            </w:pPr>
            <w:r w:rsidRPr="00396CB4">
              <w:rPr>
                <w:rFonts w:eastAsia="Times New Roman" w:cs="Calibri"/>
                <w:color w:val="FFFFFF"/>
                <w:szCs w:val="24"/>
                <w:lang w:eastAsia="es-CR"/>
              </w:rPr>
              <w:t>Pretensión Inicial</w:t>
            </w:r>
          </w:p>
        </w:tc>
        <w:tc>
          <w:tcPr>
            <w:tcW w:w="1959" w:type="dxa"/>
            <w:tcBorders>
              <w:top w:val="nil"/>
              <w:left w:val="nil"/>
              <w:bottom w:val="single" w:sz="8" w:space="0" w:color="auto"/>
              <w:right w:val="single" w:sz="8" w:space="0" w:color="auto"/>
            </w:tcBorders>
            <w:shd w:val="clear" w:color="auto" w:fill="auto"/>
            <w:noWrap/>
            <w:vAlign w:val="center"/>
            <w:hideMark/>
          </w:tcPr>
          <w:p w14:paraId="3161FED9" w14:textId="77777777" w:rsidR="00396CB4" w:rsidRPr="00396CB4" w:rsidRDefault="00396CB4" w:rsidP="00396CB4">
            <w:pPr>
              <w:spacing w:after="0" w:line="240" w:lineRule="auto"/>
              <w:jc w:val="right"/>
              <w:rPr>
                <w:rFonts w:eastAsia="Times New Roman" w:cs="Calibri"/>
                <w:color w:val="000000"/>
                <w:sz w:val="20"/>
                <w:szCs w:val="20"/>
                <w:lang w:eastAsia="es-CR"/>
              </w:rPr>
            </w:pPr>
            <w:r w:rsidRPr="00396CB4">
              <w:rPr>
                <w:rFonts w:ascii="Arial" w:eastAsia="Times New Roman" w:hAnsi="Arial" w:cs="Arial"/>
                <w:color w:val="000000"/>
                <w:sz w:val="20"/>
                <w:szCs w:val="20"/>
                <w:lang w:eastAsia="es-CR"/>
              </w:rPr>
              <w:t>₡</w:t>
            </w:r>
            <w:r w:rsidRPr="00396CB4">
              <w:rPr>
                <w:rFonts w:eastAsia="Times New Roman" w:cs="Calibri"/>
                <w:color w:val="000000"/>
                <w:sz w:val="20"/>
                <w:szCs w:val="20"/>
                <w:lang w:eastAsia="es-CR"/>
              </w:rPr>
              <w:t>0,00</w:t>
            </w:r>
          </w:p>
        </w:tc>
        <w:tc>
          <w:tcPr>
            <w:tcW w:w="888" w:type="dxa"/>
            <w:tcBorders>
              <w:top w:val="nil"/>
              <w:left w:val="nil"/>
              <w:bottom w:val="nil"/>
              <w:right w:val="nil"/>
            </w:tcBorders>
            <w:shd w:val="clear" w:color="auto" w:fill="auto"/>
            <w:noWrap/>
            <w:vAlign w:val="bottom"/>
            <w:hideMark/>
          </w:tcPr>
          <w:p w14:paraId="177A9C22" w14:textId="77777777" w:rsidR="00396CB4" w:rsidRPr="00396CB4" w:rsidRDefault="00396CB4" w:rsidP="00396CB4">
            <w:pPr>
              <w:spacing w:after="0" w:line="240" w:lineRule="auto"/>
              <w:jc w:val="right"/>
              <w:rPr>
                <w:rFonts w:eastAsia="Times New Roman" w:cs="Calibri"/>
                <w:color w:val="000000"/>
                <w:sz w:val="20"/>
                <w:szCs w:val="20"/>
                <w:lang w:eastAsia="es-CR"/>
              </w:rPr>
            </w:pPr>
          </w:p>
        </w:tc>
        <w:tc>
          <w:tcPr>
            <w:tcW w:w="2338" w:type="dxa"/>
            <w:tcBorders>
              <w:top w:val="nil"/>
              <w:left w:val="single" w:sz="8" w:space="0" w:color="auto"/>
              <w:bottom w:val="single" w:sz="8" w:space="0" w:color="auto"/>
              <w:right w:val="nil"/>
            </w:tcBorders>
            <w:shd w:val="clear" w:color="000000" w:fill="1F3864"/>
            <w:vAlign w:val="center"/>
            <w:hideMark/>
          </w:tcPr>
          <w:p w14:paraId="55C47AE6" w14:textId="77777777" w:rsidR="00396CB4" w:rsidRPr="00396CB4" w:rsidRDefault="00396CB4" w:rsidP="00396CB4">
            <w:pPr>
              <w:spacing w:after="0" w:line="240" w:lineRule="auto"/>
              <w:jc w:val="left"/>
              <w:rPr>
                <w:rFonts w:eastAsia="Times New Roman" w:cs="Calibri"/>
                <w:color w:val="FFFFFF"/>
                <w:szCs w:val="24"/>
                <w:lang w:eastAsia="es-CR"/>
              </w:rPr>
            </w:pPr>
            <w:r w:rsidRPr="00396CB4">
              <w:rPr>
                <w:rFonts w:eastAsia="Times New Roman" w:cs="Calibri"/>
                <w:color w:val="FFFFFF"/>
                <w:szCs w:val="24"/>
                <w:lang w:eastAsia="es-CR"/>
              </w:rPr>
              <w:t>Pretensión Inicial</w:t>
            </w:r>
          </w:p>
        </w:tc>
        <w:tc>
          <w:tcPr>
            <w:tcW w:w="2078" w:type="dxa"/>
            <w:tcBorders>
              <w:top w:val="nil"/>
              <w:left w:val="nil"/>
              <w:bottom w:val="single" w:sz="8" w:space="0" w:color="auto"/>
              <w:right w:val="single" w:sz="8" w:space="0" w:color="auto"/>
            </w:tcBorders>
            <w:shd w:val="clear" w:color="auto" w:fill="auto"/>
            <w:noWrap/>
            <w:vAlign w:val="center"/>
            <w:hideMark/>
          </w:tcPr>
          <w:p w14:paraId="6DABAC62" w14:textId="3F67D114" w:rsidR="00396CB4" w:rsidRPr="00396CB4" w:rsidRDefault="00396CB4" w:rsidP="004803ED">
            <w:pPr>
              <w:spacing w:after="0" w:line="240" w:lineRule="auto"/>
              <w:jc w:val="right"/>
              <w:rPr>
                <w:rFonts w:eastAsia="Times New Roman" w:cs="Calibri"/>
                <w:color w:val="000000"/>
                <w:sz w:val="20"/>
                <w:szCs w:val="20"/>
                <w:lang w:eastAsia="es-CR"/>
              </w:rPr>
            </w:pPr>
            <w:r w:rsidRPr="00396CB4">
              <w:rPr>
                <w:rFonts w:eastAsia="Times New Roman" w:cs="Calibri"/>
                <w:color w:val="000000"/>
                <w:sz w:val="20"/>
                <w:szCs w:val="20"/>
                <w:lang w:eastAsia="es-CR"/>
              </w:rPr>
              <w:t> </w:t>
            </w:r>
            <w:r w:rsidR="004803ED" w:rsidRPr="00396CB4">
              <w:rPr>
                <w:rFonts w:ascii="Arial" w:eastAsia="Times New Roman" w:hAnsi="Arial" w:cs="Arial"/>
                <w:color w:val="000000"/>
                <w:sz w:val="20"/>
                <w:szCs w:val="20"/>
                <w:lang w:eastAsia="es-CR"/>
              </w:rPr>
              <w:t>₡</w:t>
            </w:r>
            <w:r w:rsidR="004803ED" w:rsidRPr="00396CB4">
              <w:rPr>
                <w:rFonts w:eastAsia="Times New Roman" w:cs="Calibri"/>
                <w:color w:val="000000"/>
                <w:sz w:val="20"/>
                <w:szCs w:val="20"/>
                <w:lang w:eastAsia="es-CR"/>
              </w:rPr>
              <w:t>0,00</w:t>
            </w:r>
          </w:p>
        </w:tc>
      </w:tr>
      <w:tr w:rsidR="00396CB4" w:rsidRPr="00396CB4" w14:paraId="76B72BA4" w14:textId="77777777" w:rsidTr="00396CB4">
        <w:trPr>
          <w:divId w:val="1204756256"/>
          <w:trHeight w:val="645"/>
        </w:trPr>
        <w:tc>
          <w:tcPr>
            <w:tcW w:w="2317" w:type="dxa"/>
            <w:tcBorders>
              <w:top w:val="nil"/>
              <w:left w:val="single" w:sz="8" w:space="0" w:color="auto"/>
              <w:bottom w:val="single" w:sz="8" w:space="0" w:color="auto"/>
              <w:right w:val="nil"/>
            </w:tcBorders>
            <w:shd w:val="clear" w:color="000000" w:fill="1F3864"/>
            <w:vAlign w:val="center"/>
            <w:hideMark/>
          </w:tcPr>
          <w:p w14:paraId="3B960B34" w14:textId="77777777" w:rsidR="00396CB4" w:rsidRPr="00396CB4" w:rsidRDefault="00396CB4" w:rsidP="00396CB4">
            <w:pPr>
              <w:spacing w:after="0" w:line="240" w:lineRule="auto"/>
              <w:jc w:val="left"/>
              <w:rPr>
                <w:rFonts w:eastAsia="Times New Roman" w:cs="Calibri"/>
                <w:color w:val="FFFFFF"/>
                <w:szCs w:val="24"/>
                <w:lang w:eastAsia="es-CR"/>
              </w:rPr>
            </w:pPr>
            <w:r w:rsidRPr="00396CB4">
              <w:rPr>
                <w:rFonts w:eastAsia="Times New Roman" w:cs="Calibri"/>
                <w:color w:val="FFFFFF"/>
                <w:szCs w:val="24"/>
                <w:lang w:eastAsia="es-CR"/>
              </w:rPr>
              <w:t>Resolución provisional 1</w:t>
            </w:r>
          </w:p>
        </w:tc>
        <w:tc>
          <w:tcPr>
            <w:tcW w:w="1959" w:type="dxa"/>
            <w:tcBorders>
              <w:top w:val="nil"/>
              <w:left w:val="nil"/>
              <w:bottom w:val="single" w:sz="8" w:space="0" w:color="auto"/>
              <w:right w:val="single" w:sz="8" w:space="0" w:color="auto"/>
            </w:tcBorders>
            <w:shd w:val="clear" w:color="auto" w:fill="auto"/>
            <w:noWrap/>
            <w:vAlign w:val="center"/>
            <w:hideMark/>
          </w:tcPr>
          <w:p w14:paraId="0638ACBA" w14:textId="77777777" w:rsidR="00396CB4" w:rsidRPr="00396CB4" w:rsidRDefault="00396CB4" w:rsidP="00396CB4">
            <w:pPr>
              <w:spacing w:after="0" w:line="240" w:lineRule="auto"/>
              <w:jc w:val="right"/>
              <w:rPr>
                <w:rFonts w:eastAsia="Times New Roman" w:cs="Calibri"/>
                <w:color w:val="000000"/>
                <w:sz w:val="20"/>
                <w:szCs w:val="20"/>
                <w:lang w:eastAsia="es-CR"/>
              </w:rPr>
            </w:pPr>
            <w:r w:rsidRPr="00396CB4">
              <w:rPr>
                <w:rFonts w:ascii="Arial" w:eastAsia="Times New Roman" w:hAnsi="Arial" w:cs="Arial"/>
                <w:color w:val="000000"/>
                <w:sz w:val="20"/>
                <w:szCs w:val="20"/>
                <w:lang w:eastAsia="es-CR"/>
              </w:rPr>
              <w:t>₡</w:t>
            </w:r>
            <w:r w:rsidRPr="00396CB4">
              <w:rPr>
                <w:rFonts w:eastAsia="Times New Roman" w:cs="Calibri"/>
                <w:color w:val="000000"/>
                <w:sz w:val="20"/>
                <w:szCs w:val="20"/>
                <w:lang w:eastAsia="es-CR"/>
              </w:rPr>
              <w:t>0,00</w:t>
            </w:r>
          </w:p>
        </w:tc>
        <w:tc>
          <w:tcPr>
            <w:tcW w:w="888" w:type="dxa"/>
            <w:tcBorders>
              <w:top w:val="nil"/>
              <w:left w:val="nil"/>
              <w:bottom w:val="nil"/>
              <w:right w:val="nil"/>
            </w:tcBorders>
            <w:shd w:val="clear" w:color="auto" w:fill="auto"/>
            <w:noWrap/>
            <w:vAlign w:val="bottom"/>
            <w:hideMark/>
          </w:tcPr>
          <w:p w14:paraId="4746FF16" w14:textId="77777777" w:rsidR="00396CB4" w:rsidRPr="00396CB4" w:rsidRDefault="00396CB4" w:rsidP="00396CB4">
            <w:pPr>
              <w:spacing w:after="0" w:line="240" w:lineRule="auto"/>
              <w:jc w:val="right"/>
              <w:rPr>
                <w:rFonts w:eastAsia="Times New Roman" w:cs="Calibri"/>
                <w:color w:val="000000"/>
                <w:sz w:val="20"/>
                <w:szCs w:val="20"/>
                <w:lang w:eastAsia="es-CR"/>
              </w:rPr>
            </w:pPr>
          </w:p>
        </w:tc>
        <w:tc>
          <w:tcPr>
            <w:tcW w:w="2338" w:type="dxa"/>
            <w:tcBorders>
              <w:top w:val="nil"/>
              <w:left w:val="single" w:sz="8" w:space="0" w:color="auto"/>
              <w:bottom w:val="single" w:sz="8" w:space="0" w:color="auto"/>
              <w:right w:val="nil"/>
            </w:tcBorders>
            <w:shd w:val="clear" w:color="000000" w:fill="1F3864"/>
            <w:vAlign w:val="center"/>
            <w:hideMark/>
          </w:tcPr>
          <w:p w14:paraId="09B4CC95" w14:textId="77777777" w:rsidR="00396CB4" w:rsidRPr="00396CB4" w:rsidRDefault="00396CB4" w:rsidP="00396CB4">
            <w:pPr>
              <w:spacing w:after="0" w:line="240" w:lineRule="auto"/>
              <w:jc w:val="left"/>
              <w:rPr>
                <w:rFonts w:eastAsia="Times New Roman" w:cs="Calibri"/>
                <w:color w:val="FFFFFF"/>
                <w:szCs w:val="24"/>
                <w:lang w:eastAsia="es-CR"/>
              </w:rPr>
            </w:pPr>
            <w:r w:rsidRPr="00396CB4">
              <w:rPr>
                <w:rFonts w:eastAsia="Times New Roman" w:cs="Calibri"/>
                <w:color w:val="FFFFFF"/>
                <w:szCs w:val="24"/>
                <w:lang w:eastAsia="es-CR"/>
              </w:rPr>
              <w:t>Resolución provisional 1</w:t>
            </w:r>
          </w:p>
        </w:tc>
        <w:tc>
          <w:tcPr>
            <w:tcW w:w="2078" w:type="dxa"/>
            <w:tcBorders>
              <w:top w:val="nil"/>
              <w:left w:val="nil"/>
              <w:bottom w:val="single" w:sz="8" w:space="0" w:color="auto"/>
              <w:right w:val="single" w:sz="8" w:space="0" w:color="auto"/>
            </w:tcBorders>
            <w:shd w:val="clear" w:color="auto" w:fill="auto"/>
            <w:noWrap/>
            <w:vAlign w:val="center"/>
            <w:hideMark/>
          </w:tcPr>
          <w:p w14:paraId="78191E95" w14:textId="6747A1A9" w:rsidR="00396CB4" w:rsidRPr="00313CC3" w:rsidRDefault="00396CB4" w:rsidP="00313CC3">
            <w:pPr>
              <w:spacing w:after="0" w:line="240" w:lineRule="auto"/>
              <w:jc w:val="right"/>
              <w:rPr>
                <w:rFonts w:eastAsia="Times New Roman" w:cs="Calibri"/>
                <w:color w:val="000000"/>
                <w:sz w:val="20"/>
                <w:szCs w:val="20"/>
                <w:lang w:eastAsia="es-CR"/>
              </w:rPr>
            </w:pPr>
            <w:r w:rsidRPr="00313CC3">
              <w:rPr>
                <w:rFonts w:eastAsia="Times New Roman" w:cs="Calibri"/>
                <w:color w:val="000000"/>
                <w:sz w:val="20"/>
                <w:szCs w:val="20"/>
                <w:lang w:eastAsia="es-CR"/>
              </w:rPr>
              <w:t> </w:t>
            </w:r>
            <w:r w:rsidR="00313CC3" w:rsidRPr="00313CC3">
              <w:rPr>
                <w:rFonts w:ascii="Arial" w:eastAsia="Times New Roman" w:hAnsi="Arial" w:cs="Arial"/>
                <w:color w:val="000000"/>
                <w:sz w:val="20"/>
                <w:szCs w:val="20"/>
                <w:lang w:eastAsia="es-CR"/>
              </w:rPr>
              <w:t>₡</w:t>
            </w:r>
            <w:r w:rsidR="00313CC3" w:rsidRPr="00313CC3">
              <w:rPr>
                <w:rFonts w:eastAsia="Times New Roman" w:cs="Calibri"/>
                <w:color w:val="000000"/>
                <w:sz w:val="20"/>
                <w:szCs w:val="20"/>
                <w:lang w:eastAsia="es-CR"/>
              </w:rPr>
              <w:t>0,00</w:t>
            </w:r>
          </w:p>
        </w:tc>
      </w:tr>
      <w:tr w:rsidR="00396CB4" w:rsidRPr="00396CB4" w14:paraId="43B616C0" w14:textId="77777777" w:rsidTr="00396CB4">
        <w:trPr>
          <w:divId w:val="1204756256"/>
          <w:trHeight w:val="645"/>
        </w:trPr>
        <w:tc>
          <w:tcPr>
            <w:tcW w:w="2317" w:type="dxa"/>
            <w:tcBorders>
              <w:top w:val="nil"/>
              <w:left w:val="single" w:sz="8" w:space="0" w:color="auto"/>
              <w:bottom w:val="single" w:sz="8" w:space="0" w:color="auto"/>
              <w:right w:val="nil"/>
            </w:tcBorders>
            <w:shd w:val="clear" w:color="000000" w:fill="1F3864"/>
            <w:vAlign w:val="center"/>
            <w:hideMark/>
          </w:tcPr>
          <w:p w14:paraId="6C1239F9" w14:textId="77777777" w:rsidR="00396CB4" w:rsidRPr="00396CB4" w:rsidRDefault="00396CB4" w:rsidP="00396CB4">
            <w:pPr>
              <w:spacing w:after="0" w:line="240" w:lineRule="auto"/>
              <w:jc w:val="left"/>
              <w:rPr>
                <w:rFonts w:eastAsia="Times New Roman" w:cs="Calibri"/>
                <w:color w:val="FFFFFF"/>
                <w:szCs w:val="24"/>
                <w:lang w:eastAsia="es-CR"/>
              </w:rPr>
            </w:pPr>
            <w:r w:rsidRPr="00396CB4">
              <w:rPr>
                <w:rFonts w:eastAsia="Times New Roman" w:cs="Calibri"/>
                <w:color w:val="FFFFFF"/>
                <w:szCs w:val="24"/>
                <w:lang w:eastAsia="es-CR"/>
              </w:rPr>
              <w:t>Resolución provisional 2</w:t>
            </w:r>
          </w:p>
        </w:tc>
        <w:tc>
          <w:tcPr>
            <w:tcW w:w="1959" w:type="dxa"/>
            <w:tcBorders>
              <w:top w:val="nil"/>
              <w:left w:val="nil"/>
              <w:bottom w:val="single" w:sz="8" w:space="0" w:color="auto"/>
              <w:right w:val="single" w:sz="8" w:space="0" w:color="auto"/>
            </w:tcBorders>
            <w:shd w:val="clear" w:color="auto" w:fill="auto"/>
            <w:noWrap/>
            <w:vAlign w:val="center"/>
            <w:hideMark/>
          </w:tcPr>
          <w:p w14:paraId="1246E7FE" w14:textId="77777777" w:rsidR="00396CB4" w:rsidRPr="00396CB4" w:rsidRDefault="00396CB4" w:rsidP="00396CB4">
            <w:pPr>
              <w:spacing w:after="0" w:line="240" w:lineRule="auto"/>
              <w:jc w:val="right"/>
              <w:rPr>
                <w:rFonts w:eastAsia="Times New Roman" w:cs="Calibri"/>
                <w:color w:val="000000"/>
                <w:sz w:val="20"/>
                <w:szCs w:val="20"/>
                <w:lang w:eastAsia="es-CR"/>
              </w:rPr>
            </w:pPr>
            <w:r w:rsidRPr="00396CB4">
              <w:rPr>
                <w:rFonts w:ascii="Arial" w:eastAsia="Times New Roman" w:hAnsi="Arial" w:cs="Arial"/>
                <w:color w:val="000000"/>
                <w:sz w:val="20"/>
                <w:szCs w:val="20"/>
                <w:lang w:eastAsia="es-CR"/>
              </w:rPr>
              <w:t>₡</w:t>
            </w:r>
            <w:r w:rsidRPr="00396CB4">
              <w:rPr>
                <w:rFonts w:eastAsia="Times New Roman" w:cs="Calibri"/>
                <w:color w:val="000000"/>
                <w:sz w:val="20"/>
                <w:szCs w:val="20"/>
                <w:lang w:eastAsia="es-CR"/>
              </w:rPr>
              <w:t>0,00</w:t>
            </w:r>
          </w:p>
        </w:tc>
        <w:tc>
          <w:tcPr>
            <w:tcW w:w="888" w:type="dxa"/>
            <w:tcBorders>
              <w:top w:val="nil"/>
              <w:left w:val="nil"/>
              <w:bottom w:val="nil"/>
              <w:right w:val="nil"/>
            </w:tcBorders>
            <w:shd w:val="clear" w:color="auto" w:fill="auto"/>
            <w:noWrap/>
            <w:vAlign w:val="bottom"/>
            <w:hideMark/>
          </w:tcPr>
          <w:p w14:paraId="453EA95B" w14:textId="77777777" w:rsidR="00396CB4" w:rsidRPr="00396CB4" w:rsidRDefault="00396CB4" w:rsidP="00396CB4">
            <w:pPr>
              <w:spacing w:after="0" w:line="240" w:lineRule="auto"/>
              <w:jc w:val="right"/>
              <w:rPr>
                <w:rFonts w:eastAsia="Times New Roman" w:cs="Calibri"/>
                <w:color w:val="000000"/>
                <w:sz w:val="20"/>
                <w:szCs w:val="20"/>
                <w:lang w:eastAsia="es-CR"/>
              </w:rPr>
            </w:pPr>
          </w:p>
        </w:tc>
        <w:tc>
          <w:tcPr>
            <w:tcW w:w="2338" w:type="dxa"/>
            <w:tcBorders>
              <w:top w:val="nil"/>
              <w:left w:val="single" w:sz="8" w:space="0" w:color="auto"/>
              <w:bottom w:val="single" w:sz="8" w:space="0" w:color="auto"/>
              <w:right w:val="nil"/>
            </w:tcBorders>
            <w:shd w:val="clear" w:color="000000" w:fill="1F3864"/>
            <w:vAlign w:val="center"/>
            <w:hideMark/>
          </w:tcPr>
          <w:p w14:paraId="0FF3D6BD" w14:textId="77777777" w:rsidR="00396CB4" w:rsidRPr="00396CB4" w:rsidRDefault="00396CB4" w:rsidP="00396CB4">
            <w:pPr>
              <w:spacing w:after="0" w:line="240" w:lineRule="auto"/>
              <w:jc w:val="left"/>
              <w:rPr>
                <w:rFonts w:eastAsia="Times New Roman" w:cs="Calibri"/>
                <w:color w:val="FFFFFF"/>
                <w:szCs w:val="24"/>
                <w:lang w:eastAsia="es-CR"/>
              </w:rPr>
            </w:pPr>
            <w:r w:rsidRPr="00396CB4">
              <w:rPr>
                <w:rFonts w:eastAsia="Times New Roman" w:cs="Calibri"/>
                <w:color w:val="FFFFFF"/>
                <w:szCs w:val="24"/>
                <w:lang w:eastAsia="es-CR"/>
              </w:rPr>
              <w:t>Resolución provisional 2</w:t>
            </w:r>
          </w:p>
        </w:tc>
        <w:tc>
          <w:tcPr>
            <w:tcW w:w="2078" w:type="dxa"/>
            <w:tcBorders>
              <w:top w:val="nil"/>
              <w:left w:val="nil"/>
              <w:bottom w:val="single" w:sz="8" w:space="0" w:color="auto"/>
              <w:right w:val="single" w:sz="8" w:space="0" w:color="auto"/>
            </w:tcBorders>
            <w:shd w:val="clear" w:color="auto" w:fill="auto"/>
            <w:noWrap/>
            <w:vAlign w:val="center"/>
            <w:hideMark/>
          </w:tcPr>
          <w:p w14:paraId="1881B980" w14:textId="28DDFD35" w:rsidR="00396CB4" w:rsidRPr="00313CC3" w:rsidRDefault="00396CB4" w:rsidP="00313CC3">
            <w:pPr>
              <w:spacing w:after="0" w:line="240" w:lineRule="auto"/>
              <w:jc w:val="right"/>
              <w:rPr>
                <w:rFonts w:eastAsia="Times New Roman" w:cs="Calibri"/>
                <w:color w:val="000000"/>
                <w:sz w:val="20"/>
                <w:szCs w:val="20"/>
                <w:lang w:eastAsia="es-CR"/>
              </w:rPr>
            </w:pPr>
            <w:r w:rsidRPr="00313CC3">
              <w:rPr>
                <w:rFonts w:eastAsia="Times New Roman" w:cs="Calibri"/>
                <w:color w:val="000000"/>
                <w:sz w:val="20"/>
                <w:szCs w:val="20"/>
                <w:lang w:eastAsia="es-CR"/>
              </w:rPr>
              <w:t> </w:t>
            </w:r>
            <w:r w:rsidR="00313CC3" w:rsidRPr="00313CC3">
              <w:rPr>
                <w:rFonts w:ascii="Arial" w:eastAsia="Times New Roman" w:hAnsi="Arial" w:cs="Arial"/>
                <w:color w:val="000000"/>
                <w:sz w:val="20"/>
                <w:szCs w:val="20"/>
                <w:lang w:eastAsia="es-CR"/>
              </w:rPr>
              <w:t>₡</w:t>
            </w:r>
            <w:r w:rsidR="00313CC3" w:rsidRPr="00313CC3">
              <w:rPr>
                <w:rFonts w:eastAsia="Times New Roman" w:cs="Calibri"/>
                <w:color w:val="000000"/>
                <w:sz w:val="20"/>
                <w:szCs w:val="20"/>
                <w:lang w:eastAsia="es-CR"/>
              </w:rPr>
              <w:t>0,00</w:t>
            </w:r>
          </w:p>
        </w:tc>
      </w:tr>
      <w:tr w:rsidR="00396CB4" w:rsidRPr="00396CB4" w14:paraId="71EA2632" w14:textId="77777777" w:rsidTr="00396CB4">
        <w:trPr>
          <w:divId w:val="1204756256"/>
          <w:trHeight w:val="345"/>
        </w:trPr>
        <w:tc>
          <w:tcPr>
            <w:tcW w:w="2317" w:type="dxa"/>
            <w:tcBorders>
              <w:top w:val="nil"/>
              <w:left w:val="single" w:sz="8" w:space="0" w:color="auto"/>
              <w:bottom w:val="single" w:sz="8" w:space="0" w:color="auto"/>
              <w:right w:val="nil"/>
            </w:tcBorders>
            <w:shd w:val="clear" w:color="000000" w:fill="1F3864"/>
            <w:vAlign w:val="center"/>
            <w:hideMark/>
          </w:tcPr>
          <w:p w14:paraId="3B93A6E1" w14:textId="77777777" w:rsidR="00396CB4" w:rsidRPr="00396CB4" w:rsidRDefault="00396CB4" w:rsidP="00396CB4">
            <w:pPr>
              <w:spacing w:after="0" w:line="240" w:lineRule="auto"/>
              <w:jc w:val="left"/>
              <w:rPr>
                <w:rFonts w:eastAsia="Times New Roman" w:cs="Calibri"/>
                <w:color w:val="FFFFFF"/>
                <w:szCs w:val="24"/>
                <w:lang w:eastAsia="es-CR"/>
              </w:rPr>
            </w:pPr>
            <w:r w:rsidRPr="00396CB4">
              <w:rPr>
                <w:rFonts w:eastAsia="Times New Roman" w:cs="Calibri"/>
                <w:color w:val="FFFFFF"/>
                <w:szCs w:val="24"/>
                <w:lang w:eastAsia="es-CR"/>
              </w:rPr>
              <w:t>Resolución en firme</w:t>
            </w:r>
          </w:p>
        </w:tc>
        <w:tc>
          <w:tcPr>
            <w:tcW w:w="1959" w:type="dxa"/>
            <w:tcBorders>
              <w:top w:val="nil"/>
              <w:left w:val="nil"/>
              <w:bottom w:val="single" w:sz="8" w:space="0" w:color="auto"/>
              <w:right w:val="single" w:sz="8" w:space="0" w:color="auto"/>
            </w:tcBorders>
            <w:shd w:val="clear" w:color="auto" w:fill="auto"/>
            <w:noWrap/>
            <w:vAlign w:val="center"/>
            <w:hideMark/>
          </w:tcPr>
          <w:p w14:paraId="2A75EB7E" w14:textId="77777777" w:rsidR="00396CB4" w:rsidRPr="00396CB4" w:rsidRDefault="00396CB4" w:rsidP="00396CB4">
            <w:pPr>
              <w:spacing w:after="0" w:line="240" w:lineRule="auto"/>
              <w:jc w:val="right"/>
              <w:rPr>
                <w:rFonts w:eastAsia="Times New Roman" w:cs="Calibri"/>
                <w:color w:val="000000"/>
                <w:sz w:val="20"/>
                <w:szCs w:val="20"/>
                <w:lang w:eastAsia="es-CR"/>
              </w:rPr>
            </w:pPr>
            <w:r w:rsidRPr="00396CB4">
              <w:rPr>
                <w:rFonts w:ascii="Arial" w:eastAsia="Times New Roman" w:hAnsi="Arial" w:cs="Arial"/>
                <w:color w:val="000000"/>
                <w:sz w:val="20"/>
                <w:szCs w:val="20"/>
                <w:lang w:eastAsia="es-CR"/>
              </w:rPr>
              <w:t>₡</w:t>
            </w:r>
            <w:r w:rsidRPr="00396CB4">
              <w:rPr>
                <w:rFonts w:eastAsia="Times New Roman" w:cs="Calibri"/>
                <w:color w:val="000000"/>
                <w:sz w:val="20"/>
                <w:szCs w:val="20"/>
                <w:lang w:eastAsia="es-CR"/>
              </w:rPr>
              <w:t>0,00</w:t>
            </w:r>
          </w:p>
        </w:tc>
        <w:tc>
          <w:tcPr>
            <w:tcW w:w="888" w:type="dxa"/>
            <w:tcBorders>
              <w:top w:val="nil"/>
              <w:left w:val="nil"/>
              <w:bottom w:val="nil"/>
              <w:right w:val="nil"/>
            </w:tcBorders>
            <w:shd w:val="clear" w:color="auto" w:fill="auto"/>
            <w:noWrap/>
            <w:vAlign w:val="bottom"/>
            <w:hideMark/>
          </w:tcPr>
          <w:p w14:paraId="08D80DE1" w14:textId="77777777" w:rsidR="00396CB4" w:rsidRPr="00396CB4" w:rsidRDefault="00396CB4" w:rsidP="00396CB4">
            <w:pPr>
              <w:spacing w:after="0" w:line="240" w:lineRule="auto"/>
              <w:jc w:val="right"/>
              <w:rPr>
                <w:rFonts w:eastAsia="Times New Roman" w:cs="Calibri"/>
                <w:color w:val="000000"/>
                <w:sz w:val="20"/>
                <w:szCs w:val="20"/>
                <w:lang w:eastAsia="es-CR"/>
              </w:rPr>
            </w:pPr>
          </w:p>
        </w:tc>
        <w:tc>
          <w:tcPr>
            <w:tcW w:w="2338" w:type="dxa"/>
            <w:tcBorders>
              <w:top w:val="nil"/>
              <w:left w:val="single" w:sz="8" w:space="0" w:color="auto"/>
              <w:bottom w:val="single" w:sz="8" w:space="0" w:color="auto"/>
              <w:right w:val="nil"/>
            </w:tcBorders>
            <w:shd w:val="clear" w:color="000000" w:fill="1F3864"/>
            <w:vAlign w:val="center"/>
            <w:hideMark/>
          </w:tcPr>
          <w:p w14:paraId="639920B1" w14:textId="77777777" w:rsidR="00396CB4" w:rsidRPr="00396CB4" w:rsidRDefault="00396CB4" w:rsidP="00396CB4">
            <w:pPr>
              <w:spacing w:after="0" w:line="240" w:lineRule="auto"/>
              <w:jc w:val="left"/>
              <w:rPr>
                <w:rFonts w:eastAsia="Times New Roman" w:cs="Calibri"/>
                <w:color w:val="FFFFFF"/>
                <w:szCs w:val="24"/>
                <w:lang w:eastAsia="es-CR"/>
              </w:rPr>
            </w:pPr>
            <w:r w:rsidRPr="00396CB4">
              <w:rPr>
                <w:rFonts w:eastAsia="Times New Roman" w:cs="Calibri"/>
                <w:color w:val="FFFFFF"/>
                <w:szCs w:val="24"/>
                <w:lang w:eastAsia="es-CR"/>
              </w:rPr>
              <w:t>Resolución en firme</w:t>
            </w:r>
          </w:p>
        </w:tc>
        <w:tc>
          <w:tcPr>
            <w:tcW w:w="2078" w:type="dxa"/>
            <w:tcBorders>
              <w:top w:val="nil"/>
              <w:left w:val="nil"/>
              <w:bottom w:val="single" w:sz="8" w:space="0" w:color="auto"/>
              <w:right w:val="single" w:sz="8" w:space="0" w:color="auto"/>
            </w:tcBorders>
            <w:shd w:val="clear" w:color="auto" w:fill="auto"/>
            <w:noWrap/>
            <w:vAlign w:val="center"/>
            <w:hideMark/>
          </w:tcPr>
          <w:p w14:paraId="048809BC" w14:textId="02DB0F13" w:rsidR="00396CB4" w:rsidRPr="00313CC3" w:rsidRDefault="00396CB4" w:rsidP="00313CC3">
            <w:pPr>
              <w:spacing w:after="0" w:line="240" w:lineRule="auto"/>
              <w:jc w:val="right"/>
              <w:rPr>
                <w:rFonts w:eastAsia="Times New Roman" w:cs="Calibri"/>
                <w:color w:val="000000"/>
                <w:sz w:val="20"/>
                <w:szCs w:val="20"/>
                <w:lang w:eastAsia="es-CR"/>
              </w:rPr>
            </w:pPr>
            <w:r w:rsidRPr="00313CC3">
              <w:rPr>
                <w:rFonts w:eastAsia="Times New Roman" w:cs="Calibri"/>
                <w:color w:val="000000"/>
                <w:sz w:val="20"/>
                <w:szCs w:val="20"/>
                <w:lang w:eastAsia="es-CR"/>
              </w:rPr>
              <w:t> </w:t>
            </w:r>
            <w:r w:rsidR="00313CC3" w:rsidRPr="00313CC3">
              <w:rPr>
                <w:rFonts w:ascii="Arial" w:eastAsia="Times New Roman" w:hAnsi="Arial" w:cs="Arial"/>
                <w:color w:val="000000"/>
                <w:sz w:val="20"/>
                <w:szCs w:val="20"/>
                <w:lang w:eastAsia="es-CR"/>
              </w:rPr>
              <w:t>₡</w:t>
            </w:r>
            <w:r w:rsidR="00313CC3" w:rsidRPr="00313CC3">
              <w:rPr>
                <w:rFonts w:eastAsia="Times New Roman" w:cs="Calibri"/>
                <w:color w:val="000000"/>
                <w:sz w:val="20"/>
                <w:szCs w:val="20"/>
                <w:lang w:eastAsia="es-CR"/>
              </w:rPr>
              <w:t>0,00</w:t>
            </w:r>
          </w:p>
        </w:tc>
      </w:tr>
      <w:tr w:rsidR="00396CB4" w:rsidRPr="00396CB4" w14:paraId="159A99E3" w14:textId="77777777" w:rsidTr="00396CB4">
        <w:trPr>
          <w:divId w:val="1204756256"/>
          <w:trHeight w:val="345"/>
        </w:trPr>
        <w:tc>
          <w:tcPr>
            <w:tcW w:w="2317" w:type="dxa"/>
            <w:tcBorders>
              <w:top w:val="nil"/>
              <w:left w:val="single" w:sz="8" w:space="0" w:color="auto"/>
              <w:bottom w:val="single" w:sz="8" w:space="0" w:color="auto"/>
              <w:right w:val="nil"/>
            </w:tcBorders>
            <w:shd w:val="clear" w:color="000000" w:fill="1F3864"/>
            <w:vAlign w:val="center"/>
            <w:hideMark/>
          </w:tcPr>
          <w:p w14:paraId="3EC82F25" w14:textId="77777777" w:rsidR="00396CB4" w:rsidRPr="00396CB4" w:rsidRDefault="00396CB4" w:rsidP="00396CB4">
            <w:pPr>
              <w:spacing w:after="0" w:line="240" w:lineRule="auto"/>
              <w:jc w:val="left"/>
              <w:rPr>
                <w:rFonts w:eastAsia="Times New Roman" w:cs="Calibri"/>
                <w:color w:val="FFFFFF"/>
                <w:szCs w:val="24"/>
                <w:lang w:eastAsia="es-CR"/>
              </w:rPr>
            </w:pPr>
            <w:r w:rsidRPr="00396CB4">
              <w:rPr>
                <w:rFonts w:eastAsia="Times New Roman" w:cs="Calibri"/>
                <w:color w:val="FFFFFF"/>
                <w:szCs w:val="24"/>
                <w:lang w:eastAsia="es-CR"/>
              </w:rPr>
              <w:t>GRAN TOTAL</w:t>
            </w:r>
          </w:p>
        </w:tc>
        <w:tc>
          <w:tcPr>
            <w:tcW w:w="1959" w:type="dxa"/>
            <w:tcBorders>
              <w:top w:val="nil"/>
              <w:left w:val="nil"/>
              <w:bottom w:val="single" w:sz="8" w:space="0" w:color="auto"/>
              <w:right w:val="single" w:sz="8" w:space="0" w:color="auto"/>
            </w:tcBorders>
            <w:shd w:val="clear" w:color="auto" w:fill="auto"/>
            <w:noWrap/>
            <w:vAlign w:val="center"/>
            <w:hideMark/>
          </w:tcPr>
          <w:p w14:paraId="20C57656" w14:textId="77777777" w:rsidR="00396CB4" w:rsidRPr="00396CB4" w:rsidRDefault="00396CB4" w:rsidP="00396CB4">
            <w:pPr>
              <w:spacing w:after="0" w:line="240" w:lineRule="auto"/>
              <w:jc w:val="right"/>
              <w:rPr>
                <w:rFonts w:eastAsia="Times New Roman" w:cs="Calibri"/>
                <w:b/>
                <w:bCs/>
                <w:color w:val="000000"/>
                <w:sz w:val="20"/>
                <w:szCs w:val="20"/>
                <w:lang w:eastAsia="es-CR"/>
              </w:rPr>
            </w:pPr>
            <w:r w:rsidRPr="00396CB4">
              <w:rPr>
                <w:rFonts w:ascii="Arial" w:eastAsia="Times New Roman" w:hAnsi="Arial" w:cs="Arial"/>
                <w:b/>
                <w:bCs/>
                <w:color w:val="000000"/>
                <w:sz w:val="20"/>
                <w:szCs w:val="20"/>
                <w:lang w:eastAsia="es-CR"/>
              </w:rPr>
              <w:t>₡</w:t>
            </w:r>
            <w:r w:rsidRPr="00396CB4">
              <w:rPr>
                <w:rFonts w:eastAsia="Times New Roman" w:cs="Calibri"/>
                <w:b/>
                <w:bCs/>
                <w:color w:val="000000"/>
                <w:sz w:val="20"/>
                <w:szCs w:val="20"/>
                <w:lang w:eastAsia="es-CR"/>
              </w:rPr>
              <w:t>0,00</w:t>
            </w:r>
          </w:p>
        </w:tc>
        <w:tc>
          <w:tcPr>
            <w:tcW w:w="888" w:type="dxa"/>
            <w:tcBorders>
              <w:top w:val="nil"/>
              <w:left w:val="nil"/>
              <w:bottom w:val="nil"/>
              <w:right w:val="nil"/>
            </w:tcBorders>
            <w:shd w:val="clear" w:color="auto" w:fill="auto"/>
            <w:noWrap/>
            <w:vAlign w:val="bottom"/>
            <w:hideMark/>
          </w:tcPr>
          <w:p w14:paraId="52597731" w14:textId="77777777" w:rsidR="00396CB4" w:rsidRPr="00396CB4" w:rsidRDefault="00396CB4" w:rsidP="00396CB4">
            <w:pPr>
              <w:spacing w:after="0" w:line="240" w:lineRule="auto"/>
              <w:jc w:val="right"/>
              <w:rPr>
                <w:rFonts w:eastAsia="Times New Roman" w:cs="Calibri"/>
                <w:b/>
                <w:bCs/>
                <w:color w:val="000000"/>
                <w:sz w:val="20"/>
                <w:szCs w:val="20"/>
                <w:lang w:eastAsia="es-CR"/>
              </w:rPr>
            </w:pPr>
          </w:p>
        </w:tc>
        <w:tc>
          <w:tcPr>
            <w:tcW w:w="2338" w:type="dxa"/>
            <w:tcBorders>
              <w:top w:val="nil"/>
              <w:left w:val="single" w:sz="8" w:space="0" w:color="auto"/>
              <w:bottom w:val="single" w:sz="8" w:space="0" w:color="auto"/>
              <w:right w:val="nil"/>
            </w:tcBorders>
            <w:shd w:val="clear" w:color="000000" w:fill="1F3864"/>
            <w:vAlign w:val="center"/>
            <w:hideMark/>
          </w:tcPr>
          <w:p w14:paraId="4D3E643F" w14:textId="77777777" w:rsidR="00396CB4" w:rsidRPr="00396CB4" w:rsidRDefault="00396CB4" w:rsidP="00396CB4">
            <w:pPr>
              <w:spacing w:after="0" w:line="240" w:lineRule="auto"/>
              <w:jc w:val="left"/>
              <w:rPr>
                <w:rFonts w:eastAsia="Times New Roman" w:cs="Calibri"/>
                <w:color w:val="FFFFFF"/>
                <w:szCs w:val="24"/>
                <w:lang w:eastAsia="es-CR"/>
              </w:rPr>
            </w:pPr>
            <w:r w:rsidRPr="00396CB4">
              <w:rPr>
                <w:rFonts w:eastAsia="Times New Roman" w:cs="Calibri"/>
                <w:color w:val="FFFFFF"/>
                <w:szCs w:val="24"/>
                <w:lang w:eastAsia="es-CR"/>
              </w:rPr>
              <w:t>GRAN TOTAL</w:t>
            </w:r>
          </w:p>
        </w:tc>
        <w:tc>
          <w:tcPr>
            <w:tcW w:w="2078" w:type="dxa"/>
            <w:tcBorders>
              <w:top w:val="nil"/>
              <w:left w:val="nil"/>
              <w:bottom w:val="single" w:sz="8" w:space="0" w:color="auto"/>
              <w:right w:val="single" w:sz="8" w:space="0" w:color="auto"/>
            </w:tcBorders>
            <w:shd w:val="clear" w:color="auto" w:fill="auto"/>
            <w:noWrap/>
            <w:vAlign w:val="center"/>
            <w:hideMark/>
          </w:tcPr>
          <w:p w14:paraId="6D98AFBB" w14:textId="43432B25" w:rsidR="00396CB4" w:rsidRPr="00396CB4" w:rsidRDefault="00313CC3" w:rsidP="00396CB4">
            <w:pPr>
              <w:spacing w:after="0" w:line="240" w:lineRule="auto"/>
              <w:jc w:val="right"/>
              <w:rPr>
                <w:rFonts w:eastAsia="Times New Roman" w:cs="Calibri"/>
                <w:b/>
                <w:bCs/>
                <w:color w:val="000000"/>
                <w:sz w:val="20"/>
                <w:szCs w:val="20"/>
                <w:lang w:eastAsia="es-CR"/>
              </w:rPr>
            </w:pPr>
            <w:r w:rsidRPr="00396CB4">
              <w:rPr>
                <w:rFonts w:ascii="Arial" w:eastAsia="Times New Roman" w:hAnsi="Arial" w:cs="Arial"/>
                <w:b/>
                <w:bCs/>
                <w:color w:val="000000"/>
                <w:sz w:val="20"/>
                <w:szCs w:val="20"/>
                <w:lang w:eastAsia="es-CR"/>
              </w:rPr>
              <w:t>₡</w:t>
            </w:r>
            <w:r w:rsidRPr="00396CB4">
              <w:rPr>
                <w:rFonts w:eastAsia="Times New Roman" w:cs="Calibri"/>
                <w:b/>
                <w:bCs/>
                <w:color w:val="000000"/>
                <w:sz w:val="20"/>
                <w:szCs w:val="20"/>
                <w:lang w:eastAsia="es-CR"/>
              </w:rPr>
              <w:t>0,0</w:t>
            </w:r>
            <w:r w:rsidR="00396CB4" w:rsidRPr="00396CB4">
              <w:rPr>
                <w:rFonts w:eastAsia="Times New Roman" w:cs="Calibri"/>
                <w:b/>
                <w:bCs/>
                <w:color w:val="000000"/>
                <w:sz w:val="20"/>
                <w:szCs w:val="20"/>
                <w:lang w:eastAsia="es-CR"/>
              </w:rPr>
              <w:t>0</w:t>
            </w:r>
          </w:p>
        </w:tc>
      </w:tr>
    </w:tbl>
    <w:p w14:paraId="385D8367" w14:textId="4AFCEB81" w:rsidR="00295C0B" w:rsidRDefault="001F4B1E" w:rsidP="001F4B1E">
      <w:r>
        <w:fldChar w:fldCharType="end"/>
      </w:r>
    </w:p>
    <w:p w14:paraId="0B83650C" w14:textId="77777777" w:rsidR="007D62A5" w:rsidRDefault="004B38F9" w:rsidP="007D62A5">
      <w:pPr>
        <w:spacing w:line="240" w:lineRule="auto"/>
        <w:rPr>
          <w:b/>
          <w:color w:val="FFFFFF" w:themeColor="background1"/>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p>
    <w:p w14:paraId="7E03AED4" w14:textId="141883C2" w:rsidR="007D62A5" w:rsidRDefault="007D62A5" w:rsidP="007D62A5">
      <w:pPr>
        <w:spacing w:line="240" w:lineRule="auto"/>
        <w:rPr>
          <w:lang w:val="es-MX"/>
        </w:rPr>
      </w:pPr>
      <w:r>
        <w:rPr>
          <w:lang w:val="es-MX"/>
        </w:rPr>
        <w:t>Una provisión se reconoce solo cuando un evento pasado ha creado una obligación presente legal o constructiva, es probable una salida de recursos que conlleve beneficios económicos o potencial de servicios requeridos para liquidar la obligación y el monto de la obligación puede ser estimado confiablemente.</w:t>
      </w:r>
    </w:p>
    <w:p w14:paraId="6E56FDB0" w14:textId="77777777" w:rsidR="007D62A5" w:rsidRDefault="007D62A5" w:rsidP="007D62A5">
      <w:pPr>
        <w:spacing w:after="120" w:line="240" w:lineRule="auto"/>
        <w:rPr>
          <w:lang w:val="es-MX"/>
        </w:rPr>
      </w:pPr>
      <w:r>
        <w:rPr>
          <w:lang w:val="es-MX"/>
        </w:rPr>
        <w:t>Las provisiones se reversarán si ya no es probable la salida de recursos para liquidar la obligación que conlleva beneficios económicos o potencial de servicios.</w:t>
      </w:r>
    </w:p>
    <w:p w14:paraId="1A4F40C0" w14:textId="77777777" w:rsidR="007D62A5" w:rsidRDefault="007D62A5" w:rsidP="007D62A5">
      <w:pPr>
        <w:spacing w:after="120" w:line="240" w:lineRule="auto"/>
        <w:rPr>
          <w:lang w:val="es-MX"/>
        </w:rPr>
      </w:pPr>
      <w:r>
        <w:rPr>
          <w:lang w:val="es-MX"/>
        </w:rPr>
        <w:t>Un pasivo contingente no se reconoce solo se revela; y si la probabilidad de la salida de flujos de efectivo es remota, entonces no se revela.</w:t>
      </w:r>
    </w:p>
    <w:p w14:paraId="77033095" w14:textId="6D73CA4F" w:rsidR="004B38F9" w:rsidRPr="003516A2" w:rsidRDefault="007D62A5" w:rsidP="007D62A5">
      <w:pPr>
        <w:spacing w:line="240" w:lineRule="auto"/>
        <w:rPr>
          <w:b/>
          <w:color w:val="FFFFFF" w:themeColor="background1"/>
          <w:highlight w:val="darkBlue"/>
          <w:u w:val="single"/>
        </w:rPr>
      </w:pPr>
      <w:r>
        <w:rPr>
          <w:lang w:val="es-MX"/>
        </w:rPr>
        <w:t>Los activos contingentes no se reconocen solo se revelan, si la probabilidad de la realización de los ingresos es virtualmente cierta y es apropiado el reconocimiento del activo se registrará una cuenta por cobrar y los ingresos ordinarios relacionados.</w:t>
      </w:r>
    </w:p>
    <w:p w14:paraId="506BC814" w14:textId="77777777" w:rsidR="004B38F9" w:rsidRDefault="004B38F9" w:rsidP="004B38F9">
      <w:pPr>
        <w:spacing w:line="240" w:lineRule="auto"/>
        <w:rPr>
          <w:b/>
          <w:u w:val="single"/>
        </w:rPr>
      </w:pPr>
    </w:p>
    <w:p w14:paraId="51E77C29" w14:textId="77777777" w:rsidR="004B38F9" w:rsidRPr="003516A2" w:rsidRDefault="004B38F9" w:rsidP="004B38F9">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2D559C58" w14:textId="698F9536" w:rsidR="007D62A5" w:rsidRDefault="007D62A5" w:rsidP="007D62A5">
      <w:pPr>
        <w:spacing w:after="120" w:line="240" w:lineRule="auto"/>
        <w:rPr>
          <w:lang w:val="es-MX"/>
        </w:rPr>
      </w:pPr>
      <w:r>
        <w:rPr>
          <w:lang w:val="es-MX"/>
        </w:rPr>
        <w:t xml:space="preserve">El monto por reconocer de una </w:t>
      </w:r>
      <w:r w:rsidR="004803ED">
        <w:rPr>
          <w:lang w:val="es-MX"/>
        </w:rPr>
        <w:t>provisión</w:t>
      </w:r>
      <w:r>
        <w:rPr>
          <w:lang w:val="es-MX"/>
        </w:rPr>
        <w:t xml:space="preserve"> será el mejor estimado de la liquidación de la cantidad del desembolso requerido para liquidar la obligación a la fecha de presentación de los EEFF. Por lo anterior, las cantidades reconocidas como provisiones serán revisadas en la fecha de presentación de EEFF para ajustarla por los cambios que se hayan presentado para reflejar el mejor estimado corriente.</w:t>
      </w:r>
    </w:p>
    <w:p w14:paraId="2D8F8C39" w14:textId="77777777" w:rsidR="004B38F9" w:rsidRDefault="004B38F9" w:rsidP="001F4B1E"/>
    <w:p w14:paraId="2015EEC7" w14:textId="35911A13" w:rsidR="00E364AD" w:rsidRPr="00E364AD" w:rsidRDefault="00E364AD" w:rsidP="00E364AD">
      <w:pPr>
        <w:rPr>
          <w:b/>
          <w:u w:val="single"/>
          <w:lang w:eastAsia="es-CR"/>
        </w:rPr>
      </w:pPr>
      <w:r w:rsidRPr="004B38F9">
        <w:rPr>
          <w:b/>
          <w:color w:val="FFFFFF" w:themeColor="background1"/>
          <w:highlight w:val="darkBlue"/>
          <w:u w:val="single"/>
        </w:rPr>
        <w:t>Revelación Suficiente:</w:t>
      </w:r>
      <w:r w:rsidRPr="00E364AD">
        <w:rPr>
          <w:b/>
          <w:u w:val="single"/>
          <w:lang w:eastAsia="es-CR"/>
        </w:rPr>
        <w:t xml:space="preserve"> </w:t>
      </w:r>
      <w:r w:rsidR="00482942">
        <w:rPr>
          <w:b/>
          <w:u w:val="single"/>
          <w:lang w:eastAsia="es-CR"/>
        </w:rPr>
        <w:t xml:space="preserve">El ente debe revelar y cumplir </w:t>
      </w:r>
      <w:r w:rsidRPr="00E364AD">
        <w:rPr>
          <w:b/>
          <w:u w:val="single"/>
          <w:lang w:eastAsia="es-CR"/>
        </w:rPr>
        <w:t xml:space="preserve">con lo estipulado en revelación </w:t>
      </w:r>
      <w:r w:rsidR="00482942">
        <w:rPr>
          <w:b/>
          <w:u w:val="single"/>
          <w:lang w:eastAsia="es-CR"/>
        </w:rPr>
        <w:t>conforme</w:t>
      </w:r>
      <w:r w:rsidRPr="00E364AD">
        <w:rPr>
          <w:b/>
          <w:u w:val="single"/>
          <w:lang w:eastAsia="es-CR"/>
        </w:rPr>
        <w:t xml:space="preserve"> a la NICSP, también debe considerar la política general y los párrafos incluidos en la matriz de autoevaluación referente a esta NICSP y guías de aplicación (Ver GT NICSP 19).</w:t>
      </w:r>
    </w:p>
    <w:p w14:paraId="1F5B2BA1" w14:textId="77777777" w:rsidR="007D62A5" w:rsidRDefault="007D62A5" w:rsidP="007D62A5">
      <w:pPr>
        <w:spacing w:after="0" w:line="240" w:lineRule="auto"/>
        <w:rPr>
          <w:b/>
          <w:bCs/>
        </w:rPr>
      </w:pPr>
      <w:bookmarkStart w:id="80" w:name="_Toc33601179"/>
      <w:bookmarkStart w:id="81" w:name="_Toc54961685"/>
      <w:bookmarkStart w:id="82" w:name="_Toc82768881"/>
      <w:r>
        <w:rPr>
          <w:b/>
          <w:bCs/>
        </w:rPr>
        <w:lastRenderedPageBreak/>
        <w:t xml:space="preserve">Principales </w:t>
      </w:r>
      <w:r w:rsidRPr="00F506AA">
        <w:rPr>
          <w:b/>
          <w:bCs/>
        </w:rPr>
        <w:t>Políticas</w:t>
      </w:r>
    </w:p>
    <w:p w14:paraId="07A57298" w14:textId="77777777" w:rsidR="007D62A5" w:rsidRDefault="007D62A5" w:rsidP="007D62A5">
      <w:pPr>
        <w:spacing w:after="0" w:line="240" w:lineRule="auto"/>
        <w:rPr>
          <w:b/>
          <w:bCs/>
        </w:rPr>
      </w:pPr>
    </w:p>
    <w:p w14:paraId="7129E00C" w14:textId="2268EC7F" w:rsidR="007D62A5" w:rsidRDefault="007D62A5" w:rsidP="007D62A5">
      <w:pPr>
        <w:spacing w:after="0" w:line="240" w:lineRule="auto"/>
        <w:rPr>
          <w:sz w:val="23"/>
          <w:szCs w:val="23"/>
        </w:rPr>
      </w:pPr>
      <w:r>
        <w:rPr>
          <w:sz w:val="23"/>
          <w:szCs w:val="23"/>
        </w:rPr>
        <w:t>Una provisión es un pasivo respecto del cual existe incertidumbre acerca del momento de su vencimiento y/o de la cuantía de los desembolsos futuros necesarios para proceder a su cancelación. En razón de dicha incertidumbre, las provisiones son objeto de estimación.</w:t>
      </w:r>
    </w:p>
    <w:p w14:paraId="1DB547BA" w14:textId="77777777" w:rsidR="004803ED" w:rsidRDefault="004803ED" w:rsidP="007D62A5">
      <w:pPr>
        <w:spacing w:after="0" w:line="240" w:lineRule="auto"/>
        <w:rPr>
          <w:sz w:val="23"/>
          <w:szCs w:val="23"/>
        </w:rPr>
      </w:pPr>
    </w:p>
    <w:p w14:paraId="6E851A5A" w14:textId="77777777" w:rsidR="007D62A5" w:rsidRDefault="007D62A5" w:rsidP="007D62A5">
      <w:pPr>
        <w:spacing w:after="0" w:line="240" w:lineRule="auto"/>
        <w:rPr>
          <w:sz w:val="23"/>
          <w:szCs w:val="23"/>
        </w:rPr>
      </w:pPr>
    </w:p>
    <w:p w14:paraId="0350E16A" w14:textId="77777777" w:rsidR="007D62A5" w:rsidRPr="00F506AA" w:rsidRDefault="007D62A5" w:rsidP="007D62A5">
      <w:pPr>
        <w:spacing w:after="0" w:line="240" w:lineRule="auto"/>
        <w:rPr>
          <w:sz w:val="23"/>
          <w:szCs w:val="23"/>
        </w:rPr>
      </w:pPr>
      <w:r>
        <w:rPr>
          <w:sz w:val="23"/>
          <w:szCs w:val="23"/>
        </w:rPr>
        <w:t>La MBA reconocerá u</w:t>
      </w:r>
      <w:r w:rsidRPr="00F506AA">
        <w:rPr>
          <w:sz w:val="23"/>
          <w:szCs w:val="23"/>
        </w:rPr>
        <w:t xml:space="preserve">na </w:t>
      </w:r>
      <w:r>
        <w:rPr>
          <w:sz w:val="23"/>
          <w:szCs w:val="23"/>
        </w:rPr>
        <w:t>provisión solo cuando</w:t>
      </w:r>
      <w:r w:rsidRPr="00F506AA">
        <w:rPr>
          <w:sz w:val="23"/>
          <w:szCs w:val="23"/>
        </w:rPr>
        <w:t xml:space="preserve">: </w:t>
      </w:r>
    </w:p>
    <w:p w14:paraId="50E45694" w14:textId="77777777" w:rsidR="007D62A5" w:rsidRPr="00F506AA" w:rsidRDefault="007D62A5" w:rsidP="007D62A5">
      <w:pPr>
        <w:spacing w:after="0" w:line="240" w:lineRule="auto"/>
        <w:rPr>
          <w:sz w:val="23"/>
          <w:szCs w:val="23"/>
        </w:rPr>
      </w:pPr>
      <w:r w:rsidRPr="00F506AA">
        <w:rPr>
          <w:sz w:val="23"/>
          <w:szCs w:val="23"/>
        </w:rPr>
        <w:t xml:space="preserve">a) existe una obligación presente (ya sea legal o implícita) como resultado de un suceso pasado; </w:t>
      </w:r>
    </w:p>
    <w:p w14:paraId="62DA5903" w14:textId="77777777" w:rsidR="007D62A5" w:rsidRPr="00F506AA" w:rsidRDefault="007D62A5" w:rsidP="007D62A5">
      <w:pPr>
        <w:spacing w:after="0" w:line="240" w:lineRule="auto"/>
        <w:rPr>
          <w:sz w:val="23"/>
          <w:szCs w:val="23"/>
        </w:rPr>
      </w:pPr>
      <w:r w:rsidRPr="00F506AA">
        <w:rPr>
          <w:sz w:val="23"/>
          <w:szCs w:val="23"/>
        </w:rPr>
        <w:t xml:space="preserve">b) es probable que la entidad tenga que desprenderse de recursos que incorporen beneficios económicos para cancelar tal obligación; y </w:t>
      </w:r>
    </w:p>
    <w:p w14:paraId="6D95B27C" w14:textId="77777777" w:rsidR="007D62A5" w:rsidRPr="00F506AA" w:rsidRDefault="007D62A5" w:rsidP="007D62A5">
      <w:pPr>
        <w:spacing w:after="0" w:line="240" w:lineRule="auto"/>
        <w:rPr>
          <w:sz w:val="23"/>
          <w:szCs w:val="23"/>
        </w:rPr>
      </w:pPr>
      <w:r w:rsidRPr="00F506AA">
        <w:rPr>
          <w:sz w:val="23"/>
          <w:szCs w:val="23"/>
        </w:rPr>
        <w:t xml:space="preserve">c) puede hacerse una estimación fiable del importe de la obligación. </w:t>
      </w:r>
    </w:p>
    <w:p w14:paraId="22ED3C8E" w14:textId="77777777" w:rsidR="007D62A5" w:rsidRPr="00F506AA" w:rsidRDefault="007D62A5" w:rsidP="007D62A5">
      <w:pPr>
        <w:autoSpaceDE w:val="0"/>
        <w:autoSpaceDN w:val="0"/>
        <w:adjustRightInd w:val="0"/>
        <w:spacing w:after="0" w:line="240" w:lineRule="auto"/>
        <w:jc w:val="left"/>
        <w:rPr>
          <w:rFonts w:ascii="Arial" w:hAnsi="Arial" w:cs="Arial"/>
          <w:color w:val="000000"/>
          <w:szCs w:val="24"/>
        </w:rPr>
      </w:pPr>
    </w:p>
    <w:p w14:paraId="0238D0A8" w14:textId="77777777" w:rsidR="007D62A5" w:rsidRDefault="007D62A5" w:rsidP="007D62A5">
      <w:pPr>
        <w:spacing w:after="0" w:line="240" w:lineRule="auto"/>
        <w:rPr>
          <w:sz w:val="23"/>
          <w:szCs w:val="23"/>
        </w:rPr>
      </w:pPr>
      <w:r w:rsidRPr="006A60D8">
        <w:rPr>
          <w:sz w:val="23"/>
          <w:szCs w:val="23"/>
        </w:rPr>
        <w:t>El importe reconocido como provisión debe ser la mejor estimación, del desembolso requerido para cancelar la obligación presente en la fecha del informe.</w:t>
      </w:r>
      <w:r>
        <w:rPr>
          <w:sz w:val="23"/>
          <w:szCs w:val="23"/>
        </w:rPr>
        <w:t xml:space="preserve"> </w:t>
      </w:r>
      <w:r w:rsidRPr="00A52A94">
        <w:rPr>
          <w:sz w:val="23"/>
          <w:szCs w:val="23"/>
        </w:rPr>
        <w:t xml:space="preserve">Para llegar a la mejor estimación de una provisión </w:t>
      </w:r>
      <w:r>
        <w:rPr>
          <w:sz w:val="23"/>
          <w:szCs w:val="23"/>
        </w:rPr>
        <w:t>se</w:t>
      </w:r>
      <w:r w:rsidRPr="00A52A94">
        <w:rPr>
          <w:sz w:val="23"/>
          <w:szCs w:val="23"/>
        </w:rPr>
        <w:t xml:space="preserve"> ten</w:t>
      </w:r>
      <w:r>
        <w:rPr>
          <w:sz w:val="23"/>
          <w:szCs w:val="23"/>
        </w:rPr>
        <w:t>d</w:t>
      </w:r>
      <w:r w:rsidRPr="00A52A94">
        <w:rPr>
          <w:sz w:val="23"/>
          <w:szCs w:val="23"/>
        </w:rPr>
        <w:t>r</w:t>
      </w:r>
      <w:r>
        <w:rPr>
          <w:sz w:val="23"/>
          <w:szCs w:val="23"/>
        </w:rPr>
        <w:t>á</w:t>
      </w:r>
      <w:r w:rsidRPr="00A52A94">
        <w:rPr>
          <w:sz w:val="23"/>
          <w:szCs w:val="23"/>
        </w:rPr>
        <w:t xml:space="preserve"> en cuenta los riesgos e incertidumbres que inevitablemente rodean a muchos sucesos y circunstancias. (Criterio técnico)</w:t>
      </w:r>
      <w:r>
        <w:rPr>
          <w:sz w:val="23"/>
          <w:szCs w:val="23"/>
        </w:rPr>
        <w:t xml:space="preserve">. </w:t>
      </w:r>
    </w:p>
    <w:p w14:paraId="58A971EE" w14:textId="77777777" w:rsidR="007D62A5" w:rsidRDefault="007D62A5" w:rsidP="007D62A5">
      <w:pPr>
        <w:spacing w:after="0" w:line="240" w:lineRule="auto"/>
        <w:rPr>
          <w:sz w:val="23"/>
          <w:szCs w:val="23"/>
        </w:rPr>
      </w:pPr>
    </w:p>
    <w:p w14:paraId="77849A71" w14:textId="77777777" w:rsidR="007D62A5" w:rsidRPr="006A60D8" w:rsidRDefault="007D62A5" w:rsidP="007D62A5">
      <w:pPr>
        <w:spacing w:after="0" w:line="240" w:lineRule="auto"/>
        <w:rPr>
          <w:sz w:val="23"/>
          <w:szCs w:val="23"/>
        </w:rPr>
      </w:pPr>
      <w:r w:rsidRPr="006A60D8">
        <w:rPr>
          <w:sz w:val="23"/>
          <w:szCs w:val="23"/>
        </w:rPr>
        <w:t xml:space="preserve">Las provisiones se </w:t>
      </w:r>
      <w:r>
        <w:rPr>
          <w:sz w:val="23"/>
          <w:szCs w:val="23"/>
        </w:rPr>
        <w:t>r</w:t>
      </w:r>
      <w:r w:rsidRPr="006A60D8">
        <w:rPr>
          <w:sz w:val="23"/>
          <w:szCs w:val="23"/>
        </w:rPr>
        <w:t>evisar</w:t>
      </w:r>
      <w:r>
        <w:rPr>
          <w:sz w:val="23"/>
          <w:szCs w:val="23"/>
        </w:rPr>
        <w:t>án</w:t>
      </w:r>
      <w:r w:rsidRPr="006A60D8">
        <w:rPr>
          <w:sz w:val="23"/>
          <w:szCs w:val="23"/>
        </w:rPr>
        <w:t xml:space="preserve"> en cada fecha sobre la que se informa, y deben ajustarse, en su caso para reflejar la mejor estimación existente en ese momento.  Si ya no es probable que, para liquidar la obligación, se vaya a requerir de un flujo de salida de recursos que incorporen beneficios económicos o un potencial de servicio, se deberá revertir la provisión.</w:t>
      </w:r>
    </w:p>
    <w:p w14:paraId="3525CFDF" w14:textId="77777777" w:rsidR="007D62A5" w:rsidRDefault="007D62A5" w:rsidP="007D62A5">
      <w:pPr>
        <w:spacing w:after="0" w:line="240" w:lineRule="auto"/>
        <w:rPr>
          <w:sz w:val="23"/>
          <w:szCs w:val="23"/>
        </w:rPr>
      </w:pPr>
    </w:p>
    <w:p w14:paraId="06A46A5E" w14:textId="77777777" w:rsidR="007D62A5" w:rsidRPr="00A52A94" w:rsidRDefault="007D62A5" w:rsidP="007D62A5">
      <w:pPr>
        <w:spacing w:after="0" w:line="240" w:lineRule="auto"/>
        <w:rPr>
          <w:sz w:val="23"/>
          <w:szCs w:val="23"/>
        </w:rPr>
      </w:pPr>
      <w:r>
        <w:rPr>
          <w:sz w:val="23"/>
          <w:szCs w:val="23"/>
        </w:rPr>
        <w:t xml:space="preserve">Los </w:t>
      </w:r>
      <w:r w:rsidRPr="00A52A94">
        <w:rPr>
          <w:sz w:val="23"/>
          <w:szCs w:val="23"/>
        </w:rPr>
        <w:t>Activo</w:t>
      </w:r>
      <w:r>
        <w:rPr>
          <w:sz w:val="23"/>
          <w:szCs w:val="23"/>
        </w:rPr>
        <w:t>s</w:t>
      </w:r>
      <w:r w:rsidRPr="00A52A94">
        <w:rPr>
          <w:sz w:val="23"/>
          <w:szCs w:val="23"/>
        </w:rPr>
        <w:t xml:space="preserve"> </w:t>
      </w:r>
      <w:r>
        <w:rPr>
          <w:sz w:val="23"/>
          <w:szCs w:val="23"/>
        </w:rPr>
        <w:t xml:space="preserve">y Pasivos </w:t>
      </w:r>
      <w:r w:rsidRPr="00A52A94">
        <w:rPr>
          <w:sz w:val="23"/>
          <w:szCs w:val="23"/>
        </w:rPr>
        <w:t>Contingente</w:t>
      </w:r>
      <w:r>
        <w:rPr>
          <w:sz w:val="23"/>
          <w:szCs w:val="23"/>
        </w:rPr>
        <w:t xml:space="preserve">s son </w:t>
      </w:r>
      <w:r w:rsidRPr="00A52A94">
        <w:rPr>
          <w:sz w:val="23"/>
          <w:szCs w:val="23"/>
        </w:rPr>
        <w:t xml:space="preserve">de naturaleza posible, surgido a raíz de sucesos pasados, cuya existencia ha de ser confirmada solo porque ocurra, o </w:t>
      </w:r>
      <w:r>
        <w:rPr>
          <w:sz w:val="23"/>
          <w:szCs w:val="23"/>
        </w:rPr>
        <w:t xml:space="preserve">no ocurra </w:t>
      </w:r>
      <w:r w:rsidRPr="00A52A94">
        <w:rPr>
          <w:sz w:val="23"/>
          <w:szCs w:val="23"/>
        </w:rPr>
        <w:t>uno o más eventos inciertos en el futuro, que no están enteramente bajo el control de la entidad.</w:t>
      </w:r>
    </w:p>
    <w:p w14:paraId="6C914F25" w14:textId="77777777" w:rsidR="007D62A5" w:rsidRDefault="007D62A5" w:rsidP="007D62A5">
      <w:pPr>
        <w:spacing w:after="0" w:line="240" w:lineRule="auto"/>
        <w:rPr>
          <w:sz w:val="23"/>
          <w:szCs w:val="23"/>
        </w:rPr>
      </w:pPr>
    </w:p>
    <w:p w14:paraId="1D9624B9" w14:textId="77777777" w:rsidR="007D62A5" w:rsidRDefault="007D62A5" w:rsidP="007D62A5">
      <w:pPr>
        <w:spacing w:after="0" w:line="240" w:lineRule="auto"/>
        <w:rPr>
          <w:sz w:val="23"/>
          <w:szCs w:val="23"/>
        </w:rPr>
      </w:pPr>
      <w:r>
        <w:rPr>
          <w:sz w:val="23"/>
          <w:szCs w:val="23"/>
        </w:rPr>
        <w:t xml:space="preserve">Al respecto, en la MBA se </w:t>
      </w:r>
      <w:r w:rsidRPr="00F506AA">
        <w:rPr>
          <w:sz w:val="23"/>
          <w:szCs w:val="23"/>
        </w:rPr>
        <w:t xml:space="preserve">procederá a determinar la existencia o no de la obligación presente, teniendo en cuenta toda la evidencia disponible, entre la que se podrá incluir, por ejemplo, la opinión de expertos. La evidencia que se toma en consideración incluye la adicional que pudieran suministrar los hechos ocurridos después la fecha sobre la que se informa. A partir de esa evidencia: </w:t>
      </w:r>
    </w:p>
    <w:p w14:paraId="240B7E70" w14:textId="77777777" w:rsidR="007D62A5" w:rsidRDefault="007D62A5" w:rsidP="007D62A5">
      <w:pPr>
        <w:spacing w:after="0" w:line="240" w:lineRule="auto"/>
        <w:rPr>
          <w:sz w:val="23"/>
          <w:szCs w:val="23"/>
        </w:rPr>
      </w:pPr>
    </w:p>
    <w:p w14:paraId="67FE4F20" w14:textId="77777777" w:rsidR="007D62A5" w:rsidRPr="00A52A94" w:rsidRDefault="007D62A5" w:rsidP="007F4626">
      <w:pPr>
        <w:pStyle w:val="Prrafodelista"/>
        <w:numPr>
          <w:ilvl w:val="1"/>
          <w:numId w:val="37"/>
        </w:numPr>
        <w:spacing w:after="0" w:line="240" w:lineRule="auto"/>
        <w:ind w:left="284"/>
        <w:rPr>
          <w:sz w:val="23"/>
          <w:szCs w:val="23"/>
        </w:rPr>
      </w:pPr>
      <w:r w:rsidRPr="00A52A94">
        <w:rPr>
          <w:sz w:val="23"/>
          <w:szCs w:val="23"/>
        </w:rPr>
        <w:t xml:space="preserve">Si es más probable que improbable que una obligación presente exista en la fecha sobre la que se informa, la entidad reconocerá una provisión (siempre que se satisfagan los criterios de reconocimiento); </w:t>
      </w:r>
    </w:p>
    <w:p w14:paraId="222E608F" w14:textId="77777777" w:rsidR="007D62A5" w:rsidRPr="00A52A94" w:rsidRDefault="007D62A5" w:rsidP="007F4626">
      <w:pPr>
        <w:pStyle w:val="Prrafodelista"/>
        <w:numPr>
          <w:ilvl w:val="1"/>
          <w:numId w:val="37"/>
        </w:numPr>
        <w:spacing w:after="0" w:line="240" w:lineRule="auto"/>
        <w:ind w:left="284"/>
        <w:rPr>
          <w:sz w:val="23"/>
          <w:szCs w:val="23"/>
        </w:rPr>
      </w:pPr>
      <w:r w:rsidRPr="00A52A94">
        <w:rPr>
          <w:sz w:val="23"/>
          <w:szCs w:val="23"/>
        </w:rPr>
        <w:t xml:space="preserve">Si es más probable que improbable que ninguna obligación presente exista en la fecha sobre la que se informa, la entidad informará en las notas de la existencia de un pasivo contingente, salvo que la posibilidad de un flujo de salida de recursos que incorporen beneficios económicos o un potencial de servicio sea remota. </w:t>
      </w:r>
    </w:p>
    <w:p w14:paraId="683B10EF" w14:textId="77777777" w:rsidR="007D62A5" w:rsidRPr="00F506AA" w:rsidRDefault="007D62A5" w:rsidP="007D62A5">
      <w:pPr>
        <w:spacing w:after="0" w:line="240" w:lineRule="auto"/>
        <w:rPr>
          <w:sz w:val="23"/>
          <w:szCs w:val="23"/>
        </w:rPr>
      </w:pPr>
    </w:p>
    <w:p w14:paraId="3D058980" w14:textId="77777777" w:rsidR="007D62A5" w:rsidRDefault="007D62A5" w:rsidP="007D62A5">
      <w:pPr>
        <w:spacing w:after="0" w:line="240" w:lineRule="auto"/>
        <w:rPr>
          <w:sz w:val="23"/>
          <w:szCs w:val="23"/>
        </w:rPr>
      </w:pPr>
      <w:r w:rsidRPr="00E7081A">
        <w:rPr>
          <w:sz w:val="23"/>
          <w:szCs w:val="23"/>
        </w:rPr>
        <w:t xml:space="preserve">Un </w:t>
      </w:r>
      <w:r>
        <w:rPr>
          <w:sz w:val="23"/>
          <w:szCs w:val="23"/>
        </w:rPr>
        <w:t>activo o p</w:t>
      </w:r>
      <w:r w:rsidRPr="00E7081A">
        <w:rPr>
          <w:sz w:val="23"/>
          <w:szCs w:val="23"/>
        </w:rPr>
        <w:t>asivo contingente</w:t>
      </w:r>
      <w:r>
        <w:rPr>
          <w:sz w:val="23"/>
          <w:szCs w:val="23"/>
        </w:rPr>
        <w:t>s</w:t>
      </w:r>
      <w:r w:rsidRPr="00E7081A">
        <w:rPr>
          <w:sz w:val="23"/>
          <w:szCs w:val="23"/>
        </w:rPr>
        <w:t xml:space="preserve"> no se reconoce</w:t>
      </w:r>
      <w:r>
        <w:rPr>
          <w:sz w:val="23"/>
          <w:szCs w:val="23"/>
        </w:rPr>
        <w:t>n</w:t>
      </w:r>
      <w:r w:rsidRPr="00E7081A">
        <w:rPr>
          <w:sz w:val="23"/>
          <w:szCs w:val="23"/>
        </w:rPr>
        <w:t xml:space="preserve"> contablemente debido a que su existencia será confirmada sólo porque suceda o, en su caso, porque no suceda uno o más eventos inciertos en el futuro, que no están enteramente bajo el control de la entidad, o debido a que l</w:t>
      </w:r>
      <w:r>
        <w:rPr>
          <w:sz w:val="23"/>
          <w:szCs w:val="23"/>
        </w:rPr>
        <w:t>os activos o</w:t>
      </w:r>
      <w:r w:rsidRPr="00E7081A">
        <w:rPr>
          <w:sz w:val="23"/>
          <w:szCs w:val="23"/>
        </w:rPr>
        <w:t xml:space="preserve"> pasivo no satisface los criterios de reconocimiento. Los</w:t>
      </w:r>
      <w:r>
        <w:rPr>
          <w:sz w:val="23"/>
          <w:szCs w:val="23"/>
        </w:rPr>
        <w:t xml:space="preserve"> activos y</w:t>
      </w:r>
      <w:r w:rsidRPr="00E7081A">
        <w:rPr>
          <w:sz w:val="23"/>
          <w:szCs w:val="23"/>
        </w:rPr>
        <w:t xml:space="preserve"> pasivos contingentes sólo deben informarse en las notas a los estados financieros</w:t>
      </w:r>
      <w:r>
        <w:rPr>
          <w:sz w:val="23"/>
          <w:szCs w:val="23"/>
        </w:rPr>
        <w:t>.</w:t>
      </w:r>
    </w:p>
    <w:p w14:paraId="40C0A7FB" w14:textId="77777777" w:rsidR="005B579A" w:rsidRDefault="005B579A" w:rsidP="007D62A5">
      <w:pPr>
        <w:spacing w:after="0" w:line="240" w:lineRule="auto"/>
        <w:rPr>
          <w:sz w:val="23"/>
          <w:szCs w:val="23"/>
        </w:rPr>
      </w:pPr>
    </w:p>
    <w:p w14:paraId="2367AB34" w14:textId="77777777" w:rsidR="005B579A" w:rsidRDefault="005B579A" w:rsidP="007D62A5">
      <w:pPr>
        <w:spacing w:after="0" w:line="240" w:lineRule="auto"/>
        <w:rPr>
          <w:sz w:val="23"/>
          <w:szCs w:val="23"/>
        </w:rPr>
      </w:pPr>
    </w:p>
    <w:p w14:paraId="67242DF9" w14:textId="77777777" w:rsidR="005B579A" w:rsidRPr="00E7081A" w:rsidRDefault="005B579A" w:rsidP="007D62A5">
      <w:pPr>
        <w:spacing w:after="0" w:line="240" w:lineRule="auto"/>
        <w:rPr>
          <w:sz w:val="23"/>
          <w:szCs w:val="23"/>
        </w:rPr>
      </w:pPr>
    </w:p>
    <w:p w14:paraId="1878C3D3" w14:textId="77777777" w:rsidR="007D62A5" w:rsidRDefault="007D62A5" w:rsidP="007D62A5">
      <w:pPr>
        <w:spacing w:after="0" w:line="240" w:lineRule="auto"/>
      </w:pPr>
    </w:p>
    <w:p w14:paraId="6BFD44B3" w14:textId="77777777" w:rsidR="007D62A5" w:rsidRPr="006A60D8" w:rsidRDefault="007D62A5" w:rsidP="007D62A5">
      <w:pPr>
        <w:spacing w:after="0" w:line="240" w:lineRule="auto"/>
        <w:rPr>
          <w:b/>
          <w:bCs/>
        </w:rPr>
      </w:pPr>
      <w:r w:rsidRPr="006A60D8">
        <w:rPr>
          <w:b/>
          <w:bCs/>
        </w:rPr>
        <w:lastRenderedPageBreak/>
        <w:t>Otras revelaciones</w:t>
      </w:r>
    </w:p>
    <w:p w14:paraId="6E417911" w14:textId="77777777" w:rsidR="007D62A5" w:rsidRDefault="007D62A5" w:rsidP="007D62A5">
      <w:pPr>
        <w:spacing w:after="0" w:line="240" w:lineRule="auto"/>
      </w:pPr>
    </w:p>
    <w:p w14:paraId="60CE6CB2" w14:textId="77777777" w:rsidR="007D62A5" w:rsidRDefault="007D62A5" w:rsidP="007D62A5">
      <w:pPr>
        <w:spacing w:line="240" w:lineRule="auto"/>
      </w:pPr>
      <w:r>
        <w:t xml:space="preserve">Al respecto, debe indicarse que a la fecha de cierre de estos estados financieros no se recibió de Recursos Humanos la información requerida para registrar lo correspondiente a provisiones por beneficios a empleados. </w:t>
      </w:r>
    </w:p>
    <w:p w14:paraId="6A2CDBAD" w14:textId="77777777" w:rsidR="007D62A5" w:rsidRPr="00516659" w:rsidRDefault="007D62A5" w:rsidP="007D62A5">
      <w:pPr>
        <w:autoSpaceDE w:val="0"/>
        <w:autoSpaceDN w:val="0"/>
        <w:adjustRightInd w:val="0"/>
        <w:spacing w:line="240" w:lineRule="auto"/>
      </w:pPr>
      <w:r w:rsidRPr="00516659">
        <w:t>En relación con los activos y pasivos contingentes mediante oficio AJMBA/106-2024 el Asesor Jurídico Municipal indicó que en el caso del RECLAMO ADMINISTRATIVO DE LA EMPRESA PINDECO, el mismo se ha venido manejando bajo la figura de la conciliación, ya se entregó la propuesta por parte de la administración, ya se recibió respuesta, se tomó un acuerdo y está pendiente de ser plasmado y acordado el sistema de pagos con la empresa, mediante documento de transacción debidamente autorizado y aprobado por el Concejo Municipal, pero no se consigna el monto para su reconocimiento.</w:t>
      </w:r>
    </w:p>
    <w:p w14:paraId="55F47515" w14:textId="77777777" w:rsidR="007D62A5" w:rsidRPr="00516659" w:rsidRDefault="007D62A5" w:rsidP="007D62A5">
      <w:pPr>
        <w:autoSpaceDE w:val="0"/>
        <w:autoSpaceDN w:val="0"/>
        <w:adjustRightInd w:val="0"/>
        <w:spacing w:line="240" w:lineRule="auto"/>
      </w:pPr>
      <w:r w:rsidRPr="00516659">
        <w:t>En adición, debe señalarse que, de acuerdo con la información existente en los archivos municipales, el 6 de mayo del 2022 el señor Alcalde remite a la Comisión de deuda PINDECO la propuesta para el pago de deuda, mediante documento con fecha de recibido 09 de mayo de 2022 por el Consejo Municipal.</w:t>
      </w:r>
    </w:p>
    <w:p w14:paraId="1E3C7C6D" w14:textId="77777777" w:rsidR="007D62A5" w:rsidRPr="00516659" w:rsidRDefault="007D62A5" w:rsidP="007D62A5">
      <w:pPr>
        <w:autoSpaceDE w:val="0"/>
        <w:autoSpaceDN w:val="0"/>
        <w:adjustRightInd w:val="0"/>
        <w:spacing w:line="240" w:lineRule="auto"/>
      </w:pPr>
      <w:r w:rsidRPr="00516659">
        <w:t xml:space="preserve">En dicho documento se indica que dado que existe una deuda sobre principal de los periodos 2006-2007-2008 2009 por un monto de </w:t>
      </w:r>
      <w:r w:rsidRPr="00516659">
        <w:rPr>
          <w:rFonts w:ascii="Arial" w:hAnsi="Arial" w:cs="Arial"/>
        </w:rPr>
        <w:t>₡</w:t>
      </w:r>
      <w:r w:rsidRPr="00516659">
        <w:t xml:space="preserve">179.024.767 se propone que PINDECO haga renuncia expresa sobre de las costas e intereses y que por su parte la municipalidad se compromete a pagar en el periodo 2022 la suma de </w:t>
      </w:r>
      <w:r w:rsidRPr="00516659">
        <w:rPr>
          <w:rFonts w:ascii="Arial" w:hAnsi="Arial" w:cs="Arial"/>
        </w:rPr>
        <w:t>₡</w:t>
      </w:r>
      <w:r w:rsidRPr="00516659">
        <w:t xml:space="preserve">50.000.000 y que sobre el saldo de </w:t>
      </w:r>
      <w:r w:rsidRPr="00516659">
        <w:rPr>
          <w:rFonts w:ascii="Arial" w:hAnsi="Arial" w:cs="Arial"/>
        </w:rPr>
        <w:t>₡</w:t>
      </w:r>
      <w:r w:rsidRPr="00516659">
        <w:t xml:space="preserve">129.024.767 restante, se asume el compromiso de pagar en dos tractos en los años 2023 y 2024 cada uno por la suma de </w:t>
      </w:r>
      <w:r w:rsidRPr="00516659">
        <w:rPr>
          <w:rFonts w:ascii="Arial" w:hAnsi="Arial" w:cs="Arial"/>
        </w:rPr>
        <w:t>₡</w:t>
      </w:r>
      <w:r w:rsidRPr="00516659">
        <w:t>64.512.383.50. Dicha propuesta fue analizada y transferida por parte de la Comisión de deuda PINDECO al Concejo Municipal.</w:t>
      </w:r>
    </w:p>
    <w:p w14:paraId="117E1441" w14:textId="3C8E76BD" w:rsidR="007D62A5" w:rsidRPr="00516659" w:rsidRDefault="007D62A5" w:rsidP="007D62A5">
      <w:pPr>
        <w:autoSpaceDE w:val="0"/>
        <w:autoSpaceDN w:val="0"/>
        <w:adjustRightInd w:val="0"/>
        <w:spacing w:line="240" w:lineRule="auto"/>
      </w:pPr>
      <w:r w:rsidRPr="00516659">
        <w:t xml:space="preserve">Mediante el Oficio MBA-SCM 2020-2024-O-0369-2022 del 26 de mayo del 2022 el Concejo remite acuerdo tomado </w:t>
      </w:r>
      <w:r w:rsidR="004803ED" w:rsidRPr="00516659">
        <w:t>en Sesión</w:t>
      </w:r>
      <w:r w:rsidRPr="00516659">
        <w:t xml:space="preserve"> Ordinaria 107- 2022, celebrada el 23 de mayo del 2022 que en letra dice: Con vista en el Dictamen de la Comisión Municipal de la deuda PINDECO, se procede a acoger la recomendación para autorizar a la Administración para que presente la propuesta a la Compañía PINDECO. Mediante Oficio AMBA-397-2022 con fecha 25 de agosto del 2022, se le envía nota al Señor Ing. Luis Arias Hidalgo por parte del señor Alcalde donde se le indica el acuerdo antes citado.</w:t>
      </w:r>
    </w:p>
    <w:p w14:paraId="2CDBAD00" w14:textId="77777777" w:rsidR="007D62A5" w:rsidRPr="00516659" w:rsidRDefault="007D62A5" w:rsidP="007D62A5">
      <w:pPr>
        <w:autoSpaceDE w:val="0"/>
        <w:autoSpaceDN w:val="0"/>
        <w:adjustRightInd w:val="0"/>
        <w:spacing w:line="240" w:lineRule="auto"/>
      </w:pPr>
      <w:r w:rsidRPr="00516659">
        <w:t xml:space="preserve">En el 19 de diciembre del 2022 dado que no había respuesta por parte de PINDECO sobre el acuerdo tomado y la nota enviada, se procedió con autorización del señor Alcalde mediante Oficio OFICIO-AMBA-577-2022 a depositar la suma de ¢50.000.000 quedando pendiente de cancelar la suma de </w:t>
      </w:r>
      <w:r w:rsidRPr="00516659">
        <w:rPr>
          <w:rFonts w:ascii="Arial" w:hAnsi="Arial" w:cs="Arial"/>
        </w:rPr>
        <w:t>₡</w:t>
      </w:r>
      <w:r w:rsidRPr="00516659">
        <w:t xml:space="preserve">129.024.767,00 (principal </w:t>
      </w:r>
      <w:r w:rsidRPr="00516659">
        <w:rPr>
          <w:rFonts w:ascii="Arial" w:hAnsi="Arial" w:cs="Arial"/>
        </w:rPr>
        <w:t>₡</w:t>
      </w:r>
      <w:r w:rsidRPr="00516659">
        <w:t xml:space="preserve">179.024.767 menos abono </w:t>
      </w:r>
      <w:r w:rsidRPr="00516659">
        <w:rPr>
          <w:rFonts w:ascii="Arial" w:hAnsi="Arial" w:cs="Arial"/>
        </w:rPr>
        <w:t>₡</w:t>
      </w:r>
      <w:r w:rsidRPr="00516659">
        <w:t>50 000,00).</w:t>
      </w:r>
    </w:p>
    <w:p w14:paraId="02889300" w14:textId="77777777" w:rsidR="007D62A5" w:rsidRPr="00516659" w:rsidRDefault="007D62A5" w:rsidP="007D62A5">
      <w:pPr>
        <w:autoSpaceDE w:val="0"/>
        <w:autoSpaceDN w:val="0"/>
        <w:adjustRightInd w:val="0"/>
        <w:spacing w:line="240" w:lineRule="auto"/>
      </w:pPr>
      <w:r w:rsidRPr="00516659">
        <w:t xml:space="preserve">En fecha 27 de Julio del 2023 se recibe por parte de la Cía. PINDECO documento sin número de oficio dirigido al señor José Rojas donde nos indican que mantienen la posición de condonar los intereses, pero no así el rubro por los gastos legales administrativos que serían por un monto de </w:t>
      </w:r>
      <w:r w:rsidRPr="00516659">
        <w:rPr>
          <w:rFonts w:ascii="Arial" w:hAnsi="Arial" w:cs="Arial"/>
        </w:rPr>
        <w:t>₡</w:t>
      </w:r>
      <w:r w:rsidRPr="00516659">
        <w:t>61.000.000,00.</w:t>
      </w:r>
    </w:p>
    <w:p w14:paraId="4C7C0ABE" w14:textId="77777777" w:rsidR="007D62A5" w:rsidRPr="00516659" w:rsidRDefault="007D62A5" w:rsidP="007D62A5">
      <w:pPr>
        <w:autoSpaceDE w:val="0"/>
        <w:autoSpaceDN w:val="0"/>
        <w:adjustRightInd w:val="0"/>
        <w:spacing w:line="240" w:lineRule="auto"/>
      </w:pPr>
      <w:r w:rsidRPr="00516659">
        <w:t xml:space="preserve">Mediante acuerdo de Sesión Extraordinaria 66-2023 del 27 de octubre del 2024 el Concejo indica estar de acuerdo en pagar los gastos administrativos por la suma de </w:t>
      </w:r>
      <w:r w:rsidRPr="00516659">
        <w:rPr>
          <w:rFonts w:ascii="Arial" w:hAnsi="Arial" w:cs="Arial"/>
        </w:rPr>
        <w:t>₡</w:t>
      </w:r>
      <w:r w:rsidRPr="00516659">
        <w:t xml:space="preserve">61.000.000,00. Asimismo, en dicha sesión también se acordó delegar al señor Alcalde para que negociara la modalidad de pago sobre la deuda del periodo 2006 a 2009 y presentarlo ante el Concejo. Así las cosas, según este último acuerdo el monto de la deuda asciende a </w:t>
      </w:r>
      <w:r w:rsidRPr="00516659">
        <w:rPr>
          <w:rFonts w:ascii="Arial" w:hAnsi="Arial" w:cs="Arial"/>
        </w:rPr>
        <w:t>₡</w:t>
      </w:r>
      <w:r w:rsidRPr="00516659">
        <w:t>190.024.767.00</w:t>
      </w:r>
    </w:p>
    <w:p w14:paraId="4DB4E727" w14:textId="3F0A9FE6" w:rsidR="007D62A5" w:rsidRPr="00516659" w:rsidRDefault="007D62A5" w:rsidP="007D62A5">
      <w:pPr>
        <w:autoSpaceDE w:val="0"/>
        <w:autoSpaceDN w:val="0"/>
        <w:adjustRightInd w:val="0"/>
        <w:spacing w:line="240" w:lineRule="auto"/>
      </w:pPr>
      <w:r w:rsidRPr="00516659">
        <w:t xml:space="preserve">En fecha 27 de febrero del 2024 se realizó un depósito por la suma de </w:t>
      </w:r>
      <w:r w:rsidRPr="00516659">
        <w:rPr>
          <w:rFonts w:ascii="Arial" w:hAnsi="Arial" w:cs="Arial"/>
        </w:rPr>
        <w:t>₡</w:t>
      </w:r>
      <w:r w:rsidRPr="00516659">
        <w:t xml:space="preserve">50.000.000 correspondiente a la cuota del periodo 2023, con lo cual la deuda se redujo a </w:t>
      </w:r>
      <w:r w:rsidRPr="00516659">
        <w:rPr>
          <w:rFonts w:ascii="Arial" w:hAnsi="Arial" w:cs="Arial"/>
        </w:rPr>
        <w:t>₡</w:t>
      </w:r>
      <w:r w:rsidRPr="00516659">
        <w:t xml:space="preserve">140.024.767,00. Al respecto, el señor </w:t>
      </w:r>
      <w:r w:rsidRPr="00516659">
        <w:lastRenderedPageBreak/>
        <w:t>Alcalde deberá presentar una propuesta de pago al Concejo para la cancelación de la deuda a PINDECO.</w:t>
      </w:r>
    </w:p>
    <w:p w14:paraId="15A50A6E" w14:textId="693D4729" w:rsidR="00AC7165" w:rsidRDefault="007137EE" w:rsidP="007D62A5">
      <w:pPr>
        <w:autoSpaceDE w:val="0"/>
        <w:autoSpaceDN w:val="0"/>
        <w:adjustRightInd w:val="0"/>
        <w:spacing w:line="240" w:lineRule="auto"/>
      </w:pPr>
      <w:r w:rsidRPr="00516659">
        <w:t xml:space="preserve">En fecha 01 </w:t>
      </w:r>
      <w:r w:rsidR="00AC7165" w:rsidRPr="00516659">
        <w:t>de abril del 2024</w:t>
      </w:r>
      <w:r w:rsidRPr="00516659">
        <w:t xml:space="preserve"> el señor Alcalde presenta propuesta al Concejo Municipal, mediante oficio AMBA-300-2024, la cual fue aprobada por el Concejo Municipal en sesión ordinaria 204-2024</w:t>
      </w:r>
      <w:r w:rsidR="00516659" w:rsidRPr="00516659">
        <w:t>.</w:t>
      </w:r>
      <w:r w:rsidRPr="00516659">
        <w:t xml:space="preserve"> </w:t>
      </w:r>
      <w:r w:rsidR="00516659" w:rsidRPr="00516659">
        <w:t>Se acuerda autorizar al señor Alcalde para que firme convenio con la empresa Corporaci</w:t>
      </w:r>
      <w:r w:rsidR="00516659">
        <w:t>ón Agrícola del Monte (Pindeco), mismo que se firmó en fecha del 25 de abril, 2024.</w:t>
      </w:r>
    </w:p>
    <w:p w14:paraId="6EDFD9D7" w14:textId="662ACCBD" w:rsidR="00516659" w:rsidRPr="00516659" w:rsidRDefault="00516659" w:rsidP="007D62A5">
      <w:pPr>
        <w:autoSpaceDE w:val="0"/>
        <w:autoSpaceDN w:val="0"/>
        <w:adjustRightInd w:val="0"/>
        <w:spacing w:line="240" w:lineRule="auto"/>
      </w:pPr>
      <w:r>
        <w:t>En cumplimiento de dicho convenio, el 23 de diciembre del 2024, se realizó depósito por un monto de 50.000.000, 00 millones de colones</w:t>
      </w:r>
      <w:r w:rsidR="005D1163">
        <w:t>.</w:t>
      </w:r>
    </w:p>
    <w:p w14:paraId="69DE022C" w14:textId="522BA5B1" w:rsidR="001F474F" w:rsidRPr="002F62C1" w:rsidRDefault="007D62A5" w:rsidP="007D62A5">
      <w:pPr>
        <w:autoSpaceDE w:val="0"/>
        <w:autoSpaceDN w:val="0"/>
        <w:adjustRightInd w:val="0"/>
      </w:pPr>
      <w:r w:rsidRPr="00516659">
        <w:t>En el siguiente cuadro se re</w:t>
      </w:r>
      <w:r w:rsidR="0001157F">
        <w:t>sume lo comentado anteriormente, y el estado actual de la deuda.</w:t>
      </w:r>
    </w:p>
    <w:tbl>
      <w:tblPr>
        <w:tblStyle w:val="Tablaconcuadrcula"/>
        <w:tblW w:w="6804" w:type="dxa"/>
        <w:tblInd w:w="846"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414"/>
        <w:gridCol w:w="2390"/>
      </w:tblGrid>
      <w:tr w:rsidR="007D62A5" w:rsidRPr="007D62A5" w14:paraId="593F5BD8" w14:textId="77777777" w:rsidTr="0001157F">
        <w:tc>
          <w:tcPr>
            <w:tcW w:w="4414" w:type="dxa"/>
            <w:tcBorders>
              <w:top w:val="single" w:sz="12" w:space="0" w:color="auto"/>
              <w:bottom w:val="single" w:sz="4" w:space="0" w:color="auto"/>
            </w:tcBorders>
            <w:shd w:val="clear" w:color="auto" w:fill="1F3864" w:themeFill="accent1" w:themeFillShade="80"/>
          </w:tcPr>
          <w:p w14:paraId="22AFBDB3" w14:textId="77777777" w:rsidR="007D62A5" w:rsidRPr="0001157F" w:rsidRDefault="007D62A5" w:rsidP="0061790F">
            <w:pPr>
              <w:autoSpaceDE w:val="0"/>
              <w:autoSpaceDN w:val="0"/>
              <w:adjustRightInd w:val="0"/>
              <w:spacing w:before="120" w:after="120"/>
              <w:jc w:val="center"/>
              <w:rPr>
                <w:color w:val="FFFFFF" w:themeColor="background1"/>
                <w:sz w:val="22"/>
                <w:szCs w:val="22"/>
              </w:rPr>
            </w:pPr>
            <w:r w:rsidRPr="0001157F">
              <w:rPr>
                <w:b/>
                <w:bCs/>
                <w:color w:val="FFFFFF" w:themeColor="background1"/>
                <w:sz w:val="22"/>
                <w:szCs w:val="22"/>
              </w:rPr>
              <w:t>Descripción</w:t>
            </w:r>
          </w:p>
        </w:tc>
        <w:tc>
          <w:tcPr>
            <w:tcW w:w="2390" w:type="dxa"/>
            <w:tcBorders>
              <w:top w:val="single" w:sz="12" w:space="0" w:color="auto"/>
              <w:bottom w:val="single" w:sz="4" w:space="0" w:color="auto"/>
            </w:tcBorders>
            <w:shd w:val="clear" w:color="auto" w:fill="1F3864" w:themeFill="accent1" w:themeFillShade="80"/>
          </w:tcPr>
          <w:p w14:paraId="4B0D533E" w14:textId="77777777" w:rsidR="007D62A5" w:rsidRPr="0001157F" w:rsidRDefault="007D62A5" w:rsidP="0061790F">
            <w:pPr>
              <w:autoSpaceDE w:val="0"/>
              <w:autoSpaceDN w:val="0"/>
              <w:adjustRightInd w:val="0"/>
              <w:spacing w:before="120" w:after="120"/>
              <w:jc w:val="center"/>
              <w:rPr>
                <w:color w:val="FFFFFF" w:themeColor="background1"/>
                <w:sz w:val="22"/>
                <w:szCs w:val="22"/>
              </w:rPr>
            </w:pPr>
            <w:r w:rsidRPr="0001157F">
              <w:rPr>
                <w:b/>
                <w:bCs/>
                <w:color w:val="FFFFFF" w:themeColor="background1"/>
                <w:sz w:val="22"/>
                <w:szCs w:val="22"/>
              </w:rPr>
              <w:t>Monto</w:t>
            </w:r>
          </w:p>
        </w:tc>
      </w:tr>
      <w:tr w:rsidR="007D62A5" w:rsidRPr="007D62A5" w14:paraId="56864919" w14:textId="77777777" w:rsidTr="0001157F">
        <w:tc>
          <w:tcPr>
            <w:tcW w:w="4414" w:type="dxa"/>
            <w:tcBorders>
              <w:top w:val="single" w:sz="4" w:space="0" w:color="auto"/>
              <w:left w:val="single" w:sz="4" w:space="0" w:color="auto"/>
              <w:bottom w:val="single" w:sz="4" w:space="0" w:color="auto"/>
              <w:right w:val="single" w:sz="4" w:space="0" w:color="auto"/>
            </w:tcBorders>
          </w:tcPr>
          <w:p w14:paraId="6EB36401" w14:textId="77777777" w:rsidR="007D62A5" w:rsidRPr="0001157F" w:rsidRDefault="007D62A5" w:rsidP="0061790F">
            <w:pPr>
              <w:autoSpaceDE w:val="0"/>
              <w:autoSpaceDN w:val="0"/>
              <w:adjustRightInd w:val="0"/>
              <w:spacing w:before="120"/>
              <w:rPr>
                <w:sz w:val="22"/>
                <w:szCs w:val="22"/>
              </w:rPr>
            </w:pPr>
            <w:r w:rsidRPr="0001157F">
              <w:rPr>
                <w:sz w:val="22"/>
                <w:szCs w:val="22"/>
              </w:rPr>
              <w:t>Deuda sobre los periodos 2006-2007-2008 2009</w:t>
            </w:r>
          </w:p>
        </w:tc>
        <w:tc>
          <w:tcPr>
            <w:tcW w:w="2390" w:type="dxa"/>
            <w:tcBorders>
              <w:top w:val="single" w:sz="4" w:space="0" w:color="auto"/>
              <w:left w:val="single" w:sz="4" w:space="0" w:color="auto"/>
              <w:bottom w:val="single" w:sz="4" w:space="0" w:color="auto"/>
              <w:right w:val="single" w:sz="4" w:space="0" w:color="auto"/>
            </w:tcBorders>
          </w:tcPr>
          <w:p w14:paraId="731061D6" w14:textId="77777777" w:rsidR="007D62A5" w:rsidRPr="0001157F" w:rsidRDefault="007D62A5" w:rsidP="0061790F">
            <w:pPr>
              <w:autoSpaceDE w:val="0"/>
              <w:autoSpaceDN w:val="0"/>
              <w:adjustRightInd w:val="0"/>
              <w:spacing w:before="120"/>
              <w:jc w:val="right"/>
              <w:rPr>
                <w:sz w:val="22"/>
                <w:szCs w:val="22"/>
              </w:rPr>
            </w:pPr>
            <w:r w:rsidRPr="0001157F">
              <w:rPr>
                <w:rFonts w:ascii="Arial" w:hAnsi="Arial" w:cs="Arial"/>
                <w:sz w:val="22"/>
                <w:szCs w:val="22"/>
              </w:rPr>
              <w:t>₡</w:t>
            </w:r>
            <w:r w:rsidRPr="0001157F">
              <w:rPr>
                <w:sz w:val="22"/>
                <w:szCs w:val="22"/>
              </w:rPr>
              <w:t>179 024 767,00</w:t>
            </w:r>
          </w:p>
        </w:tc>
      </w:tr>
      <w:tr w:rsidR="007D62A5" w:rsidRPr="007D62A5" w14:paraId="4AF5D067" w14:textId="77777777" w:rsidTr="0001157F">
        <w:tc>
          <w:tcPr>
            <w:tcW w:w="4414" w:type="dxa"/>
            <w:tcBorders>
              <w:top w:val="single" w:sz="4" w:space="0" w:color="auto"/>
              <w:left w:val="single" w:sz="4" w:space="0" w:color="auto"/>
              <w:bottom w:val="single" w:sz="4" w:space="0" w:color="auto"/>
              <w:right w:val="single" w:sz="4" w:space="0" w:color="auto"/>
            </w:tcBorders>
          </w:tcPr>
          <w:p w14:paraId="78AF35BF" w14:textId="77777777" w:rsidR="007D62A5" w:rsidRPr="0001157F" w:rsidRDefault="007D62A5" w:rsidP="0061790F">
            <w:pPr>
              <w:autoSpaceDE w:val="0"/>
              <w:autoSpaceDN w:val="0"/>
              <w:adjustRightInd w:val="0"/>
              <w:rPr>
                <w:sz w:val="22"/>
                <w:szCs w:val="22"/>
              </w:rPr>
            </w:pPr>
            <w:r w:rsidRPr="0001157F">
              <w:rPr>
                <w:b/>
                <w:bCs/>
                <w:sz w:val="22"/>
                <w:szCs w:val="22"/>
              </w:rPr>
              <w:t>Menos</w:t>
            </w:r>
            <w:r w:rsidRPr="0001157F">
              <w:rPr>
                <w:sz w:val="22"/>
                <w:szCs w:val="22"/>
              </w:rPr>
              <w:t>: Depósito efectuado en diciembre 2022</w:t>
            </w:r>
          </w:p>
        </w:tc>
        <w:tc>
          <w:tcPr>
            <w:tcW w:w="2390" w:type="dxa"/>
            <w:tcBorders>
              <w:top w:val="single" w:sz="4" w:space="0" w:color="auto"/>
              <w:left w:val="single" w:sz="4" w:space="0" w:color="auto"/>
              <w:bottom w:val="single" w:sz="4" w:space="0" w:color="auto"/>
              <w:right w:val="single" w:sz="4" w:space="0" w:color="auto"/>
            </w:tcBorders>
          </w:tcPr>
          <w:p w14:paraId="74ADCF47" w14:textId="77777777" w:rsidR="007D62A5" w:rsidRPr="0001157F" w:rsidRDefault="007D62A5" w:rsidP="0061790F">
            <w:pPr>
              <w:autoSpaceDE w:val="0"/>
              <w:autoSpaceDN w:val="0"/>
              <w:adjustRightInd w:val="0"/>
              <w:jc w:val="right"/>
              <w:rPr>
                <w:sz w:val="22"/>
                <w:szCs w:val="22"/>
              </w:rPr>
            </w:pPr>
            <w:r w:rsidRPr="0001157F">
              <w:rPr>
                <w:sz w:val="22"/>
                <w:szCs w:val="22"/>
              </w:rPr>
              <w:t>50 000,00</w:t>
            </w:r>
          </w:p>
        </w:tc>
      </w:tr>
      <w:tr w:rsidR="007D62A5" w:rsidRPr="007D62A5" w14:paraId="51297EA1" w14:textId="77777777" w:rsidTr="0001157F">
        <w:tc>
          <w:tcPr>
            <w:tcW w:w="4414" w:type="dxa"/>
            <w:tcBorders>
              <w:top w:val="single" w:sz="4" w:space="0" w:color="auto"/>
              <w:left w:val="single" w:sz="4" w:space="0" w:color="auto"/>
              <w:bottom w:val="single" w:sz="4" w:space="0" w:color="auto"/>
              <w:right w:val="single" w:sz="4" w:space="0" w:color="auto"/>
            </w:tcBorders>
          </w:tcPr>
          <w:p w14:paraId="5348D1C3" w14:textId="77777777" w:rsidR="007D62A5" w:rsidRPr="0001157F" w:rsidRDefault="007D62A5" w:rsidP="0061790F">
            <w:pPr>
              <w:autoSpaceDE w:val="0"/>
              <w:autoSpaceDN w:val="0"/>
              <w:adjustRightInd w:val="0"/>
              <w:spacing w:before="120"/>
              <w:rPr>
                <w:b/>
                <w:bCs/>
                <w:sz w:val="22"/>
                <w:szCs w:val="22"/>
              </w:rPr>
            </w:pPr>
            <w:r w:rsidRPr="0001157F">
              <w:rPr>
                <w:b/>
                <w:bCs/>
                <w:sz w:val="22"/>
                <w:szCs w:val="22"/>
              </w:rPr>
              <w:t>Saldo</w:t>
            </w:r>
          </w:p>
        </w:tc>
        <w:tc>
          <w:tcPr>
            <w:tcW w:w="2390" w:type="dxa"/>
            <w:tcBorders>
              <w:top w:val="single" w:sz="4" w:space="0" w:color="auto"/>
              <w:left w:val="single" w:sz="4" w:space="0" w:color="auto"/>
              <w:bottom w:val="single" w:sz="4" w:space="0" w:color="auto"/>
              <w:right w:val="single" w:sz="4" w:space="0" w:color="auto"/>
            </w:tcBorders>
          </w:tcPr>
          <w:p w14:paraId="2BA41795" w14:textId="77777777" w:rsidR="007D62A5" w:rsidRPr="0001157F" w:rsidRDefault="007D62A5" w:rsidP="0061790F">
            <w:pPr>
              <w:autoSpaceDE w:val="0"/>
              <w:autoSpaceDN w:val="0"/>
              <w:adjustRightInd w:val="0"/>
              <w:spacing w:before="120"/>
              <w:jc w:val="right"/>
              <w:rPr>
                <w:b/>
                <w:bCs/>
                <w:sz w:val="22"/>
                <w:szCs w:val="22"/>
              </w:rPr>
            </w:pPr>
            <w:r w:rsidRPr="0001157F">
              <w:rPr>
                <w:rFonts w:ascii="Arial" w:hAnsi="Arial" w:cs="Arial"/>
                <w:b/>
                <w:bCs/>
                <w:sz w:val="22"/>
                <w:szCs w:val="22"/>
              </w:rPr>
              <w:t>₡</w:t>
            </w:r>
            <w:r w:rsidRPr="0001157F">
              <w:rPr>
                <w:b/>
                <w:bCs/>
                <w:sz w:val="22"/>
                <w:szCs w:val="22"/>
              </w:rPr>
              <w:t>129 024 767,00</w:t>
            </w:r>
          </w:p>
        </w:tc>
      </w:tr>
      <w:tr w:rsidR="007D62A5" w:rsidRPr="007D62A5" w14:paraId="1C436C77" w14:textId="77777777" w:rsidTr="0001157F">
        <w:tc>
          <w:tcPr>
            <w:tcW w:w="4414" w:type="dxa"/>
            <w:tcBorders>
              <w:top w:val="single" w:sz="4" w:space="0" w:color="auto"/>
              <w:left w:val="single" w:sz="4" w:space="0" w:color="auto"/>
              <w:bottom w:val="single" w:sz="4" w:space="0" w:color="auto"/>
              <w:right w:val="single" w:sz="4" w:space="0" w:color="auto"/>
            </w:tcBorders>
          </w:tcPr>
          <w:p w14:paraId="3FEBB59D" w14:textId="77777777" w:rsidR="007D62A5" w:rsidRPr="0001157F" w:rsidRDefault="007D62A5" w:rsidP="0061790F">
            <w:pPr>
              <w:autoSpaceDE w:val="0"/>
              <w:autoSpaceDN w:val="0"/>
              <w:adjustRightInd w:val="0"/>
              <w:rPr>
                <w:sz w:val="22"/>
                <w:szCs w:val="22"/>
              </w:rPr>
            </w:pPr>
            <w:r w:rsidRPr="0001157F">
              <w:rPr>
                <w:b/>
                <w:bCs/>
                <w:sz w:val="22"/>
                <w:szCs w:val="22"/>
              </w:rPr>
              <w:t>Mas</w:t>
            </w:r>
            <w:r w:rsidRPr="0001157F">
              <w:rPr>
                <w:sz w:val="22"/>
                <w:szCs w:val="22"/>
              </w:rPr>
              <w:t>: Gastos legales administrativos</w:t>
            </w:r>
          </w:p>
        </w:tc>
        <w:tc>
          <w:tcPr>
            <w:tcW w:w="2390" w:type="dxa"/>
            <w:tcBorders>
              <w:top w:val="single" w:sz="4" w:space="0" w:color="auto"/>
              <w:left w:val="single" w:sz="4" w:space="0" w:color="auto"/>
              <w:bottom w:val="single" w:sz="4" w:space="0" w:color="auto"/>
              <w:right w:val="single" w:sz="4" w:space="0" w:color="auto"/>
            </w:tcBorders>
          </w:tcPr>
          <w:p w14:paraId="50A31AAE" w14:textId="77777777" w:rsidR="007D62A5" w:rsidRPr="0001157F" w:rsidRDefault="007D62A5" w:rsidP="0061790F">
            <w:pPr>
              <w:autoSpaceDE w:val="0"/>
              <w:autoSpaceDN w:val="0"/>
              <w:adjustRightInd w:val="0"/>
              <w:jc w:val="right"/>
              <w:rPr>
                <w:sz w:val="22"/>
                <w:szCs w:val="22"/>
              </w:rPr>
            </w:pPr>
            <w:r w:rsidRPr="0001157F">
              <w:rPr>
                <w:sz w:val="22"/>
                <w:szCs w:val="22"/>
              </w:rPr>
              <w:t>61 000,00</w:t>
            </w:r>
          </w:p>
        </w:tc>
      </w:tr>
      <w:tr w:rsidR="007D62A5" w:rsidRPr="007D62A5" w14:paraId="47D35326" w14:textId="77777777" w:rsidTr="0001157F">
        <w:tc>
          <w:tcPr>
            <w:tcW w:w="4414" w:type="dxa"/>
            <w:tcBorders>
              <w:top w:val="single" w:sz="4" w:space="0" w:color="auto"/>
              <w:left w:val="single" w:sz="4" w:space="0" w:color="auto"/>
              <w:bottom w:val="single" w:sz="4" w:space="0" w:color="auto"/>
              <w:right w:val="single" w:sz="4" w:space="0" w:color="auto"/>
            </w:tcBorders>
          </w:tcPr>
          <w:p w14:paraId="61A4D03E" w14:textId="77777777" w:rsidR="007D62A5" w:rsidRPr="0001157F" w:rsidRDefault="007D62A5" w:rsidP="0061790F">
            <w:pPr>
              <w:autoSpaceDE w:val="0"/>
              <w:autoSpaceDN w:val="0"/>
              <w:adjustRightInd w:val="0"/>
              <w:spacing w:before="120"/>
              <w:rPr>
                <w:b/>
                <w:bCs/>
                <w:sz w:val="22"/>
                <w:szCs w:val="22"/>
              </w:rPr>
            </w:pPr>
            <w:r w:rsidRPr="0001157F">
              <w:rPr>
                <w:b/>
                <w:bCs/>
                <w:sz w:val="22"/>
                <w:szCs w:val="22"/>
              </w:rPr>
              <w:t>Saldo</w:t>
            </w:r>
          </w:p>
        </w:tc>
        <w:tc>
          <w:tcPr>
            <w:tcW w:w="2390" w:type="dxa"/>
            <w:tcBorders>
              <w:top w:val="single" w:sz="4" w:space="0" w:color="auto"/>
              <w:left w:val="single" w:sz="4" w:space="0" w:color="auto"/>
              <w:bottom w:val="single" w:sz="4" w:space="0" w:color="auto"/>
              <w:right w:val="single" w:sz="4" w:space="0" w:color="auto"/>
            </w:tcBorders>
          </w:tcPr>
          <w:p w14:paraId="0AD5D183" w14:textId="77777777" w:rsidR="007D62A5" w:rsidRPr="0001157F" w:rsidRDefault="007D62A5" w:rsidP="0061790F">
            <w:pPr>
              <w:autoSpaceDE w:val="0"/>
              <w:autoSpaceDN w:val="0"/>
              <w:adjustRightInd w:val="0"/>
              <w:spacing w:before="120"/>
              <w:jc w:val="right"/>
              <w:rPr>
                <w:b/>
                <w:bCs/>
                <w:sz w:val="22"/>
                <w:szCs w:val="22"/>
              </w:rPr>
            </w:pPr>
            <w:r w:rsidRPr="0001157F">
              <w:rPr>
                <w:rFonts w:ascii="Arial" w:hAnsi="Arial" w:cs="Arial"/>
                <w:b/>
                <w:bCs/>
                <w:sz w:val="22"/>
                <w:szCs w:val="22"/>
              </w:rPr>
              <w:t>₡</w:t>
            </w:r>
            <w:r w:rsidRPr="0001157F">
              <w:rPr>
                <w:rFonts w:cs="Arial"/>
                <w:b/>
                <w:bCs/>
                <w:sz w:val="22"/>
                <w:szCs w:val="22"/>
              </w:rPr>
              <w:t>190</w:t>
            </w:r>
            <w:r w:rsidRPr="0001157F">
              <w:rPr>
                <w:b/>
                <w:bCs/>
                <w:sz w:val="22"/>
                <w:szCs w:val="22"/>
              </w:rPr>
              <w:t> 024 767,00</w:t>
            </w:r>
          </w:p>
        </w:tc>
      </w:tr>
      <w:tr w:rsidR="007D62A5" w:rsidRPr="007D62A5" w14:paraId="78E53C29" w14:textId="77777777" w:rsidTr="0001157F">
        <w:tc>
          <w:tcPr>
            <w:tcW w:w="4414" w:type="dxa"/>
            <w:tcBorders>
              <w:top w:val="single" w:sz="4" w:space="0" w:color="auto"/>
              <w:left w:val="single" w:sz="4" w:space="0" w:color="auto"/>
              <w:bottom w:val="single" w:sz="4" w:space="0" w:color="auto"/>
              <w:right w:val="single" w:sz="4" w:space="0" w:color="auto"/>
            </w:tcBorders>
          </w:tcPr>
          <w:p w14:paraId="1129BA5D" w14:textId="77777777" w:rsidR="007D62A5" w:rsidRPr="0001157F" w:rsidRDefault="007D62A5" w:rsidP="0061790F">
            <w:pPr>
              <w:autoSpaceDE w:val="0"/>
              <w:autoSpaceDN w:val="0"/>
              <w:adjustRightInd w:val="0"/>
              <w:rPr>
                <w:sz w:val="22"/>
                <w:szCs w:val="22"/>
              </w:rPr>
            </w:pPr>
            <w:r w:rsidRPr="0001157F">
              <w:rPr>
                <w:b/>
                <w:bCs/>
                <w:sz w:val="22"/>
                <w:szCs w:val="22"/>
              </w:rPr>
              <w:t>Menos</w:t>
            </w:r>
            <w:r w:rsidRPr="0001157F">
              <w:rPr>
                <w:sz w:val="22"/>
                <w:szCs w:val="22"/>
              </w:rPr>
              <w:t>: Depósito efectuado en febrero 2024</w:t>
            </w:r>
          </w:p>
        </w:tc>
        <w:tc>
          <w:tcPr>
            <w:tcW w:w="2390" w:type="dxa"/>
            <w:tcBorders>
              <w:top w:val="single" w:sz="4" w:space="0" w:color="auto"/>
              <w:left w:val="single" w:sz="4" w:space="0" w:color="auto"/>
              <w:bottom w:val="single" w:sz="4" w:space="0" w:color="auto"/>
              <w:right w:val="single" w:sz="4" w:space="0" w:color="auto"/>
            </w:tcBorders>
          </w:tcPr>
          <w:p w14:paraId="08DF484C" w14:textId="453A1409" w:rsidR="007D62A5" w:rsidRPr="0001157F" w:rsidRDefault="007D62A5" w:rsidP="0061790F">
            <w:pPr>
              <w:autoSpaceDE w:val="0"/>
              <w:autoSpaceDN w:val="0"/>
              <w:adjustRightInd w:val="0"/>
              <w:jc w:val="right"/>
              <w:rPr>
                <w:sz w:val="22"/>
                <w:szCs w:val="22"/>
              </w:rPr>
            </w:pPr>
            <w:r w:rsidRPr="0001157F">
              <w:rPr>
                <w:sz w:val="22"/>
                <w:szCs w:val="22"/>
              </w:rPr>
              <w:t>50</w:t>
            </w:r>
            <w:r w:rsidR="0001157F">
              <w:rPr>
                <w:sz w:val="22"/>
                <w:szCs w:val="22"/>
              </w:rPr>
              <w:t xml:space="preserve"> 000 </w:t>
            </w:r>
            <w:r w:rsidRPr="0001157F">
              <w:rPr>
                <w:sz w:val="22"/>
                <w:szCs w:val="22"/>
              </w:rPr>
              <w:t>000,00</w:t>
            </w:r>
          </w:p>
        </w:tc>
      </w:tr>
      <w:tr w:rsidR="0001157F" w:rsidRPr="007D62A5" w14:paraId="05CF5A82" w14:textId="77777777" w:rsidTr="0001157F">
        <w:tc>
          <w:tcPr>
            <w:tcW w:w="4414" w:type="dxa"/>
            <w:tcBorders>
              <w:top w:val="single" w:sz="4" w:space="0" w:color="auto"/>
              <w:left w:val="single" w:sz="4" w:space="0" w:color="auto"/>
              <w:bottom w:val="single" w:sz="4" w:space="0" w:color="auto"/>
              <w:right w:val="single" w:sz="4" w:space="0" w:color="auto"/>
            </w:tcBorders>
          </w:tcPr>
          <w:p w14:paraId="50031355" w14:textId="4B70CAD1" w:rsidR="0001157F" w:rsidRPr="0001157F" w:rsidRDefault="0001157F" w:rsidP="0061790F">
            <w:pPr>
              <w:autoSpaceDE w:val="0"/>
              <w:autoSpaceDN w:val="0"/>
              <w:adjustRightInd w:val="0"/>
              <w:rPr>
                <w:b/>
                <w:bCs/>
                <w:sz w:val="22"/>
              </w:rPr>
            </w:pPr>
            <w:r>
              <w:rPr>
                <w:b/>
                <w:bCs/>
                <w:sz w:val="22"/>
              </w:rPr>
              <w:t>Menos: Depósito efectuado en diciembre 2024</w:t>
            </w:r>
          </w:p>
        </w:tc>
        <w:tc>
          <w:tcPr>
            <w:tcW w:w="2390" w:type="dxa"/>
            <w:tcBorders>
              <w:top w:val="single" w:sz="4" w:space="0" w:color="auto"/>
              <w:left w:val="single" w:sz="4" w:space="0" w:color="auto"/>
              <w:bottom w:val="single" w:sz="4" w:space="0" w:color="auto"/>
              <w:right w:val="single" w:sz="4" w:space="0" w:color="auto"/>
            </w:tcBorders>
          </w:tcPr>
          <w:p w14:paraId="210988BC" w14:textId="3E78CEC8" w:rsidR="0001157F" w:rsidRPr="0001157F" w:rsidRDefault="0001157F" w:rsidP="0061790F">
            <w:pPr>
              <w:autoSpaceDE w:val="0"/>
              <w:autoSpaceDN w:val="0"/>
              <w:adjustRightInd w:val="0"/>
              <w:jc w:val="right"/>
              <w:rPr>
                <w:sz w:val="22"/>
              </w:rPr>
            </w:pPr>
            <w:r>
              <w:rPr>
                <w:sz w:val="22"/>
              </w:rPr>
              <w:t>50 000 000,00</w:t>
            </w:r>
          </w:p>
        </w:tc>
      </w:tr>
      <w:tr w:rsidR="007D62A5" w:rsidRPr="007D62A5" w14:paraId="52754EFE" w14:textId="77777777" w:rsidTr="0001157F">
        <w:tc>
          <w:tcPr>
            <w:tcW w:w="4414" w:type="dxa"/>
            <w:tcBorders>
              <w:top w:val="single" w:sz="4" w:space="0" w:color="auto"/>
              <w:right w:val="single" w:sz="4" w:space="0" w:color="auto"/>
            </w:tcBorders>
          </w:tcPr>
          <w:p w14:paraId="0D41E5B6" w14:textId="77777777" w:rsidR="007D62A5" w:rsidRPr="0001157F" w:rsidRDefault="007D62A5" w:rsidP="0061790F">
            <w:pPr>
              <w:autoSpaceDE w:val="0"/>
              <w:autoSpaceDN w:val="0"/>
              <w:adjustRightInd w:val="0"/>
              <w:rPr>
                <w:b/>
                <w:bCs/>
                <w:sz w:val="22"/>
                <w:szCs w:val="22"/>
              </w:rPr>
            </w:pPr>
            <w:r w:rsidRPr="0001157F">
              <w:rPr>
                <w:b/>
                <w:bCs/>
                <w:sz w:val="22"/>
                <w:szCs w:val="22"/>
              </w:rPr>
              <w:t>SALDO ADEUDADO AL 29/2/2024</w:t>
            </w:r>
          </w:p>
        </w:tc>
        <w:tc>
          <w:tcPr>
            <w:tcW w:w="2390" w:type="dxa"/>
            <w:tcBorders>
              <w:top w:val="single" w:sz="4" w:space="0" w:color="auto"/>
              <w:left w:val="single" w:sz="4" w:space="0" w:color="auto"/>
              <w:bottom w:val="single" w:sz="4" w:space="0" w:color="auto"/>
              <w:right w:val="single" w:sz="4" w:space="0" w:color="auto"/>
            </w:tcBorders>
          </w:tcPr>
          <w:p w14:paraId="3416317D" w14:textId="77D52E38" w:rsidR="007D62A5" w:rsidRPr="0001157F" w:rsidRDefault="007D62A5" w:rsidP="0061790F">
            <w:pPr>
              <w:autoSpaceDE w:val="0"/>
              <w:autoSpaceDN w:val="0"/>
              <w:adjustRightInd w:val="0"/>
              <w:jc w:val="right"/>
              <w:rPr>
                <w:b/>
                <w:bCs/>
                <w:sz w:val="22"/>
                <w:szCs w:val="22"/>
              </w:rPr>
            </w:pPr>
            <w:r w:rsidRPr="0001157F">
              <w:rPr>
                <w:rFonts w:ascii="Arial" w:hAnsi="Arial" w:cs="Arial"/>
                <w:b/>
                <w:bCs/>
                <w:sz w:val="22"/>
                <w:szCs w:val="22"/>
              </w:rPr>
              <w:t>₡</w:t>
            </w:r>
            <w:r w:rsidR="0001157F">
              <w:rPr>
                <w:rFonts w:cs="Arial"/>
                <w:b/>
                <w:bCs/>
                <w:sz w:val="22"/>
                <w:szCs w:val="22"/>
              </w:rPr>
              <w:t>90</w:t>
            </w:r>
            <w:r w:rsidRPr="0001157F">
              <w:rPr>
                <w:b/>
                <w:bCs/>
                <w:sz w:val="22"/>
                <w:szCs w:val="22"/>
              </w:rPr>
              <w:t> 024 767,00</w:t>
            </w:r>
          </w:p>
        </w:tc>
      </w:tr>
    </w:tbl>
    <w:p w14:paraId="79644428" w14:textId="77777777" w:rsidR="007D62A5" w:rsidRPr="007D62A5" w:rsidRDefault="007D62A5" w:rsidP="007D62A5">
      <w:pPr>
        <w:pStyle w:val="Default"/>
        <w:rPr>
          <w:highlight w:val="yellow"/>
        </w:rPr>
      </w:pPr>
    </w:p>
    <w:p w14:paraId="1697A33A" w14:textId="77777777" w:rsidR="007D62A5" w:rsidRPr="007D62A5" w:rsidRDefault="007D62A5" w:rsidP="007D62A5">
      <w:pPr>
        <w:spacing w:after="0" w:line="240" w:lineRule="auto"/>
        <w:rPr>
          <w:szCs w:val="24"/>
          <w:highlight w:val="yellow"/>
        </w:rPr>
      </w:pPr>
    </w:p>
    <w:p w14:paraId="525DA2BD" w14:textId="029DDBED" w:rsidR="007D62A5" w:rsidRPr="005823E7" w:rsidRDefault="007D62A5" w:rsidP="007D62A5">
      <w:pPr>
        <w:spacing w:line="240" w:lineRule="auto"/>
        <w:rPr>
          <w:szCs w:val="24"/>
          <w:lang w:eastAsia="es-CR"/>
        </w:rPr>
      </w:pPr>
      <w:r w:rsidRPr="005823E7">
        <w:rPr>
          <w:szCs w:val="24"/>
          <w:lang w:eastAsia="es-CR"/>
        </w:rPr>
        <w:t xml:space="preserve">De acuerdo con lo consignado en la Matriz de NICSP y Plan de Acción al </w:t>
      </w:r>
      <w:r w:rsidR="00796636">
        <w:rPr>
          <w:szCs w:val="24"/>
          <w:lang w:eastAsia="es-CR"/>
        </w:rPr>
        <w:t>31</w:t>
      </w:r>
      <w:r w:rsidRPr="005823E7">
        <w:rPr>
          <w:szCs w:val="24"/>
          <w:lang w:eastAsia="es-CR"/>
        </w:rPr>
        <w:t xml:space="preserve"> de </w:t>
      </w:r>
      <w:r w:rsidR="00D64CF8" w:rsidRPr="005823E7">
        <w:rPr>
          <w:szCs w:val="24"/>
          <w:lang w:eastAsia="es-CR"/>
        </w:rPr>
        <w:t>diciembre</w:t>
      </w:r>
      <w:r w:rsidRPr="005823E7">
        <w:rPr>
          <w:szCs w:val="24"/>
          <w:lang w:eastAsia="es-CR"/>
        </w:rPr>
        <w:t xml:space="preserve"> de 2024, se encuentra pendiente de implementar lo siguiente:</w:t>
      </w:r>
    </w:p>
    <w:tbl>
      <w:tblPr>
        <w:tblW w:w="8921" w:type="dxa"/>
        <w:tblLook w:val="04A0" w:firstRow="1" w:lastRow="0" w:firstColumn="1" w:lastColumn="0" w:noHBand="0" w:noVBand="1"/>
      </w:tblPr>
      <w:tblGrid>
        <w:gridCol w:w="7512"/>
        <w:gridCol w:w="1409"/>
      </w:tblGrid>
      <w:tr w:rsidR="007D62A5" w:rsidRPr="005823E7" w14:paraId="1488B8E1" w14:textId="77777777" w:rsidTr="0061790F">
        <w:trPr>
          <w:trHeight w:val="790"/>
        </w:trPr>
        <w:tc>
          <w:tcPr>
            <w:tcW w:w="7512"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6D390F1D" w14:textId="77777777" w:rsidR="007D62A5" w:rsidRPr="005823E7" w:rsidRDefault="007D62A5" w:rsidP="0061790F">
            <w:pPr>
              <w:spacing w:after="0" w:line="240" w:lineRule="auto"/>
              <w:jc w:val="center"/>
              <w:rPr>
                <w:rFonts w:eastAsia="Times New Roman" w:cs="Calibri"/>
                <w:b/>
                <w:bCs/>
                <w:sz w:val="20"/>
                <w:szCs w:val="20"/>
                <w:lang w:val="en-US"/>
              </w:rPr>
            </w:pPr>
            <w:proofErr w:type="spellStart"/>
            <w:r w:rsidRPr="005823E7">
              <w:rPr>
                <w:rFonts w:eastAsia="Times New Roman" w:cs="Calibri"/>
                <w:b/>
                <w:bCs/>
                <w:sz w:val="20"/>
                <w:szCs w:val="20"/>
                <w:lang w:val="en-US"/>
              </w:rPr>
              <w:t>Actividades</w:t>
            </w:r>
            <w:proofErr w:type="spellEnd"/>
            <w:r w:rsidRPr="005823E7">
              <w:rPr>
                <w:rFonts w:eastAsia="Times New Roman" w:cs="Calibri"/>
                <w:b/>
                <w:bCs/>
                <w:sz w:val="20"/>
                <w:szCs w:val="20"/>
                <w:lang w:val="en-US"/>
              </w:rPr>
              <w:t xml:space="preserve"> </w:t>
            </w:r>
            <w:proofErr w:type="spellStart"/>
            <w:r w:rsidRPr="005823E7">
              <w:rPr>
                <w:rFonts w:eastAsia="Times New Roman" w:cs="Calibri"/>
                <w:b/>
                <w:bCs/>
                <w:sz w:val="20"/>
                <w:szCs w:val="20"/>
                <w:lang w:val="en-US"/>
              </w:rPr>
              <w:t>Pendientes</w:t>
            </w:r>
            <w:proofErr w:type="spellEnd"/>
            <w:r w:rsidRPr="005823E7">
              <w:rPr>
                <w:rFonts w:eastAsia="Times New Roman" w:cs="Calibri"/>
                <w:b/>
                <w:bCs/>
                <w:sz w:val="20"/>
                <w:szCs w:val="20"/>
                <w:lang w:val="en-US"/>
              </w:rPr>
              <w:t xml:space="preserve"> de </w:t>
            </w:r>
            <w:proofErr w:type="spellStart"/>
            <w:r w:rsidRPr="005823E7">
              <w:rPr>
                <w:rFonts w:eastAsia="Times New Roman" w:cs="Calibri"/>
                <w:b/>
                <w:bCs/>
                <w:sz w:val="20"/>
                <w:szCs w:val="20"/>
                <w:lang w:val="en-US"/>
              </w:rPr>
              <w:t>Cumplimiento</w:t>
            </w:r>
            <w:proofErr w:type="spellEnd"/>
          </w:p>
        </w:tc>
        <w:tc>
          <w:tcPr>
            <w:tcW w:w="1409" w:type="dxa"/>
            <w:tcBorders>
              <w:top w:val="single" w:sz="8" w:space="0" w:color="auto"/>
              <w:left w:val="nil"/>
              <w:bottom w:val="single" w:sz="4" w:space="0" w:color="auto"/>
              <w:right w:val="single" w:sz="8" w:space="0" w:color="auto"/>
            </w:tcBorders>
            <w:shd w:val="clear" w:color="000000" w:fill="FFFFFF"/>
            <w:vAlign w:val="bottom"/>
            <w:hideMark/>
          </w:tcPr>
          <w:p w14:paraId="4105BF4D" w14:textId="77777777" w:rsidR="007D62A5" w:rsidRPr="005823E7" w:rsidRDefault="007D62A5" w:rsidP="0061790F">
            <w:pPr>
              <w:spacing w:after="0" w:line="240" w:lineRule="auto"/>
              <w:jc w:val="center"/>
              <w:rPr>
                <w:rFonts w:eastAsia="Times New Roman" w:cs="Calibri"/>
                <w:b/>
                <w:bCs/>
                <w:color w:val="000000"/>
                <w:sz w:val="20"/>
                <w:szCs w:val="20"/>
                <w:lang w:val="en-US"/>
              </w:rPr>
            </w:pPr>
            <w:proofErr w:type="spellStart"/>
            <w:r w:rsidRPr="005823E7">
              <w:rPr>
                <w:rFonts w:eastAsia="Times New Roman" w:cs="Calibri"/>
                <w:b/>
                <w:bCs/>
                <w:color w:val="000000"/>
                <w:sz w:val="20"/>
                <w:szCs w:val="20"/>
                <w:lang w:val="en-US"/>
              </w:rPr>
              <w:t>Fecha</w:t>
            </w:r>
            <w:proofErr w:type="spellEnd"/>
            <w:r w:rsidRPr="005823E7">
              <w:rPr>
                <w:rFonts w:eastAsia="Times New Roman" w:cs="Calibri"/>
                <w:b/>
                <w:bCs/>
                <w:color w:val="000000"/>
                <w:sz w:val="20"/>
                <w:szCs w:val="20"/>
                <w:lang w:val="en-US"/>
              </w:rPr>
              <w:t xml:space="preserve"> </w:t>
            </w:r>
            <w:proofErr w:type="spellStart"/>
            <w:r w:rsidRPr="005823E7">
              <w:rPr>
                <w:rFonts w:eastAsia="Times New Roman" w:cs="Calibri"/>
                <w:b/>
                <w:bCs/>
                <w:color w:val="000000"/>
                <w:sz w:val="20"/>
                <w:szCs w:val="20"/>
                <w:lang w:val="en-US"/>
              </w:rPr>
              <w:t>Estimada</w:t>
            </w:r>
            <w:proofErr w:type="spellEnd"/>
            <w:r w:rsidRPr="005823E7">
              <w:rPr>
                <w:rFonts w:eastAsia="Times New Roman" w:cs="Calibri"/>
                <w:b/>
                <w:bCs/>
                <w:color w:val="000000"/>
                <w:sz w:val="20"/>
                <w:szCs w:val="20"/>
                <w:lang w:val="en-US"/>
              </w:rPr>
              <w:t xml:space="preserve"> </w:t>
            </w:r>
            <w:proofErr w:type="spellStart"/>
            <w:r w:rsidRPr="005823E7">
              <w:rPr>
                <w:rFonts w:eastAsia="Times New Roman" w:cs="Calibri"/>
                <w:b/>
                <w:bCs/>
                <w:color w:val="000000"/>
                <w:sz w:val="20"/>
                <w:szCs w:val="20"/>
                <w:lang w:val="en-US"/>
              </w:rPr>
              <w:t>Cumplimiento</w:t>
            </w:r>
            <w:proofErr w:type="spellEnd"/>
          </w:p>
        </w:tc>
      </w:tr>
      <w:tr w:rsidR="007D62A5" w:rsidRPr="005823E7" w14:paraId="502957F3" w14:textId="77777777" w:rsidTr="0061790F">
        <w:trPr>
          <w:trHeight w:val="780"/>
        </w:trPr>
        <w:tc>
          <w:tcPr>
            <w:tcW w:w="7512" w:type="dxa"/>
            <w:tcBorders>
              <w:top w:val="nil"/>
              <w:left w:val="single" w:sz="4" w:space="0" w:color="auto"/>
              <w:bottom w:val="single" w:sz="4" w:space="0" w:color="auto"/>
              <w:right w:val="single" w:sz="4" w:space="0" w:color="auto"/>
            </w:tcBorders>
            <w:shd w:val="clear" w:color="000000" w:fill="FFFFFF"/>
            <w:hideMark/>
          </w:tcPr>
          <w:p w14:paraId="5C29434A" w14:textId="4CA419DC" w:rsidR="007D62A5" w:rsidRPr="005823E7" w:rsidRDefault="007D62A5" w:rsidP="0061790F">
            <w:pPr>
              <w:spacing w:after="0" w:line="240" w:lineRule="auto"/>
              <w:rPr>
                <w:rFonts w:eastAsia="Times New Roman" w:cs="Calibri"/>
                <w:color w:val="000000"/>
                <w:sz w:val="20"/>
                <w:szCs w:val="20"/>
                <w:lang w:val="en-US"/>
              </w:rPr>
            </w:pPr>
            <w:r w:rsidRPr="005823E7">
              <w:rPr>
                <w:rFonts w:eastAsia="Times New Roman" w:cs="Calibri"/>
                <w:color w:val="000000"/>
                <w:sz w:val="20"/>
                <w:szCs w:val="20"/>
              </w:rPr>
              <w:t xml:space="preserve">Realizar la Identificación, reconocimiento, medición y contabilización de las provisiones que correspondan según las transacciones que se realizan en la Municipalidad. </w:t>
            </w:r>
            <w:proofErr w:type="spellStart"/>
            <w:r w:rsidRPr="005823E7">
              <w:rPr>
                <w:rFonts w:eastAsia="Times New Roman" w:cs="Calibri"/>
                <w:color w:val="000000"/>
                <w:sz w:val="20"/>
                <w:szCs w:val="20"/>
                <w:lang w:val="en-US"/>
              </w:rPr>
              <w:t>Esto</w:t>
            </w:r>
            <w:proofErr w:type="spellEnd"/>
            <w:r w:rsidRPr="005823E7">
              <w:rPr>
                <w:rFonts w:eastAsia="Times New Roman" w:cs="Calibri"/>
                <w:color w:val="000000"/>
                <w:sz w:val="20"/>
                <w:szCs w:val="20"/>
                <w:lang w:val="en-US"/>
              </w:rPr>
              <w:t xml:space="preserve"> con base </w:t>
            </w:r>
            <w:proofErr w:type="spellStart"/>
            <w:r w:rsidRPr="005823E7">
              <w:rPr>
                <w:rFonts w:eastAsia="Times New Roman" w:cs="Calibri"/>
                <w:color w:val="000000"/>
                <w:sz w:val="20"/>
                <w:szCs w:val="20"/>
                <w:lang w:val="en-US"/>
              </w:rPr>
              <w:t>en</w:t>
            </w:r>
            <w:proofErr w:type="spellEnd"/>
            <w:r w:rsidRPr="005823E7">
              <w:rPr>
                <w:rFonts w:eastAsia="Times New Roman" w:cs="Calibri"/>
                <w:color w:val="000000"/>
                <w:sz w:val="20"/>
                <w:szCs w:val="20"/>
                <w:lang w:val="en-US"/>
              </w:rPr>
              <w:t xml:space="preserve"> lo </w:t>
            </w:r>
            <w:proofErr w:type="spellStart"/>
            <w:r w:rsidRPr="005823E7">
              <w:rPr>
                <w:rFonts w:eastAsia="Times New Roman" w:cs="Calibri"/>
                <w:color w:val="000000"/>
                <w:sz w:val="20"/>
                <w:szCs w:val="20"/>
                <w:lang w:val="en-US"/>
              </w:rPr>
              <w:t>establecido</w:t>
            </w:r>
            <w:proofErr w:type="spellEnd"/>
            <w:r w:rsidRPr="005823E7">
              <w:rPr>
                <w:rFonts w:eastAsia="Times New Roman" w:cs="Calibri"/>
                <w:color w:val="000000"/>
                <w:sz w:val="20"/>
                <w:szCs w:val="20"/>
                <w:lang w:val="en-US"/>
              </w:rPr>
              <w:t xml:space="preserve"> </w:t>
            </w:r>
            <w:proofErr w:type="spellStart"/>
            <w:r w:rsidR="004803ED">
              <w:rPr>
                <w:rFonts w:eastAsia="Times New Roman" w:cs="Calibri"/>
                <w:color w:val="000000"/>
                <w:sz w:val="20"/>
                <w:szCs w:val="20"/>
                <w:lang w:val="en-US"/>
              </w:rPr>
              <w:t>por</w:t>
            </w:r>
            <w:proofErr w:type="spellEnd"/>
            <w:r w:rsidRPr="005823E7">
              <w:rPr>
                <w:rFonts w:eastAsia="Times New Roman" w:cs="Calibri"/>
                <w:color w:val="000000"/>
                <w:sz w:val="20"/>
                <w:szCs w:val="20"/>
                <w:lang w:val="en-US"/>
              </w:rPr>
              <w:t xml:space="preserve"> las NICSP.</w:t>
            </w:r>
          </w:p>
        </w:tc>
        <w:tc>
          <w:tcPr>
            <w:tcW w:w="1409" w:type="dxa"/>
            <w:tcBorders>
              <w:top w:val="nil"/>
              <w:left w:val="nil"/>
              <w:bottom w:val="single" w:sz="4" w:space="0" w:color="auto"/>
              <w:right w:val="single" w:sz="4" w:space="0" w:color="auto"/>
            </w:tcBorders>
            <w:shd w:val="clear" w:color="000000" w:fill="FFFFFF"/>
            <w:noWrap/>
            <w:vAlign w:val="center"/>
            <w:hideMark/>
          </w:tcPr>
          <w:p w14:paraId="36074686" w14:textId="58286716" w:rsidR="007D62A5" w:rsidRPr="005823E7" w:rsidRDefault="00796636" w:rsidP="0061790F">
            <w:pPr>
              <w:spacing w:after="0" w:line="240" w:lineRule="auto"/>
              <w:jc w:val="center"/>
              <w:rPr>
                <w:rFonts w:eastAsia="Times New Roman" w:cs="Calibri"/>
                <w:sz w:val="20"/>
                <w:szCs w:val="20"/>
                <w:lang w:val="en-US"/>
              </w:rPr>
            </w:pPr>
            <w:r>
              <w:rPr>
                <w:rFonts w:eastAsia="Times New Roman" w:cs="Calibri"/>
                <w:sz w:val="20"/>
                <w:szCs w:val="20"/>
                <w:lang w:val="en-US"/>
              </w:rPr>
              <w:t>3</w:t>
            </w:r>
            <w:r w:rsidR="004803ED">
              <w:rPr>
                <w:rFonts w:eastAsia="Times New Roman" w:cs="Calibri"/>
                <w:sz w:val="20"/>
                <w:szCs w:val="20"/>
                <w:lang w:val="en-US"/>
              </w:rPr>
              <w:t>0</w:t>
            </w:r>
            <w:r w:rsidR="005823E7" w:rsidRPr="005823E7">
              <w:rPr>
                <w:rFonts w:eastAsia="Times New Roman" w:cs="Calibri"/>
                <w:sz w:val="20"/>
                <w:szCs w:val="20"/>
                <w:lang w:val="en-US"/>
              </w:rPr>
              <w:t>/06/25</w:t>
            </w:r>
          </w:p>
        </w:tc>
      </w:tr>
      <w:tr w:rsidR="005823E7" w:rsidRPr="005823E7" w14:paraId="6BB3D5D4" w14:textId="77777777" w:rsidTr="0061790F">
        <w:trPr>
          <w:trHeight w:val="780"/>
        </w:trPr>
        <w:tc>
          <w:tcPr>
            <w:tcW w:w="7512" w:type="dxa"/>
            <w:tcBorders>
              <w:top w:val="nil"/>
              <w:left w:val="single" w:sz="4" w:space="0" w:color="auto"/>
              <w:bottom w:val="single" w:sz="4" w:space="0" w:color="auto"/>
              <w:right w:val="single" w:sz="4" w:space="0" w:color="auto"/>
            </w:tcBorders>
            <w:shd w:val="clear" w:color="000000" w:fill="FFFFFF"/>
            <w:hideMark/>
          </w:tcPr>
          <w:p w14:paraId="5D1FD3E0" w14:textId="6BCE1A72" w:rsidR="005823E7" w:rsidRPr="005823E7" w:rsidRDefault="005823E7" w:rsidP="005823E7">
            <w:pPr>
              <w:spacing w:after="0" w:line="240" w:lineRule="auto"/>
              <w:rPr>
                <w:rFonts w:eastAsia="Times New Roman" w:cs="Calibri"/>
                <w:color w:val="000000"/>
                <w:sz w:val="20"/>
                <w:szCs w:val="20"/>
              </w:rPr>
            </w:pPr>
            <w:r w:rsidRPr="005823E7">
              <w:rPr>
                <w:rFonts w:eastAsia="Times New Roman" w:cs="Calibri"/>
                <w:color w:val="000000"/>
                <w:sz w:val="20"/>
                <w:szCs w:val="20"/>
              </w:rPr>
              <w:t xml:space="preserve">Contar con un sistema </w:t>
            </w:r>
            <w:r w:rsidR="004803ED" w:rsidRPr="005823E7">
              <w:rPr>
                <w:rFonts w:eastAsia="Times New Roman" w:cs="Calibri"/>
                <w:color w:val="000000"/>
                <w:sz w:val="20"/>
                <w:szCs w:val="20"/>
              </w:rPr>
              <w:t>integrado que</w:t>
            </w:r>
            <w:r w:rsidRPr="005823E7">
              <w:rPr>
                <w:rFonts w:eastAsia="Times New Roman" w:cs="Calibri"/>
                <w:color w:val="000000"/>
                <w:sz w:val="20"/>
                <w:szCs w:val="20"/>
              </w:rPr>
              <w:t xml:space="preserve"> permita el registro de las </w:t>
            </w:r>
            <w:r w:rsidR="004803ED" w:rsidRPr="005823E7">
              <w:rPr>
                <w:rFonts w:eastAsia="Times New Roman" w:cs="Calibri"/>
                <w:color w:val="000000"/>
                <w:sz w:val="20"/>
                <w:szCs w:val="20"/>
              </w:rPr>
              <w:t>transacciones relacionadas</w:t>
            </w:r>
            <w:r w:rsidRPr="005823E7">
              <w:rPr>
                <w:rFonts w:eastAsia="Times New Roman" w:cs="Calibri"/>
                <w:color w:val="000000"/>
                <w:sz w:val="20"/>
                <w:szCs w:val="20"/>
              </w:rPr>
              <w:t xml:space="preserve"> con la NICSP 19 que se realizan en la Institución y que generen información para los Estados Financieros según la normativa contable</w:t>
            </w:r>
            <w:r w:rsidRPr="005823E7">
              <w:rPr>
                <w:rFonts w:eastAsia="Times New Roman" w:cs="Calibri"/>
                <w:b/>
                <w:bCs/>
                <w:color w:val="548235"/>
                <w:sz w:val="20"/>
                <w:szCs w:val="20"/>
              </w:rPr>
              <w:t>.</w:t>
            </w:r>
          </w:p>
        </w:tc>
        <w:tc>
          <w:tcPr>
            <w:tcW w:w="1409" w:type="dxa"/>
            <w:tcBorders>
              <w:top w:val="nil"/>
              <w:left w:val="nil"/>
              <w:bottom w:val="single" w:sz="4" w:space="0" w:color="auto"/>
              <w:right w:val="single" w:sz="4" w:space="0" w:color="auto"/>
            </w:tcBorders>
            <w:shd w:val="clear" w:color="000000" w:fill="FFFFFF"/>
            <w:noWrap/>
            <w:hideMark/>
          </w:tcPr>
          <w:p w14:paraId="291026F9" w14:textId="1484692E" w:rsidR="005823E7" w:rsidRPr="005823E7" w:rsidRDefault="004803ED" w:rsidP="005823E7">
            <w:pPr>
              <w:spacing w:after="0" w:line="240" w:lineRule="auto"/>
              <w:jc w:val="center"/>
              <w:rPr>
                <w:rFonts w:eastAsia="Times New Roman" w:cs="Calibri"/>
                <w:sz w:val="20"/>
                <w:szCs w:val="20"/>
                <w:lang w:val="en-US"/>
              </w:rPr>
            </w:pPr>
            <w:r>
              <w:rPr>
                <w:rFonts w:eastAsia="Times New Roman" w:cs="Calibri"/>
                <w:sz w:val="20"/>
                <w:szCs w:val="20"/>
                <w:lang w:val="en-US"/>
              </w:rPr>
              <w:t>30</w:t>
            </w:r>
            <w:r w:rsidRPr="005823E7">
              <w:rPr>
                <w:rFonts w:eastAsia="Times New Roman" w:cs="Calibri"/>
                <w:sz w:val="20"/>
                <w:szCs w:val="20"/>
                <w:lang w:val="en-US"/>
              </w:rPr>
              <w:t>/06/25</w:t>
            </w:r>
          </w:p>
        </w:tc>
      </w:tr>
      <w:tr w:rsidR="005823E7" w:rsidRPr="005823E7" w14:paraId="543617A1" w14:textId="77777777" w:rsidTr="0061790F">
        <w:trPr>
          <w:trHeight w:val="520"/>
        </w:trPr>
        <w:tc>
          <w:tcPr>
            <w:tcW w:w="7512" w:type="dxa"/>
            <w:tcBorders>
              <w:top w:val="nil"/>
              <w:left w:val="single" w:sz="4" w:space="0" w:color="auto"/>
              <w:bottom w:val="single" w:sz="4" w:space="0" w:color="auto"/>
              <w:right w:val="single" w:sz="4" w:space="0" w:color="auto"/>
            </w:tcBorders>
            <w:shd w:val="clear" w:color="000000" w:fill="FFFFFF"/>
            <w:hideMark/>
          </w:tcPr>
          <w:p w14:paraId="6D1F08C5" w14:textId="77777777" w:rsidR="005823E7" w:rsidRPr="005823E7" w:rsidRDefault="005823E7" w:rsidP="005823E7">
            <w:pPr>
              <w:spacing w:after="0" w:line="240" w:lineRule="auto"/>
              <w:rPr>
                <w:rFonts w:eastAsia="Times New Roman" w:cs="Calibri"/>
                <w:color w:val="000000"/>
                <w:sz w:val="20"/>
                <w:szCs w:val="20"/>
              </w:rPr>
            </w:pPr>
            <w:r w:rsidRPr="005823E7">
              <w:rPr>
                <w:rFonts w:eastAsia="Times New Roman" w:cs="Calibri"/>
                <w:color w:val="000000"/>
                <w:sz w:val="20"/>
                <w:szCs w:val="20"/>
              </w:rPr>
              <w:t>Determinar la información que se debe revelar en relación con las provisiones y activos y pasivos contingentes.</w:t>
            </w:r>
          </w:p>
        </w:tc>
        <w:tc>
          <w:tcPr>
            <w:tcW w:w="1409" w:type="dxa"/>
            <w:tcBorders>
              <w:top w:val="nil"/>
              <w:left w:val="nil"/>
              <w:bottom w:val="single" w:sz="4" w:space="0" w:color="auto"/>
              <w:right w:val="single" w:sz="4" w:space="0" w:color="auto"/>
            </w:tcBorders>
            <w:shd w:val="clear" w:color="000000" w:fill="FFFFFF"/>
            <w:noWrap/>
            <w:hideMark/>
          </w:tcPr>
          <w:p w14:paraId="5AA056FD" w14:textId="0E8588E1" w:rsidR="005823E7" w:rsidRPr="005823E7" w:rsidRDefault="004803ED" w:rsidP="005823E7">
            <w:pPr>
              <w:spacing w:after="0" w:line="240" w:lineRule="auto"/>
              <w:jc w:val="center"/>
              <w:rPr>
                <w:rFonts w:eastAsia="Times New Roman" w:cs="Calibri"/>
                <w:sz w:val="20"/>
                <w:szCs w:val="20"/>
                <w:lang w:val="en-US"/>
              </w:rPr>
            </w:pPr>
            <w:r>
              <w:rPr>
                <w:rFonts w:eastAsia="Times New Roman" w:cs="Calibri"/>
                <w:sz w:val="20"/>
                <w:szCs w:val="20"/>
                <w:lang w:val="en-US"/>
              </w:rPr>
              <w:t>30</w:t>
            </w:r>
            <w:r w:rsidRPr="005823E7">
              <w:rPr>
                <w:rFonts w:eastAsia="Times New Roman" w:cs="Calibri"/>
                <w:sz w:val="20"/>
                <w:szCs w:val="20"/>
                <w:lang w:val="en-US"/>
              </w:rPr>
              <w:t>/06/25</w:t>
            </w:r>
          </w:p>
        </w:tc>
      </w:tr>
      <w:tr w:rsidR="005823E7" w:rsidRPr="00274DBE" w14:paraId="60E4BF8E" w14:textId="77777777" w:rsidTr="0061790F">
        <w:trPr>
          <w:trHeight w:val="520"/>
        </w:trPr>
        <w:tc>
          <w:tcPr>
            <w:tcW w:w="7512" w:type="dxa"/>
            <w:tcBorders>
              <w:top w:val="nil"/>
              <w:left w:val="single" w:sz="4" w:space="0" w:color="auto"/>
              <w:bottom w:val="single" w:sz="4" w:space="0" w:color="auto"/>
              <w:right w:val="single" w:sz="4" w:space="0" w:color="auto"/>
            </w:tcBorders>
            <w:shd w:val="clear" w:color="000000" w:fill="FFFFFF"/>
            <w:hideMark/>
          </w:tcPr>
          <w:p w14:paraId="3A354EA9" w14:textId="77777777" w:rsidR="005823E7" w:rsidRPr="005823E7" w:rsidRDefault="005823E7" w:rsidP="005823E7">
            <w:pPr>
              <w:spacing w:after="0" w:line="240" w:lineRule="auto"/>
              <w:rPr>
                <w:rFonts w:eastAsia="Times New Roman" w:cs="Calibri"/>
                <w:color w:val="000000"/>
                <w:sz w:val="20"/>
                <w:szCs w:val="20"/>
              </w:rPr>
            </w:pPr>
            <w:r w:rsidRPr="005823E7">
              <w:rPr>
                <w:rFonts w:eastAsia="Times New Roman" w:cs="Calibri"/>
                <w:color w:val="000000"/>
                <w:sz w:val="20"/>
                <w:szCs w:val="20"/>
              </w:rPr>
              <w:t>Realizar las revelaciones correspondientes sobre las provisiones y activos y pasivos contingentes, según lo establecido por la norma.</w:t>
            </w:r>
          </w:p>
        </w:tc>
        <w:tc>
          <w:tcPr>
            <w:tcW w:w="1409" w:type="dxa"/>
            <w:tcBorders>
              <w:top w:val="nil"/>
              <w:left w:val="nil"/>
              <w:bottom w:val="single" w:sz="4" w:space="0" w:color="auto"/>
              <w:right w:val="single" w:sz="4" w:space="0" w:color="auto"/>
            </w:tcBorders>
            <w:shd w:val="clear" w:color="000000" w:fill="FFFFFF"/>
            <w:noWrap/>
            <w:hideMark/>
          </w:tcPr>
          <w:p w14:paraId="2A1774B3" w14:textId="54D1429B" w:rsidR="005823E7" w:rsidRPr="00274DBE" w:rsidRDefault="004803ED" w:rsidP="005823E7">
            <w:pPr>
              <w:spacing w:after="0" w:line="240" w:lineRule="auto"/>
              <w:jc w:val="center"/>
              <w:rPr>
                <w:rFonts w:eastAsia="Times New Roman" w:cs="Calibri"/>
                <w:sz w:val="20"/>
                <w:szCs w:val="20"/>
                <w:lang w:val="en-US"/>
              </w:rPr>
            </w:pPr>
            <w:r>
              <w:rPr>
                <w:rFonts w:eastAsia="Times New Roman" w:cs="Calibri"/>
                <w:sz w:val="20"/>
                <w:szCs w:val="20"/>
                <w:lang w:val="en-US"/>
              </w:rPr>
              <w:t>30</w:t>
            </w:r>
            <w:r w:rsidRPr="005823E7">
              <w:rPr>
                <w:rFonts w:eastAsia="Times New Roman" w:cs="Calibri"/>
                <w:sz w:val="20"/>
                <w:szCs w:val="20"/>
                <w:lang w:val="en-US"/>
              </w:rPr>
              <w:t>/06/25</w:t>
            </w:r>
          </w:p>
        </w:tc>
      </w:tr>
    </w:tbl>
    <w:p w14:paraId="0745946E" w14:textId="17091847" w:rsidR="00F000C2" w:rsidRPr="00EE66B3" w:rsidRDefault="00F000C2" w:rsidP="00F000C2">
      <w:pPr>
        <w:pStyle w:val="Ttulo2"/>
        <w:spacing w:after="240" w:line="240" w:lineRule="auto"/>
        <w:rPr>
          <w:rFonts w:eastAsiaTheme="minorHAnsi" w:cstheme="minorBidi"/>
          <w:color w:val="auto"/>
          <w:szCs w:val="22"/>
        </w:rPr>
      </w:pPr>
      <w:bookmarkStart w:id="83" w:name="_Toc189804799"/>
      <w:r w:rsidRPr="00EE66B3">
        <w:rPr>
          <w:color w:val="auto"/>
          <w:lang w:eastAsia="es-CR"/>
        </w:rPr>
        <w:lastRenderedPageBreak/>
        <w:t xml:space="preserve">Se hizo extensión a la fecha prevista esto debido a las cargas de trabajo en la institución, por tanto, no se pudo completar las actividades requeridas a la Norma </w:t>
      </w:r>
      <w:r>
        <w:rPr>
          <w:color w:val="auto"/>
          <w:lang w:val="es-MX"/>
        </w:rPr>
        <w:t>NICSP 19.</w:t>
      </w:r>
      <w:bookmarkEnd w:id="83"/>
    </w:p>
    <w:p w14:paraId="4295A432" w14:textId="77777777" w:rsidR="007D62A5" w:rsidRDefault="007D62A5" w:rsidP="007D62A5">
      <w:pPr>
        <w:spacing w:after="0" w:line="240" w:lineRule="auto"/>
        <w:rPr>
          <w:szCs w:val="24"/>
        </w:rPr>
      </w:pPr>
    </w:p>
    <w:p w14:paraId="2A2F6ABE" w14:textId="323BE019" w:rsidR="00D67331" w:rsidRPr="00A649A4" w:rsidRDefault="00D67331" w:rsidP="00A649A4">
      <w:pPr>
        <w:pStyle w:val="Ttulo2"/>
        <w:spacing w:after="240"/>
        <w:rPr>
          <w:rFonts w:eastAsia="Times New Roman"/>
          <w:lang w:eastAsia="es-CR"/>
        </w:rPr>
      </w:pPr>
      <w:bookmarkStart w:id="84" w:name="_Toc189804800"/>
      <w:r w:rsidRPr="00D67331">
        <w:rPr>
          <w:rFonts w:eastAsia="Times New Roman"/>
          <w:lang w:eastAsia="es-CR"/>
        </w:rPr>
        <w:t xml:space="preserve">NICSP 20- INFORMACIÓN A REVELAR SOBRE PARTES </w:t>
      </w:r>
      <w:bookmarkEnd w:id="80"/>
      <w:bookmarkEnd w:id="81"/>
      <w:r w:rsidRPr="00D67331">
        <w:rPr>
          <w:rFonts w:eastAsia="Times New Roman"/>
          <w:lang w:eastAsia="es-CR"/>
        </w:rPr>
        <w:t>RELACIONADAS (DE APLICACIÓN OBLIGATORIA):</w:t>
      </w:r>
      <w:bookmarkEnd w:id="82"/>
      <w:bookmarkEnd w:id="84"/>
      <w:r w:rsidRPr="00D67331">
        <w:rPr>
          <w:rFonts w:eastAsia="Times New Roman"/>
          <w:lang w:eastAsia="es-CR"/>
        </w:rPr>
        <w:t xml:space="preserve"> </w:t>
      </w:r>
    </w:p>
    <w:p w14:paraId="368C5DDC" w14:textId="16BC7E0A" w:rsidR="001F474F" w:rsidRDefault="00D67331" w:rsidP="00A450FF">
      <w:r w:rsidRPr="00FB0858">
        <w:t xml:space="preserve">De acuerdo con la </w:t>
      </w:r>
      <w:r w:rsidRPr="000B404C">
        <w:t xml:space="preserve">De acuerdo con la </w:t>
      </w:r>
      <w:r w:rsidRPr="00D67331">
        <w:t>NICSP 20- Información a revelar sobre partes relacionadas</w:t>
      </w:r>
      <w:r>
        <w:t xml:space="preserve">, indicar si este rubro afecta SI o NO a la institución, </w:t>
      </w:r>
      <w:r w:rsidRPr="00405DBC">
        <w:t>además del porcentaje de avance</w:t>
      </w:r>
      <w:r>
        <w:t xml:space="preserve"> en la implementación</w:t>
      </w:r>
      <w:r w:rsidRPr="00405DBC">
        <w:t xml:space="preserve"> que presenta</w:t>
      </w:r>
      <w:r>
        <w:t>.</w:t>
      </w:r>
    </w:p>
    <w:p w14:paraId="1769AF21" w14:textId="77777777" w:rsidR="00DD6F8C" w:rsidRDefault="00DD6F8C" w:rsidP="00A450FF"/>
    <w:tbl>
      <w:tblPr>
        <w:tblW w:w="3920" w:type="dxa"/>
        <w:tblCellMar>
          <w:left w:w="70" w:type="dxa"/>
          <w:right w:w="70" w:type="dxa"/>
        </w:tblCellMar>
        <w:tblLook w:val="04A0" w:firstRow="1" w:lastRow="0" w:firstColumn="1" w:lastColumn="0" w:noHBand="0" w:noVBand="1"/>
      </w:tblPr>
      <w:tblGrid>
        <w:gridCol w:w="2260"/>
        <w:gridCol w:w="1660"/>
      </w:tblGrid>
      <w:tr w:rsidR="001F474F" w:rsidRPr="001F474F" w14:paraId="21760394" w14:textId="77777777" w:rsidTr="001F474F">
        <w:trPr>
          <w:trHeight w:val="345"/>
        </w:trPr>
        <w:tc>
          <w:tcPr>
            <w:tcW w:w="226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41F98050" w14:textId="77777777" w:rsidR="001F474F" w:rsidRPr="001F474F" w:rsidRDefault="001F474F" w:rsidP="001F474F">
            <w:pPr>
              <w:spacing w:after="0" w:line="240" w:lineRule="auto"/>
              <w:jc w:val="left"/>
              <w:rPr>
                <w:rFonts w:eastAsia="Times New Roman" w:cs="Calibri"/>
                <w:color w:val="FFFFFF"/>
                <w:szCs w:val="24"/>
                <w:lang w:eastAsia="es-CR"/>
              </w:rPr>
            </w:pPr>
            <w:r w:rsidRPr="001F474F">
              <w:rPr>
                <w:rFonts w:eastAsia="Times New Roman" w:cs="Calibri"/>
                <w:color w:val="FFFFFF"/>
                <w:szCs w:val="24"/>
                <w:lang w:eastAsia="es-CR"/>
              </w:rPr>
              <w:t>Aplica</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BC4A2B" w14:textId="77777777" w:rsidR="001F474F" w:rsidRPr="001F474F" w:rsidRDefault="001F474F" w:rsidP="001F474F">
            <w:pPr>
              <w:spacing w:after="0" w:line="240" w:lineRule="auto"/>
              <w:jc w:val="center"/>
              <w:rPr>
                <w:rFonts w:eastAsia="Times New Roman" w:cs="Calibri"/>
                <w:color w:val="000000"/>
                <w:sz w:val="22"/>
                <w:lang w:eastAsia="es-CR"/>
              </w:rPr>
            </w:pPr>
            <w:r w:rsidRPr="001F474F">
              <w:rPr>
                <w:rFonts w:eastAsia="Times New Roman" w:cs="Calibri"/>
                <w:color w:val="000000"/>
                <w:sz w:val="22"/>
                <w:lang w:eastAsia="es-CR"/>
              </w:rPr>
              <w:t>Si</w:t>
            </w:r>
          </w:p>
        </w:tc>
      </w:tr>
      <w:tr w:rsidR="001F474F" w:rsidRPr="001F474F" w14:paraId="1D9F2D90" w14:textId="77777777" w:rsidTr="001F474F">
        <w:trPr>
          <w:trHeight w:val="323"/>
        </w:trPr>
        <w:tc>
          <w:tcPr>
            <w:tcW w:w="2260" w:type="dxa"/>
            <w:tcBorders>
              <w:top w:val="nil"/>
              <w:left w:val="single" w:sz="8" w:space="0" w:color="auto"/>
              <w:bottom w:val="single" w:sz="8" w:space="0" w:color="auto"/>
              <w:right w:val="single" w:sz="8" w:space="0" w:color="auto"/>
            </w:tcBorders>
            <w:shd w:val="clear" w:color="000000" w:fill="17365D"/>
            <w:vAlign w:val="center"/>
            <w:hideMark/>
          </w:tcPr>
          <w:p w14:paraId="477401D5" w14:textId="77777777" w:rsidR="001F474F" w:rsidRPr="001F474F" w:rsidRDefault="001F474F" w:rsidP="001F474F">
            <w:pPr>
              <w:spacing w:after="0" w:line="240" w:lineRule="auto"/>
              <w:jc w:val="left"/>
              <w:rPr>
                <w:rFonts w:eastAsia="Times New Roman" w:cs="Calibri"/>
                <w:color w:val="FFFFFF"/>
                <w:szCs w:val="24"/>
                <w:lang w:eastAsia="es-CR"/>
              </w:rPr>
            </w:pPr>
            <w:proofErr w:type="spellStart"/>
            <w:r w:rsidRPr="001F474F">
              <w:rPr>
                <w:rFonts w:eastAsia="Times New Roman" w:cs="Calibri"/>
                <w:color w:val="FFFFFF"/>
                <w:szCs w:val="24"/>
                <w:lang w:eastAsia="es-CR"/>
              </w:rPr>
              <w:t>Porcentaje_Avance</w:t>
            </w:r>
            <w:proofErr w:type="spellEnd"/>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487723A4" w14:textId="77777777" w:rsidR="001F474F" w:rsidRPr="001F474F" w:rsidRDefault="001F474F" w:rsidP="001F474F">
            <w:pPr>
              <w:spacing w:after="0" w:line="240" w:lineRule="auto"/>
              <w:jc w:val="center"/>
              <w:rPr>
                <w:rFonts w:eastAsia="Times New Roman" w:cs="Calibri"/>
                <w:color w:val="000000"/>
                <w:sz w:val="22"/>
                <w:lang w:eastAsia="es-CR"/>
              </w:rPr>
            </w:pPr>
            <w:r w:rsidRPr="001F474F">
              <w:rPr>
                <w:rFonts w:eastAsia="Times New Roman" w:cs="Calibri"/>
                <w:color w:val="000000"/>
                <w:sz w:val="22"/>
                <w:lang w:eastAsia="es-CR"/>
              </w:rPr>
              <w:t>100,00%</w:t>
            </w:r>
          </w:p>
        </w:tc>
      </w:tr>
    </w:tbl>
    <w:p w14:paraId="0688E0BD" w14:textId="33BF9C8D" w:rsidR="00D67331" w:rsidRDefault="001D0A81" w:rsidP="00A450FF">
      <w:pPr>
        <w:rPr>
          <w:b/>
          <w:sz w:val="16"/>
          <w:szCs w:val="16"/>
          <w:lang w:eastAsia="es-CR"/>
        </w:rPr>
      </w:pPr>
      <w:r>
        <w:rPr>
          <w:lang w:eastAsia="es-CR"/>
        </w:rPr>
        <w:t xml:space="preserve">                              </w:t>
      </w:r>
      <w:r w:rsidR="00D67331" w:rsidRPr="00C35565">
        <w:rPr>
          <w:b/>
          <w:sz w:val="16"/>
          <w:szCs w:val="16"/>
          <w:lang w:eastAsia="es-CR"/>
        </w:rPr>
        <w:t>-Aplicación Obligatoria-</w:t>
      </w:r>
    </w:p>
    <w:p w14:paraId="00881E92" w14:textId="29236F51" w:rsidR="00DD6F8C" w:rsidRDefault="00DD6F8C" w:rsidP="00A450FF">
      <w:pPr>
        <w:rPr>
          <w:b/>
          <w:sz w:val="16"/>
          <w:szCs w:val="16"/>
          <w:lang w:eastAsia="es-CR"/>
        </w:rPr>
      </w:pPr>
    </w:p>
    <w:p w14:paraId="24D15792" w14:textId="6FC2F16A" w:rsidR="00D67331" w:rsidRDefault="00D67331" w:rsidP="00D67331">
      <w:pPr>
        <w:jc w:val="center"/>
      </w:pPr>
      <w:r>
        <w:rPr>
          <w:noProof/>
          <w:lang w:eastAsia="es-CR"/>
        </w:rPr>
        <w:drawing>
          <wp:inline distT="0" distB="0" distL="0" distR="0" wp14:anchorId="2031B89B" wp14:editId="0FCA793C">
            <wp:extent cx="4608830" cy="2133600"/>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08830" cy="2133600"/>
                    </a:xfrm>
                    <a:prstGeom prst="rect">
                      <a:avLst/>
                    </a:prstGeom>
                    <a:noFill/>
                  </pic:spPr>
                </pic:pic>
              </a:graphicData>
            </a:graphic>
          </wp:inline>
        </w:drawing>
      </w:r>
    </w:p>
    <w:p w14:paraId="0C8C5FC1" w14:textId="4C590B91" w:rsidR="00D67331" w:rsidRPr="00D67331" w:rsidRDefault="00D67331" w:rsidP="00D67331">
      <w:pPr>
        <w:rPr>
          <w:lang w:val="es-MX"/>
        </w:rPr>
      </w:pPr>
      <w:r w:rsidRPr="00BC7C5B">
        <w:rPr>
          <w:lang w:val="es-ES_tradnl"/>
        </w:rPr>
        <w:t>Una parte se considera relacionada con otra si una de ellas tiene la posibilidad de ejercer el control sobre la misma, o de ejercer influencia significativa sobre ella al tomar sus decisiones financieras y operativas, o si la parte relacionada y otra entidad están sujetas a control común.</w:t>
      </w:r>
      <w:r w:rsidRPr="00BC7C5B">
        <w:rPr>
          <w:lang w:val="es-MX"/>
        </w:rPr>
        <w:t xml:space="preserve"> Incluye al personal clave de la gerencia u órgano de dirección de la entidad y familiares próximos a los mismos.</w:t>
      </w:r>
    </w:p>
    <w:p w14:paraId="63D6EEAD" w14:textId="28B1A208" w:rsidR="009075D7" w:rsidRDefault="009075D7" w:rsidP="00A450FF">
      <w:pPr>
        <w:rPr>
          <w:lang w:val="es-MX"/>
        </w:rPr>
      </w:pPr>
      <w:r>
        <w:rPr>
          <w:lang w:val="es-MX"/>
        </w:rPr>
        <w:t xml:space="preserve">En el siguiente cuadro se detallan los funcionarios municipales y miembros del Concejo Municipal que </w:t>
      </w:r>
      <w:r w:rsidR="000C6746">
        <w:rPr>
          <w:lang w:val="es-MX"/>
        </w:rPr>
        <w:t xml:space="preserve">de acuerdo información suministrada por RRHH </w:t>
      </w:r>
      <w:r>
        <w:rPr>
          <w:lang w:val="es-MX"/>
        </w:rPr>
        <w:t xml:space="preserve">llenaron </w:t>
      </w:r>
      <w:r w:rsidR="00D67331" w:rsidRPr="005A1C32">
        <w:rPr>
          <w:lang w:val="es-MX"/>
        </w:rPr>
        <w:t>Declaraciones juradas</w:t>
      </w:r>
      <w:r w:rsidR="00DA2C9A">
        <w:rPr>
          <w:lang w:val="es-MX"/>
        </w:rPr>
        <w:t xml:space="preserve"> a la CGR:</w:t>
      </w:r>
    </w:p>
    <w:p w14:paraId="53ABAAFD" w14:textId="7AF20DD4" w:rsidR="00DA2C9A" w:rsidRDefault="00DA2C9A" w:rsidP="00A450FF">
      <w:pPr>
        <w:rPr>
          <w:lang w:val="es-MX"/>
        </w:rPr>
      </w:pPr>
    </w:p>
    <w:p w14:paraId="330975FA" w14:textId="0DF1A11C" w:rsidR="00DA2C9A" w:rsidRDefault="00DA2C9A" w:rsidP="00A450FF">
      <w:pPr>
        <w:rPr>
          <w:lang w:val="es-MX"/>
        </w:rPr>
      </w:pPr>
      <w:r w:rsidRPr="001A22EC">
        <w:rPr>
          <w:noProof/>
          <w:lang w:eastAsia="es-CR"/>
        </w:rPr>
        <w:lastRenderedPageBreak/>
        <w:drawing>
          <wp:anchor distT="0" distB="0" distL="114300" distR="114300" simplePos="0" relativeHeight="251674624" behindDoc="0" locked="0" layoutInCell="1" allowOverlap="1" wp14:anchorId="6BCD4353" wp14:editId="09808F6F">
            <wp:simplePos x="0" y="0"/>
            <wp:positionH relativeFrom="margin">
              <wp:posOffset>119270</wp:posOffset>
            </wp:positionH>
            <wp:positionV relativeFrom="paragraph">
              <wp:posOffset>607</wp:posOffset>
            </wp:positionV>
            <wp:extent cx="5476875" cy="7505700"/>
            <wp:effectExtent l="0" t="0" r="9525" b="0"/>
            <wp:wrapSquare wrapText="bothSides"/>
            <wp:docPr id="205585992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6875" cy="7505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A047DA" w14:textId="1C97FDD5" w:rsidR="00DA2C9A" w:rsidRDefault="00DA2C9A" w:rsidP="00A450FF">
      <w:pPr>
        <w:rPr>
          <w:lang w:val="es-MX"/>
        </w:rPr>
      </w:pPr>
    </w:p>
    <w:p w14:paraId="46D6063F" w14:textId="0843097B" w:rsidR="00EB11D7" w:rsidRDefault="00DA2C9A" w:rsidP="00A450FF">
      <w:pPr>
        <w:rPr>
          <w:lang w:val="es-MX"/>
        </w:rPr>
      </w:pPr>
      <w:r>
        <w:rPr>
          <w:lang w:val="es-MX"/>
        </w:rPr>
        <w:lastRenderedPageBreak/>
        <w:t>Ah dichos funcionarios se les consultó los siguientes puntos sobre la información a rev</w:t>
      </w:r>
      <w:r w:rsidR="004D00DB">
        <w:rPr>
          <w:lang w:val="es-MX"/>
        </w:rPr>
        <w:t>elar sobre partes relacionadas. R</w:t>
      </w:r>
      <w:r w:rsidR="009036E6">
        <w:rPr>
          <w:lang w:val="es-MX"/>
        </w:rPr>
        <w:t>eferente a las consultas que se les realizaron,</w:t>
      </w:r>
      <w:r w:rsidR="00A17BB4">
        <w:rPr>
          <w:lang w:val="es-MX"/>
        </w:rPr>
        <w:t xml:space="preserve"> en su totalidad las respuestas que se obtuvieron fueron; “No desarrollo relaciones comerciales” y “No tengo famili</w:t>
      </w:r>
      <w:r w:rsidR="004D00DB">
        <w:rPr>
          <w:lang w:val="es-MX"/>
        </w:rPr>
        <w:t>ares que desarrollen relaciones comerciales</w:t>
      </w:r>
      <w:r w:rsidR="00A17BB4">
        <w:rPr>
          <w:lang w:val="es-MX"/>
        </w:rPr>
        <w:t>”</w:t>
      </w:r>
      <w:r w:rsidR="004D00DB">
        <w:rPr>
          <w:lang w:val="es-MX"/>
        </w:rPr>
        <w:t>.</w:t>
      </w:r>
    </w:p>
    <w:p w14:paraId="46BD5140" w14:textId="5B509254" w:rsidR="002A2EE0" w:rsidRDefault="00871BA4" w:rsidP="00A450FF">
      <w:pPr>
        <w:rPr>
          <w:lang w:val="es-MX"/>
        </w:rPr>
      </w:pPr>
      <w:r>
        <w:rPr>
          <w:noProof/>
          <w:lang w:eastAsia="es-CR"/>
        </w:rPr>
        <mc:AlternateContent>
          <mc:Choice Requires="wps">
            <w:drawing>
              <wp:anchor distT="0" distB="0" distL="114300" distR="114300" simplePos="0" relativeHeight="251683840" behindDoc="0" locked="0" layoutInCell="1" allowOverlap="1" wp14:anchorId="462AEC3F" wp14:editId="69EC67F9">
                <wp:simplePos x="0" y="0"/>
                <wp:positionH relativeFrom="column">
                  <wp:posOffset>492760</wp:posOffset>
                </wp:positionH>
                <wp:positionV relativeFrom="paragraph">
                  <wp:posOffset>962025</wp:posOffset>
                </wp:positionV>
                <wp:extent cx="484505" cy="206375"/>
                <wp:effectExtent l="0" t="0" r="29845" b="22225"/>
                <wp:wrapNone/>
                <wp:docPr id="21" name="Conector recto 21"/>
                <wp:cNvGraphicFramePr/>
                <a:graphic xmlns:a="http://schemas.openxmlformats.org/drawingml/2006/main">
                  <a:graphicData uri="http://schemas.microsoft.com/office/word/2010/wordprocessingShape">
                    <wps:wsp>
                      <wps:cNvCnPr/>
                      <wps:spPr>
                        <a:xfrm flipV="1">
                          <a:off x="0" y="0"/>
                          <a:ext cx="484505" cy="20637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4E5556B" id="Conector recto 21" o:spid="_x0000_s1026" style="position:absolute;flip:y;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8pt,75.75pt" to="76.9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" strokecolor="black [3200]" strokeweight="1.5pt">
                <v:stroke joinstyle="miter"/>
              </v:line>
            </w:pict>
          </mc:Fallback>
        </mc:AlternateContent>
      </w:r>
      <w:r w:rsidR="002A2EE0">
        <w:rPr>
          <w:noProof/>
          <w:lang w:eastAsia="es-CR"/>
        </w:rPr>
        <mc:AlternateContent>
          <mc:Choice Requires="wps">
            <w:drawing>
              <wp:anchor distT="0" distB="0" distL="114300" distR="114300" simplePos="0" relativeHeight="251681792" behindDoc="0" locked="0" layoutInCell="1" allowOverlap="1" wp14:anchorId="07CB853E" wp14:editId="28BFF148">
                <wp:simplePos x="0" y="0"/>
                <wp:positionH relativeFrom="column">
                  <wp:posOffset>494223</wp:posOffset>
                </wp:positionH>
                <wp:positionV relativeFrom="paragraph">
                  <wp:posOffset>4239067</wp:posOffset>
                </wp:positionV>
                <wp:extent cx="484422" cy="205988"/>
                <wp:effectExtent l="0" t="0" r="30480" b="22860"/>
                <wp:wrapNone/>
                <wp:docPr id="20" name="Conector recto 20"/>
                <wp:cNvGraphicFramePr/>
                <a:graphic xmlns:a="http://schemas.openxmlformats.org/drawingml/2006/main">
                  <a:graphicData uri="http://schemas.microsoft.com/office/word/2010/wordprocessingShape">
                    <wps:wsp>
                      <wps:cNvCnPr/>
                      <wps:spPr>
                        <a:xfrm>
                          <a:off x="0" y="0"/>
                          <a:ext cx="484422" cy="205988"/>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CF88FF" id="Conector recto 20"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9pt,333.8pt" to="77.05pt,3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" strokecolor="black [3200]" strokeweight="1.5pt">
                <v:stroke joinstyle="miter"/>
              </v:line>
            </w:pict>
          </mc:Fallback>
        </mc:AlternateContent>
      </w:r>
      <w:r w:rsidR="002A2EE0">
        <w:rPr>
          <w:noProof/>
          <w:lang w:eastAsia="es-CR"/>
        </w:rPr>
        <mc:AlternateContent>
          <mc:Choice Requires="wps">
            <w:drawing>
              <wp:anchor distT="0" distB="0" distL="114300" distR="114300" simplePos="0" relativeHeight="251679744" behindDoc="0" locked="0" layoutInCell="1" allowOverlap="1" wp14:anchorId="2FDADA53" wp14:editId="63E9812B">
                <wp:simplePos x="0" y="0"/>
                <wp:positionH relativeFrom="column">
                  <wp:posOffset>494223</wp:posOffset>
                </wp:positionH>
                <wp:positionV relativeFrom="paragraph">
                  <wp:posOffset>4239066</wp:posOffset>
                </wp:positionV>
                <wp:extent cx="484505" cy="205988"/>
                <wp:effectExtent l="0" t="0" r="29845" b="22860"/>
                <wp:wrapNone/>
                <wp:docPr id="19" name="Conector recto 19"/>
                <wp:cNvGraphicFramePr/>
                <a:graphic xmlns:a="http://schemas.openxmlformats.org/drawingml/2006/main">
                  <a:graphicData uri="http://schemas.microsoft.com/office/word/2010/wordprocessingShape">
                    <wps:wsp>
                      <wps:cNvCnPr/>
                      <wps:spPr>
                        <a:xfrm flipV="1">
                          <a:off x="0" y="0"/>
                          <a:ext cx="484505" cy="205988"/>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A65355" id="Conector recto 19"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9pt,333.8pt" to="77.05pt,3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" strokecolor="black [3200]" strokeweight="1.5pt">
                <v:stroke joinstyle="miter"/>
              </v:line>
            </w:pict>
          </mc:Fallback>
        </mc:AlternateContent>
      </w:r>
      <w:bookmarkStart w:id="85" w:name="_GoBack"/>
      <w:r w:rsidR="002A2EE0" w:rsidRPr="009075D7">
        <w:rPr>
          <w:noProof/>
          <w:lang w:eastAsia="es-CR"/>
        </w:rPr>
        <w:drawing>
          <wp:anchor distT="0" distB="0" distL="114300" distR="114300" simplePos="0" relativeHeight="251671552" behindDoc="0" locked="0" layoutInCell="1" allowOverlap="1" wp14:anchorId="6A7BBD15" wp14:editId="5B2C5035">
            <wp:simplePos x="0" y="0"/>
            <wp:positionH relativeFrom="margin">
              <wp:posOffset>55880</wp:posOffset>
            </wp:positionH>
            <wp:positionV relativeFrom="paragraph">
              <wp:posOffset>294640</wp:posOffset>
            </wp:positionV>
            <wp:extent cx="5239385" cy="5215890"/>
            <wp:effectExtent l="0" t="0" r="0" b="3810"/>
            <wp:wrapTopAndBottom/>
            <wp:docPr id="43560780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39385" cy="5215890"/>
                    </a:xfrm>
                    <a:prstGeom prst="rect">
                      <a:avLst/>
                    </a:prstGeom>
                    <a:noFill/>
                    <a:ln>
                      <a:noFill/>
                    </a:ln>
                  </pic:spPr>
                </pic:pic>
              </a:graphicData>
            </a:graphic>
            <wp14:sizeRelV relativeFrom="margin">
              <wp14:pctHeight>0</wp14:pctHeight>
            </wp14:sizeRelV>
          </wp:anchor>
        </w:drawing>
      </w:r>
      <w:bookmarkEnd w:id="85"/>
      <w:r w:rsidR="002A2EE0">
        <w:rPr>
          <w:noProof/>
          <w:lang w:eastAsia="es-CR"/>
        </w:rPr>
        <mc:AlternateContent>
          <mc:Choice Requires="wps">
            <w:drawing>
              <wp:anchor distT="0" distB="0" distL="114300" distR="114300" simplePos="0" relativeHeight="251677696" behindDoc="0" locked="0" layoutInCell="1" allowOverlap="1" wp14:anchorId="6C25BDB1" wp14:editId="32D9D5D0">
                <wp:simplePos x="0" y="0"/>
                <wp:positionH relativeFrom="column">
                  <wp:posOffset>493671</wp:posOffset>
                </wp:positionH>
                <wp:positionV relativeFrom="paragraph">
                  <wp:posOffset>962798</wp:posOffset>
                </wp:positionV>
                <wp:extent cx="485030" cy="206734"/>
                <wp:effectExtent l="0" t="0" r="29845" b="22225"/>
                <wp:wrapNone/>
                <wp:docPr id="17" name="Conector recto 17"/>
                <wp:cNvGraphicFramePr/>
                <a:graphic xmlns:a="http://schemas.openxmlformats.org/drawingml/2006/main">
                  <a:graphicData uri="http://schemas.microsoft.com/office/word/2010/wordprocessingShape">
                    <wps:wsp>
                      <wps:cNvCnPr/>
                      <wps:spPr>
                        <a:xfrm>
                          <a:off x="0" y="0"/>
                          <a:ext cx="485030" cy="206734"/>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36173A1" id="Conector recto 17"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38.85pt,75.8pt" to="77.05pt,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" strokecolor="black [3200]" strokeweight="1.5pt">
                <v:stroke joinstyle="miter"/>
              </v:line>
            </w:pict>
          </mc:Fallback>
        </mc:AlternateContent>
      </w:r>
      <w:r w:rsidR="002A2EE0">
        <w:rPr>
          <w:lang w:val="es-MX"/>
        </w:rPr>
        <w:t>Las respuestas en las declaraciones fueron tal como se muestra:</w:t>
      </w:r>
    </w:p>
    <w:p w14:paraId="0933F0E1" w14:textId="6D03C60F" w:rsidR="00DA2C9A" w:rsidRDefault="00DA2C9A" w:rsidP="00CB63E8">
      <w:pPr>
        <w:rPr>
          <w:lang w:val="es-MX"/>
        </w:rPr>
      </w:pPr>
    </w:p>
    <w:p w14:paraId="227E13D5" w14:textId="77777777" w:rsidR="00DA2C9A" w:rsidRDefault="00DA2C9A" w:rsidP="00CB63E8">
      <w:pPr>
        <w:rPr>
          <w:lang w:val="es-MX"/>
        </w:rPr>
      </w:pPr>
    </w:p>
    <w:p w14:paraId="339B1F47" w14:textId="77777777" w:rsidR="00DA2C9A" w:rsidRDefault="00DA2C9A" w:rsidP="00CB63E8">
      <w:pPr>
        <w:rPr>
          <w:lang w:val="es-MX"/>
        </w:rPr>
      </w:pPr>
    </w:p>
    <w:p w14:paraId="38A6169E" w14:textId="62AC3DAE" w:rsidR="00DA2C9A" w:rsidRDefault="00DA2C9A" w:rsidP="00CB63E8">
      <w:pPr>
        <w:rPr>
          <w:lang w:val="es-MX"/>
        </w:rPr>
      </w:pPr>
    </w:p>
    <w:p w14:paraId="5CBA3610" w14:textId="4CCCDB44" w:rsidR="00CB63E8" w:rsidRDefault="004D00DB" w:rsidP="00CB63E8">
      <w:pPr>
        <w:rPr>
          <w:lang w:val="es-MX"/>
        </w:rPr>
      </w:pPr>
      <w:r>
        <w:rPr>
          <w:lang w:val="es-MX"/>
        </w:rPr>
        <w:lastRenderedPageBreak/>
        <w:t xml:space="preserve">Para </w:t>
      </w:r>
      <w:r w:rsidR="00CB63E8">
        <w:rPr>
          <w:lang w:val="es-MX"/>
        </w:rPr>
        <w:t>efectos de respaldo y como parte del proceso del Plan General de Contabilidad Nacional, se mantiene carpeta con la información referente a la NICSP 20 y el proceso realizado;</w:t>
      </w:r>
    </w:p>
    <w:p w14:paraId="592A4D31" w14:textId="2F1F6727" w:rsidR="00396CB4" w:rsidRDefault="00DA2C9A" w:rsidP="00A450FF">
      <w:pPr>
        <w:rPr>
          <w:rFonts w:asciiTheme="minorHAnsi" w:hAnsiTheme="minorHAnsi"/>
          <w:sz w:val="22"/>
        </w:rPr>
      </w:pPr>
      <w:r>
        <w:rPr>
          <w:noProof/>
          <w:lang w:eastAsia="es-CR"/>
        </w:rPr>
        <w:drawing>
          <wp:anchor distT="0" distB="0" distL="114300" distR="114300" simplePos="0" relativeHeight="251672576" behindDoc="0" locked="0" layoutInCell="1" allowOverlap="1" wp14:anchorId="1F5CB6C7" wp14:editId="1A72A3D5">
            <wp:simplePos x="0" y="0"/>
            <wp:positionH relativeFrom="margin">
              <wp:posOffset>615564</wp:posOffset>
            </wp:positionH>
            <wp:positionV relativeFrom="paragraph">
              <wp:posOffset>0</wp:posOffset>
            </wp:positionV>
            <wp:extent cx="4364990" cy="2066925"/>
            <wp:effectExtent l="0" t="0" r="0" b="9525"/>
            <wp:wrapSquare wrapText="bothSides"/>
            <wp:docPr id="13852504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250459" name=""/>
                    <pic:cNvPicPr/>
                  </pic:nvPicPr>
                  <pic:blipFill>
                    <a:blip r:embed="rId28">
                      <a:extLst>
                        <a:ext uri="{28A0092B-C50C-407E-A947-70E740481C1C}">
                          <a14:useLocalDpi xmlns:a14="http://schemas.microsoft.com/office/drawing/2010/main" val="0"/>
                        </a:ext>
                      </a:extLst>
                    </a:blip>
                    <a:stretch>
                      <a:fillRect/>
                    </a:stretch>
                  </pic:blipFill>
                  <pic:spPr>
                    <a:xfrm>
                      <a:off x="0" y="0"/>
                      <a:ext cx="4364990" cy="2066925"/>
                    </a:xfrm>
                    <a:prstGeom prst="rect">
                      <a:avLst/>
                    </a:prstGeom>
                  </pic:spPr>
                </pic:pic>
              </a:graphicData>
            </a:graphic>
            <wp14:sizeRelH relativeFrom="margin">
              <wp14:pctWidth>0</wp14:pctWidth>
            </wp14:sizeRelH>
            <wp14:sizeRelV relativeFrom="margin">
              <wp14:pctHeight>0</wp14:pctHeight>
            </wp14:sizeRelV>
          </wp:anchor>
        </w:drawing>
      </w:r>
      <w:r w:rsidR="00A450FF">
        <w:fldChar w:fldCharType="begin"/>
      </w:r>
      <w:r w:rsidR="00A450FF">
        <w:instrText xml:space="preserve"> LINK </w:instrText>
      </w:r>
      <w:r w:rsidR="00756467">
        <w:instrText xml:space="preserve">Excel.SheetMacroEnabled.12 "C:\\Users\\gcordero\\Downloads\\Notas diciembre 2024\\Formato_Notas_EEFF_Vinculadas_2024\\Formato_Notas_EEFF_Vinculadas_2024\\15603_T04_2024_Anexo_Estado_Notas_Contables_Vinculadas.xlsm" NICSP_20!F12C7:F16C11 </w:instrText>
      </w:r>
      <w:r w:rsidR="00A450FF">
        <w:instrText xml:space="preserve">\a \f 4 \h </w:instrText>
      </w:r>
      <w:r w:rsidR="00007A05">
        <w:instrText xml:space="preserve"> \* MERGEFORMAT </w:instrText>
      </w:r>
      <w:r w:rsidR="00A450FF">
        <w:fldChar w:fldCharType="separate"/>
      </w:r>
    </w:p>
    <w:p w14:paraId="724D234A" w14:textId="76763014" w:rsidR="00B46535" w:rsidRDefault="00A450FF" w:rsidP="00D67331">
      <w:r>
        <w:fldChar w:fldCharType="end"/>
      </w:r>
    </w:p>
    <w:p w14:paraId="637BA9D0" w14:textId="77777777" w:rsidR="001A22EC" w:rsidRDefault="001A22EC" w:rsidP="00D67331"/>
    <w:p w14:paraId="04C29FEB" w14:textId="77777777" w:rsidR="001A22EC" w:rsidRDefault="001A22EC" w:rsidP="00D67331"/>
    <w:p w14:paraId="544FEE27" w14:textId="1E5F80B8" w:rsidR="001A22EC" w:rsidRDefault="001A22EC" w:rsidP="00D67331"/>
    <w:p w14:paraId="1A47894D" w14:textId="77777777" w:rsidR="00DA2C9A" w:rsidRDefault="00DA2C9A" w:rsidP="00D67331"/>
    <w:p w14:paraId="1AB4C0F4" w14:textId="77777777" w:rsidR="00DA2C9A" w:rsidRDefault="00DA2C9A" w:rsidP="00D67331"/>
    <w:p w14:paraId="183F2DA0" w14:textId="12D4337C" w:rsidR="00650352" w:rsidRDefault="00D67331" w:rsidP="00D67331">
      <w:r w:rsidRPr="00D67331">
        <w:t xml:space="preserve">El responsable contable deberá también revelar información sobre transacciones entre partes relacionadas </w:t>
      </w:r>
      <w:r w:rsidR="00397B7C">
        <w:t xml:space="preserve">(MBA y CCDR) </w:t>
      </w:r>
      <w:r w:rsidRPr="00D67331">
        <w:t>considerando lo dispuesto en el párrafo 27 y 28 de la NICSP 20.</w:t>
      </w:r>
    </w:p>
    <w:p w14:paraId="2D8CE713" w14:textId="77777777" w:rsidR="00DA2C9A" w:rsidRPr="00D67331" w:rsidRDefault="00DA2C9A" w:rsidP="00D67331"/>
    <w:p w14:paraId="4E1F3947" w14:textId="77777777" w:rsidR="00D67331" w:rsidRPr="00D67331" w:rsidRDefault="00D67331" w:rsidP="00D67331">
      <w:pPr>
        <w:spacing w:line="240" w:lineRule="auto"/>
        <w:rPr>
          <w:rStyle w:val="nfasis"/>
          <w:b/>
        </w:rPr>
      </w:pPr>
      <w:r w:rsidRPr="00D67331">
        <w:rPr>
          <w:rStyle w:val="nfasis"/>
          <w:b/>
        </w:rPr>
        <w:t xml:space="preserve">“Información a revelar sobre transacciones entre partes relacionadas </w:t>
      </w:r>
    </w:p>
    <w:p w14:paraId="1EE53D6A" w14:textId="77777777" w:rsidR="00D67331" w:rsidRPr="00D67331" w:rsidRDefault="00D67331" w:rsidP="00D67331">
      <w:pPr>
        <w:spacing w:line="240" w:lineRule="auto"/>
        <w:rPr>
          <w:rStyle w:val="nfasis"/>
        </w:rPr>
      </w:pPr>
      <w:r w:rsidRPr="00D67331">
        <w:rPr>
          <w:rStyle w:val="nfasis"/>
        </w:rPr>
        <w:t>28. Las situaciones siguientes son ejemplos en los que la existencia de partes relacionadas puede dar lugar a la revelación de información por parte de la entidad que informa:</w:t>
      </w:r>
    </w:p>
    <w:p w14:paraId="5B71D3E3" w14:textId="77777777" w:rsidR="00D67331" w:rsidRPr="00D67331" w:rsidRDefault="00D67331" w:rsidP="00D67331">
      <w:pPr>
        <w:spacing w:line="240" w:lineRule="auto"/>
        <w:rPr>
          <w:rStyle w:val="nfasis"/>
        </w:rPr>
      </w:pPr>
      <w:r w:rsidRPr="00D67331">
        <w:rPr>
          <w:rStyle w:val="nfasis"/>
        </w:rPr>
        <w:t xml:space="preserve">(a) prestación o recepción de servicios; </w:t>
      </w:r>
    </w:p>
    <w:p w14:paraId="38DA9723" w14:textId="77777777" w:rsidR="00D67331" w:rsidRPr="00D67331" w:rsidRDefault="00D67331" w:rsidP="00D67331">
      <w:pPr>
        <w:spacing w:line="240" w:lineRule="auto"/>
        <w:rPr>
          <w:rStyle w:val="nfasis"/>
        </w:rPr>
      </w:pPr>
      <w:r w:rsidRPr="00D67331">
        <w:rPr>
          <w:rStyle w:val="nfasis"/>
        </w:rPr>
        <w:t xml:space="preserve">(b) compras o transferencias/ventas de bienes (terminados o no); </w:t>
      </w:r>
    </w:p>
    <w:p w14:paraId="34E4F43B" w14:textId="77777777" w:rsidR="00D67331" w:rsidRPr="00D67331" w:rsidRDefault="00D67331" w:rsidP="00D67331">
      <w:pPr>
        <w:spacing w:line="240" w:lineRule="auto"/>
        <w:rPr>
          <w:rStyle w:val="nfasis"/>
        </w:rPr>
      </w:pPr>
      <w:r w:rsidRPr="00D67331">
        <w:rPr>
          <w:rStyle w:val="nfasis"/>
        </w:rPr>
        <w:t xml:space="preserve">(c) compras o transferencias/ventas de propiedades y otros activos; </w:t>
      </w:r>
    </w:p>
    <w:p w14:paraId="4E7A3F18" w14:textId="77777777" w:rsidR="00D67331" w:rsidRPr="00D67331" w:rsidRDefault="00D67331" w:rsidP="00D67331">
      <w:pPr>
        <w:spacing w:line="240" w:lineRule="auto"/>
        <w:rPr>
          <w:rStyle w:val="nfasis"/>
        </w:rPr>
      </w:pPr>
      <w:r w:rsidRPr="00D67331">
        <w:rPr>
          <w:rStyle w:val="nfasis"/>
        </w:rPr>
        <w:t xml:space="preserve">(d) acuerdos de agencia; </w:t>
      </w:r>
    </w:p>
    <w:p w14:paraId="42D35662" w14:textId="77777777" w:rsidR="00D67331" w:rsidRPr="00D67331" w:rsidRDefault="00D67331" w:rsidP="00D67331">
      <w:pPr>
        <w:spacing w:line="240" w:lineRule="auto"/>
        <w:rPr>
          <w:rStyle w:val="nfasis"/>
        </w:rPr>
      </w:pPr>
      <w:r w:rsidRPr="00D67331">
        <w:rPr>
          <w:rStyle w:val="nfasis"/>
        </w:rPr>
        <w:t xml:space="preserve">(e) acuerdos sobre arrendamientos financieros; </w:t>
      </w:r>
    </w:p>
    <w:p w14:paraId="40A5BF33" w14:textId="77777777" w:rsidR="00D67331" w:rsidRPr="00D67331" w:rsidRDefault="00D67331" w:rsidP="00D67331">
      <w:pPr>
        <w:spacing w:line="240" w:lineRule="auto"/>
        <w:rPr>
          <w:rStyle w:val="nfasis"/>
        </w:rPr>
      </w:pPr>
      <w:r w:rsidRPr="00D67331">
        <w:rPr>
          <w:rStyle w:val="nfasis"/>
        </w:rPr>
        <w:t xml:space="preserve">(f) transferencias de investigación y desarrollo; </w:t>
      </w:r>
    </w:p>
    <w:p w14:paraId="31A4D9F3" w14:textId="77777777" w:rsidR="00D67331" w:rsidRPr="00D67331" w:rsidRDefault="00D67331" w:rsidP="00D67331">
      <w:pPr>
        <w:spacing w:line="240" w:lineRule="auto"/>
        <w:rPr>
          <w:rStyle w:val="nfasis"/>
        </w:rPr>
      </w:pPr>
      <w:r w:rsidRPr="00D67331">
        <w:rPr>
          <w:rStyle w:val="nfasis"/>
        </w:rPr>
        <w:t xml:space="preserve">(g) acuerdos sobre licencias; </w:t>
      </w:r>
    </w:p>
    <w:p w14:paraId="1C4A11A0" w14:textId="77777777" w:rsidR="00D67331" w:rsidRPr="00D67331" w:rsidRDefault="00D67331" w:rsidP="00D67331">
      <w:pPr>
        <w:spacing w:line="240" w:lineRule="auto"/>
        <w:rPr>
          <w:rStyle w:val="nfasis"/>
        </w:rPr>
      </w:pPr>
      <w:r w:rsidRPr="00D67331">
        <w:rPr>
          <w:rStyle w:val="nfasis"/>
        </w:rPr>
        <w:t>(h) financiación (incluyendo préstamos, aportaciones de capital, donaciones, ya sean en efectivo o especie, y otro tipo de soporte financiero incluyendo acuerdos para compartir costos); y</w:t>
      </w:r>
    </w:p>
    <w:p w14:paraId="1929D4EA" w14:textId="7F016DF2" w:rsidR="00D67331" w:rsidRDefault="00D67331" w:rsidP="00D67331">
      <w:pPr>
        <w:spacing w:line="240" w:lineRule="auto"/>
        <w:rPr>
          <w:rStyle w:val="nfasis"/>
        </w:rPr>
      </w:pPr>
      <w:r w:rsidRPr="00D67331">
        <w:rPr>
          <w:rStyle w:val="nfasis"/>
        </w:rPr>
        <w:t xml:space="preserve"> (i) garantías y avales.”</w:t>
      </w:r>
    </w:p>
    <w:p w14:paraId="69E2AEFE" w14:textId="2E9C910B" w:rsidR="004B38F9" w:rsidRDefault="004B38F9" w:rsidP="00D67331">
      <w:pPr>
        <w:spacing w:line="240" w:lineRule="auto"/>
        <w:rPr>
          <w:rStyle w:val="nfasis"/>
        </w:rPr>
      </w:pPr>
    </w:p>
    <w:p w14:paraId="477524AB" w14:textId="77777777" w:rsidR="00DC1EA4" w:rsidRDefault="00DC1EA4" w:rsidP="00D67331">
      <w:pPr>
        <w:spacing w:line="240" w:lineRule="auto"/>
        <w:rPr>
          <w:rStyle w:val="nfasis"/>
        </w:rPr>
      </w:pPr>
    </w:p>
    <w:p w14:paraId="1DA56128" w14:textId="77777777" w:rsidR="007D62A5" w:rsidRDefault="004B38F9" w:rsidP="007D62A5">
      <w:pPr>
        <w:spacing w:line="240" w:lineRule="auto"/>
        <w:rPr>
          <w:b/>
          <w:color w:val="FFFFFF" w:themeColor="background1"/>
          <w:u w:val="single"/>
        </w:rPr>
      </w:pPr>
      <w:r w:rsidRPr="003516A2">
        <w:rPr>
          <w:b/>
          <w:color w:val="FFFFFF" w:themeColor="background1"/>
          <w:highlight w:val="darkBlue"/>
          <w:u w:val="single"/>
        </w:rPr>
        <w:lastRenderedPageBreak/>
        <w:t>Reconocimiento:</w:t>
      </w:r>
      <w:r>
        <w:rPr>
          <w:b/>
          <w:color w:val="FFFFFF" w:themeColor="background1"/>
          <w:highlight w:val="darkBlue"/>
          <w:u w:val="single"/>
        </w:rPr>
        <w:t xml:space="preserve"> </w:t>
      </w:r>
    </w:p>
    <w:p w14:paraId="445231AC" w14:textId="532AD866" w:rsidR="007D62A5" w:rsidRDefault="007D62A5" w:rsidP="007D62A5">
      <w:pPr>
        <w:spacing w:line="240" w:lineRule="auto"/>
        <w:rPr>
          <w:lang w:val="es-MX"/>
        </w:rPr>
      </w:pPr>
      <w:r>
        <w:rPr>
          <w:lang w:val="es-MX"/>
        </w:rPr>
        <w:t xml:space="preserve">La Municipalidad reconoce como gasto relacionado las trasferencias </w:t>
      </w:r>
      <w:r w:rsidR="00420A2E">
        <w:rPr>
          <w:lang w:val="es-MX"/>
        </w:rPr>
        <w:t xml:space="preserve">   de ley que </w:t>
      </w:r>
      <w:r w:rsidR="00871BA4">
        <w:rPr>
          <w:lang w:val="es-MX"/>
        </w:rPr>
        <w:t>realiza durante</w:t>
      </w:r>
      <w:r w:rsidR="00C82F14">
        <w:rPr>
          <w:lang w:val="es-MX"/>
        </w:rPr>
        <w:t xml:space="preserve"> </w:t>
      </w:r>
      <w:r>
        <w:rPr>
          <w:lang w:val="es-MX"/>
        </w:rPr>
        <w:t>el periodo</w:t>
      </w:r>
      <w:r w:rsidR="00C82F14">
        <w:rPr>
          <w:lang w:val="es-MX"/>
        </w:rPr>
        <w:t xml:space="preserve"> y registra como pasivo al final de periodo lo pendiente de transferir de acuerdo la recaudación efectiva.</w:t>
      </w:r>
    </w:p>
    <w:p w14:paraId="6D5C1A0E" w14:textId="083DC243" w:rsidR="004B38F9" w:rsidRPr="00EF630D" w:rsidRDefault="004B38F9" w:rsidP="004B38F9">
      <w:pPr>
        <w:spacing w:line="240" w:lineRule="auto"/>
        <w:rPr>
          <w:b/>
          <w:u w:val="single"/>
          <w:lang w:val="es-MX"/>
        </w:rPr>
      </w:pPr>
    </w:p>
    <w:p w14:paraId="01607484" w14:textId="77777777" w:rsidR="004B38F9" w:rsidRPr="003516A2" w:rsidRDefault="004B38F9" w:rsidP="004B38F9">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2D409030" w14:textId="77777777" w:rsidR="007D62A5" w:rsidRDefault="007D62A5" w:rsidP="007D62A5">
      <w:pPr>
        <w:spacing w:after="120" w:line="240" w:lineRule="auto"/>
        <w:rPr>
          <w:lang w:val="es-MX"/>
        </w:rPr>
      </w:pPr>
      <w:r>
        <w:rPr>
          <w:lang w:val="es-MX"/>
        </w:rPr>
        <w:t>Las transferencias realizadas al CCDR se miden por el valor corriente contenido en el presupuesto de la Municipalidad para el ejercicio de que se trate.</w:t>
      </w:r>
    </w:p>
    <w:p w14:paraId="430DB966" w14:textId="77777777" w:rsidR="004B38F9" w:rsidRPr="00D67331" w:rsidRDefault="004B38F9" w:rsidP="00D67331">
      <w:pPr>
        <w:spacing w:line="240" w:lineRule="auto"/>
        <w:rPr>
          <w:i/>
          <w:iCs/>
        </w:rPr>
      </w:pPr>
    </w:p>
    <w:p w14:paraId="74D9C14A" w14:textId="111695E9" w:rsidR="00D67331" w:rsidRDefault="00D67331" w:rsidP="00D67331">
      <w:pPr>
        <w:rPr>
          <w:rStyle w:val="nfasis"/>
          <w:b/>
          <w:i w:val="0"/>
          <w:u w:val="single"/>
          <w:lang w:val="es-MX" w:eastAsia="es-CR"/>
        </w:rPr>
      </w:pPr>
      <w:r w:rsidRPr="004B38F9">
        <w:rPr>
          <w:iCs/>
          <w:color w:val="FFFFFF" w:themeColor="background1"/>
          <w:highlight w:val="darkBlue"/>
        </w:rPr>
        <w:t>Revelación Suficiente:</w:t>
      </w:r>
      <w:r w:rsidRPr="00D67331">
        <w:rPr>
          <w:rStyle w:val="nfasis"/>
          <w:b/>
          <w:i w:val="0"/>
          <w:u w:val="single"/>
          <w:lang w:val="es-MX" w:eastAsia="es-CR"/>
        </w:rPr>
        <w:t xml:space="preserve"> </w:t>
      </w:r>
      <w:r w:rsidR="00482942">
        <w:rPr>
          <w:rStyle w:val="nfasis"/>
          <w:b/>
          <w:i w:val="0"/>
          <w:u w:val="single"/>
          <w:lang w:eastAsia="es-CR"/>
        </w:rPr>
        <w:t xml:space="preserve">El ente debe revelar y cumplir </w:t>
      </w:r>
      <w:r w:rsidRPr="00D67331">
        <w:rPr>
          <w:rStyle w:val="nfasis"/>
          <w:b/>
          <w:i w:val="0"/>
          <w:u w:val="single"/>
          <w:lang w:eastAsia="es-CR"/>
        </w:rPr>
        <w:t xml:space="preserve">con lo estipulado en revelación </w:t>
      </w:r>
      <w:r w:rsidR="00482942">
        <w:rPr>
          <w:rStyle w:val="nfasis"/>
          <w:b/>
          <w:i w:val="0"/>
          <w:u w:val="single"/>
          <w:lang w:eastAsia="es-CR"/>
        </w:rPr>
        <w:t>conforme</w:t>
      </w:r>
      <w:r w:rsidRPr="00D67331">
        <w:rPr>
          <w:rStyle w:val="nfasis"/>
          <w:b/>
          <w:i w:val="0"/>
          <w:u w:val="single"/>
          <w:lang w:eastAsia="es-CR"/>
        </w:rPr>
        <w:t xml:space="preserve"> a la NICSP, también debe considerar la política general y los párrafos incluidos en la matriz de autoevaluación referente a esta NICSP y guías de aplicación</w:t>
      </w:r>
      <w:r w:rsidRPr="00D67331">
        <w:rPr>
          <w:rStyle w:val="nfasis"/>
          <w:b/>
          <w:i w:val="0"/>
          <w:u w:val="single"/>
          <w:lang w:val="es-MX" w:eastAsia="es-CR"/>
        </w:rPr>
        <w:t xml:space="preserve"> (ver GA NICSP 20).</w:t>
      </w:r>
    </w:p>
    <w:p w14:paraId="2EEAFB9B" w14:textId="5B91FF79" w:rsidR="00CC7149" w:rsidRPr="00D67331" w:rsidRDefault="00CC7149" w:rsidP="00D67331">
      <w:pPr>
        <w:rPr>
          <w:rStyle w:val="nfasis"/>
          <w:b/>
          <w:i w:val="0"/>
          <w:u w:val="single"/>
          <w:lang w:val="es-MX" w:eastAsia="es-CR"/>
        </w:rPr>
      </w:pPr>
    </w:p>
    <w:p w14:paraId="28522753" w14:textId="72BB5EA9" w:rsidR="00721CA9" w:rsidRDefault="007D62A5" w:rsidP="00721CA9">
      <w:pPr>
        <w:autoSpaceDE w:val="0"/>
        <w:autoSpaceDN w:val="0"/>
        <w:adjustRightInd w:val="0"/>
        <w:spacing w:after="0" w:line="240" w:lineRule="auto"/>
        <w:rPr>
          <w:szCs w:val="24"/>
        </w:rPr>
      </w:pPr>
      <w:r>
        <w:rPr>
          <w:b/>
          <w:bCs/>
          <w:szCs w:val="24"/>
        </w:rPr>
        <w:t>Principales políticas</w:t>
      </w:r>
      <w:r>
        <w:rPr>
          <w:szCs w:val="24"/>
        </w:rPr>
        <w:t xml:space="preserve"> </w:t>
      </w:r>
    </w:p>
    <w:p w14:paraId="05C19824" w14:textId="77777777" w:rsidR="00721CA9" w:rsidRDefault="00721CA9" w:rsidP="00721CA9">
      <w:pPr>
        <w:autoSpaceDE w:val="0"/>
        <w:autoSpaceDN w:val="0"/>
        <w:adjustRightInd w:val="0"/>
        <w:spacing w:after="0" w:line="240" w:lineRule="auto"/>
        <w:rPr>
          <w:szCs w:val="24"/>
        </w:rPr>
      </w:pPr>
    </w:p>
    <w:p w14:paraId="6921125C" w14:textId="192B6C7D" w:rsidR="007D3DAB" w:rsidRDefault="007D62A5" w:rsidP="00721CA9">
      <w:pPr>
        <w:autoSpaceDE w:val="0"/>
        <w:autoSpaceDN w:val="0"/>
        <w:adjustRightInd w:val="0"/>
        <w:spacing w:after="0" w:line="240" w:lineRule="auto"/>
        <w:rPr>
          <w:szCs w:val="24"/>
        </w:rPr>
      </w:pPr>
      <w:r>
        <w:rPr>
          <w:szCs w:val="24"/>
        </w:rPr>
        <w:t>Se revelará en cada presentación de EEFF las relaciones que involucran control, las transacciones ejecutadas con las partes relacionadas. En relación con las transacciones ejecutadas se revelará la natura</w:t>
      </w:r>
      <w:r w:rsidR="00F22DBE">
        <w:rPr>
          <w:szCs w:val="24"/>
        </w:rPr>
        <w:t>leza, los tipos de transacción.</w:t>
      </w:r>
    </w:p>
    <w:p w14:paraId="320E0B2D" w14:textId="77777777" w:rsidR="007D3DAB" w:rsidRPr="00E64DCE" w:rsidRDefault="007D3DAB" w:rsidP="00721CA9">
      <w:pPr>
        <w:spacing w:after="0" w:line="240" w:lineRule="auto"/>
        <w:textAlignment w:val="baseline"/>
        <w:rPr>
          <w:rFonts w:eastAsia="Times New Roman" w:cs="Segoe UI"/>
          <w:szCs w:val="24"/>
          <w:lang w:eastAsia="es-CR"/>
        </w:rPr>
      </w:pPr>
      <w:r w:rsidRPr="00E64DCE">
        <w:rPr>
          <w:rFonts w:eastAsia="Times New Roman" w:cs="Arial"/>
          <w:szCs w:val="24"/>
          <w:lang w:eastAsia="es-CR"/>
        </w:rPr>
        <w:t> La Contraloría General de la República pone a disposición de los declarantes, unidades de recursos humanos y auditorías internas información relevante sobre el proceso de la declaración jurada de bienes regulado en la Ley contra la Corrupción y el Enriquecimiento Ilícito en la Función Pública nro. 8422 y su reglamento. </w:t>
      </w:r>
    </w:p>
    <w:p w14:paraId="5FCF8667" w14:textId="77777777" w:rsidR="007D3DAB" w:rsidRPr="00E64DCE" w:rsidRDefault="007D3DAB" w:rsidP="00721CA9">
      <w:pPr>
        <w:spacing w:after="0" w:line="240" w:lineRule="auto"/>
        <w:textAlignment w:val="baseline"/>
        <w:rPr>
          <w:rFonts w:eastAsia="Times New Roman" w:cs="Segoe UI"/>
          <w:szCs w:val="24"/>
          <w:lang w:eastAsia="es-CR"/>
        </w:rPr>
      </w:pPr>
      <w:r w:rsidRPr="00E64DCE">
        <w:rPr>
          <w:rFonts w:eastAsia="Times New Roman" w:cs="Arial"/>
          <w:szCs w:val="24"/>
          <w:lang w:eastAsia="es-CR"/>
        </w:rPr>
        <w:t> </w:t>
      </w:r>
    </w:p>
    <w:p w14:paraId="3763FB14" w14:textId="014047EA" w:rsidR="007D3DAB" w:rsidRDefault="007D3DAB" w:rsidP="00721CA9">
      <w:pPr>
        <w:spacing w:after="0" w:line="240" w:lineRule="auto"/>
        <w:textAlignment w:val="baseline"/>
        <w:rPr>
          <w:rFonts w:eastAsia="Times New Roman" w:cs="Arial"/>
          <w:szCs w:val="24"/>
          <w:highlight w:val="red"/>
          <w:lang w:eastAsia="es-CR"/>
        </w:rPr>
      </w:pPr>
      <w:r w:rsidRPr="00E64DCE">
        <w:rPr>
          <w:rFonts w:eastAsia="Times New Roman" w:cs="Arial"/>
          <w:szCs w:val="24"/>
          <w:lang w:eastAsia="es-CR"/>
        </w:rPr>
        <w:t>A continuación, se detalla la lista de funcionarios que realizan la declaración en este gobierno local, conforme a la información aportada por la jefatu</w:t>
      </w:r>
      <w:r>
        <w:rPr>
          <w:rFonts w:eastAsia="Times New Roman" w:cs="Arial"/>
          <w:szCs w:val="24"/>
          <w:lang w:eastAsia="es-CR"/>
        </w:rPr>
        <w:t>ra de Recursos Humanos de la MBA</w:t>
      </w:r>
      <w:r w:rsidRPr="00E64DCE">
        <w:rPr>
          <w:rFonts w:eastAsia="Times New Roman" w:cs="Arial"/>
          <w:szCs w:val="24"/>
          <w:lang w:eastAsia="es-CR"/>
        </w:rPr>
        <w:t xml:space="preserve">, en observancia el </w:t>
      </w:r>
      <w:r w:rsidRPr="00E64DCE">
        <w:rPr>
          <w:rFonts w:eastAsia="Times New Roman" w:cs="Arial"/>
          <w:b/>
          <w:bCs/>
          <w:szCs w:val="24"/>
          <w:u w:val="single"/>
          <w:lang w:eastAsia="es-CR"/>
        </w:rPr>
        <w:t>párrafo 21 y 23 de la NICSP 20</w:t>
      </w:r>
      <w:r w:rsidR="009075D7">
        <w:rPr>
          <w:rFonts w:eastAsia="Times New Roman" w:cs="Arial"/>
          <w:b/>
          <w:bCs/>
          <w:szCs w:val="24"/>
          <w:u w:val="single"/>
          <w:lang w:eastAsia="es-CR"/>
        </w:rPr>
        <w:t>;</w:t>
      </w:r>
    </w:p>
    <w:p w14:paraId="02FDCC84" w14:textId="3CD1FF4F" w:rsidR="007D62A5" w:rsidRDefault="0034405E" w:rsidP="007D62A5">
      <w:pPr>
        <w:autoSpaceDE w:val="0"/>
        <w:autoSpaceDN w:val="0"/>
        <w:adjustRightInd w:val="0"/>
        <w:spacing w:after="0" w:line="240" w:lineRule="auto"/>
        <w:rPr>
          <w:szCs w:val="24"/>
        </w:rPr>
      </w:pPr>
      <w:r>
        <w:rPr>
          <w:noProof/>
          <w:lang w:eastAsia="es-CR"/>
        </w:rPr>
        <w:lastRenderedPageBreak/>
        <w:drawing>
          <wp:inline distT="0" distB="0" distL="0" distR="0" wp14:anchorId="13B5D6C4" wp14:editId="06370B33">
            <wp:extent cx="5612130" cy="5819775"/>
            <wp:effectExtent l="0" t="0" r="7620" b="9525"/>
            <wp:docPr id="563871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87166" name=""/>
                    <pic:cNvPicPr/>
                  </pic:nvPicPr>
                  <pic:blipFill>
                    <a:blip r:embed="rId29"/>
                    <a:stretch>
                      <a:fillRect/>
                    </a:stretch>
                  </pic:blipFill>
                  <pic:spPr>
                    <a:xfrm>
                      <a:off x="0" y="0"/>
                      <a:ext cx="5612130" cy="5819775"/>
                    </a:xfrm>
                    <a:prstGeom prst="rect">
                      <a:avLst/>
                    </a:prstGeom>
                  </pic:spPr>
                </pic:pic>
              </a:graphicData>
            </a:graphic>
          </wp:inline>
        </w:drawing>
      </w:r>
    </w:p>
    <w:p w14:paraId="4A8B4906" w14:textId="672E2D03" w:rsidR="000268D3" w:rsidRPr="00871BCF" w:rsidRDefault="007D62A5" w:rsidP="007D62A5">
      <w:pPr>
        <w:spacing w:after="0" w:line="240" w:lineRule="auto"/>
        <w:rPr>
          <w:b/>
          <w:bCs/>
          <w:szCs w:val="24"/>
        </w:rPr>
      </w:pPr>
      <w:r w:rsidRPr="00871BCF">
        <w:rPr>
          <w:b/>
          <w:bCs/>
          <w:szCs w:val="24"/>
        </w:rPr>
        <w:t>Otras Revelaciones</w:t>
      </w:r>
    </w:p>
    <w:p w14:paraId="31F98C12" w14:textId="77777777" w:rsidR="007D62A5" w:rsidRDefault="007D62A5" w:rsidP="007D62A5">
      <w:pPr>
        <w:autoSpaceDE w:val="0"/>
        <w:autoSpaceDN w:val="0"/>
        <w:adjustRightInd w:val="0"/>
        <w:spacing w:after="0" w:line="240" w:lineRule="auto"/>
        <w:rPr>
          <w:szCs w:val="24"/>
        </w:rPr>
      </w:pPr>
    </w:p>
    <w:p w14:paraId="4D7F6934" w14:textId="77777777" w:rsidR="007D62A5" w:rsidRPr="00167CF9" w:rsidRDefault="007D62A5" w:rsidP="007D62A5">
      <w:pPr>
        <w:autoSpaceDE w:val="0"/>
        <w:autoSpaceDN w:val="0"/>
        <w:adjustRightInd w:val="0"/>
        <w:spacing w:after="0" w:line="240" w:lineRule="auto"/>
        <w:rPr>
          <w:szCs w:val="24"/>
        </w:rPr>
      </w:pPr>
      <w:r w:rsidRPr="00167CF9">
        <w:rPr>
          <w:szCs w:val="24"/>
        </w:rPr>
        <w:t xml:space="preserve">De acuerdo con el artículo 173 del Código Municipal, el comité cantonal de deportes y recreación es un ente adscrito a la municipalidad que goza de personalidad jurídica instrumental para desarrollar planes, proyectos y programas deportivos y recreativos cantonales, así como para construir, administrar y mantener las instalaciones deportivas de su propiedad o las otorgadas en administración. </w:t>
      </w:r>
    </w:p>
    <w:p w14:paraId="2BF3C17D" w14:textId="77777777" w:rsidR="007D62A5" w:rsidRPr="00167CF9" w:rsidRDefault="007D62A5" w:rsidP="007D62A5">
      <w:pPr>
        <w:autoSpaceDE w:val="0"/>
        <w:autoSpaceDN w:val="0"/>
        <w:adjustRightInd w:val="0"/>
        <w:spacing w:after="0" w:line="240" w:lineRule="auto"/>
        <w:rPr>
          <w:szCs w:val="24"/>
        </w:rPr>
      </w:pPr>
    </w:p>
    <w:p w14:paraId="1B707FBA" w14:textId="7110BD53" w:rsidR="007D62A5" w:rsidRPr="00167CF9" w:rsidRDefault="007D62A5" w:rsidP="007D62A5">
      <w:pPr>
        <w:autoSpaceDE w:val="0"/>
        <w:autoSpaceDN w:val="0"/>
        <w:adjustRightInd w:val="0"/>
        <w:spacing w:after="0" w:line="240" w:lineRule="auto"/>
        <w:rPr>
          <w:szCs w:val="24"/>
        </w:rPr>
      </w:pPr>
      <w:r w:rsidRPr="00167CF9">
        <w:rPr>
          <w:szCs w:val="24"/>
        </w:rPr>
        <w:t>El artículo 174 dice que el Comité cantonal estará integrado por cinco residentes en el cantón: a) Dos miembros nombrados por el Concejo Municipal. b) Dos de las organizaciones deportivas y recreativas del cantón. c) Un miembro de las organizaciones comunales restantes. d) Dos miembros de la población entre los 15 años y menores de 18 años, elegidos directamente mediante una asamblea cantonal.</w:t>
      </w:r>
    </w:p>
    <w:p w14:paraId="45E0CDF3" w14:textId="33A2AA77" w:rsidR="007D62A5" w:rsidRPr="00167CF9" w:rsidRDefault="007D62A5" w:rsidP="007D62A5">
      <w:pPr>
        <w:autoSpaceDE w:val="0"/>
        <w:autoSpaceDN w:val="0"/>
        <w:adjustRightInd w:val="0"/>
        <w:spacing w:after="0" w:line="240" w:lineRule="auto"/>
        <w:rPr>
          <w:szCs w:val="24"/>
        </w:rPr>
      </w:pPr>
      <w:r w:rsidRPr="00167CF9">
        <w:rPr>
          <w:szCs w:val="24"/>
        </w:rPr>
        <w:lastRenderedPageBreak/>
        <w:t xml:space="preserve">El artículo 178 indica que el Comité cantonal funcionará con el reglamento que dicte la municipalidad y el 179 señala que </w:t>
      </w:r>
      <w:r w:rsidRPr="00167CF9">
        <w:rPr>
          <w:b/>
          <w:bCs/>
          <w:szCs w:val="24"/>
        </w:rPr>
        <w:t>la municipalidad deberá asignarle un mínimo de un 3% de los ingresos ordinarios anuales municipales</w:t>
      </w:r>
      <w:r w:rsidRPr="00167CF9">
        <w:rPr>
          <w:szCs w:val="24"/>
        </w:rPr>
        <w:t>.</w:t>
      </w:r>
    </w:p>
    <w:p w14:paraId="5C49B2C6" w14:textId="4292DF16" w:rsidR="007D62A5" w:rsidRPr="00167CF9" w:rsidRDefault="007D62A5" w:rsidP="007D62A5">
      <w:pPr>
        <w:autoSpaceDE w:val="0"/>
        <w:autoSpaceDN w:val="0"/>
        <w:adjustRightInd w:val="0"/>
        <w:spacing w:after="0" w:line="240" w:lineRule="auto"/>
        <w:rPr>
          <w:szCs w:val="24"/>
        </w:rPr>
      </w:pPr>
    </w:p>
    <w:p w14:paraId="125C4B6C" w14:textId="2418788B" w:rsidR="007D62A5" w:rsidRPr="00167CF9" w:rsidRDefault="007D62A5" w:rsidP="007D62A5">
      <w:pPr>
        <w:autoSpaceDE w:val="0"/>
        <w:autoSpaceDN w:val="0"/>
        <w:adjustRightInd w:val="0"/>
        <w:spacing w:after="0" w:line="240" w:lineRule="auto"/>
        <w:rPr>
          <w:szCs w:val="24"/>
        </w:rPr>
      </w:pPr>
      <w:r w:rsidRPr="00167CF9">
        <w:rPr>
          <w:szCs w:val="24"/>
        </w:rPr>
        <w:t>Se considera que la Municipalidad tiene la posibilidad de ejercer influencia significativa sobre el comité respecto de las decisiones financieras y operativas.</w:t>
      </w:r>
    </w:p>
    <w:p w14:paraId="79C61A84" w14:textId="3D54933E" w:rsidR="007D62A5" w:rsidRPr="00167CF9" w:rsidRDefault="007D62A5" w:rsidP="007D62A5">
      <w:pPr>
        <w:autoSpaceDE w:val="0"/>
        <w:autoSpaceDN w:val="0"/>
        <w:adjustRightInd w:val="0"/>
        <w:spacing w:after="0" w:line="240" w:lineRule="auto"/>
        <w:rPr>
          <w:szCs w:val="24"/>
        </w:rPr>
      </w:pPr>
    </w:p>
    <w:p w14:paraId="3FF42134" w14:textId="34D5FAF7" w:rsidR="007D62A5" w:rsidRPr="00015AC7" w:rsidRDefault="007D62A5" w:rsidP="007D62A5">
      <w:pPr>
        <w:autoSpaceDE w:val="0"/>
        <w:autoSpaceDN w:val="0"/>
        <w:adjustRightInd w:val="0"/>
        <w:spacing w:after="0" w:line="240" w:lineRule="auto"/>
        <w:rPr>
          <w:szCs w:val="24"/>
        </w:rPr>
      </w:pPr>
      <w:r w:rsidRPr="00167CF9">
        <w:rPr>
          <w:szCs w:val="24"/>
        </w:rPr>
        <w:t xml:space="preserve">Es preciso manifestar que conforme con la Matriz de seguimiento al plan de acción para el cierre de brechas en </w:t>
      </w:r>
      <w:r w:rsidRPr="00015AC7">
        <w:rPr>
          <w:szCs w:val="24"/>
        </w:rPr>
        <w:t xml:space="preserve">concordancia con la matriz de autoevaluación, están en proceso de implementación lo concerniente a esta NICSP 20: </w:t>
      </w:r>
    </w:p>
    <w:p w14:paraId="13AAAD6C" w14:textId="117C8EBB" w:rsidR="007D62A5" w:rsidRPr="00015AC7" w:rsidRDefault="007D62A5" w:rsidP="007D62A5">
      <w:pPr>
        <w:spacing w:after="0" w:line="240" w:lineRule="auto"/>
        <w:rPr>
          <w:szCs w:val="24"/>
        </w:rPr>
      </w:pPr>
    </w:p>
    <w:p w14:paraId="15CBC06F" w14:textId="6BFF1B6B" w:rsidR="007D62A5" w:rsidRDefault="007D62A5" w:rsidP="007D62A5">
      <w:pPr>
        <w:spacing w:after="0" w:line="240" w:lineRule="auto"/>
        <w:rPr>
          <w:szCs w:val="24"/>
        </w:rPr>
      </w:pPr>
      <w:r w:rsidRPr="00015AC7">
        <w:rPr>
          <w:szCs w:val="24"/>
        </w:rPr>
        <w:t xml:space="preserve">Como parte del proceso de </w:t>
      </w:r>
      <w:bookmarkStart w:id="86" w:name="_Hlk127365517"/>
      <w:r w:rsidRPr="00015AC7">
        <w:rPr>
          <w:szCs w:val="24"/>
        </w:rPr>
        <w:t>implementación</w:t>
      </w:r>
      <w:r w:rsidR="00C53097">
        <w:rPr>
          <w:szCs w:val="24"/>
        </w:rPr>
        <w:t xml:space="preserve"> que se realizó sobre</w:t>
      </w:r>
      <w:r w:rsidRPr="00015AC7">
        <w:rPr>
          <w:szCs w:val="24"/>
        </w:rPr>
        <w:t xml:space="preserve"> la relación que tiene la Municipalidad con el Comité Cantonal de Deportes y Recreación (CCDR), para establecer la información que se debe revelar de acuerdo con el control y beneficio en el potencial de servicio que brinda la Municipalidad a través de la gestión que realiza el CCDR a la ciudadanía del Cantón</w:t>
      </w:r>
      <w:bookmarkEnd w:id="86"/>
      <w:r w:rsidRPr="00015AC7">
        <w:rPr>
          <w:szCs w:val="24"/>
        </w:rPr>
        <w:t>, en pro de lograr el bienestar en la salud física y mental, así como e</w:t>
      </w:r>
      <w:r w:rsidR="00C53097">
        <w:rPr>
          <w:szCs w:val="24"/>
        </w:rPr>
        <w:t xml:space="preserve">n la recreación de la población, se le remitió Oficio </w:t>
      </w:r>
      <w:r w:rsidR="00C53097" w:rsidRPr="00C53097">
        <w:rPr>
          <w:szCs w:val="24"/>
        </w:rPr>
        <w:t>CMBA-16-2025</w:t>
      </w:r>
      <w:r w:rsidR="00E24A86">
        <w:rPr>
          <w:szCs w:val="24"/>
        </w:rPr>
        <w:t>:</w:t>
      </w:r>
    </w:p>
    <w:p w14:paraId="2CEB3A52" w14:textId="1CAB0E7E" w:rsidR="00C53097" w:rsidRDefault="00E24A86" w:rsidP="007D62A5">
      <w:pPr>
        <w:spacing w:after="0" w:line="240" w:lineRule="auto"/>
        <w:rPr>
          <w:szCs w:val="24"/>
        </w:rPr>
      </w:pPr>
      <w:r>
        <w:rPr>
          <w:noProof/>
          <w:lang w:eastAsia="es-CR"/>
        </w:rPr>
        <w:drawing>
          <wp:anchor distT="0" distB="0" distL="114300" distR="114300" simplePos="0" relativeHeight="251675648" behindDoc="0" locked="0" layoutInCell="1" allowOverlap="1" wp14:anchorId="260A3E8A" wp14:editId="2648A822">
            <wp:simplePos x="0" y="0"/>
            <wp:positionH relativeFrom="column">
              <wp:posOffset>796082</wp:posOffset>
            </wp:positionH>
            <wp:positionV relativeFrom="paragraph">
              <wp:posOffset>66675</wp:posOffset>
            </wp:positionV>
            <wp:extent cx="3992911" cy="5420982"/>
            <wp:effectExtent l="0" t="0" r="7620" b="889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992911" cy="5420982"/>
                    </a:xfrm>
                    <a:prstGeom prst="rect">
                      <a:avLst/>
                    </a:prstGeom>
                  </pic:spPr>
                </pic:pic>
              </a:graphicData>
            </a:graphic>
            <wp14:sizeRelH relativeFrom="margin">
              <wp14:pctWidth>0</wp14:pctWidth>
            </wp14:sizeRelH>
            <wp14:sizeRelV relativeFrom="margin">
              <wp14:pctHeight>0</wp14:pctHeight>
            </wp14:sizeRelV>
          </wp:anchor>
        </w:drawing>
      </w:r>
    </w:p>
    <w:p w14:paraId="7FCF2D68" w14:textId="20E7AED0" w:rsidR="00C53097" w:rsidRDefault="00C53097" w:rsidP="007D62A5">
      <w:pPr>
        <w:spacing w:after="0" w:line="240" w:lineRule="auto"/>
        <w:rPr>
          <w:szCs w:val="24"/>
        </w:rPr>
      </w:pPr>
    </w:p>
    <w:p w14:paraId="359CDB61" w14:textId="283F1394" w:rsidR="00C53097" w:rsidRDefault="00C53097" w:rsidP="007D62A5">
      <w:pPr>
        <w:spacing w:after="0" w:line="240" w:lineRule="auto"/>
        <w:rPr>
          <w:szCs w:val="24"/>
        </w:rPr>
      </w:pPr>
    </w:p>
    <w:p w14:paraId="6BAABA8C" w14:textId="253A38E7" w:rsidR="00C53097" w:rsidRDefault="00C53097" w:rsidP="007D62A5">
      <w:pPr>
        <w:spacing w:after="0" w:line="240" w:lineRule="auto"/>
        <w:rPr>
          <w:szCs w:val="24"/>
        </w:rPr>
      </w:pPr>
    </w:p>
    <w:p w14:paraId="1B911039" w14:textId="35B97AF4" w:rsidR="00C53097" w:rsidRDefault="00C53097" w:rsidP="007D62A5">
      <w:pPr>
        <w:spacing w:after="0" w:line="240" w:lineRule="auto"/>
        <w:rPr>
          <w:szCs w:val="24"/>
        </w:rPr>
      </w:pPr>
    </w:p>
    <w:p w14:paraId="6A011485" w14:textId="7B2FB0A1" w:rsidR="00C53097" w:rsidRDefault="00C53097" w:rsidP="007D62A5">
      <w:pPr>
        <w:spacing w:after="0" w:line="240" w:lineRule="auto"/>
        <w:rPr>
          <w:szCs w:val="24"/>
        </w:rPr>
      </w:pPr>
    </w:p>
    <w:p w14:paraId="6F980A2B" w14:textId="1D9E5466" w:rsidR="00C53097" w:rsidRDefault="00C53097" w:rsidP="007D62A5">
      <w:pPr>
        <w:spacing w:after="0" w:line="240" w:lineRule="auto"/>
        <w:rPr>
          <w:szCs w:val="24"/>
        </w:rPr>
      </w:pPr>
    </w:p>
    <w:p w14:paraId="0B54B0C1" w14:textId="1D8ED727" w:rsidR="00C53097" w:rsidRDefault="00C53097" w:rsidP="007D62A5">
      <w:pPr>
        <w:spacing w:after="0" w:line="240" w:lineRule="auto"/>
        <w:rPr>
          <w:szCs w:val="24"/>
        </w:rPr>
      </w:pPr>
    </w:p>
    <w:p w14:paraId="0BE0C31F" w14:textId="0733C53E" w:rsidR="00C53097" w:rsidRDefault="00C53097" w:rsidP="007D62A5">
      <w:pPr>
        <w:spacing w:after="0" w:line="240" w:lineRule="auto"/>
        <w:rPr>
          <w:szCs w:val="24"/>
        </w:rPr>
      </w:pPr>
    </w:p>
    <w:p w14:paraId="682299C9" w14:textId="7EBBB3D6" w:rsidR="00C53097" w:rsidRDefault="00C53097" w:rsidP="007D62A5">
      <w:pPr>
        <w:spacing w:after="0" w:line="240" w:lineRule="auto"/>
        <w:rPr>
          <w:szCs w:val="24"/>
        </w:rPr>
      </w:pPr>
    </w:p>
    <w:p w14:paraId="01EF1341" w14:textId="3BD83DD1" w:rsidR="00C53097" w:rsidRDefault="00C53097" w:rsidP="007D62A5">
      <w:pPr>
        <w:spacing w:after="0" w:line="240" w:lineRule="auto"/>
        <w:rPr>
          <w:szCs w:val="24"/>
        </w:rPr>
      </w:pPr>
    </w:p>
    <w:p w14:paraId="71C84BB2" w14:textId="07E4BA27" w:rsidR="00C53097" w:rsidRDefault="00C53097" w:rsidP="007D62A5">
      <w:pPr>
        <w:spacing w:after="0" w:line="240" w:lineRule="auto"/>
        <w:rPr>
          <w:szCs w:val="24"/>
        </w:rPr>
      </w:pPr>
    </w:p>
    <w:p w14:paraId="6CC61553" w14:textId="4CAFF030" w:rsidR="00C53097" w:rsidRDefault="00C53097" w:rsidP="007D62A5">
      <w:pPr>
        <w:spacing w:after="0" w:line="240" w:lineRule="auto"/>
        <w:rPr>
          <w:szCs w:val="24"/>
        </w:rPr>
      </w:pPr>
    </w:p>
    <w:p w14:paraId="149E3835" w14:textId="60424292" w:rsidR="00C53097" w:rsidRDefault="00C53097" w:rsidP="007D62A5">
      <w:pPr>
        <w:spacing w:after="0" w:line="240" w:lineRule="auto"/>
        <w:rPr>
          <w:szCs w:val="24"/>
        </w:rPr>
      </w:pPr>
    </w:p>
    <w:p w14:paraId="6900BBD8" w14:textId="76ECF39A" w:rsidR="00C53097" w:rsidRDefault="00C53097" w:rsidP="007D62A5">
      <w:pPr>
        <w:spacing w:after="0" w:line="240" w:lineRule="auto"/>
        <w:rPr>
          <w:szCs w:val="24"/>
        </w:rPr>
      </w:pPr>
    </w:p>
    <w:p w14:paraId="7B4A5094" w14:textId="5477CE35" w:rsidR="00C53097" w:rsidRDefault="00C53097" w:rsidP="007D62A5">
      <w:pPr>
        <w:spacing w:after="0" w:line="240" w:lineRule="auto"/>
        <w:rPr>
          <w:szCs w:val="24"/>
        </w:rPr>
      </w:pPr>
    </w:p>
    <w:p w14:paraId="132EA691" w14:textId="75DD801E" w:rsidR="00C53097" w:rsidRDefault="00C53097" w:rsidP="007D62A5">
      <w:pPr>
        <w:spacing w:after="0" w:line="240" w:lineRule="auto"/>
        <w:rPr>
          <w:szCs w:val="24"/>
        </w:rPr>
      </w:pPr>
    </w:p>
    <w:p w14:paraId="4D88F908" w14:textId="6319BB64" w:rsidR="00C53097" w:rsidRDefault="00C53097" w:rsidP="007D62A5">
      <w:pPr>
        <w:spacing w:after="0" w:line="240" w:lineRule="auto"/>
        <w:rPr>
          <w:szCs w:val="24"/>
        </w:rPr>
      </w:pPr>
    </w:p>
    <w:p w14:paraId="6D36CB16" w14:textId="7AF1079F" w:rsidR="00C53097" w:rsidRDefault="00C53097" w:rsidP="007D62A5">
      <w:pPr>
        <w:spacing w:after="0" w:line="240" w:lineRule="auto"/>
        <w:rPr>
          <w:szCs w:val="24"/>
        </w:rPr>
      </w:pPr>
    </w:p>
    <w:p w14:paraId="0BBE5D05" w14:textId="79774F79" w:rsidR="00C53097" w:rsidRDefault="00C53097" w:rsidP="007D62A5">
      <w:pPr>
        <w:spacing w:after="0" w:line="240" w:lineRule="auto"/>
        <w:rPr>
          <w:szCs w:val="24"/>
        </w:rPr>
      </w:pPr>
    </w:p>
    <w:p w14:paraId="7130BD41" w14:textId="091EC2E7" w:rsidR="00C53097" w:rsidRDefault="00C53097" w:rsidP="007D62A5">
      <w:pPr>
        <w:spacing w:after="0" w:line="240" w:lineRule="auto"/>
        <w:rPr>
          <w:szCs w:val="24"/>
        </w:rPr>
      </w:pPr>
    </w:p>
    <w:p w14:paraId="7C27DF9F" w14:textId="4711FE3F" w:rsidR="00C53097" w:rsidRDefault="00C53097" w:rsidP="007D62A5">
      <w:pPr>
        <w:spacing w:after="0" w:line="240" w:lineRule="auto"/>
        <w:rPr>
          <w:szCs w:val="24"/>
        </w:rPr>
      </w:pPr>
    </w:p>
    <w:p w14:paraId="18539ED1" w14:textId="0486AB9D" w:rsidR="00C53097" w:rsidRDefault="00C53097" w:rsidP="007D62A5">
      <w:pPr>
        <w:spacing w:after="0" w:line="240" w:lineRule="auto"/>
        <w:rPr>
          <w:szCs w:val="24"/>
        </w:rPr>
      </w:pPr>
    </w:p>
    <w:p w14:paraId="3D726773" w14:textId="6E51639E" w:rsidR="00C53097" w:rsidRDefault="00C53097" w:rsidP="007D62A5">
      <w:pPr>
        <w:spacing w:after="0" w:line="240" w:lineRule="auto"/>
        <w:rPr>
          <w:szCs w:val="24"/>
        </w:rPr>
      </w:pPr>
    </w:p>
    <w:p w14:paraId="4367A68D" w14:textId="4ABE40F5" w:rsidR="00C53097" w:rsidRDefault="00C53097" w:rsidP="007D62A5">
      <w:pPr>
        <w:spacing w:after="0" w:line="240" w:lineRule="auto"/>
        <w:rPr>
          <w:szCs w:val="24"/>
        </w:rPr>
      </w:pPr>
    </w:p>
    <w:p w14:paraId="7FCED0EA" w14:textId="63424B13" w:rsidR="00C53097" w:rsidRDefault="00C53097" w:rsidP="007D62A5">
      <w:pPr>
        <w:spacing w:after="0" w:line="240" w:lineRule="auto"/>
        <w:rPr>
          <w:szCs w:val="24"/>
        </w:rPr>
      </w:pPr>
    </w:p>
    <w:p w14:paraId="014715C9" w14:textId="1D6ED40B" w:rsidR="00C53097" w:rsidRDefault="00C53097" w:rsidP="007D62A5">
      <w:pPr>
        <w:spacing w:after="0" w:line="240" w:lineRule="auto"/>
        <w:rPr>
          <w:szCs w:val="24"/>
        </w:rPr>
      </w:pPr>
    </w:p>
    <w:p w14:paraId="3FC9596D" w14:textId="77777777" w:rsidR="00C53097" w:rsidRDefault="00C53097" w:rsidP="007D62A5">
      <w:pPr>
        <w:spacing w:after="0" w:line="240" w:lineRule="auto"/>
        <w:rPr>
          <w:szCs w:val="24"/>
        </w:rPr>
      </w:pPr>
    </w:p>
    <w:p w14:paraId="39579AB7" w14:textId="304513B7" w:rsidR="00AD0E26" w:rsidRDefault="00AD0E26" w:rsidP="007D62A5">
      <w:pPr>
        <w:spacing w:after="0" w:line="240" w:lineRule="auto"/>
        <w:rPr>
          <w:szCs w:val="24"/>
        </w:rPr>
      </w:pPr>
    </w:p>
    <w:p w14:paraId="17391CF7" w14:textId="7E742085" w:rsidR="00E01FC3" w:rsidRDefault="003C0952" w:rsidP="007D62A5">
      <w:pPr>
        <w:spacing w:after="0" w:line="240" w:lineRule="auto"/>
        <w:rPr>
          <w:szCs w:val="24"/>
        </w:rPr>
      </w:pPr>
      <w:r>
        <w:rPr>
          <w:noProof/>
          <w:lang w:eastAsia="es-CR"/>
        </w:rPr>
        <w:lastRenderedPageBreak/>
        <w:drawing>
          <wp:anchor distT="0" distB="0" distL="114300" distR="114300" simplePos="0" relativeHeight="251676672" behindDoc="0" locked="0" layoutInCell="1" allowOverlap="1" wp14:anchorId="7746048D" wp14:editId="6170EEB1">
            <wp:simplePos x="0" y="0"/>
            <wp:positionH relativeFrom="column">
              <wp:posOffset>661035</wp:posOffset>
            </wp:positionH>
            <wp:positionV relativeFrom="paragraph">
              <wp:posOffset>411921</wp:posOffset>
            </wp:positionV>
            <wp:extent cx="4300855" cy="6153785"/>
            <wp:effectExtent l="0" t="0" r="4445" b="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300855" cy="6153785"/>
                    </a:xfrm>
                    <a:prstGeom prst="rect">
                      <a:avLst/>
                    </a:prstGeom>
                  </pic:spPr>
                </pic:pic>
              </a:graphicData>
            </a:graphic>
            <wp14:sizeRelV relativeFrom="margin">
              <wp14:pctHeight>0</wp14:pctHeight>
            </wp14:sizeRelV>
          </wp:anchor>
        </w:drawing>
      </w:r>
      <w:r>
        <w:rPr>
          <w:szCs w:val="24"/>
        </w:rPr>
        <w:t xml:space="preserve">En respuesta a oficio CMBA-016-2025 se recibió </w:t>
      </w:r>
      <w:r w:rsidR="004B07C3">
        <w:rPr>
          <w:szCs w:val="24"/>
        </w:rPr>
        <w:t xml:space="preserve">documento </w:t>
      </w:r>
      <w:r w:rsidR="00E01FC3" w:rsidRPr="00E01FC3">
        <w:rPr>
          <w:szCs w:val="24"/>
        </w:rPr>
        <w:t>CCDRBA/007-2025</w:t>
      </w:r>
      <w:r w:rsidR="00E01FC3">
        <w:rPr>
          <w:szCs w:val="24"/>
        </w:rPr>
        <w:t xml:space="preserve">, se detalla lista </w:t>
      </w:r>
      <w:r w:rsidR="00AD0E26">
        <w:rPr>
          <w:szCs w:val="24"/>
        </w:rPr>
        <w:t>respectiva de la junta directiva del CCDR Buenos Aires</w:t>
      </w:r>
      <w:r w:rsidR="002B52D2">
        <w:rPr>
          <w:szCs w:val="24"/>
        </w:rPr>
        <w:t xml:space="preserve"> y lo referente a las partes relacionadas</w:t>
      </w:r>
      <w:r w:rsidR="00AD0E26">
        <w:rPr>
          <w:szCs w:val="24"/>
        </w:rPr>
        <w:t>:</w:t>
      </w:r>
    </w:p>
    <w:p w14:paraId="44A21EA4" w14:textId="6BAE6038" w:rsidR="007D62A5" w:rsidRDefault="007D62A5" w:rsidP="007D62A5">
      <w:pPr>
        <w:spacing w:after="0" w:line="240" w:lineRule="auto"/>
        <w:rPr>
          <w:szCs w:val="24"/>
        </w:rPr>
      </w:pPr>
    </w:p>
    <w:p w14:paraId="6E6FD462" w14:textId="62BD4A42" w:rsidR="00E01FC3" w:rsidRDefault="00DF6466" w:rsidP="007D62A5">
      <w:pPr>
        <w:spacing w:after="0" w:line="240" w:lineRule="auto"/>
        <w:rPr>
          <w:szCs w:val="24"/>
        </w:rPr>
      </w:pPr>
      <w:r>
        <w:rPr>
          <w:szCs w:val="24"/>
        </w:rPr>
        <w:t>Los miembros de CCDR no presentan declaraciones juradas a la CGR.</w:t>
      </w:r>
    </w:p>
    <w:p w14:paraId="12D6AC55" w14:textId="77777777" w:rsidR="00DF6466" w:rsidRDefault="00DF6466" w:rsidP="007D62A5">
      <w:pPr>
        <w:spacing w:after="0" w:line="240" w:lineRule="auto"/>
        <w:rPr>
          <w:szCs w:val="24"/>
        </w:rPr>
      </w:pPr>
    </w:p>
    <w:p w14:paraId="748B86D9" w14:textId="2594B304" w:rsidR="005860E4" w:rsidRPr="00E64DCE" w:rsidRDefault="005860E4" w:rsidP="005860E4">
      <w:pPr>
        <w:spacing w:after="0"/>
        <w:textAlignment w:val="baseline"/>
        <w:rPr>
          <w:rFonts w:eastAsia="Times New Roman" w:cs="Arial"/>
          <w:szCs w:val="24"/>
          <w:lang w:eastAsia="es-CR"/>
        </w:rPr>
      </w:pPr>
      <w:r w:rsidRPr="00E64DCE">
        <w:rPr>
          <w:rFonts w:eastAsia="Times New Roman" w:cs="Arial"/>
          <w:szCs w:val="24"/>
          <w:lang w:eastAsia="es-CR"/>
        </w:rPr>
        <w:t>Durante este año se han producido transacciones entr</w:t>
      </w:r>
      <w:r>
        <w:rPr>
          <w:rFonts w:eastAsia="Times New Roman" w:cs="Arial"/>
          <w:szCs w:val="24"/>
          <w:lang w:eastAsia="es-CR"/>
        </w:rPr>
        <w:t>e la Municipalidad de Buenos Aires</w:t>
      </w:r>
      <w:r w:rsidRPr="00E64DCE">
        <w:rPr>
          <w:rFonts w:eastAsia="Times New Roman" w:cs="Arial"/>
          <w:szCs w:val="24"/>
          <w:lang w:eastAsia="es-CR"/>
        </w:rPr>
        <w:t xml:space="preserve"> y el Comité Cantonal de Deportes, como lo indica el Código Municipal, se trasfiere el aporte del 3% de los ingresos del Presupuesto Ordinario, se revela esta relación de acuerdo con las normas contables aplicables </w:t>
      </w:r>
      <w:r w:rsidRPr="00E64DCE">
        <w:rPr>
          <w:rFonts w:eastAsia="Times New Roman" w:cs="Arial"/>
          <w:szCs w:val="24"/>
          <w:lang w:eastAsia="es-CR"/>
        </w:rPr>
        <w:lastRenderedPageBreak/>
        <w:t>para proporcionar transparencia y permitir a los usuarios de los estados financieros entender la estructura del grupo y las posibles influencias que las partes relacionadas pueden tener.</w:t>
      </w:r>
    </w:p>
    <w:p w14:paraId="27C123FA" w14:textId="77777777" w:rsidR="005860E4" w:rsidRPr="00E64DCE" w:rsidRDefault="005860E4" w:rsidP="005860E4">
      <w:pPr>
        <w:spacing w:after="0"/>
        <w:textAlignment w:val="baseline"/>
        <w:rPr>
          <w:rFonts w:eastAsia="Times New Roman" w:cs="Arial"/>
          <w:szCs w:val="24"/>
          <w:lang w:eastAsia="es-CR"/>
        </w:rPr>
      </w:pPr>
      <w:r w:rsidRPr="00E64DCE">
        <w:rPr>
          <w:rFonts w:eastAsia="Times New Roman" w:cs="Arial"/>
          <w:szCs w:val="24"/>
          <w:lang w:eastAsia="es-CR"/>
        </w:rPr>
        <w:t xml:space="preserve">De acuerdo a los </w:t>
      </w:r>
      <w:r w:rsidRPr="00E64DCE">
        <w:rPr>
          <w:rFonts w:eastAsia="Times New Roman" w:cs="Arial"/>
          <w:b/>
          <w:bCs/>
          <w:szCs w:val="24"/>
          <w:u w:val="single"/>
          <w:lang w:eastAsia="es-CR"/>
        </w:rPr>
        <w:t>párrafos 27 y 28 de la NICSP 20</w:t>
      </w:r>
      <w:r w:rsidRPr="00E64DCE">
        <w:rPr>
          <w:rFonts w:eastAsia="Times New Roman" w:cs="Arial"/>
          <w:szCs w:val="24"/>
          <w:lang w:eastAsia="es-CR"/>
        </w:rPr>
        <w:t>, se indica que la Municipalidad tiene cuentas recíprocas y las confirma trimestralmente, para evitar diferencias en sus registros, las instituciones con las que se intercambian transferencias, son las siguientes:</w:t>
      </w:r>
    </w:p>
    <w:p w14:paraId="378DEC16" w14:textId="77777777" w:rsidR="005860E4" w:rsidRPr="00E64DCE" w:rsidRDefault="005860E4" w:rsidP="005860E4">
      <w:pPr>
        <w:spacing w:after="0"/>
        <w:textAlignment w:val="baseline"/>
        <w:rPr>
          <w:rFonts w:eastAsia="Times New Roman" w:cs="Arial"/>
          <w:szCs w:val="24"/>
          <w:lang w:eastAsia="es-CR"/>
        </w:rPr>
      </w:pPr>
    </w:p>
    <w:p w14:paraId="5AA6DFA8" w14:textId="77777777" w:rsidR="005860E4" w:rsidRPr="00E64DCE" w:rsidRDefault="005860E4" w:rsidP="005860E4">
      <w:pPr>
        <w:pStyle w:val="Prrafodelista"/>
        <w:numPr>
          <w:ilvl w:val="0"/>
          <w:numId w:val="59"/>
        </w:numPr>
        <w:spacing w:after="0"/>
        <w:textAlignment w:val="baseline"/>
        <w:rPr>
          <w:rFonts w:eastAsia="Times New Roman" w:cs="Arial"/>
          <w:szCs w:val="24"/>
          <w:lang w:eastAsia="es-CR"/>
        </w:rPr>
      </w:pPr>
      <w:r w:rsidRPr="00E64DCE">
        <w:rPr>
          <w:rFonts w:eastAsia="Times New Roman" w:cs="Arial"/>
          <w:szCs w:val="24"/>
          <w:lang w:eastAsia="es-CR"/>
        </w:rPr>
        <w:t>Ministerio de Hacienda, la municipalidad transfiere el 1% según lo recaudado por el Impuesto de Bienes Inmuebles, y recibe del Gobierno central por la Ley 8114.</w:t>
      </w:r>
    </w:p>
    <w:p w14:paraId="60871F48" w14:textId="09BA5EF9" w:rsidR="005860E4" w:rsidRPr="005860E4" w:rsidRDefault="005860E4" w:rsidP="005860E4">
      <w:pPr>
        <w:pStyle w:val="Prrafodelista"/>
        <w:numPr>
          <w:ilvl w:val="0"/>
          <w:numId w:val="59"/>
        </w:numPr>
        <w:spacing w:after="0"/>
        <w:textAlignment w:val="baseline"/>
        <w:rPr>
          <w:rFonts w:eastAsia="Times New Roman" w:cs="Arial"/>
          <w:szCs w:val="24"/>
          <w:lang w:eastAsia="es-CR"/>
        </w:rPr>
      </w:pPr>
      <w:r w:rsidRPr="00E64DCE">
        <w:rPr>
          <w:rFonts w:eastAsia="Times New Roman" w:cs="Arial"/>
          <w:szCs w:val="24"/>
          <w:lang w:eastAsia="es-CR"/>
        </w:rPr>
        <w:t>Consejo Nacional de la Política de la Persona Joven</w:t>
      </w:r>
      <w:r>
        <w:rPr>
          <w:rFonts w:eastAsia="Times New Roman" w:cs="Arial"/>
          <w:szCs w:val="24"/>
          <w:lang w:eastAsia="es-CR"/>
        </w:rPr>
        <w:t>.</w:t>
      </w:r>
    </w:p>
    <w:p w14:paraId="3AC7F6E1" w14:textId="77777777" w:rsidR="005860E4" w:rsidRPr="00E64DCE" w:rsidRDefault="005860E4" w:rsidP="005860E4">
      <w:pPr>
        <w:pStyle w:val="Prrafodelista"/>
        <w:numPr>
          <w:ilvl w:val="0"/>
          <w:numId w:val="59"/>
        </w:numPr>
        <w:spacing w:after="0"/>
        <w:textAlignment w:val="baseline"/>
        <w:rPr>
          <w:rFonts w:eastAsia="Times New Roman" w:cs="Arial"/>
          <w:szCs w:val="24"/>
          <w:lang w:eastAsia="es-CR"/>
        </w:rPr>
      </w:pPr>
      <w:r w:rsidRPr="00E64DCE">
        <w:rPr>
          <w:rFonts w:eastAsia="Times New Roman" w:cs="Arial"/>
          <w:szCs w:val="24"/>
          <w:lang w:eastAsia="es-CR"/>
        </w:rPr>
        <w:t>Comisión Nacional para la Gestión de la Biodiversidad (CONAGEBIO), aporte del 10% según lo recaudado por concepto de Timbre Pro Parques Nacionales.</w:t>
      </w:r>
    </w:p>
    <w:p w14:paraId="2456FAE5" w14:textId="77777777" w:rsidR="005860E4" w:rsidRPr="00E64DCE" w:rsidRDefault="005860E4" w:rsidP="005860E4">
      <w:pPr>
        <w:pStyle w:val="Prrafodelista"/>
        <w:numPr>
          <w:ilvl w:val="0"/>
          <w:numId w:val="59"/>
        </w:numPr>
        <w:spacing w:after="0"/>
        <w:textAlignment w:val="baseline"/>
        <w:rPr>
          <w:rFonts w:eastAsia="Times New Roman" w:cs="Arial"/>
          <w:szCs w:val="24"/>
          <w:lang w:eastAsia="es-CR"/>
        </w:rPr>
      </w:pPr>
      <w:r w:rsidRPr="00E64DCE">
        <w:rPr>
          <w:rFonts w:eastAsia="Times New Roman" w:cs="Arial"/>
          <w:szCs w:val="24"/>
          <w:lang w:eastAsia="es-CR"/>
        </w:rPr>
        <w:t>Junta Administrativa del Registro Nacional, aporte del 2% de lo recaudado por el Impuesto de Bienes Inmuebles.</w:t>
      </w:r>
    </w:p>
    <w:p w14:paraId="37E3DEE9" w14:textId="77777777" w:rsidR="005860E4" w:rsidRPr="00E64DCE" w:rsidRDefault="005860E4" w:rsidP="005860E4">
      <w:pPr>
        <w:pStyle w:val="Prrafodelista"/>
        <w:numPr>
          <w:ilvl w:val="0"/>
          <w:numId w:val="59"/>
        </w:numPr>
        <w:spacing w:after="0"/>
        <w:textAlignment w:val="baseline"/>
        <w:rPr>
          <w:rFonts w:eastAsia="Times New Roman" w:cs="Arial"/>
          <w:szCs w:val="24"/>
          <w:lang w:eastAsia="es-CR"/>
        </w:rPr>
      </w:pPr>
      <w:r w:rsidRPr="00E64DCE">
        <w:rPr>
          <w:rFonts w:eastAsia="Times New Roman" w:cs="Arial"/>
          <w:szCs w:val="24"/>
          <w:lang w:eastAsia="es-CR"/>
        </w:rPr>
        <w:t>Sistema Nacional de Áreas de Conservación (SINAC), recaudación por concepto de Timbre Pro Parques Nacionales.</w:t>
      </w:r>
    </w:p>
    <w:p w14:paraId="3BEB6191" w14:textId="77777777" w:rsidR="005860E4" w:rsidRPr="00E64DCE" w:rsidRDefault="005860E4" w:rsidP="005860E4">
      <w:pPr>
        <w:pStyle w:val="Prrafodelista"/>
        <w:numPr>
          <w:ilvl w:val="0"/>
          <w:numId w:val="59"/>
        </w:numPr>
        <w:spacing w:after="0"/>
        <w:textAlignment w:val="baseline"/>
        <w:rPr>
          <w:rFonts w:eastAsia="Times New Roman" w:cs="Arial"/>
          <w:szCs w:val="24"/>
          <w:lang w:eastAsia="es-CR"/>
        </w:rPr>
      </w:pPr>
      <w:r w:rsidRPr="00E64DCE">
        <w:rPr>
          <w:rFonts w:eastAsia="Times New Roman" w:cs="Arial"/>
          <w:szCs w:val="24"/>
          <w:lang w:eastAsia="es-CR"/>
        </w:rPr>
        <w:t>Concejo Nacional de Personas con Discapacidad (CONAPDIS), importe del 0.5% del ingreso del Presupuesto ordinario.</w:t>
      </w:r>
    </w:p>
    <w:p w14:paraId="500AD81C" w14:textId="77777777" w:rsidR="005860E4" w:rsidRPr="00E64DCE" w:rsidRDefault="005860E4" w:rsidP="005860E4">
      <w:pPr>
        <w:pStyle w:val="Prrafodelista"/>
        <w:numPr>
          <w:ilvl w:val="0"/>
          <w:numId w:val="59"/>
        </w:numPr>
        <w:spacing w:after="0"/>
        <w:textAlignment w:val="baseline"/>
        <w:rPr>
          <w:rFonts w:eastAsia="Times New Roman" w:cs="Arial"/>
          <w:szCs w:val="24"/>
          <w:lang w:eastAsia="es-CR"/>
        </w:rPr>
      </w:pPr>
      <w:r w:rsidRPr="00E64DCE">
        <w:rPr>
          <w:rFonts w:eastAsia="Times New Roman" w:cs="Arial"/>
          <w:szCs w:val="24"/>
          <w:lang w:eastAsia="es-CR"/>
        </w:rPr>
        <w:t>Instituto de Fomento y Ayuda Municipal (IFAM), aporte transferido a la municipalidad por los conceptos de Licores Nacionales, Licores Extranjeros e Impuesto al ruedo.</w:t>
      </w:r>
    </w:p>
    <w:p w14:paraId="4B117B3E" w14:textId="77777777" w:rsidR="005860E4" w:rsidRPr="00E64DCE" w:rsidRDefault="005860E4" w:rsidP="005860E4">
      <w:pPr>
        <w:pStyle w:val="Prrafodelista"/>
        <w:numPr>
          <w:ilvl w:val="0"/>
          <w:numId w:val="59"/>
        </w:numPr>
        <w:spacing w:after="0"/>
        <w:textAlignment w:val="baseline"/>
        <w:rPr>
          <w:rFonts w:eastAsia="Times New Roman" w:cs="Arial"/>
          <w:szCs w:val="24"/>
          <w:lang w:eastAsia="es-CR"/>
        </w:rPr>
      </w:pPr>
      <w:r w:rsidRPr="00E64DCE">
        <w:rPr>
          <w:rFonts w:eastAsia="Times New Roman" w:cs="Arial"/>
          <w:szCs w:val="24"/>
          <w:lang w:eastAsia="es-CR"/>
        </w:rPr>
        <w:t>Juntas de Educación, aporte del 10% de lo recaudado por concepto de Impuesto de Bienes Inmuebles.</w:t>
      </w:r>
    </w:p>
    <w:p w14:paraId="72432D95" w14:textId="42B32AA6" w:rsidR="00ED257C" w:rsidRPr="005860E4" w:rsidRDefault="005860E4" w:rsidP="005860E4">
      <w:pPr>
        <w:pStyle w:val="Prrafodelista"/>
        <w:numPr>
          <w:ilvl w:val="0"/>
          <w:numId w:val="59"/>
        </w:numPr>
        <w:spacing w:after="0"/>
        <w:textAlignment w:val="baseline"/>
        <w:rPr>
          <w:rFonts w:eastAsia="Times New Roman" w:cs="Arial"/>
          <w:szCs w:val="24"/>
          <w:lang w:eastAsia="es-CR"/>
        </w:rPr>
      </w:pPr>
      <w:r w:rsidRPr="00E64DCE">
        <w:rPr>
          <w:rFonts w:eastAsia="Times New Roman" w:cs="Arial"/>
          <w:szCs w:val="24"/>
          <w:lang w:eastAsia="es-CR"/>
        </w:rPr>
        <w:t>Comité Cantonal de Deportes, aporte del 3% de los ingresos del Presupuesto Ordinario.</w:t>
      </w:r>
    </w:p>
    <w:p w14:paraId="11B6FE27" w14:textId="77777777" w:rsidR="00ED257C" w:rsidRDefault="00ED257C" w:rsidP="007D62A5">
      <w:pPr>
        <w:spacing w:after="0" w:line="240" w:lineRule="auto"/>
        <w:rPr>
          <w:szCs w:val="24"/>
        </w:rPr>
      </w:pPr>
    </w:p>
    <w:p w14:paraId="4B028F02" w14:textId="77777777" w:rsidR="00E01FC3" w:rsidRPr="00015AC7" w:rsidRDefault="00E01FC3" w:rsidP="007D62A5">
      <w:pPr>
        <w:spacing w:after="0" w:line="240" w:lineRule="auto"/>
        <w:rPr>
          <w:szCs w:val="24"/>
        </w:rPr>
      </w:pPr>
    </w:p>
    <w:p w14:paraId="719EAFA7" w14:textId="66930D4C" w:rsidR="00BB6A3C" w:rsidRPr="00A649A4" w:rsidRDefault="00BB6A3C" w:rsidP="00A649A4">
      <w:pPr>
        <w:pStyle w:val="Ttulo2"/>
        <w:spacing w:after="240"/>
        <w:rPr>
          <w:rFonts w:eastAsia="Times New Roman"/>
          <w:lang w:eastAsia="es-CR"/>
        </w:rPr>
      </w:pPr>
      <w:bookmarkStart w:id="87" w:name="_Toc189804801"/>
      <w:r w:rsidRPr="00BB6A3C">
        <w:rPr>
          <w:rFonts w:eastAsia="Times New Roman"/>
          <w:lang w:eastAsia="es-CR"/>
        </w:rPr>
        <w:t>NICSP 21- DETERIORO DEL VALOR DE ACTIVOS NO GENERADORES DE EFECTIVO:</w:t>
      </w:r>
      <w:bookmarkEnd w:id="87"/>
      <w:r w:rsidRPr="00BB6A3C">
        <w:rPr>
          <w:rFonts w:eastAsia="Times New Roman"/>
          <w:lang w:eastAsia="es-CR"/>
        </w:rPr>
        <w:t xml:space="preserve"> </w:t>
      </w:r>
    </w:p>
    <w:p w14:paraId="622B0FFA" w14:textId="1E0599C0" w:rsidR="001F474F" w:rsidRDefault="00BB6A3C" w:rsidP="00BB6A3C">
      <w:r w:rsidRPr="00405DBC">
        <w:t xml:space="preserve">De acuerdo con la </w:t>
      </w:r>
      <w:r w:rsidRPr="00BB6A3C">
        <w:rPr>
          <w:rFonts w:eastAsia="Times New Roman"/>
          <w:lang w:val="es-MX" w:eastAsia="es-CR"/>
        </w:rPr>
        <w:t xml:space="preserve">NICSP 21 </w:t>
      </w:r>
      <w:r>
        <w:rPr>
          <w:rFonts w:eastAsia="Times New Roman"/>
          <w:lang w:val="es-MX" w:eastAsia="es-CR"/>
        </w:rPr>
        <w:t xml:space="preserve">- </w:t>
      </w:r>
      <w:r w:rsidRPr="00BB6A3C">
        <w:rPr>
          <w:rFonts w:eastAsia="Times New Roman"/>
          <w:lang w:val="es-MX" w:eastAsia="es-CR"/>
        </w:rPr>
        <w:t>Deterioro del Valor de Activos No Generadores de Efectivo</w:t>
      </w:r>
      <w:r>
        <w:t xml:space="preserve">, </w:t>
      </w:r>
      <w:r w:rsidR="00653C92">
        <w:t>i</w:t>
      </w:r>
      <w:r w:rsidRPr="00405DBC">
        <w:t>ndicar si este rubro afecta SI o NO a la institución, además del porcentaje de avance</w:t>
      </w:r>
      <w:r>
        <w:t xml:space="preserve"> en la implementación</w:t>
      </w:r>
      <w:r w:rsidRPr="00405DBC">
        <w:t xml:space="preserve"> que presenta</w:t>
      </w:r>
      <w:r w:rsidR="001C7FD6">
        <w:t xml:space="preserve">. </w:t>
      </w:r>
    </w:p>
    <w:tbl>
      <w:tblPr>
        <w:tblW w:w="4120" w:type="dxa"/>
        <w:tblCellMar>
          <w:left w:w="70" w:type="dxa"/>
          <w:right w:w="70" w:type="dxa"/>
        </w:tblCellMar>
        <w:tblLook w:val="04A0" w:firstRow="1" w:lastRow="0" w:firstColumn="1" w:lastColumn="0" w:noHBand="0" w:noVBand="1"/>
      </w:tblPr>
      <w:tblGrid>
        <w:gridCol w:w="2340"/>
        <w:gridCol w:w="1780"/>
      </w:tblGrid>
      <w:tr w:rsidR="001F474F" w:rsidRPr="001F474F" w14:paraId="10622F22" w14:textId="77777777" w:rsidTr="001F474F">
        <w:trPr>
          <w:trHeight w:val="345"/>
        </w:trPr>
        <w:tc>
          <w:tcPr>
            <w:tcW w:w="234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2910E4DB" w14:textId="77777777" w:rsidR="001F474F" w:rsidRPr="001F474F" w:rsidRDefault="001F474F" w:rsidP="001F474F">
            <w:pPr>
              <w:spacing w:after="0" w:line="240" w:lineRule="auto"/>
              <w:jc w:val="left"/>
              <w:rPr>
                <w:rFonts w:eastAsia="Times New Roman" w:cs="Calibri"/>
                <w:color w:val="FFFFFF"/>
                <w:szCs w:val="24"/>
                <w:lang w:eastAsia="es-CR"/>
              </w:rPr>
            </w:pPr>
            <w:r w:rsidRPr="001F474F">
              <w:rPr>
                <w:rFonts w:eastAsia="Times New Roman" w:cs="Calibri"/>
                <w:color w:val="FFFFFF"/>
                <w:szCs w:val="24"/>
                <w:lang w:eastAsia="es-CR"/>
              </w:rPr>
              <w:t>Aplica</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2862C7" w14:textId="77777777" w:rsidR="001F474F" w:rsidRPr="001F474F" w:rsidRDefault="001F474F" w:rsidP="001F474F">
            <w:pPr>
              <w:spacing w:after="0" w:line="240" w:lineRule="auto"/>
              <w:jc w:val="center"/>
              <w:rPr>
                <w:rFonts w:eastAsia="Times New Roman" w:cs="Calibri"/>
                <w:color w:val="000000"/>
                <w:sz w:val="22"/>
                <w:lang w:eastAsia="es-CR"/>
              </w:rPr>
            </w:pPr>
            <w:r w:rsidRPr="001F474F">
              <w:rPr>
                <w:rFonts w:eastAsia="Times New Roman" w:cs="Calibri"/>
                <w:color w:val="000000"/>
                <w:sz w:val="22"/>
                <w:lang w:eastAsia="es-CR"/>
              </w:rPr>
              <w:t>Si</w:t>
            </w:r>
          </w:p>
        </w:tc>
      </w:tr>
      <w:tr w:rsidR="001F474F" w:rsidRPr="001F474F" w14:paraId="6064FC03" w14:textId="77777777" w:rsidTr="001F474F">
        <w:trPr>
          <w:trHeight w:val="345"/>
        </w:trPr>
        <w:tc>
          <w:tcPr>
            <w:tcW w:w="2340" w:type="dxa"/>
            <w:tcBorders>
              <w:top w:val="nil"/>
              <w:left w:val="single" w:sz="8" w:space="0" w:color="auto"/>
              <w:bottom w:val="single" w:sz="8" w:space="0" w:color="auto"/>
              <w:right w:val="single" w:sz="8" w:space="0" w:color="auto"/>
            </w:tcBorders>
            <w:shd w:val="clear" w:color="000000" w:fill="17365D"/>
            <w:vAlign w:val="center"/>
            <w:hideMark/>
          </w:tcPr>
          <w:p w14:paraId="21B6DFBB" w14:textId="77777777" w:rsidR="001F474F" w:rsidRPr="001F474F" w:rsidRDefault="001F474F" w:rsidP="001F474F">
            <w:pPr>
              <w:spacing w:after="0" w:line="240" w:lineRule="auto"/>
              <w:jc w:val="left"/>
              <w:rPr>
                <w:rFonts w:eastAsia="Times New Roman" w:cs="Calibri"/>
                <w:color w:val="FFFFFF"/>
                <w:szCs w:val="24"/>
                <w:lang w:eastAsia="es-CR"/>
              </w:rPr>
            </w:pPr>
            <w:proofErr w:type="spellStart"/>
            <w:r w:rsidRPr="001F474F">
              <w:rPr>
                <w:rFonts w:eastAsia="Times New Roman" w:cs="Calibri"/>
                <w:color w:val="FFFFFF"/>
                <w:szCs w:val="24"/>
                <w:lang w:eastAsia="es-CR"/>
              </w:rPr>
              <w:t>Porcentaje_Avance</w:t>
            </w:r>
            <w:proofErr w:type="spellEnd"/>
          </w:p>
        </w:tc>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7FB1BB22" w14:textId="77777777" w:rsidR="001F474F" w:rsidRPr="001F474F" w:rsidRDefault="001F474F" w:rsidP="001F474F">
            <w:pPr>
              <w:spacing w:after="0" w:line="240" w:lineRule="auto"/>
              <w:jc w:val="center"/>
              <w:rPr>
                <w:rFonts w:eastAsia="Times New Roman" w:cs="Calibri"/>
                <w:color w:val="000000"/>
                <w:sz w:val="22"/>
                <w:lang w:eastAsia="es-CR"/>
              </w:rPr>
            </w:pPr>
            <w:r w:rsidRPr="001F474F">
              <w:rPr>
                <w:rFonts w:eastAsia="Times New Roman" w:cs="Calibri"/>
                <w:color w:val="000000"/>
                <w:sz w:val="22"/>
                <w:lang w:eastAsia="es-CR"/>
              </w:rPr>
              <w:t>30,00%</w:t>
            </w:r>
          </w:p>
        </w:tc>
      </w:tr>
    </w:tbl>
    <w:p w14:paraId="32BFC857" w14:textId="64D889CB" w:rsidR="00BB6A3C" w:rsidRDefault="00BB6A3C" w:rsidP="00BB6A3C"/>
    <w:p w14:paraId="64D16C43" w14:textId="77777777" w:rsidR="0034405E" w:rsidRDefault="0034405E" w:rsidP="00BB6A3C"/>
    <w:p w14:paraId="59892434" w14:textId="77777777" w:rsidR="005C1F18" w:rsidRDefault="00E80180" w:rsidP="005C1F18">
      <w:pPr>
        <w:spacing w:line="240" w:lineRule="auto"/>
        <w:rPr>
          <w:b/>
          <w:color w:val="FFFFFF" w:themeColor="background1"/>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p>
    <w:p w14:paraId="5E92220D" w14:textId="6B9BF815" w:rsidR="005C1F18" w:rsidRDefault="005C1F18" w:rsidP="005C1F18">
      <w:pPr>
        <w:spacing w:line="240" w:lineRule="auto"/>
        <w:rPr>
          <w:lang w:val="es-MX"/>
        </w:rPr>
      </w:pPr>
      <w:r>
        <w:rPr>
          <w:lang w:val="es-MX"/>
        </w:rPr>
        <w:t>El deterioro de los activos no generadores de efectivo se reconoce inmediatamente que se determine en el superávit o déficit en el periodo que se reporta. Después del reconocimiento una pérdida por deterioro el cargo por depreciación (amortización) del activo se ajusta en periodos futuros para asignar el valor en libros revisado del activo, menos su valor residual (si lo hay), sobre una base sistémica durante su vida útil restante.</w:t>
      </w:r>
    </w:p>
    <w:p w14:paraId="27314429" w14:textId="77777777" w:rsidR="005C1F18" w:rsidRPr="003516A2" w:rsidRDefault="005C1F18" w:rsidP="005C1F18">
      <w:pPr>
        <w:spacing w:line="240" w:lineRule="auto"/>
        <w:rPr>
          <w:b/>
          <w:color w:val="FFFFFF" w:themeColor="background1"/>
          <w:highlight w:val="darkBlue"/>
          <w:u w:val="single"/>
        </w:rPr>
      </w:pPr>
      <w:r>
        <w:rPr>
          <w:lang w:val="es-MX"/>
        </w:rPr>
        <w:t>En cada fecha de presentación de EEFF se revisa los activos para valorar cualquier indicador de que el activo pueda estar deteriorado o no y realizar los ajustes pertinentes.</w:t>
      </w:r>
    </w:p>
    <w:p w14:paraId="6E98851A" w14:textId="61ED102B" w:rsidR="00E80180" w:rsidRDefault="00E80180" w:rsidP="00E80180">
      <w:pPr>
        <w:spacing w:line="240" w:lineRule="auto"/>
        <w:rPr>
          <w:b/>
          <w:u w:val="single"/>
        </w:rPr>
      </w:pPr>
    </w:p>
    <w:p w14:paraId="6C37190C" w14:textId="77777777" w:rsidR="00E80180" w:rsidRPr="003516A2" w:rsidRDefault="00E80180" w:rsidP="00E80180">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56935C7D" w14:textId="77777777" w:rsidR="005C1F18" w:rsidRDefault="005C1F18" w:rsidP="005C1F18">
      <w:pPr>
        <w:spacing w:line="240" w:lineRule="auto"/>
        <w:rPr>
          <w:lang w:val="es-MX"/>
        </w:rPr>
      </w:pPr>
      <w:r>
        <w:rPr>
          <w:lang w:val="es-MX"/>
        </w:rPr>
        <w:t>El deterioro se medirá con base en la cantidad de servicio recuperable, este es el más alto entre el valor razonable menos los costos de venta y su valor en uso. El valor en uso de un activo que no genera efectivo es el valor presente del potencial de servicio restante del activo, el cual se establece usando cualquiera de los enfoques y depende de la disponibilidad de los datos y de la naturaleza del deterioro.</w:t>
      </w:r>
    </w:p>
    <w:p w14:paraId="6E500B49" w14:textId="77777777" w:rsidR="005C1F18" w:rsidRDefault="005C1F18" w:rsidP="005C1F18">
      <w:pPr>
        <w:spacing w:line="240" w:lineRule="auto"/>
        <w:rPr>
          <w:lang w:val="es-MX"/>
        </w:rPr>
      </w:pPr>
      <w:r>
        <w:rPr>
          <w:lang w:val="es-MX"/>
        </w:rPr>
        <w:t>Enfoque del costo de reemplazo depreciado. El valor presente del potencial de servicio restante de un activo se determina como el costo para reemplazar el potencial de servicio bruto del activo, el cual es depreciado para reflejar el activo en su condición usada. El costo de reemplazo es depreciado es medido como el costo de reproducción o reemplazo del activo, el que sea menor, menos la depreciación acumulada calculada con base en tal costo, para reflejar el potencial de servicio ya consumido o expirado del activo.</w:t>
      </w:r>
    </w:p>
    <w:p w14:paraId="0FCDF498" w14:textId="77777777" w:rsidR="005C1F18" w:rsidRDefault="005C1F18" w:rsidP="005C1F18">
      <w:pPr>
        <w:spacing w:line="240" w:lineRule="auto"/>
        <w:rPr>
          <w:lang w:val="es-MX"/>
        </w:rPr>
      </w:pPr>
      <w:r>
        <w:rPr>
          <w:lang w:val="es-MX"/>
        </w:rPr>
        <w:t>Enfoque del costo de restauración. El valor presente del potencial de servicio restante de un activo se determina sustrayendo el costo estimado de restauración del activo del costo corriente de reemplazar el potencial de servicio restante del activo antes del deterior. El último costo se determina como el costo de reproducción o reemplazo depreciado del activo el menor.</w:t>
      </w:r>
    </w:p>
    <w:p w14:paraId="6B2D3578" w14:textId="77777777" w:rsidR="005C1F18" w:rsidRPr="002007F6" w:rsidRDefault="005C1F18" w:rsidP="005C1F18">
      <w:pPr>
        <w:spacing w:line="240" w:lineRule="auto"/>
        <w:rPr>
          <w:lang w:val="es-MX"/>
        </w:rPr>
      </w:pPr>
      <w:r>
        <w:rPr>
          <w:lang w:val="es-MX"/>
        </w:rPr>
        <w:t>Enfoque de unidades de servicio. El valor presente del potencial de servicio restante de un activo se determina reduciendo el costo corriente del potencial de servicio restante antes del deterioro para conformarlo con el número reducido de unidades de servicio que se espera del activo en su estado deteriorado.</w:t>
      </w:r>
      <w:r w:rsidRPr="00976F1C">
        <w:rPr>
          <w:lang w:val="es-MX"/>
        </w:rPr>
        <w:t xml:space="preserve"> </w:t>
      </w:r>
      <w:r>
        <w:rPr>
          <w:lang w:val="es-MX"/>
        </w:rPr>
        <w:t>El último costo se determina como el costo de reproducción o reemplazo depreciado del activo el menor.</w:t>
      </w:r>
    </w:p>
    <w:p w14:paraId="65EBF9C9" w14:textId="3CE95CC0" w:rsidR="00653C92" w:rsidRPr="00653C92" w:rsidRDefault="00653C92" w:rsidP="00653C92">
      <w:pPr>
        <w:rPr>
          <w:rFonts w:eastAsia="Calibri"/>
          <w:b/>
          <w:lang w:eastAsia="es-CR"/>
        </w:rPr>
      </w:pPr>
      <w:r w:rsidRPr="00E80180">
        <w:rPr>
          <w:b/>
          <w:color w:val="FFFFFF" w:themeColor="background1"/>
          <w:highlight w:val="darkBlue"/>
          <w:u w:val="single"/>
        </w:rPr>
        <w:t>Revelación Suficiente:</w:t>
      </w:r>
      <w:r w:rsidRPr="00653C92">
        <w:rPr>
          <w:rFonts w:eastAsia="Calibri"/>
          <w:b/>
          <w:u w:val="single"/>
        </w:rPr>
        <w:t xml:space="preserve"> </w:t>
      </w:r>
      <w:r w:rsidR="00482942">
        <w:rPr>
          <w:rFonts w:eastAsia="Calibri"/>
          <w:b/>
          <w:u w:val="single"/>
        </w:rPr>
        <w:t xml:space="preserve">El ente debe revelar y cumplir </w:t>
      </w:r>
      <w:r w:rsidRPr="00653C92">
        <w:rPr>
          <w:rFonts w:eastAsia="Calibri"/>
          <w:b/>
          <w:u w:val="single"/>
        </w:rPr>
        <w:t xml:space="preserve">con lo estipulado en revelación </w:t>
      </w:r>
      <w:r w:rsidR="00482942">
        <w:rPr>
          <w:rFonts w:eastAsia="Calibri"/>
          <w:b/>
          <w:u w:val="single"/>
        </w:rPr>
        <w:t>conforme</w:t>
      </w:r>
      <w:r w:rsidRPr="00653C92">
        <w:rPr>
          <w:rFonts w:eastAsia="Calibri"/>
          <w:b/>
          <w:u w:val="single"/>
        </w:rPr>
        <w:t xml:space="preserve"> a la NICSP, también debe considerar la política general y los párrafos incluidos en la matriz de autoevaluación referente a esta NICSP y guías de aplicación</w:t>
      </w:r>
      <w:r w:rsidRPr="00653C92">
        <w:rPr>
          <w:rFonts w:eastAsia="Calibri"/>
          <w:b/>
          <w:u w:val="single"/>
          <w:lang w:val="es-MX"/>
        </w:rPr>
        <w:t xml:space="preserve"> (ver GA NICSP 21).</w:t>
      </w:r>
    </w:p>
    <w:p w14:paraId="059AA09D" w14:textId="77777777" w:rsidR="005C1F18" w:rsidRPr="00094A22" w:rsidRDefault="005C1F18" w:rsidP="005C1F18">
      <w:pPr>
        <w:spacing w:after="0" w:line="240" w:lineRule="auto"/>
        <w:rPr>
          <w:b/>
          <w:bCs/>
          <w:sz w:val="23"/>
          <w:szCs w:val="23"/>
        </w:rPr>
      </w:pPr>
      <w:r w:rsidRPr="00094A22">
        <w:rPr>
          <w:b/>
          <w:bCs/>
          <w:sz w:val="23"/>
          <w:szCs w:val="23"/>
        </w:rPr>
        <w:t>Aprovechamiento de la exención de la NICSP 33</w:t>
      </w:r>
    </w:p>
    <w:p w14:paraId="18104CE0" w14:textId="77777777" w:rsidR="005C1F18" w:rsidRDefault="005C1F18" w:rsidP="005C1F18">
      <w:pPr>
        <w:spacing w:after="0" w:line="240" w:lineRule="auto"/>
        <w:rPr>
          <w:sz w:val="23"/>
          <w:szCs w:val="23"/>
        </w:rPr>
      </w:pPr>
    </w:p>
    <w:p w14:paraId="4461FCCD" w14:textId="77777777" w:rsidR="005C1F18" w:rsidRDefault="005C1F18" w:rsidP="005C1F18">
      <w:pPr>
        <w:spacing w:after="120" w:line="240" w:lineRule="auto"/>
      </w:pPr>
      <w:r>
        <w:rPr>
          <w:sz w:val="23"/>
          <w:szCs w:val="23"/>
        </w:rPr>
        <w:t xml:space="preserve">La Municipalidad aprovecha la exención del párrafo 36 de la NICSP 33, que concede un periodo de dispensa transitorio para no reconocer o medir activos de las NICSP 16, 17, 27, 31 y 32, aplicará la NICSP </w:t>
      </w:r>
      <w:r>
        <w:rPr>
          <w:sz w:val="23"/>
          <w:szCs w:val="23"/>
        </w:rPr>
        <w:lastRenderedPageBreak/>
        <w:t>21, cuando la exención que proporcionó la dispensa haya expirado o los activos correspondientes se reconozcan o midan de acuerdo con las NICSP aplicables (lo que tenga lugar primero).</w:t>
      </w:r>
    </w:p>
    <w:p w14:paraId="7E2C0CA0" w14:textId="77777777" w:rsidR="005C1F18" w:rsidRDefault="005C1F18" w:rsidP="005C1F18">
      <w:pPr>
        <w:spacing w:after="120" w:line="240" w:lineRule="auto"/>
      </w:pPr>
      <w:r w:rsidRPr="005C6BF2">
        <w:t>Si bien la norma debe ser aplicada por la Municipalidad, tal como se indica en el Apartado II Efecto en el deterioro de acuerdo con la NICSP 21 y 26, la Municipalidad de Buenos Aires aún se encuentra realizando un proceso inventario físico de activos, el cual ha ido permitiendo realizar la actualización y valuación de los activos fijos (propiedad, planta y equipo), en cumplimiento al plan de acción para la implementación de las NICSP definido. Como parte de dicho proceso se tiene previsto realizar la clasificación de los activos en generadores y no generadores de efectivo, Sin embargo, la labor no ha concluido aún. No obstante, es pertinente indicar que en el trabajo realizado no se han identificado indicio de que alguno de los activos haya sido sujeto a la determinación del deterioro de su valor.</w:t>
      </w:r>
    </w:p>
    <w:p w14:paraId="7AED5341" w14:textId="77777777" w:rsidR="005C1F18" w:rsidRDefault="005C1F18" w:rsidP="005C1F18">
      <w:pPr>
        <w:spacing w:after="120" w:line="240" w:lineRule="auto"/>
        <w:rPr>
          <w:rFonts w:eastAsia="Times New Roman"/>
          <w:lang w:val="es-MX" w:eastAsia="es-CR"/>
        </w:rPr>
      </w:pPr>
      <w:r>
        <w:t xml:space="preserve">Además, se está trabajando en las políticas particulares y procedimientos que se aplicarán en la Municipalidad de Buenos Aires para lo atinente al </w:t>
      </w:r>
      <w:r w:rsidRPr="00BB6A3C">
        <w:rPr>
          <w:rFonts w:eastAsia="Times New Roman"/>
          <w:lang w:val="es-MX" w:eastAsia="es-CR"/>
        </w:rPr>
        <w:t>Deterioro del Valor de Activos No Generadores de Efectiv</w:t>
      </w:r>
      <w:r>
        <w:rPr>
          <w:rFonts w:eastAsia="Times New Roman"/>
          <w:lang w:val="es-MX" w:eastAsia="es-CR"/>
        </w:rPr>
        <w:t>o.</w:t>
      </w:r>
    </w:p>
    <w:p w14:paraId="7D9FCBA3" w14:textId="6997F0B6" w:rsidR="005C1F18" w:rsidRPr="006C0DEA" w:rsidRDefault="005C1F18" w:rsidP="005C1F18">
      <w:pPr>
        <w:spacing w:line="240" w:lineRule="auto"/>
        <w:rPr>
          <w:szCs w:val="24"/>
          <w:lang w:eastAsia="es-CR"/>
        </w:rPr>
      </w:pPr>
      <w:r w:rsidRPr="006C0DEA">
        <w:rPr>
          <w:szCs w:val="24"/>
          <w:lang w:eastAsia="es-CR"/>
        </w:rPr>
        <w:t xml:space="preserve">De acuerdo con lo consignado en la Matriz de NICSP y Plan de Acción al </w:t>
      </w:r>
      <w:r w:rsidR="00796636" w:rsidRPr="006C0DEA">
        <w:rPr>
          <w:szCs w:val="24"/>
          <w:lang w:eastAsia="es-CR"/>
        </w:rPr>
        <w:t>31</w:t>
      </w:r>
      <w:r w:rsidRPr="006C0DEA">
        <w:rPr>
          <w:szCs w:val="24"/>
          <w:lang w:eastAsia="es-CR"/>
        </w:rPr>
        <w:t xml:space="preserve"> de </w:t>
      </w:r>
      <w:r w:rsidR="00D64CF8" w:rsidRPr="006C0DEA">
        <w:rPr>
          <w:szCs w:val="24"/>
          <w:lang w:eastAsia="es-CR"/>
        </w:rPr>
        <w:t>diciembre</w:t>
      </w:r>
      <w:r w:rsidRPr="006C0DEA">
        <w:rPr>
          <w:szCs w:val="24"/>
          <w:lang w:eastAsia="es-CR"/>
        </w:rPr>
        <w:t xml:space="preserve"> de 2024 se encuentra pendiente de implementar lo siguiente:</w:t>
      </w:r>
    </w:p>
    <w:tbl>
      <w:tblPr>
        <w:tblW w:w="8813" w:type="dxa"/>
        <w:tblLook w:val="04A0" w:firstRow="1" w:lastRow="0" w:firstColumn="1" w:lastColumn="0" w:noHBand="0" w:noVBand="1"/>
      </w:tblPr>
      <w:tblGrid>
        <w:gridCol w:w="7503"/>
        <w:gridCol w:w="1310"/>
      </w:tblGrid>
      <w:tr w:rsidR="005C1F18" w:rsidRPr="005C1F18" w14:paraId="33730164" w14:textId="77777777" w:rsidTr="0061790F">
        <w:trPr>
          <w:trHeight w:val="790"/>
        </w:trPr>
        <w:tc>
          <w:tcPr>
            <w:tcW w:w="7503"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76542320" w14:textId="77777777" w:rsidR="005C1F18" w:rsidRPr="005B31D3" w:rsidRDefault="005C1F18" w:rsidP="0061790F">
            <w:pPr>
              <w:spacing w:after="0" w:line="240" w:lineRule="auto"/>
              <w:jc w:val="center"/>
              <w:rPr>
                <w:rFonts w:eastAsia="Times New Roman" w:cs="Calibri"/>
                <w:b/>
                <w:bCs/>
                <w:sz w:val="20"/>
                <w:szCs w:val="20"/>
                <w:lang w:val="en-US"/>
              </w:rPr>
            </w:pPr>
            <w:proofErr w:type="spellStart"/>
            <w:r w:rsidRPr="005B31D3">
              <w:rPr>
                <w:rFonts w:eastAsia="Times New Roman" w:cs="Calibri"/>
                <w:b/>
                <w:bCs/>
                <w:sz w:val="20"/>
                <w:szCs w:val="20"/>
                <w:lang w:val="en-US"/>
              </w:rPr>
              <w:t>Actividades</w:t>
            </w:r>
            <w:proofErr w:type="spellEnd"/>
            <w:r w:rsidRPr="005B31D3">
              <w:rPr>
                <w:rFonts w:eastAsia="Times New Roman" w:cs="Calibri"/>
                <w:b/>
                <w:bCs/>
                <w:sz w:val="20"/>
                <w:szCs w:val="20"/>
                <w:lang w:val="en-US"/>
              </w:rPr>
              <w:t xml:space="preserve"> </w:t>
            </w:r>
            <w:proofErr w:type="spellStart"/>
            <w:r w:rsidRPr="005B31D3">
              <w:rPr>
                <w:rFonts w:eastAsia="Times New Roman" w:cs="Calibri"/>
                <w:b/>
                <w:bCs/>
                <w:sz w:val="20"/>
                <w:szCs w:val="20"/>
                <w:lang w:val="en-US"/>
              </w:rPr>
              <w:t>Pendientes</w:t>
            </w:r>
            <w:proofErr w:type="spellEnd"/>
            <w:r w:rsidRPr="005B31D3">
              <w:rPr>
                <w:rFonts w:eastAsia="Times New Roman" w:cs="Calibri"/>
                <w:b/>
                <w:bCs/>
                <w:sz w:val="20"/>
                <w:szCs w:val="20"/>
                <w:lang w:val="en-US"/>
              </w:rPr>
              <w:t xml:space="preserve"> de </w:t>
            </w:r>
            <w:proofErr w:type="spellStart"/>
            <w:r w:rsidRPr="005B31D3">
              <w:rPr>
                <w:rFonts w:eastAsia="Times New Roman" w:cs="Calibri"/>
                <w:b/>
                <w:bCs/>
                <w:sz w:val="20"/>
                <w:szCs w:val="20"/>
                <w:lang w:val="en-US"/>
              </w:rPr>
              <w:t>Cumplimiento</w:t>
            </w:r>
            <w:proofErr w:type="spellEnd"/>
          </w:p>
        </w:tc>
        <w:tc>
          <w:tcPr>
            <w:tcW w:w="1310" w:type="dxa"/>
            <w:tcBorders>
              <w:top w:val="single" w:sz="8" w:space="0" w:color="auto"/>
              <w:left w:val="nil"/>
              <w:bottom w:val="single" w:sz="4" w:space="0" w:color="auto"/>
              <w:right w:val="single" w:sz="8" w:space="0" w:color="auto"/>
            </w:tcBorders>
            <w:shd w:val="clear" w:color="000000" w:fill="FFFFFF"/>
            <w:vAlign w:val="bottom"/>
            <w:hideMark/>
          </w:tcPr>
          <w:p w14:paraId="14D466A8" w14:textId="77777777" w:rsidR="005C1F18" w:rsidRPr="005B31D3" w:rsidRDefault="005C1F18" w:rsidP="0061790F">
            <w:pPr>
              <w:spacing w:after="0" w:line="240" w:lineRule="auto"/>
              <w:jc w:val="center"/>
              <w:rPr>
                <w:rFonts w:eastAsia="Times New Roman" w:cs="Calibri"/>
                <w:b/>
                <w:bCs/>
                <w:color w:val="000000"/>
                <w:sz w:val="20"/>
                <w:szCs w:val="20"/>
                <w:lang w:val="en-US"/>
              </w:rPr>
            </w:pPr>
            <w:proofErr w:type="spellStart"/>
            <w:r w:rsidRPr="005B31D3">
              <w:rPr>
                <w:rFonts w:eastAsia="Times New Roman" w:cs="Calibri"/>
                <w:b/>
                <w:bCs/>
                <w:color w:val="000000"/>
                <w:sz w:val="20"/>
                <w:szCs w:val="20"/>
                <w:lang w:val="en-US"/>
              </w:rPr>
              <w:t>Fecha</w:t>
            </w:r>
            <w:proofErr w:type="spellEnd"/>
            <w:r w:rsidRPr="005B31D3">
              <w:rPr>
                <w:rFonts w:eastAsia="Times New Roman" w:cs="Calibri"/>
                <w:b/>
                <w:bCs/>
                <w:color w:val="000000"/>
                <w:sz w:val="20"/>
                <w:szCs w:val="20"/>
                <w:lang w:val="en-US"/>
              </w:rPr>
              <w:t xml:space="preserve"> </w:t>
            </w:r>
            <w:proofErr w:type="spellStart"/>
            <w:r w:rsidRPr="005B31D3">
              <w:rPr>
                <w:rFonts w:eastAsia="Times New Roman" w:cs="Calibri"/>
                <w:b/>
                <w:bCs/>
                <w:color w:val="000000"/>
                <w:sz w:val="20"/>
                <w:szCs w:val="20"/>
                <w:lang w:val="en-US"/>
              </w:rPr>
              <w:t>Estimada</w:t>
            </w:r>
            <w:proofErr w:type="spellEnd"/>
            <w:r w:rsidRPr="005B31D3">
              <w:rPr>
                <w:rFonts w:eastAsia="Times New Roman" w:cs="Calibri"/>
                <w:b/>
                <w:bCs/>
                <w:color w:val="000000"/>
                <w:sz w:val="20"/>
                <w:szCs w:val="20"/>
                <w:lang w:val="en-US"/>
              </w:rPr>
              <w:t xml:space="preserve"> </w:t>
            </w:r>
            <w:proofErr w:type="spellStart"/>
            <w:r w:rsidRPr="005B31D3">
              <w:rPr>
                <w:rFonts w:eastAsia="Times New Roman" w:cs="Calibri"/>
                <w:b/>
                <w:bCs/>
                <w:color w:val="000000"/>
                <w:sz w:val="20"/>
                <w:szCs w:val="20"/>
                <w:lang w:val="en-US"/>
              </w:rPr>
              <w:t>Cumplimiento</w:t>
            </w:r>
            <w:proofErr w:type="spellEnd"/>
          </w:p>
        </w:tc>
      </w:tr>
      <w:tr w:rsidR="005C1F18" w:rsidRPr="005C1F18" w14:paraId="0E06673D" w14:textId="77777777" w:rsidTr="0061790F">
        <w:trPr>
          <w:trHeight w:val="290"/>
        </w:trPr>
        <w:tc>
          <w:tcPr>
            <w:tcW w:w="7503" w:type="dxa"/>
            <w:tcBorders>
              <w:top w:val="nil"/>
              <w:left w:val="single" w:sz="8" w:space="0" w:color="auto"/>
              <w:bottom w:val="single" w:sz="4" w:space="0" w:color="auto"/>
              <w:right w:val="single" w:sz="4" w:space="0" w:color="auto"/>
            </w:tcBorders>
            <w:shd w:val="clear" w:color="000000" w:fill="FFFFFF"/>
            <w:hideMark/>
          </w:tcPr>
          <w:p w14:paraId="5E09224F" w14:textId="77777777" w:rsidR="005C1F18" w:rsidRPr="005B31D3" w:rsidRDefault="005C1F18" w:rsidP="0061790F">
            <w:pPr>
              <w:spacing w:after="0" w:line="240" w:lineRule="auto"/>
              <w:jc w:val="left"/>
              <w:rPr>
                <w:rFonts w:ascii="Arial" w:eastAsia="Times New Roman" w:hAnsi="Arial" w:cs="Arial"/>
                <w:color w:val="000000"/>
                <w:sz w:val="20"/>
                <w:szCs w:val="20"/>
              </w:rPr>
            </w:pPr>
            <w:r w:rsidRPr="005B31D3">
              <w:rPr>
                <w:rFonts w:ascii="Arial" w:eastAsia="Times New Roman" w:hAnsi="Arial" w:cs="Arial"/>
                <w:color w:val="000000"/>
                <w:sz w:val="20"/>
                <w:szCs w:val="20"/>
              </w:rPr>
              <w:t>Identificar los activos no generadores de efectivo de la Municipalidad.</w:t>
            </w:r>
          </w:p>
        </w:tc>
        <w:tc>
          <w:tcPr>
            <w:tcW w:w="1310" w:type="dxa"/>
            <w:tcBorders>
              <w:top w:val="nil"/>
              <w:left w:val="nil"/>
              <w:bottom w:val="single" w:sz="4" w:space="0" w:color="auto"/>
              <w:right w:val="single" w:sz="8" w:space="0" w:color="auto"/>
            </w:tcBorders>
            <w:shd w:val="clear" w:color="000000" w:fill="FFFFFF"/>
            <w:noWrap/>
            <w:vAlign w:val="center"/>
            <w:hideMark/>
          </w:tcPr>
          <w:p w14:paraId="1F760765" w14:textId="1A86DA58" w:rsidR="005C1F18" w:rsidRPr="005B31D3" w:rsidRDefault="00796636" w:rsidP="0061790F">
            <w:pPr>
              <w:spacing w:after="0" w:line="240" w:lineRule="auto"/>
              <w:jc w:val="center"/>
              <w:rPr>
                <w:rFonts w:ascii="Arial" w:eastAsia="Times New Roman" w:hAnsi="Arial" w:cs="Arial"/>
                <w:sz w:val="20"/>
                <w:szCs w:val="20"/>
                <w:lang w:val="en-US"/>
              </w:rPr>
            </w:pPr>
            <w:r w:rsidRPr="005B31D3">
              <w:rPr>
                <w:rFonts w:ascii="Arial" w:eastAsia="Times New Roman" w:hAnsi="Arial" w:cs="Arial"/>
                <w:sz w:val="20"/>
                <w:szCs w:val="20"/>
                <w:lang w:val="en-US"/>
              </w:rPr>
              <w:t>3</w:t>
            </w:r>
            <w:r w:rsidR="006C0DEA" w:rsidRPr="005B31D3">
              <w:rPr>
                <w:rFonts w:ascii="Arial" w:eastAsia="Times New Roman" w:hAnsi="Arial" w:cs="Arial"/>
                <w:sz w:val="20"/>
                <w:szCs w:val="20"/>
                <w:lang w:val="en-US"/>
              </w:rPr>
              <w:t>0</w:t>
            </w:r>
            <w:r w:rsidR="00492E8C" w:rsidRPr="005B31D3">
              <w:rPr>
                <w:rFonts w:ascii="Arial" w:eastAsia="Times New Roman" w:hAnsi="Arial" w:cs="Arial"/>
                <w:sz w:val="20"/>
                <w:szCs w:val="20"/>
                <w:lang w:val="en-US"/>
              </w:rPr>
              <w:t>/09/25</w:t>
            </w:r>
          </w:p>
        </w:tc>
      </w:tr>
      <w:tr w:rsidR="00492E8C" w:rsidRPr="005C1F18" w14:paraId="3DCD19DD" w14:textId="77777777" w:rsidTr="00796636">
        <w:trPr>
          <w:trHeight w:val="750"/>
        </w:trPr>
        <w:tc>
          <w:tcPr>
            <w:tcW w:w="7503" w:type="dxa"/>
            <w:tcBorders>
              <w:top w:val="nil"/>
              <w:left w:val="single" w:sz="8" w:space="0" w:color="auto"/>
              <w:bottom w:val="single" w:sz="4" w:space="0" w:color="auto"/>
              <w:right w:val="single" w:sz="4" w:space="0" w:color="auto"/>
            </w:tcBorders>
            <w:shd w:val="clear" w:color="000000" w:fill="FFFFFF"/>
            <w:hideMark/>
          </w:tcPr>
          <w:p w14:paraId="26B355D2" w14:textId="77777777" w:rsidR="00492E8C" w:rsidRPr="005B31D3" w:rsidRDefault="00492E8C" w:rsidP="00492E8C">
            <w:pPr>
              <w:spacing w:after="0" w:line="240" w:lineRule="auto"/>
              <w:rPr>
                <w:rFonts w:ascii="Arial" w:eastAsia="Times New Roman" w:hAnsi="Arial" w:cs="Arial"/>
                <w:sz w:val="20"/>
                <w:szCs w:val="20"/>
              </w:rPr>
            </w:pPr>
            <w:r w:rsidRPr="005B31D3">
              <w:rPr>
                <w:rFonts w:ascii="Arial" w:eastAsia="Times New Roman" w:hAnsi="Arial" w:cs="Arial"/>
                <w:sz w:val="20"/>
                <w:szCs w:val="20"/>
              </w:rPr>
              <w:t>Implementar la práctica de evaluar en cada fecha de presentación, si existen indicios de deterioro en los activos tangibles e intangibles no generadoras de efectivo y en caso de que se presenten realizar el cálculo para determinar el valor recuperable.</w:t>
            </w:r>
          </w:p>
        </w:tc>
        <w:tc>
          <w:tcPr>
            <w:tcW w:w="1310" w:type="dxa"/>
            <w:tcBorders>
              <w:top w:val="nil"/>
              <w:left w:val="nil"/>
              <w:bottom w:val="single" w:sz="4" w:space="0" w:color="auto"/>
              <w:right w:val="single" w:sz="8" w:space="0" w:color="auto"/>
            </w:tcBorders>
            <w:shd w:val="clear" w:color="000000" w:fill="FFFFFF"/>
            <w:noWrap/>
            <w:hideMark/>
          </w:tcPr>
          <w:p w14:paraId="48F017C7" w14:textId="6FC8CCB4" w:rsidR="00492E8C" w:rsidRPr="005B31D3" w:rsidRDefault="006C0DEA" w:rsidP="00492E8C">
            <w:pPr>
              <w:spacing w:after="0" w:line="240" w:lineRule="auto"/>
              <w:jc w:val="center"/>
              <w:rPr>
                <w:rFonts w:ascii="Arial" w:eastAsia="Times New Roman" w:hAnsi="Arial" w:cs="Arial"/>
                <w:sz w:val="20"/>
                <w:szCs w:val="20"/>
                <w:lang w:val="en-US"/>
              </w:rPr>
            </w:pPr>
            <w:r w:rsidRPr="005B31D3">
              <w:rPr>
                <w:rFonts w:ascii="Arial" w:eastAsia="Times New Roman" w:hAnsi="Arial" w:cs="Arial"/>
                <w:sz w:val="20"/>
                <w:szCs w:val="20"/>
                <w:lang w:val="en-US"/>
              </w:rPr>
              <w:t>30/09/25</w:t>
            </w:r>
          </w:p>
        </w:tc>
      </w:tr>
      <w:tr w:rsidR="00492E8C" w:rsidRPr="005C1F18" w14:paraId="6A4D41F4" w14:textId="77777777" w:rsidTr="00796636">
        <w:trPr>
          <w:trHeight w:val="500"/>
        </w:trPr>
        <w:tc>
          <w:tcPr>
            <w:tcW w:w="7503" w:type="dxa"/>
            <w:tcBorders>
              <w:top w:val="nil"/>
              <w:left w:val="single" w:sz="8" w:space="0" w:color="auto"/>
              <w:bottom w:val="single" w:sz="4" w:space="0" w:color="auto"/>
              <w:right w:val="single" w:sz="4" w:space="0" w:color="auto"/>
            </w:tcBorders>
            <w:shd w:val="clear" w:color="000000" w:fill="FFFFFF"/>
            <w:hideMark/>
          </w:tcPr>
          <w:p w14:paraId="006614B2" w14:textId="77777777" w:rsidR="00492E8C" w:rsidRPr="005B31D3" w:rsidRDefault="00492E8C" w:rsidP="00492E8C">
            <w:pPr>
              <w:spacing w:after="0" w:line="240" w:lineRule="auto"/>
              <w:rPr>
                <w:rFonts w:ascii="Arial" w:eastAsia="Times New Roman" w:hAnsi="Arial" w:cs="Arial"/>
                <w:sz w:val="20"/>
                <w:szCs w:val="20"/>
              </w:rPr>
            </w:pPr>
            <w:r w:rsidRPr="005B31D3">
              <w:rPr>
                <w:rFonts w:ascii="Arial" w:eastAsia="Times New Roman" w:hAnsi="Arial" w:cs="Arial"/>
                <w:sz w:val="20"/>
                <w:szCs w:val="20"/>
              </w:rPr>
              <w:t xml:space="preserve">Implementar la práctica de evaluar en cada fecha de presentación, si algún indicio de que la pérdida por deterioro reconocida en periodos anteriores ya no existe o ha disminuido. </w:t>
            </w:r>
          </w:p>
        </w:tc>
        <w:tc>
          <w:tcPr>
            <w:tcW w:w="1310" w:type="dxa"/>
            <w:tcBorders>
              <w:top w:val="nil"/>
              <w:left w:val="nil"/>
              <w:bottom w:val="single" w:sz="4" w:space="0" w:color="auto"/>
              <w:right w:val="single" w:sz="8" w:space="0" w:color="auto"/>
            </w:tcBorders>
            <w:shd w:val="clear" w:color="000000" w:fill="FFFFFF"/>
            <w:noWrap/>
            <w:hideMark/>
          </w:tcPr>
          <w:p w14:paraId="6734A93C" w14:textId="1EB81BD5" w:rsidR="00492E8C" w:rsidRPr="005B31D3" w:rsidRDefault="006C0DEA" w:rsidP="00492E8C">
            <w:pPr>
              <w:spacing w:after="0" w:line="240" w:lineRule="auto"/>
              <w:jc w:val="center"/>
              <w:rPr>
                <w:rFonts w:ascii="Arial" w:eastAsia="Times New Roman" w:hAnsi="Arial" w:cs="Arial"/>
                <w:sz w:val="20"/>
                <w:szCs w:val="20"/>
                <w:lang w:val="en-US"/>
              </w:rPr>
            </w:pPr>
            <w:r w:rsidRPr="005B31D3">
              <w:rPr>
                <w:rFonts w:ascii="Arial" w:eastAsia="Times New Roman" w:hAnsi="Arial" w:cs="Arial"/>
                <w:sz w:val="20"/>
                <w:szCs w:val="20"/>
                <w:lang w:val="en-US"/>
              </w:rPr>
              <w:t>30/09/25</w:t>
            </w:r>
          </w:p>
        </w:tc>
      </w:tr>
      <w:tr w:rsidR="00492E8C" w:rsidRPr="005C1F18" w14:paraId="7E616C2F" w14:textId="77777777" w:rsidTr="00796636">
        <w:trPr>
          <w:trHeight w:val="750"/>
        </w:trPr>
        <w:tc>
          <w:tcPr>
            <w:tcW w:w="7503" w:type="dxa"/>
            <w:tcBorders>
              <w:top w:val="nil"/>
              <w:left w:val="single" w:sz="8" w:space="0" w:color="auto"/>
              <w:bottom w:val="single" w:sz="4" w:space="0" w:color="auto"/>
              <w:right w:val="single" w:sz="4" w:space="0" w:color="auto"/>
            </w:tcBorders>
            <w:shd w:val="clear" w:color="000000" w:fill="FFFFFF"/>
            <w:hideMark/>
          </w:tcPr>
          <w:p w14:paraId="30E83018" w14:textId="77777777" w:rsidR="00492E8C" w:rsidRPr="005B31D3" w:rsidRDefault="00492E8C" w:rsidP="00492E8C">
            <w:pPr>
              <w:spacing w:after="0" w:line="240" w:lineRule="auto"/>
              <w:rPr>
                <w:rFonts w:ascii="Arial" w:eastAsia="Times New Roman" w:hAnsi="Arial" w:cs="Arial"/>
                <w:sz w:val="20"/>
                <w:szCs w:val="20"/>
              </w:rPr>
            </w:pPr>
            <w:r w:rsidRPr="005B31D3">
              <w:rPr>
                <w:rFonts w:ascii="Arial" w:eastAsia="Times New Roman" w:hAnsi="Arial" w:cs="Arial"/>
                <w:sz w:val="20"/>
                <w:szCs w:val="20"/>
              </w:rPr>
              <w:t>Reconocer y medir la ocurrencia de una pérdida por deterioro, o la disminución o eliminación de una pérdida reconocida anteriormente, con base en los resultados obtenidos en la evaluación realizada en cada fecha de presentación, según indica la norma..</w:t>
            </w:r>
          </w:p>
        </w:tc>
        <w:tc>
          <w:tcPr>
            <w:tcW w:w="1310" w:type="dxa"/>
            <w:tcBorders>
              <w:top w:val="nil"/>
              <w:left w:val="nil"/>
              <w:bottom w:val="single" w:sz="4" w:space="0" w:color="auto"/>
              <w:right w:val="single" w:sz="8" w:space="0" w:color="auto"/>
            </w:tcBorders>
            <w:shd w:val="clear" w:color="000000" w:fill="FFFFFF"/>
            <w:noWrap/>
            <w:hideMark/>
          </w:tcPr>
          <w:p w14:paraId="5689C542" w14:textId="4CC5B487" w:rsidR="00492E8C" w:rsidRPr="005B31D3" w:rsidRDefault="006C0DEA" w:rsidP="00492E8C">
            <w:pPr>
              <w:spacing w:after="0" w:line="240" w:lineRule="auto"/>
              <w:jc w:val="center"/>
              <w:rPr>
                <w:rFonts w:ascii="Arial" w:eastAsia="Times New Roman" w:hAnsi="Arial" w:cs="Arial"/>
                <w:sz w:val="20"/>
                <w:szCs w:val="20"/>
                <w:lang w:val="en-US"/>
              </w:rPr>
            </w:pPr>
            <w:r w:rsidRPr="005B31D3">
              <w:rPr>
                <w:rFonts w:ascii="Arial" w:eastAsia="Times New Roman" w:hAnsi="Arial" w:cs="Arial"/>
                <w:sz w:val="20"/>
                <w:szCs w:val="20"/>
                <w:lang w:val="en-US"/>
              </w:rPr>
              <w:t>30/09/25</w:t>
            </w:r>
          </w:p>
        </w:tc>
      </w:tr>
      <w:tr w:rsidR="00492E8C" w:rsidRPr="005C1F18" w14:paraId="22CA9CFC" w14:textId="77777777" w:rsidTr="00796636">
        <w:trPr>
          <w:trHeight w:val="500"/>
        </w:trPr>
        <w:tc>
          <w:tcPr>
            <w:tcW w:w="7503" w:type="dxa"/>
            <w:tcBorders>
              <w:top w:val="nil"/>
              <w:left w:val="single" w:sz="8" w:space="0" w:color="auto"/>
              <w:bottom w:val="single" w:sz="4" w:space="0" w:color="auto"/>
              <w:right w:val="single" w:sz="4" w:space="0" w:color="auto"/>
            </w:tcBorders>
            <w:shd w:val="clear" w:color="000000" w:fill="FFFFFF"/>
            <w:hideMark/>
          </w:tcPr>
          <w:p w14:paraId="7A8046E6" w14:textId="77777777" w:rsidR="00492E8C" w:rsidRPr="005B31D3" w:rsidRDefault="00492E8C" w:rsidP="00492E8C">
            <w:pPr>
              <w:spacing w:after="0" w:line="240" w:lineRule="auto"/>
              <w:rPr>
                <w:rFonts w:ascii="Arial" w:eastAsia="Times New Roman" w:hAnsi="Arial" w:cs="Arial"/>
                <w:sz w:val="20"/>
                <w:szCs w:val="20"/>
              </w:rPr>
            </w:pPr>
            <w:r w:rsidRPr="005B31D3">
              <w:rPr>
                <w:rFonts w:ascii="Arial" w:eastAsia="Times New Roman" w:hAnsi="Arial" w:cs="Arial"/>
                <w:sz w:val="20"/>
                <w:szCs w:val="20"/>
              </w:rPr>
              <w:t>Determinar la información que se debe revelar en relación con los activos no generadores de efectivo.</w:t>
            </w:r>
          </w:p>
        </w:tc>
        <w:tc>
          <w:tcPr>
            <w:tcW w:w="1310" w:type="dxa"/>
            <w:tcBorders>
              <w:top w:val="nil"/>
              <w:left w:val="nil"/>
              <w:bottom w:val="single" w:sz="4" w:space="0" w:color="auto"/>
              <w:right w:val="single" w:sz="8" w:space="0" w:color="auto"/>
            </w:tcBorders>
            <w:shd w:val="clear" w:color="000000" w:fill="FFFFFF"/>
            <w:noWrap/>
            <w:hideMark/>
          </w:tcPr>
          <w:p w14:paraId="262CE143" w14:textId="6857A720" w:rsidR="00492E8C" w:rsidRPr="005B31D3" w:rsidRDefault="006C0DEA" w:rsidP="00492E8C">
            <w:pPr>
              <w:spacing w:after="0" w:line="240" w:lineRule="auto"/>
              <w:jc w:val="center"/>
              <w:rPr>
                <w:rFonts w:ascii="Arial" w:eastAsia="Times New Roman" w:hAnsi="Arial" w:cs="Arial"/>
                <w:sz w:val="20"/>
                <w:szCs w:val="20"/>
                <w:lang w:val="en-US"/>
              </w:rPr>
            </w:pPr>
            <w:r w:rsidRPr="005B31D3">
              <w:rPr>
                <w:rFonts w:ascii="Arial" w:eastAsia="Times New Roman" w:hAnsi="Arial" w:cs="Arial"/>
                <w:sz w:val="20"/>
                <w:szCs w:val="20"/>
                <w:lang w:val="en-US"/>
              </w:rPr>
              <w:t>30/09/25</w:t>
            </w:r>
          </w:p>
        </w:tc>
      </w:tr>
      <w:tr w:rsidR="00492E8C" w:rsidRPr="005C1F18" w14:paraId="1A46C625" w14:textId="77777777" w:rsidTr="00796636">
        <w:trPr>
          <w:trHeight w:val="500"/>
        </w:trPr>
        <w:tc>
          <w:tcPr>
            <w:tcW w:w="7503" w:type="dxa"/>
            <w:tcBorders>
              <w:top w:val="nil"/>
              <w:left w:val="single" w:sz="8" w:space="0" w:color="auto"/>
              <w:bottom w:val="single" w:sz="4" w:space="0" w:color="auto"/>
              <w:right w:val="single" w:sz="4" w:space="0" w:color="auto"/>
            </w:tcBorders>
            <w:shd w:val="clear" w:color="000000" w:fill="FFFFFF"/>
            <w:hideMark/>
          </w:tcPr>
          <w:p w14:paraId="51F53AA0" w14:textId="77777777" w:rsidR="00492E8C" w:rsidRPr="005B31D3" w:rsidRDefault="00492E8C" w:rsidP="00492E8C">
            <w:pPr>
              <w:spacing w:after="0" w:line="240" w:lineRule="auto"/>
              <w:rPr>
                <w:rFonts w:ascii="Arial" w:eastAsia="Times New Roman" w:hAnsi="Arial" w:cs="Arial"/>
                <w:sz w:val="20"/>
                <w:szCs w:val="20"/>
              </w:rPr>
            </w:pPr>
            <w:r w:rsidRPr="005B31D3">
              <w:rPr>
                <w:rFonts w:ascii="Arial" w:eastAsia="Times New Roman" w:hAnsi="Arial" w:cs="Arial"/>
                <w:sz w:val="20"/>
                <w:szCs w:val="20"/>
              </w:rPr>
              <w:t>Realizar las revelaciones correspondientes sobre los activos no generadores de efectivo, según lo establecido por la norma</w:t>
            </w:r>
          </w:p>
        </w:tc>
        <w:tc>
          <w:tcPr>
            <w:tcW w:w="1310" w:type="dxa"/>
            <w:tcBorders>
              <w:top w:val="nil"/>
              <w:left w:val="nil"/>
              <w:bottom w:val="single" w:sz="4" w:space="0" w:color="auto"/>
              <w:right w:val="single" w:sz="8" w:space="0" w:color="auto"/>
            </w:tcBorders>
            <w:shd w:val="clear" w:color="000000" w:fill="FFFFFF"/>
            <w:noWrap/>
            <w:hideMark/>
          </w:tcPr>
          <w:p w14:paraId="47D6E61D" w14:textId="4DBAB907" w:rsidR="00492E8C" w:rsidRPr="005B31D3" w:rsidRDefault="006C0DEA" w:rsidP="00492E8C">
            <w:pPr>
              <w:spacing w:after="0" w:line="240" w:lineRule="auto"/>
              <w:jc w:val="center"/>
              <w:rPr>
                <w:rFonts w:ascii="Arial" w:eastAsia="Times New Roman" w:hAnsi="Arial" w:cs="Arial"/>
                <w:sz w:val="20"/>
                <w:szCs w:val="20"/>
                <w:lang w:val="en-US"/>
              </w:rPr>
            </w:pPr>
            <w:r w:rsidRPr="005B31D3">
              <w:rPr>
                <w:rFonts w:ascii="Arial" w:eastAsia="Times New Roman" w:hAnsi="Arial" w:cs="Arial"/>
                <w:sz w:val="20"/>
                <w:szCs w:val="20"/>
                <w:lang w:val="en-US"/>
              </w:rPr>
              <w:t>30/09/25</w:t>
            </w:r>
          </w:p>
        </w:tc>
      </w:tr>
      <w:tr w:rsidR="00492E8C" w:rsidRPr="005C1F18" w14:paraId="2CEE1D17" w14:textId="77777777" w:rsidTr="00796636">
        <w:trPr>
          <w:trHeight w:val="290"/>
        </w:trPr>
        <w:tc>
          <w:tcPr>
            <w:tcW w:w="7503" w:type="dxa"/>
            <w:tcBorders>
              <w:top w:val="nil"/>
              <w:left w:val="single" w:sz="8" w:space="0" w:color="auto"/>
              <w:bottom w:val="single" w:sz="4" w:space="0" w:color="auto"/>
              <w:right w:val="single" w:sz="4" w:space="0" w:color="auto"/>
            </w:tcBorders>
            <w:shd w:val="clear" w:color="000000" w:fill="FFFFFF"/>
            <w:hideMark/>
          </w:tcPr>
          <w:p w14:paraId="282C4A97" w14:textId="77777777" w:rsidR="00492E8C" w:rsidRPr="005B31D3" w:rsidRDefault="00492E8C" w:rsidP="00492E8C">
            <w:pPr>
              <w:spacing w:after="0" w:line="240" w:lineRule="auto"/>
              <w:rPr>
                <w:rFonts w:ascii="Arial" w:eastAsia="Times New Roman" w:hAnsi="Arial" w:cs="Arial"/>
                <w:sz w:val="20"/>
                <w:szCs w:val="20"/>
              </w:rPr>
            </w:pPr>
            <w:r w:rsidRPr="005B31D3">
              <w:rPr>
                <w:rFonts w:ascii="Arial" w:eastAsia="Times New Roman" w:hAnsi="Arial" w:cs="Arial"/>
                <w:sz w:val="20"/>
                <w:szCs w:val="20"/>
              </w:rPr>
              <w:t>Adecuación e inclusión del catálogo de cuentas con los respectivos auxiliares</w:t>
            </w:r>
          </w:p>
        </w:tc>
        <w:tc>
          <w:tcPr>
            <w:tcW w:w="1310" w:type="dxa"/>
            <w:tcBorders>
              <w:top w:val="nil"/>
              <w:left w:val="nil"/>
              <w:bottom w:val="single" w:sz="4" w:space="0" w:color="auto"/>
              <w:right w:val="single" w:sz="8" w:space="0" w:color="auto"/>
            </w:tcBorders>
            <w:shd w:val="clear" w:color="000000" w:fill="FFFFFF"/>
            <w:noWrap/>
            <w:hideMark/>
          </w:tcPr>
          <w:p w14:paraId="463651D4" w14:textId="697C24C3" w:rsidR="00492E8C" w:rsidRPr="005B31D3" w:rsidRDefault="006C0DEA" w:rsidP="00492E8C">
            <w:pPr>
              <w:spacing w:after="0" w:line="240" w:lineRule="auto"/>
              <w:jc w:val="center"/>
              <w:rPr>
                <w:rFonts w:ascii="Arial" w:eastAsia="Times New Roman" w:hAnsi="Arial" w:cs="Arial"/>
                <w:sz w:val="20"/>
                <w:szCs w:val="20"/>
                <w:lang w:val="en-US"/>
              </w:rPr>
            </w:pPr>
            <w:r w:rsidRPr="005B31D3">
              <w:rPr>
                <w:rFonts w:ascii="Arial" w:eastAsia="Times New Roman" w:hAnsi="Arial" w:cs="Arial"/>
                <w:sz w:val="20"/>
                <w:szCs w:val="20"/>
                <w:lang w:val="en-US"/>
              </w:rPr>
              <w:t>30/09/25</w:t>
            </w:r>
          </w:p>
        </w:tc>
      </w:tr>
      <w:tr w:rsidR="00492E8C" w:rsidRPr="00274DBE" w14:paraId="30279D84" w14:textId="77777777" w:rsidTr="00796636">
        <w:trPr>
          <w:trHeight w:val="300"/>
        </w:trPr>
        <w:tc>
          <w:tcPr>
            <w:tcW w:w="7503" w:type="dxa"/>
            <w:tcBorders>
              <w:top w:val="nil"/>
              <w:left w:val="single" w:sz="8" w:space="0" w:color="auto"/>
              <w:bottom w:val="single" w:sz="8" w:space="0" w:color="auto"/>
              <w:right w:val="single" w:sz="4" w:space="0" w:color="auto"/>
            </w:tcBorders>
            <w:shd w:val="clear" w:color="000000" w:fill="FFFFFF"/>
            <w:hideMark/>
          </w:tcPr>
          <w:p w14:paraId="45DEC47C" w14:textId="77777777" w:rsidR="00492E8C" w:rsidRPr="005B31D3" w:rsidRDefault="00492E8C" w:rsidP="00492E8C">
            <w:pPr>
              <w:spacing w:after="0" w:line="240" w:lineRule="auto"/>
              <w:rPr>
                <w:rFonts w:ascii="Arial" w:eastAsia="Times New Roman" w:hAnsi="Arial" w:cs="Arial"/>
                <w:sz w:val="20"/>
                <w:szCs w:val="20"/>
              </w:rPr>
            </w:pPr>
            <w:r w:rsidRPr="005B31D3">
              <w:rPr>
                <w:rFonts w:ascii="Arial" w:eastAsia="Times New Roman" w:hAnsi="Arial" w:cs="Arial"/>
                <w:sz w:val="20"/>
                <w:szCs w:val="20"/>
              </w:rPr>
              <w:t>Elaboración e inclusión en el sistema de la Balanza de Comprobación inicial</w:t>
            </w:r>
          </w:p>
        </w:tc>
        <w:tc>
          <w:tcPr>
            <w:tcW w:w="1310" w:type="dxa"/>
            <w:tcBorders>
              <w:top w:val="nil"/>
              <w:left w:val="nil"/>
              <w:bottom w:val="single" w:sz="8" w:space="0" w:color="auto"/>
              <w:right w:val="single" w:sz="8" w:space="0" w:color="auto"/>
            </w:tcBorders>
            <w:shd w:val="clear" w:color="000000" w:fill="FFFFFF"/>
            <w:noWrap/>
            <w:hideMark/>
          </w:tcPr>
          <w:p w14:paraId="0E24ADAE" w14:textId="0F9D3690" w:rsidR="00492E8C" w:rsidRPr="005B31D3" w:rsidRDefault="006C0DEA" w:rsidP="00492E8C">
            <w:pPr>
              <w:spacing w:after="0" w:line="240" w:lineRule="auto"/>
              <w:jc w:val="center"/>
              <w:rPr>
                <w:rFonts w:ascii="Arial" w:eastAsia="Times New Roman" w:hAnsi="Arial" w:cs="Arial"/>
                <w:sz w:val="20"/>
                <w:szCs w:val="20"/>
                <w:lang w:val="en-US"/>
              </w:rPr>
            </w:pPr>
            <w:r w:rsidRPr="005B31D3">
              <w:rPr>
                <w:rFonts w:ascii="Arial" w:eastAsia="Times New Roman" w:hAnsi="Arial" w:cs="Arial"/>
                <w:sz w:val="20"/>
                <w:szCs w:val="20"/>
                <w:lang w:val="en-US"/>
              </w:rPr>
              <w:t>30/09/25</w:t>
            </w:r>
          </w:p>
        </w:tc>
      </w:tr>
    </w:tbl>
    <w:p w14:paraId="6F6DE363" w14:textId="7A3B407C" w:rsidR="00F000C2" w:rsidRPr="00EE66B3" w:rsidRDefault="00F000C2" w:rsidP="00F000C2">
      <w:pPr>
        <w:pStyle w:val="Ttulo2"/>
        <w:spacing w:after="240" w:line="240" w:lineRule="auto"/>
        <w:rPr>
          <w:rFonts w:eastAsiaTheme="minorHAnsi" w:cstheme="minorBidi"/>
          <w:color w:val="auto"/>
          <w:szCs w:val="22"/>
        </w:rPr>
      </w:pPr>
      <w:bookmarkStart w:id="88" w:name="_Toc189804802"/>
      <w:r w:rsidRPr="00EE66B3">
        <w:rPr>
          <w:color w:val="auto"/>
          <w:lang w:eastAsia="es-CR"/>
        </w:rPr>
        <w:t xml:space="preserve">Se hizo extensión a la fecha prevista esto debido a las cargas de trabajo en la institución, por tanto, no se pudo completar las actividades requeridas a la Norma </w:t>
      </w:r>
      <w:r>
        <w:rPr>
          <w:color w:val="auto"/>
          <w:lang w:val="es-MX"/>
        </w:rPr>
        <w:t>NICSP 21</w:t>
      </w:r>
      <w:bookmarkEnd w:id="88"/>
    </w:p>
    <w:p w14:paraId="5684947F" w14:textId="3741B051" w:rsidR="00653C92" w:rsidRDefault="00653C92" w:rsidP="000B404C"/>
    <w:p w14:paraId="168E576B" w14:textId="10C4E4F8" w:rsidR="0051719B" w:rsidRDefault="00653C92" w:rsidP="0051719B">
      <w:pPr>
        <w:pStyle w:val="Ttulo2"/>
        <w:spacing w:after="240"/>
      </w:pPr>
      <w:bookmarkStart w:id="89" w:name="_Toc82768883"/>
      <w:bookmarkStart w:id="90" w:name="_Toc189804803"/>
      <w:r w:rsidRPr="00653C92">
        <w:rPr>
          <w:rFonts w:eastAsia="Times New Roman"/>
          <w:lang w:eastAsia="es-CR"/>
        </w:rPr>
        <w:lastRenderedPageBreak/>
        <w:t>NICSP 22 -REVELACIÓN DE INFORMACIÓN FINANCIERA SOBRE EL SECTOR GOBIERNO CENTRAL:</w:t>
      </w:r>
      <w:bookmarkEnd w:id="89"/>
      <w:bookmarkEnd w:id="90"/>
      <w:r w:rsidR="0051719B" w:rsidRPr="00405DBC">
        <w:t xml:space="preserve"> </w:t>
      </w:r>
    </w:p>
    <w:p w14:paraId="0CF45330" w14:textId="77777777" w:rsidR="00396CB4" w:rsidRDefault="0051719B" w:rsidP="00653C92">
      <w:pPr>
        <w:rPr>
          <w:rFonts w:asciiTheme="minorHAnsi" w:hAnsiTheme="minorHAnsi"/>
          <w:sz w:val="22"/>
        </w:rPr>
      </w:pPr>
      <w:r w:rsidRPr="0051719B">
        <w:t>De acuerdo con la NICSP 22 - Revelación de información financiera sobre el sector Gobierno Central, indicar si este rubro afecta SI o NO a la institución, además del porcentaje de avance en la implementación que presenta</w:t>
      </w:r>
      <w:r>
        <w:t>.</w:t>
      </w:r>
      <w:r w:rsidR="005F4A6B">
        <w:fldChar w:fldCharType="begin"/>
      </w:r>
      <w:r w:rsidR="005F4A6B">
        <w:instrText xml:space="preserve"> LINK </w:instrText>
      </w:r>
      <w:r w:rsidR="00756467">
        <w:instrText xml:space="preserve">Excel.SheetMacroEnabled.12 "C:\\Users\\gcordero\\Downloads\\Notas diciembre 2024\\Formato_Notas_EEFF_Vinculadas_2024\\Formato_Notas_EEFF_Vinculadas_2024\\15603_T04_2024_Anexo_Estado_Notas_Contables_Vinculadas.xlsm" NICSP_22!F9C3:F10C4 </w:instrText>
      </w:r>
      <w:r w:rsidR="005F4A6B">
        <w:instrText xml:space="preserve">\a \f 4 \h </w:instrText>
      </w:r>
      <w:r w:rsidR="005F4A6B">
        <w:fldChar w:fldCharType="separate"/>
      </w:r>
    </w:p>
    <w:tbl>
      <w:tblPr>
        <w:tblW w:w="4120" w:type="dxa"/>
        <w:tblCellMar>
          <w:left w:w="70" w:type="dxa"/>
          <w:right w:w="70" w:type="dxa"/>
        </w:tblCellMar>
        <w:tblLook w:val="04A0" w:firstRow="1" w:lastRow="0" w:firstColumn="1" w:lastColumn="0" w:noHBand="0" w:noVBand="1"/>
      </w:tblPr>
      <w:tblGrid>
        <w:gridCol w:w="2340"/>
        <w:gridCol w:w="1780"/>
      </w:tblGrid>
      <w:tr w:rsidR="00396CB4" w:rsidRPr="00396CB4" w14:paraId="092D3538" w14:textId="77777777" w:rsidTr="00396CB4">
        <w:trPr>
          <w:divId w:val="142741094"/>
          <w:trHeight w:val="345"/>
        </w:trPr>
        <w:tc>
          <w:tcPr>
            <w:tcW w:w="234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5834F493" w14:textId="7F842E62" w:rsidR="00396CB4" w:rsidRPr="00396CB4" w:rsidRDefault="00396CB4" w:rsidP="00396CB4">
            <w:pPr>
              <w:rPr>
                <w:rFonts w:eastAsia="Times New Roman" w:cs="Calibri"/>
                <w:color w:val="FFFFFF"/>
                <w:szCs w:val="24"/>
                <w:lang w:eastAsia="es-CR"/>
              </w:rPr>
            </w:pPr>
            <w:r w:rsidRPr="00396CB4">
              <w:rPr>
                <w:rFonts w:eastAsia="Times New Roman" w:cs="Calibri"/>
                <w:color w:val="FFFFFF"/>
                <w:szCs w:val="24"/>
                <w:lang w:eastAsia="es-CR"/>
              </w:rPr>
              <w:t>Aplica</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97809A" w14:textId="77777777" w:rsidR="00396CB4" w:rsidRPr="00396CB4" w:rsidRDefault="00396CB4" w:rsidP="00396CB4">
            <w:pPr>
              <w:spacing w:after="0" w:line="240" w:lineRule="auto"/>
              <w:jc w:val="center"/>
              <w:rPr>
                <w:rFonts w:eastAsia="Times New Roman" w:cs="Calibri"/>
                <w:color w:val="000000"/>
                <w:sz w:val="22"/>
                <w:lang w:eastAsia="es-CR"/>
              </w:rPr>
            </w:pPr>
            <w:r w:rsidRPr="00396CB4">
              <w:rPr>
                <w:rFonts w:eastAsia="Times New Roman" w:cs="Calibri"/>
                <w:color w:val="000000"/>
                <w:sz w:val="22"/>
                <w:lang w:eastAsia="es-CR"/>
              </w:rPr>
              <w:t>No</w:t>
            </w:r>
          </w:p>
        </w:tc>
      </w:tr>
      <w:tr w:rsidR="00396CB4" w:rsidRPr="00396CB4" w14:paraId="33E1FBC3" w14:textId="77777777" w:rsidTr="00396CB4">
        <w:trPr>
          <w:divId w:val="142741094"/>
          <w:trHeight w:val="345"/>
        </w:trPr>
        <w:tc>
          <w:tcPr>
            <w:tcW w:w="2340" w:type="dxa"/>
            <w:tcBorders>
              <w:top w:val="nil"/>
              <w:left w:val="single" w:sz="8" w:space="0" w:color="auto"/>
              <w:bottom w:val="single" w:sz="8" w:space="0" w:color="auto"/>
              <w:right w:val="single" w:sz="8" w:space="0" w:color="auto"/>
            </w:tcBorders>
            <w:shd w:val="clear" w:color="000000" w:fill="17365D"/>
            <w:vAlign w:val="center"/>
            <w:hideMark/>
          </w:tcPr>
          <w:p w14:paraId="265F4B56" w14:textId="77777777" w:rsidR="00396CB4" w:rsidRPr="00396CB4" w:rsidRDefault="00396CB4" w:rsidP="00396CB4">
            <w:pPr>
              <w:spacing w:after="0" w:line="240" w:lineRule="auto"/>
              <w:jc w:val="left"/>
              <w:rPr>
                <w:rFonts w:eastAsia="Times New Roman" w:cs="Calibri"/>
                <w:color w:val="FFFFFF"/>
                <w:szCs w:val="24"/>
                <w:lang w:eastAsia="es-CR"/>
              </w:rPr>
            </w:pPr>
            <w:proofErr w:type="spellStart"/>
            <w:r w:rsidRPr="00396CB4">
              <w:rPr>
                <w:rFonts w:eastAsia="Times New Roman" w:cs="Calibri"/>
                <w:color w:val="FFFFFF"/>
                <w:szCs w:val="24"/>
                <w:lang w:eastAsia="es-CR"/>
              </w:rPr>
              <w:t>Porcentaje_Avance</w:t>
            </w:r>
            <w:proofErr w:type="spellEnd"/>
          </w:p>
        </w:tc>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30D9F03C" w14:textId="77777777" w:rsidR="00396CB4" w:rsidRPr="00396CB4" w:rsidRDefault="00396CB4" w:rsidP="00396CB4">
            <w:pPr>
              <w:spacing w:after="0" w:line="240" w:lineRule="auto"/>
              <w:jc w:val="center"/>
              <w:rPr>
                <w:rFonts w:eastAsia="Times New Roman" w:cs="Calibri"/>
                <w:color w:val="000000"/>
                <w:sz w:val="22"/>
                <w:lang w:eastAsia="es-CR"/>
              </w:rPr>
            </w:pPr>
            <w:r w:rsidRPr="00396CB4">
              <w:rPr>
                <w:rFonts w:eastAsia="Times New Roman" w:cs="Calibri"/>
                <w:color w:val="000000"/>
                <w:sz w:val="22"/>
                <w:lang w:eastAsia="es-CR"/>
              </w:rPr>
              <w:t> </w:t>
            </w:r>
          </w:p>
        </w:tc>
      </w:tr>
    </w:tbl>
    <w:p w14:paraId="418F6F3B" w14:textId="0F40CE2A" w:rsidR="00653C92" w:rsidRDefault="005F4A6B" w:rsidP="00653C92">
      <w:r>
        <w:fldChar w:fldCharType="end"/>
      </w:r>
    </w:p>
    <w:p w14:paraId="436088E0" w14:textId="77777777" w:rsidR="00E80180" w:rsidRPr="003516A2" w:rsidRDefault="00E80180" w:rsidP="00E80180">
      <w:pPr>
        <w:spacing w:line="240" w:lineRule="auto"/>
        <w:rPr>
          <w:b/>
          <w:color w:val="FFFFFF" w:themeColor="background1"/>
          <w:highlight w:val="darkBlue"/>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r>
        <w:rPr>
          <w:lang w:val="es-MX"/>
        </w:rPr>
        <w:t>________________________________________________________________________________________________________________________________________________________________</w:t>
      </w:r>
    </w:p>
    <w:p w14:paraId="696FC892" w14:textId="77777777" w:rsidR="00E80180" w:rsidRDefault="00E80180" w:rsidP="00E80180">
      <w:pPr>
        <w:spacing w:line="240" w:lineRule="auto"/>
        <w:rPr>
          <w:b/>
          <w:u w:val="single"/>
        </w:rPr>
      </w:pPr>
    </w:p>
    <w:p w14:paraId="006E8905" w14:textId="77777777" w:rsidR="00E80180" w:rsidRPr="003516A2" w:rsidRDefault="00E80180" w:rsidP="00E80180">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2B8B4196" w14:textId="77777777" w:rsidR="00E80180" w:rsidRPr="002007F6" w:rsidRDefault="00E80180" w:rsidP="00E80180">
      <w:pPr>
        <w:rPr>
          <w:lang w:val="es-MX"/>
        </w:rPr>
      </w:pPr>
      <w:r>
        <w:rPr>
          <w:lang w:val="es-MX"/>
        </w:rPr>
        <w:t>________________________________________________________________________________________________________________________________________________________________</w:t>
      </w:r>
    </w:p>
    <w:p w14:paraId="1B096F2A" w14:textId="64948D76" w:rsidR="00653C92" w:rsidRPr="00653C92" w:rsidRDefault="00653C92" w:rsidP="00653C92">
      <w:pPr>
        <w:rPr>
          <w:b/>
          <w:u w:val="single"/>
          <w:lang w:val="es-MX"/>
        </w:rPr>
      </w:pPr>
      <w:r w:rsidRPr="00E80180">
        <w:rPr>
          <w:b/>
          <w:color w:val="FFFFFF" w:themeColor="background1"/>
          <w:highlight w:val="darkBlue"/>
          <w:u w:val="single"/>
        </w:rPr>
        <w:t>Revelación Suficiente:</w:t>
      </w:r>
      <w:r w:rsidRPr="00653C92">
        <w:rPr>
          <w:b/>
          <w:u w:val="single"/>
          <w:lang w:val="es-MX"/>
        </w:rPr>
        <w:t xml:space="preserve"> </w:t>
      </w:r>
      <w:r w:rsidR="00482942">
        <w:rPr>
          <w:b/>
          <w:u w:val="single"/>
        </w:rPr>
        <w:t xml:space="preserve">El ente debe revelar y cumplir </w:t>
      </w:r>
      <w:r w:rsidRPr="00653C92">
        <w:rPr>
          <w:b/>
          <w:u w:val="single"/>
        </w:rPr>
        <w:t xml:space="preserve">con lo estipulado en revelación </w:t>
      </w:r>
      <w:r w:rsidR="00482942">
        <w:rPr>
          <w:b/>
          <w:u w:val="single"/>
        </w:rPr>
        <w:t>conforme</w:t>
      </w:r>
      <w:r w:rsidRPr="00653C92">
        <w:rPr>
          <w:b/>
          <w:u w:val="single"/>
        </w:rPr>
        <w:t xml:space="preserve"> a la NICSP, también debe considerar la política general y los párrafos incluidos en la matriz de autoevaluación referente a esta NICSP y guías de aplicación</w:t>
      </w:r>
      <w:r w:rsidRPr="00653C92">
        <w:rPr>
          <w:b/>
          <w:u w:val="single"/>
          <w:lang w:val="es-MX"/>
        </w:rPr>
        <w:t xml:space="preserve"> (ver GA NICSP 22).</w:t>
      </w:r>
    </w:p>
    <w:p w14:paraId="4B961B9A" w14:textId="77777777" w:rsidR="00653C92" w:rsidRPr="00653C92" w:rsidRDefault="00653C92" w:rsidP="00653C92">
      <w:pPr>
        <w:rPr>
          <w:lang w:eastAsia="es-CR"/>
        </w:rPr>
      </w:pPr>
      <w:r w:rsidRPr="00653C92">
        <w:rPr>
          <w:lang w:eastAsia="es-CR"/>
        </w:rPr>
        <w:t>________________________________________________________________________________________________________________________________________________________________</w:t>
      </w:r>
    </w:p>
    <w:p w14:paraId="58ADC2A1" w14:textId="77777777" w:rsidR="00653C92" w:rsidRPr="00653C92" w:rsidRDefault="00653C92" w:rsidP="00653C92">
      <w:pPr>
        <w:rPr>
          <w:lang w:eastAsia="es-CR"/>
        </w:rPr>
      </w:pPr>
      <w:r w:rsidRPr="00653C92">
        <w:rPr>
          <w:lang w:eastAsia="es-CR"/>
        </w:rPr>
        <w:t>________________________________________________________________________________________________________________________________________________________________</w:t>
      </w:r>
    </w:p>
    <w:p w14:paraId="6E15E7A5" w14:textId="53FA6357" w:rsidR="00653C92" w:rsidRDefault="00653C92" w:rsidP="000B404C"/>
    <w:p w14:paraId="47C1EC94" w14:textId="51D04C5E" w:rsidR="00653C92" w:rsidRPr="00A649A4" w:rsidRDefault="00AB6161" w:rsidP="00A649A4">
      <w:pPr>
        <w:pStyle w:val="Ttulo2"/>
        <w:spacing w:after="240"/>
        <w:rPr>
          <w:rFonts w:eastAsia="Times New Roman"/>
          <w:lang w:eastAsia="es-CR"/>
        </w:rPr>
      </w:pPr>
      <w:bookmarkStart w:id="91" w:name="_Toc82768884"/>
      <w:bookmarkStart w:id="92" w:name="_Toc189804804"/>
      <w:r w:rsidRPr="00653C92">
        <w:rPr>
          <w:rFonts w:eastAsia="Times New Roman"/>
          <w:lang w:eastAsia="es-CR"/>
        </w:rPr>
        <w:t>NICSP 23- INGRESOS DE TRANSACCIONES SIN CONTRAPRESTACIÓN (IMPUESTOS Y TRANSFERENCIAS) (DE APLICACIÓN OBLIGATORIA):</w:t>
      </w:r>
      <w:bookmarkEnd w:id="91"/>
      <w:bookmarkEnd w:id="92"/>
    </w:p>
    <w:p w14:paraId="2C031C1F" w14:textId="3657C898" w:rsidR="001F474F" w:rsidRDefault="00AB6161" w:rsidP="008F4061">
      <w:r w:rsidRPr="00FB0858">
        <w:t xml:space="preserve">De acuerdo con la </w:t>
      </w:r>
      <w:r w:rsidRPr="000B404C">
        <w:t xml:space="preserve">De acuerdo con la </w:t>
      </w:r>
      <w:r w:rsidRPr="00AB6161">
        <w:t xml:space="preserve">NICSP 23- Ingresos </w:t>
      </w:r>
      <w:r>
        <w:t>d</w:t>
      </w:r>
      <w:r w:rsidRPr="00AB6161">
        <w:t>e Transacciones Sin Contraprestación</w:t>
      </w:r>
      <w:r>
        <w:t xml:space="preserve">, indicar si este rubro afecta SI o NO a la institución, </w:t>
      </w:r>
      <w:r w:rsidRPr="00405DBC">
        <w:t>además del porcentaje de avance</w:t>
      </w:r>
      <w:r>
        <w:t xml:space="preserve"> en la implementación</w:t>
      </w:r>
      <w:r w:rsidRPr="00405DBC">
        <w:t xml:space="preserve"> que presenta</w:t>
      </w:r>
      <w:r>
        <w:t>.</w:t>
      </w:r>
      <w:r w:rsidR="001F474F">
        <w:t xml:space="preserve"> </w:t>
      </w:r>
    </w:p>
    <w:tbl>
      <w:tblPr>
        <w:tblW w:w="4080" w:type="dxa"/>
        <w:tblCellMar>
          <w:left w:w="70" w:type="dxa"/>
          <w:right w:w="70" w:type="dxa"/>
        </w:tblCellMar>
        <w:tblLook w:val="04A0" w:firstRow="1" w:lastRow="0" w:firstColumn="1" w:lastColumn="0" w:noHBand="0" w:noVBand="1"/>
      </w:tblPr>
      <w:tblGrid>
        <w:gridCol w:w="2480"/>
        <w:gridCol w:w="1600"/>
      </w:tblGrid>
      <w:tr w:rsidR="001F474F" w:rsidRPr="001F474F" w14:paraId="739D6ED5" w14:textId="77777777" w:rsidTr="001F474F">
        <w:trPr>
          <w:trHeight w:val="345"/>
        </w:trPr>
        <w:tc>
          <w:tcPr>
            <w:tcW w:w="248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0E5A89D6" w14:textId="77777777" w:rsidR="001F474F" w:rsidRPr="001F474F" w:rsidRDefault="001F474F" w:rsidP="001F474F">
            <w:pPr>
              <w:spacing w:after="0" w:line="240" w:lineRule="auto"/>
              <w:jc w:val="left"/>
              <w:rPr>
                <w:rFonts w:eastAsia="Times New Roman" w:cs="Calibri"/>
                <w:color w:val="FFFFFF"/>
                <w:szCs w:val="24"/>
                <w:lang w:eastAsia="es-CR"/>
              </w:rPr>
            </w:pPr>
            <w:r w:rsidRPr="001F474F">
              <w:rPr>
                <w:rFonts w:eastAsia="Times New Roman" w:cs="Calibri"/>
                <w:color w:val="FFFFFF"/>
                <w:szCs w:val="24"/>
                <w:lang w:eastAsia="es-CR"/>
              </w:rPr>
              <w:lastRenderedPageBreak/>
              <w:t>Aplica</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668F8A" w14:textId="77777777" w:rsidR="001F474F" w:rsidRPr="001F474F" w:rsidRDefault="001F474F" w:rsidP="001F474F">
            <w:pPr>
              <w:spacing w:after="0" w:line="240" w:lineRule="auto"/>
              <w:jc w:val="center"/>
              <w:rPr>
                <w:rFonts w:eastAsia="Times New Roman" w:cs="Calibri"/>
                <w:color w:val="000000"/>
                <w:sz w:val="22"/>
                <w:lang w:eastAsia="es-CR"/>
              </w:rPr>
            </w:pPr>
            <w:r w:rsidRPr="001F474F">
              <w:rPr>
                <w:rFonts w:eastAsia="Times New Roman" w:cs="Calibri"/>
                <w:color w:val="000000"/>
                <w:sz w:val="22"/>
                <w:lang w:eastAsia="es-CR"/>
              </w:rPr>
              <w:t>Si</w:t>
            </w:r>
          </w:p>
        </w:tc>
      </w:tr>
      <w:tr w:rsidR="001F474F" w:rsidRPr="001F474F" w14:paraId="114369B2" w14:textId="77777777" w:rsidTr="001F474F">
        <w:trPr>
          <w:trHeight w:val="345"/>
        </w:trPr>
        <w:tc>
          <w:tcPr>
            <w:tcW w:w="2480" w:type="dxa"/>
            <w:tcBorders>
              <w:top w:val="nil"/>
              <w:left w:val="single" w:sz="8" w:space="0" w:color="auto"/>
              <w:bottom w:val="single" w:sz="8" w:space="0" w:color="auto"/>
              <w:right w:val="single" w:sz="8" w:space="0" w:color="auto"/>
            </w:tcBorders>
            <w:shd w:val="clear" w:color="000000" w:fill="17365D"/>
            <w:vAlign w:val="center"/>
            <w:hideMark/>
          </w:tcPr>
          <w:p w14:paraId="79B1C914" w14:textId="77777777" w:rsidR="001F474F" w:rsidRPr="001F474F" w:rsidRDefault="001F474F" w:rsidP="001F474F">
            <w:pPr>
              <w:spacing w:after="0" w:line="240" w:lineRule="auto"/>
              <w:jc w:val="left"/>
              <w:rPr>
                <w:rFonts w:eastAsia="Times New Roman" w:cs="Calibri"/>
                <w:color w:val="FFFFFF"/>
                <w:szCs w:val="24"/>
                <w:lang w:eastAsia="es-CR"/>
              </w:rPr>
            </w:pPr>
            <w:proofErr w:type="spellStart"/>
            <w:r w:rsidRPr="001F474F">
              <w:rPr>
                <w:rFonts w:eastAsia="Times New Roman" w:cs="Calibri"/>
                <w:color w:val="FFFFFF"/>
                <w:szCs w:val="24"/>
                <w:lang w:eastAsia="es-CR"/>
              </w:rPr>
              <w:t>Porcentaje_Avance</w:t>
            </w:r>
            <w:proofErr w:type="spellEnd"/>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347BED17" w14:textId="77777777" w:rsidR="001F474F" w:rsidRPr="001F474F" w:rsidRDefault="001F474F" w:rsidP="001F474F">
            <w:pPr>
              <w:spacing w:after="0" w:line="240" w:lineRule="auto"/>
              <w:jc w:val="center"/>
              <w:rPr>
                <w:rFonts w:eastAsia="Times New Roman" w:cs="Calibri"/>
                <w:color w:val="000000"/>
                <w:sz w:val="22"/>
                <w:lang w:eastAsia="es-CR"/>
              </w:rPr>
            </w:pPr>
            <w:r w:rsidRPr="001F474F">
              <w:rPr>
                <w:rFonts w:eastAsia="Times New Roman" w:cs="Calibri"/>
                <w:color w:val="000000"/>
                <w:sz w:val="22"/>
                <w:lang w:eastAsia="es-CR"/>
              </w:rPr>
              <w:t>98,24%</w:t>
            </w:r>
          </w:p>
        </w:tc>
      </w:tr>
    </w:tbl>
    <w:p w14:paraId="503BCE93" w14:textId="684B4E2E" w:rsidR="00D67331" w:rsidRPr="00A649A4" w:rsidRDefault="001D0A81" w:rsidP="008F4061">
      <w:pPr>
        <w:rPr>
          <w:b/>
          <w:sz w:val="16"/>
          <w:szCs w:val="16"/>
          <w:lang w:eastAsia="es-CR"/>
        </w:rPr>
      </w:pPr>
      <w:r>
        <w:t xml:space="preserve">                                 </w:t>
      </w:r>
      <w:r w:rsidR="00AB6161" w:rsidRPr="00C35565">
        <w:rPr>
          <w:b/>
          <w:sz w:val="16"/>
          <w:szCs w:val="16"/>
          <w:lang w:eastAsia="es-CR"/>
        </w:rPr>
        <w:t>-Aplicación Obligatoria-</w:t>
      </w:r>
    </w:p>
    <w:p w14:paraId="2C5ED906" w14:textId="77777777" w:rsidR="00AB6161" w:rsidRPr="00AB6161" w:rsidRDefault="00AB6161" w:rsidP="00AB6161">
      <w:r w:rsidRPr="00AB6161">
        <w:t>El responsable contable debe analizar el tratamiento necesario:</w:t>
      </w:r>
    </w:p>
    <w:p w14:paraId="7132E4DD" w14:textId="4B82F6F4" w:rsidR="001F474F" w:rsidRDefault="00AB6161" w:rsidP="000B404C">
      <w:r w:rsidRPr="00AB6161">
        <w:t>Describir los tiempos del devengo en los principales ingresos de transacciones sin contraprestación</w:t>
      </w:r>
      <w:r w:rsidR="001F474F">
        <w:t>.</w:t>
      </w:r>
    </w:p>
    <w:p w14:paraId="3CE1A6C1" w14:textId="21D973C1" w:rsidR="00396CB4" w:rsidRPr="00396CB4" w:rsidRDefault="008F4061" w:rsidP="000B404C">
      <w:r>
        <w:fldChar w:fldCharType="begin"/>
      </w:r>
      <w:r>
        <w:instrText xml:space="preserve"> LINK </w:instrText>
      </w:r>
      <w:r w:rsidR="00756467">
        <w:instrText xml:space="preserve">Excel.SheetMacroEnabled.12 "C:\\Users\\gcordero\\Downloads\\Notas diciembre 2024\\Formato_Notas_EEFF_Vinculadas_2024\\Formato_Notas_EEFF_Vinculadas_2024\\15603_T04_2024_Anexo_Estado_Notas_Contables_Vinculadas.xlsm" NICSP_23!F12C6:F21C7 </w:instrText>
      </w:r>
      <w:r>
        <w:instrText xml:space="preserve">\a \f 4 \h  \* MERGEFORMAT </w:instrText>
      </w:r>
      <w:r>
        <w:fldChar w:fldCharType="separate"/>
      </w:r>
    </w:p>
    <w:tbl>
      <w:tblPr>
        <w:tblW w:w="7732" w:type="dxa"/>
        <w:jc w:val="center"/>
        <w:tblCellMar>
          <w:left w:w="70" w:type="dxa"/>
          <w:right w:w="70" w:type="dxa"/>
        </w:tblCellMar>
        <w:tblLook w:val="04A0" w:firstRow="1" w:lastRow="0" w:firstColumn="1" w:lastColumn="0" w:noHBand="0" w:noVBand="1"/>
      </w:tblPr>
      <w:tblGrid>
        <w:gridCol w:w="3866"/>
        <w:gridCol w:w="3866"/>
      </w:tblGrid>
      <w:tr w:rsidR="00396CB4" w:rsidRPr="00396CB4" w14:paraId="56BA6D63" w14:textId="77777777" w:rsidTr="00396CB4">
        <w:trPr>
          <w:divId w:val="997881542"/>
          <w:trHeight w:val="249"/>
          <w:jc w:val="center"/>
        </w:trPr>
        <w:tc>
          <w:tcPr>
            <w:tcW w:w="3866" w:type="dxa"/>
            <w:tcBorders>
              <w:top w:val="single" w:sz="8" w:space="0" w:color="auto"/>
              <w:left w:val="single" w:sz="8" w:space="0" w:color="auto"/>
              <w:bottom w:val="nil"/>
              <w:right w:val="single" w:sz="8" w:space="0" w:color="auto"/>
            </w:tcBorders>
            <w:shd w:val="clear" w:color="000000" w:fill="1F3864"/>
            <w:noWrap/>
            <w:vAlign w:val="center"/>
            <w:hideMark/>
          </w:tcPr>
          <w:p w14:paraId="34C1BA4F" w14:textId="15CEE2DB" w:rsidR="00396CB4" w:rsidRPr="00396CB4" w:rsidRDefault="00396CB4" w:rsidP="00396CB4">
            <w:pPr>
              <w:spacing w:after="0" w:line="240" w:lineRule="auto"/>
              <w:jc w:val="center"/>
              <w:rPr>
                <w:rFonts w:eastAsia="Times New Roman" w:cs="Calibri"/>
                <w:color w:val="FFFFFF"/>
                <w:sz w:val="22"/>
                <w:lang w:eastAsia="es-CR"/>
              </w:rPr>
            </w:pPr>
            <w:r w:rsidRPr="00396CB4">
              <w:rPr>
                <w:rFonts w:eastAsia="Times New Roman" w:cs="Calibri"/>
                <w:color w:val="FFFFFF"/>
                <w:sz w:val="22"/>
                <w:lang w:eastAsia="es-CR"/>
              </w:rPr>
              <w:t>TIPO DE INGRESO</w:t>
            </w:r>
          </w:p>
        </w:tc>
        <w:tc>
          <w:tcPr>
            <w:tcW w:w="3866" w:type="dxa"/>
            <w:tcBorders>
              <w:top w:val="single" w:sz="8" w:space="0" w:color="auto"/>
              <w:left w:val="nil"/>
              <w:bottom w:val="nil"/>
              <w:right w:val="single" w:sz="8" w:space="0" w:color="auto"/>
            </w:tcBorders>
            <w:shd w:val="clear" w:color="000000" w:fill="1F3864"/>
            <w:noWrap/>
            <w:vAlign w:val="center"/>
            <w:hideMark/>
          </w:tcPr>
          <w:p w14:paraId="071549BC" w14:textId="77777777" w:rsidR="00396CB4" w:rsidRPr="00396CB4" w:rsidRDefault="00396CB4" w:rsidP="00396CB4">
            <w:pPr>
              <w:spacing w:after="0" w:line="240" w:lineRule="auto"/>
              <w:jc w:val="center"/>
              <w:rPr>
                <w:rFonts w:eastAsia="Times New Roman" w:cs="Calibri"/>
                <w:color w:val="FFFFFF"/>
                <w:sz w:val="22"/>
                <w:lang w:eastAsia="es-CR"/>
              </w:rPr>
            </w:pPr>
            <w:r w:rsidRPr="00396CB4">
              <w:rPr>
                <w:rFonts w:eastAsia="Times New Roman" w:cs="Calibri"/>
                <w:color w:val="FFFFFF"/>
                <w:sz w:val="22"/>
                <w:lang w:eastAsia="es-CR"/>
              </w:rPr>
              <w:t>TIEMPOS DEL DEVENGO:</w:t>
            </w:r>
          </w:p>
        </w:tc>
      </w:tr>
      <w:tr w:rsidR="00396CB4" w:rsidRPr="00396CB4" w14:paraId="7905EAC8" w14:textId="77777777" w:rsidTr="00396CB4">
        <w:trPr>
          <w:divId w:val="997881542"/>
          <w:trHeight w:val="249"/>
          <w:jc w:val="center"/>
        </w:trPr>
        <w:tc>
          <w:tcPr>
            <w:tcW w:w="3866"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490362BB" w14:textId="77777777" w:rsidR="00396CB4" w:rsidRPr="00396CB4" w:rsidRDefault="00396CB4" w:rsidP="00396CB4">
            <w:pPr>
              <w:spacing w:after="0" w:line="240" w:lineRule="auto"/>
              <w:jc w:val="left"/>
              <w:rPr>
                <w:rFonts w:eastAsia="Times New Roman" w:cs="Calibri"/>
                <w:color w:val="FFFFFF"/>
                <w:sz w:val="22"/>
                <w:lang w:eastAsia="es-CR"/>
              </w:rPr>
            </w:pPr>
            <w:r w:rsidRPr="00396CB4">
              <w:rPr>
                <w:rFonts w:eastAsia="Times New Roman" w:cs="Calibri"/>
                <w:color w:val="FFFFFF"/>
                <w:sz w:val="22"/>
                <w:lang w:eastAsia="es-CR"/>
              </w:rPr>
              <w:t>Impuesto sobre bienes inmuebles</w:t>
            </w:r>
          </w:p>
        </w:tc>
        <w:tc>
          <w:tcPr>
            <w:tcW w:w="3866" w:type="dxa"/>
            <w:tcBorders>
              <w:top w:val="single" w:sz="8" w:space="0" w:color="auto"/>
              <w:left w:val="nil"/>
              <w:bottom w:val="single" w:sz="8" w:space="0" w:color="auto"/>
              <w:right w:val="single" w:sz="8" w:space="0" w:color="auto"/>
            </w:tcBorders>
            <w:shd w:val="clear" w:color="auto" w:fill="auto"/>
            <w:noWrap/>
            <w:vAlign w:val="center"/>
            <w:hideMark/>
          </w:tcPr>
          <w:p w14:paraId="21EF6BC3" w14:textId="7985EF29"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xml:space="preserve">Trimestre adelantado (marzo, junio, </w:t>
            </w:r>
            <w:r w:rsidR="00D64CF8">
              <w:rPr>
                <w:rFonts w:eastAsia="Times New Roman" w:cs="Calibri"/>
                <w:color w:val="000000"/>
                <w:sz w:val="22"/>
                <w:lang w:eastAsia="es-CR"/>
              </w:rPr>
              <w:t>diciembre</w:t>
            </w:r>
            <w:r w:rsidRPr="00396CB4">
              <w:rPr>
                <w:rFonts w:eastAsia="Times New Roman" w:cs="Calibri"/>
                <w:color w:val="000000"/>
                <w:sz w:val="22"/>
                <w:lang w:eastAsia="es-CR"/>
              </w:rPr>
              <w:t xml:space="preserve"> y diciembre)</w:t>
            </w:r>
          </w:p>
        </w:tc>
      </w:tr>
      <w:tr w:rsidR="00396CB4" w:rsidRPr="00396CB4" w14:paraId="031DD12A" w14:textId="77777777" w:rsidTr="00396CB4">
        <w:trPr>
          <w:divId w:val="997881542"/>
          <w:trHeight w:val="249"/>
          <w:jc w:val="center"/>
        </w:trPr>
        <w:tc>
          <w:tcPr>
            <w:tcW w:w="3866" w:type="dxa"/>
            <w:tcBorders>
              <w:top w:val="nil"/>
              <w:left w:val="single" w:sz="8" w:space="0" w:color="auto"/>
              <w:bottom w:val="single" w:sz="8" w:space="0" w:color="auto"/>
              <w:right w:val="single" w:sz="8" w:space="0" w:color="auto"/>
            </w:tcBorders>
            <w:shd w:val="clear" w:color="000000" w:fill="1F3864"/>
            <w:noWrap/>
            <w:vAlign w:val="center"/>
            <w:hideMark/>
          </w:tcPr>
          <w:p w14:paraId="730CFDC7" w14:textId="77777777" w:rsidR="00396CB4" w:rsidRPr="00396CB4" w:rsidRDefault="00396CB4" w:rsidP="00396CB4">
            <w:pPr>
              <w:spacing w:after="0" w:line="240" w:lineRule="auto"/>
              <w:jc w:val="left"/>
              <w:rPr>
                <w:rFonts w:eastAsia="Times New Roman" w:cs="Calibri"/>
                <w:color w:val="FFFFFF"/>
                <w:sz w:val="22"/>
                <w:lang w:eastAsia="es-CR"/>
              </w:rPr>
            </w:pPr>
            <w:r w:rsidRPr="00396CB4">
              <w:rPr>
                <w:rFonts w:eastAsia="Times New Roman" w:cs="Calibri"/>
                <w:color w:val="FFFFFF"/>
                <w:sz w:val="22"/>
                <w:lang w:eastAsia="es-CR"/>
              </w:rPr>
              <w:t>Impuestos específicos sobre la producción y consumo de bienes</w:t>
            </w:r>
          </w:p>
        </w:tc>
        <w:tc>
          <w:tcPr>
            <w:tcW w:w="3866" w:type="dxa"/>
            <w:tcBorders>
              <w:top w:val="nil"/>
              <w:left w:val="nil"/>
              <w:bottom w:val="single" w:sz="8" w:space="0" w:color="auto"/>
              <w:right w:val="single" w:sz="8" w:space="0" w:color="auto"/>
            </w:tcBorders>
            <w:shd w:val="clear" w:color="auto" w:fill="auto"/>
            <w:vAlign w:val="center"/>
            <w:hideMark/>
          </w:tcPr>
          <w:p w14:paraId="5470B6B3" w14:textId="3E6AEFBD"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xml:space="preserve">Trimestre adelantado </w:t>
            </w:r>
            <w:r w:rsidR="00251F8D" w:rsidRPr="00396CB4">
              <w:rPr>
                <w:rFonts w:eastAsia="Times New Roman" w:cs="Calibri"/>
                <w:color w:val="000000"/>
                <w:sz w:val="22"/>
                <w:lang w:eastAsia="es-CR"/>
              </w:rPr>
              <w:t>los impuestos</w:t>
            </w:r>
            <w:r w:rsidRPr="00396CB4">
              <w:rPr>
                <w:rFonts w:eastAsia="Times New Roman" w:cs="Calibri"/>
                <w:color w:val="000000"/>
                <w:sz w:val="22"/>
                <w:lang w:eastAsia="es-CR"/>
              </w:rPr>
              <w:t xml:space="preserve"> de patentes comerciales y licores (marzo, junio, </w:t>
            </w:r>
            <w:r w:rsidR="00D64CF8">
              <w:rPr>
                <w:rFonts w:eastAsia="Times New Roman" w:cs="Calibri"/>
                <w:color w:val="000000"/>
                <w:sz w:val="22"/>
                <w:lang w:eastAsia="es-CR"/>
              </w:rPr>
              <w:t>diciembre</w:t>
            </w:r>
            <w:r w:rsidRPr="00396CB4">
              <w:rPr>
                <w:rFonts w:eastAsia="Times New Roman" w:cs="Calibri"/>
                <w:color w:val="000000"/>
                <w:sz w:val="22"/>
                <w:lang w:eastAsia="es-CR"/>
              </w:rPr>
              <w:t xml:space="preserve"> y enero)</w:t>
            </w:r>
          </w:p>
        </w:tc>
      </w:tr>
      <w:tr w:rsidR="00396CB4" w:rsidRPr="00396CB4" w14:paraId="5E4409F8" w14:textId="77777777" w:rsidTr="00396CB4">
        <w:trPr>
          <w:divId w:val="997881542"/>
          <w:trHeight w:val="249"/>
          <w:jc w:val="center"/>
        </w:trPr>
        <w:tc>
          <w:tcPr>
            <w:tcW w:w="3866" w:type="dxa"/>
            <w:tcBorders>
              <w:top w:val="nil"/>
              <w:left w:val="single" w:sz="8" w:space="0" w:color="auto"/>
              <w:bottom w:val="single" w:sz="8" w:space="0" w:color="auto"/>
              <w:right w:val="single" w:sz="8" w:space="0" w:color="auto"/>
            </w:tcBorders>
            <w:shd w:val="clear" w:color="000000" w:fill="1F3864"/>
            <w:noWrap/>
            <w:vAlign w:val="center"/>
            <w:hideMark/>
          </w:tcPr>
          <w:p w14:paraId="29EDED75" w14:textId="77777777" w:rsidR="00396CB4" w:rsidRPr="00396CB4" w:rsidRDefault="00396CB4" w:rsidP="00396CB4">
            <w:pPr>
              <w:spacing w:after="0" w:line="240" w:lineRule="auto"/>
              <w:jc w:val="left"/>
              <w:rPr>
                <w:rFonts w:eastAsia="Times New Roman" w:cs="Calibri"/>
                <w:color w:val="FFFFFF"/>
                <w:sz w:val="22"/>
                <w:lang w:eastAsia="es-CR"/>
              </w:rPr>
            </w:pPr>
            <w:r w:rsidRPr="00396CB4">
              <w:rPr>
                <w:rFonts w:eastAsia="Times New Roman" w:cs="Calibri"/>
                <w:color w:val="FFFFFF"/>
                <w:sz w:val="22"/>
                <w:lang w:eastAsia="es-CR"/>
              </w:rPr>
              <w:t> </w:t>
            </w:r>
          </w:p>
        </w:tc>
        <w:tc>
          <w:tcPr>
            <w:tcW w:w="3866" w:type="dxa"/>
            <w:tcBorders>
              <w:top w:val="nil"/>
              <w:left w:val="nil"/>
              <w:bottom w:val="single" w:sz="8" w:space="0" w:color="auto"/>
              <w:right w:val="single" w:sz="8" w:space="0" w:color="auto"/>
            </w:tcBorders>
            <w:shd w:val="clear" w:color="auto" w:fill="auto"/>
            <w:vAlign w:val="center"/>
            <w:hideMark/>
          </w:tcPr>
          <w:p w14:paraId="27BB7A00"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Al momento de darse el hecho generador (impuesto permisos de construcción)</w:t>
            </w:r>
          </w:p>
        </w:tc>
      </w:tr>
      <w:tr w:rsidR="00396CB4" w:rsidRPr="00396CB4" w14:paraId="53397339" w14:textId="77777777" w:rsidTr="00396CB4">
        <w:trPr>
          <w:divId w:val="997881542"/>
          <w:trHeight w:val="249"/>
          <w:jc w:val="center"/>
        </w:trPr>
        <w:tc>
          <w:tcPr>
            <w:tcW w:w="3866" w:type="dxa"/>
            <w:tcBorders>
              <w:top w:val="nil"/>
              <w:left w:val="single" w:sz="8" w:space="0" w:color="auto"/>
              <w:bottom w:val="single" w:sz="8" w:space="0" w:color="auto"/>
              <w:right w:val="single" w:sz="8" w:space="0" w:color="auto"/>
            </w:tcBorders>
            <w:shd w:val="clear" w:color="000000" w:fill="1F3864"/>
            <w:noWrap/>
            <w:vAlign w:val="center"/>
            <w:hideMark/>
          </w:tcPr>
          <w:p w14:paraId="733F633B" w14:textId="77777777" w:rsidR="00396CB4" w:rsidRPr="00396CB4" w:rsidRDefault="00396CB4" w:rsidP="00396CB4">
            <w:pPr>
              <w:spacing w:after="0" w:line="240" w:lineRule="auto"/>
              <w:jc w:val="left"/>
              <w:rPr>
                <w:rFonts w:eastAsia="Times New Roman" w:cs="Calibri"/>
                <w:color w:val="FFFFFF"/>
                <w:sz w:val="22"/>
                <w:lang w:eastAsia="es-CR"/>
              </w:rPr>
            </w:pPr>
            <w:r w:rsidRPr="00396CB4">
              <w:rPr>
                <w:rFonts w:eastAsia="Times New Roman" w:cs="Calibri"/>
                <w:color w:val="FFFFFF"/>
                <w:sz w:val="22"/>
                <w:lang w:eastAsia="es-CR"/>
              </w:rPr>
              <w:t>Transferencias corrientes</w:t>
            </w:r>
          </w:p>
        </w:tc>
        <w:tc>
          <w:tcPr>
            <w:tcW w:w="3866" w:type="dxa"/>
            <w:tcBorders>
              <w:top w:val="nil"/>
              <w:left w:val="nil"/>
              <w:bottom w:val="single" w:sz="8" w:space="0" w:color="auto"/>
              <w:right w:val="single" w:sz="8" w:space="0" w:color="auto"/>
            </w:tcBorders>
            <w:shd w:val="clear" w:color="auto" w:fill="auto"/>
            <w:noWrap/>
            <w:vAlign w:val="center"/>
            <w:hideMark/>
          </w:tcPr>
          <w:p w14:paraId="61CEBD1A"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Asignación presupuestaria del ente concedente.</w:t>
            </w:r>
          </w:p>
        </w:tc>
      </w:tr>
      <w:tr w:rsidR="00396CB4" w:rsidRPr="00396CB4" w14:paraId="11760AA2" w14:textId="77777777" w:rsidTr="00396CB4">
        <w:trPr>
          <w:divId w:val="997881542"/>
          <w:trHeight w:val="249"/>
          <w:jc w:val="center"/>
        </w:trPr>
        <w:tc>
          <w:tcPr>
            <w:tcW w:w="3866" w:type="dxa"/>
            <w:tcBorders>
              <w:top w:val="nil"/>
              <w:left w:val="single" w:sz="8" w:space="0" w:color="auto"/>
              <w:bottom w:val="single" w:sz="8" w:space="0" w:color="auto"/>
              <w:right w:val="single" w:sz="8" w:space="0" w:color="auto"/>
            </w:tcBorders>
            <w:shd w:val="clear" w:color="000000" w:fill="1F3864"/>
            <w:noWrap/>
            <w:vAlign w:val="center"/>
            <w:hideMark/>
          </w:tcPr>
          <w:p w14:paraId="5E06374F" w14:textId="77777777" w:rsidR="00396CB4" w:rsidRPr="00396CB4" w:rsidRDefault="00396CB4" w:rsidP="00396CB4">
            <w:pPr>
              <w:spacing w:after="0" w:line="240" w:lineRule="auto"/>
              <w:jc w:val="left"/>
              <w:rPr>
                <w:rFonts w:eastAsia="Times New Roman" w:cs="Calibri"/>
                <w:color w:val="FFFFFF"/>
                <w:sz w:val="22"/>
                <w:lang w:eastAsia="es-CR"/>
              </w:rPr>
            </w:pPr>
            <w:r w:rsidRPr="00396CB4">
              <w:rPr>
                <w:rFonts w:eastAsia="Times New Roman" w:cs="Calibri"/>
                <w:color w:val="FFFFFF"/>
                <w:sz w:val="22"/>
                <w:lang w:eastAsia="es-CR"/>
              </w:rPr>
              <w:t>Transferencias de capital</w:t>
            </w:r>
          </w:p>
        </w:tc>
        <w:tc>
          <w:tcPr>
            <w:tcW w:w="3866" w:type="dxa"/>
            <w:tcBorders>
              <w:top w:val="nil"/>
              <w:left w:val="nil"/>
              <w:bottom w:val="single" w:sz="8" w:space="0" w:color="auto"/>
              <w:right w:val="single" w:sz="8" w:space="0" w:color="auto"/>
            </w:tcBorders>
            <w:shd w:val="clear" w:color="auto" w:fill="auto"/>
            <w:noWrap/>
            <w:vAlign w:val="center"/>
            <w:hideMark/>
          </w:tcPr>
          <w:p w14:paraId="2F84B73A"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Asignación presupuestaria del ente concedente.</w:t>
            </w:r>
          </w:p>
        </w:tc>
      </w:tr>
      <w:tr w:rsidR="00396CB4" w:rsidRPr="00396CB4" w14:paraId="7CEC1DEC" w14:textId="77777777" w:rsidTr="00396CB4">
        <w:trPr>
          <w:divId w:val="997881542"/>
          <w:trHeight w:val="249"/>
          <w:jc w:val="center"/>
        </w:trPr>
        <w:tc>
          <w:tcPr>
            <w:tcW w:w="3866" w:type="dxa"/>
            <w:tcBorders>
              <w:top w:val="nil"/>
              <w:left w:val="single" w:sz="8" w:space="0" w:color="auto"/>
              <w:bottom w:val="single" w:sz="8" w:space="0" w:color="auto"/>
              <w:right w:val="single" w:sz="8" w:space="0" w:color="auto"/>
            </w:tcBorders>
            <w:shd w:val="clear" w:color="000000" w:fill="1F3864"/>
            <w:noWrap/>
            <w:vAlign w:val="center"/>
            <w:hideMark/>
          </w:tcPr>
          <w:p w14:paraId="7882A52A" w14:textId="77777777" w:rsidR="00396CB4" w:rsidRPr="00396CB4" w:rsidRDefault="00396CB4" w:rsidP="00396CB4">
            <w:pPr>
              <w:spacing w:after="0" w:line="240" w:lineRule="auto"/>
              <w:jc w:val="left"/>
              <w:rPr>
                <w:rFonts w:eastAsia="Times New Roman" w:cs="Calibri"/>
                <w:color w:val="FFFFFF"/>
                <w:sz w:val="22"/>
                <w:lang w:eastAsia="es-CR"/>
              </w:rPr>
            </w:pPr>
            <w:r w:rsidRPr="00396CB4">
              <w:rPr>
                <w:rFonts w:eastAsia="Times New Roman" w:cs="Calibri"/>
                <w:color w:val="FFFFFF"/>
                <w:sz w:val="22"/>
                <w:lang w:eastAsia="es-CR"/>
              </w:rPr>
              <w:t> </w:t>
            </w:r>
          </w:p>
        </w:tc>
        <w:tc>
          <w:tcPr>
            <w:tcW w:w="3866" w:type="dxa"/>
            <w:tcBorders>
              <w:top w:val="nil"/>
              <w:left w:val="nil"/>
              <w:bottom w:val="single" w:sz="8" w:space="0" w:color="auto"/>
              <w:right w:val="single" w:sz="8" w:space="0" w:color="auto"/>
            </w:tcBorders>
            <w:shd w:val="clear" w:color="auto" w:fill="auto"/>
            <w:noWrap/>
            <w:vAlign w:val="center"/>
            <w:hideMark/>
          </w:tcPr>
          <w:p w14:paraId="470744ED"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w:t>
            </w:r>
          </w:p>
        </w:tc>
      </w:tr>
      <w:tr w:rsidR="00396CB4" w:rsidRPr="00396CB4" w14:paraId="4D54F579" w14:textId="77777777" w:rsidTr="00396CB4">
        <w:trPr>
          <w:divId w:val="997881542"/>
          <w:trHeight w:val="249"/>
          <w:jc w:val="center"/>
        </w:trPr>
        <w:tc>
          <w:tcPr>
            <w:tcW w:w="3866" w:type="dxa"/>
            <w:tcBorders>
              <w:top w:val="nil"/>
              <w:left w:val="single" w:sz="8" w:space="0" w:color="auto"/>
              <w:bottom w:val="single" w:sz="8" w:space="0" w:color="auto"/>
              <w:right w:val="single" w:sz="8" w:space="0" w:color="auto"/>
            </w:tcBorders>
            <w:shd w:val="clear" w:color="000000" w:fill="1F3864"/>
            <w:noWrap/>
            <w:vAlign w:val="center"/>
            <w:hideMark/>
          </w:tcPr>
          <w:p w14:paraId="0944E12C" w14:textId="77777777" w:rsidR="00396CB4" w:rsidRPr="00396CB4" w:rsidRDefault="00396CB4" w:rsidP="00396CB4">
            <w:pPr>
              <w:spacing w:after="0" w:line="240" w:lineRule="auto"/>
              <w:jc w:val="left"/>
              <w:rPr>
                <w:rFonts w:eastAsia="Times New Roman" w:cs="Calibri"/>
                <w:color w:val="FFFFFF"/>
                <w:sz w:val="22"/>
                <w:lang w:eastAsia="es-CR"/>
              </w:rPr>
            </w:pPr>
            <w:r w:rsidRPr="00396CB4">
              <w:rPr>
                <w:rFonts w:eastAsia="Times New Roman" w:cs="Calibri"/>
                <w:color w:val="FFFFFF"/>
                <w:sz w:val="22"/>
                <w:lang w:eastAsia="es-CR"/>
              </w:rPr>
              <w:t> </w:t>
            </w:r>
          </w:p>
        </w:tc>
        <w:tc>
          <w:tcPr>
            <w:tcW w:w="3866" w:type="dxa"/>
            <w:tcBorders>
              <w:top w:val="nil"/>
              <w:left w:val="nil"/>
              <w:bottom w:val="single" w:sz="8" w:space="0" w:color="auto"/>
              <w:right w:val="single" w:sz="8" w:space="0" w:color="auto"/>
            </w:tcBorders>
            <w:shd w:val="clear" w:color="auto" w:fill="auto"/>
            <w:noWrap/>
            <w:vAlign w:val="center"/>
            <w:hideMark/>
          </w:tcPr>
          <w:p w14:paraId="327F00F8"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w:t>
            </w:r>
          </w:p>
        </w:tc>
      </w:tr>
      <w:tr w:rsidR="00396CB4" w:rsidRPr="00396CB4" w14:paraId="395D9023" w14:textId="77777777" w:rsidTr="00396CB4">
        <w:trPr>
          <w:divId w:val="997881542"/>
          <w:trHeight w:val="249"/>
          <w:jc w:val="center"/>
        </w:trPr>
        <w:tc>
          <w:tcPr>
            <w:tcW w:w="3866" w:type="dxa"/>
            <w:tcBorders>
              <w:top w:val="nil"/>
              <w:left w:val="single" w:sz="8" w:space="0" w:color="auto"/>
              <w:bottom w:val="single" w:sz="8" w:space="0" w:color="auto"/>
              <w:right w:val="single" w:sz="8" w:space="0" w:color="auto"/>
            </w:tcBorders>
            <w:shd w:val="clear" w:color="000000" w:fill="1F3864"/>
            <w:noWrap/>
            <w:vAlign w:val="center"/>
            <w:hideMark/>
          </w:tcPr>
          <w:p w14:paraId="4F59F275" w14:textId="77777777" w:rsidR="00396CB4" w:rsidRPr="00396CB4" w:rsidRDefault="00396CB4" w:rsidP="00396CB4">
            <w:pPr>
              <w:spacing w:after="0" w:line="240" w:lineRule="auto"/>
              <w:jc w:val="left"/>
              <w:rPr>
                <w:rFonts w:eastAsia="Times New Roman" w:cs="Calibri"/>
                <w:color w:val="FFFFFF"/>
                <w:sz w:val="22"/>
                <w:lang w:eastAsia="es-CR"/>
              </w:rPr>
            </w:pPr>
            <w:r w:rsidRPr="00396CB4">
              <w:rPr>
                <w:rFonts w:eastAsia="Times New Roman" w:cs="Calibri"/>
                <w:color w:val="FFFFFF"/>
                <w:sz w:val="22"/>
                <w:lang w:eastAsia="es-CR"/>
              </w:rPr>
              <w:t> </w:t>
            </w:r>
          </w:p>
        </w:tc>
        <w:tc>
          <w:tcPr>
            <w:tcW w:w="3866" w:type="dxa"/>
            <w:tcBorders>
              <w:top w:val="nil"/>
              <w:left w:val="nil"/>
              <w:bottom w:val="single" w:sz="8" w:space="0" w:color="auto"/>
              <w:right w:val="single" w:sz="8" w:space="0" w:color="auto"/>
            </w:tcBorders>
            <w:shd w:val="clear" w:color="auto" w:fill="auto"/>
            <w:noWrap/>
            <w:vAlign w:val="center"/>
            <w:hideMark/>
          </w:tcPr>
          <w:p w14:paraId="48B741A1"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w:t>
            </w:r>
          </w:p>
        </w:tc>
      </w:tr>
      <w:tr w:rsidR="00396CB4" w:rsidRPr="00396CB4" w14:paraId="00D8BCC8" w14:textId="77777777" w:rsidTr="00396CB4">
        <w:trPr>
          <w:divId w:val="997881542"/>
          <w:trHeight w:val="249"/>
          <w:jc w:val="center"/>
        </w:trPr>
        <w:tc>
          <w:tcPr>
            <w:tcW w:w="3866" w:type="dxa"/>
            <w:tcBorders>
              <w:top w:val="nil"/>
              <w:left w:val="single" w:sz="8" w:space="0" w:color="auto"/>
              <w:bottom w:val="single" w:sz="8" w:space="0" w:color="auto"/>
              <w:right w:val="single" w:sz="8" w:space="0" w:color="auto"/>
            </w:tcBorders>
            <w:shd w:val="clear" w:color="000000" w:fill="1F3864"/>
            <w:noWrap/>
            <w:vAlign w:val="center"/>
            <w:hideMark/>
          </w:tcPr>
          <w:p w14:paraId="556F4F9A" w14:textId="77777777" w:rsidR="00396CB4" w:rsidRPr="00396CB4" w:rsidRDefault="00396CB4" w:rsidP="00396CB4">
            <w:pPr>
              <w:spacing w:after="0" w:line="240" w:lineRule="auto"/>
              <w:jc w:val="left"/>
              <w:rPr>
                <w:rFonts w:eastAsia="Times New Roman" w:cs="Calibri"/>
                <w:color w:val="FFFFFF"/>
                <w:sz w:val="22"/>
                <w:lang w:eastAsia="es-CR"/>
              </w:rPr>
            </w:pPr>
            <w:r w:rsidRPr="00396CB4">
              <w:rPr>
                <w:rFonts w:eastAsia="Times New Roman" w:cs="Calibri"/>
                <w:color w:val="FFFFFF"/>
                <w:sz w:val="22"/>
                <w:lang w:eastAsia="es-CR"/>
              </w:rPr>
              <w:t> </w:t>
            </w:r>
          </w:p>
        </w:tc>
        <w:tc>
          <w:tcPr>
            <w:tcW w:w="3866" w:type="dxa"/>
            <w:tcBorders>
              <w:top w:val="nil"/>
              <w:left w:val="nil"/>
              <w:bottom w:val="single" w:sz="8" w:space="0" w:color="auto"/>
              <w:right w:val="single" w:sz="8" w:space="0" w:color="auto"/>
            </w:tcBorders>
            <w:shd w:val="clear" w:color="auto" w:fill="auto"/>
            <w:noWrap/>
            <w:vAlign w:val="center"/>
            <w:hideMark/>
          </w:tcPr>
          <w:p w14:paraId="2A4DAC53"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w:t>
            </w:r>
          </w:p>
        </w:tc>
      </w:tr>
    </w:tbl>
    <w:p w14:paraId="7BEABA6D" w14:textId="35B558F0" w:rsidR="00D67331" w:rsidRDefault="008F4061" w:rsidP="000B404C">
      <w:r>
        <w:fldChar w:fldCharType="end"/>
      </w:r>
    </w:p>
    <w:p w14:paraId="31D36B0E" w14:textId="77777777" w:rsidR="00AB6161" w:rsidRPr="00AB6161" w:rsidRDefault="00AB6161" w:rsidP="00AB6161">
      <w:pPr>
        <w:rPr>
          <w:rStyle w:val="nfasis"/>
          <w:i w:val="0"/>
        </w:rPr>
      </w:pPr>
      <w:r w:rsidRPr="00AB6161">
        <w:rPr>
          <w:rStyle w:val="nfasis"/>
          <w:i w:val="0"/>
        </w:rPr>
        <w:t>Se realizará la revelación considerando lo dispuesto en el párrafo 107 de la NICSP 23.</w:t>
      </w:r>
    </w:p>
    <w:p w14:paraId="16BEC51D" w14:textId="77777777" w:rsidR="00AB6161" w:rsidRPr="00AB6161" w:rsidRDefault="00AB6161" w:rsidP="00AB6161">
      <w:pPr>
        <w:spacing w:line="240" w:lineRule="auto"/>
        <w:rPr>
          <w:rStyle w:val="nfasis"/>
        </w:rPr>
      </w:pPr>
      <w:r w:rsidRPr="00AB6161">
        <w:rPr>
          <w:rStyle w:val="nfasis"/>
        </w:rPr>
        <w:t xml:space="preserve">“107. Una entidad revelará en las notas de los estados financieros con propósito general: </w:t>
      </w:r>
    </w:p>
    <w:p w14:paraId="2F9CB8E3" w14:textId="77777777" w:rsidR="00AB6161" w:rsidRPr="00AB6161" w:rsidRDefault="00AB6161" w:rsidP="00AB6161">
      <w:pPr>
        <w:spacing w:line="240" w:lineRule="auto"/>
        <w:rPr>
          <w:rStyle w:val="nfasis"/>
        </w:rPr>
      </w:pPr>
      <w:r w:rsidRPr="00AB6161">
        <w:rPr>
          <w:rStyle w:val="nfasis"/>
        </w:rPr>
        <w:t xml:space="preserve">(a) las políticas contables adoptadas para el reconocimiento de ingresos de transacciones sin contraprestación; </w:t>
      </w:r>
    </w:p>
    <w:p w14:paraId="2A6D9DA7" w14:textId="77777777" w:rsidR="00AB6161" w:rsidRPr="00AB6161" w:rsidRDefault="00AB6161" w:rsidP="00AB6161">
      <w:pPr>
        <w:spacing w:line="240" w:lineRule="auto"/>
        <w:rPr>
          <w:rStyle w:val="nfasis"/>
        </w:rPr>
      </w:pPr>
      <w:r w:rsidRPr="00AB6161">
        <w:rPr>
          <w:rStyle w:val="nfasis"/>
        </w:rPr>
        <w:t xml:space="preserve">(b) para las principales clases de ingresos de transacciones sin contraprestación, el criterio según el cual se ha medido el valor razonable de los recursos entrantes; </w:t>
      </w:r>
    </w:p>
    <w:p w14:paraId="4A45EA8E" w14:textId="77777777" w:rsidR="00AB6161" w:rsidRPr="00AB6161" w:rsidRDefault="00AB6161" w:rsidP="00AB6161">
      <w:pPr>
        <w:spacing w:line="240" w:lineRule="auto"/>
        <w:rPr>
          <w:rStyle w:val="nfasis"/>
        </w:rPr>
      </w:pPr>
      <w:r w:rsidRPr="00AB6161">
        <w:rPr>
          <w:rStyle w:val="nfasis"/>
        </w:rPr>
        <w:t xml:space="preserve">(c) para las principales clases de ingresos por impuestos que la entidad no puede medir con fiabilidad durante el periodo en el cual el hecho imponible tiene lugar, información sobre la naturaleza del impuesto; y </w:t>
      </w:r>
    </w:p>
    <w:p w14:paraId="77443016" w14:textId="77777777" w:rsidR="00AB6161" w:rsidRPr="00AB6161" w:rsidRDefault="00AB6161" w:rsidP="00AB6161">
      <w:pPr>
        <w:spacing w:line="240" w:lineRule="auto"/>
        <w:rPr>
          <w:rStyle w:val="nfasis"/>
        </w:rPr>
      </w:pPr>
      <w:r w:rsidRPr="00AB6161">
        <w:rPr>
          <w:rStyle w:val="nfasis"/>
        </w:rPr>
        <w:t>(d) la naturaleza y tipo de las principales clases de legados, regalos y donaciones, mostrando por separado las principales clases de bienes en especie recibidos.</w:t>
      </w:r>
    </w:p>
    <w:p w14:paraId="244ABE0E" w14:textId="468D5BE4" w:rsidR="00AB6161" w:rsidRDefault="00AB6161" w:rsidP="00AB6161">
      <w:pPr>
        <w:spacing w:line="240" w:lineRule="auto"/>
        <w:rPr>
          <w:rStyle w:val="nfasis"/>
        </w:rPr>
      </w:pPr>
      <w:r w:rsidRPr="00AB6161">
        <w:rPr>
          <w:rStyle w:val="nfasis"/>
        </w:rPr>
        <w:t xml:space="preserve">De acuerdo con la NICSP 23- Ingresos de transacciones sin contraprestación (Impuestos y Transferencias). Considerar lo dispuesto en el Artículo 25º.-Destinos específicos En cumplimiento de los artículos 15 y 25 del Título IV de la Ley aquí reglamentada, para los destinos específicos que no estén expresamente dispuestos en la Constitución Política o cuyo financiamiento no provenga de una </w:t>
      </w:r>
      <w:r w:rsidRPr="00AB6161">
        <w:rPr>
          <w:rStyle w:val="nfasis"/>
        </w:rPr>
        <w:lastRenderedPageBreak/>
        <w:t>renta especial, el Ministerio de Hacienda tendrá discrecionalidad en la asignación de los recursos de acuerdo con la situación fiscal del país y con los criterios establecidos en el artículo 23 del mencionado Título.</w:t>
      </w:r>
    </w:p>
    <w:p w14:paraId="542BF4C5" w14:textId="77777777" w:rsidR="0034405E" w:rsidRDefault="0034405E" w:rsidP="00AB6161">
      <w:pPr>
        <w:spacing w:line="240" w:lineRule="auto"/>
        <w:rPr>
          <w:rStyle w:val="nfasis"/>
        </w:rPr>
      </w:pPr>
    </w:p>
    <w:p w14:paraId="5B01EA47" w14:textId="77777777" w:rsidR="0034405E" w:rsidRDefault="0034405E" w:rsidP="00AB6161">
      <w:pPr>
        <w:spacing w:line="240" w:lineRule="auto"/>
        <w:rPr>
          <w:rStyle w:val="nfasis"/>
        </w:rPr>
      </w:pPr>
    </w:p>
    <w:p w14:paraId="25EF1962" w14:textId="2FBC575F" w:rsidR="001F474F" w:rsidRDefault="001F474F" w:rsidP="00AB6161">
      <w:pPr>
        <w:spacing w:line="240" w:lineRule="auto"/>
        <w:rPr>
          <w:rStyle w:val="nfasis"/>
        </w:rPr>
      </w:pPr>
    </w:p>
    <w:p w14:paraId="3F594728" w14:textId="77777777" w:rsidR="0055718E" w:rsidRDefault="00E80180" w:rsidP="0055718E">
      <w:pPr>
        <w:spacing w:line="240" w:lineRule="auto"/>
        <w:rPr>
          <w:b/>
          <w:color w:val="FFFFFF" w:themeColor="background1"/>
          <w:highlight w:val="darkBlue"/>
          <w:u w:val="single"/>
        </w:rPr>
      </w:pPr>
      <w:r w:rsidRPr="003516A2">
        <w:rPr>
          <w:b/>
          <w:color w:val="FFFFFF" w:themeColor="background1"/>
          <w:highlight w:val="darkBlue"/>
          <w:u w:val="single"/>
        </w:rPr>
        <w:t>Reconocimiento:</w:t>
      </w:r>
    </w:p>
    <w:p w14:paraId="098D9570" w14:textId="4FF0CB89" w:rsidR="0055718E" w:rsidRDefault="0055718E" w:rsidP="0055718E">
      <w:pPr>
        <w:spacing w:line="240" w:lineRule="auto"/>
        <w:rPr>
          <w:lang w:val="es-MX"/>
        </w:rPr>
      </w:pPr>
      <w:r>
        <w:rPr>
          <w:lang w:val="es-MX"/>
        </w:rPr>
        <w:t>Los flujos de entrada de recursos provenientes de una transacción que no es de intercambio que satisface la definición de un activo se reconoce como un activo cuando satisface los siguientes criterios: Es probable que los beneficios económicos futuros o el potencial de servicios asociado con el activo fluirá a la Municipalidad, y el valor del activo puede ser medido confiablemente.</w:t>
      </w:r>
    </w:p>
    <w:p w14:paraId="17AAAEA0" w14:textId="77777777" w:rsidR="0055718E" w:rsidRDefault="0055718E" w:rsidP="0055718E">
      <w:pPr>
        <w:spacing w:line="240" w:lineRule="auto"/>
        <w:rPr>
          <w:lang w:val="es-MX"/>
        </w:rPr>
      </w:pPr>
      <w:r>
        <w:rPr>
          <w:lang w:val="es-MX"/>
        </w:rPr>
        <w:t>El flujo de entrada de recursos provenientes de una transacción que no es de intercambio reconocido como un activo tiene que ser reconocido como ingresos ordinarios, excepto en la extensión en que el pasivo también sea reconocido con relación al mismo flujo de entrada.</w:t>
      </w:r>
    </w:p>
    <w:p w14:paraId="09F9E7CD" w14:textId="2F5EB359" w:rsidR="0055718E" w:rsidRDefault="0055718E" w:rsidP="0055718E">
      <w:pPr>
        <w:spacing w:line="240" w:lineRule="auto"/>
        <w:rPr>
          <w:lang w:val="es-MX"/>
        </w:rPr>
      </w:pPr>
      <w:r>
        <w:rPr>
          <w:lang w:val="es-MX"/>
        </w:rPr>
        <w:t xml:space="preserve">Las obligaciones presentes que surgen de una transacción que no es de intercambio que satisface la definición de pasivo se reconocerán como pasivo cuando y solo cuando cumple los siguientes criterios: es probable que se </w:t>
      </w:r>
      <w:r w:rsidR="006753AA">
        <w:rPr>
          <w:lang w:val="es-MX"/>
        </w:rPr>
        <w:t>dé</w:t>
      </w:r>
      <w:r>
        <w:rPr>
          <w:lang w:val="es-MX"/>
        </w:rPr>
        <w:t xml:space="preserve"> una salida de recursos que conlleva beneficios económicos futuros o potencial de servicio para liquidar la obligación, y el monto de la obligación puede ser estimarse confiablemente. La obligación debe ser reconocida cuando satisfaga los criterios de reconocimiento del pasivo.</w:t>
      </w:r>
    </w:p>
    <w:p w14:paraId="533E5560" w14:textId="77777777" w:rsidR="0055718E" w:rsidRDefault="0055718E" w:rsidP="0055718E">
      <w:pPr>
        <w:spacing w:line="240" w:lineRule="auto"/>
        <w:rPr>
          <w:lang w:val="es-MX"/>
        </w:rPr>
      </w:pPr>
      <w:r>
        <w:rPr>
          <w:lang w:val="es-MX"/>
        </w:rPr>
        <w:t>La Municipalidad reconoce un activo relacionado con impuestos cuando el evento sujeto a impuestos ocurre (conforme lo establece la legislación vigente) y se satisfacen los criterios de reconocimiento de activos.</w:t>
      </w:r>
    </w:p>
    <w:p w14:paraId="195E1CAB" w14:textId="77777777" w:rsidR="0055718E" w:rsidRDefault="0055718E" w:rsidP="0055718E">
      <w:pPr>
        <w:spacing w:line="240" w:lineRule="auto"/>
        <w:rPr>
          <w:lang w:val="es-MX"/>
        </w:rPr>
      </w:pPr>
      <w:r>
        <w:rPr>
          <w:lang w:val="es-MX"/>
        </w:rPr>
        <w:t xml:space="preserve">La Municipalidad reconoce activos relacionados con transferencias cuando satisfacen la definición de activo y los criterios de reconocimiento de activo. </w:t>
      </w:r>
    </w:p>
    <w:p w14:paraId="758CB24F" w14:textId="05C59FBC" w:rsidR="00E80180" w:rsidRDefault="00E80180" w:rsidP="00E80180">
      <w:pPr>
        <w:spacing w:line="240" w:lineRule="auto"/>
        <w:rPr>
          <w:b/>
          <w:u w:val="single"/>
        </w:rPr>
      </w:pPr>
    </w:p>
    <w:p w14:paraId="31A16D59" w14:textId="77777777" w:rsidR="00E80180" w:rsidRPr="003516A2" w:rsidRDefault="00E80180" w:rsidP="00E80180">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5D8D47EC" w14:textId="77777777" w:rsidR="0055718E" w:rsidRDefault="0055718E" w:rsidP="0055718E">
      <w:pPr>
        <w:spacing w:line="240" w:lineRule="auto"/>
        <w:rPr>
          <w:lang w:val="es-MX"/>
        </w:rPr>
      </w:pPr>
      <w:r w:rsidRPr="00BC21F2">
        <w:rPr>
          <w:lang w:val="es-MX"/>
        </w:rPr>
        <w:t xml:space="preserve">El activo adquirido mediante una transacción que no es de intercambio inicialmente tiene que ser </w:t>
      </w:r>
      <w:r>
        <w:rPr>
          <w:lang w:val="es-MX"/>
        </w:rPr>
        <w:t>a su valor razonable a la fecha de adquisición.</w:t>
      </w:r>
    </w:p>
    <w:p w14:paraId="100D1E00" w14:textId="77777777" w:rsidR="0055718E" w:rsidRDefault="0055718E" w:rsidP="0055718E">
      <w:pPr>
        <w:spacing w:line="240" w:lineRule="auto"/>
        <w:rPr>
          <w:lang w:val="es-MX"/>
        </w:rPr>
      </w:pPr>
      <w:r>
        <w:rPr>
          <w:lang w:val="es-MX"/>
        </w:rPr>
        <w:t>Los ingresos ordinarios provenientes transacciones que no son de intercambio tienen que ser medidos a la cantidad del incremento en los activos netos reconocidos por la Municipalidad.</w:t>
      </w:r>
    </w:p>
    <w:p w14:paraId="6244A3BD" w14:textId="77777777" w:rsidR="0055718E" w:rsidRDefault="0055718E" w:rsidP="0055718E">
      <w:pPr>
        <w:spacing w:line="240" w:lineRule="auto"/>
        <w:rPr>
          <w:lang w:val="es-MX"/>
        </w:rPr>
      </w:pPr>
      <w:r>
        <w:rPr>
          <w:lang w:val="es-MX"/>
        </w:rPr>
        <w:t>La cantidad reconocida como pasivo debe ser el mejor estimado de la cantidad requerida para liquidar la obligación presente a la fecha de presentación de EEFF.</w:t>
      </w:r>
    </w:p>
    <w:p w14:paraId="7E4A7D45" w14:textId="77777777" w:rsidR="0055718E" w:rsidRDefault="0055718E" w:rsidP="0055718E">
      <w:pPr>
        <w:spacing w:line="240" w:lineRule="auto"/>
        <w:rPr>
          <w:lang w:val="es-MX"/>
        </w:rPr>
      </w:pPr>
      <w:r>
        <w:rPr>
          <w:lang w:val="es-MX"/>
        </w:rPr>
        <w:t>Los ingresos por impuestos son medidos de acuerdo con la cantidad bruta estimada anualmente por la unidad de registro primario respectiva, estos no pueden ser reducidos de los gastos.</w:t>
      </w:r>
    </w:p>
    <w:p w14:paraId="380B214E" w14:textId="36F44676" w:rsidR="00AB6161" w:rsidRPr="005B31D3" w:rsidRDefault="0055718E" w:rsidP="00AB6161">
      <w:pPr>
        <w:spacing w:line="240" w:lineRule="auto"/>
        <w:rPr>
          <w:lang w:val="es-MX"/>
        </w:rPr>
      </w:pPr>
      <w:r>
        <w:rPr>
          <w:lang w:val="es-MX"/>
        </w:rPr>
        <w:t>El importe de los recursos percibido por concepto de transferencias se mide por el valor de los recursos transferidos contenidos en leyes, regulaciones o en un acuerdo.</w:t>
      </w:r>
    </w:p>
    <w:p w14:paraId="6269E6DE" w14:textId="5644C1C0" w:rsidR="00AB6161" w:rsidRPr="00AB6161" w:rsidRDefault="00AB6161" w:rsidP="00AB6161">
      <w:pPr>
        <w:rPr>
          <w:b/>
          <w:u w:val="single"/>
          <w:lang w:eastAsia="es-CR"/>
        </w:rPr>
      </w:pPr>
      <w:r w:rsidRPr="00E80180">
        <w:rPr>
          <w:b/>
          <w:color w:val="FFFFFF" w:themeColor="background1"/>
          <w:highlight w:val="darkBlue"/>
          <w:u w:val="single"/>
        </w:rPr>
        <w:lastRenderedPageBreak/>
        <w:t>Revelación Suficiente:</w:t>
      </w:r>
      <w:r w:rsidRPr="00AB6161">
        <w:rPr>
          <w:b/>
          <w:u w:val="single"/>
          <w:lang w:eastAsia="es-CR"/>
        </w:rPr>
        <w:t xml:space="preserve"> </w:t>
      </w:r>
      <w:r w:rsidR="00482942">
        <w:rPr>
          <w:b/>
          <w:u w:val="single"/>
          <w:lang w:eastAsia="es-CR"/>
        </w:rPr>
        <w:t xml:space="preserve">El ente debe revelar y cumplir </w:t>
      </w:r>
      <w:r w:rsidRPr="00AB6161">
        <w:rPr>
          <w:b/>
          <w:u w:val="single"/>
          <w:lang w:eastAsia="es-CR"/>
        </w:rPr>
        <w:t xml:space="preserve">con lo estipulado en revelación </w:t>
      </w:r>
      <w:r w:rsidR="00482942">
        <w:rPr>
          <w:b/>
          <w:u w:val="single"/>
          <w:lang w:eastAsia="es-CR"/>
        </w:rPr>
        <w:t>conforme</w:t>
      </w:r>
      <w:r w:rsidRPr="00AB6161">
        <w:rPr>
          <w:b/>
          <w:u w:val="single"/>
          <w:lang w:eastAsia="es-CR"/>
        </w:rPr>
        <w:t xml:space="preserve"> a la NICSP, también debe considerar la política general y los párrafos incluidos en la matriz de autoevaluación referente a esta NICSP y guías de aplicación (Ver las GA de la NICSP 23).</w:t>
      </w:r>
    </w:p>
    <w:p w14:paraId="5C2B77EB" w14:textId="77777777" w:rsidR="0055718E" w:rsidRPr="00094A22" w:rsidRDefault="0055718E" w:rsidP="0055718E">
      <w:pPr>
        <w:spacing w:after="0" w:line="240" w:lineRule="auto"/>
        <w:rPr>
          <w:b/>
          <w:bCs/>
        </w:rPr>
      </w:pPr>
      <w:r w:rsidRPr="00094A22">
        <w:rPr>
          <w:b/>
          <w:bCs/>
        </w:rPr>
        <w:t>Principales Políticas</w:t>
      </w:r>
    </w:p>
    <w:p w14:paraId="0AA44FCF" w14:textId="77777777" w:rsidR="0055718E" w:rsidRDefault="0055718E" w:rsidP="0055718E">
      <w:pPr>
        <w:spacing w:after="0" w:line="240" w:lineRule="auto"/>
      </w:pPr>
    </w:p>
    <w:p w14:paraId="5C967F14" w14:textId="77777777" w:rsidR="0055718E" w:rsidRDefault="0055718E" w:rsidP="0055718E">
      <w:pPr>
        <w:autoSpaceDE w:val="0"/>
        <w:autoSpaceDN w:val="0"/>
        <w:adjustRightInd w:val="0"/>
        <w:spacing w:after="0" w:line="240" w:lineRule="auto"/>
        <w:rPr>
          <w:rFonts w:cs="Arial"/>
          <w:color w:val="000000"/>
          <w:szCs w:val="24"/>
        </w:rPr>
      </w:pPr>
      <w:r w:rsidRPr="00223A26">
        <w:rPr>
          <w:rFonts w:cs="Arial"/>
          <w:color w:val="000000"/>
          <w:szCs w:val="24"/>
        </w:rPr>
        <w:t xml:space="preserve">Se reconocerá un ingreso por transacciones sin contraprestación en los siguientes casos: </w:t>
      </w:r>
    </w:p>
    <w:p w14:paraId="14961C07" w14:textId="77777777" w:rsidR="0055718E" w:rsidRPr="00223A26" w:rsidRDefault="0055718E" w:rsidP="0055718E">
      <w:pPr>
        <w:autoSpaceDE w:val="0"/>
        <w:autoSpaceDN w:val="0"/>
        <w:adjustRightInd w:val="0"/>
        <w:spacing w:after="0" w:line="240" w:lineRule="auto"/>
        <w:rPr>
          <w:rFonts w:cs="Arial"/>
          <w:color w:val="000000"/>
          <w:szCs w:val="24"/>
        </w:rPr>
      </w:pPr>
    </w:p>
    <w:p w14:paraId="5DBDF263" w14:textId="77777777" w:rsidR="0055718E" w:rsidRPr="001A7F03" w:rsidRDefault="0055718E" w:rsidP="007F4626">
      <w:pPr>
        <w:pStyle w:val="Prrafodelista"/>
        <w:numPr>
          <w:ilvl w:val="0"/>
          <w:numId w:val="40"/>
        </w:numPr>
        <w:autoSpaceDE w:val="0"/>
        <w:autoSpaceDN w:val="0"/>
        <w:adjustRightInd w:val="0"/>
        <w:spacing w:after="20" w:line="240" w:lineRule="auto"/>
        <w:ind w:left="426"/>
        <w:rPr>
          <w:rFonts w:cs="Arial"/>
          <w:color w:val="000000"/>
          <w:szCs w:val="24"/>
        </w:rPr>
      </w:pPr>
      <w:r w:rsidRPr="001A7F03">
        <w:rPr>
          <w:rFonts w:cs="Arial"/>
          <w:color w:val="000000"/>
          <w:szCs w:val="24"/>
        </w:rPr>
        <w:t xml:space="preserve">Cuando tenga lugar una entrada de recursos reconocida como un activo (o como una disminución de un pasivo), excepto en la medida en que se reconozca también un pasivo con respecto a dicha entrada (por ejemplo, para activos transferidos con condiciones o para cobros anticipados de impuestos); </w:t>
      </w:r>
    </w:p>
    <w:p w14:paraId="5B08A27F" w14:textId="77777777" w:rsidR="0055718E" w:rsidRPr="00223A26" w:rsidRDefault="0055718E" w:rsidP="007F4626">
      <w:pPr>
        <w:numPr>
          <w:ilvl w:val="0"/>
          <w:numId w:val="40"/>
        </w:numPr>
        <w:autoSpaceDE w:val="0"/>
        <w:autoSpaceDN w:val="0"/>
        <w:adjustRightInd w:val="0"/>
        <w:spacing w:after="0" w:line="240" w:lineRule="auto"/>
        <w:ind w:left="426"/>
        <w:rPr>
          <w:rFonts w:cs="Arial"/>
          <w:color w:val="000000"/>
          <w:szCs w:val="24"/>
        </w:rPr>
      </w:pPr>
      <w:r>
        <w:rPr>
          <w:rFonts w:cs="Arial"/>
          <w:color w:val="000000"/>
          <w:szCs w:val="24"/>
        </w:rPr>
        <w:t>C</w:t>
      </w:r>
      <w:r w:rsidRPr="00223A26">
        <w:rPr>
          <w:rFonts w:cs="Arial"/>
          <w:color w:val="000000"/>
          <w:szCs w:val="24"/>
        </w:rPr>
        <w:t xml:space="preserve">uando una entidad satisfaga una obligación presente reconocida como pasivo con respecto a una entrada de recursos por una transacción sin contraprestación reconocida como activo, debiéndose reducir el importe en libros del pasivo reconocido y reconocer un monto de ingresos igual a dicha reducción (por ejemplo, cuando se cumpla una condición sobre un activo transferido o cuando tenga lugar el hecho imponible para un cobro anticipado de impuestos). </w:t>
      </w:r>
    </w:p>
    <w:p w14:paraId="754EB681" w14:textId="77777777" w:rsidR="0055718E" w:rsidRDefault="0055718E" w:rsidP="0055718E">
      <w:pPr>
        <w:spacing w:after="0" w:line="240" w:lineRule="auto"/>
      </w:pPr>
    </w:p>
    <w:p w14:paraId="67BC60EE" w14:textId="77777777" w:rsidR="0055718E" w:rsidRPr="00223A26" w:rsidRDefault="0055718E" w:rsidP="0055718E">
      <w:pPr>
        <w:pStyle w:val="Default"/>
        <w:jc w:val="both"/>
        <w:rPr>
          <w:rFonts w:ascii="Arial" w:hAnsi="Arial" w:cs="Arial"/>
          <w:sz w:val="23"/>
          <w:szCs w:val="23"/>
        </w:rPr>
      </w:pPr>
      <w:r w:rsidRPr="001A7F03">
        <w:rPr>
          <w:rFonts w:ascii="Arial Narrow" w:hAnsi="Arial Narrow"/>
        </w:rPr>
        <w:t>Los ingresos de transacciones sin contraprestación se medirán al importe del incremento en los activos netos reconocidos por la entidad. Por su parte, u</w:t>
      </w:r>
      <w:r w:rsidRPr="00223A26">
        <w:rPr>
          <w:rFonts w:ascii="Arial Narrow" w:hAnsi="Arial Narrow" w:cs="Arial"/>
        </w:rPr>
        <w:t>n pasivo procedente de una transacción sin contraprestación es una obligación presente de actuar (hacer lo estipulado) o rendir (cumplir con una condición); es decir, se requiere a la receptora: consum</w:t>
      </w:r>
      <w:r>
        <w:rPr>
          <w:rFonts w:ascii="Arial Narrow" w:hAnsi="Arial Narrow" w:cs="Arial"/>
        </w:rPr>
        <w:t>a</w:t>
      </w:r>
      <w:r w:rsidRPr="00223A26">
        <w:rPr>
          <w:rFonts w:ascii="Arial Narrow" w:hAnsi="Arial Narrow" w:cs="Arial"/>
        </w:rPr>
        <w:t xml:space="preserve"> los beneficios económicos futuros o el potencial de servicio implícito en el activo transferido, o la devolución del activo u otros beneficios económicos futuros o potencial de servicio al transferidor, teniendo en cuenta la esencia y no sólo de la forma.</w:t>
      </w:r>
      <w:r w:rsidRPr="00223A26">
        <w:rPr>
          <w:rFonts w:ascii="Arial" w:hAnsi="Arial" w:cs="Arial"/>
          <w:sz w:val="23"/>
          <w:szCs w:val="23"/>
        </w:rPr>
        <w:t xml:space="preserve"> </w:t>
      </w:r>
    </w:p>
    <w:p w14:paraId="40DF8438" w14:textId="77777777" w:rsidR="0055718E" w:rsidRPr="00223A26" w:rsidRDefault="0055718E" w:rsidP="007F4626">
      <w:pPr>
        <w:numPr>
          <w:ilvl w:val="1"/>
          <w:numId w:val="38"/>
        </w:numPr>
        <w:autoSpaceDE w:val="0"/>
        <w:autoSpaceDN w:val="0"/>
        <w:adjustRightInd w:val="0"/>
        <w:spacing w:after="0" w:line="240" w:lineRule="auto"/>
        <w:jc w:val="left"/>
        <w:rPr>
          <w:rFonts w:ascii="Arial" w:hAnsi="Arial" w:cs="Arial"/>
          <w:sz w:val="23"/>
          <w:szCs w:val="23"/>
        </w:rPr>
      </w:pPr>
    </w:p>
    <w:p w14:paraId="59E0388D" w14:textId="77777777" w:rsidR="0055718E" w:rsidRPr="00223A26" w:rsidRDefault="0055718E" w:rsidP="0055718E">
      <w:pPr>
        <w:autoSpaceDE w:val="0"/>
        <w:autoSpaceDN w:val="0"/>
        <w:adjustRightInd w:val="0"/>
        <w:spacing w:after="0" w:line="240" w:lineRule="auto"/>
        <w:rPr>
          <w:rFonts w:cs="Arial"/>
          <w:szCs w:val="24"/>
        </w:rPr>
      </w:pPr>
      <w:r w:rsidRPr="00223A26">
        <w:rPr>
          <w:rFonts w:cs="Arial"/>
          <w:szCs w:val="24"/>
        </w:rPr>
        <w:t xml:space="preserve">Cuando </w:t>
      </w:r>
      <w:r w:rsidRPr="001A7F03">
        <w:rPr>
          <w:rFonts w:cs="Arial"/>
          <w:szCs w:val="24"/>
        </w:rPr>
        <w:t>la MBA reciba</w:t>
      </w:r>
      <w:r w:rsidRPr="00223A26">
        <w:rPr>
          <w:rFonts w:cs="Arial"/>
          <w:szCs w:val="24"/>
        </w:rPr>
        <w:t xml:space="preserve"> un recurso antes de que ocurra el hecho imponible o antes de la existencia de un acuerdo de transferencia vinculante, debe reconocer un pasivo por un importe igual a lo recibido de forma anticipada, hasta que se produzca el hecho imponible o hasta el momento en que el acuerdo se convierta en vinculante. </w:t>
      </w:r>
    </w:p>
    <w:p w14:paraId="09E65BC2" w14:textId="77777777" w:rsidR="0055718E" w:rsidRDefault="0055718E" w:rsidP="0055718E">
      <w:pPr>
        <w:spacing w:after="0" w:line="240" w:lineRule="auto"/>
      </w:pPr>
    </w:p>
    <w:p w14:paraId="655ACF7B" w14:textId="77777777" w:rsidR="0055718E" w:rsidRPr="001A7F03" w:rsidRDefault="0055718E" w:rsidP="0055718E">
      <w:pPr>
        <w:spacing w:after="0" w:line="240" w:lineRule="auto"/>
        <w:rPr>
          <w:szCs w:val="24"/>
        </w:rPr>
      </w:pPr>
      <w:r w:rsidRPr="001A7F03">
        <w:rPr>
          <w:szCs w:val="24"/>
        </w:rPr>
        <w:t>En los casos en que la medición fiable no pueda realizarse hasta transcurrido un tiempo (o uno o varios ejercicios) después de ocurrido el hecho imponible, el reconocimiento del ingreso y del activo relacionado tendrá lugar cuando se cumplan los criterios respectivos, pudiendo ello recién ocurrir cuando se determine en forma cierta la cuenta a cobrar o incluso cuando se reciba el pago.</w:t>
      </w:r>
    </w:p>
    <w:p w14:paraId="67D68FC0" w14:textId="77777777" w:rsidR="0055718E" w:rsidRDefault="0055718E" w:rsidP="0055718E">
      <w:pPr>
        <w:spacing w:after="0" w:line="240" w:lineRule="auto"/>
      </w:pPr>
    </w:p>
    <w:p w14:paraId="2D55B26F" w14:textId="77777777" w:rsidR="0055718E" w:rsidRDefault="0055718E" w:rsidP="0055718E">
      <w:pPr>
        <w:autoSpaceDE w:val="0"/>
        <w:autoSpaceDN w:val="0"/>
        <w:adjustRightInd w:val="0"/>
        <w:spacing w:after="0" w:line="240" w:lineRule="auto"/>
        <w:rPr>
          <w:rFonts w:cs="Arial"/>
          <w:color w:val="000000"/>
          <w:szCs w:val="24"/>
        </w:rPr>
      </w:pPr>
      <w:r w:rsidRPr="00223A26">
        <w:rPr>
          <w:rFonts w:cs="Arial"/>
          <w:color w:val="000000"/>
          <w:szCs w:val="24"/>
        </w:rPr>
        <w:t>Los ingresos por impuestos deberán determinarse en términos brutos, sin reducción alguna por los gastos pagados a través del sistema impositivo, es decir, que los ingresos por impuestos deberán incrementarse en la medida de los gastos pagados a través del sistema impositivo. Así, los ingresos por impuestos y los gastos pagados a través del sistema impositivo deberán reconocerse en forma separada en el ERF, no estando permitida la compensación entre ambos conceptos.</w:t>
      </w:r>
    </w:p>
    <w:p w14:paraId="4BAB2590" w14:textId="77777777" w:rsidR="0055718E" w:rsidRPr="00223A26" w:rsidRDefault="0055718E" w:rsidP="0055718E">
      <w:pPr>
        <w:autoSpaceDE w:val="0"/>
        <w:autoSpaceDN w:val="0"/>
        <w:adjustRightInd w:val="0"/>
        <w:spacing w:after="0" w:line="240" w:lineRule="auto"/>
        <w:rPr>
          <w:rFonts w:cs="Arial"/>
          <w:color w:val="000000"/>
          <w:szCs w:val="24"/>
        </w:rPr>
      </w:pPr>
    </w:p>
    <w:p w14:paraId="7FCCEBF6" w14:textId="77777777" w:rsidR="0055718E" w:rsidRDefault="0055718E" w:rsidP="0055718E">
      <w:pPr>
        <w:spacing w:after="0" w:line="240" w:lineRule="auto"/>
        <w:rPr>
          <w:rFonts w:cs="Arial"/>
          <w:color w:val="000000"/>
          <w:szCs w:val="24"/>
        </w:rPr>
      </w:pPr>
      <w:r w:rsidRPr="00C17425">
        <w:rPr>
          <w:szCs w:val="24"/>
        </w:rPr>
        <w:t>Las transferencias son entradas de recursos que generan beneficios económicos o potencial de servicio futuros provenientes de transacciones sin contraprestación distintas de impuestos</w:t>
      </w:r>
      <w:r>
        <w:rPr>
          <w:szCs w:val="24"/>
        </w:rPr>
        <w:t xml:space="preserve">. </w:t>
      </w:r>
      <w:r w:rsidRPr="00855FB2">
        <w:rPr>
          <w:rFonts w:cs="Arial"/>
          <w:color w:val="000000"/>
          <w:szCs w:val="24"/>
        </w:rPr>
        <w:t>Las transferencias cumplen la definición de activo cuando:</w:t>
      </w:r>
    </w:p>
    <w:p w14:paraId="738536B9" w14:textId="77777777" w:rsidR="0055718E" w:rsidRPr="00855FB2" w:rsidRDefault="0055718E" w:rsidP="0055718E">
      <w:pPr>
        <w:spacing w:after="0" w:line="240" w:lineRule="auto"/>
        <w:rPr>
          <w:rFonts w:cs="Arial"/>
          <w:color w:val="000000"/>
          <w:szCs w:val="24"/>
        </w:rPr>
      </w:pPr>
      <w:r w:rsidRPr="00855FB2">
        <w:rPr>
          <w:rFonts w:cs="Arial"/>
          <w:color w:val="000000"/>
          <w:szCs w:val="24"/>
        </w:rPr>
        <w:t xml:space="preserve"> </w:t>
      </w:r>
    </w:p>
    <w:p w14:paraId="589148DF" w14:textId="77777777" w:rsidR="0055718E" w:rsidRPr="00855FB2" w:rsidRDefault="0055718E" w:rsidP="007F4626">
      <w:pPr>
        <w:numPr>
          <w:ilvl w:val="0"/>
          <w:numId w:val="41"/>
        </w:numPr>
        <w:autoSpaceDE w:val="0"/>
        <w:autoSpaceDN w:val="0"/>
        <w:adjustRightInd w:val="0"/>
        <w:spacing w:after="20" w:line="240" w:lineRule="auto"/>
        <w:ind w:left="720" w:hanging="360"/>
        <w:rPr>
          <w:rFonts w:cs="Arial"/>
          <w:color w:val="000000"/>
          <w:szCs w:val="24"/>
        </w:rPr>
      </w:pPr>
      <w:r w:rsidRPr="00C17425">
        <w:rPr>
          <w:rFonts w:cs="Arial"/>
          <w:color w:val="000000"/>
          <w:szCs w:val="24"/>
        </w:rPr>
        <w:lastRenderedPageBreak/>
        <w:t>L</w:t>
      </w:r>
      <w:r w:rsidRPr="00855FB2">
        <w:rPr>
          <w:rFonts w:cs="Arial"/>
          <w:color w:val="000000"/>
          <w:szCs w:val="24"/>
        </w:rPr>
        <w:t xml:space="preserve">a entidad controla los recursos como consecuencia de un suceso pasado (la transferencia) y espera recibir beneficios económicos o potencial de servicio futuros de esos recursos; y </w:t>
      </w:r>
    </w:p>
    <w:p w14:paraId="58A581FB" w14:textId="77777777" w:rsidR="0055718E" w:rsidRPr="00855FB2" w:rsidRDefault="0055718E" w:rsidP="007F4626">
      <w:pPr>
        <w:numPr>
          <w:ilvl w:val="0"/>
          <w:numId w:val="41"/>
        </w:numPr>
        <w:autoSpaceDE w:val="0"/>
        <w:autoSpaceDN w:val="0"/>
        <w:adjustRightInd w:val="0"/>
        <w:spacing w:after="0" w:line="240" w:lineRule="auto"/>
        <w:ind w:left="720" w:hanging="360"/>
        <w:rPr>
          <w:rFonts w:cs="Arial"/>
          <w:color w:val="000000"/>
          <w:szCs w:val="24"/>
        </w:rPr>
      </w:pPr>
      <w:r w:rsidRPr="00C17425">
        <w:rPr>
          <w:rFonts w:cs="Arial"/>
          <w:color w:val="000000"/>
          <w:szCs w:val="24"/>
        </w:rPr>
        <w:t>E</w:t>
      </w:r>
      <w:r w:rsidRPr="00855FB2">
        <w:rPr>
          <w:rFonts w:cs="Arial"/>
          <w:color w:val="000000"/>
          <w:szCs w:val="24"/>
        </w:rPr>
        <w:t xml:space="preserve">s probable que la entrada de recursos ocurra y su valor razonable pueda ser medido con fiabilidad. </w:t>
      </w:r>
    </w:p>
    <w:p w14:paraId="60785465" w14:textId="77777777" w:rsidR="0055718E" w:rsidRPr="00855FB2" w:rsidRDefault="0055718E" w:rsidP="0055718E">
      <w:pPr>
        <w:autoSpaceDE w:val="0"/>
        <w:autoSpaceDN w:val="0"/>
        <w:adjustRightInd w:val="0"/>
        <w:spacing w:after="0" w:line="240" w:lineRule="auto"/>
        <w:jc w:val="left"/>
        <w:rPr>
          <w:rFonts w:ascii="Arial" w:hAnsi="Arial" w:cs="Arial"/>
          <w:color w:val="000000"/>
          <w:szCs w:val="24"/>
        </w:rPr>
      </w:pPr>
    </w:p>
    <w:p w14:paraId="60310509" w14:textId="60AD82A4" w:rsidR="0055718E" w:rsidRPr="001F474F" w:rsidRDefault="0055718E" w:rsidP="001F474F">
      <w:pPr>
        <w:autoSpaceDE w:val="0"/>
        <w:autoSpaceDN w:val="0"/>
        <w:adjustRightInd w:val="0"/>
        <w:spacing w:after="0" w:line="240" w:lineRule="auto"/>
        <w:rPr>
          <w:rFonts w:cs="Arial"/>
          <w:color w:val="000000"/>
          <w:szCs w:val="24"/>
        </w:rPr>
      </w:pPr>
      <w:r w:rsidRPr="00855FB2">
        <w:rPr>
          <w:rFonts w:cs="Arial"/>
          <w:color w:val="000000"/>
          <w:szCs w:val="24"/>
        </w:rPr>
        <w:t xml:space="preserve">Se obtiene el control de los activos transferidos cuando los recursos han sido transferidos a la entidad o ésta tiene un derecho exigible por ley contra el transferidor. La entidad evaluará si es probable que la entrada de recursos ocurra. </w:t>
      </w:r>
    </w:p>
    <w:p w14:paraId="539B20BC" w14:textId="77777777" w:rsidR="0055718E" w:rsidRPr="00C17425" w:rsidRDefault="0055718E" w:rsidP="0055718E">
      <w:pPr>
        <w:spacing w:after="0" w:line="240" w:lineRule="auto"/>
        <w:rPr>
          <w:szCs w:val="24"/>
        </w:rPr>
      </w:pPr>
      <w:r w:rsidRPr="00C17425">
        <w:rPr>
          <w:szCs w:val="24"/>
        </w:rPr>
        <w:t>Los ingresos procedentes de condonaciones de deudas, así como de asunciones de pasivos por terceros, se miden por el valor razonable de la deuda condonada o asumida, que será el importe en libros de la misma.</w:t>
      </w:r>
    </w:p>
    <w:p w14:paraId="01439D73" w14:textId="77777777" w:rsidR="0055718E" w:rsidRPr="00C17425" w:rsidRDefault="0055718E" w:rsidP="0055718E">
      <w:pPr>
        <w:spacing w:after="0" w:line="240" w:lineRule="auto"/>
        <w:rPr>
          <w:szCs w:val="24"/>
        </w:rPr>
      </w:pPr>
    </w:p>
    <w:p w14:paraId="19FBED64" w14:textId="77777777" w:rsidR="0055718E" w:rsidRPr="00C17425" w:rsidRDefault="0055718E" w:rsidP="0055718E">
      <w:pPr>
        <w:spacing w:after="0" w:line="240" w:lineRule="auto"/>
        <w:rPr>
          <w:szCs w:val="24"/>
        </w:rPr>
      </w:pPr>
      <w:r w:rsidRPr="00C17425">
        <w:rPr>
          <w:szCs w:val="24"/>
        </w:rPr>
        <w:t>Los activos que surgen de multas se miden por la mejor estimación de la entrada de recursos a la entidad y se reconocen como ingresos cuando la cuenta por cobrar cumple la definición de activo y satisface los criterios para su reconocimiento como tal.</w:t>
      </w:r>
    </w:p>
    <w:p w14:paraId="70CEDA09" w14:textId="77777777" w:rsidR="0055718E" w:rsidRPr="00855FB2" w:rsidRDefault="0055718E" w:rsidP="0055718E">
      <w:pPr>
        <w:autoSpaceDE w:val="0"/>
        <w:autoSpaceDN w:val="0"/>
        <w:adjustRightInd w:val="0"/>
        <w:spacing w:after="0" w:line="240" w:lineRule="auto"/>
        <w:jc w:val="left"/>
        <w:rPr>
          <w:rFonts w:ascii="Arial" w:hAnsi="Arial" w:cs="Arial"/>
          <w:color w:val="000000"/>
          <w:szCs w:val="24"/>
        </w:rPr>
      </w:pPr>
    </w:p>
    <w:p w14:paraId="4A8F8644" w14:textId="77777777" w:rsidR="0055718E" w:rsidRPr="00855FB2" w:rsidRDefault="0055718E" w:rsidP="0055718E">
      <w:pPr>
        <w:autoSpaceDE w:val="0"/>
        <w:autoSpaceDN w:val="0"/>
        <w:adjustRightInd w:val="0"/>
        <w:spacing w:after="0" w:line="240" w:lineRule="auto"/>
        <w:rPr>
          <w:rFonts w:cs="Arial"/>
          <w:color w:val="000000"/>
          <w:szCs w:val="24"/>
        </w:rPr>
      </w:pPr>
      <w:r w:rsidRPr="00855FB2">
        <w:rPr>
          <w:rFonts w:cs="Arial"/>
          <w:color w:val="000000"/>
          <w:szCs w:val="24"/>
        </w:rPr>
        <w:t xml:space="preserve">Para los regalos y donaciones de efectivo u otros activos monetarios y bienes y servicios en especie, el suceso pasado que da lugar al control de recursos que incorporan beneficios económicos futuros o potencial de servicio es, normalmente, la recepción del regalo o donación. </w:t>
      </w:r>
    </w:p>
    <w:p w14:paraId="7F1EABA7" w14:textId="77777777" w:rsidR="0055718E" w:rsidRPr="00855FB2" w:rsidRDefault="0055718E" w:rsidP="0055718E">
      <w:pPr>
        <w:autoSpaceDE w:val="0"/>
        <w:autoSpaceDN w:val="0"/>
        <w:adjustRightInd w:val="0"/>
        <w:spacing w:after="0" w:line="240" w:lineRule="auto"/>
        <w:rPr>
          <w:rFonts w:cs="Arial"/>
          <w:color w:val="000000"/>
          <w:szCs w:val="24"/>
        </w:rPr>
      </w:pPr>
    </w:p>
    <w:p w14:paraId="56AC1469" w14:textId="77777777" w:rsidR="0055718E" w:rsidRDefault="0055718E" w:rsidP="007F4626">
      <w:pPr>
        <w:numPr>
          <w:ilvl w:val="1"/>
          <w:numId w:val="39"/>
        </w:numPr>
        <w:autoSpaceDE w:val="0"/>
        <w:autoSpaceDN w:val="0"/>
        <w:adjustRightInd w:val="0"/>
        <w:spacing w:after="0" w:line="240" w:lineRule="auto"/>
        <w:ind w:left="1440" w:hanging="360"/>
        <w:rPr>
          <w:rFonts w:cs="Arial"/>
          <w:color w:val="000000"/>
          <w:szCs w:val="24"/>
        </w:rPr>
      </w:pPr>
      <w:r w:rsidRPr="00855FB2">
        <w:rPr>
          <w:rFonts w:cs="Arial"/>
          <w:color w:val="000000"/>
          <w:szCs w:val="24"/>
        </w:rPr>
        <w:t>Los regalos y donaciones (distintos de los servicios en especie) se reconocen como activos e ingresos cuando:</w:t>
      </w:r>
    </w:p>
    <w:p w14:paraId="2297EBF8" w14:textId="77777777" w:rsidR="0055718E" w:rsidRDefault="0055718E" w:rsidP="007F4626">
      <w:pPr>
        <w:numPr>
          <w:ilvl w:val="1"/>
          <w:numId w:val="39"/>
        </w:numPr>
        <w:autoSpaceDE w:val="0"/>
        <w:autoSpaceDN w:val="0"/>
        <w:adjustRightInd w:val="0"/>
        <w:spacing w:after="0" w:line="240" w:lineRule="auto"/>
        <w:ind w:left="1440" w:hanging="360"/>
        <w:rPr>
          <w:rFonts w:cs="Arial"/>
          <w:color w:val="000000"/>
          <w:szCs w:val="24"/>
        </w:rPr>
      </w:pPr>
      <w:r w:rsidRPr="00855FB2">
        <w:rPr>
          <w:rFonts w:cs="Arial"/>
          <w:color w:val="000000"/>
          <w:szCs w:val="24"/>
        </w:rPr>
        <w:t xml:space="preserve"> </w:t>
      </w:r>
    </w:p>
    <w:p w14:paraId="39444B2E" w14:textId="77777777" w:rsidR="0055718E" w:rsidRPr="00855FB2" w:rsidRDefault="0055718E" w:rsidP="007F4626">
      <w:pPr>
        <w:numPr>
          <w:ilvl w:val="1"/>
          <w:numId w:val="42"/>
        </w:numPr>
        <w:autoSpaceDE w:val="0"/>
        <w:autoSpaceDN w:val="0"/>
        <w:adjustRightInd w:val="0"/>
        <w:spacing w:after="0" w:line="240" w:lineRule="auto"/>
        <w:rPr>
          <w:rFonts w:cs="Arial"/>
          <w:color w:val="000000"/>
          <w:szCs w:val="24"/>
        </w:rPr>
      </w:pPr>
      <w:r>
        <w:rPr>
          <w:rFonts w:cs="Arial"/>
          <w:color w:val="000000"/>
          <w:szCs w:val="24"/>
        </w:rPr>
        <w:t>E</w:t>
      </w:r>
      <w:r w:rsidRPr="00855FB2">
        <w:rPr>
          <w:rFonts w:cs="Arial"/>
          <w:color w:val="000000"/>
          <w:szCs w:val="24"/>
        </w:rPr>
        <w:t xml:space="preserve">s probable que de los mismos se obtengan beneficios económicos o potencial de servicio futuros, siendo dicho momento el de recepción de los bienes o el de existencia de un acuerdo vinculante a tales efectos; y </w:t>
      </w:r>
    </w:p>
    <w:p w14:paraId="0C05057F" w14:textId="77777777" w:rsidR="0055718E" w:rsidRPr="00855FB2" w:rsidRDefault="0055718E" w:rsidP="007F4626">
      <w:pPr>
        <w:numPr>
          <w:ilvl w:val="1"/>
          <w:numId w:val="42"/>
        </w:numPr>
        <w:autoSpaceDE w:val="0"/>
        <w:autoSpaceDN w:val="0"/>
        <w:adjustRightInd w:val="0"/>
        <w:spacing w:after="0" w:line="240" w:lineRule="auto"/>
        <w:rPr>
          <w:rFonts w:cs="Arial"/>
          <w:color w:val="000000"/>
          <w:szCs w:val="24"/>
        </w:rPr>
      </w:pPr>
      <w:r>
        <w:rPr>
          <w:rFonts w:cs="Arial"/>
          <w:color w:val="000000"/>
          <w:szCs w:val="24"/>
        </w:rPr>
        <w:t>E</w:t>
      </w:r>
      <w:r w:rsidRPr="00855FB2">
        <w:rPr>
          <w:rFonts w:cs="Arial"/>
          <w:color w:val="000000"/>
          <w:szCs w:val="24"/>
        </w:rPr>
        <w:t xml:space="preserve">l valor razonable de los activos pueda ser medido de forma fiable. </w:t>
      </w:r>
    </w:p>
    <w:p w14:paraId="37B08E30" w14:textId="77777777" w:rsidR="0055718E" w:rsidRPr="00855FB2" w:rsidRDefault="0055718E" w:rsidP="007F4626">
      <w:pPr>
        <w:numPr>
          <w:ilvl w:val="1"/>
          <w:numId w:val="39"/>
        </w:numPr>
        <w:autoSpaceDE w:val="0"/>
        <w:autoSpaceDN w:val="0"/>
        <w:adjustRightInd w:val="0"/>
        <w:spacing w:after="0" w:line="240" w:lineRule="auto"/>
        <w:ind w:left="1440" w:hanging="360"/>
        <w:rPr>
          <w:rFonts w:cs="Arial"/>
          <w:color w:val="000000"/>
          <w:szCs w:val="24"/>
        </w:rPr>
      </w:pPr>
    </w:p>
    <w:p w14:paraId="0B4B91FF" w14:textId="77777777" w:rsidR="0055718E" w:rsidRPr="00855FB2" w:rsidRDefault="0055718E" w:rsidP="0055718E">
      <w:pPr>
        <w:autoSpaceDE w:val="0"/>
        <w:autoSpaceDN w:val="0"/>
        <w:adjustRightInd w:val="0"/>
        <w:spacing w:after="0" w:line="240" w:lineRule="auto"/>
        <w:rPr>
          <w:rFonts w:cs="Arial"/>
          <w:color w:val="000000"/>
          <w:szCs w:val="24"/>
        </w:rPr>
      </w:pPr>
      <w:r w:rsidRPr="00855FB2">
        <w:rPr>
          <w:rFonts w:cs="Arial"/>
          <w:color w:val="000000"/>
          <w:szCs w:val="24"/>
        </w:rPr>
        <w:t xml:space="preserve">Cuando se reconozcan donaciones recibidas en un ejercicio posterior al de su ocurrencia, y siempre que en dicho ejercicio (el de ocurrencia) se hubieran cumplido las condiciones para el reconocimiento como un activo, las mismas se incorporarán con cargo a resultados de ejercicios anteriores, aplicando los criterios de corrección de errores estipulados en el presente PGCN. </w:t>
      </w:r>
    </w:p>
    <w:p w14:paraId="6D2C8CD8" w14:textId="77777777" w:rsidR="0055718E" w:rsidRDefault="0055718E" w:rsidP="0055718E">
      <w:pPr>
        <w:spacing w:after="0" w:line="240" w:lineRule="auto"/>
        <w:rPr>
          <w:rFonts w:cs="Arial"/>
          <w:color w:val="000000"/>
          <w:szCs w:val="24"/>
        </w:rPr>
      </w:pPr>
    </w:p>
    <w:p w14:paraId="612436EC" w14:textId="77777777" w:rsidR="0055718E" w:rsidRPr="00C17425" w:rsidRDefault="0055718E" w:rsidP="0055718E">
      <w:pPr>
        <w:spacing w:after="0" w:line="240" w:lineRule="auto"/>
        <w:rPr>
          <w:szCs w:val="24"/>
        </w:rPr>
      </w:pPr>
      <w:r w:rsidRPr="00C17425">
        <w:rPr>
          <w:rFonts w:cs="Arial"/>
          <w:color w:val="000000"/>
          <w:szCs w:val="24"/>
        </w:rPr>
        <w:t>En cambio, si el ejercicio de reconocimiento coincide con aquél en que se cumplen las referidas condiciones (aún en el caso que se trate de un ejercicio posterior al de ocurrencia), las donaciones se reconocerán como ingresos.</w:t>
      </w:r>
    </w:p>
    <w:p w14:paraId="455BF0B3" w14:textId="77777777" w:rsidR="0055718E" w:rsidRDefault="0055718E" w:rsidP="0055718E">
      <w:pPr>
        <w:spacing w:after="0" w:line="240" w:lineRule="auto"/>
      </w:pPr>
    </w:p>
    <w:p w14:paraId="732DCB41" w14:textId="77777777" w:rsidR="0055718E" w:rsidRPr="00C17425" w:rsidRDefault="0055718E" w:rsidP="0055718E">
      <w:pPr>
        <w:spacing w:after="0" w:line="240" w:lineRule="auto"/>
        <w:rPr>
          <w:b/>
          <w:bCs/>
        </w:rPr>
      </w:pPr>
      <w:r w:rsidRPr="00C17425">
        <w:rPr>
          <w:b/>
          <w:bCs/>
        </w:rPr>
        <w:t>Otras Revelaciones</w:t>
      </w:r>
    </w:p>
    <w:p w14:paraId="3EDB80B6" w14:textId="77777777" w:rsidR="0055718E" w:rsidRDefault="0055718E" w:rsidP="0055718E">
      <w:pPr>
        <w:spacing w:after="0" w:line="240" w:lineRule="auto"/>
      </w:pPr>
    </w:p>
    <w:p w14:paraId="05E5A8F4" w14:textId="77777777" w:rsidR="0055718E" w:rsidRPr="005C6BF2" w:rsidRDefault="0055718E" w:rsidP="0055718E">
      <w:pPr>
        <w:spacing w:after="0" w:line="240" w:lineRule="auto"/>
      </w:pPr>
      <w:r w:rsidRPr="005C6BF2">
        <w:t>Es preciso indicar que las cifras de ingreso se están presentando bajo el método de contabilidad de devengo. Al respecto debe señalarse, que los principales ingresos por impuestos y patentes son establecidos para su medición con base en lo establecido en la normativa legal vigente; a saber: el Impuesto sobre la propiedad de bienes inmuebles con fundamento en la Ley N° 7509. Impuesto sobre Bienes Inmuebles, las patentes conforme lo establecido en la Ley 7794, Código Municipal, y las patentes municipales con base en Reglamento de Patentes Municipales de la Municipalidad de Buenos Aires.</w:t>
      </w:r>
    </w:p>
    <w:p w14:paraId="568F3C28" w14:textId="77777777" w:rsidR="0055718E" w:rsidRPr="005C6BF2" w:rsidRDefault="0055718E" w:rsidP="0055718E">
      <w:pPr>
        <w:spacing w:after="0" w:line="240" w:lineRule="auto"/>
      </w:pPr>
    </w:p>
    <w:p w14:paraId="5003A81E" w14:textId="77777777" w:rsidR="0055718E" w:rsidRPr="00251F8D" w:rsidRDefault="0055718E" w:rsidP="0055718E">
      <w:pPr>
        <w:spacing w:after="0" w:line="240" w:lineRule="auto"/>
      </w:pPr>
      <w:r w:rsidRPr="005C6BF2">
        <w:lastRenderedPageBreak/>
        <w:t xml:space="preserve">Por otra parte, en el caso de las transferencias, la medición y registro se fundamenta lo consignado en </w:t>
      </w:r>
      <w:r w:rsidRPr="00251F8D">
        <w:t>la Ley de Presupuesto Ordinario y Extraordinario de la República para el Ejercicio Económico 2023, siendo las cifras que se registran contablemente las incluidas en el presupuesto inicial de la Municipalidad, que corresponde a las sumas que se prevé recibir, las que provienen fundamentalmente del Sector Público. Sobre el particular, debe indicarse que en cumplimiento de lo dispuesto en el artículo 25 de la Ley de Fortalecimiento de las Finanzas Públicas, aquellos destinos específicos que no estén expresamente dispuestos en la Constitución Política o cuyo financiamiento no provengan de una renta especial, el Ministerio de Hacienda tendrá discrecionalidad en la asignación de los recursos de acuerdo con la situación fiscal del país y con los criterios establecidos en el artículo 23 de dicha ley.</w:t>
      </w:r>
    </w:p>
    <w:p w14:paraId="37555BB8" w14:textId="77777777" w:rsidR="0055718E" w:rsidRPr="00251F8D" w:rsidRDefault="0055718E" w:rsidP="0055718E">
      <w:pPr>
        <w:spacing w:after="0" w:line="240" w:lineRule="auto"/>
      </w:pPr>
    </w:p>
    <w:p w14:paraId="60AC6CFF" w14:textId="5B7E5DBD" w:rsidR="0055718E" w:rsidRPr="00251F8D" w:rsidRDefault="0055718E" w:rsidP="0055718E">
      <w:pPr>
        <w:spacing w:after="0" w:line="240" w:lineRule="auto"/>
      </w:pPr>
      <w:r w:rsidRPr="00251F8D">
        <w:t>Finalmente, debe mencionarse que la Municipalidad registró en el año 202</w:t>
      </w:r>
      <w:r w:rsidR="00251F8D" w:rsidRPr="00251F8D">
        <w:t>4</w:t>
      </w:r>
      <w:r w:rsidRPr="00251F8D">
        <w:t xml:space="preserve"> los impuestos cuyo importe por recaudar se puede medir con fiabilidad; y que en ese mismo periodo no se percibieron legados, regalos y donaciones en especie de terceros.</w:t>
      </w:r>
    </w:p>
    <w:p w14:paraId="51DE5398" w14:textId="77777777" w:rsidR="0055718E" w:rsidRPr="00251F8D" w:rsidRDefault="0055718E" w:rsidP="0055718E">
      <w:pPr>
        <w:spacing w:after="0" w:line="240" w:lineRule="auto"/>
      </w:pPr>
    </w:p>
    <w:p w14:paraId="18FBF647" w14:textId="59163D91" w:rsidR="0055718E" w:rsidRPr="00251F8D" w:rsidRDefault="0055718E" w:rsidP="00251F8D">
      <w:pPr>
        <w:spacing w:line="240" w:lineRule="auto"/>
        <w:rPr>
          <w:szCs w:val="24"/>
          <w:lang w:eastAsia="es-CR"/>
        </w:rPr>
      </w:pPr>
      <w:r w:rsidRPr="00251F8D">
        <w:rPr>
          <w:szCs w:val="24"/>
          <w:lang w:eastAsia="es-CR"/>
        </w:rPr>
        <w:t xml:space="preserve">De acuerdo con lo consignado en la Matriz de NICSP y Plan de Acción al </w:t>
      </w:r>
      <w:r w:rsidR="00796636" w:rsidRPr="00251F8D">
        <w:rPr>
          <w:szCs w:val="24"/>
          <w:lang w:eastAsia="es-CR"/>
        </w:rPr>
        <w:t>31</w:t>
      </w:r>
      <w:r w:rsidRPr="00251F8D">
        <w:rPr>
          <w:szCs w:val="24"/>
          <w:lang w:eastAsia="es-CR"/>
        </w:rPr>
        <w:t xml:space="preserve"> de </w:t>
      </w:r>
      <w:r w:rsidR="00D64CF8" w:rsidRPr="00251F8D">
        <w:rPr>
          <w:szCs w:val="24"/>
          <w:lang w:eastAsia="es-CR"/>
        </w:rPr>
        <w:t>diciembre</w:t>
      </w:r>
      <w:r w:rsidRPr="00251F8D">
        <w:rPr>
          <w:szCs w:val="24"/>
          <w:lang w:eastAsia="es-CR"/>
        </w:rPr>
        <w:t xml:space="preserve"> </w:t>
      </w:r>
      <w:r w:rsidR="00251F8D">
        <w:rPr>
          <w:szCs w:val="24"/>
          <w:lang w:eastAsia="es-CR"/>
        </w:rPr>
        <w:t xml:space="preserve">2024 </w:t>
      </w:r>
      <w:r w:rsidRPr="00251F8D">
        <w:rPr>
          <w:szCs w:val="24"/>
          <w:lang w:eastAsia="es-CR"/>
        </w:rPr>
        <w:t>se encuentra pendiente de implementar lo siguiente:</w:t>
      </w:r>
    </w:p>
    <w:tbl>
      <w:tblPr>
        <w:tblW w:w="8955" w:type="dxa"/>
        <w:tblLook w:val="04A0" w:firstRow="1" w:lastRow="0" w:firstColumn="1" w:lastColumn="0" w:noHBand="0" w:noVBand="1"/>
      </w:tblPr>
      <w:tblGrid>
        <w:gridCol w:w="7645"/>
        <w:gridCol w:w="1310"/>
      </w:tblGrid>
      <w:tr w:rsidR="0055718E" w:rsidRPr="0055718E" w14:paraId="3B312E10" w14:textId="77777777" w:rsidTr="0061790F">
        <w:trPr>
          <w:trHeight w:val="685"/>
        </w:trPr>
        <w:tc>
          <w:tcPr>
            <w:tcW w:w="7645"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1523CD40" w14:textId="77777777" w:rsidR="0055718E" w:rsidRPr="00F000C2" w:rsidRDefault="0055718E" w:rsidP="0061790F">
            <w:pPr>
              <w:spacing w:after="0" w:line="240" w:lineRule="auto"/>
              <w:jc w:val="center"/>
              <w:rPr>
                <w:rFonts w:eastAsia="Times New Roman" w:cs="Calibri"/>
                <w:b/>
                <w:bCs/>
                <w:sz w:val="20"/>
                <w:szCs w:val="20"/>
                <w:lang w:val="en-US"/>
              </w:rPr>
            </w:pPr>
            <w:proofErr w:type="spellStart"/>
            <w:r w:rsidRPr="00F000C2">
              <w:rPr>
                <w:rFonts w:eastAsia="Times New Roman" w:cs="Calibri"/>
                <w:b/>
                <w:bCs/>
                <w:sz w:val="20"/>
                <w:szCs w:val="20"/>
                <w:lang w:val="en-US"/>
              </w:rPr>
              <w:t>Actividades</w:t>
            </w:r>
            <w:proofErr w:type="spellEnd"/>
            <w:r w:rsidRPr="00F000C2">
              <w:rPr>
                <w:rFonts w:eastAsia="Times New Roman" w:cs="Calibri"/>
                <w:b/>
                <w:bCs/>
                <w:sz w:val="20"/>
                <w:szCs w:val="20"/>
                <w:lang w:val="en-US"/>
              </w:rPr>
              <w:t xml:space="preserve"> </w:t>
            </w:r>
            <w:proofErr w:type="spellStart"/>
            <w:r w:rsidRPr="00F000C2">
              <w:rPr>
                <w:rFonts w:eastAsia="Times New Roman" w:cs="Calibri"/>
                <w:b/>
                <w:bCs/>
                <w:sz w:val="20"/>
                <w:szCs w:val="20"/>
                <w:lang w:val="en-US"/>
              </w:rPr>
              <w:t>Pendientes</w:t>
            </w:r>
            <w:proofErr w:type="spellEnd"/>
            <w:r w:rsidRPr="00F000C2">
              <w:rPr>
                <w:rFonts w:eastAsia="Times New Roman" w:cs="Calibri"/>
                <w:b/>
                <w:bCs/>
                <w:sz w:val="20"/>
                <w:szCs w:val="20"/>
                <w:lang w:val="en-US"/>
              </w:rPr>
              <w:t xml:space="preserve"> de </w:t>
            </w:r>
            <w:proofErr w:type="spellStart"/>
            <w:r w:rsidRPr="00F000C2">
              <w:rPr>
                <w:rFonts w:eastAsia="Times New Roman" w:cs="Calibri"/>
                <w:b/>
                <w:bCs/>
                <w:sz w:val="20"/>
                <w:szCs w:val="20"/>
                <w:lang w:val="en-US"/>
              </w:rPr>
              <w:t>Cumplimiento</w:t>
            </w:r>
            <w:proofErr w:type="spellEnd"/>
          </w:p>
        </w:tc>
        <w:tc>
          <w:tcPr>
            <w:tcW w:w="1310" w:type="dxa"/>
            <w:tcBorders>
              <w:top w:val="single" w:sz="8" w:space="0" w:color="auto"/>
              <w:left w:val="nil"/>
              <w:bottom w:val="single" w:sz="4" w:space="0" w:color="auto"/>
              <w:right w:val="single" w:sz="8" w:space="0" w:color="auto"/>
            </w:tcBorders>
            <w:shd w:val="clear" w:color="000000" w:fill="FFFFFF"/>
            <w:vAlign w:val="bottom"/>
            <w:hideMark/>
          </w:tcPr>
          <w:p w14:paraId="1985C05B" w14:textId="77777777" w:rsidR="0055718E" w:rsidRPr="00F000C2" w:rsidRDefault="0055718E" w:rsidP="0061790F">
            <w:pPr>
              <w:spacing w:after="0" w:line="240" w:lineRule="auto"/>
              <w:jc w:val="center"/>
              <w:rPr>
                <w:rFonts w:eastAsia="Times New Roman" w:cs="Calibri"/>
                <w:b/>
                <w:bCs/>
                <w:color w:val="000000"/>
                <w:sz w:val="20"/>
                <w:szCs w:val="20"/>
                <w:lang w:val="en-US"/>
              </w:rPr>
            </w:pPr>
            <w:proofErr w:type="spellStart"/>
            <w:r w:rsidRPr="00F000C2">
              <w:rPr>
                <w:rFonts w:eastAsia="Times New Roman" w:cs="Calibri"/>
                <w:b/>
                <w:bCs/>
                <w:color w:val="000000"/>
                <w:sz w:val="20"/>
                <w:szCs w:val="20"/>
                <w:lang w:val="en-US"/>
              </w:rPr>
              <w:t>Fecha</w:t>
            </w:r>
            <w:proofErr w:type="spellEnd"/>
            <w:r w:rsidRPr="00F000C2">
              <w:rPr>
                <w:rFonts w:eastAsia="Times New Roman" w:cs="Calibri"/>
                <w:b/>
                <w:bCs/>
                <w:color w:val="000000"/>
                <w:sz w:val="20"/>
                <w:szCs w:val="20"/>
                <w:lang w:val="en-US"/>
              </w:rPr>
              <w:t xml:space="preserve"> </w:t>
            </w:r>
            <w:proofErr w:type="spellStart"/>
            <w:r w:rsidRPr="00F000C2">
              <w:rPr>
                <w:rFonts w:eastAsia="Times New Roman" w:cs="Calibri"/>
                <w:b/>
                <w:bCs/>
                <w:color w:val="000000"/>
                <w:sz w:val="20"/>
                <w:szCs w:val="20"/>
                <w:lang w:val="en-US"/>
              </w:rPr>
              <w:t>Estimada</w:t>
            </w:r>
            <w:proofErr w:type="spellEnd"/>
            <w:r w:rsidRPr="00F000C2">
              <w:rPr>
                <w:rFonts w:eastAsia="Times New Roman" w:cs="Calibri"/>
                <w:b/>
                <w:bCs/>
                <w:color w:val="000000"/>
                <w:sz w:val="20"/>
                <w:szCs w:val="20"/>
                <w:lang w:val="en-US"/>
              </w:rPr>
              <w:t xml:space="preserve"> </w:t>
            </w:r>
            <w:proofErr w:type="spellStart"/>
            <w:r w:rsidRPr="00F000C2">
              <w:rPr>
                <w:rFonts w:eastAsia="Times New Roman" w:cs="Calibri"/>
                <w:b/>
                <w:bCs/>
                <w:color w:val="000000"/>
                <w:sz w:val="20"/>
                <w:szCs w:val="20"/>
                <w:lang w:val="en-US"/>
              </w:rPr>
              <w:t>Cumplimiento</w:t>
            </w:r>
            <w:proofErr w:type="spellEnd"/>
          </w:p>
        </w:tc>
      </w:tr>
      <w:tr w:rsidR="0055718E" w:rsidRPr="0055718E" w14:paraId="624313F1" w14:textId="77777777" w:rsidTr="0061790F">
        <w:trPr>
          <w:trHeight w:val="469"/>
        </w:trPr>
        <w:tc>
          <w:tcPr>
            <w:tcW w:w="7645" w:type="dxa"/>
            <w:tcBorders>
              <w:top w:val="nil"/>
              <w:left w:val="single" w:sz="4" w:space="0" w:color="auto"/>
              <w:bottom w:val="single" w:sz="4" w:space="0" w:color="auto"/>
              <w:right w:val="single" w:sz="4" w:space="0" w:color="auto"/>
            </w:tcBorders>
            <w:shd w:val="clear" w:color="000000" w:fill="FFFFFF"/>
            <w:hideMark/>
          </w:tcPr>
          <w:p w14:paraId="68C0EED5" w14:textId="77777777" w:rsidR="0055718E" w:rsidRPr="00F000C2" w:rsidRDefault="0055718E" w:rsidP="0061790F">
            <w:pPr>
              <w:spacing w:after="0" w:line="240" w:lineRule="auto"/>
              <w:rPr>
                <w:rFonts w:ascii="Arial" w:eastAsia="Times New Roman" w:hAnsi="Arial" w:cs="Arial"/>
                <w:sz w:val="20"/>
                <w:szCs w:val="20"/>
              </w:rPr>
            </w:pPr>
            <w:r w:rsidRPr="00F000C2">
              <w:rPr>
                <w:rFonts w:ascii="Arial" w:eastAsia="Times New Roman" w:hAnsi="Arial" w:cs="Arial"/>
                <w:sz w:val="20"/>
                <w:szCs w:val="20"/>
              </w:rPr>
              <w:t>Contabilizar a la fecha de balance los importes que surgen de transacciones sin contraprestación, utilizando la mejor estimación de dicho importe.</w:t>
            </w:r>
          </w:p>
        </w:tc>
        <w:tc>
          <w:tcPr>
            <w:tcW w:w="1310" w:type="dxa"/>
            <w:tcBorders>
              <w:top w:val="nil"/>
              <w:left w:val="nil"/>
              <w:bottom w:val="single" w:sz="4" w:space="0" w:color="auto"/>
              <w:right w:val="single" w:sz="4" w:space="0" w:color="auto"/>
            </w:tcBorders>
            <w:shd w:val="clear" w:color="000000" w:fill="FFFFFF"/>
            <w:noWrap/>
            <w:vAlign w:val="center"/>
            <w:hideMark/>
          </w:tcPr>
          <w:p w14:paraId="4C97451C" w14:textId="1C3A619E" w:rsidR="0055718E" w:rsidRPr="00F000C2" w:rsidRDefault="00796636" w:rsidP="0061790F">
            <w:pPr>
              <w:spacing w:after="0" w:line="240" w:lineRule="auto"/>
              <w:jc w:val="center"/>
              <w:rPr>
                <w:rFonts w:ascii="Arial" w:eastAsia="Times New Roman" w:hAnsi="Arial" w:cs="Arial"/>
                <w:sz w:val="20"/>
                <w:szCs w:val="20"/>
                <w:lang w:val="en-US"/>
              </w:rPr>
            </w:pPr>
            <w:r w:rsidRPr="00F000C2">
              <w:rPr>
                <w:rFonts w:ascii="Arial" w:eastAsia="Times New Roman" w:hAnsi="Arial" w:cs="Arial"/>
                <w:sz w:val="20"/>
                <w:szCs w:val="20"/>
                <w:lang w:val="en-US"/>
              </w:rPr>
              <w:t>3</w:t>
            </w:r>
            <w:r w:rsidR="00251F8D" w:rsidRPr="00F000C2">
              <w:rPr>
                <w:rFonts w:ascii="Arial" w:eastAsia="Times New Roman" w:hAnsi="Arial" w:cs="Arial"/>
                <w:sz w:val="20"/>
                <w:szCs w:val="20"/>
                <w:lang w:val="en-US"/>
              </w:rPr>
              <w:t>0</w:t>
            </w:r>
            <w:r w:rsidR="00492E8C" w:rsidRPr="00F000C2">
              <w:rPr>
                <w:rFonts w:ascii="Arial" w:eastAsia="Times New Roman" w:hAnsi="Arial" w:cs="Arial"/>
                <w:sz w:val="20"/>
                <w:szCs w:val="20"/>
                <w:lang w:val="en-US"/>
              </w:rPr>
              <w:t>/06/25</w:t>
            </w:r>
          </w:p>
        </w:tc>
      </w:tr>
      <w:tr w:rsidR="00492E8C" w:rsidRPr="0055718E" w14:paraId="2E8E3C20" w14:textId="77777777" w:rsidTr="0061790F">
        <w:trPr>
          <w:trHeight w:val="500"/>
        </w:trPr>
        <w:tc>
          <w:tcPr>
            <w:tcW w:w="7645" w:type="dxa"/>
            <w:tcBorders>
              <w:top w:val="nil"/>
              <w:left w:val="single" w:sz="4" w:space="0" w:color="auto"/>
              <w:bottom w:val="single" w:sz="4" w:space="0" w:color="auto"/>
              <w:right w:val="single" w:sz="4" w:space="0" w:color="auto"/>
            </w:tcBorders>
            <w:shd w:val="clear" w:color="000000" w:fill="FFFFFF"/>
            <w:hideMark/>
          </w:tcPr>
          <w:p w14:paraId="4260FD69" w14:textId="77777777" w:rsidR="00492E8C" w:rsidRPr="00F000C2" w:rsidRDefault="00492E8C" w:rsidP="00492E8C">
            <w:pPr>
              <w:spacing w:after="0" w:line="240" w:lineRule="auto"/>
              <w:rPr>
                <w:rFonts w:ascii="Arial" w:eastAsia="Times New Roman" w:hAnsi="Arial" w:cs="Arial"/>
                <w:sz w:val="20"/>
                <w:szCs w:val="20"/>
              </w:rPr>
            </w:pPr>
            <w:r w:rsidRPr="00F000C2">
              <w:rPr>
                <w:rFonts w:ascii="Arial" w:eastAsia="Times New Roman" w:hAnsi="Arial" w:cs="Arial"/>
                <w:sz w:val="20"/>
                <w:szCs w:val="20"/>
              </w:rPr>
              <w:t>Contabilizar como un pasivo a la fecha de balance los importes que surgen de impuestos recibidos por adelantado.</w:t>
            </w:r>
          </w:p>
        </w:tc>
        <w:tc>
          <w:tcPr>
            <w:tcW w:w="1310" w:type="dxa"/>
            <w:tcBorders>
              <w:top w:val="nil"/>
              <w:left w:val="nil"/>
              <w:bottom w:val="single" w:sz="4" w:space="0" w:color="auto"/>
              <w:right w:val="single" w:sz="4" w:space="0" w:color="auto"/>
            </w:tcBorders>
            <w:shd w:val="clear" w:color="000000" w:fill="FFFFFF"/>
            <w:noWrap/>
            <w:hideMark/>
          </w:tcPr>
          <w:p w14:paraId="1DE67E76" w14:textId="6B8701AD" w:rsidR="00492E8C" w:rsidRPr="00F000C2" w:rsidRDefault="00251F8D" w:rsidP="00492E8C">
            <w:pPr>
              <w:spacing w:after="0" w:line="240" w:lineRule="auto"/>
              <w:jc w:val="center"/>
              <w:rPr>
                <w:rFonts w:ascii="Arial" w:eastAsia="Times New Roman" w:hAnsi="Arial" w:cs="Arial"/>
                <w:sz w:val="20"/>
                <w:szCs w:val="20"/>
                <w:lang w:val="en-US"/>
              </w:rPr>
            </w:pPr>
            <w:r w:rsidRPr="00F000C2">
              <w:rPr>
                <w:rFonts w:ascii="Arial" w:eastAsia="Times New Roman" w:hAnsi="Arial" w:cs="Arial"/>
                <w:sz w:val="20"/>
                <w:szCs w:val="20"/>
                <w:lang w:val="en-US"/>
              </w:rPr>
              <w:t>30/06/25</w:t>
            </w:r>
          </w:p>
        </w:tc>
      </w:tr>
      <w:tr w:rsidR="00492E8C" w:rsidRPr="0055718E" w14:paraId="15B37ADA" w14:textId="77777777" w:rsidTr="0061790F">
        <w:trPr>
          <w:trHeight w:val="611"/>
        </w:trPr>
        <w:tc>
          <w:tcPr>
            <w:tcW w:w="7645" w:type="dxa"/>
            <w:tcBorders>
              <w:top w:val="nil"/>
              <w:left w:val="single" w:sz="4" w:space="0" w:color="auto"/>
              <w:bottom w:val="single" w:sz="4" w:space="0" w:color="auto"/>
              <w:right w:val="single" w:sz="4" w:space="0" w:color="auto"/>
            </w:tcBorders>
            <w:shd w:val="clear" w:color="000000" w:fill="FFFFFF"/>
            <w:hideMark/>
          </w:tcPr>
          <w:p w14:paraId="21A56780" w14:textId="77777777" w:rsidR="00492E8C" w:rsidRPr="00F000C2" w:rsidRDefault="00492E8C" w:rsidP="00492E8C">
            <w:pPr>
              <w:spacing w:after="0" w:line="240" w:lineRule="auto"/>
              <w:rPr>
                <w:rFonts w:ascii="Arial" w:eastAsia="Times New Roman" w:hAnsi="Arial" w:cs="Arial"/>
                <w:sz w:val="20"/>
                <w:szCs w:val="20"/>
              </w:rPr>
            </w:pPr>
            <w:r w:rsidRPr="00F000C2">
              <w:rPr>
                <w:rFonts w:ascii="Arial" w:eastAsia="Times New Roman" w:hAnsi="Arial" w:cs="Arial"/>
                <w:sz w:val="20"/>
                <w:szCs w:val="20"/>
              </w:rPr>
              <w:t>Establecer los criterios para el reconocimiento como un activo de los bienes en especie recibidos, según lo establecido en la NICSP 23 al momento de su recibo, o cuando exista un acuerdo vinculante que obliga a recibirlos.</w:t>
            </w:r>
          </w:p>
        </w:tc>
        <w:tc>
          <w:tcPr>
            <w:tcW w:w="1310" w:type="dxa"/>
            <w:tcBorders>
              <w:top w:val="nil"/>
              <w:left w:val="nil"/>
              <w:bottom w:val="single" w:sz="4" w:space="0" w:color="auto"/>
              <w:right w:val="single" w:sz="4" w:space="0" w:color="auto"/>
            </w:tcBorders>
            <w:shd w:val="clear" w:color="000000" w:fill="FFFFFF"/>
            <w:noWrap/>
            <w:hideMark/>
          </w:tcPr>
          <w:p w14:paraId="6180651A" w14:textId="11EDA239" w:rsidR="00492E8C" w:rsidRPr="00F000C2" w:rsidRDefault="00251F8D" w:rsidP="00492E8C">
            <w:pPr>
              <w:spacing w:after="0" w:line="240" w:lineRule="auto"/>
              <w:jc w:val="center"/>
              <w:rPr>
                <w:rFonts w:ascii="Arial" w:eastAsia="Times New Roman" w:hAnsi="Arial" w:cs="Arial"/>
                <w:sz w:val="20"/>
                <w:szCs w:val="20"/>
                <w:lang w:val="en-US"/>
              </w:rPr>
            </w:pPr>
            <w:r w:rsidRPr="00F000C2">
              <w:rPr>
                <w:rFonts w:ascii="Arial" w:eastAsia="Times New Roman" w:hAnsi="Arial" w:cs="Arial"/>
                <w:sz w:val="20"/>
                <w:szCs w:val="20"/>
                <w:lang w:val="en-US"/>
              </w:rPr>
              <w:t>30/06/25</w:t>
            </w:r>
          </w:p>
        </w:tc>
      </w:tr>
      <w:tr w:rsidR="00492E8C" w:rsidRPr="008A2790" w14:paraId="3B9AA19E" w14:textId="77777777" w:rsidTr="00796636">
        <w:trPr>
          <w:trHeight w:val="290"/>
        </w:trPr>
        <w:tc>
          <w:tcPr>
            <w:tcW w:w="7645" w:type="dxa"/>
            <w:tcBorders>
              <w:top w:val="nil"/>
              <w:left w:val="single" w:sz="4" w:space="0" w:color="auto"/>
              <w:bottom w:val="single" w:sz="4" w:space="0" w:color="auto"/>
              <w:right w:val="single" w:sz="4" w:space="0" w:color="auto"/>
            </w:tcBorders>
            <w:shd w:val="clear" w:color="000000" w:fill="FFFFFF"/>
            <w:hideMark/>
          </w:tcPr>
          <w:p w14:paraId="217CBFF5" w14:textId="77777777" w:rsidR="00492E8C" w:rsidRPr="00F000C2" w:rsidRDefault="00492E8C" w:rsidP="00492E8C">
            <w:pPr>
              <w:spacing w:after="0" w:line="240" w:lineRule="auto"/>
              <w:rPr>
                <w:rFonts w:ascii="Arial" w:eastAsia="Times New Roman" w:hAnsi="Arial" w:cs="Arial"/>
                <w:sz w:val="20"/>
                <w:szCs w:val="20"/>
              </w:rPr>
            </w:pPr>
            <w:r w:rsidRPr="00F000C2">
              <w:rPr>
                <w:rFonts w:ascii="Arial" w:eastAsia="Times New Roman" w:hAnsi="Arial" w:cs="Arial"/>
                <w:sz w:val="20"/>
                <w:szCs w:val="20"/>
              </w:rPr>
              <w:t>Realizar las revelaciones indicadas en la norma.</w:t>
            </w:r>
          </w:p>
        </w:tc>
        <w:tc>
          <w:tcPr>
            <w:tcW w:w="1310" w:type="dxa"/>
            <w:tcBorders>
              <w:top w:val="nil"/>
              <w:left w:val="nil"/>
              <w:bottom w:val="single" w:sz="4" w:space="0" w:color="auto"/>
              <w:right w:val="single" w:sz="4" w:space="0" w:color="auto"/>
            </w:tcBorders>
            <w:shd w:val="clear" w:color="000000" w:fill="FFFFFF"/>
            <w:noWrap/>
            <w:hideMark/>
          </w:tcPr>
          <w:p w14:paraId="49DCEDC6" w14:textId="7A058210" w:rsidR="00492E8C" w:rsidRPr="00F000C2" w:rsidRDefault="00251F8D" w:rsidP="00492E8C">
            <w:pPr>
              <w:spacing w:after="0" w:line="240" w:lineRule="auto"/>
              <w:jc w:val="center"/>
              <w:rPr>
                <w:rFonts w:ascii="Arial" w:eastAsia="Times New Roman" w:hAnsi="Arial" w:cs="Arial"/>
                <w:sz w:val="20"/>
                <w:szCs w:val="20"/>
                <w:lang w:val="en-US"/>
              </w:rPr>
            </w:pPr>
            <w:r w:rsidRPr="00F000C2">
              <w:rPr>
                <w:rFonts w:ascii="Arial" w:eastAsia="Times New Roman" w:hAnsi="Arial" w:cs="Arial"/>
                <w:sz w:val="20"/>
                <w:szCs w:val="20"/>
                <w:lang w:val="en-US"/>
              </w:rPr>
              <w:t>30/06/25</w:t>
            </w:r>
          </w:p>
        </w:tc>
      </w:tr>
    </w:tbl>
    <w:p w14:paraId="3636F853" w14:textId="34253DDD" w:rsidR="0055718E" w:rsidRDefault="0055718E" w:rsidP="0055718E">
      <w:pPr>
        <w:spacing w:after="0" w:line="240" w:lineRule="auto"/>
      </w:pPr>
    </w:p>
    <w:p w14:paraId="2130002E" w14:textId="4D9F20E0" w:rsidR="00F000C2" w:rsidRPr="00EE66B3" w:rsidRDefault="00F000C2" w:rsidP="00F000C2">
      <w:pPr>
        <w:pStyle w:val="Ttulo2"/>
        <w:spacing w:after="240" w:line="240" w:lineRule="auto"/>
        <w:rPr>
          <w:rFonts w:eastAsiaTheme="minorHAnsi" w:cstheme="minorBidi"/>
          <w:color w:val="auto"/>
          <w:szCs w:val="22"/>
        </w:rPr>
      </w:pPr>
      <w:bookmarkStart w:id="93" w:name="_Toc189804805"/>
      <w:r w:rsidRPr="00EE66B3">
        <w:rPr>
          <w:color w:val="auto"/>
          <w:lang w:eastAsia="es-CR"/>
        </w:rPr>
        <w:t xml:space="preserve">Se hizo extensión a la fecha prevista esto debido a las cargas de trabajo en la institución, por tanto, no se pudo completar las actividades requeridas a la Norma </w:t>
      </w:r>
      <w:r>
        <w:rPr>
          <w:color w:val="auto"/>
          <w:lang w:val="es-MX"/>
        </w:rPr>
        <w:t>NICSP 23</w:t>
      </w:r>
      <w:bookmarkEnd w:id="93"/>
    </w:p>
    <w:p w14:paraId="29941AC3" w14:textId="698CB3EE" w:rsidR="00AB6161" w:rsidRDefault="00AB6161" w:rsidP="00AB6161"/>
    <w:p w14:paraId="1DDEA62F" w14:textId="401013D9" w:rsidR="00AB6161" w:rsidRPr="00A649A4" w:rsidRDefault="00AB6161" w:rsidP="00A649A4">
      <w:pPr>
        <w:pStyle w:val="Ttulo2"/>
        <w:spacing w:after="240"/>
        <w:rPr>
          <w:rFonts w:eastAsia="Times New Roman"/>
          <w:lang w:eastAsia="es-CR"/>
        </w:rPr>
      </w:pPr>
      <w:bookmarkStart w:id="94" w:name="_Toc54961687"/>
      <w:bookmarkStart w:id="95" w:name="_Toc82768885"/>
      <w:bookmarkStart w:id="96" w:name="_Toc189804806"/>
      <w:r w:rsidRPr="00AB6161">
        <w:rPr>
          <w:rFonts w:eastAsia="Times New Roman"/>
          <w:lang w:eastAsia="es-CR"/>
        </w:rPr>
        <w:t>NICSP 24- PRESENTACIÓN DE INFORMACIÓN DEL PRESUPUESTO EN LOS ESTADOS FINANCIEROS</w:t>
      </w:r>
      <w:bookmarkEnd w:id="94"/>
      <w:r w:rsidRPr="00AB6161">
        <w:rPr>
          <w:rFonts w:eastAsia="Times New Roman"/>
          <w:lang w:eastAsia="es-CR"/>
        </w:rPr>
        <w:t xml:space="preserve"> (DE APLICACIÓN OBLIGATORIA):</w:t>
      </w:r>
      <w:bookmarkEnd w:id="95"/>
      <w:bookmarkEnd w:id="96"/>
      <w:r w:rsidRPr="00AB6161">
        <w:rPr>
          <w:rFonts w:eastAsia="Times New Roman"/>
          <w:lang w:eastAsia="es-CR"/>
        </w:rPr>
        <w:t xml:space="preserve"> </w:t>
      </w:r>
    </w:p>
    <w:p w14:paraId="70DBF83A" w14:textId="77777777" w:rsidR="00036537" w:rsidRDefault="00AB6161" w:rsidP="00C5447D">
      <w:r w:rsidRPr="00FB0858">
        <w:t xml:space="preserve">De acuerdo con la </w:t>
      </w:r>
      <w:r w:rsidRPr="000B404C">
        <w:t xml:space="preserve">De acuerdo con la </w:t>
      </w:r>
      <w:r w:rsidRPr="00AB6161">
        <w:t xml:space="preserve">NICSP 24 </w:t>
      </w:r>
      <w:r>
        <w:t xml:space="preserve">- </w:t>
      </w:r>
      <w:r w:rsidRPr="00AB6161">
        <w:t>Presentación de información del presupuesto en los estados financieros</w:t>
      </w:r>
      <w:r>
        <w:t xml:space="preserve">, indicar si este rubro afecta SI o NO a la institución, </w:t>
      </w:r>
      <w:r w:rsidRPr="00405DBC">
        <w:t>además del porcentaje de avance</w:t>
      </w:r>
      <w:r>
        <w:t xml:space="preserve"> en la implementación</w:t>
      </w:r>
      <w:r w:rsidRPr="00405DBC">
        <w:t xml:space="preserve"> que presenta</w:t>
      </w:r>
      <w:r>
        <w:t>.</w:t>
      </w:r>
    </w:p>
    <w:p w14:paraId="74385C08" w14:textId="31B110BD" w:rsidR="00396CB4" w:rsidRDefault="001D0A81" w:rsidP="00C5447D">
      <w:pPr>
        <w:rPr>
          <w:rFonts w:asciiTheme="minorHAnsi" w:hAnsiTheme="minorHAnsi"/>
          <w:sz w:val="22"/>
        </w:rPr>
      </w:pPr>
      <w:r>
        <w:fldChar w:fldCharType="begin"/>
      </w:r>
      <w:r>
        <w:instrText xml:space="preserve"> LINK </w:instrText>
      </w:r>
      <w:r w:rsidR="00756467">
        <w:instrText xml:space="preserve">Excel.SheetMacroEnabled.12 "C:\\Users\\gcordero\\Downloads\\Notas diciembre 2024\\Formato_Notas_EEFF_Vinculadas_2024\\Formato_Notas_EEFF_Vinculadas_2024\\15603_T04_2024_Anexo_Estado_Notas_Contables_Vinculadas.xlsm" NICSP_24!F9C3:F10C4 </w:instrText>
      </w:r>
      <w:r>
        <w:instrText xml:space="preserve">\a \f 4 \h </w:instrText>
      </w:r>
      <w:r>
        <w:fldChar w:fldCharType="separate"/>
      </w:r>
    </w:p>
    <w:tbl>
      <w:tblPr>
        <w:tblW w:w="3600" w:type="dxa"/>
        <w:tblCellMar>
          <w:left w:w="70" w:type="dxa"/>
          <w:right w:w="70" w:type="dxa"/>
        </w:tblCellMar>
        <w:tblLook w:val="04A0" w:firstRow="1" w:lastRow="0" w:firstColumn="1" w:lastColumn="0" w:noHBand="0" w:noVBand="1"/>
      </w:tblPr>
      <w:tblGrid>
        <w:gridCol w:w="2200"/>
        <w:gridCol w:w="1400"/>
      </w:tblGrid>
      <w:tr w:rsidR="00396CB4" w:rsidRPr="00396CB4" w14:paraId="62640C90" w14:textId="77777777" w:rsidTr="00396CB4">
        <w:trPr>
          <w:divId w:val="844590544"/>
          <w:trHeight w:val="345"/>
        </w:trPr>
        <w:tc>
          <w:tcPr>
            <w:tcW w:w="220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743E4567" w14:textId="7EDCB5D3" w:rsidR="00396CB4" w:rsidRPr="00396CB4" w:rsidRDefault="00396CB4" w:rsidP="00396CB4">
            <w:pPr>
              <w:rPr>
                <w:rFonts w:eastAsia="Times New Roman" w:cs="Calibri"/>
                <w:color w:val="FFFFFF"/>
                <w:szCs w:val="24"/>
                <w:lang w:eastAsia="es-CR"/>
              </w:rPr>
            </w:pPr>
            <w:r w:rsidRPr="00396CB4">
              <w:rPr>
                <w:rFonts w:eastAsia="Times New Roman" w:cs="Calibri"/>
                <w:color w:val="FFFFFF"/>
                <w:szCs w:val="24"/>
                <w:lang w:eastAsia="es-CR"/>
              </w:rPr>
              <w:t>Aplica</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F969FF" w14:textId="77777777" w:rsidR="00396CB4" w:rsidRPr="00396CB4" w:rsidRDefault="00396CB4" w:rsidP="00396CB4">
            <w:pPr>
              <w:spacing w:after="0" w:line="240" w:lineRule="auto"/>
              <w:jc w:val="center"/>
              <w:rPr>
                <w:rFonts w:eastAsia="Times New Roman" w:cs="Calibri"/>
                <w:color w:val="000000"/>
                <w:sz w:val="22"/>
                <w:lang w:eastAsia="es-CR"/>
              </w:rPr>
            </w:pPr>
            <w:r w:rsidRPr="00396CB4">
              <w:rPr>
                <w:rFonts w:eastAsia="Times New Roman" w:cs="Calibri"/>
                <w:color w:val="000000"/>
                <w:sz w:val="22"/>
                <w:lang w:eastAsia="es-CR"/>
              </w:rPr>
              <w:t>Si</w:t>
            </w:r>
          </w:p>
        </w:tc>
      </w:tr>
      <w:tr w:rsidR="00396CB4" w:rsidRPr="00396CB4" w14:paraId="4EB48846" w14:textId="77777777" w:rsidTr="00396CB4">
        <w:trPr>
          <w:divId w:val="844590544"/>
          <w:trHeight w:val="345"/>
        </w:trPr>
        <w:tc>
          <w:tcPr>
            <w:tcW w:w="2200" w:type="dxa"/>
            <w:tcBorders>
              <w:top w:val="nil"/>
              <w:left w:val="single" w:sz="8" w:space="0" w:color="auto"/>
              <w:bottom w:val="single" w:sz="8" w:space="0" w:color="auto"/>
              <w:right w:val="single" w:sz="8" w:space="0" w:color="auto"/>
            </w:tcBorders>
            <w:shd w:val="clear" w:color="000000" w:fill="17365D"/>
            <w:vAlign w:val="center"/>
            <w:hideMark/>
          </w:tcPr>
          <w:p w14:paraId="3342E19B" w14:textId="77777777" w:rsidR="00396CB4" w:rsidRPr="00396CB4" w:rsidRDefault="00396CB4" w:rsidP="00396CB4">
            <w:pPr>
              <w:spacing w:after="0" w:line="240" w:lineRule="auto"/>
              <w:jc w:val="left"/>
              <w:rPr>
                <w:rFonts w:eastAsia="Times New Roman" w:cs="Calibri"/>
                <w:color w:val="FFFFFF"/>
                <w:szCs w:val="24"/>
                <w:lang w:eastAsia="es-CR"/>
              </w:rPr>
            </w:pPr>
            <w:proofErr w:type="spellStart"/>
            <w:r w:rsidRPr="00396CB4">
              <w:rPr>
                <w:rFonts w:eastAsia="Times New Roman" w:cs="Calibri"/>
                <w:color w:val="FFFFFF"/>
                <w:szCs w:val="24"/>
                <w:lang w:eastAsia="es-CR"/>
              </w:rPr>
              <w:lastRenderedPageBreak/>
              <w:t>Porcentaje_Avance</w:t>
            </w:r>
            <w:proofErr w:type="spellEnd"/>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27D5C35D" w14:textId="77777777" w:rsidR="00396CB4" w:rsidRPr="00396CB4" w:rsidRDefault="00396CB4" w:rsidP="00396CB4">
            <w:pPr>
              <w:spacing w:after="0" w:line="240" w:lineRule="auto"/>
              <w:jc w:val="center"/>
              <w:rPr>
                <w:rFonts w:eastAsia="Times New Roman" w:cs="Calibri"/>
                <w:color w:val="000000"/>
                <w:sz w:val="22"/>
                <w:lang w:eastAsia="es-CR"/>
              </w:rPr>
            </w:pPr>
            <w:r w:rsidRPr="00396CB4">
              <w:rPr>
                <w:rFonts w:eastAsia="Times New Roman" w:cs="Calibri"/>
                <w:color w:val="000000"/>
                <w:sz w:val="22"/>
                <w:lang w:eastAsia="es-CR"/>
              </w:rPr>
              <w:t>62,50%</w:t>
            </w:r>
          </w:p>
        </w:tc>
      </w:tr>
    </w:tbl>
    <w:p w14:paraId="4E9EC311" w14:textId="641E24AA" w:rsidR="00AB6161" w:rsidRPr="008F4061" w:rsidRDefault="001D0A81" w:rsidP="00C5447D">
      <w:pPr>
        <w:rPr>
          <w:b/>
          <w:sz w:val="16"/>
          <w:szCs w:val="16"/>
          <w:lang w:eastAsia="es-CR"/>
        </w:rPr>
      </w:pPr>
      <w:r>
        <w:fldChar w:fldCharType="end"/>
      </w:r>
      <w:r>
        <w:t xml:space="preserve">                              </w:t>
      </w:r>
      <w:r w:rsidR="00AB6161" w:rsidRPr="00C35565">
        <w:rPr>
          <w:b/>
          <w:sz w:val="16"/>
          <w:szCs w:val="16"/>
          <w:lang w:eastAsia="es-CR"/>
        </w:rPr>
        <w:t>-Aplicación Obligatoria-</w:t>
      </w:r>
    </w:p>
    <w:p w14:paraId="31CAB9AF" w14:textId="77777777" w:rsidR="00036537" w:rsidRDefault="00AB6161" w:rsidP="0055718E">
      <w:pPr>
        <w:spacing w:line="240" w:lineRule="auto"/>
        <w:rPr>
          <w:lang w:val="es-MX"/>
        </w:rPr>
      </w:pPr>
      <w:r w:rsidRPr="00BC7C5B">
        <w:rPr>
          <w:lang w:val="es-MX"/>
        </w:rPr>
        <w:t xml:space="preserve">El responsable contable debe revelar un resumen de la </w:t>
      </w:r>
      <w:r w:rsidRPr="00DB6650">
        <w:rPr>
          <w:b/>
          <w:u w:val="single"/>
          <w:lang w:val="es-MX"/>
        </w:rPr>
        <w:t>última liquidación presupuestaria</w:t>
      </w:r>
      <w:r w:rsidRPr="00BC7C5B">
        <w:rPr>
          <w:lang w:val="es-MX"/>
        </w:rPr>
        <w:t xml:space="preserve"> presentara a la Contraloría General de la Republica.</w:t>
      </w:r>
    </w:p>
    <w:p w14:paraId="3762B494" w14:textId="41CEB38B" w:rsidR="00396CB4" w:rsidRDefault="00CD01C6" w:rsidP="0055718E">
      <w:pPr>
        <w:spacing w:line="240" w:lineRule="auto"/>
        <w:rPr>
          <w:rFonts w:asciiTheme="minorHAnsi" w:hAnsiTheme="minorHAnsi"/>
          <w:sz w:val="22"/>
        </w:rPr>
      </w:pPr>
      <w:r>
        <w:rPr>
          <w:lang w:val="es-MX"/>
        </w:rPr>
        <w:fldChar w:fldCharType="begin"/>
      </w:r>
      <w:r>
        <w:rPr>
          <w:lang w:val="es-MX"/>
        </w:rPr>
        <w:instrText xml:space="preserve"> LINK </w:instrText>
      </w:r>
      <w:r w:rsidR="00756467">
        <w:rPr>
          <w:lang w:val="es-MX"/>
        </w:rPr>
        <w:instrText xml:space="preserve">Excel.SheetMacroEnabled.12 "C:\\Users\\gcordero\\Downloads\\Notas diciembre 2024\\Formato_Notas_EEFF_Vinculadas_2024\\Formato_Notas_EEFF_Vinculadas_2024\\15603_T04_2024_Anexo_Estado_Notas_Contables_Vinculadas.xlsm" NICSP_24!F12C6:F22C10 </w:instrText>
      </w:r>
      <w:r>
        <w:rPr>
          <w:lang w:val="es-MX"/>
        </w:rPr>
        <w:instrText xml:space="preserve">\a \f 4 \h </w:instrText>
      </w:r>
      <w:r>
        <w:rPr>
          <w:lang w:val="es-MX"/>
        </w:rPr>
        <w:fldChar w:fldCharType="separate"/>
      </w:r>
    </w:p>
    <w:tbl>
      <w:tblPr>
        <w:tblW w:w="5180" w:type="dxa"/>
        <w:tblCellMar>
          <w:left w:w="70" w:type="dxa"/>
          <w:right w:w="70" w:type="dxa"/>
        </w:tblCellMar>
        <w:tblLook w:val="04A0" w:firstRow="1" w:lastRow="0" w:firstColumn="1" w:lastColumn="0" w:noHBand="0" w:noVBand="1"/>
      </w:tblPr>
      <w:tblGrid>
        <w:gridCol w:w="2057"/>
        <w:gridCol w:w="1559"/>
        <w:gridCol w:w="1564"/>
      </w:tblGrid>
      <w:tr w:rsidR="00396CB4" w:rsidRPr="00396CB4" w14:paraId="2E996A9F" w14:textId="77777777" w:rsidTr="00396CB4">
        <w:trPr>
          <w:divId w:val="1533684632"/>
          <w:trHeight w:val="345"/>
        </w:trPr>
        <w:tc>
          <w:tcPr>
            <w:tcW w:w="5180" w:type="dxa"/>
            <w:gridSpan w:val="3"/>
            <w:tcBorders>
              <w:top w:val="single" w:sz="8" w:space="0" w:color="auto"/>
              <w:left w:val="single" w:sz="8" w:space="0" w:color="auto"/>
              <w:bottom w:val="nil"/>
              <w:right w:val="single" w:sz="8" w:space="0" w:color="000000"/>
            </w:tcBorders>
            <w:shd w:val="clear" w:color="000000" w:fill="1F3864"/>
            <w:noWrap/>
            <w:vAlign w:val="center"/>
            <w:hideMark/>
          </w:tcPr>
          <w:p w14:paraId="0A5D0BC6" w14:textId="5107E82C" w:rsidR="00396CB4" w:rsidRPr="00396CB4" w:rsidRDefault="00396CB4" w:rsidP="00396CB4">
            <w:pPr>
              <w:jc w:val="center"/>
              <w:rPr>
                <w:rFonts w:eastAsia="Times New Roman" w:cs="Calibri"/>
                <w:b/>
                <w:bCs/>
                <w:color w:val="FFFFFF"/>
                <w:sz w:val="22"/>
                <w:lang w:eastAsia="es-CR"/>
              </w:rPr>
            </w:pPr>
            <w:r w:rsidRPr="00396CB4">
              <w:rPr>
                <w:rFonts w:eastAsia="Times New Roman" w:cs="Calibri"/>
                <w:b/>
                <w:bCs/>
                <w:color w:val="FFFFFF"/>
                <w:sz w:val="22"/>
                <w:lang w:eastAsia="es-CR"/>
              </w:rPr>
              <w:t>LIQUIDACION PRESUPUESTARIA</w:t>
            </w:r>
          </w:p>
        </w:tc>
      </w:tr>
      <w:tr w:rsidR="00396CB4" w:rsidRPr="00396CB4" w14:paraId="5A3C64AE" w14:textId="77777777" w:rsidTr="00396CB4">
        <w:trPr>
          <w:divId w:val="1533684632"/>
          <w:trHeight w:val="330"/>
        </w:trPr>
        <w:tc>
          <w:tcPr>
            <w:tcW w:w="205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E9C185F" w14:textId="77777777" w:rsidR="00396CB4" w:rsidRPr="00396CB4" w:rsidRDefault="00396CB4" w:rsidP="00396CB4">
            <w:pPr>
              <w:spacing w:after="0" w:line="240" w:lineRule="auto"/>
              <w:jc w:val="left"/>
              <w:rPr>
                <w:rFonts w:eastAsia="Times New Roman" w:cs="Calibri"/>
                <w:b/>
                <w:bCs/>
                <w:color w:val="000000"/>
                <w:sz w:val="22"/>
                <w:lang w:eastAsia="es-CR"/>
              </w:rPr>
            </w:pPr>
            <w:r w:rsidRPr="00396CB4">
              <w:rPr>
                <w:rFonts w:eastAsia="Times New Roman" w:cs="Calibri"/>
                <w:b/>
                <w:bCs/>
                <w:color w:val="000000"/>
                <w:sz w:val="22"/>
                <w:lang w:eastAsia="es-CR"/>
              </w:rPr>
              <w:t>PERIODO</w:t>
            </w:r>
          </w:p>
        </w:tc>
        <w:tc>
          <w:tcPr>
            <w:tcW w:w="3123" w:type="dxa"/>
            <w:gridSpan w:val="2"/>
            <w:tcBorders>
              <w:top w:val="single" w:sz="8" w:space="0" w:color="auto"/>
              <w:left w:val="nil"/>
              <w:bottom w:val="single" w:sz="4" w:space="0" w:color="auto"/>
              <w:right w:val="single" w:sz="8" w:space="0" w:color="000000"/>
            </w:tcBorders>
            <w:shd w:val="clear" w:color="auto" w:fill="auto"/>
            <w:noWrap/>
            <w:vAlign w:val="center"/>
            <w:hideMark/>
          </w:tcPr>
          <w:p w14:paraId="555FE0B5" w14:textId="77777777" w:rsidR="00396CB4" w:rsidRPr="00396CB4" w:rsidRDefault="00396CB4" w:rsidP="00396CB4">
            <w:pPr>
              <w:spacing w:after="0" w:line="240" w:lineRule="auto"/>
              <w:jc w:val="center"/>
              <w:rPr>
                <w:rFonts w:eastAsia="Times New Roman" w:cs="Calibri"/>
                <w:b/>
                <w:bCs/>
                <w:color w:val="000000"/>
                <w:sz w:val="22"/>
                <w:lang w:eastAsia="es-CR"/>
              </w:rPr>
            </w:pPr>
            <w:r w:rsidRPr="00396CB4">
              <w:rPr>
                <w:rFonts w:eastAsia="Times New Roman" w:cs="Calibri"/>
                <w:b/>
                <w:bCs/>
                <w:color w:val="000000"/>
                <w:sz w:val="22"/>
                <w:lang w:eastAsia="es-CR"/>
              </w:rPr>
              <w:t>2023</w:t>
            </w:r>
          </w:p>
        </w:tc>
      </w:tr>
      <w:tr w:rsidR="00396CB4" w:rsidRPr="00396CB4" w14:paraId="1FC01995" w14:textId="77777777" w:rsidTr="00396CB4">
        <w:trPr>
          <w:divId w:val="1533684632"/>
          <w:trHeight w:val="330"/>
        </w:trPr>
        <w:tc>
          <w:tcPr>
            <w:tcW w:w="2057" w:type="dxa"/>
            <w:tcBorders>
              <w:top w:val="nil"/>
              <w:left w:val="single" w:sz="8" w:space="0" w:color="auto"/>
              <w:bottom w:val="single" w:sz="4" w:space="0" w:color="auto"/>
              <w:right w:val="single" w:sz="4" w:space="0" w:color="auto"/>
            </w:tcBorders>
            <w:shd w:val="clear" w:color="auto" w:fill="auto"/>
            <w:noWrap/>
            <w:vAlign w:val="center"/>
            <w:hideMark/>
          </w:tcPr>
          <w:p w14:paraId="59EF5AC0" w14:textId="77777777" w:rsidR="00396CB4" w:rsidRPr="00396CB4" w:rsidRDefault="00396CB4" w:rsidP="00396CB4">
            <w:pPr>
              <w:spacing w:after="0" w:line="240" w:lineRule="auto"/>
              <w:jc w:val="left"/>
              <w:rPr>
                <w:rFonts w:eastAsia="Times New Roman" w:cs="Calibri"/>
                <w:b/>
                <w:bCs/>
                <w:color w:val="000000"/>
                <w:sz w:val="22"/>
                <w:lang w:eastAsia="es-CR"/>
              </w:rPr>
            </w:pPr>
            <w:r w:rsidRPr="00396CB4">
              <w:rPr>
                <w:rFonts w:eastAsia="Times New Roman" w:cs="Calibri"/>
                <w:b/>
                <w:bCs/>
                <w:color w:val="000000"/>
                <w:sz w:val="22"/>
                <w:lang w:eastAsia="es-CR"/>
              </w:rPr>
              <w:t>OFICIO ENVIO A CGR</w:t>
            </w:r>
          </w:p>
        </w:tc>
        <w:tc>
          <w:tcPr>
            <w:tcW w:w="3123"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4E795509" w14:textId="77777777" w:rsidR="00396CB4" w:rsidRPr="00396CB4" w:rsidRDefault="00396CB4" w:rsidP="00396CB4">
            <w:pPr>
              <w:spacing w:after="0" w:line="240" w:lineRule="auto"/>
              <w:jc w:val="center"/>
              <w:rPr>
                <w:rFonts w:eastAsia="Times New Roman" w:cs="Calibri"/>
                <w:b/>
                <w:bCs/>
                <w:color w:val="000000"/>
                <w:sz w:val="22"/>
                <w:lang w:eastAsia="es-CR"/>
              </w:rPr>
            </w:pPr>
            <w:r w:rsidRPr="00396CB4">
              <w:rPr>
                <w:rFonts w:eastAsia="Times New Roman" w:cs="Calibri"/>
                <w:b/>
                <w:bCs/>
                <w:color w:val="000000"/>
                <w:sz w:val="22"/>
                <w:lang w:eastAsia="es-CR"/>
              </w:rPr>
              <w:t>AMBA-163-2024</w:t>
            </w:r>
          </w:p>
        </w:tc>
      </w:tr>
      <w:tr w:rsidR="00396CB4" w:rsidRPr="00396CB4" w14:paraId="6999677E" w14:textId="77777777" w:rsidTr="00396CB4">
        <w:trPr>
          <w:divId w:val="1533684632"/>
          <w:trHeight w:val="330"/>
        </w:trPr>
        <w:tc>
          <w:tcPr>
            <w:tcW w:w="2057" w:type="dxa"/>
            <w:tcBorders>
              <w:top w:val="nil"/>
              <w:left w:val="single" w:sz="8" w:space="0" w:color="auto"/>
              <w:bottom w:val="single" w:sz="4" w:space="0" w:color="auto"/>
              <w:right w:val="single" w:sz="4" w:space="0" w:color="auto"/>
            </w:tcBorders>
            <w:shd w:val="clear" w:color="auto" w:fill="auto"/>
            <w:noWrap/>
            <w:vAlign w:val="center"/>
            <w:hideMark/>
          </w:tcPr>
          <w:p w14:paraId="27A21E68"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INGRESOS</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117534E1" w14:textId="77777777" w:rsidR="00396CB4" w:rsidRPr="00396CB4" w:rsidRDefault="00396CB4" w:rsidP="00396CB4">
            <w:pPr>
              <w:spacing w:after="0" w:line="240" w:lineRule="auto"/>
              <w:jc w:val="center"/>
              <w:rPr>
                <w:rFonts w:eastAsia="Times New Roman" w:cs="Calibri"/>
                <w:color w:val="000000"/>
                <w:sz w:val="22"/>
                <w:lang w:eastAsia="es-CR"/>
              </w:rPr>
            </w:pPr>
            <w:r w:rsidRPr="00396CB4">
              <w:rPr>
                <w:rFonts w:eastAsia="Times New Roman" w:cs="Calibri"/>
                <w:color w:val="000000"/>
                <w:sz w:val="22"/>
                <w:lang w:eastAsia="es-CR"/>
              </w:rPr>
              <w:t xml:space="preserve">                           -   </w:t>
            </w:r>
          </w:p>
        </w:tc>
        <w:tc>
          <w:tcPr>
            <w:tcW w:w="1564" w:type="dxa"/>
            <w:tcBorders>
              <w:top w:val="single" w:sz="4" w:space="0" w:color="auto"/>
              <w:left w:val="nil"/>
              <w:bottom w:val="single" w:sz="4" w:space="0" w:color="auto"/>
              <w:right w:val="single" w:sz="8" w:space="0" w:color="000000"/>
            </w:tcBorders>
            <w:shd w:val="clear" w:color="auto" w:fill="auto"/>
            <w:noWrap/>
            <w:vAlign w:val="center"/>
            <w:hideMark/>
          </w:tcPr>
          <w:p w14:paraId="587A5EF3" w14:textId="77777777" w:rsidR="00396CB4" w:rsidRPr="00396CB4" w:rsidRDefault="00396CB4" w:rsidP="00396CB4">
            <w:pPr>
              <w:spacing w:after="0" w:line="240" w:lineRule="auto"/>
              <w:jc w:val="center"/>
              <w:rPr>
                <w:rFonts w:eastAsia="Times New Roman" w:cs="Calibri"/>
                <w:color w:val="000000"/>
                <w:sz w:val="22"/>
                <w:lang w:eastAsia="es-CR"/>
              </w:rPr>
            </w:pPr>
            <w:r w:rsidRPr="00396CB4">
              <w:rPr>
                <w:rFonts w:eastAsia="Times New Roman" w:cs="Calibri"/>
                <w:color w:val="000000"/>
                <w:sz w:val="22"/>
                <w:lang w:eastAsia="es-CR"/>
              </w:rPr>
              <w:t xml:space="preserve">      5 805 141,11 </w:t>
            </w:r>
          </w:p>
        </w:tc>
      </w:tr>
      <w:tr w:rsidR="00396CB4" w:rsidRPr="00396CB4" w14:paraId="4B089146" w14:textId="77777777" w:rsidTr="00396CB4">
        <w:trPr>
          <w:divId w:val="1533684632"/>
          <w:trHeight w:val="330"/>
        </w:trPr>
        <w:tc>
          <w:tcPr>
            <w:tcW w:w="2057" w:type="dxa"/>
            <w:tcBorders>
              <w:top w:val="nil"/>
              <w:left w:val="single" w:sz="8" w:space="0" w:color="auto"/>
              <w:bottom w:val="single" w:sz="4" w:space="0" w:color="auto"/>
              <w:right w:val="single" w:sz="4" w:space="0" w:color="auto"/>
            </w:tcBorders>
            <w:shd w:val="clear" w:color="auto" w:fill="auto"/>
            <w:noWrap/>
            <w:vAlign w:val="center"/>
            <w:hideMark/>
          </w:tcPr>
          <w:p w14:paraId="3D243719"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1628A42" w14:textId="77777777" w:rsidR="00396CB4" w:rsidRPr="00396CB4" w:rsidRDefault="00396CB4" w:rsidP="00396CB4">
            <w:pPr>
              <w:spacing w:after="0" w:line="240" w:lineRule="auto"/>
              <w:jc w:val="center"/>
              <w:rPr>
                <w:rFonts w:eastAsia="Times New Roman" w:cs="Calibri"/>
                <w:color w:val="000000"/>
                <w:sz w:val="22"/>
                <w:lang w:eastAsia="es-CR"/>
              </w:rPr>
            </w:pPr>
            <w:r w:rsidRPr="00396CB4">
              <w:rPr>
                <w:rFonts w:eastAsia="Times New Roman" w:cs="Calibri"/>
                <w:color w:val="000000"/>
                <w:sz w:val="22"/>
                <w:lang w:eastAsia="es-CR"/>
              </w:rPr>
              <w:t xml:space="preserve">                           -   </w:t>
            </w:r>
          </w:p>
        </w:tc>
        <w:tc>
          <w:tcPr>
            <w:tcW w:w="1564" w:type="dxa"/>
            <w:tcBorders>
              <w:top w:val="single" w:sz="4" w:space="0" w:color="auto"/>
              <w:left w:val="nil"/>
              <w:bottom w:val="single" w:sz="4" w:space="0" w:color="auto"/>
              <w:right w:val="single" w:sz="8" w:space="0" w:color="000000"/>
            </w:tcBorders>
            <w:shd w:val="clear" w:color="auto" w:fill="auto"/>
            <w:noWrap/>
            <w:vAlign w:val="center"/>
            <w:hideMark/>
          </w:tcPr>
          <w:p w14:paraId="2C5EC717" w14:textId="77777777" w:rsidR="00396CB4" w:rsidRPr="00396CB4" w:rsidRDefault="00396CB4" w:rsidP="00396CB4">
            <w:pPr>
              <w:spacing w:after="0" w:line="240" w:lineRule="auto"/>
              <w:jc w:val="center"/>
              <w:rPr>
                <w:rFonts w:eastAsia="Times New Roman" w:cs="Calibri"/>
                <w:color w:val="000000"/>
                <w:sz w:val="22"/>
                <w:lang w:eastAsia="es-CR"/>
              </w:rPr>
            </w:pPr>
            <w:r w:rsidRPr="00396CB4">
              <w:rPr>
                <w:rFonts w:eastAsia="Times New Roman" w:cs="Calibri"/>
                <w:color w:val="000000"/>
                <w:sz w:val="22"/>
                <w:lang w:eastAsia="es-CR"/>
              </w:rPr>
              <w:t xml:space="preserve">                           -   </w:t>
            </w:r>
          </w:p>
        </w:tc>
      </w:tr>
      <w:tr w:rsidR="00396CB4" w:rsidRPr="00396CB4" w14:paraId="7ACA665D" w14:textId="77777777" w:rsidTr="00396CB4">
        <w:trPr>
          <w:divId w:val="1533684632"/>
          <w:trHeight w:val="330"/>
        </w:trPr>
        <w:tc>
          <w:tcPr>
            <w:tcW w:w="2057" w:type="dxa"/>
            <w:tcBorders>
              <w:top w:val="nil"/>
              <w:left w:val="single" w:sz="8" w:space="0" w:color="auto"/>
              <w:bottom w:val="single" w:sz="4" w:space="0" w:color="auto"/>
              <w:right w:val="single" w:sz="4" w:space="0" w:color="auto"/>
            </w:tcBorders>
            <w:shd w:val="clear" w:color="auto" w:fill="auto"/>
            <w:noWrap/>
            <w:vAlign w:val="center"/>
            <w:hideMark/>
          </w:tcPr>
          <w:p w14:paraId="22BA150E"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57C67FC5" w14:textId="77777777" w:rsidR="00396CB4" w:rsidRPr="00396CB4" w:rsidRDefault="00396CB4" w:rsidP="00396CB4">
            <w:pPr>
              <w:spacing w:after="0" w:line="240" w:lineRule="auto"/>
              <w:jc w:val="center"/>
              <w:rPr>
                <w:rFonts w:eastAsia="Times New Roman" w:cs="Calibri"/>
                <w:color w:val="000000"/>
                <w:sz w:val="22"/>
                <w:lang w:eastAsia="es-CR"/>
              </w:rPr>
            </w:pPr>
            <w:r w:rsidRPr="00396CB4">
              <w:rPr>
                <w:rFonts w:eastAsia="Times New Roman" w:cs="Calibri"/>
                <w:color w:val="000000"/>
                <w:sz w:val="22"/>
                <w:lang w:eastAsia="es-CR"/>
              </w:rPr>
              <w:t xml:space="preserve">                           -   </w:t>
            </w:r>
          </w:p>
        </w:tc>
        <w:tc>
          <w:tcPr>
            <w:tcW w:w="1564" w:type="dxa"/>
            <w:tcBorders>
              <w:top w:val="single" w:sz="4" w:space="0" w:color="auto"/>
              <w:left w:val="nil"/>
              <w:bottom w:val="single" w:sz="4" w:space="0" w:color="auto"/>
              <w:right w:val="single" w:sz="8" w:space="0" w:color="000000"/>
            </w:tcBorders>
            <w:shd w:val="clear" w:color="auto" w:fill="auto"/>
            <w:noWrap/>
            <w:vAlign w:val="center"/>
            <w:hideMark/>
          </w:tcPr>
          <w:p w14:paraId="75207F8E" w14:textId="77777777" w:rsidR="00396CB4" w:rsidRPr="00396CB4" w:rsidRDefault="00396CB4" w:rsidP="00396CB4">
            <w:pPr>
              <w:spacing w:after="0" w:line="240" w:lineRule="auto"/>
              <w:jc w:val="center"/>
              <w:rPr>
                <w:rFonts w:eastAsia="Times New Roman" w:cs="Calibri"/>
                <w:color w:val="000000"/>
                <w:sz w:val="22"/>
                <w:lang w:eastAsia="es-CR"/>
              </w:rPr>
            </w:pPr>
            <w:r w:rsidRPr="00396CB4">
              <w:rPr>
                <w:rFonts w:eastAsia="Times New Roman" w:cs="Calibri"/>
                <w:color w:val="000000"/>
                <w:sz w:val="22"/>
                <w:lang w:eastAsia="es-CR"/>
              </w:rPr>
              <w:t xml:space="preserve">                           -   </w:t>
            </w:r>
          </w:p>
        </w:tc>
      </w:tr>
      <w:tr w:rsidR="00396CB4" w:rsidRPr="00396CB4" w14:paraId="66018ABB" w14:textId="77777777" w:rsidTr="00396CB4">
        <w:trPr>
          <w:divId w:val="1533684632"/>
          <w:trHeight w:val="330"/>
        </w:trPr>
        <w:tc>
          <w:tcPr>
            <w:tcW w:w="2057" w:type="dxa"/>
            <w:tcBorders>
              <w:top w:val="nil"/>
              <w:left w:val="single" w:sz="8" w:space="0" w:color="auto"/>
              <w:bottom w:val="single" w:sz="4" w:space="0" w:color="auto"/>
              <w:right w:val="single" w:sz="4" w:space="0" w:color="auto"/>
            </w:tcBorders>
            <w:shd w:val="clear" w:color="auto" w:fill="auto"/>
            <w:noWrap/>
            <w:vAlign w:val="center"/>
            <w:hideMark/>
          </w:tcPr>
          <w:p w14:paraId="41C600AF"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GASTOS</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4152000" w14:textId="77777777" w:rsidR="00396CB4" w:rsidRPr="00396CB4" w:rsidRDefault="00396CB4" w:rsidP="00396CB4">
            <w:pPr>
              <w:spacing w:after="0" w:line="240" w:lineRule="auto"/>
              <w:jc w:val="center"/>
              <w:rPr>
                <w:rFonts w:eastAsia="Times New Roman" w:cs="Calibri"/>
                <w:color w:val="000000"/>
                <w:sz w:val="22"/>
                <w:lang w:eastAsia="es-CR"/>
              </w:rPr>
            </w:pPr>
            <w:r w:rsidRPr="00396CB4">
              <w:rPr>
                <w:rFonts w:eastAsia="Times New Roman" w:cs="Calibri"/>
                <w:color w:val="000000"/>
                <w:sz w:val="22"/>
                <w:lang w:eastAsia="es-CR"/>
              </w:rPr>
              <w:t xml:space="preserve">                           -   </w:t>
            </w:r>
          </w:p>
        </w:tc>
        <w:tc>
          <w:tcPr>
            <w:tcW w:w="1564" w:type="dxa"/>
            <w:tcBorders>
              <w:top w:val="single" w:sz="4" w:space="0" w:color="auto"/>
              <w:left w:val="nil"/>
              <w:bottom w:val="single" w:sz="4" w:space="0" w:color="auto"/>
              <w:right w:val="single" w:sz="8" w:space="0" w:color="000000"/>
            </w:tcBorders>
            <w:shd w:val="clear" w:color="auto" w:fill="auto"/>
            <w:noWrap/>
            <w:vAlign w:val="center"/>
            <w:hideMark/>
          </w:tcPr>
          <w:p w14:paraId="19798575" w14:textId="77777777" w:rsidR="00396CB4" w:rsidRPr="00396CB4" w:rsidRDefault="00396CB4" w:rsidP="00396CB4">
            <w:pPr>
              <w:spacing w:after="0" w:line="240" w:lineRule="auto"/>
              <w:jc w:val="center"/>
              <w:rPr>
                <w:rFonts w:eastAsia="Times New Roman" w:cs="Calibri"/>
                <w:color w:val="000000"/>
                <w:sz w:val="22"/>
                <w:lang w:eastAsia="es-CR"/>
              </w:rPr>
            </w:pPr>
            <w:r w:rsidRPr="00396CB4">
              <w:rPr>
                <w:rFonts w:eastAsia="Times New Roman" w:cs="Calibri"/>
                <w:color w:val="000000"/>
                <w:sz w:val="22"/>
                <w:lang w:eastAsia="es-CR"/>
              </w:rPr>
              <w:t xml:space="preserve">      5 262 563,38 </w:t>
            </w:r>
          </w:p>
        </w:tc>
      </w:tr>
      <w:tr w:rsidR="00396CB4" w:rsidRPr="00396CB4" w14:paraId="6558278B" w14:textId="77777777" w:rsidTr="00396CB4">
        <w:trPr>
          <w:divId w:val="1533684632"/>
          <w:trHeight w:val="330"/>
        </w:trPr>
        <w:tc>
          <w:tcPr>
            <w:tcW w:w="2057" w:type="dxa"/>
            <w:tcBorders>
              <w:top w:val="nil"/>
              <w:left w:val="single" w:sz="8" w:space="0" w:color="auto"/>
              <w:bottom w:val="single" w:sz="4" w:space="0" w:color="auto"/>
              <w:right w:val="single" w:sz="4" w:space="0" w:color="auto"/>
            </w:tcBorders>
            <w:shd w:val="clear" w:color="auto" w:fill="auto"/>
            <w:noWrap/>
            <w:vAlign w:val="center"/>
            <w:hideMark/>
          </w:tcPr>
          <w:p w14:paraId="64340EBC"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C26243B" w14:textId="77777777" w:rsidR="00396CB4" w:rsidRPr="00396CB4" w:rsidRDefault="00396CB4" w:rsidP="00396CB4">
            <w:pPr>
              <w:spacing w:after="0" w:line="240" w:lineRule="auto"/>
              <w:jc w:val="center"/>
              <w:rPr>
                <w:rFonts w:eastAsia="Times New Roman" w:cs="Calibri"/>
                <w:color w:val="000000"/>
                <w:sz w:val="22"/>
                <w:lang w:eastAsia="es-CR"/>
              </w:rPr>
            </w:pPr>
            <w:r w:rsidRPr="00396CB4">
              <w:rPr>
                <w:rFonts w:eastAsia="Times New Roman" w:cs="Calibri"/>
                <w:color w:val="000000"/>
                <w:sz w:val="22"/>
                <w:lang w:eastAsia="es-CR"/>
              </w:rPr>
              <w:t xml:space="preserve">                           -   </w:t>
            </w:r>
          </w:p>
        </w:tc>
        <w:tc>
          <w:tcPr>
            <w:tcW w:w="1564" w:type="dxa"/>
            <w:tcBorders>
              <w:top w:val="single" w:sz="4" w:space="0" w:color="auto"/>
              <w:left w:val="nil"/>
              <w:bottom w:val="single" w:sz="4" w:space="0" w:color="auto"/>
              <w:right w:val="single" w:sz="8" w:space="0" w:color="000000"/>
            </w:tcBorders>
            <w:shd w:val="clear" w:color="auto" w:fill="auto"/>
            <w:noWrap/>
            <w:vAlign w:val="center"/>
            <w:hideMark/>
          </w:tcPr>
          <w:p w14:paraId="1E48AE6C" w14:textId="77777777" w:rsidR="00396CB4" w:rsidRPr="00396CB4" w:rsidRDefault="00396CB4" w:rsidP="00396CB4">
            <w:pPr>
              <w:spacing w:after="0" w:line="240" w:lineRule="auto"/>
              <w:jc w:val="center"/>
              <w:rPr>
                <w:rFonts w:eastAsia="Times New Roman" w:cs="Calibri"/>
                <w:color w:val="000000"/>
                <w:sz w:val="22"/>
                <w:lang w:eastAsia="es-CR"/>
              </w:rPr>
            </w:pPr>
            <w:r w:rsidRPr="00396CB4">
              <w:rPr>
                <w:rFonts w:eastAsia="Times New Roman" w:cs="Calibri"/>
                <w:color w:val="000000"/>
                <w:sz w:val="22"/>
                <w:lang w:eastAsia="es-CR"/>
              </w:rPr>
              <w:t xml:space="preserve">                           -   </w:t>
            </w:r>
          </w:p>
        </w:tc>
      </w:tr>
      <w:tr w:rsidR="00396CB4" w:rsidRPr="00396CB4" w14:paraId="71585F58" w14:textId="77777777" w:rsidTr="00396CB4">
        <w:trPr>
          <w:divId w:val="1533684632"/>
          <w:trHeight w:val="330"/>
        </w:trPr>
        <w:tc>
          <w:tcPr>
            <w:tcW w:w="2057" w:type="dxa"/>
            <w:tcBorders>
              <w:top w:val="nil"/>
              <w:left w:val="single" w:sz="8" w:space="0" w:color="auto"/>
              <w:bottom w:val="single" w:sz="4" w:space="0" w:color="auto"/>
              <w:right w:val="single" w:sz="4" w:space="0" w:color="auto"/>
            </w:tcBorders>
            <w:shd w:val="clear" w:color="auto" w:fill="auto"/>
            <w:noWrap/>
            <w:vAlign w:val="center"/>
            <w:hideMark/>
          </w:tcPr>
          <w:p w14:paraId="01F1F630"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A7E3820" w14:textId="77777777" w:rsidR="00396CB4" w:rsidRPr="00396CB4" w:rsidRDefault="00396CB4" w:rsidP="00396CB4">
            <w:pPr>
              <w:spacing w:after="0" w:line="240" w:lineRule="auto"/>
              <w:jc w:val="center"/>
              <w:rPr>
                <w:rFonts w:eastAsia="Times New Roman" w:cs="Calibri"/>
                <w:color w:val="000000"/>
                <w:sz w:val="22"/>
                <w:lang w:eastAsia="es-CR"/>
              </w:rPr>
            </w:pPr>
            <w:r w:rsidRPr="00396CB4">
              <w:rPr>
                <w:rFonts w:eastAsia="Times New Roman" w:cs="Calibri"/>
                <w:color w:val="000000"/>
                <w:sz w:val="22"/>
                <w:lang w:eastAsia="es-CR"/>
              </w:rPr>
              <w:t xml:space="preserve">                           -   </w:t>
            </w:r>
          </w:p>
        </w:tc>
        <w:tc>
          <w:tcPr>
            <w:tcW w:w="1564" w:type="dxa"/>
            <w:tcBorders>
              <w:top w:val="single" w:sz="4" w:space="0" w:color="auto"/>
              <w:left w:val="nil"/>
              <w:bottom w:val="single" w:sz="4" w:space="0" w:color="auto"/>
              <w:right w:val="single" w:sz="8" w:space="0" w:color="000000"/>
            </w:tcBorders>
            <w:shd w:val="clear" w:color="auto" w:fill="auto"/>
            <w:noWrap/>
            <w:vAlign w:val="center"/>
            <w:hideMark/>
          </w:tcPr>
          <w:p w14:paraId="173BEF4F" w14:textId="77777777" w:rsidR="00396CB4" w:rsidRPr="00396CB4" w:rsidRDefault="00396CB4" w:rsidP="00396CB4">
            <w:pPr>
              <w:spacing w:after="0" w:line="240" w:lineRule="auto"/>
              <w:jc w:val="center"/>
              <w:rPr>
                <w:rFonts w:eastAsia="Times New Roman" w:cs="Calibri"/>
                <w:color w:val="000000"/>
                <w:sz w:val="22"/>
                <w:lang w:eastAsia="es-CR"/>
              </w:rPr>
            </w:pPr>
            <w:r w:rsidRPr="00396CB4">
              <w:rPr>
                <w:rFonts w:eastAsia="Times New Roman" w:cs="Calibri"/>
                <w:color w:val="000000"/>
                <w:sz w:val="22"/>
                <w:lang w:eastAsia="es-CR"/>
              </w:rPr>
              <w:t xml:space="preserve">                           -   </w:t>
            </w:r>
          </w:p>
        </w:tc>
      </w:tr>
      <w:tr w:rsidR="00396CB4" w:rsidRPr="00396CB4" w14:paraId="59944B2D" w14:textId="77777777" w:rsidTr="00396CB4">
        <w:trPr>
          <w:divId w:val="1533684632"/>
          <w:trHeight w:val="330"/>
        </w:trPr>
        <w:tc>
          <w:tcPr>
            <w:tcW w:w="2057" w:type="dxa"/>
            <w:tcBorders>
              <w:top w:val="nil"/>
              <w:left w:val="single" w:sz="8" w:space="0" w:color="auto"/>
              <w:bottom w:val="single" w:sz="4" w:space="0" w:color="auto"/>
              <w:right w:val="single" w:sz="4" w:space="0" w:color="auto"/>
            </w:tcBorders>
            <w:shd w:val="clear" w:color="auto" w:fill="auto"/>
            <w:noWrap/>
            <w:vAlign w:val="center"/>
            <w:hideMark/>
          </w:tcPr>
          <w:p w14:paraId="664EB544"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SUPERAVIT/DEFICIT</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748CED1B" w14:textId="77777777" w:rsidR="00396CB4" w:rsidRPr="00396CB4" w:rsidRDefault="00396CB4" w:rsidP="00396CB4">
            <w:pPr>
              <w:spacing w:after="0" w:line="240" w:lineRule="auto"/>
              <w:jc w:val="center"/>
              <w:rPr>
                <w:rFonts w:eastAsia="Times New Roman" w:cs="Calibri"/>
                <w:color w:val="000000"/>
                <w:sz w:val="22"/>
                <w:lang w:eastAsia="es-CR"/>
              </w:rPr>
            </w:pPr>
            <w:r w:rsidRPr="00396CB4">
              <w:rPr>
                <w:rFonts w:eastAsia="Times New Roman" w:cs="Calibri"/>
                <w:color w:val="000000"/>
                <w:sz w:val="22"/>
                <w:lang w:eastAsia="es-CR"/>
              </w:rPr>
              <w:t xml:space="preserve">                           -   </w:t>
            </w:r>
          </w:p>
        </w:tc>
        <w:tc>
          <w:tcPr>
            <w:tcW w:w="1564" w:type="dxa"/>
            <w:tcBorders>
              <w:top w:val="single" w:sz="4" w:space="0" w:color="auto"/>
              <w:left w:val="nil"/>
              <w:bottom w:val="single" w:sz="4" w:space="0" w:color="auto"/>
              <w:right w:val="single" w:sz="8" w:space="0" w:color="000000"/>
            </w:tcBorders>
            <w:shd w:val="clear" w:color="auto" w:fill="auto"/>
            <w:noWrap/>
            <w:vAlign w:val="center"/>
            <w:hideMark/>
          </w:tcPr>
          <w:p w14:paraId="5D712B3A" w14:textId="77777777" w:rsidR="00396CB4" w:rsidRPr="00396CB4" w:rsidRDefault="00396CB4" w:rsidP="00396CB4">
            <w:pPr>
              <w:spacing w:after="0" w:line="240" w:lineRule="auto"/>
              <w:jc w:val="center"/>
              <w:rPr>
                <w:rFonts w:eastAsia="Times New Roman" w:cs="Calibri"/>
                <w:color w:val="000000"/>
                <w:sz w:val="22"/>
                <w:lang w:eastAsia="es-CR"/>
              </w:rPr>
            </w:pPr>
            <w:r w:rsidRPr="00396CB4">
              <w:rPr>
                <w:rFonts w:eastAsia="Times New Roman" w:cs="Calibri"/>
                <w:color w:val="000000"/>
                <w:sz w:val="22"/>
                <w:lang w:eastAsia="es-CR"/>
              </w:rPr>
              <w:t xml:space="preserve">          542 577,72 </w:t>
            </w:r>
          </w:p>
        </w:tc>
      </w:tr>
      <w:tr w:rsidR="00396CB4" w:rsidRPr="00396CB4" w14:paraId="67BCCCC1" w14:textId="77777777" w:rsidTr="00396CB4">
        <w:trPr>
          <w:divId w:val="1533684632"/>
          <w:trHeight w:val="345"/>
        </w:trPr>
        <w:tc>
          <w:tcPr>
            <w:tcW w:w="2057" w:type="dxa"/>
            <w:tcBorders>
              <w:top w:val="nil"/>
              <w:left w:val="single" w:sz="8" w:space="0" w:color="auto"/>
              <w:bottom w:val="single" w:sz="8" w:space="0" w:color="auto"/>
              <w:right w:val="single" w:sz="4" w:space="0" w:color="auto"/>
            </w:tcBorders>
            <w:shd w:val="clear" w:color="auto" w:fill="auto"/>
            <w:noWrap/>
            <w:vAlign w:val="center"/>
            <w:hideMark/>
          </w:tcPr>
          <w:p w14:paraId="2914E7E6"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2112146" w14:textId="77777777" w:rsidR="00396CB4" w:rsidRPr="00396CB4" w:rsidRDefault="00396CB4" w:rsidP="00396CB4">
            <w:pPr>
              <w:spacing w:after="0" w:line="240" w:lineRule="auto"/>
              <w:jc w:val="center"/>
              <w:rPr>
                <w:rFonts w:eastAsia="Times New Roman" w:cs="Calibri"/>
                <w:color w:val="000000"/>
                <w:sz w:val="22"/>
                <w:lang w:eastAsia="es-CR"/>
              </w:rPr>
            </w:pPr>
            <w:r w:rsidRPr="00396CB4">
              <w:rPr>
                <w:rFonts w:eastAsia="Times New Roman" w:cs="Calibri"/>
                <w:color w:val="000000"/>
                <w:sz w:val="22"/>
                <w:lang w:eastAsia="es-CR"/>
              </w:rPr>
              <w:t xml:space="preserve">                           -   </w:t>
            </w:r>
          </w:p>
        </w:tc>
        <w:tc>
          <w:tcPr>
            <w:tcW w:w="1564" w:type="dxa"/>
            <w:tcBorders>
              <w:top w:val="single" w:sz="4" w:space="0" w:color="auto"/>
              <w:left w:val="nil"/>
              <w:bottom w:val="single" w:sz="4" w:space="0" w:color="auto"/>
              <w:right w:val="single" w:sz="8" w:space="0" w:color="000000"/>
            </w:tcBorders>
            <w:shd w:val="clear" w:color="auto" w:fill="auto"/>
            <w:noWrap/>
            <w:vAlign w:val="center"/>
            <w:hideMark/>
          </w:tcPr>
          <w:p w14:paraId="06362F2F" w14:textId="77777777" w:rsidR="00396CB4" w:rsidRPr="00396CB4" w:rsidRDefault="00396CB4" w:rsidP="00396CB4">
            <w:pPr>
              <w:spacing w:after="0" w:line="240" w:lineRule="auto"/>
              <w:jc w:val="center"/>
              <w:rPr>
                <w:rFonts w:eastAsia="Times New Roman" w:cs="Calibri"/>
                <w:color w:val="000000"/>
                <w:sz w:val="22"/>
                <w:lang w:eastAsia="es-CR"/>
              </w:rPr>
            </w:pPr>
            <w:r w:rsidRPr="00396CB4">
              <w:rPr>
                <w:rFonts w:eastAsia="Times New Roman" w:cs="Calibri"/>
                <w:color w:val="000000"/>
                <w:sz w:val="22"/>
                <w:lang w:eastAsia="es-CR"/>
              </w:rPr>
              <w:t xml:space="preserve">                           -   </w:t>
            </w:r>
          </w:p>
        </w:tc>
      </w:tr>
    </w:tbl>
    <w:p w14:paraId="12E90D6A" w14:textId="77777777" w:rsidR="0055718E" w:rsidRDefault="00CD01C6" w:rsidP="0055718E">
      <w:pPr>
        <w:spacing w:line="240" w:lineRule="auto"/>
        <w:rPr>
          <w:lang w:val="es-MX"/>
        </w:rPr>
      </w:pPr>
      <w:r>
        <w:rPr>
          <w:lang w:val="es-MX"/>
        </w:rPr>
        <w:fldChar w:fldCharType="end"/>
      </w:r>
    </w:p>
    <w:p w14:paraId="3132CD23" w14:textId="0AEBCB75" w:rsidR="0055718E" w:rsidRDefault="00E80180" w:rsidP="0055718E">
      <w:pPr>
        <w:spacing w:line="240" w:lineRule="auto"/>
        <w:rPr>
          <w:b/>
          <w:color w:val="FFFFFF" w:themeColor="background1"/>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p>
    <w:p w14:paraId="14BE6CF4" w14:textId="1AFE84A1" w:rsidR="0055718E" w:rsidRDefault="0055718E" w:rsidP="0055718E">
      <w:pPr>
        <w:spacing w:line="240" w:lineRule="auto"/>
        <w:rPr>
          <w:lang w:val="es-MX"/>
        </w:rPr>
      </w:pPr>
      <w:r>
        <w:rPr>
          <w:lang w:val="es-MX"/>
        </w:rPr>
        <w:t xml:space="preserve">El Presupuesto Municipal se elabora y ejecuta utilizando el método de caja o efectivo, de acuerdo con este método los ingresos y gastos se reconocen cuando seda la entrada o salida de flujos de efectivo. Además, el presupuesto se elabora utilizando la clasificación por objeto del gasto y una vez aprobado se pone a disposición pública. </w:t>
      </w:r>
    </w:p>
    <w:p w14:paraId="686686B5" w14:textId="77777777" w:rsidR="0055718E" w:rsidRDefault="0055718E" w:rsidP="0055718E">
      <w:pPr>
        <w:spacing w:line="240" w:lineRule="auto"/>
        <w:rPr>
          <w:lang w:val="es-MX"/>
        </w:rPr>
      </w:pPr>
      <w:r>
        <w:rPr>
          <w:lang w:val="es-MX"/>
        </w:rPr>
        <w:t>Debido a que la base de preparación del presupuesto (efectivo) difiere de la base de preparación de los estados financieros (devengo), estos no presentan bases comparables, se confeccionará una conciliación entre ambos (presupuesto y contabilidad) para identificar por separado cualesquiera diferencias de base, oportunidad y entidad, clasificados en actividades de operación, actividades de inversión y actividades de financiación.</w:t>
      </w:r>
    </w:p>
    <w:p w14:paraId="7D747AA7" w14:textId="6B7F7BD4" w:rsidR="00E80180" w:rsidRDefault="00E80180" w:rsidP="0055718E">
      <w:pPr>
        <w:spacing w:before="240"/>
        <w:rPr>
          <w:b/>
          <w:u w:val="single"/>
        </w:rPr>
      </w:pPr>
    </w:p>
    <w:p w14:paraId="78924B3B" w14:textId="77777777" w:rsidR="00E80180" w:rsidRPr="003516A2" w:rsidRDefault="00E80180" w:rsidP="00E80180">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0BC6E5E2" w14:textId="77777777" w:rsidR="0055718E" w:rsidRDefault="0055718E" w:rsidP="0055718E">
      <w:pPr>
        <w:spacing w:line="240" w:lineRule="auto"/>
        <w:rPr>
          <w:lang w:val="es-MX"/>
        </w:rPr>
      </w:pPr>
      <w:r>
        <w:rPr>
          <w:lang w:val="es-MX"/>
        </w:rPr>
        <w:t>Los ingresos y gastos en el Presupuesto Municipal se miden por el valor contenido en los presupuestos ordinarios y extraordinarios aprobados por el máximo órgano colegiado de la Municipalidad el Concejo.</w:t>
      </w:r>
    </w:p>
    <w:p w14:paraId="686DC7D2" w14:textId="77777777" w:rsidR="0055718E" w:rsidRDefault="0055718E" w:rsidP="0055718E">
      <w:pPr>
        <w:spacing w:line="240" w:lineRule="auto"/>
        <w:rPr>
          <w:lang w:val="es-MX"/>
        </w:rPr>
      </w:pPr>
      <w:r>
        <w:rPr>
          <w:lang w:val="es-MX"/>
        </w:rPr>
        <w:t>El estado de comparación de los importes presupuestados y realizados, así como la conciliación requerida se deben presentar sobre bases comparables y revelar en las Notas a los EEFF.</w:t>
      </w:r>
    </w:p>
    <w:p w14:paraId="04C40082" w14:textId="11EA674A" w:rsidR="00AB6161" w:rsidRDefault="00AB6161" w:rsidP="00CD01C6">
      <w:pPr>
        <w:spacing w:before="240"/>
        <w:rPr>
          <w:b/>
          <w:u w:val="single"/>
          <w:lang w:eastAsia="es-CR"/>
        </w:rPr>
      </w:pPr>
      <w:r w:rsidRPr="00E80180">
        <w:rPr>
          <w:b/>
          <w:color w:val="FFFFFF" w:themeColor="background1"/>
          <w:highlight w:val="darkBlue"/>
          <w:u w:val="single"/>
        </w:rPr>
        <w:lastRenderedPageBreak/>
        <w:t>Revelación Suficiente:</w:t>
      </w:r>
      <w:r w:rsidRPr="00AB6161">
        <w:rPr>
          <w:b/>
          <w:u w:val="single"/>
          <w:lang w:eastAsia="es-CR"/>
        </w:rPr>
        <w:t xml:space="preserve"> </w:t>
      </w:r>
      <w:r w:rsidR="00482942">
        <w:rPr>
          <w:b/>
          <w:u w:val="single"/>
          <w:lang w:eastAsia="es-CR"/>
        </w:rPr>
        <w:t xml:space="preserve">El ente debe revelar y cumplir </w:t>
      </w:r>
      <w:r w:rsidRPr="00AB6161">
        <w:rPr>
          <w:b/>
          <w:u w:val="single"/>
          <w:lang w:eastAsia="es-CR"/>
        </w:rPr>
        <w:t xml:space="preserve">con lo estipulado en revelación </w:t>
      </w:r>
      <w:r w:rsidR="00482942">
        <w:rPr>
          <w:b/>
          <w:u w:val="single"/>
          <w:lang w:eastAsia="es-CR"/>
        </w:rPr>
        <w:t>conforme</w:t>
      </w:r>
      <w:r w:rsidRPr="00AB6161">
        <w:rPr>
          <w:b/>
          <w:u w:val="single"/>
          <w:lang w:eastAsia="es-CR"/>
        </w:rPr>
        <w:t xml:space="preserve"> a la NICSP, también debe considerar la política general y los párrafos incluidos en la matriz de autoevaluación referente a esta NICSP y guías de aplicación (Ver GA de la NICSP 24).</w:t>
      </w:r>
    </w:p>
    <w:p w14:paraId="688941F2" w14:textId="419E0E6B" w:rsidR="005B31D3" w:rsidRDefault="005B31D3" w:rsidP="00CD01C6">
      <w:pPr>
        <w:spacing w:before="240"/>
        <w:rPr>
          <w:b/>
          <w:u w:val="single"/>
          <w:lang w:eastAsia="es-CR"/>
        </w:rPr>
      </w:pPr>
    </w:p>
    <w:p w14:paraId="679BF842" w14:textId="77777777" w:rsidR="005B31D3" w:rsidRPr="00CD01C6" w:rsidRDefault="005B31D3" w:rsidP="00CD01C6">
      <w:pPr>
        <w:spacing w:before="240"/>
        <w:rPr>
          <w:lang w:val="es-MX"/>
        </w:rPr>
      </w:pPr>
    </w:p>
    <w:p w14:paraId="45719424" w14:textId="77777777" w:rsidR="0055718E" w:rsidRDefault="0055718E" w:rsidP="0055718E">
      <w:pPr>
        <w:spacing w:before="240" w:after="0" w:line="240" w:lineRule="auto"/>
        <w:rPr>
          <w:rFonts w:cs="Arial"/>
          <w:b/>
          <w:bCs/>
          <w:color w:val="202124"/>
          <w:shd w:val="clear" w:color="auto" w:fill="FFFFFF"/>
        </w:rPr>
      </w:pPr>
      <w:r w:rsidRPr="00953B93">
        <w:rPr>
          <w:rFonts w:cs="Arial"/>
          <w:b/>
          <w:bCs/>
          <w:color w:val="202124"/>
          <w:shd w:val="clear" w:color="auto" w:fill="FFFFFF"/>
        </w:rPr>
        <w:t>Principales Políticas</w:t>
      </w:r>
    </w:p>
    <w:p w14:paraId="314CF3EF" w14:textId="77777777" w:rsidR="0055718E" w:rsidRPr="00953B93" w:rsidRDefault="0055718E" w:rsidP="0055718E">
      <w:pPr>
        <w:spacing w:before="240" w:after="0" w:line="240" w:lineRule="auto"/>
        <w:rPr>
          <w:rFonts w:cs="Arial"/>
          <w:b/>
          <w:bCs/>
          <w:color w:val="202124"/>
          <w:shd w:val="clear" w:color="auto" w:fill="FFFFFF"/>
        </w:rPr>
      </w:pPr>
    </w:p>
    <w:p w14:paraId="23C543FE" w14:textId="77777777" w:rsidR="00820992" w:rsidRDefault="0055718E" w:rsidP="00820992">
      <w:pPr>
        <w:pStyle w:val="Default"/>
        <w:jc w:val="both"/>
        <w:rPr>
          <w:rFonts w:ascii="Arial Narrow" w:hAnsi="Arial Narrow"/>
        </w:rPr>
      </w:pPr>
      <w:r w:rsidRPr="009E1158">
        <w:rPr>
          <w:rFonts w:ascii="Arial Narrow" w:hAnsi="Arial Narrow"/>
        </w:rPr>
        <w:t xml:space="preserve">En la MBA los estados financieros y el presupuesto se preparen sobre bases no comparables, por tal razón se presentará el EEP como un estado individual, conjuntamente con los EEFF principales, y su exposición se apoyará sobre la base de los clasificadores presupuestarios vigentes. El EEP aquél a través del cual se presente el resultado financiero presupuestado y ejecutado (desagregado en sus componentes corriente y de capital), así como las fuentes y aplicaciones financieras presupuestadas y ejecutadas. A efectos de la presentación y desagregación de la información del EEP, se utilizará el clasificador económico de ingresos y de gastos. </w:t>
      </w:r>
    </w:p>
    <w:p w14:paraId="4F0839B6" w14:textId="4B269F97" w:rsidR="0055718E" w:rsidRDefault="0055718E" w:rsidP="00820992">
      <w:pPr>
        <w:pStyle w:val="Default"/>
        <w:jc w:val="both"/>
        <w:rPr>
          <w:rFonts w:ascii="Arial Narrow" w:hAnsi="Arial Narrow"/>
        </w:rPr>
      </w:pPr>
      <w:r w:rsidRPr="009E1158">
        <w:rPr>
          <w:rFonts w:ascii="Arial Narrow" w:hAnsi="Arial Narrow"/>
        </w:rPr>
        <w:t xml:space="preserve">Se deberá exponerse en Notas una conciliación entre los flujos de efectivo totales y los gastos presupuestarios pagados e ingresos presupuestarios percibidos, conforme lo estipulado a continuación: </w:t>
      </w:r>
    </w:p>
    <w:p w14:paraId="099ADBA1" w14:textId="77777777" w:rsidR="0055718E" w:rsidRPr="009E1158" w:rsidRDefault="0055718E" w:rsidP="007F4626">
      <w:pPr>
        <w:pStyle w:val="Default"/>
        <w:numPr>
          <w:ilvl w:val="1"/>
          <w:numId w:val="43"/>
        </w:numPr>
        <w:ind w:left="1440" w:hanging="360"/>
        <w:jc w:val="both"/>
        <w:rPr>
          <w:rFonts w:ascii="Arial Narrow" w:hAnsi="Arial Narrow"/>
        </w:rPr>
      </w:pPr>
    </w:p>
    <w:p w14:paraId="14E8612B" w14:textId="77777777" w:rsidR="0055718E" w:rsidRPr="009E1158" w:rsidRDefault="0055718E" w:rsidP="007F4626">
      <w:pPr>
        <w:pStyle w:val="Default"/>
        <w:numPr>
          <w:ilvl w:val="1"/>
          <w:numId w:val="44"/>
        </w:numPr>
        <w:spacing w:after="120"/>
        <w:ind w:left="284" w:hanging="284"/>
        <w:jc w:val="both"/>
        <w:rPr>
          <w:rFonts w:ascii="Arial Narrow" w:hAnsi="Arial Narrow"/>
        </w:rPr>
      </w:pPr>
      <w:r>
        <w:rPr>
          <w:rFonts w:ascii="Arial Narrow" w:hAnsi="Arial Narrow"/>
        </w:rPr>
        <w:t>L</w:t>
      </w:r>
      <w:r w:rsidRPr="009E1158">
        <w:rPr>
          <w:rFonts w:ascii="Arial Narrow" w:hAnsi="Arial Narrow"/>
        </w:rPr>
        <w:t xml:space="preserve">a información se comparará a nivel de flujos de operación, de inversión y de financiamiento que surgen del EFE; </w:t>
      </w:r>
    </w:p>
    <w:p w14:paraId="31E47282" w14:textId="61CE1C79" w:rsidR="0055718E" w:rsidRPr="009E1158" w:rsidRDefault="0055718E" w:rsidP="007F4626">
      <w:pPr>
        <w:pStyle w:val="Default"/>
        <w:numPr>
          <w:ilvl w:val="1"/>
          <w:numId w:val="44"/>
        </w:numPr>
        <w:spacing w:after="120"/>
        <w:ind w:left="284" w:hanging="284"/>
        <w:jc w:val="both"/>
        <w:rPr>
          <w:rFonts w:ascii="Arial Narrow" w:hAnsi="Arial Narrow"/>
          <w:color w:val="auto"/>
        </w:rPr>
      </w:pPr>
      <w:r>
        <w:rPr>
          <w:rFonts w:ascii="Arial Narrow" w:hAnsi="Arial Narrow"/>
          <w:color w:val="auto"/>
        </w:rPr>
        <w:t>L</w:t>
      </w:r>
      <w:r w:rsidRPr="009E1158">
        <w:rPr>
          <w:rFonts w:ascii="Arial Narrow" w:hAnsi="Arial Narrow"/>
          <w:color w:val="auto"/>
        </w:rPr>
        <w:t>os gastos pagados e ingresos percibidos presupuestarios se re</w:t>
      </w:r>
      <w:r w:rsidR="00820992">
        <w:rPr>
          <w:rFonts w:ascii="Arial Narrow" w:hAnsi="Arial Narrow"/>
          <w:color w:val="auto"/>
        </w:rPr>
        <w:t>-</w:t>
      </w:r>
      <w:r w:rsidRPr="009E1158">
        <w:rPr>
          <w:rFonts w:ascii="Arial Narrow" w:hAnsi="Arial Narrow"/>
          <w:color w:val="auto"/>
        </w:rPr>
        <w:t xml:space="preserve">expresarán a efectos de ser agrupados en las tres clases de flujos anteriores; </w:t>
      </w:r>
    </w:p>
    <w:p w14:paraId="2409AE6F" w14:textId="77777777" w:rsidR="0055718E" w:rsidRPr="009E1158" w:rsidRDefault="0055718E" w:rsidP="007F4626">
      <w:pPr>
        <w:pStyle w:val="Default"/>
        <w:numPr>
          <w:ilvl w:val="1"/>
          <w:numId w:val="44"/>
        </w:numPr>
        <w:spacing w:after="120"/>
        <w:ind w:left="284" w:hanging="284"/>
        <w:jc w:val="both"/>
        <w:rPr>
          <w:rFonts w:ascii="Arial Narrow" w:hAnsi="Arial Narrow"/>
          <w:color w:val="auto"/>
        </w:rPr>
      </w:pPr>
      <w:r>
        <w:rPr>
          <w:rFonts w:ascii="Arial Narrow" w:hAnsi="Arial Narrow"/>
          <w:color w:val="auto"/>
        </w:rPr>
        <w:t>S</w:t>
      </w:r>
      <w:r w:rsidRPr="009E1158">
        <w:rPr>
          <w:rFonts w:ascii="Arial Narrow" w:hAnsi="Arial Narrow"/>
          <w:color w:val="auto"/>
        </w:rPr>
        <w:t xml:space="preserve">e identificarán las diferencias entre los flujos de fondos del EFE y los presupuestarios; </w:t>
      </w:r>
    </w:p>
    <w:p w14:paraId="22759D8F" w14:textId="77777777" w:rsidR="0055718E" w:rsidRDefault="0055718E" w:rsidP="007F4626">
      <w:pPr>
        <w:pStyle w:val="Default"/>
        <w:numPr>
          <w:ilvl w:val="0"/>
          <w:numId w:val="44"/>
        </w:numPr>
        <w:spacing w:after="120"/>
        <w:ind w:left="284" w:hanging="284"/>
        <w:jc w:val="both"/>
        <w:rPr>
          <w:rFonts w:ascii="Arial Narrow" w:hAnsi="Arial Narrow"/>
          <w:color w:val="auto"/>
        </w:rPr>
      </w:pPr>
      <w:r>
        <w:rPr>
          <w:rFonts w:ascii="Arial Narrow" w:hAnsi="Arial Narrow"/>
          <w:color w:val="auto"/>
        </w:rPr>
        <w:t>S</w:t>
      </w:r>
      <w:r w:rsidRPr="009E1158">
        <w:rPr>
          <w:rFonts w:ascii="Arial Narrow" w:hAnsi="Arial Narrow"/>
          <w:color w:val="auto"/>
        </w:rPr>
        <w:t>e clasificarán dichas diferencias, sobre la base de lo desarrollado en el apartado siguiente, en:</w:t>
      </w:r>
    </w:p>
    <w:p w14:paraId="152A4A7F" w14:textId="77777777" w:rsidR="0055718E" w:rsidRPr="009E1158" w:rsidRDefault="0055718E" w:rsidP="007F4626">
      <w:pPr>
        <w:pStyle w:val="Default"/>
        <w:numPr>
          <w:ilvl w:val="0"/>
          <w:numId w:val="45"/>
        </w:numPr>
        <w:spacing w:after="120"/>
        <w:jc w:val="both"/>
        <w:rPr>
          <w:rFonts w:ascii="Arial Narrow" w:hAnsi="Arial Narrow"/>
          <w:color w:val="auto"/>
        </w:rPr>
      </w:pPr>
      <w:r w:rsidRPr="009E1158">
        <w:rPr>
          <w:rFonts w:ascii="Arial Narrow" w:hAnsi="Arial Narrow"/>
          <w:color w:val="auto"/>
        </w:rPr>
        <w:t xml:space="preserve">diferencias en las bases; </w:t>
      </w:r>
    </w:p>
    <w:p w14:paraId="1278B1EC" w14:textId="77777777" w:rsidR="0055718E" w:rsidRPr="009E1158" w:rsidRDefault="0055718E" w:rsidP="007F4626">
      <w:pPr>
        <w:pStyle w:val="Default"/>
        <w:numPr>
          <w:ilvl w:val="0"/>
          <w:numId w:val="45"/>
        </w:numPr>
        <w:spacing w:after="120"/>
        <w:jc w:val="both"/>
        <w:rPr>
          <w:rFonts w:ascii="Arial Narrow" w:hAnsi="Arial Narrow"/>
          <w:color w:val="auto"/>
        </w:rPr>
      </w:pPr>
      <w:r w:rsidRPr="009E1158">
        <w:rPr>
          <w:rFonts w:ascii="Arial Narrow" w:hAnsi="Arial Narrow"/>
          <w:color w:val="auto"/>
        </w:rPr>
        <w:t xml:space="preserve">diferencias temporales; y </w:t>
      </w:r>
    </w:p>
    <w:p w14:paraId="3B4E5EA9" w14:textId="77777777" w:rsidR="0055718E" w:rsidRPr="009E1158" w:rsidRDefault="0055718E" w:rsidP="007F4626">
      <w:pPr>
        <w:pStyle w:val="Default"/>
        <w:numPr>
          <w:ilvl w:val="0"/>
          <w:numId w:val="45"/>
        </w:numPr>
        <w:jc w:val="both"/>
        <w:rPr>
          <w:rFonts w:ascii="Arial Narrow" w:hAnsi="Arial Narrow"/>
          <w:color w:val="auto"/>
        </w:rPr>
      </w:pPr>
      <w:r w:rsidRPr="009E1158">
        <w:rPr>
          <w:rFonts w:ascii="Arial Narrow" w:hAnsi="Arial Narrow"/>
          <w:color w:val="auto"/>
        </w:rPr>
        <w:t xml:space="preserve">diferencias en las entidades. </w:t>
      </w:r>
    </w:p>
    <w:p w14:paraId="48924E83" w14:textId="77777777" w:rsidR="0055718E" w:rsidRPr="009E1158" w:rsidRDefault="0055718E" w:rsidP="0055718E">
      <w:pPr>
        <w:pStyle w:val="Default"/>
        <w:ind w:left="360"/>
        <w:jc w:val="both"/>
        <w:rPr>
          <w:rFonts w:ascii="Arial Narrow" w:hAnsi="Arial Narrow"/>
          <w:color w:val="auto"/>
        </w:rPr>
      </w:pPr>
    </w:p>
    <w:p w14:paraId="2FDADE9E" w14:textId="77777777" w:rsidR="0055718E" w:rsidRDefault="0055718E" w:rsidP="0055718E">
      <w:pPr>
        <w:pStyle w:val="Default"/>
        <w:jc w:val="both"/>
        <w:rPr>
          <w:rFonts w:ascii="Arial Narrow" w:hAnsi="Arial Narrow"/>
        </w:rPr>
      </w:pPr>
      <w:r w:rsidRPr="009E1158">
        <w:rPr>
          <w:rFonts w:ascii="Arial Narrow" w:hAnsi="Arial Narrow"/>
        </w:rPr>
        <w:t>Cuando los estados financieros y el presupuesto no se preparan con una base comparable, Deberá formularse y exponerse una conciliación entre los resultados contable y presupuestario. Dicha conciliación se realizará con los cobros en efectivo totales y los pagos en efectivo totales identificando por separado cualquier diferencia en las bases, tiempo y entidad.</w:t>
      </w:r>
    </w:p>
    <w:p w14:paraId="7A9B23DE" w14:textId="77777777" w:rsidR="0055718E" w:rsidRPr="009E1158" w:rsidRDefault="0055718E" w:rsidP="0055718E">
      <w:pPr>
        <w:pStyle w:val="Default"/>
        <w:jc w:val="both"/>
        <w:rPr>
          <w:rFonts w:ascii="Arial Narrow" w:hAnsi="Arial Narrow"/>
        </w:rPr>
      </w:pPr>
    </w:p>
    <w:p w14:paraId="2CBBFF00" w14:textId="77777777" w:rsidR="0055718E" w:rsidRPr="00E6175D" w:rsidRDefault="0055718E" w:rsidP="0055718E">
      <w:pPr>
        <w:spacing w:before="240" w:after="0" w:line="240" w:lineRule="auto"/>
        <w:rPr>
          <w:rFonts w:cs="Arial"/>
          <w:b/>
          <w:bCs/>
          <w:color w:val="202124"/>
          <w:shd w:val="clear" w:color="auto" w:fill="FFFFFF"/>
        </w:rPr>
      </w:pPr>
      <w:r w:rsidRPr="00E6175D">
        <w:rPr>
          <w:rFonts w:cs="Arial"/>
          <w:b/>
          <w:bCs/>
          <w:color w:val="202124"/>
          <w:shd w:val="clear" w:color="auto" w:fill="FFFFFF"/>
        </w:rPr>
        <w:t>Otras Revelaciones</w:t>
      </w:r>
    </w:p>
    <w:p w14:paraId="43326683" w14:textId="77777777" w:rsidR="0055718E" w:rsidRDefault="0055718E" w:rsidP="0055718E">
      <w:pPr>
        <w:spacing w:before="240" w:after="0" w:line="240" w:lineRule="auto"/>
        <w:rPr>
          <w:rFonts w:cs="Arial"/>
          <w:color w:val="202124"/>
          <w:shd w:val="clear" w:color="auto" w:fill="FFFFFF"/>
        </w:rPr>
      </w:pPr>
      <w:r w:rsidRPr="00C44B29">
        <w:rPr>
          <w:rFonts w:cs="Arial"/>
          <w:color w:val="202124"/>
          <w:shd w:val="clear" w:color="auto" w:fill="FFFFFF"/>
        </w:rPr>
        <w:t>El presupuesto se aprueba según la base presupuestaria de efectivo (</w:t>
      </w:r>
      <w:r w:rsidRPr="00C44B29">
        <w:rPr>
          <w:rFonts w:eastAsia="Calibri"/>
          <w:lang w:val="es-MX"/>
        </w:rPr>
        <w:t>Según esa base las transacciones y otros hechos son reconocidos sólo cuando el efectivo es recibido o pagado),</w:t>
      </w:r>
      <w:r w:rsidRPr="00C44B29">
        <w:rPr>
          <w:rFonts w:cs="Arial"/>
          <w:color w:val="202124"/>
          <w:shd w:val="clear" w:color="auto" w:fill="FFFFFF"/>
        </w:rPr>
        <w:t xml:space="preserve"> siguiendo </w:t>
      </w:r>
      <w:r w:rsidRPr="00C44B29">
        <w:rPr>
          <w:rFonts w:cs="Arial"/>
          <w:color w:val="202124"/>
          <w:shd w:val="clear" w:color="auto" w:fill="FFFFFF"/>
        </w:rPr>
        <w:lastRenderedPageBreak/>
        <w:t xml:space="preserve">una clasificación por programas y por objeto del gasto el presupuesto aprobado cubre el periodo fiscal que va </w:t>
      </w:r>
      <w:r w:rsidRPr="00582FA4">
        <w:rPr>
          <w:rFonts w:cs="Arial"/>
          <w:color w:val="202124"/>
          <w:shd w:val="clear" w:color="auto" w:fill="FFFFFF"/>
        </w:rPr>
        <w:t>del 1 de enero de 2024 al 31 de diciembre de 2024</w:t>
      </w:r>
      <w:r w:rsidRPr="00C44B29">
        <w:rPr>
          <w:rFonts w:cs="Arial"/>
          <w:color w:val="202124"/>
          <w:shd w:val="clear" w:color="auto" w:fill="FFFFFF"/>
        </w:rPr>
        <w:t xml:space="preserve">. Esa base presupuestaria difiere de la base contable, ya que la Municipalidad utiliza la base contable de acumulación (Devengo) para preparar los estados financieros y se utiliza una clasificación por objeto del gasto (de acuerdo con esta base </w:t>
      </w:r>
      <w:r w:rsidRPr="00C44B29">
        <w:rPr>
          <w:rFonts w:cs="Segoe UI"/>
          <w:color w:val="212529"/>
          <w:shd w:val="clear" w:color="auto" w:fill="F6F9FC"/>
        </w:rPr>
        <w:t>las transacciones o hechos económicos se reconocen en el momento en que ocurren, con independencia de la fecha de su pago o de su cobro)</w:t>
      </w:r>
      <w:r w:rsidRPr="00C44B29">
        <w:rPr>
          <w:rFonts w:cs="Arial"/>
          <w:color w:val="202124"/>
          <w:shd w:val="clear" w:color="auto" w:fill="FFFFFF"/>
        </w:rPr>
        <w:t>.</w:t>
      </w:r>
    </w:p>
    <w:p w14:paraId="7F937C50" w14:textId="77777777" w:rsidR="0055718E" w:rsidRDefault="0055718E" w:rsidP="0055718E">
      <w:pPr>
        <w:spacing w:before="240" w:after="0" w:line="240" w:lineRule="auto"/>
        <w:rPr>
          <w:rFonts w:cs="Arial"/>
          <w:color w:val="202124"/>
          <w:shd w:val="clear" w:color="auto" w:fill="FFFFFF"/>
        </w:rPr>
      </w:pPr>
      <w:r>
        <w:rPr>
          <w:rFonts w:cs="Arial"/>
          <w:color w:val="202124"/>
          <w:shd w:val="clear" w:color="auto" w:fill="FFFFFF"/>
        </w:rPr>
        <w:t>Es pertinente señalar que como parte del proceso de implementación se tiene en proceso la implementación, lo relacionado con el cuadro comparativo de presupuesto y contabilidad y la conciliación que solicita la norma.</w:t>
      </w:r>
    </w:p>
    <w:p w14:paraId="58150943" w14:textId="77777777" w:rsidR="0055718E" w:rsidRDefault="0055718E" w:rsidP="0055718E">
      <w:pPr>
        <w:spacing w:after="0" w:line="240" w:lineRule="auto"/>
        <w:rPr>
          <w:rFonts w:cs="Arial"/>
          <w:color w:val="202124"/>
          <w:shd w:val="clear" w:color="auto" w:fill="FFFFFF"/>
        </w:rPr>
      </w:pPr>
    </w:p>
    <w:p w14:paraId="3A114773" w14:textId="52D029B3" w:rsidR="0055718E" w:rsidRPr="00CE347F" w:rsidRDefault="0055718E" w:rsidP="0055718E">
      <w:pPr>
        <w:spacing w:line="240" w:lineRule="auto"/>
        <w:rPr>
          <w:szCs w:val="24"/>
          <w:lang w:eastAsia="es-CR"/>
        </w:rPr>
      </w:pPr>
      <w:r w:rsidRPr="00CE347F">
        <w:rPr>
          <w:szCs w:val="24"/>
          <w:lang w:eastAsia="es-CR"/>
        </w:rPr>
        <w:t xml:space="preserve">De acuerdo con lo consignado en la Matriz de NICSP y Plan de Acción al </w:t>
      </w:r>
      <w:r w:rsidR="00796636" w:rsidRPr="00CE347F">
        <w:rPr>
          <w:szCs w:val="24"/>
          <w:lang w:eastAsia="es-CR"/>
        </w:rPr>
        <w:t>31</w:t>
      </w:r>
      <w:r w:rsidRPr="00CE347F">
        <w:rPr>
          <w:szCs w:val="24"/>
          <w:lang w:eastAsia="es-CR"/>
        </w:rPr>
        <w:t xml:space="preserve"> de </w:t>
      </w:r>
      <w:r w:rsidR="00D64CF8" w:rsidRPr="00CE347F">
        <w:rPr>
          <w:szCs w:val="24"/>
          <w:lang w:eastAsia="es-CR"/>
        </w:rPr>
        <w:t>diciembre</w:t>
      </w:r>
      <w:r w:rsidRPr="00CE347F">
        <w:rPr>
          <w:szCs w:val="24"/>
          <w:lang w:eastAsia="es-CR"/>
        </w:rPr>
        <w:t xml:space="preserve"> de 2024, se encuentra pendiente de implementar lo siguiente:</w:t>
      </w:r>
    </w:p>
    <w:tbl>
      <w:tblPr>
        <w:tblW w:w="8861" w:type="dxa"/>
        <w:tblLook w:val="04A0" w:firstRow="1" w:lastRow="0" w:firstColumn="1" w:lastColumn="0" w:noHBand="0" w:noVBand="1"/>
      </w:tblPr>
      <w:tblGrid>
        <w:gridCol w:w="7361"/>
        <w:gridCol w:w="1500"/>
      </w:tblGrid>
      <w:tr w:rsidR="0055718E" w:rsidRPr="0055718E" w14:paraId="2E078B6B" w14:textId="77777777" w:rsidTr="005B31D3">
        <w:trPr>
          <w:trHeight w:val="530"/>
        </w:trPr>
        <w:tc>
          <w:tcPr>
            <w:tcW w:w="736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3EEE723" w14:textId="77777777" w:rsidR="0055718E" w:rsidRPr="00F000C2" w:rsidRDefault="0055718E" w:rsidP="0061790F">
            <w:pPr>
              <w:spacing w:after="0" w:line="240" w:lineRule="auto"/>
              <w:jc w:val="center"/>
              <w:rPr>
                <w:rFonts w:eastAsia="Times New Roman" w:cs="Calibri"/>
                <w:b/>
                <w:bCs/>
                <w:sz w:val="20"/>
                <w:szCs w:val="20"/>
                <w:lang w:val="en-US"/>
              </w:rPr>
            </w:pPr>
            <w:proofErr w:type="spellStart"/>
            <w:r w:rsidRPr="00F000C2">
              <w:rPr>
                <w:rFonts w:eastAsia="Times New Roman" w:cs="Calibri"/>
                <w:b/>
                <w:bCs/>
                <w:sz w:val="20"/>
                <w:szCs w:val="20"/>
                <w:lang w:val="en-US"/>
              </w:rPr>
              <w:t>Actividades</w:t>
            </w:r>
            <w:proofErr w:type="spellEnd"/>
            <w:r w:rsidRPr="00F000C2">
              <w:rPr>
                <w:rFonts w:eastAsia="Times New Roman" w:cs="Calibri"/>
                <w:b/>
                <w:bCs/>
                <w:sz w:val="20"/>
                <w:szCs w:val="20"/>
                <w:lang w:val="en-US"/>
              </w:rPr>
              <w:t xml:space="preserve"> </w:t>
            </w:r>
            <w:proofErr w:type="spellStart"/>
            <w:r w:rsidRPr="00F000C2">
              <w:rPr>
                <w:rFonts w:eastAsia="Times New Roman" w:cs="Calibri"/>
                <w:b/>
                <w:bCs/>
                <w:sz w:val="20"/>
                <w:szCs w:val="20"/>
                <w:lang w:val="en-US"/>
              </w:rPr>
              <w:t>Pendientes</w:t>
            </w:r>
            <w:proofErr w:type="spellEnd"/>
            <w:r w:rsidRPr="00F000C2">
              <w:rPr>
                <w:rFonts w:eastAsia="Times New Roman" w:cs="Calibri"/>
                <w:b/>
                <w:bCs/>
                <w:sz w:val="20"/>
                <w:szCs w:val="20"/>
                <w:lang w:val="en-US"/>
              </w:rPr>
              <w:t xml:space="preserve"> de </w:t>
            </w:r>
            <w:proofErr w:type="spellStart"/>
            <w:r w:rsidRPr="00F000C2">
              <w:rPr>
                <w:rFonts w:eastAsia="Times New Roman" w:cs="Calibri"/>
                <w:b/>
                <w:bCs/>
                <w:sz w:val="20"/>
                <w:szCs w:val="20"/>
                <w:lang w:val="en-US"/>
              </w:rPr>
              <w:t>Cumplimiento</w:t>
            </w:r>
            <w:proofErr w:type="spellEnd"/>
          </w:p>
        </w:tc>
        <w:tc>
          <w:tcPr>
            <w:tcW w:w="1500" w:type="dxa"/>
            <w:tcBorders>
              <w:top w:val="single" w:sz="8" w:space="0" w:color="auto"/>
              <w:left w:val="nil"/>
              <w:bottom w:val="single" w:sz="4" w:space="0" w:color="auto"/>
              <w:right w:val="single" w:sz="8" w:space="0" w:color="auto"/>
            </w:tcBorders>
            <w:shd w:val="clear" w:color="auto" w:fill="auto"/>
            <w:vAlign w:val="bottom"/>
            <w:hideMark/>
          </w:tcPr>
          <w:p w14:paraId="3F25F3D2" w14:textId="77777777" w:rsidR="0055718E" w:rsidRPr="00F000C2" w:rsidRDefault="0055718E" w:rsidP="0061790F">
            <w:pPr>
              <w:spacing w:after="0" w:line="240" w:lineRule="auto"/>
              <w:jc w:val="center"/>
              <w:rPr>
                <w:rFonts w:eastAsia="Times New Roman" w:cs="Calibri"/>
                <w:b/>
                <w:bCs/>
                <w:color w:val="000000"/>
                <w:sz w:val="20"/>
                <w:szCs w:val="20"/>
                <w:lang w:val="en-US"/>
              </w:rPr>
            </w:pPr>
            <w:proofErr w:type="spellStart"/>
            <w:r w:rsidRPr="00F000C2">
              <w:rPr>
                <w:rFonts w:eastAsia="Times New Roman" w:cs="Calibri"/>
                <w:b/>
                <w:bCs/>
                <w:color w:val="000000"/>
                <w:sz w:val="20"/>
                <w:szCs w:val="20"/>
                <w:lang w:val="en-US"/>
              </w:rPr>
              <w:t>Fecha</w:t>
            </w:r>
            <w:proofErr w:type="spellEnd"/>
            <w:r w:rsidRPr="00F000C2">
              <w:rPr>
                <w:rFonts w:eastAsia="Times New Roman" w:cs="Calibri"/>
                <w:b/>
                <w:bCs/>
                <w:color w:val="000000"/>
                <w:sz w:val="20"/>
                <w:szCs w:val="20"/>
                <w:lang w:val="en-US"/>
              </w:rPr>
              <w:t xml:space="preserve"> </w:t>
            </w:r>
            <w:proofErr w:type="spellStart"/>
            <w:r w:rsidRPr="00F000C2">
              <w:rPr>
                <w:rFonts w:eastAsia="Times New Roman" w:cs="Calibri"/>
                <w:b/>
                <w:bCs/>
                <w:color w:val="000000"/>
                <w:sz w:val="20"/>
                <w:szCs w:val="20"/>
                <w:lang w:val="en-US"/>
              </w:rPr>
              <w:t>Estimada</w:t>
            </w:r>
            <w:proofErr w:type="spellEnd"/>
            <w:r w:rsidRPr="00F000C2">
              <w:rPr>
                <w:rFonts w:eastAsia="Times New Roman" w:cs="Calibri"/>
                <w:b/>
                <w:bCs/>
                <w:color w:val="000000"/>
                <w:sz w:val="20"/>
                <w:szCs w:val="20"/>
                <w:lang w:val="en-US"/>
              </w:rPr>
              <w:t xml:space="preserve"> </w:t>
            </w:r>
            <w:proofErr w:type="spellStart"/>
            <w:r w:rsidRPr="00F000C2">
              <w:rPr>
                <w:rFonts w:eastAsia="Times New Roman" w:cs="Calibri"/>
                <w:b/>
                <w:bCs/>
                <w:color w:val="000000"/>
                <w:sz w:val="20"/>
                <w:szCs w:val="20"/>
                <w:lang w:val="en-US"/>
              </w:rPr>
              <w:t>Cumplimiento</w:t>
            </w:r>
            <w:proofErr w:type="spellEnd"/>
          </w:p>
        </w:tc>
      </w:tr>
      <w:tr w:rsidR="0055718E" w:rsidRPr="0055718E" w14:paraId="129AAC4B" w14:textId="77777777" w:rsidTr="005B31D3">
        <w:trPr>
          <w:trHeight w:val="520"/>
        </w:trPr>
        <w:tc>
          <w:tcPr>
            <w:tcW w:w="7361" w:type="dxa"/>
            <w:tcBorders>
              <w:top w:val="nil"/>
              <w:left w:val="single" w:sz="8" w:space="0" w:color="auto"/>
              <w:bottom w:val="single" w:sz="4" w:space="0" w:color="auto"/>
              <w:right w:val="single" w:sz="4" w:space="0" w:color="auto"/>
            </w:tcBorders>
            <w:shd w:val="clear" w:color="auto" w:fill="auto"/>
            <w:hideMark/>
          </w:tcPr>
          <w:p w14:paraId="727C5053" w14:textId="43CC666A" w:rsidR="0055718E" w:rsidRPr="00F000C2" w:rsidRDefault="005B31D3" w:rsidP="0061790F">
            <w:pPr>
              <w:spacing w:after="0" w:line="240" w:lineRule="auto"/>
              <w:rPr>
                <w:rFonts w:eastAsia="Times New Roman" w:cs="Calibri"/>
                <w:sz w:val="20"/>
                <w:szCs w:val="20"/>
              </w:rPr>
            </w:pPr>
            <w:r w:rsidRPr="00F000C2">
              <w:rPr>
                <w:rFonts w:eastAsia="Times New Roman" w:cs="Calibri"/>
                <w:sz w:val="20"/>
                <w:szCs w:val="20"/>
              </w:rPr>
              <w:t>I</w:t>
            </w:r>
            <w:r w:rsidR="0055718E" w:rsidRPr="00F000C2">
              <w:rPr>
                <w:rFonts w:eastAsia="Times New Roman" w:cs="Calibri"/>
                <w:sz w:val="20"/>
                <w:szCs w:val="20"/>
              </w:rPr>
              <w:t>ncluir en las notas a los estados financieros la conciliación requerida en la cual se revele la comparación del presupuesto y los montos reales.</w:t>
            </w:r>
          </w:p>
        </w:tc>
        <w:tc>
          <w:tcPr>
            <w:tcW w:w="1500" w:type="dxa"/>
            <w:tcBorders>
              <w:top w:val="nil"/>
              <w:left w:val="nil"/>
              <w:bottom w:val="single" w:sz="4" w:space="0" w:color="auto"/>
              <w:right w:val="single" w:sz="8" w:space="0" w:color="auto"/>
            </w:tcBorders>
            <w:shd w:val="clear" w:color="auto" w:fill="auto"/>
            <w:noWrap/>
            <w:vAlign w:val="center"/>
            <w:hideMark/>
          </w:tcPr>
          <w:p w14:paraId="262272CB" w14:textId="7EA2C35B" w:rsidR="0055718E" w:rsidRPr="00F000C2" w:rsidRDefault="00796636" w:rsidP="0061790F">
            <w:pPr>
              <w:spacing w:after="0" w:line="240" w:lineRule="auto"/>
              <w:jc w:val="center"/>
              <w:rPr>
                <w:rFonts w:eastAsia="Times New Roman" w:cs="Calibri"/>
                <w:sz w:val="20"/>
                <w:szCs w:val="20"/>
                <w:lang w:val="en-US"/>
              </w:rPr>
            </w:pPr>
            <w:r w:rsidRPr="00F000C2">
              <w:rPr>
                <w:rFonts w:eastAsia="Times New Roman" w:cs="Calibri"/>
                <w:sz w:val="20"/>
                <w:szCs w:val="20"/>
                <w:lang w:val="en-US"/>
              </w:rPr>
              <w:t>3</w:t>
            </w:r>
            <w:r w:rsidR="00CE347F" w:rsidRPr="00F000C2">
              <w:rPr>
                <w:rFonts w:eastAsia="Times New Roman" w:cs="Calibri"/>
                <w:sz w:val="20"/>
                <w:szCs w:val="20"/>
                <w:lang w:val="en-US"/>
              </w:rPr>
              <w:t>0</w:t>
            </w:r>
            <w:r w:rsidR="00492E8C" w:rsidRPr="00F000C2">
              <w:rPr>
                <w:rFonts w:eastAsia="Times New Roman" w:cs="Calibri"/>
                <w:sz w:val="20"/>
                <w:szCs w:val="20"/>
                <w:lang w:val="en-US"/>
              </w:rPr>
              <w:t>/06/25</w:t>
            </w:r>
          </w:p>
        </w:tc>
      </w:tr>
      <w:tr w:rsidR="00492E8C" w:rsidRPr="0055718E" w14:paraId="3BE4109C" w14:textId="77777777" w:rsidTr="005B31D3">
        <w:trPr>
          <w:trHeight w:val="520"/>
        </w:trPr>
        <w:tc>
          <w:tcPr>
            <w:tcW w:w="7361" w:type="dxa"/>
            <w:tcBorders>
              <w:top w:val="nil"/>
              <w:left w:val="single" w:sz="8" w:space="0" w:color="auto"/>
              <w:bottom w:val="single" w:sz="4" w:space="0" w:color="auto"/>
              <w:right w:val="single" w:sz="4" w:space="0" w:color="auto"/>
            </w:tcBorders>
            <w:shd w:val="clear" w:color="auto" w:fill="auto"/>
            <w:hideMark/>
          </w:tcPr>
          <w:p w14:paraId="52D064DB" w14:textId="77777777" w:rsidR="00492E8C" w:rsidRPr="00F000C2" w:rsidRDefault="00492E8C" w:rsidP="00492E8C">
            <w:pPr>
              <w:spacing w:after="0" w:line="240" w:lineRule="auto"/>
              <w:rPr>
                <w:rFonts w:eastAsia="Times New Roman" w:cs="Calibri"/>
                <w:sz w:val="20"/>
                <w:szCs w:val="20"/>
              </w:rPr>
            </w:pPr>
            <w:r w:rsidRPr="00F000C2">
              <w:rPr>
                <w:rFonts w:eastAsia="Times New Roman" w:cs="Calibri"/>
                <w:sz w:val="20"/>
                <w:szCs w:val="20"/>
              </w:rPr>
              <w:t>Revelar en las notas una explicación de las diferencias materiales entre el presupuesto y los importes reales.</w:t>
            </w:r>
          </w:p>
        </w:tc>
        <w:tc>
          <w:tcPr>
            <w:tcW w:w="1500" w:type="dxa"/>
            <w:tcBorders>
              <w:top w:val="nil"/>
              <w:left w:val="nil"/>
              <w:bottom w:val="single" w:sz="4" w:space="0" w:color="auto"/>
              <w:right w:val="single" w:sz="8" w:space="0" w:color="auto"/>
            </w:tcBorders>
            <w:shd w:val="clear" w:color="auto" w:fill="auto"/>
            <w:noWrap/>
            <w:hideMark/>
          </w:tcPr>
          <w:p w14:paraId="1FB9F476" w14:textId="157D5DF9" w:rsidR="00492E8C" w:rsidRPr="00F000C2" w:rsidRDefault="00CE347F" w:rsidP="00492E8C">
            <w:pPr>
              <w:spacing w:after="0" w:line="240" w:lineRule="auto"/>
              <w:jc w:val="center"/>
              <w:rPr>
                <w:rFonts w:eastAsia="Times New Roman" w:cs="Calibri"/>
                <w:sz w:val="20"/>
                <w:szCs w:val="20"/>
                <w:lang w:val="en-US"/>
              </w:rPr>
            </w:pPr>
            <w:r w:rsidRPr="00F000C2">
              <w:rPr>
                <w:rFonts w:eastAsia="Times New Roman" w:cs="Calibri"/>
                <w:sz w:val="20"/>
                <w:szCs w:val="20"/>
                <w:lang w:val="en-US"/>
              </w:rPr>
              <w:t>30/06/25</w:t>
            </w:r>
          </w:p>
        </w:tc>
      </w:tr>
      <w:tr w:rsidR="00492E8C" w:rsidRPr="0055718E" w14:paraId="44F50719" w14:textId="77777777" w:rsidTr="005B31D3">
        <w:trPr>
          <w:trHeight w:val="520"/>
        </w:trPr>
        <w:tc>
          <w:tcPr>
            <w:tcW w:w="7361" w:type="dxa"/>
            <w:tcBorders>
              <w:top w:val="nil"/>
              <w:left w:val="single" w:sz="8" w:space="0" w:color="auto"/>
              <w:bottom w:val="single" w:sz="4" w:space="0" w:color="auto"/>
              <w:right w:val="single" w:sz="4" w:space="0" w:color="auto"/>
            </w:tcBorders>
            <w:shd w:val="clear" w:color="auto" w:fill="auto"/>
            <w:hideMark/>
          </w:tcPr>
          <w:p w14:paraId="375DFDEC" w14:textId="77777777" w:rsidR="00492E8C" w:rsidRPr="00F000C2" w:rsidRDefault="00492E8C" w:rsidP="00492E8C">
            <w:pPr>
              <w:spacing w:after="0" w:line="240" w:lineRule="auto"/>
              <w:rPr>
                <w:rFonts w:eastAsia="Times New Roman" w:cs="Calibri"/>
                <w:sz w:val="20"/>
                <w:szCs w:val="20"/>
              </w:rPr>
            </w:pPr>
            <w:r w:rsidRPr="00F000C2">
              <w:rPr>
                <w:rFonts w:eastAsia="Times New Roman" w:cs="Calibri"/>
                <w:sz w:val="20"/>
                <w:szCs w:val="20"/>
              </w:rPr>
              <w:t>Incluir en las notas a los estados financieros una explicación de si los cambios entre el presupuesto inicial y final son consecuencia de redistribuciones dentro del presupuesto.</w:t>
            </w:r>
          </w:p>
        </w:tc>
        <w:tc>
          <w:tcPr>
            <w:tcW w:w="1500" w:type="dxa"/>
            <w:tcBorders>
              <w:top w:val="nil"/>
              <w:left w:val="nil"/>
              <w:bottom w:val="single" w:sz="4" w:space="0" w:color="auto"/>
              <w:right w:val="single" w:sz="8" w:space="0" w:color="auto"/>
            </w:tcBorders>
            <w:shd w:val="clear" w:color="auto" w:fill="auto"/>
            <w:noWrap/>
            <w:hideMark/>
          </w:tcPr>
          <w:p w14:paraId="2BE32AFD" w14:textId="3C7C951D" w:rsidR="00492E8C" w:rsidRPr="00F000C2" w:rsidRDefault="00CE347F" w:rsidP="00492E8C">
            <w:pPr>
              <w:spacing w:after="0" w:line="240" w:lineRule="auto"/>
              <w:jc w:val="center"/>
              <w:rPr>
                <w:rFonts w:eastAsia="Times New Roman" w:cs="Calibri"/>
                <w:sz w:val="20"/>
                <w:szCs w:val="20"/>
                <w:lang w:val="en-US"/>
              </w:rPr>
            </w:pPr>
            <w:r w:rsidRPr="00F000C2">
              <w:rPr>
                <w:rFonts w:eastAsia="Times New Roman" w:cs="Calibri"/>
                <w:sz w:val="20"/>
                <w:szCs w:val="20"/>
                <w:lang w:val="en-US"/>
              </w:rPr>
              <w:t>30/06/25</w:t>
            </w:r>
          </w:p>
        </w:tc>
      </w:tr>
      <w:tr w:rsidR="00492E8C" w:rsidRPr="0055718E" w14:paraId="1411FC01" w14:textId="77777777" w:rsidTr="005B31D3">
        <w:trPr>
          <w:trHeight w:val="520"/>
        </w:trPr>
        <w:tc>
          <w:tcPr>
            <w:tcW w:w="7361" w:type="dxa"/>
            <w:tcBorders>
              <w:top w:val="nil"/>
              <w:left w:val="single" w:sz="8" w:space="0" w:color="auto"/>
              <w:bottom w:val="single" w:sz="4" w:space="0" w:color="auto"/>
              <w:right w:val="single" w:sz="4" w:space="0" w:color="auto"/>
            </w:tcBorders>
            <w:shd w:val="clear" w:color="auto" w:fill="auto"/>
            <w:hideMark/>
          </w:tcPr>
          <w:p w14:paraId="071E2619" w14:textId="77777777" w:rsidR="00492E8C" w:rsidRPr="00F000C2" w:rsidRDefault="00492E8C" w:rsidP="00492E8C">
            <w:pPr>
              <w:spacing w:after="0" w:line="240" w:lineRule="auto"/>
              <w:rPr>
                <w:rFonts w:eastAsia="Times New Roman" w:cs="Calibri"/>
                <w:sz w:val="20"/>
                <w:szCs w:val="20"/>
              </w:rPr>
            </w:pPr>
            <w:r w:rsidRPr="00F000C2">
              <w:rPr>
                <w:rFonts w:eastAsia="Times New Roman" w:cs="Calibri"/>
                <w:sz w:val="20"/>
                <w:szCs w:val="20"/>
              </w:rPr>
              <w:t>Determinar las diferencias entre los saldos de contabilidad y presupuesto correspondientes a ingresos y gastos y elaborar el estado correspondiente.</w:t>
            </w:r>
          </w:p>
        </w:tc>
        <w:tc>
          <w:tcPr>
            <w:tcW w:w="1500" w:type="dxa"/>
            <w:tcBorders>
              <w:top w:val="nil"/>
              <w:left w:val="nil"/>
              <w:bottom w:val="single" w:sz="4" w:space="0" w:color="auto"/>
              <w:right w:val="single" w:sz="8" w:space="0" w:color="auto"/>
            </w:tcBorders>
            <w:shd w:val="clear" w:color="auto" w:fill="auto"/>
            <w:noWrap/>
            <w:hideMark/>
          </w:tcPr>
          <w:p w14:paraId="2AA842A8" w14:textId="1E5F3528" w:rsidR="00492E8C" w:rsidRPr="00F000C2" w:rsidRDefault="00CE347F" w:rsidP="00492E8C">
            <w:pPr>
              <w:spacing w:after="0" w:line="240" w:lineRule="auto"/>
              <w:jc w:val="center"/>
              <w:rPr>
                <w:rFonts w:eastAsia="Times New Roman" w:cs="Calibri"/>
                <w:sz w:val="20"/>
                <w:szCs w:val="20"/>
                <w:lang w:val="en-US"/>
              </w:rPr>
            </w:pPr>
            <w:r w:rsidRPr="00F000C2">
              <w:rPr>
                <w:rFonts w:eastAsia="Times New Roman" w:cs="Calibri"/>
                <w:sz w:val="20"/>
                <w:szCs w:val="20"/>
                <w:lang w:val="en-US"/>
              </w:rPr>
              <w:t>30/06/25</w:t>
            </w:r>
          </w:p>
        </w:tc>
      </w:tr>
      <w:tr w:rsidR="00492E8C" w:rsidRPr="008A2790" w14:paraId="20A21AC7" w14:textId="77777777" w:rsidTr="005B31D3">
        <w:trPr>
          <w:trHeight w:val="573"/>
        </w:trPr>
        <w:tc>
          <w:tcPr>
            <w:tcW w:w="7361" w:type="dxa"/>
            <w:tcBorders>
              <w:top w:val="nil"/>
              <w:left w:val="single" w:sz="8" w:space="0" w:color="auto"/>
              <w:bottom w:val="single" w:sz="8" w:space="0" w:color="auto"/>
              <w:right w:val="single" w:sz="4" w:space="0" w:color="auto"/>
            </w:tcBorders>
            <w:shd w:val="clear" w:color="auto" w:fill="auto"/>
            <w:hideMark/>
          </w:tcPr>
          <w:p w14:paraId="10FD6518" w14:textId="57D6E581" w:rsidR="00492E8C" w:rsidRPr="00F000C2" w:rsidRDefault="00492E8C" w:rsidP="00492E8C">
            <w:pPr>
              <w:spacing w:after="0" w:line="240" w:lineRule="auto"/>
              <w:rPr>
                <w:rFonts w:eastAsia="Times New Roman" w:cs="Calibri"/>
                <w:color w:val="000000"/>
                <w:sz w:val="20"/>
                <w:szCs w:val="20"/>
              </w:rPr>
            </w:pPr>
            <w:r w:rsidRPr="00F000C2">
              <w:rPr>
                <w:rFonts w:eastAsia="Times New Roman" w:cs="Calibri"/>
                <w:color w:val="000000"/>
                <w:sz w:val="20"/>
                <w:szCs w:val="20"/>
              </w:rPr>
              <w:t xml:space="preserve">Contar con un sistema </w:t>
            </w:r>
            <w:r w:rsidR="00CE347F" w:rsidRPr="00F000C2">
              <w:rPr>
                <w:rFonts w:eastAsia="Times New Roman" w:cs="Calibri"/>
                <w:color w:val="000000"/>
                <w:sz w:val="20"/>
                <w:szCs w:val="20"/>
              </w:rPr>
              <w:t>integrado que</w:t>
            </w:r>
            <w:r w:rsidRPr="00F000C2">
              <w:rPr>
                <w:rFonts w:eastAsia="Times New Roman" w:cs="Calibri"/>
                <w:color w:val="000000"/>
                <w:sz w:val="20"/>
                <w:szCs w:val="20"/>
              </w:rPr>
              <w:t xml:space="preserve"> permita el registro de las </w:t>
            </w:r>
            <w:r w:rsidR="00CE347F" w:rsidRPr="00F000C2">
              <w:rPr>
                <w:rFonts w:eastAsia="Times New Roman" w:cs="Calibri"/>
                <w:color w:val="000000"/>
                <w:sz w:val="20"/>
                <w:szCs w:val="20"/>
              </w:rPr>
              <w:t>transacciones que</w:t>
            </w:r>
            <w:r w:rsidRPr="00F000C2">
              <w:rPr>
                <w:rFonts w:eastAsia="Times New Roman" w:cs="Calibri"/>
                <w:color w:val="000000"/>
                <w:sz w:val="20"/>
                <w:szCs w:val="20"/>
              </w:rPr>
              <w:t xml:space="preserve"> se realizan en la </w:t>
            </w:r>
            <w:r w:rsidR="00CE347F" w:rsidRPr="00F000C2">
              <w:rPr>
                <w:rFonts w:eastAsia="Times New Roman" w:cs="Calibri"/>
                <w:color w:val="000000"/>
                <w:sz w:val="20"/>
                <w:szCs w:val="20"/>
              </w:rPr>
              <w:t>Institución y</w:t>
            </w:r>
            <w:r w:rsidRPr="00F000C2">
              <w:rPr>
                <w:rFonts w:eastAsia="Times New Roman" w:cs="Calibri"/>
                <w:color w:val="000000"/>
                <w:sz w:val="20"/>
                <w:szCs w:val="20"/>
              </w:rPr>
              <w:t xml:space="preserve"> que genere los Estados Financieros según la normativa contable.</w:t>
            </w:r>
          </w:p>
        </w:tc>
        <w:tc>
          <w:tcPr>
            <w:tcW w:w="1500" w:type="dxa"/>
            <w:tcBorders>
              <w:top w:val="nil"/>
              <w:left w:val="nil"/>
              <w:bottom w:val="single" w:sz="8" w:space="0" w:color="auto"/>
              <w:right w:val="single" w:sz="8" w:space="0" w:color="auto"/>
            </w:tcBorders>
            <w:shd w:val="clear" w:color="auto" w:fill="auto"/>
            <w:noWrap/>
            <w:hideMark/>
          </w:tcPr>
          <w:p w14:paraId="641BFC12" w14:textId="66A0D453" w:rsidR="00492E8C" w:rsidRPr="00F000C2" w:rsidRDefault="00CE347F" w:rsidP="00492E8C">
            <w:pPr>
              <w:spacing w:after="0" w:line="240" w:lineRule="auto"/>
              <w:jc w:val="center"/>
              <w:rPr>
                <w:rFonts w:eastAsia="Times New Roman" w:cs="Calibri"/>
                <w:sz w:val="20"/>
                <w:szCs w:val="20"/>
                <w:lang w:val="en-US"/>
              </w:rPr>
            </w:pPr>
            <w:r w:rsidRPr="00F000C2">
              <w:rPr>
                <w:rFonts w:eastAsia="Times New Roman" w:cs="Calibri"/>
                <w:sz w:val="20"/>
                <w:szCs w:val="20"/>
                <w:lang w:val="en-US"/>
              </w:rPr>
              <w:t>30/06/25</w:t>
            </w:r>
          </w:p>
        </w:tc>
      </w:tr>
    </w:tbl>
    <w:p w14:paraId="41621F2D" w14:textId="039B897E" w:rsidR="00F000C2" w:rsidRPr="00EE66B3" w:rsidRDefault="00F000C2" w:rsidP="00F000C2">
      <w:pPr>
        <w:pStyle w:val="Ttulo2"/>
        <w:spacing w:after="240" w:line="240" w:lineRule="auto"/>
        <w:rPr>
          <w:rFonts w:eastAsiaTheme="minorHAnsi" w:cstheme="minorBidi"/>
          <w:color w:val="auto"/>
          <w:szCs w:val="22"/>
        </w:rPr>
      </w:pPr>
      <w:bookmarkStart w:id="97" w:name="_Toc189804807"/>
      <w:bookmarkStart w:id="98" w:name="_Toc54961689"/>
      <w:bookmarkStart w:id="99" w:name="_Toc82768887"/>
      <w:r w:rsidRPr="00EE66B3">
        <w:rPr>
          <w:color w:val="auto"/>
          <w:lang w:eastAsia="es-CR"/>
        </w:rPr>
        <w:t xml:space="preserve">Se hizo extensión a la fecha prevista esto debido a las cargas de trabajo en la institución, por tanto, no se pudo completar las actividades requeridas a la Norma </w:t>
      </w:r>
      <w:r>
        <w:rPr>
          <w:color w:val="auto"/>
          <w:lang w:val="es-MX"/>
        </w:rPr>
        <w:t>NICSP 25</w:t>
      </w:r>
      <w:bookmarkEnd w:id="97"/>
    </w:p>
    <w:p w14:paraId="69669429" w14:textId="5DCB0274" w:rsidR="001F474F" w:rsidRPr="00405DBC" w:rsidRDefault="00FE51BD" w:rsidP="001F474F">
      <w:pPr>
        <w:pStyle w:val="Ttulo2"/>
        <w:spacing w:after="240"/>
      </w:pPr>
      <w:bookmarkStart w:id="100" w:name="_Toc189804808"/>
      <w:r w:rsidRPr="003A31CC">
        <w:rPr>
          <w:rFonts w:eastAsia="Times New Roman"/>
          <w:lang w:eastAsia="es-CR"/>
        </w:rPr>
        <w:t>NICSP 26 DETERIORO DEL VALOR DE ACTIVOS GENERADORES DE EFECTIVO:</w:t>
      </w:r>
      <w:bookmarkEnd w:id="98"/>
      <w:bookmarkEnd w:id="99"/>
      <w:bookmarkEnd w:id="100"/>
      <w:r w:rsidRPr="003A31CC">
        <w:rPr>
          <w:rFonts w:eastAsia="Times New Roman"/>
          <w:lang w:eastAsia="es-CR"/>
        </w:rPr>
        <w:t xml:space="preserve"> </w:t>
      </w:r>
    </w:p>
    <w:tbl>
      <w:tblPr>
        <w:tblW w:w="4120" w:type="dxa"/>
        <w:tblCellMar>
          <w:left w:w="70" w:type="dxa"/>
          <w:right w:w="70" w:type="dxa"/>
        </w:tblCellMar>
        <w:tblLook w:val="04A0" w:firstRow="1" w:lastRow="0" w:firstColumn="1" w:lastColumn="0" w:noHBand="0" w:noVBand="1"/>
      </w:tblPr>
      <w:tblGrid>
        <w:gridCol w:w="2340"/>
        <w:gridCol w:w="1780"/>
      </w:tblGrid>
      <w:tr w:rsidR="001F474F" w:rsidRPr="001F474F" w14:paraId="683B0FD0" w14:textId="77777777" w:rsidTr="001F474F">
        <w:trPr>
          <w:trHeight w:val="345"/>
        </w:trPr>
        <w:tc>
          <w:tcPr>
            <w:tcW w:w="234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1F4EE833" w14:textId="77777777" w:rsidR="001F474F" w:rsidRPr="001F474F" w:rsidRDefault="001F474F" w:rsidP="001F474F">
            <w:pPr>
              <w:spacing w:after="0" w:line="240" w:lineRule="auto"/>
              <w:jc w:val="left"/>
              <w:rPr>
                <w:rFonts w:eastAsia="Times New Roman" w:cs="Calibri"/>
                <w:color w:val="FFFFFF"/>
                <w:szCs w:val="24"/>
                <w:lang w:eastAsia="es-CR"/>
              </w:rPr>
            </w:pPr>
            <w:r w:rsidRPr="001F474F">
              <w:rPr>
                <w:rFonts w:eastAsia="Times New Roman" w:cs="Calibri"/>
                <w:color w:val="FFFFFF"/>
                <w:szCs w:val="24"/>
                <w:lang w:eastAsia="es-CR"/>
              </w:rPr>
              <w:t>Aplica</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2EB74F" w14:textId="77777777" w:rsidR="001F474F" w:rsidRPr="001F474F" w:rsidRDefault="001F474F" w:rsidP="001F474F">
            <w:pPr>
              <w:spacing w:after="0" w:line="240" w:lineRule="auto"/>
              <w:jc w:val="center"/>
              <w:rPr>
                <w:rFonts w:eastAsia="Times New Roman" w:cs="Calibri"/>
                <w:color w:val="000000"/>
                <w:sz w:val="22"/>
                <w:lang w:eastAsia="es-CR"/>
              </w:rPr>
            </w:pPr>
            <w:r w:rsidRPr="001F474F">
              <w:rPr>
                <w:rFonts w:eastAsia="Times New Roman" w:cs="Calibri"/>
                <w:color w:val="000000"/>
                <w:sz w:val="22"/>
                <w:lang w:eastAsia="es-CR"/>
              </w:rPr>
              <w:t>Si</w:t>
            </w:r>
          </w:p>
        </w:tc>
      </w:tr>
      <w:tr w:rsidR="001F474F" w:rsidRPr="001F474F" w14:paraId="2FCAFA46" w14:textId="77777777" w:rsidTr="001F474F">
        <w:trPr>
          <w:trHeight w:val="345"/>
        </w:trPr>
        <w:tc>
          <w:tcPr>
            <w:tcW w:w="2340" w:type="dxa"/>
            <w:tcBorders>
              <w:top w:val="nil"/>
              <w:left w:val="single" w:sz="8" w:space="0" w:color="auto"/>
              <w:bottom w:val="single" w:sz="8" w:space="0" w:color="auto"/>
              <w:right w:val="single" w:sz="8" w:space="0" w:color="auto"/>
            </w:tcBorders>
            <w:shd w:val="clear" w:color="000000" w:fill="17365D"/>
            <w:vAlign w:val="center"/>
            <w:hideMark/>
          </w:tcPr>
          <w:p w14:paraId="3CDA8EA8" w14:textId="77777777" w:rsidR="001F474F" w:rsidRPr="001F474F" w:rsidRDefault="001F474F" w:rsidP="001F474F">
            <w:pPr>
              <w:spacing w:after="0" w:line="240" w:lineRule="auto"/>
              <w:jc w:val="left"/>
              <w:rPr>
                <w:rFonts w:eastAsia="Times New Roman" w:cs="Calibri"/>
                <w:color w:val="FFFFFF"/>
                <w:szCs w:val="24"/>
                <w:lang w:eastAsia="es-CR"/>
              </w:rPr>
            </w:pPr>
            <w:proofErr w:type="spellStart"/>
            <w:r w:rsidRPr="001F474F">
              <w:rPr>
                <w:rFonts w:eastAsia="Times New Roman" w:cs="Calibri"/>
                <w:color w:val="FFFFFF"/>
                <w:szCs w:val="24"/>
                <w:lang w:eastAsia="es-CR"/>
              </w:rPr>
              <w:t>Porcentaje_Avance</w:t>
            </w:r>
            <w:proofErr w:type="spellEnd"/>
          </w:p>
        </w:tc>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279F92AF" w14:textId="77777777" w:rsidR="001F474F" w:rsidRPr="001F474F" w:rsidRDefault="001F474F" w:rsidP="001F474F">
            <w:pPr>
              <w:spacing w:after="0" w:line="240" w:lineRule="auto"/>
              <w:jc w:val="center"/>
              <w:rPr>
                <w:rFonts w:eastAsia="Times New Roman" w:cs="Calibri"/>
                <w:color w:val="000000"/>
                <w:sz w:val="22"/>
                <w:lang w:eastAsia="es-CR"/>
              </w:rPr>
            </w:pPr>
            <w:r w:rsidRPr="001F474F">
              <w:rPr>
                <w:rFonts w:eastAsia="Times New Roman" w:cs="Calibri"/>
                <w:color w:val="000000"/>
                <w:sz w:val="22"/>
                <w:lang w:eastAsia="es-CR"/>
              </w:rPr>
              <w:t>32,14%</w:t>
            </w:r>
          </w:p>
        </w:tc>
      </w:tr>
    </w:tbl>
    <w:p w14:paraId="786BD8F8" w14:textId="77777777" w:rsidR="001F474F" w:rsidRDefault="001F474F" w:rsidP="00AB6161"/>
    <w:p w14:paraId="3844E832" w14:textId="0900A2A2" w:rsidR="00FE51BD" w:rsidRPr="002A5C54" w:rsidRDefault="00FE51BD" w:rsidP="00AB6161">
      <w:pPr>
        <w:rPr>
          <w:rFonts w:asciiTheme="minorHAnsi" w:hAnsiTheme="minorHAnsi"/>
          <w:sz w:val="22"/>
        </w:rPr>
      </w:pPr>
      <w:r w:rsidRPr="00405DBC">
        <w:t xml:space="preserve">De acuerdo con la </w:t>
      </w:r>
      <w:r w:rsidRPr="00FE51BD">
        <w:rPr>
          <w:rFonts w:eastAsia="Times New Roman"/>
          <w:lang w:val="es-MX" w:eastAsia="es-CR"/>
        </w:rPr>
        <w:t xml:space="preserve">NICSP 26 </w:t>
      </w:r>
      <w:r>
        <w:rPr>
          <w:rFonts w:eastAsia="Times New Roman"/>
          <w:lang w:val="es-MX" w:eastAsia="es-CR"/>
        </w:rPr>
        <w:t xml:space="preserve">- </w:t>
      </w:r>
      <w:r w:rsidRPr="00FE51BD">
        <w:rPr>
          <w:rFonts w:eastAsia="Times New Roman"/>
          <w:lang w:val="es-MX" w:eastAsia="es-CR"/>
        </w:rPr>
        <w:t>Deterioro del Valor de Activos Generadores de Efectivo</w:t>
      </w:r>
      <w:r>
        <w:t>, i</w:t>
      </w:r>
      <w:r w:rsidRPr="00405DBC">
        <w:t>ndicar si este rubro afecta SI o NO a la institución, además del porcentaje de avance</w:t>
      </w:r>
      <w:r>
        <w:t xml:space="preserve"> en la implementación</w:t>
      </w:r>
      <w:r w:rsidRPr="00405DBC">
        <w:t xml:space="preserve"> que presenta</w:t>
      </w:r>
      <w:r>
        <w:rPr>
          <w:b/>
        </w:rPr>
        <w:t>.</w:t>
      </w:r>
      <w:r w:rsidR="00C5447D">
        <w:fldChar w:fldCharType="begin"/>
      </w:r>
      <w:r w:rsidR="00C5447D">
        <w:instrText xml:space="preserve"> LINK </w:instrText>
      </w:r>
      <w:r w:rsidR="00756467">
        <w:instrText xml:space="preserve">Excel.SheetMacroEnabled.12 "C:\\Users\\gcordero\\Downloads\\Notas diciembre 2024\\Formato_Notas_EEFF_Vinculadas_2024\\Formato_Notas_EEFF_Vinculadas_2024\\15603_T04_2024_Anexo_Estado_Notas_Contables_Vinculadas.xlsm" NICSP_26!F9C3:F10C4 </w:instrText>
      </w:r>
      <w:r w:rsidR="00C5447D">
        <w:instrText xml:space="preserve">\a \f 4 \h </w:instrText>
      </w:r>
      <w:r w:rsidR="002A5C54">
        <w:instrText xml:space="preserve"> \* MERGEFORMAT </w:instrText>
      </w:r>
      <w:r w:rsidR="00C5447D">
        <w:fldChar w:fldCharType="end"/>
      </w:r>
    </w:p>
    <w:p w14:paraId="5A1478BF" w14:textId="77777777" w:rsidR="00763462" w:rsidRDefault="0008638E" w:rsidP="00763462">
      <w:pPr>
        <w:spacing w:before="240" w:line="240" w:lineRule="auto"/>
        <w:rPr>
          <w:b/>
          <w:color w:val="FFFFFF" w:themeColor="background1"/>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p>
    <w:p w14:paraId="5FF73907" w14:textId="54ABB390" w:rsidR="00763462" w:rsidRDefault="00763462" w:rsidP="00763462">
      <w:pPr>
        <w:spacing w:before="240" w:line="240" w:lineRule="auto"/>
        <w:rPr>
          <w:lang w:val="es-MX"/>
        </w:rPr>
      </w:pPr>
      <w:r>
        <w:rPr>
          <w:lang w:val="es-MX"/>
        </w:rPr>
        <w:t>La pérdida por deterioro se reconocerá inmediatamente que se determine en el superávit o déficit del periodo. Cuando la cantidad estimada para la pérdida por deterioro excede el valor en libros del activo con el cual se relaciona, la entidad tiene que reconocer un pasivo si, y solo si, es requerido por otra NICSP.</w:t>
      </w:r>
    </w:p>
    <w:p w14:paraId="2A53A460" w14:textId="77777777" w:rsidR="00763462" w:rsidRDefault="00763462" w:rsidP="00763462">
      <w:pPr>
        <w:spacing w:before="240"/>
        <w:rPr>
          <w:b/>
          <w:u w:val="single"/>
        </w:rPr>
      </w:pPr>
      <w:r>
        <w:rPr>
          <w:lang w:val="es-MX"/>
        </w:rPr>
        <w:lastRenderedPageBreak/>
        <w:t>Una pérdida por deterioro reconocida en periodos anteriores se debe reversar inmediatamente si y solo si, han cambiado los estimados usados para determinar la cantidad recuperable del activo desde que la pérdida por deterioro fue reconocida.</w:t>
      </w:r>
    </w:p>
    <w:p w14:paraId="2B8B02EE" w14:textId="77777777" w:rsidR="0008638E" w:rsidRPr="003516A2" w:rsidRDefault="0008638E" w:rsidP="0008638E">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44A33AF6" w14:textId="77777777" w:rsidR="00763462" w:rsidRDefault="00763462" w:rsidP="00763462">
      <w:pPr>
        <w:spacing w:line="240" w:lineRule="auto"/>
        <w:rPr>
          <w:lang w:val="es-MX"/>
        </w:rPr>
      </w:pPr>
      <w:r>
        <w:rPr>
          <w:lang w:val="es-MX"/>
        </w:rPr>
        <w:t>La cantidad recuperable de un activo es el más alto entre su valor razonable menos los costos de venta y su valor en uso. La pérdida por deterioro de un activo que genera efectivo es la cantidad por la cual el valor en libros del activo excede la cantidad recuperable.</w:t>
      </w:r>
    </w:p>
    <w:p w14:paraId="4519DA11" w14:textId="77777777" w:rsidR="00763462" w:rsidRDefault="00763462" w:rsidP="00763462">
      <w:pPr>
        <w:spacing w:line="240" w:lineRule="auto"/>
        <w:rPr>
          <w:lang w:val="es-MX"/>
        </w:rPr>
      </w:pPr>
      <w:r>
        <w:rPr>
          <w:lang w:val="es-MX"/>
        </w:rPr>
        <w:t>El valor en uso de un activo generador de efectivo es el valor presente de los flujos de efectivo futuros estimados que se espera sean derivados del uso continuado de un activo, y de su disposición al final de su vida útil.</w:t>
      </w:r>
    </w:p>
    <w:p w14:paraId="0BCF8AD5" w14:textId="77777777" w:rsidR="00763462" w:rsidRDefault="00763462" w:rsidP="00763462">
      <w:pPr>
        <w:spacing w:line="240" w:lineRule="auto"/>
        <w:rPr>
          <w:lang w:val="es-MX"/>
        </w:rPr>
      </w:pPr>
      <w:r>
        <w:rPr>
          <w:lang w:val="es-MX"/>
        </w:rPr>
        <w:t>Después del reconocimiento de una pérdida por deterioro el cargo por depreciación (amortización) del activo debe ser ajustado en periodos futuros, para asignar el valor en libros revisado del activo menos su valor residual (si hay), sobre una base sistémica durante su vida útil restante.</w:t>
      </w:r>
    </w:p>
    <w:p w14:paraId="340DB9E3" w14:textId="77777777" w:rsidR="00763462" w:rsidRDefault="00763462" w:rsidP="00763462">
      <w:pPr>
        <w:spacing w:line="240" w:lineRule="auto"/>
        <w:rPr>
          <w:lang w:val="es-MX"/>
        </w:rPr>
      </w:pPr>
      <w:r>
        <w:rPr>
          <w:lang w:val="es-MX"/>
        </w:rPr>
        <w:t>Al asignar una pérdida por deterioro no se puede reducir el valor en libros del activo por debajo del más alto de: su valor razonable menos los costos de venta o su valor razonable de uso (si se puede determinar), o cero.</w:t>
      </w:r>
    </w:p>
    <w:p w14:paraId="0DA10F43" w14:textId="27C853A6" w:rsidR="00763462" w:rsidRDefault="00763462" w:rsidP="00763462">
      <w:pPr>
        <w:spacing w:line="240" w:lineRule="auto"/>
        <w:rPr>
          <w:lang w:val="es-MX"/>
        </w:rPr>
      </w:pPr>
      <w:r>
        <w:rPr>
          <w:lang w:val="es-MX"/>
        </w:rPr>
        <w:t xml:space="preserve">La reversión de una pérdida por deterioro de un </w:t>
      </w:r>
      <w:r w:rsidR="003E6ABE">
        <w:rPr>
          <w:lang w:val="es-MX"/>
        </w:rPr>
        <w:t>activo</w:t>
      </w:r>
      <w:r>
        <w:rPr>
          <w:lang w:val="es-MX"/>
        </w:rPr>
        <w:t xml:space="preserve"> implica incrementar el valor en libros del activo a su cantidad recuperable. Ese incremento es una reversa de una pérdida por deterioro.</w:t>
      </w:r>
    </w:p>
    <w:p w14:paraId="20E309D1" w14:textId="4242D267" w:rsidR="00FE51BD" w:rsidRPr="00FE51BD" w:rsidRDefault="00FE51BD" w:rsidP="00FE51BD">
      <w:pPr>
        <w:rPr>
          <w:rFonts w:eastAsia="Calibri"/>
          <w:b/>
          <w:u w:val="single"/>
          <w:lang w:val="es-MX"/>
        </w:rPr>
      </w:pPr>
      <w:r w:rsidRPr="0008638E">
        <w:rPr>
          <w:b/>
          <w:color w:val="FFFFFF" w:themeColor="background1"/>
          <w:highlight w:val="darkBlue"/>
          <w:u w:val="single"/>
        </w:rPr>
        <w:t>Revelación Suficiente:</w:t>
      </w:r>
      <w:r w:rsidRPr="00FE51BD">
        <w:rPr>
          <w:rFonts w:eastAsia="Calibri"/>
          <w:b/>
          <w:u w:val="single"/>
          <w:lang w:val="es-MX"/>
        </w:rPr>
        <w:t xml:space="preserve"> </w:t>
      </w:r>
      <w:bookmarkStart w:id="101" w:name="_Hlk114041433"/>
      <w:r w:rsidR="00482942">
        <w:rPr>
          <w:rFonts w:eastAsia="Calibri"/>
          <w:b/>
          <w:u w:val="single"/>
        </w:rPr>
        <w:t xml:space="preserve">El ente debe revelar y cumplir </w:t>
      </w:r>
      <w:r w:rsidRPr="00FE51BD">
        <w:rPr>
          <w:rFonts w:eastAsia="Calibri"/>
          <w:b/>
          <w:u w:val="single"/>
        </w:rPr>
        <w:t xml:space="preserve">con lo estipulado en revelación </w:t>
      </w:r>
      <w:r w:rsidR="00482942">
        <w:rPr>
          <w:rFonts w:eastAsia="Calibri"/>
          <w:b/>
          <w:u w:val="single"/>
        </w:rPr>
        <w:t>conforme</w:t>
      </w:r>
      <w:r w:rsidRPr="00FE51BD">
        <w:rPr>
          <w:rFonts w:eastAsia="Calibri"/>
          <w:b/>
          <w:u w:val="single"/>
        </w:rPr>
        <w:t xml:space="preserve"> a la NICSP, también debe considerar la política general y los párrafos incluidos en la matriz de autoevaluación referente a esta NICSP guías de aplicación</w:t>
      </w:r>
      <w:bookmarkEnd w:id="101"/>
      <w:r w:rsidRPr="00FE51BD">
        <w:rPr>
          <w:rFonts w:eastAsia="Calibri"/>
          <w:b/>
          <w:u w:val="single"/>
          <w:lang w:val="es-MX"/>
        </w:rPr>
        <w:t xml:space="preserve"> (ver GA NICSP 21).</w:t>
      </w:r>
    </w:p>
    <w:p w14:paraId="300A4A10" w14:textId="77777777" w:rsidR="00763462" w:rsidRPr="00094A22" w:rsidRDefault="00763462" w:rsidP="00763462">
      <w:pPr>
        <w:spacing w:after="0" w:line="240" w:lineRule="auto"/>
        <w:rPr>
          <w:b/>
          <w:bCs/>
          <w:sz w:val="23"/>
          <w:szCs w:val="23"/>
        </w:rPr>
      </w:pPr>
      <w:r w:rsidRPr="00094A22">
        <w:rPr>
          <w:b/>
          <w:bCs/>
          <w:sz w:val="23"/>
          <w:szCs w:val="23"/>
        </w:rPr>
        <w:t>Aprovechamiento de la exención de la NICSP 33</w:t>
      </w:r>
    </w:p>
    <w:p w14:paraId="15C8082E" w14:textId="77777777" w:rsidR="00763462" w:rsidRDefault="00763462" w:rsidP="00763462">
      <w:pPr>
        <w:spacing w:after="0" w:line="240" w:lineRule="auto"/>
        <w:rPr>
          <w:sz w:val="23"/>
          <w:szCs w:val="23"/>
        </w:rPr>
      </w:pPr>
    </w:p>
    <w:p w14:paraId="35EE8150" w14:textId="77777777" w:rsidR="00763462" w:rsidRDefault="00763462" w:rsidP="00763462">
      <w:pPr>
        <w:spacing w:after="0" w:line="240" w:lineRule="auto"/>
      </w:pPr>
      <w:r>
        <w:rPr>
          <w:sz w:val="23"/>
          <w:szCs w:val="23"/>
        </w:rPr>
        <w:t>La Municipalidad aprovecha la exención del párrafo 36 de la NICSP 33, que concede un periodo de dispensa transitorio para no reconocer o medir activos de las NICSP 16, 17, 27, 31 y 32, aplicará la NICSP 21, cuando la exención que proporcionó la dispensa haya expirado o los activos correspondientes se reconozcan o midan de acuerdo con las NICSP aplicables (lo que tenga lugar primero).</w:t>
      </w:r>
    </w:p>
    <w:p w14:paraId="19E3A12C" w14:textId="77777777" w:rsidR="00763462" w:rsidRPr="00094A22" w:rsidRDefault="00763462" w:rsidP="00763462">
      <w:pPr>
        <w:spacing w:after="0" w:line="240" w:lineRule="auto"/>
        <w:rPr>
          <w:bCs/>
          <w:szCs w:val="24"/>
        </w:rPr>
      </w:pPr>
    </w:p>
    <w:p w14:paraId="4CAAD6EC" w14:textId="77777777" w:rsidR="00763462" w:rsidRDefault="00763462" w:rsidP="00763462">
      <w:pPr>
        <w:spacing w:after="0" w:line="240" w:lineRule="auto"/>
        <w:rPr>
          <w:rFonts w:cs="Arial"/>
          <w:bCs/>
          <w:szCs w:val="24"/>
        </w:rPr>
      </w:pPr>
      <w:r>
        <w:rPr>
          <w:bCs/>
          <w:szCs w:val="24"/>
          <w:lang w:val="es-MX"/>
        </w:rPr>
        <w:t xml:space="preserve">Como </w:t>
      </w:r>
      <w:r w:rsidRPr="00E23F16">
        <w:rPr>
          <w:bCs/>
          <w:szCs w:val="24"/>
          <w:lang w:val="es-MX"/>
        </w:rPr>
        <w:t xml:space="preserve">se indica en la revelación de la norma NICSP 21, si bien la norma debe ser aplicada por la Municipalidad, tal como se indica en el Apartado II Efecto en el deterioro de acuerdo con la NICSP 21 y 26, así como en la Nota relacionada con la NICSP 21 </w:t>
      </w:r>
      <w:r w:rsidRPr="00E23F16">
        <w:rPr>
          <w:rFonts w:cs="Arial"/>
          <w:bCs/>
          <w:szCs w:val="24"/>
          <w:lang w:val="es-MX"/>
        </w:rPr>
        <w:t>l</w:t>
      </w:r>
      <w:r w:rsidRPr="00E23F16">
        <w:rPr>
          <w:rFonts w:cs="Arial"/>
          <w:bCs/>
          <w:szCs w:val="24"/>
        </w:rPr>
        <w:t>a Municipalidad de Buenos Aires, aún se encuentra realizando un proceso inventario físico de activos, el cual ha ido permitiendo realizar la actualización y valuación de los activos fijos (propiedad, planta y equipo), en cumplimiento al plan de acción para la implementación de las NICSP que fue</w:t>
      </w:r>
      <w:r>
        <w:rPr>
          <w:rFonts w:cs="Arial"/>
          <w:bCs/>
          <w:szCs w:val="24"/>
        </w:rPr>
        <w:t xml:space="preserve"> confeccionado.</w:t>
      </w:r>
    </w:p>
    <w:p w14:paraId="5103EF94" w14:textId="77777777" w:rsidR="00763462" w:rsidRDefault="00763462" w:rsidP="00763462">
      <w:pPr>
        <w:spacing w:after="0" w:line="240" w:lineRule="auto"/>
        <w:rPr>
          <w:rFonts w:cs="Arial"/>
          <w:bCs/>
          <w:szCs w:val="24"/>
        </w:rPr>
      </w:pPr>
    </w:p>
    <w:p w14:paraId="1F0AE46C" w14:textId="77777777" w:rsidR="00763462" w:rsidRDefault="00763462" w:rsidP="00763462">
      <w:pPr>
        <w:spacing w:after="0" w:line="240" w:lineRule="auto"/>
        <w:rPr>
          <w:bCs/>
          <w:szCs w:val="24"/>
          <w:lang w:val="es-MX"/>
        </w:rPr>
      </w:pPr>
      <w:r>
        <w:rPr>
          <w:rFonts w:cs="Arial"/>
          <w:bCs/>
          <w:szCs w:val="24"/>
        </w:rPr>
        <w:t xml:space="preserve">Como </w:t>
      </w:r>
      <w:r w:rsidRPr="00E23F16">
        <w:rPr>
          <w:rFonts w:cs="Arial"/>
          <w:bCs/>
          <w:szCs w:val="24"/>
        </w:rPr>
        <w:t xml:space="preserve">parte de dicho proceso se tiene previsto realizar la clasificación de los activos en generadores y no generadores de efectivo, Sin embargo, el levantamiento del inventario no ha concluido aún. No obstante, es pertinente indicar que en la labor realizada no se han </w:t>
      </w:r>
      <w:r w:rsidRPr="00E23F16">
        <w:rPr>
          <w:bCs/>
          <w:szCs w:val="24"/>
          <w:lang w:val="es-MX"/>
        </w:rPr>
        <w:t>identificado indicios de que alguno de los activos tenga que ser objeto de determinación del deterioro de su</w:t>
      </w:r>
      <w:r>
        <w:rPr>
          <w:bCs/>
          <w:szCs w:val="24"/>
          <w:lang w:val="es-MX"/>
        </w:rPr>
        <w:t xml:space="preserve"> valor.</w:t>
      </w:r>
    </w:p>
    <w:p w14:paraId="7FE9CD09" w14:textId="77777777" w:rsidR="00763462" w:rsidRDefault="00763462" w:rsidP="00763462">
      <w:pPr>
        <w:spacing w:after="0" w:line="240" w:lineRule="auto"/>
        <w:rPr>
          <w:bCs/>
          <w:szCs w:val="24"/>
          <w:lang w:val="es-MX"/>
        </w:rPr>
      </w:pPr>
    </w:p>
    <w:p w14:paraId="28B8BA5F" w14:textId="7CF12205" w:rsidR="007A6212" w:rsidRDefault="00763462" w:rsidP="00763462">
      <w:pPr>
        <w:spacing w:after="0" w:line="240" w:lineRule="auto"/>
        <w:rPr>
          <w:rFonts w:eastAsia="Times New Roman"/>
          <w:lang w:val="es-MX" w:eastAsia="es-CR"/>
        </w:rPr>
      </w:pPr>
      <w:r w:rsidRPr="003E6ABE">
        <w:t xml:space="preserve">Además, se está trabajando en las políticas particulares y procedimientos que se aplicarán en la Municipalidad de Buenos Aires para lo atinente al </w:t>
      </w:r>
      <w:r w:rsidRPr="003E6ABE">
        <w:rPr>
          <w:rFonts w:eastAsia="Times New Roman"/>
          <w:lang w:val="es-MX" w:eastAsia="es-CR"/>
        </w:rPr>
        <w:t>Deterioro del Valor de Activos Generadores de Efectivo.</w:t>
      </w:r>
    </w:p>
    <w:p w14:paraId="49B31EBD" w14:textId="08E7617A" w:rsidR="007A6212" w:rsidRDefault="007A6212" w:rsidP="00763462">
      <w:pPr>
        <w:spacing w:after="0" w:line="240" w:lineRule="auto"/>
        <w:rPr>
          <w:rFonts w:eastAsia="Times New Roman"/>
          <w:lang w:val="es-MX" w:eastAsia="es-CR"/>
        </w:rPr>
      </w:pPr>
    </w:p>
    <w:p w14:paraId="2F932923" w14:textId="1CE6CFFE" w:rsidR="007A6212" w:rsidRDefault="007A6212" w:rsidP="00763462">
      <w:pPr>
        <w:spacing w:after="0" w:line="240" w:lineRule="auto"/>
        <w:rPr>
          <w:rFonts w:eastAsia="Times New Roman"/>
          <w:lang w:val="es-MX" w:eastAsia="es-CR"/>
        </w:rPr>
      </w:pPr>
    </w:p>
    <w:p w14:paraId="5DC5F2A0" w14:textId="5D2C9495" w:rsidR="007A6212" w:rsidRDefault="007A6212" w:rsidP="00763462">
      <w:pPr>
        <w:spacing w:after="0" w:line="240" w:lineRule="auto"/>
        <w:rPr>
          <w:rFonts w:eastAsia="Times New Roman"/>
          <w:lang w:val="es-MX" w:eastAsia="es-CR"/>
        </w:rPr>
      </w:pPr>
    </w:p>
    <w:p w14:paraId="124CEE00" w14:textId="42ACC1D3" w:rsidR="007A6212" w:rsidRDefault="007A6212" w:rsidP="00763462">
      <w:pPr>
        <w:spacing w:after="0" w:line="240" w:lineRule="auto"/>
        <w:rPr>
          <w:rFonts w:eastAsia="Times New Roman"/>
          <w:lang w:val="es-MX" w:eastAsia="es-CR"/>
        </w:rPr>
      </w:pPr>
    </w:p>
    <w:p w14:paraId="78949E1B" w14:textId="77777777" w:rsidR="007A6212" w:rsidRPr="007A6212" w:rsidRDefault="007A6212" w:rsidP="00763462">
      <w:pPr>
        <w:spacing w:after="0" w:line="240" w:lineRule="auto"/>
        <w:rPr>
          <w:rFonts w:eastAsia="Times New Roman"/>
          <w:lang w:val="es-MX" w:eastAsia="es-CR"/>
        </w:rPr>
      </w:pPr>
    </w:p>
    <w:p w14:paraId="0DFAA331" w14:textId="77777777" w:rsidR="00763462" w:rsidRPr="003E6ABE" w:rsidRDefault="00763462" w:rsidP="00763462">
      <w:pPr>
        <w:spacing w:after="0" w:line="240" w:lineRule="auto"/>
      </w:pPr>
    </w:p>
    <w:p w14:paraId="63535994" w14:textId="64D713DB" w:rsidR="00763462" w:rsidRPr="003E6ABE" w:rsidRDefault="00763462" w:rsidP="00763462">
      <w:pPr>
        <w:spacing w:line="240" w:lineRule="auto"/>
        <w:rPr>
          <w:szCs w:val="24"/>
          <w:lang w:eastAsia="es-CR"/>
        </w:rPr>
      </w:pPr>
      <w:r w:rsidRPr="003E6ABE">
        <w:rPr>
          <w:szCs w:val="24"/>
          <w:lang w:eastAsia="es-CR"/>
        </w:rPr>
        <w:t xml:space="preserve">De acuerdo con lo consignado en la Matriz de NICSP y Plan de Acción al </w:t>
      </w:r>
      <w:r w:rsidR="00796636" w:rsidRPr="003E6ABE">
        <w:rPr>
          <w:szCs w:val="24"/>
          <w:lang w:eastAsia="es-CR"/>
        </w:rPr>
        <w:t>31</w:t>
      </w:r>
      <w:r w:rsidRPr="003E6ABE">
        <w:rPr>
          <w:szCs w:val="24"/>
          <w:lang w:eastAsia="es-CR"/>
        </w:rPr>
        <w:t xml:space="preserve"> de </w:t>
      </w:r>
      <w:r w:rsidR="00D64CF8" w:rsidRPr="003E6ABE">
        <w:rPr>
          <w:szCs w:val="24"/>
          <w:lang w:eastAsia="es-CR"/>
        </w:rPr>
        <w:t>diciembre</w:t>
      </w:r>
      <w:r w:rsidRPr="003E6ABE">
        <w:rPr>
          <w:szCs w:val="24"/>
          <w:lang w:eastAsia="es-CR"/>
        </w:rPr>
        <w:t xml:space="preserve"> de 2024, se encuentra pendiente de implementar lo siguiente:</w:t>
      </w:r>
    </w:p>
    <w:tbl>
      <w:tblPr>
        <w:tblW w:w="8955" w:type="dxa"/>
        <w:tblLook w:val="04A0" w:firstRow="1" w:lastRow="0" w:firstColumn="1" w:lastColumn="0" w:noHBand="0" w:noVBand="1"/>
      </w:tblPr>
      <w:tblGrid>
        <w:gridCol w:w="7645"/>
        <w:gridCol w:w="1310"/>
      </w:tblGrid>
      <w:tr w:rsidR="00763462" w:rsidRPr="00763462" w14:paraId="48CF6E0C" w14:textId="77777777" w:rsidTr="0061790F">
        <w:trPr>
          <w:trHeight w:val="790"/>
        </w:trPr>
        <w:tc>
          <w:tcPr>
            <w:tcW w:w="7645"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0FA0673F" w14:textId="77777777" w:rsidR="00763462" w:rsidRPr="00F000C2" w:rsidRDefault="00763462" w:rsidP="0061790F">
            <w:pPr>
              <w:spacing w:after="0" w:line="240" w:lineRule="auto"/>
              <w:jc w:val="center"/>
              <w:rPr>
                <w:rFonts w:eastAsia="Times New Roman" w:cs="Calibri"/>
                <w:b/>
                <w:bCs/>
                <w:sz w:val="20"/>
                <w:szCs w:val="20"/>
                <w:lang w:val="en-US"/>
              </w:rPr>
            </w:pPr>
            <w:proofErr w:type="spellStart"/>
            <w:r w:rsidRPr="00F000C2">
              <w:rPr>
                <w:rFonts w:eastAsia="Times New Roman" w:cs="Calibri"/>
                <w:b/>
                <w:bCs/>
                <w:sz w:val="20"/>
                <w:szCs w:val="20"/>
                <w:lang w:val="en-US"/>
              </w:rPr>
              <w:t>Actividades</w:t>
            </w:r>
            <w:proofErr w:type="spellEnd"/>
            <w:r w:rsidRPr="00F000C2">
              <w:rPr>
                <w:rFonts w:eastAsia="Times New Roman" w:cs="Calibri"/>
                <w:b/>
                <w:bCs/>
                <w:sz w:val="20"/>
                <w:szCs w:val="20"/>
                <w:lang w:val="en-US"/>
              </w:rPr>
              <w:t xml:space="preserve"> </w:t>
            </w:r>
            <w:proofErr w:type="spellStart"/>
            <w:r w:rsidRPr="00F000C2">
              <w:rPr>
                <w:rFonts w:eastAsia="Times New Roman" w:cs="Calibri"/>
                <w:b/>
                <w:bCs/>
                <w:sz w:val="20"/>
                <w:szCs w:val="20"/>
                <w:lang w:val="en-US"/>
              </w:rPr>
              <w:t>Pendientes</w:t>
            </w:r>
            <w:proofErr w:type="spellEnd"/>
            <w:r w:rsidRPr="00F000C2">
              <w:rPr>
                <w:rFonts w:eastAsia="Times New Roman" w:cs="Calibri"/>
                <w:b/>
                <w:bCs/>
                <w:sz w:val="20"/>
                <w:szCs w:val="20"/>
                <w:lang w:val="en-US"/>
              </w:rPr>
              <w:t xml:space="preserve"> de </w:t>
            </w:r>
            <w:proofErr w:type="spellStart"/>
            <w:r w:rsidRPr="00F000C2">
              <w:rPr>
                <w:rFonts w:eastAsia="Times New Roman" w:cs="Calibri"/>
                <w:b/>
                <w:bCs/>
                <w:sz w:val="20"/>
                <w:szCs w:val="20"/>
                <w:lang w:val="en-US"/>
              </w:rPr>
              <w:t>Cumplimiento</w:t>
            </w:r>
            <w:proofErr w:type="spellEnd"/>
          </w:p>
        </w:tc>
        <w:tc>
          <w:tcPr>
            <w:tcW w:w="1310" w:type="dxa"/>
            <w:tcBorders>
              <w:top w:val="single" w:sz="8" w:space="0" w:color="auto"/>
              <w:left w:val="nil"/>
              <w:bottom w:val="single" w:sz="4" w:space="0" w:color="auto"/>
              <w:right w:val="single" w:sz="8" w:space="0" w:color="auto"/>
            </w:tcBorders>
            <w:shd w:val="clear" w:color="000000" w:fill="FFFFFF"/>
            <w:vAlign w:val="bottom"/>
            <w:hideMark/>
          </w:tcPr>
          <w:p w14:paraId="17A5A59E" w14:textId="77777777" w:rsidR="00763462" w:rsidRPr="00F000C2" w:rsidRDefault="00763462" w:rsidP="0061790F">
            <w:pPr>
              <w:spacing w:after="0" w:line="240" w:lineRule="auto"/>
              <w:jc w:val="center"/>
              <w:rPr>
                <w:rFonts w:eastAsia="Times New Roman" w:cs="Calibri"/>
                <w:b/>
                <w:bCs/>
                <w:color w:val="000000"/>
                <w:sz w:val="20"/>
                <w:szCs w:val="20"/>
                <w:lang w:val="en-US"/>
              </w:rPr>
            </w:pPr>
            <w:proofErr w:type="spellStart"/>
            <w:r w:rsidRPr="00F000C2">
              <w:rPr>
                <w:rFonts w:eastAsia="Times New Roman" w:cs="Calibri"/>
                <w:b/>
                <w:bCs/>
                <w:color w:val="000000"/>
                <w:sz w:val="20"/>
                <w:szCs w:val="20"/>
                <w:lang w:val="en-US"/>
              </w:rPr>
              <w:t>Fecha</w:t>
            </w:r>
            <w:proofErr w:type="spellEnd"/>
            <w:r w:rsidRPr="00F000C2">
              <w:rPr>
                <w:rFonts w:eastAsia="Times New Roman" w:cs="Calibri"/>
                <w:b/>
                <w:bCs/>
                <w:color w:val="000000"/>
                <w:sz w:val="20"/>
                <w:szCs w:val="20"/>
                <w:lang w:val="en-US"/>
              </w:rPr>
              <w:t xml:space="preserve"> </w:t>
            </w:r>
            <w:proofErr w:type="spellStart"/>
            <w:r w:rsidRPr="00F000C2">
              <w:rPr>
                <w:rFonts w:eastAsia="Times New Roman" w:cs="Calibri"/>
                <w:b/>
                <w:bCs/>
                <w:color w:val="000000"/>
                <w:sz w:val="20"/>
                <w:szCs w:val="20"/>
                <w:lang w:val="en-US"/>
              </w:rPr>
              <w:t>Estimada</w:t>
            </w:r>
            <w:proofErr w:type="spellEnd"/>
            <w:r w:rsidRPr="00F000C2">
              <w:rPr>
                <w:rFonts w:eastAsia="Times New Roman" w:cs="Calibri"/>
                <w:b/>
                <w:bCs/>
                <w:color w:val="000000"/>
                <w:sz w:val="20"/>
                <w:szCs w:val="20"/>
                <w:lang w:val="en-US"/>
              </w:rPr>
              <w:t xml:space="preserve"> </w:t>
            </w:r>
            <w:proofErr w:type="spellStart"/>
            <w:r w:rsidRPr="00F000C2">
              <w:rPr>
                <w:rFonts w:eastAsia="Times New Roman" w:cs="Calibri"/>
                <w:b/>
                <w:bCs/>
                <w:color w:val="000000"/>
                <w:sz w:val="20"/>
                <w:szCs w:val="20"/>
                <w:lang w:val="en-US"/>
              </w:rPr>
              <w:t>Cumplimiento</w:t>
            </w:r>
            <w:proofErr w:type="spellEnd"/>
          </w:p>
        </w:tc>
      </w:tr>
      <w:tr w:rsidR="00763462" w:rsidRPr="00763462" w14:paraId="0DE6A138" w14:textId="77777777" w:rsidTr="0061790F">
        <w:trPr>
          <w:trHeight w:val="520"/>
        </w:trPr>
        <w:tc>
          <w:tcPr>
            <w:tcW w:w="7645" w:type="dxa"/>
            <w:tcBorders>
              <w:top w:val="nil"/>
              <w:left w:val="single" w:sz="8" w:space="0" w:color="auto"/>
              <w:bottom w:val="single" w:sz="4" w:space="0" w:color="auto"/>
              <w:right w:val="single" w:sz="4" w:space="0" w:color="auto"/>
            </w:tcBorders>
            <w:shd w:val="clear" w:color="000000" w:fill="FFFFFF"/>
            <w:hideMark/>
          </w:tcPr>
          <w:p w14:paraId="58BD9F6B" w14:textId="77777777" w:rsidR="00763462" w:rsidRPr="00F000C2" w:rsidRDefault="00763462" w:rsidP="0061790F">
            <w:pPr>
              <w:spacing w:after="0" w:line="240" w:lineRule="auto"/>
              <w:rPr>
                <w:rFonts w:eastAsia="Times New Roman" w:cs="Calibri"/>
                <w:color w:val="000000"/>
                <w:sz w:val="20"/>
                <w:szCs w:val="20"/>
              </w:rPr>
            </w:pPr>
            <w:r w:rsidRPr="00F000C2">
              <w:rPr>
                <w:rFonts w:eastAsia="Times New Roman" w:cs="Calibri"/>
                <w:color w:val="000000"/>
                <w:sz w:val="20"/>
                <w:szCs w:val="20"/>
              </w:rPr>
              <w:t>En caso de sufrir algún daño físico sobre un activo generador de efectivo, realizar el registro correspondiente según indica la norma.</w:t>
            </w:r>
          </w:p>
        </w:tc>
        <w:tc>
          <w:tcPr>
            <w:tcW w:w="1310" w:type="dxa"/>
            <w:tcBorders>
              <w:top w:val="nil"/>
              <w:left w:val="nil"/>
              <w:bottom w:val="single" w:sz="4" w:space="0" w:color="auto"/>
              <w:right w:val="single" w:sz="8" w:space="0" w:color="auto"/>
            </w:tcBorders>
            <w:shd w:val="clear" w:color="000000" w:fill="FFFFFF"/>
            <w:noWrap/>
            <w:vAlign w:val="center"/>
            <w:hideMark/>
          </w:tcPr>
          <w:p w14:paraId="7D99BCA2" w14:textId="26688F3B" w:rsidR="00763462" w:rsidRPr="00F000C2" w:rsidRDefault="00796636" w:rsidP="0061790F">
            <w:pPr>
              <w:spacing w:after="0" w:line="240" w:lineRule="auto"/>
              <w:jc w:val="center"/>
              <w:rPr>
                <w:rFonts w:eastAsia="Times New Roman" w:cs="Calibri"/>
                <w:sz w:val="20"/>
                <w:szCs w:val="20"/>
                <w:lang w:val="en-US"/>
              </w:rPr>
            </w:pPr>
            <w:r w:rsidRPr="00F000C2">
              <w:rPr>
                <w:rFonts w:eastAsia="Times New Roman" w:cs="Calibri"/>
                <w:sz w:val="20"/>
                <w:szCs w:val="20"/>
                <w:lang w:val="en-US"/>
              </w:rPr>
              <w:t>3</w:t>
            </w:r>
            <w:r w:rsidR="003E6ABE" w:rsidRPr="00F000C2">
              <w:rPr>
                <w:rFonts w:eastAsia="Times New Roman" w:cs="Calibri"/>
                <w:sz w:val="20"/>
                <w:szCs w:val="20"/>
                <w:lang w:val="en-US"/>
              </w:rPr>
              <w:t>0</w:t>
            </w:r>
            <w:r w:rsidR="00492E8C" w:rsidRPr="00F000C2">
              <w:rPr>
                <w:rFonts w:eastAsia="Times New Roman" w:cs="Calibri"/>
                <w:sz w:val="20"/>
                <w:szCs w:val="20"/>
                <w:lang w:val="en-US"/>
              </w:rPr>
              <w:t>/09/25</w:t>
            </w:r>
          </w:p>
        </w:tc>
      </w:tr>
      <w:tr w:rsidR="00492E8C" w:rsidRPr="00763462" w14:paraId="0A724133" w14:textId="77777777" w:rsidTr="00796636">
        <w:trPr>
          <w:trHeight w:val="290"/>
        </w:trPr>
        <w:tc>
          <w:tcPr>
            <w:tcW w:w="7645" w:type="dxa"/>
            <w:tcBorders>
              <w:top w:val="nil"/>
              <w:left w:val="single" w:sz="8" w:space="0" w:color="auto"/>
              <w:bottom w:val="single" w:sz="4" w:space="0" w:color="auto"/>
              <w:right w:val="single" w:sz="4" w:space="0" w:color="auto"/>
            </w:tcBorders>
            <w:shd w:val="clear" w:color="000000" w:fill="FFFFFF"/>
            <w:vAlign w:val="center"/>
            <w:hideMark/>
          </w:tcPr>
          <w:p w14:paraId="63C39950" w14:textId="77777777" w:rsidR="00492E8C" w:rsidRPr="00F000C2" w:rsidRDefault="00492E8C" w:rsidP="00492E8C">
            <w:pPr>
              <w:spacing w:after="0" w:line="240" w:lineRule="auto"/>
              <w:rPr>
                <w:rFonts w:eastAsia="Times New Roman" w:cs="Calibri"/>
                <w:sz w:val="20"/>
                <w:szCs w:val="20"/>
              </w:rPr>
            </w:pPr>
            <w:r w:rsidRPr="00F000C2">
              <w:rPr>
                <w:rFonts w:eastAsia="Times New Roman" w:cs="Calibri"/>
                <w:sz w:val="20"/>
                <w:szCs w:val="20"/>
              </w:rPr>
              <w:t>Adecuación e inclusión del catálogo de cuentas con los respectivos auxiliares.</w:t>
            </w:r>
          </w:p>
        </w:tc>
        <w:tc>
          <w:tcPr>
            <w:tcW w:w="1310" w:type="dxa"/>
            <w:tcBorders>
              <w:top w:val="nil"/>
              <w:left w:val="nil"/>
              <w:bottom w:val="single" w:sz="4" w:space="0" w:color="auto"/>
              <w:right w:val="single" w:sz="8" w:space="0" w:color="auto"/>
            </w:tcBorders>
            <w:shd w:val="clear" w:color="000000" w:fill="FFFFFF"/>
            <w:noWrap/>
            <w:hideMark/>
          </w:tcPr>
          <w:p w14:paraId="61DD8633" w14:textId="608C5C41" w:rsidR="00492E8C" w:rsidRPr="00F000C2" w:rsidRDefault="003E6ABE" w:rsidP="00492E8C">
            <w:pPr>
              <w:spacing w:after="0" w:line="240" w:lineRule="auto"/>
              <w:jc w:val="center"/>
              <w:rPr>
                <w:rFonts w:eastAsia="Times New Roman" w:cs="Calibri"/>
                <w:sz w:val="20"/>
                <w:szCs w:val="20"/>
                <w:lang w:val="en-US"/>
              </w:rPr>
            </w:pPr>
            <w:r w:rsidRPr="00F000C2">
              <w:rPr>
                <w:rFonts w:eastAsia="Times New Roman" w:cs="Calibri"/>
                <w:sz w:val="20"/>
                <w:szCs w:val="20"/>
                <w:lang w:val="en-US"/>
              </w:rPr>
              <w:t>30/09/25</w:t>
            </w:r>
          </w:p>
        </w:tc>
      </w:tr>
      <w:tr w:rsidR="00492E8C" w:rsidRPr="00763462" w14:paraId="4B6AA1CE" w14:textId="77777777" w:rsidTr="00796636">
        <w:trPr>
          <w:trHeight w:val="290"/>
        </w:trPr>
        <w:tc>
          <w:tcPr>
            <w:tcW w:w="7645" w:type="dxa"/>
            <w:tcBorders>
              <w:top w:val="nil"/>
              <w:left w:val="single" w:sz="8" w:space="0" w:color="auto"/>
              <w:bottom w:val="single" w:sz="4" w:space="0" w:color="auto"/>
              <w:right w:val="single" w:sz="4" w:space="0" w:color="auto"/>
            </w:tcBorders>
            <w:shd w:val="clear" w:color="000000" w:fill="FFFFFF"/>
            <w:vAlign w:val="center"/>
            <w:hideMark/>
          </w:tcPr>
          <w:p w14:paraId="5C3BFFDE" w14:textId="77777777" w:rsidR="00492E8C" w:rsidRPr="00F000C2" w:rsidRDefault="00492E8C" w:rsidP="00492E8C">
            <w:pPr>
              <w:spacing w:after="0" w:line="240" w:lineRule="auto"/>
              <w:rPr>
                <w:rFonts w:eastAsia="Times New Roman" w:cs="Calibri"/>
                <w:sz w:val="20"/>
                <w:szCs w:val="20"/>
              </w:rPr>
            </w:pPr>
            <w:r w:rsidRPr="00F000C2">
              <w:rPr>
                <w:rFonts w:eastAsia="Times New Roman" w:cs="Calibri"/>
                <w:sz w:val="20"/>
                <w:szCs w:val="20"/>
              </w:rPr>
              <w:t>Elaboración e inclusión en el sistema de la Balanza de Comprobación inicial.</w:t>
            </w:r>
          </w:p>
        </w:tc>
        <w:tc>
          <w:tcPr>
            <w:tcW w:w="1310" w:type="dxa"/>
            <w:tcBorders>
              <w:top w:val="nil"/>
              <w:left w:val="nil"/>
              <w:bottom w:val="single" w:sz="4" w:space="0" w:color="auto"/>
              <w:right w:val="single" w:sz="8" w:space="0" w:color="auto"/>
            </w:tcBorders>
            <w:shd w:val="clear" w:color="000000" w:fill="FFFFFF"/>
            <w:noWrap/>
            <w:hideMark/>
          </w:tcPr>
          <w:p w14:paraId="04D3C649" w14:textId="5E8CCE6F" w:rsidR="00492E8C" w:rsidRPr="00F000C2" w:rsidRDefault="003E6ABE" w:rsidP="00492E8C">
            <w:pPr>
              <w:spacing w:after="0" w:line="240" w:lineRule="auto"/>
              <w:jc w:val="center"/>
              <w:rPr>
                <w:rFonts w:eastAsia="Times New Roman" w:cs="Calibri"/>
                <w:sz w:val="20"/>
                <w:szCs w:val="20"/>
                <w:lang w:val="en-US"/>
              </w:rPr>
            </w:pPr>
            <w:r w:rsidRPr="00F000C2">
              <w:rPr>
                <w:rFonts w:eastAsia="Times New Roman" w:cs="Calibri"/>
                <w:sz w:val="20"/>
                <w:szCs w:val="20"/>
                <w:lang w:val="en-US"/>
              </w:rPr>
              <w:t>30/09/25</w:t>
            </w:r>
          </w:p>
        </w:tc>
      </w:tr>
      <w:tr w:rsidR="00492E8C" w:rsidRPr="00763462" w14:paraId="1264685E" w14:textId="77777777" w:rsidTr="00796636">
        <w:trPr>
          <w:trHeight w:val="290"/>
        </w:trPr>
        <w:tc>
          <w:tcPr>
            <w:tcW w:w="7645" w:type="dxa"/>
            <w:tcBorders>
              <w:top w:val="nil"/>
              <w:left w:val="single" w:sz="8" w:space="0" w:color="auto"/>
              <w:bottom w:val="single" w:sz="4" w:space="0" w:color="auto"/>
              <w:right w:val="single" w:sz="4" w:space="0" w:color="auto"/>
            </w:tcBorders>
            <w:shd w:val="clear" w:color="000000" w:fill="FFFFFF"/>
            <w:hideMark/>
          </w:tcPr>
          <w:p w14:paraId="54CE3A05" w14:textId="77777777" w:rsidR="00492E8C" w:rsidRPr="00F000C2" w:rsidRDefault="00492E8C" w:rsidP="00492E8C">
            <w:pPr>
              <w:spacing w:after="0" w:line="240" w:lineRule="auto"/>
              <w:jc w:val="left"/>
              <w:rPr>
                <w:rFonts w:eastAsia="Times New Roman" w:cs="Calibri"/>
                <w:color w:val="000000"/>
                <w:sz w:val="20"/>
                <w:szCs w:val="20"/>
              </w:rPr>
            </w:pPr>
            <w:r w:rsidRPr="00F000C2">
              <w:rPr>
                <w:rFonts w:eastAsia="Times New Roman" w:cs="Calibri"/>
                <w:color w:val="000000"/>
                <w:sz w:val="20"/>
                <w:szCs w:val="20"/>
              </w:rPr>
              <w:t>Identificar los activos generadores de efectivo de la institución.</w:t>
            </w:r>
          </w:p>
        </w:tc>
        <w:tc>
          <w:tcPr>
            <w:tcW w:w="1310" w:type="dxa"/>
            <w:tcBorders>
              <w:top w:val="nil"/>
              <w:left w:val="nil"/>
              <w:bottom w:val="single" w:sz="4" w:space="0" w:color="auto"/>
              <w:right w:val="single" w:sz="8" w:space="0" w:color="auto"/>
            </w:tcBorders>
            <w:shd w:val="clear" w:color="000000" w:fill="FFFFFF"/>
            <w:noWrap/>
            <w:hideMark/>
          </w:tcPr>
          <w:p w14:paraId="0694B806" w14:textId="37CF2730" w:rsidR="00492E8C" w:rsidRPr="00F000C2" w:rsidRDefault="003E6ABE" w:rsidP="00492E8C">
            <w:pPr>
              <w:spacing w:after="0" w:line="240" w:lineRule="auto"/>
              <w:jc w:val="center"/>
              <w:rPr>
                <w:rFonts w:eastAsia="Times New Roman" w:cs="Calibri"/>
                <w:sz w:val="20"/>
                <w:szCs w:val="20"/>
                <w:lang w:val="en-US"/>
              </w:rPr>
            </w:pPr>
            <w:r w:rsidRPr="00F000C2">
              <w:rPr>
                <w:rFonts w:eastAsia="Times New Roman" w:cs="Calibri"/>
                <w:sz w:val="20"/>
                <w:szCs w:val="20"/>
                <w:lang w:val="en-US"/>
              </w:rPr>
              <w:t>30/09/25</w:t>
            </w:r>
          </w:p>
        </w:tc>
      </w:tr>
      <w:tr w:rsidR="00492E8C" w:rsidRPr="00763462" w14:paraId="1F6FDABE" w14:textId="77777777" w:rsidTr="00796636">
        <w:trPr>
          <w:trHeight w:val="780"/>
        </w:trPr>
        <w:tc>
          <w:tcPr>
            <w:tcW w:w="7645" w:type="dxa"/>
            <w:tcBorders>
              <w:top w:val="nil"/>
              <w:left w:val="single" w:sz="8" w:space="0" w:color="auto"/>
              <w:bottom w:val="single" w:sz="4" w:space="0" w:color="auto"/>
              <w:right w:val="single" w:sz="4" w:space="0" w:color="auto"/>
            </w:tcBorders>
            <w:shd w:val="clear" w:color="000000" w:fill="FFFFFF"/>
            <w:vAlign w:val="center"/>
            <w:hideMark/>
          </w:tcPr>
          <w:p w14:paraId="31049BBE" w14:textId="77777777" w:rsidR="00492E8C" w:rsidRPr="00F000C2" w:rsidRDefault="00492E8C" w:rsidP="00492E8C">
            <w:pPr>
              <w:spacing w:after="0" w:line="240" w:lineRule="auto"/>
              <w:rPr>
                <w:rFonts w:eastAsia="Times New Roman" w:cs="Calibri"/>
                <w:sz w:val="20"/>
                <w:szCs w:val="20"/>
              </w:rPr>
            </w:pPr>
            <w:r w:rsidRPr="00F000C2">
              <w:rPr>
                <w:rFonts w:eastAsia="Times New Roman" w:cs="Calibri"/>
                <w:sz w:val="20"/>
                <w:szCs w:val="20"/>
              </w:rPr>
              <w:t>Establecer los criterios que como mínimo se deben considerar al hacer la evaluación de si existe algún indicio de que pueda haberse deteriorado el valor de un activo y actualizar el Manual de procedimientos financiero-contable.</w:t>
            </w:r>
          </w:p>
        </w:tc>
        <w:tc>
          <w:tcPr>
            <w:tcW w:w="1310" w:type="dxa"/>
            <w:tcBorders>
              <w:top w:val="nil"/>
              <w:left w:val="nil"/>
              <w:bottom w:val="single" w:sz="4" w:space="0" w:color="auto"/>
              <w:right w:val="single" w:sz="8" w:space="0" w:color="auto"/>
            </w:tcBorders>
            <w:shd w:val="clear" w:color="000000" w:fill="FFFFFF"/>
            <w:noWrap/>
            <w:hideMark/>
          </w:tcPr>
          <w:p w14:paraId="18D78757" w14:textId="469D0604" w:rsidR="00492E8C" w:rsidRPr="00F000C2" w:rsidRDefault="003E6ABE" w:rsidP="00492E8C">
            <w:pPr>
              <w:spacing w:after="0" w:line="240" w:lineRule="auto"/>
              <w:jc w:val="center"/>
              <w:rPr>
                <w:rFonts w:eastAsia="Times New Roman" w:cs="Calibri"/>
                <w:sz w:val="20"/>
                <w:szCs w:val="20"/>
                <w:lang w:val="en-US"/>
              </w:rPr>
            </w:pPr>
            <w:r w:rsidRPr="00F000C2">
              <w:rPr>
                <w:rFonts w:eastAsia="Times New Roman" w:cs="Calibri"/>
                <w:sz w:val="20"/>
                <w:szCs w:val="20"/>
                <w:lang w:val="en-US"/>
              </w:rPr>
              <w:t>30/09/25</w:t>
            </w:r>
          </w:p>
        </w:tc>
      </w:tr>
      <w:tr w:rsidR="00492E8C" w:rsidRPr="00763462" w14:paraId="62358E7F" w14:textId="77777777" w:rsidTr="00796636">
        <w:trPr>
          <w:trHeight w:val="780"/>
        </w:trPr>
        <w:tc>
          <w:tcPr>
            <w:tcW w:w="7645" w:type="dxa"/>
            <w:tcBorders>
              <w:top w:val="nil"/>
              <w:left w:val="single" w:sz="8" w:space="0" w:color="auto"/>
              <w:bottom w:val="single" w:sz="4" w:space="0" w:color="auto"/>
              <w:right w:val="single" w:sz="4" w:space="0" w:color="auto"/>
            </w:tcBorders>
            <w:shd w:val="clear" w:color="000000" w:fill="FFFFFF"/>
            <w:vAlign w:val="center"/>
            <w:hideMark/>
          </w:tcPr>
          <w:p w14:paraId="21275F1A" w14:textId="77777777" w:rsidR="00492E8C" w:rsidRPr="00F000C2" w:rsidRDefault="00492E8C" w:rsidP="00492E8C">
            <w:pPr>
              <w:spacing w:after="0" w:line="240" w:lineRule="auto"/>
              <w:rPr>
                <w:rFonts w:eastAsia="Times New Roman" w:cs="Calibri"/>
                <w:sz w:val="20"/>
                <w:szCs w:val="20"/>
              </w:rPr>
            </w:pPr>
            <w:r w:rsidRPr="00F000C2">
              <w:rPr>
                <w:rFonts w:eastAsia="Times New Roman" w:cs="Calibri"/>
                <w:sz w:val="20"/>
                <w:szCs w:val="20"/>
              </w:rPr>
              <w:t>Implementar la práctica de evaluar en cada fecha de presentación, si existen indicios de deterioro en los activos tangibles e intangibles generadoras de efectivo y en caso de que se presenten realizar el cálculo para determinar el valor recuperable.</w:t>
            </w:r>
          </w:p>
        </w:tc>
        <w:tc>
          <w:tcPr>
            <w:tcW w:w="1310" w:type="dxa"/>
            <w:tcBorders>
              <w:top w:val="nil"/>
              <w:left w:val="nil"/>
              <w:bottom w:val="single" w:sz="4" w:space="0" w:color="auto"/>
              <w:right w:val="single" w:sz="8" w:space="0" w:color="auto"/>
            </w:tcBorders>
            <w:shd w:val="clear" w:color="000000" w:fill="FFFFFF"/>
            <w:noWrap/>
            <w:hideMark/>
          </w:tcPr>
          <w:p w14:paraId="7E782522" w14:textId="45B65813" w:rsidR="00492E8C" w:rsidRPr="00F000C2" w:rsidRDefault="003E6ABE" w:rsidP="00492E8C">
            <w:pPr>
              <w:spacing w:after="0" w:line="240" w:lineRule="auto"/>
              <w:jc w:val="center"/>
              <w:rPr>
                <w:rFonts w:eastAsia="Times New Roman" w:cs="Calibri"/>
                <w:sz w:val="20"/>
                <w:szCs w:val="20"/>
                <w:lang w:val="en-US"/>
              </w:rPr>
            </w:pPr>
            <w:r w:rsidRPr="00F000C2">
              <w:rPr>
                <w:rFonts w:eastAsia="Times New Roman" w:cs="Calibri"/>
                <w:sz w:val="20"/>
                <w:szCs w:val="20"/>
                <w:lang w:val="en-US"/>
              </w:rPr>
              <w:t>30/09/25</w:t>
            </w:r>
          </w:p>
        </w:tc>
      </w:tr>
      <w:tr w:rsidR="00492E8C" w:rsidRPr="00763462" w14:paraId="64ACF2A5" w14:textId="77777777" w:rsidTr="00796636">
        <w:trPr>
          <w:trHeight w:val="520"/>
        </w:trPr>
        <w:tc>
          <w:tcPr>
            <w:tcW w:w="7645" w:type="dxa"/>
            <w:tcBorders>
              <w:top w:val="nil"/>
              <w:left w:val="single" w:sz="8" w:space="0" w:color="auto"/>
              <w:bottom w:val="single" w:sz="4" w:space="0" w:color="auto"/>
              <w:right w:val="single" w:sz="4" w:space="0" w:color="auto"/>
            </w:tcBorders>
            <w:shd w:val="clear" w:color="000000" w:fill="FFFFFF"/>
            <w:vAlign w:val="center"/>
            <w:hideMark/>
          </w:tcPr>
          <w:p w14:paraId="3BA895CC" w14:textId="77777777" w:rsidR="00492E8C" w:rsidRPr="00F000C2" w:rsidRDefault="00492E8C" w:rsidP="00492E8C">
            <w:pPr>
              <w:spacing w:after="0" w:line="240" w:lineRule="auto"/>
              <w:rPr>
                <w:rFonts w:eastAsia="Times New Roman" w:cs="Calibri"/>
                <w:sz w:val="20"/>
                <w:szCs w:val="20"/>
              </w:rPr>
            </w:pPr>
            <w:r w:rsidRPr="00F000C2">
              <w:rPr>
                <w:rFonts w:eastAsia="Times New Roman" w:cs="Calibri"/>
                <w:sz w:val="20"/>
                <w:szCs w:val="20"/>
              </w:rPr>
              <w:t>Implementar la práctica de evaluar en cada fecha de presentación, si algún indicio de que la pérdida por deterioro reconocida en periodos anteriores ya no existe o ha disminuido.</w:t>
            </w:r>
          </w:p>
        </w:tc>
        <w:tc>
          <w:tcPr>
            <w:tcW w:w="1310" w:type="dxa"/>
            <w:tcBorders>
              <w:top w:val="nil"/>
              <w:left w:val="nil"/>
              <w:bottom w:val="single" w:sz="4" w:space="0" w:color="auto"/>
              <w:right w:val="single" w:sz="8" w:space="0" w:color="auto"/>
            </w:tcBorders>
            <w:shd w:val="clear" w:color="000000" w:fill="FFFFFF"/>
            <w:noWrap/>
            <w:hideMark/>
          </w:tcPr>
          <w:p w14:paraId="4D879005" w14:textId="47EA8701" w:rsidR="00492E8C" w:rsidRPr="00F000C2" w:rsidRDefault="003E6ABE" w:rsidP="00492E8C">
            <w:pPr>
              <w:spacing w:after="0" w:line="240" w:lineRule="auto"/>
              <w:jc w:val="center"/>
              <w:rPr>
                <w:rFonts w:eastAsia="Times New Roman" w:cs="Calibri"/>
                <w:sz w:val="20"/>
                <w:szCs w:val="20"/>
                <w:lang w:val="en-US"/>
              </w:rPr>
            </w:pPr>
            <w:r w:rsidRPr="00F000C2">
              <w:rPr>
                <w:rFonts w:eastAsia="Times New Roman" w:cs="Calibri"/>
                <w:sz w:val="20"/>
                <w:szCs w:val="20"/>
                <w:lang w:val="en-US"/>
              </w:rPr>
              <w:t>30/09/25</w:t>
            </w:r>
          </w:p>
        </w:tc>
      </w:tr>
      <w:tr w:rsidR="00492E8C" w:rsidRPr="00763462" w14:paraId="6556A436" w14:textId="77777777" w:rsidTr="00796636">
        <w:trPr>
          <w:trHeight w:val="780"/>
        </w:trPr>
        <w:tc>
          <w:tcPr>
            <w:tcW w:w="7645" w:type="dxa"/>
            <w:tcBorders>
              <w:top w:val="nil"/>
              <w:left w:val="single" w:sz="8" w:space="0" w:color="auto"/>
              <w:bottom w:val="single" w:sz="4" w:space="0" w:color="auto"/>
              <w:right w:val="single" w:sz="4" w:space="0" w:color="auto"/>
            </w:tcBorders>
            <w:shd w:val="clear" w:color="000000" w:fill="FFFFFF"/>
            <w:vAlign w:val="center"/>
            <w:hideMark/>
          </w:tcPr>
          <w:p w14:paraId="59E5942F" w14:textId="77777777" w:rsidR="00492E8C" w:rsidRPr="00F000C2" w:rsidRDefault="00492E8C" w:rsidP="00492E8C">
            <w:pPr>
              <w:spacing w:after="0" w:line="240" w:lineRule="auto"/>
              <w:rPr>
                <w:rFonts w:eastAsia="Times New Roman" w:cs="Calibri"/>
                <w:sz w:val="20"/>
                <w:szCs w:val="20"/>
              </w:rPr>
            </w:pPr>
            <w:r w:rsidRPr="00F000C2">
              <w:rPr>
                <w:rFonts w:eastAsia="Times New Roman" w:cs="Calibri"/>
                <w:sz w:val="20"/>
                <w:szCs w:val="20"/>
              </w:rPr>
              <w:t>Reconocer y medir la ocurrencia de una pérdida por deterioro, o la disminución o eliminación de una pérdida reconocida anteriormente, con base en los resultados obtenidos en la evaluación realizada en cada fecha de presentación, según indica la norma.</w:t>
            </w:r>
          </w:p>
        </w:tc>
        <w:tc>
          <w:tcPr>
            <w:tcW w:w="1310" w:type="dxa"/>
            <w:tcBorders>
              <w:top w:val="nil"/>
              <w:left w:val="nil"/>
              <w:bottom w:val="single" w:sz="4" w:space="0" w:color="auto"/>
              <w:right w:val="single" w:sz="8" w:space="0" w:color="auto"/>
            </w:tcBorders>
            <w:shd w:val="clear" w:color="000000" w:fill="FFFFFF"/>
            <w:noWrap/>
            <w:hideMark/>
          </w:tcPr>
          <w:p w14:paraId="5772ACA9" w14:textId="342389FA" w:rsidR="00492E8C" w:rsidRPr="00F000C2" w:rsidRDefault="003E6ABE" w:rsidP="00492E8C">
            <w:pPr>
              <w:spacing w:after="0" w:line="240" w:lineRule="auto"/>
              <w:jc w:val="center"/>
              <w:rPr>
                <w:rFonts w:eastAsia="Times New Roman" w:cs="Calibri"/>
                <w:sz w:val="20"/>
                <w:szCs w:val="20"/>
                <w:lang w:val="en-US"/>
              </w:rPr>
            </w:pPr>
            <w:r w:rsidRPr="00F000C2">
              <w:rPr>
                <w:rFonts w:eastAsia="Times New Roman" w:cs="Calibri"/>
                <w:sz w:val="20"/>
                <w:szCs w:val="20"/>
                <w:lang w:val="en-US"/>
              </w:rPr>
              <w:t>30/09/25</w:t>
            </w:r>
          </w:p>
        </w:tc>
      </w:tr>
      <w:tr w:rsidR="00492E8C" w:rsidRPr="00C36CAC" w14:paraId="74906C2F" w14:textId="77777777" w:rsidTr="00796636">
        <w:trPr>
          <w:trHeight w:val="290"/>
        </w:trPr>
        <w:tc>
          <w:tcPr>
            <w:tcW w:w="7645" w:type="dxa"/>
            <w:tcBorders>
              <w:top w:val="nil"/>
              <w:left w:val="single" w:sz="8" w:space="0" w:color="auto"/>
              <w:bottom w:val="single" w:sz="4" w:space="0" w:color="auto"/>
              <w:right w:val="single" w:sz="4" w:space="0" w:color="auto"/>
            </w:tcBorders>
            <w:shd w:val="clear" w:color="000000" w:fill="FFFFFF"/>
            <w:vAlign w:val="center"/>
            <w:hideMark/>
          </w:tcPr>
          <w:p w14:paraId="47E69D22" w14:textId="77777777" w:rsidR="00492E8C" w:rsidRPr="00F000C2" w:rsidRDefault="00492E8C" w:rsidP="00492E8C">
            <w:pPr>
              <w:spacing w:after="0" w:line="240" w:lineRule="auto"/>
              <w:rPr>
                <w:rFonts w:eastAsia="Times New Roman" w:cs="Calibri"/>
                <w:sz w:val="20"/>
                <w:szCs w:val="20"/>
              </w:rPr>
            </w:pPr>
            <w:r w:rsidRPr="00F000C2">
              <w:rPr>
                <w:rFonts w:eastAsia="Times New Roman" w:cs="Calibri"/>
                <w:sz w:val="20"/>
                <w:szCs w:val="20"/>
              </w:rPr>
              <w:t>Determinar la información que se debe revelar en relación con los activos no generadores de efectivo.</w:t>
            </w:r>
          </w:p>
        </w:tc>
        <w:tc>
          <w:tcPr>
            <w:tcW w:w="1310" w:type="dxa"/>
            <w:tcBorders>
              <w:top w:val="nil"/>
              <w:left w:val="nil"/>
              <w:bottom w:val="single" w:sz="4" w:space="0" w:color="auto"/>
              <w:right w:val="single" w:sz="8" w:space="0" w:color="auto"/>
            </w:tcBorders>
            <w:shd w:val="clear" w:color="000000" w:fill="FFFFFF"/>
            <w:noWrap/>
            <w:hideMark/>
          </w:tcPr>
          <w:p w14:paraId="7527024E" w14:textId="53C6AF31" w:rsidR="00492E8C" w:rsidRPr="00F000C2" w:rsidRDefault="003E6ABE" w:rsidP="00492E8C">
            <w:pPr>
              <w:spacing w:after="0" w:line="240" w:lineRule="auto"/>
              <w:jc w:val="center"/>
              <w:rPr>
                <w:rFonts w:eastAsia="Times New Roman" w:cs="Calibri"/>
                <w:sz w:val="20"/>
                <w:szCs w:val="20"/>
                <w:lang w:val="en-US"/>
              </w:rPr>
            </w:pPr>
            <w:r w:rsidRPr="00F000C2">
              <w:rPr>
                <w:rFonts w:eastAsia="Times New Roman" w:cs="Calibri"/>
                <w:sz w:val="20"/>
                <w:szCs w:val="20"/>
                <w:lang w:val="en-US"/>
              </w:rPr>
              <w:t>30/09/25</w:t>
            </w:r>
          </w:p>
        </w:tc>
      </w:tr>
    </w:tbl>
    <w:p w14:paraId="2B70A44D" w14:textId="0057EF24" w:rsidR="0008638E" w:rsidRDefault="0008638E" w:rsidP="00FE51BD">
      <w:pPr>
        <w:rPr>
          <w:highlight w:val="yellow"/>
        </w:rPr>
      </w:pPr>
    </w:p>
    <w:p w14:paraId="738E35E1" w14:textId="36AD09CE" w:rsidR="00F000C2" w:rsidRPr="00EE66B3" w:rsidRDefault="00F000C2" w:rsidP="00F000C2">
      <w:pPr>
        <w:pStyle w:val="Ttulo2"/>
        <w:spacing w:after="240" w:line="240" w:lineRule="auto"/>
        <w:rPr>
          <w:rFonts w:eastAsiaTheme="minorHAnsi" w:cstheme="minorBidi"/>
          <w:color w:val="auto"/>
          <w:szCs w:val="22"/>
        </w:rPr>
      </w:pPr>
      <w:bookmarkStart w:id="102" w:name="_Toc189804809"/>
      <w:r w:rsidRPr="00EE66B3">
        <w:rPr>
          <w:color w:val="auto"/>
          <w:lang w:eastAsia="es-CR"/>
        </w:rPr>
        <w:t xml:space="preserve">Se hizo extensión a la fecha prevista esto debido a las cargas de trabajo en la institución, por tanto, no se pudo completar las actividades requeridas a la Norma </w:t>
      </w:r>
      <w:r>
        <w:rPr>
          <w:color w:val="auto"/>
          <w:lang w:val="es-MX"/>
        </w:rPr>
        <w:t>NICSP 26</w:t>
      </w:r>
      <w:bookmarkEnd w:id="102"/>
    </w:p>
    <w:p w14:paraId="29549291" w14:textId="0D163859" w:rsidR="00FE51BD" w:rsidRPr="00A649A4" w:rsidRDefault="00FE51BD" w:rsidP="00A649A4">
      <w:pPr>
        <w:pStyle w:val="Ttulo2"/>
        <w:spacing w:after="240"/>
        <w:rPr>
          <w:rFonts w:eastAsia="Times New Roman"/>
          <w:lang w:eastAsia="es-CR"/>
        </w:rPr>
      </w:pPr>
      <w:bookmarkStart w:id="103" w:name="_Toc189804810"/>
      <w:r w:rsidRPr="00FE51BD">
        <w:rPr>
          <w:rFonts w:eastAsia="Times New Roman"/>
          <w:lang w:eastAsia="es-CR"/>
        </w:rPr>
        <w:t>NICSP 27 AGRICULTURA:</w:t>
      </w:r>
      <w:bookmarkEnd w:id="103"/>
      <w:r w:rsidRPr="00FE51BD">
        <w:rPr>
          <w:rFonts w:eastAsia="Times New Roman"/>
          <w:lang w:eastAsia="es-CR"/>
        </w:rPr>
        <w:t xml:space="preserve"> </w:t>
      </w:r>
    </w:p>
    <w:p w14:paraId="1CAA6EBD" w14:textId="77777777" w:rsidR="00396CB4" w:rsidRDefault="00FE51BD" w:rsidP="00FE51BD">
      <w:pPr>
        <w:rPr>
          <w:rFonts w:asciiTheme="minorHAnsi" w:hAnsiTheme="minorHAnsi"/>
          <w:sz w:val="22"/>
        </w:rPr>
      </w:pPr>
      <w:bookmarkStart w:id="104" w:name="_Hlk123833241"/>
      <w:r w:rsidRPr="00405DBC">
        <w:t xml:space="preserve">De acuerdo con la </w:t>
      </w:r>
      <w:r w:rsidRPr="00FE51BD">
        <w:rPr>
          <w:rFonts w:eastAsia="Times New Roman"/>
          <w:lang w:val="es-MX" w:eastAsia="es-CR"/>
        </w:rPr>
        <w:t>NICSP 27- Agricultura</w:t>
      </w:r>
      <w:r>
        <w:t>, i</w:t>
      </w:r>
      <w:r w:rsidRPr="00405DBC">
        <w:t>ndicar si este rubro afecta SI o NO a la institución, además del porcentaje de avance</w:t>
      </w:r>
      <w:r>
        <w:t xml:space="preserve"> en la implementación</w:t>
      </w:r>
      <w:r w:rsidRPr="00405DBC">
        <w:t xml:space="preserve"> que presenta</w:t>
      </w:r>
      <w:r>
        <w:rPr>
          <w:b/>
        </w:rPr>
        <w:t>.</w:t>
      </w:r>
      <w:r w:rsidR="00C5447D">
        <w:rPr>
          <w:lang w:val="es-MX"/>
        </w:rPr>
        <w:fldChar w:fldCharType="begin"/>
      </w:r>
      <w:r w:rsidR="00C5447D">
        <w:rPr>
          <w:lang w:val="es-MX"/>
        </w:rPr>
        <w:instrText xml:space="preserve"> LINK </w:instrText>
      </w:r>
      <w:r w:rsidR="00756467">
        <w:rPr>
          <w:lang w:val="es-MX"/>
        </w:rPr>
        <w:instrText xml:space="preserve">Excel.SheetMacroEnabled.12 "C:\\Users\\gcordero\\Downloads\\Notas diciembre 2024\\Formato_Notas_EEFF_Vinculadas_2024\\Formato_Notas_EEFF_Vinculadas_2024\\15603_T04_2024_Anexo_Estado_Notas_Contables_Vinculadas.xlsm" NICSP_27!F9C3:F10C4 </w:instrText>
      </w:r>
      <w:r w:rsidR="00C5447D">
        <w:rPr>
          <w:lang w:val="es-MX"/>
        </w:rPr>
        <w:instrText xml:space="preserve">\a \f 4 \h </w:instrText>
      </w:r>
      <w:r w:rsidR="00C5447D">
        <w:rPr>
          <w:lang w:val="es-MX"/>
        </w:rPr>
        <w:fldChar w:fldCharType="separate"/>
      </w:r>
    </w:p>
    <w:tbl>
      <w:tblPr>
        <w:tblW w:w="3640" w:type="dxa"/>
        <w:tblCellMar>
          <w:left w:w="70" w:type="dxa"/>
          <w:right w:w="70" w:type="dxa"/>
        </w:tblCellMar>
        <w:tblLook w:val="04A0" w:firstRow="1" w:lastRow="0" w:firstColumn="1" w:lastColumn="0" w:noHBand="0" w:noVBand="1"/>
      </w:tblPr>
      <w:tblGrid>
        <w:gridCol w:w="2280"/>
        <w:gridCol w:w="1360"/>
      </w:tblGrid>
      <w:tr w:rsidR="00396CB4" w:rsidRPr="00396CB4" w14:paraId="1D15ABED" w14:textId="77777777" w:rsidTr="00396CB4">
        <w:trPr>
          <w:divId w:val="831484383"/>
          <w:trHeight w:val="345"/>
        </w:trPr>
        <w:tc>
          <w:tcPr>
            <w:tcW w:w="228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1401F804" w14:textId="7A795B24" w:rsidR="00396CB4" w:rsidRPr="00396CB4" w:rsidRDefault="00396CB4" w:rsidP="00396CB4">
            <w:pPr>
              <w:rPr>
                <w:rFonts w:eastAsia="Times New Roman" w:cs="Calibri"/>
                <w:color w:val="FFFFFF"/>
                <w:szCs w:val="24"/>
                <w:lang w:eastAsia="es-CR"/>
              </w:rPr>
            </w:pPr>
            <w:r w:rsidRPr="00396CB4">
              <w:rPr>
                <w:rFonts w:eastAsia="Times New Roman" w:cs="Calibri"/>
                <w:color w:val="FFFFFF"/>
                <w:szCs w:val="24"/>
                <w:lang w:eastAsia="es-CR"/>
              </w:rPr>
              <w:t>Aplica</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9479E9" w14:textId="77777777" w:rsidR="00396CB4" w:rsidRPr="00396CB4" w:rsidRDefault="00396CB4" w:rsidP="00396CB4">
            <w:pPr>
              <w:spacing w:after="0" w:line="240" w:lineRule="auto"/>
              <w:jc w:val="center"/>
              <w:rPr>
                <w:rFonts w:eastAsia="Times New Roman" w:cs="Calibri"/>
                <w:color w:val="000000"/>
                <w:sz w:val="22"/>
                <w:lang w:eastAsia="es-CR"/>
              </w:rPr>
            </w:pPr>
            <w:r w:rsidRPr="00396CB4">
              <w:rPr>
                <w:rFonts w:eastAsia="Times New Roman" w:cs="Calibri"/>
                <w:color w:val="000000"/>
                <w:sz w:val="22"/>
                <w:lang w:eastAsia="es-CR"/>
              </w:rPr>
              <w:t>No</w:t>
            </w:r>
          </w:p>
        </w:tc>
      </w:tr>
      <w:tr w:rsidR="00396CB4" w:rsidRPr="00396CB4" w14:paraId="3CC20652" w14:textId="77777777" w:rsidTr="00396CB4">
        <w:trPr>
          <w:divId w:val="831484383"/>
          <w:trHeight w:val="345"/>
        </w:trPr>
        <w:tc>
          <w:tcPr>
            <w:tcW w:w="2280" w:type="dxa"/>
            <w:tcBorders>
              <w:top w:val="nil"/>
              <w:left w:val="single" w:sz="8" w:space="0" w:color="auto"/>
              <w:bottom w:val="single" w:sz="8" w:space="0" w:color="auto"/>
              <w:right w:val="single" w:sz="8" w:space="0" w:color="auto"/>
            </w:tcBorders>
            <w:shd w:val="clear" w:color="000000" w:fill="17365D"/>
            <w:vAlign w:val="center"/>
            <w:hideMark/>
          </w:tcPr>
          <w:p w14:paraId="63715320" w14:textId="77777777" w:rsidR="00396CB4" w:rsidRPr="00396CB4" w:rsidRDefault="00396CB4" w:rsidP="00396CB4">
            <w:pPr>
              <w:spacing w:after="0" w:line="240" w:lineRule="auto"/>
              <w:jc w:val="left"/>
              <w:rPr>
                <w:rFonts w:eastAsia="Times New Roman" w:cs="Calibri"/>
                <w:color w:val="FFFFFF"/>
                <w:szCs w:val="24"/>
                <w:lang w:eastAsia="es-CR"/>
              </w:rPr>
            </w:pPr>
            <w:proofErr w:type="spellStart"/>
            <w:r w:rsidRPr="00396CB4">
              <w:rPr>
                <w:rFonts w:eastAsia="Times New Roman" w:cs="Calibri"/>
                <w:color w:val="FFFFFF"/>
                <w:szCs w:val="24"/>
                <w:lang w:eastAsia="es-CR"/>
              </w:rPr>
              <w:t>Porcentaje_Avance</w:t>
            </w:r>
            <w:proofErr w:type="spellEnd"/>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0D8EDD07" w14:textId="77777777" w:rsidR="00396CB4" w:rsidRPr="00396CB4" w:rsidRDefault="00396CB4" w:rsidP="00396CB4">
            <w:pPr>
              <w:spacing w:after="0" w:line="240" w:lineRule="auto"/>
              <w:jc w:val="center"/>
              <w:rPr>
                <w:rFonts w:eastAsia="Times New Roman" w:cs="Calibri"/>
                <w:color w:val="000000"/>
                <w:sz w:val="22"/>
                <w:lang w:eastAsia="es-CR"/>
              </w:rPr>
            </w:pPr>
            <w:r w:rsidRPr="00396CB4">
              <w:rPr>
                <w:rFonts w:eastAsia="Times New Roman" w:cs="Calibri"/>
                <w:color w:val="000000"/>
                <w:sz w:val="22"/>
                <w:lang w:eastAsia="es-CR"/>
              </w:rPr>
              <w:t> </w:t>
            </w:r>
          </w:p>
        </w:tc>
      </w:tr>
    </w:tbl>
    <w:p w14:paraId="5E788109" w14:textId="393848F5" w:rsidR="00396CB4" w:rsidRPr="004A0F0D" w:rsidRDefault="00C5447D" w:rsidP="00FE51BD">
      <w:pPr>
        <w:rPr>
          <w:lang w:val="es-MX"/>
        </w:rPr>
      </w:pPr>
      <w:r>
        <w:rPr>
          <w:lang w:val="es-MX"/>
        </w:rPr>
        <w:lastRenderedPageBreak/>
        <w:fldChar w:fldCharType="end"/>
      </w:r>
      <w:bookmarkEnd w:id="104"/>
      <w:r w:rsidR="00FE51BD" w:rsidRPr="00FE51BD">
        <w:rPr>
          <w:lang w:val="es-MX"/>
        </w:rPr>
        <w:t xml:space="preserve">A continuación, un cuadro resumen, pero el detalle de los cuadros debe ser adjuntados como anexos </w:t>
      </w:r>
      <w:hyperlink w:anchor="_NICSP_27-_Agricultura" w:history="1">
        <w:r w:rsidR="00FE51BD" w:rsidRPr="005F2549">
          <w:rPr>
            <w:rStyle w:val="Hipervnculo"/>
            <w:lang w:val="es-MX"/>
          </w:rPr>
          <w:t xml:space="preserve">NICSP 27- </w:t>
        </w:r>
        <w:r w:rsidR="005F2549" w:rsidRPr="005F2549">
          <w:rPr>
            <w:rStyle w:val="Hipervnculo"/>
            <w:lang w:val="es-MX"/>
          </w:rPr>
          <w:t>Agricultura</w:t>
        </w:r>
      </w:hyperlink>
      <w:r w:rsidR="005F2549" w:rsidRPr="005F2549">
        <w:rPr>
          <w:lang w:val="es-MX"/>
        </w:rPr>
        <w:t>:</w:t>
      </w:r>
      <w:r>
        <w:rPr>
          <w:lang w:val="es-MX"/>
        </w:rPr>
        <w:fldChar w:fldCharType="begin"/>
      </w:r>
      <w:r>
        <w:rPr>
          <w:lang w:val="es-MX"/>
        </w:rPr>
        <w:instrText xml:space="preserve"> LINK </w:instrText>
      </w:r>
      <w:r w:rsidR="00756467">
        <w:rPr>
          <w:lang w:val="es-MX"/>
        </w:rPr>
        <w:instrText xml:space="preserve">Excel.SheetMacroEnabled.12 "C:\\Users\\gcordero\\Downloads\\Notas diciembre 2024\\Formato_Notas_EEFF_Vinculadas_2024\\Formato_Notas_EEFF_Vinculadas_2024\\15603_T04_2024_Anexo_Estado_Notas_Contables_Vinculadas.xlsm" NICSP_27!F12C6:F14C9 </w:instrText>
      </w:r>
      <w:r>
        <w:rPr>
          <w:lang w:val="es-MX"/>
        </w:rPr>
        <w:instrText xml:space="preserve">\a \f 4 \h </w:instrText>
      </w:r>
      <w:r>
        <w:rPr>
          <w:lang w:val="es-MX"/>
        </w:rPr>
        <w:fldChar w:fldCharType="separate"/>
      </w:r>
    </w:p>
    <w:tbl>
      <w:tblPr>
        <w:tblW w:w="7060" w:type="dxa"/>
        <w:tblCellMar>
          <w:left w:w="70" w:type="dxa"/>
          <w:right w:w="70" w:type="dxa"/>
        </w:tblCellMar>
        <w:tblLook w:val="04A0" w:firstRow="1" w:lastRow="0" w:firstColumn="1" w:lastColumn="0" w:noHBand="0" w:noVBand="1"/>
      </w:tblPr>
      <w:tblGrid>
        <w:gridCol w:w="2080"/>
        <w:gridCol w:w="1220"/>
        <w:gridCol w:w="1280"/>
        <w:gridCol w:w="2480"/>
      </w:tblGrid>
      <w:tr w:rsidR="00396CB4" w:rsidRPr="00396CB4" w14:paraId="122358EF" w14:textId="77777777" w:rsidTr="00396CB4">
        <w:trPr>
          <w:divId w:val="284965651"/>
          <w:trHeight w:val="960"/>
        </w:trPr>
        <w:tc>
          <w:tcPr>
            <w:tcW w:w="2080" w:type="dxa"/>
            <w:tcBorders>
              <w:top w:val="single" w:sz="8" w:space="0" w:color="auto"/>
              <w:left w:val="single" w:sz="8" w:space="0" w:color="auto"/>
              <w:bottom w:val="single" w:sz="8" w:space="0" w:color="auto"/>
              <w:right w:val="nil"/>
            </w:tcBorders>
            <w:shd w:val="clear" w:color="000000" w:fill="1F3864"/>
            <w:vAlign w:val="center"/>
            <w:hideMark/>
          </w:tcPr>
          <w:p w14:paraId="4E625594" w14:textId="7179888D" w:rsidR="00396CB4" w:rsidRPr="00396CB4" w:rsidRDefault="00396CB4" w:rsidP="00396CB4">
            <w:pPr>
              <w:jc w:val="center"/>
              <w:rPr>
                <w:rFonts w:eastAsia="Times New Roman" w:cs="Calibri"/>
                <w:color w:val="FFFFFF"/>
                <w:szCs w:val="24"/>
                <w:lang w:eastAsia="es-CR"/>
              </w:rPr>
            </w:pPr>
            <w:r w:rsidRPr="00396CB4">
              <w:rPr>
                <w:rFonts w:eastAsia="Times New Roman" w:cs="Calibri"/>
                <w:color w:val="FFFFFF"/>
                <w:szCs w:val="24"/>
                <w:lang w:eastAsia="es-CR"/>
              </w:rPr>
              <w:t>Resumen</w:t>
            </w:r>
          </w:p>
        </w:tc>
        <w:tc>
          <w:tcPr>
            <w:tcW w:w="1220" w:type="dxa"/>
            <w:tcBorders>
              <w:top w:val="single" w:sz="8" w:space="0" w:color="auto"/>
              <w:left w:val="single" w:sz="8" w:space="0" w:color="auto"/>
              <w:bottom w:val="single" w:sz="8" w:space="0" w:color="auto"/>
              <w:right w:val="nil"/>
            </w:tcBorders>
            <w:shd w:val="clear" w:color="000000" w:fill="1F3864"/>
            <w:vAlign w:val="center"/>
            <w:hideMark/>
          </w:tcPr>
          <w:p w14:paraId="2D79E097" w14:textId="77777777" w:rsidR="00396CB4" w:rsidRPr="00396CB4" w:rsidRDefault="00396CB4" w:rsidP="00396CB4">
            <w:pPr>
              <w:spacing w:after="0" w:line="240" w:lineRule="auto"/>
              <w:jc w:val="center"/>
              <w:rPr>
                <w:rFonts w:eastAsia="Times New Roman" w:cs="Calibri"/>
                <w:color w:val="FFFFFF"/>
                <w:szCs w:val="24"/>
                <w:lang w:eastAsia="es-CR"/>
              </w:rPr>
            </w:pPr>
            <w:r w:rsidRPr="00396CB4">
              <w:rPr>
                <w:rFonts w:eastAsia="Times New Roman" w:cs="Calibri"/>
                <w:color w:val="FFFFFF"/>
                <w:szCs w:val="24"/>
                <w:lang w:eastAsia="es-CR"/>
              </w:rPr>
              <w:t>Activos biológicos</w:t>
            </w:r>
          </w:p>
        </w:tc>
        <w:tc>
          <w:tcPr>
            <w:tcW w:w="1280" w:type="dxa"/>
            <w:tcBorders>
              <w:top w:val="single" w:sz="8" w:space="0" w:color="auto"/>
              <w:left w:val="single" w:sz="8" w:space="0" w:color="auto"/>
              <w:bottom w:val="single" w:sz="8" w:space="0" w:color="auto"/>
              <w:right w:val="nil"/>
            </w:tcBorders>
            <w:shd w:val="clear" w:color="000000" w:fill="1F3864"/>
            <w:vAlign w:val="center"/>
            <w:hideMark/>
          </w:tcPr>
          <w:p w14:paraId="37A9C1D2" w14:textId="77777777" w:rsidR="00396CB4" w:rsidRPr="00396CB4" w:rsidRDefault="00396CB4" w:rsidP="00396CB4">
            <w:pPr>
              <w:spacing w:after="0" w:line="240" w:lineRule="auto"/>
              <w:jc w:val="center"/>
              <w:rPr>
                <w:rFonts w:eastAsia="Times New Roman" w:cs="Calibri"/>
                <w:color w:val="FFFFFF"/>
                <w:szCs w:val="24"/>
                <w:lang w:eastAsia="es-CR"/>
              </w:rPr>
            </w:pPr>
            <w:r w:rsidRPr="00396CB4">
              <w:rPr>
                <w:rFonts w:eastAsia="Times New Roman" w:cs="Calibri"/>
                <w:color w:val="FFFFFF"/>
                <w:szCs w:val="24"/>
                <w:lang w:eastAsia="es-CR"/>
              </w:rPr>
              <w:t>Productos Agrícolas</w:t>
            </w:r>
          </w:p>
        </w:tc>
        <w:tc>
          <w:tcPr>
            <w:tcW w:w="2480" w:type="dxa"/>
            <w:tcBorders>
              <w:top w:val="single" w:sz="8" w:space="0" w:color="auto"/>
              <w:left w:val="single" w:sz="8" w:space="0" w:color="auto"/>
              <w:bottom w:val="single" w:sz="8" w:space="0" w:color="auto"/>
              <w:right w:val="nil"/>
            </w:tcBorders>
            <w:shd w:val="clear" w:color="000000" w:fill="1F3864"/>
            <w:vAlign w:val="center"/>
            <w:hideMark/>
          </w:tcPr>
          <w:p w14:paraId="067D5B47" w14:textId="77777777" w:rsidR="00396CB4" w:rsidRPr="00396CB4" w:rsidRDefault="00396CB4" w:rsidP="00396CB4">
            <w:pPr>
              <w:spacing w:after="0" w:line="240" w:lineRule="auto"/>
              <w:jc w:val="center"/>
              <w:rPr>
                <w:rFonts w:eastAsia="Times New Roman" w:cs="Calibri"/>
                <w:color w:val="FFFFFF"/>
                <w:szCs w:val="24"/>
                <w:lang w:eastAsia="es-CR"/>
              </w:rPr>
            </w:pPr>
            <w:r w:rsidRPr="00396CB4">
              <w:rPr>
                <w:rFonts w:eastAsia="Times New Roman" w:cs="Calibri"/>
                <w:color w:val="FFFFFF"/>
                <w:szCs w:val="24"/>
                <w:lang w:eastAsia="es-CR"/>
              </w:rPr>
              <w:t>Productos resultantes del procesamiento tras la cosecha o recolección</w:t>
            </w:r>
          </w:p>
        </w:tc>
      </w:tr>
      <w:tr w:rsidR="00396CB4" w:rsidRPr="00396CB4" w14:paraId="464E336D" w14:textId="77777777" w:rsidTr="00396CB4">
        <w:trPr>
          <w:divId w:val="284965651"/>
          <w:trHeight w:val="345"/>
        </w:trPr>
        <w:tc>
          <w:tcPr>
            <w:tcW w:w="2080" w:type="dxa"/>
            <w:tcBorders>
              <w:top w:val="nil"/>
              <w:left w:val="single" w:sz="8" w:space="0" w:color="auto"/>
              <w:bottom w:val="single" w:sz="8" w:space="0" w:color="auto"/>
              <w:right w:val="nil"/>
            </w:tcBorders>
            <w:shd w:val="clear" w:color="000000" w:fill="1F3864"/>
            <w:vAlign w:val="center"/>
            <w:hideMark/>
          </w:tcPr>
          <w:p w14:paraId="71178DC1" w14:textId="77777777" w:rsidR="00396CB4" w:rsidRPr="00396CB4" w:rsidRDefault="00396CB4" w:rsidP="00396CB4">
            <w:pPr>
              <w:spacing w:after="0" w:line="240" w:lineRule="auto"/>
              <w:jc w:val="left"/>
              <w:rPr>
                <w:rFonts w:eastAsia="Times New Roman" w:cs="Calibri"/>
                <w:color w:val="FFFFFF"/>
                <w:szCs w:val="24"/>
                <w:lang w:eastAsia="es-CR"/>
              </w:rPr>
            </w:pPr>
            <w:r w:rsidRPr="00396CB4">
              <w:rPr>
                <w:rFonts w:eastAsia="Times New Roman" w:cs="Calibri"/>
                <w:color w:val="FFFFFF"/>
                <w:szCs w:val="24"/>
                <w:lang w:eastAsia="es-CR"/>
              </w:rPr>
              <w:t xml:space="preserve">CANTIDAD </w:t>
            </w:r>
          </w:p>
        </w:tc>
        <w:tc>
          <w:tcPr>
            <w:tcW w:w="1220" w:type="dxa"/>
            <w:tcBorders>
              <w:top w:val="nil"/>
              <w:left w:val="nil"/>
              <w:bottom w:val="single" w:sz="8" w:space="0" w:color="auto"/>
              <w:right w:val="single" w:sz="8" w:space="0" w:color="auto"/>
            </w:tcBorders>
            <w:shd w:val="clear" w:color="auto" w:fill="auto"/>
            <w:noWrap/>
            <w:vAlign w:val="center"/>
            <w:hideMark/>
          </w:tcPr>
          <w:p w14:paraId="2FA62983" w14:textId="77777777" w:rsidR="00396CB4" w:rsidRPr="00396CB4" w:rsidRDefault="00396CB4" w:rsidP="00396CB4">
            <w:pPr>
              <w:spacing w:after="0" w:line="240" w:lineRule="auto"/>
              <w:jc w:val="center"/>
              <w:rPr>
                <w:rFonts w:eastAsia="Times New Roman" w:cs="Calibri"/>
                <w:color w:val="000000"/>
                <w:sz w:val="20"/>
                <w:szCs w:val="20"/>
                <w:lang w:eastAsia="es-CR"/>
              </w:rPr>
            </w:pPr>
            <w:r w:rsidRPr="00396CB4">
              <w:rPr>
                <w:rFonts w:eastAsia="Times New Roman" w:cs="Calibri"/>
                <w:color w:val="000000"/>
                <w:sz w:val="20"/>
                <w:szCs w:val="20"/>
                <w:lang w:eastAsia="es-CR"/>
              </w:rPr>
              <w:t> </w:t>
            </w:r>
          </w:p>
        </w:tc>
        <w:tc>
          <w:tcPr>
            <w:tcW w:w="1280" w:type="dxa"/>
            <w:tcBorders>
              <w:top w:val="nil"/>
              <w:left w:val="nil"/>
              <w:bottom w:val="single" w:sz="8" w:space="0" w:color="auto"/>
              <w:right w:val="single" w:sz="8" w:space="0" w:color="auto"/>
            </w:tcBorders>
            <w:shd w:val="clear" w:color="auto" w:fill="auto"/>
            <w:noWrap/>
            <w:vAlign w:val="center"/>
            <w:hideMark/>
          </w:tcPr>
          <w:p w14:paraId="14935EEF" w14:textId="77777777" w:rsidR="00396CB4" w:rsidRPr="00396CB4" w:rsidRDefault="00396CB4" w:rsidP="00396CB4">
            <w:pPr>
              <w:spacing w:after="0" w:line="240" w:lineRule="auto"/>
              <w:jc w:val="center"/>
              <w:rPr>
                <w:rFonts w:eastAsia="Times New Roman" w:cs="Calibri"/>
                <w:color w:val="000000"/>
                <w:sz w:val="20"/>
                <w:szCs w:val="20"/>
                <w:lang w:eastAsia="es-CR"/>
              </w:rPr>
            </w:pPr>
            <w:r w:rsidRPr="00396CB4">
              <w:rPr>
                <w:rFonts w:eastAsia="Times New Roman" w:cs="Calibri"/>
                <w:color w:val="000000"/>
                <w:sz w:val="20"/>
                <w:szCs w:val="20"/>
                <w:lang w:eastAsia="es-CR"/>
              </w:rPr>
              <w:t> </w:t>
            </w:r>
          </w:p>
        </w:tc>
        <w:tc>
          <w:tcPr>
            <w:tcW w:w="2480" w:type="dxa"/>
            <w:tcBorders>
              <w:top w:val="nil"/>
              <w:left w:val="nil"/>
              <w:bottom w:val="single" w:sz="8" w:space="0" w:color="auto"/>
              <w:right w:val="single" w:sz="8" w:space="0" w:color="auto"/>
            </w:tcBorders>
            <w:shd w:val="clear" w:color="auto" w:fill="auto"/>
            <w:noWrap/>
            <w:vAlign w:val="center"/>
            <w:hideMark/>
          </w:tcPr>
          <w:p w14:paraId="74ADB037" w14:textId="77777777" w:rsidR="00396CB4" w:rsidRPr="00396CB4" w:rsidRDefault="00396CB4" w:rsidP="00396CB4">
            <w:pPr>
              <w:spacing w:after="0" w:line="240" w:lineRule="auto"/>
              <w:jc w:val="center"/>
              <w:rPr>
                <w:rFonts w:eastAsia="Times New Roman" w:cs="Calibri"/>
                <w:color w:val="000000"/>
                <w:sz w:val="20"/>
                <w:szCs w:val="20"/>
                <w:lang w:eastAsia="es-CR"/>
              </w:rPr>
            </w:pPr>
            <w:r w:rsidRPr="00396CB4">
              <w:rPr>
                <w:rFonts w:eastAsia="Times New Roman" w:cs="Calibri"/>
                <w:color w:val="000000"/>
                <w:sz w:val="20"/>
                <w:szCs w:val="20"/>
                <w:lang w:eastAsia="es-CR"/>
              </w:rPr>
              <w:t> </w:t>
            </w:r>
          </w:p>
        </w:tc>
      </w:tr>
      <w:tr w:rsidR="00396CB4" w:rsidRPr="00396CB4" w14:paraId="03305D57" w14:textId="77777777" w:rsidTr="00396CB4">
        <w:trPr>
          <w:divId w:val="284965651"/>
          <w:trHeight w:val="345"/>
        </w:trPr>
        <w:tc>
          <w:tcPr>
            <w:tcW w:w="2080" w:type="dxa"/>
            <w:tcBorders>
              <w:top w:val="nil"/>
              <w:left w:val="single" w:sz="8" w:space="0" w:color="auto"/>
              <w:bottom w:val="single" w:sz="8" w:space="0" w:color="auto"/>
              <w:right w:val="single" w:sz="8" w:space="0" w:color="auto"/>
            </w:tcBorders>
            <w:shd w:val="clear" w:color="000000" w:fill="1F3864"/>
            <w:vAlign w:val="center"/>
            <w:hideMark/>
          </w:tcPr>
          <w:p w14:paraId="4117C9C5" w14:textId="77777777" w:rsidR="00396CB4" w:rsidRPr="00396CB4" w:rsidRDefault="00396CB4" w:rsidP="00396CB4">
            <w:pPr>
              <w:spacing w:after="0" w:line="240" w:lineRule="auto"/>
              <w:jc w:val="left"/>
              <w:rPr>
                <w:rFonts w:eastAsia="Times New Roman" w:cs="Calibri"/>
                <w:color w:val="FFFFFF"/>
                <w:szCs w:val="24"/>
                <w:lang w:eastAsia="es-CR"/>
              </w:rPr>
            </w:pPr>
            <w:r w:rsidRPr="00396CB4">
              <w:rPr>
                <w:rFonts w:eastAsia="Times New Roman" w:cs="Calibri"/>
                <w:color w:val="FFFFFF"/>
                <w:szCs w:val="24"/>
                <w:lang w:eastAsia="es-CR"/>
              </w:rPr>
              <w:t>MONTO TOTAL</w:t>
            </w:r>
          </w:p>
        </w:tc>
        <w:tc>
          <w:tcPr>
            <w:tcW w:w="1220" w:type="dxa"/>
            <w:tcBorders>
              <w:top w:val="nil"/>
              <w:left w:val="nil"/>
              <w:bottom w:val="single" w:sz="8" w:space="0" w:color="auto"/>
              <w:right w:val="single" w:sz="8" w:space="0" w:color="auto"/>
            </w:tcBorders>
            <w:shd w:val="clear" w:color="auto" w:fill="auto"/>
            <w:noWrap/>
            <w:vAlign w:val="center"/>
            <w:hideMark/>
          </w:tcPr>
          <w:p w14:paraId="48A456FE" w14:textId="77777777" w:rsidR="00396CB4" w:rsidRPr="00396CB4" w:rsidRDefault="00396CB4" w:rsidP="00396CB4">
            <w:pPr>
              <w:spacing w:after="0" w:line="240" w:lineRule="auto"/>
              <w:jc w:val="right"/>
              <w:rPr>
                <w:rFonts w:eastAsia="Times New Roman" w:cs="Calibri"/>
                <w:color w:val="000000"/>
                <w:sz w:val="20"/>
                <w:szCs w:val="20"/>
                <w:lang w:eastAsia="es-CR"/>
              </w:rPr>
            </w:pPr>
            <w:r w:rsidRPr="00396CB4">
              <w:rPr>
                <w:rFonts w:ascii="Arial" w:eastAsia="Times New Roman" w:hAnsi="Arial" w:cs="Arial"/>
                <w:color w:val="000000"/>
                <w:sz w:val="20"/>
                <w:szCs w:val="20"/>
                <w:lang w:eastAsia="es-CR"/>
              </w:rPr>
              <w:t>₡</w:t>
            </w:r>
            <w:r w:rsidRPr="00396CB4">
              <w:rPr>
                <w:rFonts w:eastAsia="Times New Roman" w:cs="Calibri"/>
                <w:color w:val="000000"/>
                <w:sz w:val="20"/>
                <w:szCs w:val="20"/>
                <w:lang w:eastAsia="es-CR"/>
              </w:rPr>
              <w:t>0,00</w:t>
            </w:r>
          </w:p>
        </w:tc>
        <w:tc>
          <w:tcPr>
            <w:tcW w:w="1280" w:type="dxa"/>
            <w:tcBorders>
              <w:top w:val="nil"/>
              <w:left w:val="nil"/>
              <w:bottom w:val="single" w:sz="8" w:space="0" w:color="auto"/>
              <w:right w:val="single" w:sz="8" w:space="0" w:color="auto"/>
            </w:tcBorders>
            <w:shd w:val="clear" w:color="auto" w:fill="auto"/>
            <w:noWrap/>
            <w:vAlign w:val="center"/>
            <w:hideMark/>
          </w:tcPr>
          <w:p w14:paraId="63AA329A" w14:textId="77777777" w:rsidR="00396CB4" w:rsidRPr="00396CB4" w:rsidRDefault="00396CB4" w:rsidP="00396CB4">
            <w:pPr>
              <w:spacing w:after="0" w:line="240" w:lineRule="auto"/>
              <w:jc w:val="right"/>
              <w:rPr>
                <w:rFonts w:eastAsia="Times New Roman" w:cs="Calibri"/>
                <w:color w:val="000000"/>
                <w:sz w:val="20"/>
                <w:szCs w:val="20"/>
                <w:lang w:eastAsia="es-CR"/>
              </w:rPr>
            </w:pPr>
            <w:r w:rsidRPr="00396CB4">
              <w:rPr>
                <w:rFonts w:ascii="Arial" w:eastAsia="Times New Roman" w:hAnsi="Arial" w:cs="Arial"/>
                <w:color w:val="000000"/>
                <w:sz w:val="20"/>
                <w:szCs w:val="20"/>
                <w:lang w:eastAsia="es-CR"/>
              </w:rPr>
              <w:t>₡</w:t>
            </w:r>
            <w:r w:rsidRPr="00396CB4">
              <w:rPr>
                <w:rFonts w:eastAsia="Times New Roman" w:cs="Calibri"/>
                <w:color w:val="000000"/>
                <w:sz w:val="20"/>
                <w:szCs w:val="20"/>
                <w:lang w:eastAsia="es-CR"/>
              </w:rPr>
              <w:t>0,00</w:t>
            </w:r>
          </w:p>
        </w:tc>
        <w:tc>
          <w:tcPr>
            <w:tcW w:w="2480" w:type="dxa"/>
            <w:tcBorders>
              <w:top w:val="nil"/>
              <w:left w:val="nil"/>
              <w:bottom w:val="single" w:sz="8" w:space="0" w:color="auto"/>
              <w:right w:val="single" w:sz="8" w:space="0" w:color="auto"/>
            </w:tcBorders>
            <w:shd w:val="clear" w:color="auto" w:fill="auto"/>
            <w:noWrap/>
            <w:vAlign w:val="center"/>
            <w:hideMark/>
          </w:tcPr>
          <w:p w14:paraId="1364201B" w14:textId="77777777" w:rsidR="00396CB4" w:rsidRPr="00396CB4" w:rsidRDefault="00396CB4" w:rsidP="00396CB4">
            <w:pPr>
              <w:spacing w:after="0" w:line="240" w:lineRule="auto"/>
              <w:jc w:val="right"/>
              <w:rPr>
                <w:rFonts w:eastAsia="Times New Roman" w:cs="Calibri"/>
                <w:color w:val="000000"/>
                <w:sz w:val="20"/>
                <w:szCs w:val="20"/>
                <w:lang w:eastAsia="es-CR"/>
              </w:rPr>
            </w:pPr>
            <w:r w:rsidRPr="00396CB4">
              <w:rPr>
                <w:rFonts w:ascii="Arial" w:eastAsia="Times New Roman" w:hAnsi="Arial" w:cs="Arial"/>
                <w:color w:val="000000"/>
                <w:sz w:val="20"/>
                <w:szCs w:val="20"/>
                <w:lang w:eastAsia="es-CR"/>
              </w:rPr>
              <w:t>₡</w:t>
            </w:r>
            <w:r w:rsidRPr="00396CB4">
              <w:rPr>
                <w:rFonts w:eastAsia="Times New Roman" w:cs="Calibri"/>
                <w:color w:val="000000"/>
                <w:sz w:val="20"/>
                <w:szCs w:val="20"/>
                <w:lang w:eastAsia="es-CR"/>
              </w:rPr>
              <w:t>0,00</w:t>
            </w:r>
          </w:p>
        </w:tc>
      </w:tr>
    </w:tbl>
    <w:p w14:paraId="524652FB" w14:textId="47D0E78F" w:rsidR="00FE51BD" w:rsidRDefault="00C5447D" w:rsidP="00FE51BD">
      <w:pPr>
        <w:rPr>
          <w:lang w:val="es-MX"/>
        </w:rPr>
      </w:pPr>
      <w:r>
        <w:rPr>
          <w:lang w:val="es-MX"/>
        </w:rPr>
        <w:fldChar w:fldCharType="end"/>
      </w:r>
    </w:p>
    <w:p w14:paraId="1FCF0D4A" w14:textId="5F58C3B4" w:rsidR="008007FD" w:rsidRPr="004A0F0D" w:rsidRDefault="0008638E" w:rsidP="004A0F0D">
      <w:pPr>
        <w:spacing w:before="240"/>
        <w:rPr>
          <w:b/>
          <w:color w:val="FFFFFF" w:themeColor="background1"/>
          <w:highlight w:val="darkBlue"/>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r>
        <w:rPr>
          <w:lang w:val="es-MX"/>
        </w:rPr>
        <w:t>________________________________________________________________________________________________________________________________________________________________</w:t>
      </w:r>
    </w:p>
    <w:p w14:paraId="08DE98CE" w14:textId="77777777" w:rsidR="008007FD" w:rsidRDefault="008007FD" w:rsidP="0008638E">
      <w:pPr>
        <w:spacing w:line="240" w:lineRule="auto"/>
        <w:rPr>
          <w:b/>
          <w:u w:val="single"/>
        </w:rPr>
      </w:pPr>
    </w:p>
    <w:p w14:paraId="33967177" w14:textId="77777777" w:rsidR="0008638E" w:rsidRPr="003516A2" w:rsidRDefault="0008638E" w:rsidP="0008638E">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2D8BC344" w14:textId="77777777" w:rsidR="0008638E" w:rsidRPr="002007F6" w:rsidRDefault="0008638E" w:rsidP="0008638E">
      <w:pPr>
        <w:rPr>
          <w:lang w:val="es-MX"/>
        </w:rPr>
      </w:pPr>
      <w:r>
        <w:rPr>
          <w:lang w:val="es-MX"/>
        </w:rPr>
        <w:t>________________________________________________________________________________________________________________________________________________________________</w:t>
      </w:r>
    </w:p>
    <w:p w14:paraId="6EE015CD" w14:textId="592C9FAD" w:rsidR="00FE51BD" w:rsidRPr="00FE51BD" w:rsidRDefault="00FE51BD" w:rsidP="00FE51BD">
      <w:pPr>
        <w:rPr>
          <w:b/>
          <w:u w:val="single"/>
          <w:lang w:eastAsia="es-CR"/>
        </w:rPr>
      </w:pPr>
      <w:r w:rsidRPr="0008638E">
        <w:rPr>
          <w:b/>
          <w:color w:val="FFFFFF" w:themeColor="background1"/>
          <w:highlight w:val="darkBlue"/>
          <w:u w:val="single"/>
        </w:rPr>
        <w:t>Revelación Suficiente:</w:t>
      </w:r>
      <w:r w:rsidRPr="00FE51BD">
        <w:rPr>
          <w:b/>
          <w:u w:val="single"/>
          <w:lang w:eastAsia="es-CR"/>
        </w:rPr>
        <w:t xml:space="preserve"> </w:t>
      </w:r>
      <w:r w:rsidR="00482942">
        <w:rPr>
          <w:b/>
          <w:u w:val="single"/>
          <w:lang w:eastAsia="es-CR"/>
        </w:rPr>
        <w:t xml:space="preserve">El ente debe revelar y cumplir </w:t>
      </w:r>
      <w:r w:rsidRPr="00FE51BD">
        <w:rPr>
          <w:b/>
          <w:u w:val="single"/>
          <w:lang w:eastAsia="es-CR"/>
        </w:rPr>
        <w:t xml:space="preserve">con lo estipulado en revelación </w:t>
      </w:r>
      <w:r w:rsidR="00482942">
        <w:rPr>
          <w:b/>
          <w:u w:val="single"/>
          <w:lang w:eastAsia="es-CR"/>
        </w:rPr>
        <w:t>conforme</w:t>
      </w:r>
      <w:r w:rsidRPr="00FE51BD">
        <w:rPr>
          <w:b/>
          <w:u w:val="single"/>
          <w:lang w:eastAsia="es-CR"/>
        </w:rPr>
        <w:t xml:space="preserve"> a la NICSP, también debe considerar la política general y los párrafos incluidos en la matriz de autoevaluación referente a esta NICSP y guías de aplicación (Ver GA NICSP 27):</w:t>
      </w:r>
    </w:p>
    <w:p w14:paraId="0634C9AE" w14:textId="3AE22740" w:rsidR="00FE51BD" w:rsidRPr="001D0A81" w:rsidRDefault="00FE51BD" w:rsidP="00FE51BD">
      <w:pPr>
        <w:rPr>
          <w:rFonts w:eastAsia="Calibri"/>
          <w:szCs w:val="24"/>
        </w:rPr>
      </w:pPr>
      <w:r w:rsidRPr="00FE51BD">
        <w:rPr>
          <w:rFonts w:eastAsia="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1E2F00F" w14:textId="02EA0559" w:rsidR="005352E5" w:rsidRDefault="005352E5" w:rsidP="00A649A4">
      <w:pPr>
        <w:pStyle w:val="Ttulo2"/>
        <w:spacing w:after="240"/>
        <w:rPr>
          <w:rFonts w:eastAsia="Times New Roman"/>
          <w:lang w:eastAsia="es-CR"/>
        </w:rPr>
      </w:pPr>
      <w:bookmarkStart w:id="105" w:name="_Hlk123832868"/>
      <w:bookmarkStart w:id="106" w:name="_Toc54961691"/>
      <w:bookmarkStart w:id="107" w:name="_Toc82768889"/>
      <w:bookmarkStart w:id="108" w:name="_Toc189804811"/>
      <w:r w:rsidRPr="005352E5">
        <w:rPr>
          <w:rFonts w:eastAsia="Times New Roman"/>
          <w:lang w:eastAsia="es-CR"/>
        </w:rPr>
        <w:t>NICSP 28-29-</w:t>
      </w:r>
      <w:r w:rsidR="004A0F0D">
        <w:rPr>
          <w:rFonts w:eastAsia="Times New Roman"/>
          <w:lang w:eastAsia="es-CR"/>
        </w:rPr>
        <w:t>30</w:t>
      </w:r>
      <w:r w:rsidRPr="005352E5">
        <w:rPr>
          <w:rFonts w:eastAsia="Times New Roman"/>
          <w:lang w:eastAsia="es-CR"/>
        </w:rPr>
        <w:t xml:space="preserve"> INSTRUMENTOS FINANCIEROS (PRESENTACIÓN, RECONOCIMIENTO MEDICIÓN Y </w:t>
      </w:r>
      <w:r w:rsidRPr="00680DAC">
        <w:rPr>
          <w:rFonts w:eastAsia="Times New Roman"/>
          <w:lang w:eastAsia="es-CR"/>
        </w:rPr>
        <w:t>REVELACIÓN</w:t>
      </w:r>
      <w:r w:rsidRPr="005352E5">
        <w:rPr>
          <w:rFonts w:eastAsia="Times New Roman"/>
          <w:lang w:eastAsia="es-CR"/>
        </w:rPr>
        <w:t>)</w:t>
      </w:r>
      <w:bookmarkEnd w:id="105"/>
      <w:r w:rsidRPr="005352E5">
        <w:rPr>
          <w:rFonts w:eastAsia="Times New Roman"/>
          <w:lang w:eastAsia="es-CR"/>
        </w:rPr>
        <w:t xml:space="preserve"> (DE APLICACIÓN OBLIGATORIA):</w:t>
      </w:r>
      <w:bookmarkEnd w:id="106"/>
      <w:bookmarkEnd w:id="107"/>
      <w:bookmarkEnd w:id="108"/>
      <w:r w:rsidRPr="005352E5">
        <w:rPr>
          <w:rFonts w:eastAsia="Times New Roman"/>
          <w:lang w:eastAsia="es-CR"/>
        </w:rPr>
        <w:t xml:space="preserve"> </w:t>
      </w:r>
    </w:p>
    <w:p w14:paraId="3FA290D1" w14:textId="77777777" w:rsidR="00641DCE" w:rsidRPr="00641DCE" w:rsidRDefault="00641DCE" w:rsidP="00641DCE">
      <w:pPr>
        <w:rPr>
          <w:rStyle w:val="nfasis"/>
          <w:i w:val="0"/>
        </w:rPr>
      </w:pPr>
      <w:r w:rsidRPr="00641DCE">
        <w:rPr>
          <w:rStyle w:val="nfasis"/>
          <w:i w:val="0"/>
        </w:rPr>
        <w:t xml:space="preserve">Se realizará la </w:t>
      </w:r>
      <w:r w:rsidRPr="00641DCE">
        <w:t>presentación de Estados Financieros</w:t>
      </w:r>
      <w:r w:rsidRPr="00641DCE">
        <w:rPr>
          <w:rStyle w:val="nfasis"/>
          <w:i w:val="0"/>
        </w:rPr>
        <w:t xml:space="preserve"> considerando lo dispuesto en el párrafo 128 y 129 de la NICSP 1.</w:t>
      </w:r>
    </w:p>
    <w:p w14:paraId="5A9A88CD" w14:textId="77777777" w:rsidR="00641DCE" w:rsidRPr="00641DCE" w:rsidRDefault="00641DCE" w:rsidP="00641DCE">
      <w:pPr>
        <w:spacing w:line="276" w:lineRule="auto"/>
        <w:rPr>
          <w:rStyle w:val="nfasis"/>
        </w:rPr>
      </w:pPr>
      <w:r w:rsidRPr="00641DCE">
        <w:rPr>
          <w:rStyle w:val="nfasis"/>
        </w:rPr>
        <w:t xml:space="preserve">“128. Las notas se presentarán, en la medida en que sea practicable, de una forma sistemática. Cada partida del estado de situación financiera, del estado de rendimiento financiero, estado de cambios en </w:t>
      </w:r>
      <w:r w:rsidRPr="00641DCE">
        <w:rPr>
          <w:rStyle w:val="nfasis"/>
        </w:rPr>
        <w:lastRenderedPageBreak/>
        <w:t>los activos netos/patrimonio y del estado de flujos de efectivo, se relacionará con la información correspondiente en las notas”.</w:t>
      </w:r>
    </w:p>
    <w:p w14:paraId="757F14D5" w14:textId="77777777" w:rsidR="00641DCE" w:rsidRPr="00641DCE" w:rsidRDefault="00641DCE" w:rsidP="00641DCE">
      <w:pPr>
        <w:spacing w:line="276" w:lineRule="auto"/>
        <w:rPr>
          <w:rStyle w:val="nfasis"/>
        </w:rPr>
      </w:pPr>
      <w:r w:rsidRPr="00641DCE">
        <w:rPr>
          <w:rStyle w:val="nfasis"/>
        </w:rPr>
        <w:t>“129. Normalmente, las notas se presentarán en el siguiente orden, con el fin de ayudar a los usuarios a comprender los estados financieros y compararlos con los presentados por otras entidades:</w:t>
      </w:r>
    </w:p>
    <w:p w14:paraId="274F32F4" w14:textId="77777777" w:rsidR="00641DCE" w:rsidRPr="00641DCE" w:rsidRDefault="00641DCE">
      <w:pPr>
        <w:pStyle w:val="Prrafodelista"/>
        <w:numPr>
          <w:ilvl w:val="0"/>
          <w:numId w:val="14"/>
        </w:numPr>
        <w:spacing w:line="276" w:lineRule="auto"/>
        <w:rPr>
          <w:rStyle w:val="nfasis"/>
        </w:rPr>
      </w:pPr>
      <w:r w:rsidRPr="00641DCE">
        <w:rPr>
          <w:rStyle w:val="nfasis"/>
        </w:rPr>
        <w:t>una declaración de conformidad con las NICSP (véase el párrafo 28);</w:t>
      </w:r>
    </w:p>
    <w:p w14:paraId="246292FC" w14:textId="77777777" w:rsidR="00641DCE" w:rsidRPr="00641DCE" w:rsidRDefault="00641DCE">
      <w:pPr>
        <w:pStyle w:val="Prrafodelista"/>
        <w:numPr>
          <w:ilvl w:val="0"/>
          <w:numId w:val="14"/>
        </w:numPr>
        <w:spacing w:line="276" w:lineRule="auto"/>
        <w:rPr>
          <w:rStyle w:val="nfasis"/>
        </w:rPr>
      </w:pPr>
      <w:r w:rsidRPr="00641DCE">
        <w:rPr>
          <w:rStyle w:val="nfasis"/>
        </w:rPr>
        <w:t>un resumen de las políticas contables significativas aplicadas (véase el párrafo 132);</w:t>
      </w:r>
    </w:p>
    <w:p w14:paraId="74AD86F0" w14:textId="28E37639" w:rsidR="00641DCE" w:rsidRPr="00641DCE" w:rsidRDefault="00641DCE">
      <w:pPr>
        <w:pStyle w:val="Prrafodelista"/>
        <w:numPr>
          <w:ilvl w:val="0"/>
          <w:numId w:val="14"/>
        </w:numPr>
        <w:spacing w:line="276" w:lineRule="auto"/>
        <w:rPr>
          <w:rStyle w:val="nfasis"/>
        </w:rPr>
      </w:pPr>
      <w:r w:rsidRPr="00641DCE">
        <w:rPr>
          <w:rStyle w:val="nfasis"/>
        </w:rPr>
        <w:t xml:space="preserve">información de apoyo para las partidas presentadas en el estado de situación financiera, en el estado de rendimiento financiero, en el estado de cambios en los activos/patrimonio o en el estado de flujos de efectivo, en el mismo orden en que figuren cada uno de los estados y cada </w:t>
      </w:r>
      <w:r w:rsidR="008007FD" w:rsidRPr="00641DCE">
        <w:rPr>
          <w:rStyle w:val="nfasis"/>
        </w:rPr>
        <w:t>línea</w:t>
      </w:r>
      <w:r w:rsidRPr="00641DCE">
        <w:rPr>
          <w:rStyle w:val="nfasis"/>
        </w:rPr>
        <w:t xml:space="preserve"> de partida; y</w:t>
      </w:r>
    </w:p>
    <w:p w14:paraId="401EAAA3" w14:textId="77777777" w:rsidR="00641DCE" w:rsidRPr="00641DCE" w:rsidRDefault="00641DCE">
      <w:pPr>
        <w:pStyle w:val="Prrafodelista"/>
        <w:numPr>
          <w:ilvl w:val="0"/>
          <w:numId w:val="14"/>
        </w:numPr>
        <w:spacing w:line="276" w:lineRule="auto"/>
        <w:rPr>
          <w:rStyle w:val="nfasis"/>
        </w:rPr>
      </w:pPr>
      <w:r w:rsidRPr="00641DCE">
        <w:rPr>
          <w:rStyle w:val="nfasis"/>
        </w:rPr>
        <w:t>otra información a revelar, que incluya:</w:t>
      </w:r>
    </w:p>
    <w:p w14:paraId="7384F605" w14:textId="77777777" w:rsidR="00641DCE" w:rsidRPr="00641DCE" w:rsidRDefault="00641DCE">
      <w:pPr>
        <w:pStyle w:val="Prrafodelista"/>
        <w:numPr>
          <w:ilvl w:val="0"/>
          <w:numId w:val="15"/>
        </w:numPr>
        <w:spacing w:line="276" w:lineRule="auto"/>
        <w:rPr>
          <w:rStyle w:val="nfasis"/>
        </w:rPr>
      </w:pPr>
      <w:r w:rsidRPr="00641DCE">
        <w:rPr>
          <w:rStyle w:val="nfasis"/>
        </w:rPr>
        <w:t xml:space="preserve">pasivos contingentes (véase la NICSP 19) y compromisos contractuales no reconocidos; y </w:t>
      </w:r>
    </w:p>
    <w:p w14:paraId="4EDF109B" w14:textId="154420A8" w:rsidR="00641DCE" w:rsidRPr="00641DCE" w:rsidRDefault="00641DCE">
      <w:pPr>
        <w:pStyle w:val="Prrafodelista"/>
        <w:numPr>
          <w:ilvl w:val="0"/>
          <w:numId w:val="15"/>
        </w:numPr>
        <w:spacing w:line="276" w:lineRule="auto"/>
        <w:rPr>
          <w:rStyle w:val="nfasis"/>
        </w:rPr>
      </w:pPr>
      <w:r w:rsidRPr="00641DCE">
        <w:rPr>
          <w:rStyle w:val="nfasis"/>
        </w:rPr>
        <w:t xml:space="preserve">información a revelar no financiera, por </w:t>
      </w:r>
      <w:r w:rsidR="008007FD" w:rsidRPr="00641DCE">
        <w:rPr>
          <w:rStyle w:val="nfasis"/>
        </w:rPr>
        <w:t>ejemplo,</w:t>
      </w:r>
      <w:r w:rsidRPr="00641DCE">
        <w:rPr>
          <w:rStyle w:val="nfasis"/>
        </w:rPr>
        <w:t xml:space="preserve"> los objetivos y políticas de gestión del riesgo financiero (véase la NICSP </w:t>
      </w:r>
      <w:r w:rsidR="00796636">
        <w:rPr>
          <w:rStyle w:val="nfasis"/>
        </w:rPr>
        <w:t>31</w:t>
      </w:r>
      <w:r w:rsidRPr="00641DCE">
        <w:rPr>
          <w:rStyle w:val="nfasis"/>
        </w:rPr>
        <w:t>).</w:t>
      </w:r>
    </w:p>
    <w:p w14:paraId="21649015" w14:textId="77777777" w:rsidR="00641DCE" w:rsidRPr="00641DCE" w:rsidRDefault="00641DCE" w:rsidP="00641DCE">
      <w:pPr>
        <w:rPr>
          <w:lang w:eastAsia="es-CR"/>
        </w:rPr>
      </w:pPr>
    </w:p>
    <w:p w14:paraId="24AB55CB" w14:textId="42AF2F42" w:rsidR="00C5447D" w:rsidRDefault="00680DAC" w:rsidP="00680DAC">
      <w:r w:rsidRPr="00FB0858">
        <w:t xml:space="preserve">De acuerdo con la </w:t>
      </w:r>
      <w:r w:rsidRPr="000B404C">
        <w:t xml:space="preserve">De acuerdo con la </w:t>
      </w:r>
      <w:r w:rsidRPr="00680DAC">
        <w:t>NICSP 28-29-</w:t>
      </w:r>
      <w:r w:rsidR="00796636">
        <w:t>31</w:t>
      </w:r>
      <w:r w:rsidRPr="00680DAC">
        <w:t xml:space="preserve"> Instrumentos Financieros (Presentación, Reconocimiento Medición </w:t>
      </w:r>
      <w:r>
        <w:t>y</w:t>
      </w:r>
      <w:r w:rsidRPr="00680DAC">
        <w:t xml:space="preserve"> Revelación)</w:t>
      </w:r>
      <w:r>
        <w:t xml:space="preserve">, indicar si este rubro afecta SI o NO a la institución, </w:t>
      </w:r>
      <w:r w:rsidRPr="00405DBC">
        <w:t>además del porcentaje de avance</w:t>
      </w:r>
      <w:r>
        <w:t xml:space="preserve"> en la implementación</w:t>
      </w:r>
      <w:r w:rsidRPr="00405DBC">
        <w:t xml:space="preserve"> que presenta</w:t>
      </w:r>
      <w:r>
        <w:t>.</w:t>
      </w:r>
    </w:p>
    <w:p w14:paraId="204B8500" w14:textId="77777777" w:rsidR="00396CB4" w:rsidRDefault="00680DAC" w:rsidP="00F35854">
      <w:pPr>
        <w:rPr>
          <w:rFonts w:asciiTheme="minorHAnsi" w:hAnsiTheme="minorHAnsi"/>
          <w:sz w:val="22"/>
        </w:rPr>
      </w:pPr>
      <w:r w:rsidRPr="00680DAC">
        <w:rPr>
          <w:color w:val="1F3864"/>
        </w:rPr>
        <w:t>NICSP 28</w:t>
      </w:r>
      <w:r w:rsidR="00F35854">
        <w:fldChar w:fldCharType="begin"/>
      </w:r>
      <w:r w:rsidR="00F35854">
        <w:instrText xml:space="preserve"> LINK </w:instrText>
      </w:r>
      <w:r w:rsidR="00756467">
        <w:instrText xml:space="preserve">Excel.SheetMacroEnabled.12 "C:\\Users\\gcordero\\Downloads\\Notas diciembre 2024\\Formato_Notas_EEFF_Vinculadas_2024\\Formato_Notas_EEFF_Vinculadas_2024\\15603_T04_2024_Anexo_Estado_Notas_Contables_Vinculadas.xlsm" NICSP_28_29_30!F10C3:F11C4 </w:instrText>
      </w:r>
      <w:r w:rsidR="00F35854">
        <w:instrText xml:space="preserve">\a \f 4 \h </w:instrText>
      </w:r>
      <w:r w:rsidR="00F35854">
        <w:fldChar w:fldCharType="separate"/>
      </w:r>
    </w:p>
    <w:tbl>
      <w:tblPr>
        <w:tblW w:w="4140" w:type="dxa"/>
        <w:tblCellMar>
          <w:left w:w="70" w:type="dxa"/>
          <w:right w:w="70" w:type="dxa"/>
        </w:tblCellMar>
        <w:tblLook w:val="04A0" w:firstRow="1" w:lastRow="0" w:firstColumn="1" w:lastColumn="0" w:noHBand="0" w:noVBand="1"/>
      </w:tblPr>
      <w:tblGrid>
        <w:gridCol w:w="2180"/>
        <w:gridCol w:w="1960"/>
      </w:tblGrid>
      <w:tr w:rsidR="00396CB4" w:rsidRPr="00396CB4" w14:paraId="6ED6BE0B" w14:textId="77777777" w:rsidTr="00396CB4">
        <w:trPr>
          <w:divId w:val="1736076965"/>
          <w:trHeight w:val="345"/>
        </w:trPr>
        <w:tc>
          <w:tcPr>
            <w:tcW w:w="218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5F7224F6" w14:textId="359B424E" w:rsidR="00396CB4" w:rsidRPr="00396CB4" w:rsidRDefault="00396CB4" w:rsidP="00396CB4">
            <w:pPr>
              <w:rPr>
                <w:rFonts w:eastAsia="Times New Roman" w:cs="Calibri"/>
                <w:color w:val="FFFFFF"/>
                <w:szCs w:val="24"/>
                <w:lang w:eastAsia="es-CR"/>
              </w:rPr>
            </w:pPr>
            <w:r w:rsidRPr="00396CB4">
              <w:rPr>
                <w:rFonts w:eastAsia="Times New Roman" w:cs="Calibri"/>
                <w:color w:val="FFFFFF"/>
                <w:szCs w:val="24"/>
                <w:lang w:eastAsia="es-CR"/>
              </w:rPr>
              <w:t>Aplica</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00CD74" w14:textId="77777777" w:rsidR="00396CB4" w:rsidRPr="00396CB4" w:rsidRDefault="00396CB4" w:rsidP="00396CB4">
            <w:pPr>
              <w:spacing w:after="0" w:line="240" w:lineRule="auto"/>
              <w:jc w:val="center"/>
              <w:rPr>
                <w:rFonts w:eastAsia="Times New Roman" w:cs="Calibri"/>
                <w:color w:val="000000"/>
                <w:sz w:val="22"/>
                <w:lang w:eastAsia="es-CR"/>
              </w:rPr>
            </w:pPr>
            <w:r w:rsidRPr="00396CB4">
              <w:rPr>
                <w:rFonts w:eastAsia="Times New Roman" w:cs="Calibri"/>
                <w:color w:val="000000"/>
                <w:sz w:val="22"/>
                <w:lang w:eastAsia="es-CR"/>
              </w:rPr>
              <w:t>Si</w:t>
            </w:r>
          </w:p>
        </w:tc>
      </w:tr>
      <w:tr w:rsidR="00396CB4" w:rsidRPr="00396CB4" w14:paraId="3BB8A4E9" w14:textId="77777777" w:rsidTr="00396CB4">
        <w:trPr>
          <w:divId w:val="1736076965"/>
          <w:trHeight w:val="345"/>
        </w:trPr>
        <w:tc>
          <w:tcPr>
            <w:tcW w:w="2180" w:type="dxa"/>
            <w:tcBorders>
              <w:top w:val="nil"/>
              <w:left w:val="single" w:sz="8" w:space="0" w:color="auto"/>
              <w:bottom w:val="single" w:sz="8" w:space="0" w:color="auto"/>
              <w:right w:val="single" w:sz="8" w:space="0" w:color="auto"/>
            </w:tcBorders>
            <w:shd w:val="clear" w:color="000000" w:fill="17365D"/>
            <w:vAlign w:val="center"/>
            <w:hideMark/>
          </w:tcPr>
          <w:p w14:paraId="3F45A335" w14:textId="77777777" w:rsidR="00396CB4" w:rsidRPr="00396CB4" w:rsidRDefault="00396CB4" w:rsidP="00396CB4">
            <w:pPr>
              <w:spacing w:after="0" w:line="240" w:lineRule="auto"/>
              <w:jc w:val="left"/>
              <w:rPr>
                <w:rFonts w:eastAsia="Times New Roman" w:cs="Calibri"/>
                <w:color w:val="FFFFFF"/>
                <w:szCs w:val="24"/>
                <w:lang w:eastAsia="es-CR"/>
              </w:rPr>
            </w:pPr>
            <w:proofErr w:type="spellStart"/>
            <w:r w:rsidRPr="00396CB4">
              <w:rPr>
                <w:rFonts w:eastAsia="Times New Roman" w:cs="Calibri"/>
                <w:color w:val="FFFFFF"/>
                <w:szCs w:val="24"/>
                <w:lang w:eastAsia="es-CR"/>
              </w:rPr>
              <w:t>Porcentaje_Avance</w:t>
            </w:r>
            <w:proofErr w:type="spellEnd"/>
          </w:p>
        </w:tc>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6D9301CA" w14:textId="77777777" w:rsidR="00396CB4" w:rsidRPr="00396CB4" w:rsidRDefault="00396CB4" w:rsidP="00396CB4">
            <w:pPr>
              <w:spacing w:after="0" w:line="240" w:lineRule="auto"/>
              <w:jc w:val="center"/>
              <w:rPr>
                <w:rFonts w:eastAsia="Times New Roman" w:cs="Calibri"/>
                <w:color w:val="000000"/>
                <w:sz w:val="22"/>
                <w:lang w:eastAsia="es-CR"/>
              </w:rPr>
            </w:pPr>
            <w:r w:rsidRPr="00396CB4">
              <w:rPr>
                <w:rFonts w:eastAsia="Times New Roman" w:cs="Calibri"/>
                <w:color w:val="000000"/>
                <w:sz w:val="22"/>
                <w:lang w:eastAsia="es-CR"/>
              </w:rPr>
              <w:t>100,00%</w:t>
            </w:r>
          </w:p>
        </w:tc>
      </w:tr>
    </w:tbl>
    <w:p w14:paraId="4BD9D936" w14:textId="01898F18" w:rsidR="0008638E" w:rsidRPr="008007FD" w:rsidRDefault="00F35854" w:rsidP="00F35854">
      <w:pPr>
        <w:rPr>
          <w:b/>
          <w:sz w:val="16"/>
          <w:szCs w:val="16"/>
          <w:lang w:eastAsia="es-CR"/>
        </w:rPr>
      </w:pPr>
      <w:r>
        <w:rPr>
          <w:color w:val="1F3864"/>
        </w:rPr>
        <w:fldChar w:fldCharType="end"/>
      </w:r>
      <w:r>
        <w:rPr>
          <w:color w:val="1F3864"/>
        </w:rPr>
        <w:t xml:space="preserve">                            </w:t>
      </w:r>
      <w:r w:rsidR="00680DAC" w:rsidRPr="00C35565">
        <w:rPr>
          <w:b/>
          <w:sz w:val="16"/>
          <w:szCs w:val="16"/>
          <w:lang w:eastAsia="es-CR"/>
        </w:rPr>
        <w:t>-Aplicación Obligatoria-</w:t>
      </w:r>
    </w:p>
    <w:p w14:paraId="3C39A5BA" w14:textId="77777777" w:rsidR="00396CB4" w:rsidRDefault="00680DAC" w:rsidP="00F35854">
      <w:pPr>
        <w:rPr>
          <w:rFonts w:asciiTheme="minorHAnsi" w:hAnsiTheme="minorHAnsi"/>
          <w:sz w:val="22"/>
        </w:rPr>
      </w:pPr>
      <w:r w:rsidRPr="00680DAC">
        <w:rPr>
          <w:color w:val="1F3864"/>
        </w:rPr>
        <w:t>NICSP 2</w:t>
      </w:r>
      <w:r>
        <w:rPr>
          <w:color w:val="1F3864"/>
        </w:rPr>
        <w:t>9</w:t>
      </w:r>
      <w:r w:rsidR="00F35854">
        <w:fldChar w:fldCharType="begin"/>
      </w:r>
      <w:r w:rsidR="00F35854">
        <w:instrText xml:space="preserve"> LINK </w:instrText>
      </w:r>
      <w:r w:rsidR="00756467">
        <w:instrText xml:space="preserve">Excel.SheetMacroEnabled.12 "C:\\Users\\gcordero\\Downloads\\Notas diciembre 2024\\Formato_Notas_EEFF_Vinculadas_2024\\Formato_Notas_EEFF_Vinculadas_2024\\15603_T04_2024_Anexo_Estado_Notas_Contables_Vinculadas.xlsm" NICSP_28_29_30!F14C3:F15C4 </w:instrText>
      </w:r>
      <w:r w:rsidR="00F35854">
        <w:instrText xml:space="preserve">\a \f 4 \h </w:instrText>
      </w:r>
      <w:r w:rsidR="00F35854">
        <w:fldChar w:fldCharType="separate"/>
      </w:r>
    </w:p>
    <w:tbl>
      <w:tblPr>
        <w:tblW w:w="4140" w:type="dxa"/>
        <w:tblCellMar>
          <w:left w:w="70" w:type="dxa"/>
          <w:right w:w="70" w:type="dxa"/>
        </w:tblCellMar>
        <w:tblLook w:val="04A0" w:firstRow="1" w:lastRow="0" w:firstColumn="1" w:lastColumn="0" w:noHBand="0" w:noVBand="1"/>
      </w:tblPr>
      <w:tblGrid>
        <w:gridCol w:w="2180"/>
        <w:gridCol w:w="1960"/>
      </w:tblGrid>
      <w:tr w:rsidR="00396CB4" w:rsidRPr="00396CB4" w14:paraId="79C1D8AD" w14:textId="77777777" w:rsidTr="00396CB4">
        <w:trPr>
          <w:divId w:val="1442261990"/>
          <w:trHeight w:val="345"/>
        </w:trPr>
        <w:tc>
          <w:tcPr>
            <w:tcW w:w="218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25A0E2BB" w14:textId="4539247D" w:rsidR="00396CB4" w:rsidRPr="00396CB4" w:rsidRDefault="00396CB4" w:rsidP="00396CB4">
            <w:pPr>
              <w:rPr>
                <w:rFonts w:eastAsia="Times New Roman" w:cs="Calibri"/>
                <w:color w:val="FFFFFF"/>
                <w:szCs w:val="24"/>
                <w:lang w:eastAsia="es-CR"/>
              </w:rPr>
            </w:pPr>
            <w:r w:rsidRPr="00396CB4">
              <w:rPr>
                <w:rFonts w:eastAsia="Times New Roman" w:cs="Calibri"/>
                <w:color w:val="FFFFFF"/>
                <w:szCs w:val="24"/>
                <w:lang w:eastAsia="es-CR"/>
              </w:rPr>
              <w:t>Aplica</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26F641" w14:textId="77777777" w:rsidR="00396CB4" w:rsidRPr="00396CB4" w:rsidRDefault="00396CB4" w:rsidP="00396CB4">
            <w:pPr>
              <w:spacing w:after="0" w:line="240" w:lineRule="auto"/>
              <w:jc w:val="center"/>
              <w:rPr>
                <w:rFonts w:eastAsia="Times New Roman" w:cs="Calibri"/>
                <w:color w:val="000000"/>
                <w:sz w:val="22"/>
                <w:lang w:eastAsia="es-CR"/>
              </w:rPr>
            </w:pPr>
            <w:r w:rsidRPr="00396CB4">
              <w:rPr>
                <w:rFonts w:eastAsia="Times New Roman" w:cs="Calibri"/>
                <w:color w:val="000000"/>
                <w:sz w:val="22"/>
                <w:lang w:eastAsia="es-CR"/>
              </w:rPr>
              <w:t>Si</w:t>
            </w:r>
          </w:p>
        </w:tc>
      </w:tr>
      <w:tr w:rsidR="00396CB4" w:rsidRPr="00396CB4" w14:paraId="0AE318C0" w14:textId="77777777" w:rsidTr="00396CB4">
        <w:trPr>
          <w:divId w:val="1442261990"/>
          <w:trHeight w:val="345"/>
        </w:trPr>
        <w:tc>
          <w:tcPr>
            <w:tcW w:w="2180" w:type="dxa"/>
            <w:tcBorders>
              <w:top w:val="nil"/>
              <w:left w:val="single" w:sz="8" w:space="0" w:color="auto"/>
              <w:bottom w:val="single" w:sz="8" w:space="0" w:color="auto"/>
              <w:right w:val="single" w:sz="8" w:space="0" w:color="auto"/>
            </w:tcBorders>
            <w:shd w:val="clear" w:color="000000" w:fill="17365D"/>
            <w:vAlign w:val="center"/>
            <w:hideMark/>
          </w:tcPr>
          <w:p w14:paraId="1CA2667A" w14:textId="77777777" w:rsidR="00396CB4" w:rsidRPr="00396CB4" w:rsidRDefault="00396CB4" w:rsidP="00396CB4">
            <w:pPr>
              <w:spacing w:after="0" w:line="240" w:lineRule="auto"/>
              <w:jc w:val="left"/>
              <w:rPr>
                <w:rFonts w:eastAsia="Times New Roman" w:cs="Calibri"/>
                <w:color w:val="FFFFFF"/>
                <w:szCs w:val="24"/>
                <w:lang w:eastAsia="es-CR"/>
              </w:rPr>
            </w:pPr>
            <w:proofErr w:type="spellStart"/>
            <w:r w:rsidRPr="00396CB4">
              <w:rPr>
                <w:rFonts w:eastAsia="Times New Roman" w:cs="Calibri"/>
                <w:color w:val="FFFFFF"/>
                <w:szCs w:val="24"/>
                <w:lang w:eastAsia="es-CR"/>
              </w:rPr>
              <w:t>Porcentaje_Avance</w:t>
            </w:r>
            <w:proofErr w:type="spellEnd"/>
          </w:p>
        </w:tc>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1D421317" w14:textId="77777777" w:rsidR="00396CB4" w:rsidRPr="00396CB4" w:rsidRDefault="00396CB4" w:rsidP="00396CB4">
            <w:pPr>
              <w:spacing w:after="0" w:line="240" w:lineRule="auto"/>
              <w:jc w:val="center"/>
              <w:rPr>
                <w:rFonts w:eastAsia="Times New Roman" w:cs="Calibri"/>
                <w:color w:val="000000"/>
                <w:sz w:val="22"/>
                <w:lang w:eastAsia="es-CR"/>
              </w:rPr>
            </w:pPr>
            <w:r w:rsidRPr="00396CB4">
              <w:rPr>
                <w:rFonts w:eastAsia="Times New Roman" w:cs="Calibri"/>
                <w:color w:val="000000"/>
                <w:sz w:val="22"/>
                <w:lang w:eastAsia="es-CR"/>
              </w:rPr>
              <w:t>100,00%</w:t>
            </w:r>
          </w:p>
        </w:tc>
      </w:tr>
    </w:tbl>
    <w:p w14:paraId="3EE76EC4" w14:textId="43043017" w:rsidR="00680DAC" w:rsidRDefault="00F35854" w:rsidP="00F35854">
      <w:pPr>
        <w:rPr>
          <w:b/>
          <w:sz w:val="16"/>
          <w:szCs w:val="16"/>
          <w:lang w:eastAsia="es-CR"/>
        </w:rPr>
      </w:pPr>
      <w:r>
        <w:rPr>
          <w:color w:val="1F3864"/>
        </w:rPr>
        <w:fldChar w:fldCharType="end"/>
      </w:r>
      <w:r>
        <w:rPr>
          <w:color w:val="1F3864"/>
        </w:rPr>
        <w:t xml:space="preserve">                             </w:t>
      </w:r>
      <w:r w:rsidR="00680DAC" w:rsidRPr="00C35565">
        <w:rPr>
          <w:b/>
          <w:sz w:val="16"/>
          <w:szCs w:val="16"/>
          <w:lang w:eastAsia="es-CR"/>
        </w:rPr>
        <w:t>-Aplicación Obligatoria-</w:t>
      </w:r>
    </w:p>
    <w:p w14:paraId="6235A12D" w14:textId="72CCD5CB" w:rsidR="0028011F" w:rsidRDefault="00680DAC" w:rsidP="00F35854">
      <w:pPr>
        <w:rPr>
          <w:color w:val="1F3864"/>
        </w:rPr>
      </w:pPr>
      <w:r w:rsidRPr="00680DAC">
        <w:rPr>
          <w:color w:val="1F3864"/>
        </w:rPr>
        <w:t xml:space="preserve">NICSP </w:t>
      </w:r>
      <w:r w:rsidR="00796636">
        <w:rPr>
          <w:color w:val="1F3864"/>
        </w:rPr>
        <w:t>3</w:t>
      </w:r>
      <w:r w:rsidR="0028011F">
        <w:rPr>
          <w:color w:val="1F3864"/>
        </w:rPr>
        <w:t>0</w:t>
      </w:r>
    </w:p>
    <w:tbl>
      <w:tblPr>
        <w:tblW w:w="4140" w:type="dxa"/>
        <w:tblCellMar>
          <w:left w:w="70" w:type="dxa"/>
          <w:right w:w="70" w:type="dxa"/>
        </w:tblCellMar>
        <w:tblLook w:val="04A0" w:firstRow="1" w:lastRow="0" w:firstColumn="1" w:lastColumn="0" w:noHBand="0" w:noVBand="1"/>
      </w:tblPr>
      <w:tblGrid>
        <w:gridCol w:w="2180"/>
        <w:gridCol w:w="1960"/>
      </w:tblGrid>
      <w:tr w:rsidR="0028011F" w:rsidRPr="0028011F" w14:paraId="324C7476" w14:textId="77777777" w:rsidTr="0028011F">
        <w:trPr>
          <w:trHeight w:val="345"/>
        </w:trPr>
        <w:tc>
          <w:tcPr>
            <w:tcW w:w="218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3E7523A6" w14:textId="77777777" w:rsidR="0028011F" w:rsidRPr="0028011F" w:rsidRDefault="0028011F" w:rsidP="0028011F">
            <w:pPr>
              <w:spacing w:after="0" w:line="240" w:lineRule="auto"/>
              <w:jc w:val="left"/>
              <w:rPr>
                <w:rFonts w:eastAsia="Times New Roman" w:cs="Calibri"/>
                <w:color w:val="FFFFFF"/>
                <w:szCs w:val="24"/>
                <w:lang w:eastAsia="es-CR"/>
              </w:rPr>
            </w:pPr>
            <w:r w:rsidRPr="0028011F">
              <w:rPr>
                <w:rFonts w:eastAsia="Times New Roman" w:cs="Calibri"/>
                <w:color w:val="FFFFFF"/>
                <w:szCs w:val="24"/>
                <w:lang w:eastAsia="es-CR"/>
              </w:rPr>
              <w:t>Aplica</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E56B27" w14:textId="77777777" w:rsidR="0028011F" w:rsidRPr="0028011F" w:rsidRDefault="0028011F" w:rsidP="0028011F">
            <w:pPr>
              <w:spacing w:after="0" w:line="240" w:lineRule="auto"/>
              <w:jc w:val="center"/>
              <w:rPr>
                <w:rFonts w:eastAsia="Times New Roman" w:cs="Calibri"/>
                <w:color w:val="000000"/>
                <w:sz w:val="22"/>
                <w:lang w:eastAsia="es-CR"/>
              </w:rPr>
            </w:pPr>
            <w:r w:rsidRPr="0028011F">
              <w:rPr>
                <w:rFonts w:eastAsia="Times New Roman" w:cs="Calibri"/>
                <w:color w:val="000000"/>
                <w:sz w:val="22"/>
                <w:lang w:eastAsia="es-CR"/>
              </w:rPr>
              <w:t>Si</w:t>
            </w:r>
          </w:p>
        </w:tc>
      </w:tr>
      <w:tr w:rsidR="0028011F" w:rsidRPr="0028011F" w14:paraId="57084362" w14:textId="77777777" w:rsidTr="0028011F">
        <w:trPr>
          <w:trHeight w:val="345"/>
        </w:trPr>
        <w:tc>
          <w:tcPr>
            <w:tcW w:w="2180" w:type="dxa"/>
            <w:tcBorders>
              <w:top w:val="nil"/>
              <w:left w:val="single" w:sz="8" w:space="0" w:color="auto"/>
              <w:bottom w:val="single" w:sz="8" w:space="0" w:color="auto"/>
              <w:right w:val="single" w:sz="8" w:space="0" w:color="auto"/>
            </w:tcBorders>
            <w:shd w:val="clear" w:color="000000" w:fill="17365D"/>
            <w:vAlign w:val="center"/>
            <w:hideMark/>
          </w:tcPr>
          <w:p w14:paraId="3A1C9CAC" w14:textId="77777777" w:rsidR="0028011F" w:rsidRPr="0028011F" w:rsidRDefault="0028011F" w:rsidP="0028011F">
            <w:pPr>
              <w:spacing w:after="0" w:line="240" w:lineRule="auto"/>
              <w:jc w:val="left"/>
              <w:rPr>
                <w:rFonts w:eastAsia="Times New Roman" w:cs="Calibri"/>
                <w:color w:val="FFFFFF"/>
                <w:szCs w:val="24"/>
                <w:lang w:eastAsia="es-CR"/>
              </w:rPr>
            </w:pPr>
            <w:proofErr w:type="spellStart"/>
            <w:r w:rsidRPr="0028011F">
              <w:rPr>
                <w:rFonts w:eastAsia="Times New Roman" w:cs="Calibri"/>
                <w:color w:val="FFFFFF"/>
                <w:szCs w:val="24"/>
                <w:lang w:eastAsia="es-CR"/>
              </w:rPr>
              <w:t>Porcentaje_Avance</w:t>
            </w:r>
            <w:proofErr w:type="spellEnd"/>
          </w:p>
        </w:tc>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76B34919" w14:textId="77777777" w:rsidR="0028011F" w:rsidRPr="0028011F" w:rsidRDefault="0028011F" w:rsidP="0028011F">
            <w:pPr>
              <w:spacing w:after="0" w:line="240" w:lineRule="auto"/>
              <w:jc w:val="center"/>
              <w:rPr>
                <w:rFonts w:eastAsia="Times New Roman" w:cs="Calibri"/>
                <w:color w:val="000000"/>
                <w:sz w:val="22"/>
                <w:lang w:eastAsia="es-CR"/>
              </w:rPr>
            </w:pPr>
            <w:r w:rsidRPr="0028011F">
              <w:rPr>
                <w:rFonts w:eastAsia="Times New Roman" w:cs="Calibri"/>
                <w:color w:val="000000"/>
                <w:sz w:val="22"/>
                <w:lang w:eastAsia="es-CR"/>
              </w:rPr>
              <w:t>71,21%</w:t>
            </w:r>
          </w:p>
        </w:tc>
      </w:tr>
    </w:tbl>
    <w:p w14:paraId="341296B6" w14:textId="5E2C3D39" w:rsidR="00680DAC" w:rsidRDefault="00F35854" w:rsidP="00F35854">
      <w:pPr>
        <w:rPr>
          <w:b/>
          <w:sz w:val="16"/>
          <w:szCs w:val="16"/>
          <w:lang w:eastAsia="es-CR"/>
        </w:rPr>
      </w:pPr>
      <w:r>
        <w:rPr>
          <w:color w:val="1F3864"/>
        </w:rPr>
        <w:t xml:space="preserve">                            </w:t>
      </w:r>
      <w:r w:rsidR="00680DAC" w:rsidRPr="00C35565">
        <w:rPr>
          <w:b/>
          <w:sz w:val="16"/>
          <w:szCs w:val="16"/>
          <w:lang w:eastAsia="es-CR"/>
        </w:rPr>
        <w:t>-Aplicación Obligatoria-</w:t>
      </w:r>
    </w:p>
    <w:p w14:paraId="6FBCE4F5" w14:textId="0EE47880" w:rsidR="00486EC5" w:rsidRDefault="00680DAC" w:rsidP="00FE51BD">
      <w:pPr>
        <w:rPr>
          <w:rStyle w:val="Hipervnculo"/>
          <w:lang w:val="es-MX"/>
        </w:rPr>
      </w:pPr>
      <w:r w:rsidRPr="007D51EA">
        <w:rPr>
          <w:lang w:val="es-MX"/>
        </w:rPr>
        <w:lastRenderedPageBreak/>
        <w:t>A continuación, un cuadro resumen, pero el detalle de los c</w:t>
      </w:r>
      <w:r>
        <w:rPr>
          <w:lang w:val="es-MX"/>
        </w:rPr>
        <w:t>uadro</w:t>
      </w:r>
      <w:r w:rsidRPr="007D51EA">
        <w:rPr>
          <w:lang w:val="es-MX"/>
        </w:rPr>
        <w:t>s debe ser adjuntados como</w:t>
      </w:r>
      <w:r>
        <w:rPr>
          <w:lang w:val="es-MX"/>
        </w:rPr>
        <w:t xml:space="preserve"> anexos </w:t>
      </w:r>
      <w:hyperlink w:anchor="_NICSP_28-_29-" w:history="1">
        <w:r w:rsidRPr="005F2549">
          <w:rPr>
            <w:rStyle w:val="Hipervnculo"/>
            <w:lang w:val="es-MX"/>
          </w:rPr>
          <w:t xml:space="preserve">NICSP 28- 29- </w:t>
        </w:r>
        <w:r w:rsidR="00587609">
          <w:rPr>
            <w:rStyle w:val="Hipervnculo"/>
            <w:lang w:val="es-MX"/>
          </w:rPr>
          <w:t>30</w:t>
        </w:r>
      </w:hyperlink>
      <w:r w:rsidR="00756471">
        <w:rPr>
          <w:rStyle w:val="Hipervnculo"/>
          <w:lang w:val="es-MX"/>
        </w:rPr>
        <w:t xml:space="preserve">  </w:t>
      </w:r>
    </w:p>
    <w:p w14:paraId="746BA80C" w14:textId="68AB7140" w:rsidR="00396CB4" w:rsidRPr="00756471" w:rsidRDefault="004337DA" w:rsidP="00FE51BD">
      <w:pPr>
        <w:rPr>
          <w:highlight w:val="yellow"/>
        </w:rPr>
      </w:pPr>
      <w:r w:rsidRPr="00756471">
        <w:rPr>
          <w:highlight w:val="yellow"/>
        </w:rPr>
        <w:fldChar w:fldCharType="begin"/>
      </w:r>
      <w:r w:rsidRPr="00756471">
        <w:rPr>
          <w:highlight w:val="yellow"/>
        </w:rPr>
        <w:instrText xml:space="preserve"> LINK </w:instrText>
      </w:r>
      <w:r w:rsidR="00756467" w:rsidRPr="00756471">
        <w:rPr>
          <w:highlight w:val="yellow"/>
        </w:rPr>
        <w:instrText xml:space="preserve">Excel.SheetMacroEnabled.12 "C:\\Users\\gcordero\\Downloads\\Notas diciembre 2024\\Formato_Notas_EEFF_Vinculadas_2024\\Formato_Notas_EEFF_Vinculadas_2024\\15603_T04_2024_Anexo_Estado_Notas_Contables_Vinculadas.xlsm" NICSP_28_29_30!F22C5:F25C7 </w:instrText>
      </w:r>
      <w:r w:rsidRPr="00756471">
        <w:rPr>
          <w:highlight w:val="yellow"/>
        </w:rPr>
        <w:instrText xml:space="preserve">\a \f 4 \h  \* MERGEFORMAT </w:instrText>
      </w:r>
      <w:r w:rsidRPr="00756471">
        <w:rPr>
          <w:highlight w:val="yellow"/>
        </w:rPr>
        <w:fldChar w:fldCharType="separate"/>
      </w:r>
    </w:p>
    <w:tbl>
      <w:tblPr>
        <w:tblW w:w="8493" w:type="dxa"/>
        <w:jc w:val="center"/>
        <w:tblCellMar>
          <w:left w:w="70" w:type="dxa"/>
          <w:right w:w="70" w:type="dxa"/>
        </w:tblCellMar>
        <w:tblLook w:val="04A0" w:firstRow="1" w:lastRow="0" w:firstColumn="1" w:lastColumn="0" w:noHBand="0" w:noVBand="1"/>
      </w:tblPr>
      <w:tblGrid>
        <w:gridCol w:w="3843"/>
        <w:gridCol w:w="2325"/>
        <w:gridCol w:w="2325"/>
      </w:tblGrid>
      <w:tr w:rsidR="00396CB4" w:rsidRPr="00756471" w14:paraId="18436410" w14:textId="77777777" w:rsidTr="00396CB4">
        <w:trPr>
          <w:divId w:val="959261306"/>
          <w:trHeight w:val="283"/>
          <w:jc w:val="center"/>
        </w:trPr>
        <w:tc>
          <w:tcPr>
            <w:tcW w:w="3843" w:type="dxa"/>
            <w:tcBorders>
              <w:top w:val="single" w:sz="8" w:space="0" w:color="auto"/>
              <w:left w:val="single" w:sz="8" w:space="0" w:color="auto"/>
              <w:bottom w:val="single" w:sz="8" w:space="0" w:color="auto"/>
              <w:right w:val="nil"/>
            </w:tcBorders>
            <w:shd w:val="clear" w:color="000000" w:fill="1F3864"/>
            <w:vAlign w:val="center"/>
            <w:hideMark/>
          </w:tcPr>
          <w:p w14:paraId="22E1E543" w14:textId="63E8C8C9" w:rsidR="00396CB4" w:rsidRPr="00756471" w:rsidRDefault="00396CB4" w:rsidP="00396CB4">
            <w:pPr>
              <w:spacing w:after="0" w:line="240" w:lineRule="auto"/>
              <w:jc w:val="center"/>
              <w:rPr>
                <w:rFonts w:eastAsia="Times New Roman" w:cs="Calibri"/>
                <w:color w:val="FFFFFF"/>
                <w:szCs w:val="24"/>
                <w:lang w:eastAsia="es-CR"/>
              </w:rPr>
            </w:pPr>
            <w:r w:rsidRPr="00756471">
              <w:rPr>
                <w:rFonts w:eastAsia="Times New Roman" w:cs="Calibri"/>
                <w:color w:val="FFFFFF"/>
                <w:szCs w:val="24"/>
                <w:lang w:eastAsia="es-CR"/>
              </w:rPr>
              <w:t>Resumen</w:t>
            </w:r>
          </w:p>
        </w:tc>
        <w:tc>
          <w:tcPr>
            <w:tcW w:w="2325" w:type="dxa"/>
            <w:tcBorders>
              <w:top w:val="single" w:sz="8" w:space="0" w:color="auto"/>
              <w:left w:val="single" w:sz="8" w:space="0" w:color="auto"/>
              <w:bottom w:val="single" w:sz="8" w:space="0" w:color="auto"/>
              <w:right w:val="nil"/>
            </w:tcBorders>
            <w:shd w:val="clear" w:color="000000" w:fill="1F3864"/>
            <w:vAlign w:val="center"/>
            <w:hideMark/>
          </w:tcPr>
          <w:p w14:paraId="4F250093" w14:textId="77777777" w:rsidR="00396CB4" w:rsidRPr="00756471" w:rsidRDefault="00396CB4" w:rsidP="00396CB4">
            <w:pPr>
              <w:spacing w:after="0" w:line="240" w:lineRule="auto"/>
              <w:jc w:val="center"/>
              <w:rPr>
                <w:rFonts w:eastAsia="Times New Roman" w:cs="Calibri"/>
                <w:color w:val="FFFFFF"/>
                <w:szCs w:val="24"/>
                <w:lang w:eastAsia="es-CR"/>
              </w:rPr>
            </w:pPr>
            <w:r w:rsidRPr="00756471">
              <w:rPr>
                <w:rFonts w:eastAsia="Times New Roman" w:cs="Calibri"/>
                <w:color w:val="FFFFFF"/>
                <w:szCs w:val="24"/>
                <w:lang w:eastAsia="es-CR"/>
              </w:rPr>
              <w:t>Activos Financiero</w:t>
            </w:r>
          </w:p>
        </w:tc>
        <w:tc>
          <w:tcPr>
            <w:tcW w:w="2325" w:type="dxa"/>
            <w:tcBorders>
              <w:top w:val="single" w:sz="8" w:space="0" w:color="auto"/>
              <w:left w:val="single" w:sz="8" w:space="0" w:color="auto"/>
              <w:bottom w:val="single" w:sz="8" w:space="0" w:color="auto"/>
              <w:right w:val="nil"/>
            </w:tcBorders>
            <w:shd w:val="clear" w:color="000000" w:fill="1F3864"/>
            <w:vAlign w:val="center"/>
            <w:hideMark/>
          </w:tcPr>
          <w:p w14:paraId="5993DAF2" w14:textId="77777777" w:rsidR="00396CB4" w:rsidRPr="00756471" w:rsidRDefault="00396CB4" w:rsidP="00396CB4">
            <w:pPr>
              <w:spacing w:after="0" w:line="240" w:lineRule="auto"/>
              <w:jc w:val="center"/>
              <w:rPr>
                <w:rFonts w:eastAsia="Times New Roman" w:cs="Calibri"/>
                <w:color w:val="FFFFFF"/>
                <w:szCs w:val="24"/>
                <w:lang w:eastAsia="es-CR"/>
              </w:rPr>
            </w:pPr>
            <w:r w:rsidRPr="00756471">
              <w:rPr>
                <w:rFonts w:eastAsia="Times New Roman" w:cs="Calibri"/>
                <w:color w:val="FFFFFF"/>
                <w:szCs w:val="24"/>
                <w:lang w:eastAsia="es-CR"/>
              </w:rPr>
              <w:t>Pasivo Financiero</w:t>
            </w:r>
          </w:p>
        </w:tc>
      </w:tr>
      <w:tr w:rsidR="00396CB4" w:rsidRPr="00756471" w14:paraId="79430F42" w14:textId="77777777" w:rsidTr="00396CB4">
        <w:trPr>
          <w:divId w:val="959261306"/>
          <w:trHeight w:val="283"/>
          <w:jc w:val="center"/>
        </w:trPr>
        <w:tc>
          <w:tcPr>
            <w:tcW w:w="3843" w:type="dxa"/>
            <w:tcBorders>
              <w:top w:val="nil"/>
              <w:left w:val="single" w:sz="8" w:space="0" w:color="auto"/>
              <w:bottom w:val="single" w:sz="8" w:space="0" w:color="auto"/>
              <w:right w:val="nil"/>
            </w:tcBorders>
            <w:shd w:val="clear" w:color="000000" w:fill="1F3864"/>
            <w:vAlign w:val="center"/>
            <w:hideMark/>
          </w:tcPr>
          <w:p w14:paraId="6C626DBC" w14:textId="77777777" w:rsidR="00396CB4" w:rsidRPr="00756471" w:rsidRDefault="00396CB4" w:rsidP="00396CB4">
            <w:pPr>
              <w:spacing w:after="0" w:line="240" w:lineRule="auto"/>
              <w:jc w:val="center"/>
              <w:rPr>
                <w:rFonts w:eastAsia="Times New Roman" w:cs="Calibri"/>
                <w:color w:val="FFFFFF"/>
                <w:szCs w:val="24"/>
                <w:lang w:eastAsia="es-CR"/>
              </w:rPr>
            </w:pPr>
            <w:r w:rsidRPr="00756471">
              <w:rPr>
                <w:rFonts w:eastAsia="Times New Roman" w:cs="Calibri"/>
                <w:color w:val="FFFFFF"/>
                <w:szCs w:val="24"/>
                <w:lang w:eastAsia="es-CR"/>
              </w:rPr>
              <w:t xml:space="preserve">CANTIDAD </w:t>
            </w:r>
          </w:p>
        </w:tc>
        <w:tc>
          <w:tcPr>
            <w:tcW w:w="2325" w:type="dxa"/>
            <w:tcBorders>
              <w:top w:val="nil"/>
              <w:left w:val="nil"/>
              <w:bottom w:val="single" w:sz="8" w:space="0" w:color="auto"/>
              <w:right w:val="single" w:sz="8" w:space="0" w:color="auto"/>
            </w:tcBorders>
            <w:shd w:val="clear" w:color="auto" w:fill="auto"/>
            <w:noWrap/>
            <w:vAlign w:val="center"/>
            <w:hideMark/>
          </w:tcPr>
          <w:p w14:paraId="1718C0C8" w14:textId="77777777" w:rsidR="00396CB4" w:rsidRPr="00756471" w:rsidRDefault="00396CB4" w:rsidP="00396CB4">
            <w:pPr>
              <w:spacing w:after="0" w:line="240" w:lineRule="auto"/>
              <w:jc w:val="center"/>
              <w:rPr>
                <w:rFonts w:eastAsia="Times New Roman" w:cs="Calibri"/>
                <w:color w:val="000000"/>
                <w:sz w:val="20"/>
                <w:szCs w:val="20"/>
                <w:lang w:eastAsia="es-CR"/>
              </w:rPr>
            </w:pPr>
            <w:r w:rsidRPr="00756471">
              <w:rPr>
                <w:rFonts w:eastAsia="Times New Roman" w:cs="Calibri"/>
                <w:color w:val="000000"/>
                <w:sz w:val="20"/>
                <w:szCs w:val="20"/>
                <w:lang w:eastAsia="es-CR"/>
              </w:rPr>
              <w:t> </w:t>
            </w:r>
          </w:p>
        </w:tc>
        <w:tc>
          <w:tcPr>
            <w:tcW w:w="2325" w:type="dxa"/>
            <w:tcBorders>
              <w:top w:val="nil"/>
              <w:left w:val="nil"/>
              <w:bottom w:val="single" w:sz="8" w:space="0" w:color="auto"/>
              <w:right w:val="single" w:sz="8" w:space="0" w:color="auto"/>
            </w:tcBorders>
            <w:shd w:val="clear" w:color="auto" w:fill="auto"/>
            <w:noWrap/>
            <w:vAlign w:val="center"/>
            <w:hideMark/>
          </w:tcPr>
          <w:p w14:paraId="2BA87952" w14:textId="77777777" w:rsidR="00396CB4" w:rsidRPr="00756471" w:rsidRDefault="00396CB4" w:rsidP="00396CB4">
            <w:pPr>
              <w:spacing w:after="0" w:line="240" w:lineRule="auto"/>
              <w:jc w:val="center"/>
              <w:rPr>
                <w:rFonts w:eastAsia="Times New Roman" w:cs="Calibri"/>
                <w:color w:val="000000"/>
                <w:sz w:val="20"/>
                <w:szCs w:val="20"/>
                <w:lang w:eastAsia="es-CR"/>
              </w:rPr>
            </w:pPr>
            <w:r w:rsidRPr="00756471">
              <w:rPr>
                <w:rFonts w:eastAsia="Times New Roman" w:cs="Calibri"/>
                <w:color w:val="000000"/>
                <w:sz w:val="20"/>
                <w:szCs w:val="20"/>
                <w:lang w:eastAsia="es-CR"/>
              </w:rPr>
              <w:t> </w:t>
            </w:r>
          </w:p>
        </w:tc>
      </w:tr>
      <w:tr w:rsidR="00396CB4" w:rsidRPr="00756471" w14:paraId="4D6171E8" w14:textId="77777777" w:rsidTr="00396CB4">
        <w:trPr>
          <w:divId w:val="959261306"/>
          <w:trHeight w:val="283"/>
          <w:jc w:val="center"/>
        </w:trPr>
        <w:tc>
          <w:tcPr>
            <w:tcW w:w="3843" w:type="dxa"/>
            <w:tcBorders>
              <w:top w:val="nil"/>
              <w:left w:val="single" w:sz="8" w:space="0" w:color="auto"/>
              <w:bottom w:val="single" w:sz="8" w:space="0" w:color="auto"/>
              <w:right w:val="single" w:sz="8" w:space="0" w:color="auto"/>
            </w:tcBorders>
            <w:shd w:val="clear" w:color="000000" w:fill="1F3864"/>
            <w:vAlign w:val="center"/>
            <w:hideMark/>
          </w:tcPr>
          <w:p w14:paraId="1CAD5A54" w14:textId="77777777" w:rsidR="00396CB4" w:rsidRPr="00756471" w:rsidRDefault="00396CB4" w:rsidP="00396CB4">
            <w:pPr>
              <w:spacing w:after="0" w:line="240" w:lineRule="auto"/>
              <w:jc w:val="center"/>
              <w:rPr>
                <w:rFonts w:eastAsia="Times New Roman" w:cs="Calibri"/>
                <w:color w:val="FFFFFF"/>
                <w:szCs w:val="24"/>
                <w:lang w:eastAsia="es-CR"/>
              </w:rPr>
            </w:pPr>
            <w:r w:rsidRPr="00756471">
              <w:rPr>
                <w:rFonts w:eastAsia="Times New Roman" w:cs="Calibri"/>
                <w:color w:val="FFFFFF"/>
                <w:szCs w:val="24"/>
                <w:lang w:eastAsia="es-CR"/>
              </w:rPr>
              <w:t xml:space="preserve">Valor Libros </w:t>
            </w:r>
          </w:p>
        </w:tc>
        <w:tc>
          <w:tcPr>
            <w:tcW w:w="2325" w:type="dxa"/>
            <w:tcBorders>
              <w:top w:val="nil"/>
              <w:left w:val="nil"/>
              <w:bottom w:val="single" w:sz="8" w:space="0" w:color="auto"/>
              <w:right w:val="single" w:sz="8" w:space="0" w:color="auto"/>
            </w:tcBorders>
            <w:shd w:val="clear" w:color="auto" w:fill="auto"/>
            <w:noWrap/>
            <w:vAlign w:val="center"/>
            <w:hideMark/>
          </w:tcPr>
          <w:p w14:paraId="416F0C07" w14:textId="77777777" w:rsidR="00396CB4" w:rsidRPr="00756471" w:rsidRDefault="00396CB4" w:rsidP="00396CB4">
            <w:pPr>
              <w:spacing w:after="0" w:line="240" w:lineRule="auto"/>
              <w:jc w:val="center"/>
              <w:rPr>
                <w:rFonts w:eastAsia="Times New Roman" w:cs="Calibri"/>
                <w:color w:val="000000"/>
                <w:sz w:val="20"/>
                <w:szCs w:val="20"/>
                <w:lang w:eastAsia="es-CR"/>
              </w:rPr>
            </w:pPr>
            <w:r w:rsidRPr="00756471">
              <w:rPr>
                <w:rFonts w:ascii="Arial" w:eastAsia="Times New Roman" w:hAnsi="Arial" w:cs="Arial"/>
                <w:color w:val="000000"/>
                <w:sz w:val="20"/>
                <w:szCs w:val="20"/>
                <w:lang w:eastAsia="es-CR"/>
              </w:rPr>
              <w:t>₡</w:t>
            </w:r>
            <w:r w:rsidRPr="00756471">
              <w:rPr>
                <w:rFonts w:eastAsia="Times New Roman" w:cs="Calibri"/>
                <w:color w:val="000000"/>
                <w:sz w:val="20"/>
                <w:szCs w:val="20"/>
                <w:lang w:eastAsia="es-CR"/>
              </w:rPr>
              <w:t>0,00</w:t>
            </w:r>
          </w:p>
        </w:tc>
        <w:tc>
          <w:tcPr>
            <w:tcW w:w="2325" w:type="dxa"/>
            <w:tcBorders>
              <w:top w:val="nil"/>
              <w:left w:val="nil"/>
              <w:bottom w:val="single" w:sz="8" w:space="0" w:color="auto"/>
              <w:right w:val="single" w:sz="8" w:space="0" w:color="auto"/>
            </w:tcBorders>
            <w:shd w:val="clear" w:color="auto" w:fill="auto"/>
            <w:noWrap/>
            <w:vAlign w:val="center"/>
            <w:hideMark/>
          </w:tcPr>
          <w:p w14:paraId="5C2D3545" w14:textId="77777777" w:rsidR="00396CB4" w:rsidRPr="00756471" w:rsidRDefault="00396CB4" w:rsidP="00396CB4">
            <w:pPr>
              <w:spacing w:after="0" w:line="240" w:lineRule="auto"/>
              <w:jc w:val="center"/>
              <w:rPr>
                <w:rFonts w:eastAsia="Times New Roman" w:cs="Calibri"/>
                <w:color w:val="000000"/>
                <w:sz w:val="20"/>
                <w:szCs w:val="20"/>
                <w:lang w:eastAsia="es-CR"/>
              </w:rPr>
            </w:pPr>
            <w:r w:rsidRPr="00756471">
              <w:rPr>
                <w:rFonts w:ascii="Arial" w:eastAsia="Times New Roman" w:hAnsi="Arial" w:cs="Arial"/>
                <w:color w:val="000000"/>
                <w:sz w:val="20"/>
                <w:szCs w:val="20"/>
                <w:lang w:eastAsia="es-CR"/>
              </w:rPr>
              <w:t>₡</w:t>
            </w:r>
            <w:r w:rsidRPr="00756471">
              <w:rPr>
                <w:rFonts w:eastAsia="Times New Roman" w:cs="Calibri"/>
                <w:color w:val="000000"/>
                <w:sz w:val="20"/>
                <w:szCs w:val="20"/>
                <w:lang w:eastAsia="es-CR"/>
              </w:rPr>
              <w:t>0,00</w:t>
            </w:r>
          </w:p>
        </w:tc>
      </w:tr>
      <w:tr w:rsidR="00396CB4" w:rsidRPr="00756471" w14:paraId="72B6A51A" w14:textId="77777777" w:rsidTr="00396CB4">
        <w:trPr>
          <w:divId w:val="959261306"/>
          <w:trHeight w:val="283"/>
          <w:jc w:val="center"/>
        </w:trPr>
        <w:tc>
          <w:tcPr>
            <w:tcW w:w="3843" w:type="dxa"/>
            <w:tcBorders>
              <w:top w:val="nil"/>
              <w:left w:val="single" w:sz="8" w:space="0" w:color="auto"/>
              <w:bottom w:val="single" w:sz="8" w:space="0" w:color="auto"/>
              <w:right w:val="single" w:sz="8" w:space="0" w:color="auto"/>
            </w:tcBorders>
            <w:shd w:val="clear" w:color="000000" w:fill="1F3864"/>
            <w:vAlign w:val="center"/>
            <w:hideMark/>
          </w:tcPr>
          <w:p w14:paraId="2E5BA2F4" w14:textId="77777777" w:rsidR="00396CB4" w:rsidRPr="00756471" w:rsidRDefault="00396CB4" w:rsidP="00396CB4">
            <w:pPr>
              <w:spacing w:after="0" w:line="240" w:lineRule="auto"/>
              <w:jc w:val="center"/>
              <w:rPr>
                <w:rFonts w:eastAsia="Times New Roman" w:cs="Calibri"/>
                <w:color w:val="FFFFFF"/>
                <w:szCs w:val="24"/>
                <w:lang w:eastAsia="es-CR"/>
              </w:rPr>
            </w:pPr>
            <w:r w:rsidRPr="00756471">
              <w:rPr>
                <w:rFonts w:eastAsia="Times New Roman" w:cs="Calibri"/>
                <w:color w:val="FFFFFF"/>
                <w:szCs w:val="24"/>
                <w:lang w:eastAsia="es-CR"/>
              </w:rPr>
              <w:t xml:space="preserve">Valor Razonable </w:t>
            </w:r>
          </w:p>
        </w:tc>
        <w:tc>
          <w:tcPr>
            <w:tcW w:w="2325" w:type="dxa"/>
            <w:tcBorders>
              <w:top w:val="nil"/>
              <w:left w:val="nil"/>
              <w:bottom w:val="single" w:sz="8" w:space="0" w:color="auto"/>
              <w:right w:val="single" w:sz="8" w:space="0" w:color="auto"/>
            </w:tcBorders>
            <w:shd w:val="clear" w:color="auto" w:fill="auto"/>
            <w:noWrap/>
            <w:vAlign w:val="center"/>
            <w:hideMark/>
          </w:tcPr>
          <w:p w14:paraId="0C874409" w14:textId="77777777" w:rsidR="00396CB4" w:rsidRPr="00756471" w:rsidRDefault="00396CB4" w:rsidP="00396CB4">
            <w:pPr>
              <w:spacing w:after="0" w:line="240" w:lineRule="auto"/>
              <w:jc w:val="center"/>
              <w:rPr>
                <w:rFonts w:eastAsia="Times New Roman" w:cs="Calibri"/>
                <w:color w:val="000000"/>
                <w:sz w:val="20"/>
                <w:szCs w:val="20"/>
                <w:lang w:eastAsia="es-CR"/>
              </w:rPr>
            </w:pPr>
            <w:r w:rsidRPr="00756471">
              <w:rPr>
                <w:rFonts w:ascii="Arial" w:eastAsia="Times New Roman" w:hAnsi="Arial" w:cs="Arial"/>
                <w:color w:val="000000"/>
                <w:sz w:val="20"/>
                <w:szCs w:val="20"/>
                <w:lang w:eastAsia="es-CR"/>
              </w:rPr>
              <w:t>₡</w:t>
            </w:r>
            <w:r w:rsidRPr="00756471">
              <w:rPr>
                <w:rFonts w:eastAsia="Times New Roman" w:cs="Calibri"/>
                <w:color w:val="000000"/>
                <w:sz w:val="20"/>
                <w:szCs w:val="20"/>
                <w:lang w:eastAsia="es-CR"/>
              </w:rPr>
              <w:t>0,00</w:t>
            </w:r>
          </w:p>
        </w:tc>
        <w:tc>
          <w:tcPr>
            <w:tcW w:w="2325" w:type="dxa"/>
            <w:tcBorders>
              <w:top w:val="nil"/>
              <w:left w:val="nil"/>
              <w:bottom w:val="single" w:sz="8" w:space="0" w:color="auto"/>
              <w:right w:val="single" w:sz="8" w:space="0" w:color="auto"/>
            </w:tcBorders>
            <w:shd w:val="clear" w:color="auto" w:fill="auto"/>
            <w:noWrap/>
            <w:vAlign w:val="center"/>
            <w:hideMark/>
          </w:tcPr>
          <w:p w14:paraId="3C49B522" w14:textId="77777777" w:rsidR="00396CB4" w:rsidRPr="00756471" w:rsidRDefault="00396CB4" w:rsidP="00396CB4">
            <w:pPr>
              <w:spacing w:after="0" w:line="240" w:lineRule="auto"/>
              <w:jc w:val="center"/>
              <w:rPr>
                <w:rFonts w:eastAsia="Times New Roman" w:cs="Calibri"/>
                <w:color w:val="000000"/>
                <w:sz w:val="20"/>
                <w:szCs w:val="20"/>
                <w:lang w:eastAsia="es-CR"/>
              </w:rPr>
            </w:pPr>
            <w:r w:rsidRPr="00756471">
              <w:rPr>
                <w:rFonts w:ascii="Arial" w:eastAsia="Times New Roman" w:hAnsi="Arial" w:cs="Arial"/>
                <w:color w:val="000000"/>
                <w:sz w:val="20"/>
                <w:szCs w:val="20"/>
                <w:lang w:eastAsia="es-CR"/>
              </w:rPr>
              <w:t>₡</w:t>
            </w:r>
            <w:r w:rsidRPr="00756471">
              <w:rPr>
                <w:rFonts w:eastAsia="Times New Roman" w:cs="Calibri"/>
                <w:color w:val="000000"/>
                <w:sz w:val="20"/>
                <w:szCs w:val="20"/>
                <w:lang w:eastAsia="es-CR"/>
              </w:rPr>
              <w:t>0,00</w:t>
            </w:r>
          </w:p>
        </w:tc>
      </w:tr>
    </w:tbl>
    <w:p w14:paraId="744ADA6C" w14:textId="7489369F" w:rsidR="004337DA" w:rsidRDefault="004337DA" w:rsidP="00FE51BD">
      <w:r w:rsidRPr="00756471">
        <w:rPr>
          <w:highlight w:val="yellow"/>
        </w:rPr>
        <w:fldChar w:fldCharType="end"/>
      </w:r>
    </w:p>
    <w:p w14:paraId="75DFDB95" w14:textId="568DB17B" w:rsidR="00763462" w:rsidRPr="002035F1" w:rsidRDefault="00763462" w:rsidP="00763462">
      <w:pPr>
        <w:spacing w:after="0" w:line="240" w:lineRule="auto"/>
        <w:rPr>
          <w:rFonts w:cs="Arial"/>
          <w:szCs w:val="24"/>
          <w:highlight w:val="yellow"/>
          <w:lang w:eastAsia="es-CR"/>
        </w:rPr>
      </w:pPr>
      <w:r w:rsidRPr="00496D50">
        <w:rPr>
          <w:rFonts w:cs="Arial"/>
          <w:szCs w:val="24"/>
          <w:lang w:eastAsia="es-CR"/>
        </w:rPr>
        <w:t xml:space="preserve">Al </w:t>
      </w:r>
      <w:r w:rsidR="00796636">
        <w:rPr>
          <w:rFonts w:cs="Arial"/>
          <w:szCs w:val="24"/>
          <w:lang w:eastAsia="es-CR"/>
        </w:rPr>
        <w:t>31</w:t>
      </w:r>
      <w:r w:rsidRPr="00496D50">
        <w:rPr>
          <w:rFonts w:cs="Arial"/>
          <w:szCs w:val="24"/>
          <w:lang w:eastAsia="es-CR"/>
        </w:rPr>
        <w:t xml:space="preserve"> de </w:t>
      </w:r>
      <w:r w:rsidR="00D64CF8">
        <w:rPr>
          <w:rFonts w:cs="Arial"/>
          <w:szCs w:val="24"/>
          <w:lang w:eastAsia="es-CR"/>
        </w:rPr>
        <w:t>diciembre</w:t>
      </w:r>
      <w:r w:rsidRPr="00496D50">
        <w:rPr>
          <w:rFonts w:cs="Arial"/>
          <w:szCs w:val="24"/>
          <w:lang w:eastAsia="es-CR"/>
        </w:rPr>
        <w:t xml:space="preserve"> de 2024 la Municipalidad posee activos financieros constituidos por Efectivo y Equivalentes de Efectivo por la suma de </w:t>
      </w:r>
      <w:r w:rsidRPr="00496D50">
        <w:rPr>
          <w:rFonts w:ascii="Arial" w:hAnsi="Arial" w:cs="Arial"/>
          <w:szCs w:val="24"/>
          <w:lang w:eastAsia="es-CR"/>
        </w:rPr>
        <w:t>₡</w:t>
      </w:r>
      <w:r w:rsidR="003C722F">
        <w:rPr>
          <w:rFonts w:cs="Arial"/>
          <w:szCs w:val="24"/>
          <w:lang w:eastAsia="es-CR"/>
        </w:rPr>
        <w:t xml:space="preserve">2 779 </w:t>
      </w:r>
      <w:r w:rsidR="00C231DF">
        <w:rPr>
          <w:rFonts w:cs="Arial"/>
          <w:szCs w:val="24"/>
          <w:lang w:eastAsia="es-CR"/>
        </w:rPr>
        <w:t>345,66</w:t>
      </w:r>
      <w:r w:rsidR="00513175">
        <w:rPr>
          <w:rFonts w:cs="Arial"/>
          <w:szCs w:val="24"/>
          <w:lang w:eastAsia="es-CR"/>
        </w:rPr>
        <w:t xml:space="preserve"> </w:t>
      </w:r>
      <w:r w:rsidRPr="00496D50">
        <w:rPr>
          <w:rFonts w:cs="Arial"/>
          <w:szCs w:val="24"/>
          <w:lang w:eastAsia="es-CR"/>
        </w:rPr>
        <w:t xml:space="preserve">miles de colones y Cuentas por Cobrar a Corto Plazo por un monto de </w:t>
      </w:r>
      <w:r w:rsidRPr="00496D50">
        <w:rPr>
          <w:rFonts w:ascii="Arial" w:hAnsi="Arial" w:cs="Arial"/>
          <w:szCs w:val="24"/>
          <w:lang w:eastAsia="es-CR"/>
        </w:rPr>
        <w:t>₡</w:t>
      </w:r>
      <w:r w:rsidR="00C231DF" w:rsidRPr="00C231DF">
        <w:t xml:space="preserve"> </w:t>
      </w:r>
      <w:r w:rsidR="00C231DF" w:rsidRPr="00C231DF">
        <w:rPr>
          <w:rFonts w:cs="Arial"/>
          <w:szCs w:val="24"/>
          <w:lang w:eastAsia="es-CR"/>
        </w:rPr>
        <w:t>789 317,39</w:t>
      </w:r>
      <w:r w:rsidR="00C231DF">
        <w:rPr>
          <w:rFonts w:cs="Arial"/>
          <w:szCs w:val="24"/>
          <w:lang w:eastAsia="es-CR"/>
        </w:rPr>
        <w:t xml:space="preserve"> </w:t>
      </w:r>
      <w:r w:rsidRPr="00496D50">
        <w:rPr>
          <w:rFonts w:cs="Arial"/>
          <w:szCs w:val="24"/>
          <w:lang w:eastAsia="es-CR"/>
        </w:rPr>
        <w:t xml:space="preserve">miles de colones (sobre esas Cuenta por Cobrar se estiman Previsiones para deterioro de cuentas por cobra por </w:t>
      </w:r>
      <w:r w:rsidRPr="00496D50">
        <w:rPr>
          <w:rFonts w:ascii="Arial" w:hAnsi="Arial" w:cs="Arial"/>
          <w:szCs w:val="24"/>
          <w:lang w:eastAsia="es-CR"/>
        </w:rPr>
        <w:t>₡</w:t>
      </w:r>
      <w:r w:rsidRPr="00496D50">
        <w:rPr>
          <w:rFonts w:cs="Arial"/>
          <w:szCs w:val="24"/>
          <w:lang w:eastAsia="es-CR"/>
        </w:rPr>
        <w:t xml:space="preserve">-175 377,90 miles). Por otra parte, poseía pasivos financieros constituidos por Deudas comerciales, sociales y fiscales y depósitos en garantía a Corto Plazo por un monto de </w:t>
      </w:r>
      <w:r w:rsidRPr="00496D50">
        <w:rPr>
          <w:rFonts w:ascii="Arial" w:hAnsi="Arial" w:cs="Arial"/>
          <w:szCs w:val="24"/>
          <w:lang w:eastAsia="es-CR"/>
        </w:rPr>
        <w:t>₡</w:t>
      </w:r>
      <w:r w:rsidR="003C722F">
        <w:rPr>
          <w:rFonts w:cs="Arial"/>
          <w:szCs w:val="24"/>
          <w:lang w:eastAsia="es-CR"/>
        </w:rPr>
        <w:t xml:space="preserve">90 </w:t>
      </w:r>
      <w:r w:rsidR="007E10AA">
        <w:rPr>
          <w:rFonts w:cs="Arial"/>
          <w:szCs w:val="24"/>
          <w:lang w:eastAsia="es-CR"/>
        </w:rPr>
        <w:t>793,69</w:t>
      </w:r>
      <w:r w:rsidRPr="00496D50">
        <w:rPr>
          <w:rFonts w:cs="Arial"/>
          <w:szCs w:val="24"/>
          <w:lang w:eastAsia="es-CR"/>
        </w:rPr>
        <w:t xml:space="preserve"> miles de colones, Transferencias por pagar a CP </w:t>
      </w:r>
      <w:r w:rsidRPr="00496D50">
        <w:rPr>
          <w:rFonts w:ascii="Arial" w:hAnsi="Arial" w:cs="Arial"/>
          <w:szCs w:val="24"/>
          <w:lang w:eastAsia="es-CR"/>
        </w:rPr>
        <w:t>₡</w:t>
      </w:r>
      <w:r w:rsidR="003C722F">
        <w:rPr>
          <w:rFonts w:cs="Arial"/>
          <w:szCs w:val="24"/>
          <w:lang w:eastAsia="es-CR"/>
        </w:rPr>
        <w:t xml:space="preserve">71 </w:t>
      </w:r>
      <w:r w:rsidR="007E10AA">
        <w:rPr>
          <w:rFonts w:cs="Arial"/>
          <w:szCs w:val="24"/>
          <w:lang w:eastAsia="es-CR"/>
        </w:rPr>
        <w:t xml:space="preserve">890,39 </w:t>
      </w:r>
      <w:r w:rsidRPr="00496D50">
        <w:rPr>
          <w:rFonts w:cs="Arial"/>
          <w:szCs w:val="24"/>
          <w:lang w:eastAsia="es-CR"/>
        </w:rPr>
        <w:t>y Deudas a Largo Plazo por l</w:t>
      </w:r>
      <w:r w:rsidR="007E10AA">
        <w:rPr>
          <w:rFonts w:cs="Arial"/>
          <w:szCs w:val="24"/>
          <w:lang w:eastAsia="es-CR"/>
        </w:rPr>
        <w:t xml:space="preserve">a suma de </w:t>
      </w:r>
      <w:r w:rsidRPr="00496D50">
        <w:rPr>
          <w:rFonts w:ascii="Arial" w:hAnsi="Arial" w:cs="Arial"/>
          <w:szCs w:val="24"/>
          <w:lang w:eastAsia="es-CR"/>
        </w:rPr>
        <w:t>₡</w:t>
      </w:r>
      <w:r w:rsidR="007E10AA" w:rsidRPr="007E10AA">
        <w:t xml:space="preserve"> </w:t>
      </w:r>
      <w:r w:rsidR="007E10AA" w:rsidRPr="007E10AA">
        <w:rPr>
          <w:rFonts w:cs="Arial"/>
          <w:szCs w:val="24"/>
          <w:lang w:eastAsia="es-CR"/>
        </w:rPr>
        <w:t>2 115 032,77</w:t>
      </w:r>
      <w:r w:rsidR="007E10AA">
        <w:rPr>
          <w:rFonts w:cs="Arial"/>
          <w:szCs w:val="24"/>
          <w:lang w:eastAsia="es-CR"/>
        </w:rPr>
        <w:t xml:space="preserve"> </w:t>
      </w:r>
      <w:r w:rsidRPr="00496D50">
        <w:rPr>
          <w:rFonts w:cs="Arial"/>
          <w:szCs w:val="24"/>
          <w:lang w:eastAsia="es-CR"/>
        </w:rPr>
        <w:t xml:space="preserve">miles de colones y Provisiones para beneficios a los empleados l/p </w:t>
      </w:r>
      <w:r w:rsidRPr="00496D50">
        <w:rPr>
          <w:rFonts w:ascii="Arial" w:hAnsi="Arial" w:cs="Arial"/>
          <w:szCs w:val="24"/>
          <w:lang w:eastAsia="es-CR"/>
        </w:rPr>
        <w:t>₡</w:t>
      </w:r>
      <w:r w:rsidR="00E91220" w:rsidRPr="00E91220">
        <w:t xml:space="preserve"> </w:t>
      </w:r>
      <w:r w:rsidR="00E91220" w:rsidRPr="00E91220">
        <w:rPr>
          <w:rFonts w:cs="Arial"/>
          <w:szCs w:val="24"/>
          <w:lang w:eastAsia="es-CR"/>
        </w:rPr>
        <w:t>62 941,86</w:t>
      </w:r>
      <w:r w:rsidR="00E91220">
        <w:rPr>
          <w:rFonts w:cs="Arial"/>
          <w:szCs w:val="24"/>
          <w:lang w:eastAsia="es-CR"/>
        </w:rPr>
        <w:t xml:space="preserve"> </w:t>
      </w:r>
      <w:r w:rsidRPr="00496D50">
        <w:rPr>
          <w:rFonts w:cs="Arial"/>
          <w:szCs w:val="24"/>
          <w:lang w:eastAsia="es-CR"/>
        </w:rPr>
        <w:t>mile</w:t>
      </w:r>
      <w:r w:rsidRPr="008007FD">
        <w:rPr>
          <w:rFonts w:cs="Arial"/>
          <w:szCs w:val="24"/>
          <w:lang w:eastAsia="es-CR"/>
        </w:rPr>
        <w:t>s.</w:t>
      </w:r>
    </w:p>
    <w:p w14:paraId="27F7CC7B" w14:textId="2DD11376" w:rsidR="00763462" w:rsidRDefault="00763462" w:rsidP="00763462">
      <w:pPr>
        <w:spacing w:after="0" w:line="240" w:lineRule="auto"/>
        <w:rPr>
          <w:rFonts w:eastAsia="Times New Roman" w:cs="Calibri"/>
          <w:color w:val="000000"/>
          <w:sz w:val="22"/>
        </w:rPr>
      </w:pPr>
      <w:r w:rsidRPr="00B4259E">
        <w:rPr>
          <w:rFonts w:cs="Arial"/>
          <w:szCs w:val="24"/>
          <w:lang w:eastAsia="es-CR"/>
        </w:rPr>
        <w:t>Es pertinente indicar, que la Municipalidad de Buenos Aires tiene suscrito con el Instituto de Fomento y Asesoría Municipal la operación</w:t>
      </w:r>
      <w:r w:rsidR="008007FD">
        <w:rPr>
          <w:rFonts w:cs="Arial"/>
          <w:szCs w:val="24"/>
          <w:lang w:eastAsia="es-CR"/>
        </w:rPr>
        <w:t>,</w:t>
      </w:r>
      <w:r w:rsidRPr="00B4259E">
        <w:rPr>
          <w:rFonts w:cs="Arial"/>
          <w:szCs w:val="24"/>
          <w:lang w:eastAsia="es-CR"/>
        </w:rPr>
        <w:t xml:space="preserve"> </w:t>
      </w:r>
      <w:r w:rsidR="008007FD" w:rsidRPr="00B4259E">
        <w:rPr>
          <w:rFonts w:cs="Arial"/>
          <w:szCs w:val="24"/>
          <w:lang w:eastAsia="es-CR"/>
        </w:rPr>
        <w:t>N.º</w:t>
      </w:r>
      <w:r w:rsidRPr="00B4259E">
        <w:rPr>
          <w:rFonts w:cs="Arial"/>
          <w:szCs w:val="24"/>
          <w:lang w:eastAsia="es-CR"/>
        </w:rPr>
        <w:t xml:space="preserve"> 6-CVL-1457-0718 para el mejoramiento de la red vial cantonal, compra de maquinaria, inventario de vías y estudios de pre-inversión para la construcción del plantel municipal y oficinas de la Unidad Técnica de Gestión Vial, según contrato de préstamo suscrito el 19 de enero de 2019. </w:t>
      </w:r>
      <w:r w:rsidRPr="00B4259E">
        <w:rPr>
          <w:rFonts w:cs="Arial"/>
          <w:szCs w:val="24"/>
        </w:rPr>
        <w:t xml:space="preserve">El contrato de préstamo es por </w:t>
      </w:r>
      <w:r w:rsidRPr="00B4259E">
        <w:rPr>
          <w:rFonts w:ascii="Arial" w:hAnsi="Arial" w:cs="Arial"/>
          <w:szCs w:val="24"/>
        </w:rPr>
        <w:t>₡</w:t>
      </w:r>
      <w:r w:rsidRPr="00B4259E">
        <w:rPr>
          <w:rFonts w:cs="Arial"/>
          <w:szCs w:val="24"/>
        </w:rPr>
        <w:t xml:space="preserve">3 563 088,50. tiene un plazo de amortización y del préstamo de 7 años; pagadero en 28 cuotas trimestrales. La tasa de interés ordinaria es del 7% anual fija sobre saldos durante toda la vida del crédito.  La cláusula sétima del contrato establece que los desembolsos se girarán en tractos, directamente a la Municipalidad a solicitud del representante legal de está. Al </w:t>
      </w:r>
      <w:r w:rsidR="00796636">
        <w:rPr>
          <w:rFonts w:cs="Arial"/>
          <w:szCs w:val="24"/>
        </w:rPr>
        <w:t>31</w:t>
      </w:r>
      <w:r w:rsidRPr="00B4259E">
        <w:rPr>
          <w:rFonts w:cs="Arial"/>
          <w:szCs w:val="24"/>
        </w:rPr>
        <w:t xml:space="preserve"> de </w:t>
      </w:r>
      <w:r w:rsidR="00D64CF8">
        <w:rPr>
          <w:rFonts w:cs="Arial"/>
          <w:szCs w:val="24"/>
        </w:rPr>
        <w:t>diciembre</w:t>
      </w:r>
      <w:r w:rsidRPr="00B4259E">
        <w:rPr>
          <w:rFonts w:cs="Arial"/>
          <w:szCs w:val="24"/>
        </w:rPr>
        <w:t xml:space="preserve"> de 2024, </w:t>
      </w:r>
      <w:r w:rsidRPr="00B4259E">
        <w:rPr>
          <w:rFonts w:eastAsiaTheme="minorEastAsia" w:cs="Arial Narrow"/>
          <w:color w:val="000000"/>
          <w:szCs w:val="24"/>
        </w:rPr>
        <w:t>l</w:t>
      </w:r>
      <w:r w:rsidRPr="00B4259E">
        <w:rPr>
          <w:rFonts w:cs="Arial"/>
          <w:szCs w:val="24"/>
        </w:rPr>
        <w:t xml:space="preserve">a Municipalidad adeuda </w:t>
      </w:r>
      <w:r w:rsidRPr="00B4259E">
        <w:rPr>
          <w:rFonts w:ascii="Arial" w:hAnsi="Arial" w:cs="Arial"/>
          <w:szCs w:val="24"/>
        </w:rPr>
        <w:t>₡</w:t>
      </w:r>
      <w:r w:rsidR="003C722F" w:rsidRPr="007E10AA">
        <w:rPr>
          <w:rFonts w:cs="Arial"/>
          <w:szCs w:val="24"/>
          <w:lang w:eastAsia="es-CR"/>
        </w:rPr>
        <w:t>2 115 032,77</w:t>
      </w:r>
      <w:r w:rsidR="003C722F">
        <w:rPr>
          <w:rFonts w:cs="Arial"/>
          <w:szCs w:val="24"/>
          <w:lang w:eastAsia="es-CR"/>
        </w:rPr>
        <w:t xml:space="preserve"> </w:t>
      </w:r>
      <w:r w:rsidRPr="00B4259E">
        <w:rPr>
          <w:rFonts w:cs="Arial"/>
          <w:szCs w:val="24"/>
        </w:rPr>
        <w:t>miles de colones por concepto del préstamo mencionado</w:t>
      </w:r>
      <w:r w:rsidRPr="00B4259E">
        <w:rPr>
          <w:rFonts w:eastAsia="Times New Roman" w:cs="Calibri"/>
          <w:color w:val="000000"/>
          <w:sz w:val="22"/>
        </w:rPr>
        <w:t>.</w:t>
      </w:r>
    </w:p>
    <w:p w14:paraId="05AAA755" w14:textId="77777777" w:rsidR="00513175" w:rsidRDefault="00513175" w:rsidP="00763462">
      <w:pPr>
        <w:spacing w:after="0" w:line="240" w:lineRule="auto"/>
        <w:rPr>
          <w:rFonts w:eastAsia="Times New Roman" w:cs="Calibri"/>
          <w:color w:val="000000"/>
          <w:sz w:val="22"/>
        </w:rPr>
      </w:pPr>
    </w:p>
    <w:p w14:paraId="686C4D25" w14:textId="77777777" w:rsidR="00763462" w:rsidRPr="00680DAC" w:rsidRDefault="00763462" w:rsidP="00763462">
      <w:pPr>
        <w:rPr>
          <w:b/>
          <w:u w:val="single"/>
          <w:lang w:eastAsia="es-CR"/>
        </w:rPr>
      </w:pPr>
      <w:r w:rsidRPr="00680DAC">
        <w:rPr>
          <w:b/>
          <w:u w:val="single"/>
          <w:lang w:eastAsia="es-CR"/>
        </w:rPr>
        <w:t>Revelar reclasificaciones de Activo Financiero:</w:t>
      </w:r>
    </w:p>
    <w:p w14:paraId="1DD862B4" w14:textId="77777777" w:rsidR="00763462" w:rsidRDefault="00763462" w:rsidP="00763462">
      <w:pPr>
        <w:rPr>
          <w:b/>
          <w:u w:val="single"/>
          <w:lang w:eastAsia="es-CR"/>
        </w:rPr>
      </w:pPr>
      <w:r w:rsidRPr="00A319F3">
        <w:rPr>
          <w:szCs w:val="24"/>
        </w:rPr>
        <w:t>Durante el periodo ningún activo financiero fue objeto de reclasificación</w:t>
      </w:r>
      <w:r w:rsidRPr="00680DAC">
        <w:rPr>
          <w:b/>
          <w:u w:val="single"/>
          <w:lang w:eastAsia="es-CR"/>
        </w:rPr>
        <w:t xml:space="preserve"> </w:t>
      </w:r>
    </w:p>
    <w:p w14:paraId="114F5A33" w14:textId="77777777" w:rsidR="00763462" w:rsidRPr="00680DAC" w:rsidRDefault="00763462" w:rsidP="00763462">
      <w:pPr>
        <w:rPr>
          <w:b/>
          <w:u w:val="single"/>
          <w:lang w:eastAsia="es-CR"/>
        </w:rPr>
      </w:pPr>
      <w:r w:rsidRPr="00680DAC">
        <w:rPr>
          <w:b/>
          <w:u w:val="single"/>
          <w:lang w:eastAsia="es-CR"/>
        </w:rPr>
        <w:t>Revelar aspectos de Garantía Colateral:</w:t>
      </w:r>
    </w:p>
    <w:p w14:paraId="2C4422F5" w14:textId="77777777" w:rsidR="00763462" w:rsidRPr="00A319F3" w:rsidRDefault="00763462" w:rsidP="00763462">
      <w:pPr>
        <w:spacing w:line="240" w:lineRule="auto"/>
        <w:ind w:right="51"/>
        <w:rPr>
          <w:szCs w:val="24"/>
        </w:rPr>
      </w:pPr>
      <w:r w:rsidRPr="00A319F3">
        <w:rPr>
          <w:szCs w:val="24"/>
        </w:rPr>
        <w:t xml:space="preserve">La Municipalidad no posee instrumentos financieros con esta </w:t>
      </w:r>
      <w:r>
        <w:rPr>
          <w:szCs w:val="24"/>
        </w:rPr>
        <w:t xml:space="preserve">característica. </w:t>
      </w:r>
      <w:r w:rsidRPr="00A319F3">
        <w:rPr>
          <w:szCs w:val="24"/>
        </w:rPr>
        <w:t>Los activos financieros (efectivo y equivalentes de efectivo; cuentas por cobrar por servicios prestados, impuestos y arrendamientos), que posee la Municipalidad no cuentan con ningún tipo de cobertura colateral</w:t>
      </w:r>
    </w:p>
    <w:p w14:paraId="4CFDCEF8" w14:textId="77777777" w:rsidR="00763462" w:rsidRPr="00680DAC" w:rsidRDefault="00763462" w:rsidP="00763462">
      <w:pPr>
        <w:rPr>
          <w:b/>
          <w:u w:val="single"/>
          <w:lang w:eastAsia="es-CR"/>
        </w:rPr>
      </w:pPr>
      <w:r w:rsidRPr="00680DAC">
        <w:rPr>
          <w:b/>
          <w:u w:val="single"/>
          <w:lang w:eastAsia="es-CR"/>
        </w:rPr>
        <w:t>Revelar Instrumentos Financieros compuestos con múltiples derivados implícitos:</w:t>
      </w:r>
    </w:p>
    <w:p w14:paraId="3FF9E240" w14:textId="77777777" w:rsidR="00763462" w:rsidRPr="00A319F3" w:rsidRDefault="00763462" w:rsidP="00763462">
      <w:pPr>
        <w:spacing w:line="240" w:lineRule="auto"/>
        <w:ind w:right="51"/>
        <w:rPr>
          <w:szCs w:val="24"/>
        </w:rPr>
      </w:pPr>
      <w:r w:rsidRPr="00A319F3">
        <w:rPr>
          <w:szCs w:val="24"/>
        </w:rPr>
        <w:t>La municipalidad no posee Instrumentos financieros compuestos con múltiples derivados implícitos por lo que no se revela nada al respecto.</w:t>
      </w:r>
    </w:p>
    <w:p w14:paraId="70698923" w14:textId="77777777" w:rsidR="00763462" w:rsidRPr="00680DAC" w:rsidRDefault="00763462" w:rsidP="00763462">
      <w:pPr>
        <w:rPr>
          <w:b/>
          <w:u w:val="single"/>
          <w:lang w:eastAsia="es-CR"/>
        </w:rPr>
      </w:pPr>
      <w:r w:rsidRPr="00680DAC">
        <w:rPr>
          <w:b/>
          <w:u w:val="single"/>
          <w:lang w:eastAsia="es-CR"/>
        </w:rPr>
        <w:t>Revelar Valor Razonable de Activos y Pasivos Financieros:</w:t>
      </w:r>
    </w:p>
    <w:p w14:paraId="1BBF0664" w14:textId="77777777" w:rsidR="00763462" w:rsidRPr="00A319F3" w:rsidRDefault="00763462" w:rsidP="00763462">
      <w:pPr>
        <w:spacing w:line="240" w:lineRule="auto"/>
        <w:ind w:right="51"/>
        <w:rPr>
          <w:szCs w:val="24"/>
        </w:rPr>
      </w:pPr>
      <w:r w:rsidRPr="00A319F3">
        <w:rPr>
          <w:szCs w:val="24"/>
        </w:rPr>
        <w:lastRenderedPageBreak/>
        <w:t>Los activos financieros que posee la Municipalidad son originados por lo puesto al cobro por conceptos de servicios y tributos municipales establecidos por el Código Municipal, los cuales son exclusivos del quehacer municipal, por lo que no dependen de un mercado en competencia y constituyen transacciones de corto plazo y son registrados por el valor establecido por el ayuntamiento según lo establece dicha normativa.</w:t>
      </w:r>
    </w:p>
    <w:p w14:paraId="0A64FBC7" w14:textId="77777777" w:rsidR="00763462" w:rsidRDefault="00763462" w:rsidP="00763462">
      <w:pPr>
        <w:spacing w:after="0" w:line="240" w:lineRule="auto"/>
        <w:ind w:right="51"/>
        <w:rPr>
          <w:szCs w:val="24"/>
        </w:rPr>
      </w:pPr>
      <w:r w:rsidRPr="00A319F3">
        <w:rPr>
          <w:szCs w:val="24"/>
        </w:rPr>
        <w:t>Los pasivos financieros están compuestos por deudas de corto plazo, las cuales están registradas al valor razonable al momento de adquirir la obligación que en esencia son transacciones de corto plazo. Además, la Municipalidad tiene un préstamo que contrajo con el IFAM, el cual se registró al valor razonable, no obstante, se está solicitando la información respectiva al IFAM para establecer su costo amortizado a una tasa efectivo en el futuro.</w:t>
      </w:r>
    </w:p>
    <w:p w14:paraId="5F1BC5C7" w14:textId="77777777" w:rsidR="00763462" w:rsidRDefault="00763462" w:rsidP="00763462">
      <w:pPr>
        <w:rPr>
          <w:b/>
          <w:u w:val="single"/>
          <w:lang w:eastAsia="es-CR"/>
        </w:rPr>
      </w:pPr>
    </w:p>
    <w:p w14:paraId="477F3DE2" w14:textId="77777777" w:rsidR="00763462" w:rsidRPr="00680DAC" w:rsidRDefault="00763462" w:rsidP="00763462">
      <w:pPr>
        <w:rPr>
          <w:b/>
          <w:u w:val="single"/>
          <w:lang w:eastAsia="es-CR"/>
        </w:rPr>
      </w:pPr>
      <w:r w:rsidRPr="00680DAC">
        <w:rPr>
          <w:b/>
          <w:u w:val="single"/>
          <w:lang w:eastAsia="es-CR"/>
        </w:rPr>
        <w:t>Revelar naturaleza y alcance de los riesgos que surgen de los Instrumentos Financieros:</w:t>
      </w:r>
    </w:p>
    <w:p w14:paraId="7775D1BA" w14:textId="77777777" w:rsidR="00763462" w:rsidRPr="009165F3" w:rsidRDefault="00763462" w:rsidP="00763462">
      <w:pPr>
        <w:spacing w:line="240" w:lineRule="auto"/>
        <w:ind w:right="51"/>
        <w:rPr>
          <w:szCs w:val="24"/>
        </w:rPr>
      </w:pPr>
      <w:r w:rsidRPr="009165F3">
        <w:rPr>
          <w:szCs w:val="24"/>
        </w:rPr>
        <w:t>De acuerdo con el análisis realizado de los riesgos a los que están expuestos los instrumentos financieros se estableció lo siguiente:</w:t>
      </w:r>
    </w:p>
    <w:p w14:paraId="7DFBC979" w14:textId="77777777" w:rsidR="00763462" w:rsidRPr="009165F3" w:rsidRDefault="00763462" w:rsidP="00763462">
      <w:pPr>
        <w:spacing w:line="240" w:lineRule="auto"/>
        <w:ind w:right="51"/>
        <w:rPr>
          <w:szCs w:val="24"/>
        </w:rPr>
      </w:pPr>
      <w:r w:rsidRPr="009165F3">
        <w:rPr>
          <w:b/>
          <w:bCs/>
          <w:szCs w:val="24"/>
          <w:lang w:eastAsia="es-CR"/>
        </w:rPr>
        <w:t>Riesgo de Mercado.</w:t>
      </w:r>
      <w:r w:rsidRPr="009165F3">
        <w:rPr>
          <w:szCs w:val="24"/>
        </w:rPr>
        <w:t xml:space="preserve"> El riesgo de mercado es bajo, ya que como se indicó anteriormente los precios de los servicios e impuestos que cobra la Municipalidad no son producto de oferta y demanda de mercado. Además, porque las variaciones en el tipo de cambio de moneda extranjera y en los índices de precios no impactan los precios de las tasas y los impuestos que cobra la Municipalidad de manera importante; asimismo, la tasa de intereses es fija y está establecida en el Código Municipal.</w:t>
      </w:r>
    </w:p>
    <w:p w14:paraId="3F6D1F5E" w14:textId="05C9780A" w:rsidR="00763462" w:rsidRPr="009165F3" w:rsidRDefault="00763462" w:rsidP="00763462">
      <w:pPr>
        <w:spacing w:line="240" w:lineRule="auto"/>
        <w:ind w:right="51"/>
        <w:rPr>
          <w:szCs w:val="24"/>
        </w:rPr>
      </w:pPr>
      <w:r w:rsidRPr="009165F3">
        <w:rPr>
          <w:szCs w:val="24"/>
        </w:rPr>
        <w:t>Por otra parte, los pasivos financieros que están constituidos por deudas de muy corto plazo (</w:t>
      </w:r>
      <w:r w:rsidR="00796636">
        <w:rPr>
          <w:szCs w:val="24"/>
        </w:rPr>
        <w:t>31</w:t>
      </w:r>
      <w:r w:rsidRPr="009165F3">
        <w:rPr>
          <w:szCs w:val="24"/>
        </w:rPr>
        <w:t xml:space="preserve"> días) y el préstamo con el IFAM están expuestas a riesgos de variaciones de tipo de cambio, tasas de interés y variaciones de precios bajos por las condiciones en que se contraen, además en el caso del préstamo como se indicó la tasa de interés es fija del 7% por el plazo del crédito.</w:t>
      </w:r>
    </w:p>
    <w:p w14:paraId="58592F17" w14:textId="77777777" w:rsidR="00763462" w:rsidRPr="004D3EFA" w:rsidRDefault="00763462" w:rsidP="00763462">
      <w:pPr>
        <w:spacing w:before="240" w:after="0" w:line="240" w:lineRule="auto"/>
        <w:rPr>
          <w:rFonts w:cs="Arial"/>
          <w:color w:val="202124"/>
          <w:shd w:val="clear" w:color="auto" w:fill="FFFFFF"/>
        </w:rPr>
      </w:pPr>
      <w:r w:rsidRPr="004D3EFA">
        <w:rPr>
          <w:rFonts w:cs="Arial"/>
          <w:b/>
          <w:bCs/>
          <w:color w:val="202124"/>
          <w:shd w:val="clear" w:color="auto" w:fill="FFFFFF"/>
        </w:rPr>
        <w:t>Riesgo de Crédito.</w:t>
      </w:r>
      <w:r w:rsidRPr="004D3EFA">
        <w:rPr>
          <w:rFonts w:cs="Arial"/>
          <w:color w:val="202124"/>
          <w:shd w:val="clear" w:color="auto" w:fill="FFFFFF"/>
        </w:rPr>
        <w:t xml:space="preserve"> Este riesgo se considera bajo ya que la Municipalidad cuenta con los mecanismos legales requeridos (cobro administrativo, judicial e inclusive las deudas por tributos municipales constituirán hipoteca legal preferente), que se constituyen en una especie de garantía específica, que les posibilitan tomar las acciones pertinentes para minimizar la pérdida potencial por falta de pago de los contribuyentes.</w:t>
      </w:r>
    </w:p>
    <w:p w14:paraId="70706C4E" w14:textId="77777777" w:rsidR="00763462" w:rsidRPr="004D3EFA" w:rsidRDefault="00763462" w:rsidP="00763462">
      <w:pPr>
        <w:spacing w:before="240" w:after="240" w:line="240" w:lineRule="auto"/>
        <w:rPr>
          <w:rFonts w:cs="Arial"/>
          <w:color w:val="202124"/>
          <w:shd w:val="clear" w:color="auto" w:fill="FFFFFF"/>
        </w:rPr>
      </w:pPr>
      <w:r w:rsidRPr="004D3EFA">
        <w:rPr>
          <w:rFonts w:cs="Arial"/>
          <w:b/>
          <w:bCs/>
          <w:color w:val="202124"/>
          <w:shd w:val="clear" w:color="auto" w:fill="FFFFFF"/>
        </w:rPr>
        <w:t>Riesgo Operativo.</w:t>
      </w:r>
      <w:r w:rsidRPr="004D3EFA">
        <w:rPr>
          <w:rFonts w:cs="Arial"/>
          <w:color w:val="202124"/>
          <w:shd w:val="clear" w:color="auto" w:fill="FFFFFF"/>
        </w:rPr>
        <w:t xml:space="preserve"> La Municipalidad tiene establecidas una segregación de funciones y responsabilidades, acorde con los procesos diferentes procesos que se ejecutan, asimismo se está efectuando un proceso de revisión de los procedimientos de trabajo existentes y de implementación de los que se adolezca incluyendo los controles operativos. Además, se está implementando un sistema integrado de información computadorizado. Todo lo anterior, con el fin de minimizar a un nivel aceptable la redundancia producida por fallas o deficiencias en los sistemas de información, en los controles internos o por errores en el procesamiento de las operaciones, así como las fallas humanas, el fraude y otras situaciones que impidan continuar con las operaciones o que reduzcan la capacidad operativa.</w:t>
      </w:r>
    </w:p>
    <w:p w14:paraId="23F7DC35" w14:textId="77777777" w:rsidR="00763462" w:rsidRDefault="00763462" w:rsidP="00763462">
      <w:pPr>
        <w:spacing w:after="240" w:line="240" w:lineRule="auto"/>
        <w:rPr>
          <w:rFonts w:cs="Arial"/>
          <w:color w:val="202124"/>
          <w:shd w:val="clear" w:color="auto" w:fill="FFFFFF"/>
        </w:rPr>
      </w:pPr>
      <w:r w:rsidRPr="004D3EFA">
        <w:rPr>
          <w:rFonts w:cs="Arial"/>
          <w:b/>
          <w:bCs/>
          <w:color w:val="202124"/>
          <w:shd w:val="clear" w:color="auto" w:fill="FFFFFF"/>
        </w:rPr>
        <w:t>Riesgo Legal.</w:t>
      </w:r>
      <w:r w:rsidRPr="004D3EFA">
        <w:rPr>
          <w:rFonts w:cs="Arial"/>
          <w:color w:val="202124"/>
          <w:shd w:val="clear" w:color="auto" w:fill="FFFFFF"/>
        </w:rPr>
        <w:t xml:space="preserve"> Este riesgo se considera bajo por cuanto los actos (emisión de resoluciones administrativas y de tipo legal) que ejecuta la Municipalidad, son respaldados con el correspondiente criterio legal, emitido por la Dirección Jurídica del Ayuntamiento. También, se tiene la práctica de </w:t>
      </w:r>
      <w:r w:rsidRPr="004D3EFA">
        <w:rPr>
          <w:rFonts w:cs="Arial"/>
          <w:color w:val="202124"/>
          <w:shd w:val="clear" w:color="auto" w:fill="FFFFFF"/>
        </w:rPr>
        <w:lastRenderedPageBreak/>
        <w:t>solicitar a la Dirección Jurídica la interpretación de las disposiciones legales previo a su aplicación y sobre todo en caso de duda para evitar dejar a la institución en una situación comprometida u ocasionar costos adicionales, por incumplimiento de alguna ley</w:t>
      </w:r>
      <w:r>
        <w:rPr>
          <w:rFonts w:cs="Arial"/>
          <w:color w:val="202124"/>
          <w:shd w:val="clear" w:color="auto" w:fill="FFFFFF"/>
        </w:rPr>
        <w:t>.</w:t>
      </w:r>
    </w:p>
    <w:p w14:paraId="76C79812" w14:textId="77777777" w:rsidR="00763462" w:rsidRPr="00680DAC" w:rsidRDefault="00763462" w:rsidP="00763462">
      <w:pPr>
        <w:rPr>
          <w:b/>
          <w:u w:val="single"/>
          <w:lang w:eastAsia="es-CR"/>
        </w:rPr>
      </w:pPr>
      <w:r w:rsidRPr="00680DAC">
        <w:rPr>
          <w:b/>
          <w:u w:val="single"/>
          <w:lang w:eastAsia="es-CR"/>
        </w:rPr>
        <w:t>Revelar análisis de sensibilidad:</w:t>
      </w:r>
    </w:p>
    <w:p w14:paraId="6221DAEE" w14:textId="77777777" w:rsidR="00763462" w:rsidRPr="004D3EFA" w:rsidRDefault="00763462" w:rsidP="00763462">
      <w:pPr>
        <w:spacing w:before="240" w:after="0" w:line="240" w:lineRule="auto"/>
        <w:rPr>
          <w:rFonts w:cs="Arial"/>
          <w:color w:val="202124"/>
          <w:shd w:val="clear" w:color="auto" w:fill="FFFFFF"/>
        </w:rPr>
      </w:pPr>
      <w:r w:rsidRPr="004D3EFA">
        <w:rPr>
          <w:rFonts w:cs="Arial"/>
          <w:color w:val="202124"/>
          <w:shd w:val="clear" w:color="auto" w:fill="FFFFFF"/>
        </w:rPr>
        <w:t>Periódicamente y para efectos de elaborar los presupuestos municipales se realiza un análisis de los flujos de efectivo que ingresaran y de las necesidades de liquidez que genera el cumplimiento de las obligaciones municipales (prestación de servicios de calidad y oportunos a los habitantes del Cantón), establecidas en la Constitución Política, el Código Municipal y otras leyes.</w:t>
      </w:r>
    </w:p>
    <w:p w14:paraId="47D8C7FC" w14:textId="77777777" w:rsidR="00763462" w:rsidRDefault="00763462" w:rsidP="00763462">
      <w:pPr>
        <w:rPr>
          <w:rFonts w:eastAsia="Calibri"/>
        </w:rPr>
      </w:pPr>
    </w:p>
    <w:p w14:paraId="627CDB1F" w14:textId="5D13F183" w:rsidR="00763462" w:rsidRPr="00680DAC" w:rsidRDefault="00763462" w:rsidP="00763462">
      <w:pPr>
        <w:rPr>
          <w:rFonts w:eastAsia="Calibri"/>
        </w:rPr>
      </w:pPr>
      <w:r w:rsidRPr="00680DAC">
        <w:rPr>
          <w:rFonts w:eastAsia="Calibri"/>
        </w:rPr>
        <w:t xml:space="preserve">El responsable contable deberá también revelar información considerando lo dispuesto en el párrafo 75 de la NICSP 1 referente a la NICSP </w:t>
      </w:r>
      <w:r w:rsidR="00796636">
        <w:rPr>
          <w:rFonts w:eastAsia="Calibri"/>
        </w:rPr>
        <w:t>31</w:t>
      </w:r>
      <w:r w:rsidRPr="00680DAC">
        <w:rPr>
          <w:rFonts w:eastAsia="Calibri"/>
        </w:rPr>
        <w:t xml:space="preserve"> Instrumentos Financieros.</w:t>
      </w:r>
    </w:p>
    <w:p w14:paraId="6AEF2686" w14:textId="682B0E51" w:rsidR="00763462" w:rsidRPr="00A606BF" w:rsidRDefault="00763462" w:rsidP="00763462">
      <w:pPr>
        <w:rPr>
          <w:rFonts w:eastAsia="Calibri"/>
          <w:i/>
        </w:rPr>
      </w:pPr>
      <w:r w:rsidRPr="00680DAC">
        <w:rPr>
          <w:rFonts w:eastAsia="Calibri"/>
          <w:i/>
          <w:lang w:val="es-MX"/>
        </w:rPr>
        <w:t>“</w:t>
      </w:r>
      <w:r w:rsidRPr="00680DAC">
        <w:rPr>
          <w:rFonts w:eastAsia="Calibri"/>
          <w:i/>
        </w:rPr>
        <w:t xml:space="preserve">75. La información sobre las fechas esperadas de realización de los activos y pasivos es útil para evaluar la liquidez y la solvencia de una entidad. La NICSP </w:t>
      </w:r>
      <w:r w:rsidR="00796636">
        <w:rPr>
          <w:rFonts w:eastAsia="Calibri"/>
          <w:i/>
        </w:rPr>
        <w:t>31</w:t>
      </w:r>
      <w:r w:rsidRPr="00680DAC">
        <w:rPr>
          <w:rFonts w:eastAsia="Calibri"/>
          <w:i/>
        </w:rPr>
        <w:t>, Instrumentos Financieros: Información a Revelar, requiere la revelación de información acerca de las fechas de vencimiento de los activos y pasivos financieros. Los activos financieros incluyen las cuentas de deudores comerciales y otras cuentas por cobrar, y los pasivos financieros las cuentas de acreedores comerciales y otras cuentas por pagar. También será de utilidad la información sobre las fechas esperadas de recuperación y liquidación de los activos y pasivos no monetarios, tales como inventarios y provisiones, con independencia de que los activos y pasivos se clasifiquen como partidas corrientes o no corrientes.”</w:t>
      </w:r>
    </w:p>
    <w:tbl>
      <w:tblPr>
        <w:tblW w:w="10207" w:type="dxa"/>
        <w:tblInd w:w="-709" w:type="dxa"/>
        <w:tblCellMar>
          <w:left w:w="70" w:type="dxa"/>
          <w:right w:w="70" w:type="dxa"/>
        </w:tblCellMar>
        <w:tblLook w:val="04A0" w:firstRow="1" w:lastRow="0" w:firstColumn="1" w:lastColumn="0" w:noHBand="0" w:noVBand="1"/>
      </w:tblPr>
      <w:tblGrid>
        <w:gridCol w:w="779"/>
        <w:gridCol w:w="1883"/>
        <w:gridCol w:w="1150"/>
        <w:gridCol w:w="880"/>
        <w:gridCol w:w="904"/>
        <w:gridCol w:w="2077"/>
        <w:gridCol w:w="974"/>
        <w:gridCol w:w="1560"/>
      </w:tblGrid>
      <w:tr w:rsidR="00763462" w:rsidRPr="00680DAC" w14:paraId="3E00A9A5" w14:textId="77777777" w:rsidTr="002A1533">
        <w:trPr>
          <w:trHeight w:val="90"/>
        </w:trPr>
        <w:tc>
          <w:tcPr>
            <w:tcW w:w="10207" w:type="dxa"/>
            <w:gridSpan w:val="8"/>
            <w:tcBorders>
              <w:top w:val="nil"/>
              <w:left w:val="nil"/>
              <w:bottom w:val="single" w:sz="8" w:space="0" w:color="auto"/>
              <w:right w:val="nil"/>
            </w:tcBorders>
            <w:shd w:val="clear" w:color="000000" w:fill="1F3864"/>
            <w:vAlign w:val="center"/>
            <w:hideMark/>
          </w:tcPr>
          <w:p w14:paraId="73A5E2F4" w14:textId="77777777" w:rsidR="00763462" w:rsidRPr="00680DAC" w:rsidRDefault="00763462" w:rsidP="0061790F">
            <w:pPr>
              <w:spacing w:after="0" w:line="240" w:lineRule="auto"/>
              <w:jc w:val="center"/>
              <w:rPr>
                <w:rFonts w:eastAsia="Times New Roman" w:cs="Calibri"/>
                <w:color w:val="FFFFFF"/>
                <w:sz w:val="16"/>
                <w:szCs w:val="20"/>
                <w:lang w:eastAsia="es-CR"/>
              </w:rPr>
            </w:pPr>
            <w:r w:rsidRPr="00680DAC">
              <w:rPr>
                <w:rFonts w:eastAsia="Times New Roman" w:cs="Calibri"/>
                <w:color w:val="FFFFFF"/>
                <w:sz w:val="16"/>
                <w:szCs w:val="20"/>
                <w:lang w:eastAsia="es-CR"/>
              </w:rPr>
              <w:t>ACTIVOS FINANCIEROS</w:t>
            </w:r>
          </w:p>
        </w:tc>
      </w:tr>
      <w:tr w:rsidR="00763462" w:rsidRPr="00680DAC" w14:paraId="45CA1E56" w14:textId="77777777" w:rsidTr="002A1533">
        <w:trPr>
          <w:trHeight w:val="85"/>
        </w:trPr>
        <w:tc>
          <w:tcPr>
            <w:tcW w:w="779" w:type="dxa"/>
            <w:tcBorders>
              <w:top w:val="nil"/>
              <w:left w:val="single" w:sz="8" w:space="0" w:color="auto"/>
              <w:bottom w:val="single" w:sz="4" w:space="0" w:color="auto"/>
              <w:right w:val="single" w:sz="8" w:space="0" w:color="auto"/>
            </w:tcBorders>
            <w:shd w:val="clear" w:color="000000" w:fill="1F3864"/>
            <w:vAlign w:val="center"/>
            <w:hideMark/>
          </w:tcPr>
          <w:p w14:paraId="3A78F449" w14:textId="77777777" w:rsidR="00763462" w:rsidRPr="00680DAC" w:rsidRDefault="00763462" w:rsidP="0061790F">
            <w:pPr>
              <w:spacing w:after="0" w:line="240" w:lineRule="auto"/>
              <w:jc w:val="center"/>
              <w:rPr>
                <w:rFonts w:eastAsia="Times New Roman" w:cs="Calibri"/>
                <w:color w:val="FFFFFF"/>
                <w:sz w:val="16"/>
                <w:szCs w:val="20"/>
                <w:lang w:eastAsia="es-CR"/>
              </w:rPr>
            </w:pPr>
            <w:r w:rsidRPr="00680DAC">
              <w:rPr>
                <w:rFonts w:eastAsia="Times New Roman" w:cs="Calibri"/>
                <w:color w:val="FFFFFF"/>
                <w:sz w:val="16"/>
                <w:szCs w:val="20"/>
                <w:lang w:eastAsia="es-CR"/>
              </w:rPr>
              <w:t>Cuenta</w:t>
            </w:r>
          </w:p>
        </w:tc>
        <w:tc>
          <w:tcPr>
            <w:tcW w:w="1883" w:type="dxa"/>
            <w:tcBorders>
              <w:top w:val="nil"/>
              <w:left w:val="nil"/>
              <w:bottom w:val="single" w:sz="4" w:space="0" w:color="auto"/>
              <w:right w:val="single" w:sz="8" w:space="0" w:color="auto"/>
            </w:tcBorders>
            <w:shd w:val="clear" w:color="000000" w:fill="1F3864"/>
            <w:vAlign w:val="center"/>
            <w:hideMark/>
          </w:tcPr>
          <w:p w14:paraId="4D406A16" w14:textId="77777777" w:rsidR="00763462" w:rsidRPr="00680DAC" w:rsidRDefault="00763462" w:rsidP="0061790F">
            <w:pPr>
              <w:spacing w:after="0" w:line="240" w:lineRule="auto"/>
              <w:jc w:val="center"/>
              <w:rPr>
                <w:rFonts w:eastAsia="Times New Roman" w:cs="Calibri"/>
                <w:color w:val="FFFFFF"/>
                <w:sz w:val="16"/>
                <w:szCs w:val="20"/>
                <w:lang w:eastAsia="es-CR"/>
              </w:rPr>
            </w:pPr>
            <w:r w:rsidRPr="00680DAC">
              <w:rPr>
                <w:rFonts w:eastAsia="Times New Roman" w:cs="Calibri"/>
                <w:color w:val="FFFFFF"/>
                <w:sz w:val="16"/>
                <w:szCs w:val="20"/>
                <w:lang w:eastAsia="es-CR"/>
              </w:rPr>
              <w:t xml:space="preserve">Detalle </w:t>
            </w:r>
          </w:p>
        </w:tc>
        <w:tc>
          <w:tcPr>
            <w:tcW w:w="1150" w:type="dxa"/>
            <w:tcBorders>
              <w:top w:val="nil"/>
              <w:left w:val="nil"/>
              <w:bottom w:val="single" w:sz="4" w:space="0" w:color="auto"/>
              <w:right w:val="single" w:sz="8" w:space="0" w:color="auto"/>
            </w:tcBorders>
            <w:shd w:val="clear" w:color="000000" w:fill="1F3864"/>
            <w:vAlign w:val="center"/>
            <w:hideMark/>
          </w:tcPr>
          <w:p w14:paraId="3B32B877" w14:textId="2FC59364" w:rsidR="00763462" w:rsidRPr="00680DAC" w:rsidRDefault="00763462" w:rsidP="0061790F">
            <w:pPr>
              <w:spacing w:after="0" w:line="240" w:lineRule="auto"/>
              <w:jc w:val="center"/>
              <w:rPr>
                <w:rFonts w:eastAsia="Times New Roman" w:cs="Calibri"/>
                <w:color w:val="FFFFFF"/>
                <w:sz w:val="16"/>
                <w:szCs w:val="20"/>
                <w:lang w:eastAsia="es-CR"/>
              </w:rPr>
            </w:pPr>
            <w:r w:rsidRPr="00680DAC">
              <w:rPr>
                <w:rFonts w:eastAsia="Times New Roman" w:cs="Calibri"/>
                <w:color w:val="FFFFFF"/>
                <w:sz w:val="16"/>
                <w:szCs w:val="20"/>
                <w:lang w:eastAsia="es-CR"/>
              </w:rPr>
              <w:t xml:space="preserve"> Saldo de 1 a </w:t>
            </w:r>
            <w:r w:rsidR="00796636">
              <w:rPr>
                <w:rFonts w:eastAsia="Times New Roman" w:cs="Calibri"/>
                <w:color w:val="FFFFFF"/>
                <w:sz w:val="16"/>
                <w:szCs w:val="20"/>
                <w:lang w:eastAsia="es-CR"/>
              </w:rPr>
              <w:t>31</w:t>
            </w:r>
            <w:r w:rsidRPr="00680DAC">
              <w:rPr>
                <w:rFonts w:eastAsia="Times New Roman" w:cs="Calibri"/>
                <w:color w:val="FFFFFF"/>
                <w:sz w:val="16"/>
                <w:szCs w:val="20"/>
                <w:lang w:eastAsia="es-CR"/>
              </w:rPr>
              <w:t xml:space="preserve"> días</w:t>
            </w:r>
          </w:p>
        </w:tc>
        <w:tc>
          <w:tcPr>
            <w:tcW w:w="880" w:type="dxa"/>
            <w:tcBorders>
              <w:top w:val="nil"/>
              <w:left w:val="nil"/>
              <w:bottom w:val="single" w:sz="4" w:space="0" w:color="auto"/>
              <w:right w:val="single" w:sz="8" w:space="0" w:color="auto"/>
            </w:tcBorders>
            <w:shd w:val="clear" w:color="000000" w:fill="1F3864"/>
            <w:vAlign w:val="center"/>
            <w:hideMark/>
          </w:tcPr>
          <w:p w14:paraId="23DB8B58" w14:textId="77777777" w:rsidR="00763462" w:rsidRPr="00680DAC" w:rsidRDefault="00763462" w:rsidP="0061790F">
            <w:pPr>
              <w:spacing w:after="0" w:line="240" w:lineRule="auto"/>
              <w:jc w:val="center"/>
              <w:rPr>
                <w:rFonts w:eastAsia="Times New Roman" w:cs="Calibri"/>
                <w:color w:val="FFFFFF"/>
                <w:sz w:val="16"/>
                <w:szCs w:val="20"/>
                <w:lang w:eastAsia="es-CR"/>
              </w:rPr>
            </w:pPr>
            <w:r w:rsidRPr="00680DAC">
              <w:rPr>
                <w:rFonts w:eastAsia="Times New Roman" w:cs="Calibri"/>
                <w:color w:val="FFFFFF"/>
                <w:sz w:val="16"/>
                <w:szCs w:val="20"/>
                <w:lang w:eastAsia="es-CR"/>
              </w:rPr>
              <w:t>Saldo de 31 a 90 días</w:t>
            </w:r>
          </w:p>
        </w:tc>
        <w:tc>
          <w:tcPr>
            <w:tcW w:w="904" w:type="dxa"/>
            <w:tcBorders>
              <w:top w:val="nil"/>
              <w:left w:val="nil"/>
              <w:bottom w:val="single" w:sz="4" w:space="0" w:color="auto"/>
              <w:right w:val="single" w:sz="8" w:space="0" w:color="auto"/>
            </w:tcBorders>
            <w:shd w:val="clear" w:color="000000" w:fill="1F3864"/>
            <w:vAlign w:val="center"/>
            <w:hideMark/>
          </w:tcPr>
          <w:p w14:paraId="387D67D7" w14:textId="77777777" w:rsidR="00763462" w:rsidRPr="00680DAC" w:rsidRDefault="00763462" w:rsidP="0061790F">
            <w:pPr>
              <w:spacing w:after="0" w:line="240" w:lineRule="auto"/>
              <w:jc w:val="center"/>
              <w:rPr>
                <w:rFonts w:eastAsia="Times New Roman" w:cs="Calibri"/>
                <w:color w:val="FFFFFF"/>
                <w:sz w:val="16"/>
                <w:szCs w:val="20"/>
                <w:lang w:eastAsia="es-CR"/>
              </w:rPr>
            </w:pPr>
            <w:r w:rsidRPr="00680DAC">
              <w:rPr>
                <w:rFonts w:eastAsia="Times New Roman" w:cs="Calibri"/>
                <w:color w:val="FFFFFF"/>
                <w:sz w:val="16"/>
                <w:szCs w:val="20"/>
                <w:lang w:eastAsia="es-CR"/>
              </w:rPr>
              <w:t xml:space="preserve"> Saldo de 91 a 180 días</w:t>
            </w:r>
          </w:p>
        </w:tc>
        <w:tc>
          <w:tcPr>
            <w:tcW w:w="2077" w:type="dxa"/>
            <w:tcBorders>
              <w:top w:val="nil"/>
              <w:left w:val="nil"/>
              <w:bottom w:val="single" w:sz="4" w:space="0" w:color="auto"/>
              <w:right w:val="single" w:sz="8" w:space="0" w:color="auto"/>
            </w:tcBorders>
            <w:shd w:val="clear" w:color="000000" w:fill="1F3864"/>
            <w:vAlign w:val="center"/>
            <w:hideMark/>
          </w:tcPr>
          <w:p w14:paraId="3E0577C6" w14:textId="77777777" w:rsidR="00763462" w:rsidRPr="00680DAC" w:rsidRDefault="00763462" w:rsidP="0061790F">
            <w:pPr>
              <w:spacing w:after="0" w:line="240" w:lineRule="auto"/>
              <w:jc w:val="center"/>
              <w:rPr>
                <w:rFonts w:eastAsia="Times New Roman" w:cs="Calibri"/>
                <w:color w:val="FFFFFF"/>
                <w:sz w:val="16"/>
                <w:szCs w:val="20"/>
                <w:lang w:eastAsia="es-CR"/>
              </w:rPr>
            </w:pPr>
            <w:r w:rsidRPr="00680DAC">
              <w:rPr>
                <w:rFonts w:eastAsia="Times New Roman" w:cs="Calibri"/>
                <w:color w:val="FFFFFF"/>
                <w:sz w:val="16"/>
                <w:szCs w:val="20"/>
                <w:lang w:eastAsia="es-CR"/>
              </w:rPr>
              <w:t xml:space="preserve"> Saldo de 181 a 365 días</w:t>
            </w:r>
          </w:p>
        </w:tc>
        <w:tc>
          <w:tcPr>
            <w:tcW w:w="974" w:type="dxa"/>
            <w:tcBorders>
              <w:top w:val="nil"/>
              <w:left w:val="nil"/>
              <w:bottom w:val="single" w:sz="4" w:space="0" w:color="auto"/>
              <w:right w:val="single" w:sz="8" w:space="0" w:color="auto"/>
            </w:tcBorders>
            <w:shd w:val="clear" w:color="000000" w:fill="1F3864"/>
            <w:vAlign w:val="center"/>
            <w:hideMark/>
          </w:tcPr>
          <w:p w14:paraId="72D0CA82" w14:textId="77777777" w:rsidR="00763462" w:rsidRPr="00680DAC" w:rsidRDefault="00763462" w:rsidP="0061790F">
            <w:pPr>
              <w:spacing w:after="0" w:line="240" w:lineRule="auto"/>
              <w:jc w:val="center"/>
              <w:rPr>
                <w:rFonts w:eastAsia="Times New Roman" w:cs="Calibri"/>
                <w:color w:val="FFFFFF"/>
                <w:sz w:val="16"/>
                <w:szCs w:val="20"/>
                <w:lang w:eastAsia="es-CR"/>
              </w:rPr>
            </w:pPr>
            <w:r w:rsidRPr="00680DAC">
              <w:rPr>
                <w:rFonts w:eastAsia="Times New Roman" w:cs="Calibri"/>
                <w:color w:val="FFFFFF"/>
                <w:sz w:val="16"/>
                <w:szCs w:val="20"/>
                <w:lang w:eastAsia="es-CR"/>
              </w:rPr>
              <w:t>Más de 365 días</w:t>
            </w:r>
          </w:p>
        </w:tc>
        <w:tc>
          <w:tcPr>
            <w:tcW w:w="1560" w:type="dxa"/>
            <w:tcBorders>
              <w:top w:val="nil"/>
              <w:left w:val="nil"/>
              <w:bottom w:val="single" w:sz="4" w:space="0" w:color="auto"/>
              <w:right w:val="single" w:sz="8" w:space="0" w:color="auto"/>
            </w:tcBorders>
            <w:shd w:val="clear" w:color="000000" w:fill="1F3864"/>
            <w:vAlign w:val="center"/>
            <w:hideMark/>
          </w:tcPr>
          <w:p w14:paraId="4EF5C66D" w14:textId="77777777" w:rsidR="00763462" w:rsidRPr="00680DAC" w:rsidRDefault="00763462" w:rsidP="0061790F">
            <w:pPr>
              <w:spacing w:after="0" w:line="240" w:lineRule="auto"/>
              <w:jc w:val="center"/>
              <w:rPr>
                <w:rFonts w:eastAsia="Times New Roman" w:cs="Calibri"/>
                <w:color w:val="FFFFFF"/>
                <w:sz w:val="16"/>
                <w:szCs w:val="20"/>
                <w:lang w:eastAsia="es-CR"/>
              </w:rPr>
            </w:pPr>
            <w:r w:rsidRPr="00680DAC">
              <w:rPr>
                <w:rFonts w:eastAsia="Times New Roman" w:cs="Calibri"/>
                <w:color w:val="FFFFFF"/>
                <w:sz w:val="16"/>
                <w:szCs w:val="20"/>
                <w:lang w:eastAsia="es-CR"/>
              </w:rPr>
              <w:t>Total</w:t>
            </w:r>
          </w:p>
        </w:tc>
      </w:tr>
      <w:tr w:rsidR="00763462" w:rsidRPr="00680DAC" w14:paraId="347B8A39" w14:textId="77777777" w:rsidTr="002A1533">
        <w:trPr>
          <w:trHeight w:val="85"/>
        </w:trPr>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FAA1CE" w14:textId="77777777" w:rsidR="00763462" w:rsidRPr="00680DAC" w:rsidRDefault="00763462" w:rsidP="0061790F">
            <w:pPr>
              <w:spacing w:after="0" w:line="240" w:lineRule="auto"/>
              <w:jc w:val="left"/>
              <w:rPr>
                <w:rFonts w:eastAsia="Times New Roman" w:cs="Calibri"/>
                <w:color w:val="000000"/>
                <w:sz w:val="16"/>
                <w:lang w:eastAsia="es-CR"/>
              </w:rPr>
            </w:pPr>
            <w:r w:rsidRPr="00C34499">
              <w:rPr>
                <w:rFonts w:eastAsia="Times New Roman" w:cs="Calibri"/>
                <w:color w:val="000000"/>
                <w:sz w:val="20"/>
                <w:szCs w:val="20"/>
                <w:lang w:val="en-US"/>
              </w:rPr>
              <w:t>1.1.1.01.</w:t>
            </w:r>
          </w:p>
        </w:tc>
        <w:tc>
          <w:tcPr>
            <w:tcW w:w="1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E5080" w14:textId="77777777" w:rsidR="00763462" w:rsidRPr="00680DAC" w:rsidRDefault="00763462" w:rsidP="0061790F">
            <w:pPr>
              <w:spacing w:after="0" w:line="240" w:lineRule="auto"/>
              <w:jc w:val="left"/>
              <w:rPr>
                <w:rFonts w:eastAsia="Times New Roman" w:cs="Calibri"/>
                <w:color w:val="000000"/>
                <w:sz w:val="16"/>
                <w:lang w:eastAsia="es-CR"/>
              </w:rPr>
            </w:pPr>
            <w:proofErr w:type="spellStart"/>
            <w:r w:rsidRPr="00C34499">
              <w:rPr>
                <w:rFonts w:eastAsia="Times New Roman" w:cs="Calibri"/>
                <w:color w:val="000000"/>
                <w:sz w:val="20"/>
                <w:szCs w:val="20"/>
                <w:lang w:val="en-US"/>
              </w:rPr>
              <w:t>Efectivo</w:t>
            </w:r>
            <w:proofErr w:type="spellEnd"/>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FA012D" w14:textId="77777777" w:rsidR="002A1533" w:rsidRDefault="002A1533" w:rsidP="002A1533">
            <w:pPr>
              <w:spacing w:after="0" w:line="240" w:lineRule="auto"/>
              <w:jc w:val="right"/>
              <w:rPr>
                <w:rFonts w:cs="Calibri"/>
                <w:color w:val="000000"/>
                <w:sz w:val="22"/>
              </w:rPr>
            </w:pPr>
            <w:r>
              <w:rPr>
                <w:rFonts w:cs="Calibri"/>
                <w:color w:val="000000"/>
                <w:sz w:val="22"/>
              </w:rPr>
              <w:t xml:space="preserve">                         </w:t>
            </w:r>
            <w:r w:rsidRPr="002A1533">
              <w:rPr>
                <w:rFonts w:cs="Arial"/>
                <w:b/>
                <w:bCs/>
                <w:color w:val="000000"/>
                <w:sz w:val="18"/>
                <w:szCs w:val="18"/>
              </w:rPr>
              <w:t>2 779 345,66</w:t>
            </w:r>
            <w:r>
              <w:rPr>
                <w:rFonts w:cs="Calibri"/>
                <w:color w:val="000000"/>
                <w:sz w:val="22"/>
              </w:rPr>
              <w:t xml:space="preserve"> </w:t>
            </w:r>
          </w:p>
          <w:p w14:paraId="4503114C" w14:textId="056FA297" w:rsidR="00763462" w:rsidRPr="002354FB" w:rsidRDefault="00763462" w:rsidP="0061790F">
            <w:pPr>
              <w:spacing w:after="0" w:line="240" w:lineRule="auto"/>
              <w:jc w:val="right"/>
              <w:rPr>
                <w:rFonts w:cs="Arial"/>
                <w:b/>
                <w:bCs/>
                <w:color w:val="000000"/>
                <w:sz w:val="18"/>
                <w:szCs w:val="18"/>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B5F70" w14:textId="77777777" w:rsidR="00763462" w:rsidRPr="005144D0" w:rsidRDefault="00763462" w:rsidP="0061790F">
            <w:pPr>
              <w:spacing w:after="0" w:line="240" w:lineRule="auto"/>
              <w:jc w:val="right"/>
              <w:rPr>
                <w:rFonts w:ascii="Arial" w:hAnsi="Arial" w:cs="Arial"/>
                <w:b/>
                <w:bCs/>
                <w:color w:val="000000"/>
                <w:sz w:val="18"/>
                <w:szCs w:val="18"/>
              </w:rPr>
            </w:pPr>
          </w:p>
        </w:tc>
        <w:tc>
          <w:tcPr>
            <w:tcW w:w="9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490276" w14:textId="77777777" w:rsidR="00763462" w:rsidRPr="005144D0" w:rsidRDefault="00763462" w:rsidP="0061790F">
            <w:pPr>
              <w:spacing w:after="0" w:line="240" w:lineRule="auto"/>
              <w:jc w:val="right"/>
              <w:rPr>
                <w:rFonts w:ascii="Arial" w:hAnsi="Arial" w:cs="Arial"/>
                <w:b/>
                <w:bCs/>
                <w:color w:val="000000"/>
                <w:sz w:val="18"/>
                <w:szCs w:val="18"/>
              </w:rPr>
            </w:pPr>
            <w:r w:rsidRPr="005144D0">
              <w:rPr>
                <w:rFonts w:ascii="Arial" w:hAnsi="Arial" w:cs="Arial"/>
                <w:b/>
                <w:bCs/>
                <w:color w:val="000000"/>
                <w:sz w:val="18"/>
                <w:szCs w:val="18"/>
              </w:rPr>
              <w:t>-</w:t>
            </w:r>
          </w:p>
        </w:tc>
        <w:tc>
          <w:tcPr>
            <w:tcW w:w="20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F03A3E" w14:textId="77777777" w:rsidR="00763462" w:rsidRPr="005144D0" w:rsidRDefault="00763462" w:rsidP="0061790F">
            <w:pPr>
              <w:spacing w:after="0" w:line="240" w:lineRule="auto"/>
              <w:jc w:val="right"/>
              <w:rPr>
                <w:rFonts w:cs="Arial"/>
                <w:b/>
                <w:bCs/>
                <w:color w:val="000000"/>
                <w:sz w:val="18"/>
                <w:szCs w:val="18"/>
              </w:rPr>
            </w:pP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F71A0B" w14:textId="77777777" w:rsidR="00763462" w:rsidRPr="005144D0" w:rsidRDefault="00763462" w:rsidP="0061790F">
            <w:pPr>
              <w:spacing w:after="0" w:line="240" w:lineRule="auto"/>
              <w:jc w:val="right"/>
              <w:rPr>
                <w:rFonts w:cs="Arial"/>
                <w:b/>
                <w:bCs/>
                <w:color w:val="000000"/>
                <w:sz w:val="18"/>
                <w:szCs w:val="18"/>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AED058" w14:textId="065C8217" w:rsidR="00763462" w:rsidRPr="002A1533" w:rsidRDefault="00763462" w:rsidP="002A1533">
            <w:pPr>
              <w:spacing w:after="0" w:line="240" w:lineRule="auto"/>
              <w:jc w:val="right"/>
              <w:rPr>
                <w:rFonts w:cs="Calibri"/>
                <w:color w:val="000000"/>
                <w:sz w:val="22"/>
              </w:rPr>
            </w:pPr>
            <w:r w:rsidRPr="002C742F">
              <w:rPr>
                <w:rFonts w:cs="Arial"/>
                <w:b/>
                <w:bCs/>
                <w:color w:val="000000"/>
                <w:sz w:val="18"/>
                <w:szCs w:val="18"/>
              </w:rPr>
              <w:t xml:space="preserve">           </w:t>
            </w:r>
            <w:r w:rsidR="002A1533" w:rsidRPr="002A1533">
              <w:rPr>
                <w:rFonts w:cs="Arial"/>
                <w:b/>
                <w:bCs/>
                <w:color w:val="000000"/>
                <w:sz w:val="18"/>
                <w:szCs w:val="18"/>
              </w:rPr>
              <w:t xml:space="preserve">  2 779 345,66</w:t>
            </w:r>
          </w:p>
        </w:tc>
      </w:tr>
      <w:tr w:rsidR="00763462" w:rsidRPr="00680DAC" w14:paraId="3BD52B59" w14:textId="77777777" w:rsidTr="002A1533">
        <w:trPr>
          <w:trHeight w:val="263"/>
        </w:trPr>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7286C6" w14:textId="77777777" w:rsidR="00763462" w:rsidRPr="00680DAC" w:rsidRDefault="00763462" w:rsidP="0061790F">
            <w:pPr>
              <w:spacing w:after="0" w:line="240" w:lineRule="auto"/>
              <w:jc w:val="left"/>
              <w:rPr>
                <w:rFonts w:eastAsia="Times New Roman" w:cs="Calibri"/>
                <w:color w:val="000000"/>
                <w:sz w:val="16"/>
                <w:lang w:eastAsia="es-CR"/>
              </w:rPr>
            </w:pPr>
            <w:r w:rsidRPr="00C34499">
              <w:rPr>
                <w:rFonts w:eastAsia="Times New Roman" w:cs="Calibri"/>
                <w:color w:val="000000"/>
                <w:sz w:val="20"/>
                <w:szCs w:val="20"/>
                <w:lang w:val="en-US"/>
              </w:rPr>
              <w:t>1.1.1.02.</w:t>
            </w:r>
          </w:p>
        </w:tc>
        <w:tc>
          <w:tcPr>
            <w:tcW w:w="18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A91A24" w14:textId="77777777" w:rsidR="00763462" w:rsidRPr="00680DAC" w:rsidRDefault="00763462" w:rsidP="0061790F">
            <w:pPr>
              <w:spacing w:after="0" w:line="240" w:lineRule="auto"/>
              <w:jc w:val="left"/>
              <w:rPr>
                <w:rFonts w:eastAsia="Times New Roman" w:cs="Calibri"/>
                <w:color w:val="000000"/>
                <w:sz w:val="16"/>
                <w:lang w:eastAsia="es-CR"/>
              </w:rPr>
            </w:pPr>
            <w:proofErr w:type="spellStart"/>
            <w:r w:rsidRPr="00C34499">
              <w:rPr>
                <w:rFonts w:eastAsia="Times New Roman" w:cs="Calibri"/>
                <w:color w:val="000000"/>
                <w:sz w:val="20"/>
                <w:szCs w:val="20"/>
                <w:lang w:val="en-US"/>
              </w:rPr>
              <w:t>Equivalentes</w:t>
            </w:r>
            <w:proofErr w:type="spellEnd"/>
            <w:r w:rsidRPr="00C34499">
              <w:rPr>
                <w:rFonts w:eastAsia="Times New Roman" w:cs="Calibri"/>
                <w:color w:val="000000"/>
                <w:sz w:val="20"/>
                <w:szCs w:val="20"/>
                <w:lang w:val="en-US"/>
              </w:rPr>
              <w:t xml:space="preserve"> de </w:t>
            </w:r>
            <w:proofErr w:type="spellStart"/>
            <w:r w:rsidRPr="00C34499">
              <w:rPr>
                <w:rFonts w:eastAsia="Times New Roman" w:cs="Calibri"/>
                <w:color w:val="000000"/>
                <w:sz w:val="20"/>
                <w:szCs w:val="20"/>
                <w:lang w:val="en-US"/>
              </w:rPr>
              <w:t>efectivo</w:t>
            </w:r>
            <w:proofErr w:type="spellEnd"/>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5CCA79" w14:textId="2F33C0E2" w:rsidR="00763462" w:rsidRPr="002354FB" w:rsidRDefault="002A1533" w:rsidP="0061790F">
            <w:pPr>
              <w:spacing w:after="0" w:line="240" w:lineRule="auto"/>
              <w:jc w:val="right"/>
              <w:rPr>
                <w:rFonts w:cs="Arial"/>
                <w:b/>
                <w:bCs/>
                <w:color w:val="000000"/>
                <w:sz w:val="18"/>
                <w:szCs w:val="18"/>
              </w:rPr>
            </w:pPr>
            <w:r>
              <w:rPr>
                <w:rFonts w:cs="Arial"/>
                <w:b/>
                <w:bCs/>
                <w:color w:val="000000"/>
                <w:sz w:val="18"/>
                <w:szCs w:val="18"/>
              </w:rPr>
              <w:t>-</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D04405" w14:textId="77777777" w:rsidR="00763462" w:rsidRPr="005144D0" w:rsidRDefault="00763462" w:rsidP="0061790F">
            <w:pPr>
              <w:spacing w:after="0" w:line="240" w:lineRule="auto"/>
              <w:jc w:val="right"/>
              <w:rPr>
                <w:rFonts w:ascii="Arial" w:hAnsi="Arial" w:cs="Arial"/>
                <w:b/>
                <w:bCs/>
                <w:color w:val="000000"/>
                <w:sz w:val="18"/>
                <w:szCs w:val="18"/>
              </w:rPr>
            </w:pPr>
          </w:p>
        </w:tc>
        <w:tc>
          <w:tcPr>
            <w:tcW w:w="9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CE5946" w14:textId="77777777" w:rsidR="00763462" w:rsidRPr="005144D0" w:rsidRDefault="00763462" w:rsidP="0061790F">
            <w:pPr>
              <w:spacing w:after="0" w:line="240" w:lineRule="auto"/>
              <w:jc w:val="right"/>
              <w:rPr>
                <w:rFonts w:ascii="Arial" w:hAnsi="Arial" w:cs="Arial"/>
                <w:b/>
                <w:bCs/>
                <w:color w:val="000000"/>
                <w:sz w:val="18"/>
                <w:szCs w:val="18"/>
              </w:rPr>
            </w:pPr>
          </w:p>
        </w:tc>
        <w:tc>
          <w:tcPr>
            <w:tcW w:w="20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4383A8" w14:textId="77777777" w:rsidR="00763462" w:rsidRPr="005144D0" w:rsidRDefault="00763462" w:rsidP="0061790F">
            <w:pPr>
              <w:spacing w:after="0" w:line="240" w:lineRule="auto"/>
              <w:jc w:val="right"/>
              <w:rPr>
                <w:rFonts w:cs="Arial"/>
                <w:b/>
                <w:bCs/>
                <w:color w:val="000000"/>
                <w:sz w:val="18"/>
                <w:szCs w:val="18"/>
              </w:rPr>
            </w:pP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1EAAD6" w14:textId="77777777" w:rsidR="00763462" w:rsidRPr="005144D0" w:rsidRDefault="00763462" w:rsidP="0061790F">
            <w:pPr>
              <w:spacing w:after="0" w:line="240" w:lineRule="auto"/>
              <w:jc w:val="right"/>
              <w:rPr>
                <w:rFonts w:cs="Arial"/>
                <w:b/>
                <w:bCs/>
                <w:color w:val="000000"/>
                <w:sz w:val="18"/>
                <w:szCs w:val="18"/>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8CA64F" w14:textId="0BD25272" w:rsidR="00763462" w:rsidRPr="005144D0" w:rsidRDefault="00763462" w:rsidP="0061790F">
            <w:pPr>
              <w:spacing w:after="0" w:line="240" w:lineRule="auto"/>
              <w:ind w:right="634"/>
              <w:jc w:val="right"/>
              <w:rPr>
                <w:rFonts w:cs="Arial"/>
                <w:b/>
                <w:bCs/>
                <w:color w:val="000000"/>
                <w:sz w:val="18"/>
                <w:szCs w:val="18"/>
              </w:rPr>
            </w:pPr>
            <w:r w:rsidRPr="002C742F">
              <w:rPr>
                <w:rFonts w:cs="Arial"/>
                <w:b/>
                <w:bCs/>
                <w:color w:val="000000"/>
                <w:sz w:val="18"/>
                <w:szCs w:val="18"/>
              </w:rPr>
              <w:t xml:space="preserve">                             </w:t>
            </w:r>
            <w:r w:rsidR="002A1533">
              <w:rPr>
                <w:rFonts w:cs="Arial"/>
                <w:b/>
                <w:bCs/>
                <w:color w:val="000000"/>
                <w:sz w:val="18"/>
                <w:szCs w:val="18"/>
              </w:rPr>
              <w:t>-</w:t>
            </w:r>
            <w:r w:rsidRPr="002C742F">
              <w:rPr>
                <w:rFonts w:cs="Arial"/>
                <w:b/>
                <w:bCs/>
                <w:color w:val="000000"/>
                <w:sz w:val="18"/>
                <w:szCs w:val="18"/>
              </w:rPr>
              <w:t xml:space="preserve"> </w:t>
            </w:r>
          </w:p>
        </w:tc>
      </w:tr>
      <w:tr w:rsidR="002A1533" w:rsidRPr="00680DAC" w14:paraId="497B1827" w14:textId="77777777" w:rsidTr="002A1533">
        <w:trPr>
          <w:trHeight w:val="85"/>
        </w:trPr>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ECB88A" w14:textId="77777777" w:rsidR="002A1533" w:rsidRPr="00680DAC" w:rsidRDefault="002A1533" w:rsidP="002A1533">
            <w:pPr>
              <w:spacing w:after="0" w:line="240" w:lineRule="auto"/>
              <w:jc w:val="left"/>
              <w:rPr>
                <w:rFonts w:eastAsia="Times New Roman" w:cs="Calibri"/>
                <w:color w:val="000000"/>
                <w:sz w:val="16"/>
                <w:lang w:eastAsia="es-CR"/>
              </w:rPr>
            </w:pPr>
            <w:r w:rsidRPr="00C34499">
              <w:rPr>
                <w:rFonts w:eastAsia="Times New Roman" w:cs="Calibri"/>
                <w:color w:val="000000"/>
                <w:sz w:val="20"/>
                <w:szCs w:val="20"/>
                <w:lang w:val="en-US"/>
              </w:rPr>
              <w:t>1.1.3.01.</w:t>
            </w:r>
          </w:p>
        </w:tc>
        <w:tc>
          <w:tcPr>
            <w:tcW w:w="18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7083B6" w14:textId="77777777" w:rsidR="002A1533" w:rsidRPr="00680DAC" w:rsidRDefault="002A1533" w:rsidP="002A1533">
            <w:pPr>
              <w:spacing w:after="0" w:line="240" w:lineRule="auto"/>
              <w:jc w:val="left"/>
              <w:rPr>
                <w:rFonts w:eastAsia="Times New Roman" w:cs="Calibri"/>
                <w:color w:val="000000"/>
                <w:sz w:val="16"/>
                <w:lang w:eastAsia="es-CR"/>
              </w:rPr>
            </w:pPr>
            <w:r w:rsidRPr="00C34499">
              <w:rPr>
                <w:rFonts w:eastAsia="Times New Roman" w:cs="Calibri"/>
                <w:color w:val="000000"/>
                <w:sz w:val="20"/>
                <w:szCs w:val="20"/>
              </w:rPr>
              <w:t>Impuestos a cobrar a c/p</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79C771" w14:textId="77777777" w:rsidR="002A1533" w:rsidRPr="00396EFB" w:rsidRDefault="002A1533" w:rsidP="002A1533">
            <w:pPr>
              <w:spacing w:after="0" w:line="240" w:lineRule="auto"/>
              <w:jc w:val="right"/>
              <w:rPr>
                <w:rFonts w:cs="Calibri"/>
                <w:b/>
                <w:bCs/>
                <w:color w:val="000000"/>
                <w:sz w:val="18"/>
                <w:szCs w:val="18"/>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E50A3A" w14:textId="77777777" w:rsidR="002A1533" w:rsidRPr="005144D0" w:rsidRDefault="002A1533" w:rsidP="002A1533">
            <w:pPr>
              <w:spacing w:after="0" w:line="240" w:lineRule="auto"/>
              <w:jc w:val="right"/>
              <w:rPr>
                <w:rFonts w:ascii="Arial" w:hAnsi="Arial" w:cs="Arial"/>
                <w:b/>
                <w:bCs/>
                <w:color w:val="000000"/>
                <w:sz w:val="18"/>
                <w:szCs w:val="18"/>
              </w:rPr>
            </w:pPr>
          </w:p>
        </w:tc>
        <w:tc>
          <w:tcPr>
            <w:tcW w:w="9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C6142E" w14:textId="77777777" w:rsidR="002A1533" w:rsidRPr="005144D0" w:rsidRDefault="002A1533" w:rsidP="002A1533">
            <w:pPr>
              <w:spacing w:after="0" w:line="240" w:lineRule="auto"/>
              <w:jc w:val="right"/>
              <w:rPr>
                <w:rFonts w:ascii="Arial" w:hAnsi="Arial" w:cs="Arial"/>
                <w:b/>
                <w:bCs/>
                <w:color w:val="000000"/>
                <w:sz w:val="18"/>
                <w:szCs w:val="18"/>
              </w:rPr>
            </w:pPr>
          </w:p>
        </w:tc>
        <w:tc>
          <w:tcPr>
            <w:tcW w:w="20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607802" w14:textId="77777777" w:rsidR="002A1533" w:rsidRPr="002A1533" w:rsidRDefault="002A1533" w:rsidP="002A1533">
            <w:pPr>
              <w:spacing w:after="0" w:line="240" w:lineRule="auto"/>
              <w:jc w:val="right"/>
              <w:rPr>
                <w:rFonts w:cs="Arial"/>
                <w:b/>
                <w:bCs/>
                <w:color w:val="000000"/>
                <w:sz w:val="18"/>
                <w:szCs w:val="18"/>
              </w:rPr>
            </w:pPr>
            <w:r w:rsidRPr="002A1533">
              <w:rPr>
                <w:rFonts w:cs="Arial"/>
                <w:b/>
                <w:bCs/>
                <w:color w:val="000000"/>
                <w:sz w:val="18"/>
                <w:szCs w:val="18"/>
              </w:rPr>
              <w:t xml:space="preserve">                             439 705,81 </w:t>
            </w:r>
          </w:p>
          <w:p w14:paraId="130122FF" w14:textId="3E6D6D4B" w:rsidR="002A1533" w:rsidRPr="002354FB" w:rsidRDefault="002A1533" w:rsidP="002A1533">
            <w:pPr>
              <w:spacing w:after="0" w:line="240" w:lineRule="auto"/>
              <w:jc w:val="right"/>
              <w:rPr>
                <w:rFonts w:cs="Arial"/>
                <w:b/>
                <w:bCs/>
                <w:color w:val="000000"/>
                <w:sz w:val="18"/>
                <w:szCs w:val="18"/>
              </w:rPr>
            </w:pP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A854E6" w14:textId="77777777" w:rsidR="002A1533" w:rsidRPr="005144D0" w:rsidRDefault="002A1533" w:rsidP="002A1533">
            <w:pPr>
              <w:spacing w:after="0" w:line="240" w:lineRule="auto"/>
              <w:jc w:val="right"/>
              <w:rPr>
                <w:rFonts w:cs="Arial"/>
                <w:b/>
                <w:bCs/>
                <w:color w:val="000000"/>
                <w:sz w:val="18"/>
                <w:szCs w:val="18"/>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67775D" w14:textId="20F56081" w:rsidR="002A1533" w:rsidRPr="002A1533" w:rsidRDefault="002A1533" w:rsidP="002A1533">
            <w:pPr>
              <w:spacing w:after="0" w:line="240" w:lineRule="auto"/>
              <w:jc w:val="right"/>
              <w:rPr>
                <w:rFonts w:cs="Arial"/>
                <w:b/>
                <w:bCs/>
                <w:color w:val="000000"/>
                <w:sz w:val="18"/>
                <w:szCs w:val="18"/>
              </w:rPr>
            </w:pPr>
            <w:r w:rsidRPr="002A1533">
              <w:rPr>
                <w:rFonts w:cs="Arial"/>
                <w:b/>
                <w:bCs/>
                <w:color w:val="000000"/>
                <w:sz w:val="18"/>
                <w:szCs w:val="18"/>
              </w:rPr>
              <w:t xml:space="preserve">                439 705,81 </w:t>
            </w:r>
          </w:p>
          <w:p w14:paraId="2DCDC13D" w14:textId="6694B819" w:rsidR="002A1533" w:rsidRPr="005144D0" w:rsidRDefault="002A1533" w:rsidP="002A1533">
            <w:pPr>
              <w:spacing w:after="0" w:line="240" w:lineRule="auto"/>
              <w:ind w:right="634"/>
              <w:jc w:val="right"/>
              <w:rPr>
                <w:rFonts w:cs="Arial"/>
                <w:b/>
                <w:bCs/>
                <w:color w:val="000000"/>
                <w:sz w:val="18"/>
                <w:szCs w:val="18"/>
              </w:rPr>
            </w:pPr>
          </w:p>
        </w:tc>
      </w:tr>
      <w:tr w:rsidR="002A1533" w:rsidRPr="00680DAC" w14:paraId="3DA2299C" w14:textId="77777777" w:rsidTr="002A1533">
        <w:trPr>
          <w:trHeight w:val="85"/>
        </w:trPr>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5A6597" w14:textId="77777777" w:rsidR="002A1533" w:rsidRPr="00680DAC" w:rsidRDefault="002A1533" w:rsidP="002A1533">
            <w:pPr>
              <w:spacing w:after="0" w:line="240" w:lineRule="auto"/>
              <w:jc w:val="left"/>
              <w:rPr>
                <w:rFonts w:eastAsia="Times New Roman" w:cs="Calibri"/>
                <w:color w:val="000000"/>
                <w:sz w:val="16"/>
                <w:lang w:eastAsia="es-CR"/>
              </w:rPr>
            </w:pPr>
            <w:r w:rsidRPr="00C34499">
              <w:rPr>
                <w:rFonts w:eastAsia="Times New Roman" w:cs="Calibri"/>
                <w:color w:val="000000"/>
                <w:sz w:val="20"/>
                <w:szCs w:val="20"/>
                <w:lang w:val="en-US"/>
              </w:rPr>
              <w:t>1.1.3.04.</w:t>
            </w:r>
          </w:p>
        </w:tc>
        <w:tc>
          <w:tcPr>
            <w:tcW w:w="18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F80808" w14:textId="77777777" w:rsidR="002A1533" w:rsidRPr="00680DAC" w:rsidRDefault="002A1533" w:rsidP="002A1533">
            <w:pPr>
              <w:spacing w:after="0" w:line="240" w:lineRule="auto"/>
              <w:jc w:val="left"/>
              <w:rPr>
                <w:rFonts w:eastAsia="Times New Roman" w:cs="Calibri"/>
                <w:color w:val="000000"/>
                <w:sz w:val="16"/>
                <w:lang w:eastAsia="es-CR"/>
              </w:rPr>
            </w:pPr>
            <w:r w:rsidRPr="00C34499">
              <w:rPr>
                <w:rFonts w:eastAsia="Times New Roman" w:cs="Calibri"/>
                <w:color w:val="000000"/>
                <w:sz w:val="20"/>
                <w:szCs w:val="20"/>
              </w:rPr>
              <w:t>Servicios y derechos a cobrar a corto plazo</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58DAE5" w14:textId="77777777" w:rsidR="002A1533" w:rsidRPr="00396EFB" w:rsidRDefault="002A1533" w:rsidP="002A1533">
            <w:pPr>
              <w:spacing w:after="0" w:line="240" w:lineRule="auto"/>
              <w:jc w:val="right"/>
              <w:rPr>
                <w:rFonts w:cs="Calibri"/>
                <w:b/>
                <w:bCs/>
                <w:color w:val="000000"/>
                <w:sz w:val="18"/>
                <w:szCs w:val="18"/>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D261AE" w14:textId="77777777" w:rsidR="002A1533" w:rsidRPr="005144D0" w:rsidRDefault="002A1533" w:rsidP="002A1533">
            <w:pPr>
              <w:spacing w:after="0" w:line="240" w:lineRule="auto"/>
              <w:jc w:val="right"/>
              <w:rPr>
                <w:rFonts w:ascii="Arial" w:hAnsi="Arial" w:cs="Arial"/>
                <w:b/>
                <w:bCs/>
                <w:color w:val="000000"/>
                <w:sz w:val="18"/>
                <w:szCs w:val="18"/>
              </w:rPr>
            </w:pPr>
          </w:p>
        </w:tc>
        <w:tc>
          <w:tcPr>
            <w:tcW w:w="9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FA058F" w14:textId="77777777" w:rsidR="002A1533" w:rsidRPr="005144D0" w:rsidRDefault="002A1533" w:rsidP="002A1533">
            <w:pPr>
              <w:spacing w:after="0" w:line="240" w:lineRule="auto"/>
              <w:jc w:val="right"/>
              <w:rPr>
                <w:rFonts w:ascii="Arial" w:hAnsi="Arial" w:cs="Arial"/>
                <w:b/>
                <w:bCs/>
                <w:color w:val="000000"/>
                <w:sz w:val="18"/>
                <w:szCs w:val="18"/>
              </w:rPr>
            </w:pPr>
          </w:p>
        </w:tc>
        <w:tc>
          <w:tcPr>
            <w:tcW w:w="20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00B5D4" w14:textId="77777777" w:rsidR="002A1533" w:rsidRPr="002A1533" w:rsidRDefault="002A1533" w:rsidP="002A1533">
            <w:pPr>
              <w:spacing w:after="0" w:line="240" w:lineRule="auto"/>
              <w:jc w:val="right"/>
              <w:rPr>
                <w:rFonts w:cs="Arial"/>
                <w:b/>
                <w:bCs/>
                <w:color w:val="000000"/>
                <w:sz w:val="18"/>
                <w:szCs w:val="18"/>
              </w:rPr>
            </w:pPr>
            <w:r w:rsidRPr="002A1533">
              <w:rPr>
                <w:rFonts w:cs="Arial"/>
                <w:b/>
                <w:bCs/>
                <w:color w:val="000000"/>
                <w:sz w:val="18"/>
                <w:szCs w:val="18"/>
              </w:rPr>
              <w:t xml:space="preserve">                             174 419,57 </w:t>
            </w:r>
          </w:p>
          <w:p w14:paraId="20B42561" w14:textId="783DE445" w:rsidR="002A1533" w:rsidRPr="002354FB" w:rsidRDefault="002A1533" w:rsidP="002A1533">
            <w:pPr>
              <w:spacing w:after="0" w:line="240" w:lineRule="auto"/>
              <w:jc w:val="right"/>
              <w:rPr>
                <w:rFonts w:cs="Arial"/>
                <w:b/>
                <w:bCs/>
                <w:color w:val="000000"/>
                <w:sz w:val="18"/>
                <w:szCs w:val="18"/>
              </w:rPr>
            </w:pP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0AB954" w14:textId="77777777" w:rsidR="002A1533" w:rsidRPr="005144D0" w:rsidRDefault="002A1533" w:rsidP="002A1533">
            <w:pPr>
              <w:spacing w:after="0" w:line="240" w:lineRule="auto"/>
              <w:jc w:val="right"/>
              <w:rPr>
                <w:rFonts w:cs="Arial"/>
                <w:b/>
                <w:bCs/>
                <w:color w:val="000000"/>
                <w:sz w:val="18"/>
                <w:szCs w:val="18"/>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2604C4" w14:textId="4A7E94FE" w:rsidR="002A1533" w:rsidRPr="002A1533" w:rsidRDefault="002A1533" w:rsidP="002A1533">
            <w:pPr>
              <w:spacing w:after="0" w:line="240" w:lineRule="auto"/>
              <w:jc w:val="right"/>
              <w:rPr>
                <w:rFonts w:cs="Arial"/>
                <w:b/>
                <w:bCs/>
                <w:color w:val="000000"/>
                <w:sz w:val="18"/>
                <w:szCs w:val="18"/>
              </w:rPr>
            </w:pPr>
            <w:r w:rsidRPr="002A1533">
              <w:rPr>
                <w:rFonts w:cs="Arial"/>
                <w:b/>
                <w:bCs/>
                <w:color w:val="000000"/>
                <w:sz w:val="18"/>
                <w:szCs w:val="18"/>
              </w:rPr>
              <w:t xml:space="preserve">                174 419,57 </w:t>
            </w:r>
          </w:p>
          <w:p w14:paraId="4874A31B" w14:textId="065B144A" w:rsidR="002A1533" w:rsidRPr="005144D0" w:rsidRDefault="002A1533" w:rsidP="002A1533">
            <w:pPr>
              <w:spacing w:after="0" w:line="240" w:lineRule="auto"/>
              <w:ind w:right="634"/>
              <w:jc w:val="right"/>
              <w:rPr>
                <w:rFonts w:cs="Arial"/>
                <w:b/>
                <w:bCs/>
                <w:color w:val="000000"/>
                <w:sz w:val="18"/>
                <w:szCs w:val="18"/>
              </w:rPr>
            </w:pPr>
          </w:p>
        </w:tc>
      </w:tr>
      <w:tr w:rsidR="002A1533" w:rsidRPr="00680DAC" w14:paraId="70740FF9" w14:textId="77777777" w:rsidTr="002A1533">
        <w:trPr>
          <w:trHeight w:val="85"/>
        </w:trPr>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23279B" w14:textId="77777777" w:rsidR="002A1533" w:rsidRPr="00680DAC" w:rsidRDefault="002A1533" w:rsidP="002A1533">
            <w:pPr>
              <w:spacing w:after="0" w:line="240" w:lineRule="auto"/>
              <w:jc w:val="left"/>
              <w:rPr>
                <w:rFonts w:eastAsia="Times New Roman" w:cs="Calibri"/>
                <w:color w:val="000000"/>
                <w:sz w:val="16"/>
                <w:lang w:eastAsia="es-CR"/>
              </w:rPr>
            </w:pPr>
            <w:r w:rsidRPr="00C34499">
              <w:rPr>
                <w:rFonts w:eastAsia="Times New Roman" w:cs="Calibri"/>
                <w:color w:val="000000"/>
                <w:sz w:val="20"/>
                <w:szCs w:val="20"/>
                <w:lang w:val="en-US"/>
              </w:rPr>
              <w:t>1.1.3.06.</w:t>
            </w:r>
          </w:p>
        </w:tc>
        <w:tc>
          <w:tcPr>
            <w:tcW w:w="18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B3284C" w14:textId="77777777" w:rsidR="002A1533" w:rsidRPr="00680DAC" w:rsidRDefault="002A1533" w:rsidP="002A1533">
            <w:pPr>
              <w:spacing w:after="0" w:line="240" w:lineRule="auto"/>
              <w:jc w:val="left"/>
              <w:rPr>
                <w:rFonts w:eastAsia="Times New Roman" w:cs="Calibri"/>
                <w:color w:val="000000"/>
                <w:sz w:val="16"/>
                <w:lang w:eastAsia="es-CR"/>
              </w:rPr>
            </w:pPr>
            <w:r w:rsidRPr="00C34499">
              <w:rPr>
                <w:rFonts w:eastAsia="Times New Roman" w:cs="Calibri"/>
                <w:color w:val="000000"/>
                <w:sz w:val="20"/>
                <w:szCs w:val="20"/>
              </w:rPr>
              <w:t>Transferencias a cobrar a c/p</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1DADEC" w14:textId="77777777" w:rsidR="002A1533" w:rsidRPr="00396EFB" w:rsidRDefault="002A1533" w:rsidP="002A1533">
            <w:pPr>
              <w:spacing w:after="0" w:line="240" w:lineRule="auto"/>
              <w:jc w:val="right"/>
              <w:rPr>
                <w:rFonts w:cs="Calibri"/>
                <w:b/>
                <w:bCs/>
                <w:color w:val="000000"/>
                <w:sz w:val="18"/>
                <w:szCs w:val="18"/>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A6070F" w14:textId="77777777" w:rsidR="002A1533" w:rsidRPr="005144D0" w:rsidRDefault="002A1533" w:rsidP="002A1533">
            <w:pPr>
              <w:spacing w:after="0" w:line="240" w:lineRule="auto"/>
              <w:jc w:val="right"/>
              <w:rPr>
                <w:rFonts w:ascii="Arial" w:hAnsi="Arial" w:cs="Arial"/>
                <w:b/>
                <w:bCs/>
                <w:color w:val="000000"/>
                <w:sz w:val="18"/>
                <w:szCs w:val="18"/>
              </w:rPr>
            </w:pPr>
          </w:p>
        </w:tc>
        <w:tc>
          <w:tcPr>
            <w:tcW w:w="9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699981" w14:textId="77777777" w:rsidR="002A1533" w:rsidRPr="005144D0" w:rsidRDefault="002A1533" w:rsidP="002A1533">
            <w:pPr>
              <w:spacing w:after="0" w:line="240" w:lineRule="auto"/>
              <w:jc w:val="right"/>
              <w:rPr>
                <w:rFonts w:ascii="Arial" w:hAnsi="Arial" w:cs="Arial"/>
                <w:b/>
                <w:bCs/>
                <w:color w:val="000000"/>
                <w:sz w:val="18"/>
                <w:szCs w:val="18"/>
              </w:rPr>
            </w:pPr>
          </w:p>
        </w:tc>
        <w:tc>
          <w:tcPr>
            <w:tcW w:w="20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ECF14A" w14:textId="77777777" w:rsidR="002A1533" w:rsidRPr="002A1533" w:rsidRDefault="002A1533" w:rsidP="002A1533">
            <w:pPr>
              <w:spacing w:after="0" w:line="240" w:lineRule="auto"/>
              <w:jc w:val="right"/>
              <w:rPr>
                <w:rFonts w:cs="Arial"/>
                <w:b/>
                <w:bCs/>
                <w:color w:val="000000"/>
                <w:sz w:val="18"/>
                <w:szCs w:val="18"/>
              </w:rPr>
            </w:pPr>
            <w:r w:rsidRPr="002A1533">
              <w:rPr>
                <w:rFonts w:cs="Arial"/>
                <w:b/>
                <w:bCs/>
                <w:color w:val="000000"/>
                <w:sz w:val="18"/>
                <w:szCs w:val="18"/>
              </w:rPr>
              <w:t xml:space="preserve">                             341 834,39 </w:t>
            </w:r>
          </w:p>
          <w:p w14:paraId="3F328F2E" w14:textId="4474C2A1" w:rsidR="002A1533" w:rsidRPr="002354FB" w:rsidRDefault="002A1533" w:rsidP="002A1533">
            <w:pPr>
              <w:spacing w:after="0" w:line="240" w:lineRule="auto"/>
              <w:jc w:val="right"/>
              <w:rPr>
                <w:rFonts w:cs="Arial"/>
                <w:b/>
                <w:bCs/>
                <w:color w:val="000000"/>
                <w:sz w:val="18"/>
                <w:szCs w:val="18"/>
              </w:rPr>
            </w:pP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AB9CB9" w14:textId="77777777" w:rsidR="002A1533" w:rsidRPr="005144D0" w:rsidRDefault="002A1533" w:rsidP="002A1533">
            <w:pPr>
              <w:spacing w:after="0" w:line="240" w:lineRule="auto"/>
              <w:jc w:val="right"/>
              <w:rPr>
                <w:rFonts w:cs="Arial"/>
                <w:b/>
                <w:bCs/>
                <w:color w:val="000000"/>
                <w:sz w:val="18"/>
                <w:szCs w:val="18"/>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BECD42" w14:textId="7E8735EC" w:rsidR="002A1533" w:rsidRPr="002A1533" w:rsidRDefault="002A1533" w:rsidP="002A1533">
            <w:pPr>
              <w:spacing w:after="0" w:line="240" w:lineRule="auto"/>
              <w:jc w:val="right"/>
              <w:rPr>
                <w:rFonts w:cs="Arial"/>
                <w:b/>
                <w:bCs/>
                <w:color w:val="000000"/>
                <w:sz w:val="18"/>
                <w:szCs w:val="18"/>
              </w:rPr>
            </w:pPr>
            <w:r w:rsidRPr="002A1533">
              <w:rPr>
                <w:rFonts w:cs="Arial"/>
                <w:b/>
                <w:bCs/>
                <w:color w:val="000000"/>
                <w:sz w:val="18"/>
                <w:szCs w:val="18"/>
              </w:rPr>
              <w:t xml:space="preserve">                341 834,39 </w:t>
            </w:r>
          </w:p>
          <w:p w14:paraId="7FA823D8" w14:textId="2091C1A6" w:rsidR="002A1533" w:rsidRPr="005144D0" w:rsidRDefault="002A1533" w:rsidP="002A1533">
            <w:pPr>
              <w:spacing w:after="0" w:line="240" w:lineRule="auto"/>
              <w:ind w:right="634"/>
              <w:jc w:val="right"/>
              <w:rPr>
                <w:rFonts w:cs="Arial"/>
                <w:b/>
                <w:bCs/>
                <w:color w:val="000000"/>
                <w:sz w:val="18"/>
                <w:szCs w:val="18"/>
              </w:rPr>
            </w:pPr>
          </w:p>
        </w:tc>
      </w:tr>
      <w:tr w:rsidR="002A1533" w:rsidRPr="00680DAC" w14:paraId="3D3AE840" w14:textId="77777777" w:rsidTr="002A1533">
        <w:trPr>
          <w:trHeight w:val="85"/>
        </w:trPr>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95C310" w14:textId="77777777" w:rsidR="002A1533" w:rsidRPr="00680DAC" w:rsidRDefault="002A1533" w:rsidP="002A1533">
            <w:pPr>
              <w:spacing w:after="0" w:line="240" w:lineRule="auto"/>
              <w:jc w:val="left"/>
              <w:rPr>
                <w:rFonts w:eastAsia="Times New Roman" w:cs="Calibri"/>
                <w:color w:val="000000"/>
                <w:sz w:val="16"/>
                <w:lang w:eastAsia="es-CR"/>
              </w:rPr>
            </w:pPr>
            <w:r w:rsidRPr="00C34499">
              <w:rPr>
                <w:rFonts w:eastAsia="Times New Roman" w:cs="Calibri"/>
                <w:color w:val="000000"/>
                <w:sz w:val="20"/>
                <w:szCs w:val="20"/>
                <w:lang w:val="en-US"/>
              </w:rPr>
              <w:t>1.1.3.98.</w:t>
            </w:r>
          </w:p>
        </w:tc>
        <w:tc>
          <w:tcPr>
            <w:tcW w:w="18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68FD2E" w14:textId="77777777" w:rsidR="002A1533" w:rsidRPr="00680DAC" w:rsidRDefault="002A1533" w:rsidP="002A1533">
            <w:pPr>
              <w:spacing w:after="0" w:line="240" w:lineRule="auto"/>
              <w:jc w:val="left"/>
              <w:rPr>
                <w:rFonts w:eastAsia="Times New Roman" w:cs="Calibri"/>
                <w:color w:val="000000"/>
                <w:sz w:val="16"/>
                <w:lang w:eastAsia="es-CR"/>
              </w:rPr>
            </w:pPr>
            <w:r w:rsidRPr="00C34499">
              <w:rPr>
                <w:rFonts w:eastAsia="Times New Roman" w:cs="Calibri"/>
                <w:color w:val="000000"/>
                <w:sz w:val="20"/>
                <w:szCs w:val="20"/>
              </w:rPr>
              <w:t>Otras cuentas a cobrar a corto plazo</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C58250" w14:textId="77777777" w:rsidR="002A1533" w:rsidRPr="00396EFB" w:rsidRDefault="002A1533" w:rsidP="002A1533">
            <w:pPr>
              <w:spacing w:after="0" w:line="240" w:lineRule="auto"/>
              <w:jc w:val="right"/>
              <w:rPr>
                <w:rFonts w:cs="Calibri"/>
                <w:b/>
                <w:bCs/>
                <w:color w:val="000000"/>
                <w:sz w:val="18"/>
                <w:szCs w:val="18"/>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24FE2B" w14:textId="77777777" w:rsidR="002A1533" w:rsidRPr="005144D0" w:rsidRDefault="002A1533" w:rsidP="002A1533">
            <w:pPr>
              <w:spacing w:after="0" w:line="240" w:lineRule="auto"/>
              <w:jc w:val="right"/>
              <w:rPr>
                <w:rFonts w:ascii="Arial" w:hAnsi="Arial" w:cs="Arial"/>
                <w:b/>
                <w:bCs/>
                <w:color w:val="000000"/>
                <w:sz w:val="18"/>
                <w:szCs w:val="18"/>
              </w:rPr>
            </w:pPr>
          </w:p>
        </w:tc>
        <w:tc>
          <w:tcPr>
            <w:tcW w:w="9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379FEC" w14:textId="77777777" w:rsidR="002A1533" w:rsidRPr="005144D0" w:rsidRDefault="002A1533" w:rsidP="002A1533">
            <w:pPr>
              <w:spacing w:after="0" w:line="240" w:lineRule="auto"/>
              <w:jc w:val="right"/>
              <w:rPr>
                <w:rFonts w:ascii="Arial" w:hAnsi="Arial" w:cs="Arial"/>
                <w:b/>
                <w:bCs/>
                <w:color w:val="000000"/>
                <w:sz w:val="18"/>
                <w:szCs w:val="18"/>
              </w:rPr>
            </w:pPr>
          </w:p>
        </w:tc>
        <w:tc>
          <w:tcPr>
            <w:tcW w:w="20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81D0A2" w14:textId="77777777" w:rsidR="002A1533" w:rsidRPr="002A1533" w:rsidRDefault="002A1533" w:rsidP="002A1533">
            <w:pPr>
              <w:spacing w:after="0" w:line="240" w:lineRule="auto"/>
              <w:jc w:val="right"/>
              <w:rPr>
                <w:rFonts w:cs="Arial"/>
                <w:b/>
                <w:bCs/>
                <w:color w:val="000000"/>
                <w:sz w:val="18"/>
                <w:szCs w:val="18"/>
              </w:rPr>
            </w:pPr>
            <w:r w:rsidRPr="002A1533">
              <w:rPr>
                <w:rFonts w:cs="Arial"/>
                <w:b/>
                <w:bCs/>
                <w:color w:val="000000"/>
                <w:sz w:val="18"/>
                <w:szCs w:val="18"/>
              </w:rPr>
              <w:t xml:space="preserve">                                 8 735,52 </w:t>
            </w:r>
          </w:p>
          <w:p w14:paraId="0FFEF495" w14:textId="418EC334" w:rsidR="002A1533" w:rsidRPr="005144D0" w:rsidRDefault="002A1533" w:rsidP="002A1533">
            <w:pPr>
              <w:spacing w:after="0" w:line="240" w:lineRule="auto"/>
              <w:jc w:val="right"/>
              <w:rPr>
                <w:rFonts w:cs="Arial"/>
                <w:b/>
                <w:bCs/>
                <w:color w:val="000000"/>
                <w:sz w:val="18"/>
                <w:szCs w:val="18"/>
              </w:rPr>
            </w:pP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F9B56C" w14:textId="77777777" w:rsidR="002A1533" w:rsidRPr="005144D0" w:rsidRDefault="002A1533" w:rsidP="002A1533">
            <w:pPr>
              <w:spacing w:after="0" w:line="240" w:lineRule="auto"/>
              <w:jc w:val="right"/>
              <w:rPr>
                <w:rFonts w:cs="Arial"/>
                <w:b/>
                <w:bCs/>
                <w:color w:val="000000"/>
                <w:sz w:val="18"/>
                <w:szCs w:val="18"/>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CE305B" w14:textId="5292F582" w:rsidR="002A1533" w:rsidRPr="002A1533" w:rsidRDefault="002A1533" w:rsidP="002A1533">
            <w:pPr>
              <w:spacing w:after="0" w:line="240" w:lineRule="auto"/>
              <w:jc w:val="right"/>
              <w:rPr>
                <w:rFonts w:cs="Arial"/>
                <w:b/>
                <w:bCs/>
                <w:color w:val="000000"/>
                <w:sz w:val="18"/>
                <w:szCs w:val="18"/>
              </w:rPr>
            </w:pPr>
            <w:r w:rsidRPr="002A1533">
              <w:rPr>
                <w:rFonts w:cs="Arial"/>
                <w:b/>
                <w:bCs/>
                <w:color w:val="000000"/>
                <w:sz w:val="18"/>
                <w:szCs w:val="18"/>
              </w:rPr>
              <w:t xml:space="preserve">                    8 735,52 </w:t>
            </w:r>
          </w:p>
          <w:p w14:paraId="00B1BA0B" w14:textId="3CD5092F" w:rsidR="002A1533" w:rsidRPr="005144D0" w:rsidRDefault="002A1533" w:rsidP="002A1533">
            <w:pPr>
              <w:spacing w:after="0" w:line="240" w:lineRule="auto"/>
              <w:ind w:right="634"/>
              <w:jc w:val="right"/>
              <w:rPr>
                <w:rFonts w:cs="Arial"/>
                <w:b/>
                <w:bCs/>
                <w:color w:val="000000"/>
                <w:sz w:val="18"/>
                <w:szCs w:val="18"/>
              </w:rPr>
            </w:pPr>
          </w:p>
        </w:tc>
      </w:tr>
      <w:tr w:rsidR="002A1533" w:rsidRPr="00680DAC" w14:paraId="20E5AD5D" w14:textId="77777777" w:rsidTr="002A1533">
        <w:trPr>
          <w:trHeight w:val="85"/>
        </w:trPr>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ECB832" w14:textId="77777777" w:rsidR="002A1533" w:rsidRPr="00C34499" w:rsidRDefault="002A1533" w:rsidP="002A1533">
            <w:pPr>
              <w:spacing w:after="0" w:line="240" w:lineRule="auto"/>
              <w:jc w:val="left"/>
              <w:rPr>
                <w:rFonts w:eastAsia="Times New Roman" w:cs="Calibri"/>
                <w:color w:val="000000"/>
                <w:sz w:val="20"/>
                <w:szCs w:val="20"/>
                <w:lang w:val="en-US"/>
              </w:rPr>
            </w:pPr>
            <w:r>
              <w:rPr>
                <w:rFonts w:eastAsia="Times New Roman" w:cs="Calibri"/>
                <w:color w:val="000000"/>
                <w:sz w:val="20"/>
                <w:szCs w:val="20"/>
                <w:lang w:val="en-US"/>
              </w:rPr>
              <w:t>1.1.3.99</w:t>
            </w:r>
          </w:p>
        </w:tc>
        <w:tc>
          <w:tcPr>
            <w:tcW w:w="18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63060A" w14:textId="77777777" w:rsidR="002A1533" w:rsidRPr="00C34499" w:rsidRDefault="002A1533" w:rsidP="002A1533">
            <w:pPr>
              <w:spacing w:after="0" w:line="240" w:lineRule="auto"/>
              <w:jc w:val="left"/>
              <w:rPr>
                <w:rFonts w:eastAsia="Times New Roman" w:cs="Calibri"/>
                <w:color w:val="000000"/>
                <w:sz w:val="20"/>
                <w:szCs w:val="20"/>
              </w:rPr>
            </w:pPr>
            <w:r>
              <w:rPr>
                <w:rFonts w:eastAsia="Times New Roman" w:cs="Calibri"/>
                <w:color w:val="000000"/>
                <w:sz w:val="20"/>
                <w:szCs w:val="20"/>
              </w:rPr>
              <w:t>Previsiones para deterioro de cuentas a cobrar a C.P.</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EBB075" w14:textId="77777777" w:rsidR="002A1533" w:rsidRPr="00396EFB" w:rsidRDefault="002A1533" w:rsidP="002A1533">
            <w:pPr>
              <w:spacing w:after="0" w:line="240" w:lineRule="auto"/>
              <w:jc w:val="right"/>
              <w:rPr>
                <w:rFonts w:cs="Calibri"/>
                <w:b/>
                <w:bCs/>
                <w:color w:val="000000"/>
                <w:sz w:val="18"/>
                <w:szCs w:val="18"/>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DD580A" w14:textId="77777777" w:rsidR="002A1533" w:rsidRPr="005144D0" w:rsidRDefault="002A1533" w:rsidP="002A1533">
            <w:pPr>
              <w:spacing w:after="0" w:line="240" w:lineRule="auto"/>
              <w:jc w:val="right"/>
              <w:rPr>
                <w:rFonts w:ascii="Arial" w:hAnsi="Arial" w:cs="Arial"/>
                <w:b/>
                <w:bCs/>
                <w:color w:val="000000"/>
                <w:sz w:val="18"/>
                <w:szCs w:val="18"/>
              </w:rPr>
            </w:pPr>
          </w:p>
        </w:tc>
        <w:tc>
          <w:tcPr>
            <w:tcW w:w="9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8741CF" w14:textId="77777777" w:rsidR="002A1533" w:rsidRPr="005144D0" w:rsidRDefault="002A1533" w:rsidP="002A1533">
            <w:pPr>
              <w:spacing w:after="0" w:line="240" w:lineRule="auto"/>
              <w:jc w:val="right"/>
              <w:rPr>
                <w:rFonts w:ascii="Arial" w:hAnsi="Arial" w:cs="Arial"/>
                <w:b/>
                <w:bCs/>
                <w:color w:val="000000"/>
                <w:sz w:val="18"/>
                <w:szCs w:val="18"/>
              </w:rPr>
            </w:pPr>
          </w:p>
        </w:tc>
        <w:tc>
          <w:tcPr>
            <w:tcW w:w="20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F49BA8" w14:textId="77777777" w:rsidR="002A1533" w:rsidRPr="005144D0" w:rsidRDefault="002A1533" w:rsidP="002A1533">
            <w:pPr>
              <w:spacing w:after="0" w:line="240" w:lineRule="auto"/>
              <w:jc w:val="center"/>
              <w:rPr>
                <w:rFonts w:cs="Arial"/>
                <w:b/>
                <w:bCs/>
                <w:color w:val="000000"/>
                <w:sz w:val="18"/>
                <w:szCs w:val="18"/>
              </w:rPr>
            </w:pPr>
            <w:r>
              <w:rPr>
                <w:rFonts w:cs="Arial"/>
                <w:b/>
                <w:bCs/>
                <w:color w:val="000000"/>
                <w:sz w:val="18"/>
                <w:szCs w:val="18"/>
              </w:rPr>
              <w:t>-</w:t>
            </w:r>
            <w:r w:rsidRPr="00ED21DA">
              <w:rPr>
                <w:rFonts w:cs="Arial"/>
                <w:b/>
                <w:bCs/>
                <w:color w:val="000000"/>
                <w:sz w:val="18"/>
                <w:szCs w:val="18"/>
              </w:rPr>
              <w:t xml:space="preserve">                        175 377,90 </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0466BA" w14:textId="77777777" w:rsidR="002A1533" w:rsidRPr="005144D0" w:rsidRDefault="002A1533" w:rsidP="002A1533">
            <w:pPr>
              <w:spacing w:after="0" w:line="240" w:lineRule="auto"/>
              <w:jc w:val="right"/>
              <w:rPr>
                <w:rFonts w:cs="Arial"/>
                <w:b/>
                <w:bCs/>
                <w:color w:val="000000"/>
                <w:sz w:val="18"/>
                <w:szCs w:val="18"/>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E5E096" w14:textId="45F4AB8C" w:rsidR="002A1533" w:rsidRPr="005144D0" w:rsidRDefault="002A1533" w:rsidP="002A1533">
            <w:pPr>
              <w:spacing w:after="0" w:line="240" w:lineRule="auto"/>
              <w:jc w:val="right"/>
              <w:rPr>
                <w:rFonts w:cs="Arial"/>
                <w:b/>
                <w:bCs/>
                <w:color w:val="000000"/>
                <w:sz w:val="18"/>
                <w:szCs w:val="18"/>
              </w:rPr>
            </w:pPr>
            <w:r>
              <w:rPr>
                <w:rFonts w:cs="Arial"/>
                <w:b/>
                <w:bCs/>
                <w:color w:val="000000"/>
                <w:sz w:val="18"/>
                <w:szCs w:val="18"/>
              </w:rPr>
              <w:t>-</w:t>
            </w:r>
            <w:r w:rsidRPr="00ED21DA">
              <w:rPr>
                <w:rFonts w:cs="Arial"/>
                <w:b/>
                <w:bCs/>
                <w:color w:val="000000"/>
                <w:sz w:val="18"/>
                <w:szCs w:val="18"/>
              </w:rPr>
              <w:t xml:space="preserve">              175 377,90 </w:t>
            </w:r>
          </w:p>
        </w:tc>
      </w:tr>
      <w:tr w:rsidR="00763462" w:rsidRPr="00680DAC" w14:paraId="7CDD5ADE" w14:textId="77777777" w:rsidTr="002A1533">
        <w:trPr>
          <w:trHeight w:val="304"/>
        </w:trPr>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389E94" w14:textId="77777777" w:rsidR="00763462" w:rsidRPr="00680DAC" w:rsidRDefault="00763462" w:rsidP="0061790F">
            <w:pPr>
              <w:spacing w:after="0" w:line="240" w:lineRule="auto"/>
              <w:jc w:val="left"/>
              <w:rPr>
                <w:rFonts w:eastAsia="Times New Roman" w:cs="Calibri"/>
                <w:color w:val="000000"/>
                <w:sz w:val="16"/>
                <w:lang w:eastAsia="es-CR"/>
              </w:rPr>
            </w:pPr>
          </w:p>
        </w:tc>
        <w:tc>
          <w:tcPr>
            <w:tcW w:w="18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286CC7" w14:textId="77777777" w:rsidR="00763462" w:rsidRPr="00013D62" w:rsidRDefault="00763462" w:rsidP="0061790F">
            <w:pPr>
              <w:spacing w:after="0" w:line="240" w:lineRule="auto"/>
              <w:jc w:val="left"/>
              <w:rPr>
                <w:rFonts w:eastAsia="Times New Roman" w:cs="Calibri"/>
                <w:b/>
                <w:bCs/>
                <w:color w:val="000000"/>
                <w:sz w:val="16"/>
                <w:lang w:eastAsia="es-CR"/>
              </w:rPr>
            </w:pPr>
            <w:r w:rsidRPr="00013D62">
              <w:rPr>
                <w:rFonts w:eastAsia="Times New Roman" w:cs="Calibri"/>
                <w:b/>
                <w:bCs/>
                <w:color w:val="000000"/>
                <w:sz w:val="16"/>
                <w:lang w:eastAsia="es-CR"/>
              </w:rPr>
              <w:t>TOTALES</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E20667" w14:textId="60946197" w:rsidR="00763462" w:rsidRPr="00396EFB" w:rsidRDefault="00763462" w:rsidP="0061790F">
            <w:pPr>
              <w:spacing w:after="0" w:line="240" w:lineRule="auto"/>
              <w:jc w:val="right"/>
              <w:rPr>
                <w:rFonts w:cs="Calibri"/>
                <w:b/>
                <w:bCs/>
                <w:color w:val="000000"/>
                <w:sz w:val="18"/>
                <w:szCs w:val="18"/>
              </w:rPr>
            </w:pPr>
            <w:r w:rsidRPr="00396EFB">
              <w:rPr>
                <w:rFonts w:ascii="Arial" w:hAnsi="Arial" w:cs="Arial"/>
                <w:b/>
                <w:bCs/>
                <w:color w:val="000000"/>
                <w:sz w:val="18"/>
                <w:szCs w:val="18"/>
              </w:rPr>
              <w:t>₡</w:t>
            </w:r>
            <w:r w:rsidR="002A1533" w:rsidRPr="002A1533">
              <w:rPr>
                <w:rFonts w:cs="Arial"/>
                <w:b/>
                <w:bCs/>
                <w:color w:val="000000"/>
                <w:sz w:val="18"/>
                <w:szCs w:val="18"/>
              </w:rPr>
              <w:t>2 779 345,66</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1C7DC7" w14:textId="77777777" w:rsidR="00763462" w:rsidRPr="005144D0" w:rsidRDefault="00763462" w:rsidP="0061790F">
            <w:pPr>
              <w:spacing w:after="0" w:line="240" w:lineRule="auto"/>
              <w:jc w:val="right"/>
              <w:rPr>
                <w:rFonts w:ascii="Arial" w:hAnsi="Arial" w:cs="Arial"/>
                <w:b/>
                <w:bCs/>
                <w:color w:val="000000"/>
                <w:sz w:val="18"/>
                <w:szCs w:val="18"/>
              </w:rPr>
            </w:pPr>
          </w:p>
        </w:tc>
        <w:tc>
          <w:tcPr>
            <w:tcW w:w="9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120565" w14:textId="77777777" w:rsidR="00763462" w:rsidRPr="005144D0" w:rsidRDefault="00763462" w:rsidP="0061790F">
            <w:pPr>
              <w:spacing w:after="0" w:line="240" w:lineRule="auto"/>
              <w:jc w:val="right"/>
              <w:rPr>
                <w:rFonts w:ascii="Arial" w:hAnsi="Arial" w:cs="Arial"/>
                <w:b/>
                <w:bCs/>
                <w:color w:val="000000"/>
                <w:sz w:val="18"/>
                <w:szCs w:val="18"/>
              </w:rPr>
            </w:pPr>
          </w:p>
        </w:tc>
        <w:tc>
          <w:tcPr>
            <w:tcW w:w="20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65E62F" w14:textId="7E2B0367" w:rsidR="00763462" w:rsidRPr="004300B6" w:rsidRDefault="00763462" w:rsidP="0061790F">
            <w:pPr>
              <w:spacing w:before="120" w:after="0" w:line="240" w:lineRule="auto"/>
              <w:jc w:val="right"/>
              <w:rPr>
                <w:rFonts w:cs="Arial"/>
                <w:b/>
                <w:bCs/>
                <w:color w:val="000000"/>
                <w:sz w:val="18"/>
                <w:szCs w:val="18"/>
              </w:rPr>
            </w:pPr>
            <w:r w:rsidRPr="004300B6">
              <w:rPr>
                <w:rFonts w:ascii="Arial" w:hAnsi="Arial" w:cs="Arial"/>
                <w:b/>
                <w:bCs/>
                <w:color w:val="000000"/>
                <w:sz w:val="18"/>
                <w:szCs w:val="18"/>
              </w:rPr>
              <w:t>₡</w:t>
            </w:r>
            <w:r w:rsidR="002A1533">
              <w:rPr>
                <w:rFonts w:cs="Arial"/>
                <w:b/>
                <w:bCs/>
                <w:color w:val="000000"/>
                <w:sz w:val="18"/>
                <w:szCs w:val="18"/>
              </w:rPr>
              <w:t>789 317,39</w:t>
            </w:r>
            <w:r w:rsidRPr="004300B6">
              <w:rPr>
                <w:rFonts w:cs="Arial"/>
                <w:b/>
                <w:bCs/>
                <w:color w:val="000000"/>
                <w:sz w:val="18"/>
                <w:szCs w:val="18"/>
              </w:rPr>
              <w:t xml:space="preserve">                      </w:t>
            </w:r>
          </w:p>
          <w:p w14:paraId="723C6187" w14:textId="77777777" w:rsidR="00763462" w:rsidRPr="004300B6" w:rsidRDefault="00763462" w:rsidP="0061790F">
            <w:pPr>
              <w:spacing w:after="0" w:line="240" w:lineRule="auto"/>
              <w:jc w:val="right"/>
              <w:rPr>
                <w:rFonts w:cs="Arial"/>
                <w:b/>
                <w:bCs/>
                <w:color w:val="000000"/>
                <w:sz w:val="18"/>
                <w:szCs w:val="18"/>
              </w:rPr>
            </w:pP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766AB0" w14:textId="77777777" w:rsidR="00763462" w:rsidRPr="005144D0" w:rsidRDefault="00763462" w:rsidP="0061790F">
            <w:pPr>
              <w:spacing w:after="0" w:line="240" w:lineRule="auto"/>
              <w:jc w:val="right"/>
              <w:rPr>
                <w:rFonts w:cs="Arial"/>
                <w:b/>
                <w:bCs/>
                <w:color w:val="000000"/>
                <w:sz w:val="18"/>
                <w:szCs w:val="18"/>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E7921F" w14:textId="5559D2A4" w:rsidR="002A1533" w:rsidRPr="005144D0" w:rsidRDefault="00763462" w:rsidP="002A1533">
            <w:pPr>
              <w:spacing w:after="0" w:line="240" w:lineRule="auto"/>
              <w:jc w:val="right"/>
              <w:rPr>
                <w:rFonts w:cs="Arial"/>
                <w:b/>
                <w:bCs/>
                <w:color w:val="000000"/>
                <w:sz w:val="18"/>
                <w:szCs w:val="18"/>
              </w:rPr>
            </w:pPr>
            <w:r w:rsidRPr="005144D0">
              <w:rPr>
                <w:rFonts w:ascii="Arial" w:hAnsi="Arial" w:cs="Arial"/>
                <w:b/>
                <w:bCs/>
                <w:color w:val="000000"/>
                <w:sz w:val="18"/>
                <w:szCs w:val="18"/>
              </w:rPr>
              <w:t>₡</w:t>
            </w:r>
            <w:r>
              <w:rPr>
                <w:rFonts w:cs="Arial"/>
                <w:b/>
                <w:bCs/>
                <w:color w:val="000000"/>
                <w:sz w:val="18"/>
                <w:szCs w:val="18"/>
              </w:rPr>
              <w:t>3</w:t>
            </w:r>
            <w:r w:rsidR="002A1533">
              <w:rPr>
                <w:rFonts w:cs="Arial"/>
                <w:b/>
                <w:bCs/>
                <w:color w:val="000000"/>
                <w:sz w:val="18"/>
                <w:szCs w:val="18"/>
              </w:rPr>
              <w:t> 568 663,05</w:t>
            </w:r>
          </w:p>
        </w:tc>
      </w:tr>
    </w:tbl>
    <w:p w14:paraId="52F3EBE9" w14:textId="77777777" w:rsidR="00763462" w:rsidRDefault="00763462" w:rsidP="00763462">
      <w:pPr>
        <w:rPr>
          <w:b/>
          <w:u w:val="single"/>
          <w:lang w:val="es-MX" w:eastAsia="es-CR"/>
        </w:rPr>
      </w:pPr>
    </w:p>
    <w:p w14:paraId="7013C4FF" w14:textId="77777777" w:rsidR="00F850CF" w:rsidRDefault="00F850CF" w:rsidP="00763462">
      <w:pPr>
        <w:rPr>
          <w:b/>
          <w:u w:val="single"/>
          <w:lang w:val="es-MX" w:eastAsia="es-CR"/>
        </w:rPr>
      </w:pPr>
    </w:p>
    <w:p w14:paraId="6AC24350" w14:textId="77777777" w:rsidR="00F850CF" w:rsidRDefault="00F850CF" w:rsidP="00763462">
      <w:pPr>
        <w:rPr>
          <w:b/>
          <w:u w:val="single"/>
          <w:lang w:val="es-MX" w:eastAsia="es-CR"/>
        </w:rPr>
      </w:pPr>
    </w:p>
    <w:p w14:paraId="642C6112" w14:textId="77777777" w:rsidR="00F850CF" w:rsidRDefault="00F850CF" w:rsidP="00763462">
      <w:pPr>
        <w:rPr>
          <w:b/>
          <w:u w:val="single"/>
          <w:lang w:val="es-MX" w:eastAsia="es-CR"/>
        </w:rPr>
      </w:pPr>
    </w:p>
    <w:p w14:paraId="0B59D93F" w14:textId="77777777" w:rsidR="00F850CF" w:rsidRDefault="00F850CF" w:rsidP="00763462">
      <w:pPr>
        <w:rPr>
          <w:b/>
          <w:u w:val="single"/>
          <w:lang w:val="es-MX" w:eastAsia="es-CR"/>
        </w:rPr>
      </w:pPr>
    </w:p>
    <w:tbl>
      <w:tblPr>
        <w:tblW w:w="10065" w:type="dxa"/>
        <w:tblInd w:w="-709" w:type="dxa"/>
        <w:tblCellMar>
          <w:left w:w="70" w:type="dxa"/>
          <w:right w:w="70" w:type="dxa"/>
        </w:tblCellMar>
        <w:tblLook w:val="04A0" w:firstRow="1" w:lastRow="0" w:firstColumn="1" w:lastColumn="0" w:noHBand="0" w:noVBand="1"/>
      </w:tblPr>
      <w:tblGrid>
        <w:gridCol w:w="797"/>
        <w:gridCol w:w="2104"/>
        <w:gridCol w:w="1110"/>
        <w:gridCol w:w="1124"/>
        <w:gridCol w:w="1160"/>
        <w:gridCol w:w="1160"/>
        <w:gridCol w:w="1160"/>
        <w:gridCol w:w="1450"/>
      </w:tblGrid>
      <w:tr w:rsidR="00763462" w:rsidRPr="00680DAC" w14:paraId="1F20CBE0" w14:textId="77777777" w:rsidTr="002F7400">
        <w:trPr>
          <w:trHeight w:val="28"/>
        </w:trPr>
        <w:tc>
          <w:tcPr>
            <w:tcW w:w="10065" w:type="dxa"/>
            <w:gridSpan w:val="8"/>
            <w:tcBorders>
              <w:top w:val="nil"/>
              <w:left w:val="nil"/>
              <w:bottom w:val="single" w:sz="8" w:space="0" w:color="auto"/>
              <w:right w:val="nil"/>
            </w:tcBorders>
            <w:shd w:val="clear" w:color="000000" w:fill="1F3864"/>
            <w:vAlign w:val="center"/>
            <w:hideMark/>
          </w:tcPr>
          <w:p w14:paraId="72AE2DD2" w14:textId="77777777" w:rsidR="00763462" w:rsidRPr="00680DAC" w:rsidRDefault="00763462" w:rsidP="0061790F">
            <w:pPr>
              <w:spacing w:after="0" w:line="240" w:lineRule="auto"/>
              <w:jc w:val="center"/>
              <w:rPr>
                <w:rFonts w:eastAsia="Times New Roman" w:cs="Calibri"/>
                <w:color w:val="FFFFFF"/>
                <w:sz w:val="16"/>
                <w:szCs w:val="20"/>
                <w:lang w:eastAsia="es-CR"/>
              </w:rPr>
            </w:pPr>
            <w:r>
              <w:rPr>
                <w:rFonts w:eastAsia="Times New Roman" w:cs="Calibri"/>
                <w:color w:val="FFFFFF"/>
                <w:sz w:val="16"/>
                <w:szCs w:val="20"/>
                <w:lang w:eastAsia="es-CR"/>
              </w:rPr>
              <w:t>PASIVOS</w:t>
            </w:r>
            <w:r w:rsidRPr="00680DAC">
              <w:rPr>
                <w:rFonts w:eastAsia="Times New Roman" w:cs="Calibri"/>
                <w:color w:val="FFFFFF"/>
                <w:sz w:val="16"/>
                <w:szCs w:val="20"/>
                <w:lang w:eastAsia="es-CR"/>
              </w:rPr>
              <w:t xml:space="preserve"> FINANCIEROS</w:t>
            </w:r>
          </w:p>
        </w:tc>
      </w:tr>
      <w:tr w:rsidR="00763462" w:rsidRPr="00680DAC" w14:paraId="3FBC1449" w14:textId="77777777" w:rsidTr="002F7400">
        <w:trPr>
          <w:trHeight w:val="27"/>
        </w:trPr>
        <w:tc>
          <w:tcPr>
            <w:tcW w:w="797" w:type="dxa"/>
            <w:tcBorders>
              <w:top w:val="nil"/>
              <w:left w:val="single" w:sz="8" w:space="0" w:color="auto"/>
              <w:bottom w:val="single" w:sz="4" w:space="0" w:color="auto"/>
              <w:right w:val="single" w:sz="8" w:space="0" w:color="auto"/>
            </w:tcBorders>
            <w:shd w:val="clear" w:color="000000" w:fill="1F3864"/>
            <w:vAlign w:val="center"/>
            <w:hideMark/>
          </w:tcPr>
          <w:p w14:paraId="483A0A25" w14:textId="77777777" w:rsidR="00763462" w:rsidRPr="00680DAC" w:rsidRDefault="00763462" w:rsidP="0061790F">
            <w:pPr>
              <w:spacing w:after="0" w:line="240" w:lineRule="auto"/>
              <w:jc w:val="center"/>
              <w:rPr>
                <w:rFonts w:eastAsia="Times New Roman" w:cs="Calibri"/>
                <w:color w:val="FFFFFF"/>
                <w:sz w:val="16"/>
                <w:szCs w:val="20"/>
                <w:lang w:eastAsia="es-CR"/>
              </w:rPr>
            </w:pPr>
            <w:r w:rsidRPr="00680DAC">
              <w:rPr>
                <w:rFonts w:eastAsia="Times New Roman" w:cs="Calibri"/>
                <w:color w:val="FFFFFF"/>
                <w:sz w:val="16"/>
                <w:szCs w:val="20"/>
                <w:lang w:eastAsia="es-CR"/>
              </w:rPr>
              <w:t>Cuenta</w:t>
            </w:r>
          </w:p>
        </w:tc>
        <w:tc>
          <w:tcPr>
            <w:tcW w:w="2104" w:type="dxa"/>
            <w:tcBorders>
              <w:top w:val="nil"/>
              <w:left w:val="nil"/>
              <w:bottom w:val="single" w:sz="4" w:space="0" w:color="auto"/>
              <w:right w:val="single" w:sz="8" w:space="0" w:color="auto"/>
            </w:tcBorders>
            <w:shd w:val="clear" w:color="000000" w:fill="1F3864"/>
            <w:vAlign w:val="center"/>
            <w:hideMark/>
          </w:tcPr>
          <w:p w14:paraId="75A40900" w14:textId="77777777" w:rsidR="00763462" w:rsidRPr="00680DAC" w:rsidRDefault="00763462" w:rsidP="0061790F">
            <w:pPr>
              <w:spacing w:after="0" w:line="240" w:lineRule="auto"/>
              <w:jc w:val="center"/>
              <w:rPr>
                <w:rFonts w:eastAsia="Times New Roman" w:cs="Calibri"/>
                <w:color w:val="FFFFFF"/>
                <w:sz w:val="16"/>
                <w:szCs w:val="20"/>
                <w:lang w:eastAsia="es-CR"/>
              </w:rPr>
            </w:pPr>
            <w:r w:rsidRPr="00680DAC">
              <w:rPr>
                <w:rFonts w:eastAsia="Times New Roman" w:cs="Calibri"/>
                <w:color w:val="FFFFFF"/>
                <w:sz w:val="16"/>
                <w:szCs w:val="20"/>
                <w:lang w:eastAsia="es-CR"/>
              </w:rPr>
              <w:t xml:space="preserve">Detalle </w:t>
            </w:r>
          </w:p>
        </w:tc>
        <w:tc>
          <w:tcPr>
            <w:tcW w:w="1110" w:type="dxa"/>
            <w:tcBorders>
              <w:top w:val="nil"/>
              <w:left w:val="nil"/>
              <w:bottom w:val="single" w:sz="4" w:space="0" w:color="auto"/>
              <w:right w:val="single" w:sz="8" w:space="0" w:color="auto"/>
            </w:tcBorders>
            <w:shd w:val="clear" w:color="000000" w:fill="1F3864"/>
            <w:vAlign w:val="center"/>
            <w:hideMark/>
          </w:tcPr>
          <w:p w14:paraId="30FA43DB" w14:textId="5C7192E9" w:rsidR="00763462" w:rsidRPr="00680DAC" w:rsidRDefault="00763462" w:rsidP="0061790F">
            <w:pPr>
              <w:spacing w:after="0" w:line="240" w:lineRule="auto"/>
              <w:jc w:val="center"/>
              <w:rPr>
                <w:rFonts w:eastAsia="Times New Roman" w:cs="Calibri"/>
                <w:color w:val="FFFFFF"/>
                <w:sz w:val="16"/>
                <w:szCs w:val="20"/>
                <w:lang w:eastAsia="es-CR"/>
              </w:rPr>
            </w:pPr>
            <w:r w:rsidRPr="00680DAC">
              <w:rPr>
                <w:rFonts w:eastAsia="Times New Roman" w:cs="Calibri"/>
                <w:color w:val="FFFFFF"/>
                <w:sz w:val="16"/>
                <w:szCs w:val="20"/>
                <w:lang w:eastAsia="es-CR"/>
              </w:rPr>
              <w:t xml:space="preserve"> Saldo de 1 a </w:t>
            </w:r>
            <w:r w:rsidR="00796636">
              <w:rPr>
                <w:rFonts w:eastAsia="Times New Roman" w:cs="Calibri"/>
                <w:color w:val="FFFFFF"/>
                <w:sz w:val="16"/>
                <w:szCs w:val="20"/>
                <w:lang w:eastAsia="es-CR"/>
              </w:rPr>
              <w:t>31</w:t>
            </w:r>
            <w:r w:rsidRPr="00680DAC">
              <w:rPr>
                <w:rFonts w:eastAsia="Times New Roman" w:cs="Calibri"/>
                <w:color w:val="FFFFFF"/>
                <w:sz w:val="16"/>
                <w:szCs w:val="20"/>
                <w:lang w:eastAsia="es-CR"/>
              </w:rPr>
              <w:t xml:space="preserve"> días</w:t>
            </w:r>
          </w:p>
        </w:tc>
        <w:tc>
          <w:tcPr>
            <w:tcW w:w="1124" w:type="dxa"/>
            <w:tcBorders>
              <w:top w:val="nil"/>
              <w:left w:val="nil"/>
              <w:bottom w:val="single" w:sz="4" w:space="0" w:color="auto"/>
              <w:right w:val="single" w:sz="8" w:space="0" w:color="auto"/>
            </w:tcBorders>
            <w:shd w:val="clear" w:color="000000" w:fill="1F3864"/>
            <w:vAlign w:val="center"/>
            <w:hideMark/>
          </w:tcPr>
          <w:p w14:paraId="0C09EFF8" w14:textId="77777777" w:rsidR="00763462" w:rsidRPr="00680DAC" w:rsidRDefault="00763462" w:rsidP="0061790F">
            <w:pPr>
              <w:spacing w:after="0" w:line="240" w:lineRule="auto"/>
              <w:jc w:val="center"/>
              <w:rPr>
                <w:rFonts w:eastAsia="Times New Roman" w:cs="Calibri"/>
                <w:color w:val="FFFFFF"/>
                <w:sz w:val="16"/>
                <w:szCs w:val="20"/>
                <w:lang w:eastAsia="es-CR"/>
              </w:rPr>
            </w:pPr>
            <w:r w:rsidRPr="00680DAC">
              <w:rPr>
                <w:rFonts w:eastAsia="Times New Roman" w:cs="Calibri"/>
                <w:color w:val="FFFFFF"/>
                <w:sz w:val="16"/>
                <w:szCs w:val="20"/>
                <w:lang w:eastAsia="es-CR"/>
              </w:rPr>
              <w:t>Saldo de 31 a 90 días</w:t>
            </w:r>
          </w:p>
        </w:tc>
        <w:tc>
          <w:tcPr>
            <w:tcW w:w="1160" w:type="dxa"/>
            <w:tcBorders>
              <w:top w:val="nil"/>
              <w:left w:val="nil"/>
              <w:bottom w:val="single" w:sz="4" w:space="0" w:color="auto"/>
              <w:right w:val="single" w:sz="8" w:space="0" w:color="auto"/>
            </w:tcBorders>
            <w:shd w:val="clear" w:color="000000" w:fill="1F3864"/>
            <w:vAlign w:val="center"/>
            <w:hideMark/>
          </w:tcPr>
          <w:p w14:paraId="7447B48A" w14:textId="77777777" w:rsidR="00763462" w:rsidRPr="00680DAC" w:rsidRDefault="00763462" w:rsidP="0061790F">
            <w:pPr>
              <w:spacing w:after="0" w:line="240" w:lineRule="auto"/>
              <w:jc w:val="center"/>
              <w:rPr>
                <w:rFonts w:eastAsia="Times New Roman" w:cs="Calibri"/>
                <w:color w:val="FFFFFF"/>
                <w:sz w:val="16"/>
                <w:szCs w:val="20"/>
                <w:lang w:eastAsia="es-CR"/>
              </w:rPr>
            </w:pPr>
            <w:r w:rsidRPr="00680DAC">
              <w:rPr>
                <w:rFonts w:eastAsia="Times New Roman" w:cs="Calibri"/>
                <w:color w:val="FFFFFF"/>
                <w:sz w:val="16"/>
                <w:szCs w:val="20"/>
                <w:lang w:eastAsia="es-CR"/>
              </w:rPr>
              <w:t xml:space="preserve"> Saldo de 91 a 180 días</w:t>
            </w:r>
          </w:p>
        </w:tc>
        <w:tc>
          <w:tcPr>
            <w:tcW w:w="1160" w:type="dxa"/>
            <w:tcBorders>
              <w:top w:val="nil"/>
              <w:left w:val="nil"/>
              <w:bottom w:val="single" w:sz="4" w:space="0" w:color="auto"/>
              <w:right w:val="single" w:sz="8" w:space="0" w:color="auto"/>
            </w:tcBorders>
            <w:shd w:val="clear" w:color="000000" w:fill="1F3864"/>
            <w:vAlign w:val="center"/>
            <w:hideMark/>
          </w:tcPr>
          <w:p w14:paraId="7DE5FBDA" w14:textId="77777777" w:rsidR="00763462" w:rsidRPr="00680DAC" w:rsidRDefault="00763462" w:rsidP="0061790F">
            <w:pPr>
              <w:spacing w:after="0" w:line="240" w:lineRule="auto"/>
              <w:jc w:val="center"/>
              <w:rPr>
                <w:rFonts w:eastAsia="Times New Roman" w:cs="Calibri"/>
                <w:color w:val="FFFFFF"/>
                <w:sz w:val="16"/>
                <w:szCs w:val="20"/>
                <w:lang w:eastAsia="es-CR"/>
              </w:rPr>
            </w:pPr>
            <w:r w:rsidRPr="00680DAC">
              <w:rPr>
                <w:rFonts w:eastAsia="Times New Roman" w:cs="Calibri"/>
                <w:color w:val="FFFFFF"/>
                <w:sz w:val="16"/>
                <w:szCs w:val="20"/>
                <w:lang w:eastAsia="es-CR"/>
              </w:rPr>
              <w:t xml:space="preserve"> Saldo de 181 a 365 días</w:t>
            </w:r>
          </w:p>
        </w:tc>
        <w:tc>
          <w:tcPr>
            <w:tcW w:w="1160" w:type="dxa"/>
            <w:tcBorders>
              <w:top w:val="nil"/>
              <w:left w:val="nil"/>
              <w:bottom w:val="single" w:sz="4" w:space="0" w:color="auto"/>
              <w:right w:val="single" w:sz="8" w:space="0" w:color="auto"/>
            </w:tcBorders>
            <w:shd w:val="clear" w:color="000000" w:fill="1F3864"/>
            <w:vAlign w:val="center"/>
            <w:hideMark/>
          </w:tcPr>
          <w:p w14:paraId="7AFBE5C9" w14:textId="77777777" w:rsidR="00763462" w:rsidRPr="00680DAC" w:rsidRDefault="00763462" w:rsidP="0061790F">
            <w:pPr>
              <w:spacing w:after="0" w:line="240" w:lineRule="auto"/>
              <w:jc w:val="center"/>
              <w:rPr>
                <w:rFonts w:eastAsia="Times New Roman" w:cs="Calibri"/>
                <w:color w:val="FFFFFF"/>
                <w:sz w:val="16"/>
                <w:szCs w:val="20"/>
                <w:lang w:eastAsia="es-CR"/>
              </w:rPr>
            </w:pPr>
            <w:r w:rsidRPr="00680DAC">
              <w:rPr>
                <w:rFonts w:eastAsia="Times New Roman" w:cs="Calibri"/>
                <w:color w:val="FFFFFF"/>
                <w:sz w:val="16"/>
                <w:szCs w:val="20"/>
                <w:lang w:eastAsia="es-CR"/>
              </w:rPr>
              <w:t>Más de 365 días</w:t>
            </w:r>
          </w:p>
        </w:tc>
        <w:tc>
          <w:tcPr>
            <w:tcW w:w="1450" w:type="dxa"/>
            <w:tcBorders>
              <w:top w:val="nil"/>
              <w:left w:val="nil"/>
              <w:bottom w:val="single" w:sz="4" w:space="0" w:color="auto"/>
              <w:right w:val="single" w:sz="8" w:space="0" w:color="auto"/>
            </w:tcBorders>
            <w:shd w:val="clear" w:color="000000" w:fill="1F3864"/>
            <w:vAlign w:val="center"/>
            <w:hideMark/>
          </w:tcPr>
          <w:p w14:paraId="2CAB3925" w14:textId="77777777" w:rsidR="00763462" w:rsidRPr="00680DAC" w:rsidRDefault="00763462" w:rsidP="0061790F">
            <w:pPr>
              <w:spacing w:after="0" w:line="240" w:lineRule="auto"/>
              <w:jc w:val="center"/>
              <w:rPr>
                <w:rFonts w:eastAsia="Times New Roman" w:cs="Calibri"/>
                <w:color w:val="FFFFFF"/>
                <w:sz w:val="16"/>
                <w:szCs w:val="20"/>
                <w:lang w:eastAsia="es-CR"/>
              </w:rPr>
            </w:pPr>
            <w:r w:rsidRPr="00680DAC">
              <w:rPr>
                <w:rFonts w:eastAsia="Times New Roman" w:cs="Calibri"/>
                <w:color w:val="FFFFFF"/>
                <w:sz w:val="16"/>
                <w:szCs w:val="20"/>
                <w:lang w:eastAsia="es-CR"/>
              </w:rPr>
              <w:t>Total</w:t>
            </w:r>
          </w:p>
        </w:tc>
      </w:tr>
      <w:tr w:rsidR="00763462" w:rsidRPr="00680DAC" w14:paraId="2D92A435" w14:textId="77777777" w:rsidTr="002F7400">
        <w:trPr>
          <w:trHeight w:val="27"/>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63182D" w14:textId="77777777" w:rsidR="00763462" w:rsidRPr="00680DAC" w:rsidRDefault="00763462" w:rsidP="0061790F">
            <w:pPr>
              <w:spacing w:after="0" w:line="240" w:lineRule="auto"/>
              <w:jc w:val="left"/>
              <w:rPr>
                <w:rFonts w:eastAsia="Times New Roman" w:cs="Calibri"/>
                <w:color w:val="000000"/>
                <w:sz w:val="16"/>
                <w:lang w:eastAsia="es-CR"/>
              </w:rPr>
            </w:pPr>
            <w:r w:rsidRPr="00C34499">
              <w:rPr>
                <w:rFonts w:eastAsia="Times New Roman" w:cs="Calibri"/>
                <w:color w:val="000000"/>
                <w:sz w:val="18"/>
                <w:szCs w:val="18"/>
                <w:lang w:val="en-US"/>
              </w:rPr>
              <w:t>2.1.1.01.</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A34027" w14:textId="77777777" w:rsidR="00763462" w:rsidRPr="00680DAC" w:rsidRDefault="00763462" w:rsidP="0061790F">
            <w:pPr>
              <w:spacing w:after="0" w:line="240" w:lineRule="auto"/>
              <w:jc w:val="left"/>
              <w:rPr>
                <w:rFonts w:eastAsia="Times New Roman" w:cs="Calibri"/>
                <w:color w:val="000000"/>
                <w:sz w:val="16"/>
                <w:lang w:eastAsia="es-CR"/>
              </w:rPr>
            </w:pPr>
            <w:r w:rsidRPr="00C34499">
              <w:rPr>
                <w:rFonts w:eastAsia="Times New Roman" w:cs="Calibri"/>
                <w:color w:val="000000"/>
                <w:sz w:val="18"/>
                <w:szCs w:val="18"/>
              </w:rPr>
              <w:t>Deudas comerciales a corto plazo</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E0EECA" w14:textId="1FBB42ED" w:rsidR="00763462" w:rsidRPr="002F7400" w:rsidRDefault="00685B86" w:rsidP="0061790F">
            <w:pPr>
              <w:spacing w:after="0" w:line="240" w:lineRule="auto"/>
              <w:jc w:val="right"/>
              <w:rPr>
                <w:rFonts w:eastAsia="Times New Roman" w:cs="Arial"/>
                <w:color w:val="000000"/>
                <w:sz w:val="18"/>
                <w:szCs w:val="18"/>
                <w:lang w:eastAsia="es-CR"/>
              </w:rPr>
            </w:pPr>
            <w:r w:rsidRPr="002F7400">
              <w:rPr>
                <w:rFonts w:cs="Arial"/>
                <w:color w:val="000000"/>
                <w:sz w:val="18"/>
                <w:szCs w:val="18"/>
              </w:rPr>
              <w:t>-</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356DF5" w14:textId="77777777" w:rsidR="00763462" w:rsidRPr="002F7400" w:rsidRDefault="00763462" w:rsidP="0061790F">
            <w:pPr>
              <w:spacing w:after="0" w:line="240" w:lineRule="auto"/>
              <w:jc w:val="center"/>
              <w:rPr>
                <w:rFonts w:eastAsia="Times New Roman" w:cs="Calibri"/>
                <w:color w:val="000000"/>
                <w:sz w:val="18"/>
                <w:szCs w:val="18"/>
                <w:lang w:eastAsia="es-CR"/>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84126" w14:textId="77777777" w:rsidR="00763462" w:rsidRPr="002F7400" w:rsidRDefault="00763462" w:rsidP="0061790F">
            <w:pPr>
              <w:spacing w:after="0" w:line="240" w:lineRule="auto"/>
              <w:jc w:val="center"/>
              <w:rPr>
                <w:rFonts w:eastAsia="Times New Roman" w:cs="Calibri"/>
                <w:color w:val="000000"/>
                <w:sz w:val="18"/>
                <w:szCs w:val="18"/>
                <w:lang w:eastAsia="es-CR"/>
              </w:rPr>
            </w:pPr>
            <w:r w:rsidRPr="002F7400">
              <w:rPr>
                <w:rFonts w:eastAsia="Times New Roman" w:cs="Calibri"/>
                <w:color w:val="000000"/>
                <w:sz w:val="18"/>
                <w:szCs w:val="18"/>
                <w:lang w:eastAsia="es-CR"/>
              </w:rPr>
              <w:t>-</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780D12" w14:textId="77777777" w:rsidR="00763462" w:rsidRPr="002F7400" w:rsidRDefault="00763462" w:rsidP="0061790F">
            <w:pPr>
              <w:spacing w:after="0" w:line="240" w:lineRule="auto"/>
              <w:jc w:val="center"/>
              <w:rPr>
                <w:rFonts w:eastAsia="Times New Roman" w:cs="Calibri"/>
                <w:color w:val="000000"/>
                <w:sz w:val="18"/>
                <w:szCs w:val="18"/>
                <w:lang w:eastAsia="es-CR"/>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A4334" w14:textId="77777777" w:rsidR="00763462" w:rsidRPr="002F7400" w:rsidRDefault="00763462" w:rsidP="0061790F">
            <w:pPr>
              <w:spacing w:after="0" w:line="240" w:lineRule="auto"/>
              <w:jc w:val="center"/>
              <w:rPr>
                <w:rFonts w:eastAsia="Times New Roman" w:cs="Calibri"/>
                <w:color w:val="000000"/>
                <w:sz w:val="18"/>
                <w:szCs w:val="18"/>
                <w:lang w:eastAsia="es-CR"/>
              </w:rPr>
            </w:pPr>
            <w:r w:rsidRPr="002F7400">
              <w:rPr>
                <w:rFonts w:eastAsia="Times New Roman" w:cs="Calibri"/>
                <w:color w:val="000000"/>
                <w:sz w:val="18"/>
                <w:szCs w:val="18"/>
                <w:lang w:eastAsia="es-CR"/>
              </w:rPr>
              <w:t>-</w:t>
            </w:r>
          </w:p>
        </w:tc>
        <w:tc>
          <w:tcPr>
            <w:tcW w:w="1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110FA9" w14:textId="77777777" w:rsidR="00763462" w:rsidRPr="002F7400" w:rsidRDefault="00763462" w:rsidP="0061790F">
            <w:pPr>
              <w:spacing w:after="0" w:line="240" w:lineRule="auto"/>
              <w:jc w:val="right"/>
              <w:rPr>
                <w:rFonts w:cs="Arial"/>
                <w:color w:val="000000"/>
                <w:sz w:val="18"/>
                <w:szCs w:val="18"/>
              </w:rPr>
            </w:pPr>
            <w:r w:rsidRPr="002F7400">
              <w:rPr>
                <w:rFonts w:cs="Arial"/>
                <w:color w:val="000000"/>
                <w:sz w:val="18"/>
                <w:szCs w:val="18"/>
              </w:rPr>
              <w:t xml:space="preserve">                               44 628,48 </w:t>
            </w:r>
          </w:p>
        </w:tc>
      </w:tr>
      <w:tr w:rsidR="00685B86" w:rsidRPr="00680DAC" w14:paraId="1B17EACB" w14:textId="77777777" w:rsidTr="002F7400">
        <w:trPr>
          <w:trHeight w:val="27"/>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B2489D" w14:textId="77777777" w:rsidR="00685B86" w:rsidRPr="00680DAC" w:rsidRDefault="00685B86" w:rsidP="00685B86">
            <w:pPr>
              <w:spacing w:after="0" w:line="240" w:lineRule="auto"/>
              <w:jc w:val="left"/>
              <w:rPr>
                <w:rFonts w:eastAsia="Times New Roman" w:cs="Calibri"/>
                <w:color w:val="000000"/>
                <w:sz w:val="16"/>
                <w:lang w:eastAsia="es-CR"/>
              </w:rPr>
            </w:pPr>
            <w:r w:rsidRPr="00C34499">
              <w:rPr>
                <w:rFonts w:eastAsia="Times New Roman" w:cs="Calibri"/>
                <w:color w:val="000000"/>
                <w:sz w:val="18"/>
                <w:szCs w:val="18"/>
                <w:lang w:val="en-US"/>
              </w:rPr>
              <w:t>2.1.1.02.</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989430" w14:textId="77777777" w:rsidR="00685B86" w:rsidRPr="00680DAC" w:rsidRDefault="00685B86" w:rsidP="00685B86">
            <w:pPr>
              <w:spacing w:after="0" w:line="240" w:lineRule="auto"/>
              <w:jc w:val="left"/>
              <w:rPr>
                <w:rFonts w:eastAsia="Times New Roman" w:cs="Calibri"/>
                <w:color w:val="000000"/>
                <w:sz w:val="16"/>
                <w:lang w:eastAsia="es-CR"/>
              </w:rPr>
            </w:pPr>
            <w:r w:rsidRPr="00C34499">
              <w:rPr>
                <w:rFonts w:eastAsia="Times New Roman" w:cs="Calibri"/>
                <w:color w:val="000000"/>
                <w:sz w:val="18"/>
                <w:szCs w:val="18"/>
              </w:rPr>
              <w:t>Deudas sociales y fiscales a corto plazo</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79D7AB" w14:textId="15A16371" w:rsidR="00685B86" w:rsidRPr="002F7400" w:rsidRDefault="00685B86" w:rsidP="00685B86">
            <w:pPr>
              <w:spacing w:after="0" w:line="240" w:lineRule="auto"/>
              <w:jc w:val="right"/>
              <w:rPr>
                <w:rFonts w:cs="Arial"/>
                <w:color w:val="000000"/>
                <w:sz w:val="18"/>
                <w:szCs w:val="18"/>
              </w:rPr>
            </w:pPr>
            <w:r w:rsidRPr="002F7400">
              <w:rPr>
                <w:rFonts w:cs="Arial"/>
                <w:color w:val="000000"/>
                <w:sz w:val="18"/>
                <w:szCs w:val="18"/>
              </w:rPr>
              <w:t xml:space="preserve">                               28 252,88 </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539A0D" w14:textId="77777777" w:rsidR="00685B86" w:rsidRPr="002F7400" w:rsidRDefault="00685B86" w:rsidP="00685B86">
            <w:pPr>
              <w:spacing w:after="0" w:line="240" w:lineRule="auto"/>
              <w:jc w:val="center"/>
              <w:rPr>
                <w:rFonts w:eastAsia="Times New Roman" w:cs="Calibri"/>
                <w:color w:val="000000"/>
                <w:sz w:val="18"/>
                <w:szCs w:val="18"/>
                <w:lang w:eastAsia="es-CR"/>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49EA3F" w14:textId="77777777" w:rsidR="00685B86" w:rsidRPr="002F7400" w:rsidRDefault="00685B86" w:rsidP="00685B86">
            <w:pPr>
              <w:spacing w:after="0" w:line="240" w:lineRule="auto"/>
              <w:jc w:val="center"/>
              <w:rPr>
                <w:rFonts w:eastAsia="Times New Roman" w:cs="Calibri"/>
                <w:color w:val="000000"/>
                <w:sz w:val="18"/>
                <w:szCs w:val="18"/>
                <w:lang w:eastAsia="es-CR"/>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AC40BD" w14:textId="77777777" w:rsidR="00685B86" w:rsidRPr="002F7400" w:rsidRDefault="00685B86" w:rsidP="00685B86">
            <w:pPr>
              <w:spacing w:after="0" w:line="240" w:lineRule="auto"/>
              <w:jc w:val="center"/>
              <w:rPr>
                <w:rFonts w:eastAsia="Times New Roman" w:cs="Calibri"/>
                <w:color w:val="000000"/>
                <w:sz w:val="18"/>
                <w:szCs w:val="18"/>
                <w:lang w:eastAsia="es-CR"/>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3C61F0" w14:textId="77777777" w:rsidR="00685B86" w:rsidRPr="002F7400" w:rsidRDefault="00685B86" w:rsidP="00685B86">
            <w:pPr>
              <w:spacing w:after="0" w:line="240" w:lineRule="auto"/>
              <w:jc w:val="center"/>
              <w:rPr>
                <w:rFonts w:eastAsia="Times New Roman" w:cs="Calibri"/>
                <w:color w:val="000000"/>
                <w:sz w:val="18"/>
                <w:szCs w:val="18"/>
                <w:lang w:eastAsia="es-CR"/>
              </w:rPr>
            </w:pPr>
          </w:p>
        </w:tc>
        <w:tc>
          <w:tcPr>
            <w:tcW w:w="1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85EE68" w14:textId="7E6F3123" w:rsidR="00685B86" w:rsidRPr="002F7400" w:rsidRDefault="00685B86" w:rsidP="00685B86">
            <w:pPr>
              <w:spacing w:after="0" w:line="240" w:lineRule="auto"/>
              <w:jc w:val="right"/>
              <w:rPr>
                <w:rFonts w:cs="Arial"/>
                <w:color w:val="000000"/>
                <w:sz w:val="18"/>
                <w:szCs w:val="18"/>
              </w:rPr>
            </w:pPr>
            <w:r w:rsidRPr="002F7400">
              <w:rPr>
                <w:rFonts w:cs="Calibri"/>
                <w:color w:val="000000"/>
                <w:sz w:val="18"/>
                <w:szCs w:val="18"/>
              </w:rPr>
              <w:t xml:space="preserve">                               28 252,88 </w:t>
            </w:r>
          </w:p>
        </w:tc>
      </w:tr>
      <w:tr w:rsidR="00685B86" w:rsidRPr="00680DAC" w14:paraId="359F584C" w14:textId="77777777" w:rsidTr="002F7400">
        <w:trPr>
          <w:trHeight w:val="27"/>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972D82" w14:textId="77777777" w:rsidR="00685B86" w:rsidRPr="00680DAC" w:rsidRDefault="00685B86" w:rsidP="00685B86">
            <w:pPr>
              <w:spacing w:after="0" w:line="240" w:lineRule="auto"/>
              <w:jc w:val="left"/>
              <w:rPr>
                <w:rFonts w:eastAsia="Times New Roman" w:cs="Calibri"/>
                <w:color w:val="000000"/>
                <w:sz w:val="16"/>
                <w:lang w:eastAsia="es-CR"/>
              </w:rPr>
            </w:pPr>
            <w:r w:rsidRPr="00C34499">
              <w:rPr>
                <w:rFonts w:eastAsia="Times New Roman" w:cs="Calibri"/>
                <w:color w:val="000000"/>
                <w:sz w:val="18"/>
                <w:szCs w:val="18"/>
                <w:lang w:val="en-US"/>
              </w:rPr>
              <w:t>2.1.1.03.</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B9C42B" w14:textId="77777777" w:rsidR="00685B86" w:rsidRPr="00680DAC" w:rsidRDefault="00685B86" w:rsidP="00685B86">
            <w:pPr>
              <w:spacing w:after="0" w:line="240" w:lineRule="auto"/>
              <w:jc w:val="left"/>
              <w:rPr>
                <w:rFonts w:eastAsia="Times New Roman" w:cs="Calibri"/>
                <w:color w:val="000000"/>
                <w:sz w:val="16"/>
                <w:lang w:eastAsia="es-CR"/>
              </w:rPr>
            </w:pPr>
            <w:r w:rsidRPr="00C34499">
              <w:rPr>
                <w:rFonts w:eastAsia="Times New Roman" w:cs="Calibri"/>
                <w:color w:val="000000"/>
                <w:sz w:val="18"/>
                <w:szCs w:val="18"/>
              </w:rPr>
              <w:t>Transferencias a pagar a corto plazo</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A78DD9" w14:textId="77777777" w:rsidR="00685B86" w:rsidRPr="002F7400" w:rsidRDefault="00685B86" w:rsidP="00685B86">
            <w:pPr>
              <w:spacing w:after="0" w:line="240" w:lineRule="auto"/>
              <w:jc w:val="right"/>
              <w:rPr>
                <w:rFonts w:cs="Arial"/>
                <w:color w:val="000000"/>
                <w:sz w:val="18"/>
                <w:szCs w:val="18"/>
              </w:rPr>
            </w:pPr>
            <w:r w:rsidRPr="002F7400">
              <w:rPr>
                <w:rFonts w:cs="Arial"/>
                <w:color w:val="000000"/>
                <w:sz w:val="18"/>
                <w:szCs w:val="18"/>
              </w:rPr>
              <w:t>-</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F98AB6" w14:textId="77777777" w:rsidR="00685B86" w:rsidRPr="002F7400" w:rsidRDefault="00685B86" w:rsidP="00685B86">
            <w:pPr>
              <w:spacing w:after="0" w:line="240" w:lineRule="auto"/>
              <w:jc w:val="center"/>
              <w:rPr>
                <w:rFonts w:eastAsia="Times New Roman" w:cs="Calibri"/>
                <w:color w:val="000000"/>
                <w:sz w:val="18"/>
                <w:szCs w:val="18"/>
                <w:lang w:eastAsia="es-CR"/>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4B2987" w14:textId="530F8656" w:rsidR="00685B86" w:rsidRPr="002F7400" w:rsidRDefault="00685B86" w:rsidP="00685B86">
            <w:pPr>
              <w:spacing w:after="0" w:line="240" w:lineRule="auto"/>
              <w:jc w:val="center"/>
              <w:rPr>
                <w:rFonts w:cs="Arial"/>
                <w:color w:val="000000"/>
                <w:sz w:val="18"/>
                <w:szCs w:val="18"/>
              </w:rPr>
            </w:pPr>
            <w:r w:rsidRPr="002F7400">
              <w:rPr>
                <w:rFonts w:cs="Arial"/>
                <w:color w:val="000000"/>
                <w:sz w:val="18"/>
                <w:szCs w:val="18"/>
              </w:rPr>
              <w:t xml:space="preserve">                               71 890,39 </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850FD5" w14:textId="77777777" w:rsidR="00685B86" w:rsidRPr="002F7400" w:rsidRDefault="00685B86" w:rsidP="00685B86">
            <w:pPr>
              <w:spacing w:after="0" w:line="240" w:lineRule="auto"/>
              <w:jc w:val="right"/>
              <w:rPr>
                <w:rFonts w:eastAsia="Times New Roman" w:cs="Calibri"/>
                <w:color w:val="000000"/>
                <w:sz w:val="18"/>
                <w:szCs w:val="18"/>
                <w:lang w:eastAsia="es-CR"/>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BD5EE3" w14:textId="77777777" w:rsidR="00685B86" w:rsidRPr="002F7400" w:rsidRDefault="00685B86" w:rsidP="00685B86">
            <w:pPr>
              <w:spacing w:after="0" w:line="240" w:lineRule="auto"/>
              <w:jc w:val="center"/>
              <w:rPr>
                <w:rFonts w:eastAsia="Times New Roman" w:cs="Calibri"/>
                <w:color w:val="000000"/>
                <w:sz w:val="18"/>
                <w:szCs w:val="18"/>
                <w:lang w:eastAsia="es-CR"/>
              </w:rPr>
            </w:pPr>
          </w:p>
        </w:tc>
        <w:tc>
          <w:tcPr>
            <w:tcW w:w="1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EDCB5B" w14:textId="1044463F" w:rsidR="00685B86" w:rsidRPr="002F7400" w:rsidRDefault="00685B86" w:rsidP="00685B86">
            <w:pPr>
              <w:spacing w:after="0" w:line="240" w:lineRule="auto"/>
              <w:jc w:val="right"/>
              <w:rPr>
                <w:rFonts w:cs="Arial"/>
                <w:color w:val="000000"/>
                <w:sz w:val="18"/>
                <w:szCs w:val="18"/>
              </w:rPr>
            </w:pPr>
            <w:r w:rsidRPr="002F7400">
              <w:rPr>
                <w:rFonts w:cs="Calibri"/>
                <w:color w:val="000000"/>
                <w:sz w:val="18"/>
                <w:szCs w:val="18"/>
              </w:rPr>
              <w:t xml:space="preserve">                               71 890,39 </w:t>
            </w:r>
          </w:p>
        </w:tc>
      </w:tr>
      <w:tr w:rsidR="00763462" w:rsidRPr="00680DAC" w14:paraId="7C6CF5FB" w14:textId="77777777" w:rsidTr="002F7400">
        <w:trPr>
          <w:trHeight w:val="27"/>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0B3E37" w14:textId="77777777" w:rsidR="00763462" w:rsidRPr="00680DAC" w:rsidRDefault="00763462" w:rsidP="0061790F">
            <w:pPr>
              <w:spacing w:after="0" w:line="240" w:lineRule="auto"/>
              <w:jc w:val="left"/>
              <w:rPr>
                <w:rFonts w:eastAsia="Times New Roman" w:cs="Calibri"/>
                <w:color w:val="000000"/>
                <w:sz w:val="16"/>
                <w:lang w:eastAsia="es-CR"/>
              </w:rPr>
            </w:pPr>
            <w:r w:rsidRPr="00C34499">
              <w:rPr>
                <w:rFonts w:eastAsia="Times New Roman" w:cs="Calibri"/>
                <w:color w:val="000000"/>
                <w:sz w:val="18"/>
                <w:szCs w:val="18"/>
                <w:lang w:val="en-US"/>
              </w:rPr>
              <w:t>2.1.2.02.</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5E9F51" w14:textId="77777777" w:rsidR="00763462" w:rsidRPr="00680DAC" w:rsidRDefault="00763462" w:rsidP="0061790F">
            <w:pPr>
              <w:spacing w:after="0" w:line="240" w:lineRule="auto"/>
              <w:jc w:val="left"/>
              <w:rPr>
                <w:rFonts w:eastAsia="Times New Roman" w:cs="Calibri"/>
                <w:color w:val="000000"/>
                <w:sz w:val="16"/>
                <w:lang w:eastAsia="es-CR"/>
              </w:rPr>
            </w:pPr>
            <w:r w:rsidRPr="00C34499">
              <w:rPr>
                <w:rFonts w:eastAsia="Times New Roman" w:cs="Calibri"/>
                <w:color w:val="000000"/>
                <w:sz w:val="18"/>
                <w:szCs w:val="18"/>
              </w:rPr>
              <w:t>Préstamos a pagar a corto plazo</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12D061" w14:textId="77777777" w:rsidR="00763462" w:rsidRPr="002F7400" w:rsidRDefault="00763462" w:rsidP="0061790F">
            <w:pPr>
              <w:spacing w:after="0" w:line="240" w:lineRule="auto"/>
              <w:jc w:val="right"/>
              <w:rPr>
                <w:rFonts w:cs="Arial"/>
                <w:color w:val="000000"/>
                <w:sz w:val="18"/>
                <w:szCs w:val="18"/>
              </w:rPr>
            </w:pPr>
            <w:r w:rsidRPr="002F7400">
              <w:rPr>
                <w:rFonts w:cs="Arial"/>
                <w:color w:val="000000"/>
                <w:sz w:val="18"/>
                <w:szCs w:val="18"/>
              </w:rPr>
              <w:t>-</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D0C6B8" w14:textId="77777777" w:rsidR="00763462" w:rsidRPr="002F7400" w:rsidRDefault="00763462" w:rsidP="0061790F">
            <w:pPr>
              <w:spacing w:after="0" w:line="240" w:lineRule="auto"/>
              <w:jc w:val="center"/>
              <w:rPr>
                <w:rFonts w:eastAsia="Times New Roman" w:cs="Calibri"/>
                <w:color w:val="000000"/>
                <w:sz w:val="18"/>
                <w:szCs w:val="18"/>
                <w:lang w:eastAsia="es-CR"/>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646480" w14:textId="283D4F14" w:rsidR="00763462" w:rsidRPr="002F7400" w:rsidRDefault="00685B86" w:rsidP="00685B86">
            <w:pPr>
              <w:spacing w:after="0" w:line="240" w:lineRule="auto"/>
              <w:jc w:val="center"/>
              <w:rPr>
                <w:rFonts w:eastAsia="Times New Roman" w:cs="Calibri"/>
                <w:color w:val="000000"/>
                <w:sz w:val="18"/>
                <w:szCs w:val="18"/>
                <w:lang w:eastAsia="es-CR"/>
              </w:rPr>
            </w:pPr>
            <w:r w:rsidRPr="002F7400">
              <w:rPr>
                <w:rFonts w:eastAsia="Times New Roman" w:cs="Calibri"/>
                <w:color w:val="000000"/>
                <w:sz w:val="18"/>
                <w:szCs w:val="18"/>
                <w:lang w:eastAsia="es-CR"/>
              </w:rPr>
              <w:t xml:space="preserve">                             371 062,70 </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704C4F" w14:textId="77777777" w:rsidR="00763462" w:rsidRPr="002F7400" w:rsidRDefault="00763462" w:rsidP="0061790F">
            <w:pPr>
              <w:spacing w:after="0" w:line="240" w:lineRule="auto"/>
              <w:jc w:val="right"/>
              <w:rPr>
                <w:rFonts w:eastAsia="Times New Roman" w:cs="Calibri"/>
                <w:color w:val="000000"/>
                <w:sz w:val="18"/>
                <w:szCs w:val="18"/>
                <w:lang w:eastAsia="es-CR"/>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2C22F3" w14:textId="77777777" w:rsidR="00763462" w:rsidRPr="002F7400" w:rsidRDefault="00763462" w:rsidP="0061790F">
            <w:pPr>
              <w:spacing w:after="0" w:line="240" w:lineRule="auto"/>
              <w:jc w:val="center"/>
              <w:rPr>
                <w:rFonts w:eastAsia="Times New Roman" w:cs="Calibri"/>
                <w:color w:val="000000"/>
                <w:sz w:val="18"/>
                <w:szCs w:val="18"/>
                <w:lang w:eastAsia="es-CR"/>
              </w:rPr>
            </w:pPr>
          </w:p>
        </w:tc>
        <w:tc>
          <w:tcPr>
            <w:tcW w:w="1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45C394" w14:textId="760ADCC0" w:rsidR="00763462" w:rsidRPr="002F7400" w:rsidRDefault="00763462" w:rsidP="0061790F">
            <w:pPr>
              <w:spacing w:after="0" w:line="240" w:lineRule="auto"/>
              <w:jc w:val="right"/>
              <w:rPr>
                <w:rFonts w:cs="Arial"/>
                <w:color w:val="000000"/>
                <w:sz w:val="18"/>
                <w:szCs w:val="18"/>
              </w:rPr>
            </w:pPr>
            <w:r w:rsidRPr="002F7400">
              <w:rPr>
                <w:rFonts w:cs="Arial"/>
                <w:color w:val="000000"/>
                <w:sz w:val="18"/>
                <w:szCs w:val="18"/>
              </w:rPr>
              <w:t xml:space="preserve">                             </w:t>
            </w:r>
            <w:r w:rsidR="00685B86" w:rsidRPr="002F7400">
              <w:rPr>
                <w:rFonts w:eastAsia="Times New Roman" w:cs="Calibri"/>
                <w:color w:val="000000"/>
                <w:sz w:val="18"/>
                <w:szCs w:val="18"/>
                <w:lang w:eastAsia="es-CR"/>
              </w:rPr>
              <w:t>371 062,70</w:t>
            </w:r>
          </w:p>
        </w:tc>
      </w:tr>
      <w:tr w:rsidR="00685B86" w:rsidRPr="00680DAC" w14:paraId="60715CB0" w14:textId="77777777" w:rsidTr="002F7400">
        <w:trPr>
          <w:trHeight w:val="27"/>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2589A1" w14:textId="77777777" w:rsidR="00685B86" w:rsidRPr="00680DAC" w:rsidRDefault="00685B86" w:rsidP="00685B86">
            <w:pPr>
              <w:spacing w:after="0" w:line="240" w:lineRule="auto"/>
              <w:jc w:val="left"/>
              <w:rPr>
                <w:rFonts w:eastAsia="Times New Roman" w:cs="Calibri"/>
                <w:color w:val="000000"/>
                <w:sz w:val="16"/>
                <w:lang w:eastAsia="es-CR"/>
              </w:rPr>
            </w:pPr>
            <w:r w:rsidRPr="00C34499">
              <w:rPr>
                <w:rFonts w:eastAsia="Times New Roman" w:cs="Calibri"/>
                <w:color w:val="000000"/>
                <w:sz w:val="18"/>
                <w:szCs w:val="18"/>
                <w:lang w:val="en-US"/>
              </w:rPr>
              <w:t>2.1.3.03.</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1DD19C" w14:textId="77777777" w:rsidR="00685B86" w:rsidRPr="00680DAC" w:rsidRDefault="00685B86" w:rsidP="00685B86">
            <w:pPr>
              <w:spacing w:after="0" w:line="240" w:lineRule="auto"/>
              <w:jc w:val="left"/>
              <w:rPr>
                <w:rFonts w:eastAsia="Times New Roman" w:cs="Calibri"/>
                <w:color w:val="000000"/>
                <w:sz w:val="16"/>
                <w:lang w:eastAsia="es-CR"/>
              </w:rPr>
            </w:pPr>
            <w:proofErr w:type="spellStart"/>
            <w:r w:rsidRPr="00C34499">
              <w:rPr>
                <w:rFonts w:eastAsia="Times New Roman" w:cs="Calibri"/>
                <w:color w:val="000000"/>
                <w:sz w:val="18"/>
                <w:szCs w:val="18"/>
                <w:lang w:val="en-US"/>
              </w:rPr>
              <w:t>Depósitos</w:t>
            </w:r>
            <w:proofErr w:type="spellEnd"/>
            <w:r w:rsidRPr="00C34499">
              <w:rPr>
                <w:rFonts w:eastAsia="Times New Roman" w:cs="Calibri"/>
                <w:color w:val="000000"/>
                <w:sz w:val="18"/>
                <w:szCs w:val="18"/>
                <w:lang w:val="en-US"/>
              </w:rPr>
              <w:t xml:space="preserve"> </w:t>
            </w:r>
            <w:proofErr w:type="spellStart"/>
            <w:r w:rsidRPr="00C34499">
              <w:rPr>
                <w:rFonts w:eastAsia="Times New Roman" w:cs="Calibri"/>
                <w:color w:val="000000"/>
                <w:sz w:val="18"/>
                <w:szCs w:val="18"/>
                <w:lang w:val="en-US"/>
              </w:rPr>
              <w:t>en</w:t>
            </w:r>
            <w:proofErr w:type="spellEnd"/>
            <w:r w:rsidRPr="00C34499">
              <w:rPr>
                <w:rFonts w:eastAsia="Times New Roman" w:cs="Calibri"/>
                <w:color w:val="000000"/>
                <w:sz w:val="18"/>
                <w:szCs w:val="18"/>
                <w:lang w:val="en-US"/>
              </w:rPr>
              <w:t xml:space="preserve"> </w:t>
            </w:r>
            <w:proofErr w:type="spellStart"/>
            <w:r w:rsidRPr="00C34499">
              <w:rPr>
                <w:rFonts w:eastAsia="Times New Roman" w:cs="Calibri"/>
                <w:color w:val="000000"/>
                <w:sz w:val="18"/>
                <w:szCs w:val="18"/>
                <w:lang w:val="en-US"/>
              </w:rPr>
              <w:t>garantía</w:t>
            </w:r>
            <w:proofErr w:type="spellEnd"/>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FF2BB6" w14:textId="6B70A37D" w:rsidR="00685B86" w:rsidRPr="002F7400" w:rsidRDefault="00685B86" w:rsidP="00685B86">
            <w:pPr>
              <w:spacing w:after="0" w:line="240" w:lineRule="auto"/>
              <w:jc w:val="right"/>
              <w:rPr>
                <w:rFonts w:cs="Arial"/>
                <w:color w:val="000000"/>
                <w:sz w:val="18"/>
                <w:szCs w:val="18"/>
              </w:rPr>
            </w:pPr>
            <w:r w:rsidRPr="002F7400">
              <w:rPr>
                <w:rFonts w:cs="Arial"/>
                <w:color w:val="000000"/>
                <w:sz w:val="18"/>
                <w:szCs w:val="18"/>
              </w:rPr>
              <w:t xml:space="preserve">                               62 540,81 </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3C9706" w14:textId="77777777" w:rsidR="00685B86" w:rsidRPr="002F7400" w:rsidRDefault="00685B86" w:rsidP="00685B86">
            <w:pPr>
              <w:spacing w:after="0" w:line="240" w:lineRule="auto"/>
              <w:jc w:val="center"/>
              <w:rPr>
                <w:rFonts w:eastAsia="Times New Roman" w:cs="Calibri"/>
                <w:color w:val="000000"/>
                <w:sz w:val="18"/>
                <w:szCs w:val="18"/>
                <w:lang w:eastAsia="es-CR"/>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7A739B" w14:textId="77777777" w:rsidR="00685B86" w:rsidRPr="002F7400" w:rsidRDefault="00685B86" w:rsidP="00685B86">
            <w:pPr>
              <w:spacing w:after="0" w:line="240" w:lineRule="auto"/>
              <w:jc w:val="center"/>
              <w:rPr>
                <w:rFonts w:eastAsia="Times New Roman" w:cs="Calibri"/>
                <w:color w:val="000000"/>
                <w:sz w:val="18"/>
                <w:szCs w:val="18"/>
                <w:lang w:eastAsia="es-CR"/>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B1E485" w14:textId="77777777" w:rsidR="00685B86" w:rsidRPr="002F7400" w:rsidRDefault="00685B86" w:rsidP="00685B86">
            <w:pPr>
              <w:spacing w:after="0" w:line="240" w:lineRule="auto"/>
              <w:jc w:val="center"/>
              <w:rPr>
                <w:rFonts w:eastAsia="Times New Roman" w:cs="Calibri"/>
                <w:color w:val="000000"/>
                <w:sz w:val="18"/>
                <w:szCs w:val="18"/>
                <w:lang w:eastAsia="es-CR"/>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98624F" w14:textId="77777777" w:rsidR="00685B86" w:rsidRPr="002F7400" w:rsidRDefault="00685B86" w:rsidP="00685B86">
            <w:pPr>
              <w:spacing w:after="0" w:line="240" w:lineRule="auto"/>
              <w:jc w:val="center"/>
              <w:rPr>
                <w:rFonts w:eastAsia="Times New Roman" w:cs="Calibri"/>
                <w:color w:val="000000"/>
                <w:sz w:val="18"/>
                <w:szCs w:val="18"/>
                <w:lang w:eastAsia="es-CR"/>
              </w:rPr>
            </w:pPr>
          </w:p>
        </w:tc>
        <w:tc>
          <w:tcPr>
            <w:tcW w:w="1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00600B" w14:textId="76A9687E" w:rsidR="00685B86" w:rsidRPr="002F7400" w:rsidRDefault="00685B86" w:rsidP="00685B86">
            <w:pPr>
              <w:spacing w:after="0" w:line="240" w:lineRule="auto"/>
              <w:jc w:val="right"/>
              <w:rPr>
                <w:rFonts w:cs="Arial"/>
                <w:color w:val="000000"/>
                <w:sz w:val="18"/>
                <w:szCs w:val="18"/>
              </w:rPr>
            </w:pPr>
            <w:r w:rsidRPr="002F7400">
              <w:rPr>
                <w:rFonts w:cs="Arial"/>
                <w:color w:val="000000"/>
                <w:sz w:val="18"/>
                <w:szCs w:val="18"/>
              </w:rPr>
              <w:t xml:space="preserve">                               62 540,81 </w:t>
            </w:r>
          </w:p>
        </w:tc>
      </w:tr>
      <w:tr w:rsidR="00763462" w:rsidRPr="00680DAC" w14:paraId="5418645B" w14:textId="77777777" w:rsidTr="002F7400">
        <w:trPr>
          <w:trHeight w:val="27"/>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FDABD8" w14:textId="77777777" w:rsidR="00763462" w:rsidRPr="00680DAC" w:rsidRDefault="00763462" w:rsidP="0061790F">
            <w:pPr>
              <w:spacing w:after="0" w:line="240" w:lineRule="auto"/>
              <w:jc w:val="left"/>
              <w:rPr>
                <w:rFonts w:eastAsia="Times New Roman" w:cs="Calibri"/>
                <w:color w:val="000000"/>
                <w:sz w:val="16"/>
                <w:lang w:eastAsia="es-CR"/>
              </w:rPr>
            </w:pPr>
            <w:r w:rsidRPr="00C34499">
              <w:rPr>
                <w:rFonts w:eastAsia="Times New Roman" w:cs="Calibri"/>
                <w:color w:val="000000"/>
                <w:sz w:val="18"/>
                <w:szCs w:val="18"/>
                <w:lang w:val="en-US"/>
              </w:rPr>
              <w:t>2.2.2.02.</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B66A7D" w14:textId="77777777" w:rsidR="00763462" w:rsidRPr="00680DAC" w:rsidRDefault="00763462" w:rsidP="0061790F">
            <w:pPr>
              <w:spacing w:after="0" w:line="240" w:lineRule="auto"/>
              <w:jc w:val="left"/>
              <w:rPr>
                <w:rFonts w:eastAsia="Times New Roman" w:cs="Calibri"/>
                <w:color w:val="000000"/>
                <w:sz w:val="16"/>
                <w:lang w:eastAsia="es-CR"/>
              </w:rPr>
            </w:pPr>
            <w:r w:rsidRPr="00C34499">
              <w:rPr>
                <w:rFonts w:eastAsia="Times New Roman" w:cs="Calibri"/>
                <w:color w:val="000000"/>
                <w:sz w:val="18"/>
                <w:szCs w:val="18"/>
              </w:rPr>
              <w:t>Préstamos a pagar a largo plazo</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202257" w14:textId="77777777" w:rsidR="00763462" w:rsidRPr="002F7400" w:rsidRDefault="00763462" w:rsidP="0061790F">
            <w:pPr>
              <w:spacing w:after="0" w:line="240" w:lineRule="auto"/>
              <w:jc w:val="right"/>
              <w:rPr>
                <w:rFonts w:cs="Arial"/>
                <w:color w:val="000000"/>
                <w:sz w:val="18"/>
                <w:szCs w:val="18"/>
              </w:rPr>
            </w:pPr>
            <w:r w:rsidRPr="002F7400">
              <w:rPr>
                <w:rFonts w:cs="Arial"/>
                <w:color w:val="000000"/>
                <w:sz w:val="18"/>
                <w:szCs w:val="18"/>
              </w:rPr>
              <w:t>-</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D230C8" w14:textId="77777777" w:rsidR="00763462" w:rsidRPr="002F7400" w:rsidRDefault="00763462" w:rsidP="0061790F">
            <w:pPr>
              <w:spacing w:after="0" w:line="240" w:lineRule="auto"/>
              <w:jc w:val="center"/>
              <w:rPr>
                <w:rFonts w:eastAsia="Times New Roman" w:cs="Calibri"/>
                <w:color w:val="000000"/>
                <w:sz w:val="18"/>
                <w:szCs w:val="18"/>
                <w:lang w:eastAsia="es-CR"/>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A645F0" w14:textId="77777777" w:rsidR="00763462" w:rsidRPr="002F7400" w:rsidRDefault="00763462" w:rsidP="0061790F">
            <w:pPr>
              <w:spacing w:after="0" w:line="240" w:lineRule="auto"/>
              <w:jc w:val="center"/>
              <w:rPr>
                <w:rFonts w:eastAsia="Times New Roman" w:cs="Calibri"/>
                <w:color w:val="000000"/>
                <w:sz w:val="18"/>
                <w:szCs w:val="18"/>
                <w:lang w:eastAsia="es-CR"/>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D60DDC" w14:textId="77777777" w:rsidR="00763462" w:rsidRPr="002F7400" w:rsidRDefault="00763462" w:rsidP="0061790F">
            <w:pPr>
              <w:spacing w:after="0" w:line="240" w:lineRule="auto"/>
              <w:jc w:val="center"/>
              <w:rPr>
                <w:rFonts w:eastAsia="Times New Roman" w:cs="Calibri"/>
                <w:color w:val="000000"/>
                <w:sz w:val="18"/>
                <w:szCs w:val="18"/>
                <w:lang w:eastAsia="es-CR"/>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DE8C90" w14:textId="1420CAC9" w:rsidR="00763462" w:rsidRPr="002F7400" w:rsidRDefault="00685B86" w:rsidP="00685B86">
            <w:pPr>
              <w:spacing w:after="0" w:line="240" w:lineRule="auto"/>
              <w:jc w:val="right"/>
              <w:rPr>
                <w:rFonts w:cs="Arial"/>
                <w:color w:val="000000"/>
                <w:sz w:val="18"/>
                <w:szCs w:val="18"/>
              </w:rPr>
            </w:pPr>
            <w:r w:rsidRPr="002F7400">
              <w:rPr>
                <w:rFonts w:cs="Arial"/>
                <w:color w:val="000000"/>
                <w:sz w:val="18"/>
                <w:szCs w:val="18"/>
              </w:rPr>
              <w:t xml:space="preserve">                         2 115 032,77 </w:t>
            </w:r>
          </w:p>
        </w:tc>
        <w:tc>
          <w:tcPr>
            <w:tcW w:w="1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C32968" w14:textId="54689568" w:rsidR="00763462" w:rsidRPr="002F7400" w:rsidRDefault="00763462" w:rsidP="0061790F">
            <w:pPr>
              <w:spacing w:after="0" w:line="240" w:lineRule="auto"/>
              <w:jc w:val="right"/>
              <w:rPr>
                <w:rFonts w:cs="Arial"/>
                <w:color w:val="000000"/>
                <w:sz w:val="18"/>
                <w:szCs w:val="18"/>
              </w:rPr>
            </w:pPr>
            <w:r w:rsidRPr="002F7400">
              <w:rPr>
                <w:rFonts w:cs="Arial"/>
                <w:color w:val="000000"/>
                <w:sz w:val="18"/>
                <w:szCs w:val="18"/>
              </w:rPr>
              <w:t xml:space="preserve">         </w:t>
            </w:r>
            <w:r w:rsidR="00685B86" w:rsidRPr="002F7400">
              <w:rPr>
                <w:rFonts w:cs="Arial"/>
                <w:color w:val="000000"/>
                <w:sz w:val="18"/>
                <w:szCs w:val="18"/>
              </w:rPr>
              <w:t>2 115 032,77</w:t>
            </w:r>
          </w:p>
        </w:tc>
      </w:tr>
      <w:tr w:rsidR="00763462" w:rsidRPr="00680DAC" w14:paraId="1BA0CA27" w14:textId="77777777" w:rsidTr="002F7400">
        <w:trPr>
          <w:trHeight w:val="96"/>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CECE46" w14:textId="77777777" w:rsidR="00763462" w:rsidRPr="00847698" w:rsidRDefault="00763462" w:rsidP="0061790F">
            <w:pPr>
              <w:spacing w:after="0" w:line="240" w:lineRule="auto"/>
              <w:jc w:val="left"/>
              <w:rPr>
                <w:rFonts w:eastAsia="Times New Roman" w:cs="Calibri"/>
                <w:color w:val="000000"/>
                <w:sz w:val="18"/>
                <w:szCs w:val="18"/>
                <w:lang w:val="en-US"/>
              </w:rPr>
            </w:pP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CC3DC2" w14:textId="77777777" w:rsidR="00763462" w:rsidRPr="00847698" w:rsidRDefault="00763462" w:rsidP="0061790F">
            <w:pPr>
              <w:spacing w:after="0" w:line="240" w:lineRule="auto"/>
              <w:jc w:val="center"/>
              <w:rPr>
                <w:rFonts w:eastAsia="Times New Roman" w:cs="Calibri"/>
                <w:b/>
                <w:bCs/>
                <w:color w:val="000000"/>
                <w:sz w:val="18"/>
                <w:szCs w:val="18"/>
              </w:rPr>
            </w:pPr>
            <w:r w:rsidRPr="00847698">
              <w:rPr>
                <w:rFonts w:eastAsia="Times New Roman" w:cs="Calibri"/>
                <w:b/>
                <w:bCs/>
                <w:color w:val="000000"/>
                <w:sz w:val="18"/>
                <w:szCs w:val="18"/>
              </w:rPr>
              <w:t>TOTALES</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624372" w14:textId="07A640D4" w:rsidR="00685B86" w:rsidRPr="002F7400" w:rsidRDefault="00763462" w:rsidP="002F7400">
            <w:pPr>
              <w:spacing w:after="0" w:line="240" w:lineRule="auto"/>
              <w:rPr>
                <w:rFonts w:cs="Arial"/>
                <w:b/>
                <w:bCs/>
                <w:color w:val="000000"/>
                <w:sz w:val="18"/>
                <w:szCs w:val="18"/>
              </w:rPr>
            </w:pPr>
            <w:r w:rsidRPr="002F7400">
              <w:rPr>
                <w:rFonts w:ascii="Arial" w:hAnsi="Arial" w:cs="Arial"/>
                <w:b/>
                <w:bCs/>
                <w:color w:val="000000"/>
                <w:sz w:val="18"/>
                <w:szCs w:val="18"/>
              </w:rPr>
              <w:t>₡</w:t>
            </w:r>
            <w:r w:rsidR="00685B86" w:rsidRPr="002F7400">
              <w:rPr>
                <w:rFonts w:cs="Arial"/>
                <w:b/>
                <w:bCs/>
                <w:color w:val="000000"/>
                <w:sz w:val="18"/>
                <w:szCs w:val="18"/>
              </w:rPr>
              <w:t xml:space="preserve">90 793,68 </w:t>
            </w:r>
          </w:p>
          <w:p w14:paraId="6469E549" w14:textId="69914DAC" w:rsidR="00763462" w:rsidRPr="002F7400" w:rsidRDefault="00763462" w:rsidP="0061790F">
            <w:pPr>
              <w:spacing w:after="0" w:line="240" w:lineRule="auto"/>
              <w:jc w:val="right"/>
              <w:rPr>
                <w:rFonts w:cs="Arial"/>
                <w:b/>
                <w:bCs/>
                <w:color w:val="000000"/>
                <w:sz w:val="18"/>
                <w:szCs w:val="18"/>
              </w:rPr>
            </w:pP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8E08FF" w14:textId="77777777" w:rsidR="00763462" w:rsidRPr="002F7400" w:rsidRDefault="00763462" w:rsidP="0061790F">
            <w:pPr>
              <w:spacing w:after="0" w:line="240" w:lineRule="auto"/>
              <w:jc w:val="center"/>
              <w:rPr>
                <w:rFonts w:eastAsia="Times New Roman" w:cs="Calibri"/>
                <w:color w:val="000000"/>
                <w:sz w:val="18"/>
                <w:szCs w:val="18"/>
                <w:lang w:eastAsia="es-CR"/>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CFB6EC" w14:textId="0E6E7231" w:rsidR="002F7400" w:rsidRPr="002F7400" w:rsidRDefault="00763462" w:rsidP="002F7400">
            <w:pPr>
              <w:spacing w:after="0" w:line="240" w:lineRule="auto"/>
              <w:jc w:val="center"/>
              <w:rPr>
                <w:rFonts w:cs="Arial"/>
                <w:b/>
                <w:bCs/>
                <w:color w:val="000000"/>
                <w:sz w:val="18"/>
                <w:szCs w:val="18"/>
              </w:rPr>
            </w:pPr>
            <w:r w:rsidRPr="002F7400">
              <w:rPr>
                <w:rFonts w:ascii="Arial" w:hAnsi="Arial" w:cs="Arial"/>
                <w:b/>
                <w:bCs/>
                <w:color w:val="000000"/>
                <w:sz w:val="18"/>
                <w:szCs w:val="18"/>
              </w:rPr>
              <w:t>₡</w:t>
            </w:r>
            <w:r w:rsidR="002F7400" w:rsidRPr="002F7400">
              <w:rPr>
                <w:rFonts w:cs="Arial"/>
                <w:b/>
                <w:bCs/>
                <w:color w:val="000000"/>
                <w:sz w:val="18"/>
                <w:szCs w:val="18"/>
              </w:rPr>
              <w:t xml:space="preserve">442 953,09 </w:t>
            </w:r>
          </w:p>
          <w:p w14:paraId="5CFBF28E" w14:textId="2B8067CD" w:rsidR="00763462" w:rsidRPr="002F7400" w:rsidRDefault="00763462" w:rsidP="0061790F">
            <w:pPr>
              <w:spacing w:after="0" w:line="240" w:lineRule="auto"/>
              <w:jc w:val="center"/>
              <w:rPr>
                <w:rFonts w:eastAsia="Times New Roman" w:cs="Calibri"/>
                <w:color w:val="000000"/>
                <w:sz w:val="18"/>
                <w:szCs w:val="18"/>
                <w:lang w:eastAsia="es-CR"/>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951C35" w14:textId="77777777" w:rsidR="00763462" w:rsidRPr="002F7400" w:rsidRDefault="00763462" w:rsidP="0061790F">
            <w:pPr>
              <w:spacing w:after="0" w:line="240" w:lineRule="auto"/>
              <w:jc w:val="right"/>
              <w:rPr>
                <w:rFonts w:cs="Arial"/>
                <w:b/>
                <w:bCs/>
                <w:color w:val="000000"/>
                <w:sz w:val="18"/>
                <w:szCs w:val="18"/>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68094E" w14:textId="726DEE65" w:rsidR="00763462" w:rsidRPr="002F7400" w:rsidRDefault="00763462" w:rsidP="0061790F">
            <w:pPr>
              <w:spacing w:after="0" w:line="240" w:lineRule="auto"/>
              <w:jc w:val="right"/>
              <w:rPr>
                <w:rFonts w:cs="Arial"/>
                <w:b/>
                <w:bCs/>
                <w:color w:val="000000"/>
                <w:sz w:val="18"/>
                <w:szCs w:val="18"/>
              </w:rPr>
            </w:pPr>
            <w:r w:rsidRPr="002F7400">
              <w:rPr>
                <w:rFonts w:ascii="Arial" w:hAnsi="Arial" w:cs="Arial"/>
                <w:b/>
                <w:bCs/>
                <w:color w:val="000000"/>
                <w:sz w:val="18"/>
                <w:szCs w:val="18"/>
              </w:rPr>
              <w:t>₡</w:t>
            </w:r>
            <w:r w:rsidR="002F7400" w:rsidRPr="002F7400">
              <w:rPr>
                <w:rFonts w:cs="Arial"/>
                <w:b/>
                <w:bCs/>
                <w:color w:val="000000"/>
                <w:sz w:val="18"/>
                <w:szCs w:val="18"/>
              </w:rPr>
              <w:t>2 115 032,77</w:t>
            </w:r>
          </w:p>
        </w:tc>
        <w:tc>
          <w:tcPr>
            <w:tcW w:w="1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BFA9B7" w14:textId="77777777" w:rsidR="002F7400" w:rsidRPr="002F7400" w:rsidRDefault="002F7400" w:rsidP="002F7400">
            <w:pPr>
              <w:spacing w:after="0" w:line="240" w:lineRule="auto"/>
              <w:rPr>
                <w:rFonts w:cs="Arial"/>
                <w:b/>
                <w:bCs/>
                <w:color w:val="000000"/>
                <w:sz w:val="18"/>
                <w:szCs w:val="18"/>
              </w:rPr>
            </w:pPr>
          </w:p>
          <w:p w14:paraId="0653B132" w14:textId="0D7D6190" w:rsidR="002F7400" w:rsidRPr="002F7400" w:rsidRDefault="00763462" w:rsidP="002F7400">
            <w:pPr>
              <w:spacing w:after="0" w:line="240" w:lineRule="auto"/>
              <w:rPr>
                <w:rFonts w:cs="Arial"/>
                <w:b/>
                <w:bCs/>
                <w:color w:val="000000"/>
                <w:sz w:val="18"/>
                <w:szCs w:val="18"/>
              </w:rPr>
            </w:pPr>
            <w:r w:rsidRPr="002F7400">
              <w:rPr>
                <w:rFonts w:ascii="Arial" w:hAnsi="Arial" w:cs="Arial"/>
                <w:b/>
                <w:bCs/>
                <w:color w:val="000000"/>
                <w:sz w:val="18"/>
                <w:szCs w:val="18"/>
              </w:rPr>
              <w:t>₡</w:t>
            </w:r>
            <w:r w:rsidR="002F7400" w:rsidRPr="002F7400">
              <w:rPr>
                <w:rFonts w:cs="Arial"/>
                <w:b/>
                <w:bCs/>
                <w:color w:val="000000"/>
                <w:sz w:val="18"/>
                <w:szCs w:val="18"/>
              </w:rPr>
              <w:t xml:space="preserve">2 648 779,54 </w:t>
            </w:r>
          </w:p>
          <w:p w14:paraId="0139A5F8" w14:textId="71DC5DF4" w:rsidR="00763462" w:rsidRPr="002F7400" w:rsidRDefault="00763462" w:rsidP="0061790F">
            <w:pPr>
              <w:spacing w:after="0" w:line="240" w:lineRule="auto"/>
              <w:rPr>
                <w:rFonts w:cs="Arial"/>
                <w:b/>
                <w:bCs/>
                <w:color w:val="000000"/>
                <w:sz w:val="18"/>
                <w:szCs w:val="18"/>
              </w:rPr>
            </w:pPr>
          </w:p>
        </w:tc>
      </w:tr>
    </w:tbl>
    <w:p w14:paraId="5C707F98" w14:textId="1535A7E2" w:rsidR="001D0A81" w:rsidRDefault="001D0A81" w:rsidP="00680DAC">
      <w:pPr>
        <w:rPr>
          <w:b/>
          <w:u w:val="single"/>
          <w:lang w:val="es-MX" w:eastAsia="es-CR"/>
        </w:rPr>
      </w:pPr>
    </w:p>
    <w:p w14:paraId="5A0DC2F0" w14:textId="77777777" w:rsidR="00763462" w:rsidRDefault="0008638E" w:rsidP="00763462">
      <w:pPr>
        <w:spacing w:before="240" w:line="240" w:lineRule="auto"/>
        <w:rPr>
          <w:b/>
          <w:color w:val="FFFFFF" w:themeColor="background1"/>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p>
    <w:p w14:paraId="2A098456" w14:textId="798E1021" w:rsidR="00763462" w:rsidRDefault="00763462" w:rsidP="00763462">
      <w:pPr>
        <w:spacing w:before="240" w:line="240" w:lineRule="auto"/>
        <w:rPr>
          <w:lang w:val="es-MX"/>
        </w:rPr>
      </w:pPr>
      <w:r>
        <w:rPr>
          <w:lang w:val="es-MX"/>
        </w:rPr>
        <w:t>Los intereses relacionados con un instrumento financiero se reconocen como activo o pasivo y como ingresos o gastos, según lo que corresponda en el momento apropiado.</w:t>
      </w:r>
    </w:p>
    <w:p w14:paraId="4A2692E3" w14:textId="77777777" w:rsidR="00763462" w:rsidRDefault="00763462" w:rsidP="00763462">
      <w:pPr>
        <w:spacing w:before="240" w:line="240" w:lineRule="auto"/>
        <w:rPr>
          <w:lang w:val="es-MX"/>
        </w:rPr>
      </w:pPr>
      <w:r>
        <w:rPr>
          <w:lang w:val="es-MX"/>
        </w:rPr>
        <w:t>Los activos y pasivos financieros se reconocen en el estado de situación financiera en la fecha que se negocian.</w:t>
      </w:r>
    </w:p>
    <w:p w14:paraId="44DDD86B" w14:textId="77777777" w:rsidR="00763462" w:rsidRDefault="00763462" w:rsidP="00763462">
      <w:pPr>
        <w:spacing w:before="240" w:line="240" w:lineRule="auto"/>
        <w:rPr>
          <w:lang w:val="es-MX"/>
        </w:rPr>
      </w:pPr>
      <w:r>
        <w:rPr>
          <w:lang w:val="es-MX"/>
        </w:rPr>
        <w:t>Los préstamos recibidos por la Municipalidad con condiciones favorables por debajo del mercado se reconocen la diferencia de acuerdo con la NICSP 23.</w:t>
      </w:r>
    </w:p>
    <w:p w14:paraId="0DC4656E" w14:textId="77777777" w:rsidR="00763462" w:rsidRDefault="00763462" w:rsidP="00763462">
      <w:pPr>
        <w:spacing w:line="240" w:lineRule="auto"/>
        <w:rPr>
          <w:lang w:val="es-MX"/>
        </w:rPr>
      </w:pPr>
      <w:r>
        <w:rPr>
          <w:lang w:val="es-MX"/>
        </w:rPr>
        <w:t>Posterior al reconocimiento inicial los activos financieros se clasifican en: cuentas por cobrar, ya que la cuentas por cobrar que posee la Municipalidad son activos financieros no derivados con pagos fijos o determinables no cotizado en un mercado activo; los activos financieros medidos a valor razonable a través de superávit o déficit, en los cuales se incluyen los activos financieros tenidos para negociación (efectivo y equivalentes de efectivo).</w:t>
      </w:r>
    </w:p>
    <w:p w14:paraId="4273D74C" w14:textId="77777777" w:rsidR="00763462" w:rsidRDefault="00763462" w:rsidP="00763462">
      <w:pPr>
        <w:spacing w:before="240" w:line="240" w:lineRule="auto"/>
        <w:rPr>
          <w:lang w:val="es-MX"/>
        </w:rPr>
      </w:pPr>
      <w:r>
        <w:rPr>
          <w:lang w:val="es-MX"/>
        </w:rPr>
        <w:t>La cancelación o des-reconocimiento de un activo o pasivo financiero se da cuando se haya percibido el beneficio económico o cancelado la obligación originada.</w:t>
      </w:r>
    </w:p>
    <w:p w14:paraId="60D33701" w14:textId="1B731C18" w:rsidR="0008638E" w:rsidRPr="003516A2" w:rsidRDefault="0008638E" w:rsidP="00763462">
      <w:pPr>
        <w:spacing w:before="240"/>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31792CD5" w14:textId="77777777" w:rsidR="00763462" w:rsidRDefault="00763462" w:rsidP="00763462">
      <w:pPr>
        <w:spacing w:line="240" w:lineRule="auto"/>
        <w:rPr>
          <w:lang w:val="es-MX"/>
        </w:rPr>
      </w:pPr>
      <w:r>
        <w:rPr>
          <w:lang w:val="es-MX"/>
        </w:rPr>
        <w:lastRenderedPageBreak/>
        <w:t>Los instrumentos financieros inicialmente se miden al valor razonable (el cual generalmente es el mismo que el costo), en la fecha de adquisición.</w:t>
      </w:r>
    </w:p>
    <w:p w14:paraId="10B9B8D4" w14:textId="38E3D699" w:rsidR="00763462" w:rsidRDefault="00763462" w:rsidP="00763462">
      <w:pPr>
        <w:spacing w:before="240" w:line="240" w:lineRule="auto"/>
        <w:rPr>
          <w:lang w:val="es-MX"/>
        </w:rPr>
      </w:pPr>
      <w:r>
        <w:rPr>
          <w:lang w:val="es-MX"/>
        </w:rPr>
        <w:t xml:space="preserve">Subsiguiente al reconocimiento inicial las cuentas por cobrar </w:t>
      </w:r>
      <w:r w:rsidRPr="008E08BB">
        <w:rPr>
          <w:lang w:val="es-MX"/>
        </w:rPr>
        <w:t>se miden al costo amortizado sujetos a prueba de deterioro y los activos financieros medidos a valor razonable a través de superávit o déficit, se miden a valor razonable, con los cambios en el valor reconocidos en superávit o déficit del periodo. Posterior a la adquisición los préstamos se miden al costo amortizado</w:t>
      </w:r>
    </w:p>
    <w:p w14:paraId="17AC86C6" w14:textId="77777777" w:rsidR="00763462" w:rsidRPr="008E08BB" w:rsidRDefault="00763462" w:rsidP="00763462">
      <w:pPr>
        <w:spacing w:before="240" w:line="240" w:lineRule="auto"/>
        <w:rPr>
          <w:lang w:val="es-MX"/>
        </w:rPr>
      </w:pPr>
    </w:p>
    <w:p w14:paraId="56559AD3" w14:textId="708CA570" w:rsidR="00680DAC" w:rsidRPr="00680DAC" w:rsidRDefault="00680DAC" w:rsidP="00680DAC">
      <w:pPr>
        <w:rPr>
          <w:b/>
          <w:u w:val="single"/>
          <w:lang w:val="es-MX" w:eastAsia="es-CR"/>
        </w:rPr>
      </w:pPr>
      <w:r w:rsidRPr="0008638E">
        <w:rPr>
          <w:b/>
          <w:color w:val="FFFFFF" w:themeColor="background1"/>
          <w:highlight w:val="darkBlue"/>
          <w:u w:val="single"/>
        </w:rPr>
        <w:t>Revelación Suficiente:</w:t>
      </w:r>
      <w:r w:rsidRPr="00680DAC">
        <w:rPr>
          <w:b/>
          <w:u w:val="single"/>
          <w:lang w:val="es-MX" w:eastAsia="es-CR"/>
        </w:rPr>
        <w:t xml:space="preserve"> </w:t>
      </w:r>
      <w:r w:rsidR="00482942">
        <w:rPr>
          <w:b/>
          <w:u w:val="single"/>
          <w:lang w:eastAsia="es-CR"/>
        </w:rPr>
        <w:t xml:space="preserve">El ente debe revelar y cumplir </w:t>
      </w:r>
      <w:r w:rsidRPr="00680DAC">
        <w:rPr>
          <w:b/>
          <w:u w:val="single"/>
          <w:lang w:eastAsia="es-CR"/>
        </w:rPr>
        <w:t xml:space="preserve">con lo estipulado en revelación </w:t>
      </w:r>
      <w:r w:rsidR="00482942">
        <w:rPr>
          <w:b/>
          <w:u w:val="single"/>
          <w:lang w:eastAsia="es-CR"/>
        </w:rPr>
        <w:t>conforme</w:t>
      </w:r>
      <w:r w:rsidRPr="00680DAC">
        <w:rPr>
          <w:b/>
          <w:u w:val="single"/>
          <w:lang w:eastAsia="es-CR"/>
        </w:rPr>
        <w:t xml:space="preserve"> a la NICSP, también debe considerar la política general y los párrafos incluidos en la matriz de autoevaluación referente a esta NICSP guías de aplicación</w:t>
      </w:r>
      <w:r w:rsidRPr="00680DAC">
        <w:rPr>
          <w:b/>
          <w:szCs w:val="24"/>
          <w:u w:val="single"/>
          <w:lang w:val="es-ES_tradnl" w:eastAsia="es-CR"/>
        </w:rPr>
        <w:t xml:space="preserve"> </w:t>
      </w:r>
      <w:r w:rsidRPr="00680DAC">
        <w:rPr>
          <w:b/>
          <w:u w:val="single"/>
          <w:lang w:val="es-MX" w:eastAsia="es-CR"/>
        </w:rPr>
        <w:t>(Ver GA NICSP 28/29/</w:t>
      </w:r>
      <w:r w:rsidR="00796636">
        <w:rPr>
          <w:b/>
          <w:u w:val="single"/>
          <w:lang w:val="es-MX" w:eastAsia="es-CR"/>
        </w:rPr>
        <w:t>31</w:t>
      </w:r>
      <w:r w:rsidRPr="00680DAC">
        <w:rPr>
          <w:b/>
          <w:u w:val="single"/>
          <w:lang w:val="es-MX" w:eastAsia="es-CR"/>
        </w:rPr>
        <w:t>/38 o la NICSP aplicable):</w:t>
      </w:r>
    </w:p>
    <w:p w14:paraId="3482EA91" w14:textId="77777777" w:rsidR="00763462" w:rsidRPr="008E08BB" w:rsidRDefault="00763462" w:rsidP="00763462">
      <w:pPr>
        <w:spacing w:after="0" w:line="240" w:lineRule="auto"/>
        <w:rPr>
          <w:rFonts w:eastAsia="Times New Roman"/>
          <w:b/>
          <w:bCs/>
          <w:lang w:eastAsia="es-CR"/>
        </w:rPr>
      </w:pPr>
      <w:bookmarkStart w:id="109" w:name="_Toc82768890"/>
      <w:r w:rsidRPr="008E08BB">
        <w:rPr>
          <w:rFonts w:eastAsia="Times New Roman"/>
          <w:b/>
          <w:bCs/>
          <w:lang w:eastAsia="es-CR"/>
        </w:rPr>
        <w:t>Principales Políticas</w:t>
      </w:r>
    </w:p>
    <w:p w14:paraId="1D6D8D3A" w14:textId="77777777" w:rsidR="00763462" w:rsidRPr="008E08BB" w:rsidRDefault="00763462" w:rsidP="00763462">
      <w:pPr>
        <w:spacing w:after="0" w:line="240" w:lineRule="auto"/>
        <w:rPr>
          <w:rFonts w:eastAsia="Times New Roman"/>
          <w:lang w:eastAsia="es-CR"/>
        </w:rPr>
      </w:pPr>
    </w:p>
    <w:p w14:paraId="0ECFA7AA" w14:textId="77777777" w:rsidR="00763462" w:rsidRPr="008E08BB" w:rsidRDefault="00763462" w:rsidP="00763462">
      <w:pPr>
        <w:autoSpaceDE w:val="0"/>
        <w:autoSpaceDN w:val="0"/>
        <w:adjustRightInd w:val="0"/>
        <w:spacing w:after="0" w:line="240" w:lineRule="auto"/>
        <w:rPr>
          <w:rFonts w:cs="Arial"/>
          <w:color w:val="000000"/>
          <w:sz w:val="22"/>
        </w:rPr>
      </w:pPr>
      <w:r w:rsidRPr="008E08BB">
        <w:rPr>
          <w:rFonts w:cs="Arial"/>
          <w:color w:val="000000"/>
          <w:sz w:val="22"/>
        </w:rPr>
        <w:t>En la MBA un activo financiero distinto de efectivo y equivalentes de efectivo es un derecho de recibir efectivo u otro activo financiero en el futuro; y un pasivo financiero es una obligación contractual de entregar efectivo u otro activo financiero en el futuro, producto de los siguientes conceptos:</w:t>
      </w:r>
    </w:p>
    <w:p w14:paraId="4F5FE412" w14:textId="77777777" w:rsidR="00763462" w:rsidRPr="008E08BB" w:rsidRDefault="00763462" w:rsidP="00763462">
      <w:pPr>
        <w:autoSpaceDE w:val="0"/>
        <w:autoSpaceDN w:val="0"/>
        <w:adjustRightInd w:val="0"/>
        <w:spacing w:after="0" w:line="240" w:lineRule="auto"/>
        <w:rPr>
          <w:rFonts w:cs="Arial"/>
          <w:color w:val="000000"/>
          <w:sz w:val="22"/>
        </w:rPr>
      </w:pPr>
    </w:p>
    <w:p w14:paraId="2CBD7309" w14:textId="77777777" w:rsidR="00763462" w:rsidRPr="008E08BB" w:rsidRDefault="00763462" w:rsidP="007F4626">
      <w:pPr>
        <w:pStyle w:val="Prrafodelista"/>
        <w:numPr>
          <w:ilvl w:val="2"/>
          <w:numId w:val="46"/>
        </w:numPr>
        <w:autoSpaceDE w:val="0"/>
        <w:autoSpaceDN w:val="0"/>
        <w:adjustRightInd w:val="0"/>
        <w:spacing w:after="0" w:line="240" w:lineRule="auto"/>
        <w:ind w:left="426"/>
        <w:rPr>
          <w:rFonts w:cs="Arial"/>
          <w:color w:val="000000"/>
          <w:sz w:val="22"/>
        </w:rPr>
      </w:pPr>
      <w:r w:rsidRPr="008E08BB">
        <w:rPr>
          <w:rFonts w:cs="Arial"/>
          <w:color w:val="000000"/>
          <w:sz w:val="22"/>
        </w:rPr>
        <w:t>cuentas por cobrar</w:t>
      </w:r>
    </w:p>
    <w:p w14:paraId="7AF2FAB4" w14:textId="77777777" w:rsidR="00763462" w:rsidRPr="008E08BB" w:rsidRDefault="00763462" w:rsidP="007F4626">
      <w:pPr>
        <w:pStyle w:val="Prrafodelista"/>
        <w:numPr>
          <w:ilvl w:val="2"/>
          <w:numId w:val="46"/>
        </w:numPr>
        <w:autoSpaceDE w:val="0"/>
        <w:autoSpaceDN w:val="0"/>
        <w:adjustRightInd w:val="0"/>
        <w:spacing w:after="0" w:line="240" w:lineRule="auto"/>
        <w:ind w:left="426"/>
        <w:rPr>
          <w:rFonts w:cs="Arial"/>
          <w:color w:val="000000"/>
          <w:sz w:val="22"/>
        </w:rPr>
      </w:pPr>
      <w:r w:rsidRPr="008E08BB">
        <w:rPr>
          <w:rFonts w:cs="Arial"/>
          <w:color w:val="000000"/>
          <w:sz w:val="22"/>
        </w:rPr>
        <w:t>Transferencias</w:t>
      </w:r>
    </w:p>
    <w:p w14:paraId="5688D4CF" w14:textId="77777777" w:rsidR="00763462" w:rsidRPr="008E08BB" w:rsidRDefault="00763462" w:rsidP="007F4626">
      <w:pPr>
        <w:pStyle w:val="Prrafodelista"/>
        <w:numPr>
          <w:ilvl w:val="2"/>
          <w:numId w:val="46"/>
        </w:numPr>
        <w:autoSpaceDE w:val="0"/>
        <w:autoSpaceDN w:val="0"/>
        <w:adjustRightInd w:val="0"/>
        <w:spacing w:after="0" w:line="240" w:lineRule="auto"/>
        <w:ind w:left="426"/>
        <w:rPr>
          <w:rFonts w:cs="Arial"/>
          <w:color w:val="000000"/>
          <w:sz w:val="22"/>
        </w:rPr>
      </w:pPr>
      <w:r w:rsidRPr="008E08BB">
        <w:rPr>
          <w:rFonts w:cs="Arial"/>
          <w:color w:val="000000"/>
          <w:sz w:val="22"/>
        </w:rPr>
        <w:t xml:space="preserve">cuentas por pagar; </w:t>
      </w:r>
    </w:p>
    <w:p w14:paraId="5A58E822" w14:textId="7960AB15" w:rsidR="00763462" w:rsidRPr="008E08BB" w:rsidRDefault="00763462" w:rsidP="007F4626">
      <w:pPr>
        <w:pStyle w:val="Prrafodelista"/>
        <w:numPr>
          <w:ilvl w:val="2"/>
          <w:numId w:val="46"/>
        </w:numPr>
        <w:autoSpaceDE w:val="0"/>
        <w:autoSpaceDN w:val="0"/>
        <w:adjustRightInd w:val="0"/>
        <w:spacing w:after="0" w:line="240" w:lineRule="auto"/>
        <w:ind w:left="426"/>
        <w:rPr>
          <w:rFonts w:cs="Arial"/>
          <w:color w:val="000000"/>
          <w:sz w:val="22"/>
        </w:rPr>
      </w:pPr>
      <w:r w:rsidRPr="008E08BB">
        <w:rPr>
          <w:rFonts w:cs="Arial"/>
          <w:color w:val="000000"/>
          <w:sz w:val="22"/>
        </w:rPr>
        <w:t xml:space="preserve">pagarés por pagar; </w:t>
      </w:r>
    </w:p>
    <w:p w14:paraId="4667524A" w14:textId="2A768D8E" w:rsidR="00763462" w:rsidRPr="00A85B94" w:rsidRDefault="00763462" w:rsidP="00A85B94">
      <w:pPr>
        <w:pStyle w:val="Prrafodelista"/>
        <w:numPr>
          <w:ilvl w:val="2"/>
          <w:numId w:val="46"/>
        </w:numPr>
        <w:autoSpaceDE w:val="0"/>
        <w:autoSpaceDN w:val="0"/>
        <w:adjustRightInd w:val="0"/>
        <w:spacing w:after="0" w:line="240" w:lineRule="auto"/>
        <w:ind w:left="426"/>
        <w:rPr>
          <w:rFonts w:cs="Arial"/>
          <w:color w:val="000000"/>
          <w:sz w:val="22"/>
        </w:rPr>
      </w:pPr>
      <w:r w:rsidRPr="008E08BB">
        <w:rPr>
          <w:rFonts w:cs="Arial"/>
          <w:color w:val="000000"/>
          <w:sz w:val="22"/>
        </w:rPr>
        <w:t xml:space="preserve">préstamos por pagar; y </w:t>
      </w:r>
    </w:p>
    <w:p w14:paraId="04CCC896" w14:textId="77777777" w:rsidR="00763462" w:rsidRDefault="00763462" w:rsidP="00763462">
      <w:pPr>
        <w:pStyle w:val="Default"/>
        <w:spacing w:after="18"/>
        <w:jc w:val="both"/>
        <w:rPr>
          <w:rFonts w:ascii="Arial Narrow" w:hAnsi="Arial Narrow"/>
        </w:rPr>
      </w:pPr>
      <w:r w:rsidRPr="00232D3F">
        <w:rPr>
          <w:rFonts w:ascii="Arial Narrow" w:hAnsi="Arial Narrow"/>
        </w:rPr>
        <w:t>No será procedente la compensación, cuando:</w:t>
      </w:r>
    </w:p>
    <w:p w14:paraId="3F37E4F4" w14:textId="77777777" w:rsidR="00763462" w:rsidRPr="00232D3F" w:rsidRDefault="00763462" w:rsidP="00763462">
      <w:pPr>
        <w:pStyle w:val="Default"/>
        <w:spacing w:after="18"/>
        <w:jc w:val="both"/>
        <w:rPr>
          <w:rFonts w:ascii="Arial Narrow" w:hAnsi="Arial Narrow"/>
        </w:rPr>
      </w:pPr>
      <w:r w:rsidRPr="00232D3F">
        <w:rPr>
          <w:rFonts w:ascii="Arial Narrow" w:hAnsi="Arial Narrow"/>
        </w:rPr>
        <w:t xml:space="preserve"> </w:t>
      </w:r>
    </w:p>
    <w:p w14:paraId="5E5742E6" w14:textId="77777777" w:rsidR="00763462" w:rsidRPr="00232D3F" w:rsidRDefault="00763462" w:rsidP="007F4626">
      <w:pPr>
        <w:pStyle w:val="Default"/>
        <w:numPr>
          <w:ilvl w:val="0"/>
          <w:numId w:val="47"/>
        </w:numPr>
        <w:spacing w:after="18"/>
        <w:ind w:left="426"/>
        <w:jc w:val="both"/>
        <w:rPr>
          <w:rFonts w:ascii="Arial Narrow" w:hAnsi="Arial Narrow"/>
        </w:rPr>
      </w:pPr>
      <w:r w:rsidRPr="00232D3F">
        <w:rPr>
          <w:rFonts w:ascii="Arial Narrow" w:hAnsi="Arial Narrow"/>
        </w:rPr>
        <w:t xml:space="preserve">Se empleen varios instrumentos financieros diferentes para emular las características de un único instrumento financiero (dando lugar a un “instrumento sintético”); </w:t>
      </w:r>
    </w:p>
    <w:p w14:paraId="54AE5EB9" w14:textId="77777777" w:rsidR="00763462" w:rsidRPr="00232D3F" w:rsidRDefault="00763462" w:rsidP="007F4626">
      <w:pPr>
        <w:pStyle w:val="Default"/>
        <w:numPr>
          <w:ilvl w:val="0"/>
          <w:numId w:val="47"/>
        </w:numPr>
        <w:spacing w:after="18"/>
        <w:ind w:left="426"/>
        <w:jc w:val="both"/>
        <w:rPr>
          <w:rFonts w:ascii="Arial Narrow" w:hAnsi="Arial Narrow"/>
        </w:rPr>
      </w:pPr>
      <w:r w:rsidRPr="00232D3F">
        <w:rPr>
          <w:rFonts w:ascii="Arial Narrow" w:hAnsi="Arial Narrow"/>
        </w:rPr>
        <w:t xml:space="preserve">Los activos y los pasivos financieros surjan de instrumentos financieros que tengan, básicamente, la misma exposición al riesgo (por ejemplo, activos y pasivos dentro de una misma cartera de contratos a término u otros instrumentos derivados) pero involucren a diferentes contrapartes; </w:t>
      </w:r>
    </w:p>
    <w:p w14:paraId="4074D1FF" w14:textId="77777777" w:rsidR="00763462" w:rsidRPr="00232D3F" w:rsidRDefault="00763462" w:rsidP="007F4626">
      <w:pPr>
        <w:pStyle w:val="Default"/>
        <w:numPr>
          <w:ilvl w:val="0"/>
          <w:numId w:val="47"/>
        </w:numPr>
        <w:spacing w:after="18"/>
        <w:ind w:left="426"/>
        <w:jc w:val="both"/>
        <w:rPr>
          <w:rFonts w:ascii="Arial Narrow" w:hAnsi="Arial Narrow"/>
        </w:rPr>
      </w:pPr>
      <w:r w:rsidRPr="00232D3F">
        <w:rPr>
          <w:rFonts w:ascii="Arial Narrow" w:hAnsi="Arial Narrow"/>
        </w:rPr>
        <w:t xml:space="preserve">Los activos, financieros u otros, se hubieren pignorados como garantías otorgadas de pasivos financieros que son obligaciones sin recurso; </w:t>
      </w:r>
    </w:p>
    <w:p w14:paraId="5CA907F7" w14:textId="77777777" w:rsidR="00763462" w:rsidRPr="00232D3F" w:rsidRDefault="00763462" w:rsidP="007F4626">
      <w:pPr>
        <w:pStyle w:val="Default"/>
        <w:numPr>
          <w:ilvl w:val="0"/>
          <w:numId w:val="47"/>
        </w:numPr>
        <w:spacing w:after="18"/>
        <w:ind w:left="426"/>
        <w:jc w:val="both"/>
        <w:rPr>
          <w:rFonts w:ascii="Arial Narrow" w:hAnsi="Arial Narrow"/>
        </w:rPr>
      </w:pPr>
      <w:r w:rsidRPr="00232D3F">
        <w:rPr>
          <w:rFonts w:ascii="Arial Narrow" w:hAnsi="Arial Narrow"/>
        </w:rPr>
        <w:t xml:space="preserve">Los activos financieros hayan sido asignados por el deudor a un fideicomiso para liberarse de una obligación, pero aún no hayan sido aceptados por el acreedor en cancelación de la misma (por ejemplo, un fondo de amortización); </w:t>
      </w:r>
    </w:p>
    <w:p w14:paraId="5BA370E3" w14:textId="77777777" w:rsidR="00763462" w:rsidRPr="00232D3F" w:rsidRDefault="00763462" w:rsidP="007F4626">
      <w:pPr>
        <w:pStyle w:val="Default"/>
        <w:numPr>
          <w:ilvl w:val="0"/>
          <w:numId w:val="47"/>
        </w:numPr>
        <w:ind w:left="426"/>
        <w:jc w:val="both"/>
        <w:rPr>
          <w:rFonts w:ascii="Arial Narrow" w:hAnsi="Arial Narrow"/>
        </w:rPr>
      </w:pPr>
      <w:r w:rsidRPr="00232D3F">
        <w:rPr>
          <w:rFonts w:ascii="Arial Narrow" w:hAnsi="Arial Narrow"/>
        </w:rPr>
        <w:t xml:space="preserve">Sean obligaciones incurridas como resultado de eventos que han dado lugar a pérdidas, cuyos importes se esperen recuperar de un tercero, como consecuencia de una reclamación hecha en virtud de una póliza de seguro. o </w:t>
      </w:r>
    </w:p>
    <w:p w14:paraId="282E8C5C" w14:textId="77777777" w:rsidR="00763462" w:rsidRPr="00232D3F" w:rsidRDefault="00763462" w:rsidP="007F4626">
      <w:pPr>
        <w:pStyle w:val="Default"/>
        <w:numPr>
          <w:ilvl w:val="0"/>
          <w:numId w:val="47"/>
        </w:numPr>
        <w:ind w:left="426"/>
        <w:jc w:val="both"/>
        <w:rPr>
          <w:rFonts w:ascii="Arial Narrow" w:hAnsi="Arial Narrow"/>
          <w:color w:val="auto"/>
        </w:rPr>
      </w:pPr>
      <w:r w:rsidRPr="00232D3F">
        <w:rPr>
          <w:rFonts w:ascii="Arial Narrow" w:hAnsi="Arial Narrow"/>
          <w:color w:val="auto"/>
        </w:rPr>
        <w:t xml:space="preserve">Se suscriban acuerdos maestros de compensación contractual con una contraparte para protegerse de pérdidas, ya sea en caso de quiebra o en otras situaciones concursales, o en situaciones no esperadas dentro del curso ordinario de las operaciones, que imposibiliten a esa otra parte el cumplimiento de sus obligaciones. </w:t>
      </w:r>
    </w:p>
    <w:p w14:paraId="1CCB5B5F" w14:textId="77777777" w:rsidR="00763462" w:rsidRDefault="00763462" w:rsidP="00763462">
      <w:pPr>
        <w:spacing w:after="0" w:line="240" w:lineRule="auto"/>
        <w:rPr>
          <w:rFonts w:eastAsia="Times New Roman"/>
          <w:lang w:eastAsia="es-CR"/>
        </w:rPr>
      </w:pPr>
    </w:p>
    <w:p w14:paraId="407D1CF6" w14:textId="77777777" w:rsidR="00763462" w:rsidRPr="00232D3F" w:rsidRDefault="00763462" w:rsidP="00763462">
      <w:pPr>
        <w:pStyle w:val="Default"/>
        <w:jc w:val="both"/>
        <w:rPr>
          <w:rFonts w:ascii="Arial Narrow" w:hAnsi="Arial Narrow"/>
          <w:b/>
          <w:bCs/>
        </w:rPr>
      </w:pPr>
      <w:r w:rsidRPr="00232D3F">
        <w:rPr>
          <w:rFonts w:ascii="Arial Narrow" w:hAnsi="Arial Narrow"/>
        </w:rPr>
        <w:lastRenderedPageBreak/>
        <w:t>La baja en cuentas de un pasivo financiero (o una parte del mismo) tendrá lugar cuando, y sólo cuando, el mismo se haya extinguido, es decir, cuando la obligación especificada en el correspondiente contrato haya sido pagada, renunciada o cancelada, o bien haya expirado.</w:t>
      </w:r>
    </w:p>
    <w:p w14:paraId="1ACCCDDB" w14:textId="77777777" w:rsidR="00763462" w:rsidRPr="00232D3F" w:rsidRDefault="00763462" w:rsidP="00763462">
      <w:pPr>
        <w:pStyle w:val="Default"/>
        <w:jc w:val="both"/>
        <w:rPr>
          <w:rFonts w:ascii="Arial Narrow" w:hAnsi="Arial Narrow"/>
        </w:rPr>
      </w:pPr>
    </w:p>
    <w:p w14:paraId="3E01FEC9" w14:textId="77777777" w:rsidR="00763462" w:rsidRPr="00480252" w:rsidRDefault="00763462" w:rsidP="00763462">
      <w:pPr>
        <w:pStyle w:val="Default"/>
        <w:jc w:val="both"/>
        <w:rPr>
          <w:rFonts w:ascii="Arial Narrow" w:hAnsi="Arial Narrow"/>
        </w:rPr>
      </w:pPr>
      <w:r w:rsidRPr="00480252">
        <w:rPr>
          <w:rFonts w:ascii="Arial Narrow" w:hAnsi="Arial Narrow"/>
        </w:rPr>
        <w:t xml:space="preserve">La diferencia entre el importe en libros del pasivo financiero objeto de la baja en cuentas y la contraprestación pagada para que proceda su baja (la cual incluirá pasivos asumidos y activos transferidos diferentes del efectivo), se reconocerá en el resultado del ejercicio. </w:t>
      </w:r>
    </w:p>
    <w:p w14:paraId="6D982FA5" w14:textId="77777777" w:rsidR="00763462" w:rsidRPr="00480252" w:rsidRDefault="00763462" w:rsidP="00763462">
      <w:pPr>
        <w:spacing w:after="0" w:line="240" w:lineRule="auto"/>
        <w:rPr>
          <w:rFonts w:eastAsia="Times New Roman"/>
          <w:lang w:eastAsia="es-CR"/>
        </w:rPr>
      </w:pPr>
    </w:p>
    <w:p w14:paraId="0268C9DA" w14:textId="2DEF8899" w:rsidR="00763462" w:rsidRPr="00480252" w:rsidRDefault="00763462" w:rsidP="00763462">
      <w:pPr>
        <w:spacing w:line="240" w:lineRule="auto"/>
        <w:rPr>
          <w:szCs w:val="24"/>
          <w:lang w:eastAsia="es-CR"/>
        </w:rPr>
      </w:pPr>
      <w:r w:rsidRPr="00480252">
        <w:rPr>
          <w:szCs w:val="24"/>
          <w:lang w:eastAsia="es-CR"/>
        </w:rPr>
        <w:t xml:space="preserve">De acuerdo con lo consignado en la Matriz de NICSP y Plan de Acción al </w:t>
      </w:r>
      <w:r w:rsidR="00796636" w:rsidRPr="00480252">
        <w:rPr>
          <w:szCs w:val="24"/>
          <w:lang w:eastAsia="es-CR"/>
        </w:rPr>
        <w:t>31</w:t>
      </w:r>
      <w:r w:rsidRPr="00480252">
        <w:rPr>
          <w:szCs w:val="24"/>
          <w:lang w:eastAsia="es-CR"/>
        </w:rPr>
        <w:t xml:space="preserve"> de </w:t>
      </w:r>
      <w:r w:rsidR="00D64CF8" w:rsidRPr="00480252">
        <w:rPr>
          <w:szCs w:val="24"/>
          <w:lang w:eastAsia="es-CR"/>
        </w:rPr>
        <w:t>diciembre</w:t>
      </w:r>
      <w:r w:rsidRPr="00480252">
        <w:rPr>
          <w:szCs w:val="24"/>
          <w:lang w:eastAsia="es-CR"/>
        </w:rPr>
        <w:t xml:space="preserve"> de 2024 se encuentra pendiente de implementar lo siguiente:</w:t>
      </w:r>
    </w:p>
    <w:tbl>
      <w:tblPr>
        <w:tblW w:w="8960" w:type="dxa"/>
        <w:tblLook w:val="04A0" w:firstRow="1" w:lastRow="0" w:firstColumn="1" w:lastColumn="0" w:noHBand="0" w:noVBand="1"/>
      </w:tblPr>
      <w:tblGrid>
        <w:gridCol w:w="7560"/>
        <w:gridCol w:w="1400"/>
      </w:tblGrid>
      <w:tr w:rsidR="00763462" w:rsidRPr="00480252" w14:paraId="7125DD48" w14:textId="77777777" w:rsidTr="007D492D">
        <w:trPr>
          <w:trHeight w:val="530"/>
        </w:trPr>
        <w:tc>
          <w:tcPr>
            <w:tcW w:w="756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9145BE2" w14:textId="77777777" w:rsidR="00763462" w:rsidRPr="007077A8" w:rsidRDefault="00763462" w:rsidP="0061790F">
            <w:pPr>
              <w:spacing w:after="0" w:line="240" w:lineRule="auto"/>
              <w:jc w:val="center"/>
              <w:rPr>
                <w:rFonts w:eastAsia="Times New Roman" w:cs="Calibri"/>
                <w:b/>
                <w:bCs/>
                <w:sz w:val="20"/>
                <w:szCs w:val="20"/>
                <w:lang w:val="en-US"/>
              </w:rPr>
            </w:pPr>
            <w:proofErr w:type="spellStart"/>
            <w:r w:rsidRPr="007077A8">
              <w:rPr>
                <w:rFonts w:eastAsia="Times New Roman" w:cs="Calibri"/>
                <w:b/>
                <w:bCs/>
                <w:sz w:val="20"/>
                <w:szCs w:val="20"/>
                <w:lang w:val="en-US"/>
              </w:rPr>
              <w:t>Actividades</w:t>
            </w:r>
            <w:proofErr w:type="spellEnd"/>
            <w:r w:rsidRPr="007077A8">
              <w:rPr>
                <w:rFonts w:eastAsia="Times New Roman" w:cs="Calibri"/>
                <w:b/>
                <w:bCs/>
                <w:sz w:val="20"/>
                <w:szCs w:val="20"/>
                <w:lang w:val="en-US"/>
              </w:rPr>
              <w:t xml:space="preserve"> </w:t>
            </w:r>
            <w:proofErr w:type="spellStart"/>
            <w:r w:rsidRPr="007077A8">
              <w:rPr>
                <w:rFonts w:eastAsia="Times New Roman" w:cs="Calibri"/>
                <w:b/>
                <w:bCs/>
                <w:sz w:val="20"/>
                <w:szCs w:val="20"/>
                <w:lang w:val="en-US"/>
              </w:rPr>
              <w:t>Pendientes</w:t>
            </w:r>
            <w:proofErr w:type="spellEnd"/>
            <w:r w:rsidRPr="007077A8">
              <w:rPr>
                <w:rFonts w:eastAsia="Times New Roman" w:cs="Calibri"/>
                <w:b/>
                <w:bCs/>
                <w:sz w:val="20"/>
                <w:szCs w:val="20"/>
                <w:lang w:val="en-US"/>
              </w:rPr>
              <w:t xml:space="preserve"> de </w:t>
            </w:r>
            <w:proofErr w:type="spellStart"/>
            <w:r w:rsidRPr="007077A8">
              <w:rPr>
                <w:rFonts w:eastAsia="Times New Roman" w:cs="Calibri"/>
                <w:b/>
                <w:bCs/>
                <w:sz w:val="20"/>
                <w:szCs w:val="20"/>
                <w:lang w:val="en-US"/>
              </w:rPr>
              <w:t>Cumplimiento</w:t>
            </w:r>
            <w:proofErr w:type="spellEnd"/>
          </w:p>
        </w:tc>
        <w:tc>
          <w:tcPr>
            <w:tcW w:w="1400" w:type="dxa"/>
            <w:tcBorders>
              <w:top w:val="single" w:sz="8" w:space="0" w:color="auto"/>
              <w:left w:val="nil"/>
              <w:bottom w:val="single" w:sz="4" w:space="0" w:color="auto"/>
              <w:right w:val="single" w:sz="8" w:space="0" w:color="auto"/>
            </w:tcBorders>
            <w:shd w:val="clear" w:color="auto" w:fill="auto"/>
            <w:vAlign w:val="bottom"/>
            <w:hideMark/>
          </w:tcPr>
          <w:p w14:paraId="6D159C9B" w14:textId="77777777" w:rsidR="00763462" w:rsidRPr="007077A8" w:rsidRDefault="00763462" w:rsidP="0061790F">
            <w:pPr>
              <w:spacing w:after="0" w:line="240" w:lineRule="auto"/>
              <w:jc w:val="center"/>
              <w:rPr>
                <w:rFonts w:eastAsia="Times New Roman" w:cs="Calibri"/>
                <w:b/>
                <w:bCs/>
                <w:color w:val="000000"/>
                <w:sz w:val="20"/>
                <w:szCs w:val="20"/>
                <w:lang w:val="en-US"/>
              </w:rPr>
            </w:pPr>
            <w:proofErr w:type="spellStart"/>
            <w:r w:rsidRPr="007077A8">
              <w:rPr>
                <w:rFonts w:eastAsia="Times New Roman" w:cs="Calibri"/>
                <w:b/>
                <w:bCs/>
                <w:color w:val="000000"/>
                <w:sz w:val="20"/>
                <w:szCs w:val="20"/>
                <w:lang w:val="en-US"/>
              </w:rPr>
              <w:t>Fecha</w:t>
            </w:r>
            <w:proofErr w:type="spellEnd"/>
            <w:r w:rsidRPr="007077A8">
              <w:rPr>
                <w:rFonts w:eastAsia="Times New Roman" w:cs="Calibri"/>
                <w:b/>
                <w:bCs/>
                <w:color w:val="000000"/>
                <w:sz w:val="20"/>
                <w:szCs w:val="20"/>
                <w:lang w:val="en-US"/>
              </w:rPr>
              <w:t xml:space="preserve"> </w:t>
            </w:r>
            <w:proofErr w:type="spellStart"/>
            <w:r w:rsidRPr="007077A8">
              <w:rPr>
                <w:rFonts w:eastAsia="Times New Roman" w:cs="Calibri"/>
                <w:b/>
                <w:bCs/>
                <w:color w:val="000000"/>
                <w:sz w:val="20"/>
                <w:szCs w:val="20"/>
                <w:lang w:val="en-US"/>
              </w:rPr>
              <w:t>Estimada</w:t>
            </w:r>
            <w:proofErr w:type="spellEnd"/>
            <w:r w:rsidRPr="007077A8">
              <w:rPr>
                <w:rFonts w:eastAsia="Times New Roman" w:cs="Calibri"/>
                <w:b/>
                <w:bCs/>
                <w:color w:val="000000"/>
                <w:sz w:val="20"/>
                <w:szCs w:val="20"/>
                <w:lang w:val="en-US"/>
              </w:rPr>
              <w:t xml:space="preserve"> </w:t>
            </w:r>
            <w:proofErr w:type="spellStart"/>
            <w:r w:rsidRPr="007077A8">
              <w:rPr>
                <w:rFonts w:eastAsia="Times New Roman" w:cs="Calibri"/>
                <w:b/>
                <w:bCs/>
                <w:color w:val="000000"/>
                <w:sz w:val="20"/>
                <w:szCs w:val="20"/>
                <w:lang w:val="en-US"/>
              </w:rPr>
              <w:t>Cumplimiento</w:t>
            </w:r>
            <w:proofErr w:type="spellEnd"/>
          </w:p>
        </w:tc>
      </w:tr>
      <w:tr w:rsidR="00763462" w:rsidRPr="00480252" w14:paraId="171B4D24" w14:textId="77777777" w:rsidTr="007D492D">
        <w:trPr>
          <w:trHeight w:val="500"/>
        </w:trPr>
        <w:tc>
          <w:tcPr>
            <w:tcW w:w="7560" w:type="dxa"/>
            <w:tcBorders>
              <w:top w:val="nil"/>
              <w:left w:val="single" w:sz="8" w:space="0" w:color="auto"/>
              <w:bottom w:val="single" w:sz="4" w:space="0" w:color="auto"/>
              <w:right w:val="single" w:sz="4" w:space="0" w:color="auto"/>
            </w:tcBorders>
            <w:shd w:val="clear" w:color="auto" w:fill="auto"/>
            <w:hideMark/>
          </w:tcPr>
          <w:p w14:paraId="54A7154E" w14:textId="77777777" w:rsidR="00763462" w:rsidRPr="007077A8" w:rsidRDefault="00763462" w:rsidP="0061790F">
            <w:pPr>
              <w:spacing w:after="0" w:line="240" w:lineRule="auto"/>
              <w:rPr>
                <w:rFonts w:ascii="Arial" w:eastAsia="Times New Roman" w:hAnsi="Arial" w:cs="Arial"/>
                <w:sz w:val="20"/>
                <w:szCs w:val="20"/>
              </w:rPr>
            </w:pPr>
            <w:r w:rsidRPr="007077A8">
              <w:rPr>
                <w:rFonts w:ascii="Arial" w:eastAsia="Times New Roman" w:hAnsi="Arial" w:cs="Arial"/>
                <w:sz w:val="20"/>
                <w:szCs w:val="20"/>
              </w:rPr>
              <w:t>Revisar y ajustar el registro inicial del préstamo con el IFAM que posee la Municipalidad.</w:t>
            </w:r>
          </w:p>
        </w:tc>
        <w:tc>
          <w:tcPr>
            <w:tcW w:w="1400" w:type="dxa"/>
            <w:tcBorders>
              <w:top w:val="nil"/>
              <w:left w:val="nil"/>
              <w:bottom w:val="single" w:sz="4" w:space="0" w:color="auto"/>
              <w:right w:val="single" w:sz="8" w:space="0" w:color="auto"/>
            </w:tcBorders>
            <w:shd w:val="clear" w:color="auto" w:fill="auto"/>
            <w:noWrap/>
            <w:vAlign w:val="center"/>
            <w:hideMark/>
          </w:tcPr>
          <w:p w14:paraId="28E93ECF" w14:textId="02409208" w:rsidR="00763462" w:rsidRPr="007077A8" w:rsidRDefault="00796636" w:rsidP="0061790F">
            <w:pPr>
              <w:spacing w:after="0" w:line="240" w:lineRule="auto"/>
              <w:jc w:val="center"/>
              <w:rPr>
                <w:rFonts w:ascii="Arial" w:eastAsia="Times New Roman" w:hAnsi="Arial" w:cs="Arial"/>
                <w:sz w:val="20"/>
                <w:szCs w:val="20"/>
                <w:lang w:val="en-US"/>
              </w:rPr>
            </w:pPr>
            <w:r w:rsidRPr="007077A8">
              <w:rPr>
                <w:rFonts w:ascii="Arial" w:eastAsia="Times New Roman" w:hAnsi="Arial" w:cs="Arial"/>
                <w:sz w:val="20"/>
                <w:szCs w:val="20"/>
                <w:lang w:val="en-US"/>
              </w:rPr>
              <w:t>3</w:t>
            </w:r>
            <w:r w:rsidR="00480252" w:rsidRPr="007077A8">
              <w:rPr>
                <w:rFonts w:ascii="Arial" w:eastAsia="Times New Roman" w:hAnsi="Arial" w:cs="Arial"/>
                <w:sz w:val="20"/>
                <w:szCs w:val="20"/>
                <w:lang w:val="en-US"/>
              </w:rPr>
              <w:t>0</w:t>
            </w:r>
            <w:r w:rsidR="00492E8C" w:rsidRPr="007077A8">
              <w:rPr>
                <w:rFonts w:ascii="Arial" w:eastAsia="Times New Roman" w:hAnsi="Arial" w:cs="Arial"/>
                <w:sz w:val="20"/>
                <w:szCs w:val="20"/>
                <w:lang w:val="en-US"/>
              </w:rPr>
              <w:t>/06/25</w:t>
            </w:r>
          </w:p>
        </w:tc>
      </w:tr>
      <w:tr w:rsidR="00492E8C" w:rsidRPr="00480252" w14:paraId="53CC141D" w14:textId="77777777" w:rsidTr="007D492D">
        <w:trPr>
          <w:trHeight w:val="500"/>
        </w:trPr>
        <w:tc>
          <w:tcPr>
            <w:tcW w:w="7560" w:type="dxa"/>
            <w:tcBorders>
              <w:top w:val="nil"/>
              <w:left w:val="single" w:sz="8" w:space="0" w:color="auto"/>
              <w:bottom w:val="single" w:sz="4" w:space="0" w:color="auto"/>
              <w:right w:val="single" w:sz="4" w:space="0" w:color="auto"/>
            </w:tcBorders>
            <w:shd w:val="clear" w:color="auto" w:fill="auto"/>
            <w:hideMark/>
          </w:tcPr>
          <w:p w14:paraId="0D6B0B90" w14:textId="77777777" w:rsidR="00492E8C" w:rsidRPr="007077A8" w:rsidRDefault="00492E8C" w:rsidP="00492E8C">
            <w:pPr>
              <w:spacing w:after="0" w:line="240" w:lineRule="auto"/>
              <w:rPr>
                <w:rFonts w:ascii="Arial" w:eastAsia="Times New Roman" w:hAnsi="Arial" w:cs="Arial"/>
                <w:sz w:val="20"/>
                <w:szCs w:val="20"/>
              </w:rPr>
            </w:pPr>
            <w:r w:rsidRPr="007077A8">
              <w:rPr>
                <w:rFonts w:ascii="Arial" w:eastAsia="Times New Roman" w:hAnsi="Arial" w:cs="Arial"/>
                <w:sz w:val="20"/>
                <w:szCs w:val="20"/>
              </w:rPr>
              <w:t>Complementar la información que se debe revelar en relación con Instrumentos Financieros (Inversiones, Cuentas por cobrar, Préstamo del IFAM).</w:t>
            </w:r>
          </w:p>
        </w:tc>
        <w:tc>
          <w:tcPr>
            <w:tcW w:w="1400" w:type="dxa"/>
            <w:tcBorders>
              <w:top w:val="nil"/>
              <w:left w:val="nil"/>
              <w:bottom w:val="single" w:sz="4" w:space="0" w:color="auto"/>
              <w:right w:val="single" w:sz="8" w:space="0" w:color="auto"/>
            </w:tcBorders>
            <w:shd w:val="clear" w:color="auto" w:fill="auto"/>
            <w:noWrap/>
            <w:hideMark/>
          </w:tcPr>
          <w:p w14:paraId="5EA7509A" w14:textId="24799592" w:rsidR="00492E8C" w:rsidRPr="007077A8" w:rsidRDefault="00480252" w:rsidP="00492E8C">
            <w:pPr>
              <w:spacing w:after="0" w:line="240" w:lineRule="auto"/>
              <w:jc w:val="center"/>
              <w:rPr>
                <w:rFonts w:ascii="Arial" w:eastAsia="Times New Roman" w:hAnsi="Arial" w:cs="Arial"/>
                <w:sz w:val="20"/>
                <w:szCs w:val="20"/>
                <w:lang w:val="en-US"/>
              </w:rPr>
            </w:pPr>
            <w:r w:rsidRPr="007077A8">
              <w:rPr>
                <w:rFonts w:ascii="Arial" w:eastAsia="Times New Roman" w:hAnsi="Arial" w:cs="Arial"/>
                <w:sz w:val="20"/>
                <w:szCs w:val="20"/>
                <w:lang w:val="en-US"/>
              </w:rPr>
              <w:t>30/06/25</w:t>
            </w:r>
          </w:p>
        </w:tc>
      </w:tr>
      <w:tr w:rsidR="00492E8C" w:rsidRPr="00480252" w14:paraId="46EE94F3" w14:textId="77777777" w:rsidTr="007D492D">
        <w:trPr>
          <w:trHeight w:val="760"/>
        </w:trPr>
        <w:tc>
          <w:tcPr>
            <w:tcW w:w="7560" w:type="dxa"/>
            <w:tcBorders>
              <w:top w:val="nil"/>
              <w:left w:val="single" w:sz="8" w:space="0" w:color="auto"/>
              <w:bottom w:val="single" w:sz="8" w:space="0" w:color="auto"/>
              <w:right w:val="single" w:sz="4" w:space="0" w:color="auto"/>
            </w:tcBorders>
            <w:shd w:val="clear" w:color="auto" w:fill="auto"/>
            <w:hideMark/>
          </w:tcPr>
          <w:p w14:paraId="572C7327" w14:textId="1E601304" w:rsidR="00492E8C" w:rsidRPr="007077A8" w:rsidRDefault="00492E8C" w:rsidP="00492E8C">
            <w:pPr>
              <w:spacing w:after="0" w:line="240" w:lineRule="auto"/>
              <w:rPr>
                <w:rFonts w:ascii="Arial" w:eastAsia="Times New Roman" w:hAnsi="Arial" w:cs="Arial"/>
                <w:sz w:val="20"/>
                <w:szCs w:val="20"/>
              </w:rPr>
            </w:pPr>
            <w:r w:rsidRPr="007077A8">
              <w:rPr>
                <w:rFonts w:ascii="Arial" w:eastAsia="Times New Roman" w:hAnsi="Arial" w:cs="Arial"/>
                <w:sz w:val="20"/>
                <w:szCs w:val="20"/>
              </w:rPr>
              <w:t xml:space="preserve">Realizar las revelaciones correspondientes </w:t>
            </w:r>
            <w:r w:rsidR="00480252" w:rsidRPr="007077A8">
              <w:rPr>
                <w:rFonts w:ascii="Arial" w:eastAsia="Times New Roman" w:hAnsi="Arial" w:cs="Arial"/>
                <w:sz w:val="20"/>
                <w:szCs w:val="20"/>
              </w:rPr>
              <w:t>sobre Instrumentos</w:t>
            </w:r>
            <w:r w:rsidRPr="007077A8">
              <w:rPr>
                <w:rFonts w:ascii="Arial" w:eastAsia="Times New Roman" w:hAnsi="Arial" w:cs="Arial"/>
                <w:sz w:val="20"/>
                <w:szCs w:val="20"/>
              </w:rPr>
              <w:t xml:space="preserve"> Financieros (Inversiones, Cuentas por cobrar, Préstamo del IFAM), según lo establecido por la norma.</w:t>
            </w:r>
          </w:p>
        </w:tc>
        <w:tc>
          <w:tcPr>
            <w:tcW w:w="1400" w:type="dxa"/>
            <w:tcBorders>
              <w:top w:val="nil"/>
              <w:left w:val="nil"/>
              <w:bottom w:val="single" w:sz="8" w:space="0" w:color="auto"/>
              <w:right w:val="single" w:sz="8" w:space="0" w:color="auto"/>
            </w:tcBorders>
            <w:shd w:val="clear" w:color="auto" w:fill="auto"/>
            <w:noWrap/>
            <w:hideMark/>
          </w:tcPr>
          <w:p w14:paraId="5F4A781B" w14:textId="2E526A42" w:rsidR="00492E8C" w:rsidRPr="007077A8" w:rsidRDefault="00480252" w:rsidP="00492E8C">
            <w:pPr>
              <w:spacing w:after="0" w:line="240" w:lineRule="auto"/>
              <w:jc w:val="center"/>
              <w:rPr>
                <w:rFonts w:ascii="Arial" w:eastAsia="Times New Roman" w:hAnsi="Arial" w:cs="Arial"/>
                <w:sz w:val="20"/>
                <w:szCs w:val="20"/>
                <w:lang w:val="en-US"/>
              </w:rPr>
            </w:pPr>
            <w:r w:rsidRPr="007077A8">
              <w:rPr>
                <w:rFonts w:ascii="Arial" w:eastAsia="Times New Roman" w:hAnsi="Arial" w:cs="Arial"/>
                <w:sz w:val="20"/>
                <w:szCs w:val="20"/>
                <w:lang w:val="en-US"/>
              </w:rPr>
              <w:t>30/06/25</w:t>
            </w:r>
          </w:p>
        </w:tc>
      </w:tr>
    </w:tbl>
    <w:p w14:paraId="47AB6F02" w14:textId="568A0694" w:rsidR="007077A8" w:rsidRPr="00EE66B3" w:rsidRDefault="007077A8" w:rsidP="007077A8">
      <w:pPr>
        <w:pStyle w:val="Ttulo2"/>
        <w:spacing w:after="240" w:line="240" w:lineRule="auto"/>
        <w:rPr>
          <w:rFonts w:eastAsiaTheme="minorHAnsi" w:cstheme="minorBidi"/>
          <w:color w:val="auto"/>
          <w:szCs w:val="22"/>
        </w:rPr>
      </w:pPr>
      <w:bookmarkStart w:id="110" w:name="_Toc189804812"/>
      <w:r w:rsidRPr="00EE66B3">
        <w:rPr>
          <w:color w:val="auto"/>
          <w:lang w:eastAsia="es-CR"/>
        </w:rPr>
        <w:t xml:space="preserve">Se hizo extensión a la fecha prevista esto debido a las cargas de trabajo en la institución, por tanto, no se pudo completar las actividades requeridas a la Norma </w:t>
      </w:r>
      <w:r>
        <w:rPr>
          <w:color w:val="auto"/>
          <w:lang w:val="es-MX"/>
        </w:rPr>
        <w:t>NICSP 28-29-30</w:t>
      </w:r>
      <w:bookmarkEnd w:id="110"/>
    </w:p>
    <w:p w14:paraId="71D50792" w14:textId="77777777" w:rsidR="0028011F" w:rsidRDefault="0028011F" w:rsidP="0074522C">
      <w:pPr>
        <w:rPr>
          <w:lang w:eastAsia="es-CR"/>
        </w:rPr>
      </w:pPr>
    </w:p>
    <w:p w14:paraId="27F0211D" w14:textId="3873D945" w:rsidR="00224CE2" w:rsidRPr="00A649A4" w:rsidRDefault="00224CE2" w:rsidP="00A649A4">
      <w:pPr>
        <w:pStyle w:val="Ttulo2"/>
        <w:spacing w:after="240"/>
        <w:rPr>
          <w:rFonts w:eastAsia="Times New Roman"/>
          <w:lang w:eastAsia="es-CR"/>
        </w:rPr>
      </w:pPr>
      <w:bookmarkStart w:id="111" w:name="_Toc189804813"/>
      <w:r w:rsidRPr="00224CE2">
        <w:rPr>
          <w:rFonts w:eastAsia="Times New Roman"/>
          <w:lang w:eastAsia="es-CR"/>
        </w:rPr>
        <w:t>FIDEICOMISOS</w:t>
      </w:r>
      <w:bookmarkEnd w:id="109"/>
      <w:bookmarkEnd w:id="111"/>
      <w:r w:rsidRPr="00224CE2">
        <w:rPr>
          <w:rFonts w:eastAsia="Times New Roman"/>
          <w:lang w:eastAsia="es-CR"/>
        </w:rPr>
        <w:t xml:space="preserve"> </w:t>
      </w:r>
    </w:p>
    <w:p w14:paraId="4D55D858" w14:textId="7C753635" w:rsidR="00756467" w:rsidRDefault="00224CE2" w:rsidP="00224CE2">
      <w:pPr>
        <w:rPr>
          <w:rFonts w:asciiTheme="minorHAnsi" w:hAnsiTheme="minorHAnsi"/>
          <w:sz w:val="22"/>
        </w:rPr>
      </w:pPr>
      <w:r>
        <w:t xml:space="preserve">Indicar si este rubro afecta SI o NO a la institución. </w:t>
      </w:r>
      <w:r w:rsidR="00A606BF">
        <w:rPr>
          <w:lang w:val="es-MX"/>
        </w:rPr>
        <w:fldChar w:fldCharType="begin"/>
      </w:r>
      <w:r w:rsidR="00A606BF">
        <w:rPr>
          <w:lang w:val="es-MX"/>
        </w:rPr>
        <w:instrText xml:space="preserve"> LINK </w:instrText>
      </w:r>
      <w:r w:rsidR="00756467">
        <w:rPr>
          <w:lang w:val="es-MX"/>
        </w:rPr>
        <w:instrText xml:space="preserve">Excel.SheetMacroEnabled.12 "C:\\Users\\gcordero\\Downloads\\Notas diciembre 2024\\Formato_Notas_EEFF_Vinculadas_2024\\Formato_Notas_EEFF_Vinculadas_2024\\15603_T04_2024_Anexo_Estado_Notas_Contables_Vinculadas.xlsm" FIDEICOMISOS!F9C3:F9C4 </w:instrText>
      </w:r>
      <w:r w:rsidR="00A606BF">
        <w:rPr>
          <w:lang w:val="es-MX"/>
        </w:rPr>
        <w:instrText xml:space="preserve">\a \f 4 \h </w:instrText>
      </w:r>
      <w:r w:rsidR="00A606BF">
        <w:rPr>
          <w:lang w:val="es-MX"/>
        </w:rPr>
        <w:fldChar w:fldCharType="separate"/>
      </w:r>
    </w:p>
    <w:tbl>
      <w:tblPr>
        <w:tblW w:w="3900" w:type="dxa"/>
        <w:tblCellMar>
          <w:left w:w="70" w:type="dxa"/>
          <w:right w:w="70" w:type="dxa"/>
        </w:tblCellMar>
        <w:tblLook w:val="04A0" w:firstRow="1" w:lastRow="0" w:firstColumn="1" w:lastColumn="0" w:noHBand="0" w:noVBand="1"/>
      </w:tblPr>
      <w:tblGrid>
        <w:gridCol w:w="2080"/>
        <w:gridCol w:w="1820"/>
      </w:tblGrid>
      <w:tr w:rsidR="00756467" w:rsidRPr="00756467" w14:paraId="1442A270" w14:textId="77777777" w:rsidTr="00756467">
        <w:trPr>
          <w:divId w:val="2007593028"/>
          <w:trHeight w:val="345"/>
        </w:trPr>
        <w:tc>
          <w:tcPr>
            <w:tcW w:w="208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037BB86B" w14:textId="5B5E57A9" w:rsidR="00756467" w:rsidRPr="00756467" w:rsidRDefault="00756467" w:rsidP="00756467">
            <w:pPr>
              <w:rPr>
                <w:rFonts w:eastAsia="Times New Roman" w:cs="Calibri"/>
                <w:color w:val="FFFFFF"/>
                <w:szCs w:val="24"/>
                <w:lang w:eastAsia="es-CR"/>
              </w:rPr>
            </w:pPr>
            <w:r w:rsidRPr="00756467">
              <w:rPr>
                <w:rFonts w:eastAsia="Times New Roman" w:cs="Calibri"/>
                <w:color w:val="FFFFFF"/>
                <w:szCs w:val="24"/>
                <w:lang w:eastAsia="es-CR"/>
              </w:rPr>
              <w:t>Aplica</w:t>
            </w:r>
          </w:p>
        </w:tc>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5E99E4" w14:textId="77777777" w:rsidR="00756467" w:rsidRPr="00756467" w:rsidRDefault="00756467" w:rsidP="00756467">
            <w:pPr>
              <w:spacing w:after="0" w:line="240" w:lineRule="auto"/>
              <w:jc w:val="center"/>
              <w:rPr>
                <w:rFonts w:eastAsia="Times New Roman" w:cs="Calibri"/>
                <w:color w:val="000000"/>
                <w:sz w:val="22"/>
                <w:lang w:eastAsia="es-CR"/>
              </w:rPr>
            </w:pPr>
            <w:r w:rsidRPr="00756467">
              <w:rPr>
                <w:rFonts w:eastAsia="Times New Roman" w:cs="Calibri"/>
                <w:color w:val="000000"/>
                <w:sz w:val="22"/>
                <w:lang w:eastAsia="es-CR"/>
              </w:rPr>
              <w:t>0</w:t>
            </w:r>
          </w:p>
        </w:tc>
      </w:tr>
    </w:tbl>
    <w:p w14:paraId="1FE8C1BC" w14:textId="6967EA25" w:rsidR="00224CE2" w:rsidRDefault="00A606BF" w:rsidP="00224CE2">
      <w:pPr>
        <w:rPr>
          <w:lang w:val="es-MX"/>
        </w:rPr>
      </w:pPr>
      <w:r>
        <w:rPr>
          <w:lang w:val="es-MX"/>
        </w:rPr>
        <w:fldChar w:fldCharType="end"/>
      </w:r>
    </w:p>
    <w:p w14:paraId="58BC54FD" w14:textId="31EA7359" w:rsidR="00756467" w:rsidRDefault="00224CE2" w:rsidP="00224CE2">
      <w:pPr>
        <w:rPr>
          <w:rFonts w:asciiTheme="minorHAnsi" w:hAnsiTheme="minorHAnsi"/>
          <w:sz w:val="22"/>
        </w:rPr>
      </w:pPr>
      <w:r w:rsidRPr="00224CE2">
        <w:rPr>
          <w:lang w:val="es-MX" w:eastAsia="es-CR"/>
        </w:rPr>
        <w:t xml:space="preserve">A continuación, un cuadro resumen, pero el detalle de los cuadros debe ser adjuntados como anexos </w:t>
      </w:r>
      <w:hyperlink w:anchor="_Fideicomisos" w:history="1">
        <w:r w:rsidRPr="005F2549">
          <w:rPr>
            <w:rStyle w:val="Hipervnculo"/>
            <w:lang w:val="es-MX" w:eastAsia="es-CR"/>
          </w:rPr>
          <w:t>Fideicomisos</w:t>
        </w:r>
      </w:hyperlink>
      <w:r w:rsidR="00A606BF">
        <w:rPr>
          <w:lang w:val="es-MX" w:eastAsia="es-CR"/>
        </w:rPr>
        <w:fldChar w:fldCharType="begin"/>
      </w:r>
      <w:r w:rsidR="00A606BF">
        <w:rPr>
          <w:lang w:val="es-MX" w:eastAsia="es-CR"/>
        </w:rPr>
        <w:instrText xml:space="preserve"> LINK </w:instrText>
      </w:r>
      <w:r w:rsidR="00756467">
        <w:rPr>
          <w:lang w:val="es-MX" w:eastAsia="es-CR"/>
        </w:rPr>
        <w:instrText xml:space="preserve">Excel.SheetMacroEnabled.12 "C:\\Users\\gcordero\\Downloads\\Notas diciembre 2024\\Formato_Notas_EEFF_Vinculadas_2024\\Formato_Notas_EEFF_Vinculadas_2024\\15603_T04_2024_Anexo_Estado_Notas_Contables_Vinculadas.xlsm" FIDEICOMISOS!F12C3:F13C4 </w:instrText>
      </w:r>
      <w:r w:rsidR="00A606BF">
        <w:rPr>
          <w:lang w:val="es-MX" w:eastAsia="es-CR"/>
        </w:rPr>
        <w:instrText xml:space="preserve">\a \f 4 \h </w:instrText>
      </w:r>
      <w:r w:rsidR="00A606BF">
        <w:rPr>
          <w:lang w:val="es-MX" w:eastAsia="es-CR"/>
        </w:rPr>
        <w:fldChar w:fldCharType="separate"/>
      </w:r>
    </w:p>
    <w:tbl>
      <w:tblPr>
        <w:tblW w:w="3900" w:type="dxa"/>
        <w:tblCellMar>
          <w:left w:w="70" w:type="dxa"/>
          <w:right w:w="70" w:type="dxa"/>
        </w:tblCellMar>
        <w:tblLook w:val="04A0" w:firstRow="1" w:lastRow="0" w:firstColumn="1" w:lastColumn="0" w:noHBand="0" w:noVBand="1"/>
      </w:tblPr>
      <w:tblGrid>
        <w:gridCol w:w="2080"/>
        <w:gridCol w:w="1820"/>
      </w:tblGrid>
      <w:tr w:rsidR="00756467" w:rsidRPr="00756467" w14:paraId="4430038B" w14:textId="77777777" w:rsidTr="00756467">
        <w:trPr>
          <w:divId w:val="1266306922"/>
          <w:trHeight w:val="330"/>
        </w:trPr>
        <w:tc>
          <w:tcPr>
            <w:tcW w:w="2080" w:type="dxa"/>
            <w:tcBorders>
              <w:top w:val="single" w:sz="8" w:space="0" w:color="auto"/>
              <w:left w:val="single" w:sz="8" w:space="0" w:color="auto"/>
              <w:bottom w:val="single" w:sz="8" w:space="0" w:color="auto"/>
              <w:right w:val="nil"/>
            </w:tcBorders>
            <w:shd w:val="clear" w:color="000000" w:fill="1F3864"/>
            <w:vAlign w:val="center"/>
            <w:hideMark/>
          </w:tcPr>
          <w:p w14:paraId="2E5322ED" w14:textId="491F819E" w:rsidR="00756467" w:rsidRPr="00756467" w:rsidRDefault="00756467" w:rsidP="00756467">
            <w:pPr>
              <w:jc w:val="center"/>
              <w:rPr>
                <w:rFonts w:eastAsia="Times New Roman" w:cs="Calibri"/>
                <w:color w:val="FFFFFF"/>
                <w:szCs w:val="24"/>
                <w:lang w:eastAsia="es-CR"/>
              </w:rPr>
            </w:pPr>
            <w:r w:rsidRPr="00756467">
              <w:rPr>
                <w:rFonts w:eastAsia="Times New Roman" w:cs="Calibri"/>
                <w:color w:val="FFFFFF"/>
                <w:szCs w:val="24"/>
                <w:lang w:eastAsia="es-CR"/>
              </w:rPr>
              <w:t>Resumen</w:t>
            </w:r>
          </w:p>
        </w:tc>
        <w:tc>
          <w:tcPr>
            <w:tcW w:w="1820" w:type="dxa"/>
            <w:tcBorders>
              <w:top w:val="single" w:sz="8" w:space="0" w:color="auto"/>
              <w:left w:val="single" w:sz="8" w:space="0" w:color="auto"/>
              <w:bottom w:val="single" w:sz="8" w:space="0" w:color="auto"/>
              <w:right w:val="nil"/>
            </w:tcBorders>
            <w:shd w:val="clear" w:color="000000" w:fill="1F3864"/>
            <w:vAlign w:val="center"/>
            <w:hideMark/>
          </w:tcPr>
          <w:p w14:paraId="466FA594" w14:textId="77777777" w:rsidR="00756467" w:rsidRPr="00756467" w:rsidRDefault="00756467" w:rsidP="00756467">
            <w:pPr>
              <w:spacing w:after="0" w:line="240" w:lineRule="auto"/>
              <w:jc w:val="center"/>
              <w:rPr>
                <w:rFonts w:eastAsia="Times New Roman" w:cs="Calibri"/>
                <w:color w:val="FFFFFF"/>
                <w:szCs w:val="24"/>
                <w:lang w:eastAsia="es-CR"/>
              </w:rPr>
            </w:pPr>
            <w:r w:rsidRPr="00756467">
              <w:rPr>
                <w:rFonts w:eastAsia="Times New Roman" w:cs="Calibri"/>
                <w:color w:val="FFFFFF"/>
                <w:szCs w:val="24"/>
                <w:lang w:eastAsia="es-CR"/>
              </w:rPr>
              <w:t>Fideicomisos</w:t>
            </w:r>
          </w:p>
        </w:tc>
      </w:tr>
      <w:tr w:rsidR="00756467" w:rsidRPr="00756467" w14:paraId="329CEC3C" w14:textId="77777777" w:rsidTr="00756467">
        <w:trPr>
          <w:divId w:val="1266306922"/>
          <w:trHeight w:val="345"/>
        </w:trPr>
        <w:tc>
          <w:tcPr>
            <w:tcW w:w="2080" w:type="dxa"/>
            <w:tcBorders>
              <w:top w:val="nil"/>
              <w:left w:val="single" w:sz="8" w:space="0" w:color="auto"/>
              <w:bottom w:val="single" w:sz="8" w:space="0" w:color="auto"/>
              <w:right w:val="nil"/>
            </w:tcBorders>
            <w:shd w:val="clear" w:color="000000" w:fill="1F3864"/>
            <w:vAlign w:val="center"/>
            <w:hideMark/>
          </w:tcPr>
          <w:p w14:paraId="0104D11A" w14:textId="77777777" w:rsidR="00756467" w:rsidRPr="00756467" w:rsidRDefault="00756467" w:rsidP="00756467">
            <w:pPr>
              <w:spacing w:after="0" w:line="240" w:lineRule="auto"/>
              <w:jc w:val="left"/>
              <w:rPr>
                <w:rFonts w:eastAsia="Times New Roman" w:cs="Calibri"/>
                <w:color w:val="FFFFFF"/>
                <w:szCs w:val="24"/>
                <w:lang w:eastAsia="es-CR"/>
              </w:rPr>
            </w:pPr>
            <w:r w:rsidRPr="00756467">
              <w:rPr>
                <w:rFonts w:eastAsia="Times New Roman" w:cs="Calibri"/>
                <w:color w:val="FFFFFF"/>
                <w:szCs w:val="24"/>
                <w:lang w:eastAsia="es-CR"/>
              </w:rPr>
              <w:t xml:space="preserve">CANTIDAD </w:t>
            </w:r>
          </w:p>
        </w:tc>
        <w:tc>
          <w:tcPr>
            <w:tcW w:w="1820" w:type="dxa"/>
            <w:tcBorders>
              <w:top w:val="nil"/>
              <w:left w:val="nil"/>
              <w:bottom w:val="single" w:sz="8" w:space="0" w:color="auto"/>
              <w:right w:val="single" w:sz="8" w:space="0" w:color="auto"/>
            </w:tcBorders>
            <w:shd w:val="clear" w:color="auto" w:fill="auto"/>
            <w:noWrap/>
            <w:vAlign w:val="center"/>
            <w:hideMark/>
          </w:tcPr>
          <w:p w14:paraId="30D6919C" w14:textId="77777777" w:rsidR="00756467" w:rsidRPr="00756467" w:rsidRDefault="00756467" w:rsidP="00756467">
            <w:pPr>
              <w:spacing w:after="0" w:line="240" w:lineRule="auto"/>
              <w:jc w:val="center"/>
              <w:rPr>
                <w:rFonts w:eastAsia="Times New Roman" w:cs="Calibri"/>
                <w:color w:val="000000"/>
                <w:sz w:val="20"/>
                <w:szCs w:val="20"/>
                <w:lang w:eastAsia="es-CR"/>
              </w:rPr>
            </w:pPr>
            <w:r w:rsidRPr="00756467">
              <w:rPr>
                <w:rFonts w:eastAsia="Times New Roman" w:cs="Calibri"/>
                <w:color w:val="000000"/>
                <w:sz w:val="20"/>
                <w:szCs w:val="20"/>
                <w:lang w:eastAsia="es-CR"/>
              </w:rPr>
              <w:t> </w:t>
            </w:r>
          </w:p>
        </w:tc>
      </w:tr>
    </w:tbl>
    <w:p w14:paraId="6DA9D18F" w14:textId="036A3861" w:rsidR="00A606BF" w:rsidRPr="00224CE2" w:rsidRDefault="00A606BF" w:rsidP="00224CE2">
      <w:pPr>
        <w:rPr>
          <w:lang w:val="es-MX" w:eastAsia="es-CR"/>
        </w:rPr>
      </w:pPr>
      <w:r>
        <w:rPr>
          <w:lang w:val="es-MX" w:eastAsia="es-CR"/>
        </w:rPr>
        <w:fldChar w:fldCharType="end"/>
      </w:r>
    </w:p>
    <w:p w14:paraId="7B26DE7F" w14:textId="77777777" w:rsidR="00224CE2" w:rsidRPr="00224CE2" w:rsidRDefault="00224CE2" w:rsidP="00224CE2">
      <w:pPr>
        <w:rPr>
          <w:b/>
          <w:sz w:val="22"/>
          <w:u w:val="single"/>
          <w:lang w:val="es-MX" w:eastAsia="es-CR"/>
        </w:rPr>
      </w:pPr>
      <w:r w:rsidRPr="00224CE2">
        <w:rPr>
          <w:b/>
          <w:sz w:val="22"/>
          <w:u w:val="single"/>
          <w:lang w:val="es-MX" w:eastAsia="es-CR"/>
        </w:rPr>
        <w:t>Revelación Suficiente:</w:t>
      </w:r>
    </w:p>
    <w:p w14:paraId="3AE721E8" w14:textId="172EA2FB" w:rsidR="00224CE2" w:rsidRPr="00422EDF" w:rsidRDefault="00224CE2" w:rsidP="00224CE2">
      <w:pPr>
        <w:rPr>
          <w:rFonts w:eastAsia="Calibri"/>
          <w:lang w:val="es-MX"/>
        </w:rPr>
      </w:pPr>
      <w:r w:rsidRPr="00224CE2">
        <w:rPr>
          <w:rFonts w:eastAsia="Calibri"/>
          <w:lang w:val="es-MX"/>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E92F489" w14:textId="43149DBC" w:rsidR="000E540F" w:rsidRPr="00A649A4" w:rsidRDefault="000E540F" w:rsidP="00A649A4">
      <w:pPr>
        <w:pStyle w:val="Ttulo2"/>
        <w:spacing w:after="240"/>
        <w:rPr>
          <w:rFonts w:eastAsia="Times New Roman"/>
          <w:lang w:eastAsia="es-CR"/>
        </w:rPr>
      </w:pPr>
      <w:bookmarkStart w:id="112" w:name="_Toc54961692"/>
      <w:bookmarkStart w:id="113" w:name="_Toc82768891"/>
      <w:bookmarkStart w:id="114" w:name="_Toc189804814"/>
      <w:r w:rsidRPr="000E540F">
        <w:rPr>
          <w:rFonts w:eastAsia="Times New Roman"/>
          <w:lang w:eastAsia="es-CR"/>
        </w:rPr>
        <w:t>NICSP 31- ACTIVOS INTANGIBLES:</w:t>
      </w:r>
      <w:bookmarkEnd w:id="112"/>
      <w:bookmarkEnd w:id="113"/>
      <w:bookmarkEnd w:id="114"/>
    </w:p>
    <w:p w14:paraId="7FCCC939" w14:textId="77777777" w:rsidR="00396CB4" w:rsidRDefault="000E540F" w:rsidP="000E540F">
      <w:pPr>
        <w:rPr>
          <w:rFonts w:asciiTheme="minorHAnsi" w:hAnsiTheme="minorHAnsi"/>
          <w:sz w:val="22"/>
        </w:rPr>
      </w:pPr>
      <w:r w:rsidRPr="00405DBC">
        <w:t xml:space="preserve">De acuerdo con la </w:t>
      </w:r>
      <w:r w:rsidRPr="000E540F">
        <w:rPr>
          <w:rFonts w:eastAsia="Times New Roman"/>
          <w:lang w:val="es-MX" w:eastAsia="es-CR"/>
        </w:rPr>
        <w:t>NICSP 31- Activos Intangibles</w:t>
      </w:r>
      <w:r>
        <w:t>, i</w:t>
      </w:r>
      <w:r w:rsidRPr="00405DBC">
        <w:t>ndicar si este rubro afecta SI o NO a la institución, además del porcentaje de avance</w:t>
      </w:r>
      <w:r>
        <w:t xml:space="preserve"> en la implementación</w:t>
      </w:r>
      <w:r w:rsidRPr="00405DBC">
        <w:t xml:space="preserve"> que presenta</w:t>
      </w:r>
      <w:r>
        <w:rPr>
          <w:b/>
        </w:rPr>
        <w:t>.</w:t>
      </w:r>
      <w:r w:rsidR="00A606BF">
        <w:rPr>
          <w:lang w:val="es-MX"/>
        </w:rPr>
        <w:fldChar w:fldCharType="begin"/>
      </w:r>
      <w:r w:rsidR="00A606BF">
        <w:rPr>
          <w:lang w:val="es-MX"/>
        </w:rPr>
        <w:instrText xml:space="preserve"> LINK </w:instrText>
      </w:r>
      <w:r w:rsidR="00756467">
        <w:rPr>
          <w:lang w:val="es-MX"/>
        </w:rPr>
        <w:instrText xml:space="preserve">Excel.SheetMacroEnabled.12 "C:\\Users\\gcordero\\Downloads\\Notas diciembre 2024\\Formato_Notas_EEFF_Vinculadas_2024\\Formato_Notas_EEFF_Vinculadas_2024\\15603_T04_2024_Anexo_Estado_Notas_Contables_Vinculadas.xlsm" NICSP_31!F9C3:F10C4 </w:instrText>
      </w:r>
      <w:r w:rsidR="00A606BF">
        <w:rPr>
          <w:lang w:val="es-MX"/>
        </w:rPr>
        <w:instrText xml:space="preserve">\a \f 4 \h </w:instrText>
      </w:r>
      <w:r w:rsidR="00A606BF">
        <w:rPr>
          <w:lang w:val="es-MX"/>
        </w:rPr>
        <w:fldChar w:fldCharType="separate"/>
      </w:r>
    </w:p>
    <w:tbl>
      <w:tblPr>
        <w:tblW w:w="4840" w:type="dxa"/>
        <w:tblCellMar>
          <w:left w:w="70" w:type="dxa"/>
          <w:right w:w="70" w:type="dxa"/>
        </w:tblCellMar>
        <w:tblLook w:val="04A0" w:firstRow="1" w:lastRow="0" w:firstColumn="1" w:lastColumn="0" w:noHBand="0" w:noVBand="1"/>
      </w:tblPr>
      <w:tblGrid>
        <w:gridCol w:w="3400"/>
        <w:gridCol w:w="1440"/>
      </w:tblGrid>
      <w:tr w:rsidR="00396CB4" w:rsidRPr="00396CB4" w14:paraId="6AB5467A" w14:textId="77777777" w:rsidTr="00396CB4">
        <w:trPr>
          <w:divId w:val="2008747729"/>
          <w:trHeight w:val="345"/>
        </w:trPr>
        <w:tc>
          <w:tcPr>
            <w:tcW w:w="340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73680FDC" w14:textId="51F6B00D" w:rsidR="00396CB4" w:rsidRPr="00396CB4" w:rsidRDefault="00396CB4" w:rsidP="00396CB4">
            <w:pPr>
              <w:rPr>
                <w:rFonts w:eastAsia="Times New Roman" w:cs="Calibri"/>
                <w:color w:val="FFFFFF"/>
                <w:szCs w:val="24"/>
                <w:lang w:eastAsia="es-CR"/>
              </w:rPr>
            </w:pPr>
            <w:r w:rsidRPr="00396CB4">
              <w:rPr>
                <w:rFonts w:eastAsia="Times New Roman" w:cs="Calibri"/>
                <w:color w:val="FFFFFF"/>
                <w:szCs w:val="24"/>
                <w:lang w:eastAsia="es-CR"/>
              </w:rPr>
              <w:t>Aplica</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3552C5" w14:textId="77777777" w:rsidR="00396CB4" w:rsidRPr="00396CB4" w:rsidRDefault="00396CB4" w:rsidP="00396CB4">
            <w:pPr>
              <w:spacing w:after="0" w:line="240" w:lineRule="auto"/>
              <w:jc w:val="center"/>
              <w:rPr>
                <w:rFonts w:eastAsia="Times New Roman" w:cs="Calibri"/>
                <w:color w:val="000000"/>
                <w:sz w:val="22"/>
                <w:lang w:eastAsia="es-CR"/>
              </w:rPr>
            </w:pPr>
            <w:r w:rsidRPr="00396CB4">
              <w:rPr>
                <w:rFonts w:eastAsia="Times New Roman" w:cs="Calibri"/>
                <w:color w:val="000000"/>
                <w:sz w:val="22"/>
                <w:lang w:eastAsia="es-CR"/>
              </w:rPr>
              <w:t>Si</w:t>
            </w:r>
          </w:p>
        </w:tc>
      </w:tr>
      <w:tr w:rsidR="00396CB4" w:rsidRPr="00396CB4" w14:paraId="62B84332" w14:textId="77777777" w:rsidTr="00396CB4">
        <w:trPr>
          <w:divId w:val="2008747729"/>
          <w:trHeight w:val="345"/>
        </w:trPr>
        <w:tc>
          <w:tcPr>
            <w:tcW w:w="3400" w:type="dxa"/>
            <w:tcBorders>
              <w:top w:val="nil"/>
              <w:left w:val="single" w:sz="8" w:space="0" w:color="auto"/>
              <w:bottom w:val="single" w:sz="8" w:space="0" w:color="auto"/>
              <w:right w:val="single" w:sz="8" w:space="0" w:color="auto"/>
            </w:tcBorders>
            <w:shd w:val="clear" w:color="000000" w:fill="17365D"/>
            <w:vAlign w:val="center"/>
            <w:hideMark/>
          </w:tcPr>
          <w:p w14:paraId="475D9A59" w14:textId="77777777" w:rsidR="00396CB4" w:rsidRPr="00396CB4" w:rsidRDefault="00396CB4" w:rsidP="00396CB4">
            <w:pPr>
              <w:spacing w:after="0" w:line="240" w:lineRule="auto"/>
              <w:jc w:val="left"/>
              <w:rPr>
                <w:rFonts w:eastAsia="Times New Roman" w:cs="Calibri"/>
                <w:color w:val="FFFFFF"/>
                <w:szCs w:val="24"/>
                <w:lang w:eastAsia="es-CR"/>
              </w:rPr>
            </w:pPr>
            <w:proofErr w:type="spellStart"/>
            <w:r w:rsidRPr="00396CB4">
              <w:rPr>
                <w:rFonts w:eastAsia="Times New Roman" w:cs="Calibri"/>
                <w:color w:val="FFFFFF"/>
                <w:szCs w:val="24"/>
                <w:lang w:eastAsia="es-CR"/>
              </w:rPr>
              <w:t>Porcentaje_Avance</w:t>
            </w:r>
            <w:proofErr w:type="spellEnd"/>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CF734FA" w14:textId="77777777" w:rsidR="00396CB4" w:rsidRPr="00396CB4" w:rsidRDefault="00396CB4" w:rsidP="00396CB4">
            <w:pPr>
              <w:spacing w:after="0" w:line="240" w:lineRule="auto"/>
              <w:jc w:val="center"/>
              <w:rPr>
                <w:rFonts w:eastAsia="Times New Roman" w:cs="Calibri"/>
                <w:color w:val="000000"/>
                <w:sz w:val="22"/>
                <w:lang w:eastAsia="es-CR"/>
              </w:rPr>
            </w:pPr>
            <w:r w:rsidRPr="00396CB4">
              <w:rPr>
                <w:rFonts w:eastAsia="Times New Roman" w:cs="Calibri"/>
                <w:color w:val="000000"/>
                <w:sz w:val="22"/>
                <w:lang w:eastAsia="es-CR"/>
              </w:rPr>
              <w:t>53,33%</w:t>
            </w:r>
          </w:p>
        </w:tc>
      </w:tr>
    </w:tbl>
    <w:p w14:paraId="70E2901E" w14:textId="58F84150" w:rsidR="000E540F" w:rsidRDefault="00A606BF" w:rsidP="000E540F">
      <w:pPr>
        <w:rPr>
          <w:lang w:val="es-MX"/>
        </w:rPr>
      </w:pPr>
      <w:r>
        <w:rPr>
          <w:lang w:val="es-MX"/>
        </w:rPr>
        <w:fldChar w:fldCharType="end"/>
      </w:r>
    </w:p>
    <w:p w14:paraId="5301B048" w14:textId="77777777" w:rsidR="000E540F" w:rsidRDefault="000E540F" w:rsidP="000E540F">
      <w:pPr>
        <w:rPr>
          <w:lang w:val="es-MX" w:eastAsia="es-CR"/>
        </w:rPr>
      </w:pPr>
      <w:r w:rsidRPr="000E540F">
        <w:rPr>
          <w:lang w:val="es-MX" w:eastAsia="es-CR"/>
        </w:rPr>
        <w:t>El responsable contable debe analizar el tratamiento contable a utilizar:</w:t>
      </w:r>
    </w:p>
    <w:p w14:paraId="50F16CF8" w14:textId="77777777" w:rsidR="0028011F" w:rsidRDefault="0028011F" w:rsidP="000E540F">
      <w:pPr>
        <w:rPr>
          <w:lang w:val="es-MX" w:eastAsia="es-CR"/>
        </w:rPr>
      </w:pPr>
    </w:p>
    <w:p w14:paraId="34280F85" w14:textId="77777777" w:rsidR="0028011F" w:rsidRPr="000E540F" w:rsidRDefault="0028011F" w:rsidP="000E540F">
      <w:pPr>
        <w:rPr>
          <w:lang w:val="es-MX" w:eastAsia="es-CR"/>
        </w:rPr>
      </w:pPr>
    </w:p>
    <w:p w14:paraId="5DFAFC9A" w14:textId="310A81D6" w:rsidR="00396CB4" w:rsidRPr="00B8661C" w:rsidRDefault="000E540F" w:rsidP="001D0A81">
      <w:pPr>
        <w:spacing w:before="240"/>
        <w:rPr>
          <w:rFonts w:eastAsia="Calibri"/>
          <w:color w:val="0000FF"/>
          <w:u w:val="single"/>
          <w:lang w:val="es-MX"/>
        </w:rPr>
      </w:pPr>
      <w:r w:rsidRPr="000E540F">
        <w:rPr>
          <w:rFonts w:eastAsia="Calibri"/>
          <w:lang w:val="es-MX"/>
        </w:rPr>
        <w:t xml:space="preserve">A continuación, un cuadro resumen, pero el detalle de los cuadros debe ser adjuntados como anexos </w:t>
      </w:r>
      <w:hyperlink w:anchor="_NICSP_31" w:history="1">
        <w:r w:rsidRPr="005F2549">
          <w:rPr>
            <w:rStyle w:val="Hipervnculo"/>
            <w:rFonts w:eastAsia="Calibri"/>
            <w:lang w:val="es-MX"/>
          </w:rPr>
          <w:t>NICSP 31</w:t>
        </w:r>
      </w:hyperlink>
      <w:r w:rsidR="00A606BF">
        <w:rPr>
          <w:highlight w:val="yellow"/>
          <w:lang w:val="es-MX"/>
        </w:rPr>
        <w:fldChar w:fldCharType="begin"/>
      </w:r>
      <w:r w:rsidR="00A606BF">
        <w:rPr>
          <w:highlight w:val="yellow"/>
          <w:lang w:val="es-MX"/>
        </w:rPr>
        <w:instrText xml:space="preserve"> LINK </w:instrText>
      </w:r>
      <w:r w:rsidR="00756467">
        <w:rPr>
          <w:highlight w:val="yellow"/>
          <w:lang w:val="es-MX"/>
        </w:rPr>
        <w:instrText xml:space="preserve">Excel.SheetMacroEnabled.12 "C:\\Users\\gcordero\\Downloads\\Notas diciembre 2024\\Formato_Notas_EEFF_Vinculadas_2024\\Formato_Notas_EEFF_Vinculadas_2024\\15603_T04_2024_Anexo_Estado_Notas_Contables_Vinculadas.xlsm" NICSP_31!F12C3:F21C4 </w:instrText>
      </w:r>
      <w:r w:rsidR="00A606BF">
        <w:rPr>
          <w:highlight w:val="yellow"/>
          <w:lang w:val="es-MX"/>
        </w:rPr>
        <w:instrText xml:space="preserve">\a \f 4 \h </w:instrText>
      </w:r>
      <w:r w:rsidR="00EB098A">
        <w:rPr>
          <w:highlight w:val="yellow"/>
          <w:lang w:val="es-MX"/>
        </w:rPr>
        <w:instrText xml:space="preserve"> \* MERGEFORMAT </w:instrText>
      </w:r>
      <w:r w:rsidR="00A606BF">
        <w:rPr>
          <w:highlight w:val="yellow"/>
          <w:lang w:val="es-MX"/>
        </w:rPr>
        <w:fldChar w:fldCharType="separate"/>
      </w:r>
    </w:p>
    <w:tbl>
      <w:tblPr>
        <w:tblW w:w="4840" w:type="dxa"/>
        <w:tblCellMar>
          <w:left w:w="70" w:type="dxa"/>
          <w:right w:w="70" w:type="dxa"/>
        </w:tblCellMar>
        <w:tblLook w:val="04A0" w:firstRow="1" w:lastRow="0" w:firstColumn="1" w:lastColumn="0" w:noHBand="0" w:noVBand="1"/>
      </w:tblPr>
      <w:tblGrid>
        <w:gridCol w:w="3400"/>
        <w:gridCol w:w="1440"/>
      </w:tblGrid>
      <w:tr w:rsidR="00396CB4" w:rsidRPr="00396CB4" w14:paraId="7AD92100" w14:textId="77777777" w:rsidTr="00396CB4">
        <w:trPr>
          <w:divId w:val="1011225633"/>
          <w:trHeight w:val="503"/>
        </w:trPr>
        <w:tc>
          <w:tcPr>
            <w:tcW w:w="3400" w:type="dxa"/>
            <w:tcBorders>
              <w:top w:val="single" w:sz="4" w:space="0" w:color="auto"/>
              <w:left w:val="single" w:sz="4" w:space="0" w:color="auto"/>
              <w:bottom w:val="single" w:sz="4" w:space="0" w:color="auto"/>
              <w:right w:val="single" w:sz="4" w:space="0" w:color="auto"/>
            </w:tcBorders>
            <w:shd w:val="clear" w:color="000000" w:fill="1F3864"/>
            <w:vAlign w:val="center"/>
            <w:hideMark/>
          </w:tcPr>
          <w:p w14:paraId="4CF57B09" w14:textId="262113A2" w:rsidR="00396CB4" w:rsidRPr="00396CB4" w:rsidRDefault="00396CB4" w:rsidP="00396CB4">
            <w:pPr>
              <w:spacing w:after="0" w:line="240" w:lineRule="auto"/>
              <w:jc w:val="left"/>
              <w:rPr>
                <w:rFonts w:eastAsia="Times New Roman" w:cs="Calibri"/>
                <w:color w:val="FFFFFF"/>
                <w:szCs w:val="24"/>
                <w:lang w:eastAsia="es-CR"/>
              </w:rPr>
            </w:pPr>
            <w:r w:rsidRPr="00396CB4">
              <w:rPr>
                <w:rFonts w:eastAsia="Times New Roman" w:cs="Calibri"/>
                <w:color w:val="FFFFFF"/>
                <w:szCs w:val="24"/>
                <w:lang w:eastAsia="es-CR"/>
              </w:rPr>
              <w:t>Resumen</w:t>
            </w:r>
          </w:p>
        </w:tc>
        <w:tc>
          <w:tcPr>
            <w:tcW w:w="1440" w:type="dxa"/>
            <w:tcBorders>
              <w:top w:val="single" w:sz="4" w:space="0" w:color="auto"/>
              <w:left w:val="nil"/>
              <w:bottom w:val="single" w:sz="4" w:space="0" w:color="auto"/>
              <w:right w:val="single" w:sz="4" w:space="0" w:color="auto"/>
            </w:tcBorders>
            <w:shd w:val="clear" w:color="000000" w:fill="1F3864"/>
            <w:vAlign w:val="center"/>
            <w:hideMark/>
          </w:tcPr>
          <w:p w14:paraId="007DF2D2" w14:textId="77777777" w:rsidR="00396CB4" w:rsidRPr="00396CB4" w:rsidRDefault="00396CB4" w:rsidP="00396CB4">
            <w:pPr>
              <w:spacing w:after="0" w:line="240" w:lineRule="auto"/>
              <w:jc w:val="left"/>
              <w:rPr>
                <w:rFonts w:eastAsia="Times New Roman" w:cs="Calibri"/>
                <w:color w:val="FFFFFF"/>
                <w:szCs w:val="24"/>
                <w:lang w:eastAsia="es-CR"/>
              </w:rPr>
            </w:pPr>
            <w:r w:rsidRPr="00396CB4">
              <w:rPr>
                <w:rFonts w:eastAsia="Times New Roman" w:cs="Calibri"/>
                <w:color w:val="FFFFFF"/>
                <w:szCs w:val="24"/>
                <w:lang w:eastAsia="es-CR"/>
              </w:rPr>
              <w:t>Intangibles</w:t>
            </w:r>
          </w:p>
        </w:tc>
      </w:tr>
      <w:tr w:rsidR="00396CB4" w:rsidRPr="00396CB4" w14:paraId="66697300" w14:textId="77777777" w:rsidTr="00396CB4">
        <w:trPr>
          <w:divId w:val="1011225633"/>
          <w:trHeight w:val="503"/>
        </w:trPr>
        <w:tc>
          <w:tcPr>
            <w:tcW w:w="3400" w:type="dxa"/>
            <w:tcBorders>
              <w:top w:val="nil"/>
              <w:left w:val="single" w:sz="4" w:space="0" w:color="auto"/>
              <w:bottom w:val="single" w:sz="4" w:space="0" w:color="auto"/>
              <w:right w:val="single" w:sz="4" w:space="0" w:color="auto"/>
            </w:tcBorders>
            <w:shd w:val="clear" w:color="000000" w:fill="1F3864"/>
            <w:vAlign w:val="center"/>
            <w:hideMark/>
          </w:tcPr>
          <w:p w14:paraId="76D3FE79" w14:textId="77777777" w:rsidR="00396CB4" w:rsidRPr="00396CB4" w:rsidRDefault="00396CB4" w:rsidP="00396CB4">
            <w:pPr>
              <w:spacing w:after="0" w:line="240" w:lineRule="auto"/>
              <w:jc w:val="left"/>
              <w:rPr>
                <w:rFonts w:eastAsia="Times New Roman" w:cs="Calibri"/>
                <w:color w:val="FFFFFF"/>
                <w:szCs w:val="24"/>
                <w:lang w:eastAsia="es-CR"/>
              </w:rPr>
            </w:pPr>
            <w:r w:rsidRPr="00396CB4">
              <w:rPr>
                <w:rFonts w:eastAsia="Times New Roman" w:cs="Calibri"/>
                <w:color w:val="FFFFFF"/>
                <w:szCs w:val="24"/>
                <w:lang w:eastAsia="es-CR"/>
              </w:rPr>
              <w:t xml:space="preserve">CANTIDAD </w:t>
            </w:r>
          </w:p>
        </w:tc>
        <w:tc>
          <w:tcPr>
            <w:tcW w:w="1440" w:type="dxa"/>
            <w:tcBorders>
              <w:top w:val="nil"/>
              <w:left w:val="nil"/>
              <w:bottom w:val="single" w:sz="4" w:space="0" w:color="auto"/>
              <w:right w:val="single" w:sz="4" w:space="0" w:color="auto"/>
            </w:tcBorders>
            <w:shd w:val="clear" w:color="auto" w:fill="auto"/>
            <w:noWrap/>
            <w:vAlign w:val="center"/>
            <w:hideMark/>
          </w:tcPr>
          <w:p w14:paraId="3DD66EE7" w14:textId="77777777" w:rsidR="00396CB4" w:rsidRPr="00396CB4" w:rsidRDefault="00396CB4" w:rsidP="00396CB4">
            <w:pPr>
              <w:spacing w:after="0" w:line="240" w:lineRule="auto"/>
              <w:jc w:val="center"/>
              <w:rPr>
                <w:rFonts w:eastAsia="Times New Roman" w:cs="Calibri"/>
                <w:color w:val="000000"/>
                <w:sz w:val="20"/>
                <w:szCs w:val="20"/>
                <w:lang w:eastAsia="es-CR"/>
              </w:rPr>
            </w:pPr>
            <w:r w:rsidRPr="00396CB4">
              <w:rPr>
                <w:rFonts w:eastAsia="Times New Roman" w:cs="Calibri"/>
                <w:color w:val="000000"/>
                <w:sz w:val="20"/>
                <w:szCs w:val="20"/>
                <w:lang w:eastAsia="es-CR"/>
              </w:rPr>
              <w:t>7</w:t>
            </w:r>
          </w:p>
        </w:tc>
      </w:tr>
      <w:tr w:rsidR="00396CB4" w:rsidRPr="00396CB4" w14:paraId="29BFDEA9" w14:textId="77777777" w:rsidTr="00396CB4">
        <w:trPr>
          <w:divId w:val="1011225633"/>
          <w:trHeight w:val="503"/>
        </w:trPr>
        <w:tc>
          <w:tcPr>
            <w:tcW w:w="3400" w:type="dxa"/>
            <w:tcBorders>
              <w:top w:val="nil"/>
              <w:left w:val="single" w:sz="4" w:space="0" w:color="auto"/>
              <w:bottom w:val="single" w:sz="4" w:space="0" w:color="auto"/>
              <w:right w:val="single" w:sz="4" w:space="0" w:color="auto"/>
            </w:tcBorders>
            <w:shd w:val="clear" w:color="000000" w:fill="1F3864"/>
            <w:vAlign w:val="center"/>
            <w:hideMark/>
          </w:tcPr>
          <w:p w14:paraId="766DB418" w14:textId="77777777" w:rsidR="00396CB4" w:rsidRPr="00396CB4" w:rsidRDefault="00396CB4" w:rsidP="00396CB4">
            <w:pPr>
              <w:spacing w:after="0" w:line="240" w:lineRule="auto"/>
              <w:jc w:val="left"/>
              <w:rPr>
                <w:rFonts w:eastAsia="Times New Roman" w:cs="Calibri"/>
                <w:color w:val="FFFFFF"/>
                <w:sz w:val="22"/>
                <w:lang w:eastAsia="es-CR"/>
              </w:rPr>
            </w:pPr>
            <w:r w:rsidRPr="00396CB4">
              <w:rPr>
                <w:rFonts w:eastAsia="Times New Roman" w:cs="Calibri"/>
                <w:color w:val="FFFFFF"/>
                <w:sz w:val="22"/>
                <w:lang w:eastAsia="es-CR"/>
              </w:rPr>
              <w:t xml:space="preserve">Valor  Inicio </w:t>
            </w:r>
          </w:p>
        </w:tc>
        <w:tc>
          <w:tcPr>
            <w:tcW w:w="1440" w:type="dxa"/>
            <w:tcBorders>
              <w:top w:val="nil"/>
              <w:left w:val="nil"/>
              <w:bottom w:val="single" w:sz="4" w:space="0" w:color="auto"/>
              <w:right w:val="single" w:sz="4" w:space="0" w:color="auto"/>
            </w:tcBorders>
            <w:shd w:val="clear" w:color="auto" w:fill="auto"/>
            <w:noWrap/>
            <w:vAlign w:val="bottom"/>
            <w:hideMark/>
          </w:tcPr>
          <w:p w14:paraId="53215F0E" w14:textId="77777777" w:rsidR="00B8661C" w:rsidRDefault="00B8661C" w:rsidP="00B8661C">
            <w:pPr>
              <w:spacing w:line="240" w:lineRule="auto"/>
              <w:jc w:val="left"/>
              <w:rPr>
                <w:rFonts w:cs="Calibri"/>
                <w:color w:val="000000"/>
                <w:sz w:val="22"/>
              </w:rPr>
            </w:pPr>
            <w:r>
              <w:rPr>
                <w:rFonts w:cs="Calibri"/>
                <w:color w:val="000000"/>
                <w:sz w:val="22"/>
              </w:rPr>
              <w:t>3414,53</w:t>
            </w:r>
          </w:p>
          <w:p w14:paraId="69A2E88A" w14:textId="1EF3DD50" w:rsidR="00396CB4" w:rsidRPr="00396CB4" w:rsidRDefault="00396CB4" w:rsidP="00396CB4">
            <w:pPr>
              <w:spacing w:after="0" w:line="240" w:lineRule="auto"/>
              <w:jc w:val="left"/>
              <w:rPr>
                <w:rFonts w:eastAsia="Times New Roman" w:cs="Calibri"/>
                <w:color w:val="000000"/>
                <w:sz w:val="22"/>
                <w:lang w:eastAsia="es-CR"/>
              </w:rPr>
            </w:pPr>
          </w:p>
        </w:tc>
      </w:tr>
      <w:tr w:rsidR="00396CB4" w:rsidRPr="00396CB4" w14:paraId="1E0F3B35" w14:textId="77777777" w:rsidTr="00396CB4">
        <w:trPr>
          <w:divId w:val="1011225633"/>
          <w:trHeight w:val="503"/>
        </w:trPr>
        <w:tc>
          <w:tcPr>
            <w:tcW w:w="3400" w:type="dxa"/>
            <w:tcBorders>
              <w:top w:val="nil"/>
              <w:left w:val="single" w:sz="4" w:space="0" w:color="auto"/>
              <w:bottom w:val="single" w:sz="4" w:space="0" w:color="auto"/>
              <w:right w:val="single" w:sz="4" w:space="0" w:color="auto"/>
            </w:tcBorders>
            <w:shd w:val="clear" w:color="000000" w:fill="1F3864"/>
            <w:vAlign w:val="center"/>
            <w:hideMark/>
          </w:tcPr>
          <w:p w14:paraId="40CDBBC8" w14:textId="77777777" w:rsidR="00396CB4" w:rsidRPr="00396CB4" w:rsidRDefault="00396CB4" w:rsidP="00396CB4">
            <w:pPr>
              <w:spacing w:after="0" w:line="240" w:lineRule="auto"/>
              <w:jc w:val="left"/>
              <w:rPr>
                <w:rFonts w:eastAsia="Times New Roman" w:cs="Calibri"/>
                <w:color w:val="FFFFFF"/>
                <w:sz w:val="22"/>
                <w:lang w:eastAsia="es-CR"/>
              </w:rPr>
            </w:pPr>
            <w:r w:rsidRPr="00396CB4">
              <w:rPr>
                <w:rFonts w:eastAsia="Times New Roman" w:cs="Calibri"/>
                <w:color w:val="FFFFFF"/>
                <w:sz w:val="22"/>
                <w:lang w:eastAsia="es-CR"/>
              </w:rPr>
              <w:t>Altas</w:t>
            </w:r>
          </w:p>
        </w:tc>
        <w:tc>
          <w:tcPr>
            <w:tcW w:w="1440" w:type="dxa"/>
            <w:tcBorders>
              <w:top w:val="nil"/>
              <w:left w:val="nil"/>
              <w:bottom w:val="single" w:sz="4" w:space="0" w:color="auto"/>
              <w:right w:val="single" w:sz="4" w:space="0" w:color="auto"/>
            </w:tcBorders>
            <w:shd w:val="clear" w:color="auto" w:fill="auto"/>
            <w:noWrap/>
            <w:vAlign w:val="bottom"/>
            <w:hideMark/>
          </w:tcPr>
          <w:p w14:paraId="2FA9BEF3" w14:textId="24DFCFF9" w:rsidR="00396CB4" w:rsidRPr="00B8661C" w:rsidRDefault="00B8661C" w:rsidP="00B8661C">
            <w:pPr>
              <w:spacing w:line="240" w:lineRule="auto"/>
              <w:jc w:val="left"/>
              <w:rPr>
                <w:rFonts w:cs="Calibri"/>
                <w:color w:val="000000"/>
                <w:sz w:val="22"/>
              </w:rPr>
            </w:pPr>
            <w:r>
              <w:rPr>
                <w:rFonts w:cs="Calibri"/>
                <w:color w:val="000000"/>
                <w:sz w:val="22"/>
              </w:rPr>
              <w:t>16011,26</w:t>
            </w:r>
          </w:p>
        </w:tc>
      </w:tr>
      <w:tr w:rsidR="00396CB4" w:rsidRPr="00396CB4" w14:paraId="4CC8C5D6" w14:textId="77777777" w:rsidTr="00396CB4">
        <w:trPr>
          <w:divId w:val="1011225633"/>
          <w:trHeight w:val="503"/>
        </w:trPr>
        <w:tc>
          <w:tcPr>
            <w:tcW w:w="3400" w:type="dxa"/>
            <w:tcBorders>
              <w:top w:val="nil"/>
              <w:left w:val="single" w:sz="4" w:space="0" w:color="auto"/>
              <w:bottom w:val="single" w:sz="4" w:space="0" w:color="auto"/>
              <w:right w:val="single" w:sz="4" w:space="0" w:color="auto"/>
            </w:tcBorders>
            <w:shd w:val="clear" w:color="000000" w:fill="1F3864"/>
            <w:vAlign w:val="center"/>
            <w:hideMark/>
          </w:tcPr>
          <w:p w14:paraId="495F2C4E" w14:textId="77777777" w:rsidR="00396CB4" w:rsidRPr="00396CB4" w:rsidRDefault="00396CB4" w:rsidP="00396CB4">
            <w:pPr>
              <w:spacing w:after="0" w:line="240" w:lineRule="auto"/>
              <w:jc w:val="left"/>
              <w:rPr>
                <w:rFonts w:eastAsia="Times New Roman" w:cs="Calibri"/>
                <w:color w:val="FFFFFF"/>
                <w:sz w:val="22"/>
                <w:lang w:eastAsia="es-CR"/>
              </w:rPr>
            </w:pPr>
            <w:r w:rsidRPr="00396CB4">
              <w:rPr>
                <w:rFonts w:eastAsia="Times New Roman" w:cs="Calibri"/>
                <w:color w:val="FFFFFF"/>
                <w:sz w:val="22"/>
                <w:lang w:eastAsia="es-CR"/>
              </w:rPr>
              <w:t xml:space="preserve"> Bajas</w:t>
            </w:r>
          </w:p>
        </w:tc>
        <w:tc>
          <w:tcPr>
            <w:tcW w:w="1440" w:type="dxa"/>
            <w:tcBorders>
              <w:top w:val="nil"/>
              <w:left w:val="nil"/>
              <w:bottom w:val="single" w:sz="4" w:space="0" w:color="auto"/>
              <w:right w:val="single" w:sz="4" w:space="0" w:color="auto"/>
            </w:tcBorders>
            <w:shd w:val="clear" w:color="auto" w:fill="auto"/>
            <w:noWrap/>
            <w:vAlign w:val="bottom"/>
            <w:hideMark/>
          </w:tcPr>
          <w:p w14:paraId="6333942F"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-10087,76</w:t>
            </w:r>
          </w:p>
        </w:tc>
      </w:tr>
      <w:tr w:rsidR="00396CB4" w:rsidRPr="00396CB4" w14:paraId="43FE4670" w14:textId="77777777" w:rsidTr="00396CB4">
        <w:trPr>
          <w:divId w:val="1011225633"/>
          <w:trHeight w:val="503"/>
        </w:trPr>
        <w:tc>
          <w:tcPr>
            <w:tcW w:w="3400" w:type="dxa"/>
            <w:tcBorders>
              <w:top w:val="nil"/>
              <w:left w:val="single" w:sz="4" w:space="0" w:color="auto"/>
              <w:bottom w:val="single" w:sz="4" w:space="0" w:color="auto"/>
              <w:right w:val="single" w:sz="4" w:space="0" w:color="auto"/>
            </w:tcBorders>
            <w:shd w:val="clear" w:color="000000" w:fill="1F3864"/>
            <w:vAlign w:val="center"/>
            <w:hideMark/>
          </w:tcPr>
          <w:p w14:paraId="4D5A78C2" w14:textId="77777777" w:rsidR="00396CB4" w:rsidRPr="00396CB4" w:rsidRDefault="00396CB4" w:rsidP="00396CB4">
            <w:pPr>
              <w:spacing w:after="0" w:line="240" w:lineRule="auto"/>
              <w:jc w:val="left"/>
              <w:rPr>
                <w:rFonts w:eastAsia="Times New Roman" w:cs="Calibri"/>
                <w:color w:val="FFFFFF"/>
                <w:sz w:val="22"/>
                <w:lang w:eastAsia="es-CR"/>
              </w:rPr>
            </w:pPr>
            <w:r w:rsidRPr="00396CB4">
              <w:rPr>
                <w:rFonts w:eastAsia="Times New Roman" w:cs="Calibri"/>
                <w:color w:val="FFFFFF"/>
                <w:sz w:val="22"/>
                <w:lang w:eastAsia="es-CR"/>
              </w:rPr>
              <w:t>Amortización</w:t>
            </w:r>
          </w:p>
        </w:tc>
        <w:tc>
          <w:tcPr>
            <w:tcW w:w="1440" w:type="dxa"/>
            <w:tcBorders>
              <w:top w:val="nil"/>
              <w:left w:val="nil"/>
              <w:bottom w:val="single" w:sz="4" w:space="0" w:color="auto"/>
              <w:right w:val="single" w:sz="4" w:space="0" w:color="auto"/>
            </w:tcBorders>
            <w:shd w:val="clear" w:color="auto" w:fill="auto"/>
            <w:noWrap/>
            <w:vAlign w:val="bottom"/>
            <w:hideMark/>
          </w:tcPr>
          <w:p w14:paraId="22D79866"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0,00</w:t>
            </w:r>
          </w:p>
        </w:tc>
      </w:tr>
      <w:tr w:rsidR="00396CB4" w:rsidRPr="00396CB4" w14:paraId="038562B9" w14:textId="77777777" w:rsidTr="00396CB4">
        <w:trPr>
          <w:divId w:val="1011225633"/>
          <w:trHeight w:val="503"/>
        </w:trPr>
        <w:tc>
          <w:tcPr>
            <w:tcW w:w="3400" w:type="dxa"/>
            <w:tcBorders>
              <w:top w:val="nil"/>
              <w:left w:val="single" w:sz="4" w:space="0" w:color="auto"/>
              <w:bottom w:val="single" w:sz="4" w:space="0" w:color="auto"/>
              <w:right w:val="single" w:sz="4" w:space="0" w:color="auto"/>
            </w:tcBorders>
            <w:shd w:val="clear" w:color="000000" w:fill="1F3864"/>
            <w:vAlign w:val="center"/>
            <w:hideMark/>
          </w:tcPr>
          <w:p w14:paraId="0CE1182C" w14:textId="77777777" w:rsidR="00396CB4" w:rsidRPr="00396CB4" w:rsidRDefault="00396CB4" w:rsidP="00396CB4">
            <w:pPr>
              <w:spacing w:after="0" w:line="240" w:lineRule="auto"/>
              <w:jc w:val="left"/>
              <w:rPr>
                <w:rFonts w:eastAsia="Times New Roman" w:cs="Calibri"/>
                <w:color w:val="FFFFFF"/>
                <w:sz w:val="22"/>
                <w:lang w:eastAsia="es-CR"/>
              </w:rPr>
            </w:pPr>
            <w:r w:rsidRPr="00396CB4">
              <w:rPr>
                <w:rFonts w:eastAsia="Times New Roman" w:cs="Calibri"/>
                <w:color w:val="FFFFFF"/>
                <w:sz w:val="22"/>
                <w:lang w:eastAsia="es-CR"/>
              </w:rPr>
              <w:t>Deterioro</w:t>
            </w:r>
          </w:p>
        </w:tc>
        <w:tc>
          <w:tcPr>
            <w:tcW w:w="1440" w:type="dxa"/>
            <w:tcBorders>
              <w:top w:val="nil"/>
              <w:left w:val="nil"/>
              <w:bottom w:val="single" w:sz="4" w:space="0" w:color="auto"/>
              <w:right w:val="single" w:sz="4" w:space="0" w:color="auto"/>
            </w:tcBorders>
            <w:shd w:val="clear" w:color="auto" w:fill="auto"/>
            <w:noWrap/>
            <w:vAlign w:val="bottom"/>
            <w:hideMark/>
          </w:tcPr>
          <w:p w14:paraId="32690F86"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0,00</w:t>
            </w:r>
          </w:p>
        </w:tc>
      </w:tr>
      <w:tr w:rsidR="00396CB4" w:rsidRPr="00396CB4" w14:paraId="6D5C0E71" w14:textId="77777777" w:rsidTr="00396CB4">
        <w:trPr>
          <w:divId w:val="1011225633"/>
          <w:trHeight w:val="503"/>
        </w:trPr>
        <w:tc>
          <w:tcPr>
            <w:tcW w:w="3400" w:type="dxa"/>
            <w:tcBorders>
              <w:top w:val="nil"/>
              <w:left w:val="single" w:sz="4" w:space="0" w:color="auto"/>
              <w:bottom w:val="single" w:sz="4" w:space="0" w:color="auto"/>
              <w:right w:val="single" w:sz="4" w:space="0" w:color="auto"/>
            </w:tcBorders>
            <w:shd w:val="clear" w:color="000000" w:fill="1F3864"/>
            <w:vAlign w:val="center"/>
            <w:hideMark/>
          </w:tcPr>
          <w:p w14:paraId="2F28FAEC" w14:textId="77777777" w:rsidR="00396CB4" w:rsidRPr="00396CB4" w:rsidRDefault="00396CB4" w:rsidP="00396CB4">
            <w:pPr>
              <w:spacing w:after="0" w:line="240" w:lineRule="auto"/>
              <w:jc w:val="left"/>
              <w:rPr>
                <w:rFonts w:eastAsia="Times New Roman" w:cs="Calibri"/>
                <w:color w:val="FFFFFF"/>
                <w:sz w:val="22"/>
                <w:lang w:eastAsia="es-CR"/>
              </w:rPr>
            </w:pPr>
            <w:r w:rsidRPr="00396CB4">
              <w:rPr>
                <w:rFonts w:eastAsia="Times New Roman" w:cs="Calibri"/>
                <w:color w:val="FFFFFF"/>
                <w:sz w:val="22"/>
                <w:lang w:eastAsia="es-CR"/>
              </w:rPr>
              <w:t xml:space="preserve">Ajustes por reversión de Deterioro </w:t>
            </w:r>
          </w:p>
        </w:tc>
        <w:tc>
          <w:tcPr>
            <w:tcW w:w="1440" w:type="dxa"/>
            <w:tcBorders>
              <w:top w:val="nil"/>
              <w:left w:val="nil"/>
              <w:bottom w:val="single" w:sz="4" w:space="0" w:color="auto"/>
              <w:right w:val="single" w:sz="4" w:space="0" w:color="auto"/>
            </w:tcBorders>
            <w:shd w:val="clear" w:color="auto" w:fill="auto"/>
            <w:noWrap/>
            <w:vAlign w:val="bottom"/>
            <w:hideMark/>
          </w:tcPr>
          <w:p w14:paraId="522EED8D"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0,00</w:t>
            </w:r>
          </w:p>
        </w:tc>
      </w:tr>
      <w:tr w:rsidR="00396CB4" w:rsidRPr="00396CB4" w14:paraId="3A7D80A7" w14:textId="77777777" w:rsidTr="00396CB4">
        <w:trPr>
          <w:divId w:val="1011225633"/>
          <w:trHeight w:val="503"/>
        </w:trPr>
        <w:tc>
          <w:tcPr>
            <w:tcW w:w="3400" w:type="dxa"/>
            <w:tcBorders>
              <w:top w:val="nil"/>
              <w:left w:val="single" w:sz="4" w:space="0" w:color="auto"/>
              <w:bottom w:val="single" w:sz="4" w:space="0" w:color="auto"/>
              <w:right w:val="single" w:sz="4" w:space="0" w:color="auto"/>
            </w:tcBorders>
            <w:shd w:val="clear" w:color="000000" w:fill="1F3864"/>
            <w:vAlign w:val="center"/>
            <w:hideMark/>
          </w:tcPr>
          <w:p w14:paraId="7FA2E52E" w14:textId="77777777" w:rsidR="00396CB4" w:rsidRPr="00396CB4" w:rsidRDefault="00396CB4" w:rsidP="00396CB4">
            <w:pPr>
              <w:spacing w:after="0" w:line="240" w:lineRule="auto"/>
              <w:jc w:val="left"/>
              <w:rPr>
                <w:rFonts w:eastAsia="Times New Roman" w:cs="Calibri"/>
                <w:color w:val="FFFFFF"/>
                <w:sz w:val="22"/>
                <w:lang w:eastAsia="es-CR"/>
              </w:rPr>
            </w:pPr>
            <w:r w:rsidRPr="00396CB4">
              <w:rPr>
                <w:rFonts w:eastAsia="Times New Roman" w:cs="Calibri"/>
                <w:color w:val="FFFFFF"/>
                <w:sz w:val="22"/>
                <w:lang w:eastAsia="es-CR"/>
              </w:rPr>
              <w:t>Ajustes por diferencias derivadas T.C.</w:t>
            </w:r>
          </w:p>
        </w:tc>
        <w:tc>
          <w:tcPr>
            <w:tcW w:w="1440" w:type="dxa"/>
            <w:tcBorders>
              <w:top w:val="nil"/>
              <w:left w:val="nil"/>
              <w:bottom w:val="single" w:sz="4" w:space="0" w:color="auto"/>
              <w:right w:val="single" w:sz="4" w:space="0" w:color="auto"/>
            </w:tcBorders>
            <w:shd w:val="clear" w:color="auto" w:fill="auto"/>
            <w:noWrap/>
            <w:vAlign w:val="bottom"/>
            <w:hideMark/>
          </w:tcPr>
          <w:p w14:paraId="273F17B7"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0,00</w:t>
            </w:r>
          </w:p>
        </w:tc>
      </w:tr>
      <w:tr w:rsidR="00396CB4" w:rsidRPr="00396CB4" w14:paraId="5146D9DF" w14:textId="77777777" w:rsidTr="00396CB4">
        <w:trPr>
          <w:divId w:val="1011225633"/>
          <w:trHeight w:val="503"/>
        </w:trPr>
        <w:tc>
          <w:tcPr>
            <w:tcW w:w="3400" w:type="dxa"/>
            <w:tcBorders>
              <w:top w:val="nil"/>
              <w:left w:val="single" w:sz="4" w:space="0" w:color="auto"/>
              <w:bottom w:val="single" w:sz="4" w:space="0" w:color="auto"/>
              <w:right w:val="single" w:sz="4" w:space="0" w:color="auto"/>
            </w:tcBorders>
            <w:shd w:val="clear" w:color="000000" w:fill="1F3864"/>
            <w:vAlign w:val="center"/>
            <w:hideMark/>
          </w:tcPr>
          <w:p w14:paraId="7BBD50D8" w14:textId="77777777" w:rsidR="00396CB4" w:rsidRPr="00396CB4" w:rsidRDefault="00396CB4" w:rsidP="00396CB4">
            <w:pPr>
              <w:spacing w:after="0" w:line="240" w:lineRule="auto"/>
              <w:jc w:val="left"/>
              <w:rPr>
                <w:rFonts w:eastAsia="Times New Roman" w:cs="Calibri"/>
                <w:color w:val="FFFFFF"/>
                <w:sz w:val="22"/>
                <w:lang w:eastAsia="es-CR"/>
              </w:rPr>
            </w:pPr>
            <w:r w:rsidRPr="00396CB4">
              <w:rPr>
                <w:rFonts w:eastAsia="Times New Roman" w:cs="Calibri"/>
                <w:color w:val="FFFFFF"/>
                <w:sz w:val="22"/>
                <w:lang w:eastAsia="es-CR"/>
              </w:rPr>
              <w:lastRenderedPageBreak/>
              <w:t>Valor al Cierre</w:t>
            </w:r>
          </w:p>
        </w:tc>
        <w:tc>
          <w:tcPr>
            <w:tcW w:w="1440" w:type="dxa"/>
            <w:tcBorders>
              <w:top w:val="nil"/>
              <w:left w:val="nil"/>
              <w:bottom w:val="single" w:sz="4" w:space="0" w:color="auto"/>
              <w:right w:val="single" w:sz="4" w:space="0" w:color="auto"/>
            </w:tcBorders>
            <w:shd w:val="clear" w:color="auto" w:fill="auto"/>
            <w:noWrap/>
            <w:vAlign w:val="bottom"/>
            <w:hideMark/>
          </w:tcPr>
          <w:p w14:paraId="28D367EE"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0,00</w:t>
            </w:r>
          </w:p>
        </w:tc>
      </w:tr>
    </w:tbl>
    <w:p w14:paraId="319B1840" w14:textId="421DAF6F" w:rsidR="00E45870" w:rsidRPr="00E45870" w:rsidRDefault="00A606BF" w:rsidP="001D0A81">
      <w:pPr>
        <w:spacing w:before="240"/>
      </w:pPr>
      <w:r>
        <w:rPr>
          <w:rFonts w:eastAsia="Calibri"/>
          <w:color w:val="0000FF"/>
          <w:highlight w:val="yellow"/>
          <w:u w:val="single"/>
          <w:lang w:val="es-MX"/>
        </w:rPr>
        <w:fldChar w:fldCharType="end"/>
      </w:r>
      <w:r w:rsidR="00E45870" w:rsidRPr="00E45870">
        <w:rPr>
          <w:lang w:eastAsia="es-CR"/>
        </w:rPr>
        <w:t>El responsable contable debe analizar y revelar lo dispuesto en el párrafo 117 de la NICSP 31.</w:t>
      </w:r>
    </w:p>
    <w:p w14:paraId="25FE2771" w14:textId="19A24E56" w:rsidR="00E45870" w:rsidRPr="00E45870" w:rsidRDefault="00E45870" w:rsidP="00E45870">
      <w:pPr>
        <w:spacing w:line="240" w:lineRule="auto"/>
        <w:rPr>
          <w:i/>
          <w:lang w:val="es-ES" w:eastAsia="es-ES" w:bidi="es-ES"/>
        </w:rPr>
      </w:pPr>
      <w:r w:rsidRPr="00E45870">
        <w:rPr>
          <w:i/>
          <w:lang w:val="es-ES" w:eastAsia="es-ES" w:bidi="es-ES"/>
        </w:rPr>
        <w:t xml:space="preserve">“117. La entidad revelará la siguiente información para cada una de las clases de activos intangibles, distinguiendo entre los que se hayan generado internamente y el resto de </w:t>
      </w:r>
      <w:r w:rsidR="00EB098A" w:rsidRPr="00E45870">
        <w:rPr>
          <w:i/>
          <w:lang w:val="es-ES" w:eastAsia="es-ES" w:bidi="es-ES"/>
        </w:rPr>
        <w:t>los activos</w:t>
      </w:r>
      <w:r w:rsidRPr="00E45870">
        <w:rPr>
          <w:i/>
          <w:lang w:val="es-ES" w:eastAsia="es-ES" w:bidi="es-ES"/>
        </w:rPr>
        <w:t xml:space="preserve"> intangibles:</w:t>
      </w:r>
    </w:p>
    <w:p w14:paraId="223BEBE0" w14:textId="77777777" w:rsidR="00E45870" w:rsidRPr="00E45870" w:rsidRDefault="00E45870" w:rsidP="00E45870">
      <w:pPr>
        <w:spacing w:line="240" w:lineRule="auto"/>
        <w:rPr>
          <w:i/>
          <w:lang w:val="es-ES" w:eastAsia="es-ES" w:bidi="es-ES"/>
        </w:rPr>
      </w:pPr>
      <w:r w:rsidRPr="00E45870">
        <w:rPr>
          <w:i/>
          <w:lang w:val="es-ES" w:eastAsia="es-ES" w:bidi="es-ES"/>
        </w:rPr>
        <w:t xml:space="preserve"> (a) si las vidas útiles son indefinidas o finitas y, en este caso, las vidas útiles o las tasas de amortización utilizadas; </w:t>
      </w:r>
    </w:p>
    <w:p w14:paraId="6FD4B156" w14:textId="77777777" w:rsidR="00E45870" w:rsidRPr="00E45870" w:rsidRDefault="00E45870" w:rsidP="00E45870">
      <w:pPr>
        <w:spacing w:line="240" w:lineRule="auto"/>
        <w:rPr>
          <w:i/>
          <w:lang w:val="es-ES" w:eastAsia="es-ES" w:bidi="es-ES"/>
        </w:rPr>
      </w:pPr>
      <w:r w:rsidRPr="00E45870">
        <w:rPr>
          <w:i/>
          <w:lang w:val="es-ES" w:eastAsia="es-ES" w:bidi="es-ES"/>
        </w:rPr>
        <w:t xml:space="preserve">(b) los métodos de amortización utilizados para los activos intangibles con vidas útiles finitas; </w:t>
      </w:r>
    </w:p>
    <w:p w14:paraId="4DA41C97" w14:textId="77777777" w:rsidR="00E45870" w:rsidRPr="00E45870" w:rsidRDefault="00E45870" w:rsidP="00E45870">
      <w:pPr>
        <w:spacing w:line="240" w:lineRule="auto"/>
        <w:rPr>
          <w:i/>
          <w:lang w:val="es-ES" w:eastAsia="es-ES" w:bidi="es-ES"/>
        </w:rPr>
      </w:pPr>
      <w:r w:rsidRPr="00E45870">
        <w:rPr>
          <w:i/>
          <w:lang w:val="es-ES" w:eastAsia="es-ES" w:bidi="es-ES"/>
        </w:rPr>
        <w:t xml:space="preserve">(c) el importe en libros bruto y la amortización acumulada (junto con el importe acumulado de las pérdidas por deterioro del valor), tanto al principio como al final de cada periodo; </w:t>
      </w:r>
    </w:p>
    <w:p w14:paraId="2BE99982" w14:textId="77777777" w:rsidR="00E45870" w:rsidRPr="00E45870" w:rsidRDefault="00E45870" w:rsidP="00E45870">
      <w:pPr>
        <w:spacing w:line="240" w:lineRule="auto"/>
        <w:rPr>
          <w:i/>
          <w:lang w:val="es-ES" w:eastAsia="es-ES" w:bidi="es-ES"/>
        </w:rPr>
      </w:pPr>
      <w:r w:rsidRPr="00E45870">
        <w:rPr>
          <w:i/>
          <w:lang w:val="es-ES" w:eastAsia="es-ES" w:bidi="es-ES"/>
        </w:rPr>
        <w:t xml:space="preserve">(d) la partida o partidas del estado de rendimiento financiero en las que esté incluida la amortización de los activos intangibles; </w:t>
      </w:r>
    </w:p>
    <w:p w14:paraId="3BB2E319" w14:textId="77777777" w:rsidR="00E45870" w:rsidRPr="00E45870" w:rsidRDefault="00E45870" w:rsidP="00E45870">
      <w:pPr>
        <w:spacing w:line="240" w:lineRule="auto"/>
        <w:rPr>
          <w:i/>
          <w:lang w:val="es-ES" w:eastAsia="es-ES" w:bidi="es-ES"/>
        </w:rPr>
      </w:pPr>
      <w:r w:rsidRPr="00E45870">
        <w:rPr>
          <w:i/>
          <w:lang w:val="es-ES" w:eastAsia="es-ES" w:bidi="es-ES"/>
        </w:rPr>
        <w:t>(e) una conciliación entre los valores en libros al principio y al final del periodo, mostrando:</w:t>
      </w:r>
    </w:p>
    <w:p w14:paraId="58BF0BE0" w14:textId="77777777" w:rsidR="00E45870" w:rsidRPr="00E45870" w:rsidRDefault="00E45870" w:rsidP="00E45870">
      <w:pPr>
        <w:spacing w:line="240" w:lineRule="auto"/>
        <w:rPr>
          <w:i/>
          <w:lang w:val="es-ES" w:eastAsia="es-ES" w:bidi="es-ES"/>
        </w:rPr>
      </w:pPr>
      <w:r w:rsidRPr="00E45870">
        <w:rPr>
          <w:i/>
          <w:lang w:val="es-ES" w:eastAsia="es-ES" w:bidi="es-ES"/>
        </w:rPr>
        <w:tab/>
        <w:t xml:space="preserve">(i) los incrementos, con indicación separada de los que procedan de desarrollos internos, </w:t>
      </w:r>
      <w:r w:rsidRPr="00E45870">
        <w:rPr>
          <w:i/>
          <w:lang w:val="es-ES" w:eastAsia="es-ES" w:bidi="es-ES"/>
        </w:rPr>
        <w:tab/>
        <w:t xml:space="preserve">aquellos adquiridos por separado y los adquiridos a través de adquisiciones; </w:t>
      </w:r>
    </w:p>
    <w:p w14:paraId="34376964" w14:textId="77777777" w:rsidR="00E45870" w:rsidRPr="00E45870" w:rsidRDefault="00E45870" w:rsidP="00E45870">
      <w:pPr>
        <w:spacing w:line="240" w:lineRule="auto"/>
        <w:rPr>
          <w:i/>
          <w:lang w:val="es-ES" w:eastAsia="es-ES" w:bidi="es-ES"/>
        </w:rPr>
      </w:pPr>
      <w:r w:rsidRPr="00E45870">
        <w:rPr>
          <w:i/>
          <w:lang w:val="es-ES" w:eastAsia="es-ES" w:bidi="es-ES"/>
        </w:rPr>
        <w:tab/>
        <w:t xml:space="preserve">(ii) las disposiciones; </w:t>
      </w:r>
    </w:p>
    <w:p w14:paraId="4CD2F313" w14:textId="77777777" w:rsidR="00E45870" w:rsidRPr="00E45870" w:rsidRDefault="00E45870" w:rsidP="00E45870">
      <w:pPr>
        <w:spacing w:line="240" w:lineRule="auto"/>
        <w:rPr>
          <w:i/>
          <w:lang w:val="es-ES" w:eastAsia="es-ES" w:bidi="es-ES"/>
        </w:rPr>
      </w:pPr>
      <w:r w:rsidRPr="00E45870">
        <w:rPr>
          <w:i/>
          <w:lang w:val="es-ES" w:eastAsia="es-ES" w:bidi="es-ES"/>
        </w:rPr>
        <w:tab/>
        <w:t xml:space="preserve">(iii) los incrementos o disminuciones, durante el periodo, procedentes de revaluaciones </w:t>
      </w:r>
      <w:r w:rsidRPr="00E45870">
        <w:rPr>
          <w:i/>
          <w:lang w:val="es-ES" w:eastAsia="es-ES" w:bidi="es-ES"/>
        </w:rPr>
        <w:tab/>
        <w:t xml:space="preserve">efectuadas según se indica en los párrafos 74, 84 y 85 (si las hubiere); </w:t>
      </w:r>
    </w:p>
    <w:p w14:paraId="53C40042" w14:textId="77777777" w:rsidR="00E45870" w:rsidRPr="00E45870" w:rsidRDefault="00E45870" w:rsidP="00E45870">
      <w:pPr>
        <w:spacing w:line="240" w:lineRule="auto"/>
        <w:rPr>
          <w:i/>
          <w:lang w:val="es-ES" w:eastAsia="es-ES" w:bidi="es-ES"/>
        </w:rPr>
      </w:pPr>
      <w:r w:rsidRPr="00E45870">
        <w:rPr>
          <w:i/>
          <w:lang w:val="es-ES" w:eastAsia="es-ES" w:bidi="es-ES"/>
        </w:rPr>
        <w:tab/>
        <w:t xml:space="preserve">(iv) las pérdidas por deterioro del valor reconocidas durante el periodo en el resultado (ahorro </w:t>
      </w:r>
      <w:r w:rsidRPr="00E45870">
        <w:rPr>
          <w:i/>
          <w:lang w:val="es-ES" w:eastAsia="es-ES" w:bidi="es-ES"/>
        </w:rPr>
        <w:tab/>
        <w:t xml:space="preserve">o desahorro), de acuerdo con lo establecido en la NICSP 21 o en la NICSP 26 (si las hubiere); </w:t>
      </w:r>
      <w:r w:rsidRPr="00E45870">
        <w:rPr>
          <w:i/>
          <w:lang w:val="es-ES" w:eastAsia="es-ES" w:bidi="es-ES"/>
        </w:rPr>
        <w:tab/>
        <w:t xml:space="preserve">(v) las reversiones de pérdidas por deterioro del valor reconocidas durante el periodo en el </w:t>
      </w:r>
      <w:r w:rsidRPr="00E45870">
        <w:rPr>
          <w:i/>
          <w:lang w:val="es-ES" w:eastAsia="es-ES" w:bidi="es-ES"/>
        </w:rPr>
        <w:tab/>
        <w:t xml:space="preserve">resultado (ahorro o desahorro), de acuerdo con la NICSP 21 o la NICSP 26 (si las hubiere); </w:t>
      </w:r>
      <w:r w:rsidRPr="00E45870">
        <w:rPr>
          <w:i/>
          <w:lang w:val="es-ES" w:eastAsia="es-ES" w:bidi="es-ES"/>
        </w:rPr>
        <w:tab/>
        <w:t xml:space="preserve">(vi) el importe de la amortización reconocida durante el periodo; </w:t>
      </w:r>
    </w:p>
    <w:p w14:paraId="214AD472" w14:textId="77777777" w:rsidR="00E45870" w:rsidRPr="00E45870" w:rsidRDefault="00E45870" w:rsidP="00E45870">
      <w:pPr>
        <w:spacing w:line="240" w:lineRule="auto"/>
        <w:rPr>
          <w:i/>
          <w:lang w:val="es-ES" w:eastAsia="es-ES" w:bidi="es-ES"/>
        </w:rPr>
      </w:pPr>
      <w:r w:rsidRPr="00E45870">
        <w:rPr>
          <w:i/>
          <w:lang w:val="es-ES" w:eastAsia="es-ES" w:bidi="es-ES"/>
        </w:rPr>
        <w:tab/>
        <w:t xml:space="preserve">(vii) las diferencias de cambio netas derivadas de la conversión de los estados financieros a </w:t>
      </w:r>
      <w:r w:rsidRPr="00E45870">
        <w:rPr>
          <w:i/>
          <w:lang w:val="es-ES" w:eastAsia="es-ES" w:bidi="es-ES"/>
        </w:rPr>
        <w:tab/>
        <w:t xml:space="preserve">la moneda de presentación, y de la conversión de un negocio en el extranjero a la moneda de </w:t>
      </w:r>
      <w:r w:rsidRPr="00E45870">
        <w:rPr>
          <w:i/>
          <w:lang w:val="es-ES" w:eastAsia="es-ES" w:bidi="es-ES"/>
        </w:rPr>
        <w:tab/>
        <w:t xml:space="preserve">presentación de la entidad; y </w:t>
      </w:r>
    </w:p>
    <w:p w14:paraId="0437D5EC" w14:textId="12380B81" w:rsidR="00E45870" w:rsidRDefault="00E45870" w:rsidP="005F2549">
      <w:pPr>
        <w:spacing w:line="240" w:lineRule="auto"/>
        <w:rPr>
          <w:i/>
          <w:lang w:val="es-ES" w:eastAsia="es-ES" w:bidi="es-ES"/>
        </w:rPr>
      </w:pPr>
      <w:r w:rsidRPr="00E45870">
        <w:rPr>
          <w:i/>
          <w:lang w:val="es-ES" w:eastAsia="es-ES" w:bidi="es-ES"/>
        </w:rPr>
        <w:tab/>
        <w:t>(viii) otros cambios en el importe en libros durante el periodo.”</w:t>
      </w:r>
    </w:p>
    <w:p w14:paraId="396E24C9" w14:textId="77777777" w:rsidR="00763462" w:rsidRDefault="0008638E" w:rsidP="00763462">
      <w:pPr>
        <w:spacing w:before="240" w:line="240" w:lineRule="auto"/>
        <w:rPr>
          <w:b/>
          <w:color w:val="FFFFFF" w:themeColor="background1"/>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p>
    <w:p w14:paraId="1E8435F7" w14:textId="4DBBD1D8" w:rsidR="00763462" w:rsidRDefault="00763462" w:rsidP="00763462">
      <w:pPr>
        <w:spacing w:before="240" w:line="240" w:lineRule="auto"/>
        <w:rPr>
          <w:lang w:val="es-MX"/>
        </w:rPr>
      </w:pPr>
      <w:r>
        <w:rPr>
          <w:lang w:val="es-MX"/>
        </w:rPr>
        <w:t>Un activo intangible se reconoce si: es probable que los beneficios económicos futuros o el potencial de servicio que sean atribuibles al activo fluirán para la Municipalidad, y el costo o valor razonable pueda ser medido confiablemente.</w:t>
      </w:r>
    </w:p>
    <w:p w14:paraId="511713A1" w14:textId="77777777" w:rsidR="00763462" w:rsidRDefault="00763462" w:rsidP="00763462">
      <w:pPr>
        <w:spacing w:before="240" w:line="240" w:lineRule="auto"/>
        <w:rPr>
          <w:lang w:val="es-MX"/>
        </w:rPr>
      </w:pPr>
      <w:r>
        <w:rPr>
          <w:lang w:val="es-MX"/>
        </w:rPr>
        <w:t>Si un elemento de intangible no satisface tanto la definición como los criterios de reconocimiento para un activo intangible, el desembolso se reconoce como un gasto cuando se incurre en él.</w:t>
      </w:r>
    </w:p>
    <w:p w14:paraId="7D58EB97" w14:textId="77777777" w:rsidR="00763462" w:rsidRDefault="00763462" w:rsidP="00763462">
      <w:pPr>
        <w:spacing w:before="240" w:line="240" w:lineRule="auto"/>
        <w:rPr>
          <w:lang w:val="es-MX"/>
        </w:rPr>
      </w:pPr>
      <w:r>
        <w:rPr>
          <w:lang w:val="es-MX"/>
        </w:rPr>
        <w:t>Una pérdida por deterioro de un activo intangible se determina aplicando las NICSP 21 o NICSP 26 según sea lo apropiado.</w:t>
      </w:r>
    </w:p>
    <w:p w14:paraId="5752F378" w14:textId="77777777" w:rsidR="00763462" w:rsidRPr="003516A2" w:rsidRDefault="00763462" w:rsidP="00763462">
      <w:pPr>
        <w:spacing w:before="240" w:line="240" w:lineRule="auto"/>
        <w:rPr>
          <w:b/>
          <w:color w:val="FFFFFF" w:themeColor="background1"/>
          <w:highlight w:val="darkBlue"/>
          <w:u w:val="single"/>
        </w:rPr>
      </w:pPr>
      <w:r>
        <w:rPr>
          <w:lang w:val="es-MX"/>
        </w:rPr>
        <w:lastRenderedPageBreak/>
        <w:t>Los activos intangibles con vidas útiles definidas se amortizan sistemáticamente en forma lineal durante su vida útil, los activos con vidas indefinidas no se amortizan, pero si son probados por deterioro sobre una base anual.</w:t>
      </w:r>
    </w:p>
    <w:p w14:paraId="34A2E404" w14:textId="77777777" w:rsidR="0008638E" w:rsidRDefault="0008638E" w:rsidP="0008638E">
      <w:pPr>
        <w:spacing w:line="240" w:lineRule="auto"/>
        <w:rPr>
          <w:b/>
          <w:u w:val="single"/>
        </w:rPr>
      </w:pPr>
    </w:p>
    <w:p w14:paraId="68123F7F" w14:textId="77777777" w:rsidR="0008638E" w:rsidRPr="003516A2" w:rsidRDefault="0008638E" w:rsidP="0008638E">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5D964A66" w14:textId="77777777" w:rsidR="00763462" w:rsidRDefault="00763462" w:rsidP="00763462">
      <w:pPr>
        <w:spacing w:line="240" w:lineRule="auto"/>
        <w:rPr>
          <w:lang w:val="es-MX"/>
        </w:rPr>
      </w:pPr>
      <w:r w:rsidRPr="00EF2A13">
        <w:rPr>
          <w:lang w:val="es-MX"/>
        </w:rPr>
        <w:t xml:space="preserve">Los activos intangibles se contabilizan utilizando el método </w:t>
      </w:r>
      <w:r>
        <w:rPr>
          <w:lang w:val="es-MX"/>
        </w:rPr>
        <w:t>del costo. Según este método los activos son medidos al costo menos cualquier amortización acumulada y cualesquiera pérdidas por deterioro acumuladas.</w:t>
      </w:r>
    </w:p>
    <w:p w14:paraId="69B10E08" w14:textId="77777777" w:rsidR="00763462" w:rsidRDefault="00763462" w:rsidP="00763462">
      <w:pPr>
        <w:spacing w:line="240" w:lineRule="auto"/>
        <w:rPr>
          <w:lang w:val="es-MX"/>
        </w:rPr>
      </w:pPr>
      <w:r>
        <w:rPr>
          <w:lang w:val="es-MX"/>
        </w:rPr>
        <w:t>La pérdida por deterioro de un activo intangible que genera efectivo se determina comparando el valor en libros con el monto recuperable del activo (el más alto entre el valor razonable menos los costos de venta del activo que genera efectivo y su valor en uso) y es el exceso del segundo sobre el primero.</w:t>
      </w:r>
    </w:p>
    <w:p w14:paraId="48744716" w14:textId="77777777" w:rsidR="00763462" w:rsidRDefault="00763462" w:rsidP="00763462">
      <w:pPr>
        <w:spacing w:line="240" w:lineRule="auto"/>
        <w:rPr>
          <w:lang w:val="es-MX"/>
        </w:rPr>
      </w:pPr>
      <w:r>
        <w:rPr>
          <w:lang w:val="es-MX"/>
        </w:rPr>
        <w:t>Una pérdida por deterioro de un activo que no general efectivo es la cantidad por la cual el valor en libros de activo excede su cantidad de servicios recuperable, la cual es el más alto entre el valor razonable menos los costos de venta del activo que genera efectivo y su valor en uso.</w:t>
      </w:r>
    </w:p>
    <w:p w14:paraId="6D166EE9" w14:textId="5965045E" w:rsidR="00E45870" w:rsidRPr="00E45870" w:rsidRDefault="00E45870" w:rsidP="00E45870">
      <w:pPr>
        <w:rPr>
          <w:rFonts w:eastAsia="Times New Roman"/>
          <w:b/>
          <w:u w:val="single"/>
          <w:lang w:val="es-ES_tradnl" w:eastAsia="es-CR"/>
        </w:rPr>
      </w:pPr>
      <w:r w:rsidRPr="0008638E">
        <w:rPr>
          <w:b/>
          <w:color w:val="FFFFFF" w:themeColor="background1"/>
          <w:highlight w:val="darkBlue"/>
          <w:u w:val="single"/>
        </w:rPr>
        <w:t xml:space="preserve">Revelación Suficiente: </w:t>
      </w:r>
      <w:r w:rsidR="00482942">
        <w:rPr>
          <w:b/>
          <w:bCs/>
          <w:u w:val="single"/>
        </w:rPr>
        <w:t xml:space="preserve">El ente debe revelar y cumplir </w:t>
      </w:r>
      <w:r w:rsidRPr="00E45870">
        <w:rPr>
          <w:b/>
          <w:bCs/>
          <w:u w:val="single"/>
        </w:rPr>
        <w:t xml:space="preserve">con lo estipulado en revelación </w:t>
      </w:r>
      <w:r w:rsidR="00482942">
        <w:rPr>
          <w:b/>
          <w:bCs/>
          <w:u w:val="single"/>
        </w:rPr>
        <w:t>conforme</w:t>
      </w:r>
      <w:r w:rsidRPr="00E45870">
        <w:rPr>
          <w:b/>
          <w:bCs/>
          <w:u w:val="single"/>
        </w:rPr>
        <w:t xml:space="preserve"> a la NICSP, también debe considerar la política general y los párrafos incluidos en la matriz de autoevaluación referente a esta NICSP y guías de aplicación</w:t>
      </w:r>
      <w:r w:rsidRPr="00E45870">
        <w:rPr>
          <w:rFonts w:eastAsia="Times New Roman"/>
          <w:b/>
          <w:u w:val="single"/>
          <w:lang w:val="es-ES_tradnl" w:eastAsia="es-CR"/>
        </w:rPr>
        <w:t xml:space="preserve"> (Ver GA de la NICSP 31):</w:t>
      </w:r>
    </w:p>
    <w:p w14:paraId="618BC9D0" w14:textId="77777777" w:rsidR="00763462" w:rsidRPr="002D6330" w:rsidRDefault="00763462" w:rsidP="00763462">
      <w:pPr>
        <w:spacing w:after="0" w:line="240" w:lineRule="auto"/>
        <w:rPr>
          <w:b/>
          <w:bCs/>
          <w:lang w:eastAsia="es-CR"/>
        </w:rPr>
      </w:pPr>
      <w:bookmarkStart w:id="115" w:name="_Toc33601188"/>
      <w:bookmarkStart w:id="116" w:name="_Toc54961693"/>
      <w:bookmarkStart w:id="117" w:name="_Toc82768892"/>
      <w:r w:rsidRPr="002D6330">
        <w:rPr>
          <w:b/>
          <w:bCs/>
          <w:lang w:eastAsia="es-CR"/>
        </w:rPr>
        <w:t>Adopción de la dispensa de tres años concedida en la NICSP 33</w:t>
      </w:r>
    </w:p>
    <w:p w14:paraId="4ACA08D4" w14:textId="77777777" w:rsidR="00763462" w:rsidRDefault="00763462" w:rsidP="00763462">
      <w:pPr>
        <w:spacing w:after="0" w:line="240" w:lineRule="auto"/>
        <w:rPr>
          <w:lang w:eastAsia="es-CR"/>
        </w:rPr>
      </w:pPr>
    </w:p>
    <w:p w14:paraId="43C185CE" w14:textId="77777777" w:rsidR="00763462" w:rsidRDefault="00763462" w:rsidP="00763462">
      <w:pPr>
        <w:spacing w:after="0" w:line="240" w:lineRule="auto"/>
        <w:rPr>
          <w:lang w:eastAsia="es-CR"/>
        </w:rPr>
      </w:pPr>
      <w:r>
        <w:rPr>
          <w:lang w:eastAsia="es-CR"/>
        </w:rPr>
        <w:t>La Municipalidad se acogió al periodo de dispensa transitorio de tres años para el reconocimiento o medición de activos o pasivos que proporciona la NICSP 33 en los párrafos 36 a 62, el cual finaliza el 31 de diciembre de 2024. Durante este periodo la Municipalidad se encuentra realizando un proceso de cierre de brechas, con el fin de lograr cumplir con los requerimientos exigidos por la NICSP 31 y lograr presentar información razonable sobre los inventarios que posee.</w:t>
      </w:r>
    </w:p>
    <w:p w14:paraId="7237130A" w14:textId="77777777" w:rsidR="00763462" w:rsidRPr="00A7067D" w:rsidRDefault="00763462" w:rsidP="00763462">
      <w:pPr>
        <w:spacing w:after="0" w:line="240" w:lineRule="auto"/>
        <w:rPr>
          <w:szCs w:val="24"/>
          <w:lang w:val="es-MX" w:eastAsia="es-CR"/>
        </w:rPr>
      </w:pPr>
    </w:p>
    <w:p w14:paraId="45E2535B" w14:textId="77777777" w:rsidR="00763462" w:rsidRDefault="00763462" w:rsidP="00763462">
      <w:pPr>
        <w:spacing w:after="0" w:line="240" w:lineRule="auto"/>
        <w:rPr>
          <w:szCs w:val="24"/>
          <w:lang w:val="es-MX" w:eastAsia="es-CR"/>
        </w:rPr>
      </w:pPr>
      <w:r w:rsidRPr="00A7067D">
        <w:rPr>
          <w:szCs w:val="24"/>
          <w:lang w:val="es-MX" w:eastAsia="es-CR"/>
        </w:rPr>
        <w:t>La Municipalidad se encuentra llevando a cabo un proceso de levantamiento de inventario con base en el cual, se efectúa la identificación, depuración y actualización del registro que mantenía la Proveeduría Municipal de sus bienes de propiedad, planta y equipo, procediéndose con base en dicho levantamiento a establecer los valores correctos de cada uno de sus activos, determinar la depreciación acumulada y los criterios de deterioro que pueden afectar alguno o algunos de sus activos, tanto los generadores como los no generadores de efectivo, según lo establecido en las NICSP 21 y NICSP 26.</w:t>
      </w:r>
    </w:p>
    <w:p w14:paraId="16A4931E" w14:textId="77777777" w:rsidR="00763462" w:rsidRPr="00A7067D" w:rsidRDefault="00763462" w:rsidP="00763462">
      <w:pPr>
        <w:spacing w:after="0" w:line="240" w:lineRule="auto"/>
        <w:rPr>
          <w:szCs w:val="24"/>
          <w:lang w:val="es-MX" w:eastAsia="es-CR"/>
        </w:rPr>
      </w:pPr>
    </w:p>
    <w:p w14:paraId="42AC9D32" w14:textId="77777777" w:rsidR="00763462" w:rsidRDefault="00763462" w:rsidP="00763462">
      <w:pPr>
        <w:spacing w:after="0" w:line="240" w:lineRule="auto"/>
        <w:rPr>
          <w:szCs w:val="24"/>
          <w:lang w:val="es-ES" w:eastAsia="es-CR"/>
        </w:rPr>
      </w:pPr>
      <w:r>
        <w:rPr>
          <w:szCs w:val="24"/>
          <w:lang w:val="es-ES" w:eastAsia="es-CR"/>
        </w:rPr>
        <w:t>De acuerdo con lo consignado en el Plan de Acción para implementación de las NICSP, se está realizando un inventario físico de cada una de las clases de activos que posee la Municipalidad, luego se procede a valorar los bienes identificados y su posterior registro y a hacer las revelaciones respectivas. Conforme lo indicado en el citado Plan de Acción la totalidad de los requerimientos de esta norma se estima cumplirlos a más tardar el 31 de diciembre de 2024.</w:t>
      </w:r>
    </w:p>
    <w:p w14:paraId="731762F3" w14:textId="77777777" w:rsidR="00763462" w:rsidRDefault="00763462" w:rsidP="00763462">
      <w:pPr>
        <w:spacing w:after="0" w:line="240" w:lineRule="auto"/>
        <w:rPr>
          <w:szCs w:val="24"/>
          <w:lang w:val="es-ES" w:eastAsia="es-CR"/>
        </w:rPr>
      </w:pPr>
    </w:p>
    <w:p w14:paraId="633BF1AC" w14:textId="77777777" w:rsidR="00763462" w:rsidRPr="00763462" w:rsidRDefault="00763462" w:rsidP="00763462">
      <w:pPr>
        <w:spacing w:after="0" w:line="240" w:lineRule="auto"/>
        <w:rPr>
          <w:szCs w:val="24"/>
          <w:highlight w:val="yellow"/>
          <w:lang w:val="es-ES" w:eastAsia="es-CR"/>
        </w:rPr>
      </w:pPr>
      <w:r>
        <w:rPr>
          <w:szCs w:val="24"/>
          <w:lang w:val="es-ES" w:eastAsia="es-CR"/>
        </w:rPr>
        <w:lastRenderedPageBreak/>
        <w:t xml:space="preserve">Cabe señalar, que debido a que antes de iniciar la implementación de las NICSP la Municipalidad no llevaba una contabilidad patrimonial, por lo tanto, desde un inicio los activos intangibles se reconocen y miden con base </w:t>
      </w:r>
      <w:r w:rsidRPr="00EB098A">
        <w:rPr>
          <w:szCs w:val="24"/>
          <w:lang w:val="es-ES" w:eastAsia="es-CR"/>
        </w:rPr>
        <w:t>en lo establecido en las NICSP.</w:t>
      </w:r>
    </w:p>
    <w:p w14:paraId="0DB334D2" w14:textId="77777777" w:rsidR="00763462" w:rsidRPr="00763462" w:rsidRDefault="00763462" w:rsidP="00763462">
      <w:pPr>
        <w:spacing w:after="0" w:line="240" w:lineRule="auto"/>
        <w:rPr>
          <w:highlight w:val="yellow"/>
          <w:lang w:val="es-ES" w:eastAsia="es-CR"/>
        </w:rPr>
      </w:pPr>
    </w:p>
    <w:p w14:paraId="2EFE0DE5" w14:textId="77777777" w:rsidR="00763462" w:rsidRPr="00EB098A" w:rsidRDefault="00763462" w:rsidP="00763462">
      <w:pPr>
        <w:spacing w:after="0" w:line="240" w:lineRule="auto"/>
        <w:rPr>
          <w:lang w:eastAsia="es-CR"/>
        </w:rPr>
      </w:pPr>
      <w:r w:rsidRPr="00EB098A">
        <w:rPr>
          <w:lang w:eastAsia="es-CR"/>
        </w:rPr>
        <w:t>En relación con los activos intangibles es pertinente indicar que como parte del proceso de implementación se está efectuando un inventario de este tipo de bienes el cual permitirá establecer la cantidad real de intangibles, si son de vida definida e indefinida y la amortización que corresponde registrar mensualmente.</w:t>
      </w:r>
    </w:p>
    <w:p w14:paraId="6367C71B" w14:textId="77777777" w:rsidR="00763462" w:rsidRPr="00EB098A" w:rsidRDefault="00763462" w:rsidP="00763462">
      <w:pPr>
        <w:spacing w:after="0" w:line="240" w:lineRule="auto"/>
        <w:rPr>
          <w:lang w:eastAsia="es-CR"/>
        </w:rPr>
      </w:pPr>
    </w:p>
    <w:p w14:paraId="1F4E4A80" w14:textId="44B2E3F1" w:rsidR="00763462" w:rsidRPr="00EB098A" w:rsidRDefault="00763462" w:rsidP="00763462">
      <w:pPr>
        <w:spacing w:line="240" w:lineRule="auto"/>
        <w:rPr>
          <w:szCs w:val="24"/>
          <w:lang w:eastAsia="es-CR"/>
        </w:rPr>
      </w:pPr>
      <w:r w:rsidRPr="00EB098A">
        <w:rPr>
          <w:szCs w:val="24"/>
          <w:lang w:eastAsia="es-CR"/>
        </w:rPr>
        <w:t xml:space="preserve">De acuerdo con lo consignado en la Matriz de NICSP y Plan de Acción al </w:t>
      </w:r>
      <w:r w:rsidR="00796636" w:rsidRPr="00EB098A">
        <w:rPr>
          <w:szCs w:val="24"/>
          <w:lang w:eastAsia="es-CR"/>
        </w:rPr>
        <w:t>31</w:t>
      </w:r>
      <w:r w:rsidRPr="00EB098A">
        <w:rPr>
          <w:szCs w:val="24"/>
          <w:lang w:eastAsia="es-CR"/>
        </w:rPr>
        <w:t xml:space="preserve"> de </w:t>
      </w:r>
      <w:r w:rsidR="00D64CF8" w:rsidRPr="00EB098A">
        <w:rPr>
          <w:szCs w:val="24"/>
          <w:lang w:eastAsia="es-CR"/>
        </w:rPr>
        <w:t>diciembre</w:t>
      </w:r>
      <w:r w:rsidRPr="00EB098A">
        <w:rPr>
          <w:szCs w:val="24"/>
          <w:lang w:eastAsia="es-CR"/>
        </w:rPr>
        <w:t xml:space="preserve"> de 2024 se encuentra pendiente de implementar lo siguiente:</w:t>
      </w:r>
    </w:p>
    <w:p w14:paraId="198CD55D" w14:textId="77777777" w:rsidR="00763462" w:rsidRPr="00763462" w:rsidRDefault="00763462" w:rsidP="00763462">
      <w:pPr>
        <w:spacing w:after="0" w:line="240" w:lineRule="auto"/>
        <w:rPr>
          <w:szCs w:val="24"/>
          <w:highlight w:val="yellow"/>
          <w:lang w:eastAsia="es-CR"/>
        </w:rPr>
      </w:pPr>
    </w:p>
    <w:tbl>
      <w:tblPr>
        <w:tblW w:w="8881" w:type="dxa"/>
        <w:tblLook w:val="04A0" w:firstRow="1" w:lastRow="0" w:firstColumn="1" w:lastColumn="0" w:noHBand="0" w:noVBand="1"/>
      </w:tblPr>
      <w:tblGrid>
        <w:gridCol w:w="7361"/>
        <w:gridCol w:w="1520"/>
      </w:tblGrid>
      <w:tr w:rsidR="00763462" w:rsidRPr="00763462" w14:paraId="0B3F0E87" w14:textId="77777777" w:rsidTr="0061790F">
        <w:trPr>
          <w:trHeight w:val="530"/>
        </w:trPr>
        <w:tc>
          <w:tcPr>
            <w:tcW w:w="7361"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4AE2017D" w14:textId="77777777" w:rsidR="00763462" w:rsidRPr="007077A8" w:rsidRDefault="00763462" w:rsidP="0061790F">
            <w:pPr>
              <w:spacing w:after="0" w:line="240" w:lineRule="auto"/>
              <w:jc w:val="center"/>
              <w:rPr>
                <w:rFonts w:eastAsia="Times New Roman" w:cs="Calibri"/>
                <w:b/>
                <w:bCs/>
                <w:sz w:val="20"/>
                <w:szCs w:val="20"/>
                <w:lang w:val="en-US"/>
              </w:rPr>
            </w:pPr>
            <w:proofErr w:type="spellStart"/>
            <w:r w:rsidRPr="007077A8">
              <w:rPr>
                <w:rFonts w:eastAsia="Times New Roman" w:cs="Calibri"/>
                <w:b/>
                <w:bCs/>
                <w:sz w:val="20"/>
                <w:szCs w:val="20"/>
                <w:lang w:val="en-US"/>
              </w:rPr>
              <w:t>Actividades</w:t>
            </w:r>
            <w:proofErr w:type="spellEnd"/>
            <w:r w:rsidRPr="007077A8">
              <w:rPr>
                <w:rFonts w:eastAsia="Times New Roman" w:cs="Calibri"/>
                <w:b/>
                <w:bCs/>
                <w:sz w:val="20"/>
                <w:szCs w:val="20"/>
                <w:lang w:val="en-US"/>
              </w:rPr>
              <w:t xml:space="preserve"> </w:t>
            </w:r>
            <w:proofErr w:type="spellStart"/>
            <w:r w:rsidRPr="007077A8">
              <w:rPr>
                <w:rFonts w:eastAsia="Times New Roman" w:cs="Calibri"/>
                <w:b/>
                <w:bCs/>
                <w:sz w:val="20"/>
                <w:szCs w:val="20"/>
                <w:lang w:val="en-US"/>
              </w:rPr>
              <w:t>Pendientes</w:t>
            </w:r>
            <w:proofErr w:type="spellEnd"/>
            <w:r w:rsidRPr="007077A8">
              <w:rPr>
                <w:rFonts w:eastAsia="Times New Roman" w:cs="Calibri"/>
                <w:b/>
                <w:bCs/>
                <w:sz w:val="20"/>
                <w:szCs w:val="20"/>
                <w:lang w:val="en-US"/>
              </w:rPr>
              <w:t xml:space="preserve"> de </w:t>
            </w:r>
            <w:proofErr w:type="spellStart"/>
            <w:r w:rsidRPr="007077A8">
              <w:rPr>
                <w:rFonts w:eastAsia="Times New Roman" w:cs="Calibri"/>
                <w:b/>
                <w:bCs/>
                <w:sz w:val="20"/>
                <w:szCs w:val="20"/>
                <w:lang w:val="en-US"/>
              </w:rPr>
              <w:t>Cumplimiento</w:t>
            </w:r>
            <w:proofErr w:type="spellEnd"/>
          </w:p>
        </w:tc>
        <w:tc>
          <w:tcPr>
            <w:tcW w:w="1520" w:type="dxa"/>
            <w:tcBorders>
              <w:top w:val="single" w:sz="8" w:space="0" w:color="auto"/>
              <w:left w:val="nil"/>
              <w:bottom w:val="single" w:sz="4" w:space="0" w:color="auto"/>
              <w:right w:val="single" w:sz="8" w:space="0" w:color="auto"/>
            </w:tcBorders>
            <w:shd w:val="clear" w:color="000000" w:fill="FFFFFF"/>
            <w:vAlign w:val="bottom"/>
            <w:hideMark/>
          </w:tcPr>
          <w:p w14:paraId="5B5FF4CC" w14:textId="77777777" w:rsidR="00763462" w:rsidRPr="007077A8" w:rsidRDefault="00763462" w:rsidP="0061790F">
            <w:pPr>
              <w:spacing w:after="0" w:line="240" w:lineRule="auto"/>
              <w:jc w:val="center"/>
              <w:rPr>
                <w:rFonts w:eastAsia="Times New Roman" w:cs="Calibri"/>
                <w:b/>
                <w:bCs/>
                <w:color w:val="000000"/>
                <w:sz w:val="20"/>
                <w:szCs w:val="20"/>
                <w:lang w:val="en-US"/>
              </w:rPr>
            </w:pPr>
            <w:proofErr w:type="spellStart"/>
            <w:r w:rsidRPr="007077A8">
              <w:rPr>
                <w:rFonts w:eastAsia="Times New Roman" w:cs="Calibri"/>
                <w:b/>
                <w:bCs/>
                <w:color w:val="000000"/>
                <w:sz w:val="20"/>
                <w:szCs w:val="20"/>
                <w:lang w:val="en-US"/>
              </w:rPr>
              <w:t>Fecha</w:t>
            </w:r>
            <w:proofErr w:type="spellEnd"/>
            <w:r w:rsidRPr="007077A8">
              <w:rPr>
                <w:rFonts w:eastAsia="Times New Roman" w:cs="Calibri"/>
                <w:b/>
                <w:bCs/>
                <w:color w:val="000000"/>
                <w:sz w:val="20"/>
                <w:szCs w:val="20"/>
                <w:lang w:val="en-US"/>
              </w:rPr>
              <w:t xml:space="preserve"> </w:t>
            </w:r>
            <w:proofErr w:type="spellStart"/>
            <w:r w:rsidRPr="007077A8">
              <w:rPr>
                <w:rFonts w:eastAsia="Times New Roman" w:cs="Calibri"/>
                <w:b/>
                <w:bCs/>
                <w:color w:val="000000"/>
                <w:sz w:val="20"/>
                <w:szCs w:val="20"/>
                <w:lang w:val="en-US"/>
              </w:rPr>
              <w:t>Estimada</w:t>
            </w:r>
            <w:proofErr w:type="spellEnd"/>
            <w:r w:rsidRPr="007077A8">
              <w:rPr>
                <w:rFonts w:eastAsia="Times New Roman" w:cs="Calibri"/>
                <w:b/>
                <w:bCs/>
                <w:color w:val="000000"/>
                <w:sz w:val="20"/>
                <w:szCs w:val="20"/>
                <w:lang w:val="en-US"/>
              </w:rPr>
              <w:t xml:space="preserve"> </w:t>
            </w:r>
            <w:proofErr w:type="spellStart"/>
            <w:r w:rsidRPr="007077A8">
              <w:rPr>
                <w:rFonts w:eastAsia="Times New Roman" w:cs="Calibri"/>
                <w:b/>
                <w:bCs/>
                <w:color w:val="000000"/>
                <w:sz w:val="20"/>
                <w:szCs w:val="20"/>
                <w:lang w:val="en-US"/>
              </w:rPr>
              <w:t>Cumplimiento</w:t>
            </w:r>
            <w:proofErr w:type="spellEnd"/>
          </w:p>
        </w:tc>
      </w:tr>
      <w:tr w:rsidR="00763462" w:rsidRPr="00763462" w14:paraId="1D7D6F7F" w14:textId="77777777" w:rsidTr="0061790F">
        <w:trPr>
          <w:trHeight w:val="274"/>
        </w:trPr>
        <w:tc>
          <w:tcPr>
            <w:tcW w:w="7361" w:type="dxa"/>
            <w:tcBorders>
              <w:top w:val="nil"/>
              <w:left w:val="single" w:sz="8" w:space="0" w:color="auto"/>
              <w:bottom w:val="single" w:sz="4" w:space="0" w:color="auto"/>
              <w:right w:val="single" w:sz="4" w:space="0" w:color="auto"/>
            </w:tcBorders>
            <w:shd w:val="clear" w:color="000000" w:fill="FFFFFF"/>
            <w:hideMark/>
          </w:tcPr>
          <w:p w14:paraId="0D1D1169" w14:textId="77777777" w:rsidR="00763462" w:rsidRPr="007077A8" w:rsidRDefault="00763462" w:rsidP="0061790F">
            <w:pPr>
              <w:spacing w:after="0" w:line="240" w:lineRule="auto"/>
              <w:rPr>
                <w:rFonts w:eastAsia="Times New Roman" w:cs="Calibri"/>
                <w:color w:val="000000"/>
                <w:sz w:val="20"/>
                <w:szCs w:val="20"/>
              </w:rPr>
            </w:pPr>
            <w:r w:rsidRPr="007077A8">
              <w:rPr>
                <w:rFonts w:eastAsia="Times New Roman" w:cs="Calibri"/>
                <w:color w:val="000000"/>
                <w:sz w:val="20"/>
                <w:szCs w:val="20"/>
              </w:rPr>
              <w:t>Realizar el registro de los activos intangibles de acuerdo con lo indicado en la norma contable.</w:t>
            </w:r>
          </w:p>
        </w:tc>
        <w:tc>
          <w:tcPr>
            <w:tcW w:w="1520" w:type="dxa"/>
            <w:tcBorders>
              <w:top w:val="nil"/>
              <w:left w:val="nil"/>
              <w:bottom w:val="single" w:sz="4" w:space="0" w:color="auto"/>
              <w:right w:val="single" w:sz="8" w:space="0" w:color="auto"/>
            </w:tcBorders>
            <w:shd w:val="clear" w:color="000000" w:fill="FFFFFF"/>
            <w:noWrap/>
            <w:vAlign w:val="center"/>
            <w:hideMark/>
          </w:tcPr>
          <w:p w14:paraId="2F319DBF" w14:textId="238E4DAD" w:rsidR="00763462" w:rsidRPr="007077A8" w:rsidRDefault="00796636" w:rsidP="0061790F">
            <w:pPr>
              <w:spacing w:after="0" w:line="240" w:lineRule="auto"/>
              <w:jc w:val="center"/>
              <w:rPr>
                <w:rFonts w:eastAsia="Times New Roman" w:cs="Calibri"/>
                <w:sz w:val="20"/>
                <w:szCs w:val="20"/>
                <w:lang w:val="en-US"/>
              </w:rPr>
            </w:pPr>
            <w:r w:rsidRPr="007077A8">
              <w:rPr>
                <w:rFonts w:eastAsia="Times New Roman" w:cs="Calibri"/>
                <w:sz w:val="20"/>
                <w:szCs w:val="20"/>
                <w:lang w:val="en-US"/>
              </w:rPr>
              <w:t>3</w:t>
            </w:r>
            <w:r w:rsidR="00EB098A" w:rsidRPr="007077A8">
              <w:rPr>
                <w:rFonts w:eastAsia="Times New Roman" w:cs="Calibri"/>
                <w:sz w:val="20"/>
                <w:szCs w:val="20"/>
                <w:lang w:val="en-US"/>
              </w:rPr>
              <w:t>0</w:t>
            </w:r>
            <w:r w:rsidR="007D492D" w:rsidRPr="007077A8">
              <w:rPr>
                <w:rFonts w:eastAsia="Times New Roman" w:cs="Calibri"/>
                <w:sz w:val="20"/>
                <w:szCs w:val="20"/>
                <w:lang w:val="en-US"/>
              </w:rPr>
              <w:t>/06/25</w:t>
            </w:r>
          </w:p>
        </w:tc>
      </w:tr>
      <w:tr w:rsidR="007D492D" w:rsidRPr="00763462" w14:paraId="4CA5C41E" w14:textId="77777777" w:rsidTr="0061790F">
        <w:trPr>
          <w:trHeight w:val="520"/>
        </w:trPr>
        <w:tc>
          <w:tcPr>
            <w:tcW w:w="7361" w:type="dxa"/>
            <w:tcBorders>
              <w:top w:val="nil"/>
              <w:left w:val="single" w:sz="8" w:space="0" w:color="auto"/>
              <w:bottom w:val="single" w:sz="4" w:space="0" w:color="auto"/>
              <w:right w:val="single" w:sz="4" w:space="0" w:color="auto"/>
            </w:tcBorders>
            <w:shd w:val="clear" w:color="000000" w:fill="FFFFFF"/>
            <w:hideMark/>
          </w:tcPr>
          <w:p w14:paraId="702B1D12" w14:textId="77777777" w:rsidR="007D492D" w:rsidRPr="007077A8" w:rsidRDefault="007D492D" w:rsidP="007D492D">
            <w:pPr>
              <w:spacing w:after="0" w:line="240" w:lineRule="auto"/>
              <w:rPr>
                <w:rFonts w:eastAsia="Times New Roman" w:cs="Calibri"/>
                <w:color w:val="000000"/>
                <w:sz w:val="20"/>
                <w:szCs w:val="20"/>
              </w:rPr>
            </w:pPr>
            <w:r w:rsidRPr="007077A8">
              <w:rPr>
                <w:rFonts w:eastAsia="Times New Roman" w:cs="Calibri"/>
                <w:color w:val="000000"/>
                <w:sz w:val="20"/>
                <w:szCs w:val="20"/>
              </w:rPr>
              <w:t>Aplicar la amortización a los activos intangibles, para su correspondiente registro y revelación en los estados financieros.</w:t>
            </w:r>
          </w:p>
        </w:tc>
        <w:tc>
          <w:tcPr>
            <w:tcW w:w="1520" w:type="dxa"/>
            <w:tcBorders>
              <w:top w:val="nil"/>
              <w:left w:val="nil"/>
              <w:bottom w:val="single" w:sz="4" w:space="0" w:color="auto"/>
              <w:right w:val="single" w:sz="8" w:space="0" w:color="auto"/>
            </w:tcBorders>
            <w:shd w:val="clear" w:color="000000" w:fill="FFFFFF"/>
            <w:noWrap/>
            <w:hideMark/>
          </w:tcPr>
          <w:p w14:paraId="410735BF" w14:textId="412FFE2B" w:rsidR="007D492D" w:rsidRPr="007077A8" w:rsidRDefault="00EB098A" w:rsidP="007D492D">
            <w:pPr>
              <w:spacing w:after="0" w:line="240" w:lineRule="auto"/>
              <w:jc w:val="center"/>
              <w:rPr>
                <w:rFonts w:eastAsia="Times New Roman" w:cs="Calibri"/>
                <w:sz w:val="20"/>
                <w:szCs w:val="20"/>
                <w:lang w:val="en-US"/>
              </w:rPr>
            </w:pPr>
            <w:r w:rsidRPr="007077A8">
              <w:rPr>
                <w:rFonts w:eastAsia="Times New Roman" w:cs="Calibri"/>
                <w:sz w:val="20"/>
                <w:szCs w:val="20"/>
                <w:lang w:val="en-US"/>
              </w:rPr>
              <w:t>30/06/25</w:t>
            </w:r>
          </w:p>
        </w:tc>
      </w:tr>
      <w:tr w:rsidR="007D492D" w:rsidRPr="00763462" w14:paraId="380E8980" w14:textId="77777777" w:rsidTr="0061790F">
        <w:trPr>
          <w:trHeight w:val="520"/>
        </w:trPr>
        <w:tc>
          <w:tcPr>
            <w:tcW w:w="7361" w:type="dxa"/>
            <w:tcBorders>
              <w:top w:val="nil"/>
              <w:left w:val="single" w:sz="8" w:space="0" w:color="auto"/>
              <w:bottom w:val="single" w:sz="4" w:space="0" w:color="auto"/>
              <w:right w:val="single" w:sz="4" w:space="0" w:color="auto"/>
            </w:tcBorders>
            <w:shd w:val="clear" w:color="000000" w:fill="FFFFFF"/>
            <w:hideMark/>
          </w:tcPr>
          <w:p w14:paraId="0E6183AD" w14:textId="77777777" w:rsidR="007D492D" w:rsidRPr="007077A8" w:rsidRDefault="007D492D" w:rsidP="007D492D">
            <w:pPr>
              <w:spacing w:after="0" w:line="240" w:lineRule="auto"/>
              <w:rPr>
                <w:rFonts w:eastAsia="Times New Roman" w:cs="Calibri"/>
                <w:color w:val="000000"/>
                <w:sz w:val="20"/>
                <w:szCs w:val="20"/>
              </w:rPr>
            </w:pPr>
            <w:r w:rsidRPr="007077A8">
              <w:rPr>
                <w:rFonts w:eastAsia="Times New Roman" w:cs="Calibri"/>
                <w:color w:val="000000"/>
                <w:sz w:val="20"/>
                <w:szCs w:val="20"/>
              </w:rPr>
              <w:t>Determinar la información que se debe revelar en relación con los diferentes elementos de los estados financieros.</w:t>
            </w:r>
          </w:p>
        </w:tc>
        <w:tc>
          <w:tcPr>
            <w:tcW w:w="1520" w:type="dxa"/>
            <w:tcBorders>
              <w:top w:val="nil"/>
              <w:left w:val="nil"/>
              <w:bottom w:val="single" w:sz="4" w:space="0" w:color="auto"/>
              <w:right w:val="single" w:sz="8" w:space="0" w:color="auto"/>
            </w:tcBorders>
            <w:shd w:val="clear" w:color="000000" w:fill="FFFFFF"/>
            <w:noWrap/>
            <w:hideMark/>
          </w:tcPr>
          <w:p w14:paraId="4E052FFB" w14:textId="6FC47306" w:rsidR="007D492D" w:rsidRPr="007077A8" w:rsidRDefault="00EB098A" w:rsidP="007D492D">
            <w:pPr>
              <w:spacing w:after="0" w:line="240" w:lineRule="auto"/>
              <w:jc w:val="center"/>
              <w:rPr>
                <w:rFonts w:eastAsia="Times New Roman" w:cs="Calibri"/>
                <w:sz w:val="20"/>
                <w:szCs w:val="20"/>
                <w:lang w:val="en-US"/>
              </w:rPr>
            </w:pPr>
            <w:r w:rsidRPr="007077A8">
              <w:rPr>
                <w:rFonts w:eastAsia="Times New Roman" w:cs="Calibri"/>
                <w:sz w:val="20"/>
                <w:szCs w:val="20"/>
                <w:lang w:val="en-US"/>
              </w:rPr>
              <w:t>30/06/25</w:t>
            </w:r>
          </w:p>
        </w:tc>
      </w:tr>
      <w:tr w:rsidR="007D492D" w:rsidRPr="00C36CAC" w14:paraId="3E266C4C" w14:textId="77777777" w:rsidTr="0061790F">
        <w:trPr>
          <w:trHeight w:val="349"/>
        </w:trPr>
        <w:tc>
          <w:tcPr>
            <w:tcW w:w="7361" w:type="dxa"/>
            <w:tcBorders>
              <w:top w:val="nil"/>
              <w:left w:val="single" w:sz="8" w:space="0" w:color="auto"/>
              <w:bottom w:val="single" w:sz="8" w:space="0" w:color="auto"/>
              <w:right w:val="single" w:sz="4" w:space="0" w:color="auto"/>
            </w:tcBorders>
            <w:shd w:val="clear" w:color="000000" w:fill="FFFFFF"/>
            <w:hideMark/>
          </w:tcPr>
          <w:p w14:paraId="20BDBAC2" w14:textId="77777777" w:rsidR="007D492D" w:rsidRPr="007077A8" w:rsidRDefault="007D492D" w:rsidP="007D492D">
            <w:pPr>
              <w:spacing w:after="0" w:line="240" w:lineRule="auto"/>
              <w:rPr>
                <w:rFonts w:eastAsia="Times New Roman" w:cs="Calibri"/>
                <w:color w:val="000000"/>
                <w:sz w:val="20"/>
                <w:szCs w:val="20"/>
              </w:rPr>
            </w:pPr>
            <w:r w:rsidRPr="007077A8">
              <w:rPr>
                <w:rFonts w:eastAsia="Times New Roman" w:cs="Calibri"/>
                <w:color w:val="000000"/>
                <w:sz w:val="20"/>
                <w:szCs w:val="20"/>
              </w:rPr>
              <w:t>Realizar las revelaciones correspondientes sobre los diferentes elementos de los estados financieros.</w:t>
            </w:r>
          </w:p>
        </w:tc>
        <w:tc>
          <w:tcPr>
            <w:tcW w:w="1520" w:type="dxa"/>
            <w:tcBorders>
              <w:top w:val="nil"/>
              <w:left w:val="nil"/>
              <w:bottom w:val="single" w:sz="8" w:space="0" w:color="auto"/>
              <w:right w:val="single" w:sz="8" w:space="0" w:color="auto"/>
            </w:tcBorders>
            <w:shd w:val="clear" w:color="000000" w:fill="FFFFFF"/>
            <w:noWrap/>
            <w:hideMark/>
          </w:tcPr>
          <w:p w14:paraId="29B2745A" w14:textId="16407CA0" w:rsidR="007D492D" w:rsidRPr="007077A8" w:rsidRDefault="00EB098A" w:rsidP="007D492D">
            <w:pPr>
              <w:spacing w:after="0" w:line="240" w:lineRule="auto"/>
              <w:jc w:val="center"/>
              <w:rPr>
                <w:rFonts w:eastAsia="Times New Roman" w:cs="Calibri"/>
                <w:sz w:val="20"/>
                <w:szCs w:val="20"/>
                <w:lang w:val="en-US"/>
              </w:rPr>
            </w:pPr>
            <w:r w:rsidRPr="007077A8">
              <w:rPr>
                <w:rFonts w:eastAsia="Times New Roman" w:cs="Calibri"/>
                <w:sz w:val="20"/>
                <w:szCs w:val="20"/>
                <w:lang w:val="en-US"/>
              </w:rPr>
              <w:t>30/06/25</w:t>
            </w:r>
          </w:p>
        </w:tc>
      </w:tr>
    </w:tbl>
    <w:p w14:paraId="00DE46C0" w14:textId="765E95CC" w:rsidR="001D0A81" w:rsidRDefault="007077A8" w:rsidP="001D0A81">
      <w:pPr>
        <w:rPr>
          <w:lang w:eastAsia="es-CR"/>
        </w:rPr>
      </w:pPr>
      <w:r w:rsidRPr="00EE66B3">
        <w:rPr>
          <w:lang w:eastAsia="es-CR"/>
        </w:rPr>
        <w:t xml:space="preserve">Se hizo extensión a la fecha prevista esto debido a las cargas de trabajo en la institución, por tanto, no se pudo completar las actividades requeridas a la Norma </w:t>
      </w:r>
      <w:r>
        <w:rPr>
          <w:lang w:val="es-MX"/>
        </w:rPr>
        <w:t>NICSP 31</w:t>
      </w:r>
    </w:p>
    <w:p w14:paraId="06EC784A" w14:textId="0AB946D0" w:rsidR="0096643F" w:rsidRPr="00A649A4" w:rsidRDefault="0096643F" w:rsidP="00A649A4">
      <w:pPr>
        <w:pStyle w:val="Ttulo2"/>
        <w:spacing w:after="240"/>
        <w:rPr>
          <w:rFonts w:eastAsia="Times New Roman"/>
          <w:lang w:eastAsia="es-CR"/>
        </w:rPr>
      </w:pPr>
      <w:bookmarkStart w:id="118" w:name="_Toc189804815"/>
      <w:r w:rsidRPr="0096643F">
        <w:rPr>
          <w:rFonts w:eastAsia="Times New Roman"/>
          <w:lang w:eastAsia="es-CR"/>
        </w:rPr>
        <w:t xml:space="preserve">NICSP 32 </w:t>
      </w:r>
      <w:r w:rsidR="00A649A4">
        <w:rPr>
          <w:rFonts w:eastAsia="Times New Roman"/>
          <w:lang w:eastAsia="es-CR"/>
        </w:rPr>
        <w:t xml:space="preserve">- </w:t>
      </w:r>
      <w:r w:rsidRPr="0096643F">
        <w:rPr>
          <w:rFonts w:eastAsia="Times New Roman"/>
          <w:lang w:eastAsia="es-CR"/>
        </w:rPr>
        <w:t>ACUERDOS DE CONCESIÓN DE SERVICIOS: LA CONCE</w:t>
      </w:r>
      <w:bookmarkEnd w:id="115"/>
      <w:bookmarkEnd w:id="116"/>
      <w:r w:rsidRPr="0096643F">
        <w:rPr>
          <w:rFonts w:eastAsia="Times New Roman"/>
          <w:lang w:eastAsia="es-CR"/>
        </w:rPr>
        <w:t>DENTE:</w:t>
      </w:r>
      <w:bookmarkEnd w:id="117"/>
      <w:bookmarkEnd w:id="118"/>
      <w:r w:rsidRPr="0096643F">
        <w:rPr>
          <w:rFonts w:eastAsia="Times New Roman"/>
          <w:lang w:eastAsia="es-CR"/>
        </w:rPr>
        <w:t xml:space="preserve"> </w:t>
      </w:r>
    </w:p>
    <w:p w14:paraId="37199EF5" w14:textId="77777777" w:rsidR="00396CB4" w:rsidRDefault="0096643F" w:rsidP="0096643F">
      <w:pPr>
        <w:rPr>
          <w:rFonts w:asciiTheme="minorHAnsi" w:hAnsiTheme="minorHAnsi"/>
          <w:sz w:val="22"/>
        </w:rPr>
      </w:pPr>
      <w:r w:rsidRPr="00405DBC">
        <w:t xml:space="preserve">De acuerdo con la </w:t>
      </w:r>
      <w:r w:rsidRPr="0096643F">
        <w:rPr>
          <w:rFonts w:eastAsia="Times New Roman"/>
          <w:lang w:val="es-MX" w:eastAsia="es-CR"/>
        </w:rPr>
        <w:t xml:space="preserve">NICSP 32 </w:t>
      </w:r>
      <w:r>
        <w:rPr>
          <w:rFonts w:eastAsia="Times New Roman"/>
          <w:lang w:val="es-MX" w:eastAsia="es-CR"/>
        </w:rPr>
        <w:t xml:space="preserve">- </w:t>
      </w:r>
      <w:r w:rsidRPr="0096643F">
        <w:rPr>
          <w:rFonts w:eastAsia="Times New Roman"/>
          <w:lang w:val="es-MX" w:eastAsia="es-CR"/>
        </w:rPr>
        <w:t>Acuerdos de concesión de Servicios: La Concedente</w:t>
      </w:r>
      <w:r>
        <w:t>, i</w:t>
      </w:r>
      <w:r w:rsidRPr="00405DBC">
        <w:t>ndicar si este rubro afecta SI o NO a la institución, además del porcentaje de avance</w:t>
      </w:r>
      <w:r>
        <w:t xml:space="preserve"> en la implementación</w:t>
      </w:r>
      <w:r w:rsidRPr="00405DBC">
        <w:t xml:space="preserve"> que presenta</w:t>
      </w:r>
      <w:r>
        <w:rPr>
          <w:b/>
        </w:rPr>
        <w:t>.</w:t>
      </w:r>
      <w:r w:rsidR="00A606BF">
        <w:rPr>
          <w:lang w:val="es-MX"/>
        </w:rPr>
        <w:fldChar w:fldCharType="begin"/>
      </w:r>
      <w:r w:rsidR="00A606BF">
        <w:rPr>
          <w:lang w:val="es-MX"/>
        </w:rPr>
        <w:instrText xml:space="preserve"> LINK </w:instrText>
      </w:r>
      <w:r w:rsidR="00756467">
        <w:rPr>
          <w:lang w:val="es-MX"/>
        </w:rPr>
        <w:instrText xml:space="preserve">Excel.SheetMacroEnabled.12 "C:\\Users\\gcordero\\Downloads\\Notas diciembre 2024\\Formato_Notas_EEFF_Vinculadas_2024\\Formato_Notas_EEFF_Vinculadas_2024\\15603_T04_2024_Anexo_Estado_Notas_Contables_Vinculadas.xlsm" NICSP_32!F9C3:F10C4 </w:instrText>
      </w:r>
      <w:r w:rsidR="00A606BF">
        <w:rPr>
          <w:lang w:val="es-MX"/>
        </w:rPr>
        <w:instrText xml:space="preserve">\a \f 4 \h </w:instrText>
      </w:r>
      <w:r w:rsidR="00A606BF">
        <w:rPr>
          <w:lang w:val="es-MX"/>
        </w:rPr>
        <w:fldChar w:fldCharType="separate"/>
      </w:r>
    </w:p>
    <w:tbl>
      <w:tblPr>
        <w:tblW w:w="4080" w:type="dxa"/>
        <w:tblCellMar>
          <w:left w:w="70" w:type="dxa"/>
          <w:right w:w="70" w:type="dxa"/>
        </w:tblCellMar>
        <w:tblLook w:val="04A0" w:firstRow="1" w:lastRow="0" w:firstColumn="1" w:lastColumn="0" w:noHBand="0" w:noVBand="1"/>
      </w:tblPr>
      <w:tblGrid>
        <w:gridCol w:w="2240"/>
        <w:gridCol w:w="1840"/>
      </w:tblGrid>
      <w:tr w:rsidR="00396CB4" w:rsidRPr="00396CB4" w14:paraId="4EAA0F14" w14:textId="77777777" w:rsidTr="00396CB4">
        <w:trPr>
          <w:divId w:val="1101147637"/>
          <w:trHeight w:val="345"/>
        </w:trPr>
        <w:tc>
          <w:tcPr>
            <w:tcW w:w="224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3556AF87" w14:textId="01E130CB" w:rsidR="00396CB4" w:rsidRPr="00396CB4" w:rsidRDefault="00396CB4" w:rsidP="00396CB4">
            <w:pPr>
              <w:rPr>
                <w:rFonts w:eastAsia="Times New Roman" w:cs="Calibri"/>
                <w:color w:val="FFFFFF"/>
                <w:szCs w:val="24"/>
                <w:lang w:eastAsia="es-CR"/>
              </w:rPr>
            </w:pPr>
            <w:r w:rsidRPr="00396CB4">
              <w:rPr>
                <w:rFonts w:eastAsia="Times New Roman" w:cs="Calibri"/>
                <w:color w:val="FFFFFF"/>
                <w:szCs w:val="24"/>
                <w:lang w:eastAsia="es-CR"/>
              </w:rPr>
              <w:t>Aplica</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989C1E" w14:textId="77777777" w:rsidR="00396CB4" w:rsidRPr="00396CB4" w:rsidRDefault="00396CB4" w:rsidP="00396CB4">
            <w:pPr>
              <w:spacing w:after="0" w:line="240" w:lineRule="auto"/>
              <w:jc w:val="center"/>
              <w:rPr>
                <w:rFonts w:eastAsia="Times New Roman" w:cs="Calibri"/>
                <w:color w:val="000000"/>
                <w:sz w:val="22"/>
                <w:lang w:eastAsia="es-CR"/>
              </w:rPr>
            </w:pPr>
            <w:r w:rsidRPr="00396CB4">
              <w:rPr>
                <w:rFonts w:eastAsia="Times New Roman" w:cs="Calibri"/>
                <w:color w:val="000000"/>
                <w:sz w:val="22"/>
                <w:lang w:eastAsia="es-CR"/>
              </w:rPr>
              <w:t>No</w:t>
            </w:r>
          </w:p>
        </w:tc>
      </w:tr>
      <w:tr w:rsidR="00396CB4" w:rsidRPr="00396CB4" w14:paraId="3E1D3759" w14:textId="77777777" w:rsidTr="00396CB4">
        <w:trPr>
          <w:divId w:val="1101147637"/>
          <w:trHeight w:val="345"/>
        </w:trPr>
        <w:tc>
          <w:tcPr>
            <w:tcW w:w="2240" w:type="dxa"/>
            <w:tcBorders>
              <w:top w:val="nil"/>
              <w:left w:val="single" w:sz="8" w:space="0" w:color="auto"/>
              <w:bottom w:val="single" w:sz="8" w:space="0" w:color="auto"/>
              <w:right w:val="single" w:sz="8" w:space="0" w:color="auto"/>
            </w:tcBorders>
            <w:shd w:val="clear" w:color="000000" w:fill="17365D"/>
            <w:vAlign w:val="center"/>
            <w:hideMark/>
          </w:tcPr>
          <w:p w14:paraId="6D11467C" w14:textId="77777777" w:rsidR="00396CB4" w:rsidRPr="00396CB4" w:rsidRDefault="00396CB4" w:rsidP="00396CB4">
            <w:pPr>
              <w:spacing w:after="0" w:line="240" w:lineRule="auto"/>
              <w:jc w:val="left"/>
              <w:rPr>
                <w:rFonts w:eastAsia="Times New Roman" w:cs="Calibri"/>
                <w:color w:val="FFFFFF"/>
                <w:szCs w:val="24"/>
                <w:lang w:eastAsia="es-CR"/>
              </w:rPr>
            </w:pPr>
            <w:proofErr w:type="spellStart"/>
            <w:r w:rsidRPr="00396CB4">
              <w:rPr>
                <w:rFonts w:eastAsia="Times New Roman" w:cs="Calibri"/>
                <w:color w:val="FFFFFF"/>
                <w:szCs w:val="24"/>
                <w:lang w:eastAsia="es-CR"/>
              </w:rPr>
              <w:t>Porcentaje_Avance</w:t>
            </w:r>
            <w:proofErr w:type="spellEnd"/>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4AC9E32E" w14:textId="77777777" w:rsidR="00396CB4" w:rsidRPr="00396CB4" w:rsidRDefault="00396CB4" w:rsidP="00396CB4">
            <w:pPr>
              <w:spacing w:after="0" w:line="240" w:lineRule="auto"/>
              <w:jc w:val="center"/>
              <w:rPr>
                <w:rFonts w:eastAsia="Times New Roman" w:cs="Calibri"/>
                <w:color w:val="000000"/>
                <w:sz w:val="22"/>
                <w:lang w:eastAsia="es-CR"/>
              </w:rPr>
            </w:pPr>
            <w:r w:rsidRPr="00396CB4">
              <w:rPr>
                <w:rFonts w:eastAsia="Times New Roman" w:cs="Calibri"/>
                <w:color w:val="000000"/>
                <w:sz w:val="22"/>
                <w:lang w:eastAsia="es-CR"/>
              </w:rPr>
              <w:t> </w:t>
            </w:r>
          </w:p>
        </w:tc>
      </w:tr>
    </w:tbl>
    <w:p w14:paraId="2B35B146" w14:textId="2DCC99C0" w:rsidR="0096643F" w:rsidRDefault="00A606BF" w:rsidP="0096643F">
      <w:pPr>
        <w:rPr>
          <w:lang w:val="es-MX"/>
        </w:rPr>
      </w:pPr>
      <w:r>
        <w:rPr>
          <w:lang w:val="es-MX"/>
        </w:rPr>
        <w:fldChar w:fldCharType="end"/>
      </w:r>
    </w:p>
    <w:p w14:paraId="29493C57" w14:textId="77777777" w:rsidR="00396CB4" w:rsidRDefault="0096643F" w:rsidP="0096643F">
      <w:pPr>
        <w:rPr>
          <w:rFonts w:asciiTheme="minorHAnsi" w:hAnsiTheme="minorHAnsi"/>
          <w:sz w:val="22"/>
        </w:rPr>
      </w:pPr>
      <w:r w:rsidRPr="00BC7C5B">
        <w:rPr>
          <w:lang w:val="es-MX"/>
        </w:rPr>
        <w:t>El responsable contable debe analizar el tratamiento contable a seguir:</w:t>
      </w:r>
      <w:r w:rsidR="00A606BF">
        <w:rPr>
          <w:lang w:val="es-MX"/>
        </w:rPr>
        <w:fldChar w:fldCharType="begin"/>
      </w:r>
      <w:r w:rsidR="00A606BF">
        <w:rPr>
          <w:lang w:val="es-MX"/>
        </w:rPr>
        <w:instrText xml:space="preserve"> LINK </w:instrText>
      </w:r>
      <w:r w:rsidR="00756467">
        <w:rPr>
          <w:lang w:val="es-MX"/>
        </w:rPr>
        <w:instrText xml:space="preserve">Excel.SheetMacroEnabled.12 "C:\\Users\\gcordero\\Downloads\\Notas diciembre 2024\\Formato_Notas_EEFF_Vinculadas_2024\\Formato_Notas_EEFF_Vinculadas_2024\\15603_T04_2024_Anexo_Estado_Notas_Contables_Vinculadas.xlsm" NICSP_32!F12C6:F19C10 </w:instrText>
      </w:r>
      <w:r w:rsidR="00A606BF">
        <w:rPr>
          <w:lang w:val="es-MX"/>
        </w:rPr>
        <w:instrText xml:space="preserve">\a \f 4 \h </w:instrText>
      </w:r>
      <w:r w:rsidR="00A606BF">
        <w:rPr>
          <w:lang w:val="es-MX"/>
        </w:rPr>
        <w:fldChar w:fldCharType="separate"/>
      </w:r>
    </w:p>
    <w:tbl>
      <w:tblPr>
        <w:tblW w:w="9100" w:type="dxa"/>
        <w:tblCellMar>
          <w:left w:w="70" w:type="dxa"/>
          <w:right w:w="70" w:type="dxa"/>
        </w:tblCellMar>
        <w:tblLook w:val="04A0" w:firstRow="1" w:lastRow="0" w:firstColumn="1" w:lastColumn="0" w:noHBand="0" w:noVBand="1"/>
      </w:tblPr>
      <w:tblGrid>
        <w:gridCol w:w="2453"/>
        <w:gridCol w:w="2536"/>
        <w:gridCol w:w="1227"/>
        <w:gridCol w:w="1418"/>
        <w:gridCol w:w="1466"/>
      </w:tblGrid>
      <w:tr w:rsidR="00396CB4" w:rsidRPr="00396CB4" w14:paraId="4F332802" w14:textId="77777777" w:rsidTr="00396CB4">
        <w:trPr>
          <w:divId w:val="2102027158"/>
          <w:trHeight w:val="675"/>
        </w:trPr>
        <w:tc>
          <w:tcPr>
            <w:tcW w:w="2453" w:type="dxa"/>
            <w:tcBorders>
              <w:top w:val="single" w:sz="8" w:space="0" w:color="000000"/>
              <w:left w:val="single" w:sz="8" w:space="0" w:color="000000"/>
              <w:bottom w:val="single" w:sz="8" w:space="0" w:color="000000"/>
              <w:right w:val="single" w:sz="8" w:space="0" w:color="000000"/>
            </w:tcBorders>
            <w:shd w:val="clear" w:color="000000" w:fill="1F3864"/>
            <w:vAlign w:val="center"/>
            <w:hideMark/>
          </w:tcPr>
          <w:p w14:paraId="21DA3E07" w14:textId="32F62DD6" w:rsidR="00396CB4" w:rsidRPr="00396CB4" w:rsidRDefault="00396CB4" w:rsidP="00396CB4">
            <w:pPr>
              <w:jc w:val="center"/>
              <w:rPr>
                <w:rFonts w:eastAsia="Times New Roman" w:cs="Calibri"/>
                <w:color w:val="FFFFFF"/>
                <w:sz w:val="22"/>
                <w:lang w:eastAsia="es-CR"/>
              </w:rPr>
            </w:pPr>
            <w:r w:rsidRPr="00396CB4">
              <w:rPr>
                <w:rFonts w:eastAsia="Times New Roman" w:cs="Calibri"/>
                <w:color w:val="FFFFFF"/>
                <w:sz w:val="22"/>
                <w:lang w:eastAsia="es-CR"/>
              </w:rPr>
              <w:t>Categoría</w:t>
            </w:r>
          </w:p>
        </w:tc>
        <w:tc>
          <w:tcPr>
            <w:tcW w:w="2536" w:type="dxa"/>
            <w:tcBorders>
              <w:top w:val="single" w:sz="8" w:space="0" w:color="000000"/>
              <w:left w:val="nil"/>
              <w:bottom w:val="single" w:sz="8" w:space="0" w:color="000000"/>
              <w:right w:val="single" w:sz="8" w:space="0" w:color="000000"/>
            </w:tcBorders>
            <w:shd w:val="clear" w:color="000000" w:fill="1F3864"/>
            <w:vAlign w:val="center"/>
            <w:hideMark/>
          </w:tcPr>
          <w:p w14:paraId="4C8A63EA" w14:textId="77777777" w:rsidR="00396CB4" w:rsidRPr="00396CB4" w:rsidRDefault="00396CB4" w:rsidP="00396CB4">
            <w:pPr>
              <w:spacing w:after="0" w:line="240" w:lineRule="auto"/>
              <w:jc w:val="center"/>
              <w:rPr>
                <w:rFonts w:eastAsia="Times New Roman" w:cs="Calibri"/>
                <w:color w:val="FFFFFF"/>
                <w:sz w:val="22"/>
                <w:lang w:eastAsia="es-CR"/>
              </w:rPr>
            </w:pPr>
            <w:r w:rsidRPr="00396CB4">
              <w:rPr>
                <w:rFonts w:eastAsia="Times New Roman" w:cs="Calibri"/>
                <w:color w:val="FFFFFF"/>
                <w:sz w:val="22"/>
                <w:lang w:eastAsia="es-CR"/>
              </w:rPr>
              <w:t>Arrendatario</w:t>
            </w:r>
          </w:p>
        </w:tc>
        <w:tc>
          <w:tcPr>
            <w:tcW w:w="1227" w:type="dxa"/>
            <w:tcBorders>
              <w:top w:val="single" w:sz="8" w:space="0" w:color="000000"/>
              <w:left w:val="nil"/>
              <w:bottom w:val="single" w:sz="8" w:space="0" w:color="000000"/>
              <w:right w:val="single" w:sz="8" w:space="0" w:color="000000"/>
            </w:tcBorders>
            <w:shd w:val="clear" w:color="000000" w:fill="1F3864"/>
            <w:vAlign w:val="center"/>
            <w:hideMark/>
          </w:tcPr>
          <w:p w14:paraId="7427EBE2" w14:textId="77777777" w:rsidR="00396CB4" w:rsidRPr="00396CB4" w:rsidRDefault="00396CB4" w:rsidP="00396CB4">
            <w:pPr>
              <w:spacing w:after="0" w:line="240" w:lineRule="auto"/>
              <w:jc w:val="center"/>
              <w:rPr>
                <w:rFonts w:eastAsia="Times New Roman" w:cs="Calibri"/>
                <w:color w:val="FFFFFF"/>
                <w:sz w:val="22"/>
                <w:lang w:eastAsia="es-CR"/>
              </w:rPr>
            </w:pPr>
            <w:r w:rsidRPr="00396CB4">
              <w:rPr>
                <w:rFonts w:eastAsia="Times New Roman" w:cs="Calibri"/>
                <w:color w:val="FFFFFF"/>
                <w:sz w:val="22"/>
                <w:lang w:eastAsia="es-CR"/>
              </w:rPr>
              <w:t>Tipo</w:t>
            </w:r>
          </w:p>
        </w:tc>
        <w:tc>
          <w:tcPr>
            <w:tcW w:w="1418" w:type="dxa"/>
            <w:tcBorders>
              <w:top w:val="single" w:sz="8" w:space="0" w:color="000000"/>
              <w:left w:val="nil"/>
              <w:bottom w:val="single" w:sz="8" w:space="0" w:color="000000"/>
              <w:right w:val="single" w:sz="8" w:space="0" w:color="000000"/>
            </w:tcBorders>
            <w:shd w:val="clear" w:color="000000" w:fill="1F3864"/>
            <w:vAlign w:val="center"/>
            <w:hideMark/>
          </w:tcPr>
          <w:p w14:paraId="3A91422D" w14:textId="77777777" w:rsidR="00396CB4" w:rsidRPr="00396CB4" w:rsidRDefault="00396CB4" w:rsidP="00396CB4">
            <w:pPr>
              <w:spacing w:after="0" w:line="240" w:lineRule="auto"/>
              <w:jc w:val="center"/>
              <w:rPr>
                <w:rFonts w:eastAsia="Times New Roman" w:cs="Calibri"/>
                <w:color w:val="FFFFFF"/>
                <w:sz w:val="22"/>
                <w:lang w:eastAsia="es-CR"/>
              </w:rPr>
            </w:pPr>
            <w:r w:rsidRPr="00396CB4">
              <w:rPr>
                <w:rFonts w:eastAsia="Times New Roman" w:cs="Calibri"/>
                <w:color w:val="FFFFFF"/>
                <w:sz w:val="22"/>
                <w:lang w:eastAsia="es-CR"/>
              </w:rPr>
              <w:t>Propietario</w:t>
            </w:r>
            <w:r w:rsidRPr="00396CB4">
              <w:rPr>
                <w:rFonts w:eastAsia="Times New Roman" w:cs="Calibri"/>
                <w:color w:val="FFFFFF"/>
                <w:sz w:val="22"/>
                <w:lang w:eastAsia="es-CR"/>
              </w:rPr>
              <w:br/>
              <w:t>% Participación</w:t>
            </w:r>
          </w:p>
        </w:tc>
        <w:tc>
          <w:tcPr>
            <w:tcW w:w="1466" w:type="dxa"/>
            <w:tcBorders>
              <w:top w:val="single" w:sz="8" w:space="0" w:color="000000"/>
              <w:left w:val="nil"/>
              <w:bottom w:val="single" w:sz="8" w:space="0" w:color="000000"/>
              <w:right w:val="single" w:sz="8" w:space="0" w:color="000000"/>
            </w:tcBorders>
            <w:shd w:val="clear" w:color="000000" w:fill="1F3864"/>
            <w:vAlign w:val="center"/>
            <w:hideMark/>
          </w:tcPr>
          <w:p w14:paraId="71A48299" w14:textId="77777777" w:rsidR="00396CB4" w:rsidRPr="00396CB4" w:rsidRDefault="00396CB4" w:rsidP="00396CB4">
            <w:pPr>
              <w:spacing w:after="0" w:line="240" w:lineRule="auto"/>
              <w:jc w:val="center"/>
              <w:rPr>
                <w:rFonts w:eastAsia="Times New Roman" w:cs="Calibri"/>
                <w:color w:val="FFFFFF"/>
                <w:sz w:val="22"/>
                <w:lang w:eastAsia="es-CR"/>
              </w:rPr>
            </w:pPr>
            <w:r w:rsidRPr="00396CB4">
              <w:rPr>
                <w:rFonts w:eastAsia="Times New Roman" w:cs="Calibri"/>
                <w:color w:val="FFFFFF"/>
                <w:sz w:val="22"/>
                <w:lang w:eastAsia="es-CR"/>
              </w:rPr>
              <w:t>Observaciones</w:t>
            </w:r>
          </w:p>
        </w:tc>
      </w:tr>
      <w:tr w:rsidR="00396CB4" w:rsidRPr="00396CB4" w14:paraId="583B614C" w14:textId="77777777" w:rsidTr="00396CB4">
        <w:trPr>
          <w:divId w:val="2102027158"/>
          <w:trHeight w:val="345"/>
        </w:trPr>
        <w:tc>
          <w:tcPr>
            <w:tcW w:w="2453" w:type="dxa"/>
            <w:tcBorders>
              <w:top w:val="nil"/>
              <w:left w:val="single" w:sz="8" w:space="0" w:color="000000"/>
              <w:bottom w:val="single" w:sz="8" w:space="0" w:color="000000"/>
              <w:right w:val="single" w:sz="8" w:space="0" w:color="000000"/>
            </w:tcBorders>
            <w:shd w:val="clear" w:color="auto" w:fill="auto"/>
            <w:vAlign w:val="center"/>
            <w:hideMark/>
          </w:tcPr>
          <w:p w14:paraId="7892BB73"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Tipos de acuerdos</w:t>
            </w:r>
          </w:p>
        </w:tc>
        <w:tc>
          <w:tcPr>
            <w:tcW w:w="2536" w:type="dxa"/>
            <w:tcBorders>
              <w:top w:val="nil"/>
              <w:left w:val="nil"/>
              <w:bottom w:val="single" w:sz="8" w:space="0" w:color="auto"/>
              <w:right w:val="single" w:sz="8" w:space="0" w:color="000000"/>
            </w:tcBorders>
            <w:shd w:val="clear" w:color="auto" w:fill="auto"/>
            <w:vAlign w:val="center"/>
            <w:hideMark/>
          </w:tcPr>
          <w:p w14:paraId="302E2C1B" w14:textId="77777777" w:rsidR="00396CB4" w:rsidRPr="00396CB4" w:rsidRDefault="00396CB4" w:rsidP="00396CB4">
            <w:pPr>
              <w:spacing w:after="0" w:line="240" w:lineRule="auto"/>
              <w:jc w:val="left"/>
              <w:rPr>
                <w:rFonts w:eastAsia="Times New Roman" w:cs="Calibri"/>
                <w:color w:val="000000"/>
                <w:sz w:val="20"/>
                <w:szCs w:val="20"/>
                <w:lang w:eastAsia="es-CR"/>
              </w:rPr>
            </w:pPr>
            <w:r w:rsidRPr="00396CB4">
              <w:rPr>
                <w:rFonts w:eastAsia="Times New Roman" w:cs="Calibri"/>
                <w:color w:val="000000"/>
                <w:sz w:val="20"/>
                <w:szCs w:val="20"/>
                <w:lang w:eastAsia="es-CR"/>
              </w:rPr>
              <w:t> </w:t>
            </w:r>
          </w:p>
        </w:tc>
        <w:tc>
          <w:tcPr>
            <w:tcW w:w="1227" w:type="dxa"/>
            <w:tcBorders>
              <w:top w:val="nil"/>
              <w:left w:val="nil"/>
              <w:bottom w:val="single" w:sz="8" w:space="0" w:color="auto"/>
              <w:right w:val="single" w:sz="8" w:space="0" w:color="000000"/>
            </w:tcBorders>
            <w:shd w:val="clear" w:color="auto" w:fill="auto"/>
            <w:vAlign w:val="center"/>
            <w:hideMark/>
          </w:tcPr>
          <w:p w14:paraId="765ECF10" w14:textId="77777777" w:rsidR="00396CB4" w:rsidRPr="00396CB4" w:rsidRDefault="00396CB4" w:rsidP="00396CB4">
            <w:pPr>
              <w:spacing w:after="0" w:line="240" w:lineRule="auto"/>
              <w:jc w:val="left"/>
              <w:rPr>
                <w:rFonts w:eastAsia="Times New Roman" w:cs="Calibri"/>
                <w:color w:val="000000"/>
                <w:sz w:val="20"/>
                <w:szCs w:val="20"/>
                <w:lang w:eastAsia="es-CR"/>
              </w:rPr>
            </w:pPr>
            <w:r w:rsidRPr="00396CB4">
              <w:rPr>
                <w:rFonts w:eastAsia="Times New Roman" w:cs="Calibri"/>
                <w:color w:val="000000"/>
                <w:sz w:val="20"/>
                <w:szCs w:val="20"/>
                <w:lang w:eastAsia="es-CR"/>
              </w:rPr>
              <w:t> </w:t>
            </w:r>
          </w:p>
        </w:tc>
        <w:tc>
          <w:tcPr>
            <w:tcW w:w="1418" w:type="dxa"/>
            <w:tcBorders>
              <w:top w:val="nil"/>
              <w:left w:val="nil"/>
              <w:bottom w:val="single" w:sz="8" w:space="0" w:color="000000"/>
              <w:right w:val="single" w:sz="8" w:space="0" w:color="000000"/>
            </w:tcBorders>
            <w:shd w:val="clear" w:color="auto" w:fill="auto"/>
            <w:vAlign w:val="center"/>
            <w:hideMark/>
          </w:tcPr>
          <w:p w14:paraId="2E3A8F0D" w14:textId="77777777" w:rsidR="00396CB4" w:rsidRPr="00396CB4" w:rsidRDefault="00396CB4" w:rsidP="00396CB4">
            <w:pPr>
              <w:spacing w:after="0" w:line="240" w:lineRule="auto"/>
              <w:jc w:val="center"/>
              <w:rPr>
                <w:rFonts w:eastAsia="Times New Roman" w:cs="Calibri"/>
                <w:color w:val="000000"/>
                <w:sz w:val="22"/>
                <w:lang w:eastAsia="es-CR"/>
              </w:rPr>
            </w:pPr>
            <w:r w:rsidRPr="00396CB4">
              <w:rPr>
                <w:rFonts w:eastAsia="Times New Roman" w:cs="Calibri"/>
                <w:color w:val="000000"/>
                <w:sz w:val="22"/>
                <w:lang w:eastAsia="es-CR"/>
              </w:rPr>
              <w:t> </w:t>
            </w:r>
          </w:p>
        </w:tc>
        <w:tc>
          <w:tcPr>
            <w:tcW w:w="1466" w:type="dxa"/>
            <w:tcBorders>
              <w:top w:val="nil"/>
              <w:left w:val="nil"/>
              <w:bottom w:val="single" w:sz="8" w:space="0" w:color="000000"/>
              <w:right w:val="single" w:sz="8" w:space="0" w:color="000000"/>
            </w:tcBorders>
            <w:shd w:val="clear" w:color="auto" w:fill="auto"/>
            <w:vAlign w:val="center"/>
            <w:hideMark/>
          </w:tcPr>
          <w:p w14:paraId="178EB17A" w14:textId="77777777" w:rsidR="00396CB4" w:rsidRPr="00396CB4" w:rsidRDefault="00396CB4" w:rsidP="00396CB4">
            <w:pPr>
              <w:spacing w:after="0" w:line="240" w:lineRule="auto"/>
              <w:jc w:val="center"/>
              <w:rPr>
                <w:rFonts w:eastAsia="Times New Roman" w:cs="Calibri"/>
                <w:color w:val="000000"/>
                <w:sz w:val="22"/>
                <w:lang w:eastAsia="es-CR"/>
              </w:rPr>
            </w:pPr>
            <w:r w:rsidRPr="00396CB4">
              <w:rPr>
                <w:rFonts w:eastAsia="Times New Roman" w:cs="Calibri"/>
                <w:color w:val="000000"/>
                <w:sz w:val="22"/>
                <w:lang w:eastAsia="es-CR"/>
              </w:rPr>
              <w:t> </w:t>
            </w:r>
          </w:p>
        </w:tc>
      </w:tr>
      <w:tr w:rsidR="00396CB4" w:rsidRPr="00396CB4" w14:paraId="0E4056AE" w14:textId="77777777" w:rsidTr="00396CB4">
        <w:trPr>
          <w:divId w:val="2102027158"/>
          <w:trHeight w:val="345"/>
        </w:trPr>
        <w:tc>
          <w:tcPr>
            <w:tcW w:w="2453" w:type="dxa"/>
            <w:tcBorders>
              <w:top w:val="nil"/>
              <w:left w:val="single" w:sz="8" w:space="0" w:color="000000"/>
              <w:bottom w:val="single" w:sz="8" w:space="0" w:color="000000"/>
              <w:right w:val="single" w:sz="8" w:space="0" w:color="auto"/>
            </w:tcBorders>
            <w:shd w:val="clear" w:color="auto" w:fill="auto"/>
            <w:vAlign w:val="center"/>
            <w:hideMark/>
          </w:tcPr>
          <w:p w14:paraId="7910817D"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Propiedad del activo</w:t>
            </w:r>
          </w:p>
        </w:tc>
        <w:tc>
          <w:tcPr>
            <w:tcW w:w="2536" w:type="dxa"/>
            <w:tcBorders>
              <w:top w:val="nil"/>
              <w:left w:val="nil"/>
              <w:bottom w:val="single" w:sz="8" w:space="0" w:color="auto"/>
              <w:right w:val="single" w:sz="8" w:space="0" w:color="auto"/>
            </w:tcBorders>
            <w:shd w:val="clear" w:color="auto" w:fill="auto"/>
            <w:vAlign w:val="center"/>
            <w:hideMark/>
          </w:tcPr>
          <w:p w14:paraId="0944934C"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w:t>
            </w:r>
          </w:p>
        </w:tc>
        <w:tc>
          <w:tcPr>
            <w:tcW w:w="1227" w:type="dxa"/>
            <w:tcBorders>
              <w:top w:val="nil"/>
              <w:left w:val="nil"/>
              <w:bottom w:val="single" w:sz="8" w:space="0" w:color="auto"/>
              <w:right w:val="single" w:sz="8" w:space="0" w:color="auto"/>
            </w:tcBorders>
            <w:shd w:val="clear" w:color="auto" w:fill="auto"/>
            <w:vAlign w:val="center"/>
            <w:hideMark/>
          </w:tcPr>
          <w:p w14:paraId="26D379E4"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w:t>
            </w:r>
          </w:p>
        </w:tc>
        <w:tc>
          <w:tcPr>
            <w:tcW w:w="1418" w:type="dxa"/>
            <w:tcBorders>
              <w:top w:val="nil"/>
              <w:left w:val="nil"/>
              <w:bottom w:val="single" w:sz="8" w:space="0" w:color="000000"/>
              <w:right w:val="single" w:sz="8" w:space="0" w:color="000000"/>
            </w:tcBorders>
            <w:shd w:val="clear" w:color="auto" w:fill="auto"/>
            <w:vAlign w:val="center"/>
            <w:hideMark/>
          </w:tcPr>
          <w:p w14:paraId="19F7EAE9"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w:t>
            </w:r>
          </w:p>
        </w:tc>
        <w:tc>
          <w:tcPr>
            <w:tcW w:w="1466" w:type="dxa"/>
            <w:tcBorders>
              <w:top w:val="nil"/>
              <w:left w:val="nil"/>
              <w:bottom w:val="single" w:sz="8" w:space="0" w:color="000000"/>
              <w:right w:val="single" w:sz="8" w:space="0" w:color="000000"/>
            </w:tcBorders>
            <w:shd w:val="clear" w:color="auto" w:fill="auto"/>
            <w:vAlign w:val="center"/>
            <w:hideMark/>
          </w:tcPr>
          <w:p w14:paraId="56FBA045"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w:t>
            </w:r>
          </w:p>
        </w:tc>
      </w:tr>
      <w:tr w:rsidR="00396CB4" w:rsidRPr="00396CB4" w14:paraId="3F9D3ADF" w14:textId="77777777" w:rsidTr="00396CB4">
        <w:trPr>
          <w:divId w:val="2102027158"/>
          <w:trHeight w:val="345"/>
        </w:trPr>
        <w:tc>
          <w:tcPr>
            <w:tcW w:w="2453" w:type="dxa"/>
            <w:tcBorders>
              <w:top w:val="nil"/>
              <w:left w:val="single" w:sz="8" w:space="0" w:color="000000"/>
              <w:bottom w:val="single" w:sz="8" w:space="0" w:color="000000"/>
              <w:right w:val="single" w:sz="8" w:space="0" w:color="000000"/>
            </w:tcBorders>
            <w:shd w:val="clear" w:color="auto" w:fill="auto"/>
            <w:vAlign w:val="center"/>
            <w:hideMark/>
          </w:tcPr>
          <w:p w14:paraId="5549FBFE"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Inversión de capital</w:t>
            </w:r>
          </w:p>
        </w:tc>
        <w:tc>
          <w:tcPr>
            <w:tcW w:w="2536" w:type="dxa"/>
            <w:tcBorders>
              <w:top w:val="nil"/>
              <w:left w:val="nil"/>
              <w:bottom w:val="single" w:sz="8" w:space="0" w:color="000000"/>
              <w:right w:val="single" w:sz="8" w:space="0" w:color="000000"/>
            </w:tcBorders>
            <w:shd w:val="clear" w:color="auto" w:fill="auto"/>
            <w:vAlign w:val="center"/>
            <w:hideMark/>
          </w:tcPr>
          <w:p w14:paraId="1255349D"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w:t>
            </w:r>
          </w:p>
        </w:tc>
        <w:tc>
          <w:tcPr>
            <w:tcW w:w="1227" w:type="dxa"/>
            <w:tcBorders>
              <w:top w:val="nil"/>
              <w:left w:val="nil"/>
              <w:bottom w:val="single" w:sz="8" w:space="0" w:color="000000"/>
              <w:right w:val="single" w:sz="8" w:space="0" w:color="auto"/>
            </w:tcBorders>
            <w:shd w:val="clear" w:color="auto" w:fill="auto"/>
            <w:vAlign w:val="center"/>
            <w:hideMark/>
          </w:tcPr>
          <w:p w14:paraId="69D02FBE"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w:t>
            </w:r>
          </w:p>
        </w:tc>
        <w:tc>
          <w:tcPr>
            <w:tcW w:w="1418" w:type="dxa"/>
            <w:tcBorders>
              <w:top w:val="nil"/>
              <w:left w:val="nil"/>
              <w:bottom w:val="single" w:sz="8" w:space="0" w:color="auto"/>
              <w:right w:val="single" w:sz="8" w:space="0" w:color="auto"/>
            </w:tcBorders>
            <w:shd w:val="clear" w:color="auto" w:fill="auto"/>
            <w:vAlign w:val="center"/>
            <w:hideMark/>
          </w:tcPr>
          <w:p w14:paraId="72C47B84"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w:t>
            </w:r>
          </w:p>
        </w:tc>
        <w:tc>
          <w:tcPr>
            <w:tcW w:w="1466" w:type="dxa"/>
            <w:tcBorders>
              <w:top w:val="nil"/>
              <w:left w:val="nil"/>
              <w:bottom w:val="single" w:sz="8" w:space="0" w:color="auto"/>
              <w:right w:val="single" w:sz="8" w:space="0" w:color="auto"/>
            </w:tcBorders>
            <w:shd w:val="clear" w:color="auto" w:fill="auto"/>
            <w:vAlign w:val="center"/>
            <w:hideMark/>
          </w:tcPr>
          <w:p w14:paraId="76C35B94"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w:t>
            </w:r>
          </w:p>
        </w:tc>
      </w:tr>
      <w:tr w:rsidR="00396CB4" w:rsidRPr="00396CB4" w14:paraId="42B0BB1F" w14:textId="77777777" w:rsidTr="00396CB4">
        <w:trPr>
          <w:divId w:val="2102027158"/>
          <w:trHeight w:val="345"/>
        </w:trPr>
        <w:tc>
          <w:tcPr>
            <w:tcW w:w="2453" w:type="dxa"/>
            <w:tcBorders>
              <w:top w:val="nil"/>
              <w:left w:val="single" w:sz="8" w:space="0" w:color="000000"/>
              <w:bottom w:val="nil"/>
              <w:right w:val="single" w:sz="8" w:space="0" w:color="000000"/>
            </w:tcBorders>
            <w:shd w:val="clear" w:color="auto" w:fill="auto"/>
            <w:vAlign w:val="center"/>
            <w:hideMark/>
          </w:tcPr>
          <w:p w14:paraId="0DE84B77"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lastRenderedPageBreak/>
              <w:t>Riesgo de demanda</w:t>
            </w:r>
          </w:p>
        </w:tc>
        <w:tc>
          <w:tcPr>
            <w:tcW w:w="2536" w:type="dxa"/>
            <w:tcBorders>
              <w:top w:val="nil"/>
              <w:left w:val="nil"/>
              <w:bottom w:val="nil"/>
              <w:right w:val="single" w:sz="8" w:space="0" w:color="000000"/>
            </w:tcBorders>
            <w:shd w:val="clear" w:color="auto" w:fill="auto"/>
            <w:vAlign w:val="center"/>
            <w:hideMark/>
          </w:tcPr>
          <w:p w14:paraId="23A3CE87"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w:t>
            </w:r>
          </w:p>
        </w:tc>
        <w:tc>
          <w:tcPr>
            <w:tcW w:w="1227" w:type="dxa"/>
            <w:tcBorders>
              <w:top w:val="nil"/>
              <w:left w:val="nil"/>
              <w:bottom w:val="nil"/>
              <w:right w:val="single" w:sz="8" w:space="0" w:color="000000"/>
            </w:tcBorders>
            <w:shd w:val="clear" w:color="auto" w:fill="auto"/>
            <w:vAlign w:val="center"/>
            <w:hideMark/>
          </w:tcPr>
          <w:p w14:paraId="5E36D0A8"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w:t>
            </w:r>
          </w:p>
        </w:tc>
        <w:tc>
          <w:tcPr>
            <w:tcW w:w="1418" w:type="dxa"/>
            <w:tcBorders>
              <w:top w:val="nil"/>
              <w:left w:val="nil"/>
              <w:bottom w:val="nil"/>
              <w:right w:val="single" w:sz="8" w:space="0" w:color="000000"/>
            </w:tcBorders>
            <w:shd w:val="clear" w:color="auto" w:fill="auto"/>
            <w:vAlign w:val="center"/>
            <w:hideMark/>
          </w:tcPr>
          <w:p w14:paraId="77EF9F09"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w:t>
            </w:r>
          </w:p>
        </w:tc>
        <w:tc>
          <w:tcPr>
            <w:tcW w:w="1466" w:type="dxa"/>
            <w:tcBorders>
              <w:top w:val="nil"/>
              <w:left w:val="nil"/>
              <w:bottom w:val="nil"/>
              <w:right w:val="single" w:sz="8" w:space="0" w:color="000000"/>
            </w:tcBorders>
            <w:shd w:val="clear" w:color="auto" w:fill="auto"/>
            <w:vAlign w:val="center"/>
            <w:hideMark/>
          </w:tcPr>
          <w:p w14:paraId="3EB50C96"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w:t>
            </w:r>
          </w:p>
        </w:tc>
      </w:tr>
      <w:tr w:rsidR="00396CB4" w:rsidRPr="00396CB4" w14:paraId="522E66CA" w14:textId="77777777" w:rsidTr="00396CB4">
        <w:trPr>
          <w:divId w:val="2102027158"/>
          <w:trHeight w:val="345"/>
        </w:trPr>
        <w:tc>
          <w:tcPr>
            <w:tcW w:w="245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1076BEE"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Duración habitual</w:t>
            </w:r>
          </w:p>
        </w:tc>
        <w:tc>
          <w:tcPr>
            <w:tcW w:w="2536" w:type="dxa"/>
            <w:tcBorders>
              <w:top w:val="single" w:sz="8" w:space="0" w:color="auto"/>
              <w:left w:val="nil"/>
              <w:bottom w:val="single" w:sz="8" w:space="0" w:color="auto"/>
              <w:right w:val="single" w:sz="8" w:space="0" w:color="auto"/>
            </w:tcBorders>
            <w:shd w:val="clear" w:color="auto" w:fill="auto"/>
            <w:vAlign w:val="center"/>
            <w:hideMark/>
          </w:tcPr>
          <w:p w14:paraId="64C450DE"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w:t>
            </w:r>
          </w:p>
        </w:tc>
        <w:tc>
          <w:tcPr>
            <w:tcW w:w="1227" w:type="dxa"/>
            <w:tcBorders>
              <w:top w:val="single" w:sz="8" w:space="0" w:color="auto"/>
              <w:left w:val="nil"/>
              <w:bottom w:val="single" w:sz="8" w:space="0" w:color="auto"/>
              <w:right w:val="single" w:sz="8" w:space="0" w:color="auto"/>
            </w:tcBorders>
            <w:shd w:val="clear" w:color="auto" w:fill="auto"/>
            <w:vAlign w:val="center"/>
            <w:hideMark/>
          </w:tcPr>
          <w:p w14:paraId="5A5F3275"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w:t>
            </w:r>
          </w:p>
        </w:tc>
        <w:tc>
          <w:tcPr>
            <w:tcW w:w="1418" w:type="dxa"/>
            <w:tcBorders>
              <w:top w:val="single" w:sz="8" w:space="0" w:color="auto"/>
              <w:left w:val="nil"/>
              <w:bottom w:val="single" w:sz="8" w:space="0" w:color="auto"/>
              <w:right w:val="single" w:sz="8" w:space="0" w:color="000000"/>
            </w:tcBorders>
            <w:shd w:val="clear" w:color="auto" w:fill="auto"/>
            <w:vAlign w:val="center"/>
            <w:hideMark/>
          </w:tcPr>
          <w:p w14:paraId="111F9C3B"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w:t>
            </w:r>
          </w:p>
        </w:tc>
        <w:tc>
          <w:tcPr>
            <w:tcW w:w="1466" w:type="dxa"/>
            <w:tcBorders>
              <w:top w:val="single" w:sz="8" w:space="0" w:color="auto"/>
              <w:left w:val="nil"/>
              <w:bottom w:val="single" w:sz="8" w:space="0" w:color="auto"/>
              <w:right w:val="single" w:sz="8" w:space="0" w:color="auto"/>
            </w:tcBorders>
            <w:shd w:val="clear" w:color="auto" w:fill="auto"/>
            <w:vAlign w:val="center"/>
            <w:hideMark/>
          </w:tcPr>
          <w:p w14:paraId="04B9423A"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w:t>
            </w:r>
          </w:p>
        </w:tc>
      </w:tr>
      <w:tr w:rsidR="00396CB4" w:rsidRPr="00396CB4" w14:paraId="70D294E8" w14:textId="77777777" w:rsidTr="00396CB4">
        <w:trPr>
          <w:divId w:val="2102027158"/>
          <w:trHeight w:val="345"/>
        </w:trPr>
        <w:tc>
          <w:tcPr>
            <w:tcW w:w="2453" w:type="dxa"/>
            <w:tcBorders>
              <w:top w:val="nil"/>
              <w:left w:val="single" w:sz="8" w:space="0" w:color="000000"/>
              <w:bottom w:val="nil"/>
              <w:right w:val="single" w:sz="8" w:space="0" w:color="auto"/>
            </w:tcBorders>
            <w:shd w:val="clear" w:color="auto" w:fill="auto"/>
            <w:vAlign w:val="center"/>
            <w:hideMark/>
          </w:tcPr>
          <w:p w14:paraId="592A244E"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Interés residual</w:t>
            </w:r>
          </w:p>
        </w:tc>
        <w:tc>
          <w:tcPr>
            <w:tcW w:w="2536" w:type="dxa"/>
            <w:tcBorders>
              <w:top w:val="nil"/>
              <w:left w:val="nil"/>
              <w:bottom w:val="nil"/>
              <w:right w:val="single" w:sz="8" w:space="0" w:color="auto"/>
            </w:tcBorders>
            <w:shd w:val="clear" w:color="auto" w:fill="auto"/>
            <w:vAlign w:val="center"/>
            <w:hideMark/>
          </w:tcPr>
          <w:p w14:paraId="40BFA4C5" w14:textId="77777777" w:rsidR="00396CB4" w:rsidRPr="00396CB4" w:rsidRDefault="00396CB4" w:rsidP="00396CB4">
            <w:pPr>
              <w:spacing w:after="0" w:line="240" w:lineRule="auto"/>
              <w:ind w:firstLineChars="700" w:firstLine="1540"/>
              <w:jc w:val="left"/>
              <w:rPr>
                <w:rFonts w:eastAsia="Times New Roman" w:cs="Calibri"/>
                <w:color w:val="000000"/>
                <w:sz w:val="22"/>
                <w:lang w:eastAsia="es-CR"/>
              </w:rPr>
            </w:pPr>
            <w:r w:rsidRPr="00396CB4">
              <w:rPr>
                <w:rFonts w:eastAsia="Times New Roman" w:cs="Calibri"/>
                <w:color w:val="000000"/>
                <w:sz w:val="22"/>
                <w:lang w:eastAsia="es-CR"/>
              </w:rPr>
              <w:t> </w:t>
            </w:r>
          </w:p>
        </w:tc>
        <w:tc>
          <w:tcPr>
            <w:tcW w:w="1227" w:type="dxa"/>
            <w:tcBorders>
              <w:top w:val="nil"/>
              <w:left w:val="nil"/>
              <w:bottom w:val="nil"/>
              <w:right w:val="single" w:sz="8" w:space="0" w:color="auto"/>
            </w:tcBorders>
            <w:shd w:val="clear" w:color="auto" w:fill="auto"/>
            <w:vAlign w:val="center"/>
            <w:hideMark/>
          </w:tcPr>
          <w:p w14:paraId="1320EAA4"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w:t>
            </w:r>
          </w:p>
        </w:tc>
        <w:tc>
          <w:tcPr>
            <w:tcW w:w="1418" w:type="dxa"/>
            <w:tcBorders>
              <w:top w:val="nil"/>
              <w:left w:val="nil"/>
              <w:bottom w:val="nil"/>
              <w:right w:val="single" w:sz="8" w:space="0" w:color="000000"/>
            </w:tcBorders>
            <w:shd w:val="clear" w:color="auto" w:fill="auto"/>
            <w:vAlign w:val="center"/>
            <w:hideMark/>
          </w:tcPr>
          <w:p w14:paraId="70D65D95"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w:t>
            </w:r>
          </w:p>
        </w:tc>
        <w:tc>
          <w:tcPr>
            <w:tcW w:w="1466" w:type="dxa"/>
            <w:tcBorders>
              <w:top w:val="nil"/>
              <w:left w:val="nil"/>
              <w:bottom w:val="nil"/>
              <w:right w:val="single" w:sz="8" w:space="0" w:color="000000"/>
            </w:tcBorders>
            <w:shd w:val="clear" w:color="auto" w:fill="auto"/>
            <w:vAlign w:val="center"/>
            <w:hideMark/>
          </w:tcPr>
          <w:p w14:paraId="6AD10C52"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w:t>
            </w:r>
          </w:p>
        </w:tc>
      </w:tr>
      <w:tr w:rsidR="00396CB4" w:rsidRPr="00396CB4" w14:paraId="2CC5951C" w14:textId="77777777" w:rsidTr="00396CB4">
        <w:trPr>
          <w:divId w:val="2102027158"/>
          <w:trHeight w:val="345"/>
        </w:trPr>
        <w:tc>
          <w:tcPr>
            <w:tcW w:w="2453"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9A77081"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NICSP correspondiente</w:t>
            </w:r>
          </w:p>
        </w:tc>
        <w:tc>
          <w:tcPr>
            <w:tcW w:w="2536" w:type="dxa"/>
            <w:tcBorders>
              <w:top w:val="single" w:sz="8" w:space="0" w:color="auto"/>
              <w:left w:val="nil"/>
              <w:bottom w:val="single" w:sz="8" w:space="0" w:color="auto"/>
              <w:right w:val="single" w:sz="8" w:space="0" w:color="000000"/>
            </w:tcBorders>
            <w:shd w:val="clear" w:color="auto" w:fill="auto"/>
            <w:vAlign w:val="center"/>
            <w:hideMark/>
          </w:tcPr>
          <w:p w14:paraId="0793F82F" w14:textId="77777777" w:rsidR="00396CB4" w:rsidRPr="00396CB4" w:rsidRDefault="00396CB4" w:rsidP="00396CB4">
            <w:pPr>
              <w:spacing w:after="0" w:line="240" w:lineRule="auto"/>
              <w:ind w:firstLineChars="100" w:firstLine="220"/>
              <w:jc w:val="left"/>
              <w:rPr>
                <w:rFonts w:eastAsia="Times New Roman" w:cs="Calibri"/>
                <w:color w:val="000000"/>
                <w:sz w:val="22"/>
                <w:lang w:eastAsia="es-CR"/>
              </w:rPr>
            </w:pPr>
            <w:r w:rsidRPr="00396CB4">
              <w:rPr>
                <w:rFonts w:eastAsia="Times New Roman" w:cs="Calibri"/>
                <w:color w:val="000000"/>
                <w:sz w:val="22"/>
                <w:lang w:eastAsia="es-CR"/>
              </w:rPr>
              <w:t> </w:t>
            </w:r>
          </w:p>
        </w:tc>
        <w:tc>
          <w:tcPr>
            <w:tcW w:w="1227" w:type="dxa"/>
            <w:tcBorders>
              <w:top w:val="single" w:sz="8" w:space="0" w:color="auto"/>
              <w:left w:val="nil"/>
              <w:bottom w:val="single" w:sz="8" w:space="0" w:color="auto"/>
              <w:right w:val="single" w:sz="8" w:space="0" w:color="000000"/>
            </w:tcBorders>
            <w:shd w:val="clear" w:color="auto" w:fill="auto"/>
            <w:vAlign w:val="center"/>
            <w:hideMark/>
          </w:tcPr>
          <w:p w14:paraId="52A4C517"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w:t>
            </w:r>
          </w:p>
        </w:tc>
        <w:tc>
          <w:tcPr>
            <w:tcW w:w="1418" w:type="dxa"/>
            <w:tcBorders>
              <w:top w:val="single" w:sz="8" w:space="0" w:color="auto"/>
              <w:left w:val="nil"/>
              <w:bottom w:val="single" w:sz="8" w:space="0" w:color="auto"/>
              <w:right w:val="single" w:sz="8" w:space="0" w:color="000000"/>
            </w:tcBorders>
            <w:shd w:val="clear" w:color="auto" w:fill="auto"/>
            <w:vAlign w:val="center"/>
            <w:hideMark/>
          </w:tcPr>
          <w:p w14:paraId="1629EF08" w14:textId="77777777" w:rsidR="00396CB4" w:rsidRPr="00396CB4" w:rsidRDefault="00396CB4" w:rsidP="00396CB4">
            <w:pPr>
              <w:spacing w:after="0" w:line="240" w:lineRule="auto"/>
              <w:ind w:firstLineChars="100" w:firstLine="220"/>
              <w:jc w:val="left"/>
              <w:rPr>
                <w:rFonts w:eastAsia="Times New Roman" w:cs="Calibri"/>
                <w:color w:val="000000"/>
                <w:sz w:val="22"/>
                <w:lang w:eastAsia="es-CR"/>
              </w:rPr>
            </w:pPr>
            <w:r w:rsidRPr="00396CB4">
              <w:rPr>
                <w:rFonts w:eastAsia="Times New Roman" w:cs="Calibri"/>
                <w:color w:val="000000"/>
                <w:sz w:val="22"/>
                <w:lang w:eastAsia="es-CR"/>
              </w:rPr>
              <w:t> </w:t>
            </w:r>
          </w:p>
        </w:tc>
        <w:tc>
          <w:tcPr>
            <w:tcW w:w="1466" w:type="dxa"/>
            <w:tcBorders>
              <w:top w:val="single" w:sz="8" w:space="0" w:color="auto"/>
              <w:left w:val="nil"/>
              <w:bottom w:val="single" w:sz="8" w:space="0" w:color="auto"/>
              <w:right w:val="single" w:sz="8" w:space="0" w:color="auto"/>
            </w:tcBorders>
            <w:shd w:val="clear" w:color="auto" w:fill="auto"/>
            <w:vAlign w:val="center"/>
            <w:hideMark/>
          </w:tcPr>
          <w:p w14:paraId="61C3BA0E" w14:textId="77777777" w:rsidR="00396CB4" w:rsidRPr="00396CB4" w:rsidRDefault="00396CB4" w:rsidP="00396CB4">
            <w:pPr>
              <w:spacing w:after="0" w:line="240" w:lineRule="auto"/>
              <w:ind w:firstLineChars="100" w:firstLine="220"/>
              <w:jc w:val="left"/>
              <w:rPr>
                <w:rFonts w:eastAsia="Times New Roman" w:cs="Calibri"/>
                <w:color w:val="000000"/>
                <w:sz w:val="22"/>
                <w:lang w:eastAsia="es-CR"/>
              </w:rPr>
            </w:pPr>
            <w:r w:rsidRPr="00396CB4">
              <w:rPr>
                <w:rFonts w:eastAsia="Times New Roman" w:cs="Calibri"/>
                <w:color w:val="000000"/>
                <w:sz w:val="22"/>
                <w:lang w:eastAsia="es-CR"/>
              </w:rPr>
              <w:t> </w:t>
            </w:r>
          </w:p>
        </w:tc>
      </w:tr>
    </w:tbl>
    <w:p w14:paraId="2C72EC3C" w14:textId="7971826D" w:rsidR="00A606BF" w:rsidRDefault="00A606BF" w:rsidP="0096643F">
      <w:pPr>
        <w:rPr>
          <w:lang w:val="es-MX"/>
        </w:rPr>
      </w:pPr>
      <w:r>
        <w:rPr>
          <w:lang w:val="es-MX"/>
        </w:rPr>
        <w:fldChar w:fldCharType="end"/>
      </w:r>
    </w:p>
    <w:p w14:paraId="23509457" w14:textId="77777777" w:rsidR="0008638E" w:rsidRPr="003516A2" w:rsidRDefault="0008638E" w:rsidP="0008638E">
      <w:pPr>
        <w:spacing w:before="240"/>
        <w:rPr>
          <w:b/>
          <w:color w:val="FFFFFF" w:themeColor="background1"/>
          <w:highlight w:val="darkBlue"/>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r>
        <w:rPr>
          <w:lang w:val="es-MX"/>
        </w:rPr>
        <w:t>________________________________________________________________________________________________________________________________________________________________</w:t>
      </w:r>
    </w:p>
    <w:p w14:paraId="655798E8" w14:textId="77777777" w:rsidR="0008638E" w:rsidRDefault="0008638E" w:rsidP="0008638E">
      <w:pPr>
        <w:spacing w:line="240" w:lineRule="auto"/>
        <w:rPr>
          <w:b/>
          <w:u w:val="single"/>
        </w:rPr>
      </w:pPr>
    </w:p>
    <w:p w14:paraId="6C91EB2C" w14:textId="77777777" w:rsidR="0008638E" w:rsidRPr="003516A2" w:rsidRDefault="0008638E" w:rsidP="0008638E">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34F7F098" w14:textId="77777777" w:rsidR="0008638E" w:rsidRPr="0008638E" w:rsidRDefault="0008638E" w:rsidP="0008638E">
      <w:pPr>
        <w:rPr>
          <w:lang w:val="es-MX"/>
        </w:rPr>
      </w:pPr>
      <w:r>
        <w:rPr>
          <w:lang w:val="es-MX"/>
        </w:rPr>
        <w:t>________________________________________________________________________________________________________________________________________________________________</w:t>
      </w:r>
    </w:p>
    <w:p w14:paraId="1DF52CEA" w14:textId="374609B7" w:rsidR="0096643F" w:rsidRPr="0096643F" w:rsidRDefault="0096643F" w:rsidP="0096643F">
      <w:pPr>
        <w:rPr>
          <w:rFonts w:eastAsia="Times New Roman"/>
          <w:b/>
          <w:u w:val="single"/>
          <w:lang w:val="es-ES_tradnl" w:eastAsia="es-CR"/>
        </w:rPr>
      </w:pPr>
      <w:r w:rsidRPr="00A6037A">
        <w:rPr>
          <w:b/>
          <w:color w:val="FFFFFF" w:themeColor="background1"/>
          <w:highlight w:val="darkBlue"/>
          <w:u w:val="single"/>
        </w:rPr>
        <w:t>Revelación Suficiente:</w:t>
      </w:r>
      <w:r w:rsidRPr="0096643F">
        <w:rPr>
          <w:rFonts w:eastAsia="Times New Roman"/>
          <w:b/>
          <w:u w:val="single"/>
          <w:lang w:val="es-ES_tradnl" w:eastAsia="es-CR"/>
        </w:rPr>
        <w:t xml:space="preserve"> </w:t>
      </w:r>
      <w:r w:rsidR="00482942">
        <w:rPr>
          <w:b/>
          <w:u w:val="single"/>
        </w:rPr>
        <w:t xml:space="preserve">El ente debe revelar y cumplir </w:t>
      </w:r>
      <w:r w:rsidRPr="0096643F">
        <w:rPr>
          <w:b/>
          <w:u w:val="single"/>
        </w:rPr>
        <w:t xml:space="preserve">con lo estipulado en revelación </w:t>
      </w:r>
      <w:r w:rsidR="00482942">
        <w:rPr>
          <w:b/>
          <w:u w:val="single"/>
        </w:rPr>
        <w:t>conforme</w:t>
      </w:r>
      <w:r w:rsidRPr="0096643F">
        <w:rPr>
          <w:b/>
          <w:u w:val="single"/>
        </w:rPr>
        <w:t xml:space="preserve"> a la NICSP, también debe considerar la política general y los párrafos incluidos en la matriz de autoevaluación referente a esta NICSP guías de aplicación</w:t>
      </w:r>
      <w:r w:rsidRPr="0096643F">
        <w:rPr>
          <w:rFonts w:eastAsia="Times New Roman"/>
          <w:b/>
          <w:u w:val="single"/>
          <w:lang w:val="es-ES_tradnl" w:eastAsia="es-CR"/>
        </w:rPr>
        <w:t xml:space="preserve"> (Ver GA de la NICSP 32):</w:t>
      </w:r>
    </w:p>
    <w:p w14:paraId="61C8CB46" w14:textId="77777777" w:rsidR="0096643F" w:rsidRPr="0096643F" w:rsidRDefault="0096643F" w:rsidP="0096643F">
      <w:pPr>
        <w:rPr>
          <w:lang w:val="es-MX"/>
        </w:rPr>
      </w:pPr>
      <w:r w:rsidRPr="0096643F">
        <w:rPr>
          <w:lang w:val="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61430CB" w14:textId="77777777" w:rsidR="00A649A4" w:rsidRPr="00A649A4" w:rsidRDefault="00A649A4" w:rsidP="00A649A4">
      <w:pPr>
        <w:rPr>
          <w:highlight w:val="green"/>
          <w:lang w:eastAsia="es-CR"/>
        </w:rPr>
      </w:pPr>
    </w:p>
    <w:p w14:paraId="28FE0065" w14:textId="6788C4E9" w:rsidR="00A649A4" w:rsidRPr="00A649A4" w:rsidRDefault="00A649A4" w:rsidP="00A649A4">
      <w:pPr>
        <w:pStyle w:val="Ttulo2"/>
        <w:spacing w:after="240"/>
        <w:rPr>
          <w:rFonts w:eastAsia="Times New Roman"/>
          <w:lang w:eastAsia="es-CR"/>
        </w:rPr>
      </w:pPr>
      <w:bookmarkStart w:id="119" w:name="_Toc189804816"/>
      <w:r w:rsidRPr="00A649A4">
        <w:rPr>
          <w:rFonts w:eastAsia="Times New Roman"/>
          <w:lang w:eastAsia="es-CR"/>
        </w:rPr>
        <w:t>NICSP 33</w:t>
      </w:r>
      <w:r>
        <w:rPr>
          <w:rFonts w:eastAsia="Times New Roman"/>
          <w:lang w:eastAsia="es-CR"/>
        </w:rPr>
        <w:t xml:space="preserve"> - </w:t>
      </w:r>
      <w:r w:rsidRPr="00A649A4">
        <w:rPr>
          <w:rFonts w:eastAsia="Times New Roman"/>
          <w:lang w:eastAsia="es-CR"/>
        </w:rPr>
        <w:t>ADOPCIÓN POR PRIMERA VEZ DE LAS NICSP DE BASE DE ACUMULACIÓN (O DEVENGO) (DE APLICACIÓN OBLIGATORIA):</w:t>
      </w:r>
      <w:bookmarkEnd w:id="119"/>
      <w:r w:rsidRPr="00A649A4">
        <w:rPr>
          <w:rFonts w:eastAsia="Times New Roman"/>
          <w:lang w:eastAsia="es-CR"/>
        </w:rPr>
        <w:t xml:space="preserve"> </w:t>
      </w:r>
    </w:p>
    <w:p w14:paraId="7E4CF4D3" w14:textId="77777777" w:rsidR="00396CB4" w:rsidRDefault="00A649A4" w:rsidP="00A649A4">
      <w:pPr>
        <w:rPr>
          <w:rFonts w:asciiTheme="minorHAnsi" w:hAnsiTheme="minorHAnsi"/>
          <w:sz w:val="22"/>
        </w:rPr>
      </w:pPr>
      <w:r w:rsidRPr="00FB0858">
        <w:t xml:space="preserve">De acuerdo con la </w:t>
      </w:r>
      <w:r w:rsidRPr="000B404C">
        <w:t xml:space="preserve">De acuerdo con la </w:t>
      </w:r>
      <w:r w:rsidRPr="00A649A4">
        <w:t xml:space="preserve">NICSP 33 </w:t>
      </w:r>
      <w:r>
        <w:t xml:space="preserve">- </w:t>
      </w:r>
      <w:r w:rsidRPr="00A649A4">
        <w:t>Adopción por primera vez de las NICSP de base de acumulación (o devengo)</w:t>
      </w:r>
      <w:r>
        <w:t xml:space="preserve">, indicar si este rubro afecta SI o NO a la institución, </w:t>
      </w:r>
      <w:r w:rsidRPr="00405DBC">
        <w:t>además del porcentaje de avance</w:t>
      </w:r>
      <w:r>
        <w:t xml:space="preserve"> en la implementación</w:t>
      </w:r>
      <w:r w:rsidRPr="00405DBC">
        <w:t xml:space="preserve"> que presenta</w:t>
      </w:r>
      <w:r>
        <w:t>.</w:t>
      </w:r>
      <w:r w:rsidR="00982595">
        <w:fldChar w:fldCharType="begin"/>
      </w:r>
      <w:r w:rsidR="00982595">
        <w:instrText xml:space="preserve"> LINK </w:instrText>
      </w:r>
      <w:r w:rsidR="00756467">
        <w:instrText xml:space="preserve">Excel.SheetMacroEnabled.12 "C:\\Users\\gcordero\\Downloads\\Notas diciembre 2024\\Formato_Notas_EEFF_Vinculadas_2024\\Formato_Notas_EEFF_Vinculadas_2024\\15603_T04_2024_Anexo_Estado_Notas_Contables_Vinculadas.xlsm" NICSP_33!F9C3:F10C4 </w:instrText>
      </w:r>
      <w:r w:rsidR="00982595">
        <w:instrText xml:space="preserve">\a \f 4 \h </w:instrText>
      </w:r>
      <w:r w:rsidR="00982595">
        <w:fldChar w:fldCharType="separate"/>
      </w:r>
    </w:p>
    <w:tbl>
      <w:tblPr>
        <w:tblW w:w="4120" w:type="dxa"/>
        <w:tblCellMar>
          <w:left w:w="70" w:type="dxa"/>
          <w:right w:w="70" w:type="dxa"/>
        </w:tblCellMar>
        <w:tblLook w:val="04A0" w:firstRow="1" w:lastRow="0" w:firstColumn="1" w:lastColumn="0" w:noHBand="0" w:noVBand="1"/>
      </w:tblPr>
      <w:tblGrid>
        <w:gridCol w:w="2340"/>
        <w:gridCol w:w="1780"/>
      </w:tblGrid>
      <w:tr w:rsidR="00396CB4" w:rsidRPr="00396CB4" w14:paraId="1104E2A2" w14:textId="77777777" w:rsidTr="00396CB4">
        <w:trPr>
          <w:divId w:val="1893467817"/>
          <w:trHeight w:val="345"/>
        </w:trPr>
        <w:tc>
          <w:tcPr>
            <w:tcW w:w="234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170DCF17" w14:textId="64752D05" w:rsidR="00396CB4" w:rsidRPr="00396CB4" w:rsidRDefault="00396CB4" w:rsidP="00396CB4">
            <w:pPr>
              <w:rPr>
                <w:rFonts w:eastAsia="Times New Roman" w:cs="Calibri"/>
                <w:color w:val="FFFFFF"/>
                <w:szCs w:val="24"/>
                <w:lang w:eastAsia="es-CR"/>
              </w:rPr>
            </w:pPr>
            <w:r w:rsidRPr="00396CB4">
              <w:rPr>
                <w:rFonts w:eastAsia="Times New Roman" w:cs="Calibri"/>
                <w:color w:val="FFFFFF"/>
                <w:szCs w:val="24"/>
                <w:lang w:eastAsia="es-CR"/>
              </w:rPr>
              <w:t>Aplica</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CE50F8" w14:textId="77777777" w:rsidR="00396CB4" w:rsidRPr="00396CB4" w:rsidRDefault="00396CB4" w:rsidP="00396CB4">
            <w:pPr>
              <w:spacing w:after="0" w:line="240" w:lineRule="auto"/>
              <w:jc w:val="center"/>
              <w:rPr>
                <w:rFonts w:eastAsia="Times New Roman" w:cs="Calibri"/>
                <w:color w:val="000000"/>
                <w:sz w:val="22"/>
                <w:lang w:eastAsia="es-CR"/>
              </w:rPr>
            </w:pPr>
            <w:r w:rsidRPr="00396CB4">
              <w:rPr>
                <w:rFonts w:eastAsia="Times New Roman" w:cs="Calibri"/>
                <w:color w:val="000000"/>
                <w:sz w:val="22"/>
                <w:lang w:eastAsia="es-CR"/>
              </w:rPr>
              <w:t>Si</w:t>
            </w:r>
          </w:p>
        </w:tc>
      </w:tr>
      <w:tr w:rsidR="00396CB4" w:rsidRPr="00396CB4" w14:paraId="4AB031D9" w14:textId="77777777" w:rsidTr="00396CB4">
        <w:trPr>
          <w:divId w:val="1893467817"/>
          <w:trHeight w:val="345"/>
        </w:trPr>
        <w:tc>
          <w:tcPr>
            <w:tcW w:w="2340" w:type="dxa"/>
            <w:tcBorders>
              <w:top w:val="nil"/>
              <w:left w:val="single" w:sz="8" w:space="0" w:color="auto"/>
              <w:bottom w:val="single" w:sz="8" w:space="0" w:color="auto"/>
              <w:right w:val="single" w:sz="8" w:space="0" w:color="auto"/>
            </w:tcBorders>
            <w:shd w:val="clear" w:color="000000" w:fill="17365D"/>
            <w:vAlign w:val="center"/>
            <w:hideMark/>
          </w:tcPr>
          <w:p w14:paraId="03771E99" w14:textId="77777777" w:rsidR="00396CB4" w:rsidRPr="00396CB4" w:rsidRDefault="00396CB4" w:rsidP="00396CB4">
            <w:pPr>
              <w:spacing w:after="0" w:line="240" w:lineRule="auto"/>
              <w:jc w:val="left"/>
              <w:rPr>
                <w:rFonts w:eastAsia="Times New Roman" w:cs="Calibri"/>
                <w:color w:val="FFFFFF"/>
                <w:szCs w:val="24"/>
                <w:lang w:eastAsia="es-CR"/>
              </w:rPr>
            </w:pPr>
            <w:proofErr w:type="spellStart"/>
            <w:r w:rsidRPr="00396CB4">
              <w:rPr>
                <w:rFonts w:eastAsia="Times New Roman" w:cs="Calibri"/>
                <w:color w:val="FFFFFF"/>
                <w:szCs w:val="24"/>
                <w:lang w:eastAsia="es-CR"/>
              </w:rPr>
              <w:lastRenderedPageBreak/>
              <w:t>Porcentaje_Avance</w:t>
            </w:r>
            <w:proofErr w:type="spellEnd"/>
          </w:p>
        </w:tc>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0BDD7A79" w14:textId="77777777" w:rsidR="00396CB4" w:rsidRPr="00396CB4" w:rsidRDefault="00396CB4" w:rsidP="00396CB4">
            <w:pPr>
              <w:spacing w:after="0" w:line="240" w:lineRule="auto"/>
              <w:jc w:val="center"/>
              <w:rPr>
                <w:rFonts w:eastAsia="Times New Roman" w:cs="Calibri"/>
                <w:color w:val="000000"/>
                <w:sz w:val="22"/>
                <w:lang w:eastAsia="es-CR"/>
              </w:rPr>
            </w:pPr>
            <w:r w:rsidRPr="00396CB4">
              <w:rPr>
                <w:rFonts w:eastAsia="Times New Roman" w:cs="Calibri"/>
                <w:color w:val="000000"/>
                <w:sz w:val="22"/>
                <w:lang w:eastAsia="es-CR"/>
              </w:rPr>
              <w:t>75,00%</w:t>
            </w:r>
          </w:p>
        </w:tc>
      </w:tr>
    </w:tbl>
    <w:p w14:paraId="4BDE2276" w14:textId="7E40CA17" w:rsidR="00A649A4" w:rsidRPr="00982595" w:rsidRDefault="00982595" w:rsidP="00A649A4">
      <w:pPr>
        <w:rPr>
          <w:b/>
          <w:sz w:val="16"/>
          <w:szCs w:val="16"/>
          <w:lang w:eastAsia="es-CR"/>
        </w:rPr>
      </w:pPr>
      <w:r>
        <w:fldChar w:fldCharType="end"/>
      </w:r>
      <w:r>
        <w:t xml:space="preserve">                                   </w:t>
      </w:r>
      <w:r w:rsidR="00A649A4" w:rsidRPr="00C35565">
        <w:rPr>
          <w:b/>
          <w:sz w:val="16"/>
          <w:szCs w:val="16"/>
          <w:lang w:eastAsia="es-CR"/>
        </w:rPr>
        <w:t>-Aplicación Obligatoria-</w:t>
      </w:r>
    </w:p>
    <w:p w14:paraId="23DCDF69" w14:textId="77777777" w:rsidR="00A649A4" w:rsidRPr="00A649A4" w:rsidRDefault="00A649A4" w:rsidP="00A606BF">
      <w:pPr>
        <w:jc w:val="center"/>
        <w:rPr>
          <w:szCs w:val="24"/>
        </w:rPr>
      </w:pPr>
      <w:r w:rsidRPr="00A649A4">
        <w:rPr>
          <w:noProof/>
          <w:lang w:eastAsia="es-CR"/>
        </w:rPr>
        <w:drawing>
          <wp:inline distT="0" distB="0" distL="0" distR="0" wp14:anchorId="610B2E54" wp14:editId="04FD3379">
            <wp:extent cx="4191000" cy="1524000"/>
            <wp:effectExtent l="0" t="0" r="0" b="0"/>
            <wp:docPr id="5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91000" cy="1524000"/>
                    </a:xfrm>
                    <a:prstGeom prst="rect">
                      <a:avLst/>
                    </a:prstGeom>
                    <a:noFill/>
                    <a:ln>
                      <a:noFill/>
                    </a:ln>
                  </pic:spPr>
                </pic:pic>
              </a:graphicData>
            </a:graphic>
          </wp:inline>
        </w:drawing>
      </w:r>
    </w:p>
    <w:p w14:paraId="4B92FACC" w14:textId="1364F030" w:rsidR="00A649A4" w:rsidRPr="00A606BF" w:rsidRDefault="00A649A4" w:rsidP="00A649A4">
      <w:r w:rsidRPr="00A649A4">
        <w:t>Los primeros estados financieros de una entidad conforme a las NICSP son los primeros estados financieros anuales en los cuales la entidad que adopta por primera vez las NICSP puede hacer una declaración, explícita y sin reservas, contenida en tales estados financieros, de conformidad con las NICSP de base de acumulación (o devengo).</w:t>
      </w:r>
    </w:p>
    <w:p w14:paraId="4C5E131A" w14:textId="225F124B" w:rsidR="00A649A4" w:rsidRPr="00A606BF" w:rsidRDefault="00A649A4" w:rsidP="00A606BF">
      <w:pPr>
        <w:jc w:val="center"/>
        <w:rPr>
          <w:szCs w:val="24"/>
          <w:highlight w:val="yellow"/>
        </w:rPr>
      </w:pPr>
      <w:r w:rsidRPr="00A649A4">
        <w:rPr>
          <w:noProof/>
          <w:lang w:eastAsia="es-CR"/>
        </w:rPr>
        <w:drawing>
          <wp:inline distT="0" distB="0" distL="0" distR="0" wp14:anchorId="00AC4C1A" wp14:editId="6CF03C30">
            <wp:extent cx="4183380" cy="1729740"/>
            <wp:effectExtent l="0" t="0" r="0" b="0"/>
            <wp:docPr id="5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83380" cy="1729740"/>
                    </a:xfrm>
                    <a:prstGeom prst="rect">
                      <a:avLst/>
                    </a:prstGeom>
                    <a:noFill/>
                    <a:ln>
                      <a:noFill/>
                    </a:ln>
                  </pic:spPr>
                </pic:pic>
              </a:graphicData>
            </a:graphic>
          </wp:inline>
        </w:drawing>
      </w:r>
    </w:p>
    <w:p w14:paraId="500FAC94" w14:textId="77777777" w:rsidR="00A649A4" w:rsidRPr="00A649A4" w:rsidRDefault="00A649A4" w:rsidP="00A649A4">
      <w:pPr>
        <w:jc w:val="center"/>
        <w:rPr>
          <w:szCs w:val="24"/>
          <w:highlight w:val="yellow"/>
        </w:rPr>
      </w:pPr>
      <w:r w:rsidRPr="00A649A4">
        <w:rPr>
          <w:noProof/>
          <w:lang w:eastAsia="es-CR"/>
        </w:rPr>
        <w:drawing>
          <wp:inline distT="0" distB="0" distL="0" distR="0" wp14:anchorId="5741E6DD" wp14:editId="1642812F">
            <wp:extent cx="4160520" cy="1295400"/>
            <wp:effectExtent l="0" t="0" r="0" b="0"/>
            <wp:docPr id="5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60520" cy="1295400"/>
                    </a:xfrm>
                    <a:prstGeom prst="rect">
                      <a:avLst/>
                    </a:prstGeom>
                    <a:noFill/>
                    <a:ln>
                      <a:noFill/>
                    </a:ln>
                  </pic:spPr>
                </pic:pic>
              </a:graphicData>
            </a:graphic>
          </wp:inline>
        </w:drawing>
      </w:r>
    </w:p>
    <w:p w14:paraId="045C8555" w14:textId="77777777" w:rsidR="00A649A4" w:rsidRPr="00A649A4" w:rsidRDefault="00A649A4" w:rsidP="00A649A4">
      <w:r w:rsidRPr="00A649A4">
        <w:t>1.</w:t>
      </w:r>
      <w:r w:rsidRPr="00A649A4">
        <w:tab/>
        <w:t>En la medida en que una entidad que adopta por primera vez las NICSP haya aprovechado las exenciones y disposiciones transitorias de esta NICSP que afectan la presentación razonable y conformidad con las NICSP de base de acumulación (o devengo) en relación con activos, pasivos, ingresos o gastos, revelará:</w:t>
      </w:r>
    </w:p>
    <w:p w14:paraId="6C73C001" w14:textId="77777777" w:rsidR="00A649A4" w:rsidRPr="00A649A4" w:rsidRDefault="00A649A4" w:rsidP="00A649A4">
      <w:r w:rsidRPr="00A649A4">
        <w:lastRenderedPageBreak/>
        <w:t>(a)</w:t>
      </w:r>
      <w:r w:rsidRPr="00A649A4">
        <w:tab/>
        <w:t>el progreso realizado hacia el reconocimiento, medición, presentación o revelación de activos, pasivos, ingresos o gastos de acuerdo con los requerimientos de las NICSP aplicables;</w:t>
      </w:r>
    </w:p>
    <w:p w14:paraId="2F99D40F" w14:textId="77777777" w:rsidR="00A649A4" w:rsidRPr="00A649A4" w:rsidRDefault="00A649A4" w:rsidP="00A649A4">
      <w:r w:rsidRPr="00A649A4">
        <w:t>(b)</w:t>
      </w:r>
      <w:r w:rsidRPr="00A649A4">
        <w:tab/>
        <w:t>los activos, pasivos, ingresos o gastos que hayan sido reconocidos y medidos según una política contable que no es congruente con los requerimientos de las NICSP aplicables;</w:t>
      </w:r>
    </w:p>
    <w:p w14:paraId="3B691A4B" w14:textId="77777777" w:rsidR="00A649A4" w:rsidRPr="00A649A4" w:rsidRDefault="00A649A4" w:rsidP="00A649A4">
      <w:r w:rsidRPr="00A649A4">
        <w:t>(c)</w:t>
      </w:r>
      <w:r w:rsidRPr="00A649A4">
        <w:tab/>
        <w:t>los activos, pasivos, ingresos o gastos que no hayan sido medidos, presentados o revelados en el periodo sobre el que se informa anterior, pero que ahora se reconocen o miden, o presentan o revelan;</w:t>
      </w:r>
    </w:p>
    <w:p w14:paraId="4A2276BA" w14:textId="77777777" w:rsidR="00A649A4" w:rsidRPr="00A649A4" w:rsidRDefault="00A649A4" w:rsidP="00A649A4">
      <w:r w:rsidRPr="00A649A4">
        <w:t>(d)</w:t>
      </w:r>
      <w:r w:rsidRPr="00A649A4">
        <w:tab/>
        <w:t>la naturaleza e importe de cualquier ajuste reconocido durante el periodo sobre el que se informa; y</w:t>
      </w:r>
    </w:p>
    <w:p w14:paraId="362E15F0" w14:textId="036C4655" w:rsidR="00A649A4" w:rsidRPr="00136480" w:rsidRDefault="00A649A4" w:rsidP="00A649A4">
      <w:r w:rsidRPr="00A649A4">
        <w:t>(e)</w:t>
      </w:r>
      <w:r w:rsidRPr="00A649A4">
        <w:tab/>
        <w:t>una indicación de cómo y cuándo tiene intención de cumplir en su totalidad con los requerimientos de las NICSP aplicables.</w:t>
      </w:r>
    </w:p>
    <w:p w14:paraId="717FF641" w14:textId="5F162CB6" w:rsidR="00A649A4" w:rsidRDefault="00484AB4" w:rsidP="00136480">
      <w:pPr>
        <w:jc w:val="center"/>
        <w:rPr>
          <w:szCs w:val="24"/>
        </w:rPr>
      </w:pPr>
      <w:r w:rsidRPr="00484AB4">
        <w:rPr>
          <w:noProof/>
          <w:lang w:eastAsia="es-CR"/>
        </w:rPr>
        <w:lastRenderedPageBreak/>
        <w:drawing>
          <wp:anchor distT="0" distB="0" distL="114300" distR="114300" simplePos="0" relativeHeight="251668480" behindDoc="0" locked="0" layoutInCell="1" allowOverlap="1" wp14:anchorId="25E49FB8" wp14:editId="0FD6DDFE">
            <wp:simplePos x="0" y="0"/>
            <wp:positionH relativeFrom="column">
              <wp:posOffset>-348615</wp:posOffset>
            </wp:positionH>
            <wp:positionV relativeFrom="paragraph">
              <wp:posOffset>166</wp:posOffset>
            </wp:positionV>
            <wp:extent cx="6464574" cy="6925199"/>
            <wp:effectExtent l="0" t="0" r="0" b="952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64574" cy="6925199"/>
                    </a:xfrm>
                    <a:prstGeom prst="rect">
                      <a:avLst/>
                    </a:prstGeom>
                    <a:noFill/>
                    <a:ln>
                      <a:noFill/>
                    </a:ln>
                  </pic:spPr>
                </pic:pic>
              </a:graphicData>
            </a:graphic>
            <wp14:sizeRelV relativeFrom="margin">
              <wp14:pctHeight>0</wp14:pctHeight>
            </wp14:sizeRelV>
          </wp:anchor>
        </w:drawing>
      </w:r>
    </w:p>
    <w:p w14:paraId="57351E09" w14:textId="12343B5A" w:rsidR="009131F0" w:rsidRDefault="009131F0" w:rsidP="009131F0">
      <w:pPr>
        <w:spacing w:before="240"/>
        <w:rPr>
          <w:lang w:val="es-MX"/>
        </w:rPr>
      </w:pPr>
      <w:r w:rsidRPr="003516A2">
        <w:rPr>
          <w:b/>
          <w:color w:val="FFFFFF" w:themeColor="background1"/>
          <w:highlight w:val="darkBlue"/>
          <w:u w:val="single"/>
        </w:rPr>
        <w:t>Reconocimiento:</w:t>
      </w:r>
      <w:r>
        <w:rPr>
          <w:b/>
          <w:color w:val="FFFFFF" w:themeColor="background1"/>
          <w:highlight w:val="darkBlue"/>
          <w:u w:val="single"/>
        </w:rPr>
        <w:t xml:space="preserve"> </w:t>
      </w:r>
    </w:p>
    <w:p w14:paraId="325D76BA" w14:textId="77777777" w:rsidR="0055259B" w:rsidRDefault="0055259B" w:rsidP="0055259B">
      <w:pPr>
        <w:spacing w:before="120" w:line="240" w:lineRule="auto"/>
        <w:rPr>
          <w:bCs/>
        </w:rPr>
      </w:pPr>
      <w:r w:rsidRPr="007173EC">
        <w:rPr>
          <w:bCs/>
        </w:rPr>
        <w:t>La Municipalidad</w:t>
      </w:r>
      <w:r>
        <w:rPr>
          <w:bCs/>
        </w:rPr>
        <w:t xml:space="preserve"> tomó las exenciones que afectan la presentación razonable y el cumplimiento con las NICSP por lo tanto se informa en la presentación de los EEFF:</w:t>
      </w:r>
    </w:p>
    <w:p w14:paraId="46A096E2" w14:textId="77777777" w:rsidR="0055259B" w:rsidRPr="00422FFA" w:rsidRDefault="0055259B" w:rsidP="0055259B">
      <w:pPr>
        <w:spacing w:before="120" w:line="240" w:lineRule="auto"/>
        <w:ind w:left="284" w:hanging="284"/>
        <w:rPr>
          <w:bCs/>
        </w:rPr>
      </w:pPr>
      <w:r w:rsidRPr="00422FFA">
        <w:rPr>
          <w:bCs/>
        </w:rPr>
        <w:lastRenderedPageBreak/>
        <w:t xml:space="preserve">(a) la medida en que </w:t>
      </w:r>
      <w:r>
        <w:rPr>
          <w:bCs/>
        </w:rPr>
        <w:t xml:space="preserve">se </w:t>
      </w:r>
      <w:r w:rsidRPr="00422FFA">
        <w:rPr>
          <w:bCs/>
        </w:rPr>
        <w:t xml:space="preserve">ha aprovechado las exenciones transitorias que afectan la presentación razonable de los </w:t>
      </w:r>
      <w:r>
        <w:rPr>
          <w:bCs/>
        </w:rPr>
        <w:t>EEFF</w:t>
      </w:r>
      <w:r w:rsidRPr="00422FFA">
        <w:rPr>
          <w:bCs/>
        </w:rPr>
        <w:t xml:space="preserve"> y su capacidad para afirmar la conformidad con las NICSP de base de acumulación (o devengo); o </w:t>
      </w:r>
    </w:p>
    <w:p w14:paraId="19C949B9" w14:textId="77777777" w:rsidR="0055259B" w:rsidRPr="00422FFA" w:rsidRDefault="0055259B" w:rsidP="0055259B">
      <w:pPr>
        <w:spacing w:before="120" w:line="240" w:lineRule="auto"/>
        <w:ind w:left="284" w:hanging="284"/>
        <w:rPr>
          <w:bCs/>
        </w:rPr>
      </w:pPr>
      <w:r w:rsidRPr="00422FFA">
        <w:rPr>
          <w:bCs/>
        </w:rPr>
        <w:t xml:space="preserve">(b) la medida en que ha aprovechado las exenciones transitorias que no afectan la presentación razonable de los </w:t>
      </w:r>
      <w:r>
        <w:rPr>
          <w:bCs/>
        </w:rPr>
        <w:t>EEFF</w:t>
      </w:r>
      <w:r w:rsidRPr="00422FFA">
        <w:rPr>
          <w:bCs/>
        </w:rPr>
        <w:t xml:space="preserve"> y su capacidad para afirmar la conformidad con las NICSP de base de acumulación (o devengo). </w:t>
      </w:r>
    </w:p>
    <w:p w14:paraId="5A1E0E14" w14:textId="77777777" w:rsidR="0055259B" w:rsidRDefault="0055259B" w:rsidP="0055259B">
      <w:pPr>
        <w:spacing w:before="240"/>
        <w:rPr>
          <w:b/>
          <w:u w:val="single"/>
        </w:rPr>
      </w:pPr>
      <w:r>
        <w:rPr>
          <w:bCs/>
        </w:rPr>
        <w:t>Se ha controlado e</w:t>
      </w:r>
      <w:r w:rsidRPr="00422FFA">
        <w:rPr>
          <w:bCs/>
        </w:rPr>
        <w:t>l progreso realizado hacia el reconocimiento, medición, presentación o revelación de activos, pasivos, ingresos o gastos de acuerdo con los requerimientos de las NICSP aplicables;</w:t>
      </w:r>
    </w:p>
    <w:p w14:paraId="2BCE221A" w14:textId="77777777" w:rsidR="009131F0" w:rsidRDefault="009131F0" w:rsidP="009131F0">
      <w:pPr>
        <w:spacing w:line="240" w:lineRule="auto"/>
        <w:rPr>
          <w:b/>
          <w:u w:val="single"/>
        </w:rPr>
      </w:pPr>
    </w:p>
    <w:p w14:paraId="1DFF0954" w14:textId="77777777" w:rsidR="009131F0" w:rsidRPr="003516A2" w:rsidRDefault="009131F0" w:rsidP="009131F0">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66537E14" w14:textId="77777777" w:rsidR="0055259B" w:rsidRPr="00422FFA" w:rsidRDefault="0055259B" w:rsidP="0055259B">
      <w:pPr>
        <w:spacing w:before="120" w:after="120" w:line="240" w:lineRule="auto"/>
        <w:rPr>
          <w:bCs/>
        </w:rPr>
      </w:pPr>
      <w:r>
        <w:rPr>
          <w:bCs/>
        </w:rPr>
        <w:t>L</w:t>
      </w:r>
      <w:r w:rsidRPr="00422FFA">
        <w:rPr>
          <w:bCs/>
        </w:rPr>
        <w:t>a naturaleza e importe de cualquier ajuste reconocido durante el periodo sobre el que se informa; y</w:t>
      </w:r>
      <w:r>
        <w:rPr>
          <w:bCs/>
        </w:rPr>
        <w:t xml:space="preserve"> </w:t>
      </w:r>
      <w:r w:rsidRPr="00422FFA">
        <w:rPr>
          <w:bCs/>
        </w:rPr>
        <w:t xml:space="preserve">una indicación de cómo y cuándo tiene intención de cumplir en su totalidad con los requerimientos de las NICSP aplicables. </w:t>
      </w:r>
      <w:r>
        <w:rPr>
          <w:bCs/>
        </w:rPr>
        <w:t>L</w:t>
      </w:r>
      <w:r w:rsidRPr="00422FFA">
        <w:rPr>
          <w:bCs/>
        </w:rPr>
        <w:t xml:space="preserve">a fecha de adopción de las NICSP; y </w:t>
      </w:r>
    </w:p>
    <w:p w14:paraId="2C18BDFA" w14:textId="77777777" w:rsidR="0055259B" w:rsidRPr="00422FFA" w:rsidRDefault="0055259B" w:rsidP="0055259B">
      <w:pPr>
        <w:spacing w:before="120" w:after="120" w:line="240" w:lineRule="auto"/>
        <w:rPr>
          <w:bCs/>
        </w:rPr>
      </w:pPr>
      <w:r>
        <w:rPr>
          <w:bCs/>
        </w:rPr>
        <w:t xml:space="preserve">Se </w:t>
      </w:r>
      <w:r w:rsidRPr="00422FFA">
        <w:rPr>
          <w:bCs/>
        </w:rPr>
        <w:t xml:space="preserve">hace una referencia cruzada a las explicaciones narrativas que se incluyen en otros documentos públicos emitidos junto con los </w:t>
      </w:r>
      <w:r>
        <w:rPr>
          <w:bCs/>
        </w:rPr>
        <w:t>EEFF.</w:t>
      </w:r>
    </w:p>
    <w:p w14:paraId="4C3CEB33" w14:textId="301E1270" w:rsidR="0055259B" w:rsidRDefault="0055259B" w:rsidP="0055259B">
      <w:pPr>
        <w:spacing w:before="120" w:after="120" w:line="240" w:lineRule="auto"/>
        <w:rPr>
          <w:bCs/>
        </w:rPr>
      </w:pPr>
      <w:r>
        <w:rPr>
          <w:bCs/>
        </w:rPr>
        <w:t>De corresponder, l</w:t>
      </w:r>
      <w:r w:rsidRPr="00422FFA">
        <w:rPr>
          <w:bCs/>
        </w:rPr>
        <w:t>os errores corregidos hechos en base anterior a la contabilidad se distinguen por las conciliaciones requeridas de los cambios en la contabilidad'</w:t>
      </w:r>
      <w:r>
        <w:rPr>
          <w:bCs/>
        </w:rPr>
        <w:t>.</w:t>
      </w:r>
    </w:p>
    <w:p w14:paraId="0CB629D5" w14:textId="77777777" w:rsidR="0055259B" w:rsidRDefault="0055259B" w:rsidP="0055259B">
      <w:pPr>
        <w:spacing w:before="120" w:after="120" w:line="240" w:lineRule="auto"/>
        <w:rPr>
          <w:bCs/>
        </w:rPr>
      </w:pPr>
    </w:p>
    <w:p w14:paraId="6E2665A0" w14:textId="44FFD79E" w:rsidR="00A649A4" w:rsidRPr="00136480" w:rsidRDefault="00A649A4" w:rsidP="00A649A4">
      <w:pPr>
        <w:rPr>
          <w:rFonts w:eastAsia="Calibri" w:cs="Times New Roman"/>
          <w:szCs w:val="24"/>
        </w:rPr>
      </w:pPr>
      <w:r w:rsidRPr="009131F0">
        <w:rPr>
          <w:b/>
          <w:color w:val="FFFFFF" w:themeColor="background1"/>
          <w:highlight w:val="darkBlue"/>
          <w:u w:val="single"/>
        </w:rPr>
        <w:t>Revelación Suficiente:</w:t>
      </w:r>
      <w:r w:rsidRPr="00A649A4">
        <w:rPr>
          <w:rFonts w:eastAsia="Times New Roman" w:cs="Times New Roman"/>
          <w:b/>
          <w:u w:val="single"/>
          <w:lang w:val="es-ES_tradnl" w:eastAsia="es-CR"/>
        </w:rPr>
        <w:t xml:space="preserve"> </w:t>
      </w:r>
      <w:r w:rsidR="00482942">
        <w:rPr>
          <w:rFonts w:eastAsia="Calibri" w:cs="Times New Roman"/>
          <w:b/>
          <w:bCs/>
          <w:u w:val="single"/>
        </w:rPr>
        <w:t xml:space="preserve">El ente debe revelar y cumplir </w:t>
      </w:r>
      <w:r w:rsidRPr="00A649A4">
        <w:rPr>
          <w:rFonts w:eastAsia="Calibri" w:cs="Times New Roman"/>
          <w:b/>
          <w:bCs/>
          <w:u w:val="single"/>
        </w:rPr>
        <w:t xml:space="preserve">con lo estipulado en revelación </w:t>
      </w:r>
      <w:r w:rsidR="00482942">
        <w:rPr>
          <w:rFonts w:eastAsia="Calibri" w:cs="Times New Roman"/>
          <w:b/>
          <w:bCs/>
          <w:u w:val="single"/>
        </w:rPr>
        <w:t>conforme</w:t>
      </w:r>
      <w:r w:rsidRPr="00A649A4">
        <w:rPr>
          <w:rFonts w:eastAsia="Calibri" w:cs="Times New Roman"/>
          <w:b/>
          <w:bCs/>
          <w:u w:val="single"/>
        </w:rPr>
        <w:t xml:space="preserve"> a la NICSP, también debe considerar la política general y los párrafos incluidos en la matriz de autoevaluación referente a esta NICSP y guías de aplicación</w:t>
      </w:r>
      <w:r w:rsidRPr="00A649A4">
        <w:rPr>
          <w:rFonts w:eastAsia="Times New Roman" w:cs="Times New Roman"/>
          <w:b/>
          <w:u w:val="single"/>
          <w:lang w:val="es-ES_tradnl" w:eastAsia="es-CR"/>
        </w:rPr>
        <w:t xml:space="preserve"> (Ver GA de la NICSP 33): La entidad debe revelar el impacto que tienen las brechas pendientes en los EEFF según su materialidad y el efecto que tienen las nuevas normas la implementación</w:t>
      </w:r>
    </w:p>
    <w:p w14:paraId="544046E7" w14:textId="77777777" w:rsidR="0055259B" w:rsidRDefault="0055259B" w:rsidP="0055259B">
      <w:pPr>
        <w:spacing w:after="0" w:line="240" w:lineRule="auto"/>
        <w:rPr>
          <w:lang w:eastAsia="es-CR"/>
        </w:rPr>
      </w:pPr>
      <w:bookmarkStart w:id="120" w:name="_Toc82768894"/>
      <w:r>
        <w:rPr>
          <w:lang w:eastAsia="es-CR"/>
        </w:rPr>
        <w:t>La Municipalidad se acogió al periodo de dispensa transitorio de tres años para el reconocimiento o medición de activos o pasivos que proporciona la NICSP 33 en los párrafos 36 a 62, el cual finaliza el 31 de diciembre de 2024. Durante este periodo la Municipalidad se encuentra realizando un proceso de cierre de brechas, con el fin de lograr cumplir con los requerimientos exigidos por la NICSP y lograr presentar información razonable sobre los inventarios que posee.</w:t>
      </w:r>
    </w:p>
    <w:p w14:paraId="40ECDF77" w14:textId="77777777" w:rsidR="0055259B" w:rsidRDefault="0055259B" w:rsidP="0055259B">
      <w:pPr>
        <w:spacing w:after="0" w:line="240" w:lineRule="auto"/>
        <w:rPr>
          <w:szCs w:val="24"/>
          <w:lang w:eastAsia="es-CR"/>
        </w:rPr>
      </w:pPr>
    </w:p>
    <w:p w14:paraId="5A45A003" w14:textId="77777777" w:rsidR="0055259B" w:rsidRDefault="0055259B" w:rsidP="0055259B">
      <w:pPr>
        <w:spacing w:after="0" w:line="240" w:lineRule="auto"/>
        <w:rPr>
          <w:szCs w:val="24"/>
        </w:rPr>
      </w:pPr>
      <w:r>
        <w:rPr>
          <w:szCs w:val="24"/>
          <w:lang w:eastAsia="es-CR"/>
        </w:rPr>
        <w:t xml:space="preserve">Con el propósito de lograr la implementación al 100% de las NICSP, la Municipalidad elaboró un plan de acción, el cual es objeto de seguimiento y control permanente, lo cual ha permitido </w:t>
      </w:r>
      <w:r w:rsidRPr="009165F3">
        <w:rPr>
          <w:szCs w:val="24"/>
          <w:lang w:eastAsia="es-CR"/>
        </w:rPr>
        <w:t>alcanza</w:t>
      </w:r>
      <w:r>
        <w:rPr>
          <w:szCs w:val="24"/>
          <w:lang w:eastAsia="es-CR"/>
        </w:rPr>
        <w:t xml:space="preserve">r un avance importante </w:t>
      </w:r>
      <w:r w:rsidRPr="009165F3">
        <w:rPr>
          <w:szCs w:val="24"/>
          <w:lang w:eastAsia="es-CR"/>
        </w:rPr>
        <w:t>en el proceso de reconocimiento, medición, presentación o revelación de los diferentes componentes de los estados financieros (</w:t>
      </w:r>
      <w:r w:rsidRPr="009165F3">
        <w:rPr>
          <w:szCs w:val="24"/>
        </w:rPr>
        <w:t>activos, pasivos, patrimonio, ingresos y gastos)</w:t>
      </w:r>
      <w:r>
        <w:rPr>
          <w:szCs w:val="24"/>
        </w:rPr>
        <w:t xml:space="preserve">siendo este </w:t>
      </w:r>
      <w:r w:rsidRPr="009165F3">
        <w:rPr>
          <w:szCs w:val="24"/>
        </w:rPr>
        <w:t>considera</w:t>
      </w:r>
      <w:r>
        <w:rPr>
          <w:szCs w:val="24"/>
        </w:rPr>
        <w:t>do</w:t>
      </w:r>
      <w:r w:rsidRPr="009165F3">
        <w:rPr>
          <w:szCs w:val="24"/>
        </w:rPr>
        <w:t xml:space="preserve"> satisfactorio y acorde con lo planteado en el plan de implementación de las NICSP elaborado.</w:t>
      </w:r>
    </w:p>
    <w:p w14:paraId="3C186D61" w14:textId="77777777" w:rsidR="0055259B" w:rsidRPr="009165F3" w:rsidRDefault="0055259B" w:rsidP="0055259B">
      <w:pPr>
        <w:spacing w:after="0" w:line="240" w:lineRule="auto"/>
        <w:rPr>
          <w:szCs w:val="24"/>
        </w:rPr>
      </w:pPr>
    </w:p>
    <w:p w14:paraId="1028F75C" w14:textId="77777777" w:rsidR="0055259B" w:rsidRPr="009165F3" w:rsidRDefault="0055259B" w:rsidP="0055259B">
      <w:pPr>
        <w:spacing w:after="0" w:line="240" w:lineRule="auto"/>
        <w:rPr>
          <w:szCs w:val="24"/>
          <w:lang w:eastAsia="es-CR"/>
        </w:rPr>
      </w:pPr>
      <w:r w:rsidRPr="009165F3">
        <w:rPr>
          <w:szCs w:val="24"/>
        </w:rPr>
        <w:t>Hasta la fecha todos los activos, pasivos, ingresos o gastos se han reconocido y medido según los requerimientos de las NICSP aplicables y con base en lo establecido en la NICSP 33.</w:t>
      </w:r>
      <w:r>
        <w:rPr>
          <w:szCs w:val="24"/>
        </w:rPr>
        <w:t xml:space="preserve"> </w:t>
      </w:r>
      <w:r w:rsidRPr="009165F3">
        <w:rPr>
          <w:szCs w:val="24"/>
        </w:rPr>
        <w:t xml:space="preserve">Durante este </w:t>
      </w:r>
      <w:r w:rsidRPr="009165F3">
        <w:rPr>
          <w:szCs w:val="24"/>
        </w:rPr>
        <w:lastRenderedPageBreak/>
        <w:t xml:space="preserve">año han sido presentados y revelados activos, pasivos, ingresos o gastos que no habían sido medidos en el periodo anterior. </w:t>
      </w:r>
    </w:p>
    <w:p w14:paraId="0EA64517" w14:textId="77777777" w:rsidR="0055259B" w:rsidRDefault="0055259B" w:rsidP="0055259B">
      <w:pPr>
        <w:spacing w:after="0" w:line="240" w:lineRule="auto"/>
        <w:rPr>
          <w:szCs w:val="24"/>
          <w:lang w:eastAsia="es-CR"/>
        </w:rPr>
      </w:pPr>
    </w:p>
    <w:p w14:paraId="1BB52D78" w14:textId="77777777" w:rsidR="0055259B" w:rsidRPr="009165F3" w:rsidRDefault="0055259B" w:rsidP="0055259B">
      <w:pPr>
        <w:spacing w:after="0" w:line="240" w:lineRule="auto"/>
        <w:rPr>
          <w:szCs w:val="24"/>
          <w:lang w:eastAsia="es-CR"/>
        </w:rPr>
      </w:pPr>
      <w:r w:rsidRPr="009165F3">
        <w:rPr>
          <w:szCs w:val="24"/>
          <w:lang w:eastAsia="es-CR"/>
        </w:rPr>
        <w:t xml:space="preserve">La Municipalidad de Buenos Aires inicio el proceso de implementación de las NICSP en el primer trimestre de 2021 encontrándose por tanto en el periodo de transición de la información hacia la aplicación de los requerimientos establecidos en el citado marco, el cual finaliza en su totalidad el </w:t>
      </w:r>
      <w:r>
        <w:rPr>
          <w:szCs w:val="24"/>
          <w:lang w:eastAsia="es-CR"/>
        </w:rPr>
        <w:t>31 de diciembre de 2024</w:t>
      </w:r>
      <w:r w:rsidRPr="009165F3">
        <w:rPr>
          <w:szCs w:val="24"/>
          <w:lang w:eastAsia="es-CR"/>
        </w:rPr>
        <w:t xml:space="preserve"> de acuerdo con lo establecido en la Ley 9635 “Ley de Fortalecimiento de las Finanzas Públicas y la Resolución Nº DNC-0002-2021. Por lo anterior, la Municipalidad </w:t>
      </w:r>
      <w:r w:rsidRPr="009165F3">
        <w:rPr>
          <w:szCs w:val="24"/>
        </w:rPr>
        <w:t xml:space="preserve">tiene </w:t>
      </w:r>
      <w:r>
        <w:rPr>
          <w:szCs w:val="24"/>
        </w:rPr>
        <w:t>previsto</w:t>
      </w:r>
      <w:r w:rsidRPr="009165F3">
        <w:rPr>
          <w:szCs w:val="24"/>
        </w:rPr>
        <w:t xml:space="preserve"> de cumplir en su totalidad con los requerimientos de las NICSP aplicables antes de la fecha establecida en dicha Ley y Decreto, para lo cual se estableció un Plan de Implementación que se constituye en la principal herramienta para el desarrollo del proceso de implementación</w:t>
      </w:r>
      <w:r w:rsidRPr="009165F3">
        <w:rPr>
          <w:szCs w:val="24"/>
          <w:lang w:eastAsia="es-CR"/>
        </w:rPr>
        <w:t xml:space="preserve">. </w:t>
      </w:r>
    </w:p>
    <w:p w14:paraId="109E0B38" w14:textId="77777777" w:rsidR="0055259B" w:rsidRDefault="0055259B" w:rsidP="0055259B">
      <w:pPr>
        <w:spacing w:after="0" w:line="240" w:lineRule="auto"/>
        <w:rPr>
          <w:lang w:eastAsia="es-CR"/>
        </w:rPr>
      </w:pPr>
    </w:p>
    <w:p w14:paraId="1A2126C8" w14:textId="381175C3" w:rsidR="0055259B" w:rsidRPr="007A2EED" w:rsidRDefault="0055259B" w:rsidP="0055259B">
      <w:pPr>
        <w:spacing w:line="240" w:lineRule="auto"/>
        <w:rPr>
          <w:szCs w:val="24"/>
          <w:lang w:eastAsia="es-CR"/>
        </w:rPr>
      </w:pPr>
      <w:r w:rsidRPr="007A2EED">
        <w:rPr>
          <w:szCs w:val="24"/>
          <w:lang w:eastAsia="es-CR"/>
        </w:rPr>
        <w:t xml:space="preserve">De acuerdo con lo consignado en la Matriz de NICSP y Plan de Acción al </w:t>
      </w:r>
      <w:r w:rsidR="00796636" w:rsidRPr="007A2EED">
        <w:rPr>
          <w:szCs w:val="24"/>
          <w:lang w:eastAsia="es-CR"/>
        </w:rPr>
        <w:t>31</w:t>
      </w:r>
      <w:r w:rsidRPr="007A2EED">
        <w:rPr>
          <w:szCs w:val="24"/>
          <w:lang w:eastAsia="es-CR"/>
        </w:rPr>
        <w:t xml:space="preserve"> de </w:t>
      </w:r>
      <w:r w:rsidR="00D64CF8" w:rsidRPr="007A2EED">
        <w:rPr>
          <w:szCs w:val="24"/>
          <w:lang w:eastAsia="es-CR"/>
        </w:rPr>
        <w:t>diciembre</w:t>
      </w:r>
      <w:r w:rsidRPr="007A2EED">
        <w:rPr>
          <w:szCs w:val="24"/>
          <w:lang w:eastAsia="es-CR"/>
        </w:rPr>
        <w:t xml:space="preserve"> de 2024, se encuentra pendiente de implementar lo siguiente:</w:t>
      </w:r>
    </w:p>
    <w:p w14:paraId="04D98C6B" w14:textId="77777777" w:rsidR="0055259B" w:rsidRPr="0055259B" w:rsidRDefault="0055259B" w:rsidP="0055259B">
      <w:pPr>
        <w:spacing w:after="0" w:line="240" w:lineRule="auto"/>
        <w:rPr>
          <w:highlight w:val="yellow"/>
          <w:lang w:eastAsia="es-CR"/>
        </w:rPr>
      </w:pPr>
    </w:p>
    <w:tbl>
      <w:tblPr>
        <w:tblW w:w="8861" w:type="dxa"/>
        <w:tblLook w:val="04A0" w:firstRow="1" w:lastRow="0" w:firstColumn="1" w:lastColumn="0" w:noHBand="0" w:noVBand="1"/>
      </w:tblPr>
      <w:tblGrid>
        <w:gridCol w:w="7361"/>
        <w:gridCol w:w="1500"/>
      </w:tblGrid>
      <w:tr w:rsidR="0055259B" w:rsidRPr="0055259B" w14:paraId="3C999FBD" w14:textId="77777777" w:rsidTr="0061790F">
        <w:trPr>
          <w:trHeight w:val="530"/>
        </w:trPr>
        <w:tc>
          <w:tcPr>
            <w:tcW w:w="7361"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28EC9C78" w14:textId="77777777" w:rsidR="0055259B" w:rsidRPr="007077A8" w:rsidRDefault="0055259B" w:rsidP="0061790F">
            <w:pPr>
              <w:spacing w:after="0" w:line="240" w:lineRule="auto"/>
              <w:jc w:val="center"/>
              <w:rPr>
                <w:rFonts w:eastAsia="Times New Roman" w:cs="Calibri"/>
                <w:b/>
                <w:bCs/>
                <w:sz w:val="20"/>
                <w:szCs w:val="20"/>
                <w:lang w:val="en-US"/>
              </w:rPr>
            </w:pPr>
            <w:proofErr w:type="spellStart"/>
            <w:r w:rsidRPr="007077A8">
              <w:rPr>
                <w:rFonts w:eastAsia="Times New Roman" w:cs="Calibri"/>
                <w:b/>
                <w:bCs/>
                <w:sz w:val="20"/>
                <w:szCs w:val="20"/>
                <w:lang w:val="en-US"/>
              </w:rPr>
              <w:t>Actividades</w:t>
            </w:r>
            <w:proofErr w:type="spellEnd"/>
            <w:r w:rsidRPr="007077A8">
              <w:rPr>
                <w:rFonts w:eastAsia="Times New Roman" w:cs="Calibri"/>
                <w:b/>
                <w:bCs/>
                <w:sz w:val="20"/>
                <w:szCs w:val="20"/>
                <w:lang w:val="en-US"/>
              </w:rPr>
              <w:t xml:space="preserve"> </w:t>
            </w:r>
            <w:proofErr w:type="spellStart"/>
            <w:r w:rsidRPr="007077A8">
              <w:rPr>
                <w:rFonts w:eastAsia="Times New Roman" w:cs="Calibri"/>
                <w:b/>
                <w:bCs/>
                <w:sz w:val="20"/>
                <w:szCs w:val="20"/>
                <w:lang w:val="en-US"/>
              </w:rPr>
              <w:t>Pendientes</w:t>
            </w:r>
            <w:proofErr w:type="spellEnd"/>
            <w:r w:rsidRPr="007077A8">
              <w:rPr>
                <w:rFonts w:eastAsia="Times New Roman" w:cs="Calibri"/>
                <w:b/>
                <w:bCs/>
                <w:sz w:val="20"/>
                <w:szCs w:val="20"/>
                <w:lang w:val="en-US"/>
              </w:rPr>
              <w:t xml:space="preserve"> de </w:t>
            </w:r>
            <w:proofErr w:type="spellStart"/>
            <w:r w:rsidRPr="007077A8">
              <w:rPr>
                <w:rFonts w:eastAsia="Times New Roman" w:cs="Calibri"/>
                <w:b/>
                <w:bCs/>
                <w:sz w:val="20"/>
                <w:szCs w:val="20"/>
                <w:lang w:val="en-US"/>
              </w:rPr>
              <w:t>Cumplimiento</w:t>
            </w:r>
            <w:proofErr w:type="spellEnd"/>
          </w:p>
        </w:tc>
        <w:tc>
          <w:tcPr>
            <w:tcW w:w="1500" w:type="dxa"/>
            <w:tcBorders>
              <w:top w:val="single" w:sz="8" w:space="0" w:color="auto"/>
              <w:left w:val="nil"/>
              <w:bottom w:val="single" w:sz="4" w:space="0" w:color="auto"/>
              <w:right w:val="single" w:sz="8" w:space="0" w:color="auto"/>
            </w:tcBorders>
            <w:shd w:val="clear" w:color="000000" w:fill="FFFFFF"/>
            <w:vAlign w:val="bottom"/>
            <w:hideMark/>
          </w:tcPr>
          <w:p w14:paraId="183B78E5" w14:textId="77777777" w:rsidR="0055259B" w:rsidRPr="007077A8" w:rsidRDefault="0055259B" w:rsidP="0061790F">
            <w:pPr>
              <w:spacing w:after="0" w:line="240" w:lineRule="auto"/>
              <w:jc w:val="center"/>
              <w:rPr>
                <w:rFonts w:eastAsia="Times New Roman" w:cs="Calibri"/>
                <w:b/>
                <w:bCs/>
                <w:color w:val="000000"/>
                <w:sz w:val="20"/>
                <w:szCs w:val="20"/>
                <w:lang w:val="en-US"/>
              </w:rPr>
            </w:pPr>
            <w:proofErr w:type="spellStart"/>
            <w:r w:rsidRPr="007077A8">
              <w:rPr>
                <w:rFonts w:eastAsia="Times New Roman" w:cs="Calibri"/>
                <w:b/>
                <w:bCs/>
                <w:color w:val="000000"/>
                <w:sz w:val="20"/>
                <w:szCs w:val="20"/>
                <w:lang w:val="en-US"/>
              </w:rPr>
              <w:t>Fecha</w:t>
            </w:r>
            <w:proofErr w:type="spellEnd"/>
            <w:r w:rsidRPr="007077A8">
              <w:rPr>
                <w:rFonts w:eastAsia="Times New Roman" w:cs="Calibri"/>
                <w:b/>
                <w:bCs/>
                <w:color w:val="000000"/>
                <w:sz w:val="20"/>
                <w:szCs w:val="20"/>
                <w:lang w:val="en-US"/>
              </w:rPr>
              <w:t xml:space="preserve"> </w:t>
            </w:r>
            <w:proofErr w:type="spellStart"/>
            <w:r w:rsidRPr="007077A8">
              <w:rPr>
                <w:rFonts w:eastAsia="Times New Roman" w:cs="Calibri"/>
                <w:b/>
                <w:bCs/>
                <w:color w:val="000000"/>
                <w:sz w:val="20"/>
                <w:szCs w:val="20"/>
                <w:lang w:val="en-US"/>
              </w:rPr>
              <w:t>Estimada</w:t>
            </w:r>
            <w:proofErr w:type="spellEnd"/>
            <w:r w:rsidRPr="007077A8">
              <w:rPr>
                <w:rFonts w:eastAsia="Times New Roman" w:cs="Calibri"/>
                <w:b/>
                <w:bCs/>
                <w:color w:val="000000"/>
                <w:sz w:val="20"/>
                <w:szCs w:val="20"/>
                <w:lang w:val="en-US"/>
              </w:rPr>
              <w:t xml:space="preserve"> </w:t>
            </w:r>
            <w:proofErr w:type="spellStart"/>
            <w:r w:rsidRPr="007077A8">
              <w:rPr>
                <w:rFonts w:eastAsia="Times New Roman" w:cs="Calibri"/>
                <w:b/>
                <w:bCs/>
                <w:color w:val="000000"/>
                <w:sz w:val="20"/>
                <w:szCs w:val="20"/>
                <w:lang w:val="en-US"/>
              </w:rPr>
              <w:t>Cumplimiento</w:t>
            </w:r>
            <w:proofErr w:type="spellEnd"/>
          </w:p>
        </w:tc>
      </w:tr>
      <w:tr w:rsidR="0055259B" w:rsidRPr="0055259B" w14:paraId="33BCBB68" w14:textId="77777777" w:rsidTr="0061790F">
        <w:trPr>
          <w:trHeight w:val="500"/>
        </w:trPr>
        <w:tc>
          <w:tcPr>
            <w:tcW w:w="7361" w:type="dxa"/>
            <w:tcBorders>
              <w:top w:val="nil"/>
              <w:left w:val="single" w:sz="8" w:space="0" w:color="auto"/>
              <w:bottom w:val="single" w:sz="4" w:space="0" w:color="auto"/>
              <w:right w:val="single" w:sz="4" w:space="0" w:color="auto"/>
            </w:tcBorders>
            <w:shd w:val="clear" w:color="000000" w:fill="FFFFFF"/>
            <w:hideMark/>
          </w:tcPr>
          <w:p w14:paraId="6C91F87D" w14:textId="77777777" w:rsidR="0055259B" w:rsidRPr="007077A8" w:rsidRDefault="0055259B" w:rsidP="0061790F">
            <w:pPr>
              <w:spacing w:after="0" w:line="240" w:lineRule="auto"/>
              <w:rPr>
                <w:rFonts w:ascii="Arial" w:eastAsia="Times New Roman" w:hAnsi="Arial" w:cs="Arial"/>
                <w:color w:val="000000"/>
                <w:sz w:val="20"/>
                <w:szCs w:val="20"/>
              </w:rPr>
            </w:pPr>
            <w:r w:rsidRPr="007077A8">
              <w:rPr>
                <w:rFonts w:ascii="Arial" w:eastAsia="Times New Roman" w:hAnsi="Arial" w:cs="Arial"/>
                <w:color w:val="000000"/>
                <w:sz w:val="20"/>
                <w:szCs w:val="20"/>
              </w:rPr>
              <w:t>Completar la información que se debe revelar en relación con los diferentes elementos de los estados financieros.</w:t>
            </w:r>
          </w:p>
        </w:tc>
        <w:tc>
          <w:tcPr>
            <w:tcW w:w="1500" w:type="dxa"/>
            <w:tcBorders>
              <w:top w:val="nil"/>
              <w:left w:val="nil"/>
              <w:bottom w:val="single" w:sz="4" w:space="0" w:color="auto"/>
              <w:right w:val="single" w:sz="8" w:space="0" w:color="auto"/>
            </w:tcBorders>
            <w:shd w:val="clear" w:color="000000" w:fill="FFFFFF"/>
            <w:noWrap/>
            <w:vAlign w:val="center"/>
            <w:hideMark/>
          </w:tcPr>
          <w:p w14:paraId="36F6C3A7" w14:textId="59539539" w:rsidR="0055259B" w:rsidRPr="007077A8" w:rsidRDefault="00796636" w:rsidP="0061790F">
            <w:pPr>
              <w:spacing w:after="0" w:line="240" w:lineRule="auto"/>
              <w:jc w:val="center"/>
              <w:rPr>
                <w:rFonts w:eastAsia="Times New Roman" w:cs="Calibri"/>
                <w:color w:val="000000"/>
                <w:sz w:val="20"/>
                <w:szCs w:val="20"/>
                <w:lang w:val="en-US"/>
              </w:rPr>
            </w:pPr>
            <w:r w:rsidRPr="007077A8">
              <w:rPr>
                <w:rFonts w:eastAsia="Times New Roman" w:cs="Calibri"/>
                <w:color w:val="000000"/>
                <w:sz w:val="20"/>
                <w:szCs w:val="20"/>
                <w:lang w:val="en-US"/>
              </w:rPr>
              <w:t>3</w:t>
            </w:r>
            <w:r w:rsidR="007A2EED" w:rsidRPr="007077A8">
              <w:rPr>
                <w:rFonts w:eastAsia="Times New Roman" w:cs="Calibri"/>
                <w:color w:val="000000"/>
                <w:sz w:val="20"/>
                <w:szCs w:val="20"/>
                <w:lang w:val="en-US"/>
              </w:rPr>
              <w:t>0</w:t>
            </w:r>
            <w:r w:rsidR="007D492D" w:rsidRPr="007077A8">
              <w:rPr>
                <w:rFonts w:eastAsia="Times New Roman" w:cs="Calibri"/>
                <w:color w:val="000000"/>
                <w:sz w:val="20"/>
                <w:szCs w:val="20"/>
                <w:lang w:val="en-US"/>
              </w:rPr>
              <w:t>/06/25</w:t>
            </w:r>
          </w:p>
        </w:tc>
      </w:tr>
      <w:tr w:rsidR="0055259B" w:rsidRPr="00C1398A" w14:paraId="4BE0ABAF" w14:textId="77777777" w:rsidTr="0061790F">
        <w:trPr>
          <w:trHeight w:val="510"/>
        </w:trPr>
        <w:tc>
          <w:tcPr>
            <w:tcW w:w="7361" w:type="dxa"/>
            <w:tcBorders>
              <w:top w:val="nil"/>
              <w:left w:val="single" w:sz="8" w:space="0" w:color="auto"/>
              <w:bottom w:val="single" w:sz="8" w:space="0" w:color="auto"/>
              <w:right w:val="single" w:sz="4" w:space="0" w:color="auto"/>
            </w:tcBorders>
            <w:shd w:val="clear" w:color="000000" w:fill="FFFFFF"/>
            <w:hideMark/>
          </w:tcPr>
          <w:p w14:paraId="6A6E412C" w14:textId="77777777" w:rsidR="0055259B" w:rsidRPr="007077A8" w:rsidRDefault="0055259B" w:rsidP="0061790F">
            <w:pPr>
              <w:spacing w:after="0" w:line="240" w:lineRule="auto"/>
              <w:rPr>
                <w:rFonts w:ascii="Arial" w:eastAsia="Times New Roman" w:hAnsi="Arial" w:cs="Arial"/>
                <w:color w:val="000000"/>
                <w:sz w:val="20"/>
                <w:szCs w:val="20"/>
              </w:rPr>
            </w:pPr>
            <w:r w:rsidRPr="007077A8">
              <w:rPr>
                <w:rFonts w:ascii="Arial" w:eastAsia="Times New Roman" w:hAnsi="Arial" w:cs="Arial"/>
                <w:color w:val="000000"/>
                <w:sz w:val="20"/>
                <w:szCs w:val="20"/>
              </w:rPr>
              <w:t>Realizar las revelaciones correspondientes sobre los diferentes elementos de los estados financieros.</w:t>
            </w:r>
          </w:p>
        </w:tc>
        <w:tc>
          <w:tcPr>
            <w:tcW w:w="1500" w:type="dxa"/>
            <w:tcBorders>
              <w:top w:val="nil"/>
              <w:left w:val="nil"/>
              <w:bottom w:val="single" w:sz="8" w:space="0" w:color="auto"/>
              <w:right w:val="single" w:sz="8" w:space="0" w:color="auto"/>
            </w:tcBorders>
            <w:shd w:val="clear" w:color="000000" w:fill="FFFFFF"/>
            <w:noWrap/>
            <w:vAlign w:val="center"/>
            <w:hideMark/>
          </w:tcPr>
          <w:p w14:paraId="22C71E43" w14:textId="2DA17690" w:rsidR="0055259B" w:rsidRPr="007077A8" w:rsidRDefault="007A2EED" w:rsidP="0061790F">
            <w:pPr>
              <w:spacing w:after="0" w:line="240" w:lineRule="auto"/>
              <w:jc w:val="center"/>
              <w:rPr>
                <w:rFonts w:eastAsia="Times New Roman" w:cs="Calibri"/>
                <w:color w:val="000000"/>
                <w:sz w:val="20"/>
                <w:szCs w:val="20"/>
                <w:lang w:val="en-US"/>
              </w:rPr>
            </w:pPr>
            <w:r w:rsidRPr="007077A8">
              <w:rPr>
                <w:rFonts w:eastAsia="Times New Roman" w:cs="Calibri"/>
                <w:color w:val="000000"/>
                <w:sz w:val="20"/>
                <w:szCs w:val="20"/>
                <w:lang w:val="en-US"/>
              </w:rPr>
              <w:t>30/06/25</w:t>
            </w:r>
          </w:p>
        </w:tc>
      </w:tr>
    </w:tbl>
    <w:p w14:paraId="6EC0BD43" w14:textId="45E08503" w:rsidR="00484AB4" w:rsidRDefault="007077A8" w:rsidP="00982595">
      <w:pPr>
        <w:pStyle w:val="Ttulo2"/>
        <w:spacing w:after="240"/>
        <w:rPr>
          <w:rFonts w:eastAsia="Times New Roman"/>
          <w:lang w:eastAsia="es-CR"/>
        </w:rPr>
      </w:pPr>
      <w:bookmarkStart w:id="121" w:name="_Toc189804817"/>
      <w:r w:rsidRPr="00EE66B3">
        <w:rPr>
          <w:color w:val="auto"/>
          <w:lang w:eastAsia="es-CR"/>
        </w:rPr>
        <w:t xml:space="preserve">Se hizo extensión a la fecha prevista esto debido a las cargas de trabajo en la institución, por tanto, no se pudo completar las actividades requeridas a la Norma </w:t>
      </w:r>
      <w:r>
        <w:rPr>
          <w:color w:val="auto"/>
          <w:lang w:val="es-MX"/>
        </w:rPr>
        <w:t>NICSP 33</w:t>
      </w:r>
      <w:bookmarkEnd w:id="121"/>
    </w:p>
    <w:p w14:paraId="09C3C942" w14:textId="33E83833" w:rsidR="00982595" w:rsidRPr="00982595" w:rsidRDefault="00A649A4" w:rsidP="00982595">
      <w:pPr>
        <w:pStyle w:val="Ttulo2"/>
        <w:spacing w:after="240"/>
        <w:rPr>
          <w:rFonts w:eastAsia="Times New Roman"/>
          <w:lang w:eastAsia="es-CR"/>
        </w:rPr>
      </w:pPr>
      <w:bookmarkStart w:id="122" w:name="_Toc189804818"/>
      <w:r w:rsidRPr="00A649A4">
        <w:rPr>
          <w:rFonts w:eastAsia="Times New Roman"/>
          <w:lang w:eastAsia="es-CR"/>
        </w:rPr>
        <w:t xml:space="preserve">NICSP 34 </w:t>
      </w:r>
      <w:r>
        <w:rPr>
          <w:rFonts w:eastAsia="Times New Roman"/>
          <w:lang w:eastAsia="es-CR"/>
        </w:rPr>
        <w:t xml:space="preserve">- </w:t>
      </w:r>
      <w:r w:rsidRPr="00A649A4">
        <w:rPr>
          <w:rFonts w:eastAsia="Times New Roman"/>
          <w:lang w:eastAsia="es-CR"/>
        </w:rPr>
        <w:t>ESTADOS FINANCIEROS SEPARADOS:</w:t>
      </w:r>
      <w:bookmarkEnd w:id="120"/>
      <w:bookmarkEnd w:id="122"/>
      <w:r w:rsidRPr="00A649A4">
        <w:rPr>
          <w:rFonts w:eastAsia="Times New Roman"/>
          <w:lang w:eastAsia="es-CR"/>
        </w:rPr>
        <w:t xml:space="preserve"> </w:t>
      </w:r>
    </w:p>
    <w:p w14:paraId="10E7FB19" w14:textId="77777777" w:rsidR="00396CB4" w:rsidRDefault="00A649A4" w:rsidP="00A649A4">
      <w:pPr>
        <w:rPr>
          <w:rFonts w:asciiTheme="minorHAnsi" w:hAnsiTheme="minorHAnsi"/>
          <w:sz w:val="22"/>
        </w:rPr>
      </w:pPr>
      <w:r w:rsidRPr="00405DBC">
        <w:t xml:space="preserve">De acuerdo con la </w:t>
      </w:r>
      <w:r w:rsidRPr="00A649A4">
        <w:rPr>
          <w:rFonts w:eastAsia="Times New Roman"/>
          <w:lang w:val="es-MX" w:eastAsia="es-CR"/>
        </w:rPr>
        <w:t>NICSP 34 Estados financieros separados</w:t>
      </w:r>
      <w:r>
        <w:t>, i</w:t>
      </w:r>
      <w:r w:rsidRPr="00405DBC">
        <w:t>ndicar si este rubro afecta SI o NO a la institución, además del porcentaje de avance</w:t>
      </w:r>
      <w:r>
        <w:t xml:space="preserve"> en la implementación</w:t>
      </w:r>
      <w:r w:rsidRPr="00405DBC">
        <w:t xml:space="preserve"> que presenta</w:t>
      </w:r>
      <w:r>
        <w:rPr>
          <w:b/>
        </w:rPr>
        <w:t>.</w:t>
      </w:r>
      <w:r w:rsidR="001D0A81" w:rsidRPr="00136480">
        <w:rPr>
          <w:lang w:val="es-MX" w:eastAsia="es-CR"/>
        </w:rPr>
        <w:t xml:space="preserve"> </w:t>
      </w:r>
      <w:r w:rsidR="00982595">
        <w:rPr>
          <w:lang w:val="es-MX" w:eastAsia="es-CR"/>
        </w:rPr>
        <w:fldChar w:fldCharType="begin"/>
      </w:r>
      <w:r w:rsidR="00982595">
        <w:rPr>
          <w:lang w:val="es-MX" w:eastAsia="es-CR"/>
        </w:rPr>
        <w:instrText xml:space="preserve"> LINK </w:instrText>
      </w:r>
      <w:r w:rsidR="00756467">
        <w:rPr>
          <w:lang w:val="es-MX" w:eastAsia="es-CR"/>
        </w:rPr>
        <w:instrText xml:space="preserve">Excel.SheetMacroEnabled.12 "C:\\Users\\gcordero\\Downloads\\Notas diciembre 2024\\Formato_Notas_EEFF_Vinculadas_2024\\Formato_Notas_EEFF_Vinculadas_2024\\15603_T04_2024_Anexo_Estado_Notas_Contables_Vinculadas.xlsm" NICSP_34!F9C3:F10C4 </w:instrText>
      </w:r>
      <w:r w:rsidR="00982595">
        <w:rPr>
          <w:lang w:val="es-MX" w:eastAsia="es-CR"/>
        </w:rPr>
        <w:instrText xml:space="preserve">\a \f 4 \h </w:instrText>
      </w:r>
      <w:r w:rsidR="00982595">
        <w:rPr>
          <w:lang w:val="es-MX" w:eastAsia="es-CR"/>
        </w:rPr>
        <w:fldChar w:fldCharType="separate"/>
      </w:r>
    </w:p>
    <w:tbl>
      <w:tblPr>
        <w:tblW w:w="4120" w:type="dxa"/>
        <w:tblCellMar>
          <w:left w:w="70" w:type="dxa"/>
          <w:right w:w="70" w:type="dxa"/>
        </w:tblCellMar>
        <w:tblLook w:val="04A0" w:firstRow="1" w:lastRow="0" w:firstColumn="1" w:lastColumn="0" w:noHBand="0" w:noVBand="1"/>
      </w:tblPr>
      <w:tblGrid>
        <w:gridCol w:w="2340"/>
        <w:gridCol w:w="1780"/>
      </w:tblGrid>
      <w:tr w:rsidR="00396CB4" w:rsidRPr="00396CB4" w14:paraId="636D4AD5" w14:textId="77777777" w:rsidTr="00396CB4">
        <w:trPr>
          <w:divId w:val="992950264"/>
          <w:trHeight w:val="345"/>
        </w:trPr>
        <w:tc>
          <w:tcPr>
            <w:tcW w:w="234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4605F85F" w14:textId="4927A4BE" w:rsidR="00396CB4" w:rsidRPr="00396CB4" w:rsidRDefault="00396CB4" w:rsidP="00396CB4">
            <w:pPr>
              <w:rPr>
                <w:rFonts w:eastAsia="Times New Roman" w:cs="Calibri"/>
                <w:color w:val="FFFFFF"/>
                <w:szCs w:val="24"/>
                <w:lang w:eastAsia="es-CR"/>
              </w:rPr>
            </w:pPr>
            <w:r w:rsidRPr="00396CB4">
              <w:rPr>
                <w:rFonts w:eastAsia="Times New Roman" w:cs="Calibri"/>
                <w:color w:val="FFFFFF"/>
                <w:szCs w:val="24"/>
                <w:lang w:eastAsia="es-CR"/>
              </w:rPr>
              <w:t>Aplica</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162A9A" w14:textId="77777777" w:rsidR="00396CB4" w:rsidRPr="00396CB4" w:rsidRDefault="00396CB4" w:rsidP="00396CB4">
            <w:pPr>
              <w:spacing w:after="0" w:line="240" w:lineRule="auto"/>
              <w:jc w:val="center"/>
              <w:rPr>
                <w:rFonts w:eastAsia="Times New Roman" w:cs="Calibri"/>
                <w:color w:val="000000"/>
                <w:sz w:val="22"/>
                <w:lang w:eastAsia="es-CR"/>
              </w:rPr>
            </w:pPr>
            <w:r w:rsidRPr="00396CB4">
              <w:rPr>
                <w:rFonts w:eastAsia="Times New Roman" w:cs="Calibri"/>
                <w:color w:val="000000"/>
                <w:sz w:val="22"/>
                <w:lang w:eastAsia="es-CR"/>
              </w:rPr>
              <w:t>No</w:t>
            </w:r>
          </w:p>
        </w:tc>
      </w:tr>
      <w:tr w:rsidR="00396CB4" w:rsidRPr="00396CB4" w14:paraId="09EC4BE1" w14:textId="77777777" w:rsidTr="00396CB4">
        <w:trPr>
          <w:divId w:val="992950264"/>
          <w:trHeight w:val="345"/>
        </w:trPr>
        <w:tc>
          <w:tcPr>
            <w:tcW w:w="2340" w:type="dxa"/>
            <w:tcBorders>
              <w:top w:val="nil"/>
              <w:left w:val="single" w:sz="8" w:space="0" w:color="auto"/>
              <w:bottom w:val="single" w:sz="8" w:space="0" w:color="auto"/>
              <w:right w:val="single" w:sz="8" w:space="0" w:color="auto"/>
            </w:tcBorders>
            <w:shd w:val="clear" w:color="000000" w:fill="17365D"/>
            <w:vAlign w:val="center"/>
            <w:hideMark/>
          </w:tcPr>
          <w:p w14:paraId="72DCB501" w14:textId="77777777" w:rsidR="00396CB4" w:rsidRPr="00396CB4" w:rsidRDefault="00396CB4" w:rsidP="00396CB4">
            <w:pPr>
              <w:spacing w:after="0" w:line="240" w:lineRule="auto"/>
              <w:jc w:val="left"/>
              <w:rPr>
                <w:rFonts w:eastAsia="Times New Roman" w:cs="Calibri"/>
                <w:color w:val="FFFFFF"/>
                <w:szCs w:val="24"/>
                <w:lang w:eastAsia="es-CR"/>
              </w:rPr>
            </w:pPr>
            <w:proofErr w:type="spellStart"/>
            <w:r w:rsidRPr="00396CB4">
              <w:rPr>
                <w:rFonts w:eastAsia="Times New Roman" w:cs="Calibri"/>
                <w:color w:val="FFFFFF"/>
                <w:szCs w:val="24"/>
                <w:lang w:eastAsia="es-CR"/>
              </w:rPr>
              <w:t>Porcentaje_Avance</w:t>
            </w:r>
            <w:proofErr w:type="spellEnd"/>
          </w:p>
        </w:tc>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1818C939" w14:textId="77777777" w:rsidR="00396CB4" w:rsidRPr="00396CB4" w:rsidRDefault="00396CB4" w:rsidP="00396CB4">
            <w:pPr>
              <w:spacing w:after="0" w:line="240" w:lineRule="auto"/>
              <w:jc w:val="center"/>
              <w:rPr>
                <w:rFonts w:eastAsia="Times New Roman" w:cs="Calibri"/>
                <w:color w:val="000000"/>
                <w:sz w:val="22"/>
                <w:lang w:eastAsia="es-CR"/>
              </w:rPr>
            </w:pPr>
            <w:r w:rsidRPr="00396CB4">
              <w:rPr>
                <w:rFonts w:eastAsia="Times New Roman" w:cs="Calibri"/>
                <w:color w:val="000000"/>
                <w:sz w:val="22"/>
                <w:lang w:eastAsia="es-CR"/>
              </w:rPr>
              <w:t> </w:t>
            </w:r>
          </w:p>
        </w:tc>
      </w:tr>
    </w:tbl>
    <w:p w14:paraId="7348BBB0" w14:textId="14EBA9DB" w:rsidR="00CD01C6" w:rsidRPr="00136480" w:rsidRDefault="00982595" w:rsidP="00A649A4">
      <w:pPr>
        <w:rPr>
          <w:lang w:val="es-MX" w:eastAsia="es-CR"/>
        </w:rPr>
      </w:pPr>
      <w:r>
        <w:rPr>
          <w:lang w:val="es-MX" w:eastAsia="es-CR"/>
        </w:rPr>
        <w:fldChar w:fldCharType="end"/>
      </w:r>
    </w:p>
    <w:p w14:paraId="16B94444" w14:textId="77777777" w:rsidR="00484AB4" w:rsidRDefault="00484AB4" w:rsidP="00A649A4">
      <w:pPr>
        <w:jc w:val="center"/>
        <w:rPr>
          <w:szCs w:val="24"/>
        </w:rPr>
      </w:pPr>
    </w:p>
    <w:p w14:paraId="0259AB6A" w14:textId="3F5ABAB3" w:rsidR="00A649A4" w:rsidRPr="00A649A4" w:rsidRDefault="00A649A4" w:rsidP="00A649A4">
      <w:pPr>
        <w:jc w:val="center"/>
        <w:rPr>
          <w:szCs w:val="24"/>
        </w:rPr>
      </w:pPr>
      <w:r w:rsidRPr="00A649A4">
        <w:rPr>
          <w:noProof/>
          <w:lang w:eastAsia="es-CR"/>
        </w:rPr>
        <w:drawing>
          <wp:inline distT="0" distB="0" distL="0" distR="0" wp14:anchorId="70F62CD7" wp14:editId="2F232878">
            <wp:extent cx="4602480" cy="1325880"/>
            <wp:effectExtent l="0" t="0" r="0" b="0"/>
            <wp:docPr id="5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02480" cy="1325880"/>
                    </a:xfrm>
                    <a:prstGeom prst="rect">
                      <a:avLst/>
                    </a:prstGeom>
                    <a:noFill/>
                    <a:ln>
                      <a:noFill/>
                    </a:ln>
                  </pic:spPr>
                </pic:pic>
              </a:graphicData>
            </a:graphic>
          </wp:inline>
        </w:drawing>
      </w:r>
    </w:p>
    <w:p w14:paraId="4511BD60" w14:textId="77777777" w:rsidR="00A649A4" w:rsidRPr="00A649A4" w:rsidRDefault="00A649A4" w:rsidP="00A649A4">
      <w:r w:rsidRPr="00A649A4">
        <w:lastRenderedPageBreak/>
        <w:t>Preparación de estados financieros separados</w:t>
      </w:r>
    </w:p>
    <w:p w14:paraId="549AEABC" w14:textId="77777777" w:rsidR="00A649A4" w:rsidRPr="00A649A4" w:rsidRDefault="00A649A4" w:rsidP="00A649A4">
      <w:r w:rsidRPr="00A649A4">
        <w:t>Los estados financieros separados se elaborarán de acuerdo con todas las NICSP aplicables, excepto por lo previsto en el párrafo 12, en el cual se indica lo siguiente:</w:t>
      </w:r>
    </w:p>
    <w:p w14:paraId="562C1D7D" w14:textId="77777777" w:rsidR="00A649A4" w:rsidRPr="00A649A4" w:rsidRDefault="00A649A4" w:rsidP="00A649A4">
      <w:r w:rsidRPr="00A649A4">
        <w:t>Cuando una entidad elabore estados financieros separados, contabilizará las inversiones similares en entidades controladas, negocios conjuntos y asociadas:</w:t>
      </w:r>
    </w:p>
    <w:p w14:paraId="75743387" w14:textId="77777777" w:rsidR="00A649A4" w:rsidRPr="00A649A4" w:rsidRDefault="00A649A4" w:rsidP="00A649A4">
      <w:r w:rsidRPr="00A649A4">
        <w:t>(a) al costo;</w:t>
      </w:r>
    </w:p>
    <w:p w14:paraId="05E9AA32" w14:textId="77777777" w:rsidR="00A649A4" w:rsidRPr="00A649A4" w:rsidRDefault="00A649A4" w:rsidP="00A649A4">
      <w:r w:rsidRPr="00A649A4">
        <w:t>(b) de acuerdo con la NICSP 29; o</w:t>
      </w:r>
    </w:p>
    <w:p w14:paraId="70828C2D" w14:textId="266ACD22" w:rsidR="00A649A4" w:rsidRDefault="00A649A4" w:rsidP="00A649A4">
      <w:r w:rsidRPr="00A649A4">
        <w:t>(c) utilizando el método de la participación como se describe en la NICSP 36.</w:t>
      </w:r>
    </w:p>
    <w:p w14:paraId="79571B65" w14:textId="77777777" w:rsidR="009131F0" w:rsidRPr="003516A2" w:rsidRDefault="009131F0" w:rsidP="009131F0">
      <w:pPr>
        <w:spacing w:before="240"/>
        <w:rPr>
          <w:b/>
          <w:color w:val="FFFFFF" w:themeColor="background1"/>
          <w:highlight w:val="darkBlue"/>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r>
        <w:rPr>
          <w:lang w:val="es-MX"/>
        </w:rPr>
        <w:t>________________________________________________________________________________________________________________________________________________________________</w:t>
      </w:r>
    </w:p>
    <w:p w14:paraId="1DC2D799" w14:textId="77777777" w:rsidR="009131F0" w:rsidRDefault="009131F0" w:rsidP="009131F0">
      <w:pPr>
        <w:spacing w:line="240" w:lineRule="auto"/>
        <w:rPr>
          <w:b/>
          <w:u w:val="single"/>
        </w:rPr>
      </w:pPr>
    </w:p>
    <w:p w14:paraId="56D5BD41" w14:textId="77777777" w:rsidR="009131F0" w:rsidRPr="003516A2" w:rsidRDefault="009131F0" w:rsidP="009131F0">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60CA5B0D" w14:textId="77777777" w:rsidR="009131F0" w:rsidRPr="0008638E" w:rsidRDefault="009131F0" w:rsidP="009131F0">
      <w:pPr>
        <w:rPr>
          <w:lang w:val="es-MX"/>
        </w:rPr>
      </w:pPr>
      <w:r>
        <w:rPr>
          <w:lang w:val="es-MX"/>
        </w:rPr>
        <w:t>________________________________________________________________________________________________________________________________________________________________</w:t>
      </w:r>
    </w:p>
    <w:p w14:paraId="5586D5CD" w14:textId="58D7E8A9" w:rsidR="00A649A4" w:rsidRPr="00A649A4" w:rsidRDefault="00A649A4" w:rsidP="00A649A4">
      <w:pPr>
        <w:rPr>
          <w:rFonts w:eastAsia="Times New Roman"/>
          <w:b/>
          <w:u w:val="single"/>
          <w:lang w:val="es-ES_tradnl" w:eastAsia="es-CR"/>
        </w:rPr>
      </w:pPr>
      <w:r w:rsidRPr="009131F0">
        <w:rPr>
          <w:b/>
          <w:color w:val="FFFFFF" w:themeColor="background1"/>
          <w:highlight w:val="darkBlue"/>
          <w:u w:val="single"/>
        </w:rPr>
        <w:t>Revelación Suficiente:</w:t>
      </w:r>
      <w:r w:rsidRPr="00A649A4">
        <w:rPr>
          <w:rFonts w:eastAsia="Times New Roman"/>
          <w:b/>
          <w:u w:val="single"/>
          <w:lang w:val="es-ES_tradnl" w:eastAsia="es-CR"/>
        </w:rPr>
        <w:t xml:space="preserve"> </w:t>
      </w:r>
      <w:r w:rsidR="00482942">
        <w:rPr>
          <w:b/>
          <w:u w:val="single"/>
        </w:rPr>
        <w:t xml:space="preserve">El ente debe revelar y cumplir </w:t>
      </w:r>
      <w:r w:rsidRPr="00A649A4">
        <w:rPr>
          <w:b/>
          <w:u w:val="single"/>
        </w:rPr>
        <w:t xml:space="preserve">con lo estipulado en revelación </w:t>
      </w:r>
      <w:r w:rsidR="00482942">
        <w:rPr>
          <w:b/>
          <w:u w:val="single"/>
        </w:rPr>
        <w:t>conforme</w:t>
      </w:r>
      <w:r w:rsidRPr="00A649A4">
        <w:rPr>
          <w:b/>
          <w:u w:val="single"/>
        </w:rPr>
        <w:t xml:space="preserve"> a la NICSP, también debe considerar la política general y los párrafos incluidos en la matriz de autoevaluación referente a esta NICSP guías de aplicación</w:t>
      </w:r>
      <w:r w:rsidRPr="00A649A4">
        <w:rPr>
          <w:rFonts w:eastAsia="Times New Roman"/>
          <w:b/>
          <w:u w:val="single"/>
          <w:lang w:val="es-ES_tradnl" w:eastAsia="es-CR"/>
        </w:rPr>
        <w:t xml:space="preserve"> (Ver GA de la NICSP 34):</w:t>
      </w:r>
    </w:p>
    <w:p w14:paraId="07A38FE9" w14:textId="77777777" w:rsidR="00A649A4" w:rsidRPr="00A649A4" w:rsidRDefault="00A649A4" w:rsidP="00A649A4">
      <w:pPr>
        <w:rPr>
          <w:lang w:val="es-MX"/>
        </w:rPr>
      </w:pPr>
      <w:r w:rsidRPr="00A649A4">
        <w:rPr>
          <w:lang w:val="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BEAA7F9" w14:textId="6F68DA90" w:rsidR="00A649A4" w:rsidRDefault="00A649A4" w:rsidP="00A649A4">
      <w:pPr>
        <w:rPr>
          <w:lang w:eastAsia="es-CR"/>
        </w:rPr>
      </w:pPr>
      <w:bookmarkStart w:id="123" w:name="_Toc82768895"/>
    </w:p>
    <w:p w14:paraId="2495C9AA" w14:textId="77777777" w:rsidR="00484AB4" w:rsidRPr="00A649A4" w:rsidRDefault="00484AB4" w:rsidP="00A649A4">
      <w:pPr>
        <w:rPr>
          <w:lang w:eastAsia="es-CR"/>
        </w:rPr>
      </w:pPr>
    </w:p>
    <w:p w14:paraId="643ABFA4" w14:textId="6387ED8F" w:rsidR="00A649A4" w:rsidRPr="00A649A4" w:rsidRDefault="00B5023C" w:rsidP="00B5023C">
      <w:pPr>
        <w:pStyle w:val="Ttulo2"/>
        <w:spacing w:after="240"/>
        <w:rPr>
          <w:rFonts w:eastAsia="Times New Roman"/>
          <w:lang w:eastAsia="es-CR"/>
        </w:rPr>
      </w:pPr>
      <w:bookmarkStart w:id="124" w:name="_Toc189804819"/>
      <w:r w:rsidRPr="00A649A4">
        <w:rPr>
          <w:rFonts w:eastAsia="Times New Roman"/>
          <w:lang w:eastAsia="es-CR"/>
        </w:rPr>
        <w:lastRenderedPageBreak/>
        <w:t xml:space="preserve">NICSP 35 </w:t>
      </w:r>
      <w:r w:rsidR="00986512">
        <w:rPr>
          <w:rFonts w:eastAsia="Times New Roman"/>
          <w:lang w:eastAsia="es-CR"/>
        </w:rPr>
        <w:t xml:space="preserve">- </w:t>
      </w:r>
      <w:r w:rsidRPr="00A649A4">
        <w:rPr>
          <w:rFonts w:eastAsia="Times New Roman"/>
          <w:lang w:eastAsia="es-CR"/>
        </w:rPr>
        <w:t>ESTADOS FINANCIEROS CONSOLIDADOS:</w:t>
      </w:r>
      <w:bookmarkEnd w:id="123"/>
      <w:bookmarkEnd w:id="124"/>
      <w:r w:rsidRPr="00A649A4">
        <w:rPr>
          <w:rFonts w:eastAsia="Times New Roman"/>
          <w:lang w:eastAsia="es-CR"/>
        </w:rPr>
        <w:t xml:space="preserve"> </w:t>
      </w:r>
    </w:p>
    <w:p w14:paraId="386BFC75" w14:textId="77777777" w:rsidR="00396CB4" w:rsidRDefault="00B5023C" w:rsidP="0021402F">
      <w:pPr>
        <w:rPr>
          <w:rFonts w:asciiTheme="minorHAnsi" w:hAnsiTheme="minorHAnsi"/>
          <w:sz w:val="22"/>
        </w:rPr>
      </w:pPr>
      <w:r w:rsidRPr="00405DBC">
        <w:t xml:space="preserve">De acuerdo con la </w:t>
      </w:r>
      <w:r w:rsidRPr="00A649A4">
        <w:rPr>
          <w:rFonts w:eastAsia="Calibri" w:cs="Times New Roman"/>
          <w:lang w:val="es-MX"/>
        </w:rPr>
        <w:t>NICSP 35</w:t>
      </w:r>
      <w:r>
        <w:rPr>
          <w:rFonts w:eastAsia="Calibri" w:cs="Times New Roman"/>
          <w:lang w:val="es-MX"/>
        </w:rPr>
        <w:t xml:space="preserve"> -</w:t>
      </w:r>
      <w:r w:rsidRPr="00A649A4">
        <w:rPr>
          <w:rFonts w:eastAsia="Calibri" w:cs="Times New Roman"/>
          <w:lang w:val="es-MX"/>
        </w:rPr>
        <w:t xml:space="preserve"> Estados financieros consolidados</w:t>
      </w:r>
      <w:r>
        <w:t>, i</w:t>
      </w:r>
      <w:r w:rsidRPr="00405DBC">
        <w:t>ndicar si este rubro afecta SI o NO a la institución, además del porcentaje de avance</w:t>
      </w:r>
      <w:r>
        <w:t xml:space="preserve"> en la implementación</w:t>
      </w:r>
      <w:r w:rsidRPr="00405DBC">
        <w:t xml:space="preserve"> que presenta</w:t>
      </w:r>
      <w:r>
        <w:rPr>
          <w:b/>
        </w:rPr>
        <w:t>.</w:t>
      </w:r>
      <w:r w:rsidR="0021402F">
        <w:fldChar w:fldCharType="begin"/>
      </w:r>
      <w:r w:rsidR="0021402F">
        <w:instrText xml:space="preserve"> LINK </w:instrText>
      </w:r>
      <w:r w:rsidR="00756467">
        <w:instrText xml:space="preserve">Excel.SheetMacroEnabled.12 "C:\\Users\\gcordero\\Downloads\\Notas diciembre 2024\\Formato_Notas_EEFF_Vinculadas_2024\\Formato_Notas_EEFF_Vinculadas_2024\\15603_T04_2024_Anexo_Estado_Notas_Contables_Vinculadas.xlsm" NICSP_35!F9C3:F10C4 </w:instrText>
      </w:r>
      <w:r w:rsidR="0021402F">
        <w:instrText xml:space="preserve">\a \f 4 \h </w:instrText>
      </w:r>
      <w:r w:rsidR="0021402F">
        <w:fldChar w:fldCharType="separate"/>
      </w:r>
    </w:p>
    <w:tbl>
      <w:tblPr>
        <w:tblW w:w="4140" w:type="dxa"/>
        <w:tblCellMar>
          <w:left w:w="70" w:type="dxa"/>
          <w:right w:w="70" w:type="dxa"/>
        </w:tblCellMar>
        <w:tblLook w:val="04A0" w:firstRow="1" w:lastRow="0" w:firstColumn="1" w:lastColumn="0" w:noHBand="0" w:noVBand="1"/>
      </w:tblPr>
      <w:tblGrid>
        <w:gridCol w:w="2740"/>
        <w:gridCol w:w="1400"/>
      </w:tblGrid>
      <w:tr w:rsidR="00396CB4" w:rsidRPr="00396CB4" w14:paraId="7EE68E3A" w14:textId="77777777" w:rsidTr="00396CB4">
        <w:trPr>
          <w:divId w:val="1976057631"/>
          <w:trHeight w:val="345"/>
        </w:trPr>
        <w:tc>
          <w:tcPr>
            <w:tcW w:w="274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1AAAE520" w14:textId="7FE968F2" w:rsidR="00396CB4" w:rsidRPr="00396CB4" w:rsidRDefault="00396CB4" w:rsidP="00396CB4">
            <w:pPr>
              <w:rPr>
                <w:rFonts w:eastAsia="Times New Roman" w:cs="Calibri"/>
                <w:color w:val="FFFFFF"/>
                <w:szCs w:val="24"/>
                <w:lang w:eastAsia="es-CR"/>
              </w:rPr>
            </w:pPr>
            <w:r w:rsidRPr="00396CB4">
              <w:rPr>
                <w:rFonts w:eastAsia="Times New Roman" w:cs="Calibri"/>
                <w:color w:val="FFFFFF"/>
                <w:szCs w:val="24"/>
                <w:lang w:eastAsia="es-CR"/>
              </w:rPr>
              <w:t>Aplica</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24ABFB" w14:textId="77777777" w:rsidR="00396CB4" w:rsidRPr="00396CB4" w:rsidRDefault="00396CB4" w:rsidP="00396CB4">
            <w:pPr>
              <w:spacing w:after="0" w:line="240" w:lineRule="auto"/>
              <w:jc w:val="center"/>
              <w:rPr>
                <w:rFonts w:eastAsia="Times New Roman" w:cs="Calibri"/>
                <w:color w:val="000000"/>
                <w:sz w:val="22"/>
                <w:lang w:eastAsia="es-CR"/>
              </w:rPr>
            </w:pPr>
            <w:r w:rsidRPr="00396CB4">
              <w:rPr>
                <w:rFonts w:eastAsia="Times New Roman" w:cs="Calibri"/>
                <w:color w:val="000000"/>
                <w:sz w:val="22"/>
                <w:lang w:eastAsia="es-CR"/>
              </w:rPr>
              <w:t>Si</w:t>
            </w:r>
          </w:p>
        </w:tc>
      </w:tr>
      <w:tr w:rsidR="00396CB4" w:rsidRPr="00396CB4" w14:paraId="0DDA0473" w14:textId="77777777" w:rsidTr="00396CB4">
        <w:trPr>
          <w:divId w:val="1976057631"/>
          <w:trHeight w:val="345"/>
        </w:trPr>
        <w:tc>
          <w:tcPr>
            <w:tcW w:w="2740" w:type="dxa"/>
            <w:tcBorders>
              <w:top w:val="nil"/>
              <w:left w:val="single" w:sz="8" w:space="0" w:color="auto"/>
              <w:bottom w:val="single" w:sz="8" w:space="0" w:color="auto"/>
              <w:right w:val="single" w:sz="8" w:space="0" w:color="auto"/>
            </w:tcBorders>
            <w:shd w:val="clear" w:color="000000" w:fill="17365D"/>
            <w:vAlign w:val="center"/>
            <w:hideMark/>
          </w:tcPr>
          <w:p w14:paraId="6DEB434D" w14:textId="77777777" w:rsidR="00396CB4" w:rsidRPr="00396CB4" w:rsidRDefault="00396CB4" w:rsidP="00396CB4">
            <w:pPr>
              <w:spacing w:after="0" w:line="240" w:lineRule="auto"/>
              <w:jc w:val="left"/>
              <w:rPr>
                <w:rFonts w:eastAsia="Times New Roman" w:cs="Calibri"/>
                <w:color w:val="FFFFFF"/>
                <w:szCs w:val="24"/>
                <w:lang w:eastAsia="es-CR"/>
              </w:rPr>
            </w:pPr>
            <w:proofErr w:type="spellStart"/>
            <w:r w:rsidRPr="00396CB4">
              <w:rPr>
                <w:rFonts w:eastAsia="Times New Roman" w:cs="Calibri"/>
                <w:color w:val="FFFFFF"/>
                <w:szCs w:val="24"/>
                <w:lang w:eastAsia="es-CR"/>
              </w:rPr>
              <w:t>Porcentaje_Avance</w:t>
            </w:r>
            <w:proofErr w:type="spellEnd"/>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7581C11A" w14:textId="77777777" w:rsidR="00396CB4" w:rsidRPr="00396CB4" w:rsidRDefault="00396CB4" w:rsidP="00396CB4">
            <w:pPr>
              <w:spacing w:after="0" w:line="240" w:lineRule="auto"/>
              <w:jc w:val="center"/>
              <w:rPr>
                <w:rFonts w:eastAsia="Times New Roman" w:cs="Calibri"/>
                <w:color w:val="000000"/>
                <w:sz w:val="22"/>
                <w:lang w:eastAsia="es-CR"/>
              </w:rPr>
            </w:pPr>
            <w:r w:rsidRPr="00396CB4">
              <w:rPr>
                <w:rFonts w:eastAsia="Times New Roman" w:cs="Calibri"/>
                <w:color w:val="000000"/>
                <w:sz w:val="22"/>
                <w:lang w:eastAsia="es-CR"/>
              </w:rPr>
              <w:t>40,00%</w:t>
            </w:r>
          </w:p>
        </w:tc>
      </w:tr>
    </w:tbl>
    <w:p w14:paraId="6D355E83" w14:textId="633C64C4" w:rsidR="00A649A4" w:rsidRPr="0021402F" w:rsidRDefault="0021402F" w:rsidP="0021402F">
      <w:pPr>
        <w:rPr>
          <w:b/>
        </w:rPr>
      </w:pPr>
      <w:r>
        <w:rPr>
          <w:b/>
        </w:rPr>
        <w:fldChar w:fldCharType="end"/>
      </w:r>
    </w:p>
    <w:p w14:paraId="148C1041" w14:textId="6B71AB7A" w:rsidR="00A649A4" w:rsidRPr="00B5023C" w:rsidRDefault="00A649A4" w:rsidP="00B5023C">
      <w:pPr>
        <w:jc w:val="center"/>
        <w:rPr>
          <w:sz w:val="22"/>
          <w:lang w:val="es-MX" w:eastAsia="es-CR"/>
        </w:rPr>
      </w:pPr>
      <w:r w:rsidRPr="00A649A4">
        <w:rPr>
          <w:noProof/>
          <w:lang w:eastAsia="es-CR"/>
        </w:rPr>
        <w:drawing>
          <wp:inline distT="0" distB="0" distL="0" distR="0" wp14:anchorId="72D460E0" wp14:editId="5895770C">
            <wp:extent cx="4305300" cy="1562100"/>
            <wp:effectExtent l="0" t="0" r="0" b="0"/>
            <wp:docPr id="5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05300" cy="1562100"/>
                    </a:xfrm>
                    <a:prstGeom prst="rect">
                      <a:avLst/>
                    </a:prstGeom>
                    <a:noFill/>
                    <a:ln>
                      <a:noFill/>
                    </a:ln>
                  </pic:spPr>
                </pic:pic>
              </a:graphicData>
            </a:graphic>
          </wp:inline>
        </w:drawing>
      </w:r>
    </w:p>
    <w:p w14:paraId="5C5858B1" w14:textId="77777777" w:rsidR="00A649A4" w:rsidRPr="00A649A4" w:rsidRDefault="00A649A4" w:rsidP="00B5023C">
      <w:pPr>
        <w:rPr>
          <w:lang w:val="es-MX" w:eastAsia="es-CR"/>
        </w:rPr>
      </w:pPr>
      <w:r w:rsidRPr="00A649A4">
        <w:rPr>
          <w:lang w:val="es-MX" w:eastAsia="es-CR"/>
        </w:rPr>
        <w:t xml:space="preserve">La DGCN y los otros </w:t>
      </w:r>
      <w:proofErr w:type="spellStart"/>
      <w:r w:rsidRPr="00A649A4">
        <w:rPr>
          <w:lang w:val="es-MX" w:eastAsia="es-CR"/>
        </w:rPr>
        <w:t>CCs</w:t>
      </w:r>
      <w:proofErr w:type="spellEnd"/>
      <w:r w:rsidRPr="00A649A4">
        <w:rPr>
          <w:lang w:val="es-MX" w:eastAsia="es-CR"/>
        </w:rPr>
        <w:t>, al elaborar los EEFFC, combinarán los EFPIG de la entidad controladora y sus controladas77, línea a línea, agregando las partidas que representen activos, pasivos, patrimonio, ingresos y gastos de contenido similar.</w:t>
      </w:r>
    </w:p>
    <w:p w14:paraId="444F584A" w14:textId="77777777" w:rsidR="00A649A4" w:rsidRPr="00A649A4" w:rsidRDefault="00A649A4" w:rsidP="00B5023C">
      <w:pPr>
        <w:rPr>
          <w:lang w:val="es-MX" w:eastAsia="es-CR"/>
        </w:rPr>
      </w:pPr>
      <w:r w:rsidRPr="00A649A4">
        <w:rPr>
          <w:lang w:val="es-MX" w:eastAsia="es-CR"/>
        </w:rPr>
        <w:t>Los ingresos y gastos de una entidad controlada se incluirán en los EEFFC desde la fecha de adquisición, hasta la fecha en la que la entidad controladora cesa de controlar a la entidad controlada.</w:t>
      </w:r>
    </w:p>
    <w:p w14:paraId="32FAEE7E" w14:textId="77777777" w:rsidR="00A649A4" w:rsidRPr="00A649A4" w:rsidRDefault="00A649A4" w:rsidP="00B5023C">
      <w:pPr>
        <w:rPr>
          <w:lang w:val="es-MX" w:eastAsia="es-CR"/>
        </w:rPr>
      </w:pPr>
      <w:r w:rsidRPr="00A649A4">
        <w:rPr>
          <w:lang w:val="es-MX" w:eastAsia="es-CR"/>
        </w:rPr>
        <w:t>Los estados financieros consolidados:</w:t>
      </w:r>
    </w:p>
    <w:p w14:paraId="5F9C28EB" w14:textId="77777777" w:rsidR="00A649A4" w:rsidRPr="00A649A4" w:rsidRDefault="00A649A4" w:rsidP="00B5023C">
      <w:pPr>
        <w:rPr>
          <w:lang w:val="es-MX" w:eastAsia="es-CR"/>
        </w:rPr>
      </w:pPr>
      <w:r w:rsidRPr="00A649A4">
        <w:rPr>
          <w:lang w:val="es-MX" w:eastAsia="es-CR"/>
        </w:rPr>
        <w:t>(a) Combinan partidas similares de activos, pasivos, activos netos/patrimonio, ingresos, gastos y flujos de efectivo de la entidad controladora con los de sus entidades controladas.</w:t>
      </w:r>
    </w:p>
    <w:p w14:paraId="04DAB4B6" w14:textId="77777777" w:rsidR="00A649A4" w:rsidRPr="00A649A4" w:rsidRDefault="00A649A4" w:rsidP="00B5023C">
      <w:pPr>
        <w:rPr>
          <w:lang w:val="es-MX" w:eastAsia="es-CR"/>
        </w:rPr>
      </w:pPr>
      <w:r w:rsidRPr="00A649A4">
        <w:rPr>
          <w:lang w:val="es-MX" w:eastAsia="es-CR"/>
        </w:rPr>
        <w:t>(b) Compensan (eliminan) el importe en libros de la inversión de la entidad controladora en cada entidad controlada, así como la parte de los activos netos/patrimonio de cada una de dichas entidades controladas que pertenece a la controladora, (la NICSP 40 explica cómo contabilizar la plusvalía resultante).</w:t>
      </w:r>
    </w:p>
    <w:p w14:paraId="7CCF8424" w14:textId="51934C20" w:rsidR="00A649A4" w:rsidRPr="00B5023C" w:rsidRDefault="00A649A4" w:rsidP="00B5023C">
      <w:pPr>
        <w:rPr>
          <w:lang w:val="es-MX" w:eastAsia="es-CR"/>
        </w:rPr>
      </w:pPr>
      <w:r w:rsidRPr="00A649A4">
        <w:rPr>
          <w:lang w:val="es-MX" w:eastAsia="es-CR"/>
        </w:rPr>
        <w:t xml:space="preserve">Eliminan en su totalidad los activos, pasivos, activos netos/patrimonio, ingresos, gastos y flujos de efectivo internos de la entidad económica relacionados con transacciones entre las entidades de la entidad económica [los resultados (ahorro o desahorro) del periodo procedentes de transacciones </w:t>
      </w:r>
      <w:r w:rsidRPr="00A649A4">
        <w:rPr>
          <w:lang w:val="es-MX" w:eastAsia="es-CR"/>
        </w:rPr>
        <w:lastRenderedPageBreak/>
        <w:t xml:space="preserve">internas de la entidad económica que están reconocidos en activos, tales como inventarios y activos fijos, se eliminan totalmente]. </w:t>
      </w:r>
    </w:p>
    <w:p w14:paraId="5CC4DE47" w14:textId="3ADF78C8" w:rsidR="00A649A4" w:rsidRPr="00B5023C" w:rsidRDefault="00A649A4" w:rsidP="00B5023C">
      <w:pPr>
        <w:jc w:val="center"/>
        <w:rPr>
          <w:sz w:val="22"/>
          <w:highlight w:val="yellow"/>
          <w:lang w:val="es-MX" w:eastAsia="es-CR"/>
        </w:rPr>
      </w:pPr>
      <w:r w:rsidRPr="00A649A4">
        <w:rPr>
          <w:noProof/>
          <w:lang w:eastAsia="es-CR"/>
        </w:rPr>
        <w:drawing>
          <wp:inline distT="0" distB="0" distL="0" distR="0" wp14:anchorId="7904E2FE" wp14:editId="4B853018">
            <wp:extent cx="4061460" cy="1775460"/>
            <wp:effectExtent l="0" t="0" r="0" b="0"/>
            <wp:docPr id="5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61460" cy="1775460"/>
                    </a:xfrm>
                    <a:prstGeom prst="rect">
                      <a:avLst/>
                    </a:prstGeom>
                    <a:noFill/>
                    <a:ln>
                      <a:noFill/>
                    </a:ln>
                  </pic:spPr>
                </pic:pic>
              </a:graphicData>
            </a:graphic>
          </wp:inline>
        </w:drawing>
      </w:r>
      <w:r w:rsidRPr="00A649A4">
        <w:rPr>
          <w:noProof/>
          <w:lang w:eastAsia="es-CR"/>
        </w:rPr>
        <w:drawing>
          <wp:inline distT="0" distB="0" distL="0" distR="0" wp14:anchorId="4F92F271" wp14:editId="536BBE34">
            <wp:extent cx="4099560" cy="1287780"/>
            <wp:effectExtent l="0" t="0" r="0" b="0"/>
            <wp:docPr id="5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99560" cy="1287780"/>
                    </a:xfrm>
                    <a:prstGeom prst="rect">
                      <a:avLst/>
                    </a:prstGeom>
                    <a:noFill/>
                    <a:ln>
                      <a:noFill/>
                    </a:ln>
                  </pic:spPr>
                </pic:pic>
              </a:graphicData>
            </a:graphic>
          </wp:inline>
        </w:drawing>
      </w:r>
    </w:p>
    <w:p w14:paraId="07903E89" w14:textId="77777777" w:rsidR="00A649A4" w:rsidRPr="00A649A4" w:rsidRDefault="00A649A4" w:rsidP="00B5023C">
      <w:pPr>
        <w:rPr>
          <w:lang w:val="es-MX" w:eastAsia="es-CR"/>
        </w:rPr>
      </w:pPr>
      <w:r w:rsidRPr="00A649A4">
        <w:rPr>
          <w:lang w:val="es-MX" w:eastAsia="es-CR"/>
        </w:rPr>
        <w:t>Las pérdidas internas de la entidad económica podrían indicar un deterioro de valor de los activos que requiere reconocimiento en los estados financieros consolidados.</w:t>
      </w:r>
    </w:p>
    <w:p w14:paraId="14EB9FD2" w14:textId="2CC53836" w:rsidR="00A649A4" w:rsidRPr="00A649A4" w:rsidRDefault="00A649A4" w:rsidP="00B5023C">
      <w:pPr>
        <w:rPr>
          <w:lang w:val="es-MX" w:eastAsia="es-CR"/>
        </w:rPr>
      </w:pPr>
      <w:r w:rsidRPr="00A649A4">
        <w:rPr>
          <w:lang w:val="es-MX" w:eastAsia="es-CR"/>
        </w:rPr>
        <w:t xml:space="preserve">Previo a la fecha de presentación, las instituciones deberán realizar el proceso de confirmación de saldos contables entre los entes relacionados con el fin de proveer información para las eliminaciones </w:t>
      </w:r>
      <w:r w:rsidR="007A2EED" w:rsidRPr="00A649A4">
        <w:rPr>
          <w:lang w:val="es-MX" w:eastAsia="es-CR"/>
        </w:rPr>
        <w:t>de acuerdo con</w:t>
      </w:r>
      <w:r w:rsidRPr="00A649A4">
        <w:rPr>
          <w:lang w:val="es-MX" w:eastAsia="es-CR"/>
        </w:rPr>
        <w:t xml:space="preserve"> la técnica de consolidación.</w:t>
      </w:r>
    </w:p>
    <w:p w14:paraId="6E50E662" w14:textId="77777777" w:rsidR="00396CB4" w:rsidRDefault="00A649A4" w:rsidP="00B5023C">
      <w:pPr>
        <w:rPr>
          <w:rFonts w:asciiTheme="minorHAnsi" w:hAnsiTheme="minorHAnsi"/>
          <w:sz w:val="22"/>
        </w:rPr>
      </w:pPr>
      <w:r w:rsidRPr="00A649A4">
        <w:rPr>
          <w:lang w:eastAsia="es-CR"/>
        </w:rPr>
        <w:t>Lista de Entidades Controladas Significativamente</w:t>
      </w:r>
      <w:r w:rsidR="0021402F">
        <w:rPr>
          <w:lang w:eastAsia="es-CR"/>
        </w:rPr>
        <w:fldChar w:fldCharType="begin"/>
      </w:r>
      <w:r w:rsidR="0021402F">
        <w:rPr>
          <w:lang w:eastAsia="es-CR"/>
        </w:rPr>
        <w:instrText xml:space="preserve"> LINK </w:instrText>
      </w:r>
      <w:r w:rsidR="00756467">
        <w:rPr>
          <w:lang w:eastAsia="es-CR"/>
        </w:rPr>
        <w:instrText xml:space="preserve">Excel.SheetMacroEnabled.12 "C:\\Users\\gcordero\\Downloads\\Notas diciembre 2024\\Formato_Notas_EEFF_Vinculadas_2024\\Formato_Notas_EEFF_Vinculadas_2024\\15603_T04_2024_Anexo_Estado_Notas_Contables_Vinculadas.xlsm" NICSP_35!F13C6:F19C9 </w:instrText>
      </w:r>
      <w:r w:rsidR="0021402F">
        <w:rPr>
          <w:lang w:eastAsia="es-CR"/>
        </w:rPr>
        <w:instrText xml:space="preserve">\a \f 4 \h </w:instrText>
      </w:r>
      <w:r w:rsidR="0021402F">
        <w:rPr>
          <w:lang w:eastAsia="es-CR"/>
        </w:rPr>
        <w:fldChar w:fldCharType="separate"/>
      </w:r>
    </w:p>
    <w:tbl>
      <w:tblPr>
        <w:tblW w:w="6918" w:type="dxa"/>
        <w:tblCellMar>
          <w:left w:w="70" w:type="dxa"/>
          <w:right w:w="70" w:type="dxa"/>
        </w:tblCellMar>
        <w:tblLook w:val="04A0" w:firstRow="1" w:lastRow="0" w:firstColumn="1" w:lastColumn="0" w:noHBand="0" w:noVBand="1"/>
      </w:tblPr>
      <w:tblGrid>
        <w:gridCol w:w="2241"/>
        <w:gridCol w:w="3781"/>
        <w:gridCol w:w="401"/>
        <w:gridCol w:w="615"/>
      </w:tblGrid>
      <w:tr w:rsidR="00396CB4" w:rsidRPr="00396CB4" w14:paraId="0823FC74" w14:textId="77777777" w:rsidTr="00396CB4">
        <w:trPr>
          <w:divId w:val="235015620"/>
          <w:trHeight w:val="345"/>
        </w:trPr>
        <w:tc>
          <w:tcPr>
            <w:tcW w:w="2241" w:type="dxa"/>
            <w:vMerge w:val="restart"/>
            <w:tcBorders>
              <w:top w:val="single" w:sz="8" w:space="0" w:color="auto"/>
              <w:left w:val="single" w:sz="8" w:space="0" w:color="auto"/>
              <w:bottom w:val="single" w:sz="8" w:space="0" w:color="000000"/>
              <w:right w:val="single" w:sz="8" w:space="0" w:color="auto"/>
            </w:tcBorders>
            <w:shd w:val="clear" w:color="000000" w:fill="1F3864"/>
            <w:vAlign w:val="center"/>
            <w:hideMark/>
          </w:tcPr>
          <w:p w14:paraId="23591468" w14:textId="2A5DDF6B" w:rsidR="00396CB4" w:rsidRPr="00396CB4" w:rsidRDefault="00396CB4" w:rsidP="00396CB4">
            <w:pPr>
              <w:jc w:val="center"/>
              <w:rPr>
                <w:rFonts w:eastAsia="Times New Roman" w:cs="Calibri"/>
                <w:color w:val="FFFFFF"/>
                <w:szCs w:val="24"/>
                <w:lang w:eastAsia="es-CR"/>
              </w:rPr>
            </w:pPr>
            <w:r w:rsidRPr="00396CB4">
              <w:rPr>
                <w:rFonts w:eastAsia="Times New Roman" w:cs="Calibri"/>
                <w:color w:val="FFFFFF"/>
                <w:szCs w:val="24"/>
                <w:lang w:eastAsia="es-CR"/>
              </w:rPr>
              <w:t>Código Institución</w:t>
            </w:r>
          </w:p>
        </w:tc>
        <w:tc>
          <w:tcPr>
            <w:tcW w:w="3781" w:type="dxa"/>
            <w:vMerge w:val="restart"/>
            <w:tcBorders>
              <w:top w:val="single" w:sz="8" w:space="0" w:color="auto"/>
              <w:left w:val="single" w:sz="8" w:space="0" w:color="auto"/>
              <w:bottom w:val="single" w:sz="8" w:space="0" w:color="000000"/>
              <w:right w:val="single" w:sz="8" w:space="0" w:color="auto"/>
            </w:tcBorders>
            <w:shd w:val="clear" w:color="000000" w:fill="1F3864"/>
            <w:vAlign w:val="center"/>
            <w:hideMark/>
          </w:tcPr>
          <w:p w14:paraId="2B709A72" w14:textId="77777777" w:rsidR="00396CB4" w:rsidRPr="00396CB4" w:rsidRDefault="00396CB4" w:rsidP="00396CB4">
            <w:pPr>
              <w:spacing w:after="0" w:line="240" w:lineRule="auto"/>
              <w:jc w:val="center"/>
              <w:rPr>
                <w:rFonts w:eastAsia="Times New Roman" w:cs="Calibri"/>
                <w:color w:val="FFFFFF"/>
                <w:szCs w:val="24"/>
                <w:lang w:eastAsia="es-CR"/>
              </w:rPr>
            </w:pPr>
            <w:r w:rsidRPr="00396CB4">
              <w:rPr>
                <w:rFonts w:eastAsia="Times New Roman" w:cs="Calibri"/>
                <w:color w:val="FFFFFF"/>
                <w:szCs w:val="24"/>
                <w:lang w:eastAsia="es-CR"/>
              </w:rPr>
              <w:t>Nombre institución</w:t>
            </w:r>
          </w:p>
        </w:tc>
        <w:tc>
          <w:tcPr>
            <w:tcW w:w="896" w:type="dxa"/>
            <w:gridSpan w:val="2"/>
            <w:tcBorders>
              <w:top w:val="single" w:sz="8" w:space="0" w:color="auto"/>
              <w:left w:val="nil"/>
              <w:bottom w:val="single" w:sz="8" w:space="0" w:color="auto"/>
              <w:right w:val="single" w:sz="8" w:space="0" w:color="000000"/>
            </w:tcBorders>
            <w:shd w:val="clear" w:color="000000" w:fill="1F3864"/>
            <w:vAlign w:val="center"/>
            <w:hideMark/>
          </w:tcPr>
          <w:p w14:paraId="19E1D7E4" w14:textId="77777777" w:rsidR="00396CB4" w:rsidRPr="00396CB4" w:rsidRDefault="00396CB4" w:rsidP="00396CB4">
            <w:pPr>
              <w:spacing w:after="0" w:line="240" w:lineRule="auto"/>
              <w:jc w:val="center"/>
              <w:rPr>
                <w:rFonts w:eastAsia="Times New Roman" w:cs="Calibri"/>
                <w:color w:val="FFFFFF"/>
                <w:szCs w:val="24"/>
                <w:lang w:eastAsia="es-CR"/>
              </w:rPr>
            </w:pPr>
            <w:r w:rsidRPr="00396CB4">
              <w:rPr>
                <w:rFonts w:eastAsia="Times New Roman" w:cs="Calibri"/>
                <w:color w:val="FFFFFF"/>
                <w:szCs w:val="24"/>
                <w:lang w:eastAsia="es-CR"/>
              </w:rPr>
              <w:t>Consolida</w:t>
            </w:r>
          </w:p>
        </w:tc>
      </w:tr>
      <w:tr w:rsidR="00396CB4" w:rsidRPr="00396CB4" w14:paraId="738A0449" w14:textId="77777777" w:rsidTr="00396CB4">
        <w:trPr>
          <w:divId w:val="235015620"/>
          <w:trHeight w:val="345"/>
        </w:trPr>
        <w:tc>
          <w:tcPr>
            <w:tcW w:w="2241" w:type="dxa"/>
            <w:vMerge/>
            <w:tcBorders>
              <w:top w:val="single" w:sz="8" w:space="0" w:color="auto"/>
              <w:left w:val="single" w:sz="8" w:space="0" w:color="auto"/>
              <w:bottom w:val="single" w:sz="8" w:space="0" w:color="000000"/>
              <w:right w:val="single" w:sz="8" w:space="0" w:color="auto"/>
            </w:tcBorders>
            <w:vAlign w:val="center"/>
            <w:hideMark/>
          </w:tcPr>
          <w:p w14:paraId="6798B193" w14:textId="77777777" w:rsidR="00396CB4" w:rsidRPr="00396CB4" w:rsidRDefault="00396CB4" w:rsidP="00396CB4">
            <w:pPr>
              <w:spacing w:after="0" w:line="240" w:lineRule="auto"/>
              <w:jc w:val="left"/>
              <w:rPr>
                <w:rFonts w:eastAsia="Times New Roman" w:cs="Calibri"/>
                <w:color w:val="FFFFFF"/>
                <w:szCs w:val="24"/>
                <w:lang w:eastAsia="es-CR"/>
              </w:rPr>
            </w:pPr>
          </w:p>
        </w:tc>
        <w:tc>
          <w:tcPr>
            <w:tcW w:w="3781" w:type="dxa"/>
            <w:vMerge/>
            <w:tcBorders>
              <w:top w:val="single" w:sz="8" w:space="0" w:color="auto"/>
              <w:left w:val="single" w:sz="8" w:space="0" w:color="auto"/>
              <w:bottom w:val="single" w:sz="8" w:space="0" w:color="000000"/>
              <w:right w:val="single" w:sz="8" w:space="0" w:color="auto"/>
            </w:tcBorders>
            <w:vAlign w:val="center"/>
            <w:hideMark/>
          </w:tcPr>
          <w:p w14:paraId="67E14086" w14:textId="77777777" w:rsidR="00396CB4" w:rsidRPr="00396CB4" w:rsidRDefault="00396CB4" w:rsidP="00396CB4">
            <w:pPr>
              <w:spacing w:after="0" w:line="240" w:lineRule="auto"/>
              <w:jc w:val="left"/>
              <w:rPr>
                <w:rFonts w:eastAsia="Times New Roman" w:cs="Calibri"/>
                <w:color w:val="FFFFFF"/>
                <w:szCs w:val="24"/>
                <w:lang w:eastAsia="es-CR"/>
              </w:rPr>
            </w:pPr>
          </w:p>
        </w:tc>
        <w:tc>
          <w:tcPr>
            <w:tcW w:w="354" w:type="dxa"/>
            <w:tcBorders>
              <w:top w:val="nil"/>
              <w:left w:val="nil"/>
              <w:bottom w:val="single" w:sz="8" w:space="0" w:color="auto"/>
              <w:right w:val="single" w:sz="8" w:space="0" w:color="auto"/>
            </w:tcBorders>
            <w:shd w:val="clear" w:color="000000" w:fill="1F3864"/>
            <w:noWrap/>
            <w:vAlign w:val="center"/>
            <w:hideMark/>
          </w:tcPr>
          <w:p w14:paraId="477532A4" w14:textId="77777777" w:rsidR="00396CB4" w:rsidRPr="00396CB4" w:rsidRDefault="00396CB4" w:rsidP="00396CB4">
            <w:pPr>
              <w:spacing w:after="0" w:line="240" w:lineRule="auto"/>
              <w:jc w:val="center"/>
              <w:rPr>
                <w:rFonts w:eastAsia="Times New Roman" w:cs="Calibri"/>
                <w:color w:val="FFFFFF"/>
                <w:szCs w:val="24"/>
                <w:lang w:eastAsia="es-CR"/>
              </w:rPr>
            </w:pPr>
            <w:r w:rsidRPr="00396CB4">
              <w:rPr>
                <w:rFonts w:eastAsia="Times New Roman" w:cs="Calibri"/>
                <w:color w:val="FFFFFF"/>
                <w:szCs w:val="24"/>
                <w:lang w:eastAsia="es-CR"/>
              </w:rPr>
              <w:t>SI</w:t>
            </w:r>
          </w:p>
        </w:tc>
        <w:tc>
          <w:tcPr>
            <w:tcW w:w="542" w:type="dxa"/>
            <w:tcBorders>
              <w:top w:val="nil"/>
              <w:left w:val="nil"/>
              <w:bottom w:val="single" w:sz="8" w:space="0" w:color="auto"/>
              <w:right w:val="single" w:sz="8" w:space="0" w:color="auto"/>
            </w:tcBorders>
            <w:shd w:val="clear" w:color="000000" w:fill="1F3864"/>
            <w:noWrap/>
            <w:vAlign w:val="center"/>
            <w:hideMark/>
          </w:tcPr>
          <w:p w14:paraId="76248EDF" w14:textId="77777777" w:rsidR="00396CB4" w:rsidRPr="00396CB4" w:rsidRDefault="00396CB4" w:rsidP="00396CB4">
            <w:pPr>
              <w:spacing w:after="0" w:line="240" w:lineRule="auto"/>
              <w:jc w:val="center"/>
              <w:rPr>
                <w:rFonts w:eastAsia="Times New Roman" w:cs="Calibri"/>
                <w:color w:val="FFFFFF"/>
                <w:szCs w:val="24"/>
                <w:lang w:eastAsia="es-CR"/>
              </w:rPr>
            </w:pPr>
            <w:r w:rsidRPr="00396CB4">
              <w:rPr>
                <w:rFonts w:eastAsia="Times New Roman" w:cs="Calibri"/>
                <w:color w:val="FFFFFF"/>
                <w:szCs w:val="24"/>
                <w:lang w:eastAsia="es-CR"/>
              </w:rPr>
              <w:t>NO</w:t>
            </w:r>
          </w:p>
        </w:tc>
      </w:tr>
      <w:tr w:rsidR="00396CB4" w:rsidRPr="00396CB4" w14:paraId="1312804B" w14:textId="77777777" w:rsidTr="00396CB4">
        <w:trPr>
          <w:divId w:val="235015620"/>
          <w:trHeight w:val="345"/>
        </w:trPr>
        <w:tc>
          <w:tcPr>
            <w:tcW w:w="2241" w:type="dxa"/>
            <w:tcBorders>
              <w:top w:val="nil"/>
              <w:left w:val="single" w:sz="8" w:space="0" w:color="auto"/>
              <w:bottom w:val="single" w:sz="8" w:space="0" w:color="auto"/>
              <w:right w:val="single" w:sz="8" w:space="0" w:color="auto"/>
            </w:tcBorders>
            <w:shd w:val="clear" w:color="auto" w:fill="auto"/>
            <w:noWrap/>
            <w:vAlign w:val="center"/>
            <w:hideMark/>
          </w:tcPr>
          <w:p w14:paraId="10D3475A"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15910</w:t>
            </w:r>
          </w:p>
        </w:tc>
        <w:tc>
          <w:tcPr>
            <w:tcW w:w="3781" w:type="dxa"/>
            <w:tcBorders>
              <w:top w:val="nil"/>
              <w:left w:val="nil"/>
              <w:bottom w:val="single" w:sz="8" w:space="0" w:color="auto"/>
              <w:right w:val="single" w:sz="8" w:space="0" w:color="auto"/>
            </w:tcBorders>
            <w:shd w:val="clear" w:color="auto" w:fill="auto"/>
            <w:noWrap/>
            <w:vAlign w:val="center"/>
            <w:hideMark/>
          </w:tcPr>
          <w:p w14:paraId="146511A7"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Comités Cantonales de Deportes y Recreación</w:t>
            </w:r>
          </w:p>
        </w:tc>
        <w:tc>
          <w:tcPr>
            <w:tcW w:w="354" w:type="dxa"/>
            <w:tcBorders>
              <w:top w:val="nil"/>
              <w:left w:val="nil"/>
              <w:bottom w:val="single" w:sz="8" w:space="0" w:color="auto"/>
              <w:right w:val="single" w:sz="8" w:space="0" w:color="auto"/>
            </w:tcBorders>
            <w:shd w:val="clear" w:color="auto" w:fill="auto"/>
            <w:noWrap/>
            <w:vAlign w:val="center"/>
            <w:hideMark/>
          </w:tcPr>
          <w:p w14:paraId="0462F1DD"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w:t>
            </w:r>
          </w:p>
        </w:tc>
        <w:tc>
          <w:tcPr>
            <w:tcW w:w="542" w:type="dxa"/>
            <w:tcBorders>
              <w:top w:val="nil"/>
              <w:left w:val="nil"/>
              <w:bottom w:val="single" w:sz="8" w:space="0" w:color="auto"/>
              <w:right w:val="single" w:sz="8" w:space="0" w:color="auto"/>
            </w:tcBorders>
            <w:shd w:val="clear" w:color="auto" w:fill="auto"/>
            <w:noWrap/>
            <w:vAlign w:val="center"/>
            <w:hideMark/>
          </w:tcPr>
          <w:p w14:paraId="62E5559E" w14:textId="77777777" w:rsidR="00396CB4" w:rsidRPr="00396CB4" w:rsidRDefault="00396CB4" w:rsidP="00396CB4">
            <w:pPr>
              <w:spacing w:after="0" w:line="240" w:lineRule="auto"/>
              <w:jc w:val="right"/>
              <w:rPr>
                <w:rFonts w:eastAsia="Times New Roman" w:cs="Calibri"/>
                <w:color w:val="000000"/>
                <w:sz w:val="22"/>
                <w:lang w:eastAsia="es-CR"/>
              </w:rPr>
            </w:pPr>
            <w:r w:rsidRPr="00396CB4">
              <w:rPr>
                <w:rFonts w:eastAsia="Times New Roman" w:cs="Calibri"/>
                <w:color w:val="000000"/>
                <w:sz w:val="22"/>
                <w:lang w:eastAsia="es-CR"/>
              </w:rPr>
              <w:t>1</w:t>
            </w:r>
          </w:p>
        </w:tc>
      </w:tr>
      <w:tr w:rsidR="00396CB4" w:rsidRPr="00396CB4" w14:paraId="28A32672" w14:textId="77777777" w:rsidTr="00396CB4">
        <w:trPr>
          <w:divId w:val="235015620"/>
          <w:trHeight w:val="345"/>
        </w:trPr>
        <w:tc>
          <w:tcPr>
            <w:tcW w:w="2241" w:type="dxa"/>
            <w:tcBorders>
              <w:top w:val="nil"/>
              <w:left w:val="single" w:sz="8" w:space="0" w:color="auto"/>
              <w:bottom w:val="single" w:sz="8" w:space="0" w:color="auto"/>
              <w:right w:val="single" w:sz="8" w:space="0" w:color="auto"/>
            </w:tcBorders>
            <w:shd w:val="clear" w:color="auto" w:fill="auto"/>
            <w:noWrap/>
            <w:vAlign w:val="center"/>
            <w:hideMark/>
          </w:tcPr>
          <w:p w14:paraId="47D07451"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w:t>
            </w:r>
          </w:p>
        </w:tc>
        <w:tc>
          <w:tcPr>
            <w:tcW w:w="3781" w:type="dxa"/>
            <w:tcBorders>
              <w:top w:val="nil"/>
              <w:left w:val="nil"/>
              <w:bottom w:val="single" w:sz="8" w:space="0" w:color="auto"/>
              <w:right w:val="single" w:sz="8" w:space="0" w:color="auto"/>
            </w:tcBorders>
            <w:shd w:val="clear" w:color="auto" w:fill="auto"/>
            <w:noWrap/>
            <w:vAlign w:val="center"/>
            <w:hideMark/>
          </w:tcPr>
          <w:p w14:paraId="230B34AC"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w:t>
            </w:r>
          </w:p>
        </w:tc>
        <w:tc>
          <w:tcPr>
            <w:tcW w:w="354" w:type="dxa"/>
            <w:tcBorders>
              <w:top w:val="nil"/>
              <w:left w:val="nil"/>
              <w:bottom w:val="single" w:sz="8" w:space="0" w:color="auto"/>
              <w:right w:val="single" w:sz="8" w:space="0" w:color="auto"/>
            </w:tcBorders>
            <w:shd w:val="clear" w:color="auto" w:fill="auto"/>
            <w:noWrap/>
            <w:vAlign w:val="center"/>
            <w:hideMark/>
          </w:tcPr>
          <w:p w14:paraId="7FF07DE0"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w:t>
            </w:r>
          </w:p>
        </w:tc>
        <w:tc>
          <w:tcPr>
            <w:tcW w:w="542" w:type="dxa"/>
            <w:tcBorders>
              <w:top w:val="nil"/>
              <w:left w:val="nil"/>
              <w:bottom w:val="single" w:sz="8" w:space="0" w:color="auto"/>
              <w:right w:val="single" w:sz="8" w:space="0" w:color="auto"/>
            </w:tcBorders>
            <w:shd w:val="clear" w:color="auto" w:fill="auto"/>
            <w:noWrap/>
            <w:vAlign w:val="center"/>
            <w:hideMark/>
          </w:tcPr>
          <w:p w14:paraId="481A00F2"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w:t>
            </w:r>
          </w:p>
        </w:tc>
      </w:tr>
      <w:tr w:rsidR="00396CB4" w:rsidRPr="00396CB4" w14:paraId="4EBC8DD4" w14:textId="77777777" w:rsidTr="00396CB4">
        <w:trPr>
          <w:divId w:val="235015620"/>
          <w:trHeight w:val="345"/>
        </w:trPr>
        <w:tc>
          <w:tcPr>
            <w:tcW w:w="2241" w:type="dxa"/>
            <w:tcBorders>
              <w:top w:val="nil"/>
              <w:left w:val="single" w:sz="8" w:space="0" w:color="auto"/>
              <w:bottom w:val="single" w:sz="8" w:space="0" w:color="auto"/>
              <w:right w:val="single" w:sz="8" w:space="0" w:color="auto"/>
            </w:tcBorders>
            <w:shd w:val="clear" w:color="auto" w:fill="auto"/>
            <w:noWrap/>
            <w:vAlign w:val="center"/>
            <w:hideMark/>
          </w:tcPr>
          <w:p w14:paraId="1606B7C9"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w:t>
            </w:r>
          </w:p>
        </w:tc>
        <w:tc>
          <w:tcPr>
            <w:tcW w:w="3781" w:type="dxa"/>
            <w:tcBorders>
              <w:top w:val="nil"/>
              <w:left w:val="nil"/>
              <w:bottom w:val="single" w:sz="8" w:space="0" w:color="auto"/>
              <w:right w:val="single" w:sz="8" w:space="0" w:color="auto"/>
            </w:tcBorders>
            <w:shd w:val="clear" w:color="auto" w:fill="auto"/>
            <w:noWrap/>
            <w:vAlign w:val="center"/>
            <w:hideMark/>
          </w:tcPr>
          <w:p w14:paraId="1AC561BA"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w:t>
            </w:r>
          </w:p>
        </w:tc>
        <w:tc>
          <w:tcPr>
            <w:tcW w:w="354" w:type="dxa"/>
            <w:tcBorders>
              <w:top w:val="nil"/>
              <w:left w:val="nil"/>
              <w:bottom w:val="single" w:sz="8" w:space="0" w:color="auto"/>
              <w:right w:val="single" w:sz="8" w:space="0" w:color="auto"/>
            </w:tcBorders>
            <w:shd w:val="clear" w:color="auto" w:fill="auto"/>
            <w:noWrap/>
            <w:vAlign w:val="center"/>
            <w:hideMark/>
          </w:tcPr>
          <w:p w14:paraId="2142EFE5"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w:t>
            </w:r>
          </w:p>
        </w:tc>
        <w:tc>
          <w:tcPr>
            <w:tcW w:w="542" w:type="dxa"/>
            <w:tcBorders>
              <w:top w:val="nil"/>
              <w:left w:val="nil"/>
              <w:bottom w:val="single" w:sz="8" w:space="0" w:color="auto"/>
              <w:right w:val="single" w:sz="8" w:space="0" w:color="auto"/>
            </w:tcBorders>
            <w:shd w:val="clear" w:color="auto" w:fill="auto"/>
            <w:noWrap/>
            <w:vAlign w:val="center"/>
            <w:hideMark/>
          </w:tcPr>
          <w:p w14:paraId="1FF9D712"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w:t>
            </w:r>
          </w:p>
        </w:tc>
      </w:tr>
      <w:tr w:rsidR="00396CB4" w:rsidRPr="00396CB4" w14:paraId="41A506B6" w14:textId="77777777" w:rsidTr="00396CB4">
        <w:trPr>
          <w:divId w:val="235015620"/>
          <w:trHeight w:val="345"/>
        </w:trPr>
        <w:tc>
          <w:tcPr>
            <w:tcW w:w="2241" w:type="dxa"/>
            <w:tcBorders>
              <w:top w:val="nil"/>
              <w:left w:val="single" w:sz="8" w:space="0" w:color="auto"/>
              <w:bottom w:val="single" w:sz="8" w:space="0" w:color="auto"/>
              <w:right w:val="single" w:sz="8" w:space="0" w:color="auto"/>
            </w:tcBorders>
            <w:shd w:val="clear" w:color="auto" w:fill="auto"/>
            <w:noWrap/>
            <w:vAlign w:val="center"/>
            <w:hideMark/>
          </w:tcPr>
          <w:p w14:paraId="3299D203"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w:t>
            </w:r>
          </w:p>
        </w:tc>
        <w:tc>
          <w:tcPr>
            <w:tcW w:w="3781" w:type="dxa"/>
            <w:tcBorders>
              <w:top w:val="nil"/>
              <w:left w:val="nil"/>
              <w:bottom w:val="single" w:sz="8" w:space="0" w:color="auto"/>
              <w:right w:val="single" w:sz="8" w:space="0" w:color="auto"/>
            </w:tcBorders>
            <w:shd w:val="clear" w:color="auto" w:fill="auto"/>
            <w:noWrap/>
            <w:vAlign w:val="center"/>
            <w:hideMark/>
          </w:tcPr>
          <w:p w14:paraId="521A8851"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w:t>
            </w:r>
          </w:p>
        </w:tc>
        <w:tc>
          <w:tcPr>
            <w:tcW w:w="354" w:type="dxa"/>
            <w:tcBorders>
              <w:top w:val="nil"/>
              <w:left w:val="nil"/>
              <w:bottom w:val="single" w:sz="8" w:space="0" w:color="auto"/>
              <w:right w:val="single" w:sz="8" w:space="0" w:color="auto"/>
            </w:tcBorders>
            <w:shd w:val="clear" w:color="auto" w:fill="auto"/>
            <w:noWrap/>
            <w:vAlign w:val="center"/>
            <w:hideMark/>
          </w:tcPr>
          <w:p w14:paraId="5EEC735A"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w:t>
            </w:r>
          </w:p>
        </w:tc>
        <w:tc>
          <w:tcPr>
            <w:tcW w:w="542" w:type="dxa"/>
            <w:tcBorders>
              <w:top w:val="nil"/>
              <w:left w:val="nil"/>
              <w:bottom w:val="single" w:sz="8" w:space="0" w:color="auto"/>
              <w:right w:val="single" w:sz="8" w:space="0" w:color="auto"/>
            </w:tcBorders>
            <w:shd w:val="clear" w:color="auto" w:fill="auto"/>
            <w:noWrap/>
            <w:vAlign w:val="center"/>
            <w:hideMark/>
          </w:tcPr>
          <w:p w14:paraId="30121B10"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w:t>
            </w:r>
          </w:p>
        </w:tc>
      </w:tr>
      <w:tr w:rsidR="00396CB4" w:rsidRPr="00396CB4" w14:paraId="32C428CC" w14:textId="77777777" w:rsidTr="00396CB4">
        <w:trPr>
          <w:divId w:val="235015620"/>
          <w:trHeight w:val="345"/>
        </w:trPr>
        <w:tc>
          <w:tcPr>
            <w:tcW w:w="6022" w:type="dxa"/>
            <w:gridSpan w:val="2"/>
            <w:tcBorders>
              <w:top w:val="single" w:sz="8" w:space="0" w:color="auto"/>
              <w:left w:val="single" w:sz="8" w:space="0" w:color="auto"/>
              <w:bottom w:val="single" w:sz="8" w:space="0" w:color="auto"/>
              <w:right w:val="single" w:sz="8" w:space="0" w:color="000000"/>
            </w:tcBorders>
            <w:shd w:val="clear" w:color="000000" w:fill="1F3864"/>
            <w:vAlign w:val="center"/>
            <w:hideMark/>
          </w:tcPr>
          <w:p w14:paraId="72FF3C0C" w14:textId="77777777" w:rsidR="00396CB4" w:rsidRPr="00396CB4" w:rsidRDefault="00396CB4" w:rsidP="00396CB4">
            <w:pPr>
              <w:spacing w:after="0" w:line="240" w:lineRule="auto"/>
              <w:jc w:val="center"/>
              <w:rPr>
                <w:rFonts w:eastAsia="Times New Roman" w:cs="Calibri"/>
                <w:color w:val="FFFFFF"/>
                <w:szCs w:val="24"/>
                <w:lang w:eastAsia="es-CR"/>
              </w:rPr>
            </w:pPr>
            <w:r w:rsidRPr="00396CB4">
              <w:rPr>
                <w:rFonts w:eastAsia="Times New Roman" w:cs="Calibri"/>
                <w:color w:val="FFFFFF"/>
                <w:szCs w:val="24"/>
                <w:lang w:eastAsia="es-CR"/>
              </w:rPr>
              <w:t>Total</w:t>
            </w:r>
          </w:p>
        </w:tc>
        <w:tc>
          <w:tcPr>
            <w:tcW w:w="354" w:type="dxa"/>
            <w:tcBorders>
              <w:top w:val="nil"/>
              <w:left w:val="nil"/>
              <w:bottom w:val="single" w:sz="8" w:space="0" w:color="auto"/>
              <w:right w:val="single" w:sz="8" w:space="0" w:color="auto"/>
            </w:tcBorders>
            <w:shd w:val="clear" w:color="auto" w:fill="auto"/>
            <w:noWrap/>
            <w:vAlign w:val="center"/>
            <w:hideMark/>
          </w:tcPr>
          <w:p w14:paraId="44AF8096"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w:t>
            </w:r>
          </w:p>
        </w:tc>
        <w:tc>
          <w:tcPr>
            <w:tcW w:w="542" w:type="dxa"/>
            <w:tcBorders>
              <w:top w:val="nil"/>
              <w:left w:val="nil"/>
              <w:bottom w:val="single" w:sz="8" w:space="0" w:color="auto"/>
              <w:right w:val="single" w:sz="8" w:space="0" w:color="auto"/>
            </w:tcBorders>
            <w:shd w:val="clear" w:color="auto" w:fill="auto"/>
            <w:noWrap/>
            <w:vAlign w:val="center"/>
            <w:hideMark/>
          </w:tcPr>
          <w:p w14:paraId="1BE4C772"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w:t>
            </w:r>
          </w:p>
        </w:tc>
      </w:tr>
    </w:tbl>
    <w:p w14:paraId="6A658C4B" w14:textId="60D32354" w:rsidR="00427680" w:rsidRDefault="0021402F" w:rsidP="00B5023C">
      <w:pPr>
        <w:rPr>
          <w:lang w:eastAsia="es-CR"/>
        </w:rPr>
      </w:pPr>
      <w:r>
        <w:rPr>
          <w:lang w:eastAsia="es-CR"/>
        </w:rPr>
        <w:fldChar w:fldCharType="end"/>
      </w:r>
    </w:p>
    <w:p w14:paraId="1EFF3E23" w14:textId="77777777" w:rsidR="00484AB4" w:rsidRDefault="00484AB4" w:rsidP="00B5023C">
      <w:pPr>
        <w:rPr>
          <w:lang w:eastAsia="es-CR"/>
        </w:rPr>
      </w:pPr>
    </w:p>
    <w:p w14:paraId="2DAE3534" w14:textId="7CE23784" w:rsidR="009131F0" w:rsidRDefault="009131F0" w:rsidP="009131F0">
      <w:pPr>
        <w:spacing w:before="240"/>
        <w:rPr>
          <w:lang w:val="es-MX"/>
        </w:rPr>
      </w:pPr>
      <w:r w:rsidRPr="003516A2">
        <w:rPr>
          <w:b/>
          <w:color w:val="FFFFFF" w:themeColor="background1"/>
          <w:highlight w:val="darkBlue"/>
          <w:u w:val="single"/>
        </w:rPr>
        <w:lastRenderedPageBreak/>
        <w:t>Reconocimiento:</w:t>
      </w:r>
      <w:r>
        <w:rPr>
          <w:b/>
          <w:color w:val="FFFFFF" w:themeColor="background1"/>
          <w:highlight w:val="darkBlue"/>
          <w:u w:val="single"/>
        </w:rPr>
        <w:t xml:space="preserve"> </w:t>
      </w:r>
    </w:p>
    <w:p w14:paraId="47DE6BE6" w14:textId="77777777" w:rsidR="0055259B" w:rsidRDefault="0055259B" w:rsidP="0055259B">
      <w:pPr>
        <w:spacing w:before="240" w:line="240" w:lineRule="auto"/>
        <w:rPr>
          <w:bCs/>
        </w:rPr>
      </w:pPr>
      <w:r w:rsidRPr="00EB24D2">
        <w:rPr>
          <w:bCs/>
        </w:rPr>
        <w:t xml:space="preserve">A la </w:t>
      </w:r>
      <w:r>
        <w:rPr>
          <w:bCs/>
        </w:rPr>
        <w:t xml:space="preserve">fecha de presentación de los EEFF </w:t>
      </w:r>
      <w:r w:rsidRPr="00E83953">
        <w:rPr>
          <w:bCs/>
        </w:rPr>
        <w:t>la Municipalidad</w:t>
      </w:r>
      <w:r>
        <w:rPr>
          <w:bCs/>
        </w:rPr>
        <w:t xml:space="preserve"> de Buenos Aires está realizando</w:t>
      </w:r>
      <w:r w:rsidRPr="00E83953">
        <w:rPr>
          <w:bCs/>
        </w:rPr>
        <w:t xml:space="preserve"> las gestiones con el Comité </w:t>
      </w:r>
      <w:r>
        <w:rPr>
          <w:bCs/>
        </w:rPr>
        <w:t xml:space="preserve">Cantonal </w:t>
      </w:r>
      <w:r w:rsidRPr="00E83953">
        <w:rPr>
          <w:bCs/>
        </w:rPr>
        <w:t xml:space="preserve">de Deportes </w:t>
      </w:r>
      <w:r>
        <w:rPr>
          <w:bCs/>
        </w:rPr>
        <w:t xml:space="preserve">y Recreación </w:t>
      </w:r>
      <w:r w:rsidRPr="00E83953">
        <w:rPr>
          <w:bCs/>
        </w:rPr>
        <w:t>para la remisión de la información pertinente.</w:t>
      </w:r>
      <w:r>
        <w:rPr>
          <w:bCs/>
        </w:rPr>
        <w:t xml:space="preserve"> Asimismo, se está desarrollando la normativa pertinente para regular lo atinente a la consolidación y la elaboración de los estados financieros consolidados.</w:t>
      </w:r>
    </w:p>
    <w:p w14:paraId="0F3BE296" w14:textId="77777777" w:rsidR="009131F0" w:rsidRDefault="009131F0" w:rsidP="009131F0">
      <w:pPr>
        <w:spacing w:line="240" w:lineRule="auto"/>
        <w:rPr>
          <w:b/>
          <w:u w:val="single"/>
        </w:rPr>
      </w:pPr>
    </w:p>
    <w:p w14:paraId="07704E0A" w14:textId="77777777" w:rsidR="009131F0" w:rsidRPr="003516A2" w:rsidRDefault="009131F0" w:rsidP="009131F0">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6F074082" w14:textId="77777777" w:rsidR="0055259B" w:rsidRDefault="0055259B" w:rsidP="0055259B">
      <w:pPr>
        <w:spacing w:line="240" w:lineRule="auto"/>
        <w:rPr>
          <w:lang w:val="es-MX"/>
        </w:rPr>
      </w:pPr>
      <w:bookmarkStart w:id="125" w:name="_Toc82768896"/>
      <w:r w:rsidRPr="00EB24D2">
        <w:rPr>
          <w:bCs/>
        </w:rPr>
        <w:t xml:space="preserve">A la </w:t>
      </w:r>
      <w:r>
        <w:rPr>
          <w:bCs/>
        </w:rPr>
        <w:t xml:space="preserve">fecha de presentación de los EEFF </w:t>
      </w:r>
      <w:r w:rsidRPr="00E83953">
        <w:rPr>
          <w:bCs/>
        </w:rPr>
        <w:t>la Municipalidad</w:t>
      </w:r>
      <w:r>
        <w:rPr>
          <w:bCs/>
        </w:rPr>
        <w:t xml:space="preserve"> de Buenos Aires está desarrollando la normativa pertinente para regular lo atinente a la consolidación y la elaboración de los estados financieros consolidados.</w:t>
      </w:r>
    </w:p>
    <w:p w14:paraId="5486D8C7" w14:textId="65F5E7DC" w:rsidR="00864B5A" w:rsidRDefault="00864B5A" w:rsidP="00B5023C">
      <w:pPr>
        <w:rPr>
          <w:b/>
          <w:u w:val="single"/>
        </w:rPr>
      </w:pPr>
      <w:r w:rsidRPr="009131F0">
        <w:rPr>
          <w:b/>
          <w:color w:val="FFFFFF" w:themeColor="background1"/>
          <w:highlight w:val="darkBlue"/>
          <w:u w:val="single"/>
        </w:rPr>
        <w:t>Revelación Suficiente:</w:t>
      </w:r>
      <w:r w:rsidRPr="00864B5A">
        <w:rPr>
          <w:b/>
          <w:u w:val="single"/>
        </w:rPr>
        <w:t xml:space="preserve"> </w:t>
      </w:r>
      <w:r w:rsidR="00482942">
        <w:rPr>
          <w:b/>
          <w:u w:val="single"/>
        </w:rPr>
        <w:t xml:space="preserve">El ente debe revelar y cumplir </w:t>
      </w:r>
      <w:r w:rsidRPr="00864B5A">
        <w:rPr>
          <w:b/>
          <w:u w:val="single"/>
        </w:rPr>
        <w:t xml:space="preserve">con lo estipulado en revelación </w:t>
      </w:r>
      <w:r w:rsidR="00482942">
        <w:rPr>
          <w:b/>
          <w:u w:val="single"/>
        </w:rPr>
        <w:t>conforme</w:t>
      </w:r>
      <w:r w:rsidRPr="00864B5A">
        <w:rPr>
          <w:b/>
          <w:u w:val="single"/>
        </w:rPr>
        <w:t xml:space="preserve"> a la NICSP, también debe considerar la política general y los párrafos incluidos en la matriz de autoevaluación referente a esta NICSP y guías de aplicación (Ver GA de la NICSP 35):</w:t>
      </w:r>
    </w:p>
    <w:p w14:paraId="713A5824" w14:textId="77777777" w:rsidR="0055259B" w:rsidRPr="00CA2578" w:rsidRDefault="0055259B" w:rsidP="0055259B">
      <w:pPr>
        <w:spacing w:after="0" w:line="240" w:lineRule="auto"/>
        <w:rPr>
          <w:szCs w:val="24"/>
        </w:rPr>
      </w:pPr>
      <w:r w:rsidRPr="00CA2578">
        <w:rPr>
          <w:szCs w:val="24"/>
        </w:rPr>
        <w:t>Los estados financieros de la controladora y de sus entidades controladas, utilizados para la elaboración de los estados financieros consolidados, deben referirse a la misma fecha de presentación. Cuando las fechas de presentación de la controladora y de la controlada sean diferentes, ésta última elaborará, a efectos de la consolidación, estados financieros adicionales a la misma fecha que los de la controladora, a menos que sea impracticable hacerlo.</w:t>
      </w:r>
    </w:p>
    <w:p w14:paraId="66544873" w14:textId="77777777" w:rsidR="0055259B" w:rsidRPr="00CA2578" w:rsidRDefault="0055259B" w:rsidP="0055259B">
      <w:pPr>
        <w:spacing w:after="0" w:line="240" w:lineRule="auto"/>
        <w:rPr>
          <w:szCs w:val="24"/>
        </w:rPr>
      </w:pPr>
    </w:p>
    <w:p w14:paraId="4A6C48DB" w14:textId="77777777" w:rsidR="0055259B" w:rsidRDefault="0055259B" w:rsidP="0055259B">
      <w:pPr>
        <w:spacing w:after="120" w:line="240" w:lineRule="auto"/>
        <w:rPr>
          <w:szCs w:val="24"/>
        </w:rPr>
      </w:pPr>
      <w:r>
        <w:rPr>
          <w:szCs w:val="24"/>
        </w:rPr>
        <w:t>El proceso de consolidación implica la realización de las siguientes actividades:</w:t>
      </w:r>
    </w:p>
    <w:p w14:paraId="3733D4AC" w14:textId="77777777" w:rsidR="0055259B" w:rsidRPr="005C561B" w:rsidRDefault="0055259B" w:rsidP="007F4626">
      <w:pPr>
        <w:pStyle w:val="Prrafodelista"/>
        <w:numPr>
          <w:ilvl w:val="0"/>
          <w:numId w:val="48"/>
        </w:numPr>
        <w:spacing w:after="120" w:line="240" w:lineRule="auto"/>
        <w:ind w:left="284" w:hanging="357"/>
        <w:contextualSpacing w:val="0"/>
        <w:rPr>
          <w:szCs w:val="24"/>
        </w:rPr>
      </w:pPr>
      <w:r w:rsidRPr="005C561B">
        <w:rPr>
          <w:szCs w:val="24"/>
        </w:rPr>
        <w:t>Los estados consolidados deben elaborarse utilizando políticas contables uniformes para transacciones y otros eventos que, siendo similares, se hayan producido en circunstancias parecidas.</w:t>
      </w:r>
    </w:p>
    <w:p w14:paraId="5A729F87" w14:textId="77777777" w:rsidR="0055259B" w:rsidRPr="005C561B" w:rsidRDefault="0055259B" w:rsidP="007F4626">
      <w:pPr>
        <w:pStyle w:val="Prrafodelista"/>
        <w:numPr>
          <w:ilvl w:val="0"/>
          <w:numId w:val="48"/>
        </w:numPr>
        <w:autoSpaceDE w:val="0"/>
        <w:autoSpaceDN w:val="0"/>
        <w:adjustRightInd w:val="0"/>
        <w:spacing w:after="120" w:line="240" w:lineRule="auto"/>
        <w:ind w:left="284" w:hanging="357"/>
        <w:contextualSpacing w:val="0"/>
        <w:rPr>
          <w:rFonts w:cs="Times New Roman"/>
          <w:color w:val="000000"/>
          <w:szCs w:val="24"/>
        </w:rPr>
      </w:pPr>
      <w:r w:rsidRPr="005C561B">
        <w:rPr>
          <w:rFonts w:cs="Arial"/>
          <w:color w:val="000000"/>
          <w:szCs w:val="24"/>
        </w:rPr>
        <w:t xml:space="preserve">Se combinan partidas similares de activos, pasivos, activos netos/patrimonio, ingresos, gastos y flujos de efectivo de la entidad controladora con los de sus entidades controladas. </w:t>
      </w:r>
    </w:p>
    <w:p w14:paraId="7A5EDE19" w14:textId="77777777" w:rsidR="0055259B" w:rsidRPr="005C561B" w:rsidRDefault="0055259B" w:rsidP="007F4626">
      <w:pPr>
        <w:pStyle w:val="Prrafodelista"/>
        <w:numPr>
          <w:ilvl w:val="0"/>
          <w:numId w:val="48"/>
        </w:numPr>
        <w:spacing w:after="120" w:line="240" w:lineRule="auto"/>
        <w:ind w:left="284" w:hanging="357"/>
        <w:contextualSpacing w:val="0"/>
        <w:rPr>
          <w:rFonts w:cs="Arial"/>
          <w:color w:val="000000"/>
          <w:szCs w:val="24"/>
        </w:rPr>
      </w:pPr>
      <w:r w:rsidRPr="005C561B">
        <w:rPr>
          <w:rFonts w:cs="Arial"/>
          <w:color w:val="000000"/>
          <w:szCs w:val="24"/>
        </w:rPr>
        <w:t>Se eliminan en su totalidad los activos, pasivos, activos netos/patrimonio, ingresos, gastos y flujos de efectivo internos de la entidad económica relacionados con transacciones entre las entidades de la entidad económica [los resultados (ahorro o desahorro) del periodo procedentes de transacciones internas de la entidad económica que están reconocidos en activos, tales como inventarios y activos fijos, se eliminan totalmente]. Las pérdidas internas de la entidad económica podrían indicar un deterioro de valor de los activos que requiere reconocimiento en los estados financieros consolidados.</w:t>
      </w:r>
    </w:p>
    <w:p w14:paraId="247B600B" w14:textId="77777777" w:rsidR="0055259B" w:rsidRPr="005C561B" w:rsidRDefault="0055259B" w:rsidP="007F4626">
      <w:pPr>
        <w:pStyle w:val="Prrafodelista"/>
        <w:numPr>
          <w:ilvl w:val="0"/>
          <w:numId w:val="48"/>
        </w:numPr>
        <w:spacing w:after="0" w:line="240" w:lineRule="auto"/>
        <w:ind w:left="284" w:hanging="357"/>
        <w:contextualSpacing w:val="0"/>
        <w:rPr>
          <w:rFonts w:cs="Arial"/>
          <w:color w:val="000000"/>
          <w:szCs w:val="24"/>
        </w:rPr>
      </w:pPr>
      <w:r w:rsidRPr="005C561B">
        <w:rPr>
          <w:szCs w:val="24"/>
        </w:rPr>
        <w:t>Previo a la fecha de presentación, las instituciones deberán realizar el proceso de confirmación de saldos contables entre los entes relacionados con el fin de proveer información para las eliminaciones de acuerdo a la técnica de consolidación.</w:t>
      </w:r>
    </w:p>
    <w:p w14:paraId="2C203C52" w14:textId="77777777" w:rsidR="0055259B" w:rsidRDefault="0055259B" w:rsidP="0055259B">
      <w:pPr>
        <w:spacing w:after="0" w:line="240" w:lineRule="auto"/>
        <w:rPr>
          <w:szCs w:val="24"/>
        </w:rPr>
      </w:pPr>
    </w:p>
    <w:p w14:paraId="6BB6E3B6" w14:textId="70CBCFA6" w:rsidR="0055259B" w:rsidRDefault="0055259B" w:rsidP="0055259B">
      <w:pPr>
        <w:spacing w:after="0" w:line="240" w:lineRule="auto"/>
        <w:rPr>
          <w:szCs w:val="24"/>
        </w:rPr>
      </w:pPr>
      <w:r>
        <w:rPr>
          <w:szCs w:val="24"/>
        </w:rPr>
        <w:t>Al</w:t>
      </w:r>
      <w:r w:rsidRPr="005C561B">
        <w:rPr>
          <w:szCs w:val="24"/>
        </w:rPr>
        <w:t xml:space="preserve"> </w:t>
      </w:r>
      <w:r w:rsidR="00796636">
        <w:rPr>
          <w:szCs w:val="24"/>
        </w:rPr>
        <w:t>31</w:t>
      </w:r>
      <w:r>
        <w:rPr>
          <w:szCs w:val="24"/>
        </w:rPr>
        <w:t xml:space="preserve"> de </w:t>
      </w:r>
      <w:r w:rsidR="00D64CF8">
        <w:rPr>
          <w:szCs w:val="24"/>
        </w:rPr>
        <w:t>diciembre</w:t>
      </w:r>
      <w:r>
        <w:rPr>
          <w:szCs w:val="24"/>
        </w:rPr>
        <w:t xml:space="preserve"> de</w:t>
      </w:r>
      <w:r w:rsidRPr="005C561B">
        <w:rPr>
          <w:szCs w:val="24"/>
        </w:rPr>
        <w:t xml:space="preserve"> 202</w:t>
      </w:r>
      <w:r>
        <w:rPr>
          <w:szCs w:val="24"/>
        </w:rPr>
        <w:t>4</w:t>
      </w:r>
      <w:r w:rsidRPr="005C561B">
        <w:rPr>
          <w:szCs w:val="24"/>
        </w:rPr>
        <w:t xml:space="preserve">, no se tiene consolidada la información con el Comité Cantonal de Deportes y Recreación (CCDR) de Buenos Aires, que es el único órgano con el que corresponde consolidar estados financieros. Esto por cuanto dicho Comité se encuentra también en proceso de </w:t>
      </w:r>
      <w:r w:rsidRPr="005C561B">
        <w:rPr>
          <w:szCs w:val="24"/>
        </w:rPr>
        <w:lastRenderedPageBreak/>
        <w:t>implementación y aplicación de las NICSP y la Municipalidad se encuentra coordinando lo pertinente para definir y consensuar alguna información propia del Comité y su registro contable, para su posterior consolidación.</w:t>
      </w:r>
    </w:p>
    <w:p w14:paraId="624AB9B9" w14:textId="77777777" w:rsidR="0055259B" w:rsidRDefault="0055259B" w:rsidP="0055259B">
      <w:pPr>
        <w:spacing w:after="0" w:line="240" w:lineRule="auto"/>
        <w:rPr>
          <w:szCs w:val="24"/>
        </w:rPr>
      </w:pPr>
    </w:p>
    <w:p w14:paraId="67C3CABE" w14:textId="10F268DB" w:rsidR="0055259B" w:rsidRPr="009A474F" w:rsidRDefault="0055259B" w:rsidP="0055259B">
      <w:pPr>
        <w:spacing w:line="240" w:lineRule="auto"/>
        <w:rPr>
          <w:szCs w:val="24"/>
          <w:lang w:eastAsia="es-CR"/>
        </w:rPr>
      </w:pPr>
      <w:r w:rsidRPr="009A474F">
        <w:rPr>
          <w:szCs w:val="24"/>
          <w:lang w:eastAsia="es-CR"/>
        </w:rPr>
        <w:t xml:space="preserve">De acuerdo con lo consignado en la Matriz de NICSP y Plan de Acción al </w:t>
      </w:r>
      <w:r w:rsidR="00796636" w:rsidRPr="009A474F">
        <w:rPr>
          <w:szCs w:val="24"/>
          <w:lang w:eastAsia="es-CR"/>
        </w:rPr>
        <w:t>31</w:t>
      </w:r>
      <w:r w:rsidRPr="009A474F">
        <w:rPr>
          <w:szCs w:val="24"/>
          <w:lang w:eastAsia="es-CR"/>
        </w:rPr>
        <w:t xml:space="preserve"> de </w:t>
      </w:r>
      <w:r w:rsidR="00D64CF8" w:rsidRPr="009A474F">
        <w:rPr>
          <w:szCs w:val="24"/>
          <w:lang w:eastAsia="es-CR"/>
        </w:rPr>
        <w:t>diciembre</w:t>
      </w:r>
      <w:r w:rsidRPr="009A474F">
        <w:rPr>
          <w:szCs w:val="24"/>
          <w:lang w:eastAsia="es-CR"/>
        </w:rPr>
        <w:t xml:space="preserve"> de 2024, se encuentra pendiente de implementar lo siguiente:</w:t>
      </w:r>
    </w:p>
    <w:p w14:paraId="5D45C160" w14:textId="77777777" w:rsidR="0055259B" w:rsidRPr="0055259B" w:rsidRDefault="0055259B" w:rsidP="0055259B">
      <w:pPr>
        <w:spacing w:after="0" w:line="240" w:lineRule="auto"/>
        <w:rPr>
          <w:szCs w:val="24"/>
          <w:highlight w:val="yellow"/>
          <w:lang w:eastAsia="es-CR"/>
        </w:rPr>
      </w:pPr>
    </w:p>
    <w:tbl>
      <w:tblPr>
        <w:tblW w:w="8860" w:type="dxa"/>
        <w:tblLook w:val="04A0" w:firstRow="1" w:lastRow="0" w:firstColumn="1" w:lastColumn="0" w:noHBand="0" w:noVBand="1"/>
      </w:tblPr>
      <w:tblGrid>
        <w:gridCol w:w="7360"/>
        <w:gridCol w:w="1500"/>
      </w:tblGrid>
      <w:tr w:rsidR="0055259B" w:rsidRPr="0055259B" w14:paraId="32C5BDC8" w14:textId="77777777" w:rsidTr="0061790F">
        <w:trPr>
          <w:trHeight w:val="530"/>
        </w:trPr>
        <w:tc>
          <w:tcPr>
            <w:tcW w:w="7360"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58185E5C" w14:textId="77777777" w:rsidR="0055259B" w:rsidRPr="007077A8" w:rsidRDefault="0055259B" w:rsidP="0061790F">
            <w:pPr>
              <w:spacing w:after="0" w:line="240" w:lineRule="auto"/>
              <w:jc w:val="center"/>
              <w:rPr>
                <w:rFonts w:eastAsia="Times New Roman" w:cs="Calibri"/>
                <w:b/>
                <w:bCs/>
                <w:sz w:val="20"/>
                <w:szCs w:val="20"/>
                <w:lang w:val="en-US"/>
              </w:rPr>
            </w:pPr>
            <w:proofErr w:type="spellStart"/>
            <w:r w:rsidRPr="007077A8">
              <w:rPr>
                <w:rFonts w:eastAsia="Times New Roman" w:cs="Calibri"/>
                <w:b/>
                <w:bCs/>
                <w:sz w:val="20"/>
                <w:szCs w:val="20"/>
                <w:lang w:val="en-US"/>
              </w:rPr>
              <w:t>Actividades</w:t>
            </w:r>
            <w:proofErr w:type="spellEnd"/>
            <w:r w:rsidRPr="007077A8">
              <w:rPr>
                <w:rFonts w:eastAsia="Times New Roman" w:cs="Calibri"/>
                <w:b/>
                <w:bCs/>
                <w:sz w:val="20"/>
                <w:szCs w:val="20"/>
                <w:lang w:val="en-US"/>
              </w:rPr>
              <w:t xml:space="preserve"> </w:t>
            </w:r>
            <w:proofErr w:type="spellStart"/>
            <w:r w:rsidRPr="007077A8">
              <w:rPr>
                <w:rFonts w:eastAsia="Times New Roman" w:cs="Calibri"/>
                <w:b/>
                <w:bCs/>
                <w:sz w:val="20"/>
                <w:szCs w:val="20"/>
                <w:lang w:val="en-US"/>
              </w:rPr>
              <w:t>Pendientes</w:t>
            </w:r>
            <w:proofErr w:type="spellEnd"/>
            <w:r w:rsidRPr="007077A8">
              <w:rPr>
                <w:rFonts w:eastAsia="Times New Roman" w:cs="Calibri"/>
                <w:b/>
                <w:bCs/>
                <w:sz w:val="20"/>
                <w:szCs w:val="20"/>
                <w:lang w:val="en-US"/>
              </w:rPr>
              <w:t xml:space="preserve"> de </w:t>
            </w:r>
            <w:proofErr w:type="spellStart"/>
            <w:r w:rsidRPr="007077A8">
              <w:rPr>
                <w:rFonts w:eastAsia="Times New Roman" w:cs="Calibri"/>
                <w:b/>
                <w:bCs/>
                <w:sz w:val="20"/>
                <w:szCs w:val="20"/>
                <w:lang w:val="en-US"/>
              </w:rPr>
              <w:t>Cumplimiento</w:t>
            </w:r>
            <w:proofErr w:type="spellEnd"/>
          </w:p>
        </w:tc>
        <w:tc>
          <w:tcPr>
            <w:tcW w:w="1500" w:type="dxa"/>
            <w:tcBorders>
              <w:top w:val="single" w:sz="8" w:space="0" w:color="auto"/>
              <w:left w:val="nil"/>
              <w:bottom w:val="single" w:sz="4" w:space="0" w:color="auto"/>
              <w:right w:val="single" w:sz="8" w:space="0" w:color="auto"/>
            </w:tcBorders>
            <w:shd w:val="clear" w:color="000000" w:fill="FFFFFF"/>
            <w:vAlign w:val="bottom"/>
            <w:hideMark/>
          </w:tcPr>
          <w:p w14:paraId="39E8CB23" w14:textId="77777777" w:rsidR="0055259B" w:rsidRPr="007077A8" w:rsidRDefault="0055259B" w:rsidP="0061790F">
            <w:pPr>
              <w:spacing w:after="0" w:line="240" w:lineRule="auto"/>
              <w:jc w:val="center"/>
              <w:rPr>
                <w:rFonts w:eastAsia="Times New Roman" w:cs="Calibri"/>
                <w:b/>
                <w:bCs/>
                <w:color w:val="000000"/>
                <w:sz w:val="20"/>
                <w:szCs w:val="20"/>
                <w:lang w:val="en-US"/>
              </w:rPr>
            </w:pPr>
            <w:proofErr w:type="spellStart"/>
            <w:r w:rsidRPr="007077A8">
              <w:rPr>
                <w:rFonts w:eastAsia="Times New Roman" w:cs="Calibri"/>
                <w:b/>
                <w:bCs/>
                <w:color w:val="000000"/>
                <w:sz w:val="20"/>
                <w:szCs w:val="20"/>
                <w:lang w:val="en-US"/>
              </w:rPr>
              <w:t>Fecha</w:t>
            </w:r>
            <w:proofErr w:type="spellEnd"/>
            <w:r w:rsidRPr="007077A8">
              <w:rPr>
                <w:rFonts w:eastAsia="Times New Roman" w:cs="Calibri"/>
                <w:b/>
                <w:bCs/>
                <w:color w:val="000000"/>
                <w:sz w:val="20"/>
                <w:szCs w:val="20"/>
                <w:lang w:val="en-US"/>
              </w:rPr>
              <w:t xml:space="preserve"> </w:t>
            </w:r>
            <w:proofErr w:type="spellStart"/>
            <w:r w:rsidRPr="007077A8">
              <w:rPr>
                <w:rFonts w:eastAsia="Times New Roman" w:cs="Calibri"/>
                <w:b/>
                <w:bCs/>
                <w:color w:val="000000"/>
                <w:sz w:val="20"/>
                <w:szCs w:val="20"/>
                <w:lang w:val="en-US"/>
              </w:rPr>
              <w:t>Estimada</w:t>
            </w:r>
            <w:proofErr w:type="spellEnd"/>
            <w:r w:rsidRPr="007077A8">
              <w:rPr>
                <w:rFonts w:eastAsia="Times New Roman" w:cs="Calibri"/>
                <w:b/>
                <w:bCs/>
                <w:color w:val="000000"/>
                <w:sz w:val="20"/>
                <w:szCs w:val="20"/>
                <w:lang w:val="en-US"/>
              </w:rPr>
              <w:t xml:space="preserve"> </w:t>
            </w:r>
            <w:proofErr w:type="spellStart"/>
            <w:r w:rsidRPr="007077A8">
              <w:rPr>
                <w:rFonts w:eastAsia="Times New Roman" w:cs="Calibri"/>
                <w:b/>
                <w:bCs/>
                <w:color w:val="000000"/>
                <w:sz w:val="20"/>
                <w:szCs w:val="20"/>
                <w:lang w:val="en-US"/>
              </w:rPr>
              <w:t>Cumplimiento</w:t>
            </w:r>
            <w:proofErr w:type="spellEnd"/>
          </w:p>
        </w:tc>
      </w:tr>
      <w:tr w:rsidR="0055259B" w:rsidRPr="0055259B" w14:paraId="47EF9B9F" w14:textId="77777777" w:rsidTr="0061790F">
        <w:trPr>
          <w:trHeight w:val="520"/>
        </w:trPr>
        <w:tc>
          <w:tcPr>
            <w:tcW w:w="7360" w:type="dxa"/>
            <w:tcBorders>
              <w:top w:val="nil"/>
              <w:left w:val="single" w:sz="8" w:space="0" w:color="auto"/>
              <w:bottom w:val="single" w:sz="4" w:space="0" w:color="auto"/>
              <w:right w:val="single" w:sz="4" w:space="0" w:color="auto"/>
            </w:tcBorders>
            <w:shd w:val="clear" w:color="000000" w:fill="FFFFFF"/>
            <w:hideMark/>
          </w:tcPr>
          <w:p w14:paraId="670E60BE" w14:textId="77777777" w:rsidR="0055259B" w:rsidRPr="007077A8" w:rsidRDefault="0055259B" w:rsidP="0061790F">
            <w:pPr>
              <w:spacing w:after="0" w:line="240" w:lineRule="auto"/>
              <w:rPr>
                <w:rFonts w:eastAsia="Times New Roman" w:cs="Calibri"/>
                <w:color w:val="000000"/>
                <w:sz w:val="20"/>
                <w:szCs w:val="20"/>
              </w:rPr>
            </w:pPr>
            <w:r w:rsidRPr="007077A8">
              <w:rPr>
                <w:rFonts w:eastAsia="Times New Roman" w:cs="Calibri"/>
                <w:color w:val="000000"/>
                <w:sz w:val="20"/>
                <w:szCs w:val="20"/>
              </w:rPr>
              <w:t>Suministrar la información y solicitar el registro contable del Comité de Deportes, con base en las NICSP y catálogo de cuentas de CN.</w:t>
            </w:r>
          </w:p>
        </w:tc>
        <w:tc>
          <w:tcPr>
            <w:tcW w:w="1500" w:type="dxa"/>
            <w:tcBorders>
              <w:top w:val="nil"/>
              <w:left w:val="nil"/>
              <w:bottom w:val="single" w:sz="4" w:space="0" w:color="auto"/>
              <w:right w:val="single" w:sz="8" w:space="0" w:color="auto"/>
            </w:tcBorders>
            <w:shd w:val="clear" w:color="000000" w:fill="FFFFFF"/>
            <w:noWrap/>
            <w:vAlign w:val="center"/>
            <w:hideMark/>
          </w:tcPr>
          <w:p w14:paraId="2DA256FB" w14:textId="4250F5D1" w:rsidR="0055259B" w:rsidRPr="007077A8" w:rsidRDefault="00796636" w:rsidP="0061790F">
            <w:pPr>
              <w:spacing w:after="0" w:line="240" w:lineRule="auto"/>
              <w:jc w:val="center"/>
              <w:rPr>
                <w:rFonts w:eastAsia="Times New Roman" w:cs="Calibri"/>
                <w:sz w:val="20"/>
                <w:szCs w:val="20"/>
                <w:lang w:val="en-US"/>
              </w:rPr>
            </w:pPr>
            <w:r w:rsidRPr="007077A8">
              <w:rPr>
                <w:rFonts w:eastAsia="Times New Roman" w:cs="Calibri"/>
                <w:sz w:val="20"/>
                <w:szCs w:val="20"/>
                <w:lang w:val="en-US"/>
              </w:rPr>
              <w:t>3</w:t>
            </w:r>
            <w:r w:rsidR="009A474F" w:rsidRPr="007077A8">
              <w:rPr>
                <w:rFonts w:eastAsia="Times New Roman" w:cs="Calibri"/>
                <w:sz w:val="20"/>
                <w:szCs w:val="20"/>
                <w:lang w:val="en-US"/>
              </w:rPr>
              <w:t>0</w:t>
            </w:r>
            <w:r w:rsidR="007D492D" w:rsidRPr="007077A8">
              <w:rPr>
                <w:rFonts w:eastAsia="Times New Roman" w:cs="Calibri"/>
                <w:sz w:val="20"/>
                <w:szCs w:val="20"/>
                <w:lang w:val="en-US"/>
              </w:rPr>
              <w:t>/06/25</w:t>
            </w:r>
          </w:p>
        </w:tc>
      </w:tr>
      <w:tr w:rsidR="009A474F" w:rsidRPr="0055259B" w14:paraId="212C3FFB" w14:textId="77777777" w:rsidTr="00A51EF0">
        <w:trPr>
          <w:trHeight w:val="520"/>
        </w:trPr>
        <w:tc>
          <w:tcPr>
            <w:tcW w:w="7360" w:type="dxa"/>
            <w:tcBorders>
              <w:top w:val="nil"/>
              <w:left w:val="single" w:sz="8" w:space="0" w:color="auto"/>
              <w:bottom w:val="single" w:sz="4" w:space="0" w:color="auto"/>
              <w:right w:val="single" w:sz="4" w:space="0" w:color="auto"/>
            </w:tcBorders>
            <w:shd w:val="clear" w:color="000000" w:fill="FFFFFF"/>
            <w:hideMark/>
          </w:tcPr>
          <w:p w14:paraId="4E3204B1" w14:textId="77777777" w:rsidR="009A474F" w:rsidRPr="007077A8" w:rsidRDefault="009A474F" w:rsidP="009A474F">
            <w:pPr>
              <w:spacing w:after="0" w:line="240" w:lineRule="auto"/>
              <w:rPr>
                <w:rFonts w:eastAsia="Times New Roman" w:cs="Calibri"/>
                <w:color w:val="000000"/>
                <w:sz w:val="20"/>
                <w:szCs w:val="20"/>
              </w:rPr>
            </w:pPr>
            <w:r w:rsidRPr="007077A8">
              <w:rPr>
                <w:rFonts w:eastAsia="Times New Roman" w:cs="Calibri"/>
                <w:color w:val="000000"/>
                <w:sz w:val="20"/>
                <w:szCs w:val="20"/>
              </w:rPr>
              <w:t>Solicitar al Comité de Deportes la conciliación de saldos, sobre las cuentas relacionadas con la transferencia municipal.</w:t>
            </w:r>
          </w:p>
        </w:tc>
        <w:tc>
          <w:tcPr>
            <w:tcW w:w="1500" w:type="dxa"/>
            <w:tcBorders>
              <w:top w:val="nil"/>
              <w:left w:val="nil"/>
              <w:bottom w:val="single" w:sz="4" w:space="0" w:color="auto"/>
              <w:right w:val="single" w:sz="8" w:space="0" w:color="auto"/>
            </w:tcBorders>
            <w:shd w:val="clear" w:color="000000" w:fill="FFFFFF"/>
            <w:noWrap/>
            <w:vAlign w:val="center"/>
            <w:hideMark/>
          </w:tcPr>
          <w:p w14:paraId="6FEAE3A6" w14:textId="475FE49D" w:rsidR="009A474F" w:rsidRPr="007077A8" w:rsidRDefault="009A474F" w:rsidP="009A474F">
            <w:pPr>
              <w:spacing w:after="0" w:line="240" w:lineRule="auto"/>
              <w:jc w:val="center"/>
              <w:rPr>
                <w:rFonts w:eastAsia="Times New Roman" w:cs="Calibri"/>
                <w:sz w:val="20"/>
                <w:szCs w:val="20"/>
                <w:lang w:val="en-US"/>
              </w:rPr>
            </w:pPr>
            <w:r w:rsidRPr="007077A8">
              <w:rPr>
                <w:rFonts w:eastAsia="Times New Roman" w:cs="Calibri"/>
                <w:sz w:val="20"/>
                <w:szCs w:val="20"/>
                <w:lang w:val="en-US"/>
              </w:rPr>
              <w:t>30/06/25</w:t>
            </w:r>
          </w:p>
        </w:tc>
      </w:tr>
      <w:tr w:rsidR="009A474F" w:rsidRPr="0055259B" w14:paraId="3B3A8B5D" w14:textId="77777777" w:rsidTr="00A51EF0">
        <w:trPr>
          <w:trHeight w:val="520"/>
        </w:trPr>
        <w:tc>
          <w:tcPr>
            <w:tcW w:w="7360" w:type="dxa"/>
            <w:tcBorders>
              <w:top w:val="nil"/>
              <w:left w:val="single" w:sz="8" w:space="0" w:color="auto"/>
              <w:bottom w:val="single" w:sz="4" w:space="0" w:color="auto"/>
              <w:right w:val="single" w:sz="4" w:space="0" w:color="auto"/>
            </w:tcBorders>
            <w:shd w:val="clear" w:color="000000" w:fill="FFFFFF"/>
            <w:hideMark/>
          </w:tcPr>
          <w:p w14:paraId="399F5095" w14:textId="77777777" w:rsidR="009A474F" w:rsidRPr="007077A8" w:rsidRDefault="009A474F" w:rsidP="009A474F">
            <w:pPr>
              <w:spacing w:after="0" w:line="240" w:lineRule="auto"/>
              <w:rPr>
                <w:rFonts w:eastAsia="Times New Roman" w:cs="Calibri"/>
                <w:color w:val="000000"/>
                <w:sz w:val="20"/>
                <w:szCs w:val="20"/>
              </w:rPr>
            </w:pPr>
            <w:r w:rsidRPr="007077A8">
              <w:rPr>
                <w:rFonts w:eastAsia="Times New Roman" w:cs="Calibri"/>
                <w:color w:val="000000"/>
                <w:sz w:val="20"/>
                <w:szCs w:val="20"/>
              </w:rPr>
              <w:t>Revisar y comparar los Estados Financieros, e identificar cuáles cuentas deberán eliminarse para evitar duplicidad de registro en la consolidación.</w:t>
            </w:r>
          </w:p>
        </w:tc>
        <w:tc>
          <w:tcPr>
            <w:tcW w:w="1500" w:type="dxa"/>
            <w:tcBorders>
              <w:top w:val="nil"/>
              <w:left w:val="nil"/>
              <w:bottom w:val="single" w:sz="4" w:space="0" w:color="auto"/>
              <w:right w:val="single" w:sz="8" w:space="0" w:color="auto"/>
            </w:tcBorders>
            <w:shd w:val="clear" w:color="000000" w:fill="FFFFFF"/>
            <w:noWrap/>
            <w:vAlign w:val="center"/>
            <w:hideMark/>
          </w:tcPr>
          <w:p w14:paraId="2FE33A26" w14:textId="6810802D" w:rsidR="009A474F" w:rsidRPr="007077A8" w:rsidRDefault="009A474F" w:rsidP="009A474F">
            <w:pPr>
              <w:spacing w:after="0" w:line="240" w:lineRule="auto"/>
              <w:jc w:val="center"/>
              <w:rPr>
                <w:rFonts w:eastAsia="Times New Roman" w:cs="Calibri"/>
                <w:sz w:val="20"/>
                <w:szCs w:val="20"/>
                <w:lang w:val="en-US"/>
              </w:rPr>
            </w:pPr>
            <w:r w:rsidRPr="007077A8">
              <w:rPr>
                <w:rFonts w:eastAsia="Times New Roman" w:cs="Calibri"/>
                <w:sz w:val="20"/>
                <w:szCs w:val="20"/>
                <w:lang w:val="en-US"/>
              </w:rPr>
              <w:t>30/06/25</w:t>
            </w:r>
          </w:p>
        </w:tc>
      </w:tr>
      <w:tr w:rsidR="009A474F" w:rsidRPr="0055259B" w14:paraId="4FBDC659" w14:textId="77777777" w:rsidTr="00A51EF0">
        <w:trPr>
          <w:trHeight w:val="520"/>
        </w:trPr>
        <w:tc>
          <w:tcPr>
            <w:tcW w:w="7360" w:type="dxa"/>
            <w:tcBorders>
              <w:top w:val="nil"/>
              <w:left w:val="single" w:sz="8" w:space="0" w:color="auto"/>
              <w:bottom w:val="single" w:sz="4" w:space="0" w:color="auto"/>
              <w:right w:val="single" w:sz="4" w:space="0" w:color="auto"/>
            </w:tcBorders>
            <w:shd w:val="clear" w:color="000000" w:fill="FFFFFF"/>
            <w:hideMark/>
          </w:tcPr>
          <w:p w14:paraId="5001342B" w14:textId="77777777" w:rsidR="009A474F" w:rsidRPr="007077A8" w:rsidRDefault="009A474F" w:rsidP="009A474F">
            <w:pPr>
              <w:spacing w:after="0" w:line="240" w:lineRule="auto"/>
              <w:rPr>
                <w:rFonts w:eastAsia="Times New Roman" w:cs="Calibri"/>
                <w:color w:val="000000"/>
                <w:sz w:val="20"/>
                <w:szCs w:val="20"/>
              </w:rPr>
            </w:pPr>
            <w:r w:rsidRPr="007077A8">
              <w:rPr>
                <w:rFonts w:eastAsia="Times New Roman" w:cs="Calibri"/>
                <w:color w:val="000000"/>
                <w:sz w:val="20"/>
                <w:szCs w:val="20"/>
              </w:rPr>
              <w:t>Realizar los ajustes correspondientes de acuerdo con el resultado de la revisión de los saldos y movimientos, por efecto de la transferencia</w:t>
            </w:r>
          </w:p>
        </w:tc>
        <w:tc>
          <w:tcPr>
            <w:tcW w:w="1500" w:type="dxa"/>
            <w:tcBorders>
              <w:top w:val="nil"/>
              <w:left w:val="nil"/>
              <w:bottom w:val="single" w:sz="4" w:space="0" w:color="auto"/>
              <w:right w:val="single" w:sz="8" w:space="0" w:color="auto"/>
            </w:tcBorders>
            <w:shd w:val="clear" w:color="000000" w:fill="FFFFFF"/>
            <w:noWrap/>
            <w:vAlign w:val="center"/>
            <w:hideMark/>
          </w:tcPr>
          <w:p w14:paraId="593B371A" w14:textId="42126C7F" w:rsidR="009A474F" w:rsidRPr="007077A8" w:rsidRDefault="009A474F" w:rsidP="009A474F">
            <w:pPr>
              <w:spacing w:after="0" w:line="240" w:lineRule="auto"/>
              <w:jc w:val="center"/>
              <w:rPr>
                <w:rFonts w:eastAsia="Times New Roman" w:cs="Calibri"/>
                <w:sz w:val="20"/>
                <w:szCs w:val="20"/>
                <w:lang w:val="en-US"/>
              </w:rPr>
            </w:pPr>
            <w:r w:rsidRPr="007077A8">
              <w:rPr>
                <w:rFonts w:eastAsia="Times New Roman" w:cs="Calibri"/>
                <w:sz w:val="20"/>
                <w:szCs w:val="20"/>
                <w:lang w:val="en-US"/>
              </w:rPr>
              <w:t>30/06/25</w:t>
            </w:r>
          </w:p>
        </w:tc>
      </w:tr>
      <w:tr w:rsidR="009A474F" w:rsidRPr="0055259B" w14:paraId="279457AC" w14:textId="77777777" w:rsidTr="00A51EF0">
        <w:trPr>
          <w:trHeight w:val="520"/>
        </w:trPr>
        <w:tc>
          <w:tcPr>
            <w:tcW w:w="7360" w:type="dxa"/>
            <w:tcBorders>
              <w:top w:val="nil"/>
              <w:left w:val="single" w:sz="8" w:space="0" w:color="auto"/>
              <w:bottom w:val="single" w:sz="4" w:space="0" w:color="auto"/>
              <w:right w:val="single" w:sz="4" w:space="0" w:color="auto"/>
            </w:tcBorders>
            <w:shd w:val="clear" w:color="000000" w:fill="FFFFFF"/>
            <w:hideMark/>
          </w:tcPr>
          <w:p w14:paraId="3E6F1F5F" w14:textId="77777777" w:rsidR="009A474F" w:rsidRPr="007077A8" w:rsidRDefault="009A474F" w:rsidP="009A474F">
            <w:pPr>
              <w:spacing w:after="0" w:line="240" w:lineRule="auto"/>
              <w:rPr>
                <w:rFonts w:eastAsia="Times New Roman" w:cs="Calibri"/>
                <w:color w:val="000000"/>
                <w:sz w:val="20"/>
                <w:szCs w:val="20"/>
              </w:rPr>
            </w:pPr>
            <w:r w:rsidRPr="007077A8">
              <w:rPr>
                <w:rFonts w:eastAsia="Times New Roman" w:cs="Calibri"/>
                <w:color w:val="000000"/>
                <w:sz w:val="20"/>
                <w:szCs w:val="20"/>
              </w:rPr>
              <w:t>Realizar las operaciones aritméticas de agregación de saldos, para obtener los estados financieros consolidados</w:t>
            </w:r>
          </w:p>
        </w:tc>
        <w:tc>
          <w:tcPr>
            <w:tcW w:w="1500" w:type="dxa"/>
            <w:tcBorders>
              <w:top w:val="nil"/>
              <w:left w:val="nil"/>
              <w:bottom w:val="single" w:sz="4" w:space="0" w:color="auto"/>
              <w:right w:val="single" w:sz="8" w:space="0" w:color="auto"/>
            </w:tcBorders>
            <w:shd w:val="clear" w:color="000000" w:fill="FFFFFF"/>
            <w:noWrap/>
            <w:vAlign w:val="center"/>
            <w:hideMark/>
          </w:tcPr>
          <w:p w14:paraId="48134D96" w14:textId="7A90CEFD" w:rsidR="009A474F" w:rsidRPr="007077A8" w:rsidRDefault="009A474F" w:rsidP="009A474F">
            <w:pPr>
              <w:spacing w:after="0" w:line="240" w:lineRule="auto"/>
              <w:jc w:val="center"/>
              <w:rPr>
                <w:rFonts w:eastAsia="Times New Roman" w:cs="Calibri"/>
                <w:sz w:val="20"/>
                <w:szCs w:val="20"/>
                <w:lang w:val="en-US"/>
              </w:rPr>
            </w:pPr>
            <w:r w:rsidRPr="007077A8">
              <w:rPr>
                <w:rFonts w:eastAsia="Times New Roman" w:cs="Calibri"/>
                <w:sz w:val="20"/>
                <w:szCs w:val="20"/>
                <w:lang w:val="en-US"/>
              </w:rPr>
              <w:t>30/06/25</w:t>
            </w:r>
          </w:p>
        </w:tc>
      </w:tr>
      <w:tr w:rsidR="009A474F" w:rsidRPr="00C1398A" w14:paraId="78AF623D" w14:textId="77777777" w:rsidTr="00A51EF0">
        <w:trPr>
          <w:trHeight w:val="300"/>
        </w:trPr>
        <w:tc>
          <w:tcPr>
            <w:tcW w:w="7360" w:type="dxa"/>
            <w:tcBorders>
              <w:top w:val="nil"/>
              <w:left w:val="single" w:sz="8" w:space="0" w:color="auto"/>
              <w:bottom w:val="single" w:sz="8" w:space="0" w:color="auto"/>
              <w:right w:val="single" w:sz="4" w:space="0" w:color="auto"/>
            </w:tcBorders>
            <w:shd w:val="clear" w:color="000000" w:fill="FFFFFF"/>
            <w:hideMark/>
          </w:tcPr>
          <w:p w14:paraId="00F435B5" w14:textId="77777777" w:rsidR="009A474F" w:rsidRPr="007077A8" w:rsidRDefault="009A474F" w:rsidP="009A474F">
            <w:pPr>
              <w:spacing w:after="0" w:line="240" w:lineRule="auto"/>
              <w:rPr>
                <w:rFonts w:eastAsia="Times New Roman" w:cs="Calibri"/>
                <w:color w:val="000000"/>
                <w:sz w:val="20"/>
                <w:szCs w:val="20"/>
              </w:rPr>
            </w:pPr>
            <w:r w:rsidRPr="007077A8">
              <w:rPr>
                <w:rFonts w:eastAsia="Times New Roman" w:cs="Calibri"/>
                <w:color w:val="000000"/>
                <w:sz w:val="20"/>
                <w:szCs w:val="20"/>
              </w:rPr>
              <w:t>Realizar las revelaciones relacionadas con la consolidación, según la norma</w:t>
            </w:r>
          </w:p>
        </w:tc>
        <w:tc>
          <w:tcPr>
            <w:tcW w:w="1500" w:type="dxa"/>
            <w:tcBorders>
              <w:top w:val="nil"/>
              <w:left w:val="nil"/>
              <w:bottom w:val="single" w:sz="8" w:space="0" w:color="auto"/>
              <w:right w:val="single" w:sz="8" w:space="0" w:color="auto"/>
            </w:tcBorders>
            <w:shd w:val="clear" w:color="000000" w:fill="FFFFFF"/>
            <w:noWrap/>
            <w:vAlign w:val="center"/>
            <w:hideMark/>
          </w:tcPr>
          <w:p w14:paraId="33BD1A86" w14:textId="747F8DEB" w:rsidR="009A474F" w:rsidRPr="007077A8" w:rsidRDefault="009A474F" w:rsidP="009A474F">
            <w:pPr>
              <w:spacing w:after="0" w:line="240" w:lineRule="auto"/>
              <w:jc w:val="center"/>
              <w:rPr>
                <w:rFonts w:eastAsia="Times New Roman" w:cs="Calibri"/>
                <w:sz w:val="20"/>
                <w:szCs w:val="20"/>
                <w:lang w:val="en-US"/>
              </w:rPr>
            </w:pPr>
            <w:r w:rsidRPr="007077A8">
              <w:rPr>
                <w:rFonts w:eastAsia="Times New Roman" w:cs="Calibri"/>
                <w:sz w:val="20"/>
                <w:szCs w:val="20"/>
                <w:lang w:val="en-US"/>
              </w:rPr>
              <w:t>30/06/25</w:t>
            </w:r>
          </w:p>
        </w:tc>
      </w:tr>
    </w:tbl>
    <w:p w14:paraId="4D0C42C7" w14:textId="01138681" w:rsidR="00484AB4" w:rsidRDefault="007077A8" w:rsidP="00AA3177">
      <w:pPr>
        <w:pStyle w:val="Ttulo2"/>
        <w:spacing w:after="240"/>
        <w:rPr>
          <w:rFonts w:eastAsia="Times New Roman"/>
          <w:lang w:eastAsia="es-CR"/>
        </w:rPr>
      </w:pPr>
      <w:bookmarkStart w:id="126" w:name="_Toc189804820"/>
      <w:r w:rsidRPr="00EE66B3">
        <w:rPr>
          <w:color w:val="auto"/>
          <w:lang w:eastAsia="es-CR"/>
        </w:rPr>
        <w:t xml:space="preserve">Se hizo extensión a la fecha prevista esto debido a las cargas de trabajo en la institución, por tanto, no se pudo completar las actividades requeridas a la Norma </w:t>
      </w:r>
      <w:r>
        <w:rPr>
          <w:color w:val="auto"/>
          <w:lang w:val="es-MX"/>
        </w:rPr>
        <w:t>NICSP 35</w:t>
      </w:r>
      <w:bookmarkEnd w:id="126"/>
    </w:p>
    <w:p w14:paraId="3A30DF41" w14:textId="3A2F8BA0" w:rsidR="00A649A4" w:rsidRPr="00A649A4" w:rsidRDefault="00AA3177" w:rsidP="00AA3177">
      <w:pPr>
        <w:pStyle w:val="Ttulo2"/>
        <w:spacing w:after="240"/>
        <w:rPr>
          <w:rFonts w:eastAsia="Times New Roman"/>
          <w:lang w:eastAsia="es-CR"/>
        </w:rPr>
      </w:pPr>
      <w:bookmarkStart w:id="127" w:name="_Toc189804821"/>
      <w:r w:rsidRPr="00A649A4">
        <w:rPr>
          <w:rFonts w:eastAsia="Times New Roman"/>
          <w:lang w:eastAsia="es-CR"/>
        </w:rPr>
        <w:t xml:space="preserve">NICSP 36 </w:t>
      </w:r>
      <w:r w:rsidR="00986512">
        <w:rPr>
          <w:rFonts w:eastAsia="Times New Roman"/>
          <w:lang w:eastAsia="es-CR"/>
        </w:rPr>
        <w:t xml:space="preserve">- </w:t>
      </w:r>
      <w:r w:rsidRPr="00A649A4">
        <w:rPr>
          <w:rFonts w:eastAsia="Times New Roman"/>
          <w:lang w:eastAsia="es-CR"/>
        </w:rPr>
        <w:t>INVERSIONES EN ASOCIADAS Y NEGOCIOS CONJUNTOS:</w:t>
      </w:r>
      <w:bookmarkEnd w:id="125"/>
      <w:bookmarkEnd w:id="127"/>
      <w:r w:rsidRPr="00A649A4">
        <w:rPr>
          <w:rFonts w:eastAsia="Times New Roman"/>
          <w:lang w:eastAsia="es-CR"/>
        </w:rPr>
        <w:t xml:space="preserve"> </w:t>
      </w:r>
    </w:p>
    <w:p w14:paraId="7F212FC2" w14:textId="77777777" w:rsidR="00396CB4" w:rsidRDefault="00AA3177" w:rsidP="0021402F">
      <w:pPr>
        <w:rPr>
          <w:rFonts w:asciiTheme="minorHAnsi" w:hAnsiTheme="minorHAnsi"/>
          <w:sz w:val="22"/>
        </w:rPr>
      </w:pPr>
      <w:r w:rsidRPr="00405DBC">
        <w:t xml:space="preserve">De acuerdo con la </w:t>
      </w:r>
      <w:r w:rsidRPr="00A649A4">
        <w:rPr>
          <w:lang w:val="es-MX"/>
        </w:rPr>
        <w:t>NICSP 36</w:t>
      </w:r>
      <w:r>
        <w:rPr>
          <w:lang w:val="es-MX"/>
        </w:rPr>
        <w:t xml:space="preserve"> -</w:t>
      </w:r>
      <w:r w:rsidRPr="00A649A4">
        <w:rPr>
          <w:lang w:val="es-MX"/>
        </w:rPr>
        <w:t xml:space="preserve"> Inversiones en asociadas y negocios conjuntos</w:t>
      </w:r>
      <w:r>
        <w:t>, i</w:t>
      </w:r>
      <w:r w:rsidRPr="00405DBC">
        <w:t>ndicar si este rubro afecta SI o NO a la institución, además del porcentaje de avance</w:t>
      </w:r>
      <w:r>
        <w:t xml:space="preserve"> en la implementación</w:t>
      </w:r>
      <w:r w:rsidRPr="00405DBC">
        <w:t xml:space="preserve"> que presenta</w:t>
      </w:r>
      <w:r>
        <w:rPr>
          <w:b/>
        </w:rPr>
        <w:t>.</w:t>
      </w:r>
      <w:r w:rsidR="0021402F">
        <w:fldChar w:fldCharType="begin"/>
      </w:r>
      <w:r w:rsidR="0021402F">
        <w:instrText xml:space="preserve"> LINK </w:instrText>
      </w:r>
      <w:r w:rsidR="00756467">
        <w:instrText xml:space="preserve">Excel.SheetMacroEnabled.12 "C:\\Users\\gcordero\\Downloads\\Notas diciembre 2024\\Formato_Notas_EEFF_Vinculadas_2024\\Formato_Notas_EEFF_Vinculadas_2024\\15603_T04_2024_Anexo_Estado_Notas_Contables_Vinculadas.xlsm" NICSP_36!F9C3:F10C4 </w:instrText>
      </w:r>
      <w:r w:rsidR="0021402F">
        <w:instrText xml:space="preserve">\a \f 4 \h </w:instrText>
      </w:r>
      <w:r w:rsidR="0021402F">
        <w:fldChar w:fldCharType="separate"/>
      </w:r>
    </w:p>
    <w:tbl>
      <w:tblPr>
        <w:tblW w:w="3980" w:type="dxa"/>
        <w:tblCellMar>
          <w:left w:w="70" w:type="dxa"/>
          <w:right w:w="70" w:type="dxa"/>
        </w:tblCellMar>
        <w:tblLook w:val="04A0" w:firstRow="1" w:lastRow="0" w:firstColumn="1" w:lastColumn="0" w:noHBand="0" w:noVBand="1"/>
      </w:tblPr>
      <w:tblGrid>
        <w:gridCol w:w="2340"/>
        <w:gridCol w:w="1640"/>
      </w:tblGrid>
      <w:tr w:rsidR="00396CB4" w:rsidRPr="00396CB4" w14:paraId="75C54AD0" w14:textId="77777777" w:rsidTr="00396CB4">
        <w:trPr>
          <w:divId w:val="1520197611"/>
          <w:trHeight w:val="345"/>
        </w:trPr>
        <w:tc>
          <w:tcPr>
            <w:tcW w:w="234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5341CBA5" w14:textId="03C030EA" w:rsidR="00396CB4" w:rsidRPr="00396CB4" w:rsidRDefault="00396CB4" w:rsidP="00396CB4">
            <w:pPr>
              <w:rPr>
                <w:rFonts w:eastAsia="Times New Roman" w:cs="Calibri"/>
                <w:color w:val="FFFFFF"/>
                <w:szCs w:val="24"/>
                <w:lang w:eastAsia="es-CR"/>
              </w:rPr>
            </w:pPr>
            <w:r w:rsidRPr="00396CB4">
              <w:rPr>
                <w:rFonts w:eastAsia="Times New Roman" w:cs="Calibri"/>
                <w:color w:val="FFFFFF"/>
                <w:szCs w:val="24"/>
                <w:lang w:eastAsia="es-CR"/>
              </w:rPr>
              <w:t>Aplica</w:t>
            </w:r>
          </w:p>
        </w:tc>
        <w:tc>
          <w:tcPr>
            <w:tcW w:w="1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2E6AD6" w14:textId="77777777" w:rsidR="00396CB4" w:rsidRPr="00396CB4" w:rsidRDefault="00396CB4" w:rsidP="00396CB4">
            <w:pPr>
              <w:spacing w:after="0" w:line="240" w:lineRule="auto"/>
              <w:jc w:val="center"/>
              <w:rPr>
                <w:rFonts w:eastAsia="Times New Roman" w:cs="Calibri"/>
                <w:color w:val="000000"/>
                <w:sz w:val="22"/>
                <w:lang w:eastAsia="es-CR"/>
              </w:rPr>
            </w:pPr>
            <w:r w:rsidRPr="00396CB4">
              <w:rPr>
                <w:rFonts w:eastAsia="Times New Roman" w:cs="Calibri"/>
                <w:color w:val="000000"/>
                <w:sz w:val="22"/>
                <w:lang w:eastAsia="es-CR"/>
              </w:rPr>
              <w:t>No</w:t>
            </w:r>
          </w:p>
        </w:tc>
      </w:tr>
      <w:tr w:rsidR="00396CB4" w:rsidRPr="00396CB4" w14:paraId="3428292B" w14:textId="77777777" w:rsidTr="00396CB4">
        <w:trPr>
          <w:divId w:val="1520197611"/>
          <w:trHeight w:val="345"/>
        </w:trPr>
        <w:tc>
          <w:tcPr>
            <w:tcW w:w="2340" w:type="dxa"/>
            <w:tcBorders>
              <w:top w:val="nil"/>
              <w:left w:val="single" w:sz="8" w:space="0" w:color="auto"/>
              <w:bottom w:val="single" w:sz="8" w:space="0" w:color="auto"/>
              <w:right w:val="single" w:sz="8" w:space="0" w:color="auto"/>
            </w:tcBorders>
            <w:shd w:val="clear" w:color="000000" w:fill="17365D"/>
            <w:vAlign w:val="center"/>
            <w:hideMark/>
          </w:tcPr>
          <w:p w14:paraId="2CD3FACF" w14:textId="77777777" w:rsidR="00396CB4" w:rsidRPr="00396CB4" w:rsidRDefault="00396CB4" w:rsidP="00396CB4">
            <w:pPr>
              <w:spacing w:after="0" w:line="240" w:lineRule="auto"/>
              <w:jc w:val="left"/>
              <w:rPr>
                <w:rFonts w:eastAsia="Times New Roman" w:cs="Calibri"/>
                <w:color w:val="FFFFFF"/>
                <w:szCs w:val="24"/>
                <w:lang w:eastAsia="es-CR"/>
              </w:rPr>
            </w:pPr>
            <w:proofErr w:type="spellStart"/>
            <w:r w:rsidRPr="00396CB4">
              <w:rPr>
                <w:rFonts w:eastAsia="Times New Roman" w:cs="Calibri"/>
                <w:color w:val="FFFFFF"/>
                <w:szCs w:val="24"/>
                <w:lang w:eastAsia="es-CR"/>
              </w:rPr>
              <w:t>Porcentaje_Avance</w:t>
            </w:r>
            <w:proofErr w:type="spellEnd"/>
          </w:p>
        </w:tc>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5B49AABE" w14:textId="77777777" w:rsidR="00396CB4" w:rsidRPr="00396CB4" w:rsidRDefault="00396CB4" w:rsidP="00396CB4">
            <w:pPr>
              <w:spacing w:after="0" w:line="240" w:lineRule="auto"/>
              <w:jc w:val="center"/>
              <w:rPr>
                <w:rFonts w:eastAsia="Times New Roman" w:cs="Calibri"/>
                <w:color w:val="000000"/>
                <w:sz w:val="22"/>
                <w:lang w:eastAsia="es-CR"/>
              </w:rPr>
            </w:pPr>
            <w:r w:rsidRPr="00396CB4">
              <w:rPr>
                <w:rFonts w:eastAsia="Times New Roman" w:cs="Calibri"/>
                <w:color w:val="000000"/>
                <w:sz w:val="22"/>
                <w:lang w:eastAsia="es-CR"/>
              </w:rPr>
              <w:t> </w:t>
            </w:r>
          </w:p>
        </w:tc>
      </w:tr>
    </w:tbl>
    <w:p w14:paraId="0B67FF8A" w14:textId="77E5BE9F" w:rsidR="0021402F" w:rsidRPr="0021402F" w:rsidRDefault="0021402F" w:rsidP="0021402F">
      <w:pPr>
        <w:rPr>
          <w:b/>
        </w:rPr>
      </w:pPr>
      <w:r>
        <w:rPr>
          <w:b/>
        </w:rPr>
        <w:fldChar w:fldCharType="end"/>
      </w:r>
    </w:p>
    <w:p w14:paraId="1A688555" w14:textId="77777777" w:rsidR="00A649A4" w:rsidRPr="00A649A4" w:rsidRDefault="00A649A4" w:rsidP="00AA3177">
      <w:pPr>
        <w:jc w:val="center"/>
        <w:rPr>
          <w:szCs w:val="24"/>
        </w:rPr>
      </w:pPr>
      <w:r w:rsidRPr="00A649A4">
        <w:rPr>
          <w:noProof/>
          <w:lang w:eastAsia="es-CR"/>
        </w:rPr>
        <w:drawing>
          <wp:inline distT="0" distB="0" distL="0" distR="0" wp14:anchorId="676CB2F8" wp14:editId="501ACB61">
            <wp:extent cx="4221480" cy="1363980"/>
            <wp:effectExtent l="0" t="0" r="0" b="0"/>
            <wp:docPr id="5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21480" cy="1363980"/>
                    </a:xfrm>
                    <a:prstGeom prst="rect">
                      <a:avLst/>
                    </a:prstGeom>
                    <a:noFill/>
                    <a:ln>
                      <a:noFill/>
                    </a:ln>
                  </pic:spPr>
                </pic:pic>
              </a:graphicData>
            </a:graphic>
          </wp:inline>
        </w:drawing>
      </w:r>
    </w:p>
    <w:p w14:paraId="36CFDFED" w14:textId="77777777" w:rsidR="00A649A4" w:rsidRPr="00A649A4" w:rsidRDefault="00A649A4" w:rsidP="00AA3177">
      <w:r w:rsidRPr="00A649A4">
        <w:lastRenderedPageBreak/>
        <w:t>Son inversiones en una asociada y negocios conjuntos, las realizadas por una entidad del sector público en su carácter de inversionista que le confieren los riesgos y ventajas inherentes a la participación. Esta política contable aplica cuando el inversionista tiene una influencia significativa o control conjunto sobre una participada y se trata de participaciones cuantificables en la propiedad. Esto incluye participaciones que surgen de inversiones en la estructura de patrimonio formal de otra entidad, equivalente de capital, tal como unidades en un fideicomiso de propiedades.</w:t>
      </w:r>
    </w:p>
    <w:p w14:paraId="0AD14FB8" w14:textId="61E7431A" w:rsidR="00A649A4" w:rsidRPr="00AA3177" w:rsidRDefault="00A649A4" w:rsidP="00AA3177">
      <w:pPr>
        <w:rPr>
          <w:szCs w:val="24"/>
        </w:rPr>
      </w:pPr>
      <w:r w:rsidRPr="00A649A4">
        <w:t>Una inversión en una asociada o negocio conjunto en donde el inversor tiene control conjunto o influencia significativa sobre la participada se contabilizará utilizando el método de la participación y se clasificará como un activo no corriente. Al aplicar el método de participación, se utilizarán los estados financieros más recientes disponibles de la asociada o negocio conjunto</w:t>
      </w:r>
      <w:r w:rsidRPr="00A649A4">
        <w:rPr>
          <w:szCs w:val="24"/>
        </w:rPr>
        <w:t>.</w:t>
      </w:r>
    </w:p>
    <w:p w14:paraId="3B0854F7" w14:textId="77777777" w:rsidR="00396CB4" w:rsidRDefault="00A649A4" w:rsidP="00AA3177">
      <w:pPr>
        <w:rPr>
          <w:rFonts w:asciiTheme="minorHAnsi" w:hAnsiTheme="minorHAnsi"/>
          <w:sz w:val="22"/>
        </w:rPr>
      </w:pPr>
      <w:r w:rsidRPr="00A649A4">
        <w:rPr>
          <w:rFonts w:eastAsia="Times New Roman"/>
          <w:color w:val="000000"/>
          <w:lang w:val="es-ES_tradnl" w:eastAsia="es-ES"/>
        </w:rPr>
        <w:t>A continuación, se indica las entidades asociadas:</w:t>
      </w:r>
      <w:r w:rsidR="00AA3177">
        <w:rPr>
          <w:lang w:val="es-ES_tradnl" w:eastAsia="es-ES"/>
        </w:rPr>
        <w:t xml:space="preserve"> </w:t>
      </w:r>
      <w:r w:rsidR="0021402F">
        <w:rPr>
          <w:lang w:val="es-ES_tradnl" w:eastAsia="es-ES"/>
        </w:rPr>
        <w:fldChar w:fldCharType="begin"/>
      </w:r>
      <w:r w:rsidR="0021402F">
        <w:rPr>
          <w:lang w:val="es-ES_tradnl" w:eastAsia="es-ES"/>
        </w:rPr>
        <w:instrText xml:space="preserve"> LINK </w:instrText>
      </w:r>
      <w:r w:rsidR="00756467">
        <w:rPr>
          <w:lang w:val="es-ES_tradnl" w:eastAsia="es-ES"/>
        </w:rPr>
        <w:instrText xml:space="preserve">Excel.SheetMacroEnabled.12 "C:\\Users\\gcordero\\Downloads\\Notas diciembre 2024\\Formato_Notas_EEFF_Vinculadas_2024\\Formato_Notas_EEFF_Vinculadas_2024\\15603_T04_2024_Anexo_Estado_Notas_Contables_Vinculadas.xlsm" NICSP_36!F13C6:F19C8 </w:instrText>
      </w:r>
      <w:r w:rsidR="0021402F">
        <w:rPr>
          <w:lang w:val="es-ES_tradnl" w:eastAsia="es-ES"/>
        </w:rPr>
        <w:instrText xml:space="preserve">\a \f 4 \h </w:instrText>
      </w:r>
      <w:r w:rsidR="0021402F">
        <w:rPr>
          <w:lang w:val="es-ES_tradnl" w:eastAsia="es-ES"/>
        </w:rPr>
        <w:fldChar w:fldCharType="separate"/>
      </w:r>
    </w:p>
    <w:tbl>
      <w:tblPr>
        <w:tblW w:w="6760" w:type="dxa"/>
        <w:tblCellMar>
          <w:left w:w="70" w:type="dxa"/>
          <w:right w:w="70" w:type="dxa"/>
        </w:tblCellMar>
        <w:tblLook w:val="04A0" w:firstRow="1" w:lastRow="0" w:firstColumn="1" w:lastColumn="0" w:noHBand="0" w:noVBand="1"/>
      </w:tblPr>
      <w:tblGrid>
        <w:gridCol w:w="1840"/>
        <w:gridCol w:w="3100"/>
        <w:gridCol w:w="1820"/>
      </w:tblGrid>
      <w:tr w:rsidR="00396CB4" w:rsidRPr="00396CB4" w14:paraId="5ED13B65" w14:textId="77777777" w:rsidTr="00396CB4">
        <w:trPr>
          <w:divId w:val="1586955067"/>
          <w:trHeight w:val="573"/>
        </w:trPr>
        <w:tc>
          <w:tcPr>
            <w:tcW w:w="1840" w:type="dxa"/>
            <w:vMerge w:val="restart"/>
            <w:tcBorders>
              <w:top w:val="single" w:sz="8" w:space="0" w:color="auto"/>
              <w:left w:val="single" w:sz="8" w:space="0" w:color="auto"/>
              <w:bottom w:val="single" w:sz="8" w:space="0" w:color="000000"/>
              <w:right w:val="single" w:sz="8" w:space="0" w:color="auto"/>
            </w:tcBorders>
            <w:shd w:val="clear" w:color="000000" w:fill="1F3864"/>
            <w:vAlign w:val="center"/>
            <w:hideMark/>
          </w:tcPr>
          <w:p w14:paraId="03D0A6E6" w14:textId="1C170ADC" w:rsidR="00396CB4" w:rsidRPr="00396CB4" w:rsidRDefault="00396CB4" w:rsidP="00396CB4">
            <w:pPr>
              <w:jc w:val="center"/>
              <w:rPr>
                <w:rFonts w:eastAsia="Times New Roman" w:cs="Calibri"/>
                <w:color w:val="FFFFFF"/>
                <w:szCs w:val="24"/>
                <w:lang w:eastAsia="es-CR"/>
              </w:rPr>
            </w:pPr>
            <w:r w:rsidRPr="00396CB4">
              <w:rPr>
                <w:rFonts w:eastAsia="Times New Roman" w:cs="Calibri"/>
                <w:color w:val="FFFFFF"/>
                <w:szCs w:val="24"/>
                <w:lang w:eastAsia="es-CR"/>
              </w:rPr>
              <w:t>Código Institución</w:t>
            </w:r>
          </w:p>
        </w:tc>
        <w:tc>
          <w:tcPr>
            <w:tcW w:w="3100" w:type="dxa"/>
            <w:vMerge w:val="restart"/>
            <w:tcBorders>
              <w:top w:val="single" w:sz="8" w:space="0" w:color="auto"/>
              <w:left w:val="single" w:sz="8" w:space="0" w:color="auto"/>
              <w:bottom w:val="single" w:sz="8" w:space="0" w:color="000000"/>
              <w:right w:val="single" w:sz="8" w:space="0" w:color="auto"/>
            </w:tcBorders>
            <w:shd w:val="clear" w:color="000000" w:fill="1F3864"/>
            <w:vAlign w:val="center"/>
            <w:hideMark/>
          </w:tcPr>
          <w:p w14:paraId="769F8205" w14:textId="77777777" w:rsidR="00396CB4" w:rsidRPr="00396CB4" w:rsidRDefault="00396CB4" w:rsidP="00396CB4">
            <w:pPr>
              <w:spacing w:after="0" w:line="240" w:lineRule="auto"/>
              <w:jc w:val="center"/>
              <w:rPr>
                <w:rFonts w:eastAsia="Times New Roman" w:cs="Calibri"/>
                <w:color w:val="FFFFFF"/>
                <w:szCs w:val="24"/>
                <w:lang w:eastAsia="es-CR"/>
              </w:rPr>
            </w:pPr>
            <w:r w:rsidRPr="00396CB4">
              <w:rPr>
                <w:rFonts w:eastAsia="Times New Roman" w:cs="Calibri"/>
                <w:color w:val="FFFFFF"/>
                <w:szCs w:val="24"/>
                <w:lang w:eastAsia="es-CR"/>
              </w:rPr>
              <w:t>Nombre institución</w:t>
            </w:r>
          </w:p>
        </w:tc>
        <w:tc>
          <w:tcPr>
            <w:tcW w:w="1820" w:type="dxa"/>
            <w:vMerge w:val="restart"/>
            <w:tcBorders>
              <w:top w:val="single" w:sz="8" w:space="0" w:color="auto"/>
              <w:left w:val="single" w:sz="8" w:space="0" w:color="auto"/>
              <w:bottom w:val="single" w:sz="8" w:space="0" w:color="000000"/>
              <w:right w:val="single" w:sz="8" w:space="0" w:color="auto"/>
            </w:tcBorders>
            <w:shd w:val="clear" w:color="000000" w:fill="1F3864"/>
            <w:vAlign w:val="center"/>
            <w:hideMark/>
          </w:tcPr>
          <w:p w14:paraId="604C010D" w14:textId="77777777" w:rsidR="00396CB4" w:rsidRPr="00396CB4" w:rsidRDefault="00396CB4" w:rsidP="00396CB4">
            <w:pPr>
              <w:spacing w:after="0" w:line="240" w:lineRule="auto"/>
              <w:jc w:val="center"/>
              <w:rPr>
                <w:rFonts w:eastAsia="Times New Roman" w:cs="Calibri"/>
                <w:color w:val="FFFFFF"/>
                <w:szCs w:val="24"/>
                <w:lang w:eastAsia="es-CR"/>
              </w:rPr>
            </w:pPr>
            <w:r w:rsidRPr="00396CB4">
              <w:rPr>
                <w:rFonts w:eastAsia="Times New Roman" w:cs="Calibri"/>
                <w:color w:val="FFFFFF"/>
                <w:szCs w:val="24"/>
                <w:lang w:eastAsia="es-CR"/>
              </w:rPr>
              <w:t>% Participación</w:t>
            </w:r>
          </w:p>
        </w:tc>
      </w:tr>
      <w:tr w:rsidR="00396CB4" w:rsidRPr="00396CB4" w14:paraId="54586715" w14:textId="77777777" w:rsidTr="00396CB4">
        <w:trPr>
          <w:divId w:val="1586955067"/>
          <w:trHeight w:val="457"/>
        </w:trPr>
        <w:tc>
          <w:tcPr>
            <w:tcW w:w="1840" w:type="dxa"/>
            <w:vMerge/>
            <w:tcBorders>
              <w:top w:val="single" w:sz="8" w:space="0" w:color="auto"/>
              <w:left w:val="single" w:sz="8" w:space="0" w:color="auto"/>
              <w:bottom w:val="single" w:sz="8" w:space="0" w:color="000000"/>
              <w:right w:val="single" w:sz="8" w:space="0" w:color="auto"/>
            </w:tcBorders>
            <w:vAlign w:val="center"/>
            <w:hideMark/>
          </w:tcPr>
          <w:p w14:paraId="1BE06C35" w14:textId="77777777" w:rsidR="00396CB4" w:rsidRPr="00396CB4" w:rsidRDefault="00396CB4" w:rsidP="00396CB4">
            <w:pPr>
              <w:spacing w:after="0" w:line="240" w:lineRule="auto"/>
              <w:jc w:val="left"/>
              <w:rPr>
                <w:rFonts w:eastAsia="Times New Roman" w:cs="Calibri"/>
                <w:color w:val="FFFFFF"/>
                <w:szCs w:val="24"/>
                <w:lang w:eastAsia="es-CR"/>
              </w:rPr>
            </w:pPr>
          </w:p>
        </w:tc>
        <w:tc>
          <w:tcPr>
            <w:tcW w:w="3100" w:type="dxa"/>
            <w:vMerge/>
            <w:tcBorders>
              <w:top w:val="single" w:sz="8" w:space="0" w:color="auto"/>
              <w:left w:val="single" w:sz="8" w:space="0" w:color="auto"/>
              <w:bottom w:val="single" w:sz="8" w:space="0" w:color="000000"/>
              <w:right w:val="single" w:sz="8" w:space="0" w:color="auto"/>
            </w:tcBorders>
            <w:vAlign w:val="center"/>
            <w:hideMark/>
          </w:tcPr>
          <w:p w14:paraId="0BA3F0EB" w14:textId="77777777" w:rsidR="00396CB4" w:rsidRPr="00396CB4" w:rsidRDefault="00396CB4" w:rsidP="00396CB4">
            <w:pPr>
              <w:spacing w:after="0" w:line="240" w:lineRule="auto"/>
              <w:jc w:val="left"/>
              <w:rPr>
                <w:rFonts w:eastAsia="Times New Roman" w:cs="Calibri"/>
                <w:color w:val="FFFFFF"/>
                <w:szCs w:val="24"/>
                <w:lang w:eastAsia="es-CR"/>
              </w:rPr>
            </w:pPr>
          </w:p>
        </w:tc>
        <w:tc>
          <w:tcPr>
            <w:tcW w:w="1820" w:type="dxa"/>
            <w:vMerge/>
            <w:tcBorders>
              <w:top w:val="single" w:sz="8" w:space="0" w:color="auto"/>
              <w:left w:val="single" w:sz="8" w:space="0" w:color="auto"/>
              <w:bottom w:val="single" w:sz="8" w:space="0" w:color="000000"/>
              <w:right w:val="single" w:sz="8" w:space="0" w:color="auto"/>
            </w:tcBorders>
            <w:vAlign w:val="center"/>
            <w:hideMark/>
          </w:tcPr>
          <w:p w14:paraId="2B5E1BAC" w14:textId="77777777" w:rsidR="00396CB4" w:rsidRPr="00396CB4" w:rsidRDefault="00396CB4" w:rsidP="00396CB4">
            <w:pPr>
              <w:spacing w:after="0" w:line="240" w:lineRule="auto"/>
              <w:jc w:val="left"/>
              <w:rPr>
                <w:rFonts w:eastAsia="Times New Roman" w:cs="Calibri"/>
                <w:color w:val="FFFFFF"/>
                <w:szCs w:val="24"/>
                <w:lang w:eastAsia="es-CR"/>
              </w:rPr>
            </w:pPr>
          </w:p>
        </w:tc>
      </w:tr>
      <w:tr w:rsidR="00396CB4" w:rsidRPr="00396CB4" w14:paraId="14150BDF" w14:textId="77777777" w:rsidTr="00396CB4">
        <w:trPr>
          <w:divId w:val="1586955067"/>
          <w:trHeight w:val="345"/>
        </w:trPr>
        <w:tc>
          <w:tcPr>
            <w:tcW w:w="1840" w:type="dxa"/>
            <w:tcBorders>
              <w:top w:val="nil"/>
              <w:left w:val="single" w:sz="8" w:space="0" w:color="auto"/>
              <w:bottom w:val="single" w:sz="8" w:space="0" w:color="auto"/>
              <w:right w:val="single" w:sz="8" w:space="0" w:color="auto"/>
            </w:tcBorders>
            <w:shd w:val="clear" w:color="auto" w:fill="auto"/>
            <w:noWrap/>
            <w:vAlign w:val="center"/>
            <w:hideMark/>
          </w:tcPr>
          <w:p w14:paraId="5E77630C"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w:t>
            </w:r>
          </w:p>
        </w:tc>
        <w:tc>
          <w:tcPr>
            <w:tcW w:w="3100" w:type="dxa"/>
            <w:tcBorders>
              <w:top w:val="nil"/>
              <w:left w:val="nil"/>
              <w:bottom w:val="single" w:sz="8" w:space="0" w:color="auto"/>
              <w:right w:val="single" w:sz="8" w:space="0" w:color="auto"/>
            </w:tcBorders>
            <w:shd w:val="clear" w:color="auto" w:fill="auto"/>
            <w:noWrap/>
            <w:vAlign w:val="center"/>
            <w:hideMark/>
          </w:tcPr>
          <w:p w14:paraId="251FBC12"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w:t>
            </w:r>
          </w:p>
        </w:tc>
        <w:tc>
          <w:tcPr>
            <w:tcW w:w="1820" w:type="dxa"/>
            <w:tcBorders>
              <w:top w:val="nil"/>
              <w:left w:val="nil"/>
              <w:bottom w:val="single" w:sz="8" w:space="0" w:color="auto"/>
              <w:right w:val="single" w:sz="8" w:space="0" w:color="auto"/>
            </w:tcBorders>
            <w:shd w:val="clear" w:color="auto" w:fill="auto"/>
            <w:noWrap/>
            <w:vAlign w:val="center"/>
            <w:hideMark/>
          </w:tcPr>
          <w:p w14:paraId="4D7EC9EB"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w:t>
            </w:r>
          </w:p>
        </w:tc>
      </w:tr>
      <w:tr w:rsidR="00396CB4" w:rsidRPr="00396CB4" w14:paraId="608711DC" w14:textId="77777777" w:rsidTr="00396CB4">
        <w:trPr>
          <w:divId w:val="1586955067"/>
          <w:trHeight w:val="345"/>
        </w:trPr>
        <w:tc>
          <w:tcPr>
            <w:tcW w:w="1840" w:type="dxa"/>
            <w:tcBorders>
              <w:top w:val="nil"/>
              <w:left w:val="single" w:sz="8" w:space="0" w:color="auto"/>
              <w:bottom w:val="single" w:sz="8" w:space="0" w:color="auto"/>
              <w:right w:val="single" w:sz="8" w:space="0" w:color="auto"/>
            </w:tcBorders>
            <w:shd w:val="clear" w:color="auto" w:fill="auto"/>
            <w:noWrap/>
            <w:vAlign w:val="center"/>
            <w:hideMark/>
          </w:tcPr>
          <w:p w14:paraId="06753924"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w:t>
            </w:r>
          </w:p>
        </w:tc>
        <w:tc>
          <w:tcPr>
            <w:tcW w:w="3100" w:type="dxa"/>
            <w:tcBorders>
              <w:top w:val="nil"/>
              <w:left w:val="nil"/>
              <w:bottom w:val="single" w:sz="8" w:space="0" w:color="auto"/>
              <w:right w:val="single" w:sz="8" w:space="0" w:color="auto"/>
            </w:tcBorders>
            <w:shd w:val="clear" w:color="auto" w:fill="auto"/>
            <w:noWrap/>
            <w:vAlign w:val="center"/>
            <w:hideMark/>
          </w:tcPr>
          <w:p w14:paraId="5A1DC65C"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w:t>
            </w:r>
          </w:p>
        </w:tc>
        <w:tc>
          <w:tcPr>
            <w:tcW w:w="1820" w:type="dxa"/>
            <w:tcBorders>
              <w:top w:val="nil"/>
              <w:left w:val="nil"/>
              <w:bottom w:val="single" w:sz="8" w:space="0" w:color="auto"/>
              <w:right w:val="single" w:sz="8" w:space="0" w:color="auto"/>
            </w:tcBorders>
            <w:shd w:val="clear" w:color="auto" w:fill="auto"/>
            <w:noWrap/>
            <w:vAlign w:val="center"/>
            <w:hideMark/>
          </w:tcPr>
          <w:p w14:paraId="434F9EAC"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w:t>
            </w:r>
          </w:p>
        </w:tc>
      </w:tr>
      <w:tr w:rsidR="00396CB4" w:rsidRPr="00396CB4" w14:paraId="7ABD6C6E" w14:textId="77777777" w:rsidTr="00396CB4">
        <w:trPr>
          <w:divId w:val="1586955067"/>
          <w:trHeight w:val="345"/>
        </w:trPr>
        <w:tc>
          <w:tcPr>
            <w:tcW w:w="1840" w:type="dxa"/>
            <w:tcBorders>
              <w:top w:val="nil"/>
              <w:left w:val="single" w:sz="8" w:space="0" w:color="auto"/>
              <w:bottom w:val="single" w:sz="8" w:space="0" w:color="auto"/>
              <w:right w:val="single" w:sz="8" w:space="0" w:color="auto"/>
            </w:tcBorders>
            <w:shd w:val="clear" w:color="auto" w:fill="auto"/>
            <w:noWrap/>
            <w:vAlign w:val="center"/>
            <w:hideMark/>
          </w:tcPr>
          <w:p w14:paraId="38C51BE9"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w:t>
            </w:r>
          </w:p>
        </w:tc>
        <w:tc>
          <w:tcPr>
            <w:tcW w:w="3100" w:type="dxa"/>
            <w:tcBorders>
              <w:top w:val="nil"/>
              <w:left w:val="nil"/>
              <w:bottom w:val="single" w:sz="8" w:space="0" w:color="auto"/>
              <w:right w:val="single" w:sz="8" w:space="0" w:color="auto"/>
            </w:tcBorders>
            <w:shd w:val="clear" w:color="auto" w:fill="auto"/>
            <w:noWrap/>
            <w:vAlign w:val="center"/>
            <w:hideMark/>
          </w:tcPr>
          <w:p w14:paraId="7CCC7E33"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w:t>
            </w:r>
          </w:p>
        </w:tc>
        <w:tc>
          <w:tcPr>
            <w:tcW w:w="1820" w:type="dxa"/>
            <w:tcBorders>
              <w:top w:val="nil"/>
              <w:left w:val="nil"/>
              <w:bottom w:val="single" w:sz="8" w:space="0" w:color="auto"/>
              <w:right w:val="single" w:sz="8" w:space="0" w:color="auto"/>
            </w:tcBorders>
            <w:shd w:val="clear" w:color="auto" w:fill="auto"/>
            <w:noWrap/>
            <w:vAlign w:val="center"/>
            <w:hideMark/>
          </w:tcPr>
          <w:p w14:paraId="4C127272"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w:t>
            </w:r>
          </w:p>
        </w:tc>
      </w:tr>
      <w:tr w:rsidR="00396CB4" w:rsidRPr="00396CB4" w14:paraId="61D78602" w14:textId="77777777" w:rsidTr="00396CB4">
        <w:trPr>
          <w:divId w:val="1586955067"/>
          <w:trHeight w:val="345"/>
        </w:trPr>
        <w:tc>
          <w:tcPr>
            <w:tcW w:w="1840" w:type="dxa"/>
            <w:tcBorders>
              <w:top w:val="nil"/>
              <w:left w:val="single" w:sz="8" w:space="0" w:color="auto"/>
              <w:bottom w:val="single" w:sz="8" w:space="0" w:color="auto"/>
              <w:right w:val="single" w:sz="8" w:space="0" w:color="auto"/>
            </w:tcBorders>
            <w:shd w:val="clear" w:color="auto" w:fill="auto"/>
            <w:noWrap/>
            <w:vAlign w:val="center"/>
            <w:hideMark/>
          </w:tcPr>
          <w:p w14:paraId="4FF5C32D"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w:t>
            </w:r>
          </w:p>
        </w:tc>
        <w:tc>
          <w:tcPr>
            <w:tcW w:w="3100" w:type="dxa"/>
            <w:tcBorders>
              <w:top w:val="nil"/>
              <w:left w:val="nil"/>
              <w:bottom w:val="single" w:sz="8" w:space="0" w:color="auto"/>
              <w:right w:val="single" w:sz="8" w:space="0" w:color="auto"/>
            </w:tcBorders>
            <w:shd w:val="clear" w:color="auto" w:fill="auto"/>
            <w:noWrap/>
            <w:vAlign w:val="center"/>
            <w:hideMark/>
          </w:tcPr>
          <w:p w14:paraId="224D8212"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w:t>
            </w:r>
          </w:p>
        </w:tc>
        <w:tc>
          <w:tcPr>
            <w:tcW w:w="1820" w:type="dxa"/>
            <w:tcBorders>
              <w:top w:val="nil"/>
              <w:left w:val="nil"/>
              <w:bottom w:val="single" w:sz="8" w:space="0" w:color="auto"/>
              <w:right w:val="single" w:sz="8" w:space="0" w:color="auto"/>
            </w:tcBorders>
            <w:shd w:val="clear" w:color="auto" w:fill="auto"/>
            <w:noWrap/>
            <w:vAlign w:val="center"/>
            <w:hideMark/>
          </w:tcPr>
          <w:p w14:paraId="1283B586"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w:t>
            </w:r>
          </w:p>
        </w:tc>
      </w:tr>
      <w:tr w:rsidR="00396CB4" w:rsidRPr="00396CB4" w14:paraId="03FD00DF" w14:textId="77777777" w:rsidTr="00396CB4">
        <w:trPr>
          <w:divId w:val="1586955067"/>
          <w:trHeight w:val="345"/>
        </w:trPr>
        <w:tc>
          <w:tcPr>
            <w:tcW w:w="4940" w:type="dxa"/>
            <w:gridSpan w:val="2"/>
            <w:tcBorders>
              <w:top w:val="single" w:sz="8" w:space="0" w:color="auto"/>
              <w:left w:val="single" w:sz="8" w:space="0" w:color="auto"/>
              <w:bottom w:val="single" w:sz="8" w:space="0" w:color="auto"/>
              <w:right w:val="single" w:sz="8" w:space="0" w:color="000000"/>
            </w:tcBorders>
            <w:shd w:val="clear" w:color="000000" w:fill="1F3864"/>
            <w:vAlign w:val="center"/>
            <w:hideMark/>
          </w:tcPr>
          <w:p w14:paraId="243CDAA3" w14:textId="77777777" w:rsidR="00396CB4" w:rsidRPr="00396CB4" w:rsidRDefault="00396CB4" w:rsidP="00396CB4">
            <w:pPr>
              <w:spacing w:after="0" w:line="240" w:lineRule="auto"/>
              <w:jc w:val="center"/>
              <w:rPr>
                <w:rFonts w:eastAsia="Times New Roman" w:cs="Calibri"/>
                <w:color w:val="FFFFFF"/>
                <w:szCs w:val="24"/>
                <w:lang w:eastAsia="es-CR"/>
              </w:rPr>
            </w:pPr>
            <w:r w:rsidRPr="00396CB4">
              <w:rPr>
                <w:rFonts w:eastAsia="Times New Roman" w:cs="Calibri"/>
                <w:color w:val="FFFFFF"/>
                <w:szCs w:val="24"/>
                <w:lang w:eastAsia="es-CR"/>
              </w:rPr>
              <w:t>Total, instituciones</w:t>
            </w:r>
          </w:p>
        </w:tc>
        <w:tc>
          <w:tcPr>
            <w:tcW w:w="1820" w:type="dxa"/>
            <w:tcBorders>
              <w:top w:val="nil"/>
              <w:left w:val="nil"/>
              <w:bottom w:val="single" w:sz="8" w:space="0" w:color="auto"/>
              <w:right w:val="single" w:sz="8" w:space="0" w:color="auto"/>
            </w:tcBorders>
            <w:shd w:val="clear" w:color="auto" w:fill="auto"/>
            <w:noWrap/>
            <w:vAlign w:val="center"/>
            <w:hideMark/>
          </w:tcPr>
          <w:p w14:paraId="4D9C65DF" w14:textId="77777777" w:rsidR="00396CB4" w:rsidRPr="00396CB4" w:rsidRDefault="00396CB4" w:rsidP="00396CB4">
            <w:pPr>
              <w:spacing w:after="0" w:line="240" w:lineRule="auto"/>
              <w:jc w:val="left"/>
              <w:rPr>
                <w:rFonts w:eastAsia="Times New Roman" w:cs="Calibri"/>
                <w:color w:val="000000"/>
                <w:sz w:val="22"/>
                <w:lang w:eastAsia="es-CR"/>
              </w:rPr>
            </w:pPr>
            <w:r w:rsidRPr="00396CB4">
              <w:rPr>
                <w:rFonts w:eastAsia="Times New Roman" w:cs="Calibri"/>
                <w:color w:val="000000"/>
                <w:sz w:val="22"/>
                <w:lang w:eastAsia="es-CR"/>
              </w:rPr>
              <w:t> </w:t>
            </w:r>
          </w:p>
        </w:tc>
      </w:tr>
    </w:tbl>
    <w:p w14:paraId="30CA6C20" w14:textId="0E90B36A" w:rsidR="00AA3177" w:rsidRDefault="0021402F" w:rsidP="00AA3177">
      <w:pPr>
        <w:rPr>
          <w:lang w:val="es-ES_tradnl" w:eastAsia="es-ES"/>
        </w:rPr>
      </w:pPr>
      <w:r>
        <w:rPr>
          <w:lang w:val="es-ES_tradnl" w:eastAsia="es-ES"/>
        </w:rPr>
        <w:fldChar w:fldCharType="end"/>
      </w:r>
    </w:p>
    <w:p w14:paraId="4981680C" w14:textId="77777777" w:rsidR="009131F0" w:rsidRPr="003516A2" w:rsidRDefault="009131F0" w:rsidP="009131F0">
      <w:pPr>
        <w:spacing w:before="240"/>
        <w:rPr>
          <w:b/>
          <w:color w:val="FFFFFF" w:themeColor="background1"/>
          <w:highlight w:val="darkBlue"/>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r>
        <w:rPr>
          <w:lang w:val="es-MX"/>
        </w:rPr>
        <w:t>________________________________________________________________________________________________________________________________________________________________</w:t>
      </w:r>
    </w:p>
    <w:p w14:paraId="04817792" w14:textId="77777777" w:rsidR="009131F0" w:rsidRDefault="009131F0" w:rsidP="009131F0">
      <w:pPr>
        <w:spacing w:line="240" w:lineRule="auto"/>
        <w:rPr>
          <w:b/>
          <w:u w:val="single"/>
        </w:rPr>
      </w:pPr>
    </w:p>
    <w:p w14:paraId="75D4BC08" w14:textId="77777777" w:rsidR="009131F0" w:rsidRPr="003516A2" w:rsidRDefault="009131F0" w:rsidP="009131F0">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7D3E6E3F" w14:textId="77777777" w:rsidR="009131F0" w:rsidRPr="0008638E" w:rsidRDefault="009131F0" w:rsidP="009131F0">
      <w:pPr>
        <w:rPr>
          <w:lang w:val="es-MX"/>
        </w:rPr>
      </w:pPr>
      <w:r>
        <w:rPr>
          <w:lang w:val="es-MX"/>
        </w:rPr>
        <w:t>________________________________________________________________________________________________________________________________________________________________</w:t>
      </w:r>
    </w:p>
    <w:p w14:paraId="49C526E3" w14:textId="093BEB9C" w:rsidR="00A649A4" w:rsidRPr="00A649A4" w:rsidRDefault="00A649A4" w:rsidP="00AA3177">
      <w:pPr>
        <w:rPr>
          <w:b/>
          <w:u w:val="single"/>
          <w:lang w:val="es-ES_tradnl" w:eastAsia="es-CR"/>
        </w:rPr>
      </w:pPr>
      <w:r w:rsidRPr="009131F0">
        <w:rPr>
          <w:b/>
          <w:color w:val="FFFFFF" w:themeColor="background1"/>
          <w:highlight w:val="darkBlue"/>
          <w:u w:val="single"/>
        </w:rPr>
        <w:t>Revelación Suficiente:</w:t>
      </w:r>
      <w:r w:rsidRPr="00A649A4">
        <w:rPr>
          <w:b/>
          <w:u w:val="single"/>
          <w:lang w:val="es-ES_tradnl" w:eastAsia="es-CR"/>
        </w:rPr>
        <w:t xml:space="preserve"> </w:t>
      </w:r>
      <w:r w:rsidR="00482942">
        <w:rPr>
          <w:rFonts w:eastAsia="Calibri"/>
          <w:b/>
          <w:bCs/>
          <w:u w:val="single"/>
        </w:rPr>
        <w:t xml:space="preserve">El ente debe revelar y cumplir </w:t>
      </w:r>
      <w:r w:rsidRPr="00A649A4">
        <w:rPr>
          <w:rFonts w:eastAsia="Calibri"/>
          <w:b/>
          <w:bCs/>
          <w:u w:val="single"/>
        </w:rPr>
        <w:t xml:space="preserve">con lo estipulado en revelación </w:t>
      </w:r>
      <w:r w:rsidR="00482942">
        <w:rPr>
          <w:rFonts w:eastAsia="Calibri"/>
          <w:b/>
          <w:bCs/>
          <w:u w:val="single"/>
        </w:rPr>
        <w:t>conforme</w:t>
      </w:r>
      <w:r w:rsidRPr="00A649A4">
        <w:rPr>
          <w:rFonts w:eastAsia="Calibri"/>
          <w:b/>
          <w:bCs/>
          <w:u w:val="single"/>
        </w:rPr>
        <w:t xml:space="preserve"> a la NICSP, también debe considerar la política general y los párrafos incluidos en la matriz de autoevaluación referente a esta NICSP guías de aplicación</w:t>
      </w:r>
      <w:r w:rsidRPr="00A649A4">
        <w:rPr>
          <w:b/>
          <w:u w:val="single"/>
          <w:lang w:val="es-ES_tradnl" w:eastAsia="es-CR"/>
        </w:rPr>
        <w:t xml:space="preserve"> (Ver GA de la NICSP 36):</w:t>
      </w:r>
    </w:p>
    <w:p w14:paraId="4564618E" w14:textId="6F566F85" w:rsidR="00A649A4" w:rsidRPr="001D0A81" w:rsidRDefault="00A649A4" w:rsidP="00AA3177">
      <w:pPr>
        <w:rPr>
          <w:rFonts w:eastAsia="Calibri"/>
          <w:lang w:val="es-MX"/>
        </w:rPr>
      </w:pPr>
      <w:r w:rsidRPr="00A649A4">
        <w:rPr>
          <w:rFonts w:eastAsia="Calibri"/>
          <w:lang w:val="es-MX"/>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8B59BCF" w14:textId="77777777" w:rsidR="005F2549" w:rsidRPr="00A649A4" w:rsidRDefault="005F2549" w:rsidP="00AA3177"/>
    <w:p w14:paraId="36FF6C10" w14:textId="7762E0FB" w:rsidR="00A649A4" w:rsidRPr="00A649A4" w:rsidRDefault="00AA3177" w:rsidP="00AA3177">
      <w:pPr>
        <w:pStyle w:val="Ttulo2"/>
        <w:spacing w:after="240"/>
        <w:rPr>
          <w:rFonts w:eastAsia="Times New Roman"/>
          <w:lang w:eastAsia="es-CR"/>
        </w:rPr>
      </w:pPr>
      <w:bookmarkStart w:id="128" w:name="_Toc82768897"/>
      <w:bookmarkStart w:id="129" w:name="_Toc189804822"/>
      <w:r w:rsidRPr="00A649A4">
        <w:rPr>
          <w:rFonts w:eastAsia="Times New Roman"/>
          <w:lang w:eastAsia="es-CR"/>
        </w:rPr>
        <w:t>NICSP 37</w:t>
      </w:r>
      <w:r w:rsidR="00986512">
        <w:rPr>
          <w:rFonts w:eastAsia="Times New Roman"/>
          <w:lang w:eastAsia="es-CR"/>
        </w:rPr>
        <w:t xml:space="preserve"> -</w:t>
      </w:r>
      <w:r w:rsidRPr="00A649A4">
        <w:rPr>
          <w:rFonts w:eastAsia="Times New Roman"/>
          <w:lang w:eastAsia="es-CR"/>
        </w:rPr>
        <w:t xml:space="preserve"> ACUERDOS CONJUNTOS:</w:t>
      </w:r>
      <w:bookmarkEnd w:id="128"/>
      <w:bookmarkEnd w:id="129"/>
      <w:r w:rsidRPr="00A649A4">
        <w:rPr>
          <w:rFonts w:eastAsia="Times New Roman"/>
          <w:lang w:eastAsia="es-CR"/>
        </w:rPr>
        <w:t xml:space="preserve"> </w:t>
      </w:r>
    </w:p>
    <w:p w14:paraId="756A0922" w14:textId="77777777" w:rsidR="00396CB4" w:rsidRDefault="00AA3177" w:rsidP="00AA3177">
      <w:pPr>
        <w:rPr>
          <w:rFonts w:asciiTheme="minorHAnsi" w:hAnsiTheme="minorHAnsi"/>
          <w:sz w:val="22"/>
        </w:rPr>
      </w:pPr>
      <w:r w:rsidRPr="00405DBC">
        <w:t xml:space="preserve">De acuerdo con la </w:t>
      </w:r>
      <w:r w:rsidRPr="00AA3177">
        <w:rPr>
          <w:lang w:val="es-MX"/>
        </w:rPr>
        <w:t>NICSP 37</w:t>
      </w:r>
      <w:r>
        <w:rPr>
          <w:lang w:val="es-MX"/>
        </w:rPr>
        <w:t xml:space="preserve"> -</w:t>
      </w:r>
      <w:r w:rsidRPr="00AA3177">
        <w:rPr>
          <w:lang w:val="es-MX"/>
        </w:rPr>
        <w:t xml:space="preserve"> Acuerdos conjuntos</w:t>
      </w:r>
      <w:r>
        <w:t>, i</w:t>
      </w:r>
      <w:r w:rsidRPr="00405DBC">
        <w:t>ndicar si este rubro afecta SI o NO a la institución, además del porcentaje de avance</w:t>
      </w:r>
      <w:r>
        <w:t xml:space="preserve"> en la implementación</w:t>
      </w:r>
      <w:r w:rsidRPr="00405DBC">
        <w:t xml:space="preserve"> que presenta</w:t>
      </w:r>
      <w:r w:rsidR="001D0A81">
        <w:rPr>
          <w:b/>
        </w:rPr>
        <w:t>.</w:t>
      </w:r>
      <w:r w:rsidR="001D0A81" w:rsidRPr="00A649A4">
        <w:rPr>
          <w:szCs w:val="24"/>
          <w:lang w:val="es-MX" w:eastAsia="es-CR"/>
        </w:rPr>
        <w:t xml:space="preserve"> </w:t>
      </w:r>
      <w:r w:rsidR="00982595">
        <w:rPr>
          <w:lang w:val="es-MX" w:eastAsia="es-CR"/>
        </w:rPr>
        <w:fldChar w:fldCharType="begin"/>
      </w:r>
      <w:r w:rsidR="00982595">
        <w:rPr>
          <w:lang w:val="es-MX" w:eastAsia="es-CR"/>
        </w:rPr>
        <w:instrText xml:space="preserve"> LINK </w:instrText>
      </w:r>
      <w:r w:rsidR="00756467">
        <w:rPr>
          <w:lang w:val="es-MX" w:eastAsia="es-CR"/>
        </w:rPr>
        <w:instrText xml:space="preserve">Excel.SheetMacroEnabled.12 "C:\\Users\\gcordero\\Downloads\\Notas diciembre 2024\\Formato_Notas_EEFF_Vinculadas_2024\\Formato_Notas_EEFF_Vinculadas_2024\\15603_T04_2024_Anexo_Estado_Notas_Contables_Vinculadas.xlsm" NICSP_37!F9C3:F10C4 </w:instrText>
      </w:r>
      <w:r w:rsidR="00982595">
        <w:rPr>
          <w:lang w:val="es-MX" w:eastAsia="es-CR"/>
        </w:rPr>
        <w:instrText xml:space="preserve">\a \f 4 \h </w:instrText>
      </w:r>
      <w:r w:rsidR="00982595">
        <w:rPr>
          <w:lang w:val="es-MX" w:eastAsia="es-CR"/>
        </w:rPr>
        <w:fldChar w:fldCharType="separate"/>
      </w:r>
    </w:p>
    <w:tbl>
      <w:tblPr>
        <w:tblW w:w="4120" w:type="dxa"/>
        <w:tblCellMar>
          <w:left w:w="70" w:type="dxa"/>
          <w:right w:w="70" w:type="dxa"/>
        </w:tblCellMar>
        <w:tblLook w:val="04A0" w:firstRow="1" w:lastRow="0" w:firstColumn="1" w:lastColumn="0" w:noHBand="0" w:noVBand="1"/>
      </w:tblPr>
      <w:tblGrid>
        <w:gridCol w:w="2340"/>
        <w:gridCol w:w="1780"/>
      </w:tblGrid>
      <w:tr w:rsidR="00396CB4" w:rsidRPr="00396CB4" w14:paraId="53C2A6EB" w14:textId="77777777" w:rsidTr="00396CB4">
        <w:trPr>
          <w:divId w:val="1856842427"/>
          <w:trHeight w:val="345"/>
        </w:trPr>
        <w:tc>
          <w:tcPr>
            <w:tcW w:w="234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4A54F95E" w14:textId="34E2A1E8" w:rsidR="00396CB4" w:rsidRPr="00396CB4" w:rsidRDefault="00396CB4" w:rsidP="00396CB4">
            <w:pPr>
              <w:rPr>
                <w:rFonts w:eastAsia="Times New Roman" w:cs="Calibri"/>
                <w:color w:val="FFFFFF"/>
                <w:szCs w:val="24"/>
                <w:lang w:eastAsia="es-CR"/>
              </w:rPr>
            </w:pPr>
            <w:r w:rsidRPr="00396CB4">
              <w:rPr>
                <w:rFonts w:eastAsia="Times New Roman" w:cs="Calibri"/>
                <w:color w:val="FFFFFF"/>
                <w:szCs w:val="24"/>
                <w:lang w:eastAsia="es-CR"/>
              </w:rPr>
              <w:t>Aplica</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EF6A02" w14:textId="77777777" w:rsidR="00396CB4" w:rsidRPr="00396CB4" w:rsidRDefault="00396CB4" w:rsidP="00396CB4">
            <w:pPr>
              <w:spacing w:after="0" w:line="240" w:lineRule="auto"/>
              <w:jc w:val="center"/>
              <w:rPr>
                <w:rFonts w:eastAsia="Times New Roman" w:cs="Calibri"/>
                <w:color w:val="000000"/>
                <w:sz w:val="22"/>
                <w:lang w:eastAsia="es-CR"/>
              </w:rPr>
            </w:pPr>
            <w:r w:rsidRPr="00396CB4">
              <w:rPr>
                <w:rFonts w:eastAsia="Times New Roman" w:cs="Calibri"/>
                <w:color w:val="000000"/>
                <w:sz w:val="22"/>
                <w:lang w:eastAsia="es-CR"/>
              </w:rPr>
              <w:t>No</w:t>
            </w:r>
          </w:p>
        </w:tc>
      </w:tr>
      <w:tr w:rsidR="00396CB4" w:rsidRPr="00396CB4" w14:paraId="7F9FEA0B" w14:textId="77777777" w:rsidTr="00396CB4">
        <w:trPr>
          <w:divId w:val="1856842427"/>
          <w:trHeight w:val="345"/>
        </w:trPr>
        <w:tc>
          <w:tcPr>
            <w:tcW w:w="2340" w:type="dxa"/>
            <w:tcBorders>
              <w:top w:val="nil"/>
              <w:left w:val="single" w:sz="8" w:space="0" w:color="auto"/>
              <w:bottom w:val="single" w:sz="8" w:space="0" w:color="auto"/>
              <w:right w:val="single" w:sz="8" w:space="0" w:color="auto"/>
            </w:tcBorders>
            <w:shd w:val="clear" w:color="000000" w:fill="17365D"/>
            <w:vAlign w:val="center"/>
            <w:hideMark/>
          </w:tcPr>
          <w:p w14:paraId="6D8A5731" w14:textId="77777777" w:rsidR="00396CB4" w:rsidRPr="00396CB4" w:rsidRDefault="00396CB4" w:rsidP="00396CB4">
            <w:pPr>
              <w:spacing w:after="0" w:line="240" w:lineRule="auto"/>
              <w:jc w:val="left"/>
              <w:rPr>
                <w:rFonts w:eastAsia="Times New Roman" w:cs="Calibri"/>
                <w:color w:val="FFFFFF"/>
                <w:szCs w:val="24"/>
                <w:lang w:eastAsia="es-CR"/>
              </w:rPr>
            </w:pPr>
            <w:proofErr w:type="spellStart"/>
            <w:r w:rsidRPr="00396CB4">
              <w:rPr>
                <w:rFonts w:eastAsia="Times New Roman" w:cs="Calibri"/>
                <w:color w:val="FFFFFF"/>
                <w:szCs w:val="24"/>
                <w:lang w:eastAsia="es-CR"/>
              </w:rPr>
              <w:t>Porcentaje_Avance</w:t>
            </w:r>
            <w:proofErr w:type="spellEnd"/>
          </w:p>
        </w:tc>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6F3FDA20" w14:textId="77777777" w:rsidR="00396CB4" w:rsidRPr="00396CB4" w:rsidRDefault="00396CB4" w:rsidP="00396CB4">
            <w:pPr>
              <w:spacing w:after="0" w:line="240" w:lineRule="auto"/>
              <w:jc w:val="center"/>
              <w:rPr>
                <w:rFonts w:eastAsia="Times New Roman" w:cs="Calibri"/>
                <w:color w:val="000000"/>
                <w:sz w:val="22"/>
                <w:lang w:eastAsia="es-CR"/>
              </w:rPr>
            </w:pPr>
            <w:r w:rsidRPr="00396CB4">
              <w:rPr>
                <w:rFonts w:eastAsia="Times New Roman" w:cs="Calibri"/>
                <w:color w:val="000000"/>
                <w:sz w:val="22"/>
                <w:lang w:eastAsia="es-CR"/>
              </w:rPr>
              <w:t> </w:t>
            </w:r>
          </w:p>
        </w:tc>
      </w:tr>
    </w:tbl>
    <w:p w14:paraId="14BC9A7D" w14:textId="6F334347" w:rsidR="001D0A81" w:rsidRPr="00A649A4" w:rsidRDefault="00982595" w:rsidP="00AA3177">
      <w:pPr>
        <w:rPr>
          <w:szCs w:val="24"/>
          <w:lang w:val="es-MX" w:eastAsia="es-CR"/>
        </w:rPr>
      </w:pPr>
      <w:r>
        <w:rPr>
          <w:szCs w:val="24"/>
          <w:lang w:val="es-MX" w:eastAsia="es-CR"/>
        </w:rPr>
        <w:fldChar w:fldCharType="end"/>
      </w:r>
    </w:p>
    <w:p w14:paraId="25BF7345" w14:textId="77777777" w:rsidR="00A649A4" w:rsidRPr="00A649A4" w:rsidRDefault="00A649A4" w:rsidP="00AA3177">
      <w:pPr>
        <w:jc w:val="center"/>
        <w:rPr>
          <w:szCs w:val="24"/>
        </w:rPr>
      </w:pPr>
      <w:r w:rsidRPr="00A649A4">
        <w:rPr>
          <w:noProof/>
          <w:lang w:eastAsia="es-CR"/>
        </w:rPr>
        <w:drawing>
          <wp:inline distT="0" distB="0" distL="0" distR="0" wp14:anchorId="2EF928AC" wp14:editId="279A1F8F">
            <wp:extent cx="4312920" cy="1249680"/>
            <wp:effectExtent l="0" t="0" r="0" b="0"/>
            <wp:docPr id="5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12920" cy="1249680"/>
                    </a:xfrm>
                    <a:prstGeom prst="rect">
                      <a:avLst/>
                    </a:prstGeom>
                    <a:noFill/>
                    <a:ln>
                      <a:noFill/>
                    </a:ln>
                  </pic:spPr>
                </pic:pic>
              </a:graphicData>
            </a:graphic>
          </wp:inline>
        </w:drawing>
      </w:r>
    </w:p>
    <w:p w14:paraId="3CB5E4F3" w14:textId="77777777" w:rsidR="00A649A4" w:rsidRPr="00A649A4" w:rsidRDefault="00A649A4" w:rsidP="00AA3177">
      <w:r w:rsidRPr="00A649A4">
        <w:t>Un acuerdo conjunto es una operación conjunta o un negocio conjunto, mediante el cual dos o más partes mantienen control conjunto, tiene las siguientes características:</w:t>
      </w:r>
    </w:p>
    <w:p w14:paraId="291D11AD" w14:textId="77777777" w:rsidR="00A649A4" w:rsidRPr="00A649A4" w:rsidRDefault="00A649A4" w:rsidP="00AA3177">
      <w:r w:rsidRPr="00A649A4">
        <w:t>a) Las partes están obligadas por un acuerdo vinculante; y</w:t>
      </w:r>
    </w:p>
    <w:p w14:paraId="5B3BD3B1" w14:textId="77777777" w:rsidR="00A649A4" w:rsidRPr="00A649A4" w:rsidRDefault="00A649A4" w:rsidP="00AA3177">
      <w:r w:rsidRPr="00A649A4">
        <w:t>b) El acuerdo vinculante otorga a dos o más de esas partes control conjunto sobre el acuerdo.</w:t>
      </w:r>
    </w:p>
    <w:p w14:paraId="21350FD5" w14:textId="77777777" w:rsidR="00A649A4" w:rsidRPr="00A649A4" w:rsidRDefault="00A649A4" w:rsidP="00AA3177">
      <w:r w:rsidRPr="00A649A4">
        <w:t>Una entidad que prepara y presenta estados financieros según la base contable de acumulación (o devengo) aplicará esta política contable para determinar el tipo de acuerdo conjunto en el cual está involucrada y para contabilizar los derechos y obligaciones del acuerdo conjunto.</w:t>
      </w:r>
    </w:p>
    <w:p w14:paraId="1CA8ED83" w14:textId="77777777" w:rsidR="009131F0" w:rsidRPr="003516A2" w:rsidRDefault="009131F0" w:rsidP="009131F0">
      <w:pPr>
        <w:spacing w:before="240"/>
        <w:rPr>
          <w:b/>
          <w:color w:val="FFFFFF" w:themeColor="background1"/>
          <w:highlight w:val="darkBlue"/>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r>
        <w:rPr>
          <w:lang w:val="es-MX"/>
        </w:rPr>
        <w:t>________________________________________________________________________________________________________________________________________________________________</w:t>
      </w:r>
    </w:p>
    <w:p w14:paraId="17AC71AA" w14:textId="77777777" w:rsidR="009131F0" w:rsidRDefault="009131F0" w:rsidP="009131F0">
      <w:pPr>
        <w:spacing w:line="240" w:lineRule="auto"/>
        <w:rPr>
          <w:b/>
          <w:u w:val="single"/>
        </w:rPr>
      </w:pPr>
    </w:p>
    <w:p w14:paraId="6827DDBE" w14:textId="77777777" w:rsidR="00445990" w:rsidRDefault="00445990" w:rsidP="009131F0">
      <w:pPr>
        <w:spacing w:line="240" w:lineRule="auto"/>
        <w:rPr>
          <w:b/>
          <w:u w:val="single"/>
        </w:rPr>
      </w:pPr>
    </w:p>
    <w:p w14:paraId="4D914DA4" w14:textId="77777777" w:rsidR="009131F0" w:rsidRPr="003516A2" w:rsidRDefault="009131F0" w:rsidP="009131F0">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5A5C5FF9" w14:textId="77777777" w:rsidR="009131F0" w:rsidRPr="0008638E" w:rsidRDefault="009131F0" w:rsidP="009131F0">
      <w:pPr>
        <w:rPr>
          <w:lang w:val="es-MX"/>
        </w:rPr>
      </w:pPr>
      <w:r>
        <w:rPr>
          <w:lang w:val="es-MX"/>
        </w:rPr>
        <w:t>________________________________________________________________________________________________________________________________________________________________</w:t>
      </w:r>
    </w:p>
    <w:p w14:paraId="0E80B776" w14:textId="2234DB8D" w:rsidR="00A649A4" w:rsidRPr="00A649A4" w:rsidRDefault="00A649A4" w:rsidP="00AA3177">
      <w:pPr>
        <w:rPr>
          <w:rFonts w:eastAsia="Times New Roman"/>
          <w:b/>
          <w:u w:val="single"/>
          <w:lang w:val="es-ES_tradnl" w:eastAsia="es-CR"/>
        </w:rPr>
      </w:pPr>
      <w:r w:rsidRPr="009131F0">
        <w:rPr>
          <w:b/>
          <w:color w:val="FFFFFF" w:themeColor="background1"/>
          <w:highlight w:val="darkBlue"/>
          <w:u w:val="single"/>
        </w:rPr>
        <w:t xml:space="preserve">Revelación Suficiente: </w:t>
      </w:r>
      <w:r w:rsidR="00482942">
        <w:rPr>
          <w:b/>
          <w:bCs/>
          <w:u w:val="single"/>
        </w:rPr>
        <w:t xml:space="preserve">El ente debe revelar y cumplir </w:t>
      </w:r>
      <w:r w:rsidRPr="00A649A4">
        <w:rPr>
          <w:b/>
          <w:bCs/>
          <w:u w:val="single"/>
        </w:rPr>
        <w:t xml:space="preserve">con lo estipulado en revelación </w:t>
      </w:r>
      <w:r w:rsidR="00482942">
        <w:rPr>
          <w:b/>
          <w:bCs/>
          <w:u w:val="single"/>
        </w:rPr>
        <w:t>conforme</w:t>
      </w:r>
      <w:r w:rsidRPr="00A649A4">
        <w:rPr>
          <w:b/>
          <w:bCs/>
          <w:u w:val="single"/>
        </w:rPr>
        <w:t xml:space="preserve"> a la NICSP, también debe considerar la política general y los párrafos incluidos en la matriz de autoevaluación referente a esta NICSP y guías de aplicación</w:t>
      </w:r>
      <w:r w:rsidRPr="00A649A4">
        <w:rPr>
          <w:rFonts w:eastAsia="Times New Roman"/>
          <w:b/>
          <w:u w:val="single"/>
          <w:lang w:val="es-ES_tradnl" w:eastAsia="es-CR"/>
        </w:rPr>
        <w:t xml:space="preserve"> (Ver GA de la NICSP 37):</w:t>
      </w:r>
    </w:p>
    <w:p w14:paraId="7B0AD6D2" w14:textId="77777777" w:rsidR="00A649A4" w:rsidRPr="00A649A4" w:rsidRDefault="00A649A4" w:rsidP="00AA3177">
      <w:pPr>
        <w:rPr>
          <w:lang w:val="es-MX"/>
        </w:rPr>
      </w:pPr>
      <w:r w:rsidRPr="00A649A4">
        <w:rPr>
          <w:lang w:val="es-MX"/>
        </w:rPr>
        <w:t>________________________________________________________________________________________________________________________________________________________________</w:t>
      </w:r>
    </w:p>
    <w:p w14:paraId="69E035E4" w14:textId="77777777" w:rsidR="00A649A4" w:rsidRPr="00A649A4" w:rsidRDefault="00A649A4" w:rsidP="00AA3177"/>
    <w:p w14:paraId="5980528E" w14:textId="5A5321C8" w:rsidR="00A649A4" w:rsidRPr="00A649A4" w:rsidRDefault="00AA3177" w:rsidP="00986512">
      <w:pPr>
        <w:pStyle w:val="Ttulo2"/>
        <w:spacing w:after="240"/>
        <w:rPr>
          <w:rFonts w:eastAsia="Times New Roman"/>
          <w:lang w:eastAsia="es-CR"/>
        </w:rPr>
      </w:pPr>
      <w:bookmarkStart w:id="130" w:name="_Toc82768898"/>
      <w:bookmarkStart w:id="131" w:name="_Toc189804823"/>
      <w:r w:rsidRPr="00A649A4">
        <w:rPr>
          <w:rFonts w:eastAsia="Times New Roman"/>
          <w:lang w:eastAsia="es-CR"/>
        </w:rPr>
        <w:t xml:space="preserve">NICSP 38 </w:t>
      </w:r>
      <w:r w:rsidR="00986512">
        <w:rPr>
          <w:rFonts w:eastAsia="Times New Roman"/>
          <w:lang w:eastAsia="es-CR"/>
        </w:rPr>
        <w:t xml:space="preserve">- </w:t>
      </w:r>
      <w:r w:rsidRPr="00A649A4">
        <w:rPr>
          <w:rFonts w:eastAsia="Times New Roman"/>
          <w:lang w:eastAsia="es-CR"/>
        </w:rPr>
        <w:t>INFORMACIÓN A REVELAR SOBRE PARTICIPACIONES EN OTRAS ENTIDADES:</w:t>
      </w:r>
      <w:bookmarkEnd w:id="130"/>
      <w:bookmarkEnd w:id="131"/>
      <w:r w:rsidRPr="00A649A4">
        <w:rPr>
          <w:rFonts w:eastAsia="Times New Roman"/>
          <w:lang w:eastAsia="es-CR"/>
        </w:rPr>
        <w:t xml:space="preserve"> </w:t>
      </w:r>
    </w:p>
    <w:p w14:paraId="13940472" w14:textId="77777777" w:rsidR="00396CB4" w:rsidRDefault="00986512" w:rsidP="00986512">
      <w:pPr>
        <w:rPr>
          <w:rFonts w:asciiTheme="minorHAnsi" w:hAnsiTheme="minorHAnsi"/>
          <w:sz w:val="22"/>
        </w:rPr>
      </w:pPr>
      <w:r w:rsidRPr="00405DBC">
        <w:t xml:space="preserve">De acuerdo con la </w:t>
      </w:r>
      <w:r w:rsidRPr="00A649A4">
        <w:rPr>
          <w:rFonts w:eastAsia="Calibri" w:cs="Times New Roman"/>
          <w:lang w:val="es-MX"/>
        </w:rPr>
        <w:t>NICSP 38</w:t>
      </w:r>
      <w:r>
        <w:rPr>
          <w:rFonts w:eastAsia="Calibri" w:cs="Times New Roman"/>
          <w:lang w:val="es-MX"/>
        </w:rPr>
        <w:t xml:space="preserve"> -</w:t>
      </w:r>
      <w:r w:rsidRPr="00A649A4">
        <w:rPr>
          <w:rFonts w:eastAsia="Calibri" w:cs="Times New Roman"/>
          <w:lang w:val="es-MX"/>
        </w:rPr>
        <w:t xml:space="preserve"> Información a revelar sobre participaciones en otras entidades</w:t>
      </w:r>
      <w:r>
        <w:t>, i</w:t>
      </w:r>
      <w:r w:rsidRPr="00405DBC">
        <w:t>ndicar si este rubro afecta SI o NO a la institución, además del porcentaje de avance</w:t>
      </w:r>
      <w:r>
        <w:t xml:space="preserve"> en la implementación</w:t>
      </w:r>
      <w:r w:rsidRPr="00405DBC">
        <w:t xml:space="preserve"> que presenta</w:t>
      </w:r>
      <w:r>
        <w:rPr>
          <w:b/>
        </w:rPr>
        <w:t>.</w:t>
      </w:r>
      <w:r w:rsidR="00982595">
        <w:rPr>
          <w:lang w:val="es-MX" w:eastAsia="es-CR"/>
        </w:rPr>
        <w:fldChar w:fldCharType="begin"/>
      </w:r>
      <w:r w:rsidR="00982595">
        <w:rPr>
          <w:lang w:val="es-MX" w:eastAsia="es-CR"/>
        </w:rPr>
        <w:instrText xml:space="preserve"> LINK </w:instrText>
      </w:r>
      <w:r w:rsidR="00756467">
        <w:rPr>
          <w:lang w:val="es-MX" w:eastAsia="es-CR"/>
        </w:rPr>
        <w:instrText xml:space="preserve">Excel.SheetMacroEnabled.12 "C:\\Users\\gcordero\\Downloads\\Notas diciembre 2024\\Formato_Notas_EEFF_Vinculadas_2024\\Formato_Notas_EEFF_Vinculadas_2024\\15603_T04_2024_Anexo_Estado_Notas_Contables_Vinculadas.xlsm" NICSP_38!F9C3:F10C4 </w:instrText>
      </w:r>
      <w:r w:rsidR="00982595">
        <w:rPr>
          <w:lang w:val="es-MX" w:eastAsia="es-CR"/>
        </w:rPr>
        <w:instrText xml:space="preserve">\a \f 4 \h </w:instrText>
      </w:r>
      <w:r w:rsidR="00982595">
        <w:rPr>
          <w:lang w:val="es-MX" w:eastAsia="es-CR"/>
        </w:rPr>
        <w:fldChar w:fldCharType="separate"/>
      </w:r>
    </w:p>
    <w:tbl>
      <w:tblPr>
        <w:tblW w:w="4120" w:type="dxa"/>
        <w:tblCellMar>
          <w:left w:w="70" w:type="dxa"/>
          <w:right w:w="70" w:type="dxa"/>
        </w:tblCellMar>
        <w:tblLook w:val="04A0" w:firstRow="1" w:lastRow="0" w:firstColumn="1" w:lastColumn="0" w:noHBand="0" w:noVBand="1"/>
      </w:tblPr>
      <w:tblGrid>
        <w:gridCol w:w="2340"/>
        <w:gridCol w:w="1780"/>
      </w:tblGrid>
      <w:tr w:rsidR="00396CB4" w:rsidRPr="00396CB4" w14:paraId="4828542D" w14:textId="77777777" w:rsidTr="00396CB4">
        <w:trPr>
          <w:divId w:val="1659264705"/>
          <w:trHeight w:val="345"/>
        </w:trPr>
        <w:tc>
          <w:tcPr>
            <w:tcW w:w="234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3BFA9E57" w14:textId="66DBA69F" w:rsidR="00396CB4" w:rsidRPr="00396CB4" w:rsidRDefault="00396CB4" w:rsidP="00396CB4">
            <w:pPr>
              <w:rPr>
                <w:rFonts w:eastAsia="Times New Roman" w:cs="Calibri"/>
                <w:color w:val="FFFFFF"/>
                <w:szCs w:val="24"/>
                <w:lang w:eastAsia="es-CR"/>
              </w:rPr>
            </w:pPr>
            <w:r w:rsidRPr="00396CB4">
              <w:rPr>
                <w:rFonts w:eastAsia="Times New Roman" w:cs="Calibri"/>
                <w:color w:val="FFFFFF"/>
                <w:szCs w:val="24"/>
                <w:lang w:eastAsia="es-CR"/>
              </w:rPr>
              <w:t>Aplica</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993238" w14:textId="77777777" w:rsidR="00396CB4" w:rsidRPr="00396CB4" w:rsidRDefault="00396CB4" w:rsidP="00396CB4">
            <w:pPr>
              <w:spacing w:after="0" w:line="240" w:lineRule="auto"/>
              <w:jc w:val="center"/>
              <w:rPr>
                <w:rFonts w:eastAsia="Times New Roman" w:cs="Calibri"/>
                <w:color w:val="000000"/>
                <w:sz w:val="22"/>
                <w:lang w:eastAsia="es-CR"/>
              </w:rPr>
            </w:pPr>
            <w:r w:rsidRPr="00396CB4">
              <w:rPr>
                <w:rFonts w:eastAsia="Times New Roman" w:cs="Calibri"/>
                <w:color w:val="000000"/>
                <w:sz w:val="22"/>
                <w:lang w:eastAsia="es-CR"/>
              </w:rPr>
              <w:t>No</w:t>
            </w:r>
          </w:p>
        </w:tc>
      </w:tr>
      <w:tr w:rsidR="00396CB4" w:rsidRPr="00396CB4" w14:paraId="72815660" w14:textId="77777777" w:rsidTr="00396CB4">
        <w:trPr>
          <w:divId w:val="1659264705"/>
          <w:trHeight w:val="345"/>
        </w:trPr>
        <w:tc>
          <w:tcPr>
            <w:tcW w:w="2340" w:type="dxa"/>
            <w:tcBorders>
              <w:top w:val="nil"/>
              <w:left w:val="single" w:sz="8" w:space="0" w:color="auto"/>
              <w:bottom w:val="single" w:sz="8" w:space="0" w:color="auto"/>
              <w:right w:val="single" w:sz="8" w:space="0" w:color="auto"/>
            </w:tcBorders>
            <w:shd w:val="clear" w:color="000000" w:fill="17365D"/>
            <w:vAlign w:val="center"/>
            <w:hideMark/>
          </w:tcPr>
          <w:p w14:paraId="4E322747" w14:textId="77777777" w:rsidR="00396CB4" w:rsidRPr="00396CB4" w:rsidRDefault="00396CB4" w:rsidP="00396CB4">
            <w:pPr>
              <w:spacing w:after="0" w:line="240" w:lineRule="auto"/>
              <w:jc w:val="left"/>
              <w:rPr>
                <w:rFonts w:eastAsia="Times New Roman" w:cs="Calibri"/>
                <w:color w:val="FFFFFF"/>
                <w:szCs w:val="24"/>
                <w:lang w:eastAsia="es-CR"/>
              </w:rPr>
            </w:pPr>
            <w:proofErr w:type="spellStart"/>
            <w:r w:rsidRPr="00396CB4">
              <w:rPr>
                <w:rFonts w:eastAsia="Times New Roman" w:cs="Calibri"/>
                <w:color w:val="FFFFFF"/>
                <w:szCs w:val="24"/>
                <w:lang w:eastAsia="es-CR"/>
              </w:rPr>
              <w:t>Porcentaje_Avance</w:t>
            </w:r>
            <w:proofErr w:type="spellEnd"/>
          </w:p>
        </w:tc>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75199BF7" w14:textId="77777777" w:rsidR="00396CB4" w:rsidRPr="00396CB4" w:rsidRDefault="00396CB4" w:rsidP="00396CB4">
            <w:pPr>
              <w:spacing w:after="0" w:line="240" w:lineRule="auto"/>
              <w:jc w:val="center"/>
              <w:rPr>
                <w:rFonts w:eastAsia="Times New Roman" w:cs="Calibri"/>
                <w:color w:val="000000"/>
                <w:sz w:val="22"/>
                <w:lang w:eastAsia="es-CR"/>
              </w:rPr>
            </w:pPr>
            <w:r w:rsidRPr="00396CB4">
              <w:rPr>
                <w:rFonts w:eastAsia="Times New Roman" w:cs="Calibri"/>
                <w:color w:val="000000"/>
                <w:sz w:val="22"/>
                <w:lang w:eastAsia="es-CR"/>
              </w:rPr>
              <w:t> </w:t>
            </w:r>
          </w:p>
        </w:tc>
      </w:tr>
    </w:tbl>
    <w:p w14:paraId="43748EF2" w14:textId="3664B8BE" w:rsidR="00986512" w:rsidRPr="00445990" w:rsidRDefault="00982595" w:rsidP="00986512">
      <w:pPr>
        <w:rPr>
          <w:rFonts w:asciiTheme="minorHAnsi" w:hAnsiTheme="minorHAnsi"/>
          <w:sz w:val="22"/>
        </w:rPr>
      </w:pPr>
      <w:r>
        <w:rPr>
          <w:lang w:val="es-MX" w:eastAsia="es-CR"/>
        </w:rPr>
        <w:fldChar w:fldCharType="end"/>
      </w:r>
      <w:r w:rsidR="0021402F">
        <w:rPr>
          <w:lang w:val="es-MX" w:eastAsia="es-CR"/>
        </w:rPr>
        <w:fldChar w:fldCharType="begin"/>
      </w:r>
      <w:r w:rsidR="0021402F">
        <w:rPr>
          <w:lang w:val="es-MX" w:eastAsia="es-CR"/>
        </w:rPr>
        <w:instrText xml:space="preserve"> LINK </w:instrText>
      </w:r>
      <w:r w:rsidR="00756467">
        <w:rPr>
          <w:lang w:val="es-MX" w:eastAsia="es-CR"/>
        </w:rPr>
        <w:instrText xml:space="preserve">Excel.SheetMacroEnabled.12 "C:\\Users\\gcordero\\Downloads\\Notas diciembre 2024\\Formato_Notas_EEFF_Vinculadas_2024\\Formato_Notas_EEFF_Vinculadas_2024\\15603_T04_2024_Anexo_Estado_Notas_Contables_Vinculadas.xlsm" NICSP_38!F9C3:F10C4 </w:instrText>
      </w:r>
      <w:r w:rsidR="0021402F">
        <w:rPr>
          <w:lang w:val="es-MX" w:eastAsia="es-CR"/>
        </w:rPr>
        <w:instrText xml:space="preserve">\a \f 4 \h </w:instrText>
      </w:r>
      <w:r w:rsidR="0021402F">
        <w:rPr>
          <w:lang w:val="es-MX" w:eastAsia="es-CR"/>
        </w:rPr>
        <w:fldChar w:fldCharType="end"/>
      </w:r>
    </w:p>
    <w:p w14:paraId="53311187" w14:textId="77777777" w:rsidR="00A649A4" w:rsidRPr="00A649A4" w:rsidRDefault="00A649A4" w:rsidP="00986512">
      <w:pPr>
        <w:rPr>
          <w:szCs w:val="24"/>
        </w:rPr>
      </w:pPr>
      <w:r w:rsidRPr="00A649A4">
        <w:rPr>
          <w:noProof/>
          <w:lang w:eastAsia="es-CR"/>
        </w:rPr>
        <w:drawing>
          <wp:inline distT="0" distB="0" distL="0" distR="0" wp14:anchorId="5EB978F4" wp14:editId="0C6217D6">
            <wp:extent cx="4297680" cy="1348740"/>
            <wp:effectExtent l="0" t="0" r="0" b="0"/>
            <wp:docPr id="5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97680" cy="1348740"/>
                    </a:xfrm>
                    <a:prstGeom prst="rect">
                      <a:avLst/>
                    </a:prstGeom>
                    <a:noFill/>
                    <a:ln>
                      <a:noFill/>
                    </a:ln>
                  </pic:spPr>
                </pic:pic>
              </a:graphicData>
            </a:graphic>
          </wp:inline>
        </w:drawing>
      </w:r>
    </w:p>
    <w:p w14:paraId="1C7A48EE" w14:textId="77777777" w:rsidR="00A649A4" w:rsidRPr="00A649A4" w:rsidRDefault="00A649A4" w:rsidP="00986512">
      <w:pPr>
        <w:rPr>
          <w:rFonts w:eastAsia="Calibri" w:cs="Times New Roman"/>
        </w:rPr>
      </w:pPr>
      <w:r w:rsidRPr="00A649A4">
        <w:rPr>
          <w:rFonts w:eastAsia="Calibri" w:cs="Times New Roman"/>
        </w:rPr>
        <w:t>a) La metodología usada para determinar:</w:t>
      </w:r>
    </w:p>
    <w:p w14:paraId="1A4C809F" w14:textId="77777777" w:rsidR="00A649A4" w:rsidRPr="00A649A4" w:rsidRDefault="00A649A4" w:rsidP="00986512">
      <w:pPr>
        <w:rPr>
          <w:rFonts w:eastAsia="Calibri" w:cs="Times New Roman"/>
        </w:rPr>
      </w:pPr>
      <w:r w:rsidRPr="00A649A4">
        <w:rPr>
          <w:rFonts w:eastAsia="Calibri" w:cs="Times New Roman"/>
        </w:rPr>
        <w:t>1. que tiene el control de otra entidad como se describe en la norma;</w:t>
      </w:r>
    </w:p>
    <w:p w14:paraId="03EF030C" w14:textId="77777777" w:rsidR="00A649A4" w:rsidRPr="00A649A4" w:rsidRDefault="00A649A4" w:rsidP="00986512">
      <w:pPr>
        <w:rPr>
          <w:rFonts w:eastAsia="Calibri" w:cs="Times New Roman"/>
        </w:rPr>
      </w:pPr>
      <w:r w:rsidRPr="00A649A4">
        <w:rPr>
          <w:rFonts w:eastAsia="Calibri" w:cs="Times New Roman"/>
        </w:rPr>
        <w:t>2. que tiene el control conjunto de un acuerdo sobre otra entidad; y</w:t>
      </w:r>
    </w:p>
    <w:p w14:paraId="5CF51AE4" w14:textId="779F53F4" w:rsidR="00A649A4" w:rsidRDefault="00A649A4" w:rsidP="00986512">
      <w:pPr>
        <w:rPr>
          <w:rFonts w:eastAsia="Calibri" w:cs="Times New Roman"/>
        </w:rPr>
      </w:pPr>
      <w:r w:rsidRPr="00A649A4">
        <w:rPr>
          <w:rFonts w:eastAsia="Calibri" w:cs="Times New Roman"/>
        </w:rPr>
        <w:lastRenderedPageBreak/>
        <w:t xml:space="preserve">3. el tipo de acuerdo conjunto, es decir, </w:t>
      </w:r>
      <w:r w:rsidR="00445990" w:rsidRPr="00A649A4">
        <w:rPr>
          <w:rFonts w:eastAsia="Calibri" w:cs="Times New Roman"/>
        </w:rPr>
        <w:t>operación o negocio conjunto</w:t>
      </w:r>
      <w:r w:rsidRPr="00A649A4">
        <w:rPr>
          <w:rFonts w:eastAsia="Calibri" w:cs="Times New Roman"/>
        </w:rPr>
        <w:t xml:space="preserve"> cuando el acuerdo ha sido estructurado a través de un vehículo separado;</w:t>
      </w:r>
    </w:p>
    <w:p w14:paraId="7FA56270" w14:textId="77777777" w:rsidR="009131F0" w:rsidRPr="003516A2" w:rsidRDefault="009131F0" w:rsidP="009131F0">
      <w:pPr>
        <w:spacing w:before="240"/>
        <w:rPr>
          <w:b/>
          <w:color w:val="FFFFFF" w:themeColor="background1"/>
          <w:highlight w:val="darkBlue"/>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r>
        <w:rPr>
          <w:lang w:val="es-MX"/>
        </w:rPr>
        <w:t>________________________________________________________________________________________________________________________________________________________________</w:t>
      </w:r>
    </w:p>
    <w:p w14:paraId="06BE63F1" w14:textId="77777777" w:rsidR="009131F0" w:rsidRDefault="009131F0" w:rsidP="009131F0">
      <w:pPr>
        <w:spacing w:line="240" w:lineRule="auto"/>
        <w:rPr>
          <w:b/>
          <w:u w:val="single"/>
        </w:rPr>
      </w:pPr>
    </w:p>
    <w:p w14:paraId="510CD4C3" w14:textId="77777777" w:rsidR="009131F0" w:rsidRPr="003516A2" w:rsidRDefault="009131F0" w:rsidP="009131F0">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56687034" w14:textId="744B303A" w:rsidR="009131F0" w:rsidRPr="0021402F" w:rsidRDefault="009131F0" w:rsidP="009131F0">
      <w:pPr>
        <w:rPr>
          <w:rFonts w:eastAsia="Calibri" w:cs="Times New Roman"/>
        </w:rPr>
      </w:pPr>
      <w:r>
        <w:rPr>
          <w:lang w:val="es-MX"/>
        </w:rPr>
        <w:t>________________________________________________________________________________________________________________________________________________________________</w:t>
      </w:r>
    </w:p>
    <w:p w14:paraId="42157C70" w14:textId="430FD094" w:rsidR="00A649A4" w:rsidRPr="00A649A4" w:rsidRDefault="00A649A4" w:rsidP="00986512">
      <w:pPr>
        <w:rPr>
          <w:rFonts w:eastAsia="Times New Roman" w:cs="Times New Roman"/>
          <w:b/>
          <w:u w:val="single"/>
          <w:lang w:val="es-ES_tradnl" w:eastAsia="es-CR"/>
        </w:rPr>
      </w:pPr>
      <w:r w:rsidRPr="009131F0">
        <w:rPr>
          <w:b/>
          <w:color w:val="FFFFFF" w:themeColor="background1"/>
          <w:highlight w:val="darkBlue"/>
          <w:u w:val="single"/>
        </w:rPr>
        <w:t>Revelación Suficiente:</w:t>
      </w:r>
      <w:r w:rsidRPr="00A649A4">
        <w:rPr>
          <w:rFonts w:eastAsia="Calibri" w:cs="Times New Roman"/>
          <w:b/>
          <w:bCs/>
          <w:u w:val="single"/>
        </w:rPr>
        <w:t xml:space="preserve"> </w:t>
      </w:r>
      <w:r w:rsidR="00482942">
        <w:rPr>
          <w:rFonts w:eastAsia="Calibri" w:cs="Times New Roman"/>
          <w:b/>
          <w:bCs/>
          <w:u w:val="single"/>
        </w:rPr>
        <w:t xml:space="preserve">El ente debe revelar y cumplir </w:t>
      </w:r>
      <w:r w:rsidRPr="00A649A4">
        <w:rPr>
          <w:rFonts w:eastAsia="Calibri" w:cs="Times New Roman"/>
          <w:b/>
          <w:bCs/>
          <w:u w:val="single"/>
        </w:rPr>
        <w:t xml:space="preserve">con lo estipulado en revelación </w:t>
      </w:r>
      <w:r w:rsidR="00482942">
        <w:rPr>
          <w:rFonts w:eastAsia="Calibri" w:cs="Times New Roman"/>
          <w:b/>
          <w:bCs/>
          <w:u w:val="single"/>
        </w:rPr>
        <w:t>conforme</w:t>
      </w:r>
      <w:r w:rsidRPr="00A649A4">
        <w:rPr>
          <w:rFonts w:eastAsia="Calibri" w:cs="Times New Roman"/>
          <w:b/>
          <w:bCs/>
          <w:u w:val="single"/>
        </w:rPr>
        <w:t xml:space="preserve"> a la NICSP, también debe considerar la política general y los párrafos incluidos en la matriz de autoevaluación referente a esta NICSP guías de aplicación</w:t>
      </w:r>
      <w:r w:rsidRPr="00A649A4">
        <w:rPr>
          <w:rFonts w:eastAsia="Times New Roman" w:cs="Times New Roman"/>
          <w:b/>
          <w:u w:val="single"/>
          <w:lang w:val="es-ES_tradnl" w:eastAsia="es-CR"/>
        </w:rPr>
        <w:t xml:space="preserve"> (Ver GA de la NICSP 38):</w:t>
      </w:r>
    </w:p>
    <w:p w14:paraId="6B277BFE" w14:textId="6C8F5AFA" w:rsidR="00A649A4" w:rsidRDefault="00A649A4" w:rsidP="00986512">
      <w:pPr>
        <w:rPr>
          <w:rFonts w:eastAsia="Calibri" w:cs="Times New Roman"/>
          <w:lang w:val="es-MX"/>
        </w:rPr>
      </w:pPr>
      <w:r w:rsidRPr="00A649A4">
        <w:rPr>
          <w:rFonts w:eastAsia="Calibri" w:cs="Times New Roman"/>
          <w:lang w:val="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Start w:id="132" w:name="_Toc54961688"/>
    </w:p>
    <w:p w14:paraId="52A20E33" w14:textId="77777777" w:rsidR="00986512" w:rsidRPr="00986512" w:rsidRDefault="00986512" w:rsidP="00986512">
      <w:pPr>
        <w:rPr>
          <w:rFonts w:eastAsia="Calibri" w:cs="Times New Roman"/>
          <w:lang w:val="es-MX"/>
        </w:rPr>
      </w:pPr>
    </w:p>
    <w:p w14:paraId="1D0B8662" w14:textId="407E95A9" w:rsidR="00A649A4" w:rsidRPr="00986512" w:rsidRDefault="00986512" w:rsidP="00986512">
      <w:pPr>
        <w:pStyle w:val="Ttulo2"/>
        <w:spacing w:after="240"/>
        <w:rPr>
          <w:rFonts w:eastAsia="Times New Roman"/>
          <w:lang w:eastAsia="es-CR"/>
        </w:rPr>
      </w:pPr>
      <w:bookmarkStart w:id="133" w:name="_Toc82768899"/>
      <w:bookmarkStart w:id="134" w:name="_Toc189804824"/>
      <w:r w:rsidRPr="00A649A4">
        <w:rPr>
          <w:rFonts w:eastAsia="Times New Roman"/>
          <w:lang w:eastAsia="es-CR"/>
        </w:rPr>
        <w:t xml:space="preserve">NICSP 39 </w:t>
      </w:r>
      <w:r>
        <w:rPr>
          <w:rFonts w:eastAsia="Times New Roman"/>
          <w:lang w:eastAsia="es-CR"/>
        </w:rPr>
        <w:t xml:space="preserve">- </w:t>
      </w:r>
      <w:r w:rsidRPr="00A649A4">
        <w:rPr>
          <w:rFonts w:eastAsia="Times New Roman"/>
          <w:lang w:eastAsia="es-CR"/>
        </w:rPr>
        <w:t>BENEFICIOS A LOS EMPLEADOS (DE APLICACIÓN OBLIGATORIA):</w:t>
      </w:r>
      <w:bookmarkEnd w:id="132"/>
      <w:bookmarkEnd w:id="133"/>
      <w:bookmarkEnd w:id="134"/>
      <w:r w:rsidRPr="00A649A4">
        <w:rPr>
          <w:rFonts w:eastAsia="Times New Roman"/>
          <w:lang w:eastAsia="es-CR"/>
        </w:rPr>
        <w:t xml:space="preserve"> </w:t>
      </w:r>
    </w:p>
    <w:p w14:paraId="471907B8" w14:textId="7FEC1501" w:rsidR="00974E15" w:rsidRPr="00986512" w:rsidRDefault="00986512" w:rsidP="00986512">
      <w:pPr>
        <w:rPr>
          <w:b/>
          <w:sz w:val="16"/>
          <w:szCs w:val="16"/>
          <w:lang w:eastAsia="es-CR"/>
        </w:rPr>
      </w:pPr>
      <w:r w:rsidRPr="00FB0858">
        <w:t xml:space="preserve">De acuerdo con la </w:t>
      </w:r>
      <w:r w:rsidRPr="000B404C">
        <w:t xml:space="preserve">De acuerdo con la </w:t>
      </w:r>
      <w:r w:rsidRPr="00986512">
        <w:t>NICSP 39 Beneficios a los empleados</w:t>
      </w:r>
      <w:r>
        <w:t xml:space="preserve">, indicar si este rubro afecta SI o NO a la institución, </w:t>
      </w:r>
      <w:r w:rsidRPr="00405DBC">
        <w:t>además del porcentaje de avance</w:t>
      </w:r>
      <w:r>
        <w:t xml:space="preserve"> en la implementación</w:t>
      </w:r>
      <w:r w:rsidRPr="00405DBC">
        <w:t xml:space="preserve"> que presenta</w:t>
      </w:r>
      <w:r>
        <w:t>.</w:t>
      </w:r>
      <w:r w:rsidR="00974E15" w:rsidRPr="00986512">
        <w:rPr>
          <w:b/>
          <w:sz w:val="16"/>
          <w:szCs w:val="16"/>
          <w:lang w:eastAsia="es-CR"/>
        </w:rPr>
        <w:t xml:space="preserve"> </w:t>
      </w:r>
    </w:p>
    <w:tbl>
      <w:tblPr>
        <w:tblW w:w="3740" w:type="dxa"/>
        <w:tblCellMar>
          <w:left w:w="70" w:type="dxa"/>
          <w:right w:w="70" w:type="dxa"/>
        </w:tblCellMar>
        <w:tblLook w:val="04A0" w:firstRow="1" w:lastRow="0" w:firstColumn="1" w:lastColumn="0" w:noHBand="0" w:noVBand="1"/>
      </w:tblPr>
      <w:tblGrid>
        <w:gridCol w:w="2200"/>
        <w:gridCol w:w="1540"/>
      </w:tblGrid>
      <w:tr w:rsidR="00974E15" w:rsidRPr="00974E15" w14:paraId="230C1441" w14:textId="77777777" w:rsidTr="00974E15">
        <w:trPr>
          <w:trHeight w:val="345"/>
        </w:trPr>
        <w:tc>
          <w:tcPr>
            <w:tcW w:w="220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2649E8A0" w14:textId="77777777" w:rsidR="00974E15" w:rsidRPr="00974E15" w:rsidRDefault="00974E15" w:rsidP="00974E15">
            <w:pPr>
              <w:spacing w:after="0" w:line="240" w:lineRule="auto"/>
              <w:jc w:val="left"/>
              <w:rPr>
                <w:rFonts w:eastAsia="Times New Roman" w:cs="Calibri"/>
                <w:color w:val="FFFFFF"/>
                <w:szCs w:val="24"/>
                <w:lang w:eastAsia="es-CR"/>
              </w:rPr>
            </w:pPr>
            <w:r w:rsidRPr="00974E15">
              <w:rPr>
                <w:rFonts w:eastAsia="Times New Roman" w:cs="Calibri"/>
                <w:color w:val="FFFFFF"/>
                <w:szCs w:val="24"/>
                <w:lang w:eastAsia="es-CR"/>
              </w:rPr>
              <w:t>Aplica</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6E003D" w14:textId="77777777" w:rsidR="00974E15" w:rsidRPr="00974E15" w:rsidRDefault="00974E15" w:rsidP="00974E15">
            <w:pPr>
              <w:spacing w:after="0" w:line="240" w:lineRule="auto"/>
              <w:jc w:val="center"/>
              <w:rPr>
                <w:rFonts w:eastAsia="Times New Roman" w:cs="Calibri"/>
                <w:color w:val="000000"/>
                <w:sz w:val="22"/>
                <w:lang w:eastAsia="es-CR"/>
              </w:rPr>
            </w:pPr>
            <w:r w:rsidRPr="00974E15">
              <w:rPr>
                <w:rFonts w:eastAsia="Times New Roman" w:cs="Calibri"/>
                <w:color w:val="000000"/>
                <w:sz w:val="22"/>
                <w:lang w:eastAsia="es-CR"/>
              </w:rPr>
              <w:t>Si</w:t>
            </w:r>
          </w:p>
        </w:tc>
      </w:tr>
      <w:tr w:rsidR="00974E15" w:rsidRPr="00974E15" w14:paraId="11623DD3" w14:textId="77777777" w:rsidTr="00974E15">
        <w:trPr>
          <w:trHeight w:val="345"/>
        </w:trPr>
        <w:tc>
          <w:tcPr>
            <w:tcW w:w="2200" w:type="dxa"/>
            <w:tcBorders>
              <w:top w:val="nil"/>
              <w:left w:val="single" w:sz="8" w:space="0" w:color="auto"/>
              <w:bottom w:val="single" w:sz="8" w:space="0" w:color="auto"/>
              <w:right w:val="single" w:sz="8" w:space="0" w:color="auto"/>
            </w:tcBorders>
            <w:shd w:val="clear" w:color="000000" w:fill="17365D"/>
            <w:vAlign w:val="center"/>
            <w:hideMark/>
          </w:tcPr>
          <w:p w14:paraId="2171D144" w14:textId="77777777" w:rsidR="00974E15" w:rsidRPr="00974E15" w:rsidRDefault="00974E15" w:rsidP="00974E15">
            <w:pPr>
              <w:spacing w:after="0" w:line="240" w:lineRule="auto"/>
              <w:jc w:val="left"/>
              <w:rPr>
                <w:rFonts w:eastAsia="Times New Roman" w:cs="Calibri"/>
                <w:color w:val="FFFFFF"/>
                <w:szCs w:val="24"/>
                <w:lang w:eastAsia="es-CR"/>
              </w:rPr>
            </w:pPr>
            <w:proofErr w:type="spellStart"/>
            <w:r w:rsidRPr="00974E15">
              <w:rPr>
                <w:rFonts w:eastAsia="Times New Roman" w:cs="Calibri"/>
                <w:color w:val="FFFFFF"/>
                <w:szCs w:val="24"/>
                <w:lang w:eastAsia="es-CR"/>
              </w:rPr>
              <w:t>Porcentaje_Avance</w:t>
            </w:r>
            <w:proofErr w:type="spellEnd"/>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2675D467" w14:textId="77777777" w:rsidR="00974E15" w:rsidRPr="00974E15" w:rsidRDefault="00974E15" w:rsidP="00974E15">
            <w:pPr>
              <w:spacing w:after="0" w:line="240" w:lineRule="auto"/>
              <w:jc w:val="center"/>
              <w:rPr>
                <w:rFonts w:eastAsia="Times New Roman" w:cs="Calibri"/>
                <w:color w:val="000000"/>
                <w:sz w:val="22"/>
                <w:lang w:eastAsia="es-CR"/>
              </w:rPr>
            </w:pPr>
            <w:r w:rsidRPr="00974E15">
              <w:rPr>
                <w:rFonts w:eastAsia="Times New Roman" w:cs="Calibri"/>
                <w:color w:val="000000"/>
                <w:sz w:val="22"/>
                <w:lang w:eastAsia="es-CR"/>
              </w:rPr>
              <w:t>88,00%</w:t>
            </w:r>
          </w:p>
        </w:tc>
      </w:tr>
    </w:tbl>
    <w:p w14:paraId="778978C4" w14:textId="4DF18F73" w:rsidR="00422EDF" w:rsidRDefault="00A649A4" w:rsidP="00986512">
      <w:pPr>
        <w:rPr>
          <w:b/>
          <w:sz w:val="16"/>
          <w:szCs w:val="16"/>
          <w:lang w:eastAsia="es-CR"/>
        </w:rPr>
      </w:pPr>
      <w:r w:rsidRPr="00986512">
        <w:rPr>
          <w:b/>
          <w:sz w:val="16"/>
          <w:szCs w:val="16"/>
          <w:lang w:eastAsia="es-CR"/>
        </w:rPr>
        <w:t xml:space="preserve"> -Si la respuesta es NO la entidad debe presentar una justificación-</w:t>
      </w:r>
    </w:p>
    <w:p w14:paraId="049A9545" w14:textId="77777777" w:rsidR="00E33A59" w:rsidRDefault="00E33A59" w:rsidP="00986512">
      <w:pPr>
        <w:rPr>
          <w:lang w:eastAsia="es-CR"/>
        </w:rPr>
      </w:pPr>
    </w:p>
    <w:p w14:paraId="7EFA65EE" w14:textId="77777777" w:rsidR="00E33A59" w:rsidRDefault="00E33A59" w:rsidP="00986512">
      <w:pPr>
        <w:rPr>
          <w:lang w:eastAsia="es-CR"/>
        </w:rPr>
      </w:pPr>
    </w:p>
    <w:p w14:paraId="5D1AA57F" w14:textId="56DD3300" w:rsidR="00796636" w:rsidRDefault="0021402F" w:rsidP="00986512">
      <w:pPr>
        <w:rPr>
          <w:rFonts w:asciiTheme="minorHAnsi" w:hAnsiTheme="minorHAnsi"/>
          <w:sz w:val="22"/>
        </w:rPr>
      </w:pPr>
      <w:r>
        <w:rPr>
          <w:lang w:eastAsia="es-CR"/>
        </w:rPr>
        <w:fldChar w:fldCharType="begin"/>
      </w:r>
      <w:r>
        <w:rPr>
          <w:lang w:eastAsia="es-CR"/>
        </w:rPr>
        <w:instrText xml:space="preserve"> LINK </w:instrText>
      </w:r>
      <w:r w:rsidR="00756467">
        <w:rPr>
          <w:lang w:eastAsia="es-CR"/>
        </w:rPr>
        <w:instrText xml:space="preserve">Excel.SheetMacroEnabled.12 "C:\\Users\\gcordero\\Downloads\\Notas diciembre 2024\\Formato_Notas_EEFF_Vinculadas_2024\\Formato_Notas_EEFF_Vinculadas_2024\\15603_T04_2024_Anexo_Estado_Notas_Contables_Vinculadas.xlsm" NICSP_39!F12C7:F16C10 </w:instrText>
      </w:r>
      <w:r>
        <w:rPr>
          <w:lang w:eastAsia="es-CR"/>
        </w:rPr>
        <w:instrText xml:space="preserve">\a \f 4 \h </w:instrText>
      </w:r>
      <w:r>
        <w:rPr>
          <w:lang w:eastAsia="es-CR"/>
        </w:rPr>
        <w:fldChar w:fldCharType="separate"/>
      </w:r>
    </w:p>
    <w:tbl>
      <w:tblPr>
        <w:tblW w:w="7580" w:type="dxa"/>
        <w:tblCellMar>
          <w:left w:w="70" w:type="dxa"/>
          <w:right w:w="70" w:type="dxa"/>
        </w:tblCellMar>
        <w:tblLook w:val="04A0" w:firstRow="1" w:lastRow="0" w:firstColumn="1" w:lastColumn="0" w:noHBand="0" w:noVBand="1"/>
      </w:tblPr>
      <w:tblGrid>
        <w:gridCol w:w="2528"/>
        <w:gridCol w:w="1858"/>
        <w:gridCol w:w="1597"/>
        <w:gridCol w:w="1597"/>
      </w:tblGrid>
      <w:tr w:rsidR="00796636" w:rsidRPr="00796636" w14:paraId="6E7F5D73" w14:textId="77777777" w:rsidTr="00796636">
        <w:trPr>
          <w:divId w:val="2017418782"/>
          <w:trHeight w:val="345"/>
        </w:trPr>
        <w:tc>
          <w:tcPr>
            <w:tcW w:w="2528" w:type="dxa"/>
            <w:tcBorders>
              <w:top w:val="nil"/>
              <w:left w:val="nil"/>
              <w:bottom w:val="nil"/>
              <w:right w:val="nil"/>
            </w:tcBorders>
            <w:shd w:val="clear" w:color="auto" w:fill="auto"/>
            <w:noWrap/>
            <w:vAlign w:val="bottom"/>
            <w:hideMark/>
          </w:tcPr>
          <w:p w14:paraId="5129DD4E" w14:textId="216C919B" w:rsidR="00796636" w:rsidRPr="00796636" w:rsidRDefault="00796636" w:rsidP="00796636">
            <w:pPr>
              <w:spacing w:after="0" w:line="240" w:lineRule="auto"/>
              <w:jc w:val="left"/>
              <w:rPr>
                <w:rFonts w:ascii="Times New Roman" w:eastAsia="Times New Roman" w:hAnsi="Times New Roman" w:cs="Times New Roman"/>
                <w:szCs w:val="24"/>
                <w:lang w:eastAsia="es-CR"/>
              </w:rPr>
            </w:pPr>
          </w:p>
        </w:tc>
        <w:tc>
          <w:tcPr>
            <w:tcW w:w="1858" w:type="dxa"/>
            <w:tcBorders>
              <w:top w:val="single" w:sz="8" w:space="0" w:color="auto"/>
              <w:left w:val="single" w:sz="8" w:space="0" w:color="auto"/>
              <w:bottom w:val="single" w:sz="8" w:space="0" w:color="auto"/>
              <w:right w:val="nil"/>
            </w:tcBorders>
            <w:shd w:val="clear" w:color="000000" w:fill="17365D"/>
            <w:vAlign w:val="center"/>
            <w:hideMark/>
          </w:tcPr>
          <w:p w14:paraId="4E1BE2AF" w14:textId="77777777" w:rsidR="00796636" w:rsidRPr="00796636" w:rsidRDefault="00796636" w:rsidP="00796636">
            <w:pPr>
              <w:spacing w:after="0" w:line="240" w:lineRule="auto"/>
              <w:jc w:val="center"/>
              <w:rPr>
                <w:rFonts w:eastAsia="Times New Roman" w:cs="Times New Roman"/>
                <w:color w:val="FFFFFF"/>
                <w:szCs w:val="24"/>
                <w:lang w:eastAsia="es-CR"/>
              </w:rPr>
            </w:pPr>
            <w:r w:rsidRPr="00796636">
              <w:rPr>
                <w:rFonts w:eastAsia="Times New Roman" w:cs="Times New Roman"/>
                <w:color w:val="FFFFFF"/>
                <w:szCs w:val="24"/>
                <w:lang w:eastAsia="es-CR"/>
              </w:rPr>
              <w:t xml:space="preserve">Montos Pago </w:t>
            </w:r>
          </w:p>
        </w:tc>
        <w:tc>
          <w:tcPr>
            <w:tcW w:w="1597" w:type="dxa"/>
            <w:tcBorders>
              <w:top w:val="single" w:sz="8" w:space="0" w:color="auto"/>
              <w:left w:val="nil"/>
              <w:bottom w:val="nil"/>
              <w:right w:val="single" w:sz="8" w:space="0" w:color="auto"/>
            </w:tcBorders>
            <w:shd w:val="clear" w:color="000000" w:fill="17365D"/>
            <w:vAlign w:val="center"/>
            <w:hideMark/>
          </w:tcPr>
          <w:p w14:paraId="1ED43C40" w14:textId="77777777" w:rsidR="00796636" w:rsidRPr="00796636" w:rsidRDefault="00796636" w:rsidP="00796636">
            <w:pPr>
              <w:spacing w:after="0" w:line="240" w:lineRule="auto"/>
              <w:jc w:val="center"/>
              <w:rPr>
                <w:rFonts w:eastAsia="Times New Roman" w:cs="Times New Roman"/>
                <w:color w:val="FFFFFF"/>
                <w:szCs w:val="24"/>
                <w:lang w:eastAsia="es-CR"/>
              </w:rPr>
            </w:pPr>
            <w:r w:rsidRPr="00796636">
              <w:rPr>
                <w:rFonts w:eastAsia="Times New Roman" w:cs="Times New Roman"/>
                <w:color w:val="FFFFFF"/>
                <w:szCs w:val="24"/>
                <w:lang w:eastAsia="es-CR"/>
              </w:rPr>
              <w:t xml:space="preserve">Días sin disfrute </w:t>
            </w:r>
          </w:p>
        </w:tc>
        <w:tc>
          <w:tcPr>
            <w:tcW w:w="1597" w:type="dxa"/>
            <w:tcBorders>
              <w:top w:val="single" w:sz="8" w:space="0" w:color="auto"/>
              <w:left w:val="nil"/>
              <w:bottom w:val="nil"/>
              <w:right w:val="single" w:sz="8" w:space="0" w:color="auto"/>
            </w:tcBorders>
            <w:shd w:val="clear" w:color="000000" w:fill="17365D"/>
            <w:vAlign w:val="center"/>
            <w:hideMark/>
          </w:tcPr>
          <w:p w14:paraId="4F183393" w14:textId="77777777" w:rsidR="00796636" w:rsidRPr="00796636" w:rsidRDefault="00796636" w:rsidP="00796636">
            <w:pPr>
              <w:spacing w:after="0" w:line="240" w:lineRule="auto"/>
              <w:jc w:val="center"/>
              <w:rPr>
                <w:rFonts w:eastAsia="Times New Roman" w:cs="Times New Roman"/>
                <w:color w:val="FFFFFF"/>
                <w:szCs w:val="24"/>
                <w:lang w:eastAsia="es-CR"/>
              </w:rPr>
            </w:pPr>
            <w:r w:rsidRPr="00796636">
              <w:rPr>
                <w:rFonts w:eastAsia="Times New Roman" w:cs="Times New Roman"/>
                <w:color w:val="FFFFFF"/>
                <w:szCs w:val="24"/>
                <w:lang w:eastAsia="es-CR"/>
              </w:rPr>
              <w:t xml:space="preserve">Cantidad </w:t>
            </w:r>
          </w:p>
        </w:tc>
      </w:tr>
      <w:tr w:rsidR="00796636" w:rsidRPr="00796636" w14:paraId="1F13FC49" w14:textId="77777777" w:rsidTr="00796636">
        <w:trPr>
          <w:divId w:val="2017418782"/>
          <w:trHeight w:val="345"/>
        </w:trPr>
        <w:tc>
          <w:tcPr>
            <w:tcW w:w="2528"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2730F6D2" w14:textId="77777777" w:rsidR="00796636" w:rsidRPr="00796636" w:rsidRDefault="00796636" w:rsidP="00796636">
            <w:pPr>
              <w:spacing w:after="0" w:line="240" w:lineRule="auto"/>
              <w:jc w:val="left"/>
              <w:rPr>
                <w:rFonts w:eastAsia="Times New Roman" w:cs="Times New Roman"/>
                <w:color w:val="FFFFFF"/>
                <w:szCs w:val="24"/>
                <w:lang w:eastAsia="es-CR"/>
              </w:rPr>
            </w:pPr>
            <w:r w:rsidRPr="00796636">
              <w:rPr>
                <w:rFonts w:eastAsia="Times New Roman" w:cs="Times New Roman"/>
                <w:color w:val="FFFFFF"/>
                <w:szCs w:val="24"/>
                <w:lang w:eastAsia="es-CR"/>
              </w:rPr>
              <w:t>Vacaciones</w:t>
            </w:r>
          </w:p>
        </w:tc>
        <w:tc>
          <w:tcPr>
            <w:tcW w:w="1858" w:type="dxa"/>
            <w:tcBorders>
              <w:top w:val="nil"/>
              <w:left w:val="nil"/>
              <w:bottom w:val="single" w:sz="8" w:space="0" w:color="auto"/>
              <w:right w:val="single" w:sz="8" w:space="0" w:color="auto"/>
            </w:tcBorders>
            <w:shd w:val="clear" w:color="auto" w:fill="auto"/>
            <w:noWrap/>
            <w:vAlign w:val="center"/>
            <w:hideMark/>
          </w:tcPr>
          <w:p w14:paraId="1C799B73" w14:textId="332BF3BF" w:rsidR="00796636" w:rsidRPr="00796636" w:rsidRDefault="00796636" w:rsidP="00796636">
            <w:pPr>
              <w:spacing w:after="0" w:line="240" w:lineRule="auto"/>
              <w:jc w:val="center"/>
              <w:rPr>
                <w:rFonts w:eastAsia="Times New Roman" w:cs="Times New Roman"/>
                <w:b/>
                <w:bCs/>
                <w:color w:val="000000"/>
                <w:sz w:val="22"/>
                <w:lang w:eastAsia="es-CR"/>
              </w:rPr>
            </w:pPr>
            <w:r w:rsidRPr="00796636">
              <w:rPr>
                <w:rFonts w:ascii="Arial" w:eastAsia="Times New Roman" w:hAnsi="Arial" w:cs="Arial"/>
                <w:b/>
                <w:bCs/>
                <w:color w:val="000000"/>
                <w:sz w:val="22"/>
                <w:lang w:eastAsia="es-CR"/>
              </w:rPr>
              <w:t>₡</w:t>
            </w:r>
            <w:r w:rsidRPr="00796636">
              <w:rPr>
                <w:rFonts w:eastAsia="Times New Roman" w:cs="Times New Roman"/>
                <w:b/>
                <w:bCs/>
                <w:color w:val="000000"/>
                <w:sz w:val="22"/>
                <w:lang w:eastAsia="es-CR"/>
              </w:rPr>
              <w:t xml:space="preserve">1 </w:t>
            </w:r>
            <w:r>
              <w:rPr>
                <w:rFonts w:eastAsia="Times New Roman" w:cs="Times New Roman"/>
                <w:b/>
                <w:bCs/>
                <w:color w:val="000000"/>
                <w:sz w:val="22"/>
                <w:lang w:eastAsia="es-CR"/>
              </w:rPr>
              <w:t>31</w:t>
            </w:r>
            <w:r w:rsidRPr="00796636">
              <w:rPr>
                <w:rFonts w:eastAsia="Times New Roman" w:cs="Times New Roman"/>
                <w:b/>
                <w:bCs/>
                <w:color w:val="000000"/>
                <w:sz w:val="22"/>
                <w:lang w:eastAsia="es-CR"/>
              </w:rPr>
              <w:t>7 993,87</w:t>
            </w:r>
          </w:p>
        </w:tc>
        <w:tc>
          <w:tcPr>
            <w:tcW w:w="1597" w:type="dxa"/>
            <w:tcBorders>
              <w:top w:val="single" w:sz="8" w:space="0" w:color="auto"/>
              <w:left w:val="nil"/>
              <w:bottom w:val="single" w:sz="8" w:space="0" w:color="auto"/>
              <w:right w:val="single" w:sz="8" w:space="0" w:color="auto"/>
            </w:tcBorders>
            <w:shd w:val="clear" w:color="auto" w:fill="auto"/>
            <w:noWrap/>
            <w:vAlign w:val="center"/>
            <w:hideMark/>
          </w:tcPr>
          <w:p w14:paraId="004D575C" w14:textId="0EB49ADB" w:rsidR="00796636" w:rsidRPr="00796636" w:rsidRDefault="00796636" w:rsidP="00796636">
            <w:pPr>
              <w:spacing w:after="0" w:line="240" w:lineRule="auto"/>
              <w:jc w:val="center"/>
              <w:rPr>
                <w:rFonts w:eastAsia="Times New Roman" w:cs="Times New Roman"/>
                <w:color w:val="000000"/>
                <w:sz w:val="22"/>
                <w:lang w:eastAsia="es-CR"/>
              </w:rPr>
            </w:pPr>
            <w:r w:rsidRPr="00796636">
              <w:rPr>
                <w:rFonts w:eastAsia="Times New Roman" w:cs="Times New Roman"/>
                <w:color w:val="000000"/>
                <w:sz w:val="22"/>
                <w:lang w:eastAsia="es-CR"/>
              </w:rPr>
              <w:t>8</w:t>
            </w:r>
            <w:r>
              <w:rPr>
                <w:rFonts w:eastAsia="Times New Roman" w:cs="Times New Roman"/>
                <w:color w:val="000000"/>
                <w:sz w:val="22"/>
                <w:lang w:eastAsia="es-CR"/>
              </w:rPr>
              <w:t>31</w:t>
            </w:r>
          </w:p>
        </w:tc>
        <w:tc>
          <w:tcPr>
            <w:tcW w:w="1597" w:type="dxa"/>
            <w:tcBorders>
              <w:top w:val="single" w:sz="8" w:space="0" w:color="auto"/>
              <w:left w:val="nil"/>
              <w:bottom w:val="nil"/>
              <w:right w:val="nil"/>
            </w:tcBorders>
            <w:shd w:val="clear" w:color="000000" w:fill="17365D"/>
            <w:vAlign w:val="center"/>
            <w:hideMark/>
          </w:tcPr>
          <w:p w14:paraId="321D09F6" w14:textId="77777777" w:rsidR="00796636" w:rsidRPr="00796636" w:rsidRDefault="00796636" w:rsidP="00796636">
            <w:pPr>
              <w:spacing w:after="0" w:line="240" w:lineRule="auto"/>
              <w:jc w:val="left"/>
              <w:rPr>
                <w:rFonts w:eastAsia="Times New Roman" w:cs="Times New Roman"/>
                <w:color w:val="FFFFFF"/>
                <w:sz w:val="22"/>
                <w:lang w:eastAsia="es-CR"/>
              </w:rPr>
            </w:pPr>
            <w:r w:rsidRPr="00796636">
              <w:rPr>
                <w:rFonts w:eastAsia="Times New Roman" w:cs="Times New Roman"/>
                <w:color w:val="FFFFFF"/>
                <w:sz w:val="22"/>
                <w:lang w:eastAsia="es-CR"/>
              </w:rPr>
              <w:t> </w:t>
            </w:r>
          </w:p>
        </w:tc>
      </w:tr>
      <w:tr w:rsidR="00796636" w:rsidRPr="00796636" w14:paraId="722127D2" w14:textId="77777777" w:rsidTr="00796636">
        <w:trPr>
          <w:divId w:val="2017418782"/>
          <w:trHeight w:val="345"/>
        </w:trPr>
        <w:tc>
          <w:tcPr>
            <w:tcW w:w="2528" w:type="dxa"/>
            <w:tcBorders>
              <w:top w:val="nil"/>
              <w:left w:val="single" w:sz="8" w:space="0" w:color="auto"/>
              <w:bottom w:val="single" w:sz="8" w:space="0" w:color="auto"/>
              <w:right w:val="single" w:sz="8" w:space="0" w:color="auto"/>
            </w:tcBorders>
            <w:shd w:val="clear" w:color="000000" w:fill="17365D"/>
            <w:vAlign w:val="center"/>
            <w:hideMark/>
          </w:tcPr>
          <w:p w14:paraId="5CC23D2E" w14:textId="77777777" w:rsidR="00796636" w:rsidRPr="00796636" w:rsidRDefault="00796636" w:rsidP="00796636">
            <w:pPr>
              <w:spacing w:after="0" w:line="240" w:lineRule="auto"/>
              <w:jc w:val="left"/>
              <w:rPr>
                <w:rFonts w:eastAsia="Times New Roman" w:cs="Times New Roman"/>
                <w:color w:val="FFFFFF"/>
                <w:szCs w:val="24"/>
                <w:lang w:eastAsia="es-CR"/>
              </w:rPr>
            </w:pPr>
            <w:r w:rsidRPr="00796636">
              <w:rPr>
                <w:rFonts w:eastAsia="Times New Roman" w:cs="Times New Roman"/>
                <w:color w:val="FFFFFF"/>
                <w:szCs w:val="24"/>
                <w:lang w:eastAsia="es-CR"/>
              </w:rPr>
              <w:t>Convención colectiva</w:t>
            </w:r>
          </w:p>
        </w:tc>
        <w:tc>
          <w:tcPr>
            <w:tcW w:w="1858" w:type="dxa"/>
            <w:tcBorders>
              <w:top w:val="nil"/>
              <w:left w:val="nil"/>
              <w:bottom w:val="single" w:sz="8" w:space="0" w:color="auto"/>
              <w:right w:val="single" w:sz="8" w:space="0" w:color="auto"/>
            </w:tcBorders>
            <w:shd w:val="clear" w:color="auto" w:fill="auto"/>
            <w:noWrap/>
            <w:vAlign w:val="center"/>
            <w:hideMark/>
          </w:tcPr>
          <w:p w14:paraId="22B2048D" w14:textId="77777777" w:rsidR="00796636" w:rsidRPr="00796636" w:rsidRDefault="00796636" w:rsidP="00796636">
            <w:pPr>
              <w:spacing w:after="0" w:line="240" w:lineRule="auto"/>
              <w:jc w:val="center"/>
              <w:rPr>
                <w:rFonts w:eastAsia="Times New Roman" w:cs="Times New Roman"/>
                <w:b/>
                <w:bCs/>
                <w:color w:val="000000"/>
                <w:sz w:val="22"/>
                <w:lang w:eastAsia="es-CR"/>
              </w:rPr>
            </w:pPr>
            <w:r w:rsidRPr="00796636">
              <w:rPr>
                <w:rFonts w:ascii="Arial" w:eastAsia="Times New Roman" w:hAnsi="Arial" w:cs="Arial"/>
                <w:b/>
                <w:bCs/>
                <w:color w:val="000000"/>
                <w:sz w:val="22"/>
                <w:lang w:eastAsia="es-CR"/>
              </w:rPr>
              <w:t>₡</w:t>
            </w:r>
            <w:r w:rsidRPr="00796636">
              <w:rPr>
                <w:rFonts w:eastAsia="Times New Roman" w:cs="Times New Roman"/>
                <w:b/>
                <w:bCs/>
                <w:color w:val="000000"/>
                <w:sz w:val="22"/>
                <w:lang w:eastAsia="es-CR"/>
              </w:rPr>
              <w:t>0,00</w:t>
            </w:r>
          </w:p>
        </w:tc>
        <w:tc>
          <w:tcPr>
            <w:tcW w:w="1597" w:type="dxa"/>
            <w:vMerge w:val="restart"/>
            <w:tcBorders>
              <w:top w:val="nil"/>
              <w:left w:val="single" w:sz="8" w:space="0" w:color="auto"/>
              <w:bottom w:val="single" w:sz="8" w:space="0" w:color="000000"/>
              <w:right w:val="nil"/>
            </w:tcBorders>
            <w:shd w:val="clear" w:color="000000" w:fill="17365D"/>
            <w:vAlign w:val="center"/>
            <w:hideMark/>
          </w:tcPr>
          <w:p w14:paraId="22654BD9" w14:textId="77777777" w:rsidR="00796636" w:rsidRPr="00796636" w:rsidRDefault="00796636" w:rsidP="00796636">
            <w:pPr>
              <w:spacing w:after="0" w:line="240" w:lineRule="auto"/>
              <w:jc w:val="center"/>
              <w:rPr>
                <w:rFonts w:eastAsia="Times New Roman" w:cs="Times New Roman"/>
                <w:color w:val="FFFFFF"/>
                <w:sz w:val="22"/>
                <w:lang w:eastAsia="es-CR"/>
              </w:rPr>
            </w:pPr>
            <w:r w:rsidRPr="00796636">
              <w:rPr>
                <w:rFonts w:eastAsia="Times New Roman" w:cs="Times New Roman"/>
                <w:color w:val="FFFFFF"/>
                <w:sz w:val="22"/>
                <w:lang w:eastAsia="es-CR"/>
              </w:rPr>
              <w:t> </w:t>
            </w:r>
          </w:p>
        </w:tc>
        <w:tc>
          <w:tcPr>
            <w:tcW w:w="159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31B8745" w14:textId="77777777" w:rsidR="00796636" w:rsidRPr="00796636" w:rsidRDefault="00796636" w:rsidP="00796636">
            <w:pPr>
              <w:spacing w:after="0" w:line="240" w:lineRule="auto"/>
              <w:jc w:val="center"/>
              <w:rPr>
                <w:rFonts w:eastAsia="Times New Roman" w:cs="Times New Roman"/>
                <w:color w:val="000000"/>
                <w:sz w:val="22"/>
                <w:lang w:eastAsia="es-CR"/>
              </w:rPr>
            </w:pPr>
            <w:r w:rsidRPr="00796636">
              <w:rPr>
                <w:rFonts w:eastAsia="Times New Roman" w:cs="Times New Roman"/>
                <w:color w:val="000000"/>
                <w:sz w:val="22"/>
                <w:lang w:eastAsia="es-CR"/>
              </w:rPr>
              <w:t> </w:t>
            </w:r>
          </w:p>
        </w:tc>
      </w:tr>
      <w:tr w:rsidR="00796636" w:rsidRPr="00796636" w14:paraId="379FCA28" w14:textId="77777777" w:rsidTr="00796636">
        <w:trPr>
          <w:divId w:val="2017418782"/>
          <w:trHeight w:val="289"/>
        </w:trPr>
        <w:tc>
          <w:tcPr>
            <w:tcW w:w="2528" w:type="dxa"/>
            <w:tcBorders>
              <w:top w:val="nil"/>
              <w:left w:val="single" w:sz="8" w:space="0" w:color="auto"/>
              <w:bottom w:val="single" w:sz="8" w:space="0" w:color="auto"/>
              <w:right w:val="single" w:sz="8" w:space="0" w:color="auto"/>
            </w:tcBorders>
            <w:shd w:val="clear" w:color="000000" w:fill="17365D"/>
            <w:vAlign w:val="center"/>
            <w:hideMark/>
          </w:tcPr>
          <w:p w14:paraId="7D01A79C" w14:textId="77777777" w:rsidR="00796636" w:rsidRPr="00796636" w:rsidRDefault="00796636" w:rsidP="00796636">
            <w:pPr>
              <w:spacing w:after="0" w:line="240" w:lineRule="auto"/>
              <w:jc w:val="left"/>
              <w:rPr>
                <w:rFonts w:eastAsia="Times New Roman" w:cs="Times New Roman"/>
                <w:color w:val="FFFFFF"/>
                <w:szCs w:val="24"/>
                <w:lang w:eastAsia="es-CR"/>
              </w:rPr>
            </w:pPr>
            <w:r w:rsidRPr="00796636">
              <w:rPr>
                <w:rFonts w:eastAsia="Times New Roman" w:cs="Times New Roman"/>
                <w:color w:val="FFFFFF"/>
                <w:szCs w:val="24"/>
                <w:lang w:eastAsia="es-CR"/>
              </w:rPr>
              <w:t>Cesantía</w:t>
            </w:r>
          </w:p>
        </w:tc>
        <w:tc>
          <w:tcPr>
            <w:tcW w:w="1858" w:type="dxa"/>
            <w:tcBorders>
              <w:top w:val="nil"/>
              <w:left w:val="nil"/>
              <w:bottom w:val="single" w:sz="8" w:space="0" w:color="auto"/>
              <w:right w:val="single" w:sz="8" w:space="0" w:color="auto"/>
            </w:tcBorders>
            <w:shd w:val="clear" w:color="auto" w:fill="auto"/>
            <w:noWrap/>
            <w:vAlign w:val="center"/>
            <w:hideMark/>
          </w:tcPr>
          <w:p w14:paraId="4388037B" w14:textId="77777777" w:rsidR="00796636" w:rsidRPr="00796636" w:rsidRDefault="00796636" w:rsidP="00796636">
            <w:pPr>
              <w:spacing w:after="0" w:line="240" w:lineRule="auto"/>
              <w:jc w:val="center"/>
              <w:rPr>
                <w:rFonts w:eastAsia="Times New Roman" w:cs="Times New Roman"/>
                <w:b/>
                <w:bCs/>
                <w:color w:val="000000"/>
                <w:sz w:val="22"/>
                <w:lang w:eastAsia="es-CR"/>
              </w:rPr>
            </w:pPr>
            <w:r w:rsidRPr="00796636">
              <w:rPr>
                <w:rFonts w:ascii="Arial" w:eastAsia="Times New Roman" w:hAnsi="Arial" w:cs="Arial"/>
                <w:b/>
                <w:bCs/>
                <w:color w:val="000000"/>
                <w:sz w:val="22"/>
                <w:lang w:eastAsia="es-CR"/>
              </w:rPr>
              <w:t>₡</w:t>
            </w:r>
            <w:r w:rsidRPr="00796636">
              <w:rPr>
                <w:rFonts w:eastAsia="Times New Roman" w:cs="Times New Roman"/>
                <w:b/>
                <w:bCs/>
                <w:color w:val="000000"/>
                <w:sz w:val="22"/>
                <w:lang w:eastAsia="es-CR"/>
              </w:rPr>
              <w:t>4 650 644,89</w:t>
            </w:r>
          </w:p>
        </w:tc>
        <w:tc>
          <w:tcPr>
            <w:tcW w:w="1597" w:type="dxa"/>
            <w:vMerge/>
            <w:tcBorders>
              <w:top w:val="nil"/>
              <w:left w:val="single" w:sz="8" w:space="0" w:color="auto"/>
              <w:bottom w:val="single" w:sz="8" w:space="0" w:color="000000"/>
              <w:right w:val="nil"/>
            </w:tcBorders>
            <w:vAlign w:val="center"/>
            <w:hideMark/>
          </w:tcPr>
          <w:p w14:paraId="53FA709B" w14:textId="77777777" w:rsidR="00796636" w:rsidRPr="00796636" w:rsidRDefault="00796636" w:rsidP="00796636">
            <w:pPr>
              <w:spacing w:after="0" w:line="240" w:lineRule="auto"/>
              <w:jc w:val="left"/>
              <w:rPr>
                <w:rFonts w:eastAsia="Times New Roman" w:cs="Times New Roman"/>
                <w:color w:val="FFFFFF"/>
                <w:sz w:val="22"/>
                <w:lang w:eastAsia="es-CR"/>
              </w:rPr>
            </w:pPr>
          </w:p>
        </w:tc>
        <w:tc>
          <w:tcPr>
            <w:tcW w:w="1597" w:type="dxa"/>
            <w:vMerge w:val="restart"/>
            <w:tcBorders>
              <w:top w:val="nil"/>
              <w:left w:val="nil"/>
              <w:bottom w:val="single" w:sz="8" w:space="0" w:color="000000"/>
              <w:right w:val="single" w:sz="8" w:space="0" w:color="auto"/>
            </w:tcBorders>
            <w:shd w:val="clear" w:color="000000" w:fill="17365D"/>
            <w:vAlign w:val="center"/>
            <w:hideMark/>
          </w:tcPr>
          <w:p w14:paraId="49BECBDD" w14:textId="77777777" w:rsidR="00796636" w:rsidRPr="00796636" w:rsidRDefault="00796636" w:rsidP="00796636">
            <w:pPr>
              <w:spacing w:after="0" w:line="240" w:lineRule="auto"/>
              <w:jc w:val="center"/>
              <w:rPr>
                <w:rFonts w:eastAsia="Times New Roman" w:cs="Times New Roman"/>
                <w:color w:val="FFFFFF"/>
                <w:sz w:val="22"/>
                <w:lang w:eastAsia="es-CR"/>
              </w:rPr>
            </w:pPr>
            <w:r w:rsidRPr="00796636">
              <w:rPr>
                <w:rFonts w:eastAsia="Times New Roman" w:cs="Times New Roman"/>
                <w:color w:val="FFFFFF"/>
                <w:sz w:val="22"/>
                <w:lang w:eastAsia="es-CR"/>
              </w:rPr>
              <w:t> </w:t>
            </w:r>
          </w:p>
        </w:tc>
      </w:tr>
      <w:tr w:rsidR="00796636" w:rsidRPr="00796636" w14:paraId="13EA5FDE" w14:textId="77777777" w:rsidTr="00796636">
        <w:trPr>
          <w:divId w:val="2017418782"/>
          <w:trHeight w:val="345"/>
        </w:trPr>
        <w:tc>
          <w:tcPr>
            <w:tcW w:w="2528" w:type="dxa"/>
            <w:tcBorders>
              <w:top w:val="nil"/>
              <w:left w:val="single" w:sz="8" w:space="0" w:color="auto"/>
              <w:bottom w:val="single" w:sz="8" w:space="0" w:color="auto"/>
              <w:right w:val="single" w:sz="8" w:space="0" w:color="auto"/>
            </w:tcBorders>
            <w:shd w:val="clear" w:color="000000" w:fill="17365D"/>
            <w:vAlign w:val="center"/>
            <w:hideMark/>
          </w:tcPr>
          <w:p w14:paraId="081B3774" w14:textId="77777777" w:rsidR="00796636" w:rsidRPr="00796636" w:rsidRDefault="00796636" w:rsidP="00796636">
            <w:pPr>
              <w:spacing w:after="0" w:line="240" w:lineRule="auto"/>
              <w:jc w:val="left"/>
              <w:rPr>
                <w:rFonts w:eastAsia="Times New Roman" w:cs="Times New Roman"/>
                <w:color w:val="FFFFFF"/>
                <w:szCs w:val="24"/>
                <w:lang w:eastAsia="es-CR"/>
              </w:rPr>
            </w:pPr>
            <w:r w:rsidRPr="00796636">
              <w:rPr>
                <w:rFonts w:eastAsia="Times New Roman" w:cs="Times New Roman"/>
                <w:color w:val="FFFFFF"/>
                <w:szCs w:val="24"/>
                <w:lang w:eastAsia="es-CR"/>
              </w:rPr>
              <w:t>Preaviso</w:t>
            </w:r>
          </w:p>
        </w:tc>
        <w:tc>
          <w:tcPr>
            <w:tcW w:w="1858" w:type="dxa"/>
            <w:tcBorders>
              <w:top w:val="nil"/>
              <w:left w:val="nil"/>
              <w:bottom w:val="single" w:sz="8" w:space="0" w:color="auto"/>
              <w:right w:val="single" w:sz="8" w:space="0" w:color="auto"/>
            </w:tcBorders>
            <w:shd w:val="clear" w:color="auto" w:fill="auto"/>
            <w:noWrap/>
            <w:vAlign w:val="center"/>
            <w:hideMark/>
          </w:tcPr>
          <w:p w14:paraId="172B053B" w14:textId="77777777" w:rsidR="00796636" w:rsidRPr="00796636" w:rsidRDefault="00796636" w:rsidP="00796636">
            <w:pPr>
              <w:spacing w:after="0" w:line="240" w:lineRule="auto"/>
              <w:jc w:val="center"/>
              <w:rPr>
                <w:rFonts w:eastAsia="Times New Roman" w:cs="Times New Roman"/>
                <w:b/>
                <w:bCs/>
                <w:color w:val="000000"/>
                <w:sz w:val="22"/>
                <w:lang w:eastAsia="es-CR"/>
              </w:rPr>
            </w:pPr>
            <w:r w:rsidRPr="00796636">
              <w:rPr>
                <w:rFonts w:ascii="Arial" w:eastAsia="Times New Roman" w:hAnsi="Arial" w:cs="Arial"/>
                <w:b/>
                <w:bCs/>
                <w:color w:val="000000"/>
                <w:sz w:val="22"/>
                <w:lang w:eastAsia="es-CR"/>
              </w:rPr>
              <w:t>₡</w:t>
            </w:r>
            <w:r w:rsidRPr="00796636">
              <w:rPr>
                <w:rFonts w:eastAsia="Times New Roman" w:cs="Times New Roman"/>
                <w:b/>
                <w:bCs/>
                <w:color w:val="000000"/>
                <w:sz w:val="22"/>
                <w:lang w:eastAsia="es-CR"/>
              </w:rPr>
              <w:t>0,00</w:t>
            </w:r>
          </w:p>
        </w:tc>
        <w:tc>
          <w:tcPr>
            <w:tcW w:w="1597" w:type="dxa"/>
            <w:vMerge/>
            <w:tcBorders>
              <w:top w:val="nil"/>
              <w:left w:val="single" w:sz="8" w:space="0" w:color="auto"/>
              <w:bottom w:val="single" w:sz="8" w:space="0" w:color="000000"/>
              <w:right w:val="nil"/>
            </w:tcBorders>
            <w:vAlign w:val="center"/>
            <w:hideMark/>
          </w:tcPr>
          <w:p w14:paraId="687462BA" w14:textId="77777777" w:rsidR="00796636" w:rsidRPr="00796636" w:rsidRDefault="00796636" w:rsidP="00796636">
            <w:pPr>
              <w:spacing w:after="0" w:line="240" w:lineRule="auto"/>
              <w:jc w:val="left"/>
              <w:rPr>
                <w:rFonts w:eastAsia="Times New Roman" w:cs="Times New Roman"/>
                <w:color w:val="FFFFFF"/>
                <w:sz w:val="22"/>
                <w:lang w:eastAsia="es-CR"/>
              </w:rPr>
            </w:pPr>
          </w:p>
        </w:tc>
        <w:tc>
          <w:tcPr>
            <w:tcW w:w="1597" w:type="dxa"/>
            <w:vMerge/>
            <w:tcBorders>
              <w:top w:val="nil"/>
              <w:left w:val="nil"/>
              <w:bottom w:val="single" w:sz="8" w:space="0" w:color="000000"/>
              <w:right w:val="single" w:sz="8" w:space="0" w:color="auto"/>
            </w:tcBorders>
            <w:vAlign w:val="center"/>
            <w:hideMark/>
          </w:tcPr>
          <w:p w14:paraId="53FC5F8C" w14:textId="77777777" w:rsidR="00796636" w:rsidRPr="00796636" w:rsidRDefault="00796636" w:rsidP="00796636">
            <w:pPr>
              <w:spacing w:after="0" w:line="240" w:lineRule="auto"/>
              <w:jc w:val="left"/>
              <w:rPr>
                <w:rFonts w:eastAsia="Times New Roman" w:cs="Times New Roman"/>
                <w:color w:val="FFFFFF"/>
                <w:sz w:val="22"/>
                <w:lang w:eastAsia="es-CR"/>
              </w:rPr>
            </w:pPr>
          </w:p>
        </w:tc>
      </w:tr>
    </w:tbl>
    <w:p w14:paraId="6319DA68" w14:textId="6A0611FE" w:rsidR="00986512" w:rsidRPr="0021402F" w:rsidRDefault="0021402F" w:rsidP="00986512">
      <w:pPr>
        <w:rPr>
          <w:b/>
          <w:sz w:val="16"/>
          <w:szCs w:val="16"/>
          <w:lang w:eastAsia="es-CR"/>
        </w:rPr>
      </w:pPr>
      <w:r>
        <w:rPr>
          <w:b/>
          <w:sz w:val="16"/>
          <w:szCs w:val="16"/>
          <w:lang w:eastAsia="es-CR"/>
        </w:rPr>
        <w:fldChar w:fldCharType="end"/>
      </w:r>
    </w:p>
    <w:p w14:paraId="4429A7DE" w14:textId="77777777" w:rsidR="00396CB4" w:rsidRDefault="00A649A4" w:rsidP="00311AE2">
      <w:pPr>
        <w:rPr>
          <w:rFonts w:asciiTheme="minorHAnsi" w:hAnsiTheme="minorHAnsi"/>
          <w:sz w:val="22"/>
        </w:rPr>
      </w:pPr>
      <w:r w:rsidRPr="00A649A4">
        <w:rPr>
          <w:lang w:val="es-MX" w:eastAsia="es-CR"/>
        </w:rPr>
        <w:t>La entidad brinda Servicios médicos</w:t>
      </w:r>
      <w:r w:rsidR="0021402F" w:rsidRPr="00311AE2">
        <w:rPr>
          <w:lang w:val="es-MX" w:eastAsia="es-CR"/>
        </w:rPr>
        <w:fldChar w:fldCharType="begin"/>
      </w:r>
      <w:r w:rsidR="0021402F" w:rsidRPr="00311AE2">
        <w:rPr>
          <w:lang w:val="es-MX" w:eastAsia="es-CR"/>
        </w:rPr>
        <w:instrText xml:space="preserve"> LINK </w:instrText>
      </w:r>
      <w:r w:rsidR="00756467">
        <w:rPr>
          <w:lang w:val="es-MX" w:eastAsia="es-CR"/>
        </w:rPr>
        <w:instrText xml:space="preserve">Excel.SheetMacroEnabled.12 "C:\\Users\\gcordero\\Downloads\\Notas diciembre 2024\\Formato_Notas_EEFF_Vinculadas_2024\\Formato_Notas_EEFF_Vinculadas_2024\\15603_T04_2024_Anexo_Estado_Notas_Contables_Vinculadas.xlsm" NICSP_39!F20C7:F21C9 </w:instrText>
      </w:r>
      <w:r w:rsidR="0021402F" w:rsidRPr="00311AE2">
        <w:rPr>
          <w:lang w:val="es-MX" w:eastAsia="es-CR"/>
        </w:rPr>
        <w:instrText xml:space="preserve">\a \f 4 \h </w:instrText>
      </w:r>
      <w:r w:rsidR="0021402F" w:rsidRPr="00311AE2">
        <w:rPr>
          <w:lang w:val="es-MX" w:eastAsia="es-CR"/>
        </w:rPr>
        <w:fldChar w:fldCharType="separate"/>
      </w:r>
    </w:p>
    <w:tbl>
      <w:tblPr>
        <w:tblW w:w="5980" w:type="dxa"/>
        <w:tblCellMar>
          <w:left w:w="70" w:type="dxa"/>
          <w:right w:w="70" w:type="dxa"/>
        </w:tblCellMar>
        <w:tblLook w:val="04A0" w:firstRow="1" w:lastRow="0" w:firstColumn="1" w:lastColumn="0" w:noHBand="0" w:noVBand="1"/>
      </w:tblPr>
      <w:tblGrid>
        <w:gridCol w:w="2520"/>
        <w:gridCol w:w="1860"/>
        <w:gridCol w:w="1600"/>
      </w:tblGrid>
      <w:tr w:rsidR="00396CB4" w:rsidRPr="00396CB4" w14:paraId="4DDA29A4" w14:textId="77777777" w:rsidTr="00396CB4">
        <w:trPr>
          <w:divId w:val="1580748542"/>
          <w:trHeight w:val="289"/>
        </w:trPr>
        <w:tc>
          <w:tcPr>
            <w:tcW w:w="2520" w:type="dxa"/>
            <w:tcBorders>
              <w:top w:val="nil"/>
              <w:left w:val="nil"/>
              <w:bottom w:val="nil"/>
              <w:right w:val="nil"/>
            </w:tcBorders>
            <w:shd w:val="clear" w:color="auto" w:fill="auto"/>
            <w:noWrap/>
            <w:vAlign w:val="bottom"/>
            <w:hideMark/>
          </w:tcPr>
          <w:p w14:paraId="733D1F5C" w14:textId="398526AE" w:rsidR="00396CB4" w:rsidRPr="00396CB4" w:rsidRDefault="00396CB4" w:rsidP="00396CB4">
            <w:pPr>
              <w:rPr>
                <w:rFonts w:ascii="Times New Roman" w:eastAsia="Times New Roman" w:hAnsi="Times New Roman" w:cs="Times New Roman"/>
                <w:szCs w:val="24"/>
                <w:lang w:eastAsia="es-CR"/>
              </w:rPr>
            </w:pPr>
          </w:p>
        </w:tc>
        <w:tc>
          <w:tcPr>
            <w:tcW w:w="1860" w:type="dxa"/>
            <w:tcBorders>
              <w:top w:val="single" w:sz="8" w:space="0" w:color="auto"/>
              <w:left w:val="single" w:sz="8" w:space="0" w:color="auto"/>
              <w:bottom w:val="single" w:sz="8" w:space="0" w:color="auto"/>
              <w:right w:val="nil"/>
            </w:tcBorders>
            <w:shd w:val="clear" w:color="000000" w:fill="17365D"/>
            <w:vAlign w:val="center"/>
            <w:hideMark/>
          </w:tcPr>
          <w:p w14:paraId="0AE8F733" w14:textId="77777777" w:rsidR="00396CB4" w:rsidRPr="00396CB4" w:rsidRDefault="00396CB4" w:rsidP="00396CB4">
            <w:pPr>
              <w:spacing w:after="0" w:line="240" w:lineRule="auto"/>
              <w:jc w:val="center"/>
              <w:rPr>
                <w:rFonts w:eastAsia="Times New Roman" w:cs="Calibri"/>
                <w:color w:val="FFFFFF"/>
                <w:szCs w:val="24"/>
                <w:lang w:eastAsia="es-CR"/>
              </w:rPr>
            </w:pPr>
            <w:r w:rsidRPr="00396CB4">
              <w:rPr>
                <w:rFonts w:eastAsia="Times New Roman" w:cs="Calibri"/>
                <w:color w:val="FFFFFF"/>
                <w:szCs w:val="24"/>
                <w:lang w:eastAsia="es-CR"/>
              </w:rPr>
              <w:t xml:space="preserve">SI </w:t>
            </w:r>
          </w:p>
        </w:tc>
        <w:tc>
          <w:tcPr>
            <w:tcW w:w="1600" w:type="dxa"/>
            <w:tcBorders>
              <w:top w:val="single" w:sz="8" w:space="0" w:color="auto"/>
              <w:left w:val="nil"/>
              <w:bottom w:val="single" w:sz="8" w:space="0" w:color="auto"/>
              <w:right w:val="single" w:sz="8" w:space="0" w:color="auto"/>
            </w:tcBorders>
            <w:shd w:val="clear" w:color="000000" w:fill="17365D"/>
            <w:vAlign w:val="center"/>
            <w:hideMark/>
          </w:tcPr>
          <w:p w14:paraId="26600CDC" w14:textId="77777777" w:rsidR="00396CB4" w:rsidRPr="00396CB4" w:rsidRDefault="00396CB4" w:rsidP="00396CB4">
            <w:pPr>
              <w:spacing w:after="0" w:line="240" w:lineRule="auto"/>
              <w:jc w:val="center"/>
              <w:rPr>
                <w:rFonts w:eastAsia="Times New Roman" w:cs="Calibri"/>
                <w:color w:val="FFFFFF"/>
                <w:szCs w:val="24"/>
                <w:lang w:eastAsia="es-CR"/>
              </w:rPr>
            </w:pPr>
            <w:r w:rsidRPr="00396CB4">
              <w:rPr>
                <w:rFonts w:eastAsia="Times New Roman" w:cs="Calibri"/>
                <w:color w:val="FFFFFF"/>
                <w:szCs w:val="24"/>
                <w:lang w:eastAsia="es-CR"/>
              </w:rPr>
              <w:t>NO</w:t>
            </w:r>
          </w:p>
        </w:tc>
      </w:tr>
      <w:tr w:rsidR="00396CB4" w:rsidRPr="00396CB4" w14:paraId="6D2EDA9A" w14:textId="77777777" w:rsidTr="00396CB4">
        <w:trPr>
          <w:divId w:val="1580748542"/>
          <w:trHeight w:val="345"/>
        </w:trPr>
        <w:tc>
          <w:tcPr>
            <w:tcW w:w="252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457C4AA0" w14:textId="77777777" w:rsidR="00396CB4" w:rsidRPr="00396CB4" w:rsidRDefault="00396CB4" w:rsidP="00396CB4">
            <w:pPr>
              <w:spacing w:after="0" w:line="240" w:lineRule="auto"/>
              <w:jc w:val="left"/>
              <w:rPr>
                <w:rFonts w:eastAsia="Times New Roman" w:cs="Calibri"/>
                <w:color w:val="FFFFFF"/>
                <w:szCs w:val="24"/>
                <w:lang w:eastAsia="es-CR"/>
              </w:rPr>
            </w:pPr>
            <w:r w:rsidRPr="00396CB4">
              <w:rPr>
                <w:rFonts w:eastAsia="Times New Roman" w:cs="Calibri"/>
                <w:color w:val="FFFFFF"/>
                <w:szCs w:val="24"/>
                <w:lang w:eastAsia="es-CR"/>
              </w:rPr>
              <w:t>Servicios Médicos</w:t>
            </w:r>
          </w:p>
        </w:tc>
        <w:tc>
          <w:tcPr>
            <w:tcW w:w="1860" w:type="dxa"/>
            <w:tcBorders>
              <w:top w:val="nil"/>
              <w:left w:val="nil"/>
              <w:bottom w:val="single" w:sz="8" w:space="0" w:color="auto"/>
              <w:right w:val="single" w:sz="8" w:space="0" w:color="auto"/>
            </w:tcBorders>
            <w:shd w:val="clear" w:color="auto" w:fill="auto"/>
            <w:noWrap/>
            <w:vAlign w:val="center"/>
            <w:hideMark/>
          </w:tcPr>
          <w:p w14:paraId="4C47B1FE" w14:textId="77777777" w:rsidR="00396CB4" w:rsidRPr="00396CB4" w:rsidRDefault="00396CB4" w:rsidP="00396CB4">
            <w:pPr>
              <w:spacing w:after="0" w:line="240" w:lineRule="auto"/>
              <w:jc w:val="center"/>
              <w:rPr>
                <w:rFonts w:eastAsia="Times New Roman" w:cs="Calibri"/>
                <w:color w:val="000000"/>
                <w:sz w:val="22"/>
                <w:lang w:eastAsia="es-CR"/>
              </w:rPr>
            </w:pPr>
            <w:r w:rsidRPr="00396CB4">
              <w:rPr>
                <w:rFonts w:eastAsia="Times New Roman" w:cs="Calibri"/>
                <w:color w:val="000000"/>
                <w:sz w:val="22"/>
                <w:lang w:eastAsia="es-CR"/>
              </w:rPr>
              <w:t> </w:t>
            </w:r>
          </w:p>
        </w:tc>
        <w:tc>
          <w:tcPr>
            <w:tcW w:w="1600" w:type="dxa"/>
            <w:tcBorders>
              <w:top w:val="nil"/>
              <w:left w:val="nil"/>
              <w:bottom w:val="single" w:sz="8" w:space="0" w:color="auto"/>
              <w:right w:val="single" w:sz="8" w:space="0" w:color="auto"/>
            </w:tcBorders>
            <w:shd w:val="clear" w:color="auto" w:fill="auto"/>
            <w:noWrap/>
            <w:vAlign w:val="center"/>
            <w:hideMark/>
          </w:tcPr>
          <w:p w14:paraId="75843D41" w14:textId="77777777" w:rsidR="00396CB4" w:rsidRPr="00396CB4" w:rsidRDefault="00396CB4" w:rsidP="00396CB4">
            <w:pPr>
              <w:spacing w:after="0" w:line="240" w:lineRule="auto"/>
              <w:jc w:val="center"/>
              <w:rPr>
                <w:rFonts w:eastAsia="Times New Roman" w:cs="Calibri"/>
                <w:color w:val="000000"/>
                <w:sz w:val="22"/>
                <w:lang w:eastAsia="es-CR"/>
              </w:rPr>
            </w:pPr>
            <w:r w:rsidRPr="00396CB4">
              <w:rPr>
                <w:rFonts w:eastAsia="Times New Roman" w:cs="Calibri"/>
                <w:color w:val="000000"/>
                <w:sz w:val="22"/>
                <w:lang w:eastAsia="es-CR"/>
              </w:rPr>
              <w:t>1</w:t>
            </w:r>
          </w:p>
        </w:tc>
      </w:tr>
    </w:tbl>
    <w:p w14:paraId="20A7DC95" w14:textId="0C8B806F" w:rsidR="00311AE2" w:rsidRPr="00311AE2" w:rsidRDefault="0021402F" w:rsidP="00311AE2">
      <w:pPr>
        <w:rPr>
          <w:lang w:eastAsia="es-CR"/>
        </w:rPr>
      </w:pPr>
      <w:r w:rsidRPr="00311AE2">
        <w:rPr>
          <w:lang w:val="es-MX" w:eastAsia="es-CR"/>
        </w:rPr>
        <w:fldChar w:fldCharType="end"/>
      </w:r>
      <w:r w:rsidR="00311AE2" w:rsidRPr="00311AE2">
        <w:rPr>
          <w:lang w:eastAsia="es-CR"/>
        </w:rPr>
        <w:t xml:space="preserve"> El responsable contable debe analizar y revelar lo dispuesto en el párrafo 5 de la NICSP 39.</w:t>
      </w:r>
    </w:p>
    <w:p w14:paraId="62C5FF84" w14:textId="77777777" w:rsidR="00311AE2" w:rsidRPr="00311AE2" w:rsidRDefault="00311AE2" w:rsidP="00311AE2">
      <w:pPr>
        <w:rPr>
          <w:lang w:eastAsia="es-CR"/>
        </w:rPr>
      </w:pPr>
      <w:r w:rsidRPr="00311AE2">
        <w:rPr>
          <w:lang w:eastAsia="es-CR"/>
        </w:rPr>
        <w:t xml:space="preserve">Los beneficios a los empleados comprenden: </w:t>
      </w:r>
    </w:p>
    <w:p w14:paraId="60E85E6A" w14:textId="77777777" w:rsidR="00311AE2" w:rsidRPr="00311AE2" w:rsidRDefault="00311AE2">
      <w:pPr>
        <w:pStyle w:val="Prrafodelista"/>
        <w:numPr>
          <w:ilvl w:val="0"/>
          <w:numId w:val="16"/>
        </w:numPr>
        <w:rPr>
          <w:lang w:eastAsia="es-CR"/>
        </w:rPr>
      </w:pPr>
      <w:r w:rsidRPr="00311AE2">
        <w:rPr>
          <w:lang w:eastAsia="es-CR"/>
        </w:rPr>
        <w:t>los beneficios a los empleados a corto plazo, tales como los siguientes, si se esperan liquidar totalmente antes de los doce meses posteriores al final del periodo sobre el que se informa en el que los empleados presten los servicios relacionados:</w:t>
      </w:r>
    </w:p>
    <w:p w14:paraId="4D7B0530" w14:textId="77777777" w:rsidR="00311AE2" w:rsidRPr="00311AE2" w:rsidRDefault="00311AE2">
      <w:pPr>
        <w:pStyle w:val="Prrafodelista"/>
        <w:numPr>
          <w:ilvl w:val="0"/>
          <w:numId w:val="17"/>
        </w:numPr>
        <w:rPr>
          <w:lang w:eastAsia="es-CR"/>
        </w:rPr>
      </w:pPr>
      <w:r w:rsidRPr="00311AE2">
        <w:rPr>
          <w:lang w:eastAsia="es-CR"/>
        </w:rPr>
        <w:t>sueldos, salarios y contribuciones a la seguridad social;</w:t>
      </w:r>
    </w:p>
    <w:p w14:paraId="0382E5DF" w14:textId="77777777" w:rsidR="00311AE2" w:rsidRPr="00311AE2" w:rsidRDefault="00311AE2">
      <w:pPr>
        <w:pStyle w:val="Prrafodelista"/>
        <w:numPr>
          <w:ilvl w:val="0"/>
          <w:numId w:val="17"/>
        </w:numPr>
        <w:rPr>
          <w:lang w:eastAsia="es-CR"/>
        </w:rPr>
      </w:pPr>
      <w:r w:rsidRPr="00311AE2">
        <w:rPr>
          <w:lang w:eastAsia="es-CR"/>
        </w:rPr>
        <w:t>ausencias remuneradas anuales, ausencias remuneradas por enfermedad;</w:t>
      </w:r>
    </w:p>
    <w:p w14:paraId="4FB950E9" w14:textId="77777777" w:rsidR="00311AE2" w:rsidRPr="00311AE2" w:rsidRDefault="00311AE2">
      <w:pPr>
        <w:pStyle w:val="Prrafodelista"/>
        <w:numPr>
          <w:ilvl w:val="0"/>
          <w:numId w:val="17"/>
        </w:numPr>
        <w:rPr>
          <w:lang w:eastAsia="es-CR"/>
        </w:rPr>
      </w:pPr>
      <w:r w:rsidRPr="00311AE2">
        <w:rPr>
          <w:lang w:eastAsia="es-CR"/>
        </w:rPr>
        <w:t>participación en ganancias e incentivos; y</w:t>
      </w:r>
    </w:p>
    <w:p w14:paraId="1361DDA1" w14:textId="77777777" w:rsidR="00311AE2" w:rsidRPr="00311AE2" w:rsidRDefault="00311AE2">
      <w:pPr>
        <w:pStyle w:val="Prrafodelista"/>
        <w:numPr>
          <w:ilvl w:val="0"/>
          <w:numId w:val="17"/>
        </w:numPr>
        <w:rPr>
          <w:lang w:eastAsia="es-CR"/>
        </w:rPr>
      </w:pPr>
      <w:r w:rsidRPr="00311AE2">
        <w:rPr>
          <w:lang w:eastAsia="es-CR"/>
        </w:rPr>
        <w:t>beneficios no monetarios a los empleados actuales (tales como atenciones médicas, alojamiento, automóviles y entrega de bienes y servicios gratuitos o parcialmente subvencionados);</w:t>
      </w:r>
    </w:p>
    <w:p w14:paraId="2C801AF1" w14:textId="77777777" w:rsidR="00311AE2" w:rsidRPr="00311AE2" w:rsidRDefault="00311AE2">
      <w:pPr>
        <w:pStyle w:val="Prrafodelista"/>
        <w:numPr>
          <w:ilvl w:val="0"/>
          <w:numId w:val="16"/>
        </w:numPr>
        <w:rPr>
          <w:lang w:eastAsia="es-CR"/>
        </w:rPr>
      </w:pPr>
      <w:r w:rsidRPr="00311AE2">
        <w:rPr>
          <w:lang w:eastAsia="es-CR"/>
        </w:rPr>
        <w:t>beneficios post-empleo tales como los siguientes:</w:t>
      </w:r>
    </w:p>
    <w:p w14:paraId="499664E5" w14:textId="77777777" w:rsidR="00311AE2" w:rsidRPr="00311AE2" w:rsidRDefault="00311AE2">
      <w:pPr>
        <w:pStyle w:val="Prrafodelista"/>
        <w:numPr>
          <w:ilvl w:val="0"/>
          <w:numId w:val="18"/>
        </w:numPr>
        <w:rPr>
          <w:lang w:eastAsia="es-CR"/>
        </w:rPr>
      </w:pPr>
      <w:r w:rsidRPr="00311AE2">
        <w:rPr>
          <w:lang w:eastAsia="es-CR"/>
        </w:rPr>
        <w:t xml:space="preserve">beneficios por retiro (por ejemplo, pensiones y pagos únicos por retiro); y </w:t>
      </w:r>
    </w:p>
    <w:p w14:paraId="29A97AC3" w14:textId="77777777" w:rsidR="00311AE2" w:rsidRPr="00311AE2" w:rsidRDefault="00311AE2">
      <w:pPr>
        <w:pStyle w:val="Prrafodelista"/>
        <w:numPr>
          <w:ilvl w:val="0"/>
          <w:numId w:val="18"/>
        </w:numPr>
        <w:rPr>
          <w:lang w:eastAsia="es-CR"/>
        </w:rPr>
      </w:pPr>
      <w:r w:rsidRPr="00311AE2">
        <w:rPr>
          <w:lang w:eastAsia="es-CR"/>
        </w:rPr>
        <w:t>otros beneficios post-empleo, tales como los seguros de vida y los beneficios de atención médica posteriores al empleo;</w:t>
      </w:r>
    </w:p>
    <w:p w14:paraId="65D74EF3" w14:textId="77777777" w:rsidR="00311AE2" w:rsidRPr="00311AE2" w:rsidRDefault="00311AE2">
      <w:pPr>
        <w:pStyle w:val="Prrafodelista"/>
        <w:numPr>
          <w:ilvl w:val="0"/>
          <w:numId w:val="16"/>
        </w:numPr>
        <w:rPr>
          <w:lang w:eastAsia="es-CR"/>
        </w:rPr>
      </w:pPr>
      <w:r w:rsidRPr="00311AE2">
        <w:rPr>
          <w:lang w:eastAsia="es-CR"/>
        </w:rPr>
        <w:t xml:space="preserve">otros beneficios a los empleados a largo plazo, tales como los siguientes: </w:t>
      </w:r>
    </w:p>
    <w:p w14:paraId="0FFC9E64" w14:textId="77777777" w:rsidR="00311AE2" w:rsidRPr="00311AE2" w:rsidRDefault="00311AE2">
      <w:pPr>
        <w:pStyle w:val="Prrafodelista"/>
        <w:numPr>
          <w:ilvl w:val="0"/>
          <w:numId w:val="19"/>
        </w:numPr>
        <w:rPr>
          <w:lang w:eastAsia="es-CR"/>
        </w:rPr>
      </w:pPr>
      <w:r w:rsidRPr="00311AE2">
        <w:rPr>
          <w:lang w:eastAsia="es-CR"/>
        </w:rPr>
        <w:t>las ausencias retribuidas a largo plazo, tales como vacaciones tras largos periodos de servicio o años sabáticos;</w:t>
      </w:r>
    </w:p>
    <w:p w14:paraId="69551B32" w14:textId="77777777" w:rsidR="00311AE2" w:rsidRPr="00311AE2" w:rsidRDefault="00311AE2">
      <w:pPr>
        <w:pStyle w:val="Prrafodelista"/>
        <w:numPr>
          <w:ilvl w:val="0"/>
          <w:numId w:val="19"/>
        </w:numPr>
        <w:rPr>
          <w:lang w:eastAsia="es-CR"/>
        </w:rPr>
      </w:pPr>
      <w:r w:rsidRPr="00311AE2">
        <w:rPr>
          <w:lang w:eastAsia="es-CR"/>
        </w:rPr>
        <w:t xml:space="preserve">los beneficios por antigüedad o por largo tiempo de servicio; y </w:t>
      </w:r>
    </w:p>
    <w:p w14:paraId="01014833" w14:textId="77777777" w:rsidR="00311AE2" w:rsidRPr="00311AE2" w:rsidRDefault="00311AE2">
      <w:pPr>
        <w:pStyle w:val="Prrafodelista"/>
        <w:numPr>
          <w:ilvl w:val="0"/>
          <w:numId w:val="19"/>
        </w:numPr>
        <w:rPr>
          <w:lang w:eastAsia="es-CR"/>
        </w:rPr>
      </w:pPr>
      <w:r w:rsidRPr="00311AE2">
        <w:rPr>
          <w:lang w:eastAsia="es-CR"/>
        </w:rPr>
        <w:t xml:space="preserve">los beneficios por incapacidad a largo plazo; y </w:t>
      </w:r>
    </w:p>
    <w:p w14:paraId="293B89BF" w14:textId="77777777" w:rsidR="00311AE2" w:rsidRPr="00311AE2" w:rsidRDefault="00311AE2">
      <w:pPr>
        <w:pStyle w:val="Prrafodelista"/>
        <w:numPr>
          <w:ilvl w:val="0"/>
          <w:numId w:val="16"/>
        </w:numPr>
        <w:rPr>
          <w:lang w:eastAsia="es-CR"/>
        </w:rPr>
      </w:pPr>
      <w:r w:rsidRPr="00311AE2">
        <w:rPr>
          <w:lang w:eastAsia="es-CR"/>
        </w:rPr>
        <w:t>indemnizaciones por cese.</w:t>
      </w:r>
    </w:p>
    <w:p w14:paraId="6C0C158F" w14:textId="2FDE2EAA" w:rsidR="00445990" w:rsidRDefault="00A649A4" w:rsidP="00986512">
      <w:pPr>
        <w:rPr>
          <w:rFonts w:eastAsia="Calibri"/>
          <w:lang w:val="es-MX"/>
        </w:rPr>
      </w:pPr>
      <w:r w:rsidRPr="00A649A4">
        <w:rPr>
          <w:rFonts w:eastAsia="Calibri"/>
          <w:lang w:val="es-MX"/>
        </w:rPr>
        <w:lastRenderedPageBreak/>
        <w:t xml:space="preserve">La NICSP 39 párrafo 59 describe los pasos necesarios para la contabilidad de los </w:t>
      </w:r>
      <w:r w:rsidR="00E33A59">
        <w:rPr>
          <w:rFonts w:eastAsia="Calibri"/>
          <w:lang w:val="es-MX"/>
        </w:rPr>
        <w:t>planes de beneficios definidos.</w:t>
      </w:r>
    </w:p>
    <w:p w14:paraId="19B5D1E7" w14:textId="77777777" w:rsidR="008F225D" w:rsidRDefault="009131F0" w:rsidP="008F225D">
      <w:pPr>
        <w:spacing w:before="240" w:line="240" w:lineRule="auto"/>
        <w:rPr>
          <w:b/>
          <w:color w:val="FFFFFF" w:themeColor="background1"/>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p>
    <w:p w14:paraId="4E7E7152" w14:textId="0B8F7630" w:rsidR="008F225D" w:rsidRDefault="008F225D" w:rsidP="008F225D">
      <w:pPr>
        <w:spacing w:before="240" w:line="240" w:lineRule="auto"/>
        <w:rPr>
          <w:lang w:val="es-MX"/>
        </w:rPr>
      </w:pPr>
      <w:r>
        <w:rPr>
          <w:lang w:val="es-MX"/>
        </w:rPr>
        <w:t>Los beneficios a empleados de corto plazo se reconocen como un gasto en el periodo en el cual el empleado presta el servicio.</w:t>
      </w:r>
    </w:p>
    <w:p w14:paraId="63CE3220" w14:textId="77777777" w:rsidR="008F225D" w:rsidRDefault="008F225D" w:rsidP="008F225D">
      <w:pPr>
        <w:spacing w:before="240" w:line="240" w:lineRule="auto"/>
        <w:rPr>
          <w:lang w:val="es-MX"/>
        </w:rPr>
      </w:pPr>
      <w:r>
        <w:rPr>
          <w:lang w:val="es-MX"/>
        </w:rPr>
        <w:t>Los planes de contribución definida (seguro de invalidez, vejes muerte cancelados a la CCSS) son reconocidos en el periodo en el cual la contribución se convierte en una obligación por pagar, como un pasivo /Gasto acumulado o devengado) después de deducir cualquier importe ya satisfecho. Si la contribución pagada es superior a las adeudadas al final del periodo se reconocerá el exceso como: un activo (pago anticipado) si este originará una reducción de pagos futuros o reembolso del efectivo; como un gasto del periodo, a menos que otra norma permita la inclusión en el costo de un activo.</w:t>
      </w:r>
    </w:p>
    <w:p w14:paraId="7865DF92" w14:textId="77777777" w:rsidR="008F225D" w:rsidRDefault="008F225D" w:rsidP="008F225D">
      <w:pPr>
        <w:spacing w:before="240" w:line="240" w:lineRule="auto"/>
        <w:rPr>
          <w:lang w:val="es-MX"/>
        </w:rPr>
      </w:pPr>
      <w:r>
        <w:rPr>
          <w:lang w:val="es-MX"/>
        </w:rPr>
        <w:t>Los beneficios a empleados por ausencias retribuidas acumulativas a corto plazo (vacaciones, incapacidades), se reconocerán como un pasivo y como un gasto en el momento que se genere el derecho de los empleados a estas. Las ausencias retribuidas no acumulativas se reconocen cuando las mismas se producen en consecuencia la Municipalidad no reconocerá pasivos o gastos hasta el momento que se del permiso.</w:t>
      </w:r>
    </w:p>
    <w:p w14:paraId="702A6AA5" w14:textId="26A3ED49" w:rsidR="009131F0" w:rsidRPr="003516A2" w:rsidRDefault="008F225D" w:rsidP="00445990">
      <w:pPr>
        <w:spacing w:before="240" w:line="240" w:lineRule="auto"/>
        <w:rPr>
          <w:b/>
          <w:color w:val="FFFFFF" w:themeColor="background1"/>
          <w:highlight w:val="darkBlue"/>
          <w:u w:val="single"/>
        </w:rPr>
      </w:pPr>
      <w:r>
        <w:rPr>
          <w:lang w:val="es-MX"/>
        </w:rPr>
        <w:t>Se reconocerá un pasivo y un gasto por indemnizaciones por cese en la primera de las siguientes fechas: cuando la Municipalidad ya no puede retirar la oferta de esos beneficios (conforme lo establecido en el Código de Trabajo); cuando se produzca una reestructuración dentro del alcance de la NICSP 19 e involucre el pago de indemnizaciones por cese.</w:t>
      </w:r>
    </w:p>
    <w:p w14:paraId="264A3CF8" w14:textId="77777777" w:rsidR="009131F0" w:rsidRDefault="009131F0" w:rsidP="009131F0">
      <w:pPr>
        <w:spacing w:line="240" w:lineRule="auto"/>
        <w:rPr>
          <w:b/>
          <w:u w:val="single"/>
        </w:rPr>
      </w:pPr>
    </w:p>
    <w:p w14:paraId="0911C7D8" w14:textId="77777777" w:rsidR="009131F0" w:rsidRPr="003516A2" w:rsidRDefault="009131F0" w:rsidP="009131F0">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67419107" w14:textId="77777777" w:rsidR="008F225D" w:rsidRDefault="008F225D" w:rsidP="008F225D">
      <w:pPr>
        <w:rPr>
          <w:lang w:val="es-MX"/>
        </w:rPr>
      </w:pPr>
      <w:r>
        <w:rPr>
          <w:lang w:val="es-MX"/>
        </w:rPr>
        <w:t>El pasivo por beneficios no pagados es medido a una cantidad (al valor razonable), sin descuento.</w:t>
      </w:r>
    </w:p>
    <w:p w14:paraId="5965A12B" w14:textId="77777777" w:rsidR="008F225D" w:rsidRDefault="008F225D" w:rsidP="008F225D">
      <w:pPr>
        <w:spacing w:line="240" w:lineRule="auto"/>
        <w:rPr>
          <w:lang w:val="es-MX"/>
        </w:rPr>
      </w:pPr>
      <w:r>
        <w:rPr>
          <w:lang w:val="es-MX"/>
        </w:rPr>
        <w:t>La Municipalidad medirá inicialmente las indemnizaciones por cese de acuerdo con la naturaleza del beneficio a los empleados que se trate al valor razonable y reconocerá los cambios posteriores que se presenten.</w:t>
      </w:r>
    </w:p>
    <w:p w14:paraId="6475F752" w14:textId="2C71F789" w:rsidR="00A649A4" w:rsidRPr="00A649A4" w:rsidRDefault="00A649A4" w:rsidP="00986512">
      <w:pPr>
        <w:rPr>
          <w:b/>
          <w:u w:val="single"/>
          <w:lang w:eastAsia="es-CR"/>
        </w:rPr>
      </w:pPr>
      <w:r w:rsidRPr="009131F0">
        <w:rPr>
          <w:b/>
          <w:color w:val="FFFFFF" w:themeColor="background1"/>
          <w:highlight w:val="darkBlue"/>
          <w:u w:val="single"/>
        </w:rPr>
        <w:t>Revelación Suficiente:</w:t>
      </w:r>
      <w:r w:rsidRPr="00A649A4">
        <w:rPr>
          <w:b/>
          <w:u w:val="single"/>
          <w:lang w:eastAsia="es-CR"/>
        </w:rPr>
        <w:t xml:space="preserve"> </w:t>
      </w:r>
      <w:r w:rsidR="00482942">
        <w:rPr>
          <w:b/>
          <w:bCs/>
          <w:u w:val="single"/>
          <w:lang w:eastAsia="es-CR"/>
        </w:rPr>
        <w:t xml:space="preserve">El ente debe revelar y cumplir </w:t>
      </w:r>
      <w:r w:rsidRPr="00A649A4">
        <w:rPr>
          <w:b/>
          <w:bCs/>
          <w:u w:val="single"/>
          <w:lang w:eastAsia="es-CR"/>
        </w:rPr>
        <w:t xml:space="preserve">con lo estipulado en revelación </w:t>
      </w:r>
      <w:r w:rsidR="00482942">
        <w:rPr>
          <w:b/>
          <w:bCs/>
          <w:u w:val="single"/>
          <w:lang w:eastAsia="es-CR"/>
        </w:rPr>
        <w:t>conforme</w:t>
      </w:r>
      <w:r w:rsidRPr="00A649A4">
        <w:rPr>
          <w:b/>
          <w:bCs/>
          <w:u w:val="single"/>
          <w:lang w:eastAsia="es-CR"/>
        </w:rPr>
        <w:t xml:space="preserve"> a la NICSP, también debe considerar la política general y los párrafos incluidos en la matriz de autoevaluación referente a esta NICSP y guías de aplicación</w:t>
      </w:r>
      <w:r w:rsidRPr="00A649A4">
        <w:rPr>
          <w:b/>
          <w:u w:val="single"/>
          <w:lang w:eastAsia="es-CR"/>
        </w:rPr>
        <w:t xml:space="preserve"> (Ver GA NICSP 39).</w:t>
      </w:r>
    </w:p>
    <w:p w14:paraId="74DE1DFA" w14:textId="77777777" w:rsidR="008F225D" w:rsidRPr="005C561B" w:rsidRDefault="008F225D" w:rsidP="008F225D">
      <w:pPr>
        <w:spacing w:after="0" w:line="240" w:lineRule="auto"/>
        <w:rPr>
          <w:b/>
          <w:bCs/>
        </w:rPr>
      </w:pPr>
      <w:r w:rsidRPr="005C561B">
        <w:rPr>
          <w:b/>
          <w:bCs/>
        </w:rPr>
        <w:t>Principales Políticas</w:t>
      </w:r>
    </w:p>
    <w:p w14:paraId="0830F1DD" w14:textId="77777777" w:rsidR="008F225D" w:rsidRDefault="008F225D" w:rsidP="008F225D">
      <w:pPr>
        <w:spacing w:after="0" w:line="240" w:lineRule="auto"/>
      </w:pPr>
    </w:p>
    <w:p w14:paraId="58BB7071" w14:textId="77777777" w:rsidR="008F225D" w:rsidRPr="00846369" w:rsidRDefault="008F225D" w:rsidP="008F225D">
      <w:pPr>
        <w:autoSpaceDE w:val="0"/>
        <w:autoSpaceDN w:val="0"/>
        <w:adjustRightInd w:val="0"/>
        <w:spacing w:after="0" w:line="240" w:lineRule="auto"/>
        <w:rPr>
          <w:rFonts w:cs="Arial"/>
          <w:color w:val="000000"/>
          <w:szCs w:val="24"/>
        </w:rPr>
      </w:pPr>
      <w:r w:rsidRPr="00846369">
        <w:rPr>
          <w:rFonts w:cs="Arial"/>
          <w:color w:val="000000"/>
          <w:szCs w:val="24"/>
        </w:rPr>
        <w:t>Los beneficios a los empleados comprenden todos los tipos de retribuciones que la Municipalidad proporciona a sus trabajadores a cambio de sus servicios, incluyendo los requerimientos legalmente establecidos, o cuando las entidades están obligadas a contribuir a un programa combinado de la seguridad social</w:t>
      </w:r>
      <w:r>
        <w:rPr>
          <w:rFonts w:cs="Arial"/>
          <w:color w:val="000000"/>
          <w:szCs w:val="24"/>
        </w:rPr>
        <w:t>.</w:t>
      </w:r>
      <w:r w:rsidRPr="00846369">
        <w:rPr>
          <w:rFonts w:cs="Arial"/>
          <w:color w:val="000000"/>
          <w:szCs w:val="24"/>
        </w:rPr>
        <w:t xml:space="preserve"> </w:t>
      </w:r>
    </w:p>
    <w:p w14:paraId="29D591FE" w14:textId="77777777" w:rsidR="008F225D" w:rsidRDefault="008F225D" w:rsidP="008F225D">
      <w:pPr>
        <w:autoSpaceDE w:val="0"/>
        <w:autoSpaceDN w:val="0"/>
        <w:adjustRightInd w:val="0"/>
        <w:spacing w:after="0" w:line="240" w:lineRule="auto"/>
        <w:jc w:val="left"/>
        <w:rPr>
          <w:rFonts w:ascii="Arial" w:hAnsi="Arial" w:cs="Arial"/>
          <w:color w:val="000000"/>
          <w:sz w:val="23"/>
          <w:szCs w:val="23"/>
        </w:rPr>
      </w:pPr>
    </w:p>
    <w:p w14:paraId="014E892E" w14:textId="77777777" w:rsidR="008F225D" w:rsidRPr="00846369" w:rsidRDefault="008F225D" w:rsidP="008F225D">
      <w:pPr>
        <w:pStyle w:val="Default"/>
        <w:rPr>
          <w:rFonts w:ascii="Arial Narrow" w:eastAsiaTheme="minorHAnsi" w:hAnsi="Arial Narrow" w:cs="Arial"/>
          <w:lang w:eastAsia="en-US"/>
        </w:rPr>
      </w:pPr>
      <w:r w:rsidRPr="00846369">
        <w:rPr>
          <w:rFonts w:ascii="Arial Narrow" w:hAnsi="Arial Narrow" w:cs="Arial"/>
        </w:rPr>
        <w:lastRenderedPageBreak/>
        <w:t xml:space="preserve"> </w:t>
      </w:r>
      <w:r w:rsidRPr="00846369">
        <w:rPr>
          <w:rFonts w:ascii="Arial Narrow" w:eastAsiaTheme="minorHAnsi" w:hAnsi="Arial Narrow" w:cs="Arial"/>
          <w:lang w:eastAsia="en-US"/>
        </w:rPr>
        <w:t xml:space="preserve">Se reconocerá un pasivo o gasto </w:t>
      </w:r>
      <w:r>
        <w:rPr>
          <w:rFonts w:ascii="Arial Narrow" w:eastAsiaTheme="minorHAnsi" w:hAnsi="Arial Narrow" w:cs="Arial"/>
          <w:lang w:eastAsia="en-US"/>
        </w:rPr>
        <w:t xml:space="preserve">por concepto de Beneficios a Empleados </w:t>
      </w:r>
      <w:r w:rsidRPr="00846369">
        <w:rPr>
          <w:rFonts w:ascii="Arial Narrow" w:eastAsiaTheme="minorHAnsi" w:hAnsi="Arial Narrow" w:cs="Arial"/>
          <w:lang w:eastAsia="en-US"/>
        </w:rPr>
        <w:t xml:space="preserve">en los siguientes casos: </w:t>
      </w:r>
    </w:p>
    <w:p w14:paraId="3CF15D43" w14:textId="77777777" w:rsidR="008F225D" w:rsidRPr="00846369" w:rsidRDefault="008F225D" w:rsidP="007F4626">
      <w:pPr>
        <w:numPr>
          <w:ilvl w:val="0"/>
          <w:numId w:val="49"/>
        </w:numPr>
        <w:autoSpaceDE w:val="0"/>
        <w:autoSpaceDN w:val="0"/>
        <w:adjustRightInd w:val="0"/>
        <w:spacing w:after="20" w:line="240" w:lineRule="auto"/>
        <w:ind w:left="720" w:hanging="360"/>
        <w:rPr>
          <w:rFonts w:cs="Arial"/>
          <w:color w:val="000000"/>
          <w:szCs w:val="24"/>
        </w:rPr>
      </w:pPr>
      <w:r w:rsidRPr="00846369">
        <w:rPr>
          <w:rFonts w:cs="Arial"/>
          <w:color w:val="000000"/>
          <w:szCs w:val="24"/>
        </w:rPr>
        <w:t xml:space="preserve">Un pasivo cuando el empleado ha prestado servicios a cambio de beneficios a los empleados que deban pagarse en el futuro; y </w:t>
      </w:r>
    </w:p>
    <w:p w14:paraId="1293ABFC" w14:textId="77777777" w:rsidR="008F225D" w:rsidRPr="00846369" w:rsidRDefault="008F225D" w:rsidP="007F4626">
      <w:pPr>
        <w:numPr>
          <w:ilvl w:val="0"/>
          <w:numId w:val="49"/>
        </w:numPr>
        <w:autoSpaceDE w:val="0"/>
        <w:autoSpaceDN w:val="0"/>
        <w:adjustRightInd w:val="0"/>
        <w:spacing w:after="0" w:line="240" w:lineRule="auto"/>
        <w:ind w:left="720" w:hanging="360"/>
        <w:rPr>
          <w:rFonts w:cs="Arial"/>
          <w:color w:val="000000"/>
          <w:szCs w:val="24"/>
        </w:rPr>
      </w:pPr>
      <w:r w:rsidRPr="00846369">
        <w:rPr>
          <w:rFonts w:cs="Arial"/>
          <w:color w:val="000000"/>
          <w:szCs w:val="24"/>
        </w:rPr>
        <w:t>Un gasto cuando la entidad consuma los beneficios económicos o el servicio potencial procedente del servicio prestado por un empleado a cambio de los beneficios a los empleados</w:t>
      </w:r>
      <w:r>
        <w:rPr>
          <w:rFonts w:cs="Arial"/>
          <w:color w:val="000000"/>
          <w:szCs w:val="24"/>
        </w:rPr>
        <w:t>.</w:t>
      </w:r>
    </w:p>
    <w:p w14:paraId="46399CEA" w14:textId="77777777" w:rsidR="008F225D" w:rsidRPr="00846369" w:rsidRDefault="008F225D" w:rsidP="008F225D">
      <w:pPr>
        <w:autoSpaceDE w:val="0"/>
        <w:autoSpaceDN w:val="0"/>
        <w:adjustRightInd w:val="0"/>
        <w:spacing w:after="0" w:line="240" w:lineRule="auto"/>
        <w:jc w:val="left"/>
        <w:rPr>
          <w:rFonts w:ascii="Arial" w:hAnsi="Arial" w:cs="Arial"/>
          <w:color w:val="000000"/>
          <w:sz w:val="23"/>
          <w:szCs w:val="23"/>
        </w:rPr>
      </w:pPr>
    </w:p>
    <w:p w14:paraId="2B45A9F5" w14:textId="77777777" w:rsidR="008F225D" w:rsidRPr="00846369" w:rsidRDefault="008F225D" w:rsidP="008F225D">
      <w:pPr>
        <w:autoSpaceDE w:val="0"/>
        <w:autoSpaceDN w:val="0"/>
        <w:adjustRightInd w:val="0"/>
        <w:spacing w:after="0" w:line="240" w:lineRule="auto"/>
        <w:rPr>
          <w:rFonts w:cs="Arial"/>
          <w:color w:val="000000"/>
          <w:szCs w:val="24"/>
        </w:rPr>
      </w:pPr>
      <w:r w:rsidRPr="00846369">
        <w:rPr>
          <w:rFonts w:cs="Arial"/>
          <w:color w:val="000000"/>
          <w:szCs w:val="24"/>
        </w:rPr>
        <w:t xml:space="preserve">Los beneficios a los empleados comprenden las siguientes categorías: </w:t>
      </w:r>
    </w:p>
    <w:p w14:paraId="2A95D387" w14:textId="77777777" w:rsidR="008F225D" w:rsidRPr="00846369" w:rsidRDefault="008F225D" w:rsidP="007F4626">
      <w:pPr>
        <w:numPr>
          <w:ilvl w:val="0"/>
          <w:numId w:val="50"/>
        </w:numPr>
        <w:autoSpaceDE w:val="0"/>
        <w:autoSpaceDN w:val="0"/>
        <w:adjustRightInd w:val="0"/>
        <w:spacing w:after="18" w:line="240" w:lineRule="auto"/>
        <w:ind w:left="720" w:hanging="360"/>
        <w:rPr>
          <w:rFonts w:cs="Arial"/>
          <w:color w:val="000000"/>
          <w:szCs w:val="24"/>
        </w:rPr>
      </w:pPr>
      <w:r w:rsidRPr="00846369">
        <w:rPr>
          <w:rFonts w:cs="Arial"/>
          <w:color w:val="000000"/>
          <w:szCs w:val="24"/>
        </w:rPr>
        <w:t xml:space="preserve">a) </w:t>
      </w:r>
      <w:r w:rsidRPr="00846369">
        <w:rPr>
          <w:rFonts w:cs="Arial"/>
          <w:b/>
          <w:bCs/>
          <w:color w:val="000000"/>
          <w:szCs w:val="24"/>
        </w:rPr>
        <w:t>Beneficios a los empleados a corto plazo</w:t>
      </w:r>
      <w:r w:rsidRPr="00846369">
        <w:rPr>
          <w:rFonts w:cs="Arial"/>
          <w:color w:val="000000"/>
          <w:szCs w:val="24"/>
        </w:rPr>
        <w:t xml:space="preserve">: si se esperan liquidar totalmente antes de los doce meses posteriores al final del periodo sobre el que se informa en el que los empleados presten los servicios relacionados: </w:t>
      </w:r>
    </w:p>
    <w:p w14:paraId="50E0AC5F" w14:textId="77777777" w:rsidR="008F225D" w:rsidRPr="00846369" w:rsidRDefault="008F225D" w:rsidP="007F4626">
      <w:pPr>
        <w:numPr>
          <w:ilvl w:val="0"/>
          <w:numId w:val="50"/>
        </w:numPr>
        <w:autoSpaceDE w:val="0"/>
        <w:autoSpaceDN w:val="0"/>
        <w:adjustRightInd w:val="0"/>
        <w:spacing w:after="18" w:line="240" w:lineRule="auto"/>
        <w:ind w:left="720" w:hanging="360"/>
        <w:rPr>
          <w:rFonts w:cs="Arial"/>
          <w:color w:val="000000"/>
          <w:szCs w:val="24"/>
        </w:rPr>
      </w:pPr>
      <w:r w:rsidRPr="00846369">
        <w:rPr>
          <w:rFonts w:cs="Arial"/>
          <w:color w:val="000000"/>
          <w:szCs w:val="24"/>
        </w:rPr>
        <w:t xml:space="preserve">b) sueldos, salarios y contribuciones a la seguridad social; </w:t>
      </w:r>
    </w:p>
    <w:p w14:paraId="5641998B" w14:textId="77777777" w:rsidR="008F225D" w:rsidRPr="00CD76C0" w:rsidRDefault="008F225D" w:rsidP="007F4626">
      <w:pPr>
        <w:numPr>
          <w:ilvl w:val="0"/>
          <w:numId w:val="51"/>
        </w:numPr>
        <w:autoSpaceDE w:val="0"/>
        <w:autoSpaceDN w:val="0"/>
        <w:adjustRightInd w:val="0"/>
        <w:spacing w:after="0" w:line="240" w:lineRule="auto"/>
        <w:ind w:left="720" w:hanging="360"/>
        <w:rPr>
          <w:rFonts w:cs="Arial"/>
          <w:color w:val="000000"/>
          <w:szCs w:val="24"/>
        </w:rPr>
      </w:pPr>
      <w:r w:rsidRPr="00846369">
        <w:rPr>
          <w:rFonts w:cs="Arial"/>
          <w:color w:val="000000"/>
          <w:szCs w:val="24"/>
        </w:rPr>
        <w:t>c) ausencias remuneradas anuales</w:t>
      </w:r>
      <w:r w:rsidRPr="00CD76C0">
        <w:rPr>
          <w:rFonts w:cs="Arial"/>
          <w:color w:val="000000"/>
          <w:szCs w:val="24"/>
        </w:rPr>
        <w:t xml:space="preserve"> (Vacaciones)</w:t>
      </w:r>
      <w:r w:rsidRPr="00846369">
        <w:rPr>
          <w:rFonts w:cs="Arial"/>
          <w:color w:val="000000"/>
          <w:szCs w:val="24"/>
        </w:rPr>
        <w:t xml:space="preserve">, </w:t>
      </w:r>
    </w:p>
    <w:p w14:paraId="2DAC4BF4" w14:textId="77777777" w:rsidR="008F225D" w:rsidRPr="00846369" w:rsidRDefault="008F225D" w:rsidP="007F4626">
      <w:pPr>
        <w:numPr>
          <w:ilvl w:val="0"/>
          <w:numId w:val="51"/>
        </w:numPr>
        <w:autoSpaceDE w:val="0"/>
        <w:autoSpaceDN w:val="0"/>
        <w:adjustRightInd w:val="0"/>
        <w:spacing w:after="0" w:line="240" w:lineRule="auto"/>
        <w:ind w:left="720" w:hanging="360"/>
        <w:rPr>
          <w:rFonts w:cs="Arial"/>
          <w:color w:val="000000"/>
          <w:szCs w:val="24"/>
        </w:rPr>
      </w:pPr>
      <w:r>
        <w:rPr>
          <w:rFonts w:cs="Arial"/>
          <w:color w:val="000000"/>
          <w:szCs w:val="24"/>
        </w:rPr>
        <w:t>L</w:t>
      </w:r>
      <w:r w:rsidRPr="00846369">
        <w:rPr>
          <w:rFonts w:cs="Arial"/>
          <w:color w:val="000000"/>
          <w:szCs w:val="24"/>
        </w:rPr>
        <w:t xml:space="preserve">as indemnizaciones por cese: indemnizaciones por despido y compensaciones por retiro voluntario (en el marco de una oferta para incentivar la rescisión del vínculo laboral por parte de los trabajadores). </w:t>
      </w:r>
    </w:p>
    <w:p w14:paraId="45EA9D0B" w14:textId="77777777" w:rsidR="008F225D" w:rsidRPr="00CD76C0" w:rsidRDefault="008F225D" w:rsidP="008F225D">
      <w:pPr>
        <w:spacing w:after="0" w:line="240" w:lineRule="auto"/>
        <w:rPr>
          <w:szCs w:val="24"/>
        </w:rPr>
      </w:pPr>
    </w:p>
    <w:p w14:paraId="54977AD3" w14:textId="77777777" w:rsidR="008F225D" w:rsidRPr="00431D15" w:rsidRDefault="008F225D" w:rsidP="008F225D">
      <w:pPr>
        <w:autoSpaceDE w:val="0"/>
        <w:autoSpaceDN w:val="0"/>
        <w:adjustRightInd w:val="0"/>
        <w:spacing w:after="0" w:line="240" w:lineRule="auto"/>
        <w:rPr>
          <w:rFonts w:cs="Arial"/>
          <w:color w:val="000000"/>
          <w:szCs w:val="24"/>
        </w:rPr>
      </w:pPr>
      <w:r w:rsidRPr="00431D15">
        <w:rPr>
          <w:rFonts w:cs="Arial"/>
          <w:color w:val="000000"/>
          <w:szCs w:val="24"/>
        </w:rPr>
        <w:t xml:space="preserve">Deberá reconocerse una cuenta por pagar cuando la entidad consuma los beneficios económicos o el potencial de servicio procedentes de la prestación de servicios por parte de un empleado a cambio de los cuales se le crea el derecho de recibir pagos en el futuro. </w:t>
      </w:r>
    </w:p>
    <w:p w14:paraId="524FC399" w14:textId="77777777" w:rsidR="008F225D" w:rsidRPr="00CD76C0" w:rsidRDefault="008F225D" w:rsidP="008F225D">
      <w:pPr>
        <w:spacing w:after="0" w:line="240" w:lineRule="auto"/>
        <w:rPr>
          <w:szCs w:val="24"/>
        </w:rPr>
      </w:pPr>
      <w:r w:rsidRPr="00CD76C0">
        <w:rPr>
          <w:rFonts w:cs="Arial"/>
          <w:color w:val="000000"/>
          <w:szCs w:val="24"/>
        </w:rPr>
        <w:t xml:space="preserve">Cuando un funcionario ofrece sus servicios a una entidad mediante un contrato celebrado indefinido, o definido y el mismo se rompe por traslado de ese funcionario a otra entidad del sector público se </w:t>
      </w:r>
      <w:r>
        <w:rPr>
          <w:rFonts w:cs="Arial"/>
          <w:color w:val="000000"/>
          <w:szCs w:val="24"/>
        </w:rPr>
        <w:t xml:space="preserve">le </w:t>
      </w:r>
      <w:r w:rsidRPr="00CD76C0">
        <w:rPr>
          <w:rFonts w:cs="Arial"/>
          <w:color w:val="000000"/>
          <w:szCs w:val="24"/>
        </w:rPr>
        <w:t>deberá cancelar lo correspondiente a la finalización de contrato.</w:t>
      </w:r>
    </w:p>
    <w:p w14:paraId="590FA158" w14:textId="77777777" w:rsidR="008F225D" w:rsidRPr="00CD76C0" w:rsidRDefault="008F225D" w:rsidP="008F225D">
      <w:pPr>
        <w:spacing w:after="0" w:line="240" w:lineRule="auto"/>
        <w:rPr>
          <w:szCs w:val="24"/>
        </w:rPr>
      </w:pPr>
    </w:p>
    <w:p w14:paraId="47AD81DD" w14:textId="77777777" w:rsidR="008F225D" w:rsidRPr="00431D15" w:rsidRDefault="008F225D" w:rsidP="008F225D">
      <w:pPr>
        <w:autoSpaceDE w:val="0"/>
        <w:autoSpaceDN w:val="0"/>
        <w:adjustRightInd w:val="0"/>
        <w:spacing w:after="0" w:line="240" w:lineRule="auto"/>
        <w:rPr>
          <w:rFonts w:cs="Arial"/>
          <w:color w:val="000000"/>
          <w:szCs w:val="24"/>
        </w:rPr>
      </w:pPr>
      <w:r w:rsidRPr="00CD76C0">
        <w:rPr>
          <w:rFonts w:cs="Arial"/>
          <w:color w:val="000000"/>
          <w:szCs w:val="24"/>
        </w:rPr>
        <w:t xml:space="preserve">Se debe reconocer un beneficio </w:t>
      </w:r>
      <w:r w:rsidRPr="00431D15">
        <w:rPr>
          <w:rFonts w:cs="Arial"/>
          <w:color w:val="000000"/>
          <w:szCs w:val="24"/>
        </w:rPr>
        <w:t>quincenal, mensual y/o conforme lo tenga establecido la institución para el pago de salarios. Est</w:t>
      </w:r>
      <w:r w:rsidRPr="00CD76C0">
        <w:rPr>
          <w:rFonts w:cs="Arial"/>
          <w:color w:val="000000"/>
          <w:szCs w:val="24"/>
        </w:rPr>
        <w:t xml:space="preserve">e incentivo </w:t>
      </w:r>
      <w:r w:rsidRPr="00431D15">
        <w:rPr>
          <w:rFonts w:cs="Arial"/>
          <w:color w:val="000000"/>
          <w:szCs w:val="24"/>
        </w:rPr>
        <w:t xml:space="preserve">salarial </w:t>
      </w:r>
      <w:r w:rsidRPr="00CD76C0">
        <w:rPr>
          <w:rFonts w:cs="Arial"/>
          <w:color w:val="000000"/>
          <w:szCs w:val="24"/>
        </w:rPr>
        <w:t>se conoce como</w:t>
      </w:r>
      <w:r w:rsidRPr="00431D15">
        <w:rPr>
          <w:rFonts w:cs="Arial"/>
          <w:color w:val="000000"/>
          <w:szCs w:val="24"/>
        </w:rPr>
        <w:t xml:space="preserve"> décimo tercer mes, el cual corresponde a un 8,33% del salario total bruto de los funcionarios, según </w:t>
      </w:r>
      <w:r w:rsidRPr="00CD76C0">
        <w:rPr>
          <w:rFonts w:cs="Arial"/>
          <w:color w:val="000000"/>
          <w:szCs w:val="24"/>
        </w:rPr>
        <w:t xml:space="preserve">lo establecido en </w:t>
      </w:r>
      <w:r w:rsidRPr="00431D15">
        <w:rPr>
          <w:rFonts w:cs="Arial"/>
          <w:color w:val="000000"/>
          <w:szCs w:val="24"/>
        </w:rPr>
        <w:t>la Le</w:t>
      </w:r>
      <w:r w:rsidRPr="00CD76C0">
        <w:rPr>
          <w:rFonts w:cs="Arial"/>
          <w:color w:val="000000"/>
          <w:szCs w:val="24"/>
        </w:rPr>
        <w:t>gislación vigente,</w:t>
      </w:r>
      <w:r w:rsidRPr="00431D15">
        <w:rPr>
          <w:rFonts w:cs="Arial"/>
          <w:color w:val="000000"/>
          <w:szCs w:val="24"/>
        </w:rPr>
        <w:t xml:space="preserve"> para los servidores</w:t>
      </w:r>
      <w:r w:rsidRPr="00CD76C0">
        <w:rPr>
          <w:rFonts w:cs="Arial"/>
          <w:color w:val="000000"/>
          <w:szCs w:val="24"/>
        </w:rPr>
        <w:t xml:space="preserve"> municipales</w:t>
      </w:r>
      <w:r>
        <w:rPr>
          <w:rFonts w:cs="Arial"/>
          <w:color w:val="000000"/>
          <w:szCs w:val="24"/>
        </w:rPr>
        <w:t>.</w:t>
      </w:r>
    </w:p>
    <w:p w14:paraId="665BCD68" w14:textId="77777777" w:rsidR="008F225D" w:rsidRDefault="008F225D" w:rsidP="008F225D">
      <w:pPr>
        <w:spacing w:after="0" w:line="240" w:lineRule="auto"/>
      </w:pPr>
    </w:p>
    <w:p w14:paraId="6AE3EB9D" w14:textId="77777777" w:rsidR="008F225D" w:rsidRPr="004D3EFA" w:rsidRDefault="008F225D" w:rsidP="008F225D">
      <w:pPr>
        <w:spacing w:after="0" w:line="240" w:lineRule="auto"/>
      </w:pPr>
      <w:r w:rsidRPr="004D3EFA">
        <w:t>Debe señalarse que los montos pagados por concepto de Vacaciones, Cesantía se consignan con base en la información recibida de la unidad primaria de registro, la relacionada con preaviso no se incluyó ni se realizó ninguna observación al respecto debido a que la Unidad Primaria de Registro no la remitió.</w:t>
      </w:r>
    </w:p>
    <w:p w14:paraId="44D2E843" w14:textId="77777777" w:rsidR="008F225D" w:rsidRPr="004D3EFA" w:rsidRDefault="008F225D" w:rsidP="008F225D">
      <w:pPr>
        <w:spacing w:after="0" w:line="240" w:lineRule="auto"/>
      </w:pPr>
      <w:r w:rsidRPr="004D3EFA">
        <w:t xml:space="preserve"> </w:t>
      </w:r>
    </w:p>
    <w:p w14:paraId="6A25207D" w14:textId="77777777" w:rsidR="008F225D" w:rsidRPr="004D3EFA" w:rsidRDefault="008F225D" w:rsidP="008F225D">
      <w:pPr>
        <w:spacing w:after="0" w:line="240" w:lineRule="auto"/>
      </w:pPr>
      <w:r w:rsidRPr="004D3EFA">
        <w:t>La Municipalidad con base en lo establecido por la Legislación Nacional que regula las relaciones laborales, no paga vacaciones a los funcionarios, por lo que estos deben disfrutar de sus vacaciones, tal como lo establece dicha legislación. Además, el ayuntamiento no tiene en operación ninguna Convención Colectiva de Trabajo. Tampoco ha incurrido en el pago de Prestaciones Laborables u otros beneficios por terminación de relaciones laborales con responsabilidad patronal.</w:t>
      </w:r>
    </w:p>
    <w:p w14:paraId="2D5C468F" w14:textId="77777777" w:rsidR="008F225D" w:rsidRPr="004D3EFA" w:rsidRDefault="008F225D" w:rsidP="008F225D">
      <w:pPr>
        <w:spacing w:after="0" w:line="240" w:lineRule="auto"/>
      </w:pPr>
    </w:p>
    <w:p w14:paraId="480BAC0C" w14:textId="3F027D22" w:rsidR="008F225D" w:rsidRPr="00210262" w:rsidRDefault="008F225D" w:rsidP="008F225D">
      <w:pPr>
        <w:spacing w:after="0" w:line="240" w:lineRule="auto"/>
      </w:pPr>
      <w:r w:rsidRPr="00210262">
        <w:t>Por otra parte, debe indicarse que la Municipalidad de Buenos Aire</w:t>
      </w:r>
      <w:r w:rsidR="00210262" w:rsidRPr="00210262">
        <w:t>s dispone de una planilla de 142 funcionarios (106</w:t>
      </w:r>
      <w:r w:rsidRPr="00210262">
        <w:t xml:space="preserve"> son funciona</w:t>
      </w:r>
      <w:r w:rsidR="00210262" w:rsidRPr="00210262">
        <w:t>rios nombrados en propiedad y 19</w:t>
      </w:r>
      <w:r w:rsidRPr="00210262">
        <w:t xml:space="preserve"> son funcionarios interinos, el Alcalde y Vicealcaldesa no se incluyen en las clases anteriores; el resto de los funcionarios (17) está contratado bajo la modalidad de suplencia, servicios especiales o jornales ocasionales), cuya remuneración base es con fundamento en el Manual Descriptivo de Puestos que se tiene en operación, los beneficios que se otorgan a los funcionarios son el pago de aguinaldo, pago de anualidades del 4%, prohibición y dedicación exclusiva, los cuales están establecidos y se hace conforme el marco jurídico aplicable.  </w:t>
      </w:r>
    </w:p>
    <w:p w14:paraId="02D428DF" w14:textId="77777777" w:rsidR="008F225D" w:rsidRPr="008F225D" w:rsidRDefault="008F225D" w:rsidP="008F225D">
      <w:pPr>
        <w:spacing w:after="0" w:line="240" w:lineRule="auto"/>
        <w:rPr>
          <w:rFonts w:eastAsia="Calibri"/>
          <w:szCs w:val="24"/>
          <w:highlight w:val="yellow"/>
        </w:rPr>
      </w:pPr>
    </w:p>
    <w:p w14:paraId="052ADE31" w14:textId="752D0FEC" w:rsidR="008F225D" w:rsidRPr="00210262" w:rsidRDefault="008F225D" w:rsidP="003E6510">
      <w:pPr>
        <w:spacing w:line="240" w:lineRule="auto"/>
        <w:rPr>
          <w:szCs w:val="24"/>
          <w:lang w:eastAsia="es-CR"/>
        </w:rPr>
      </w:pPr>
      <w:r w:rsidRPr="00210262">
        <w:rPr>
          <w:szCs w:val="24"/>
          <w:lang w:eastAsia="es-CR"/>
        </w:rPr>
        <w:t xml:space="preserve">De acuerdo con lo consignado en la Matriz de NICSP y Plan de Acción al </w:t>
      </w:r>
      <w:r w:rsidR="00796636" w:rsidRPr="00210262">
        <w:rPr>
          <w:szCs w:val="24"/>
          <w:lang w:eastAsia="es-CR"/>
        </w:rPr>
        <w:t>31</w:t>
      </w:r>
      <w:r w:rsidRPr="00210262">
        <w:rPr>
          <w:szCs w:val="24"/>
          <w:lang w:eastAsia="es-CR"/>
        </w:rPr>
        <w:t xml:space="preserve"> de </w:t>
      </w:r>
      <w:r w:rsidR="00D64CF8" w:rsidRPr="00210262">
        <w:rPr>
          <w:szCs w:val="24"/>
          <w:lang w:eastAsia="es-CR"/>
        </w:rPr>
        <w:t>diciembre</w:t>
      </w:r>
      <w:r w:rsidR="0012607F" w:rsidRPr="00210262">
        <w:rPr>
          <w:szCs w:val="24"/>
          <w:lang w:eastAsia="es-CR"/>
        </w:rPr>
        <w:t xml:space="preserve"> 2024</w:t>
      </w:r>
      <w:r w:rsidRPr="00210262">
        <w:rPr>
          <w:szCs w:val="24"/>
          <w:lang w:eastAsia="es-CR"/>
        </w:rPr>
        <w:t xml:space="preserve"> se encuentra pendiente de implementar lo siguiente:</w:t>
      </w:r>
    </w:p>
    <w:tbl>
      <w:tblPr>
        <w:tblW w:w="8920" w:type="dxa"/>
        <w:tblLook w:val="04A0" w:firstRow="1" w:lastRow="0" w:firstColumn="1" w:lastColumn="0" w:noHBand="0" w:noVBand="1"/>
      </w:tblPr>
      <w:tblGrid>
        <w:gridCol w:w="7560"/>
        <w:gridCol w:w="1360"/>
      </w:tblGrid>
      <w:tr w:rsidR="008F225D" w:rsidRPr="008F225D" w14:paraId="60855153" w14:textId="77777777" w:rsidTr="0061790F">
        <w:trPr>
          <w:trHeight w:val="530"/>
        </w:trPr>
        <w:tc>
          <w:tcPr>
            <w:tcW w:w="7560"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589AB7A5" w14:textId="77777777" w:rsidR="008F225D" w:rsidRPr="00767BBC" w:rsidRDefault="008F225D" w:rsidP="0061790F">
            <w:pPr>
              <w:spacing w:after="0" w:line="240" w:lineRule="auto"/>
              <w:jc w:val="center"/>
              <w:rPr>
                <w:rFonts w:eastAsia="Times New Roman" w:cs="Calibri"/>
                <w:b/>
                <w:bCs/>
                <w:sz w:val="20"/>
                <w:szCs w:val="20"/>
                <w:lang w:val="en-US"/>
              </w:rPr>
            </w:pPr>
            <w:proofErr w:type="spellStart"/>
            <w:r w:rsidRPr="00767BBC">
              <w:rPr>
                <w:rFonts w:eastAsia="Times New Roman" w:cs="Calibri"/>
                <w:b/>
                <w:bCs/>
                <w:sz w:val="20"/>
                <w:szCs w:val="20"/>
                <w:lang w:val="en-US"/>
              </w:rPr>
              <w:t>Actividades</w:t>
            </w:r>
            <w:proofErr w:type="spellEnd"/>
            <w:r w:rsidRPr="00767BBC">
              <w:rPr>
                <w:rFonts w:eastAsia="Times New Roman" w:cs="Calibri"/>
                <w:b/>
                <w:bCs/>
                <w:sz w:val="20"/>
                <w:szCs w:val="20"/>
                <w:lang w:val="en-US"/>
              </w:rPr>
              <w:t xml:space="preserve"> </w:t>
            </w:r>
            <w:proofErr w:type="spellStart"/>
            <w:r w:rsidRPr="00767BBC">
              <w:rPr>
                <w:rFonts w:eastAsia="Times New Roman" w:cs="Calibri"/>
                <w:b/>
                <w:bCs/>
                <w:sz w:val="20"/>
                <w:szCs w:val="20"/>
                <w:lang w:val="en-US"/>
              </w:rPr>
              <w:t>Pendientes</w:t>
            </w:r>
            <w:proofErr w:type="spellEnd"/>
            <w:r w:rsidRPr="00767BBC">
              <w:rPr>
                <w:rFonts w:eastAsia="Times New Roman" w:cs="Calibri"/>
                <w:b/>
                <w:bCs/>
                <w:sz w:val="20"/>
                <w:szCs w:val="20"/>
                <w:lang w:val="en-US"/>
              </w:rPr>
              <w:t xml:space="preserve"> de </w:t>
            </w:r>
            <w:proofErr w:type="spellStart"/>
            <w:r w:rsidRPr="00767BBC">
              <w:rPr>
                <w:rFonts w:eastAsia="Times New Roman" w:cs="Calibri"/>
                <w:b/>
                <w:bCs/>
                <w:sz w:val="20"/>
                <w:szCs w:val="20"/>
                <w:lang w:val="en-US"/>
              </w:rPr>
              <w:t>Cumplimiento</w:t>
            </w:r>
            <w:proofErr w:type="spellEnd"/>
          </w:p>
        </w:tc>
        <w:tc>
          <w:tcPr>
            <w:tcW w:w="1360" w:type="dxa"/>
            <w:tcBorders>
              <w:top w:val="single" w:sz="8" w:space="0" w:color="auto"/>
              <w:left w:val="nil"/>
              <w:bottom w:val="single" w:sz="4" w:space="0" w:color="auto"/>
              <w:right w:val="single" w:sz="8" w:space="0" w:color="auto"/>
            </w:tcBorders>
            <w:shd w:val="clear" w:color="000000" w:fill="FFFFFF"/>
            <w:vAlign w:val="bottom"/>
            <w:hideMark/>
          </w:tcPr>
          <w:p w14:paraId="42841779" w14:textId="77777777" w:rsidR="008F225D" w:rsidRPr="00767BBC" w:rsidRDefault="008F225D" w:rsidP="0061790F">
            <w:pPr>
              <w:spacing w:after="0" w:line="240" w:lineRule="auto"/>
              <w:jc w:val="center"/>
              <w:rPr>
                <w:rFonts w:eastAsia="Times New Roman" w:cs="Calibri"/>
                <w:b/>
                <w:bCs/>
                <w:color w:val="000000"/>
                <w:sz w:val="20"/>
                <w:szCs w:val="20"/>
                <w:lang w:val="en-US"/>
              </w:rPr>
            </w:pPr>
            <w:proofErr w:type="spellStart"/>
            <w:r w:rsidRPr="00767BBC">
              <w:rPr>
                <w:rFonts w:eastAsia="Times New Roman" w:cs="Calibri"/>
                <w:b/>
                <w:bCs/>
                <w:color w:val="000000"/>
                <w:sz w:val="20"/>
                <w:szCs w:val="20"/>
                <w:lang w:val="en-US"/>
              </w:rPr>
              <w:t>Fecha</w:t>
            </w:r>
            <w:proofErr w:type="spellEnd"/>
            <w:r w:rsidRPr="00767BBC">
              <w:rPr>
                <w:rFonts w:eastAsia="Times New Roman" w:cs="Calibri"/>
                <w:b/>
                <w:bCs/>
                <w:color w:val="000000"/>
                <w:sz w:val="20"/>
                <w:szCs w:val="20"/>
                <w:lang w:val="en-US"/>
              </w:rPr>
              <w:t xml:space="preserve"> </w:t>
            </w:r>
            <w:proofErr w:type="spellStart"/>
            <w:r w:rsidRPr="00767BBC">
              <w:rPr>
                <w:rFonts w:eastAsia="Times New Roman" w:cs="Calibri"/>
                <w:b/>
                <w:bCs/>
                <w:color w:val="000000"/>
                <w:sz w:val="20"/>
                <w:szCs w:val="20"/>
                <w:lang w:val="en-US"/>
              </w:rPr>
              <w:t>Estimada</w:t>
            </w:r>
            <w:proofErr w:type="spellEnd"/>
            <w:r w:rsidRPr="00767BBC">
              <w:rPr>
                <w:rFonts w:eastAsia="Times New Roman" w:cs="Calibri"/>
                <w:b/>
                <w:bCs/>
                <w:color w:val="000000"/>
                <w:sz w:val="20"/>
                <w:szCs w:val="20"/>
                <w:lang w:val="en-US"/>
              </w:rPr>
              <w:t xml:space="preserve"> </w:t>
            </w:r>
            <w:proofErr w:type="spellStart"/>
            <w:r w:rsidRPr="00767BBC">
              <w:rPr>
                <w:rFonts w:eastAsia="Times New Roman" w:cs="Calibri"/>
                <w:b/>
                <w:bCs/>
                <w:color w:val="000000"/>
                <w:sz w:val="20"/>
                <w:szCs w:val="20"/>
                <w:lang w:val="en-US"/>
              </w:rPr>
              <w:t>Cumplimiento</w:t>
            </w:r>
            <w:proofErr w:type="spellEnd"/>
          </w:p>
        </w:tc>
      </w:tr>
      <w:tr w:rsidR="008F225D" w:rsidRPr="008F225D" w14:paraId="0DF86EC9" w14:textId="77777777" w:rsidTr="0061790F">
        <w:trPr>
          <w:trHeight w:val="780"/>
        </w:trPr>
        <w:tc>
          <w:tcPr>
            <w:tcW w:w="7560" w:type="dxa"/>
            <w:tcBorders>
              <w:top w:val="nil"/>
              <w:left w:val="single" w:sz="8" w:space="0" w:color="auto"/>
              <w:bottom w:val="single" w:sz="4" w:space="0" w:color="auto"/>
              <w:right w:val="single" w:sz="4" w:space="0" w:color="auto"/>
            </w:tcBorders>
            <w:shd w:val="clear" w:color="000000" w:fill="FFFFFF"/>
            <w:hideMark/>
          </w:tcPr>
          <w:p w14:paraId="758DCB38" w14:textId="77777777" w:rsidR="008F225D" w:rsidRPr="00767BBC" w:rsidRDefault="008F225D" w:rsidP="0061790F">
            <w:pPr>
              <w:spacing w:after="0" w:line="240" w:lineRule="auto"/>
              <w:rPr>
                <w:rFonts w:eastAsia="Times New Roman" w:cs="Calibri"/>
                <w:color w:val="000000"/>
                <w:sz w:val="20"/>
                <w:szCs w:val="20"/>
              </w:rPr>
            </w:pPr>
            <w:r w:rsidRPr="00767BBC">
              <w:rPr>
                <w:rFonts w:eastAsia="Times New Roman" w:cs="Calibri"/>
                <w:color w:val="000000"/>
                <w:sz w:val="20"/>
                <w:szCs w:val="20"/>
              </w:rPr>
              <w:t>Realizar el registro (reconocimiento y medición) correspondiente de los beneficios a los trabajadores de la Municipalidad de todo tipo (Corto Plazo, Planes de Contribuciones definidas y por indemnizaciones por cese).</w:t>
            </w:r>
          </w:p>
        </w:tc>
        <w:tc>
          <w:tcPr>
            <w:tcW w:w="1360" w:type="dxa"/>
            <w:tcBorders>
              <w:top w:val="nil"/>
              <w:left w:val="nil"/>
              <w:bottom w:val="single" w:sz="4" w:space="0" w:color="auto"/>
              <w:right w:val="single" w:sz="8" w:space="0" w:color="auto"/>
            </w:tcBorders>
            <w:shd w:val="clear" w:color="000000" w:fill="FFFFFF"/>
            <w:noWrap/>
            <w:vAlign w:val="center"/>
            <w:hideMark/>
          </w:tcPr>
          <w:p w14:paraId="5BBA1D07" w14:textId="03B39423" w:rsidR="008F225D" w:rsidRPr="00767BBC" w:rsidRDefault="00796636" w:rsidP="0061790F">
            <w:pPr>
              <w:spacing w:after="0" w:line="240" w:lineRule="auto"/>
              <w:jc w:val="center"/>
              <w:rPr>
                <w:rFonts w:eastAsia="Times New Roman" w:cs="Calibri"/>
                <w:sz w:val="20"/>
                <w:szCs w:val="20"/>
                <w:lang w:val="en-US"/>
              </w:rPr>
            </w:pPr>
            <w:r w:rsidRPr="00767BBC">
              <w:rPr>
                <w:rFonts w:eastAsia="Times New Roman" w:cs="Calibri"/>
                <w:sz w:val="20"/>
                <w:szCs w:val="20"/>
                <w:lang w:val="en-US"/>
              </w:rPr>
              <w:t>3</w:t>
            </w:r>
            <w:r w:rsidR="0012607F" w:rsidRPr="00767BBC">
              <w:rPr>
                <w:rFonts w:eastAsia="Times New Roman" w:cs="Calibri"/>
                <w:sz w:val="20"/>
                <w:szCs w:val="20"/>
                <w:lang w:val="en-US"/>
              </w:rPr>
              <w:t>0</w:t>
            </w:r>
            <w:r w:rsidR="00600489" w:rsidRPr="00767BBC">
              <w:rPr>
                <w:rFonts w:eastAsia="Times New Roman" w:cs="Calibri"/>
                <w:sz w:val="20"/>
                <w:szCs w:val="20"/>
                <w:lang w:val="en-US"/>
              </w:rPr>
              <w:t>/06/25</w:t>
            </w:r>
          </w:p>
        </w:tc>
      </w:tr>
      <w:tr w:rsidR="008F225D" w:rsidRPr="008F225D" w14:paraId="7E6F76E3" w14:textId="77777777" w:rsidTr="0061790F">
        <w:trPr>
          <w:trHeight w:val="520"/>
        </w:trPr>
        <w:tc>
          <w:tcPr>
            <w:tcW w:w="7560" w:type="dxa"/>
            <w:tcBorders>
              <w:top w:val="nil"/>
              <w:left w:val="single" w:sz="8" w:space="0" w:color="auto"/>
              <w:bottom w:val="single" w:sz="4" w:space="0" w:color="auto"/>
              <w:right w:val="single" w:sz="4" w:space="0" w:color="auto"/>
            </w:tcBorders>
            <w:shd w:val="clear" w:color="000000" w:fill="FFFFFF"/>
            <w:hideMark/>
          </w:tcPr>
          <w:p w14:paraId="0EBED550" w14:textId="77777777" w:rsidR="008F225D" w:rsidRPr="00767BBC" w:rsidRDefault="008F225D" w:rsidP="0061790F">
            <w:pPr>
              <w:spacing w:after="0" w:line="240" w:lineRule="auto"/>
              <w:rPr>
                <w:rFonts w:eastAsia="Times New Roman" w:cs="Calibri"/>
                <w:sz w:val="20"/>
                <w:szCs w:val="20"/>
              </w:rPr>
            </w:pPr>
            <w:r w:rsidRPr="00767BBC">
              <w:rPr>
                <w:rFonts w:eastAsia="Times New Roman" w:cs="Calibri"/>
                <w:sz w:val="20"/>
                <w:szCs w:val="20"/>
              </w:rPr>
              <w:t>Realizar las revelaciones pertinentes sobre los beneficios a empleados en las notas a los estados financieros según lo estable la NICSP 39.</w:t>
            </w:r>
          </w:p>
        </w:tc>
        <w:tc>
          <w:tcPr>
            <w:tcW w:w="1360" w:type="dxa"/>
            <w:tcBorders>
              <w:top w:val="nil"/>
              <w:left w:val="nil"/>
              <w:bottom w:val="single" w:sz="4" w:space="0" w:color="auto"/>
              <w:right w:val="single" w:sz="8" w:space="0" w:color="auto"/>
            </w:tcBorders>
            <w:shd w:val="clear" w:color="000000" w:fill="FFFFFF"/>
            <w:noWrap/>
            <w:hideMark/>
          </w:tcPr>
          <w:p w14:paraId="4A0A0BB2" w14:textId="13C8A94C" w:rsidR="008F225D" w:rsidRPr="00767BBC" w:rsidRDefault="0012607F" w:rsidP="0061790F">
            <w:pPr>
              <w:spacing w:after="0" w:line="240" w:lineRule="auto"/>
              <w:jc w:val="center"/>
              <w:rPr>
                <w:rFonts w:eastAsia="Times New Roman" w:cs="Calibri"/>
                <w:sz w:val="20"/>
                <w:szCs w:val="20"/>
                <w:lang w:val="en-US"/>
              </w:rPr>
            </w:pPr>
            <w:r w:rsidRPr="00767BBC">
              <w:rPr>
                <w:rFonts w:eastAsia="Times New Roman" w:cs="Calibri"/>
                <w:sz w:val="20"/>
                <w:szCs w:val="20"/>
                <w:lang w:val="en-US"/>
              </w:rPr>
              <w:t>30/06/25</w:t>
            </w:r>
          </w:p>
        </w:tc>
      </w:tr>
      <w:tr w:rsidR="008F225D" w:rsidRPr="00C1398A" w14:paraId="00DC6774" w14:textId="77777777" w:rsidTr="0061790F">
        <w:trPr>
          <w:trHeight w:val="300"/>
        </w:trPr>
        <w:tc>
          <w:tcPr>
            <w:tcW w:w="7560" w:type="dxa"/>
            <w:tcBorders>
              <w:top w:val="nil"/>
              <w:left w:val="single" w:sz="8" w:space="0" w:color="auto"/>
              <w:bottom w:val="single" w:sz="8" w:space="0" w:color="auto"/>
              <w:right w:val="single" w:sz="4" w:space="0" w:color="auto"/>
            </w:tcBorders>
            <w:shd w:val="clear" w:color="000000" w:fill="FFFFFF"/>
            <w:vAlign w:val="center"/>
            <w:hideMark/>
          </w:tcPr>
          <w:p w14:paraId="1530F0C2" w14:textId="77777777" w:rsidR="008F225D" w:rsidRPr="00767BBC" w:rsidRDefault="008F225D" w:rsidP="0061790F">
            <w:pPr>
              <w:spacing w:after="0" w:line="240" w:lineRule="auto"/>
              <w:rPr>
                <w:rFonts w:eastAsia="Times New Roman" w:cs="Calibri"/>
                <w:sz w:val="20"/>
                <w:szCs w:val="20"/>
              </w:rPr>
            </w:pPr>
            <w:r w:rsidRPr="00767BBC">
              <w:rPr>
                <w:rFonts w:eastAsia="Times New Roman" w:cs="Calibri"/>
                <w:sz w:val="20"/>
                <w:szCs w:val="20"/>
              </w:rPr>
              <w:t>Adecuación e inclusión del catálogo de cuentas con los respectivos auxiliares.</w:t>
            </w:r>
          </w:p>
        </w:tc>
        <w:tc>
          <w:tcPr>
            <w:tcW w:w="1360" w:type="dxa"/>
            <w:tcBorders>
              <w:top w:val="nil"/>
              <w:left w:val="nil"/>
              <w:bottom w:val="single" w:sz="8" w:space="0" w:color="auto"/>
              <w:right w:val="single" w:sz="8" w:space="0" w:color="auto"/>
            </w:tcBorders>
            <w:shd w:val="clear" w:color="000000" w:fill="FFFFFF"/>
            <w:noWrap/>
            <w:hideMark/>
          </w:tcPr>
          <w:p w14:paraId="1190F38F" w14:textId="4B9A6902" w:rsidR="008F225D" w:rsidRPr="00767BBC" w:rsidRDefault="0012607F" w:rsidP="0061790F">
            <w:pPr>
              <w:spacing w:after="0" w:line="240" w:lineRule="auto"/>
              <w:jc w:val="center"/>
              <w:rPr>
                <w:rFonts w:eastAsia="Times New Roman" w:cs="Calibri"/>
                <w:sz w:val="20"/>
                <w:szCs w:val="20"/>
                <w:lang w:val="en-US"/>
              </w:rPr>
            </w:pPr>
            <w:r w:rsidRPr="00767BBC">
              <w:rPr>
                <w:rFonts w:eastAsia="Times New Roman" w:cs="Calibri"/>
                <w:sz w:val="20"/>
                <w:szCs w:val="20"/>
                <w:lang w:val="en-US"/>
              </w:rPr>
              <w:t>30/06/25</w:t>
            </w:r>
          </w:p>
        </w:tc>
      </w:tr>
    </w:tbl>
    <w:p w14:paraId="46110B17" w14:textId="369A18E9" w:rsidR="00210262" w:rsidRDefault="00767BBC" w:rsidP="00311AE2">
      <w:pPr>
        <w:rPr>
          <w:szCs w:val="24"/>
        </w:rPr>
      </w:pPr>
      <w:r w:rsidRPr="00EE66B3">
        <w:rPr>
          <w:lang w:eastAsia="es-CR"/>
        </w:rPr>
        <w:t xml:space="preserve">Se hizo extensión a la fecha prevista esto debido a las cargas de trabajo en la institución, por tanto, no se pudo completar las actividades requeridas a la Norma </w:t>
      </w:r>
      <w:r>
        <w:rPr>
          <w:lang w:val="es-MX"/>
        </w:rPr>
        <w:t>NICSP 39</w:t>
      </w:r>
    </w:p>
    <w:p w14:paraId="17CA413E" w14:textId="2E4271B5" w:rsidR="00311AE2" w:rsidRPr="00311AE2" w:rsidRDefault="00311AE2" w:rsidP="00311AE2">
      <w:pPr>
        <w:rPr>
          <w:szCs w:val="24"/>
        </w:rPr>
      </w:pPr>
      <w:r w:rsidRPr="00311AE2">
        <w:rPr>
          <w:szCs w:val="24"/>
        </w:rPr>
        <w:t xml:space="preserve">Razonamiento técnico en caso de existir una adquisición: (impacto contable) </w:t>
      </w:r>
    </w:p>
    <w:p w14:paraId="4535B2E7" w14:textId="33E930DF" w:rsidR="00311AE2" w:rsidRPr="00311AE2" w:rsidRDefault="00311AE2" w:rsidP="00311AE2">
      <w:pPr>
        <w:rPr>
          <w:szCs w:val="24"/>
        </w:rPr>
      </w:pPr>
      <w:r w:rsidRPr="00311AE2">
        <w:rPr>
          <w:szCs w:val="24"/>
        </w:rPr>
        <w:t>Razonamiento técnico en caso de existir una fusión: (impacto contable)</w:t>
      </w:r>
    </w:p>
    <w:p w14:paraId="0A526723" w14:textId="77777777" w:rsidR="00A649A4" w:rsidRPr="00A649A4" w:rsidRDefault="00A649A4" w:rsidP="00986512">
      <w:pPr>
        <w:rPr>
          <w:rFonts w:eastAsia="Calibri"/>
          <w:szCs w:val="24"/>
        </w:rPr>
      </w:pPr>
    </w:p>
    <w:p w14:paraId="164B5181" w14:textId="63A49560" w:rsidR="00A649A4" w:rsidRPr="00A649A4" w:rsidRDefault="00986512" w:rsidP="00986512">
      <w:pPr>
        <w:pStyle w:val="Ttulo2"/>
        <w:spacing w:after="240"/>
        <w:rPr>
          <w:rFonts w:eastAsia="Times New Roman"/>
          <w:lang w:eastAsia="es-CR"/>
        </w:rPr>
      </w:pPr>
      <w:bookmarkStart w:id="135" w:name="_Toc82768900"/>
      <w:bookmarkStart w:id="136" w:name="_Toc189804825"/>
      <w:r w:rsidRPr="00A649A4">
        <w:rPr>
          <w:rFonts w:eastAsia="Times New Roman"/>
          <w:lang w:eastAsia="es-CR"/>
        </w:rPr>
        <w:t xml:space="preserve">NICSP 40 </w:t>
      </w:r>
      <w:r>
        <w:rPr>
          <w:rFonts w:eastAsia="Times New Roman"/>
          <w:lang w:eastAsia="es-CR"/>
        </w:rPr>
        <w:t xml:space="preserve">- </w:t>
      </w:r>
      <w:r w:rsidRPr="00A649A4">
        <w:rPr>
          <w:rFonts w:eastAsia="Times New Roman"/>
          <w:lang w:eastAsia="es-CR"/>
        </w:rPr>
        <w:t>COMBINACIONES EN EL SECTOR PÚBLICO:</w:t>
      </w:r>
      <w:bookmarkEnd w:id="135"/>
      <w:bookmarkEnd w:id="136"/>
      <w:r w:rsidRPr="00A649A4">
        <w:rPr>
          <w:rFonts w:eastAsia="Times New Roman"/>
          <w:lang w:eastAsia="es-CR"/>
        </w:rPr>
        <w:t xml:space="preserve"> </w:t>
      </w:r>
    </w:p>
    <w:p w14:paraId="0371D32F" w14:textId="77777777" w:rsidR="00396CB4" w:rsidRDefault="00986512" w:rsidP="00986512">
      <w:pPr>
        <w:rPr>
          <w:rFonts w:asciiTheme="minorHAnsi" w:hAnsiTheme="minorHAnsi"/>
          <w:sz w:val="22"/>
        </w:rPr>
      </w:pPr>
      <w:r w:rsidRPr="00FB0858">
        <w:t xml:space="preserve">De acuerdo con la </w:t>
      </w:r>
      <w:r w:rsidRPr="000B404C">
        <w:t xml:space="preserve">De acuerdo con la </w:t>
      </w:r>
      <w:r w:rsidRPr="00986512">
        <w:t>NICSP 39 Beneficios a los empleados</w:t>
      </w:r>
      <w:r>
        <w:t xml:space="preserve">, indicar si este rubro afecta SI o NO a la institución, </w:t>
      </w:r>
      <w:r w:rsidRPr="00405DBC">
        <w:t>además del porcentaje de avance</w:t>
      </w:r>
      <w:r>
        <w:t xml:space="preserve"> en la implementación</w:t>
      </w:r>
      <w:r w:rsidRPr="00405DBC">
        <w:t xml:space="preserve"> que presenta</w:t>
      </w:r>
      <w:r>
        <w:t>.</w:t>
      </w:r>
      <w:r w:rsidR="00982595">
        <w:rPr>
          <w:lang w:eastAsia="es-CR"/>
        </w:rPr>
        <w:fldChar w:fldCharType="begin"/>
      </w:r>
      <w:r w:rsidR="00982595">
        <w:rPr>
          <w:lang w:eastAsia="es-CR"/>
        </w:rPr>
        <w:instrText xml:space="preserve"> LINK </w:instrText>
      </w:r>
      <w:r w:rsidR="00756467">
        <w:rPr>
          <w:lang w:eastAsia="es-CR"/>
        </w:rPr>
        <w:instrText xml:space="preserve">Excel.SheetMacroEnabled.12 "C:\\Users\\gcordero\\Downloads\\Notas diciembre 2024\\Formato_Notas_EEFF_Vinculadas_2024\\Formato_Notas_EEFF_Vinculadas_2024\\15603_T04_2024_Anexo_Estado_Notas_Contables_Vinculadas.xlsm" NICSP_40!F9C3:F10C4 </w:instrText>
      </w:r>
      <w:r w:rsidR="00982595">
        <w:rPr>
          <w:lang w:eastAsia="es-CR"/>
        </w:rPr>
        <w:instrText xml:space="preserve">\a \f 4 \h </w:instrText>
      </w:r>
      <w:r w:rsidR="00982595">
        <w:rPr>
          <w:lang w:eastAsia="es-CR"/>
        </w:rPr>
        <w:fldChar w:fldCharType="separate"/>
      </w:r>
    </w:p>
    <w:tbl>
      <w:tblPr>
        <w:tblW w:w="4120" w:type="dxa"/>
        <w:tblCellMar>
          <w:left w:w="70" w:type="dxa"/>
          <w:right w:w="70" w:type="dxa"/>
        </w:tblCellMar>
        <w:tblLook w:val="04A0" w:firstRow="1" w:lastRow="0" w:firstColumn="1" w:lastColumn="0" w:noHBand="0" w:noVBand="1"/>
      </w:tblPr>
      <w:tblGrid>
        <w:gridCol w:w="2340"/>
        <w:gridCol w:w="1780"/>
      </w:tblGrid>
      <w:tr w:rsidR="00396CB4" w:rsidRPr="00396CB4" w14:paraId="54E7E701" w14:textId="77777777" w:rsidTr="00396CB4">
        <w:trPr>
          <w:divId w:val="1190487201"/>
          <w:trHeight w:val="345"/>
        </w:trPr>
        <w:tc>
          <w:tcPr>
            <w:tcW w:w="234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1B4D56EC" w14:textId="5949E8B8" w:rsidR="00396CB4" w:rsidRPr="00396CB4" w:rsidRDefault="00396CB4" w:rsidP="00396CB4">
            <w:pPr>
              <w:rPr>
                <w:rFonts w:eastAsia="Times New Roman" w:cs="Calibri"/>
                <w:color w:val="FFFFFF"/>
                <w:szCs w:val="24"/>
                <w:lang w:eastAsia="es-CR"/>
              </w:rPr>
            </w:pPr>
            <w:r w:rsidRPr="00396CB4">
              <w:rPr>
                <w:rFonts w:eastAsia="Times New Roman" w:cs="Calibri"/>
                <w:color w:val="FFFFFF"/>
                <w:szCs w:val="24"/>
                <w:lang w:eastAsia="es-CR"/>
              </w:rPr>
              <w:t>Aplica</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0C6E16" w14:textId="77777777" w:rsidR="00396CB4" w:rsidRPr="00396CB4" w:rsidRDefault="00396CB4" w:rsidP="00396CB4">
            <w:pPr>
              <w:spacing w:after="0" w:line="240" w:lineRule="auto"/>
              <w:jc w:val="center"/>
              <w:rPr>
                <w:rFonts w:eastAsia="Times New Roman" w:cs="Calibri"/>
                <w:color w:val="000000"/>
                <w:sz w:val="22"/>
                <w:lang w:eastAsia="es-CR"/>
              </w:rPr>
            </w:pPr>
            <w:r w:rsidRPr="00396CB4">
              <w:rPr>
                <w:rFonts w:eastAsia="Times New Roman" w:cs="Calibri"/>
                <w:color w:val="000000"/>
                <w:sz w:val="22"/>
                <w:lang w:eastAsia="es-CR"/>
              </w:rPr>
              <w:t>No</w:t>
            </w:r>
          </w:p>
        </w:tc>
      </w:tr>
      <w:tr w:rsidR="00396CB4" w:rsidRPr="00396CB4" w14:paraId="2D921C06" w14:textId="77777777" w:rsidTr="00396CB4">
        <w:trPr>
          <w:divId w:val="1190487201"/>
          <w:trHeight w:val="345"/>
        </w:trPr>
        <w:tc>
          <w:tcPr>
            <w:tcW w:w="2340" w:type="dxa"/>
            <w:tcBorders>
              <w:top w:val="nil"/>
              <w:left w:val="single" w:sz="8" w:space="0" w:color="auto"/>
              <w:bottom w:val="single" w:sz="8" w:space="0" w:color="auto"/>
              <w:right w:val="single" w:sz="8" w:space="0" w:color="auto"/>
            </w:tcBorders>
            <w:shd w:val="clear" w:color="000000" w:fill="17365D"/>
            <w:vAlign w:val="center"/>
            <w:hideMark/>
          </w:tcPr>
          <w:p w14:paraId="5F96073A" w14:textId="77777777" w:rsidR="00396CB4" w:rsidRPr="00396CB4" w:rsidRDefault="00396CB4" w:rsidP="00396CB4">
            <w:pPr>
              <w:spacing w:after="0" w:line="240" w:lineRule="auto"/>
              <w:jc w:val="left"/>
              <w:rPr>
                <w:rFonts w:eastAsia="Times New Roman" w:cs="Calibri"/>
                <w:color w:val="FFFFFF"/>
                <w:szCs w:val="24"/>
                <w:lang w:eastAsia="es-CR"/>
              </w:rPr>
            </w:pPr>
            <w:proofErr w:type="spellStart"/>
            <w:r w:rsidRPr="00396CB4">
              <w:rPr>
                <w:rFonts w:eastAsia="Times New Roman" w:cs="Calibri"/>
                <w:color w:val="FFFFFF"/>
                <w:szCs w:val="24"/>
                <w:lang w:eastAsia="es-CR"/>
              </w:rPr>
              <w:t>Porcentaje_Avance</w:t>
            </w:r>
            <w:proofErr w:type="spellEnd"/>
          </w:p>
        </w:tc>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19A016A9" w14:textId="77777777" w:rsidR="00396CB4" w:rsidRPr="00396CB4" w:rsidRDefault="00396CB4" w:rsidP="00396CB4">
            <w:pPr>
              <w:spacing w:after="0" w:line="240" w:lineRule="auto"/>
              <w:jc w:val="center"/>
              <w:rPr>
                <w:rFonts w:eastAsia="Times New Roman" w:cs="Calibri"/>
                <w:color w:val="000000"/>
                <w:sz w:val="22"/>
                <w:lang w:eastAsia="es-CR"/>
              </w:rPr>
            </w:pPr>
            <w:r w:rsidRPr="00396CB4">
              <w:rPr>
                <w:rFonts w:eastAsia="Times New Roman" w:cs="Calibri"/>
                <w:color w:val="000000"/>
                <w:sz w:val="22"/>
                <w:lang w:eastAsia="es-CR"/>
              </w:rPr>
              <w:t> </w:t>
            </w:r>
          </w:p>
        </w:tc>
      </w:tr>
    </w:tbl>
    <w:p w14:paraId="4155A8FC" w14:textId="08233F6D" w:rsidR="00986512" w:rsidRDefault="00982595" w:rsidP="00986512">
      <w:pPr>
        <w:rPr>
          <w:b/>
          <w:sz w:val="16"/>
          <w:szCs w:val="16"/>
          <w:lang w:eastAsia="es-CR"/>
        </w:rPr>
      </w:pPr>
      <w:r>
        <w:rPr>
          <w:b/>
          <w:sz w:val="16"/>
          <w:szCs w:val="16"/>
          <w:lang w:eastAsia="es-CR"/>
        </w:rPr>
        <w:fldChar w:fldCharType="end"/>
      </w:r>
      <w:r w:rsidR="00986512" w:rsidRPr="00986512">
        <w:rPr>
          <w:b/>
          <w:sz w:val="16"/>
          <w:szCs w:val="16"/>
          <w:lang w:eastAsia="es-CR"/>
        </w:rPr>
        <w:t>-Si la respuesta es NO la entidad debe presentar una justificación-</w:t>
      </w:r>
    </w:p>
    <w:p w14:paraId="56DBDE4C" w14:textId="0F2B2DC3" w:rsidR="00A649A4" w:rsidRPr="00986512" w:rsidRDefault="00A649A4" w:rsidP="00986512">
      <w:pPr>
        <w:jc w:val="center"/>
        <w:rPr>
          <w:szCs w:val="24"/>
        </w:rPr>
      </w:pPr>
      <w:r w:rsidRPr="00A649A4">
        <w:rPr>
          <w:noProof/>
          <w:lang w:eastAsia="es-CR"/>
        </w:rPr>
        <w:drawing>
          <wp:inline distT="0" distB="0" distL="0" distR="0" wp14:anchorId="2A393580" wp14:editId="6FC63149">
            <wp:extent cx="4152900" cy="1257300"/>
            <wp:effectExtent l="0" t="0" r="0" b="0"/>
            <wp:docPr id="5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52900" cy="1257300"/>
                    </a:xfrm>
                    <a:prstGeom prst="rect">
                      <a:avLst/>
                    </a:prstGeom>
                    <a:noFill/>
                    <a:ln>
                      <a:noFill/>
                    </a:ln>
                  </pic:spPr>
                </pic:pic>
              </a:graphicData>
            </a:graphic>
          </wp:inline>
        </w:drawing>
      </w:r>
    </w:p>
    <w:p w14:paraId="4BEBFEB9" w14:textId="77777777" w:rsidR="00A649A4" w:rsidRPr="00A649A4" w:rsidRDefault="00A649A4" w:rsidP="00986512">
      <w:pPr>
        <w:rPr>
          <w:rFonts w:eastAsia="Calibri" w:cs="Times New Roman"/>
        </w:rPr>
      </w:pPr>
      <w:r w:rsidRPr="00A649A4">
        <w:rPr>
          <w:rFonts w:eastAsia="Calibri" w:cs="Times New Roman"/>
        </w:rPr>
        <w:t xml:space="preserve">El párrafo 5 de esta Norma define una combinación del sector público como "la unión de operaciones separadas en una única entidad del sector público." La referencia a una entidad del sector público puede ser a una sola entidad o a una entidad económica. Algunas reorganizaciones del sector público </w:t>
      </w:r>
      <w:r w:rsidRPr="00A649A4">
        <w:rPr>
          <w:rFonts w:eastAsia="Calibri" w:cs="Times New Roman"/>
        </w:rPr>
        <w:lastRenderedPageBreak/>
        <w:t>pueden implicar más de una combinación del sector público. Las circunstancias en las que puede tener lugar una combinación del sector público incluyen:</w:t>
      </w:r>
    </w:p>
    <w:p w14:paraId="3797D560" w14:textId="77777777" w:rsidR="00A649A4" w:rsidRPr="00A649A4" w:rsidRDefault="00A649A4" w:rsidP="00986512">
      <w:pPr>
        <w:rPr>
          <w:rFonts w:eastAsia="Calibri" w:cs="Times New Roman"/>
        </w:rPr>
      </w:pPr>
      <w:r w:rsidRPr="00A649A4">
        <w:rPr>
          <w:rFonts w:eastAsia="Calibri" w:cs="Times New Roman"/>
        </w:rPr>
        <w:t>(a) por acuerdo mutuo; y</w:t>
      </w:r>
    </w:p>
    <w:p w14:paraId="56E1995E" w14:textId="77777777" w:rsidR="00A649A4" w:rsidRPr="00A649A4" w:rsidRDefault="00A649A4" w:rsidP="00986512">
      <w:pPr>
        <w:rPr>
          <w:rFonts w:eastAsia="Calibri" w:cs="Times New Roman"/>
        </w:rPr>
      </w:pPr>
      <w:r w:rsidRPr="00A649A4">
        <w:rPr>
          <w:rFonts w:eastAsia="Calibri" w:cs="Times New Roman"/>
        </w:rPr>
        <w:t>(b) por obligación (por ejemplo, por legislación).</w:t>
      </w:r>
    </w:p>
    <w:p w14:paraId="27C58EA8" w14:textId="77777777" w:rsidR="00A649A4" w:rsidRPr="00A649A4" w:rsidRDefault="00A649A4" w:rsidP="00986512">
      <w:pPr>
        <w:rPr>
          <w:rFonts w:eastAsia="Calibri" w:cs="Times New Roman"/>
        </w:rPr>
      </w:pPr>
      <w:r w:rsidRPr="00A649A4">
        <w:rPr>
          <w:rFonts w:eastAsia="Calibri" w:cs="Times New Roman"/>
        </w:rPr>
        <w:t>Una operación es un conjunto integrado de actividades y activos o pasivos relacionados susceptibles de ser dirigidos y gestionados con el propósito de lograr los objetivos de una entidad, proporcionando bienes o servicios.</w:t>
      </w:r>
    </w:p>
    <w:p w14:paraId="60FE7EE6" w14:textId="77777777" w:rsidR="00A649A4" w:rsidRPr="00A649A4" w:rsidRDefault="00A649A4" w:rsidP="00986512">
      <w:pPr>
        <w:rPr>
          <w:rFonts w:eastAsia="Calibri" w:cs="Times New Roman"/>
        </w:rPr>
      </w:pPr>
      <w:r w:rsidRPr="00A649A4">
        <w:rPr>
          <w:rFonts w:eastAsia="Calibri" w:cs="Times New Roman"/>
        </w:rPr>
        <w:t>Una fusión da lugar a una entidad resultante y es:</w:t>
      </w:r>
    </w:p>
    <w:p w14:paraId="1E571C6B" w14:textId="77777777" w:rsidR="00A649A4" w:rsidRPr="00A649A4" w:rsidRDefault="00A649A4" w:rsidP="00986512">
      <w:pPr>
        <w:rPr>
          <w:rFonts w:eastAsia="Calibri" w:cs="Times New Roman"/>
        </w:rPr>
      </w:pPr>
      <w:r w:rsidRPr="00A649A4">
        <w:rPr>
          <w:rFonts w:eastAsia="Calibri" w:cs="Times New Roman"/>
        </w:rPr>
        <w:t>(a) una combinación del sector público en la cual ninguna parte de la combinación obtiene el control de una o más operaciones; o</w:t>
      </w:r>
    </w:p>
    <w:p w14:paraId="3E4432D9" w14:textId="25F44783" w:rsidR="00A649A4" w:rsidRDefault="00A649A4" w:rsidP="00986512">
      <w:pPr>
        <w:rPr>
          <w:rFonts w:eastAsia="Calibri" w:cs="Times New Roman"/>
        </w:rPr>
      </w:pPr>
      <w:r w:rsidRPr="00A649A4">
        <w:rPr>
          <w:rFonts w:eastAsia="Calibri" w:cs="Times New Roman"/>
        </w:rPr>
        <w:t>(b) una combinación del sector público en la que una parte de la combinación obtiene el control de una o más operaciones, y en la que existe evidencia de que la combinación tiene la esencia económica de una fusión.</w:t>
      </w:r>
    </w:p>
    <w:p w14:paraId="33099F4A" w14:textId="77777777" w:rsidR="009131F0" w:rsidRPr="003516A2" w:rsidRDefault="009131F0" w:rsidP="009131F0">
      <w:pPr>
        <w:spacing w:before="240"/>
        <w:rPr>
          <w:b/>
          <w:color w:val="FFFFFF" w:themeColor="background1"/>
          <w:highlight w:val="darkBlue"/>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r>
        <w:rPr>
          <w:lang w:val="es-MX"/>
        </w:rPr>
        <w:t>________________________________________________________________________________________________________________________________________________________________</w:t>
      </w:r>
    </w:p>
    <w:p w14:paraId="1330B4D9" w14:textId="77777777" w:rsidR="009131F0" w:rsidRDefault="009131F0" w:rsidP="009131F0">
      <w:pPr>
        <w:spacing w:line="240" w:lineRule="auto"/>
        <w:rPr>
          <w:b/>
          <w:u w:val="single"/>
        </w:rPr>
      </w:pPr>
    </w:p>
    <w:p w14:paraId="4E96AFF0" w14:textId="77777777" w:rsidR="009131F0" w:rsidRPr="003516A2" w:rsidRDefault="009131F0" w:rsidP="009131F0">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05E8727E" w14:textId="77777777" w:rsidR="009131F0" w:rsidRPr="0021402F" w:rsidRDefault="009131F0" w:rsidP="009131F0">
      <w:pPr>
        <w:rPr>
          <w:rFonts w:eastAsia="Calibri" w:cs="Times New Roman"/>
        </w:rPr>
      </w:pPr>
      <w:r>
        <w:rPr>
          <w:lang w:val="es-MX"/>
        </w:rPr>
        <w:t>________________________________________________________________________________________________________________________________________________________________</w:t>
      </w:r>
    </w:p>
    <w:p w14:paraId="431068E1" w14:textId="3AFF2FAD" w:rsidR="00A649A4" w:rsidRPr="00A649A4" w:rsidRDefault="00A649A4" w:rsidP="00986512">
      <w:pPr>
        <w:rPr>
          <w:rFonts w:eastAsia="Times New Roman" w:cs="Times New Roman"/>
          <w:b/>
          <w:u w:val="single"/>
          <w:lang w:val="es-ES_tradnl" w:eastAsia="es-CR"/>
        </w:rPr>
      </w:pPr>
      <w:r w:rsidRPr="009131F0">
        <w:rPr>
          <w:b/>
          <w:color w:val="FFFFFF" w:themeColor="background1"/>
          <w:highlight w:val="darkBlue"/>
          <w:u w:val="single"/>
        </w:rPr>
        <w:t xml:space="preserve">Revelación Suficiente: </w:t>
      </w:r>
      <w:r w:rsidR="00482942">
        <w:rPr>
          <w:rFonts w:eastAsia="Calibri" w:cs="Times New Roman"/>
          <w:b/>
          <w:bCs/>
          <w:u w:val="single"/>
        </w:rPr>
        <w:t xml:space="preserve">El ente debe revelar y cumplir </w:t>
      </w:r>
      <w:r w:rsidRPr="00A649A4">
        <w:rPr>
          <w:rFonts w:eastAsia="Calibri" w:cs="Times New Roman"/>
          <w:b/>
          <w:bCs/>
          <w:u w:val="single"/>
        </w:rPr>
        <w:t xml:space="preserve">con lo estipulado en revelación </w:t>
      </w:r>
      <w:r w:rsidR="00482942">
        <w:rPr>
          <w:rFonts w:eastAsia="Calibri" w:cs="Times New Roman"/>
          <w:b/>
          <w:bCs/>
          <w:u w:val="single"/>
        </w:rPr>
        <w:t>conforme</w:t>
      </w:r>
      <w:r w:rsidRPr="00A649A4">
        <w:rPr>
          <w:rFonts w:eastAsia="Calibri" w:cs="Times New Roman"/>
          <w:b/>
          <w:bCs/>
          <w:u w:val="single"/>
        </w:rPr>
        <w:t xml:space="preserve"> a la NICSP, también debe considerar la política general y los párrafos incluidos en la matriz de autoevaluación referente a esta NICSP y guías de aplicación</w:t>
      </w:r>
      <w:r w:rsidRPr="00A649A4">
        <w:rPr>
          <w:rFonts w:eastAsia="Times New Roman" w:cs="Times New Roman"/>
          <w:b/>
          <w:u w:val="single"/>
          <w:lang w:val="es-ES_tradnl" w:eastAsia="es-CR"/>
        </w:rPr>
        <w:t xml:space="preserve"> (Ver GA de la NICSP 40):</w:t>
      </w:r>
    </w:p>
    <w:p w14:paraId="67944C3D" w14:textId="77777777" w:rsidR="00A649A4" w:rsidRPr="00A649A4" w:rsidRDefault="00A649A4" w:rsidP="00986512">
      <w:pPr>
        <w:rPr>
          <w:rFonts w:eastAsia="Calibri" w:cs="Times New Roman"/>
          <w:lang w:val="es-MX"/>
        </w:rPr>
      </w:pPr>
      <w:r w:rsidRPr="00A649A4">
        <w:rPr>
          <w:rFonts w:eastAsia="Calibri" w:cs="Times New Roman"/>
          <w:lang w:val="es-MX"/>
        </w:rPr>
        <w:t>________________________________________________________________________________________________________________________________________________________________________________________________________________________________________________</w:t>
      </w:r>
      <w:r w:rsidRPr="00A649A4">
        <w:rPr>
          <w:rFonts w:eastAsia="Calibri" w:cs="Times New Roman"/>
          <w:lang w:val="es-MX"/>
        </w:rPr>
        <w:lastRenderedPageBreak/>
        <w:t>________________________________________________________________________________________________________________________________________________________________</w:t>
      </w:r>
    </w:p>
    <w:p w14:paraId="3BFAD766" w14:textId="2B13E4CD" w:rsidR="00A649A4" w:rsidRDefault="00A649A4" w:rsidP="00080C49">
      <w:pPr>
        <w:pStyle w:val="Ttulo1"/>
        <w:rPr>
          <w:rFonts w:eastAsia="Times New Roman"/>
        </w:rPr>
      </w:pPr>
      <w:bookmarkStart w:id="137" w:name="_Toc82768901"/>
      <w:bookmarkStart w:id="138" w:name="_Toc189804826"/>
      <w:bookmarkStart w:id="139" w:name="_Hlk162955129"/>
      <w:r w:rsidRPr="00A649A4">
        <w:rPr>
          <w:rFonts w:eastAsia="Times New Roman"/>
        </w:rPr>
        <w:t>REVELACIONES PARTICULARES</w:t>
      </w:r>
      <w:bookmarkEnd w:id="137"/>
      <w:bookmarkEnd w:id="138"/>
    </w:p>
    <w:p w14:paraId="72E73C16" w14:textId="77777777" w:rsidR="00142555" w:rsidRPr="00142555" w:rsidRDefault="00142555" w:rsidP="00142555"/>
    <w:p w14:paraId="320C50C9" w14:textId="57613CBB" w:rsidR="003A77F3" w:rsidRPr="00A649A4" w:rsidRDefault="003A77F3" w:rsidP="003A77F3">
      <w:pPr>
        <w:spacing w:before="240"/>
        <w:rPr>
          <w:lang w:val="es-MX" w:eastAsia="es-CR"/>
        </w:rPr>
      </w:pPr>
      <w:r>
        <w:rPr>
          <w:lang w:val="es-MX" w:eastAsia="es-CR"/>
        </w:rPr>
        <w:t xml:space="preserve">Para cada una de las interrogantes planteadas, </w:t>
      </w:r>
      <w:r w:rsidRPr="003A77F3">
        <w:rPr>
          <w:lang w:val="es-MX" w:eastAsia="es-CR"/>
        </w:rPr>
        <w:t xml:space="preserve">indicar si este rubro afecta </w:t>
      </w:r>
      <w:r w:rsidRPr="007910C6">
        <w:rPr>
          <w:b/>
          <w:bCs/>
          <w:lang w:val="es-MX" w:eastAsia="es-CR"/>
        </w:rPr>
        <w:t xml:space="preserve">SI </w:t>
      </w:r>
      <w:r w:rsidRPr="003A77F3">
        <w:rPr>
          <w:lang w:val="es-MX" w:eastAsia="es-CR"/>
        </w:rPr>
        <w:t xml:space="preserve">o </w:t>
      </w:r>
      <w:r w:rsidRPr="007910C6">
        <w:rPr>
          <w:b/>
          <w:bCs/>
          <w:lang w:val="es-MX" w:eastAsia="es-CR"/>
        </w:rPr>
        <w:t xml:space="preserve">NO </w:t>
      </w:r>
      <w:r w:rsidRPr="003A77F3">
        <w:rPr>
          <w:lang w:val="es-MX" w:eastAsia="es-CR"/>
        </w:rPr>
        <w:t>a la institución</w:t>
      </w:r>
      <w:r>
        <w:rPr>
          <w:lang w:val="es-MX" w:eastAsia="es-CR"/>
        </w:rPr>
        <w:t>.</w:t>
      </w:r>
    </w:p>
    <w:p w14:paraId="378E6C35" w14:textId="1C4571BF" w:rsidR="00A649A4" w:rsidRPr="003A77F3" w:rsidRDefault="00A649A4" w:rsidP="003A77F3">
      <w:pPr>
        <w:spacing w:before="240"/>
        <w:rPr>
          <w:b/>
          <w:lang w:val="es-MX" w:eastAsia="es-CR"/>
        </w:rPr>
      </w:pPr>
      <w:r w:rsidRPr="003A77F3">
        <w:rPr>
          <w:b/>
          <w:lang w:val="es-MX" w:eastAsia="es-CR"/>
        </w:rPr>
        <w:t>Eventos conocidos por la opinión pública:</w:t>
      </w:r>
    </w:p>
    <w:p w14:paraId="4F4AA581" w14:textId="47146C93" w:rsidR="00756467" w:rsidRPr="00756467" w:rsidRDefault="00A649A4" w:rsidP="00756467">
      <w:pPr>
        <w:pStyle w:val="Prrafodelista"/>
        <w:numPr>
          <w:ilvl w:val="0"/>
          <w:numId w:val="5"/>
        </w:numPr>
        <w:rPr>
          <w:bCs/>
          <w:lang w:val="es-MX" w:eastAsia="es-CR"/>
        </w:rPr>
      </w:pPr>
      <w:r w:rsidRPr="007473D3">
        <w:rPr>
          <w:bCs/>
          <w:lang w:val="es-MX" w:eastAsia="es-CR"/>
        </w:rPr>
        <w:t>¿La entidad aplica la Ley</w:t>
      </w:r>
      <w:r w:rsidRPr="003A77F3">
        <w:rPr>
          <w:bCs/>
          <w:lang w:val="es-MX" w:eastAsia="es-CR"/>
        </w:rPr>
        <w:t xml:space="preserve"> de reducción de la deuda pública por medio de la venta de activos ociosos o subutilizados del sector público (10092), en su artículo 3: “…Declaratoria de ociosidad? Cada órgano y entidad de la Administración Pública tendrá la obligación de realizar un inventario anual de todos sus bienes muebles e inmuebles y remitir un informe al Ministerio de Hacienda, a más tardar el 31 de marzo de cada año, en el cual identificará, además, los bienes que catalogarían como ociosos. En caso de no existir bienes de este tipo, el jerarca deberá hacerlo constar en el respectivo informe. Corresponderá al máximo jerarca del órgano o ente emitir la resolución razonada por la cual declara el bien como ocioso, así como acreditar que desprenderse de este no generará afectación al servicio público ni a derechos de terceras personas sobre estos. “tiene eventos financieros y contables que salieron a la luz pública en este periodo contable?  </w:t>
      </w:r>
      <w:r w:rsidR="00222CE0">
        <w:rPr>
          <w:lang w:val="es-MX" w:eastAsia="es-CR"/>
        </w:rPr>
        <w:fldChar w:fldCharType="begin"/>
      </w:r>
      <w:r w:rsidR="00222CE0" w:rsidRPr="00222CE0">
        <w:rPr>
          <w:lang w:val="es-MX" w:eastAsia="es-CR"/>
        </w:rPr>
        <w:instrText xml:space="preserve"> LINK </w:instrText>
      </w:r>
      <w:r w:rsidR="00756467">
        <w:rPr>
          <w:lang w:val="es-MX" w:eastAsia="es-CR"/>
        </w:rPr>
        <w:instrText xml:space="preserve">Excel.SheetMacroEnabled.12 "C:\\Users\\gcordero\\Downloads\\Notas diciembre 2024\\Formato_Notas_EEFF_Vinculadas_2024\\Formato_Notas_EEFF_Vinculadas_2024\\15603_T04_2024_Anexo_Estado_Notas_Contables_Vinculadas.xlsm" NOTAS_PARTICULAR!F8C3:F8C4 </w:instrText>
      </w:r>
      <w:r w:rsidR="00222CE0" w:rsidRPr="00222CE0">
        <w:rPr>
          <w:lang w:val="es-MX" w:eastAsia="es-CR"/>
        </w:rPr>
        <w:instrText xml:space="preserve">\a \f 4 \h </w:instrText>
      </w:r>
      <w:r w:rsidR="00222CE0">
        <w:rPr>
          <w:lang w:val="es-MX" w:eastAsia="es-CR"/>
        </w:rPr>
        <w:instrText xml:space="preserve"> \* MERGEFORMAT </w:instrText>
      </w:r>
      <w:r w:rsidR="00222CE0">
        <w:rPr>
          <w:lang w:val="es-MX" w:eastAsia="es-CR"/>
        </w:rPr>
        <w:fldChar w:fldCharType="separate"/>
      </w:r>
    </w:p>
    <w:tbl>
      <w:tblPr>
        <w:tblW w:w="2240" w:type="dxa"/>
        <w:tblCellMar>
          <w:left w:w="70" w:type="dxa"/>
          <w:right w:w="70" w:type="dxa"/>
        </w:tblCellMar>
        <w:tblLook w:val="04A0" w:firstRow="1" w:lastRow="0" w:firstColumn="1" w:lastColumn="0" w:noHBand="0" w:noVBand="1"/>
      </w:tblPr>
      <w:tblGrid>
        <w:gridCol w:w="1344"/>
        <w:gridCol w:w="896"/>
      </w:tblGrid>
      <w:tr w:rsidR="00756467" w:rsidRPr="00756467" w14:paraId="29097DB2" w14:textId="77777777" w:rsidTr="00756467">
        <w:trPr>
          <w:divId w:val="1488592816"/>
          <w:trHeight w:val="288"/>
        </w:trPr>
        <w:tc>
          <w:tcPr>
            <w:tcW w:w="1344" w:type="dxa"/>
            <w:tcBorders>
              <w:top w:val="single" w:sz="4" w:space="0" w:color="auto"/>
              <w:left w:val="single" w:sz="8" w:space="0" w:color="auto"/>
              <w:bottom w:val="single" w:sz="8" w:space="0" w:color="auto"/>
              <w:right w:val="single" w:sz="8" w:space="0" w:color="auto"/>
            </w:tcBorders>
            <w:shd w:val="clear" w:color="000000" w:fill="17365D"/>
            <w:vAlign w:val="center"/>
            <w:hideMark/>
          </w:tcPr>
          <w:p w14:paraId="356A30D0" w14:textId="6C27D606" w:rsidR="00756467" w:rsidRPr="00756467" w:rsidRDefault="00756467" w:rsidP="00756467">
            <w:pPr>
              <w:rPr>
                <w:rFonts w:eastAsia="Times New Roman" w:cs="Calibri"/>
                <w:color w:val="FFFFFF"/>
                <w:sz w:val="18"/>
                <w:szCs w:val="18"/>
                <w:lang w:eastAsia="es-CR"/>
              </w:rPr>
            </w:pPr>
            <w:r w:rsidRPr="00756467">
              <w:rPr>
                <w:rFonts w:eastAsia="Times New Roman" w:cs="Calibri"/>
                <w:color w:val="FFFFFF"/>
                <w:sz w:val="18"/>
                <w:szCs w:val="18"/>
                <w:lang w:eastAsia="es-CR"/>
              </w:rPr>
              <w:t>APLICACIÓN</w:t>
            </w:r>
          </w:p>
        </w:tc>
        <w:tc>
          <w:tcPr>
            <w:tcW w:w="89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DF77F3" w14:textId="77777777" w:rsidR="00756467" w:rsidRPr="00756467" w:rsidRDefault="00756467" w:rsidP="00756467">
            <w:pPr>
              <w:spacing w:after="0" w:line="240" w:lineRule="auto"/>
              <w:jc w:val="center"/>
              <w:rPr>
                <w:rFonts w:eastAsia="Times New Roman" w:cs="Calibri"/>
                <w:b/>
                <w:bCs/>
                <w:i/>
                <w:iCs/>
                <w:color w:val="000000"/>
                <w:sz w:val="18"/>
                <w:szCs w:val="18"/>
                <w:lang w:eastAsia="es-CR"/>
              </w:rPr>
            </w:pPr>
            <w:r w:rsidRPr="00756467">
              <w:rPr>
                <w:rFonts w:eastAsia="Times New Roman" w:cs="Calibri"/>
                <w:b/>
                <w:bCs/>
                <w:i/>
                <w:iCs/>
                <w:color w:val="000000"/>
                <w:sz w:val="18"/>
                <w:szCs w:val="18"/>
                <w:lang w:eastAsia="es-CR"/>
              </w:rPr>
              <w:t>SI</w:t>
            </w:r>
          </w:p>
        </w:tc>
      </w:tr>
    </w:tbl>
    <w:p w14:paraId="72F96B3D" w14:textId="158D95AE" w:rsidR="00A649A4" w:rsidRPr="00222CE0" w:rsidRDefault="00222CE0" w:rsidP="00222CE0">
      <w:pPr>
        <w:spacing w:before="240"/>
        <w:rPr>
          <w:bCs/>
          <w:lang w:val="es-MX" w:eastAsia="es-CR"/>
        </w:rPr>
      </w:pPr>
      <w:r>
        <w:rPr>
          <w:bCs/>
          <w:lang w:val="es-MX" w:eastAsia="es-CR"/>
        </w:rPr>
        <w:fldChar w:fldCharType="end"/>
      </w:r>
      <w:r w:rsidR="00A649A4" w:rsidRPr="00AA2ABC">
        <w:rPr>
          <w:b/>
          <w:sz w:val="22"/>
          <w:u w:val="single"/>
          <w:lang w:val="es-ES_tradnl" w:eastAsia="es-CR"/>
        </w:rPr>
        <w:t>*</w:t>
      </w:r>
      <w:r w:rsidR="00AA2ABC" w:rsidRPr="00AA2ABC">
        <w:rPr>
          <w:b/>
          <w:sz w:val="22"/>
          <w:u w:val="single"/>
          <w:lang w:val="es-ES_tradnl" w:eastAsia="es-CR"/>
        </w:rPr>
        <w:t xml:space="preserve">Realizar </w:t>
      </w:r>
      <w:r w:rsidR="00A649A4" w:rsidRPr="00AA2ABC">
        <w:rPr>
          <w:b/>
          <w:sz w:val="22"/>
          <w:u w:val="single"/>
          <w:lang w:val="es-ES_tradnl" w:eastAsia="es-CR"/>
        </w:rPr>
        <w:t>Revelación</w:t>
      </w:r>
      <w:r w:rsidR="00AA2ABC" w:rsidRPr="00AA2ABC">
        <w:rPr>
          <w:b/>
          <w:sz w:val="22"/>
          <w:u w:val="single"/>
          <w:lang w:val="es-ES_tradnl" w:eastAsia="es-CR"/>
        </w:rPr>
        <w:t xml:space="preserve"> en el apartado</w:t>
      </w:r>
      <w:r w:rsidR="00A649A4" w:rsidRPr="00AA2ABC">
        <w:rPr>
          <w:b/>
          <w:bCs/>
          <w:color w:val="000000"/>
          <w:sz w:val="22"/>
          <w:u w:val="single"/>
          <w:lang w:eastAsia="es-CR"/>
        </w:rPr>
        <w:t xml:space="preserve"> </w:t>
      </w:r>
      <w:r w:rsidR="00AA2ABC" w:rsidRPr="00AA2ABC">
        <w:rPr>
          <w:b/>
          <w:bCs/>
          <w:color w:val="000000"/>
          <w:sz w:val="22"/>
          <w:u w:val="single"/>
          <w:lang w:eastAsia="es-CR"/>
        </w:rPr>
        <w:t>N</w:t>
      </w:r>
      <w:r w:rsidR="00A649A4" w:rsidRPr="00AA2ABC">
        <w:rPr>
          <w:b/>
          <w:bCs/>
          <w:color w:val="000000"/>
          <w:sz w:val="22"/>
          <w:u w:val="single"/>
          <w:lang w:eastAsia="es-CR"/>
        </w:rPr>
        <w:t xml:space="preserve">ota </w:t>
      </w:r>
      <w:r w:rsidR="00AA2ABC" w:rsidRPr="00AA2ABC">
        <w:rPr>
          <w:b/>
          <w:bCs/>
          <w:color w:val="000000"/>
          <w:sz w:val="22"/>
          <w:u w:val="single"/>
          <w:lang w:eastAsia="es-CR"/>
        </w:rPr>
        <w:t>complementaria</w:t>
      </w:r>
      <w:r w:rsidR="00AA2ABC">
        <w:rPr>
          <w:b/>
          <w:bCs/>
          <w:color w:val="000000"/>
          <w:sz w:val="22"/>
          <w:lang w:eastAsia="es-CR"/>
        </w:rPr>
        <w:t xml:space="preserve"> </w:t>
      </w:r>
      <w:r w:rsidR="00AA2ABC" w:rsidRPr="003A77F3">
        <w:rPr>
          <w:b/>
          <w:bCs/>
          <w:color w:val="000000"/>
          <w:sz w:val="22"/>
          <w:lang w:eastAsia="es-CR"/>
        </w:rPr>
        <w:t>“</w:t>
      </w:r>
      <w:r w:rsidR="00AA2ABC">
        <w:rPr>
          <w:b/>
          <w:bCs/>
          <w:color w:val="000000"/>
          <w:sz w:val="22"/>
          <w:lang w:eastAsia="es-CR"/>
        </w:rPr>
        <w:t>Cumplimiento</w:t>
      </w:r>
      <w:r w:rsidR="00A649A4" w:rsidRPr="003A77F3">
        <w:rPr>
          <w:b/>
          <w:bCs/>
          <w:color w:val="000000"/>
          <w:sz w:val="22"/>
          <w:lang w:eastAsia="es-CR"/>
        </w:rPr>
        <w:t xml:space="preserve"> de la Ley 10092”</w:t>
      </w:r>
      <w:r w:rsidR="00A649A4" w:rsidRPr="003A77F3">
        <w:rPr>
          <w:rFonts w:eastAsia="Calibri"/>
          <w:b/>
          <w:sz w:val="22"/>
        </w:rPr>
        <w:t xml:space="preserve"> </w:t>
      </w:r>
      <w:r w:rsidR="00A649A4" w:rsidRPr="003A77F3">
        <w:rPr>
          <w:b/>
          <w:bCs/>
          <w:color w:val="000000"/>
          <w:sz w:val="22"/>
          <w:lang w:eastAsia="es-CR"/>
        </w:rPr>
        <w:t>e incluir el plan de acción para cumplir con el inventario y el procedimiento para emitir la certificación correspondiente</w:t>
      </w:r>
      <w:r w:rsidR="007910C6">
        <w:rPr>
          <w:b/>
          <w:bCs/>
          <w:color w:val="000000"/>
          <w:sz w:val="22"/>
          <w:lang w:eastAsia="es-CR"/>
        </w:rPr>
        <w:t>.</w:t>
      </w:r>
    </w:p>
    <w:p w14:paraId="5EA7F1A2" w14:textId="60411BF0" w:rsidR="008F225D" w:rsidRDefault="008F225D" w:rsidP="008F225D">
      <w:pPr>
        <w:spacing w:after="0" w:line="240" w:lineRule="auto"/>
        <w:ind w:right="51"/>
        <w:rPr>
          <w:szCs w:val="24"/>
        </w:rPr>
      </w:pPr>
      <w:r w:rsidRPr="0075209A">
        <w:rPr>
          <w:szCs w:val="24"/>
        </w:rPr>
        <w:t xml:space="preserve">En relación con el cumplimiento de lo estipulado en el Artículo 3 de la Ley </w:t>
      </w:r>
      <w:r w:rsidR="00DB0279" w:rsidRPr="0075209A">
        <w:rPr>
          <w:szCs w:val="24"/>
        </w:rPr>
        <w:t>N.º</w:t>
      </w:r>
      <w:r w:rsidRPr="0075209A">
        <w:rPr>
          <w:szCs w:val="24"/>
        </w:rPr>
        <w:t xml:space="preserve"> </w:t>
      </w:r>
      <w:r w:rsidRPr="0075209A">
        <w:rPr>
          <w:szCs w:val="24"/>
          <w:lang w:val="es-MX"/>
        </w:rPr>
        <w:t>10092</w:t>
      </w:r>
      <w:r w:rsidRPr="0075209A">
        <w:rPr>
          <w:szCs w:val="24"/>
        </w:rPr>
        <w:t xml:space="preserve"> “Reducción de la deuda pública por medio de la venta de activos ociosos o subutilizados del Sector Público”, en el cual se obliga a las entidades del Sector Público a realizar un inventario anual, con el fin de identificar la existencia de activos ociosos, los cuales deben informarse al Ministerio de Hacienda a más tardar el </w:t>
      </w:r>
      <w:r w:rsidR="00796636">
        <w:rPr>
          <w:szCs w:val="24"/>
        </w:rPr>
        <w:t>31</w:t>
      </w:r>
      <w:r>
        <w:rPr>
          <w:szCs w:val="24"/>
        </w:rPr>
        <w:t xml:space="preserve"> de junio</w:t>
      </w:r>
      <w:r w:rsidRPr="0075209A">
        <w:rPr>
          <w:szCs w:val="24"/>
        </w:rPr>
        <w:t xml:space="preserve"> de cada año</w:t>
      </w:r>
      <w:r>
        <w:rPr>
          <w:szCs w:val="24"/>
        </w:rPr>
        <w:t xml:space="preserve">. </w:t>
      </w:r>
      <w:r>
        <w:rPr>
          <w:rFonts w:cs="Calibri"/>
        </w:rPr>
        <w:t>Ver al respecto anexo adjunto a estas notas en nota complementaria</w:t>
      </w:r>
      <w:r w:rsidRPr="0075209A">
        <w:rPr>
          <w:szCs w:val="24"/>
        </w:rPr>
        <w:t>.</w:t>
      </w:r>
    </w:p>
    <w:p w14:paraId="2A678824" w14:textId="77777777" w:rsidR="00AA7229" w:rsidRDefault="00AA7229" w:rsidP="00AA7229">
      <w:pPr>
        <w:rPr>
          <w:rFonts w:eastAsia="Calibri"/>
          <w:szCs w:val="24"/>
        </w:rPr>
      </w:pPr>
    </w:p>
    <w:p w14:paraId="2F67F914" w14:textId="4F2BF9AD" w:rsidR="00756467" w:rsidRPr="00DB0279" w:rsidRDefault="00A649A4" w:rsidP="00756467">
      <w:pPr>
        <w:pStyle w:val="Prrafodelista"/>
        <w:numPr>
          <w:ilvl w:val="0"/>
          <w:numId w:val="5"/>
        </w:numPr>
        <w:spacing w:before="240"/>
        <w:rPr>
          <w:color w:val="000000"/>
          <w:lang w:eastAsia="es-CR"/>
        </w:rPr>
      </w:pPr>
      <w:r w:rsidRPr="007473D3">
        <w:rPr>
          <w:color w:val="000000"/>
          <w:lang w:eastAsia="es-CR"/>
        </w:rPr>
        <w:t xml:space="preserve">¿La </w:t>
      </w:r>
      <w:bookmarkStart w:id="140" w:name="_Hlk169161914"/>
      <w:r w:rsidRPr="007473D3">
        <w:rPr>
          <w:color w:val="000000"/>
          <w:lang w:eastAsia="es-CR"/>
        </w:rPr>
        <w:t>Entidad está registrando sus</w:t>
      </w:r>
      <w:r w:rsidRPr="003A77F3">
        <w:rPr>
          <w:color w:val="000000"/>
          <w:lang w:eastAsia="es-CR"/>
        </w:rPr>
        <w:t xml:space="preserve"> asientos contables a partir del 01 de enero de 2017, basado en el Plan de Cuentas NICSP, en la última versión</w:t>
      </w:r>
      <w:bookmarkEnd w:id="140"/>
      <w:r w:rsidRPr="003A77F3">
        <w:rPr>
          <w:color w:val="000000"/>
          <w:lang w:eastAsia="es-CR"/>
        </w:rPr>
        <w:t>?</w:t>
      </w:r>
      <w:r w:rsidR="00222CE0">
        <w:rPr>
          <w:lang w:eastAsia="es-CR"/>
        </w:rPr>
        <w:fldChar w:fldCharType="begin"/>
      </w:r>
      <w:r w:rsidR="00222CE0">
        <w:rPr>
          <w:lang w:eastAsia="es-CR"/>
        </w:rPr>
        <w:instrText xml:space="preserve"> LINK </w:instrText>
      </w:r>
      <w:r w:rsidR="00756467">
        <w:rPr>
          <w:lang w:eastAsia="es-CR"/>
        </w:rPr>
        <w:instrText xml:space="preserve">Excel.SheetMacroEnabled.12 "C:\\Users\\gcordero\\Downloads\\Notas diciembre 2024\\Formato_Notas_EEFF_Vinculadas_2024\\Formato_Notas_EEFF_Vinculadas_2024\\15603_T04_2024_Anexo_Estado_Notas_Contables_Vinculadas.xlsm" NOTAS_PARTICULAR!F9C3:F9C4 </w:instrText>
      </w:r>
      <w:r w:rsidR="00222CE0">
        <w:rPr>
          <w:lang w:eastAsia="es-CR"/>
        </w:rPr>
        <w:instrText xml:space="preserve">\a \f 4 \h  \* MERGEFORMAT </w:instrText>
      </w:r>
      <w:r w:rsidR="00222CE0">
        <w:rPr>
          <w:lang w:eastAsia="es-CR"/>
        </w:rPr>
        <w:fldChar w:fldCharType="separate"/>
      </w:r>
    </w:p>
    <w:tbl>
      <w:tblPr>
        <w:tblW w:w="2340" w:type="dxa"/>
        <w:tblCellMar>
          <w:left w:w="70" w:type="dxa"/>
          <w:right w:w="70" w:type="dxa"/>
        </w:tblCellMar>
        <w:tblLook w:val="04A0" w:firstRow="1" w:lastRow="0" w:firstColumn="1" w:lastColumn="0" w:noHBand="0" w:noVBand="1"/>
      </w:tblPr>
      <w:tblGrid>
        <w:gridCol w:w="1160"/>
        <w:gridCol w:w="1180"/>
      </w:tblGrid>
      <w:tr w:rsidR="00756467" w:rsidRPr="00756467" w14:paraId="0E52E6ED" w14:textId="77777777" w:rsidTr="00756467">
        <w:trPr>
          <w:divId w:val="1546792992"/>
          <w:trHeight w:val="288"/>
        </w:trPr>
        <w:tc>
          <w:tcPr>
            <w:tcW w:w="116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5F1E2CAF" w14:textId="1D71BCE2" w:rsidR="00756467" w:rsidRPr="00756467" w:rsidRDefault="00756467" w:rsidP="00756467">
            <w:pPr>
              <w:jc w:val="center"/>
              <w:rPr>
                <w:rFonts w:eastAsia="Times New Roman" w:cs="Calibri"/>
                <w:color w:val="FFFFFF"/>
                <w:sz w:val="18"/>
                <w:szCs w:val="18"/>
                <w:lang w:eastAsia="es-CR"/>
              </w:rPr>
            </w:pPr>
            <w:r w:rsidRPr="00756467">
              <w:rPr>
                <w:rFonts w:eastAsia="Times New Roman" w:cs="Calibri"/>
                <w:color w:val="FFFFFF"/>
                <w:sz w:val="18"/>
                <w:szCs w:val="18"/>
                <w:lang w:eastAsia="es-CR"/>
              </w:rPr>
              <w:lastRenderedPageBreak/>
              <w:t>APLICACIÓN</w:t>
            </w:r>
          </w:p>
        </w:tc>
        <w:tc>
          <w:tcPr>
            <w:tcW w:w="1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A50F91" w14:textId="77777777" w:rsidR="00756467" w:rsidRPr="00756467" w:rsidRDefault="00756467" w:rsidP="00756467">
            <w:pPr>
              <w:spacing w:after="0" w:line="240" w:lineRule="auto"/>
              <w:jc w:val="center"/>
              <w:rPr>
                <w:rFonts w:eastAsia="Times New Roman" w:cs="Calibri"/>
                <w:b/>
                <w:bCs/>
                <w:i/>
                <w:iCs/>
                <w:color w:val="000000"/>
                <w:sz w:val="18"/>
                <w:szCs w:val="18"/>
                <w:lang w:eastAsia="es-CR"/>
              </w:rPr>
            </w:pPr>
            <w:r w:rsidRPr="00756467">
              <w:rPr>
                <w:rFonts w:eastAsia="Times New Roman" w:cs="Calibri"/>
                <w:b/>
                <w:bCs/>
                <w:i/>
                <w:iCs/>
                <w:color w:val="000000"/>
                <w:sz w:val="18"/>
                <w:szCs w:val="18"/>
                <w:lang w:eastAsia="es-CR"/>
              </w:rPr>
              <w:t>NO</w:t>
            </w:r>
          </w:p>
        </w:tc>
      </w:tr>
    </w:tbl>
    <w:p w14:paraId="2341467D" w14:textId="77777777" w:rsidR="00DB0279" w:rsidRDefault="00222CE0" w:rsidP="00AA7229">
      <w:pPr>
        <w:rPr>
          <w:lang w:eastAsia="es-CR"/>
        </w:rPr>
      </w:pPr>
      <w:r>
        <w:rPr>
          <w:lang w:eastAsia="es-CR"/>
        </w:rPr>
        <w:fldChar w:fldCharType="end"/>
      </w:r>
      <w:bookmarkStart w:id="141" w:name="_Hlk41917856"/>
    </w:p>
    <w:p w14:paraId="122F38F1" w14:textId="65164AD2" w:rsidR="00A649A4" w:rsidRPr="009A4467" w:rsidRDefault="00A649A4" w:rsidP="00AA7229">
      <w:pPr>
        <w:rPr>
          <w:rFonts w:eastAsia="Calibri"/>
          <w:b/>
          <w:bCs/>
        </w:rPr>
      </w:pPr>
      <w:r w:rsidRPr="009A4467">
        <w:rPr>
          <w:rFonts w:eastAsia="Calibri"/>
          <w:b/>
          <w:bCs/>
        </w:rPr>
        <w:t>Revelación:</w:t>
      </w:r>
    </w:p>
    <w:p w14:paraId="3619E872" w14:textId="77777777" w:rsidR="008F225D" w:rsidRDefault="008F225D" w:rsidP="008F225D">
      <w:pPr>
        <w:pStyle w:val="Prrafodelista"/>
        <w:spacing w:before="240"/>
        <w:ind w:left="0"/>
        <w:rPr>
          <w:szCs w:val="24"/>
          <w:lang w:val="es-ES"/>
        </w:rPr>
      </w:pPr>
      <w:bookmarkStart w:id="142" w:name="_Hlk169161924"/>
      <w:bookmarkEnd w:id="141"/>
      <w:r w:rsidRPr="00EB11D5">
        <w:rPr>
          <w:szCs w:val="24"/>
          <w:lang w:val="es-ES"/>
        </w:rPr>
        <w:t xml:space="preserve">Hay que reiterar que la Municipalidad de Buenos Aires inicio la implementación de las NICSP en el año 2021 fecha a partir de la cual, se están realizando los asientos contables con base </w:t>
      </w:r>
      <w:r w:rsidRPr="00EB11D5">
        <w:rPr>
          <w:color w:val="000000"/>
          <w:szCs w:val="24"/>
          <w:lang w:eastAsia="es-CR"/>
        </w:rPr>
        <w:t>en la última versión</w:t>
      </w:r>
      <w:r w:rsidRPr="00EB11D5">
        <w:rPr>
          <w:szCs w:val="24"/>
          <w:lang w:val="es-ES"/>
        </w:rPr>
        <w:t xml:space="preserve"> el Plan de Cuentas NICSP, según corresponde</w:t>
      </w:r>
    </w:p>
    <w:p w14:paraId="4371DF81" w14:textId="77777777" w:rsidR="00142555" w:rsidRDefault="00142555" w:rsidP="00142555">
      <w:pPr>
        <w:pStyle w:val="Prrafodelista"/>
        <w:spacing w:before="240"/>
        <w:rPr>
          <w:color w:val="000000"/>
          <w:lang w:eastAsia="es-CR"/>
        </w:rPr>
      </w:pPr>
    </w:p>
    <w:p w14:paraId="6EBD8934" w14:textId="61F4F099" w:rsidR="00756467" w:rsidRPr="00230A31" w:rsidRDefault="00A649A4" w:rsidP="00557C82">
      <w:pPr>
        <w:pStyle w:val="Prrafodelista"/>
        <w:numPr>
          <w:ilvl w:val="0"/>
          <w:numId w:val="5"/>
        </w:numPr>
        <w:rPr>
          <w:color w:val="000000"/>
          <w:lang w:eastAsia="es-CR"/>
        </w:rPr>
      </w:pPr>
      <w:r w:rsidRPr="00230A31">
        <w:rPr>
          <w:color w:val="000000"/>
          <w:lang w:eastAsia="es-CR"/>
        </w:rPr>
        <w:t>¿</w:t>
      </w:r>
      <w:bookmarkStart w:id="143" w:name="_Hlk169161933"/>
      <w:r w:rsidRPr="00230A31">
        <w:rPr>
          <w:color w:val="000000"/>
          <w:lang w:eastAsia="es-CR"/>
        </w:rPr>
        <w:t>Su institución realizó reclasificaciones de cuentas, en el periodo actual</w:t>
      </w:r>
      <w:bookmarkEnd w:id="143"/>
      <w:r w:rsidRPr="00230A31">
        <w:rPr>
          <w:color w:val="000000"/>
          <w:lang w:eastAsia="es-CR"/>
        </w:rPr>
        <w:t>?</w:t>
      </w:r>
      <w:bookmarkEnd w:id="142"/>
      <w:r w:rsidR="0011353D" w:rsidRPr="00230A31">
        <w:rPr>
          <w:lang w:eastAsia="es-CR"/>
        </w:rPr>
        <w:fldChar w:fldCharType="begin"/>
      </w:r>
      <w:r w:rsidR="0011353D" w:rsidRPr="00230A31">
        <w:rPr>
          <w:lang w:eastAsia="es-CR"/>
        </w:rPr>
        <w:instrText xml:space="preserve"> LINK </w:instrText>
      </w:r>
      <w:r w:rsidR="00756467" w:rsidRPr="00230A31">
        <w:rPr>
          <w:lang w:eastAsia="es-CR"/>
        </w:rPr>
        <w:instrText xml:space="preserve">Excel.SheetMacroEnabled.12 "C:\\Users\\gcordero\\Downloads\\Notas diciembre 2024\\Formato_Notas_EEFF_Vinculadas_2024\\Formato_Notas_EEFF_Vinculadas_2024\\15603_T04_2024_Anexo_Estado_Notas_Contables_Vinculadas.xlsm" NOTAS_PARTICULAR!F10C3:F10C4 </w:instrText>
      </w:r>
      <w:r w:rsidR="0011353D" w:rsidRPr="00230A31">
        <w:rPr>
          <w:lang w:eastAsia="es-CR"/>
        </w:rPr>
        <w:instrText xml:space="preserve">\a \f 4 \h </w:instrText>
      </w:r>
      <w:r w:rsidR="00230A31">
        <w:rPr>
          <w:lang w:eastAsia="es-CR"/>
        </w:rPr>
        <w:instrText xml:space="preserve"> \* MERGEFORMAT </w:instrText>
      </w:r>
      <w:r w:rsidR="0011353D" w:rsidRPr="00230A31">
        <w:rPr>
          <w:lang w:eastAsia="es-CR"/>
        </w:rPr>
        <w:fldChar w:fldCharType="separate"/>
      </w:r>
    </w:p>
    <w:tbl>
      <w:tblPr>
        <w:tblW w:w="2260" w:type="dxa"/>
        <w:tblCellMar>
          <w:left w:w="70" w:type="dxa"/>
          <w:right w:w="70" w:type="dxa"/>
        </w:tblCellMar>
        <w:tblLook w:val="04A0" w:firstRow="1" w:lastRow="0" w:firstColumn="1" w:lastColumn="0" w:noHBand="0" w:noVBand="1"/>
      </w:tblPr>
      <w:tblGrid>
        <w:gridCol w:w="1120"/>
        <w:gridCol w:w="1140"/>
      </w:tblGrid>
      <w:tr w:rsidR="00756467" w:rsidRPr="00230A31" w14:paraId="03A7662F" w14:textId="77777777" w:rsidTr="00756467">
        <w:trPr>
          <w:divId w:val="825824481"/>
          <w:trHeight w:val="345"/>
        </w:trPr>
        <w:tc>
          <w:tcPr>
            <w:tcW w:w="112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19E80751" w14:textId="4807CFD9" w:rsidR="00756467" w:rsidRPr="00230A31" w:rsidRDefault="00756467" w:rsidP="00756467">
            <w:pPr>
              <w:spacing w:after="0" w:line="240" w:lineRule="auto"/>
              <w:jc w:val="center"/>
              <w:rPr>
                <w:rFonts w:eastAsia="Times New Roman" w:cs="Calibri"/>
                <w:color w:val="FFFFFF"/>
                <w:sz w:val="18"/>
                <w:szCs w:val="18"/>
                <w:lang w:eastAsia="es-CR"/>
              </w:rPr>
            </w:pPr>
            <w:r w:rsidRPr="00230A31">
              <w:rPr>
                <w:rFonts w:eastAsia="Times New Roman" w:cs="Calibri"/>
                <w:color w:val="FFFFFF"/>
                <w:sz w:val="18"/>
                <w:szCs w:val="18"/>
                <w:lang w:eastAsia="es-CR"/>
              </w:rPr>
              <w:t>APLICACIÓN</w:t>
            </w:r>
          </w:p>
        </w:tc>
        <w:tc>
          <w:tcPr>
            <w:tcW w:w="11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6D7827" w14:textId="43849C2B" w:rsidR="00756467" w:rsidRPr="00230A31" w:rsidRDefault="0033030F" w:rsidP="00756467">
            <w:pPr>
              <w:spacing w:after="0" w:line="240" w:lineRule="auto"/>
              <w:jc w:val="center"/>
              <w:rPr>
                <w:rFonts w:eastAsia="Times New Roman" w:cs="Calibri"/>
                <w:b/>
                <w:bCs/>
                <w:i/>
                <w:iCs/>
                <w:color w:val="000000"/>
                <w:sz w:val="18"/>
                <w:szCs w:val="18"/>
                <w:lang w:eastAsia="es-CR"/>
              </w:rPr>
            </w:pPr>
            <w:r w:rsidRPr="00230A31">
              <w:rPr>
                <w:rFonts w:eastAsia="Times New Roman" w:cs="Calibri"/>
                <w:b/>
                <w:bCs/>
                <w:i/>
                <w:iCs/>
                <w:color w:val="000000"/>
                <w:sz w:val="18"/>
                <w:szCs w:val="18"/>
                <w:lang w:eastAsia="es-CR"/>
              </w:rPr>
              <w:t>SI</w:t>
            </w:r>
          </w:p>
        </w:tc>
      </w:tr>
    </w:tbl>
    <w:p w14:paraId="4E6680E6" w14:textId="77777777" w:rsidR="00A43C71" w:rsidRDefault="0011353D" w:rsidP="00A43C71">
      <w:pPr>
        <w:rPr>
          <w:lang w:eastAsia="es-CR"/>
        </w:rPr>
      </w:pPr>
      <w:r w:rsidRPr="00230A31">
        <w:rPr>
          <w:lang w:eastAsia="es-CR"/>
        </w:rPr>
        <w:fldChar w:fldCharType="end"/>
      </w:r>
    </w:p>
    <w:p w14:paraId="54D3EFCD" w14:textId="6EFF2CCC" w:rsidR="00080C49" w:rsidRDefault="00A649A4" w:rsidP="00A43C71">
      <w:pPr>
        <w:rPr>
          <w:color w:val="000000"/>
          <w:lang w:eastAsia="es-CR"/>
        </w:rPr>
      </w:pPr>
      <w:r w:rsidRPr="00A649A4">
        <w:rPr>
          <w:color w:val="000000"/>
          <w:lang w:eastAsia="es-CR"/>
        </w:rPr>
        <w:t xml:space="preserve">Si su respuesta fue positiva, indicar en cuales cuentas se realizó las reclasificaciones. </w:t>
      </w:r>
    </w:p>
    <w:p w14:paraId="024CCCE4" w14:textId="6DF11588" w:rsidR="00A649A4" w:rsidRPr="00080C49" w:rsidRDefault="00A649A4" w:rsidP="00080C49">
      <w:pPr>
        <w:spacing w:before="240"/>
        <w:rPr>
          <w:color w:val="000000"/>
          <w:lang w:eastAsia="es-CR"/>
        </w:rPr>
      </w:pPr>
      <w:r w:rsidRPr="009A4467">
        <w:rPr>
          <w:b/>
          <w:bCs/>
          <w:color w:val="000000"/>
          <w:lang w:eastAsia="es-CR"/>
        </w:rPr>
        <w:t>Revelación</w:t>
      </w:r>
      <w:r w:rsidRPr="009A4467">
        <w:rPr>
          <w:b/>
          <w:color w:val="000000"/>
          <w:lang w:eastAsia="es-CR"/>
        </w:rPr>
        <w:t xml:space="preserve">: </w:t>
      </w:r>
    </w:p>
    <w:p w14:paraId="24CA7636" w14:textId="7BA030F4" w:rsidR="00A649A4" w:rsidRDefault="00B525AA" w:rsidP="008648FD">
      <w:pPr>
        <w:rPr>
          <w:rFonts w:eastAsia="Calibri"/>
        </w:rPr>
      </w:pPr>
      <w:r>
        <w:rPr>
          <w:noProof/>
          <w:lang w:eastAsia="es-CR"/>
        </w:rPr>
        <w:drawing>
          <wp:anchor distT="0" distB="0" distL="114300" distR="114300" simplePos="0" relativeHeight="251670528" behindDoc="0" locked="0" layoutInCell="1" allowOverlap="1" wp14:anchorId="3B55AA9A" wp14:editId="45F37C4C">
            <wp:simplePos x="0" y="0"/>
            <wp:positionH relativeFrom="column">
              <wp:posOffset>-245745</wp:posOffset>
            </wp:positionH>
            <wp:positionV relativeFrom="paragraph">
              <wp:posOffset>1920240</wp:posOffset>
            </wp:positionV>
            <wp:extent cx="5925820" cy="1590040"/>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25820" cy="1590040"/>
                    </a:xfrm>
                    <a:prstGeom prst="rect">
                      <a:avLst/>
                    </a:prstGeom>
                  </pic:spPr>
                </pic:pic>
              </a:graphicData>
            </a:graphic>
            <wp14:sizeRelH relativeFrom="margin">
              <wp14:pctWidth>0</wp14:pctWidth>
            </wp14:sizeRelH>
            <wp14:sizeRelV relativeFrom="margin">
              <wp14:pctHeight>0</wp14:pctHeight>
            </wp14:sizeRelV>
          </wp:anchor>
        </w:drawing>
      </w:r>
      <w:r w:rsidR="00230A31" w:rsidRPr="00557C82">
        <w:rPr>
          <w:noProof/>
          <w:lang w:eastAsia="es-CR"/>
        </w:rPr>
        <w:drawing>
          <wp:anchor distT="0" distB="0" distL="114300" distR="114300" simplePos="0" relativeHeight="251669504" behindDoc="0" locked="0" layoutInCell="1" allowOverlap="1" wp14:anchorId="7AEBFFEA" wp14:editId="630BD432">
            <wp:simplePos x="0" y="0"/>
            <wp:positionH relativeFrom="column">
              <wp:posOffset>-245745</wp:posOffset>
            </wp:positionH>
            <wp:positionV relativeFrom="paragraph">
              <wp:posOffset>790575</wp:posOffset>
            </wp:positionV>
            <wp:extent cx="5926455" cy="969645"/>
            <wp:effectExtent l="0" t="0" r="0" b="190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26455" cy="969645"/>
                    </a:xfrm>
                    <a:prstGeom prst="rect">
                      <a:avLst/>
                    </a:prstGeom>
                    <a:noFill/>
                    <a:ln>
                      <a:noFill/>
                    </a:ln>
                  </pic:spPr>
                </pic:pic>
              </a:graphicData>
            </a:graphic>
            <wp14:sizeRelV relativeFrom="margin">
              <wp14:pctHeight>0</wp14:pctHeight>
            </wp14:sizeRelV>
          </wp:anchor>
        </w:drawing>
      </w:r>
      <w:r w:rsidR="0033030F">
        <w:rPr>
          <w:rFonts w:eastAsia="Calibri"/>
        </w:rPr>
        <w:t>De acuerdo con información suministrada por Contabilidad Nacional,</w:t>
      </w:r>
      <w:r w:rsidR="00C914DB">
        <w:rPr>
          <w:rFonts w:eastAsia="Calibri"/>
        </w:rPr>
        <w:t xml:space="preserve"> respecto a la nueva versión del catálogo contable (V.11), se realizaron reclasificación de cuentas en aquellas que al cierre de </w:t>
      </w:r>
      <w:r w:rsidR="0034405E">
        <w:rPr>
          <w:rFonts w:eastAsia="Calibri"/>
        </w:rPr>
        <w:t>diciembre 2024</w:t>
      </w:r>
      <w:r w:rsidR="00314081">
        <w:rPr>
          <w:rFonts w:eastAsia="Calibri"/>
        </w:rPr>
        <w:t xml:space="preserve"> </w:t>
      </w:r>
      <w:r w:rsidR="00C914DB">
        <w:rPr>
          <w:rFonts w:eastAsia="Calibri"/>
        </w:rPr>
        <w:t>tenían saldos</w:t>
      </w:r>
      <w:r>
        <w:rPr>
          <w:rFonts w:eastAsia="Calibri"/>
        </w:rPr>
        <w:t>, dicha reclasificación se hizo con el asiento 30569.</w:t>
      </w:r>
    </w:p>
    <w:p w14:paraId="2A786B4A" w14:textId="57FE8011" w:rsidR="00230A31" w:rsidRDefault="00230A31" w:rsidP="008648FD">
      <w:pPr>
        <w:rPr>
          <w:rFonts w:eastAsia="Calibri"/>
          <w:szCs w:val="24"/>
        </w:rPr>
      </w:pPr>
    </w:p>
    <w:p w14:paraId="5139456B" w14:textId="77777777" w:rsidR="00B525AA" w:rsidRPr="00142555" w:rsidRDefault="00B525AA" w:rsidP="008648FD">
      <w:pPr>
        <w:rPr>
          <w:rFonts w:eastAsia="Calibri"/>
          <w:szCs w:val="24"/>
        </w:rPr>
      </w:pPr>
    </w:p>
    <w:p w14:paraId="18B8AB5D" w14:textId="6F741C34" w:rsidR="00756467" w:rsidRPr="00230A31" w:rsidRDefault="00A649A4" w:rsidP="00A43C71">
      <w:pPr>
        <w:pStyle w:val="Prrafodelista"/>
        <w:numPr>
          <w:ilvl w:val="0"/>
          <w:numId w:val="5"/>
        </w:numPr>
        <w:rPr>
          <w:color w:val="000000"/>
          <w:lang w:eastAsia="es-CR"/>
        </w:rPr>
      </w:pPr>
      <w:r w:rsidRPr="00142555">
        <w:rPr>
          <w:color w:val="000000"/>
          <w:lang w:eastAsia="es-CR"/>
        </w:rPr>
        <w:lastRenderedPageBreak/>
        <w:t>¿</w:t>
      </w:r>
      <w:bookmarkStart w:id="144" w:name="_Hlk169161941"/>
      <w:r w:rsidRPr="00142555">
        <w:rPr>
          <w:color w:val="000000"/>
          <w:lang w:eastAsia="es-CR"/>
        </w:rPr>
        <w:t xml:space="preserve">Su institución realiza </w:t>
      </w:r>
      <w:r w:rsidRPr="00142555">
        <w:rPr>
          <w:color w:val="000000"/>
          <w:lang w:val="es-ES" w:eastAsia="es-CR"/>
        </w:rPr>
        <w:t>depuración de cuentas, en el periodo actual</w:t>
      </w:r>
      <w:bookmarkEnd w:id="144"/>
      <w:r w:rsidRPr="00142555">
        <w:rPr>
          <w:color w:val="000000"/>
          <w:lang w:val="es-ES" w:eastAsia="es-CR"/>
        </w:rPr>
        <w:t>?</w:t>
      </w:r>
      <w:r w:rsidR="0011353D">
        <w:rPr>
          <w:lang w:eastAsia="es-CR"/>
        </w:rPr>
        <w:fldChar w:fldCharType="begin"/>
      </w:r>
      <w:r w:rsidR="0011353D">
        <w:rPr>
          <w:lang w:eastAsia="es-CR"/>
        </w:rPr>
        <w:instrText xml:space="preserve"> LINK </w:instrText>
      </w:r>
      <w:r w:rsidR="00756467">
        <w:rPr>
          <w:lang w:eastAsia="es-CR"/>
        </w:rPr>
        <w:instrText xml:space="preserve">Excel.SheetMacroEnabled.12 "C:\\Users\\gcordero\\Downloads\\Notas diciembre 2024\\Formato_Notas_EEFF_Vinculadas_2024\\Formato_Notas_EEFF_Vinculadas_2024\\15603_T04_2024_Anexo_Estado_Notas_Contables_Vinculadas.xlsm" NOTAS_PARTICULAR!F11C3:F11C4 </w:instrText>
      </w:r>
      <w:r w:rsidR="0011353D">
        <w:rPr>
          <w:lang w:eastAsia="es-CR"/>
        </w:rPr>
        <w:instrText xml:space="preserve">\a \f 4 \h </w:instrText>
      </w:r>
      <w:r w:rsidR="0011353D">
        <w:rPr>
          <w:lang w:eastAsia="es-CR"/>
        </w:rPr>
        <w:fldChar w:fldCharType="separate"/>
      </w:r>
    </w:p>
    <w:tbl>
      <w:tblPr>
        <w:tblW w:w="2260" w:type="dxa"/>
        <w:tblCellMar>
          <w:left w:w="70" w:type="dxa"/>
          <w:right w:w="70" w:type="dxa"/>
        </w:tblCellMar>
        <w:tblLook w:val="04A0" w:firstRow="1" w:lastRow="0" w:firstColumn="1" w:lastColumn="0" w:noHBand="0" w:noVBand="1"/>
      </w:tblPr>
      <w:tblGrid>
        <w:gridCol w:w="1120"/>
        <w:gridCol w:w="1140"/>
      </w:tblGrid>
      <w:tr w:rsidR="00756467" w:rsidRPr="00756467" w14:paraId="24BD2282" w14:textId="77777777" w:rsidTr="00756467">
        <w:trPr>
          <w:divId w:val="1993440911"/>
          <w:trHeight w:val="345"/>
        </w:trPr>
        <w:tc>
          <w:tcPr>
            <w:tcW w:w="112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6FB87F8A" w14:textId="06E19FB6" w:rsidR="00756467" w:rsidRPr="00756467" w:rsidRDefault="00756467" w:rsidP="00756467">
            <w:pPr>
              <w:spacing w:after="0" w:line="240" w:lineRule="auto"/>
              <w:jc w:val="center"/>
              <w:rPr>
                <w:rFonts w:eastAsia="Times New Roman" w:cs="Calibri"/>
                <w:color w:val="FFFFFF"/>
                <w:sz w:val="18"/>
                <w:szCs w:val="18"/>
                <w:lang w:eastAsia="es-CR"/>
              </w:rPr>
            </w:pPr>
            <w:r w:rsidRPr="00756467">
              <w:rPr>
                <w:rFonts w:eastAsia="Times New Roman" w:cs="Calibri"/>
                <w:color w:val="FFFFFF"/>
                <w:sz w:val="18"/>
                <w:szCs w:val="18"/>
                <w:lang w:eastAsia="es-CR"/>
              </w:rPr>
              <w:t>APLICACIÓN</w:t>
            </w:r>
          </w:p>
        </w:tc>
        <w:tc>
          <w:tcPr>
            <w:tcW w:w="11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01D10A" w14:textId="77777777" w:rsidR="00756467" w:rsidRPr="00756467" w:rsidRDefault="00756467" w:rsidP="00756467">
            <w:pPr>
              <w:spacing w:after="0" w:line="240" w:lineRule="auto"/>
              <w:jc w:val="center"/>
              <w:rPr>
                <w:rFonts w:eastAsia="Times New Roman" w:cs="Calibri"/>
                <w:b/>
                <w:bCs/>
                <w:i/>
                <w:iCs/>
                <w:color w:val="000000"/>
                <w:sz w:val="18"/>
                <w:szCs w:val="18"/>
                <w:lang w:eastAsia="es-CR"/>
              </w:rPr>
            </w:pPr>
            <w:r w:rsidRPr="00756467">
              <w:rPr>
                <w:rFonts w:eastAsia="Times New Roman" w:cs="Calibri"/>
                <w:b/>
                <w:bCs/>
                <w:i/>
                <w:iCs/>
                <w:color w:val="000000"/>
                <w:sz w:val="18"/>
                <w:szCs w:val="18"/>
                <w:lang w:eastAsia="es-CR"/>
              </w:rPr>
              <w:t>NO</w:t>
            </w:r>
          </w:p>
        </w:tc>
      </w:tr>
    </w:tbl>
    <w:p w14:paraId="037AA4A8" w14:textId="3DDF4F42" w:rsidR="00A43C71" w:rsidRPr="00A43C71" w:rsidRDefault="0011353D" w:rsidP="00A43C71">
      <w:pPr>
        <w:rPr>
          <w:color w:val="000000"/>
          <w:lang w:eastAsia="es-CR"/>
        </w:rPr>
      </w:pPr>
      <w:r>
        <w:rPr>
          <w:lang w:eastAsia="es-CR"/>
        </w:rPr>
        <w:fldChar w:fldCharType="end"/>
      </w:r>
    </w:p>
    <w:p w14:paraId="260A3A57" w14:textId="4D6BDBE2" w:rsidR="00A649A4" w:rsidRPr="00A649A4" w:rsidRDefault="00A649A4" w:rsidP="00080C49">
      <w:pPr>
        <w:spacing w:before="240"/>
        <w:rPr>
          <w:color w:val="000000"/>
          <w:lang w:eastAsia="es-CR"/>
        </w:rPr>
      </w:pPr>
      <w:r w:rsidRPr="00A649A4">
        <w:rPr>
          <w:color w:val="000000"/>
          <w:lang w:eastAsia="es-CR"/>
        </w:rPr>
        <w:t xml:space="preserve">Si su respuesta fue positiva, indicar en cuales cuentas se realizó las depuraciones. </w:t>
      </w:r>
    </w:p>
    <w:p w14:paraId="7670C8E0" w14:textId="2F4FFB0B" w:rsidR="00A649A4" w:rsidRPr="009A4467" w:rsidRDefault="00AA2ABC" w:rsidP="00080C49">
      <w:pPr>
        <w:spacing w:before="240"/>
        <w:rPr>
          <w:b/>
          <w:color w:val="000000"/>
          <w:sz w:val="22"/>
          <w:lang w:eastAsia="es-CR"/>
        </w:rPr>
      </w:pPr>
      <w:r w:rsidRPr="00AA2ABC">
        <w:rPr>
          <w:b/>
          <w:sz w:val="22"/>
          <w:u w:val="single"/>
          <w:lang w:val="es-ES_tradnl" w:eastAsia="es-CR"/>
        </w:rPr>
        <w:t>*Realizar Revelación en el apartado</w:t>
      </w:r>
      <w:r w:rsidRPr="00AA2ABC">
        <w:rPr>
          <w:b/>
          <w:bCs/>
          <w:color w:val="000000"/>
          <w:sz w:val="22"/>
          <w:u w:val="single"/>
          <w:lang w:eastAsia="es-CR"/>
        </w:rPr>
        <w:t xml:space="preserve"> Nota complementaria</w:t>
      </w:r>
      <w:r>
        <w:rPr>
          <w:b/>
          <w:bCs/>
          <w:color w:val="000000"/>
          <w:sz w:val="22"/>
          <w:lang w:eastAsia="es-CR"/>
        </w:rPr>
        <w:t xml:space="preserve"> </w:t>
      </w:r>
      <w:r w:rsidR="00A649A4" w:rsidRPr="009A4467">
        <w:rPr>
          <w:b/>
          <w:bCs/>
          <w:color w:val="000000"/>
          <w:sz w:val="22"/>
          <w:lang w:eastAsia="es-CR"/>
        </w:rPr>
        <w:t>“Depuración de Cuentas Contables”</w:t>
      </w:r>
      <w:r w:rsidR="00A649A4" w:rsidRPr="009A4467">
        <w:rPr>
          <w:rFonts w:eastAsia="Calibri"/>
          <w:b/>
          <w:sz w:val="22"/>
        </w:rPr>
        <w:t xml:space="preserve"> </w:t>
      </w:r>
      <w:r w:rsidR="00A649A4" w:rsidRPr="009A4467">
        <w:rPr>
          <w:b/>
          <w:bCs/>
          <w:color w:val="000000"/>
          <w:sz w:val="22"/>
          <w:lang w:eastAsia="es-CR"/>
        </w:rPr>
        <w:t>e incluir el plan de acción que esta lleva a cabo la entidad para obtener estados financieros con cuentas contables depuradas y a un valor razonable</w:t>
      </w:r>
      <w:r w:rsidR="00EE2DD8">
        <w:rPr>
          <w:b/>
          <w:color w:val="000000"/>
          <w:sz w:val="22"/>
          <w:lang w:eastAsia="es-CR"/>
        </w:rPr>
        <w:t>.</w:t>
      </w:r>
    </w:p>
    <w:p w14:paraId="00AD7B18" w14:textId="77777777" w:rsidR="00142555" w:rsidRDefault="00142555" w:rsidP="00142555">
      <w:pPr>
        <w:pStyle w:val="Prrafodelista"/>
        <w:spacing w:before="240"/>
        <w:rPr>
          <w:color w:val="000000"/>
          <w:lang w:eastAsia="es-CR"/>
        </w:rPr>
      </w:pPr>
    </w:p>
    <w:p w14:paraId="60BD5318" w14:textId="6A1977C1" w:rsidR="00756467" w:rsidRPr="0034405E" w:rsidRDefault="00A649A4" w:rsidP="00A43C71">
      <w:pPr>
        <w:pStyle w:val="Prrafodelista"/>
        <w:numPr>
          <w:ilvl w:val="0"/>
          <w:numId w:val="5"/>
        </w:numPr>
        <w:rPr>
          <w:color w:val="000000"/>
          <w:lang w:eastAsia="es-CR"/>
        </w:rPr>
      </w:pPr>
      <w:r w:rsidRPr="009A4467">
        <w:rPr>
          <w:color w:val="000000"/>
          <w:lang w:eastAsia="es-CR"/>
        </w:rPr>
        <w:t>¿</w:t>
      </w:r>
      <w:bookmarkStart w:id="145" w:name="_Hlk169161949"/>
      <w:r w:rsidRPr="009A4467">
        <w:rPr>
          <w:color w:val="000000"/>
          <w:lang w:eastAsia="es-CR"/>
        </w:rPr>
        <w:t xml:space="preserve">Su institución realizó </w:t>
      </w:r>
      <w:r w:rsidR="007910C6">
        <w:rPr>
          <w:color w:val="000000"/>
          <w:lang w:eastAsia="es-CR"/>
        </w:rPr>
        <w:t xml:space="preserve">confirmación y </w:t>
      </w:r>
      <w:r w:rsidRPr="009A4467">
        <w:rPr>
          <w:color w:val="000000"/>
          <w:lang w:val="es-ES" w:eastAsia="es-CR"/>
        </w:rPr>
        <w:t>conciliaciones</w:t>
      </w:r>
      <w:r w:rsidRPr="009A4467">
        <w:rPr>
          <w:color w:val="000000"/>
          <w:lang w:eastAsia="es-CR"/>
        </w:rPr>
        <w:t xml:space="preserve"> </w:t>
      </w:r>
      <w:r w:rsidR="00FA758D">
        <w:rPr>
          <w:color w:val="000000"/>
          <w:lang w:eastAsia="es-CR"/>
        </w:rPr>
        <w:t xml:space="preserve">de saldos </w:t>
      </w:r>
      <w:r w:rsidRPr="009A4467">
        <w:rPr>
          <w:color w:val="000000"/>
          <w:lang w:eastAsia="es-CR"/>
        </w:rPr>
        <w:t>de cuentas reciprocas con otr</w:t>
      </w:r>
      <w:r w:rsidR="00FA758D">
        <w:rPr>
          <w:color w:val="000000"/>
          <w:lang w:eastAsia="es-CR"/>
        </w:rPr>
        <w:t>o</w:t>
      </w:r>
      <w:r w:rsidRPr="009A4467">
        <w:rPr>
          <w:color w:val="000000"/>
          <w:lang w:eastAsia="es-CR"/>
        </w:rPr>
        <w:t>s</w:t>
      </w:r>
      <w:r w:rsidR="00FA758D">
        <w:rPr>
          <w:color w:val="000000"/>
          <w:lang w:eastAsia="es-CR"/>
        </w:rPr>
        <w:t xml:space="preserve"> entes contables</w:t>
      </w:r>
      <w:bookmarkEnd w:id="145"/>
      <w:r w:rsidRPr="009A4467">
        <w:rPr>
          <w:color w:val="000000"/>
          <w:lang w:eastAsia="es-CR"/>
        </w:rPr>
        <w:t>?</w:t>
      </w:r>
      <w:r w:rsidR="007473D3">
        <w:rPr>
          <w:lang w:eastAsia="es-CR"/>
        </w:rPr>
        <w:fldChar w:fldCharType="begin"/>
      </w:r>
      <w:r w:rsidR="007473D3">
        <w:rPr>
          <w:lang w:eastAsia="es-CR"/>
        </w:rPr>
        <w:instrText xml:space="preserve"> LINK </w:instrText>
      </w:r>
      <w:r w:rsidR="00756467">
        <w:rPr>
          <w:lang w:eastAsia="es-CR"/>
        </w:rPr>
        <w:instrText xml:space="preserve">Excel.SheetMacroEnabled.12 "C:\\Users\\gcordero\\Downloads\\Notas diciembre 2024\\Formato_Notas_EEFF_Vinculadas_2024\\Formato_Notas_EEFF_Vinculadas_2024\\15603_T04_2024_Anexo_Estado_Notas_Contables_Vinculadas.xlsm" NOTAS_PARTICULAR!F12C3:F12C4 </w:instrText>
      </w:r>
      <w:r w:rsidR="007473D3">
        <w:rPr>
          <w:lang w:eastAsia="es-CR"/>
        </w:rPr>
        <w:instrText xml:space="preserve">\a \f 4 \h </w:instrText>
      </w:r>
      <w:r w:rsidR="007473D3">
        <w:rPr>
          <w:lang w:eastAsia="es-CR"/>
        </w:rPr>
        <w:fldChar w:fldCharType="separate"/>
      </w:r>
    </w:p>
    <w:tbl>
      <w:tblPr>
        <w:tblW w:w="2260" w:type="dxa"/>
        <w:tblCellMar>
          <w:left w:w="70" w:type="dxa"/>
          <w:right w:w="70" w:type="dxa"/>
        </w:tblCellMar>
        <w:tblLook w:val="04A0" w:firstRow="1" w:lastRow="0" w:firstColumn="1" w:lastColumn="0" w:noHBand="0" w:noVBand="1"/>
      </w:tblPr>
      <w:tblGrid>
        <w:gridCol w:w="1120"/>
        <w:gridCol w:w="1140"/>
      </w:tblGrid>
      <w:tr w:rsidR="00756467" w:rsidRPr="00756467" w14:paraId="109AA2B2" w14:textId="77777777" w:rsidTr="00756467">
        <w:trPr>
          <w:divId w:val="951590358"/>
          <w:trHeight w:val="345"/>
        </w:trPr>
        <w:tc>
          <w:tcPr>
            <w:tcW w:w="112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37216D6D" w14:textId="17603426" w:rsidR="00756467" w:rsidRPr="00756467" w:rsidRDefault="00756467" w:rsidP="00756467">
            <w:pPr>
              <w:spacing w:after="0" w:line="240" w:lineRule="auto"/>
              <w:jc w:val="center"/>
              <w:rPr>
                <w:rFonts w:eastAsia="Times New Roman" w:cs="Calibri"/>
                <w:color w:val="FFFFFF"/>
                <w:sz w:val="18"/>
                <w:szCs w:val="18"/>
                <w:lang w:eastAsia="es-CR"/>
              </w:rPr>
            </w:pPr>
            <w:r w:rsidRPr="00756467">
              <w:rPr>
                <w:rFonts w:eastAsia="Times New Roman" w:cs="Calibri"/>
                <w:color w:val="FFFFFF"/>
                <w:sz w:val="18"/>
                <w:szCs w:val="18"/>
                <w:lang w:eastAsia="es-CR"/>
              </w:rPr>
              <w:t>APLICACIÓN</w:t>
            </w:r>
          </w:p>
        </w:tc>
        <w:tc>
          <w:tcPr>
            <w:tcW w:w="11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6FB5B5" w14:textId="77777777" w:rsidR="00756467" w:rsidRPr="00756467" w:rsidRDefault="00756467" w:rsidP="00756467">
            <w:pPr>
              <w:spacing w:after="0" w:line="240" w:lineRule="auto"/>
              <w:jc w:val="center"/>
              <w:rPr>
                <w:rFonts w:eastAsia="Times New Roman" w:cs="Calibri"/>
                <w:b/>
                <w:bCs/>
                <w:i/>
                <w:iCs/>
                <w:color w:val="000000"/>
                <w:sz w:val="18"/>
                <w:szCs w:val="18"/>
                <w:lang w:eastAsia="es-CR"/>
              </w:rPr>
            </w:pPr>
            <w:r w:rsidRPr="00756467">
              <w:rPr>
                <w:rFonts w:eastAsia="Times New Roman" w:cs="Calibri"/>
                <w:b/>
                <w:bCs/>
                <w:i/>
                <w:iCs/>
                <w:color w:val="000000"/>
                <w:sz w:val="18"/>
                <w:szCs w:val="18"/>
                <w:lang w:eastAsia="es-CR"/>
              </w:rPr>
              <w:t>SI</w:t>
            </w:r>
          </w:p>
        </w:tc>
      </w:tr>
    </w:tbl>
    <w:p w14:paraId="5CA88D84" w14:textId="34DA16F6" w:rsidR="00A43C71" w:rsidRPr="00A43C71" w:rsidRDefault="007473D3" w:rsidP="00A43C71">
      <w:pPr>
        <w:rPr>
          <w:color w:val="000000"/>
          <w:lang w:eastAsia="es-CR"/>
        </w:rPr>
      </w:pPr>
      <w:r>
        <w:rPr>
          <w:color w:val="000000"/>
          <w:lang w:eastAsia="es-CR"/>
        </w:rPr>
        <w:fldChar w:fldCharType="end"/>
      </w:r>
    </w:p>
    <w:p w14:paraId="10C9C4DE" w14:textId="3AF06EDE" w:rsidR="00A649A4" w:rsidRPr="009A4467" w:rsidRDefault="00A649A4" w:rsidP="00080C49">
      <w:pPr>
        <w:spacing w:before="240"/>
        <w:rPr>
          <w:color w:val="000000"/>
          <w:sz w:val="22"/>
          <w:lang w:eastAsia="es-CR"/>
        </w:rPr>
      </w:pPr>
      <w:r w:rsidRPr="00A649A4">
        <w:rPr>
          <w:color w:val="000000"/>
          <w:sz w:val="22"/>
          <w:lang w:eastAsia="es-CR"/>
        </w:rPr>
        <w:t xml:space="preserve">Si su respuesta fue positiva, indicar en cuales cuentas se realizó las conciliaciones. </w:t>
      </w:r>
    </w:p>
    <w:p w14:paraId="2F432752" w14:textId="20A705BA" w:rsidR="00A649A4" w:rsidRDefault="00AA2ABC" w:rsidP="008648FD">
      <w:pPr>
        <w:rPr>
          <w:rFonts w:cs="Arial"/>
          <w:b/>
          <w:sz w:val="22"/>
        </w:rPr>
      </w:pPr>
      <w:r w:rsidRPr="00AA2ABC">
        <w:rPr>
          <w:b/>
          <w:sz w:val="22"/>
          <w:u w:val="single"/>
          <w:lang w:val="es-ES_tradnl" w:eastAsia="es-CR"/>
        </w:rPr>
        <w:t>*Realizar Revelación en el apartado</w:t>
      </w:r>
      <w:r w:rsidRPr="00AA2ABC">
        <w:rPr>
          <w:b/>
          <w:bCs/>
          <w:color w:val="000000"/>
          <w:sz w:val="22"/>
          <w:u w:val="single"/>
          <w:lang w:eastAsia="es-CR"/>
        </w:rPr>
        <w:t xml:space="preserve"> Nota complementaria</w:t>
      </w:r>
      <w:r>
        <w:rPr>
          <w:b/>
          <w:bCs/>
          <w:color w:val="000000"/>
          <w:sz w:val="22"/>
          <w:lang w:eastAsia="es-CR"/>
        </w:rPr>
        <w:t xml:space="preserve"> </w:t>
      </w:r>
      <w:r w:rsidR="00A649A4" w:rsidRPr="009A4467">
        <w:rPr>
          <w:b/>
          <w:bCs/>
          <w:color w:val="000000"/>
          <w:sz w:val="22"/>
          <w:lang w:eastAsia="es-CR"/>
        </w:rPr>
        <w:t>*Revelación nota complementaria “Confirmación de Saldos de Cuentas Reciprocas”:</w:t>
      </w:r>
      <w:r w:rsidR="00A649A4" w:rsidRPr="009A4467">
        <w:rPr>
          <w:b/>
          <w:szCs w:val="24"/>
          <w:lang w:val="es-ES" w:eastAsia="es-CR"/>
        </w:rPr>
        <w:t xml:space="preserve"> Cuentas Reciprocas </w:t>
      </w:r>
      <w:r w:rsidR="00FA758D" w:rsidRPr="009A4467">
        <w:rPr>
          <w:b/>
          <w:szCs w:val="24"/>
          <w:lang w:val="es-ES" w:eastAsia="es-CR"/>
        </w:rPr>
        <w:t xml:space="preserve">revelará en </w:t>
      </w:r>
      <w:r w:rsidR="00FA758D">
        <w:rPr>
          <w:b/>
          <w:szCs w:val="24"/>
          <w:lang w:val="es-ES" w:eastAsia="es-CR"/>
        </w:rPr>
        <w:t xml:space="preserve">la Nota complementaria el </w:t>
      </w:r>
      <w:r w:rsidR="00FA758D" w:rsidRPr="00FA758D">
        <w:rPr>
          <w:b/>
          <w:szCs w:val="24"/>
          <w:lang w:val="es-ES" w:eastAsia="es-CR"/>
        </w:rPr>
        <w:t>procedimiento interno para cumplir con el proceso de confirmación de saldos de cuentas reciprocas</w:t>
      </w:r>
      <w:r w:rsidR="00A649A4" w:rsidRPr="009A4467">
        <w:rPr>
          <w:b/>
          <w:szCs w:val="24"/>
          <w:lang w:val="es-ES" w:eastAsia="es-CR"/>
        </w:rPr>
        <w:t xml:space="preserve"> y del cronograma establecido</w:t>
      </w:r>
      <w:r w:rsidR="00C12E51">
        <w:rPr>
          <w:b/>
          <w:szCs w:val="24"/>
          <w:lang w:val="es-ES" w:eastAsia="es-CR"/>
        </w:rPr>
        <w:t>,</w:t>
      </w:r>
      <w:r w:rsidR="00A649A4" w:rsidRPr="009A4467">
        <w:rPr>
          <w:b/>
          <w:szCs w:val="24"/>
          <w:lang w:val="es-ES" w:eastAsia="es-CR"/>
        </w:rPr>
        <w:t xml:space="preserve"> </w:t>
      </w:r>
      <w:r w:rsidR="00FA758D">
        <w:rPr>
          <w:b/>
          <w:szCs w:val="24"/>
          <w:lang w:val="es-ES" w:eastAsia="es-CR"/>
        </w:rPr>
        <w:t>además</w:t>
      </w:r>
      <w:r w:rsidR="00A649A4" w:rsidRPr="009A4467">
        <w:rPr>
          <w:b/>
          <w:szCs w:val="24"/>
          <w:lang w:val="es-ES" w:eastAsia="es-CR"/>
        </w:rPr>
        <w:t xml:space="preserve"> </w:t>
      </w:r>
      <w:r w:rsidR="00FA758D">
        <w:rPr>
          <w:b/>
          <w:szCs w:val="24"/>
          <w:lang w:val="es-ES" w:eastAsia="es-CR"/>
        </w:rPr>
        <w:t>justificar</w:t>
      </w:r>
      <w:r w:rsidR="00A649A4" w:rsidRPr="009A4467">
        <w:rPr>
          <w:b/>
          <w:szCs w:val="24"/>
          <w:lang w:val="es-ES" w:eastAsia="es-CR"/>
        </w:rPr>
        <w:t xml:space="preserve"> las diferencias </w:t>
      </w:r>
      <w:r w:rsidR="00FA758D">
        <w:rPr>
          <w:b/>
          <w:szCs w:val="24"/>
          <w:lang w:val="es-ES" w:eastAsia="es-CR"/>
        </w:rPr>
        <w:t xml:space="preserve">que no se pudieron conciliar </w:t>
      </w:r>
      <w:r w:rsidR="00A649A4" w:rsidRPr="009A4467">
        <w:rPr>
          <w:b/>
          <w:szCs w:val="24"/>
          <w:lang w:val="es-ES" w:eastAsia="es-CR"/>
        </w:rPr>
        <w:t>con otros entes contables</w:t>
      </w:r>
      <w:r w:rsidR="00FA758D">
        <w:rPr>
          <w:b/>
          <w:szCs w:val="24"/>
          <w:lang w:val="es-ES" w:eastAsia="es-CR"/>
        </w:rPr>
        <w:t>.</w:t>
      </w:r>
    </w:p>
    <w:p w14:paraId="543A4B81" w14:textId="6E1424B1" w:rsidR="00AA2ABC" w:rsidRDefault="00390266" w:rsidP="008648FD">
      <w:pPr>
        <w:rPr>
          <w:b/>
          <w:strike/>
          <w:sz w:val="22"/>
          <w:lang w:eastAsia="es-CR"/>
        </w:rPr>
      </w:pPr>
      <w:r w:rsidRPr="004D3EFA">
        <w:t xml:space="preserve">Como parte del proceso de cierre contable se realizaron conciliaciones de las diferentes cuentas de efectivo y equivalentes, tales como la cuenta corriente bancaria y saldos en Caja Única del Estado, constituyendo estas últimas las cuentas recíprocas entre la Municipalidad, el Estado y otras instituciones. </w:t>
      </w:r>
      <w:r w:rsidRPr="00B5286E">
        <w:t>Además, se efectuó “Confirmación de saldos de Cuenta Recíprocas</w:t>
      </w:r>
      <w:r w:rsidR="00EE2DD8" w:rsidRPr="00B5286E">
        <w:t>”, con motivo del cierre del IV</w:t>
      </w:r>
      <w:r w:rsidRPr="00B5286E">
        <w:t xml:space="preserve"> Trimestre de 2024. Ver al respecto anexo adjunto a estas notas en nota complementa</w:t>
      </w:r>
      <w:r w:rsidR="00591438">
        <w:t xml:space="preserve">ria en </w:t>
      </w:r>
      <w:r w:rsidR="00591438" w:rsidRPr="00351D2A">
        <w:rPr>
          <w:b/>
        </w:rPr>
        <w:t xml:space="preserve">Notas </w:t>
      </w:r>
      <w:r w:rsidR="00591438" w:rsidRPr="00591438">
        <w:rPr>
          <w:b/>
        </w:rPr>
        <w:t>Complementarias AMBA 0047-2025 EEFF diciembre 2024</w:t>
      </w:r>
      <w:r w:rsidRPr="00591438">
        <w:rPr>
          <w:b/>
          <w:shd w:val="clear" w:color="auto" w:fill="FFFFFF" w:themeFill="background1"/>
        </w:rPr>
        <w:t>.</w:t>
      </w:r>
    </w:p>
    <w:p w14:paraId="4C931B02" w14:textId="77777777" w:rsidR="00B5286E" w:rsidRPr="009A4467" w:rsidRDefault="00B5286E" w:rsidP="008648FD">
      <w:pPr>
        <w:rPr>
          <w:b/>
          <w:strike/>
          <w:sz w:val="22"/>
          <w:lang w:eastAsia="es-CR"/>
        </w:rPr>
      </w:pPr>
    </w:p>
    <w:p w14:paraId="5DA3DA90" w14:textId="73D7AB0B" w:rsidR="00756467" w:rsidRPr="00756467" w:rsidRDefault="00642574" w:rsidP="00756467">
      <w:pPr>
        <w:pStyle w:val="Prrafodelista"/>
        <w:numPr>
          <w:ilvl w:val="0"/>
          <w:numId w:val="5"/>
        </w:numPr>
        <w:rPr>
          <w:color w:val="000000"/>
          <w:lang w:eastAsia="es-CR"/>
        </w:rPr>
      </w:pPr>
      <w:r w:rsidRPr="007473D3">
        <w:rPr>
          <w:color w:val="000000"/>
          <w:lang w:eastAsia="es-CR"/>
        </w:rPr>
        <w:t>¿</w:t>
      </w:r>
      <w:bookmarkStart w:id="146" w:name="_Hlk169161960"/>
      <w:r w:rsidR="00AA7229">
        <w:rPr>
          <w:color w:val="000000"/>
          <w:lang w:eastAsia="es-CR"/>
        </w:rPr>
        <w:t xml:space="preserve">La </w:t>
      </w:r>
      <w:r w:rsidRPr="007473D3">
        <w:rPr>
          <w:color w:val="000000"/>
          <w:lang w:eastAsia="es-CR"/>
        </w:rPr>
        <w:t>institución realizó</w:t>
      </w:r>
      <w:r w:rsidRPr="009A4467">
        <w:rPr>
          <w:color w:val="000000"/>
          <w:lang w:eastAsia="es-CR"/>
        </w:rPr>
        <w:t xml:space="preserve"> </w:t>
      </w:r>
      <w:r w:rsidR="00FA758D">
        <w:rPr>
          <w:color w:val="000000"/>
          <w:lang w:eastAsia="es-CR"/>
        </w:rPr>
        <w:t xml:space="preserve">Conciliaciones </w:t>
      </w:r>
      <w:r>
        <w:rPr>
          <w:color w:val="000000"/>
          <w:lang w:eastAsia="es-CR"/>
        </w:rPr>
        <w:t>Bancaria</w:t>
      </w:r>
      <w:r w:rsidR="00FA758D">
        <w:rPr>
          <w:color w:val="000000"/>
          <w:lang w:eastAsia="es-CR"/>
        </w:rPr>
        <w:t>s</w:t>
      </w:r>
      <w:r>
        <w:rPr>
          <w:color w:val="000000"/>
          <w:lang w:eastAsia="es-CR"/>
        </w:rPr>
        <w:t xml:space="preserve"> “Caja Única</w:t>
      </w:r>
      <w:r w:rsidR="00FA758D">
        <w:rPr>
          <w:color w:val="000000"/>
          <w:lang w:eastAsia="es-CR"/>
        </w:rPr>
        <w:t>s”</w:t>
      </w:r>
      <w:r w:rsidRPr="009A4467">
        <w:rPr>
          <w:color w:val="000000"/>
          <w:lang w:eastAsia="es-CR"/>
        </w:rPr>
        <w:t>?</w:t>
      </w:r>
      <w:bookmarkEnd w:id="146"/>
      <w:r>
        <w:rPr>
          <w:lang w:eastAsia="es-CR"/>
        </w:rPr>
        <w:fldChar w:fldCharType="begin"/>
      </w:r>
      <w:r>
        <w:rPr>
          <w:lang w:eastAsia="es-CR"/>
        </w:rPr>
        <w:instrText xml:space="preserve"> LINK </w:instrText>
      </w:r>
      <w:r w:rsidR="00756467">
        <w:rPr>
          <w:lang w:eastAsia="es-CR"/>
        </w:rPr>
        <w:instrText xml:space="preserve">Excel.SheetMacroEnabled.12 "C:\\Users\\gcordero\\Downloads\\Notas diciembre 2024\\Formato_Notas_EEFF_Vinculadas_2024\\Formato_Notas_EEFF_Vinculadas_2024\\15603_T04_2024_Anexo_Estado_Notas_Contables_Vinculadas.xlsm" NOTAS_PARTICULAR!F13C3:F13C4 </w:instrText>
      </w:r>
      <w:r>
        <w:rPr>
          <w:lang w:eastAsia="es-CR"/>
        </w:rPr>
        <w:instrText xml:space="preserve">\a \f 4 \h  \* MERGEFORMAT </w:instrText>
      </w:r>
      <w:r>
        <w:rPr>
          <w:lang w:eastAsia="es-CR"/>
        </w:rPr>
        <w:fldChar w:fldCharType="separate"/>
      </w:r>
    </w:p>
    <w:tbl>
      <w:tblPr>
        <w:tblW w:w="2117" w:type="dxa"/>
        <w:tblCellMar>
          <w:left w:w="70" w:type="dxa"/>
          <w:right w:w="70" w:type="dxa"/>
        </w:tblCellMar>
        <w:tblLook w:val="04A0" w:firstRow="1" w:lastRow="0" w:firstColumn="1" w:lastColumn="0" w:noHBand="0" w:noVBand="1"/>
      </w:tblPr>
      <w:tblGrid>
        <w:gridCol w:w="1550"/>
        <w:gridCol w:w="567"/>
      </w:tblGrid>
      <w:tr w:rsidR="00756467" w:rsidRPr="00756467" w14:paraId="40DC3D2C" w14:textId="77777777" w:rsidTr="00756467">
        <w:trPr>
          <w:divId w:val="1474250778"/>
          <w:trHeight w:val="288"/>
        </w:trPr>
        <w:tc>
          <w:tcPr>
            <w:tcW w:w="155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247C3239" w14:textId="5C239F51" w:rsidR="00756467" w:rsidRPr="00756467" w:rsidRDefault="00756467" w:rsidP="00756467">
            <w:pPr>
              <w:rPr>
                <w:rFonts w:eastAsia="Times New Roman" w:cs="Calibri"/>
                <w:color w:val="FFFFFF"/>
                <w:sz w:val="18"/>
                <w:szCs w:val="18"/>
                <w:lang w:eastAsia="es-CR"/>
              </w:rPr>
            </w:pPr>
            <w:r w:rsidRPr="00756467">
              <w:rPr>
                <w:rFonts w:eastAsia="Times New Roman" w:cs="Calibri"/>
                <w:color w:val="FFFFFF"/>
                <w:sz w:val="18"/>
                <w:szCs w:val="18"/>
                <w:lang w:eastAsia="es-CR"/>
              </w:rPr>
              <w:lastRenderedPageBreak/>
              <w:t>APLICACIÓN</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9F7F1C" w14:textId="77777777" w:rsidR="00756467" w:rsidRPr="00756467" w:rsidRDefault="00756467" w:rsidP="00756467">
            <w:pPr>
              <w:spacing w:after="0" w:line="240" w:lineRule="auto"/>
              <w:jc w:val="center"/>
              <w:rPr>
                <w:rFonts w:eastAsia="Times New Roman" w:cs="Calibri"/>
                <w:b/>
                <w:bCs/>
                <w:i/>
                <w:iCs/>
                <w:color w:val="000000"/>
                <w:sz w:val="18"/>
                <w:szCs w:val="18"/>
                <w:lang w:eastAsia="es-CR"/>
              </w:rPr>
            </w:pPr>
            <w:r w:rsidRPr="00756467">
              <w:rPr>
                <w:rFonts w:eastAsia="Times New Roman" w:cs="Calibri"/>
                <w:b/>
                <w:bCs/>
                <w:i/>
                <w:iCs/>
                <w:color w:val="000000"/>
                <w:sz w:val="18"/>
                <w:szCs w:val="18"/>
                <w:lang w:eastAsia="es-CR"/>
              </w:rPr>
              <w:t>SI</w:t>
            </w:r>
          </w:p>
        </w:tc>
      </w:tr>
    </w:tbl>
    <w:p w14:paraId="47EA7918" w14:textId="354A1748" w:rsidR="00642574" w:rsidRPr="00FA758D" w:rsidRDefault="00642574" w:rsidP="00AA7229">
      <w:pPr>
        <w:spacing w:before="240"/>
        <w:rPr>
          <w:rFonts w:cs="Arial"/>
          <w:b/>
          <w:sz w:val="22"/>
        </w:rPr>
      </w:pPr>
      <w:r>
        <w:rPr>
          <w:color w:val="000000"/>
          <w:sz w:val="22"/>
          <w:lang w:eastAsia="es-CR"/>
        </w:rPr>
        <w:fldChar w:fldCharType="end"/>
      </w:r>
      <w:r w:rsidR="00AA2ABC" w:rsidRPr="00AA2ABC">
        <w:rPr>
          <w:b/>
          <w:sz w:val="22"/>
          <w:u w:val="single"/>
          <w:lang w:val="es-ES_tradnl" w:eastAsia="es-CR"/>
        </w:rPr>
        <w:t>*Realizar Revelación en el apartado</w:t>
      </w:r>
      <w:r w:rsidR="00AA2ABC" w:rsidRPr="00AA2ABC">
        <w:rPr>
          <w:b/>
          <w:bCs/>
          <w:color w:val="000000"/>
          <w:sz w:val="22"/>
          <w:u w:val="single"/>
          <w:lang w:eastAsia="es-CR"/>
        </w:rPr>
        <w:t xml:space="preserve"> Nota complementaria</w:t>
      </w:r>
      <w:r w:rsidRPr="00A649A4">
        <w:rPr>
          <w:color w:val="000000"/>
          <w:sz w:val="22"/>
          <w:lang w:eastAsia="es-CR"/>
        </w:rPr>
        <w:t xml:space="preserve"> </w:t>
      </w:r>
      <w:r w:rsidRPr="009A4467">
        <w:rPr>
          <w:b/>
          <w:bCs/>
          <w:color w:val="000000"/>
          <w:sz w:val="22"/>
          <w:lang w:eastAsia="es-CR"/>
        </w:rPr>
        <w:t>*Revelación nota complementaria “</w:t>
      </w:r>
      <w:r w:rsidR="00FA758D">
        <w:rPr>
          <w:b/>
          <w:bCs/>
          <w:color w:val="000000"/>
          <w:sz w:val="22"/>
          <w:lang w:eastAsia="es-CR"/>
        </w:rPr>
        <w:t>C</w:t>
      </w:r>
      <w:r w:rsidR="00B449D6" w:rsidRPr="00B449D6">
        <w:rPr>
          <w:b/>
          <w:bCs/>
          <w:color w:val="000000"/>
          <w:sz w:val="22"/>
          <w:lang w:eastAsia="es-CR"/>
        </w:rPr>
        <w:t>onciliaciones Bancaria</w:t>
      </w:r>
      <w:r w:rsidR="00FA758D">
        <w:rPr>
          <w:b/>
          <w:bCs/>
          <w:color w:val="000000"/>
          <w:sz w:val="22"/>
          <w:lang w:eastAsia="es-CR"/>
        </w:rPr>
        <w:t>s</w:t>
      </w:r>
      <w:r w:rsidR="00B449D6" w:rsidRPr="00B449D6">
        <w:rPr>
          <w:b/>
          <w:bCs/>
          <w:color w:val="000000"/>
          <w:sz w:val="22"/>
          <w:lang w:eastAsia="es-CR"/>
        </w:rPr>
        <w:t xml:space="preserve"> “Caja Única</w:t>
      </w:r>
      <w:r w:rsidRPr="009A4467">
        <w:rPr>
          <w:b/>
          <w:bCs/>
          <w:color w:val="000000"/>
          <w:sz w:val="22"/>
          <w:lang w:eastAsia="es-CR"/>
        </w:rPr>
        <w:t>”:</w:t>
      </w:r>
      <w:r w:rsidRPr="009A4467">
        <w:rPr>
          <w:b/>
          <w:szCs w:val="24"/>
          <w:lang w:val="es-ES" w:eastAsia="es-CR"/>
        </w:rPr>
        <w:t xml:space="preserve"> revelará en </w:t>
      </w:r>
      <w:r w:rsidR="00FA758D">
        <w:rPr>
          <w:b/>
          <w:szCs w:val="24"/>
          <w:lang w:val="es-ES" w:eastAsia="es-CR"/>
        </w:rPr>
        <w:t>la Nota complementaria el proceso que realiza con respecto a Conciliaciones Bancarias y</w:t>
      </w:r>
      <w:r w:rsidRPr="009A4467">
        <w:rPr>
          <w:b/>
          <w:szCs w:val="24"/>
          <w:lang w:val="es-ES" w:eastAsia="es-CR"/>
        </w:rPr>
        <w:t xml:space="preserve"> </w:t>
      </w:r>
      <w:r w:rsidR="00FA758D">
        <w:rPr>
          <w:b/>
          <w:szCs w:val="24"/>
          <w:lang w:val="es-ES" w:eastAsia="es-CR"/>
        </w:rPr>
        <w:t xml:space="preserve">el detalle de </w:t>
      </w:r>
      <w:r w:rsidRPr="009A4467">
        <w:rPr>
          <w:b/>
          <w:szCs w:val="24"/>
          <w:lang w:val="es-ES" w:eastAsia="es-CR"/>
        </w:rPr>
        <w:t>las diferencias encontradas</w:t>
      </w:r>
      <w:r w:rsidR="00FA758D">
        <w:rPr>
          <w:b/>
          <w:szCs w:val="24"/>
          <w:lang w:val="es-ES" w:eastAsia="es-CR"/>
        </w:rPr>
        <w:t>.</w:t>
      </w:r>
    </w:p>
    <w:p w14:paraId="46A3AEC5" w14:textId="4C60707D" w:rsidR="00390266" w:rsidRPr="009A4467" w:rsidRDefault="00390266" w:rsidP="00390266">
      <w:pPr>
        <w:rPr>
          <w:b/>
          <w:strike/>
          <w:sz w:val="22"/>
          <w:lang w:eastAsia="es-CR"/>
        </w:rPr>
      </w:pPr>
      <w:r>
        <w:rPr>
          <w:sz w:val="22"/>
          <w:lang w:eastAsia="es-CR"/>
        </w:rPr>
        <w:t xml:space="preserve">Ver al respecto </w:t>
      </w:r>
      <w:r w:rsidRPr="00351D2A">
        <w:rPr>
          <w:b/>
        </w:rPr>
        <w:t xml:space="preserve">Notas </w:t>
      </w:r>
      <w:r w:rsidR="00591438" w:rsidRPr="00591438">
        <w:rPr>
          <w:b/>
        </w:rPr>
        <w:t>Complementarias AMBA 0047-2025</w:t>
      </w:r>
      <w:r w:rsidRPr="00591438">
        <w:rPr>
          <w:b/>
        </w:rPr>
        <w:t xml:space="preserve"> EEFF </w:t>
      </w:r>
      <w:r w:rsidR="00D64CF8" w:rsidRPr="00591438">
        <w:rPr>
          <w:b/>
        </w:rPr>
        <w:t>diciembre</w:t>
      </w:r>
      <w:r w:rsidRPr="00591438">
        <w:rPr>
          <w:b/>
        </w:rPr>
        <w:t xml:space="preserve"> 2024.</w:t>
      </w:r>
    </w:p>
    <w:p w14:paraId="2C2B9E10" w14:textId="77777777" w:rsidR="00CE551A" w:rsidRDefault="00CE551A" w:rsidP="00142555">
      <w:pPr>
        <w:pStyle w:val="Prrafodelista"/>
        <w:spacing w:before="240"/>
        <w:rPr>
          <w:sz w:val="22"/>
          <w:lang w:eastAsia="es-CR"/>
        </w:rPr>
      </w:pPr>
    </w:p>
    <w:p w14:paraId="0A62593F" w14:textId="047D3584" w:rsidR="00756467" w:rsidRPr="00756467" w:rsidRDefault="00A649A4" w:rsidP="00756467">
      <w:pPr>
        <w:pStyle w:val="Prrafodelista"/>
        <w:numPr>
          <w:ilvl w:val="0"/>
          <w:numId w:val="5"/>
        </w:numPr>
        <w:rPr>
          <w:sz w:val="22"/>
          <w:lang w:eastAsia="es-CR"/>
        </w:rPr>
      </w:pPr>
      <w:r w:rsidRPr="007473D3">
        <w:rPr>
          <w:sz w:val="22"/>
          <w:lang w:eastAsia="es-CR"/>
        </w:rPr>
        <w:t>¿</w:t>
      </w:r>
      <w:bookmarkStart w:id="147" w:name="_Hlk169161980"/>
      <w:r w:rsidRPr="007473D3">
        <w:rPr>
          <w:sz w:val="22"/>
          <w:lang w:eastAsia="es-CR"/>
        </w:rPr>
        <w:t>La institución cuenta</w:t>
      </w:r>
      <w:r w:rsidRPr="009A4467">
        <w:rPr>
          <w:sz w:val="22"/>
          <w:lang w:eastAsia="es-CR"/>
        </w:rPr>
        <w:t xml:space="preserve"> con </w:t>
      </w:r>
      <w:r w:rsidRPr="009A4467">
        <w:rPr>
          <w:sz w:val="22"/>
          <w:u w:val="single"/>
          <w:lang w:eastAsia="es-CR"/>
        </w:rPr>
        <w:t>sistema de información integrado</w:t>
      </w:r>
      <w:r w:rsidRPr="009A4467">
        <w:rPr>
          <w:sz w:val="22"/>
          <w:lang w:eastAsia="es-CR"/>
        </w:rPr>
        <w:t xml:space="preserve"> para elaborar los Estados Financieros y la reportería</w:t>
      </w:r>
      <w:bookmarkEnd w:id="147"/>
      <w:r w:rsidRPr="009A4467">
        <w:rPr>
          <w:sz w:val="22"/>
          <w:lang w:eastAsia="es-CR"/>
        </w:rPr>
        <w:t>?</w:t>
      </w:r>
      <w:r w:rsidR="00CE551A">
        <w:fldChar w:fldCharType="begin"/>
      </w:r>
      <w:r w:rsidR="00CE551A">
        <w:instrText xml:space="preserve"> LINK </w:instrText>
      </w:r>
      <w:r w:rsidR="00756467">
        <w:instrText xml:space="preserve">Excel.SheetMacroEnabled.12 "C:\\Users\\gcordero\\Downloads\\Notas diciembre 2024\\Formato_Notas_EEFF_Vinculadas_2024\\Formato_Notas_EEFF_Vinculadas_2024\\15603_T04_2024_Anexo_Estado_Notas_Contables_Vinculadas.xlsm" NOTAS_PARTICULAR!F14C3:F14C4 </w:instrText>
      </w:r>
      <w:r w:rsidR="00CE551A">
        <w:instrText xml:space="preserve">\a \f 4 \h  \* MERGEFORMAT </w:instrText>
      </w:r>
      <w:r w:rsidR="00CE551A">
        <w:fldChar w:fldCharType="separate"/>
      </w:r>
    </w:p>
    <w:tbl>
      <w:tblPr>
        <w:tblW w:w="2240" w:type="dxa"/>
        <w:tblCellMar>
          <w:left w:w="70" w:type="dxa"/>
          <w:right w:w="70" w:type="dxa"/>
        </w:tblCellMar>
        <w:tblLook w:val="04A0" w:firstRow="1" w:lastRow="0" w:firstColumn="1" w:lastColumn="0" w:noHBand="0" w:noVBand="1"/>
      </w:tblPr>
      <w:tblGrid>
        <w:gridCol w:w="1797"/>
        <w:gridCol w:w="443"/>
      </w:tblGrid>
      <w:tr w:rsidR="00756467" w:rsidRPr="00756467" w14:paraId="3814C77F" w14:textId="77777777" w:rsidTr="00756467">
        <w:trPr>
          <w:divId w:val="835649843"/>
          <w:trHeight w:val="288"/>
        </w:trPr>
        <w:tc>
          <w:tcPr>
            <w:tcW w:w="1797"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7743223A" w14:textId="1036337F" w:rsidR="00756467" w:rsidRPr="00756467" w:rsidRDefault="00756467" w:rsidP="00756467">
            <w:pPr>
              <w:rPr>
                <w:rFonts w:eastAsia="Times New Roman" w:cs="Calibri"/>
                <w:color w:val="FFFFFF"/>
                <w:sz w:val="18"/>
                <w:szCs w:val="18"/>
                <w:lang w:eastAsia="es-CR"/>
              </w:rPr>
            </w:pPr>
            <w:r w:rsidRPr="00756467">
              <w:rPr>
                <w:rFonts w:eastAsia="Times New Roman" w:cs="Calibri"/>
                <w:color w:val="FFFFFF"/>
                <w:sz w:val="18"/>
                <w:szCs w:val="18"/>
                <w:lang w:eastAsia="es-CR"/>
              </w:rPr>
              <w:t>APLICACIÓN</w:t>
            </w:r>
          </w:p>
        </w:tc>
        <w:tc>
          <w:tcPr>
            <w:tcW w:w="44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584F0BF" w14:textId="77777777" w:rsidR="00756467" w:rsidRPr="00756467" w:rsidRDefault="00756467" w:rsidP="00756467">
            <w:pPr>
              <w:spacing w:after="0" w:line="240" w:lineRule="auto"/>
              <w:jc w:val="center"/>
              <w:rPr>
                <w:rFonts w:eastAsia="Times New Roman" w:cs="Calibri"/>
                <w:b/>
                <w:bCs/>
                <w:i/>
                <w:iCs/>
                <w:color w:val="000000"/>
                <w:sz w:val="18"/>
                <w:szCs w:val="18"/>
                <w:lang w:eastAsia="es-CR"/>
              </w:rPr>
            </w:pPr>
            <w:r w:rsidRPr="00756467">
              <w:rPr>
                <w:rFonts w:eastAsia="Times New Roman" w:cs="Calibri"/>
                <w:b/>
                <w:bCs/>
                <w:i/>
                <w:iCs/>
                <w:color w:val="000000"/>
                <w:sz w:val="18"/>
                <w:szCs w:val="18"/>
                <w:lang w:eastAsia="es-CR"/>
              </w:rPr>
              <w:t>NO</w:t>
            </w:r>
          </w:p>
        </w:tc>
      </w:tr>
    </w:tbl>
    <w:p w14:paraId="02FC12A4" w14:textId="40A31969" w:rsidR="00A649A4" w:rsidRPr="009A4467" w:rsidRDefault="00CE551A" w:rsidP="00080C49">
      <w:pPr>
        <w:spacing w:before="240"/>
        <w:rPr>
          <w:rFonts w:eastAsia="Calibri"/>
          <w:b/>
          <w:bCs/>
        </w:rPr>
      </w:pPr>
      <w:r>
        <w:rPr>
          <w:rFonts w:eastAsia="Calibri"/>
          <w:b/>
          <w:bCs/>
        </w:rPr>
        <w:fldChar w:fldCharType="end"/>
      </w:r>
      <w:r w:rsidR="00A649A4" w:rsidRPr="009A4467">
        <w:rPr>
          <w:rFonts w:eastAsia="Calibri"/>
          <w:b/>
          <w:bCs/>
        </w:rPr>
        <w:t>Revelación:</w:t>
      </w:r>
    </w:p>
    <w:p w14:paraId="249DD085" w14:textId="2C0DB867" w:rsidR="00390266" w:rsidRPr="00B03069" w:rsidRDefault="00390266" w:rsidP="00390266">
      <w:pPr>
        <w:spacing w:before="120" w:after="0" w:line="240" w:lineRule="auto"/>
        <w:rPr>
          <w:szCs w:val="24"/>
        </w:rPr>
      </w:pPr>
      <w:bookmarkStart w:id="148" w:name="_Hlk169161987"/>
      <w:r w:rsidRPr="00B03069">
        <w:rPr>
          <w:szCs w:val="24"/>
        </w:rPr>
        <w:t xml:space="preserve">La Municipalidad de Buenos Aires se encuentra actualmente en el proceso de implementación de un sistema de información integrado, que permitirá realización de la Contabilidad, el manejo del Presupuesto, y los módulos facilitarán el manejo de auxiliares de cuentas de Activos y Pasivo, la elaboración de los Estados Financieros y la reportería.  Los estados financieros al </w:t>
      </w:r>
      <w:r w:rsidR="00796636">
        <w:rPr>
          <w:szCs w:val="24"/>
        </w:rPr>
        <w:t>31</w:t>
      </w:r>
      <w:r>
        <w:rPr>
          <w:szCs w:val="24"/>
        </w:rPr>
        <w:t xml:space="preserve"> de </w:t>
      </w:r>
      <w:r w:rsidR="00D64CF8">
        <w:rPr>
          <w:szCs w:val="24"/>
        </w:rPr>
        <w:t>diciembre</w:t>
      </w:r>
      <w:r>
        <w:rPr>
          <w:szCs w:val="24"/>
        </w:rPr>
        <w:t xml:space="preserve"> de 2024</w:t>
      </w:r>
      <w:r w:rsidRPr="00B03069">
        <w:rPr>
          <w:szCs w:val="24"/>
        </w:rPr>
        <w:t xml:space="preserve"> se prepararon de forma parcial bajo ese sistema y manualmente con la ayuda del software Microsoft Excel.</w:t>
      </w:r>
    </w:p>
    <w:p w14:paraId="4825BD7A" w14:textId="77777777" w:rsidR="00142555" w:rsidRDefault="00142555" w:rsidP="00142555">
      <w:pPr>
        <w:pStyle w:val="Prrafodelista"/>
        <w:rPr>
          <w:sz w:val="22"/>
          <w:lang w:eastAsia="es-CR"/>
        </w:rPr>
      </w:pPr>
    </w:p>
    <w:p w14:paraId="04B9916D" w14:textId="2863B33D" w:rsidR="00756467" w:rsidRPr="00756467" w:rsidRDefault="00A649A4" w:rsidP="00756467">
      <w:pPr>
        <w:pStyle w:val="Prrafodelista"/>
        <w:numPr>
          <w:ilvl w:val="0"/>
          <w:numId w:val="5"/>
        </w:numPr>
        <w:rPr>
          <w:sz w:val="22"/>
          <w:lang w:eastAsia="es-CR"/>
        </w:rPr>
      </w:pPr>
      <w:r w:rsidRPr="007473D3">
        <w:rPr>
          <w:sz w:val="22"/>
          <w:lang w:eastAsia="es-CR"/>
        </w:rPr>
        <w:t>¿La Institución elabora</w:t>
      </w:r>
      <w:r w:rsidRPr="009A4467">
        <w:rPr>
          <w:sz w:val="22"/>
          <w:lang w:eastAsia="es-CR"/>
        </w:rPr>
        <w:t xml:space="preserve"> los Estados Financieros de manera manual, es decir, el sistema utilizado no facilita balanzas de comprobación sino solo saldos de cuentas</w:t>
      </w:r>
      <w:bookmarkEnd w:id="148"/>
      <w:r w:rsidRPr="009A4467">
        <w:rPr>
          <w:sz w:val="22"/>
          <w:lang w:eastAsia="es-CR"/>
        </w:rPr>
        <w:t>?</w:t>
      </w:r>
      <w:r w:rsidR="00CE551A">
        <w:fldChar w:fldCharType="begin"/>
      </w:r>
      <w:r w:rsidR="00CE551A">
        <w:instrText xml:space="preserve"> LINK </w:instrText>
      </w:r>
      <w:r w:rsidR="00756467">
        <w:instrText xml:space="preserve">Excel.SheetMacroEnabled.12 "C:\\Users\\gcordero\\Downloads\\Notas diciembre 2024\\Formato_Notas_EEFF_Vinculadas_2024\\Formato_Notas_EEFF_Vinculadas_2024\\15603_T04_2024_Anexo_Estado_Notas_Contables_Vinculadas.xlsm" NOTAS_PARTICULAR!F15C3:F15C4 </w:instrText>
      </w:r>
      <w:r w:rsidR="00CE551A">
        <w:instrText xml:space="preserve">\a \f 4 \h  \* MERGEFORMAT </w:instrText>
      </w:r>
      <w:r w:rsidR="00CE551A">
        <w:fldChar w:fldCharType="separate"/>
      </w:r>
    </w:p>
    <w:tbl>
      <w:tblPr>
        <w:tblW w:w="2240" w:type="dxa"/>
        <w:tblCellMar>
          <w:left w:w="70" w:type="dxa"/>
          <w:right w:w="70" w:type="dxa"/>
        </w:tblCellMar>
        <w:tblLook w:val="04A0" w:firstRow="1" w:lastRow="0" w:firstColumn="1" w:lastColumn="0" w:noHBand="0" w:noVBand="1"/>
      </w:tblPr>
      <w:tblGrid>
        <w:gridCol w:w="1647"/>
        <w:gridCol w:w="593"/>
      </w:tblGrid>
      <w:tr w:rsidR="00756467" w:rsidRPr="00756467" w14:paraId="351940B7" w14:textId="77777777" w:rsidTr="00756467">
        <w:trPr>
          <w:divId w:val="1927768505"/>
          <w:trHeight w:val="288"/>
        </w:trPr>
        <w:tc>
          <w:tcPr>
            <w:tcW w:w="1647"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16361B7F" w14:textId="24D46F2B" w:rsidR="00756467" w:rsidRPr="00756467" w:rsidRDefault="00756467" w:rsidP="00756467">
            <w:pPr>
              <w:rPr>
                <w:rFonts w:eastAsia="Times New Roman" w:cs="Calibri"/>
                <w:color w:val="FFFFFF"/>
                <w:sz w:val="18"/>
                <w:szCs w:val="18"/>
                <w:lang w:eastAsia="es-CR"/>
              </w:rPr>
            </w:pPr>
            <w:r w:rsidRPr="00756467">
              <w:rPr>
                <w:rFonts w:eastAsia="Times New Roman" w:cs="Calibri"/>
                <w:color w:val="FFFFFF"/>
                <w:sz w:val="18"/>
                <w:szCs w:val="18"/>
                <w:lang w:eastAsia="es-CR"/>
              </w:rPr>
              <w:t>APLICACIÓN</w:t>
            </w:r>
          </w:p>
        </w:tc>
        <w:tc>
          <w:tcPr>
            <w:tcW w:w="59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C999AD" w14:textId="77777777" w:rsidR="00756467" w:rsidRPr="00756467" w:rsidRDefault="00756467" w:rsidP="00756467">
            <w:pPr>
              <w:spacing w:after="0" w:line="240" w:lineRule="auto"/>
              <w:jc w:val="center"/>
              <w:rPr>
                <w:rFonts w:eastAsia="Times New Roman" w:cs="Calibri"/>
                <w:b/>
                <w:bCs/>
                <w:i/>
                <w:iCs/>
                <w:color w:val="000000"/>
                <w:sz w:val="18"/>
                <w:szCs w:val="18"/>
                <w:lang w:eastAsia="es-CR"/>
              </w:rPr>
            </w:pPr>
            <w:r w:rsidRPr="00756467">
              <w:rPr>
                <w:rFonts w:eastAsia="Times New Roman" w:cs="Calibri"/>
                <w:b/>
                <w:bCs/>
                <w:i/>
                <w:iCs/>
                <w:color w:val="000000"/>
                <w:sz w:val="18"/>
                <w:szCs w:val="18"/>
                <w:lang w:eastAsia="es-CR"/>
              </w:rPr>
              <w:t>NO</w:t>
            </w:r>
          </w:p>
        </w:tc>
      </w:tr>
    </w:tbl>
    <w:p w14:paraId="09391573" w14:textId="20B15F1E" w:rsidR="00A649A4" w:rsidRPr="009A4467" w:rsidRDefault="00CE551A" w:rsidP="00080C49">
      <w:pPr>
        <w:spacing w:before="240"/>
        <w:rPr>
          <w:rFonts w:eastAsia="Calibri"/>
          <w:b/>
          <w:bCs/>
        </w:rPr>
      </w:pPr>
      <w:r>
        <w:rPr>
          <w:rFonts w:eastAsia="Calibri"/>
          <w:b/>
          <w:bCs/>
        </w:rPr>
        <w:fldChar w:fldCharType="end"/>
      </w:r>
      <w:r w:rsidR="00A649A4" w:rsidRPr="009A4467">
        <w:rPr>
          <w:rFonts w:eastAsia="Calibri"/>
          <w:b/>
          <w:bCs/>
        </w:rPr>
        <w:t>Revelación:</w:t>
      </w:r>
    </w:p>
    <w:p w14:paraId="63FAC671" w14:textId="0D382927" w:rsidR="00142555" w:rsidRDefault="00390266" w:rsidP="00390266">
      <w:pPr>
        <w:pStyle w:val="Prrafodelista"/>
        <w:spacing w:before="240"/>
        <w:ind w:left="0"/>
        <w:rPr>
          <w:szCs w:val="24"/>
        </w:rPr>
      </w:pPr>
      <w:r>
        <w:rPr>
          <w:szCs w:val="24"/>
        </w:rPr>
        <w:t>Reiterar que l</w:t>
      </w:r>
      <w:r w:rsidRPr="00B03069">
        <w:rPr>
          <w:szCs w:val="24"/>
        </w:rPr>
        <w:t xml:space="preserve">a Municipalidad de Buenos Aires se encuentra actualmente en el proceso de implementación de un sistema de información integrado, </w:t>
      </w:r>
      <w:r>
        <w:rPr>
          <w:szCs w:val="24"/>
        </w:rPr>
        <w:t>el cual si facilita balanzas de comprobación que permiten elaborar los estados financieros</w:t>
      </w:r>
    </w:p>
    <w:p w14:paraId="3E8F8001" w14:textId="77777777" w:rsidR="00390266" w:rsidRPr="00142555" w:rsidRDefault="00390266" w:rsidP="00390266">
      <w:pPr>
        <w:pStyle w:val="Prrafodelista"/>
        <w:spacing w:before="240"/>
        <w:ind w:left="0"/>
        <w:rPr>
          <w:color w:val="000000"/>
          <w:sz w:val="22"/>
          <w:lang w:eastAsia="es-CR"/>
        </w:rPr>
      </w:pPr>
    </w:p>
    <w:p w14:paraId="18096DE3" w14:textId="28DC2748" w:rsidR="00756467" w:rsidRPr="00756467" w:rsidRDefault="00A649A4" w:rsidP="00756467">
      <w:pPr>
        <w:pStyle w:val="Prrafodelista"/>
        <w:numPr>
          <w:ilvl w:val="0"/>
          <w:numId w:val="5"/>
        </w:numPr>
        <w:rPr>
          <w:color w:val="000000"/>
          <w:sz w:val="22"/>
          <w:lang w:eastAsia="es-CR"/>
        </w:rPr>
      </w:pPr>
      <w:r w:rsidRPr="007473D3">
        <w:rPr>
          <w:sz w:val="22"/>
          <w:lang w:eastAsia="es-CR"/>
        </w:rPr>
        <w:t>¿</w:t>
      </w:r>
      <w:bookmarkStart w:id="149" w:name="_Hlk169161995"/>
      <w:r w:rsidRPr="007473D3">
        <w:rPr>
          <w:sz w:val="22"/>
          <w:lang w:eastAsia="es-CR"/>
        </w:rPr>
        <w:t>La entidad realiza</w:t>
      </w:r>
      <w:r w:rsidRPr="009A4467">
        <w:rPr>
          <w:sz w:val="22"/>
          <w:lang w:eastAsia="es-CR"/>
        </w:rPr>
        <w:t xml:space="preserve"> </w:t>
      </w:r>
      <w:r w:rsidRPr="009A4467">
        <w:rPr>
          <w:color w:val="000000"/>
          <w:sz w:val="22"/>
          <w:lang w:eastAsia="es-CR"/>
        </w:rPr>
        <w:t>la conversión de cifras de moneda extranjera a moneda nacional</w:t>
      </w:r>
      <w:bookmarkEnd w:id="149"/>
      <w:r w:rsidRPr="009A4467">
        <w:rPr>
          <w:color w:val="000000"/>
          <w:sz w:val="22"/>
          <w:lang w:eastAsia="es-CR"/>
        </w:rPr>
        <w:t>?</w:t>
      </w:r>
      <w:r w:rsidR="00CE551A">
        <w:fldChar w:fldCharType="begin"/>
      </w:r>
      <w:r w:rsidR="00CE551A">
        <w:instrText xml:space="preserve"> LINK </w:instrText>
      </w:r>
      <w:r w:rsidR="00756467">
        <w:instrText xml:space="preserve">Excel.SheetMacroEnabled.12 "C:\\Users\\gcordero\\Downloads\\Notas diciembre 2024\\Formato_Notas_EEFF_Vinculadas_2024\\Formato_Notas_EEFF_Vinculadas_2024\\15603_T04_2024_Anexo_Estado_Notas_Contables_Vinculadas.xlsm" NOTAS_PARTICULAR!F16C3:F16C4 </w:instrText>
      </w:r>
      <w:r w:rsidR="00CE551A">
        <w:instrText xml:space="preserve">\a \f 4 \h  \* MERGEFORMAT </w:instrText>
      </w:r>
      <w:r w:rsidR="00CE551A">
        <w:fldChar w:fldCharType="separate"/>
      </w:r>
    </w:p>
    <w:tbl>
      <w:tblPr>
        <w:tblW w:w="2240" w:type="dxa"/>
        <w:tblCellMar>
          <w:left w:w="70" w:type="dxa"/>
          <w:right w:w="70" w:type="dxa"/>
        </w:tblCellMar>
        <w:tblLook w:val="04A0" w:firstRow="1" w:lastRow="0" w:firstColumn="1" w:lastColumn="0" w:noHBand="0" w:noVBand="1"/>
      </w:tblPr>
      <w:tblGrid>
        <w:gridCol w:w="1687"/>
        <w:gridCol w:w="553"/>
      </w:tblGrid>
      <w:tr w:rsidR="00756467" w:rsidRPr="00756467" w14:paraId="07C9C89B" w14:textId="77777777" w:rsidTr="00756467">
        <w:trPr>
          <w:divId w:val="635838825"/>
          <w:trHeight w:val="288"/>
        </w:trPr>
        <w:tc>
          <w:tcPr>
            <w:tcW w:w="1687"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565CE2D1" w14:textId="63218573" w:rsidR="00756467" w:rsidRPr="00756467" w:rsidRDefault="00756467" w:rsidP="00756467">
            <w:pPr>
              <w:rPr>
                <w:rFonts w:eastAsia="Times New Roman" w:cs="Calibri"/>
                <w:color w:val="FFFFFF"/>
                <w:sz w:val="18"/>
                <w:szCs w:val="18"/>
                <w:lang w:eastAsia="es-CR"/>
              </w:rPr>
            </w:pPr>
            <w:r w:rsidRPr="00756467">
              <w:rPr>
                <w:rFonts w:eastAsia="Times New Roman" w:cs="Calibri"/>
                <w:color w:val="FFFFFF"/>
                <w:sz w:val="18"/>
                <w:szCs w:val="18"/>
                <w:lang w:eastAsia="es-CR"/>
              </w:rPr>
              <w:t>APLICACIÓN</w:t>
            </w:r>
          </w:p>
        </w:tc>
        <w:tc>
          <w:tcPr>
            <w:tcW w:w="55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7641DE" w14:textId="77777777" w:rsidR="00756467" w:rsidRPr="00756467" w:rsidRDefault="00756467" w:rsidP="00756467">
            <w:pPr>
              <w:spacing w:after="0" w:line="240" w:lineRule="auto"/>
              <w:jc w:val="center"/>
              <w:rPr>
                <w:rFonts w:eastAsia="Times New Roman" w:cs="Calibri"/>
                <w:b/>
                <w:bCs/>
                <w:i/>
                <w:iCs/>
                <w:color w:val="000000"/>
                <w:sz w:val="18"/>
                <w:szCs w:val="18"/>
                <w:lang w:eastAsia="es-CR"/>
              </w:rPr>
            </w:pPr>
            <w:r w:rsidRPr="00756467">
              <w:rPr>
                <w:rFonts w:eastAsia="Times New Roman" w:cs="Calibri"/>
                <w:b/>
                <w:bCs/>
                <w:i/>
                <w:iCs/>
                <w:color w:val="000000"/>
                <w:sz w:val="18"/>
                <w:szCs w:val="18"/>
                <w:lang w:eastAsia="es-CR"/>
              </w:rPr>
              <w:t>NO</w:t>
            </w:r>
          </w:p>
        </w:tc>
      </w:tr>
    </w:tbl>
    <w:p w14:paraId="4BEB7371" w14:textId="7F8AA618" w:rsidR="00A649A4" w:rsidRPr="009A4467" w:rsidRDefault="00CE551A" w:rsidP="00080C49">
      <w:pPr>
        <w:spacing w:before="240"/>
        <w:rPr>
          <w:rFonts w:eastAsia="Calibri"/>
          <w:b/>
          <w:bCs/>
        </w:rPr>
      </w:pPr>
      <w:r>
        <w:rPr>
          <w:rFonts w:eastAsia="Calibri"/>
          <w:b/>
          <w:bCs/>
        </w:rPr>
        <w:fldChar w:fldCharType="end"/>
      </w:r>
      <w:r w:rsidR="00A649A4" w:rsidRPr="009A4467">
        <w:rPr>
          <w:rFonts w:eastAsia="Calibri"/>
          <w:b/>
          <w:bCs/>
        </w:rPr>
        <w:t>Revelación:</w:t>
      </w:r>
    </w:p>
    <w:p w14:paraId="306D8E74" w14:textId="77777777" w:rsidR="00390266" w:rsidRPr="00B03069" w:rsidRDefault="00390266" w:rsidP="00390266">
      <w:pPr>
        <w:spacing w:after="0" w:line="240" w:lineRule="auto"/>
      </w:pPr>
      <w:r>
        <w:rPr>
          <w:rFonts w:eastAsia="Calibri"/>
        </w:rPr>
        <w:lastRenderedPageBreak/>
        <w:t xml:space="preserve">En el periodo de presentación de los estados financieros no se ha tenido que realizar conversión de cifras de moneda extranjera a moneda nacional. </w:t>
      </w:r>
      <w:r>
        <w:t>Además, l</w:t>
      </w:r>
      <w:r w:rsidRPr="00B03069">
        <w:t>a Municipalidad en su giro normal, no posee cuentas de efectivo y equivalentes de efectivo en moneda extranjera.</w:t>
      </w:r>
    </w:p>
    <w:p w14:paraId="7677D999" w14:textId="77777777" w:rsidR="00142555" w:rsidRDefault="00142555" w:rsidP="00142555">
      <w:pPr>
        <w:pStyle w:val="Prrafodelista"/>
        <w:spacing w:before="240"/>
        <w:rPr>
          <w:rFonts w:eastAsia="Calibri"/>
        </w:rPr>
      </w:pPr>
    </w:p>
    <w:p w14:paraId="43FDC378" w14:textId="074C4A00" w:rsidR="00756467" w:rsidRPr="00756467" w:rsidRDefault="00A649A4" w:rsidP="00756467">
      <w:pPr>
        <w:pStyle w:val="Prrafodelista"/>
        <w:numPr>
          <w:ilvl w:val="0"/>
          <w:numId w:val="5"/>
        </w:numPr>
        <w:rPr>
          <w:rFonts w:eastAsia="Calibri"/>
        </w:rPr>
      </w:pPr>
      <w:r w:rsidRPr="00A90750">
        <w:rPr>
          <w:color w:val="000000"/>
          <w:sz w:val="22"/>
          <w:lang w:eastAsia="es-CR"/>
        </w:rPr>
        <w:t>¿</w:t>
      </w:r>
      <w:bookmarkStart w:id="150" w:name="_Hlk169162004"/>
      <w:r w:rsidRPr="00A90750">
        <w:rPr>
          <w:color w:val="000000"/>
          <w:sz w:val="22"/>
          <w:lang w:eastAsia="es-CR"/>
        </w:rPr>
        <w:t>El método de evaluación para inventarios utilizado por la institución es PEPS</w:t>
      </w:r>
      <w:bookmarkEnd w:id="150"/>
      <w:r w:rsidRPr="00A90750">
        <w:rPr>
          <w:color w:val="000000"/>
          <w:sz w:val="22"/>
          <w:lang w:eastAsia="es-CR"/>
        </w:rPr>
        <w:t>?</w:t>
      </w:r>
      <w:r w:rsidR="00CE551A">
        <w:rPr>
          <w:lang w:eastAsia="es-CR"/>
        </w:rPr>
        <w:fldChar w:fldCharType="begin"/>
      </w:r>
      <w:r w:rsidR="00CE551A">
        <w:rPr>
          <w:lang w:eastAsia="es-CR"/>
        </w:rPr>
        <w:instrText xml:space="preserve"> LINK </w:instrText>
      </w:r>
      <w:r w:rsidR="00756467">
        <w:rPr>
          <w:lang w:eastAsia="es-CR"/>
        </w:rPr>
        <w:instrText xml:space="preserve">Excel.SheetMacroEnabled.12 "C:\\Users\\gcordero\\Downloads\\Notas diciembre 2024\\Formato_Notas_EEFF_Vinculadas_2024\\Formato_Notas_EEFF_Vinculadas_2024\\15603_T04_2024_Anexo_Estado_Notas_Contables_Vinculadas.xlsm" NOTAS_PARTICULAR!F17C3:F17C4 </w:instrText>
      </w:r>
      <w:r w:rsidR="00CE551A">
        <w:rPr>
          <w:lang w:eastAsia="es-CR"/>
        </w:rPr>
        <w:instrText xml:space="preserve">\a \f 4 \h  \* MERGEFORMAT </w:instrText>
      </w:r>
      <w:r w:rsidR="00CE551A">
        <w:rPr>
          <w:lang w:eastAsia="es-CR"/>
        </w:rPr>
        <w:fldChar w:fldCharType="separate"/>
      </w:r>
    </w:p>
    <w:tbl>
      <w:tblPr>
        <w:tblW w:w="2240" w:type="dxa"/>
        <w:tblCellMar>
          <w:left w:w="70" w:type="dxa"/>
          <w:right w:w="70" w:type="dxa"/>
        </w:tblCellMar>
        <w:tblLook w:val="04A0" w:firstRow="1" w:lastRow="0" w:firstColumn="1" w:lastColumn="0" w:noHBand="0" w:noVBand="1"/>
      </w:tblPr>
      <w:tblGrid>
        <w:gridCol w:w="1549"/>
        <w:gridCol w:w="691"/>
      </w:tblGrid>
      <w:tr w:rsidR="00756467" w:rsidRPr="00756467" w14:paraId="693E64FA" w14:textId="77777777" w:rsidTr="00756467">
        <w:trPr>
          <w:divId w:val="51464020"/>
          <w:trHeight w:val="288"/>
        </w:trPr>
        <w:tc>
          <w:tcPr>
            <w:tcW w:w="1549"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72F11A12" w14:textId="19B4B12D" w:rsidR="00756467" w:rsidRPr="00756467" w:rsidRDefault="00756467" w:rsidP="00756467">
            <w:pPr>
              <w:rPr>
                <w:rFonts w:eastAsia="Times New Roman" w:cs="Calibri"/>
                <w:color w:val="FFFFFF"/>
                <w:sz w:val="18"/>
                <w:szCs w:val="18"/>
                <w:lang w:eastAsia="es-CR"/>
              </w:rPr>
            </w:pPr>
            <w:r w:rsidRPr="00756467">
              <w:rPr>
                <w:rFonts w:eastAsia="Times New Roman" w:cs="Calibri"/>
                <w:color w:val="FFFFFF"/>
                <w:sz w:val="18"/>
                <w:szCs w:val="18"/>
                <w:lang w:eastAsia="es-CR"/>
              </w:rPr>
              <w:t>APLICACIÓN</w:t>
            </w:r>
          </w:p>
        </w:tc>
        <w:tc>
          <w:tcPr>
            <w:tcW w:w="69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822126" w14:textId="77777777" w:rsidR="00756467" w:rsidRPr="00756467" w:rsidRDefault="00756467" w:rsidP="00756467">
            <w:pPr>
              <w:spacing w:after="0" w:line="240" w:lineRule="auto"/>
              <w:jc w:val="center"/>
              <w:rPr>
                <w:rFonts w:eastAsia="Times New Roman" w:cs="Calibri"/>
                <w:b/>
                <w:bCs/>
                <w:i/>
                <w:iCs/>
                <w:color w:val="000000"/>
                <w:sz w:val="18"/>
                <w:szCs w:val="18"/>
                <w:lang w:eastAsia="es-CR"/>
              </w:rPr>
            </w:pPr>
            <w:r w:rsidRPr="00756467">
              <w:rPr>
                <w:rFonts w:eastAsia="Times New Roman" w:cs="Calibri"/>
                <w:b/>
                <w:bCs/>
                <w:i/>
                <w:iCs/>
                <w:color w:val="000000"/>
                <w:sz w:val="18"/>
                <w:szCs w:val="18"/>
                <w:lang w:eastAsia="es-CR"/>
              </w:rPr>
              <w:t>SI</w:t>
            </w:r>
          </w:p>
        </w:tc>
      </w:tr>
    </w:tbl>
    <w:p w14:paraId="70548932" w14:textId="0F12C2C5" w:rsidR="00A649A4" w:rsidRPr="009A4467" w:rsidRDefault="00CE551A" w:rsidP="00080C49">
      <w:pPr>
        <w:spacing w:before="240"/>
        <w:rPr>
          <w:b/>
          <w:bCs/>
          <w:sz w:val="22"/>
          <w:lang w:eastAsia="es-CR"/>
        </w:rPr>
      </w:pPr>
      <w:r>
        <w:rPr>
          <w:b/>
          <w:bCs/>
          <w:sz w:val="22"/>
          <w:lang w:eastAsia="es-CR"/>
        </w:rPr>
        <w:fldChar w:fldCharType="end"/>
      </w:r>
      <w:r w:rsidR="00A649A4" w:rsidRPr="009A4467">
        <w:rPr>
          <w:b/>
          <w:bCs/>
          <w:sz w:val="22"/>
          <w:lang w:eastAsia="es-CR"/>
        </w:rPr>
        <w:t>Revelación:</w:t>
      </w:r>
    </w:p>
    <w:p w14:paraId="33264821" w14:textId="77777777" w:rsidR="00390266" w:rsidRPr="00B03069" w:rsidRDefault="00390266" w:rsidP="00390266">
      <w:pPr>
        <w:spacing w:after="0" w:line="240" w:lineRule="auto"/>
      </w:pPr>
      <w:r w:rsidRPr="00B03069">
        <w:t>La Municipalidad de Buenos Aires tiene como política para efectos de valuación de sus inventarios usar el método PEPS, el cual es el recomendado por la Contabilidad Nacional</w:t>
      </w:r>
      <w:r>
        <w:t xml:space="preserve"> como parte de las Políticas Generales</w:t>
      </w:r>
      <w:r w:rsidRPr="00B03069">
        <w:t>.</w:t>
      </w:r>
    </w:p>
    <w:p w14:paraId="233929D7" w14:textId="77777777" w:rsidR="00142555" w:rsidRDefault="00142555" w:rsidP="00142555">
      <w:pPr>
        <w:rPr>
          <w:color w:val="000000"/>
          <w:sz w:val="22"/>
          <w:lang w:eastAsia="es-CR"/>
        </w:rPr>
      </w:pPr>
    </w:p>
    <w:p w14:paraId="32875E5B" w14:textId="77777777" w:rsidR="0034405E" w:rsidRDefault="0034405E" w:rsidP="00142555">
      <w:pPr>
        <w:rPr>
          <w:color w:val="000000"/>
          <w:sz w:val="22"/>
          <w:lang w:eastAsia="es-CR"/>
        </w:rPr>
      </w:pPr>
    </w:p>
    <w:p w14:paraId="208C073D" w14:textId="77777777" w:rsidR="0034405E" w:rsidRPr="00142555" w:rsidRDefault="0034405E" w:rsidP="00142555">
      <w:pPr>
        <w:rPr>
          <w:color w:val="000000"/>
          <w:sz w:val="22"/>
          <w:lang w:eastAsia="es-CR"/>
        </w:rPr>
      </w:pPr>
    </w:p>
    <w:p w14:paraId="1C86154E" w14:textId="1A6A1B26" w:rsidR="00756467" w:rsidRPr="00756467" w:rsidRDefault="00A649A4" w:rsidP="00756467">
      <w:pPr>
        <w:pStyle w:val="Prrafodelista"/>
        <w:numPr>
          <w:ilvl w:val="0"/>
          <w:numId w:val="5"/>
        </w:numPr>
        <w:rPr>
          <w:color w:val="000000"/>
          <w:sz w:val="22"/>
          <w:lang w:eastAsia="es-CR"/>
        </w:rPr>
      </w:pPr>
      <w:r w:rsidRPr="009A4467">
        <w:rPr>
          <w:color w:val="000000"/>
          <w:sz w:val="22"/>
          <w:lang w:eastAsia="es-CR"/>
        </w:rPr>
        <w:t>¿</w:t>
      </w:r>
      <w:bookmarkStart w:id="151" w:name="_Hlk169162015"/>
      <w:r w:rsidRPr="007473D3">
        <w:rPr>
          <w:color w:val="000000"/>
          <w:sz w:val="22"/>
          <w:lang w:eastAsia="es-CR"/>
        </w:rPr>
        <w:t>El método de utilizado por</w:t>
      </w:r>
      <w:r w:rsidRPr="009A4467">
        <w:rPr>
          <w:color w:val="000000"/>
          <w:sz w:val="22"/>
          <w:lang w:eastAsia="es-CR"/>
        </w:rPr>
        <w:t xml:space="preserve"> la Institución es Estimación por Incobrables (ANTIGÜEDAD DE SALDOS</w:t>
      </w:r>
      <w:bookmarkEnd w:id="151"/>
      <w:r w:rsidRPr="009A4467">
        <w:rPr>
          <w:color w:val="000000"/>
          <w:sz w:val="22"/>
          <w:lang w:eastAsia="es-CR"/>
        </w:rPr>
        <w:t>)?</w:t>
      </w:r>
      <w:r w:rsidR="00821CA9">
        <w:fldChar w:fldCharType="begin"/>
      </w:r>
      <w:r w:rsidR="00821CA9">
        <w:instrText xml:space="preserve"> LINK </w:instrText>
      </w:r>
      <w:r w:rsidR="00756467">
        <w:instrText xml:space="preserve">Excel.SheetMacroEnabled.12 "C:\\Users\\gcordero\\Downloads\\Notas diciembre 2024\\Formato_Notas_EEFF_Vinculadas_2024\\Formato_Notas_EEFF_Vinculadas_2024\\15603_T04_2024_Anexo_Estado_Notas_Contables_Vinculadas.xlsm" NOTAS_PARTICULAR!F18C3:F18C4 </w:instrText>
      </w:r>
      <w:r w:rsidR="00821CA9">
        <w:instrText xml:space="preserve">\a \f 4 \h  \* MERGEFORMAT </w:instrText>
      </w:r>
      <w:r w:rsidR="00821CA9">
        <w:fldChar w:fldCharType="separate"/>
      </w:r>
    </w:p>
    <w:tbl>
      <w:tblPr>
        <w:tblW w:w="2240" w:type="dxa"/>
        <w:tblCellMar>
          <w:left w:w="70" w:type="dxa"/>
          <w:right w:w="70" w:type="dxa"/>
        </w:tblCellMar>
        <w:tblLook w:val="04A0" w:firstRow="1" w:lastRow="0" w:firstColumn="1" w:lastColumn="0" w:noHBand="0" w:noVBand="1"/>
      </w:tblPr>
      <w:tblGrid>
        <w:gridCol w:w="1807"/>
        <w:gridCol w:w="433"/>
      </w:tblGrid>
      <w:tr w:rsidR="00756467" w:rsidRPr="00756467" w14:paraId="07A013B0" w14:textId="77777777" w:rsidTr="00756467">
        <w:trPr>
          <w:divId w:val="345449617"/>
          <w:trHeight w:val="288"/>
        </w:trPr>
        <w:tc>
          <w:tcPr>
            <w:tcW w:w="1807"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5CE2B97E" w14:textId="231FF852" w:rsidR="00756467" w:rsidRPr="00756467" w:rsidRDefault="00756467" w:rsidP="00756467">
            <w:pPr>
              <w:rPr>
                <w:rFonts w:eastAsia="Times New Roman" w:cs="Calibri"/>
                <w:color w:val="FFFFFF"/>
                <w:sz w:val="18"/>
                <w:szCs w:val="18"/>
                <w:lang w:eastAsia="es-CR"/>
              </w:rPr>
            </w:pPr>
            <w:r w:rsidRPr="00756467">
              <w:rPr>
                <w:rFonts w:eastAsia="Times New Roman" w:cs="Calibri"/>
                <w:color w:val="FFFFFF"/>
                <w:sz w:val="18"/>
                <w:szCs w:val="18"/>
                <w:lang w:eastAsia="es-CR"/>
              </w:rPr>
              <w:t>APLICACIÓN</w:t>
            </w:r>
          </w:p>
        </w:tc>
        <w:tc>
          <w:tcPr>
            <w:tcW w:w="43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F30F56" w14:textId="77777777" w:rsidR="00756467" w:rsidRPr="00756467" w:rsidRDefault="00756467" w:rsidP="00756467">
            <w:pPr>
              <w:spacing w:after="0" w:line="240" w:lineRule="auto"/>
              <w:jc w:val="center"/>
              <w:rPr>
                <w:rFonts w:eastAsia="Times New Roman" w:cs="Calibri"/>
                <w:b/>
                <w:bCs/>
                <w:i/>
                <w:iCs/>
                <w:color w:val="000000"/>
                <w:sz w:val="18"/>
                <w:szCs w:val="18"/>
                <w:lang w:eastAsia="es-CR"/>
              </w:rPr>
            </w:pPr>
            <w:r w:rsidRPr="00756467">
              <w:rPr>
                <w:rFonts w:eastAsia="Times New Roman" w:cs="Calibri"/>
                <w:b/>
                <w:bCs/>
                <w:i/>
                <w:iCs/>
                <w:color w:val="000000"/>
                <w:sz w:val="18"/>
                <w:szCs w:val="18"/>
                <w:lang w:eastAsia="es-CR"/>
              </w:rPr>
              <w:t>SI</w:t>
            </w:r>
          </w:p>
        </w:tc>
      </w:tr>
    </w:tbl>
    <w:p w14:paraId="797AD390" w14:textId="3BF6FF67" w:rsidR="00A649A4" w:rsidRPr="009A4467" w:rsidRDefault="00821CA9" w:rsidP="00080C49">
      <w:pPr>
        <w:spacing w:before="240"/>
        <w:rPr>
          <w:rFonts w:eastAsia="Calibri"/>
          <w:b/>
          <w:bCs/>
        </w:rPr>
      </w:pPr>
      <w:r>
        <w:rPr>
          <w:rFonts w:eastAsia="Calibri"/>
          <w:b/>
          <w:bCs/>
        </w:rPr>
        <w:fldChar w:fldCharType="end"/>
      </w:r>
      <w:r w:rsidR="00A649A4" w:rsidRPr="009A4467">
        <w:rPr>
          <w:rFonts w:eastAsia="Calibri"/>
          <w:b/>
          <w:bCs/>
        </w:rPr>
        <w:t>Revelación:</w:t>
      </w:r>
    </w:p>
    <w:p w14:paraId="24C9E559" w14:textId="77777777" w:rsidR="00390266" w:rsidRDefault="00390266" w:rsidP="00390266">
      <w:pPr>
        <w:spacing w:after="0" w:line="240" w:lineRule="auto"/>
      </w:pPr>
      <w:r w:rsidRPr="00B03069">
        <w:t>La Municipalidad de Buenos Aires utiliza el método de Antigüedad de Saldos para efectos de estimar el deterioro de las Cuantas por Cobrar (Estimación por Incobrables), para lo cual se considerará el grado de morosidad que presenten las cuentas por cobrar.</w:t>
      </w:r>
    </w:p>
    <w:p w14:paraId="3C9E4F3A" w14:textId="77777777" w:rsidR="00142555" w:rsidRPr="00142555" w:rsidRDefault="00142555" w:rsidP="00142555">
      <w:pPr>
        <w:pStyle w:val="Prrafodelista"/>
        <w:rPr>
          <w:sz w:val="22"/>
          <w:lang w:eastAsia="es-CR"/>
        </w:rPr>
      </w:pPr>
    </w:p>
    <w:p w14:paraId="571DB645" w14:textId="7E5168FF" w:rsidR="00756467" w:rsidRPr="00756467" w:rsidRDefault="00A649A4" w:rsidP="00756467">
      <w:pPr>
        <w:pStyle w:val="Prrafodelista"/>
        <w:numPr>
          <w:ilvl w:val="0"/>
          <w:numId w:val="5"/>
        </w:numPr>
        <w:rPr>
          <w:sz w:val="22"/>
          <w:lang w:eastAsia="es-CR"/>
        </w:rPr>
      </w:pPr>
      <w:r w:rsidRPr="009A4467">
        <w:rPr>
          <w:color w:val="000000"/>
          <w:sz w:val="22"/>
          <w:lang w:eastAsia="es-CR"/>
        </w:rPr>
        <w:t>¿</w:t>
      </w:r>
      <w:bookmarkStart w:id="152" w:name="_Hlk169162022"/>
      <w:r w:rsidRPr="007473D3">
        <w:rPr>
          <w:color w:val="000000"/>
          <w:sz w:val="22"/>
          <w:lang w:eastAsia="es-CR"/>
        </w:rPr>
        <w:t>El método utilizado</w:t>
      </w:r>
      <w:r w:rsidRPr="009A4467">
        <w:rPr>
          <w:color w:val="000000"/>
          <w:sz w:val="22"/>
          <w:lang w:eastAsia="es-CR"/>
        </w:rPr>
        <w:t xml:space="preserve"> en la Institución para la Depreciación o agotamiento es Línea Recta?</w:t>
      </w:r>
      <w:bookmarkEnd w:id="152"/>
      <w:r w:rsidR="00821CA9">
        <w:fldChar w:fldCharType="begin"/>
      </w:r>
      <w:r w:rsidR="00821CA9">
        <w:instrText xml:space="preserve"> LINK </w:instrText>
      </w:r>
      <w:r w:rsidR="00756467">
        <w:instrText xml:space="preserve">Excel.SheetMacroEnabled.12 "C:\\Users\\gcordero\\Downloads\\Notas diciembre 2024\\Formato_Notas_EEFF_Vinculadas_2024\\Formato_Notas_EEFF_Vinculadas_2024\\15603_T04_2024_Anexo_Estado_Notas_Contables_Vinculadas.xlsm" NOTAS_PARTICULAR!F19C3:F19C4 </w:instrText>
      </w:r>
      <w:r w:rsidR="00821CA9">
        <w:instrText xml:space="preserve">\a \f 4 \h  \* MERGEFORMAT </w:instrText>
      </w:r>
      <w:r w:rsidR="00821CA9">
        <w:fldChar w:fldCharType="separate"/>
      </w:r>
    </w:p>
    <w:tbl>
      <w:tblPr>
        <w:tblW w:w="2240" w:type="dxa"/>
        <w:tblCellMar>
          <w:left w:w="70" w:type="dxa"/>
          <w:right w:w="70" w:type="dxa"/>
        </w:tblCellMar>
        <w:tblLook w:val="04A0" w:firstRow="1" w:lastRow="0" w:firstColumn="1" w:lastColumn="0" w:noHBand="0" w:noVBand="1"/>
      </w:tblPr>
      <w:tblGrid>
        <w:gridCol w:w="1486"/>
        <w:gridCol w:w="754"/>
      </w:tblGrid>
      <w:tr w:rsidR="00756467" w:rsidRPr="00756467" w14:paraId="404645A4" w14:textId="77777777" w:rsidTr="00756467">
        <w:trPr>
          <w:divId w:val="510294455"/>
          <w:trHeight w:val="288"/>
        </w:trPr>
        <w:tc>
          <w:tcPr>
            <w:tcW w:w="1486"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08EED5A4" w14:textId="62EA71D4" w:rsidR="00756467" w:rsidRPr="00756467" w:rsidRDefault="00756467" w:rsidP="00756467">
            <w:pPr>
              <w:rPr>
                <w:rFonts w:eastAsia="Times New Roman" w:cs="Calibri"/>
                <w:color w:val="FFFFFF"/>
                <w:sz w:val="18"/>
                <w:szCs w:val="18"/>
                <w:lang w:eastAsia="es-CR"/>
              </w:rPr>
            </w:pPr>
            <w:r w:rsidRPr="00756467">
              <w:rPr>
                <w:rFonts w:eastAsia="Times New Roman" w:cs="Calibri"/>
                <w:color w:val="FFFFFF"/>
                <w:sz w:val="18"/>
                <w:szCs w:val="18"/>
                <w:lang w:eastAsia="es-CR"/>
              </w:rPr>
              <w:t>APLICACIÓN</w:t>
            </w:r>
          </w:p>
        </w:tc>
        <w:tc>
          <w:tcPr>
            <w:tcW w:w="75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D869D1D" w14:textId="77777777" w:rsidR="00756467" w:rsidRPr="00756467" w:rsidRDefault="00756467" w:rsidP="00756467">
            <w:pPr>
              <w:spacing w:after="0" w:line="240" w:lineRule="auto"/>
              <w:jc w:val="center"/>
              <w:rPr>
                <w:rFonts w:eastAsia="Times New Roman" w:cs="Calibri"/>
                <w:b/>
                <w:bCs/>
                <w:i/>
                <w:iCs/>
                <w:color w:val="000000"/>
                <w:sz w:val="18"/>
                <w:szCs w:val="18"/>
                <w:lang w:eastAsia="es-CR"/>
              </w:rPr>
            </w:pPr>
            <w:r w:rsidRPr="00756467">
              <w:rPr>
                <w:rFonts w:eastAsia="Times New Roman" w:cs="Calibri"/>
                <w:b/>
                <w:bCs/>
                <w:i/>
                <w:iCs/>
                <w:color w:val="000000"/>
                <w:sz w:val="18"/>
                <w:szCs w:val="18"/>
                <w:lang w:eastAsia="es-CR"/>
              </w:rPr>
              <w:t>SI</w:t>
            </w:r>
          </w:p>
        </w:tc>
      </w:tr>
    </w:tbl>
    <w:p w14:paraId="4FD7A836" w14:textId="549FFECF" w:rsidR="00A649A4" w:rsidRPr="00080C49" w:rsidRDefault="00821CA9" w:rsidP="00080C49">
      <w:pPr>
        <w:spacing w:before="240"/>
        <w:rPr>
          <w:rFonts w:eastAsia="Calibri"/>
          <w:b/>
          <w:bCs/>
        </w:rPr>
      </w:pPr>
      <w:r>
        <w:rPr>
          <w:rFonts w:eastAsia="Calibri"/>
          <w:b/>
          <w:bCs/>
        </w:rPr>
        <w:fldChar w:fldCharType="end"/>
      </w:r>
      <w:r w:rsidR="00A649A4" w:rsidRPr="009A4467">
        <w:rPr>
          <w:rFonts w:eastAsia="Calibri"/>
          <w:b/>
          <w:bCs/>
        </w:rPr>
        <w:t>Revelación:</w:t>
      </w:r>
    </w:p>
    <w:p w14:paraId="3648FA39" w14:textId="77777777" w:rsidR="00390266" w:rsidRPr="00B03069" w:rsidRDefault="00390266" w:rsidP="00390266">
      <w:pPr>
        <w:spacing w:after="0" w:line="240" w:lineRule="auto"/>
      </w:pPr>
      <w:r w:rsidRPr="00B03069">
        <w:t>La Municipalidad adoptó el método de Línea Recta para la depreciación de los activos Propiedad, planta y equipo y la depreciación se inicia a partir del mes siguiente a que el mismo es puesto en operación. Sobre el particular, se debe indicar que, como parte del proceso de implementación de las NICSP, se está llevando a cabo un proceso de fortalecimiento de la administración y control de los activos de dicha clasificación que posee la Municipalidad</w:t>
      </w:r>
      <w:r>
        <w:t xml:space="preserve">. Al respecto, se emitió el reglamento para la administración de los bienes de la Municipalidad de Buenos Aires. Además, </w:t>
      </w:r>
      <w:r w:rsidRPr="00B03069">
        <w:t xml:space="preserve">como parte de ese proceso se está revisando lo concerniente a las vidas útiles de aquellos activos que se tienen en uso </w:t>
      </w:r>
      <w:r w:rsidRPr="00B03069">
        <w:lastRenderedPageBreak/>
        <w:t>y que ya sobrepasaron la vida útil estimada definida por la Dirección General de Contabilidad en la Directriz Nº CN-001-2009 del 23 de noviembre de 2009.</w:t>
      </w:r>
    </w:p>
    <w:p w14:paraId="0476F44E" w14:textId="77777777" w:rsidR="00AA7229" w:rsidRDefault="00AA7229" w:rsidP="008648FD">
      <w:pPr>
        <w:rPr>
          <w:sz w:val="22"/>
          <w:lang w:eastAsia="es-CR"/>
        </w:rPr>
      </w:pPr>
    </w:p>
    <w:p w14:paraId="2BB48471" w14:textId="223EC00C" w:rsidR="00756467" w:rsidRPr="00756467" w:rsidRDefault="00A649A4" w:rsidP="00756467">
      <w:pPr>
        <w:pStyle w:val="Prrafodelista"/>
        <w:numPr>
          <w:ilvl w:val="0"/>
          <w:numId w:val="5"/>
        </w:numPr>
        <w:rPr>
          <w:color w:val="000000"/>
          <w:sz w:val="22"/>
          <w:lang w:eastAsia="es-CR"/>
        </w:rPr>
      </w:pPr>
      <w:r w:rsidRPr="009A4467">
        <w:rPr>
          <w:color w:val="000000"/>
          <w:sz w:val="22"/>
          <w:lang w:eastAsia="es-CR"/>
        </w:rPr>
        <w:t>¿</w:t>
      </w:r>
      <w:bookmarkStart w:id="153" w:name="_Hlk169162030"/>
      <w:r w:rsidRPr="007473D3">
        <w:rPr>
          <w:color w:val="000000"/>
          <w:sz w:val="22"/>
          <w:lang w:eastAsia="es-CR"/>
        </w:rPr>
        <w:t>La entidad</w:t>
      </w:r>
      <w:r w:rsidRPr="009A4467">
        <w:rPr>
          <w:color w:val="000000"/>
          <w:sz w:val="22"/>
          <w:lang w:eastAsia="es-CR"/>
        </w:rPr>
        <w:t xml:space="preserve"> lleva los libros contables en formato digital?</w:t>
      </w:r>
      <w:bookmarkEnd w:id="153"/>
      <w:r w:rsidR="00821CA9">
        <w:fldChar w:fldCharType="begin"/>
      </w:r>
      <w:r w:rsidR="00821CA9">
        <w:instrText xml:space="preserve"> LINK </w:instrText>
      </w:r>
      <w:r w:rsidR="00756467">
        <w:instrText xml:space="preserve">Excel.SheetMacroEnabled.12 "C:\\Users\\gcordero\\Downloads\\Notas diciembre 2024\\Formato_Notas_EEFF_Vinculadas_2024\\Formato_Notas_EEFF_Vinculadas_2024\\15603_T04_2024_Anexo_Estado_Notas_Contables_Vinculadas.xlsm" NOTAS_PARTICULAR!F21C3:F21C4 </w:instrText>
      </w:r>
      <w:r w:rsidR="00821CA9">
        <w:instrText xml:space="preserve">\a \f 4 \h  \* MERGEFORMAT </w:instrText>
      </w:r>
      <w:r w:rsidR="00821CA9">
        <w:fldChar w:fldCharType="separate"/>
      </w:r>
    </w:p>
    <w:tbl>
      <w:tblPr>
        <w:tblW w:w="2240" w:type="dxa"/>
        <w:tblCellMar>
          <w:left w:w="70" w:type="dxa"/>
          <w:right w:w="70" w:type="dxa"/>
        </w:tblCellMar>
        <w:tblLook w:val="04A0" w:firstRow="1" w:lastRow="0" w:firstColumn="1" w:lastColumn="0" w:noHBand="0" w:noVBand="1"/>
      </w:tblPr>
      <w:tblGrid>
        <w:gridCol w:w="1486"/>
        <w:gridCol w:w="754"/>
      </w:tblGrid>
      <w:tr w:rsidR="00756467" w:rsidRPr="00756467" w14:paraId="32A58254" w14:textId="77777777" w:rsidTr="00756467">
        <w:trPr>
          <w:divId w:val="1785415160"/>
          <w:trHeight w:val="288"/>
        </w:trPr>
        <w:tc>
          <w:tcPr>
            <w:tcW w:w="1486"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45E10775" w14:textId="1285A26A" w:rsidR="00756467" w:rsidRPr="00756467" w:rsidRDefault="00756467" w:rsidP="00756467">
            <w:pPr>
              <w:rPr>
                <w:rFonts w:eastAsia="Times New Roman" w:cs="Calibri"/>
                <w:color w:val="FFFFFF"/>
                <w:sz w:val="18"/>
                <w:szCs w:val="18"/>
                <w:lang w:eastAsia="es-CR"/>
              </w:rPr>
            </w:pPr>
            <w:r w:rsidRPr="00756467">
              <w:rPr>
                <w:rFonts w:eastAsia="Times New Roman" w:cs="Calibri"/>
                <w:color w:val="FFFFFF"/>
                <w:sz w:val="18"/>
                <w:szCs w:val="18"/>
                <w:lang w:eastAsia="es-CR"/>
              </w:rPr>
              <w:t>APLICACIÓN</w:t>
            </w:r>
          </w:p>
        </w:tc>
        <w:tc>
          <w:tcPr>
            <w:tcW w:w="75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E7FB6D" w14:textId="77777777" w:rsidR="00756467" w:rsidRPr="00756467" w:rsidRDefault="00756467" w:rsidP="00756467">
            <w:pPr>
              <w:spacing w:after="0" w:line="240" w:lineRule="auto"/>
              <w:jc w:val="center"/>
              <w:rPr>
                <w:rFonts w:eastAsia="Times New Roman" w:cs="Calibri"/>
                <w:b/>
                <w:bCs/>
                <w:i/>
                <w:iCs/>
                <w:color w:val="000000"/>
                <w:sz w:val="18"/>
                <w:szCs w:val="18"/>
                <w:lang w:eastAsia="es-CR"/>
              </w:rPr>
            </w:pPr>
            <w:r w:rsidRPr="00756467">
              <w:rPr>
                <w:rFonts w:eastAsia="Times New Roman" w:cs="Calibri"/>
                <w:b/>
                <w:bCs/>
                <w:i/>
                <w:iCs/>
                <w:color w:val="000000"/>
                <w:sz w:val="18"/>
                <w:szCs w:val="18"/>
                <w:lang w:eastAsia="es-CR"/>
              </w:rPr>
              <w:t>NO</w:t>
            </w:r>
          </w:p>
        </w:tc>
      </w:tr>
    </w:tbl>
    <w:p w14:paraId="76F3A27D" w14:textId="403DDB8D" w:rsidR="00A649A4" w:rsidRPr="009A4467" w:rsidRDefault="00821CA9" w:rsidP="00080C49">
      <w:pPr>
        <w:spacing w:before="240"/>
        <w:rPr>
          <w:rFonts w:eastAsia="Calibri"/>
          <w:b/>
          <w:bCs/>
        </w:rPr>
      </w:pPr>
      <w:r>
        <w:rPr>
          <w:rFonts w:eastAsia="Calibri"/>
          <w:b/>
          <w:bCs/>
        </w:rPr>
        <w:fldChar w:fldCharType="end"/>
      </w:r>
      <w:r w:rsidR="00A649A4" w:rsidRPr="009A4467">
        <w:rPr>
          <w:rFonts w:eastAsia="Calibri"/>
          <w:b/>
          <w:bCs/>
        </w:rPr>
        <w:t>Revelación:</w:t>
      </w:r>
    </w:p>
    <w:p w14:paraId="5481682E" w14:textId="7A1AD6E2" w:rsidR="00142555" w:rsidRDefault="00390266" w:rsidP="00390266">
      <w:pPr>
        <w:pStyle w:val="Prrafodelista"/>
        <w:spacing w:before="240"/>
        <w:ind w:left="0"/>
        <w:rPr>
          <w:szCs w:val="24"/>
        </w:rPr>
      </w:pPr>
      <w:r w:rsidRPr="004E1BAE">
        <w:rPr>
          <w:szCs w:val="24"/>
        </w:rPr>
        <w:t>La Municipalidad de Buenos Aires lleva sus libros legales mediante hojas de Excel observando en todos sus aspectos lo establecido por la normativa legal y técnica vigente. En adición, la Administración se encuentra en conversaciones con la empresa encargada de desarrollar el sistema de información financiero, con el fin de desarrollar un módulo de libros digitales</w:t>
      </w:r>
      <w:r w:rsidR="00A90750">
        <w:rPr>
          <w:szCs w:val="24"/>
        </w:rPr>
        <w:t>.</w:t>
      </w:r>
    </w:p>
    <w:p w14:paraId="3475F6A2" w14:textId="77777777" w:rsidR="00A90750" w:rsidRDefault="00A90750" w:rsidP="00390266">
      <w:pPr>
        <w:pStyle w:val="Prrafodelista"/>
        <w:spacing w:before="240"/>
        <w:ind w:left="0"/>
        <w:rPr>
          <w:color w:val="000000"/>
          <w:sz w:val="22"/>
          <w:lang w:eastAsia="es-CR"/>
        </w:rPr>
      </w:pPr>
    </w:p>
    <w:p w14:paraId="5C490CB9" w14:textId="0A7E1FB0" w:rsidR="00756467" w:rsidRPr="00756467" w:rsidRDefault="00A649A4" w:rsidP="00756467">
      <w:pPr>
        <w:pStyle w:val="Prrafodelista"/>
        <w:numPr>
          <w:ilvl w:val="0"/>
          <w:numId w:val="5"/>
        </w:numPr>
        <w:rPr>
          <w:color w:val="000000"/>
          <w:sz w:val="22"/>
          <w:lang w:eastAsia="es-CR"/>
        </w:rPr>
      </w:pPr>
      <w:r w:rsidRPr="007473D3">
        <w:rPr>
          <w:color w:val="000000"/>
          <w:sz w:val="22"/>
          <w:lang w:eastAsia="es-CR"/>
        </w:rPr>
        <w:t>¿</w:t>
      </w:r>
      <w:bookmarkStart w:id="154" w:name="_Hlk169162037"/>
      <w:r w:rsidRPr="007473D3">
        <w:rPr>
          <w:color w:val="000000"/>
          <w:sz w:val="22"/>
          <w:lang w:eastAsia="es-CR"/>
        </w:rPr>
        <w:t>Los libros</w:t>
      </w:r>
      <w:r w:rsidRPr="009A4467">
        <w:rPr>
          <w:color w:val="000000"/>
          <w:sz w:val="22"/>
          <w:lang w:eastAsia="es-CR"/>
        </w:rPr>
        <w:t xml:space="preserve"> contables se encuentran actualizados</w:t>
      </w:r>
      <w:bookmarkEnd w:id="154"/>
      <w:r w:rsidRPr="009A4467">
        <w:rPr>
          <w:color w:val="000000"/>
          <w:sz w:val="22"/>
          <w:lang w:eastAsia="es-CR"/>
        </w:rPr>
        <w:t>?</w:t>
      </w:r>
      <w:r w:rsidR="00821CA9">
        <w:fldChar w:fldCharType="begin"/>
      </w:r>
      <w:r w:rsidR="00821CA9">
        <w:instrText xml:space="preserve"> LINK </w:instrText>
      </w:r>
      <w:r w:rsidR="00756467">
        <w:instrText xml:space="preserve">Excel.SheetMacroEnabled.12 "C:\\Users\\gcordero\\Downloads\\Notas diciembre 2024\\Formato_Notas_EEFF_Vinculadas_2024\\Formato_Notas_EEFF_Vinculadas_2024\\15603_T04_2024_Anexo_Estado_Notas_Contables_Vinculadas.xlsm" NOTAS_PARTICULAR!F22C3:F22C4 </w:instrText>
      </w:r>
      <w:r w:rsidR="00821CA9">
        <w:instrText xml:space="preserve">\a \f 4 \h  \* MERGEFORMAT </w:instrText>
      </w:r>
      <w:r w:rsidR="00821CA9">
        <w:fldChar w:fldCharType="separate"/>
      </w:r>
    </w:p>
    <w:tbl>
      <w:tblPr>
        <w:tblW w:w="2117" w:type="dxa"/>
        <w:tblCellMar>
          <w:left w:w="70" w:type="dxa"/>
          <w:right w:w="70" w:type="dxa"/>
        </w:tblCellMar>
        <w:tblLook w:val="04A0" w:firstRow="1" w:lastRow="0" w:firstColumn="1" w:lastColumn="0" w:noHBand="0" w:noVBand="1"/>
      </w:tblPr>
      <w:tblGrid>
        <w:gridCol w:w="1550"/>
        <w:gridCol w:w="567"/>
      </w:tblGrid>
      <w:tr w:rsidR="00756467" w:rsidRPr="00756467" w14:paraId="7A681806" w14:textId="77777777" w:rsidTr="00756467">
        <w:trPr>
          <w:divId w:val="952174416"/>
          <w:trHeight w:val="288"/>
        </w:trPr>
        <w:tc>
          <w:tcPr>
            <w:tcW w:w="155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1D4FB816" w14:textId="066E9B50" w:rsidR="00756467" w:rsidRPr="00756467" w:rsidRDefault="00756467" w:rsidP="00756467">
            <w:pPr>
              <w:rPr>
                <w:rFonts w:eastAsia="Times New Roman" w:cs="Calibri"/>
                <w:color w:val="FFFFFF"/>
                <w:sz w:val="18"/>
                <w:szCs w:val="18"/>
                <w:lang w:eastAsia="es-CR"/>
              </w:rPr>
            </w:pPr>
            <w:r w:rsidRPr="00756467">
              <w:rPr>
                <w:rFonts w:eastAsia="Times New Roman" w:cs="Calibri"/>
                <w:color w:val="FFFFFF"/>
                <w:sz w:val="18"/>
                <w:szCs w:val="18"/>
                <w:lang w:eastAsia="es-CR"/>
              </w:rPr>
              <w:t>APLICACIÓN</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55F36B" w14:textId="77777777" w:rsidR="00756467" w:rsidRPr="00756467" w:rsidRDefault="00756467" w:rsidP="00756467">
            <w:pPr>
              <w:spacing w:after="0" w:line="240" w:lineRule="auto"/>
              <w:jc w:val="center"/>
              <w:rPr>
                <w:rFonts w:eastAsia="Times New Roman" w:cs="Calibri"/>
                <w:b/>
                <w:bCs/>
                <w:i/>
                <w:iCs/>
                <w:color w:val="000000"/>
                <w:sz w:val="18"/>
                <w:szCs w:val="18"/>
                <w:lang w:eastAsia="es-CR"/>
              </w:rPr>
            </w:pPr>
            <w:r w:rsidRPr="00756467">
              <w:rPr>
                <w:rFonts w:eastAsia="Times New Roman" w:cs="Calibri"/>
                <w:b/>
                <w:bCs/>
                <w:i/>
                <w:iCs/>
                <w:color w:val="000000"/>
                <w:sz w:val="18"/>
                <w:szCs w:val="18"/>
                <w:lang w:eastAsia="es-CR"/>
              </w:rPr>
              <w:t>NO</w:t>
            </w:r>
          </w:p>
        </w:tc>
      </w:tr>
    </w:tbl>
    <w:p w14:paraId="69950BB7" w14:textId="35CF980E" w:rsidR="00A649A4" w:rsidRPr="009A4467" w:rsidRDefault="00821CA9" w:rsidP="00080C49">
      <w:pPr>
        <w:spacing w:before="240"/>
        <w:rPr>
          <w:rFonts w:eastAsia="Calibri"/>
          <w:b/>
          <w:bCs/>
        </w:rPr>
      </w:pPr>
      <w:r>
        <w:rPr>
          <w:rFonts w:eastAsia="Calibri"/>
          <w:b/>
          <w:bCs/>
        </w:rPr>
        <w:fldChar w:fldCharType="end"/>
      </w:r>
      <w:r w:rsidR="00A649A4" w:rsidRPr="009A4467">
        <w:rPr>
          <w:rFonts w:eastAsia="Calibri"/>
          <w:b/>
          <w:bCs/>
        </w:rPr>
        <w:t>Revelación:</w:t>
      </w:r>
    </w:p>
    <w:p w14:paraId="2F517CDE" w14:textId="63104D90" w:rsidR="00C12E51" w:rsidRDefault="00390266" w:rsidP="006B10AF">
      <w:pPr>
        <w:pStyle w:val="Prrafodelista"/>
        <w:spacing w:before="240"/>
        <w:ind w:left="0"/>
        <w:rPr>
          <w:szCs w:val="24"/>
        </w:rPr>
      </w:pPr>
      <w:r w:rsidRPr="004E1BAE">
        <w:rPr>
          <w:szCs w:val="24"/>
        </w:rPr>
        <w:t xml:space="preserve">Los libros legales se encuentran </w:t>
      </w:r>
      <w:r>
        <w:rPr>
          <w:szCs w:val="24"/>
        </w:rPr>
        <w:t>desac</w:t>
      </w:r>
      <w:r w:rsidRPr="004E1BAE">
        <w:rPr>
          <w:szCs w:val="24"/>
        </w:rPr>
        <w:t xml:space="preserve">tualizados </w:t>
      </w:r>
      <w:r>
        <w:rPr>
          <w:szCs w:val="24"/>
        </w:rPr>
        <w:t>por lo que la Contabilidad Municipal se encuentra efectuando un esfuerzo para ponerlos al día tal como</w:t>
      </w:r>
      <w:r w:rsidRPr="004E1BAE">
        <w:rPr>
          <w:szCs w:val="24"/>
        </w:rPr>
        <w:t xml:space="preserve"> lo establece la normativa legal y técnica vigente</w:t>
      </w:r>
      <w:r w:rsidR="006B10AF">
        <w:rPr>
          <w:szCs w:val="24"/>
        </w:rPr>
        <w:t>.</w:t>
      </w:r>
    </w:p>
    <w:p w14:paraId="037C746B" w14:textId="77777777" w:rsidR="006B10AF" w:rsidRDefault="006B10AF" w:rsidP="006B10AF">
      <w:pPr>
        <w:pStyle w:val="Prrafodelista"/>
        <w:spacing w:before="240"/>
        <w:ind w:left="0"/>
        <w:rPr>
          <w:color w:val="000000"/>
          <w:sz w:val="22"/>
          <w:lang w:eastAsia="es-CR"/>
        </w:rPr>
      </w:pPr>
    </w:p>
    <w:p w14:paraId="010DFE59" w14:textId="431C106C" w:rsidR="00756467" w:rsidRPr="00756467" w:rsidRDefault="00C12E51" w:rsidP="00756467">
      <w:pPr>
        <w:pStyle w:val="Prrafodelista"/>
        <w:numPr>
          <w:ilvl w:val="0"/>
          <w:numId w:val="5"/>
        </w:numPr>
        <w:rPr>
          <w:color w:val="000000"/>
          <w:sz w:val="22"/>
          <w:lang w:eastAsia="es-CR"/>
        </w:rPr>
      </w:pPr>
      <w:r w:rsidRPr="007473D3">
        <w:rPr>
          <w:color w:val="000000"/>
          <w:sz w:val="22"/>
          <w:lang w:eastAsia="es-CR"/>
        </w:rPr>
        <w:t>¿</w:t>
      </w:r>
      <w:bookmarkStart w:id="155" w:name="_Hlk169162045"/>
      <w:r w:rsidRPr="007473D3">
        <w:rPr>
          <w:color w:val="000000"/>
          <w:sz w:val="22"/>
          <w:lang w:eastAsia="es-CR"/>
        </w:rPr>
        <w:t>La Entidad audita</w:t>
      </w:r>
      <w:r w:rsidRPr="009A4467">
        <w:rPr>
          <w:color w:val="000000"/>
          <w:sz w:val="22"/>
          <w:lang w:eastAsia="es-CR"/>
        </w:rPr>
        <w:t xml:space="preserve"> de manera externa los Estados Financieros?</w:t>
      </w:r>
      <w:bookmarkEnd w:id="155"/>
      <w:r>
        <w:rPr>
          <w:lang w:eastAsia="es-CR"/>
        </w:rPr>
        <w:fldChar w:fldCharType="begin"/>
      </w:r>
      <w:r>
        <w:rPr>
          <w:lang w:eastAsia="es-CR"/>
        </w:rPr>
        <w:instrText xml:space="preserve"> LINK </w:instrText>
      </w:r>
      <w:r w:rsidR="00756467">
        <w:rPr>
          <w:lang w:eastAsia="es-CR"/>
        </w:rPr>
        <w:instrText xml:space="preserve">Excel.SheetMacroEnabled.12 "C:\\Users\\gcordero\\Downloads\\Notas diciembre 2024\\Formato_Notas_EEFF_Vinculadas_2024\\Formato_Notas_EEFF_Vinculadas_2024\\15603_T04_2024_Anexo_Estado_Notas_Contables_Vinculadas.xlsm" NOTAS_PARTICULAR!F20C3:F20C4 </w:instrText>
      </w:r>
      <w:r>
        <w:rPr>
          <w:lang w:eastAsia="es-CR"/>
        </w:rPr>
        <w:instrText xml:space="preserve">\a \f 4 \h  \* MERGEFORMAT </w:instrText>
      </w:r>
      <w:r>
        <w:rPr>
          <w:lang w:eastAsia="es-CR"/>
        </w:rPr>
        <w:fldChar w:fldCharType="separate"/>
      </w:r>
    </w:p>
    <w:tbl>
      <w:tblPr>
        <w:tblW w:w="2117" w:type="dxa"/>
        <w:tblCellMar>
          <w:left w:w="70" w:type="dxa"/>
          <w:right w:w="70" w:type="dxa"/>
        </w:tblCellMar>
        <w:tblLook w:val="04A0" w:firstRow="1" w:lastRow="0" w:firstColumn="1" w:lastColumn="0" w:noHBand="0" w:noVBand="1"/>
      </w:tblPr>
      <w:tblGrid>
        <w:gridCol w:w="1550"/>
        <w:gridCol w:w="567"/>
      </w:tblGrid>
      <w:tr w:rsidR="00756467" w:rsidRPr="00756467" w14:paraId="1F70F672" w14:textId="77777777" w:rsidTr="00756467">
        <w:trPr>
          <w:divId w:val="1523938096"/>
          <w:trHeight w:val="288"/>
        </w:trPr>
        <w:tc>
          <w:tcPr>
            <w:tcW w:w="155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24CE298A" w14:textId="4BAB2DEF" w:rsidR="00756467" w:rsidRPr="00756467" w:rsidRDefault="00756467" w:rsidP="00756467">
            <w:pPr>
              <w:rPr>
                <w:rFonts w:eastAsia="Times New Roman" w:cs="Calibri"/>
                <w:color w:val="FFFFFF"/>
                <w:sz w:val="18"/>
                <w:szCs w:val="18"/>
                <w:lang w:eastAsia="es-CR"/>
              </w:rPr>
            </w:pPr>
            <w:r w:rsidRPr="00756467">
              <w:rPr>
                <w:rFonts w:eastAsia="Times New Roman" w:cs="Calibri"/>
                <w:color w:val="FFFFFF"/>
                <w:sz w:val="18"/>
                <w:szCs w:val="18"/>
                <w:lang w:eastAsia="es-CR"/>
              </w:rPr>
              <w:t>APLICACIÓN</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1C5EE3" w14:textId="77777777" w:rsidR="00756467" w:rsidRPr="00756467" w:rsidRDefault="00756467" w:rsidP="00756467">
            <w:pPr>
              <w:spacing w:after="0" w:line="240" w:lineRule="auto"/>
              <w:jc w:val="center"/>
              <w:rPr>
                <w:rFonts w:eastAsia="Times New Roman" w:cs="Calibri"/>
                <w:b/>
                <w:bCs/>
                <w:i/>
                <w:iCs/>
                <w:color w:val="000000"/>
                <w:sz w:val="18"/>
                <w:szCs w:val="18"/>
                <w:lang w:eastAsia="es-CR"/>
              </w:rPr>
            </w:pPr>
            <w:r w:rsidRPr="00756467">
              <w:rPr>
                <w:rFonts w:eastAsia="Times New Roman" w:cs="Calibri"/>
                <w:b/>
                <w:bCs/>
                <w:i/>
                <w:iCs/>
                <w:color w:val="000000"/>
                <w:sz w:val="18"/>
                <w:szCs w:val="18"/>
                <w:lang w:eastAsia="es-CR"/>
              </w:rPr>
              <w:t>NO</w:t>
            </w:r>
          </w:p>
        </w:tc>
      </w:tr>
    </w:tbl>
    <w:p w14:paraId="5F53D283" w14:textId="77777777" w:rsidR="00C12E51" w:rsidRPr="009A4467" w:rsidRDefault="00C12E51" w:rsidP="00C12E51">
      <w:pPr>
        <w:spacing w:before="240"/>
        <w:rPr>
          <w:b/>
          <w:szCs w:val="24"/>
          <w:lang w:eastAsia="es-CR"/>
        </w:rPr>
      </w:pPr>
      <w:r>
        <w:rPr>
          <w:b/>
          <w:szCs w:val="24"/>
          <w:lang w:eastAsia="es-CR"/>
        </w:rPr>
        <w:fldChar w:fldCharType="end"/>
      </w:r>
      <w:r w:rsidRPr="009A4467">
        <w:rPr>
          <w:b/>
          <w:szCs w:val="24"/>
          <w:lang w:eastAsia="es-CR"/>
        </w:rPr>
        <w:t>Revelación:</w:t>
      </w:r>
    </w:p>
    <w:tbl>
      <w:tblPr>
        <w:tblW w:w="9387" w:type="dxa"/>
        <w:tblInd w:w="-10" w:type="dxa"/>
        <w:tblCellMar>
          <w:left w:w="70" w:type="dxa"/>
          <w:right w:w="70" w:type="dxa"/>
        </w:tblCellMar>
        <w:tblLook w:val="04A0" w:firstRow="1" w:lastRow="0" w:firstColumn="1" w:lastColumn="0" w:noHBand="0" w:noVBand="1"/>
      </w:tblPr>
      <w:tblGrid>
        <w:gridCol w:w="3686"/>
        <w:gridCol w:w="1900"/>
        <w:gridCol w:w="3801"/>
      </w:tblGrid>
      <w:tr w:rsidR="00C12E51" w:rsidRPr="000E036F" w14:paraId="349AD561" w14:textId="77777777" w:rsidTr="00DC6CF3">
        <w:trPr>
          <w:trHeight w:val="324"/>
        </w:trPr>
        <w:tc>
          <w:tcPr>
            <w:tcW w:w="9387"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DBFDD55" w14:textId="77777777" w:rsidR="00C12E51" w:rsidRPr="000E036F" w:rsidRDefault="00C12E51" w:rsidP="00DC6CF3">
            <w:pPr>
              <w:spacing w:after="0" w:line="240" w:lineRule="auto"/>
              <w:jc w:val="center"/>
              <w:rPr>
                <w:rFonts w:eastAsia="Times New Roman" w:cs="Calibri"/>
                <w:color w:val="000000"/>
                <w:szCs w:val="24"/>
                <w:lang w:eastAsia="es-CR"/>
              </w:rPr>
            </w:pPr>
            <w:r w:rsidRPr="000E036F">
              <w:rPr>
                <w:rFonts w:eastAsia="Times New Roman" w:cs="Calibri"/>
                <w:color w:val="000000"/>
                <w:szCs w:val="24"/>
                <w:lang w:eastAsia="es-CR"/>
              </w:rPr>
              <w:t>Indique los últimos periodos contables en donde se auditaron Estados Financieros:</w:t>
            </w:r>
          </w:p>
        </w:tc>
      </w:tr>
      <w:tr w:rsidR="00C12E51" w:rsidRPr="000E036F" w14:paraId="6313E2FE" w14:textId="77777777" w:rsidTr="006B10AF">
        <w:trPr>
          <w:trHeight w:val="552"/>
        </w:trPr>
        <w:tc>
          <w:tcPr>
            <w:tcW w:w="3686" w:type="dxa"/>
            <w:tcBorders>
              <w:top w:val="nil"/>
              <w:left w:val="single" w:sz="8" w:space="0" w:color="auto"/>
              <w:bottom w:val="single" w:sz="8" w:space="0" w:color="auto"/>
              <w:right w:val="single" w:sz="8" w:space="0" w:color="000000"/>
            </w:tcBorders>
            <w:shd w:val="clear" w:color="000000" w:fill="1F3864"/>
            <w:noWrap/>
            <w:vAlign w:val="center"/>
            <w:hideMark/>
          </w:tcPr>
          <w:p w14:paraId="32F8B95D" w14:textId="77777777" w:rsidR="00C12E51" w:rsidRPr="000E036F" w:rsidRDefault="00C12E51" w:rsidP="00DC6CF3">
            <w:pPr>
              <w:spacing w:after="0" w:line="240" w:lineRule="auto"/>
              <w:jc w:val="center"/>
              <w:rPr>
                <w:rFonts w:eastAsia="Times New Roman" w:cs="Calibri"/>
                <w:color w:val="FFFFFF"/>
                <w:szCs w:val="24"/>
                <w:lang w:eastAsia="es-CR"/>
              </w:rPr>
            </w:pPr>
            <w:r w:rsidRPr="000E036F">
              <w:rPr>
                <w:rFonts w:eastAsia="Times New Roman" w:cs="Calibri"/>
                <w:color w:val="FFFFFF"/>
                <w:szCs w:val="24"/>
                <w:lang w:eastAsia="es-CR"/>
              </w:rPr>
              <w:t>Principales Hallazgos:</w:t>
            </w:r>
          </w:p>
        </w:tc>
        <w:tc>
          <w:tcPr>
            <w:tcW w:w="1900" w:type="dxa"/>
            <w:tcBorders>
              <w:top w:val="nil"/>
              <w:left w:val="nil"/>
              <w:bottom w:val="single" w:sz="8" w:space="0" w:color="auto"/>
              <w:right w:val="single" w:sz="8" w:space="0" w:color="auto"/>
            </w:tcBorders>
            <w:shd w:val="clear" w:color="000000" w:fill="1F3864"/>
            <w:vAlign w:val="center"/>
            <w:hideMark/>
          </w:tcPr>
          <w:p w14:paraId="0AEBF76F" w14:textId="77777777" w:rsidR="00C12E51" w:rsidRPr="000E036F" w:rsidRDefault="00C12E51" w:rsidP="00DC6CF3">
            <w:pPr>
              <w:spacing w:after="0" w:line="240" w:lineRule="auto"/>
              <w:jc w:val="center"/>
              <w:rPr>
                <w:rFonts w:eastAsia="Times New Roman" w:cs="Calibri"/>
                <w:color w:val="FFFFFF"/>
                <w:szCs w:val="24"/>
                <w:lang w:eastAsia="es-CR"/>
              </w:rPr>
            </w:pPr>
            <w:r w:rsidRPr="000E036F">
              <w:rPr>
                <w:rFonts w:eastAsia="Times New Roman" w:cs="Calibri"/>
                <w:color w:val="FFFFFF"/>
                <w:szCs w:val="24"/>
                <w:lang w:eastAsia="es-CR"/>
              </w:rPr>
              <w:t>Período Contable</w:t>
            </w:r>
          </w:p>
        </w:tc>
        <w:tc>
          <w:tcPr>
            <w:tcW w:w="3801" w:type="dxa"/>
            <w:tcBorders>
              <w:top w:val="single" w:sz="8" w:space="0" w:color="auto"/>
              <w:left w:val="nil"/>
              <w:bottom w:val="single" w:sz="8" w:space="0" w:color="auto"/>
              <w:right w:val="single" w:sz="8" w:space="0" w:color="000000"/>
            </w:tcBorders>
            <w:shd w:val="clear" w:color="000000" w:fill="1F3864"/>
            <w:vAlign w:val="center"/>
            <w:hideMark/>
          </w:tcPr>
          <w:p w14:paraId="19801E37" w14:textId="77777777" w:rsidR="00C12E51" w:rsidRPr="000E036F" w:rsidRDefault="00C12E51" w:rsidP="00DC6CF3">
            <w:pPr>
              <w:spacing w:after="0" w:line="240" w:lineRule="auto"/>
              <w:jc w:val="center"/>
              <w:rPr>
                <w:rFonts w:eastAsia="Times New Roman" w:cs="Calibri"/>
                <w:color w:val="FFFFFF"/>
                <w:szCs w:val="24"/>
                <w:lang w:eastAsia="es-CR"/>
              </w:rPr>
            </w:pPr>
            <w:r w:rsidRPr="000E036F">
              <w:rPr>
                <w:rFonts w:eastAsia="Times New Roman" w:cs="Calibri"/>
                <w:color w:val="FFFFFF"/>
                <w:szCs w:val="24"/>
                <w:lang w:eastAsia="es-CR"/>
              </w:rPr>
              <w:t>Se hicieron ajustes a los EEFF (Indique sí o no)</w:t>
            </w:r>
          </w:p>
        </w:tc>
      </w:tr>
      <w:tr w:rsidR="00C12E51" w:rsidRPr="000E036F" w14:paraId="1D18D70C" w14:textId="77777777" w:rsidTr="006B10AF">
        <w:trPr>
          <w:trHeight w:val="324"/>
        </w:trPr>
        <w:tc>
          <w:tcPr>
            <w:tcW w:w="3686" w:type="dxa"/>
            <w:tcBorders>
              <w:top w:val="nil"/>
              <w:left w:val="single" w:sz="8" w:space="0" w:color="auto"/>
              <w:bottom w:val="single" w:sz="8" w:space="0" w:color="auto"/>
              <w:right w:val="single" w:sz="8" w:space="0" w:color="000000"/>
            </w:tcBorders>
            <w:shd w:val="clear" w:color="auto" w:fill="auto"/>
            <w:noWrap/>
            <w:vAlign w:val="center"/>
            <w:hideMark/>
          </w:tcPr>
          <w:p w14:paraId="0CF82143" w14:textId="77777777" w:rsidR="00C12E51" w:rsidRPr="000E036F" w:rsidRDefault="00C12E51" w:rsidP="00DC6CF3">
            <w:pPr>
              <w:spacing w:after="0" w:line="240" w:lineRule="auto"/>
              <w:jc w:val="center"/>
              <w:rPr>
                <w:rFonts w:eastAsia="Times New Roman" w:cs="Calibri"/>
                <w:color w:val="000000"/>
                <w:szCs w:val="24"/>
                <w:lang w:eastAsia="es-CR"/>
              </w:rPr>
            </w:pPr>
            <w:r w:rsidRPr="000E036F">
              <w:rPr>
                <w:rFonts w:eastAsia="Times New Roman" w:cs="Calibri"/>
                <w:color w:val="000000"/>
                <w:szCs w:val="24"/>
                <w:lang w:eastAsia="es-CR"/>
              </w:rPr>
              <w:t>AÑO 1</w:t>
            </w:r>
          </w:p>
        </w:tc>
        <w:tc>
          <w:tcPr>
            <w:tcW w:w="1900" w:type="dxa"/>
            <w:tcBorders>
              <w:top w:val="nil"/>
              <w:left w:val="nil"/>
              <w:bottom w:val="single" w:sz="8" w:space="0" w:color="auto"/>
              <w:right w:val="single" w:sz="8" w:space="0" w:color="auto"/>
            </w:tcBorders>
            <w:shd w:val="clear" w:color="auto" w:fill="auto"/>
            <w:vAlign w:val="center"/>
            <w:hideMark/>
          </w:tcPr>
          <w:p w14:paraId="2620CBE7" w14:textId="77777777" w:rsidR="00C12E51" w:rsidRPr="000E036F" w:rsidRDefault="00C12E51" w:rsidP="00DC6CF3">
            <w:pPr>
              <w:spacing w:after="0" w:line="240" w:lineRule="auto"/>
              <w:jc w:val="left"/>
              <w:rPr>
                <w:rFonts w:ascii="Calibri" w:eastAsia="Times New Roman" w:hAnsi="Calibri" w:cs="Calibri"/>
                <w:color w:val="000000"/>
                <w:sz w:val="22"/>
                <w:lang w:eastAsia="es-CR"/>
              </w:rPr>
            </w:pPr>
            <w:r w:rsidRPr="000E036F">
              <w:rPr>
                <w:rFonts w:ascii="Calibri" w:eastAsia="Times New Roman" w:hAnsi="Calibri" w:cs="Calibri"/>
                <w:color w:val="000000"/>
                <w:sz w:val="22"/>
                <w:lang w:eastAsia="es-CR"/>
              </w:rPr>
              <w:t> </w:t>
            </w:r>
          </w:p>
        </w:tc>
        <w:tc>
          <w:tcPr>
            <w:tcW w:w="3801" w:type="dxa"/>
            <w:tcBorders>
              <w:top w:val="single" w:sz="8" w:space="0" w:color="auto"/>
              <w:left w:val="nil"/>
              <w:bottom w:val="single" w:sz="8" w:space="0" w:color="auto"/>
              <w:right w:val="single" w:sz="8" w:space="0" w:color="000000"/>
            </w:tcBorders>
            <w:shd w:val="clear" w:color="auto" w:fill="auto"/>
            <w:vAlign w:val="center"/>
            <w:hideMark/>
          </w:tcPr>
          <w:p w14:paraId="533B181C" w14:textId="77777777" w:rsidR="00C12E51" w:rsidRPr="000E036F" w:rsidRDefault="00C12E51" w:rsidP="00DC6CF3">
            <w:pPr>
              <w:spacing w:after="0" w:line="240" w:lineRule="auto"/>
              <w:jc w:val="left"/>
              <w:rPr>
                <w:rFonts w:ascii="Calibri" w:eastAsia="Times New Roman" w:hAnsi="Calibri" w:cs="Calibri"/>
                <w:color w:val="000000"/>
                <w:sz w:val="22"/>
                <w:lang w:eastAsia="es-CR"/>
              </w:rPr>
            </w:pPr>
            <w:r w:rsidRPr="000E036F">
              <w:rPr>
                <w:rFonts w:ascii="Calibri" w:eastAsia="Times New Roman" w:hAnsi="Calibri" w:cs="Calibri"/>
                <w:color w:val="000000"/>
                <w:sz w:val="22"/>
                <w:lang w:eastAsia="es-CR"/>
              </w:rPr>
              <w:t> </w:t>
            </w:r>
          </w:p>
        </w:tc>
      </w:tr>
      <w:tr w:rsidR="00C12E51" w:rsidRPr="000E036F" w14:paraId="35DF39DF" w14:textId="77777777" w:rsidTr="006B10AF">
        <w:trPr>
          <w:trHeight w:val="324"/>
        </w:trPr>
        <w:tc>
          <w:tcPr>
            <w:tcW w:w="3686" w:type="dxa"/>
            <w:tcBorders>
              <w:top w:val="nil"/>
              <w:left w:val="single" w:sz="8" w:space="0" w:color="auto"/>
              <w:bottom w:val="single" w:sz="8" w:space="0" w:color="auto"/>
              <w:right w:val="single" w:sz="8" w:space="0" w:color="000000"/>
            </w:tcBorders>
            <w:shd w:val="clear" w:color="auto" w:fill="auto"/>
            <w:noWrap/>
            <w:vAlign w:val="center"/>
            <w:hideMark/>
          </w:tcPr>
          <w:p w14:paraId="5CFE97E9" w14:textId="77777777" w:rsidR="00C12E51" w:rsidRPr="000E036F" w:rsidRDefault="00C12E51" w:rsidP="00DC6CF3">
            <w:pPr>
              <w:spacing w:after="0" w:line="240" w:lineRule="auto"/>
              <w:jc w:val="center"/>
              <w:rPr>
                <w:rFonts w:eastAsia="Times New Roman" w:cs="Calibri"/>
                <w:color w:val="000000"/>
                <w:szCs w:val="24"/>
                <w:lang w:eastAsia="es-CR"/>
              </w:rPr>
            </w:pPr>
            <w:r w:rsidRPr="000E036F">
              <w:rPr>
                <w:rFonts w:eastAsia="Times New Roman" w:cs="Calibri"/>
                <w:color w:val="000000"/>
                <w:szCs w:val="24"/>
                <w:lang w:eastAsia="es-CR"/>
              </w:rPr>
              <w:t>AÑO 2</w:t>
            </w:r>
          </w:p>
        </w:tc>
        <w:tc>
          <w:tcPr>
            <w:tcW w:w="1900" w:type="dxa"/>
            <w:tcBorders>
              <w:top w:val="nil"/>
              <w:left w:val="nil"/>
              <w:bottom w:val="single" w:sz="8" w:space="0" w:color="auto"/>
              <w:right w:val="single" w:sz="8" w:space="0" w:color="auto"/>
            </w:tcBorders>
            <w:shd w:val="clear" w:color="auto" w:fill="auto"/>
            <w:vAlign w:val="center"/>
            <w:hideMark/>
          </w:tcPr>
          <w:p w14:paraId="2E16BA76" w14:textId="77777777" w:rsidR="00C12E51" w:rsidRPr="000E036F" w:rsidRDefault="00C12E51" w:rsidP="00DC6CF3">
            <w:pPr>
              <w:spacing w:after="0" w:line="240" w:lineRule="auto"/>
              <w:jc w:val="left"/>
              <w:rPr>
                <w:rFonts w:ascii="Calibri" w:eastAsia="Times New Roman" w:hAnsi="Calibri" w:cs="Calibri"/>
                <w:color w:val="000000"/>
                <w:sz w:val="22"/>
                <w:lang w:eastAsia="es-CR"/>
              </w:rPr>
            </w:pPr>
            <w:r w:rsidRPr="000E036F">
              <w:rPr>
                <w:rFonts w:ascii="Calibri" w:eastAsia="Times New Roman" w:hAnsi="Calibri" w:cs="Calibri"/>
                <w:color w:val="000000"/>
                <w:sz w:val="22"/>
                <w:lang w:eastAsia="es-CR"/>
              </w:rPr>
              <w:t> </w:t>
            </w:r>
          </w:p>
        </w:tc>
        <w:tc>
          <w:tcPr>
            <w:tcW w:w="3801" w:type="dxa"/>
            <w:tcBorders>
              <w:top w:val="single" w:sz="8" w:space="0" w:color="auto"/>
              <w:left w:val="nil"/>
              <w:bottom w:val="single" w:sz="8" w:space="0" w:color="auto"/>
              <w:right w:val="single" w:sz="8" w:space="0" w:color="000000"/>
            </w:tcBorders>
            <w:shd w:val="clear" w:color="auto" w:fill="auto"/>
            <w:vAlign w:val="center"/>
            <w:hideMark/>
          </w:tcPr>
          <w:p w14:paraId="38FBFB2A" w14:textId="77777777" w:rsidR="00C12E51" w:rsidRPr="000E036F" w:rsidRDefault="00C12E51" w:rsidP="00DC6CF3">
            <w:pPr>
              <w:spacing w:after="0" w:line="240" w:lineRule="auto"/>
              <w:jc w:val="left"/>
              <w:rPr>
                <w:rFonts w:ascii="Calibri" w:eastAsia="Times New Roman" w:hAnsi="Calibri" w:cs="Calibri"/>
                <w:color w:val="000000"/>
                <w:sz w:val="22"/>
                <w:lang w:eastAsia="es-CR"/>
              </w:rPr>
            </w:pPr>
            <w:r w:rsidRPr="000E036F">
              <w:rPr>
                <w:rFonts w:ascii="Calibri" w:eastAsia="Times New Roman" w:hAnsi="Calibri" w:cs="Calibri"/>
                <w:color w:val="000000"/>
                <w:sz w:val="22"/>
                <w:lang w:eastAsia="es-CR"/>
              </w:rPr>
              <w:t> </w:t>
            </w:r>
          </w:p>
        </w:tc>
      </w:tr>
      <w:tr w:rsidR="00C12E51" w:rsidRPr="000E036F" w14:paraId="4E37931C" w14:textId="77777777" w:rsidTr="006B10AF">
        <w:trPr>
          <w:trHeight w:val="324"/>
        </w:trPr>
        <w:tc>
          <w:tcPr>
            <w:tcW w:w="3686" w:type="dxa"/>
            <w:tcBorders>
              <w:top w:val="nil"/>
              <w:left w:val="single" w:sz="8" w:space="0" w:color="auto"/>
              <w:bottom w:val="single" w:sz="8" w:space="0" w:color="auto"/>
              <w:right w:val="single" w:sz="8" w:space="0" w:color="000000"/>
            </w:tcBorders>
            <w:shd w:val="clear" w:color="auto" w:fill="auto"/>
            <w:noWrap/>
            <w:vAlign w:val="center"/>
            <w:hideMark/>
          </w:tcPr>
          <w:p w14:paraId="4FBC0204" w14:textId="77777777" w:rsidR="00C12E51" w:rsidRPr="000E036F" w:rsidRDefault="00C12E51" w:rsidP="00DC6CF3">
            <w:pPr>
              <w:spacing w:after="0" w:line="240" w:lineRule="auto"/>
              <w:jc w:val="center"/>
              <w:rPr>
                <w:rFonts w:eastAsia="Times New Roman" w:cs="Calibri"/>
                <w:color w:val="000000"/>
                <w:szCs w:val="24"/>
                <w:lang w:eastAsia="es-CR"/>
              </w:rPr>
            </w:pPr>
            <w:r w:rsidRPr="000E036F">
              <w:rPr>
                <w:rFonts w:eastAsia="Times New Roman" w:cs="Calibri"/>
                <w:color w:val="000000"/>
                <w:szCs w:val="24"/>
                <w:lang w:eastAsia="es-CR"/>
              </w:rPr>
              <w:t>AÑO 3</w:t>
            </w:r>
          </w:p>
        </w:tc>
        <w:tc>
          <w:tcPr>
            <w:tcW w:w="1900" w:type="dxa"/>
            <w:tcBorders>
              <w:top w:val="nil"/>
              <w:left w:val="nil"/>
              <w:bottom w:val="single" w:sz="8" w:space="0" w:color="auto"/>
              <w:right w:val="single" w:sz="8" w:space="0" w:color="auto"/>
            </w:tcBorders>
            <w:shd w:val="clear" w:color="auto" w:fill="auto"/>
            <w:vAlign w:val="center"/>
            <w:hideMark/>
          </w:tcPr>
          <w:p w14:paraId="7AA643C4" w14:textId="77777777" w:rsidR="00C12E51" w:rsidRPr="000E036F" w:rsidRDefault="00C12E51" w:rsidP="00DC6CF3">
            <w:pPr>
              <w:spacing w:after="0" w:line="240" w:lineRule="auto"/>
              <w:jc w:val="left"/>
              <w:rPr>
                <w:rFonts w:ascii="Calibri" w:eastAsia="Times New Roman" w:hAnsi="Calibri" w:cs="Calibri"/>
                <w:color w:val="000000"/>
                <w:sz w:val="22"/>
                <w:lang w:eastAsia="es-CR"/>
              </w:rPr>
            </w:pPr>
            <w:r w:rsidRPr="000E036F">
              <w:rPr>
                <w:rFonts w:ascii="Calibri" w:eastAsia="Times New Roman" w:hAnsi="Calibri" w:cs="Calibri"/>
                <w:color w:val="000000"/>
                <w:sz w:val="22"/>
                <w:lang w:eastAsia="es-CR"/>
              </w:rPr>
              <w:t> </w:t>
            </w:r>
          </w:p>
        </w:tc>
        <w:tc>
          <w:tcPr>
            <w:tcW w:w="3801" w:type="dxa"/>
            <w:tcBorders>
              <w:top w:val="single" w:sz="8" w:space="0" w:color="auto"/>
              <w:left w:val="nil"/>
              <w:bottom w:val="single" w:sz="8" w:space="0" w:color="auto"/>
              <w:right w:val="single" w:sz="8" w:space="0" w:color="000000"/>
            </w:tcBorders>
            <w:shd w:val="clear" w:color="auto" w:fill="auto"/>
            <w:vAlign w:val="center"/>
            <w:hideMark/>
          </w:tcPr>
          <w:p w14:paraId="5782C11E" w14:textId="77777777" w:rsidR="00C12E51" w:rsidRPr="000E036F" w:rsidRDefault="00C12E51" w:rsidP="00DC6CF3">
            <w:pPr>
              <w:spacing w:after="0" w:line="240" w:lineRule="auto"/>
              <w:jc w:val="left"/>
              <w:rPr>
                <w:rFonts w:ascii="Calibri" w:eastAsia="Times New Roman" w:hAnsi="Calibri" w:cs="Calibri"/>
                <w:color w:val="000000"/>
                <w:sz w:val="22"/>
                <w:lang w:eastAsia="es-CR"/>
              </w:rPr>
            </w:pPr>
            <w:r w:rsidRPr="000E036F">
              <w:rPr>
                <w:rFonts w:ascii="Calibri" w:eastAsia="Times New Roman" w:hAnsi="Calibri" w:cs="Calibri"/>
                <w:color w:val="000000"/>
                <w:sz w:val="22"/>
                <w:lang w:eastAsia="es-CR"/>
              </w:rPr>
              <w:t> </w:t>
            </w:r>
          </w:p>
        </w:tc>
      </w:tr>
      <w:tr w:rsidR="00C12E51" w:rsidRPr="000E036F" w14:paraId="406441A5" w14:textId="77777777" w:rsidTr="006B10AF">
        <w:trPr>
          <w:trHeight w:val="324"/>
        </w:trPr>
        <w:tc>
          <w:tcPr>
            <w:tcW w:w="3686" w:type="dxa"/>
            <w:tcBorders>
              <w:top w:val="nil"/>
              <w:left w:val="single" w:sz="8" w:space="0" w:color="auto"/>
              <w:bottom w:val="single" w:sz="8" w:space="0" w:color="auto"/>
              <w:right w:val="single" w:sz="8" w:space="0" w:color="auto"/>
            </w:tcBorders>
            <w:shd w:val="clear" w:color="auto" w:fill="auto"/>
            <w:noWrap/>
            <w:vAlign w:val="center"/>
            <w:hideMark/>
          </w:tcPr>
          <w:p w14:paraId="451372A3" w14:textId="77777777" w:rsidR="00C12E51" w:rsidRPr="000E036F" w:rsidRDefault="00C12E51" w:rsidP="00DC6CF3">
            <w:pPr>
              <w:spacing w:after="0" w:line="240" w:lineRule="auto"/>
              <w:jc w:val="center"/>
              <w:rPr>
                <w:rFonts w:eastAsia="Times New Roman" w:cs="Calibri"/>
                <w:color w:val="000000"/>
                <w:szCs w:val="24"/>
                <w:lang w:eastAsia="es-CR"/>
              </w:rPr>
            </w:pPr>
            <w:r w:rsidRPr="000E036F">
              <w:rPr>
                <w:rFonts w:eastAsia="Times New Roman" w:cs="Calibri"/>
                <w:color w:val="000000"/>
                <w:szCs w:val="24"/>
                <w:lang w:eastAsia="es-CR"/>
              </w:rPr>
              <w:t>AÑO 4</w:t>
            </w:r>
          </w:p>
        </w:tc>
        <w:tc>
          <w:tcPr>
            <w:tcW w:w="1900" w:type="dxa"/>
            <w:tcBorders>
              <w:top w:val="nil"/>
              <w:left w:val="nil"/>
              <w:bottom w:val="single" w:sz="8" w:space="0" w:color="auto"/>
              <w:right w:val="single" w:sz="8" w:space="0" w:color="auto"/>
            </w:tcBorders>
            <w:shd w:val="clear" w:color="auto" w:fill="auto"/>
            <w:vAlign w:val="center"/>
            <w:hideMark/>
          </w:tcPr>
          <w:p w14:paraId="1621AC69" w14:textId="77777777" w:rsidR="00C12E51" w:rsidRPr="000E036F" w:rsidRDefault="00C12E51" w:rsidP="00DC6CF3">
            <w:pPr>
              <w:spacing w:after="0" w:line="240" w:lineRule="auto"/>
              <w:jc w:val="left"/>
              <w:rPr>
                <w:rFonts w:ascii="Calibri" w:eastAsia="Times New Roman" w:hAnsi="Calibri" w:cs="Calibri"/>
                <w:color w:val="000000"/>
                <w:sz w:val="22"/>
                <w:lang w:eastAsia="es-CR"/>
              </w:rPr>
            </w:pPr>
            <w:r w:rsidRPr="000E036F">
              <w:rPr>
                <w:rFonts w:ascii="Calibri" w:eastAsia="Times New Roman" w:hAnsi="Calibri" w:cs="Calibri"/>
                <w:color w:val="000000"/>
                <w:sz w:val="22"/>
                <w:lang w:eastAsia="es-CR"/>
              </w:rPr>
              <w:t> </w:t>
            </w:r>
          </w:p>
        </w:tc>
        <w:tc>
          <w:tcPr>
            <w:tcW w:w="3801" w:type="dxa"/>
            <w:tcBorders>
              <w:top w:val="single" w:sz="8" w:space="0" w:color="auto"/>
              <w:left w:val="nil"/>
              <w:bottom w:val="single" w:sz="8" w:space="0" w:color="auto"/>
              <w:right w:val="single" w:sz="8" w:space="0" w:color="000000"/>
            </w:tcBorders>
            <w:shd w:val="clear" w:color="auto" w:fill="auto"/>
            <w:vAlign w:val="center"/>
            <w:hideMark/>
          </w:tcPr>
          <w:p w14:paraId="24DFFFC7" w14:textId="77777777" w:rsidR="00C12E51" w:rsidRPr="000E036F" w:rsidRDefault="00C12E51" w:rsidP="00DC6CF3">
            <w:pPr>
              <w:spacing w:after="0" w:line="240" w:lineRule="auto"/>
              <w:jc w:val="left"/>
              <w:rPr>
                <w:rFonts w:ascii="Calibri" w:eastAsia="Times New Roman" w:hAnsi="Calibri" w:cs="Calibri"/>
                <w:color w:val="000000"/>
                <w:sz w:val="22"/>
                <w:lang w:eastAsia="es-CR"/>
              </w:rPr>
            </w:pPr>
            <w:r w:rsidRPr="000E036F">
              <w:rPr>
                <w:rFonts w:ascii="Calibri" w:eastAsia="Times New Roman" w:hAnsi="Calibri" w:cs="Calibri"/>
                <w:color w:val="000000"/>
                <w:sz w:val="22"/>
                <w:lang w:eastAsia="es-CR"/>
              </w:rPr>
              <w:t> </w:t>
            </w:r>
          </w:p>
        </w:tc>
      </w:tr>
      <w:tr w:rsidR="00C12E51" w:rsidRPr="000E036F" w14:paraId="0A38290A" w14:textId="77777777" w:rsidTr="006B10AF">
        <w:trPr>
          <w:trHeight w:val="324"/>
        </w:trPr>
        <w:tc>
          <w:tcPr>
            <w:tcW w:w="3686" w:type="dxa"/>
            <w:tcBorders>
              <w:top w:val="nil"/>
              <w:left w:val="single" w:sz="8" w:space="0" w:color="auto"/>
              <w:bottom w:val="single" w:sz="8" w:space="0" w:color="auto"/>
              <w:right w:val="single" w:sz="8" w:space="0" w:color="000000"/>
            </w:tcBorders>
            <w:shd w:val="clear" w:color="auto" w:fill="auto"/>
            <w:noWrap/>
            <w:vAlign w:val="center"/>
            <w:hideMark/>
          </w:tcPr>
          <w:p w14:paraId="6137344D" w14:textId="77777777" w:rsidR="00C12E51" w:rsidRPr="000E036F" w:rsidRDefault="00C12E51" w:rsidP="00DC6CF3">
            <w:pPr>
              <w:spacing w:after="0" w:line="240" w:lineRule="auto"/>
              <w:jc w:val="center"/>
              <w:rPr>
                <w:rFonts w:eastAsia="Times New Roman" w:cs="Calibri"/>
                <w:color w:val="000000"/>
                <w:szCs w:val="24"/>
                <w:lang w:eastAsia="es-CR"/>
              </w:rPr>
            </w:pPr>
            <w:r w:rsidRPr="000E036F">
              <w:rPr>
                <w:rFonts w:eastAsia="Times New Roman" w:cs="Calibri"/>
                <w:color w:val="000000"/>
                <w:szCs w:val="24"/>
                <w:lang w:eastAsia="es-CR"/>
              </w:rPr>
              <w:t>AÑO 5</w:t>
            </w:r>
          </w:p>
        </w:tc>
        <w:tc>
          <w:tcPr>
            <w:tcW w:w="1900" w:type="dxa"/>
            <w:tcBorders>
              <w:top w:val="nil"/>
              <w:left w:val="nil"/>
              <w:bottom w:val="single" w:sz="8" w:space="0" w:color="auto"/>
              <w:right w:val="single" w:sz="8" w:space="0" w:color="auto"/>
            </w:tcBorders>
            <w:shd w:val="clear" w:color="auto" w:fill="auto"/>
            <w:vAlign w:val="center"/>
            <w:hideMark/>
          </w:tcPr>
          <w:p w14:paraId="1DDE5441" w14:textId="77777777" w:rsidR="00C12E51" w:rsidRPr="000E036F" w:rsidRDefault="00C12E51" w:rsidP="00DC6CF3">
            <w:pPr>
              <w:spacing w:after="0" w:line="240" w:lineRule="auto"/>
              <w:jc w:val="center"/>
              <w:rPr>
                <w:rFonts w:eastAsia="Times New Roman" w:cs="Calibri"/>
                <w:color w:val="000000"/>
                <w:szCs w:val="24"/>
                <w:lang w:eastAsia="es-CR"/>
              </w:rPr>
            </w:pPr>
            <w:r w:rsidRPr="000E036F">
              <w:rPr>
                <w:rFonts w:eastAsia="Times New Roman" w:cs="Calibri"/>
                <w:color w:val="000000"/>
                <w:szCs w:val="24"/>
                <w:lang w:eastAsia="es-CR"/>
              </w:rPr>
              <w:t> </w:t>
            </w:r>
          </w:p>
        </w:tc>
        <w:tc>
          <w:tcPr>
            <w:tcW w:w="3801" w:type="dxa"/>
            <w:tcBorders>
              <w:top w:val="single" w:sz="8" w:space="0" w:color="auto"/>
              <w:left w:val="nil"/>
              <w:bottom w:val="single" w:sz="8" w:space="0" w:color="auto"/>
              <w:right w:val="single" w:sz="8" w:space="0" w:color="000000"/>
            </w:tcBorders>
            <w:shd w:val="clear" w:color="auto" w:fill="auto"/>
            <w:vAlign w:val="center"/>
            <w:hideMark/>
          </w:tcPr>
          <w:p w14:paraId="7552F2C3" w14:textId="77777777" w:rsidR="00C12E51" w:rsidRPr="000E036F" w:rsidRDefault="00C12E51" w:rsidP="00DC6CF3">
            <w:pPr>
              <w:spacing w:after="0" w:line="240" w:lineRule="auto"/>
              <w:jc w:val="center"/>
              <w:rPr>
                <w:rFonts w:eastAsia="Times New Roman" w:cs="Calibri"/>
                <w:color w:val="000000"/>
                <w:szCs w:val="24"/>
                <w:lang w:eastAsia="es-CR"/>
              </w:rPr>
            </w:pPr>
            <w:r w:rsidRPr="000E036F">
              <w:rPr>
                <w:rFonts w:eastAsia="Times New Roman" w:cs="Calibri"/>
                <w:color w:val="000000"/>
                <w:szCs w:val="24"/>
                <w:lang w:eastAsia="es-CR"/>
              </w:rPr>
              <w:t> </w:t>
            </w:r>
          </w:p>
        </w:tc>
      </w:tr>
    </w:tbl>
    <w:p w14:paraId="0CD50963" w14:textId="77777777" w:rsidR="006B10AF" w:rsidRDefault="006B10AF" w:rsidP="006B10AF">
      <w:pPr>
        <w:spacing w:after="0" w:line="240" w:lineRule="auto"/>
      </w:pPr>
    </w:p>
    <w:p w14:paraId="154AC0F8" w14:textId="4D9FF70A" w:rsidR="006B10AF" w:rsidRDefault="006B10AF" w:rsidP="006B10AF">
      <w:pPr>
        <w:spacing w:after="0" w:line="240" w:lineRule="auto"/>
      </w:pPr>
      <w:r w:rsidRPr="004D3EFA">
        <w:lastRenderedPageBreak/>
        <w:t>Reiterar, que la Municipalidad de Buenos Aires se encuentra en el periodo de transición en el cumplimiento de las NICSP de forma tal que, se debe concluir la implementación de este marco normativo, para posteriormente proceder a contratar una auditoría externa de los estados financieros conforme lo establece la normativa técnica y legal aplicable.</w:t>
      </w:r>
    </w:p>
    <w:p w14:paraId="6FD99972" w14:textId="77777777" w:rsidR="006B10AF" w:rsidRPr="004D3EFA" w:rsidRDefault="006B10AF" w:rsidP="006B10AF">
      <w:pPr>
        <w:spacing w:after="0" w:line="240" w:lineRule="auto"/>
      </w:pPr>
    </w:p>
    <w:p w14:paraId="09E0A2D4" w14:textId="438CD54F" w:rsidR="006B10AF" w:rsidRDefault="006B10AF" w:rsidP="006B10AF">
      <w:pPr>
        <w:spacing w:after="0" w:line="240" w:lineRule="auto"/>
      </w:pPr>
      <w:r w:rsidRPr="004D3EFA">
        <w:t xml:space="preserve">En complemento a los anterior, se debe señalar que el proceso de implementación que lleva a cabo la Municipalidad fue objeto de auditoría en el año 2019 por parte de la Contraloría General de la República y producto de esa auditoría ese órgano contralor emitió el informe </w:t>
      </w:r>
      <w:r w:rsidR="00DB0279" w:rsidRPr="004D3EFA">
        <w:t>N.º</w:t>
      </w:r>
      <w:r w:rsidRPr="004E1BAE">
        <w:t xml:space="preserve"> DFOE-DL-IF-00006-2019, el cual contiene </w:t>
      </w:r>
      <w:r w:rsidRPr="004D3EFA">
        <w:t>varias disposiciones dirigidas al señor Alcalde Municipal, las cuales ya fueron cumplidas.</w:t>
      </w:r>
    </w:p>
    <w:p w14:paraId="09D34E99" w14:textId="77777777" w:rsidR="006B10AF" w:rsidRPr="004D3EFA" w:rsidRDefault="006B10AF" w:rsidP="006B10AF">
      <w:pPr>
        <w:spacing w:after="0" w:line="240" w:lineRule="auto"/>
      </w:pPr>
    </w:p>
    <w:p w14:paraId="0A7B042C" w14:textId="77777777" w:rsidR="006B10AF" w:rsidRDefault="006B10AF" w:rsidP="006B10AF">
      <w:pPr>
        <w:spacing w:after="0" w:line="240" w:lineRule="auto"/>
      </w:pPr>
      <w:r w:rsidRPr="004D3EFA">
        <w:t xml:space="preserve">Además, en el año 2021 la Auditoría interna de la Municipalidad llevó a cabo una auditoría de Carácter Especial y como resultado de esta, emitió </w:t>
      </w:r>
      <w:r w:rsidRPr="004E1BAE">
        <w:t xml:space="preserve">el informe </w:t>
      </w:r>
      <w:r w:rsidRPr="004D3EFA">
        <w:t>AI/MBA/199-2021, que contenía varias observaciones y recomendaciones al señor Alcalde Municipal sobre aspectos susceptibles de mejora en los cuales la Administración se encuentra trabajando.</w:t>
      </w:r>
    </w:p>
    <w:p w14:paraId="2C5BD57E" w14:textId="77777777" w:rsidR="006B10AF" w:rsidRPr="004D3EFA" w:rsidRDefault="006B10AF" w:rsidP="006B10AF">
      <w:pPr>
        <w:spacing w:after="0" w:line="240" w:lineRule="auto"/>
      </w:pPr>
    </w:p>
    <w:p w14:paraId="5A19FD84" w14:textId="289773DE" w:rsidR="006B10AF" w:rsidRPr="004D3EFA" w:rsidRDefault="006B10AF" w:rsidP="006B10AF">
      <w:pPr>
        <w:spacing w:after="0" w:line="240" w:lineRule="auto"/>
      </w:pPr>
      <w:r w:rsidRPr="004D3EFA">
        <w:t xml:space="preserve">Ver nota complementaria en la que se detalla lo concerniente a los estudios de auditoría que han realizado sobre el proceso de implementación por parte de la Auditoría Interna y la Contraloría General de la República Oficio AMBA-444-2022 del 14 de </w:t>
      </w:r>
      <w:r w:rsidR="00D64CF8">
        <w:t>diciembre</w:t>
      </w:r>
      <w:r w:rsidRPr="004D3EFA">
        <w:t xml:space="preserve"> de 2022 sobre informe de la CGR. Ver al respecto anexo adjunto a estas notas en nota complementaria.</w:t>
      </w:r>
    </w:p>
    <w:p w14:paraId="286B5EF9" w14:textId="77777777" w:rsidR="00142555" w:rsidRDefault="00142555" w:rsidP="00142555">
      <w:pPr>
        <w:pStyle w:val="Prrafodelista"/>
        <w:spacing w:before="240"/>
        <w:rPr>
          <w:color w:val="000000"/>
          <w:sz w:val="22"/>
          <w:lang w:eastAsia="es-CR"/>
        </w:rPr>
      </w:pPr>
    </w:p>
    <w:p w14:paraId="2D1E818E" w14:textId="77777777" w:rsidR="0034405E" w:rsidRDefault="0034405E" w:rsidP="00142555">
      <w:pPr>
        <w:pStyle w:val="Prrafodelista"/>
        <w:spacing w:before="240"/>
        <w:rPr>
          <w:color w:val="000000"/>
          <w:sz w:val="22"/>
          <w:lang w:eastAsia="es-CR"/>
        </w:rPr>
      </w:pPr>
    </w:p>
    <w:p w14:paraId="37407CCA" w14:textId="77777777" w:rsidR="0034405E" w:rsidRDefault="0034405E" w:rsidP="00142555">
      <w:pPr>
        <w:pStyle w:val="Prrafodelista"/>
        <w:spacing w:before="240"/>
        <w:rPr>
          <w:color w:val="000000"/>
          <w:sz w:val="22"/>
          <w:lang w:eastAsia="es-CR"/>
        </w:rPr>
      </w:pPr>
    </w:p>
    <w:p w14:paraId="2691732D" w14:textId="566429D8" w:rsidR="00756467" w:rsidRPr="00DB0279" w:rsidRDefault="00A649A4" w:rsidP="00A43C71">
      <w:pPr>
        <w:pStyle w:val="Prrafodelista"/>
        <w:numPr>
          <w:ilvl w:val="0"/>
          <w:numId w:val="5"/>
        </w:numPr>
        <w:rPr>
          <w:color w:val="000000"/>
          <w:sz w:val="22"/>
          <w:lang w:eastAsia="es-CR"/>
        </w:rPr>
      </w:pPr>
      <w:r w:rsidRPr="00080C49">
        <w:rPr>
          <w:color w:val="000000"/>
          <w:sz w:val="22"/>
          <w:lang w:eastAsia="es-CR"/>
        </w:rPr>
        <w:t>¿</w:t>
      </w:r>
      <w:bookmarkStart w:id="156" w:name="_Hlk169162055"/>
      <w:r w:rsidRPr="00080C49">
        <w:rPr>
          <w:color w:val="000000"/>
          <w:sz w:val="22"/>
          <w:lang w:eastAsia="es-CR"/>
        </w:rPr>
        <w:t xml:space="preserve">Incluye Informes de Auditorias y CGR? </w:t>
      </w:r>
      <w:bookmarkEnd w:id="156"/>
      <w:r w:rsidR="007473D3">
        <w:rPr>
          <w:lang w:eastAsia="es-CR"/>
        </w:rPr>
        <w:fldChar w:fldCharType="begin"/>
      </w:r>
      <w:r w:rsidR="007473D3">
        <w:rPr>
          <w:lang w:eastAsia="es-CR"/>
        </w:rPr>
        <w:instrText xml:space="preserve"> LINK </w:instrText>
      </w:r>
      <w:r w:rsidR="00756467">
        <w:rPr>
          <w:lang w:eastAsia="es-CR"/>
        </w:rPr>
        <w:instrText xml:space="preserve">Excel.SheetMacroEnabled.12 "C:\\Users\\gcordero\\Downloads\\Notas diciembre 2024\\Formato_Notas_EEFF_Vinculadas_2024\\Formato_Notas_EEFF_Vinculadas_2024\\15603_T04_2024_Anexo_Estado_Notas_Contables_Vinculadas.xlsm" NOTAS_PARTICULAR!F23C3:F23C4 </w:instrText>
      </w:r>
      <w:r w:rsidR="007473D3">
        <w:rPr>
          <w:lang w:eastAsia="es-CR"/>
        </w:rPr>
        <w:instrText xml:space="preserve">\a \f 4 \h </w:instrText>
      </w:r>
      <w:r w:rsidR="007473D3">
        <w:rPr>
          <w:lang w:eastAsia="es-CR"/>
        </w:rPr>
        <w:fldChar w:fldCharType="separate"/>
      </w:r>
    </w:p>
    <w:tbl>
      <w:tblPr>
        <w:tblW w:w="2260" w:type="dxa"/>
        <w:tblCellMar>
          <w:left w:w="70" w:type="dxa"/>
          <w:right w:w="70" w:type="dxa"/>
        </w:tblCellMar>
        <w:tblLook w:val="04A0" w:firstRow="1" w:lastRow="0" w:firstColumn="1" w:lastColumn="0" w:noHBand="0" w:noVBand="1"/>
      </w:tblPr>
      <w:tblGrid>
        <w:gridCol w:w="1120"/>
        <w:gridCol w:w="1140"/>
      </w:tblGrid>
      <w:tr w:rsidR="00756467" w:rsidRPr="00756467" w14:paraId="6714CA0E" w14:textId="77777777" w:rsidTr="00756467">
        <w:trPr>
          <w:divId w:val="1164394307"/>
          <w:trHeight w:val="345"/>
        </w:trPr>
        <w:tc>
          <w:tcPr>
            <w:tcW w:w="112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788B27E2" w14:textId="239858C0" w:rsidR="00756467" w:rsidRPr="00756467" w:rsidRDefault="00756467" w:rsidP="00756467">
            <w:pPr>
              <w:spacing w:after="0" w:line="240" w:lineRule="auto"/>
              <w:jc w:val="center"/>
              <w:rPr>
                <w:rFonts w:eastAsia="Times New Roman" w:cs="Calibri"/>
                <w:color w:val="FFFFFF"/>
                <w:sz w:val="18"/>
                <w:szCs w:val="18"/>
                <w:lang w:eastAsia="es-CR"/>
              </w:rPr>
            </w:pPr>
            <w:r w:rsidRPr="00756467">
              <w:rPr>
                <w:rFonts w:eastAsia="Times New Roman" w:cs="Calibri"/>
                <w:color w:val="FFFFFF"/>
                <w:sz w:val="18"/>
                <w:szCs w:val="18"/>
                <w:lang w:eastAsia="es-CR"/>
              </w:rPr>
              <w:t>APLICACIÓN</w:t>
            </w:r>
          </w:p>
        </w:tc>
        <w:tc>
          <w:tcPr>
            <w:tcW w:w="11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85F500" w14:textId="77777777" w:rsidR="00756467" w:rsidRPr="00756467" w:rsidRDefault="00756467" w:rsidP="00756467">
            <w:pPr>
              <w:spacing w:after="0" w:line="240" w:lineRule="auto"/>
              <w:jc w:val="center"/>
              <w:rPr>
                <w:rFonts w:eastAsia="Times New Roman" w:cs="Calibri"/>
                <w:b/>
                <w:bCs/>
                <w:i/>
                <w:iCs/>
                <w:color w:val="000000"/>
                <w:sz w:val="18"/>
                <w:szCs w:val="18"/>
                <w:lang w:eastAsia="es-CR"/>
              </w:rPr>
            </w:pPr>
            <w:r w:rsidRPr="00756467">
              <w:rPr>
                <w:rFonts w:eastAsia="Times New Roman" w:cs="Calibri"/>
                <w:b/>
                <w:bCs/>
                <w:i/>
                <w:iCs/>
                <w:color w:val="000000"/>
                <w:sz w:val="18"/>
                <w:szCs w:val="18"/>
                <w:lang w:eastAsia="es-CR"/>
              </w:rPr>
              <w:t>SI</w:t>
            </w:r>
          </w:p>
        </w:tc>
      </w:tr>
    </w:tbl>
    <w:p w14:paraId="154B0632" w14:textId="717158A3" w:rsidR="00A43C71" w:rsidRPr="00A43C71" w:rsidRDefault="007473D3" w:rsidP="00A43C71">
      <w:pPr>
        <w:rPr>
          <w:color w:val="000000"/>
          <w:sz w:val="22"/>
          <w:lang w:eastAsia="es-CR"/>
        </w:rPr>
      </w:pPr>
      <w:r>
        <w:rPr>
          <w:lang w:eastAsia="es-CR"/>
        </w:rPr>
        <w:fldChar w:fldCharType="end"/>
      </w:r>
    </w:p>
    <w:p w14:paraId="57CBF854" w14:textId="4F7FA401" w:rsidR="00A649A4" w:rsidRPr="00821CA9" w:rsidRDefault="00607DC9" w:rsidP="00821CA9">
      <w:pPr>
        <w:spacing w:before="240"/>
        <w:rPr>
          <w:color w:val="000000"/>
          <w:sz w:val="22"/>
          <w:lang w:eastAsia="es-CR"/>
        </w:rPr>
      </w:pPr>
      <w:r w:rsidRPr="00AA2ABC">
        <w:rPr>
          <w:b/>
          <w:sz w:val="22"/>
          <w:u w:val="single"/>
          <w:lang w:val="es-ES_tradnl" w:eastAsia="es-CR"/>
        </w:rPr>
        <w:t>*Realizar Revelación en el apartado</w:t>
      </w:r>
      <w:r w:rsidRPr="00AA2ABC">
        <w:rPr>
          <w:b/>
          <w:bCs/>
          <w:color w:val="000000"/>
          <w:sz w:val="22"/>
          <w:u w:val="single"/>
          <w:lang w:eastAsia="es-CR"/>
        </w:rPr>
        <w:t xml:space="preserve"> Nota </w:t>
      </w:r>
      <w:r w:rsidR="00DB0279" w:rsidRPr="00AA2ABC">
        <w:rPr>
          <w:b/>
          <w:bCs/>
          <w:color w:val="000000"/>
          <w:sz w:val="22"/>
          <w:u w:val="single"/>
          <w:lang w:eastAsia="es-CR"/>
        </w:rPr>
        <w:t>complementaria</w:t>
      </w:r>
      <w:r w:rsidR="00DB0279">
        <w:rPr>
          <w:b/>
          <w:bCs/>
          <w:color w:val="000000"/>
          <w:sz w:val="22"/>
          <w:lang w:eastAsia="es-CR"/>
        </w:rPr>
        <w:t xml:space="preserve"> “</w:t>
      </w:r>
      <w:r w:rsidR="00A649A4" w:rsidRPr="00080C49">
        <w:rPr>
          <w:rFonts w:eastAsia="Calibri" w:cs="Arial"/>
          <w:b/>
          <w:color w:val="000000"/>
          <w:sz w:val="22"/>
        </w:rPr>
        <w:t xml:space="preserve">Revelación nota complementaria Informes de Auditorias </w:t>
      </w:r>
      <w:r>
        <w:rPr>
          <w:rFonts w:eastAsia="Calibri" w:cs="Arial"/>
          <w:b/>
          <w:color w:val="000000"/>
          <w:sz w:val="22"/>
        </w:rPr>
        <w:t xml:space="preserve">Interno, Externo </w:t>
      </w:r>
      <w:r w:rsidR="00A649A4" w:rsidRPr="00080C49">
        <w:rPr>
          <w:rFonts w:eastAsia="Calibri" w:cs="Arial"/>
          <w:b/>
          <w:color w:val="000000"/>
          <w:sz w:val="22"/>
        </w:rPr>
        <w:t>y</w:t>
      </w:r>
      <w:r>
        <w:rPr>
          <w:rFonts w:eastAsia="Calibri" w:cs="Arial"/>
          <w:b/>
          <w:color w:val="000000"/>
          <w:sz w:val="22"/>
        </w:rPr>
        <w:t>/o</w:t>
      </w:r>
      <w:r w:rsidR="00A649A4" w:rsidRPr="00080C49">
        <w:rPr>
          <w:rFonts w:eastAsia="Calibri" w:cs="Arial"/>
          <w:b/>
          <w:color w:val="000000"/>
          <w:sz w:val="22"/>
        </w:rPr>
        <w:t xml:space="preserve"> CGR: </w:t>
      </w:r>
    </w:p>
    <w:p w14:paraId="4A7D36F8" w14:textId="2CB36D0B" w:rsidR="00A649A4" w:rsidRDefault="00A649A4" w:rsidP="008648FD">
      <w:pPr>
        <w:rPr>
          <w:rFonts w:eastAsia="Calibri"/>
          <w:color w:val="000000"/>
          <w:szCs w:val="24"/>
          <w:lang w:val="es-ES" w:eastAsia="es-CR"/>
        </w:rPr>
      </w:pPr>
      <w:r w:rsidRPr="00A649A4">
        <w:rPr>
          <w:rFonts w:eastAsia="Calibri"/>
          <w:color w:val="000000"/>
          <w:szCs w:val="24"/>
          <w:lang w:val="es-ES" w:eastAsia="es-CR"/>
        </w:rPr>
        <w:t>Incluir</w:t>
      </w:r>
      <w:r w:rsidRPr="00A649A4">
        <w:rPr>
          <w:rFonts w:ascii="Times New Roman" w:eastAsia="Calibri" w:hAnsi="Times New Roman"/>
          <w:color w:val="000000"/>
          <w:szCs w:val="24"/>
          <w:lang w:eastAsia="es-CR"/>
        </w:rPr>
        <w:t xml:space="preserve"> </w:t>
      </w:r>
      <w:r w:rsidRPr="00A649A4">
        <w:rPr>
          <w:rFonts w:eastAsia="Calibri"/>
          <w:color w:val="000000"/>
          <w:szCs w:val="24"/>
          <w:lang w:val="es-ES" w:eastAsia="es-CR"/>
        </w:rPr>
        <w:t xml:space="preserve">el resumen de los Informes de Auditorías Externas, su cumplimiento de disposiciones, a su vez un informe de los estudios especiales realizados por su </w:t>
      </w:r>
      <w:r w:rsidR="00661954" w:rsidRPr="00A649A4">
        <w:rPr>
          <w:rFonts w:eastAsia="Calibri"/>
          <w:color w:val="000000"/>
          <w:szCs w:val="24"/>
          <w:lang w:val="es-ES" w:eastAsia="es-CR"/>
        </w:rPr>
        <w:t>auditoría</w:t>
      </w:r>
      <w:r w:rsidRPr="00A649A4">
        <w:rPr>
          <w:rFonts w:eastAsia="Calibri"/>
          <w:color w:val="000000"/>
          <w:szCs w:val="24"/>
          <w:lang w:val="es-ES" w:eastAsia="es-CR"/>
        </w:rPr>
        <w:t xml:space="preserve"> interna, el cumplimiento de disposiciones y también un informe de los estudios especiales o auditorias financieras realizadas por la Contraloría General de la </w:t>
      </w:r>
      <w:r w:rsidR="00661954" w:rsidRPr="00A649A4">
        <w:rPr>
          <w:rFonts w:eastAsia="Calibri"/>
          <w:color w:val="000000"/>
          <w:szCs w:val="24"/>
          <w:lang w:val="es-ES" w:eastAsia="es-CR"/>
        </w:rPr>
        <w:t>República</w:t>
      </w:r>
      <w:r w:rsidRPr="00A649A4">
        <w:rPr>
          <w:rFonts w:eastAsia="Calibri"/>
          <w:color w:val="000000"/>
          <w:szCs w:val="24"/>
          <w:lang w:val="es-ES" w:eastAsia="es-CR"/>
        </w:rPr>
        <w:t>, y el cumplimiento de sus disposiciones</w:t>
      </w:r>
      <w:r w:rsidR="00607DC9">
        <w:rPr>
          <w:rFonts w:eastAsia="Calibri"/>
          <w:color w:val="000000"/>
          <w:szCs w:val="24"/>
          <w:lang w:val="es-ES" w:eastAsia="es-CR"/>
        </w:rPr>
        <w:t>.</w:t>
      </w:r>
    </w:p>
    <w:p w14:paraId="30064A7C" w14:textId="40002694" w:rsidR="0034405E" w:rsidRDefault="006B10AF" w:rsidP="0034405E">
      <w:pPr>
        <w:spacing w:before="240"/>
        <w:rPr>
          <w:b/>
          <w:bCs/>
        </w:rPr>
      </w:pPr>
      <w:r w:rsidRPr="00591438">
        <w:rPr>
          <w:rFonts w:cs="Calibri"/>
        </w:rPr>
        <w:t>Ver al respecto anexo adjunto a estas notas en nota complementaria</w:t>
      </w:r>
      <w:r w:rsidRPr="00591438">
        <w:rPr>
          <w:rFonts w:eastAsia="Calibri"/>
        </w:rPr>
        <w:t xml:space="preserve"> y se adjuntan oficios </w:t>
      </w:r>
      <w:r w:rsidRPr="00591438">
        <w:rPr>
          <w:rFonts w:eastAsia="Times New Roman" w:cs="Times New Roman"/>
          <w:b/>
          <w:szCs w:val="24"/>
          <w:lang w:eastAsia="es-CR"/>
        </w:rPr>
        <w:t xml:space="preserve">AMBA-444-2022 y </w:t>
      </w:r>
      <w:r w:rsidRPr="00591438">
        <w:rPr>
          <w:b/>
        </w:rPr>
        <w:t>AI</w:t>
      </w:r>
      <w:r w:rsidRPr="00591438">
        <w:rPr>
          <w:b/>
          <w:bCs/>
        </w:rPr>
        <w:t>/MBA/199-2021.</w:t>
      </w:r>
    </w:p>
    <w:p w14:paraId="5D58EC68" w14:textId="77777777" w:rsidR="0034405E" w:rsidRPr="0034405E" w:rsidRDefault="0034405E" w:rsidP="0034405E">
      <w:pPr>
        <w:spacing w:before="240"/>
        <w:rPr>
          <w:b/>
          <w:bCs/>
        </w:rPr>
      </w:pPr>
    </w:p>
    <w:p w14:paraId="31DCA6AC" w14:textId="734A9BB7" w:rsidR="00756467" w:rsidRPr="00DB0279" w:rsidRDefault="00A649A4" w:rsidP="00DB0279">
      <w:pPr>
        <w:pStyle w:val="Prrafodelista"/>
        <w:numPr>
          <w:ilvl w:val="0"/>
          <w:numId w:val="5"/>
        </w:numPr>
        <w:rPr>
          <w:color w:val="000000"/>
          <w:sz w:val="22"/>
          <w:lang w:eastAsia="es-CR"/>
        </w:rPr>
      </w:pPr>
      <w:r w:rsidRPr="00080C49">
        <w:rPr>
          <w:color w:val="000000"/>
          <w:sz w:val="22"/>
          <w:lang w:eastAsia="es-CR"/>
        </w:rPr>
        <w:lastRenderedPageBreak/>
        <w:t>¿</w:t>
      </w:r>
      <w:bookmarkStart w:id="157" w:name="_Hlk169162064"/>
      <w:r w:rsidRPr="00080C49">
        <w:rPr>
          <w:color w:val="000000"/>
          <w:sz w:val="22"/>
          <w:lang w:eastAsia="es-CR"/>
        </w:rPr>
        <w:t>Incluye resultados de Oficios o correo de Observaciones C</w:t>
      </w:r>
      <w:r w:rsidR="00C12E51">
        <w:rPr>
          <w:color w:val="000000"/>
          <w:sz w:val="22"/>
          <w:lang w:eastAsia="es-CR"/>
        </w:rPr>
        <w:t xml:space="preserve">ontabilidad </w:t>
      </w:r>
      <w:r w:rsidRPr="00080C49">
        <w:rPr>
          <w:color w:val="000000"/>
          <w:sz w:val="22"/>
          <w:lang w:eastAsia="es-CR"/>
        </w:rPr>
        <w:t>N</w:t>
      </w:r>
      <w:bookmarkEnd w:id="157"/>
      <w:r w:rsidR="00C12E51">
        <w:rPr>
          <w:color w:val="000000"/>
          <w:sz w:val="22"/>
          <w:lang w:eastAsia="es-CR"/>
        </w:rPr>
        <w:t>acional</w:t>
      </w:r>
      <w:r w:rsidRPr="00080C49">
        <w:rPr>
          <w:color w:val="000000"/>
          <w:sz w:val="22"/>
          <w:lang w:eastAsia="es-CR"/>
        </w:rPr>
        <w:t xml:space="preserve">? </w:t>
      </w:r>
      <w:r w:rsidR="007473D3">
        <w:fldChar w:fldCharType="begin"/>
      </w:r>
      <w:r w:rsidR="007473D3">
        <w:instrText xml:space="preserve"> LINK </w:instrText>
      </w:r>
      <w:r w:rsidR="00756467">
        <w:instrText xml:space="preserve">Excel.SheetMacroEnabled.12 "C:\\Users\\gcordero\\Downloads\\Notas diciembre 2024\\Formato_Notas_EEFF_Vinculadas_2024\\Formato_Notas_EEFF_Vinculadas_2024\\15603_T04_2024_Anexo_Estado_Notas_Contables_Vinculadas.xlsm" NOTAS_PARTICULAR!F24C3:F24C4 </w:instrText>
      </w:r>
      <w:r w:rsidR="007473D3">
        <w:instrText xml:space="preserve">\a \f 4 \h </w:instrText>
      </w:r>
      <w:r w:rsidR="007473D3">
        <w:fldChar w:fldCharType="separate"/>
      </w:r>
    </w:p>
    <w:tbl>
      <w:tblPr>
        <w:tblW w:w="2260" w:type="dxa"/>
        <w:tblCellMar>
          <w:left w:w="70" w:type="dxa"/>
          <w:right w:w="70" w:type="dxa"/>
        </w:tblCellMar>
        <w:tblLook w:val="04A0" w:firstRow="1" w:lastRow="0" w:firstColumn="1" w:lastColumn="0" w:noHBand="0" w:noVBand="1"/>
      </w:tblPr>
      <w:tblGrid>
        <w:gridCol w:w="1120"/>
        <w:gridCol w:w="1140"/>
      </w:tblGrid>
      <w:tr w:rsidR="00756467" w:rsidRPr="00756467" w14:paraId="5CF00208" w14:textId="77777777" w:rsidTr="00756467">
        <w:trPr>
          <w:divId w:val="658730087"/>
          <w:trHeight w:val="345"/>
        </w:trPr>
        <w:tc>
          <w:tcPr>
            <w:tcW w:w="112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4717B8F1" w14:textId="7E8AE769" w:rsidR="00756467" w:rsidRPr="00756467" w:rsidRDefault="00756467" w:rsidP="00756467">
            <w:pPr>
              <w:spacing w:after="0" w:line="240" w:lineRule="auto"/>
              <w:jc w:val="center"/>
              <w:rPr>
                <w:rFonts w:eastAsia="Times New Roman" w:cs="Calibri"/>
                <w:color w:val="FFFFFF"/>
                <w:sz w:val="18"/>
                <w:szCs w:val="18"/>
                <w:lang w:eastAsia="es-CR"/>
              </w:rPr>
            </w:pPr>
            <w:r w:rsidRPr="00756467">
              <w:rPr>
                <w:rFonts w:eastAsia="Times New Roman" w:cs="Calibri"/>
                <w:color w:val="FFFFFF"/>
                <w:sz w:val="18"/>
                <w:szCs w:val="18"/>
                <w:lang w:eastAsia="es-CR"/>
              </w:rPr>
              <w:t>APLICACIÓN</w:t>
            </w:r>
          </w:p>
        </w:tc>
        <w:tc>
          <w:tcPr>
            <w:tcW w:w="11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1ECECA" w14:textId="77777777" w:rsidR="00756467" w:rsidRPr="00756467" w:rsidRDefault="00756467" w:rsidP="00756467">
            <w:pPr>
              <w:spacing w:after="0" w:line="240" w:lineRule="auto"/>
              <w:jc w:val="center"/>
              <w:rPr>
                <w:rFonts w:eastAsia="Times New Roman" w:cs="Calibri"/>
                <w:b/>
                <w:bCs/>
                <w:i/>
                <w:iCs/>
                <w:color w:val="000000"/>
                <w:sz w:val="18"/>
                <w:szCs w:val="18"/>
                <w:lang w:eastAsia="es-CR"/>
              </w:rPr>
            </w:pPr>
            <w:r w:rsidRPr="00756467">
              <w:rPr>
                <w:rFonts w:eastAsia="Times New Roman" w:cs="Calibri"/>
                <w:b/>
                <w:bCs/>
                <w:i/>
                <w:iCs/>
                <w:color w:val="000000"/>
                <w:sz w:val="18"/>
                <w:szCs w:val="18"/>
                <w:lang w:eastAsia="es-CR"/>
              </w:rPr>
              <w:t>SI</w:t>
            </w:r>
          </w:p>
        </w:tc>
      </w:tr>
    </w:tbl>
    <w:p w14:paraId="4FDC9FBE" w14:textId="56DF95E4" w:rsidR="00A649A4" w:rsidRPr="00080C49" w:rsidRDefault="007473D3" w:rsidP="00142555">
      <w:pPr>
        <w:spacing w:before="240"/>
        <w:rPr>
          <w:rFonts w:eastAsia="Calibri" w:cs="Arial"/>
          <w:b/>
          <w:color w:val="000000"/>
          <w:sz w:val="22"/>
        </w:rPr>
      </w:pPr>
      <w:r>
        <w:rPr>
          <w:rFonts w:eastAsia="Calibri" w:cs="Arial"/>
          <w:b/>
          <w:color w:val="000000"/>
          <w:sz w:val="22"/>
        </w:rPr>
        <w:fldChar w:fldCharType="end"/>
      </w:r>
      <w:r w:rsidR="00607DC9" w:rsidRPr="00AA2ABC">
        <w:rPr>
          <w:b/>
          <w:sz w:val="22"/>
          <w:u w:val="single"/>
          <w:lang w:val="es-ES_tradnl" w:eastAsia="es-CR"/>
        </w:rPr>
        <w:t>*Realizar Revelación en el apartado</w:t>
      </w:r>
      <w:r w:rsidR="00607DC9" w:rsidRPr="00AA2ABC">
        <w:rPr>
          <w:b/>
          <w:bCs/>
          <w:color w:val="000000"/>
          <w:sz w:val="22"/>
          <w:u w:val="single"/>
          <w:lang w:eastAsia="es-CR"/>
        </w:rPr>
        <w:t xml:space="preserve"> Nota complementaria</w:t>
      </w:r>
      <w:r w:rsidR="00A649A4" w:rsidRPr="00080C49">
        <w:rPr>
          <w:rFonts w:eastAsia="Calibri" w:cs="Arial"/>
          <w:b/>
          <w:color w:val="000000"/>
          <w:sz w:val="22"/>
        </w:rPr>
        <w:t xml:space="preserve"> Resultados de Oficios de Observaciones C</w:t>
      </w:r>
      <w:r w:rsidR="00607DC9">
        <w:rPr>
          <w:rFonts w:eastAsia="Calibri" w:cs="Arial"/>
          <w:b/>
          <w:color w:val="000000"/>
          <w:sz w:val="22"/>
        </w:rPr>
        <w:t xml:space="preserve">ontabilidad </w:t>
      </w:r>
      <w:r w:rsidR="00A649A4" w:rsidRPr="00080C49">
        <w:rPr>
          <w:rFonts w:eastAsia="Calibri" w:cs="Arial"/>
          <w:b/>
          <w:color w:val="000000"/>
          <w:sz w:val="22"/>
        </w:rPr>
        <w:t>N</w:t>
      </w:r>
      <w:r w:rsidR="00607DC9">
        <w:rPr>
          <w:rFonts w:eastAsia="Calibri" w:cs="Arial"/>
          <w:b/>
          <w:color w:val="000000"/>
          <w:sz w:val="22"/>
        </w:rPr>
        <w:t>acional</w:t>
      </w:r>
      <w:r w:rsidR="00A649A4" w:rsidRPr="00080C49">
        <w:rPr>
          <w:rFonts w:eastAsia="Calibri" w:cs="Arial"/>
          <w:b/>
          <w:color w:val="000000"/>
          <w:sz w:val="22"/>
        </w:rPr>
        <w:t xml:space="preserve">:  </w:t>
      </w:r>
    </w:p>
    <w:p w14:paraId="3552AD6C" w14:textId="086EF880" w:rsidR="00A649A4" w:rsidRDefault="00A649A4" w:rsidP="00607DC9">
      <w:pPr>
        <w:rPr>
          <w:rFonts w:eastAsia="Calibri"/>
          <w:color w:val="000000"/>
          <w:szCs w:val="24"/>
          <w:lang w:val="es-ES" w:eastAsia="es-CR"/>
        </w:rPr>
      </w:pPr>
      <w:r w:rsidRPr="00A649A4">
        <w:rPr>
          <w:rFonts w:eastAsia="Calibri"/>
          <w:color w:val="000000"/>
          <w:szCs w:val="24"/>
          <w:lang w:val="es-ES" w:eastAsia="es-CR"/>
        </w:rPr>
        <w:t>Incluir un informe y planes de acción remedial para cumplir con las observaciones emitidas por el analista asignado</w:t>
      </w:r>
      <w:r w:rsidR="00607DC9">
        <w:rPr>
          <w:rFonts w:eastAsia="Calibri"/>
          <w:color w:val="000000"/>
          <w:szCs w:val="24"/>
          <w:lang w:val="es-ES" w:eastAsia="es-CR"/>
        </w:rPr>
        <w:t>.</w:t>
      </w:r>
    </w:p>
    <w:p w14:paraId="2E66C96B" w14:textId="498A27F8" w:rsidR="00142555" w:rsidRDefault="006B10AF" w:rsidP="00B45F50">
      <w:pPr>
        <w:spacing w:line="240" w:lineRule="auto"/>
        <w:rPr>
          <w:rFonts w:eastAsia="Calibri"/>
        </w:rPr>
      </w:pPr>
      <w:r>
        <w:rPr>
          <w:rFonts w:cs="Calibri"/>
        </w:rPr>
        <w:t>Ver al respecto anexo adjunto a estas notas en nota complementaria</w:t>
      </w:r>
      <w:r>
        <w:rPr>
          <w:rFonts w:eastAsia="Calibri"/>
        </w:rPr>
        <w:t xml:space="preserve"> al que se incluye oficios remitidos a la Contabilidad Nacional sobre las acciones adoptadas para atender las observaciones realizadas por la CN.</w:t>
      </w:r>
    </w:p>
    <w:p w14:paraId="542C21E5" w14:textId="77777777" w:rsidR="00B45F50" w:rsidRPr="00B45F50" w:rsidRDefault="00B45F50" w:rsidP="00B45F50">
      <w:pPr>
        <w:spacing w:line="240" w:lineRule="auto"/>
        <w:rPr>
          <w:rFonts w:eastAsia="Calibri"/>
        </w:rPr>
      </w:pPr>
    </w:p>
    <w:p w14:paraId="6EB0F7EB" w14:textId="1160A72D" w:rsidR="00756467" w:rsidRPr="00DB0279" w:rsidRDefault="00A649A4" w:rsidP="00DB0279">
      <w:pPr>
        <w:pStyle w:val="Prrafodelista"/>
        <w:numPr>
          <w:ilvl w:val="0"/>
          <w:numId w:val="5"/>
        </w:numPr>
        <w:rPr>
          <w:color w:val="000000"/>
          <w:sz w:val="22"/>
          <w:lang w:eastAsia="es-CR"/>
        </w:rPr>
      </w:pPr>
      <w:r w:rsidRPr="00142555">
        <w:rPr>
          <w:color w:val="000000"/>
          <w:sz w:val="22"/>
          <w:lang w:eastAsia="es-CR"/>
        </w:rPr>
        <w:t>¿</w:t>
      </w:r>
      <w:bookmarkStart w:id="158" w:name="_Hlk169162087"/>
      <w:r w:rsidRPr="00142555">
        <w:rPr>
          <w:color w:val="000000"/>
          <w:sz w:val="22"/>
          <w:lang w:eastAsia="es-CR"/>
        </w:rPr>
        <w:t>Incluye nota particular denominada “</w:t>
      </w:r>
      <w:r w:rsidR="002407A4">
        <w:rPr>
          <w:color w:val="000000"/>
          <w:sz w:val="22"/>
          <w:lang w:eastAsia="es-CR"/>
        </w:rPr>
        <w:t>Plan General de Contabilidad</w:t>
      </w:r>
      <w:bookmarkEnd w:id="158"/>
      <w:r w:rsidRPr="00142555">
        <w:rPr>
          <w:color w:val="000000"/>
          <w:sz w:val="22"/>
          <w:lang w:eastAsia="es-CR"/>
        </w:rPr>
        <w:t xml:space="preserve">”? </w:t>
      </w:r>
      <w:r w:rsidR="007473D3">
        <w:fldChar w:fldCharType="begin"/>
      </w:r>
      <w:r w:rsidR="007473D3">
        <w:instrText xml:space="preserve"> LINK </w:instrText>
      </w:r>
      <w:r w:rsidR="00756467">
        <w:instrText xml:space="preserve">Excel.SheetMacroEnabled.12 "C:\\Users\\gcordero\\Downloads\\Notas diciembre 2024\\Formato_Notas_EEFF_Vinculadas_2024\\Formato_Notas_EEFF_Vinculadas_2024\\15603_T04_2024_Anexo_Estado_Notas_Contables_Vinculadas.xlsm" NOTAS_PARTICULAR!F25C3:F25C4 </w:instrText>
      </w:r>
      <w:r w:rsidR="007473D3">
        <w:instrText xml:space="preserve">\a \f 4 \h </w:instrText>
      </w:r>
      <w:r w:rsidR="007473D3">
        <w:fldChar w:fldCharType="separate"/>
      </w:r>
    </w:p>
    <w:tbl>
      <w:tblPr>
        <w:tblW w:w="2260" w:type="dxa"/>
        <w:tblCellMar>
          <w:left w:w="70" w:type="dxa"/>
          <w:right w:w="70" w:type="dxa"/>
        </w:tblCellMar>
        <w:tblLook w:val="04A0" w:firstRow="1" w:lastRow="0" w:firstColumn="1" w:lastColumn="0" w:noHBand="0" w:noVBand="1"/>
      </w:tblPr>
      <w:tblGrid>
        <w:gridCol w:w="1120"/>
        <w:gridCol w:w="1140"/>
      </w:tblGrid>
      <w:tr w:rsidR="00756467" w:rsidRPr="00756467" w14:paraId="2A24A4F9" w14:textId="77777777" w:rsidTr="00756467">
        <w:trPr>
          <w:divId w:val="1933465100"/>
          <w:trHeight w:val="345"/>
        </w:trPr>
        <w:tc>
          <w:tcPr>
            <w:tcW w:w="112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379BE6F4" w14:textId="5AD9C03E" w:rsidR="00756467" w:rsidRPr="00756467" w:rsidRDefault="00756467" w:rsidP="00756467">
            <w:pPr>
              <w:spacing w:after="0" w:line="240" w:lineRule="auto"/>
              <w:jc w:val="center"/>
              <w:rPr>
                <w:rFonts w:eastAsia="Times New Roman" w:cs="Calibri"/>
                <w:color w:val="FFFFFF"/>
                <w:sz w:val="18"/>
                <w:szCs w:val="18"/>
                <w:lang w:eastAsia="es-CR"/>
              </w:rPr>
            </w:pPr>
            <w:r w:rsidRPr="00756467">
              <w:rPr>
                <w:rFonts w:eastAsia="Times New Roman" w:cs="Calibri"/>
                <w:color w:val="FFFFFF"/>
                <w:sz w:val="18"/>
                <w:szCs w:val="18"/>
                <w:lang w:eastAsia="es-CR"/>
              </w:rPr>
              <w:t>APLICACIÓN</w:t>
            </w:r>
          </w:p>
        </w:tc>
        <w:tc>
          <w:tcPr>
            <w:tcW w:w="11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F7DEA0" w14:textId="77777777" w:rsidR="00756467" w:rsidRPr="00756467" w:rsidRDefault="00756467" w:rsidP="00756467">
            <w:pPr>
              <w:spacing w:after="0" w:line="240" w:lineRule="auto"/>
              <w:jc w:val="center"/>
              <w:rPr>
                <w:rFonts w:eastAsia="Times New Roman" w:cs="Calibri"/>
                <w:b/>
                <w:bCs/>
                <w:i/>
                <w:iCs/>
                <w:color w:val="000000"/>
                <w:sz w:val="18"/>
                <w:szCs w:val="18"/>
                <w:lang w:eastAsia="es-CR"/>
              </w:rPr>
            </w:pPr>
            <w:r w:rsidRPr="00756467">
              <w:rPr>
                <w:rFonts w:eastAsia="Times New Roman" w:cs="Calibri"/>
                <w:b/>
                <w:bCs/>
                <w:i/>
                <w:iCs/>
                <w:color w:val="000000"/>
                <w:sz w:val="18"/>
                <w:szCs w:val="18"/>
                <w:lang w:eastAsia="es-CR"/>
              </w:rPr>
              <w:t>SI</w:t>
            </w:r>
          </w:p>
        </w:tc>
      </w:tr>
    </w:tbl>
    <w:p w14:paraId="527B4C4E" w14:textId="5A86315B" w:rsidR="00A649A4" w:rsidRPr="00080C49" w:rsidRDefault="007473D3" w:rsidP="00142555">
      <w:pPr>
        <w:spacing w:before="240"/>
        <w:rPr>
          <w:rFonts w:eastAsia="Calibri" w:cs="Arial"/>
          <w:b/>
          <w:color w:val="000000"/>
          <w:sz w:val="22"/>
        </w:rPr>
      </w:pPr>
      <w:r>
        <w:rPr>
          <w:rFonts w:eastAsia="Calibri" w:cs="Arial"/>
          <w:b/>
          <w:color w:val="000000"/>
          <w:sz w:val="22"/>
        </w:rPr>
        <w:fldChar w:fldCharType="end"/>
      </w:r>
      <w:r w:rsidR="00607DC9" w:rsidRPr="00AA2ABC">
        <w:rPr>
          <w:b/>
          <w:sz w:val="22"/>
          <w:u w:val="single"/>
          <w:lang w:val="es-ES_tradnl" w:eastAsia="es-CR"/>
        </w:rPr>
        <w:t>*Realizar Revelación en el apartado</w:t>
      </w:r>
      <w:r w:rsidR="00607DC9" w:rsidRPr="00AA2ABC">
        <w:rPr>
          <w:b/>
          <w:bCs/>
          <w:color w:val="000000"/>
          <w:sz w:val="22"/>
          <w:u w:val="single"/>
          <w:lang w:eastAsia="es-CR"/>
        </w:rPr>
        <w:t xml:space="preserve"> Nota complementaria</w:t>
      </w:r>
      <w:r w:rsidR="00607DC9">
        <w:rPr>
          <w:b/>
          <w:bCs/>
          <w:color w:val="000000"/>
          <w:sz w:val="22"/>
          <w:lang w:eastAsia="es-CR"/>
        </w:rPr>
        <w:t xml:space="preserve"> </w:t>
      </w:r>
      <w:r w:rsidR="00A649A4" w:rsidRPr="00080C49">
        <w:rPr>
          <w:rFonts w:eastAsia="Calibri" w:cs="Arial"/>
          <w:b/>
          <w:color w:val="000000"/>
          <w:sz w:val="22"/>
        </w:rPr>
        <w:t>*Revelación nota complementaria</w:t>
      </w:r>
      <w:r w:rsidR="00D45E38" w:rsidRPr="00D45E38">
        <w:t xml:space="preserve"> </w:t>
      </w:r>
      <w:r w:rsidR="00D45E38" w:rsidRPr="00D45E38">
        <w:rPr>
          <w:rFonts w:eastAsia="Calibri" w:cs="Arial"/>
          <w:b/>
          <w:color w:val="000000"/>
          <w:sz w:val="22"/>
        </w:rPr>
        <w:t xml:space="preserve">Estados Financieros y </w:t>
      </w:r>
      <w:r w:rsidR="002407A4" w:rsidRPr="002407A4">
        <w:rPr>
          <w:rFonts w:eastAsia="Calibri" w:cs="Arial"/>
          <w:b/>
          <w:color w:val="000000"/>
          <w:sz w:val="22"/>
        </w:rPr>
        <w:t>Plan General de Contabilidad</w:t>
      </w:r>
      <w:r w:rsidR="00A649A4" w:rsidRPr="00080C49">
        <w:rPr>
          <w:rFonts w:eastAsia="Calibri" w:cs="Arial"/>
          <w:b/>
          <w:color w:val="000000"/>
          <w:sz w:val="22"/>
        </w:rPr>
        <w:t xml:space="preserve">:  </w:t>
      </w:r>
    </w:p>
    <w:p w14:paraId="42A640CA" w14:textId="77777777" w:rsidR="007528B2" w:rsidRDefault="00A649A4" w:rsidP="009420FC">
      <w:pPr>
        <w:rPr>
          <w:rFonts w:eastAsia="Calibri"/>
          <w:color w:val="000000"/>
          <w:szCs w:val="24"/>
          <w:lang w:val="es-ES" w:eastAsia="es-CR"/>
        </w:rPr>
      </w:pPr>
      <w:r w:rsidRPr="00A649A4">
        <w:rPr>
          <w:rFonts w:eastAsia="Calibri"/>
          <w:color w:val="000000"/>
          <w:szCs w:val="24"/>
          <w:lang w:val="es-ES" w:eastAsia="es-CR"/>
        </w:rPr>
        <w:t xml:space="preserve">Incluir una </w:t>
      </w:r>
      <w:r w:rsidR="00607DC9">
        <w:rPr>
          <w:rFonts w:eastAsia="Calibri"/>
          <w:color w:val="000000"/>
          <w:szCs w:val="24"/>
          <w:lang w:val="es-ES" w:eastAsia="es-CR"/>
        </w:rPr>
        <w:t>N</w:t>
      </w:r>
      <w:r w:rsidRPr="00A649A4">
        <w:rPr>
          <w:rFonts w:eastAsia="Calibri"/>
          <w:color w:val="000000"/>
          <w:szCs w:val="24"/>
          <w:lang w:val="es-ES" w:eastAsia="es-CR"/>
        </w:rPr>
        <w:t>ota particular</w:t>
      </w:r>
      <w:r w:rsidR="00BD3C24">
        <w:rPr>
          <w:rFonts w:eastAsia="Calibri"/>
          <w:color w:val="000000"/>
          <w:szCs w:val="24"/>
          <w:lang w:val="es-ES" w:eastAsia="es-CR"/>
        </w:rPr>
        <w:t xml:space="preserve"> </w:t>
      </w:r>
      <w:r w:rsidR="00661954">
        <w:rPr>
          <w:rFonts w:eastAsia="Calibri"/>
          <w:color w:val="000000"/>
          <w:szCs w:val="24"/>
          <w:lang w:val="es-ES" w:eastAsia="es-CR"/>
        </w:rPr>
        <w:t xml:space="preserve">del Plan General de Contabilidad </w:t>
      </w:r>
      <w:r w:rsidRPr="00A649A4">
        <w:rPr>
          <w:rFonts w:eastAsia="Calibri"/>
          <w:color w:val="000000"/>
          <w:szCs w:val="24"/>
          <w:lang w:val="es-ES" w:eastAsia="es-CR"/>
        </w:rPr>
        <w:t>la misma esta derivada del proceso de implementación de las Normas Internacionales de Contabilidad del Sector Publico (NICSP),</w:t>
      </w:r>
      <w:r w:rsidR="002407A4">
        <w:rPr>
          <w:rFonts w:eastAsia="Calibri"/>
          <w:color w:val="000000"/>
          <w:szCs w:val="24"/>
          <w:lang w:val="es-ES" w:eastAsia="es-CR"/>
        </w:rPr>
        <w:t xml:space="preserve"> </w:t>
      </w:r>
    </w:p>
    <w:p w14:paraId="1AA79B83" w14:textId="2EC3AEF0" w:rsidR="00B45F50" w:rsidRDefault="006B10AF" w:rsidP="006B10AF">
      <w:pPr>
        <w:rPr>
          <w:rFonts w:eastAsia="Calibri"/>
          <w:color w:val="000000"/>
          <w:szCs w:val="24"/>
          <w:lang w:val="es-ES" w:eastAsia="es-CR"/>
        </w:rPr>
      </w:pPr>
      <w:r>
        <w:rPr>
          <w:rFonts w:eastAsia="Calibri"/>
          <w:color w:val="000000"/>
          <w:szCs w:val="24"/>
          <w:lang w:val="es-ES" w:eastAsia="es-CR"/>
        </w:rPr>
        <w:t xml:space="preserve">Además, una </w:t>
      </w:r>
      <w:r w:rsidRPr="00A87AD8">
        <w:rPr>
          <w:rFonts w:eastAsia="Calibri"/>
          <w:color w:val="000000"/>
          <w:szCs w:val="24"/>
          <w:lang w:val="es-ES" w:eastAsia="es-CR"/>
        </w:rPr>
        <w:t>Certificación o Constancia del avance que se tiene en el Plan General Contable con copia a auditoría interna</w:t>
      </w:r>
      <w:r>
        <w:rPr>
          <w:rFonts w:eastAsia="Calibri"/>
          <w:color w:val="000000"/>
          <w:szCs w:val="24"/>
          <w:lang w:val="es-ES" w:eastAsia="es-CR"/>
        </w:rPr>
        <w:t>.</w:t>
      </w:r>
    </w:p>
    <w:p w14:paraId="73412614" w14:textId="1CE84B0B" w:rsidR="006B10AF" w:rsidRDefault="006B10AF" w:rsidP="006B10AF">
      <w:pPr>
        <w:rPr>
          <w:rFonts w:eastAsia="Calibri"/>
          <w:color w:val="000000"/>
          <w:szCs w:val="24"/>
          <w:lang w:val="es-ES" w:eastAsia="es-CR"/>
        </w:rPr>
      </w:pPr>
      <w:r w:rsidRPr="007528B2">
        <w:rPr>
          <w:rFonts w:eastAsia="Calibri"/>
          <w:b/>
          <w:bCs/>
          <w:color w:val="000000"/>
          <w:szCs w:val="24"/>
          <w:lang w:val="es-ES" w:eastAsia="es-CR"/>
        </w:rPr>
        <w:t xml:space="preserve">(Informe </w:t>
      </w:r>
      <w:r>
        <w:rPr>
          <w:rFonts w:eastAsia="Calibri"/>
          <w:b/>
          <w:bCs/>
          <w:color w:val="000000"/>
          <w:szCs w:val="24"/>
          <w:lang w:val="es-ES" w:eastAsia="es-CR"/>
        </w:rPr>
        <w:t xml:space="preserve">debe enviarse </w:t>
      </w:r>
      <w:r w:rsidRPr="007528B2">
        <w:rPr>
          <w:rFonts w:eastAsia="Calibri"/>
          <w:b/>
          <w:bCs/>
          <w:color w:val="000000"/>
          <w:szCs w:val="24"/>
          <w:lang w:val="es-ES" w:eastAsia="es-CR"/>
        </w:rPr>
        <w:t>aparte y en carpeta con todos los anexos).</w:t>
      </w:r>
      <w:r>
        <w:rPr>
          <w:rFonts w:eastAsia="Calibri"/>
          <w:color w:val="000000"/>
          <w:szCs w:val="24"/>
          <w:lang w:val="es-ES" w:eastAsia="es-CR"/>
        </w:rPr>
        <w:t xml:space="preserve"> </w:t>
      </w:r>
    </w:p>
    <w:p w14:paraId="1693A849" w14:textId="77777777" w:rsidR="00B45F50" w:rsidRDefault="00B45F50" w:rsidP="006B10AF">
      <w:pPr>
        <w:rPr>
          <w:rFonts w:eastAsia="Calibri"/>
          <w:color w:val="000000"/>
          <w:szCs w:val="24"/>
          <w:lang w:val="es-ES" w:eastAsia="es-CR"/>
        </w:rPr>
      </w:pPr>
    </w:p>
    <w:p w14:paraId="255EB139" w14:textId="5A17020A" w:rsidR="006B10AF" w:rsidRDefault="006B10AF" w:rsidP="006B10AF">
      <w:r>
        <w:rPr>
          <w:rFonts w:eastAsia="Calibri"/>
          <w:color w:val="000000"/>
          <w:szCs w:val="24"/>
          <w:lang w:val="es-ES" w:eastAsia="es-CR"/>
        </w:rPr>
        <w:t xml:space="preserve"> </w:t>
      </w:r>
      <w:r w:rsidRPr="00A649A4">
        <w:rPr>
          <w:rFonts w:eastAsia="Calibri"/>
          <w:color w:val="000000"/>
          <w:szCs w:val="24"/>
          <w:lang w:val="es-ES" w:eastAsia="es-CR"/>
        </w:rPr>
        <w:t xml:space="preserve">La construcción de esta nota particular será progresiva desde este cierre contable hasta </w:t>
      </w:r>
      <w:r>
        <w:rPr>
          <w:rFonts w:eastAsia="Calibri"/>
          <w:color w:val="000000"/>
          <w:szCs w:val="24"/>
          <w:lang w:val="es-ES" w:eastAsia="es-CR"/>
        </w:rPr>
        <w:t>el cierre diciembre 2024</w:t>
      </w:r>
      <w:r w:rsidRPr="00A649A4">
        <w:rPr>
          <w:rFonts w:eastAsia="Calibri"/>
          <w:color w:val="000000"/>
          <w:szCs w:val="24"/>
          <w:lang w:val="es-ES" w:eastAsia="es-CR"/>
        </w:rPr>
        <w:t xml:space="preserve"> y la emisión de la Afirmación Explicita e Incondicional sobre el cumplimiento de las NICSP conforme a la Resolución DCN-0003-2022</w:t>
      </w:r>
      <w:r>
        <w:rPr>
          <w:rFonts w:eastAsia="Calibri"/>
          <w:color w:val="000000"/>
          <w:szCs w:val="24"/>
          <w:lang w:val="es-ES" w:eastAsia="es-CR"/>
        </w:rPr>
        <w:t>.</w:t>
      </w:r>
      <w:r>
        <w:t>CERTIFICACIÓN AVANCE INFORMACIÓN PLAN GENERAL CONTABLE:</w:t>
      </w:r>
    </w:p>
    <w:p w14:paraId="3FB61712" w14:textId="6BFE6A3B" w:rsidR="00B45F50" w:rsidRDefault="00B45F50" w:rsidP="006B10AF"/>
    <w:p w14:paraId="1A3E4F86" w14:textId="39A1EE68" w:rsidR="00B45F50" w:rsidRDefault="00B45F50" w:rsidP="006B10AF"/>
    <w:p w14:paraId="1443D823" w14:textId="77777777" w:rsidR="00B45F50" w:rsidRPr="004E2846" w:rsidRDefault="00B45F50" w:rsidP="006B10AF">
      <w:pPr>
        <w:rPr>
          <w:rFonts w:eastAsia="Calibri"/>
          <w:b/>
          <w:color w:val="000000"/>
          <w:szCs w:val="24"/>
          <w:lang w:val="es-ES" w:eastAsia="es-CR"/>
        </w:rPr>
      </w:pPr>
    </w:p>
    <w:p w14:paraId="6DC05EA2" w14:textId="077E36EE" w:rsidR="008E15C6" w:rsidRDefault="008E15C6" w:rsidP="008E15C6">
      <w:pPr>
        <w:pStyle w:val="Ttulo2"/>
      </w:pPr>
      <w:bookmarkStart w:id="159" w:name="_Toc189804827"/>
      <w:r>
        <w:lastRenderedPageBreak/>
        <w:t>CERTIFICACIÓN AVANCE</w:t>
      </w:r>
      <w:r w:rsidR="00585796">
        <w:t xml:space="preserve"> INFORMACIÓN PLAN GENERAL CONTABLE:</w:t>
      </w:r>
      <w:bookmarkEnd w:id="159"/>
    </w:p>
    <w:p w14:paraId="134FE2CC" w14:textId="77777777" w:rsidR="002320B2" w:rsidRDefault="002320B2" w:rsidP="002320B2">
      <w:pPr>
        <w:pBdr>
          <w:top w:val="single" w:sz="4" w:space="0" w:color="auto"/>
          <w:left w:val="single" w:sz="4" w:space="4" w:color="auto"/>
          <w:bottom w:val="single" w:sz="4" w:space="1" w:color="auto"/>
          <w:right w:val="single" w:sz="4" w:space="4" w:color="auto"/>
        </w:pBdr>
        <w:rPr>
          <w:b/>
          <w:bCs/>
        </w:rPr>
      </w:pPr>
    </w:p>
    <w:p w14:paraId="7ABC79E2" w14:textId="77777777" w:rsidR="002320B2" w:rsidRPr="00BC7C5B" w:rsidRDefault="002320B2" w:rsidP="002320B2">
      <w:pPr>
        <w:pBdr>
          <w:top w:val="single" w:sz="4" w:space="0" w:color="auto"/>
          <w:left w:val="single" w:sz="4" w:space="4" w:color="auto"/>
          <w:bottom w:val="single" w:sz="4" w:space="1" w:color="auto"/>
          <w:right w:val="single" w:sz="4" w:space="4" w:color="auto"/>
        </w:pBdr>
        <w:jc w:val="center"/>
        <w:rPr>
          <w:b/>
          <w:bCs/>
        </w:rPr>
      </w:pPr>
      <w:r w:rsidRPr="00BC7C5B">
        <w:rPr>
          <w:b/>
          <w:bCs/>
        </w:rPr>
        <w:t>Certificación o Constancia:</w:t>
      </w:r>
    </w:p>
    <w:p w14:paraId="2B9CC1C6" w14:textId="0CA14CF5" w:rsidR="002320B2" w:rsidRDefault="00FE55A7" w:rsidP="002320B2">
      <w:pPr>
        <w:pBdr>
          <w:top w:val="single" w:sz="4" w:space="0" w:color="auto"/>
          <w:left w:val="single" w:sz="4" w:space="4" w:color="auto"/>
          <w:bottom w:val="single" w:sz="4" w:space="1" w:color="auto"/>
          <w:right w:val="single" w:sz="4" w:space="4" w:color="auto"/>
        </w:pBdr>
        <w:spacing w:line="240" w:lineRule="auto"/>
      </w:pPr>
      <w:r>
        <w:t>La MUNICAIPALIDAD DE BUENOS AIRES, cedula jurídica 3-014-042112</w:t>
      </w:r>
      <w:r w:rsidR="002320B2" w:rsidRPr="00BC7C5B">
        <w:t>,</w:t>
      </w:r>
      <w:r>
        <w:t xml:space="preserve"> y cuyo Representante Legal es ANA MARGOTH MORA NAVARRO</w:t>
      </w:r>
      <w:r w:rsidR="002320B2" w:rsidRPr="00BC7C5B">
        <w:t>, porta</w:t>
      </w:r>
      <w:r>
        <w:t>dora de la cedula de identidad 1-0820-0849</w:t>
      </w:r>
      <w:r w:rsidR="002320B2" w:rsidRPr="00BC7C5B">
        <w:t>,</w:t>
      </w:r>
    </w:p>
    <w:p w14:paraId="2968A73D" w14:textId="0DC0F43B" w:rsidR="002320B2" w:rsidRDefault="002320B2" w:rsidP="005C62D5">
      <w:pPr>
        <w:pBdr>
          <w:top w:val="single" w:sz="4" w:space="0" w:color="auto"/>
          <w:left w:val="single" w:sz="4" w:space="4" w:color="auto"/>
          <w:bottom w:val="single" w:sz="4" w:space="1" w:color="auto"/>
          <w:right w:val="single" w:sz="4" w:space="4" w:color="auto"/>
        </w:pBdr>
        <w:spacing w:line="240" w:lineRule="auto"/>
        <w:rPr>
          <w:b/>
          <w:bCs/>
        </w:rPr>
      </w:pPr>
      <w:r w:rsidRPr="00BC7C5B">
        <w:t xml:space="preserve">CERTIFICA QUE: </w:t>
      </w:r>
      <w:r w:rsidRPr="00BC7C5B">
        <w:rPr>
          <w:u w:val="single"/>
        </w:rPr>
        <w:t xml:space="preserve">la entidad cuenta con </w:t>
      </w:r>
      <w:r w:rsidR="00AE3C6B">
        <w:rPr>
          <w:u w:val="single"/>
        </w:rPr>
        <w:t>el siguiente avance con relación a la información al</w:t>
      </w:r>
      <w:r w:rsidR="005C62D5">
        <w:rPr>
          <w:u w:val="single"/>
        </w:rPr>
        <w:t xml:space="preserve"> Plan General Contable</w:t>
      </w:r>
      <w:r w:rsidR="00A3228B">
        <w:rPr>
          <w:u w:val="single"/>
        </w:rPr>
        <w:t>:</w:t>
      </w:r>
    </w:p>
    <w:p w14:paraId="123E390F" w14:textId="77777777" w:rsidR="00FE55A7" w:rsidRPr="00FE55A7" w:rsidRDefault="00FE55A7" w:rsidP="002320B2">
      <w:pPr>
        <w:pBdr>
          <w:top w:val="single" w:sz="4" w:space="0" w:color="auto"/>
          <w:left w:val="single" w:sz="4" w:space="4" w:color="auto"/>
          <w:bottom w:val="single" w:sz="4" w:space="1" w:color="auto"/>
          <w:right w:val="single" w:sz="4" w:space="4" w:color="auto"/>
        </w:pBdr>
        <w:spacing w:line="276" w:lineRule="auto"/>
        <w:rPr>
          <w:bCs/>
        </w:rPr>
      </w:pPr>
      <w:r w:rsidRPr="00FE55A7">
        <w:rPr>
          <w:bCs/>
        </w:rPr>
        <w:t>Se identificaron las NICSP que aplican a la Municipalidad, así como las cuentas del Catálogo de cuentas elaborado por la Contabilidad Nacional, asimismo, se elaboró una primer versión en borrador de las Políticas Generales que le aplican a la Municipalidad de Buenos Aires, con base en las Políticas Contables Generales emitidas por la DGCN, contenidas en el Plan General de Contabilidad Nacional versión 2021 (sustentadas en NICSP versión 2018); y de acuerdo con el quehacer municipal por temas específicos que atañen a cada NICSP. Además, en abril de 2024 se aprobó una versión actualizada del Manual de Procedimientos Municipal que contiene los procedimientos contables.</w:t>
      </w:r>
    </w:p>
    <w:p w14:paraId="10CD695F" w14:textId="197E02CD" w:rsidR="002320B2" w:rsidRDefault="002320B2" w:rsidP="002320B2">
      <w:pPr>
        <w:pBdr>
          <w:top w:val="single" w:sz="4" w:space="0" w:color="auto"/>
          <w:left w:val="single" w:sz="4" w:space="4" w:color="auto"/>
          <w:bottom w:val="single" w:sz="4" w:space="1" w:color="auto"/>
          <w:right w:val="single" w:sz="4" w:space="4" w:color="auto"/>
        </w:pBdr>
        <w:spacing w:line="276" w:lineRule="auto"/>
      </w:pPr>
      <w:r w:rsidRPr="00BC7C5B">
        <w:rPr>
          <w:b/>
          <w:bCs/>
        </w:rPr>
        <w:t>Observaciones:</w:t>
      </w:r>
      <w:r w:rsidRPr="00BC7C5B">
        <w:t xml:space="preserve"> </w:t>
      </w:r>
    </w:p>
    <w:p w14:paraId="435EAA59" w14:textId="4C98D5C2" w:rsidR="00B45F50" w:rsidRPr="00B159D3" w:rsidRDefault="00FE55A7" w:rsidP="00B159D3">
      <w:pPr>
        <w:pBdr>
          <w:top w:val="single" w:sz="4" w:space="0" w:color="auto"/>
          <w:left w:val="single" w:sz="4" w:space="4" w:color="auto"/>
          <w:bottom w:val="single" w:sz="4" w:space="1" w:color="auto"/>
          <w:right w:val="single" w:sz="4" w:space="4" w:color="auto"/>
        </w:pBdr>
      </w:pPr>
      <w:r w:rsidRPr="00FE55A7">
        <w:t xml:space="preserve">Cabe señalar que se continua con la identificación de políticas particulares y la revisión permanente de los procedimientos en vista de que se está implementando un sistema integrado de información institucional. Se indica además que se cuenta con una Carpeta de Plan General Contable 2025, misma que se dio a conocer a la Comisión Institucional de NICSP en sesión realizada el día 27 de </w:t>
      </w:r>
      <w:r w:rsidR="00D64CF8">
        <w:t>diciembre</w:t>
      </w:r>
      <w:r w:rsidRPr="00FE55A7">
        <w:t xml:space="preserve"> del 2024 Minuta # 49</w:t>
      </w:r>
    </w:p>
    <w:p w14:paraId="1BA97617" w14:textId="2E9A16AF" w:rsidR="00C12E51" w:rsidRDefault="00C12E51" w:rsidP="00C12E51">
      <w:pPr>
        <w:pStyle w:val="Ttulo1"/>
        <w:rPr>
          <w:rFonts w:eastAsia="Times New Roman"/>
        </w:rPr>
      </w:pPr>
      <w:bookmarkStart w:id="160" w:name="_Toc189804828"/>
      <w:r>
        <w:rPr>
          <w:rFonts w:eastAsia="Times New Roman"/>
        </w:rPr>
        <w:t>NOTAS COMPLEMENTARIAS</w:t>
      </w:r>
      <w:bookmarkEnd w:id="160"/>
    </w:p>
    <w:p w14:paraId="440B60DB" w14:textId="77777777" w:rsidR="00A35777" w:rsidRPr="00A35777" w:rsidRDefault="00A35777" w:rsidP="00A35777">
      <w:pPr>
        <w:rPr>
          <w:rFonts w:eastAsia="Times New Roman" w:cstheme="majorBidi"/>
          <w:b/>
          <w:color w:val="1F3864"/>
          <w:sz w:val="26"/>
          <w:szCs w:val="32"/>
          <w:u w:val="single"/>
        </w:rPr>
      </w:pPr>
    </w:p>
    <w:p w14:paraId="60FC26B0" w14:textId="77777777" w:rsidR="00C12E51" w:rsidRPr="00A35777" w:rsidRDefault="00C12E51" w:rsidP="007F4626">
      <w:pPr>
        <w:pStyle w:val="Prrafodelista"/>
        <w:numPr>
          <w:ilvl w:val="0"/>
          <w:numId w:val="20"/>
        </w:numPr>
        <w:spacing w:line="256" w:lineRule="auto"/>
        <w:rPr>
          <w:rFonts w:eastAsia="Times New Roman" w:cstheme="majorBidi"/>
          <w:b/>
          <w:color w:val="1F3864"/>
          <w:sz w:val="26"/>
          <w:szCs w:val="32"/>
          <w:u w:val="single"/>
        </w:rPr>
      </w:pPr>
      <w:r w:rsidRPr="00A35777">
        <w:rPr>
          <w:rFonts w:eastAsia="Times New Roman" w:cstheme="majorBidi"/>
          <w:b/>
          <w:color w:val="1F3864"/>
          <w:sz w:val="26"/>
          <w:szCs w:val="32"/>
          <w:u w:val="single"/>
        </w:rPr>
        <w:t>Nota complementaria denominada “Informes de Auditoría Interna, Externa, o especial de la CGR en EEFF, obtener los resultados y disposiciones”</w:t>
      </w:r>
    </w:p>
    <w:p w14:paraId="06CD3308" w14:textId="23DDB844" w:rsidR="00C12E51" w:rsidRPr="00A35777" w:rsidRDefault="00C12E51" w:rsidP="00A35777">
      <w:pPr>
        <w:rPr>
          <w:rFonts w:eastAsia="Calibri"/>
          <w:color w:val="000000"/>
          <w:szCs w:val="24"/>
          <w:lang w:val="es-ES" w:eastAsia="es-CR"/>
        </w:rPr>
      </w:pPr>
    </w:p>
    <w:tbl>
      <w:tblPr>
        <w:tblStyle w:val="Tablaconcuadrcula"/>
        <w:tblW w:w="10485" w:type="dxa"/>
        <w:jc w:val="center"/>
        <w:tblLayout w:type="fixed"/>
        <w:tblLook w:val="04A0" w:firstRow="1" w:lastRow="0" w:firstColumn="1" w:lastColumn="0" w:noHBand="0" w:noVBand="1"/>
      </w:tblPr>
      <w:tblGrid>
        <w:gridCol w:w="1246"/>
        <w:gridCol w:w="1247"/>
        <w:gridCol w:w="1247"/>
        <w:gridCol w:w="1358"/>
        <w:gridCol w:w="1276"/>
        <w:gridCol w:w="1418"/>
        <w:gridCol w:w="992"/>
        <w:gridCol w:w="1701"/>
      </w:tblGrid>
      <w:tr w:rsidR="00A35777" w:rsidRPr="0058120C" w14:paraId="5ABBECED" w14:textId="77777777" w:rsidTr="00A35777">
        <w:trPr>
          <w:jc w:val="center"/>
        </w:trPr>
        <w:tc>
          <w:tcPr>
            <w:tcW w:w="1246" w:type="dxa"/>
            <w:shd w:val="clear" w:color="auto" w:fill="2F5496" w:themeFill="accent1" w:themeFillShade="BF"/>
          </w:tcPr>
          <w:p w14:paraId="0652C965" w14:textId="77777777" w:rsidR="00A35777" w:rsidRPr="0058120C" w:rsidRDefault="00A35777" w:rsidP="00DC6CF3">
            <w:pPr>
              <w:jc w:val="center"/>
              <w:rPr>
                <w:rFonts w:ascii="HendersonSansW00-BasicLight" w:hAnsi="HendersonSansW00-BasicLight"/>
                <w:color w:val="FFFFFF" w:themeColor="background1"/>
                <w:sz w:val="20"/>
              </w:rPr>
            </w:pPr>
            <w:r w:rsidRPr="0058120C">
              <w:rPr>
                <w:rFonts w:ascii="HendersonSansW00-BasicLight" w:hAnsi="HendersonSansW00-BasicLight"/>
                <w:color w:val="FFFFFF" w:themeColor="background1"/>
                <w:sz w:val="20"/>
              </w:rPr>
              <w:t>Número de Informe de auditoria</w:t>
            </w:r>
          </w:p>
        </w:tc>
        <w:tc>
          <w:tcPr>
            <w:tcW w:w="1247" w:type="dxa"/>
            <w:shd w:val="clear" w:color="auto" w:fill="2F5496" w:themeFill="accent1" w:themeFillShade="BF"/>
          </w:tcPr>
          <w:p w14:paraId="3104CB95" w14:textId="77777777" w:rsidR="00A35777" w:rsidRPr="0058120C" w:rsidRDefault="00A35777" w:rsidP="00DC6CF3">
            <w:pPr>
              <w:jc w:val="center"/>
              <w:rPr>
                <w:rFonts w:ascii="HendersonSansW00-BasicLight" w:hAnsi="HendersonSansW00-BasicLight"/>
                <w:color w:val="FFFFFF" w:themeColor="background1"/>
                <w:sz w:val="20"/>
              </w:rPr>
            </w:pPr>
            <w:r w:rsidRPr="0058120C">
              <w:rPr>
                <w:rFonts w:ascii="HendersonSansW00-BasicLight" w:hAnsi="HendersonSansW00-BasicLight"/>
                <w:color w:val="FFFFFF" w:themeColor="background1"/>
                <w:sz w:val="20"/>
              </w:rPr>
              <w:t>Fecha de auditoría</w:t>
            </w:r>
          </w:p>
        </w:tc>
        <w:tc>
          <w:tcPr>
            <w:tcW w:w="1247" w:type="dxa"/>
            <w:shd w:val="clear" w:color="auto" w:fill="2F5496" w:themeFill="accent1" w:themeFillShade="BF"/>
          </w:tcPr>
          <w:p w14:paraId="2002ED32" w14:textId="77777777" w:rsidR="00A35777" w:rsidRPr="0058120C" w:rsidRDefault="00A35777" w:rsidP="00DC6CF3">
            <w:pPr>
              <w:jc w:val="center"/>
              <w:rPr>
                <w:rFonts w:ascii="HendersonSansW00-BasicLight" w:hAnsi="HendersonSansW00-BasicLight"/>
                <w:color w:val="FFFFFF" w:themeColor="background1"/>
                <w:sz w:val="20"/>
              </w:rPr>
            </w:pPr>
            <w:r w:rsidRPr="0058120C">
              <w:rPr>
                <w:rFonts w:ascii="HendersonSansW00-BasicLight" w:hAnsi="HendersonSansW00-BasicLight"/>
                <w:color w:val="FFFFFF" w:themeColor="background1"/>
                <w:sz w:val="20"/>
              </w:rPr>
              <w:t>Tipo de auditoría</w:t>
            </w:r>
          </w:p>
        </w:tc>
        <w:tc>
          <w:tcPr>
            <w:tcW w:w="1358" w:type="dxa"/>
            <w:shd w:val="clear" w:color="auto" w:fill="2F5496" w:themeFill="accent1" w:themeFillShade="BF"/>
          </w:tcPr>
          <w:p w14:paraId="2B525761" w14:textId="77777777" w:rsidR="00A35777" w:rsidRPr="0058120C" w:rsidRDefault="00A35777" w:rsidP="00DC6CF3">
            <w:pPr>
              <w:jc w:val="center"/>
              <w:rPr>
                <w:rFonts w:ascii="HendersonSansW00-BasicLight" w:hAnsi="HendersonSansW00-BasicLight"/>
                <w:color w:val="FFFFFF" w:themeColor="background1"/>
                <w:sz w:val="20"/>
              </w:rPr>
            </w:pPr>
            <w:r w:rsidRPr="0058120C">
              <w:rPr>
                <w:rFonts w:ascii="HendersonSansW00-BasicLight" w:hAnsi="HendersonSansW00-BasicLight"/>
                <w:color w:val="FFFFFF" w:themeColor="background1"/>
                <w:sz w:val="20"/>
              </w:rPr>
              <w:t>Periodo Auditado</w:t>
            </w:r>
          </w:p>
        </w:tc>
        <w:tc>
          <w:tcPr>
            <w:tcW w:w="1276" w:type="dxa"/>
            <w:shd w:val="clear" w:color="auto" w:fill="2F5496" w:themeFill="accent1" w:themeFillShade="BF"/>
          </w:tcPr>
          <w:p w14:paraId="10EEF145" w14:textId="77777777" w:rsidR="00A35777" w:rsidRPr="0058120C" w:rsidRDefault="00A35777" w:rsidP="00DC6CF3">
            <w:pPr>
              <w:jc w:val="center"/>
              <w:rPr>
                <w:rFonts w:ascii="HendersonSansW00-BasicLight" w:hAnsi="HendersonSansW00-BasicLight"/>
                <w:color w:val="FFFFFF" w:themeColor="background1"/>
                <w:sz w:val="20"/>
              </w:rPr>
            </w:pPr>
            <w:r w:rsidRPr="0058120C">
              <w:rPr>
                <w:rFonts w:ascii="HendersonSansW00-BasicLight" w:hAnsi="HendersonSansW00-BasicLight"/>
                <w:color w:val="FFFFFF" w:themeColor="background1"/>
                <w:sz w:val="20"/>
              </w:rPr>
              <w:t>Auditoría Interna o externa</w:t>
            </w:r>
          </w:p>
        </w:tc>
        <w:tc>
          <w:tcPr>
            <w:tcW w:w="1418" w:type="dxa"/>
            <w:shd w:val="clear" w:color="auto" w:fill="2F5496" w:themeFill="accent1" w:themeFillShade="BF"/>
          </w:tcPr>
          <w:p w14:paraId="39AA8D0E" w14:textId="77777777" w:rsidR="00A35777" w:rsidRPr="0058120C" w:rsidRDefault="00A35777" w:rsidP="00DC6CF3">
            <w:pPr>
              <w:jc w:val="center"/>
              <w:rPr>
                <w:rFonts w:ascii="HendersonSansW00-BasicLight" w:hAnsi="HendersonSansW00-BasicLight"/>
                <w:color w:val="FFFFFF" w:themeColor="background1"/>
                <w:sz w:val="20"/>
              </w:rPr>
            </w:pPr>
            <w:r w:rsidRPr="0058120C">
              <w:rPr>
                <w:rFonts w:ascii="HendersonSansW00-BasicLight" w:hAnsi="HendersonSansW00-BasicLight"/>
                <w:color w:val="FFFFFF" w:themeColor="background1"/>
                <w:sz w:val="20"/>
              </w:rPr>
              <w:t>Hallazgos</w:t>
            </w:r>
          </w:p>
        </w:tc>
        <w:tc>
          <w:tcPr>
            <w:tcW w:w="992" w:type="dxa"/>
            <w:shd w:val="clear" w:color="auto" w:fill="2F5496" w:themeFill="accent1" w:themeFillShade="BF"/>
          </w:tcPr>
          <w:p w14:paraId="5EF21346" w14:textId="77777777" w:rsidR="00A35777" w:rsidRPr="0058120C" w:rsidRDefault="00A35777" w:rsidP="00DC6CF3">
            <w:pPr>
              <w:jc w:val="center"/>
              <w:rPr>
                <w:rFonts w:ascii="HendersonSansW00-BasicLight" w:hAnsi="HendersonSansW00-BasicLight"/>
                <w:color w:val="FFFFFF" w:themeColor="background1"/>
                <w:sz w:val="20"/>
              </w:rPr>
            </w:pPr>
            <w:r w:rsidRPr="0058120C">
              <w:rPr>
                <w:rFonts w:ascii="HendersonSansW00-BasicLight" w:hAnsi="HendersonSansW00-BasicLight"/>
                <w:color w:val="FFFFFF" w:themeColor="background1"/>
                <w:sz w:val="20"/>
              </w:rPr>
              <w:t>Plan de acción</w:t>
            </w:r>
          </w:p>
        </w:tc>
        <w:tc>
          <w:tcPr>
            <w:tcW w:w="1701" w:type="dxa"/>
            <w:shd w:val="clear" w:color="auto" w:fill="2F5496" w:themeFill="accent1" w:themeFillShade="BF"/>
          </w:tcPr>
          <w:p w14:paraId="07DA3F52" w14:textId="77777777" w:rsidR="00A35777" w:rsidRPr="0058120C" w:rsidRDefault="00A35777" w:rsidP="00DC6CF3">
            <w:pPr>
              <w:jc w:val="center"/>
              <w:rPr>
                <w:rFonts w:ascii="HendersonSansW00-BasicLight" w:hAnsi="HendersonSansW00-BasicLight"/>
                <w:color w:val="FFFFFF" w:themeColor="background1"/>
                <w:sz w:val="20"/>
              </w:rPr>
            </w:pPr>
            <w:r w:rsidRPr="0058120C">
              <w:rPr>
                <w:rFonts w:ascii="HendersonSansW00-BasicLight" w:hAnsi="HendersonSansW00-BasicLight"/>
                <w:color w:val="FFFFFF" w:themeColor="background1"/>
                <w:sz w:val="20"/>
              </w:rPr>
              <w:t>Seguimiento</w:t>
            </w:r>
          </w:p>
        </w:tc>
      </w:tr>
      <w:tr w:rsidR="00A35777" w:rsidRPr="0058120C" w14:paraId="2532B289" w14:textId="77777777" w:rsidTr="00A35777">
        <w:trPr>
          <w:jc w:val="center"/>
        </w:trPr>
        <w:tc>
          <w:tcPr>
            <w:tcW w:w="1246" w:type="dxa"/>
          </w:tcPr>
          <w:p w14:paraId="767D2C84" w14:textId="0A390A91" w:rsidR="00A35777" w:rsidRPr="0058120C" w:rsidRDefault="00A35777" w:rsidP="00DC6CF3">
            <w:pPr>
              <w:jc w:val="center"/>
              <w:rPr>
                <w:rFonts w:ascii="HendersonSansW00-BasicLight" w:hAnsi="HendersonSansW00-BasicLight"/>
                <w:sz w:val="20"/>
              </w:rPr>
            </w:pPr>
          </w:p>
        </w:tc>
        <w:tc>
          <w:tcPr>
            <w:tcW w:w="1247" w:type="dxa"/>
          </w:tcPr>
          <w:p w14:paraId="3B21BDCA" w14:textId="77777777" w:rsidR="00A35777" w:rsidRPr="0058120C" w:rsidRDefault="00A35777" w:rsidP="00DC6CF3">
            <w:pPr>
              <w:jc w:val="center"/>
              <w:rPr>
                <w:rFonts w:ascii="HendersonSansW00-BasicLight" w:hAnsi="HendersonSansW00-BasicLight"/>
                <w:sz w:val="20"/>
              </w:rPr>
            </w:pPr>
          </w:p>
        </w:tc>
        <w:tc>
          <w:tcPr>
            <w:tcW w:w="1247" w:type="dxa"/>
          </w:tcPr>
          <w:p w14:paraId="187AAF59" w14:textId="77777777" w:rsidR="00A35777" w:rsidRPr="0058120C" w:rsidRDefault="00A35777" w:rsidP="00DC6CF3">
            <w:pPr>
              <w:jc w:val="center"/>
              <w:rPr>
                <w:rFonts w:ascii="HendersonSansW00-BasicLight" w:hAnsi="HendersonSansW00-BasicLight"/>
                <w:sz w:val="20"/>
              </w:rPr>
            </w:pPr>
          </w:p>
        </w:tc>
        <w:tc>
          <w:tcPr>
            <w:tcW w:w="1358" w:type="dxa"/>
          </w:tcPr>
          <w:p w14:paraId="35A5AF51" w14:textId="77777777" w:rsidR="00A35777" w:rsidRPr="0058120C" w:rsidRDefault="00A35777" w:rsidP="00DC6CF3">
            <w:pPr>
              <w:jc w:val="center"/>
              <w:rPr>
                <w:rFonts w:ascii="HendersonSansW00-BasicLight" w:hAnsi="HendersonSansW00-BasicLight"/>
                <w:sz w:val="20"/>
              </w:rPr>
            </w:pPr>
          </w:p>
        </w:tc>
        <w:tc>
          <w:tcPr>
            <w:tcW w:w="1276" w:type="dxa"/>
          </w:tcPr>
          <w:p w14:paraId="304382EE" w14:textId="77777777" w:rsidR="00A35777" w:rsidRPr="0058120C" w:rsidRDefault="00A35777" w:rsidP="00DC6CF3">
            <w:pPr>
              <w:jc w:val="center"/>
              <w:rPr>
                <w:rFonts w:ascii="HendersonSansW00-BasicLight" w:hAnsi="HendersonSansW00-BasicLight"/>
                <w:sz w:val="20"/>
              </w:rPr>
            </w:pPr>
          </w:p>
        </w:tc>
        <w:tc>
          <w:tcPr>
            <w:tcW w:w="1418" w:type="dxa"/>
          </w:tcPr>
          <w:p w14:paraId="2902A966" w14:textId="77777777" w:rsidR="00A35777" w:rsidRPr="0058120C" w:rsidRDefault="00A35777" w:rsidP="00DC6CF3">
            <w:pPr>
              <w:jc w:val="center"/>
              <w:rPr>
                <w:rFonts w:ascii="HendersonSansW00-BasicLight" w:hAnsi="HendersonSansW00-BasicLight"/>
                <w:sz w:val="20"/>
              </w:rPr>
            </w:pPr>
          </w:p>
        </w:tc>
        <w:tc>
          <w:tcPr>
            <w:tcW w:w="992" w:type="dxa"/>
          </w:tcPr>
          <w:p w14:paraId="662965B9" w14:textId="77777777" w:rsidR="00A35777" w:rsidRPr="0058120C" w:rsidRDefault="00A35777" w:rsidP="00DC6CF3">
            <w:pPr>
              <w:jc w:val="center"/>
              <w:rPr>
                <w:rFonts w:ascii="HendersonSansW00-BasicLight" w:hAnsi="HendersonSansW00-BasicLight"/>
                <w:sz w:val="20"/>
              </w:rPr>
            </w:pPr>
          </w:p>
        </w:tc>
        <w:tc>
          <w:tcPr>
            <w:tcW w:w="1701" w:type="dxa"/>
          </w:tcPr>
          <w:p w14:paraId="5D3068D6" w14:textId="77777777" w:rsidR="00A35777" w:rsidRPr="0058120C" w:rsidRDefault="00A35777" w:rsidP="00DC6CF3">
            <w:pPr>
              <w:jc w:val="center"/>
              <w:rPr>
                <w:rFonts w:ascii="HendersonSansW00-BasicLight" w:hAnsi="HendersonSansW00-BasicLight"/>
                <w:sz w:val="20"/>
              </w:rPr>
            </w:pPr>
          </w:p>
        </w:tc>
      </w:tr>
      <w:tr w:rsidR="00A35777" w:rsidRPr="0058120C" w14:paraId="17432525" w14:textId="77777777" w:rsidTr="00A35777">
        <w:trPr>
          <w:jc w:val="center"/>
        </w:trPr>
        <w:tc>
          <w:tcPr>
            <w:tcW w:w="1246" w:type="dxa"/>
          </w:tcPr>
          <w:p w14:paraId="24F7EE9D" w14:textId="77777777" w:rsidR="00A35777" w:rsidRPr="0058120C" w:rsidRDefault="00A35777" w:rsidP="00DC6CF3">
            <w:pPr>
              <w:jc w:val="center"/>
              <w:rPr>
                <w:rFonts w:ascii="HendersonSansW00-BasicLight" w:hAnsi="HendersonSansW00-BasicLight"/>
                <w:sz w:val="20"/>
              </w:rPr>
            </w:pPr>
          </w:p>
        </w:tc>
        <w:tc>
          <w:tcPr>
            <w:tcW w:w="1247" w:type="dxa"/>
          </w:tcPr>
          <w:p w14:paraId="5689C364" w14:textId="77777777" w:rsidR="00A35777" w:rsidRPr="0058120C" w:rsidRDefault="00A35777" w:rsidP="00DC6CF3">
            <w:pPr>
              <w:jc w:val="center"/>
              <w:rPr>
                <w:rFonts w:ascii="HendersonSansW00-BasicLight" w:hAnsi="HendersonSansW00-BasicLight"/>
                <w:sz w:val="20"/>
              </w:rPr>
            </w:pPr>
          </w:p>
        </w:tc>
        <w:tc>
          <w:tcPr>
            <w:tcW w:w="1247" w:type="dxa"/>
          </w:tcPr>
          <w:p w14:paraId="7E19C2AB" w14:textId="77777777" w:rsidR="00A35777" w:rsidRPr="0058120C" w:rsidRDefault="00A35777" w:rsidP="00DC6CF3">
            <w:pPr>
              <w:jc w:val="center"/>
              <w:rPr>
                <w:rFonts w:ascii="HendersonSansW00-BasicLight" w:hAnsi="HendersonSansW00-BasicLight"/>
                <w:sz w:val="20"/>
              </w:rPr>
            </w:pPr>
          </w:p>
        </w:tc>
        <w:tc>
          <w:tcPr>
            <w:tcW w:w="1358" w:type="dxa"/>
          </w:tcPr>
          <w:p w14:paraId="3D4E172D" w14:textId="77777777" w:rsidR="00A35777" w:rsidRPr="0058120C" w:rsidRDefault="00A35777" w:rsidP="00DC6CF3">
            <w:pPr>
              <w:jc w:val="center"/>
              <w:rPr>
                <w:rFonts w:ascii="HendersonSansW00-BasicLight" w:hAnsi="HendersonSansW00-BasicLight"/>
                <w:sz w:val="20"/>
              </w:rPr>
            </w:pPr>
          </w:p>
        </w:tc>
        <w:tc>
          <w:tcPr>
            <w:tcW w:w="1276" w:type="dxa"/>
          </w:tcPr>
          <w:p w14:paraId="77DBF954" w14:textId="77777777" w:rsidR="00A35777" w:rsidRPr="0058120C" w:rsidRDefault="00A35777" w:rsidP="00DC6CF3">
            <w:pPr>
              <w:jc w:val="center"/>
              <w:rPr>
                <w:rFonts w:ascii="HendersonSansW00-BasicLight" w:hAnsi="HendersonSansW00-BasicLight"/>
                <w:sz w:val="20"/>
              </w:rPr>
            </w:pPr>
          </w:p>
        </w:tc>
        <w:tc>
          <w:tcPr>
            <w:tcW w:w="1418" w:type="dxa"/>
          </w:tcPr>
          <w:p w14:paraId="4CF8FF81" w14:textId="77777777" w:rsidR="00A35777" w:rsidRPr="0058120C" w:rsidRDefault="00A35777" w:rsidP="00DC6CF3">
            <w:pPr>
              <w:jc w:val="center"/>
              <w:rPr>
                <w:rFonts w:ascii="HendersonSansW00-BasicLight" w:hAnsi="HendersonSansW00-BasicLight"/>
                <w:sz w:val="20"/>
              </w:rPr>
            </w:pPr>
          </w:p>
        </w:tc>
        <w:tc>
          <w:tcPr>
            <w:tcW w:w="992" w:type="dxa"/>
          </w:tcPr>
          <w:p w14:paraId="076ED899" w14:textId="77777777" w:rsidR="00A35777" w:rsidRPr="0058120C" w:rsidRDefault="00A35777" w:rsidP="00DC6CF3">
            <w:pPr>
              <w:jc w:val="center"/>
              <w:rPr>
                <w:rFonts w:ascii="HendersonSansW00-BasicLight" w:hAnsi="HendersonSansW00-BasicLight"/>
                <w:sz w:val="20"/>
              </w:rPr>
            </w:pPr>
          </w:p>
        </w:tc>
        <w:tc>
          <w:tcPr>
            <w:tcW w:w="1701" w:type="dxa"/>
          </w:tcPr>
          <w:p w14:paraId="42782C2A" w14:textId="77777777" w:rsidR="00A35777" w:rsidRPr="0058120C" w:rsidRDefault="00A35777" w:rsidP="00DC6CF3">
            <w:pPr>
              <w:jc w:val="center"/>
              <w:rPr>
                <w:rFonts w:ascii="HendersonSansW00-BasicLight" w:hAnsi="HendersonSansW00-BasicLight"/>
                <w:sz w:val="20"/>
              </w:rPr>
            </w:pPr>
          </w:p>
        </w:tc>
      </w:tr>
      <w:tr w:rsidR="00A35777" w:rsidRPr="0058120C" w14:paraId="45BC778E" w14:textId="77777777" w:rsidTr="00A35777">
        <w:trPr>
          <w:jc w:val="center"/>
        </w:trPr>
        <w:tc>
          <w:tcPr>
            <w:tcW w:w="1246" w:type="dxa"/>
          </w:tcPr>
          <w:p w14:paraId="05F4C6C6" w14:textId="77777777" w:rsidR="00A35777" w:rsidRPr="0058120C" w:rsidRDefault="00A35777" w:rsidP="00DC6CF3">
            <w:pPr>
              <w:jc w:val="center"/>
              <w:rPr>
                <w:rFonts w:ascii="HendersonSansW00-BasicLight" w:hAnsi="HendersonSansW00-BasicLight"/>
                <w:sz w:val="20"/>
              </w:rPr>
            </w:pPr>
          </w:p>
        </w:tc>
        <w:tc>
          <w:tcPr>
            <w:tcW w:w="1247" w:type="dxa"/>
          </w:tcPr>
          <w:p w14:paraId="1A7A549A" w14:textId="77777777" w:rsidR="00A35777" w:rsidRPr="0058120C" w:rsidRDefault="00A35777" w:rsidP="00DC6CF3">
            <w:pPr>
              <w:jc w:val="center"/>
              <w:rPr>
                <w:rFonts w:ascii="HendersonSansW00-BasicLight" w:hAnsi="HendersonSansW00-BasicLight"/>
                <w:sz w:val="20"/>
              </w:rPr>
            </w:pPr>
          </w:p>
        </w:tc>
        <w:tc>
          <w:tcPr>
            <w:tcW w:w="1247" w:type="dxa"/>
          </w:tcPr>
          <w:p w14:paraId="620C5409" w14:textId="77777777" w:rsidR="00A35777" w:rsidRPr="0058120C" w:rsidRDefault="00A35777" w:rsidP="00DC6CF3">
            <w:pPr>
              <w:jc w:val="center"/>
              <w:rPr>
                <w:rFonts w:ascii="HendersonSansW00-BasicLight" w:hAnsi="HendersonSansW00-BasicLight"/>
                <w:sz w:val="20"/>
              </w:rPr>
            </w:pPr>
          </w:p>
        </w:tc>
        <w:tc>
          <w:tcPr>
            <w:tcW w:w="1358" w:type="dxa"/>
          </w:tcPr>
          <w:p w14:paraId="0E00D10A" w14:textId="77777777" w:rsidR="00A35777" w:rsidRPr="0058120C" w:rsidRDefault="00A35777" w:rsidP="00DC6CF3">
            <w:pPr>
              <w:jc w:val="center"/>
              <w:rPr>
                <w:rFonts w:ascii="HendersonSansW00-BasicLight" w:hAnsi="HendersonSansW00-BasicLight"/>
                <w:sz w:val="20"/>
              </w:rPr>
            </w:pPr>
          </w:p>
        </w:tc>
        <w:tc>
          <w:tcPr>
            <w:tcW w:w="1276" w:type="dxa"/>
          </w:tcPr>
          <w:p w14:paraId="50601219" w14:textId="77777777" w:rsidR="00A35777" w:rsidRPr="0058120C" w:rsidRDefault="00A35777" w:rsidP="00DC6CF3">
            <w:pPr>
              <w:jc w:val="center"/>
              <w:rPr>
                <w:rFonts w:ascii="HendersonSansW00-BasicLight" w:hAnsi="HendersonSansW00-BasicLight"/>
                <w:sz w:val="20"/>
              </w:rPr>
            </w:pPr>
          </w:p>
        </w:tc>
        <w:tc>
          <w:tcPr>
            <w:tcW w:w="1418" w:type="dxa"/>
          </w:tcPr>
          <w:p w14:paraId="10A31C08" w14:textId="77777777" w:rsidR="00A35777" w:rsidRPr="0058120C" w:rsidRDefault="00A35777" w:rsidP="00DC6CF3">
            <w:pPr>
              <w:jc w:val="center"/>
              <w:rPr>
                <w:rFonts w:ascii="HendersonSansW00-BasicLight" w:hAnsi="HendersonSansW00-BasicLight"/>
                <w:sz w:val="20"/>
              </w:rPr>
            </w:pPr>
          </w:p>
        </w:tc>
        <w:tc>
          <w:tcPr>
            <w:tcW w:w="992" w:type="dxa"/>
          </w:tcPr>
          <w:p w14:paraId="5C77154E" w14:textId="77777777" w:rsidR="00A35777" w:rsidRPr="0058120C" w:rsidRDefault="00A35777" w:rsidP="00DC6CF3">
            <w:pPr>
              <w:jc w:val="center"/>
              <w:rPr>
                <w:rFonts w:ascii="HendersonSansW00-BasicLight" w:hAnsi="HendersonSansW00-BasicLight"/>
                <w:sz w:val="20"/>
              </w:rPr>
            </w:pPr>
          </w:p>
        </w:tc>
        <w:tc>
          <w:tcPr>
            <w:tcW w:w="1701" w:type="dxa"/>
          </w:tcPr>
          <w:p w14:paraId="5F79263A" w14:textId="77777777" w:rsidR="00A35777" w:rsidRPr="0058120C" w:rsidRDefault="00A35777" w:rsidP="00DC6CF3">
            <w:pPr>
              <w:jc w:val="center"/>
              <w:rPr>
                <w:rFonts w:ascii="HendersonSansW00-BasicLight" w:hAnsi="HendersonSansW00-BasicLight"/>
                <w:sz w:val="20"/>
              </w:rPr>
            </w:pPr>
          </w:p>
        </w:tc>
      </w:tr>
    </w:tbl>
    <w:p w14:paraId="65D44FE6" w14:textId="4A441EA7" w:rsidR="00A35777" w:rsidRPr="00A35777" w:rsidRDefault="00A35777" w:rsidP="00A35777">
      <w:pPr>
        <w:rPr>
          <w:rFonts w:eastAsia="Calibri"/>
          <w:color w:val="000000"/>
          <w:szCs w:val="24"/>
          <w:lang w:val="es-ES" w:eastAsia="es-CR"/>
        </w:rPr>
      </w:pPr>
    </w:p>
    <w:p w14:paraId="6462A375" w14:textId="6637DC8B" w:rsidR="00C12E51" w:rsidRPr="008075DC" w:rsidRDefault="00C12E51" w:rsidP="008075DC">
      <w:pPr>
        <w:pStyle w:val="Prrafodelista"/>
        <w:numPr>
          <w:ilvl w:val="0"/>
          <w:numId w:val="20"/>
        </w:numPr>
        <w:rPr>
          <w:rFonts w:eastAsia="Times New Roman" w:cstheme="majorBidi"/>
          <w:b/>
          <w:color w:val="1F3864"/>
          <w:sz w:val="26"/>
          <w:szCs w:val="32"/>
          <w:u w:val="single"/>
        </w:rPr>
      </w:pPr>
      <w:r w:rsidRPr="00A35777">
        <w:rPr>
          <w:rFonts w:eastAsia="Times New Roman" w:cstheme="majorBidi"/>
          <w:b/>
          <w:color w:val="1F3864"/>
          <w:sz w:val="26"/>
          <w:szCs w:val="32"/>
          <w:u w:val="single"/>
        </w:rPr>
        <w:lastRenderedPageBreak/>
        <w:t>Nota complementaria denominada “Cumplimiento de la Ley 10092”</w:t>
      </w:r>
    </w:p>
    <w:bookmarkEnd w:id="139"/>
    <w:p w14:paraId="459F1936" w14:textId="7DA245B9" w:rsidR="00FE55A7" w:rsidRPr="008075DC" w:rsidRDefault="00FE55A7" w:rsidP="008075DC">
      <w:pPr>
        <w:pStyle w:val="Prrafodelista"/>
        <w:rPr>
          <w:rFonts w:eastAsia="Times New Roman" w:cstheme="majorBidi"/>
          <w:b/>
          <w:color w:val="1F3864"/>
          <w:sz w:val="26"/>
          <w:szCs w:val="32"/>
          <w:u w:val="single"/>
        </w:rPr>
      </w:pPr>
      <w:r w:rsidRPr="006B5E27">
        <w:rPr>
          <w:rFonts w:eastAsia="Calibri"/>
          <w:b/>
          <w:bCs/>
          <w:color w:val="000000"/>
          <w:szCs w:val="24"/>
          <w:lang w:val="es-ES" w:eastAsia="es-CR"/>
        </w:rPr>
        <w:t xml:space="preserve">Ver al respecto nota complementaria adjunta </w:t>
      </w:r>
      <w:r w:rsidR="003339A5" w:rsidRPr="00591438">
        <w:rPr>
          <w:rFonts w:eastAsia="Calibri"/>
          <w:b/>
          <w:bCs/>
          <w:color w:val="000000"/>
          <w:szCs w:val="24"/>
          <w:lang w:val="es-ES" w:eastAsia="es-CR"/>
        </w:rPr>
        <w:t>AMBA-0047-2025</w:t>
      </w:r>
      <w:r w:rsidR="008075DC" w:rsidRPr="00591438">
        <w:rPr>
          <w:rFonts w:eastAsia="Calibri"/>
          <w:b/>
          <w:bCs/>
          <w:color w:val="000000"/>
          <w:szCs w:val="24"/>
          <w:lang w:val="es-ES" w:eastAsia="es-CR"/>
        </w:rPr>
        <w:t>.</w:t>
      </w:r>
    </w:p>
    <w:p w14:paraId="03970722" w14:textId="77777777" w:rsidR="00FE55A7" w:rsidRPr="00A35777" w:rsidRDefault="00FE55A7" w:rsidP="00FE55A7">
      <w:pPr>
        <w:rPr>
          <w:rFonts w:eastAsia="Calibri"/>
          <w:color w:val="000000"/>
          <w:szCs w:val="24"/>
          <w:lang w:val="es-ES" w:eastAsia="es-CR"/>
        </w:rPr>
      </w:pPr>
    </w:p>
    <w:p w14:paraId="53F96703" w14:textId="77777777" w:rsidR="00FE55A7" w:rsidRPr="00AA0765" w:rsidRDefault="00FE55A7" w:rsidP="007F4626">
      <w:pPr>
        <w:pStyle w:val="Prrafodelista"/>
        <w:numPr>
          <w:ilvl w:val="0"/>
          <w:numId w:val="20"/>
        </w:numPr>
        <w:spacing w:line="256" w:lineRule="auto"/>
        <w:rPr>
          <w:rFonts w:eastAsia="Times New Roman" w:cstheme="majorBidi"/>
          <w:b/>
          <w:color w:val="1F3864"/>
          <w:sz w:val="26"/>
          <w:szCs w:val="32"/>
          <w:u w:val="single"/>
        </w:rPr>
      </w:pPr>
      <w:r w:rsidRPr="00A35777">
        <w:rPr>
          <w:rFonts w:eastAsia="Times New Roman" w:cstheme="majorBidi"/>
          <w:b/>
          <w:color w:val="1F3864"/>
          <w:sz w:val="26"/>
          <w:szCs w:val="32"/>
          <w:u w:val="single"/>
        </w:rPr>
        <w:t>Nota complementaria denominada “Depuración de Cuentas Contables”</w:t>
      </w:r>
    </w:p>
    <w:p w14:paraId="21F1B8C1" w14:textId="255ED428" w:rsidR="00FE55A7" w:rsidRDefault="00FE55A7" w:rsidP="00FE55A7">
      <w:pPr>
        <w:ind w:left="708"/>
        <w:rPr>
          <w:rFonts w:eastAsia="Times New Roman" w:cstheme="majorBidi"/>
          <w:b/>
          <w:color w:val="1F3864"/>
          <w:sz w:val="26"/>
          <w:szCs w:val="32"/>
          <w:u w:val="single"/>
        </w:rPr>
      </w:pPr>
      <w:r w:rsidRPr="0068177A">
        <w:rPr>
          <w:rFonts w:eastAsia="Calibri"/>
          <w:b/>
          <w:bCs/>
          <w:color w:val="000000"/>
          <w:szCs w:val="24"/>
          <w:lang w:val="es-ES" w:eastAsia="es-CR"/>
        </w:rPr>
        <w:t>Ver al respecto nota complementaria adjunta</w:t>
      </w:r>
      <w:r>
        <w:rPr>
          <w:rFonts w:eastAsia="Calibri"/>
          <w:b/>
          <w:bCs/>
          <w:color w:val="000000"/>
          <w:szCs w:val="24"/>
          <w:lang w:val="es-ES" w:eastAsia="es-CR"/>
        </w:rPr>
        <w:t xml:space="preserve"> </w:t>
      </w:r>
      <w:r w:rsidR="00591438" w:rsidRPr="00591438">
        <w:rPr>
          <w:rFonts w:eastAsia="Calibri"/>
          <w:b/>
          <w:bCs/>
          <w:color w:val="000000"/>
          <w:szCs w:val="24"/>
          <w:lang w:val="es-ES" w:eastAsia="es-CR"/>
        </w:rPr>
        <w:t>AMBA-0047-2025.</w:t>
      </w:r>
    </w:p>
    <w:p w14:paraId="514995B6" w14:textId="77777777" w:rsidR="00FE55A7" w:rsidRPr="00A35777" w:rsidRDefault="00FE55A7" w:rsidP="00FE55A7">
      <w:pPr>
        <w:rPr>
          <w:rFonts w:eastAsia="Calibri"/>
          <w:color w:val="000000"/>
          <w:szCs w:val="24"/>
          <w:lang w:val="es-ES" w:eastAsia="es-CR"/>
        </w:rPr>
      </w:pPr>
    </w:p>
    <w:p w14:paraId="0F01398B" w14:textId="77777777" w:rsidR="00FE55A7" w:rsidRPr="00A35777" w:rsidRDefault="00FE55A7" w:rsidP="007F4626">
      <w:pPr>
        <w:pStyle w:val="Prrafodelista"/>
        <w:numPr>
          <w:ilvl w:val="0"/>
          <w:numId w:val="20"/>
        </w:numPr>
        <w:spacing w:line="256" w:lineRule="auto"/>
        <w:rPr>
          <w:rFonts w:eastAsia="Times New Roman" w:cstheme="majorBidi"/>
          <w:b/>
          <w:color w:val="1F3864"/>
          <w:sz w:val="26"/>
          <w:szCs w:val="32"/>
          <w:u w:val="single"/>
        </w:rPr>
      </w:pPr>
      <w:r w:rsidRPr="00A35777">
        <w:rPr>
          <w:rFonts w:eastAsia="Times New Roman" w:cstheme="majorBidi"/>
          <w:b/>
          <w:color w:val="1F3864"/>
          <w:sz w:val="26"/>
          <w:szCs w:val="32"/>
          <w:u w:val="single"/>
        </w:rPr>
        <w:t>Nota complementaria denominada “Confirmación de Saldos”</w:t>
      </w:r>
    </w:p>
    <w:p w14:paraId="25557B10" w14:textId="6C31C3B1" w:rsidR="00FE55A7" w:rsidRDefault="00FE55A7" w:rsidP="008075DC">
      <w:pPr>
        <w:ind w:left="708"/>
        <w:rPr>
          <w:rFonts w:eastAsia="Times New Roman" w:cstheme="majorBidi"/>
          <w:b/>
          <w:color w:val="1F3864"/>
          <w:sz w:val="26"/>
          <w:szCs w:val="32"/>
          <w:u w:val="single"/>
        </w:rPr>
      </w:pPr>
      <w:r w:rsidRPr="0068177A">
        <w:rPr>
          <w:rFonts w:eastAsia="Calibri"/>
          <w:b/>
          <w:bCs/>
          <w:color w:val="000000"/>
          <w:szCs w:val="24"/>
          <w:lang w:val="es-ES" w:eastAsia="es-CR"/>
        </w:rPr>
        <w:t xml:space="preserve">Ver al respecto nota complementaria </w:t>
      </w:r>
      <w:r w:rsidRPr="00DC6EA3">
        <w:rPr>
          <w:rFonts w:eastAsia="Calibri"/>
          <w:b/>
          <w:bCs/>
          <w:color w:val="000000"/>
          <w:szCs w:val="24"/>
          <w:lang w:val="es-ES" w:eastAsia="es-CR"/>
        </w:rPr>
        <w:t xml:space="preserve">adjunta </w:t>
      </w:r>
      <w:r w:rsidR="00591438" w:rsidRPr="00591438">
        <w:rPr>
          <w:rFonts w:eastAsia="Calibri"/>
          <w:b/>
          <w:bCs/>
          <w:color w:val="000000"/>
          <w:szCs w:val="24"/>
          <w:lang w:val="es-ES" w:eastAsia="es-CR"/>
        </w:rPr>
        <w:t>AMBA-0047-2025.</w:t>
      </w:r>
    </w:p>
    <w:p w14:paraId="375E6963" w14:textId="77777777" w:rsidR="008075DC" w:rsidRPr="00A35777" w:rsidRDefault="008075DC" w:rsidP="008075DC">
      <w:pPr>
        <w:ind w:left="708"/>
        <w:rPr>
          <w:rFonts w:eastAsia="Times New Roman" w:cstheme="majorBidi"/>
          <w:b/>
          <w:color w:val="1F3864"/>
          <w:sz w:val="26"/>
          <w:szCs w:val="32"/>
          <w:u w:val="single"/>
        </w:rPr>
      </w:pPr>
    </w:p>
    <w:p w14:paraId="18DC2DED" w14:textId="77777777" w:rsidR="008075DC" w:rsidRDefault="00FE55A7" w:rsidP="008075DC">
      <w:pPr>
        <w:pStyle w:val="Prrafodelista"/>
        <w:numPr>
          <w:ilvl w:val="0"/>
          <w:numId w:val="20"/>
        </w:numPr>
        <w:rPr>
          <w:rFonts w:eastAsia="Times New Roman" w:cstheme="majorBidi"/>
          <w:b/>
          <w:color w:val="1F3864"/>
          <w:sz w:val="26"/>
          <w:szCs w:val="32"/>
          <w:u w:val="single"/>
        </w:rPr>
      </w:pPr>
      <w:r w:rsidRPr="00A35777">
        <w:rPr>
          <w:rFonts w:eastAsia="Times New Roman" w:cstheme="majorBidi"/>
          <w:b/>
          <w:color w:val="1F3864"/>
          <w:sz w:val="26"/>
          <w:szCs w:val="32"/>
          <w:u w:val="single"/>
        </w:rPr>
        <w:t>Nota complementaria denominada “Conciliaciones Bancaria “Caja Única”</w:t>
      </w:r>
      <w:r w:rsidR="008075DC">
        <w:rPr>
          <w:rFonts w:eastAsia="Times New Roman" w:cstheme="majorBidi"/>
          <w:b/>
          <w:color w:val="1F3864"/>
          <w:sz w:val="26"/>
          <w:szCs w:val="32"/>
          <w:u w:val="single"/>
        </w:rPr>
        <w:t xml:space="preserve"> </w:t>
      </w:r>
    </w:p>
    <w:p w14:paraId="09FC20E2" w14:textId="7F7B4147" w:rsidR="00FE55A7" w:rsidRPr="00A35777" w:rsidRDefault="00FE55A7" w:rsidP="00007370">
      <w:pPr>
        <w:pStyle w:val="Prrafodelista"/>
        <w:rPr>
          <w:rFonts w:eastAsia="Times New Roman" w:cstheme="majorBidi"/>
          <w:b/>
          <w:color w:val="1F3864"/>
          <w:sz w:val="26"/>
          <w:szCs w:val="32"/>
          <w:u w:val="single"/>
        </w:rPr>
      </w:pPr>
      <w:r w:rsidRPr="008075DC">
        <w:rPr>
          <w:rFonts w:eastAsia="Calibri"/>
          <w:b/>
          <w:bCs/>
          <w:color w:val="000000"/>
          <w:szCs w:val="24"/>
          <w:lang w:val="es-ES" w:eastAsia="es-CR"/>
        </w:rPr>
        <w:t xml:space="preserve">Ver al respecto nota complementaria adjunta </w:t>
      </w:r>
      <w:r w:rsidR="00591438" w:rsidRPr="00591438">
        <w:rPr>
          <w:rFonts w:eastAsia="Calibri"/>
          <w:b/>
          <w:bCs/>
          <w:color w:val="000000"/>
          <w:szCs w:val="24"/>
          <w:lang w:val="es-ES" w:eastAsia="es-CR"/>
        </w:rPr>
        <w:t>AMBA-0047-2025.</w:t>
      </w:r>
      <w:r w:rsidR="00591438">
        <w:rPr>
          <w:rFonts w:eastAsia="Calibri"/>
          <w:b/>
          <w:bCs/>
          <w:color w:val="000000"/>
          <w:szCs w:val="24"/>
          <w:lang w:val="es-ES" w:eastAsia="es-CR"/>
        </w:rPr>
        <w:t xml:space="preserve"> </w:t>
      </w:r>
      <w:proofErr w:type="gramStart"/>
      <w:r w:rsidR="00CB6F05">
        <w:rPr>
          <w:rFonts w:eastAsia="Calibri"/>
          <w:b/>
          <w:bCs/>
          <w:color w:val="000000"/>
          <w:szCs w:val="24"/>
          <w:lang w:val="es-ES" w:eastAsia="es-CR"/>
        </w:rPr>
        <w:t>Ademá</w:t>
      </w:r>
      <w:r w:rsidRPr="008075DC">
        <w:rPr>
          <w:rFonts w:eastAsia="Calibri"/>
          <w:b/>
          <w:bCs/>
          <w:color w:val="000000"/>
          <w:szCs w:val="24"/>
          <w:lang w:val="es-ES" w:eastAsia="es-CR"/>
        </w:rPr>
        <w:t>s</w:t>
      </w:r>
      <w:proofErr w:type="gramEnd"/>
      <w:r w:rsidRPr="008075DC">
        <w:rPr>
          <w:rFonts w:eastAsia="Calibri"/>
          <w:b/>
          <w:bCs/>
          <w:color w:val="000000"/>
          <w:szCs w:val="24"/>
          <w:lang w:val="es-ES" w:eastAsia="es-CR"/>
        </w:rPr>
        <w:t xml:space="preserve"> A</w:t>
      </w:r>
      <w:r w:rsidR="008075DC">
        <w:rPr>
          <w:rFonts w:eastAsia="Calibri"/>
          <w:b/>
          <w:bCs/>
          <w:color w:val="000000"/>
          <w:szCs w:val="24"/>
          <w:lang w:val="es-ES" w:eastAsia="es-CR"/>
        </w:rPr>
        <w:t>d</w:t>
      </w:r>
      <w:r w:rsidRPr="008075DC">
        <w:rPr>
          <w:rFonts w:eastAsia="Calibri"/>
          <w:b/>
          <w:bCs/>
          <w:color w:val="000000"/>
          <w:szCs w:val="24"/>
          <w:lang w:val="es-ES" w:eastAsia="es-CR"/>
        </w:rPr>
        <w:t>junto Conciliaciones de Caja Única y Estados de cuenta Caja Única como anexos en el Gestor Contable</w:t>
      </w:r>
      <w:r w:rsidR="008075DC">
        <w:rPr>
          <w:rFonts w:eastAsia="Calibri"/>
          <w:b/>
          <w:bCs/>
          <w:color w:val="000000"/>
          <w:szCs w:val="24"/>
          <w:lang w:val="es-ES" w:eastAsia="es-CR"/>
        </w:rPr>
        <w:t>.</w:t>
      </w:r>
    </w:p>
    <w:p w14:paraId="61DA5748" w14:textId="77777777" w:rsidR="00007370" w:rsidRDefault="00FE55A7" w:rsidP="00007370">
      <w:pPr>
        <w:pStyle w:val="Prrafodelista"/>
        <w:numPr>
          <w:ilvl w:val="0"/>
          <w:numId w:val="20"/>
        </w:numPr>
        <w:rPr>
          <w:rFonts w:eastAsia="Times New Roman" w:cstheme="majorBidi"/>
          <w:b/>
          <w:color w:val="1F3864"/>
          <w:sz w:val="26"/>
          <w:szCs w:val="32"/>
          <w:u w:val="single"/>
        </w:rPr>
      </w:pPr>
      <w:r w:rsidRPr="00A35777">
        <w:rPr>
          <w:rFonts w:eastAsia="Times New Roman" w:cstheme="majorBidi"/>
          <w:b/>
          <w:color w:val="1F3864"/>
          <w:sz w:val="26"/>
          <w:szCs w:val="32"/>
          <w:u w:val="single"/>
        </w:rPr>
        <w:t>Nota complementaria denominada “Resultados de Oficios de Observaciones de la Contabilidad Nacional”</w:t>
      </w:r>
    </w:p>
    <w:p w14:paraId="40E37886" w14:textId="2847B43D" w:rsidR="00FE55A7" w:rsidRPr="00007370" w:rsidRDefault="00FE55A7" w:rsidP="00007370">
      <w:pPr>
        <w:pStyle w:val="Prrafodelista"/>
        <w:rPr>
          <w:rFonts w:eastAsia="Times New Roman" w:cstheme="majorBidi"/>
          <w:b/>
          <w:color w:val="1F3864"/>
          <w:sz w:val="26"/>
          <w:szCs w:val="32"/>
          <w:u w:val="single"/>
        </w:rPr>
      </w:pPr>
      <w:r w:rsidRPr="00007370">
        <w:rPr>
          <w:rFonts w:eastAsia="Calibri"/>
          <w:b/>
          <w:bCs/>
          <w:color w:val="000000"/>
          <w:szCs w:val="24"/>
          <w:lang w:val="es-ES" w:eastAsia="es-CR"/>
        </w:rPr>
        <w:t>Ver al respecto CUADRO DE RESULTADO DE OFICIOS DE OBSERVACIONES.</w:t>
      </w:r>
    </w:p>
    <w:p w14:paraId="262B1B97" w14:textId="77777777" w:rsidR="00264609" w:rsidRDefault="00264609" w:rsidP="008648FD">
      <w:pPr>
        <w:rPr>
          <w:rFonts w:eastAsia="Calibri"/>
          <w:color w:val="000000"/>
          <w:szCs w:val="24"/>
          <w:lang w:val="es-ES" w:eastAsia="es-CR"/>
        </w:rPr>
      </w:pPr>
    </w:p>
    <w:p w14:paraId="15157C42" w14:textId="020850CC" w:rsidR="00A649A4" w:rsidRPr="00A649A4" w:rsidRDefault="00A649A4" w:rsidP="003A77F3">
      <w:pPr>
        <w:pStyle w:val="Ttulo1"/>
        <w:rPr>
          <w:rFonts w:eastAsia="Times New Roman"/>
          <w:lang w:val="es-ES"/>
        </w:rPr>
      </w:pPr>
      <w:bookmarkStart w:id="161" w:name="_Toc82768902"/>
      <w:bookmarkStart w:id="162" w:name="_Toc189804829"/>
      <w:r w:rsidRPr="00A649A4">
        <w:rPr>
          <w:rFonts w:eastAsia="Times New Roman"/>
          <w:lang w:val="es-ES"/>
        </w:rPr>
        <w:t xml:space="preserve">NOTAS CONTABLES </w:t>
      </w:r>
      <w:r w:rsidR="00711BE1">
        <w:rPr>
          <w:rFonts w:eastAsia="Times New Roman"/>
          <w:lang w:val="es-ES"/>
        </w:rPr>
        <w:t xml:space="preserve">PARTIDAS </w:t>
      </w:r>
      <w:r w:rsidRPr="00A649A4">
        <w:rPr>
          <w:rFonts w:eastAsia="Times New Roman"/>
          <w:lang w:val="es-ES"/>
        </w:rPr>
        <w:t>A ESTADOS FINANCIEROS</w:t>
      </w:r>
      <w:bookmarkEnd w:id="161"/>
      <w:bookmarkEnd w:id="162"/>
    </w:p>
    <w:p w14:paraId="744CACE4" w14:textId="77777777" w:rsidR="00A649A4" w:rsidRPr="00A649A4" w:rsidRDefault="00A649A4" w:rsidP="003A77F3">
      <w:pPr>
        <w:rPr>
          <w:lang w:eastAsia="es-CR"/>
        </w:rPr>
      </w:pPr>
    </w:p>
    <w:p w14:paraId="38E1A52D" w14:textId="06FA3577" w:rsidR="00A649A4" w:rsidRPr="00A649A4" w:rsidRDefault="00A649A4" w:rsidP="000B065E">
      <w:pPr>
        <w:jc w:val="center"/>
        <w:rPr>
          <w:noProof/>
          <w:lang w:eastAsia="es-CR"/>
        </w:rPr>
      </w:pPr>
      <w:r w:rsidRPr="00A649A4">
        <w:rPr>
          <w:noProof/>
          <w:lang w:eastAsia="es-CR"/>
        </w:rPr>
        <w:drawing>
          <wp:inline distT="0" distB="0" distL="0" distR="0" wp14:anchorId="215DA9CB" wp14:editId="2147965B">
            <wp:extent cx="4137660" cy="1165860"/>
            <wp:effectExtent l="0" t="0" r="0" b="0"/>
            <wp:docPr id="5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37660" cy="1165860"/>
                    </a:xfrm>
                    <a:prstGeom prst="rect">
                      <a:avLst/>
                    </a:prstGeom>
                    <a:noFill/>
                    <a:ln>
                      <a:noFill/>
                    </a:ln>
                  </pic:spPr>
                </pic:pic>
              </a:graphicData>
            </a:graphic>
          </wp:inline>
        </w:drawing>
      </w:r>
    </w:p>
    <w:p w14:paraId="438A866A" w14:textId="77777777" w:rsidR="00A649A4" w:rsidRPr="00A649A4" w:rsidRDefault="00A649A4" w:rsidP="003A77F3">
      <w:pPr>
        <w:rPr>
          <w:rFonts w:eastAsia="Calibri" w:cs="Arial"/>
          <w:color w:val="000000"/>
        </w:rPr>
      </w:pPr>
      <w:r w:rsidRPr="00A649A4">
        <w:rPr>
          <w:rFonts w:eastAsia="Calibri" w:cs="Arial"/>
          <w:color w:val="000000"/>
          <w:lang w:val="es-ES_tradnl"/>
        </w:rPr>
        <w:t xml:space="preserve">Deben contener información adicional en los estados principales y complementarios. </w:t>
      </w:r>
      <w:r w:rsidRPr="00A649A4">
        <w:rPr>
          <w:rFonts w:eastAsia="Calibri" w:cs="Arial"/>
          <w:color w:val="000000"/>
        </w:rPr>
        <w:t xml:space="preserve">Éstas proporcionan descripciones narrativas o desagregaciones de partidas reveladas en dichos estados y </w:t>
      </w:r>
      <w:r w:rsidRPr="00A649A4">
        <w:rPr>
          <w:rFonts w:eastAsia="Calibri" w:cs="Arial"/>
          <w:color w:val="000000"/>
        </w:rPr>
        <w:lastRenderedPageBreak/>
        <w:t>contienen información sobre las que no cumplen las condiciones para ser reconocidas en los estados. La estructura de las notas deberá:</w:t>
      </w:r>
    </w:p>
    <w:p w14:paraId="474FFC6F" w14:textId="77777777" w:rsidR="000B065E" w:rsidRDefault="00A649A4">
      <w:pPr>
        <w:pStyle w:val="Prrafodelista"/>
        <w:numPr>
          <w:ilvl w:val="0"/>
          <w:numId w:val="6"/>
        </w:numPr>
        <w:rPr>
          <w:color w:val="000000"/>
        </w:rPr>
      </w:pPr>
      <w:r w:rsidRPr="00A649A4">
        <w:t>presentar información acerca de las bases para la preparación de los EEFF y sobre las políticas contables</w:t>
      </w:r>
      <w:r w:rsidRPr="000B065E">
        <w:rPr>
          <w:color w:val="000000"/>
        </w:rPr>
        <w:t xml:space="preserve"> específicas utilizadas</w:t>
      </w:r>
    </w:p>
    <w:p w14:paraId="5470D532" w14:textId="77777777" w:rsidR="000B065E" w:rsidRPr="000B065E" w:rsidRDefault="00A649A4">
      <w:pPr>
        <w:pStyle w:val="Prrafodelista"/>
        <w:numPr>
          <w:ilvl w:val="0"/>
          <w:numId w:val="6"/>
        </w:numPr>
        <w:rPr>
          <w:color w:val="000000"/>
        </w:rPr>
      </w:pPr>
      <w:r w:rsidRPr="00A649A4">
        <w:t>revelar la información requerida por las NICSP que no se presenta en los estados principales y complementarios de los EEFF; y</w:t>
      </w:r>
    </w:p>
    <w:p w14:paraId="3B97D209" w14:textId="6EB5EDCD" w:rsidR="00A649A4" w:rsidRPr="000B065E" w:rsidRDefault="00A649A4">
      <w:pPr>
        <w:pStyle w:val="Prrafodelista"/>
        <w:numPr>
          <w:ilvl w:val="0"/>
          <w:numId w:val="6"/>
        </w:numPr>
        <w:rPr>
          <w:color w:val="000000"/>
        </w:rPr>
      </w:pPr>
      <w:r w:rsidRPr="00A649A4">
        <w:t>suministrar la información adicional que, no presentándose en los estados principales y complementarios de los EEFF, sea relevante para la comprensión de alguno de ellos.</w:t>
      </w:r>
    </w:p>
    <w:p w14:paraId="4A617E4F" w14:textId="77777777" w:rsidR="00A649A4" w:rsidRPr="00A649A4" w:rsidRDefault="00A649A4" w:rsidP="003A77F3">
      <w:pPr>
        <w:rPr>
          <w:rFonts w:cs="Times New Roman"/>
          <w:color w:val="000000"/>
        </w:rPr>
      </w:pPr>
      <w:r w:rsidRPr="00A649A4">
        <w:rPr>
          <w:rFonts w:cs="Times New Roman"/>
          <w:i/>
          <w:color w:val="365F91"/>
          <w:lang w:val="es-ES_tradnl"/>
        </w:rPr>
        <w:t>Indicación 1:</w:t>
      </w:r>
      <w:r w:rsidRPr="00A649A4">
        <w:rPr>
          <w:rFonts w:cs="Times New Roman"/>
          <w:color w:val="000000"/>
          <w:lang w:val="es-ES_tradnl"/>
        </w:rPr>
        <w:t xml:space="preserve"> </w:t>
      </w:r>
      <w:r w:rsidRPr="00A649A4">
        <w:rPr>
          <w:rFonts w:cs="Times New Roman"/>
          <w:color w:val="000000"/>
        </w:rPr>
        <w:t>Para determinar la variación relativa (en porcentaje) de un periodo respecto a otro, se debe aplicar la siguiente formula:(Periodo actual-Periodo anterior = Diferencia), (Diferencia/</w:t>
      </w:r>
      <w:r w:rsidRPr="00A649A4">
        <w:rPr>
          <w:rFonts w:cs="Times New Roman"/>
          <w:b/>
          <w:color w:val="000000"/>
          <w:u w:val="single"/>
        </w:rPr>
        <w:t>Periodo Anterior=</w:t>
      </w:r>
      <w:r w:rsidRPr="00A649A4">
        <w:rPr>
          <w:rFonts w:cs="Times New Roman"/>
          <w:color w:val="000000"/>
        </w:rPr>
        <w:t>Variación Decimal * 100) = Variación Porcentual.</w:t>
      </w:r>
    </w:p>
    <w:p w14:paraId="19376AC7" w14:textId="77777777" w:rsidR="00A649A4" w:rsidRPr="00A649A4" w:rsidRDefault="00A649A4" w:rsidP="003A77F3">
      <w:pPr>
        <w:rPr>
          <w:rFonts w:cs="Times New Roman"/>
          <w:color w:val="000000"/>
        </w:rPr>
      </w:pPr>
      <w:r w:rsidRPr="00A649A4">
        <w:rPr>
          <w:rFonts w:cs="Times New Roman"/>
          <w:i/>
          <w:color w:val="365F91"/>
        </w:rPr>
        <w:t xml:space="preserve">Indicación </w:t>
      </w:r>
      <w:r w:rsidRPr="00A649A4">
        <w:rPr>
          <w:rFonts w:cs="Times New Roman"/>
          <w:i/>
          <w:color w:val="365F91"/>
          <w:lang w:val="es-ES_tradnl"/>
        </w:rPr>
        <w:t>2:</w:t>
      </w:r>
      <w:r w:rsidRPr="00A649A4">
        <w:rPr>
          <w:rFonts w:cs="Times New Roman"/>
          <w:color w:val="000000"/>
        </w:rPr>
        <w:t xml:space="preserve"> La Entidad debe revelar toda aquella información que considere pertinente y justifique los registros en los Estados Financieros. Considerando la variación porcentual la entidad debe ser concisa al justificar dicha diferencia.</w:t>
      </w:r>
    </w:p>
    <w:p w14:paraId="7E08121B" w14:textId="77777777" w:rsidR="00A649A4" w:rsidRPr="00A649A4" w:rsidRDefault="00A649A4" w:rsidP="003A77F3"/>
    <w:p w14:paraId="5102FDBC" w14:textId="7ACCE910" w:rsidR="00B64257" w:rsidRPr="00B64257" w:rsidRDefault="00A649A4" w:rsidP="00B64257">
      <w:pPr>
        <w:pStyle w:val="Ttulo2"/>
        <w:jc w:val="center"/>
        <w:rPr>
          <w:rFonts w:eastAsia="Times New Roman"/>
          <w:b/>
        </w:rPr>
      </w:pPr>
      <w:bookmarkStart w:id="163" w:name="_Toc33601202"/>
      <w:bookmarkStart w:id="164" w:name="_Toc82768903"/>
      <w:bookmarkStart w:id="165" w:name="_Toc189804830"/>
      <w:r w:rsidRPr="000B065E">
        <w:rPr>
          <w:rFonts w:eastAsia="Times New Roman"/>
          <w:b/>
        </w:rPr>
        <w:t>NOTAS ESTADO DE SITUACION FINANCIERA</w:t>
      </w:r>
      <w:bookmarkStart w:id="166" w:name="_Toc13041023"/>
      <w:bookmarkStart w:id="167" w:name="_Toc14345022"/>
      <w:bookmarkStart w:id="168" w:name="_Toc33601205"/>
      <w:bookmarkEnd w:id="163"/>
      <w:bookmarkEnd w:id="164"/>
      <w:bookmarkEnd w:id="165"/>
    </w:p>
    <w:p w14:paraId="1AC72B8B" w14:textId="41179A0E" w:rsidR="00A649A4" w:rsidRPr="000B065E" w:rsidRDefault="000B065E" w:rsidP="00B65CDC">
      <w:pPr>
        <w:pStyle w:val="Ttulo3"/>
        <w:spacing w:after="240"/>
        <w:rPr>
          <w:rFonts w:eastAsia="Times New Roman"/>
          <w:lang w:eastAsia="es-CR"/>
        </w:rPr>
      </w:pPr>
      <w:bookmarkStart w:id="169" w:name="_Toc82768904"/>
      <w:bookmarkStart w:id="170" w:name="_Toc189804831"/>
      <w:r w:rsidRPr="000B065E">
        <w:rPr>
          <w:rFonts w:eastAsia="Times New Roman"/>
          <w:lang w:eastAsia="es-CR"/>
        </w:rPr>
        <w:t xml:space="preserve">1.1. </w:t>
      </w:r>
      <w:r w:rsidR="00A649A4" w:rsidRPr="000B065E">
        <w:rPr>
          <w:rFonts w:eastAsia="Times New Roman"/>
          <w:lang w:eastAsia="es-CR"/>
        </w:rPr>
        <w:t>ACTIVO</w:t>
      </w:r>
      <w:bookmarkEnd w:id="169"/>
      <w:bookmarkEnd w:id="170"/>
      <w:r w:rsidR="00A649A4" w:rsidRPr="000B065E">
        <w:rPr>
          <w:rFonts w:eastAsia="Times New Roman"/>
          <w:lang w:eastAsia="es-CR"/>
        </w:rPr>
        <w:t xml:space="preserve"> </w:t>
      </w:r>
    </w:p>
    <w:p w14:paraId="65DE4551" w14:textId="77777777" w:rsidR="00A649A4" w:rsidRPr="00A649A4" w:rsidRDefault="00A649A4" w:rsidP="00B65CDC">
      <w:pPr>
        <w:pStyle w:val="Ttulo3"/>
        <w:spacing w:after="240"/>
        <w:rPr>
          <w:rFonts w:eastAsia="Calibri"/>
          <w:lang w:eastAsia="es-CR"/>
        </w:rPr>
      </w:pPr>
      <w:bookmarkStart w:id="171" w:name="_Toc82768905"/>
      <w:bookmarkStart w:id="172" w:name="_Toc189804832"/>
      <w:r w:rsidRPr="00A649A4">
        <w:rPr>
          <w:rFonts w:eastAsia="Calibri"/>
          <w:lang w:eastAsia="es-CR"/>
        </w:rPr>
        <w:t>1.1 ACTIVO CORRIENTE</w:t>
      </w:r>
      <w:bookmarkEnd w:id="171"/>
      <w:bookmarkEnd w:id="172"/>
    </w:p>
    <w:p w14:paraId="1B161BC1" w14:textId="77777777" w:rsidR="00A649A4" w:rsidRPr="00A649A4" w:rsidRDefault="00A649A4" w:rsidP="00B65CDC">
      <w:pPr>
        <w:pStyle w:val="Ttulo4"/>
        <w:spacing w:after="240"/>
        <w:rPr>
          <w:rFonts w:eastAsia="Times New Roman"/>
          <w:lang w:eastAsia="es-CR"/>
        </w:rPr>
      </w:pPr>
      <w:bookmarkStart w:id="173" w:name="_Toc82768906"/>
      <w:bookmarkStart w:id="174" w:name="_Toc189804833"/>
      <w:r w:rsidRPr="00A649A4">
        <w:rPr>
          <w:rFonts w:eastAsia="Times New Roman"/>
          <w:lang w:eastAsia="es-CR"/>
        </w:rPr>
        <w:t>NOTA N° 3</w:t>
      </w:r>
      <w:bookmarkEnd w:id="166"/>
      <w:bookmarkEnd w:id="167"/>
      <w:bookmarkEnd w:id="168"/>
      <w:bookmarkEnd w:id="173"/>
      <w:bookmarkEnd w:id="174"/>
    </w:p>
    <w:p w14:paraId="4B8F345A" w14:textId="77777777" w:rsidR="00396CB4" w:rsidRDefault="00D57597" w:rsidP="00305662">
      <w:pPr>
        <w:rPr>
          <w:rFonts w:asciiTheme="minorHAnsi" w:hAnsiTheme="minorHAnsi"/>
          <w:sz w:val="22"/>
        </w:rPr>
      </w:pPr>
      <w:bookmarkStart w:id="175" w:name="_Toc13041024"/>
      <w:bookmarkStart w:id="176" w:name="_Toc14345023"/>
      <w:bookmarkStart w:id="177" w:name="_Toc33601206"/>
      <w:bookmarkStart w:id="178" w:name="_Toc82768907"/>
      <w:r w:rsidRPr="00A649A4">
        <w:rPr>
          <w:rFonts w:eastAsia="Times New Roman"/>
          <w:lang w:eastAsia="es-CR"/>
        </w:rPr>
        <w:t xml:space="preserve">Efectivo </w:t>
      </w:r>
      <w:r>
        <w:rPr>
          <w:rFonts w:eastAsia="Times New Roman"/>
          <w:lang w:eastAsia="es-CR"/>
        </w:rPr>
        <w:t>y</w:t>
      </w:r>
      <w:r w:rsidRPr="00A649A4">
        <w:rPr>
          <w:rFonts w:eastAsia="Times New Roman"/>
          <w:lang w:eastAsia="es-CR"/>
        </w:rPr>
        <w:t xml:space="preserve"> Equivalente De Efectivo</w:t>
      </w:r>
      <w:bookmarkEnd w:id="175"/>
      <w:bookmarkEnd w:id="176"/>
      <w:bookmarkEnd w:id="177"/>
      <w:bookmarkEnd w:id="178"/>
      <w:r w:rsidR="00844DFE">
        <w:rPr>
          <w:rFonts w:eastAsiaTheme="majorEastAsia" w:cstheme="majorBidi"/>
          <w:b/>
          <w:iCs/>
          <w:lang w:eastAsia="es-CR"/>
        </w:rPr>
        <w:fldChar w:fldCharType="begin"/>
      </w:r>
      <w:r w:rsidR="00844DFE">
        <w:rPr>
          <w:lang w:eastAsia="es-CR"/>
        </w:rPr>
        <w:instrText xml:space="preserve"> LINK </w:instrText>
      </w:r>
      <w:r w:rsidR="00756467">
        <w:rPr>
          <w:lang w:eastAsia="es-CR"/>
        </w:rPr>
        <w:instrText xml:space="preserve">Excel.SheetMacroEnabled.12 "C:\\Users\\gcordero\\Downloads\\Notas diciembre 2024\\Formato_Notas_EEFF_Vinculadas_2024\\Formato_Notas_EEFF_Vinculadas_2024\\15603_T04_2024_Anexo_Estado_Notas_Contables_Vinculadas.xlsm" NOTAS_POR_CUENTA!F4C1:F6C6 </w:instrText>
      </w:r>
      <w:r w:rsidR="00844DFE">
        <w:rPr>
          <w:lang w:eastAsia="es-CR"/>
        </w:rPr>
        <w:instrText xml:space="preserve">\a \f 4 \h </w:instrText>
      </w:r>
      <w:r w:rsidR="00305662">
        <w:rPr>
          <w:lang w:eastAsia="es-CR"/>
        </w:rPr>
        <w:instrText xml:space="preserve"> \* MERGEFORMAT </w:instrText>
      </w:r>
      <w:r w:rsidR="00844DFE">
        <w:rPr>
          <w:lang w:eastAsia="es-CR"/>
        </w:rPr>
        <w:fldChar w:fldCharType="separate"/>
      </w:r>
    </w:p>
    <w:tbl>
      <w:tblPr>
        <w:tblW w:w="9880" w:type="dxa"/>
        <w:tblCellMar>
          <w:left w:w="70" w:type="dxa"/>
          <w:right w:w="70" w:type="dxa"/>
        </w:tblCellMar>
        <w:tblLook w:val="04A0" w:firstRow="1" w:lastRow="0" w:firstColumn="1" w:lastColumn="0" w:noHBand="0" w:noVBand="1"/>
      </w:tblPr>
      <w:tblGrid>
        <w:gridCol w:w="1221"/>
        <w:gridCol w:w="2779"/>
        <w:gridCol w:w="500"/>
        <w:gridCol w:w="2160"/>
        <w:gridCol w:w="2160"/>
        <w:gridCol w:w="1060"/>
      </w:tblGrid>
      <w:tr w:rsidR="00396CB4" w:rsidRPr="00396CB4" w14:paraId="5550E7F0" w14:textId="77777777" w:rsidTr="00396CB4">
        <w:trPr>
          <w:divId w:val="1674721769"/>
          <w:trHeight w:val="324"/>
        </w:trPr>
        <w:tc>
          <w:tcPr>
            <w:tcW w:w="122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C4EB6DB" w14:textId="319F6916"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2779"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2C9B265"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ECDA76D"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29CFF86"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C03AC7E"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73FD3E6E"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607379B3" w14:textId="77777777" w:rsidTr="00396CB4">
        <w:trPr>
          <w:divId w:val="1674721769"/>
          <w:trHeight w:val="324"/>
        </w:trPr>
        <w:tc>
          <w:tcPr>
            <w:tcW w:w="1221" w:type="dxa"/>
            <w:vMerge/>
            <w:tcBorders>
              <w:top w:val="single" w:sz="8" w:space="0" w:color="auto"/>
              <w:left w:val="single" w:sz="8" w:space="0" w:color="auto"/>
              <w:bottom w:val="single" w:sz="8" w:space="0" w:color="000000"/>
              <w:right w:val="single" w:sz="8" w:space="0" w:color="auto"/>
            </w:tcBorders>
            <w:vAlign w:val="center"/>
            <w:hideMark/>
          </w:tcPr>
          <w:p w14:paraId="1BDEC445" w14:textId="77777777" w:rsidR="00396CB4" w:rsidRPr="00396CB4" w:rsidRDefault="00396CB4" w:rsidP="00396CB4">
            <w:pPr>
              <w:spacing w:after="0" w:line="240" w:lineRule="auto"/>
              <w:jc w:val="center"/>
              <w:rPr>
                <w:rFonts w:eastAsia="Times New Roman" w:cs="Calibri"/>
                <w:b/>
                <w:bCs/>
                <w:color w:val="FFFFFF"/>
                <w:sz w:val="18"/>
                <w:szCs w:val="18"/>
                <w:lang w:eastAsia="es-CR"/>
              </w:rPr>
            </w:pPr>
          </w:p>
        </w:tc>
        <w:tc>
          <w:tcPr>
            <w:tcW w:w="2779" w:type="dxa"/>
            <w:vMerge/>
            <w:tcBorders>
              <w:top w:val="single" w:sz="8" w:space="0" w:color="auto"/>
              <w:left w:val="single" w:sz="8" w:space="0" w:color="auto"/>
              <w:bottom w:val="single" w:sz="8" w:space="0" w:color="000000"/>
              <w:right w:val="single" w:sz="8" w:space="0" w:color="auto"/>
            </w:tcBorders>
            <w:vAlign w:val="center"/>
            <w:hideMark/>
          </w:tcPr>
          <w:p w14:paraId="4C1C5BFD" w14:textId="77777777" w:rsidR="00396CB4" w:rsidRPr="00396CB4" w:rsidRDefault="00396CB4" w:rsidP="00396CB4">
            <w:pPr>
              <w:spacing w:after="0" w:line="240" w:lineRule="auto"/>
              <w:jc w:val="center"/>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7701D957" w14:textId="77777777" w:rsidR="00396CB4" w:rsidRPr="00396CB4" w:rsidRDefault="00396CB4" w:rsidP="00396CB4">
            <w:pPr>
              <w:spacing w:after="0" w:line="240" w:lineRule="auto"/>
              <w:jc w:val="center"/>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1CFBD60B" w14:textId="77777777" w:rsidR="00396CB4" w:rsidRPr="00396CB4" w:rsidRDefault="00396CB4" w:rsidP="00396CB4">
            <w:pPr>
              <w:spacing w:after="0" w:line="240" w:lineRule="auto"/>
              <w:jc w:val="center"/>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044F2C28" w14:textId="77777777" w:rsidR="00396CB4" w:rsidRPr="00396CB4" w:rsidRDefault="00396CB4" w:rsidP="00396CB4">
            <w:pPr>
              <w:spacing w:after="0" w:line="240" w:lineRule="auto"/>
              <w:jc w:val="center"/>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6C5DAAEF" w14:textId="77777777" w:rsidR="00396CB4" w:rsidRPr="00396CB4" w:rsidRDefault="00396CB4" w:rsidP="00396CB4">
            <w:pPr>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w:t>
            </w:r>
          </w:p>
        </w:tc>
      </w:tr>
      <w:tr w:rsidR="00396CB4" w:rsidRPr="00396CB4" w14:paraId="70ACD61F" w14:textId="77777777" w:rsidTr="00396CB4">
        <w:trPr>
          <w:divId w:val="1674721769"/>
          <w:trHeight w:val="324"/>
        </w:trPr>
        <w:tc>
          <w:tcPr>
            <w:tcW w:w="1221" w:type="dxa"/>
            <w:tcBorders>
              <w:top w:val="nil"/>
              <w:left w:val="single" w:sz="8" w:space="0" w:color="auto"/>
              <w:bottom w:val="single" w:sz="8" w:space="0" w:color="auto"/>
              <w:right w:val="single" w:sz="8" w:space="0" w:color="auto"/>
            </w:tcBorders>
            <w:shd w:val="clear" w:color="auto" w:fill="auto"/>
            <w:noWrap/>
            <w:vAlign w:val="center"/>
            <w:hideMark/>
          </w:tcPr>
          <w:p w14:paraId="4910B100" w14:textId="77777777" w:rsidR="00396CB4" w:rsidRPr="00396CB4" w:rsidRDefault="00396CB4" w:rsidP="00396CB4">
            <w:pPr>
              <w:rPr>
                <w:rFonts w:eastAsia="Times New Roman" w:cs="Calibri"/>
                <w:b/>
                <w:bCs/>
                <w:color w:val="000000"/>
                <w:sz w:val="18"/>
                <w:szCs w:val="18"/>
                <w:lang w:eastAsia="es-CR"/>
              </w:rPr>
            </w:pPr>
            <w:r w:rsidRPr="00396CB4">
              <w:rPr>
                <w:rFonts w:eastAsia="Times New Roman" w:cs="Calibri"/>
                <w:b/>
                <w:bCs/>
                <w:color w:val="000000"/>
                <w:sz w:val="18"/>
                <w:szCs w:val="18"/>
                <w:lang w:eastAsia="es-CR"/>
              </w:rPr>
              <w:t>1.1.1.</w:t>
            </w:r>
          </w:p>
        </w:tc>
        <w:tc>
          <w:tcPr>
            <w:tcW w:w="2779" w:type="dxa"/>
            <w:tcBorders>
              <w:top w:val="nil"/>
              <w:left w:val="nil"/>
              <w:bottom w:val="single" w:sz="8" w:space="0" w:color="auto"/>
              <w:right w:val="single" w:sz="8" w:space="0" w:color="auto"/>
            </w:tcBorders>
            <w:shd w:val="clear" w:color="auto" w:fill="auto"/>
            <w:vAlign w:val="center"/>
            <w:hideMark/>
          </w:tcPr>
          <w:p w14:paraId="20633933" w14:textId="77777777" w:rsidR="00396CB4" w:rsidRPr="00396CB4" w:rsidRDefault="00396CB4" w:rsidP="00396CB4">
            <w:pPr>
              <w:rPr>
                <w:rFonts w:eastAsia="Times New Roman" w:cs="Calibri"/>
                <w:b/>
                <w:bCs/>
                <w:color w:val="000000"/>
                <w:sz w:val="18"/>
                <w:szCs w:val="18"/>
                <w:lang w:eastAsia="es-CR"/>
              </w:rPr>
            </w:pPr>
            <w:r w:rsidRPr="00396CB4">
              <w:rPr>
                <w:rFonts w:eastAsia="Times New Roman" w:cs="Calibri"/>
                <w:b/>
                <w:bCs/>
                <w:color w:val="000000"/>
                <w:sz w:val="18"/>
                <w:szCs w:val="18"/>
                <w:lang w:eastAsia="es-CR"/>
              </w:rPr>
              <w:t>Efectivo y equivalentes de efectivo</w:t>
            </w:r>
          </w:p>
        </w:tc>
        <w:tc>
          <w:tcPr>
            <w:tcW w:w="500" w:type="dxa"/>
            <w:tcBorders>
              <w:top w:val="nil"/>
              <w:left w:val="nil"/>
              <w:bottom w:val="single" w:sz="8" w:space="0" w:color="auto"/>
              <w:right w:val="single" w:sz="8" w:space="0" w:color="auto"/>
            </w:tcBorders>
            <w:shd w:val="clear" w:color="auto" w:fill="auto"/>
            <w:noWrap/>
            <w:vAlign w:val="center"/>
            <w:hideMark/>
          </w:tcPr>
          <w:p w14:paraId="19961818" w14:textId="77777777" w:rsidR="00396CB4" w:rsidRPr="00396CB4" w:rsidRDefault="00396CB4" w:rsidP="00396CB4">
            <w:pPr>
              <w:rPr>
                <w:rFonts w:eastAsia="Times New Roman" w:cs="Calibri"/>
                <w:b/>
                <w:bCs/>
                <w:color w:val="000000"/>
                <w:sz w:val="18"/>
                <w:szCs w:val="18"/>
                <w:lang w:eastAsia="es-CR"/>
              </w:rPr>
            </w:pPr>
            <w:r w:rsidRPr="00396CB4">
              <w:rPr>
                <w:rFonts w:eastAsia="Times New Roman" w:cs="Calibri"/>
                <w:b/>
                <w:bCs/>
                <w:color w:val="000000"/>
                <w:sz w:val="18"/>
                <w:szCs w:val="18"/>
                <w:lang w:eastAsia="es-CR"/>
              </w:rPr>
              <w:t>03</w:t>
            </w:r>
          </w:p>
        </w:tc>
        <w:tc>
          <w:tcPr>
            <w:tcW w:w="2160" w:type="dxa"/>
            <w:tcBorders>
              <w:top w:val="nil"/>
              <w:left w:val="nil"/>
              <w:bottom w:val="single" w:sz="8" w:space="0" w:color="auto"/>
              <w:right w:val="single" w:sz="8" w:space="0" w:color="auto"/>
            </w:tcBorders>
            <w:shd w:val="clear" w:color="auto" w:fill="auto"/>
            <w:noWrap/>
            <w:vAlign w:val="center"/>
            <w:hideMark/>
          </w:tcPr>
          <w:p w14:paraId="2E271DE5" w14:textId="77777777" w:rsidR="00396CB4" w:rsidRPr="00396CB4" w:rsidRDefault="00396CB4" w:rsidP="00396CB4">
            <w:pP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2 779 345,66 </w:t>
            </w:r>
          </w:p>
        </w:tc>
        <w:tc>
          <w:tcPr>
            <w:tcW w:w="2160" w:type="dxa"/>
            <w:tcBorders>
              <w:top w:val="nil"/>
              <w:left w:val="nil"/>
              <w:bottom w:val="single" w:sz="8" w:space="0" w:color="auto"/>
              <w:right w:val="single" w:sz="8" w:space="0" w:color="auto"/>
            </w:tcBorders>
            <w:shd w:val="clear" w:color="auto" w:fill="auto"/>
            <w:noWrap/>
            <w:vAlign w:val="center"/>
            <w:hideMark/>
          </w:tcPr>
          <w:p w14:paraId="2DB2B77B" w14:textId="77777777" w:rsidR="00396CB4" w:rsidRPr="00396CB4" w:rsidRDefault="00396CB4" w:rsidP="00396CB4">
            <w:pP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2 106 811,91 </w:t>
            </w:r>
          </w:p>
        </w:tc>
        <w:tc>
          <w:tcPr>
            <w:tcW w:w="1060" w:type="dxa"/>
            <w:tcBorders>
              <w:top w:val="nil"/>
              <w:left w:val="nil"/>
              <w:bottom w:val="single" w:sz="8" w:space="0" w:color="auto"/>
              <w:right w:val="single" w:sz="8" w:space="0" w:color="auto"/>
            </w:tcBorders>
            <w:shd w:val="clear" w:color="auto" w:fill="auto"/>
            <w:noWrap/>
            <w:vAlign w:val="center"/>
            <w:hideMark/>
          </w:tcPr>
          <w:p w14:paraId="3C35A2A1" w14:textId="77777777" w:rsidR="00396CB4" w:rsidRPr="00396CB4" w:rsidRDefault="00396CB4" w:rsidP="00396CB4">
            <w:pPr>
              <w:rPr>
                <w:rFonts w:eastAsia="Times New Roman" w:cs="Calibri"/>
                <w:b/>
                <w:bCs/>
                <w:color w:val="000000"/>
                <w:sz w:val="18"/>
                <w:szCs w:val="18"/>
                <w:lang w:eastAsia="es-CR"/>
              </w:rPr>
            </w:pPr>
            <w:r w:rsidRPr="00396CB4">
              <w:rPr>
                <w:rFonts w:eastAsia="Times New Roman" w:cs="Calibri"/>
                <w:b/>
                <w:bCs/>
                <w:color w:val="000000"/>
                <w:sz w:val="18"/>
                <w:szCs w:val="18"/>
                <w:lang w:eastAsia="es-CR"/>
              </w:rPr>
              <w:t>31,92%</w:t>
            </w:r>
          </w:p>
        </w:tc>
      </w:tr>
    </w:tbl>
    <w:p w14:paraId="39D37085" w14:textId="00F859E0" w:rsidR="00692DC8" w:rsidRPr="00844DFE" w:rsidRDefault="00844DFE" w:rsidP="00305662">
      <w:pPr>
        <w:rPr>
          <w:lang w:eastAsia="es-CR"/>
        </w:rPr>
      </w:pPr>
      <w:r>
        <w:rPr>
          <w:lang w:eastAsia="es-CR"/>
        </w:rPr>
        <w:fldChar w:fldCharType="end"/>
      </w:r>
      <w:r w:rsidR="00692DC8" w:rsidRPr="00692DC8">
        <w:rPr>
          <w:lang w:val="es-ES" w:eastAsia="es-ES"/>
        </w:rPr>
        <w:t>Detalle</w:t>
      </w:r>
      <w:r w:rsidR="00692DC8" w:rsidRPr="00692DC8">
        <w:rPr>
          <w:rFonts w:ascii="Times New Roman" w:hAnsi="Times New Roman"/>
          <w:lang w:eastAsia="es-CR"/>
        </w:rPr>
        <w:t xml:space="preserve"> </w:t>
      </w:r>
      <w:r w:rsidR="00692DC8" w:rsidRPr="00692DC8">
        <w:rPr>
          <w:lang w:val="es-ES" w:eastAsia="es-ES"/>
        </w:rPr>
        <w:t>cuentas corrientes en el sector privado interno</w:t>
      </w:r>
    </w:p>
    <w:tbl>
      <w:tblPr>
        <w:tblW w:w="4380" w:type="dxa"/>
        <w:tblInd w:w="-10" w:type="dxa"/>
        <w:tblCellMar>
          <w:left w:w="70" w:type="dxa"/>
          <w:right w:w="70" w:type="dxa"/>
        </w:tblCellMar>
        <w:tblLook w:val="04A0" w:firstRow="1" w:lastRow="0" w:firstColumn="1" w:lastColumn="0" w:noHBand="0" w:noVBand="1"/>
      </w:tblPr>
      <w:tblGrid>
        <w:gridCol w:w="1249"/>
        <w:gridCol w:w="3131"/>
      </w:tblGrid>
      <w:tr w:rsidR="00844DFE" w:rsidRPr="00844DFE" w14:paraId="088389B4" w14:textId="77777777" w:rsidTr="00844DFE">
        <w:trPr>
          <w:trHeight w:val="288"/>
        </w:trPr>
        <w:tc>
          <w:tcPr>
            <w:tcW w:w="1240" w:type="dxa"/>
            <w:tcBorders>
              <w:top w:val="single" w:sz="8" w:space="0" w:color="auto"/>
              <w:left w:val="single" w:sz="8" w:space="0" w:color="auto"/>
              <w:bottom w:val="nil"/>
              <w:right w:val="single" w:sz="8" w:space="0" w:color="auto"/>
            </w:tcBorders>
            <w:shd w:val="clear" w:color="000000" w:fill="366092"/>
            <w:noWrap/>
            <w:vAlign w:val="center"/>
            <w:hideMark/>
          </w:tcPr>
          <w:p w14:paraId="4DA7C032" w14:textId="77777777" w:rsidR="00844DFE" w:rsidRPr="00844DFE" w:rsidRDefault="00844DFE" w:rsidP="00844DFE">
            <w:pPr>
              <w:spacing w:after="0" w:line="240" w:lineRule="auto"/>
              <w:rPr>
                <w:rFonts w:eastAsia="Times New Roman" w:cs="Calibri"/>
                <w:b/>
                <w:bCs/>
                <w:color w:val="FFFFFF"/>
                <w:sz w:val="18"/>
                <w:szCs w:val="18"/>
                <w:lang w:eastAsia="es-CR"/>
              </w:rPr>
            </w:pPr>
            <w:r w:rsidRPr="00844DFE">
              <w:rPr>
                <w:rFonts w:eastAsia="Times New Roman" w:cs="Calibri"/>
                <w:b/>
                <w:bCs/>
                <w:color w:val="FFFFFF"/>
                <w:sz w:val="18"/>
                <w:szCs w:val="18"/>
                <w:lang w:eastAsia="es-CR"/>
              </w:rPr>
              <w:t xml:space="preserve">Cuenta </w:t>
            </w:r>
          </w:p>
        </w:tc>
        <w:tc>
          <w:tcPr>
            <w:tcW w:w="3140" w:type="dxa"/>
            <w:tcBorders>
              <w:top w:val="single" w:sz="8" w:space="0" w:color="auto"/>
              <w:left w:val="nil"/>
              <w:bottom w:val="nil"/>
              <w:right w:val="single" w:sz="8" w:space="0" w:color="auto"/>
            </w:tcBorders>
            <w:shd w:val="clear" w:color="000000" w:fill="366092"/>
            <w:vAlign w:val="center"/>
            <w:hideMark/>
          </w:tcPr>
          <w:p w14:paraId="37851BAD" w14:textId="77777777" w:rsidR="00844DFE" w:rsidRPr="00844DFE" w:rsidRDefault="00844DFE" w:rsidP="00844DFE">
            <w:pPr>
              <w:spacing w:after="0" w:line="240" w:lineRule="auto"/>
              <w:jc w:val="center"/>
              <w:rPr>
                <w:rFonts w:eastAsia="Times New Roman" w:cs="Calibri"/>
                <w:b/>
                <w:bCs/>
                <w:color w:val="FFFFFF"/>
                <w:sz w:val="18"/>
                <w:szCs w:val="18"/>
                <w:lang w:eastAsia="es-CR"/>
              </w:rPr>
            </w:pPr>
            <w:r w:rsidRPr="00844DFE">
              <w:rPr>
                <w:rFonts w:eastAsia="Times New Roman" w:cs="Calibri"/>
                <w:b/>
                <w:bCs/>
                <w:color w:val="FFFFFF"/>
                <w:sz w:val="18"/>
                <w:szCs w:val="18"/>
                <w:lang w:eastAsia="es-CR"/>
              </w:rPr>
              <w:t xml:space="preserve">Descripción </w:t>
            </w:r>
          </w:p>
        </w:tc>
      </w:tr>
      <w:tr w:rsidR="00844DFE" w:rsidRPr="00844DFE" w14:paraId="5E0E8798" w14:textId="77777777" w:rsidTr="00844DFE">
        <w:trPr>
          <w:trHeight w:val="54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3946674D" w14:textId="77777777" w:rsidR="00844DFE" w:rsidRPr="00844DFE" w:rsidRDefault="00844DFE" w:rsidP="00844DFE">
            <w:pPr>
              <w:spacing w:after="0" w:line="240" w:lineRule="auto"/>
              <w:rPr>
                <w:rFonts w:eastAsia="Times New Roman" w:cs="Calibri"/>
                <w:b/>
                <w:bCs/>
                <w:color w:val="000000"/>
                <w:sz w:val="18"/>
                <w:szCs w:val="18"/>
                <w:lang w:eastAsia="es-CR"/>
              </w:rPr>
            </w:pPr>
            <w:r w:rsidRPr="00844DFE">
              <w:rPr>
                <w:rFonts w:eastAsia="Times New Roman" w:cs="Calibri"/>
                <w:b/>
                <w:bCs/>
                <w:color w:val="000000"/>
                <w:sz w:val="18"/>
                <w:szCs w:val="18"/>
                <w:lang w:eastAsia="es-CR"/>
              </w:rPr>
              <w:t>1.1.1.01.02.01.2.</w:t>
            </w:r>
          </w:p>
        </w:tc>
        <w:tc>
          <w:tcPr>
            <w:tcW w:w="3140" w:type="dxa"/>
            <w:tcBorders>
              <w:top w:val="nil"/>
              <w:left w:val="nil"/>
              <w:bottom w:val="single" w:sz="8" w:space="0" w:color="auto"/>
              <w:right w:val="single" w:sz="8" w:space="0" w:color="auto"/>
            </w:tcBorders>
            <w:shd w:val="clear" w:color="auto" w:fill="auto"/>
            <w:vAlign w:val="center"/>
            <w:hideMark/>
          </w:tcPr>
          <w:p w14:paraId="5CF5D58E" w14:textId="77777777" w:rsidR="00844DFE" w:rsidRPr="00844DFE" w:rsidRDefault="00844DFE" w:rsidP="00844DFE">
            <w:pPr>
              <w:spacing w:after="0" w:line="240" w:lineRule="auto"/>
              <w:rPr>
                <w:rFonts w:eastAsia="Times New Roman" w:cs="Calibri"/>
                <w:b/>
                <w:bCs/>
                <w:color w:val="000000"/>
                <w:sz w:val="18"/>
                <w:szCs w:val="18"/>
                <w:lang w:eastAsia="es-CR"/>
              </w:rPr>
            </w:pPr>
            <w:r w:rsidRPr="00844DFE">
              <w:rPr>
                <w:rFonts w:eastAsia="Times New Roman" w:cs="Calibri"/>
                <w:b/>
                <w:bCs/>
                <w:color w:val="000000"/>
                <w:sz w:val="18"/>
                <w:szCs w:val="18"/>
                <w:lang w:eastAsia="es-CR"/>
              </w:rPr>
              <w:t>Cuentas corrientes en el sector privado interno</w:t>
            </w:r>
          </w:p>
        </w:tc>
      </w:tr>
    </w:tbl>
    <w:p w14:paraId="3494799E" w14:textId="1B0C90DA" w:rsidR="00692DC8" w:rsidRDefault="00692DC8" w:rsidP="00B65CDC">
      <w:pPr>
        <w:rPr>
          <w:lang w:val="es-ES" w:eastAsia="es-CR"/>
        </w:rPr>
      </w:pPr>
    </w:p>
    <w:tbl>
      <w:tblPr>
        <w:tblW w:w="4960" w:type="dxa"/>
        <w:tblInd w:w="-10" w:type="dxa"/>
        <w:tblCellMar>
          <w:left w:w="70" w:type="dxa"/>
          <w:right w:w="70" w:type="dxa"/>
        </w:tblCellMar>
        <w:tblLook w:val="04A0" w:firstRow="1" w:lastRow="0" w:firstColumn="1" w:lastColumn="0" w:noHBand="0" w:noVBand="1"/>
      </w:tblPr>
      <w:tblGrid>
        <w:gridCol w:w="1240"/>
        <w:gridCol w:w="1240"/>
        <w:gridCol w:w="1240"/>
        <w:gridCol w:w="1240"/>
      </w:tblGrid>
      <w:tr w:rsidR="00844DFE" w:rsidRPr="00844DFE" w14:paraId="44B5F3E3" w14:textId="77777777" w:rsidTr="00747D23">
        <w:trPr>
          <w:trHeight w:val="300"/>
        </w:trPr>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C5B951E" w14:textId="77777777" w:rsidR="00844DFE" w:rsidRPr="00844DFE" w:rsidRDefault="00844DFE" w:rsidP="00844DFE">
            <w:pPr>
              <w:spacing w:after="0" w:line="240" w:lineRule="auto"/>
              <w:jc w:val="center"/>
              <w:rPr>
                <w:rFonts w:eastAsia="Times New Roman" w:cs="Calibri"/>
                <w:b/>
                <w:bCs/>
                <w:color w:val="FFFFFF"/>
                <w:sz w:val="18"/>
                <w:szCs w:val="18"/>
                <w:lang w:eastAsia="es-CR"/>
              </w:rPr>
            </w:pPr>
            <w:bookmarkStart w:id="179" w:name="_Hlk123996124"/>
            <w:r w:rsidRPr="00844DFE">
              <w:rPr>
                <w:rFonts w:eastAsia="Times New Roman" w:cs="Calibri"/>
                <w:b/>
                <w:bCs/>
                <w:color w:val="FFFFFF"/>
                <w:sz w:val="18"/>
                <w:szCs w:val="18"/>
                <w:lang w:eastAsia="es-CR"/>
              </w:rPr>
              <w:t xml:space="preserve">Entidad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0748B6B" w14:textId="77777777" w:rsidR="00844DFE" w:rsidRPr="00844DFE" w:rsidRDefault="00844DFE" w:rsidP="00844DFE">
            <w:pPr>
              <w:spacing w:after="0" w:line="240" w:lineRule="auto"/>
              <w:jc w:val="center"/>
              <w:rPr>
                <w:rFonts w:eastAsia="Times New Roman" w:cs="Calibri"/>
                <w:b/>
                <w:bCs/>
                <w:color w:val="FFFFFF"/>
                <w:sz w:val="18"/>
                <w:szCs w:val="18"/>
                <w:lang w:eastAsia="es-CR"/>
              </w:rPr>
            </w:pPr>
            <w:r w:rsidRPr="00844DFE">
              <w:rPr>
                <w:rFonts w:eastAsia="Times New Roman"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2157AD0" w14:textId="77777777" w:rsidR="00844DFE" w:rsidRPr="00844DFE" w:rsidRDefault="00844DFE" w:rsidP="00844DFE">
            <w:pPr>
              <w:spacing w:after="0" w:line="240" w:lineRule="auto"/>
              <w:jc w:val="center"/>
              <w:rPr>
                <w:rFonts w:eastAsia="Times New Roman" w:cs="Calibri"/>
                <w:b/>
                <w:bCs/>
                <w:color w:val="FFFFFF"/>
                <w:sz w:val="18"/>
                <w:szCs w:val="18"/>
                <w:lang w:eastAsia="es-CR"/>
              </w:rPr>
            </w:pPr>
            <w:r w:rsidRPr="00844DFE">
              <w:rPr>
                <w:rFonts w:eastAsia="Times New Roman"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4D15499D" w14:textId="77777777" w:rsidR="00844DFE" w:rsidRPr="00844DFE" w:rsidRDefault="00844DFE" w:rsidP="00844DFE">
            <w:pPr>
              <w:spacing w:after="0" w:line="240" w:lineRule="auto"/>
              <w:jc w:val="center"/>
              <w:rPr>
                <w:rFonts w:eastAsia="Times New Roman" w:cs="Calibri"/>
                <w:b/>
                <w:bCs/>
                <w:color w:val="FFFFFF"/>
                <w:sz w:val="18"/>
                <w:szCs w:val="18"/>
                <w:lang w:eastAsia="es-CR"/>
              </w:rPr>
            </w:pPr>
            <w:r w:rsidRPr="00844DFE">
              <w:rPr>
                <w:rFonts w:eastAsia="Times New Roman" w:cs="Calibri"/>
                <w:b/>
                <w:bCs/>
                <w:color w:val="FFFFFF"/>
                <w:sz w:val="18"/>
                <w:szCs w:val="18"/>
                <w:lang w:eastAsia="es-CR"/>
              </w:rPr>
              <w:t xml:space="preserve">Diferencia </w:t>
            </w:r>
          </w:p>
        </w:tc>
      </w:tr>
      <w:tr w:rsidR="00844DFE" w:rsidRPr="00844DFE" w14:paraId="0F853BE4" w14:textId="77777777" w:rsidTr="00747D23">
        <w:trPr>
          <w:trHeight w:val="300"/>
        </w:trPr>
        <w:tc>
          <w:tcPr>
            <w:tcW w:w="1240" w:type="dxa"/>
            <w:vMerge/>
            <w:tcBorders>
              <w:top w:val="single" w:sz="8" w:space="0" w:color="auto"/>
              <w:left w:val="single" w:sz="8" w:space="0" w:color="auto"/>
              <w:bottom w:val="single" w:sz="8" w:space="0" w:color="000000"/>
              <w:right w:val="single" w:sz="8" w:space="0" w:color="auto"/>
            </w:tcBorders>
            <w:vAlign w:val="center"/>
            <w:hideMark/>
          </w:tcPr>
          <w:p w14:paraId="135A1BDE" w14:textId="77777777" w:rsidR="00844DFE" w:rsidRPr="00844DFE" w:rsidRDefault="00844DFE" w:rsidP="00844DFE">
            <w:pPr>
              <w:spacing w:after="0" w:line="240" w:lineRule="auto"/>
              <w:jc w:val="left"/>
              <w:rPr>
                <w:rFonts w:eastAsia="Times New Roman"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02EBC34F" w14:textId="77777777" w:rsidR="00844DFE" w:rsidRPr="00844DFE" w:rsidRDefault="00844DFE" w:rsidP="00844DFE">
            <w:pPr>
              <w:spacing w:after="0" w:line="240" w:lineRule="auto"/>
              <w:jc w:val="left"/>
              <w:rPr>
                <w:rFonts w:eastAsia="Times New Roman"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29B04EE5" w14:textId="77777777" w:rsidR="00844DFE" w:rsidRPr="00844DFE" w:rsidRDefault="00844DFE" w:rsidP="00844DFE">
            <w:pPr>
              <w:spacing w:after="0" w:line="240" w:lineRule="auto"/>
              <w:jc w:val="left"/>
              <w:rPr>
                <w:rFonts w:eastAsia="Times New Roman"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6BCF6C93" w14:textId="77777777" w:rsidR="00844DFE" w:rsidRPr="00844DFE" w:rsidRDefault="00844DFE" w:rsidP="00844DFE">
            <w:pPr>
              <w:spacing w:after="0" w:line="240" w:lineRule="auto"/>
              <w:jc w:val="center"/>
              <w:rPr>
                <w:rFonts w:eastAsia="Times New Roman" w:cs="Calibri"/>
                <w:color w:val="FFFFFF"/>
                <w:sz w:val="18"/>
                <w:szCs w:val="18"/>
                <w:lang w:eastAsia="es-CR"/>
              </w:rPr>
            </w:pPr>
            <w:r w:rsidRPr="00844DFE">
              <w:rPr>
                <w:rFonts w:eastAsia="Times New Roman" w:cs="Calibri"/>
                <w:color w:val="FFFFFF"/>
                <w:sz w:val="18"/>
                <w:szCs w:val="18"/>
                <w:lang w:eastAsia="es-CR"/>
              </w:rPr>
              <w:t>%</w:t>
            </w:r>
          </w:p>
        </w:tc>
      </w:tr>
      <w:tr w:rsidR="00844DFE" w:rsidRPr="00844DFE" w14:paraId="46968B24" w14:textId="77777777" w:rsidTr="00747D23">
        <w:trPr>
          <w:trHeight w:val="300"/>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0557504E" w14:textId="77777777" w:rsidR="00844DFE" w:rsidRPr="00844DFE" w:rsidRDefault="00844DFE" w:rsidP="00844DFE">
            <w:pPr>
              <w:spacing w:after="0" w:line="240" w:lineRule="auto"/>
              <w:rPr>
                <w:rFonts w:eastAsia="Times New Roman" w:cs="Calibri"/>
                <w:b/>
                <w:bCs/>
                <w:color w:val="000000"/>
                <w:sz w:val="18"/>
                <w:szCs w:val="18"/>
                <w:lang w:eastAsia="es-CR"/>
              </w:rPr>
            </w:pPr>
            <w:r w:rsidRPr="00844DFE">
              <w:rPr>
                <w:rFonts w:eastAsia="Times New Roman" w:cs="Calibri"/>
                <w:b/>
                <w:bCs/>
                <w:color w:val="000000"/>
                <w:sz w:val="18"/>
                <w:szCs w:val="18"/>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01B075D7" w14:textId="77777777" w:rsidR="00844DFE" w:rsidRPr="00844DFE" w:rsidRDefault="00844DFE" w:rsidP="00844DFE">
            <w:pPr>
              <w:spacing w:after="0" w:line="240" w:lineRule="auto"/>
              <w:rPr>
                <w:rFonts w:eastAsia="Times New Roman" w:cs="Calibri"/>
                <w:b/>
                <w:bCs/>
                <w:color w:val="000000"/>
                <w:sz w:val="18"/>
                <w:szCs w:val="18"/>
                <w:lang w:eastAsia="es-CR"/>
              </w:rPr>
            </w:pPr>
            <w:r w:rsidRPr="00844DFE">
              <w:rPr>
                <w:rFonts w:eastAsia="Times New Roman" w:cs="Calibri"/>
                <w:b/>
                <w:bCs/>
                <w:color w:val="000000"/>
                <w:sz w:val="18"/>
                <w:szCs w:val="18"/>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69A560BE" w14:textId="77777777" w:rsidR="00844DFE" w:rsidRPr="00844DFE" w:rsidRDefault="00844DFE" w:rsidP="00844DFE">
            <w:pPr>
              <w:spacing w:after="0" w:line="240" w:lineRule="auto"/>
              <w:rPr>
                <w:rFonts w:eastAsia="Times New Roman" w:cs="Calibri"/>
                <w:b/>
                <w:bCs/>
                <w:color w:val="000000"/>
                <w:sz w:val="18"/>
                <w:szCs w:val="18"/>
                <w:lang w:eastAsia="es-CR"/>
              </w:rPr>
            </w:pPr>
            <w:r w:rsidRPr="00844DFE">
              <w:rPr>
                <w:rFonts w:eastAsia="Times New Roman" w:cs="Calibri"/>
                <w:b/>
                <w:bCs/>
                <w:color w:val="000000"/>
                <w:sz w:val="18"/>
                <w:szCs w:val="18"/>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087D363E" w14:textId="77777777" w:rsidR="00844DFE" w:rsidRPr="00844DFE" w:rsidRDefault="00844DFE" w:rsidP="00844DFE">
            <w:pPr>
              <w:spacing w:after="0" w:line="240" w:lineRule="auto"/>
              <w:rPr>
                <w:rFonts w:eastAsia="Times New Roman" w:cs="Calibri"/>
                <w:b/>
                <w:bCs/>
                <w:color w:val="000000"/>
                <w:sz w:val="18"/>
                <w:szCs w:val="18"/>
                <w:lang w:eastAsia="es-CR"/>
              </w:rPr>
            </w:pPr>
            <w:r w:rsidRPr="00844DFE">
              <w:rPr>
                <w:rFonts w:eastAsia="Times New Roman" w:cs="Calibri"/>
                <w:b/>
                <w:bCs/>
                <w:color w:val="000000"/>
                <w:sz w:val="18"/>
                <w:szCs w:val="18"/>
                <w:lang w:eastAsia="es-CR"/>
              </w:rPr>
              <w:t> </w:t>
            </w:r>
          </w:p>
        </w:tc>
      </w:tr>
      <w:tr w:rsidR="00844DFE" w:rsidRPr="00844DFE" w14:paraId="377C72ED" w14:textId="77777777" w:rsidTr="00747D23">
        <w:trPr>
          <w:trHeight w:val="324"/>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1864BAC6" w14:textId="77777777" w:rsidR="00844DFE" w:rsidRPr="00844DFE" w:rsidRDefault="00844DFE" w:rsidP="00844DFE">
            <w:pPr>
              <w:spacing w:after="0" w:line="240" w:lineRule="auto"/>
              <w:rPr>
                <w:rFonts w:eastAsia="Times New Roman" w:cs="Calibri"/>
                <w:b/>
                <w:bCs/>
                <w:color w:val="000000"/>
                <w:sz w:val="18"/>
                <w:szCs w:val="18"/>
                <w:lang w:eastAsia="es-CR"/>
              </w:rPr>
            </w:pPr>
            <w:r w:rsidRPr="00844DFE">
              <w:rPr>
                <w:rFonts w:eastAsia="Times New Roman" w:cs="Calibri"/>
                <w:b/>
                <w:bCs/>
                <w:color w:val="000000"/>
                <w:sz w:val="18"/>
                <w:szCs w:val="18"/>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6B5DF779" w14:textId="77777777" w:rsidR="00844DFE" w:rsidRPr="00844DFE" w:rsidRDefault="00844DFE" w:rsidP="00844DFE">
            <w:pPr>
              <w:spacing w:after="0" w:line="240" w:lineRule="auto"/>
              <w:rPr>
                <w:rFonts w:eastAsia="Times New Roman" w:cs="Calibri"/>
                <w:b/>
                <w:bCs/>
                <w:color w:val="000000"/>
                <w:sz w:val="18"/>
                <w:szCs w:val="18"/>
                <w:lang w:eastAsia="es-CR"/>
              </w:rPr>
            </w:pPr>
            <w:r w:rsidRPr="00844DFE">
              <w:rPr>
                <w:rFonts w:eastAsia="Times New Roman" w:cs="Calibri"/>
                <w:b/>
                <w:bCs/>
                <w:color w:val="000000"/>
                <w:sz w:val="18"/>
                <w:szCs w:val="18"/>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0EEBC9FB" w14:textId="77777777" w:rsidR="00844DFE" w:rsidRPr="00844DFE" w:rsidRDefault="00844DFE" w:rsidP="00844DFE">
            <w:pPr>
              <w:spacing w:after="0" w:line="240" w:lineRule="auto"/>
              <w:rPr>
                <w:rFonts w:eastAsia="Times New Roman" w:cs="Calibri"/>
                <w:b/>
                <w:bCs/>
                <w:color w:val="000000"/>
                <w:sz w:val="18"/>
                <w:szCs w:val="18"/>
                <w:lang w:eastAsia="es-CR"/>
              </w:rPr>
            </w:pPr>
            <w:r w:rsidRPr="00844DFE">
              <w:rPr>
                <w:rFonts w:eastAsia="Times New Roman" w:cs="Calibri"/>
                <w:b/>
                <w:bCs/>
                <w:color w:val="000000"/>
                <w:sz w:val="18"/>
                <w:szCs w:val="18"/>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06B060C1" w14:textId="77777777" w:rsidR="00844DFE" w:rsidRPr="00844DFE" w:rsidRDefault="00844DFE" w:rsidP="00844DFE">
            <w:pPr>
              <w:spacing w:after="0" w:line="240" w:lineRule="auto"/>
              <w:rPr>
                <w:rFonts w:eastAsia="Times New Roman" w:cs="Calibri"/>
                <w:color w:val="000000"/>
                <w:szCs w:val="24"/>
                <w:lang w:eastAsia="es-CR"/>
              </w:rPr>
            </w:pPr>
            <w:r w:rsidRPr="00844DFE">
              <w:rPr>
                <w:rFonts w:eastAsia="Times New Roman" w:cs="Calibri"/>
                <w:color w:val="000000"/>
                <w:szCs w:val="24"/>
                <w:lang w:eastAsia="es-CR"/>
              </w:rPr>
              <w:t> </w:t>
            </w:r>
          </w:p>
        </w:tc>
      </w:tr>
      <w:tr w:rsidR="00844DFE" w:rsidRPr="00844DFE" w14:paraId="6D70CC9B" w14:textId="77777777" w:rsidTr="00747D23">
        <w:trPr>
          <w:trHeight w:val="324"/>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3C51CB62" w14:textId="77777777" w:rsidR="00844DFE" w:rsidRPr="00844DFE" w:rsidRDefault="00844DFE" w:rsidP="00844DFE">
            <w:pPr>
              <w:spacing w:after="0" w:line="240" w:lineRule="auto"/>
              <w:rPr>
                <w:rFonts w:eastAsia="Times New Roman" w:cs="Calibri"/>
                <w:color w:val="000000"/>
                <w:szCs w:val="24"/>
                <w:lang w:eastAsia="es-CR"/>
              </w:rPr>
            </w:pPr>
            <w:r w:rsidRPr="00844DFE">
              <w:rPr>
                <w:rFonts w:eastAsia="Times New Roman" w:cs="Calibri"/>
                <w:color w:val="000000"/>
                <w:szCs w:val="24"/>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28F44DE9" w14:textId="77777777" w:rsidR="00844DFE" w:rsidRPr="00844DFE" w:rsidRDefault="00844DFE" w:rsidP="00844DFE">
            <w:pPr>
              <w:spacing w:after="0" w:line="240" w:lineRule="auto"/>
              <w:rPr>
                <w:rFonts w:eastAsia="Times New Roman" w:cs="Calibri"/>
                <w:color w:val="000000"/>
                <w:szCs w:val="24"/>
                <w:lang w:eastAsia="es-CR"/>
              </w:rPr>
            </w:pPr>
            <w:r w:rsidRPr="00844DFE">
              <w:rPr>
                <w:rFonts w:eastAsia="Times New Roman" w:cs="Calibri"/>
                <w:color w:val="000000"/>
                <w:szCs w:val="24"/>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3F5DBF48" w14:textId="77777777" w:rsidR="00844DFE" w:rsidRPr="00844DFE" w:rsidRDefault="00844DFE" w:rsidP="00844DFE">
            <w:pPr>
              <w:spacing w:after="0" w:line="240" w:lineRule="auto"/>
              <w:rPr>
                <w:rFonts w:eastAsia="Times New Roman" w:cs="Calibri"/>
                <w:color w:val="000000"/>
                <w:szCs w:val="24"/>
                <w:lang w:eastAsia="es-CR"/>
              </w:rPr>
            </w:pPr>
            <w:r w:rsidRPr="00844DFE">
              <w:rPr>
                <w:rFonts w:eastAsia="Times New Roman" w:cs="Calibri"/>
                <w:color w:val="000000"/>
                <w:szCs w:val="24"/>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0A800C9E" w14:textId="77777777" w:rsidR="00844DFE" w:rsidRPr="00844DFE" w:rsidRDefault="00844DFE" w:rsidP="00844DFE">
            <w:pPr>
              <w:spacing w:after="0" w:line="240" w:lineRule="auto"/>
              <w:rPr>
                <w:rFonts w:eastAsia="Times New Roman" w:cs="Calibri"/>
                <w:color w:val="000000"/>
                <w:szCs w:val="24"/>
                <w:lang w:eastAsia="es-CR"/>
              </w:rPr>
            </w:pPr>
            <w:r w:rsidRPr="00844DFE">
              <w:rPr>
                <w:rFonts w:eastAsia="Times New Roman" w:cs="Calibri"/>
                <w:color w:val="000000"/>
                <w:szCs w:val="24"/>
                <w:lang w:eastAsia="es-CR"/>
              </w:rPr>
              <w:t> </w:t>
            </w:r>
          </w:p>
        </w:tc>
      </w:tr>
      <w:tr w:rsidR="00844DFE" w:rsidRPr="00844DFE" w14:paraId="1D9232CF" w14:textId="77777777" w:rsidTr="00747D23">
        <w:trPr>
          <w:trHeight w:val="324"/>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1B6653E4" w14:textId="77777777" w:rsidR="00844DFE" w:rsidRPr="00844DFE" w:rsidRDefault="00844DFE" w:rsidP="00844DFE">
            <w:pPr>
              <w:spacing w:after="0" w:line="240" w:lineRule="auto"/>
              <w:rPr>
                <w:rFonts w:eastAsia="Times New Roman" w:cs="Calibri"/>
                <w:color w:val="000000"/>
                <w:szCs w:val="24"/>
                <w:lang w:eastAsia="es-CR"/>
              </w:rPr>
            </w:pPr>
            <w:r w:rsidRPr="00844DFE">
              <w:rPr>
                <w:rFonts w:eastAsia="Times New Roman" w:cs="Calibri"/>
                <w:color w:val="000000"/>
                <w:szCs w:val="24"/>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3FAD15CA" w14:textId="77777777" w:rsidR="00844DFE" w:rsidRPr="00844DFE" w:rsidRDefault="00844DFE" w:rsidP="00844DFE">
            <w:pPr>
              <w:spacing w:after="0" w:line="240" w:lineRule="auto"/>
              <w:rPr>
                <w:rFonts w:eastAsia="Times New Roman" w:cs="Calibri"/>
                <w:color w:val="000000"/>
                <w:szCs w:val="24"/>
                <w:lang w:eastAsia="es-CR"/>
              </w:rPr>
            </w:pPr>
            <w:r w:rsidRPr="00844DFE">
              <w:rPr>
                <w:rFonts w:eastAsia="Times New Roman" w:cs="Calibri"/>
                <w:color w:val="000000"/>
                <w:szCs w:val="24"/>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6E29B68E" w14:textId="77777777" w:rsidR="00844DFE" w:rsidRPr="00844DFE" w:rsidRDefault="00844DFE" w:rsidP="00844DFE">
            <w:pPr>
              <w:spacing w:after="0" w:line="240" w:lineRule="auto"/>
              <w:rPr>
                <w:rFonts w:eastAsia="Times New Roman" w:cs="Calibri"/>
                <w:color w:val="000000"/>
                <w:szCs w:val="24"/>
                <w:lang w:eastAsia="es-CR"/>
              </w:rPr>
            </w:pPr>
            <w:r w:rsidRPr="00844DFE">
              <w:rPr>
                <w:rFonts w:eastAsia="Times New Roman" w:cs="Calibri"/>
                <w:color w:val="000000"/>
                <w:szCs w:val="24"/>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514D4D10" w14:textId="77777777" w:rsidR="00844DFE" w:rsidRPr="00844DFE" w:rsidRDefault="00844DFE" w:rsidP="00844DFE">
            <w:pPr>
              <w:spacing w:after="0" w:line="240" w:lineRule="auto"/>
              <w:rPr>
                <w:rFonts w:eastAsia="Times New Roman" w:cs="Calibri"/>
                <w:color w:val="000000"/>
                <w:szCs w:val="24"/>
                <w:lang w:eastAsia="es-CR"/>
              </w:rPr>
            </w:pPr>
            <w:r w:rsidRPr="00844DFE">
              <w:rPr>
                <w:rFonts w:eastAsia="Times New Roman" w:cs="Calibri"/>
                <w:color w:val="000000"/>
                <w:szCs w:val="24"/>
                <w:lang w:eastAsia="es-CR"/>
              </w:rPr>
              <w:t> </w:t>
            </w:r>
          </w:p>
        </w:tc>
      </w:tr>
    </w:tbl>
    <w:bookmarkEnd w:id="179"/>
    <w:p w14:paraId="3BCF3900" w14:textId="4C675731" w:rsidR="00692DC8" w:rsidRPr="00B65CDC" w:rsidRDefault="00692DC8" w:rsidP="0011777B">
      <w:pPr>
        <w:spacing w:before="240"/>
        <w:rPr>
          <w:rFonts w:eastAsia="Times New Roman" w:cs="Times New Roman"/>
          <w:color w:val="000000"/>
          <w:szCs w:val="24"/>
          <w:lang w:val="es-ES" w:eastAsia="es-ES"/>
        </w:rPr>
      </w:pPr>
      <w:r w:rsidRPr="00692DC8">
        <w:rPr>
          <w:rFonts w:eastAsia="Times New Roman" w:cs="Times New Roman"/>
          <w:color w:val="000000"/>
          <w:szCs w:val="24"/>
          <w:lang w:val="es-ES" w:eastAsia="es-ES"/>
        </w:rPr>
        <w:t>Detalle</w:t>
      </w:r>
      <w:r w:rsidRPr="00692DC8">
        <w:rPr>
          <w:rFonts w:ascii="Times New Roman" w:eastAsia="Times New Roman" w:hAnsi="Times New Roman" w:cs="Times New Roman"/>
          <w:szCs w:val="24"/>
          <w:lang w:eastAsia="es-CR"/>
        </w:rPr>
        <w:t xml:space="preserve"> </w:t>
      </w:r>
      <w:r w:rsidRPr="00692DC8">
        <w:rPr>
          <w:rFonts w:eastAsia="Times New Roman" w:cs="Times New Roman"/>
          <w:color w:val="000000"/>
          <w:szCs w:val="24"/>
          <w:lang w:val="es-ES" w:eastAsia="es-ES"/>
        </w:rPr>
        <w:t>cuentas corrientes en el sector público interno</w:t>
      </w:r>
    </w:p>
    <w:tbl>
      <w:tblPr>
        <w:tblW w:w="4380" w:type="dxa"/>
        <w:tblInd w:w="-10" w:type="dxa"/>
        <w:tblCellMar>
          <w:left w:w="70" w:type="dxa"/>
          <w:right w:w="70" w:type="dxa"/>
        </w:tblCellMar>
        <w:tblLook w:val="04A0" w:firstRow="1" w:lastRow="0" w:firstColumn="1" w:lastColumn="0" w:noHBand="0" w:noVBand="1"/>
      </w:tblPr>
      <w:tblGrid>
        <w:gridCol w:w="1249"/>
        <w:gridCol w:w="3131"/>
      </w:tblGrid>
      <w:tr w:rsidR="00844DFE" w:rsidRPr="00844DFE" w14:paraId="3D49D256" w14:textId="77777777" w:rsidTr="00821232">
        <w:trPr>
          <w:trHeight w:val="288"/>
        </w:trPr>
        <w:tc>
          <w:tcPr>
            <w:tcW w:w="1249" w:type="dxa"/>
            <w:tcBorders>
              <w:top w:val="single" w:sz="8" w:space="0" w:color="auto"/>
              <w:left w:val="single" w:sz="8" w:space="0" w:color="auto"/>
              <w:bottom w:val="nil"/>
              <w:right w:val="single" w:sz="8" w:space="0" w:color="auto"/>
            </w:tcBorders>
            <w:shd w:val="clear" w:color="000000" w:fill="366092"/>
            <w:noWrap/>
            <w:vAlign w:val="center"/>
            <w:hideMark/>
          </w:tcPr>
          <w:p w14:paraId="5863BBD8" w14:textId="77777777" w:rsidR="00844DFE" w:rsidRPr="00844DFE" w:rsidRDefault="00844DFE" w:rsidP="00844DFE">
            <w:pPr>
              <w:spacing w:after="0" w:line="240" w:lineRule="auto"/>
              <w:rPr>
                <w:rFonts w:eastAsia="Times New Roman" w:cs="Calibri"/>
                <w:b/>
                <w:bCs/>
                <w:color w:val="FFFFFF"/>
                <w:sz w:val="18"/>
                <w:szCs w:val="18"/>
                <w:lang w:eastAsia="es-CR"/>
              </w:rPr>
            </w:pPr>
            <w:r w:rsidRPr="00844DFE">
              <w:rPr>
                <w:rFonts w:eastAsia="Times New Roman" w:cs="Calibri"/>
                <w:b/>
                <w:bCs/>
                <w:color w:val="FFFFFF"/>
                <w:sz w:val="18"/>
                <w:szCs w:val="18"/>
                <w:lang w:eastAsia="es-CR"/>
              </w:rPr>
              <w:t xml:space="preserve">Cuenta </w:t>
            </w:r>
          </w:p>
        </w:tc>
        <w:tc>
          <w:tcPr>
            <w:tcW w:w="3131" w:type="dxa"/>
            <w:tcBorders>
              <w:top w:val="single" w:sz="8" w:space="0" w:color="auto"/>
              <w:left w:val="nil"/>
              <w:bottom w:val="nil"/>
              <w:right w:val="single" w:sz="8" w:space="0" w:color="auto"/>
            </w:tcBorders>
            <w:shd w:val="clear" w:color="000000" w:fill="366092"/>
            <w:vAlign w:val="center"/>
            <w:hideMark/>
          </w:tcPr>
          <w:p w14:paraId="052A27E9" w14:textId="77777777" w:rsidR="00844DFE" w:rsidRPr="00844DFE" w:rsidRDefault="00844DFE" w:rsidP="00844DFE">
            <w:pPr>
              <w:spacing w:after="0" w:line="240" w:lineRule="auto"/>
              <w:jc w:val="center"/>
              <w:rPr>
                <w:rFonts w:eastAsia="Times New Roman" w:cs="Calibri"/>
                <w:b/>
                <w:bCs/>
                <w:color w:val="FFFFFF"/>
                <w:sz w:val="18"/>
                <w:szCs w:val="18"/>
                <w:lang w:eastAsia="es-CR"/>
              </w:rPr>
            </w:pPr>
            <w:r w:rsidRPr="00844DFE">
              <w:rPr>
                <w:rFonts w:eastAsia="Times New Roman" w:cs="Calibri"/>
                <w:b/>
                <w:bCs/>
                <w:color w:val="FFFFFF"/>
                <w:sz w:val="18"/>
                <w:szCs w:val="18"/>
                <w:lang w:eastAsia="es-CR"/>
              </w:rPr>
              <w:t xml:space="preserve">Descripción </w:t>
            </w:r>
          </w:p>
        </w:tc>
      </w:tr>
      <w:tr w:rsidR="00844DFE" w:rsidRPr="00844DFE" w14:paraId="7BF5EA24" w14:textId="77777777" w:rsidTr="00821232">
        <w:trPr>
          <w:trHeight w:val="540"/>
        </w:trPr>
        <w:tc>
          <w:tcPr>
            <w:tcW w:w="1249" w:type="dxa"/>
            <w:tcBorders>
              <w:top w:val="nil"/>
              <w:left w:val="single" w:sz="8" w:space="0" w:color="auto"/>
              <w:bottom w:val="single" w:sz="8" w:space="0" w:color="auto"/>
              <w:right w:val="single" w:sz="8" w:space="0" w:color="auto"/>
            </w:tcBorders>
            <w:shd w:val="clear" w:color="auto" w:fill="auto"/>
            <w:noWrap/>
            <w:vAlign w:val="center"/>
            <w:hideMark/>
          </w:tcPr>
          <w:p w14:paraId="54170C07" w14:textId="77777777" w:rsidR="00844DFE" w:rsidRPr="00844DFE" w:rsidRDefault="00844DFE" w:rsidP="00844DFE">
            <w:pPr>
              <w:spacing w:after="0" w:line="240" w:lineRule="auto"/>
              <w:rPr>
                <w:rFonts w:eastAsia="Times New Roman" w:cs="Calibri"/>
                <w:b/>
                <w:bCs/>
                <w:color w:val="000000"/>
                <w:sz w:val="18"/>
                <w:szCs w:val="18"/>
                <w:lang w:eastAsia="es-CR"/>
              </w:rPr>
            </w:pPr>
            <w:r w:rsidRPr="00844DFE">
              <w:rPr>
                <w:rFonts w:eastAsia="Times New Roman" w:cs="Calibri"/>
                <w:b/>
                <w:bCs/>
                <w:color w:val="000000"/>
                <w:sz w:val="18"/>
                <w:szCs w:val="18"/>
                <w:lang w:eastAsia="es-CR"/>
              </w:rPr>
              <w:t>1.1.1.01.02.02.2.</w:t>
            </w:r>
          </w:p>
        </w:tc>
        <w:tc>
          <w:tcPr>
            <w:tcW w:w="3131" w:type="dxa"/>
            <w:tcBorders>
              <w:top w:val="nil"/>
              <w:left w:val="nil"/>
              <w:bottom w:val="single" w:sz="8" w:space="0" w:color="auto"/>
              <w:right w:val="single" w:sz="8" w:space="0" w:color="auto"/>
            </w:tcBorders>
            <w:shd w:val="clear" w:color="auto" w:fill="auto"/>
            <w:vAlign w:val="center"/>
            <w:hideMark/>
          </w:tcPr>
          <w:p w14:paraId="133539C5" w14:textId="77777777" w:rsidR="00844DFE" w:rsidRPr="00844DFE" w:rsidRDefault="00844DFE" w:rsidP="00844DFE">
            <w:pPr>
              <w:spacing w:after="0" w:line="240" w:lineRule="auto"/>
              <w:rPr>
                <w:rFonts w:eastAsia="Times New Roman" w:cs="Calibri"/>
                <w:b/>
                <w:bCs/>
                <w:color w:val="000000"/>
                <w:sz w:val="18"/>
                <w:szCs w:val="18"/>
                <w:lang w:eastAsia="es-CR"/>
              </w:rPr>
            </w:pPr>
            <w:r w:rsidRPr="00844DFE">
              <w:rPr>
                <w:rFonts w:eastAsia="Times New Roman" w:cs="Calibri"/>
                <w:b/>
                <w:bCs/>
                <w:color w:val="000000"/>
                <w:sz w:val="18"/>
                <w:szCs w:val="18"/>
                <w:lang w:eastAsia="es-CR"/>
              </w:rPr>
              <w:t>Cuentas corrientes en el sector público interno</w:t>
            </w:r>
          </w:p>
        </w:tc>
      </w:tr>
    </w:tbl>
    <w:p w14:paraId="01537FE9" w14:textId="03983407" w:rsidR="00821232" w:rsidRDefault="00B64257" w:rsidP="00821232">
      <w:pPr>
        <w:rPr>
          <w:lang w:val="es-ES" w:eastAsia="es-CR"/>
        </w:rPr>
      </w:pPr>
      <w:r w:rsidRPr="00B64257">
        <w:rPr>
          <w:noProof/>
          <w:lang w:eastAsia="es-CR"/>
        </w:rPr>
        <w:drawing>
          <wp:anchor distT="0" distB="0" distL="114300" distR="114300" simplePos="0" relativeHeight="251662336" behindDoc="0" locked="0" layoutInCell="1" allowOverlap="1" wp14:anchorId="6CCAB680" wp14:editId="43ED59BB">
            <wp:simplePos x="0" y="0"/>
            <wp:positionH relativeFrom="margin">
              <wp:align>left</wp:align>
            </wp:positionH>
            <wp:positionV relativeFrom="paragraph">
              <wp:posOffset>233128</wp:posOffset>
            </wp:positionV>
            <wp:extent cx="5724525" cy="1574165"/>
            <wp:effectExtent l="0" t="0" r="0" b="6985"/>
            <wp:wrapThrough wrapText="bothSides">
              <wp:wrapPolygon edited="0">
                <wp:start x="0" y="0"/>
                <wp:lineTo x="0" y="19866"/>
                <wp:lineTo x="8194" y="20912"/>
                <wp:lineTo x="0" y="20912"/>
                <wp:lineTo x="0" y="21434"/>
                <wp:lineTo x="21492" y="21434"/>
                <wp:lineTo x="21492" y="0"/>
                <wp:lineTo x="0" y="0"/>
              </wp:wrapPolygon>
            </wp:wrapThrough>
            <wp:docPr id="1187876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885" cy="157638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25470E" w14:textId="42EF5664" w:rsidR="00821232" w:rsidRPr="00B65CDC" w:rsidRDefault="00821232" w:rsidP="00821232">
      <w:pPr>
        <w:spacing w:before="240"/>
        <w:rPr>
          <w:lang w:val="es-ES" w:eastAsia="es-ES"/>
        </w:rPr>
      </w:pPr>
      <w:r w:rsidRPr="00692DC8">
        <w:rPr>
          <w:lang w:val="es-ES" w:eastAsia="es-ES"/>
        </w:rPr>
        <w:t>Detalle de Caja Única</w:t>
      </w:r>
    </w:p>
    <w:tbl>
      <w:tblPr>
        <w:tblW w:w="4380" w:type="dxa"/>
        <w:tblInd w:w="-10" w:type="dxa"/>
        <w:tblCellMar>
          <w:left w:w="70" w:type="dxa"/>
          <w:right w:w="70" w:type="dxa"/>
        </w:tblCellMar>
        <w:tblLook w:val="04A0" w:firstRow="1" w:lastRow="0" w:firstColumn="1" w:lastColumn="0" w:noHBand="0" w:noVBand="1"/>
      </w:tblPr>
      <w:tblGrid>
        <w:gridCol w:w="1249"/>
        <w:gridCol w:w="3131"/>
      </w:tblGrid>
      <w:tr w:rsidR="00821232" w:rsidRPr="00844DFE" w14:paraId="10C59CC4" w14:textId="77777777" w:rsidTr="00556AFD">
        <w:trPr>
          <w:trHeight w:val="288"/>
        </w:trPr>
        <w:tc>
          <w:tcPr>
            <w:tcW w:w="1249" w:type="dxa"/>
            <w:tcBorders>
              <w:top w:val="single" w:sz="8" w:space="0" w:color="auto"/>
              <w:left w:val="single" w:sz="8" w:space="0" w:color="auto"/>
              <w:bottom w:val="nil"/>
              <w:right w:val="single" w:sz="8" w:space="0" w:color="auto"/>
            </w:tcBorders>
            <w:shd w:val="clear" w:color="000000" w:fill="366092"/>
            <w:noWrap/>
            <w:vAlign w:val="center"/>
            <w:hideMark/>
          </w:tcPr>
          <w:p w14:paraId="4D23CD23" w14:textId="77777777" w:rsidR="00821232" w:rsidRPr="00844DFE" w:rsidRDefault="00821232" w:rsidP="0061790F">
            <w:pPr>
              <w:spacing w:after="0" w:line="240" w:lineRule="auto"/>
              <w:rPr>
                <w:rFonts w:eastAsia="Times New Roman" w:cs="Calibri"/>
                <w:b/>
                <w:bCs/>
                <w:color w:val="FFFFFF"/>
                <w:sz w:val="18"/>
                <w:szCs w:val="18"/>
                <w:lang w:eastAsia="es-CR"/>
              </w:rPr>
            </w:pPr>
            <w:r w:rsidRPr="00844DFE">
              <w:rPr>
                <w:rFonts w:eastAsia="Times New Roman" w:cs="Calibri"/>
                <w:b/>
                <w:bCs/>
                <w:color w:val="FFFFFF"/>
                <w:sz w:val="18"/>
                <w:szCs w:val="18"/>
                <w:lang w:eastAsia="es-CR"/>
              </w:rPr>
              <w:t xml:space="preserve">Cuenta </w:t>
            </w:r>
          </w:p>
        </w:tc>
        <w:tc>
          <w:tcPr>
            <w:tcW w:w="3131" w:type="dxa"/>
            <w:tcBorders>
              <w:top w:val="single" w:sz="8" w:space="0" w:color="auto"/>
              <w:left w:val="nil"/>
              <w:bottom w:val="nil"/>
              <w:right w:val="single" w:sz="8" w:space="0" w:color="auto"/>
            </w:tcBorders>
            <w:shd w:val="clear" w:color="000000" w:fill="366092"/>
            <w:vAlign w:val="center"/>
            <w:hideMark/>
          </w:tcPr>
          <w:p w14:paraId="71818483" w14:textId="77777777" w:rsidR="00821232" w:rsidRPr="00844DFE" w:rsidRDefault="00821232" w:rsidP="0061790F">
            <w:pPr>
              <w:spacing w:after="0" w:line="240" w:lineRule="auto"/>
              <w:jc w:val="center"/>
              <w:rPr>
                <w:rFonts w:eastAsia="Times New Roman" w:cs="Calibri"/>
                <w:b/>
                <w:bCs/>
                <w:color w:val="FFFFFF"/>
                <w:sz w:val="18"/>
                <w:szCs w:val="18"/>
                <w:lang w:eastAsia="es-CR"/>
              </w:rPr>
            </w:pPr>
            <w:r w:rsidRPr="00844DFE">
              <w:rPr>
                <w:rFonts w:eastAsia="Times New Roman" w:cs="Calibri"/>
                <w:b/>
                <w:bCs/>
                <w:color w:val="FFFFFF"/>
                <w:sz w:val="18"/>
                <w:szCs w:val="18"/>
                <w:lang w:eastAsia="es-CR"/>
              </w:rPr>
              <w:t xml:space="preserve">Descripción </w:t>
            </w:r>
          </w:p>
        </w:tc>
      </w:tr>
      <w:tr w:rsidR="00821232" w:rsidRPr="00844DFE" w14:paraId="3419E36C" w14:textId="77777777" w:rsidTr="00556AFD">
        <w:trPr>
          <w:trHeight w:val="300"/>
        </w:trPr>
        <w:tc>
          <w:tcPr>
            <w:tcW w:w="1249" w:type="dxa"/>
            <w:tcBorders>
              <w:top w:val="nil"/>
              <w:left w:val="single" w:sz="8" w:space="0" w:color="auto"/>
              <w:bottom w:val="single" w:sz="8" w:space="0" w:color="auto"/>
              <w:right w:val="single" w:sz="8" w:space="0" w:color="auto"/>
            </w:tcBorders>
            <w:shd w:val="clear" w:color="auto" w:fill="auto"/>
            <w:noWrap/>
            <w:vAlign w:val="center"/>
            <w:hideMark/>
          </w:tcPr>
          <w:p w14:paraId="081BB265" w14:textId="77777777" w:rsidR="00821232" w:rsidRPr="00844DFE" w:rsidRDefault="00821232" w:rsidP="0061790F">
            <w:pPr>
              <w:spacing w:after="0" w:line="240" w:lineRule="auto"/>
              <w:rPr>
                <w:rFonts w:eastAsia="Times New Roman" w:cs="Calibri"/>
                <w:b/>
                <w:bCs/>
                <w:color w:val="000000"/>
                <w:sz w:val="18"/>
                <w:szCs w:val="18"/>
                <w:lang w:eastAsia="es-CR"/>
              </w:rPr>
            </w:pPr>
            <w:r w:rsidRPr="00844DFE">
              <w:rPr>
                <w:rFonts w:eastAsia="Times New Roman" w:cs="Calibri"/>
                <w:b/>
                <w:bCs/>
                <w:color w:val="000000"/>
                <w:sz w:val="18"/>
                <w:szCs w:val="18"/>
                <w:lang w:eastAsia="es-CR"/>
              </w:rPr>
              <w:t>1.1.1.01.02.02.3.</w:t>
            </w:r>
          </w:p>
        </w:tc>
        <w:tc>
          <w:tcPr>
            <w:tcW w:w="3131" w:type="dxa"/>
            <w:tcBorders>
              <w:top w:val="nil"/>
              <w:left w:val="nil"/>
              <w:bottom w:val="single" w:sz="8" w:space="0" w:color="auto"/>
              <w:right w:val="single" w:sz="8" w:space="0" w:color="auto"/>
            </w:tcBorders>
            <w:shd w:val="clear" w:color="auto" w:fill="auto"/>
            <w:vAlign w:val="center"/>
            <w:hideMark/>
          </w:tcPr>
          <w:p w14:paraId="29978018" w14:textId="77777777" w:rsidR="00821232" w:rsidRPr="00844DFE" w:rsidRDefault="00821232" w:rsidP="0061790F">
            <w:pPr>
              <w:spacing w:after="0" w:line="240" w:lineRule="auto"/>
              <w:rPr>
                <w:rFonts w:eastAsia="Times New Roman" w:cs="Calibri"/>
                <w:b/>
                <w:bCs/>
                <w:color w:val="000000"/>
                <w:sz w:val="18"/>
                <w:szCs w:val="18"/>
                <w:lang w:eastAsia="es-CR"/>
              </w:rPr>
            </w:pPr>
            <w:r w:rsidRPr="00844DFE">
              <w:rPr>
                <w:rFonts w:eastAsia="Times New Roman" w:cs="Calibri"/>
                <w:b/>
                <w:bCs/>
                <w:color w:val="000000"/>
                <w:sz w:val="18"/>
                <w:szCs w:val="18"/>
                <w:lang w:eastAsia="es-CR"/>
              </w:rPr>
              <w:t>Caja Única</w:t>
            </w:r>
          </w:p>
        </w:tc>
      </w:tr>
    </w:tbl>
    <w:p w14:paraId="603683BE" w14:textId="72D2186F" w:rsidR="00821232" w:rsidRDefault="00556AFD" w:rsidP="00821232">
      <w:pPr>
        <w:rPr>
          <w:lang w:val="es-ES" w:eastAsia="es-CR"/>
        </w:rPr>
      </w:pPr>
      <w:r w:rsidRPr="00556AFD">
        <w:rPr>
          <w:noProof/>
          <w:lang w:eastAsia="es-CR"/>
        </w:rPr>
        <w:drawing>
          <wp:anchor distT="0" distB="0" distL="114300" distR="114300" simplePos="0" relativeHeight="251663360" behindDoc="0" locked="0" layoutInCell="1" allowOverlap="1" wp14:anchorId="5077C21D" wp14:editId="7FA4D598">
            <wp:simplePos x="0" y="0"/>
            <wp:positionH relativeFrom="margin">
              <wp:align>left</wp:align>
            </wp:positionH>
            <wp:positionV relativeFrom="paragraph">
              <wp:posOffset>229953</wp:posOffset>
            </wp:positionV>
            <wp:extent cx="5812155" cy="2106930"/>
            <wp:effectExtent l="0" t="0" r="0" b="7620"/>
            <wp:wrapThrough wrapText="bothSides">
              <wp:wrapPolygon edited="0">
                <wp:start x="0" y="0"/>
                <wp:lineTo x="0" y="21483"/>
                <wp:lineTo x="21522" y="21483"/>
                <wp:lineTo x="21522" y="0"/>
                <wp:lineTo x="0" y="0"/>
              </wp:wrapPolygon>
            </wp:wrapThrough>
            <wp:docPr id="125729487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17907" cy="2108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3C88D3" w14:textId="77777777" w:rsidR="00821232" w:rsidRDefault="00821232" w:rsidP="00821232">
      <w:pPr>
        <w:rPr>
          <w:lang w:val="es-ES" w:eastAsia="es-CR"/>
        </w:rPr>
      </w:pPr>
    </w:p>
    <w:p w14:paraId="6259E0A4" w14:textId="224F8368" w:rsidR="00821232" w:rsidRPr="00A91674" w:rsidRDefault="00821232" w:rsidP="00821232">
      <w:pPr>
        <w:rPr>
          <w:lang w:val="es-ES" w:eastAsia="es-ES"/>
        </w:rPr>
      </w:pPr>
      <w:r w:rsidRPr="00A91674">
        <w:rPr>
          <w:lang w:val="es-ES" w:eastAsia="es-ES"/>
        </w:rPr>
        <w:lastRenderedPageBreak/>
        <w:t>Detalle de Cajas Chicas:</w:t>
      </w:r>
    </w:p>
    <w:tbl>
      <w:tblPr>
        <w:tblW w:w="5812" w:type="dxa"/>
        <w:tblInd w:w="-10" w:type="dxa"/>
        <w:tblCellMar>
          <w:left w:w="70" w:type="dxa"/>
          <w:right w:w="70" w:type="dxa"/>
        </w:tblCellMar>
        <w:tblLook w:val="04A0" w:firstRow="1" w:lastRow="0" w:firstColumn="1" w:lastColumn="0" w:noHBand="0" w:noVBand="1"/>
      </w:tblPr>
      <w:tblGrid>
        <w:gridCol w:w="1497"/>
        <w:gridCol w:w="4315"/>
      </w:tblGrid>
      <w:tr w:rsidR="00821232" w:rsidRPr="00A91674" w14:paraId="6FC3AE77" w14:textId="77777777" w:rsidTr="0061790F">
        <w:trPr>
          <w:trHeight w:val="288"/>
        </w:trPr>
        <w:tc>
          <w:tcPr>
            <w:tcW w:w="1497" w:type="dxa"/>
            <w:tcBorders>
              <w:top w:val="single" w:sz="8" w:space="0" w:color="auto"/>
              <w:left w:val="single" w:sz="8" w:space="0" w:color="auto"/>
              <w:bottom w:val="single" w:sz="6" w:space="0" w:color="auto"/>
              <w:right w:val="single" w:sz="8" w:space="0" w:color="auto"/>
            </w:tcBorders>
            <w:shd w:val="clear" w:color="000000" w:fill="366092"/>
            <w:noWrap/>
            <w:vAlign w:val="center"/>
            <w:hideMark/>
          </w:tcPr>
          <w:p w14:paraId="2D0BD330" w14:textId="77777777" w:rsidR="00821232" w:rsidRPr="00A91674" w:rsidRDefault="00821232" w:rsidP="0061790F">
            <w:pPr>
              <w:spacing w:after="0" w:line="240" w:lineRule="auto"/>
              <w:rPr>
                <w:rFonts w:cs="Calibri"/>
                <w:b/>
                <w:bCs/>
                <w:color w:val="FFFFFF"/>
                <w:sz w:val="18"/>
                <w:szCs w:val="18"/>
                <w:lang w:eastAsia="es-CR"/>
              </w:rPr>
            </w:pPr>
            <w:r w:rsidRPr="00A91674">
              <w:rPr>
                <w:rFonts w:cs="Calibri"/>
                <w:b/>
                <w:bCs/>
                <w:color w:val="FFFFFF"/>
                <w:sz w:val="18"/>
                <w:szCs w:val="18"/>
                <w:lang w:eastAsia="es-CR"/>
              </w:rPr>
              <w:t xml:space="preserve">Cuentas </w:t>
            </w:r>
          </w:p>
        </w:tc>
        <w:tc>
          <w:tcPr>
            <w:tcW w:w="4315" w:type="dxa"/>
            <w:tcBorders>
              <w:top w:val="single" w:sz="8" w:space="0" w:color="auto"/>
              <w:left w:val="nil"/>
              <w:bottom w:val="single" w:sz="6" w:space="0" w:color="auto"/>
              <w:right w:val="single" w:sz="8" w:space="0" w:color="auto"/>
            </w:tcBorders>
            <w:shd w:val="clear" w:color="000000" w:fill="366092"/>
            <w:vAlign w:val="center"/>
            <w:hideMark/>
          </w:tcPr>
          <w:p w14:paraId="39B1A996" w14:textId="27BDBA09" w:rsidR="00821232" w:rsidRPr="00A91674" w:rsidRDefault="00821232" w:rsidP="0061790F">
            <w:pPr>
              <w:spacing w:after="0" w:line="240" w:lineRule="auto"/>
              <w:jc w:val="center"/>
              <w:rPr>
                <w:rFonts w:cs="Calibri"/>
                <w:b/>
                <w:bCs/>
                <w:color w:val="FFFFFF"/>
                <w:sz w:val="18"/>
                <w:szCs w:val="18"/>
                <w:lang w:eastAsia="es-CR"/>
              </w:rPr>
            </w:pPr>
            <w:r w:rsidRPr="00A91674">
              <w:rPr>
                <w:rFonts w:cs="Calibri"/>
                <w:b/>
                <w:bCs/>
                <w:color w:val="FFFFFF"/>
                <w:sz w:val="18"/>
                <w:szCs w:val="18"/>
                <w:lang w:eastAsia="es-CR"/>
              </w:rPr>
              <w:t xml:space="preserve">Descripción </w:t>
            </w:r>
          </w:p>
        </w:tc>
      </w:tr>
      <w:tr w:rsidR="00821232" w:rsidRPr="00A91674" w14:paraId="4CA2B4BB" w14:textId="77777777" w:rsidTr="0061790F">
        <w:trPr>
          <w:trHeight w:val="300"/>
        </w:trPr>
        <w:tc>
          <w:tcPr>
            <w:tcW w:w="149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108F64E" w14:textId="77777777" w:rsidR="00821232" w:rsidRPr="00A91674" w:rsidRDefault="00821232" w:rsidP="0061790F">
            <w:pPr>
              <w:spacing w:after="0" w:line="240" w:lineRule="auto"/>
              <w:rPr>
                <w:rFonts w:cs="Calibri"/>
                <w:b/>
                <w:bCs/>
                <w:color w:val="000000"/>
                <w:sz w:val="22"/>
              </w:rPr>
            </w:pPr>
            <w:r w:rsidRPr="00A91674">
              <w:rPr>
                <w:rFonts w:cs="Calibri"/>
                <w:b/>
                <w:bCs/>
                <w:color w:val="000000"/>
                <w:sz w:val="22"/>
              </w:rPr>
              <w:t>1.1.1.01.03.01.</w:t>
            </w:r>
          </w:p>
        </w:tc>
        <w:tc>
          <w:tcPr>
            <w:tcW w:w="43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DDD78B" w14:textId="6831F4D3" w:rsidR="00821232" w:rsidRPr="00A91674" w:rsidRDefault="00821232" w:rsidP="0061790F">
            <w:pPr>
              <w:spacing w:after="0" w:line="240" w:lineRule="auto"/>
              <w:rPr>
                <w:rFonts w:cs="Calibri"/>
                <w:b/>
                <w:bCs/>
                <w:color w:val="000000"/>
                <w:sz w:val="22"/>
                <w:lang w:eastAsia="es-CR"/>
              </w:rPr>
            </w:pPr>
            <w:r w:rsidRPr="00A91674">
              <w:rPr>
                <w:rFonts w:cs="Calibri"/>
                <w:b/>
                <w:bCs/>
                <w:color w:val="000000"/>
                <w:sz w:val="22"/>
                <w:lang w:eastAsia="es-CR"/>
              </w:rPr>
              <w:t>Cajas Chicas</w:t>
            </w:r>
          </w:p>
        </w:tc>
      </w:tr>
    </w:tbl>
    <w:p w14:paraId="18FC3D7B" w14:textId="5F70DFA8" w:rsidR="00821232" w:rsidRDefault="00FB0700" w:rsidP="00821232">
      <w:pPr>
        <w:rPr>
          <w:lang w:val="es-ES" w:eastAsia="es-CR"/>
        </w:rPr>
      </w:pPr>
      <w:r w:rsidRPr="00FB0700">
        <w:rPr>
          <w:noProof/>
          <w:lang w:eastAsia="es-CR"/>
        </w:rPr>
        <w:drawing>
          <wp:anchor distT="0" distB="0" distL="114300" distR="114300" simplePos="0" relativeHeight="251664384" behindDoc="0" locked="0" layoutInCell="1" allowOverlap="1" wp14:anchorId="7F23DD79" wp14:editId="4C7660CE">
            <wp:simplePos x="0" y="0"/>
            <wp:positionH relativeFrom="margin">
              <wp:posOffset>-6985</wp:posOffset>
            </wp:positionH>
            <wp:positionV relativeFrom="paragraph">
              <wp:posOffset>196215</wp:posOffset>
            </wp:positionV>
            <wp:extent cx="5819775" cy="723265"/>
            <wp:effectExtent l="0" t="0" r="9525" b="635"/>
            <wp:wrapThrough wrapText="bothSides">
              <wp:wrapPolygon edited="0">
                <wp:start x="0" y="0"/>
                <wp:lineTo x="0" y="21050"/>
                <wp:lineTo x="21565" y="21050"/>
                <wp:lineTo x="21565" y="0"/>
                <wp:lineTo x="0" y="0"/>
              </wp:wrapPolygon>
            </wp:wrapThrough>
            <wp:docPr id="213758746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19775" cy="723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081070" w14:textId="77777777" w:rsidR="00C80B16" w:rsidRDefault="00C80B16" w:rsidP="00821232">
      <w:pPr>
        <w:spacing w:before="240"/>
        <w:rPr>
          <w:lang w:val="es-ES" w:eastAsia="es-ES"/>
        </w:rPr>
      </w:pPr>
    </w:p>
    <w:p w14:paraId="37B3CE92" w14:textId="69DFE95A" w:rsidR="00821232" w:rsidRDefault="00821232" w:rsidP="00821232">
      <w:pPr>
        <w:spacing w:before="240"/>
        <w:rPr>
          <w:lang w:val="es-ES" w:eastAsia="es-ES"/>
        </w:rPr>
      </w:pPr>
      <w:r>
        <w:rPr>
          <w:lang w:val="es-ES" w:eastAsia="es-ES"/>
        </w:rPr>
        <w:t>D</w:t>
      </w:r>
      <w:r w:rsidRPr="00A91674">
        <w:rPr>
          <w:lang w:val="es-ES" w:eastAsia="es-ES"/>
        </w:rPr>
        <w:t>etalle de Fondos de Inversión:</w:t>
      </w:r>
    </w:p>
    <w:tbl>
      <w:tblPr>
        <w:tblW w:w="6663" w:type="dxa"/>
        <w:tblInd w:w="-10" w:type="dxa"/>
        <w:tblCellMar>
          <w:left w:w="70" w:type="dxa"/>
          <w:right w:w="70" w:type="dxa"/>
        </w:tblCellMar>
        <w:tblLook w:val="04A0" w:firstRow="1" w:lastRow="0" w:firstColumn="1" w:lastColumn="0" w:noHBand="0" w:noVBand="1"/>
      </w:tblPr>
      <w:tblGrid>
        <w:gridCol w:w="1497"/>
        <w:gridCol w:w="5166"/>
      </w:tblGrid>
      <w:tr w:rsidR="00821232" w:rsidRPr="00A91674" w14:paraId="6C6A82F5" w14:textId="77777777" w:rsidTr="0061790F">
        <w:trPr>
          <w:trHeight w:val="288"/>
        </w:trPr>
        <w:tc>
          <w:tcPr>
            <w:tcW w:w="1497" w:type="dxa"/>
            <w:tcBorders>
              <w:top w:val="single" w:sz="8" w:space="0" w:color="auto"/>
              <w:left w:val="single" w:sz="8" w:space="0" w:color="auto"/>
              <w:bottom w:val="single" w:sz="6" w:space="0" w:color="auto"/>
              <w:right w:val="single" w:sz="8" w:space="0" w:color="auto"/>
            </w:tcBorders>
            <w:shd w:val="clear" w:color="000000" w:fill="366092"/>
            <w:noWrap/>
            <w:vAlign w:val="center"/>
            <w:hideMark/>
          </w:tcPr>
          <w:p w14:paraId="080894B4" w14:textId="77777777" w:rsidR="00821232" w:rsidRPr="00A91674" w:rsidRDefault="00821232" w:rsidP="0061790F">
            <w:pPr>
              <w:rPr>
                <w:rFonts w:cs="Calibri"/>
                <w:b/>
                <w:bCs/>
                <w:color w:val="FFFFFF"/>
                <w:sz w:val="18"/>
                <w:szCs w:val="18"/>
                <w:lang w:eastAsia="es-CR"/>
              </w:rPr>
            </w:pPr>
            <w:r w:rsidRPr="00A91674">
              <w:rPr>
                <w:rFonts w:cs="Calibri"/>
                <w:b/>
                <w:bCs/>
                <w:color w:val="FFFFFF"/>
                <w:sz w:val="18"/>
                <w:szCs w:val="18"/>
                <w:lang w:eastAsia="es-CR"/>
              </w:rPr>
              <w:t xml:space="preserve">Cuentas </w:t>
            </w:r>
          </w:p>
        </w:tc>
        <w:tc>
          <w:tcPr>
            <w:tcW w:w="5166" w:type="dxa"/>
            <w:tcBorders>
              <w:top w:val="single" w:sz="8" w:space="0" w:color="auto"/>
              <w:left w:val="nil"/>
              <w:bottom w:val="single" w:sz="6" w:space="0" w:color="auto"/>
              <w:right w:val="single" w:sz="8" w:space="0" w:color="auto"/>
            </w:tcBorders>
            <w:shd w:val="clear" w:color="000000" w:fill="366092"/>
            <w:vAlign w:val="center"/>
            <w:hideMark/>
          </w:tcPr>
          <w:p w14:paraId="4C3D72D0" w14:textId="77777777" w:rsidR="00821232" w:rsidRPr="00A91674" w:rsidRDefault="00821232" w:rsidP="0061790F">
            <w:pPr>
              <w:jc w:val="center"/>
              <w:rPr>
                <w:rFonts w:cs="Calibri"/>
                <w:b/>
                <w:bCs/>
                <w:color w:val="FFFFFF"/>
                <w:sz w:val="18"/>
                <w:szCs w:val="18"/>
                <w:lang w:eastAsia="es-CR"/>
              </w:rPr>
            </w:pPr>
            <w:r w:rsidRPr="00A91674">
              <w:rPr>
                <w:rFonts w:cs="Calibri"/>
                <w:b/>
                <w:bCs/>
                <w:color w:val="FFFFFF"/>
                <w:sz w:val="18"/>
                <w:szCs w:val="18"/>
                <w:lang w:eastAsia="es-CR"/>
              </w:rPr>
              <w:t xml:space="preserve">Descripción </w:t>
            </w:r>
          </w:p>
        </w:tc>
      </w:tr>
      <w:tr w:rsidR="00821232" w:rsidRPr="00C20218" w14:paraId="1DFF8568" w14:textId="77777777" w:rsidTr="0061790F">
        <w:trPr>
          <w:trHeight w:val="288"/>
        </w:trPr>
        <w:tc>
          <w:tcPr>
            <w:tcW w:w="1497" w:type="dxa"/>
            <w:tcBorders>
              <w:top w:val="single" w:sz="8" w:space="0" w:color="auto"/>
              <w:left w:val="single" w:sz="8" w:space="0" w:color="auto"/>
              <w:bottom w:val="single" w:sz="6" w:space="0" w:color="auto"/>
              <w:right w:val="single" w:sz="8" w:space="0" w:color="auto"/>
            </w:tcBorders>
            <w:shd w:val="clear" w:color="auto" w:fill="auto"/>
            <w:noWrap/>
            <w:vAlign w:val="center"/>
            <w:hideMark/>
          </w:tcPr>
          <w:p w14:paraId="4D2ED256" w14:textId="77777777" w:rsidR="00821232" w:rsidRPr="00E87C63" w:rsidRDefault="00821232" w:rsidP="0061790F">
            <w:pPr>
              <w:rPr>
                <w:rFonts w:cs="Calibri"/>
                <w:b/>
                <w:bCs/>
                <w:color w:val="000000"/>
                <w:sz w:val="22"/>
              </w:rPr>
            </w:pPr>
            <w:r w:rsidRPr="00E87C63">
              <w:rPr>
                <w:rFonts w:cs="Calibri"/>
                <w:b/>
                <w:bCs/>
                <w:color w:val="000000"/>
                <w:sz w:val="22"/>
              </w:rPr>
              <w:t>1.1.1.02.99.02.</w:t>
            </w:r>
          </w:p>
        </w:tc>
        <w:tc>
          <w:tcPr>
            <w:tcW w:w="5166" w:type="dxa"/>
            <w:tcBorders>
              <w:top w:val="single" w:sz="8" w:space="0" w:color="auto"/>
              <w:left w:val="nil"/>
              <w:bottom w:val="single" w:sz="6" w:space="0" w:color="auto"/>
              <w:right w:val="single" w:sz="8" w:space="0" w:color="auto"/>
            </w:tcBorders>
            <w:shd w:val="clear" w:color="auto" w:fill="auto"/>
            <w:vAlign w:val="center"/>
            <w:hideMark/>
          </w:tcPr>
          <w:p w14:paraId="18480549" w14:textId="77777777" w:rsidR="00821232" w:rsidRPr="00E87C63" w:rsidRDefault="00821232" w:rsidP="0061790F">
            <w:pPr>
              <w:rPr>
                <w:rFonts w:cs="Calibri"/>
                <w:b/>
                <w:bCs/>
                <w:color w:val="000000"/>
                <w:sz w:val="22"/>
              </w:rPr>
            </w:pPr>
            <w:r w:rsidRPr="00E87C63">
              <w:rPr>
                <w:rFonts w:cs="Calibri"/>
                <w:b/>
                <w:bCs/>
                <w:color w:val="000000"/>
                <w:sz w:val="22"/>
              </w:rPr>
              <w:t>Otros equivalentes de efectivo en el sector público interno</w:t>
            </w:r>
          </w:p>
        </w:tc>
      </w:tr>
    </w:tbl>
    <w:p w14:paraId="6EADAFFC" w14:textId="4B7DF73F" w:rsidR="00821232" w:rsidRDefault="00C80B16" w:rsidP="00821232">
      <w:pPr>
        <w:rPr>
          <w:lang w:val="es-ES" w:eastAsia="es-CR"/>
        </w:rPr>
      </w:pPr>
      <w:r w:rsidRPr="00C80B16">
        <w:rPr>
          <w:noProof/>
          <w:lang w:eastAsia="es-CR"/>
        </w:rPr>
        <w:drawing>
          <wp:anchor distT="0" distB="0" distL="114300" distR="114300" simplePos="0" relativeHeight="251665408" behindDoc="0" locked="0" layoutInCell="1" allowOverlap="1" wp14:anchorId="30563733" wp14:editId="7771AE91">
            <wp:simplePos x="0" y="0"/>
            <wp:positionH relativeFrom="margin">
              <wp:posOffset>-6985</wp:posOffset>
            </wp:positionH>
            <wp:positionV relativeFrom="paragraph">
              <wp:posOffset>266921</wp:posOffset>
            </wp:positionV>
            <wp:extent cx="5796280" cy="664845"/>
            <wp:effectExtent l="0" t="0" r="0" b="1905"/>
            <wp:wrapThrough wrapText="bothSides">
              <wp:wrapPolygon edited="0">
                <wp:start x="0" y="0"/>
                <wp:lineTo x="0" y="21043"/>
                <wp:lineTo x="21510" y="21043"/>
                <wp:lineTo x="21510" y="0"/>
                <wp:lineTo x="0" y="0"/>
              </wp:wrapPolygon>
            </wp:wrapThrough>
            <wp:docPr id="206182122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96280" cy="664845"/>
                    </a:xfrm>
                    <a:prstGeom prst="rect">
                      <a:avLst/>
                    </a:prstGeom>
                    <a:noFill/>
                    <a:ln>
                      <a:noFill/>
                    </a:ln>
                  </pic:spPr>
                </pic:pic>
              </a:graphicData>
            </a:graphic>
            <wp14:sizeRelH relativeFrom="margin">
              <wp14:pctWidth>0</wp14:pctWidth>
            </wp14:sizeRelH>
          </wp:anchor>
        </w:drawing>
      </w:r>
    </w:p>
    <w:p w14:paraId="45E45262" w14:textId="2930AD88" w:rsidR="00821232" w:rsidRDefault="00821232" w:rsidP="00821232">
      <w:pPr>
        <w:rPr>
          <w:lang w:val="es-ES" w:eastAsia="es-CR"/>
        </w:rPr>
      </w:pPr>
    </w:p>
    <w:p w14:paraId="2AE694D8" w14:textId="38FFC40A" w:rsidR="00821232" w:rsidRDefault="00E5615E" w:rsidP="00821232">
      <w:pPr>
        <w:spacing w:after="0" w:line="240" w:lineRule="auto"/>
      </w:pPr>
      <w:r w:rsidRPr="00E5615E">
        <w:rPr>
          <w:noProof/>
          <w:lang w:eastAsia="es-CR"/>
        </w:rPr>
        <w:drawing>
          <wp:anchor distT="0" distB="0" distL="114300" distR="114300" simplePos="0" relativeHeight="251666432" behindDoc="0" locked="0" layoutInCell="1" allowOverlap="1" wp14:anchorId="5D63A8AB" wp14:editId="0B5B8CFD">
            <wp:simplePos x="0" y="0"/>
            <wp:positionH relativeFrom="margin">
              <wp:align>left</wp:align>
            </wp:positionH>
            <wp:positionV relativeFrom="paragraph">
              <wp:posOffset>347980</wp:posOffset>
            </wp:positionV>
            <wp:extent cx="5850255" cy="1979295"/>
            <wp:effectExtent l="0" t="0" r="5715" b="1905"/>
            <wp:wrapThrough wrapText="bothSides">
              <wp:wrapPolygon edited="0">
                <wp:start x="0" y="0"/>
                <wp:lineTo x="0" y="19334"/>
                <wp:lineTo x="2110" y="20581"/>
                <wp:lineTo x="0" y="20997"/>
                <wp:lineTo x="0" y="21413"/>
                <wp:lineTo x="21523" y="21413"/>
                <wp:lineTo x="21523" y="0"/>
                <wp:lineTo x="0" y="0"/>
              </wp:wrapPolygon>
            </wp:wrapThrough>
            <wp:docPr id="211193457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50255" cy="1979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1232" w:rsidRPr="00A91674">
        <w:t>Las variaciones de la cuenta son producto de (Indicar la razón de las variaciones de un periodo a otro):</w:t>
      </w:r>
    </w:p>
    <w:p w14:paraId="0329B3D8" w14:textId="30E8DBAF" w:rsidR="00821232" w:rsidRDefault="00821232" w:rsidP="00821232">
      <w:pPr>
        <w:spacing w:line="240" w:lineRule="auto"/>
        <w:rPr>
          <w:lang w:eastAsia="es-CR"/>
        </w:rPr>
      </w:pPr>
    </w:p>
    <w:p w14:paraId="71E512F3" w14:textId="41D33B3A" w:rsidR="00821232" w:rsidRDefault="00821232" w:rsidP="00821232">
      <w:pPr>
        <w:spacing w:line="240" w:lineRule="auto"/>
        <w:rPr>
          <w:lang w:eastAsia="es-CR"/>
        </w:rPr>
      </w:pPr>
      <w:r w:rsidRPr="00D55B86">
        <w:rPr>
          <w:lang w:eastAsia="es-CR"/>
        </w:rPr>
        <w:t xml:space="preserve">Como se observa en el cuadro anterior, la variación de </w:t>
      </w:r>
      <w:r w:rsidRPr="00D55B86">
        <w:rPr>
          <w:rFonts w:ascii="Arial" w:hAnsi="Arial" w:cs="Arial"/>
          <w:lang w:eastAsia="es-CR"/>
        </w:rPr>
        <w:t>₡</w:t>
      </w:r>
      <w:r w:rsidR="00887FE2" w:rsidRPr="00D55B86">
        <w:rPr>
          <w:lang w:eastAsia="es-CR"/>
        </w:rPr>
        <w:t>672 533,75</w:t>
      </w:r>
      <w:r w:rsidRPr="00D55B86">
        <w:rPr>
          <w:lang w:eastAsia="es-CR"/>
        </w:rPr>
        <w:t xml:space="preserve"> miles, se origina producto de un efecto neto, ya que el Efectivo en Cuentas Corrientes y Caja</w:t>
      </w:r>
      <w:r w:rsidR="007E034F" w:rsidRPr="00D55B86">
        <w:rPr>
          <w:lang w:eastAsia="es-CR"/>
        </w:rPr>
        <w:t xml:space="preserve"> Única presentan un aumento de </w:t>
      </w:r>
      <w:r w:rsidRPr="00D55B86">
        <w:rPr>
          <w:rFonts w:ascii="Arial" w:hAnsi="Arial" w:cs="Arial"/>
          <w:lang w:eastAsia="es-CR"/>
        </w:rPr>
        <w:t>₡</w:t>
      </w:r>
      <w:r w:rsidR="007E034F" w:rsidRPr="00D55B86">
        <w:rPr>
          <w:lang w:eastAsia="es-CR"/>
        </w:rPr>
        <w:t>20 971,09</w:t>
      </w:r>
      <w:r w:rsidRPr="00D55B86">
        <w:rPr>
          <w:lang w:eastAsia="es-CR"/>
        </w:rPr>
        <w:t xml:space="preserve"> miles </w:t>
      </w:r>
      <w:r w:rsidR="00D55B86" w:rsidRPr="00D55B86">
        <w:rPr>
          <w:lang w:eastAsia="es-CR"/>
        </w:rPr>
        <w:t xml:space="preserve">en cuentas corrientes en el sector público interno y </w:t>
      </w:r>
      <w:r w:rsidR="00D55B86" w:rsidRPr="00D55B86">
        <w:rPr>
          <w:rFonts w:ascii="Arial" w:hAnsi="Arial" w:cs="Arial"/>
          <w:lang w:eastAsia="es-CR"/>
        </w:rPr>
        <w:t>₡</w:t>
      </w:r>
      <w:r w:rsidR="00D55B86" w:rsidRPr="00D55B86">
        <w:rPr>
          <w:lang w:eastAsia="es-CR"/>
        </w:rPr>
        <w:t>651 562,66 en Caja Única.</w:t>
      </w:r>
    </w:p>
    <w:p w14:paraId="7C14D7EE" w14:textId="6AA8F394" w:rsidR="00821232" w:rsidRDefault="00821232" w:rsidP="007F4626">
      <w:pPr>
        <w:pStyle w:val="Prrafodelista"/>
        <w:numPr>
          <w:ilvl w:val="0"/>
          <w:numId w:val="53"/>
        </w:numPr>
        <w:spacing w:after="0" w:line="240" w:lineRule="auto"/>
        <w:ind w:left="426" w:hanging="426"/>
        <w:rPr>
          <w:lang w:eastAsia="es-CR"/>
        </w:rPr>
      </w:pPr>
      <w:r w:rsidRPr="0038446E">
        <w:rPr>
          <w:lang w:eastAsia="es-CR"/>
        </w:rPr>
        <w:lastRenderedPageBreak/>
        <w:t>En relaci</w:t>
      </w:r>
      <w:r>
        <w:rPr>
          <w:lang w:eastAsia="es-CR"/>
        </w:rPr>
        <w:t>ón con la variación (Aumento</w:t>
      </w:r>
      <w:r w:rsidRPr="0038446E">
        <w:rPr>
          <w:lang w:eastAsia="es-CR"/>
        </w:rPr>
        <w:t xml:space="preserve">) de </w:t>
      </w:r>
      <w:r w:rsidRPr="00DC2265">
        <w:rPr>
          <w:rFonts w:ascii="Arial" w:hAnsi="Arial" w:cs="Arial"/>
          <w:lang w:eastAsia="es-CR"/>
        </w:rPr>
        <w:t>₡</w:t>
      </w:r>
      <w:r w:rsidR="00C55E05">
        <w:rPr>
          <w:lang w:eastAsia="es-CR"/>
        </w:rPr>
        <w:t>20 971,09</w:t>
      </w:r>
      <w:r>
        <w:rPr>
          <w:lang w:eastAsia="es-CR"/>
        </w:rPr>
        <w:t xml:space="preserve"> </w:t>
      </w:r>
      <w:r w:rsidRPr="006673E8">
        <w:rPr>
          <w:lang w:eastAsia="es-CR"/>
        </w:rPr>
        <w:t>miles</w:t>
      </w:r>
      <w:r>
        <w:rPr>
          <w:lang w:eastAsia="es-CR"/>
        </w:rPr>
        <w:t xml:space="preserve"> </w:t>
      </w:r>
      <w:r w:rsidRPr="0038446E">
        <w:rPr>
          <w:lang w:eastAsia="es-CR"/>
        </w:rPr>
        <w:t>que se presenta en el Efectivo en Cuentas Corrientes, debe señalarse que</w:t>
      </w:r>
      <w:r>
        <w:rPr>
          <w:lang w:eastAsia="es-CR"/>
        </w:rPr>
        <w:t>,</w:t>
      </w:r>
      <w:r w:rsidRPr="0038446E">
        <w:rPr>
          <w:lang w:eastAsia="es-CR"/>
        </w:rPr>
        <w:t xml:space="preserve"> esta principalmente es producto de las variaciones </w:t>
      </w:r>
      <w:r>
        <w:rPr>
          <w:lang w:eastAsia="es-CR"/>
        </w:rPr>
        <w:t>positivas</w:t>
      </w:r>
      <w:r w:rsidRPr="0038446E">
        <w:rPr>
          <w:lang w:eastAsia="es-CR"/>
        </w:rPr>
        <w:t xml:space="preserve"> en las cuentas: </w:t>
      </w:r>
      <w:r w:rsidRPr="00386551">
        <w:rPr>
          <w:lang w:eastAsia="es-CR"/>
        </w:rPr>
        <w:t xml:space="preserve">460-0000975-0 B.C.R. (Timbres Municipales) </w:t>
      </w:r>
      <w:r>
        <w:rPr>
          <w:lang w:eastAsia="es-CR"/>
        </w:rPr>
        <w:t xml:space="preserve">de </w:t>
      </w:r>
      <w:r w:rsidRPr="0038446E">
        <w:rPr>
          <w:rFonts w:ascii="Arial" w:hAnsi="Arial" w:cs="Arial"/>
          <w:lang w:eastAsia="es-CR"/>
        </w:rPr>
        <w:t>₡</w:t>
      </w:r>
      <w:r w:rsidR="00C55E05">
        <w:rPr>
          <w:lang w:eastAsia="es-CR"/>
        </w:rPr>
        <w:t>14 775,62</w:t>
      </w:r>
      <w:r>
        <w:rPr>
          <w:lang w:eastAsia="es-CR"/>
        </w:rPr>
        <w:t xml:space="preserve"> miles, </w:t>
      </w:r>
      <w:r w:rsidRPr="0038446E">
        <w:rPr>
          <w:lang w:eastAsia="es-CR"/>
        </w:rPr>
        <w:t>001-036</w:t>
      </w:r>
      <w:r w:rsidR="00796636">
        <w:rPr>
          <w:lang w:eastAsia="es-CR"/>
        </w:rPr>
        <w:t>31</w:t>
      </w:r>
      <w:r>
        <w:rPr>
          <w:lang w:eastAsia="es-CR"/>
        </w:rPr>
        <w:t xml:space="preserve">617 B.C.R. Cuenta General de </w:t>
      </w:r>
      <w:r w:rsidRPr="0038446E">
        <w:rPr>
          <w:rFonts w:ascii="Arial" w:hAnsi="Arial" w:cs="Arial"/>
          <w:lang w:eastAsia="es-CR"/>
        </w:rPr>
        <w:t>₡</w:t>
      </w:r>
      <w:r w:rsidR="00C55E05">
        <w:rPr>
          <w:lang w:eastAsia="es-CR"/>
        </w:rPr>
        <w:t>11 389,72</w:t>
      </w:r>
      <w:r w:rsidRPr="0038446E">
        <w:rPr>
          <w:lang w:eastAsia="es-CR"/>
        </w:rPr>
        <w:t xml:space="preserve"> miles</w:t>
      </w:r>
      <w:r>
        <w:rPr>
          <w:lang w:eastAsia="es-CR"/>
        </w:rPr>
        <w:t>;</w:t>
      </w:r>
      <w:r w:rsidR="00C55E05">
        <w:rPr>
          <w:lang w:eastAsia="es-CR"/>
        </w:rPr>
        <w:t xml:space="preserve"> </w:t>
      </w:r>
      <w:r w:rsidR="00C55E05" w:rsidRPr="0038446E">
        <w:rPr>
          <w:lang w:eastAsia="es-CR"/>
        </w:rPr>
        <w:t>100-01-038-000023-8 B.N.C.R (GENENAL) de</w:t>
      </w:r>
      <w:r w:rsidR="00C55E05">
        <w:rPr>
          <w:lang w:eastAsia="es-CR"/>
        </w:rPr>
        <w:t xml:space="preserve"> </w:t>
      </w:r>
      <w:r w:rsidR="00C55E05" w:rsidRPr="0038446E">
        <w:rPr>
          <w:rFonts w:ascii="Arial" w:hAnsi="Arial" w:cs="Arial"/>
          <w:lang w:eastAsia="es-CR"/>
        </w:rPr>
        <w:t>₡</w:t>
      </w:r>
      <w:r w:rsidR="00936294">
        <w:rPr>
          <w:rFonts w:ascii="Arial" w:hAnsi="Arial" w:cs="Arial"/>
          <w:lang w:eastAsia="es-CR"/>
        </w:rPr>
        <w:t>1 760,43</w:t>
      </w:r>
      <w:r w:rsidR="00C55E05">
        <w:rPr>
          <w:rFonts w:ascii="Arial" w:hAnsi="Arial" w:cs="Arial"/>
          <w:lang w:eastAsia="es-CR"/>
        </w:rPr>
        <w:t xml:space="preserve"> </w:t>
      </w:r>
      <w:r w:rsidR="00C55E05" w:rsidRPr="0038446E">
        <w:rPr>
          <w:lang w:eastAsia="es-CR"/>
        </w:rPr>
        <w:t>miles</w:t>
      </w:r>
      <w:r w:rsidRPr="0038446E">
        <w:rPr>
          <w:lang w:eastAsia="es-CR"/>
        </w:rPr>
        <w:t xml:space="preserve">; </w:t>
      </w:r>
      <w:r>
        <w:rPr>
          <w:lang w:eastAsia="es-CR"/>
        </w:rPr>
        <w:t xml:space="preserve">y variaciones negativas en las cuentas: </w:t>
      </w:r>
      <w:r w:rsidR="00C55E05" w:rsidRPr="0038446E">
        <w:rPr>
          <w:lang w:eastAsia="es-CR"/>
        </w:rPr>
        <w:t>100-01-038-</w:t>
      </w:r>
      <w:r w:rsidR="00C55E05">
        <w:rPr>
          <w:lang w:eastAsia="es-CR"/>
        </w:rPr>
        <w:t>001296-9 B.N.C.R (LEY 8114) de -</w:t>
      </w:r>
      <w:r w:rsidR="00C55E05" w:rsidRPr="0038446E">
        <w:rPr>
          <w:rFonts w:ascii="Arial" w:hAnsi="Arial" w:cs="Arial"/>
          <w:lang w:eastAsia="es-CR"/>
        </w:rPr>
        <w:t>₡</w:t>
      </w:r>
      <w:r w:rsidR="00C55E05">
        <w:rPr>
          <w:lang w:eastAsia="es-CR"/>
        </w:rPr>
        <w:t>3 268,74</w:t>
      </w:r>
      <w:r w:rsidR="00C55E05" w:rsidRPr="0038446E">
        <w:rPr>
          <w:lang w:eastAsia="es-CR"/>
        </w:rPr>
        <w:t xml:space="preserve"> miles;</w:t>
      </w:r>
      <w:r>
        <w:rPr>
          <w:lang w:eastAsia="es-CR"/>
        </w:rPr>
        <w:t>;</w:t>
      </w:r>
      <w:r w:rsidRPr="0038446E">
        <w:rPr>
          <w:lang w:eastAsia="es-CR"/>
        </w:rPr>
        <w:t xml:space="preserve"> y 1640-3 B.N.C.R. GARANTIAS por -</w:t>
      </w:r>
      <w:r w:rsidRPr="00386551">
        <w:rPr>
          <w:rFonts w:ascii="Arial" w:hAnsi="Arial" w:cs="Arial"/>
          <w:lang w:eastAsia="es-CR"/>
        </w:rPr>
        <w:t>₡</w:t>
      </w:r>
      <w:r w:rsidR="00936294">
        <w:rPr>
          <w:lang w:eastAsia="es-CR"/>
        </w:rPr>
        <w:t>3 685,94</w:t>
      </w:r>
      <w:r w:rsidRPr="0038446E">
        <w:rPr>
          <w:lang w:eastAsia="es-CR"/>
        </w:rPr>
        <w:t xml:space="preserve"> miles</w:t>
      </w:r>
      <w:r>
        <w:rPr>
          <w:lang w:eastAsia="es-CR"/>
        </w:rPr>
        <w:t xml:space="preserve">. </w:t>
      </w:r>
      <w:r w:rsidRPr="0038446E">
        <w:rPr>
          <w:lang w:eastAsia="es-CR"/>
        </w:rPr>
        <w:t>Es pertinente indicar</w:t>
      </w:r>
      <w:r>
        <w:rPr>
          <w:lang w:eastAsia="es-CR"/>
        </w:rPr>
        <w:t>,</w:t>
      </w:r>
      <w:r w:rsidRPr="0038446E">
        <w:rPr>
          <w:lang w:eastAsia="es-CR"/>
        </w:rPr>
        <w:t xml:space="preserve"> que a excepción del efectivo mantenidos en la Cuenta </w:t>
      </w:r>
      <w:r w:rsidR="00936294" w:rsidRPr="00936294">
        <w:rPr>
          <w:lang w:eastAsia="es-CR"/>
        </w:rPr>
        <w:t>1203-5 B.N.C.R (FODESAF)</w:t>
      </w:r>
      <w:r w:rsidR="00936294">
        <w:rPr>
          <w:lang w:eastAsia="es-CR"/>
        </w:rPr>
        <w:t xml:space="preserve">; </w:t>
      </w:r>
      <w:r w:rsidR="00936294" w:rsidRPr="00936294">
        <w:rPr>
          <w:lang w:eastAsia="es-CR"/>
        </w:rPr>
        <w:t>1185-4 B.N.C.R (JUDESUR)</w:t>
      </w:r>
      <w:r w:rsidRPr="0038446E">
        <w:rPr>
          <w:lang w:eastAsia="es-CR"/>
        </w:rPr>
        <w:t>, no existe ninguna restricción para su uso del efectivo en bancos</w:t>
      </w:r>
      <w:r>
        <w:rPr>
          <w:lang w:eastAsia="es-CR"/>
        </w:rPr>
        <w:t>.</w:t>
      </w:r>
    </w:p>
    <w:p w14:paraId="46ACCCB5" w14:textId="77777777" w:rsidR="00821232" w:rsidRPr="0038446E" w:rsidRDefault="00821232" w:rsidP="00821232">
      <w:pPr>
        <w:pStyle w:val="Prrafodelista"/>
        <w:spacing w:after="0" w:line="240" w:lineRule="auto"/>
        <w:ind w:left="426"/>
        <w:rPr>
          <w:lang w:eastAsia="es-CR"/>
        </w:rPr>
      </w:pPr>
    </w:p>
    <w:p w14:paraId="4F372D12" w14:textId="77777777" w:rsidR="00966091" w:rsidRDefault="00821232" w:rsidP="00966091">
      <w:pPr>
        <w:spacing w:line="240" w:lineRule="auto"/>
        <w:ind w:left="426"/>
        <w:rPr>
          <w:lang w:eastAsia="es-CR"/>
        </w:rPr>
      </w:pPr>
      <w:r w:rsidRPr="00A731C2">
        <w:rPr>
          <w:lang w:eastAsia="es-CR"/>
        </w:rPr>
        <w:t>Por ot</w:t>
      </w:r>
      <w:r w:rsidR="0085027D" w:rsidRPr="00A731C2">
        <w:rPr>
          <w:lang w:eastAsia="es-CR"/>
        </w:rPr>
        <w:t xml:space="preserve">ra parte, la variación (Positiva) de </w:t>
      </w:r>
      <w:r w:rsidRPr="00A731C2">
        <w:rPr>
          <w:rFonts w:ascii="Arial" w:hAnsi="Arial" w:cs="Arial"/>
          <w:lang w:eastAsia="es-CR"/>
        </w:rPr>
        <w:t>₡</w:t>
      </w:r>
      <w:r w:rsidR="00A731C2" w:rsidRPr="00A731C2">
        <w:rPr>
          <w:rFonts w:ascii="Arial" w:hAnsi="Arial" w:cs="Arial"/>
          <w:lang w:eastAsia="es-CR"/>
        </w:rPr>
        <w:t>651 562,66</w:t>
      </w:r>
      <w:r w:rsidR="00A731C2" w:rsidRPr="00A731C2">
        <w:rPr>
          <w:lang w:eastAsia="es-CR"/>
        </w:rPr>
        <w:t xml:space="preserve"> mil se debe principalmente</w:t>
      </w:r>
      <w:r w:rsidRPr="00A731C2">
        <w:rPr>
          <w:lang w:eastAsia="es-CR"/>
        </w:rPr>
        <w:t xml:space="preserve"> a </w:t>
      </w:r>
      <w:r w:rsidR="00A731C2" w:rsidRPr="00A731C2">
        <w:rPr>
          <w:lang w:eastAsia="es-CR"/>
        </w:rPr>
        <w:t>los aumentos</w:t>
      </w:r>
      <w:r w:rsidR="0085027D" w:rsidRPr="00A731C2">
        <w:rPr>
          <w:lang w:eastAsia="es-CR"/>
        </w:rPr>
        <w:t xml:space="preserve"> de </w:t>
      </w:r>
      <w:r w:rsidRPr="00A731C2">
        <w:rPr>
          <w:rFonts w:ascii="Arial" w:hAnsi="Arial" w:cs="Arial"/>
          <w:lang w:eastAsia="es-CR"/>
        </w:rPr>
        <w:t>₡</w:t>
      </w:r>
      <w:r w:rsidR="0085027D" w:rsidRPr="00A731C2">
        <w:rPr>
          <w:rFonts w:ascii="Arial" w:hAnsi="Arial" w:cs="Arial"/>
          <w:lang w:eastAsia="es-CR"/>
        </w:rPr>
        <w:t>161 081,56</w:t>
      </w:r>
      <w:r w:rsidRPr="00A731C2">
        <w:rPr>
          <w:lang w:eastAsia="es-CR"/>
        </w:rPr>
        <w:t xml:space="preserve"> miles en la cuenta </w:t>
      </w:r>
      <w:r w:rsidR="00A731C2" w:rsidRPr="00A731C2">
        <w:rPr>
          <w:lang w:eastAsia="es-CR"/>
        </w:rPr>
        <w:t>73900011460311018 (8114 CTA CAJA UNICA ESTADO)</w:t>
      </w:r>
      <w:r w:rsidRPr="00A731C2">
        <w:rPr>
          <w:lang w:eastAsia="es-CR"/>
        </w:rPr>
        <w:t xml:space="preserve">; </w:t>
      </w:r>
      <w:r w:rsidR="00A731C2" w:rsidRPr="00A731C2">
        <w:rPr>
          <w:lang w:eastAsia="es-CR"/>
        </w:rPr>
        <w:t>CR 4073911360310078288 Préstamo I</w:t>
      </w:r>
      <w:r w:rsidR="00773A10">
        <w:rPr>
          <w:lang w:eastAsia="es-CR"/>
        </w:rPr>
        <w:t>FAM</w:t>
      </w:r>
      <w:r w:rsidR="00A731C2" w:rsidRPr="00A731C2">
        <w:rPr>
          <w:lang w:eastAsia="es-CR"/>
        </w:rPr>
        <w:t xml:space="preserve"> de </w:t>
      </w:r>
      <w:r w:rsidR="008625BB" w:rsidRPr="00A731C2">
        <w:rPr>
          <w:rFonts w:ascii="Arial" w:hAnsi="Arial" w:cs="Arial"/>
          <w:lang w:eastAsia="es-CR"/>
        </w:rPr>
        <w:t>₡495 617,69</w:t>
      </w:r>
      <w:r w:rsidR="008625BB" w:rsidRPr="00A731C2">
        <w:rPr>
          <w:lang w:eastAsia="es-CR"/>
        </w:rPr>
        <w:t xml:space="preserve"> </w:t>
      </w:r>
      <w:r w:rsidR="00773A10">
        <w:rPr>
          <w:lang w:eastAsia="es-CR"/>
        </w:rPr>
        <w:t>y la cuenta</w:t>
      </w:r>
      <w:r w:rsidR="00A731C2" w:rsidRPr="00A731C2">
        <w:rPr>
          <w:lang w:eastAsia="es-CR"/>
        </w:rPr>
        <w:t xml:space="preserve"> CR88073931603100032221 Impuesto al Cemento de </w:t>
      </w:r>
      <w:r w:rsidR="00A731C2" w:rsidRPr="00A731C2">
        <w:rPr>
          <w:rFonts w:ascii="Arial" w:hAnsi="Arial" w:cs="Arial"/>
          <w:lang w:eastAsia="es-CR"/>
        </w:rPr>
        <w:t>₡</w:t>
      </w:r>
      <w:r w:rsidR="008625BB">
        <w:rPr>
          <w:lang w:eastAsia="es-CR"/>
        </w:rPr>
        <w:t>25 652,19</w:t>
      </w:r>
      <w:r w:rsidR="00773A10">
        <w:rPr>
          <w:lang w:eastAsia="es-CR"/>
        </w:rPr>
        <w:t xml:space="preserve"> miles</w:t>
      </w:r>
      <w:r w:rsidRPr="00A731C2">
        <w:rPr>
          <w:lang w:eastAsia="es-CR"/>
        </w:rPr>
        <w:t>; y a las variacio</w:t>
      </w:r>
      <w:r w:rsidR="008625BB">
        <w:rPr>
          <w:lang w:eastAsia="es-CR"/>
        </w:rPr>
        <w:t>nes negativos (disminuciones</w:t>
      </w:r>
      <w:r w:rsidR="00F03B75">
        <w:rPr>
          <w:lang w:eastAsia="es-CR"/>
        </w:rPr>
        <w:t>) en la</w:t>
      </w:r>
      <w:r w:rsidR="00EE344A">
        <w:rPr>
          <w:lang w:eastAsia="es-CR"/>
        </w:rPr>
        <w:t xml:space="preserve"> Cuenta Caja Única del Estado; </w:t>
      </w:r>
      <w:r w:rsidR="00EE344A" w:rsidRPr="00EE344A">
        <w:rPr>
          <w:lang w:eastAsia="es-CR"/>
        </w:rPr>
        <w:t>73900011460301024(LEY 7755 PART.ESP CTA CAJA UNICA ESTADO)</w:t>
      </w:r>
      <w:r w:rsidR="00EE344A">
        <w:rPr>
          <w:lang w:eastAsia="es-CR"/>
        </w:rPr>
        <w:t xml:space="preserve"> -</w:t>
      </w:r>
      <w:r w:rsidRPr="00A731C2">
        <w:rPr>
          <w:rFonts w:ascii="Arial" w:hAnsi="Arial" w:cs="Arial"/>
          <w:lang w:eastAsia="es-CR"/>
        </w:rPr>
        <w:t>₡</w:t>
      </w:r>
      <w:r w:rsidR="00EE344A">
        <w:rPr>
          <w:rFonts w:ascii="Arial" w:hAnsi="Arial" w:cs="Arial"/>
          <w:lang w:eastAsia="es-CR"/>
        </w:rPr>
        <w:t>18 175,95</w:t>
      </w:r>
      <w:r w:rsidR="00EE344A">
        <w:rPr>
          <w:lang w:eastAsia="es-CR"/>
        </w:rPr>
        <w:t xml:space="preserve"> miles y </w:t>
      </w:r>
      <w:r w:rsidR="00EE344A" w:rsidRPr="00EE344A">
        <w:rPr>
          <w:lang w:eastAsia="es-CR"/>
        </w:rPr>
        <w:t>73900011460301030 (CTA GRAL CAJA UNICA DEL ESTADO)</w:t>
      </w:r>
      <w:r w:rsidR="00EE344A">
        <w:rPr>
          <w:lang w:eastAsia="es-CR"/>
        </w:rPr>
        <w:t xml:space="preserve"> -</w:t>
      </w:r>
      <w:r w:rsidR="00EE344A" w:rsidRPr="00A731C2">
        <w:rPr>
          <w:rFonts w:ascii="Arial" w:hAnsi="Arial" w:cs="Arial"/>
          <w:lang w:eastAsia="es-CR"/>
        </w:rPr>
        <w:t>₡</w:t>
      </w:r>
      <w:r w:rsidR="00EE344A">
        <w:rPr>
          <w:rFonts w:ascii="Arial" w:hAnsi="Arial" w:cs="Arial"/>
          <w:lang w:eastAsia="es-CR"/>
        </w:rPr>
        <w:t>13</w:t>
      </w:r>
      <w:r w:rsidR="00F03B75">
        <w:rPr>
          <w:rFonts w:ascii="Arial" w:hAnsi="Arial" w:cs="Arial"/>
          <w:lang w:eastAsia="es-CR"/>
        </w:rPr>
        <w:t> 604,00.</w:t>
      </w:r>
      <w:r w:rsidR="003037C1">
        <w:rPr>
          <w:rFonts w:ascii="Arial" w:hAnsi="Arial" w:cs="Arial"/>
          <w:lang w:eastAsia="es-CR"/>
        </w:rPr>
        <w:t xml:space="preserve"> </w:t>
      </w:r>
      <w:r w:rsidRPr="00A731C2">
        <w:rPr>
          <w:lang w:eastAsia="es-CR"/>
        </w:rPr>
        <w:t xml:space="preserve">Sobre los recursos en Caja Única del Estado la Municipalidad puede disponer de los mismos conforme a la programación para su utilización </w:t>
      </w:r>
      <w:r w:rsidRPr="006546ED">
        <w:rPr>
          <w:lang w:eastAsia="es-CR"/>
        </w:rPr>
        <w:t>existente.</w:t>
      </w:r>
    </w:p>
    <w:p w14:paraId="7BB889CA" w14:textId="04B9F28A" w:rsidR="00966091" w:rsidRDefault="00966091" w:rsidP="00966091">
      <w:pPr>
        <w:pStyle w:val="Prrafodelista"/>
        <w:numPr>
          <w:ilvl w:val="0"/>
          <w:numId w:val="53"/>
        </w:numPr>
        <w:spacing w:line="240" w:lineRule="auto"/>
        <w:rPr>
          <w:lang w:eastAsia="es-CR"/>
        </w:rPr>
      </w:pPr>
      <w:r>
        <w:rPr>
          <w:lang w:eastAsia="es-CR"/>
        </w:rPr>
        <w:t>E</w:t>
      </w:r>
      <w:r w:rsidRPr="00407AA3">
        <w:rPr>
          <w:lang w:eastAsia="es-CR"/>
        </w:rPr>
        <w:t>n</w:t>
      </w:r>
      <w:r>
        <w:rPr>
          <w:lang w:eastAsia="es-CR"/>
        </w:rPr>
        <w:t xml:space="preserve"> relación con</w:t>
      </w:r>
      <w:r w:rsidRPr="00407AA3">
        <w:rPr>
          <w:lang w:eastAsia="es-CR"/>
        </w:rPr>
        <w:t xml:space="preserve"> </w:t>
      </w:r>
      <w:r>
        <w:rPr>
          <w:lang w:eastAsia="es-CR"/>
        </w:rPr>
        <w:t>los Fondos de inversión, se debe señalar que los recursos que se encontraban depositados en el</w:t>
      </w:r>
      <w:r w:rsidRPr="00D009B9">
        <w:rPr>
          <w:lang w:eastAsia="es-CR"/>
        </w:rPr>
        <w:t xml:space="preserve"> Fondo de Inversión en BCR</w:t>
      </w:r>
      <w:r>
        <w:rPr>
          <w:lang w:eastAsia="es-CR"/>
        </w:rPr>
        <w:t xml:space="preserve"> de </w:t>
      </w:r>
      <w:r w:rsidRPr="00966091">
        <w:rPr>
          <w:rFonts w:ascii="Arial" w:hAnsi="Arial" w:cs="Arial"/>
          <w:lang w:eastAsia="es-CR"/>
        </w:rPr>
        <w:t>₡</w:t>
      </w:r>
      <w:r>
        <w:rPr>
          <w:lang w:eastAsia="es-CR"/>
        </w:rPr>
        <w:t>315 194,63 </w:t>
      </w:r>
      <w:r w:rsidR="00982242">
        <w:rPr>
          <w:lang w:eastAsia="es-CR"/>
        </w:rPr>
        <w:t xml:space="preserve">miles, </w:t>
      </w:r>
      <w:r w:rsidRPr="00595BA0">
        <w:rPr>
          <w:lang w:eastAsia="es-CR"/>
        </w:rPr>
        <w:t xml:space="preserve">en la </w:t>
      </w:r>
      <w:r w:rsidRPr="00D009B9">
        <w:rPr>
          <w:lang w:eastAsia="es-CR"/>
        </w:rPr>
        <w:t xml:space="preserve">Sociedad Administradora de Fondos de Inversión S. A. </w:t>
      </w:r>
      <w:r>
        <w:rPr>
          <w:lang w:eastAsia="es-CR"/>
        </w:rPr>
        <w:t>y en el F</w:t>
      </w:r>
      <w:r w:rsidRPr="00D009B9">
        <w:rPr>
          <w:lang w:eastAsia="es-CR"/>
        </w:rPr>
        <w:t>ondo de Inversión en Sociedad Administradora de Fondos de Inversión del BNCR</w:t>
      </w:r>
      <w:r>
        <w:rPr>
          <w:lang w:eastAsia="es-CR"/>
        </w:rPr>
        <w:t xml:space="preserve"> de </w:t>
      </w:r>
      <w:r w:rsidRPr="00966091">
        <w:rPr>
          <w:rFonts w:ascii="Arial" w:hAnsi="Arial" w:cs="Arial"/>
          <w:lang w:eastAsia="es-CR"/>
        </w:rPr>
        <w:t>₡</w:t>
      </w:r>
      <w:r>
        <w:rPr>
          <w:lang w:eastAsia="es-CR"/>
        </w:rPr>
        <w:t>315 192,65</w:t>
      </w:r>
      <w:r w:rsidRPr="00595BA0">
        <w:rPr>
          <w:lang w:eastAsia="es-CR"/>
        </w:rPr>
        <w:t xml:space="preserve"> miles</w:t>
      </w:r>
      <w:r w:rsidRPr="00D009B9">
        <w:rPr>
          <w:lang w:eastAsia="es-CR"/>
        </w:rPr>
        <w:t xml:space="preserve">, </w:t>
      </w:r>
      <w:r>
        <w:rPr>
          <w:lang w:eastAsia="es-CR"/>
        </w:rPr>
        <w:t>fueron depositados en las cuentas corrientes el 23 de diciembre de 2024</w:t>
      </w:r>
      <w:r w:rsidRPr="00D009B9">
        <w:rPr>
          <w:lang w:eastAsia="es-CR"/>
        </w:rPr>
        <w:t>.</w:t>
      </w:r>
    </w:p>
    <w:p w14:paraId="7B9827C5" w14:textId="77777777" w:rsidR="00966091" w:rsidRPr="006546ED" w:rsidRDefault="00966091" w:rsidP="00821232">
      <w:pPr>
        <w:spacing w:line="240" w:lineRule="auto"/>
        <w:ind w:left="426"/>
        <w:rPr>
          <w:lang w:eastAsia="es-CR"/>
        </w:rPr>
      </w:pPr>
    </w:p>
    <w:p w14:paraId="10F21948" w14:textId="77777777" w:rsidR="00821232" w:rsidRDefault="00821232" w:rsidP="00821232">
      <w:pPr>
        <w:spacing w:line="240" w:lineRule="auto"/>
        <w:ind w:left="425"/>
        <w:rPr>
          <w:lang w:eastAsia="es-CR"/>
        </w:rPr>
      </w:pPr>
      <w:r>
        <w:rPr>
          <w:lang w:eastAsia="es-CR"/>
        </w:rPr>
        <w:t>En relación con el efectivo en Fondos de Inversión es pertinente señalar que estos pueden ser utilizado en el momento que la Municipalidad lo disponga avisando a la Sociedad Administradora que corresponda BCR o BNCR con 24 horas de antelación.</w:t>
      </w:r>
    </w:p>
    <w:p w14:paraId="50020FCE" w14:textId="77777777" w:rsidR="00396CB4" w:rsidRPr="00396CB4" w:rsidRDefault="00692DC8" w:rsidP="004526F3">
      <w:pPr>
        <w:spacing w:before="240"/>
        <w:rPr>
          <w:rFonts w:cs="Calibri"/>
          <w:color w:val="000000"/>
          <w:lang w:eastAsia="es-CR"/>
        </w:rPr>
      </w:pPr>
      <w:r w:rsidRPr="00464861">
        <w:rPr>
          <w:b/>
          <w:lang w:val="es-ES" w:eastAsia="es-CR"/>
        </w:rPr>
        <w:t xml:space="preserve">Revelación: </w:t>
      </w:r>
      <w:bookmarkStart w:id="180" w:name="_Hlk99368797"/>
      <w:r w:rsidR="004526F3">
        <w:rPr>
          <w:sz w:val="22"/>
          <w:lang w:eastAsia="es-CR"/>
        </w:rPr>
        <w:fldChar w:fldCharType="begin"/>
      </w:r>
      <w:r w:rsidR="004526F3">
        <w:rPr>
          <w:sz w:val="22"/>
          <w:lang w:eastAsia="es-CR"/>
        </w:rPr>
        <w:instrText xml:space="preserve"> LINK </w:instrText>
      </w:r>
      <w:r w:rsidR="00756467">
        <w:rPr>
          <w:sz w:val="22"/>
          <w:lang w:eastAsia="es-CR"/>
        </w:rPr>
        <w:instrText xml:space="preserve">Excel.SheetMacroEnabled.12 "C:\\Users\\gcordero\\Downloads\\Notas diciembre 2024\\Formato_Notas_EEFF_Vinculadas_2024\\Formato_Notas_EEFF_Vinculadas_2024\\15603_T04_2024_Anexo_Estado_Notas_Contables_Vinculadas.xlsm" NOTAS_POR_CUENTA!F6C8 </w:instrText>
      </w:r>
      <w:r w:rsidR="004526F3">
        <w:rPr>
          <w:sz w:val="22"/>
          <w:lang w:eastAsia="es-CR"/>
        </w:rPr>
        <w:instrText xml:space="preserve">\a \f 5 \h  \* MERGEFORMAT </w:instrText>
      </w:r>
      <w:r w:rsidR="004526F3">
        <w:rPr>
          <w:sz w:val="22"/>
          <w:lang w:eastAsia="es-CR"/>
        </w:rPr>
        <w:fldChar w:fldCharType="separate"/>
      </w:r>
    </w:p>
    <w:p w14:paraId="7752F708" w14:textId="77777777" w:rsidR="00396CB4" w:rsidRPr="00396CB4" w:rsidRDefault="00396CB4" w:rsidP="00396CB4">
      <w:pPr>
        <w:spacing w:before="240"/>
        <w:rPr>
          <w:sz w:val="22"/>
          <w:lang w:eastAsia="es-CR"/>
        </w:rPr>
      </w:pPr>
      <w:r w:rsidRPr="00396CB4">
        <w:rPr>
          <w:sz w:val="22"/>
          <w:lang w:eastAsia="es-CR"/>
        </w:rPr>
        <w:t>La cuenta Efectivo y equivalentes de efectivo, representa el 1,66% del total del Activo, que comparado al periodo anterior genera una variación absoluta de 672 533,75 que corresponde a un Aumento del 31,92% de recursos disponibles.</w:t>
      </w:r>
    </w:p>
    <w:p w14:paraId="32098005" w14:textId="4D246B02" w:rsidR="00692DC8" w:rsidRPr="004526F3" w:rsidRDefault="004526F3" w:rsidP="004526F3">
      <w:pPr>
        <w:spacing w:before="240"/>
        <w:rPr>
          <w:sz w:val="22"/>
          <w:lang w:eastAsia="es-CR"/>
        </w:rPr>
      </w:pPr>
      <w:r>
        <w:rPr>
          <w:sz w:val="22"/>
          <w:lang w:eastAsia="es-CR"/>
        </w:rPr>
        <w:fldChar w:fldCharType="end"/>
      </w:r>
      <w:r w:rsidR="00692DC8" w:rsidRPr="00692DC8">
        <w:rPr>
          <w:sz w:val="22"/>
          <w:highlight w:val="lightGray"/>
          <w:lang w:eastAsia="es-CR"/>
        </w:rPr>
        <w:t>Las variaciones de la cuenta son producto de (Indicar la razón de las variaciones de un periodo a otro</w:t>
      </w:r>
      <w:r w:rsidR="00692DC8" w:rsidRPr="00692DC8">
        <w:rPr>
          <w:highlight w:val="lightGray"/>
          <w:lang w:eastAsia="es-CR"/>
        </w:rPr>
        <w:t>):</w:t>
      </w:r>
      <w:r w:rsidR="00692DC8" w:rsidRPr="00692DC8">
        <w:rPr>
          <w:lang w:eastAsia="es-CR"/>
        </w:rPr>
        <w:t xml:space="preserve"> </w:t>
      </w:r>
      <w:bookmarkStart w:id="181" w:name="_Toc13041027"/>
      <w:bookmarkStart w:id="182" w:name="_Toc14345026"/>
    </w:p>
    <w:bookmarkEnd w:id="180"/>
    <w:p w14:paraId="3D04DEC5" w14:textId="77777777" w:rsidR="00692DC8" w:rsidRPr="00692DC8" w:rsidRDefault="00692DC8" w:rsidP="00464861">
      <w:pPr>
        <w:rPr>
          <w:lang w:eastAsia="es-CR"/>
        </w:rPr>
      </w:pPr>
    </w:p>
    <w:p w14:paraId="7EE2FC30" w14:textId="77777777" w:rsidR="00692DC8" w:rsidRPr="00692DC8" w:rsidRDefault="00692DC8" w:rsidP="00464861">
      <w:pPr>
        <w:pStyle w:val="Ttulo4"/>
        <w:spacing w:after="240"/>
        <w:rPr>
          <w:rFonts w:eastAsia="Times New Roman"/>
          <w:lang w:eastAsia="es-CR"/>
        </w:rPr>
      </w:pPr>
      <w:bookmarkStart w:id="183" w:name="_Toc33601207"/>
      <w:bookmarkStart w:id="184" w:name="_Toc82768908"/>
      <w:bookmarkStart w:id="185" w:name="_Toc189804834"/>
      <w:r w:rsidRPr="00692DC8">
        <w:rPr>
          <w:rFonts w:eastAsia="Times New Roman"/>
          <w:lang w:eastAsia="es-CR"/>
        </w:rPr>
        <w:t>NOTA N° 4</w:t>
      </w:r>
      <w:bookmarkEnd w:id="181"/>
      <w:bookmarkEnd w:id="182"/>
      <w:bookmarkEnd w:id="183"/>
      <w:bookmarkEnd w:id="184"/>
      <w:bookmarkEnd w:id="185"/>
    </w:p>
    <w:p w14:paraId="3D29D5E8" w14:textId="77777777" w:rsidR="00396CB4" w:rsidRDefault="00D57597" w:rsidP="004526F3">
      <w:pPr>
        <w:spacing w:before="240"/>
        <w:rPr>
          <w:rFonts w:asciiTheme="minorHAnsi" w:hAnsiTheme="minorHAnsi"/>
          <w:sz w:val="22"/>
        </w:rPr>
      </w:pPr>
      <w:bookmarkStart w:id="186" w:name="_Toc13041028"/>
      <w:bookmarkStart w:id="187" w:name="_Toc14345027"/>
      <w:bookmarkStart w:id="188" w:name="_Toc33601208"/>
      <w:bookmarkStart w:id="189" w:name="_Toc54546697"/>
      <w:bookmarkStart w:id="190" w:name="_Toc82768909"/>
      <w:r w:rsidRPr="00692DC8">
        <w:rPr>
          <w:rFonts w:eastAsia="Times New Roman"/>
          <w:lang w:eastAsia="es-CR"/>
        </w:rPr>
        <w:t xml:space="preserve">Inversiones </w:t>
      </w:r>
      <w:r>
        <w:rPr>
          <w:rFonts w:eastAsia="Times New Roman"/>
          <w:lang w:eastAsia="es-CR"/>
        </w:rPr>
        <w:t>a</w:t>
      </w:r>
      <w:r w:rsidRPr="00692DC8">
        <w:rPr>
          <w:rFonts w:eastAsia="Times New Roman"/>
          <w:lang w:eastAsia="es-CR"/>
        </w:rPr>
        <w:t xml:space="preserve"> Corto Plazo</w:t>
      </w:r>
      <w:bookmarkStart w:id="191" w:name="_Hlk54705329"/>
      <w:bookmarkStart w:id="192" w:name="_Toc13041034"/>
      <w:bookmarkStart w:id="193" w:name="_Toc14345033"/>
      <w:bookmarkEnd w:id="186"/>
      <w:bookmarkEnd w:id="187"/>
      <w:bookmarkEnd w:id="188"/>
      <w:bookmarkEnd w:id="189"/>
      <w:bookmarkEnd w:id="190"/>
      <w:r w:rsidR="004526F3">
        <w:rPr>
          <w:rFonts w:eastAsiaTheme="majorEastAsia" w:cstheme="majorBidi"/>
          <w:b/>
          <w:iCs/>
          <w:lang w:eastAsia="es-CR"/>
        </w:rPr>
        <w:fldChar w:fldCharType="begin"/>
      </w:r>
      <w:r w:rsidR="004526F3">
        <w:rPr>
          <w:lang w:eastAsia="es-CR"/>
        </w:rPr>
        <w:instrText xml:space="preserve"> LINK </w:instrText>
      </w:r>
      <w:r w:rsidR="00756467">
        <w:rPr>
          <w:lang w:eastAsia="es-CR"/>
        </w:rPr>
        <w:instrText xml:space="preserve">Excel.SheetMacroEnabled.12 "C:\\Users\\gcordero\\Downloads\\Notas diciembre 2024\\Formato_Notas_EEFF_Vinculadas_2024\\Formato_Notas_EEFF_Vinculadas_2024\\15603_T04_2024_Anexo_Estado_Notas_Contables_Vinculadas.xlsm" NOTAS_POR_CUENTA!F8C1:F10C6 </w:instrText>
      </w:r>
      <w:r w:rsidR="004526F3">
        <w:rPr>
          <w:lang w:eastAsia="es-CR"/>
        </w:rPr>
        <w:instrText xml:space="preserve">\a \f 4 \h </w:instrText>
      </w:r>
      <w:r w:rsidR="004526F3">
        <w:rPr>
          <w:lang w:eastAsia="es-CR"/>
        </w:rPr>
        <w:fldChar w:fldCharType="separate"/>
      </w:r>
    </w:p>
    <w:tbl>
      <w:tblPr>
        <w:tblW w:w="9600" w:type="dxa"/>
        <w:tblCellMar>
          <w:left w:w="70" w:type="dxa"/>
          <w:right w:w="70" w:type="dxa"/>
        </w:tblCellMar>
        <w:tblLook w:val="04A0" w:firstRow="1" w:lastRow="0" w:firstColumn="1" w:lastColumn="0" w:noHBand="0" w:noVBand="1"/>
      </w:tblPr>
      <w:tblGrid>
        <w:gridCol w:w="1027"/>
        <w:gridCol w:w="2853"/>
        <w:gridCol w:w="500"/>
        <w:gridCol w:w="2100"/>
        <w:gridCol w:w="2100"/>
        <w:gridCol w:w="1020"/>
      </w:tblGrid>
      <w:tr w:rsidR="00396CB4" w:rsidRPr="00396CB4" w14:paraId="390072AE" w14:textId="77777777" w:rsidTr="00396CB4">
        <w:trPr>
          <w:divId w:val="357396250"/>
          <w:trHeight w:val="330"/>
        </w:trPr>
        <w:tc>
          <w:tcPr>
            <w:tcW w:w="1027"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B08F4FD" w14:textId="4CB7AB0C" w:rsidR="00396CB4" w:rsidRPr="00396CB4" w:rsidRDefault="00396CB4" w:rsidP="00396CB4">
            <w:pPr>
              <w:rPr>
                <w:rFonts w:eastAsia="Times New Roman" w:cs="Calibri"/>
                <w:b/>
                <w:bCs/>
                <w:color w:val="FFFFFF"/>
                <w:sz w:val="18"/>
                <w:szCs w:val="18"/>
                <w:lang w:eastAsia="es-CR"/>
              </w:rPr>
            </w:pPr>
            <w:r w:rsidRPr="00396CB4">
              <w:rPr>
                <w:rFonts w:eastAsia="Times New Roman" w:cs="Calibri"/>
                <w:b/>
                <w:bCs/>
                <w:color w:val="FFFFFF"/>
                <w:sz w:val="18"/>
                <w:szCs w:val="18"/>
                <w:lang w:eastAsia="es-CR"/>
              </w:rPr>
              <w:lastRenderedPageBreak/>
              <w:t xml:space="preserve">Cuenta </w:t>
            </w:r>
          </w:p>
        </w:tc>
        <w:tc>
          <w:tcPr>
            <w:tcW w:w="2853"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1AB6428"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72E08A2"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C0DE7E0"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C854F9F"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114C5909"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5F78CBB2" w14:textId="77777777" w:rsidTr="00396CB4">
        <w:trPr>
          <w:divId w:val="357396250"/>
          <w:trHeight w:val="330"/>
        </w:trPr>
        <w:tc>
          <w:tcPr>
            <w:tcW w:w="1027" w:type="dxa"/>
            <w:vMerge/>
            <w:tcBorders>
              <w:top w:val="single" w:sz="8" w:space="0" w:color="auto"/>
              <w:left w:val="single" w:sz="8" w:space="0" w:color="auto"/>
              <w:bottom w:val="single" w:sz="8" w:space="0" w:color="000000"/>
              <w:right w:val="single" w:sz="8" w:space="0" w:color="auto"/>
            </w:tcBorders>
            <w:vAlign w:val="center"/>
            <w:hideMark/>
          </w:tcPr>
          <w:p w14:paraId="613C50D4"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853" w:type="dxa"/>
            <w:vMerge/>
            <w:tcBorders>
              <w:top w:val="single" w:sz="8" w:space="0" w:color="auto"/>
              <w:left w:val="single" w:sz="8" w:space="0" w:color="auto"/>
              <w:bottom w:val="single" w:sz="8" w:space="0" w:color="000000"/>
              <w:right w:val="single" w:sz="8" w:space="0" w:color="auto"/>
            </w:tcBorders>
            <w:vAlign w:val="center"/>
            <w:hideMark/>
          </w:tcPr>
          <w:p w14:paraId="61F5CA20"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2D582A28"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2A561607"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4397C7AF"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30D466CE"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280E6EA6" w14:textId="77777777" w:rsidTr="00396CB4">
        <w:trPr>
          <w:divId w:val="357396250"/>
          <w:trHeight w:val="330"/>
        </w:trPr>
        <w:tc>
          <w:tcPr>
            <w:tcW w:w="1027" w:type="dxa"/>
            <w:tcBorders>
              <w:top w:val="nil"/>
              <w:left w:val="single" w:sz="8" w:space="0" w:color="auto"/>
              <w:bottom w:val="single" w:sz="8" w:space="0" w:color="auto"/>
              <w:right w:val="single" w:sz="8" w:space="0" w:color="auto"/>
            </w:tcBorders>
            <w:shd w:val="clear" w:color="auto" w:fill="auto"/>
            <w:noWrap/>
            <w:vAlign w:val="center"/>
            <w:hideMark/>
          </w:tcPr>
          <w:p w14:paraId="382B43DB"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1.1.2.</w:t>
            </w:r>
          </w:p>
        </w:tc>
        <w:tc>
          <w:tcPr>
            <w:tcW w:w="2853" w:type="dxa"/>
            <w:tcBorders>
              <w:top w:val="nil"/>
              <w:left w:val="nil"/>
              <w:bottom w:val="single" w:sz="8" w:space="0" w:color="auto"/>
              <w:right w:val="single" w:sz="8" w:space="0" w:color="auto"/>
            </w:tcBorders>
            <w:shd w:val="clear" w:color="auto" w:fill="auto"/>
            <w:vAlign w:val="center"/>
            <w:hideMark/>
          </w:tcPr>
          <w:p w14:paraId="6ED6FA61"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Inversiones a corto plazo</w:t>
            </w:r>
          </w:p>
        </w:tc>
        <w:tc>
          <w:tcPr>
            <w:tcW w:w="500" w:type="dxa"/>
            <w:tcBorders>
              <w:top w:val="nil"/>
              <w:left w:val="nil"/>
              <w:bottom w:val="single" w:sz="8" w:space="0" w:color="auto"/>
              <w:right w:val="single" w:sz="8" w:space="0" w:color="auto"/>
            </w:tcBorders>
            <w:shd w:val="clear" w:color="auto" w:fill="auto"/>
            <w:noWrap/>
            <w:vAlign w:val="center"/>
            <w:hideMark/>
          </w:tcPr>
          <w:p w14:paraId="48504290"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04</w:t>
            </w:r>
          </w:p>
        </w:tc>
        <w:tc>
          <w:tcPr>
            <w:tcW w:w="2100" w:type="dxa"/>
            <w:tcBorders>
              <w:top w:val="nil"/>
              <w:left w:val="nil"/>
              <w:bottom w:val="single" w:sz="8" w:space="0" w:color="auto"/>
              <w:right w:val="single" w:sz="8" w:space="0" w:color="auto"/>
            </w:tcBorders>
            <w:shd w:val="clear" w:color="auto" w:fill="auto"/>
            <w:noWrap/>
            <w:vAlign w:val="center"/>
            <w:hideMark/>
          </w:tcPr>
          <w:p w14:paraId="4A167ABC"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2100" w:type="dxa"/>
            <w:tcBorders>
              <w:top w:val="nil"/>
              <w:left w:val="nil"/>
              <w:bottom w:val="single" w:sz="8" w:space="0" w:color="auto"/>
              <w:right w:val="single" w:sz="8" w:space="0" w:color="auto"/>
            </w:tcBorders>
            <w:shd w:val="clear" w:color="auto" w:fill="auto"/>
            <w:noWrap/>
            <w:vAlign w:val="center"/>
            <w:hideMark/>
          </w:tcPr>
          <w:p w14:paraId="5B6F51C4"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1020" w:type="dxa"/>
            <w:tcBorders>
              <w:top w:val="nil"/>
              <w:left w:val="nil"/>
              <w:bottom w:val="single" w:sz="8" w:space="0" w:color="auto"/>
              <w:right w:val="single" w:sz="8" w:space="0" w:color="auto"/>
            </w:tcBorders>
            <w:shd w:val="clear" w:color="auto" w:fill="auto"/>
            <w:noWrap/>
            <w:vAlign w:val="center"/>
            <w:hideMark/>
          </w:tcPr>
          <w:p w14:paraId="58A0B361"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0,00%</w:t>
            </w:r>
          </w:p>
        </w:tc>
      </w:tr>
    </w:tbl>
    <w:p w14:paraId="6DAA624D" w14:textId="03FD3847" w:rsidR="007E32A7" w:rsidRDefault="004526F3" w:rsidP="004526F3">
      <w:pPr>
        <w:spacing w:before="240"/>
        <w:rPr>
          <w:lang w:eastAsia="es-CR"/>
        </w:rPr>
      </w:pPr>
      <w:r>
        <w:rPr>
          <w:lang w:eastAsia="es-CR"/>
        </w:rPr>
        <w:fldChar w:fldCharType="end"/>
      </w:r>
    </w:p>
    <w:p w14:paraId="09F88F45" w14:textId="24CD28FE" w:rsidR="00396CB4" w:rsidRPr="00396CB4" w:rsidRDefault="00692DC8" w:rsidP="004526F3">
      <w:pPr>
        <w:spacing w:before="240"/>
        <w:rPr>
          <w:b/>
          <w:lang w:val="es-ES" w:eastAsia="es-CR"/>
        </w:rPr>
      </w:pPr>
      <w:r w:rsidRPr="00464861">
        <w:rPr>
          <w:b/>
          <w:lang w:val="es-ES" w:eastAsia="es-CR"/>
        </w:rPr>
        <w:t xml:space="preserve">Revelación: </w:t>
      </w:r>
      <w:r w:rsidR="004526F3">
        <w:rPr>
          <w:lang w:eastAsia="es-CR"/>
        </w:rPr>
        <w:fldChar w:fldCharType="begin"/>
      </w:r>
      <w:r w:rsidR="004526F3">
        <w:rPr>
          <w:lang w:eastAsia="es-CR"/>
        </w:rPr>
        <w:instrText xml:space="preserve"> LINK </w:instrText>
      </w:r>
      <w:r w:rsidR="00756467">
        <w:rPr>
          <w:lang w:eastAsia="es-CR"/>
        </w:rPr>
        <w:instrText xml:space="preserve">Excel.SheetMacroEnabled.12 "C:\\Users\\gcordero\\Downloads\\Notas diciembre 2024\\Formato_Notas_EEFF_Vinculadas_2024\\Formato_Notas_EEFF_Vinculadas_2024\\15603_T04_2024_Anexo_Estado_Notas_Contables_Vinculadas.xlsm" NOTAS_POR_CUENTA!F10C8 </w:instrText>
      </w:r>
      <w:r w:rsidR="004526F3">
        <w:rPr>
          <w:lang w:eastAsia="es-CR"/>
        </w:rPr>
        <w:instrText xml:space="preserve">\a \f 5 \h  \* MERGEFORMAT </w:instrText>
      </w:r>
      <w:r w:rsidR="004526F3">
        <w:rPr>
          <w:lang w:eastAsia="es-CR"/>
        </w:rPr>
        <w:fldChar w:fldCharType="separate"/>
      </w:r>
    </w:p>
    <w:p w14:paraId="58C6E25A" w14:textId="77777777" w:rsidR="00396CB4" w:rsidRPr="00396CB4" w:rsidRDefault="00396CB4" w:rsidP="00396CB4">
      <w:pPr>
        <w:spacing w:before="240"/>
        <w:rPr>
          <w:lang w:eastAsia="es-CR"/>
        </w:rPr>
      </w:pPr>
      <w:r w:rsidRPr="00396CB4">
        <w:rPr>
          <w:lang w:eastAsia="es-CR"/>
        </w:rPr>
        <w:t>La cuenta Inversiones a corto plazo, representa el 0,00% del total del Activo, que comparado al periodo anterior genera una variación absoluta de 0 000,00 que corresponde a un Aumento del 0,00% de recursos disponibles.</w:t>
      </w:r>
    </w:p>
    <w:p w14:paraId="74117F13" w14:textId="6EE7D2BA" w:rsidR="00D57597" w:rsidRPr="004526F3" w:rsidRDefault="004526F3" w:rsidP="004526F3">
      <w:pPr>
        <w:spacing w:before="240"/>
        <w:rPr>
          <w:lang w:eastAsia="es-CR"/>
        </w:rPr>
      </w:pPr>
      <w:r>
        <w:rPr>
          <w:lang w:eastAsia="es-CR"/>
        </w:rPr>
        <w:fldChar w:fldCharType="end"/>
      </w:r>
      <w:bookmarkStart w:id="194" w:name="_Hlk99304439"/>
      <w:r w:rsidR="00692DC8" w:rsidRPr="00692DC8">
        <w:rPr>
          <w:szCs w:val="24"/>
          <w:highlight w:val="lightGray"/>
          <w:lang w:eastAsia="es-CR"/>
        </w:rPr>
        <w:t>Las variaciones de la cuenta son producto de (Indicar la razón de las variaciones de un periodo a otro):</w:t>
      </w:r>
      <w:r w:rsidR="00692DC8" w:rsidRPr="00692DC8">
        <w:rPr>
          <w:szCs w:val="24"/>
          <w:lang w:eastAsia="es-CR"/>
        </w:rPr>
        <w:t xml:space="preserve"> </w:t>
      </w:r>
      <w:bookmarkEnd w:id="191"/>
      <w:bookmarkEnd w:id="194"/>
    </w:p>
    <w:p w14:paraId="6B64E308" w14:textId="77777777" w:rsidR="00692DC8" w:rsidRPr="00464861" w:rsidRDefault="00692DC8" w:rsidP="00464861">
      <w:pPr>
        <w:pStyle w:val="Ttulo4"/>
        <w:spacing w:after="240"/>
      </w:pPr>
      <w:bookmarkStart w:id="195" w:name="_Toc33601209"/>
      <w:bookmarkStart w:id="196" w:name="_Toc82768910"/>
      <w:bookmarkStart w:id="197" w:name="_Toc189804835"/>
      <w:r w:rsidRPr="00464861">
        <w:t>NOTA N° 5</w:t>
      </w:r>
      <w:bookmarkEnd w:id="192"/>
      <w:bookmarkEnd w:id="193"/>
      <w:bookmarkEnd w:id="195"/>
      <w:bookmarkEnd w:id="196"/>
      <w:bookmarkEnd w:id="197"/>
    </w:p>
    <w:p w14:paraId="0ACDDDB7" w14:textId="77777777" w:rsidR="00396CB4" w:rsidRDefault="00D57597" w:rsidP="00FF374B">
      <w:pPr>
        <w:spacing w:before="240"/>
        <w:rPr>
          <w:rFonts w:asciiTheme="minorHAnsi" w:hAnsiTheme="minorHAnsi"/>
          <w:sz w:val="22"/>
        </w:rPr>
      </w:pPr>
      <w:bookmarkStart w:id="198" w:name="_Toc13041035"/>
      <w:bookmarkStart w:id="199" w:name="_Toc14345034"/>
      <w:bookmarkStart w:id="200" w:name="_Toc33601210"/>
      <w:bookmarkStart w:id="201" w:name="_Toc54546700"/>
      <w:bookmarkStart w:id="202" w:name="_Toc82768911"/>
      <w:r w:rsidRPr="00464861">
        <w:t xml:space="preserve">Cuentas </w:t>
      </w:r>
      <w:r>
        <w:t>a</w:t>
      </w:r>
      <w:r w:rsidRPr="00464861">
        <w:t xml:space="preserve"> Cobrar Corto Plazo</w:t>
      </w:r>
      <w:bookmarkEnd w:id="198"/>
      <w:bookmarkEnd w:id="199"/>
      <w:bookmarkEnd w:id="200"/>
      <w:bookmarkEnd w:id="201"/>
      <w:bookmarkEnd w:id="202"/>
      <w:r w:rsidR="00FF374B">
        <w:rPr>
          <w:rFonts w:eastAsiaTheme="majorEastAsia" w:cstheme="majorBidi"/>
          <w:b/>
          <w:iCs/>
        </w:rPr>
        <w:fldChar w:fldCharType="begin"/>
      </w:r>
      <w:r w:rsidR="00FF374B">
        <w:instrText xml:space="preserve"> LINK </w:instrText>
      </w:r>
      <w:r w:rsidR="00756467">
        <w:instrText xml:space="preserve">Excel.SheetMacroEnabled.12 "C:\\Users\\gcordero\\Downloads\\Notas diciembre 2024\\Formato_Notas_EEFF_Vinculadas_2024\\Formato_Notas_EEFF_Vinculadas_2024\\15603_T04_2024_Anexo_Estado_Notas_Contables_Vinculadas.xlsm" NOTAS_POR_CUENTA!F12C1:F14C6 </w:instrText>
      </w:r>
      <w:r w:rsidR="00FF374B">
        <w:instrText xml:space="preserve">\a \f 4 \h </w:instrText>
      </w:r>
      <w:r w:rsidR="00FF374B">
        <w:fldChar w:fldCharType="separate"/>
      </w:r>
    </w:p>
    <w:tbl>
      <w:tblPr>
        <w:tblW w:w="9600" w:type="dxa"/>
        <w:tblCellMar>
          <w:left w:w="70" w:type="dxa"/>
          <w:right w:w="70" w:type="dxa"/>
        </w:tblCellMar>
        <w:tblLook w:val="04A0" w:firstRow="1" w:lastRow="0" w:firstColumn="1" w:lastColumn="0" w:noHBand="0" w:noVBand="1"/>
      </w:tblPr>
      <w:tblGrid>
        <w:gridCol w:w="1013"/>
        <w:gridCol w:w="2867"/>
        <w:gridCol w:w="500"/>
        <w:gridCol w:w="2100"/>
        <w:gridCol w:w="2100"/>
        <w:gridCol w:w="1020"/>
      </w:tblGrid>
      <w:tr w:rsidR="00396CB4" w:rsidRPr="00396CB4" w14:paraId="050FD435" w14:textId="77777777" w:rsidTr="00396CB4">
        <w:trPr>
          <w:divId w:val="1003632210"/>
          <w:trHeight w:val="330"/>
        </w:trPr>
        <w:tc>
          <w:tcPr>
            <w:tcW w:w="1013"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246D18F" w14:textId="2200912B" w:rsidR="00396CB4" w:rsidRPr="00396CB4" w:rsidRDefault="00396CB4" w:rsidP="00396CB4">
            <w:pP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2867"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1E2182A"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9C5EC77"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90D3653"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AE9BE41"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5434B4FB"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734186E5" w14:textId="77777777" w:rsidTr="00396CB4">
        <w:trPr>
          <w:divId w:val="1003632210"/>
          <w:trHeight w:val="330"/>
        </w:trPr>
        <w:tc>
          <w:tcPr>
            <w:tcW w:w="1013" w:type="dxa"/>
            <w:vMerge/>
            <w:tcBorders>
              <w:top w:val="single" w:sz="8" w:space="0" w:color="auto"/>
              <w:left w:val="single" w:sz="8" w:space="0" w:color="auto"/>
              <w:bottom w:val="single" w:sz="8" w:space="0" w:color="000000"/>
              <w:right w:val="single" w:sz="8" w:space="0" w:color="auto"/>
            </w:tcBorders>
            <w:vAlign w:val="center"/>
            <w:hideMark/>
          </w:tcPr>
          <w:p w14:paraId="4B4CB29F"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867" w:type="dxa"/>
            <w:vMerge/>
            <w:tcBorders>
              <w:top w:val="single" w:sz="8" w:space="0" w:color="auto"/>
              <w:left w:val="single" w:sz="8" w:space="0" w:color="auto"/>
              <w:bottom w:val="single" w:sz="8" w:space="0" w:color="000000"/>
              <w:right w:val="single" w:sz="8" w:space="0" w:color="auto"/>
            </w:tcBorders>
            <w:vAlign w:val="center"/>
            <w:hideMark/>
          </w:tcPr>
          <w:p w14:paraId="586D4E89"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746AB043"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3BF8FA05"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599C5912"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5E11FDC6"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58B48FE1" w14:textId="77777777" w:rsidTr="004A14BB">
        <w:trPr>
          <w:divId w:val="1003632210"/>
          <w:trHeight w:val="310"/>
        </w:trPr>
        <w:tc>
          <w:tcPr>
            <w:tcW w:w="1013" w:type="dxa"/>
            <w:tcBorders>
              <w:top w:val="nil"/>
              <w:left w:val="single" w:sz="8" w:space="0" w:color="auto"/>
              <w:bottom w:val="single" w:sz="8" w:space="0" w:color="auto"/>
              <w:right w:val="single" w:sz="8" w:space="0" w:color="auto"/>
            </w:tcBorders>
            <w:shd w:val="clear" w:color="auto" w:fill="auto"/>
            <w:noWrap/>
            <w:vAlign w:val="center"/>
            <w:hideMark/>
          </w:tcPr>
          <w:p w14:paraId="33E0E399"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1.1.3.</w:t>
            </w:r>
          </w:p>
        </w:tc>
        <w:tc>
          <w:tcPr>
            <w:tcW w:w="2867" w:type="dxa"/>
            <w:tcBorders>
              <w:top w:val="nil"/>
              <w:left w:val="nil"/>
              <w:bottom w:val="single" w:sz="8" w:space="0" w:color="auto"/>
              <w:right w:val="single" w:sz="8" w:space="0" w:color="auto"/>
            </w:tcBorders>
            <w:shd w:val="clear" w:color="auto" w:fill="auto"/>
            <w:vAlign w:val="center"/>
            <w:hideMark/>
          </w:tcPr>
          <w:p w14:paraId="55882758" w14:textId="539BF475" w:rsidR="00396CB4" w:rsidRPr="00396CB4" w:rsidRDefault="004A14BB"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Cuentas por cobrar</w:t>
            </w:r>
            <w:r w:rsidR="00396CB4" w:rsidRPr="00396CB4">
              <w:rPr>
                <w:rFonts w:eastAsia="Times New Roman" w:cs="Calibri"/>
                <w:b/>
                <w:bCs/>
                <w:color w:val="000000"/>
                <w:sz w:val="18"/>
                <w:szCs w:val="18"/>
                <w:lang w:eastAsia="es-CR"/>
              </w:rPr>
              <w:t xml:space="preserve"> a corto plazo</w:t>
            </w:r>
          </w:p>
        </w:tc>
        <w:tc>
          <w:tcPr>
            <w:tcW w:w="500" w:type="dxa"/>
            <w:tcBorders>
              <w:top w:val="nil"/>
              <w:left w:val="nil"/>
              <w:bottom w:val="single" w:sz="8" w:space="0" w:color="auto"/>
              <w:right w:val="single" w:sz="8" w:space="0" w:color="auto"/>
            </w:tcBorders>
            <w:shd w:val="clear" w:color="auto" w:fill="auto"/>
            <w:noWrap/>
            <w:vAlign w:val="center"/>
            <w:hideMark/>
          </w:tcPr>
          <w:p w14:paraId="635A2EBD"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05</w:t>
            </w:r>
          </w:p>
        </w:tc>
        <w:tc>
          <w:tcPr>
            <w:tcW w:w="2100" w:type="dxa"/>
            <w:tcBorders>
              <w:top w:val="nil"/>
              <w:left w:val="nil"/>
              <w:bottom w:val="single" w:sz="8" w:space="0" w:color="auto"/>
              <w:right w:val="single" w:sz="8" w:space="0" w:color="auto"/>
            </w:tcBorders>
            <w:shd w:val="clear" w:color="auto" w:fill="auto"/>
            <w:noWrap/>
            <w:vAlign w:val="center"/>
            <w:hideMark/>
          </w:tcPr>
          <w:p w14:paraId="15BFE559" w14:textId="30310E0F" w:rsidR="00396CB4" w:rsidRPr="004A14BB" w:rsidRDefault="004A14BB" w:rsidP="004A14BB">
            <w:pPr>
              <w:spacing w:line="240" w:lineRule="auto"/>
              <w:jc w:val="center"/>
              <w:rPr>
                <w:rFonts w:ascii="Arial" w:hAnsi="Arial" w:cs="Arial"/>
                <w:b/>
                <w:bCs/>
                <w:color w:val="000000"/>
                <w:sz w:val="18"/>
                <w:szCs w:val="18"/>
              </w:rPr>
            </w:pPr>
            <w:r w:rsidRPr="004A14BB">
              <w:rPr>
                <w:rFonts w:ascii="Arial" w:hAnsi="Arial" w:cs="Arial"/>
                <w:b/>
                <w:bCs/>
                <w:color w:val="000000"/>
                <w:sz w:val="18"/>
                <w:szCs w:val="18"/>
              </w:rPr>
              <w:t>₡789 317,39</w:t>
            </w:r>
          </w:p>
        </w:tc>
        <w:tc>
          <w:tcPr>
            <w:tcW w:w="2100" w:type="dxa"/>
            <w:tcBorders>
              <w:top w:val="nil"/>
              <w:left w:val="nil"/>
              <w:bottom w:val="single" w:sz="8" w:space="0" w:color="auto"/>
              <w:right w:val="single" w:sz="8" w:space="0" w:color="auto"/>
            </w:tcBorders>
            <w:shd w:val="clear" w:color="auto" w:fill="auto"/>
            <w:noWrap/>
            <w:vAlign w:val="center"/>
            <w:hideMark/>
          </w:tcPr>
          <w:p w14:paraId="7DCE5541" w14:textId="1A5CAE2A" w:rsidR="00396CB4" w:rsidRPr="004A14BB" w:rsidRDefault="004A14BB" w:rsidP="004A14BB">
            <w:pPr>
              <w:spacing w:line="240" w:lineRule="auto"/>
              <w:jc w:val="center"/>
              <w:rPr>
                <w:rFonts w:cs="Calibri"/>
                <w:b/>
                <w:bCs/>
                <w:color w:val="000000"/>
                <w:sz w:val="18"/>
                <w:szCs w:val="18"/>
              </w:rPr>
            </w:pPr>
            <w:r>
              <w:rPr>
                <w:rFonts w:ascii="Arial" w:hAnsi="Arial" w:cs="Arial"/>
                <w:b/>
                <w:bCs/>
                <w:color w:val="000000"/>
                <w:sz w:val="18"/>
                <w:szCs w:val="18"/>
              </w:rPr>
              <w:t>₡</w:t>
            </w:r>
            <w:r>
              <w:rPr>
                <w:rFonts w:cs="Calibri"/>
                <w:b/>
                <w:bCs/>
                <w:color w:val="000000"/>
                <w:sz w:val="18"/>
                <w:szCs w:val="18"/>
              </w:rPr>
              <w:t>495 942,44</w:t>
            </w:r>
          </w:p>
        </w:tc>
        <w:tc>
          <w:tcPr>
            <w:tcW w:w="1020" w:type="dxa"/>
            <w:tcBorders>
              <w:top w:val="nil"/>
              <w:left w:val="nil"/>
              <w:bottom w:val="single" w:sz="8" w:space="0" w:color="auto"/>
              <w:right w:val="single" w:sz="8" w:space="0" w:color="auto"/>
            </w:tcBorders>
            <w:shd w:val="clear" w:color="auto" w:fill="auto"/>
            <w:noWrap/>
            <w:vAlign w:val="center"/>
            <w:hideMark/>
          </w:tcPr>
          <w:p w14:paraId="6FA99B37" w14:textId="6F8CB276" w:rsidR="00396CB4" w:rsidRPr="00396CB4" w:rsidRDefault="004A14BB" w:rsidP="004A14BB">
            <w:pPr>
              <w:spacing w:after="0" w:line="240" w:lineRule="auto"/>
              <w:jc w:val="center"/>
              <w:rPr>
                <w:rFonts w:eastAsia="Times New Roman" w:cs="Calibri"/>
                <w:b/>
                <w:bCs/>
                <w:color w:val="000000"/>
                <w:sz w:val="18"/>
                <w:szCs w:val="18"/>
                <w:lang w:eastAsia="es-CR"/>
              </w:rPr>
            </w:pPr>
            <w:r w:rsidRPr="004A14BB">
              <w:rPr>
                <w:rFonts w:eastAsia="Times New Roman" w:cs="Calibri"/>
                <w:b/>
                <w:bCs/>
                <w:color w:val="000000"/>
                <w:sz w:val="18"/>
                <w:szCs w:val="18"/>
                <w:lang w:eastAsia="es-CR"/>
              </w:rPr>
              <w:t>59,16%</w:t>
            </w:r>
          </w:p>
        </w:tc>
      </w:tr>
    </w:tbl>
    <w:p w14:paraId="4ECCA20D" w14:textId="7CED7229" w:rsidR="00692DC8" w:rsidRPr="00FF374B" w:rsidRDefault="00FF374B" w:rsidP="00FF374B">
      <w:pPr>
        <w:spacing w:before="240"/>
      </w:pPr>
      <w:r>
        <w:fldChar w:fldCharType="end"/>
      </w:r>
      <w:r w:rsidR="00692DC8" w:rsidRPr="00692DC8">
        <w:rPr>
          <w:rFonts w:eastAsia="Times New Roman"/>
          <w:color w:val="000000"/>
          <w:szCs w:val="24"/>
          <w:lang w:val="es-ES" w:eastAsia="es-ES"/>
        </w:rPr>
        <w:t>Detalle</w:t>
      </w:r>
      <w:r w:rsidR="00692DC8" w:rsidRPr="00692DC8">
        <w:rPr>
          <w:rFonts w:ascii="Times New Roman" w:eastAsia="Times New Roman" w:hAnsi="Times New Roman"/>
          <w:szCs w:val="24"/>
          <w:lang w:eastAsia="es-CR"/>
        </w:rPr>
        <w:t xml:space="preserve"> </w:t>
      </w:r>
      <w:r w:rsidR="00692DC8" w:rsidRPr="00692DC8">
        <w:rPr>
          <w:rFonts w:eastAsia="Times New Roman"/>
          <w:color w:val="000000"/>
          <w:szCs w:val="24"/>
          <w:lang w:val="es-ES" w:eastAsia="es-ES"/>
        </w:rPr>
        <w:t>cuentas Transferencias del sector público interno a cobrar c/p</w:t>
      </w:r>
    </w:p>
    <w:tbl>
      <w:tblPr>
        <w:tblW w:w="4380" w:type="dxa"/>
        <w:tblInd w:w="-10" w:type="dxa"/>
        <w:tblCellMar>
          <w:left w:w="70" w:type="dxa"/>
          <w:right w:w="70" w:type="dxa"/>
        </w:tblCellMar>
        <w:tblLook w:val="04A0" w:firstRow="1" w:lastRow="0" w:firstColumn="1" w:lastColumn="0" w:noHBand="0" w:noVBand="1"/>
      </w:tblPr>
      <w:tblGrid>
        <w:gridCol w:w="1240"/>
        <w:gridCol w:w="3140"/>
      </w:tblGrid>
      <w:tr w:rsidR="00FF374B" w:rsidRPr="00FF374B" w14:paraId="1B757839" w14:textId="77777777" w:rsidTr="00FF374B">
        <w:trPr>
          <w:trHeight w:val="288"/>
        </w:trPr>
        <w:tc>
          <w:tcPr>
            <w:tcW w:w="1240" w:type="dxa"/>
            <w:tcBorders>
              <w:top w:val="single" w:sz="8" w:space="0" w:color="auto"/>
              <w:left w:val="single" w:sz="8" w:space="0" w:color="auto"/>
              <w:bottom w:val="nil"/>
              <w:right w:val="single" w:sz="8" w:space="0" w:color="auto"/>
            </w:tcBorders>
            <w:shd w:val="clear" w:color="000000" w:fill="366092"/>
            <w:noWrap/>
            <w:vAlign w:val="center"/>
            <w:hideMark/>
          </w:tcPr>
          <w:p w14:paraId="7C3B5AD3" w14:textId="77777777" w:rsidR="00FF374B" w:rsidRPr="00FF374B" w:rsidRDefault="00FF374B" w:rsidP="00FF374B">
            <w:pPr>
              <w:spacing w:after="0" w:line="240" w:lineRule="auto"/>
              <w:rPr>
                <w:rFonts w:eastAsia="Times New Roman" w:cs="Calibri"/>
                <w:b/>
                <w:bCs/>
                <w:color w:val="FFFFFF"/>
                <w:sz w:val="18"/>
                <w:szCs w:val="18"/>
                <w:lang w:eastAsia="es-CR"/>
              </w:rPr>
            </w:pPr>
            <w:r w:rsidRPr="00FF374B">
              <w:rPr>
                <w:rFonts w:eastAsia="Times New Roman" w:cs="Calibri"/>
                <w:b/>
                <w:bCs/>
                <w:color w:val="FFFFFF"/>
                <w:sz w:val="18"/>
                <w:szCs w:val="18"/>
                <w:lang w:eastAsia="es-CR"/>
              </w:rPr>
              <w:t xml:space="preserve">Cuenta </w:t>
            </w:r>
          </w:p>
        </w:tc>
        <w:tc>
          <w:tcPr>
            <w:tcW w:w="3140" w:type="dxa"/>
            <w:tcBorders>
              <w:top w:val="single" w:sz="8" w:space="0" w:color="auto"/>
              <w:left w:val="nil"/>
              <w:bottom w:val="nil"/>
              <w:right w:val="single" w:sz="8" w:space="0" w:color="auto"/>
            </w:tcBorders>
            <w:shd w:val="clear" w:color="000000" w:fill="366092"/>
            <w:vAlign w:val="center"/>
            <w:hideMark/>
          </w:tcPr>
          <w:p w14:paraId="0C184E03" w14:textId="77777777" w:rsidR="00FF374B" w:rsidRPr="00FF374B" w:rsidRDefault="00FF374B" w:rsidP="00FF374B">
            <w:pPr>
              <w:spacing w:after="0" w:line="240" w:lineRule="auto"/>
              <w:jc w:val="center"/>
              <w:rPr>
                <w:rFonts w:eastAsia="Times New Roman" w:cs="Calibri"/>
                <w:b/>
                <w:bCs/>
                <w:color w:val="FFFFFF"/>
                <w:sz w:val="18"/>
                <w:szCs w:val="18"/>
                <w:lang w:eastAsia="es-CR"/>
              </w:rPr>
            </w:pPr>
            <w:r w:rsidRPr="00FF374B">
              <w:rPr>
                <w:rFonts w:eastAsia="Times New Roman" w:cs="Calibri"/>
                <w:b/>
                <w:bCs/>
                <w:color w:val="FFFFFF"/>
                <w:sz w:val="18"/>
                <w:szCs w:val="18"/>
                <w:lang w:eastAsia="es-CR"/>
              </w:rPr>
              <w:t xml:space="preserve">Descripción </w:t>
            </w:r>
          </w:p>
        </w:tc>
      </w:tr>
      <w:tr w:rsidR="00FF374B" w:rsidRPr="00FF374B" w14:paraId="6102C6AC" w14:textId="77777777" w:rsidTr="00FF374B">
        <w:trPr>
          <w:trHeight w:val="54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0491DFDA" w14:textId="77777777" w:rsidR="00FF374B" w:rsidRPr="00FF374B" w:rsidRDefault="00FF374B" w:rsidP="00FF374B">
            <w:pPr>
              <w:spacing w:after="0" w:line="240" w:lineRule="auto"/>
              <w:rPr>
                <w:rFonts w:eastAsia="Times New Roman" w:cs="Calibri"/>
                <w:b/>
                <w:bCs/>
                <w:color w:val="000000"/>
                <w:sz w:val="18"/>
                <w:szCs w:val="18"/>
                <w:lang w:eastAsia="es-CR"/>
              </w:rPr>
            </w:pPr>
            <w:r w:rsidRPr="00FF374B">
              <w:rPr>
                <w:rFonts w:eastAsia="Times New Roman" w:cs="Calibri"/>
                <w:b/>
                <w:bCs/>
                <w:color w:val="000000"/>
                <w:sz w:val="18"/>
                <w:szCs w:val="18"/>
                <w:lang w:eastAsia="es-CR"/>
              </w:rPr>
              <w:t>1.1.3.06.02.</w:t>
            </w:r>
          </w:p>
        </w:tc>
        <w:tc>
          <w:tcPr>
            <w:tcW w:w="3140" w:type="dxa"/>
            <w:tcBorders>
              <w:top w:val="nil"/>
              <w:left w:val="nil"/>
              <w:bottom w:val="single" w:sz="8" w:space="0" w:color="auto"/>
              <w:right w:val="single" w:sz="8" w:space="0" w:color="auto"/>
            </w:tcBorders>
            <w:shd w:val="clear" w:color="auto" w:fill="auto"/>
            <w:vAlign w:val="center"/>
            <w:hideMark/>
          </w:tcPr>
          <w:p w14:paraId="6B456A10" w14:textId="77777777" w:rsidR="00FF374B" w:rsidRPr="00FF374B" w:rsidRDefault="00FF374B" w:rsidP="00FF374B">
            <w:pPr>
              <w:spacing w:after="0" w:line="240" w:lineRule="auto"/>
              <w:rPr>
                <w:rFonts w:eastAsia="Times New Roman" w:cs="Calibri"/>
                <w:b/>
                <w:bCs/>
                <w:color w:val="000000"/>
                <w:sz w:val="18"/>
                <w:szCs w:val="18"/>
                <w:lang w:eastAsia="es-CR"/>
              </w:rPr>
            </w:pPr>
            <w:r w:rsidRPr="00FF374B">
              <w:rPr>
                <w:rFonts w:eastAsia="Times New Roman" w:cs="Calibri"/>
                <w:b/>
                <w:bCs/>
                <w:color w:val="000000"/>
                <w:sz w:val="18"/>
                <w:szCs w:val="18"/>
                <w:lang w:eastAsia="es-CR"/>
              </w:rPr>
              <w:t>Transferencias del sector público interno a cobrar c/p</w:t>
            </w:r>
          </w:p>
        </w:tc>
      </w:tr>
    </w:tbl>
    <w:p w14:paraId="69AB5D38" w14:textId="6F8FA2C5" w:rsidR="00130141" w:rsidRDefault="00130141" w:rsidP="00464861">
      <w:pPr>
        <w:rPr>
          <w:lang w:eastAsia="es-CR"/>
        </w:rPr>
      </w:pPr>
    </w:p>
    <w:tbl>
      <w:tblPr>
        <w:tblpPr w:leftFromText="141" w:rightFromText="141" w:vertAnchor="text" w:horzAnchor="margin" w:tblpY="92"/>
        <w:tblW w:w="9214" w:type="dxa"/>
        <w:tblCellMar>
          <w:left w:w="70" w:type="dxa"/>
          <w:right w:w="70" w:type="dxa"/>
        </w:tblCellMar>
        <w:tblLook w:val="04A0" w:firstRow="1" w:lastRow="0" w:firstColumn="1" w:lastColumn="0" w:noHBand="0" w:noVBand="1"/>
      </w:tblPr>
      <w:tblGrid>
        <w:gridCol w:w="2542"/>
        <w:gridCol w:w="3685"/>
        <w:gridCol w:w="2987"/>
      </w:tblGrid>
      <w:tr w:rsidR="00BE6B44" w:rsidRPr="00FF374B" w14:paraId="5CE6A277" w14:textId="77777777" w:rsidTr="0061790F">
        <w:trPr>
          <w:trHeight w:val="270"/>
        </w:trPr>
        <w:tc>
          <w:tcPr>
            <w:tcW w:w="2542" w:type="dxa"/>
            <w:tcBorders>
              <w:top w:val="single" w:sz="8" w:space="0" w:color="auto"/>
              <w:left w:val="single" w:sz="8" w:space="0" w:color="auto"/>
              <w:bottom w:val="single" w:sz="8" w:space="0" w:color="auto"/>
              <w:right w:val="nil"/>
            </w:tcBorders>
            <w:shd w:val="clear" w:color="000000" w:fill="365F91"/>
            <w:vAlign w:val="center"/>
            <w:hideMark/>
          </w:tcPr>
          <w:p w14:paraId="7B5F6B25" w14:textId="77777777" w:rsidR="00BE6B44" w:rsidRPr="001F6F57" w:rsidRDefault="00BE6B44" w:rsidP="0061790F">
            <w:pPr>
              <w:spacing w:after="0" w:line="240" w:lineRule="auto"/>
              <w:jc w:val="center"/>
              <w:rPr>
                <w:rFonts w:eastAsia="Times New Roman" w:cs="Calibri"/>
                <w:color w:val="FFFFFF"/>
                <w:sz w:val="22"/>
                <w:szCs w:val="24"/>
                <w:lang w:eastAsia="es-CR"/>
              </w:rPr>
            </w:pPr>
            <w:bookmarkStart w:id="203" w:name="_Hlk123996804"/>
            <w:r w:rsidRPr="001F6F57">
              <w:rPr>
                <w:rFonts w:eastAsia="Times New Roman" w:cs="Calibri"/>
                <w:color w:val="FFFFFF"/>
                <w:sz w:val="22"/>
                <w:szCs w:val="24"/>
                <w:lang w:eastAsia="es-CR"/>
              </w:rPr>
              <w:t>CODIGO INSTITUCIONAL</w:t>
            </w:r>
          </w:p>
        </w:tc>
        <w:tc>
          <w:tcPr>
            <w:tcW w:w="3685" w:type="dxa"/>
            <w:tcBorders>
              <w:top w:val="single" w:sz="8" w:space="0" w:color="auto"/>
              <w:left w:val="single" w:sz="8" w:space="0" w:color="auto"/>
              <w:bottom w:val="single" w:sz="8" w:space="0" w:color="auto"/>
              <w:right w:val="single" w:sz="8" w:space="0" w:color="auto"/>
            </w:tcBorders>
            <w:shd w:val="clear" w:color="000000" w:fill="365F91"/>
            <w:vAlign w:val="center"/>
            <w:hideMark/>
          </w:tcPr>
          <w:p w14:paraId="169E6DDE" w14:textId="77777777" w:rsidR="00BE6B44" w:rsidRPr="001F6F57" w:rsidRDefault="00BE6B44" w:rsidP="0061790F">
            <w:pPr>
              <w:spacing w:after="0" w:line="240" w:lineRule="auto"/>
              <w:jc w:val="center"/>
              <w:rPr>
                <w:rFonts w:eastAsia="Times New Roman" w:cs="Calibri"/>
                <w:color w:val="FFFFFF"/>
                <w:sz w:val="22"/>
                <w:szCs w:val="24"/>
                <w:lang w:eastAsia="es-CR"/>
              </w:rPr>
            </w:pPr>
            <w:r w:rsidRPr="001F6F57">
              <w:rPr>
                <w:rFonts w:eastAsia="Times New Roman" w:cs="Calibri"/>
                <w:color w:val="FFFFFF"/>
                <w:sz w:val="22"/>
                <w:szCs w:val="24"/>
                <w:lang w:eastAsia="es-CR"/>
              </w:rPr>
              <w:t>NOMBRE ENTIDAD</w:t>
            </w:r>
          </w:p>
        </w:tc>
        <w:tc>
          <w:tcPr>
            <w:tcW w:w="2987" w:type="dxa"/>
            <w:tcBorders>
              <w:top w:val="single" w:sz="8" w:space="0" w:color="auto"/>
              <w:left w:val="nil"/>
              <w:bottom w:val="single" w:sz="8" w:space="0" w:color="auto"/>
              <w:right w:val="single" w:sz="8" w:space="0" w:color="auto"/>
            </w:tcBorders>
            <w:shd w:val="clear" w:color="000000" w:fill="365F91"/>
            <w:noWrap/>
            <w:vAlign w:val="center"/>
            <w:hideMark/>
          </w:tcPr>
          <w:p w14:paraId="56E9A833" w14:textId="77777777" w:rsidR="00BE6B44" w:rsidRPr="001F6F57" w:rsidRDefault="00BE6B44" w:rsidP="0061790F">
            <w:pPr>
              <w:spacing w:after="0" w:line="240" w:lineRule="auto"/>
              <w:jc w:val="center"/>
              <w:rPr>
                <w:rFonts w:eastAsia="Times New Roman" w:cs="Calibri"/>
                <w:color w:val="FFFFFF"/>
                <w:sz w:val="22"/>
                <w:szCs w:val="24"/>
                <w:lang w:eastAsia="es-CR"/>
              </w:rPr>
            </w:pPr>
            <w:r w:rsidRPr="001F6F57">
              <w:rPr>
                <w:rFonts w:eastAsia="Times New Roman" w:cs="Calibri"/>
                <w:color w:val="FFFFFF"/>
                <w:sz w:val="22"/>
                <w:szCs w:val="24"/>
                <w:lang w:eastAsia="es-CR"/>
              </w:rPr>
              <w:t>MONTO</w:t>
            </w:r>
          </w:p>
        </w:tc>
      </w:tr>
      <w:tr w:rsidR="00BE6B44" w:rsidRPr="00FF374B" w14:paraId="38F34ED0" w14:textId="77777777" w:rsidTr="0061790F">
        <w:trPr>
          <w:trHeight w:val="389"/>
        </w:trPr>
        <w:tc>
          <w:tcPr>
            <w:tcW w:w="2542" w:type="dxa"/>
            <w:tcBorders>
              <w:top w:val="nil"/>
              <w:left w:val="single" w:sz="8" w:space="0" w:color="auto"/>
              <w:bottom w:val="single" w:sz="8" w:space="0" w:color="auto"/>
              <w:right w:val="single" w:sz="8" w:space="0" w:color="auto"/>
            </w:tcBorders>
            <w:shd w:val="clear" w:color="auto" w:fill="auto"/>
            <w:noWrap/>
            <w:vAlign w:val="center"/>
            <w:hideMark/>
          </w:tcPr>
          <w:p w14:paraId="16F38553" w14:textId="77777777" w:rsidR="00BE6B44" w:rsidRPr="00FF374B" w:rsidRDefault="00BE6B44" w:rsidP="0061790F">
            <w:pPr>
              <w:spacing w:after="0" w:line="240" w:lineRule="auto"/>
              <w:rPr>
                <w:rFonts w:eastAsia="Times New Roman" w:cs="Calibri"/>
                <w:color w:val="000000"/>
                <w:sz w:val="20"/>
                <w:szCs w:val="20"/>
                <w:lang w:eastAsia="es-CR"/>
              </w:rPr>
            </w:pPr>
            <w:r w:rsidRPr="00FF374B">
              <w:rPr>
                <w:rFonts w:eastAsia="Times New Roman" w:cs="Calibri"/>
                <w:color w:val="000000"/>
                <w:sz w:val="20"/>
                <w:szCs w:val="20"/>
                <w:lang w:eastAsia="es-CR"/>
              </w:rPr>
              <w:t> </w:t>
            </w:r>
            <w:r>
              <w:rPr>
                <w:rFonts w:eastAsia="Times New Roman" w:cs="Calibri"/>
                <w:color w:val="000000"/>
                <w:sz w:val="20"/>
                <w:szCs w:val="20"/>
                <w:lang w:eastAsia="es-CR"/>
              </w:rPr>
              <w:t>11203</w:t>
            </w:r>
          </w:p>
        </w:tc>
        <w:tc>
          <w:tcPr>
            <w:tcW w:w="3685" w:type="dxa"/>
            <w:tcBorders>
              <w:top w:val="nil"/>
              <w:left w:val="nil"/>
              <w:bottom w:val="single" w:sz="8" w:space="0" w:color="auto"/>
              <w:right w:val="single" w:sz="8" w:space="0" w:color="auto"/>
            </w:tcBorders>
            <w:shd w:val="clear" w:color="auto" w:fill="auto"/>
            <w:vAlign w:val="center"/>
            <w:hideMark/>
          </w:tcPr>
          <w:p w14:paraId="174E8FAE" w14:textId="77777777" w:rsidR="00BE6B44" w:rsidRPr="00FF374B" w:rsidRDefault="00BE6B44" w:rsidP="0061790F">
            <w:pPr>
              <w:spacing w:after="0" w:line="240" w:lineRule="auto"/>
              <w:jc w:val="center"/>
              <w:rPr>
                <w:rFonts w:eastAsia="Times New Roman" w:cs="Calibri"/>
                <w:color w:val="000000"/>
                <w:szCs w:val="24"/>
                <w:lang w:eastAsia="es-CR"/>
              </w:rPr>
            </w:pPr>
            <w:r w:rsidRPr="008F4525">
              <w:rPr>
                <w:rFonts w:eastAsia="Times New Roman" w:cs="Calibri"/>
                <w:color w:val="000000"/>
                <w:szCs w:val="24"/>
                <w:lang w:eastAsia="es-CR"/>
              </w:rPr>
              <w:t>Ministerio de Gobernación y Policía</w:t>
            </w:r>
            <w:r w:rsidRPr="00FF374B">
              <w:rPr>
                <w:rFonts w:eastAsia="Times New Roman" w:cs="Calibri"/>
                <w:color w:val="000000"/>
                <w:szCs w:val="24"/>
                <w:lang w:eastAsia="es-CR"/>
              </w:rPr>
              <w:t> </w:t>
            </w:r>
          </w:p>
        </w:tc>
        <w:tc>
          <w:tcPr>
            <w:tcW w:w="2987" w:type="dxa"/>
            <w:tcBorders>
              <w:top w:val="nil"/>
              <w:left w:val="nil"/>
              <w:bottom w:val="single" w:sz="8" w:space="0" w:color="auto"/>
              <w:right w:val="single" w:sz="8" w:space="0" w:color="auto"/>
            </w:tcBorders>
            <w:shd w:val="clear" w:color="auto" w:fill="auto"/>
            <w:noWrap/>
            <w:vAlign w:val="center"/>
          </w:tcPr>
          <w:p w14:paraId="3BEAC779" w14:textId="2A299D49" w:rsidR="00C6101D" w:rsidRPr="001F6F57" w:rsidRDefault="00C6101D" w:rsidP="00C6101D">
            <w:pPr>
              <w:spacing w:after="0" w:line="240" w:lineRule="auto"/>
              <w:jc w:val="center"/>
              <w:rPr>
                <w:rFonts w:ascii="Calibri" w:hAnsi="Calibri" w:cs="Calibri"/>
                <w:color w:val="000000"/>
                <w:sz w:val="22"/>
              </w:rPr>
            </w:pPr>
            <w:r>
              <w:rPr>
                <w:rFonts w:ascii="Arial" w:eastAsia="Times New Roman" w:hAnsi="Arial" w:cs="Arial"/>
                <w:color w:val="000000"/>
                <w:sz w:val="20"/>
                <w:szCs w:val="20"/>
                <w:lang w:eastAsia="es-CR"/>
              </w:rPr>
              <w:t>₡</w:t>
            </w:r>
            <w:r w:rsidRPr="00C6101D">
              <w:rPr>
                <w:rFonts w:ascii="Arial" w:eastAsia="Times New Roman" w:hAnsi="Arial" w:cs="Arial"/>
                <w:color w:val="000000"/>
                <w:sz w:val="20"/>
                <w:szCs w:val="20"/>
                <w:lang w:eastAsia="es-CR"/>
              </w:rPr>
              <w:t> 0,00</w:t>
            </w:r>
          </w:p>
        </w:tc>
      </w:tr>
      <w:tr w:rsidR="00BE6B44" w:rsidRPr="00FF374B" w14:paraId="6BF846DA" w14:textId="77777777" w:rsidTr="00C6101D">
        <w:trPr>
          <w:trHeight w:val="555"/>
        </w:trPr>
        <w:tc>
          <w:tcPr>
            <w:tcW w:w="2542" w:type="dxa"/>
            <w:tcBorders>
              <w:top w:val="nil"/>
              <w:left w:val="single" w:sz="8" w:space="0" w:color="auto"/>
              <w:bottom w:val="single" w:sz="8" w:space="0" w:color="auto"/>
              <w:right w:val="single" w:sz="8" w:space="0" w:color="auto"/>
            </w:tcBorders>
            <w:shd w:val="clear" w:color="auto" w:fill="auto"/>
            <w:noWrap/>
            <w:vAlign w:val="center"/>
            <w:hideMark/>
          </w:tcPr>
          <w:p w14:paraId="692363F1" w14:textId="77777777" w:rsidR="00BE6B44" w:rsidRPr="00FF374B" w:rsidRDefault="00BE6B44" w:rsidP="0061790F">
            <w:pPr>
              <w:spacing w:after="0" w:line="240" w:lineRule="auto"/>
              <w:rPr>
                <w:rFonts w:eastAsia="Times New Roman" w:cs="Calibri"/>
                <w:color w:val="000000"/>
                <w:sz w:val="20"/>
                <w:szCs w:val="20"/>
                <w:lang w:eastAsia="es-CR"/>
              </w:rPr>
            </w:pPr>
            <w:r w:rsidRPr="00FF374B">
              <w:rPr>
                <w:rFonts w:eastAsia="Times New Roman" w:cs="Calibri"/>
                <w:color w:val="000000"/>
                <w:sz w:val="20"/>
                <w:szCs w:val="20"/>
                <w:lang w:eastAsia="es-CR"/>
              </w:rPr>
              <w:t> </w:t>
            </w:r>
            <w:r>
              <w:rPr>
                <w:rFonts w:eastAsia="Times New Roman" w:cs="Calibri"/>
                <w:color w:val="000000"/>
                <w:sz w:val="20"/>
                <w:szCs w:val="20"/>
                <w:lang w:eastAsia="es-CR"/>
              </w:rPr>
              <w:t>11206</w:t>
            </w:r>
          </w:p>
        </w:tc>
        <w:tc>
          <w:tcPr>
            <w:tcW w:w="3685" w:type="dxa"/>
            <w:tcBorders>
              <w:top w:val="nil"/>
              <w:left w:val="nil"/>
              <w:bottom w:val="single" w:sz="8" w:space="0" w:color="auto"/>
              <w:right w:val="single" w:sz="8" w:space="0" w:color="auto"/>
            </w:tcBorders>
            <w:shd w:val="clear" w:color="auto" w:fill="auto"/>
            <w:vAlign w:val="center"/>
            <w:hideMark/>
          </w:tcPr>
          <w:p w14:paraId="0DBE015A" w14:textId="77777777" w:rsidR="00BE6B44" w:rsidRPr="00FF374B" w:rsidRDefault="00BE6B44" w:rsidP="0061790F">
            <w:pPr>
              <w:spacing w:after="0" w:line="240" w:lineRule="auto"/>
              <w:jc w:val="center"/>
              <w:rPr>
                <w:rFonts w:eastAsia="Times New Roman" w:cs="Calibri"/>
                <w:color w:val="000000"/>
                <w:szCs w:val="24"/>
                <w:lang w:eastAsia="es-CR"/>
              </w:rPr>
            </w:pPr>
            <w:r w:rsidRPr="00FF374B">
              <w:rPr>
                <w:rFonts w:eastAsia="Times New Roman" w:cs="Calibri"/>
                <w:color w:val="000000"/>
                <w:szCs w:val="24"/>
                <w:lang w:eastAsia="es-CR"/>
              </w:rPr>
              <w:t> </w:t>
            </w:r>
            <w:r w:rsidRPr="008F4525">
              <w:rPr>
                <w:rFonts w:eastAsia="Times New Roman" w:cs="Calibri"/>
                <w:color w:val="000000"/>
                <w:szCs w:val="24"/>
                <w:lang w:eastAsia="es-CR"/>
              </w:rPr>
              <w:t>Ministerio de Hacienda</w:t>
            </w:r>
            <w:r>
              <w:rPr>
                <w:rFonts w:eastAsia="Times New Roman" w:cs="Calibri"/>
                <w:color w:val="000000"/>
                <w:szCs w:val="24"/>
                <w:lang w:eastAsia="es-CR"/>
              </w:rPr>
              <w:t>, Ley 8114</w:t>
            </w:r>
          </w:p>
        </w:tc>
        <w:tc>
          <w:tcPr>
            <w:tcW w:w="2987" w:type="dxa"/>
            <w:tcBorders>
              <w:top w:val="nil"/>
              <w:left w:val="nil"/>
              <w:bottom w:val="single" w:sz="8" w:space="0" w:color="auto"/>
              <w:right w:val="single" w:sz="8" w:space="0" w:color="auto"/>
            </w:tcBorders>
            <w:shd w:val="clear" w:color="auto" w:fill="auto"/>
            <w:noWrap/>
            <w:vAlign w:val="center"/>
            <w:hideMark/>
          </w:tcPr>
          <w:p w14:paraId="4D468348" w14:textId="77777777" w:rsidR="00BE6B44" w:rsidRPr="00FF374B" w:rsidRDefault="00BE6B44" w:rsidP="00C6101D">
            <w:pPr>
              <w:spacing w:after="0" w:line="240" w:lineRule="auto"/>
              <w:jc w:val="center"/>
              <w:rPr>
                <w:rFonts w:eastAsia="Times New Roman" w:cs="Calibri"/>
                <w:color w:val="000000"/>
                <w:sz w:val="20"/>
                <w:szCs w:val="20"/>
                <w:lang w:eastAsia="es-CR"/>
              </w:rPr>
            </w:pPr>
          </w:p>
          <w:p w14:paraId="252733BB" w14:textId="0478D254" w:rsidR="00BE6B44" w:rsidRPr="001F6F57" w:rsidRDefault="00C6101D" w:rsidP="00C6101D">
            <w:pPr>
              <w:spacing w:line="240" w:lineRule="auto"/>
              <w:jc w:val="center"/>
              <w:rPr>
                <w:rFonts w:ascii="Calibri" w:hAnsi="Calibri" w:cs="Calibri"/>
                <w:color w:val="000000"/>
                <w:sz w:val="22"/>
              </w:rPr>
            </w:pPr>
            <w:r>
              <w:rPr>
                <w:rFonts w:ascii="Arial" w:eastAsia="Times New Roman" w:hAnsi="Arial" w:cs="Arial"/>
                <w:color w:val="000000"/>
                <w:sz w:val="20"/>
                <w:szCs w:val="20"/>
                <w:lang w:eastAsia="es-CR"/>
              </w:rPr>
              <w:t>₡</w:t>
            </w:r>
            <w:r w:rsidRPr="00FF374B">
              <w:rPr>
                <w:rFonts w:eastAsia="Times New Roman" w:cs="Calibri"/>
                <w:color w:val="000000"/>
                <w:sz w:val="20"/>
                <w:szCs w:val="20"/>
                <w:lang w:eastAsia="es-CR"/>
              </w:rPr>
              <w:t> </w:t>
            </w:r>
            <w:r>
              <w:rPr>
                <w:rFonts w:ascii="Calibri" w:hAnsi="Calibri" w:cs="Calibri"/>
                <w:color w:val="000000"/>
                <w:sz w:val="22"/>
              </w:rPr>
              <w:t>341 834,39</w:t>
            </w:r>
          </w:p>
        </w:tc>
      </w:tr>
      <w:tr w:rsidR="00BE6B44" w:rsidRPr="00FF374B" w14:paraId="7B937D27" w14:textId="77777777" w:rsidTr="0061790F">
        <w:trPr>
          <w:trHeight w:val="50"/>
        </w:trPr>
        <w:tc>
          <w:tcPr>
            <w:tcW w:w="2542" w:type="dxa"/>
            <w:tcBorders>
              <w:top w:val="nil"/>
              <w:left w:val="single" w:sz="8" w:space="0" w:color="auto"/>
              <w:bottom w:val="single" w:sz="8" w:space="0" w:color="auto"/>
              <w:right w:val="single" w:sz="8" w:space="0" w:color="auto"/>
            </w:tcBorders>
            <w:shd w:val="clear" w:color="auto" w:fill="auto"/>
            <w:noWrap/>
            <w:vAlign w:val="center"/>
            <w:hideMark/>
          </w:tcPr>
          <w:p w14:paraId="2EC302B2" w14:textId="77777777" w:rsidR="00BE6B44" w:rsidRPr="00FF374B" w:rsidRDefault="00BE6B44" w:rsidP="0061790F">
            <w:pPr>
              <w:spacing w:after="0" w:line="240" w:lineRule="auto"/>
              <w:rPr>
                <w:rFonts w:eastAsia="Times New Roman" w:cs="Calibri"/>
                <w:color w:val="000000"/>
                <w:sz w:val="20"/>
                <w:szCs w:val="20"/>
                <w:lang w:eastAsia="es-CR"/>
              </w:rPr>
            </w:pPr>
            <w:r w:rsidRPr="00FF374B">
              <w:rPr>
                <w:rFonts w:eastAsia="Times New Roman" w:cs="Calibri"/>
                <w:color w:val="000000"/>
                <w:sz w:val="20"/>
                <w:szCs w:val="20"/>
                <w:lang w:eastAsia="es-CR"/>
              </w:rPr>
              <w:t> </w:t>
            </w:r>
            <w:r>
              <w:rPr>
                <w:rFonts w:eastAsia="Times New Roman" w:cs="Calibri"/>
                <w:color w:val="000000"/>
                <w:sz w:val="20"/>
                <w:szCs w:val="20"/>
                <w:lang w:eastAsia="es-CR"/>
              </w:rPr>
              <w:t>14226</w:t>
            </w:r>
          </w:p>
        </w:tc>
        <w:tc>
          <w:tcPr>
            <w:tcW w:w="3685" w:type="dxa"/>
            <w:tcBorders>
              <w:top w:val="nil"/>
              <w:left w:val="nil"/>
              <w:bottom w:val="single" w:sz="8" w:space="0" w:color="auto"/>
              <w:right w:val="single" w:sz="8" w:space="0" w:color="auto"/>
            </w:tcBorders>
            <w:shd w:val="clear" w:color="auto" w:fill="auto"/>
            <w:vAlign w:val="center"/>
            <w:hideMark/>
          </w:tcPr>
          <w:p w14:paraId="0A4B36EA" w14:textId="77777777" w:rsidR="00BE6B44" w:rsidRPr="001F6F57" w:rsidRDefault="00BE6B44" w:rsidP="000724B9">
            <w:pPr>
              <w:spacing w:after="0" w:line="240" w:lineRule="auto"/>
              <w:jc w:val="center"/>
              <w:rPr>
                <w:rFonts w:ascii="Calibri" w:hAnsi="Calibri" w:cs="Calibri"/>
                <w:color w:val="000000"/>
                <w:sz w:val="22"/>
              </w:rPr>
            </w:pPr>
            <w:r>
              <w:rPr>
                <w:rFonts w:ascii="Calibri" w:hAnsi="Calibri" w:cs="Calibri"/>
                <w:color w:val="000000"/>
                <w:sz w:val="22"/>
              </w:rPr>
              <w:t xml:space="preserve"> </w:t>
            </w:r>
            <w:r w:rsidRPr="000724B9">
              <w:rPr>
                <w:rFonts w:eastAsia="Times New Roman" w:cs="Calibri"/>
                <w:color w:val="000000"/>
                <w:szCs w:val="24"/>
                <w:lang w:eastAsia="es-CR"/>
              </w:rPr>
              <w:t>(Aporte IFAM Licores Nacionales y Ext)</w:t>
            </w:r>
          </w:p>
        </w:tc>
        <w:tc>
          <w:tcPr>
            <w:tcW w:w="2987" w:type="dxa"/>
            <w:tcBorders>
              <w:top w:val="nil"/>
              <w:left w:val="nil"/>
              <w:bottom w:val="single" w:sz="8" w:space="0" w:color="auto"/>
              <w:right w:val="single" w:sz="8" w:space="0" w:color="auto"/>
            </w:tcBorders>
            <w:shd w:val="clear" w:color="auto" w:fill="auto"/>
            <w:noWrap/>
            <w:vAlign w:val="center"/>
            <w:hideMark/>
          </w:tcPr>
          <w:p w14:paraId="02867718" w14:textId="5210E84A" w:rsidR="00BE6B44" w:rsidRPr="001F6F57" w:rsidRDefault="00C6101D" w:rsidP="00C6101D">
            <w:pPr>
              <w:spacing w:after="0" w:line="240" w:lineRule="auto"/>
              <w:jc w:val="center"/>
              <w:rPr>
                <w:rFonts w:ascii="Calibri" w:hAnsi="Calibri" w:cs="Calibri"/>
                <w:color w:val="000000"/>
                <w:sz w:val="22"/>
              </w:rPr>
            </w:pPr>
            <w:r>
              <w:rPr>
                <w:rFonts w:ascii="Arial" w:eastAsia="Times New Roman" w:hAnsi="Arial" w:cs="Arial"/>
                <w:color w:val="000000"/>
                <w:sz w:val="20"/>
                <w:szCs w:val="20"/>
                <w:lang w:eastAsia="es-CR"/>
              </w:rPr>
              <w:t>₡</w:t>
            </w:r>
            <w:r w:rsidR="00BE6B44" w:rsidRPr="00FF374B">
              <w:rPr>
                <w:rFonts w:eastAsia="Times New Roman" w:cs="Calibri"/>
                <w:color w:val="000000"/>
                <w:sz w:val="20"/>
                <w:szCs w:val="20"/>
                <w:lang w:eastAsia="es-CR"/>
              </w:rPr>
              <w:t> </w:t>
            </w:r>
            <w:r>
              <w:rPr>
                <w:rFonts w:ascii="Calibri" w:hAnsi="Calibri" w:cs="Calibri"/>
                <w:color w:val="000000"/>
                <w:sz w:val="22"/>
              </w:rPr>
              <w:t>0,00</w:t>
            </w:r>
          </w:p>
        </w:tc>
      </w:tr>
      <w:bookmarkEnd w:id="203"/>
    </w:tbl>
    <w:p w14:paraId="7464556D" w14:textId="77777777" w:rsidR="00BE6B44" w:rsidRPr="00692DC8" w:rsidRDefault="00BE6B44" w:rsidP="00464861">
      <w:pPr>
        <w:rPr>
          <w:lang w:eastAsia="es-CR"/>
        </w:rPr>
      </w:pPr>
    </w:p>
    <w:p w14:paraId="240C9BC2" w14:textId="77777777" w:rsidR="00692DC8" w:rsidRPr="00D57597" w:rsidRDefault="00692DC8" w:rsidP="00FF374B">
      <w:pPr>
        <w:spacing w:before="240"/>
        <w:rPr>
          <w:b/>
          <w:color w:val="000000"/>
          <w:szCs w:val="24"/>
          <w:lang w:val="es-ES" w:eastAsia="es-ES"/>
        </w:rPr>
      </w:pPr>
      <w:r w:rsidRPr="00D57597">
        <w:rPr>
          <w:b/>
          <w:color w:val="000000"/>
          <w:szCs w:val="24"/>
          <w:lang w:val="es-ES" w:eastAsia="es-ES"/>
        </w:rPr>
        <w:t xml:space="preserve">Indicar el Método Utilizando: </w:t>
      </w:r>
    </w:p>
    <w:p w14:paraId="70C505B8" w14:textId="1A8137B2" w:rsidR="00692DC8" w:rsidRPr="00D57597" w:rsidRDefault="00692DC8" w:rsidP="00464861">
      <w:pPr>
        <w:rPr>
          <w:color w:val="000000"/>
          <w:szCs w:val="24"/>
          <w:lang w:val="es-ES" w:eastAsia="es-ES"/>
        </w:rPr>
      </w:pPr>
      <w:r w:rsidRPr="00692DC8">
        <w:rPr>
          <w:color w:val="000000"/>
          <w:szCs w:val="24"/>
          <w:lang w:val="es-ES" w:eastAsia="es-ES"/>
        </w:rPr>
        <w:t>Método de estimación por incobrable</w:t>
      </w:r>
    </w:p>
    <w:p w14:paraId="517960E6" w14:textId="77777777" w:rsidR="00692DC8" w:rsidRPr="00692DC8" w:rsidRDefault="00692DC8" w:rsidP="00464861">
      <w:pPr>
        <w:rPr>
          <w:color w:val="000000"/>
          <w:szCs w:val="24"/>
          <w:lang w:val="es-ES" w:eastAsia="es-ES"/>
        </w:rPr>
      </w:pPr>
      <w:r w:rsidRPr="00692DC8">
        <w:rPr>
          <w:color w:val="000000"/>
          <w:szCs w:val="24"/>
          <w:lang w:val="es-ES" w:eastAsia="es-ES"/>
        </w:rPr>
        <w:lastRenderedPageBreak/>
        <w:t>Indicar los procedimientos utilizados para la determinación de los valores razonables para cada clase de activo financiero:</w:t>
      </w:r>
    </w:p>
    <w:p w14:paraId="58925D26" w14:textId="77777777" w:rsidR="00BE6B44" w:rsidRPr="009B10A1" w:rsidRDefault="00BE6B44" w:rsidP="00BE6B44">
      <w:pPr>
        <w:spacing w:after="120" w:line="240" w:lineRule="auto"/>
        <w:rPr>
          <w:rFonts w:eastAsia="Batang" w:cs="Arial"/>
          <w:lang w:val="es-ES"/>
        </w:rPr>
      </w:pPr>
      <w:r w:rsidRPr="009B10A1">
        <w:rPr>
          <w:color w:val="000000"/>
          <w:lang w:val="es-ES" w:eastAsia="es-ES"/>
        </w:rPr>
        <w:t xml:space="preserve">La Municipalidad </w:t>
      </w:r>
      <w:r>
        <w:rPr>
          <w:color w:val="000000"/>
          <w:lang w:val="es-ES" w:eastAsia="es-ES"/>
        </w:rPr>
        <w:t>adoptó</w:t>
      </w:r>
      <w:r w:rsidRPr="009B10A1">
        <w:rPr>
          <w:color w:val="000000"/>
          <w:lang w:val="es-ES" w:eastAsia="es-ES"/>
        </w:rPr>
        <w:t xml:space="preserve"> el método de Estimación por Incobrable con base en </w:t>
      </w:r>
      <w:r>
        <w:rPr>
          <w:color w:val="000000"/>
          <w:lang w:val="es-ES" w:eastAsia="es-ES"/>
        </w:rPr>
        <w:t>A</w:t>
      </w:r>
      <w:r w:rsidRPr="009B10A1">
        <w:rPr>
          <w:color w:val="000000"/>
          <w:lang w:val="es-ES" w:eastAsia="es-ES"/>
        </w:rPr>
        <w:t xml:space="preserve">nálisis de antigüedad de saldos recomendado en la Directriz nro. CN-002-2013 de la DGCN, denominada “Generación de la previsión de incobrabilidad sobre cuentas a cobrar”. </w:t>
      </w:r>
      <w:r w:rsidRPr="009B10A1">
        <w:rPr>
          <w:rFonts w:eastAsia="Batang" w:cs="Arial"/>
          <w:lang w:val="es-ES"/>
        </w:rPr>
        <w:t xml:space="preserve">En cumplimiento de lo normado en el </w:t>
      </w:r>
      <w:r>
        <w:rPr>
          <w:rFonts w:eastAsia="Batang" w:cs="Arial"/>
          <w:lang w:val="es-ES"/>
        </w:rPr>
        <w:t>A</w:t>
      </w:r>
      <w:r w:rsidRPr="009B10A1">
        <w:rPr>
          <w:rFonts w:eastAsia="Batang" w:cs="Arial"/>
          <w:lang w:val="es-ES"/>
        </w:rPr>
        <w:t xml:space="preserve">rtículo </w:t>
      </w:r>
      <w:r>
        <w:rPr>
          <w:rFonts w:eastAsia="Batang" w:cs="Arial"/>
          <w:lang w:val="es-ES"/>
        </w:rPr>
        <w:t>N</w:t>
      </w:r>
      <w:r w:rsidRPr="009B10A1">
        <w:rPr>
          <w:rFonts w:eastAsia="Batang" w:cs="Arial"/>
          <w:lang w:val="es-ES"/>
        </w:rPr>
        <w:t>ro. 8 de esa misma Directriz, el cálculo de la pérdida de valor de las cuentas por cobrar deberá realizarse con la misma periodicidad con que la DGCN solicite los Estados Financieros institucionales, de manera que estos revelen el valor actualizado de la previsión en comentario</w:t>
      </w:r>
      <w:r>
        <w:rPr>
          <w:rFonts w:eastAsia="Batang" w:cs="Arial"/>
          <w:lang w:val="es-ES"/>
        </w:rPr>
        <w:t>, en el caso de este ayuntamiento se hará al menos para el cierre cada 31de diciembre</w:t>
      </w:r>
      <w:r w:rsidRPr="009B10A1">
        <w:rPr>
          <w:rFonts w:eastAsia="Batang" w:cs="Arial"/>
          <w:lang w:val="es-ES"/>
        </w:rPr>
        <w:t>.</w:t>
      </w:r>
    </w:p>
    <w:p w14:paraId="020C717F" w14:textId="77777777" w:rsidR="00BE6B44" w:rsidRDefault="00BE6B44" w:rsidP="00BE6B44">
      <w:pPr>
        <w:spacing w:after="120" w:line="240" w:lineRule="auto"/>
        <w:rPr>
          <w:color w:val="000000"/>
          <w:lang w:val="es-ES" w:eastAsia="es-ES"/>
        </w:rPr>
      </w:pPr>
      <w:r w:rsidRPr="009B10A1">
        <w:rPr>
          <w:color w:val="000000"/>
          <w:lang w:val="es-ES" w:eastAsia="es-ES"/>
        </w:rPr>
        <w:t>Para el análisis del pendiente de cobro y para el cálculo de la pérdida de valor de las cuentas por cobrar, se utilizan los siguientes parámetros de riesgo:</w:t>
      </w:r>
    </w:p>
    <w:p w14:paraId="326ABDD3" w14:textId="77777777" w:rsidR="00BE6B44" w:rsidRPr="009B10A1" w:rsidRDefault="00BE6B44" w:rsidP="00BE6B44">
      <w:pPr>
        <w:rPr>
          <w:color w:val="000000"/>
          <w:lang w:val="es-ES" w:eastAsia="es-ES"/>
        </w:rPr>
      </w:pPr>
    </w:p>
    <w:tbl>
      <w:tblPr>
        <w:tblStyle w:val="Tablaconcuadrcula"/>
        <w:tblW w:w="0" w:type="auto"/>
        <w:tblLook w:val="04A0" w:firstRow="1" w:lastRow="0" w:firstColumn="1" w:lastColumn="0" w:noHBand="0" w:noVBand="1"/>
      </w:tblPr>
      <w:tblGrid>
        <w:gridCol w:w="1529"/>
        <w:gridCol w:w="2951"/>
        <w:gridCol w:w="4348"/>
      </w:tblGrid>
      <w:tr w:rsidR="00BE6B44" w:rsidRPr="00BD3C6B" w14:paraId="5E51193F" w14:textId="77777777" w:rsidTr="0061790F">
        <w:tc>
          <w:tcPr>
            <w:tcW w:w="1555" w:type="dxa"/>
            <w:shd w:val="clear" w:color="auto" w:fill="BFBFBF" w:themeFill="background1" w:themeFillShade="BF"/>
          </w:tcPr>
          <w:p w14:paraId="44011355" w14:textId="77777777" w:rsidR="00BE6B44" w:rsidRPr="00F54075" w:rsidRDefault="00BE6B44" w:rsidP="0061790F">
            <w:pPr>
              <w:spacing w:after="100" w:afterAutospacing="1"/>
              <w:jc w:val="center"/>
              <w:rPr>
                <w:rFonts w:ascii="Arial" w:eastAsia="Batang" w:hAnsi="Arial" w:cs="Arial"/>
                <w:b/>
                <w:bCs/>
                <w:sz w:val="18"/>
                <w:szCs w:val="18"/>
                <w:lang w:val="es-ES"/>
              </w:rPr>
            </w:pPr>
            <w:r w:rsidRPr="00F54075">
              <w:rPr>
                <w:rFonts w:ascii="Arial" w:eastAsia="Batang" w:hAnsi="Arial" w:cs="Arial"/>
                <w:b/>
                <w:bCs/>
                <w:sz w:val="18"/>
                <w:szCs w:val="18"/>
                <w:lang w:val="es-ES"/>
              </w:rPr>
              <w:t>CATEGORÍA DEL RIESGO</w:t>
            </w:r>
          </w:p>
        </w:tc>
        <w:tc>
          <w:tcPr>
            <w:tcW w:w="3118" w:type="dxa"/>
            <w:shd w:val="clear" w:color="auto" w:fill="BFBFBF" w:themeFill="background1" w:themeFillShade="BF"/>
          </w:tcPr>
          <w:p w14:paraId="784F7FE3" w14:textId="77777777" w:rsidR="00BE6B44" w:rsidRPr="00F54075" w:rsidRDefault="00BE6B44" w:rsidP="0061790F">
            <w:pPr>
              <w:spacing w:after="100" w:afterAutospacing="1"/>
              <w:jc w:val="center"/>
              <w:rPr>
                <w:rFonts w:ascii="Arial" w:eastAsia="Batang" w:hAnsi="Arial" w:cs="Arial"/>
                <w:b/>
                <w:bCs/>
                <w:sz w:val="18"/>
                <w:szCs w:val="18"/>
                <w:lang w:val="es-ES"/>
              </w:rPr>
            </w:pPr>
            <w:r w:rsidRPr="00F54075">
              <w:rPr>
                <w:rFonts w:ascii="Arial" w:eastAsia="Batang" w:hAnsi="Arial" w:cs="Arial"/>
                <w:b/>
                <w:bCs/>
                <w:sz w:val="18"/>
                <w:szCs w:val="18"/>
                <w:lang w:val="es-ES"/>
              </w:rPr>
              <w:t>CALIFICACIÓN</w:t>
            </w:r>
          </w:p>
        </w:tc>
        <w:tc>
          <w:tcPr>
            <w:tcW w:w="4677" w:type="dxa"/>
            <w:shd w:val="clear" w:color="auto" w:fill="BFBFBF" w:themeFill="background1" w:themeFillShade="BF"/>
          </w:tcPr>
          <w:p w14:paraId="1CEA29C5" w14:textId="77777777" w:rsidR="00BE6B44" w:rsidRPr="00F54075" w:rsidRDefault="00BE6B44" w:rsidP="0061790F">
            <w:pPr>
              <w:spacing w:after="100" w:afterAutospacing="1"/>
              <w:jc w:val="center"/>
              <w:rPr>
                <w:rFonts w:ascii="Arial" w:eastAsia="Batang" w:hAnsi="Arial" w:cs="Arial"/>
                <w:b/>
                <w:bCs/>
                <w:sz w:val="18"/>
                <w:szCs w:val="18"/>
                <w:lang w:val="es-ES"/>
              </w:rPr>
            </w:pPr>
            <w:r w:rsidRPr="00F54075">
              <w:rPr>
                <w:rFonts w:ascii="Arial" w:eastAsia="Batang" w:hAnsi="Arial" w:cs="Arial"/>
                <w:b/>
                <w:bCs/>
                <w:sz w:val="18"/>
                <w:szCs w:val="18"/>
                <w:lang w:val="es-ES"/>
              </w:rPr>
              <w:t>PARÁMETROS</w:t>
            </w:r>
          </w:p>
        </w:tc>
      </w:tr>
      <w:tr w:rsidR="00BE6B44" w:rsidRPr="00BD3C6B" w14:paraId="6A4E6B0F" w14:textId="77777777" w:rsidTr="0061790F">
        <w:tc>
          <w:tcPr>
            <w:tcW w:w="1555" w:type="dxa"/>
          </w:tcPr>
          <w:p w14:paraId="684265F1" w14:textId="77777777" w:rsidR="00BE6B44" w:rsidRPr="00F54075" w:rsidRDefault="00BE6B44" w:rsidP="0061790F">
            <w:pPr>
              <w:spacing w:after="100" w:afterAutospacing="1"/>
              <w:jc w:val="center"/>
              <w:rPr>
                <w:rFonts w:ascii="Arial" w:eastAsia="Batang" w:hAnsi="Arial" w:cs="Arial"/>
                <w:b/>
                <w:bCs/>
                <w:sz w:val="20"/>
                <w:lang w:val="es-ES"/>
              </w:rPr>
            </w:pPr>
            <w:r>
              <w:rPr>
                <w:rFonts w:ascii="Arial" w:eastAsia="Batang" w:hAnsi="Arial" w:cs="Arial"/>
                <w:b/>
                <w:bCs/>
                <w:sz w:val="20"/>
                <w:lang w:val="es-ES"/>
              </w:rPr>
              <w:t>A</w:t>
            </w:r>
          </w:p>
        </w:tc>
        <w:tc>
          <w:tcPr>
            <w:tcW w:w="3118" w:type="dxa"/>
          </w:tcPr>
          <w:p w14:paraId="564DC982" w14:textId="77777777" w:rsidR="00BE6B44" w:rsidRPr="00F54075" w:rsidRDefault="00BE6B44" w:rsidP="0061790F">
            <w:pPr>
              <w:spacing w:after="100" w:afterAutospacing="1"/>
              <w:rPr>
                <w:rFonts w:ascii="Arial" w:eastAsia="Batang" w:hAnsi="Arial" w:cs="Arial"/>
                <w:b/>
                <w:bCs/>
                <w:sz w:val="18"/>
                <w:szCs w:val="18"/>
                <w:lang w:val="es-ES"/>
              </w:rPr>
            </w:pPr>
            <w:r>
              <w:rPr>
                <w:rFonts w:ascii="Arial" w:eastAsia="Batang" w:hAnsi="Arial" w:cs="Arial"/>
                <w:b/>
                <w:bCs/>
                <w:sz w:val="18"/>
                <w:szCs w:val="18"/>
                <w:lang w:val="es-ES"/>
              </w:rPr>
              <w:t>RIESGO BAJO</w:t>
            </w:r>
          </w:p>
        </w:tc>
        <w:tc>
          <w:tcPr>
            <w:tcW w:w="4677" w:type="dxa"/>
          </w:tcPr>
          <w:p w14:paraId="01385CD8" w14:textId="77777777" w:rsidR="00BE6B44" w:rsidRPr="00BD3C6B" w:rsidRDefault="00BE6B44" w:rsidP="0061790F">
            <w:pPr>
              <w:spacing w:after="100" w:afterAutospacing="1"/>
              <w:rPr>
                <w:rFonts w:ascii="Arial" w:eastAsia="Batang" w:hAnsi="Arial" w:cs="Arial"/>
                <w:sz w:val="20"/>
                <w:lang w:val="es-ES"/>
              </w:rPr>
            </w:pPr>
            <w:r w:rsidRPr="005E41FF">
              <w:rPr>
                <w:rFonts w:ascii="Arial" w:eastAsia="Batang" w:hAnsi="Arial" w:cs="Arial"/>
                <w:sz w:val="18"/>
                <w:szCs w:val="18"/>
                <w:lang w:val="es-ES"/>
              </w:rPr>
              <w:t>La categoría A) se reserva para los deudores al día en sus operaciones, y/o con una morosidad</w:t>
            </w:r>
            <w:r>
              <w:rPr>
                <w:rFonts w:ascii="Arial" w:eastAsia="Batang" w:hAnsi="Arial" w:cs="Arial"/>
                <w:sz w:val="18"/>
                <w:szCs w:val="18"/>
                <w:lang w:val="es-ES"/>
              </w:rPr>
              <w:t xml:space="preserve"> de uno</w:t>
            </w:r>
            <w:r w:rsidRPr="005E41FF">
              <w:rPr>
                <w:rFonts w:ascii="Arial" w:eastAsia="Batang" w:hAnsi="Arial" w:cs="Arial"/>
                <w:sz w:val="18"/>
                <w:szCs w:val="18"/>
                <w:lang w:val="es-ES"/>
              </w:rPr>
              <w:t xml:space="preserve"> a dos trimestres.</w:t>
            </w:r>
            <w:r>
              <w:rPr>
                <w:rFonts w:ascii="Arial" w:eastAsia="Batang" w:hAnsi="Arial" w:cs="Arial"/>
                <w:sz w:val="18"/>
                <w:szCs w:val="18"/>
                <w:lang w:val="es-ES"/>
              </w:rPr>
              <w:t xml:space="preserve"> No se esperan pérdidas significativas.</w:t>
            </w:r>
          </w:p>
        </w:tc>
      </w:tr>
      <w:tr w:rsidR="00BE6B44" w:rsidRPr="00BD3C6B" w14:paraId="4816C78D" w14:textId="77777777" w:rsidTr="0061790F">
        <w:tc>
          <w:tcPr>
            <w:tcW w:w="1555" w:type="dxa"/>
          </w:tcPr>
          <w:p w14:paraId="5D6E1F2D" w14:textId="77777777" w:rsidR="00BE6B44" w:rsidRPr="00F54075" w:rsidRDefault="00BE6B44" w:rsidP="0061790F">
            <w:pPr>
              <w:spacing w:after="100" w:afterAutospacing="1"/>
              <w:jc w:val="center"/>
              <w:rPr>
                <w:rFonts w:ascii="Arial" w:eastAsia="Batang" w:hAnsi="Arial" w:cs="Arial"/>
                <w:b/>
                <w:bCs/>
                <w:sz w:val="20"/>
                <w:lang w:val="es-ES"/>
              </w:rPr>
            </w:pPr>
            <w:r>
              <w:rPr>
                <w:rFonts w:ascii="Arial" w:eastAsia="Batang" w:hAnsi="Arial" w:cs="Arial"/>
                <w:b/>
                <w:bCs/>
                <w:sz w:val="20"/>
                <w:lang w:val="es-ES"/>
              </w:rPr>
              <w:t>B</w:t>
            </w:r>
          </w:p>
        </w:tc>
        <w:tc>
          <w:tcPr>
            <w:tcW w:w="3118" w:type="dxa"/>
          </w:tcPr>
          <w:p w14:paraId="64AEE8E6" w14:textId="77777777" w:rsidR="00BE6B44" w:rsidRPr="00F54075" w:rsidRDefault="00BE6B44" w:rsidP="0061790F">
            <w:pPr>
              <w:spacing w:after="100" w:afterAutospacing="1"/>
              <w:rPr>
                <w:rFonts w:ascii="Arial" w:eastAsia="Batang" w:hAnsi="Arial" w:cs="Arial"/>
                <w:b/>
                <w:bCs/>
                <w:sz w:val="18"/>
                <w:szCs w:val="18"/>
                <w:lang w:val="es-ES"/>
              </w:rPr>
            </w:pPr>
            <w:r>
              <w:rPr>
                <w:rFonts w:ascii="Arial" w:eastAsia="Batang" w:hAnsi="Arial" w:cs="Arial"/>
                <w:b/>
                <w:bCs/>
                <w:sz w:val="18"/>
                <w:szCs w:val="18"/>
                <w:lang w:val="es-ES"/>
              </w:rPr>
              <w:t>RIESGO MEDIO</w:t>
            </w:r>
          </w:p>
        </w:tc>
        <w:tc>
          <w:tcPr>
            <w:tcW w:w="4677" w:type="dxa"/>
          </w:tcPr>
          <w:p w14:paraId="25299A72" w14:textId="77777777" w:rsidR="00BE6B44" w:rsidRPr="00BD3C6B" w:rsidRDefault="00BE6B44" w:rsidP="0061790F">
            <w:pPr>
              <w:spacing w:after="100" w:afterAutospacing="1"/>
              <w:rPr>
                <w:rFonts w:ascii="Arial" w:eastAsia="Batang" w:hAnsi="Arial" w:cs="Arial"/>
                <w:sz w:val="20"/>
                <w:lang w:val="es-ES"/>
              </w:rPr>
            </w:pPr>
            <w:r w:rsidRPr="005E41FF">
              <w:rPr>
                <w:rFonts w:ascii="Arial" w:eastAsia="Batang" w:hAnsi="Arial" w:cs="Arial"/>
                <w:sz w:val="18"/>
                <w:szCs w:val="18"/>
                <w:lang w:val="es-ES"/>
              </w:rPr>
              <w:t xml:space="preserve">La categoría B) </w:t>
            </w:r>
            <w:r>
              <w:rPr>
                <w:rFonts w:ascii="Arial" w:eastAsia="Batang" w:hAnsi="Arial" w:cs="Arial"/>
                <w:sz w:val="18"/>
                <w:szCs w:val="18"/>
                <w:lang w:val="es-ES"/>
              </w:rPr>
              <w:t>se aplica a</w:t>
            </w:r>
            <w:r w:rsidRPr="005E41FF">
              <w:rPr>
                <w:rFonts w:ascii="Arial" w:eastAsia="Batang" w:hAnsi="Arial" w:cs="Arial"/>
                <w:sz w:val="18"/>
                <w:szCs w:val="18"/>
                <w:lang w:val="es-ES"/>
              </w:rPr>
              <w:t xml:space="preserve"> deudores con moras entre tres y cuatro trimestres.</w:t>
            </w:r>
            <w:r>
              <w:rPr>
                <w:rFonts w:ascii="Arial" w:eastAsia="Batang" w:hAnsi="Arial" w:cs="Arial"/>
                <w:sz w:val="18"/>
                <w:szCs w:val="18"/>
                <w:lang w:val="es-ES"/>
              </w:rPr>
              <w:t xml:space="preserve"> No se esperan pérdidas significativas.</w:t>
            </w:r>
          </w:p>
        </w:tc>
      </w:tr>
      <w:tr w:rsidR="00BE6B44" w:rsidRPr="00C20218" w14:paraId="2EC2CC33" w14:textId="77777777" w:rsidTr="0061790F">
        <w:tc>
          <w:tcPr>
            <w:tcW w:w="1555" w:type="dxa"/>
          </w:tcPr>
          <w:p w14:paraId="2CF258A5" w14:textId="77777777" w:rsidR="00BE6B44" w:rsidRDefault="00BE6B44" w:rsidP="0061790F">
            <w:pPr>
              <w:spacing w:after="100" w:afterAutospacing="1"/>
              <w:jc w:val="center"/>
              <w:rPr>
                <w:rFonts w:ascii="Arial" w:eastAsia="Batang" w:hAnsi="Arial" w:cs="Arial"/>
                <w:b/>
                <w:bCs/>
                <w:sz w:val="20"/>
                <w:lang w:val="es-ES"/>
              </w:rPr>
            </w:pPr>
            <w:r>
              <w:rPr>
                <w:rFonts w:ascii="Arial" w:eastAsia="Batang" w:hAnsi="Arial" w:cs="Arial"/>
                <w:b/>
                <w:bCs/>
                <w:sz w:val="20"/>
                <w:lang w:val="es-ES"/>
              </w:rPr>
              <w:t>C</w:t>
            </w:r>
          </w:p>
        </w:tc>
        <w:tc>
          <w:tcPr>
            <w:tcW w:w="3118" w:type="dxa"/>
          </w:tcPr>
          <w:p w14:paraId="683F8569" w14:textId="77777777" w:rsidR="00BE6B44" w:rsidRDefault="00BE6B44" w:rsidP="0061790F">
            <w:pPr>
              <w:spacing w:after="100" w:afterAutospacing="1"/>
              <w:rPr>
                <w:rFonts w:ascii="Arial" w:eastAsia="Batang" w:hAnsi="Arial" w:cs="Arial"/>
                <w:b/>
                <w:bCs/>
                <w:sz w:val="18"/>
                <w:szCs w:val="18"/>
                <w:lang w:val="es-ES"/>
              </w:rPr>
            </w:pPr>
            <w:r>
              <w:rPr>
                <w:rFonts w:ascii="Arial" w:eastAsia="Batang" w:hAnsi="Arial" w:cs="Arial"/>
                <w:b/>
                <w:bCs/>
                <w:sz w:val="18"/>
                <w:szCs w:val="18"/>
                <w:lang w:val="es-ES"/>
              </w:rPr>
              <w:t>RIESGO ALTO – NIVEL 1</w:t>
            </w:r>
          </w:p>
        </w:tc>
        <w:tc>
          <w:tcPr>
            <w:tcW w:w="4677" w:type="dxa"/>
          </w:tcPr>
          <w:p w14:paraId="67EDF452" w14:textId="640C51F9" w:rsidR="00BE6B44" w:rsidRPr="00BA170E" w:rsidRDefault="00BE6B44" w:rsidP="0061790F">
            <w:pPr>
              <w:spacing w:after="100" w:afterAutospacing="1"/>
              <w:rPr>
                <w:rFonts w:ascii="Arial" w:eastAsia="Batang" w:hAnsi="Arial" w:cs="Arial"/>
                <w:sz w:val="18"/>
                <w:szCs w:val="18"/>
                <w:lang w:val="es-ES"/>
              </w:rPr>
            </w:pPr>
            <w:r>
              <w:rPr>
                <w:rFonts w:ascii="Arial" w:eastAsia="Batang" w:hAnsi="Arial" w:cs="Arial"/>
                <w:sz w:val="18"/>
                <w:szCs w:val="18"/>
                <w:lang w:val="es-ES"/>
              </w:rPr>
              <w:t xml:space="preserve">Esta categoría </w:t>
            </w:r>
            <w:r w:rsidRPr="00BA170E">
              <w:rPr>
                <w:rFonts w:ascii="Arial" w:eastAsia="Batang" w:hAnsi="Arial" w:cs="Arial"/>
                <w:sz w:val="18"/>
                <w:szCs w:val="18"/>
                <w:lang w:val="es-ES"/>
              </w:rPr>
              <w:t xml:space="preserve">clasifica a los deudores con moras entre cinco y </w:t>
            </w:r>
            <w:r>
              <w:rPr>
                <w:rFonts w:ascii="Arial" w:eastAsia="Batang" w:hAnsi="Arial" w:cs="Arial"/>
                <w:sz w:val="18"/>
                <w:szCs w:val="18"/>
                <w:lang w:val="es-ES"/>
              </w:rPr>
              <w:t>ocho</w:t>
            </w:r>
            <w:r w:rsidRPr="00BA170E">
              <w:rPr>
                <w:rFonts w:ascii="Arial" w:eastAsia="Batang" w:hAnsi="Arial" w:cs="Arial"/>
                <w:sz w:val="18"/>
                <w:szCs w:val="18"/>
                <w:lang w:val="es-ES"/>
              </w:rPr>
              <w:t xml:space="preserve"> trimestres.</w:t>
            </w:r>
            <w:r>
              <w:rPr>
                <w:rFonts w:ascii="Arial" w:eastAsia="Batang" w:hAnsi="Arial" w:cs="Arial"/>
                <w:sz w:val="18"/>
                <w:szCs w:val="18"/>
                <w:lang w:val="es-ES"/>
              </w:rPr>
              <w:t xml:space="preserve"> Se estima que se podría materializar una pérdida del </w:t>
            </w:r>
            <w:r w:rsidR="00796636">
              <w:rPr>
                <w:rFonts w:ascii="Arial" w:eastAsia="Batang" w:hAnsi="Arial" w:cs="Arial"/>
                <w:sz w:val="18"/>
                <w:szCs w:val="18"/>
                <w:lang w:val="es-ES"/>
              </w:rPr>
              <w:t>31</w:t>
            </w:r>
            <w:r>
              <w:rPr>
                <w:rFonts w:ascii="Arial" w:eastAsia="Batang" w:hAnsi="Arial" w:cs="Arial"/>
                <w:sz w:val="18"/>
                <w:szCs w:val="18"/>
                <w:lang w:val="es-ES"/>
              </w:rPr>
              <w:t>% del monto de la cartera que presente este nivel de morosidad.</w:t>
            </w:r>
          </w:p>
        </w:tc>
      </w:tr>
      <w:tr w:rsidR="00BE6B44" w:rsidRPr="00C20218" w14:paraId="1C9E78A7" w14:textId="77777777" w:rsidTr="0061790F">
        <w:tc>
          <w:tcPr>
            <w:tcW w:w="1555" w:type="dxa"/>
          </w:tcPr>
          <w:p w14:paraId="02209546" w14:textId="77777777" w:rsidR="00BE6B44" w:rsidRPr="00F54075" w:rsidRDefault="00BE6B44" w:rsidP="0061790F">
            <w:pPr>
              <w:spacing w:after="100" w:afterAutospacing="1"/>
              <w:jc w:val="center"/>
              <w:rPr>
                <w:rFonts w:ascii="Arial" w:eastAsia="Batang" w:hAnsi="Arial" w:cs="Arial"/>
                <w:b/>
                <w:bCs/>
                <w:sz w:val="20"/>
                <w:lang w:val="es-ES"/>
              </w:rPr>
            </w:pPr>
            <w:r>
              <w:rPr>
                <w:rFonts w:ascii="Arial" w:eastAsia="Batang" w:hAnsi="Arial" w:cs="Arial"/>
                <w:b/>
                <w:bCs/>
                <w:sz w:val="20"/>
                <w:lang w:val="es-ES"/>
              </w:rPr>
              <w:t>D</w:t>
            </w:r>
          </w:p>
        </w:tc>
        <w:tc>
          <w:tcPr>
            <w:tcW w:w="3118" w:type="dxa"/>
          </w:tcPr>
          <w:p w14:paraId="370B629E" w14:textId="77777777" w:rsidR="00BE6B44" w:rsidRPr="00F54075" w:rsidRDefault="00BE6B44" w:rsidP="0061790F">
            <w:pPr>
              <w:spacing w:after="100" w:afterAutospacing="1"/>
              <w:rPr>
                <w:rFonts w:ascii="Arial" w:eastAsia="Batang" w:hAnsi="Arial" w:cs="Arial"/>
                <w:b/>
                <w:bCs/>
                <w:sz w:val="18"/>
                <w:szCs w:val="18"/>
                <w:lang w:val="es-ES"/>
              </w:rPr>
            </w:pPr>
            <w:r>
              <w:rPr>
                <w:rFonts w:ascii="Arial" w:eastAsia="Batang" w:hAnsi="Arial" w:cs="Arial"/>
                <w:b/>
                <w:bCs/>
                <w:sz w:val="18"/>
                <w:szCs w:val="18"/>
                <w:lang w:val="es-ES"/>
              </w:rPr>
              <w:t xml:space="preserve">RIESGO ALTO – NIVEL 2 </w:t>
            </w:r>
          </w:p>
        </w:tc>
        <w:tc>
          <w:tcPr>
            <w:tcW w:w="4677" w:type="dxa"/>
          </w:tcPr>
          <w:p w14:paraId="4AD3061E" w14:textId="77777777" w:rsidR="00BE6B44" w:rsidRPr="00AE65BE" w:rsidRDefault="00BE6B44" w:rsidP="0061790F">
            <w:pPr>
              <w:spacing w:after="100" w:afterAutospacing="1"/>
              <w:rPr>
                <w:rFonts w:ascii="Arial" w:eastAsia="Batang" w:hAnsi="Arial" w:cs="Arial"/>
                <w:sz w:val="18"/>
                <w:szCs w:val="18"/>
                <w:lang w:val="es-ES"/>
              </w:rPr>
            </w:pPr>
            <w:r w:rsidRPr="00AE65BE">
              <w:rPr>
                <w:rFonts w:ascii="Arial" w:eastAsia="Batang" w:hAnsi="Arial" w:cs="Arial"/>
                <w:sz w:val="18"/>
                <w:szCs w:val="18"/>
                <w:lang w:val="es-ES"/>
              </w:rPr>
              <w:t xml:space="preserve">Esta categoría se aplica </w:t>
            </w:r>
            <w:r>
              <w:rPr>
                <w:rFonts w:ascii="Arial" w:eastAsia="Batang" w:hAnsi="Arial" w:cs="Arial"/>
                <w:sz w:val="18"/>
                <w:szCs w:val="18"/>
                <w:lang w:val="es-ES"/>
              </w:rPr>
              <w:t>a deudores que presentan entre nueve</w:t>
            </w:r>
            <w:r w:rsidRPr="00AE65BE">
              <w:rPr>
                <w:rFonts w:ascii="Arial" w:eastAsia="Batang" w:hAnsi="Arial" w:cs="Arial"/>
                <w:sz w:val="18"/>
                <w:szCs w:val="18"/>
                <w:lang w:val="es-ES"/>
              </w:rPr>
              <w:t xml:space="preserve"> </w:t>
            </w:r>
            <w:r>
              <w:rPr>
                <w:rFonts w:ascii="Arial" w:eastAsia="Batang" w:hAnsi="Arial" w:cs="Arial"/>
                <w:sz w:val="18"/>
                <w:szCs w:val="18"/>
                <w:lang w:val="es-ES"/>
              </w:rPr>
              <w:t>y</w:t>
            </w:r>
            <w:r w:rsidRPr="00AE65BE">
              <w:rPr>
                <w:rFonts w:ascii="Arial" w:eastAsia="Batang" w:hAnsi="Arial" w:cs="Arial"/>
                <w:sz w:val="18"/>
                <w:szCs w:val="18"/>
                <w:lang w:val="es-ES"/>
              </w:rPr>
              <w:t xml:space="preserve"> </w:t>
            </w:r>
            <w:r>
              <w:rPr>
                <w:rFonts w:ascii="Arial" w:eastAsia="Batang" w:hAnsi="Arial" w:cs="Arial"/>
                <w:sz w:val="18"/>
                <w:szCs w:val="18"/>
                <w:lang w:val="es-ES"/>
              </w:rPr>
              <w:t xml:space="preserve">doce </w:t>
            </w:r>
            <w:r w:rsidRPr="00AE65BE">
              <w:rPr>
                <w:rFonts w:ascii="Arial" w:eastAsia="Batang" w:hAnsi="Arial" w:cs="Arial"/>
                <w:sz w:val="18"/>
                <w:szCs w:val="18"/>
                <w:lang w:val="es-ES"/>
              </w:rPr>
              <w:t>trimestres</w:t>
            </w:r>
            <w:r>
              <w:rPr>
                <w:rFonts w:ascii="Arial" w:eastAsia="Batang" w:hAnsi="Arial" w:cs="Arial"/>
                <w:sz w:val="18"/>
                <w:szCs w:val="18"/>
                <w:lang w:val="es-ES"/>
              </w:rPr>
              <w:t xml:space="preserve"> de atraso en el pago de sus obligaciones.  Se estima que se podría materializar una pérdida del 50% del monto de la cartera que presente este nivel de morosidad.</w:t>
            </w:r>
          </w:p>
        </w:tc>
      </w:tr>
      <w:tr w:rsidR="00BE6B44" w:rsidRPr="00C20218" w14:paraId="55F830A0" w14:textId="77777777" w:rsidTr="0061790F">
        <w:tc>
          <w:tcPr>
            <w:tcW w:w="1555" w:type="dxa"/>
          </w:tcPr>
          <w:p w14:paraId="06876AA6" w14:textId="77777777" w:rsidR="00BE6B44" w:rsidRPr="00F54075" w:rsidRDefault="00BE6B44" w:rsidP="0061790F">
            <w:pPr>
              <w:spacing w:after="100" w:afterAutospacing="1"/>
              <w:jc w:val="center"/>
              <w:rPr>
                <w:rFonts w:ascii="Arial" w:eastAsia="Batang" w:hAnsi="Arial" w:cs="Arial"/>
                <w:b/>
                <w:bCs/>
                <w:sz w:val="20"/>
                <w:lang w:val="es-ES"/>
              </w:rPr>
            </w:pPr>
            <w:r>
              <w:rPr>
                <w:rFonts w:ascii="Arial" w:eastAsia="Batang" w:hAnsi="Arial" w:cs="Arial"/>
                <w:b/>
                <w:bCs/>
                <w:sz w:val="20"/>
                <w:lang w:val="es-ES"/>
              </w:rPr>
              <w:t>E</w:t>
            </w:r>
          </w:p>
        </w:tc>
        <w:tc>
          <w:tcPr>
            <w:tcW w:w="3118" w:type="dxa"/>
          </w:tcPr>
          <w:p w14:paraId="14131CD4" w14:textId="77777777" w:rsidR="00BE6B44" w:rsidRPr="00F54075" w:rsidRDefault="00BE6B44" w:rsidP="0061790F">
            <w:pPr>
              <w:spacing w:after="100" w:afterAutospacing="1"/>
              <w:rPr>
                <w:rFonts w:ascii="Arial" w:eastAsia="Batang" w:hAnsi="Arial" w:cs="Arial"/>
                <w:b/>
                <w:bCs/>
                <w:sz w:val="18"/>
                <w:szCs w:val="18"/>
                <w:lang w:val="es-ES"/>
              </w:rPr>
            </w:pPr>
            <w:r>
              <w:rPr>
                <w:rFonts w:ascii="Arial" w:eastAsia="Batang" w:hAnsi="Arial" w:cs="Arial"/>
                <w:b/>
                <w:bCs/>
                <w:sz w:val="18"/>
                <w:szCs w:val="18"/>
                <w:lang w:val="es-ES"/>
              </w:rPr>
              <w:t>RIESGO ALTO – NIVEL 3</w:t>
            </w:r>
          </w:p>
        </w:tc>
        <w:tc>
          <w:tcPr>
            <w:tcW w:w="4677" w:type="dxa"/>
          </w:tcPr>
          <w:p w14:paraId="3C459F2C" w14:textId="77777777" w:rsidR="00BE6B44" w:rsidRPr="00BD3C6B" w:rsidRDefault="00BE6B44" w:rsidP="0061790F">
            <w:pPr>
              <w:spacing w:after="100" w:afterAutospacing="1"/>
              <w:rPr>
                <w:rFonts w:ascii="Arial" w:eastAsia="Batang" w:hAnsi="Arial" w:cs="Arial"/>
                <w:sz w:val="20"/>
                <w:lang w:val="es-ES"/>
              </w:rPr>
            </w:pPr>
            <w:r w:rsidRPr="00AE65BE">
              <w:rPr>
                <w:rFonts w:ascii="Arial" w:eastAsia="Batang" w:hAnsi="Arial" w:cs="Arial"/>
                <w:sz w:val="18"/>
                <w:szCs w:val="18"/>
                <w:lang w:val="es-ES"/>
              </w:rPr>
              <w:t xml:space="preserve">Esta categoría se aplica </w:t>
            </w:r>
            <w:r>
              <w:rPr>
                <w:rFonts w:ascii="Arial" w:eastAsia="Batang" w:hAnsi="Arial" w:cs="Arial"/>
                <w:sz w:val="18"/>
                <w:szCs w:val="18"/>
                <w:lang w:val="es-ES"/>
              </w:rPr>
              <w:t>a deudores que presentan entre trece</w:t>
            </w:r>
            <w:r w:rsidRPr="00AE65BE">
              <w:rPr>
                <w:rFonts w:ascii="Arial" w:eastAsia="Batang" w:hAnsi="Arial" w:cs="Arial"/>
                <w:sz w:val="18"/>
                <w:szCs w:val="18"/>
                <w:lang w:val="es-ES"/>
              </w:rPr>
              <w:t xml:space="preserve"> </w:t>
            </w:r>
            <w:r>
              <w:rPr>
                <w:rFonts w:ascii="Arial" w:eastAsia="Batang" w:hAnsi="Arial" w:cs="Arial"/>
                <w:sz w:val="18"/>
                <w:szCs w:val="18"/>
                <w:lang w:val="es-ES"/>
              </w:rPr>
              <w:t>y</w:t>
            </w:r>
            <w:r w:rsidRPr="00AE65BE">
              <w:rPr>
                <w:rFonts w:ascii="Arial" w:eastAsia="Batang" w:hAnsi="Arial" w:cs="Arial"/>
                <w:sz w:val="18"/>
                <w:szCs w:val="18"/>
                <w:lang w:val="es-ES"/>
              </w:rPr>
              <w:t xml:space="preserve"> </w:t>
            </w:r>
            <w:r>
              <w:rPr>
                <w:rFonts w:ascii="Arial" w:eastAsia="Batang" w:hAnsi="Arial" w:cs="Arial"/>
                <w:sz w:val="18"/>
                <w:szCs w:val="18"/>
                <w:lang w:val="es-ES"/>
              </w:rPr>
              <w:t xml:space="preserve">dieciséis </w:t>
            </w:r>
            <w:r w:rsidRPr="00AE65BE">
              <w:rPr>
                <w:rFonts w:ascii="Arial" w:eastAsia="Batang" w:hAnsi="Arial" w:cs="Arial"/>
                <w:sz w:val="18"/>
                <w:szCs w:val="18"/>
                <w:lang w:val="es-ES"/>
              </w:rPr>
              <w:t>trimestres</w:t>
            </w:r>
            <w:r>
              <w:rPr>
                <w:rFonts w:ascii="Arial" w:eastAsia="Batang" w:hAnsi="Arial" w:cs="Arial"/>
                <w:sz w:val="18"/>
                <w:szCs w:val="18"/>
                <w:lang w:val="es-ES"/>
              </w:rPr>
              <w:t xml:space="preserve"> de atraso en el pago de sus obligaciones.  Se estima que se podría materializar una pérdida del 65% del monto de la cartera que presente este nivel de morosidad.</w:t>
            </w:r>
          </w:p>
        </w:tc>
      </w:tr>
      <w:tr w:rsidR="00BE6B44" w:rsidRPr="00C20218" w14:paraId="05E9374D" w14:textId="77777777" w:rsidTr="0061790F">
        <w:tc>
          <w:tcPr>
            <w:tcW w:w="1555" w:type="dxa"/>
          </w:tcPr>
          <w:p w14:paraId="2D6E5B91" w14:textId="77777777" w:rsidR="00BE6B44" w:rsidRPr="00F54075" w:rsidRDefault="00BE6B44" w:rsidP="0061790F">
            <w:pPr>
              <w:spacing w:after="100" w:afterAutospacing="1"/>
              <w:jc w:val="center"/>
              <w:rPr>
                <w:rFonts w:ascii="Arial" w:eastAsia="Batang" w:hAnsi="Arial" w:cs="Arial"/>
                <w:b/>
                <w:bCs/>
                <w:sz w:val="20"/>
                <w:lang w:val="es-ES"/>
              </w:rPr>
            </w:pPr>
            <w:r>
              <w:rPr>
                <w:rFonts w:ascii="Arial" w:eastAsia="Batang" w:hAnsi="Arial" w:cs="Arial"/>
                <w:b/>
                <w:bCs/>
                <w:sz w:val="20"/>
                <w:lang w:val="es-ES"/>
              </w:rPr>
              <w:t>F</w:t>
            </w:r>
          </w:p>
        </w:tc>
        <w:tc>
          <w:tcPr>
            <w:tcW w:w="3118" w:type="dxa"/>
          </w:tcPr>
          <w:p w14:paraId="7DBBA3A9" w14:textId="77777777" w:rsidR="00BE6B44" w:rsidRPr="00F54075" w:rsidRDefault="00BE6B44" w:rsidP="0061790F">
            <w:pPr>
              <w:spacing w:after="100" w:afterAutospacing="1"/>
              <w:rPr>
                <w:rFonts w:ascii="Arial" w:eastAsia="Batang" w:hAnsi="Arial" w:cs="Arial"/>
                <w:b/>
                <w:bCs/>
                <w:sz w:val="18"/>
                <w:szCs w:val="18"/>
                <w:lang w:val="es-ES"/>
              </w:rPr>
            </w:pPr>
            <w:r>
              <w:rPr>
                <w:rFonts w:ascii="Arial" w:eastAsia="Batang" w:hAnsi="Arial" w:cs="Arial"/>
                <w:b/>
                <w:bCs/>
                <w:sz w:val="18"/>
                <w:szCs w:val="18"/>
                <w:lang w:val="es-ES"/>
              </w:rPr>
              <w:t>RIESGO ALTO – NIVEL 4</w:t>
            </w:r>
          </w:p>
        </w:tc>
        <w:tc>
          <w:tcPr>
            <w:tcW w:w="4677" w:type="dxa"/>
          </w:tcPr>
          <w:p w14:paraId="2282905E" w14:textId="77777777" w:rsidR="00BE6B44" w:rsidRPr="00BD3C6B" w:rsidRDefault="00BE6B44" w:rsidP="0061790F">
            <w:pPr>
              <w:spacing w:after="100" w:afterAutospacing="1"/>
              <w:rPr>
                <w:rFonts w:ascii="Arial" w:eastAsia="Batang" w:hAnsi="Arial" w:cs="Arial"/>
                <w:sz w:val="20"/>
                <w:lang w:val="es-ES"/>
              </w:rPr>
            </w:pPr>
            <w:r w:rsidRPr="00AE65BE">
              <w:rPr>
                <w:rFonts w:ascii="Arial" w:eastAsia="Batang" w:hAnsi="Arial" w:cs="Arial"/>
                <w:sz w:val="18"/>
                <w:szCs w:val="18"/>
                <w:lang w:val="es-ES"/>
              </w:rPr>
              <w:t xml:space="preserve">Esta categoría se aplica </w:t>
            </w:r>
            <w:r>
              <w:rPr>
                <w:rFonts w:ascii="Arial" w:eastAsia="Batang" w:hAnsi="Arial" w:cs="Arial"/>
                <w:sz w:val="18"/>
                <w:szCs w:val="18"/>
                <w:lang w:val="es-ES"/>
              </w:rPr>
              <w:t xml:space="preserve">a deudores que presentan más de dieciséis </w:t>
            </w:r>
            <w:r w:rsidRPr="00AE65BE">
              <w:rPr>
                <w:rFonts w:ascii="Arial" w:eastAsia="Batang" w:hAnsi="Arial" w:cs="Arial"/>
                <w:sz w:val="18"/>
                <w:szCs w:val="18"/>
                <w:lang w:val="es-ES"/>
              </w:rPr>
              <w:t>trimestres</w:t>
            </w:r>
            <w:r>
              <w:rPr>
                <w:rFonts w:ascii="Arial" w:eastAsia="Batang" w:hAnsi="Arial" w:cs="Arial"/>
                <w:sz w:val="18"/>
                <w:szCs w:val="18"/>
                <w:lang w:val="es-ES"/>
              </w:rPr>
              <w:t xml:space="preserve"> de atraso en el pago de sus obligaciones.  Se estima que se podría </w:t>
            </w:r>
            <w:r>
              <w:rPr>
                <w:rFonts w:ascii="Arial" w:eastAsia="Batang" w:hAnsi="Arial" w:cs="Arial"/>
                <w:sz w:val="18"/>
                <w:szCs w:val="18"/>
                <w:lang w:val="es-ES"/>
              </w:rPr>
              <w:lastRenderedPageBreak/>
              <w:t>materializar una pérdida del 85% del monto de la cartera que presente este nivel de morosidad.</w:t>
            </w:r>
          </w:p>
        </w:tc>
      </w:tr>
    </w:tbl>
    <w:p w14:paraId="5EFB2D95" w14:textId="77777777" w:rsidR="00BE6B44" w:rsidRDefault="00BE6B44" w:rsidP="00BE6B44">
      <w:pPr>
        <w:spacing w:after="120" w:line="240" w:lineRule="auto"/>
        <w:rPr>
          <w:color w:val="000000"/>
          <w:lang w:eastAsia="es-ES"/>
        </w:rPr>
      </w:pPr>
    </w:p>
    <w:p w14:paraId="65109833" w14:textId="77777777" w:rsidR="00BE6B44" w:rsidRPr="00A91674" w:rsidRDefault="00BE6B44" w:rsidP="00BE6B44">
      <w:pPr>
        <w:spacing w:after="120" w:line="240" w:lineRule="auto"/>
        <w:rPr>
          <w:color w:val="000000"/>
          <w:lang w:val="es-ES" w:eastAsia="es-ES"/>
        </w:rPr>
      </w:pPr>
      <w:r w:rsidRPr="00A91674">
        <w:rPr>
          <w:color w:val="000000"/>
          <w:lang w:val="es-ES" w:eastAsia="es-ES"/>
        </w:rPr>
        <w:t>Indicar los procedimientos utilizados para la determinación de los valores razonables para cada clase de activo financiero:</w:t>
      </w:r>
    </w:p>
    <w:p w14:paraId="48ABCC05" w14:textId="77777777" w:rsidR="00BE6B44" w:rsidRPr="00A91674" w:rsidRDefault="00BE6B44" w:rsidP="00BE6B44">
      <w:pPr>
        <w:spacing w:after="0" w:line="240" w:lineRule="auto"/>
        <w:rPr>
          <w:color w:val="000000"/>
          <w:lang w:val="es-ES" w:eastAsia="es-ES"/>
        </w:rPr>
      </w:pPr>
    </w:p>
    <w:p w14:paraId="01BEC073" w14:textId="77777777" w:rsidR="00BE6B44" w:rsidRDefault="00BE6B44" w:rsidP="00BE6B44">
      <w:pPr>
        <w:spacing w:after="120" w:line="240" w:lineRule="auto"/>
        <w:rPr>
          <w:rFonts w:cs="Calibri"/>
        </w:rPr>
      </w:pPr>
      <w:r>
        <w:rPr>
          <w:rFonts w:cs="Calibri"/>
          <w:lang w:val="es-ES"/>
        </w:rPr>
        <w:t xml:space="preserve">De acuerdo con lo establecido en la normativa contable </w:t>
      </w:r>
      <w:r w:rsidRPr="00A91674">
        <w:rPr>
          <w:rFonts w:cs="Calibri"/>
        </w:rPr>
        <w:t xml:space="preserve">las cuentas por cobrar </w:t>
      </w:r>
      <w:r>
        <w:rPr>
          <w:rFonts w:cs="Calibri"/>
        </w:rPr>
        <w:t xml:space="preserve">son activos financieros no-derivados con pagos fijos o determinables que no son cotizados en un mercado activo. Estas cuentas se reconocen a valor razonable a través de superávit o déficit. </w:t>
      </w:r>
    </w:p>
    <w:p w14:paraId="0DE9AD15" w14:textId="77777777" w:rsidR="00BE6B44" w:rsidRDefault="00BE6B44" w:rsidP="00BE6B44">
      <w:pPr>
        <w:spacing w:after="0" w:line="240" w:lineRule="auto"/>
        <w:rPr>
          <w:rFonts w:cs="Calibri"/>
        </w:rPr>
      </w:pPr>
      <w:r w:rsidRPr="00A91674">
        <w:rPr>
          <w:rFonts w:cs="Calibri"/>
        </w:rPr>
        <w:t xml:space="preserve"> </w:t>
      </w:r>
    </w:p>
    <w:p w14:paraId="58A1C609" w14:textId="0897D024" w:rsidR="00BE6B44" w:rsidRDefault="00BE6B44" w:rsidP="00BE6B44">
      <w:pPr>
        <w:spacing w:after="120" w:line="240" w:lineRule="auto"/>
        <w:rPr>
          <w:rFonts w:cs="Calibri"/>
        </w:rPr>
      </w:pPr>
      <w:r>
        <w:rPr>
          <w:rFonts w:cs="Calibri"/>
        </w:rPr>
        <w:t xml:space="preserve">Las cuentas por cobrar se contabilizan </w:t>
      </w:r>
      <w:r w:rsidRPr="00A91674">
        <w:rPr>
          <w:rFonts w:cs="Calibri"/>
        </w:rPr>
        <w:t xml:space="preserve">bajo el método de </w:t>
      </w:r>
      <w:r>
        <w:rPr>
          <w:rFonts w:cs="Calibri"/>
        </w:rPr>
        <w:t>d</w:t>
      </w:r>
      <w:r w:rsidRPr="00A91674">
        <w:rPr>
          <w:rFonts w:cs="Calibri"/>
        </w:rPr>
        <w:t>evengo</w:t>
      </w:r>
      <w:r>
        <w:rPr>
          <w:rFonts w:cs="Calibri"/>
        </w:rPr>
        <w:t xml:space="preserve">, es decir, contra ingresos considerando los momentos definidos en el Código Municipal en que la Municipalidad tiene derecho al cobro de las tasas y tributos; a saber, los montos de las tasas por trimestre vencido y los impuestos y patentes por trimestre adelantado. El saldo al </w:t>
      </w:r>
      <w:r w:rsidR="00796636">
        <w:rPr>
          <w:rFonts w:cs="Calibri"/>
        </w:rPr>
        <w:t>31</w:t>
      </w:r>
      <w:r>
        <w:rPr>
          <w:rFonts w:cs="Calibri"/>
        </w:rPr>
        <w:t xml:space="preserve"> de </w:t>
      </w:r>
      <w:r w:rsidR="00D64CF8">
        <w:rPr>
          <w:rFonts w:cs="Calibri"/>
        </w:rPr>
        <w:t>diciembre</w:t>
      </w:r>
      <w:r>
        <w:rPr>
          <w:rFonts w:cs="Calibri"/>
        </w:rPr>
        <w:t xml:space="preserve"> está conformado por los montos puestos al cobro en el año 2023 que aún se encuentran pendientes de cobro, los montos de tasas por servicios correspondientes al primer trimestre 2024 y los impuestos y patentes correspondientes al tercer trimestre del año 2023, que aún se encontraban pendientes de cobrar.</w:t>
      </w:r>
    </w:p>
    <w:p w14:paraId="51373C15" w14:textId="77777777" w:rsidR="00BE6B44" w:rsidRDefault="00BE6B44" w:rsidP="00BE6B44">
      <w:pPr>
        <w:spacing w:after="120" w:line="240" w:lineRule="auto"/>
        <w:rPr>
          <w:rFonts w:cs="Calibri"/>
        </w:rPr>
      </w:pPr>
    </w:p>
    <w:p w14:paraId="4F08D249" w14:textId="77777777" w:rsidR="00BE6B44" w:rsidRPr="00A91674" w:rsidRDefault="00BE6B44" w:rsidP="00BE6B44">
      <w:pPr>
        <w:spacing w:after="120" w:line="240" w:lineRule="auto"/>
        <w:rPr>
          <w:color w:val="000000"/>
          <w:lang w:val="es-ES" w:eastAsia="es-ES"/>
        </w:rPr>
      </w:pPr>
      <w:r w:rsidRPr="00A91674">
        <w:rPr>
          <w:color w:val="000000"/>
          <w:lang w:val="es-ES" w:eastAsia="es-ES"/>
        </w:rPr>
        <w:t xml:space="preserve">Los montos </w:t>
      </w:r>
      <w:r>
        <w:rPr>
          <w:color w:val="000000"/>
          <w:lang w:val="es-ES" w:eastAsia="es-ES"/>
        </w:rPr>
        <w:t>que se reconocen por concepto de tasa e impuestos son establecidos por la Municipalidad y aprobados por el Concejo o la Asamblea legislativa según corresponda de acuerdo con lo dictado por los artículos números 77, 81, 83 del Código Municipal. Asimismo, se consideran centro de las cuentas por cobrar los</w:t>
      </w:r>
      <w:r w:rsidRPr="00A91674">
        <w:rPr>
          <w:color w:val="000000"/>
          <w:lang w:val="es-ES" w:eastAsia="es-ES"/>
        </w:rPr>
        <w:t xml:space="preserve"> derecho</w:t>
      </w:r>
      <w:r>
        <w:rPr>
          <w:color w:val="000000"/>
          <w:lang w:val="es-ES" w:eastAsia="es-ES"/>
        </w:rPr>
        <w:t>s</w:t>
      </w:r>
      <w:r w:rsidRPr="00A91674">
        <w:rPr>
          <w:color w:val="000000"/>
          <w:lang w:val="es-ES" w:eastAsia="es-ES"/>
        </w:rPr>
        <w:t xml:space="preserve"> adquirido</w:t>
      </w:r>
      <w:r>
        <w:rPr>
          <w:color w:val="000000"/>
          <w:lang w:val="es-ES" w:eastAsia="es-ES"/>
        </w:rPr>
        <w:t>s</w:t>
      </w:r>
      <w:r w:rsidRPr="00A91674">
        <w:rPr>
          <w:color w:val="000000"/>
          <w:lang w:val="es-ES" w:eastAsia="es-ES"/>
        </w:rPr>
        <w:t xml:space="preserve"> de recibir recursos externos </w:t>
      </w:r>
      <w:r>
        <w:rPr>
          <w:color w:val="000000"/>
          <w:lang w:val="es-ES" w:eastAsia="es-ES"/>
        </w:rPr>
        <w:t xml:space="preserve">provenientes de las </w:t>
      </w:r>
      <w:r w:rsidRPr="00A91674">
        <w:rPr>
          <w:color w:val="000000"/>
          <w:lang w:val="es-ES" w:eastAsia="es-ES"/>
        </w:rPr>
        <w:t>leyes de Presupuesto ordinario y extraordinario de la República de Costa Rica</w:t>
      </w:r>
      <w:r>
        <w:rPr>
          <w:color w:val="000000"/>
          <w:lang w:val="es-ES" w:eastAsia="es-ES"/>
        </w:rPr>
        <w:t>. En el caso de las cuentas por cobrar relacionadas con arreglos de pago</w:t>
      </w:r>
      <w:r w:rsidRPr="00A91674">
        <w:rPr>
          <w:color w:val="000000"/>
          <w:lang w:val="es-ES" w:eastAsia="es-ES"/>
        </w:rPr>
        <w:t>,</w:t>
      </w:r>
      <w:r>
        <w:rPr>
          <w:color w:val="000000"/>
          <w:lang w:val="es-ES" w:eastAsia="es-ES"/>
        </w:rPr>
        <w:t xml:space="preserve"> se constituirán en documentos por cobrar que se registrarán por el valor del principal más las sumas por intereses y multas acumuladas que se hayan generado, </w:t>
      </w:r>
      <w:r w:rsidRPr="00A91674">
        <w:rPr>
          <w:color w:val="000000"/>
          <w:lang w:val="es-ES" w:eastAsia="es-ES"/>
        </w:rPr>
        <w:t xml:space="preserve">más </w:t>
      </w:r>
      <w:r>
        <w:rPr>
          <w:color w:val="000000"/>
          <w:lang w:val="es-ES" w:eastAsia="es-ES"/>
        </w:rPr>
        <w:t>cualquier otro c</w:t>
      </w:r>
      <w:r w:rsidRPr="00A91674">
        <w:rPr>
          <w:color w:val="000000"/>
          <w:lang w:val="es-ES" w:eastAsia="es-ES"/>
        </w:rPr>
        <w:t xml:space="preserve">osto </w:t>
      </w:r>
      <w:r>
        <w:rPr>
          <w:color w:val="000000"/>
          <w:lang w:val="es-ES" w:eastAsia="es-ES"/>
        </w:rPr>
        <w:t xml:space="preserve">en el que se incurra </w:t>
      </w:r>
      <w:r w:rsidRPr="00A91674">
        <w:rPr>
          <w:color w:val="000000"/>
          <w:lang w:val="es-ES" w:eastAsia="es-ES"/>
        </w:rPr>
        <w:t>e</w:t>
      </w:r>
      <w:r>
        <w:rPr>
          <w:color w:val="000000"/>
          <w:lang w:val="es-ES" w:eastAsia="es-ES"/>
        </w:rPr>
        <w:t>n la</w:t>
      </w:r>
      <w:r w:rsidRPr="00A91674">
        <w:rPr>
          <w:color w:val="000000"/>
          <w:lang w:val="es-ES" w:eastAsia="es-ES"/>
        </w:rPr>
        <w:t xml:space="preserve"> </w:t>
      </w:r>
      <w:r>
        <w:rPr>
          <w:color w:val="000000"/>
          <w:lang w:val="es-ES" w:eastAsia="es-ES"/>
        </w:rPr>
        <w:t>t</w:t>
      </w:r>
      <w:r w:rsidRPr="00A91674">
        <w:rPr>
          <w:color w:val="000000"/>
          <w:lang w:val="es-ES" w:eastAsia="es-ES"/>
        </w:rPr>
        <w:t>ransacción que sean directamente atribuibles a la emisión de este. La medición posterior al reconocimiento inicial que se empleará será el método de costo amortizado</w:t>
      </w:r>
      <w:r>
        <w:rPr>
          <w:color w:val="000000"/>
          <w:lang w:val="es-ES" w:eastAsia="es-ES"/>
        </w:rPr>
        <w:t xml:space="preserve"> para aquellas cuentas que se consideren de largo plazo.</w:t>
      </w:r>
    </w:p>
    <w:p w14:paraId="5F68643F" w14:textId="77777777" w:rsidR="00396CB4" w:rsidRPr="00396CB4" w:rsidRDefault="00692DC8" w:rsidP="00464861">
      <w:pPr>
        <w:rPr>
          <w:rFonts w:ascii="Calibri" w:eastAsia="Calibri" w:hAnsi="Calibri"/>
          <w:b/>
          <w:sz w:val="20"/>
          <w:szCs w:val="20"/>
          <w:lang w:eastAsia="es-CR"/>
        </w:rPr>
      </w:pPr>
      <w:r w:rsidRPr="00464861">
        <w:rPr>
          <w:b/>
          <w:lang w:val="es-ES" w:eastAsia="es-CR"/>
        </w:rPr>
        <w:t xml:space="preserve">Revelación: </w:t>
      </w:r>
      <w:bookmarkStart w:id="204" w:name="_Hlk99359439"/>
      <w:bookmarkStart w:id="205" w:name="_Toc13041051"/>
      <w:bookmarkStart w:id="206" w:name="_Toc14345050"/>
      <w:r w:rsidR="00FF374B">
        <w:rPr>
          <w:rFonts w:cs="Calibri"/>
          <w:color w:val="000000"/>
          <w:lang w:eastAsia="es-CR"/>
        </w:rPr>
        <w:fldChar w:fldCharType="begin"/>
      </w:r>
      <w:r w:rsidR="00FF374B">
        <w:rPr>
          <w:rFonts w:cs="Calibri"/>
          <w:color w:val="000000"/>
          <w:lang w:eastAsia="es-CR"/>
        </w:rPr>
        <w:instrText xml:space="preserve"> LINK </w:instrText>
      </w:r>
      <w:r w:rsidR="00756467">
        <w:rPr>
          <w:rFonts w:cs="Calibri"/>
          <w:color w:val="000000"/>
          <w:lang w:eastAsia="es-CR"/>
        </w:rPr>
        <w:instrText xml:space="preserve">Excel.SheetMacroEnabled.12 "C:\\Users\\gcordero\\Downloads\\Notas diciembre 2024\\Formato_Notas_EEFF_Vinculadas_2024\\Formato_Notas_EEFF_Vinculadas_2024\\15603_T04_2024_Anexo_Estado_Notas_Contables_Vinculadas.xlsm" NOTAS_POR_CUENTA!F14C8 </w:instrText>
      </w:r>
      <w:r w:rsidR="00FF374B">
        <w:rPr>
          <w:rFonts w:cs="Calibri"/>
          <w:color w:val="000000"/>
          <w:lang w:eastAsia="es-CR"/>
        </w:rPr>
        <w:instrText xml:space="preserve">\a \f 5 \h  \* MERGEFORMAT </w:instrText>
      </w:r>
      <w:r w:rsidR="00FF374B">
        <w:rPr>
          <w:rFonts w:cs="Calibri"/>
          <w:color w:val="000000"/>
          <w:lang w:eastAsia="es-CR"/>
        </w:rPr>
        <w:fldChar w:fldCharType="separate"/>
      </w:r>
    </w:p>
    <w:p w14:paraId="317EF8DE" w14:textId="77777777" w:rsidR="00396CB4" w:rsidRPr="00396CB4" w:rsidRDefault="00396CB4" w:rsidP="00396CB4">
      <w:pPr>
        <w:rPr>
          <w:rFonts w:cs="Calibri"/>
          <w:color w:val="000000"/>
          <w:lang w:eastAsia="es-CR"/>
        </w:rPr>
      </w:pPr>
      <w:r w:rsidRPr="00396CB4">
        <w:rPr>
          <w:rFonts w:cs="Calibri"/>
          <w:color w:val="000000"/>
          <w:lang w:eastAsia="es-CR"/>
        </w:rPr>
        <w:t>La cuenta Cuentas a cobrar a corto plazo, representa el 0,47% del total del Activo, que comparado al periodo anterior genera una variación absoluta de 293 374,96 que corresponde a un Aumento del 59,16% de recursos disponibles.</w:t>
      </w:r>
    </w:p>
    <w:p w14:paraId="26D93EE6" w14:textId="6F347937" w:rsidR="00D57597" w:rsidRDefault="00FF374B" w:rsidP="00464861">
      <w:pPr>
        <w:rPr>
          <w:szCs w:val="24"/>
          <w:lang w:eastAsia="es-CR"/>
        </w:rPr>
      </w:pPr>
      <w:r>
        <w:rPr>
          <w:rFonts w:cs="Calibri"/>
          <w:color w:val="000000"/>
          <w:lang w:eastAsia="es-CR"/>
        </w:rPr>
        <w:fldChar w:fldCharType="end"/>
      </w:r>
      <w:r w:rsidR="00692DC8" w:rsidRPr="00692DC8">
        <w:rPr>
          <w:szCs w:val="24"/>
          <w:highlight w:val="lightGray"/>
          <w:lang w:eastAsia="es-CR"/>
        </w:rPr>
        <w:t>Las variaciones de la cuenta son producto de (Indicar la razón de las variaciones de un periodo a otro):</w:t>
      </w:r>
      <w:r w:rsidR="00692DC8" w:rsidRPr="00692DC8">
        <w:rPr>
          <w:szCs w:val="24"/>
          <w:lang w:eastAsia="es-CR"/>
        </w:rPr>
        <w:t xml:space="preserve"> </w:t>
      </w:r>
      <w:bookmarkEnd w:id="204"/>
    </w:p>
    <w:p w14:paraId="48D34B97" w14:textId="1950B740" w:rsidR="00BE6B44" w:rsidRPr="005A22AD" w:rsidRDefault="00BE6B44" w:rsidP="00BE6B44">
      <w:pPr>
        <w:spacing w:after="120" w:line="240" w:lineRule="auto"/>
      </w:pPr>
      <w:r w:rsidRPr="005A22AD">
        <w:t xml:space="preserve">Como se puede observar en el detalle de las cuentas por cobrar al </w:t>
      </w:r>
      <w:r w:rsidR="00796636" w:rsidRPr="005A22AD">
        <w:t>31</w:t>
      </w:r>
      <w:r w:rsidRPr="005A22AD">
        <w:t xml:space="preserve"> de </w:t>
      </w:r>
      <w:r w:rsidR="00D64CF8" w:rsidRPr="005A22AD">
        <w:t>diciembre</w:t>
      </w:r>
      <w:r w:rsidRPr="005A22AD">
        <w:t xml:space="preserve"> de 2024, que se incluye a continuación la variación positiva de </w:t>
      </w:r>
      <w:r w:rsidR="00FD2C93" w:rsidRPr="005A22AD">
        <w:rPr>
          <w:rFonts w:ascii="Arial" w:hAnsi="Arial" w:cs="Arial"/>
        </w:rPr>
        <w:t>₡</w:t>
      </w:r>
      <w:r w:rsidR="00FD2C93" w:rsidRPr="005A22AD">
        <w:rPr>
          <w:rFonts w:cs="Arial"/>
        </w:rPr>
        <w:t xml:space="preserve">293 374,96 </w:t>
      </w:r>
      <w:r w:rsidRPr="005A22AD">
        <w:t xml:space="preserve">miles que se presenta en las cuentas por cobrar entre los meses de </w:t>
      </w:r>
      <w:r w:rsidR="00D64CF8" w:rsidRPr="005A22AD">
        <w:t>diciembre</w:t>
      </w:r>
      <w:r w:rsidRPr="005A22AD">
        <w:t xml:space="preserve"> de 2023 y 2024, corresponde principalmente a que los Impuestos a cobrar a corto plazo presentan una variación de </w:t>
      </w:r>
      <w:r w:rsidR="00FD2C93" w:rsidRPr="005A22AD">
        <w:rPr>
          <w:rFonts w:cs="Arial"/>
        </w:rPr>
        <w:t>-</w:t>
      </w:r>
      <w:r w:rsidR="00FD2C93" w:rsidRPr="005A22AD">
        <w:rPr>
          <w:rFonts w:ascii="Arial" w:hAnsi="Arial" w:cs="Arial"/>
        </w:rPr>
        <w:t>₡</w:t>
      </w:r>
      <w:r w:rsidR="00FD2C93" w:rsidRPr="005A22AD">
        <w:rPr>
          <w:rFonts w:cs="Arial"/>
        </w:rPr>
        <w:t>48 663,70</w:t>
      </w:r>
      <w:r w:rsidRPr="005A22AD">
        <w:t xml:space="preserve">, las Transferencias a cobrar a corto plazo presenta una variación de </w:t>
      </w:r>
      <w:r w:rsidR="00330344" w:rsidRPr="005A22AD">
        <w:rPr>
          <w:rFonts w:ascii="Arial" w:hAnsi="Arial" w:cs="Arial"/>
        </w:rPr>
        <w:t>₡</w:t>
      </w:r>
      <w:r w:rsidR="00330344" w:rsidRPr="005A22AD">
        <w:t>341 834,39</w:t>
      </w:r>
      <w:r w:rsidRPr="005A22AD">
        <w:t xml:space="preserve"> </w:t>
      </w:r>
      <w:r w:rsidR="005A22AD" w:rsidRPr="005A22AD">
        <w:t>miles estas corresponden a la L</w:t>
      </w:r>
      <w:r w:rsidR="000724B9" w:rsidRPr="005A22AD">
        <w:t>ey 8114</w:t>
      </w:r>
      <w:r w:rsidR="005A22AD" w:rsidRPr="005A22AD">
        <w:t xml:space="preserve"> que debieron depositar en el presente periodo y que según oficio;</w:t>
      </w:r>
      <w:r w:rsidR="000724B9" w:rsidRPr="005A22AD">
        <w:t xml:space="preserve"> </w:t>
      </w:r>
      <w:r w:rsidR="005A22AD" w:rsidRPr="005A22AD">
        <w:t>DVA-DF-2025-22,</w:t>
      </w:r>
      <w:r w:rsidR="000724B9" w:rsidRPr="005A22AD">
        <w:t xml:space="preserve"> los estarían depositando en el primer trimestre del 2025</w:t>
      </w:r>
      <w:r w:rsidR="005A22AD" w:rsidRPr="005A22AD">
        <w:t>, por tal razón se mantiene la cuenta por cobrar. La</w:t>
      </w:r>
      <w:r w:rsidRPr="005A22AD">
        <w:t xml:space="preserve">s Otras cuentas por </w:t>
      </w:r>
      <w:r w:rsidRPr="005A22AD">
        <w:lastRenderedPageBreak/>
        <w:t xml:space="preserve">cuentas a cobrar a corto plazo presentan aumentos </w:t>
      </w:r>
      <w:r w:rsidR="005A22AD" w:rsidRPr="005A22AD">
        <w:t xml:space="preserve">de </w:t>
      </w:r>
      <w:r w:rsidR="005A22AD" w:rsidRPr="005A22AD">
        <w:rPr>
          <w:rFonts w:ascii="Arial" w:hAnsi="Arial" w:cs="Arial"/>
        </w:rPr>
        <w:t>₡</w:t>
      </w:r>
      <w:r w:rsidR="004E6884" w:rsidRPr="005A22AD">
        <w:rPr>
          <w:rFonts w:cs="Arial"/>
        </w:rPr>
        <w:t>5 968,34</w:t>
      </w:r>
      <w:r w:rsidRPr="005A22AD">
        <w:t xml:space="preserve"> miles; mientras que los Servicios y derechos a cobrar a corto plazo una variación</w:t>
      </w:r>
      <w:r w:rsidR="004E6884" w:rsidRPr="005A22AD">
        <w:t xml:space="preserve"> nega</w:t>
      </w:r>
      <w:r w:rsidRPr="005A22AD">
        <w:t xml:space="preserve">tiva de </w:t>
      </w:r>
      <w:r w:rsidR="004E6884" w:rsidRPr="005A22AD">
        <w:rPr>
          <w:rFonts w:cs="Arial"/>
        </w:rPr>
        <w:t>-</w:t>
      </w:r>
      <w:r w:rsidR="004E6884" w:rsidRPr="005A22AD">
        <w:rPr>
          <w:rFonts w:ascii="Arial" w:hAnsi="Arial" w:cs="Arial"/>
        </w:rPr>
        <w:t>₡</w:t>
      </w:r>
      <w:r w:rsidR="004E6884" w:rsidRPr="005A22AD">
        <w:rPr>
          <w:rFonts w:cs="Arial"/>
        </w:rPr>
        <w:t>5 764,07.</w:t>
      </w:r>
    </w:p>
    <w:p w14:paraId="30F8D3C2" w14:textId="77777777" w:rsidR="00BE6B44" w:rsidRDefault="00BE6B44" w:rsidP="00BE6B44">
      <w:pPr>
        <w:spacing w:after="0" w:line="240" w:lineRule="auto"/>
      </w:pPr>
    </w:p>
    <w:tbl>
      <w:tblPr>
        <w:tblW w:w="8580" w:type="dxa"/>
        <w:tblCellMar>
          <w:left w:w="70" w:type="dxa"/>
          <w:right w:w="70" w:type="dxa"/>
        </w:tblCellMar>
        <w:tblLook w:val="04A0" w:firstRow="1" w:lastRow="0" w:firstColumn="1" w:lastColumn="0" w:noHBand="0" w:noVBand="1"/>
      </w:tblPr>
      <w:tblGrid>
        <w:gridCol w:w="779"/>
        <w:gridCol w:w="3321"/>
        <w:gridCol w:w="1360"/>
        <w:gridCol w:w="1180"/>
        <w:gridCol w:w="1180"/>
        <w:gridCol w:w="854"/>
      </w:tblGrid>
      <w:tr w:rsidR="005F58F1" w:rsidRPr="005F58F1" w14:paraId="33FD7866" w14:textId="77777777" w:rsidTr="005F58F1">
        <w:trPr>
          <w:trHeight w:val="555"/>
        </w:trPr>
        <w:tc>
          <w:tcPr>
            <w:tcW w:w="760" w:type="dxa"/>
            <w:tcBorders>
              <w:top w:val="single" w:sz="8" w:space="0" w:color="auto"/>
              <w:left w:val="nil"/>
              <w:bottom w:val="nil"/>
              <w:right w:val="single" w:sz="8" w:space="0" w:color="auto"/>
            </w:tcBorders>
            <w:shd w:val="clear" w:color="000000" w:fill="365F91"/>
            <w:vAlign w:val="center"/>
            <w:hideMark/>
          </w:tcPr>
          <w:p w14:paraId="66E3D791" w14:textId="77777777" w:rsidR="005F58F1" w:rsidRPr="005F58F1" w:rsidRDefault="005F58F1" w:rsidP="005F58F1">
            <w:pPr>
              <w:spacing w:after="0" w:line="240" w:lineRule="auto"/>
              <w:jc w:val="center"/>
              <w:rPr>
                <w:rFonts w:eastAsia="Times New Roman" w:cs="Calibri"/>
                <w:b/>
                <w:bCs/>
                <w:color w:val="FFFFFF"/>
                <w:sz w:val="18"/>
                <w:szCs w:val="18"/>
                <w:lang w:eastAsia="es-CR"/>
              </w:rPr>
            </w:pPr>
            <w:r w:rsidRPr="005F58F1">
              <w:rPr>
                <w:rFonts w:eastAsia="Times New Roman" w:cs="Calibri"/>
                <w:b/>
                <w:bCs/>
                <w:color w:val="FFFFFF"/>
                <w:sz w:val="18"/>
                <w:szCs w:val="18"/>
                <w:lang w:eastAsia="es-CR"/>
              </w:rPr>
              <w:t>Cuenta</w:t>
            </w:r>
          </w:p>
        </w:tc>
        <w:tc>
          <w:tcPr>
            <w:tcW w:w="3340" w:type="dxa"/>
            <w:tcBorders>
              <w:top w:val="single" w:sz="8" w:space="0" w:color="auto"/>
              <w:left w:val="nil"/>
              <w:bottom w:val="nil"/>
              <w:right w:val="single" w:sz="8" w:space="0" w:color="auto"/>
            </w:tcBorders>
            <w:shd w:val="clear" w:color="000000" w:fill="365F91"/>
            <w:vAlign w:val="center"/>
            <w:hideMark/>
          </w:tcPr>
          <w:p w14:paraId="4DD1B37C" w14:textId="77777777" w:rsidR="005F58F1" w:rsidRPr="005F58F1" w:rsidRDefault="005F58F1" w:rsidP="005F58F1">
            <w:pPr>
              <w:spacing w:after="0" w:line="240" w:lineRule="auto"/>
              <w:jc w:val="center"/>
              <w:rPr>
                <w:rFonts w:eastAsia="Times New Roman" w:cs="Calibri"/>
                <w:b/>
                <w:bCs/>
                <w:color w:val="FFFFFF"/>
                <w:sz w:val="18"/>
                <w:szCs w:val="18"/>
                <w:lang w:eastAsia="es-CR"/>
              </w:rPr>
            </w:pPr>
            <w:r w:rsidRPr="005F58F1">
              <w:rPr>
                <w:rFonts w:eastAsia="Times New Roman" w:cs="Calibri"/>
                <w:b/>
                <w:bCs/>
                <w:color w:val="FFFFFF"/>
                <w:sz w:val="18"/>
                <w:szCs w:val="18"/>
                <w:lang w:eastAsia="es-CR"/>
              </w:rPr>
              <w:t>Nombre</w:t>
            </w:r>
          </w:p>
        </w:tc>
        <w:tc>
          <w:tcPr>
            <w:tcW w:w="1360" w:type="dxa"/>
            <w:tcBorders>
              <w:top w:val="single" w:sz="8" w:space="0" w:color="auto"/>
              <w:left w:val="nil"/>
              <w:bottom w:val="nil"/>
              <w:right w:val="single" w:sz="8" w:space="0" w:color="auto"/>
            </w:tcBorders>
            <w:shd w:val="clear" w:color="000000" w:fill="365F91"/>
            <w:vAlign w:val="center"/>
            <w:hideMark/>
          </w:tcPr>
          <w:p w14:paraId="00DF85C6" w14:textId="77777777" w:rsidR="005F58F1" w:rsidRPr="005F58F1" w:rsidRDefault="005F58F1" w:rsidP="005F58F1">
            <w:pPr>
              <w:spacing w:after="0" w:line="240" w:lineRule="auto"/>
              <w:jc w:val="center"/>
              <w:rPr>
                <w:rFonts w:eastAsia="Times New Roman" w:cs="Calibri"/>
                <w:b/>
                <w:bCs/>
                <w:color w:val="FFFFFF"/>
                <w:sz w:val="18"/>
                <w:szCs w:val="18"/>
                <w:lang w:eastAsia="es-CR"/>
              </w:rPr>
            </w:pPr>
            <w:r w:rsidRPr="005F58F1">
              <w:rPr>
                <w:rFonts w:eastAsia="Times New Roman" w:cs="Calibri"/>
                <w:b/>
                <w:bCs/>
                <w:color w:val="FFFFFF"/>
                <w:sz w:val="18"/>
                <w:szCs w:val="18"/>
                <w:lang w:eastAsia="es-CR"/>
              </w:rPr>
              <w:t>Periodo Actual</w:t>
            </w:r>
          </w:p>
        </w:tc>
        <w:tc>
          <w:tcPr>
            <w:tcW w:w="1180" w:type="dxa"/>
            <w:tcBorders>
              <w:top w:val="single" w:sz="8" w:space="0" w:color="auto"/>
              <w:left w:val="nil"/>
              <w:bottom w:val="nil"/>
              <w:right w:val="single" w:sz="8" w:space="0" w:color="auto"/>
            </w:tcBorders>
            <w:shd w:val="clear" w:color="000000" w:fill="365F91"/>
            <w:vAlign w:val="center"/>
            <w:hideMark/>
          </w:tcPr>
          <w:p w14:paraId="1A1BBBB9" w14:textId="77777777" w:rsidR="005F58F1" w:rsidRPr="005F58F1" w:rsidRDefault="005F58F1" w:rsidP="005F58F1">
            <w:pPr>
              <w:spacing w:after="0" w:line="240" w:lineRule="auto"/>
              <w:jc w:val="center"/>
              <w:rPr>
                <w:rFonts w:eastAsia="Times New Roman" w:cs="Calibri"/>
                <w:b/>
                <w:bCs/>
                <w:color w:val="FFFFFF"/>
                <w:sz w:val="18"/>
                <w:szCs w:val="18"/>
                <w:lang w:eastAsia="es-CR"/>
              </w:rPr>
            </w:pPr>
            <w:r w:rsidRPr="005F58F1">
              <w:rPr>
                <w:rFonts w:eastAsia="Times New Roman" w:cs="Calibri"/>
                <w:b/>
                <w:bCs/>
                <w:color w:val="FFFFFF"/>
                <w:sz w:val="18"/>
                <w:szCs w:val="18"/>
                <w:lang w:eastAsia="es-CR"/>
              </w:rPr>
              <w:t>Periodo Anterior</w:t>
            </w:r>
          </w:p>
        </w:tc>
        <w:tc>
          <w:tcPr>
            <w:tcW w:w="1180" w:type="dxa"/>
            <w:tcBorders>
              <w:top w:val="single" w:sz="8" w:space="0" w:color="auto"/>
              <w:left w:val="nil"/>
              <w:bottom w:val="nil"/>
              <w:right w:val="single" w:sz="8" w:space="0" w:color="auto"/>
            </w:tcBorders>
            <w:shd w:val="clear" w:color="000000" w:fill="365F91"/>
            <w:vAlign w:val="center"/>
            <w:hideMark/>
          </w:tcPr>
          <w:p w14:paraId="34FD63ED" w14:textId="77777777" w:rsidR="005F58F1" w:rsidRPr="005F58F1" w:rsidRDefault="005F58F1" w:rsidP="005F58F1">
            <w:pPr>
              <w:spacing w:after="0" w:line="240" w:lineRule="auto"/>
              <w:jc w:val="center"/>
              <w:rPr>
                <w:rFonts w:eastAsia="Times New Roman" w:cs="Calibri"/>
                <w:b/>
                <w:bCs/>
                <w:color w:val="FFFFFF"/>
                <w:sz w:val="18"/>
                <w:szCs w:val="18"/>
                <w:lang w:eastAsia="es-CR"/>
              </w:rPr>
            </w:pPr>
            <w:r w:rsidRPr="005F58F1">
              <w:rPr>
                <w:rFonts w:eastAsia="Times New Roman" w:cs="Calibri"/>
                <w:b/>
                <w:bCs/>
                <w:color w:val="FFFFFF"/>
                <w:sz w:val="18"/>
                <w:szCs w:val="18"/>
                <w:lang w:eastAsia="es-CR"/>
              </w:rPr>
              <w:t>Diferencia Absoluta</w:t>
            </w:r>
          </w:p>
        </w:tc>
        <w:tc>
          <w:tcPr>
            <w:tcW w:w="760" w:type="dxa"/>
            <w:tcBorders>
              <w:top w:val="single" w:sz="8" w:space="0" w:color="auto"/>
              <w:left w:val="nil"/>
              <w:bottom w:val="nil"/>
              <w:right w:val="single" w:sz="8" w:space="0" w:color="auto"/>
            </w:tcBorders>
            <w:shd w:val="clear" w:color="000000" w:fill="365F91"/>
            <w:vAlign w:val="center"/>
            <w:hideMark/>
          </w:tcPr>
          <w:p w14:paraId="77EF5785" w14:textId="77777777" w:rsidR="005F58F1" w:rsidRPr="005F58F1" w:rsidRDefault="005F58F1" w:rsidP="005F58F1">
            <w:pPr>
              <w:spacing w:after="0" w:line="240" w:lineRule="auto"/>
              <w:jc w:val="center"/>
              <w:rPr>
                <w:rFonts w:eastAsia="Times New Roman" w:cs="Calibri"/>
                <w:b/>
                <w:bCs/>
                <w:color w:val="FFFFFF"/>
                <w:sz w:val="18"/>
                <w:szCs w:val="18"/>
                <w:lang w:eastAsia="es-CR"/>
              </w:rPr>
            </w:pPr>
            <w:r w:rsidRPr="005F58F1">
              <w:rPr>
                <w:rFonts w:eastAsia="Times New Roman" w:cs="Calibri"/>
                <w:b/>
                <w:bCs/>
                <w:color w:val="FFFFFF"/>
                <w:sz w:val="18"/>
                <w:szCs w:val="18"/>
                <w:lang w:eastAsia="es-CR"/>
              </w:rPr>
              <w:t>Diferencia %</w:t>
            </w:r>
          </w:p>
        </w:tc>
      </w:tr>
      <w:tr w:rsidR="005F58F1" w:rsidRPr="005F58F1" w14:paraId="405A9B66" w14:textId="77777777" w:rsidTr="005F58F1">
        <w:trPr>
          <w:trHeight w:val="315"/>
        </w:trPr>
        <w:tc>
          <w:tcPr>
            <w:tcW w:w="76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E00B2A7" w14:textId="77777777" w:rsidR="005F58F1" w:rsidRPr="005F58F1" w:rsidRDefault="005F58F1" w:rsidP="005F58F1">
            <w:pPr>
              <w:spacing w:after="0" w:line="240" w:lineRule="auto"/>
              <w:jc w:val="left"/>
              <w:rPr>
                <w:rFonts w:eastAsia="Times New Roman" w:cs="Calibri"/>
                <w:color w:val="000000"/>
                <w:sz w:val="20"/>
                <w:szCs w:val="20"/>
                <w:lang w:eastAsia="es-CR"/>
              </w:rPr>
            </w:pPr>
            <w:r w:rsidRPr="005F58F1">
              <w:rPr>
                <w:rFonts w:eastAsia="Times New Roman" w:cs="Calibri"/>
                <w:color w:val="000000"/>
                <w:sz w:val="20"/>
                <w:szCs w:val="20"/>
                <w:lang w:eastAsia="es-CR"/>
              </w:rPr>
              <w:t>1.1.3.01</w:t>
            </w:r>
          </w:p>
        </w:tc>
        <w:tc>
          <w:tcPr>
            <w:tcW w:w="3340" w:type="dxa"/>
            <w:tcBorders>
              <w:top w:val="single" w:sz="8" w:space="0" w:color="auto"/>
              <w:left w:val="nil"/>
              <w:bottom w:val="single" w:sz="4" w:space="0" w:color="auto"/>
              <w:right w:val="single" w:sz="4" w:space="0" w:color="auto"/>
            </w:tcBorders>
            <w:shd w:val="clear" w:color="auto" w:fill="auto"/>
            <w:vAlign w:val="center"/>
            <w:hideMark/>
          </w:tcPr>
          <w:p w14:paraId="1BD28317" w14:textId="77777777" w:rsidR="005F58F1" w:rsidRPr="005F58F1" w:rsidRDefault="005F58F1" w:rsidP="005F58F1">
            <w:pPr>
              <w:spacing w:after="0" w:line="240" w:lineRule="auto"/>
              <w:jc w:val="left"/>
              <w:rPr>
                <w:rFonts w:eastAsia="Times New Roman" w:cs="Calibri"/>
                <w:color w:val="000000"/>
                <w:sz w:val="20"/>
                <w:szCs w:val="20"/>
                <w:lang w:eastAsia="es-CR"/>
              </w:rPr>
            </w:pPr>
            <w:r w:rsidRPr="005F58F1">
              <w:rPr>
                <w:rFonts w:eastAsia="Times New Roman" w:cs="Calibri"/>
                <w:color w:val="000000"/>
                <w:sz w:val="20"/>
                <w:szCs w:val="20"/>
                <w:lang w:eastAsia="es-CR"/>
              </w:rPr>
              <w:t>Impuestos a cobrar a corto plazo</w:t>
            </w:r>
          </w:p>
        </w:tc>
        <w:tc>
          <w:tcPr>
            <w:tcW w:w="1360" w:type="dxa"/>
            <w:tcBorders>
              <w:top w:val="single" w:sz="8" w:space="0" w:color="auto"/>
              <w:left w:val="nil"/>
              <w:bottom w:val="single" w:sz="4" w:space="0" w:color="auto"/>
              <w:right w:val="single" w:sz="4" w:space="0" w:color="auto"/>
            </w:tcBorders>
            <w:shd w:val="clear" w:color="FFFFFF" w:fill="FFFFFF"/>
            <w:noWrap/>
            <w:vAlign w:val="center"/>
            <w:hideMark/>
          </w:tcPr>
          <w:p w14:paraId="75FBDBB3" w14:textId="77777777" w:rsidR="005F58F1" w:rsidRPr="005F58F1" w:rsidRDefault="005F58F1" w:rsidP="005F58F1">
            <w:pPr>
              <w:spacing w:after="0" w:line="240" w:lineRule="auto"/>
              <w:jc w:val="right"/>
              <w:rPr>
                <w:rFonts w:eastAsia="Times New Roman" w:cs="Calibri"/>
                <w:color w:val="000000"/>
                <w:sz w:val="18"/>
                <w:szCs w:val="18"/>
                <w:lang w:eastAsia="es-CR"/>
              </w:rPr>
            </w:pPr>
            <w:r w:rsidRPr="005F58F1">
              <w:rPr>
                <w:rFonts w:ascii="Arial" w:eastAsia="Times New Roman" w:hAnsi="Arial" w:cs="Arial"/>
                <w:color w:val="000000"/>
                <w:sz w:val="18"/>
                <w:szCs w:val="18"/>
                <w:lang w:eastAsia="es-CR"/>
              </w:rPr>
              <w:t>₡</w:t>
            </w:r>
            <w:r w:rsidRPr="005F58F1">
              <w:rPr>
                <w:rFonts w:eastAsia="Times New Roman" w:cs="Calibri"/>
                <w:color w:val="000000"/>
                <w:sz w:val="18"/>
                <w:szCs w:val="18"/>
                <w:lang w:eastAsia="es-CR"/>
              </w:rPr>
              <w:t>439 705,81</w:t>
            </w:r>
          </w:p>
        </w:tc>
        <w:tc>
          <w:tcPr>
            <w:tcW w:w="1180" w:type="dxa"/>
            <w:tcBorders>
              <w:top w:val="single" w:sz="8" w:space="0" w:color="auto"/>
              <w:left w:val="nil"/>
              <w:bottom w:val="single" w:sz="4" w:space="0" w:color="auto"/>
              <w:right w:val="single" w:sz="4" w:space="0" w:color="auto"/>
            </w:tcBorders>
            <w:shd w:val="clear" w:color="FFFFFF" w:fill="FFFFFF"/>
            <w:noWrap/>
            <w:vAlign w:val="center"/>
            <w:hideMark/>
          </w:tcPr>
          <w:p w14:paraId="5A2853C4" w14:textId="77777777" w:rsidR="005F58F1" w:rsidRPr="005F58F1" w:rsidRDefault="005F58F1" w:rsidP="005F58F1">
            <w:pPr>
              <w:spacing w:after="0" w:line="240" w:lineRule="auto"/>
              <w:jc w:val="right"/>
              <w:rPr>
                <w:rFonts w:eastAsia="Times New Roman" w:cs="Calibri"/>
                <w:color w:val="000000"/>
                <w:sz w:val="18"/>
                <w:szCs w:val="18"/>
                <w:lang w:eastAsia="es-CR"/>
              </w:rPr>
            </w:pPr>
            <w:r w:rsidRPr="005F58F1">
              <w:rPr>
                <w:rFonts w:ascii="Arial" w:eastAsia="Times New Roman" w:hAnsi="Arial" w:cs="Arial"/>
                <w:color w:val="000000"/>
                <w:sz w:val="18"/>
                <w:szCs w:val="18"/>
                <w:lang w:eastAsia="es-CR"/>
              </w:rPr>
              <w:t>₡</w:t>
            </w:r>
            <w:r w:rsidRPr="005F58F1">
              <w:rPr>
                <w:rFonts w:eastAsia="Times New Roman" w:cs="Calibri"/>
                <w:color w:val="000000"/>
                <w:sz w:val="18"/>
                <w:szCs w:val="18"/>
                <w:lang w:eastAsia="es-CR"/>
              </w:rPr>
              <w:t>488 369,51</w:t>
            </w:r>
          </w:p>
        </w:tc>
        <w:tc>
          <w:tcPr>
            <w:tcW w:w="1180" w:type="dxa"/>
            <w:tcBorders>
              <w:top w:val="single" w:sz="8" w:space="0" w:color="auto"/>
              <w:left w:val="nil"/>
              <w:bottom w:val="single" w:sz="4" w:space="0" w:color="auto"/>
              <w:right w:val="single" w:sz="4" w:space="0" w:color="auto"/>
            </w:tcBorders>
            <w:shd w:val="clear" w:color="FFFFFF" w:fill="FFFFFF"/>
            <w:noWrap/>
            <w:vAlign w:val="center"/>
            <w:hideMark/>
          </w:tcPr>
          <w:p w14:paraId="58227C37" w14:textId="77777777" w:rsidR="005F58F1" w:rsidRPr="005F58F1" w:rsidRDefault="005F58F1" w:rsidP="005F58F1">
            <w:pPr>
              <w:spacing w:after="0" w:line="240" w:lineRule="auto"/>
              <w:jc w:val="right"/>
              <w:rPr>
                <w:rFonts w:eastAsia="Times New Roman" w:cs="Calibri"/>
                <w:color w:val="000000"/>
                <w:sz w:val="18"/>
                <w:szCs w:val="18"/>
                <w:lang w:eastAsia="es-CR"/>
              </w:rPr>
            </w:pPr>
            <w:bookmarkStart w:id="207" w:name="_Hlk189050875"/>
            <w:r w:rsidRPr="005F58F1">
              <w:rPr>
                <w:rFonts w:eastAsia="Times New Roman" w:cs="Calibri"/>
                <w:color w:val="000000"/>
                <w:sz w:val="18"/>
                <w:szCs w:val="18"/>
                <w:lang w:eastAsia="es-CR"/>
              </w:rPr>
              <w:t>-</w:t>
            </w:r>
            <w:r w:rsidRPr="005F58F1">
              <w:rPr>
                <w:rFonts w:ascii="Arial" w:eastAsia="Times New Roman" w:hAnsi="Arial" w:cs="Arial"/>
                <w:color w:val="000000"/>
                <w:sz w:val="18"/>
                <w:szCs w:val="18"/>
                <w:lang w:eastAsia="es-CR"/>
              </w:rPr>
              <w:t>₡</w:t>
            </w:r>
            <w:r w:rsidRPr="005F58F1">
              <w:rPr>
                <w:rFonts w:eastAsia="Times New Roman" w:cs="Calibri"/>
                <w:color w:val="000000"/>
                <w:sz w:val="18"/>
                <w:szCs w:val="18"/>
                <w:lang w:eastAsia="es-CR"/>
              </w:rPr>
              <w:t>48 663,70</w:t>
            </w:r>
            <w:bookmarkEnd w:id="207"/>
          </w:p>
        </w:tc>
        <w:tc>
          <w:tcPr>
            <w:tcW w:w="760" w:type="dxa"/>
            <w:tcBorders>
              <w:top w:val="single" w:sz="8" w:space="0" w:color="auto"/>
              <w:left w:val="nil"/>
              <w:bottom w:val="single" w:sz="4" w:space="0" w:color="auto"/>
              <w:right w:val="single" w:sz="8" w:space="0" w:color="auto"/>
            </w:tcBorders>
            <w:shd w:val="clear" w:color="auto" w:fill="auto"/>
            <w:noWrap/>
            <w:vAlign w:val="center"/>
            <w:hideMark/>
          </w:tcPr>
          <w:p w14:paraId="3E04270B" w14:textId="77777777" w:rsidR="005F58F1" w:rsidRPr="005F58F1" w:rsidRDefault="005F58F1" w:rsidP="005F58F1">
            <w:pPr>
              <w:spacing w:after="0" w:line="240" w:lineRule="auto"/>
              <w:jc w:val="center"/>
              <w:rPr>
                <w:rFonts w:eastAsia="Times New Roman" w:cs="Calibri"/>
                <w:color w:val="000000"/>
                <w:sz w:val="18"/>
                <w:szCs w:val="18"/>
                <w:lang w:eastAsia="es-CR"/>
              </w:rPr>
            </w:pPr>
            <w:r w:rsidRPr="005F58F1">
              <w:rPr>
                <w:rFonts w:eastAsia="Times New Roman" w:cs="Calibri"/>
                <w:color w:val="000000"/>
                <w:sz w:val="18"/>
                <w:szCs w:val="18"/>
                <w:lang w:eastAsia="es-CR"/>
              </w:rPr>
              <w:t>-9,96%</w:t>
            </w:r>
          </w:p>
        </w:tc>
      </w:tr>
      <w:tr w:rsidR="005F58F1" w:rsidRPr="005F58F1" w14:paraId="6D1BEC2B" w14:textId="77777777" w:rsidTr="005F58F1">
        <w:trPr>
          <w:trHeight w:val="315"/>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14:paraId="6F08800D" w14:textId="77777777" w:rsidR="005F58F1" w:rsidRPr="005F58F1" w:rsidRDefault="005F58F1" w:rsidP="005F58F1">
            <w:pPr>
              <w:spacing w:after="0" w:line="240" w:lineRule="auto"/>
              <w:jc w:val="left"/>
              <w:rPr>
                <w:rFonts w:eastAsia="Times New Roman" w:cs="Calibri"/>
                <w:color w:val="000000"/>
                <w:sz w:val="20"/>
                <w:szCs w:val="20"/>
                <w:lang w:eastAsia="es-CR"/>
              </w:rPr>
            </w:pPr>
            <w:r w:rsidRPr="005F58F1">
              <w:rPr>
                <w:rFonts w:eastAsia="Times New Roman" w:cs="Calibri"/>
                <w:color w:val="000000"/>
                <w:sz w:val="20"/>
                <w:szCs w:val="20"/>
                <w:lang w:eastAsia="es-CR"/>
              </w:rPr>
              <w:t>1.1.3.04</w:t>
            </w:r>
          </w:p>
        </w:tc>
        <w:tc>
          <w:tcPr>
            <w:tcW w:w="3340" w:type="dxa"/>
            <w:tcBorders>
              <w:top w:val="nil"/>
              <w:left w:val="nil"/>
              <w:bottom w:val="single" w:sz="4" w:space="0" w:color="auto"/>
              <w:right w:val="single" w:sz="4" w:space="0" w:color="auto"/>
            </w:tcBorders>
            <w:shd w:val="clear" w:color="auto" w:fill="auto"/>
            <w:vAlign w:val="center"/>
            <w:hideMark/>
          </w:tcPr>
          <w:p w14:paraId="3425776C" w14:textId="77777777" w:rsidR="005F58F1" w:rsidRPr="005F58F1" w:rsidRDefault="005F58F1" w:rsidP="005F58F1">
            <w:pPr>
              <w:spacing w:after="0" w:line="240" w:lineRule="auto"/>
              <w:jc w:val="left"/>
              <w:rPr>
                <w:rFonts w:eastAsia="Times New Roman" w:cs="Calibri"/>
                <w:color w:val="000000"/>
                <w:sz w:val="20"/>
                <w:szCs w:val="20"/>
                <w:lang w:eastAsia="es-CR"/>
              </w:rPr>
            </w:pPr>
            <w:r w:rsidRPr="005F58F1">
              <w:rPr>
                <w:rFonts w:eastAsia="Times New Roman" w:cs="Calibri"/>
                <w:color w:val="000000"/>
                <w:sz w:val="20"/>
                <w:szCs w:val="20"/>
                <w:lang w:eastAsia="es-CR"/>
              </w:rPr>
              <w:t>Servicios y derechos a cobrar a corto plazo</w:t>
            </w:r>
          </w:p>
        </w:tc>
        <w:tc>
          <w:tcPr>
            <w:tcW w:w="1360" w:type="dxa"/>
            <w:tcBorders>
              <w:top w:val="single" w:sz="8" w:space="0" w:color="auto"/>
              <w:left w:val="nil"/>
              <w:bottom w:val="single" w:sz="4" w:space="0" w:color="auto"/>
              <w:right w:val="single" w:sz="4" w:space="0" w:color="auto"/>
            </w:tcBorders>
            <w:shd w:val="clear" w:color="FFFFFF" w:fill="FFFFFF"/>
            <w:noWrap/>
            <w:vAlign w:val="center"/>
            <w:hideMark/>
          </w:tcPr>
          <w:p w14:paraId="1C633816" w14:textId="77777777" w:rsidR="005F58F1" w:rsidRPr="005F58F1" w:rsidRDefault="005F58F1" w:rsidP="005F58F1">
            <w:pPr>
              <w:spacing w:after="0" w:line="240" w:lineRule="auto"/>
              <w:jc w:val="right"/>
              <w:rPr>
                <w:rFonts w:eastAsia="Times New Roman" w:cs="Calibri"/>
                <w:color w:val="000000"/>
                <w:sz w:val="18"/>
                <w:szCs w:val="18"/>
                <w:lang w:eastAsia="es-CR"/>
              </w:rPr>
            </w:pPr>
            <w:r w:rsidRPr="005F58F1">
              <w:rPr>
                <w:rFonts w:ascii="Arial" w:eastAsia="Times New Roman" w:hAnsi="Arial" w:cs="Arial"/>
                <w:color w:val="000000"/>
                <w:sz w:val="18"/>
                <w:szCs w:val="18"/>
                <w:lang w:eastAsia="es-CR"/>
              </w:rPr>
              <w:t>₡</w:t>
            </w:r>
            <w:r w:rsidRPr="005F58F1">
              <w:rPr>
                <w:rFonts w:eastAsia="Times New Roman" w:cs="Calibri"/>
                <w:color w:val="000000"/>
                <w:sz w:val="18"/>
                <w:szCs w:val="18"/>
                <w:lang w:eastAsia="es-CR"/>
              </w:rPr>
              <w:t>174 419,57</w:t>
            </w:r>
          </w:p>
        </w:tc>
        <w:tc>
          <w:tcPr>
            <w:tcW w:w="1180" w:type="dxa"/>
            <w:tcBorders>
              <w:top w:val="single" w:sz="8" w:space="0" w:color="auto"/>
              <w:left w:val="nil"/>
              <w:bottom w:val="single" w:sz="4" w:space="0" w:color="auto"/>
              <w:right w:val="single" w:sz="4" w:space="0" w:color="auto"/>
            </w:tcBorders>
            <w:shd w:val="clear" w:color="FFFFFF" w:fill="FFFFFF"/>
            <w:noWrap/>
            <w:vAlign w:val="center"/>
            <w:hideMark/>
          </w:tcPr>
          <w:p w14:paraId="256B7345" w14:textId="77777777" w:rsidR="005F58F1" w:rsidRPr="005F58F1" w:rsidRDefault="005F58F1" w:rsidP="005F58F1">
            <w:pPr>
              <w:spacing w:after="0" w:line="240" w:lineRule="auto"/>
              <w:jc w:val="right"/>
              <w:rPr>
                <w:rFonts w:eastAsia="Times New Roman" w:cs="Calibri"/>
                <w:color w:val="000000"/>
                <w:sz w:val="18"/>
                <w:szCs w:val="18"/>
                <w:lang w:eastAsia="es-CR"/>
              </w:rPr>
            </w:pPr>
            <w:r w:rsidRPr="005F58F1">
              <w:rPr>
                <w:rFonts w:ascii="Arial" w:eastAsia="Times New Roman" w:hAnsi="Arial" w:cs="Arial"/>
                <w:color w:val="000000"/>
                <w:sz w:val="18"/>
                <w:szCs w:val="18"/>
                <w:lang w:eastAsia="es-CR"/>
              </w:rPr>
              <w:t>₡</w:t>
            </w:r>
            <w:r w:rsidRPr="005F58F1">
              <w:rPr>
                <w:rFonts w:eastAsia="Times New Roman" w:cs="Calibri"/>
                <w:color w:val="000000"/>
                <w:sz w:val="18"/>
                <w:szCs w:val="18"/>
                <w:lang w:eastAsia="es-CR"/>
              </w:rPr>
              <w:t>180 183,64</w:t>
            </w:r>
          </w:p>
        </w:tc>
        <w:tc>
          <w:tcPr>
            <w:tcW w:w="1180" w:type="dxa"/>
            <w:tcBorders>
              <w:top w:val="single" w:sz="8" w:space="0" w:color="auto"/>
              <w:left w:val="nil"/>
              <w:bottom w:val="single" w:sz="4" w:space="0" w:color="auto"/>
              <w:right w:val="single" w:sz="4" w:space="0" w:color="auto"/>
            </w:tcBorders>
            <w:shd w:val="clear" w:color="FFFFFF" w:fill="FFFFFF"/>
            <w:noWrap/>
            <w:vAlign w:val="center"/>
            <w:hideMark/>
          </w:tcPr>
          <w:p w14:paraId="2631D84A" w14:textId="77777777" w:rsidR="005F58F1" w:rsidRPr="005F58F1" w:rsidRDefault="005F58F1" w:rsidP="005F58F1">
            <w:pPr>
              <w:spacing w:after="0" w:line="240" w:lineRule="auto"/>
              <w:jc w:val="right"/>
              <w:rPr>
                <w:rFonts w:eastAsia="Times New Roman" w:cs="Calibri"/>
                <w:color w:val="000000"/>
                <w:sz w:val="18"/>
                <w:szCs w:val="18"/>
                <w:lang w:eastAsia="es-CR"/>
              </w:rPr>
            </w:pPr>
            <w:r w:rsidRPr="005F58F1">
              <w:rPr>
                <w:rFonts w:eastAsia="Times New Roman" w:cs="Calibri"/>
                <w:color w:val="000000"/>
                <w:sz w:val="18"/>
                <w:szCs w:val="18"/>
                <w:lang w:eastAsia="es-CR"/>
              </w:rPr>
              <w:t>-</w:t>
            </w:r>
            <w:r w:rsidRPr="005F58F1">
              <w:rPr>
                <w:rFonts w:ascii="Arial" w:eastAsia="Times New Roman" w:hAnsi="Arial" w:cs="Arial"/>
                <w:color w:val="000000"/>
                <w:sz w:val="18"/>
                <w:szCs w:val="18"/>
                <w:lang w:eastAsia="es-CR"/>
              </w:rPr>
              <w:t>₡</w:t>
            </w:r>
            <w:r w:rsidRPr="005F58F1">
              <w:rPr>
                <w:rFonts w:eastAsia="Times New Roman" w:cs="Calibri"/>
                <w:color w:val="000000"/>
                <w:sz w:val="18"/>
                <w:szCs w:val="18"/>
                <w:lang w:eastAsia="es-CR"/>
              </w:rPr>
              <w:t>5 764,07</w:t>
            </w:r>
          </w:p>
        </w:tc>
        <w:tc>
          <w:tcPr>
            <w:tcW w:w="760" w:type="dxa"/>
            <w:tcBorders>
              <w:top w:val="nil"/>
              <w:left w:val="nil"/>
              <w:bottom w:val="single" w:sz="4" w:space="0" w:color="auto"/>
              <w:right w:val="single" w:sz="8" w:space="0" w:color="auto"/>
            </w:tcBorders>
            <w:shd w:val="clear" w:color="auto" w:fill="auto"/>
            <w:noWrap/>
            <w:vAlign w:val="center"/>
            <w:hideMark/>
          </w:tcPr>
          <w:p w14:paraId="61434787" w14:textId="77777777" w:rsidR="005F58F1" w:rsidRPr="005F58F1" w:rsidRDefault="005F58F1" w:rsidP="005F58F1">
            <w:pPr>
              <w:spacing w:after="0" w:line="240" w:lineRule="auto"/>
              <w:jc w:val="center"/>
              <w:rPr>
                <w:rFonts w:eastAsia="Times New Roman" w:cs="Calibri"/>
                <w:color w:val="000000"/>
                <w:sz w:val="18"/>
                <w:szCs w:val="18"/>
                <w:lang w:eastAsia="es-CR"/>
              </w:rPr>
            </w:pPr>
            <w:r w:rsidRPr="005F58F1">
              <w:rPr>
                <w:rFonts w:eastAsia="Times New Roman" w:cs="Calibri"/>
                <w:color w:val="000000"/>
                <w:sz w:val="18"/>
                <w:szCs w:val="18"/>
                <w:lang w:eastAsia="es-CR"/>
              </w:rPr>
              <w:t>-3,20%</w:t>
            </w:r>
          </w:p>
        </w:tc>
      </w:tr>
      <w:tr w:rsidR="005F58F1" w:rsidRPr="005F58F1" w14:paraId="1F6E000A" w14:textId="77777777" w:rsidTr="005F58F1">
        <w:trPr>
          <w:trHeight w:val="315"/>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14:paraId="63401D90" w14:textId="77777777" w:rsidR="005F58F1" w:rsidRPr="005F58F1" w:rsidRDefault="005F58F1" w:rsidP="005F58F1">
            <w:pPr>
              <w:spacing w:after="0" w:line="240" w:lineRule="auto"/>
              <w:jc w:val="left"/>
              <w:rPr>
                <w:rFonts w:eastAsia="Times New Roman" w:cs="Calibri"/>
                <w:color w:val="000000"/>
                <w:sz w:val="20"/>
                <w:szCs w:val="20"/>
                <w:lang w:eastAsia="es-CR"/>
              </w:rPr>
            </w:pPr>
            <w:r w:rsidRPr="005F58F1">
              <w:rPr>
                <w:rFonts w:eastAsia="Times New Roman" w:cs="Calibri"/>
                <w:color w:val="000000"/>
                <w:sz w:val="20"/>
                <w:szCs w:val="20"/>
                <w:lang w:eastAsia="es-CR"/>
              </w:rPr>
              <w:t>1.1.3.06</w:t>
            </w:r>
          </w:p>
        </w:tc>
        <w:tc>
          <w:tcPr>
            <w:tcW w:w="3340" w:type="dxa"/>
            <w:tcBorders>
              <w:top w:val="nil"/>
              <w:left w:val="nil"/>
              <w:bottom w:val="single" w:sz="4" w:space="0" w:color="auto"/>
              <w:right w:val="single" w:sz="4" w:space="0" w:color="auto"/>
            </w:tcBorders>
            <w:shd w:val="clear" w:color="auto" w:fill="auto"/>
            <w:vAlign w:val="center"/>
            <w:hideMark/>
          </w:tcPr>
          <w:p w14:paraId="2DBB058A" w14:textId="77777777" w:rsidR="005F58F1" w:rsidRPr="005F58F1" w:rsidRDefault="005F58F1" w:rsidP="005F58F1">
            <w:pPr>
              <w:spacing w:after="0" w:line="240" w:lineRule="auto"/>
              <w:jc w:val="left"/>
              <w:rPr>
                <w:rFonts w:eastAsia="Times New Roman" w:cs="Calibri"/>
                <w:color w:val="000000"/>
                <w:sz w:val="20"/>
                <w:szCs w:val="20"/>
                <w:lang w:eastAsia="es-CR"/>
              </w:rPr>
            </w:pPr>
            <w:r w:rsidRPr="005F58F1">
              <w:rPr>
                <w:rFonts w:eastAsia="Times New Roman" w:cs="Calibri"/>
                <w:color w:val="000000"/>
                <w:sz w:val="20"/>
                <w:szCs w:val="20"/>
                <w:lang w:eastAsia="es-CR"/>
              </w:rPr>
              <w:t>Transferencias a cobrar a corto plazo</w:t>
            </w:r>
          </w:p>
        </w:tc>
        <w:tc>
          <w:tcPr>
            <w:tcW w:w="1360" w:type="dxa"/>
            <w:tcBorders>
              <w:top w:val="single" w:sz="8" w:space="0" w:color="auto"/>
              <w:left w:val="nil"/>
              <w:bottom w:val="single" w:sz="4" w:space="0" w:color="auto"/>
              <w:right w:val="single" w:sz="4" w:space="0" w:color="auto"/>
            </w:tcBorders>
            <w:shd w:val="clear" w:color="FFFFFF" w:fill="FFFFFF"/>
            <w:noWrap/>
            <w:vAlign w:val="center"/>
            <w:hideMark/>
          </w:tcPr>
          <w:p w14:paraId="7AD04C02" w14:textId="77777777" w:rsidR="005F58F1" w:rsidRPr="005F58F1" w:rsidRDefault="005F58F1" w:rsidP="005F58F1">
            <w:pPr>
              <w:spacing w:after="0" w:line="240" w:lineRule="auto"/>
              <w:jc w:val="right"/>
              <w:rPr>
                <w:rFonts w:eastAsia="Times New Roman" w:cs="Calibri"/>
                <w:color w:val="000000"/>
                <w:sz w:val="18"/>
                <w:szCs w:val="18"/>
                <w:lang w:eastAsia="es-CR"/>
              </w:rPr>
            </w:pPr>
            <w:r w:rsidRPr="005F58F1">
              <w:rPr>
                <w:rFonts w:ascii="Arial" w:eastAsia="Times New Roman" w:hAnsi="Arial" w:cs="Arial"/>
                <w:color w:val="000000"/>
                <w:sz w:val="18"/>
                <w:szCs w:val="18"/>
                <w:lang w:eastAsia="es-CR"/>
              </w:rPr>
              <w:t>₡</w:t>
            </w:r>
            <w:r w:rsidRPr="005F58F1">
              <w:rPr>
                <w:rFonts w:eastAsia="Times New Roman" w:cs="Calibri"/>
                <w:color w:val="000000"/>
                <w:sz w:val="18"/>
                <w:szCs w:val="18"/>
                <w:lang w:eastAsia="es-CR"/>
              </w:rPr>
              <w:t>341 834,39</w:t>
            </w:r>
          </w:p>
        </w:tc>
        <w:tc>
          <w:tcPr>
            <w:tcW w:w="1180" w:type="dxa"/>
            <w:tcBorders>
              <w:top w:val="single" w:sz="8" w:space="0" w:color="auto"/>
              <w:left w:val="nil"/>
              <w:bottom w:val="single" w:sz="4" w:space="0" w:color="auto"/>
              <w:right w:val="single" w:sz="4" w:space="0" w:color="auto"/>
            </w:tcBorders>
            <w:shd w:val="clear" w:color="FFFFFF" w:fill="FFFFFF"/>
            <w:noWrap/>
            <w:vAlign w:val="center"/>
            <w:hideMark/>
          </w:tcPr>
          <w:p w14:paraId="2400D081" w14:textId="77777777" w:rsidR="005F58F1" w:rsidRPr="005F58F1" w:rsidRDefault="005F58F1" w:rsidP="005F58F1">
            <w:pPr>
              <w:spacing w:after="0" w:line="240" w:lineRule="auto"/>
              <w:jc w:val="right"/>
              <w:rPr>
                <w:rFonts w:eastAsia="Times New Roman" w:cs="Calibri"/>
                <w:color w:val="000000"/>
                <w:sz w:val="18"/>
                <w:szCs w:val="18"/>
                <w:lang w:eastAsia="es-CR"/>
              </w:rPr>
            </w:pPr>
            <w:r w:rsidRPr="005F58F1">
              <w:rPr>
                <w:rFonts w:ascii="Arial" w:eastAsia="Times New Roman" w:hAnsi="Arial" w:cs="Arial"/>
                <w:color w:val="000000"/>
                <w:sz w:val="18"/>
                <w:szCs w:val="18"/>
                <w:lang w:eastAsia="es-CR"/>
              </w:rPr>
              <w:t>₡</w:t>
            </w:r>
            <w:r w:rsidRPr="005F58F1">
              <w:rPr>
                <w:rFonts w:eastAsia="Times New Roman" w:cs="Calibri"/>
                <w:color w:val="000000"/>
                <w:sz w:val="18"/>
                <w:szCs w:val="18"/>
                <w:lang w:eastAsia="es-CR"/>
              </w:rPr>
              <w:t>0,00</w:t>
            </w:r>
          </w:p>
        </w:tc>
        <w:tc>
          <w:tcPr>
            <w:tcW w:w="1180" w:type="dxa"/>
            <w:tcBorders>
              <w:top w:val="single" w:sz="8" w:space="0" w:color="auto"/>
              <w:left w:val="nil"/>
              <w:bottom w:val="single" w:sz="4" w:space="0" w:color="auto"/>
              <w:right w:val="single" w:sz="4" w:space="0" w:color="auto"/>
            </w:tcBorders>
            <w:shd w:val="clear" w:color="FFFFFF" w:fill="FFFFFF"/>
            <w:noWrap/>
            <w:vAlign w:val="center"/>
            <w:hideMark/>
          </w:tcPr>
          <w:p w14:paraId="4E4BAE5E" w14:textId="77777777" w:rsidR="005F58F1" w:rsidRPr="005F58F1" w:rsidRDefault="005F58F1" w:rsidP="005F58F1">
            <w:pPr>
              <w:spacing w:after="0" w:line="240" w:lineRule="auto"/>
              <w:jc w:val="right"/>
              <w:rPr>
                <w:rFonts w:eastAsia="Times New Roman" w:cs="Calibri"/>
                <w:color w:val="000000"/>
                <w:sz w:val="18"/>
                <w:szCs w:val="18"/>
                <w:lang w:eastAsia="es-CR"/>
              </w:rPr>
            </w:pPr>
            <w:r w:rsidRPr="005F58F1">
              <w:rPr>
                <w:rFonts w:ascii="Arial" w:eastAsia="Times New Roman" w:hAnsi="Arial" w:cs="Arial"/>
                <w:color w:val="000000"/>
                <w:sz w:val="18"/>
                <w:szCs w:val="18"/>
                <w:lang w:eastAsia="es-CR"/>
              </w:rPr>
              <w:t>₡</w:t>
            </w:r>
            <w:r w:rsidRPr="005F58F1">
              <w:rPr>
                <w:rFonts w:eastAsia="Times New Roman" w:cs="Calibri"/>
                <w:color w:val="000000"/>
                <w:sz w:val="18"/>
                <w:szCs w:val="18"/>
                <w:lang w:eastAsia="es-CR"/>
              </w:rPr>
              <w:t>341 834,39</w:t>
            </w:r>
          </w:p>
        </w:tc>
        <w:tc>
          <w:tcPr>
            <w:tcW w:w="760" w:type="dxa"/>
            <w:tcBorders>
              <w:top w:val="nil"/>
              <w:left w:val="nil"/>
              <w:bottom w:val="single" w:sz="4" w:space="0" w:color="auto"/>
              <w:right w:val="single" w:sz="8" w:space="0" w:color="auto"/>
            </w:tcBorders>
            <w:shd w:val="clear" w:color="auto" w:fill="auto"/>
            <w:noWrap/>
            <w:vAlign w:val="center"/>
            <w:hideMark/>
          </w:tcPr>
          <w:p w14:paraId="486D2D41" w14:textId="77777777" w:rsidR="005F58F1" w:rsidRPr="005F58F1" w:rsidRDefault="005F58F1" w:rsidP="005F58F1">
            <w:pPr>
              <w:spacing w:after="0" w:line="240" w:lineRule="auto"/>
              <w:jc w:val="center"/>
              <w:rPr>
                <w:rFonts w:eastAsia="Times New Roman" w:cs="Calibri"/>
                <w:color w:val="000000"/>
                <w:sz w:val="18"/>
                <w:szCs w:val="18"/>
                <w:lang w:eastAsia="es-CR"/>
              </w:rPr>
            </w:pPr>
            <w:r w:rsidRPr="005F58F1">
              <w:rPr>
                <w:rFonts w:eastAsia="Times New Roman" w:cs="Calibri"/>
                <w:color w:val="000000"/>
                <w:sz w:val="18"/>
                <w:szCs w:val="18"/>
                <w:lang w:eastAsia="es-CR"/>
              </w:rPr>
              <w:t>#¡DIV/0!</w:t>
            </w:r>
          </w:p>
        </w:tc>
      </w:tr>
      <w:tr w:rsidR="005F58F1" w:rsidRPr="005F58F1" w14:paraId="25E532EE" w14:textId="77777777" w:rsidTr="005F58F1">
        <w:trPr>
          <w:trHeight w:val="315"/>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14:paraId="5A0448E9" w14:textId="77777777" w:rsidR="005F58F1" w:rsidRPr="005F58F1" w:rsidRDefault="005F58F1" w:rsidP="005F58F1">
            <w:pPr>
              <w:spacing w:after="0" w:line="240" w:lineRule="auto"/>
              <w:jc w:val="left"/>
              <w:rPr>
                <w:rFonts w:eastAsia="Times New Roman" w:cs="Calibri"/>
                <w:color w:val="000000"/>
                <w:sz w:val="20"/>
                <w:szCs w:val="20"/>
                <w:lang w:eastAsia="es-CR"/>
              </w:rPr>
            </w:pPr>
            <w:r w:rsidRPr="005F58F1">
              <w:rPr>
                <w:rFonts w:eastAsia="Times New Roman" w:cs="Calibri"/>
                <w:color w:val="000000"/>
                <w:sz w:val="20"/>
                <w:szCs w:val="20"/>
                <w:lang w:eastAsia="es-CR"/>
              </w:rPr>
              <w:t>1.1.3.98</w:t>
            </w:r>
          </w:p>
        </w:tc>
        <w:tc>
          <w:tcPr>
            <w:tcW w:w="3340" w:type="dxa"/>
            <w:tcBorders>
              <w:top w:val="nil"/>
              <w:left w:val="nil"/>
              <w:bottom w:val="single" w:sz="4" w:space="0" w:color="auto"/>
              <w:right w:val="single" w:sz="4" w:space="0" w:color="auto"/>
            </w:tcBorders>
            <w:shd w:val="clear" w:color="auto" w:fill="auto"/>
            <w:vAlign w:val="center"/>
            <w:hideMark/>
          </w:tcPr>
          <w:p w14:paraId="716E0535" w14:textId="77777777" w:rsidR="005F58F1" w:rsidRPr="005F58F1" w:rsidRDefault="005F58F1" w:rsidP="005F58F1">
            <w:pPr>
              <w:spacing w:after="0" w:line="240" w:lineRule="auto"/>
              <w:jc w:val="left"/>
              <w:rPr>
                <w:rFonts w:eastAsia="Times New Roman" w:cs="Calibri"/>
                <w:color w:val="000000"/>
                <w:sz w:val="20"/>
                <w:szCs w:val="20"/>
                <w:lang w:eastAsia="es-CR"/>
              </w:rPr>
            </w:pPr>
            <w:r w:rsidRPr="005F58F1">
              <w:rPr>
                <w:rFonts w:eastAsia="Times New Roman" w:cs="Calibri"/>
                <w:color w:val="000000"/>
                <w:sz w:val="20"/>
                <w:szCs w:val="20"/>
                <w:lang w:eastAsia="es-CR"/>
              </w:rPr>
              <w:t>Otras cuentas a cobrar a corto plazo</w:t>
            </w:r>
          </w:p>
        </w:tc>
        <w:tc>
          <w:tcPr>
            <w:tcW w:w="1360" w:type="dxa"/>
            <w:tcBorders>
              <w:top w:val="single" w:sz="8" w:space="0" w:color="auto"/>
              <w:left w:val="nil"/>
              <w:bottom w:val="single" w:sz="4" w:space="0" w:color="auto"/>
              <w:right w:val="single" w:sz="4" w:space="0" w:color="auto"/>
            </w:tcBorders>
            <w:shd w:val="clear" w:color="FFFFFF" w:fill="FFFFFF"/>
            <w:noWrap/>
            <w:vAlign w:val="center"/>
            <w:hideMark/>
          </w:tcPr>
          <w:p w14:paraId="24CAB80B" w14:textId="77777777" w:rsidR="005F58F1" w:rsidRPr="005F58F1" w:rsidRDefault="005F58F1" w:rsidP="005F58F1">
            <w:pPr>
              <w:spacing w:after="0" w:line="240" w:lineRule="auto"/>
              <w:jc w:val="right"/>
              <w:rPr>
                <w:rFonts w:eastAsia="Times New Roman" w:cs="Calibri"/>
                <w:color w:val="000000"/>
                <w:sz w:val="18"/>
                <w:szCs w:val="18"/>
                <w:lang w:eastAsia="es-CR"/>
              </w:rPr>
            </w:pPr>
            <w:r w:rsidRPr="005F58F1">
              <w:rPr>
                <w:rFonts w:ascii="Arial" w:eastAsia="Times New Roman" w:hAnsi="Arial" w:cs="Arial"/>
                <w:color w:val="000000"/>
                <w:sz w:val="18"/>
                <w:szCs w:val="18"/>
                <w:lang w:eastAsia="es-CR"/>
              </w:rPr>
              <w:t>₡</w:t>
            </w:r>
            <w:r w:rsidRPr="005F58F1">
              <w:rPr>
                <w:rFonts w:eastAsia="Times New Roman" w:cs="Calibri"/>
                <w:color w:val="000000"/>
                <w:sz w:val="18"/>
                <w:szCs w:val="18"/>
                <w:lang w:eastAsia="es-CR"/>
              </w:rPr>
              <w:t>8 735,52</w:t>
            </w:r>
          </w:p>
        </w:tc>
        <w:tc>
          <w:tcPr>
            <w:tcW w:w="1180" w:type="dxa"/>
            <w:tcBorders>
              <w:top w:val="single" w:sz="8" w:space="0" w:color="auto"/>
              <w:left w:val="nil"/>
              <w:bottom w:val="single" w:sz="4" w:space="0" w:color="auto"/>
              <w:right w:val="single" w:sz="4" w:space="0" w:color="auto"/>
            </w:tcBorders>
            <w:shd w:val="clear" w:color="FFFFFF" w:fill="FFFFFF"/>
            <w:noWrap/>
            <w:vAlign w:val="center"/>
            <w:hideMark/>
          </w:tcPr>
          <w:p w14:paraId="10034628" w14:textId="77777777" w:rsidR="005F58F1" w:rsidRPr="005F58F1" w:rsidRDefault="005F58F1" w:rsidP="005F58F1">
            <w:pPr>
              <w:spacing w:after="0" w:line="240" w:lineRule="auto"/>
              <w:jc w:val="right"/>
              <w:rPr>
                <w:rFonts w:eastAsia="Times New Roman" w:cs="Calibri"/>
                <w:color w:val="000000"/>
                <w:sz w:val="18"/>
                <w:szCs w:val="18"/>
                <w:lang w:eastAsia="es-CR"/>
              </w:rPr>
            </w:pPr>
            <w:r w:rsidRPr="005F58F1">
              <w:rPr>
                <w:rFonts w:ascii="Arial" w:eastAsia="Times New Roman" w:hAnsi="Arial" w:cs="Arial"/>
                <w:color w:val="000000"/>
                <w:sz w:val="18"/>
                <w:szCs w:val="18"/>
                <w:lang w:eastAsia="es-CR"/>
              </w:rPr>
              <w:t>₡</w:t>
            </w:r>
            <w:r w:rsidRPr="005F58F1">
              <w:rPr>
                <w:rFonts w:eastAsia="Times New Roman" w:cs="Calibri"/>
                <w:color w:val="000000"/>
                <w:sz w:val="18"/>
                <w:szCs w:val="18"/>
                <w:lang w:eastAsia="es-CR"/>
              </w:rPr>
              <w:t>2 767,18</w:t>
            </w:r>
          </w:p>
        </w:tc>
        <w:tc>
          <w:tcPr>
            <w:tcW w:w="1180" w:type="dxa"/>
            <w:tcBorders>
              <w:top w:val="single" w:sz="8" w:space="0" w:color="auto"/>
              <w:left w:val="nil"/>
              <w:bottom w:val="single" w:sz="4" w:space="0" w:color="auto"/>
              <w:right w:val="single" w:sz="4" w:space="0" w:color="auto"/>
            </w:tcBorders>
            <w:shd w:val="clear" w:color="FFFFFF" w:fill="FFFFFF"/>
            <w:noWrap/>
            <w:vAlign w:val="center"/>
            <w:hideMark/>
          </w:tcPr>
          <w:p w14:paraId="68A71CEF" w14:textId="77777777" w:rsidR="005F58F1" w:rsidRPr="005F58F1" w:rsidRDefault="005F58F1" w:rsidP="005F58F1">
            <w:pPr>
              <w:spacing w:after="0" w:line="240" w:lineRule="auto"/>
              <w:jc w:val="right"/>
              <w:rPr>
                <w:rFonts w:eastAsia="Times New Roman" w:cs="Calibri"/>
                <w:color w:val="000000"/>
                <w:sz w:val="18"/>
                <w:szCs w:val="18"/>
                <w:lang w:eastAsia="es-CR"/>
              </w:rPr>
            </w:pPr>
            <w:r w:rsidRPr="005F58F1">
              <w:rPr>
                <w:rFonts w:ascii="Arial" w:eastAsia="Times New Roman" w:hAnsi="Arial" w:cs="Arial"/>
                <w:color w:val="000000"/>
                <w:sz w:val="18"/>
                <w:szCs w:val="18"/>
                <w:lang w:eastAsia="es-CR"/>
              </w:rPr>
              <w:t>₡</w:t>
            </w:r>
            <w:r w:rsidRPr="005F58F1">
              <w:rPr>
                <w:rFonts w:eastAsia="Times New Roman" w:cs="Calibri"/>
                <w:color w:val="000000"/>
                <w:sz w:val="18"/>
                <w:szCs w:val="18"/>
                <w:lang w:eastAsia="es-CR"/>
              </w:rPr>
              <w:t>5 968,34</w:t>
            </w:r>
          </w:p>
        </w:tc>
        <w:tc>
          <w:tcPr>
            <w:tcW w:w="760" w:type="dxa"/>
            <w:tcBorders>
              <w:top w:val="nil"/>
              <w:left w:val="nil"/>
              <w:bottom w:val="single" w:sz="4" w:space="0" w:color="auto"/>
              <w:right w:val="single" w:sz="8" w:space="0" w:color="auto"/>
            </w:tcBorders>
            <w:shd w:val="clear" w:color="auto" w:fill="auto"/>
            <w:noWrap/>
            <w:vAlign w:val="center"/>
            <w:hideMark/>
          </w:tcPr>
          <w:p w14:paraId="6E0DE3B3" w14:textId="77777777" w:rsidR="005F58F1" w:rsidRPr="005F58F1" w:rsidRDefault="005F58F1" w:rsidP="005F58F1">
            <w:pPr>
              <w:spacing w:after="0" w:line="240" w:lineRule="auto"/>
              <w:jc w:val="center"/>
              <w:rPr>
                <w:rFonts w:eastAsia="Times New Roman" w:cs="Calibri"/>
                <w:color w:val="000000"/>
                <w:sz w:val="18"/>
                <w:szCs w:val="18"/>
                <w:lang w:eastAsia="es-CR"/>
              </w:rPr>
            </w:pPr>
            <w:r w:rsidRPr="005F58F1">
              <w:rPr>
                <w:rFonts w:eastAsia="Times New Roman" w:cs="Calibri"/>
                <w:color w:val="000000"/>
                <w:sz w:val="18"/>
                <w:szCs w:val="18"/>
                <w:lang w:eastAsia="es-CR"/>
              </w:rPr>
              <w:t>215,68%</w:t>
            </w:r>
          </w:p>
        </w:tc>
      </w:tr>
      <w:tr w:rsidR="005F58F1" w:rsidRPr="005F58F1" w14:paraId="283F31DD" w14:textId="77777777" w:rsidTr="005F58F1">
        <w:trPr>
          <w:trHeight w:val="315"/>
        </w:trPr>
        <w:tc>
          <w:tcPr>
            <w:tcW w:w="41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4DF9353" w14:textId="77777777" w:rsidR="005F58F1" w:rsidRPr="005F58F1" w:rsidRDefault="005F58F1" w:rsidP="005F58F1">
            <w:pPr>
              <w:spacing w:after="0" w:line="240" w:lineRule="auto"/>
              <w:jc w:val="center"/>
              <w:rPr>
                <w:rFonts w:eastAsia="Times New Roman" w:cs="Calibri"/>
                <w:b/>
                <w:bCs/>
                <w:color w:val="000000"/>
                <w:sz w:val="20"/>
                <w:szCs w:val="20"/>
                <w:lang w:eastAsia="es-CR"/>
              </w:rPr>
            </w:pPr>
            <w:r w:rsidRPr="005F58F1">
              <w:rPr>
                <w:rFonts w:eastAsia="Times New Roman" w:cs="Calibri"/>
                <w:b/>
                <w:bCs/>
                <w:color w:val="000000"/>
                <w:sz w:val="20"/>
                <w:szCs w:val="20"/>
                <w:lang w:eastAsia="es-CR"/>
              </w:rPr>
              <w:t>SUBTOTALES</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7023C033" w14:textId="77777777" w:rsidR="005F58F1" w:rsidRPr="005F58F1" w:rsidRDefault="005F58F1" w:rsidP="005F58F1">
            <w:pPr>
              <w:spacing w:after="0" w:line="240" w:lineRule="auto"/>
              <w:jc w:val="right"/>
              <w:rPr>
                <w:rFonts w:eastAsia="Times New Roman" w:cs="Calibri"/>
                <w:b/>
                <w:bCs/>
                <w:color w:val="000000"/>
                <w:sz w:val="18"/>
                <w:szCs w:val="18"/>
                <w:lang w:eastAsia="es-CR"/>
              </w:rPr>
            </w:pPr>
            <w:r w:rsidRPr="005F58F1">
              <w:rPr>
                <w:rFonts w:ascii="Arial" w:eastAsia="Times New Roman" w:hAnsi="Arial" w:cs="Arial"/>
                <w:b/>
                <w:bCs/>
                <w:color w:val="000000"/>
                <w:sz w:val="18"/>
                <w:szCs w:val="18"/>
                <w:lang w:eastAsia="es-CR"/>
              </w:rPr>
              <w:t>₡</w:t>
            </w:r>
            <w:r w:rsidRPr="005F58F1">
              <w:rPr>
                <w:rFonts w:eastAsia="Times New Roman" w:cs="Calibri"/>
                <w:b/>
                <w:bCs/>
                <w:color w:val="000000"/>
                <w:sz w:val="18"/>
                <w:szCs w:val="18"/>
                <w:lang w:eastAsia="es-CR"/>
              </w:rPr>
              <w:t>964 695,29</w:t>
            </w:r>
          </w:p>
        </w:tc>
        <w:tc>
          <w:tcPr>
            <w:tcW w:w="1180" w:type="dxa"/>
            <w:tcBorders>
              <w:top w:val="single" w:sz="8" w:space="0" w:color="auto"/>
              <w:left w:val="nil"/>
              <w:bottom w:val="single" w:sz="8" w:space="0" w:color="auto"/>
              <w:right w:val="single" w:sz="8" w:space="0" w:color="auto"/>
            </w:tcBorders>
            <w:shd w:val="clear" w:color="auto" w:fill="auto"/>
            <w:noWrap/>
            <w:vAlign w:val="center"/>
            <w:hideMark/>
          </w:tcPr>
          <w:p w14:paraId="269157B2" w14:textId="77777777" w:rsidR="005F58F1" w:rsidRPr="005F58F1" w:rsidRDefault="005F58F1" w:rsidP="005F58F1">
            <w:pPr>
              <w:spacing w:after="0" w:line="240" w:lineRule="auto"/>
              <w:jc w:val="right"/>
              <w:rPr>
                <w:rFonts w:eastAsia="Times New Roman" w:cs="Calibri"/>
                <w:b/>
                <w:bCs/>
                <w:color w:val="000000"/>
                <w:sz w:val="18"/>
                <w:szCs w:val="18"/>
                <w:lang w:eastAsia="es-CR"/>
              </w:rPr>
            </w:pPr>
            <w:r w:rsidRPr="005F58F1">
              <w:rPr>
                <w:rFonts w:ascii="Arial" w:eastAsia="Times New Roman" w:hAnsi="Arial" w:cs="Arial"/>
                <w:b/>
                <w:bCs/>
                <w:color w:val="000000"/>
                <w:sz w:val="18"/>
                <w:szCs w:val="18"/>
                <w:lang w:eastAsia="es-CR"/>
              </w:rPr>
              <w:t>₡</w:t>
            </w:r>
            <w:r w:rsidRPr="005F58F1">
              <w:rPr>
                <w:rFonts w:eastAsia="Times New Roman" w:cs="Calibri"/>
                <w:b/>
                <w:bCs/>
                <w:color w:val="000000"/>
                <w:sz w:val="18"/>
                <w:szCs w:val="18"/>
                <w:lang w:eastAsia="es-CR"/>
              </w:rPr>
              <w:t>671 320,33</w:t>
            </w:r>
          </w:p>
        </w:tc>
        <w:tc>
          <w:tcPr>
            <w:tcW w:w="1180" w:type="dxa"/>
            <w:tcBorders>
              <w:top w:val="single" w:sz="8" w:space="0" w:color="auto"/>
              <w:left w:val="nil"/>
              <w:bottom w:val="single" w:sz="8" w:space="0" w:color="auto"/>
              <w:right w:val="single" w:sz="8" w:space="0" w:color="auto"/>
            </w:tcBorders>
            <w:shd w:val="clear" w:color="auto" w:fill="auto"/>
            <w:noWrap/>
            <w:vAlign w:val="center"/>
            <w:hideMark/>
          </w:tcPr>
          <w:p w14:paraId="30DE022F" w14:textId="77777777" w:rsidR="005F58F1" w:rsidRPr="005F58F1" w:rsidRDefault="005F58F1" w:rsidP="005F58F1">
            <w:pPr>
              <w:spacing w:after="0" w:line="240" w:lineRule="auto"/>
              <w:jc w:val="right"/>
              <w:rPr>
                <w:rFonts w:eastAsia="Times New Roman" w:cs="Calibri"/>
                <w:b/>
                <w:bCs/>
                <w:color w:val="000000"/>
                <w:sz w:val="18"/>
                <w:szCs w:val="18"/>
                <w:lang w:eastAsia="es-CR"/>
              </w:rPr>
            </w:pPr>
            <w:r w:rsidRPr="005F58F1">
              <w:rPr>
                <w:rFonts w:ascii="Arial" w:eastAsia="Times New Roman" w:hAnsi="Arial" w:cs="Arial"/>
                <w:b/>
                <w:bCs/>
                <w:color w:val="000000"/>
                <w:sz w:val="18"/>
                <w:szCs w:val="18"/>
                <w:lang w:eastAsia="es-CR"/>
              </w:rPr>
              <w:t>₡</w:t>
            </w:r>
            <w:r w:rsidRPr="005F58F1">
              <w:rPr>
                <w:rFonts w:eastAsia="Times New Roman" w:cs="Calibri"/>
                <w:b/>
                <w:bCs/>
                <w:color w:val="000000"/>
                <w:sz w:val="18"/>
                <w:szCs w:val="18"/>
                <w:lang w:eastAsia="es-CR"/>
              </w:rPr>
              <w:t>293 374,96</w:t>
            </w:r>
          </w:p>
        </w:tc>
        <w:tc>
          <w:tcPr>
            <w:tcW w:w="76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0069998" w14:textId="77777777" w:rsidR="005F58F1" w:rsidRPr="005F58F1" w:rsidRDefault="005F58F1" w:rsidP="005F58F1">
            <w:pPr>
              <w:spacing w:after="0" w:line="240" w:lineRule="auto"/>
              <w:jc w:val="center"/>
              <w:rPr>
                <w:rFonts w:eastAsia="Times New Roman" w:cs="Calibri"/>
                <w:b/>
                <w:bCs/>
                <w:color w:val="000000"/>
                <w:sz w:val="18"/>
                <w:szCs w:val="18"/>
                <w:lang w:eastAsia="es-CR"/>
              </w:rPr>
            </w:pPr>
            <w:r w:rsidRPr="005F58F1">
              <w:rPr>
                <w:rFonts w:eastAsia="Times New Roman" w:cs="Calibri"/>
                <w:b/>
                <w:bCs/>
                <w:color w:val="000000"/>
                <w:sz w:val="18"/>
                <w:szCs w:val="18"/>
                <w:lang w:eastAsia="es-CR"/>
              </w:rPr>
              <w:t>43,70%</w:t>
            </w:r>
          </w:p>
        </w:tc>
      </w:tr>
      <w:tr w:rsidR="005F58F1" w:rsidRPr="005F58F1" w14:paraId="2BE069F2" w14:textId="77777777" w:rsidTr="005F58F1">
        <w:trPr>
          <w:trHeight w:val="525"/>
        </w:trPr>
        <w:tc>
          <w:tcPr>
            <w:tcW w:w="760" w:type="dxa"/>
            <w:tcBorders>
              <w:top w:val="nil"/>
              <w:left w:val="single" w:sz="8" w:space="0" w:color="auto"/>
              <w:bottom w:val="single" w:sz="8" w:space="0" w:color="auto"/>
              <w:right w:val="single" w:sz="4" w:space="0" w:color="auto"/>
            </w:tcBorders>
            <w:shd w:val="clear" w:color="auto" w:fill="auto"/>
            <w:noWrap/>
            <w:vAlign w:val="center"/>
            <w:hideMark/>
          </w:tcPr>
          <w:p w14:paraId="1B68B65E" w14:textId="77777777" w:rsidR="005F58F1" w:rsidRPr="005F58F1" w:rsidRDefault="005F58F1" w:rsidP="005F58F1">
            <w:pPr>
              <w:spacing w:after="0" w:line="240" w:lineRule="auto"/>
              <w:jc w:val="left"/>
              <w:rPr>
                <w:rFonts w:eastAsia="Times New Roman" w:cs="Calibri"/>
                <w:color w:val="000000"/>
                <w:sz w:val="20"/>
                <w:szCs w:val="20"/>
                <w:lang w:eastAsia="es-CR"/>
              </w:rPr>
            </w:pPr>
            <w:r w:rsidRPr="005F58F1">
              <w:rPr>
                <w:rFonts w:eastAsia="Times New Roman" w:cs="Calibri"/>
                <w:color w:val="000000"/>
                <w:sz w:val="20"/>
                <w:szCs w:val="20"/>
                <w:lang w:eastAsia="es-CR"/>
              </w:rPr>
              <w:t>1.1.3.99.</w:t>
            </w:r>
          </w:p>
        </w:tc>
        <w:tc>
          <w:tcPr>
            <w:tcW w:w="3340" w:type="dxa"/>
            <w:tcBorders>
              <w:top w:val="nil"/>
              <w:left w:val="single" w:sz="4" w:space="0" w:color="auto"/>
              <w:bottom w:val="single" w:sz="8" w:space="0" w:color="auto"/>
              <w:right w:val="single" w:sz="4" w:space="0" w:color="auto"/>
            </w:tcBorders>
            <w:shd w:val="clear" w:color="auto" w:fill="auto"/>
            <w:vAlign w:val="center"/>
            <w:hideMark/>
          </w:tcPr>
          <w:p w14:paraId="1B28E7C7" w14:textId="77777777" w:rsidR="005F58F1" w:rsidRPr="005F58F1" w:rsidRDefault="005F58F1" w:rsidP="005F58F1">
            <w:pPr>
              <w:spacing w:after="0" w:line="240" w:lineRule="auto"/>
              <w:jc w:val="left"/>
              <w:rPr>
                <w:rFonts w:eastAsia="Times New Roman" w:cs="Calibri"/>
                <w:color w:val="000000"/>
                <w:sz w:val="20"/>
                <w:szCs w:val="20"/>
                <w:lang w:eastAsia="es-CR"/>
              </w:rPr>
            </w:pPr>
            <w:r w:rsidRPr="005F58F1">
              <w:rPr>
                <w:rFonts w:eastAsia="Times New Roman" w:cs="Calibri"/>
                <w:color w:val="000000"/>
                <w:sz w:val="20"/>
                <w:szCs w:val="20"/>
                <w:lang w:eastAsia="es-CR"/>
              </w:rPr>
              <w:t>Previsiones para deterioro de cuentas a cobrar a corto plazo *</w:t>
            </w:r>
          </w:p>
        </w:tc>
        <w:tc>
          <w:tcPr>
            <w:tcW w:w="1360" w:type="dxa"/>
            <w:tcBorders>
              <w:top w:val="nil"/>
              <w:left w:val="nil"/>
              <w:bottom w:val="single" w:sz="8" w:space="0" w:color="auto"/>
              <w:right w:val="single" w:sz="4" w:space="0" w:color="auto"/>
            </w:tcBorders>
            <w:shd w:val="clear" w:color="auto" w:fill="auto"/>
            <w:noWrap/>
            <w:vAlign w:val="center"/>
            <w:hideMark/>
          </w:tcPr>
          <w:p w14:paraId="0B50768B" w14:textId="77777777" w:rsidR="005F58F1" w:rsidRPr="005F58F1" w:rsidRDefault="005F58F1" w:rsidP="005F58F1">
            <w:pPr>
              <w:spacing w:after="0" w:line="240" w:lineRule="auto"/>
              <w:jc w:val="right"/>
              <w:rPr>
                <w:rFonts w:eastAsia="Times New Roman" w:cs="Calibri"/>
                <w:color w:val="000000"/>
                <w:sz w:val="18"/>
                <w:szCs w:val="18"/>
                <w:lang w:eastAsia="es-CR"/>
              </w:rPr>
            </w:pPr>
            <w:r w:rsidRPr="005F58F1">
              <w:rPr>
                <w:rFonts w:eastAsia="Times New Roman" w:cs="Calibri"/>
                <w:color w:val="000000"/>
                <w:sz w:val="18"/>
                <w:szCs w:val="18"/>
                <w:lang w:eastAsia="es-CR"/>
              </w:rPr>
              <w:t>-</w:t>
            </w:r>
            <w:r w:rsidRPr="005F58F1">
              <w:rPr>
                <w:rFonts w:ascii="Arial" w:eastAsia="Times New Roman" w:hAnsi="Arial" w:cs="Arial"/>
                <w:color w:val="000000"/>
                <w:sz w:val="18"/>
                <w:szCs w:val="18"/>
                <w:lang w:eastAsia="es-CR"/>
              </w:rPr>
              <w:t>₡</w:t>
            </w:r>
            <w:r w:rsidRPr="005F58F1">
              <w:rPr>
                <w:rFonts w:eastAsia="Times New Roman" w:cs="Calibri"/>
                <w:color w:val="000000"/>
                <w:sz w:val="18"/>
                <w:szCs w:val="18"/>
                <w:lang w:eastAsia="es-CR"/>
              </w:rPr>
              <w:t>175 377,90</w:t>
            </w:r>
          </w:p>
        </w:tc>
        <w:tc>
          <w:tcPr>
            <w:tcW w:w="1180" w:type="dxa"/>
            <w:tcBorders>
              <w:top w:val="nil"/>
              <w:left w:val="nil"/>
              <w:bottom w:val="single" w:sz="8" w:space="0" w:color="auto"/>
              <w:right w:val="single" w:sz="4" w:space="0" w:color="auto"/>
            </w:tcBorders>
            <w:shd w:val="clear" w:color="auto" w:fill="auto"/>
            <w:noWrap/>
            <w:vAlign w:val="center"/>
            <w:hideMark/>
          </w:tcPr>
          <w:p w14:paraId="28E05D48" w14:textId="77777777" w:rsidR="005F58F1" w:rsidRPr="005F58F1" w:rsidRDefault="005F58F1" w:rsidP="005F58F1">
            <w:pPr>
              <w:spacing w:after="0" w:line="240" w:lineRule="auto"/>
              <w:jc w:val="right"/>
              <w:rPr>
                <w:rFonts w:eastAsia="Times New Roman" w:cs="Calibri"/>
                <w:color w:val="000000"/>
                <w:sz w:val="18"/>
                <w:szCs w:val="18"/>
                <w:lang w:eastAsia="es-CR"/>
              </w:rPr>
            </w:pPr>
            <w:r w:rsidRPr="005F58F1">
              <w:rPr>
                <w:rFonts w:eastAsia="Times New Roman" w:cs="Calibri"/>
                <w:color w:val="000000"/>
                <w:sz w:val="18"/>
                <w:szCs w:val="18"/>
                <w:lang w:eastAsia="es-CR"/>
              </w:rPr>
              <w:t>-</w:t>
            </w:r>
            <w:r w:rsidRPr="005F58F1">
              <w:rPr>
                <w:rFonts w:ascii="Arial" w:eastAsia="Times New Roman" w:hAnsi="Arial" w:cs="Arial"/>
                <w:color w:val="000000"/>
                <w:sz w:val="18"/>
                <w:szCs w:val="18"/>
                <w:lang w:eastAsia="es-CR"/>
              </w:rPr>
              <w:t>₡</w:t>
            </w:r>
            <w:r w:rsidRPr="005F58F1">
              <w:rPr>
                <w:rFonts w:eastAsia="Times New Roman" w:cs="Calibri"/>
                <w:color w:val="000000"/>
                <w:sz w:val="18"/>
                <w:szCs w:val="18"/>
                <w:lang w:eastAsia="es-CR"/>
              </w:rPr>
              <w:t>175 377,90</w:t>
            </w:r>
          </w:p>
        </w:tc>
        <w:tc>
          <w:tcPr>
            <w:tcW w:w="1180" w:type="dxa"/>
            <w:tcBorders>
              <w:top w:val="nil"/>
              <w:left w:val="nil"/>
              <w:bottom w:val="single" w:sz="8" w:space="0" w:color="auto"/>
              <w:right w:val="single" w:sz="4" w:space="0" w:color="auto"/>
            </w:tcBorders>
            <w:shd w:val="clear" w:color="auto" w:fill="auto"/>
            <w:noWrap/>
            <w:vAlign w:val="center"/>
            <w:hideMark/>
          </w:tcPr>
          <w:p w14:paraId="42676221" w14:textId="77777777" w:rsidR="005F58F1" w:rsidRPr="005F58F1" w:rsidRDefault="005F58F1" w:rsidP="005F58F1">
            <w:pPr>
              <w:spacing w:after="0" w:line="240" w:lineRule="auto"/>
              <w:jc w:val="right"/>
              <w:rPr>
                <w:rFonts w:eastAsia="Times New Roman" w:cs="Calibri"/>
                <w:color w:val="000000"/>
                <w:sz w:val="18"/>
                <w:szCs w:val="18"/>
                <w:lang w:eastAsia="es-CR"/>
              </w:rPr>
            </w:pPr>
            <w:r w:rsidRPr="005F58F1">
              <w:rPr>
                <w:rFonts w:ascii="Arial" w:eastAsia="Times New Roman" w:hAnsi="Arial" w:cs="Arial"/>
                <w:color w:val="000000"/>
                <w:sz w:val="18"/>
                <w:szCs w:val="18"/>
                <w:lang w:eastAsia="es-CR"/>
              </w:rPr>
              <w:t>₡</w:t>
            </w:r>
            <w:r w:rsidRPr="005F58F1">
              <w:rPr>
                <w:rFonts w:eastAsia="Times New Roman" w:cs="Calibri"/>
                <w:color w:val="000000"/>
                <w:sz w:val="18"/>
                <w:szCs w:val="18"/>
                <w:lang w:eastAsia="es-CR"/>
              </w:rPr>
              <w:t>0,00</w:t>
            </w:r>
          </w:p>
        </w:tc>
        <w:tc>
          <w:tcPr>
            <w:tcW w:w="760" w:type="dxa"/>
            <w:tcBorders>
              <w:top w:val="nil"/>
              <w:left w:val="nil"/>
              <w:bottom w:val="single" w:sz="8" w:space="0" w:color="auto"/>
              <w:right w:val="single" w:sz="8" w:space="0" w:color="auto"/>
            </w:tcBorders>
            <w:shd w:val="clear" w:color="auto" w:fill="auto"/>
            <w:noWrap/>
            <w:vAlign w:val="center"/>
            <w:hideMark/>
          </w:tcPr>
          <w:p w14:paraId="132C7710" w14:textId="77777777" w:rsidR="005F58F1" w:rsidRPr="005F58F1" w:rsidRDefault="005F58F1" w:rsidP="005F58F1">
            <w:pPr>
              <w:spacing w:after="0" w:line="240" w:lineRule="auto"/>
              <w:jc w:val="center"/>
              <w:rPr>
                <w:rFonts w:eastAsia="Times New Roman" w:cs="Calibri"/>
                <w:color w:val="000000"/>
                <w:sz w:val="18"/>
                <w:szCs w:val="18"/>
                <w:lang w:eastAsia="es-CR"/>
              </w:rPr>
            </w:pPr>
            <w:r w:rsidRPr="005F58F1">
              <w:rPr>
                <w:rFonts w:eastAsia="Times New Roman" w:cs="Calibri"/>
                <w:color w:val="000000"/>
                <w:sz w:val="18"/>
                <w:szCs w:val="18"/>
                <w:lang w:eastAsia="es-CR"/>
              </w:rPr>
              <w:t>0,00%</w:t>
            </w:r>
          </w:p>
        </w:tc>
      </w:tr>
      <w:tr w:rsidR="005F58F1" w:rsidRPr="005F58F1" w14:paraId="6E16501C" w14:textId="77777777" w:rsidTr="005F58F1">
        <w:trPr>
          <w:trHeight w:val="315"/>
        </w:trPr>
        <w:tc>
          <w:tcPr>
            <w:tcW w:w="4100" w:type="dxa"/>
            <w:gridSpan w:val="2"/>
            <w:tcBorders>
              <w:top w:val="nil"/>
              <w:left w:val="single" w:sz="8" w:space="0" w:color="auto"/>
              <w:bottom w:val="single" w:sz="8" w:space="0" w:color="auto"/>
              <w:right w:val="single" w:sz="8" w:space="0" w:color="000000"/>
            </w:tcBorders>
            <w:shd w:val="clear" w:color="auto" w:fill="auto"/>
            <w:noWrap/>
            <w:vAlign w:val="center"/>
            <w:hideMark/>
          </w:tcPr>
          <w:p w14:paraId="5B4D272E" w14:textId="77777777" w:rsidR="005F58F1" w:rsidRPr="005F58F1" w:rsidRDefault="005F58F1" w:rsidP="005F58F1">
            <w:pPr>
              <w:spacing w:after="0" w:line="240" w:lineRule="auto"/>
              <w:jc w:val="center"/>
              <w:rPr>
                <w:rFonts w:eastAsia="Times New Roman" w:cs="Calibri"/>
                <w:b/>
                <w:bCs/>
                <w:color w:val="000000"/>
                <w:sz w:val="20"/>
                <w:szCs w:val="20"/>
                <w:lang w:eastAsia="es-CR"/>
              </w:rPr>
            </w:pPr>
            <w:r w:rsidRPr="005F58F1">
              <w:rPr>
                <w:rFonts w:eastAsia="Times New Roman" w:cs="Calibri"/>
                <w:b/>
                <w:bCs/>
                <w:color w:val="000000"/>
                <w:sz w:val="20"/>
                <w:szCs w:val="20"/>
                <w:lang w:eastAsia="es-CR"/>
              </w:rPr>
              <w:t>TOTALES</w:t>
            </w:r>
          </w:p>
        </w:tc>
        <w:tc>
          <w:tcPr>
            <w:tcW w:w="1360" w:type="dxa"/>
            <w:tcBorders>
              <w:top w:val="nil"/>
              <w:left w:val="nil"/>
              <w:bottom w:val="single" w:sz="8" w:space="0" w:color="auto"/>
              <w:right w:val="single" w:sz="8" w:space="0" w:color="auto"/>
            </w:tcBorders>
            <w:shd w:val="clear" w:color="auto" w:fill="auto"/>
            <w:noWrap/>
            <w:vAlign w:val="center"/>
            <w:hideMark/>
          </w:tcPr>
          <w:p w14:paraId="39E4E761" w14:textId="77777777" w:rsidR="005F58F1" w:rsidRPr="005F58F1" w:rsidRDefault="005F58F1" w:rsidP="005F58F1">
            <w:pPr>
              <w:spacing w:after="0" w:line="240" w:lineRule="auto"/>
              <w:jc w:val="right"/>
              <w:rPr>
                <w:rFonts w:eastAsia="Times New Roman" w:cs="Calibri"/>
                <w:b/>
                <w:bCs/>
                <w:color w:val="000000"/>
                <w:sz w:val="18"/>
                <w:szCs w:val="18"/>
                <w:lang w:eastAsia="es-CR"/>
              </w:rPr>
            </w:pPr>
            <w:r w:rsidRPr="005F58F1">
              <w:rPr>
                <w:rFonts w:ascii="Arial" w:eastAsia="Times New Roman" w:hAnsi="Arial" w:cs="Arial"/>
                <w:b/>
                <w:bCs/>
                <w:color w:val="000000"/>
                <w:sz w:val="18"/>
                <w:szCs w:val="18"/>
                <w:lang w:eastAsia="es-CR"/>
              </w:rPr>
              <w:t>₡</w:t>
            </w:r>
            <w:r w:rsidRPr="005F58F1">
              <w:rPr>
                <w:rFonts w:eastAsia="Times New Roman" w:cs="Calibri"/>
                <w:b/>
                <w:bCs/>
                <w:color w:val="000000"/>
                <w:sz w:val="18"/>
                <w:szCs w:val="18"/>
                <w:lang w:eastAsia="es-CR"/>
              </w:rPr>
              <w:t>789 317,39</w:t>
            </w:r>
          </w:p>
        </w:tc>
        <w:tc>
          <w:tcPr>
            <w:tcW w:w="1180" w:type="dxa"/>
            <w:tcBorders>
              <w:top w:val="nil"/>
              <w:left w:val="nil"/>
              <w:bottom w:val="single" w:sz="8" w:space="0" w:color="auto"/>
              <w:right w:val="single" w:sz="8" w:space="0" w:color="auto"/>
            </w:tcBorders>
            <w:shd w:val="clear" w:color="auto" w:fill="auto"/>
            <w:noWrap/>
            <w:vAlign w:val="center"/>
            <w:hideMark/>
          </w:tcPr>
          <w:p w14:paraId="1D8D3BA6" w14:textId="77777777" w:rsidR="005F58F1" w:rsidRPr="005F58F1" w:rsidRDefault="005F58F1" w:rsidP="005F58F1">
            <w:pPr>
              <w:spacing w:after="0" w:line="240" w:lineRule="auto"/>
              <w:jc w:val="right"/>
              <w:rPr>
                <w:rFonts w:eastAsia="Times New Roman" w:cs="Calibri"/>
                <w:b/>
                <w:bCs/>
                <w:color w:val="000000"/>
                <w:sz w:val="18"/>
                <w:szCs w:val="18"/>
                <w:lang w:eastAsia="es-CR"/>
              </w:rPr>
            </w:pPr>
            <w:r w:rsidRPr="005F58F1">
              <w:rPr>
                <w:rFonts w:ascii="Arial" w:eastAsia="Times New Roman" w:hAnsi="Arial" w:cs="Arial"/>
                <w:b/>
                <w:bCs/>
                <w:color w:val="000000"/>
                <w:sz w:val="18"/>
                <w:szCs w:val="18"/>
                <w:lang w:eastAsia="es-CR"/>
              </w:rPr>
              <w:t>₡</w:t>
            </w:r>
            <w:r w:rsidRPr="005F58F1">
              <w:rPr>
                <w:rFonts w:eastAsia="Times New Roman" w:cs="Calibri"/>
                <w:b/>
                <w:bCs/>
                <w:color w:val="000000"/>
                <w:sz w:val="18"/>
                <w:szCs w:val="18"/>
                <w:lang w:eastAsia="es-CR"/>
              </w:rPr>
              <w:t>495 942,44</w:t>
            </w:r>
          </w:p>
        </w:tc>
        <w:tc>
          <w:tcPr>
            <w:tcW w:w="1180" w:type="dxa"/>
            <w:tcBorders>
              <w:top w:val="nil"/>
              <w:left w:val="nil"/>
              <w:bottom w:val="single" w:sz="8" w:space="0" w:color="auto"/>
              <w:right w:val="single" w:sz="8" w:space="0" w:color="auto"/>
            </w:tcBorders>
            <w:shd w:val="clear" w:color="auto" w:fill="auto"/>
            <w:noWrap/>
            <w:vAlign w:val="center"/>
            <w:hideMark/>
          </w:tcPr>
          <w:p w14:paraId="4E3606C0" w14:textId="77777777" w:rsidR="005F58F1" w:rsidRPr="005F58F1" w:rsidRDefault="005F58F1" w:rsidP="005F58F1">
            <w:pPr>
              <w:spacing w:after="0" w:line="240" w:lineRule="auto"/>
              <w:jc w:val="right"/>
              <w:rPr>
                <w:rFonts w:eastAsia="Times New Roman" w:cs="Calibri"/>
                <w:b/>
                <w:bCs/>
                <w:color w:val="000000"/>
                <w:sz w:val="18"/>
                <w:szCs w:val="18"/>
                <w:lang w:eastAsia="es-CR"/>
              </w:rPr>
            </w:pPr>
            <w:r w:rsidRPr="005F58F1">
              <w:rPr>
                <w:rFonts w:ascii="Arial" w:eastAsia="Times New Roman" w:hAnsi="Arial" w:cs="Arial"/>
                <w:b/>
                <w:bCs/>
                <w:color w:val="000000"/>
                <w:sz w:val="18"/>
                <w:szCs w:val="18"/>
                <w:lang w:eastAsia="es-CR"/>
              </w:rPr>
              <w:t>₡</w:t>
            </w:r>
            <w:r w:rsidRPr="005F58F1">
              <w:rPr>
                <w:rFonts w:eastAsia="Times New Roman" w:cs="Calibri"/>
                <w:b/>
                <w:bCs/>
                <w:color w:val="000000"/>
                <w:sz w:val="18"/>
                <w:szCs w:val="18"/>
                <w:lang w:eastAsia="es-CR"/>
              </w:rPr>
              <w:t>293 374,96</w:t>
            </w:r>
          </w:p>
        </w:tc>
        <w:tc>
          <w:tcPr>
            <w:tcW w:w="760" w:type="dxa"/>
            <w:tcBorders>
              <w:top w:val="nil"/>
              <w:left w:val="single" w:sz="4" w:space="0" w:color="auto"/>
              <w:bottom w:val="single" w:sz="8" w:space="0" w:color="auto"/>
              <w:right w:val="single" w:sz="8" w:space="0" w:color="auto"/>
            </w:tcBorders>
            <w:shd w:val="clear" w:color="auto" w:fill="auto"/>
            <w:noWrap/>
            <w:vAlign w:val="center"/>
            <w:hideMark/>
          </w:tcPr>
          <w:p w14:paraId="09ADDD7A" w14:textId="77777777" w:rsidR="005F58F1" w:rsidRPr="005F58F1" w:rsidRDefault="005F58F1" w:rsidP="005F58F1">
            <w:pPr>
              <w:spacing w:after="0" w:line="240" w:lineRule="auto"/>
              <w:jc w:val="center"/>
              <w:rPr>
                <w:rFonts w:eastAsia="Times New Roman" w:cs="Calibri"/>
                <w:b/>
                <w:bCs/>
                <w:color w:val="000000"/>
                <w:sz w:val="18"/>
                <w:szCs w:val="18"/>
                <w:lang w:eastAsia="es-CR"/>
              </w:rPr>
            </w:pPr>
            <w:r w:rsidRPr="005F58F1">
              <w:rPr>
                <w:rFonts w:eastAsia="Times New Roman" w:cs="Calibri"/>
                <w:b/>
                <w:bCs/>
                <w:color w:val="000000"/>
                <w:sz w:val="18"/>
                <w:szCs w:val="18"/>
                <w:lang w:eastAsia="es-CR"/>
              </w:rPr>
              <w:t>59,16%</w:t>
            </w:r>
          </w:p>
        </w:tc>
      </w:tr>
    </w:tbl>
    <w:p w14:paraId="54E083F4" w14:textId="77777777" w:rsidR="00BE6B44" w:rsidRDefault="00BE6B44" w:rsidP="00BE6B44">
      <w:pPr>
        <w:spacing w:after="120" w:line="240" w:lineRule="auto"/>
        <w:rPr>
          <w:lang w:eastAsia="es-CR"/>
        </w:rPr>
      </w:pPr>
    </w:p>
    <w:p w14:paraId="4433169C" w14:textId="11EFD533" w:rsidR="00BE6B44" w:rsidRDefault="00BE6B44" w:rsidP="00BE6B44">
      <w:pPr>
        <w:spacing w:after="120" w:line="240" w:lineRule="auto"/>
        <w:rPr>
          <w:lang w:eastAsia="es-CR"/>
        </w:rPr>
      </w:pPr>
      <w:r w:rsidRPr="00967C04">
        <w:rPr>
          <w:lang w:eastAsia="es-CR"/>
        </w:rPr>
        <w:t>En relación con el saldo que se presenta en la cuenta de “Previsiones para deterioro de cuentas por cobrar a corto plazo”, es pertinente indicar, que el mismo corresponde al ajuste realizado el 31 de diciembre de 202</w:t>
      </w:r>
      <w:r w:rsidR="00D93F47" w:rsidRPr="00967C04">
        <w:rPr>
          <w:lang w:eastAsia="es-CR"/>
        </w:rPr>
        <w:t>3</w:t>
      </w:r>
      <w:r w:rsidRPr="00967C04">
        <w:rPr>
          <w:lang w:eastAsia="es-CR"/>
        </w:rPr>
        <w:t>, el cual fue realizado con base a los montos pendientes de pago a esa fecha, con forme al siguiente cuadro, suma que no ha sido actualizada debido a que la Unidad Primaria de Registro no remitió la información pertinente para hacer la actualización correspondiente.</w:t>
      </w:r>
    </w:p>
    <w:p w14:paraId="76F738E2" w14:textId="6A49F0FD" w:rsidR="00BE6B44" w:rsidRDefault="00BE6B44" w:rsidP="00BE6B44">
      <w:pPr>
        <w:spacing w:after="120" w:line="240" w:lineRule="auto"/>
        <w:rPr>
          <w:lang w:eastAsia="es-CR"/>
        </w:rPr>
      </w:pPr>
    </w:p>
    <w:p w14:paraId="31AF15C5" w14:textId="43392701" w:rsidR="00967C04" w:rsidRDefault="00967C04" w:rsidP="00BE6B44">
      <w:pPr>
        <w:spacing w:after="120" w:line="240" w:lineRule="auto"/>
        <w:rPr>
          <w:lang w:eastAsia="es-CR"/>
        </w:rPr>
      </w:pPr>
    </w:p>
    <w:p w14:paraId="029A236A" w14:textId="77777777" w:rsidR="00967C04" w:rsidRPr="00A91674" w:rsidRDefault="00967C04" w:rsidP="00BE6B44">
      <w:pPr>
        <w:spacing w:after="120" w:line="240" w:lineRule="auto"/>
        <w:rPr>
          <w:lang w:eastAsia="es-CR"/>
        </w:rPr>
      </w:pPr>
    </w:p>
    <w:tbl>
      <w:tblPr>
        <w:tblW w:w="9493" w:type="dxa"/>
        <w:tblLook w:val="04A0" w:firstRow="1" w:lastRow="0" w:firstColumn="1" w:lastColumn="0" w:noHBand="0" w:noVBand="1"/>
      </w:tblPr>
      <w:tblGrid>
        <w:gridCol w:w="651"/>
        <w:gridCol w:w="904"/>
        <w:gridCol w:w="5244"/>
        <w:gridCol w:w="1276"/>
        <w:gridCol w:w="1418"/>
      </w:tblGrid>
      <w:tr w:rsidR="00BE6B44" w:rsidRPr="00FE0A75" w14:paraId="55F9952E" w14:textId="77777777" w:rsidTr="00D93F47">
        <w:trPr>
          <w:trHeight w:val="490"/>
        </w:trPr>
        <w:tc>
          <w:tcPr>
            <w:tcW w:w="651" w:type="dxa"/>
            <w:tcBorders>
              <w:top w:val="single" w:sz="8" w:space="0" w:color="auto"/>
              <w:left w:val="single" w:sz="4" w:space="0" w:color="auto"/>
              <w:bottom w:val="single" w:sz="8" w:space="0" w:color="auto"/>
              <w:right w:val="single" w:sz="4" w:space="0" w:color="auto"/>
            </w:tcBorders>
            <w:shd w:val="clear" w:color="000000" w:fill="203764"/>
            <w:vAlign w:val="center"/>
            <w:hideMark/>
          </w:tcPr>
          <w:p w14:paraId="054E2A9E" w14:textId="77777777" w:rsidR="00BE6B44" w:rsidRPr="00FE0A75" w:rsidRDefault="00BE6B44" w:rsidP="0061790F">
            <w:pPr>
              <w:spacing w:before="120" w:after="120"/>
              <w:jc w:val="center"/>
              <w:rPr>
                <w:rFonts w:ascii="Calibri" w:hAnsi="Calibri" w:cs="Calibri"/>
                <w:b/>
                <w:bCs/>
                <w:color w:val="FFFFFF"/>
                <w:sz w:val="20"/>
                <w:szCs w:val="20"/>
              </w:rPr>
            </w:pPr>
            <w:r w:rsidRPr="00FE0A75">
              <w:rPr>
                <w:rFonts w:ascii="Calibri" w:hAnsi="Calibri" w:cs="Calibri"/>
                <w:b/>
                <w:bCs/>
                <w:color w:val="FFFFFF"/>
                <w:sz w:val="20"/>
                <w:szCs w:val="20"/>
              </w:rPr>
              <w:t>Clase</w:t>
            </w:r>
          </w:p>
        </w:tc>
        <w:tc>
          <w:tcPr>
            <w:tcW w:w="904" w:type="dxa"/>
            <w:tcBorders>
              <w:top w:val="single" w:sz="8" w:space="0" w:color="auto"/>
              <w:left w:val="nil"/>
              <w:bottom w:val="single" w:sz="8" w:space="0" w:color="auto"/>
              <w:right w:val="single" w:sz="4" w:space="0" w:color="auto"/>
            </w:tcBorders>
            <w:shd w:val="clear" w:color="000000" w:fill="203764"/>
            <w:vAlign w:val="center"/>
            <w:hideMark/>
          </w:tcPr>
          <w:p w14:paraId="22C5B442" w14:textId="77777777" w:rsidR="00BE6B44" w:rsidRPr="00FE0A75" w:rsidRDefault="00BE6B44" w:rsidP="0061790F">
            <w:pPr>
              <w:spacing w:before="120" w:after="120"/>
              <w:jc w:val="center"/>
              <w:rPr>
                <w:rFonts w:ascii="Calibri" w:hAnsi="Calibri" w:cs="Calibri"/>
                <w:b/>
                <w:bCs/>
                <w:color w:val="FFFFFF"/>
                <w:sz w:val="20"/>
                <w:szCs w:val="20"/>
              </w:rPr>
            </w:pPr>
            <w:r w:rsidRPr="00FE0A75">
              <w:rPr>
                <w:rFonts w:ascii="Calibri" w:hAnsi="Calibri" w:cs="Calibri"/>
                <w:b/>
                <w:bCs/>
                <w:color w:val="FFFFFF"/>
                <w:sz w:val="20"/>
                <w:szCs w:val="20"/>
              </w:rPr>
              <w:t>Nivel de Riesgo</w:t>
            </w:r>
          </w:p>
        </w:tc>
        <w:tc>
          <w:tcPr>
            <w:tcW w:w="5244" w:type="dxa"/>
            <w:tcBorders>
              <w:top w:val="single" w:sz="8" w:space="0" w:color="auto"/>
              <w:left w:val="nil"/>
              <w:bottom w:val="single" w:sz="8" w:space="0" w:color="auto"/>
              <w:right w:val="single" w:sz="4" w:space="0" w:color="auto"/>
            </w:tcBorders>
            <w:shd w:val="clear" w:color="000000" w:fill="203764"/>
            <w:vAlign w:val="center"/>
            <w:hideMark/>
          </w:tcPr>
          <w:p w14:paraId="15A11F0C" w14:textId="77777777" w:rsidR="00BE6B44" w:rsidRPr="00FE0A75" w:rsidRDefault="00BE6B44" w:rsidP="0061790F">
            <w:pPr>
              <w:spacing w:before="120" w:after="120"/>
              <w:jc w:val="center"/>
              <w:rPr>
                <w:rFonts w:ascii="Calibri" w:hAnsi="Calibri" w:cs="Calibri"/>
                <w:b/>
                <w:bCs/>
                <w:color w:val="FFFFFF"/>
                <w:sz w:val="20"/>
                <w:szCs w:val="20"/>
              </w:rPr>
            </w:pPr>
            <w:r w:rsidRPr="00FE0A75">
              <w:rPr>
                <w:rFonts w:ascii="Calibri" w:hAnsi="Calibri" w:cs="Calibri"/>
                <w:b/>
                <w:bCs/>
                <w:color w:val="FFFFFF"/>
                <w:sz w:val="20"/>
                <w:szCs w:val="20"/>
              </w:rPr>
              <w:t>Descripción</w:t>
            </w:r>
          </w:p>
        </w:tc>
        <w:tc>
          <w:tcPr>
            <w:tcW w:w="1276" w:type="dxa"/>
            <w:tcBorders>
              <w:top w:val="single" w:sz="8" w:space="0" w:color="auto"/>
              <w:left w:val="nil"/>
              <w:bottom w:val="single" w:sz="8" w:space="0" w:color="auto"/>
              <w:right w:val="single" w:sz="4" w:space="0" w:color="auto"/>
            </w:tcBorders>
            <w:shd w:val="clear" w:color="000000" w:fill="203764"/>
            <w:vAlign w:val="center"/>
            <w:hideMark/>
          </w:tcPr>
          <w:p w14:paraId="6130C562" w14:textId="77777777" w:rsidR="00BE6B44" w:rsidRPr="00FE0A75" w:rsidRDefault="00BE6B44" w:rsidP="0061790F">
            <w:pPr>
              <w:spacing w:before="120" w:after="120"/>
              <w:jc w:val="center"/>
              <w:rPr>
                <w:rFonts w:ascii="Calibri" w:hAnsi="Calibri" w:cs="Calibri"/>
                <w:b/>
                <w:bCs/>
                <w:color w:val="FFFFFF"/>
                <w:sz w:val="20"/>
                <w:szCs w:val="20"/>
              </w:rPr>
            </w:pPr>
            <w:r w:rsidRPr="00FE0A75">
              <w:rPr>
                <w:rFonts w:ascii="Calibri" w:hAnsi="Calibri" w:cs="Calibri"/>
                <w:b/>
                <w:bCs/>
                <w:color w:val="FFFFFF"/>
                <w:sz w:val="20"/>
                <w:szCs w:val="20"/>
              </w:rPr>
              <w:t>Monto por cobrar</w:t>
            </w:r>
          </w:p>
        </w:tc>
        <w:tc>
          <w:tcPr>
            <w:tcW w:w="1418" w:type="dxa"/>
            <w:tcBorders>
              <w:top w:val="single" w:sz="8" w:space="0" w:color="auto"/>
              <w:left w:val="nil"/>
              <w:bottom w:val="single" w:sz="8" w:space="0" w:color="auto"/>
              <w:right w:val="single" w:sz="4" w:space="0" w:color="auto"/>
            </w:tcBorders>
            <w:shd w:val="clear" w:color="000000" w:fill="203764"/>
            <w:vAlign w:val="center"/>
            <w:hideMark/>
          </w:tcPr>
          <w:p w14:paraId="27111905" w14:textId="77777777" w:rsidR="00BE6B44" w:rsidRPr="00FE0A75" w:rsidRDefault="00BE6B44" w:rsidP="0061790F">
            <w:pPr>
              <w:spacing w:before="120" w:after="120"/>
              <w:jc w:val="center"/>
              <w:rPr>
                <w:rFonts w:ascii="Calibri" w:hAnsi="Calibri" w:cs="Calibri"/>
                <w:b/>
                <w:bCs/>
                <w:color w:val="FFFFFF"/>
                <w:sz w:val="20"/>
                <w:szCs w:val="20"/>
              </w:rPr>
            </w:pPr>
            <w:r w:rsidRPr="00FE0A75">
              <w:rPr>
                <w:rFonts w:ascii="Calibri" w:hAnsi="Calibri" w:cs="Calibri"/>
                <w:b/>
                <w:bCs/>
                <w:color w:val="FFFFFF"/>
                <w:sz w:val="20"/>
                <w:szCs w:val="20"/>
              </w:rPr>
              <w:t>Estimación</w:t>
            </w:r>
          </w:p>
        </w:tc>
      </w:tr>
      <w:tr w:rsidR="00BE6B44" w:rsidRPr="00FE0A75" w14:paraId="14D66224" w14:textId="77777777" w:rsidTr="00D93F47">
        <w:trPr>
          <w:trHeight w:val="470"/>
        </w:trPr>
        <w:tc>
          <w:tcPr>
            <w:tcW w:w="651" w:type="dxa"/>
            <w:tcBorders>
              <w:top w:val="nil"/>
              <w:left w:val="single" w:sz="8" w:space="0" w:color="auto"/>
              <w:bottom w:val="single" w:sz="8" w:space="0" w:color="auto"/>
              <w:right w:val="single" w:sz="8" w:space="0" w:color="auto"/>
            </w:tcBorders>
            <w:shd w:val="clear" w:color="auto" w:fill="auto"/>
            <w:hideMark/>
          </w:tcPr>
          <w:p w14:paraId="62DCE0AC" w14:textId="77777777" w:rsidR="00BE6B44" w:rsidRPr="00FE0A75" w:rsidRDefault="00BE6B44" w:rsidP="0061790F">
            <w:pPr>
              <w:jc w:val="center"/>
              <w:rPr>
                <w:rFonts w:cs="Arial"/>
                <w:b/>
                <w:bCs/>
                <w:color w:val="000000"/>
                <w:sz w:val="18"/>
                <w:szCs w:val="18"/>
              </w:rPr>
            </w:pPr>
            <w:r w:rsidRPr="00FE0A75">
              <w:rPr>
                <w:rFonts w:cs="Arial"/>
                <w:b/>
                <w:bCs/>
                <w:color w:val="000000"/>
                <w:sz w:val="18"/>
                <w:szCs w:val="18"/>
              </w:rPr>
              <w:t>B</w:t>
            </w:r>
          </w:p>
        </w:tc>
        <w:tc>
          <w:tcPr>
            <w:tcW w:w="904" w:type="dxa"/>
            <w:tcBorders>
              <w:top w:val="nil"/>
              <w:left w:val="nil"/>
              <w:bottom w:val="single" w:sz="8" w:space="0" w:color="auto"/>
              <w:right w:val="single" w:sz="8" w:space="0" w:color="auto"/>
            </w:tcBorders>
            <w:shd w:val="clear" w:color="auto" w:fill="auto"/>
            <w:hideMark/>
          </w:tcPr>
          <w:p w14:paraId="4EA413F4" w14:textId="77777777" w:rsidR="00BE6B44" w:rsidRPr="00FE0A75" w:rsidRDefault="00BE6B44" w:rsidP="0061790F">
            <w:pPr>
              <w:jc w:val="center"/>
              <w:rPr>
                <w:rFonts w:cs="Arial"/>
                <w:b/>
                <w:bCs/>
                <w:color w:val="000000"/>
                <w:sz w:val="18"/>
                <w:szCs w:val="18"/>
              </w:rPr>
            </w:pPr>
            <w:r w:rsidRPr="00FE0A75">
              <w:rPr>
                <w:rFonts w:cs="Arial"/>
                <w:b/>
                <w:bCs/>
                <w:color w:val="000000"/>
                <w:sz w:val="18"/>
                <w:szCs w:val="18"/>
              </w:rPr>
              <w:t>RIESGO MEDIO</w:t>
            </w:r>
          </w:p>
        </w:tc>
        <w:tc>
          <w:tcPr>
            <w:tcW w:w="5244" w:type="dxa"/>
            <w:tcBorders>
              <w:top w:val="nil"/>
              <w:left w:val="nil"/>
              <w:bottom w:val="single" w:sz="8" w:space="0" w:color="auto"/>
              <w:right w:val="nil"/>
            </w:tcBorders>
            <w:shd w:val="clear" w:color="auto" w:fill="auto"/>
            <w:hideMark/>
          </w:tcPr>
          <w:p w14:paraId="079E5FF2" w14:textId="77777777" w:rsidR="00BE6B44" w:rsidRPr="00FE0A75" w:rsidRDefault="00BE6B44" w:rsidP="0061790F">
            <w:pPr>
              <w:rPr>
                <w:rFonts w:cs="Arial"/>
                <w:color w:val="000000"/>
                <w:sz w:val="18"/>
                <w:szCs w:val="18"/>
              </w:rPr>
            </w:pPr>
            <w:r w:rsidRPr="00FE0A75">
              <w:rPr>
                <w:rFonts w:cs="Arial"/>
                <w:color w:val="000000"/>
                <w:sz w:val="18"/>
                <w:szCs w:val="18"/>
              </w:rPr>
              <w:t>La categoría B) se aplica a deudores con moras entre tres y cuatro trimestres. No se esperan pérdidas significativas.</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D37465" w14:textId="77777777" w:rsidR="00BE6B44" w:rsidRPr="00FE0A75" w:rsidRDefault="00BE6B44" w:rsidP="0061790F">
            <w:pPr>
              <w:rPr>
                <w:rFonts w:cs="Calibri"/>
                <w:color w:val="000000"/>
                <w:sz w:val="18"/>
                <w:szCs w:val="18"/>
              </w:rPr>
            </w:pPr>
            <w:r w:rsidRPr="00FE0A75">
              <w:rPr>
                <w:rFonts w:cs="Calibri"/>
                <w:color w:val="000000"/>
                <w:sz w:val="18"/>
                <w:szCs w:val="18"/>
              </w:rPr>
              <w:t xml:space="preserve">      </w:t>
            </w:r>
            <w:r w:rsidRPr="00CB5B6E">
              <w:rPr>
                <w:rFonts w:ascii="Arial" w:hAnsi="Arial" w:cs="Arial"/>
                <w:color w:val="000000"/>
                <w:sz w:val="18"/>
                <w:szCs w:val="18"/>
              </w:rPr>
              <w:t>₡</w:t>
            </w:r>
            <w:r w:rsidRPr="00FE0A75">
              <w:rPr>
                <w:rFonts w:cs="Calibri"/>
                <w:color w:val="000000"/>
                <w:sz w:val="18"/>
                <w:szCs w:val="18"/>
              </w:rPr>
              <w:t xml:space="preserve">80 179,18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08252A5A" w14:textId="6353E6AE" w:rsidR="00BE6B44" w:rsidRPr="00FE0A75" w:rsidRDefault="00BE6B44" w:rsidP="0061790F">
            <w:pPr>
              <w:jc w:val="center"/>
              <w:rPr>
                <w:rFonts w:cs="Calibri"/>
                <w:color w:val="000000"/>
                <w:sz w:val="18"/>
                <w:szCs w:val="18"/>
              </w:rPr>
            </w:pPr>
            <w:r w:rsidRPr="00FE0A75">
              <w:rPr>
                <w:rFonts w:cs="Calibri"/>
                <w:color w:val="000000"/>
                <w:sz w:val="18"/>
                <w:szCs w:val="18"/>
              </w:rPr>
              <w:t xml:space="preserve"> </w:t>
            </w:r>
            <w:r w:rsidR="00D93F47" w:rsidRPr="00CB5B6E">
              <w:rPr>
                <w:rFonts w:ascii="Arial" w:hAnsi="Arial" w:cs="Arial"/>
                <w:color w:val="000000"/>
                <w:sz w:val="18"/>
                <w:szCs w:val="18"/>
              </w:rPr>
              <w:t>₡</w:t>
            </w:r>
            <w:r w:rsidR="00D93F47">
              <w:rPr>
                <w:rFonts w:ascii="Arial" w:hAnsi="Arial" w:cs="Arial"/>
                <w:color w:val="000000"/>
                <w:sz w:val="18"/>
                <w:szCs w:val="18"/>
              </w:rPr>
              <w:t>0,00</w:t>
            </w:r>
          </w:p>
        </w:tc>
      </w:tr>
      <w:tr w:rsidR="00BE6B44" w:rsidRPr="00FE0A75" w14:paraId="72579DB0" w14:textId="77777777" w:rsidTr="00D93F47">
        <w:trPr>
          <w:trHeight w:val="574"/>
        </w:trPr>
        <w:tc>
          <w:tcPr>
            <w:tcW w:w="651" w:type="dxa"/>
            <w:tcBorders>
              <w:top w:val="nil"/>
              <w:left w:val="single" w:sz="8" w:space="0" w:color="auto"/>
              <w:bottom w:val="single" w:sz="8" w:space="0" w:color="auto"/>
              <w:right w:val="single" w:sz="8" w:space="0" w:color="auto"/>
            </w:tcBorders>
            <w:shd w:val="clear" w:color="auto" w:fill="auto"/>
            <w:hideMark/>
          </w:tcPr>
          <w:p w14:paraId="7F7FAF54" w14:textId="77777777" w:rsidR="00BE6B44" w:rsidRPr="00FE0A75" w:rsidRDefault="00BE6B44" w:rsidP="0061790F">
            <w:pPr>
              <w:jc w:val="center"/>
              <w:rPr>
                <w:rFonts w:cs="Arial"/>
                <w:b/>
                <w:bCs/>
                <w:color w:val="000000"/>
                <w:sz w:val="18"/>
                <w:szCs w:val="18"/>
              </w:rPr>
            </w:pPr>
            <w:r w:rsidRPr="00FE0A75">
              <w:rPr>
                <w:rFonts w:cs="Arial"/>
                <w:b/>
                <w:bCs/>
                <w:color w:val="000000"/>
                <w:sz w:val="18"/>
                <w:szCs w:val="18"/>
              </w:rPr>
              <w:t>C</w:t>
            </w:r>
          </w:p>
        </w:tc>
        <w:tc>
          <w:tcPr>
            <w:tcW w:w="904" w:type="dxa"/>
            <w:tcBorders>
              <w:top w:val="nil"/>
              <w:left w:val="nil"/>
              <w:bottom w:val="single" w:sz="8" w:space="0" w:color="auto"/>
              <w:right w:val="single" w:sz="8" w:space="0" w:color="auto"/>
            </w:tcBorders>
            <w:shd w:val="clear" w:color="auto" w:fill="auto"/>
            <w:hideMark/>
          </w:tcPr>
          <w:p w14:paraId="607628D1" w14:textId="77777777" w:rsidR="00BE6B44" w:rsidRPr="00FE0A75" w:rsidRDefault="00BE6B44" w:rsidP="0061790F">
            <w:pPr>
              <w:jc w:val="center"/>
              <w:rPr>
                <w:rFonts w:cs="Arial"/>
                <w:b/>
                <w:bCs/>
                <w:color w:val="000000"/>
                <w:sz w:val="18"/>
                <w:szCs w:val="18"/>
              </w:rPr>
            </w:pPr>
            <w:r w:rsidRPr="00FE0A75">
              <w:rPr>
                <w:rFonts w:cs="Arial"/>
                <w:b/>
                <w:bCs/>
                <w:color w:val="000000"/>
                <w:sz w:val="18"/>
                <w:szCs w:val="18"/>
              </w:rPr>
              <w:t>RIESGO ALTO – NIVEL 1</w:t>
            </w:r>
          </w:p>
        </w:tc>
        <w:tc>
          <w:tcPr>
            <w:tcW w:w="5244" w:type="dxa"/>
            <w:tcBorders>
              <w:top w:val="nil"/>
              <w:left w:val="nil"/>
              <w:bottom w:val="single" w:sz="8" w:space="0" w:color="auto"/>
              <w:right w:val="nil"/>
            </w:tcBorders>
            <w:shd w:val="clear" w:color="auto" w:fill="auto"/>
            <w:hideMark/>
          </w:tcPr>
          <w:p w14:paraId="3008CB25" w14:textId="0FAA77F6" w:rsidR="00BE6B44" w:rsidRPr="00FE0A75" w:rsidRDefault="00BE6B44" w:rsidP="0061790F">
            <w:pPr>
              <w:rPr>
                <w:rFonts w:cs="Arial"/>
                <w:color w:val="000000"/>
                <w:sz w:val="18"/>
                <w:szCs w:val="18"/>
              </w:rPr>
            </w:pPr>
            <w:r w:rsidRPr="00FE0A75">
              <w:rPr>
                <w:rFonts w:cs="Arial"/>
                <w:color w:val="000000"/>
                <w:sz w:val="18"/>
                <w:szCs w:val="18"/>
              </w:rPr>
              <w:t xml:space="preserve">Esta categoría clasifica a los deudores con moras entre cinco y ocho trimestres. Se estima que se podría materializar una pérdida del </w:t>
            </w:r>
            <w:r w:rsidR="00796636">
              <w:rPr>
                <w:rFonts w:cs="Arial"/>
                <w:color w:val="000000"/>
                <w:sz w:val="18"/>
                <w:szCs w:val="18"/>
              </w:rPr>
              <w:t>31</w:t>
            </w:r>
            <w:r w:rsidRPr="00FE0A75">
              <w:rPr>
                <w:rFonts w:cs="Arial"/>
                <w:color w:val="000000"/>
                <w:sz w:val="18"/>
                <w:szCs w:val="18"/>
              </w:rPr>
              <w:t>% del monto de la cartera que presente este nivel de morosidad.</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C660F86" w14:textId="3E4DDAF1" w:rsidR="00BE6B44" w:rsidRPr="00FE0A75" w:rsidRDefault="00BE6B44" w:rsidP="0061790F">
            <w:pPr>
              <w:rPr>
                <w:rFonts w:cs="Calibri"/>
                <w:color w:val="000000"/>
                <w:sz w:val="18"/>
                <w:szCs w:val="18"/>
              </w:rPr>
            </w:pPr>
            <w:r w:rsidRPr="00FE0A75">
              <w:rPr>
                <w:rFonts w:cs="Calibri"/>
                <w:color w:val="000000"/>
                <w:sz w:val="18"/>
                <w:szCs w:val="18"/>
              </w:rPr>
              <w:t xml:space="preserve">      </w:t>
            </w:r>
            <w:r w:rsidR="00D93F47" w:rsidRPr="00CB5B6E">
              <w:rPr>
                <w:rFonts w:ascii="Arial" w:hAnsi="Arial" w:cs="Arial"/>
                <w:color w:val="000000"/>
                <w:sz w:val="18"/>
                <w:szCs w:val="18"/>
              </w:rPr>
              <w:t>₡</w:t>
            </w:r>
            <w:r w:rsidRPr="00FE0A75">
              <w:rPr>
                <w:rFonts w:cs="Calibri"/>
                <w:color w:val="000000"/>
                <w:sz w:val="18"/>
                <w:szCs w:val="18"/>
              </w:rPr>
              <w:t xml:space="preserve">58 369,87 </w:t>
            </w:r>
          </w:p>
        </w:tc>
        <w:tc>
          <w:tcPr>
            <w:tcW w:w="1418" w:type="dxa"/>
            <w:tcBorders>
              <w:top w:val="nil"/>
              <w:left w:val="nil"/>
              <w:bottom w:val="single" w:sz="4" w:space="0" w:color="auto"/>
              <w:right w:val="single" w:sz="4" w:space="0" w:color="auto"/>
            </w:tcBorders>
            <w:shd w:val="clear" w:color="auto" w:fill="auto"/>
            <w:noWrap/>
            <w:vAlign w:val="bottom"/>
            <w:hideMark/>
          </w:tcPr>
          <w:p w14:paraId="526E73A7" w14:textId="77777777" w:rsidR="00BE6B44" w:rsidRPr="00FE0A75" w:rsidRDefault="00BE6B44" w:rsidP="0061790F">
            <w:pPr>
              <w:ind w:left="-110"/>
              <w:rPr>
                <w:rFonts w:cs="Calibri"/>
                <w:color w:val="000000"/>
                <w:sz w:val="18"/>
                <w:szCs w:val="18"/>
              </w:rPr>
            </w:pPr>
            <w:r w:rsidRPr="00FE0A75">
              <w:rPr>
                <w:rFonts w:cs="Calibri"/>
                <w:color w:val="000000"/>
                <w:sz w:val="18"/>
                <w:szCs w:val="18"/>
              </w:rPr>
              <w:t xml:space="preserve">     </w:t>
            </w:r>
            <w:r w:rsidRPr="00CB5B6E">
              <w:rPr>
                <w:rFonts w:ascii="Arial" w:hAnsi="Arial" w:cs="Arial"/>
                <w:color w:val="000000"/>
                <w:sz w:val="18"/>
                <w:szCs w:val="18"/>
              </w:rPr>
              <w:t>₡</w:t>
            </w:r>
            <w:r w:rsidRPr="00FE0A75">
              <w:rPr>
                <w:rFonts w:cs="Calibri"/>
                <w:color w:val="000000"/>
                <w:sz w:val="18"/>
                <w:szCs w:val="18"/>
              </w:rPr>
              <w:t xml:space="preserve">17 510,96 </w:t>
            </w:r>
          </w:p>
        </w:tc>
      </w:tr>
      <w:tr w:rsidR="00BE6B44" w:rsidRPr="00FE0A75" w14:paraId="38088714" w14:textId="77777777" w:rsidTr="00D93F47">
        <w:trPr>
          <w:trHeight w:val="795"/>
        </w:trPr>
        <w:tc>
          <w:tcPr>
            <w:tcW w:w="651" w:type="dxa"/>
            <w:tcBorders>
              <w:top w:val="nil"/>
              <w:left w:val="single" w:sz="8" w:space="0" w:color="auto"/>
              <w:bottom w:val="single" w:sz="8" w:space="0" w:color="auto"/>
              <w:right w:val="single" w:sz="8" w:space="0" w:color="auto"/>
            </w:tcBorders>
            <w:shd w:val="clear" w:color="auto" w:fill="auto"/>
            <w:hideMark/>
          </w:tcPr>
          <w:p w14:paraId="264968D8" w14:textId="77777777" w:rsidR="00BE6B44" w:rsidRPr="00FE0A75" w:rsidRDefault="00BE6B44" w:rsidP="0061790F">
            <w:pPr>
              <w:jc w:val="center"/>
              <w:rPr>
                <w:rFonts w:cs="Arial"/>
                <w:b/>
                <w:bCs/>
                <w:color w:val="000000"/>
                <w:sz w:val="18"/>
                <w:szCs w:val="18"/>
              </w:rPr>
            </w:pPr>
            <w:r w:rsidRPr="00FE0A75">
              <w:rPr>
                <w:rFonts w:cs="Arial"/>
                <w:b/>
                <w:bCs/>
                <w:color w:val="000000"/>
                <w:sz w:val="18"/>
                <w:szCs w:val="18"/>
              </w:rPr>
              <w:t>D</w:t>
            </w:r>
          </w:p>
        </w:tc>
        <w:tc>
          <w:tcPr>
            <w:tcW w:w="904" w:type="dxa"/>
            <w:tcBorders>
              <w:top w:val="nil"/>
              <w:left w:val="nil"/>
              <w:bottom w:val="single" w:sz="8" w:space="0" w:color="auto"/>
              <w:right w:val="single" w:sz="8" w:space="0" w:color="auto"/>
            </w:tcBorders>
            <w:shd w:val="clear" w:color="auto" w:fill="auto"/>
            <w:hideMark/>
          </w:tcPr>
          <w:p w14:paraId="6947DC57" w14:textId="77777777" w:rsidR="00BE6B44" w:rsidRPr="00FE0A75" w:rsidRDefault="00BE6B44" w:rsidP="0061790F">
            <w:pPr>
              <w:jc w:val="center"/>
              <w:rPr>
                <w:rFonts w:cs="Arial"/>
                <w:b/>
                <w:bCs/>
                <w:color w:val="000000"/>
                <w:sz w:val="18"/>
                <w:szCs w:val="18"/>
              </w:rPr>
            </w:pPr>
            <w:r w:rsidRPr="00FE0A75">
              <w:rPr>
                <w:rFonts w:cs="Arial"/>
                <w:b/>
                <w:bCs/>
                <w:color w:val="000000"/>
                <w:sz w:val="18"/>
                <w:szCs w:val="18"/>
              </w:rPr>
              <w:t xml:space="preserve">RIESGO ALTO – NIVEL 2 </w:t>
            </w:r>
          </w:p>
        </w:tc>
        <w:tc>
          <w:tcPr>
            <w:tcW w:w="5244" w:type="dxa"/>
            <w:tcBorders>
              <w:top w:val="nil"/>
              <w:left w:val="nil"/>
              <w:bottom w:val="single" w:sz="8" w:space="0" w:color="auto"/>
              <w:right w:val="nil"/>
            </w:tcBorders>
            <w:shd w:val="clear" w:color="auto" w:fill="auto"/>
            <w:hideMark/>
          </w:tcPr>
          <w:p w14:paraId="04DCE674" w14:textId="77777777" w:rsidR="00BE6B44" w:rsidRPr="00FE0A75" w:rsidRDefault="00BE6B44" w:rsidP="0061790F">
            <w:pPr>
              <w:rPr>
                <w:rFonts w:cs="Arial"/>
                <w:color w:val="000000"/>
                <w:sz w:val="18"/>
                <w:szCs w:val="18"/>
              </w:rPr>
            </w:pPr>
            <w:r w:rsidRPr="00FE0A75">
              <w:rPr>
                <w:rFonts w:cs="Arial"/>
                <w:color w:val="000000"/>
                <w:sz w:val="18"/>
                <w:szCs w:val="18"/>
              </w:rPr>
              <w:t>Esta categoría se aplica a deudores que presentan entre nueve y doce trimestres de atraso en el pago de sus obligaciones.  Se estima que se podría materializar una pérdida del 50% del monto de la cartera que presente este nivel de morosidad.</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9819262" w14:textId="4BD5312F" w:rsidR="00BE6B44" w:rsidRPr="00FE0A75" w:rsidRDefault="00BE6B44" w:rsidP="0061790F">
            <w:pPr>
              <w:rPr>
                <w:rFonts w:cs="Calibri"/>
                <w:color w:val="000000"/>
                <w:sz w:val="18"/>
                <w:szCs w:val="18"/>
              </w:rPr>
            </w:pPr>
            <w:r w:rsidRPr="00FE0A75">
              <w:rPr>
                <w:rFonts w:cs="Calibri"/>
                <w:color w:val="000000"/>
                <w:sz w:val="18"/>
                <w:szCs w:val="18"/>
              </w:rPr>
              <w:t xml:space="preserve">      </w:t>
            </w:r>
            <w:r w:rsidR="00D93F47" w:rsidRPr="00CB5B6E">
              <w:rPr>
                <w:rFonts w:ascii="Arial" w:hAnsi="Arial" w:cs="Arial"/>
                <w:color w:val="000000"/>
                <w:sz w:val="18"/>
                <w:szCs w:val="18"/>
              </w:rPr>
              <w:t>₡</w:t>
            </w:r>
            <w:r w:rsidRPr="00FE0A75">
              <w:rPr>
                <w:rFonts w:cs="Calibri"/>
                <w:color w:val="000000"/>
                <w:sz w:val="18"/>
                <w:szCs w:val="18"/>
              </w:rPr>
              <w:t xml:space="preserve">33 347,74 </w:t>
            </w:r>
          </w:p>
        </w:tc>
        <w:tc>
          <w:tcPr>
            <w:tcW w:w="1418" w:type="dxa"/>
            <w:tcBorders>
              <w:top w:val="nil"/>
              <w:left w:val="nil"/>
              <w:bottom w:val="single" w:sz="4" w:space="0" w:color="auto"/>
              <w:right w:val="single" w:sz="4" w:space="0" w:color="auto"/>
            </w:tcBorders>
            <w:shd w:val="clear" w:color="auto" w:fill="auto"/>
            <w:noWrap/>
            <w:vAlign w:val="bottom"/>
            <w:hideMark/>
          </w:tcPr>
          <w:p w14:paraId="6AD993D0" w14:textId="2C0FAA91" w:rsidR="00BE6B44" w:rsidRPr="00FE0A75" w:rsidRDefault="00BE6B44" w:rsidP="0061790F">
            <w:pPr>
              <w:rPr>
                <w:rFonts w:cs="Calibri"/>
                <w:color w:val="000000"/>
                <w:sz w:val="18"/>
                <w:szCs w:val="18"/>
              </w:rPr>
            </w:pPr>
            <w:r w:rsidRPr="00FE0A75">
              <w:rPr>
                <w:rFonts w:cs="Calibri"/>
                <w:color w:val="000000"/>
                <w:sz w:val="18"/>
                <w:szCs w:val="18"/>
              </w:rPr>
              <w:t xml:space="preserve">      </w:t>
            </w:r>
            <w:r w:rsidR="00D93F47" w:rsidRPr="00FE0A75">
              <w:rPr>
                <w:rFonts w:cs="Calibri"/>
                <w:color w:val="000000"/>
                <w:sz w:val="18"/>
                <w:szCs w:val="18"/>
              </w:rPr>
              <w:t xml:space="preserve"> </w:t>
            </w:r>
            <w:r w:rsidR="00D93F47" w:rsidRPr="00CB5B6E">
              <w:rPr>
                <w:rFonts w:ascii="Arial" w:hAnsi="Arial" w:cs="Arial"/>
                <w:color w:val="000000"/>
                <w:sz w:val="18"/>
                <w:szCs w:val="18"/>
              </w:rPr>
              <w:t>₡</w:t>
            </w:r>
            <w:r w:rsidRPr="00FE0A75">
              <w:rPr>
                <w:rFonts w:cs="Calibri"/>
                <w:color w:val="000000"/>
                <w:sz w:val="18"/>
                <w:szCs w:val="18"/>
              </w:rPr>
              <w:t xml:space="preserve">16 673,87 </w:t>
            </w:r>
          </w:p>
        </w:tc>
      </w:tr>
      <w:tr w:rsidR="00BE6B44" w:rsidRPr="00FE0A75" w14:paraId="537DC832" w14:textId="77777777" w:rsidTr="00D93F47">
        <w:trPr>
          <w:trHeight w:val="807"/>
        </w:trPr>
        <w:tc>
          <w:tcPr>
            <w:tcW w:w="651" w:type="dxa"/>
            <w:tcBorders>
              <w:top w:val="nil"/>
              <w:left w:val="single" w:sz="8" w:space="0" w:color="auto"/>
              <w:bottom w:val="single" w:sz="8" w:space="0" w:color="auto"/>
              <w:right w:val="single" w:sz="8" w:space="0" w:color="auto"/>
            </w:tcBorders>
            <w:shd w:val="clear" w:color="auto" w:fill="auto"/>
            <w:hideMark/>
          </w:tcPr>
          <w:p w14:paraId="3A32CF20" w14:textId="77777777" w:rsidR="00BE6B44" w:rsidRPr="00FE0A75" w:rsidRDefault="00BE6B44" w:rsidP="0061790F">
            <w:pPr>
              <w:jc w:val="center"/>
              <w:rPr>
                <w:rFonts w:cs="Arial"/>
                <w:b/>
                <w:bCs/>
                <w:color w:val="000000"/>
                <w:sz w:val="18"/>
                <w:szCs w:val="18"/>
              </w:rPr>
            </w:pPr>
            <w:r w:rsidRPr="00FE0A75">
              <w:rPr>
                <w:rFonts w:cs="Arial"/>
                <w:b/>
                <w:bCs/>
                <w:color w:val="000000"/>
                <w:sz w:val="18"/>
                <w:szCs w:val="18"/>
              </w:rPr>
              <w:t>E</w:t>
            </w:r>
          </w:p>
        </w:tc>
        <w:tc>
          <w:tcPr>
            <w:tcW w:w="904" w:type="dxa"/>
            <w:tcBorders>
              <w:top w:val="nil"/>
              <w:left w:val="nil"/>
              <w:bottom w:val="single" w:sz="8" w:space="0" w:color="auto"/>
              <w:right w:val="single" w:sz="8" w:space="0" w:color="auto"/>
            </w:tcBorders>
            <w:shd w:val="clear" w:color="auto" w:fill="auto"/>
            <w:hideMark/>
          </w:tcPr>
          <w:p w14:paraId="4A40D5B1" w14:textId="77777777" w:rsidR="00BE6B44" w:rsidRPr="00FE0A75" w:rsidRDefault="00BE6B44" w:rsidP="0061790F">
            <w:pPr>
              <w:jc w:val="center"/>
              <w:rPr>
                <w:rFonts w:cs="Arial"/>
                <w:b/>
                <w:bCs/>
                <w:color w:val="000000"/>
                <w:sz w:val="18"/>
                <w:szCs w:val="18"/>
              </w:rPr>
            </w:pPr>
            <w:r w:rsidRPr="00FE0A75">
              <w:rPr>
                <w:rFonts w:cs="Arial"/>
                <w:b/>
                <w:bCs/>
                <w:color w:val="000000"/>
                <w:sz w:val="18"/>
                <w:szCs w:val="18"/>
              </w:rPr>
              <w:t>RIESGO ALTO – NIVEL 3</w:t>
            </w:r>
          </w:p>
        </w:tc>
        <w:tc>
          <w:tcPr>
            <w:tcW w:w="5244" w:type="dxa"/>
            <w:tcBorders>
              <w:top w:val="nil"/>
              <w:left w:val="nil"/>
              <w:bottom w:val="single" w:sz="8" w:space="0" w:color="auto"/>
              <w:right w:val="nil"/>
            </w:tcBorders>
            <w:shd w:val="clear" w:color="auto" w:fill="auto"/>
            <w:hideMark/>
          </w:tcPr>
          <w:p w14:paraId="3452C3B0" w14:textId="77777777" w:rsidR="00BE6B44" w:rsidRPr="00FE0A75" w:rsidRDefault="00BE6B44" w:rsidP="0061790F">
            <w:pPr>
              <w:rPr>
                <w:rFonts w:cs="Arial"/>
                <w:color w:val="000000"/>
                <w:sz w:val="18"/>
                <w:szCs w:val="18"/>
              </w:rPr>
            </w:pPr>
            <w:r w:rsidRPr="00FE0A75">
              <w:rPr>
                <w:rFonts w:cs="Arial"/>
                <w:color w:val="000000"/>
                <w:sz w:val="18"/>
                <w:szCs w:val="18"/>
              </w:rPr>
              <w:t>Esta categoría se aplica a deudores que presentan entre trece y dieciséis trimestres de atraso en el pago de sus obligaciones.  Se estima que se podría materializar una pérdida del 65% del monto de la cartera que presente este nivel de morosidad.</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62A0F5A" w14:textId="4CCCBC8D" w:rsidR="00BE6B44" w:rsidRPr="00FE0A75" w:rsidRDefault="00BE6B44" w:rsidP="0061790F">
            <w:pPr>
              <w:rPr>
                <w:rFonts w:cs="Calibri"/>
                <w:color w:val="000000"/>
                <w:sz w:val="18"/>
                <w:szCs w:val="18"/>
              </w:rPr>
            </w:pPr>
            <w:r w:rsidRPr="00FE0A75">
              <w:rPr>
                <w:rFonts w:cs="Calibri"/>
                <w:color w:val="000000"/>
                <w:sz w:val="18"/>
                <w:szCs w:val="18"/>
              </w:rPr>
              <w:t xml:space="preserve">      </w:t>
            </w:r>
            <w:r w:rsidR="00D93F47" w:rsidRPr="00CB5B6E">
              <w:rPr>
                <w:rFonts w:ascii="Arial" w:hAnsi="Arial" w:cs="Arial"/>
                <w:color w:val="000000"/>
                <w:sz w:val="18"/>
                <w:szCs w:val="18"/>
              </w:rPr>
              <w:t>₡</w:t>
            </w:r>
            <w:r w:rsidRPr="00FE0A75">
              <w:rPr>
                <w:rFonts w:cs="Calibri"/>
                <w:color w:val="000000"/>
                <w:sz w:val="18"/>
                <w:szCs w:val="18"/>
              </w:rPr>
              <w:t xml:space="preserve">44 969,61 </w:t>
            </w:r>
          </w:p>
        </w:tc>
        <w:tc>
          <w:tcPr>
            <w:tcW w:w="1418" w:type="dxa"/>
            <w:tcBorders>
              <w:top w:val="nil"/>
              <w:left w:val="nil"/>
              <w:bottom w:val="single" w:sz="4" w:space="0" w:color="auto"/>
              <w:right w:val="single" w:sz="4" w:space="0" w:color="auto"/>
            </w:tcBorders>
            <w:shd w:val="clear" w:color="auto" w:fill="auto"/>
            <w:noWrap/>
            <w:vAlign w:val="bottom"/>
            <w:hideMark/>
          </w:tcPr>
          <w:p w14:paraId="769BD66B" w14:textId="700F546A" w:rsidR="00BE6B44" w:rsidRPr="00FE0A75" w:rsidRDefault="00BE6B44" w:rsidP="0061790F">
            <w:pPr>
              <w:rPr>
                <w:rFonts w:cs="Calibri"/>
                <w:color w:val="000000"/>
                <w:sz w:val="18"/>
                <w:szCs w:val="18"/>
              </w:rPr>
            </w:pPr>
            <w:r w:rsidRPr="00FE0A75">
              <w:rPr>
                <w:rFonts w:cs="Calibri"/>
                <w:color w:val="000000"/>
                <w:sz w:val="18"/>
                <w:szCs w:val="18"/>
              </w:rPr>
              <w:t xml:space="preserve">      </w:t>
            </w:r>
            <w:r w:rsidR="00D93F47" w:rsidRPr="00FE0A75">
              <w:rPr>
                <w:rFonts w:cs="Calibri"/>
                <w:color w:val="000000"/>
                <w:sz w:val="18"/>
                <w:szCs w:val="18"/>
              </w:rPr>
              <w:t xml:space="preserve"> </w:t>
            </w:r>
            <w:r w:rsidR="00D93F47" w:rsidRPr="00CB5B6E">
              <w:rPr>
                <w:rFonts w:ascii="Arial" w:hAnsi="Arial" w:cs="Arial"/>
                <w:color w:val="000000"/>
                <w:sz w:val="18"/>
                <w:szCs w:val="18"/>
              </w:rPr>
              <w:t>₡</w:t>
            </w:r>
            <w:r w:rsidRPr="00FE0A75">
              <w:rPr>
                <w:rFonts w:cs="Calibri"/>
                <w:color w:val="000000"/>
                <w:sz w:val="18"/>
                <w:szCs w:val="18"/>
              </w:rPr>
              <w:t>29 2</w:t>
            </w:r>
            <w:r w:rsidR="00796636">
              <w:rPr>
                <w:rFonts w:cs="Calibri"/>
                <w:color w:val="000000"/>
                <w:sz w:val="18"/>
                <w:szCs w:val="18"/>
              </w:rPr>
              <w:t>31</w:t>
            </w:r>
            <w:r w:rsidRPr="00FE0A75">
              <w:rPr>
                <w:rFonts w:cs="Calibri"/>
                <w:color w:val="000000"/>
                <w:sz w:val="18"/>
                <w:szCs w:val="18"/>
              </w:rPr>
              <w:t xml:space="preserve">,24 </w:t>
            </w:r>
          </w:p>
        </w:tc>
      </w:tr>
      <w:tr w:rsidR="00BE6B44" w:rsidRPr="00FE0A75" w14:paraId="5CBDB13B" w14:textId="77777777" w:rsidTr="00D93F47">
        <w:trPr>
          <w:trHeight w:val="805"/>
        </w:trPr>
        <w:tc>
          <w:tcPr>
            <w:tcW w:w="651" w:type="dxa"/>
            <w:tcBorders>
              <w:top w:val="nil"/>
              <w:left w:val="single" w:sz="8" w:space="0" w:color="auto"/>
              <w:bottom w:val="single" w:sz="8" w:space="0" w:color="auto"/>
              <w:right w:val="single" w:sz="8" w:space="0" w:color="auto"/>
            </w:tcBorders>
            <w:shd w:val="clear" w:color="auto" w:fill="auto"/>
            <w:hideMark/>
          </w:tcPr>
          <w:p w14:paraId="1B7613C9" w14:textId="77777777" w:rsidR="00BE6B44" w:rsidRPr="00FE0A75" w:rsidRDefault="00BE6B44" w:rsidP="0061790F">
            <w:pPr>
              <w:jc w:val="center"/>
              <w:rPr>
                <w:rFonts w:cs="Arial"/>
                <w:b/>
                <w:bCs/>
                <w:color w:val="000000"/>
                <w:sz w:val="18"/>
                <w:szCs w:val="18"/>
              </w:rPr>
            </w:pPr>
            <w:r w:rsidRPr="00FE0A75">
              <w:rPr>
                <w:rFonts w:cs="Arial"/>
                <w:b/>
                <w:bCs/>
                <w:color w:val="000000"/>
                <w:sz w:val="18"/>
                <w:szCs w:val="18"/>
              </w:rPr>
              <w:lastRenderedPageBreak/>
              <w:t>F</w:t>
            </w:r>
          </w:p>
        </w:tc>
        <w:tc>
          <w:tcPr>
            <w:tcW w:w="904" w:type="dxa"/>
            <w:tcBorders>
              <w:top w:val="nil"/>
              <w:left w:val="nil"/>
              <w:bottom w:val="single" w:sz="8" w:space="0" w:color="auto"/>
              <w:right w:val="single" w:sz="8" w:space="0" w:color="auto"/>
            </w:tcBorders>
            <w:shd w:val="clear" w:color="auto" w:fill="auto"/>
            <w:hideMark/>
          </w:tcPr>
          <w:p w14:paraId="1BE1D5E5" w14:textId="77777777" w:rsidR="00BE6B44" w:rsidRPr="00FE0A75" w:rsidRDefault="00BE6B44" w:rsidP="0061790F">
            <w:pPr>
              <w:jc w:val="center"/>
              <w:rPr>
                <w:rFonts w:cs="Arial"/>
                <w:b/>
                <w:bCs/>
                <w:color w:val="000000"/>
                <w:sz w:val="18"/>
                <w:szCs w:val="18"/>
              </w:rPr>
            </w:pPr>
            <w:r w:rsidRPr="00FE0A75">
              <w:rPr>
                <w:rFonts w:cs="Arial"/>
                <w:b/>
                <w:bCs/>
                <w:color w:val="000000"/>
                <w:sz w:val="18"/>
                <w:szCs w:val="18"/>
              </w:rPr>
              <w:t>RIESGO ALTO – NIVEL 4</w:t>
            </w:r>
          </w:p>
        </w:tc>
        <w:tc>
          <w:tcPr>
            <w:tcW w:w="5244" w:type="dxa"/>
            <w:tcBorders>
              <w:top w:val="nil"/>
              <w:left w:val="nil"/>
              <w:bottom w:val="single" w:sz="8" w:space="0" w:color="auto"/>
              <w:right w:val="nil"/>
            </w:tcBorders>
            <w:shd w:val="clear" w:color="auto" w:fill="auto"/>
            <w:hideMark/>
          </w:tcPr>
          <w:p w14:paraId="41D77DCB" w14:textId="77777777" w:rsidR="00BE6B44" w:rsidRPr="00FE0A75" w:rsidRDefault="00BE6B44" w:rsidP="0061790F">
            <w:pPr>
              <w:rPr>
                <w:rFonts w:cs="Arial"/>
                <w:color w:val="000000"/>
                <w:sz w:val="18"/>
                <w:szCs w:val="18"/>
              </w:rPr>
            </w:pPr>
            <w:r w:rsidRPr="00FE0A75">
              <w:rPr>
                <w:rFonts w:cs="Arial"/>
                <w:color w:val="000000"/>
                <w:sz w:val="18"/>
                <w:szCs w:val="18"/>
              </w:rPr>
              <w:t>Esta categoría se aplica a deudores que presentan más de dieciséis trimestres de atraso en el pago de sus obligaciones.  Se estima que se podría materializar una pérdida del 85% del monto de la cartera que presente este nivel de morosidad.</w:t>
            </w:r>
          </w:p>
        </w:tc>
        <w:tc>
          <w:tcPr>
            <w:tcW w:w="1276" w:type="dxa"/>
            <w:tcBorders>
              <w:top w:val="nil"/>
              <w:left w:val="single" w:sz="4" w:space="0" w:color="auto"/>
              <w:bottom w:val="nil"/>
              <w:right w:val="single" w:sz="4" w:space="0" w:color="auto"/>
            </w:tcBorders>
            <w:shd w:val="clear" w:color="auto" w:fill="auto"/>
            <w:noWrap/>
            <w:vAlign w:val="bottom"/>
            <w:hideMark/>
          </w:tcPr>
          <w:p w14:paraId="0301B927" w14:textId="656A5D50" w:rsidR="00BE6B44" w:rsidRPr="00FE0A75" w:rsidRDefault="00BE6B44" w:rsidP="0061790F">
            <w:pPr>
              <w:rPr>
                <w:rFonts w:cs="Calibri"/>
                <w:color w:val="000000"/>
                <w:sz w:val="18"/>
                <w:szCs w:val="18"/>
              </w:rPr>
            </w:pPr>
            <w:r w:rsidRPr="00FE0A75">
              <w:rPr>
                <w:rFonts w:cs="Calibri"/>
                <w:color w:val="000000"/>
                <w:sz w:val="18"/>
                <w:szCs w:val="18"/>
              </w:rPr>
              <w:t xml:space="preserve">    </w:t>
            </w:r>
            <w:r w:rsidR="00D93F47" w:rsidRPr="00CB5B6E">
              <w:rPr>
                <w:rFonts w:ascii="Arial" w:hAnsi="Arial" w:cs="Arial"/>
                <w:color w:val="000000"/>
                <w:sz w:val="18"/>
                <w:szCs w:val="18"/>
              </w:rPr>
              <w:t>₡</w:t>
            </w:r>
            <w:r w:rsidRPr="00FE0A75">
              <w:rPr>
                <w:rFonts w:cs="Calibri"/>
                <w:color w:val="000000"/>
                <w:sz w:val="18"/>
                <w:szCs w:val="18"/>
              </w:rPr>
              <w:t xml:space="preserve">131 720,97 </w:t>
            </w:r>
          </w:p>
        </w:tc>
        <w:tc>
          <w:tcPr>
            <w:tcW w:w="1418" w:type="dxa"/>
            <w:tcBorders>
              <w:top w:val="nil"/>
              <w:left w:val="nil"/>
              <w:bottom w:val="nil"/>
              <w:right w:val="single" w:sz="4" w:space="0" w:color="auto"/>
            </w:tcBorders>
            <w:shd w:val="clear" w:color="auto" w:fill="auto"/>
            <w:noWrap/>
            <w:vAlign w:val="bottom"/>
            <w:hideMark/>
          </w:tcPr>
          <w:p w14:paraId="7428CFED" w14:textId="17265B40" w:rsidR="00BE6B44" w:rsidRPr="00FE0A75" w:rsidRDefault="00BE6B44" w:rsidP="0061790F">
            <w:pPr>
              <w:rPr>
                <w:rFonts w:cs="Calibri"/>
                <w:color w:val="000000"/>
                <w:sz w:val="18"/>
                <w:szCs w:val="18"/>
              </w:rPr>
            </w:pPr>
            <w:r w:rsidRPr="00FE0A75">
              <w:rPr>
                <w:rFonts w:cs="Calibri"/>
                <w:color w:val="000000"/>
                <w:sz w:val="18"/>
                <w:szCs w:val="18"/>
              </w:rPr>
              <w:t xml:space="preserve">    </w:t>
            </w:r>
            <w:r w:rsidR="00D93F47" w:rsidRPr="00FE0A75">
              <w:rPr>
                <w:rFonts w:cs="Calibri"/>
                <w:color w:val="000000"/>
                <w:sz w:val="18"/>
                <w:szCs w:val="18"/>
              </w:rPr>
              <w:t xml:space="preserve"> </w:t>
            </w:r>
            <w:r w:rsidR="00D93F47" w:rsidRPr="00CB5B6E">
              <w:rPr>
                <w:rFonts w:ascii="Arial" w:hAnsi="Arial" w:cs="Arial"/>
                <w:color w:val="000000"/>
                <w:sz w:val="18"/>
                <w:szCs w:val="18"/>
              </w:rPr>
              <w:t>₡</w:t>
            </w:r>
            <w:r w:rsidRPr="00FE0A75">
              <w:rPr>
                <w:rFonts w:cs="Calibri"/>
                <w:color w:val="000000"/>
                <w:sz w:val="18"/>
                <w:szCs w:val="18"/>
              </w:rPr>
              <w:t xml:space="preserve">111 962,82 </w:t>
            </w:r>
          </w:p>
        </w:tc>
      </w:tr>
      <w:tr w:rsidR="00BE6B44" w:rsidRPr="00FE0A75" w14:paraId="1FC13171" w14:textId="77777777" w:rsidTr="00D93F47">
        <w:trPr>
          <w:trHeight w:val="300"/>
        </w:trPr>
        <w:tc>
          <w:tcPr>
            <w:tcW w:w="651" w:type="dxa"/>
            <w:tcBorders>
              <w:top w:val="nil"/>
              <w:left w:val="single" w:sz="8" w:space="0" w:color="auto"/>
              <w:bottom w:val="single" w:sz="8" w:space="0" w:color="auto"/>
              <w:right w:val="single" w:sz="8" w:space="0" w:color="auto"/>
            </w:tcBorders>
            <w:shd w:val="clear" w:color="000000" w:fill="BFBFBF"/>
            <w:hideMark/>
          </w:tcPr>
          <w:p w14:paraId="74451832" w14:textId="77777777" w:rsidR="00BE6B44" w:rsidRPr="00FE0A75" w:rsidRDefault="00BE6B44" w:rsidP="0061790F">
            <w:pPr>
              <w:spacing w:before="120" w:after="120"/>
              <w:jc w:val="center"/>
              <w:rPr>
                <w:rFonts w:cs="Arial"/>
                <w:b/>
                <w:bCs/>
                <w:color w:val="000000"/>
                <w:sz w:val="18"/>
                <w:szCs w:val="18"/>
              </w:rPr>
            </w:pPr>
            <w:r w:rsidRPr="00FE0A75">
              <w:rPr>
                <w:rFonts w:cs="Arial"/>
                <w:b/>
                <w:bCs/>
                <w:color w:val="000000"/>
                <w:sz w:val="18"/>
                <w:szCs w:val="18"/>
              </w:rPr>
              <w:t> </w:t>
            </w:r>
          </w:p>
        </w:tc>
        <w:tc>
          <w:tcPr>
            <w:tcW w:w="904" w:type="dxa"/>
            <w:tcBorders>
              <w:top w:val="nil"/>
              <w:left w:val="nil"/>
              <w:bottom w:val="single" w:sz="8" w:space="0" w:color="auto"/>
              <w:right w:val="single" w:sz="8" w:space="0" w:color="auto"/>
            </w:tcBorders>
            <w:shd w:val="clear" w:color="000000" w:fill="BFBFBF"/>
            <w:hideMark/>
          </w:tcPr>
          <w:p w14:paraId="19BE285C" w14:textId="77777777" w:rsidR="00BE6B44" w:rsidRPr="00FE0A75" w:rsidRDefault="00BE6B44" w:rsidP="0061790F">
            <w:pPr>
              <w:spacing w:before="120" w:after="120"/>
              <w:rPr>
                <w:rFonts w:cs="Arial"/>
                <w:b/>
                <w:bCs/>
                <w:color w:val="000000"/>
                <w:sz w:val="18"/>
                <w:szCs w:val="18"/>
              </w:rPr>
            </w:pPr>
            <w:r w:rsidRPr="00FE0A75">
              <w:rPr>
                <w:rFonts w:cs="Arial"/>
                <w:b/>
                <w:bCs/>
                <w:color w:val="000000"/>
                <w:sz w:val="18"/>
                <w:szCs w:val="18"/>
              </w:rPr>
              <w:t> </w:t>
            </w:r>
          </w:p>
        </w:tc>
        <w:tc>
          <w:tcPr>
            <w:tcW w:w="5244" w:type="dxa"/>
            <w:tcBorders>
              <w:top w:val="nil"/>
              <w:left w:val="nil"/>
              <w:bottom w:val="single" w:sz="8" w:space="0" w:color="auto"/>
              <w:right w:val="nil"/>
            </w:tcBorders>
            <w:shd w:val="clear" w:color="000000" w:fill="BFBFBF"/>
            <w:hideMark/>
          </w:tcPr>
          <w:p w14:paraId="2F1EFE01" w14:textId="77777777" w:rsidR="00BE6B44" w:rsidRPr="00FE0A75" w:rsidRDefault="00BE6B44" w:rsidP="0061790F">
            <w:pPr>
              <w:spacing w:before="120" w:after="120"/>
              <w:jc w:val="center"/>
              <w:rPr>
                <w:rFonts w:cs="Arial"/>
                <w:b/>
                <w:bCs/>
                <w:color w:val="000000"/>
                <w:sz w:val="18"/>
                <w:szCs w:val="18"/>
              </w:rPr>
            </w:pPr>
            <w:r w:rsidRPr="00FE0A75">
              <w:rPr>
                <w:rFonts w:cs="Arial"/>
                <w:b/>
                <w:bCs/>
                <w:color w:val="000000"/>
                <w:sz w:val="18"/>
                <w:szCs w:val="18"/>
              </w:rPr>
              <w:t>TOTALES</w:t>
            </w:r>
          </w:p>
        </w:tc>
        <w:tc>
          <w:tcPr>
            <w:tcW w:w="1276" w:type="dxa"/>
            <w:tcBorders>
              <w:top w:val="single" w:sz="8" w:space="0" w:color="auto"/>
              <w:left w:val="single" w:sz="8" w:space="0" w:color="auto"/>
              <w:bottom w:val="single" w:sz="8" w:space="0" w:color="auto"/>
              <w:right w:val="single" w:sz="4" w:space="0" w:color="auto"/>
            </w:tcBorders>
            <w:shd w:val="clear" w:color="000000" w:fill="BFBFBF"/>
            <w:hideMark/>
          </w:tcPr>
          <w:p w14:paraId="53034920" w14:textId="77777777" w:rsidR="00BE6B44" w:rsidRPr="00FE0A75" w:rsidRDefault="00BE6B44" w:rsidP="0061790F">
            <w:pPr>
              <w:spacing w:before="120" w:after="120"/>
              <w:rPr>
                <w:rFonts w:cs="Arial"/>
                <w:b/>
                <w:bCs/>
                <w:color w:val="000000"/>
                <w:sz w:val="18"/>
                <w:szCs w:val="18"/>
              </w:rPr>
            </w:pPr>
            <w:r w:rsidRPr="00FE0A75">
              <w:rPr>
                <w:rFonts w:cs="Arial"/>
                <w:b/>
                <w:bCs/>
                <w:color w:val="000000"/>
                <w:sz w:val="18"/>
                <w:szCs w:val="18"/>
              </w:rPr>
              <w:t xml:space="preserve"> </w:t>
            </w:r>
            <w:r w:rsidRPr="00FE0A75">
              <w:rPr>
                <w:rFonts w:ascii="Arial" w:hAnsi="Arial" w:cs="Arial"/>
                <w:b/>
                <w:bCs/>
                <w:color w:val="000000"/>
                <w:sz w:val="18"/>
                <w:szCs w:val="18"/>
              </w:rPr>
              <w:t>₡</w:t>
            </w:r>
            <w:r w:rsidRPr="00FE0A75">
              <w:rPr>
                <w:rFonts w:cs="Arial"/>
                <w:b/>
                <w:bCs/>
                <w:color w:val="000000"/>
                <w:sz w:val="18"/>
                <w:szCs w:val="18"/>
              </w:rPr>
              <w:t xml:space="preserve">348 587,36 </w:t>
            </w:r>
          </w:p>
        </w:tc>
        <w:tc>
          <w:tcPr>
            <w:tcW w:w="1418" w:type="dxa"/>
            <w:tcBorders>
              <w:top w:val="single" w:sz="8" w:space="0" w:color="auto"/>
              <w:left w:val="nil"/>
              <w:bottom w:val="single" w:sz="8" w:space="0" w:color="auto"/>
              <w:right w:val="single" w:sz="8" w:space="0" w:color="auto"/>
            </w:tcBorders>
            <w:shd w:val="clear" w:color="000000" w:fill="BFBFBF"/>
            <w:hideMark/>
          </w:tcPr>
          <w:p w14:paraId="40192585" w14:textId="77777777" w:rsidR="00BE6B44" w:rsidRPr="00FE0A75" w:rsidRDefault="00BE6B44" w:rsidP="0061790F">
            <w:pPr>
              <w:spacing w:before="120" w:after="120"/>
              <w:rPr>
                <w:rFonts w:cs="Arial"/>
                <w:b/>
                <w:bCs/>
                <w:color w:val="000000"/>
                <w:sz w:val="18"/>
                <w:szCs w:val="18"/>
              </w:rPr>
            </w:pPr>
            <w:r w:rsidRPr="00FE0A75">
              <w:rPr>
                <w:rFonts w:cs="Arial"/>
                <w:b/>
                <w:bCs/>
                <w:color w:val="000000"/>
                <w:sz w:val="18"/>
                <w:szCs w:val="18"/>
              </w:rPr>
              <w:t xml:space="preserve"> </w:t>
            </w:r>
            <w:r w:rsidRPr="00FE0A75">
              <w:rPr>
                <w:rFonts w:ascii="Arial" w:hAnsi="Arial" w:cs="Arial"/>
                <w:b/>
                <w:bCs/>
                <w:color w:val="000000"/>
                <w:sz w:val="18"/>
                <w:szCs w:val="18"/>
              </w:rPr>
              <w:t>₡</w:t>
            </w:r>
            <w:r w:rsidRPr="00FE0A75">
              <w:rPr>
                <w:rFonts w:cs="Arial"/>
                <w:b/>
                <w:bCs/>
                <w:color w:val="000000"/>
                <w:sz w:val="18"/>
                <w:szCs w:val="18"/>
              </w:rPr>
              <w:t xml:space="preserve">175 377,90 </w:t>
            </w:r>
          </w:p>
        </w:tc>
      </w:tr>
    </w:tbl>
    <w:p w14:paraId="0D020BFB" w14:textId="60B799C0" w:rsidR="00C70D1B" w:rsidRPr="00FF374B" w:rsidRDefault="00C70D1B" w:rsidP="00464861">
      <w:pPr>
        <w:rPr>
          <w:szCs w:val="24"/>
          <w:lang w:eastAsia="es-CR"/>
        </w:rPr>
      </w:pPr>
    </w:p>
    <w:p w14:paraId="633249D6" w14:textId="77777777" w:rsidR="00692DC8" w:rsidRPr="00692DC8" w:rsidRDefault="00692DC8" w:rsidP="00D57597">
      <w:pPr>
        <w:pStyle w:val="Ttulo4"/>
        <w:spacing w:after="240"/>
        <w:rPr>
          <w:rFonts w:eastAsia="Times New Roman"/>
          <w:lang w:eastAsia="es-CR"/>
        </w:rPr>
      </w:pPr>
      <w:bookmarkStart w:id="208" w:name="_Toc33601211"/>
      <w:bookmarkStart w:id="209" w:name="_Toc82768912"/>
      <w:bookmarkStart w:id="210" w:name="_Toc189804836"/>
      <w:r w:rsidRPr="00692DC8">
        <w:rPr>
          <w:rFonts w:eastAsia="Times New Roman"/>
          <w:lang w:eastAsia="es-CR"/>
        </w:rPr>
        <w:t>NOTA N° 6</w:t>
      </w:r>
      <w:bookmarkEnd w:id="205"/>
      <w:bookmarkEnd w:id="206"/>
      <w:bookmarkEnd w:id="208"/>
      <w:bookmarkEnd w:id="209"/>
      <w:bookmarkEnd w:id="210"/>
    </w:p>
    <w:p w14:paraId="1A4920BF" w14:textId="77777777" w:rsidR="00396CB4" w:rsidRDefault="00D57597" w:rsidP="00C77D21">
      <w:pPr>
        <w:rPr>
          <w:rFonts w:asciiTheme="minorHAnsi" w:hAnsiTheme="minorHAnsi"/>
          <w:sz w:val="22"/>
        </w:rPr>
      </w:pPr>
      <w:bookmarkStart w:id="211" w:name="_Toc13041052"/>
      <w:bookmarkStart w:id="212" w:name="_Toc14345051"/>
      <w:bookmarkStart w:id="213" w:name="_Toc33601212"/>
      <w:bookmarkStart w:id="214" w:name="_Toc54546704"/>
      <w:bookmarkStart w:id="215" w:name="_Toc82768913"/>
      <w:r w:rsidRPr="00692DC8">
        <w:rPr>
          <w:rFonts w:eastAsia="Times New Roman"/>
          <w:lang w:eastAsia="es-CR"/>
        </w:rPr>
        <w:t>Inventarios</w:t>
      </w:r>
      <w:bookmarkEnd w:id="211"/>
      <w:bookmarkEnd w:id="212"/>
      <w:bookmarkEnd w:id="213"/>
      <w:bookmarkEnd w:id="214"/>
      <w:bookmarkEnd w:id="215"/>
      <w:r w:rsidRPr="00692DC8">
        <w:rPr>
          <w:rFonts w:eastAsia="Times New Roman"/>
          <w:lang w:eastAsia="es-CR"/>
        </w:rPr>
        <w:t xml:space="preserve"> </w:t>
      </w:r>
      <w:r w:rsidR="00C77D21">
        <w:rPr>
          <w:rFonts w:eastAsiaTheme="majorEastAsia" w:cstheme="majorBidi"/>
          <w:b/>
          <w:iCs/>
          <w:lang w:eastAsia="es-CR"/>
        </w:rPr>
        <w:fldChar w:fldCharType="begin"/>
      </w:r>
      <w:r w:rsidR="00C77D21">
        <w:rPr>
          <w:lang w:eastAsia="es-CR"/>
        </w:rPr>
        <w:instrText xml:space="preserve"> LINK </w:instrText>
      </w:r>
      <w:r w:rsidR="00756467">
        <w:rPr>
          <w:lang w:eastAsia="es-CR"/>
        </w:rPr>
        <w:instrText xml:space="preserve">Excel.SheetMacroEnabled.12 "C:\\Users\\gcordero\\Downloads\\Notas diciembre 2024\\Formato_Notas_EEFF_Vinculadas_2024\\Formato_Notas_EEFF_Vinculadas_2024\\15603_T04_2024_Anexo_Estado_Notas_Contables_Vinculadas.xlsm" NOTAS_POR_CUENTA!F16C1:F18C6 </w:instrText>
      </w:r>
      <w:r w:rsidR="00C77D21">
        <w:rPr>
          <w:lang w:eastAsia="es-CR"/>
        </w:rPr>
        <w:instrText xml:space="preserve">\a \f 4 \h </w:instrText>
      </w:r>
      <w:r w:rsidR="00C77D21">
        <w:rPr>
          <w:lang w:eastAsia="es-CR"/>
        </w:rPr>
        <w:fldChar w:fldCharType="separate"/>
      </w:r>
    </w:p>
    <w:tbl>
      <w:tblPr>
        <w:tblW w:w="9600" w:type="dxa"/>
        <w:tblCellMar>
          <w:left w:w="70" w:type="dxa"/>
          <w:right w:w="70" w:type="dxa"/>
        </w:tblCellMar>
        <w:tblLook w:val="04A0" w:firstRow="1" w:lastRow="0" w:firstColumn="1" w:lastColumn="0" w:noHBand="0" w:noVBand="1"/>
      </w:tblPr>
      <w:tblGrid>
        <w:gridCol w:w="983"/>
        <w:gridCol w:w="2897"/>
        <w:gridCol w:w="500"/>
        <w:gridCol w:w="2100"/>
        <w:gridCol w:w="2100"/>
        <w:gridCol w:w="1020"/>
      </w:tblGrid>
      <w:tr w:rsidR="00396CB4" w:rsidRPr="00396CB4" w14:paraId="42B50EAE" w14:textId="77777777" w:rsidTr="00396CB4">
        <w:trPr>
          <w:divId w:val="101153057"/>
          <w:trHeight w:val="330"/>
        </w:trPr>
        <w:tc>
          <w:tcPr>
            <w:tcW w:w="983"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42A4B03" w14:textId="582B903C" w:rsidR="00396CB4" w:rsidRPr="00396CB4" w:rsidRDefault="00396CB4" w:rsidP="00396CB4">
            <w:pP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2897"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58C7D3E"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9AD947A"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3260E2C"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5FA7F82"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15FA69AF"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208DBE4F" w14:textId="77777777" w:rsidTr="00396CB4">
        <w:trPr>
          <w:divId w:val="101153057"/>
          <w:trHeight w:val="330"/>
        </w:trPr>
        <w:tc>
          <w:tcPr>
            <w:tcW w:w="983" w:type="dxa"/>
            <w:vMerge/>
            <w:tcBorders>
              <w:top w:val="single" w:sz="8" w:space="0" w:color="auto"/>
              <w:left w:val="single" w:sz="8" w:space="0" w:color="auto"/>
              <w:bottom w:val="single" w:sz="8" w:space="0" w:color="000000"/>
              <w:right w:val="single" w:sz="8" w:space="0" w:color="auto"/>
            </w:tcBorders>
            <w:vAlign w:val="center"/>
            <w:hideMark/>
          </w:tcPr>
          <w:p w14:paraId="3700F437"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897" w:type="dxa"/>
            <w:vMerge/>
            <w:tcBorders>
              <w:top w:val="single" w:sz="8" w:space="0" w:color="auto"/>
              <w:left w:val="single" w:sz="8" w:space="0" w:color="auto"/>
              <w:bottom w:val="single" w:sz="8" w:space="0" w:color="000000"/>
              <w:right w:val="single" w:sz="8" w:space="0" w:color="auto"/>
            </w:tcBorders>
            <w:vAlign w:val="center"/>
            <w:hideMark/>
          </w:tcPr>
          <w:p w14:paraId="3AA5B500"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021DA4BC"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46456AB5"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701B7440"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6847AB91"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6567BF87" w14:textId="77777777" w:rsidTr="00396CB4">
        <w:trPr>
          <w:divId w:val="101153057"/>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hideMark/>
          </w:tcPr>
          <w:p w14:paraId="78CA8E00"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1.1.4.</w:t>
            </w:r>
          </w:p>
        </w:tc>
        <w:tc>
          <w:tcPr>
            <w:tcW w:w="2897" w:type="dxa"/>
            <w:tcBorders>
              <w:top w:val="nil"/>
              <w:left w:val="nil"/>
              <w:bottom w:val="single" w:sz="8" w:space="0" w:color="auto"/>
              <w:right w:val="single" w:sz="8" w:space="0" w:color="auto"/>
            </w:tcBorders>
            <w:shd w:val="clear" w:color="auto" w:fill="auto"/>
            <w:vAlign w:val="center"/>
            <w:hideMark/>
          </w:tcPr>
          <w:p w14:paraId="0DB683C6"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Inventarios</w:t>
            </w:r>
          </w:p>
        </w:tc>
        <w:tc>
          <w:tcPr>
            <w:tcW w:w="500" w:type="dxa"/>
            <w:tcBorders>
              <w:top w:val="nil"/>
              <w:left w:val="nil"/>
              <w:bottom w:val="single" w:sz="8" w:space="0" w:color="auto"/>
              <w:right w:val="single" w:sz="8" w:space="0" w:color="auto"/>
            </w:tcBorders>
            <w:shd w:val="clear" w:color="auto" w:fill="auto"/>
            <w:noWrap/>
            <w:vAlign w:val="center"/>
            <w:hideMark/>
          </w:tcPr>
          <w:p w14:paraId="2DE9FA74"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06</w:t>
            </w:r>
          </w:p>
        </w:tc>
        <w:tc>
          <w:tcPr>
            <w:tcW w:w="2100" w:type="dxa"/>
            <w:tcBorders>
              <w:top w:val="nil"/>
              <w:left w:val="nil"/>
              <w:bottom w:val="single" w:sz="8" w:space="0" w:color="auto"/>
              <w:right w:val="single" w:sz="8" w:space="0" w:color="auto"/>
            </w:tcBorders>
            <w:shd w:val="clear" w:color="auto" w:fill="auto"/>
            <w:noWrap/>
            <w:vAlign w:val="center"/>
            <w:hideMark/>
          </w:tcPr>
          <w:p w14:paraId="0439FE79"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200 707,86 </w:t>
            </w:r>
          </w:p>
        </w:tc>
        <w:tc>
          <w:tcPr>
            <w:tcW w:w="2100" w:type="dxa"/>
            <w:tcBorders>
              <w:top w:val="nil"/>
              <w:left w:val="nil"/>
              <w:bottom w:val="single" w:sz="8" w:space="0" w:color="auto"/>
              <w:right w:val="single" w:sz="8" w:space="0" w:color="auto"/>
            </w:tcBorders>
            <w:shd w:val="clear" w:color="auto" w:fill="auto"/>
            <w:noWrap/>
            <w:vAlign w:val="center"/>
            <w:hideMark/>
          </w:tcPr>
          <w:p w14:paraId="3FE422A0"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192 987,09 </w:t>
            </w:r>
          </w:p>
        </w:tc>
        <w:tc>
          <w:tcPr>
            <w:tcW w:w="1020" w:type="dxa"/>
            <w:tcBorders>
              <w:top w:val="nil"/>
              <w:left w:val="nil"/>
              <w:bottom w:val="single" w:sz="8" w:space="0" w:color="auto"/>
              <w:right w:val="single" w:sz="8" w:space="0" w:color="auto"/>
            </w:tcBorders>
            <w:shd w:val="clear" w:color="auto" w:fill="auto"/>
            <w:noWrap/>
            <w:vAlign w:val="center"/>
            <w:hideMark/>
          </w:tcPr>
          <w:p w14:paraId="2E113695"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4,00%</w:t>
            </w:r>
          </w:p>
        </w:tc>
      </w:tr>
    </w:tbl>
    <w:p w14:paraId="7DD324DA" w14:textId="2A82BDF4" w:rsidR="00C77D21" w:rsidRPr="00C77D21" w:rsidRDefault="00C77D21" w:rsidP="00C77D21">
      <w:pPr>
        <w:rPr>
          <w:lang w:eastAsia="es-CR"/>
        </w:rPr>
      </w:pPr>
      <w:r>
        <w:rPr>
          <w:lang w:eastAsia="es-CR"/>
        </w:rPr>
        <w:fldChar w:fldCharType="end"/>
      </w:r>
    </w:p>
    <w:p w14:paraId="5C81825F" w14:textId="107F196A" w:rsidR="00692DC8" w:rsidRPr="00D57597" w:rsidRDefault="00692DC8" w:rsidP="0011777B">
      <w:pPr>
        <w:spacing w:before="240"/>
        <w:rPr>
          <w:rFonts w:eastAsia="Times New Roman"/>
          <w:b/>
          <w:color w:val="000000"/>
          <w:szCs w:val="24"/>
          <w:lang w:val="es-ES" w:eastAsia="es-ES"/>
        </w:rPr>
      </w:pPr>
      <w:r w:rsidRPr="00D57597">
        <w:rPr>
          <w:rFonts w:eastAsia="Times New Roman"/>
          <w:b/>
          <w:color w:val="000000"/>
          <w:szCs w:val="24"/>
          <w:lang w:val="es-ES" w:eastAsia="es-ES"/>
        </w:rPr>
        <w:t xml:space="preserve">Método de Valuación de Inventario </w:t>
      </w:r>
    </w:p>
    <w:p w14:paraId="6F73537F" w14:textId="77777777" w:rsidR="00692DC8" w:rsidRPr="00692DC8" w:rsidRDefault="00692DC8" w:rsidP="00D57597">
      <w:pPr>
        <w:rPr>
          <w:rFonts w:eastAsia="Times New Roman"/>
          <w:lang w:val="es-ES" w:eastAsia="es-ES"/>
        </w:rPr>
      </w:pPr>
      <w:r w:rsidRPr="00692DC8">
        <w:rPr>
          <w:rFonts w:eastAsia="Times New Roman"/>
          <w:color w:val="000000"/>
          <w:lang w:val="es-ES" w:eastAsia="es-ES"/>
        </w:rPr>
        <w:t xml:space="preserve">Indique si su institución está utilizando </w:t>
      </w:r>
      <w:r w:rsidRPr="00692DC8">
        <w:rPr>
          <w:rFonts w:eastAsia="Times New Roman"/>
          <w:lang w:val="es-ES" w:eastAsia="es-ES"/>
        </w:rPr>
        <w:t>Primeras en entrar, Primeras en salir (PEPS), sino es así, indique cual método se utiliza y la razón que aún no utilizan el PEPS.</w:t>
      </w:r>
    </w:p>
    <w:p w14:paraId="5738DA32" w14:textId="77777777" w:rsidR="00BE6B44" w:rsidRDefault="00BE6B44" w:rsidP="00BE6B44">
      <w:pPr>
        <w:spacing w:after="0" w:line="240" w:lineRule="auto"/>
        <w:rPr>
          <w:color w:val="000000"/>
          <w:lang w:val="es-ES" w:eastAsia="es-ES"/>
        </w:rPr>
      </w:pPr>
      <w:r w:rsidRPr="00A91674">
        <w:rPr>
          <w:color w:val="000000"/>
          <w:lang w:val="es-ES" w:eastAsia="es-ES"/>
        </w:rPr>
        <w:t xml:space="preserve">La Municipalidad se encuentra utilizando </w:t>
      </w:r>
      <w:r>
        <w:rPr>
          <w:color w:val="000000"/>
          <w:lang w:val="es-ES" w:eastAsia="es-ES"/>
        </w:rPr>
        <w:t xml:space="preserve">la fórmula de costo denominada </w:t>
      </w:r>
      <w:r w:rsidRPr="00A91674">
        <w:rPr>
          <w:color w:val="000000"/>
          <w:lang w:val="es-ES" w:eastAsia="es-ES"/>
        </w:rPr>
        <w:t>Método de Primeras en entrar, Primeras en Salir</w:t>
      </w:r>
      <w:r>
        <w:rPr>
          <w:color w:val="000000"/>
          <w:lang w:val="es-ES" w:eastAsia="es-ES"/>
        </w:rPr>
        <w:t xml:space="preserve"> (PEPS) para todos los elementos que conforman el inventario</w:t>
      </w:r>
      <w:r w:rsidRPr="00A91674">
        <w:rPr>
          <w:color w:val="000000"/>
          <w:lang w:val="es-ES" w:eastAsia="es-ES"/>
        </w:rPr>
        <w:t>.</w:t>
      </w:r>
      <w:r>
        <w:rPr>
          <w:color w:val="000000"/>
          <w:lang w:val="es-ES" w:eastAsia="es-ES"/>
        </w:rPr>
        <w:t xml:space="preserve"> Además, debe indicarse que los inventarios son medidos al costo o valor realizable el menor en la fecha de su adquisición, y se incluye como parte del costo el valor de compra y los otros costos necesarios para llevar los bienes a la localización y condición requerida, asimismo se reducen del costo de los inventarios en caso de que se presenten, los descuentos comerciales, rebajas u otros elementos similares.</w:t>
      </w:r>
    </w:p>
    <w:p w14:paraId="16E745E1" w14:textId="77777777" w:rsidR="00692DC8" w:rsidRPr="00D57597" w:rsidRDefault="00692DC8" w:rsidP="00D57597">
      <w:pPr>
        <w:rPr>
          <w:rFonts w:eastAsia="Times New Roman"/>
          <w:b/>
          <w:color w:val="000000"/>
          <w:lang w:val="es-ES" w:eastAsia="es-ES"/>
        </w:rPr>
      </w:pPr>
      <w:r w:rsidRPr="00D57597">
        <w:rPr>
          <w:rFonts w:eastAsia="Times New Roman"/>
          <w:b/>
          <w:color w:val="000000"/>
          <w:lang w:val="es-ES" w:eastAsia="es-ES"/>
        </w:rPr>
        <w:t xml:space="preserve">Cual sistema de inventario utiliza su institución Periódico o Permanente: </w:t>
      </w:r>
    </w:p>
    <w:p w14:paraId="655ADF4E" w14:textId="35630E9F" w:rsidR="00BE6B44" w:rsidRDefault="00BE6B44" w:rsidP="00BE6B44">
      <w:pPr>
        <w:spacing w:after="0" w:line="276" w:lineRule="auto"/>
        <w:rPr>
          <w:color w:val="000000"/>
          <w:lang w:val="es-ES" w:eastAsia="es-ES"/>
        </w:rPr>
      </w:pPr>
      <w:r w:rsidRPr="00A91674">
        <w:rPr>
          <w:color w:val="000000"/>
          <w:lang w:val="es-ES" w:eastAsia="es-ES"/>
        </w:rPr>
        <w:t xml:space="preserve">La Municipalidad utiliza actualmente el sistema de inventario Periódico, mediante este se realizan cada trimestre inventarios físicos y se procede a realizar el ajuste correspondiente. Sin embargo, como parte del proceso de implementación se contrató el desarrollo de un nuevo sistema integrado de información, el cual incluye un módulo de inventarios que operará con base en el método de inventario Permanente, el cual </w:t>
      </w:r>
      <w:r>
        <w:rPr>
          <w:color w:val="000000"/>
          <w:lang w:val="es-ES" w:eastAsia="es-ES"/>
        </w:rPr>
        <w:t xml:space="preserve">está en proceso de generación de la información y prueba y se </w:t>
      </w:r>
      <w:r w:rsidRPr="00A91674">
        <w:rPr>
          <w:color w:val="000000"/>
          <w:lang w:val="es-ES" w:eastAsia="es-ES"/>
        </w:rPr>
        <w:t xml:space="preserve">espera poner en funcionamiento en el transcurso del </w:t>
      </w:r>
      <w:r>
        <w:rPr>
          <w:color w:val="000000"/>
          <w:lang w:val="es-ES" w:eastAsia="es-ES"/>
        </w:rPr>
        <w:t>VI</w:t>
      </w:r>
      <w:r w:rsidRPr="00A91674">
        <w:rPr>
          <w:color w:val="000000"/>
          <w:lang w:val="es-ES" w:eastAsia="es-ES"/>
        </w:rPr>
        <w:t xml:space="preserve"> trimestre </w:t>
      </w:r>
      <w:r>
        <w:rPr>
          <w:color w:val="000000"/>
          <w:lang w:val="es-ES" w:eastAsia="es-ES"/>
        </w:rPr>
        <w:t>2024</w:t>
      </w:r>
      <w:r w:rsidRPr="00A91674">
        <w:rPr>
          <w:color w:val="000000"/>
          <w:lang w:val="es-ES" w:eastAsia="es-ES"/>
        </w:rPr>
        <w:t>.</w:t>
      </w:r>
    </w:p>
    <w:p w14:paraId="516BF93C" w14:textId="77777777" w:rsidR="00D93F47" w:rsidRDefault="00D93F47" w:rsidP="00BE6B44">
      <w:pPr>
        <w:spacing w:after="0" w:line="276" w:lineRule="auto"/>
        <w:rPr>
          <w:color w:val="000000"/>
          <w:lang w:val="es-ES" w:eastAsia="es-ES"/>
        </w:rPr>
      </w:pPr>
    </w:p>
    <w:p w14:paraId="7C60D046" w14:textId="3EF9947F" w:rsidR="00BE6B44" w:rsidRPr="00B84A78" w:rsidRDefault="00BE6B44" w:rsidP="00BE6B44">
      <w:pPr>
        <w:spacing w:after="0" w:line="240" w:lineRule="auto"/>
        <w:rPr>
          <w:b/>
          <w:color w:val="000000"/>
          <w:lang w:val="es-ES" w:eastAsia="es-ES"/>
        </w:rPr>
      </w:pPr>
      <w:r w:rsidRPr="00B84A78">
        <w:rPr>
          <w:b/>
          <w:color w:val="000000"/>
          <w:lang w:val="es-ES" w:eastAsia="es-ES"/>
        </w:rPr>
        <w:t>Bajas de Inventario</w:t>
      </w:r>
    </w:p>
    <w:p w14:paraId="29231008" w14:textId="77777777" w:rsidR="00BE6B44" w:rsidRDefault="00BE6B44" w:rsidP="00BE6B44">
      <w:pPr>
        <w:spacing w:after="0" w:line="240" w:lineRule="auto"/>
        <w:rPr>
          <w:b/>
          <w:color w:val="000000"/>
          <w:lang w:val="es-ES" w:eastAsia="es-ES"/>
        </w:rPr>
      </w:pPr>
      <w:r w:rsidRPr="00246711">
        <w:rPr>
          <w:color w:val="000000"/>
          <w:lang w:val="es-ES" w:eastAsia="es-ES"/>
        </w:rPr>
        <w:t>Los inventarios utilizados en la prestación de servicios son reconocidos como un gasto en el mes que se prestan los servicios relacionados</w:t>
      </w:r>
      <w:r>
        <w:rPr>
          <w:color w:val="000000"/>
          <w:lang w:val="es-ES" w:eastAsia="es-ES"/>
        </w:rPr>
        <w:t>.</w:t>
      </w:r>
      <w:r w:rsidRPr="00D57E73">
        <w:rPr>
          <w:b/>
          <w:color w:val="000000"/>
          <w:lang w:val="es-ES" w:eastAsia="es-ES"/>
        </w:rPr>
        <w:t xml:space="preserve"> </w:t>
      </w:r>
      <w:r w:rsidRPr="00D57E73">
        <w:rPr>
          <w:color w:val="000000"/>
          <w:lang w:val="es-ES" w:eastAsia="es-ES"/>
        </w:rPr>
        <w:t>Por otra parte, las rebajas en los inventarios originadas por pérdidas se reconocen como gasto en el mes que ocurren</w:t>
      </w:r>
      <w:r>
        <w:rPr>
          <w:color w:val="000000"/>
          <w:lang w:val="es-ES" w:eastAsia="es-ES"/>
        </w:rPr>
        <w:t xml:space="preserve"> tan pronto se identifiquen.</w:t>
      </w:r>
    </w:p>
    <w:p w14:paraId="3434A88D" w14:textId="77777777" w:rsidR="00BE6B44" w:rsidRDefault="00BE6B44" w:rsidP="00BE6B44">
      <w:pPr>
        <w:spacing w:after="0" w:line="276" w:lineRule="auto"/>
        <w:rPr>
          <w:color w:val="000000"/>
          <w:lang w:val="es-ES" w:eastAsia="es-ES"/>
        </w:rPr>
      </w:pPr>
    </w:p>
    <w:p w14:paraId="185EDC02" w14:textId="77777777" w:rsidR="00396CB4" w:rsidRPr="00396CB4" w:rsidRDefault="00692DC8" w:rsidP="00D57597">
      <w:pPr>
        <w:rPr>
          <w:rFonts w:eastAsia="Times New Roman"/>
          <w:b/>
          <w:sz w:val="22"/>
          <w:lang w:val="es-ES" w:eastAsia="es-CR"/>
        </w:rPr>
      </w:pPr>
      <w:r w:rsidRPr="00D57597">
        <w:rPr>
          <w:rFonts w:eastAsia="Times New Roman"/>
          <w:b/>
          <w:sz w:val="22"/>
          <w:lang w:val="es-ES" w:eastAsia="es-CR"/>
        </w:rPr>
        <w:t xml:space="preserve">Revelación: </w:t>
      </w:r>
      <w:r w:rsidR="00C77D21">
        <w:rPr>
          <w:rFonts w:eastAsia="Times New Roman" w:cs="Calibri"/>
          <w:color w:val="000000"/>
          <w:lang w:eastAsia="es-CR"/>
        </w:rPr>
        <w:fldChar w:fldCharType="begin"/>
      </w:r>
      <w:r w:rsidR="00C77D21">
        <w:rPr>
          <w:rFonts w:eastAsia="Times New Roman" w:cs="Calibri"/>
          <w:color w:val="000000"/>
          <w:lang w:eastAsia="es-CR"/>
        </w:rPr>
        <w:instrText xml:space="preserve"> LINK </w:instrText>
      </w:r>
      <w:r w:rsidR="00756467">
        <w:rPr>
          <w:rFonts w:eastAsia="Times New Roman" w:cs="Calibri"/>
          <w:color w:val="000000"/>
          <w:lang w:eastAsia="es-CR"/>
        </w:rPr>
        <w:instrText xml:space="preserve">Excel.SheetMacroEnabled.12 "C:\\Users\\gcordero\\Downloads\\Notas diciembre 2024\\Formato_Notas_EEFF_Vinculadas_2024\\Formato_Notas_EEFF_Vinculadas_2024\\15603_T04_2024_Anexo_Estado_Notas_Contables_Vinculadas.xlsm" NOTAS_POR_CUENTA!F18C8 </w:instrText>
      </w:r>
      <w:r w:rsidR="00C77D21">
        <w:rPr>
          <w:rFonts w:eastAsia="Times New Roman" w:cs="Calibri"/>
          <w:color w:val="000000"/>
          <w:lang w:eastAsia="es-CR"/>
        </w:rPr>
        <w:instrText xml:space="preserve">\a \f 5 \h  \* MERGEFORMAT </w:instrText>
      </w:r>
      <w:r w:rsidR="00C77D21">
        <w:rPr>
          <w:rFonts w:eastAsia="Times New Roman" w:cs="Calibri"/>
          <w:color w:val="000000"/>
          <w:lang w:eastAsia="es-CR"/>
        </w:rPr>
        <w:fldChar w:fldCharType="separate"/>
      </w:r>
    </w:p>
    <w:p w14:paraId="5491F4A1" w14:textId="77777777" w:rsidR="00396CB4" w:rsidRPr="00396CB4" w:rsidRDefault="00396CB4" w:rsidP="00396CB4">
      <w:pPr>
        <w:rPr>
          <w:rFonts w:eastAsia="Times New Roman" w:cs="Calibri"/>
          <w:color w:val="000000"/>
          <w:lang w:eastAsia="es-CR"/>
        </w:rPr>
      </w:pPr>
      <w:r w:rsidRPr="00396CB4">
        <w:rPr>
          <w:rFonts w:eastAsia="Times New Roman" w:cs="Calibri"/>
          <w:color w:val="000000"/>
          <w:lang w:eastAsia="es-CR"/>
        </w:rPr>
        <w:t>La cuenta Inventarios, representa el 0,12% del total del Activo, que comparado al periodo anterior genera una variación absoluta de 7 720,76 que corresponde a un Aumento del 4,00% de recursos disponibles.</w:t>
      </w:r>
    </w:p>
    <w:p w14:paraId="5A4ABF93" w14:textId="638056CE" w:rsidR="00692DC8" w:rsidRPr="00C77D21" w:rsidRDefault="00C77D21" w:rsidP="00D57597">
      <w:pPr>
        <w:rPr>
          <w:rFonts w:eastAsia="Times New Roman" w:cs="Calibri"/>
          <w:color w:val="000000"/>
          <w:lang w:eastAsia="es-CR"/>
        </w:rPr>
      </w:pPr>
      <w:r>
        <w:rPr>
          <w:rFonts w:eastAsia="Times New Roman" w:cs="Calibri"/>
          <w:color w:val="000000"/>
          <w:lang w:eastAsia="es-CR"/>
        </w:rPr>
        <w:fldChar w:fldCharType="end"/>
      </w:r>
      <w:r w:rsidR="00692DC8" w:rsidRPr="00692DC8">
        <w:rPr>
          <w:rFonts w:eastAsia="Times New Roman"/>
          <w:sz w:val="22"/>
          <w:szCs w:val="24"/>
          <w:highlight w:val="lightGray"/>
          <w:lang w:eastAsia="es-CR"/>
        </w:rPr>
        <w:t>Las variaciones de la cuenta son producto de (Indicar la razón de las variaciones de un periodo a otro</w:t>
      </w:r>
      <w:r w:rsidR="00692DC8" w:rsidRPr="00692DC8">
        <w:rPr>
          <w:rFonts w:eastAsia="Times New Roman"/>
          <w:szCs w:val="24"/>
          <w:highlight w:val="lightGray"/>
          <w:lang w:eastAsia="es-CR"/>
        </w:rPr>
        <w:t>):</w:t>
      </w:r>
      <w:r w:rsidR="00692DC8" w:rsidRPr="00692DC8">
        <w:rPr>
          <w:rFonts w:eastAsia="Times New Roman"/>
          <w:szCs w:val="24"/>
          <w:lang w:eastAsia="es-CR"/>
        </w:rPr>
        <w:t xml:space="preserve"> </w:t>
      </w:r>
      <w:bookmarkStart w:id="216" w:name="_Toc13041058"/>
      <w:bookmarkStart w:id="217" w:name="_Toc14345057"/>
    </w:p>
    <w:p w14:paraId="6B2E6D0C" w14:textId="5AA8605E" w:rsidR="00CD55E7" w:rsidRPr="007826DE" w:rsidRDefault="00CD55E7" w:rsidP="00CD55E7">
      <w:pPr>
        <w:spacing w:line="240" w:lineRule="auto"/>
        <w:rPr>
          <w:lang w:eastAsia="es-CR"/>
        </w:rPr>
      </w:pPr>
      <w:r>
        <w:rPr>
          <w:lang w:eastAsia="es-CR"/>
        </w:rPr>
        <w:t>Un efecto neto debido a que algunas cuentas presentan un aumento mientras que otras disminuyeron como se puede observar en el siguiente</w:t>
      </w:r>
      <w:r w:rsidRPr="00397338">
        <w:rPr>
          <w:lang w:eastAsia="es-CR"/>
        </w:rPr>
        <w:t xml:space="preserve"> detalle de los inventarios al </w:t>
      </w:r>
      <w:r w:rsidR="00796636">
        <w:rPr>
          <w:lang w:eastAsia="es-CR"/>
        </w:rPr>
        <w:t>31</w:t>
      </w:r>
      <w:r>
        <w:rPr>
          <w:lang w:eastAsia="es-CR"/>
        </w:rPr>
        <w:t xml:space="preserve"> de </w:t>
      </w:r>
      <w:r w:rsidR="00D64CF8">
        <w:rPr>
          <w:lang w:eastAsia="es-CR"/>
        </w:rPr>
        <w:t>diciembre</w:t>
      </w:r>
      <w:r w:rsidRPr="00397338">
        <w:rPr>
          <w:lang w:eastAsia="es-CR"/>
        </w:rPr>
        <w:t xml:space="preserve"> de 2024</w:t>
      </w:r>
      <w:r>
        <w:rPr>
          <w:lang w:eastAsia="es-CR"/>
        </w:rPr>
        <w:t>:</w:t>
      </w:r>
    </w:p>
    <w:tbl>
      <w:tblPr>
        <w:tblW w:w="9440" w:type="dxa"/>
        <w:tblCellMar>
          <w:left w:w="70" w:type="dxa"/>
          <w:right w:w="70" w:type="dxa"/>
        </w:tblCellMar>
        <w:tblLook w:val="04A0" w:firstRow="1" w:lastRow="0" w:firstColumn="1" w:lastColumn="0" w:noHBand="0" w:noVBand="1"/>
      </w:tblPr>
      <w:tblGrid>
        <w:gridCol w:w="1126"/>
        <w:gridCol w:w="3774"/>
        <w:gridCol w:w="1333"/>
        <w:gridCol w:w="1333"/>
        <w:gridCol w:w="1087"/>
        <w:gridCol w:w="924"/>
      </w:tblGrid>
      <w:tr w:rsidR="00CD55E7" w:rsidRPr="00153951" w14:paraId="5E9546A6" w14:textId="77777777" w:rsidTr="0061790F">
        <w:trPr>
          <w:trHeight w:val="615"/>
        </w:trPr>
        <w:tc>
          <w:tcPr>
            <w:tcW w:w="9440" w:type="dxa"/>
            <w:gridSpan w:val="6"/>
            <w:tcBorders>
              <w:top w:val="single" w:sz="8" w:space="0" w:color="auto"/>
              <w:left w:val="single" w:sz="8" w:space="0" w:color="auto"/>
              <w:bottom w:val="nil"/>
              <w:right w:val="single" w:sz="8" w:space="0" w:color="000000"/>
            </w:tcBorders>
            <w:shd w:val="clear" w:color="000000" w:fill="B8CCE4"/>
            <w:vAlign w:val="center"/>
            <w:hideMark/>
          </w:tcPr>
          <w:p w14:paraId="6F1A49FC" w14:textId="27E30085" w:rsidR="00CD55E7" w:rsidRPr="00153951" w:rsidRDefault="00CD55E7" w:rsidP="0061790F">
            <w:pPr>
              <w:spacing w:after="0" w:line="240" w:lineRule="auto"/>
              <w:jc w:val="center"/>
              <w:rPr>
                <w:rFonts w:eastAsia="Times New Roman" w:cs="Calibri"/>
                <w:b/>
                <w:bCs/>
                <w:color w:val="000000"/>
                <w:sz w:val="22"/>
                <w:lang w:eastAsia="es-CR"/>
              </w:rPr>
            </w:pPr>
            <w:r w:rsidRPr="00153951">
              <w:rPr>
                <w:rFonts w:eastAsia="Times New Roman" w:cs="Calibri"/>
                <w:b/>
                <w:bCs/>
                <w:color w:val="000000"/>
                <w:sz w:val="22"/>
                <w:lang w:eastAsia="es-CR"/>
              </w:rPr>
              <w:t xml:space="preserve">DETALLE DE INVENTARIOS </w:t>
            </w:r>
            <w:r w:rsidRPr="00153951">
              <w:rPr>
                <w:rFonts w:eastAsia="Times New Roman" w:cs="Calibri"/>
                <w:b/>
                <w:bCs/>
                <w:color w:val="000000"/>
                <w:sz w:val="22"/>
                <w:lang w:eastAsia="es-CR"/>
              </w:rPr>
              <w:br/>
              <w:t xml:space="preserve">COMPARATIVO AL </w:t>
            </w:r>
            <w:r w:rsidR="00796636">
              <w:rPr>
                <w:rFonts w:eastAsia="Times New Roman" w:cs="Calibri"/>
                <w:b/>
                <w:bCs/>
                <w:color w:val="000000"/>
                <w:sz w:val="22"/>
                <w:lang w:eastAsia="es-CR"/>
              </w:rPr>
              <w:t>31</w:t>
            </w:r>
            <w:r w:rsidRPr="00153951">
              <w:rPr>
                <w:rFonts w:eastAsia="Times New Roman" w:cs="Calibri"/>
                <w:b/>
                <w:bCs/>
                <w:color w:val="000000"/>
                <w:sz w:val="22"/>
                <w:lang w:eastAsia="es-CR"/>
              </w:rPr>
              <w:t>/09/2024-</w:t>
            </w:r>
            <w:r w:rsidR="00796636">
              <w:rPr>
                <w:rFonts w:eastAsia="Times New Roman" w:cs="Calibri"/>
                <w:b/>
                <w:bCs/>
                <w:color w:val="000000"/>
                <w:sz w:val="22"/>
                <w:lang w:eastAsia="es-CR"/>
              </w:rPr>
              <w:t>31</w:t>
            </w:r>
            <w:r w:rsidRPr="00153951">
              <w:rPr>
                <w:rFonts w:eastAsia="Times New Roman" w:cs="Calibri"/>
                <w:b/>
                <w:bCs/>
                <w:color w:val="000000"/>
                <w:sz w:val="22"/>
                <w:lang w:eastAsia="es-CR"/>
              </w:rPr>
              <w:t>/09/2023</w:t>
            </w:r>
          </w:p>
        </w:tc>
      </w:tr>
      <w:tr w:rsidR="00CD55E7" w:rsidRPr="00153951" w14:paraId="474FB68E" w14:textId="77777777" w:rsidTr="0061790F">
        <w:trPr>
          <w:trHeight w:val="375"/>
        </w:trPr>
        <w:tc>
          <w:tcPr>
            <w:tcW w:w="9440" w:type="dxa"/>
            <w:gridSpan w:val="6"/>
            <w:tcBorders>
              <w:top w:val="nil"/>
              <w:left w:val="single" w:sz="8" w:space="0" w:color="auto"/>
              <w:bottom w:val="single" w:sz="8" w:space="0" w:color="auto"/>
              <w:right w:val="single" w:sz="8" w:space="0" w:color="000000"/>
            </w:tcBorders>
            <w:shd w:val="clear" w:color="000000" w:fill="B8CCE4"/>
            <w:noWrap/>
            <w:vAlign w:val="center"/>
            <w:hideMark/>
          </w:tcPr>
          <w:p w14:paraId="1FC4431F" w14:textId="77777777" w:rsidR="00CD55E7" w:rsidRPr="00153951" w:rsidRDefault="00CD55E7" w:rsidP="0061790F">
            <w:pPr>
              <w:spacing w:after="0" w:line="240" w:lineRule="auto"/>
              <w:jc w:val="center"/>
              <w:rPr>
                <w:rFonts w:eastAsia="Times New Roman" w:cs="Calibri"/>
                <w:b/>
                <w:bCs/>
                <w:color w:val="000000"/>
                <w:sz w:val="22"/>
                <w:lang w:eastAsia="es-CR"/>
              </w:rPr>
            </w:pPr>
            <w:r w:rsidRPr="00153951">
              <w:rPr>
                <w:rFonts w:eastAsia="Times New Roman" w:cs="Calibri"/>
                <w:b/>
                <w:bCs/>
                <w:color w:val="000000"/>
                <w:sz w:val="22"/>
                <w:lang w:eastAsia="es-CR"/>
              </w:rPr>
              <w:t>En miles de colones</w:t>
            </w:r>
          </w:p>
        </w:tc>
      </w:tr>
      <w:tr w:rsidR="00CD55E7" w:rsidRPr="00153951" w14:paraId="1CC762EA" w14:textId="77777777" w:rsidTr="0061790F">
        <w:trPr>
          <w:trHeight w:val="525"/>
        </w:trPr>
        <w:tc>
          <w:tcPr>
            <w:tcW w:w="1031" w:type="dxa"/>
            <w:tcBorders>
              <w:top w:val="nil"/>
              <w:left w:val="single" w:sz="8" w:space="0" w:color="auto"/>
              <w:bottom w:val="single" w:sz="8" w:space="0" w:color="auto"/>
              <w:right w:val="single" w:sz="8" w:space="0" w:color="auto"/>
            </w:tcBorders>
            <w:shd w:val="clear" w:color="000000" w:fill="002060"/>
            <w:noWrap/>
            <w:vAlign w:val="center"/>
            <w:hideMark/>
          </w:tcPr>
          <w:p w14:paraId="581B4B90" w14:textId="77777777" w:rsidR="00CD55E7" w:rsidRPr="00153951" w:rsidRDefault="00CD55E7" w:rsidP="0061790F">
            <w:pPr>
              <w:spacing w:after="0" w:line="240" w:lineRule="auto"/>
              <w:jc w:val="center"/>
              <w:rPr>
                <w:rFonts w:ascii="Calibri" w:eastAsia="Times New Roman" w:hAnsi="Calibri" w:cs="Calibri"/>
                <w:b/>
                <w:bCs/>
                <w:color w:val="FFFFFF"/>
                <w:sz w:val="20"/>
                <w:szCs w:val="20"/>
                <w:lang w:eastAsia="es-CR"/>
              </w:rPr>
            </w:pPr>
            <w:r w:rsidRPr="00153951">
              <w:rPr>
                <w:rFonts w:ascii="Calibri" w:eastAsia="Times New Roman" w:hAnsi="Calibri" w:cs="Calibri"/>
                <w:b/>
                <w:bCs/>
                <w:color w:val="FFFFFF"/>
                <w:sz w:val="20"/>
                <w:szCs w:val="20"/>
                <w:lang w:eastAsia="es-CR"/>
              </w:rPr>
              <w:t>Código</w:t>
            </w:r>
          </w:p>
        </w:tc>
        <w:tc>
          <w:tcPr>
            <w:tcW w:w="3774" w:type="dxa"/>
            <w:tcBorders>
              <w:top w:val="nil"/>
              <w:left w:val="nil"/>
              <w:bottom w:val="single" w:sz="8" w:space="0" w:color="auto"/>
              <w:right w:val="single" w:sz="8" w:space="0" w:color="auto"/>
            </w:tcBorders>
            <w:shd w:val="clear" w:color="000000" w:fill="002060"/>
            <w:noWrap/>
            <w:vAlign w:val="center"/>
            <w:hideMark/>
          </w:tcPr>
          <w:p w14:paraId="2A2EB552" w14:textId="77777777" w:rsidR="00CD55E7" w:rsidRPr="00153951" w:rsidRDefault="00CD55E7" w:rsidP="0061790F">
            <w:pPr>
              <w:spacing w:after="0" w:line="240" w:lineRule="auto"/>
              <w:jc w:val="center"/>
              <w:rPr>
                <w:rFonts w:ascii="Calibri" w:eastAsia="Times New Roman" w:hAnsi="Calibri" w:cs="Calibri"/>
                <w:b/>
                <w:bCs/>
                <w:color w:val="FFFFFF"/>
                <w:sz w:val="20"/>
                <w:szCs w:val="20"/>
                <w:lang w:eastAsia="es-CR"/>
              </w:rPr>
            </w:pPr>
            <w:r w:rsidRPr="00153951">
              <w:rPr>
                <w:rFonts w:ascii="Calibri" w:eastAsia="Times New Roman" w:hAnsi="Calibri" w:cs="Calibri"/>
                <w:b/>
                <w:bCs/>
                <w:color w:val="FFFFFF"/>
                <w:sz w:val="20"/>
                <w:szCs w:val="20"/>
                <w:lang w:eastAsia="es-CR"/>
              </w:rPr>
              <w:t>Descripción</w:t>
            </w:r>
          </w:p>
        </w:tc>
        <w:tc>
          <w:tcPr>
            <w:tcW w:w="1333" w:type="dxa"/>
            <w:tcBorders>
              <w:top w:val="nil"/>
              <w:left w:val="nil"/>
              <w:bottom w:val="single" w:sz="8" w:space="0" w:color="auto"/>
              <w:right w:val="single" w:sz="8" w:space="0" w:color="auto"/>
            </w:tcBorders>
            <w:shd w:val="clear" w:color="000000" w:fill="002060"/>
            <w:vAlign w:val="center"/>
            <w:hideMark/>
          </w:tcPr>
          <w:p w14:paraId="5CEED4BE" w14:textId="77777777" w:rsidR="00CD55E7" w:rsidRPr="00153951" w:rsidRDefault="00CD55E7" w:rsidP="0061790F">
            <w:pPr>
              <w:spacing w:after="0" w:line="240" w:lineRule="auto"/>
              <w:jc w:val="center"/>
              <w:rPr>
                <w:rFonts w:ascii="Calibri" w:eastAsia="Times New Roman" w:hAnsi="Calibri" w:cs="Calibri"/>
                <w:b/>
                <w:bCs/>
                <w:color w:val="FFFFFF"/>
                <w:sz w:val="20"/>
                <w:szCs w:val="20"/>
                <w:lang w:eastAsia="es-CR"/>
              </w:rPr>
            </w:pPr>
            <w:r w:rsidRPr="00153951">
              <w:rPr>
                <w:rFonts w:ascii="Calibri" w:eastAsia="Times New Roman" w:hAnsi="Calibri" w:cs="Calibri"/>
                <w:b/>
                <w:bCs/>
                <w:color w:val="FFFFFF"/>
                <w:sz w:val="20"/>
                <w:szCs w:val="20"/>
                <w:lang w:eastAsia="es-CR"/>
              </w:rPr>
              <w:t>Saldo Año Actual</w:t>
            </w:r>
          </w:p>
        </w:tc>
        <w:tc>
          <w:tcPr>
            <w:tcW w:w="1333" w:type="dxa"/>
            <w:tcBorders>
              <w:top w:val="nil"/>
              <w:left w:val="nil"/>
              <w:bottom w:val="single" w:sz="8" w:space="0" w:color="auto"/>
              <w:right w:val="single" w:sz="8" w:space="0" w:color="auto"/>
            </w:tcBorders>
            <w:shd w:val="clear" w:color="000000" w:fill="002060"/>
            <w:vAlign w:val="center"/>
            <w:hideMark/>
          </w:tcPr>
          <w:p w14:paraId="51646194" w14:textId="77777777" w:rsidR="00CD55E7" w:rsidRPr="00153951" w:rsidRDefault="00CD55E7" w:rsidP="0061790F">
            <w:pPr>
              <w:spacing w:after="0" w:line="240" w:lineRule="auto"/>
              <w:jc w:val="center"/>
              <w:rPr>
                <w:rFonts w:ascii="Calibri" w:eastAsia="Times New Roman" w:hAnsi="Calibri" w:cs="Calibri"/>
                <w:b/>
                <w:bCs/>
                <w:color w:val="FFFFFF"/>
                <w:sz w:val="20"/>
                <w:szCs w:val="20"/>
                <w:lang w:eastAsia="es-CR"/>
              </w:rPr>
            </w:pPr>
            <w:r w:rsidRPr="00153951">
              <w:rPr>
                <w:rFonts w:ascii="Calibri" w:eastAsia="Times New Roman" w:hAnsi="Calibri" w:cs="Calibri"/>
                <w:b/>
                <w:bCs/>
                <w:color w:val="FFFFFF"/>
                <w:sz w:val="20"/>
                <w:szCs w:val="20"/>
                <w:lang w:eastAsia="es-CR"/>
              </w:rPr>
              <w:t>Saldo Año Anterior</w:t>
            </w:r>
          </w:p>
        </w:tc>
        <w:tc>
          <w:tcPr>
            <w:tcW w:w="1087" w:type="dxa"/>
            <w:tcBorders>
              <w:top w:val="nil"/>
              <w:left w:val="nil"/>
              <w:bottom w:val="single" w:sz="8" w:space="0" w:color="auto"/>
              <w:right w:val="single" w:sz="8" w:space="0" w:color="auto"/>
            </w:tcBorders>
            <w:shd w:val="clear" w:color="000000" w:fill="002060"/>
            <w:vAlign w:val="center"/>
            <w:hideMark/>
          </w:tcPr>
          <w:p w14:paraId="13003B77" w14:textId="77777777" w:rsidR="00CD55E7" w:rsidRPr="00153951" w:rsidRDefault="00CD55E7" w:rsidP="0061790F">
            <w:pPr>
              <w:spacing w:after="0" w:line="240" w:lineRule="auto"/>
              <w:jc w:val="center"/>
              <w:rPr>
                <w:rFonts w:ascii="Calibri" w:eastAsia="Times New Roman" w:hAnsi="Calibri" w:cs="Calibri"/>
                <w:b/>
                <w:bCs/>
                <w:color w:val="FFFFFF"/>
                <w:sz w:val="20"/>
                <w:szCs w:val="20"/>
                <w:lang w:eastAsia="es-CR"/>
              </w:rPr>
            </w:pPr>
            <w:r w:rsidRPr="00153951">
              <w:rPr>
                <w:rFonts w:ascii="Calibri" w:eastAsia="Times New Roman" w:hAnsi="Calibri" w:cs="Calibri"/>
                <w:b/>
                <w:bCs/>
                <w:color w:val="FFFFFF"/>
                <w:sz w:val="20"/>
                <w:szCs w:val="20"/>
                <w:lang w:eastAsia="es-CR"/>
              </w:rPr>
              <w:t>Variación Absoluta</w:t>
            </w:r>
          </w:p>
        </w:tc>
        <w:tc>
          <w:tcPr>
            <w:tcW w:w="882" w:type="dxa"/>
            <w:tcBorders>
              <w:top w:val="nil"/>
              <w:left w:val="nil"/>
              <w:bottom w:val="single" w:sz="8" w:space="0" w:color="auto"/>
              <w:right w:val="single" w:sz="8" w:space="0" w:color="auto"/>
            </w:tcBorders>
            <w:shd w:val="clear" w:color="000000" w:fill="002060"/>
            <w:vAlign w:val="center"/>
            <w:hideMark/>
          </w:tcPr>
          <w:p w14:paraId="0AF60FC3" w14:textId="77777777" w:rsidR="00CD55E7" w:rsidRPr="00153951" w:rsidRDefault="00CD55E7" w:rsidP="0061790F">
            <w:pPr>
              <w:spacing w:after="0" w:line="240" w:lineRule="auto"/>
              <w:jc w:val="center"/>
              <w:rPr>
                <w:rFonts w:ascii="Calibri" w:eastAsia="Times New Roman" w:hAnsi="Calibri" w:cs="Calibri"/>
                <w:b/>
                <w:bCs/>
                <w:color w:val="FFFFFF"/>
                <w:sz w:val="20"/>
                <w:szCs w:val="20"/>
                <w:lang w:eastAsia="es-CR"/>
              </w:rPr>
            </w:pPr>
            <w:r w:rsidRPr="00153951">
              <w:rPr>
                <w:rFonts w:ascii="Calibri" w:eastAsia="Times New Roman" w:hAnsi="Calibri" w:cs="Calibri"/>
                <w:b/>
                <w:bCs/>
                <w:color w:val="FFFFFF"/>
                <w:sz w:val="20"/>
                <w:szCs w:val="20"/>
                <w:lang w:eastAsia="es-CR"/>
              </w:rPr>
              <w:t>Variación %</w:t>
            </w:r>
          </w:p>
        </w:tc>
      </w:tr>
      <w:tr w:rsidR="00CD55E7" w:rsidRPr="00153951" w14:paraId="71256A5B" w14:textId="77777777" w:rsidTr="0061790F">
        <w:trPr>
          <w:trHeight w:val="285"/>
        </w:trPr>
        <w:tc>
          <w:tcPr>
            <w:tcW w:w="1031" w:type="dxa"/>
            <w:tcBorders>
              <w:top w:val="nil"/>
              <w:left w:val="single" w:sz="8" w:space="0" w:color="auto"/>
              <w:bottom w:val="single" w:sz="8" w:space="0" w:color="auto"/>
              <w:right w:val="single" w:sz="8" w:space="0" w:color="auto"/>
            </w:tcBorders>
            <w:shd w:val="clear" w:color="000000" w:fill="DBDBDB"/>
            <w:noWrap/>
            <w:vAlign w:val="bottom"/>
            <w:hideMark/>
          </w:tcPr>
          <w:p w14:paraId="282A71E4" w14:textId="77777777" w:rsidR="00CD55E7" w:rsidRPr="00153951" w:rsidRDefault="00CD55E7" w:rsidP="0061790F">
            <w:pPr>
              <w:spacing w:after="0" w:line="240" w:lineRule="auto"/>
              <w:jc w:val="left"/>
              <w:rPr>
                <w:rFonts w:eastAsia="Times New Roman" w:cs="Calibri"/>
                <w:b/>
                <w:bCs/>
                <w:color w:val="000000"/>
                <w:sz w:val="18"/>
                <w:szCs w:val="18"/>
                <w:lang w:eastAsia="es-CR"/>
              </w:rPr>
            </w:pPr>
            <w:r w:rsidRPr="00153951">
              <w:rPr>
                <w:rFonts w:eastAsia="Times New Roman" w:cs="Calibri"/>
                <w:b/>
                <w:bCs/>
                <w:color w:val="000000"/>
                <w:sz w:val="18"/>
                <w:szCs w:val="18"/>
                <w:lang w:eastAsia="es-CR"/>
              </w:rPr>
              <w:t>1.1.4.01.01.</w:t>
            </w:r>
          </w:p>
        </w:tc>
        <w:tc>
          <w:tcPr>
            <w:tcW w:w="3774" w:type="dxa"/>
            <w:tcBorders>
              <w:top w:val="nil"/>
              <w:left w:val="nil"/>
              <w:bottom w:val="single" w:sz="8" w:space="0" w:color="auto"/>
              <w:right w:val="single" w:sz="8" w:space="0" w:color="auto"/>
            </w:tcBorders>
            <w:shd w:val="clear" w:color="000000" w:fill="DBDBDB"/>
            <w:vAlign w:val="bottom"/>
            <w:hideMark/>
          </w:tcPr>
          <w:p w14:paraId="7F600B38" w14:textId="77777777" w:rsidR="00CD55E7" w:rsidRPr="00153951" w:rsidRDefault="00CD55E7" w:rsidP="0061790F">
            <w:pPr>
              <w:spacing w:after="0" w:line="240" w:lineRule="auto"/>
              <w:jc w:val="left"/>
              <w:rPr>
                <w:rFonts w:eastAsia="Times New Roman" w:cs="Calibri"/>
                <w:b/>
                <w:bCs/>
                <w:color w:val="000000"/>
                <w:sz w:val="18"/>
                <w:szCs w:val="18"/>
                <w:lang w:eastAsia="es-CR"/>
              </w:rPr>
            </w:pPr>
            <w:r w:rsidRPr="00153951">
              <w:rPr>
                <w:rFonts w:eastAsia="Times New Roman" w:cs="Calibri"/>
                <w:b/>
                <w:bCs/>
                <w:color w:val="000000"/>
                <w:sz w:val="18"/>
                <w:szCs w:val="18"/>
                <w:lang w:eastAsia="es-CR"/>
              </w:rPr>
              <w:t>Productos químicos y conexos</w:t>
            </w:r>
          </w:p>
        </w:tc>
        <w:tc>
          <w:tcPr>
            <w:tcW w:w="1333" w:type="dxa"/>
            <w:tcBorders>
              <w:top w:val="nil"/>
              <w:left w:val="nil"/>
              <w:bottom w:val="single" w:sz="8" w:space="0" w:color="auto"/>
              <w:right w:val="single" w:sz="8" w:space="0" w:color="auto"/>
            </w:tcBorders>
            <w:shd w:val="clear" w:color="000000" w:fill="DBDBDB"/>
            <w:noWrap/>
            <w:vAlign w:val="bottom"/>
            <w:hideMark/>
          </w:tcPr>
          <w:p w14:paraId="229B69EB" w14:textId="77777777" w:rsidR="00CD55E7" w:rsidRPr="00153951" w:rsidRDefault="00CD55E7" w:rsidP="0061790F">
            <w:pPr>
              <w:spacing w:after="0" w:line="240" w:lineRule="auto"/>
              <w:jc w:val="right"/>
              <w:rPr>
                <w:rFonts w:eastAsia="Times New Roman" w:cs="Calibri"/>
                <w:b/>
                <w:bCs/>
                <w:color w:val="000000"/>
                <w:sz w:val="18"/>
                <w:szCs w:val="18"/>
                <w:lang w:eastAsia="es-CR"/>
              </w:rPr>
            </w:pPr>
            <w:r w:rsidRPr="00153951">
              <w:rPr>
                <w:rFonts w:ascii="Arial" w:eastAsia="Times New Roman" w:hAnsi="Arial" w:cs="Arial"/>
                <w:b/>
                <w:bCs/>
                <w:color w:val="000000"/>
                <w:sz w:val="18"/>
                <w:szCs w:val="18"/>
                <w:lang w:eastAsia="es-CR"/>
              </w:rPr>
              <w:t>₡</w:t>
            </w:r>
            <w:r w:rsidRPr="00153951">
              <w:rPr>
                <w:rFonts w:eastAsia="Times New Roman" w:cs="Calibri"/>
                <w:b/>
                <w:bCs/>
                <w:color w:val="000000"/>
                <w:sz w:val="18"/>
                <w:szCs w:val="18"/>
                <w:lang w:eastAsia="es-CR"/>
              </w:rPr>
              <w:t>15 817,19</w:t>
            </w:r>
          </w:p>
        </w:tc>
        <w:tc>
          <w:tcPr>
            <w:tcW w:w="1333" w:type="dxa"/>
            <w:tcBorders>
              <w:top w:val="nil"/>
              <w:left w:val="nil"/>
              <w:bottom w:val="single" w:sz="8" w:space="0" w:color="auto"/>
              <w:right w:val="single" w:sz="8" w:space="0" w:color="auto"/>
            </w:tcBorders>
            <w:shd w:val="clear" w:color="000000" w:fill="DBDBDB"/>
            <w:noWrap/>
            <w:vAlign w:val="bottom"/>
            <w:hideMark/>
          </w:tcPr>
          <w:p w14:paraId="3F3B188A" w14:textId="77777777" w:rsidR="00CD55E7" w:rsidRPr="00153951" w:rsidRDefault="00CD55E7" w:rsidP="0061790F">
            <w:pPr>
              <w:spacing w:after="0" w:line="240" w:lineRule="auto"/>
              <w:jc w:val="right"/>
              <w:rPr>
                <w:rFonts w:eastAsia="Times New Roman" w:cs="Calibri"/>
                <w:b/>
                <w:bCs/>
                <w:color w:val="000000"/>
                <w:sz w:val="18"/>
                <w:szCs w:val="18"/>
                <w:lang w:eastAsia="es-CR"/>
              </w:rPr>
            </w:pPr>
            <w:r w:rsidRPr="00153951">
              <w:rPr>
                <w:rFonts w:ascii="Arial" w:eastAsia="Times New Roman" w:hAnsi="Arial" w:cs="Arial"/>
                <w:b/>
                <w:bCs/>
                <w:color w:val="000000"/>
                <w:sz w:val="18"/>
                <w:szCs w:val="18"/>
                <w:lang w:eastAsia="es-CR"/>
              </w:rPr>
              <w:t>₡</w:t>
            </w:r>
            <w:r w:rsidRPr="00153951">
              <w:rPr>
                <w:rFonts w:eastAsia="Times New Roman" w:cs="Calibri"/>
                <w:b/>
                <w:bCs/>
                <w:color w:val="000000"/>
                <w:sz w:val="18"/>
                <w:szCs w:val="18"/>
                <w:lang w:eastAsia="es-CR"/>
              </w:rPr>
              <w:t>20 408,51</w:t>
            </w:r>
          </w:p>
        </w:tc>
        <w:tc>
          <w:tcPr>
            <w:tcW w:w="1087" w:type="dxa"/>
            <w:tcBorders>
              <w:top w:val="nil"/>
              <w:left w:val="nil"/>
              <w:bottom w:val="single" w:sz="8" w:space="0" w:color="auto"/>
              <w:right w:val="single" w:sz="8" w:space="0" w:color="auto"/>
            </w:tcBorders>
            <w:shd w:val="clear" w:color="000000" w:fill="DBDBDB"/>
            <w:noWrap/>
            <w:vAlign w:val="bottom"/>
            <w:hideMark/>
          </w:tcPr>
          <w:p w14:paraId="59293A80" w14:textId="77777777" w:rsidR="00CD55E7" w:rsidRPr="00153951" w:rsidRDefault="00CD55E7" w:rsidP="0061790F">
            <w:pPr>
              <w:spacing w:after="0" w:line="240" w:lineRule="auto"/>
              <w:jc w:val="right"/>
              <w:rPr>
                <w:rFonts w:eastAsia="Times New Roman" w:cs="Calibri"/>
                <w:b/>
                <w:bCs/>
                <w:color w:val="000000"/>
                <w:sz w:val="18"/>
                <w:szCs w:val="18"/>
                <w:lang w:eastAsia="es-CR"/>
              </w:rPr>
            </w:pPr>
            <w:r w:rsidRPr="00153951">
              <w:rPr>
                <w:rFonts w:eastAsia="Times New Roman" w:cs="Calibri"/>
                <w:b/>
                <w:bCs/>
                <w:color w:val="000000"/>
                <w:sz w:val="18"/>
                <w:szCs w:val="18"/>
                <w:lang w:eastAsia="es-CR"/>
              </w:rPr>
              <w:t>-</w:t>
            </w:r>
            <w:r w:rsidRPr="00153951">
              <w:rPr>
                <w:rFonts w:ascii="Arial" w:eastAsia="Times New Roman" w:hAnsi="Arial" w:cs="Arial"/>
                <w:b/>
                <w:bCs/>
                <w:color w:val="000000"/>
                <w:sz w:val="18"/>
                <w:szCs w:val="18"/>
                <w:lang w:eastAsia="es-CR"/>
              </w:rPr>
              <w:t>₡</w:t>
            </w:r>
            <w:r w:rsidRPr="00153951">
              <w:rPr>
                <w:rFonts w:eastAsia="Times New Roman" w:cs="Calibri"/>
                <w:b/>
                <w:bCs/>
                <w:color w:val="000000"/>
                <w:sz w:val="18"/>
                <w:szCs w:val="18"/>
                <w:lang w:eastAsia="es-CR"/>
              </w:rPr>
              <w:t>4 591,32</w:t>
            </w:r>
          </w:p>
        </w:tc>
        <w:tc>
          <w:tcPr>
            <w:tcW w:w="882" w:type="dxa"/>
            <w:tcBorders>
              <w:top w:val="nil"/>
              <w:left w:val="nil"/>
              <w:bottom w:val="nil"/>
              <w:right w:val="single" w:sz="8" w:space="0" w:color="auto"/>
            </w:tcBorders>
            <w:shd w:val="clear" w:color="000000" w:fill="DBDBDB"/>
            <w:noWrap/>
            <w:vAlign w:val="bottom"/>
            <w:hideMark/>
          </w:tcPr>
          <w:p w14:paraId="1DB62E92" w14:textId="77777777" w:rsidR="00CD55E7" w:rsidRPr="00153951" w:rsidRDefault="00CD55E7" w:rsidP="0061790F">
            <w:pPr>
              <w:spacing w:after="0" w:line="240" w:lineRule="auto"/>
              <w:jc w:val="center"/>
              <w:rPr>
                <w:rFonts w:eastAsia="Times New Roman" w:cs="Calibri"/>
                <w:b/>
                <w:bCs/>
                <w:color w:val="000000"/>
                <w:sz w:val="18"/>
                <w:szCs w:val="18"/>
                <w:lang w:eastAsia="es-CR"/>
              </w:rPr>
            </w:pPr>
            <w:r w:rsidRPr="00153951">
              <w:rPr>
                <w:rFonts w:eastAsia="Times New Roman" w:cs="Calibri"/>
                <w:b/>
                <w:bCs/>
                <w:color w:val="000000"/>
                <w:sz w:val="18"/>
                <w:szCs w:val="18"/>
                <w:lang w:eastAsia="es-CR"/>
              </w:rPr>
              <w:t>-22,50%</w:t>
            </w:r>
          </w:p>
        </w:tc>
      </w:tr>
      <w:tr w:rsidR="00CD55E7" w:rsidRPr="00153951" w14:paraId="7602FDDD" w14:textId="77777777" w:rsidTr="0061790F">
        <w:trPr>
          <w:trHeight w:val="270"/>
        </w:trPr>
        <w:tc>
          <w:tcPr>
            <w:tcW w:w="1031" w:type="dxa"/>
            <w:tcBorders>
              <w:top w:val="nil"/>
              <w:left w:val="single" w:sz="8" w:space="0" w:color="auto"/>
              <w:bottom w:val="nil"/>
              <w:right w:val="single" w:sz="8" w:space="0" w:color="auto"/>
            </w:tcBorders>
            <w:shd w:val="clear" w:color="auto" w:fill="auto"/>
            <w:noWrap/>
            <w:vAlign w:val="bottom"/>
            <w:hideMark/>
          </w:tcPr>
          <w:p w14:paraId="436E24A9" w14:textId="77777777" w:rsidR="00CD55E7" w:rsidRPr="00153951" w:rsidRDefault="00CD55E7" w:rsidP="0061790F">
            <w:pPr>
              <w:spacing w:after="0" w:line="240" w:lineRule="auto"/>
              <w:jc w:val="left"/>
              <w:rPr>
                <w:rFonts w:eastAsia="Times New Roman" w:cs="Calibri"/>
                <w:color w:val="000000"/>
                <w:sz w:val="18"/>
                <w:szCs w:val="18"/>
                <w:lang w:eastAsia="es-CR"/>
              </w:rPr>
            </w:pPr>
            <w:r w:rsidRPr="00153951">
              <w:rPr>
                <w:rFonts w:eastAsia="Times New Roman" w:cs="Calibri"/>
                <w:color w:val="000000"/>
                <w:sz w:val="18"/>
                <w:szCs w:val="18"/>
                <w:lang w:eastAsia="es-CR"/>
              </w:rPr>
              <w:t>1.1.4.01.01.01.</w:t>
            </w:r>
          </w:p>
        </w:tc>
        <w:tc>
          <w:tcPr>
            <w:tcW w:w="3774" w:type="dxa"/>
            <w:tcBorders>
              <w:top w:val="nil"/>
              <w:left w:val="nil"/>
              <w:bottom w:val="nil"/>
              <w:right w:val="single" w:sz="8" w:space="0" w:color="auto"/>
            </w:tcBorders>
            <w:shd w:val="clear" w:color="auto" w:fill="auto"/>
            <w:vAlign w:val="bottom"/>
            <w:hideMark/>
          </w:tcPr>
          <w:p w14:paraId="73814E1E" w14:textId="77777777" w:rsidR="00CD55E7" w:rsidRPr="00153951" w:rsidRDefault="00CD55E7" w:rsidP="0061790F">
            <w:pPr>
              <w:spacing w:after="0" w:line="240" w:lineRule="auto"/>
              <w:jc w:val="left"/>
              <w:rPr>
                <w:rFonts w:eastAsia="Times New Roman" w:cs="Calibri"/>
                <w:color w:val="000000"/>
                <w:sz w:val="18"/>
                <w:szCs w:val="18"/>
                <w:lang w:eastAsia="es-CR"/>
              </w:rPr>
            </w:pPr>
            <w:r w:rsidRPr="00153951">
              <w:rPr>
                <w:rFonts w:eastAsia="Times New Roman" w:cs="Calibri"/>
                <w:color w:val="000000"/>
                <w:sz w:val="18"/>
                <w:szCs w:val="18"/>
                <w:lang w:eastAsia="es-CR"/>
              </w:rPr>
              <w:t>Combustibles y lubricantes</w:t>
            </w:r>
          </w:p>
        </w:tc>
        <w:tc>
          <w:tcPr>
            <w:tcW w:w="1333" w:type="dxa"/>
            <w:tcBorders>
              <w:top w:val="nil"/>
              <w:left w:val="nil"/>
              <w:bottom w:val="nil"/>
              <w:right w:val="single" w:sz="8" w:space="0" w:color="auto"/>
            </w:tcBorders>
            <w:shd w:val="clear" w:color="000000" w:fill="FFFFFF"/>
            <w:noWrap/>
            <w:vAlign w:val="bottom"/>
            <w:hideMark/>
          </w:tcPr>
          <w:p w14:paraId="429ED63A" w14:textId="77777777" w:rsidR="00CD55E7" w:rsidRPr="00153951" w:rsidRDefault="00CD55E7" w:rsidP="0061790F">
            <w:pPr>
              <w:spacing w:after="0" w:line="240" w:lineRule="auto"/>
              <w:jc w:val="right"/>
              <w:rPr>
                <w:rFonts w:eastAsia="Times New Roman" w:cs="Calibri"/>
                <w:color w:val="000000"/>
                <w:sz w:val="18"/>
                <w:szCs w:val="18"/>
                <w:lang w:eastAsia="es-CR"/>
              </w:rPr>
            </w:pPr>
            <w:r w:rsidRPr="00153951">
              <w:rPr>
                <w:rFonts w:eastAsia="Times New Roman" w:cs="Calibri"/>
                <w:color w:val="000000"/>
                <w:sz w:val="18"/>
                <w:szCs w:val="18"/>
                <w:lang w:eastAsia="es-CR"/>
              </w:rPr>
              <w:t>12 377,74</w:t>
            </w:r>
          </w:p>
        </w:tc>
        <w:tc>
          <w:tcPr>
            <w:tcW w:w="1333" w:type="dxa"/>
            <w:tcBorders>
              <w:top w:val="nil"/>
              <w:left w:val="nil"/>
              <w:bottom w:val="nil"/>
              <w:right w:val="single" w:sz="8" w:space="0" w:color="auto"/>
            </w:tcBorders>
            <w:shd w:val="clear" w:color="000000" w:fill="FFFFFF"/>
            <w:noWrap/>
            <w:vAlign w:val="bottom"/>
            <w:hideMark/>
          </w:tcPr>
          <w:p w14:paraId="628D3653" w14:textId="77777777" w:rsidR="00CD55E7" w:rsidRPr="00153951" w:rsidRDefault="00CD55E7" w:rsidP="0061790F">
            <w:pPr>
              <w:spacing w:after="0" w:line="240" w:lineRule="auto"/>
              <w:jc w:val="right"/>
              <w:rPr>
                <w:rFonts w:eastAsia="Times New Roman" w:cs="Calibri"/>
                <w:color w:val="000000"/>
                <w:sz w:val="18"/>
                <w:szCs w:val="18"/>
                <w:lang w:eastAsia="es-CR"/>
              </w:rPr>
            </w:pPr>
            <w:r w:rsidRPr="00153951">
              <w:rPr>
                <w:rFonts w:eastAsia="Times New Roman" w:cs="Calibri"/>
                <w:color w:val="000000"/>
                <w:sz w:val="18"/>
                <w:szCs w:val="18"/>
                <w:lang w:eastAsia="es-CR"/>
              </w:rPr>
              <w:t>18 183,62</w:t>
            </w:r>
          </w:p>
        </w:tc>
        <w:tc>
          <w:tcPr>
            <w:tcW w:w="1087" w:type="dxa"/>
            <w:tcBorders>
              <w:top w:val="nil"/>
              <w:left w:val="nil"/>
              <w:bottom w:val="nil"/>
              <w:right w:val="nil"/>
            </w:tcBorders>
            <w:shd w:val="clear" w:color="000000" w:fill="FFFFFF"/>
            <w:noWrap/>
            <w:vAlign w:val="bottom"/>
            <w:hideMark/>
          </w:tcPr>
          <w:p w14:paraId="5E6A0463" w14:textId="77777777" w:rsidR="00CD55E7" w:rsidRPr="00153951" w:rsidRDefault="00CD55E7" w:rsidP="0061790F">
            <w:pPr>
              <w:spacing w:after="0" w:line="240" w:lineRule="auto"/>
              <w:jc w:val="right"/>
              <w:rPr>
                <w:rFonts w:eastAsia="Times New Roman" w:cs="Calibri"/>
                <w:color w:val="000000"/>
                <w:sz w:val="18"/>
                <w:szCs w:val="18"/>
                <w:lang w:eastAsia="es-CR"/>
              </w:rPr>
            </w:pPr>
            <w:r w:rsidRPr="00153951">
              <w:rPr>
                <w:rFonts w:eastAsia="Times New Roman" w:cs="Calibri"/>
                <w:color w:val="000000"/>
                <w:sz w:val="18"/>
                <w:szCs w:val="18"/>
                <w:lang w:eastAsia="es-CR"/>
              </w:rPr>
              <w:t>-5 805,88</w:t>
            </w:r>
          </w:p>
        </w:tc>
        <w:tc>
          <w:tcPr>
            <w:tcW w:w="882" w:type="dxa"/>
            <w:tcBorders>
              <w:top w:val="single" w:sz="8" w:space="0" w:color="auto"/>
              <w:left w:val="single" w:sz="8" w:space="0" w:color="auto"/>
              <w:bottom w:val="nil"/>
              <w:right w:val="single" w:sz="8" w:space="0" w:color="auto"/>
            </w:tcBorders>
            <w:shd w:val="clear" w:color="auto" w:fill="auto"/>
            <w:noWrap/>
            <w:vAlign w:val="bottom"/>
            <w:hideMark/>
          </w:tcPr>
          <w:p w14:paraId="24373BEF" w14:textId="77777777" w:rsidR="00CD55E7" w:rsidRPr="00153951" w:rsidRDefault="00CD55E7" w:rsidP="0061790F">
            <w:pPr>
              <w:spacing w:after="0" w:line="240" w:lineRule="auto"/>
              <w:jc w:val="right"/>
              <w:rPr>
                <w:rFonts w:eastAsia="Times New Roman" w:cs="Calibri"/>
                <w:color w:val="000000"/>
                <w:sz w:val="18"/>
                <w:szCs w:val="18"/>
                <w:lang w:eastAsia="es-CR"/>
              </w:rPr>
            </w:pPr>
            <w:r w:rsidRPr="00153951">
              <w:rPr>
                <w:rFonts w:eastAsia="Times New Roman" w:cs="Calibri"/>
                <w:color w:val="000000"/>
                <w:sz w:val="18"/>
                <w:szCs w:val="18"/>
                <w:lang w:eastAsia="es-CR"/>
              </w:rPr>
              <w:t>-31,93%</w:t>
            </w:r>
          </w:p>
        </w:tc>
      </w:tr>
      <w:tr w:rsidR="00CD55E7" w:rsidRPr="00153951" w14:paraId="16B88E5C" w14:textId="77777777" w:rsidTr="0061790F">
        <w:trPr>
          <w:trHeight w:val="270"/>
        </w:trPr>
        <w:tc>
          <w:tcPr>
            <w:tcW w:w="1031" w:type="dxa"/>
            <w:tcBorders>
              <w:top w:val="nil"/>
              <w:left w:val="single" w:sz="8" w:space="0" w:color="auto"/>
              <w:bottom w:val="nil"/>
              <w:right w:val="single" w:sz="8" w:space="0" w:color="auto"/>
            </w:tcBorders>
            <w:shd w:val="clear" w:color="auto" w:fill="auto"/>
            <w:noWrap/>
            <w:vAlign w:val="bottom"/>
            <w:hideMark/>
          </w:tcPr>
          <w:p w14:paraId="6BD1F068" w14:textId="77777777" w:rsidR="00CD55E7" w:rsidRPr="00153951" w:rsidRDefault="00CD55E7" w:rsidP="0061790F">
            <w:pPr>
              <w:spacing w:after="0" w:line="240" w:lineRule="auto"/>
              <w:jc w:val="left"/>
              <w:rPr>
                <w:rFonts w:eastAsia="Times New Roman" w:cs="Calibri"/>
                <w:color w:val="000000"/>
                <w:sz w:val="18"/>
                <w:szCs w:val="18"/>
                <w:lang w:eastAsia="es-CR"/>
              </w:rPr>
            </w:pPr>
            <w:r w:rsidRPr="00153951">
              <w:rPr>
                <w:rFonts w:eastAsia="Times New Roman" w:cs="Calibri"/>
                <w:color w:val="000000"/>
                <w:sz w:val="18"/>
                <w:szCs w:val="18"/>
                <w:lang w:eastAsia="es-CR"/>
              </w:rPr>
              <w:t>1.1.4.01.01.02.</w:t>
            </w:r>
          </w:p>
        </w:tc>
        <w:tc>
          <w:tcPr>
            <w:tcW w:w="3774" w:type="dxa"/>
            <w:tcBorders>
              <w:top w:val="nil"/>
              <w:left w:val="nil"/>
              <w:bottom w:val="nil"/>
              <w:right w:val="single" w:sz="8" w:space="0" w:color="auto"/>
            </w:tcBorders>
            <w:shd w:val="clear" w:color="auto" w:fill="auto"/>
            <w:vAlign w:val="bottom"/>
            <w:hideMark/>
          </w:tcPr>
          <w:p w14:paraId="7000BFFD" w14:textId="77777777" w:rsidR="00CD55E7" w:rsidRPr="00153951" w:rsidRDefault="00CD55E7" w:rsidP="0061790F">
            <w:pPr>
              <w:spacing w:after="0" w:line="240" w:lineRule="auto"/>
              <w:jc w:val="left"/>
              <w:rPr>
                <w:rFonts w:eastAsia="Times New Roman" w:cs="Calibri"/>
                <w:color w:val="000000"/>
                <w:sz w:val="18"/>
                <w:szCs w:val="18"/>
                <w:lang w:eastAsia="es-CR"/>
              </w:rPr>
            </w:pPr>
            <w:r w:rsidRPr="00153951">
              <w:rPr>
                <w:rFonts w:eastAsia="Times New Roman" w:cs="Calibri"/>
                <w:color w:val="000000"/>
                <w:sz w:val="18"/>
                <w:szCs w:val="18"/>
                <w:lang w:eastAsia="es-CR"/>
              </w:rPr>
              <w:t>Productos farmacéuticos y medicinales</w:t>
            </w:r>
          </w:p>
        </w:tc>
        <w:tc>
          <w:tcPr>
            <w:tcW w:w="1333" w:type="dxa"/>
            <w:tcBorders>
              <w:top w:val="nil"/>
              <w:left w:val="nil"/>
              <w:bottom w:val="nil"/>
              <w:right w:val="single" w:sz="8" w:space="0" w:color="auto"/>
            </w:tcBorders>
            <w:shd w:val="clear" w:color="000000" w:fill="FFFFFF"/>
            <w:noWrap/>
            <w:vAlign w:val="bottom"/>
            <w:hideMark/>
          </w:tcPr>
          <w:p w14:paraId="67D230A3" w14:textId="77777777" w:rsidR="00CD55E7" w:rsidRPr="00153951" w:rsidRDefault="00CD55E7" w:rsidP="0061790F">
            <w:pPr>
              <w:spacing w:after="0" w:line="240" w:lineRule="auto"/>
              <w:jc w:val="right"/>
              <w:rPr>
                <w:rFonts w:eastAsia="Times New Roman" w:cs="Calibri"/>
                <w:color w:val="000000"/>
                <w:sz w:val="18"/>
                <w:szCs w:val="18"/>
                <w:lang w:eastAsia="es-CR"/>
              </w:rPr>
            </w:pPr>
            <w:r w:rsidRPr="00153951">
              <w:rPr>
                <w:rFonts w:eastAsia="Times New Roman" w:cs="Calibri"/>
                <w:color w:val="000000"/>
                <w:sz w:val="18"/>
                <w:szCs w:val="18"/>
                <w:lang w:eastAsia="es-CR"/>
              </w:rPr>
              <w:t>0,00</w:t>
            </w:r>
          </w:p>
        </w:tc>
        <w:tc>
          <w:tcPr>
            <w:tcW w:w="1333" w:type="dxa"/>
            <w:tcBorders>
              <w:top w:val="nil"/>
              <w:left w:val="nil"/>
              <w:bottom w:val="nil"/>
              <w:right w:val="single" w:sz="8" w:space="0" w:color="auto"/>
            </w:tcBorders>
            <w:shd w:val="clear" w:color="000000" w:fill="FFFFFF"/>
            <w:noWrap/>
            <w:vAlign w:val="bottom"/>
            <w:hideMark/>
          </w:tcPr>
          <w:p w14:paraId="05A0D46E" w14:textId="77777777" w:rsidR="00CD55E7" w:rsidRPr="00153951" w:rsidRDefault="00CD55E7" w:rsidP="0061790F">
            <w:pPr>
              <w:spacing w:after="0" w:line="240" w:lineRule="auto"/>
              <w:jc w:val="left"/>
              <w:rPr>
                <w:rFonts w:eastAsia="Times New Roman" w:cs="Calibri"/>
                <w:color w:val="000000"/>
                <w:sz w:val="18"/>
                <w:szCs w:val="18"/>
                <w:lang w:eastAsia="es-CR"/>
              </w:rPr>
            </w:pPr>
            <w:r w:rsidRPr="00153951">
              <w:rPr>
                <w:rFonts w:eastAsia="Times New Roman" w:cs="Calibri"/>
                <w:color w:val="000000"/>
                <w:sz w:val="18"/>
                <w:szCs w:val="18"/>
                <w:lang w:eastAsia="es-CR"/>
              </w:rPr>
              <w:t> </w:t>
            </w:r>
          </w:p>
        </w:tc>
        <w:tc>
          <w:tcPr>
            <w:tcW w:w="1087" w:type="dxa"/>
            <w:tcBorders>
              <w:top w:val="nil"/>
              <w:left w:val="nil"/>
              <w:bottom w:val="nil"/>
              <w:right w:val="nil"/>
            </w:tcBorders>
            <w:shd w:val="clear" w:color="000000" w:fill="FFFFFF"/>
            <w:noWrap/>
            <w:vAlign w:val="bottom"/>
            <w:hideMark/>
          </w:tcPr>
          <w:p w14:paraId="06023311" w14:textId="77777777" w:rsidR="00CD55E7" w:rsidRPr="00153951" w:rsidRDefault="00CD55E7" w:rsidP="0061790F">
            <w:pPr>
              <w:spacing w:after="0" w:line="240" w:lineRule="auto"/>
              <w:jc w:val="right"/>
              <w:rPr>
                <w:rFonts w:eastAsia="Times New Roman" w:cs="Calibri"/>
                <w:color w:val="000000"/>
                <w:sz w:val="18"/>
                <w:szCs w:val="18"/>
                <w:lang w:eastAsia="es-CR"/>
              </w:rPr>
            </w:pPr>
            <w:r w:rsidRPr="00153951">
              <w:rPr>
                <w:rFonts w:eastAsia="Times New Roman" w:cs="Calibri"/>
                <w:color w:val="000000"/>
                <w:sz w:val="18"/>
                <w:szCs w:val="18"/>
                <w:lang w:eastAsia="es-CR"/>
              </w:rPr>
              <w:t>0,00</w:t>
            </w:r>
          </w:p>
        </w:tc>
        <w:tc>
          <w:tcPr>
            <w:tcW w:w="882" w:type="dxa"/>
            <w:tcBorders>
              <w:top w:val="nil"/>
              <w:left w:val="single" w:sz="8" w:space="0" w:color="auto"/>
              <w:bottom w:val="nil"/>
              <w:right w:val="single" w:sz="8" w:space="0" w:color="auto"/>
            </w:tcBorders>
            <w:shd w:val="clear" w:color="auto" w:fill="auto"/>
            <w:noWrap/>
            <w:vAlign w:val="bottom"/>
            <w:hideMark/>
          </w:tcPr>
          <w:p w14:paraId="1D6DC202" w14:textId="77777777" w:rsidR="00CD55E7" w:rsidRPr="00153951" w:rsidRDefault="00CD55E7" w:rsidP="0061790F">
            <w:pPr>
              <w:spacing w:after="0" w:line="240" w:lineRule="auto"/>
              <w:jc w:val="center"/>
              <w:rPr>
                <w:rFonts w:eastAsia="Times New Roman" w:cs="Calibri"/>
                <w:color w:val="000000"/>
                <w:sz w:val="18"/>
                <w:szCs w:val="18"/>
                <w:lang w:eastAsia="es-CR"/>
              </w:rPr>
            </w:pPr>
            <w:r w:rsidRPr="00153951">
              <w:rPr>
                <w:rFonts w:eastAsia="Times New Roman" w:cs="Calibri"/>
                <w:color w:val="000000"/>
                <w:sz w:val="18"/>
                <w:szCs w:val="18"/>
                <w:lang w:eastAsia="es-CR"/>
              </w:rPr>
              <w:t>#¡DIV/0!</w:t>
            </w:r>
          </w:p>
        </w:tc>
      </w:tr>
      <w:tr w:rsidR="00CD55E7" w:rsidRPr="00153951" w14:paraId="758D4430" w14:textId="77777777" w:rsidTr="0061790F">
        <w:trPr>
          <w:trHeight w:val="270"/>
        </w:trPr>
        <w:tc>
          <w:tcPr>
            <w:tcW w:w="1031" w:type="dxa"/>
            <w:tcBorders>
              <w:top w:val="nil"/>
              <w:left w:val="single" w:sz="8" w:space="0" w:color="auto"/>
              <w:bottom w:val="nil"/>
              <w:right w:val="single" w:sz="8" w:space="0" w:color="auto"/>
            </w:tcBorders>
            <w:shd w:val="clear" w:color="auto" w:fill="auto"/>
            <w:noWrap/>
            <w:vAlign w:val="bottom"/>
            <w:hideMark/>
          </w:tcPr>
          <w:p w14:paraId="413A2BC6" w14:textId="77777777" w:rsidR="00CD55E7" w:rsidRPr="00153951" w:rsidRDefault="00CD55E7" w:rsidP="0061790F">
            <w:pPr>
              <w:spacing w:after="0" w:line="240" w:lineRule="auto"/>
              <w:jc w:val="left"/>
              <w:rPr>
                <w:rFonts w:eastAsia="Times New Roman" w:cs="Calibri"/>
                <w:color w:val="000000"/>
                <w:sz w:val="18"/>
                <w:szCs w:val="18"/>
                <w:lang w:eastAsia="es-CR"/>
              </w:rPr>
            </w:pPr>
            <w:r w:rsidRPr="00153951">
              <w:rPr>
                <w:rFonts w:eastAsia="Times New Roman" w:cs="Calibri"/>
                <w:color w:val="000000"/>
                <w:sz w:val="18"/>
                <w:szCs w:val="18"/>
                <w:lang w:eastAsia="es-CR"/>
              </w:rPr>
              <w:t>1.1.4.01.01.04.</w:t>
            </w:r>
          </w:p>
        </w:tc>
        <w:tc>
          <w:tcPr>
            <w:tcW w:w="3774" w:type="dxa"/>
            <w:tcBorders>
              <w:top w:val="nil"/>
              <w:left w:val="nil"/>
              <w:bottom w:val="nil"/>
              <w:right w:val="single" w:sz="8" w:space="0" w:color="auto"/>
            </w:tcBorders>
            <w:shd w:val="clear" w:color="auto" w:fill="auto"/>
            <w:vAlign w:val="bottom"/>
            <w:hideMark/>
          </w:tcPr>
          <w:p w14:paraId="6FAE284A" w14:textId="77777777" w:rsidR="00CD55E7" w:rsidRPr="00153951" w:rsidRDefault="00CD55E7" w:rsidP="0061790F">
            <w:pPr>
              <w:spacing w:after="0" w:line="240" w:lineRule="auto"/>
              <w:jc w:val="left"/>
              <w:rPr>
                <w:rFonts w:eastAsia="Times New Roman" w:cs="Calibri"/>
                <w:color w:val="000000"/>
                <w:sz w:val="18"/>
                <w:szCs w:val="18"/>
                <w:lang w:eastAsia="es-CR"/>
              </w:rPr>
            </w:pPr>
            <w:r w:rsidRPr="00153951">
              <w:rPr>
                <w:rFonts w:eastAsia="Times New Roman" w:cs="Calibri"/>
                <w:color w:val="000000"/>
                <w:sz w:val="18"/>
                <w:szCs w:val="18"/>
                <w:lang w:eastAsia="es-CR"/>
              </w:rPr>
              <w:t>Tintas, pinturas y diluyentes</w:t>
            </w:r>
          </w:p>
        </w:tc>
        <w:tc>
          <w:tcPr>
            <w:tcW w:w="1333" w:type="dxa"/>
            <w:tcBorders>
              <w:top w:val="nil"/>
              <w:left w:val="nil"/>
              <w:bottom w:val="nil"/>
              <w:right w:val="single" w:sz="8" w:space="0" w:color="auto"/>
            </w:tcBorders>
            <w:shd w:val="clear" w:color="000000" w:fill="FFFFFF"/>
            <w:noWrap/>
            <w:vAlign w:val="bottom"/>
            <w:hideMark/>
          </w:tcPr>
          <w:p w14:paraId="074C852A" w14:textId="77777777" w:rsidR="00CD55E7" w:rsidRPr="00153951" w:rsidRDefault="00CD55E7" w:rsidP="0061790F">
            <w:pPr>
              <w:spacing w:after="0" w:line="240" w:lineRule="auto"/>
              <w:jc w:val="right"/>
              <w:rPr>
                <w:rFonts w:eastAsia="Times New Roman" w:cs="Calibri"/>
                <w:color w:val="000000"/>
                <w:sz w:val="18"/>
                <w:szCs w:val="18"/>
                <w:lang w:eastAsia="es-CR"/>
              </w:rPr>
            </w:pPr>
            <w:r w:rsidRPr="00153951">
              <w:rPr>
                <w:rFonts w:eastAsia="Times New Roman" w:cs="Calibri"/>
                <w:color w:val="000000"/>
                <w:sz w:val="18"/>
                <w:szCs w:val="18"/>
                <w:lang w:eastAsia="es-CR"/>
              </w:rPr>
              <w:t>3 080,46</w:t>
            </w:r>
          </w:p>
        </w:tc>
        <w:tc>
          <w:tcPr>
            <w:tcW w:w="1333" w:type="dxa"/>
            <w:tcBorders>
              <w:top w:val="nil"/>
              <w:left w:val="nil"/>
              <w:bottom w:val="nil"/>
              <w:right w:val="single" w:sz="8" w:space="0" w:color="auto"/>
            </w:tcBorders>
            <w:shd w:val="clear" w:color="000000" w:fill="FFFFFF"/>
            <w:noWrap/>
            <w:vAlign w:val="bottom"/>
            <w:hideMark/>
          </w:tcPr>
          <w:p w14:paraId="1D9D4D7D" w14:textId="77777777" w:rsidR="00CD55E7" w:rsidRPr="00153951" w:rsidRDefault="00CD55E7" w:rsidP="0061790F">
            <w:pPr>
              <w:spacing w:after="0" w:line="240" w:lineRule="auto"/>
              <w:jc w:val="right"/>
              <w:rPr>
                <w:rFonts w:eastAsia="Times New Roman" w:cs="Calibri"/>
                <w:color w:val="000000"/>
                <w:sz w:val="18"/>
                <w:szCs w:val="18"/>
                <w:lang w:eastAsia="es-CR"/>
              </w:rPr>
            </w:pPr>
            <w:r w:rsidRPr="00153951">
              <w:rPr>
                <w:rFonts w:eastAsia="Times New Roman" w:cs="Calibri"/>
                <w:color w:val="000000"/>
                <w:sz w:val="18"/>
                <w:szCs w:val="18"/>
                <w:lang w:eastAsia="es-CR"/>
              </w:rPr>
              <w:t>2 002,40</w:t>
            </w:r>
          </w:p>
        </w:tc>
        <w:tc>
          <w:tcPr>
            <w:tcW w:w="1087" w:type="dxa"/>
            <w:tcBorders>
              <w:top w:val="nil"/>
              <w:left w:val="nil"/>
              <w:bottom w:val="nil"/>
              <w:right w:val="nil"/>
            </w:tcBorders>
            <w:shd w:val="clear" w:color="000000" w:fill="FFFFFF"/>
            <w:noWrap/>
            <w:vAlign w:val="bottom"/>
            <w:hideMark/>
          </w:tcPr>
          <w:p w14:paraId="36B274D9" w14:textId="77777777" w:rsidR="00CD55E7" w:rsidRPr="00153951" w:rsidRDefault="00CD55E7" w:rsidP="0061790F">
            <w:pPr>
              <w:spacing w:after="0" w:line="240" w:lineRule="auto"/>
              <w:jc w:val="right"/>
              <w:rPr>
                <w:rFonts w:eastAsia="Times New Roman" w:cs="Calibri"/>
                <w:color w:val="000000"/>
                <w:sz w:val="18"/>
                <w:szCs w:val="18"/>
                <w:lang w:eastAsia="es-CR"/>
              </w:rPr>
            </w:pPr>
            <w:r w:rsidRPr="00153951">
              <w:rPr>
                <w:rFonts w:eastAsia="Times New Roman" w:cs="Calibri"/>
                <w:color w:val="000000"/>
                <w:sz w:val="18"/>
                <w:szCs w:val="18"/>
                <w:lang w:eastAsia="es-CR"/>
              </w:rPr>
              <w:t>1 078,06</w:t>
            </w:r>
          </w:p>
        </w:tc>
        <w:tc>
          <w:tcPr>
            <w:tcW w:w="882" w:type="dxa"/>
            <w:tcBorders>
              <w:top w:val="nil"/>
              <w:left w:val="single" w:sz="8" w:space="0" w:color="auto"/>
              <w:bottom w:val="nil"/>
              <w:right w:val="single" w:sz="8" w:space="0" w:color="auto"/>
            </w:tcBorders>
            <w:shd w:val="clear" w:color="auto" w:fill="auto"/>
            <w:noWrap/>
            <w:vAlign w:val="bottom"/>
            <w:hideMark/>
          </w:tcPr>
          <w:p w14:paraId="77398AC3" w14:textId="77777777" w:rsidR="00CD55E7" w:rsidRPr="00153951" w:rsidRDefault="00CD55E7" w:rsidP="0061790F">
            <w:pPr>
              <w:spacing w:after="0" w:line="240" w:lineRule="auto"/>
              <w:jc w:val="center"/>
              <w:rPr>
                <w:rFonts w:eastAsia="Times New Roman" w:cs="Calibri"/>
                <w:color w:val="000000"/>
                <w:sz w:val="18"/>
                <w:szCs w:val="18"/>
                <w:lang w:eastAsia="es-CR"/>
              </w:rPr>
            </w:pPr>
            <w:r w:rsidRPr="00153951">
              <w:rPr>
                <w:rFonts w:eastAsia="Times New Roman" w:cs="Calibri"/>
                <w:color w:val="000000"/>
                <w:sz w:val="18"/>
                <w:szCs w:val="18"/>
                <w:lang w:eastAsia="es-CR"/>
              </w:rPr>
              <w:t>53,84%</w:t>
            </w:r>
          </w:p>
        </w:tc>
      </w:tr>
      <w:tr w:rsidR="00CD55E7" w:rsidRPr="00153951" w14:paraId="3703C80E" w14:textId="77777777" w:rsidTr="0061790F">
        <w:trPr>
          <w:trHeight w:val="285"/>
        </w:trPr>
        <w:tc>
          <w:tcPr>
            <w:tcW w:w="1031" w:type="dxa"/>
            <w:tcBorders>
              <w:top w:val="nil"/>
              <w:left w:val="single" w:sz="8" w:space="0" w:color="auto"/>
              <w:bottom w:val="nil"/>
              <w:right w:val="single" w:sz="8" w:space="0" w:color="auto"/>
            </w:tcBorders>
            <w:shd w:val="clear" w:color="auto" w:fill="auto"/>
            <w:noWrap/>
            <w:vAlign w:val="bottom"/>
            <w:hideMark/>
          </w:tcPr>
          <w:p w14:paraId="477DCE43" w14:textId="77777777" w:rsidR="00CD55E7" w:rsidRPr="00153951" w:rsidRDefault="00CD55E7" w:rsidP="0061790F">
            <w:pPr>
              <w:spacing w:after="0" w:line="240" w:lineRule="auto"/>
              <w:jc w:val="left"/>
              <w:rPr>
                <w:rFonts w:eastAsia="Times New Roman" w:cs="Calibri"/>
                <w:color w:val="000000"/>
                <w:sz w:val="18"/>
                <w:szCs w:val="18"/>
                <w:lang w:eastAsia="es-CR"/>
              </w:rPr>
            </w:pPr>
            <w:r w:rsidRPr="00153951">
              <w:rPr>
                <w:rFonts w:eastAsia="Times New Roman" w:cs="Calibri"/>
                <w:color w:val="000000"/>
                <w:sz w:val="18"/>
                <w:szCs w:val="18"/>
                <w:lang w:eastAsia="es-CR"/>
              </w:rPr>
              <w:t>1.1.4.01.01.99.</w:t>
            </w:r>
          </w:p>
        </w:tc>
        <w:tc>
          <w:tcPr>
            <w:tcW w:w="3774" w:type="dxa"/>
            <w:tcBorders>
              <w:top w:val="nil"/>
              <w:left w:val="nil"/>
              <w:bottom w:val="nil"/>
              <w:right w:val="single" w:sz="8" w:space="0" w:color="auto"/>
            </w:tcBorders>
            <w:shd w:val="clear" w:color="auto" w:fill="auto"/>
            <w:vAlign w:val="bottom"/>
            <w:hideMark/>
          </w:tcPr>
          <w:p w14:paraId="405EBEAD" w14:textId="77777777" w:rsidR="00CD55E7" w:rsidRPr="00153951" w:rsidRDefault="00CD55E7" w:rsidP="0061790F">
            <w:pPr>
              <w:spacing w:after="0" w:line="240" w:lineRule="auto"/>
              <w:jc w:val="left"/>
              <w:rPr>
                <w:rFonts w:eastAsia="Times New Roman" w:cs="Calibri"/>
                <w:color w:val="000000"/>
                <w:sz w:val="18"/>
                <w:szCs w:val="18"/>
                <w:lang w:eastAsia="es-CR"/>
              </w:rPr>
            </w:pPr>
            <w:r w:rsidRPr="00153951">
              <w:rPr>
                <w:rFonts w:eastAsia="Times New Roman" w:cs="Calibri"/>
                <w:color w:val="000000"/>
                <w:sz w:val="18"/>
                <w:szCs w:val="18"/>
                <w:lang w:eastAsia="es-CR"/>
              </w:rPr>
              <w:t>Otros productos químicos y conexos</w:t>
            </w:r>
          </w:p>
        </w:tc>
        <w:tc>
          <w:tcPr>
            <w:tcW w:w="1333" w:type="dxa"/>
            <w:tcBorders>
              <w:top w:val="nil"/>
              <w:left w:val="nil"/>
              <w:bottom w:val="nil"/>
              <w:right w:val="single" w:sz="8" w:space="0" w:color="auto"/>
            </w:tcBorders>
            <w:shd w:val="clear" w:color="000000" w:fill="FFFFFF"/>
            <w:noWrap/>
            <w:vAlign w:val="bottom"/>
            <w:hideMark/>
          </w:tcPr>
          <w:p w14:paraId="0DC5C0A0" w14:textId="77777777" w:rsidR="00CD55E7" w:rsidRPr="00153951" w:rsidRDefault="00CD55E7" w:rsidP="0061790F">
            <w:pPr>
              <w:spacing w:after="0" w:line="240" w:lineRule="auto"/>
              <w:jc w:val="right"/>
              <w:rPr>
                <w:rFonts w:eastAsia="Times New Roman" w:cs="Calibri"/>
                <w:color w:val="000000"/>
                <w:sz w:val="18"/>
                <w:szCs w:val="18"/>
                <w:lang w:eastAsia="es-CR"/>
              </w:rPr>
            </w:pPr>
            <w:r w:rsidRPr="00153951">
              <w:rPr>
                <w:rFonts w:eastAsia="Times New Roman" w:cs="Calibri"/>
                <w:color w:val="000000"/>
                <w:sz w:val="18"/>
                <w:szCs w:val="18"/>
                <w:lang w:eastAsia="es-CR"/>
              </w:rPr>
              <w:t>358,99</w:t>
            </w:r>
          </w:p>
        </w:tc>
        <w:tc>
          <w:tcPr>
            <w:tcW w:w="1333" w:type="dxa"/>
            <w:tcBorders>
              <w:top w:val="nil"/>
              <w:left w:val="nil"/>
              <w:bottom w:val="nil"/>
              <w:right w:val="single" w:sz="8" w:space="0" w:color="auto"/>
            </w:tcBorders>
            <w:shd w:val="clear" w:color="auto" w:fill="auto"/>
            <w:noWrap/>
            <w:vAlign w:val="bottom"/>
            <w:hideMark/>
          </w:tcPr>
          <w:p w14:paraId="767B826E" w14:textId="77777777" w:rsidR="00CD55E7" w:rsidRPr="00153951" w:rsidRDefault="00CD55E7" w:rsidP="0061790F">
            <w:pPr>
              <w:spacing w:after="0" w:line="240" w:lineRule="auto"/>
              <w:jc w:val="right"/>
              <w:rPr>
                <w:rFonts w:eastAsia="Times New Roman" w:cs="Calibri"/>
                <w:color w:val="000000"/>
                <w:sz w:val="18"/>
                <w:szCs w:val="18"/>
                <w:lang w:eastAsia="es-CR"/>
              </w:rPr>
            </w:pPr>
            <w:r w:rsidRPr="00153951">
              <w:rPr>
                <w:rFonts w:eastAsia="Times New Roman" w:cs="Calibri"/>
                <w:color w:val="000000"/>
                <w:sz w:val="18"/>
                <w:szCs w:val="18"/>
                <w:lang w:eastAsia="es-CR"/>
              </w:rPr>
              <w:t>222,50</w:t>
            </w:r>
          </w:p>
        </w:tc>
        <w:tc>
          <w:tcPr>
            <w:tcW w:w="1087" w:type="dxa"/>
            <w:tcBorders>
              <w:top w:val="nil"/>
              <w:left w:val="nil"/>
              <w:bottom w:val="nil"/>
              <w:right w:val="nil"/>
            </w:tcBorders>
            <w:shd w:val="clear" w:color="000000" w:fill="FFFFFF"/>
            <w:noWrap/>
            <w:vAlign w:val="bottom"/>
            <w:hideMark/>
          </w:tcPr>
          <w:p w14:paraId="7B479AA9" w14:textId="77777777" w:rsidR="00CD55E7" w:rsidRPr="00153951" w:rsidRDefault="00CD55E7" w:rsidP="0061790F">
            <w:pPr>
              <w:spacing w:after="0" w:line="240" w:lineRule="auto"/>
              <w:jc w:val="right"/>
              <w:rPr>
                <w:rFonts w:eastAsia="Times New Roman" w:cs="Calibri"/>
                <w:color w:val="000000"/>
                <w:sz w:val="18"/>
                <w:szCs w:val="18"/>
                <w:lang w:eastAsia="es-CR"/>
              </w:rPr>
            </w:pPr>
            <w:r w:rsidRPr="00153951">
              <w:rPr>
                <w:rFonts w:eastAsia="Times New Roman" w:cs="Calibri"/>
                <w:color w:val="000000"/>
                <w:sz w:val="18"/>
                <w:szCs w:val="18"/>
                <w:lang w:eastAsia="es-CR"/>
              </w:rPr>
              <w:t>136,49</w:t>
            </w:r>
          </w:p>
        </w:tc>
        <w:tc>
          <w:tcPr>
            <w:tcW w:w="882" w:type="dxa"/>
            <w:tcBorders>
              <w:top w:val="nil"/>
              <w:left w:val="single" w:sz="8" w:space="0" w:color="auto"/>
              <w:bottom w:val="single" w:sz="8" w:space="0" w:color="auto"/>
              <w:right w:val="single" w:sz="8" w:space="0" w:color="auto"/>
            </w:tcBorders>
            <w:shd w:val="clear" w:color="auto" w:fill="auto"/>
            <w:noWrap/>
            <w:vAlign w:val="bottom"/>
            <w:hideMark/>
          </w:tcPr>
          <w:p w14:paraId="05054A65" w14:textId="77777777" w:rsidR="00CD55E7" w:rsidRPr="00153951" w:rsidRDefault="00CD55E7" w:rsidP="0061790F">
            <w:pPr>
              <w:spacing w:after="0" w:line="240" w:lineRule="auto"/>
              <w:jc w:val="right"/>
              <w:rPr>
                <w:rFonts w:eastAsia="Times New Roman" w:cs="Calibri"/>
                <w:color w:val="000000"/>
                <w:sz w:val="18"/>
                <w:szCs w:val="18"/>
                <w:lang w:eastAsia="es-CR"/>
              </w:rPr>
            </w:pPr>
            <w:r w:rsidRPr="00153951">
              <w:rPr>
                <w:rFonts w:eastAsia="Times New Roman" w:cs="Calibri"/>
                <w:color w:val="000000"/>
                <w:sz w:val="18"/>
                <w:szCs w:val="18"/>
                <w:lang w:eastAsia="es-CR"/>
              </w:rPr>
              <w:t>61,34%</w:t>
            </w:r>
          </w:p>
        </w:tc>
      </w:tr>
      <w:tr w:rsidR="00CD55E7" w:rsidRPr="00153951" w14:paraId="248EC1A2" w14:textId="77777777" w:rsidTr="0061790F">
        <w:trPr>
          <w:trHeight w:val="555"/>
        </w:trPr>
        <w:tc>
          <w:tcPr>
            <w:tcW w:w="1031" w:type="dxa"/>
            <w:tcBorders>
              <w:top w:val="single" w:sz="8" w:space="0" w:color="auto"/>
              <w:left w:val="single" w:sz="8" w:space="0" w:color="auto"/>
              <w:bottom w:val="single" w:sz="8" w:space="0" w:color="auto"/>
              <w:right w:val="single" w:sz="8" w:space="0" w:color="auto"/>
            </w:tcBorders>
            <w:shd w:val="clear" w:color="000000" w:fill="DBDBDB"/>
            <w:noWrap/>
            <w:vAlign w:val="bottom"/>
            <w:hideMark/>
          </w:tcPr>
          <w:p w14:paraId="271E7FE1" w14:textId="77777777" w:rsidR="00CD55E7" w:rsidRPr="00153951" w:rsidRDefault="00CD55E7" w:rsidP="0061790F">
            <w:pPr>
              <w:spacing w:after="0" w:line="240" w:lineRule="auto"/>
              <w:jc w:val="left"/>
              <w:rPr>
                <w:rFonts w:eastAsia="Times New Roman" w:cs="Calibri"/>
                <w:b/>
                <w:bCs/>
                <w:color w:val="000000"/>
                <w:sz w:val="18"/>
                <w:szCs w:val="18"/>
                <w:lang w:eastAsia="es-CR"/>
              </w:rPr>
            </w:pPr>
            <w:r w:rsidRPr="00153951">
              <w:rPr>
                <w:rFonts w:eastAsia="Times New Roman" w:cs="Calibri"/>
                <w:b/>
                <w:bCs/>
                <w:color w:val="000000"/>
                <w:sz w:val="18"/>
                <w:szCs w:val="18"/>
                <w:lang w:eastAsia="es-CR"/>
              </w:rPr>
              <w:t>1.1.4.01.03.</w:t>
            </w:r>
          </w:p>
        </w:tc>
        <w:tc>
          <w:tcPr>
            <w:tcW w:w="3774" w:type="dxa"/>
            <w:tcBorders>
              <w:top w:val="single" w:sz="8" w:space="0" w:color="auto"/>
              <w:left w:val="nil"/>
              <w:bottom w:val="single" w:sz="8" w:space="0" w:color="auto"/>
              <w:right w:val="single" w:sz="8" w:space="0" w:color="auto"/>
            </w:tcBorders>
            <w:shd w:val="clear" w:color="000000" w:fill="DBDBDB"/>
            <w:vAlign w:val="bottom"/>
            <w:hideMark/>
          </w:tcPr>
          <w:p w14:paraId="581C9674" w14:textId="77777777" w:rsidR="00CD55E7" w:rsidRPr="00153951" w:rsidRDefault="00CD55E7" w:rsidP="0061790F">
            <w:pPr>
              <w:spacing w:after="0" w:line="240" w:lineRule="auto"/>
              <w:jc w:val="left"/>
              <w:rPr>
                <w:rFonts w:eastAsia="Times New Roman" w:cs="Calibri"/>
                <w:b/>
                <w:bCs/>
                <w:color w:val="000000"/>
                <w:sz w:val="18"/>
                <w:szCs w:val="18"/>
                <w:lang w:eastAsia="es-CR"/>
              </w:rPr>
            </w:pPr>
            <w:r w:rsidRPr="00153951">
              <w:rPr>
                <w:rFonts w:eastAsia="Times New Roman" w:cs="Calibri"/>
                <w:b/>
                <w:bCs/>
                <w:color w:val="000000"/>
                <w:sz w:val="18"/>
                <w:szCs w:val="18"/>
                <w:lang w:eastAsia="es-CR"/>
              </w:rPr>
              <w:t>Materiales y productos de uso en la construcción y mantenimiento</w:t>
            </w:r>
          </w:p>
        </w:tc>
        <w:tc>
          <w:tcPr>
            <w:tcW w:w="1333" w:type="dxa"/>
            <w:tcBorders>
              <w:top w:val="single" w:sz="8" w:space="0" w:color="auto"/>
              <w:left w:val="nil"/>
              <w:bottom w:val="single" w:sz="8" w:space="0" w:color="auto"/>
              <w:right w:val="single" w:sz="8" w:space="0" w:color="auto"/>
            </w:tcBorders>
            <w:shd w:val="clear" w:color="000000" w:fill="DBDBDB"/>
            <w:noWrap/>
            <w:vAlign w:val="bottom"/>
            <w:hideMark/>
          </w:tcPr>
          <w:p w14:paraId="5BC4D76D" w14:textId="77777777" w:rsidR="00CD55E7" w:rsidRPr="00153951" w:rsidRDefault="00CD55E7" w:rsidP="0061790F">
            <w:pPr>
              <w:spacing w:after="0" w:line="240" w:lineRule="auto"/>
              <w:jc w:val="right"/>
              <w:rPr>
                <w:rFonts w:eastAsia="Times New Roman" w:cs="Calibri"/>
                <w:b/>
                <w:bCs/>
                <w:color w:val="000000"/>
                <w:sz w:val="18"/>
                <w:szCs w:val="18"/>
                <w:lang w:eastAsia="es-CR"/>
              </w:rPr>
            </w:pPr>
            <w:r w:rsidRPr="00153951">
              <w:rPr>
                <w:rFonts w:ascii="Arial" w:eastAsia="Times New Roman" w:hAnsi="Arial" w:cs="Arial"/>
                <w:b/>
                <w:bCs/>
                <w:color w:val="000000"/>
                <w:sz w:val="18"/>
                <w:szCs w:val="18"/>
                <w:lang w:eastAsia="es-CR"/>
              </w:rPr>
              <w:t>₡</w:t>
            </w:r>
            <w:r w:rsidRPr="00153951">
              <w:rPr>
                <w:rFonts w:eastAsia="Times New Roman" w:cs="Calibri"/>
                <w:b/>
                <w:bCs/>
                <w:color w:val="000000"/>
                <w:sz w:val="18"/>
                <w:szCs w:val="18"/>
                <w:lang w:eastAsia="es-CR"/>
              </w:rPr>
              <w:t>28 770,25</w:t>
            </w:r>
          </w:p>
        </w:tc>
        <w:tc>
          <w:tcPr>
            <w:tcW w:w="1333" w:type="dxa"/>
            <w:tcBorders>
              <w:top w:val="single" w:sz="8" w:space="0" w:color="auto"/>
              <w:left w:val="nil"/>
              <w:bottom w:val="single" w:sz="8" w:space="0" w:color="auto"/>
              <w:right w:val="single" w:sz="8" w:space="0" w:color="auto"/>
            </w:tcBorders>
            <w:shd w:val="clear" w:color="000000" w:fill="DBDBDB"/>
            <w:noWrap/>
            <w:vAlign w:val="bottom"/>
            <w:hideMark/>
          </w:tcPr>
          <w:p w14:paraId="29895108" w14:textId="77777777" w:rsidR="00CD55E7" w:rsidRPr="00153951" w:rsidRDefault="00CD55E7" w:rsidP="0061790F">
            <w:pPr>
              <w:spacing w:after="0" w:line="240" w:lineRule="auto"/>
              <w:jc w:val="right"/>
              <w:rPr>
                <w:rFonts w:eastAsia="Times New Roman" w:cs="Calibri"/>
                <w:b/>
                <w:bCs/>
                <w:color w:val="000000"/>
                <w:sz w:val="18"/>
                <w:szCs w:val="18"/>
                <w:lang w:eastAsia="es-CR"/>
              </w:rPr>
            </w:pPr>
            <w:r w:rsidRPr="00153951">
              <w:rPr>
                <w:rFonts w:ascii="Arial" w:eastAsia="Times New Roman" w:hAnsi="Arial" w:cs="Arial"/>
                <w:b/>
                <w:bCs/>
                <w:color w:val="000000"/>
                <w:sz w:val="18"/>
                <w:szCs w:val="18"/>
                <w:lang w:eastAsia="es-CR"/>
              </w:rPr>
              <w:t>₡</w:t>
            </w:r>
            <w:r w:rsidRPr="00153951">
              <w:rPr>
                <w:rFonts w:eastAsia="Times New Roman" w:cs="Calibri"/>
                <w:b/>
                <w:bCs/>
                <w:color w:val="000000"/>
                <w:sz w:val="18"/>
                <w:szCs w:val="18"/>
                <w:lang w:eastAsia="es-CR"/>
              </w:rPr>
              <w:t>28 639,44</w:t>
            </w:r>
          </w:p>
        </w:tc>
        <w:tc>
          <w:tcPr>
            <w:tcW w:w="1087" w:type="dxa"/>
            <w:tcBorders>
              <w:top w:val="single" w:sz="8" w:space="0" w:color="auto"/>
              <w:left w:val="nil"/>
              <w:bottom w:val="single" w:sz="8" w:space="0" w:color="auto"/>
              <w:right w:val="single" w:sz="8" w:space="0" w:color="auto"/>
            </w:tcBorders>
            <w:shd w:val="clear" w:color="000000" w:fill="DBDBDB"/>
            <w:noWrap/>
            <w:vAlign w:val="bottom"/>
            <w:hideMark/>
          </w:tcPr>
          <w:p w14:paraId="13F670FB" w14:textId="3A821F3E" w:rsidR="00CD55E7" w:rsidRPr="00153951" w:rsidRDefault="00CD55E7" w:rsidP="0061790F">
            <w:pPr>
              <w:spacing w:after="0" w:line="240" w:lineRule="auto"/>
              <w:jc w:val="right"/>
              <w:rPr>
                <w:rFonts w:eastAsia="Times New Roman" w:cs="Calibri"/>
                <w:b/>
                <w:bCs/>
                <w:color w:val="000000"/>
                <w:sz w:val="18"/>
                <w:szCs w:val="18"/>
                <w:lang w:eastAsia="es-CR"/>
              </w:rPr>
            </w:pPr>
            <w:r w:rsidRPr="00153951">
              <w:rPr>
                <w:rFonts w:ascii="Arial" w:eastAsia="Times New Roman" w:hAnsi="Arial" w:cs="Arial"/>
                <w:b/>
                <w:bCs/>
                <w:color w:val="000000"/>
                <w:sz w:val="18"/>
                <w:szCs w:val="18"/>
                <w:lang w:eastAsia="es-CR"/>
              </w:rPr>
              <w:t>₡</w:t>
            </w:r>
            <w:r w:rsidRPr="00153951">
              <w:rPr>
                <w:rFonts w:eastAsia="Times New Roman" w:cs="Calibri"/>
                <w:b/>
                <w:bCs/>
                <w:color w:val="000000"/>
                <w:sz w:val="18"/>
                <w:szCs w:val="18"/>
                <w:lang w:eastAsia="es-CR"/>
              </w:rPr>
              <w:t>1</w:t>
            </w:r>
            <w:r w:rsidR="00796636">
              <w:rPr>
                <w:rFonts w:eastAsia="Times New Roman" w:cs="Calibri"/>
                <w:b/>
                <w:bCs/>
                <w:color w:val="000000"/>
                <w:sz w:val="18"/>
                <w:szCs w:val="18"/>
                <w:lang w:eastAsia="es-CR"/>
              </w:rPr>
              <w:t>31</w:t>
            </w:r>
            <w:r w:rsidRPr="00153951">
              <w:rPr>
                <w:rFonts w:eastAsia="Times New Roman" w:cs="Calibri"/>
                <w:b/>
                <w:bCs/>
                <w:color w:val="000000"/>
                <w:sz w:val="18"/>
                <w:szCs w:val="18"/>
                <w:lang w:eastAsia="es-CR"/>
              </w:rPr>
              <w:t>,82</w:t>
            </w:r>
          </w:p>
        </w:tc>
        <w:tc>
          <w:tcPr>
            <w:tcW w:w="882" w:type="dxa"/>
            <w:tcBorders>
              <w:top w:val="nil"/>
              <w:left w:val="nil"/>
              <w:bottom w:val="nil"/>
              <w:right w:val="single" w:sz="8" w:space="0" w:color="auto"/>
            </w:tcBorders>
            <w:shd w:val="clear" w:color="000000" w:fill="DBDBDB"/>
            <w:noWrap/>
            <w:vAlign w:val="bottom"/>
            <w:hideMark/>
          </w:tcPr>
          <w:p w14:paraId="70591530" w14:textId="77777777" w:rsidR="00CD55E7" w:rsidRPr="00153951" w:rsidRDefault="00CD55E7" w:rsidP="0061790F">
            <w:pPr>
              <w:spacing w:after="0" w:line="240" w:lineRule="auto"/>
              <w:jc w:val="right"/>
              <w:rPr>
                <w:rFonts w:eastAsia="Times New Roman" w:cs="Calibri"/>
                <w:b/>
                <w:bCs/>
                <w:color w:val="000000"/>
                <w:sz w:val="18"/>
                <w:szCs w:val="18"/>
                <w:lang w:eastAsia="es-CR"/>
              </w:rPr>
            </w:pPr>
            <w:r w:rsidRPr="00153951">
              <w:rPr>
                <w:rFonts w:eastAsia="Times New Roman" w:cs="Calibri"/>
                <w:b/>
                <w:bCs/>
                <w:color w:val="000000"/>
                <w:sz w:val="18"/>
                <w:szCs w:val="18"/>
                <w:lang w:eastAsia="es-CR"/>
              </w:rPr>
              <w:t>0,46%</w:t>
            </w:r>
          </w:p>
        </w:tc>
      </w:tr>
      <w:tr w:rsidR="00CD55E7" w:rsidRPr="00153951" w14:paraId="7734339C" w14:textId="77777777" w:rsidTr="0061790F">
        <w:trPr>
          <w:trHeight w:val="240"/>
        </w:trPr>
        <w:tc>
          <w:tcPr>
            <w:tcW w:w="1031" w:type="dxa"/>
            <w:tcBorders>
              <w:top w:val="nil"/>
              <w:left w:val="single" w:sz="8" w:space="0" w:color="auto"/>
              <w:bottom w:val="nil"/>
              <w:right w:val="single" w:sz="8" w:space="0" w:color="auto"/>
            </w:tcBorders>
            <w:shd w:val="clear" w:color="auto" w:fill="auto"/>
            <w:noWrap/>
            <w:vAlign w:val="bottom"/>
            <w:hideMark/>
          </w:tcPr>
          <w:p w14:paraId="13A72C9C" w14:textId="77777777" w:rsidR="00CD55E7" w:rsidRPr="00153951" w:rsidRDefault="00CD55E7" w:rsidP="0061790F">
            <w:pPr>
              <w:spacing w:after="0" w:line="240" w:lineRule="auto"/>
              <w:jc w:val="left"/>
              <w:rPr>
                <w:rFonts w:eastAsia="Times New Roman" w:cs="Calibri"/>
                <w:color w:val="000000"/>
                <w:sz w:val="18"/>
                <w:szCs w:val="18"/>
                <w:lang w:eastAsia="es-CR"/>
              </w:rPr>
            </w:pPr>
            <w:r w:rsidRPr="00153951">
              <w:rPr>
                <w:rFonts w:eastAsia="Times New Roman" w:cs="Calibri"/>
                <w:color w:val="000000"/>
                <w:sz w:val="18"/>
                <w:szCs w:val="18"/>
                <w:lang w:eastAsia="es-CR"/>
              </w:rPr>
              <w:t>1.1.4.01.03.01.</w:t>
            </w:r>
          </w:p>
        </w:tc>
        <w:tc>
          <w:tcPr>
            <w:tcW w:w="3774" w:type="dxa"/>
            <w:tcBorders>
              <w:top w:val="nil"/>
              <w:left w:val="nil"/>
              <w:bottom w:val="nil"/>
              <w:right w:val="single" w:sz="8" w:space="0" w:color="auto"/>
            </w:tcBorders>
            <w:shd w:val="clear" w:color="auto" w:fill="auto"/>
            <w:vAlign w:val="bottom"/>
            <w:hideMark/>
          </w:tcPr>
          <w:p w14:paraId="0F671E76" w14:textId="77777777" w:rsidR="00CD55E7" w:rsidRPr="00153951" w:rsidRDefault="00CD55E7" w:rsidP="0061790F">
            <w:pPr>
              <w:spacing w:after="0" w:line="240" w:lineRule="auto"/>
              <w:jc w:val="left"/>
              <w:rPr>
                <w:rFonts w:eastAsia="Times New Roman" w:cs="Calibri"/>
                <w:color w:val="000000"/>
                <w:sz w:val="18"/>
                <w:szCs w:val="18"/>
                <w:lang w:eastAsia="es-CR"/>
              </w:rPr>
            </w:pPr>
            <w:r w:rsidRPr="00153951">
              <w:rPr>
                <w:rFonts w:eastAsia="Times New Roman" w:cs="Calibri"/>
                <w:color w:val="000000"/>
                <w:sz w:val="18"/>
                <w:szCs w:val="18"/>
                <w:lang w:eastAsia="es-CR"/>
              </w:rPr>
              <w:t>Materiales y productos metálicos</w:t>
            </w:r>
          </w:p>
        </w:tc>
        <w:tc>
          <w:tcPr>
            <w:tcW w:w="1333" w:type="dxa"/>
            <w:tcBorders>
              <w:top w:val="nil"/>
              <w:left w:val="nil"/>
              <w:bottom w:val="nil"/>
              <w:right w:val="single" w:sz="8" w:space="0" w:color="auto"/>
            </w:tcBorders>
            <w:shd w:val="clear" w:color="000000" w:fill="FFFFFF"/>
            <w:noWrap/>
            <w:vAlign w:val="bottom"/>
            <w:hideMark/>
          </w:tcPr>
          <w:p w14:paraId="02085AC8" w14:textId="77777777" w:rsidR="00CD55E7" w:rsidRPr="00153951" w:rsidRDefault="00CD55E7" w:rsidP="0061790F">
            <w:pPr>
              <w:spacing w:after="0" w:line="240" w:lineRule="auto"/>
              <w:jc w:val="right"/>
              <w:rPr>
                <w:rFonts w:eastAsia="Times New Roman" w:cs="Calibri"/>
                <w:color w:val="000000"/>
                <w:sz w:val="18"/>
                <w:szCs w:val="18"/>
                <w:lang w:eastAsia="es-CR"/>
              </w:rPr>
            </w:pPr>
            <w:r w:rsidRPr="00153951">
              <w:rPr>
                <w:rFonts w:eastAsia="Times New Roman" w:cs="Calibri"/>
                <w:color w:val="000000"/>
                <w:sz w:val="18"/>
                <w:szCs w:val="18"/>
                <w:lang w:eastAsia="es-CR"/>
              </w:rPr>
              <w:t>26 483,09</w:t>
            </w:r>
          </w:p>
        </w:tc>
        <w:tc>
          <w:tcPr>
            <w:tcW w:w="1333" w:type="dxa"/>
            <w:tcBorders>
              <w:top w:val="nil"/>
              <w:left w:val="nil"/>
              <w:bottom w:val="nil"/>
              <w:right w:val="single" w:sz="8" w:space="0" w:color="auto"/>
            </w:tcBorders>
            <w:shd w:val="clear" w:color="auto" w:fill="auto"/>
            <w:noWrap/>
            <w:vAlign w:val="bottom"/>
            <w:hideMark/>
          </w:tcPr>
          <w:p w14:paraId="158F49D4" w14:textId="77777777" w:rsidR="00CD55E7" w:rsidRPr="00153951" w:rsidRDefault="00CD55E7" w:rsidP="0061790F">
            <w:pPr>
              <w:spacing w:after="0" w:line="240" w:lineRule="auto"/>
              <w:jc w:val="right"/>
              <w:rPr>
                <w:rFonts w:eastAsia="Times New Roman" w:cs="Calibri"/>
                <w:color w:val="000000"/>
                <w:sz w:val="18"/>
                <w:szCs w:val="18"/>
                <w:lang w:eastAsia="es-CR"/>
              </w:rPr>
            </w:pPr>
            <w:r w:rsidRPr="00153951">
              <w:rPr>
                <w:rFonts w:eastAsia="Times New Roman" w:cs="Calibri"/>
                <w:color w:val="000000"/>
                <w:sz w:val="18"/>
                <w:szCs w:val="18"/>
                <w:lang w:eastAsia="es-CR"/>
              </w:rPr>
              <w:t>25 716,62</w:t>
            </w:r>
          </w:p>
        </w:tc>
        <w:tc>
          <w:tcPr>
            <w:tcW w:w="1087" w:type="dxa"/>
            <w:tcBorders>
              <w:top w:val="nil"/>
              <w:left w:val="nil"/>
              <w:bottom w:val="nil"/>
              <w:right w:val="nil"/>
            </w:tcBorders>
            <w:shd w:val="clear" w:color="000000" w:fill="FFFFFF"/>
            <w:noWrap/>
            <w:vAlign w:val="bottom"/>
            <w:hideMark/>
          </w:tcPr>
          <w:p w14:paraId="35101313" w14:textId="77777777" w:rsidR="00CD55E7" w:rsidRPr="00153951" w:rsidRDefault="00CD55E7" w:rsidP="0061790F">
            <w:pPr>
              <w:spacing w:after="0" w:line="240" w:lineRule="auto"/>
              <w:jc w:val="right"/>
              <w:rPr>
                <w:rFonts w:eastAsia="Times New Roman" w:cs="Calibri"/>
                <w:color w:val="000000"/>
                <w:sz w:val="18"/>
                <w:szCs w:val="18"/>
                <w:lang w:eastAsia="es-CR"/>
              </w:rPr>
            </w:pPr>
            <w:r w:rsidRPr="00153951">
              <w:rPr>
                <w:rFonts w:eastAsia="Times New Roman" w:cs="Calibri"/>
                <w:color w:val="000000"/>
                <w:sz w:val="18"/>
                <w:szCs w:val="18"/>
                <w:lang w:eastAsia="es-CR"/>
              </w:rPr>
              <w:t>766,47</w:t>
            </w:r>
          </w:p>
        </w:tc>
        <w:tc>
          <w:tcPr>
            <w:tcW w:w="882" w:type="dxa"/>
            <w:tcBorders>
              <w:top w:val="single" w:sz="8" w:space="0" w:color="auto"/>
              <w:left w:val="single" w:sz="8" w:space="0" w:color="auto"/>
              <w:bottom w:val="nil"/>
              <w:right w:val="single" w:sz="8" w:space="0" w:color="auto"/>
            </w:tcBorders>
            <w:shd w:val="clear" w:color="auto" w:fill="auto"/>
            <w:noWrap/>
            <w:vAlign w:val="bottom"/>
            <w:hideMark/>
          </w:tcPr>
          <w:p w14:paraId="44B88E34" w14:textId="77777777" w:rsidR="00CD55E7" w:rsidRPr="00153951" w:rsidRDefault="00CD55E7" w:rsidP="0061790F">
            <w:pPr>
              <w:spacing w:after="0" w:line="240" w:lineRule="auto"/>
              <w:jc w:val="right"/>
              <w:rPr>
                <w:rFonts w:eastAsia="Times New Roman" w:cs="Calibri"/>
                <w:color w:val="000000"/>
                <w:sz w:val="18"/>
                <w:szCs w:val="18"/>
                <w:lang w:eastAsia="es-CR"/>
              </w:rPr>
            </w:pPr>
            <w:r w:rsidRPr="00153951">
              <w:rPr>
                <w:rFonts w:eastAsia="Times New Roman" w:cs="Calibri"/>
                <w:color w:val="000000"/>
                <w:sz w:val="18"/>
                <w:szCs w:val="18"/>
                <w:lang w:eastAsia="es-CR"/>
              </w:rPr>
              <w:t>2,98%</w:t>
            </w:r>
          </w:p>
        </w:tc>
      </w:tr>
      <w:tr w:rsidR="00CD55E7" w:rsidRPr="00153951" w14:paraId="6BB434D8" w14:textId="77777777" w:rsidTr="0061790F">
        <w:trPr>
          <w:trHeight w:val="270"/>
        </w:trPr>
        <w:tc>
          <w:tcPr>
            <w:tcW w:w="1031" w:type="dxa"/>
            <w:tcBorders>
              <w:top w:val="nil"/>
              <w:left w:val="single" w:sz="8" w:space="0" w:color="auto"/>
              <w:bottom w:val="nil"/>
              <w:right w:val="single" w:sz="8" w:space="0" w:color="auto"/>
            </w:tcBorders>
            <w:shd w:val="clear" w:color="auto" w:fill="auto"/>
            <w:noWrap/>
            <w:vAlign w:val="bottom"/>
            <w:hideMark/>
          </w:tcPr>
          <w:p w14:paraId="28ACD5E5" w14:textId="77777777" w:rsidR="00CD55E7" w:rsidRPr="00153951" w:rsidRDefault="00CD55E7" w:rsidP="0061790F">
            <w:pPr>
              <w:spacing w:after="0" w:line="240" w:lineRule="auto"/>
              <w:jc w:val="left"/>
              <w:rPr>
                <w:rFonts w:eastAsia="Times New Roman" w:cs="Calibri"/>
                <w:color w:val="000000"/>
                <w:sz w:val="18"/>
                <w:szCs w:val="18"/>
                <w:lang w:eastAsia="es-CR"/>
              </w:rPr>
            </w:pPr>
            <w:r w:rsidRPr="00153951">
              <w:rPr>
                <w:rFonts w:eastAsia="Times New Roman" w:cs="Calibri"/>
                <w:color w:val="000000"/>
                <w:sz w:val="18"/>
                <w:szCs w:val="18"/>
                <w:lang w:eastAsia="es-CR"/>
              </w:rPr>
              <w:t>1.1.4.01.03.02.</w:t>
            </w:r>
          </w:p>
        </w:tc>
        <w:tc>
          <w:tcPr>
            <w:tcW w:w="3774" w:type="dxa"/>
            <w:tcBorders>
              <w:top w:val="nil"/>
              <w:left w:val="nil"/>
              <w:bottom w:val="nil"/>
              <w:right w:val="single" w:sz="8" w:space="0" w:color="auto"/>
            </w:tcBorders>
            <w:shd w:val="clear" w:color="auto" w:fill="auto"/>
            <w:vAlign w:val="bottom"/>
            <w:hideMark/>
          </w:tcPr>
          <w:p w14:paraId="09966D2A" w14:textId="77777777" w:rsidR="00CD55E7" w:rsidRPr="00153951" w:rsidRDefault="00CD55E7" w:rsidP="0061790F">
            <w:pPr>
              <w:spacing w:after="0" w:line="240" w:lineRule="auto"/>
              <w:jc w:val="left"/>
              <w:rPr>
                <w:rFonts w:eastAsia="Times New Roman" w:cs="Calibri"/>
                <w:color w:val="000000"/>
                <w:sz w:val="18"/>
                <w:szCs w:val="18"/>
                <w:lang w:eastAsia="es-CR"/>
              </w:rPr>
            </w:pPr>
            <w:r w:rsidRPr="00153951">
              <w:rPr>
                <w:rFonts w:eastAsia="Times New Roman" w:cs="Calibri"/>
                <w:color w:val="000000"/>
                <w:sz w:val="18"/>
                <w:szCs w:val="18"/>
                <w:lang w:eastAsia="es-CR"/>
              </w:rPr>
              <w:t>Materiales y productos minerales y asfálticos</w:t>
            </w:r>
          </w:p>
        </w:tc>
        <w:tc>
          <w:tcPr>
            <w:tcW w:w="1333" w:type="dxa"/>
            <w:tcBorders>
              <w:top w:val="nil"/>
              <w:left w:val="nil"/>
              <w:bottom w:val="nil"/>
              <w:right w:val="single" w:sz="8" w:space="0" w:color="auto"/>
            </w:tcBorders>
            <w:shd w:val="clear" w:color="000000" w:fill="FFFFFF"/>
            <w:noWrap/>
            <w:vAlign w:val="bottom"/>
            <w:hideMark/>
          </w:tcPr>
          <w:p w14:paraId="6AE695DC" w14:textId="77777777" w:rsidR="00CD55E7" w:rsidRPr="00153951" w:rsidRDefault="00CD55E7" w:rsidP="0061790F">
            <w:pPr>
              <w:spacing w:after="0" w:line="240" w:lineRule="auto"/>
              <w:jc w:val="right"/>
              <w:rPr>
                <w:rFonts w:eastAsia="Times New Roman" w:cs="Calibri"/>
                <w:color w:val="000000"/>
                <w:sz w:val="18"/>
                <w:szCs w:val="18"/>
                <w:lang w:eastAsia="es-CR"/>
              </w:rPr>
            </w:pPr>
            <w:r w:rsidRPr="00153951">
              <w:rPr>
                <w:rFonts w:eastAsia="Times New Roman" w:cs="Calibri"/>
                <w:color w:val="000000"/>
                <w:sz w:val="18"/>
                <w:szCs w:val="18"/>
                <w:lang w:eastAsia="es-CR"/>
              </w:rPr>
              <w:t>1 793,17</w:t>
            </w:r>
          </w:p>
        </w:tc>
        <w:tc>
          <w:tcPr>
            <w:tcW w:w="1333" w:type="dxa"/>
            <w:tcBorders>
              <w:top w:val="nil"/>
              <w:left w:val="nil"/>
              <w:bottom w:val="nil"/>
              <w:right w:val="single" w:sz="8" w:space="0" w:color="auto"/>
            </w:tcBorders>
            <w:shd w:val="clear" w:color="auto" w:fill="auto"/>
            <w:noWrap/>
            <w:vAlign w:val="bottom"/>
            <w:hideMark/>
          </w:tcPr>
          <w:p w14:paraId="2B0FFC34" w14:textId="77777777" w:rsidR="00CD55E7" w:rsidRPr="00153951" w:rsidRDefault="00CD55E7" w:rsidP="0061790F">
            <w:pPr>
              <w:spacing w:after="0" w:line="240" w:lineRule="auto"/>
              <w:jc w:val="right"/>
              <w:rPr>
                <w:rFonts w:eastAsia="Times New Roman" w:cs="Calibri"/>
                <w:color w:val="000000"/>
                <w:sz w:val="18"/>
                <w:szCs w:val="18"/>
                <w:lang w:eastAsia="es-CR"/>
              </w:rPr>
            </w:pPr>
            <w:r w:rsidRPr="00153951">
              <w:rPr>
                <w:rFonts w:eastAsia="Times New Roman" w:cs="Calibri"/>
                <w:color w:val="000000"/>
                <w:sz w:val="18"/>
                <w:szCs w:val="18"/>
                <w:lang w:eastAsia="es-CR"/>
              </w:rPr>
              <w:t>2 055,57</w:t>
            </w:r>
          </w:p>
        </w:tc>
        <w:tc>
          <w:tcPr>
            <w:tcW w:w="1087" w:type="dxa"/>
            <w:tcBorders>
              <w:top w:val="nil"/>
              <w:left w:val="nil"/>
              <w:bottom w:val="nil"/>
              <w:right w:val="nil"/>
            </w:tcBorders>
            <w:shd w:val="clear" w:color="auto" w:fill="auto"/>
            <w:noWrap/>
            <w:vAlign w:val="bottom"/>
            <w:hideMark/>
          </w:tcPr>
          <w:p w14:paraId="1F4B244B" w14:textId="77777777" w:rsidR="00CD55E7" w:rsidRPr="00153951" w:rsidRDefault="00CD55E7" w:rsidP="0061790F">
            <w:pPr>
              <w:spacing w:after="0" w:line="240" w:lineRule="auto"/>
              <w:jc w:val="right"/>
              <w:rPr>
                <w:rFonts w:eastAsia="Times New Roman" w:cs="Calibri"/>
                <w:color w:val="000000"/>
                <w:sz w:val="18"/>
                <w:szCs w:val="18"/>
                <w:lang w:eastAsia="es-CR"/>
              </w:rPr>
            </w:pPr>
            <w:r w:rsidRPr="00153951">
              <w:rPr>
                <w:rFonts w:eastAsia="Times New Roman" w:cs="Calibri"/>
                <w:color w:val="000000"/>
                <w:sz w:val="18"/>
                <w:szCs w:val="18"/>
                <w:lang w:eastAsia="es-CR"/>
              </w:rPr>
              <w:t>-262,40</w:t>
            </w:r>
          </w:p>
        </w:tc>
        <w:tc>
          <w:tcPr>
            <w:tcW w:w="882" w:type="dxa"/>
            <w:tcBorders>
              <w:top w:val="nil"/>
              <w:left w:val="single" w:sz="8" w:space="0" w:color="auto"/>
              <w:bottom w:val="nil"/>
              <w:right w:val="single" w:sz="8" w:space="0" w:color="auto"/>
            </w:tcBorders>
            <w:shd w:val="clear" w:color="auto" w:fill="auto"/>
            <w:noWrap/>
            <w:vAlign w:val="bottom"/>
            <w:hideMark/>
          </w:tcPr>
          <w:p w14:paraId="20BC1D13" w14:textId="77777777" w:rsidR="00CD55E7" w:rsidRPr="00153951" w:rsidRDefault="00CD55E7" w:rsidP="0061790F">
            <w:pPr>
              <w:spacing w:after="0" w:line="240" w:lineRule="auto"/>
              <w:jc w:val="right"/>
              <w:rPr>
                <w:rFonts w:eastAsia="Times New Roman" w:cs="Calibri"/>
                <w:color w:val="000000"/>
                <w:sz w:val="18"/>
                <w:szCs w:val="18"/>
                <w:lang w:eastAsia="es-CR"/>
              </w:rPr>
            </w:pPr>
            <w:r w:rsidRPr="00153951">
              <w:rPr>
                <w:rFonts w:eastAsia="Times New Roman" w:cs="Calibri"/>
                <w:color w:val="000000"/>
                <w:sz w:val="18"/>
                <w:szCs w:val="18"/>
                <w:lang w:eastAsia="es-CR"/>
              </w:rPr>
              <w:t>-12,77%</w:t>
            </w:r>
          </w:p>
        </w:tc>
      </w:tr>
      <w:tr w:rsidR="00CD55E7" w:rsidRPr="00153951" w14:paraId="38F3EE40" w14:textId="77777777" w:rsidTr="0061790F">
        <w:trPr>
          <w:trHeight w:val="270"/>
        </w:trPr>
        <w:tc>
          <w:tcPr>
            <w:tcW w:w="1031" w:type="dxa"/>
            <w:tcBorders>
              <w:top w:val="nil"/>
              <w:left w:val="single" w:sz="8" w:space="0" w:color="auto"/>
              <w:bottom w:val="nil"/>
              <w:right w:val="single" w:sz="8" w:space="0" w:color="auto"/>
            </w:tcBorders>
            <w:shd w:val="clear" w:color="auto" w:fill="auto"/>
            <w:noWrap/>
            <w:vAlign w:val="bottom"/>
            <w:hideMark/>
          </w:tcPr>
          <w:p w14:paraId="7B5C4597" w14:textId="77777777" w:rsidR="00CD55E7" w:rsidRPr="00153951" w:rsidRDefault="00CD55E7" w:rsidP="0061790F">
            <w:pPr>
              <w:spacing w:after="0" w:line="240" w:lineRule="auto"/>
              <w:jc w:val="left"/>
              <w:rPr>
                <w:rFonts w:eastAsia="Times New Roman" w:cs="Calibri"/>
                <w:color w:val="000000"/>
                <w:sz w:val="18"/>
                <w:szCs w:val="18"/>
                <w:lang w:eastAsia="es-CR"/>
              </w:rPr>
            </w:pPr>
            <w:r w:rsidRPr="00153951">
              <w:rPr>
                <w:rFonts w:eastAsia="Times New Roman" w:cs="Calibri"/>
                <w:color w:val="000000"/>
                <w:sz w:val="18"/>
                <w:szCs w:val="18"/>
                <w:lang w:eastAsia="es-CR"/>
              </w:rPr>
              <w:t>1.1.4.01.03.03.</w:t>
            </w:r>
          </w:p>
        </w:tc>
        <w:tc>
          <w:tcPr>
            <w:tcW w:w="3774" w:type="dxa"/>
            <w:tcBorders>
              <w:top w:val="nil"/>
              <w:left w:val="nil"/>
              <w:bottom w:val="nil"/>
              <w:right w:val="single" w:sz="8" w:space="0" w:color="auto"/>
            </w:tcBorders>
            <w:shd w:val="clear" w:color="auto" w:fill="auto"/>
            <w:vAlign w:val="bottom"/>
            <w:hideMark/>
          </w:tcPr>
          <w:p w14:paraId="1DE6AD44" w14:textId="77777777" w:rsidR="00CD55E7" w:rsidRPr="00153951" w:rsidRDefault="00CD55E7" w:rsidP="0061790F">
            <w:pPr>
              <w:spacing w:after="0" w:line="240" w:lineRule="auto"/>
              <w:jc w:val="left"/>
              <w:rPr>
                <w:rFonts w:eastAsia="Times New Roman" w:cs="Calibri"/>
                <w:color w:val="000000"/>
                <w:sz w:val="18"/>
                <w:szCs w:val="18"/>
                <w:lang w:eastAsia="es-CR"/>
              </w:rPr>
            </w:pPr>
            <w:r w:rsidRPr="00153951">
              <w:rPr>
                <w:rFonts w:eastAsia="Times New Roman" w:cs="Calibri"/>
                <w:color w:val="000000"/>
                <w:sz w:val="18"/>
                <w:szCs w:val="18"/>
                <w:lang w:eastAsia="es-CR"/>
              </w:rPr>
              <w:t>Madera y sus derivados</w:t>
            </w:r>
          </w:p>
        </w:tc>
        <w:tc>
          <w:tcPr>
            <w:tcW w:w="1333" w:type="dxa"/>
            <w:tcBorders>
              <w:top w:val="nil"/>
              <w:left w:val="nil"/>
              <w:bottom w:val="nil"/>
              <w:right w:val="single" w:sz="8" w:space="0" w:color="auto"/>
            </w:tcBorders>
            <w:shd w:val="clear" w:color="000000" w:fill="FFFFFF"/>
            <w:noWrap/>
            <w:vAlign w:val="bottom"/>
            <w:hideMark/>
          </w:tcPr>
          <w:p w14:paraId="3591C379" w14:textId="77777777" w:rsidR="00CD55E7" w:rsidRPr="00153951" w:rsidRDefault="00CD55E7" w:rsidP="0061790F">
            <w:pPr>
              <w:spacing w:after="0" w:line="240" w:lineRule="auto"/>
              <w:jc w:val="right"/>
              <w:rPr>
                <w:rFonts w:eastAsia="Times New Roman" w:cs="Calibri"/>
                <w:color w:val="000000"/>
                <w:sz w:val="18"/>
                <w:szCs w:val="18"/>
                <w:lang w:eastAsia="es-CR"/>
              </w:rPr>
            </w:pPr>
            <w:r w:rsidRPr="00153951">
              <w:rPr>
                <w:rFonts w:eastAsia="Times New Roman" w:cs="Calibri"/>
                <w:color w:val="000000"/>
                <w:sz w:val="18"/>
                <w:szCs w:val="18"/>
                <w:lang w:eastAsia="es-CR"/>
              </w:rPr>
              <w:t>206,19</w:t>
            </w:r>
          </w:p>
        </w:tc>
        <w:tc>
          <w:tcPr>
            <w:tcW w:w="1333" w:type="dxa"/>
            <w:tcBorders>
              <w:top w:val="nil"/>
              <w:left w:val="nil"/>
              <w:bottom w:val="nil"/>
              <w:right w:val="single" w:sz="8" w:space="0" w:color="auto"/>
            </w:tcBorders>
            <w:shd w:val="clear" w:color="auto" w:fill="auto"/>
            <w:noWrap/>
            <w:vAlign w:val="bottom"/>
            <w:hideMark/>
          </w:tcPr>
          <w:p w14:paraId="3404D485" w14:textId="77777777" w:rsidR="00CD55E7" w:rsidRPr="00153951" w:rsidRDefault="00CD55E7" w:rsidP="0061790F">
            <w:pPr>
              <w:spacing w:after="0" w:line="240" w:lineRule="auto"/>
              <w:jc w:val="right"/>
              <w:rPr>
                <w:rFonts w:eastAsia="Times New Roman" w:cs="Calibri"/>
                <w:color w:val="000000"/>
                <w:sz w:val="18"/>
                <w:szCs w:val="18"/>
                <w:lang w:eastAsia="es-CR"/>
              </w:rPr>
            </w:pPr>
            <w:r w:rsidRPr="00153951">
              <w:rPr>
                <w:rFonts w:eastAsia="Times New Roman" w:cs="Calibri"/>
                <w:color w:val="000000"/>
                <w:sz w:val="18"/>
                <w:szCs w:val="18"/>
                <w:lang w:eastAsia="es-CR"/>
              </w:rPr>
              <w:t>582,61</w:t>
            </w:r>
          </w:p>
        </w:tc>
        <w:tc>
          <w:tcPr>
            <w:tcW w:w="1087" w:type="dxa"/>
            <w:tcBorders>
              <w:top w:val="nil"/>
              <w:left w:val="nil"/>
              <w:bottom w:val="nil"/>
              <w:right w:val="nil"/>
            </w:tcBorders>
            <w:shd w:val="clear" w:color="auto" w:fill="auto"/>
            <w:noWrap/>
            <w:vAlign w:val="bottom"/>
            <w:hideMark/>
          </w:tcPr>
          <w:p w14:paraId="3859CACF" w14:textId="77777777" w:rsidR="00CD55E7" w:rsidRPr="00153951" w:rsidRDefault="00CD55E7" w:rsidP="0061790F">
            <w:pPr>
              <w:spacing w:after="0" w:line="240" w:lineRule="auto"/>
              <w:jc w:val="right"/>
              <w:rPr>
                <w:rFonts w:eastAsia="Times New Roman" w:cs="Calibri"/>
                <w:color w:val="000000"/>
                <w:sz w:val="18"/>
                <w:szCs w:val="18"/>
                <w:lang w:eastAsia="es-CR"/>
              </w:rPr>
            </w:pPr>
            <w:r w:rsidRPr="00153951">
              <w:rPr>
                <w:rFonts w:eastAsia="Times New Roman" w:cs="Calibri"/>
                <w:color w:val="000000"/>
                <w:sz w:val="18"/>
                <w:szCs w:val="18"/>
                <w:lang w:eastAsia="es-CR"/>
              </w:rPr>
              <w:t>-376,42</w:t>
            </w:r>
          </w:p>
        </w:tc>
        <w:tc>
          <w:tcPr>
            <w:tcW w:w="882" w:type="dxa"/>
            <w:tcBorders>
              <w:top w:val="nil"/>
              <w:left w:val="single" w:sz="8" w:space="0" w:color="auto"/>
              <w:bottom w:val="nil"/>
              <w:right w:val="single" w:sz="8" w:space="0" w:color="auto"/>
            </w:tcBorders>
            <w:shd w:val="clear" w:color="auto" w:fill="auto"/>
            <w:noWrap/>
            <w:vAlign w:val="bottom"/>
            <w:hideMark/>
          </w:tcPr>
          <w:p w14:paraId="67C62E87" w14:textId="77777777" w:rsidR="00CD55E7" w:rsidRPr="00153951" w:rsidRDefault="00CD55E7" w:rsidP="0061790F">
            <w:pPr>
              <w:spacing w:after="0" w:line="240" w:lineRule="auto"/>
              <w:jc w:val="right"/>
              <w:rPr>
                <w:rFonts w:eastAsia="Times New Roman" w:cs="Calibri"/>
                <w:color w:val="000000"/>
                <w:sz w:val="18"/>
                <w:szCs w:val="18"/>
                <w:lang w:eastAsia="es-CR"/>
              </w:rPr>
            </w:pPr>
            <w:r w:rsidRPr="00153951">
              <w:rPr>
                <w:rFonts w:eastAsia="Times New Roman" w:cs="Calibri"/>
                <w:color w:val="000000"/>
                <w:sz w:val="18"/>
                <w:szCs w:val="18"/>
                <w:lang w:eastAsia="es-CR"/>
              </w:rPr>
              <w:t>-64,61%</w:t>
            </w:r>
          </w:p>
        </w:tc>
      </w:tr>
      <w:tr w:rsidR="00CD55E7" w:rsidRPr="00153951" w14:paraId="3ADD6F76" w14:textId="77777777" w:rsidTr="0061790F">
        <w:trPr>
          <w:trHeight w:val="540"/>
        </w:trPr>
        <w:tc>
          <w:tcPr>
            <w:tcW w:w="1031" w:type="dxa"/>
            <w:tcBorders>
              <w:top w:val="nil"/>
              <w:left w:val="single" w:sz="8" w:space="0" w:color="auto"/>
              <w:bottom w:val="nil"/>
              <w:right w:val="single" w:sz="8" w:space="0" w:color="auto"/>
            </w:tcBorders>
            <w:shd w:val="clear" w:color="auto" w:fill="auto"/>
            <w:noWrap/>
            <w:vAlign w:val="bottom"/>
            <w:hideMark/>
          </w:tcPr>
          <w:p w14:paraId="0107D4BC" w14:textId="77777777" w:rsidR="00CD55E7" w:rsidRPr="00153951" w:rsidRDefault="00CD55E7" w:rsidP="0061790F">
            <w:pPr>
              <w:spacing w:after="0" w:line="240" w:lineRule="auto"/>
              <w:jc w:val="left"/>
              <w:rPr>
                <w:rFonts w:eastAsia="Times New Roman" w:cs="Calibri"/>
                <w:color w:val="000000"/>
                <w:sz w:val="18"/>
                <w:szCs w:val="18"/>
                <w:lang w:eastAsia="es-CR"/>
              </w:rPr>
            </w:pPr>
            <w:r w:rsidRPr="00153951">
              <w:rPr>
                <w:rFonts w:eastAsia="Times New Roman" w:cs="Calibri"/>
                <w:color w:val="000000"/>
                <w:sz w:val="18"/>
                <w:szCs w:val="18"/>
                <w:lang w:eastAsia="es-CR"/>
              </w:rPr>
              <w:t>1.1.4.01.03.04.</w:t>
            </w:r>
          </w:p>
        </w:tc>
        <w:tc>
          <w:tcPr>
            <w:tcW w:w="3774" w:type="dxa"/>
            <w:tcBorders>
              <w:top w:val="nil"/>
              <w:left w:val="nil"/>
              <w:bottom w:val="nil"/>
              <w:right w:val="single" w:sz="8" w:space="0" w:color="auto"/>
            </w:tcBorders>
            <w:shd w:val="clear" w:color="auto" w:fill="auto"/>
            <w:vAlign w:val="bottom"/>
            <w:hideMark/>
          </w:tcPr>
          <w:p w14:paraId="2478EEB7" w14:textId="77777777" w:rsidR="00CD55E7" w:rsidRPr="00153951" w:rsidRDefault="00CD55E7" w:rsidP="0061790F">
            <w:pPr>
              <w:spacing w:after="0" w:line="240" w:lineRule="auto"/>
              <w:jc w:val="left"/>
              <w:rPr>
                <w:rFonts w:eastAsia="Times New Roman" w:cs="Calibri"/>
                <w:color w:val="000000"/>
                <w:sz w:val="18"/>
                <w:szCs w:val="18"/>
                <w:lang w:eastAsia="es-CR"/>
              </w:rPr>
            </w:pPr>
            <w:r w:rsidRPr="00153951">
              <w:rPr>
                <w:rFonts w:eastAsia="Times New Roman" w:cs="Calibri"/>
                <w:color w:val="000000"/>
                <w:sz w:val="18"/>
                <w:szCs w:val="18"/>
                <w:lang w:eastAsia="es-CR"/>
              </w:rPr>
              <w:t>Materiales y productos eléctricos, telefónicos y de cómputo</w:t>
            </w:r>
          </w:p>
        </w:tc>
        <w:tc>
          <w:tcPr>
            <w:tcW w:w="1333" w:type="dxa"/>
            <w:tcBorders>
              <w:top w:val="nil"/>
              <w:left w:val="nil"/>
              <w:bottom w:val="nil"/>
              <w:right w:val="single" w:sz="8" w:space="0" w:color="auto"/>
            </w:tcBorders>
            <w:shd w:val="clear" w:color="000000" w:fill="FFFFFF"/>
            <w:noWrap/>
            <w:vAlign w:val="bottom"/>
            <w:hideMark/>
          </w:tcPr>
          <w:p w14:paraId="4E6AA1B8" w14:textId="77777777" w:rsidR="00CD55E7" w:rsidRPr="00153951" w:rsidRDefault="00CD55E7" w:rsidP="0061790F">
            <w:pPr>
              <w:spacing w:after="0" w:line="240" w:lineRule="auto"/>
              <w:jc w:val="right"/>
              <w:rPr>
                <w:rFonts w:eastAsia="Times New Roman" w:cs="Calibri"/>
                <w:color w:val="000000"/>
                <w:sz w:val="18"/>
                <w:szCs w:val="18"/>
                <w:lang w:eastAsia="es-CR"/>
              </w:rPr>
            </w:pPr>
            <w:r w:rsidRPr="00153951">
              <w:rPr>
                <w:rFonts w:eastAsia="Times New Roman" w:cs="Calibri"/>
                <w:color w:val="000000"/>
                <w:sz w:val="18"/>
                <w:szCs w:val="18"/>
                <w:lang w:eastAsia="es-CR"/>
              </w:rPr>
              <w:t>175,52</w:t>
            </w:r>
          </w:p>
        </w:tc>
        <w:tc>
          <w:tcPr>
            <w:tcW w:w="1333" w:type="dxa"/>
            <w:tcBorders>
              <w:top w:val="nil"/>
              <w:left w:val="nil"/>
              <w:bottom w:val="nil"/>
              <w:right w:val="single" w:sz="8" w:space="0" w:color="auto"/>
            </w:tcBorders>
            <w:shd w:val="clear" w:color="auto" w:fill="auto"/>
            <w:noWrap/>
            <w:vAlign w:val="bottom"/>
            <w:hideMark/>
          </w:tcPr>
          <w:p w14:paraId="6BCB00DF" w14:textId="77777777" w:rsidR="00CD55E7" w:rsidRPr="00153951" w:rsidRDefault="00CD55E7" w:rsidP="0061790F">
            <w:pPr>
              <w:spacing w:after="0" w:line="240" w:lineRule="auto"/>
              <w:jc w:val="right"/>
              <w:rPr>
                <w:rFonts w:eastAsia="Times New Roman" w:cs="Calibri"/>
                <w:color w:val="000000"/>
                <w:sz w:val="18"/>
                <w:szCs w:val="18"/>
                <w:lang w:eastAsia="es-CR"/>
              </w:rPr>
            </w:pPr>
            <w:r w:rsidRPr="00153951">
              <w:rPr>
                <w:rFonts w:eastAsia="Times New Roman" w:cs="Calibri"/>
                <w:color w:val="000000"/>
                <w:sz w:val="18"/>
                <w:szCs w:val="18"/>
                <w:lang w:eastAsia="es-CR"/>
              </w:rPr>
              <w:t>135,91</w:t>
            </w:r>
          </w:p>
        </w:tc>
        <w:tc>
          <w:tcPr>
            <w:tcW w:w="1087" w:type="dxa"/>
            <w:tcBorders>
              <w:top w:val="nil"/>
              <w:left w:val="nil"/>
              <w:bottom w:val="nil"/>
              <w:right w:val="nil"/>
            </w:tcBorders>
            <w:shd w:val="clear" w:color="auto" w:fill="auto"/>
            <w:noWrap/>
            <w:vAlign w:val="bottom"/>
            <w:hideMark/>
          </w:tcPr>
          <w:p w14:paraId="65ED5841" w14:textId="77777777" w:rsidR="00CD55E7" w:rsidRPr="00153951" w:rsidRDefault="00CD55E7" w:rsidP="0061790F">
            <w:pPr>
              <w:spacing w:after="0" w:line="240" w:lineRule="auto"/>
              <w:jc w:val="right"/>
              <w:rPr>
                <w:rFonts w:eastAsia="Times New Roman" w:cs="Calibri"/>
                <w:color w:val="000000"/>
                <w:sz w:val="18"/>
                <w:szCs w:val="18"/>
                <w:lang w:eastAsia="es-CR"/>
              </w:rPr>
            </w:pPr>
            <w:r w:rsidRPr="00153951">
              <w:rPr>
                <w:rFonts w:eastAsia="Times New Roman" w:cs="Calibri"/>
                <w:color w:val="000000"/>
                <w:sz w:val="18"/>
                <w:szCs w:val="18"/>
                <w:lang w:eastAsia="es-CR"/>
              </w:rPr>
              <w:t>39,61</w:t>
            </w:r>
          </w:p>
        </w:tc>
        <w:tc>
          <w:tcPr>
            <w:tcW w:w="882" w:type="dxa"/>
            <w:tcBorders>
              <w:top w:val="nil"/>
              <w:left w:val="single" w:sz="8" w:space="0" w:color="auto"/>
              <w:bottom w:val="nil"/>
              <w:right w:val="single" w:sz="8" w:space="0" w:color="auto"/>
            </w:tcBorders>
            <w:shd w:val="clear" w:color="auto" w:fill="auto"/>
            <w:noWrap/>
            <w:vAlign w:val="bottom"/>
            <w:hideMark/>
          </w:tcPr>
          <w:p w14:paraId="5D5FAF85" w14:textId="77777777" w:rsidR="00CD55E7" w:rsidRPr="00153951" w:rsidRDefault="00CD55E7" w:rsidP="0061790F">
            <w:pPr>
              <w:spacing w:after="0" w:line="240" w:lineRule="auto"/>
              <w:jc w:val="right"/>
              <w:rPr>
                <w:rFonts w:eastAsia="Times New Roman" w:cs="Calibri"/>
                <w:color w:val="000000"/>
                <w:sz w:val="18"/>
                <w:szCs w:val="18"/>
                <w:lang w:eastAsia="es-CR"/>
              </w:rPr>
            </w:pPr>
            <w:r w:rsidRPr="00153951">
              <w:rPr>
                <w:rFonts w:eastAsia="Times New Roman" w:cs="Calibri"/>
                <w:color w:val="000000"/>
                <w:sz w:val="18"/>
                <w:szCs w:val="18"/>
                <w:lang w:eastAsia="es-CR"/>
              </w:rPr>
              <w:t>29,14%</w:t>
            </w:r>
          </w:p>
        </w:tc>
      </w:tr>
      <w:tr w:rsidR="00CD55E7" w:rsidRPr="00153951" w14:paraId="4530A0E2" w14:textId="77777777" w:rsidTr="0061790F">
        <w:trPr>
          <w:trHeight w:val="285"/>
        </w:trPr>
        <w:tc>
          <w:tcPr>
            <w:tcW w:w="1031" w:type="dxa"/>
            <w:tcBorders>
              <w:top w:val="nil"/>
              <w:left w:val="single" w:sz="8" w:space="0" w:color="auto"/>
              <w:bottom w:val="nil"/>
              <w:right w:val="single" w:sz="8" w:space="0" w:color="auto"/>
            </w:tcBorders>
            <w:shd w:val="clear" w:color="auto" w:fill="auto"/>
            <w:noWrap/>
            <w:vAlign w:val="bottom"/>
            <w:hideMark/>
          </w:tcPr>
          <w:p w14:paraId="5C09DC28" w14:textId="77777777" w:rsidR="00CD55E7" w:rsidRPr="00153951" w:rsidRDefault="00CD55E7" w:rsidP="0061790F">
            <w:pPr>
              <w:spacing w:after="0" w:line="240" w:lineRule="auto"/>
              <w:jc w:val="left"/>
              <w:rPr>
                <w:rFonts w:eastAsia="Times New Roman" w:cs="Calibri"/>
                <w:color w:val="000000"/>
                <w:sz w:val="18"/>
                <w:szCs w:val="18"/>
                <w:lang w:eastAsia="es-CR"/>
              </w:rPr>
            </w:pPr>
            <w:r w:rsidRPr="00153951">
              <w:rPr>
                <w:rFonts w:eastAsia="Times New Roman" w:cs="Calibri"/>
                <w:color w:val="000000"/>
                <w:sz w:val="18"/>
                <w:szCs w:val="18"/>
                <w:lang w:eastAsia="es-CR"/>
              </w:rPr>
              <w:t>1.1.4.01.03.06.</w:t>
            </w:r>
          </w:p>
        </w:tc>
        <w:tc>
          <w:tcPr>
            <w:tcW w:w="3774" w:type="dxa"/>
            <w:tcBorders>
              <w:top w:val="nil"/>
              <w:left w:val="nil"/>
              <w:bottom w:val="nil"/>
              <w:right w:val="single" w:sz="8" w:space="0" w:color="auto"/>
            </w:tcBorders>
            <w:shd w:val="clear" w:color="auto" w:fill="auto"/>
            <w:vAlign w:val="bottom"/>
            <w:hideMark/>
          </w:tcPr>
          <w:p w14:paraId="014FBFA7" w14:textId="77777777" w:rsidR="00CD55E7" w:rsidRPr="00153951" w:rsidRDefault="00CD55E7" w:rsidP="0061790F">
            <w:pPr>
              <w:spacing w:after="0" w:line="240" w:lineRule="auto"/>
              <w:jc w:val="left"/>
              <w:rPr>
                <w:rFonts w:eastAsia="Times New Roman" w:cs="Calibri"/>
                <w:color w:val="000000"/>
                <w:sz w:val="18"/>
                <w:szCs w:val="18"/>
                <w:lang w:eastAsia="es-CR"/>
              </w:rPr>
            </w:pPr>
            <w:r w:rsidRPr="00153951">
              <w:rPr>
                <w:rFonts w:eastAsia="Times New Roman" w:cs="Calibri"/>
                <w:color w:val="000000"/>
                <w:sz w:val="18"/>
                <w:szCs w:val="18"/>
                <w:lang w:eastAsia="es-CR"/>
              </w:rPr>
              <w:t>Materiales y productos de plástico</w:t>
            </w:r>
          </w:p>
        </w:tc>
        <w:tc>
          <w:tcPr>
            <w:tcW w:w="1333" w:type="dxa"/>
            <w:tcBorders>
              <w:top w:val="nil"/>
              <w:left w:val="nil"/>
              <w:bottom w:val="nil"/>
              <w:right w:val="single" w:sz="8" w:space="0" w:color="auto"/>
            </w:tcBorders>
            <w:shd w:val="clear" w:color="000000" w:fill="FFFFFF"/>
            <w:noWrap/>
            <w:vAlign w:val="bottom"/>
            <w:hideMark/>
          </w:tcPr>
          <w:p w14:paraId="6B782A54" w14:textId="77777777" w:rsidR="00CD55E7" w:rsidRPr="00153951" w:rsidRDefault="00CD55E7" w:rsidP="0061790F">
            <w:pPr>
              <w:spacing w:after="0" w:line="240" w:lineRule="auto"/>
              <w:jc w:val="right"/>
              <w:rPr>
                <w:rFonts w:eastAsia="Times New Roman" w:cs="Calibri"/>
                <w:color w:val="000000"/>
                <w:sz w:val="18"/>
                <w:szCs w:val="18"/>
                <w:lang w:eastAsia="es-CR"/>
              </w:rPr>
            </w:pPr>
            <w:r w:rsidRPr="00153951">
              <w:rPr>
                <w:rFonts w:eastAsia="Times New Roman" w:cs="Calibri"/>
                <w:color w:val="000000"/>
                <w:sz w:val="18"/>
                <w:szCs w:val="18"/>
                <w:lang w:eastAsia="es-CR"/>
              </w:rPr>
              <w:t>112,28</w:t>
            </w:r>
          </w:p>
        </w:tc>
        <w:tc>
          <w:tcPr>
            <w:tcW w:w="1333" w:type="dxa"/>
            <w:tcBorders>
              <w:top w:val="nil"/>
              <w:left w:val="nil"/>
              <w:bottom w:val="nil"/>
              <w:right w:val="single" w:sz="8" w:space="0" w:color="auto"/>
            </w:tcBorders>
            <w:shd w:val="clear" w:color="auto" w:fill="auto"/>
            <w:noWrap/>
            <w:vAlign w:val="bottom"/>
            <w:hideMark/>
          </w:tcPr>
          <w:p w14:paraId="7BFCCF5A" w14:textId="77777777" w:rsidR="00CD55E7" w:rsidRPr="00153951" w:rsidRDefault="00CD55E7" w:rsidP="0061790F">
            <w:pPr>
              <w:spacing w:after="0" w:line="240" w:lineRule="auto"/>
              <w:jc w:val="right"/>
              <w:rPr>
                <w:rFonts w:eastAsia="Times New Roman" w:cs="Calibri"/>
                <w:color w:val="000000"/>
                <w:sz w:val="18"/>
                <w:szCs w:val="18"/>
                <w:lang w:eastAsia="es-CR"/>
              </w:rPr>
            </w:pPr>
            <w:r w:rsidRPr="00153951">
              <w:rPr>
                <w:rFonts w:eastAsia="Times New Roman" w:cs="Calibri"/>
                <w:color w:val="000000"/>
                <w:sz w:val="18"/>
                <w:szCs w:val="18"/>
                <w:lang w:eastAsia="es-CR"/>
              </w:rPr>
              <w:t>148,72</w:t>
            </w:r>
          </w:p>
        </w:tc>
        <w:tc>
          <w:tcPr>
            <w:tcW w:w="1087" w:type="dxa"/>
            <w:tcBorders>
              <w:top w:val="nil"/>
              <w:left w:val="nil"/>
              <w:bottom w:val="nil"/>
              <w:right w:val="nil"/>
            </w:tcBorders>
            <w:shd w:val="clear" w:color="auto" w:fill="auto"/>
            <w:noWrap/>
            <w:vAlign w:val="bottom"/>
            <w:hideMark/>
          </w:tcPr>
          <w:p w14:paraId="2CAB9839" w14:textId="77777777" w:rsidR="00CD55E7" w:rsidRPr="00153951" w:rsidRDefault="00CD55E7" w:rsidP="0061790F">
            <w:pPr>
              <w:spacing w:after="0" w:line="240" w:lineRule="auto"/>
              <w:jc w:val="right"/>
              <w:rPr>
                <w:rFonts w:eastAsia="Times New Roman" w:cs="Calibri"/>
                <w:color w:val="000000"/>
                <w:sz w:val="18"/>
                <w:szCs w:val="18"/>
                <w:lang w:eastAsia="es-CR"/>
              </w:rPr>
            </w:pPr>
            <w:r w:rsidRPr="00153951">
              <w:rPr>
                <w:rFonts w:eastAsia="Times New Roman" w:cs="Calibri"/>
                <w:color w:val="000000"/>
                <w:sz w:val="18"/>
                <w:szCs w:val="18"/>
                <w:lang w:eastAsia="es-CR"/>
              </w:rPr>
              <w:t>-36,44</w:t>
            </w:r>
          </w:p>
        </w:tc>
        <w:tc>
          <w:tcPr>
            <w:tcW w:w="882" w:type="dxa"/>
            <w:tcBorders>
              <w:top w:val="nil"/>
              <w:left w:val="single" w:sz="8" w:space="0" w:color="auto"/>
              <w:bottom w:val="single" w:sz="8" w:space="0" w:color="auto"/>
              <w:right w:val="single" w:sz="8" w:space="0" w:color="auto"/>
            </w:tcBorders>
            <w:shd w:val="clear" w:color="auto" w:fill="auto"/>
            <w:noWrap/>
            <w:vAlign w:val="bottom"/>
            <w:hideMark/>
          </w:tcPr>
          <w:p w14:paraId="4DFB852B" w14:textId="77777777" w:rsidR="00CD55E7" w:rsidRPr="00153951" w:rsidRDefault="00CD55E7" w:rsidP="0061790F">
            <w:pPr>
              <w:spacing w:after="0" w:line="240" w:lineRule="auto"/>
              <w:jc w:val="right"/>
              <w:rPr>
                <w:rFonts w:eastAsia="Times New Roman" w:cs="Calibri"/>
                <w:color w:val="000000"/>
                <w:sz w:val="18"/>
                <w:szCs w:val="18"/>
                <w:lang w:eastAsia="es-CR"/>
              </w:rPr>
            </w:pPr>
            <w:r w:rsidRPr="00153951">
              <w:rPr>
                <w:rFonts w:eastAsia="Times New Roman" w:cs="Calibri"/>
                <w:color w:val="000000"/>
                <w:sz w:val="18"/>
                <w:szCs w:val="18"/>
                <w:lang w:eastAsia="es-CR"/>
              </w:rPr>
              <w:t>-24,50%</w:t>
            </w:r>
          </w:p>
        </w:tc>
      </w:tr>
      <w:tr w:rsidR="00CD55E7" w:rsidRPr="00153951" w14:paraId="5CE790D2" w14:textId="77777777" w:rsidTr="0061790F">
        <w:trPr>
          <w:trHeight w:val="285"/>
        </w:trPr>
        <w:tc>
          <w:tcPr>
            <w:tcW w:w="1031" w:type="dxa"/>
            <w:tcBorders>
              <w:top w:val="single" w:sz="8" w:space="0" w:color="auto"/>
              <w:left w:val="single" w:sz="8" w:space="0" w:color="auto"/>
              <w:bottom w:val="single" w:sz="8" w:space="0" w:color="auto"/>
              <w:right w:val="single" w:sz="8" w:space="0" w:color="auto"/>
            </w:tcBorders>
            <w:shd w:val="clear" w:color="000000" w:fill="DBDBDB"/>
            <w:noWrap/>
            <w:vAlign w:val="bottom"/>
            <w:hideMark/>
          </w:tcPr>
          <w:p w14:paraId="7598C4E8" w14:textId="77777777" w:rsidR="00CD55E7" w:rsidRPr="00153951" w:rsidRDefault="00CD55E7" w:rsidP="0061790F">
            <w:pPr>
              <w:spacing w:after="0" w:line="240" w:lineRule="auto"/>
              <w:jc w:val="left"/>
              <w:rPr>
                <w:rFonts w:eastAsia="Times New Roman" w:cs="Calibri"/>
                <w:b/>
                <w:bCs/>
                <w:color w:val="000000"/>
                <w:sz w:val="18"/>
                <w:szCs w:val="18"/>
                <w:lang w:eastAsia="es-CR"/>
              </w:rPr>
            </w:pPr>
            <w:r w:rsidRPr="00153951">
              <w:rPr>
                <w:rFonts w:eastAsia="Times New Roman" w:cs="Calibri"/>
                <w:b/>
                <w:bCs/>
                <w:color w:val="000000"/>
                <w:sz w:val="18"/>
                <w:szCs w:val="18"/>
                <w:lang w:eastAsia="es-CR"/>
              </w:rPr>
              <w:t>1.1.4.01.04.</w:t>
            </w:r>
          </w:p>
        </w:tc>
        <w:tc>
          <w:tcPr>
            <w:tcW w:w="3774" w:type="dxa"/>
            <w:tcBorders>
              <w:top w:val="single" w:sz="8" w:space="0" w:color="auto"/>
              <w:left w:val="nil"/>
              <w:bottom w:val="single" w:sz="8" w:space="0" w:color="auto"/>
              <w:right w:val="single" w:sz="8" w:space="0" w:color="auto"/>
            </w:tcBorders>
            <w:shd w:val="clear" w:color="000000" w:fill="DBDBDB"/>
            <w:vAlign w:val="bottom"/>
            <w:hideMark/>
          </w:tcPr>
          <w:p w14:paraId="00C6EB13" w14:textId="77777777" w:rsidR="00CD55E7" w:rsidRPr="00153951" w:rsidRDefault="00CD55E7" w:rsidP="0061790F">
            <w:pPr>
              <w:spacing w:after="0" w:line="240" w:lineRule="auto"/>
              <w:jc w:val="left"/>
              <w:rPr>
                <w:rFonts w:eastAsia="Times New Roman" w:cs="Calibri"/>
                <w:b/>
                <w:bCs/>
                <w:color w:val="000000"/>
                <w:sz w:val="18"/>
                <w:szCs w:val="18"/>
                <w:lang w:eastAsia="es-CR"/>
              </w:rPr>
            </w:pPr>
            <w:r w:rsidRPr="00153951">
              <w:rPr>
                <w:rFonts w:eastAsia="Times New Roman" w:cs="Calibri"/>
                <w:b/>
                <w:bCs/>
                <w:color w:val="000000"/>
                <w:sz w:val="18"/>
                <w:szCs w:val="18"/>
                <w:lang w:eastAsia="es-CR"/>
              </w:rPr>
              <w:t>Herramientas, repuestos y accesorios</w:t>
            </w:r>
          </w:p>
        </w:tc>
        <w:tc>
          <w:tcPr>
            <w:tcW w:w="1333" w:type="dxa"/>
            <w:tcBorders>
              <w:top w:val="single" w:sz="8" w:space="0" w:color="auto"/>
              <w:left w:val="nil"/>
              <w:bottom w:val="single" w:sz="8" w:space="0" w:color="auto"/>
              <w:right w:val="single" w:sz="8" w:space="0" w:color="auto"/>
            </w:tcBorders>
            <w:shd w:val="clear" w:color="000000" w:fill="DBDBDB"/>
            <w:noWrap/>
            <w:vAlign w:val="bottom"/>
            <w:hideMark/>
          </w:tcPr>
          <w:p w14:paraId="6A34F5DE" w14:textId="77777777" w:rsidR="00CD55E7" w:rsidRPr="00153951" w:rsidRDefault="00CD55E7" w:rsidP="0061790F">
            <w:pPr>
              <w:spacing w:after="0" w:line="240" w:lineRule="auto"/>
              <w:jc w:val="right"/>
              <w:rPr>
                <w:rFonts w:eastAsia="Times New Roman" w:cs="Calibri"/>
                <w:b/>
                <w:bCs/>
                <w:color w:val="000000"/>
                <w:sz w:val="18"/>
                <w:szCs w:val="18"/>
                <w:lang w:eastAsia="es-CR"/>
              </w:rPr>
            </w:pPr>
            <w:r w:rsidRPr="00153951">
              <w:rPr>
                <w:rFonts w:ascii="Arial" w:eastAsia="Times New Roman" w:hAnsi="Arial" w:cs="Arial"/>
                <w:b/>
                <w:bCs/>
                <w:color w:val="000000"/>
                <w:sz w:val="18"/>
                <w:szCs w:val="18"/>
                <w:lang w:eastAsia="es-CR"/>
              </w:rPr>
              <w:t>₡</w:t>
            </w:r>
            <w:r w:rsidRPr="00153951">
              <w:rPr>
                <w:rFonts w:eastAsia="Times New Roman" w:cs="Calibri"/>
                <w:b/>
                <w:bCs/>
                <w:color w:val="000000"/>
                <w:sz w:val="18"/>
                <w:szCs w:val="18"/>
                <w:lang w:eastAsia="es-CR"/>
              </w:rPr>
              <w:t>144 659,38</w:t>
            </w:r>
          </w:p>
        </w:tc>
        <w:tc>
          <w:tcPr>
            <w:tcW w:w="1333" w:type="dxa"/>
            <w:tcBorders>
              <w:top w:val="single" w:sz="8" w:space="0" w:color="auto"/>
              <w:left w:val="nil"/>
              <w:bottom w:val="single" w:sz="8" w:space="0" w:color="auto"/>
              <w:right w:val="single" w:sz="8" w:space="0" w:color="auto"/>
            </w:tcBorders>
            <w:shd w:val="clear" w:color="000000" w:fill="DBDBDB"/>
            <w:noWrap/>
            <w:vAlign w:val="bottom"/>
            <w:hideMark/>
          </w:tcPr>
          <w:p w14:paraId="0CC927CF" w14:textId="77777777" w:rsidR="00CD55E7" w:rsidRPr="00153951" w:rsidRDefault="00CD55E7" w:rsidP="0061790F">
            <w:pPr>
              <w:spacing w:after="0" w:line="240" w:lineRule="auto"/>
              <w:jc w:val="right"/>
              <w:rPr>
                <w:rFonts w:eastAsia="Times New Roman" w:cs="Calibri"/>
                <w:b/>
                <w:bCs/>
                <w:color w:val="000000"/>
                <w:sz w:val="18"/>
                <w:szCs w:val="18"/>
                <w:lang w:eastAsia="es-CR"/>
              </w:rPr>
            </w:pPr>
            <w:r w:rsidRPr="00153951">
              <w:rPr>
                <w:rFonts w:ascii="Arial" w:eastAsia="Times New Roman" w:hAnsi="Arial" w:cs="Arial"/>
                <w:b/>
                <w:bCs/>
                <w:color w:val="000000"/>
                <w:sz w:val="18"/>
                <w:szCs w:val="18"/>
                <w:lang w:eastAsia="es-CR"/>
              </w:rPr>
              <w:t>₡</w:t>
            </w:r>
            <w:r w:rsidRPr="00153951">
              <w:rPr>
                <w:rFonts w:eastAsia="Times New Roman" w:cs="Calibri"/>
                <w:b/>
                <w:bCs/>
                <w:color w:val="000000"/>
                <w:sz w:val="18"/>
                <w:szCs w:val="18"/>
                <w:lang w:eastAsia="es-CR"/>
              </w:rPr>
              <w:t>129 149,35</w:t>
            </w:r>
          </w:p>
        </w:tc>
        <w:tc>
          <w:tcPr>
            <w:tcW w:w="1087" w:type="dxa"/>
            <w:tcBorders>
              <w:top w:val="single" w:sz="8" w:space="0" w:color="auto"/>
              <w:left w:val="nil"/>
              <w:bottom w:val="single" w:sz="8" w:space="0" w:color="auto"/>
              <w:right w:val="single" w:sz="8" w:space="0" w:color="auto"/>
            </w:tcBorders>
            <w:shd w:val="clear" w:color="000000" w:fill="DBDBDB"/>
            <w:noWrap/>
            <w:vAlign w:val="bottom"/>
            <w:hideMark/>
          </w:tcPr>
          <w:p w14:paraId="1C08ED32" w14:textId="77777777" w:rsidR="00CD55E7" w:rsidRPr="00153951" w:rsidRDefault="00CD55E7" w:rsidP="0061790F">
            <w:pPr>
              <w:spacing w:after="0" w:line="240" w:lineRule="auto"/>
              <w:jc w:val="right"/>
              <w:rPr>
                <w:rFonts w:eastAsia="Times New Roman" w:cs="Calibri"/>
                <w:b/>
                <w:bCs/>
                <w:color w:val="000000"/>
                <w:sz w:val="18"/>
                <w:szCs w:val="18"/>
                <w:lang w:eastAsia="es-CR"/>
              </w:rPr>
            </w:pPr>
            <w:r w:rsidRPr="00153951">
              <w:rPr>
                <w:rFonts w:ascii="Arial" w:eastAsia="Times New Roman" w:hAnsi="Arial" w:cs="Arial"/>
                <w:b/>
                <w:bCs/>
                <w:color w:val="000000"/>
                <w:sz w:val="18"/>
                <w:szCs w:val="18"/>
                <w:lang w:eastAsia="es-CR"/>
              </w:rPr>
              <w:t>₡</w:t>
            </w:r>
            <w:r w:rsidRPr="00153951">
              <w:rPr>
                <w:rFonts w:eastAsia="Times New Roman" w:cs="Calibri"/>
                <w:b/>
                <w:bCs/>
                <w:color w:val="000000"/>
                <w:sz w:val="18"/>
                <w:szCs w:val="18"/>
                <w:lang w:eastAsia="es-CR"/>
              </w:rPr>
              <w:t>15 510,04</w:t>
            </w:r>
          </w:p>
        </w:tc>
        <w:tc>
          <w:tcPr>
            <w:tcW w:w="882" w:type="dxa"/>
            <w:tcBorders>
              <w:top w:val="nil"/>
              <w:left w:val="nil"/>
              <w:bottom w:val="nil"/>
              <w:right w:val="single" w:sz="8" w:space="0" w:color="auto"/>
            </w:tcBorders>
            <w:shd w:val="clear" w:color="000000" w:fill="DBDBDB"/>
            <w:noWrap/>
            <w:vAlign w:val="bottom"/>
            <w:hideMark/>
          </w:tcPr>
          <w:p w14:paraId="1D804519" w14:textId="77777777" w:rsidR="00CD55E7" w:rsidRPr="00153951" w:rsidRDefault="00CD55E7" w:rsidP="0061790F">
            <w:pPr>
              <w:spacing w:after="0" w:line="240" w:lineRule="auto"/>
              <w:jc w:val="right"/>
              <w:rPr>
                <w:rFonts w:eastAsia="Times New Roman" w:cs="Calibri"/>
                <w:b/>
                <w:bCs/>
                <w:color w:val="000000"/>
                <w:sz w:val="18"/>
                <w:szCs w:val="18"/>
                <w:lang w:eastAsia="es-CR"/>
              </w:rPr>
            </w:pPr>
            <w:r w:rsidRPr="00153951">
              <w:rPr>
                <w:rFonts w:eastAsia="Times New Roman" w:cs="Calibri"/>
                <w:b/>
                <w:bCs/>
                <w:color w:val="000000"/>
                <w:sz w:val="18"/>
                <w:szCs w:val="18"/>
                <w:lang w:eastAsia="es-CR"/>
              </w:rPr>
              <w:t>12,01%</w:t>
            </w:r>
          </w:p>
        </w:tc>
      </w:tr>
      <w:tr w:rsidR="00CD55E7" w:rsidRPr="00153951" w14:paraId="7EDDA886" w14:textId="77777777" w:rsidTr="0061790F">
        <w:trPr>
          <w:trHeight w:val="300"/>
        </w:trPr>
        <w:tc>
          <w:tcPr>
            <w:tcW w:w="1031" w:type="dxa"/>
            <w:tcBorders>
              <w:top w:val="nil"/>
              <w:left w:val="single" w:sz="8" w:space="0" w:color="auto"/>
              <w:bottom w:val="nil"/>
              <w:right w:val="single" w:sz="8" w:space="0" w:color="auto"/>
            </w:tcBorders>
            <w:shd w:val="clear" w:color="auto" w:fill="auto"/>
            <w:noWrap/>
            <w:vAlign w:val="bottom"/>
            <w:hideMark/>
          </w:tcPr>
          <w:p w14:paraId="3AAB9FBB" w14:textId="77777777" w:rsidR="00CD55E7" w:rsidRPr="00153951" w:rsidRDefault="00CD55E7" w:rsidP="0061790F">
            <w:pPr>
              <w:spacing w:after="0" w:line="240" w:lineRule="auto"/>
              <w:jc w:val="left"/>
              <w:rPr>
                <w:rFonts w:eastAsia="Times New Roman" w:cs="Calibri"/>
                <w:color w:val="000000"/>
                <w:sz w:val="18"/>
                <w:szCs w:val="18"/>
                <w:lang w:eastAsia="es-CR"/>
              </w:rPr>
            </w:pPr>
            <w:r w:rsidRPr="00153951">
              <w:rPr>
                <w:rFonts w:eastAsia="Times New Roman" w:cs="Calibri"/>
                <w:color w:val="000000"/>
                <w:sz w:val="18"/>
                <w:szCs w:val="18"/>
                <w:lang w:eastAsia="es-CR"/>
              </w:rPr>
              <w:t>1.1.4.01.04.01.</w:t>
            </w:r>
          </w:p>
        </w:tc>
        <w:tc>
          <w:tcPr>
            <w:tcW w:w="3774" w:type="dxa"/>
            <w:tcBorders>
              <w:top w:val="nil"/>
              <w:left w:val="nil"/>
              <w:bottom w:val="nil"/>
              <w:right w:val="single" w:sz="8" w:space="0" w:color="auto"/>
            </w:tcBorders>
            <w:shd w:val="clear" w:color="auto" w:fill="auto"/>
            <w:vAlign w:val="bottom"/>
            <w:hideMark/>
          </w:tcPr>
          <w:p w14:paraId="651BA1CC" w14:textId="77777777" w:rsidR="00CD55E7" w:rsidRPr="00153951" w:rsidRDefault="00CD55E7" w:rsidP="0061790F">
            <w:pPr>
              <w:spacing w:after="0" w:line="240" w:lineRule="auto"/>
              <w:jc w:val="left"/>
              <w:rPr>
                <w:rFonts w:eastAsia="Times New Roman" w:cs="Calibri"/>
                <w:color w:val="000000"/>
                <w:sz w:val="18"/>
                <w:szCs w:val="18"/>
                <w:lang w:eastAsia="es-CR"/>
              </w:rPr>
            </w:pPr>
            <w:r w:rsidRPr="00153951">
              <w:rPr>
                <w:rFonts w:eastAsia="Times New Roman" w:cs="Calibri"/>
                <w:color w:val="000000"/>
                <w:sz w:val="18"/>
                <w:szCs w:val="18"/>
                <w:lang w:eastAsia="es-CR"/>
              </w:rPr>
              <w:t>Herramientas e instrumentos</w:t>
            </w:r>
          </w:p>
        </w:tc>
        <w:tc>
          <w:tcPr>
            <w:tcW w:w="1333" w:type="dxa"/>
            <w:tcBorders>
              <w:top w:val="nil"/>
              <w:left w:val="nil"/>
              <w:bottom w:val="nil"/>
              <w:right w:val="single" w:sz="8" w:space="0" w:color="auto"/>
            </w:tcBorders>
            <w:shd w:val="clear" w:color="000000" w:fill="FFFFFF"/>
            <w:noWrap/>
            <w:vAlign w:val="bottom"/>
            <w:hideMark/>
          </w:tcPr>
          <w:p w14:paraId="701AF948" w14:textId="77777777" w:rsidR="00CD55E7" w:rsidRPr="00153951" w:rsidRDefault="00CD55E7" w:rsidP="0061790F">
            <w:pPr>
              <w:spacing w:after="0" w:line="240" w:lineRule="auto"/>
              <w:jc w:val="right"/>
              <w:rPr>
                <w:rFonts w:eastAsia="Times New Roman" w:cs="Calibri"/>
                <w:color w:val="000000"/>
                <w:sz w:val="18"/>
                <w:szCs w:val="18"/>
                <w:lang w:eastAsia="es-CR"/>
              </w:rPr>
            </w:pPr>
            <w:r w:rsidRPr="00153951">
              <w:rPr>
                <w:rFonts w:eastAsia="Times New Roman" w:cs="Calibri"/>
                <w:color w:val="000000"/>
                <w:sz w:val="18"/>
                <w:szCs w:val="18"/>
                <w:lang w:eastAsia="es-CR"/>
              </w:rPr>
              <w:t>1 620,87</w:t>
            </w:r>
          </w:p>
        </w:tc>
        <w:tc>
          <w:tcPr>
            <w:tcW w:w="1333" w:type="dxa"/>
            <w:tcBorders>
              <w:top w:val="nil"/>
              <w:left w:val="nil"/>
              <w:bottom w:val="nil"/>
              <w:right w:val="single" w:sz="8" w:space="0" w:color="auto"/>
            </w:tcBorders>
            <w:shd w:val="clear" w:color="000000" w:fill="FFFFFF"/>
            <w:noWrap/>
            <w:vAlign w:val="bottom"/>
            <w:hideMark/>
          </w:tcPr>
          <w:p w14:paraId="55DA27C1" w14:textId="77777777" w:rsidR="00CD55E7" w:rsidRPr="00153951" w:rsidRDefault="00CD55E7" w:rsidP="0061790F">
            <w:pPr>
              <w:spacing w:after="0" w:line="240" w:lineRule="auto"/>
              <w:jc w:val="right"/>
              <w:rPr>
                <w:rFonts w:eastAsia="Times New Roman" w:cs="Calibri"/>
                <w:color w:val="000000"/>
                <w:sz w:val="18"/>
                <w:szCs w:val="18"/>
                <w:lang w:eastAsia="es-CR"/>
              </w:rPr>
            </w:pPr>
            <w:r w:rsidRPr="00153951">
              <w:rPr>
                <w:rFonts w:eastAsia="Times New Roman" w:cs="Calibri"/>
                <w:color w:val="000000"/>
                <w:sz w:val="18"/>
                <w:szCs w:val="18"/>
                <w:lang w:eastAsia="es-CR"/>
              </w:rPr>
              <w:t>1 247,43</w:t>
            </w:r>
          </w:p>
        </w:tc>
        <w:tc>
          <w:tcPr>
            <w:tcW w:w="1087" w:type="dxa"/>
            <w:tcBorders>
              <w:top w:val="nil"/>
              <w:left w:val="nil"/>
              <w:bottom w:val="nil"/>
              <w:right w:val="nil"/>
            </w:tcBorders>
            <w:shd w:val="clear" w:color="000000" w:fill="FFFFFF"/>
            <w:noWrap/>
            <w:vAlign w:val="bottom"/>
            <w:hideMark/>
          </w:tcPr>
          <w:p w14:paraId="2D3406D5" w14:textId="77777777" w:rsidR="00CD55E7" w:rsidRPr="00153951" w:rsidRDefault="00CD55E7" w:rsidP="0061790F">
            <w:pPr>
              <w:spacing w:after="0" w:line="240" w:lineRule="auto"/>
              <w:jc w:val="right"/>
              <w:rPr>
                <w:rFonts w:eastAsia="Times New Roman" w:cs="Calibri"/>
                <w:color w:val="000000"/>
                <w:sz w:val="18"/>
                <w:szCs w:val="18"/>
                <w:lang w:eastAsia="es-CR"/>
              </w:rPr>
            </w:pPr>
            <w:r w:rsidRPr="00153951">
              <w:rPr>
                <w:rFonts w:eastAsia="Times New Roman" w:cs="Calibri"/>
                <w:color w:val="000000"/>
                <w:sz w:val="18"/>
                <w:szCs w:val="18"/>
                <w:lang w:eastAsia="es-CR"/>
              </w:rPr>
              <w:t>373,44</w:t>
            </w:r>
          </w:p>
        </w:tc>
        <w:tc>
          <w:tcPr>
            <w:tcW w:w="882" w:type="dxa"/>
            <w:tcBorders>
              <w:top w:val="single" w:sz="8" w:space="0" w:color="auto"/>
              <w:left w:val="single" w:sz="8" w:space="0" w:color="auto"/>
              <w:bottom w:val="nil"/>
              <w:right w:val="single" w:sz="8" w:space="0" w:color="auto"/>
            </w:tcBorders>
            <w:shd w:val="clear" w:color="auto" w:fill="auto"/>
            <w:noWrap/>
            <w:vAlign w:val="bottom"/>
            <w:hideMark/>
          </w:tcPr>
          <w:p w14:paraId="3FF6EC8D" w14:textId="77777777" w:rsidR="00CD55E7" w:rsidRPr="00153951" w:rsidRDefault="00CD55E7" w:rsidP="0061790F">
            <w:pPr>
              <w:spacing w:after="0" w:line="240" w:lineRule="auto"/>
              <w:jc w:val="right"/>
              <w:rPr>
                <w:rFonts w:eastAsia="Times New Roman" w:cs="Calibri"/>
                <w:color w:val="000000"/>
                <w:sz w:val="18"/>
                <w:szCs w:val="18"/>
                <w:lang w:eastAsia="es-CR"/>
              </w:rPr>
            </w:pPr>
            <w:r w:rsidRPr="00153951">
              <w:rPr>
                <w:rFonts w:eastAsia="Times New Roman" w:cs="Calibri"/>
                <w:color w:val="000000"/>
                <w:sz w:val="18"/>
                <w:szCs w:val="18"/>
                <w:lang w:eastAsia="es-CR"/>
              </w:rPr>
              <w:t>29,94%</w:t>
            </w:r>
          </w:p>
        </w:tc>
      </w:tr>
      <w:tr w:rsidR="00CD55E7" w:rsidRPr="00153951" w14:paraId="6A55B70A" w14:textId="77777777" w:rsidTr="0061790F">
        <w:trPr>
          <w:trHeight w:val="315"/>
        </w:trPr>
        <w:tc>
          <w:tcPr>
            <w:tcW w:w="1031" w:type="dxa"/>
            <w:tcBorders>
              <w:top w:val="nil"/>
              <w:left w:val="single" w:sz="8" w:space="0" w:color="auto"/>
              <w:bottom w:val="nil"/>
              <w:right w:val="single" w:sz="8" w:space="0" w:color="auto"/>
            </w:tcBorders>
            <w:shd w:val="clear" w:color="auto" w:fill="auto"/>
            <w:noWrap/>
            <w:vAlign w:val="bottom"/>
            <w:hideMark/>
          </w:tcPr>
          <w:p w14:paraId="18970B94" w14:textId="77777777" w:rsidR="00CD55E7" w:rsidRPr="00153951" w:rsidRDefault="00CD55E7" w:rsidP="0061790F">
            <w:pPr>
              <w:spacing w:after="0" w:line="240" w:lineRule="auto"/>
              <w:jc w:val="left"/>
              <w:rPr>
                <w:rFonts w:eastAsia="Times New Roman" w:cs="Calibri"/>
                <w:color w:val="000000"/>
                <w:sz w:val="18"/>
                <w:szCs w:val="18"/>
                <w:lang w:eastAsia="es-CR"/>
              </w:rPr>
            </w:pPr>
            <w:r w:rsidRPr="00153951">
              <w:rPr>
                <w:rFonts w:eastAsia="Times New Roman" w:cs="Calibri"/>
                <w:color w:val="000000"/>
                <w:sz w:val="18"/>
                <w:szCs w:val="18"/>
                <w:lang w:eastAsia="es-CR"/>
              </w:rPr>
              <w:t>1.1.4.01.04.02.</w:t>
            </w:r>
          </w:p>
        </w:tc>
        <w:tc>
          <w:tcPr>
            <w:tcW w:w="3774" w:type="dxa"/>
            <w:tcBorders>
              <w:top w:val="nil"/>
              <w:left w:val="nil"/>
              <w:bottom w:val="nil"/>
              <w:right w:val="single" w:sz="8" w:space="0" w:color="auto"/>
            </w:tcBorders>
            <w:shd w:val="clear" w:color="auto" w:fill="auto"/>
            <w:vAlign w:val="bottom"/>
            <w:hideMark/>
          </w:tcPr>
          <w:p w14:paraId="75A3D9A5" w14:textId="77777777" w:rsidR="00CD55E7" w:rsidRPr="00153951" w:rsidRDefault="00CD55E7" w:rsidP="0061790F">
            <w:pPr>
              <w:spacing w:after="0" w:line="240" w:lineRule="auto"/>
              <w:jc w:val="left"/>
              <w:rPr>
                <w:rFonts w:eastAsia="Times New Roman" w:cs="Calibri"/>
                <w:color w:val="000000"/>
                <w:sz w:val="18"/>
                <w:szCs w:val="18"/>
                <w:lang w:eastAsia="es-CR"/>
              </w:rPr>
            </w:pPr>
            <w:r w:rsidRPr="00153951">
              <w:rPr>
                <w:rFonts w:eastAsia="Times New Roman" w:cs="Calibri"/>
                <w:color w:val="000000"/>
                <w:sz w:val="18"/>
                <w:szCs w:val="18"/>
                <w:lang w:eastAsia="es-CR"/>
              </w:rPr>
              <w:t>Repuestos y accesorios Nuevos</w:t>
            </w:r>
          </w:p>
        </w:tc>
        <w:tc>
          <w:tcPr>
            <w:tcW w:w="1333" w:type="dxa"/>
            <w:tcBorders>
              <w:top w:val="nil"/>
              <w:left w:val="nil"/>
              <w:bottom w:val="nil"/>
              <w:right w:val="single" w:sz="8" w:space="0" w:color="auto"/>
            </w:tcBorders>
            <w:shd w:val="clear" w:color="000000" w:fill="FFFFFF"/>
            <w:noWrap/>
            <w:vAlign w:val="bottom"/>
            <w:hideMark/>
          </w:tcPr>
          <w:p w14:paraId="29E18794" w14:textId="77777777" w:rsidR="00CD55E7" w:rsidRPr="00153951" w:rsidRDefault="00CD55E7" w:rsidP="0061790F">
            <w:pPr>
              <w:spacing w:after="0" w:line="240" w:lineRule="auto"/>
              <w:jc w:val="right"/>
              <w:rPr>
                <w:rFonts w:eastAsia="Times New Roman" w:cs="Calibri"/>
                <w:color w:val="000000"/>
                <w:sz w:val="18"/>
                <w:szCs w:val="18"/>
                <w:lang w:eastAsia="es-CR"/>
              </w:rPr>
            </w:pPr>
            <w:r w:rsidRPr="00153951">
              <w:rPr>
                <w:rFonts w:eastAsia="Times New Roman" w:cs="Calibri"/>
                <w:color w:val="000000"/>
                <w:sz w:val="18"/>
                <w:szCs w:val="18"/>
                <w:lang w:eastAsia="es-CR"/>
              </w:rPr>
              <w:t>143 038,52</w:t>
            </w:r>
          </w:p>
        </w:tc>
        <w:tc>
          <w:tcPr>
            <w:tcW w:w="1333" w:type="dxa"/>
            <w:tcBorders>
              <w:top w:val="nil"/>
              <w:left w:val="nil"/>
              <w:bottom w:val="nil"/>
              <w:right w:val="single" w:sz="8" w:space="0" w:color="auto"/>
            </w:tcBorders>
            <w:shd w:val="clear" w:color="000000" w:fill="FFFFFF"/>
            <w:noWrap/>
            <w:vAlign w:val="bottom"/>
            <w:hideMark/>
          </w:tcPr>
          <w:p w14:paraId="4C1AFD53" w14:textId="77777777" w:rsidR="00CD55E7" w:rsidRPr="00153951" w:rsidRDefault="00CD55E7" w:rsidP="0061790F">
            <w:pPr>
              <w:spacing w:after="0" w:line="240" w:lineRule="auto"/>
              <w:jc w:val="right"/>
              <w:rPr>
                <w:rFonts w:eastAsia="Times New Roman" w:cs="Calibri"/>
                <w:color w:val="000000"/>
                <w:sz w:val="18"/>
                <w:szCs w:val="18"/>
                <w:lang w:eastAsia="es-CR"/>
              </w:rPr>
            </w:pPr>
            <w:r w:rsidRPr="00153951">
              <w:rPr>
                <w:rFonts w:eastAsia="Times New Roman" w:cs="Calibri"/>
                <w:color w:val="000000"/>
                <w:sz w:val="18"/>
                <w:szCs w:val="18"/>
                <w:lang w:eastAsia="es-CR"/>
              </w:rPr>
              <w:t>127 901,92</w:t>
            </w:r>
          </w:p>
        </w:tc>
        <w:tc>
          <w:tcPr>
            <w:tcW w:w="1087" w:type="dxa"/>
            <w:tcBorders>
              <w:top w:val="nil"/>
              <w:left w:val="nil"/>
              <w:bottom w:val="nil"/>
              <w:right w:val="nil"/>
            </w:tcBorders>
            <w:shd w:val="clear" w:color="000000" w:fill="FFFFFF"/>
            <w:noWrap/>
            <w:vAlign w:val="bottom"/>
            <w:hideMark/>
          </w:tcPr>
          <w:p w14:paraId="42753AB6" w14:textId="77777777" w:rsidR="00CD55E7" w:rsidRPr="00153951" w:rsidRDefault="00CD55E7" w:rsidP="0061790F">
            <w:pPr>
              <w:spacing w:after="0" w:line="240" w:lineRule="auto"/>
              <w:jc w:val="right"/>
              <w:rPr>
                <w:rFonts w:eastAsia="Times New Roman" w:cs="Calibri"/>
                <w:color w:val="000000"/>
                <w:sz w:val="18"/>
                <w:szCs w:val="18"/>
                <w:lang w:eastAsia="es-CR"/>
              </w:rPr>
            </w:pPr>
            <w:r w:rsidRPr="00153951">
              <w:rPr>
                <w:rFonts w:eastAsia="Times New Roman" w:cs="Calibri"/>
                <w:color w:val="000000"/>
                <w:sz w:val="18"/>
                <w:szCs w:val="18"/>
                <w:lang w:eastAsia="es-CR"/>
              </w:rPr>
              <w:t>15 136,60</w:t>
            </w:r>
          </w:p>
        </w:tc>
        <w:tc>
          <w:tcPr>
            <w:tcW w:w="882" w:type="dxa"/>
            <w:tcBorders>
              <w:top w:val="nil"/>
              <w:left w:val="single" w:sz="8" w:space="0" w:color="auto"/>
              <w:bottom w:val="single" w:sz="8" w:space="0" w:color="auto"/>
              <w:right w:val="single" w:sz="8" w:space="0" w:color="auto"/>
            </w:tcBorders>
            <w:shd w:val="clear" w:color="auto" w:fill="auto"/>
            <w:noWrap/>
            <w:vAlign w:val="bottom"/>
            <w:hideMark/>
          </w:tcPr>
          <w:p w14:paraId="265A1EA0" w14:textId="77777777" w:rsidR="00CD55E7" w:rsidRPr="00153951" w:rsidRDefault="00CD55E7" w:rsidP="0061790F">
            <w:pPr>
              <w:spacing w:after="0" w:line="240" w:lineRule="auto"/>
              <w:jc w:val="right"/>
              <w:rPr>
                <w:rFonts w:eastAsia="Times New Roman" w:cs="Calibri"/>
                <w:color w:val="000000"/>
                <w:sz w:val="18"/>
                <w:szCs w:val="18"/>
                <w:lang w:eastAsia="es-CR"/>
              </w:rPr>
            </w:pPr>
            <w:r w:rsidRPr="00153951">
              <w:rPr>
                <w:rFonts w:eastAsia="Times New Roman" w:cs="Calibri"/>
                <w:color w:val="000000"/>
                <w:sz w:val="18"/>
                <w:szCs w:val="18"/>
                <w:lang w:eastAsia="es-CR"/>
              </w:rPr>
              <w:t>11,83%</w:t>
            </w:r>
          </w:p>
        </w:tc>
      </w:tr>
      <w:tr w:rsidR="00CD55E7" w:rsidRPr="00153951" w14:paraId="2FB9FE68" w14:textId="77777777" w:rsidTr="0061790F">
        <w:trPr>
          <w:trHeight w:val="315"/>
        </w:trPr>
        <w:tc>
          <w:tcPr>
            <w:tcW w:w="1031" w:type="dxa"/>
            <w:tcBorders>
              <w:top w:val="single" w:sz="8" w:space="0" w:color="auto"/>
              <w:left w:val="single" w:sz="8" w:space="0" w:color="auto"/>
              <w:bottom w:val="single" w:sz="8" w:space="0" w:color="auto"/>
              <w:right w:val="single" w:sz="8" w:space="0" w:color="auto"/>
            </w:tcBorders>
            <w:shd w:val="clear" w:color="000000" w:fill="DBDBDB"/>
            <w:noWrap/>
            <w:vAlign w:val="bottom"/>
            <w:hideMark/>
          </w:tcPr>
          <w:p w14:paraId="755BEF71" w14:textId="77777777" w:rsidR="00CD55E7" w:rsidRPr="00153951" w:rsidRDefault="00CD55E7" w:rsidP="0061790F">
            <w:pPr>
              <w:spacing w:after="0" w:line="240" w:lineRule="auto"/>
              <w:jc w:val="left"/>
              <w:rPr>
                <w:rFonts w:eastAsia="Times New Roman" w:cs="Calibri"/>
                <w:b/>
                <w:bCs/>
                <w:color w:val="000000"/>
                <w:sz w:val="18"/>
                <w:szCs w:val="18"/>
                <w:lang w:eastAsia="es-CR"/>
              </w:rPr>
            </w:pPr>
            <w:r w:rsidRPr="00153951">
              <w:rPr>
                <w:rFonts w:eastAsia="Times New Roman" w:cs="Calibri"/>
                <w:b/>
                <w:bCs/>
                <w:color w:val="000000"/>
                <w:sz w:val="18"/>
                <w:szCs w:val="18"/>
                <w:lang w:eastAsia="es-CR"/>
              </w:rPr>
              <w:t>1.1.4.01.99.</w:t>
            </w:r>
          </w:p>
        </w:tc>
        <w:tc>
          <w:tcPr>
            <w:tcW w:w="3774" w:type="dxa"/>
            <w:tcBorders>
              <w:top w:val="single" w:sz="8" w:space="0" w:color="auto"/>
              <w:left w:val="nil"/>
              <w:bottom w:val="single" w:sz="8" w:space="0" w:color="auto"/>
              <w:right w:val="single" w:sz="8" w:space="0" w:color="auto"/>
            </w:tcBorders>
            <w:shd w:val="clear" w:color="000000" w:fill="DBDBDB"/>
            <w:vAlign w:val="bottom"/>
            <w:hideMark/>
          </w:tcPr>
          <w:p w14:paraId="62FDC912" w14:textId="77777777" w:rsidR="00CD55E7" w:rsidRPr="00153951" w:rsidRDefault="00CD55E7" w:rsidP="0061790F">
            <w:pPr>
              <w:spacing w:after="0" w:line="240" w:lineRule="auto"/>
              <w:jc w:val="left"/>
              <w:rPr>
                <w:rFonts w:eastAsia="Times New Roman" w:cs="Calibri"/>
                <w:b/>
                <w:bCs/>
                <w:color w:val="000000"/>
                <w:sz w:val="18"/>
                <w:szCs w:val="18"/>
                <w:lang w:eastAsia="es-CR"/>
              </w:rPr>
            </w:pPr>
            <w:r w:rsidRPr="00153951">
              <w:rPr>
                <w:rFonts w:eastAsia="Times New Roman" w:cs="Calibri"/>
                <w:b/>
                <w:bCs/>
                <w:color w:val="000000"/>
                <w:sz w:val="18"/>
                <w:szCs w:val="18"/>
                <w:lang w:eastAsia="es-CR"/>
              </w:rPr>
              <w:t>Útiles, materiales y suministros diversos</w:t>
            </w:r>
          </w:p>
        </w:tc>
        <w:tc>
          <w:tcPr>
            <w:tcW w:w="1333" w:type="dxa"/>
            <w:tcBorders>
              <w:top w:val="single" w:sz="8" w:space="0" w:color="auto"/>
              <w:left w:val="nil"/>
              <w:bottom w:val="single" w:sz="8" w:space="0" w:color="auto"/>
              <w:right w:val="single" w:sz="8" w:space="0" w:color="auto"/>
            </w:tcBorders>
            <w:shd w:val="clear" w:color="000000" w:fill="DBDBDB"/>
            <w:noWrap/>
            <w:vAlign w:val="bottom"/>
            <w:hideMark/>
          </w:tcPr>
          <w:p w14:paraId="3D179DAB" w14:textId="77777777" w:rsidR="00CD55E7" w:rsidRPr="00153951" w:rsidRDefault="00CD55E7" w:rsidP="0061790F">
            <w:pPr>
              <w:spacing w:after="0" w:line="240" w:lineRule="auto"/>
              <w:jc w:val="right"/>
              <w:rPr>
                <w:rFonts w:eastAsia="Times New Roman" w:cs="Calibri"/>
                <w:b/>
                <w:bCs/>
                <w:color w:val="000000"/>
                <w:sz w:val="18"/>
                <w:szCs w:val="18"/>
                <w:lang w:eastAsia="es-CR"/>
              </w:rPr>
            </w:pPr>
            <w:r w:rsidRPr="00153951">
              <w:rPr>
                <w:rFonts w:ascii="Arial" w:eastAsia="Times New Roman" w:hAnsi="Arial" w:cs="Arial"/>
                <w:b/>
                <w:bCs/>
                <w:color w:val="000000"/>
                <w:sz w:val="18"/>
                <w:szCs w:val="18"/>
                <w:lang w:eastAsia="es-CR"/>
              </w:rPr>
              <w:t>₡</w:t>
            </w:r>
            <w:r w:rsidRPr="00153951">
              <w:rPr>
                <w:rFonts w:eastAsia="Times New Roman" w:cs="Calibri"/>
                <w:b/>
                <w:bCs/>
                <w:color w:val="000000"/>
                <w:sz w:val="18"/>
                <w:szCs w:val="18"/>
                <w:lang w:eastAsia="es-CR"/>
              </w:rPr>
              <w:t>13 055,93</w:t>
            </w:r>
          </w:p>
        </w:tc>
        <w:tc>
          <w:tcPr>
            <w:tcW w:w="1333" w:type="dxa"/>
            <w:tcBorders>
              <w:top w:val="single" w:sz="8" w:space="0" w:color="auto"/>
              <w:left w:val="nil"/>
              <w:bottom w:val="single" w:sz="8" w:space="0" w:color="auto"/>
              <w:right w:val="single" w:sz="8" w:space="0" w:color="auto"/>
            </w:tcBorders>
            <w:shd w:val="clear" w:color="000000" w:fill="DBDBDB"/>
            <w:noWrap/>
            <w:vAlign w:val="bottom"/>
            <w:hideMark/>
          </w:tcPr>
          <w:p w14:paraId="4E0872B3" w14:textId="77777777" w:rsidR="00CD55E7" w:rsidRPr="00153951" w:rsidRDefault="00CD55E7" w:rsidP="0061790F">
            <w:pPr>
              <w:spacing w:after="0" w:line="240" w:lineRule="auto"/>
              <w:jc w:val="right"/>
              <w:rPr>
                <w:rFonts w:eastAsia="Times New Roman" w:cs="Calibri"/>
                <w:b/>
                <w:bCs/>
                <w:color w:val="000000"/>
                <w:sz w:val="18"/>
                <w:szCs w:val="18"/>
                <w:lang w:eastAsia="es-CR"/>
              </w:rPr>
            </w:pPr>
            <w:r w:rsidRPr="00153951">
              <w:rPr>
                <w:rFonts w:ascii="Arial" w:eastAsia="Times New Roman" w:hAnsi="Arial" w:cs="Arial"/>
                <w:b/>
                <w:bCs/>
                <w:color w:val="000000"/>
                <w:sz w:val="18"/>
                <w:szCs w:val="18"/>
                <w:lang w:eastAsia="es-CR"/>
              </w:rPr>
              <w:t>₡</w:t>
            </w:r>
            <w:r w:rsidRPr="00153951">
              <w:rPr>
                <w:rFonts w:eastAsia="Times New Roman" w:cs="Calibri"/>
                <w:b/>
                <w:bCs/>
                <w:color w:val="000000"/>
                <w:sz w:val="18"/>
                <w:szCs w:val="18"/>
                <w:lang w:eastAsia="es-CR"/>
              </w:rPr>
              <w:t>8 658,89</w:t>
            </w:r>
          </w:p>
        </w:tc>
        <w:tc>
          <w:tcPr>
            <w:tcW w:w="1087" w:type="dxa"/>
            <w:tcBorders>
              <w:top w:val="single" w:sz="8" w:space="0" w:color="auto"/>
              <w:left w:val="nil"/>
              <w:bottom w:val="single" w:sz="8" w:space="0" w:color="auto"/>
              <w:right w:val="single" w:sz="8" w:space="0" w:color="auto"/>
            </w:tcBorders>
            <w:shd w:val="clear" w:color="000000" w:fill="DBDBDB"/>
            <w:noWrap/>
            <w:vAlign w:val="bottom"/>
            <w:hideMark/>
          </w:tcPr>
          <w:p w14:paraId="3525251B" w14:textId="77777777" w:rsidR="00CD55E7" w:rsidRPr="00153951" w:rsidRDefault="00CD55E7" w:rsidP="0061790F">
            <w:pPr>
              <w:spacing w:after="0" w:line="240" w:lineRule="auto"/>
              <w:jc w:val="right"/>
              <w:rPr>
                <w:rFonts w:eastAsia="Times New Roman" w:cs="Calibri"/>
                <w:b/>
                <w:bCs/>
                <w:color w:val="000000"/>
                <w:sz w:val="18"/>
                <w:szCs w:val="18"/>
                <w:lang w:eastAsia="es-CR"/>
              </w:rPr>
            </w:pPr>
            <w:r w:rsidRPr="00153951">
              <w:rPr>
                <w:rFonts w:ascii="Arial" w:eastAsia="Times New Roman" w:hAnsi="Arial" w:cs="Arial"/>
                <w:b/>
                <w:bCs/>
                <w:color w:val="000000"/>
                <w:sz w:val="18"/>
                <w:szCs w:val="18"/>
                <w:lang w:eastAsia="es-CR"/>
              </w:rPr>
              <w:t>₡</w:t>
            </w:r>
            <w:r w:rsidRPr="00153951">
              <w:rPr>
                <w:rFonts w:eastAsia="Times New Roman" w:cs="Calibri"/>
                <w:b/>
                <w:bCs/>
                <w:color w:val="000000"/>
                <w:sz w:val="18"/>
                <w:szCs w:val="18"/>
                <w:lang w:eastAsia="es-CR"/>
              </w:rPr>
              <w:t>4 397,04</w:t>
            </w:r>
          </w:p>
        </w:tc>
        <w:tc>
          <w:tcPr>
            <w:tcW w:w="882" w:type="dxa"/>
            <w:tcBorders>
              <w:top w:val="nil"/>
              <w:left w:val="nil"/>
              <w:bottom w:val="single" w:sz="8" w:space="0" w:color="auto"/>
              <w:right w:val="single" w:sz="8" w:space="0" w:color="auto"/>
            </w:tcBorders>
            <w:shd w:val="clear" w:color="000000" w:fill="DBDBDB"/>
            <w:noWrap/>
            <w:vAlign w:val="bottom"/>
            <w:hideMark/>
          </w:tcPr>
          <w:p w14:paraId="6D0D3BBF" w14:textId="77777777" w:rsidR="00CD55E7" w:rsidRPr="00153951" w:rsidRDefault="00CD55E7" w:rsidP="0061790F">
            <w:pPr>
              <w:spacing w:after="0" w:line="240" w:lineRule="auto"/>
              <w:jc w:val="center"/>
              <w:rPr>
                <w:rFonts w:eastAsia="Times New Roman" w:cs="Calibri"/>
                <w:b/>
                <w:bCs/>
                <w:color w:val="000000"/>
                <w:sz w:val="18"/>
                <w:szCs w:val="18"/>
                <w:lang w:eastAsia="es-CR"/>
              </w:rPr>
            </w:pPr>
            <w:r w:rsidRPr="00153951">
              <w:rPr>
                <w:rFonts w:ascii="Arial" w:eastAsia="Times New Roman" w:hAnsi="Arial" w:cs="Arial"/>
                <w:b/>
                <w:bCs/>
                <w:color w:val="000000"/>
                <w:sz w:val="18"/>
                <w:szCs w:val="18"/>
                <w:lang w:eastAsia="es-CR"/>
              </w:rPr>
              <w:t>₡</w:t>
            </w:r>
            <w:r w:rsidRPr="00153951">
              <w:rPr>
                <w:rFonts w:eastAsia="Times New Roman" w:cs="Calibri"/>
                <w:b/>
                <w:bCs/>
                <w:color w:val="000000"/>
                <w:sz w:val="18"/>
                <w:szCs w:val="18"/>
                <w:lang w:eastAsia="es-CR"/>
              </w:rPr>
              <w:t>0,51</w:t>
            </w:r>
          </w:p>
        </w:tc>
      </w:tr>
      <w:tr w:rsidR="00CD55E7" w:rsidRPr="00153951" w14:paraId="525B21C2" w14:textId="77777777" w:rsidTr="0061790F">
        <w:trPr>
          <w:trHeight w:val="300"/>
        </w:trPr>
        <w:tc>
          <w:tcPr>
            <w:tcW w:w="1031" w:type="dxa"/>
            <w:tcBorders>
              <w:top w:val="nil"/>
              <w:left w:val="single" w:sz="8" w:space="0" w:color="auto"/>
              <w:bottom w:val="nil"/>
              <w:right w:val="single" w:sz="8" w:space="0" w:color="auto"/>
            </w:tcBorders>
            <w:shd w:val="clear" w:color="auto" w:fill="auto"/>
            <w:noWrap/>
            <w:vAlign w:val="bottom"/>
            <w:hideMark/>
          </w:tcPr>
          <w:p w14:paraId="0D61A48A" w14:textId="77777777" w:rsidR="00CD55E7" w:rsidRPr="00153951" w:rsidRDefault="00CD55E7" w:rsidP="0061790F">
            <w:pPr>
              <w:spacing w:after="0" w:line="240" w:lineRule="auto"/>
              <w:jc w:val="left"/>
              <w:rPr>
                <w:rFonts w:eastAsia="Times New Roman" w:cs="Calibri"/>
                <w:color w:val="000000"/>
                <w:sz w:val="18"/>
                <w:szCs w:val="18"/>
                <w:lang w:eastAsia="es-CR"/>
              </w:rPr>
            </w:pPr>
            <w:r w:rsidRPr="00153951">
              <w:rPr>
                <w:rFonts w:eastAsia="Times New Roman" w:cs="Calibri"/>
                <w:color w:val="000000"/>
                <w:sz w:val="18"/>
                <w:szCs w:val="18"/>
                <w:lang w:eastAsia="es-CR"/>
              </w:rPr>
              <w:t>1.1.4.01.99.01.</w:t>
            </w:r>
          </w:p>
        </w:tc>
        <w:tc>
          <w:tcPr>
            <w:tcW w:w="3774" w:type="dxa"/>
            <w:tcBorders>
              <w:top w:val="nil"/>
              <w:left w:val="nil"/>
              <w:bottom w:val="nil"/>
              <w:right w:val="single" w:sz="8" w:space="0" w:color="auto"/>
            </w:tcBorders>
            <w:shd w:val="clear" w:color="auto" w:fill="auto"/>
            <w:vAlign w:val="bottom"/>
            <w:hideMark/>
          </w:tcPr>
          <w:p w14:paraId="75F203EB" w14:textId="77777777" w:rsidR="00CD55E7" w:rsidRPr="00153951" w:rsidRDefault="00CD55E7" w:rsidP="0061790F">
            <w:pPr>
              <w:spacing w:after="0" w:line="240" w:lineRule="auto"/>
              <w:jc w:val="left"/>
              <w:rPr>
                <w:rFonts w:eastAsia="Times New Roman" w:cs="Calibri"/>
                <w:color w:val="000000"/>
                <w:sz w:val="18"/>
                <w:szCs w:val="18"/>
                <w:lang w:eastAsia="es-CR"/>
              </w:rPr>
            </w:pPr>
            <w:r w:rsidRPr="00153951">
              <w:rPr>
                <w:rFonts w:eastAsia="Times New Roman" w:cs="Calibri"/>
                <w:color w:val="000000"/>
                <w:sz w:val="18"/>
                <w:szCs w:val="18"/>
                <w:lang w:eastAsia="es-CR"/>
              </w:rPr>
              <w:t>Útiles y materiales de oficina y cómputo</w:t>
            </w:r>
          </w:p>
        </w:tc>
        <w:tc>
          <w:tcPr>
            <w:tcW w:w="1333" w:type="dxa"/>
            <w:tcBorders>
              <w:top w:val="nil"/>
              <w:left w:val="nil"/>
              <w:bottom w:val="nil"/>
              <w:right w:val="single" w:sz="8" w:space="0" w:color="auto"/>
            </w:tcBorders>
            <w:shd w:val="clear" w:color="000000" w:fill="FFFFFF"/>
            <w:noWrap/>
            <w:vAlign w:val="bottom"/>
            <w:hideMark/>
          </w:tcPr>
          <w:p w14:paraId="608D3AA4" w14:textId="77777777" w:rsidR="00CD55E7" w:rsidRPr="00153951" w:rsidRDefault="00CD55E7" w:rsidP="0061790F">
            <w:pPr>
              <w:spacing w:after="0" w:line="240" w:lineRule="auto"/>
              <w:jc w:val="right"/>
              <w:rPr>
                <w:rFonts w:eastAsia="Times New Roman" w:cs="Calibri"/>
                <w:color w:val="000000"/>
                <w:sz w:val="18"/>
                <w:szCs w:val="18"/>
                <w:lang w:eastAsia="es-CR"/>
              </w:rPr>
            </w:pPr>
            <w:r w:rsidRPr="00153951">
              <w:rPr>
                <w:rFonts w:eastAsia="Times New Roman" w:cs="Calibri"/>
                <w:color w:val="000000"/>
                <w:sz w:val="18"/>
                <w:szCs w:val="18"/>
                <w:lang w:eastAsia="es-CR"/>
              </w:rPr>
              <w:t>1 699,25</w:t>
            </w:r>
          </w:p>
        </w:tc>
        <w:tc>
          <w:tcPr>
            <w:tcW w:w="1333" w:type="dxa"/>
            <w:tcBorders>
              <w:top w:val="nil"/>
              <w:left w:val="nil"/>
              <w:bottom w:val="nil"/>
              <w:right w:val="single" w:sz="8" w:space="0" w:color="auto"/>
            </w:tcBorders>
            <w:shd w:val="clear" w:color="000000" w:fill="FFFFFF"/>
            <w:noWrap/>
            <w:vAlign w:val="bottom"/>
            <w:hideMark/>
          </w:tcPr>
          <w:p w14:paraId="250F918D" w14:textId="77777777" w:rsidR="00CD55E7" w:rsidRPr="00153951" w:rsidRDefault="00CD55E7" w:rsidP="0061790F">
            <w:pPr>
              <w:spacing w:after="0" w:line="240" w:lineRule="auto"/>
              <w:jc w:val="right"/>
              <w:rPr>
                <w:rFonts w:eastAsia="Times New Roman" w:cs="Calibri"/>
                <w:color w:val="000000"/>
                <w:sz w:val="18"/>
                <w:szCs w:val="18"/>
                <w:lang w:eastAsia="es-CR"/>
              </w:rPr>
            </w:pPr>
            <w:r w:rsidRPr="00153951">
              <w:rPr>
                <w:rFonts w:eastAsia="Times New Roman" w:cs="Calibri"/>
                <w:color w:val="000000"/>
                <w:sz w:val="18"/>
                <w:szCs w:val="18"/>
                <w:lang w:eastAsia="es-CR"/>
              </w:rPr>
              <w:t>941,65</w:t>
            </w:r>
          </w:p>
        </w:tc>
        <w:tc>
          <w:tcPr>
            <w:tcW w:w="1087" w:type="dxa"/>
            <w:tcBorders>
              <w:top w:val="nil"/>
              <w:left w:val="nil"/>
              <w:bottom w:val="nil"/>
              <w:right w:val="nil"/>
            </w:tcBorders>
            <w:shd w:val="clear" w:color="000000" w:fill="FFFFFF"/>
            <w:noWrap/>
            <w:vAlign w:val="bottom"/>
            <w:hideMark/>
          </w:tcPr>
          <w:p w14:paraId="614F9E3F" w14:textId="77777777" w:rsidR="00CD55E7" w:rsidRPr="00153951" w:rsidRDefault="00CD55E7" w:rsidP="0061790F">
            <w:pPr>
              <w:spacing w:after="0" w:line="240" w:lineRule="auto"/>
              <w:jc w:val="right"/>
              <w:rPr>
                <w:rFonts w:eastAsia="Times New Roman" w:cs="Calibri"/>
                <w:color w:val="000000"/>
                <w:sz w:val="18"/>
                <w:szCs w:val="18"/>
                <w:lang w:eastAsia="es-CR"/>
              </w:rPr>
            </w:pPr>
            <w:r w:rsidRPr="00153951">
              <w:rPr>
                <w:rFonts w:eastAsia="Times New Roman" w:cs="Calibri"/>
                <w:color w:val="000000"/>
                <w:sz w:val="18"/>
                <w:szCs w:val="18"/>
                <w:lang w:eastAsia="es-CR"/>
              </w:rPr>
              <w:t>757,60</w:t>
            </w:r>
          </w:p>
        </w:tc>
        <w:tc>
          <w:tcPr>
            <w:tcW w:w="882" w:type="dxa"/>
            <w:tcBorders>
              <w:top w:val="nil"/>
              <w:left w:val="single" w:sz="8" w:space="0" w:color="auto"/>
              <w:bottom w:val="nil"/>
              <w:right w:val="single" w:sz="8" w:space="0" w:color="auto"/>
            </w:tcBorders>
            <w:shd w:val="clear" w:color="auto" w:fill="auto"/>
            <w:noWrap/>
            <w:vAlign w:val="bottom"/>
            <w:hideMark/>
          </w:tcPr>
          <w:p w14:paraId="4676B06D" w14:textId="77777777" w:rsidR="00CD55E7" w:rsidRPr="00153951" w:rsidRDefault="00CD55E7" w:rsidP="0061790F">
            <w:pPr>
              <w:spacing w:after="0" w:line="240" w:lineRule="auto"/>
              <w:jc w:val="center"/>
              <w:rPr>
                <w:rFonts w:eastAsia="Times New Roman" w:cs="Calibri"/>
                <w:color w:val="000000"/>
                <w:sz w:val="18"/>
                <w:szCs w:val="18"/>
                <w:lang w:eastAsia="es-CR"/>
              </w:rPr>
            </w:pPr>
            <w:r w:rsidRPr="00153951">
              <w:rPr>
                <w:rFonts w:eastAsia="Times New Roman" w:cs="Calibri"/>
                <w:color w:val="000000"/>
                <w:sz w:val="18"/>
                <w:szCs w:val="18"/>
                <w:lang w:eastAsia="es-CR"/>
              </w:rPr>
              <w:t>80,45%</w:t>
            </w:r>
          </w:p>
        </w:tc>
      </w:tr>
      <w:tr w:rsidR="00CD55E7" w:rsidRPr="00153951" w14:paraId="79062214" w14:textId="77777777" w:rsidTr="0061790F">
        <w:trPr>
          <w:trHeight w:val="540"/>
        </w:trPr>
        <w:tc>
          <w:tcPr>
            <w:tcW w:w="1031" w:type="dxa"/>
            <w:tcBorders>
              <w:top w:val="nil"/>
              <w:left w:val="single" w:sz="8" w:space="0" w:color="auto"/>
              <w:bottom w:val="nil"/>
              <w:right w:val="single" w:sz="8" w:space="0" w:color="auto"/>
            </w:tcBorders>
            <w:shd w:val="clear" w:color="auto" w:fill="auto"/>
            <w:noWrap/>
            <w:vAlign w:val="bottom"/>
            <w:hideMark/>
          </w:tcPr>
          <w:p w14:paraId="0D2AF95B" w14:textId="77777777" w:rsidR="00CD55E7" w:rsidRPr="00153951" w:rsidRDefault="00CD55E7" w:rsidP="0061790F">
            <w:pPr>
              <w:spacing w:after="0" w:line="240" w:lineRule="auto"/>
              <w:jc w:val="left"/>
              <w:rPr>
                <w:rFonts w:eastAsia="Times New Roman" w:cs="Calibri"/>
                <w:color w:val="000000"/>
                <w:sz w:val="18"/>
                <w:szCs w:val="18"/>
                <w:lang w:eastAsia="es-CR"/>
              </w:rPr>
            </w:pPr>
            <w:r w:rsidRPr="00153951">
              <w:rPr>
                <w:rFonts w:eastAsia="Times New Roman" w:cs="Calibri"/>
                <w:color w:val="000000"/>
                <w:sz w:val="18"/>
                <w:szCs w:val="18"/>
                <w:lang w:eastAsia="es-CR"/>
              </w:rPr>
              <w:t>1.1.4.01.99.02.</w:t>
            </w:r>
          </w:p>
        </w:tc>
        <w:tc>
          <w:tcPr>
            <w:tcW w:w="3774" w:type="dxa"/>
            <w:tcBorders>
              <w:top w:val="nil"/>
              <w:left w:val="nil"/>
              <w:bottom w:val="nil"/>
              <w:right w:val="single" w:sz="8" w:space="0" w:color="auto"/>
            </w:tcBorders>
            <w:shd w:val="clear" w:color="auto" w:fill="auto"/>
            <w:vAlign w:val="bottom"/>
            <w:hideMark/>
          </w:tcPr>
          <w:p w14:paraId="44ACBE6C" w14:textId="77777777" w:rsidR="00CD55E7" w:rsidRPr="00153951" w:rsidRDefault="00CD55E7" w:rsidP="0061790F">
            <w:pPr>
              <w:spacing w:after="0" w:line="240" w:lineRule="auto"/>
              <w:jc w:val="left"/>
              <w:rPr>
                <w:rFonts w:eastAsia="Times New Roman" w:cs="Calibri"/>
                <w:color w:val="000000"/>
                <w:sz w:val="18"/>
                <w:szCs w:val="18"/>
                <w:lang w:eastAsia="es-CR"/>
              </w:rPr>
            </w:pPr>
            <w:r w:rsidRPr="00153951">
              <w:rPr>
                <w:rFonts w:eastAsia="Times New Roman" w:cs="Calibri"/>
                <w:color w:val="000000"/>
                <w:sz w:val="18"/>
                <w:szCs w:val="18"/>
                <w:lang w:eastAsia="es-CR"/>
              </w:rPr>
              <w:t>Útiles y materiales médico, hospitalario y de investigación</w:t>
            </w:r>
          </w:p>
        </w:tc>
        <w:tc>
          <w:tcPr>
            <w:tcW w:w="1333" w:type="dxa"/>
            <w:tcBorders>
              <w:top w:val="nil"/>
              <w:left w:val="nil"/>
              <w:bottom w:val="nil"/>
              <w:right w:val="single" w:sz="8" w:space="0" w:color="auto"/>
            </w:tcBorders>
            <w:shd w:val="clear" w:color="000000" w:fill="FFFFFF"/>
            <w:noWrap/>
            <w:vAlign w:val="bottom"/>
            <w:hideMark/>
          </w:tcPr>
          <w:p w14:paraId="32120F13" w14:textId="77777777" w:rsidR="00CD55E7" w:rsidRPr="00153951" w:rsidRDefault="00CD55E7" w:rsidP="0061790F">
            <w:pPr>
              <w:spacing w:after="0" w:line="240" w:lineRule="auto"/>
              <w:jc w:val="right"/>
              <w:rPr>
                <w:rFonts w:eastAsia="Times New Roman" w:cs="Calibri"/>
                <w:color w:val="000000"/>
                <w:sz w:val="18"/>
                <w:szCs w:val="18"/>
                <w:lang w:eastAsia="es-CR"/>
              </w:rPr>
            </w:pPr>
            <w:r w:rsidRPr="00153951">
              <w:rPr>
                <w:rFonts w:eastAsia="Times New Roman" w:cs="Calibri"/>
                <w:color w:val="000000"/>
                <w:sz w:val="18"/>
                <w:szCs w:val="18"/>
                <w:lang w:eastAsia="es-CR"/>
              </w:rPr>
              <w:t>189,00</w:t>
            </w:r>
          </w:p>
        </w:tc>
        <w:tc>
          <w:tcPr>
            <w:tcW w:w="1333" w:type="dxa"/>
            <w:tcBorders>
              <w:top w:val="nil"/>
              <w:left w:val="nil"/>
              <w:bottom w:val="nil"/>
              <w:right w:val="single" w:sz="8" w:space="0" w:color="auto"/>
            </w:tcBorders>
            <w:shd w:val="clear" w:color="000000" w:fill="FFFFFF"/>
            <w:noWrap/>
            <w:vAlign w:val="bottom"/>
            <w:hideMark/>
          </w:tcPr>
          <w:p w14:paraId="79D91D92" w14:textId="77777777" w:rsidR="00CD55E7" w:rsidRPr="00153951" w:rsidRDefault="00CD55E7" w:rsidP="0061790F">
            <w:pPr>
              <w:spacing w:after="0" w:line="240" w:lineRule="auto"/>
              <w:jc w:val="left"/>
              <w:rPr>
                <w:rFonts w:eastAsia="Times New Roman" w:cs="Calibri"/>
                <w:color w:val="000000"/>
                <w:sz w:val="18"/>
                <w:szCs w:val="18"/>
                <w:lang w:eastAsia="es-CR"/>
              </w:rPr>
            </w:pPr>
            <w:r w:rsidRPr="00153951">
              <w:rPr>
                <w:rFonts w:eastAsia="Times New Roman" w:cs="Calibri"/>
                <w:color w:val="000000"/>
                <w:sz w:val="18"/>
                <w:szCs w:val="18"/>
                <w:lang w:eastAsia="es-CR"/>
              </w:rPr>
              <w:t> </w:t>
            </w:r>
          </w:p>
        </w:tc>
        <w:tc>
          <w:tcPr>
            <w:tcW w:w="1087" w:type="dxa"/>
            <w:tcBorders>
              <w:top w:val="nil"/>
              <w:left w:val="nil"/>
              <w:bottom w:val="nil"/>
              <w:right w:val="nil"/>
            </w:tcBorders>
            <w:shd w:val="clear" w:color="000000" w:fill="FFFFFF"/>
            <w:noWrap/>
            <w:vAlign w:val="bottom"/>
            <w:hideMark/>
          </w:tcPr>
          <w:p w14:paraId="195069CB" w14:textId="77777777" w:rsidR="00CD55E7" w:rsidRPr="00153951" w:rsidRDefault="00CD55E7" w:rsidP="0061790F">
            <w:pPr>
              <w:spacing w:after="0" w:line="240" w:lineRule="auto"/>
              <w:jc w:val="right"/>
              <w:rPr>
                <w:rFonts w:eastAsia="Times New Roman" w:cs="Calibri"/>
                <w:color w:val="000000"/>
                <w:sz w:val="18"/>
                <w:szCs w:val="18"/>
                <w:lang w:eastAsia="es-CR"/>
              </w:rPr>
            </w:pPr>
            <w:r w:rsidRPr="00153951">
              <w:rPr>
                <w:rFonts w:eastAsia="Times New Roman" w:cs="Calibri"/>
                <w:color w:val="000000"/>
                <w:sz w:val="18"/>
                <w:szCs w:val="18"/>
                <w:lang w:eastAsia="es-CR"/>
              </w:rPr>
              <w:t>189,00</w:t>
            </w:r>
          </w:p>
        </w:tc>
        <w:tc>
          <w:tcPr>
            <w:tcW w:w="882" w:type="dxa"/>
            <w:tcBorders>
              <w:top w:val="nil"/>
              <w:left w:val="single" w:sz="8" w:space="0" w:color="auto"/>
              <w:bottom w:val="nil"/>
              <w:right w:val="single" w:sz="8" w:space="0" w:color="auto"/>
            </w:tcBorders>
            <w:shd w:val="clear" w:color="auto" w:fill="auto"/>
            <w:noWrap/>
            <w:vAlign w:val="bottom"/>
            <w:hideMark/>
          </w:tcPr>
          <w:p w14:paraId="3CF75F0C" w14:textId="77777777" w:rsidR="00CD55E7" w:rsidRPr="00153951" w:rsidRDefault="00CD55E7" w:rsidP="0061790F">
            <w:pPr>
              <w:spacing w:after="0" w:line="240" w:lineRule="auto"/>
              <w:jc w:val="center"/>
              <w:rPr>
                <w:rFonts w:eastAsia="Times New Roman" w:cs="Calibri"/>
                <w:color w:val="000000"/>
                <w:sz w:val="18"/>
                <w:szCs w:val="18"/>
                <w:lang w:eastAsia="es-CR"/>
              </w:rPr>
            </w:pPr>
            <w:r w:rsidRPr="00153951">
              <w:rPr>
                <w:rFonts w:eastAsia="Times New Roman" w:cs="Calibri"/>
                <w:color w:val="000000"/>
                <w:sz w:val="18"/>
                <w:szCs w:val="18"/>
                <w:lang w:eastAsia="es-CR"/>
              </w:rPr>
              <w:t>#¡DIV/0!</w:t>
            </w:r>
          </w:p>
        </w:tc>
      </w:tr>
      <w:tr w:rsidR="00CD55E7" w:rsidRPr="00153951" w14:paraId="66DE3A2B" w14:textId="77777777" w:rsidTr="0061790F">
        <w:trPr>
          <w:trHeight w:val="300"/>
        </w:trPr>
        <w:tc>
          <w:tcPr>
            <w:tcW w:w="1031" w:type="dxa"/>
            <w:tcBorders>
              <w:top w:val="nil"/>
              <w:left w:val="single" w:sz="8" w:space="0" w:color="auto"/>
              <w:bottom w:val="nil"/>
              <w:right w:val="single" w:sz="8" w:space="0" w:color="auto"/>
            </w:tcBorders>
            <w:shd w:val="clear" w:color="auto" w:fill="auto"/>
            <w:noWrap/>
            <w:vAlign w:val="bottom"/>
            <w:hideMark/>
          </w:tcPr>
          <w:p w14:paraId="7B56477B" w14:textId="77777777" w:rsidR="00CD55E7" w:rsidRPr="00153951" w:rsidRDefault="00CD55E7" w:rsidP="0061790F">
            <w:pPr>
              <w:spacing w:after="0" w:line="240" w:lineRule="auto"/>
              <w:jc w:val="left"/>
              <w:rPr>
                <w:rFonts w:eastAsia="Times New Roman" w:cs="Calibri"/>
                <w:color w:val="000000"/>
                <w:sz w:val="18"/>
                <w:szCs w:val="18"/>
                <w:lang w:eastAsia="es-CR"/>
              </w:rPr>
            </w:pPr>
            <w:r w:rsidRPr="00153951">
              <w:rPr>
                <w:rFonts w:eastAsia="Times New Roman" w:cs="Calibri"/>
                <w:color w:val="000000"/>
                <w:sz w:val="18"/>
                <w:szCs w:val="18"/>
                <w:lang w:eastAsia="es-CR"/>
              </w:rPr>
              <w:t>1.1.4.01.99.03.</w:t>
            </w:r>
          </w:p>
        </w:tc>
        <w:tc>
          <w:tcPr>
            <w:tcW w:w="3774" w:type="dxa"/>
            <w:tcBorders>
              <w:top w:val="nil"/>
              <w:left w:val="nil"/>
              <w:bottom w:val="nil"/>
              <w:right w:val="single" w:sz="8" w:space="0" w:color="auto"/>
            </w:tcBorders>
            <w:shd w:val="clear" w:color="auto" w:fill="auto"/>
            <w:vAlign w:val="bottom"/>
            <w:hideMark/>
          </w:tcPr>
          <w:p w14:paraId="38014161" w14:textId="77777777" w:rsidR="00CD55E7" w:rsidRPr="00153951" w:rsidRDefault="00CD55E7" w:rsidP="0061790F">
            <w:pPr>
              <w:spacing w:after="0" w:line="240" w:lineRule="auto"/>
              <w:jc w:val="left"/>
              <w:rPr>
                <w:rFonts w:eastAsia="Times New Roman" w:cs="Calibri"/>
                <w:color w:val="000000"/>
                <w:sz w:val="18"/>
                <w:szCs w:val="18"/>
                <w:lang w:eastAsia="es-CR"/>
              </w:rPr>
            </w:pPr>
            <w:r w:rsidRPr="00153951">
              <w:rPr>
                <w:rFonts w:eastAsia="Times New Roman" w:cs="Calibri"/>
                <w:color w:val="000000"/>
                <w:sz w:val="18"/>
                <w:szCs w:val="18"/>
                <w:lang w:eastAsia="es-CR"/>
              </w:rPr>
              <w:t>Productos de papel, cartón e impresos</w:t>
            </w:r>
          </w:p>
        </w:tc>
        <w:tc>
          <w:tcPr>
            <w:tcW w:w="1333" w:type="dxa"/>
            <w:tcBorders>
              <w:top w:val="nil"/>
              <w:left w:val="nil"/>
              <w:bottom w:val="nil"/>
              <w:right w:val="single" w:sz="8" w:space="0" w:color="auto"/>
            </w:tcBorders>
            <w:shd w:val="clear" w:color="000000" w:fill="FFFFFF"/>
            <w:noWrap/>
            <w:vAlign w:val="bottom"/>
            <w:hideMark/>
          </w:tcPr>
          <w:p w14:paraId="2335FE48" w14:textId="77777777" w:rsidR="00CD55E7" w:rsidRPr="00153951" w:rsidRDefault="00CD55E7" w:rsidP="0061790F">
            <w:pPr>
              <w:spacing w:after="0" w:line="240" w:lineRule="auto"/>
              <w:jc w:val="right"/>
              <w:rPr>
                <w:rFonts w:eastAsia="Times New Roman" w:cs="Calibri"/>
                <w:color w:val="000000"/>
                <w:sz w:val="18"/>
                <w:szCs w:val="18"/>
                <w:lang w:eastAsia="es-CR"/>
              </w:rPr>
            </w:pPr>
            <w:r w:rsidRPr="00153951">
              <w:rPr>
                <w:rFonts w:eastAsia="Times New Roman" w:cs="Calibri"/>
                <w:color w:val="000000"/>
                <w:sz w:val="18"/>
                <w:szCs w:val="18"/>
                <w:lang w:eastAsia="es-CR"/>
              </w:rPr>
              <w:t>2 402,21</w:t>
            </w:r>
          </w:p>
        </w:tc>
        <w:tc>
          <w:tcPr>
            <w:tcW w:w="1333" w:type="dxa"/>
            <w:tcBorders>
              <w:top w:val="nil"/>
              <w:left w:val="nil"/>
              <w:bottom w:val="nil"/>
              <w:right w:val="single" w:sz="8" w:space="0" w:color="auto"/>
            </w:tcBorders>
            <w:shd w:val="clear" w:color="000000" w:fill="FFFFFF"/>
            <w:noWrap/>
            <w:vAlign w:val="bottom"/>
            <w:hideMark/>
          </w:tcPr>
          <w:p w14:paraId="6968D40A" w14:textId="77777777" w:rsidR="00CD55E7" w:rsidRPr="00153951" w:rsidRDefault="00CD55E7" w:rsidP="0061790F">
            <w:pPr>
              <w:spacing w:after="0" w:line="240" w:lineRule="auto"/>
              <w:jc w:val="right"/>
              <w:rPr>
                <w:rFonts w:eastAsia="Times New Roman" w:cs="Calibri"/>
                <w:color w:val="000000"/>
                <w:sz w:val="18"/>
                <w:szCs w:val="18"/>
                <w:lang w:eastAsia="es-CR"/>
              </w:rPr>
            </w:pPr>
            <w:r w:rsidRPr="00153951">
              <w:rPr>
                <w:rFonts w:eastAsia="Times New Roman" w:cs="Calibri"/>
                <w:color w:val="000000"/>
                <w:sz w:val="18"/>
                <w:szCs w:val="18"/>
                <w:lang w:eastAsia="es-CR"/>
              </w:rPr>
              <w:t>2 926,25</w:t>
            </w:r>
          </w:p>
        </w:tc>
        <w:tc>
          <w:tcPr>
            <w:tcW w:w="1087" w:type="dxa"/>
            <w:tcBorders>
              <w:top w:val="nil"/>
              <w:left w:val="nil"/>
              <w:bottom w:val="nil"/>
              <w:right w:val="nil"/>
            </w:tcBorders>
            <w:shd w:val="clear" w:color="000000" w:fill="FFFFFF"/>
            <w:noWrap/>
            <w:vAlign w:val="bottom"/>
            <w:hideMark/>
          </w:tcPr>
          <w:p w14:paraId="759B7333" w14:textId="77777777" w:rsidR="00CD55E7" w:rsidRPr="00153951" w:rsidRDefault="00CD55E7" w:rsidP="0061790F">
            <w:pPr>
              <w:spacing w:after="0" w:line="240" w:lineRule="auto"/>
              <w:jc w:val="right"/>
              <w:rPr>
                <w:rFonts w:eastAsia="Times New Roman" w:cs="Calibri"/>
                <w:color w:val="000000"/>
                <w:sz w:val="18"/>
                <w:szCs w:val="18"/>
                <w:lang w:eastAsia="es-CR"/>
              </w:rPr>
            </w:pPr>
            <w:r w:rsidRPr="00153951">
              <w:rPr>
                <w:rFonts w:eastAsia="Times New Roman" w:cs="Calibri"/>
                <w:color w:val="000000"/>
                <w:sz w:val="18"/>
                <w:szCs w:val="18"/>
                <w:lang w:eastAsia="es-CR"/>
              </w:rPr>
              <w:t>-524,04</w:t>
            </w:r>
          </w:p>
        </w:tc>
        <w:tc>
          <w:tcPr>
            <w:tcW w:w="882" w:type="dxa"/>
            <w:tcBorders>
              <w:top w:val="nil"/>
              <w:left w:val="single" w:sz="8" w:space="0" w:color="auto"/>
              <w:bottom w:val="nil"/>
              <w:right w:val="single" w:sz="8" w:space="0" w:color="auto"/>
            </w:tcBorders>
            <w:shd w:val="clear" w:color="auto" w:fill="auto"/>
            <w:noWrap/>
            <w:vAlign w:val="bottom"/>
            <w:hideMark/>
          </w:tcPr>
          <w:p w14:paraId="679F571F" w14:textId="77777777" w:rsidR="00CD55E7" w:rsidRPr="00153951" w:rsidRDefault="00CD55E7" w:rsidP="0061790F">
            <w:pPr>
              <w:spacing w:after="0" w:line="240" w:lineRule="auto"/>
              <w:jc w:val="center"/>
              <w:rPr>
                <w:rFonts w:eastAsia="Times New Roman" w:cs="Calibri"/>
                <w:color w:val="000000"/>
                <w:sz w:val="18"/>
                <w:szCs w:val="18"/>
                <w:lang w:eastAsia="es-CR"/>
              </w:rPr>
            </w:pPr>
            <w:r w:rsidRPr="00153951">
              <w:rPr>
                <w:rFonts w:eastAsia="Times New Roman" w:cs="Calibri"/>
                <w:color w:val="000000"/>
                <w:sz w:val="18"/>
                <w:szCs w:val="18"/>
                <w:lang w:eastAsia="es-CR"/>
              </w:rPr>
              <w:t>-17,91%</w:t>
            </w:r>
          </w:p>
        </w:tc>
      </w:tr>
      <w:tr w:rsidR="00CD55E7" w:rsidRPr="00153951" w14:paraId="13589A34" w14:textId="77777777" w:rsidTr="0061790F">
        <w:trPr>
          <w:trHeight w:val="300"/>
        </w:trPr>
        <w:tc>
          <w:tcPr>
            <w:tcW w:w="1031" w:type="dxa"/>
            <w:tcBorders>
              <w:top w:val="nil"/>
              <w:left w:val="single" w:sz="8" w:space="0" w:color="auto"/>
              <w:bottom w:val="nil"/>
              <w:right w:val="single" w:sz="8" w:space="0" w:color="auto"/>
            </w:tcBorders>
            <w:shd w:val="clear" w:color="auto" w:fill="auto"/>
            <w:noWrap/>
            <w:vAlign w:val="bottom"/>
            <w:hideMark/>
          </w:tcPr>
          <w:p w14:paraId="766A71C3" w14:textId="77777777" w:rsidR="00CD55E7" w:rsidRPr="00153951" w:rsidRDefault="00CD55E7" w:rsidP="0061790F">
            <w:pPr>
              <w:spacing w:after="0" w:line="240" w:lineRule="auto"/>
              <w:jc w:val="left"/>
              <w:rPr>
                <w:rFonts w:eastAsia="Times New Roman" w:cs="Calibri"/>
                <w:color w:val="000000"/>
                <w:sz w:val="18"/>
                <w:szCs w:val="18"/>
                <w:lang w:eastAsia="es-CR"/>
              </w:rPr>
            </w:pPr>
            <w:r w:rsidRPr="00153951">
              <w:rPr>
                <w:rFonts w:eastAsia="Times New Roman" w:cs="Calibri"/>
                <w:color w:val="000000"/>
                <w:sz w:val="18"/>
                <w:szCs w:val="18"/>
                <w:lang w:eastAsia="es-CR"/>
              </w:rPr>
              <w:t>1.1.4.01.99.04.</w:t>
            </w:r>
          </w:p>
        </w:tc>
        <w:tc>
          <w:tcPr>
            <w:tcW w:w="3774" w:type="dxa"/>
            <w:tcBorders>
              <w:top w:val="nil"/>
              <w:left w:val="nil"/>
              <w:bottom w:val="nil"/>
              <w:right w:val="single" w:sz="8" w:space="0" w:color="auto"/>
            </w:tcBorders>
            <w:shd w:val="clear" w:color="auto" w:fill="auto"/>
            <w:vAlign w:val="bottom"/>
            <w:hideMark/>
          </w:tcPr>
          <w:p w14:paraId="6C9B467D" w14:textId="77777777" w:rsidR="00CD55E7" w:rsidRPr="00153951" w:rsidRDefault="00CD55E7" w:rsidP="0061790F">
            <w:pPr>
              <w:spacing w:after="0" w:line="240" w:lineRule="auto"/>
              <w:jc w:val="left"/>
              <w:rPr>
                <w:rFonts w:eastAsia="Times New Roman" w:cs="Calibri"/>
                <w:color w:val="000000"/>
                <w:sz w:val="18"/>
                <w:szCs w:val="18"/>
                <w:lang w:eastAsia="es-CR"/>
              </w:rPr>
            </w:pPr>
            <w:r w:rsidRPr="00153951">
              <w:rPr>
                <w:rFonts w:eastAsia="Times New Roman" w:cs="Calibri"/>
                <w:color w:val="000000"/>
                <w:sz w:val="18"/>
                <w:szCs w:val="18"/>
                <w:lang w:eastAsia="es-CR"/>
              </w:rPr>
              <w:t>Textiles y vestuario</w:t>
            </w:r>
          </w:p>
        </w:tc>
        <w:tc>
          <w:tcPr>
            <w:tcW w:w="1333" w:type="dxa"/>
            <w:tcBorders>
              <w:top w:val="nil"/>
              <w:left w:val="nil"/>
              <w:bottom w:val="nil"/>
              <w:right w:val="single" w:sz="8" w:space="0" w:color="auto"/>
            </w:tcBorders>
            <w:shd w:val="clear" w:color="000000" w:fill="FFFFFF"/>
            <w:noWrap/>
            <w:vAlign w:val="bottom"/>
            <w:hideMark/>
          </w:tcPr>
          <w:p w14:paraId="1BEC24F8" w14:textId="5DF587AC" w:rsidR="00CD55E7" w:rsidRPr="00153951" w:rsidRDefault="00CD55E7" w:rsidP="0061790F">
            <w:pPr>
              <w:spacing w:after="0" w:line="240" w:lineRule="auto"/>
              <w:jc w:val="right"/>
              <w:rPr>
                <w:rFonts w:eastAsia="Times New Roman" w:cs="Calibri"/>
                <w:color w:val="000000"/>
                <w:sz w:val="18"/>
                <w:szCs w:val="18"/>
                <w:lang w:eastAsia="es-CR"/>
              </w:rPr>
            </w:pPr>
            <w:r w:rsidRPr="00153951">
              <w:rPr>
                <w:rFonts w:eastAsia="Times New Roman" w:cs="Calibri"/>
                <w:color w:val="000000"/>
                <w:sz w:val="18"/>
                <w:szCs w:val="18"/>
                <w:lang w:eastAsia="es-CR"/>
              </w:rPr>
              <w:t>432,</w:t>
            </w:r>
            <w:r w:rsidR="00796636">
              <w:rPr>
                <w:rFonts w:eastAsia="Times New Roman" w:cs="Calibri"/>
                <w:color w:val="000000"/>
                <w:sz w:val="18"/>
                <w:szCs w:val="18"/>
                <w:lang w:eastAsia="es-CR"/>
              </w:rPr>
              <w:t>31</w:t>
            </w:r>
          </w:p>
        </w:tc>
        <w:tc>
          <w:tcPr>
            <w:tcW w:w="1333" w:type="dxa"/>
            <w:tcBorders>
              <w:top w:val="nil"/>
              <w:left w:val="nil"/>
              <w:bottom w:val="nil"/>
              <w:right w:val="single" w:sz="8" w:space="0" w:color="auto"/>
            </w:tcBorders>
            <w:shd w:val="clear" w:color="000000" w:fill="FFFFFF"/>
            <w:noWrap/>
            <w:vAlign w:val="bottom"/>
            <w:hideMark/>
          </w:tcPr>
          <w:p w14:paraId="4D5305CD" w14:textId="77777777" w:rsidR="00CD55E7" w:rsidRPr="00153951" w:rsidRDefault="00CD55E7" w:rsidP="0061790F">
            <w:pPr>
              <w:spacing w:after="0" w:line="240" w:lineRule="auto"/>
              <w:jc w:val="right"/>
              <w:rPr>
                <w:rFonts w:eastAsia="Times New Roman" w:cs="Calibri"/>
                <w:color w:val="000000"/>
                <w:sz w:val="18"/>
                <w:szCs w:val="18"/>
                <w:lang w:eastAsia="es-CR"/>
              </w:rPr>
            </w:pPr>
            <w:r w:rsidRPr="00153951">
              <w:rPr>
                <w:rFonts w:eastAsia="Times New Roman" w:cs="Calibri"/>
                <w:color w:val="000000"/>
                <w:sz w:val="18"/>
                <w:szCs w:val="18"/>
                <w:lang w:eastAsia="es-CR"/>
              </w:rPr>
              <w:t>334,41</w:t>
            </w:r>
          </w:p>
        </w:tc>
        <w:tc>
          <w:tcPr>
            <w:tcW w:w="1087" w:type="dxa"/>
            <w:tcBorders>
              <w:top w:val="nil"/>
              <w:left w:val="nil"/>
              <w:bottom w:val="nil"/>
              <w:right w:val="nil"/>
            </w:tcBorders>
            <w:shd w:val="clear" w:color="000000" w:fill="FFFFFF"/>
            <w:noWrap/>
            <w:vAlign w:val="bottom"/>
            <w:hideMark/>
          </w:tcPr>
          <w:p w14:paraId="05125CCC" w14:textId="77777777" w:rsidR="00CD55E7" w:rsidRPr="00153951" w:rsidRDefault="00CD55E7" w:rsidP="0061790F">
            <w:pPr>
              <w:spacing w:after="0" w:line="240" w:lineRule="auto"/>
              <w:jc w:val="right"/>
              <w:rPr>
                <w:rFonts w:eastAsia="Times New Roman" w:cs="Calibri"/>
                <w:color w:val="000000"/>
                <w:sz w:val="18"/>
                <w:szCs w:val="18"/>
                <w:lang w:eastAsia="es-CR"/>
              </w:rPr>
            </w:pPr>
            <w:r w:rsidRPr="00153951">
              <w:rPr>
                <w:rFonts w:eastAsia="Times New Roman" w:cs="Calibri"/>
                <w:color w:val="000000"/>
                <w:sz w:val="18"/>
                <w:szCs w:val="18"/>
                <w:lang w:eastAsia="es-CR"/>
              </w:rPr>
              <w:t>97,90</w:t>
            </w:r>
          </w:p>
        </w:tc>
        <w:tc>
          <w:tcPr>
            <w:tcW w:w="882" w:type="dxa"/>
            <w:tcBorders>
              <w:top w:val="nil"/>
              <w:left w:val="single" w:sz="8" w:space="0" w:color="auto"/>
              <w:bottom w:val="nil"/>
              <w:right w:val="single" w:sz="8" w:space="0" w:color="auto"/>
            </w:tcBorders>
            <w:shd w:val="clear" w:color="auto" w:fill="auto"/>
            <w:noWrap/>
            <w:vAlign w:val="bottom"/>
            <w:hideMark/>
          </w:tcPr>
          <w:p w14:paraId="2C7EB0FD" w14:textId="77777777" w:rsidR="00CD55E7" w:rsidRPr="00153951" w:rsidRDefault="00CD55E7" w:rsidP="0061790F">
            <w:pPr>
              <w:spacing w:after="0" w:line="240" w:lineRule="auto"/>
              <w:jc w:val="right"/>
              <w:rPr>
                <w:rFonts w:eastAsia="Times New Roman" w:cs="Calibri"/>
                <w:color w:val="000000"/>
                <w:sz w:val="18"/>
                <w:szCs w:val="18"/>
                <w:lang w:eastAsia="es-CR"/>
              </w:rPr>
            </w:pPr>
            <w:r w:rsidRPr="00153951">
              <w:rPr>
                <w:rFonts w:eastAsia="Times New Roman" w:cs="Calibri"/>
                <w:color w:val="000000"/>
                <w:sz w:val="18"/>
                <w:szCs w:val="18"/>
                <w:lang w:eastAsia="es-CR"/>
              </w:rPr>
              <w:t>29,27%</w:t>
            </w:r>
          </w:p>
        </w:tc>
      </w:tr>
      <w:tr w:rsidR="00CD55E7" w:rsidRPr="00153951" w14:paraId="771A2594" w14:textId="77777777" w:rsidTr="0061790F">
        <w:trPr>
          <w:trHeight w:val="300"/>
        </w:trPr>
        <w:tc>
          <w:tcPr>
            <w:tcW w:w="1031" w:type="dxa"/>
            <w:tcBorders>
              <w:top w:val="nil"/>
              <w:left w:val="single" w:sz="8" w:space="0" w:color="auto"/>
              <w:bottom w:val="nil"/>
              <w:right w:val="single" w:sz="8" w:space="0" w:color="auto"/>
            </w:tcBorders>
            <w:shd w:val="clear" w:color="auto" w:fill="auto"/>
            <w:noWrap/>
            <w:vAlign w:val="bottom"/>
            <w:hideMark/>
          </w:tcPr>
          <w:p w14:paraId="49206A86" w14:textId="77777777" w:rsidR="00CD55E7" w:rsidRPr="00153951" w:rsidRDefault="00CD55E7" w:rsidP="0061790F">
            <w:pPr>
              <w:spacing w:after="0" w:line="240" w:lineRule="auto"/>
              <w:jc w:val="left"/>
              <w:rPr>
                <w:rFonts w:eastAsia="Times New Roman" w:cs="Calibri"/>
                <w:color w:val="000000"/>
                <w:sz w:val="18"/>
                <w:szCs w:val="18"/>
                <w:lang w:eastAsia="es-CR"/>
              </w:rPr>
            </w:pPr>
            <w:r w:rsidRPr="00153951">
              <w:rPr>
                <w:rFonts w:eastAsia="Times New Roman" w:cs="Calibri"/>
                <w:color w:val="000000"/>
                <w:sz w:val="18"/>
                <w:szCs w:val="18"/>
                <w:lang w:eastAsia="es-CR"/>
              </w:rPr>
              <w:t>1.1.4.01.99.05.</w:t>
            </w:r>
          </w:p>
        </w:tc>
        <w:tc>
          <w:tcPr>
            <w:tcW w:w="3774" w:type="dxa"/>
            <w:tcBorders>
              <w:top w:val="nil"/>
              <w:left w:val="nil"/>
              <w:bottom w:val="nil"/>
              <w:right w:val="single" w:sz="8" w:space="0" w:color="auto"/>
            </w:tcBorders>
            <w:shd w:val="clear" w:color="auto" w:fill="auto"/>
            <w:vAlign w:val="bottom"/>
            <w:hideMark/>
          </w:tcPr>
          <w:p w14:paraId="7BA361E8" w14:textId="77777777" w:rsidR="00CD55E7" w:rsidRPr="00153951" w:rsidRDefault="00CD55E7" w:rsidP="0061790F">
            <w:pPr>
              <w:spacing w:after="0" w:line="240" w:lineRule="auto"/>
              <w:jc w:val="left"/>
              <w:rPr>
                <w:rFonts w:eastAsia="Times New Roman" w:cs="Calibri"/>
                <w:color w:val="000000"/>
                <w:sz w:val="18"/>
                <w:szCs w:val="18"/>
                <w:lang w:eastAsia="es-CR"/>
              </w:rPr>
            </w:pPr>
            <w:r w:rsidRPr="00153951">
              <w:rPr>
                <w:rFonts w:eastAsia="Times New Roman" w:cs="Calibri"/>
                <w:color w:val="000000"/>
                <w:sz w:val="18"/>
                <w:szCs w:val="18"/>
                <w:lang w:eastAsia="es-CR"/>
              </w:rPr>
              <w:t>Útiles y materiales de limpieza</w:t>
            </w:r>
          </w:p>
        </w:tc>
        <w:tc>
          <w:tcPr>
            <w:tcW w:w="1333" w:type="dxa"/>
            <w:tcBorders>
              <w:top w:val="nil"/>
              <w:left w:val="nil"/>
              <w:bottom w:val="nil"/>
              <w:right w:val="single" w:sz="8" w:space="0" w:color="auto"/>
            </w:tcBorders>
            <w:shd w:val="clear" w:color="000000" w:fill="FFFFFF"/>
            <w:noWrap/>
            <w:vAlign w:val="bottom"/>
            <w:hideMark/>
          </w:tcPr>
          <w:p w14:paraId="45EFE935" w14:textId="77777777" w:rsidR="00CD55E7" w:rsidRPr="00153951" w:rsidRDefault="00CD55E7" w:rsidP="0061790F">
            <w:pPr>
              <w:spacing w:after="0" w:line="240" w:lineRule="auto"/>
              <w:jc w:val="right"/>
              <w:rPr>
                <w:rFonts w:eastAsia="Times New Roman" w:cs="Calibri"/>
                <w:color w:val="000000"/>
                <w:sz w:val="18"/>
                <w:szCs w:val="18"/>
                <w:lang w:eastAsia="es-CR"/>
              </w:rPr>
            </w:pPr>
            <w:r w:rsidRPr="00153951">
              <w:rPr>
                <w:rFonts w:eastAsia="Times New Roman" w:cs="Calibri"/>
                <w:color w:val="000000"/>
                <w:sz w:val="18"/>
                <w:szCs w:val="18"/>
                <w:lang w:eastAsia="es-CR"/>
              </w:rPr>
              <w:t>3 938,88</w:t>
            </w:r>
          </w:p>
        </w:tc>
        <w:tc>
          <w:tcPr>
            <w:tcW w:w="1333" w:type="dxa"/>
            <w:tcBorders>
              <w:top w:val="nil"/>
              <w:left w:val="nil"/>
              <w:bottom w:val="nil"/>
              <w:right w:val="single" w:sz="8" w:space="0" w:color="auto"/>
            </w:tcBorders>
            <w:shd w:val="clear" w:color="000000" w:fill="FFFFFF"/>
            <w:noWrap/>
            <w:vAlign w:val="bottom"/>
            <w:hideMark/>
          </w:tcPr>
          <w:p w14:paraId="1FD26DB3" w14:textId="77777777" w:rsidR="00CD55E7" w:rsidRPr="00153951" w:rsidRDefault="00CD55E7" w:rsidP="0061790F">
            <w:pPr>
              <w:spacing w:after="0" w:line="240" w:lineRule="auto"/>
              <w:jc w:val="right"/>
              <w:rPr>
                <w:rFonts w:eastAsia="Times New Roman" w:cs="Calibri"/>
                <w:color w:val="000000"/>
                <w:sz w:val="18"/>
                <w:szCs w:val="18"/>
                <w:lang w:eastAsia="es-CR"/>
              </w:rPr>
            </w:pPr>
            <w:r w:rsidRPr="00153951">
              <w:rPr>
                <w:rFonts w:eastAsia="Times New Roman" w:cs="Calibri"/>
                <w:color w:val="000000"/>
                <w:sz w:val="18"/>
                <w:szCs w:val="18"/>
                <w:lang w:eastAsia="es-CR"/>
              </w:rPr>
              <w:t>2 060,93</w:t>
            </w:r>
          </w:p>
        </w:tc>
        <w:tc>
          <w:tcPr>
            <w:tcW w:w="1087" w:type="dxa"/>
            <w:tcBorders>
              <w:top w:val="nil"/>
              <w:left w:val="nil"/>
              <w:bottom w:val="nil"/>
              <w:right w:val="nil"/>
            </w:tcBorders>
            <w:shd w:val="clear" w:color="000000" w:fill="FFFFFF"/>
            <w:noWrap/>
            <w:vAlign w:val="bottom"/>
            <w:hideMark/>
          </w:tcPr>
          <w:p w14:paraId="66C71E87" w14:textId="77777777" w:rsidR="00CD55E7" w:rsidRPr="00153951" w:rsidRDefault="00CD55E7" w:rsidP="0061790F">
            <w:pPr>
              <w:spacing w:after="0" w:line="240" w:lineRule="auto"/>
              <w:jc w:val="right"/>
              <w:rPr>
                <w:rFonts w:eastAsia="Times New Roman" w:cs="Calibri"/>
                <w:color w:val="000000"/>
                <w:sz w:val="18"/>
                <w:szCs w:val="18"/>
                <w:lang w:eastAsia="es-CR"/>
              </w:rPr>
            </w:pPr>
            <w:r w:rsidRPr="00153951">
              <w:rPr>
                <w:rFonts w:eastAsia="Times New Roman" w:cs="Calibri"/>
                <w:color w:val="000000"/>
                <w:sz w:val="18"/>
                <w:szCs w:val="18"/>
                <w:lang w:eastAsia="es-CR"/>
              </w:rPr>
              <w:t>1 877,95</w:t>
            </w:r>
          </w:p>
        </w:tc>
        <w:tc>
          <w:tcPr>
            <w:tcW w:w="882" w:type="dxa"/>
            <w:tcBorders>
              <w:top w:val="nil"/>
              <w:left w:val="single" w:sz="8" w:space="0" w:color="auto"/>
              <w:bottom w:val="nil"/>
              <w:right w:val="single" w:sz="8" w:space="0" w:color="auto"/>
            </w:tcBorders>
            <w:shd w:val="clear" w:color="auto" w:fill="auto"/>
            <w:noWrap/>
            <w:vAlign w:val="bottom"/>
            <w:hideMark/>
          </w:tcPr>
          <w:p w14:paraId="7FEB0B36" w14:textId="77777777" w:rsidR="00CD55E7" w:rsidRPr="00153951" w:rsidRDefault="00CD55E7" w:rsidP="0061790F">
            <w:pPr>
              <w:spacing w:after="0" w:line="240" w:lineRule="auto"/>
              <w:jc w:val="right"/>
              <w:rPr>
                <w:rFonts w:eastAsia="Times New Roman" w:cs="Calibri"/>
                <w:color w:val="000000"/>
                <w:sz w:val="18"/>
                <w:szCs w:val="18"/>
                <w:lang w:eastAsia="es-CR"/>
              </w:rPr>
            </w:pPr>
            <w:r w:rsidRPr="00153951">
              <w:rPr>
                <w:rFonts w:eastAsia="Times New Roman" w:cs="Calibri"/>
                <w:color w:val="000000"/>
                <w:sz w:val="18"/>
                <w:szCs w:val="18"/>
                <w:lang w:eastAsia="es-CR"/>
              </w:rPr>
              <w:t>91,12%</w:t>
            </w:r>
          </w:p>
        </w:tc>
      </w:tr>
      <w:tr w:rsidR="00CD55E7" w:rsidRPr="00153951" w14:paraId="42952F64" w14:textId="77777777" w:rsidTr="0061790F">
        <w:trPr>
          <w:trHeight w:val="300"/>
        </w:trPr>
        <w:tc>
          <w:tcPr>
            <w:tcW w:w="1031" w:type="dxa"/>
            <w:tcBorders>
              <w:top w:val="nil"/>
              <w:left w:val="single" w:sz="8" w:space="0" w:color="auto"/>
              <w:bottom w:val="nil"/>
              <w:right w:val="single" w:sz="8" w:space="0" w:color="auto"/>
            </w:tcBorders>
            <w:shd w:val="clear" w:color="auto" w:fill="auto"/>
            <w:noWrap/>
            <w:vAlign w:val="bottom"/>
            <w:hideMark/>
          </w:tcPr>
          <w:p w14:paraId="41208E7C" w14:textId="77777777" w:rsidR="00CD55E7" w:rsidRPr="00153951" w:rsidRDefault="00CD55E7" w:rsidP="0061790F">
            <w:pPr>
              <w:spacing w:after="0" w:line="240" w:lineRule="auto"/>
              <w:jc w:val="left"/>
              <w:rPr>
                <w:rFonts w:eastAsia="Times New Roman" w:cs="Calibri"/>
                <w:color w:val="000000"/>
                <w:sz w:val="18"/>
                <w:szCs w:val="18"/>
                <w:lang w:eastAsia="es-CR"/>
              </w:rPr>
            </w:pPr>
            <w:r w:rsidRPr="00153951">
              <w:rPr>
                <w:rFonts w:eastAsia="Times New Roman" w:cs="Calibri"/>
                <w:color w:val="000000"/>
                <w:sz w:val="18"/>
                <w:szCs w:val="18"/>
                <w:lang w:eastAsia="es-CR"/>
              </w:rPr>
              <w:t>1.1.4.01.99.06.</w:t>
            </w:r>
          </w:p>
        </w:tc>
        <w:tc>
          <w:tcPr>
            <w:tcW w:w="3774" w:type="dxa"/>
            <w:tcBorders>
              <w:top w:val="nil"/>
              <w:left w:val="nil"/>
              <w:bottom w:val="nil"/>
              <w:right w:val="single" w:sz="8" w:space="0" w:color="auto"/>
            </w:tcBorders>
            <w:shd w:val="clear" w:color="auto" w:fill="auto"/>
            <w:vAlign w:val="bottom"/>
            <w:hideMark/>
          </w:tcPr>
          <w:p w14:paraId="1906FE4B" w14:textId="77777777" w:rsidR="00CD55E7" w:rsidRPr="00153951" w:rsidRDefault="00CD55E7" w:rsidP="0061790F">
            <w:pPr>
              <w:spacing w:after="0" w:line="240" w:lineRule="auto"/>
              <w:jc w:val="left"/>
              <w:rPr>
                <w:rFonts w:eastAsia="Times New Roman" w:cs="Calibri"/>
                <w:color w:val="000000"/>
                <w:sz w:val="18"/>
                <w:szCs w:val="18"/>
                <w:lang w:eastAsia="es-CR"/>
              </w:rPr>
            </w:pPr>
            <w:r w:rsidRPr="00153951">
              <w:rPr>
                <w:rFonts w:eastAsia="Times New Roman" w:cs="Calibri"/>
                <w:color w:val="000000"/>
                <w:sz w:val="18"/>
                <w:szCs w:val="18"/>
                <w:lang w:eastAsia="es-CR"/>
              </w:rPr>
              <w:t>Útiles y materiales de resguardo y seguridad</w:t>
            </w:r>
          </w:p>
        </w:tc>
        <w:tc>
          <w:tcPr>
            <w:tcW w:w="1333" w:type="dxa"/>
            <w:tcBorders>
              <w:top w:val="nil"/>
              <w:left w:val="nil"/>
              <w:bottom w:val="nil"/>
              <w:right w:val="single" w:sz="8" w:space="0" w:color="auto"/>
            </w:tcBorders>
            <w:shd w:val="clear" w:color="000000" w:fill="FFFFFF"/>
            <w:noWrap/>
            <w:vAlign w:val="bottom"/>
            <w:hideMark/>
          </w:tcPr>
          <w:p w14:paraId="3C565585" w14:textId="77777777" w:rsidR="00CD55E7" w:rsidRPr="00153951" w:rsidRDefault="00CD55E7" w:rsidP="0061790F">
            <w:pPr>
              <w:spacing w:after="0" w:line="240" w:lineRule="auto"/>
              <w:jc w:val="right"/>
              <w:rPr>
                <w:rFonts w:eastAsia="Times New Roman" w:cs="Calibri"/>
                <w:color w:val="000000"/>
                <w:sz w:val="18"/>
                <w:szCs w:val="18"/>
                <w:lang w:eastAsia="es-CR"/>
              </w:rPr>
            </w:pPr>
            <w:r w:rsidRPr="00153951">
              <w:rPr>
                <w:rFonts w:eastAsia="Times New Roman" w:cs="Calibri"/>
                <w:color w:val="000000"/>
                <w:sz w:val="18"/>
                <w:szCs w:val="18"/>
                <w:lang w:eastAsia="es-CR"/>
              </w:rPr>
              <w:t>3 707,52</w:t>
            </w:r>
          </w:p>
        </w:tc>
        <w:tc>
          <w:tcPr>
            <w:tcW w:w="1333" w:type="dxa"/>
            <w:tcBorders>
              <w:top w:val="nil"/>
              <w:left w:val="nil"/>
              <w:bottom w:val="nil"/>
              <w:right w:val="single" w:sz="8" w:space="0" w:color="auto"/>
            </w:tcBorders>
            <w:shd w:val="clear" w:color="000000" w:fill="FFFFFF"/>
            <w:noWrap/>
            <w:vAlign w:val="bottom"/>
            <w:hideMark/>
          </w:tcPr>
          <w:p w14:paraId="571B93BA" w14:textId="77777777" w:rsidR="00CD55E7" w:rsidRPr="00153951" w:rsidRDefault="00CD55E7" w:rsidP="0061790F">
            <w:pPr>
              <w:spacing w:after="0" w:line="240" w:lineRule="auto"/>
              <w:jc w:val="right"/>
              <w:rPr>
                <w:rFonts w:eastAsia="Times New Roman" w:cs="Calibri"/>
                <w:color w:val="000000"/>
                <w:sz w:val="18"/>
                <w:szCs w:val="18"/>
                <w:lang w:eastAsia="es-CR"/>
              </w:rPr>
            </w:pPr>
            <w:r w:rsidRPr="00153951">
              <w:rPr>
                <w:rFonts w:eastAsia="Times New Roman" w:cs="Calibri"/>
                <w:color w:val="000000"/>
                <w:sz w:val="18"/>
                <w:szCs w:val="18"/>
                <w:lang w:eastAsia="es-CR"/>
              </w:rPr>
              <w:t>1 861,74</w:t>
            </w:r>
          </w:p>
        </w:tc>
        <w:tc>
          <w:tcPr>
            <w:tcW w:w="1087" w:type="dxa"/>
            <w:tcBorders>
              <w:top w:val="nil"/>
              <w:left w:val="nil"/>
              <w:bottom w:val="nil"/>
              <w:right w:val="nil"/>
            </w:tcBorders>
            <w:shd w:val="clear" w:color="000000" w:fill="FFFFFF"/>
            <w:noWrap/>
            <w:vAlign w:val="bottom"/>
            <w:hideMark/>
          </w:tcPr>
          <w:p w14:paraId="57FF1A30" w14:textId="77777777" w:rsidR="00CD55E7" w:rsidRPr="00153951" w:rsidRDefault="00CD55E7" w:rsidP="0061790F">
            <w:pPr>
              <w:spacing w:after="0" w:line="240" w:lineRule="auto"/>
              <w:jc w:val="right"/>
              <w:rPr>
                <w:rFonts w:eastAsia="Times New Roman" w:cs="Calibri"/>
                <w:color w:val="000000"/>
                <w:sz w:val="18"/>
                <w:szCs w:val="18"/>
                <w:lang w:eastAsia="es-CR"/>
              </w:rPr>
            </w:pPr>
            <w:r w:rsidRPr="00153951">
              <w:rPr>
                <w:rFonts w:eastAsia="Times New Roman" w:cs="Calibri"/>
                <w:color w:val="000000"/>
                <w:sz w:val="18"/>
                <w:szCs w:val="18"/>
                <w:lang w:eastAsia="es-CR"/>
              </w:rPr>
              <w:t>1 845,78</w:t>
            </w:r>
          </w:p>
        </w:tc>
        <w:tc>
          <w:tcPr>
            <w:tcW w:w="882" w:type="dxa"/>
            <w:tcBorders>
              <w:top w:val="nil"/>
              <w:left w:val="single" w:sz="8" w:space="0" w:color="auto"/>
              <w:bottom w:val="nil"/>
              <w:right w:val="single" w:sz="8" w:space="0" w:color="auto"/>
            </w:tcBorders>
            <w:shd w:val="clear" w:color="auto" w:fill="auto"/>
            <w:noWrap/>
            <w:vAlign w:val="bottom"/>
            <w:hideMark/>
          </w:tcPr>
          <w:p w14:paraId="709C988C" w14:textId="77777777" w:rsidR="00CD55E7" w:rsidRPr="00153951" w:rsidRDefault="00CD55E7" w:rsidP="0061790F">
            <w:pPr>
              <w:spacing w:after="0" w:line="240" w:lineRule="auto"/>
              <w:jc w:val="right"/>
              <w:rPr>
                <w:rFonts w:eastAsia="Times New Roman" w:cs="Calibri"/>
                <w:color w:val="000000"/>
                <w:sz w:val="18"/>
                <w:szCs w:val="18"/>
                <w:lang w:eastAsia="es-CR"/>
              </w:rPr>
            </w:pPr>
            <w:r w:rsidRPr="00153951">
              <w:rPr>
                <w:rFonts w:eastAsia="Times New Roman" w:cs="Calibri"/>
                <w:color w:val="000000"/>
                <w:sz w:val="18"/>
                <w:szCs w:val="18"/>
                <w:lang w:eastAsia="es-CR"/>
              </w:rPr>
              <w:t>99,14%</w:t>
            </w:r>
          </w:p>
        </w:tc>
      </w:tr>
      <w:tr w:rsidR="00CD55E7" w:rsidRPr="00153951" w14:paraId="185A6389" w14:textId="77777777" w:rsidTr="0061790F">
        <w:trPr>
          <w:trHeight w:val="315"/>
        </w:trPr>
        <w:tc>
          <w:tcPr>
            <w:tcW w:w="1031" w:type="dxa"/>
            <w:tcBorders>
              <w:top w:val="nil"/>
              <w:left w:val="single" w:sz="8" w:space="0" w:color="auto"/>
              <w:bottom w:val="nil"/>
              <w:right w:val="single" w:sz="8" w:space="0" w:color="auto"/>
            </w:tcBorders>
            <w:shd w:val="clear" w:color="auto" w:fill="auto"/>
            <w:noWrap/>
            <w:vAlign w:val="bottom"/>
            <w:hideMark/>
          </w:tcPr>
          <w:p w14:paraId="7047E4F8" w14:textId="77777777" w:rsidR="00CD55E7" w:rsidRPr="00153951" w:rsidRDefault="00CD55E7" w:rsidP="0061790F">
            <w:pPr>
              <w:spacing w:after="0" w:line="240" w:lineRule="auto"/>
              <w:jc w:val="left"/>
              <w:rPr>
                <w:rFonts w:eastAsia="Times New Roman" w:cs="Calibri"/>
                <w:color w:val="000000"/>
                <w:sz w:val="18"/>
                <w:szCs w:val="18"/>
                <w:lang w:eastAsia="es-CR"/>
              </w:rPr>
            </w:pPr>
            <w:r w:rsidRPr="00153951">
              <w:rPr>
                <w:rFonts w:eastAsia="Times New Roman" w:cs="Calibri"/>
                <w:color w:val="000000"/>
                <w:sz w:val="18"/>
                <w:szCs w:val="18"/>
                <w:lang w:eastAsia="es-CR"/>
              </w:rPr>
              <w:t>1.1.4.01.99.99.</w:t>
            </w:r>
          </w:p>
        </w:tc>
        <w:tc>
          <w:tcPr>
            <w:tcW w:w="3774" w:type="dxa"/>
            <w:tcBorders>
              <w:top w:val="nil"/>
              <w:left w:val="nil"/>
              <w:bottom w:val="nil"/>
              <w:right w:val="single" w:sz="8" w:space="0" w:color="auto"/>
            </w:tcBorders>
            <w:shd w:val="clear" w:color="auto" w:fill="auto"/>
            <w:vAlign w:val="bottom"/>
            <w:hideMark/>
          </w:tcPr>
          <w:p w14:paraId="1127EF8A" w14:textId="77777777" w:rsidR="00CD55E7" w:rsidRPr="00153951" w:rsidRDefault="00CD55E7" w:rsidP="0061790F">
            <w:pPr>
              <w:spacing w:after="0" w:line="240" w:lineRule="auto"/>
              <w:jc w:val="left"/>
              <w:rPr>
                <w:rFonts w:eastAsia="Times New Roman" w:cs="Calibri"/>
                <w:color w:val="000000"/>
                <w:sz w:val="18"/>
                <w:szCs w:val="18"/>
                <w:lang w:eastAsia="es-CR"/>
              </w:rPr>
            </w:pPr>
            <w:r w:rsidRPr="00153951">
              <w:rPr>
                <w:rFonts w:eastAsia="Times New Roman" w:cs="Calibri"/>
                <w:color w:val="000000"/>
                <w:sz w:val="18"/>
                <w:szCs w:val="18"/>
                <w:lang w:eastAsia="es-CR"/>
              </w:rPr>
              <w:t>Otros útiles, materiales y suministros diversos</w:t>
            </w:r>
          </w:p>
        </w:tc>
        <w:tc>
          <w:tcPr>
            <w:tcW w:w="1333" w:type="dxa"/>
            <w:tcBorders>
              <w:top w:val="nil"/>
              <w:left w:val="nil"/>
              <w:bottom w:val="nil"/>
              <w:right w:val="single" w:sz="8" w:space="0" w:color="auto"/>
            </w:tcBorders>
            <w:shd w:val="clear" w:color="000000" w:fill="FFFFFF"/>
            <w:noWrap/>
            <w:vAlign w:val="bottom"/>
            <w:hideMark/>
          </w:tcPr>
          <w:p w14:paraId="441D34E9" w14:textId="77777777" w:rsidR="00CD55E7" w:rsidRPr="00153951" w:rsidRDefault="00CD55E7" w:rsidP="0061790F">
            <w:pPr>
              <w:spacing w:after="0" w:line="240" w:lineRule="auto"/>
              <w:jc w:val="right"/>
              <w:rPr>
                <w:rFonts w:eastAsia="Times New Roman" w:cs="Calibri"/>
                <w:color w:val="000000"/>
                <w:sz w:val="18"/>
                <w:szCs w:val="18"/>
                <w:lang w:eastAsia="es-CR"/>
              </w:rPr>
            </w:pPr>
            <w:r w:rsidRPr="00153951">
              <w:rPr>
                <w:rFonts w:eastAsia="Times New Roman" w:cs="Calibri"/>
                <w:color w:val="000000"/>
                <w:sz w:val="18"/>
                <w:szCs w:val="18"/>
                <w:lang w:eastAsia="es-CR"/>
              </w:rPr>
              <w:t>686,77</w:t>
            </w:r>
          </w:p>
        </w:tc>
        <w:tc>
          <w:tcPr>
            <w:tcW w:w="1333" w:type="dxa"/>
            <w:tcBorders>
              <w:top w:val="nil"/>
              <w:left w:val="nil"/>
              <w:bottom w:val="nil"/>
              <w:right w:val="single" w:sz="8" w:space="0" w:color="auto"/>
            </w:tcBorders>
            <w:shd w:val="clear" w:color="000000" w:fill="FFFFFF"/>
            <w:noWrap/>
            <w:vAlign w:val="bottom"/>
            <w:hideMark/>
          </w:tcPr>
          <w:p w14:paraId="2F8395D4" w14:textId="77777777" w:rsidR="00CD55E7" w:rsidRPr="00153951" w:rsidRDefault="00CD55E7" w:rsidP="0061790F">
            <w:pPr>
              <w:spacing w:after="0" w:line="240" w:lineRule="auto"/>
              <w:jc w:val="right"/>
              <w:rPr>
                <w:rFonts w:eastAsia="Times New Roman" w:cs="Calibri"/>
                <w:color w:val="000000"/>
                <w:sz w:val="18"/>
                <w:szCs w:val="18"/>
                <w:lang w:eastAsia="es-CR"/>
              </w:rPr>
            </w:pPr>
            <w:r w:rsidRPr="00153951">
              <w:rPr>
                <w:rFonts w:eastAsia="Times New Roman" w:cs="Calibri"/>
                <w:color w:val="000000"/>
                <w:sz w:val="18"/>
                <w:szCs w:val="18"/>
                <w:lang w:eastAsia="es-CR"/>
              </w:rPr>
              <w:t>533,91</w:t>
            </w:r>
          </w:p>
        </w:tc>
        <w:tc>
          <w:tcPr>
            <w:tcW w:w="1087" w:type="dxa"/>
            <w:tcBorders>
              <w:top w:val="nil"/>
              <w:left w:val="nil"/>
              <w:bottom w:val="nil"/>
              <w:right w:val="nil"/>
            </w:tcBorders>
            <w:shd w:val="clear" w:color="000000" w:fill="FFFFFF"/>
            <w:noWrap/>
            <w:vAlign w:val="bottom"/>
            <w:hideMark/>
          </w:tcPr>
          <w:p w14:paraId="6617AEEB" w14:textId="77777777" w:rsidR="00CD55E7" w:rsidRPr="00153951" w:rsidRDefault="00CD55E7" w:rsidP="0061790F">
            <w:pPr>
              <w:spacing w:after="0" w:line="240" w:lineRule="auto"/>
              <w:jc w:val="right"/>
              <w:rPr>
                <w:rFonts w:eastAsia="Times New Roman" w:cs="Calibri"/>
                <w:color w:val="000000"/>
                <w:sz w:val="18"/>
                <w:szCs w:val="18"/>
                <w:lang w:eastAsia="es-CR"/>
              </w:rPr>
            </w:pPr>
            <w:r w:rsidRPr="00153951">
              <w:rPr>
                <w:rFonts w:eastAsia="Times New Roman" w:cs="Calibri"/>
                <w:color w:val="000000"/>
                <w:sz w:val="18"/>
                <w:szCs w:val="18"/>
                <w:lang w:eastAsia="es-CR"/>
              </w:rPr>
              <w:t>152,86</w:t>
            </w:r>
          </w:p>
        </w:tc>
        <w:tc>
          <w:tcPr>
            <w:tcW w:w="882" w:type="dxa"/>
            <w:tcBorders>
              <w:top w:val="nil"/>
              <w:left w:val="single" w:sz="8" w:space="0" w:color="auto"/>
              <w:bottom w:val="single" w:sz="8" w:space="0" w:color="auto"/>
              <w:right w:val="single" w:sz="8" w:space="0" w:color="auto"/>
            </w:tcBorders>
            <w:shd w:val="clear" w:color="auto" w:fill="auto"/>
            <w:noWrap/>
            <w:vAlign w:val="bottom"/>
            <w:hideMark/>
          </w:tcPr>
          <w:p w14:paraId="359E6376" w14:textId="77777777" w:rsidR="00CD55E7" w:rsidRPr="00153951" w:rsidRDefault="00CD55E7" w:rsidP="0061790F">
            <w:pPr>
              <w:spacing w:after="0" w:line="240" w:lineRule="auto"/>
              <w:jc w:val="center"/>
              <w:rPr>
                <w:rFonts w:eastAsia="Times New Roman" w:cs="Calibri"/>
                <w:color w:val="000000"/>
                <w:sz w:val="18"/>
                <w:szCs w:val="18"/>
                <w:lang w:eastAsia="es-CR"/>
              </w:rPr>
            </w:pPr>
            <w:r w:rsidRPr="00153951">
              <w:rPr>
                <w:rFonts w:eastAsia="Times New Roman" w:cs="Calibri"/>
                <w:color w:val="000000"/>
                <w:sz w:val="18"/>
                <w:szCs w:val="18"/>
                <w:lang w:eastAsia="es-CR"/>
              </w:rPr>
              <w:t>28,63%</w:t>
            </w:r>
          </w:p>
        </w:tc>
      </w:tr>
      <w:tr w:rsidR="00CD55E7" w:rsidRPr="00153951" w14:paraId="5F4546E8" w14:textId="77777777" w:rsidTr="0061790F">
        <w:trPr>
          <w:trHeight w:val="315"/>
        </w:trPr>
        <w:tc>
          <w:tcPr>
            <w:tcW w:w="1031" w:type="dxa"/>
            <w:tcBorders>
              <w:top w:val="single" w:sz="8" w:space="0" w:color="auto"/>
              <w:left w:val="single" w:sz="8" w:space="0" w:color="auto"/>
              <w:bottom w:val="nil"/>
              <w:right w:val="single" w:sz="8" w:space="0" w:color="auto"/>
            </w:tcBorders>
            <w:shd w:val="clear" w:color="000000" w:fill="1F4E78"/>
            <w:noWrap/>
            <w:vAlign w:val="bottom"/>
            <w:hideMark/>
          </w:tcPr>
          <w:p w14:paraId="5EA9450D" w14:textId="77777777" w:rsidR="00CD55E7" w:rsidRPr="00153951" w:rsidRDefault="00CD55E7" w:rsidP="0061790F">
            <w:pPr>
              <w:spacing w:after="0" w:line="240" w:lineRule="auto"/>
              <w:jc w:val="left"/>
              <w:rPr>
                <w:rFonts w:ascii="Calibri" w:eastAsia="Times New Roman" w:hAnsi="Calibri" w:cs="Calibri"/>
                <w:b/>
                <w:bCs/>
                <w:color w:val="FFFFFF"/>
                <w:sz w:val="22"/>
                <w:lang w:eastAsia="es-CR"/>
              </w:rPr>
            </w:pPr>
            <w:r w:rsidRPr="00153951">
              <w:rPr>
                <w:rFonts w:ascii="Calibri" w:eastAsia="Times New Roman" w:hAnsi="Calibri" w:cs="Calibri"/>
                <w:b/>
                <w:bCs/>
                <w:color w:val="FFFFFF"/>
                <w:sz w:val="22"/>
                <w:lang w:eastAsia="es-CR"/>
              </w:rPr>
              <w:t xml:space="preserve"> </w:t>
            </w:r>
          </w:p>
        </w:tc>
        <w:tc>
          <w:tcPr>
            <w:tcW w:w="3774" w:type="dxa"/>
            <w:tcBorders>
              <w:top w:val="single" w:sz="8" w:space="0" w:color="auto"/>
              <w:left w:val="nil"/>
              <w:bottom w:val="nil"/>
              <w:right w:val="nil"/>
            </w:tcBorders>
            <w:shd w:val="clear" w:color="000000" w:fill="1F4E78"/>
            <w:noWrap/>
            <w:vAlign w:val="bottom"/>
            <w:hideMark/>
          </w:tcPr>
          <w:p w14:paraId="1ECAEC1A" w14:textId="77777777" w:rsidR="00CD55E7" w:rsidRPr="00153951" w:rsidRDefault="00CD55E7" w:rsidP="0061790F">
            <w:pPr>
              <w:spacing w:after="0" w:line="240" w:lineRule="auto"/>
              <w:jc w:val="center"/>
              <w:rPr>
                <w:rFonts w:ascii="Calibri" w:eastAsia="Times New Roman" w:hAnsi="Calibri" w:cs="Calibri"/>
                <w:b/>
                <w:bCs/>
                <w:color w:val="FFFFFF"/>
                <w:sz w:val="22"/>
                <w:lang w:eastAsia="es-CR"/>
              </w:rPr>
            </w:pPr>
            <w:r w:rsidRPr="00153951">
              <w:rPr>
                <w:rFonts w:ascii="Calibri" w:eastAsia="Times New Roman" w:hAnsi="Calibri" w:cs="Calibri"/>
                <w:b/>
                <w:bCs/>
                <w:color w:val="FFFFFF"/>
                <w:sz w:val="22"/>
                <w:lang w:eastAsia="es-CR"/>
              </w:rPr>
              <w:t>TOTALES</w:t>
            </w:r>
          </w:p>
        </w:tc>
        <w:tc>
          <w:tcPr>
            <w:tcW w:w="1333" w:type="dxa"/>
            <w:tcBorders>
              <w:top w:val="single" w:sz="8" w:space="0" w:color="auto"/>
              <w:left w:val="single" w:sz="8" w:space="0" w:color="auto"/>
              <w:bottom w:val="single" w:sz="8" w:space="0" w:color="auto"/>
              <w:right w:val="single" w:sz="8" w:space="0" w:color="auto"/>
            </w:tcBorders>
            <w:shd w:val="clear" w:color="000000" w:fill="1F4E78"/>
            <w:noWrap/>
            <w:vAlign w:val="bottom"/>
            <w:hideMark/>
          </w:tcPr>
          <w:p w14:paraId="69D055E5" w14:textId="77677FEA" w:rsidR="00CD55E7" w:rsidRPr="00153951" w:rsidRDefault="00CD55E7" w:rsidP="0061790F">
            <w:pPr>
              <w:spacing w:after="0" w:line="240" w:lineRule="auto"/>
              <w:jc w:val="right"/>
              <w:rPr>
                <w:rFonts w:ascii="Calibri" w:eastAsia="Times New Roman" w:hAnsi="Calibri" w:cs="Calibri"/>
                <w:b/>
                <w:bCs/>
                <w:color w:val="FFFFFF"/>
                <w:sz w:val="20"/>
                <w:szCs w:val="20"/>
                <w:lang w:eastAsia="es-CR"/>
              </w:rPr>
            </w:pPr>
            <w:r w:rsidRPr="00153951">
              <w:rPr>
                <w:rFonts w:ascii="Calibri" w:eastAsia="Times New Roman" w:hAnsi="Calibri" w:cs="Calibri"/>
                <w:b/>
                <w:bCs/>
                <w:color w:val="FFFFFF"/>
                <w:sz w:val="20"/>
                <w:szCs w:val="20"/>
                <w:lang w:eastAsia="es-CR"/>
              </w:rPr>
              <w:t xml:space="preserve">₡202 </w:t>
            </w:r>
            <w:r w:rsidR="00796636">
              <w:rPr>
                <w:rFonts w:ascii="Calibri" w:eastAsia="Times New Roman" w:hAnsi="Calibri" w:cs="Calibri"/>
                <w:b/>
                <w:bCs/>
                <w:color w:val="FFFFFF"/>
                <w:sz w:val="20"/>
                <w:szCs w:val="20"/>
                <w:lang w:eastAsia="es-CR"/>
              </w:rPr>
              <w:t>31</w:t>
            </w:r>
            <w:r w:rsidRPr="00153951">
              <w:rPr>
                <w:rFonts w:ascii="Calibri" w:eastAsia="Times New Roman" w:hAnsi="Calibri" w:cs="Calibri"/>
                <w:b/>
                <w:bCs/>
                <w:color w:val="FFFFFF"/>
                <w:sz w:val="20"/>
                <w:szCs w:val="20"/>
                <w:lang w:eastAsia="es-CR"/>
              </w:rPr>
              <w:t>2,76</w:t>
            </w:r>
          </w:p>
        </w:tc>
        <w:tc>
          <w:tcPr>
            <w:tcW w:w="1333" w:type="dxa"/>
            <w:tcBorders>
              <w:top w:val="single" w:sz="8" w:space="0" w:color="auto"/>
              <w:left w:val="nil"/>
              <w:bottom w:val="single" w:sz="8" w:space="0" w:color="auto"/>
              <w:right w:val="single" w:sz="8" w:space="0" w:color="auto"/>
            </w:tcBorders>
            <w:shd w:val="clear" w:color="000000" w:fill="1F4E78"/>
            <w:noWrap/>
            <w:vAlign w:val="bottom"/>
            <w:hideMark/>
          </w:tcPr>
          <w:p w14:paraId="787C11B9" w14:textId="77777777" w:rsidR="00CD55E7" w:rsidRPr="00153951" w:rsidRDefault="00CD55E7" w:rsidP="0061790F">
            <w:pPr>
              <w:spacing w:after="0" w:line="240" w:lineRule="auto"/>
              <w:jc w:val="right"/>
              <w:rPr>
                <w:rFonts w:ascii="Calibri" w:eastAsia="Times New Roman" w:hAnsi="Calibri" w:cs="Calibri"/>
                <w:b/>
                <w:bCs/>
                <w:color w:val="FFFFFF"/>
                <w:sz w:val="20"/>
                <w:szCs w:val="20"/>
                <w:lang w:eastAsia="es-CR"/>
              </w:rPr>
            </w:pPr>
            <w:r w:rsidRPr="00153951">
              <w:rPr>
                <w:rFonts w:ascii="Calibri" w:eastAsia="Times New Roman" w:hAnsi="Calibri" w:cs="Calibri"/>
                <w:b/>
                <w:bCs/>
                <w:color w:val="FFFFFF"/>
                <w:sz w:val="20"/>
                <w:szCs w:val="20"/>
                <w:lang w:eastAsia="es-CR"/>
              </w:rPr>
              <w:t>₡186 856,19</w:t>
            </w:r>
          </w:p>
        </w:tc>
        <w:tc>
          <w:tcPr>
            <w:tcW w:w="1087" w:type="dxa"/>
            <w:tcBorders>
              <w:top w:val="single" w:sz="8" w:space="0" w:color="auto"/>
              <w:left w:val="nil"/>
              <w:bottom w:val="single" w:sz="8" w:space="0" w:color="auto"/>
              <w:right w:val="single" w:sz="8" w:space="0" w:color="auto"/>
            </w:tcBorders>
            <w:shd w:val="clear" w:color="000000" w:fill="1F4E78"/>
            <w:noWrap/>
            <w:vAlign w:val="bottom"/>
            <w:hideMark/>
          </w:tcPr>
          <w:p w14:paraId="4AC0D6C0" w14:textId="77777777" w:rsidR="00CD55E7" w:rsidRPr="00153951" w:rsidRDefault="00CD55E7" w:rsidP="0061790F">
            <w:pPr>
              <w:spacing w:after="0" w:line="240" w:lineRule="auto"/>
              <w:jc w:val="right"/>
              <w:rPr>
                <w:rFonts w:ascii="Calibri" w:eastAsia="Times New Roman" w:hAnsi="Calibri" w:cs="Calibri"/>
                <w:b/>
                <w:bCs/>
                <w:color w:val="FFFFFF"/>
                <w:sz w:val="20"/>
                <w:szCs w:val="20"/>
                <w:lang w:eastAsia="es-CR"/>
              </w:rPr>
            </w:pPr>
            <w:r w:rsidRPr="00153951">
              <w:rPr>
                <w:rFonts w:ascii="Calibri" w:eastAsia="Times New Roman" w:hAnsi="Calibri" w:cs="Calibri"/>
                <w:b/>
                <w:bCs/>
                <w:color w:val="FFFFFF"/>
                <w:sz w:val="20"/>
                <w:szCs w:val="20"/>
                <w:lang w:eastAsia="es-CR"/>
              </w:rPr>
              <w:t>₡15 446,57</w:t>
            </w:r>
          </w:p>
        </w:tc>
        <w:tc>
          <w:tcPr>
            <w:tcW w:w="882" w:type="dxa"/>
            <w:tcBorders>
              <w:top w:val="nil"/>
              <w:left w:val="nil"/>
              <w:bottom w:val="single" w:sz="4" w:space="0" w:color="auto"/>
              <w:right w:val="single" w:sz="8" w:space="0" w:color="auto"/>
            </w:tcBorders>
            <w:shd w:val="clear" w:color="000000" w:fill="1F4E78"/>
            <w:noWrap/>
            <w:vAlign w:val="bottom"/>
            <w:hideMark/>
          </w:tcPr>
          <w:p w14:paraId="62FB56FE" w14:textId="77777777" w:rsidR="00CD55E7" w:rsidRPr="00153951" w:rsidRDefault="00CD55E7" w:rsidP="0061790F">
            <w:pPr>
              <w:spacing w:after="0" w:line="240" w:lineRule="auto"/>
              <w:jc w:val="right"/>
              <w:rPr>
                <w:rFonts w:ascii="Calibri" w:eastAsia="Times New Roman" w:hAnsi="Calibri" w:cs="Calibri"/>
                <w:b/>
                <w:bCs/>
                <w:color w:val="FFFFFF"/>
                <w:sz w:val="20"/>
                <w:szCs w:val="20"/>
                <w:lang w:eastAsia="es-CR"/>
              </w:rPr>
            </w:pPr>
            <w:r w:rsidRPr="00153951">
              <w:rPr>
                <w:rFonts w:ascii="Calibri" w:eastAsia="Times New Roman" w:hAnsi="Calibri" w:cs="Calibri"/>
                <w:b/>
                <w:bCs/>
                <w:color w:val="FFFFFF"/>
                <w:sz w:val="20"/>
                <w:szCs w:val="20"/>
                <w:lang w:eastAsia="es-CR"/>
              </w:rPr>
              <w:t>8,27%</w:t>
            </w:r>
          </w:p>
        </w:tc>
      </w:tr>
    </w:tbl>
    <w:p w14:paraId="7FBE1D0D" w14:textId="77777777" w:rsidR="00CD55E7" w:rsidRDefault="00CD55E7" w:rsidP="00CD55E7">
      <w:pPr>
        <w:spacing w:after="120" w:line="240" w:lineRule="auto"/>
        <w:rPr>
          <w:rFonts w:eastAsia="Times New Roman"/>
          <w:szCs w:val="24"/>
          <w:lang w:eastAsia="es-CR"/>
        </w:rPr>
      </w:pPr>
    </w:p>
    <w:tbl>
      <w:tblPr>
        <w:tblW w:w="9620" w:type="dxa"/>
        <w:tblCellMar>
          <w:left w:w="70" w:type="dxa"/>
          <w:right w:w="70" w:type="dxa"/>
        </w:tblCellMar>
        <w:tblLook w:val="04A0" w:firstRow="1" w:lastRow="0" w:firstColumn="1" w:lastColumn="0" w:noHBand="0" w:noVBand="1"/>
      </w:tblPr>
      <w:tblGrid>
        <w:gridCol w:w="1126"/>
        <w:gridCol w:w="3772"/>
        <w:gridCol w:w="1332"/>
        <w:gridCol w:w="1332"/>
        <w:gridCol w:w="1271"/>
        <w:gridCol w:w="924"/>
      </w:tblGrid>
      <w:tr w:rsidR="00DF3AE8" w:rsidRPr="00DF3AE8" w14:paraId="6BB41AB1" w14:textId="77777777" w:rsidTr="00DF3AE8">
        <w:trPr>
          <w:trHeight w:val="615"/>
        </w:trPr>
        <w:tc>
          <w:tcPr>
            <w:tcW w:w="9620" w:type="dxa"/>
            <w:gridSpan w:val="6"/>
            <w:tcBorders>
              <w:top w:val="single" w:sz="8" w:space="0" w:color="auto"/>
              <w:left w:val="single" w:sz="8" w:space="0" w:color="auto"/>
              <w:bottom w:val="nil"/>
              <w:right w:val="single" w:sz="8" w:space="0" w:color="000000"/>
            </w:tcBorders>
            <w:shd w:val="clear" w:color="000000" w:fill="B8CCE4"/>
            <w:vAlign w:val="center"/>
            <w:hideMark/>
          </w:tcPr>
          <w:p w14:paraId="14A07BA5" w14:textId="77777777" w:rsidR="00DF3AE8" w:rsidRPr="00DF3AE8" w:rsidRDefault="00DF3AE8" w:rsidP="00DF3AE8">
            <w:pPr>
              <w:spacing w:after="0" w:line="240" w:lineRule="auto"/>
              <w:jc w:val="center"/>
              <w:rPr>
                <w:rFonts w:eastAsia="Times New Roman" w:cs="Calibri"/>
                <w:b/>
                <w:bCs/>
                <w:color w:val="000000"/>
                <w:sz w:val="22"/>
                <w:lang w:eastAsia="es-CR"/>
              </w:rPr>
            </w:pPr>
            <w:r w:rsidRPr="00DF3AE8">
              <w:rPr>
                <w:rFonts w:eastAsia="Times New Roman" w:cs="Calibri"/>
                <w:b/>
                <w:bCs/>
                <w:color w:val="000000"/>
                <w:sz w:val="22"/>
                <w:lang w:eastAsia="es-CR"/>
              </w:rPr>
              <w:lastRenderedPageBreak/>
              <w:t xml:space="preserve">DETALLE DE INVENTARIOS </w:t>
            </w:r>
            <w:r w:rsidRPr="00DF3AE8">
              <w:rPr>
                <w:rFonts w:eastAsia="Times New Roman" w:cs="Calibri"/>
                <w:b/>
                <w:bCs/>
                <w:color w:val="000000"/>
                <w:sz w:val="22"/>
                <w:lang w:eastAsia="es-CR"/>
              </w:rPr>
              <w:br/>
              <w:t>COMPARATIVO AL 31/12/2024-31/1/2023</w:t>
            </w:r>
          </w:p>
        </w:tc>
      </w:tr>
      <w:tr w:rsidR="00DF3AE8" w:rsidRPr="00DF3AE8" w14:paraId="41BB587A" w14:textId="77777777" w:rsidTr="00DF3AE8">
        <w:trPr>
          <w:trHeight w:val="375"/>
        </w:trPr>
        <w:tc>
          <w:tcPr>
            <w:tcW w:w="9620" w:type="dxa"/>
            <w:gridSpan w:val="6"/>
            <w:tcBorders>
              <w:top w:val="nil"/>
              <w:left w:val="single" w:sz="8" w:space="0" w:color="auto"/>
              <w:bottom w:val="single" w:sz="8" w:space="0" w:color="auto"/>
              <w:right w:val="single" w:sz="8" w:space="0" w:color="000000"/>
            </w:tcBorders>
            <w:shd w:val="clear" w:color="000000" w:fill="B8CCE4"/>
            <w:noWrap/>
            <w:vAlign w:val="center"/>
            <w:hideMark/>
          </w:tcPr>
          <w:p w14:paraId="7770E984" w14:textId="77777777" w:rsidR="00DF3AE8" w:rsidRPr="00DF3AE8" w:rsidRDefault="00DF3AE8" w:rsidP="00DF3AE8">
            <w:pPr>
              <w:spacing w:after="0" w:line="240" w:lineRule="auto"/>
              <w:jc w:val="center"/>
              <w:rPr>
                <w:rFonts w:eastAsia="Times New Roman" w:cs="Calibri"/>
                <w:b/>
                <w:bCs/>
                <w:color w:val="000000"/>
                <w:sz w:val="22"/>
                <w:lang w:eastAsia="es-CR"/>
              </w:rPr>
            </w:pPr>
            <w:r w:rsidRPr="00DF3AE8">
              <w:rPr>
                <w:rFonts w:eastAsia="Times New Roman" w:cs="Calibri"/>
                <w:b/>
                <w:bCs/>
                <w:color w:val="000000"/>
                <w:sz w:val="22"/>
                <w:lang w:eastAsia="es-CR"/>
              </w:rPr>
              <w:t>En miles de colones</w:t>
            </w:r>
          </w:p>
        </w:tc>
      </w:tr>
      <w:tr w:rsidR="00DF3AE8" w:rsidRPr="00DF3AE8" w14:paraId="1F2DCB11" w14:textId="77777777" w:rsidTr="00DF3AE8">
        <w:trPr>
          <w:trHeight w:val="525"/>
        </w:trPr>
        <w:tc>
          <w:tcPr>
            <w:tcW w:w="1032" w:type="dxa"/>
            <w:tcBorders>
              <w:top w:val="nil"/>
              <w:left w:val="single" w:sz="8" w:space="0" w:color="auto"/>
              <w:bottom w:val="single" w:sz="8" w:space="0" w:color="auto"/>
              <w:right w:val="single" w:sz="8" w:space="0" w:color="auto"/>
            </w:tcBorders>
            <w:shd w:val="clear" w:color="000000" w:fill="002060"/>
            <w:noWrap/>
            <w:vAlign w:val="center"/>
            <w:hideMark/>
          </w:tcPr>
          <w:p w14:paraId="4B3E0CF9" w14:textId="77777777" w:rsidR="00DF3AE8" w:rsidRPr="00DF3AE8" w:rsidRDefault="00DF3AE8" w:rsidP="00DF3AE8">
            <w:pPr>
              <w:spacing w:after="0" w:line="240" w:lineRule="auto"/>
              <w:jc w:val="center"/>
              <w:rPr>
                <w:rFonts w:ascii="Calibri" w:eastAsia="Times New Roman" w:hAnsi="Calibri" w:cs="Calibri"/>
                <w:b/>
                <w:bCs/>
                <w:color w:val="FFFFFF"/>
                <w:sz w:val="20"/>
                <w:szCs w:val="20"/>
                <w:lang w:eastAsia="es-CR"/>
              </w:rPr>
            </w:pPr>
            <w:r w:rsidRPr="00DF3AE8">
              <w:rPr>
                <w:rFonts w:ascii="Calibri" w:eastAsia="Times New Roman" w:hAnsi="Calibri" w:cs="Calibri"/>
                <w:b/>
                <w:bCs/>
                <w:color w:val="FFFFFF"/>
                <w:sz w:val="20"/>
                <w:szCs w:val="20"/>
                <w:lang w:eastAsia="es-CR"/>
              </w:rPr>
              <w:t>Código</w:t>
            </w:r>
          </w:p>
        </w:tc>
        <w:tc>
          <w:tcPr>
            <w:tcW w:w="3772" w:type="dxa"/>
            <w:tcBorders>
              <w:top w:val="nil"/>
              <w:left w:val="nil"/>
              <w:bottom w:val="single" w:sz="8" w:space="0" w:color="auto"/>
              <w:right w:val="single" w:sz="8" w:space="0" w:color="auto"/>
            </w:tcBorders>
            <w:shd w:val="clear" w:color="000000" w:fill="002060"/>
            <w:noWrap/>
            <w:vAlign w:val="center"/>
            <w:hideMark/>
          </w:tcPr>
          <w:p w14:paraId="26847F54" w14:textId="77777777" w:rsidR="00DF3AE8" w:rsidRPr="00DF3AE8" w:rsidRDefault="00DF3AE8" w:rsidP="00DF3AE8">
            <w:pPr>
              <w:spacing w:after="0" w:line="240" w:lineRule="auto"/>
              <w:jc w:val="center"/>
              <w:rPr>
                <w:rFonts w:ascii="Calibri" w:eastAsia="Times New Roman" w:hAnsi="Calibri" w:cs="Calibri"/>
                <w:b/>
                <w:bCs/>
                <w:color w:val="FFFFFF"/>
                <w:sz w:val="20"/>
                <w:szCs w:val="20"/>
                <w:lang w:eastAsia="es-CR"/>
              </w:rPr>
            </w:pPr>
            <w:r w:rsidRPr="00DF3AE8">
              <w:rPr>
                <w:rFonts w:ascii="Calibri" w:eastAsia="Times New Roman" w:hAnsi="Calibri" w:cs="Calibri"/>
                <w:b/>
                <w:bCs/>
                <w:color w:val="FFFFFF"/>
                <w:sz w:val="20"/>
                <w:szCs w:val="20"/>
                <w:lang w:eastAsia="es-CR"/>
              </w:rPr>
              <w:t>Descripción</w:t>
            </w:r>
          </w:p>
        </w:tc>
        <w:tc>
          <w:tcPr>
            <w:tcW w:w="1332" w:type="dxa"/>
            <w:tcBorders>
              <w:top w:val="nil"/>
              <w:left w:val="nil"/>
              <w:bottom w:val="single" w:sz="8" w:space="0" w:color="auto"/>
              <w:right w:val="single" w:sz="8" w:space="0" w:color="auto"/>
            </w:tcBorders>
            <w:shd w:val="clear" w:color="000000" w:fill="002060"/>
            <w:vAlign w:val="center"/>
            <w:hideMark/>
          </w:tcPr>
          <w:p w14:paraId="44158F4F" w14:textId="77777777" w:rsidR="00DF3AE8" w:rsidRPr="00DF3AE8" w:rsidRDefault="00DF3AE8" w:rsidP="00DF3AE8">
            <w:pPr>
              <w:spacing w:after="0" w:line="240" w:lineRule="auto"/>
              <w:jc w:val="center"/>
              <w:rPr>
                <w:rFonts w:ascii="Calibri" w:eastAsia="Times New Roman" w:hAnsi="Calibri" w:cs="Calibri"/>
                <w:b/>
                <w:bCs/>
                <w:color w:val="FFFFFF"/>
                <w:sz w:val="20"/>
                <w:szCs w:val="20"/>
                <w:lang w:eastAsia="es-CR"/>
              </w:rPr>
            </w:pPr>
            <w:r w:rsidRPr="00DF3AE8">
              <w:rPr>
                <w:rFonts w:ascii="Calibri" w:eastAsia="Times New Roman" w:hAnsi="Calibri" w:cs="Calibri"/>
                <w:b/>
                <w:bCs/>
                <w:color w:val="FFFFFF"/>
                <w:sz w:val="20"/>
                <w:szCs w:val="20"/>
                <w:lang w:eastAsia="es-CR"/>
              </w:rPr>
              <w:t>Saldo Año Actual</w:t>
            </w:r>
          </w:p>
        </w:tc>
        <w:tc>
          <w:tcPr>
            <w:tcW w:w="1332" w:type="dxa"/>
            <w:tcBorders>
              <w:top w:val="nil"/>
              <w:left w:val="nil"/>
              <w:bottom w:val="single" w:sz="8" w:space="0" w:color="auto"/>
              <w:right w:val="single" w:sz="8" w:space="0" w:color="auto"/>
            </w:tcBorders>
            <w:shd w:val="clear" w:color="000000" w:fill="002060"/>
            <w:vAlign w:val="center"/>
            <w:hideMark/>
          </w:tcPr>
          <w:p w14:paraId="0A27A2B8" w14:textId="77777777" w:rsidR="00DF3AE8" w:rsidRPr="00DF3AE8" w:rsidRDefault="00DF3AE8" w:rsidP="00DF3AE8">
            <w:pPr>
              <w:spacing w:after="0" w:line="240" w:lineRule="auto"/>
              <w:jc w:val="center"/>
              <w:rPr>
                <w:rFonts w:ascii="Calibri" w:eastAsia="Times New Roman" w:hAnsi="Calibri" w:cs="Calibri"/>
                <w:b/>
                <w:bCs/>
                <w:color w:val="FFFFFF"/>
                <w:sz w:val="20"/>
                <w:szCs w:val="20"/>
                <w:lang w:eastAsia="es-CR"/>
              </w:rPr>
            </w:pPr>
            <w:r w:rsidRPr="00DF3AE8">
              <w:rPr>
                <w:rFonts w:ascii="Calibri" w:eastAsia="Times New Roman" w:hAnsi="Calibri" w:cs="Calibri"/>
                <w:b/>
                <w:bCs/>
                <w:color w:val="FFFFFF"/>
                <w:sz w:val="20"/>
                <w:szCs w:val="20"/>
                <w:lang w:eastAsia="es-CR"/>
              </w:rPr>
              <w:t>Saldo Año Anterior</w:t>
            </w:r>
          </w:p>
        </w:tc>
        <w:tc>
          <w:tcPr>
            <w:tcW w:w="1271" w:type="dxa"/>
            <w:tcBorders>
              <w:top w:val="nil"/>
              <w:left w:val="nil"/>
              <w:bottom w:val="single" w:sz="8" w:space="0" w:color="auto"/>
              <w:right w:val="single" w:sz="8" w:space="0" w:color="auto"/>
            </w:tcBorders>
            <w:shd w:val="clear" w:color="000000" w:fill="002060"/>
            <w:vAlign w:val="center"/>
            <w:hideMark/>
          </w:tcPr>
          <w:p w14:paraId="2D9A183B" w14:textId="77777777" w:rsidR="00DF3AE8" w:rsidRPr="00DF3AE8" w:rsidRDefault="00DF3AE8" w:rsidP="00DF3AE8">
            <w:pPr>
              <w:spacing w:after="0" w:line="240" w:lineRule="auto"/>
              <w:jc w:val="center"/>
              <w:rPr>
                <w:rFonts w:ascii="Calibri" w:eastAsia="Times New Roman" w:hAnsi="Calibri" w:cs="Calibri"/>
                <w:b/>
                <w:bCs/>
                <w:color w:val="FFFFFF"/>
                <w:sz w:val="20"/>
                <w:szCs w:val="20"/>
                <w:lang w:eastAsia="es-CR"/>
              </w:rPr>
            </w:pPr>
            <w:r w:rsidRPr="00DF3AE8">
              <w:rPr>
                <w:rFonts w:ascii="Calibri" w:eastAsia="Times New Roman" w:hAnsi="Calibri" w:cs="Calibri"/>
                <w:b/>
                <w:bCs/>
                <w:color w:val="FFFFFF"/>
                <w:sz w:val="20"/>
                <w:szCs w:val="20"/>
                <w:lang w:eastAsia="es-CR"/>
              </w:rPr>
              <w:t>Variación Absoluta</w:t>
            </w:r>
          </w:p>
        </w:tc>
        <w:tc>
          <w:tcPr>
            <w:tcW w:w="881" w:type="dxa"/>
            <w:tcBorders>
              <w:top w:val="nil"/>
              <w:left w:val="nil"/>
              <w:bottom w:val="single" w:sz="8" w:space="0" w:color="auto"/>
              <w:right w:val="single" w:sz="8" w:space="0" w:color="auto"/>
            </w:tcBorders>
            <w:shd w:val="clear" w:color="000000" w:fill="002060"/>
            <w:vAlign w:val="center"/>
            <w:hideMark/>
          </w:tcPr>
          <w:p w14:paraId="0BA0496E" w14:textId="77777777" w:rsidR="00DF3AE8" w:rsidRPr="00DF3AE8" w:rsidRDefault="00DF3AE8" w:rsidP="00DF3AE8">
            <w:pPr>
              <w:spacing w:after="0" w:line="240" w:lineRule="auto"/>
              <w:jc w:val="center"/>
              <w:rPr>
                <w:rFonts w:ascii="Calibri" w:eastAsia="Times New Roman" w:hAnsi="Calibri" w:cs="Calibri"/>
                <w:b/>
                <w:bCs/>
                <w:color w:val="FFFFFF"/>
                <w:sz w:val="20"/>
                <w:szCs w:val="20"/>
                <w:lang w:eastAsia="es-CR"/>
              </w:rPr>
            </w:pPr>
            <w:r w:rsidRPr="00DF3AE8">
              <w:rPr>
                <w:rFonts w:ascii="Calibri" w:eastAsia="Times New Roman" w:hAnsi="Calibri" w:cs="Calibri"/>
                <w:b/>
                <w:bCs/>
                <w:color w:val="FFFFFF"/>
                <w:sz w:val="20"/>
                <w:szCs w:val="20"/>
                <w:lang w:eastAsia="es-CR"/>
              </w:rPr>
              <w:t>Variación %</w:t>
            </w:r>
          </w:p>
        </w:tc>
      </w:tr>
      <w:tr w:rsidR="00DF3AE8" w:rsidRPr="00DF3AE8" w14:paraId="3E7529C7" w14:textId="77777777" w:rsidTr="00DF3AE8">
        <w:trPr>
          <w:trHeight w:val="285"/>
        </w:trPr>
        <w:tc>
          <w:tcPr>
            <w:tcW w:w="1032" w:type="dxa"/>
            <w:tcBorders>
              <w:top w:val="nil"/>
              <w:left w:val="single" w:sz="8" w:space="0" w:color="auto"/>
              <w:bottom w:val="single" w:sz="8" w:space="0" w:color="auto"/>
              <w:right w:val="single" w:sz="8" w:space="0" w:color="auto"/>
            </w:tcBorders>
            <w:shd w:val="clear" w:color="000000" w:fill="DBDBDB"/>
            <w:noWrap/>
            <w:vAlign w:val="bottom"/>
            <w:hideMark/>
          </w:tcPr>
          <w:p w14:paraId="3AD4174E" w14:textId="77777777" w:rsidR="00DF3AE8" w:rsidRPr="00DF3AE8" w:rsidRDefault="00DF3AE8" w:rsidP="00DF3AE8">
            <w:pPr>
              <w:spacing w:after="0" w:line="240" w:lineRule="auto"/>
              <w:jc w:val="left"/>
              <w:rPr>
                <w:rFonts w:eastAsia="Times New Roman" w:cs="Calibri"/>
                <w:b/>
                <w:bCs/>
                <w:color w:val="000000"/>
                <w:sz w:val="18"/>
                <w:szCs w:val="18"/>
                <w:lang w:eastAsia="es-CR"/>
              </w:rPr>
            </w:pPr>
            <w:r w:rsidRPr="00DF3AE8">
              <w:rPr>
                <w:rFonts w:eastAsia="Times New Roman" w:cs="Calibri"/>
                <w:b/>
                <w:bCs/>
                <w:color w:val="000000"/>
                <w:sz w:val="18"/>
                <w:szCs w:val="18"/>
                <w:lang w:eastAsia="es-CR"/>
              </w:rPr>
              <w:t>1.1.4.01.01.</w:t>
            </w:r>
          </w:p>
        </w:tc>
        <w:tc>
          <w:tcPr>
            <w:tcW w:w="3772" w:type="dxa"/>
            <w:tcBorders>
              <w:top w:val="nil"/>
              <w:left w:val="nil"/>
              <w:bottom w:val="single" w:sz="8" w:space="0" w:color="auto"/>
              <w:right w:val="single" w:sz="8" w:space="0" w:color="auto"/>
            </w:tcBorders>
            <w:shd w:val="clear" w:color="000000" w:fill="DBDBDB"/>
            <w:vAlign w:val="bottom"/>
            <w:hideMark/>
          </w:tcPr>
          <w:p w14:paraId="758ED3CA" w14:textId="77777777" w:rsidR="00DF3AE8" w:rsidRPr="00DF3AE8" w:rsidRDefault="00DF3AE8" w:rsidP="00DF3AE8">
            <w:pPr>
              <w:spacing w:after="0" w:line="240" w:lineRule="auto"/>
              <w:jc w:val="left"/>
              <w:rPr>
                <w:rFonts w:eastAsia="Times New Roman" w:cs="Calibri"/>
                <w:b/>
                <w:bCs/>
                <w:color w:val="000000"/>
                <w:sz w:val="18"/>
                <w:szCs w:val="18"/>
                <w:lang w:eastAsia="es-CR"/>
              </w:rPr>
            </w:pPr>
            <w:r w:rsidRPr="00DF3AE8">
              <w:rPr>
                <w:rFonts w:eastAsia="Times New Roman" w:cs="Calibri"/>
                <w:b/>
                <w:bCs/>
                <w:color w:val="000000"/>
                <w:sz w:val="18"/>
                <w:szCs w:val="18"/>
                <w:lang w:eastAsia="es-CR"/>
              </w:rPr>
              <w:t>Productos químicos y conexos</w:t>
            </w:r>
          </w:p>
        </w:tc>
        <w:tc>
          <w:tcPr>
            <w:tcW w:w="1332" w:type="dxa"/>
            <w:tcBorders>
              <w:top w:val="nil"/>
              <w:left w:val="nil"/>
              <w:bottom w:val="single" w:sz="8" w:space="0" w:color="auto"/>
              <w:right w:val="single" w:sz="8" w:space="0" w:color="auto"/>
            </w:tcBorders>
            <w:shd w:val="clear" w:color="000000" w:fill="DBDBDB"/>
            <w:noWrap/>
            <w:vAlign w:val="bottom"/>
            <w:hideMark/>
          </w:tcPr>
          <w:p w14:paraId="035FDF07" w14:textId="77777777" w:rsidR="00DF3AE8" w:rsidRPr="00DF3AE8" w:rsidRDefault="00DF3AE8" w:rsidP="00DF3AE8">
            <w:pPr>
              <w:spacing w:after="0" w:line="240" w:lineRule="auto"/>
              <w:jc w:val="right"/>
              <w:rPr>
                <w:rFonts w:eastAsia="Times New Roman" w:cs="Calibri"/>
                <w:b/>
                <w:bCs/>
                <w:color w:val="000000"/>
                <w:sz w:val="18"/>
                <w:szCs w:val="18"/>
                <w:lang w:eastAsia="es-CR"/>
              </w:rPr>
            </w:pPr>
            <w:r w:rsidRPr="00DF3AE8">
              <w:rPr>
                <w:rFonts w:ascii="Arial" w:eastAsia="Times New Roman" w:hAnsi="Arial" w:cs="Arial"/>
                <w:b/>
                <w:bCs/>
                <w:color w:val="000000"/>
                <w:sz w:val="18"/>
                <w:szCs w:val="18"/>
                <w:lang w:eastAsia="es-CR"/>
              </w:rPr>
              <w:t>₡</w:t>
            </w:r>
            <w:r w:rsidRPr="00DF3AE8">
              <w:rPr>
                <w:rFonts w:eastAsia="Times New Roman" w:cs="Calibri"/>
                <w:b/>
                <w:bCs/>
                <w:color w:val="000000"/>
                <w:sz w:val="18"/>
                <w:szCs w:val="18"/>
                <w:lang w:eastAsia="es-CR"/>
              </w:rPr>
              <w:t>12 516,41</w:t>
            </w:r>
          </w:p>
        </w:tc>
        <w:tc>
          <w:tcPr>
            <w:tcW w:w="1332" w:type="dxa"/>
            <w:tcBorders>
              <w:top w:val="nil"/>
              <w:left w:val="nil"/>
              <w:bottom w:val="single" w:sz="8" w:space="0" w:color="auto"/>
              <w:right w:val="single" w:sz="8" w:space="0" w:color="auto"/>
            </w:tcBorders>
            <w:shd w:val="clear" w:color="000000" w:fill="DBDBDB"/>
            <w:noWrap/>
            <w:vAlign w:val="bottom"/>
            <w:hideMark/>
          </w:tcPr>
          <w:p w14:paraId="0FFBBFBA" w14:textId="77777777" w:rsidR="00DF3AE8" w:rsidRPr="00DF3AE8" w:rsidRDefault="00DF3AE8" w:rsidP="00DF3AE8">
            <w:pPr>
              <w:spacing w:after="0" w:line="240" w:lineRule="auto"/>
              <w:jc w:val="right"/>
              <w:rPr>
                <w:rFonts w:eastAsia="Times New Roman" w:cs="Calibri"/>
                <w:b/>
                <w:bCs/>
                <w:color w:val="000000"/>
                <w:sz w:val="18"/>
                <w:szCs w:val="18"/>
                <w:lang w:eastAsia="es-CR"/>
              </w:rPr>
            </w:pPr>
            <w:r w:rsidRPr="00DF3AE8">
              <w:rPr>
                <w:rFonts w:ascii="Arial" w:eastAsia="Times New Roman" w:hAnsi="Arial" w:cs="Arial"/>
                <w:b/>
                <w:bCs/>
                <w:color w:val="000000"/>
                <w:sz w:val="18"/>
                <w:szCs w:val="18"/>
                <w:lang w:eastAsia="es-CR"/>
              </w:rPr>
              <w:t>₡</w:t>
            </w:r>
            <w:r w:rsidRPr="00DF3AE8">
              <w:rPr>
                <w:rFonts w:eastAsia="Times New Roman" w:cs="Calibri"/>
                <w:b/>
                <w:bCs/>
                <w:color w:val="000000"/>
                <w:sz w:val="18"/>
                <w:szCs w:val="18"/>
                <w:lang w:eastAsia="es-CR"/>
              </w:rPr>
              <w:t>21 280,50</w:t>
            </w:r>
          </w:p>
        </w:tc>
        <w:tc>
          <w:tcPr>
            <w:tcW w:w="1271" w:type="dxa"/>
            <w:tcBorders>
              <w:top w:val="nil"/>
              <w:left w:val="nil"/>
              <w:bottom w:val="single" w:sz="8" w:space="0" w:color="auto"/>
              <w:right w:val="single" w:sz="8" w:space="0" w:color="auto"/>
            </w:tcBorders>
            <w:shd w:val="clear" w:color="000000" w:fill="DBDBDB"/>
            <w:noWrap/>
            <w:vAlign w:val="bottom"/>
            <w:hideMark/>
          </w:tcPr>
          <w:p w14:paraId="47F6EE2E" w14:textId="77777777" w:rsidR="00DF3AE8" w:rsidRPr="00DF3AE8" w:rsidRDefault="00DF3AE8" w:rsidP="00DF3AE8">
            <w:pPr>
              <w:spacing w:after="0" w:line="240" w:lineRule="auto"/>
              <w:jc w:val="right"/>
              <w:rPr>
                <w:rFonts w:eastAsia="Times New Roman" w:cs="Calibri"/>
                <w:b/>
                <w:bCs/>
                <w:color w:val="000000"/>
                <w:sz w:val="18"/>
                <w:szCs w:val="18"/>
                <w:lang w:eastAsia="es-CR"/>
              </w:rPr>
            </w:pPr>
            <w:r w:rsidRPr="00DF3AE8">
              <w:rPr>
                <w:rFonts w:eastAsia="Times New Roman" w:cs="Calibri"/>
                <w:b/>
                <w:bCs/>
                <w:color w:val="000000"/>
                <w:sz w:val="18"/>
                <w:szCs w:val="18"/>
                <w:lang w:eastAsia="es-CR"/>
              </w:rPr>
              <w:t>-</w:t>
            </w:r>
            <w:r w:rsidRPr="00DF3AE8">
              <w:rPr>
                <w:rFonts w:ascii="Arial" w:eastAsia="Times New Roman" w:hAnsi="Arial" w:cs="Arial"/>
                <w:b/>
                <w:bCs/>
                <w:color w:val="000000"/>
                <w:sz w:val="18"/>
                <w:szCs w:val="18"/>
                <w:lang w:eastAsia="es-CR"/>
              </w:rPr>
              <w:t>₡</w:t>
            </w:r>
            <w:r w:rsidRPr="00DF3AE8">
              <w:rPr>
                <w:rFonts w:eastAsia="Times New Roman" w:cs="Calibri"/>
                <w:b/>
                <w:bCs/>
                <w:color w:val="000000"/>
                <w:sz w:val="18"/>
                <w:szCs w:val="18"/>
                <w:lang w:eastAsia="es-CR"/>
              </w:rPr>
              <w:t>8 764,08</w:t>
            </w:r>
          </w:p>
        </w:tc>
        <w:tc>
          <w:tcPr>
            <w:tcW w:w="881" w:type="dxa"/>
            <w:tcBorders>
              <w:top w:val="nil"/>
              <w:left w:val="nil"/>
              <w:bottom w:val="nil"/>
              <w:right w:val="single" w:sz="8" w:space="0" w:color="auto"/>
            </w:tcBorders>
            <w:shd w:val="clear" w:color="000000" w:fill="DBDBDB"/>
            <w:noWrap/>
            <w:vAlign w:val="bottom"/>
            <w:hideMark/>
          </w:tcPr>
          <w:p w14:paraId="671C299C" w14:textId="77777777" w:rsidR="00DF3AE8" w:rsidRPr="00DF3AE8" w:rsidRDefault="00DF3AE8" w:rsidP="00DF3AE8">
            <w:pPr>
              <w:spacing w:after="0" w:line="240" w:lineRule="auto"/>
              <w:jc w:val="center"/>
              <w:rPr>
                <w:rFonts w:eastAsia="Times New Roman" w:cs="Calibri"/>
                <w:b/>
                <w:bCs/>
                <w:color w:val="000000"/>
                <w:sz w:val="18"/>
                <w:szCs w:val="18"/>
                <w:lang w:eastAsia="es-CR"/>
              </w:rPr>
            </w:pPr>
            <w:r w:rsidRPr="00DF3AE8">
              <w:rPr>
                <w:rFonts w:eastAsia="Times New Roman" w:cs="Calibri"/>
                <w:b/>
                <w:bCs/>
                <w:color w:val="000000"/>
                <w:sz w:val="18"/>
                <w:szCs w:val="18"/>
                <w:lang w:eastAsia="es-CR"/>
              </w:rPr>
              <w:t>-41,18%</w:t>
            </w:r>
          </w:p>
        </w:tc>
      </w:tr>
      <w:tr w:rsidR="00DF3AE8" w:rsidRPr="00DF3AE8" w14:paraId="77BB74B5" w14:textId="77777777" w:rsidTr="00DF3AE8">
        <w:trPr>
          <w:trHeight w:val="270"/>
        </w:trPr>
        <w:tc>
          <w:tcPr>
            <w:tcW w:w="1032" w:type="dxa"/>
            <w:tcBorders>
              <w:top w:val="nil"/>
              <w:left w:val="single" w:sz="8" w:space="0" w:color="auto"/>
              <w:bottom w:val="nil"/>
              <w:right w:val="single" w:sz="8" w:space="0" w:color="auto"/>
            </w:tcBorders>
            <w:shd w:val="clear" w:color="auto" w:fill="auto"/>
            <w:noWrap/>
            <w:vAlign w:val="bottom"/>
            <w:hideMark/>
          </w:tcPr>
          <w:p w14:paraId="2FD0848C" w14:textId="77777777" w:rsidR="00DF3AE8" w:rsidRPr="00DF3AE8" w:rsidRDefault="00DF3AE8" w:rsidP="00DF3AE8">
            <w:pPr>
              <w:spacing w:after="0" w:line="240" w:lineRule="auto"/>
              <w:jc w:val="left"/>
              <w:rPr>
                <w:rFonts w:eastAsia="Times New Roman" w:cs="Calibri"/>
                <w:color w:val="000000"/>
                <w:sz w:val="18"/>
                <w:szCs w:val="18"/>
                <w:lang w:eastAsia="es-CR"/>
              </w:rPr>
            </w:pPr>
            <w:bookmarkStart w:id="218" w:name="_Hlk189051885"/>
            <w:r w:rsidRPr="00DF3AE8">
              <w:rPr>
                <w:rFonts w:eastAsia="Times New Roman" w:cs="Calibri"/>
                <w:color w:val="000000"/>
                <w:sz w:val="18"/>
                <w:szCs w:val="18"/>
                <w:lang w:eastAsia="es-CR"/>
              </w:rPr>
              <w:t>1.1.4.01.01.01.</w:t>
            </w:r>
          </w:p>
        </w:tc>
        <w:tc>
          <w:tcPr>
            <w:tcW w:w="3772" w:type="dxa"/>
            <w:tcBorders>
              <w:top w:val="nil"/>
              <w:left w:val="nil"/>
              <w:bottom w:val="nil"/>
              <w:right w:val="single" w:sz="8" w:space="0" w:color="auto"/>
            </w:tcBorders>
            <w:shd w:val="clear" w:color="auto" w:fill="auto"/>
            <w:vAlign w:val="bottom"/>
            <w:hideMark/>
          </w:tcPr>
          <w:p w14:paraId="6D79ACBF" w14:textId="77777777" w:rsidR="00DF3AE8" w:rsidRPr="00DF3AE8" w:rsidRDefault="00DF3AE8" w:rsidP="00DF3AE8">
            <w:pPr>
              <w:spacing w:after="0" w:line="240" w:lineRule="auto"/>
              <w:jc w:val="left"/>
              <w:rPr>
                <w:rFonts w:eastAsia="Times New Roman" w:cs="Calibri"/>
                <w:color w:val="000000"/>
                <w:sz w:val="18"/>
                <w:szCs w:val="18"/>
                <w:lang w:eastAsia="es-CR"/>
              </w:rPr>
            </w:pPr>
            <w:r w:rsidRPr="00DF3AE8">
              <w:rPr>
                <w:rFonts w:eastAsia="Times New Roman" w:cs="Calibri"/>
                <w:color w:val="000000"/>
                <w:sz w:val="18"/>
                <w:szCs w:val="18"/>
                <w:lang w:eastAsia="es-CR"/>
              </w:rPr>
              <w:t>Combustibles y lubricantes</w:t>
            </w:r>
          </w:p>
        </w:tc>
        <w:tc>
          <w:tcPr>
            <w:tcW w:w="1332" w:type="dxa"/>
            <w:tcBorders>
              <w:top w:val="nil"/>
              <w:left w:val="nil"/>
              <w:bottom w:val="nil"/>
              <w:right w:val="single" w:sz="8" w:space="0" w:color="auto"/>
            </w:tcBorders>
            <w:shd w:val="clear" w:color="000000" w:fill="FFFFFF"/>
            <w:noWrap/>
            <w:vAlign w:val="bottom"/>
            <w:hideMark/>
          </w:tcPr>
          <w:p w14:paraId="6FE51CEF" w14:textId="77777777" w:rsidR="00DF3AE8" w:rsidRPr="00DF3AE8" w:rsidRDefault="00DF3AE8" w:rsidP="00DF3AE8">
            <w:pPr>
              <w:spacing w:after="0" w:line="240" w:lineRule="auto"/>
              <w:jc w:val="right"/>
              <w:rPr>
                <w:rFonts w:eastAsia="Times New Roman" w:cs="Calibri"/>
                <w:color w:val="000000"/>
                <w:sz w:val="18"/>
                <w:szCs w:val="18"/>
                <w:lang w:eastAsia="es-CR"/>
              </w:rPr>
            </w:pPr>
            <w:r w:rsidRPr="00DF3AE8">
              <w:rPr>
                <w:rFonts w:eastAsia="Times New Roman" w:cs="Calibri"/>
                <w:color w:val="000000"/>
                <w:sz w:val="18"/>
                <w:szCs w:val="18"/>
                <w:lang w:eastAsia="es-CR"/>
              </w:rPr>
              <w:t>9 227,96</w:t>
            </w:r>
          </w:p>
        </w:tc>
        <w:tc>
          <w:tcPr>
            <w:tcW w:w="1332" w:type="dxa"/>
            <w:tcBorders>
              <w:top w:val="nil"/>
              <w:left w:val="nil"/>
              <w:bottom w:val="nil"/>
              <w:right w:val="single" w:sz="8" w:space="0" w:color="auto"/>
            </w:tcBorders>
            <w:shd w:val="clear" w:color="000000" w:fill="FFFFFF"/>
            <w:noWrap/>
            <w:vAlign w:val="bottom"/>
            <w:hideMark/>
          </w:tcPr>
          <w:p w14:paraId="4393FF46" w14:textId="77777777" w:rsidR="00DF3AE8" w:rsidRPr="00DF3AE8" w:rsidRDefault="00DF3AE8" w:rsidP="00DF3AE8">
            <w:pPr>
              <w:spacing w:after="0" w:line="240" w:lineRule="auto"/>
              <w:jc w:val="right"/>
              <w:rPr>
                <w:rFonts w:eastAsia="Times New Roman" w:cs="Calibri"/>
                <w:color w:val="000000"/>
                <w:sz w:val="18"/>
                <w:szCs w:val="18"/>
                <w:lang w:eastAsia="es-CR"/>
              </w:rPr>
            </w:pPr>
            <w:r w:rsidRPr="00DF3AE8">
              <w:rPr>
                <w:rFonts w:eastAsia="Times New Roman" w:cs="Calibri"/>
                <w:color w:val="000000"/>
                <w:sz w:val="18"/>
                <w:szCs w:val="18"/>
                <w:lang w:eastAsia="es-CR"/>
              </w:rPr>
              <w:t>17 684,34</w:t>
            </w:r>
          </w:p>
        </w:tc>
        <w:tc>
          <w:tcPr>
            <w:tcW w:w="1271" w:type="dxa"/>
            <w:tcBorders>
              <w:top w:val="nil"/>
              <w:left w:val="nil"/>
              <w:bottom w:val="nil"/>
              <w:right w:val="nil"/>
            </w:tcBorders>
            <w:shd w:val="clear" w:color="000000" w:fill="FFFFFF"/>
            <w:noWrap/>
            <w:vAlign w:val="bottom"/>
            <w:hideMark/>
          </w:tcPr>
          <w:p w14:paraId="1FB5036A" w14:textId="77777777" w:rsidR="00DF3AE8" w:rsidRPr="00DF3AE8" w:rsidRDefault="00DF3AE8" w:rsidP="00DF3AE8">
            <w:pPr>
              <w:spacing w:after="0" w:line="240" w:lineRule="auto"/>
              <w:jc w:val="right"/>
              <w:rPr>
                <w:rFonts w:eastAsia="Times New Roman" w:cs="Calibri"/>
                <w:color w:val="000000"/>
                <w:sz w:val="18"/>
                <w:szCs w:val="18"/>
                <w:lang w:eastAsia="es-CR"/>
              </w:rPr>
            </w:pPr>
            <w:r w:rsidRPr="00DF3AE8">
              <w:rPr>
                <w:rFonts w:eastAsia="Times New Roman" w:cs="Calibri"/>
                <w:color w:val="000000"/>
                <w:sz w:val="18"/>
                <w:szCs w:val="18"/>
                <w:lang w:eastAsia="es-CR"/>
              </w:rPr>
              <w:t>-8 456,38</w:t>
            </w:r>
          </w:p>
        </w:tc>
        <w:tc>
          <w:tcPr>
            <w:tcW w:w="881" w:type="dxa"/>
            <w:tcBorders>
              <w:top w:val="single" w:sz="8" w:space="0" w:color="auto"/>
              <w:left w:val="single" w:sz="8" w:space="0" w:color="auto"/>
              <w:bottom w:val="nil"/>
              <w:right w:val="single" w:sz="8" w:space="0" w:color="auto"/>
            </w:tcBorders>
            <w:shd w:val="clear" w:color="auto" w:fill="auto"/>
            <w:noWrap/>
            <w:vAlign w:val="bottom"/>
            <w:hideMark/>
          </w:tcPr>
          <w:p w14:paraId="7E50AAF5" w14:textId="77777777" w:rsidR="00DF3AE8" w:rsidRPr="00DF3AE8" w:rsidRDefault="00DF3AE8" w:rsidP="00DF3AE8">
            <w:pPr>
              <w:spacing w:after="0" w:line="240" w:lineRule="auto"/>
              <w:jc w:val="right"/>
              <w:rPr>
                <w:rFonts w:eastAsia="Times New Roman" w:cs="Calibri"/>
                <w:color w:val="000000"/>
                <w:sz w:val="18"/>
                <w:szCs w:val="18"/>
                <w:lang w:eastAsia="es-CR"/>
              </w:rPr>
            </w:pPr>
            <w:r w:rsidRPr="00DF3AE8">
              <w:rPr>
                <w:rFonts w:eastAsia="Times New Roman" w:cs="Calibri"/>
                <w:color w:val="000000"/>
                <w:sz w:val="18"/>
                <w:szCs w:val="18"/>
                <w:lang w:eastAsia="es-CR"/>
              </w:rPr>
              <w:t>-47,82%</w:t>
            </w:r>
          </w:p>
        </w:tc>
      </w:tr>
      <w:bookmarkEnd w:id="218"/>
      <w:tr w:rsidR="00DF3AE8" w:rsidRPr="00DF3AE8" w14:paraId="50AAACAB" w14:textId="77777777" w:rsidTr="00DF3AE8">
        <w:trPr>
          <w:trHeight w:val="270"/>
        </w:trPr>
        <w:tc>
          <w:tcPr>
            <w:tcW w:w="1032" w:type="dxa"/>
            <w:tcBorders>
              <w:top w:val="nil"/>
              <w:left w:val="single" w:sz="8" w:space="0" w:color="auto"/>
              <w:bottom w:val="nil"/>
              <w:right w:val="single" w:sz="8" w:space="0" w:color="auto"/>
            </w:tcBorders>
            <w:shd w:val="clear" w:color="auto" w:fill="auto"/>
            <w:noWrap/>
            <w:vAlign w:val="bottom"/>
            <w:hideMark/>
          </w:tcPr>
          <w:p w14:paraId="6D793FC2" w14:textId="77777777" w:rsidR="00DF3AE8" w:rsidRPr="00DF3AE8" w:rsidRDefault="00DF3AE8" w:rsidP="00DF3AE8">
            <w:pPr>
              <w:spacing w:after="0" w:line="240" w:lineRule="auto"/>
              <w:jc w:val="left"/>
              <w:rPr>
                <w:rFonts w:eastAsia="Times New Roman" w:cs="Calibri"/>
                <w:color w:val="000000"/>
                <w:sz w:val="18"/>
                <w:szCs w:val="18"/>
                <w:lang w:eastAsia="es-CR"/>
              </w:rPr>
            </w:pPr>
            <w:r w:rsidRPr="00DF3AE8">
              <w:rPr>
                <w:rFonts w:eastAsia="Times New Roman" w:cs="Calibri"/>
                <w:color w:val="000000"/>
                <w:sz w:val="18"/>
                <w:szCs w:val="18"/>
                <w:lang w:eastAsia="es-CR"/>
              </w:rPr>
              <w:t>1.1.4.01.01.02.</w:t>
            </w:r>
          </w:p>
        </w:tc>
        <w:tc>
          <w:tcPr>
            <w:tcW w:w="3772" w:type="dxa"/>
            <w:tcBorders>
              <w:top w:val="nil"/>
              <w:left w:val="nil"/>
              <w:bottom w:val="nil"/>
              <w:right w:val="single" w:sz="8" w:space="0" w:color="auto"/>
            </w:tcBorders>
            <w:shd w:val="clear" w:color="auto" w:fill="auto"/>
            <w:vAlign w:val="bottom"/>
            <w:hideMark/>
          </w:tcPr>
          <w:p w14:paraId="5F8FE6FE" w14:textId="77777777" w:rsidR="00DF3AE8" w:rsidRPr="00DF3AE8" w:rsidRDefault="00DF3AE8" w:rsidP="00DF3AE8">
            <w:pPr>
              <w:spacing w:after="0" w:line="240" w:lineRule="auto"/>
              <w:jc w:val="left"/>
              <w:rPr>
                <w:rFonts w:eastAsia="Times New Roman" w:cs="Calibri"/>
                <w:color w:val="000000"/>
                <w:sz w:val="18"/>
                <w:szCs w:val="18"/>
                <w:lang w:eastAsia="es-CR"/>
              </w:rPr>
            </w:pPr>
            <w:r w:rsidRPr="00DF3AE8">
              <w:rPr>
                <w:rFonts w:eastAsia="Times New Roman" w:cs="Calibri"/>
                <w:color w:val="000000"/>
                <w:sz w:val="18"/>
                <w:szCs w:val="18"/>
                <w:lang w:eastAsia="es-CR"/>
              </w:rPr>
              <w:t>Productos farmacéuticos y medicinales</w:t>
            </w:r>
          </w:p>
        </w:tc>
        <w:tc>
          <w:tcPr>
            <w:tcW w:w="1332" w:type="dxa"/>
            <w:tcBorders>
              <w:top w:val="nil"/>
              <w:left w:val="nil"/>
              <w:bottom w:val="nil"/>
              <w:right w:val="single" w:sz="8" w:space="0" w:color="auto"/>
            </w:tcBorders>
            <w:shd w:val="clear" w:color="000000" w:fill="FFFFFF"/>
            <w:noWrap/>
            <w:vAlign w:val="bottom"/>
            <w:hideMark/>
          </w:tcPr>
          <w:p w14:paraId="2E9D7F4F" w14:textId="77777777" w:rsidR="00DF3AE8" w:rsidRPr="00DF3AE8" w:rsidRDefault="00DF3AE8" w:rsidP="00DF3AE8">
            <w:pPr>
              <w:spacing w:after="0" w:line="240" w:lineRule="auto"/>
              <w:jc w:val="right"/>
              <w:rPr>
                <w:rFonts w:eastAsia="Times New Roman" w:cs="Calibri"/>
                <w:color w:val="000000"/>
                <w:sz w:val="18"/>
                <w:szCs w:val="18"/>
                <w:lang w:eastAsia="es-CR"/>
              </w:rPr>
            </w:pPr>
            <w:r w:rsidRPr="00DF3AE8">
              <w:rPr>
                <w:rFonts w:eastAsia="Times New Roman" w:cs="Calibri"/>
                <w:color w:val="000000"/>
                <w:sz w:val="18"/>
                <w:szCs w:val="18"/>
                <w:lang w:eastAsia="es-CR"/>
              </w:rPr>
              <w:t>0,00</w:t>
            </w:r>
          </w:p>
        </w:tc>
        <w:tc>
          <w:tcPr>
            <w:tcW w:w="1332" w:type="dxa"/>
            <w:tcBorders>
              <w:top w:val="nil"/>
              <w:left w:val="nil"/>
              <w:bottom w:val="nil"/>
              <w:right w:val="single" w:sz="8" w:space="0" w:color="auto"/>
            </w:tcBorders>
            <w:shd w:val="clear" w:color="000000" w:fill="FFFFFF"/>
            <w:noWrap/>
            <w:vAlign w:val="bottom"/>
            <w:hideMark/>
          </w:tcPr>
          <w:p w14:paraId="6B29B5CA" w14:textId="77777777" w:rsidR="00DF3AE8" w:rsidRPr="00DF3AE8" w:rsidRDefault="00DF3AE8" w:rsidP="00DF3AE8">
            <w:pPr>
              <w:spacing w:after="0" w:line="240" w:lineRule="auto"/>
              <w:jc w:val="right"/>
              <w:rPr>
                <w:rFonts w:eastAsia="Times New Roman" w:cs="Calibri"/>
                <w:color w:val="000000"/>
                <w:sz w:val="18"/>
                <w:szCs w:val="18"/>
                <w:lang w:eastAsia="es-CR"/>
              </w:rPr>
            </w:pPr>
            <w:r w:rsidRPr="00DF3AE8">
              <w:rPr>
                <w:rFonts w:eastAsia="Times New Roman" w:cs="Calibri"/>
                <w:color w:val="000000"/>
                <w:sz w:val="18"/>
                <w:szCs w:val="18"/>
                <w:lang w:eastAsia="es-CR"/>
              </w:rPr>
              <w:t>6,40</w:t>
            </w:r>
          </w:p>
        </w:tc>
        <w:tc>
          <w:tcPr>
            <w:tcW w:w="1271" w:type="dxa"/>
            <w:tcBorders>
              <w:top w:val="nil"/>
              <w:left w:val="nil"/>
              <w:bottom w:val="nil"/>
              <w:right w:val="nil"/>
            </w:tcBorders>
            <w:shd w:val="clear" w:color="000000" w:fill="FFFFFF"/>
            <w:noWrap/>
            <w:vAlign w:val="bottom"/>
            <w:hideMark/>
          </w:tcPr>
          <w:p w14:paraId="3A2FFA26" w14:textId="77777777" w:rsidR="00DF3AE8" w:rsidRPr="00DF3AE8" w:rsidRDefault="00DF3AE8" w:rsidP="00DF3AE8">
            <w:pPr>
              <w:spacing w:after="0" w:line="240" w:lineRule="auto"/>
              <w:jc w:val="right"/>
              <w:rPr>
                <w:rFonts w:eastAsia="Times New Roman" w:cs="Calibri"/>
                <w:color w:val="000000"/>
                <w:sz w:val="18"/>
                <w:szCs w:val="18"/>
                <w:lang w:eastAsia="es-CR"/>
              </w:rPr>
            </w:pPr>
            <w:r w:rsidRPr="00DF3AE8">
              <w:rPr>
                <w:rFonts w:eastAsia="Times New Roman" w:cs="Calibri"/>
                <w:color w:val="000000"/>
                <w:sz w:val="18"/>
                <w:szCs w:val="18"/>
                <w:lang w:eastAsia="es-CR"/>
              </w:rPr>
              <w:t>-6,40</w:t>
            </w:r>
          </w:p>
        </w:tc>
        <w:tc>
          <w:tcPr>
            <w:tcW w:w="881" w:type="dxa"/>
            <w:tcBorders>
              <w:top w:val="nil"/>
              <w:left w:val="single" w:sz="8" w:space="0" w:color="auto"/>
              <w:bottom w:val="nil"/>
              <w:right w:val="single" w:sz="8" w:space="0" w:color="auto"/>
            </w:tcBorders>
            <w:shd w:val="clear" w:color="auto" w:fill="auto"/>
            <w:noWrap/>
            <w:vAlign w:val="bottom"/>
            <w:hideMark/>
          </w:tcPr>
          <w:p w14:paraId="5D9C4FB5" w14:textId="77777777" w:rsidR="00DF3AE8" w:rsidRPr="00DF3AE8" w:rsidRDefault="00DF3AE8" w:rsidP="00DF3AE8">
            <w:pPr>
              <w:spacing w:after="0" w:line="240" w:lineRule="auto"/>
              <w:jc w:val="right"/>
              <w:rPr>
                <w:rFonts w:eastAsia="Times New Roman" w:cs="Calibri"/>
                <w:color w:val="000000"/>
                <w:sz w:val="18"/>
                <w:szCs w:val="18"/>
                <w:lang w:eastAsia="es-CR"/>
              </w:rPr>
            </w:pPr>
            <w:r w:rsidRPr="00DF3AE8">
              <w:rPr>
                <w:rFonts w:eastAsia="Times New Roman" w:cs="Calibri"/>
                <w:color w:val="000000"/>
                <w:sz w:val="18"/>
                <w:szCs w:val="18"/>
                <w:lang w:eastAsia="es-CR"/>
              </w:rPr>
              <w:t>-100,00%</w:t>
            </w:r>
          </w:p>
        </w:tc>
      </w:tr>
      <w:tr w:rsidR="00DF3AE8" w:rsidRPr="00DF3AE8" w14:paraId="1242EACD" w14:textId="77777777" w:rsidTr="00DF3AE8">
        <w:trPr>
          <w:trHeight w:val="270"/>
        </w:trPr>
        <w:tc>
          <w:tcPr>
            <w:tcW w:w="1032" w:type="dxa"/>
            <w:tcBorders>
              <w:top w:val="nil"/>
              <w:left w:val="single" w:sz="8" w:space="0" w:color="auto"/>
              <w:bottom w:val="nil"/>
              <w:right w:val="single" w:sz="8" w:space="0" w:color="auto"/>
            </w:tcBorders>
            <w:shd w:val="clear" w:color="auto" w:fill="auto"/>
            <w:noWrap/>
            <w:vAlign w:val="bottom"/>
            <w:hideMark/>
          </w:tcPr>
          <w:p w14:paraId="3EAEF4C3" w14:textId="77777777" w:rsidR="00DF3AE8" w:rsidRPr="00DF3AE8" w:rsidRDefault="00DF3AE8" w:rsidP="00DF3AE8">
            <w:pPr>
              <w:spacing w:after="0" w:line="240" w:lineRule="auto"/>
              <w:jc w:val="left"/>
              <w:rPr>
                <w:rFonts w:eastAsia="Times New Roman" w:cs="Calibri"/>
                <w:color w:val="000000"/>
                <w:sz w:val="18"/>
                <w:szCs w:val="18"/>
                <w:lang w:eastAsia="es-CR"/>
              </w:rPr>
            </w:pPr>
            <w:r w:rsidRPr="00DF3AE8">
              <w:rPr>
                <w:rFonts w:eastAsia="Times New Roman" w:cs="Calibri"/>
                <w:color w:val="000000"/>
                <w:sz w:val="18"/>
                <w:szCs w:val="18"/>
                <w:lang w:eastAsia="es-CR"/>
              </w:rPr>
              <w:t>1.1.4.01.01.04.</w:t>
            </w:r>
          </w:p>
        </w:tc>
        <w:tc>
          <w:tcPr>
            <w:tcW w:w="3772" w:type="dxa"/>
            <w:tcBorders>
              <w:top w:val="nil"/>
              <w:left w:val="nil"/>
              <w:bottom w:val="nil"/>
              <w:right w:val="single" w:sz="8" w:space="0" w:color="auto"/>
            </w:tcBorders>
            <w:shd w:val="clear" w:color="auto" w:fill="auto"/>
            <w:vAlign w:val="bottom"/>
            <w:hideMark/>
          </w:tcPr>
          <w:p w14:paraId="58F0B21B" w14:textId="77777777" w:rsidR="00DF3AE8" w:rsidRPr="00DF3AE8" w:rsidRDefault="00DF3AE8" w:rsidP="00DF3AE8">
            <w:pPr>
              <w:spacing w:after="0" w:line="240" w:lineRule="auto"/>
              <w:jc w:val="left"/>
              <w:rPr>
                <w:rFonts w:eastAsia="Times New Roman" w:cs="Calibri"/>
                <w:color w:val="000000"/>
                <w:sz w:val="18"/>
                <w:szCs w:val="18"/>
                <w:lang w:eastAsia="es-CR"/>
              </w:rPr>
            </w:pPr>
            <w:r w:rsidRPr="00DF3AE8">
              <w:rPr>
                <w:rFonts w:eastAsia="Times New Roman" w:cs="Calibri"/>
                <w:color w:val="000000"/>
                <w:sz w:val="18"/>
                <w:szCs w:val="18"/>
                <w:lang w:eastAsia="es-CR"/>
              </w:rPr>
              <w:t>Tintas, pinturas y diluyentes</w:t>
            </w:r>
          </w:p>
        </w:tc>
        <w:tc>
          <w:tcPr>
            <w:tcW w:w="1332" w:type="dxa"/>
            <w:tcBorders>
              <w:top w:val="nil"/>
              <w:left w:val="nil"/>
              <w:bottom w:val="nil"/>
              <w:right w:val="single" w:sz="8" w:space="0" w:color="auto"/>
            </w:tcBorders>
            <w:shd w:val="clear" w:color="000000" w:fill="FFFFFF"/>
            <w:noWrap/>
            <w:vAlign w:val="bottom"/>
            <w:hideMark/>
          </w:tcPr>
          <w:p w14:paraId="24EDAAC6" w14:textId="77777777" w:rsidR="00DF3AE8" w:rsidRPr="00DF3AE8" w:rsidRDefault="00DF3AE8" w:rsidP="00DF3AE8">
            <w:pPr>
              <w:spacing w:after="0" w:line="240" w:lineRule="auto"/>
              <w:jc w:val="right"/>
              <w:rPr>
                <w:rFonts w:eastAsia="Times New Roman" w:cs="Calibri"/>
                <w:color w:val="000000"/>
                <w:sz w:val="18"/>
                <w:szCs w:val="18"/>
                <w:lang w:eastAsia="es-CR"/>
              </w:rPr>
            </w:pPr>
            <w:r w:rsidRPr="00DF3AE8">
              <w:rPr>
                <w:rFonts w:eastAsia="Times New Roman" w:cs="Calibri"/>
                <w:color w:val="000000"/>
                <w:sz w:val="18"/>
                <w:szCs w:val="18"/>
                <w:lang w:eastAsia="es-CR"/>
              </w:rPr>
              <w:t>2 780,75</w:t>
            </w:r>
          </w:p>
        </w:tc>
        <w:tc>
          <w:tcPr>
            <w:tcW w:w="1332" w:type="dxa"/>
            <w:tcBorders>
              <w:top w:val="nil"/>
              <w:left w:val="nil"/>
              <w:bottom w:val="nil"/>
              <w:right w:val="single" w:sz="8" w:space="0" w:color="auto"/>
            </w:tcBorders>
            <w:shd w:val="clear" w:color="000000" w:fill="FFFFFF"/>
            <w:noWrap/>
            <w:vAlign w:val="bottom"/>
            <w:hideMark/>
          </w:tcPr>
          <w:p w14:paraId="4CBD3629" w14:textId="77777777" w:rsidR="00DF3AE8" w:rsidRPr="00DF3AE8" w:rsidRDefault="00DF3AE8" w:rsidP="00DF3AE8">
            <w:pPr>
              <w:spacing w:after="0" w:line="240" w:lineRule="auto"/>
              <w:jc w:val="right"/>
              <w:rPr>
                <w:rFonts w:eastAsia="Times New Roman" w:cs="Calibri"/>
                <w:color w:val="000000"/>
                <w:sz w:val="18"/>
                <w:szCs w:val="18"/>
                <w:lang w:eastAsia="es-CR"/>
              </w:rPr>
            </w:pPr>
            <w:r w:rsidRPr="00DF3AE8">
              <w:rPr>
                <w:rFonts w:eastAsia="Times New Roman" w:cs="Calibri"/>
                <w:color w:val="000000"/>
                <w:sz w:val="18"/>
                <w:szCs w:val="18"/>
                <w:lang w:eastAsia="es-CR"/>
              </w:rPr>
              <w:t>2 775,59</w:t>
            </w:r>
          </w:p>
        </w:tc>
        <w:tc>
          <w:tcPr>
            <w:tcW w:w="1271" w:type="dxa"/>
            <w:tcBorders>
              <w:top w:val="nil"/>
              <w:left w:val="nil"/>
              <w:bottom w:val="nil"/>
              <w:right w:val="nil"/>
            </w:tcBorders>
            <w:shd w:val="clear" w:color="000000" w:fill="FFFFFF"/>
            <w:noWrap/>
            <w:vAlign w:val="bottom"/>
            <w:hideMark/>
          </w:tcPr>
          <w:p w14:paraId="11D3A0A2" w14:textId="77777777" w:rsidR="00DF3AE8" w:rsidRPr="00DF3AE8" w:rsidRDefault="00DF3AE8" w:rsidP="00DF3AE8">
            <w:pPr>
              <w:spacing w:after="0" w:line="240" w:lineRule="auto"/>
              <w:jc w:val="right"/>
              <w:rPr>
                <w:rFonts w:eastAsia="Times New Roman" w:cs="Calibri"/>
                <w:color w:val="000000"/>
                <w:sz w:val="18"/>
                <w:szCs w:val="18"/>
                <w:lang w:eastAsia="es-CR"/>
              </w:rPr>
            </w:pPr>
            <w:r w:rsidRPr="00DF3AE8">
              <w:rPr>
                <w:rFonts w:eastAsia="Times New Roman" w:cs="Calibri"/>
                <w:color w:val="000000"/>
                <w:sz w:val="18"/>
                <w:szCs w:val="18"/>
                <w:lang w:eastAsia="es-CR"/>
              </w:rPr>
              <w:t>5,16</w:t>
            </w:r>
          </w:p>
        </w:tc>
        <w:tc>
          <w:tcPr>
            <w:tcW w:w="881" w:type="dxa"/>
            <w:tcBorders>
              <w:top w:val="nil"/>
              <w:left w:val="single" w:sz="8" w:space="0" w:color="auto"/>
              <w:bottom w:val="nil"/>
              <w:right w:val="single" w:sz="8" w:space="0" w:color="auto"/>
            </w:tcBorders>
            <w:shd w:val="clear" w:color="auto" w:fill="auto"/>
            <w:noWrap/>
            <w:vAlign w:val="bottom"/>
            <w:hideMark/>
          </w:tcPr>
          <w:p w14:paraId="7EC6233E" w14:textId="77777777" w:rsidR="00DF3AE8" w:rsidRPr="00DF3AE8" w:rsidRDefault="00DF3AE8" w:rsidP="00DF3AE8">
            <w:pPr>
              <w:spacing w:after="0" w:line="240" w:lineRule="auto"/>
              <w:jc w:val="center"/>
              <w:rPr>
                <w:rFonts w:eastAsia="Times New Roman" w:cs="Calibri"/>
                <w:color w:val="000000"/>
                <w:sz w:val="18"/>
                <w:szCs w:val="18"/>
                <w:lang w:eastAsia="es-CR"/>
              </w:rPr>
            </w:pPr>
            <w:r w:rsidRPr="00DF3AE8">
              <w:rPr>
                <w:rFonts w:eastAsia="Times New Roman" w:cs="Calibri"/>
                <w:color w:val="000000"/>
                <w:sz w:val="18"/>
                <w:szCs w:val="18"/>
                <w:lang w:eastAsia="es-CR"/>
              </w:rPr>
              <w:t>0,19%</w:t>
            </w:r>
          </w:p>
        </w:tc>
      </w:tr>
      <w:tr w:rsidR="00DF3AE8" w:rsidRPr="00DF3AE8" w14:paraId="704FC559" w14:textId="77777777" w:rsidTr="00DF3AE8">
        <w:trPr>
          <w:trHeight w:val="285"/>
        </w:trPr>
        <w:tc>
          <w:tcPr>
            <w:tcW w:w="1032" w:type="dxa"/>
            <w:tcBorders>
              <w:top w:val="nil"/>
              <w:left w:val="single" w:sz="8" w:space="0" w:color="auto"/>
              <w:bottom w:val="nil"/>
              <w:right w:val="single" w:sz="8" w:space="0" w:color="auto"/>
            </w:tcBorders>
            <w:shd w:val="clear" w:color="auto" w:fill="auto"/>
            <w:noWrap/>
            <w:vAlign w:val="bottom"/>
            <w:hideMark/>
          </w:tcPr>
          <w:p w14:paraId="2C3675E4" w14:textId="77777777" w:rsidR="00DF3AE8" w:rsidRPr="00DF3AE8" w:rsidRDefault="00DF3AE8" w:rsidP="00DF3AE8">
            <w:pPr>
              <w:spacing w:after="0" w:line="240" w:lineRule="auto"/>
              <w:jc w:val="left"/>
              <w:rPr>
                <w:rFonts w:eastAsia="Times New Roman" w:cs="Calibri"/>
                <w:color w:val="000000"/>
                <w:sz w:val="18"/>
                <w:szCs w:val="18"/>
                <w:lang w:eastAsia="es-CR"/>
              </w:rPr>
            </w:pPr>
            <w:r w:rsidRPr="00DF3AE8">
              <w:rPr>
                <w:rFonts w:eastAsia="Times New Roman" w:cs="Calibri"/>
                <w:color w:val="000000"/>
                <w:sz w:val="18"/>
                <w:szCs w:val="18"/>
                <w:lang w:eastAsia="es-CR"/>
              </w:rPr>
              <w:t>1.1.4.01.01.99.</w:t>
            </w:r>
          </w:p>
        </w:tc>
        <w:tc>
          <w:tcPr>
            <w:tcW w:w="3772" w:type="dxa"/>
            <w:tcBorders>
              <w:top w:val="nil"/>
              <w:left w:val="nil"/>
              <w:bottom w:val="nil"/>
              <w:right w:val="single" w:sz="8" w:space="0" w:color="auto"/>
            </w:tcBorders>
            <w:shd w:val="clear" w:color="auto" w:fill="auto"/>
            <w:vAlign w:val="bottom"/>
            <w:hideMark/>
          </w:tcPr>
          <w:p w14:paraId="4055873E" w14:textId="77777777" w:rsidR="00DF3AE8" w:rsidRPr="00DF3AE8" w:rsidRDefault="00DF3AE8" w:rsidP="00DF3AE8">
            <w:pPr>
              <w:spacing w:after="0" w:line="240" w:lineRule="auto"/>
              <w:jc w:val="left"/>
              <w:rPr>
                <w:rFonts w:eastAsia="Times New Roman" w:cs="Calibri"/>
                <w:color w:val="000000"/>
                <w:sz w:val="18"/>
                <w:szCs w:val="18"/>
                <w:lang w:eastAsia="es-CR"/>
              </w:rPr>
            </w:pPr>
            <w:r w:rsidRPr="00DF3AE8">
              <w:rPr>
                <w:rFonts w:eastAsia="Times New Roman" w:cs="Calibri"/>
                <w:color w:val="000000"/>
                <w:sz w:val="18"/>
                <w:szCs w:val="18"/>
                <w:lang w:eastAsia="es-CR"/>
              </w:rPr>
              <w:t>Otros productos químicos y conexos</w:t>
            </w:r>
          </w:p>
        </w:tc>
        <w:tc>
          <w:tcPr>
            <w:tcW w:w="1332" w:type="dxa"/>
            <w:tcBorders>
              <w:top w:val="nil"/>
              <w:left w:val="nil"/>
              <w:bottom w:val="nil"/>
              <w:right w:val="single" w:sz="8" w:space="0" w:color="auto"/>
            </w:tcBorders>
            <w:shd w:val="clear" w:color="000000" w:fill="FFFFFF"/>
            <w:noWrap/>
            <w:vAlign w:val="bottom"/>
            <w:hideMark/>
          </w:tcPr>
          <w:p w14:paraId="2C322014" w14:textId="77777777" w:rsidR="00DF3AE8" w:rsidRPr="00DF3AE8" w:rsidRDefault="00DF3AE8" w:rsidP="00DF3AE8">
            <w:pPr>
              <w:spacing w:after="0" w:line="240" w:lineRule="auto"/>
              <w:jc w:val="right"/>
              <w:rPr>
                <w:rFonts w:eastAsia="Times New Roman" w:cs="Calibri"/>
                <w:color w:val="000000"/>
                <w:sz w:val="18"/>
                <w:szCs w:val="18"/>
                <w:lang w:eastAsia="es-CR"/>
              </w:rPr>
            </w:pPr>
            <w:r w:rsidRPr="00DF3AE8">
              <w:rPr>
                <w:rFonts w:eastAsia="Times New Roman" w:cs="Calibri"/>
                <w:color w:val="000000"/>
                <w:sz w:val="18"/>
                <w:szCs w:val="18"/>
                <w:lang w:eastAsia="es-CR"/>
              </w:rPr>
              <w:t>507,71</w:t>
            </w:r>
          </w:p>
        </w:tc>
        <w:tc>
          <w:tcPr>
            <w:tcW w:w="1332" w:type="dxa"/>
            <w:tcBorders>
              <w:top w:val="nil"/>
              <w:left w:val="nil"/>
              <w:bottom w:val="nil"/>
              <w:right w:val="single" w:sz="8" w:space="0" w:color="auto"/>
            </w:tcBorders>
            <w:shd w:val="clear" w:color="auto" w:fill="auto"/>
            <w:noWrap/>
            <w:vAlign w:val="bottom"/>
            <w:hideMark/>
          </w:tcPr>
          <w:p w14:paraId="1A056ED8" w14:textId="77777777" w:rsidR="00DF3AE8" w:rsidRPr="00DF3AE8" w:rsidRDefault="00DF3AE8" w:rsidP="00DF3AE8">
            <w:pPr>
              <w:spacing w:after="0" w:line="240" w:lineRule="auto"/>
              <w:jc w:val="right"/>
              <w:rPr>
                <w:rFonts w:eastAsia="Times New Roman" w:cs="Calibri"/>
                <w:color w:val="000000"/>
                <w:sz w:val="18"/>
                <w:szCs w:val="18"/>
                <w:lang w:eastAsia="es-CR"/>
              </w:rPr>
            </w:pPr>
            <w:r w:rsidRPr="00DF3AE8">
              <w:rPr>
                <w:rFonts w:eastAsia="Times New Roman" w:cs="Calibri"/>
                <w:color w:val="000000"/>
                <w:sz w:val="18"/>
                <w:szCs w:val="18"/>
                <w:lang w:eastAsia="es-CR"/>
              </w:rPr>
              <w:t>814,16</w:t>
            </w:r>
          </w:p>
        </w:tc>
        <w:tc>
          <w:tcPr>
            <w:tcW w:w="1271" w:type="dxa"/>
            <w:tcBorders>
              <w:top w:val="nil"/>
              <w:left w:val="nil"/>
              <w:bottom w:val="nil"/>
              <w:right w:val="nil"/>
            </w:tcBorders>
            <w:shd w:val="clear" w:color="000000" w:fill="FFFFFF"/>
            <w:noWrap/>
            <w:vAlign w:val="bottom"/>
            <w:hideMark/>
          </w:tcPr>
          <w:p w14:paraId="5D7A0432" w14:textId="77777777" w:rsidR="00DF3AE8" w:rsidRPr="00DF3AE8" w:rsidRDefault="00DF3AE8" w:rsidP="00DF3AE8">
            <w:pPr>
              <w:spacing w:after="0" w:line="240" w:lineRule="auto"/>
              <w:jc w:val="right"/>
              <w:rPr>
                <w:rFonts w:eastAsia="Times New Roman" w:cs="Calibri"/>
                <w:color w:val="000000"/>
                <w:sz w:val="18"/>
                <w:szCs w:val="18"/>
                <w:lang w:eastAsia="es-CR"/>
              </w:rPr>
            </w:pPr>
            <w:r w:rsidRPr="00DF3AE8">
              <w:rPr>
                <w:rFonts w:eastAsia="Times New Roman" w:cs="Calibri"/>
                <w:color w:val="000000"/>
                <w:sz w:val="18"/>
                <w:szCs w:val="18"/>
                <w:lang w:eastAsia="es-CR"/>
              </w:rPr>
              <w:t>-306,45</w:t>
            </w:r>
          </w:p>
        </w:tc>
        <w:tc>
          <w:tcPr>
            <w:tcW w:w="881" w:type="dxa"/>
            <w:tcBorders>
              <w:top w:val="nil"/>
              <w:left w:val="single" w:sz="8" w:space="0" w:color="auto"/>
              <w:bottom w:val="single" w:sz="8" w:space="0" w:color="auto"/>
              <w:right w:val="single" w:sz="8" w:space="0" w:color="auto"/>
            </w:tcBorders>
            <w:shd w:val="clear" w:color="auto" w:fill="auto"/>
            <w:noWrap/>
            <w:vAlign w:val="bottom"/>
            <w:hideMark/>
          </w:tcPr>
          <w:p w14:paraId="2CFFE70E" w14:textId="77777777" w:rsidR="00DF3AE8" w:rsidRPr="00DF3AE8" w:rsidRDefault="00DF3AE8" w:rsidP="00DF3AE8">
            <w:pPr>
              <w:spacing w:after="0" w:line="240" w:lineRule="auto"/>
              <w:jc w:val="right"/>
              <w:rPr>
                <w:rFonts w:eastAsia="Times New Roman" w:cs="Calibri"/>
                <w:color w:val="000000"/>
                <w:sz w:val="18"/>
                <w:szCs w:val="18"/>
                <w:lang w:eastAsia="es-CR"/>
              </w:rPr>
            </w:pPr>
            <w:r w:rsidRPr="00DF3AE8">
              <w:rPr>
                <w:rFonts w:eastAsia="Times New Roman" w:cs="Calibri"/>
                <w:color w:val="000000"/>
                <w:sz w:val="18"/>
                <w:szCs w:val="18"/>
                <w:lang w:eastAsia="es-CR"/>
              </w:rPr>
              <w:t>-37,64%</w:t>
            </w:r>
          </w:p>
        </w:tc>
      </w:tr>
      <w:tr w:rsidR="00DF3AE8" w:rsidRPr="00DF3AE8" w14:paraId="06307BE3" w14:textId="77777777" w:rsidTr="00DF3AE8">
        <w:trPr>
          <w:trHeight w:val="555"/>
        </w:trPr>
        <w:tc>
          <w:tcPr>
            <w:tcW w:w="1032" w:type="dxa"/>
            <w:tcBorders>
              <w:top w:val="single" w:sz="8" w:space="0" w:color="auto"/>
              <w:left w:val="single" w:sz="8" w:space="0" w:color="auto"/>
              <w:bottom w:val="single" w:sz="8" w:space="0" w:color="auto"/>
              <w:right w:val="single" w:sz="8" w:space="0" w:color="auto"/>
            </w:tcBorders>
            <w:shd w:val="clear" w:color="000000" w:fill="DBDBDB"/>
            <w:noWrap/>
            <w:vAlign w:val="bottom"/>
            <w:hideMark/>
          </w:tcPr>
          <w:p w14:paraId="3F52C930" w14:textId="77777777" w:rsidR="00DF3AE8" w:rsidRPr="00DF3AE8" w:rsidRDefault="00DF3AE8" w:rsidP="00DF3AE8">
            <w:pPr>
              <w:spacing w:after="0" w:line="240" w:lineRule="auto"/>
              <w:jc w:val="left"/>
              <w:rPr>
                <w:rFonts w:eastAsia="Times New Roman" w:cs="Calibri"/>
                <w:b/>
                <w:bCs/>
                <w:color w:val="000000"/>
                <w:sz w:val="18"/>
                <w:szCs w:val="18"/>
                <w:lang w:eastAsia="es-CR"/>
              </w:rPr>
            </w:pPr>
            <w:r w:rsidRPr="00DF3AE8">
              <w:rPr>
                <w:rFonts w:eastAsia="Times New Roman" w:cs="Calibri"/>
                <w:b/>
                <w:bCs/>
                <w:color w:val="000000"/>
                <w:sz w:val="18"/>
                <w:szCs w:val="18"/>
                <w:lang w:eastAsia="es-CR"/>
              </w:rPr>
              <w:t>1.1.4.01.03.</w:t>
            </w:r>
          </w:p>
        </w:tc>
        <w:tc>
          <w:tcPr>
            <w:tcW w:w="3772" w:type="dxa"/>
            <w:tcBorders>
              <w:top w:val="single" w:sz="8" w:space="0" w:color="auto"/>
              <w:left w:val="nil"/>
              <w:bottom w:val="single" w:sz="8" w:space="0" w:color="auto"/>
              <w:right w:val="single" w:sz="8" w:space="0" w:color="auto"/>
            </w:tcBorders>
            <w:shd w:val="clear" w:color="000000" w:fill="DBDBDB"/>
            <w:vAlign w:val="bottom"/>
            <w:hideMark/>
          </w:tcPr>
          <w:p w14:paraId="65FD18F7" w14:textId="77777777" w:rsidR="00DF3AE8" w:rsidRPr="00DF3AE8" w:rsidRDefault="00DF3AE8" w:rsidP="00DF3AE8">
            <w:pPr>
              <w:spacing w:after="0" w:line="240" w:lineRule="auto"/>
              <w:jc w:val="left"/>
              <w:rPr>
                <w:rFonts w:eastAsia="Times New Roman" w:cs="Calibri"/>
                <w:b/>
                <w:bCs/>
                <w:color w:val="000000"/>
                <w:sz w:val="18"/>
                <w:szCs w:val="18"/>
                <w:lang w:eastAsia="es-CR"/>
              </w:rPr>
            </w:pPr>
            <w:r w:rsidRPr="00DF3AE8">
              <w:rPr>
                <w:rFonts w:eastAsia="Times New Roman" w:cs="Calibri"/>
                <w:b/>
                <w:bCs/>
                <w:color w:val="000000"/>
                <w:sz w:val="18"/>
                <w:szCs w:val="18"/>
                <w:lang w:eastAsia="es-CR"/>
              </w:rPr>
              <w:t>Materiales y productos de uso en la construcción y mantenimiento</w:t>
            </w:r>
          </w:p>
        </w:tc>
        <w:tc>
          <w:tcPr>
            <w:tcW w:w="1332" w:type="dxa"/>
            <w:tcBorders>
              <w:top w:val="single" w:sz="8" w:space="0" w:color="auto"/>
              <w:left w:val="nil"/>
              <w:bottom w:val="single" w:sz="8" w:space="0" w:color="auto"/>
              <w:right w:val="single" w:sz="8" w:space="0" w:color="auto"/>
            </w:tcBorders>
            <w:shd w:val="clear" w:color="000000" w:fill="DBDBDB"/>
            <w:noWrap/>
            <w:vAlign w:val="bottom"/>
            <w:hideMark/>
          </w:tcPr>
          <w:p w14:paraId="39B3B677" w14:textId="77777777" w:rsidR="00DF3AE8" w:rsidRPr="00DF3AE8" w:rsidRDefault="00DF3AE8" w:rsidP="00DF3AE8">
            <w:pPr>
              <w:spacing w:after="0" w:line="240" w:lineRule="auto"/>
              <w:jc w:val="right"/>
              <w:rPr>
                <w:rFonts w:eastAsia="Times New Roman" w:cs="Calibri"/>
                <w:b/>
                <w:bCs/>
                <w:color w:val="000000"/>
                <w:sz w:val="18"/>
                <w:szCs w:val="18"/>
                <w:lang w:eastAsia="es-CR"/>
              </w:rPr>
            </w:pPr>
            <w:r w:rsidRPr="00DF3AE8">
              <w:rPr>
                <w:rFonts w:ascii="Arial" w:eastAsia="Times New Roman" w:hAnsi="Arial" w:cs="Arial"/>
                <w:b/>
                <w:bCs/>
                <w:color w:val="000000"/>
                <w:sz w:val="18"/>
                <w:szCs w:val="18"/>
                <w:lang w:eastAsia="es-CR"/>
              </w:rPr>
              <w:t>₡</w:t>
            </w:r>
            <w:r w:rsidRPr="00DF3AE8">
              <w:rPr>
                <w:rFonts w:eastAsia="Times New Roman" w:cs="Calibri"/>
                <w:b/>
                <w:bCs/>
                <w:color w:val="000000"/>
                <w:sz w:val="18"/>
                <w:szCs w:val="18"/>
                <w:lang w:eastAsia="es-CR"/>
              </w:rPr>
              <w:t>28 186,20</w:t>
            </w:r>
          </w:p>
        </w:tc>
        <w:tc>
          <w:tcPr>
            <w:tcW w:w="1332" w:type="dxa"/>
            <w:tcBorders>
              <w:top w:val="single" w:sz="8" w:space="0" w:color="auto"/>
              <w:left w:val="nil"/>
              <w:bottom w:val="single" w:sz="8" w:space="0" w:color="auto"/>
              <w:right w:val="single" w:sz="8" w:space="0" w:color="auto"/>
            </w:tcBorders>
            <w:shd w:val="clear" w:color="000000" w:fill="DBDBDB"/>
            <w:noWrap/>
            <w:vAlign w:val="bottom"/>
            <w:hideMark/>
          </w:tcPr>
          <w:p w14:paraId="3E6BBAF0" w14:textId="77777777" w:rsidR="00DF3AE8" w:rsidRPr="00DF3AE8" w:rsidRDefault="00DF3AE8" w:rsidP="00DF3AE8">
            <w:pPr>
              <w:spacing w:after="0" w:line="240" w:lineRule="auto"/>
              <w:jc w:val="right"/>
              <w:rPr>
                <w:rFonts w:eastAsia="Times New Roman" w:cs="Calibri"/>
                <w:b/>
                <w:bCs/>
                <w:color w:val="000000"/>
                <w:sz w:val="18"/>
                <w:szCs w:val="18"/>
                <w:lang w:eastAsia="es-CR"/>
              </w:rPr>
            </w:pPr>
            <w:r w:rsidRPr="00DF3AE8">
              <w:rPr>
                <w:rFonts w:ascii="Arial" w:eastAsia="Times New Roman" w:hAnsi="Arial" w:cs="Arial"/>
                <w:b/>
                <w:bCs/>
                <w:color w:val="000000"/>
                <w:sz w:val="18"/>
                <w:szCs w:val="18"/>
                <w:lang w:eastAsia="es-CR"/>
              </w:rPr>
              <w:t>₡</w:t>
            </w:r>
            <w:r w:rsidRPr="00DF3AE8">
              <w:rPr>
                <w:rFonts w:eastAsia="Times New Roman" w:cs="Calibri"/>
                <w:b/>
                <w:bCs/>
                <w:color w:val="000000"/>
                <w:sz w:val="18"/>
                <w:szCs w:val="18"/>
                <w:lang w:eastAsia="es-CR"/>
              </w:rPr>
              <w:t>30 127,79</w:t>
            </w:r>
          </w:p>
        </w:tc>
        <w:tc>
          <w:tcPr>
            <w:tcW w:w="1271" w:type="dxa"/>
            <w:tcBorders>
              <w:top w:val="single" w:sz="8" w:space="0" w:color="auto"/>
              <w:left w:val="nil"/>
              <w:bottom w:val="single" w:sz="8" w:space="0" w:color="auto"/>
              <w:right w:val="single" w:sz="8" w:space="0" w:color="auto"/>
            </w:tcBorders>
            <w:shd w:val="clear" w:color="000000" w:fill="DBDBDB"/>
            <w:noWrap/>
            <w:vAlign w:val="bottom"/>
            <w:hideMark/>
          </w:tcPr>
          <w:p w14:paraId="45EF5C82" w14:textId="77777777" w:rsidR="00DF3AE8" w:rsidRPr="00DF3AE8" w:rsidRDefault="00DF3AE8" w:rsidP="00DF3AE8">
            <w:pPr>
              <w:spacing w:after="0" w:line="240" w:lineRule="auto"/>
              <w:jc w:val="right"/>
              <w:rPr>
                <w:rFonts w:eastAsia="Times New Roman" w:cs="Calibri"/>
                <w:b/>
                <w:bCs/>
                <w:color w:val="000000"/>
                <w:sz w:val="18"/>
                <w:szCs w:val="18"/>
                <w:lang w:eastAsia="es-CR"/>
              </w:rPr>
            </w:pPr>
            <w:r w:rsidRPr="00DF3AE8">
              <w:rPr>
                <w:rFonts w:eastAsia="Times New Roman" w:cs="Calibri"/>
                <w:b/>
                <w:bCs/>
                <w:color w:val="000000"/>
                <w:sz w:val="18"/>
                <w:szCs w:val="18"/>
                <w:lang w:eastAsia="es-CR"/>
              </w:rPr>
              <w:t>-</w:t>
            </w:r>
            <w:r w:rsidRPr="00DF3AE8">
              <w:rPr>
                <w:rFonts w:ascii="Arial" w:eastAsia="Times New Roman" w:hAnsi="Arial" w:cs="Arial"/>
                <w:b/>
                <w:bCs/>
                <w:color w:val="000000"/>
                <w:sz w:val="18"/>
                <w:szCs w:val="18"/>
                <w:lang w:eastAsia="es-CR"/>
              </w:rPr>
              <w:t>₡</w:t>
            </w:r>
            <w:r w:rsidRPr="00DF3AE8">
              <w:rPr>
                <w:rFonts w:eastAsia="Times New Roman" w:cs="Calibri"/>
                <w:b/>
                <w:bCs/>
                <w:color w:val="000000"/>
                <w:sz w:val="18"/>
                <w:szCs w:val="18"/>
                <w:lang w:eastAsia="es-CR"/>
              </w:rPr>
              <w:t>1 941,59</w:t>
            </w:r>
          </w:p>
        </w:tc>
        <w:tc>
          <w:tcPr>
            <w:tcW w:w="881" w:type="dxa"/>
            <w:tcBorders>
              <w:top w:val="nil"/>
              <w:left w:val="nil"/>
              <w:bottom w:val="nil"/>
              <w:right w:val="single" w:sz="8" w:space="0" w:color="auto"/>
            </w:tcBorders>
            <w:shd w:val="clear" w:color="000000" w:fill="DBDBDB"/>
            <w:noWrap/>
            <w:vAlign w:val="bottom"/>
            <w:hideMark/>
          </w:tcPr>
          <w:p w14:paraId="0ABCC078" w14:textId="77777777" w:rsidR="00DF3AE8" w:rsidRPr="00DF3AE8" w:rsidRDefault="00DF3AE8" w:rsidP="00DF3AE8">
            <w:pPr>
              <w:spacing w:after="0" w:line="240" w:lineRule="auto"/>
              <w:jc w:val="right"/>
              <w:rPr>
                <w:rFonts w:eastAsia="Times New Roman" w:cs="Calibri"/>
                <w:b/>
                <w:bCs/>
                <w:color w:val="000000"/>
                <w:sz w:val="18"/>
                <w:szCs w:val="18"/>
                <w:lang w:eastAsia="es-CR"/>
              </w:rPr>
            </w:pPr>
            <w:r w:rsidRPr="00DF3AE8">
              <w:rPr>
                <w:rFonts w:eastAsia="Times New Roman" w:cs="Calibri"/>
                <w:b/>
                <w:bCs/>
                <w:color w:val="000000"/>
                <w:sz w:val="18"/>
                <w:szCs w:val="18"/>
                <w:lang w:eastAsia="es-CR"/>
              </w:rPr>
              <w:t>-6,44%</w:t>
            </w:r>
          </w:p>
        </w:tc>
      </w:tr>
      <w:tr w:rsidR="00DF3AE8" w:rsidRPr="00DF3AE8" w14:paraId="5CA859BB" w14:textId="77777777" w:rsidTr="00DF3AE8">
        <w:trPr>
          <w:trHeight w:val="240"/>
        </w:trPr>
        <w:tc>
          <w:tcPr>
            <w:tcW w:w="1032" w:type="dxa"/>
            <w:tcBorders>
              <w:top w:val="nil"/>
              <w:left w:val="single" w:sz="8" w:space="0" w:color="auto"/>
              <w:bottom w:val="nil"/>
              <w:right w:val="single" w:sz="8" w:space="0" w:color="auto"/>
            </w:tcBorders>
            <w:shd w:val="clear" w:color="auto" w:fill="auto"/>
            <w:noWrap/>
            <w:vAlign w:val="bottom"/>
            <w:hideMark/>
          </w:tcPr>
          <w:p w14:paraId="0D0D611A" w14:textId="77777777" w:rsidR="00DF3AE8" w:rsidRPr="00DF3AE8" w:rsidRDefault="00DF3AE8" w:rsidP="00DF3AE8">
            <w:pPr>
              <w:spacing w:after="0" w:line="240" w:lineRule="auto"/>
              <w:jc w:val="left"/>
              <w:rPr>
                <w:rFonts w:eastAsia="Times New Roman" w:cs="Calibri"/>
                <w:color w:val="000000"/>
                <w:sz w:val="18"/>
                <w:szCs w:val="18"/>
                <w:lang w:eastAsia="es-CR"/>
              </w:rPr>
            </w:pPr>
            <w:r w:rsidRPr="00DF3AE8">
              <w:rPr>
                <w:rFonts w:eastAsia="Times New Roman" w:cs="Calibri"/>
                <w:color w:val="000000"/>
                <w:sz w:val="18"/>
                <w:szCs w:val="18"/>
                <w:lang w:eastAsia="es-CR"/>
              </w:rPr>
              <w:t>1.1.4.01.03.01.</w:t>
            </w:r>
          </w:p>
        </w:tc>
        <w:tc>
          <w:tcPr>
            <w:tcW w:w="3772" w:type="dxa"/>
            <w:tcBorders>
              <w:top w:val="nil"/>
              <w:left w:val="nil"/>
              <w:bottom w:val="nil"/>
              <w:right w:val="single" w:sz="8" w:space="0" w:color="auto"/>
            </w:tcBorders>
            <w:shd w:val="clear" w:color="auto" w:fill="auto"/>
            <w:vAlign w:val="bottom"/>
            <w:hideMark/>
          </w:tcPr>
          <w:p w14:paraId="5552C74F" w14:textId="77777777" w:rsidR="00DF3AE8" w:rsidRPr="00DF3AE8" w:rsidRDefault="00DF3AE8" w:rsidP="00DF3AE8">
            <w:pPr>
              <w:spacing w:after="0" w:line="240" w:lineRule="auto"/>
              <w:jc w:val="left"/>
              <w:rPr>
                <w:rFonts w:eastAsia="Times New Roman" w:cs="Calibri"/>
                <w:color w:val="000000"/>
                <w:sz w:val="18"/>
                <w:szCs w:val="18"/>
                <w:lang w:eastAsia="es-CR"/>
              </w:rPr>
            </w:pPr>
            <w:r w:rsidRPr="00DF3AE8">
              <w:rPr>
                <w:rFonts w:eastAsia="Times New Roman" w:cs="Calibri"/>
                <w:color w:val="000000"/>
                <w:sz w:val="18"/>
                <w:szCs w:val="18"/>
                <w:lang w:eastAsia="es-CR"/>
              </w:rPr>
              <w:t>Materiales y productos metálicos</w:t>
            </w:r>
          </w:p>
        </w:tc>
        <w:tc>
          <w:tcPr>
            <w:tcW w:w="1332" w:type="dxa"/>
            <w:tcBorders>
              <w:top w:val="nil"/>
              <w:left w:val="nil"/>
              <w:bottom w:val="nil"/>
              <w:right w:val="single" w:sz="8" w:space="0" w:color="auto"/>
            </w:tcBorders>
            <w:shd w:val="clear" w:color="000000" w:fill="FFFFFF"/>
            <w:noWrap/>
            <w:vAlign w:val="bottom"/>
            <w:hideMark/>
          </w:tcPr>
          <w:p w14:paraId="63B5099F" w14:textId="77777777" w:rsidR="00DF3AE8" w:rsidRPr="00DF3AE8" w:rsidRDefault="00DF3AE8" w:rsidP="00DF3AE8">
            <w:pPr>
              <w:spacing w:after="0" w:line="240" w:lineRule="auto"/>
              <w:jc w:val="right"/>
              <w:rPr>
                <w:rFonts w:eastAsia="Times New Roman" w:cs="Calibri"/>
                <w:color w:val="000000"/>
                <w:sz w:val="18"/>
                <w:szCs w:val="18"/>
                <w:lang w:eastAsia="es-CR"/>
              </w:rPr>
            </w:pPr>
            <w:r w:rsidRPr="00DF3AE8">
              <w:rPr>
                <w:rFonts w:eastAsia="Times New Roman" w:cs="Calibri"/>
                <w:color w:val="000000"/>
                <w:sz w:val="18"/>
                <w:szCs w:val="18"/>
                <w:lang w:eastAsia="es-CR"/>
              </w:rPr>
              <w:t>25 375,22</w:t>
            </w:r>
          </w:p>
        </w:tc>
        <w:tc>
          <w:tcPr>
            <w:tcW w:w="1332" w:type="dxa"/>
            <w:tcBorders>
              <w:top w:val="nil"/>
              <w:left w:val="nil"/>
              <w:bottom w:val="nil"/>
              <w:right w:val="single" w:sz="8" w:space="0" w:color="auto"/>
            </w:tcBorders>
            <w:shd w:val="clear" w:color="auto" w:fill="auto"/>
            <w:noWrap/>
            <w:vAlign w:val="bottom"/>
            <w:hideMark/>
          </w:tcPr>
          <w:p w14:paraId="333F167E" w14:textId="77777777" w:rsidR="00DF3AE8" w:rsidRPr="00DF3AE8" w:rsidRDefault="00DF3AE8" w:rsidP="00DF3AE8">
            <w:pPr>
              <w:spacing w:after="0" w:line="240" w:lineRule="auto"/>
              <w:jc w:val="right"/>
              <w:rPr>
                <w:rFonts w:eastAsia="Times New Roman" w:cs="Calibri"/>
                <w:color w:val="000000"/>
                <w:sz w:val="18"/>
                <w:szCs w:val="18"/>
                <w:lang w:eastAsia="es-CR"/>
              </w:rPr>
            </w:pPr>
            <w:r w:rsidRPr="00DF3AE8">
              <w:rPr>
                <w:rFonts w:eastAsia="Times New Roman" w:cs="Calibri"/>
                <w:color w:val="000000"/>
                <w:sz w:val="18"/>
                <w:szCs w:val="18"/>
                <w:lang w:eastAsia="es-CR"/>
              </w:rPr>
              <w:t>25 238,70</w:t>
            </w:r>
          </w:p>
        </w:tc>
        <w:tc>
          <w:tcPr>
            <w:tcW w:w="1271" w:type="dxa"/>
            <w:tcBorders>
              <w:top w:val="nil"/>
              <w:left w:val="nil"/>
              <w:bottom w:val="nil"/>
              <w:right w:val="nil"/>
            </w:tcBorders>
            <w:shd w:val="clear" w:color="000000" w:fill="FFFFFF"/>
            <w:noWrap/>
            <w:vAlign w:val="bottom"/>
            <w:hideMark/>
          </w:tcPr>
          <w:p w14:paraId="164EB1AC" w14:textId="77777777" w:rsidR="00DF3AE8" w:rsidRPr="00DF3AE8" w:rsidRDefault="00DF3AE8" w:rsidP="00DF3AE8">
            <w:pPr>
              <w:spacing w:after="0" w:line="240" w:lineRule="auto"/>
              <w:jc w:val="right"/>
              <w:rPr>
                <w:rFonts w:eastAsia="Times New Roman" w:cs="Calibri"/>
                <w:color w:val="000000"/>
                <w:sz w:val="18"/>
                <w:szCs w:val="18"/>
                <w:lang w:eastAsia="es-CR"/>
              </w:rPr>
            </w:pPr>
            <w:r w:rsidRPr="00DF3AE8">
              <w:rPr>
                <w:rFonts w:eastAsia="Times New Roman" w:cs="Calibri"/>
                <w:color w:val="000000"/>
                <w:sz w:val="18"/>
                <w:szCs w:val="18"/>
                <w:lang w:eastAsia="es-CR"/>
              </w:rPr>
              <w:t>136,51</w:t>
            </w:r>
          </w:p>
        </w:tc>
        <w:tc>
          <w:tcPr>
            <w:tcW w:w="881" w:type="dxa"/>
            <w:tcBorders>
              <w:top w:val="single" w:sz="8" w:space="0" w:color="auto"/>
              <w:left w:val="single" w:sz="8" w:space="0" w:color="auto"/>
              <w:bottom w:val="nil"/>
              <w:right w:val="single" w:sz="8" w:space="0" w:color="auto"/>
            </w:tcBorders>
            <w:shd w:val="clear" w:color="auto" w:fill="auto"/>
            <w:noWrap/>
            <w:vAlign w:val="bottom"/>
            <w:hideMark/>
          </w:tcPr>
          <w:p w14:paraId="6402DB6A" w14:textId="77777777" w:rsidR="00DF3AE8" w:rsidRPr="00DF3AE8" w:rsidRDefault="00DF3AE8" w:rsidP="00DF3AE8">
            <w:pPr>
              <w:spacing w:after="0" w:line="240" w:lineRule="auto"/>
              <w:jc w:val="right"/>
              <w:rPr>
                <w:rFonts w:eastAsia="Times New Roman" w:cs="Calibri"/>
                <w:color w:val="000000"/>
                <w:sz w:val="18"/>
                <w:szCs w:val="18"/>
                <w:lang w:eastAsia="es-CR"/>
              </w:rPr>
            </w:pPr>
            <w:r w:rsidRPr="00DF3AE8">
              <w:rPr>
                <w:rFonts w:eastAsia="Times New Roman" w:cs="Calibri"/>
                <w:color w:val="000000"/>
                <w:sz w:val="18"/>
                <w:szCs w:val="18"/>
                <w:lang w:eastAsia="es-CR"/>
              </w:rPr>
              <w:t>0,54%</w:t>
            </w:r>
          </w:p>
        </w:tc>
      </w:tr>
      <w:tr w:rsidR="00DF3AE8" w:rsidRPr="00DF3AE8" w14:paraId="1C4083F2" w14:textId="77777777" w:rsidTr="00DF3AE8">
        <w:trPr>
          <w:trHeight w:val="270"/>
        </w:trPr>
        <w:tc>
          <w:tcPr>
            <w:tcW w:w="1032" w:type="dxa"/>
            <w:tcBorders>
              <w:top w:val="nil"/>
              <w:left w:val="single" w:sz="8" w:space="0" w:color="auto"/>
              <w:bottom w:val="nil"/>
              <w:right w:val="single" w:sz="8" w:space="0" w:color="auto"/>
            </w:tcBorders>
            <w:shd w:val="clear" w:color="auto" w:fill="auto"/>
            <w:noWrap/>
            <w:vAlign w:val="bottom"/>
            <w:hideMark/>
          </w:tcPr>
          <w:p w14:paraId="41874E2C" w14:textId="77777777" w:rsidR="00DF3AE8" w:rsidRPr="00DF3AE8" w:rsidRDefault="00DF3AE8" w:rsidP="00DF3AE8">
            <w:pPr>
              <w:spacing w:after="0" w:line="240" w:lineRule="auto"/>
              <w:jc w:val="left"/>
              <w:rPr>
                <w:rFonts w:eastAsia="Times New Roman" w:cs="Calibri"/>
                <w:color w:val="000000"/>
                <w:sz w:val="18"/>
                <w:szCs w:val="18"/>
                <w:lang w:eastAsia="es-CR"/>
              </w:rPr>
            </w:pPr>
            <w:r w:rsidRPr="00DF3AE8">
              <w:rPr>
                <w:rFonts w:eastAsia="Times New Roman" w:cs="Calibri"/>
                <w:color w:val="000000"/>
                <w:sz w:val="18"/>
                <w:szCs w:val="18"/>
                <w:lang w:eastAsia="es-CR"/>
              </w:rPr>
              <w:t>1.1.4.01.03.02.</w:t>
            </w:r>
          </w:p>
        </w:tc>
        <w:tc>
          <w:tcPr>
            <w:tcW w:w="3772" w:type="dxa"/>
            <w:tcBorders>
              <w:top w:val="nil"/>
              <w:left w:val="nil"/>
              <w:bottom w:val="nil"/>
              <w:right w:val="single" w:sz="8" w:space="0" w:color="auto"/>
            </w:tcBorders>
            <w:shd w:val="clear" w:color="auto" w:fill="auto"/>
            <w:vAlign w:val="bottom"/>
            <w:hideMark/>
          </w:tcPr>
          <w:p w14:paraId="7ECED5C2" w14:textId="77777777" w:rsidR="00DF3AE8" w:rsidRPr="00DF3AE8" w:rsidRDefault="00DF3AE8" w:rsidP="00DF3AE8">
            <w:pPr>
              <w:spacing w:after="0" w:line="240" w:lineRule="auto"/>
              <w:jc w:val="left"/>
              <w:rPr>
                <w:rFonts w:eastAsia="Times New Roman" w:cs="Calibri"/>
                <w:color w:val="000000"/>
                <w:sz w:val="18"/>
                <w:szCs w:val="18"/>
                <w:lang w:eastAsia="es-CR"/>
              </w:rPr>
            </w:pPr>
            <w:r w:rsidRPr="00DF3AE8">
              <w:rPr>
                <w:rFonts w:eastAsia="Times New Roman" w:cs="Calibri"/>
                <w:color w:val="000000"/>
                <w:sz w:val="18"/>
                <w:szCs w:val="18"/>
                <w:lang w:eastAsia="es-CR"/>
              </w:rPr>
              <w:t>Materiales y productos minerales y asfálticos</w:t>
            </w:r>
          </w:p>
        </w:tc>
        <w:tc>
          <w:tcPr>
            <w:tcW w:w="1332" w:type="dxa"/>
            <w:tcBorders>
              <w:top w:val="nil"/>
              <w:left w:val="nil"/>
              <w:bottom w:val="nil"/>
              <w:right w:val="single" w:sz="8" w:space="0" w:color="auto"/>
            </w:tcBorders>
            <w:shd w:val="clear" w:color="000000" w:fill="FFFFFF"/>
            <w:noWrap/>
            <w:vAlign w:val="bottom"/>
            <w:hideMark/>
          </w:tcPr>
          <w:p w14:paraId="5FEB6345" w14:textId="77777777" w:rsidR="00DF3AE8" w:rsidRPr="00DF3AE8" w:rsidRDefault="00DF3AE8" w:rsidP="00DF3AE8">
            <w:pPr>
              <w:spacing w:after="0" w:line="240" w:lineRule="auto"/>
              <w:jc w:val="right"/>
              <w:rPr>
                <w:rFonts w:eastAsia="Times New Roman" w:cs="Calibri"/>
                <w:color w:val="000000"/>
                <w:sz w:val="18"/>
                <w:szCs w:val="18"/>
                <w:lang w:eastAsia="es-CR"/>
              </w:rPr>
            </w:pPr>
            <w:r w:rsidRPr="00DF3AE8">
              <w:rPr>
                <w:rFonts w:eastAsia="Times New Roman" w:cs="Calibri"/>
                <w:color w:val="000000"/>
                <w:sz w:val="18"/>
                <w:szCs w:val="18"/>
                <w:lang w:eastAsia="es-CR"/>
              </w:rPr>
              <w:t>1 977,92</w:t>
            </w:r>
          </w:p>
        </w:tc>
        <w:tc>
          <w:tcPr>
            <w:tcW w:w="1332" w:type="dxa"/>
            <w:tcBorders>
              <w:top w:val="nil"/>
              <w:left w:val="nil"/>
              <w:bottom w:val="nil"/>
              <w:right w:val="single" w:sz="8" w:space="0" w:color="auto"/>
            </w:tcBorders>
            <w:shd w:val="clear" w:color="auto" w:fill="auto"/>
            <w:noWrap/>
            <w:vAlign w:val="bottom"/>
            <w:hideMark/>
          </w:tcPr>
          <w:p w14:paraId="644C2834" w14:textId="77777777" w:rsidR="00DF3AE8" w:rsidRPr="00DF3AE8" w:rsidRDefault="00DF3AE8" w:rsidP="00DF3AE8">
            <w:pPr>
              <w:spacing w:after="0" w:line="240" w:lineRule="auto"/>
              <w:jc w:val="right"/>
              <w:rPr>
                <w:rFonts w:eastAsia="Times New Roman" w:cs="Calibri"/>
                <w:color w:val="000000"/>
                <w:sz w:val="18"/>
                <w:szCs w:val="18"/>
                <w:lang w:eastAsia="es-CR"/>
              </w:rPr>
            </w:pPr>
            <w:r w:rsidRPr="00DF3AE8">
              <w:rPr>
                <w:rFonts w:eastAsia="Times New Roman" w:cs="Calibri"/>
                <w:color w:val="000000"/>
                <w:sz w:val="18"/>
                <w:szCs w:val="18"/>
                <w:lang w:eastAsia="es-CR"/>
              </w:rPr>
              <w:t>3 708,68</w:t>
            </w:r>
          </w:p>
        </w:tc>
        <w:tc>
          <w:tcPr>
            <w:tcW w:w="1271" w:type="dxa"/>
            <w:tcBorders>
              <w:top w:val="nil"/>
              <w:left w:val="nil"/>
              <w:bottom w:val="nil"/>
              <w:right w:val="nil"/>
            </w:tcBorders>
            <w:shd w:val="clear" w:color="auto" w:fill="auto"/>
            <w:noWrap/>
            <w:vAlign w:val="bottom"/>
            <w:hideMark/>
          </w:tcPr>
          <w:p w14:paraId="58AF406F" w14:textId="77777777" w:rsidR="00DF3AE8" w:rsidRPr="00DF3AE8" w:rsidRDefault="00DF3AE8" w:rsidP="00DF3AE8">
            <w:pPr>
              <w:spacing w:after="0" w:line="240" w:lineRule="auto"/>
              <w:jc w:val="right"/>
              <w:rPr>
                <w:rFonts w:eastAsia="Times New Roman" w:cs="Calibri"/>
                <w:color w:val="000000"/>
                <w:sz w:val="18"/>
                <w:szCs w:val="18"/>
                <w:lang w:eastAsia="es-CR"/>
              </w:rPr>
            </w:pPr>
            <w:r w:rsidRPr="00DF3AE8">
              <w:rPr>
                <w:rFonts w:eastAsia="Times New Roman" w:cs="Calibri"/>
                <w:color w:val="000000"/>
                <w:sz w:val="18"/>
                <w:szCs w:val="18"/>
                <w:lang w:eastAsia="es-CR"/>
              </w:rPr>
              <w:t>-1 730,76</w:t>
            </w:r>
          </w:p>
        </w:tc>
        <w:tc>
          <w:tcPr>
            <w:tcW w:w="881" w:type="dxa"/>
            <w:tcBorders>
              <w:top w:val="nil"/>
              <w:left w:val="single" w:sz="8" w:space="0" w:color="auto"/>
              <w:bottom w:val="nil"/>
              <w:right w:val="single" w:sz="8" w:space="0" w:color="auto"/>
            </w:tcBorders>
            <w:shd w:val="clear" w:color="auto" w:fill="auto"/>
            <w:noWrap/>
            <w:vAlign w:val="bottom"/>
            <w:hideMark/>
          </w:tcPr>
          <w:p w14:paraId="5647D197" w14:textId="77777777" w:rsidR="00DF3AE8" w:rsidRPr="00DF3AE8" w:rsidRDefault="00DF3AE8" w:rsidP="00DF3AE8">
            <w:pPr>
              <w:spacing w:after="0" w:line="240" w:lineRule="auto"/>
              <w:jc w:val="right"/>
              <w:rPr>
                <w:rFonts w:eastAsia="Times New Roman" w:cs="Calibri"/>
                <w:color w:val="000000"/>
                <w:sz w:val="18"/>
                <w:szCs w:val="18"/>
                <w:lang w:eastAsia="es-CR"/>
              </w:rPr>
            </w:pPr>
            <w:r w:rsidRPr="00DF3AE8">
              <w:rPr>
                <w:rFonts w:eastAsia="Times New Roman" w:cs="Calibri"/>
                <w:color w:val="000000"/>
                <w:sz w:val="18"/>
                <w:szCs w:val="18"/>
                <w:lang w:eastAsia="es-CR"/>
              </w:rPr>
              <w:t>-46,67%</w:t>
            </w:r>
          </w:p>
        </w:tc>
      </w:tr>
      <w:tr w:rsidR="00DF3AE8" w:rsidRPr="00DF3AE8" w14:paraId="7D8FF3C0" w14:textId="77777777" w:rsidTr="00DF3AE8">
        <w:trPr>
          <w:trHeight w:val="270"/>
        </w:trPr>
        <w:tc>
          <w:tcPr>
            <w:tcW w:w="1032" w:type="dxa"/>
            <w:tcBorders>
              <w:top w:val="nil"/>
              <w:left w:val="single" w:sz="8" w:space="0" w:color="auto"/>
              <w:bottom w:val="nil"/>
              <w:right w:val="single" w:sz="8" w:space="0" w:color="auto"/>
            </w:tcBorders>
            <w:shd w:val="clear" w:color="auto" w:fill="auto"/>
            <w:noWrap/>
            <w:vAlign w:val="bottom"/>
            <w:hideMark/>
          </w:tcPr>
          <w:p w14:paraId="72129894" w14:textId="77777777" w:rsidR="00DF3AE8" w:rsidRPr="00DF3AE8" w:rsidRDefault="00DF3AE8" w:rsidP="00DF3AE8">
            <w:pPr>
              <w:spacing w:after="0" w:line="240" w:lineRule="auto"/>
              <w:jc w:val="left"/>
              <w:rPr>
                <w:rFonts w:eastAsia="Times New Roman" w:cs="Calibri"/>
                <w:color w:val="000000"/>
                <w:sz w:val="18"/>
                <w:szCs w:val="18"/>
                <w:lang w:eastAsia="es-CR"/>
              </w:rPr>
            </w:pPr>
            <w:r w:rsidRPr="00DF3AE8">
              <w:rPr>
                <w:rFonts w:eastAsia="Times New Roman" w:cs="Calibri"/>
                <w:color w:val="000000"/>
                <w:sz w:val="18"/>
                <w:szCs w:val="18"/>
                <w:lang w:eastAsia="es-CR"/>
              </w:rPr>
              <w:t>1.1.4.01.03.03.</w:t>
            </w:r>
          </w:p>
        </w:tc>
        <w:tc>
          <w:tcPr>
            <w:tcW w:w="3772" w:type="dxa"/>
            <w:tcBorders>
              <w:top w:val="nil"/>
              <w:left w:val="nil"/>
              <w:bottom w:val="nil"/>
              <w:right w:val="single" w:sz="8" w:space="0" w:color="auto"/>
            </w:tcBorders>
            <w:shd w:val="clear" w:color="auto" w:fill="auto"/>
            <w:vAlign w:val="bottom"/>
            <w:hideMark/>
          </w:tcPr>
          <w:p w14:paraId="4E745269" w14:textId="77777777" w:rsidR="00DF3AE8" w:rsidRPr="00DF3AE8" w:rsidRDefault="00DF3AE8" w:rsidP="00DF3AE8">
            <w:pPr>
              <w:spacing w:after="0" w:line="240" w:lineRule="auto"/>
              <w:jc w:val="left"/>
              <w:rPr>
                <w:rFonts w:eastAsia="Times New Roman" w:cs="Calibri"/>
                <w:color w:val="000000"/>
                <w:sz w:val="18"/>
                <w:szCs w:val="18"/>
                <w:lang w:eastAsia="es-CR"/>
              </w:rPr>
            </w:pPr>
            <w:r w:rsidRPr="00DF3AE8">
              <w:rPr>
                <w:rFonts w:eastAsia="Times New Roman" w:cs="Calibri"/>
                <w:color w:val="000000"/>
                <w:sz w:val="18"/>
                <w:szCs w:val="18"/>
                <w:lang w:eastAsia="es-CR"/>
              </w:rPr>
              <w:t>Madera y sus derivados</w:t>
            </w:r>
          </w:p>
        </w:tc>
        <w:tc>
          <w:tcPr>
            <w:tcW w:w="1332" w:type="dxa"/>
            <w:tcBorders>
              <w:top w:val="nil"/>
              <w:left w:val="nil"/>
              <w:bottom w:val="nil"/>
              <w:right w:val="single" w:sz="8" w:space="0" w:color="auto"/>
            </w:tcBorders>
            <w:shd w:val="clear" w:color="000000" w:fill="FFFFFF"/>
            <w:noWrap/>
            <w:vAlign w:val="bottom"/>
            <w:hideMark/>
          </w:tcPr>
          <w:p w14:paraId="5F8A6EAB" w14:textId="77777777" w:rsidR="00DF3AE8" w:rsidRPr="00DF3AE8" w:rsidRDefault="00DF3AE8" w:rsidP="00DF3AE8">
            <w:pPr>
              <w:spacing w:after="0" w:line="240" w:lineRule="auto"/>
              <w:jc w:val="right"/>
              <w:rPr>
                <w:rFonts w:eastAsia="Times New Roman" w:cs="Calibri"/>
                <w:color w:val="000000"/>
                <w:sz w:val="18"/>
                <w:szCs w:val="18"/>
                <w:lang w:eastAsia="es-CR"/>
              </w:rPr>
            </w:pPr>
            <w:r w:rsidRPr="00DF3AE8">
              <w:rPr>
                <w:rFonts w:eastAsia="Times New Roman" w:cs="Calibri"/>
                <w:color w:val="000000"/>
                <w:sz w:val="18"/>
                <w:szCs w:val="18"/>
                <w:lang w:eastAsia="es-CR"/>
              </w:rPr>
              <w:t>590,73</w:t>
            </w:r>
          </w:p>
        </w:tc>
        <w:tc>
          <w:tcPr>
            <w:tcW w:w="1332" w:type="dxa"/>
            <w:tcBorders>
              <w:top w:val="nil"/>
              <w:left w:val="nil"/>
              <w:bottom w:val="nil"/>
              <w:right w:val="single" w:sz="8" w:space="0" w:color="auto"/>
            </w:tcBorders>
            <w:shd w:val="clear" w:color="auto" w:fill="auto"/>
            <w:noWrap/>
            <w:vAlign w:val="bottom"/>
            <w:hideMark/>
          </w:tcPr>
          <w:p w14:paraId="5CC47EDF" w14:textId="77777777" w:rsidR="00DF3AE8" w:rsidRPr="00DF3AE8" w:rsidRDefault="00DF3AE8" w:rsidP="00DF3AE8">
            <w:pPr>
              <w:spacing w:after="0" w:line="240" w:lineRule="auto"/>
              <w:jc w:val="right"/>
              <w:rPr>
                <w:rFonts w:eastAsia="Times New Roman" w:cs="Calibri"/>
                <w:color w:val="000000"/>
                <w:sz w:val="18"/>
                <w:szCs w:val="18"/>
                <w:lang w:eastAsia="es-CR"/>
              </w:rPr>
            </w:pPr>
            <w:r w:rsidRPr="00DF3AE8">
              <w:rPr>
                <w:rFonts w:eastAsia="Times New Roman" w:cs="Calibri"/>
                <w:color w:val="000000"/>
                <w:sz w:val="18"/>
                <w:szCs w:val="18"/>
                <w:lang w:eastAsia="es-CR"/>
              </w:rPr>
              <w:t>896,52</w:t>
            </w:r>
          </w:p>
        </w:tc>
        <w:tc>
          <w:tcPr>
            <w:tcW w:w="1271" w:type="dxa"/>
            <w:tcBorders>
              <w:top w:val="nil"/>
              <w:left w:val="nil"/>
              <w:bottom w:val="nil"/>
              <w:right w:val="nil"/>
            </w:tcBorders>
            <w:shd w:val="clear" w:color="auto" w:fill="auto"/>
            <w:noWrap/>
            <w:vAlign w:val="bottom"/>
            <w:hideMark/>
          </w:tcPr>
          <w:p w14:paraId="7944084D" w14:textId="77777777" w:rsidR="00DF3AE8" w:rsidRPr="00DF3AE8" w:rsidRDefault="00DF3AE8" w:rsidP="00DF3AE8">
            <w:pPr>
              <w:spacing w:after="0" w:line="240" w:lineRule="auto"/>
              <w:jc w:val="right"/>
              <w:rPr>
                <w:rFonts w:eastAsia="Times New Roman" w:cs="Calibri"/>
                <w:color w:val="000000"/>
                <w:sz w:val="18"/>
                <w:szCs w:val="18"/>
                <w:lang w:eastAsia="es-CR"/>
              </w:rPr>
            </w:pPr>
            <w:r w:rsidRPr="00DF3AE8">
              <w:rPr>
                <w:rFonts w:eastAsia="Times New Roman" w:cs="Calibri"/>
                <w:color w:val="000000"/>
                <w:sz w:val="18"/>
                <w:szCs w:val="18"/>
                <w:lang w:eastAsia="es-CR"/>
              </w:rPr>
              <w:t>-305,79</w:t>
            </w:r>
          </w:p>
        </w:tc>
        <w:tc>
          <w:tcPr>
            <w:tcW w:w="881" w:type="dxa"/>
            <w:tcBorders>
              <w:top w:val="nil"/>
              <w:left w:val="single" w:sz="8" w:space="0" w:color="auto"/>
              <w:bottom w:val="nil"/>
              <w:right w:val="single" w:sz="8" w:space="0" w:color="auto"/>
            </w:tcBorders>
            <w:shd w:val="clear" w:color="auto" w:fill="auto"/>
            <w:noWrap/>
            <w:vAlign w:val="bottom"/>
            <w:hideMark/>
          </w:tcPr>
          <w:p w14:paraId="41FF6344" w14:textId="77777777" w:rsidR="00DF3AE8" w:rsidRPr="00DF3AE8" w:rsidRDefault="00DF3AE8" w:rsidP="00DF3AE8">
            <w:pPr>
              <w:spacing w:after="0" w:line="240" w:lineRule="auto"/>
              <w:jc w:val="right"/>
              <w:rPr>
                <w:rFonts w:eastAsia="Times New Roman" w:cs="Calibri"/>
                <w:color w:val="000000"/>
                <w:sz w:val="18"/>
                <w:szCs w:val="18"/>
                <w:lang w:eastAsia="es-CR"/>
              </w:rPr>
            </w:pPr>
            <w:r w:rsidRPr="00DF3AE8">
              <w:rPr>
                <w:rFonts w:eastAsia="Times New Roman" w:cs="Calibri"/>
                <w:color w:val="000000"/>
                <w:sz w:val="18"/>
                <w:szCs w:val="18"/>
                <w:lang w:eastAsia="es-CR"/>
              </w:rPr>
              <w:t>-34,11%</w:t>
            </w:r>
          </w:p>
        </w:tc>
      </w:tr>
      <w:tr w:rsidR="00DF3AE8" w:rsidRPr="00DF3AE8" w14:paraId="3D426EC5" w14:textId="77777777" w:rsidTr="00DF3AE8">
        <w:trPr>
          <w:trHeight w:val="540"/>
        </w:trPr>
        <w:tc>
          <w:tcPr>
            <w:tcW w:w="1032" w:type="dxa"/>
            <w:tcBorders>
              <w:top w:val="nil"/>
              <w:left w:val="single" w:sz="8" w:space="0" w:color="auto"/>
              <w:bottom w:val="nil"/>
              <w:right w:val="single" w:sz="8" w:space="0" w:color="auto"/>
            </w:tcBorders>
            <w:shd w:val="clear" w:color="auto" w:fill="auto"/>
            <w:noWrap/>
            <w:vAlign w:val="center"/>
            <w:hideMark/>
          </w:tcPr>
          <w:p w14:paraId="16871AF7" w14:textId="77777777" w:rsidR="00DF3AE8" w:rsidRPr="00DF3AE8" w:rsidRDefault="00DF3AE8" w:rsidP="00DF3AE8">
            <w:pPr>
              <w:spacing w:after="0" w:line="240" w:lineRule="auto"/>
              <w:jc w:val="left"/>
              <w:rPr>
                <w:rFonts w:eastAsia="Times New Roman" w:cs="Calibri"/>
                <w:color w:val="000000"/>
                <w:sz w:val="18"/>
                <w:szCs w:val="18"/>
                <w:lang w:eastAsia="es-CR"/>
              </w:rPr>
            </w:pPr>
            <w:r w:rsidRPr="00DF3AE8">
              <w:rPr>
                <w:rFonts w:eastAsia="Times New Roman" w:cs="Calibri"/>
                <w:color w:val="000000"/>
                <w:sz w:val="18"/>
                <w:szCs w:val="18"/>
                <w:lang w:eastAsia="es-CR"/>
              </w:rPr>
              <w:t>1.1.4.01.03.04.</w:t>
            </w:r>
          </w:p>
        </w:tc>
        <w:tc>
          <w:tcPr>
            <w:tcW w:w="3772" w:type="dxa"/>
            <w:tcBorders>
              <w:top w:val="nil"/>
              <w:left w:val="nil"/>
              <w:bottom w:val="nil"/>
              <w:right w:val="single" w:sz="8" w:space="0" w:color="auto"/>
            </w:tcBorders>
            <w:shd w:val="clear" w:color="auto" w:fill="auto"/>
            <w:vAlign w:val="bottom"/>
            <w:hideMark/>
          </w:tcPr>
          <w:p w14:paraId="58224647" w14:textId="77777777" w:rsidR="00DF3AE8" w:rsidRPr="00DF3AE8" w:rsidRDefault="00DF3AE8" w:rsidP="00DF3AE8">
            <w:pPr>
              <w:spacing w:after="0" w:line="240" w:lineRule="auto"/>
              <w:jc w:val="left"/>
              <w:rPr>
                <w:rFonts w:eastAsia="Times New Roman" w:cs="Calibri"/>
                <w:color w:val="000000"/>
                <w:sz w:val="18"/>
                <w:szCs w:val="18"/>
                <w:lang w:eastAsia="es-CR"/>
              </w:rPr>
            </w:pPr>
            <w:r w:rsidRPr="00DF3AE8">
              <w:rPr>
                <w:rFonts w:eastAsia="Times New Roman" w:cs="Calibri"/>
                <w:color w:val="000000"/>
                <w:sz w:val="18"/>
                <w:szCs w:val="18"/>
                <w:lang w:eastAsia="es-CR"/>
              </w:rPr>
              <w:t>Materiales y productos eléctricos, telefónicos y de cómputo</w:t>
            </w:r>
          </w:p>
        </w:tc>
        <w:tc>
          <w:tcPr>
            <w:tcW w:w="1332" w:type="dxa"/>
            <w:tcBorders>
              <w:top w:val="nil"/>
              <w:left w:val="nil"/>
              <w:bottom w:val="nil"/>
              <w:right w:val="single" w:sz="8" w:space="0" w:color="auto"/>
            </w:tcBorders>
            <w:shd w:val="clear" w:color="000000" w:fill="FFFFFF"/>
            <w:noWrap/>
            <w:vAlign w:val="bottom"/>
            <w:hideMark/>
          </w:tcPr>
          <w:p w14:paraId="35EEF5C0" w14:textId="77777777" w:rsidR="00DF3AE8" w:rsidRPr="00DF3AE8" w:rsidRDefault="00DF3AE8" w:rsidP="00DF3AE8">
            <w:pPr>
              <w:spacing w:after="0" w:line="240" w:lineRule="auto"/>
              <w:jc w:val="right"/>
              <w:rPr>
                <w:rFonts w:eastAsia="Times New Roman" w:cs="Calibri"/>
                <w:color w:val="000000"/>
                <w:sz w:val="18"/>
                <w:szCs w:val="18"/>
                <w:lang w:eastAsia="es-CR"/>
              </w:rPr>
            </w:pPr>
            <w:r w:rsidRPr="00DF3AE8">
              <w:rPr>
                <w:rFonts w:eastAsia="Times New Roman" w:cs="Calibri"/>
                <w:color w:val="000000"/>
                <w:sz w:val="18"/>
                <w:szCs w:val="18"/>
                <w:lang w:eastAsia="es-CR"/>
              </w:rPr>
              <w:t>89,69</w:t>
            </w:r>
          </w:p>
        </w:tc>
        <w:tc>
          <w:tcPr>
            <w:tcW w:w="1332" w:type="dxa"/>
            <w:tcBorders>
              <w:top w:val="nil"/>
              <w:left w:val="nil"/>
              <w:bottom w:val="nil"/>
              <w:right w:val="single" w:sz="8" w:space="0" w:color="auto"/>
            </w:tcBorders>
            <w:shd w:val="clear" w:color="auto" w:fill="auto"/>
            <w:noWrap/>
            <w:vAlign w:val="bottom"/>
            <w:hideMark/>
          </w:tcPr>
          <w:p w14:paraId="2B568611" w14:textId="77777777" w:rsidR="00DF3AE8" w:rsidRPr="00DF3AE8" w:rsidRDefault="00DF3AE8" w:rsidP="00DF3AE8">
            <w:pPr>
              <w:spacing w:after="0" w:line="240" w:lineRule="auto"/>
              <w:jc w:val="right"/>
              <w:rPr>
                <w:rFonts w:eastAsia="Times New Roman" w:cs="Calibri"/>
                <w:color w:val="000000"/>
                <w:sz w:val="18"/>
                <w:szCs w:val="18"/>
                <w:lang w:eastAsia="es-CR"/>
              </w:rPr>
            </w:pPr>
            <w:r w:rsidRPr="00DF3AE8">
              <w:rPr>
                <w:rFonts w:eastAsia="Times New Roman" w:cs="Calibri"/>
                <w:color w:val="000000"/>
                <w:sz w:val="18"/>
                <w:szCs w:val="18"/>
                <w:lang w:eastAsia="es-CR"/>
              </w:rPr>
              <w:t>135,17</w:t>
            </w:r>
          </w:p>
        </w:tc>
        <w:tc>
          <w:tcPr>
            <w:tcW w:w="1271" w:type="dxa"/>
            <w:tcBorders>
              <w:top w:val="nil"/>
              <w:left w:val="nil"/>
              <w:bottom w:val="nil"/>
              <w:right w:val="nil"/>
            </w:tcBorders>
            <w:shd w:val="clear" w:color="auto" w:fill="auto"/>
            <w:noWrap/>
            <w:vAlign w:val="bottom"/>
            <w:hideMark/>
          </w:tcPr>
          <w:p w14:paraId="3162004F" w14:textId="77777777" w:rsidR="00DF3AE8" w:rsidRPr="00DF3AE8" w:rsidRDefault="00DF3AE8" w:rsidP="00DF3AE8">
            <w:pPr>
              <w:spacing w:after="0" w:line="240" w:lineRule="auto"/>
              <w:jc w:val="right"/>
              <w:rPr>
                <w:rFonts w:eastAsia="Times New Roman" w:cs="Calibri"/>
                <w:color w:val="000000"/>
                <w:sz w:val="18"/>
                <w:szCs w:val="18"/>
                <w:lang w:eastAsia="es-CR"/>
              </w:rPr>
            </w:pPr>
            <w:r w:rsidRPr="00DF3AE8">
              <w:rPr>
                <w:rFonts w:eastAsia="Times New Roman" w:cs="Calibri"/>
                <w:color w:val="000000"/>
                <w:sz w:val="18"/>
                <w:szCs w:val="18"/>
                <w:lang w:eastAsia="es-CR"/>
              </w:rPr>
              <w:t>-45,49</w:t>
            </w:r>
          </w:p>
        </w:tc>
        <w:tc>
          <w:tcPr>
            <w:tcW w:w="881" w:type="dxa"/>
            <w:tcBorders>
              <w:top w:val="nil"/>
              <w:left w:val="single" w:sz="8" w:space="0" w:color="auto"/>
              <w:bottom w:val="nil"/>
              <w:right w:val="single" w:sz="8" w:space="0" w:color="auto"/>
            </w:tcBorders>
            <w:shd w:val="clear" w:color="auto" w:fill="auto"/>
            <w:noWrap/>
            <w:vAlign w:val="bottom"/>
            <w:hideMark/>
          </w:tcPr>
          <w:p w14:paraId="17B2B124" w14:textId="77777777" w:rsidR="00DF3AE8" w:rsidRPr="00DF3AE8" w:rsidRDefault="00DF3AE8" w:rsidP="00DF3AE8">
            <w:pPr>
              <w:spacing w:after="0" w:line="240" w:lineRule="auto"/>
              <w:jc w:val="right"/>
              <w:rPr>
                <w:rFonts w:eastAsia="Times New Roman" w:cs="Calibri"/>
                <w:color w:val="000000"/>
                <w:sz w:val="18"/>
                <w:szCs w:val="18"/>
                <w:lang w:eastAsia="es-CR"/>
              </w:rPr>
            </w:pPr>
            <w:r w:rsidRPr="00DF3AE8">
              <w:rPr>
                <w:rFonts w:eastAsia="Times New Roman" w:cs="Calibri"/>
                <w:color w:val="000000"/>
                <w:sz w:val="18"/>
                <w:szCs w:val="18"/>
                <w:lang w:eastAsia="es-CR"/>
              </w:rPr>
              <w:t>-33,65%</w:t>
            </w:r>
          </w:p>
        </w:tc>
      </w:tr>
      <w:tr w:rsidR="00DF3AE8" w:rsidRPr="00DF3AE8" w14:paraId="768DB9CC" w14:textId="77777777" w:rsidTr="00DF3AE8">
        <w:trPr>
          <w:trHeight w:val="285"/>
        </w:trPr>
        <w:tc>
          <w:tcPr>
            <w:tcW w:w="1032" w:type="dxa"/>
            <w:tcBorders>
              <w:top w:val="nil"/>
              <w:left w:val="single" w:sz="8" w:space="0" w:color="auto"/>
              <w:bottom w:val="nil"/>
              <w:right w:val="single" w:sz="8" w:space="0" w:color="auto"/>
            </w:tcBorders>
            <w:shd w:val="clear" w:color="auto" w:fill="auto"/>
            <w:noWrap/>
            <w:vAlign w:val="bottom"/>
            <w:hideMark/>
          </w:tcPr>
          <w:p w14:paraId="38A05A5A" w14:textId="77777777" w:rsidR="00DF3AE8" w:rsidRPr="00DF3AE8" w:rsidRDefault="00DF3AE8" w:rsidP="00DF3AE8">
            <w:pPr>
              <w:spacing w:after="0" w:line="240" w:lineRule="auto"/>
              <w:jc w:val="left"/>
              <w:rPr>
                <w:rFonts w:eastAsia="Times New Roman" w:cs="Calibri"/>
                <w:color w:val="000000"/>
                <w:sz w:val="18"/>
                <w:szCs w:val="18"/>
                <w:lang w:eastAsia="es-CR"/>
              </w:rPr>
            </w:pPr>
            <w:r w:rsidRPr="00DF3AE8">
              <w:rPr>
                <w:rFonts w:eastAsia="Times New Roman" w:cs="Calibri"/>
                <w:color w:val="000000"/>
                <w:sz w:val="18"/>
                <w:szCs w:val="18"/>
                <w:lang w:eastAsia="es-CR"/>
              </w:rPr>
              <w:t>1.1.4.01.03.06.</w:t>
            </w:r>
          </w:p>
        </w:tc>
        <w:tc>
          <w:tcPr>
            <w:tcW w:w="3772" w:type="dxa"/>
            <w:tcBorders>
              <w:top w:val="nil"/>
              <w:left w:val="nil"/>
              <w:bottom w:val="nil"/>
              <w:right w:val="single" w:sz="8" w:space="0" w:color="auto"/>
            </w:tcBorders>
            <w:shd w:val="clear" w:color="auto" w:fill="auto"/>
            <w:vAlign w:val="bottom"/>
            <w:hideMark/>
          </w:tcPr>
          <w:p w14:paraId="7AB6FFEA" w14:textId="77777777" w:rsidR="00DF3AE8" w:rsidRPr="00DF3AE8" w:rsidRDefault="00DF3AE8" w:rsidP="00DF3AE8">
            <w:pPr>
              <w:spacing w:after="0" w:line="240" w:lineRule="auto"/>
              <w:jc w:val="left"/>
              <w:rPr>
                <w:rFonts w:eastAsia="Times New Roman" w:cs="Calibri"/>
                <w:color w:val="000000"/>
                <w:sz w:val="18"/>
                <w:szCs w:val="18"/>
                <w:lang w:eastAsia="es-CR"/>
              </w:rPr>
            </w:pPr>
            <w:r w:rsidRPr="00DF3AE8">
              <w:rPr>
                <w:rFonts w:eastAsia="Times New Roman" w:cs="Calibri"/>
                <w:color w:val="000000"/>
                <w:sz w:val="18"/>
                <w:szCs w:val="18"/>
                <w:lang w:eastAsia="es-CR"/>
              </w:rPr>
              <w:t>Materiales y productos de plástico</w:t>
            </w:r>
          </w:p>
        </w:tc>
        <w:tc>
          <w:tcPr>
            <w:tcW w:w="1332" w:type="dxa"/>
            <w:tcBorders>
              <w:top w:val="nil"/>
              <w:left w:val="nil"/>
              <w:bottom w:val="nil"/>
              <w:right w:val="single" w:sz="8" w:space="0" w:color="auto"/>
            </w:tcBorders>
            <w:shd w:val="clear" w:color="000000" w:fill="FFFFFF"/>
            <w:noWrap/>
            <w:vAlign w:val="bottom"/>
            <w:hideMark/>
          </w:tcPr>
          <w:p w14:paraId="5984B050" w14:textId="77777777" w:rsidR="00DF3AE8" w:rsidRPr="00DF3AE8" w:rsidRDefault="00DF3AE8" w:rsidP="00DF3AE8">
            <w:pPr>
              <w:spacing w:after="0" w:line="240" w:lineRule="auto"/>
              <w:jc w:val="right"/>
              <w:rPr>
                <w:rFonts w:eastAsia="Times New Roman" w:cs="Calibri"/>
                <w:color w:val="000000"/>
                <w:sz w:val="18"/>
                <w:szCs w:val="18"/>
                <w:lang w:eastAsia="es-CR"/>
              </w:rPr>
            </w:pPr>
            <w:r w:rsidRPr="00DF3AE8">
              <w:rPr>
                <w:rFonts w:eastAsia="Times New Roman" w:cs="Calibri"/>
                <w:color w:val="000000"/>
                <w:sz w:val="18"/>
                <w:szCs w:val="18"/>
                <w:lang w:eastAsia="es-CR"/>
              </w:rPr>
              <w:t>152,65</w:t>
            </w:r>
          </w:p>
        </w:tc>
        <w:tc>
          <w:tcPr>
            <w:tcW w:w="1332" w:type="dxa"/>
            <w:tcBorders>
              <w:top w:val="nil"/>
              <w:left w:val="nil"/>
              <w:bottom w:val="nil"/>
              <w:right w:val="single" w:sz="8" w:space="0" w:color="auto"/>
            </w:tcBorders>
            <w:shd w:val="clear" w:color="auto" w:fill="auto"/>
            <w:noWrap/>
            <w:vAlign w:val="bottom"/>
            <w:hideMark/>
          </w:tcPr>
          <w:p w14:paraId="526CD417" w14:textId="77777777" w:rsidR="00DF3AE8" w:rsidRPr="00DF3AE8" w:rsidRDefault="00DF3AE8" w:rsidP="00DF3AE8">
            <w:pPr>
              <w:spacing w:after="0" w:line="240" w:lineRule="auto"/>
              <w:jc w:val="right"/>
              <w:rPr>
                <w:rFonts w:eastAsia="Times New Roman" w:cs="Calibri"/>
                <w:color w:val="000000"/>
                <w:sz w:val="18"/>
                <w:szCs w:val="18"/>
                <w:lang w:eastAsia="es-CR"/>
              </w:rPr>
            </w:pPr>
            <w:r w:rsidRPr="00DF3AE8">
              <w:rPr>
                <w:rFonts w:eastAsia="Times New Roman" w:cs="Calibri"/>
                <w:color w:val="000000"/>
                <w:sz w:val="18"/>
                <w:szCs w:val="18"/>
                <w:lang w:eastAsia="es-CR"/>
              </w:rPr>
              <w:t>148,72</w:t>
            </w:r>
          </w:p>
        </w:tc>
        <w:tc>
          <w:tcPr>
            <w:tcW w:w="1271" w:type="dxa"/>
            <w:tcBorders>
              <w:top w:val="nil"/>
              <w:left w:val="nil"/>
              <w:bottom w:val="nil"/>
              <w:right w:val="nil"/>
            </w:tcBorders>
            <w:shd w:val="clear" w:color="auto" w:fill="auto"/>
            <w:noWrap/>
            <w:vAlign w:val="bottom"/>
            <w:hideMark/>
          </w:tcPr>
          <w:p w14:paraId="341146D4" w14:textId="77777777" w:rsidR="00DF3AE8" w:rsidRPr="00DF3AE8" w:rsidRDefault="00DF3AE8" w:rsidP="00DF3AE8">
            <w:pPr>
              <w:spacing w:after="0" w:line="240" w:lineRule="auto"/>
              <w:jc w:val="right"/>
              <w:rPr>
                <w:rFonts w:eastAsia="Times New Roman" w:cs="Calibri"/>
                <w:color w:val="000000"/>
                <w:sz w:val="18"/>
                <w:szCs w:val="18"/>
                <w:lang w:eastAsia="es-CR"/>
              </w:rPr>
            </w:pPr>
            <w:r w:rsidRPr="00DF3AE8">
              <w:rPr>
                <w:rFonts w:eastAsia="Times New Roman" w:cs="Calibri"/>
                <w:color w:val="000000"/>
                <w:sz w:val="18"/>
                <w:szCs w:val="18"/>
                <w:lang w:eastAsia="es-CR"/>
              </w:rPr>
              <w:t>3,93</w:t>
            </w:r>
          </w:p>
        </w:tc>
        <w:tc>
          <w:tcPr>
            <w:tcW w:w="881" w:type="dxa"/>
            <w:tcBorders>
              <w:top w:val="nil"/>
              <w:left w:val="single" w:sz="8" w:space="0" w:color="auto"/>
              <w:bottom w:val="single" w:sz="8" w:space="0" w:color="auto"/>
              <w:right w:val="single" w:sz="8" w:space="0" w:color="auto"/>
            </w:tcBorders>
            <w:shd w:val="clear" w:color="auto" w:fill="auto"/>
            <w:noWrap/>
            <w:vAlign w:val="bottom"/>
            <w:hideMark/>
          </w:tcPr>
          <w:p w14:paraId="15D71001" w14:textId="77777777" w:rsidR="00DF3AE8" w:rsidRPr="00DF3AE8" w:rsidRDefault="00DF3AE8" w:rsidP="00DF3AE8">
            <w:pPr>
              <w:spacing w:after="0" w:line="240" w:lineRule="auto"/>
              <w:jc w:val="right"/>
              <w:rPr>
                <w:rFonts w:eastAsia="Times New Roman" w:cs="Calibri"/>
                <w:color w:val="000000"/>
                <w:sz w:val="18"/>
                <w:szCs w:val="18"/>
                <w:lang w:eastAsia="es-CR"/>
              </w:rPr>
            </w:pPr>
            <w:r w:rsidRPr="00DF3AE8">
              <w:rPr>
                <w:rFonts w:eastAsia="Times New Roman" w:cs="Calibri"/>
                <w:color w:val="000000"/>
                <w:sz w:val="18"/>
                <w:szCs w:val="18"/>
                <w:lang w:eastAsia="es-CR"/>
              </w:rPr>
              <w:t>2,64%</w:t>
            </w:r>
          </w:p>
        </w:tc>
      </w:tr>
      <w:tr w:rsidR="00DF3AE8" w:rsidRPr="00DF3AE8" w14:paraId="61E998A5" w14:textId="77777777" w:rsidTr="00DF3AE8">
        <w:trPr>
          <w:trHeight w:val="285"/>
        </w:trPr>
        <w:tc>
          <w:tcPr>
            <w:tcW w:w="1032" w:type="dxa"/>
            <w:tcBorders>
              <w:top w:val="single" w:sz="8" w:space="0" w:color="auto"/>
              <w:left w:val="single" w:sz="8" w:space="0" w:color="auto"/>
              <w:bottom w:val="single" w:sz="8" w:space="0" w:color="auto"/>
              <w:right w:val="single" w:sz="8" w:space="0" w:color="auto"/>
            </w:tcBorders>
            <w:shd w:val="clear" w:color="000000" w:fill="DBDBDB"/>
            <w:noWrap/>
            <w:vAlign w:val="bottom"/>
            <w:hideMark/>
          </w:tcPr>
          <w:p w14:paraId="361DB33B" w14:textId="77777777" w:rsidR="00DF3AE8" w:rsidRPr="00DF3AE8" w:rsidRDefault="00DF3AE8" w:rsidP="00DF3AE8">
            <w:pPr>
              <w:spacing w:after="0" w:line="240" w:lineRule="auto"/>
              <w:jc w:val="left"/>
              <w:rPr>
                <w:rFonts w:eastAsia="Times New Roman" w:cs="Calibri"/>
                <w:b/>
                <w:bCs/>
                <w:color w:val="000000"/>
                <w:sz w:val="18"/>
                <w:szCs w:val="18"/>
                <w:lang w:eastAsia="es-CR"/>
              </w:rPr>
            </w:pPr>
            <w:r w:rsidRPr="00DF3AE8">
              <w:rPr>
                <w:rFonts w:eastAsia="Times New Roman" w:cs="Calibri"/>
                <w:b/>
                <w:bCs/>
                <w:color w:val="000000"/>
                <w:sz w:val="18"/>
                <w:szCs w:val="18"/>
                <w:lang w:eastAsia="es-CR"/>
              </w:rPr>
              <w:t>1.1.4.01.04.</w:t>
            </w:r>
          </w:p>
        </w:tc>
        <w:tc>
          <w:tcPr>
            <w:tcW w:w="3772" w:type="dxa"/>
            <w:tcBorders>
              <w:top w:val="single" w:sz="8" w:space="0" w:color="auto"/>
              <w:left w:val="nil"/>
              <w:bottom w:val="single" w:sz="8" w:space="0" w:color="auto"/>
              <w:right w:val="single" w:sz="8" w:space="0" w:color="auto"/>
            </w:tcBorders>
            <w:shd w:val="clear" w:color="000000" w:fill="DBDBDB"/>
            <w:vAlign w:val="bottom"/>
            <w:hideMark/>
          </w:tcPr>
          <w:p w14:paraId="2C71BC78" w14:textId="77777777" w:rsidR="00DF3AE8" w:rsidRPr="00DF3AE8" w:rsidRDefault="00DF3AE8" w:rsidP="00DF3AE8">
            <w:pPr>
              <w:spacing w:after="0" w:line="240" w:lineRule="auto"/>
              <w:jc w:val="left"/>
              <w:rPr>
                <w:rFonts w:eastAsia="Times New Roman" w:cs="Calibri"/>
                <w:b/>
                <w:bCs/>
                <w:color w:val="000000"/>
                <w:sz w:val="18"/>
                <w:szCs w:val="18"/>
                <w:lang w:eastAsia="es-CR"/>
              </w:rPr>
            </w:pPr>
            <w:r w:rsidRPr="00DF3AE8">
              <w:rPr>
                <w:rFonts w:eastAsia="Times New Roman" w:cs="Calibri"/>
                <w:b/>
                <w:bCs/>
                <w:color w:val="000000"/>
                <w:sz w:val="18"/>
                <w:szCs w:val="18"/>
                <w:lang w:eastAsia="es-CR"/>
              </w:rPr>
              <w:t>Herramientas, repuestos y accesorios</w:t>
            </w:r>
          </w:p>
        </w:tc>
        <w:tc>
          <w:tcPr>
            <w:tcW w:w="1332" w:type="dxa"/>
            <w:tcBorders>
              <w:top w:val="single" w:sz="8" w:space="0" w:color="auto"/>
              <w:left w:val="nil"/>
              <w:bottom w:val="single" w:sz="8" w:space="0" w:color="auto"/>
              <w:right w:val="single" w:sz="8" w:space="0" w:color="auto"/>
            </w:tcBorders>
            <w:shd w:val="clear" w:color="000000" w:fill="DBDBDB"/>
            <w:noWrap/>
            <w:vAlign w:val="bottom"/>
            <w:hideMark/>
          </w:tcPr>
          <w:p w14:paraId="22581FDD" w14:textId="77777777" w:rsidR="00DF3AE8" w:rsidRPr="00DF3AE8" w:rsidRDefault="00DF3AE8" w:rsidP="00DF3AE8">
            <w:pPr>
              <w:spacing w:after="0" w:line="240" w:lineRule="auto"/>
              <w:jc w:val="right"/>
              <w:rPr>
                <w:rFonts w:eastAsia="Times New Roman" w:cs="Calibri"/>
                <w:b/>
                <w:bCs/>
                <w:color w:val="000000"/>
                <w:sz w:val="18"/>
                <w:szCs w:val="18"/>
                <w:lang w:eastAsia="es-CR"/>
              </w:rPr>
            </w:pPr>
            <w:r w:rsidRPr="00DF3AE8">
              <w:rPr>
                <w:rFonts w:ascii="Arial" w:eastAsia="Times New Roman" w:hAnsi="Arial" w:cs="Arial"/>
                <w:b/>
                <w:bCs/>
                <w:color w:val="000000"/>
                <w:sz w:val="18"/>
                <w:szCs w:val="18"/>
                <w:lang w:eastAsia="es-CR"/>
              </w:rPr>
              <w:t>₡</w:t>
            </w:r>
            <w:r w:rsidRPr="00DF3AE8">
              <w:rPr>
                <w:rFonts w:eastAsia="Times New Roman" w:cs="Calibri"/>
                <w:b/>
                <w:bCs/>
                <w:color w:val="000000"/>
                <w:sz w:val="18"/>
                <w:szCs w:val="18"/>
                <w:lang w:eastAsia="es-CR"/>
              </w:rPr>
              <w:t>147 291,96</w:t>
            </w:r>
          </w:p>
        </w:tc>
        <w:tc>
          <w:tcPr>
            <w:tcW w:w="1332" w:type="dxa"/>
            <w:tcBorders>
              <w:top w:val="single" w:sz="8" w:space="0" w:color="auto"/>
              <w:left w:val="nil"/>
              <w:bottom w:val="single" w:sz="8" w:space="0" w:color="auto"/>
              <w:right w:val="single" w:sz="8" w:space="0" w:color="auto"/>
            </w:tcBorders>
            <w:shd w:val="clear" w:color="000000" w:fill="DBDBDB"/>
            <w:noWrap/>
            <w:vAlign w:val="bottom"/>
            <w:hideMark/>
          </w:tcPr>
          <w:p w14:paraId="29CB13B7" w14:textId="77777777" w:rsidR="00DF3AE8" w:rsidRPr="00DF3AE8" w:rsidRDefault="00DF3AE8" w:rsidP="00DF3AE8">
            <w:pPr>
              <w:spacing w:after="0" w:line="240" w:lineRule="auto"/>
              <w:jc w:val="right"/>
              <w:rPr>
                <w:rFonts w:eastAsia="Times New Roman" w:cs="Calibri"/>
                <w:b/>
                <w:bCs/>
                <w:color w:val="000000"/>
                <w:sz w:val="18"/>
                <w:szCs w:val="18"/>
                <w:lang w:eastAsia="es-CR"/>
              </w:rPr>
            </w:pPr>
            <w:r w:rsidRPr="00DF3AE8">
              <w:rPr>
                <w:rFonts w:ascii="Arial" w:eastAsia="Times New Roman" w:hAnsi="Arial" w:cs="Arial"/>
                <w:b/>
                <w:bCs/>
                <w:color w:val="000000"/>
                <w:sz w:val="18"/>
                <w:szCs w:val="18"/>
                <w:lang w:eastAsia="es-CR"/>
              </w:rPr>
              <w:t>₡</w:t>
            </w:r>
            <w:r w:rsidRPr="00DF3AE8">
              <w:rPr>
                <w:rFonts w:eastAsia="Times New Roman" w:cs="Calibri"/>
                <w:b/>
                <w:bCs/>
                <w:color w:val="000000"/>
                <w:sz w:val="18"/>
                <w:szCs w:val="18"/>
                <w:lang w:eastAsia="es-CR"/>
              </w:rPr>
              <w:t>131 278,01</w:t>
            </w:r>
          </w:p>
        </w:tc>
        <w:tc>
          <w:tcPr>
            <w:tcW w:w="1271" w:type="dxa"/>
            <w:tcBorders>
              <w:top w:val="single" w:sz="8" w:space="0" w:color="auto"/>
              <w:left w:val="nil"/>
              <w:bottom w:val="single" w:sz="8" w:space="0" w:color="auto"/>
              <w:right w:val="single" w:sz="8" w:space="0" w:color="auto"/>
            </w:tcBorders>
            <w:shd w:val="clear" w:color="000000" w:fill="DBDBDB"/>
            <w:noWrap/>
            <w:vAlign w:val="bottom"/>
            <w:hideMark/>
          </w:tcPr>
          <w:p w14:paraId="6EC01052" w14:textId="77777777" w:rsidR="00DF3AE8" w:rsidRPr="00DF3AE8" w:rsidRDefault="00DF3AE8" w:rsidP="00DF3AE8">
            <w:pPr>
              <w:spacing w:after="0" w:line="240" w:lineRule="auto"/>
              <w:jc w:val="right"/>
              <w:rPr>
                <w:rFonts w:eastAsia="Times New Roman" w:cs="Calibri"/>
                <w:b/>
                <w:bCs/>
                <w:color w:val="000000"/>
                <w:sz w:val="18"/>
                <w:szCs w:val="18"/>
                <w:lang w:eastAsia="es-CR"/>
              </w:rPr>
            </w:pPr>
            <w:r w:rsidRPr="00DF3AE8">
              <w:rPr>
                <w:rFonts w:ascii="Arial" w:eastAsia="Times New Roman" w:hAnsi="Arial" w:cs="Arial"/>
                <w:b/>
                <w:bCs/>
                <w:color w:val="000000"/>
                <w:sz w:val="18"/>
                <w:szCs w:val="18"/>
                <w:lang w:eastAsia="es-CR"/>
              </w:rPr>
              <w:t>₡</w:t>
            </w:r>
            <w:r w:rsidRPr="00DF3AE8">
              <w:rPr>
                <w:rFonts w:eastAsia="Times New Roman" w:cs="Calibri"/>
                <w:b/>
                <w:bCs/>
                <w:color w:val="000000"/>
                <w:sz w:val="18"/>
                <w:szCs w:val="18"/>
                <w:lang w:eastAsia="es-CR"/>
              </w:rPr>
              <w:t>16 013,95</w:t>
            </w:r>
          </w:p>
        </w:tc>
        <w:tc>
          <w:tcPr>
            <w:tcW w:w="881" w:type="dxa"/>
            <w:tcBorders>
              <w:top w:val="nil"/>
              <w:left w:val="nil"/>
              <w:bottom w:val="nil"/>
              <w:right w:val="single" w:sz="8" w:space="0" w:color="auto"/>
            </w:tcBorders>
            <w:shd w:val="clear" w:color="000000" w:fill="DBDBDB"/>
            <w:noWrap/>
            <w:vAlign w:val="bottom"/>
            <w:hideMark/>
          </w:tcPr>
          <w:p w14:paraId="593F0682" w14:textId="77777777" w:rsidR="00DF3AE8" w:rsidRPr="00DF3AE8" w:rsidRDefault="00DF3AE8" w:rsidP="00DF3AE8">
            <w:pPr>
              <w:spacing w:after="0" w:line="240" w:lineRule="auto"/>
              <w:jc w:val="right"/>
              <w:rPr>
                <w:rFonts w:eastAsia="Times New Roman" w:cs="Calibri"/>
                <w:b/>
                <w:bCs/>
                <w:color w:val="000000"/>
                <w:sz w:val="18"/>
                <w:szCs w:val="18"/>
                <w:lang w:eastAsia="es-CR"/>
              </w:rPr>
            </w:pPr>
            <w:r w:rsidRPr="00DF3AE8">
              <w:rPr>
                <w:rFonts w:eastAsia="Times New Roman" w:cs="Calibri"/>
                <w:b/>
                <w:bCs/>
                <w:color w:val="000000"/>
                <w:sz w:val="18"/>
                <w:szCs w:val="18"/>
                <w:lang w:eastAsia="es-CR"/>
              </w:rPr>
              <w:t>12,20%</w:t>
            </w:r>
          </w:p>
        </w:tc>
      </w:tr>
      <w:tr w:rsidR="00DF3AE8" w:rsidRPr="00DF3AE8" w14:paraId="24B27666" w14:textId="77777777" w:rsidTr="00DF3AE8">
        <w:trPr>
          <w:trHeight w:val="300"/>
        </w:trPr>
        <w:tc>
          <w:tcPr>
            <w:tcW w:w="1032" w:type="dxa"/>
            <w:tcBorders>
              <w:top w:val="nil"/>
              <w:left w:val="single" w:sz="8" w:space="0" w:color="auto"/>
              <w:bottom w:val="nil"/>
              <w:right w:val="single" w:sz="8" w:space="0" w:color="auto"/>
            </w:tcBorders>
            <w:shd w:val="clear" w:color="auto" w:fill="auto"/>
            <w:noWrap/>
            <w:vAlign w:val="bottom"/>
            <w:hideMark/>
          </w:tcPr>
          <w:p w14:paraId="5991CF9A" w14:textId="77777777" w:rsidR="00DF3AE8" w:rsidRPr="00DF3AE8" w:rsidRDefault="00DF3AE8" w:rsidP="00DF3AE8">
            <w:pPr>
              <w:spacing w:after="0" w:line="240" w:lineRule="auto"/>
              <w:jc w:val="left"/>
              <w:rPr>
                <w:rFonts w:eastAsia="Times New Roman" w:cs="Calibri"/>
                <w:color w:val="000000"/>
                <w:sz w:val="18"/>
                <w:szCs w:val="18"/>
                <w:lang w:eastAsia="es-CR"/>
              </w:rPr>
            </w:pPr>
            <w:r w:rsidRPr="00DF3AE8">
              <w:rPr>
                <w:rFonts w:eastAsia="Times New Roman" w:cs="Calibri"/>
                <w:color w:val="000000"/>
                <w:sz w:val="18"/>
                <w:szCs w:val="18"/>
                <w:lang w:eastAsia="es-CR"/>
              </w:rPr>
              <w:t>1.1.4.01.04.01.</w:t>
            </w:r>
          </w:p>
        </w:tc>
        <w:tc>
          <w:tcPr>
            <w:tcW w:w="3772" w:type="dxa"/>
            <w:tcBorders>
              <w:top w:val="nil"/>
              <w:left w:val="nil"/>
              <w:bottom w:val="nil"/>
              <w:right w:val="single" w:sz="8" w:space="0" w:color="auto"/>
            </w:tcBorders>
            <w:shd w:val="clear" w:color="auto" w:fill="auto"/>
            <w:vAlign w:val="bottom"/>
            <w:hideMark/>
          </w:tcPr>
          <w:p w14:paraId="49D622BB" w14:textId="77777777" w:rsidR="00DF3AE8" w:rsidRPr="00DF3AE8" w:rsidRDefault="00DF3AE8" w:rsidP="00DF3AE8">
            <w:pPr>
              <w:spacing w:after="0" w:line="240" w:lineRule="auto"/>
              <w:jc w:val="left"/>
              <w:rPr>
                <w:rFonts w:eastAsia="Times New Roman" w:cs="Calibri"/>
                <w:color w:val="000000"/>
                <w:sz w:val="18"/>
                <w:szCs w:val="18"/>
                <w:lang w:eastAsia="es-CR"/>
              </w:rPr>
            </w:pPr>
            <w:r w:rsidRPr="00DF3AE8">
              <w:rPr>
                <w:rFonts w:eastAsia="Times New Roman" w:cs="Calibri"/>
                <w:color w:val="000000"/>
                <w:sz w:val="18"/>
                <w:szCs w:val="18"/>
                <w:lang w:eastAsia="es-CR"/>
              </w:rPr>
              <w:t>Herramientas e instrumentos</w:t>
            </w:r>
          </w:p>
        </w:tc>
        <w:tc>
          <w:tcPr>
            <w:tcW w:w="1332" w:type="dxa"/>
            <w:tcBorders>
              <w:top w:val="nil"/>
              <w:left w:val="nil"/>
              <w:bottom w:val="nil"/>
              <w:right w:val="single" w:sz="8" w:space="0" w:color="auto"/>
            </w:tcBorders>
            <w:shd w:val="clear" w:color="000000" w:fill="FFFFFF"/>
            <w:noWrap/>
            <w:vAlign w:val="bottom"/>
            <w:hideMark/>
          </w:tcPr>
          <w:p w14:paraId="36FF4D54" w14:textId="77777777" w:rsidR="00DF3AE8" w:rsidRPr="00DF3AE8" w:rsidRDefault="00DF3AE8" w:rsidP="00DF3AE8">
            <w:pPr>
              <w:spacing w:after="0" w:line="240" w:lineRule="auto"/>
              <w:jc w:val="right"/>
              <w:rPr>
                <w:rFonts w:eastAsia="Times New Roman" w:cs="Calibri"/>
                <w:color w:val="000000"/>
                <w:sz w:val="18"/>
                <w:szCs w:val="18"/>
                <w:lang w:eastAsia="es-CR"/>
              </w:rPr>
            </w:pPr>
            <w:r w:rsidRPr="00DF3AE8">
              <w:rPr>
                <w:rFonts w:eastAsia="Times New Roman" w:cs="Calibri"/>
                <w:color w:val="000000"/>
                <w:sz w:val="18"/>
                <w:szCs w:val="18"/>
                <w:lang w:eastAsia="es-CR"/>
              </w:rPr>
              <w:t>1 321,27</w:t>
            </w:r>
          </w:p>
        </w:tc>
        <w:tc>
          <w:tcPr>
            <w:tcW w:w="1332" w:type="dxa"/>
            <w:tcBorders>
              <w:top w:val="nil"/>
              <w:left w:val="nil"/>
              <w:bottom w:val="nil"/>
              <w:right w:val="single" w:sz="8" w:space="0" w:color="auto"/>
            </w:tcBorders>
            <w:shd w:val="clear" w:color="000000" w:fill="FFFFFF"/>
            <w:noWrap/>
            <w:vAlign w:val="bottom"/>
            <w:hideMark/>
          </w:tcPr>
          <w:p w14:paraId="7B4670D8" w14:textId="77777777" w:rsidR="00DF3AE8" w:rsidRPr="00DF3AE8" w:rsidRDefault="00DF3AE8" w:rsidP="00DF3AE8">
            <w:pPr>
              <w:spacing w:after="0" w:line="240" w:lineRule="auto"/>
              <w:jc w:val="right"/>
              <w:rPr>
                <w:rFonts w:eastAsia="Times New Roman" w:cs="Calibri"/>
                <w:color w:val="000000"/>
                <w:sz w:val="18"/>
                <w:szCs w:val="18"/>
                <w:lang w:eastAsia="es-CR"/>
              </w:rPr>
            </w:pPr>
            <w:r w:rsidRPr="00DF3AE8">
              <w:rPr>
                <w:rFonts w:eastAsia="Times New Roman" w:cs="Calibri"/>
                <w:color w:val="000000"/>
                <w:sz w:val="18"/>
                <w:szCs w:val="18"/>
                <w:lang w:eastAsia="es-CR"/>
              </w:rPr>
              <w:t>1 233,64</w:t>
            </w:r>
          </w:p>
        </w:tc>
        <w:tc>
          <w:tcPr>
            <w:tcW w:w="1271" w:type="dxa"/>
            <w:tcBorders>
              <w:top w:val="nil"/>
              <w:left w:val="nil"/>
              <w:bottom w:val="nil"/>
              <w:right w:val="nil"/>
            </w:tcBorders>
            <w:shd w:val="clear" w:color="000000" w:fill="FFFFFF"/>
            <w:noWrap/>
            <w:vAlign w:val="bottom"/>
            <w:hideMark/>
          </w:tcPr>
          <w:p w14:paraId="58640CCC" w14:textId="77777777" w:rsidR="00DF3AE8" w:rsidRPr="00DF3AE8" w:rsidRDefault="00DF3AE8" w:rsidP="00DF3AE8">
            <w:pPr>
              <w:spacing w:after="0" w:line="240" w:lineRule="auto"/>
              <w:jc w:val="right"/>
              <w:rPr>
                <w:rFonts w:eastAsia="Times New Roman" w:cs="Calibri"/>
                <w:color w:val="000000"/>
                <w:sz w:val="18"/>
                <w:szCs w:val="18"/>
                <w:lang w:eastAsia="es-CR"/>
              </w:rPr>
            </w:pPr>
            <w:r w:rsidRPr="00DF3AE8">
              <w:rPr>
                <w:rFonts w:eastAsia="Times New Roman" w:cs="Calibri"/>
                <w:color w:val="000000"/>
                <w:sz w:val="18"/>
                <w:szCs w:val="18"/>
                <w:lang w:eastAsia="es-CR"/>
              </w:rPr>
              <w:t>87,63</w:t>
            </w:r>
          </w:p>
        </w:tc>
        <w:tc>
          <w:tcPr>
            <w:tcW w:w="881" w:type="dxa"/>
            <w:tcBorders>
              <w:top w:val="single" w:sz="8" w:space="0" w:color="auto"/>
              <w:left w:val="single" w:sz="8" w:space="0" w:color="auto"/>
              <w:bottom w:val="nil"/>
              <w:right w:val="single" w:sz="8" w:space="0" w:color="auto"/>
            </w:tcBorders>
            <w:shd w:val="clear" w:color="auto" w:fill="auto"/>
            <w:noWrap/>
            <w:vAlign w:val="bottom"/>
            <w:hideMark/>
          </w:tcPr>
          <w:p w14:paraId="114BD18B" w14:textId="77777777" w:rsidR="00DF3AE8" w:rsidRPr="00DF3AE8" w:rsidRDefault="00DF3AE8" w:rsidP="00DF3AE8">
            <w:pPr>
              <w:spacing w:after="0" w:line="240" w:lineRule="auto"/>
              <w:jc w:val="right"/>
              <w:rPr>
                <w:rFonts w:eastAsia="Times New Roman" w:cs="Calibri"/>
                <w:color w:val="000000"/>
                <w:sz w:val="18"/>
                <w:szCs w:val="18"/>
                <w:lang w:eastAsia="es-CR"/>
              </w:rPr>
            </w:pPr>
            <w:r w:rsidRPr="00DF3AE8">
              <w:rPr>
                <w:rFonts w:eastAsia="Times New Roman" w:cs="Calibri"/>
                <w:color w:val="000000"/>
                <w:sz w:val="18"/>
                <w:szCs w:val="18"/>
                <w:lang w:eastAsia="es-CR"/>
              </w:rPr>
              <w:t>7,10%</w:t>
            </w:r>
          </w:p>
        </w:tc>
      </w:tr>
      <w:tr w:rsidR="00DF3AE8" w:rsidRPr="00DF3AE8" w14:paraId="5E56725E" w14:textId="77777777" w:rsidTr="00DF3AE8">
        <w:trPr>
          <w:trHeight w:val="315"/>
        </w:trPr>
        <w:tc>
          <w:tcPr>
            <w:tcW w:w="1032" w:type="dxa"/>
            <w:tcBorders>
              <w:top w:val="nil"/>
              <w:left w:val="single" w:sz="8" w:space="0" w:color="auto"/>
              <w:bottom w:val="nil"/>
              <w:right w:val="single" w:sz="8" w:space="0" w:color="auto"/>
            </w:tcBorders>
            <w:shd w:val="clear" w:color="auto" w:fill="auto"/>
            <w:noWrap/>
            <w:vAlign w:val="bottom"/>
            <w:hideMark/>
          </w:tcPr>
          <w:p w14:paraId="6D74E3AB" w14:textId="77777777" w:rsidR="00DF3AE8" w:rsidRPr="00DF3AE8" w:rsidRDefault="00DF3AE8" w:rsidP="00DF3AE8">
            <w:pPr>
              <w:spacing w:after="0" w:line="240" w:lineRule="auto"/>
              <w:jc w:val="left"/>
              <w:rPr>
                <w:rFonts w:eastAsia="Times New Roman" w:cs="Calibri"/>
                <w:color w:val="000000"/>
                <w:sz w:val="18"/>
                <w:szCs w:val="18"/>
                <w:lang w:eastAsia="es-CR"/>
              </w:rPr>
            </w:pPr>
            <w:r w:rsidRPr="00DF3AE8">
              <w:rPr>
                <w:rFonts w:eastAsia="Times New Roman" w:cs="Calibri"/>
                <w:color w:val="000000"/>
                <w:sz w:val="18"/>
                <w:szCs w:val="18"/>
                <w:lang w:eastAsia="es-CR"/>
              </w:rPr>
              <w:t>1.1.4.01.04.02.</w:t>
            </w:r>
          </w:p>
        </w:tc>
        <w:tc>
          <w:tcPr>
            <w:tcW w:w="3772" w:type="dxa"/>
            <w:tcBorders>
              <w:top w:val="nil"/>
              <w:left w:val="nil"/>
              <w:bottom w:val="nil"/>
              <w:right w:val="single" w:sz="8" w:space="0" w:color="auto"/>
            </w:tcBorders>
            <w:shd w:val="clear" w:color="auto" w:fill="auto"/>
            <w:vAlign w:val="bottom"/>
            <w:hideMark/>
          </w:tcPr>
          <w:p w14:paraId="384F154D" w14:textId="77777777" w:rsidR="00DF3AE8" w:rsidRPr="00DF3AE8" w:rsidRDefault="00DF3AE8" w:rsidP="00DF3AE8">
            <w:pPr>
              <w:spacing w:after="0" w:line="240" w:lineRule="auto"/>
              <w:jc w:val="left"/>
              <w:rPr>
                <w:rFonts w:eastAsia="Times New Roman" w:cs="Calibri"/>
                <w:color w:val="000000"/>
                <w:sz w:val="18"/>
                <w:szCs w:val="18"/>
                <w:lang w:eastAsia="es-CR"/>
              </w:rPr>
            </w:pPr>
            <w:r w:rsidRPr="00DF3AE8">
              <w:rPr>
                <w:rFonts w:eastAsia="Times New Roman" w:cs="Calibri"/>
                <w:color w:val="000000"/>
                <w:sz w:val="18"/>
                <w:szCs w:val="18"/>
                <w:lang w:eastAsia="es-CR"/>
              </w:rPr>
              <w:t>Repuestos y accesorios Nuevos</w:t>
            </w:r>
          </w:p>
        </w:tc>
        <w:tc>
          <w:tcPr>
            <w:tcW w:w="1332" w:type="dxa"/>
            <w:tcBorders>
              <w:top w:val="nil"/>
              <w:left w:val="nil"/>
              <w:bottom w:val="nil"/>
              <w:right w:val="single" w:sz="8" w:space="0" w:color="auto"/>
            </w:tcBorders>
            <w:shd w:val="clear" w:color="000000" w:fill="FFFFFF"/>
            <w:noWrap/>
            <w:vAlign w:val="bottom"/>
            <w:hideMark/>
          </w:tcPr>
          <w:p w14:paraId="4CF10051" w14:textId="77777777" w:rsidR="00DF3AE8" w:rsidRPr="00DF3AE8" w:rsidRDefault="00DF3AE8" w:rsidP="00DF3AE8">
            <w:pPr>
              <w:spacing w:after="0" w:line="240" w:lineRule="auto"/>
              <w:jc w:val="right"/>
              <w:rPr>
                <w:rFonts w:eastAsia="Times New Roman" w:cs="Calibri"/>
                <w:color w:val="000000"/>
                <w:sz w:val="18"/>
                <w:szCs w:val="18"/>
                <w:lang w:eastAsia="es-CR"/>
              </w:rPr>
            </w:pPr>
            <w:r w:rsidRPr="00DF3AE8">
              <w:rPr>
                <w:rFonts w:eastAsia="Times New Roman" w:cs="Calibri"/>
                <w:color w:val="000000"/>
                <w:sz w:val="18"/>
                <w:szCs w:val="18"/>
                <w:lang w:eastAsia="es-CR"/>
              </w:rPr>
              <w:t>145 970,69</w:t>
            </w:r>
          </w:p>
        </w:tc>
        <w:tc>
          <w:tcPr>
            <w:tcW w:w="1332" w:type="dxa"/>
            <w:tcBorders>
              <w:top w:val="nil"/>
              <w:left w:val="nil"/>
              <w:bottom w:val="nil"/>
              <w:right w:val="single" w:sz="8" w:space="0" w:color="auto"/>
            </w:tcBorders>
            <w:shd w:val="clear" w:color="000000" w:fill="FFFFFF"/>
            <w:noWrap/>
            <w:vAlign w:val="bottom"/>
            <w:hideMark/>
          </w:tcPr>
          <w:p w14:paraId="54A5F8FE" w14:textId="77777777" w:rsidR="00DF3AE8" w:rsidRPr="00DF3AE8" w:rsidRDefault="00DF3AE8" w:rsidP="00DF3AE8">
            <w:pPr>
              <w:spacing w:after="0" w:line="240" w:lineRule="auto"/>
              <w:jc w:val="right"/>
              <w:rPr>
                <w:rFonts w:eastAsia="Times New Roman" w:cs="Calibri"/>
                <w:color w:val="000000"/>
                <w:sz w:val="18"/>
                <w:szCs w:val="18"/>
                <w:lang w:eastAsia="es-CR"/>
              </w:rPr>
            </w:pPr>
            <w:r w:rsidRPr="00DF3AE8">
              <w:rPr>
                <w:rFonts w:eastAsia="Times New Roman" w:cs="Calibri"/>
                <w:color w:val="000000"/>
                <w:sz w:val="18"/>
                <w:szCs w:val="18"/>
                <w:lang w:eastAsia="es-CR"/>
              </w:rPr>
              <w:t>130 044,37</w:t>
            </w:r>
          </w:p>
        </w:tc>
        <w:tc>
          <w:tcPr>
            <w:tcW w:w="1271" w:type="dxa"/>
            <w:tcBorders>
              <w:top w:val="nil"/>
              <w:left w:val="nil"/>
              <w:bottom w:val="nil"/>
              <w:right w:val="nil"/>
            </w:tcBorders>
            <w:shd w:val="clear" w:color="000000" w:fill="FFFFFF"/>
            <w:noWrap/>
            <w:vAlign w:val="bottom"/>
            <w:hideMark/>
          </w:tcPr>
          <w:p w14:paraId="7E4E12BE" w14:textId="77777777" w:rsidR="00DF3AE8" w:rsidRPr="00DF3AE8" w:rsidRDefault="00DF3AE8" w:rsidP="00DF3AE8">
            <w:pPr>
              <w:spacing w:after="0" w:line="240" w:lineRule="auto"/>
              <w:jc w:val="right"/>
              <w:rPr>
                <w:rFonts w:eastAsia="Times New Roman" w:cs="Calibri"/>
                <w:color w:val="000000"/>
                <w:sz w:val="18"/>
                <w:szCs w:val="18"/>
                <w:lang w:eastAsia="es-CR"/>
              </w:rPr>
            </w:pPr>
            <w:r w:rsidRPr="00DF3AE8">
              <w:rPr>
                <w:rFonts w:eastAsia="Times New Roman" w:cs="Calibri"/>
                <w:color w:val="000000"/>
                <w:sz w:val="18"/>
                <w:szCs w:val="18"/>
                <w:lang w:eastAsia="es-CR"/>
              </w:rPr>
              <w:t>15 926,32</w:t>
            </w:r>
          </w:p>
        </w:tc>
        <w:tc>
          <w:tcPr>
            <w:tcW w:w="881" w:type="dxa"/>
            <w:tcBorders>
              <w:top w:val="nil"/>
              <w:left w:val="single" w:sz="8" w:space="0" w:color="auto"/>
              <w:bottom w:val="single" w:sz="8" w:space="0" w:color="auto"/>
              <w:right w:val="single" w:sz="8" w:space="0" w:color="auto"/>
            </w:tcBorders>
            <w:shd w:val="clear" w:color="auto" w:fill="auto"/>
            <w:noWrap/>
            <w:vAlign w:val="bottom"/>
            <w:hideMark/>
          </w:tcPr>
          <w:p w14:paraId="14320780" w14:textId="77777777" w:rsidR="00DF3AE8" w:rsidRPr="00DF3AE8" w:rsidRDefault="00DF3AE8" w:rsidP="00DF3AE8">
            <w:pPr>
              <w:spacing w:after="0" w:line="240" w:lineRule="auto"/>
              <w:jc w:val="right"/>
              <w:rPr>
                <w:rFonts w:eastAsia="Times New Roman" w:cs="Calibri"/>
                <w:color w:val="000000"/>
                <w:sz w:val="18"/>
                <w:szCs w:val="18"/>
                <w:lang w:eastAsia="es-CR"/>
              </w:rPr>
            </w:pPr>
            <w:r w:rsidRPr="00DF3AE8">
              <w:rPr>
                <w:rFonts w:eastAsia="Times New Roman" w:cs="Calibri"/>
                <w:color w:val="000000"/>
                <w:sz w:val="18"/>
                <w:szCs w:val="18"/>
                <w:lang w:eastAsia="es-CR"/>
              </w:rPr>
              <w:t>12,25%</w:t>
            </w:r>
          </w:p>
        </w:tc>
      </w:tr>
      <w:tr w:rsidR="00DF3AE8" w:rsidRPr="00DF3AE8" w14:paraId="6610E660" w14:textId="77777777" w:rsidTr="00DF3AE8">
        <w:trPr>
          <w:trHeight w:val="315"/>
        </w:trPr>
        <w:tc>
          <w:tcPr>
            <w:tcW w:w="1032" w:type="dxa"/>
            <w:tcBorders>
              <w:top w:val="single" w:sz="8" w:space="0" w:color="auto"/>
              <w:left w:val="single" w:sz="8" w:space="0" w:color="auto"/>
              <w:bottom w:val="single" w:sz="8" w:space="0" w:color="auto"/>
              <w:right w:val="single" w:sz="8" w:space="0" w:color="auto"/>
            </w:tcBorders>
            <w:shd w:val="clear" w:color="000000" w:fill="DBDBDB"/>
            <w:noWrap/>
            <w:vAlign w:val="bottom"/>
            <w:hideMark/>
          </w:tcPr>
          <w:p w14:paraId="356E7B2F" w14:textId="77777777" w:rsidR="00DF3AE8" w:rsidRPr="00DF3AE8" w:rsidRDefault="00DF3AE8" w:rsidP="00DF3AE8">
            <w:pPr>
              <w:spacing w:after="0" w:line="240" w:lineRule="auto"/>
              <w:jc w:val="left"/>
              <w:rPr>
                <w:rFonts w:eastAsia="Times New Roman" w:cs="Calibri"/>
                <w:b/>
                <w:bCs/>
                <w:color w:val="000000"/>
                <w:sz w:val="18"/>
                <w:szCs w:val="18"/>
                <w:lang w:eastAsia="es-CR"/>
              </w:rPr>
            </w:pPr>
            <w:r w:rsidRPr="00DF3AE8">
              <w:rPr>
                <w:rFonts w:eastAsia="Times New Roman" w:cs="Calibri"/>
                <w:b/>
                <w:bCs/>
                <w:color w:val="000000"/>
                <w:sz w:val="18"/>
                <w:szCs w:val="18"/>
                <w:lang w:eastAsia="es-CR"/>
              </w:rPr>
              <w:t>1.1.4.01.99.</w:t>
            </w:r>
          </w:p>
        </w:tc>
        <w:tc>
          <w:tcPr>
            <w:tcW w:w="3772" w:type="dxa"/>
            <w:tcBorders>
              <w:top w:val="single" w:sz="8" w:space="0" w:color="auto"/>
              <w:left w:val="nil"/>
              <w:bottom w:val="single" w:sz="8" w:space="0" w:color="auto"/>
              <w:right w:val="single" w:sz="8" w:space="0" w:color="auto"/>
            </w:tcBorders>
            <w:shd w:val="clear" w:color="000000" w:fill="DBDBDB"/>
            <w:vAlign w:val="bottom"/>
            <w:hideMark/>
          </w:tcPr>
          <w:p w14:paraId="6A78774A" w14:textId="77777777" w:rsidR="00DF3AE8" w:rsidRPr="00DF3AE8" w:rsidRDefault="00DF3AE8" w:rsidP="00DF3AE8">
            <w:pPr>
              <w:spacing w:after="0" w:line="240" w:lineRule="auto"/>
              <w:jc w:val="left"/>
              <w:rPr>
                <w:rFonts w:eastAsia="Times New Roman" w:cs="Calibri"/>
                <w:b/>
                <w:bCs/>
                <w:color w:val="000000"/>
                <w:sz w:val="18"/>
                <w:szCs w:val="18"/>
                <w:lang w:eastAsia="es-CR"/>
              </w:rPr>
            </w:pPr>
            <w:r w:rsidRPr="00DF3AE8">
              <w:rPr>
                <w:rFonts w:eastAsia="Times New Roman" w:cs="Calibri"/>
                <w:b/>
                <w:bCs/>
                <w:color w:val="000000"/>
                <w:sz w:val="18"/>
                <w:szCs w:val="18"/>
                <w:lang w:eastAsia="es-CR"/>
              </w:rPr>
              <w:t>Útiles, materiales y suministros diversos</w:t>
            </w:r>
          </w:p>
        </w:tc>
        <w:tc>
          <w:tcPr>
            <w:tcW w:w="1332" w:type="dxa"/>
            <w:tcBorders>
              <w:top w:val="single" w:sz="8" w:space="0" w:color="auto"/>
              <w:left w:val="nil"/>
              <w:bottom w:val="single" w:sz="8" w:space="0" w:color="auto"/>
              <w:right w:val="single" w:sz="8" w:space="0" w:color="auto"/>
            </w:tcBorders>
            <w:shd w:val="clear" w:color="000000" w:fill="DBDBDB"/>
            <w:noWrap/>
            <w:vAlign w:val="bottom"/>
            <w:hideMark/>
          </w:tcPr>
          <w:p w14:paraId="2A853B15" w14:textId="77777777" w:rsidR="00DF3AE8" w:rsidRPr="00DF3AE8" w:rsidRDefault="00DF3AE8" w:rsidP="00DF3AE8">
            <w:pPr>
              <w:spacing w:after="0" w:line="240" w:lineRule="auto"/>
              <w:jc w:val="right"/>
              <w:rPr>
                <w:rFonts w:eastAsia="Times New Roman" w:cs="Calibri"/>
                <w:b/>
                <w:bCs/>
                <w:color w:val="000000"/>
                <w:sz w:val="18"/>
                <w:szCs w:val="18"/>
                <w:lang w:eastAsia="es-CR"/>
              </w:rPr>
            </w:pPr>
            <w:r w:rsidRPr="00DF3AE8">
              <w:rPr>
                <w:rFonts w:ascii="Arial" w:eastAsia="Times New Roman" w:hAnsi="Arial" w:cs="Arial"/>
                <w:b/>
                <w:bCs/>
                <w:color w:val="000000"/>
                <w:sz w:val="18"/>
                <w:szCs w:val="18"/>
                <w:lang w:eastAsia="es-CR"/>
              </w:rPr>
              <w:t>₡</w:t>
            </w:r>
            <w:r w:rsidRPr="00DF3AE8">
              <w:rPr>
                <w:rFonts w:eastAsia="Times New Roman" w:cs="Calibri"/>
                <w:b/>
                <w:bCs/>
                <w:color w:val="000000"/>
                <w:sz w:val="18"/>
                <w:szCs w:val="18"/>
                <w:lang w:eastAsia="es-CR"/>
              </w:rPr>
              <w:t>12 713,28</w:t>
            </w:r>
          </w:p>
        </w:tc>
        <w:tc>
          <w:tcPr>
            <w:tcW w:w="1332" w:type="dxa"/>
            <w:tcBorders>
              <w:top w:val="single" w:sz="8" w:space="0" w:color="auto"/>
              <w:left w:val="nil"/>
              <w:bottom w:val="single" w:sz="8" w:space="0" w:color="auto"/>
              <w:right w:val="single" w:sz="8" w:space="0" w:color="auto"/>
            </w:tcBorders>
            <w:shd w:val="clear" w:color="000000" w:fill="DBDBDB"/>
            <w:noWrap/>
            <w:vAlign w:val="bottom"/>
            <w:hideMark/>
          </w:tcPr>
          <w:p w14:paraId="54386F5E" w14:textId="77777777" w:rsidR="00DF3AE8" w:rsidRPr="00DF3AE8" w:rsidRDefault="00DF3AE8" w:rsidP="00DF3AE8">
            <w:pPr>
              <w:spacing w:after="0" w:line="240" w:lineRule="auto"/>
              <w:jc w:val="right"/>
              <w:rPr>
                <w:rFonts w:eastAsia="Times New Roman" w:cs="Calibri"/>
                <w:b/>
                <w:bCs/>
                <w:color w:val="000000"/>
                <w:sz w:val="18"/>
                <w:szCs w:val="18"/>
                <w:lang w:eastAsia="es-CR"/>
              </w:rPr>
            </w:pPr>
            <w:r w:rsidRPr="00DF3AE8">
              <w:rPr>
                <w:rFonts w:ascii="Arial" w:eastAsia="Times New Roman" w:hAnsi="Arial" w:cs="Arial"/>
                <w:b/>
                <w:bCs/>
                <w:color w:val="000000"/>
                <w:sz w:val="18"/>
                <w:szCs w:val="18"/>
                <w:lang w:eastAsia="es-CR"/>
              </w:rPr>
              <w:t>₡</w:t>
            </w:r>
            <w:r w:rsidRPr="00DF3AE8">
              <w:rPr>
                <w:rFonts w:eastAsia="Times New Roman" w:cs="Calibri"/>
                <w:b/>
                <w:bCs/>
                <w:color w:val="000000"/>
                <w:sz w:val="18"/>
                <w:szCs w:val="18"/>
                <w:lang w:eastAsia="es-CR"/>
              </w:rPr>
              <w:t>10 300,80</w:t>
            </w:r>
          </w:p>
        </w:tc>
        <w:tc>
          <w:tcPr>
            <w:tcW w:w="1271" w:type="dxa"/>
            <w:tcBorders>
              <w:top w:val="single" w:sz="8" w:space="0" w:color="auto"/>
              <w:left w:val="nil"/>
              <w:bottom w:val="single" w:sz="8" w:space="0" w:color="auto"/>
              <w:right w:val="single" w:sz="8" w:space="0" w:color="auto"/>
            </w:tcBorders>
            <w:shd w:val="clear" w:color="000000" w:fill="DBDBDB"/>
            <w:noWrap/>
            <w:vAlign w:val="bottom"/>
            <w:hideMark/>
          </w:tcPr>
          <w:p w14:paraId="141541B7" w14:textId="77777777" w:rsidR="00DF3AE8" w:rsidRPr="00DF3AE8" w:rsidRDefault="00DF3AE8" w:rsidP="00DF3AE8">
            <w:pPr>
              <w:spacing w:after="0" w:line="240" w:lineRule="auto"/>
              <w:jc w:val="right"/>
              <w:rPr>
                <w:rFonts w:eastAsia="Times New Roman" w:cs="Calibri"/>
                <w:b/>
                <w:bCs/>
                <w:color w:val="000000"/>
                <w:sz w:val="18"/>
                <w:szCs w:val="18"/>
                <w:lang w:eastAsia="es-CR"/>
              </w:rPr>
            </w:pPr>
            <w:r w:rsidRPr="00DF3AE8">
              <w:rPr>
                <w:rFonts w:ascii="Arial" w:eastAsia="Times New Roman" w:hAnsi="Arial" w:cs="Arial"/>
                <w:b/>
                <w:bCs/>
                <w:color w:val="000000"/>
                <w:sz w:val="18"/>
                <w:szCs w:val="18"/>
                <w:lang w:eastAsia="es-CR"/>
              </w:rPr>
              <w:t>₡</w:t>
            </w:r>
            <w:r w:rsidRPr="00DF3AE8">
              <w:rPr>
                <w:rFonts w:eastAsia="Times New Roman" w:cs="Calibri"/>
                <w:b/>
                <w:bCs/>
                <w:color w:val="000000"/>
                <w:sz w:val="18"/>
                <w:szCs w:val="18"/>
                <w:lang w:eastAsia="es-CR"/>
              </w:rPr>
              <w:t>2 412,48</w:t>
            </w:r>
          </w:p>
        </w:tc>
        <w:tc>
          <w:tcPr>
            <w:tcW w:w="881" w:type="dxa"/>
            <w:tcBorders>
              <w:top w:val="nil"/>
              <w:left w:val="nil"/>
              <w:bottom w:val="single" w:sz="8" w:space="0" w:color="auto"/>
              <w:right w:val="single" w:sz="8" w:space="0" w:color="auto"/>
            </w:tcBorders>
            <w:shd w:val="clear" w:color="000000" w:fill="DBDBDB"/>
            <w:noWrap/>
            <w:vAlign w:val="bottom"/>
            <w:hideMark/>
          </w:tcPr>
          <w:p w14:paraId="0E86D7C9" w14:textId="77777777" w:rsidR="00DF3AE8" w:rsidRPr="00DF3AE8" w:rsidRDefault="00DF3AE8" w:rsidP="00DF3AE8">
            <w:pPr>
              <w:spacing w:after="0" w:line="240" w:lineRule="auto"/>
              <w:jc w:val="center"/>
              <w:rPr>
                <w:rFonts w:eastAsia="Times New Roman" w:cs="Calibri"/>
                <w:b/>
                <w:bCs/>
                <w:color w:val="000000"/>
                <w:sz w:val="18"/>
                <w:szCs w:val="18"/>
                <w:lang w:eastAsia="es-CR"/>
              </w:rPr>
            </w:pPr>
            <w:r w:rsidRPr="00DF3AE8">
              <w:rPr>
                <w:rFonts w:ascii="Arial" w:eastAsia="Times New Roman" w:hAnsi="Arial" w:cs="Arial"/>
                <w:b/>
                <w:bCs/>
                <w:color w:val="000000"/>
                <w:sz w:val="18"/>
                <w:szCs w:val="18"/>
                <w:lang w:eastAsia="es-CR"/>
              </w:rPr>
              <w:t>₡</w:t>
            </w:r>
            <w:r w:rsidRPr="00DF3AE8">
              <w:rPr>
                <w:rFonts w:eastAsia="Times New Roman" w:cs="Calibri"/>
                <w:b/>
                <w:bCs/>
                <w:color w:val="000000"/>
                <w:sz w:val="18"/>
                <w:szCs w:val="18"/>
                <w:lang w:eastAsia="es-CR"/>
              </w:rPr>
              <w:t>0,23</w:t>
            </w:r>
          </w:p>
        </w:tc>
      </w:tr>
      <w:tr w:rsidR="00DF3AE8" w:rsidRPr="00DF3AE8" w14:paraId="2E4CAE21" w14:textId="77777777" w:rsidTr="00DF3AE8">
        <w:trPr>
          <w:trHeight w:val="300"/>
        </w:trPr>
        <w:tc>
          <w:tcPr>
            <w:tcW w:w="1032" w:type="dxa"/>
            <w:tcBorders>
              <w:top w:val="nil"/>
              <w:left w:val="single" w:sz="8" w:space="0" w:color="auto"/>
              <w:bottom w:val="nil"/>
              <w:right w:val="single" w:sz="8" w:space="0" w:color="auto"/>
            </w:tcBorders>
            <w:shd w:val="clear" w:color="auto" w:fill="auto"/>
            <w:noWrap/>
            <w:vAlign w:val="bottom"/>
            <w:hideMark/>
          </w:tcPr>
          <w:p w14:paraId="3162DF19" w14:textId="77777777" w:rsidR="00DF3AE8" w:rsidRPr="00DF3AE8" w:rsidRDefault="00DF3AE8" w:rsidP="00DF3AE8">
            <w:pPr>
              <w:spacing w:after="0" w:line="240" w:lineRule="auto"/>
              <w:jc w:val="left"/>
              <w:rPr>
                <w:rFonts w:eastAsia="Times New Roman" w:cs="Calibri"/>
                <w:color w:val="000000"/>
                <w:sz w:val="18"/>
                <w:szCs w:val="18"/>
                <w:lang w:eastAsia="es-CR"/>
              </w:rPr>
            </w:pPr>
            <w:r w:rsidRPr="00DF3AE8">
              <w:rPr>
                <w:rFonts w:eastAsia="Times New Roman" w:cs="Calibri"/>
                <w:color w:val="000000"/>
                <w:sz w:val="18"/>
                <w:szCs w:val="18"/>
                <w:lang w:eastAsia="es-CR"/>
              </w:rPr>
              <w:t>1.1.4.01.99.01.</w:t>
            </w:r>
          </w:p>
        </w:tc>
        <w:tc>
          <w:tcPr>
            <w:tcW w:w="3772" w:type="dxa"/>
            <w:tcBorders>
              <w:top w:val="nil"/>
              <w:left w:val="nil"/>
              <w:bottom w:val="nil"/>
              <w:right w:val="single" w:sz="8" w:space="0" w:color="auto"/>
            </w:tcBorders>
            <w:shd w:val="clear" w:color="auto" w:fill="auto"/>
            <w:vAlign w:val="bottom"/>
            <w:hideMark/>
          </w:tcPr>
          <w:p w14:paraId="39157CFA" w14:textId="77777777" w:rsidR="00DF3AE8" w:rsidRPr="00DF3AE8" w:rsidRDefault="00DF3AE8" w:rsidP="00DF3AE8">
            <w:pPr>
              <w:spacing w:after="0" w:line="240" w:lineRule="auto"/>
              <w:jc w:val="left"/>
              <w:rPr>
                <w:rFonts w:eastAsia="Times New Roman" w:cs="Calibri"/>
                <w:color w:val="000000"/>
                <w:sz w:val="18"/>
                <w:szCs w:val="18"/>
                <w:lang w:eastAsia="es-CR"/>
              </w:rPr>
            </w:pPr>
            <w:r w:rsidRPr="00DF3AE8">
              <w:rPr>
                <w:rFonts w:eastAsia="Times New Roman" w:cs="Calibri"/>
                <w:color w:val="000000"/>
                <w:sz w:val="18"/>
                <w:szCs w:val="18"/>
                <w:lang w:eastAsia="es-CR"/>
              </w:rPr>
              <w:t>Útiles y materiales de oficina y cómputo</w:t>
            </w:r>
          </w:p>
        </w:tc>
        <w:tc>
          <w:tcPr>
            <w:tcW w:w="1332" w:type="dxa"/>
            <w:tcBorders>
              <w:top w:val="nil"/>
              <w:left w:val="nil"/>
              <w:bottom w:val="nil"/>
              <w:right w:val="single" w:sz="8" w:space="0" w:color="auto"/>
            </w:tcBorders>
            <w:shd w:val="clear" w:color="000000" w:fill="FFFFFF"/>
            <w:noWrap/>
            <w:vAlign w:val="bottom"/>
            <w:hideMark/>
          </w:tcPr>
          <w:p w14:paraId="086853D2" w14:textId="77777777" w:rsidR="00DF3AE8" w:rsidRPr="00DF3AE8" w:rsidRDefault="00DF3AE8" w:rsidP="00DF3AE8">
            <w:pPr>
              <w:spacing w:after="0" w:line="240" w:lineRule="auto"/>
              <w:jc w:val="right"/>
              <w:rPr>
                <w:rFonts w:eastAsia="Times New Roman" w:cs="Calibri"/>
                <w:color w:val="000000"/>
                <w:sz w:val="18"/>
                <w:szCs w:val="18"/>
                <w:lang w:eastAsia="es-CR"/>
              </w:rPr>
            </w:pPr>
            <w:r w:rsidRPr="00DF3AE8">
              <w:rPr>
                <w:rFonts w:eastAsia="Times New Roman" w:cs="Calibri"/>
                <w:color w:val="000000"/>
                <w:sz w:val="18"/>
                <w:szCs w:val="18"/>
                <w:lang w:eastAsia="es-CR"/>
              </w:rPr>
              <w:t>2 198,68</w:t>
            </w:r>
          </w:p>
        </w:tc>
        <w:tc>
          <w:tcPr>
            <w:tcW w:w="1332" w:type="dxa"/>
            <w:tcBorders>
              <w:top w:val="nil"/>
              <w:left w:val="nil"/>
              <w:bottom w:val="nil"/>
              <w:right w:val="single" w:sz="8" w:space="0" w:color="auto"/>
            </w:tcBorders>
            <w:shd w:val="clear" w:color="000000" w:fill="FFFFFF"/>
            <w:noWrap/>
            <w:vAlign w:val="bottom"/>
            <w:hideMark/>
          </w:tcPr>
          <w:p w14:paraId="25646054" w14:textId="77777777" w:rsidR="00DF3AE8" w:rsidRPr="00DF3AE8" w:rsidRDefault="00DF3AE8" w:rsidP="00DF3AE8">
            <w:pPr>
              <w:spacing w:after="0" w:line="240" w:lineRule="auto"/>
              <w:jc w:val="right"/>
              <w:rPr>
                <w:rFonts w:eastAsia="Times New Roman" w:cs="Calibri"/>
                <w:color w:val="000000"/>
                <w:sz w:val="18"/>
                <w:szCs w:val="18"/>
                <w:lang w:eastAsia="es-CR"/>
              </w:rPr>
            </w:pPr>
            <w:r w:rsidRPr="00DF3AE8">
              <w:rPr>
                <w:rFonts w:eastAsia="Times New Roman" w:cs="Calibri"/>
                <w:color w:val="000000"/>
                <w:sz w:val="18"/>
                <w:szCs w:val="18"/>
                <w:lang w:eastAsia="es-CR"/>
              </w:rPr>
              <w:t>1 943,17</w:t>
            </w:r>
          </w:p>
        </w:tc>
        <w:tc>
          <w:tcPr>
            <w:tcW w:w="1271" w:type="dxa"/>
            <w:tcBorders>
              <w:top w:val="nil"/>
              <w:left w:val="nil"/>
              <w:bottom w:val="nil"/>
              <w:right w:val="nil"/>
            </w:tcBorders>
            <w:shd w:val="clear" w:color="000000" w:fill="FFFFFF"/>
            <w:noWrap/>
            <w:vAlign w:val="bottom"/>
            <w:hideMark/>
          </w:tcPr>
          <w:p w14:paraId="16D04378" w14:textId="77777777" w:rsidR="00DF3AE8" w:rsidRPr="00DF3AE8" w:rsidRDefault="00DF3AE8" w:rsidP="00DF3AE8">
            <w:pPr>
              <w:spacing w:after="0" w:line="240" w:lineRule="auto"/>
              <w:jc w:val="right"/>
              <w:rPr>
                <w:rFonts w:eastAsia="Times New Roman" w:cs="Calibri"/>
                <w:color w:val="000000"/>
                <w:sz w:val="18"/>
                <w:szCs w:val="18"/>
                <w:lang w:eastAsia="es-CR"/>
              </w:rPr>
            </w:pPr>
            <w:r w:rsidRPr="00DF3AE8">
              <w:rPr>
                <w:rFonts w:eastAsia="Times New Roman" w:cs="Calibri"/>
                <w:color w:val="000000"/>
                <w:sz w:val="18"/>
                <w:szCs w:val="18"/>
                <w:lang w:eastAsia="es-CR"/>
              </w:rPr>
              <w:t>255,51</w:t>
            </w:r>
          </w:p>
        </w:tc>
        <w:tc>
          <w:tcPr>
            <w:tcW w:w="881" w:type="dxa"/>
            <w:tcBorders>
              <w:top w:val="nil"/>
              <w:left w:val="single" w:sz="8" w:space="0" w:color="auto"/>
              <w:bottom w:val="nil"/>
              <w:right w:val="single" w:sz="8" w:space="0" w:color="auto"/>
            </w:tcBorders>
            <w:shd w:val="clear" w:color="auto" w:fill="auto"/>
            <w:noWrap/>
            <w:vAlign w:val="bottom"/>
            <w:hideMark/>
          </w:tcPr>
          <w:p w14:paraId="4EB91AF9" w14:textId="77777777" w:rsidR="00DF3AE8" w:rsidRPr="00DF3AE8" w:rsidRDefault="00DF3AE8" w:rsidP="00DF3AE8">
            <w:pPr>
              <w:spacing w:after="0" w:line="240" w:lineRule="auto"/>
              <w:jc w:val="center"/>
              <w:rPr>
                <w:rFonts w:eastAsia="Times New Roman" w:cs="Calibri"/>
                <w:color w:val="000000"/>
                <w:sz w:val="18"/>
                <w:szCs w:val="18"/>
                <w:lang w:eastAsia="es-CR"/>
              </w:rPr>
            </w:pPr>
            <w:r w:rsidRPr="00DF3AE8">
              <w:rPr>
                <w:rFonts w:eastAsia="Times New Roman" w:cs="Calibri"/>
                <w:color w:val="000000"/>
                <w:sz w:val="18"/>
                <w:szCs w:val="18"/>
                <w:lang w:eastAsia="es-CR"/>
              </w:rPr>
              <w:t>13,15%</w:t>
            </w:r>
          </w:p>
        </w:tc>
      </w:tr>
      <w:tr w:rsidR="00DF3AE8" w:rsidRPr="00DF3AE8" w14:paraId="65073756" w14:textId="77777777" w:rsidTr="00DF3AE8">
        <w:trPr>
          <w:trHeight w:val="540"/>
        </w:trPr>
        <w:tc>
          <w:tcPr>
            <w:tcW w:w="1032" w:type="dxa"/>
            <w:tcBorders>
              <w:top w:val="nil"/>
              <w:left w:val="single" w:sz="8" w:space="0" w:color="auto"/>
              <w:bottom w:val="nil"/>
              <w:right w:val="single" w:sz="8" w:space="0" w:color="auto"/>
            </w:tcBorders>
            <w:shd w:val="clear" w:color="auto" w:fill="auto"/>
            <w:noWrap/>
            <w:vAlign w:val="center"/>
            <w:hideMark/>
          </w:tcPr>
          <w:p w14:paraId="4EC10280" w14:textId="77777777" w:rsidR="00DF3AE8" w:rsidRPr="00DF3AE8" w:rsidRDefault="00DF3AE8" w:rsidP="00DF3AE8">
            <w:pPr>
              <w:spacing w:after="0" w:line="240" w:lineRule="auto"/>
              <w:jc w:val="left"/>
              <w:rPr>
                <w:rFonts w:eastAsia="Times New Roman" w:cs="Calibri"/>
                <w:color w:val="000000"/>
                <w:sz w:val="18"/>
                <w:szCs w:val="18"/>
                <w:lang w:eastAsia="es-CR"/>
              </w:rPr>
            </w:pPr>
            <w:r w:rsidRPr="00DF3AE8">
              <w:rPr>
                <w:rFonts w:eastAsia="Times New Roman" w:cs="Calibri"/>
                <w:color w:val="000000"/>
                <w:sz w:val="18"/>
                <w:szCs w:val="18"/>
                <w:lang w:eastAsia="es-CR"/>
              </w:rPr>
              <w:t>1.1.4.01.99.02.</w:t>
            </w:r>
          </w:p>
        </w:tc>
        <w:tc>
          <w:tcPr>
            <w:tcW w:w="3772" w:type="dxa"/>
            <w:tcBorders>
              <w:top w:val="nil"/>
              <w:left w:val="nil"/>
              <w:bottom w:val="nil"/>
              <w:right w:val="single" w:sz="8" w:space="0" w:color="auto"/>
            </w:tcBorders>
            <w:shd w:val="clear" w:color="auto" w:fill="auto"/>
            <w:vAlign w:val="bottom"/>
            <w:hideMark/>
          </w:tcPr>
          <w:p w14:paraId="5D89D286" w14:textId="77777777" w:rsidR="00DF3AE8" w:rsidRPr="00DF3AE8" w:rsidRDefault="00DF3AE8" w:rsidP="00DF3AE8">
            <w:pPr>
              <w:spacing w:after="0" w:line="240" w:lineRule="auto"/>
              <w:jc w:val="left"/>
              <w:rPr>
                <w:rFonts w:eastAsia="Times New Roman" w:cs="Calibri"/>
                <w:color w:val="000000"/>
                <w:sz w:val="18"/>
                <w:szCs w:val="18"/>
                <w:lang w:eastAsia="es-CR"/>
              </w:rPr>
            </w:pPr>
            <w:r w:rsidRPr="00DF3AE8">
              <w:rPr>
                <w:rFonts w:eastAsia="Times New Roman" w:cs="Calibri"/>
                <w:color w:val="000000"/>
                <w:sz w:val="18"/>
                <w:szCs w:val="18"/>
                <w:lang w:eastAsia="es-CR"/>
              </w:rPr>
              <w:t>Útiles y materiales médico, hospitalario y de investigación</w:t>
            </w:r>
          </w:p>
        </w:tc>
        <w:tc>
          <w:tcPr>
            <w:tcW w:w="1332" w:type="dxa"/>
            <w:tcBorders>
              <w:top w:val="nil"/>
              <w:left w:val="nil"/>
              <w:bottom w:val="nil"/>
              <w:right w:val="single" w:sz="8" w:space="0" w:color="auto"/>
            </w:tcBorders>
            <w:shd w:val="clear" w:color="000000" w:fill="FFFFFF"/>
            <w:noWrap/>
            <w:vAlign w:val="bottom"/>
            <w:hideMark/>
          </w:tcPr>
          <w:p w14:paraId="0B5E3959" w14:textId="77777777" w:rsidR="00DF3AE8" w:rsidRPr="00DF3AE8" w:rsidRDefault="00DF3AE8" w:rsidP="00DF3AE8">
            <w:pPr>
              <w:spacing w:after="0" w:line="240" w:lineRule="auto"/>
              <w:jc w:val="right"/>
              <w:rPr>
                <w:rFonts w:eastAsia="Times New Roman" w:cs="Calibri"/>
                <w:color w:val="000000"/>
                <w:sz w:val="18"/>
                <w:szCs w:val="18"/>
                <w:lang w:eastAsia="es-CR"/>
              </w:rPr>
            </w:pPr>
            <w:r w:rsidRPr="00DF3AE8">
              <w:rPr>
                <w:rFonts w:eastAsia="Times New Roman" w:cs="Calibri"/>
                <w:color w:val="000000"/>
                <w:sz w:val="18"/>
                <w:szCs w:val="18"/>
                <w:lang w:eastAsia="es-CR"/>
              </w:rPr>
              <w:t>189,00</w:t>
            </w:r>
          </w:p>
        </w:tc>
        <w:tc>
          <w:tcPr>
            <w:tcW w:w="1332" w:type="dxa"/>
            <w:tcBorders>
              <w:top w:val="nil"/>
              <w:left w:val="nil"/>
              <w:bottom w:val="nil"/>
              <w:right w:val="single" w:sz="8" w:space="0" w:color="auto"/>
            </w:tcBorders>
            <w:shd w:val="clear" w:color="000000" w:fill="FFFFFF"/>
            <w:noWrap/>
            <w:vAlign w:val="bottom"/>
            <w:hideMark/>
          </w:tcPr>
          <w:p w14:paraId="38CAB691" w14:textId="77777777" w:rsidR="00DF3AE8" w:rsidRPr="00DF3AE8" w:rsidRDefault="00DF3AE8" w:rsidP="00DF3AE8">
            <w:pPr>
              <w:spacing w:after="0" w:line="240" w:lineRule="auto"/>
              <w:jc w:val="right"/>
              <w:rPr>
                <w:rFonts w:eastAsia="Times New Roman" w:cs="Calibri"/>
                <w:color w:val="000000"/>
                <w:sz w:val="18"/>
                <w:szCs w:val="18"/>
                <w:lang w:eastAsia="es-CR"/>
              </w:rPr>
            </w:pPr>
            <w:r w:rsidRPr="00DF3AE8">
              <w:rPr>
                <w:rFonts w:eastAsia="Times New Roman" w:cs="Calibri"/>
                <w:color w:val="000000"/>
                <w:sz w:val="18"/>
                <w:szCs w:val="18"/>
                <w:lang w:eastAsia="es-CR"/>
              </w:rPr>
              <w:t>0,00</w:t>
            </w:r>
          </w:p>
        </w:tc>
        <w:tc>
          <w:tcPr>
            <w:tcW w:w="1271" w:type="dxa"/>
            <w:tcBorders>
              <w:top w:val="nil"/>
              <w:left w:val="nil"/>
              <w:bottom w:val="nil"/>
              <w:right w:val="nil"/>
            </w:tcBorders>
            <w:shd w:val="clear" w:color="000000" w:fill="FFFFFF"/>
            <w:noWrap/>
            <w:vAlign w:val="bottom"/>
            <w:hideMark/>
          </w:tcPr>
          <w:p w14:paraId="53CAAB19" w14:textId="77777777" w:rsidR="00DF3AE8" w:rsidRPr="00DF3AE8" w:rsidRDefault="00DF3AE8" w:rsidP="00DF3AE8">
            <w:pPr>
              <w:spacing w:after="0" w:line="240" w:lineRule="auto"/>
              <w:jc w:val="right"/>
              <w:rPr>
                <w:rFonts w:eastAsia="Times New Roman" w:cs="Calibri"/>
                <w:color w:val="000000"/>
                <w:sz w:val="18"/>
                <w:szCs w:val="18"/>
                <w:lang w:eastAsia="es-CR"/>
              </w:rPr>
            </w:pPr>
            <w:r w:rsidRPr="00DF3AE8">
              <w:rPr>
                <w:rFonts w:eastAsia="Times New Roman" w:cs="Calibri"/>
                <w:color w:val="000000"/>
                <w:sz w:val="18"/>
                <w:szCs w:val="18"/>
                <w:lang w:eastAsia="es-CR"/>
              </w:rPr>
              <w:t>189,00</w:t>
            </w:r>
          </w:p>
        </w:tc>
        <w:tc>
          <w:tcPr>
            <w:tcW w:w="881" w:type="dxa"/>
            <w:tcBorders>
              <w:top w:val="nil"/>
              <w:left w:val="single" w:sz="8" w:space="0" w:color="auto"/>
              <w:bottom w:val="nil"/>
              <w:right w:val="single" w:sz="8" w:space="0" w:color="auto"/>
            </w:tcBorders>
            <w:shd w:val="clear" w:color="auto" w:fill="auto"/>
            <w:noWrap/>
            <w:vAlign w:val="bottom"/>
            <w:hideMark/>
          </w:tcPr>
          <w:p w14:paraId="2112B06E" w14:textId="77777777" w:rsidR="00DF3AE8" w:rsidRPr="00DF3AE8" w:rsidRDefault="00DF3AE8" w:rsidP="00DF3AE8">
            <w:pPr>
              <w:spacing w:after="0" w:line="240" w:lineRule="auto"/>
              <w:jc w:val="center"/>
              <w:rPr>
                <w:rFonts w:eastAsia="Times New Roman" w:cs="Calibri"/>
                <w:color w:val="000000"/>
                <w:sz w:val="18"/>
                <w:szCs w:val="18"/>
                <w:lang w:eastAsia="es-CR"/>
              </w:rPr>
            </w:pPr>
            <w:r w:rsidRPr="00DF3AE8">
              <w:rPr>
                <w:rFonts w:eastAsia="Times New Roman" w:cs="Calibri"/>
                <w:color w:val="000000"/>
                <w:sz w:val="18"/>
                <w:szCs w:val="18"/>
                <w:lang w:eastAsia="es-CR"/>
              </w:rPr>
              <w:t>#¡DIV/0!</w:t>
            </w:r>
          </w:p>
        </w:tc>
      </w:tr>
      <w:tr w:rsidR="00DF3AE8" w:rsidRPr="00DF3AE8" w14:paraId="0A0E1C45" w14:textId="77777777" w:rsidTr="00DF3AE8">
        <w:trPr>
          <w:trHeight w:val="300"/>
        </w:trPr>
        <w:tc>
          <w:tcPr>
            <w:tcW w:w="1032" w:type="dxa"/>
            <w:tcBorders>
              <w:top w:val="nil"/>
              <w:left w:val="single" w:sz="8" w:space="0" w:color="auto"/>
              <w:bottom w:val="nil"/>
              <w:right w:val="single" w:sz="8" w:space="0" w:color="auto"/>
            </w:tcBorders>
            <w:shd w:val="clear" w:color="auto" w:fill="auto"/>
            <w:noWrap/>
            <w:vAlign w:val="bottom"/>
            <w:hideMark/>
          </w:tcPr>
          <w:p w14:paraId="60E2D41A" w14:textId="77777777" w:rsidR="00DF3AE8" w:rsidRPr="00DF3AE8" w:rsidRDefault="00DF3AE8" w:rsidP="00DF3AE8">
            <w:pPr>
              <w:spacing w:after="0" w:line="240" w:lineRule="auto"/>
              <w:jc w:val="left"/>
              <w:rPr>
                <w:rFonts w:eastAsia="Times New Roman" w:cs="Calibri"/>
                <w:color w:val="000000"/>
                <w:sz w:val="18"/>
                <w:szCs w:val="18"/>
                <w:lang w:eastAsia="es-CR"/>
              </w:rPr>
            </w:pPr>
            <w:r w:rsidRPr="00DF3AE8">
              <w:rPr>
                <w:rFonts w:eastAsia="Times New Roman" w:cs="Calibri"/>
                <w:color w:val="000000"/>
                <w:sz w:val="18"/>
                <w:szCs w:val="18"/>
                <w:lang w:eastAsia="es-CR"/>
              </w:rPr>
              <w:t>1.1.4.01.99.03.</w:t>
            </w:r>
          </w:p>
        </w:tc>
        <w:tc>
          <w:tcPr>
            <w:tcW w:w="3772" w:type="dxa"/>
            <w:tcBorders>
              <w:top w:val="nil"/>
              <w:left w:val="nil"/>
              <w:bottom w:val="nil"/>
              <w:right w:val="single" w:sz="8" w:space="0" w:color="auto"/>
            </w:tcBorders>
            <w:shd w:val="clear" w:color="auto" w:fill="auto"/>
            <w:vAlign w:val="bottom"/>
            <w:hideMark/>
          </w:tcPr>
          <w:p w14:paraId="78EFDEEE" w14:textId="77777777" w:rsidR="00DF3AE8" w:rsidRPr="00DF3AE8" w:rsidRDefault="00DF3AE8" w:rsidP="00DF3AE8">
            <w:pPr>
              <w:spacing w:after="0" w:line="240" w:lineRule="auto"/>
              <w:jc w:val="left"/>
              <w:rPr>
                <w:rFonts w:eastAsia="Times New Roman" w:cs="Calibri"/>
                <w:color w:val="000000"/>
                <w:sz w:val="18"/>
                <w:szCs w:val="18"/>
                <w:lang w:eastAsia="es-CR"/>
              </w:rPr>
            </w:pPr>
            <w:r w:rsidRPr="00DF3AE8">
              <w:rPr>
                <w:rFonts w:eastAsia="Times New Roman" w:cs="Calibri"/>
                <w:color w:val="000000"/>
                <w:sz w:val="18"/>
                <w:szCs w:val="18"/>
                <w:lang w:eastAsia="es-CR"/>
              </w:rPr>
              <w:t>Productos de papel, cartón e impresos</w:t>
            </w:r>
          </w:p>
        </w:tc>
        <w:tc>
          <w:tcPr>
            <w:tcW w:w="1332" w:type="dxa"/>
            <w:tcBorders>
              <w:top w:val="nil"/>
              <w:left w:val="nil"/>
              <w:bottom w:val="nil"/>
              <w:right w:val="single" w:sz="8" w:space="0" w:color="auto"/>
            </w:tcBorders>
            <w:shd w:val="clear" w:color="000000" w:fill="FFFFFF"/>
            <w:noWrap/>
            <w:vAlign w:val="bottom"/>
            <w:hideMark/>
          </w:tcPr>
          <w:p w14:paraId="25484979" w14:textId="77777777" w:rsidR="00DF3AE8" w:rsidRPr="00DF3AE8" w:rsidRDefault="00DF3AE8" w:rsidP="00DF3AE8">
            <w:pPr>
              <w:spacing w:after="0" w:line="240" w:lineRule="auto"/>
              <w:jc w:val="right"/>
              <w:rPr>
                <w:rFonts w:eastAsia="Times New Roman" w:cs="Calibri"/>
                <w:color w:val="000000"/>
                <w:sz w:val="18"/>
                <w:szCs w:val="18"/>
                <w:lang w:eastAsia="es-CR"/>
              </w:rPr>
            </w:pPr>
            <w:r w:rsidRPr="00DF3AE8">
              <w:rPr>
                <w:rFonts w:eastAsia="Times New Roman" w:cs="Calibri"/>
                <w:color w:val="000000"/>
                <w:sz w:val="18"/>
                <w:szCs w:val="18"/>
                <w:lang w:eastAsia="es-CR"/>
              </w:rPr>
              <w:t>2 859,91</w:t>
            </w:r>
          </w:p>
        </w:tc>
        <w:tc>
          <w:tcPr>
            <w:tcW w:w="1332" w:type="dxa"/>
            <w:tcBorders>
              <w:top w:val="nil"/>
              <w:left w:val="nil"/>
              <w:bottom w:val="nil"/>
              <w:right w:val="single" w:sz="8" w:space="0" w:color="auto"/>
            </w:tcBorders>
            <w:shd w:val="clear" w:color="000000" w:fill="FFFFFF"/>
            <w:noWrap/>
            <w:vAlign w:val="bottom"/>
            <w:hideMark/>
          </w:tcPr>
          <w:p w14:paraId="613767EB" w14:textId="77777777" w:rsidR="00DF3AE8" w:rsidRPr="00DF3AE8" w:rsidRDefault="00DF3AE8" w:rsidP="00DF3AE8">
            <w:pPr>
              <w:spacing w:after="0" w:line="240" w:lineRule="auto"/>
              <w:jc w:val="right"/>
              <w:rPr>
                <w:rFonts w:eastAsia="Times New Roman" w:cs="Calibri"/>
                <w:color w:val="000000"/>
                <w:sz w:val="18"/>
                <w:szCs w:val="18"/>
                <w:lang w:eastAsia="es-CR"/>
              </w:rPr>
            </w:pPr>
            <w:r w:rsidRPr="00DF3AE8">
              <w:rPr>
                <w:rFonts w:eastAsia="Times New Roman" w:cs="Calibri"/>
                <w:color w:val="000000"/>
                <w:sz w:val="18"/>
                <w:szCs w:val="18"/>
                <w:lang w:eastAsia="es-CR"/>
              </w:rPr>
              <w:t>2 730,59</w:t>
            </w:r>
          </w:p>
        </w:tc>
        <w:tc>
          <w:tcPr>
            <w:tcW w:w="1271" w:type="dxa"/>
            <w:tcBorders>
              <w:top w:val="nil"/>
              <w:left w:val="nil"/>
              <w:bottom w:val="nil"/>
              <w:right w:val="nil"/>
            </w:tcBorders>
            <w:shd w:val="clear" w:color="000000" w:fill="FFFFFF"/>
            <w:noWrap/>
            <w:vAlign w:val="bottom"/>
            <w:hideMark/>
          </w:tcPr>
          <w:p w14:paraId="259A8EB8" w14:textId="77777777" w:rsidR="00DF3AE8" w:rsidRPr="00DF3AE8" w:rsidRDefault="00DF3AE8" w:rsidP="00DF3AE8">
            <w:pPr>
              <w:spacing w:after="0" w:line="240" w:lineRule="auto"/>
              <w:jc w:val="right"/>
              <w:rPr>
                <w:rFonts w:eastAsia="Times New Roman" w:cs="Calibri"/>
                <w:color w:val="000000"/>
                <w:sz w:val="18"/>
                <w:szCs w:val="18"/>
                <w:lang w:eastAsia="es-CR"/>
              </w:rPr>
            </w:pPr>
            <w:r w:rsidRPr="00DF3AE8">
              <w:rPr>
                <w:rFonts w:eastAsia="Times New Roman" w:cs="Calibri"/>
                <w:color w:val="000000"/>
                <w:sz w:val="18"/>
                <w:szCs w:val="18"/>
                <w:lang w:eastAsia="es-CR"/>
              </w:rPr>
              <w:t>129,32</w:t>
            </w:r>
          </w:p>
        </w:tc>
        <w:tc>
          <w:tcPr>
            <w:tcW w:w="881" w:type="dxa"/>
            <w:tcBorders>
              <w:top w:val="nil"/>
              <w:left w:val="single" w:sz="8" w:space="0" w:color="auto"/>
              <w:bottom w:val="nil"/>
              <w:right w:val="single" w:sz="8" w:space="0" w:color="auto"/>
            </w:tcBorders>
            <w:shd w:val="clear" w:color="auto" w:fill="auto"/>
            <w:noWrap/>
            <w:vAlign w:val="bottom"/>
            <w:hideMark/>
          </w:tcPr>
          <w:p w14:paraId="3561F559" w14:textId="77777777" w:rsidR="00DF3AE8" w:rsidRPr="00DF3AE8" w:rsidRDefault="00DF3AE8" w:rsidP="00DF3AE8">
            <w:pPr>
              <w:spacing w:after="0" w:line="240" w:lineRule="auto"/>
              <w:jc w:val="center"/>
              <w:rPr>
                <w:rFonts w:eastAsia="Times New Roman" w:cs="Calibri"/>
                <w:color w:val="000000"/>
                <w:sz w:val="18"/>
                <w:szCs w:val="18"/>
                <w:lang w:eastAsia="es-CR"/>
              </w:rPr>
            </w:pPr>
            <w:r w:rsidRPr="00DF3AE8">
              <w:rPr>
                <w:rFonts w:eastAsia="Times New Roman" w:cs="Calibri"/>
                <w:color w:val="000000"/>
                <w:sz w:val="18"/>
                <w:szCs w:val="18"/>
                <w:lang w:eastAsia="es-CR"/>
              </w:rPr>
              <w:t>4,74%</w:t>
            </w:r>
          </w:p>
        </w:tc>
      </w:tr>
      <w:tr w:rsidR="00DF3AE8" w:rsidRPr="00DF3AE8" w14:paraId="62315478" w14:textId="77777777" w:rsidTr="00DF3AE8">
        <w:trPr>
          <w:trHeight w:val="300"/>
        </w:trPr>
        <w:tc>
          <w:tcPr>
            <w:tcW w:w="1032" w:type="dxa"/>
            <w:tcBorders>
              <w:top w:val="nil"/>
              <w:left w:val="single" w:sz="8" w:space="0" w:color="auto"/>
              <w:bottom w:val="nil"/>
              <w:right w:val="single" w:sz="8" w:space="0" w:color="auto"/>
            </w:tcBorders>
            <w:shd w:val="clear" w:color="auto" w:fill="auto"/>
            <w:noWrap/>
            <w:vAlign w:val="bottom"/>
            <w:hideMark/>
          </w:tcPr>
          <w:p w14:paraId="5A5F3ABD" w14:textId="77777777" w:rsidR="00DF3AE8" w:rsidRPr="00DF3AE8" w:rsidRDefault="00DF3AE8" w:rsidP="00DF3AE8">
            <w:pPr>
              <w:spacing w:after="0" w:line="240" w:lineRule="auto"/>
              <w:jc w:val="left"/>
              <w:rPr>
                <w:rFonts w:eastAsia="Times New Roman" w:cs="Calibri"/>
                <w:color w:val="000000"/>
                <w:sz w:val="18"/>
                <w:szCs w:val="18"/>
                <w:lang w:eastAsia="es-CR"/>
              </w:rPr>
            </w:pPr>
            <w:r w:rsidRPr="00DF3AE8">
              <w:rPr>
                <w:rFonts w:eastAsia="Times New Roman" w:cs="Calibri"/>
                <w:color w:val="000000"/>
                <w:sz w:val="18"/>
                <w:szCs w:val="18"/>
                <w:lang w:eastAsia="es-CR"/>
              </w:rPr>
              <w:t>1.1.4.01.99.04.</w:t>
            </w:r>
          </w:p>
        </w:tc>
        <w:tc>
          <w:tcPr>
            <w:tcW w:w="3772" w:type="dxa"/>
            <w:tcBorders>
              <w:top w:val="nil"/>
              <w:left w:val="nil"/>
              <w:bottom w:val="nil"/>
              <w:right w:val="single" w:sz="8" w:space="0" w:color="auto"/>
            </w:tcBorders>
            <w:shd w:val="clear" w:color="auto" w:fill="auto"/>
            <w:vAlign w:val="bottom"/>
            <w:hideMark/>
          </w:tcPr>
          <w:p w14:paraId="125D3CEE" w14:textId="77777777" w:rsidR="00DF3AE8" w:rsidRPr="00DF3AE8" w:rsidRDefault="00DF3AE8" w:rsidP="00DF3AE8">
            <w:pPr>
              <w:spacing w:after="0" w:line="240" w:lineRule="auto"/>
              <w:jc w:val="left"/>
              <w:rPr>
                <w:rFonts w:eastAsia="Times New Roman" w:cs="Calibri"/>
                <w:color w:val="000000"/>
                <w:sz w:val="18"/>
                <w:szCs w:val="18"/>
                <w:lang w:eastAsia="es-CR"/>
              </w:rPr>
            </w:pPr>
            <w:r w:rsidRPr="00DF3AE8">
              <w:rPr>
                <w:rFonts w:eastAsia="Times New Roman" w:cs="Calibri"/>
                <w:color w:val="000000"/>
                <w:sz w:val="18"/>
                <w:szCs w:val="18"/>
                <w:lang w:eastAsia="es-CR"/>
              </w:rPr>
              <w:t>Textiles y vestuario</w:t>
            </w:r>
          </w:p>
        </w:tc>
        <w:tc>
          <w:tcPr>
            <w:tcW w:w="1332" w:type="dxa"/>
            <w:tcBorders>
              <w:top w:val="nil"/>
              <w:left w:val="nil"/>
              <w:bottom w:val="nil"/>
              <w:right w:val="single" w:sz="8" w:space="0" w:color="auto"/>
            </w:tcBorders>
            <w:shd w:val="clear" w:color="000000" w:fill="FFFFFF"/>
            <w:noWrap/>
            <w:vAlign w:val="bottom"/>
            <w:hideMark/>
          </w:tcPr>
          <w:p w14:paraId="1DF728E4" w14:textId="77777777" w:rsidR="00DF3AE8" w:rsidRPr="00DF3AE8" w:rsidRDefault="00DF3AE8" w:rsidP="00DF3AE8">
            <w:pPr>
              <w:spacing w:after="0" w:line="240" w:lineRule="auto"/>
              <w:jc w:val="right"/>
              <w:rPr>
                <w:rFonts w:eastAsia="Times New Roman" w:cs="Calibri"/>
                <w:color w:val="000000"/>
                <w:sz w:val="18"/>
                <w:szCs w:val="18"/>
                <w:lang w:eastAsia="es-CR"/>
              </w:rPr>
            </w:pPr>
            <w:r w:rsidRPr="00DF3AE8">
              <w:rPr>
                <w:rFonts w:eastAsia="Times New Roman" w:cs="Calibri"/>
                <w:color w:val="000000"/>
                <w:sz w:val="18"/>
                <w:szCs w:val="18"/>
                <w:lang w:eastAsia="es-CR"/>
              </w:rPr>
              <w:t>211,37</w:t>
            </w:r>
          </w:p>
        </w:tc>
        <w:tc>
          <w:tcPr>
            <w:tcW w:w="1332" w:type="dxa"/>
            <w:tcBorders>
              <w:top w:val="nil"/>
              <w:left w:val="nil"/>
              <w:bottom w:val="nil"/>
              <w:right w:val="single" w:sz="8" w:space="0" w:color="auto"/>
            </w:tcBorders>
            <w:shd w:val="clear" w:color="000000" w:fill="FFFFFF"/>
            <w:noWrap/>
            <w:vAlign w:val="bottom"/>
            <w:hideMark/>
          </w:tcPr>
          <w:p w14:paraId="2DE86FAC" w14:textId="77777777" w:rsidR="00DF3AE8" w:rsidRPr="00DF3AE8" w:rsidRDefault="00DF3AE8" w:rsidP="00DF3AE8">
            <w:pPr>
              <w:spacing w:after="0" w:line="240" w:lineRule="auto"/>
              <w:jc w:val="right"/>
              <w:rPr>
                <w:rFonts w:eastAsia="Times New Roman" w:cs="Calibri"/>
                <w:color w:val="000000"/>
                <w:sz w:val="18"/>
                <w:szCs w:val="18"/>
                <w:lang w:eastAsia="es-CR"/>
              </w:rPr>
            </w:pPr>
            <w:r w:rsidRPr="00DF3AE8">
              <w:rPr>
                <w:rFonts w:eastAsia="Times New Roman" w:cs="Calibri"/>
                <w:color w:val="000000"/>
                <w:sz w:val="18"/>
                <w:szCs w:val="18"/>
                <w:lang w:eastAsia="es-CR"/>
              </w:rPr>
              <w:t>306,94</w:t>
            </w:r>
          </w:p>
        </w:tc>
        <w:tc>
          <w:tcPr>
            <w:tcW w:w="1271" w:type="dxa"/>
            <w:tcBorders>
              <w:top w:val="nil"/>
              <w:left w:val="nil"/>
              <w:bottom w:val="nil"/>
              <w:right w:val="nil"/>
            </w:tcBorders>
            <w:shd w:val="clear" w:color="000000" w:fill="FFFFFF"/>
            <w:noWrap/>
            <w:vAlign w:val="bottom"/>
            <w:hideMark/>
          </w:tcPr>
          <w:p w14:paraId="4910DFD8" w14:textId="77777777" w:rsidR="00DF3AE8" w:rsidRPr="00DF3AE8" w:rsidRDefault="00DF3AE8" w:rsidP="00DF3AE8">
            <w:pPr>
              <w:spacing w:after="0" w:line="240" w:lineRule="auto"/>
              <w:jc w:val="right"/>
              <w:rPr>
                <w:rFonts w:eastAsia="Times New Roman" w:cs="Calibri"/>
                <w:color w:val="000000"/>
                <w:sz w:val="18"/>
                <w:szCs w:val="18"/>
                <w:lang w:eastAsia="es-CR"/>
              </w:rPr>
            </w:pPr>
            <w:r w:rsidRPr="00DF3AE8">
              <w:rPr>
                <w:rFonts w:eastAsia="Times New Roman" w:cs="Calibri"/>
                <w:color w:val="000000"/>
                <w:sz w:val="18"/>
                <w:szCs w:val="18"/>
                <w:lang w:eastAsia="es-CR"/>
              </w:rPr>
              <w:t>-95,57</w:t>
            </w:r>
          </w:p>
        </w:tc>
        <w:tc>
          <w:tcPr>
            <w:tcW w:w="881" w:type="dxa"/>
            <w:tcBorders>
              <w:top w:val="nil"/>
              <w:left w:val="single" w:sz="8" w:space="0" w:color="auto"/>
              <w:bottom w:val="nil"/>
              <w:right w:val="single" w:sz="8" w:space="0" w:color="auto"/>
            </w:tcBorders>
            <w:shd w:val="clear" w:color="auto" w:fill="auto"/>
            <w:noWrap/>
            <w:vAlign w:val="bottom"/>
            <w:hideMark/>
          </w:tcPr>
          <w:p w14:paraId="27682A73" w14:textId="77777777" w:rsidR="00DF3AE8" w:rsidRPr="00DF3AE8" w:rsidRDefault="00DF3AE8" w:rsidP="00DF3AE8">
            <w:pPr>
              <w:spacing w:after="0" w:line="240" w:lineRule="auto"/>
              <w:jc w:val="right"/>
              <w:rPr>
                <w:rFonts w:eastAsia="Times New Roman" w:cs="Calibri"/>
                <w:color w:val="000000"/>
                <w:sz w:val="18"/>
                <w:szCs w:val="18"/>
                <w:lang w:eastAsia="es-CR"/>
              </w:rPr>
            </w:pPr>
            <w:r w:rsidRPr="00DF3AE8">
              <w:rPr>
                <w:rFonts w:eastAsia="Times New Roman" w:cs="Calibri"/>
                <w:color w:val="000000"/>
                <w:sz w:val="18"/>
                <w:szCs w:val="18"/>
                <w:lang w:eastAsia="es-CR"/>
              </w:rPr>
              <w:t>-31,14%</w:t>
            </w:r>
          </w:p>
        </w:tc>
      </w:tr>
      <w:tr w:rsidR="00DF3AE8" w:rsidRPr="00DF3AE8" w14:paraId="6E73C098" w14:textId="77777777" w:rsidTr="00DF3AE8">
        <w:trPr>
          <w:trHeight w:val="300"/>
        </w:trPr>
        <w:tc>
          <w:tcPr>
            <w:tcW w:w="1032" w:type="dxa"/>
            <w:tcBorders>
              <w:top w:val="nil"/>
              <w:left w:val="single" w:sz="8" w:space="0" w:color="auto"/>
              <w:bottom w:val="nil"/>
              <w:right w:val="single" w:sz="8" w:space="0" w:color="auto"/>
            </w:tcBorders>
            <w:shd w:val="clear" w:color="auto" w:fill="auto"/>
            <w:noWrap/>
            <w:vAlign w:val="bottom"/>
            <w:hideMark/>
          </w:tcPr>
          <w:p w14:paraId="19825F81" w14:textId="77777777" w:rsidR="00DF3AE8" w:rsidRPr="00DF3AE8" w:rsidRDefault="00DF3AE8" w:rsidP="00DF3AE8">
            <w:pPr>
              <w:spacing w:after="0" w:line="240" w:lineRule="auto"/>
              <w:jc w:val="left"/>
              <w:rPr>
                <w:rFonts w:eastAsia="Times New Roman" w:cs="Calibri"/>
                <w:color w:val="000000"/>
                <w:sz w:val="18"/>
                <w:szCs w:val="18"/>
                <w:lang w:eastAsia="es-CR"/>
              </w:rPr>
            </w:pPr>
            <w:r w:rsidRPr="00DF3AE8">
              <w:rPr>
                <w:rFonts w:eastAsia="Times New Roman" w:cs="Calibri"/>
                <w:color w:val="000000"/>
                <w:sz w:val="18"/>
                <w:szCs w:val="18"/>
                <w:lang w:eastAsia="es-CR"/>
              </w:rPr>
              <w:t>1.1.4.01.99.05.</w:t>
            </w:r>
          </w:p>
        </w:tc>
        <w:tc>
          <w:tcPr>
            <w:tcW w:w="3772" w:type="dxa"/>
            <w:tcBorders>
              <w:top w:val="nil"/>
              <w:left w:val="nil"/>
              <w:bottom w:val="nil"/>
              <w:right w:val="single" w:sz="8" w:space="0" w:color="auto"/>
            </w:tcBorders>
            <w:shd w:val="clear" w:color="auto" w:fill="auto"/>
            <w:vAlign w:val="bottom"/>
            <w:hideMark/>
          </w:tcPr>
          <w:p w14:paraId="39969E85" w14:textId="77777777" w:rsidR="00DF3AE8" w:rsidRPr="00DF3AE8" w:rsidRDefault="00DF3AE8" w:rsidP="00DF3AE8">
            <w:pPr>
              <w:spacing w:after="0" w:line="240" w:lineRule="auto"/>
              <w:jc w:val="left"/>
              <w:rPr>
                <w:rFonts w:eastAsia="Times New Roman" w:cs="Calibri"/>
                <w:color w:val="000000"/>
                <w:sz w:val="18"/>
                <w:szCs w:val="18"/>
                <w:lang w:eastAsia="es-CR"/>
              </w:rPr>
            </w:pPr>
            <w:r w:rsidRPr="00DF3AE8">
              <w:rPr>
                <w:rFonts w:eastAsia="Times New Roman" w:cs="Calibri"/>
                <w:color w:val="000000"/>
                <w:sz w:val="18"/>
                <w:szCs w:val="18"/>
                <w:lang w:eastAsia="es-CR"/>
              </w:rPr>
              <w:t>Útiles y materiales de limpieza</w:t>
            </w:r>
          </w:p>
        </w:tc>
        <w:tc>
          <w:tcPr>
            <w:tcW w:w="1332" w:type="dxa"/>
            <w:tcBorders>
              <w:top w:val="nil"/>
              <w:left w:val="nil"/>
              <w:bottom w:val="nil"/>
              <w:right w:val="single" w:sz="8" w:space="0" w:color="auto"/>
            </w:tcBorders>
            <w:shd w:val="clear" w:color="000000" w:fill="FFFFFF"/>
            <w:noWrap/>
            <w:vAlign w:val="bottom"/>
            <w:hideMark/>
          </w:tcPr>
          <w:p w14:paraId="624C392B" w14:textId="77777777" w:rsidR="00DF3AE8" w:rsidRPr="00DF3AE8" w:rsidRDefault="00DF3AE8" w:rsidP="00DF3AE8">
            <w:pPr>
              <w:spacing w:after="0" w:line="240" w:lineRule="auto"/>
              <w:jc w:val="right"/>
              <w:rPr>
                <w:rFonts w:eastAsia="Times New Roman" w:cs="Calibri"/>
                <w:color w:val="000000"/>
                <w:sz w:val="18"/>
                <w:szCs w:val="18"/>
                <w:lang w:eastAsia="es-CR"/>
              </w:rPr>
            </w:pPr>
            <w:r w:rsidRPr="00DF3AE8">
              <w:rPr>
                <w:rFonts w:eastAsia="Times New Roman" w:cs="Calibri"/>
                <w:color w:val="000000"/>
                <w:sz w:val="18"/>
                <w:szCs w:val="18"/>
                <w:lang w:eastAsia="es-CR"/>
              </w:rPr>
              <w:t>3 784,50</w:t>
            </w:r>
          </w:p>
        </w:tc>
        <w:tc>
          <w:tcPr>
            <w:tcW w:w="1332" w:type="dxa"/>
            <w:tcBorders>
              <w:top w:val="nil"/>
              <w:left w:val="nil"/>
              <w:bottom w:val="nil"/>
              <w:right w:val="single" w:sz="8" w:space="0" w:color="auto"/>
            </w:tcBorders>
            <w:shd w:val="clear" w:color="000000" w:fill="FFFFFF"/>
            <w:noWrap/>
            <w:vAlign w:val="bottom"/>
            <w:hideMark/>
          </w:tcPr>
          <w:p w14:paraId="213A1332" w14:textId="77777777" w:rsidR="00DF3AE8" w:rsidRPr="00DF3AE8" w:rsidRDefault="00DF3AE8" w:rsidP="00DF3AE8">
            <w:pPr>
              <w:spacing w:after="0" w:line="240" w:lineRule="auto"/>
              <w:jc w:val="right"/>
              <w:rPr>
                <w:rFonts w:eastAsia="Times New Roman" w:cs="Calibri"/>
                <w:color w:val="000000"/>
                <w:sz w:val="18"/>
                <w:szCs w:val="18"/>
                <w:lang w:eastAsia="es-CR"/>
              </w:rPr>
            </w:pPr>
            <w:r w:rsidRPr="00DF3AE8">
              <w:rPr>
                <w:rFonts w:eastAsia="Times New Roman" w:cs="Calibri"/>
                <w:color w:val="000000"/>
                <w:sz w:val="18"/>
                <w:szCs w:val="18"/>
                <w:lang w:eastAsia="es-CR"/>
              </w:rPr>
              <w:t>2 737,38</w:t>
            </w:r>
          </w:p>
        </w:tc>
        <w:tc>
          <w:tcPr>
            <w:tcW w:w="1271" w:type="dxa"/>
            <w:tcBorders>
              <w:top w:val="nil"/>
              <w:left w:val="nil"/>
              <w:bottom w:val="nil"/>
              <w:right w:val="nil"/>
            </w:tcBorders>
            <w:shd w:val="clear" w:color="000000" w:fill="FFFFFF"/>
            <w:noWrap/>
            <w:vAlign w:val="bottom"/>
            <w:hideMark/>
          </w:tcPr>
          <w:p w14:paraId="4BFF2035" w14:textId="77777777" w:rsidR="00DF3AE8" w:rsidRPr="00DF3AE8" w:rsidRDefault="00DF3AE8" w:rsidP="00DF3AE8">
            <w:pPr>
              <w:spacing w:after="0" w:line="240" w:lineRule="auto"/>
              <w:jc w:val="right"/>
              <w:rPr>
                <w:rFonts w:eastAsia="Times New Roman" w:cs="Calibri"/>
                <w:color w:val="000000"/>
                <w:sz w:val="18"/>
                <w:szCs w:val="18"/>
                <w:lang w:eastAsia="es-CR"/>
              </w:rPr>
            </w:pPr>
            <w:r w:rsidRPr="00DF3AE8">
              <w:rPr>
                <w:rFonts w:eastAsia="Times New Roman" w:cs="Calibri"/>
                <w:color w:val="000000"/>
                <w:sz w:val="18"/>
                <w:szCs w:val="18"/>
                <w:lang w:eastAsia="es-CR"/>
              </w:rPr>
              <w:t>1 047,12</w:t>
            </w:r>
          </w:p>
        </w:tc>
        <w:tc>
          <w:tcPr>
            <w:tcW w:w="881" w:type="dxa"/>
            <w:tcBorders>
              <w:top w:val="nil"/>
              <w:left w:val="single" w:sz="8" w:space="0" w:color="auto"/>
              <w:bottom w:val="nil"/>
              <w:right w:val="single" w:sz="8" w:space="0" w:color="auto"/>
            </w:tcBorders>
            <w:shd w:val="clear" w:color="auto" w:fill="auto"/>
            <w:noWrap/>
            <w:vAlign w:val="bottom"/>
            <w:hideMark/>
          </w:tcPr>
          <w:p w14:paraId="15837031" w14:textId="77777777" w:rsidR="00DF3AE8" w:rsidRPr="00DF3AE8" w:rsidRDefault="00DF3AE8" w:rsidP="00DF3AE8">
            <w:pPr>
              <w:spacing w:after="0" w:line="240" w:lineRule="auto"/>
              <w:jc w:val="right"/>
              <w:rPr>
                <w:rFonts w:eastAsia="Times New Roman" w:cs="Calibri"/>
                <w:color w:val="000000"/>
                <w:sz w:val="18"/>
                <w:szCs w:val="18"/>
                <w:lang w:eastAsia="es-CR"/>
              </w:rPr>
            </w:pPr>
            <w:r w:rsidRPr="00DF3AE8">
              <w:rPr>
                <w:rFonts w:eastAsia="Times New Roman" w:cs="Calibri"/>
                <w:color w:val="000000"/>
                <w:sz w:val="18"/>
                <w:szCs w:val="18"/>
                <w:lang w:eastAsia="es-CR"/>
              </w:rPr>
              <w:t>38,25%</w:t>
            </w:r>
          </w:p>
        </w:tc>
      </w:tr>
      <w:tr w:rsidR="00DF3AE8" w:rsidRPr="00DF3AE8" w14:paraId="3FEB23F9" w14:textId="77777777" w:rsidTr="00DF3AE8">
        <w:trPr>
          <w:trHeight w:val="300"/>
        </w:trPr>
        <w:tc>
          <w:tcPr>
            <w:tcW w:w="1032" w:type="dxa"/>
            <w:tcBorders>
              <w:top w:val="nil"/>
              <w:left w:val="single" w:sz="8" w:space="0" w:color="auto"/>
              <w:bottom w:val="nil"/>
              <w:right w:val="single" w:sz="8" w:space="0" w:color="auto"/>
            </w:tcBorders>
            <w:shd w:val="clear" w:color="auto" w:fill="auto"/>
            <w:noWrap/>
            <w:vAlign w:val="bottom"/>
            <w:hideMark/>
          </w:tcPr>
          <w:p w14:paraId="69B07B48" w14:textId="77777777" w:rsidR="00DF3AE8" w:rsidRPr="00DF3AE8" w:rsidRDefault="00DF3AE8" w:rsidP="00DF3AE8">
            <w:pPr>
              <w:spacing w:after="0" w:line="240" w:lineRule="auto"/>
              <w:jc w:val="left"/>
              <w:rPr>
                <w:rFonts w:eastAsia="Times New Roman" w:cs="Calibri"/>
                <w:color w:val="000000"/>
                <w:sz w:val="18"/>
                <w:szCs w:val="18"/>
                <w:lang w:eastAsia="es-CR"/>
              </w:rPr>
            </w:pPr>
            <w:r w:rsidRPr="00DF3AE8">
              <w:rPr>
                <w:rFonts w:eastAsia="Times New Roman" w:cs="Calibri"/>
                <w:color w:val="000000"/>
                <w:sz w:val="18"/>
                <w:szCs w:val="18"/>
                <w:lang w:eastAsia="es-CR"/>
              </w:rPr>
              <w:t>1.1.4.01.99.06.</w:t>
            </w:r>
          </w:p>
        </w:tc>
        <w:tc>
          <w:tcPr>
            <w:tcW w:w="3772" w:type="dxa"/>
            <w:tcBorders>
              <w:top w:val="nil"/>
              <w:left w:val="nil"/>
              <w:bottom w:val="nil"/>
              <w:right w:val="single" w:sz="8" w:space="0" w:color="auto"/>
            </w:tcBorders>
            <w:shd w:val="clear" w:color="auto" w:fill="auto"/>
            <w:vAlign w:val="bottom"/>
            <w:hideMark/>
          </w:tcPr>
          <w:p w14:paraId="327660EF" w14:textId="77777777" w:rsidR="00DF3AE8" w:rsidRPr="00DF3AE8" w:rsidRDefault="00DF3AE8" w:rsidP="00DF3AE8">
            <w:pPr>
              <w:spacing w:after="0" w:line="240" w:lineRule="auto"/>
              <w:jc w:val="left"/>
              <w:rPr>
                <w:rFonts w:eastAsia="Times New Roman" w:cs="Calibri"/>
                <w:color w:val="000000"/>
                <w:sz w:val="18"/>
                <w:szCs w:val="18"/>
                <w:lang w:eastAsia="es-CR"/>
              </w:rPr>
            </w:pPr>
            <w:r w:rsidRPr="00DF3AE8">
              <w:rPr>
                <w:rFonts w:eastAsia="Times New Roman" w:cs="Calibri"/>
                <w:color w:val="000000"/>
                <w:sz w:val="18"/>
                <w:szCs w:val="18"/>
                <w:lang w:eastAsia="es-CR"/>
              </w:rPr>
              <w:t>Útiles y materiales de resguardo y seguridad</w:t>
            </w:r>
          </w:p>
        </w:tc>
        <w:tc>
          <w:tcPr>
            <w:tcW w:w="1332" w:type="dxa"/>
            <w:tcBorders>
              <w:top w:val="nil"/>
              <w:left w:val="nil"/>
              <w:bottom w:val="nil"/>
              <w:right w:val="single" w:sz="8" w:space="0" w:color="auto"/>
            </w:tcBorders>
            <w:shd w:val="clear" w:color="000000" w:fill="FFFFFF"/>
            <w:noWrap/>
            <w:vAlign w:val="bottom"/>
            <w:hideMark/>
          </w:tcPr>
          <w:p w14:paraId="02717A42" w14:textId="77777777" w:rsidR="00DF3AE8" w:rsidRPr="00DF3AE8" w:rsidRDefault="00DF3AE8" w:rsidP="00DF3AE8">
            <w:pPr>
              <w:spacing w:after="0" w:line="240" w:lineRule="auto"/>
              <w:jc w:val="right"/>
              <w:rPr>
                <w:rFonts w:eastAsia="Times New Roman" w:cs="Calibri"/>
                <w:color w:val="000000"/>
                <w:sz w:val="18"/>
                <w:szCs w:val="18"/>
                <w:lang w:eastAsia="es-CR"/>
              </w:rPr>
            </w:pPr>
            <w:r w:rsidRPr="00DF3AE8">
              <w:rPr>
                <w:rFonts w:eastAsia="Times New Roman" w:cs="Calibri"/>
                <w:color w:val="000000"/>
                <w:sz w:val="18"/>
                <w:szCs w:val="18"/>
                <w:lang w:eastAsia="es-CR"/>
              </w:rPr>
              <w:t>2 783,65</w:t>
            </w:r>
          </w:p>
        </w:tc>
        <w:tc>
          <w:tcPr>
            <w:tcW w:w="1332" w:type="dxa"/>
            <w:tcBorders>
              <w:top w:val="nil"/>
              <w:left w:val="nil"/>
              <w:bottom w:val="nil"/>
              <w:right w:val="single" w:sz="8" w:space="0" w:color="auto"/>
            </w:tcBorders>
            <w:shd w:val="clear" w:color="000000" w:fill="FFFFFF"/>
            <w:noWrap/>
            <w:vAlign w:val="bottom"/>
            <w:hideMark/>
          </w:tcPr>
          <w:p w14:paraId="566BE9C0" w14:textId="77777777" w:rsidR="00DF3AE8" w:rsidRPr="00DF3AE8" w:rsidRDefault="00DF3AE8" w:rsidP="00DF3AE8">
            <w:pPr>
              <w:spacing w:after="0" w:line="240" w:lineRule="auto"/>
              <w:jc w:val="right"/>
              <w:rPr>
                <w:rFonts w:eastAsia="Times New Roman" w:cs="Calibri"/>
                <w:color w:val="000000"/>
                <w:sz w:val="18"/>
                <w:szCs w:val="18"/>
                <w:lang w:eastAsia="es-CR"/>
              </w:rPr>
            </w:pPr>
            <w:r w:rsidRPr="00DF3AE8">
              <w:rPr>
                <w:rFonts w:eastAsia="Times New Roman" w:cs="Calibri"/>
                <w:color w:val="000000"/>
                <w:sz w:val="18"/>
                <w:szCs w:val="18"/>
                <w:lang w:eastAsia="es-CR"/>
              </w:rPr>
              <w:t>2 042,90</w:t>
            </w:r>
          </w:p>
        </w:tc>
        <w:tc>
          <w:tcPr>
            <w:tcW w:w="1271" w:type="dxa"/>
            <w:tcBorders>
              <w:top w:val="nil"/>
              <w:left w:val="nil"/>
              <w:bottom w:val="nil"/>
              <w:right w:val="nil"/>
            </w:tcBorders>
            <w:shd w:val="clear" w:color="000000" w:fill="FFFFFF"/>
            <w:noWrap/>
            <w:vAlign w:val="bottom"/>
            <w:hideMark/>
          </w:tcPr>
          <w:p w14:paraId="04F3584D" w14:textId="77777777" w:rsidR="00DF3AE8" w:rsidRPr="00DF3AE8" w:rsidRDefault="00DF3AE8" w:rsidP="00DF3AE8">
            <w:pPr>
              <w:spacing w:after="0" w:line="240" w:lineRule="auto"/>
              <w:jc w:val="right"/>
              <w:rPr>
                <w:rFonts w:eastAsia="Times New Roman" w:cs="Calibri"/>
                <w:color w:val="000000"/>
                <w:sz w:val="18"/>
                <w:szCs w:val="18"/>
                <w:lang w:eastAsia="es-CR"/>
              </w:rPr>
            </w:pPr>
            <w:r w:rsidRPr="00DF3AE8">
              <w:rPr>
                <w:rFonts w:eastAsia="Times New Roman" w:cs="Calibri"/>
                <w:color w:val="000000"/>
                <w:sz w:val="18"/>
                <w:szCs w:val="18"/>
                <w:lang w:eastAsia="es-CR"/>
              </w:rPr>
              <w:t>740,75</w:t>
            </w:r>
          </w:p>
        </w:tc>
        <w:tc>
          <w:tcPr>
            <w:tcW w:w="881" w:type="dxa"/>
            <w:tcBorders>
              <w:top w:val="nil"/>
              <w:left w:val="single" w:sz="8" w:space="0" w:color="auto"/>
              <w:bottom w:val="nil"/>
              <w:right w:val="single" w:sz="8" w:space="0" w:color="auto"/>
            </w:tcBorders>
            <w:shd w:val="clear" w:color="auto" w:fill="auto"/>
            <w:noWrap/>
            <w:vAlign w:val="bottom"/>
            <w:hideMark/>
          </w:tcPr>
          <w:p w14:paraId="068F3B85" w14:textId="77777777" w:rsidR="00DF3AE8" w:rsidRPr="00DF3AE8" w:rsidRDefault="00DF3AE8" w:rsidP="00DF3AE8">
            <w:pPr>
              <w:spacing w:after="0" w:line="240" w:lineRule="auto"/>
              <w:jc w:val="right"/>
              <w:rPr>
                <w:rFonts w:eastAsia="Times New Roman" w:cs="Calibri"/>
                <w:color w:val="000000"/>
                <w:sz w:val="18"/>
                <w:szCs w:val="18"/>
                <w:lang w:eastAsia="es-CR"/>
              </w:rPr>
            </w:pPr>
            <w:r w:rsidRPr="00DF3AE8">
              <w:rPr>
                <w:rFonts w:eastAsia="Times New Roman" w:cs="Calibri"/>
                <w:color w:val="000000"/>
                <w:sz w:val="18"/>
                <w:szCs w:val="18"/>
                <w:lang w:eastAsia="es-CR"/>
              </w:rPr>
              <w:t>36,26%</w:t>
            </w:r>
          </w:p>
        </w:tc>
      </w:tr>
      <w:tr w:rsidR="00DF3AE8" w:rsidRPr="00DF3AE8" w14:paraId="1A941F60" w14:textId="77777777" w:rsidTr="00DF3AE8">
        <w:trPr>
          <w:trHeight w:val="315"/>
        </w:trPr>
        <w:tc>
          <w:tcPr>
            <w:tcW w:w="1032" w:type="dxa"/>
            <w:tcBorders>
              <w:top w:val="nil"/>
              <w:left w:val="single" w:sz="8" w:space="0" w:color="auto"/>
              <w:bottom w:val="nil"/>
              <w:right w:val="single" w:sz="8" w:space="0" w:color="auto"/>
            </w:tcBorders>
            <w:shd w:val="clear" w:color="auto" w:fill="auto"/>
            <w:noWrap/>
            <w:vAlign w:val="bottom"/>
            <w:hideMark/>
          </w:tcPr>
          <w:p w14:paraId="3ACFEC50" w14:textId="77777777" w:rsidR="00DF3AE8" w:rsidRPr="00DF3AE8" w:rsidRDefault="00DF3AE8" w:rsidP="00DF3AE8">
            <w:pPr>
              <w:spacing w:after="0" w:line="240" w:lineRule="auto"/>
              <w:jc w:val="left"/>
              <w:rPr>
                <w:rFonts w:eastAsia="Times New Roman" w:cs="Calibri"/>
                <w:color w:val="000000"/>
                <w:sz w:val="18"/>
                <w:szCs w:val="18"/>
                <w:lang w:eastAsia="es-CR"/>
              </w:rPr>
            </w:pPr>
            <w:r w:rsidRPr="00DF3AE8">
              <w:rPr>
                <w:rFonts w:eastAsia="Times New Roman" w:cs="Calibri"/>
                <w:color w:val="000000"/>
                <w:sz w:val="18"/>
                <w:szCs w:val="18"/>
                <w:lang w:eastAsia="es-CR"/>
              </w:rPr>
              <w:t>1.1.4.01.99.99.</w:t>
            </w:r>
          </w:p>
        </w:tc>
        <w:tc>
          <w:tcPr>
            <w:tcW w:w="3772" w:type="dxa"/>
            <w:tcBorders>
              <w:top w:val="nil"/>
              <w:left w:val="nil"/>
              <w:bottom w:val="nil"/>
              <w:right w:val="single" w:sz="8" w:space="0" w:color="auto"/>
            </w:tcBorders>
            <w:shd w:val="clear" w:color="auto" w:fill="auto"/>
            <w:vAlign w:val="bottom"/>
            <w:hideMark/>
          </w:tcPr>
          <w:p w14:paraId="55A97F45" w14:textId="77777777" w:rsidR="00DF3AE8" w:rsidRPr="00DF3AE8" w:rsidRDefault="00DF3AE8" w:rsidP="00DF3AE8">
            <w:pPr>
              <w:spacing w:after="0" w:line="240" w:lineRule="auto"/>
              <w:jc w:val="left"/>
              <w:rPr>
                <w:rFonts w:eastAsia="Times New Roman" w:cs="Calibri"/>
                <w:color w:val="000000"/>
                <w:sz w:val="18"/>
                <w:szCs w:val="18"/>
                <w:lang w:eastAsia="es-CR"/>
              </w:rPr>
            </w:pPr>
            <w:r w:rsidRPr="00DF3AE8">
              <w:rPr>
                <w:rFonts w:eastAsia="Times New Roman" w:cs="Calibri"/>
                <w:color w:val="000000"/>
                <w:sz w:val="18"/>
                <w:szCs w:val="18"/>
                <w:lang w:eastAsia="es-CR"/>
              </w:rPr>
              <w:t>Otros útiles, materiales y suministros diversos</w:t>
            </w:r>
          </w:p>
        </w:tc>
        <w:tc>
          <w:tcPr>
            <w:tcW w:w="1332" w:type="dxa"/>
            <w:tcBorders>
              <w:top w:val="nil"/>
              <w:left w:val="nil"/>
              <w:bottom w:val="nil"/>
              <w:right w:val="single" w:sz="8" w:space="0" w:color="auto"/>
            </w:tcBorders>
            <w:shd w:val="clear" w:color="000000" w:fill="FFFFFF"/>
            <w:noWrap/>
            <w:vAlign w:val="bottom"/>
            <w:hideMark/>
          </w:tcPr>
          <w:p w14:paraId="62845B79" w14:textId="77777777" w:rsidR="00DF3AE8" w:rsidRPr="00DF3AE8" w:rsidRDefault="00DF3AE8" w:rsidP="00DF3AE8">
            <w:pPr>
              <w:spacing w:after="0" w:line="240" w:lineRule="auto"/>
              <w:jc w:val="right"/>
              <w:rPr>
                <w:rFonts w:eastAsia="Times New Roman" w:cs="Calibri"/>
                <w:color w:val="000000"/>
                <w:sz w:val="18"/>
                <w:szCs w:val="18"/>
                <w:lang w:eastAsia="es-CR"/>
              </w:rPr>
            </w:pPr>
            <w:r w:rsidRPr="00DF3AE8">
              <w:rPr>
                <w:rFonts w:eastAsia="Times New Roman" w:cs="Calibri"/>
                <w:color w:val="000000"/>
                <w:sz w:val="18"/>
                <w:szCs w:val="18"/>
                <w:lang w:eastAsia="es-CR"/>
              </w:rPr>
              <w:t>686,17</w:t>
            </w:r>
          </w:p>
        </w:tc>
        <w:tc>
          <w:tcPr>
            <w:tcW w:w="1332" w:type="dxa"/>
            <w:tcBorders>
              <w:top w:val="nil"/>
              <w:left w:val="nil"/>
              <w:bottom w:val="nil"/>
              <w:right w:val="single" w:sz="8" w:space="0" w:color="auto"/>
            </w:tcBorders>
            <w:shd w:val="clear" w:color="000000" w:fill="FFFFFF"/>
            <w:noWrap/>
            <w:vAlign w:val="bottom"/>
            <w:hideMark/>
          </w:tcPr>
          <w:p w14:paraId="0AB60FE5" w14:textId="77777777" w:rsidR="00DF3AE8" w:rsidRPr="00DF3AE8" w:rsidRDefault="00DF3AE8" w:rsidP="00DF3AE8">
            <w:pPr>
              <w:spacing w:after="0" w:line="240" w:lineRule="auto"/>
              <w:jc w:val="right"/>
              <w:rPr>
                <w:rFonts w:eastAsia="Times New Roman" w:cs="Calibri"/>
                <w:color w:val="000000"/>
                <w:sz w:val="18"/>
                <w:szCs w:val="18"/>
                <w:lang w:eastAsia="es-CR"/>
              </w:rPr>
            </w:pPr>
            <w:r w:rsidRPr="00DF3AE8">
              <w:rPr>
                <w:rFonts w:eastAsia="Times New Roman" w:cs="Calibri"/>
                <w:color w:val="000000"/>
                <w:sz w:val="18"/>
                <w:szCs w:val="18"/>
                <w:lang w:eastAsia="es-CR"/>
              </w:rPr>
              <w:t>539,82</w:t>
            </w:r>
          </w:p>
        </w:tc>
        <w:tc>
          <w:tcPr>
            <w:tcW w:w="1271" w:type="dxa"/>
            <w:tcBorders>
              <w:top w:val="nil"/>
              <w:left w:val="nil"/>
              <w:bottom w:val="nil"/>
              <w:right w:val="nil"/>
            </w:tcBorders>
            <w:shd w:val="clear" w:color="000000" w:fill="FFFFFF"/>
            <w:noWrap/>
            <w:vAlign w:val="bottom"/>
            <w:hideMark/>
          </w:tcPr>
          <w:p w14:paraId="058C7CFE" w14:textId="77777777" w:rsidR="00DF3AE8" w:rsidRPr="00DF3AE8" w:rsidRDefault="00DF3AE8" w:rsidP="00DF3AE8">
            <w:pPr>
              <w:spacing w:after="0" w:line="240" w:lineRule="auto"/>
              <w:jc w:val="right"/>
              <w:rPr>
                <w:rFonts w:eastAsia="Times New Roman" w:cs="Calibri"/>
                <w:color w:val="000000"/>
                <w:sz w:val="18"/>
                <w:szCs w:val="18"/>
                <w:lang w:eastAsia="es-CR"/>
              </w:rPr>
            </w:pPr>
            <w:r w:rsidRPr="00DF3AE8">
              <w:rPr>
                <w:rFonts w:eastAsia="Times New Roman" w:cs="Calibri"/>
                <w:color w:val="000000"/>
                <w:sz w:val="18"/>
                <w:szCs w:val="18"/>
                <w:lang w:eastAsia="es-CR"/>
              </w:rPr>
              <w:t>146,35</w:t>
            </w:r>
          </w:p>
        </w:tc>
        <w:tc>
          <w:tcPr>
            <w:tcW w:w="881" w:type="dxa"/>
            <w:tcBorders>
              <w:top w:val="nil"/>
              <w:left w:val="single" w:sz="8" w:space="0" w:color="auto"/>
              <w:bottom w:val="single" w:sz="8" w:space="0" w:color="auto"/>
              <w:right w:val="single" w:sz="8" w:space="0" w:color="auto"/>
            </w:tcBorders>
            <w:shd w:val="clear" w:color="auto" w:fill="auto"/>
            <w:noWrap/>
            <w:vAlign w:val="bottom"/>
            <w:hideMark/>
          </w:tcPr>
          <w:p w14:paraId="79A3C39C" w14:textId="77777777" w:rsidR="00DF3AE8" w:rsidRPr="00DF3AE8" w:rsidRDefault="00DF3AE8" w:rsidP="00DF3AE8">
            <w:pPr>
              <w:spacing w:after="0" w:line="240" w:lineRule="auto"/>
              <w:jc w:val="center"/>
              <w:rPr>
                <w:rFonts w:eastAsia="Times New Roman" w:cs="Calibri"/>
                <w:color w:val="000000"/>
                <w:sz w:val="18"/>
                <w:szCs w:val="18"/>
                <w:lang w:eastAsia="es-CR"/>
              </w:rPr>
            </w:pPr>
            <w:r w:rsidRPr="00DF3AE8">
              <w:rPr>
                <w:rFonts w:eastAsia="Times New Roman" w:cs="Calibri"/>
                <w:color w:val="000000"/>
                <w:sz w:val="18"/>
                <w:szCs w:val="18"/>
                <w:lang w:eastAsia="es-CR"/>
              </w:rPr>
              <w:t>27,11%</w:t>
            </w:r>
          </w:p>
        </w:tc>
      </w:tr>
      <w:tr w:rsidR="00DF3AE8" w:rsidRPr="00DF3AE8" w14:paraId="345100ED" w14:textId="77777777" w:rsidTr="00DF3AE8">
        <w:trPr>
          <w:trHeight w:val="315"/>
        </w:trPr>
        <w:tc>
          <w:tcPr>
            <w:tcW w:w="1032" w:type="dxa"/>
            <w:tcBorders>
              <w:top w:val="single" w:sz="8" w:space="0" w:color="auto"/>
              <w:left w:val="single" w:sz="8" w:space="0" w:color="auto"/>
              <w:bottom w:val="nil"/>
              <w:right w:val="single" w:sz="8" w:space="0" w:color="auto"/>
            </w:tcBorders>
            <w:shd w:val="clear" w:color="000000" w:fill="1F4E78"/>
            <w:noWrap/>
            <w:vAlign w:val="bottom"/>
            <w:hideMark/>
          </w:tcPr>
          <w:p w14:paraId="3F846856" w14:textId="77777777" w:rsidR="00DF3AE8" w:rsidRPr="00DF3AE8" w:rsidRDefault="00DF3AE8" w:rsidP="00DF3AE8">
            <w:pPr>
              <w:spacing w:after="0" w:line="240" w:lineRule="auto"/>
              <w:jc w:val="left"/>
              <w:rPr>
                <w:rFonts w:ascii="Calibri" w:eastAsia="Times New Roman" w:hAnsi="Calibri" w:cs="Calibri"/>
                <w:b/>
                <w:bCs/>
                <w:color w:val="FFFFFF"/>
                <w:sz w:val="22"/>
                <w:lang w:eastAsia="es-CR"/>
              </w:rPr>
            </w:pPr>
            <w:r w:rsidRPr="00DF3AE8">
              <w:rPr>
                <w:rFonts w:ascii="Calibri" w:eastAsia="Times New Roman" w:hAnsi="Calibri" w:cs="Calibri"/>
                <w:b/>
                <w:bCs/>
                <w:color w:val="FFFFFF"/>
                <w:sz w:val="22"/>
                <w:lang w:eastAsia="es-CR"/>
              </w:rPr>
              <w:t xml:space="preserve"> </w:t>
            </w:r>
          </w:p>
        </w:tc>
        <w:tc>
          <w:tcPr>
            <w:tcW w:w="3772" w:type="dxa"/>
            <w:tcBorders>
              <w:top w:val="single" w:sz="8" w:space="0" w:color="auto"/>
              <w:left w:val="nil"/>
              <w:bottom w:val="nil"/>
              <w:right w:val="nil"/>
            </w:tcBorders>
            <w:shd w:val="clear" w:color="000000" w:fill="1F4E78"/>
            <w:noWrap/>
            <w:vAlign w:val="bottom"/>
            <w:hideMark/>
          </w:tcPr>
          <w:p w14:paraId="55A38980" w14:textId="77777777" w:rsidR="00DF3AE8" w:rsidRPr="00DF3AE8" w:rsidRDefault="00DF3AE8" w:rsidP="00DF3AE8">
            <w:pPr>
              <w:spacing w:after="0" w:line="240" w:lineRule="auto"/>
              <w:jc w:val="center"/>
              <w:rPr>
                <w:rFonts w:ascii="Calibri" w:eastAsia="Times New Roman" w:hAnsi="Calibri" w:cs="Calibri"/>
                <w:b/>
                <w:bCs/>
                <w:color w:val="FFFFFF"/>
                <w:sz w:val="22"/>
                <w:lang w:eastAsia="es-CR"/>
              </w:rPr>
            </w:pPr>
            <w:r w:rsidRPr="00DF3AE8">
              <w:rPr>
                <w:rFonts w:ascii="Calibri" w:eastAsia="Times New Roman" w:hAnsi="Calibri" w:cs="Calibri"/>
                <w:b/>
                <w:bCs/>
                <w:color w:val="FFFFFF"/>
                <w:sz w:val="22"/>
                <w:lang w:eastAsia="es-CR"/>
              </w:rPr>
              <w:t>TOTALES</w:t>
            </w:r>
          </w:p>
        </w:tc>
        <w:tc>
          <w:tcPr>
            <w:tcW w:w="1332" w:type="dxa"/>
            <w:tcBorders>
              <w:top w:val="single" w:sz="8" w:space="0" w:color="auto"/>
              <w:left w:val="single" w:sz="8" w:space="0" w:color="auto"/>
              <w:bottom w:val="single" w:sz="8" w:space="0" w:color="auto"/>
              <w:right w:val="single" w:sz="8" w:space="0" w:color="auto"/>
            </w:tcBorders>
            <w:shd w:val="clear" w:color="000000" w:fill="1F4E78"/>
            <w:noWrap/>
            <w:vAlign w:val="bottom"/>
            <w:hideMark/>
          </w:tcPr>
          <w:p w14:paraId="7DDEE0AB" w14:textId="77777777" w:rsidR="00DF3AE8" w:rsidRPr="00DF3AE8" w:rsidRDefault="00DF3AE8" w:rsidP="00DF3AE8">
            <w:pPr>
              <w:spacing w:after="0" w:line="240" w:lineRule="auto"/>
              <w:jc w:val="right"/>
              <w:rPr>
                <w:rFonts w:ascii="Calibri" w:eastAsia="Times New Roman" w:hAnsi="Calibri" w:cs="Calibri"/>
                <w:b/>
                <w:bCs/>
                <w:color w:val="FFFFFF"/>
                <w:sz w:val="20"/>
                <w:szCs w:val="20"/>
                <w:lang w:eastAsia="es-CR"/>
              </w:rPr>
            </w:pPr>
            <w:r w:rsidRPr="00DF3AE8">
              <w:rPr>
                <w:rFonts w:ascii="Calibri" w:eastAsia="Times New Roman" w:hAnsi="Calibri" w:cs="Calibri"/>
                <w:b/>
                <w:bCs/>
                <w:color w:val="FFFFFF"/>
                <w:sz w:val="20"/>
                <w:szCs w:val="20"/>
                <w:lang w:eastAsia="es-CR"/>
              </w:rPr>
              <w:t>₡200 707,86</w:t>
            </w:r>
          </w:p>
        </w:tc>
        <w:tc>
          <w:tcPr>
            <w:tcW w:w="1332" w:type="dxa"/>
            <w:tcBorders>
              <w:top w:val="single" w:sz="8" w:space="0" w:color="auto"/>
              <w:left w:val="nil"/>
              <w:bottom w:val="single" w:sz="8" w:space="0" w:color="auto"/>
              <w:right w:val="single" w:sz="8" w:space="0" w:color="auto"/>
            </w:tcBorders>
            <w:shd w:val="clear" w:color="000000" w:fill="1F4E78"/>
            <w:noWrap/>
            <w:vAlign w:val="bottom"/>
            <w:hideMark/>
          </w:tcPr>
          <w:p w14:paraId="6A5DF2E9" w14:textId="77777777" w:rsidR="00DF3AE8" w:rsidRPr="00DF3AE8" w:rsidRDefault="00DF3AE8" w:rsidP="00DF3AE8">
            <w:pPr>
              <w:spacing w:after="0" w:line="240" w:lineRule="auto"/>
              <w:jc w:val="right"/>
              <w:rPr>
                <w:rFonts w:ascii="Calibri" w:eastAsia="Times New Roman" w:hAnsi="Calibri" w:cs="Calibri"/>
                <w:b/>
                <w:bCs/>
                <w:color w:val="FFFFFF"/>
                <w:sz w:val="20"/>
                <w:szCs w:val="20"/>
                <w:lang w:eastAsia="es-CR"/>
              </w:rPr>
            </w:pPr>
            <w:r w:rsidRPr="00DF3AE8">
              <w:rPr>
                <w:rFonts w:ascii="Calibri" w:eastAsia="Times New Roman" w:hAnsi="Calibri" w:cs="Calibri"/>
                <w:b/>
                <w:bCs/>
                <w:color w:val="FFFFFF"/>
                <w:sz w:val="20"/>
                <w:szCs w:val="20"/>
                <w:lang w:eastAsia="es-CR"/>
              </w:rPr>
              <w:t>₡192 987,09</w:t>
            </w:r>
          </w:p>
        </w:tc>
        <w:tc>
          <w:tcPr>
            <w:tcW w:w="1271" w:type="dxa"/>
            <w:tcBorders>
              <w:top w:val="single" w:sz="8" w:space="0" w:color="auto"/>
              <w:left w:val="nil"/>
              <w:bottom w:val="single" w:sz="8" w:space="0" w:color="auto"/>
              <w:right w:val="single" w:sz="8" w:space="0" w:color="auto"/>
            </w:tcBorders>
            <w:shd w:val="clear" w:color="000000" w:fill="1F4E78"/>
            <w:noWrap/>
            <w:vAlign w:val="bottom"/>
            <w:hideMark/>
          </w:tcPr>
          <w:p w14:paraId="313CB8FA" w14:textId="77777777" w:rsidR="00DF3AE8" w:rsidRPr="00DF3AE8" w:rsidRDefault="00DF3AE8" w:rsidP="00DF3AE8">
            <w:pPr>
              <w:spacing w:after="0" w:line="240" w:lineRule="auto"/>
              <w:jc w:val="right"/>
              <w:rPr>
                <w:rFonts w:ascii="Calibri" w:eastAsia="Times New Roman" w:hAnsi="Calibri" w:cs="Calibri"/>
                <w:b/>
                <w:bCs/>
                <w:color w:val="FFFFFF"/>
                <w:sz w:val="20"/>
                <w:szCs w:val="20"/>
                <w:lang w:eastAsia="es-CR"/>
              </w:rPr>
            </w:pPr>
            <w:r w:rsidRPr="00DF3AE8">
              <w:rPr>
                <w:rFonts w:ascii="Calibri" w:eastAsia="Times New Roman" w:hAnsi="Calibri" w:cs="Calibri"/>
                <w:b/>
                <w:bCs/>
                <w:color w:val="FFFFFF"/>
                <w:sz w:val="20"/>
                <w:szCs w:val="20"/>
                <w:lang w:eastAsia="es-CR"/>
              </w:rPr>
              <w:t>₡7 720,76</w:t>
            </w:r>
          </w:p>
        </w:tc>
        <w:tc>
          <w:tcPr>
            <w:tcW w:w="881" w:type="dxa"/>
            <w:tcBorders>
              <w:top w:val="nil"/>
              <w:left w:val="nil"/>
              <w:bottom w:val="single" w:sz="4" w:space="0" w:color="auto"/>
              <w:right w:val="single" w:sz="8" w:space="0" w:color="auto"/>
            </w:tcBorders>
            <w:shd w:val="clear" w:color="000000" w:fill="1F4E78"/>
            <w:noWrap/>
            <w:vAlign w:val="bottom"/>
            <w:hideMark/>
          </w:tcPr>
          <w:p w14:paraId="01910A9E" w14:textId="77777777" w:rsidR="00DF3AE8" w:rsidRPr="00DF3AE8" w:rsidRDefault="00DF3AE8" w:rsidP="00DF3AE8">
            <w:pPr>
              <w:spacing w:after="0" w:line="240" w:lineRule="auto"/>
              <w:jc w:val="right"/>
              <w:rPr>
                <w:rFonts w:ascii="Calibri" w:eastAsia="Times New Roman" w:hAnsi="Calibri" w:cs="Calibri"/>
                <w:b/>
                <w:bCs/>
                <w:color w:val="FFFFFF"/>
                <w:sz w:val="20"/>
                <w:szCs w:val="20"/>
                <w:lang w:eastAsia="es-CR"/>
              </w:rPr>
            </w:pPr>
            <w:r w:rsidRPr="00DF3AE8">
              <w:rPr>
                <w:rFonts w:ascii="Calibri" w:eastAsia="Times New Roman" w:hAnsi="Calibri" w:cs="Calibri"/>
                <w:b/>
                <w:bCs/>
                <w:color w:val="FFFFFF"/>
                <w:sz w:val="20"/>
                <w:szCs w:val="20"/>
                <w:lang w:eastAsia="es-CR"/>
              </w:rPr>
              <w:t>4,00%</w:t>
            </w:r>
          </w:p>
        </w:tc>
      </w:tr>
    </w:tbl>
    <w:p w14:paraId="12CF25A0" w14:textId="3A2E6CA8" w:rsidR="00D93F47" w:rsidRDefault="00D93F47" w:rsidP="00CD55E7">
      <w:pPr>
        <w:spacing w:after="120" w:line="240" w:lineRule="auto"/>
        <w:rPr>
          <w:rFonts w:eastAsia="Times New Roman"/>
          <w:szCs w:val="24"/>
          <w:lang w:eastAsia="es-CR"/>
        </w:rPr>
      </w:pPr>
      <w:r>
        <w:rPr>
          <w:rFonts w:eastAsia="Times New Roman"/>
          <w:szCs w:val="24"/>
          <w:lang w:eastAsia="es-CR"/>
        </w:rPr>
        <w:t xml:space="preserve"> </w:t>
      </w:r>
    </w:p>
    <w:p w14:paraId="3B6D75B5" w14:textId="7A03D9E0" w:rsidR="00CD55E7" w:rsidRPr="008C4C09" w:rsidRDefault="00CD55E7" w:rsidP="00CD55E7">
      <w:pPr>
        <w:spacing w:after="0" w:line="240" w:lineRule="auto"/>
      </w:pPr>
      <w:r w:rsidRPr="008C4C09">
        <w:t xml:space="preserve">Como se observa en el cuadro anterior, la variación (aumento) que presenta el saldo de la cuenta de inventarios al </w:t>
      </w:r>
      <w:r w:rsidR="00796636" w:rsidRPr="008C4C09">
        <w:t>31</w:t>
      </w:r>
      <w:r w:rsidRPr="008C4C09">
        <w:t xml:space="preserve"> de </w:t>
      </w:r>
      <w:r w:rsidR="00D64CF8" w:rsidRPr="008C4C09">
        <w:t>diciembre</w:t>
      </w:r>
      <w:r w:rsidRPr="008C4C09">
        <w:t xml:space="preserve"> de 2024 con respecto al mismo mes del año 2023 de </w:t>
      </w:r>
      <w:r w:rsidR="00DF3AE8" w:rsidRPr="00DF3AE8">
        <w:rPr>
          <w:rFonts w:ascii="Arial" w:hAnsi="Arial" w:cs="Arial"/>
        </w:rPr>
        <w:t>₡</w:t>
      </w:r>
      <w:r w:rsidR="00DF3AE8" w:rsidRPr="00DF3AE8">
        <w:rPr>
          <w:rFonts w:cs="Arial"/>
        </w:rPr>
        <w:t>7 720,76</w:t>
      </w:r>
      <w:r w:rsidR="00DF3AE8" w:rsidRPr="008C4C09">
        <w:rPr>
          <w:rFonts w:cs="Arial"/>
          <w:b/>
          <w:bCs/>
        </w:rPr>
        <w:t xml:space="preserve"> </w:t>
      </w:r>
      <w:r w:rsidRPr="008C4C09">
        <w:t xml:space="preserve">miles, obedece fundamentalmente al aumento en las Combustibles y lubricantes de </w:t>
      </w:r>
      <w:r w:rsidR="00DF3AE8" w:rsidRPr="008C4C09">
        <w:rPr>
          <w:rFonts w:cs="Arial"/>
        </w:rPr>
        <w:t>-</w:t>
      </w:r>
      <w:r w:rsidR="00DF3AE8" w:rsidRPr="008C4C09">
        <w:rPr>
          <w:rFonts w:ascii="Arial" w:hAnsi="Arial" w:cs="Arial"/>
        </w:rPr>
        <w:t>₡</w:t>
      </w:r>
      <w:r w:rsidR="00DF3AE8" w:rsidRPr="008C4C09">
        <w:rPr>
          <w:rFonts w:cs="Arial"/>
        </w:rPr>
        <w:t xml:space="preserve">8 456,38 </w:t>
      </w:r>
      <w:r w:rsidRPr="008C4C09">
        <w:rPr>
          <w:rFonts w:cs="Arial"/>
        </w:rPr>
        <w:t>miles</w:t>
      </w:r>
      <w:r w:rsidRPr="008C4C09">
        <w:t xml:space="preserve">, en Tintas, pinturas y diluyentes de </w:t>
      </w:r>
      <w:r w:rsidRPr="008C4C09">
        <w:rPr>
          <w:rFonts w:ascii="Arial" w:hAnsi="Arial" w:cs="Arial"/>
        </w:rPr>
        <w:t>₡</w:t>
      </w:r>
      <w:r w:rsidR="00DF3AE8" w:rsidRPr="00DF3AE8">
        <w:t>5,16</w:t>
      </w:r>
      <w:r w:rsidRPr="008C4C09">
        <w:t xml:space="preserve">, en Repuestos y accesorios nuevos por </w:t>
      </w:r>
      <w:r w:rsidRPr="008C4C09">
        <w:rPr>
          <w:rFonts w:ascii="Arial" w:hAnsi="Arial" w:cs="Arial"/>
        </w:rPr>
        <w:t>₡</w:t>
      </w:r>
      <w:r w:rsidR="00DF3AE8" w:rsidRPr="00DF3AE8">
        <w:t>15 926,32</w:t>
      </w:r>
      <w:r w:rsidR="00DF3AE8" w:rsidRPr="008C4C09">
        <w:t xml:space="preserve"> </w:t>
      </w:r>
      <w:r w:rsidRPr="008C4C09">
        <w:t xml:space="preserve">miles, en Útiles y materiales de oficina y cómputo </w:t>
      </w:r>
      <w:r w:rsidRPr="008C4C09">
        <w:rPr>
          <w:rFonts w:ascii="Arial" w:hAnsi="Arial" w:cs="Arial"/>
        </w:rPr>
        <w:t>₡</w:t>
      </w:r>
      <w:r w:rsidR="00DF3AE8" w:rsidRPr="00DF3AE8">
        <w:t>255,51</w:t>
      </w:r>
      <w:r w:rsidRPr="008C4C09">
        <w:t xml:space="preserve"> miles, en Útiles y materiales de limpieza de </w:t>
      </w:r>
      <w:r w:rsidRPr="008C4C09">
        <w:rPr>
          <w:rFonts w:ascii="Arial" w:hAnsi="Arial" w:cs="Arial"/>
        </w:rPr>
        <w:t>₡</w:t>
      </w:r>
      <w:r w:rsidR="00DF3AE8" w:rsidRPr="00DF3AE8">
        <w:t>1 047,12</w:t>
      </w:r>
      <w:r w:rsidRPr="008C4C09">
        <w:t xml:space="preserve"> miles; en Útiles y materiales de resguardo y seguridad por </w:t>
      </w:r>
      <w:r w:rsidRPr="008C4C09">
        <w:rPr>
          <w:rFonts w:ascii="Arial" w:hAnsi="Arial" w:cs="Arial"/>
        </w:rPr>
        <w:t>₡</w:t>
      </w:r>
      <w:r w:rsidR="00DF3AE8" w:rsidRPr="00DF3AE8">
        <w:t>740,75</w:t>
      </w:r>
      <w:r w:rsidR="00DF3AE8" w:rsidRPr="008C4C09">
        <w:t xml:space="preserve"> </w:t>
      </w:r>
      <w:r w:rsidRPr="008C4C09">
        <w:t xml:space="preserve">miles; en Materiales y productos metálicos de </w:t>
      </w:r>
      <w:r w:rsidRPr="008C4C09">
        <w:rPr>
          <w:rFonts w:ascii="Arial" w:hAnsi="Arial" w:cs="Arial"/>
        </w:rPr>
        <w:t>₡</w:t>
      </w:r>
      <w:r w:rsidR="00DF3AE8" w:rsidRPr="00DF3AE8">
        <w:t>136,51</w:t>
      </w:r>
      <w:r w:rsidRPr="008C4C09">
        <w:t xml:space="preserve"> miles.;</w:t>
      </w:r>
      <w:r w:rsidR="00DF3AE8" w:rsidRPr="008C4C09">
        <w:t xml:space="preserve"> en </w:t>
      </w:r>
      <w:r w:rsidRPr="008C4C09">
        <w:t xml:space="preserve">Productos de papel, cartón e impresos de </w:t>
      </w:r>
      <w:r w:rsidRPr="008C4C09">
        <w:rPr>
          <w:rFonts w:ascii="Arial" w:hAnsi="Arial" w:cs="Arial"/>
        </w:rPr>
        <w:t>₡</w:t>
      </w:r>
      <w:r w:rsidR="00DF3AE8" w:rsidRPr="00DF3AE8">
        <w:t>129,32</w:t>
      </w:r>
      <w:r w:rsidR="00DF3AE8" w:rsidRPr="008C4C09">
        <w:t xml:space="preserve"> </w:t>
      </w:r>
      <w:r w:rsidRPr="008C4C09">
        <w:t xml:space="preserve">miles,  </w:t>
      </w:r>
      <w:r w:rsidR="00DF3AE8" w:rsidRPr="008C4C09">
        <w:t xml:space="preserve">y la disminución en </w:t>
      </w:r>
      <w:r w:rsidR="00DF3AE8" w:rsidRPr="00DF3AE8">
        <w:t>Textiles y vestuario</w:t>
      </w:r>
      <w:r w:rsidR="00DF3AE8" w:rsidRPr="008C4C09">
        <w:t xml:space="preserve"> </w:t>
      </w:r>
      <w:r w:rsidR="00DF3AE8" w:rsidRPr="00DF3AE8">
        <w:rPr>
          <w:rFonts w:cs="Arial"/>
        </w:rPr>
        <w:t>-</w:t>
      </w:r>
      <w:r w:rsidR="00DF3AE8" w:rsidRPr="008C4C09">
        <w:rPr>
          <w:rFonts w:ascii="Arial" w:hAnsi="Arial" w:cs="Arial"/>
        </w:rPr>
        <w:t>₡</w:t>
      </w:r>
      <w:r w:rsidR="00DF3AE8" w:rsidRPr="00DF3AE8">
        <w:rPr>
          <w:rFonts w:cs="Arial"/>
        </w:rPr>
        <w:t>95,57</w:t>
      </w:r>
      <w:r w:rsidR="00DF3AE8" w:rsidRPr="008C4C09">
        <w:rPr>
          <w:rFonts w:cs="Arial"/>
        </w:rPr>
        <w:t>.</w:t>
      </w:r>
    </w:p>
    <w:p w14:paraId="71496F80" w14:textId="77777777" w:rsidR="00CD55E7" w:rsidRDefault="00CD55E7" w:rsidP="00CD55E7">
      <w:pPr>
        <w:spacing w:after="0" w:line="240" w:lineRule="auto"/>
      </w:pPr>
    </w:p>
    <w:p w14:paraId="29477E08" w14:textId="77777777" w:rsidR="00CD55E7" w:rsidRDefault="00CD55E7" w:rsidP="00CD55E7">
      <w:pPr>
        <w:spacing w:after="0" w:line="240" w:lineRule="auto"/>
      </w:pPr>
      <w:r>
        <w:t>Finalmente, en relación con los inventarios</w:t>
      </w:r>
      <w:r w:rsidRPr="00A91674">
        <w:t xml:space="preserve">, es preciso señalar que la Municipalidad se encuentra realizando un esfuerzo por fortalecer administración de los inventarios de materiales y suministros, </w:t>
      </w:r>
      <w:r>
        <w:t>y como parte del trabajo que se está desarrollando, está el establecimiento de</w:t>
      </w:r>
      <w:r w:rsidRPr="00A91674">
        <w:t xml:space="preserve"> las políticas para </w:t>
      </w:r>
      <w:r>
        <w:t>la</w:t>
      </w:r>
      <w:r w:rsidRPr="00A91674">
        <w:t xml:space="preserve"> </w:t>
      </w:r>
      <w:r w:rsidRPr="00A91674">
        <w:lastRenderedPageBreak/>
        <w:t>medición y valuación</w:t>
      </w:r>
      <w:r>
        <w:t xml:space="preserve"> de los inventarios</w:t>
      </w:r>
      <w:r w:rsidRPr="00A91674">
        <w:t xml:space="preserve">, </w:t>
      </w:r>
      <w:r>
        <w:t xml:space="preserve">el </w:t>
      </w:r>
      <w:r w:rsidRPr="00A91674">
        <w:t>trata</w:t>
      </w:r>
      <w:r>
        <w:t>miento de</w:t>
      </w:r>
      <w:r w:rsidRPr="00A91674">
        <w:t xml:space="preserve"> las bajas de inventario sustentados en métodos de aceptación general</w:t>
      </w:r>
      <w:r>
        <w:t>, la correcta aplicación</w:t>
      </w:r>
      <w:r w:rsidRPr="00A91674">
        <w:t xml:space="preserve"> </w:t>
      </w:r>
      <w:r>
        <w:t>d</w:t>
      </w:r>
      <w:r w:rsidRPr="00A91674">
        <w:t>el método de valuación “Primero en entrar primero en salir”</w:t>
      </w:r>
      <w:r>
        <w:t xml:space="preserve"> que se adoptó</w:t>
      </w:r>
      <w:r w:rsidRPr="00A91674">
        <w:t>.</w:t>
      </w:r>
    </w:p>
    <w:p w14:paraId="36BACE8D" w14:textId="77777777" w:rsidR="00CD55E7" w:rsidRDefault="00CD55E7" w:rsidP="00CD55E7">
      <w:pPr>
        <w:spacing w:after="0" w:line="240" w:lineRule="auto"/>
      </w:pPr>
    </w:p>
    <w:p w14:paraId="3792C24D" w14:textId="77777777" w:rsidR="00CD55E7" w:rsidRDefault="00CD55E7" w:rsidP="00CD55E7">
      <w:pPr>
        <w:spacing w:after="120" w:line="240" w:lineRule="auto"/>
      </w:pPr>
      <w:r w:rsidRPr="00A91674">
        <w:t xml:space="preserve">Asimismo, </w:t>
      </w:r>
      <w:r>
        <w:t xml:space="preserve">se espera que en el corto plazo se ponga en funcionamiento el módulo de inventarios del sistema que está desarrollando la </w:t>
      </w:r>
      <w:r w:rsidRPr="000F305B">
        <w:t>empresa NETSOFT DE COSTA RICA S.A</w:t>
      </w:r>
      <w:r>
        <w:t xml:space="preserve">., el cual está desarrollado y actualmente se le está cargando el inventario existente con los códigos de los diferentes materiales, para lo cual se utilizarán los existentes en el SICOP. Además, </w:t>
      </w:r>
      <w:r w:rsidRPr="00A91674">
        <w:t>se implementarán los procedimientos de control considerando lo normado en la Ley General de Control Interno y las Normas de control interno para el sector público</w:t>
      </w:r>
      <w:r>
        <w:t xml:space="preserve"> emitidas por la Contraloría general de la República</w:t>
      </w:r>
      <w:r w:rsidRPr="00A91674">
        <w:t>, entre otros.</w:t>
      </w:r>
    </w:p>
    <w:p w14:paraId="1434DDF7" w14:textId="76D84634" w:rsidR="00CD55E7" w:rsidRDefault="00153B97" w:rsidP="00CD55E7">
      <w:pPr>
        <w:rPr>
          <w:rFonts w:eastAsia="Times New Roman"/>
          <w:szCs w:val="24"/>
          <w:lang w:eastAsia="es-CR"/>
        </w:rPr>
      </w:pPr>
      <w:r w:rsidRPr="00153B97">
        <w:rPr>
          <w:noProof/>
          <w:lang w:eastAsia="es-CR"/>
        </w:rPr>
        <w:drawing>
          <wp:anchor distT="0" distB="0" distL="114300" distR="114300" simplePos="0" relativeHeight="251667456" behindDoc="0" locked="0" layoutInCell="1" allowOverlap="1" wp14:anchorId="7FA2A93F" wp14:editId="583CBA9F">
            <wp:simplePos x="0" y="0"/>
            <wp:positionH relativeFrom="margin">
              <wp:posOffset>-260985</wp:posOffset>
            </wp:positionH>
            <wp:positionV relativeFrom="paragraph">
              <wp:posOffset>285115</wp:posOffset>
            </wp:positionV>
            <wp:extent cx="6358890" cy="3269615"/>
            <wp:effectExtent l="0" t="0" r="3810" b="6985"/>
            <wp:wrapThrough wrapText="bothSides">
              <wp:wrapPolygon edited="0">
                <wp:start x="0" y="0"/>
                <wp:lineTo x="0" y="21520"/>
                <wp:lineTo x="21548" y="21520"/>
                <wp:lineTo x="21548" y="0"/>
                <wp:lineTo x="0" y="0"/>
              </wp:wrapPolygon>
            </wp:wrapThrough>
            <wp:docPr id="78805942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358890" cy="3269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55E7" w:rsidRPr="00153B97">
        <w:rPr>
          <w:rFonts w:eastAsia="Times New Roman"/>
          <w:szCs w:val="24"/>
          <w:lang w:eastAsia="es-CR"/>
        </w:rPr>
        <w:t xml:space="preserve">Se detalla las existencias de inventario por departamento al cierre de </w:t>
      </w:r>
      <w:r w:rsidR="00D64CF8" w:rsidRPr="00153B97">
        <w:rPr>
          <w:rFonts w:eastAsia="Times New Roman"/>
          <w:szCs w:val="24"/>
          <w:lang w:eastAsia="es-CR"/>
        </w:rPr>
        <w:t>diciembre</w:t>
      </w:r>
      <w:r w:rsidR="00CD55E7" w:rsidRPr="00153B97">
        <w:rPr>
          <w:rFonts w:eastAsia="Times New Roman"/>
          <w:szCs w:val="24"/>
          <w:lang w:eastAsia="es-CR"/>
        </w:rPr>
        <w:t xml:space="preserve"> del 2024.</w:t>
      </w:r>
    </w:p>
    <w:p w14:paraId="3C86107A" w14:textId="20EE73AC" w:rsidR="00153B97" w:rsidRPr="00153B97" w:rsidRDefault="00153B97" w:rsidP="00153B97">
      <w:pPr>
        <w:rPr>
          <w:rFonts w:eastAsia="Times New Roman"/>
          <w:szCs w:val="24"/>
          <w:lang w:eastAsia="es-CR"/>
        </w:rPr>
      </w:pPr>
      <w:bookmarkStart w:id="219" w:name="_Toc33601213"/>
      <w:bookmarkStart w:id="220" w:name="_Toc82768914"/>
    </w:p>
    <w:p w14:paraId="00A44645" w14:textId="7B13AAA2" w:rsidR="00692DC8" w:rsidRPr="00692DC8" w:rsidRDefault="00692DC8" w:rsidP="00D57597">
      <w:pPr>
        <w:pStyle w:val="Ttulo4"/>
        <w:spacing w:after="240"/>
        <w:rPr>
          <w:rFonts w:eastAsia="Times New Roman"/>
        </w:rPr>
      </w:pPr>
      <w:bookmarkStart w:id="221" w:name="_Toc189804837"/>
      <w:r w:rsidRPr="00692DC8">
        <w:rPr>
          <w:rFonts w:eastAsia="Times New Roman"/>
        </w:rPr>
        <w:t>NOTA N° 7</w:t>
      </w:r>
      <w:bookmarkEnd w:id="216"/>
      <w:bookmarkEnd w:id="217"/>
      <w:bookmarkEnd w:id="219"/>
      <w:bookmarkEnd w:id="220"/>
      <w:bookmarkEnd w:id="221"/>
    </w:p>
    <w:p w14:paraId="57CA074A" w14:textId="77777777" w:rsidR="00396CB4" w:rsidRDefault="00692DC8" w:rsidP="00CD55E7">
      <w:pPr>
        <w:spacing w:before="240"/>
        <w:rPr>
          <w:rFonts w:asciiTheme="minorHAnsi" w:hAnsiTheme="minorHAnsi"/>
          <w:sz w:val="22"/>
        </w:rPr>
      </w:pPr>
      <w:bookmarkStart w:id="222" w:name="_Toc13041059"/>
      <w:bookmarkStart w:id="223" w:name="_Toc14345058"/>
      <w:bookmarkStart w:id="224" w:name="_Toc33601214"/>
      <w:bookmarkStart w:id="225" w:name="_Toc82768915"/>
      <w:r w:rsidRPr="00692DC8">
        <w:rPr>
          <w:rFonts w:eastAsia="Times New Roman"/>
        </w:rPr>
        <w:t>Otros activos a corto plazo</w:t>
      </w:r>
      <w:bookmarkEnd w:id="222"/>
      <w:bookmarkEnd w:id="223"/>
      <w:bookmarkEnd w:id="224"/>
      <w:bookmarkEnd w:id="225"/>
      <w:r w:rsidR="00C77D21">
        <w:rPr>
          <w:rFonts w:eastAsiaTheme="majorEastAsia" w:cstheme="majorBidi"/>
          <w:b/>
          <w:iCs/>
        </w:rPr>
        <w:fldChar w:fldCharType="begin"/>
      </w:r>
      <w:r w:rsidR="00C77D21">
        <w:instrText xml:space="preserve"> LINK </w:instrText>
      </w:r>
      <w:r w:rsidR="00756467">
        <w:instrText xml:space="preserve">Excel.SheetMacroEnabled.12 "C:\\Users\\gcordero\\Downloads\\Notas diciembre 2024\\Formato_Notas_EEFF_Vinculadas_2024\\Formato_Notas_EEFF_Vinculadas_2024\\15603_T04_2024_Anexo_Estado_Notas_Contables_Vinculadas.xlsm" NOTAS_POR_CUENTA!F20C1:F22C6 </w:instrText>
      </w:r>
      <w:r w:rsidR="00C77D21">
        <w:instrText xml:space="preserve">\a \f 4 \h </w:instrText>
      </w:r>
      <w:r w:rsidR="00C77D21">
        <w:fldChar w:fldCharType="separate"/>
      </w:r>
    </w:p>
    <w:tbl>
      <w:tblPr>
        <w:tblW w:w="9600" w:type="dxa"/>
        <w:tblCellMar>
          <w:left w:w="70" w:type="dxa"/>
          <w:right w:w="70" w:type="dxa"/>
        </w:tblCellMar>
        <w:tblLook w:val="04A0" w:firstRow="1" w:lastRow="0" w:firstColumn="1" w:lastColumn="0" w:noHBand="0" w:noVBand="1"/>
      </w:tblPr>
      <w:tblGrid>
        <w:gridCol w:w="991"/>
        <w:gridCol w:w="2889"/>
        <w:gridCol w:w="500"/>
        <w:gridCol w:w="2100"/>
        <w:gridCol w:w="2100"/>
        <w:gridCol w:w="1020"/>
      </w:tblGrid>
      <w:tr w:rsidR="00396CB4" w:rsidRPr="00396CB4" w14:paraId="4623E1CE" w14:textId="77777777" w:rsidTr="00396CB4">
        <w:trPr>
          <w:divId w:val="325867162"/>
          <w:trHeight w:val="330"/>
        </w:trPr>
        <w:tc>
          <w:tcPr>
            <w:tcW w:w="99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69A3F58" w14:textId="7F576BA8" w:rsidR="00396CB4" w:rsidRPr="00396CB4" w:rsidRDefault="00396CB4" w:rsidP="00396CB4">
            <w:pP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2889"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67D169F"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7D98AC8"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FADFD43"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0D9CEAD"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1EDAACCC"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08F0CDA6" w14:textId="77777777" w:rsidTr="00396CB4">
        <w:trPr>
          <w:divId w:val="325867162"/>
          <w:trHeight w:val="330"/>
        </w:trPr>
        <w:tc>
          <w:tcPr>
            <w:tcW w:w="991" w:type="dxa"/>
            <w:vMerge/>
            <w:tcBorders>
              <w:top w:val="single" w:sz="8" w:space="0" w:color="auto"/>
              <w:left w:val="single" w:sz="8" w:space="0" w:color="auto"/>
              <w:bottom w:val="single" w:sz="8" w:space="0" w:color="000000"/>
              <w:right w:val="single" w:sz="8" w:space="0" w:color="auto"/>
            </w:tcBorders>
            <w:vAlign w:val="center"/>
            <w:hideMark/>
          </w:tcPr>
          <w:p w14:paraId="699A718D"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889" w:type="dxa"/>
            <w:vMerge/>
            <w:tcBorders>
              <w:top w:val="single" w:sz="8" w:space="0" w:color="auto"/>
              <w:left w:val="single" w:sz="8" w:space="0" w:color="auto"/>
              <w:bottom w:val="single" w:sz="8" w:space="0" w:color="000000"/>
              <w:right w:val="single" w:sz="8" w:space="0" w:color="auto"/>
            </w:tcBorders>
            <w:vAlign w:val="center"/>
            <w:hideMark/>
          </w:tcPr>
          <w:p w14:paraId="650326A1"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44EDEAB8"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765274D3"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5458B6A4"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6A63924F"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02DD501F" w14:textId="77777777" w:rsidTr="00396CB4">
        <w:trPr>
          <w:divId w:val="325867162"/>
          <w:trHeight w:val="330"/>
        </w:trPr>
        <w:tc>
          <w:tcPr>
            <w:tcW w:w="991" w:type="dxa"/>
            <w:tcBorders>
              <w:top w:val="nil"/>
              <w:left w:val="single" w:sz="8" w:space="0" w:color="auto"/>
              <w:bottom w:val="single" w:sz="8" w:space="0" w:color="auto"/>
              <w:right w:val="single" w:sz="8" w:space="0" w:color="auto"/>
            </w:tcBorders>
            <w:shd w:val="clear" w:color="auto" w:fill="auto"/>
            <w:noWrap/>
            <w:vAlign w:val="center"/>
            <w:hideMark/>
          </w:tcPr>
          <w:p w14:paraId="190E10D4"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1.1.9.</w:t>
            </w:r>
          </w:p>
        </w:tc>
        <w:tc>
          <w:tcPr>
            <w:tcW w:w="2889" w:type="dxa"/>
            <w:tcBorders>
              <w:top w:val="nil"/>
              <w:left w:val="nil"/>
              <w:bottom w:val="single" w:sz="8" w:space="0" w:color="auto"/>
              <w:right w:val="single" w:sz="8" w:space="0" w:color="auto"/>
            </w:tcBorders>
            <w:shd w:val="clear" w:color="auto" w:fill="auto"/>
            <w:vAlign w:val="center"/>
            <w:hideMark/>
          </w:tcPr>
          <w:p w14:paraId="4BA85F58"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Otros activos a corto plazo</w:t>
            </w:r>
          </w:p>
        </w:tc>
        <w:tc>
          <w:tcPr>
            <w:tcW w:w="500" w:type="dxa"/>
            <w:tcBorders>
              <w:top w:val="nil"/>
              <w:left w:val="nil"/>
              <w:bottom w:val="single" w:sz="8" w:space="0" w:color="auto"/>
              <w:right w:val="single" w:sz="8" w:space="0" w:color="auto"/>
            </w:tcBorders>
            <w:shd w:val="clear" w:color="auto" w:fill="auto"/>
            <w:noWrap/>
            <w:vAlign w:val="center"/>
            <w:hideMark/>
          </w:tcPr>
          <w:p w14:paraId="155E9401"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07</w:t>
            </w:r>
          </w:p>
        </w:tc>
        <w:tc>
          <w:tcPr>
            <w:tcW w:w="2100" w:type="dxa"/>
            <w:tcBorders>
              <w:top w:val="nil"/>
              <w:left w:val="nil"/>
              <w:bottom w:val="single" w:sz="8" w:space="0" w:color="auto"/>
              <w:right w:val="single" w:sz="8" w:space="0" w:color="auto"/>
            </w:tcBorders>
            <w:shd w:val="clear" w:color="auto" w:fill="auto"/>
            <w:noWrap/>
            <w:vAlign w:val="center"/>
            <w:hideMark/>
          </w:tcPr>
          <w:p w14:paraId="6860A674"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25 165,34 </w:t>
            </w:r>
          </w:p>
        </w:tc>
        <w:tc>
          <w:tcPr>
            <w:tcW w:w="2100" w:type="dxa"/>
            <w:tcBorders>
              <w:top w:val="nil"/>
              <w:left w:val="nil"/>
              <w:bottom w:val="single" w:sz="8" w:space="0" w:color="auto"/>
              <w:right w:val="single" w:sz="8" w:space="0" w:color="auto"/>
            </w:tcBorders>
            <w:shd w:val="clear" w:color="auto" w:fill="auto"/>
            <w:noWrap/>
            <w:vAlign w:val="center"/>
            <w:hideMark/>
          </w:tcPr>
          <w:p w14:paraId="5EDEA3E7"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26 295,62 </w:t>
            </w:r>
          </w:p>
        </w:tc>
        <w:tc>
          <w:tcPr>
            <w:tcW w:w="1020" w:type="dxa"/>
            <w:tcBorders>
              <w:top w:val="nil"/>
              <w:left w:val="nil"/>
              <w:bottom w:val="single" w:sz="8" w:space="0" w:color="auto"/>
              <w:right w:val="single" w:sz="8" w:space="0" w:color="auto"/>
            </w:tcBorders>
            <w:shd w:val="clear" w:color="auto" w:fill="auto"/>
            <w:noWrap/>
            <w:vAlign w:val="center"/>
            <w:hideMark/>
          </w:tcPr>
          <w:p w14:paraId="1E42C71C" w14:textId="37DBBB6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-4,</w:t>
            </w:r>
            <w:r w:rsidR="00796636">
              <w:rPr>
                <w:rFonts w:eastAsia="Times New Roman" w:cs="Calibri"/>
                <w:b/>
                <w:bCs/>
                <w:color w:val="000000"/>
                <w:sz w:val="18"/>
                <w:szCs w:val="18"/>
                <w:lang w:eastAsia="es-CR"/>
              </w:rPr>
              <w:t>31</w:t>
            </w:r>
            <w:r w:rsidRPr="00396CB4">
              <w:rPr>
                <w:rFonts w:eastAsia="Times New Roman" w:cs="Calibri"/>
                <w:b/>
                <w:bCs/>
                <w:color w:val="000000"/>
                <w:sz w:val="18"/>
                <w:szCs w:val="18"/>
                <w:lang w:eastAsia="es-CR"/>
              </w:rPr>
              <w:t>%</w:t>
            </w:r>
          </w:p>
        </w:tc>
      </w:tr>
    </w:tbl>
    <w:p w14:paraId="02AFB932" w14:textId="77777777" w:rsidR="00CD55E7" w:rsidRDefault="00C77D21" w:rsidP="00CD55E7">
      <w:pPr>
        <w:spacing w:before="240"/>
        <w:rPr>
          <w:rFonts w:eastAsia="Times New Roman"/>
          <w:color w:val="000000"/>
          <w:szCs w:val="24"/>
          <w:lang w:val="es-ES" w:eastAsia="es-ES"/>
        </w:rPr>
      </w:pPr>
      <w:r>
        <w:fldChar w:fldCharType="end"/>
      </w:r>
      <w:r w:rsidR="00CD55E7" w:rsidRPr="00EC3AE7">
        <w:rPr>
          <w:rFonts w:eastAsia="Times New Roman"/>
          <w:color w:val="000000"/>
          <w:szCs w:val="24"/>
          <w:lang w:val="es-ES" w:eastAsia="es-ES"/>
        </w:rPr>
        <w:t xml:space="preserve"> </w:t>
      </w:r>
      <w:r w:rsidR="00CD55E7" w:rsidRPr="00692DC8">
        <w:rPr>
          <w:rFonts w:eastAsia="Times New Roman"/>
          <w:color w:val="000000"/>
          <w:szCs w:val="24"/>
          <w:lang w:val="es-ES" w:eastAsia="es-ES"/>
        </w:rPr>
        <w:t>Detalle</w:t>
      </w:r>
      <w:r w:rsidR="00CD55E7" w:rsidRPr="00692DC8">
        <w:rPr>
          <w:rFonts w:ascii="Times New Roman" w:eastAsia="Times New Roman" w:hAnsi="Times New Roman"/>
          <w:szCs w:val="24"/>
          <w:lang w:eastAsia="es-CR"/>
        </w:rPr>
        <w:t xml:space="preserve"> </w:t>
      </w:r>
      <w:r w:rsidR="00CD55E7">
        <w:rPr>
          <w:rFonts w:eastAsia="Times New Roman"/>
          <w:color w:val="000000"/>
          <w:szCs w:val="24"/>
          <w:lang w:val="es-ES" w:eastAsia="es-ES"/>
        </w:rPr>
        <w:t>de</w:t>
      </w:r>
      <w:r w:rsidR="00CD55E7" w:rsidRPr="00692DC8">
        <w:rPr>
          <w:rFonts w:eastAsia="Times New Roman"/>
          <w:color w:val="000000"/>
          <w:szCs w:val="24"/>
          <w:lang w:val="es-ES" w:eastAsia="es-ES"/>
        </w:rPr>
        <w:t xml:space="preserve"> </w:t>
      </w:r>
      <w:r w:rsidR="00CD55E7" w:rsidRPr="00586DC5">
        <w:rPr>
          <w:rFonts w:eastAsia="Times New Roman"/>
          <w:color w:val="000000"/>
          <w:szCs w:val="24"/>
          <w:lang w:val="es-ES" w:eastAsia="es-ES"/>
        </w:rPr>
        <w:t>Primas y gastos de seguros a devengar c/p</w:t>
      </w:r>
    </w:p>
    <w:tbl>
      <w:tblPr>
        <w:tblW w:w="4380" w:type="dxa"/>
        <w:tblInd w:w="-10" w:type="dxa"/>
        <w:tblCellMar>
          <w:left w:w="70" w:type="dxa"/>
          <w:right w:w="70" w:type="dxa"/>
        </w:tblCellMar>
        <w:tblLook w:val="04A0" w:firstRow="1" w:lastRow="0" w:firstColumn="1" w:lastColumn="0" w:noHBand="0" w:noVBand="1"/>
      </w:tblPr>
      <w:tblGrid>
        <w:gridCol w:w="1240"/>
        <w:gridCol w:w="3140"/>
      </w:tblGrid>
      <w:tr w:rsidR="00CD55E7" w:rsidRPr="00C77D21" w14:paraId="1949E012" w14:textId="77777777" w:rsidTr="0061790F">
        <w:trPr>
          <w:trHeight w:val="288"/>
        </w:trPr>
        <w:tc>
          <w:tcPr>
            <w:tcW w:w="1240" w:type="dxa"/>
            <w:tcBorders>
              <w:top w:val="single" w:sz="8" w:space="0" w:color="auto"/>
              <w:left w:val="single" w:sz="8" w:space="0" w:color="auto"/>
              <w:bottom w:val="nil"/>
              <w:right w:val="single" w:sz="8" w:space="0" w:color="auto"/>
            </w:tcBorders>
            <w:shd w:val="clear" w:color="000000" w:fill="366092"/>
            <w:noWrap/>
            <w:vAlign w:val="center"/>
            <w:hideMark/>
          </w:tcPr>
          <w:p w14:paraId="2A606F42" w14:textId="77777777" w:rsidR="00CD55E7" w:rsidRPr="00C77D21" w:rsidRDefault="00CD55E7" w:rsidP="0061790F">
            <w:pPr>
              <w:spacing w:after="0" w:line="240" w:lineRule="auto"/>
              <w:rPr>
                <w:rFonts w:eastAsia="Times New Roman" w:cs="Calibri"/>
                <w:b/>
                <w:bCs/>
                <w:color w:val="FFFFFF"/>
                <w:sz w:val="18"/>
                <w:szCs w:val="18"/>
                <w:lang w:eastAsia="es-CR"/>
              </w:rPr>
            </w:pPr>
            <w:r w:rsidRPr="00C77D21">
              <w:rPr>
                <w:rFonts w:eastAsia="Times New Roman" w:cs="Calibri"/>
                <w:b/>
                <w:bCs/>
                <w:color w:val="FFFFFF"/>
                <w:sz w:val="18"/>
                <w:szCs w:val="18"/>
                <w:lang w:eastAsia="es-CR"/>
              </w:rPr>
              <w:t xml:space="preserve">Cuenta </w:t>
            </w:r>
          </w:p>
        </w:tc>
        <w:tc>
          <w:tcPr>
            <w:tcW w:w="3140" w:type="dxa"/>
            <w:tcBorders>
              <w:top w:val="single" w:sz="8" w:space="0" w:color="auto"/>
              <w:left w:val="nil"/>
              <w:bottom w:val="nil"/>
              <w:right w:val="single" w:sz="8" w:space="0" w:color="auto"/>
            </w:tcBorders>
            <w:shd w:val="clear" w:color="000000" w:fill="366092"/>
            <w:vAlign w:val="center"/>
            <w:hideMark/>
          </w:tcPr>
          <w:p w14:paraId="50990461" w14:textId="77777777" w:rsidR="00CD55E7" w:rsidRPr="00C77D21" w:rsidRDefault="00CD55E7" w:rsidP="0061790F">
            <w:pPr>
              <w:spacing w:after="0" w:line="240" w:lineRule="auto"/>
              <w:jc w:val="center"/>
              <w:rPr>
                <w:rFonts w:eastAsia="Times New Roman" w:cs="Calibri"/>
                <w:b/>
                <w:bCs/>
                <w:color w:val="FFFFFF"/>
                <w:sz w:val="18"/>
                <w:szCs w:val="18"/>
                <w:lang w:eastAsia="es-CR"/>
              </w:rPr>
            </w:pPr>
            <w:r w:rsidRPr="00C77D21">
              <w:rPr>
                <w:rFonts w:eastAsia="Times New Roman" w:cs="Calibri"/>
                <w:b/>
                <w:bCs/>
                <w:color w:val="FFFFFF"/>
                <w:sz w:val="18"/>
                <w:szCs w:val="18"/>
                <w:lang w:eastAsia="es-CR"/>
              </w:rPr>
              <w:t xml:space="preserve">Descripción </w:t>
            </w:r>
          </w:p>
        </w:tc>
      </w:tr>
      <w:tr w:rsidR="00CD55E7" w:rsidRPr="00C77D21" w14:paraId="45E7A753" w14:textId="77777777" w:rsidTr="0061790F">
        <w:trPr>
          <w:trHeight w:val="300"/>
        </w:trPr>
        <w:tc>
          <w:tcPr>
            <w:tcW w:w="1240" w:type="dxa"/>
            <w:tcBorders>
              <w:top w:val="nil"/>
              <w:left w:val="single" w:sz="8" w:space="0" w:color="auto"/>
              <w:bottom w:val="nil"/>
              <w:right w:val="single" w:sz="8" w:space="0" w:color="auto"/>
            </w:tcBorders>
            <w:shd w:val="clear" w:color="auto" w:fill="auto"/>
            <w:noWrap/>
            <w:vAlign w:val="center"/>
            <w:hideMark/>
          </w:tcPr>
          <w:p w14:paraId="4225DC6B" w14:textId="77777777" w:rsidR="00CD55E7" w:rsidRPr="00C77D21" w:rsidRDefault="00CD55E7" w:rsidP="0061790F">
            <w:pPr>
              <w:spacing w:after="0" w:line="240" w:lineRule="auto"/>
              <w:rPr>
                <w:rFonts w:eastAsia="Times New Roman" w:cs="Calibri"/>
                <w:b/>
                <w:bCs/>
                <w:color w:val="000000"/>
                <w:sz w:val="18"/>
                <w:szCs w:val="18"/>
                <w:lang w:eastAsia="es-CR"/>
              </w:rPr>
            </w:pPr>
            <w:r w:rsidRPr="00C77D21">
              <w:rPr>
                <w:rFonts w:eastAsia="Times New Roman" w:cs="Calibri"/>
                <w:b/>
                <w:bCs/>
                <w:color w:val="000000"/>
                <w:sz w:val="18"/>
                <w:szCs w:val="18"/>
                <w:lang w:eastAsia="es-CR"/>
              </w:rPr>
              <w:t>1.1.9.01.</w:t>
            </w:r>
          </w:p>
        </w:tc>
        <w:tc>
          <w:tcPr>
            <w:tcW w:w="3140" w:type="dxa"/>
            <w:tcBorders>
              <w:top w:val="nil"/>
              <w:left w:val="nil"/>
              <w:bottom w:val="nil"/>
              <w:right w:val="single" w:sz="8" w:space="0" w:color="auto"/>
            </w:tcBorders>
            <w:shd w:val="clear" w:color="auto" w:fill="auto"/>
            <w:vAlign w:val="center"/>
            <w:hideMark/>
          </w:tcPr>
          <w:p w14:paraId="4185D275" w14:textId="77777777" w:rsidR="00CD55E7" w:rsidRPr="00C77D21" w:rsidRDefault="00CD55E7" w:rsidP="0061790F">
            <w:pPr>
              <w:spacing w:after="0" w:line="240" w:lineRule="auto"/>
              <w:rPr>
                <w:rFonts w:eastAsia="Times New Roman" w:cs="Calibri"/>
                <w:b/>
                <w:bCs/>
                <w:color w:val="000000"/>
                <w:sz w:val="18"/>
                <w:szCs w:val="18"/>
                <w:lang w:eastAsia="es-CR"/>
              </w:rPr>
            </w:pPr>
            <w:r w:rsidRPr="00C77D21">
              <w:rPr>
                <w:rFonts w:eastAsia="Times New Roman" w:cs="Calibri"/>
                <w:b/>
                <w:bCs/>
                <w:color w:val="000000"/>
                <w:sz w:val="18"/>
                <w:szCs w:val="18"/>
                <w:lang w:eastAsia="es-CR"/>
              </w:rPr>
              <w:t>Gastos a devengar a corto plazo</w:t>
            </w:r>
          </w:p>
        </w:tc>
      </w:tr>
      <w:tr w:rsidR="00CD55E7" w:rsidRPr="00C77D21" w14:paraId="01E75BBD" w14:textId="77777777" w:rsidTr="0061790F">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tcPr>
          <w:p w14:paraId="630AE64E" w14:textId="77777777" w:rsidR="00CD55E7" w:rsidRPr="00C77D21" w:rsidRDefault="00CD55E7" w:rsidP="0061790F">
            <w:pPr>
              <w:spacing w:after="0" w:line="240" w:lineRule="auto"/>
              <w:rPr>
                <w:rFonts w:eastAsia="Times New Roman" w:cs="Calibri"/>
                <w:b/>
                <w:bCs/>
                <w:color w:val="000000"/>
                <w:sz w:val="18"/>
                <w:szCs w:val="18"/>
                <w:lang w:eastAsia="es-CR"/>
              </w:rPr>
            </w:pPr>
          </w:p>
        </w:tc>
        <w:tc>
          <w:tcPr>
            <w:tcW w:w="3140" w:type="dxa"/>
            <w:tcBorders>
              <w:top w:val="nil"/>
              <w:left w:val="nil"/>
              <w:bottom w:val="single" w:sz="8" w:space="0" w:color="auto"/>
              <w:right w:val="single" w:sz="8" w:space="0" w:color="auto"/>
            </w:tcBorders>
            <w:shd w:val="clear" w:color="auto" w:fill="auto"/>
            <w:vAlign w:val="center"/>
          </w:tcPr>
          <w:p w14:paraId="34321F4B" w14:textId="77777777" w:rsidR="00CD55E7" w:rsidRPr="00C77D21" w:rsidRDefault="00CD55E7" w:rsidP="0061790F">
            <w:pPr>
              <w:spacing w:after="0" w:line="240" w:lineRule="auto"/>
              <w:rPr>
                <w:rFonts w:eastAsia="Times New Roman" w:cs="Calibri"/>
                <w:b/>
                <w:bCs/>
                <w:color w:val="000000"/>
                <w:sz w:val="18"/>
                <w:szCs w:val="18"/>
                <w:lang w:eastAsia="es-CR"/>
              </w:rPr>
            </w:pPr>
          </w:p>
        </w:tc>
      </w:tr>
    </w:tbl>
    <w:p w14:paraId="23B70CD2" w14:textId="77777777" w:rsidR="00CD55E7" w:rsidRDefault="00CD55E7" w:rsidP="00CD55E7">
      <w:pPr>
        <w:spacing w:after="0" w:line="240" w:lineRule="auto"/>
      </w:pPr>
    </w:p>
    <w:tbl>
      <w:tblPr>
        <w:tblW w:w="8856" w:type="dxa"/>
        <w:tblInd w:w="-10" w:type="dxa"/>
        <w:tblCellMar>
          <w:left w:w="70" w:type="dxa"/>
          <w:right w:w="70" w:type="dxa"/>
        </w:tblCellMar>
        <w:tblLook w:val="04A0" w:firstRow="1" w:lastRow="0" w:firstColumn="1" w:lastColumn="0" w:noHBand="0" w:noVBand="1"/>
      </w:tblPr>
      <w:tblGrid>
        <w:gridCol w:w="4536"/>
        <w:gridCol w:w="3328"/>
        <w:gridCol w:w="992"/>
      </w:tblGrid>
      <w:tr w:rsidR="00CD55E7" w:rsidRPr="00C77D21" w14:paraId="4EE13FBF" w14:textId="77777777" w:rsidTr="0061790F">
        <w:trPr>
          <w:trHeight w:val="300"/>
        </w:trPr>
        <w:tc>
          <w:tcPr>
            <w:tcW w:w="4536" w:type="dxa"/>
            <w:tcBorders>
              <w:top w:val="single" w:sz="8" w:space="0" w:color="auto"/>
              <w:left w:val="single" w:sz="8" w:space="0" w:color="auto"/>
              <w:bottom w:val="nil"/>
              <w:right w:val="single" w:sz="8" w:space="0" w:color="auto"/>
            </w:tcBorders>
            <w:shd w:val="clear" w:color="000000" w:fill="366092"/>
            <w:vAlign w:val="center"/>
            <w:hideMark/>
          </w:tcPr>
          <w:p w14:paraId="40739FBF" w14:textId="77777777" w:rsidR="00CD55E7" w:rsidRPr="00C77D21" w:rsidRDefault="00CD55E7" w:rsidP="0061790F">
            <w:pPr>
              <w:spacing w:after="0" w:line="240" w:lineRule="auto"/>
              <w:jc w:val="center"/>
              <w:rPr>
                <w:rFonts w:eastAsia="Times New Roman" w:cs="Calibri"/>
                <w:b/>
                <w:bCs/>
                <w:color w:val="FFFFFF"/>
                <w:sz w:val="18"/>
                <w:szCs w:val="18"/>
                <w:lang w:eastAsia="es-CR"/>
              </w:rPr>
            </w:pPr>
            <w:r w:rsidRPr="00C77D21">
              <w:rPr>
                <w:rFonts w:eastAsia="Times New Roman" w:cs="Calibri"/>
                <w:b/>
                <w:bCs/>
                <w:color w:val="FFFFFF"/>
                <w:sz w:val="18"/>
                <w:szCs w:val="18"/>
                <w:lang w:eastAsia="es-CR"/>
              </w:rPr>
              <w:t>Cuenta</w:t>
            </w:r>
          </w:p>
        </w:tc>
        <w:tc>
          <w:tcPr>
            <w:tcW w:w="3328" w:type="dxa"/>
            <w:tcBorders>
              <w:top w:val="single" w:sz="8" w:space="0" w:color="auto"/>
              <w:left w:val="nil"/>
              <w:bottom w:val="nil"/>
              <w:right w:val="single" w:sz="8" w:space="0" w:color="auto"/>
            </w:tcBorders>
            <w:shd w:val="clear" w:color="000000" w:fill="366092"/>
            <w:noWrap/>
            <w:vAlign w:val="center"/>
            <w:hideMark/>
          </w:tcPr>
          <w:p w14:paraId="2EC4297F" w14:textId="77777777" w:rsidR="00CD55E7" w:rsidRPr="00C77D21" w:rsidRDefault="00CD55E7" w:rsidP="0061790F">
            <w:pPr>
              <w:spacing w:after="0" w:line="240" w:lineRule="auto"/>
              <w:jc w:val="center"/>
              <w:rPr>
                <w:rFonts w:eastAsia="Times New Roman" w:cs="Calibri"/>
                <w:b/>
                <w:bCs/>
                <w:color w:val="FFFFFF"/>
                <w:sz w:val="18"/>
                <w:szCs w:val="18"/>
                <w:lang w:eastAsia="es-CR"/>
              </w:rPr>
            </w:pPr>
            <w:r w:rsidRPr="00C77D21">
              <w:rPr>
                <w:rFonts w:eastAsia="Times New Roman" w:cs="Calibri"/>
                <w:b/>
                <w:bCs/>
                <w:color w:val="FFFFFF"/>
                <w:sz w:val="18"/>
                <w:szCs w:val="18"/>
                <w:lang w:eastAsia="es-CR"/>
              </w:rPr>
              <w:t>Detalle</w:t>
            </w:r>
          </w:p>
        </w:tc>
        <w:tc>
          <w:tcPr>
            <w:tcW w:w="992" w:type="dxa"/>
            <w:tcBorders>
              <w:top w:val="single" w:sz="8" w:space="0" w:color="auto"/>
              <w:left w:val="nil"/>
              <w:bottom w:val="nil"/>
              <w:right w:val="single" w:sz="8" w:space="0" w:color="auto"/>
            </w:tcBorders>
            <w:shd w:val="clear" w:color="000000" w:fill="366092"/>
            <w:noWrap/>
            <w:vAlign w:val="center"/>
            <w:hideMark/>
          </w:tcPr>
          <w:p w14:paraId="3678AF13" w14:textId="77777777" w:rsidR="00CD55E7" w:rsidRPr="00C77D21" w:rsidRDefault="00CD55E7" w:rsidP="0061790F">
            <w:pPr>
              <w:spacing w:after="0" w:line="240" w:lineRule="auto"/>
              <w:jc w:val="center"/>
              <w:rPr>
                <w:rFonts w:eastAsia="Times New Roman" w:cs="Calibri"/>
                <w:b/>
                <w:bCs/>
                <w:color w:val="FFFFFF"/>
                <w:sz w:val="18"/>
                <w:szCs w:val="18"/>
                <w:lang w:eastAsia="es-CR"/>
              </w:rPr>
            </w:pPr>
            <w:r w:rsidRPr="00C77D21">
              <w:rPr>
                <w:rFonts w:eastAsia="Times New Roman" w:cs="Calibri"/>
                <w:b/>
                <w:bCs/>
                <w:color w:val="FFFFFF"/>
                <w:sz w:val="18"/>
                <w:szCs w:val="18"/>
                <w:lang w:eastAsia="es-CR"/>
              </w:rPr>
              <w:t>Monto</w:t>
            </w:r>
          </w:p>
        </w:tc>
      </w:tr>
      <w:tr w:rsidR="00CD55E7" w:rsidRPr="00C77D21" w14:paraId="7DCA634B" w14:textId="77777777" w:rsidTr="0061790F">
        <w:trPr>
          <w:trHeight w:val="253"/>
        </w:trPr>
        <w:tc>
          <w:tcPr>
            <w:tcW w:w="4536" w:type="dxa"/>
            <w:tcBorders>
              <w:top w:val="nil"/>
              <w:left w:val="single" w:sz="8" w:space="0" w:color="auto"/>
              <w:bottom w:val="single" w:sz="8" w:space="0" w:color="auto"/>
              <w:right w:val="single" w:sz="8" w:space="0" w:color="auto"/>
            </w:tcBorders>
            <w:shd w:val="clear" w:color="auto" w:fill="auto"/>
            <w:vAlign w:val="center"/>
            <w:hideMark/>
          </w:tcPr>
          <w:p w14:paraId="3257660B" w14:textId="77777777" w:rsidR="00CD55E7" w:rsidRPr="00C77D21" w:rsidRDefault="00CD55E7" w:rsidP="0061790F">
            <w:pPr>
              <w:spacing w:after="0" w:line="240" w:lineRule="auto"/>
              <w:rPr>
                <w:rFonts w:eastAsia="Times New Roman" w:cs="Calibri"/>
                <w:b/>
                <w:bCs/>
                <w:color w:val="000000"/>
                <w:sz w:val="18"/>
                <w:szCs w:val="18"/>
                <w:lang w:eastAsia="es-CR"/>
              </w:rPr>
            </w:pPr>
            <w:r w:rsidRPr="00C77D21">
              <w:rPr>
                <w:rFonts w:eastAsia="Times New Roman" w:cs="Calibri"/>
                <w:b/>
                <w:bCs/>
                <w:color w:val="000000"/>
                <w:sz w:val="18"/>
                <w:szCs w:val="18"/>
                <w:lang w:eastAsia="es-CR"/>
              </w:rPr>
              <w:t> 1.1.9.01.01.01.0. Primas y gastos de seguros a devengar c/p</w:t>
            </w:r>
          </w:p>
        </w:tc>
        <w:tc>
          <w:tcPr>
            <w:tcW w:w="3328" w:type="dxa"/>
            <w:tcBorders>
              <w:top w:val="nil"/>
              <w:left w:val="nil"/>
              <w:bottom w:val="single" w:sz="8" w:space="0" w:color="auto"/>
              <w:right w:val="single" w:sz="8" w:space="0" w:color="auto"/>
            </w:tcBorders>
            <w:shd w:val="clear" w:color="auto" w:fill="auto"/>
            <w:noWrap/>
            <w:vAlign w:val="center"/>
            <w:hideMark/>
          </w:tcPr>
          <w:p w14:paraId="5DF27DCD" w14:textId="77777777" w:rsidR="00CD55E7" w:rsidRPr="00C77D21" w:rsidRDefault="00CD55E7" w:rsidP="0061790F">
            <w:pPr>
              <w:spacing w:after="0" w:line="240" w:lineRule="auto"/>
              <w:ind w:left="563" w:hanging="563"/>
              <w:rPr>
                <w:rFonts w:eastAsia="Times New Roman" w:cs="Calibri"/>
                <w:b/>
                <w:bCs/>
                <w:color w:val="000000"/>
                <w:sz w:val="18"/>
                <w:szCs w:val="18"/>
                <w:lang w:eastAsia="es-CR"/>
              </w:rPr>
            </w:pPr>
            <w:r>
              <w:rPr>
                <w:rFonts w:eastAsia="Times New Roman" w:cs="Calibri"/>
                <w:b/>
                <w:bCs/>
                <w:color w:val="000000"/>
                <w:sz w:val="18"/>
                <w:szCs w:val="18"/>
                <w:lang w:eastAsia="es-CR"/>
              </w:rPr>
              <w:t>Pólizas de vehículos y Riesgos Profesionales</w:t>
            </w:r>
          </w:p>
        </w:tc>
        <w:tc>
          <w:tcPr>
            <w:tcW w:w="992" w:type="dxa"/>
            <w:tcBorders>
              <w:top w:val="nil"/>
              <w:left w:val="nil"/>
              <w:bottom w:val="single" w:sz="8" w:space="0" w:color="auto"/>
              <w:right w:val="single" w:sz="8" w:space="0" w:color="auto"/>
            </w:tcBorders>
            <w:shd w:val="clear" w:color="auto" w:fill="auto"/>
            <w:noWrap/>
            <w:vAlign w:val="center"/>
            <w:hideMark/>
          </w:tcPr>
          <w:p w14:paraId="098088E4" w14:textId="0B54B63D" w:rsidR="00E979FF" w:rsidRPr="00E979FF" w:rsidRDefault="00CD55E7" w:rsidP="00E979FF">
            <w:pPr>
              <w:spacing w:after="0" w:line="240" w:lineRule="auto"/>
              <w:jc w:val="center"/>
              <w:rPr>
                <w:rFonts w:eastAsia="Times New Roman" w:cs="Calibri"/>
                <w:b/>
                <w:bCs/>
                <w:color w:val="000000"/>
                <w:sz w:val="16"/>
                <w:szCs w:val="16"/>
                <w:lang w:val="en-US"/>
              </w:rPr>
            </w:pPr>
            <w:r w:rsidRPr="00586DC5">
              <w:rPr>
                <w:rFonts w:ascii="Arial" w:eastAsia="Times New Roman" w:hAnsi="Arial" w:cs="Arial"/>
                <w:b/>
                <w:bCs/>
                <w:color w:val="000000"/>
                <w:sz w:val="18"/>
                <w:szCs w:val="18"/>
                <w:lang w:eastAsia="es-CR"/>
              </w:rPr>
              <w:t>₡</w:t>
            </w:r>
            <w:r w:rsidR="00E979FF" w:rsidRPr="00E979FF">
              <w:rPr>
                <w:rFonts w:eastAsia="Times New Roman" w:cs="Calibri"/>
                <w:b/>
                <w:bCs/>
                <w:color w:val="000000"/>
                <w:sz w:val="16"/>
                <w:szCs w:val="16"/>
              </w:rPr>
              <w:t>25 165,34</w:t>
            </w:r>
          </w:p>
          <w:p w14:paraId="3AD0F817" w14:textId="3E744643" w:rsidR="00CD55E7" w:rsidRPr="00C77D21" w:rsidRDefault="00CD55E7" w:rsidP="0061790F">
            <w:pPr>
              <w:spacing w:after="0" w:line="240" w:lineRule="auto"/>
              <w:jc w:val="center"/>
              <w:rPr>
                <w:rFonts w:eastAsia="Times New Roman" w:cs="Calibri"/>
                <w:b/>
                <w:bCs/>
                <w:color w:val="000000"/>
                <w:sz w:val="18"/>
                <w:szCs w:val="18"/>
                <w:lang w:eastAsia="es-CR"/>
              </w:rPr>
            </w:pPr>
          </w:p>
        </w:tc>
      </w:tr>
      <w:tr w:rsidR="00CD55E7" w:rsidRPr="00C77D21" w14:paraId="1D22F4E0" w14:textId="77777777" w:rsidTr="0061790F">
        <w:trPr>
          <w:trHeight w:val="387"/>
        </w:trPr>
        <w:tc>
          <w:tcPr>
            <w:tcW w:w="4536" w:type="dxa"/>
            <w:tcBorders>
              <w:top w:val="nil"/>
              <w:left w:val="single" w:sz="8" w:space="0" w:color="auto"/>
              <w:bottom w:val="single" w:sz="8" w:space="0" w:color="auto"/>
              <w:right w:val="single" w:sz="8" w:space="0" w:color="auto"/>
            </w:tcBorders>
            <w:shd w:val="clear" w:color="auto" w:fill="auto"/>
            <w:noWrap/>
            <w:vAlign w:val="center"/>
            <w:hideMark/>
          </w:tcPr>
          <w:p w14:paraId="58502563" w14:textId="77777777" w:rsidR="00CD55E7" w:rsidRPr="00C77D21" w:rsidRDefault="00CD55E7" w:rsidP="0061790F">
            <w:pPr>
              <w:spacing w:after="0" w:line="240" w:lineRule="auto"/>
              <w:rPr>
                <w:rFonts w:eastAsia="Times New Roman" w:cs="Calibri"/>
                <w:b/>
                <w:bCs/>
                <w:color w:val="000000"/>
                <w:sz w:val="18"/>
                <w:szCs w:val="18"/>
                <w:lang w:eastAsia="es-CR"/>
              </w:rPr>
            </w:pPr>
            <w:r w:rsidRPr="00C77D21">
              <w:rPr>
                <w:rFonts w:eastAsia="Times New Roman" w:cs="Calibri"/>
                <w:b/>
                <w:bCs/>
                <w:color w:val="000000"/>
                <w:sz w:val="18"/>
                <w:szCs w:val="18"/>
                <w:lang w:eastAsia="es-CR"/>
              </w:rPr>
              <w:t> 1.1.9.01.01.02.0. Alquileres y derechos sobre bienes a devengar c/p</w:t>
            </w:r>
          </w:p>
        </w:tc>
        <w:tc>
          <w:tcPr>
            <w:tcW w:w="3328" w:type="dxa"/>
            <w:tcBorders>
              <w:top w:val="nil"/>
              <w:left w:val="nil"/>
              <w:bottom w:val="single" w:sz="8" w:space="0" w:color="auto"/>
              <w:right w:val="single" w:sz="8" w:space="0" w:color="auto"/>
            </w:tcBorders>
            <w:shd w:val="clear" w:color="auto" w:fill="auto"/>
            <w:noWrap/>
            <w:vAlign w:val="center"/>
            <w:hideMark/>
          </w:tcPr>
          <w:p w14:paraId="15B72B99" w14:textId="77777777" w:rsidR="00CD55E7" w:rsidRPr="00C77D21" w:rsidRDefault="00CD55E7" w:rsidP="0061790F">
            <w:pPr>
              <w:spacing w:after="0" w:line="240" w:lineRule="auto"/>
              <w:rPr>
                <w:rFonts w:eastAsia="Times New Roman" w:cs="Calibri"/>
                <w:b/>
                <w:bCs/>
                <w:color w:val="000000"/>
                <w:sz w:val="18"/>
                <w:szCs w:val="18"/>
                <w:lang w:eastAsia="es-CR"/>
              </w:rPr>
            </w:pPr>
            <w:r w:rsidRPr="00C77D21">
              <w:rPr>
                <w:rFonts w:eastAsia="Times New Roman" w:cs="Calibri"/>
                <w:b/>
                <w:bCs/>
                <w:color w:val="000000"/>
                <w:sz w:val="18"/>
                <w:szCs w:val="18"/>
                <w:lang w:eastAsia="es-CR"/>
              </w:rPr>
              <w:t> </w:t>
            </w:r>
          </w:p>
        </w:tc>
        <w:tc>
          <w:tcPr>
            <w:tcW w:w="992" w:type="dxa"/>
            <w:tcBorders>
              <w:top w:val="nil"/>
              <w:left w:val="nil"/>
              <w:bottom w:val="single" w:sz="8" w:space="0" w:color="auto"/>
              <w:right w:val="single" w:sz="8" w:space="0" w:color="auto"/>
            </w:tcBorders>
            <w:shd w:val="clear" w:color="auto" w:fill="auto"/>
            <w:noWrap/>
            <w:vAlign w:val="center"/>
            <w:hideMark/>
          </w:tcPr>
          <w:p w14:paraId="2F103DE3" w14:textId="77777777" w:rsidR="00CD55E7" w:rsidRPr="00C77D21" w:rsidRDefault="00CD55E7" w:rsidP="0061790F">
            <w:pPr>
              <w:spacing w:after="0" w:line="240" w:lineRule="auto"/>
              <w:rPr>
                <w:rFonts w:eastAsia="Times New Roman" w:cs="Calibri"/>
                <w:b/>
                <w:bCs/>
                <w:color w:val="000000"/>
                <w:sz w:val="18"/>
                <w:szCs w:val="18"/>
                <w:lang w:eastAsia="es-CR"/>
              </w:rPr>
            </w:pPr>
            <w:r w:rsidRPr="00C77D21">
              <w:rPr>
                <w:rFonts w:eastAsia="Times New Roman" w:cs="Calibri"/>
                <w:b/>
                <w:bCs/>
                <w:color w:val="000000"/>
                <w:sz w:val="18"/>
                <w:szCs w:val="18"/>
                <w:lang w:eastAsia="es-CR"/>
              </w:rPr>
              <w:t> </w:t>
            </w:r>
          </w:p>
        </w:tc>
      </w:tr>
      <w:tr w:rsidR="00CD55E7" w:rsidRPr="00C77D21" w14:paraId="040EB29C" w14:textId="77777777" w:rsidTr="0061790F">
        <w:trPr>
          <w:trHeight w:val="395"/>
        </w:trPr>
        <w:tc>
          <w:tcPr>
            <w:tcW w:w="4536" w:type="dxa"/>
            <w:tcBorders>
              <w:top w:val="nil"/>
              <w:left w:val="single" w:sz="8" w:space="0" w:color="auto"/>
              <w:bottom w:val="single" w:sz="8" w:space="0" w:color="auto"/>
              <w:right w:val="single" w:sz="8" w:space="0" w:color="auto"/>
            </w:tcBorders>
            <w:shd w:val="clear" w:color="auto" w:fill="auto"/>
            <w:noWrap/>
            <w:vAlign w:val="center"/>
            <w:hideMark/>
          </w:tcPr>
          <w:p w14:paraId="6118ECD2" w14:textId="77777777" w:rsidR="00CD55E7" w:rsidRPr="00C77D21" w:rsidRDefault="00CD55E7" w:rsidP="0061790F">
            <w:pPr>
              <w:spacing w:after="0" w:line="240" w:lineRule="auto"/>
              <w:rPr>
                <w:rFonts w:eastAsia="Times New Roman" w:cs="Calibri"/>
                <w:b/>
                <w:bCs/>
                <w:color w:val="000000"/>
                <w:sz w:val="18"/>
                <w:szCs w:val="18"/>
                <w:lang w:eastAsia="es-CR"/>
              </w:rPr>
            </w:pPr>
            <w:r w:rsidRPr="00C77D21">
              <w:rPr>
                <w:rFonts w:eastAsia="Times New Roman" w:cs="Calibri"/>
                <w:b/>
                <w:bCs/>
                <w:color w:val="000000"/>
                <w:sz w:val="18"/>
                <w:szCs w:val="18"/>
                <w:lang w:eastAsia="es-CR"/>
              </w:rPr>
              <w:t> 1.1.9.01.01.03.0. Reparaciones y mejoras sobre inmuebles de terceros arrendados c/p</w:t>
            </w:r>
          </w:p>
        </w:tc>
        <w:tc>
          <w:tcPr>
            <w:tcW w:w="3328" w:type="dxa"/>
            <w:tcBorders>
              <w:top w:val="nil"/>
              <w:left w:val="nil"/>
              <w:bottom w:val="single" w:sz="8" w:space="0" w:color="auto"/>
              <w:right w:val="single" w:sz="8" w:space="0" w:color="auto"/>
            </w:tcBorders>
            <w:shd w:val="clear" w:color="auto" w:fill="auto"/>
            <w:noWrap/>
            <w:vAlign w:val="center"/>
            <w:hideMark/>
          </w:tcPr>
          <w:p w14:paraId="14421E04" w14:textId="77777777" w:rsidR="00CD55E7" w:rsidRPr="00C77D21" w:rsidRDefault="00CD55E7" w:rsidP="0061790F">
            <w:pPr>
              <w:spacing w:after="0" w:line="240" w:lineRule="auto"/>
              <w:rPr>
                <w:rFonts w:eastAsia="Times New Roman" w:cs="Calibri"/>
                <w:color w:val="000000"/>
                <w:szCs w:val="24"/>
                <w:lang w:eastAsia="es-CR"/>
              </w:rPr>
            </w:pPr>
            <w:r w:rsidRPr="00C77D21">
              <w:rPr>
                <w:rFonts w:eastAsia="Times New Roman" w:cs="Calibri"/>
                <w:color w:val="000000"/>
                <w:szCs w:val="24"/>
                <w:lang w:eastAsia="es-CR"/>
              </w:rPr>
              <w:t> </w:t>
            </w:r>
          </w:p>
        </w:tc>
        <w:tc>
          <w:tcPr>
            <w:tcW w:w="992" w:type="dxa"/>
            <w:tcBorders>
              <w:top w:val="nil"/>
              <w:left w:val="nil"/>
              <w:bottom w:val="single" w:sz="8" w:space="0" w:color="auto"/>
              <w:right w:val="single" w:sz="8" w:space="0" w:color="auto"/>
            </w:tcBorders>
            <w:shd w:val="clear" w:color="auto" w:fill="auto"/>
            <w:noWrap/>
            <w:vAlign w:val="center"/>
            <w:hideMark/>
          </w:tcPr>
          <w:p w14:paraId="47863E3E" w14:textId="77777777" w:rsidR="00CD55E7" w:rsidRPr="00C77D21" w:rsidRDefault="00CD55E7" w:rsidP="0061790F">
            <w:pPr>
              <w:spacing w:after="0" w:line="240" w:lineRule="auto"/>
              <w:rPr>
                <w:rFonts w:eastAsia="Times New Roman" w:cs="Calibri"/>
                <w:color w:val="000000"/>
                <w:szCs w:val="24"/>
                <w:lang w:eastAsia="es-CR"/>
              </w:rPr>
            </w:pPr>
            <w:r w:rsidRPr="00C77D21">
              <w:rPr>
                <w:rFonts w:eastAsia="Times New Roman" w:cs="Calibri"/>
                <w:color w:val="000000"/>
                <w:szCs w:val="24"/>
                <w:lang w:eastAsia="es-CR"/>
              </w:rPr>
              <w:t> </w:t>
            </w:r>
          </w:p>
        </w:tc>
      </w:tr>
      <w:tr w:rsidR="00CD55E7" w:rsidRPr="00C77D21" w14:paraId="62155A36" w14:textId="77777777" w:rsidTr="0061790F">
        <w:trPr>
          <w:trHeight w:val="180"/>
        </w:trPr>
        <w:tc>
          <w:tcPr>
            <w:tcW w:w="4536" w:type="dxa"/>
            <w:tcBorders>
              <w:top w:val="nil"/>
              <w:left w:val="single" w:sz="8" w:space="0" w:color="auto"/>
              <w:bottom w:val="single" w:sz="8" w:space="0" w:color="auto"/>
              <w:right w:val="single" w:sz="8" w:space="0" w:color="auto"/>
            </w:tcBorders>
            <w:shd w:val="clear" w:color="auto" w:fill="auto"/>
            <w:noWrap/>
            <w:vAlign w:val="center"/>
            <w:hideMark/>
          </w:tcPr>
          <w:p w14:paraId="42E6B53B" w14:textId="77777777" w:rsidR="00CD55E7" w:rsidRPr="00C77D21" w:rsidRDefault="00CD55E7" w:rsidP="0061790F">
            <w:pPr>
              <w:spacing w:after="0" w:line="240" w:lineRule="auto"/>
              <w:rPr>
                <w:rFonts w:eastAsia="Times New Roman" w:cs="Calibri"/>
                <w:b/>
                <w:bCs/>
                <w:color w:val="000000"/>
                <w:sz w:val="18"/>
                <w:szCs w:val="18"/>
                <w:lang w:eastAsia="es-CR"/>
              </w:rPr>
            </w:pPr>
            <w:r w:rsidRPr="00C77D21">
              <w:rPr>
                <w:rFonts w:eastAsia="Times New Roman" w:cs="Calibri"/>
                <w:b/>
                <w:bCs/>
                <w:color w:val="000000"/>
                <w:sz w:val="18"/>
                <w:szCs w:val="18"/>
                <w:lang w:eastAsia="es-CR"/>
              </w:rPr>
              <w:t> 1.1.9.01.01.99.0. Otros servicios a devengar c/p</w:t>
            </w:r>
          </w:p>
        </w:tc>
        <w:tc>
          <w:tcPr>
            <w:tcW w:w="3328" w:type="dxa"/>
            <w:tcBorders>
              <w:top w:val="nil"/>
              <w:left w:val="nil"/>
              <w:bottom w:val="single" w:sz="8" w:space="0" w:color="auto"/>
              <w:right w:val="single" w:sz="8" w:space="0" w:color="auto"/>
            </w:tcBorders>
            <w:shd w:val="clear" w:color="auto" w:fill="auto"/>
            <w:noWrap/>
            <w:vAlign w:val="center"/>
            <w:hideMark/>
          </w:tcPr>
          <w:p w14:paraId="27C378DE" w14:textId="77777777" w:rsidR="00CD55E7" w:rsidRPr="00C77D21" w:rsidRDefault="00CD55E7" w:rsidP="0061790F">
            <w:pPr>
              <w:spacing w:after="0" w:line="240" w:lineRule="auto"/>
              <w:rPr>
                <w:rFonts w:eastAsia="Times New Roman" w:cs="Calibri"/>
                <w:color w:val="000000"/>
                <w:szCs w:val="24"/>
                <w:lang w:eastAsia="es-CR"/>
              </w:rPr>
            </w:pPr>
            <w:r w:rsidRPr="00C77D21">
              <w:rPr>
                <w:rFonts w:eastAsia="Times New Roman" w:cs="Calibri"/>
                <w:color w:val="000000"/>
                <w:szCs w:val="24"/>
                <w:lang w:eastAsia="es-CR"/>
              </w:rPr>
              <w:t> </w:t>
            </w:r>
          </w:p>
        </w:tc>
        <w:tc>
          <w:tcPr>
            <w:tcW w:w="992" w:type="dxa"/>
            <w:tcBorders>
              <w:top w:val="nil"/>
              <w:left w:val="nil"/>
              <w:bottom w:val="single" w:sz="8" w:space="0" w:color="auto"/>
              <w:right w:val="single" w:sz="8" w:space="0" w:color="auto"/>
            </w:tcBorders>
            <w:shd w:val="clear" w:color="auto" w:fill="auto"/>
            <w:noWrap/>
            <w:vAlign w:val="center"/>
            <w:hideMark/>
          </w:tcPr>
          <w:p w14:paraId="1100ADB9" w14:textId="77777777" w:rsidR="00CD55E7" w:rsidRPr="00C77D21" w:rsidRDefault="00CD55E7" w:rsidP="0061790F">
            <w:pPr>
              <w:spacing w:after="0" w:line="240" w:lineRule="auto"/>
              <w:rPr>
                <w:rFonts w:eastAsia="Times New Roman" w:cs="Calibri"/>
                <w:color w:val="000000"/>
                <w:szCs w:val="24"/>
                <w:lang w:eastAsia="es-CR"/>
              </w:rPr>
            </w:pPr>
            <w:r w:rsidRPr="00C77D21">
              <w:rPr>
                <w:rFonts w:eastAsia="Times New Roman" w:cs="Calibri"/>
                <w:color w:val="000000"/>
                <w:szCs w:val="24"/>
                <w:lang w:eastAsia="es-CR"/>
              </w:rPr>
              <w:t> </w:t>
            </w:r>
          </w:p>
        </w:tc>
      </w:tr>
    </w:tbl>
    <w:p w14:paraId="7CE1E4F2" w14:textId="5EF51B21" w:rsidR="00396CB4" w:rsidRPr="00396CB4" w:rsidRDefault="00692DC8" w:rsidP="00396CB4">
      <w:pPr>
        <w:spacing w:before="240"/>
      </w:pPr>
      <w:r w:rsidRPr="00692DC8">
        <w:rPr>
          <w:rFonts w:eastAsia="Times New Roman"/>
          <w:b/>
          <w:bCs/>
          <w:sz w:val="22"/>
          <w:lang w:val="es-ES" w:eastAsia="es-CR"/>
        </w:rPr>
        <w:t>Revelación</w:t>
      </w:r>
      <w:r w:rsidRPr="00692DC8">
        <w:rPr>
          <w:rFonts w:eastAsia="Times New Roman"/>
          <w:sz w:val="22"/>
          <w:lang w:val="es-ES" w:eastAsia="es-CR"/>
        </w:rPr>
        <w:t xml:space="preserve">: </w:t>
      </w:r>
      <w:r w:rsidR="00C77D21">
        <w:rPr>
          <w:rFonts w:eastAsia="Times New Roman" w:cs="Calibri"/>
          <w:color w:val="000000"/>
          <w:lang w:eastAsia="es-CR"/>
        </w:rPr>
        <w:fldChar w:fldCharType="begin"/>
      </w:r>
      <w:r w:rsidR="00C77D21">
        <w:rPr>
          <w:rFonts w:eastAsia="Times New Roman" w:cs="Calibri"/>
          <w:color w:val="000000"/>
          <w:lang w:eastAsia="es-CR"/>
        </w:rPr>
        <w:instrText xml:space="preserve"> LINK </w:instrText>
      </w:r>
      <w:r w:rsidR="00756467">
        <w:rPr>
          <w:rFonts w:eastAsia="Times New Roman" w:cs="Calibri"/>
          <w:color w:val="000000"/>
          <w:lang w:eastAsia="es-CR"/>
        </w:rPr>
        <w:instrText xml:space="preserve">Excel.SheetMacroEnabled.12 "C:\\Users\\gcordero\\Downloads\\Notas diciembre 2024\\Formato_Notas_EEFF_Vinculadas_2024\\Formato_Notas_EEFF_Vinculadas_2024\\15603_T04_2024_Anexo_Estado_Notas_Contables_Vinculadas.xlsm" NOTAS_POR_CUENTA!F22C8 </w:instrText>
      </w:r>
      <w:r w:rsidR="00C77D21">
        <w:rPr>
          <w:rFonts w:eastAsia="Times New Roman" w:cs="Calibri"/>
          <w:color w:val="000000"/>
          <w:lang w:eastAsia="es-CR"/>
        </w:rPr>
        <w:instrText xml:space="preserve">\a \f 5 \h  \* MERGEFORMAT </w:instrText>
      </w:r>
      <w:r w:rsidR="00C77D21">
        <w:rPr>
          <w:rFonts w:eastAsia="Times New Roman" w:cs="Calibri"/>
          <w:color w:val="000000"/>
          <w:lang w:eastAsia="es-CR"/>
        </w:rPr>
        <w:fldChar w:fldCharType="separate"/>
      </w:r>
    </w:p>
    <w:p w14:paraId="625100D0" w14:textId="3759F374" w:rsidR="00396CB4" w:rsidRPr="00396CB4" w:rsidRDefault="00396CB4" w:rsidP="00396CB4">
      <w:pPr>
        <w:rPr>
          <w:rFonts w:eastAsia="Times New Roman" w:cs="Calibri"/>
          <w:color w:val="000000"/>
          <w:lang w:eastAsia="es-CR"/>
        </w:rPr>
      </w:pPr>
      <w:r w:rsidRPr="00396CB4">
        <w:rPr>
          <w:rFonts w:eastAsia="Times New Roman" w:cs="Calibri"/>
          <w:color w:val="000000"/>
          <w:lang w:eastAsia="es-CR"/>
        </w:rPr>
        <w:t>La cuenta Otros activos a corto plazo, representa el 0,02% del total del Activo, que comparado al periodo anterior genera una variación absoluta de -1 1</w:t>
      </w:r>
      <w:r w:rsidR="00796636">
        <w:rPr>
          <w:rFonts w:eastAsia="Times New Roman" w:cs="Calibri"/>
          <w:color w:val="000000"/>
          <w:lang w:eastAsia="es-CR"/>
        </w:rPr>
        <w:t>31</w:t>
      </w:r>
      <w:r w:rsidRPr="00396CB4">
        <w:rPr>
          <w:rFonts w:eastAsia="Times New Roman" w:cs="Calibri"/>
          <w:color w:val="000000"/>
          <w:lang w:eastAsia="es-CR"/>
        </w:rPr>
        <w:t>,28 que corresponde a un Disminución del -4,</w:t>
      </w:r>
      <w:r w:rsidR="00796636">
        <w:rPr>
          <w:rFonts w:eastAsia="Times New Roman" w:cs="Calibri"/>
          <w:color w:val="000000"/>
          <w:lang w:eastAsia="es-CR"/>
        </w:rPr>
        <w:t>31</w:t>
      </w:r>
      <w:r w:rsidRPr="00396CB4">
        <w:rPr>
          <w:rFonts w:eastAsia="Times New Roman" w:cs="Calibri"/>
          <w:color w:val="000000"/>
          <w:lang w:eastAsia="es-CR"/>
        </w:rPr>
        <w:t>% de recursos disponibles.</w:t>
      </w:r>
    </w:p>
    <w:p w14:paraId="5692BC87" w14:textId="1EA73662" w:rsidR="00692DC8" w:rsidRDefault="00C77D21" w:rsidP="00C77D21">
      <w:pPr>
        <w:rPr>
          <w:rFonts w:eastAsia="Times New Roman"/>
          <w:szCs w:val="24"/>
          <w:lang w:eastAsia="es-CR"/>
        </w:rPr>
      </w:pPr>
      <w:r>
        <w:rPr>
          <w:rFonts w:eastAsia="Times New Roman" w:cs="Calibri"/>
          <w:color w:val="000000"/>
          <w:lang w:eastAsia="es-CR"/>
        </w:rPr>
        <w:fldChar w:fldCharType="end"/>
      </w:r>
      <w:r w:rsidR="00692DC8" w:rsidRPr="00692DC8">
        <w:rPr>
          <w:rFonts w:eastAsia="Times New Roman"/>
          <w:sz w:val="22"/>
          <w:szCs w:val="24"/>
          <w:highlight w:val="lightGray"/>
          <w:lang w:eastAsia="es-CR"/>
        </w:rPr>
        <w:t>Las variaciones de la cuenta son producto de (Indicar la razón de las variaciones de un periodo a otro</w:t>
      </w:r>
      <w:r w:rsidR="00692DC8" w:rsidRPr="00692DC8">
        <w:rPr>
          <w:rFonts w:eastAsia="Times New Roman"/>
          <w:szCs w:val="24"/>
          <w:highlight w:val="lightGray"/>
          <w:lang w:eastAsia="es-CR"/>
        </w:rPr>
        <w:t>):</w:t>
      </w:r>
      <w:r w:rsidR="00692DC8" w:rsidRPr="00692DC8">
        <w:rPr>
          <w:rFonts w:eastAsia="Times New Roman"/>
          <w:szCs w:val="24"/>
          <w:lang w:eastAsia="es-CR"/>
        </w:rPr>
        <w:t xml:space="preserve"> </w:t>
      </w:r>
    </w:p>
    <w:p w14:paraId="1B0CA78F" w14:textId="77777777" w:rsidR="00CD55E7" w:rsidRDefault="00CD55E7" w:rsidP="00CD55E7">
      <w:pPr>
        <w:spacing w:after="0" w:line="240" w:lineRule="auto"/>
        <w:rPr>
          <w:bCs/>
          <w:lang w:eastAsia="es-CR"/>
        </w:rPr>
      </w:pPr>
      <w:bookmarkStart w:id="226" w:name="_Toc82768916"/>
      <w:bookmarkStart w:id="227" w:name="_Toc13041064"/>
      <w:bookmarkStart w:id="228" w:name="_Toc14345063"/>
      <w:bookmarkStart w:id="229" w:name="_Toc33601216"/>
      <w:r>
        <w:rPr>
          <w:bCs/>
          <w:lang w:eastAsia="es-CR"/>
        </w:rPr>
        <w:t>La cuenta presenta el saldo de los seguros pagados por anticipado y la variación es producto del hecho de que se adquirieron pólizas por las cuales se han cancelado nuevas primas, sobre las que se ha</w:t>
      </w:r>
      <w:r w:rsidRPr="00641B94">
        <w:rPr>
          <w:bCs/>
          <w:lang w:eastAsia="es-CR"/>
        </w:rPr>
        <w:t xml:space="preserve"> registr</w:t>
      </w:r>
      <w:r>
        <w:rPr>
          <w:bCs/>
          <w:lang w:eastAsia="es-CR"/>
        </w:rPr>
        <w:t>ad</w:t>
      </w:r>
      <w:r w:rsidRPr="00641B94">
        <w:rPr>
          <w:bCs/>
          <w:lang w:eastAsia="es-CR"/>
        </w:rPr>
        <w:t>o el gasto mensual de las primas de seguros pagadas por anticipado, como parte de uso del método del devengo según las NICSP.</w:t>
      </w:r>
      <w:r>
        <w:rPr>
          <w:bCs/>
          <w:lang w:eastAsia="es-CR"/>
        </w:rPr>
        <w:t xml:space="preserve"> El detalle de las pólizas que posee la Municipalidad de Buenos Aires y los respectivos gastos reconocidos se detalla en el siguiente cuadro:</w:t>
      </w:r>
    </w:p>
    <w:p w14:paraId="4F84CE4C" w14:textId="77777777" w:rsidR="00CD55E7" w:rsidRDefault="00CD55E7" w:rsidP="00CD55E7">
      <w:pPr>
        <w:rPr>
          <w:rFonts w:eastAsia="Times New Roman"/>
          <w:szCs w:val="24"/>
          <w:lang w:eastAsia="es-CR"/>
        </w:rPr>
      </w:pPr>
    </w:p>
    <w:tbl>
      <w:tblPr>
        <w:tblW w:w="8987" w:type="dxa"/>
        <w:tblCellMar>
          <w:left w:w="70" w:type="dxa"/>
          <w:right w:w="70" w:type="dxa"/>
        </w:tblCellMar>
        <w:tblLook w:val="04A0" w:firstRow="1" w:lastRow="0" w:firstColumn="1" w:lastColumn="0" w:noHBand="0" w:noVBand="1"/>
      </w:tblPr>
      <w:tblGrid>
        <w:gridCol w:w="1704"/>
        <w:gridCol w:w="1956"/>
        <w:gridCol w:w="1150"/>
        <w:gridCol w:w="1172"/>
        <w:gridCol w:w="978"/>
        <w:gridCol w:w="879"/>
        <w:gridCol w:w="1148"/>
      </w:tblGrid>
      <w:tr w:rsidR="00CD55E7" w:rsidRPr="00CF2E54" w14:paraId="5AF2786C" w14:textId="77777777" w:rsidTr="0061790F">
        <w:trPr>
          <w:trHeight w:val="295"/>
        </w:trPr>
        <w:tc>
          <w:tcPr>
            <w:tcW w:w="1704" w:type="dxa"/>
            <w:vMerge w:val="restart"/>
            <w:tcBorders>
              <w:top w:val="single" w:sz="8" w:space="0" w:color="auto"/>
              <w:left w:val="single" w:sz="8" w:space="0" w:color="auto"/>
              <w:bottom w:val="single" w:sz="8" w:space="0" w:color="000000"/>
              <w:right w:val="single" w:sz="8" w:space="0" w:color="auto"/>
            </w:tcBorders>
            <w:shd w:val="clear" w:color="000000" w:fill="B4C6E7"/>
            <w:vAlign w:val="center"/>
            <w:hideMark/>
          </w:tcPr>
          <w:p w14:paraId="34EB200A" w14:textId="77777777" w:rsidR="00CD55E7" w:rsidRPr="00CF2E54" w:rsidRDefault="00CD55E7" w:rsidP="0061790F">
            <w:pPr>
              <w:spacing w:after="0" w:line="240" w:lineRule="auto"/>
              <w:jc w:val="center"/>
              <w:rPr>
                <w:rFonts w:eastAsia="Times New Roman" w:cs="Calibri"/>
                <w:b/>
                <w:bCs/>
                <w:color w:val="000000"/>
                <w:sz w:val="16"/>
                <w:szCs w:val="16"/>
                <w:lang w:eastAsia="es-CR"/>
              </w:rPr>
            </w:pPr>
            <w:r w:rsidRPr="00CF2E54">
              <w:rPr>
                <w:rFonts w:eastAsia="Times New Roman" w:cs="Calibri"/>
                <w:b/>
                <w:bCs/>
                <w:color w:val="000000"/>
                <w:sz w:val="16"/>
                <w:szCs w:val="16"/>
                <w:lang w:eastAsia="es-CR"/>
              </w:rPr>
              <w:t>Número de Póliza</w:t>
            </w:r>
          </w:p>
        </w:tc>
        <w:tc>
          <w:tcPr>
            <w:tcW w:w="1956" w:type="dxa"/>
            <w:vMerge w:val="restart"/>
            <w:tcBorders>
              <w:top w:val="single" w:sz="8" w:space="0" w:color="auto"/>
              <w:left w:val="single" w:sz="8" w:space="0" w:color="auto"/>
              <w:bottom w:val="single" w:sz="8" w:space="0" w:color="000000"/>
              <w:right w:val="single" w:sz="8" w:space="0" w:color="auto"/>
            </w:tcBorders>
            <w:shd w:val="clear" w:color="000000" w:fill="B4C6E7"/>
            <w:vAlign w:val="center"/>
            <w:hideMark/>
          </w:tcPr>
          <w:p w14:paraId="3B38DEB9" w14:textId="77777777" w:rsidR="00CD55E7" w:rsidRPr="00CF2E54" w:rsidRDefault="00CD55E7" w:rsidP="0061790F">
            <w:pPr>
              <w:spacing w:after="0" w:line="240" w:lineRule="auto"/>
              <w:jc w:val="center"/>
              <w:rPr>
                <w:rFonts w:eastAsia="Times New Roman" w:cs="Calibri"/>
                <w:b/>
                <w:bCs/>
                <w:color w:val="000000"/>
                <w:sz w:val="18"/>
                <w:szCs w:val="18"/>
                <w:lang w:eastAsia="es-CR"/>
              </w:rPr>
            </w:pPr>
            <w:r w:rsidRPr="00CF2E54">
              <w:rPr>
                <w:rFonts w:eastAsia="Times New Roman" w:cs="Calibri"/>
                <w:b/>
                <w:bCs/>
                <w:color w:val="000000"/>
                <w:sz w:val="18"/>
                <w:szCs w:val="18"/>
                <w:lang w:eastAsia="es-CR"/>
              </w:rPr>
              <w:t>Tipo de Póliza</w:t>
            </w:r>
          </w:p>
        </w:tc>
        <w:tc>
          <w:tcPr>
            <w:tcW w:w="1150" w:type="dxa"/>
            <w:vMerge w:val="restart"/>
            <w:tcBorders>
              <w:top w:val="single" w:sz="8" w:space="0" w:color="auto"/>
              <w:left w:val="single" w:sz="8" w:space="0" w:color="auto"/>
              <w:bottom w:val="single" w:sz="8" w:space="0" w:color="000000"/>
              <w:right w:val="single" w:sz="8" w:space="0" w:color="auto"/>
            </w:tcBorders>
            <w:shd w:val="clear" w:color="000000" w:fill="B4C6E7"/>
            <w:vAlign w:val="center"/>
            <w:hideMark/>
          </w:tcPr>
          <w:p w14:paraId="0FC536CD" w14:textId="77777777" w:rsidR="00CD55E7" w:rsidRPr="00CF2E54" w:rsidRDefault="00CD55E7" w:rsidP="0061790F">
            <w:pPr>
              <w:spacing w:after="0" w:line="240" w:lineRule="auto"/>
              <w:jc w:val="center"/>
              <w:rPr>
                <w:rFonts w:eastAsia="Times New Roman" w:cs="Calibri"/>
                <w:b/>
                <w:bCs/>
                <w:color w:val="000000"/>
                <w:sz w:val="18"/>
                <w:szCs w:val="18"/>
                <w:lang w:eastAsia="es-CR"/>
              </w:rPr>
            </w:pPr>
            <w:r w:rsidRPr="00CF2E54">
              <w:rPr>
                <w:rFonts w:eastAsia="Times New Roman" w:cs="Calibri"/>
                <w:b/>
                <w:bCs/>
                <w:color w:val="000000"/>
                <w:sz w:val="18"/>
                <w:szCs w:val="18"/>
                <w:lang w:eastAsia="es-CR"/>
              </w:rPr>
              <w:t>Plazo de la Póliza</w:t>
            </w:r>
          </w:p>
        </w:tc>
        <w:tc>
          <w:tcPr>
            <w:tcW w:w="1172" w:type="dxa"/>
            <w:vMerge w:val="restart"/>
            <w:tcBorders>
              <w:top w:val="single" w:sz="8" w:space="0" w:color="auto"/>
              <w:left w:val="single" w:sz="8" w:space="0" w:color="auto"/>
              <w:bottom w:val="single" w:sz="8" w:space="0" w:color="000000"/>
              <w:right w:val="single" w:sz="8" w:space="0" w:color="auto"/>
            </w:tcBorders>
            <w:shd w:val="clear" w:color="000000" w:fill="B4C6E7"/>
            <w:vAlign w:val="center"/>
            <w:hideMark/>
          </w:tcPr>
          <w:p w14:paraId="1BD416EA" w14:textId="77777777" w:rsidR="00CD55E7" w:rsidRPr="00CF2E54" w:rsidRDefault="00CD55E7" w:rsidP="0061790F">
            <w:pPr>
              <w:spacing w:after="0" w:line="240" w:lineRule="auto"/>
              <w:jc w:val="center"/>
              <w:rPr>
                <w:rFonts w:eastAsia="Times New Roman" w:cs="Calibri"/>
                <w:b/>
                <w:bCs/>
                <w:color w:val="000000"/>
                <w:sz w:val="18"/>
                <w:szCs w:val="18"/>
                <w:lang w:eastAsia="es-CR"/>
              </w:rPr>
            </w:pPr>
            <w:r w:rsidRPr="00CF2E54">
              <w:rPr>
                <w:rFonts w:eastAsia="Times New Roman" w:cs="Calibri"/>
                <w:b/>
                <w:bCs/>
                <w:color w:val="000000"/>
                <w:sz w:val="18"/>
                <w:szCs w:val="18"/>
                <w:lang w:eastAsia="es-CR"/>
              </w:rPr>
              <w:t>Monto de Prima</w:t>
            </w:r>
          </w:p>
        </w:tc>
        <w:tc>
          <w:tcPr>
            <w:tcW w:w="1857" w:type="dxa"/>
            <w:gridSpan w:val="2"/>
            <w:tcBorders>
              <w:top w:val="nil"/>
              <w:left w:val="nil"/>
              <w:bottom w:val="single" w:sz="8" w:space="0" w:color="auto"/>
              <w:right w:val="nil"/>
            </w:tcBorders>
            <w:shd w:val="clear" w:color="000000" w:fill="B4C6E7"/>
            <w:vAlign w:val="center"/>
            <w:hideMark/>
          </w:tcPr>
          <w:p w14:paraId="327FCA94" w14:textId="77777777" w:rsidR="00CD55E7" w:rsidRPr="00CF2E54" w:rsidRDefault="00CD55E7" w:rsidP="0061790F">
            <w:pPr>
              <w:spacing w:after="0" w:line="240" w:lineRule="auto"/>
              <w:jc w:val="center"/>
              <w:rPr>
                <w:rFonts w:eastAsia="Times New Roman" w:cs="Calibri"/>
                <w:b/>
                <w:bCs/>
                <w:color w:val="000000"/>
                <w:sz w:val="18"/>
                <w:szCs w:val="18"/>
                <w:lang w:eastAsia="es-CR"/>
              </w:rPr>
            </w:pPr>
            <w:r w:rsidRPr="00CF2E54">
              <w:rPr>
                <w:rFonts w:eastAsia="Times New Roman" w:cs="Calibri"/>
                <w:b/>
                <w:bCs/>
                <w:color w:val="000000"/>
                <w:sz w:val="18"/>
                <w:szCs w:val="18"/>
                <w:lang w:eastAsia="es-CR"/>
              </w:rPr>
              <w:t>Vigencia</w:t>
            </w:r>
          </w:p>
        </w:tc>
        <w:tc>
          <w:tcPr>
            <w:tcW w:w="1148" w:type="dxa"/>
            <w:vMerge w:val="restart"/>
            <w:tcBorders>
              <w:top w:val="single" w:sz="8" w:space="0" w:color="auto"/>
              <w:left w:val="single" w:sz="8" w:space="0" w:color="auto"/>
              <w:bottom w:val="single" w:sz="8" w:space="0" w:color="000000"/>
              <w:right w:val="single" w:sz="8" w:space="0" w:color="auto"/>
            </w:tcBorders>
            <w:shd w:val="clear" w:color="000000" w:fill="B4C6E7"/>
            <w:vAlign w:val="center"/>
            <w:hideMark/>
          </w:tcPr>
          <w:p w14:paraId="6B8B52C0" w14:textId="77777777" w:rsidR="00CD55E7" w:rsidRPr="00CF2E54" w:rsidRDefault="00CD55E7" w:rsidP="0061790F">
            <w:pPr>
              <w:spacing w:after="0" w:line="240" w:lineRule="auto"/>
              <w:jc w:val="center"/>
              <w:rPr>
                <w:rFonts w:eastAsia="Times New Roman" w:cs="Calibri"/>
                <w:b/>
                <w:bCs/>
                <w:color w:val="000000"/>
                <w:sz w:val="18"/>
                <w:szCs w:val="18"/>
                <w:lang w:eastAsia="es-CR"/>
              </w:rPr>
            </w:pPr>
            <w:r w:rsidRPr="00CF2E54">
              <w:rPr>
                <w:rFonts w:eastAsia="Times New Roman" w:cs="Calibri"/>
                <w:b/>
                <w:bCs/>
                <w:color w:val="000000"/>
                <w:sz w:val="18"/>
                <w:szCs w:val="18"/>
                <w:lang w:eastAsia="es-CR"/>
              </w:rPr>
              <w:t>Saldo de Prima</w:t>
            </w:r>
          </w:p>
        </w:tc>
      </w:tr>
      <w:tr w:rsidR="00CD55E7" w:rsidRPr="00CF2E54" w14:paraId="4AFEFD48" w14:textId="77777777" w:rsidTr="0061790F">
        <w:trPr>
          <w:trHeight w:val="295"/>
        </w:trPr>
        <w:tc>
          <w:tcPr>
            <w:tcW w:w="1704" w:type="dxa"/>
            <w:vMerge/>
            <w:tcBorders>
              <w:top w:val="single" w:sz="8" w:space="0" w:color="auto"/>
              <w:left w:val="single" w:sz="8" w:space="0" w:color="auto"/>
              <w:bottom w:val="single" w:sz="8" w:space="0" w:color="000000"/>
              <w:right w:val="single" w:sz="8" w:space="0" w:color="auto"/>
            </w:tcBorders>
            <w:vAlign w:val="center"/>
            <w:hideMark/>
          </w:tcPr>
          <w:p w14:paraId="2302BDFF" w14:textId="77777777" w:rsidR="00CD55E7" w:rsidRPr="00CF2E54" w:rsidRDefault="00CD55E7" w:rsidP="0061790F">
            <w:pPr>
              <w:spacing w:after="0" w:line="240" w:lineRule="auto"/>
              <w:jc w:val="left"/>
              <w:rPr>
                <w:rFonts w:eastAsia="Times New Roman" w:cs="Calibri"/>
                <w:b/>
                <w:bCs/>
                <w:color w:val="000000"/>
                <w:sz w:val="16"/>
                <w:szCs w:val="16"/>
                <w:lang w:eastAsia="es-CR"/>
              </w:rPr>
            </w:pPr>
          </w:p>
        </w:tc>
        <w:tc>
          <w:tcPr>
            <w:tcW w:w="1956" w:type="dxa"/>
            <w:vMerge/>
            <w:tcBorders>
              <w:top w:val="single" w:sz="8" w:space="0" w:color="auto"/>
              <w:left w:val="single" w:sz="8" w:space="0" w:color="auto"/>
              <w:bottom w:val="single" w:sz="8" w:space="0" w:color="000000"/>
              <w:right w:val="single" w:sz="8" w:space="0" w:color="auto"/>
            </w:tcBorders>
            <w:vAlign w:val="center"/>
            <w:hideMark/>
          </w:tcPr>
          <w:p w14:paraId="3B3FB5A8" w14:textId="77777777" w:rsidR="00CD55E7" w:rsidRPr="00CF2E54" w:rsidRDefault="00CD55E7" w:rsidP="0061790F">
            <w:pPr>
              <w:spacing w:after="0" w:line="240" w:lineRule="auto"/>
              <w:jc w:val="left"/>
              <w:rPr>
                <w:rFonts w:eastAsia="Times New Roman" w:cs="Calibri"/>
                <w:b/>
                <w:bCs/>
                <w:color w:val="000000"/>
                <w:sz w:val="18"/>
                <w:szCs w:val="18"/>
                <w:lang w:eastAsia="es-CR"/>
              </w:rPr>
            </w:pPr>
          </w:p>
        </w:tc>
        <w:tc>
          <w:tcPr>
            <w:tcW w:w="1150" w:type="dxa"/>
            <w:vMerge/>
            <w:tcBorders>
              <w:top w:val="single" w:sz="8" w:space="0" w:color="auto"/>
              <w:left w:val="single" w:sz="8" w:space="0" w:color="auto"/>
              <w:bottom w:val="single" w:sz="8" w:space="0" w:color="000000"/>
              <w:right w:val="single" w:sz="8" w:space="0" w:color="auto"/>
            </w:tcBorders>
            <w:vAlign w:val="center"/>
            <w:hideMark/>
          </w:tcPr>
          <w:p w14:paraId="1628B597" w14:textId="77777777" w:rsidR="00CD55E7" w:rsidRPr="00CF2E54" w:rsidRDefault="00CD55E7" w:rsidP="0061790F">
            <w:pPr>
              <w:spacing w:after="0" w:line="240" w:lineRule="auto"/>
              <w:jc w:val="left"/>
              <w:rPr>
                <w:rFonts w:eastAsia="Times New Roman" w:cs="Calibri"/>
                <w:b/>
                <w:bCs/>
                <w:color w:val="000000"/>
                <w:sz w:val="18"/>
                <w:szCs w:val="18"/>
                <w:lang w:eastAsia="es-CR"/>
              </w:rPr>
            </w:pPr>
          </w:p>
        </w:tc>
        <w:tc>
          <w:tcPr>
            <w:tcW w:w="1172" w:type="dxa"/>
            <w:vMerge/>
            <w:tcBorders>
              <w:top w:val="single" w:sz="8" w:space="0" w:color="auto"/>
              <w:left w:val="single" w:sz="8" w:space="0" w:color="auto"/>
              <w:bottom w:val="single" w:sz="8" w:space="0" w:color="000000"/>
              <w:right w:val="single" w:sz="8" w:space="0" w:color="auto"/>
            </w:tcBorders>
            <w:vAlign w:val="center"/>
            <w:hideMark/>
          </w:tcPr>
          <w:p w14:paraId="32CB273D" w14:textId="77777777" w:rsidR="00CD55E7" w:rsidRPr="00CF2E54" w:rsidRDefault="00CD55E7" w:rsidP="0061790F">
            <w:pPr>
              <w:spacing w:after="0" w:line="240" w:lineRule="auto"/>
              <w:jc w:val="left"/>
              <w:rPr>
                <w:rFonts w:eastAsia="Times New Roman" w:cs="Calibri"/>
                <w:b/>
                <w:bCs/>
                <w:color w:val="000000"/>
                <w:sz w:val="18"/>
                <w:szCs w:val="18"/>
                <w:lang w:eastAsia="es-CR"/>
              </w:rPr>
            </w:pPr>
          </w:p>
        </w:tc>
        <w:tc>
          <w:tcPr>
            <w:tcW w:w="978" w:type="dxa"/>
            <w:tcBorders>
              <w:top w:val="nil"/>
              <w:left w:val="nil"/>
              <w:bottom w:val="nil"/>
              <w:right w:val="single" w:sz="8" w:space="0" w:color="auto"/>
            </w:tcBorders>
            <w:shd w:val="clear" w:color="000000" w:fill="B4C6E7"/>
            <w:vAlign w:val="center"/>
            <w:hideMark/>
          </w:tcPr>
          <w:p w14:paraId="36AD30A5" w14:textId="77777777" w:rsidR="00CD55E7" w:rsidRPr="00CF2E54" w:rsidRDefault="00CD55E7" w:rsidP="0061790F">
            <w:pPr>
              <w:spacing w:after="0" w:line="240" w:lineRule="auto"/>
              <w:jc w:val="center"/>
              <w:rPr>
                <w:rFonts w:eastAsia="Times New Roman" w:cs="Calibri"/>
                <w:b/>
                <w:bCs/>
                <w:color w:val="000000"/>
                <w:sz w:val="18"/>
                <w:szCs w:val="18"/>
                <w:lang w:eastAsia="es-CR"/>
              </w:rPr>
            </w:pPr>
            <w:r w:rsidRPr="00CF2E54">
              <w:rPr>
                <w:rFonts w:eastAsia="Times New Roman" w:cs="Calibri"/>
                <w:b/>
                <w:bCs/>
                <w:color w:val="000000"/>
                <w:sz w:val="18"/>
                <w:szCs w:val="18"/>
                <w:lang w:eastAsia="es-CR"/>
              </w:rPr>
              <w:t>Desde</w:t>
            </w:r>
          </w:p>
        </w:tc>
        <w:tc>
          <w:tcPr>
            <w:tcW w:w="879" w:type="dxa"/>
            <w:tcBorders>
              <w:top w:val="nil"/>
              <w:left w:val="nil"/>
              <w:bottom w:val="nil"/>
              <w:right w:val="nil"/>
            </w:tcBorders>
            <w:shd w:val="clear" w:color="000000" w:fill="B4C6E7"/>
            <w:vAlign w:val="center"/>
            <w:hideMark/>
          </w:tcPr>
          <w:p w14:paraId="2D2FE97B" w14:textId="77777777" w:rsidR="00CD55E7" w:rsidRPr="00CF2E54" w:rsidRDefault="00CD55E7" w:rsidP="0061790F">
            <w:pPr>
              <w:spacing w:after="0" w:line="240" w:lineRule="auto"/>
              <w:jc w:val="center"/>
              <w:rPr>
                <w:rFonts w:eastAsia="Times New Roman" w:cs="Calibri"/>
                <w:b/>
                <w:bCs/>
                <w:color w:val="000000"/>
                <w:sz w:val="18"/>
                <w:szCs w:val="18"/>
                <w:lang w:eastAsia="es-CR"/>
              </w:rPr>
            </w:pPr>
            <w:r w:rsidRPr="00CF2E54">
              <w:rPr>
                <w:rFonts w:eastAsia="Times New Roman" w:cs="Calibri"/>
                <w:b/>
                <w:bCs/>
                <w:color w:val="000000"/>
                <w:sz w:val="18"/>
                <w:szCs w:val="18"/>
                <w:lang w:eastAsia="es-CR"/>
              </w:rPr>
              <w:t>Hasta</w:t>
            </w:r>
          </w:p>
        </w:tc>
        <w:tc>
          <w:tcPr>
            <w:tcW w:w="1148" w:type="dxa"/>
            <w:vMerge/>
            <w:tcBorders>
              <w:top w:val="single" w:sz="8" w:space="0" w:color="auto"/>
              <w:left w:val="single" w:sz="8" w:space="0" w:color="auto"/>
              <w:bottom w:val="single" w:sz="8" w:space="0" w:color="000000"/>
              <w:right w:val="single" w:sz="8" w:space="0" w:color="auto"/>
            </w:tcBorders>
            <w:vAlign w:val="center"/>
            <w:hideMark/>
          </w:tcPr>
          <w:p w14:paraId="221CEEB9" w14:textId="77777777" w:rsidR="00CD55E7" w:rsidRPr="00CF2E54" w:rsidRDefault="00CD55E7" w:rsidP="0061790F">
            <w:pPr>
              <w:spacing w:after="0" w:line="240" w:lineRule="auto"/>
              <w:jc w:val="left"/>
              <w:rPr>
                <w:rFonts w:eastAsia="Times New Roman" w:cs="Calibri"/>
                <w:b/>
                <w:bCs/>
                <w:color w:val="000000"/>
                <w:sz w:val="18"/>
                <w:szCs w:val="18"/>
                <w:lang w:eastAsia="es-CR"/>
              </w:rPr>
            </w:pPr>
          </w:p>
        </w:tc>
      </w:tr>
      <w:tr w:rsidR="00CD55E7" w:rsidRPr="00CF2E54" w14:paraId="7044A6C9" w14:textId="77777777" w:rsidTr="0061790F">
        <w:trPr>
          <w:trHeight w:val="295"/>
        </w:trPr>
        <w:tc>
          <w:tcPr>
            <w:tcW w:w="1704" w:type="dxa"/>
            <w:tcBorders>
              <w:top w:val="nil"/>
              <w:left w:val="single" w:sz="8" w:space="0" w:color="auto"/>
              <w:bottom w:val="single" w:sz="4" w:space="0" w:color="auto"/>
              <w:right w:val="single" w:sz="4" w:space="0" w:color="auto"/>
            </w:tcBorders>
            <w:shd w:val="clear" w:color="auto" w:fill="auto"/>
            <w:noWrap/>
            <w:vAlign w:val="bottom"/>
            <w:hideMark/>
          </w:tcPr>
          <w:p w14:paraId="33479756" w14:textId="77777777" w:rsidR="00CD55E7" w:rsidRPr="00CF2E54" w:rsidRDefault="00CD55E7" w:rsidP="0061790F">
            <w:pPr>
              <w:spacing w:after="0" w:line="240" w:lineRule="auto"/>
              <w:jc w:val="left"/>
              <w:rPr>
                <w:rFonts w:eastAsia="Times New Roman" w:cs="Calibri"/>
                <w:color w:val="000000"/>
                <w:sz w:val="16"/>
                <w:szCs w:val="16"/>
                <w:lang w:eastAsia="es-CR"/>
              </w:rPr>
            </w:pPr>
            <w:r w:rsidRPr="00CF2E54">
              <w:rPr>
                <w:rFonts w:eastAsia="Times New Roman" w:cs="Calibri"/>
                <w:color w:val="000000"/>
                <w:sz w:val="16"/>
                <w:szCs w:val="16"/>
                <w:lang w:eastAsia="es-CR"/>
              </w:rPr>
              <w:t>01-01-RT-8801352-</w:t>
            </w:r>
          </w:p>
        </w:tc>
        <w:tc>
          <w:tcPr>
            <w:tcW w:w="1956" w:type="dxa"/>
            <w:tcBorders>
              <w:top w:val="nil"/>
              <w:left w:val="nil"/>
              <w:bottom w:val="single" w:sz="4" w:space="0" w:color="auto"/>
              <w:right w:val="single" w:sz="4" w:space="0" w:color="auto"/>
            </w:tcBorders>
            <w:shd w:val="clear" w:color="auto" w:fill="auto"/>
            <w:noWrap/>
            <w:vAlign w:val="bottom"/>
            <w:hideMark/>
          </w:tcPr>
          <w:p w14:paraId="5C859276" w14:textId="77777777" w:rsidR="00CD55E7" w:rsidRPr="00CF2E54" w:rsidRDefault="00CD55E7" w:rsidP="0061790F">
            <w:pPr>
              <w:spacing w:after="0" w:line="240" w:lineRule="auto"/>
              <w:jc w:val="center"/>
              <w:rPr>
                <w:rFonts w:eastAsia="Times New Roman" w:cs="Calibri"/>
                <w:color w:val="000000"/>
                <w:sz w:val="18"/>
                <w:szCs w:val="18"/>
                <w:lang w:eastAsia="es-CR"/>
              </w:rPr>
            </w:pPr>
            <w:r w:rsidRPr="00CF2E54">
              <w:rPr>
                <w:rFonts w:eastAsia="Times New Roman" w:cs="Calibri"/>
                <w:color w:val="000000"/>
                <w:sz w:val="18"/>
                <w:szCs w:val="18"/>
                <w:lang w:eastAsia="es-CR"/>
              </w:rPr>
              <w:t>Riesgos del Trabajo</w:t>
            </w:r>
          </w:p>
        </w:tc>
        <w:tc>
          <w:tcPr>
            <w:tcW w:w="1150" w:type="dxa"/>
            <w:tcBorders>
              <w:top w:val="nil"/>
              <w:left w:val="nil"/>
              <w:bottom w:val="single" w:sz="4" w:space="0" w:color="auto"/>
              <w:right w:val="single" w:sz="4" w:space="0" w:color="auto"/>
            </w:tcBorders>
            <w:shd w:val="clear" w:color="auto" w:fill="auto"/>
            <w:noWrap/>
            <w:vAlign w:val="bottom"/>
            <w:hideMark/>
          </w:tcPr>
          <w:p w14:paraId="0B509901" w14:textId="77777777" w:rsidR="00CD55E7" w:rsidRPr="00CF2E54" w:rsidRDefault="00CD55E7" w:rsidP="0061790F">
            <w:pPr>
              <w:spacing w:after="0" w:line="240" w:lineRule="auto"/>
              <w:jc w:val="center"/>
              <w:rPr>
                <w:rFonts w:eastAsia="Times New Roman" w:cs="Calibri"/>
                <w:color w:val="000000"/>
                <w:sz w:val="18"/>
                <w:szCs w:val="18"/>
                <w:lang w:eastAsia="es-CR"/>
              </w:rPr>
            </w:pPr>
            <w:r w:rsidRPr="00CF2E54">
              <w:rPr>
                <w:rFonts w:eastAsia="Times New Roman" w:cs="Calibri"/>
                <w:color w:val="000000"/>
                <w:sz w:val="18"/>
                <w:szCs w:val="18"/>
                <w:lang w:eastAsia="es-CR"/>
              </w:rPr>
              <w:t>1 Año</w:t>
            </w:r>
          </w:p>
        </w:tc>
        <w:tc>
          <w:tcPr>
            <w:tcW w:w="1172" w:type="dxa"/>
            <w:tcBorders>
              <w:top w:val="nil"/>
              <w:left w:val="nil"/>
              <w:bottom w:val="single" w:sz="4" w:space="0" w:color="auto"/>
              <w:right w:val="single" w:sz="4" w:space="0" w:color="auto"/>
            </w:tcBorders>
            <w:shd w:val="clear" w:color="auto" w:fill="auto"/>
            <w:noWrap/>
            <w:vAlign w:val="bottom"/>
            <w:hideMark/>
          </w:tcPr>
          <w:p w14:paraId="2E0A7090" w14:textId="77777777" w:rsidR="00CD55E7" w:rsidRPr="00CF2E54" w:rsidRDefault="00CD55E7" w:rsidP="0061790F">
            <w:pPr>
              <w:spacing w:after="0" w:line="240" w:lineRule="auto"/>
              <w:jc w:val="right"/>
              <w:rPr>
                <w:rFonts w:eastAsia="Times New Roman" w:cs="Calibri"/>
                <w:color w:val="000000"/>
                <w:sz w:val="18"/>
                <w:szCs w:val="18"/>
                <w:lang w:eastAsia="es-CR"/>
              </w:rPr>
            </w:pPr>
            <w:r w:rsidRPr="00CF2E54">
              <w:rPr>
                <w:rFonts w:eastAsia="Times New Roman" w:cs="Calibri"/>
                <w:color w:val="000000"/>
                <w:sz w:val="18"/>
                <w:szCs w:val="18"/>
                <w:lang w:eastAsia="es-CR"/>
              </w:rPr>
              <w:t xml:space="preserve">        14 168,79 </w:t>
            </w:r>
          </w:p>
        </w:tc>
        <w:tc>
          <w:tcPr>
            <w:tcW w:w="978" w:type="dxa"/>
            <w:tcBorders>
              <w:top w:val="single" w:sz="8" w:space="0" w:color="auto"/>
              <w:left w:val="nil"/>
              <w:bottom w:val="single" w:sz="4" w:space="0" w:color="auto"/>
              <w:right w:val="single" w:sz="4" w:space="0" w:color="auto"/>
            </w:tcBorders>
            <w:shd w:val="clear" w:color="auto" w:fill="auto"/>
            <w:noWrap/>
            <w:vAlign w:val="bottom"/>
            <w:hideMark/>
          </w:tcPr>
          <w:p w14:paraId="618D1CCD" w14:textId="77777777" w:rsidR="00CD55E7" w:rsidRPr="00CF2E54" w:rsidRDefault="00CD55E7" w:rsidP="0061790F">
            <w:pPr>
              <w:spacing w:after="0" w:line="240" w:lineRule="auto"/>
              <w:jc w:val="center"/>
              <w:rPr>
                <w:rFonts w:eastAsia="Times New Roman" w:cs="Calibri"/>
                <w:sz w:val="18"/>
                <w:szCs w:val="18"/>
                <w:lang w:eastAsia="es-CR"/>
              </w:rPr>
            </w:pPr>
            <w:r w:rsidRPr="00CF2E54">
              <w:rPr>
                <w:rFonts w:eastAsia="Times New Roman" w:cs="Calibri"/>
                <w:sz w:val="18"/>
                <w:szCs w:val="18"/>
                <w:lang w:eastAsia="es-CR"/>
              </w:rPr>
              <w:t>1/1/2023</w:t>
            </w:r>
          </w:p>
        </w:tc>
        <w:tc>
          <w:tcPr>
            <w:tcW w:w="879" w:type="dxa"/>
            <w:tcBorders>
              <w:top w:val="single" w:sz="8" w:space="0" w:color="auto"/>
              <w:left w:val="nil"/>
              <w:bottom w:val="single" w:sz="4" w:space="0" w:color="auto"/>
              <w:right w:val="nil"/>
            </w:tcBorders>
            <w:shd w:val="clear" w:color="auto" w:fill="auto"/>
            <w:noWrap/>
            <w:vAlign w:val="bottom"/>
            <w:hideMark/>
          </w:tcPr>
          <w:p w14:paraId="7D96D22A" w14:textId="77777777" w:rsidR="00CD55E7" w:rsidRPr="00CF2E54" w:rsidRDefault="00CD55E7" w:rsidP="0061790F">
            <w:pPr>
              <w:spacing w:after="0" w:line="240" w:lineRule="auto"/>
              <w:jc w:val="center"/>
              <w:rPr>
                <w:rFonts w:eastAsia="Times New Roman" w:cs="Calibri"/>
                <w:sz w:val="18"/>
                <w:szCs w:val="18"/>
                <w:lang w:eastAsia="es-CR"/>
              </w:rPr>
            </w:pPr>
            <w:r w:rsidRPr="00CF2E54">
              <w:rPr>
                <w:rFonts w:eastAsia="Times New Roman" w:cs="Calibri"/>
                <w:sz w:val="18"/>
                <w:szCs w:val="18"/>
                <w:lang w:eastAsia="es-CR"/>
              </w:rPr>
              <w:t>31/12/2023</w:t>
            </w:r>
          </w:p>
        </w:tc>
        <w:tc>
          <w:tcPr>
            <w:tcW w:w="1148" w:type="dxa"/>
            <w:tcBorders>
              <w:top w:val="nil"/>
              <w:left w:val="single" w:sz="4" w:space="0" w:color="auto"/>
              <w:bottom w:val="single" w:sz="4" w:space="0" w:color="auto"/>
              <w:right w:val="single" w:sz="8" w:space="0" w:color="auto"/>
            </w:tcBorders>
            <w:shd w:val="clear" w:color="auto" w:fill="auto"/>
            <w:noWrap/>
            <w:vAlign w:val="bottom"/>
            <w:hideMark/>
          </w:tcPr>
          <w:p w14:paraId="1E099277" w14:textId="77777777" w:rsidR="00CD55E7" w:rsidRPr="00CF2E54" w:rsidRDefault="00CD55E7" w:rsidP="0061790F">
            <w:pPr>
              <w:spacing w:after="0" w:line="240" w:lineRule="auto"/>
              <w:jc w:val="right"/>
              <w:rPr>
                <w:rFonts w:eastAsia="Times New Roman" w:cs="Calibri"/>
                <w:color w:val="000000"/>
                <w:sz w:val="18"/>
                <w:szCs w:val="18"/>
                <w:lang w:eastAsia="es-CR"/>
              </w:rPr>
            </w:pPr>
            <w:r w:rsidRPr="00CF2E54">
              <w:rPr>
                <w:rFonts w:eastAsia="Times New Roman" w:cs="Calibri"/>
                <w:color w:val="000000"/>
                <w:sz w:val="18"/>
                <w:szCs w:val="18"/>
                <w:lang w:eastAsia="es-CR"/>
              </w:rPr>
              <w:t xml:space="preserve">            0,02 </w:t>
            </w:r>
          </w:p>
        </w:tc>
      </w:tr>
      <w:tr w:rsidR="00CD55E7" w:rsidRPr="00CF2E54" w14:paraId="4B972296" w14:textId="77777777" w:rsidTr="0061790F">
        <w:trPr>
          <w:trHeight w:val="281"/>
        </w:trPr>
        <w:tc>
          <w:tcPr>
            <w:tcW w:w="170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4BF58C5" w14:textId="77777777" w:rsidR="00CD55E7" w:rsidRPr="00CF2E54" w:rsidRDefault="00CD55E7" w:rsidP="0061790F">
            <w:pPr>
              <w:spacing w:after="0" w:line="240" w:lineRule="auto"/>
              <w:jc w:val="left"/>
              <w:rPr>
                <w:rFonts w:eastAsia="Times New Roman" w:cs="Calibri"/>
                <w:sz w:val="16"/>
                <w:szCs w:val="16"/>
                <w:lang w:eastAsia="es-CR"/>
              </w:rPr>
            </w:pPr>
            <w:r w:rsidRPr="00CF2E54">
              <w:rPr>
                <w:rFonts w:eastAsia="Times New Roman" w:cs="Calibri"/>
                <w:sz w:val="16"/>
                <w:szCs w:val="16"/>
                <w:lang w:eastAsia="es-CR"/>
              </w:rPr>
              <w:t>01-01-RT-8801352-</w:t>
            </w:r>
          </w:p>
        </w:tc>
        <w:tc>
          <w:tcPr>
            <w:tcW w:w="1956" w:type="dxa"/>
            <w:tcBorders>
              <w:top w:val="single" w:sz="8" w:space="0" w:color="auto"/>
              <w:left w:val="nil"/>
              <w:bottom w:val="single" w:sz="4" w:space="0" w:color="auto"/>
              <w:right w:val="single" w:sz="4" w:space="0" w:color="auto"/>
            </w:tcBorders>
            <w:shd w:val="clear" w:color="auto" w:fill="auto"/>
            <w:noWrap/>
            <w:vAlign w:val="bottom"/>
            <w:hideMark/>
          </w:tcPr>
          <w:p w14:paraId="0BBD38D7" w14:textId="77777777" w:rsidR="00CD55E7" w:rsidRPr="00CF2E54" w:rsidRDefault="00CD55E7" w:rsidP="0061790F">
            <w:pPr>
              <w:spacing w:after="0" w:line="240" w:lineRule="auto"/>
              <w:jc w:val="center"/>
              <w:rPr>
                <w:rFonts w:eastAsia="Times New Roman" w:cs="Calibri"/>
                <w:sz w:val="18"/>
                <w:szCs w:val="18"/>
                <w:lang w:eastAsia="es-CR"/>
              </w:rPr>
            </w:pPr>
            <w:r w:rsidRPr="00CF2E54">
              <w:rPr>
                <w:rFonts w:eastAsia="Times New Roman" w:cs="Calibri"/>
                <w:sz w:val="18"/>
                <w:szCs w:val="18"/>
                <w:lang w:eastAsia="es-CR"/>
              </w:rPr>
              <w:t>Riesgos del Trabajo</w:t>
            </w:r>
          </w:p>
        </w:tc>
        <w:tc>
          <w:tcPr>
            <w:tcW w:w="1150" w:type="dxa"/>
            <w:tcBorders>
              <w:top w:val="single" w:sz="8" w:space="0" w:color="auto"/>
              <w:left w:val="nil"/>
              <w:bottom w:val="single" w:sz="4" w:space="0" w:color="auto"/>
              <w:right w:val="single" w:sz="4" w:space="0" w:color="auto"/>
            </w:tcBorders>
            <w:shd w:val="clear" w:color="auto" w:fill="auto"/>
            <w:noWrap/>
            <w:vAlign w:val="bottom"/>
            <w:hideMark/>
          </w:tcPr>
          <w:p w14:paraId="753A3737" w14:textId="77777777" w:rsidR="00CD55E7" w:rsidRPr="00CF2E54" w:rsidRDefault="00CD55E7" w:rsidP="0061790F">
            <w:pPr>
              <w:spacing w:after="0" w:line="240" w:lineRule="auto"/>
              <w:jc w:val="center"/>
              <w:rPr>
                <w:rFonts w:eastAsia="Times New Roman" w:cs="Calibri"/>
                <w:sz w:val="18"/>
                <w:szCs w:val="18"/>
                <w:lang w:eastAsia="es-CR"/>
              </w:rPr>
            </w:pPr>
            <w:r w:rsidRPr="00CF2E54">
              <w:rPr>
                <w:rFonts w:eastAsia="Times New Roman" w:cs="Calibri"/>
                <w:sz w:val="18"/>
                <w:szCs w:val="18"/>
                <w:lang w:eastAsia="es-CR"/>
              </w:rPr>
              <w:t>1 Año</w:t>
            </w:r>
          </w:p>
        </w:tc>
        <w:tc>
          <w:tcPr>
            <w:tcW w:w="1172" w:type="dxa"/>
            <w:tcBorders>
              <w:top w:val="nil"/>
              <w:left w:val="nil"/>
              <w:bottom w:val="single" w:sz="4" w:space="0" w:color="auto"/>
              <w:right w:val="single" w:sz="4" w:space="0" w:color="auto"/>
            </w:tcBorders>
            <w:shd w:val="clear" w:color="auto" w:fill="auto"/>
            <w:noWrap/>
            <w:vAlign w:val="bottom"/>
            <w:hideMark/>
          </w:tcPr>
          <w:p w14:paraId="55653223" w14:textId="77777777" w:rsidR="00CD55E7" w:rsidRPr="00CF2E54" w:rsidRDefault="00CD55E7" w:rsidP="0061790F">
            <w:pPr>
              <w:spacing w:after="0" w:line="240" w:lineRule="auto"/>
              <w:jc w:val="right"/>
              <w:rPr>
                <w:rFonts w:eastAsia="Times New Roman" w:cs="Calibri"/>
                <w:color w:val="000000"/>
                <w:sz w:val="18"/>
                <w:szCs w:val="18"/>
                <w:lang w:eastAsia="es-CR"/>
              </w:rPr>
            </w:pPr>
            <w:r w:rsidRPr="00CF2E54">
              <w:rPr>
                <w:rFonts w:eastAsia="Times New Roman" w:cs="Calibri"/>
                <w:color w:val="000000"/>
                <w:sz w:val="18"/>
                <w:szCs w:val="18"/>
                <w:lang w:eastAsia="es-CR"/>
              </w:rPr>
              <w:t xml:space="preserve">        16 018,95 </w:t>
            </w:r>
          </w:p>
        </w:tc>
        <w:tc>
          <w:tcPr>
            <w:tcW w:w="978" w:type="dxa"/>
            <w:tcBorders>
              <w:top w:val="nil"/>
              <w:left w:val="nil"/>
              <w:bottom w:val="single" w:sz="4" w:space="0" w:color="auto"/>
              <w:right w:val="single" w:sz="4" w:space="0" w:color="auto"/>
            </w:tcBorders>
            <w:shd w:val="clear" w:color="auto" w:fill="auto"/>
            <w:noWrap/>
            <w:vAlign w:val="bottom"/>
            <w:hideMark/>
          </w:tcPr>
          <w:p w14:paraId="26415DFB" w14:textId="77777777" w:rsidR="00CD55E7" w:rsidRPr="00CF2E54" w:rsidRDefault="00CD55E7" w:rsidP="0061790F">
            <w:pPr>
              <w:spacing w:after="0" w:line="240" w:lineRule="auto"/>
              <w:jc w:val="center"/>
              <w:rPr>
                <w:rFonts w:eastAsia="Times New Roman" w:cs="Calibri"/>
                <w:sz w:val="18"/>
                <w:szCs w:val="18"/>
                <w:lang w:eastAsia="es-CR"/>
              </w:rPr>
            </w:pPr>
            <w:r w:rsidRPr="00CF2E54">
              <w:rPr>
                <w:rFonts w:eastAsia="Times New Roman" w:cs="Calibri"/>
                <w:sz w:val="18"/>
                <w:szCs w:val="18"/>
                <w:lang w:eastAsia="es-CR"/>
              </w:rPr>
              <w:t>1/1/2024</w:t>
            </w:r>
          </w:p>
        </w:tc>
        <w:tc>
          <w:tcPr>
            <w:tcW w:w="879" w:type="dxa"/>
            <w:tcBorders>
              <w:top w:val="nil"/>
              <w:left w:val="single" w:sz="4" w:space="0" w:color="auto"/>
              <w:bottom w:val="single" w:sz="4" w:space="0" w:color="auto"/>
              <w:right w:val="nil"/>
            </w:tcBorders>
            <w:shd w:val="clear" w:color="000000" w:fill="FFFFFF"/>
            <w:noWrap/>
            <w:vAlign w:val="bottom"/>
            <w:hideMark/>
          </w:tcPr>
          <w:p w14:paraId="34BF23ED" w14:textId="77777777" w:rsidR="00CD55E7" w:rsidRPr="00CF2E54" w:rsidRDefault="00CD55E7" w:rsidP="0061790F">
            <w:pPr>
              <w:spacing w:after="0" w:line="240" w:lineRule="auto"/>
              <w:jc w:val="center"/>
              <w:rPr>
                <w:rFonts w:eastAsia="Times New Roman" w:cs="Calibri"/>
                <w:sz w:val="18"/>
                <w:szCs w:val="18"/>
                <w:lang w:eastAsia="es-CR"/>
              </w:rPr>
            </w:pPr>
            <w:r w:rsidRPr="00CF2E54">
              <w:rPr>
                <w:rFonts w:eastAsia="Times New Roman" w:cs="Calibri"/>
                <w:sz w:val="18"/>
                <w:szCs w:val="18"/>
                <w:lang w:eastAsia="es-CR"/>
              </w:rPr>
              <w:t>31/12/2024</w:t>
            </w:r>
          </w:p>
        </w:tc>
        <w:tc>
          <w:tcPr>
            <w:tcW w:w="1148"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23D2085A" w14:textId="77777777" w:rsidR="00CD55E7" w:rsidRPr="00C43A27" w:rsidRDefault="00CD55E7" w:rsidP="0061790F">
            <w:pPr>
              <w:spacing w:after="0" w:line="240" w:lineRule="auto"/>
              <w:jc w:val="right"/>
              <w:rPr>
                <w:rFonts w:eastAsia="Times New Roman" w:cs="Calibri"/>
                <w:color w:val="000000" w:themeColor="text1"/>
                <w:sz w:val="18"/>
                <w:szCs w:val="18"/>
                <w:lang w:eastAsia="es-CR"/>
              </w:rPr>
            </w:pPr>
            <w:r w:rsidRPr="00C43A27">
              <w:rPr>
                <w:rFonts w:eastAsia="Times New Roman" w:cs="Calibri"/>
                <w:color w:val="000000" w:themeColor="text1"/>
                <w:sz w:val="18"/>
                <w:szCs w:val="18"/>
                <w:lang w:eastAsia="es-CR"/>
              </w:rPr>
              <w:t xml:space="preserve">      8 009,48 </w:t>
            </w:r>
          </w:p>
        </w:tc>
      </w:tr>
      <w:tr w:rsidR="00CD55E7" w:rsidRPr="00CF2E54" w14:paraId="370B97D0" w14:textId="77777777" w:rsidTr="0061790F">
        <w:trPr>
          <w:trHeight w:val="281"/>
        </w:trPr>
        <w:tc>
          <w:tcPr>
            <w:tcW w:w="1704" w:type="dxa"/>
            <w:tcBorders>
              <w:top w:val="nil"/>
              <w:left w:val="single" w:sz="8" w:space="0" w:color="auto"/>
              <w:bottom w:val="single" w:sz="4" w:space="0" w:color="auto"/>
              <w:right w:val="nil"/>
            </w:tcBorders>
            <w:shd w:val="clear" w:color="000000" w:fill="FFFFFF"/>
            <w:noWrap/>
            <w:vAlign w:val="bottom"/>
            <w:hideMark/>
          </w:tcPr>
          <w:p w14:paraId="0016AFAF" w14:textId="1A3F0828" w:rsidR="00CD55E7" w:rsidRPr="00CF2E54" w:rsidRDefault="00CD55E7" w:rsidP="0061790F">
            <w:pPr>
              <w:spacing w:after="0" w:line="240" w:lineRule="auto"/>
              <w:jc w:val="left"/>
              <w:rPr>
                <w:rFonts w:eastAsia="Times New Roman" w:cs="Calibri"/>
                <w:sz w:val="16"/>
                <w:szCs w:val="16"/>
                <w:lang w:eastAsia="es-CR"/>
              </w:rPr>
            </w:pPr>
            <w:r w:rsidRPr="00CF2E54">
              <w:rPr>
                <w:rFonts w:eastAsia="Times New Roman" w:cs="Calibri"/>
                <w:sz w:val="16"/>
                <w:szCs w:val="16"/>
                <w:lang w:eastAsia="es-CR"/>
              </w:rPr>
              <w:t>01-18-AUM-</w:t>
            </w:r>
            <w:r w:rsidR="00796636">
              <w:rPr>
                <w:rFonts w:eastAsia="Times New Roman" w:cs="Calibri"/>
                <w:sz w:val="16"/>
                <w:szCs w:val="16"/>
                <w:lang w:eastAsia="es-CR"/>
              </w:rPr>
              <w:t>31</w:t>
            </w:r>
            <w:r w:rsidRPr="00CF2E54">
              <w:rPr>
                <w:rFonts w:eastAsia="Times New Roman" w:cs="Calibri"/>
                <w:sz w:val="16"/>
                <w:szCs w:val="16"/>
                <w:lang w:eastAsia="es-CR"/>
              </w:rPr>
              <w:t>6-29</w:t>
            </w:r>
          </w:p>
        </w:tc>
        <w:tc>
          <w:tcPr>
            <w:tcW w:w="1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5E823A" w14:textId="77777777" w:rsidR="00CD55E7" w:rsidRPr="00CF2E54" w:rsidRDefault="00CD55E7" w:rsidP="0061790F">
            <w:pPr>
              <w:spacing w:after="0" w:line="240" w:lineRule="auto"/>
              <w:jc w:val="center"/>
              <w:rPr>
                <w:rFonts w:eastAsia="Times New Roman" w:cs="Calibri"/>
                <w:color w:val="000000"/>
                <w:sz w:val="18"/>
                <w:szCs w:val="18"/>
                <w:lang w:eastAsia="es-CR"/>
              </w:rPr>
            </w:pPr>
            <w:r w:rsidRPr="00CF2E54">
              <w:rPr>
                <w:rFonts w:eastAsia="Times New Roman" w:cs="Calibri"/>
                <w:color w:val="000000"/>
                <w:sz w:val="18"/>
                <w:szCs w:val="18"/>
                <w:lang w:eastAsia="es-CR"/>
              </w:rPr>
              <w:t>Vehículos</w:t>
            </w:r>
          </w:p>
        </w:tc>
        <w:tc>
          <w:tcPr>
            <w:tcW w:w="1150" w:type="dxa"/>
            <w:tcBorders>
              <w:top w:val="single" w:sz="4" w:space="0" w:color="auto"/>
              <w:left w:val="nil"/>
              <w:bottom w:val="single" w:sz="4" w:space="0" w:color="auto"/>
              <w:right w:val="single" w:sz="4" w:space="0" w:color="auto"/>
            </w:tcBorders>
            <w:shd w:val="clear" w:color="auto" w:fill="auto"/>
            <w:noWrap/>
            <w:vAlign w:val="bottom"/>
            <w:hideMark/>
          </w:tcPr>
          <w:p w14:paraId="21B6A0A6" w14:textId="77777777" w:rsidR="00CD55E7" w:rsidRPr="00CF2E54" w:rsidRDefault="00CD55E7" w:rsidP="0061790F">
            <w:pPr>
              <w:spacing w:after="0" w:line="240" w:lineRule="auto"/>
              <w:jc w:val="center"/>
              <w:rPr>
                <w:rFonts w:eastAsia="Times New Roman" w:cs="Calibri"/>
                <w:color w:val="000000"/>
                <w:sz w:val="18"/>
                <w:szCs w:val="18"/>
                <w:lang w:eastAsia="es-CR"/>
              </w:rPr>
            </w:pPr>
            <w:r w:rsidRPr="00CF2E54">
              <w:rPr>
                <w:rFonts w:eastAsia="Times New Roman" w:cs="Calibri"/>
                <w:color w:val="000000"/>
                <w:sz w:val="18"/>
                <w:szCs w:val="18"/>
                <w:lang w:eastAsia="es-CR"/>
              </w:rPr>
              <w:t>6 meses</w:t>
            </w:r>
          </w:p>
        </w:tc>
        <w:tc>
          <w:tcPr>
            <w:tcW w:w="1172" w:type="dxa"/>
            <w:tcBorders>
              <w:top w:val="nil"/>
              <w:left w:val="single" w:sz="4" w:space="0" w:color="auto"/>
              <w:bottom w:val="single" w:sz="4" w:space="0" w:color="auto"/>
              <w:right w:val="single" w:sz="4" w:space="0" w:color="auto"/>
            </w:tcBorders>
            <w:shd w:val="clear" w:color="auto" w:fill="auto"/>
            <w:noWrap/>
            <w:vAlign w:val="bottom"/>
            <w:hideMark/>
          </w:tcPr>
          <w:p w14:paraId="763DBC90" w14:textId="77777777" w:rsidR="00CD55E7" w:rsidRPr="00CF2E54" w:rsidRDefault="00CD55E7" w:rsidP="0061790F">
            <w:pPr>
              <w:spacing w:after="0" w:line="240" w:lineRule="auto"/>
              <w:jc w:val="right"/>
              <w:rPr>
                <w:rFonts w:eastAsia="Times New Roman" w:cs="Calibri"/>
                <w:color w:val="000000"/>
                <w:sz w:val="18"/>
                <w:szCs w:val="18"/>
                <w:lang w:eastAsia="es-CR"/>
              </w:rPr>
            </w:pPr>
            <w:r w:rsidRPr="00CF2E54">
              <w:rPr>
                <w:rFonts w:eastAsia="Times New Roman" w:cs="Calibri"/>
                <w:color w:val="000000"/>
                <w:sz w:val="18"/>
                <w:szCs w:val="18"/>
                <w:lang w:eastAsia="es-CR"/>
              </w:rPr>
              <w:t xml:space="preserve">        11 209,66 </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77CEAF" w14:textId="77777777" w:rsidR="00CD55E7" w:rsidRPr="00CF2E54" w:rsidRDefault="00CD55E7" w:rsidP="0061790F">
            <w:pPr>
              <w:spacing w:after="0" w:line="240" w:lineRule="auto"/>
              <w:jc w:val="center"/>
              <w:rPr>
                <w:rFonts w:eastAsia="Times New Roman" w:cs="Calibri"/>
                <w:sz w:val="18"/>
                <w:szCs w:val="18"/>
                <w:lang w:eastAsia="es-CR"/>
              </w:rPr>
            </w:pPr>
            <w:r w:rsidRPr="00CF2E54">
              <w:rPr>
                <w:rFonts w:eastAsia="Times New Roman" w:cs="Calibri"/>
                <w:sz w:val="18"/>
                <w:szCs w:val="18"/>
                <w:lang w:eastAsia="es-CR"/>
              </w:rPr>
              <w:t>16/6/2023</w:t>
            </w:r>
          </w:p>
        </w:tc>
        <w:tc>
          <w:tcPr>
            <w:tcW w:w="879" w:type="dxa"/>
            <w:tcBorders>
              <w:top w:val="nil"/>
              <w:left w:val="nil"/>
              <w:bottom w:val="single" w:sz="4" w:space="0" w:color="auto"/>
              <w:right w:val="nil"/>
            </w:tcBorders>
            <w:shd w:val="clear" w:color="000000" w:fill="FFFFFF"/>
            <w:noWrap/>
            <w:vAlign w:val="bottom"/>
            <w:hideMark/>
          </w:tcPr>
          <w:p w14:paraId="4440D87B" w14:textId="77777777" w:rsidR="00CD55E7" w:rsidRPr="00CF2E54" w:rsidRDefault="00CD55E7" w:rsidP="0061790F">
            <w:pPr>
              <w:spacing w:after="0" w:line="240" w:lineRule="auto"/>
              <w:jc w:val="center"/>
              <w:rPr>
                <w:rFonts w:eastAsia="Times New Roman" w:cs="Calibri"/>
                <w:sz w:val="18"/>
                <w:szCs w:val="18"/>
                <w:lang w:eastAsia="es-CR"/>
              </w:rPr>
            </w:pPr>
            <w:r w:rsidRPr="00CF2E54">
              <w:rPr>
                <w:rFonts w:eastAsia="Times New Roman" w:cs="Calibri"/>
                <w:sz w:val="18"/>
                <w:szCs w:val="18"/>
                <w:lang w:eastAsia="es-CR"/>
              </w:rPr>
              <w:t>11/11/2023</w:t>
            </w:r>
          </w:p>
        </w:tc>
        <w:tc>
          <w:tcPr>
            <w:tcW w:w="1148" w:type="dxa"/>
            <w:tcBorders>
              <w:top w:val="nil"/>
              <w:left w:val="single" w:sz="4" w:space="0" w:color="auto"/>
              <w:bottom w:val="single" w:sz="4" w:space="0" w:color="auto"/>
              <w:right w:val="single" w:sz="8" w:space="0" w:color="auto"/>
            </w:tcBorders>
            <w:shd w:val="clear" w:color="auto" w:fill="auto"/>
            <w:noWrap/>
            <w:vAlign w:val="bottom"/>
            <w:hideMark/>
          </w:tcPr>
          <w:p w14:paraId="06BDB669" w14:textId="77777777" w:rsidR="00CD55E7" w:rsidRPr="00C43A27" w:rsidRDefault="00CD55E7" w:rsidP="0061790F">
            <w:pPr>
              <w:spacing w:after="0" w:line="240" w:lineRule="auto"/>
              <w:jc w:val="right"/>
              <w:rPr>
                <w:rFonts w:eastAsia="Times New Roman" w:cs="Calibri"/>
                <w:color w:val="000000" w:themeColor="text1"/>
                <w:sz w:val="18"/>
                <w:szCs w:val="18"/>
                <w:lang w:eastAsia="es-CR"/>
              </w:rPr>
            </w:pPr>
            <w:r w:rsidRPr="00C43A27">
              <w:rPr>
                <w:rFonts w:eastAsia="Times New Roman" w:cs="Calibri"/>
                <w:color w:val="000000" w:themeColor="text1"/>
                <w:sz w:val="18"/>
                <w:szCs w:val="18"/>
                <w:lang w:eastAsia="es-CR"/>
              </w:rPr>
              <w:t xml:space="preserve">      6 538,97 </w:t>
            </w:r>
          </w:p>
        </w:tc>
      </w:tr>
      <w:tr w:rsidR="00CD55E7" w:rsidRPr="00CF2E54" w14:paraId="3A6E11ED" w14:textId="77777777" w:rsidTr="0061790F">
        <w:trPr>
          <w:trHeight w:val="281"/>
        </w:trPr>
        <w:tc>
          <w:tcPr>
            <w:tcW w:w="1704" w:type="dxa"/>
            <w:tcBorders>
              <w:top w:val="nil"/>
              <w:left w:val="single" w:sz="8" w:space="0" w:color="auto"/>
              <w:bottom w:val="nil"/>
              <w:right w:val="single" w:sz="4" w:space="0" w:color="auto"/>
            </w:tcBorders>
            <w:shd w:val="clear" w:color="000000" w:fill="FFFFFF"/>
            <w:noWrap/>
            <w:vAlign w:val="bottom"/>
            <w:hideMark/>
          </w:tcPr>
          <w:p w14:paraId="52CBCCD8" w14:textId="5392116F" w:rsidR="00CD55E7" w:rsidRPr="00CF2E54" w:rsidRDefault="00CD55E7" w:rsidP="0061790F">
            <w:pPr>
              <w:spacing w:after="0" w:line="240" w:lineRule="auto"/>
              <w:jc w:val="left"/>
              <w:rPr>
                <w:rFonts w:eastAsia="Times New Roman" w:cs="Calibri"/>
                <w:color w:val="000000"/>
                <w:sz w:val="16"/>
                <w:szCs w:val="16"/>
                <w:lang w:eastAsia="es-CR"/>
              </w:rPr>
            </w:pPr>
            <w:r w:rsidRPr="00CF2E54">
              <w:rPr>
                <w:rFonts w:eastAsia="Times New Roman" w:cs="Calibri"/>
                <w:color w:val="000000"/>
                <w:sz w:val="16"/>
                <w:szCs w:val="16"/>
                <w:lang w:eastAsia="es-CR"/>
              </w:rPr>
              <w:t>01-18-AUM-</w:t>
            </w:r>
            <w:r w:rsidR="00796636">
              <w:rPr>
                <w:rFonts w:eastAsia="Times New Roman" w:cs="Calibri"/>
                <w:color w:val="000000"/>
                <w:sz w:val="16"/>
                <w:szCs w:val="16"/>
                <w:lang w:eastAsia="es-CR"/>
              </w:rPr>
              <w:t>31</w:t>
            </w:r>
            <w:r w:rsidRPr="00CF2E54">
              <w:rPr>
                <w:rFonts w:eastAsia="Times New Roman" w:cs="Calibri"/>
                <w:color w:val="000000"/>
                <w:sz w:val="16"/>
                <w:szCs w:val="16"/>
                <w:lang w:eastAsia="es-CR"/>
              </w:rPr>
              <w:t>6-29</w:t>
            </w:r>
          </w:p>
        </w:tc>
        <w:tc>
          <w:tcPr>
            <w:tcW w:w="1956" w:type="dxa"/>
            <w:tcBorders>
              <w:top w:val="nil"/>
              <w:left w:val="single" w:sz="4" w:space="0" w:color="auto"/>
              <w:bottom w:val="nil"/>
              <w:right w:val="single" w:sz="4" w:space="0" w:color="auto"/>
            </w:tcBorders>
            <w:shd w:val="clear" w:color="auto" w:fill="auto"/>
            <w:noWrap/>
            <w:vAlign w:val="bottom"/>
            <w:hideMark/>
          </w:tcPr>
          <w:p w14:paraId="6F7E62D7" w14:textId="77777777" w:rsidR="00CD55E7" w:rsidRPr="00CF2E54" w:rsidRDefault="00CD55E7" w:rsidP="0061790F">
            <w:pPr>
              <w:spacing w:after="0" w:line="240" w:lineRule="auto"/>
              <w:jc w:val="center"/>
              <w:rPr>
                <w:rFonts w:eastAsia="Times New Roman" w:cs="Calibri"/>
                <w:color w:val="000000"/>
                <w:sz w:val="18"/>
                <w:szCs w:val="18"/>
                <w:lang w:eastAsia="es-CR"/>
              </w:rPr>
            </w:pPr>
            <w:r w:rsidRPr="00CF2E54">
              <w:rPr>
                <w:rFonts w:eastAsia="Times New Roman" w:cs="Calibri"/>
                <w:color w:val="000000"/>
                <w:sz w:val="18"/>
                <w:szCs w:val="18"/>
                <w:lang w:eastAsia="es-CR"/>
              </w:rPr>
              <w:t>Vehículos</w:t>
            </w:r>
          </w:p>
        </w:tc>
        <w:tc>
          <w:tcPr>
            <w:tcW w:w="1150" w:type="dxa"/>
            <w:tcBorders>
              <w:top w:val="nil"/>
              <w:left w:val="nil"/>
              <w:bottom w:val="single" w:sz="4" w:space="0" w:color="auto"/>
              <w:right w:val="single" w:sz="4" w:space="0" w:color="auto"/>
            </w:tcBorders>
            <w:shd w:val="clear" w:color="auto" w:fill="auto"/>
            <w:noWrap/>
            <w:vAlign w:val="bottom"/>
            <w:hideMark/>
          </w:tcPr>
          <w:p w14:paraId="5EA2D348" w14:textId="77777777" w:rsidR="00CD55E7" w:rsidRPr="00CF2E54" w:rsidRDefault="00CD55E7" w:rsidP="0061790F">
            <w:pPr>
              <w:spacing w:after="0" w:line="240" w:lineRule="auto"/>
              <w:jc w:val="center"/>
              <w:rPr>
                <w:rFonts w:eastAsia="Times New Roman" w:cs="Calibri"/>
                <w:color w:val="000000"/>
                <w:sz w:val="18"/>
                <w:szCs w:val="18"/>
                <w:lang w:eastAsia="es-CR"/>
              </w:rPr>
            </w:pPr>
            <w:r w:rsidRPr="00CF2E54">
              <w:rPr>
                <w:rFonts w:eastAsia="Times New Roman" w:cs="Calibri"/>
                <w:color w:val="000000"/>
                <w:sz w:val="18"/>
                <w:szCs w:val="18"/>
                <w:lang w:eastAsia="es-CR"/>
              </w:rPr>
              <w:t>6 meses</w:t>
            </w:r>
          </w:p>
        </w:tc>
        <w:tc>
          <w:tcPr>
            <w:tcW w:w="1172" w:type="dxa"/>
            <w:tcBorders>
              <w:top w:val="nil"/>
              <w:left w:val="single" w:sz="4" w:space="0" w:color="auto"/>
              <w:bottom w:val="single" w:sz="4" w:space="0" w:color="auto"/>
              <w:right w:val="single" w:sz="4" w:space="0" w:color="auto"/>
            </w:tcBorders>
            <w:shd w:val="clear" w:color="auto" w:fill="auto"/>
            <w:noWrap/>
            <w:vAlign w:val="bottom"/>
            <w:hideMark/>
          </w:tcPr>
          <w:p w14:paraId="279050B1" w14:textId="77777777" w:rsidR="00CD55E7" w:rsidRPr="00CF2E54" w:rsidRDefault="00CD55E7" w:rsidP="0061790F">
            <w:pPr>
              <w:spacing w:after="0" w:line="240" w:lineRule="auto"/>
              <w:jc w:val="right"/>
              <w:rPr>
                <w:rFonts w:eastAsia="Times New Roman" w:cs="Calibri"/>
                <w:color w:val="000000"/>
                <w:sz w:val="18"/>
                <w:szCs w:val="18"/>
                <w:lang w:eastAsia="es-CR"/>
              </w:rPr>
            </w:pPr>
            <w:r w:rsidRPr="00CF2E54">
              <w:rPr>
                <w:rFonts w:eastAsia="Times New Roman" w:cs="Calibri"/>
                <w:color w:val="000000"/>
                <w:sz w:val="18"/>
                <w:szCs w:val="18"/>
                <w:lang w:eastAsia="es-CR"/>
              </w:rPr>
              <w:t xml:space="preserve">         2 789,98 </w:t>
            </w:r>
          </w:p>
        </w:tc>
        <w:tc>
          <w:tcPr>
            <w:tcW w:w="978" w:type="dxa"/>
            <w:tcBorders>
              <w:top w:val="nil"/>
              <w:left w:val="single" w:sz="4" w:space="0" w:color="auto"/>
              <w:bottom w:val="single" w:sz="4" w:space="0" w:color="auto"/>
              <w:right w:val="single" w:sz="4" w:space="0" w:color="auto"/>
            </w:tcBorders>
            <w:shd w:val="clear" w:color="auto" w:fill="auto"/>
            <w:noWrap/>
            <w:vAlign w:val="bottom"/>
            <w:hideMark/>
          </w:tcPr>
          <w:p w14:paraId="6674607A" w14:textId="77777777" w:rsidR="00CD55E7" w:rsidRPr="00CF2E54" w:rsidRDefault="00CD55E7" w:rsidP="0061790F">
            <w:pPr>
              <w:spacing w:after="0" w:line="240" w:lineRule="auto"/>
              <w:jc w:val="center"/>
              <w:rPr>
                <w:rFonts w:eastAsia="Times New Roman" w:cs="Calibri"/>
                <w:sz w:val="18"/>
                <w:szCs w:val="18"/>
                <w:lang w:eastAsia="es-CR"/>
              </w:rPr>
            </w:pPr>
            <w:r w:rsidRPr="00CF2E54">
              <w:rPr>
                <w:rFonts w:eastAsia="Times New Roman" w:cs="Calibri"/>
                <w:sz w:val="18"/>
                <w:szCs w:val="18"/>
                <w:lang w:eastAsia="es-CR"/>
              </w:rPr>
              <w:t>11/11/2023</w:t>
            </w:r>
          </w:p>
        </w:tc>
        <w:tc>
          <w:tcPr>
            <w:tcW w:w="879" w:type="dxa"/>
            <w:tcBorders>
              <w:top w:val="nil"/>
              <w:left w:val="single" w:sz="4" w:space="0" w:color="auto"/>
              <w:bottom w:val="nil"/>
              <w:right w:val="nil"/>
            </w:tcBorders>
            <w:shd w:val="clear" w:color="000000" w:fill="FFFFFF"/>
            <w:noWrap/>
            <w:vAlign w:val="bottom"/>
            <w:hideMark/>
          </w:tcPr>
          <w:p w14:paraId="19A621C8" w14:textId="77777777" w:rsidR="00CD55E7" w:rsidRPr="00CF2E54" w:rsidRDefault="00CD55E7" w:rsidP="0061790F">
            <w:pPr>
              <w:spacing w:after="0" w:line="240" w:lineRule="auto"/>
              <w:jc w:val="center"/>
              <w:rPr>
                <w:rFonts w:eastAsia="Times New Roman" w:cs="Calibri"/>
                <w:sz w:val="18"/>
                <w:szCs w:val="18"/>
                <w:lang w:eastAsia="es-CR"/>
              </w:rPr>
            </w:pPr>
            <w:r w:rsidRPr="00CF2E54">
              <w:rPr>
                <w:rFonts w:eastAsia="Times New Roman" w:cs="Calibri"/>
                <w:sz w:val="18"/>
                <w:szCs w:val="18"/>
                <w:lang w:eastAsia="es-CR"/>
              </w:rPr>
              <w:t>11/5/2024</w:t>
            </w:r>
          </w:p>
        </w:tc>
        <w:tc>
          <w:tcPr>
            <w:tcW w:w="1148" w:type="dxa"/>
            <w:tcBorders>
              <w:top w:val="nil"/>
              <w:left w:val="single" w:sz="4" w:space="0" w:color="auto"/>
              <w:bottom w:val="single" w:sz="4" w:space="0" w:color="auto"/>
              <w:right w:val="single" w:sz="8" w:space="0" w:color="auto"/>
            </w:tcBorders>
            <w:shd w:val="clear" w:color="auto" w:fill="auto"/>
            <w:noWrap/>
            <w:vAlign w:val="bottom"/>
            <w:hideMark/>
          </w:tcPr>
          <w:p w14:paraId="156AB9FE" w14:textId="77777777" w:rsidR="00CD55E7" w:rsidRPr="00C43A27" w:rsidRDefault="00CD55E7" w:rsidP="0061790F">
            <w:pPr>
              <w:spacing w:after="0" w:line="240" w:lineRule="auto"/>
              <w:jc w:val="right"/>
              <w:rPr>
                <w:rFonts w:eastAsia="Times New Roman" w:cs="Calibri"/>
                <w:color w:val="000000" w:themeColor="text1"/>
                <w:sz w:val="18"/>
                <w:szCs w:val="18"/>
                <w:lang w:eastAsia="es-CR"/>
              </w:rPr>
            </w:pPr>
            <w:r w:rsidRPr="00C43A27">
              <w:rPr>
                <w:rFonts w:eastAsia="Times New Roman" w:cs="Calibri"/>
                <w:color w:val="000000" w:themeColor="text1"/>
                <w:sz w:val="18"/>
                <w:szCs w:val="18"/>
                <w:lang w:eastAsia="es-CR"/>
              </w:rPr>
              <w:t xml:space="preserve">      1 627,49 </w:t>
            </w:r>
          </w:p>
        </w:tc>
      </w:tr>
      <w:tr w:rsidR="00CD55E7" w:rsidRPr="00CF2E54" w14:paraId="2BC3D13F" w14:textId="77777777" w:rsidTr="0061790F">
        <w:trPr>
          <w:trHeight w:val="281"/>
        </w:trPr>
        <w:tc>
          <w:tcPr>
            <w:tcW w:w="1704"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2BB283F8" w14:textId="77777777" w:rsidR="00CD55E7" w:rsidRPr="00CF2E54" w:rsidRDefault="00CD55E7" w:rsidP="0061790F">
            <w:pPr>
              <w:spacing w:after="0" w:line="240" w:lineRule="auto"/>
              <w:jc w:val="left"/>
              <w:rPr>
                <w:rFonts w:eastAsia="Times New Roman" w:cs="Calibri"/>
                <w:color w:val="000000"/>
                <w:sz w:val="16"/>
                <w:szCs w:val="16"/>
                <w:lang w:eastAsia="es-CR"/>
              </w:rPr>
            </w:pPr>
            <w:r w:rsidRPr="00CF2E54">
              <w:rPr>
                <w:rFonts w:eastAsia="Times New Roman" w:cs="Calibri"/>
                <w:color w:val="000000"/>
                <w:sz w:val="16"/>
                <w:szCs w:val="16"/>
                <w:lang w:eastAsia="es-CR"/>
              </w:rPr>
              <w:t>01-01-AUM-4437-08</w:t>
            </w:r>
          </w:p>
        </w:tc>
        <w:tc>
          <w:tcPr>
            <w:tcW w:w="1956" w:type="dxa"/>
            <w:tcBorders>
              <w:top w:val="single" w:sz="4" w:space="0" w:color="auto"/>
              <w:left w:val="nil"/>
              <w:bottom w:val="single" w:sz="4" w:space="0" w:color="auto"/>
              <w:right w:val="single" w:sz="4" w:space="0" w:color="auto"/>
            </w:tcBorders>
            <w:shd w:val="clear" w:color="auto" w:fill="auto"/>
            <w:noWrap/>
            <w:vAlign w:val="bottom"/>
            <w:hideMark/>
          </w:tcPr>
          <w:p w14:paraId="7A7D96E2" w14:textId="77777777" w:rsidR="00CD55E7" w:rsidRPr="00CF2E54" w:rsidRDefault="00CD55E7" w:rsidP="0061790F">
            <w:pPr>
              <w:spacing w:after="0" w:line="240" w:lineRule="auto"/>
              <w:jc w:val="center"/>
              <w:rPr>
                <w:rFonts w:eastAsia="Times New Roman" w:cs="Calibri"/>
                <w:color w:val="000000"/>
                <w:sz w:val="18"/>
                <w:szCs w:val="18"/>
                <w:lang w:eastAsia="es-CR"/>
              </w:rPr>
            </w:pPr>
            <w:r w:rsidRPr="00CF2E54">
              <w:rPr>
                <w:rFonts w:eastAsia="Times New Roman" w:cs="Calibri"/>
                <w:color w:val="000000"/>
                <w:sz w:val="18"/>
                <w:szCs w:val="18"/>
                <w:lang w:eastAsia="es-CR"/>
              </w:rPr>
              <w:t>Vehículos</w:t>
            </w:r>
          </w:p>
        </w:tc>
        <w:tc>
          <w:tcPr>
            <w:tcW w:w="1150" w:type="dxa"/>
            <w:tcBorders>
              <w:top w:val="nil"/>
              <w:left w:val="nil"/>
              <w:bottom w:val="single" w:sz="4" w:space="0" w:color="auto"/>
              <w:right w:val="single" w:sz="4" w:space="0" w:color="auto"/>
            </w:tcBorders>
            <w:shd w:val="clear" w:color="auto" w:fill="auto"/>
            <w:noWrap/>
            <w:vAlign w:val="bottom"/>
            <w:hideMark/>
          </w:tcPr>
          <w:p w14:paraId="3F125B7B" w14:textId="77777777" w:rsidR="00CD55E7" w:rsidRPr="00CF2E54" w:rsidRDefault="00CD55E7" w:rsidP="0061790F">
            <w:pPr>
              <w:spacing w:after="0" w:line="240" w:lineRule="auto"/>
              <w:jc w:val="center"/>
              <w:rPr>
                <w:rFonts w:eastAsia="Times New Roman" w:cs="Calibri"/>
                <w:color w:val="000000"/>
                <w:sz w:val="18"/>
                <w:szCs w:val="18"/>
                <w:lang w:eastAsia="es-CR"/>
              </w:rPr>
            </w:pPr>
            <w:r w:rsidRPr="00CF2E54">
              <w:rPr>
                <w:rFonts w:eastAsia="Times New Roman" w:cs="Calibri"/>
                <w:color w:val="000000"/>
                <w:sz w:val="18"/>
                <w:szCs w:val="18"/>
                <w:lang w:eastAsia="es-CR"/>
              </w:rPr>
              <w:t>6 meses</w:t>
            </w:r>
          </w:p>
        </w:tc>
        <w:tc>
          <w:tcPr>
            <w:tcW w:w="1172" w:type="dxa"/>
            <w:tcBorders>
              <w:top w:val="nil"/>
              <w:left w:val="single" w:sz="4" w:space="0" w:color="auto"/>
              <w:bottom w:val="single" w:sz="4" w:space="0" w:color="auto"/>
              <w:right w:val="single" w:sz="4" w:space="0" w:color="auto"/>
            </w:tcBorders>
            <w:shd w:val="clear" w:color="auto" w:fill="auto"/>
            <w:noWrap/>
            <w:vAlign w:val="bottom"/>
            <w:hideMark/>
          </w:tcPr>
          <w:p w14:paraId="3E4C4F6E" w14:textId="77777777" w:rsidR="00CD55E7" w:rsidRPr="00CF2E54" w:rsidRDefault="00CD55E7" w:rsidP="0061790F">
            <w:pPr>
              <w:spacing w:after="0" w:line="240" w:lineRule="auto"/>
              <w:jc w:val="right"/>
              <w:rPr>
                <w:rFonts w:eastAsia="Times New Roman" w:cs="Calibri"/>
                <w:color w:val="000000"/>
                <w:sz w:val="18"/>
                <w:szCs w:val="18"/>
                <w:lang w:eastAsia="es-CR"/>
              </w:rPr>
            </w:pPr>
            <w:r w:rsidRPr="00CF2E54">
              <w:rPr>
                <w:rFonts w:eastAsia="Times New Roman" w:cs="Calibri"/>
                <w:color w:val="000000"/>
                <w:sz w:val="18"/>
                <w:szCs w:val="18"/>
                <w:lang w:eastAsia="es-CR"/>
              </w:rPr>
              <w:t xml:space="preserve">         4 446,75 </w:t>
            </w:r>
          </w:p>
        </w:tc>
        <w:tc>
          <w:tcPr>
            <w:tcW w:w="978" w:type="dxa"/>
            <w:tcBorders>
              <w:top w:val="nil"/>
              <w:left w:val="single" w:sz="4" w:space="0" w:color="auto"/>
              <w:bottom w:val="single" w:sz="4" w:space="0" w:color="auto"/>
              <w:right w:val="single" w:sz="4" w:space="0" w:color="auto"/>
            </w:tcBorders>
            <w:shd w:val="clear" w:color="auto" w:fill="auto"/>
            <w:noWrap/>
            <w:vAlign w:val="bottom"/>
            <w:hideMark/>
          </w:tcPr>
          <w:p w14:paraId="10900F52" w14:textId="77777777" w:rsidR="00CD55E7" w:rsidRPr="00CF2E54" w:rsidRDefault="00CD55E7" w:rsidP="0061790F">
            <w:pPr>
              <w:spacing w:after="0" w:line="240" w:lineRule="auto"/>
              <w:jc w:val="center"/>
              <w:rPr>
                <w:rFonts w:eastAsia="Times New Roman" w:cs="Calibri"/>
                <w:sz w:val="18"/>
                <w:szCs w:val="18"/>
                <w:lang w:eastAsia="es-CR"/>
              </w:rPr>
            </w:pPr>
            <w:r w:rsidRPr="00CF2E54">
              <w:rPr>
                <w:rFonts w:eastAsia="Times New Roman" w:cs="Calibri"/>
                <w:sz w:val="18"/>
                <w:szCs w:val="18"/>
                <w:lang w:eastAsia="es-CR"/>
              </w:rPr>
              <w:t>11/5/2024</w:t>
            </w:r>
          </w:p>
        </w:tc>
        <w:tc>
          <w:tcPr>
            <w:tcW w:w="879" w:type="dxa"/>
            <w:tcBorders>
              <w:top w:val="single" w:sz="4" w:space="0" w:color="auto"/>
              <w:left w:val="nil"/>
              <w:bottom w:val="single" w:sz="4" w:space="0" w:color="auto"/>
              <w:right w:val="nil"/>
            </w:tcBorders>
            <w:shd w:val="clear" w:color="000000" w:fill="FFFFFF"/>
            <w:noWrap/>
            <w:vAlign w:val="bottom"/>
            <w:hideMark/>
          </w:tcPr>
          <w:p w14:paraId="01A886E6" w14:textId="77777777" w:rsidR="00CD55E7" w:rsidRPr="00CF2E54" w:rsidRDefault="00CD55E7" w:rsidP="0061790F">
            <w:pPr>
              <w:spacing w:after="0" w:line="240" w:lineRule="auto"/>
              <w:jc w:val="center"/>
              <w:rPr>
                <w:rFonts w:eastAsia="Times New Roman" w:cs="Calibri"/>
                <w:sz w:val="18"/>
                <w:szCs w:val="18"/>
                <w:lang w:eastAsia="es-CR"/>
              </w:rPr>
            </w:pPr>
            <w:r w:rsidRPr="00CF2E54">
              <w:rPr>
                <w:rFonts w:eastAsia="Times New Roman" w:cs="Calibri"/>
                <w:sz w:val="18"/>
                <w:szCs w:val="18"/>
                <w:lang w:eastAsia="es-CR"/>
              </w:rPr>
              <w:t>11/11/2024</w:t>
            </w:r>
          </w:p>
        </w:tc>
        <w:tc>
          <w:tcPr>
            <w:tcW w:w="1148" w:type="dxa"/>
            <w:tcBorders>
              <w:top w:val="nil"/>
              <w:left w:val="single" w:sz="4" w:space="0" w:color="auto"/>
              <w:bottom w:val="single" w:sz="4" w:space="0" w:color="auto"/>
              <w:right w:val="single" w:sz="8" w:space="0" w:color="auto"/>
            </w:tcBorders>
            <w:shd w:val="clear" w:color="auto" w:fill="auto"/>
            <w:noWrap/>
            <w:vAlign w:val="bottom"/>
            <w:hideMark/>
          </w:tcPr>
          <w:p w14:paraId="394BCB52" w14:textId="77777777" w:rsidR="00CD55E7" w:rsidRPr="00C43A27" w:rsidRDefault="00CD55E7" w:rsidP="0061790F">
            <w:pPr>
              <w:spacing w:after="0" w:line="240" w:lineRule="auto"/>
              <w:jc w:val="right"/>
              <w:rPr>
                <w:rFonts w:eastAsia="Times New Roman" w:cs="Calibri"/>
                <w:color w:val="000000" w:themeColor="text1"/>
                <w:sz w:val="18"/>
                <w:szCs w:val="18"/>
                <w:lang w:eastAsia="es-CR"/>
              </w:rPr>
            </w:pPr>
            <w:r w:rsidRPr="00C43A27">
              <w:rPr>
                <w:rFonts w:eastAsia="Times New Roman" w:cs="Calibri"/>
                <w:color w:val="000000" w:themeColor="text1"/>
                <w:sz w:val="18"/>
                <w:szCs w:val="18"/>
                <w:lang w:eastAsia="es-CR"/>
              </w:rPr>
              <w:t xml:space="preserve">      1 111,68 </w:t>
            </w:r>
          </w:p>
        </w:tc>
      </w:tr>
      <w:tr w:rsidR="00CD55E7" w:rsidRPr="00CF2E54" w14:paraId="4C9B49AE" w14:textId="77777777" w:rsidTr="0061790F">
        <w:trPr>
          <w:trHeight w:val="281"/>
        </w:trPr>
        <w:tc>
          <w:tcPr>
            <w:tcW w:w="1704" w:type="dxa"/>
            <w:tcBorders>
              <w:top w:val="nil"/>
              <w:left w:val="single" w:sz="8" w:space="0" w:color="auto"/>
              <w:bottom w:val="single" w:sz="4" w:space="0" w:color="auto"/>
              <w:right w:val="single" w:sz="4" w:space="0" w:color="auto"/>
            </w:tcBorders>
            <w:shd w:val="clear" w:color="000000" w:fill="FFFFFF"/>
            <w:noWrap/>
            <w:vAlign w:val="bottom"/>
            <w:hideMark/>
          </w:tcPr>
          <w:p w14:paraId="123F35A2" w14:textId="77777777" w:rsidR="00CD55E7" w:rsidRPr="00CF2E54" w:rsidRDefault="00CD55E7" w:rsidP="0061790F">
            <w:pPr>
              <w:spacing w:after="0" w:line="240" w:lineRule="auto"/>
              <w:jc w:val="left"/>
              <w:rPr>
                <w:rFonts w:eastAsia="Times New Roman" w:cs="Calibri"/>
                <w:color w:val="000000"/>
                <w:sz w:val="16"/>
                <w:szCs w:val="16"/>
                <w:lang w:eastAsia="es-CR"/>
              </w:rPr>
            </w:pPr>
            <w:r w:rsidRPr="00CF2E54">
              <w:rPr>
                <w:rFonts w:eastAsia="Times New Roman" w:cs="Calibri"/>
                <w:color w:val="000000"/>
                <w:sz w:val="16"/>
                <w:szCs w:val="16"/>
                <w:lang w:eastAsia="es-CR"/>
              </w:rPr>
              <w:t>01-18-AUM-1081-12</w:t>
            </w:r>
          </w:p>
        </w:tc>
        <w:tc>
          <w:tcPr>
            <w:tcW w:w="1956" w:type="dxa"/>
            <w:tcBorders>
              <w:top w:val="nil"/>
              <w:left w:val="nil"/>
              <w:bottom w:val="single" w:sz="4" w:space="0" w:color="auto"/>
              <w:right w:val="single" w:sz="4" w:space="0" w:color="auto"/>
            </w:tcBorders>
            <w:shd w:val="clear" w:color="auto" w:fill="auto"/>
            <w:noWrap/>
            <w:vAlign w:val="bottom"/>
            <w:hideMark/>
          </w:tcPr>
          <w:p w14:paraId="1DF92FDE" w14:textId="77777777" w:rsidR="00CD55E7" w:rsidRPr="00CF2E54" w:rsidRDefault="00CD55E7" w:rsidP="0061790F">
            <w:pPr>
              <w:spacing w:after="0" w:line="240" w:lineRule="auto"/>
              <w:jc w:val="center"/>
              <w:rPr>
                <w:rFonts w:eastAsia="Times New Roman" w:cs="Calibri"/>
                <w:color w:val="000000"/>
                <w:sz w:val="18"/>
                <w:szCs w:val="18"/>
                <w:lang w:eastAsia="es-CR"/>
              </w:rPr>
            </w:pPr>
            <w:r w:rsidRPr="00CF2E54">
              <w:rPr>
                <w:rFonts w:eastAsia="Times New Roman" w:cs="Calibri"/>
                <w:color w:val="000000"/>
                <w:sz w:val="18"/>
                <w:szCs w:val="18"/>
                <w:lang w:eastAsia="es-CR"/>
              </w:rPr>
              <w:t>Vehículos</w:t>
            </w:r>
          </w:p>
        </w:tc>
        <w:tc>
          <w:tcPr>
            <w:tcW w:w="1150" w:type="dxa"/>
            <w:tcBorders>
              <w:top w:val="nil"/>
              <w:left w:val="nil"/>
              <w:bottom w:val="single" w:sz="4" w:space="0" w:color="auto"/>
              <w:right w:val="single" w:sz="4" w:space="0" w:color="auto"/>
            </w:tcBorders>
            <w:shd w:val="clear" w:color="auto" w:fill="auto"/>
            <w:noWrap/>
            <w:vAlign w:val="bottom"/>
            <w:hideMark/>
          </w:tcPr>
          <w:p w14:paraId="7BAE0AF9" w14:textId="77777777" w:rsidR="00CD55E7" w:rsidRPr="00CF2E54" w:rsidRDefault="00CD55E7" w:rsidP="0061790F">
            <w:pPr>
              <w:spacing w:after="0" w:line="240" w:lineRule="auto"/>
              <w:jc w:val="center"/>
              <w:rPr>
                <w:rFonts w:eastAsia="Times New Roman" w:cs="Calibri"/>
                <w:color w:val="000000"/>
                <w:sz w:val="18"/>
                <w:szCs w:val="18"/>
                <w:lang w:eastAsia="es-CR"/>
              </w:rPr>
            </w:pPr>
            <w:r w:rsidRPr="00CF2E54">
              <w:rPr>
                <w:rFonts w:eastAsia="Times New Roman" w:cs="Calibri"/>
                <w:color w:val="000000"/>
                <w:sz w:val="18"/>
                <w:szCs w:val="18"/>
                <w:lang w:eastAsia="es-CR"/>
              </w:rPr>
              <w:t>6 meses</w:t>
            </w:r>
          </w:p>
        </w:tc>
        <w:tc>
          <w:tcPr>
            <w:tcW w:w="1172" w:type="dxa"/>
            <w:tcBorders>
              <w:top w:val="nil"/>
              <w:left w:val="single" w:sz="4" w:space="0" w:color="auto"/>
              <w:bottom w:val="single" w:sz="4" w:space="0" w:color="auto"/>
              <w:right w:val="single" w:sz="4" w:space="0" w:color="auto"/>
            </w:tcBorders>
            <w:shd w:val="clear" w:color="auto" w:fill="auto"/>
            <w:noWrap/>
            <w:vAlign w:val="bottom"/>
            <w:hideMark/>
          </w:tcPr>
          <w:p w14:paraId="5EE7DC8E" w14:textId="77777777" w:rsidR="00CD55E7" w:rsidRPr="00CF2E54" w:rsidRDefault="00CD55E7" w:rsidP="0061790F">
            <w:pPr>
              <w:spacing w:after="0" w:line="240" w:lineRule="auto"/>
              <w:jc w:val="right"/>
              <w:rPr>
                <w:rFonts w:eastAsia="Times New Roman" w:cs="Calibri"/>
                <w:color w:val="000000"/>
                <w:sz w:val="18"/>
                <w:szCs w:val="18"/>
                <w:lang w:eastAsia="es-CR"/>
              </w:rPr>
            </w:pPr>
            <w:r w:rsidRPr="00CF2E54">
              <w:rPr>
                <w:rFonts w:eastAsia="Times New Roman" w:cs="Calibri"/>
                <w:color w:val="000000"/>
                <w:sz w:val="18"/>
                <w:szCs w:val="18"/>
                <w:lang w:eastAsia="es-CR"/>
              </w:rPr>
              <w:t xml:space="preserve">            662,22 </w:t>
            </w:r>
          </w:p>
        </w:tc>
        <w:tc>
          <w:tcPr>
            <w:tcW w:w="978" w:type="dxa"/>
            <w:tcBorders>
              <w:top w:val="nil"/>
              <w:left w:val="single" w:sz="4" w:space="0" w:color="auto"/>
              <w:bottom w:val="single" w:sz="4" w:space="0" w:color="auto"/>
              <w:right w:val="single" w:sz="4" w:space="0" w:color="auto"/>
            </w:tcBorders>
            <w:shd w:val="clear" w:color="auto" w:fill="auto"/>
            <w:noWrap/>
            <w:vAlign w:val="bottom"/>
            <w:hideMark/>
          </w:tcPr>
          <w:p w14:paraId="00051539" w14:textId="77777777" w:rsidR="00CD55E7" w:rsidRPr="00CF2E54" w:rsidRDefault="00CD55E7" w:rsidP="0061790F">
            <w:pPr>
              <w:spacing w:after="0" w:line="240" w:lineRule="auto"/>
              <w:jc w:val="center"/>
              <w:rPr>
                <w:rFonts w:eastAsia="Times New Roman" w:cs="Calibri"/>
                <w:sz w:val="18"/>
                <w:szCs w:val="18"/>
                <w:lang w:eastAsia="es-CR"/>
              </w:rPr>
            </w:pPr>
            <w:r w:rsidRPr="00CF2E54">
              <w:rPr>
                <w:rFonts w:eastAsia="Times New Roman" w:cs="Calibri"/>
                <w:sz w:val="18"/>
                <w:szCs w:val="18"/>
                <w:lang w:eastAsia="es-CR"/>
              </w:rPr>
              <w:t>11/5/2024</w:t>
            </w:r>
          </w:p>
        </w:tc>
        <w:tc>
          <w:tcPr>
            <w:tcW w:w="879" w:type="dxa"/>
            <w:tcBorders>
              <w:top w:val="nil"/>
              <w:left w:val="nil"/>
              <w:bottom w:val="single" w:sz="4" w:space="0" w:color="auto"/>
              <w:right w:val="nil"/>
            </w:tcBorders>
            <w:shd w:val="clear" w:color="000000" w:fill="FFFFFF"/>
            <w:noWrap/>
            <w:vAlign w:val="bottom"/>
            <w:hideMark/>
          </w:tcPr>
          <w:p w14:paraId="5E0BD2D1" w14:textId="77777777" w:rsidR="00CD55E7" w:rsidRPr="00CF2E54" w:rsidRDefault="00CD55E7" w:rsidP="0061790F">
            <w:pPr>
              <w:spacing w:after="0" w:line="240" w:lineRule="auto"/>
              <w:jc w:val="center"/>
              <w:rPr>
                <w:rFonts w:eastAsia="Times New Roman" w:cs="Calibri"/>
                <w:sz w:val="18"/>
                <w:szCs w:val="18"/>
                <w:lang w:eastAsia="es-CR"/>
              </w:rPr>
            </w:pPr>
            <w:r w:rsidRPr="00CF2E54">
              <w:rPr>
                <w:rFonts w:eastAsia="Times New Roman" w:cs="Calibri"/>
                <w:sz w:val="18"/>
                <w:szCs w:val="18"/>
                <w:lang w:eastAsia="es-CR"/>
              </w:rPr>
              <w:t>11/11/2024</w:t>
            </w:r>
          </w:p>
        </w:tc>
        <w:tc>
          <w:tcPr>
            <w:tcW w:w="1148" w:type="dxa"/>
            <w:tcBorders>
              <w:top w:val="nil"/>
              <w:left w:val="single" w:sz="4" w:space="0" w:color="auto"/>
              <w:bottom w:val="single" w:sz="4" w:space="0" w:color="auto"/>
              <w:right w:val="single" w:sz="8" w:space="0" w:color="auto"/>
            </w:tcBorders>
            <w:shd w:val="clear" w:color="auto" w:fill="auto"/>
            <w:noWrap/>
            <w:vAlign w:val="bottom"/>
            <w:hideMark/>
          </w:tcPr>
          <w:p w14:paraId="06A39517" w14:textId="77777777" w:rsidR="00CD55E7" w:rsidRPr="00C43A27" w:rsidRDefault="00CD55E7" w:rsidP="0061790F">
            <w:pPr>
              <w:spacing w:after="0" w:line="240" w:lineRule="auto"/>
              <w:jc w:val="right"/>
              <w:rPr>
                <w:rFonts w:eastAsia="Times New Roman" w:cs="Calibri"/>
                <w:color w:val="000000" w:themeColor="text1"/>
                <w:sz w:val="18"/>
                <w:szCs w:val="18"/>
                <w:lang w:eastAsia="es-CR"/>
              </w:rPr>
            </w:pPr>
            <w:r w:rsidRPr="00C43A27">
              <w:rPr>
                <w:rFonts w:eastAsia="Times New Roman" w:cs="Calibri"/>
                <w:color w:val="000000" w:themeColor="text1"/>
                <w:sz w:val="18"/>
                <w:szCs w:val="18"/>
                <w:lang w:eastAsia="es-CR"/>
              </w:rPr>
              <w:t xml:space="preserve">        165,56 </w:t>
            </w:r>
          </w:p>
        </w:tc>
      </w:tr>
      <w:tr w:rsidR="00CD55E7" w:rsidRPr="00CF2E54" w14:paraId="7AA08F2C" w14:textId="77777777" w:rsidTr="0061790F">
        <w:trPr>
          <w:trHeight w:val="295"/>
        </w:trPr>
        <w:tc>
          <w:tcPr>
            <w:tcW w:w="1704" w:type="dxa"/>
            <w:tcBorders>
              <w:top w:val="nil"/>
              <w:left w:val="single" w:sz="8" w:space="0" w:color="auto"/>
              <w:bottom w:val="single" w:sz="8" w:space="0" w:color="auto"/>
              <w:right w:val="single" w:sz="4" w:space="0" w:color="auto"/>
            </w:tcBorders>
            <w:shd w:val="clear" w:color="000000" w:fill="FFFFFF"/>
            <w:noWrap/>
            <w:vAlign w:val="bottom"/>
            <w:hideMark/>
          </w:tcPr>
          <w:p w14:paraId="7C666622" w14:textId="77777777" w:rsidR="00CD55E7" w:rsidRPr="00CF2E54" w:rsidRDefault="00CD55E7" w:rsidP="0061790F">
            <w:pPr>
              <w:spacing w:after="0" w:line="240" w:lineRule="auto"/>
              <w:jc w:val="left"/>
              <w:rPr>
                <w:rFonts w:eastAsia="Times New Roman" w:cs="Calibri"/>
                <w:color w:val="000000"/>
                <w:sz w:val="16"/>
                <w:szCs w:val="16"/>
                <w:lang w:eastAsia="es-CR"/>
              </w:rPr>
            </w:pPr>
            <w:r w:rsidRPr="00CF2E54">
              <w:rPr>
                <w:rFonts w:eastAsia="Times New Roman" w:cs="Calibri"/>
                <w:color w:val="000000"/>
                <w:sz w:val="16"/>
                <w:szCs w:val="16"/>
                <w:lang w:eastAsia="es-CR"/>
              </w:rPr>
              <w:t>01-18-AUM-1079-12</w:t>
            </w:r>
          </w:p>
        </w:tc>
        <w:tc>
          <w:tcPr>
            <w:tcW w:w="1956" w:type="dxa"/>
            <w:tcBorders>
              <w:top w:val="nil"/>
              <w:left w:val="nil"/>
              <w:bottom w:val="single" w:sz="8" w:space="0" w:color="auto"/>
              <w:right w:val="single" w:sz="4" w:space="0" w:color="auto"/>
            </w:tcBorders>
            <w:shd w:val="clear" w:color="auto" w:fill="auto"/>
            <w:noWrap/>
            <w:vAlign w:val="bottom"/>
            <w:hideMark/>
          </w:tcPr>
          <w:p w14:paraId="7F6922F4" w14:textId="77777777" w:rsidR="00CD55E7" w:rsidRPr="00CF2E54" w:rsidRDefault="00CD55E7" w:rsidP="0061790F">
            <w:pPr>
              <w:spacing w:after="0" w:line="240" w:lineRule="auto"/>
              <w:jc w:val="center"/>
              <w:rPr>
                <w:rFonts w:eastAsia="Times New Roman" w:cs="Calibri"/>
                <w:color w:val="000000"/>
                <w:sz w:val="18"/>
                <w:szCs w:val="18"/>
                <w:lang w:eastAsia="es-CR"/>
              </w:rPr>
            </w:pPr>
            <w:r w:rsidRPr="00CF2E54">
              <w:rPr>
                <w:rFonts w:eastAsia="Times New Roman" w:cs="Calibri"/>
                <w:color w:val="000000"/>
                <w:sz w:val="18"/>
                <w:szCs w:val="18"/>
                <w:lang w:eastAsia="es-CR"/>
              </w:rPr>
              <w:t>Vehículos</w:t>
            </w:r>
          </w:p>
        </w:tc>
        <w:tc>
          <w:tcPr>
            <w:tcW w:w="1150" w:type="dxa"/>
            <w:tcBorders>
              <w:top w:val="nil"/>
              <w:left w:val="nil"/>
              <w:bottom w:val="single" w:sz="8" w:space="0" w:color="auto"/>
              <w:right w:val="single" w:sz="4" w:space="0" w:color="auto"/>
            </w:tcBorders>
            <w:shd w:val="clear" w:color="auto" w:fill="auto"/>
            <w:noWrap/>
            <w:vAlign w:val="bottom"/>
            <w:hideMark/>
          </w:tcPr>
          <w:p w14:paraId="7F6EED89" w14:textId="77777777" w:rsidR="00CD55E7" w:rsidRPr="00CF2E54" w:rsidRDefault="00CD55E7" w:rsidP="0061790F">
            <w:pPr>
              <w:spacing w:after="0" w:line="240" w:lineRule="auto"/>
              <w:jc w:val="center"/>
              <w:rPr>
                <w:rFonts w:eastAsia="Times New Roman" w:cs="Calibri"/>
                <w:color w:val="000000"/>
                <w:sz w:val="18"/>
                <w:szCs w:val="18"/>
                <w:lang w:eastAsia="es-CR"/>
              </w:rPr>
            </w:pPr>
            <w:r w:rsidRPr="00CF2E54">
              <w:rPr>
                <w:rFonts w:eastAsia="Times New Roman" w:cs="Calibri"/>
                <w:color w:val="000000"/>
                <w:sz w:val="18"/>
                <w:szCs w:val="18"/>
                <w:lang w:eastAsia="es-CR"/>
              </w:rPr>
              <w:t>6 meses</w:t>
            </w:r>
          </w:p>
        </w:tc>
        <w:tc>
          <w:tcPr>
            <w:tcW w:w="1172" w:type="dxa"/>
            <w:tcBorders>
              <w:top w:val="nil"/>
              <w:left w:val="single" w:sz="4" w:space="0" w:color="auto"/>
              <w:bottom w:val="single" w:sz="8" w:space="0" w:color="auto"/>
              <w:right w:val="single" w:sz="4" w:space="0" w:color="auto"/>
            </w:tcBorders>
            <w:shd w:val="clear" w:color="auto" w:fill="auto"/>
            <w:noWrap/>
            <w:vAlign w:val="bottom"/>
            <w:hideMark/>
          </w:tcPr>
          <w:p w14:paraId="5D9BAD8F" w14:textId="77777777" w:rsidR="00CD55E7" w:rsidRPr="00CF2E54" w:rsidRDefault="00CD55E7" w:rsidP="0061790F">
            <w:pPr>
              <w:spacing w:after="0" w:line="240" w:lineRule="auto"/>
              <w:jc w:val="right"/>
              <w:rPr>
                <w:rFonts w:eastAsia="Times New Roman" w:cs="Calibri"/>
                <w:color w:val="000000"/>
                <w:sz w:val="18"/>
                <w:szCs w:val="18"/>
                <w:lang w:eastAsia="es-CR"/>
              </w:rPr>
            </w:pPr>
            <w:r w:rsidRPr="00CF2E54">
              <w:rPr>
                <w:rFonts w:eastAsia="Times New Roman" w:cs="Calibri"/>
                <w:color w:val="000000"/>
                <w:sz w:val="18"/>
                <w:szCs w:val="18"/>
                <w:lang w:eastAsia="es-CR"/>
              </w:rPr>
              <w:t xml:space="preserve">            644,69 </w:t>
            </w:r>
          </w:p>
        </w:tc>
        <w:tc>
          <w:tcPr>
            <w:tcW w:w="978" w:type="dxa"/>
            <w:tcBorders>
              <w:top w:val="nil"/>
              <w:left w:val="single" w:sz="4" w:space="0" w:color="auto"/>
              <w:bottom w:val="single" w:sz="8" w:space="0" w:color="auto"/>
              <w:right w:val="single" w:sz="4" w:space="0" w:color="auto"/>
            </w:tcBorders>
            <w:shd w:val="clear" w:color="auto" w:fill="auto"/>
            <w:noWrap/>
            <w:vAlign w:val="bottom"/>
            <w:hideMark/>
          </w:tcPr>
          <w:p w14:paraId="385E2C7A" w14:textId="77777777" w:rsidR="00CD55E7" w:rsidRPr="00CF2E54" w:rsidRDefault="00CD55E7" w:rsidP="0061790F">
            <w:pPr>
              <w:spacing w:after="0" w:line="240" w:lineRule="auto"/>
              <w:jc w:val="center"/>
              <w:rPr>
                <w:rFonts w:eastAsia="Times New Roman" w:cs="Calibri"/>
                <w:sz w:val="18"/>
                <w:szCs w:val="18"/>
                <w:lang w:eastAsia="es-CR"/>
              </w:rPr>
            </w:pPr>
            <w:r w:rsidRPr="00CF2E54">
              <w:rPr>
                <w:rFonts w:eastAsia="Times New Roman" w:cs="Calibri"/>
                <w:sz w:val="18"/>
                <w:szCs w:val="18"/>
                <w:lang w:eastAsia="es-CR"/>
              </w:rPr>
              <w:t>11/5/2024</w:t>
            </w:r>
          </w:p>
        </w:tc>
        <w:tc>
          <w:tcPr>
            <w:tcW w:w="879" w:type="dxa"/>
            <w:tcBorders>
              <w:top w:val="nil"/>
              <w:left w:val="nil"/>
              <w:bottom w:val="single" w:sz="8" w:space="0" w:color="auto"/>
              <w:right w:val="nil"/>
            </w:tcBorders>
            <w:shd w:val="clear" w:color="000000" w:fill="FFFFFF"/>
            <w:noWrap/>
            <w:vAlign w:val="bottom"/>
            <w:hideMark/>
          </w:tcPr>
          <w:p w14:paraId="0FDD22E2" w14:textId="77777777" w:rsidR="00CD55E7" w:rsidRPr="00CF2E54" w:rsidRDefault="00CD55E7" w:rsidP="0061790F">
            <w:pPr>
              <w:spacing w:after="0" w:line="240" w:lineRule="auto"/>
              <w:jc w:val="center"/>
              <w:rPr>
                <w:rFonts w:eastAsia="Times New Roman" w:cs="Calibri"/>
                <w:sz w:val="18"/>
                <w:szCs w:val="18"/>
                <w:lang w:eastAsia="es-CR"/>
              </w:rPr>
            </w:pPr>
            <w:r w:rsidRPr="00CF2E54">
              <w:rPr>
                <w:rFonts w:eastAsia="Times New Roman" w:cs="Calibri"/>
                <w:sz w:val="18"/>
                <w:szCs w:val="18"/>
                <w:lang w:eastAsia="es-CR"/>
              </w:rPr>
              <w:t>11/11/2024</w:t>
            </w:r>
          </w:p>
        </w:tc>
        <w:tc>
          <w:tcPr>
            <w:tcW w:w="1148" w:type="dxa"/>
            <w:tcBorders>
              <w:top w:val="nil"/>
              <w:left w:val="single" w:sz="4" w:space="0" w:color="auto"/>
              <w:bottom w:val="single" w:sz="8" w:space="0" w:color="auto"/>
              <w:right w:val="single" w:sz="8" w:space="0" w:color="auto"/>
            </w:tcBorders>
            <w:shd w:val="clear" w:color="auto" w:fill="auto"/>
            <w:noWrap/>
            <w:vAlign w:val="bottom"/>
            <w:hideMark/>
          </w:tcPr>
          <w:p w14:paraId="318FF46C" w14:textId="77777777" w:rsidR="00CD55E7" w:rsidRPr="00CF2E54" w:rsidRDefault="00CD55E7" w:rsidP="0061790F">
            <w:pPr>
              <w:spacing w:after="0" w:line="240" w:lineRule="auto"/>
              <w:jc w:val="right"/>
              <w:rPr>
                <w:rFonts w:eastAsia="Times New Roman" w:cs="Calibri"/>
                <w:color w:val="000000"/>
                <w:sz w:val="18"/>
                <w:szCs w:val="18"/>
                <w:lang w:eastAsia="es-CR"/>
              </w:rPr>
            </w:pPr>
            <w:r w:rsidRPr="00CF2E54">
              <w:rPr>
                <w:rFonts w:eastAsia="Times New Roman" w:cs="Calibri"/>
                <w:color w:val="000000"/>
                <w:sz w:val="18"/>
                <w:szCs w:val="18"/>
                <w:lang w:eastAsia="es-CR"/>
              </w:rPr>
              <w:t xml:space="preserve">        161,21 </w:t>
            </w:r>
          </w:p>
        </w:tc>
      </w:tr>
      <w:tr w:rsidR="00CD55E7" w:rsidRPr="00CF2E54" w14:paraId="50B4C8F0" w14:textId="77777777" w:rsidTr="0061790F">
        <w:trPr>
          <w:trHeight w:val="295"/>
        </w:trPr>
        <w:tc>
          <w:tcPr>
            <w:tcW w:w="1704" w:type="dxa"/>
            <w:tcBorders>
              <w:top w:val="nil"/>
              <w:left w:val="single" w:sz="8" w:space="0" w:color="auto"/>
              <w:bottom w:val="single" w:sz="8" w:space="0" w:color="auto"/>
              <w:right w:val="nil"/>
            </w:tcBorders>
            <w:shd w:val="clear" w:color="auto" w:fill="auto"/>
            <w:noWrap/>
            <w:vAlign w:val="bottom"/>
            <w:hideMark/>
          </w:tcPr>
          <w:p w14:paraId="7CA1972C" w14:textId="77777777" w:rsidR="00CD55E7" w:rsidRPr="00CF2E54" w:rsidRDefault="00CD55E7" w:rsidP="0061790F">
            <w:pPr>
              <w:spacing w:after="0" w:line="240" w:lineRule="auto"/>
              <w:jc w:val="left"/>
              <w:rPr>
                <w:rFonts w:eastAsia="Times New Roman" w:cs="Calibri"/>
                <w:color w:val="000000"/>
                <w:sz w:val="16"/>
                <w:szCs w:val="16"/>
                <w:lang w:eastAsia="es-CR"/>
              </w:rPr>
            </w:pPr>
            <w:r w:rsidRPr="00CF2E54">
              <w:rPr>
                <w:rFonts w:eastAsia="Times New Roman" w:cs="Calibri"/>
                <w:color w:val="000000"/>
                <w:sz w:val="16"/>
                <w:szCs w:val="16"/>
                <w:lang w:eastAsia="es-CR"/>
              </w:rPr>
              <w:t> </w:t>
            </w:r>
          </w:p>
        </w:tc>
        <w:tc>
          <w:tcPr>
            <w:tcW w:w="1956" w:type="dxa"/>
            <w:tcBorders>
              <w:top w:val="nil"/>
              <w:left w:val="nil"/>
              <w:bottom w:val="single" w:sz="8" w:space="0" w:color="auto"/>
              <w:right w:val="nil"/>
            </w:tcBorders>
            <w:shd w:val="clear" w:color="auto" w:fill="auto"/>
            <w:noWrap/>
            <w:vAlign w:val="bottom"/>
            <w:hideMark/>
          </w:tcPr>
          <w:p w14:paraId="5E316D7E" w14:textId="77777777" w:rsidR="00CD55E7" w:rsidRPr="00CF2E54" w:rsidRDefault="00CD55E7" w:rsidP="0061790F">
            <w:pPr>
              <w:spacing w:after="0" w:line="240" w:lineRule="auto"/>
              <w:jc w:val="center"/>
              <w:rPr>
                <w:rFonts w:eastAsia="Times New Roman" w:cs="Calibri"/>
                <w:b/>
                <w:bCs/>
                <w:color w:val="000000"/>
                <w:sz w:val="18"/>
                <w:szCs w:val="18"/>
                <w:lang w:eastAsia="es-CR"/>
              </w:rPr>
            </w:pPr>
            <w:r w:rsidRPr="00CF2E54">
              <w:rPr>
                <w:rFonts w:eastAsia="Times New Roman" w:cs="Calibri"/>
                <w:b/>
                <w:bCs/>
                <w:color w:val="000000"/>
                <w:sz w:val="18"/>
                <w:szCs w:val="18"/>
                <w:lang w:eastAsia="es-CR"/>
              </w:rPr>
              <w:t>TOTAL</w:t>
            </w:r>
          </w:p>
        </w:tc>
        <w:tc>
          <w:tcPr>
            <w:tcW w:w="1150" w:type="dxa"/>
            <w:tcBorders>
              <w:top w:val="nil"/>
              <w:left w:val="nil"/>
              <w:bottom w:val="single" w:sz="8" w:space="0" w:color="auto"/>
              <w:right w:val="nil"/>
            </w:tcBorders>
            <w:shd w:val="clear" w:color="auto" w:fill="auto"/>
            <w:noWrap/>
            <w:vAlign w:val="bottom"/>
            <w:hideMark/>
          </w:tcPr>
          <w:p w14:paraId="29425404" w14:textId="77777777" w:rsidR="00CD55E7" w:rsidRPr="00CF2E54" w:rsidRDefault="00CD55E7" w:rsidP="0061790F">
            <w:pPr>
              <w:spacing w:after="0" w:line="240" w:lineRule="auto"/>
              <w:jc w:val="left"/>
              <w:rPr>
                <w:rFonts w:eastAsia="Times New Roman" w:cs="Calibri"/>
                <w:color w:val="000000"/>
                <w:sz w:val="18"/>
                <w:szCs w:val="18"/>
                <w:lang w:eastAsia="es-CR"/>
              </w:rPr>
            </w:pPr>
            <w:r w:rsidRPr="00CF2E54">
              <w:rPr>
                <w:rFonts w:eastAsia="Times New Roman" w:cs="Calibri"/>
                <w:color w:val="000000"/>
                <w:sz w:val="18"/>
                <w:szCs w:val="18"/>
                <w:lang w:eastAsia="es-CR"/>
              </w:rPr>
              <w:t> </w:t>
            </w:r>
          </w:p>
        </w:tc>
        <w:tc>
          <w:tcPr>
            <w:tcW w:w="1172" w:type="dxa"/>
            <w:tcBorders>
              <w:top w:val="nil"/>
              <w:left w:val="nil"/>
              <w:bottom w:val="single" w:sz="8" w:space="0" w:color="auto"/>
              <w:right w:val="nil"/>
            </w:tcBorders>
            <w:shd w:val="clear" w:color="auto" w:fill="auto"/>
            <w:noWrap/>
            <w:vAlign w:val="bottom"/>
            <w:hideMark/>
          </w:tcPr>
          <w:p w14:paraId="709DDDBD" w14:textId="77777777" w:rsidR="00CD55E7" w:rsidRPr="00CF2E54" w:rsidRDefault="00CD55E7" w:rsidP="0061790F">
            <w:pPr>
              <w:spacing w:after="0" w:line="240" w:lineRule="auto"/>
              <w:jc w:val="left"/>
              <w:rPr>
                <w:rFonts w:eastAsia="Times New Roman" w:cs="Calibri"/>
                <w:b/>
                <w:bCs/>
                <w:color w:val="000000"/>
                <w:sz w:val="18"/>
                <w:szCs w:val="18"/>
                <w:lang w:eastAsia="es-CR"/>
              </w:rPr>
            </w:pPr>
            <w:r w:rsidRPr="00CF2E54">
              <w:rPr>
                <w:rFonts w:eastAsia="Times New Roman" w:cs="Calibri"/>
                <w:b/>
                <w:bCs/>
                <w:color w:val="000000"/>
                <w:sz w:val="18"/>
                <w:szCs w:val="18"/>
                <w:lang w:eastAsia="es-CR"/>
              </w:rPr>
              <w:t xml:space="preserve">   </w:t>
            </w:r>
          </w:p>
        </w:tc>
        <w:tc>
          <w:tcPr>
            <w:tcW w:w="978" w:type="dxa"/>
            <w:tcBorders>
              <w:top w:val="nil"/>
              <w:left w:val="nil"/>
              <w:bottom w:val="single" w:sz="8" w:space="0" w:color="auto"/>
              <w:right w:val="nil"/>
            </w:tcBorders>
            <w:shd w:val="clear" w:color="auto" w:fill="auto"/>
            <w:noWrap/>
            <w:vAlign w:val="bottom"/>
            <w:hideMark/>
          </w:tcPr>
          <w:p w14:paraId="73509604" w14:textId="77777777" w:rsidR="00CD55E7" w:rsidRPr="00CF2E54" w:rsidRDefault="00CD55E7" w:rsidP="0061790F">
            <w:pPr>
              <w:spacing w:after="0" w:line="240" w:lineRule="auto"/>
              <w:jc w:val="left"/>
              <w:rPr>
                <w:rFonts w:eastAsia="Times New Roman" w:cs="Calibri"/>
                <w:color w:val="000000"/>
                <w:sz w:val="18"/>
                <w:szCs w:val="18"/>
                <w:lang w:eastAsia="es-CR"/>
              </w:rPr>
            </w:pPr>
            <w:r w:rsidRPr="00CF2E54">
              <w:rPr>
                <w:rFonts w:eastAsia="Times New Roman" w:cs="Calibri"/>
                <w:color w:val="000000"/>
                <w:sz w:val="18"/>
                <w:szCs w:val="18"/>
                <w:lang w:eastAsia="es-CR"/>
              </w:rPr>
              <w:t> </w:t>
            </w:r>
          </w:p>
        </w:tc>
        <w:tc>
          <w:tcPr>
            <w:tcW w:w="879" w:type="dxa"/>
            <w:tcBorders>
              <w:top w:val="nil"/>
              <w:left w:val="nil"/>
              <w:bottom w:val="single" w:sz="8" w:space="0" w:color="auto"/>
              <w:right w:val="nil"/>
            </w:tcBorders>
            <w:shd w:val="clear" w:color="auto" w:fill="auto"/>
            <w:noWrap/>
            <w:vAlign w:val="bottom"/>
            <w:hideMark/>
          </w:tcPr>
          <w:p w14:paraId="7598091E" w14:textId="77777777" w:rsidR="00CD55E7" w:rsidRPr="00CF2E54" w:rsidRDefault="00CD55E7" w:rsidP="0061790F">
            <w:pPr>
              <w:spacing w:after="0" w:line="240" w:lineRule="auto"/>
              <w:jc w:val="left"/>
              <w:rPr>
                <w:rFonts w:eastAsia="Times New Roman" w:cs="Calibri"/>
                <w:color w:val="000000"/>
                <w:sz w:val="18"/>
                <w:szCs w:val="18"/>
                <w:lang w:eastAsia="es-CR"/>
              </w:rPr>
            </w:pPr>
            <w:r w:rsidRPr="00CF2E54">
              <w:rPr>
                <w:rFonts w:eastAsia="Times New Roman" w:cs="Calibri"/>
                <w:color w:val="000000"/>
                <w:sz w:val="18"/>
                <w:szCs w:val="18"/>
                <w:lang w:eastAsia="es-CR"/>
              </w:rPr>
              <w:t> </w:t>
            </w:r>
          </w:p>
        </w:tc>
        <w:tc>
          <w:tcPr>
            <w:tcW w:w="1148" w:type="dxa"/>
            <w:tcBorders>
              <w:top w:val="nil"/>
              <w:left w:val="nil"/>
              <w:bottom w:val="single" w:sz="8" w:space="0" w:color="auto"/>
              <w:right w:val="single" w:sz="8" w:space="0" w:color="auto"/>
            </w:tcBorders>
            <w:shd w:val="clear" w:color="auto" w:fill="auto"/>
            <w:noWrap/>
            <w:vAlign w:val="bottom"/>
            <w:hideMark/>
          </w:tcPr>
          <w:p w14:paraId="64A2B2DE" w14:textId="77777777" w:rsidR="00CD55E7" w:rsidRPr="00CF2E54" w:rsidRDefault="00CD55E7" w:rsidP="0061790F">
            <w:pPr>
              <w:spacing w:after="0" w:line="240" w:lineRule="auto"/>
              <w:jc w:val="left"/>
              <w:rPr>
                <w:rFonts w:eastAsia="Times New Roman" w:cs="Calibri"/>
                <w:b/>
                <w:bCs/>
                <w:color w:val="000000"/>
                <w:sz w:val="18"/>
                <w:szCs w:val="18"/>
                <w:lang w:eastAsia="es-CR"/>
              </w:rPr>
            </w:pPr>
            <w:r w:rsidRPr="00CF2E54">
              <w:rPr>
                <w:rFonts w:eastAsia="Times New Roman" w:cs="Calibri"/>
                <w:b/>
                <w:bCs/>
                <w:color w:val="000000"/>
                <w:sz w:val="18"/>
                <w:szCs w:val="18"/>
                <w:lang w:eastAsia="es-CR"/>
              </w:rPr>
              <w:t xml:space="preserve">    17 614,42 </w:t>
            </w:r>
          </w:p>
        </w:tc>
      </w:tr>
    </w:tbl>
    <w:p w14:paraId="454B43CE" w14:textId="77777777" w:rsidR="00CD55E7" w:rsidRDefault="00CD55E7" w:rsidP="00D57597">
      <w:pPr>
        <w:pStyle w:val="Ttulo3"/>
        <w:spacing w:after="240"/>
        <w:rPr>
          <w:rFonts w:eastAsia="Calibri"/>
          <w:lang w:eastAsia="es-CR"/>
        </w:rPr>
      </w:pPr>
    </w:p>
    <w:p w14:paraId="7FC8680D" w14:textId="03509405" w:rsidR="00692DC8" w:rsidRPr="00692DC8" w:rsidRDefault="00692DC8" w:rsidP="00D57597">
      <w:pPr>
        <w:pStyle w:val="Ttulo3"/>
        <w:spacing w:after="240"/>
        <w:rPr>
          <w:rFonts w:eastAsia="Calibri"/>
          <w:lang w:eastAsia="es-CR"/>
        </w:rPr>
      </w:pPr>
      <w:bookmarkStart w:id="230" w:name="_Toc189804838"/>
      <w:r w:rsidRPr="00692DC8">
        <w:rPr>
          <w:rFonts w:eastAsia="Calibri"/>
          <w:lang w:eastAsia="es-CR"/>
        </w:rPr>
        <w:t>1.2 ACTIVO NO CORRIENTE</w:t>
      </w:r>
      <w:bookmarkEnd w:id="226"/>
      <w:bookmarkEnd w:id="230"/>
    </w:p>
    <w:p w14:paraId="464CC33E" w14:textId="77777777" w:rsidR="00692DC8" w:rsidRPr="00692DC8" w:rsidRDefault="00692DC8" w:rsidP="00D57597">
      <w:pPr>
        <w:pStyle w:val="Ttulo4"/>
        <w:spacing w:after="240"/>
        <w:rPr>
          <w:rFonts w:eastAsia="Times New Roman"/>
        </w:rPr>
      </w:pPr>
      <w:bookmarkStart w:id="231" w:name="_Toc82768917"/>
      <w:bookmarkStart w:id="232" w:name="_Toc189804839"/>
      <w:r w:rsidRPr="00692DC8">
        <w:rPr>
          <w:rFonts w:eastAsia="Times New Roman"/>
        </w:rPr>
        <w:t>NOTA N° 8</w:t>
      </w:r>
      <w:bookmarkEnd w:id="227"/>
      <w:bookmarkEnd w:id="228"/>
      <w:bookmarkEnd w:id="229"/>
      <w:bookmarkEnd w:id="231"/>
      <w:bookmarkEnd w:id="232"/>
    </w:p>
    <w:p w14:paraId="378E0CC5" w14:textId="77777777" w:rsidR="00396CB4" w:rsidRDefault="00692DC8" w:rsidP="00D34864">
      <w:pPr>
        <w:spacing w:before="240"/>
        <w:rPr>
          <w:rFonts w:asciiTheme="minorHAnsi" w:hAnsiTheme="minorHAnsi"/>
          <w:sz w:val="22"/>
        </w:rPr>
      </w:pPr>
      <w:bookmarkStart w:id="233" w:name="_Toc13041065"/>
      <w:bookmarkStart w:id="234" w:name="_Toc14345064"/>
      <w:bookmarkStart w:id="235" w:name="_Toc33601217"/>
      <w:bookmarkStart w:id="236" w:name="_Toc54546710"/>
      <w:bookmarkStart w:id="237" w:name="_Toc82768918"/>
      <w:r w:rsidRPr="00692DC8">
        <w:rPr>
          <w:rFonts w:eastAsia="Times New Roman"/>
        </w:rPr>
        <w:t>Inversiones a largo plazo</w:t>
      </w:r>
      <w:bookmarkEnd w:id="233"/>
      <w:bookmarkEnd w:id="234"/>
      <w:bookmarkEnd w:id="235"/>
      <w:bookmarkEnd w:id="236"/>
      <w:bookmarkEnd w:id="237"/>
      <w:r w:rsidR="00D34864">
        <w:rPr>
          <w:rFonts w:eastAsiaTheme="majorEastAsia" w:cstheme="majorBidi"/>
          <w:b/>
          <w:iCs/>
        </w:rPr>
        <w:fldChar w:fldCharType="begin"/>
      </w:r>
      <w:r w:rsidR="00D34864">
        <w:instrText xml:space="preserve"> LINK </w:instrText>
      </w:r>
      <w:r w:rsidR="00756467">
        <w:instrText xml:space="preserve">Excel.SheetMacroEnabled.12 "C:\\Users\\gcordero\\Downloads\\Notas diciembre 2024\\Formato_Notas_EEFF_Vinculadas_2024\\Formato_Notas_EEFF_Vinculadas_2024\\15603_T04_2024_Anexo_Estado_Notas_Contables_Vinculadas.xlsm" NOTAS_POR_CUENTA!F24C1:F26C6 </w:instrText>
      </w:r>
      <w:r w:rsidR="00D34864">
        <w:instrText xml:space="preserve">\a \f 4 \h </w:instrText>
      </w:r>
      <w:r w:rsidR="00D34864">
        <w:fldChar w:fldCharType="separate"/>
      </w:r>
    </w:p>
    <w:tbl>
      <w:tblPr>
        <w:tblW w:w="9600" w:type="dxa"/>
        <w:tblCellMar>
          <w:left w:w="70" w:type="dxa"/>
          <w:right w:w="70" w:type="dxa"/>
        </w:tblCellMar>
        <w:tblLook w:val="04A0" w:firstRow="1" w:lastRow="0" w:firstColumn="1" w:lastColumn="0" w:noHBand="0" w:noVBand="1"/>
      </w:tblPr>
      <w:tblGrid>
        <w:gridCol w:w="1027"/>
        <w:gridCol w:w="2853"/>
        <w:gridCol w:w="500"/>
        <w:gridCol w:w="2100"/>
        <w:gridCol w:w="2100"/>
        <w:gridCol w:w="1020"/>
      </w:tblGrid>
      <w:tr w:rsidR="00396CB4" w:rsidRPr="00396CB4" w14:paraId="31791F91" w14:textId="77777777" w:rsidTr="00396CB4">
        <w:trPr>
          <w:divId w:val="124858896"/>
          <w:trHeight w:val="330"/>
        </w:trPr>
        <w:tc>
          <w:tcPr>
            <w:tcW w:w="1027"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C4C04E6" w14:textId="43ABF976" w:rsidR="00396CB4" w:rsidRPr="00396CB4" w:rsidRDefault="00396CB4" w:rsidP="00396CB4">
            <w:pPr>
              <w:rPr>
                <w:rFonts w:eastAsia="Times New Roman" w:cs="Calibri"/>
                <w:b/>
                <w:bCs/>
                <w:color w:val="FFFFFF"/>
                <w:sz w:val="18"/>
                <w:szCs w:val="18"/>
                <w:lang w:eastAsia="es-CR"/>
              </w:rPr>
            </w:pPr>
            <w:r w:rsidRPr="00396CB4">
              <w:rPr>
                <w:rFonts w:eastAsia="Times New Roman" w:cs="Calibri"/>
                <w:b/>
                <w:bCs/>
                <w:color w:val="FFFFFF"/>
                <w:sz w:val="18"/>
                <w:szCs w:val="18"/>
                <w:lang w:eastAsia="es-CR"/>
              </w:rPr>
              <w:lastRenderedPageBreak/>
              <w:t xml:space="preserve">Cuenta </w:t>
            </w:r>
          </w:p>
        </w:tc>
        <w:tc>
          <w:tcPr>
            <w:tcW w:w="2853"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B64C3BE"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3B64835"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2FD0094"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F0C1A1D"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2E52970A"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22C9ACFE" w14:textId="77777777" w:rsidTr="00396CB4">
        <w:trPr>
          <w:divId w:val="124858896"/>
          <w:trHeight w:val="330"/>
        </w:trPr>
        <w:tc>
          <w:tcPr>
            <w:tcW w:w="1027" w:type="dxa"/>
            <w:vMerge/>
            <w:tcBorders>
              <w:top w:val="single" w:sz="8" w:space="0" w:color="auto"/>
              <w:left w:val="single" w:sz="8" w:space="0" w:color="auto"/>
              <w:bottom w:val="single" w:sz="8" w:space="0" w:color="000000"/>
              <w:right w:val="single" w:sz="8" w:space="0" w:color="auto"/>
            </w:tcBorders>
            <w:vAlign w:val="center"/>
            <w:hideMark/>
          </w:tcPr>
          <w:p w14:paraId="0EBCDBB7"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853" w:type="dxa"/>
            <w:vMerge/>
            <w:tcBorders>
              <w:top w:val="single" w:sz="8" w:space="0" w:color="auto"/>
              <w:left w:val="single" w:sz="8" w:space="0" w:color="auto"/>
              <w:bottom w:val="single" w:sz="8" w:space="0" w:color="000000"/>
              <w:right w:val="single" w:sz="8" w:space="0" w:color="auto"/>
            </w:tcBorders>
            <w:vAlign w:val="center"/>
            <w:hideMark/>
          </w:tcPr>
          <w:p w14:paraId="7E45AD61"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52196164"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32BA1C9C"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28E85A00"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74D176DB"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2B1E478F" w14:textId="77777777" w:rsidTr="00396CB4">
        <w:trPr>
          <w:divId w:val="124858896"/>
          <w:trHeight w:val="330"/>
        </w:trPr>
        <w:tc>
          <w:tcPr>
            <w:tcW w:w="1027" w:type="dxa"/>
            <w:tcBorders>
              <w:top w:val="nil"/>
              <w:left w:val="single" w:sz="8" w:space="0" w:color="auto"/>
              <w:bottom w:val="single" w:sz="8" w:space="0" w:color="auto"/>
              <w:right w:val="single" w:sz="8" w:space="0" w:color="auto"/>
            </w:tcBorders>
            <w:shd w:val="clear" w:color="auto" w:fill="auto"/>
            <w:noWrap/>
            <w:vAlign w:val="center"/>
            <w:hideMark/>
          </w:tcPr>
          <w:p w14:paraId="2DFE4273"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1.2.2.</w:t>
            </w:r>
          </w:p>
        </w:tc>
        <w:tc>
          <w:tcPr>
            <w:tcW w:w="2853" w:type="dxa"/>
            <w:tcBorders>
              <w:top w:val="nil"/>
              <w:left w:val="nil"/>
              <w:bottom w:val="single" w:sz="8" w:space="0" w:color="auto"/>
              <w:right w:val="single" w:sz="8" w:space="0" w:color="auto"/>
            </w:tcBorders>
            <w:shd w:val="clear" w:color="auto" w:fill="auto"/>
            <w:vAlign w:val="center"/>
            <w:hideMark/>
          </w:tcPr>
          <w:p w14:paraId="0E47F5C5"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Inversiones a largo plazo</w:t>
            </w:r>
          </w:p>
        </w:tc>
        <w:tc>
          <w:tcPr>
            <w:tcW w:w="500" w:type="dxa"/>
            <w:tcBorders>
              <w:top w:val="nil"/>
              <w:left w:val="nil"/>
              <w:bottom w:val="single" w:sz="8" w:space="0" w:color="auto"/>
              <w:right w:val="single" w:sz="8" w:space="0" w:color="auto"/>
            </w:tcBorders>
            <w:shd w:val="clear" w:color="auto" w:fill="auto"/>
            <w:noWrap/>
            <w:vAlign w:val="center"/>
            <w:hideMark/>
          </w:tcPr>
          <w:p w14:paraId="79AC3EAF"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08</w:t>
            </w:r>
          </w:p>
        </w:tc>
        <w:tc>
          <w:tcPr>
            <w:tcW w:w="2100" w:type="dxa"/>
            <w:tcBorders>
              <w:top w:val="nil"/>
              <w:left w:val="nil"/>
              <w:bottom w:val="single" w:sz="8" w:space="0" w:color="auto"/>
              <w:right w:val="single" w:sz="8" w:space="0" w:color="auto"/>
            </w:tcBorders>
            <w:shd w:val="clear" w:color="auto" w:fill="auto"/>
            <w:noWrap/>
            <w:vAlign w:val="center"/>
            <w:hideMark/>
          </w:tcPr>
          <w:p w14:paraId="5FEDC1A6"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2100" w:type="dxa"/>
            <w:tcBorders>
              <w:top w:val="nil"/>
              <w:left w:val="nil"/>
              <w:bottom w:val="single" w:sz="8" w:space="0" w:color="auto"/>
              <w:right w:val="single" w:sz="8" w:space="0" w:color="auto"/>
            </w:tcBorders>
            <w:shd w:val="clear" w:color="auto" w:fill="auto"/>
            <w:noWrap/>
            <w:vAlign w:val="center"/>
            <w:hideMark/>
          </w:tcPr>
          <w:p w14:paraId="3F2AE3BB"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1020" w:type="dxa"/>
            <w:tcBorders>
              <w:top w:val="nil"/>
              <w:left w:val="nil"/>
              <w:bottom w:val="single" w:sz="8" w:space="0" w:color="auto"/>
              <w:right w:val="single" w:sz="8" w:space="0" w:color="auto"/>
            </w:tcBorders>
            <w:shd w:val="clear" w:color="auto" w:fill="auto"/>
            <w:noWrap/>
            <w:vAlign w:val="center"/>
            <w:hideMark/>
          </w:tcPr>
          <w:p w14:paraId="6B6F6262"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0,00%</w:t>
            </w:r>
          </w:p>
        </w:tc>
      </w:tr>
    </w:tbl>
    <w:p w14:paraId="228932FD" w14:textId="77777777" w:rsidR="00EC10CC" w:rsidRDefault="00D34864" w:rsidP="00D34864">
      <w:pPr>
        <w:spacing w:before="240"/>
      </w:pPr>
      <w:r>
        <w:fldChar w:fldCharType="end"/>
      </w:r>
    </w:p>
    <w:p w14:paraId="3AB8D5BA" w14:textId="77777777" w:rsidR="00EC10CC" w:rsidRDefault="00EC10CC" w:rsidP="00D34864">
      <w:pPr>
        <w:spacing w:before="240"/>
      </w:pPr>
    </w:p>
    <w:p w14:paraId="7C400809" w14:textId="77777777" w:rsidR="00EC10CC" w:rsidRDefault="00EC10CC" w:rsidP="00D34864">
      <w:pPr>
        <w:spacing w:before="240"/>
      </w:pPr>
    </w:p>
    <w:p w14:paraId="6061E437" w14:textId="5FEC031B" w:rsidR="00396CB4" w:rsidRPr="00396CB4" w:rsidRDefault="00692DC8" w:rsidP="00D34864">
      <w:pPr>
        <w:spacing w:before="240"/>
        <w:rPr>
          <w:b/>
          <w:lang w:val="es-ES" w:eastAsia="es-CR"/>
        </w:rPr>
      </w:pPr>
      <w:r w:rsidRPr="00194EB6">
        <w:rPr>
          <w:b/>
          <w:lang w:val="es-ES" w:eastAsia="es-CR"/>
        </w:rPr>
        <w:t xml:space="preserve">Revelación: </w:t>
      </w:r>
      <w:r w:rsidR="00D34864">
        <w:rPr>
          <w:b/>
          <w:lang w:val="es-ES" w:eastAsia="es-CR"/>
        </w:rPr>
        <w:fldChar w:fldCharType="begin"/>
      </w:r>
      <w:r w:rsidR="00D34864">
        <w:rPr>
          <w:b/>
          <w:lang w:val="es-ES" w:eastAsia="es-CR"/>
        </w:rPr>
        <w:instrText xml:space="preserve"> LINK </w:instrText>
      </w:r>
      <w:r w:rsidR="00756467">
        <w:rPr>
          <w:b/>
          <w:lang w:val="es-ES" w:eastAsia="es-CR"/>
        </w:rPr>
        <w:instrText xml:space="preserve">Excel.SheetMacroEnabled.12 "C:\\Users\\gcordero\\Downloads\\Notas diciembre 2024\\Formato_Notas_EEFF_Vinculadas_2024\\Formato_Notas_EEFF_Vinculadas_2024\\15603_T04_2024_Anexo_Estado_Notas_Contables_Vinculadas.xlsm" NOTAS_POR_CUENTA!F26C8 </w:instrText>
      </w:r>
      <w:r w:rsidR="00D34864">
        <w:rPr>
          <w:b/>
          <w:lang w:val="es-ES" w:eastAsia="es-CR"/>
        </w:rPr>
        <w:instrText xml:space="preserve">\a \f 5 \h  \* MERGEFORMAT </w:instrText>
      </w:r>
      <w:r w:rsidR="00D34864">
        <w:rPr>
          <w:b/>
          <w:lang w:val="es-ES" w:eastAsia="es-CR"/>
        </w:rPr>
        <w:fldChar w:fldCharType="separate"/>
      </w:r>
    </w:p>
    <w:p w14:paraId="45AEA6F6" w14:textId="77777777" w:rsidR="00396CB4" w:rsidRPr="00396CB4" w:rsidRDefault="00396CB4" w:rsidP="00396CB4">
      <w:pPr>
        <w:spacing w:before="240"/>
        <w:rPr>
          <w:lang w:eastAsia="es-CR"/>
        </w:rPr>
      </w:pPr>
      <w:r w:rsidRPr="00396CB4">
        <w:rPr>
          <w:lang w:eastAsia="es-CR"/>
        </w:rPr>
        <w:t>La cuenta Inversiones a largo plazo, representa el 0,00% del total del Activo, que comparado al periodo anterior genera una variación absoluta de 0 000,00 que corresponde a un Aumento del 0,00% de recursos disponibles.</w:t>
      </w:r>
    </w:p>
    <w:p w14:paraId="52EA4BFB" w14:textId="6AB77AD3" w:rsidR="00692DC8" w:rsidRPr="00D34864" w:rsidRDefault="00D34864" w:rsidP="00D34864">
      <w:pPr>
        <w:spacing w:before="240"/>
        <w:rPr>
          <w:b/>
          <w:lang w:val="es-ES" w:eastAsia="es-CR"/>
        </w:rPr>
      </w:pPr>
      <w:r>
        <w:rPr>
          <w:b/>
          <w:lang w:val="es-ES" w:eastAsia="es-CR"/>
        </w:rPr>
        <w:fldChar w:fldCharType="end"/>
      </w:r>
      <w:r w:rsidR="00692DC8" w:rsidRPr="00692DC8">
        <w:rPr>
          <w:szCs w:val="24"/>
          <w:highlight w:val="lightGray"/>
          <w:lang w:eastAsia="es-CR"/>
        </w:rPr>
        <w:t>Las variaciones de la cuenta son producto de (Indicar la razón de las variaciones de un periodo a otro):</w:t>
      </w:r>
      <w:r w:rsidR="00692DC8" w:rsidRPr="00692DC8">
        <w:rPr>
          <w:szCs w:val="24"/>
          <w:lang w:eastAsia="es-CR"/>
        </w:rPr>
        <w:t xml:space="preserve"> </w:t>
      </w:r>
    </w:p>
    <w:p w14:paraId="0171C29D" w14:textId="77777777" w:rsidR="00692DC8" w:rsidRPr="00194EB6" w:rsidRDefault="00692DC8" w:rsidP="00194EB6"/>
    <w:p w14:paraId="0443C021" w14:textId="77777777" w:rsidR="00692DC8" w:rsidRPr="00692DC8" w:rsidRDefault="00692DC8" w:rsidP="00194EB6">
      <w:pPr>
        <w:pStyle w:val="Ttulo4"/>
        <w:spacing w:after="240"/>
        <w:rPr>
          <w:rFonts w:eastAsia="Times New Roman" w:cs="Times New Roman"/>
          <w:bCs/>
        </w:rPr>
      </w:pPr>
      <w:bookmarkStart w:id="238" w:name="_Toc13041071"/>
      <w:bookmarkStart w:id="239" w:name="_Toc14345070"/>
      <w:bookmarkStart w:id="240" w:name="_Toc33601218"/>
      <w:bookmarkStart w:id="241" w:name="_Toc82768919"/>
      <w:bookmarkStart w:id="242" w:name="_Toc189804840"/>
      <w:r w:rsidRPr="00692DC8">
        <w:rPr>
          <w:rFonts w:eastAsia="Times New Roman" w:cs="Times New Roman"/>
          <w:bCs/>
        </w:rPr>
        <w:t>NOTA N° 9</w:t>
      </w:r>
      <w:bookmarkEnd w:id="238"/>
      <w:bookmarkEnd w:id="239"/>
      <w:bookmarkEnd w:id="240"/>
      <w:bookmarkEnd w:id="241"/>
      <w:bookmarkEnd w:id="242"/>
    </w:p>
    <w:p w14:paraId="4FCB4A0A" w14:textId="77777777" w:rsidR="00396CB4" w:rsidRDefault="00692DC8" w:rsidP="00F51D42">
      <w:pPr>
        <w:spacing w:before="240"/>
        <w:rPr>
          <w:rFonts w:asciiTheme="minorHAnsi" w:hAnsiTheme="minorHAnsi"/>
          <w:sz w:val="22"/>
        </w:rPr>
      </w:pPr>
      <w:bookmarkStart w:id="243" w:name="_Toc13041072"/>
      <w:bookmarkStart w:id="244" w:name="_Toc14345071"/>
      <w:bookmarkStart w:id="245" w:name="_Toc33601219"/>
      <w:bookmarkStart w:id="246" w:name="_Toc82768920"/>
      <w:r w:rsidRPr="00692DC8">
        <w:rPr>
          <w:rFonts w:eastAsia="Times New Roman" w:cs="Times New Roman"/>
          <w:bCs/>
        </w:rPr>
        <w:t>Cuentas a cobrar a largo plazo</w:t>
      </w:r>
      <w:bookmarkEnd w:id="243"/>
      <w:bookmarkEnd w:id="244"/>
      <w:bookmarkEnd w:id="245"/>
      <w:bookmarkEnd w:id="246"/>
      <w:r w:rsidR="001A4EC0">
        <w:rPr>
          <w:rFonts w:eastAsiaTheme="majorEastAsia" w:cstheme="majorBidi"/>
          <w:b/>
          <w:iCs/>
        </w:rPr>
        <w:fldChar w:fldCharType="begin"/>
      </w:r>
      <w:r w:rsidR="001A4EC0">
        <w:instrText xml:space="preserve"> LINK </w:instrText>
      </w:r>
      <w:r w:rsidR="00756467">
        <w:instrText xml:space="preserve">Excel.SheetMacroEnabled.12 "C:\\Users\\gcordero\\Downloads\\Notas diciembre 2024\\Formato_Notas_EEFF_Vinculadas_2024\\Formato_Notas_EEFF_Vinculadas_2024\\15603_T04_2024_Anexo_Estado_Notas_Contables_Vinculadas.xlsm" NOTAS_POR_CUENTA!F28C1:F30C6 </w:instrText>
      </w:r>
      <w:r w:rsidR="001A4EC0">
        <w:instrText xml:space="preserve">\a \f 4 \h </w:instrText>
      </w:r>
      <w:r w:rsidR="001A4EC0">
        <w:fldChar w:fldCharType="separate"/>
      </w:r>
    </w:p>
    <w:tbl>
      <w:tblPr>
        <w:tblW w:w="9600" w:type="dxa"/>
        <w:tblCellMar>
          <w:left w:w="70" w:type="dxa"/>
          <w:right w:w="70" w:type="dxa"/>
        </w:tblCellMar>
        <w:tblLook w:val="04A0" w:firstRow="1" w:lastRow="0" w:firstColumn="1" w:lastColumn="0" w:noHBand="0" w:noVBand="1"/>
      </w:tblPr>
      <w:tblGrid>
        <w:gridCol w:w="991"/>
        <w:gridCol w:w="2889"/>
        <w:gridCol w:w="500"/>
        <w:gridCol w:w="2100"/>
        <w:gridCol w:w="2100"/>
        <w:gridCol w:w="1020"/>
      </w:tblGrid>
      <w:tr w:rsidR="00396CB4" w:rsidRPr="00396CB4" w14:paraId="41D8BD7E" w14:textId="77777777" w:rsidTr="00396CB4">
        <w:trPr>
          <w:divId w:val="519508505"/>
          <w:trHeight w:val="330"/>
        </w:trPr>
        <w:tc>
          <w:tcPr>
            <w:tcW w:w="99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C2611DB" w14:textId="29EBA2A4" w:rsidR="00396CB4" w:rsidRPr="00396CB4" w:rsidRDefault="00396CB4" w:rsidP="00396CB4">
            <w:pP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2889"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B87DD4E"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641DA4B"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7604ABD"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41FDFD2"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25DA46BE"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45FACCFF" w14:textId="77777777" w:rsidTr="00396CB4">
        <w:trPr>
          <w:divId w:val="519508505"/>
          <w:trHeight w:val="330"/>
        </w:trPr>
        <w:tc>
          <w:tcPr>
            <w:tcW w:w="991" w:type="dxa"/>
            <w:vMerge/>
            <w:tcBorders>
              <w:top w:val="single" w:sz="8" w:space="0" w:color="auto"/>
              <w:left w:val="single" w:sz="8" w:space="0" w:color="auto"/>
              <w:bottom w:val="single" w:sz="8" w:space="0" w:color="000000"/>
              <w:right w:val="single" w:sz="8" w:space="0" w:color="auto"/>
            </w:tcBorders>
            <w:vAlign w:val="center"/>
            <w:hideMark/>
          </w:tcPr>
          <w:p w14:paraId="32EA55C7"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889" w:type="dxa"/>
            <w:vMerge/>
            <w:tcBorders>
              <w:top w:val="single" w:sz="8" w:space="0" w:color="auto"/>
              <w:left w:val="single" w:sz="8" w:space="0" w:color="auto"/>
              <w:bottom w:val="single" w:sz="8" w:space="0" w:color="000000"/>
              <w:right w:val="single" w:sz="8" w:space="0" w:color="auto"/>
            </w:tcBorders>
            <w:vAlign w:val="center"/>
            <w:hideMark/>
          </w:tcPr>
          <w:p w14:paraId="62E98650"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33D28ECB"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2FBCD285"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79E50ACF"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62DCA6E0"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4953AB9E" w14:textId="77777777" w:rsidTr="00396CB4">
        <w:trPr>
          <w:divId w:val="519508505"/>
          <w:trHeight w:val="330"/>
        </w:trPr>
        <w:tc>
          <w:tcPr>
            <w:tcW w:w="991" w:type="dxa"/>
            <w:tcBorders>
              <w:top w:val="nil"/>
              <w:left w:val="single" w:sz="8" w:space="0" w:color="auto"/>
              <w:bottom w:val="single" w:sz="8" w:space="0" w:color="auto"/>
              <w:right w:val="single" w:sz="8" w:space="0" w:color="auto"/>
            </w:tcBorders>
            <w:shd w:val="clear" w:color="auto" w:fill="auto"/>
            <w:noWrap/>
            <w:vAlign w:val="center"/>
            <w:hideMark/>
          </w:tcPr>
          <w:p w14:paraId="41972283"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1.2.3.</w:t>
            </w:r>
          </w:p>
        </w:tc>
        <w:tc>
          <w:tcPr>
            <w:tcW w:w="2889" w:type="dxa"/>
            <w:tcBorders>
              <w:top w:val="nil"/>
              <w:left w:val="nil"/>
              <w:bottom w:val="single" w:sz="8" w:space="0" w:color="auto"/>
              <w:right w:val="single" w:sz="8" w:space="0" w:color="auto"/>
            </w:tcBorders>
            <w:shd w:val="clear" w:color="auto" w:fill="auto"/>
            <w:vAlign w:val="center"/>
            <w:hideMark/>
          </w:tcPr>
          <w:p w14:paraId="5E13C731"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Cuentas a cobrar a largo plazo</w:t>
            </w:r>
          </w:p>
        </w:tc>
        <w:tc>
          <w:tcPr>
            <w:tcW w:w="500" w:type="dxa"/>
            <w:tcBorders>
              <w:top w:val="nil"/>
              <w:left w:val="nil"/>
              <w:bottom w:val="single" w:sz="8" w:space="0" w:color="auto"/>
              <w:right w:val="single" w:sz="8" w:space="0" w:color="auto"/>
            </w:tcBorders>
            <w:shd w:val="clear" w:color="auto" w:fill="auto"/>
            <w:noWrap/>
            <w:vAlign w:val="center"/>
            <w:hideMark/>
          </w:tcPr>
          <w:p w14:paraId="37CD8735"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09</w:t>
            </w:r>
          </w:p>
        </w:tc>
        <w:tc>
          <w:tcPr>
            <w:tcW w:w="2100" w:type="dxa"/>
            <w:tcBorders>
              <w:top w:val="nil"/>
              <w:left w:val="nil"/>
              <w:bottom w:val="single" w:sz="8" w:space="0" w:color="auto"/>
              <w:right w:val="single" w:sz="8" w:space="0" w:color="auto"/>
            </w:tcBorders>
            <w:shd w:val="clear" w:color="auto" w:fill="auto"/>
            <w:noWrap/>
            <w:vAlign w:val="center"/>
            <w:hideMark/>
          </w:tcPr>
          <w:p w14:paraId="62C8BF03"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2100" w:type="dxa"/>
            <w:tcBorders>
              <w:top w:val="nil"/>
              <w:left w:val="nil"/>
              <w:bottom w:val="single" w:sz="8" w:space="0" w:color="auto"/>
              <w:right w:val="single" w:sz="8" w:space="0" w:color="auto"/>
            </w:tcBorders>
            <w:shd w:val="clear" w:color="auto" w:fill="auto"/>
            <w:noWrap/>
            <w:vAlign w:val="center"/>
            <w:hideMark/>
          </w:tcPr>
          <w:p w14:paraId="4A54D039"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1020" w:type="dxa"/>
            <w:tcBorders>
              <w:top w:val="nil"/>
              <w:left w:val="nil"/>
              <w:bottom w:val="single" w:sz="8" w:space="0" w:color="auto"/>
              <w:right w:val="single" w:sz="8" w:space="0" w:color="auto"/>
            </w:tcBorders>
            <w:shd w:val="clear" w:color="auto" w:fill="auto"/>
            <w:noWrap/>
            <w:vAlign w:val="center"/>
            <w:hideMark/>
          </w:tcPr>
          <w:p w14:paraId="32C4F765"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0,00%</w:t>
            </w:r>
          </w:p>
        </w:tc>
      </w:tr>
    </w:tbl>
    <w:p w14:paraId="0957D852" w14:textId="77777777" w:rsidR="00396CB4" w:rsidRPr="00396CB4" w:rsidRDefault="001A4EC0" w:rsidP="00396CB4">
      <w:pPr>
        <w:spacing w:before="240"/>
      </w:pPr>
      <w:r>
        <w:fldChar w:fldCharType="end"/>
      </w:r>
      <w:r w:rsidR="00692DC8" w:rsidRPr="00194EB6">
        <w:rPr>
          <w:b/>
          <w:lang w:val="es-ES"/>
        </w:rPr>
        <w:t xml:space="preserve">Revelación: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756467">
        <w:rPr>
          <w:rFonts w:eastAsia="Times New Roman" w:cs="Calibri"/>
          <w:color w:val="000000"/>
          <w:lang w:eastAsia="es-CR"/>
        </w:rPr>
        <w:instrText xml:space="preserve">Excel.SheetMacroEnabled.12 "C:\\Users\\gcordero\\Downloads\\Notas diciembre 2024\\Formato_Notas_EEFF_Vinculadas_2024\\Formato_Notas_EEFF_Vinculadas_2024\\15603_T04_2024_Anexo_Estado_Notas_Contables_Vinculadas.xlsm" NOTAS_POR_CUENTA!F30C8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6217289C" w14:textId="77777777" w:rsidR="00396CB4" w:rsidRPr="00396CB4" w:rsidRDefault="00396CB4" w:rsidP="00396CB4">
      <w:pPr>
        <w:rPr>
          <w:rFonts w:eastAsia="Times New Roman" w:cs="Calibri"/>
          <w:color w:val="000000"/>
          <w:lang w:eastAsia="es-CR"/>
        </w:rPr>
      </w:pPr>
      <w:r w:rsidRPr="00396CB4">
        <w:rPr>
          <w:rFonts w:eastAsia="Times New Roman" w:cs="Calibri"/>
          <w:color w:val="000000"/>
          <w:lang w:eastAsia="es-CR"/>
        </w:rPr>
        <w:t>La cuenta Cuentas a cobrar a largo plazo, representa el 0,00% del total del Activo, que comparado al periodo anterior genera una variación absoluta de 0 000,00 que corresponde a un Aumento del 0,00% de recursos disponibles.</w:t>
      </w:r>
    </w:p>
    <w:p w14:paraId="21924EA0" w14:textId="2D37D901" w:rsidR="00692DC8" w:rsidRDefault="001A4EC0" w:rsidP="001A4EC0">
      <w:pPr>
        <w:rPr>
          <w:rFonts w:eastAsia="Times New Roman"/>
          <w:szCs w:val="24"/>
          <w:lang w:eastAsia="es-CR"/>
        </w:rPr>
      </w:pPr>
      <w:r>
        <w:rPr>
          <w:rFonts w:eastAsia="Times New Roman" w:cs="Calibri"/>
          <w:color w:val="000000"/>
          <w:lang w:eastAsia="es-CR"/>
        </w:rPr>
        <w:fldChar w:fldCharType="end"/>
      </w:r>
      <w:r w:rsidR="00692DC8" w:rsidRPr="00692DC8">
        <w:rPr>
          <w:rFonts w:eastAsia="Times New Roman"/>
          <w:sz w:val="22"/>
          <w:szCs w:val="24"/>
          <w:highlight w:val="lightGray"/>
          <w:lang w:eastAsia="es-CR"/>
        </w:rPr>
        <w:t xml:space="preserve"> Las variaciones de la cuenta son producto de (Indicar la razón de las variaciones de un periodo a otro</w:t>
      </w:r>
      <w:r w:rsidR="00692DC8" w:rsidRPr="00692DC8">
        <w:rPr>
          <w:rFonts w:eastAsia="Times New Roman"/>
          <w:szCs w:val="24"/>
          <w:highlight w:val="lightGray"/>
          <w:lang w:eastAsia="es-CR"/>
        </w:rPr>
        <w:t>):</w:t>
      </w:r>
      <w:r w:rsidR="00692DC8" w:rsidRPr="00692DC8">
        <w:rPr>
          <w:rFonts w:eastAsia="Times New Roman"/>
          <w:szCs w:val="24"/>
          <w:lang w:eastAsia="es-CR"/>
        </w:rPr>
        <w:t xml:space="preserve"> </w:t>
      </w:r>
    </w:p>
    <w:p w14:paraId="350E4D06" w14:textId="77777777" w:rsidR="00194EB6" w:rsidRPr="00194EB6" w:rsidRDefault="00194EB6" w:rsidP="00194EB6">
      <w:pPr>
        <w:rPr>
          <w:rFonts w:eastAsia="Times New Roman"/>
          <w:szCs w:val="24"/>
          <w:lang w:eastAsia="es-CR"/>
        </w:rPr>
      </w:pPr>
    </w:p>
    <w:p w14:paraId="04DF16DC" w14:textId="77777777" w:rsidR="00692DC8" w:rsidRPr="00692DC8" w:rsidRDefault="00692DC8" w:rsidP="00194EB6">
      <w:pPr>
        <w:pStyle w:val="Ttulo4"/>
        <w:spacing w:after="240"/>
        <w:rPr>
          <w:rFonts w:eastAsia="Times New Roman"/>
        </w:rPr>
      </w:pPr>
      <w:bookmarkStart w:id="247" w:name="_Toc13041080"/>
      <w:bookmarkStart w:id="248" w:name="_Toc14345079"/>
      <w:bookmarkStart w:id="249" w:name="_Toc33601220"/>
      <w:bookmarkStart w:id="250" w:name="_Toc82768921"/>
      <w:bookmarkStart w:id="251" w:name="_Toc189804841"/>
      <w:r w:rsidRPr="00692DC8">
        <w:rPr>
          <w:rFonts w:eastAsia="Times New Roman"/>
        </w:rPr>
        <w:lastRenderedPageBreak/>
        <w:t>NOTA N° 10</w:t>
      </w:r>
      <w:bookmarkStart w:id="252" w:name="_Toc13041081"/>
      <w:bookmarkStart w:id="253" w:name="_Toc14345080"/>
      <w:bookmarkEnd w:id="247"/>
      <w:bookmarkEnd w:id="248"/>
      <w:bookmarkEnd w:id="249"/>
      <w:bookmarkEnd w:id="250"/>
      <w:bookmarkEnd w:id="251"/>
    </w:p>
    <w:p w14:paraId="49AE57EC" w14:textId="77777777" w:rsidR="00396CB4" w:rsidRDefault="00692DC8" w:rsidP="00F51D42">
      <w:pPr>
        <w:spacing w:before="240"/>
        <w:rPr>
          <w:rFonts w:asciiTheme="minorHAnsi" w:hAnsiTheme="minorHAnsi"/>
          <w:sz w:val="22"/>
        </w:rPr>
      </w:pPr>
      <w:bookmarkStart w:id="254" w:name="_Toc33601221"/>
      <w:bookmarkStart w:id="255" w:name="_Toc82768922"/>
      <w:r w:rsidRPr="00692DC8">
        <w:rPr>
          <w:rFonts w:eastAsia="Times New Roman"/>
        </w:rPr>
        <w:t>Bienes no concesionados</w:t>
      </w:r>
      <w:bookmarkEnd w:id="252"/>
      <w:bookmarkEnd w:id="253"/>
      <w:bookmarkEnd w:id="254"/>
      <w:bookmarkEnd w:id="255"/>
      <w:r w:rsidRPr="00692DC8">
        <w:rPr>
          <w:rFonts w:eastAsia="Times New Roman"/>
        </w:rPr>
        <w:t xml:space="preserve"> </w:t>
      </w:r>
      <w:r w:rsidR="001A4EC0">
        <w:rPr>
          <w:rFonts w:eastAsiaTheme="majorEastAsia" w:cstheme="majorBidi"/>
          <w:b/>
          <w:iCs/>
        </w:rPr>
        <w:fldChar w:fldCharType="begin"/>
      </w:r>
      <w:r w:rsidR="001A4EC0">
        <w:instrText xml:space="preserve"> LINK </w:instrText>
      </w:r>
      <w:r w:rsidR="00756467">
        <w:instrText xml:space="preserve">Excel.SheetMacroEnabled.12 "C:\\Users\\gcordero\\Downloads\\Notas diciembre 2024\\Formato_Notas_EEFF_Vinculadas_2024\\Formato_Notas_EEFF_Vinculadas_2024\\15603_T04_2024_Anexo_Estado_Notas_Contables_Vinculadas.xlsm" NOTAS_POR_CUENTA!F32C1:F34C6 </w:instrText>
      </w:r>
      <w:r w:rsidR="001A4EC0">
        <w:instrText xml:space="preserve">\a \f 4 \h </w:instrText>
      </w:r>
      <w:r w:rsidR="001A4EC0">
        <w:fldChar w:fldCharType="separate"/>
      </w:r>
    </w:p>
    <w:tbl>
      <w:tblPr>
        <w:tblW w:w="9600" w:type="dxa"/>
        <w:tblCellMar>
          <w:left w:w="70" w:type="dxa"/>
          <w:right w:w="70" w:type="dxa"/>
        </w:tblCellMar>
        <w:tblLook w:val="04A0" w:firstRow="1" w:lastRow="0" w:firstColumn="1" w:lastColumn="0" w:noHBand="0" w:noVBand="1"/>
      </w:tblPr>
      <w:tblGrid>
        <w:gridCol w:w="1334"/>
        <w:gridCol w:w="2546"/>
        <w:gridCol w:w="500"/>
        <w:gridCol w:w="2100"/>
        <w:gridCol w:w="2100"/>
        <w:gridCol w:w="1020"/>
      </w:tblGrid>
      <w:tr w:rsidR="00396CB4" w:rsidRPr="00396CB4" w14:paraId="2C9BA98C" w14:textId="77777777" w:rsidTr="00396CB4">
        <w:trPr>
          <w:divId w:val="119496525"/>
          <w:trHeight w:val="330"/>
        </w:trPr>
        <w:tc>
          <w:tcPr>
            <w:tcW w:w="1334"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C3261D3" w14:textId="09382349" w:rsidR="00396CB4" w:rsidRPr="00396CB4" w:rsidRDefault="00396CB4" w:rsidP="00396CB4">
            <w:pP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2546"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3DF9726"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3B648D2"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3148D17"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67554F2"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2E487420"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1E287173" w14:textId="77777777" w:rsidTr="00396CB4">
        <w:trPr>
          <w:divId w:val="119496525"/>
          <w:trHeight w:val="330"/>
        </w:trPr>
        <w:tc>
          <w:tcPr>
            <w:tcW w:w="1334" w:type="dxa"/>
            <w:vMerge/>
            <w:tcBorders>
              <w:top w:val="single" w:sz="8" w:space="0" w:color="auto"/>
              <w:left w:val="single" w:sz="8" w:space="0" w:color="auto"/>
              <w:bottom w:val="single" w:sz="8" w:space="0" w:color="000000"/>
              <w:right w:val="single" w:sz="8" w:space="0" w:color="auto"/>
            </w:tcBorders>
            <w:vAlign w:val="center"/>
            <w:hideMark/>
          </w:tcPr>
          <w:p w14:paraId="6AC422FE"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546" w:type="dxa"/>
            <w:vMerge/>
            <w:tcBorders>
              <w:top w:val="single" w:sz="8" w:space="0" w:color="auto"/>
              <w:left w:val="single" w:sz="8" w:space="0" w:color="auto"/>
              <w:bottom w:val="single" w:sz="8" w:space="0" w:color="000000"/>
              <w:right w:val="single" w:sz="8" w:space="0" w:color="auto"/>
            </w:tcBorders>
            <w:vAlign w:val="center"/>
            <w:hideMark/>
          </w:tcPr>
          <w:p w14:paraId="017F60E4"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0EB4ACA0"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444F2688"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2B85FB6C"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4E0B2F75"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5448D59F" w14:textId="77777777" w:rsidTr="00396CB4">
        <w:trPr>
          <w:divId w:val="119496525"/>
          <w:trHeight w:val="330"/>
        </w:trPr>
        <w:tc>
          <w:tcPr>
            <w:tcW w:w="1334" w:type="dxa"/>
            <w:tcBorders>
              <w:top w:val="nil"/>
              <w:left w:val="single" w:sz="8" w:space="0" w:color="auto"/>
              <w:bottom w:val="single" w:sz="8" w:space="0" w:color="auto"/>
              <w:right w:val="single" w:sz="8" w:space="0" w:color="auto"/>
            </w:tcBorders>
            <w:shd w:val="clear" w:color="auto" w:fill="auto"/>
            <w:noWrap/>
            <w:vAlign w:val="center"/>
            <w:hideMark/>
          </w:tcPr>
          <w:p w14:paraId="1095095E"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1.2.5.</w:t>
            </w:r>
          </w:p>
        </w:tc>
        <w:tc>
          <w:tcPr>
            <w:tcW w:w="2546" w:type="dxa"/>
            <w:tcBorders>
              <w:top w:val="nil"/>
              <w:left w:val="nil"/>
              <w:bottom w:val="single" w:sz="8" w:space="0" w:color="auto"/>
              <w:right w:val="single" w:sz="8" w:space="0" w:color="auto"/>
            </w:tcBorders>
            <w:shd w:val="clear" w:color="auto" w:fill="auto"/>
            <w:vAlign w:val="center"/>
            <w:hideMark/>
          </w:tcPr>
          <w:p w14:paraId="409524A7"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Bienes no concesionados</w:t>
            </w:r>
          </w:p>
        </w:tc>
        <w:tc>
          <w:tcPr>
            <w:tcW w:w="500" w:type="dxa"/>
            <w:tcBorders>
              <w:top w:val="nil"/>
              <w:left w:val="nil"/>
              <w:bottom w:val="single" w:sz="8" w:space="0" w:color="auto"/>
              <w:right w:val="single" w:sz="8" w:space="0" w:color="auto"/>
            </w:tcBorders>
            <w:shd w:val="clear" w:color="auto" w:fill="auto"/>
            <w:noWrap/>
            <w:vAlign w:val="center"/>
            <w:hideMark/>
          </w:tcPr>
          <w:p w14:paraId="34ABFBC7"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10</w:t>
            </w:r>
          </w:p>
        </w:tc>
        <w:tc>
          <w:tcPr>
            <w:tcW w:w="2100" w:type="dxa"/>
            <w:tcBorders>
              <w:top w:val="nil"/>
              <w:left w:val="nil"/>
              <w:bottom w:val="single" w:sz="8" w:space="0" w:color="auto"/>
              <w:right w:val="single" w:sz="8" w:space="0" w:color="auto"/>
            </w:tcBorders>
            <w:shd w:val="clear" w:color="auto" w:fill="auto"/>
            <w:noWrap/>
            <w:vAlign w:val="center"/>
            <w:hideMark/>
          </w:tcPr>
          <w:p w14:paraId="44E6C45B"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163 204 401,45 </w:t>
            </w:r>
          </w:p>
        </w:tc>
        <w:tc>
          <w:tcPr>
            <w:tcW w:w="2100" w:type="dxa"/>
            <w:tcBorders>
              <w:top w:val="nil"/>
              <w:left w:val="nil"/>
              <w:bottom w:val="single" w:sz="8" w:space="0" w:color="auto"/>
              <w:right w:val="single" w:sz="8" w:space="0" w:color="auto"/>
            </w:tcBorders>
            <w:shd w:val="clear" w:color="auto" w:fill="auto"/>
            <w:noWrap/>
            <w:vAlign w:val="center"/>
            <w:hideMark/>
          </w:tcPr>
          <w:p w14:paraId="6407A056"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163 010 808,27 </w:t>
            </w:r>
          </w:p>
        </w:tc>
        <w:tc>
          <w:tcPr>
            <w:tcW w:w="1020" w:type="dxa"/>
            <w:tcBorders>
              <w:top w:val="nil"/>
              <w:left w:val="nil"/>
              <w:bottom w:val="single" w:sz="8" w:space="0" w:color="auto"/>
              <w:right w:val="single" w:sz="8" w:space="0" w:color="auto"/>
            </w:tcBorders>
            <w:shd w:val="clear" w:color="auto" w:fill="auto"/>
            <w:noWrap/>
            <w:vAlign w:val="center"/>
            <w:hideMark/>
          </w:tcPr>
          <w:p w14:paraId="139EF5D0"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0,12%</w:t>
            </w:r>
          </w:p>
        </w:tc>
      </w:tr>
    </w:tbl>
    <w:p w14:paraId="13051018" w14:textId="77777777" w:rsidR="00EC10CC" w:rsidRDefault="001A4EC0" w:rsidP="00396CB4">
      <w:pPr>
        <w:spacing w:before="240"/>
      </w:pPr>
      <w:r>
        <w:fldChar w:fldCharType="end"/>
      </w:r>
    </w:p>
    <w:p w14:paraId="772B5AAB" w14:textId="77777777" w:rsidR="00EC10CC" w:rsidRDefault="00EC10CC" w:rsidP="00396CB4">
      <w:pPr>
        <w:spacing w:before="240"/>
      </w:pPr>
    </w:p>
    <w:p w14:paraId="28312AB2" w14:textId="44471CDE" w:rsidR="00396CB4" w:rsidRPr="00396CB4" w:rsidRDefault="00692DC8" w:rsidP="00396CB4">
      <w:pPr>
        <w:spacing w:before="240"/>
      </w:pPr>
      <w:r w:rsidRPr="0011777B">
        <w:rPr>
          <w:b/>
          <w:lang w:val="es-ES" w:eastAsia="es-CR"/>
        </w:rPr>
        <w:t xml:space="preserve">Revelación: </w:t>
      </w:r>
      <w:r w:rsidR="00654C21">
        <w:rPr>
          <w:rFonts w:cs="Calibri"/>
          <w:color w:val="000000"/>
          <w:lang w:eastAsia="es-CR"/>
        </w:rPr>
        <w:fldChar w:fldCharType="begin"/>
      </w:r>
      <w:r w:rsidR="00654C21">
        <w:rPr>
          <w:rFonts w:cs="Calibri"/>
          <w:color w:val="000000"/>
          <w:lang w:eastAsia="es-CR"/>
        </w:rPr>
        <w:instrText xml:space="preserve"> LINK </w:instrText>
      </w:r>
      <w:r w:rsidR="00756467">
        <w:rPr>
          <w:rFonts w:cs="Calibri"/>
          <w:color w:val="000000"/>
          <w:lang w:eastAsia="es-CR"/>
        </w:rPr>
        <w:instrText xml:space="preserve">Excel.SheetMacroEnabled.12 "C:\\Users\\gcordero\\Downloads\\Notas diciembre 2024\\Formato_Notas_EEFF_Vinculadas_2024\\Formato_Notas_EEFF_Vinculadas_2024\\15603_T04_2024_Anexo_Estado_Notas_Contables_Vinculadas.xlsm" NOTAS_POR_CUENTA!F34C8 </w:instrText>
      </w:r>
      <w:r w:rsidR="00654C21">
        <w:rPr>
          <w:rFonts w:cs="Calibri"/>
          <w:color w:val="000000"/>
          <w:lang w:eastAsia="es-CR"/>
        </w:rPr>
        <w:instrText xml:space="preserve">\a \f 5 \h  \* MERGEFORMAT </w:instrText>
      </w:r>
      <w:r w:rsidR="00654C21">
        <w:rPr>
          <w:rFonts w:cs="Calibri"/>
          <w:color w:val="000000"/>
          <w:lang w:eastAsia="es-CR"/>
        </w:rPr>
        <w:fldChar w:fldCharType="separate"/>
      </w:r>
    </w:p>
    <w:p w14:paraId="46E2CE48" w14:textId="77777777" w:rsidR="00396CB4" w:rsidRPr="00396CB4" w:rsidRDefault="00396CB4" w:rsidP="00396CB4">
      <w:pPr>
        <w:rPr>
          <w:rFonts w:cs="Calibri"/>
          <w:color w:val="000000"/>
          <w:lang w:eastAsia="es-CR"/>
        </w:rPr>
      </w:pPr>
      <w:r w:rsidRPr="00396CB4">
        <w:rPr>
          <w:rFonts w:cs="Calibri"/>
          <w:color w:val="000000"/>
          <w:lang w:eastAsia="es-CR"/>
        </w:rPr>
        <w:t>La cuenta Bienes no concesionados, representa el 97,73% del total del Activo, que comparado al periodo anterior genera una variación absoluta de 193 593,18 que corresponde a un Aumento del 0,12% de recursos disponibles.</w:t>
      </w:r>
    </w:p>
    <w:p w14:paraId="60DCD810" w14:textId="2F6BC227" w:rsidR="00692DC8" w:rsidRDefault="00654C21" w:rsidP="00654C21">
      <w:pPr>
        <w:rPr>
          <w:szCs w:val="24"/>
          <w:lang w:eastAsia="es-CR"/>
        </w:rPr>
      </w:pPr>
      <w:r>
        <w:rPr>
          <w:rFonts w:cs="Calibri"/>
          <w:color w:val="000000"/>
          <w:lang w:eastAsia="es-CR"/>
        </w:rPr>
        <w:fldChar w:fldCharType="end"/>
      </w:r>
      <w:r w:rsidR="00692DC8" w:rsidRPr="00692DC8">
        <w:rPr>
          <w:szCs w:val="24"/>
          <w:highlight w:val="lightGray"/>
          <w:lang w:eastAsia="es-CR"/>
        </w:rPr>
        <w:t>Las variaciones de la cuenta son producto de (Indicar la razón de las variaciones de un periodo a otro):</w:t>
      </w:r>
      <w:r w:rsidR="00692DC8" w:rsidRPr="00692DC8">
        <w:rPr>
          <w:szCs w:val="24"/>
          <w:lang w:eastAsia="es-CR"/>
        </w:rPr>
        <w:t xml:space="preserve"> </w:t>
      </w:r>
    </w:p>
    <w:p w14:paraId="05A7C396" w14:textId="7ABB611B" w:rsidR="00EC10CC" w:rsidRDefault="00EC10CC" w:rsidP="00654C21">
      <w:pPr>
        <w:rPr>
          <w:szCs w:val="24"/>
          <w:lang w:eastAsia="es-CR"/>
        </w:rPr>
      </w:pPr>
      <w:r w:rsidRPr="00EC10CC">
        <w:rPr>
          <w:noProof/>
          <w:lang w:eastAsia="es-CR"/>
        </w:rPr>
        <w:drawing>
          <wp:inline distT="0" distB="0" distL="0" distR="0" wp14:anchorId="5F467E9F" wp14:editId="303596B9">
            <wp:extent cx="5612130" cy="1337095"/>
            <wp:effectExtent l="0" t="0" r="7620" b="0"/>
            <wp:docPr id="101259554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16358" cy="1338102"/>
                    </a:xfrm>
                    <a:prstGeom prst="rect">
                      <a:avLst/>
                    </a:prstGeom>
                    <a:noFill/>
                    <a:ln>
                      <a:noFill/>
                    </a:ln>
                  </pic:spPr>
                </pic:pic>
              </a:graphicData>
            </a:graphic>
          </wp:inline>
        </w:drawing>
      </w:r>
    </w:p>
    <w:p w14:paraId="2801CA14" w14:textId="77777777" w:rsidR="00EC10CC" w:rsidRDefault="00EC10CC" w:rsidP="00654C21">
      <w:pPr>
        <w:rPr>
          <w:szCs w:val="24"/>
          <w:lang w:eastAsia="es-CR"/>
        </w:rPr>
      </w:pPr>
    </w:p>
    <w:tbl>
      <w:tblPr>
        <w:tblW w:w="8866" w:type="dxa"/>
        <w:tblCellMar>
          <w:left w:w="70" w:type="dxa"/>
          <w:right w:w="70" w:type="dxa"/>
        </w:tblCellMar>
        <w:tblLook w:val="04A0" w:firstRow="1" w:lastRow="0" w:firstColumn="1" w:lastColumn="0" w:noHBand="0" w:noVBand="1"/>
      </w:tblPr>
      <w:tblGrid>
        <w:gridCol w:w="933"/>
        <w:gridCol w:w="3031"/>
        <w:gridCol w:w="1608"/>
        <w:gridCol w:w="1316"/>
        <w:gridCol w:w="1045"/>
        <w:gridCol w:w="933"/>
      </w:tblGrid>
      <w:tr w:rsidR="006448AF" w:rsidRPr="00E97596" w14:paraId="084A6623" w14:textId="77777777" w:rsidTr="0061790F">
        <w:trPr>
          <w:trHeight w:val="392"/>
        </w:trPr>
        <w:tc>
          <w:tcPr>
            <w:tcW w:w="933" w:type="dxa"/>
            <w:tcBorders>
              <w:top w:val="single" w:sz="4" w:space="0" w:color="auto"/>
              <w:left w:val="single" w:sz="4" w:space="0" w:color="auto"/>
              <w:bottom w:val="nil"/>
              <w:right w:val="nil"/>
            </w:tcBorders>
            <w:shd w:val="clear" w:color="000000" w:fill="002060"/>
            <w:noWrap/>
            <w:vAlign w:val="center"/>
            <w:hideMark/>
          </w:tcPr>
          <w:p w14:paraId="67AC9789" w14:textId="77777777" w:rsidR="006448AF" w:rsidRPr="00E97596" w:rsidRDefault="006448AF" w:rsidP="0061790F">
            <w:pPr>
              <w:spacing w:after="0" w:line="240" w:lineRule="auto"/>
              <w:jc w:val="center"/>
              <w:rPr>
                <w:rFonts w:ascii="Calibri" w:eastAsia="Times New Roman" w:hAnsi="Calibri" w:cs="Calibri"/>
                <w:b/>
                <w:bCs/>
                <w:color w:val="FFFFFF"/>
                <w:sz w:val="18"/>
                <w:szCs w:val="18"/>
                <w:lang w:eastAsia="es-CR"/>
              </w:rPr>
            </w:pPr>
            <w:r w:rsidRPr="00E97596">
              <w:rPr>
                <w:rFonts w:ascii="Calibri" w:eastAsia="Times New Roman" w:hAnsi="Calibri" w:cs="Calibri"/>
                <w:b/>
                <w:bCs/>
                <w:color w:val="FFFFFF"/>
                <w:sz w:val="18"/>
                <w:szCs w:val="18"/>
                <w:lang w:eastAsia="es-CR"/>
              </w:rPr>
              <w:t>Código</w:t>
            </w:r>
          </w:p>
        </w:tc>
        <w:tc>
          <w:tcPr>
            <w:tcW w:w="3031" w:type="dxa"/>
            <w:tcBorders>
              <w:top w:val="single" w:sz="4" w:space="0" w:color="FFFFFF"/>
              <w:left w:val="single" w:sz="4" w:space="0" w:color="FFFFFF"/>
              <w:bottom w:val="nil"/>
              <w:right w:val="nil"/>
            </w:tcBorders>
            <w:shd w:val="clear" w:color="000000" w:fill="002060"/>
            <w:noWrap/>
            <w:vAlign w:val="center"/>
            <w:hideMark/>
          </w:tcPr>
          <w:p w14:paraId="633E5C14" w14:textId="77777777" w:rsidR="006448AF" w:rsidRPr="00E97596" w:rsidRDefault="006448AF" w:rsidP="0061790F">
            <w:pPr>
              <w:spacing w:after="0" w:line="240" w:lineRule="auto"/>
              <w:jc w:val="center"/>
              <w:rPr>
                <w:rFonts w:ascii="Calibri" w:eastAsia="Times New Roman" w:hAnsi="Calibri" w:cs="Calibri"/>
                <w:b/>
                <w:bCs/>
                <w:color w:val="FFFFFF"/>
                <w:sz w:val="18"/>
                <w:szCs w:val="18"/>
                <w:lang w:eastAsia="es-CR"/>
              </w:rPr>
            </w:pPr>
            <w:r w:rsidRPr="00E97596">
              <w:rPr>
                <w:rFonts w:ascii="Calibri" w:eastAsia="Times New Roman" w:hAnsi="Calibri" w:cs="Calibri"/>
                <w:b/>
                <w:bCs/>
                <w:color w:val="FFFFFF"/>
                <w:sz w:val="18"/>
                <w:szCs w:val="18"/>
                <w:lang w:eastAsia="es-CR"/>
              </w:rPr>
              <w:t>Descripción</w:t>
            </w:r>
          </w:p>
        </w:tc>
        <w:tc>
          <w:tcPr>
            <w:tcW w:w="1608" w:type="dxa"/>
            <w:tcBorders>
              <w:top w:val="single" w:sz="4" w:space="0" w:color="auto"/>
              <w:left w:val="single" w:sz="4" w:space="0" w:color="FFFFFF"/>
              <w:bottom w:val="nil"/>
              <w:right w:val="single" w:sz="4" w:space="0" w:color="FFFFFF"/>
            </w:tcBorders>
            <w:shd w:val="clear" w:color="000000" w:fill="002060"/>
            <w:vAlign w:val="center"/>
            <w:hideMark/>
          </w:tcPr>
          <w:p w14:paraId="6A5F4806" w14:textId="77777777" w:rsidR="006448AF" w:rsidRPr="00E97596" w:rsidRDefault="006448AF" w:rsidP="0061790F">
            <w:pPr>
              <w:spacing w:after="0" w:line="240" w:lineRule="auto"/>
              <w:jc w:val="center"/>
              <w:rPr>
                <w:rFonts w:ascii="Calibri" w:eastAsia="Times New Roman" w:hAnsi="Calibri" w:cs="Calibri"/>
                <w:b/>
                <w:bCs/>
                <w:color w:val="FFFFFF"/>
                <w:sz w:val="18"/>
                <w:szCs w:val="18"/>
                <w:lang w:eastAsia="es-CR"/>
              </w:rPr>
            </w:pPr>
            <w:r w:rsidRPr="00E97596">
              <w:rPr>
                <w:rFonts w:ascii="Calibri" w:eastAsia="Times New Roman" w:hAnsi="Calibri" w:cs="Calibri"/>
                <w:b/>
                <w:bCs/>
                <w:color w:val="FFFFFF"/>
                <w:sz w:val="18"/>
                <w:szCs w:val="18"/>
                <w:lang w:eastAsia="es-CR"/>
              </w:rPr>
              <w:t>Saldo Año Actual</w:t>
            </w:r>
          </w:p>
        </w:tc>
        <w:tc>
          <w:tcPr>
            <w:tcW w:w="1316" w:type="dxa"/>
            <w:tcBorders>
              <w:top w:val="single" w:sz="4" w:space="0" w:color="auto"/>
              <w:left w:val="nil"/>
              <w:bottom w:val="nil"/>
              <w:right w:val="single" w:sz="4" w:space="0" w:color="FFFFFF"/>
            </w:tcBorders>
            <w:shd w:val="clear" w:color="000000" w:fill="002060"/>
            <w:vAlign w:val="center"/>
            <w:hideMark/>
          </w:tcPr>
          <w:p w14:paraId="645B096F" w14:textId="77777777" w:rsidR="006448AF" w:rsidRPr="00E97596" w:rsidRDefault="006448AF" w:rsidP="0061790F">
            <w:pPr>
              <w:spacing w:after="0" w:line="240" w:lineRule="auto"/>
              <w:jc w:val="center"/>
              <w:rPr>
                <w:rFonts w:ascii="Calibri" w:eastAsia="Times New Roman" w:hAnsi="Calibri" w:cs="Calibri"/>
                <w:b/>
                <w:bCs/>
                <w:color w:val="FFFFFF"/>
                <w:sz w:val="18"/>
                <w:szCs w:val="18"/>
                <w:lang w:eastAsia="es-CR"/>
              </w:rPr>
            </w:pPr>
            <w:r w:rsidRPr="00E97596">
              <w:rPr>
                <w:rFonts w:ascii="Calibri" w:eastAsia="Times New Roman" w:hAnsi="Calibri" w:cs="Calibri"/>
                <w:b/>
                <w:bCs/>
                <w:color w:val="FFFFFF"/>
                <w:sz w:val="18"/>
                <w:szCs w:val="18"/>
                <w:lang w:eastAsia="es-CR"/>
              </w:rPr>
              <w:t>Saldo Año Anterior</w:t>
            </w:r>
          </w:p>
        </w:tc>
        <w:tc>
          <w:tcPr>
            <w:tcW w:w="1045" w:type="dxa"/>
            <w:tcBorders>
              <w:top w:val="single" w:sz="4" w:space="0" w:color="auto"/>
              <w:left w:val="nil"/>
              <w:bottom w:val="nil"/>
              <w:right w:val="single" w:sz="4" w:space="0" w:color="FFFFFF"/>
            </w:tcBorders>
            <w:shd w:val="clear" w:color="000000" w:fill="002060"/>
            <w:vAlign w:val="center"/>
            <w:hideMark/>
          </w:tcPr>
          <w:p w14:paraId="1385DFD0" w14:textId="77777777" w:rsidR="006448AF" w:rsidRPr="00E97596" w:rsidRDefault="006448AF" w:rsidP="0061790F">
            <w:pPr>
              <w:spacing w:after="0" w:line="240" w:lineRule="auto"/>
              <w:jc w:val="center"/>
              <w:rPr>
                <w:rFonts w:ascii="Calibri" w:eastAsia="Times New Roman" w:hAnsi="Calibri" w:cs="Calibri"/>
                <w:b/>
                <w:bCs/>
                <w:color w:val="FFFFFF"/>
                <w:sz w:val="18"/>
                <w:szCs w:val="18"/>
                <w:lang w:eastAsia="es-CR"/>
              </w:rPr>
            </w:pPr>
            <w:r w:rsidRPr="00E97596">
              <w:rPr>
                <w:rFonts w:ascii="Calibri" w:eastAsia="Times New Roman" w:hAnsi="Calibri" w:cs="Calibri"/>
                <w:b/>
                <w:bCs/>
                <w:color w:val="FFFFFF"/>
                <w:sz w:val="18"/>
                <w:szCs w:val="18"/>
                <w:lang w:eastAsia="es-CR"/>
              </w:rPr>
              <w:t>Variación Absoluta</w:t>
            </w:r>
          </w:p>
        </w:tc>
        <w:tc>
          <w:tcPr>
            <w:tcW w:w="933" w:type="dxa"/>
            <w:tcBorders>
              <w:top w:val="single" w:sz="4" w:space="0" w:color="auto"/>
              <w:left w:val="nil"/>
              <w:bottom w:val="nil"/>
              <w:right w:val="single" w:sz="4" w:space="0" w:color="auto"/>
            </w:tcBorders>
            <w:shd w:val="clear" w:color="000000" w:fill="002060"/>
            <w:vAlign w:val="center"/>
            <w:hideMark/>
          </w:tcPr>
          <w:p w14:paraId="11E7E50A" w14:textId="77777777" w:rsidR="006448AF" w:rsidRPr="00E97596" w:rsidRDefault="006448AF" w:rsidP="0061790F">
            <w:pPr>
              <w:spacing w:after="0" w:line="240" w:lineRule="auto"/>
              <w:jc w:val="center"/>
              <w:rPr>
                <w:rFonts w:ascii="Calibri" w:eastAsia="Times New Roman" w:hAnsi="Calibri" w:cs="Calibri"/>
                <w:b/>
                <w:bCs/>
                <w:color w:val="FFFFFF"/>
                <w:sz w:val="18"/>
                <w:szCs w:val="18"/>
                <w:lang w:eastAsia="es-CR"/>
              </w:rPr>
            </w:pPr>
            <w:r w:rsidRPr="00E97596">
              <w:rPr>
                <w:rFonts w:ascii="Calibri" w:eastAsia="Times New Roman" w:hAnsi="Calibri" w:cs="Calibri"/>
                <w:b/>
                <w:bCs/>
                <w:color w:val="FFFFFF"/>
                <w:sz w:val="18"/>
                <w:szCs w:val="18"/>
                <w:lang w:eastAsia="es-CR"/>
              </w:rPr>
              <w:t>Variación %</w:t>
            </w:r>
          </w:p>
        </w:tc>
      </w:tr>
      <w:tr w:rsidR="006448AF" w:rsidRPr="00E97596" w14:paraId="719644A0" w14:textId="77777777" w:rsidTr="0061790F">
        <w:trPr>
          <w:trHeight w:val="237"/>
        </w:trPr>
        <w:tc>
          <w:tcPr>
            <w:tcW w:w="933"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14:paraId="293CF45B" w14:textId="77777777" w:rsidR="006448AF" w:rsidRPr="00E97596" w:rsidRDefault="006448AF" w:rsidP="0061790F">
            <w:pPr>
              <w:spacing w:after="0" w:line="240" w:lineRule="auto"/>
              <w:jc w:val="left"/>
              <w:rPr>
                <w:rFonts w:eastAsia="Times New Roman" w:cs="Calibri"/>
                <w:color w:val="000000"/>
                <w:sz w:val="18"/>
                <w:szCs w:val="18"/>
                <w:lang w:eastAsia="es-CR"/>
              </w:rPr>
            </w:pPr>
            <w:r w:rsidRPr="00E97596">
              <w:rPr>
                <w:rFonts w:eastAsia="Times New Roman" w:cs="Calibri"/>
                <w:color w:val="000000"/>
                <w:sz w:val="18"/>
                <w:szCs w:val="18"/>
                <w:lang w:eastAsia="es-CR"/>
              </w:rPr>
              <w:t>1.2.5.01</w:t>
            </w:r>
          </w:p>
        </w:tc>
        <w:tc>
          <w:tcPr>
            <w:tcW w:w="3031" w:type="dxa"/>
            <w:tcBorders>
              <w:top w:val="single" w:sz="8" w:space="0" w:color="auto"/>
              <w:left w:val="nil"/>
              <w:bottom w:val="single" w:sz="4" w:space="0" w:color="auto"/>
              <w:right w:val="single" w:sz="8" w:space="0" w:color="auto"/>
            </w:tcBorders>
            <w:shd w:val="clear" w:color="000000" w:fill="FFFFFF"/>
            <w:vAlign w:val="center"/>
            <w:hideMark/>
          </w:tcPr>
          <w:p w14:paraId="2276FDE9" w14:textId="77777777" w:rsidR="006448AF" w:rsidRPr="00E97596" w:rsidRDefault="006448AF" w:rsidP="0061790F">
            <w:pPr>
              <w:spacing w:after="0" w:line="240" w:lineRule="auto"/>
              <w:jc w:val="left"/>
              <w:rPr>
                <w:rFonts w:eastAsia="Times New Roman" w:cs="Calibri"/>
                <w:color w:val="000000"/>
                <w:sz w:val="18"/>
                <w:szCs w:val="18"/>
                <w:lang w:eastAsia="es-CR"/>
              </w:rPr>
            </w:pPr>
            <w:r w:rsidRPr="00E97596">
              <w:rPr>
                <w:rFonts w:eastAsia="Times New Roman" w:cs="Calibri"/>
                <w:color w:val="000000"/>
                <w:sz w:val="18"/>
                <w:szCs w:val="18"/>
                <w:lang w:eastAsia="es-CR"/>
              </w:rPr>
              <w:t xml:space="preserve">Propiedades, planta y equipos explotados </w:t>
            </w:r>
          </w:p>
        </w:tc>
        <w:tc>
          <w:tcPr>
            <w:tcW w:w="1608" w:type="dxa"/>
            <w:tcBorders>
              <w:top w:val="single" w:sz="8" w:space="0" w:color="auto"/>
              <w:left w:val="nil"/>
              <w:bottom w:val="single" w:sz="4" w:space="0" w:color="auto"/>
              <w:right w:val="single" w:sz="4" w:space="0" w:color="auto"/>
            </w:tcBorders>
            <w:shd w:val="clear" w:color="000000" w:fill="FFFFFF"/>
            <w:vAlign w:val="center"/>
            <w:hideMark/>
          </w:tcPr>
          <w:p w14:paraId="49F7859F" w14:textId="77777777" w:rsidR="006448AF" w:rsidRPr="00E97596" w:rsidRDefault="006448AF" w:rsidP="0061790F">
            <w:pPr>
              <w:spacing w:after="0" w:line="240" w:lineRule="auto"/>
              <w:jc w:val="right"/>
              <w:rPr>
                <w:rFonts w:eastAsia="Times New Roman" w:cs="Calibri"/>
                <w:color w:val="000000"/>
                <w:sz w:val="18"/>
                <w:szCs w:val="18"/>
                <w:lang w:eastAsia="es-CR"/>
              </w:rPr>
            </w:pPr>
            <w:r w:rsidRPr="00E97596">
              <w:rPr>
                <w:rFonts w:ascii="Arial" w:eastAsia="Times New Roman" w:hAnsi="Arial" w:cs="Arial"/>
                <w:color w:val="000000"/>
                <w:sz w:val="18"/>
                <w:szCs w:val="18"/>
                <w:lang w:eastAsia="es-CR"/>
              </w:rPr>
              <w:t>₡</w:t>
            </w:r>
            <w:r w:rsidRPr="00E97596">
              <w:rPr>
                <w:rFonts w:eastAsia="Times New Roman" w:cs="Calibri"/>
                <w:color w:val="000000"/>
                <w:sz w:val="18"/>
                <w:szCs w:val="18"/>
                <w:lang w:eastAsia="es-CR"/>
              </w:rPr>
              <w:t>2 293 722,66</w:t>
            </w:r>
          </w:p>
        </w:tc>
        <w:tc>
          <w:tcPr>
            <w:tcW w:w="1316"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37CE0485" w14:textId="77777777" w:rsidR="006448AF" w:rsidRPr="00E97596" w:rsidRDefault="006448AF" w:rsidP="0061790F">
            <w:pPr>
              <w:spacing w:after="0" w:line="240" w:lineRule="auto"/>
              <w:jc w:val="right"/>
              <w:rPr>
                <w:rFonts w:eastAsia="Times New Roman" w:cs="Calibri"/>
                <w:color w:val="000000"/>
                <w:sz w:val="18"/>
                <w:szCs w:val="18"/>
                <w:lang w:eastAsia="es-CR"/>
              </w:rPr>
            </w:pPr>
            <w:r w:rsidRPr="00E97596">
              <w:rPr>
                <w:rFonts w:ascii="Arial" w:eastAsia="Times New Roman" w:hAnsi="Arial" w:cs="Arial"/>
                <w:color w:val="000000"/>
                <w:sz w:val="18"/>
                <w:szCs w:val="18"/>
                <w:lang w:eastAsia="es-CR"/>
              </w:rPr>
              <w:t>₡</w:t>
            </w:r>
            <w:r w:rsidRPr="00E97596">
              <w:rPr>
                <w:rFonts w:eastAsia="Times New Roman" w:cs="Calibri"/>
                <w:color w:val="000000"/>
                <w:sz w:val="18"/>
                <w:szCs w:val="18"/>
                <w:lang w:eastAsia="es-CR"/>
              </w:rPr>
              <w:t>1 757 465,28</w:t>
            </w:r>
          </w:p>
        </w:tc>
        <w:tc>
          <w:tcPr>
            <w:tcW w:w="1045" w:type="dxa"/>
            <w:tcBorders>
              <w:top w:val="single" w:sz="8" w:space="0" w:color="auto"/>
              <w:left w:val="single" w:sz="4" w:space="0" w:color="auto"/>
              <w:bottom w:val="single" w:sz="4" w:space="0" w:color="auto"/>
              <w:right w:val="single" w:sz="4" w:space="0" w:color="auto"/>
            </w:tcBorders>
            <w:shd w:val="clear" w:color="000000" w:fill="FFFFFF"/>
            <w:noWrap/>
            <w:vAlign w:val="center"/>
            <w:hideMark/>
          </w:tcPr>
          <w:p w14:paraId="75904166" w14:textId="77777777" w:rsidR="006448AF" w:rsidRPr="00E97596" w:rsidRDefault="006448AF" w:rsidP="0061790F">
            <w:pPr>
              <w:spacing w:after="0" w:line="240" w:lineRule="auto"/>
              <w:jc w:val="right"/>
              <w:rPr>
                <w:rFonts w:eastAsia="Times New Roman" w:cs="Calibri"/>
                <w:sz w:val="18"/>
                <w:szCs w:val="18"/>
                <w:lang w:eastAsia="es-CR"/>
              </w:rPr>
            </w:pPr>
            <w:r w:rsidRPr="00E97596">
              <w:rPr>
                <w:rFonts w:ascii="Arial" w:eastAsia="Times New Roman" w:hAnsi="Arial" w:cs="Arial"/>
                <w:sz w:val="18"/>
                <w:szCs w:val="18"/>
                <w:lang w:eastAsia="es-CR"/>
              </w:rPr>
              <w:t>₡</w:t>
            </w:r>
            <w:r w:rsidRPr="00E97596">
              <w:rPr>
                <w:rFonts w:eastAsia="Times New Roman" w:cs="Calibri"/>
                <w:sz w:val="18"/>
                <w:szCs w:val="18"/>
                <w:lang w:eastAsia="es-CR"/>
              </w:rPr>
              <w:t>536 257,37</w:t>
            </w:r>
          </w:p>
        </w:tc>
        <w:tc>
          <w:tcPr>
            <w:tcW w:w="933" w:type="dxa"/>
            <w:tcBorders>
              <w:top w:val="single" w:sz="8" w:space="0" w:color="auto"/>
              <w:left w:val="nil"/>
              <w:bottom w:val="single" w:sz="4" w:space="0" w:color="auto"/>
              <w:right w:val="single" w:sz="8" w:space="0" w:color="auto"/>
            </w:tcBorders>
            <w:shd w:val="clear" w:color="auto" w:fill="auto"/>
            <w:noWrap/>
            <w:vAlign w:val="bottom"/>
            <w:hideMark/>
          </w:tcPr>
          <w:p w14:paraId="3A29D327" w14:textId="4960F5E3" w:rsidR="006448AF" w:rsidRPr="00E97596" w:rsidRDefault="00796636" w:rsidP="0061790F">
            <w:pPr>
              <w:spacing w:after="0" w:line="240" w:lineRule="auto"/>
              <w:jc w:val="right"/>
              <w:rPr>
                <w:rFonts w:eastAsia="Times New Roman" w:cs="Calibri"/>
                <w:color w:val="000000"/>
                <w:sz w:val="18"/>
                <w:szCs w:val="18"/>
                <w:lang w:eastAsia="es-CR"/>
              </w:rPr>
            </w:pPr>
            <w:r>
              <w:rPr>
                <w:rFonts w:eastAsia="Times New Roman" w:cs="Calibri"/>
                <w:color w:val="000000"/>
                <w:sz w:val="18"/>
                <w:szCs w:val="18"/>
                <w:lang w:eastAsia="es-CR"/>
              </w:rPr>
              <w:t>31</w:t>
            </w:r>
            <w:r w:rsidR="006448AF" w:rsidRPr="00E97596">
              <w:rPr>
                <w:rFonts w:eastAsia="Times New Roman" w:cs="Calibri"/>
                <w:color w:val="000000"/>
                <w:sz w:val="18"/>
                <w:szCs w:val="18"/>
                <w:lang w:eastAsia="es-CR"/>
              </w:rPr>
              <w:t>,51%</w:t>
            </w:r>
          </w:p>
        </w:tc>
      </w:tr>
      <w:tr w:rsidR="006448AF" w:rsidRPr="00E97596" w14:paraId="222B2D10" w14:textId="77777777" w:rsidTr="0061790F">
        <w:trPr>
          <w:trHeight w:val="427"/>
        </w:trPr>
        <w:tc>
          <w:tcPr>
            <w:tcW w:w="933" w:type="dxa"/>
            <w:tcBorders>
              <w:top w:val="nil"/>
              <w:left w:val="single" w:sz="8" w:space="0" w:color="auto"/>
              <w:bottom w:val="single" w:sz="4" w:space="0" w:color="auto"/>
              <w:right w:val="single" w:sz="8" w:space="0" w:color="auto"/>
            </w:tcBorders>
            <w:shd w:val="clear" w:color="000000" w:fill="FFFFFF"/>
            <w:noWrap/>
            <w:vAlign w:val="center"/>
            <w:hideMark/>
          </w:tcPr>
          <w:p w14:paraId="2CD39694" w14:textId="77777777" w:rsidR="006448AF" w:rsidRPr="00E97596" w:rsidRDefault="006448AF" w:rsidP="0061790F">
            <w:pPr>
              <w:spacing w:after="0" w:line="240" w:lineRule="auto"/>
              <w:jc w:val="left"/>
              <w:rPr>
                <w:rFonts w:eastAsia="Times New Roman" w:cs="Calibri"/>
                <w:color w:val="000000"/>
                <w:sz w:val="18"/>
                <w:szCs w:val="18"/>
                <w:lang w:eastAsia="es-CR"/>
              </w:rPr>
            </w:pPr>
            <w:r w:rsidRPr="00E97596">
              <w:rPr>
                <w:rFonts w:eastAsia="Times New Roman" w:cs="Calibri"/>
                <w:color w:val="000000"/>
                <w:sz w:val="18"/>
                <w:szCs w:val="18"/>
                <w:lang w:eastAsia="es-CR"/>
              </w:rPr>
              <w:t>1.2.5.04</w:t>
            </w:r>
          </w:p>
        </w:tc>
        <w:tc>
          <w:tcPr>
            <w:tcW w:w="3031" w:type="dxa"/>
            <w:tcBorders>
              <w:top w:val="nil"/>
              <w:left w:val="nil"/>
              <w:bottom w:val="single" w:sz="4" w:space="0" w:color="auto"/>
              <w:right w:val="single" w:sz="8" w:space="0" w:color="auto"/>
            </w:tcBorders>
            <w:shd w:val="clear" w:color="000000" w:fill="FFFFFF"/>
            <w:vAlign w:val="center"/>
            <w:hideMark/>
          </w:tcPr>
          <w:p w14:paraId="4C446755" w14:textId="77777777" w:rsidR="006448AF" w:rsidRPr="00E97596" w:rsidRDefault="006448AF" w:rsidP="0061790F">
            <w:pPr>
              <w:spacing w:after="0" w:line="240" w:lineRule="auto"/>
              <w:jc w:val="left"/>
              <w:rPr>
                <w:rFonts w:eastAsia="Times New Roman" w:cs="Calibri"/>
                <w:color w:val="000000"/>
                <w:sz w:val="18"/>
                <w:szCs w:val="18"/>
                <w:lang w:eastAsia="es-CR"/>
              </w:rPr>
            </w:pPr>
            <w:r w:rsidRPr="00E97596">
              <w:rPr>
                <w:rFonts w:eastAsia="Times New Roman" w:cs="Calibri"/>
                <w:color w:val="000000"/>
                <w:sz w:val="18"/>
                <w:szCs w:val="18"/>
                <w:lang w:eastAsia="es-CR"/>
              </w:rPr>
              <w:t>Bienes de infraestructura y de beneficio y uso público en servicio</w:t>
            </w:r>
          </w:p>
        </w:tc>
        <w:tc>
          <w:tcPr>
            <w:tcW w:w="1608" w:type="dxa"/>
            <w:tcBorders>
              <w:top w:val="nil"/>
              <w:left w:val="nil"/>
              <w:bottom w:val="single" w:sz="4" w:space="0" w:color="auto"/>
              <w:right w:val="single" w:sz="4" w:space="0" w:color="auto"/>
            </w:tcBorders>
            <w:shd w:val="clear" w:color="000000" w:fill="FFFFFF"/>
            <w:vAlign w:val="center"/>
            <w:hideMark/>
          </w:tcPr>
          <w:p w14:paraId="773D113A" w14:textId="77777777" w:rsidR="006448AF" w:rsidRPr="00E97596" w:rsidRDefault="006448AF" w:rsidP="0061790F">
            <w:pPr>
              <w:spacing w:after="0" w:line="240" w:lineRule="auto"/>
              <w:jc w:val="right"/>
              <w:rPr>
                <w:rFonts w:eastAsia="Times New Roman" w:cs="Calibri"/>
                <w:color w:val="000000"/>
                <w:sz w:val="18"/>
                <w:szCs w:val="18"/>
                <w:lang w:eastAsia="es-CR"/>
              </w:rPr>
            </w:pPr>
            <w:r w:rsidRPr="00E97596">
              <w:rPr>
                <w:rFonts w:eastAsia="Times New Roman" w:cs="Calibri"/>
                <w:color w:val="000000"/>
                <w:sz w:val="18"/>
                <w:szCs w:val="18"/>
                <w:lang w:eastAsia="es-CR"/>
              </w:rPr>
              <w:t>160 765 498,08</w:t>
            </w:r>
          </w:p>
        </w:tc>
        <w:tc>
          <w:tcPr>
            <w:tcW w:w="1316" w:type="dxa"/>
            <w:tcBorders>
              <w:top w:val="nil"/>
              <w:left w:val="single" w:sz="4" w:space="0" w:color="auto"/>
              <w:bottom w:val="single" w:sz="4" w:space="0" w:color="auto"/>
              <w:right w:val="single" w:sz="4" w:space="0" w:color="auto"/>
            </w:tcBorders>
            <w:shd w:val="clear" w:color="000000" w:fill="FFFFFF"/>
            <w:noWrap/>
            <w:vAlign w:val="center"/>
            <w:hideMark/>
          </w:tcPr>
          <w:p w14:paraId="7CCAC6BE" w14:textId="77777777" w:rsidR="006448AF" w:rsidRPr="00E97596" w:rsidRDefault="006448AF" w:rsidP="0061790F">
            <w:pPr>
              <w:spacing w:after="0" w:line="240" w:lineRule="auto"/>
              <w:jc w:val="right"/>
              <w:rPr>
                <w:rFonts w:eastAsia="Times New Roman" w:cs="Calibri"/>
                <w:sz w:val="18"/>
                <w:szCs w:val="18"/>
                <w:lang w:eastAsia="es-CR"/>
              </w:rPr>
            </w:pPr>
            <w:r w:rsidRPr="00E97596">
              <w:rPr>
                <w:rFonts w:eastAsia="Times New Roman" w:cs="Calibri"/>
                <w:sz w:val="18"/>
                <w:szCs w:val="18"/>
                <w:lang w:eastAsia="es-CR"/>
              </w:rPr>
              <w:t>160 765 498,08</w:t>
            </w:r>
          </w:p>
        </w:tc>
        <w:tc>
          <w:tcPr>
            <w:tcW w:w="1045" w:type="dxa"/>
            <w:tcBorders>
              <w:top w:val="single" w:sz="4" w:space="0" w:color="auto"/>
              <w:left w:val="nil"/>
              <w:bottom w:val="single" w:sz="4" w:space="0" w:color="auto"/>
              <w:right w:val="single" w:sz="4" w:space="0" w:color="auto"/>
            </w:tcBorders>
            <w:shd w:val="clear" w:color="000000" w:fill="FFFFFF"/>
            <w:noWrap/>
            <w:vAlign w:val="center"/>
            <w:hideMark/>
          </w:tcPr>
          <w:p w14:paraId="0A375DCA" w14:textId="77777777" w:rsidR="006448AF" w:rsidRPr="00E97596" w:rsidRDefault="006448AF" w:rsidP="0061790F">
            <w:pPr>
              <w:spacing w:after="0" w:line="240" w:lineRule="auto"/>
              <w:jc w:val="right"/>
              <w:rPr>
                <w:rFonts w:eastAsia="Times New Roman" w:cs="Calibri"/>
                <w:sz w:val="18"/>
                <w:szCs w:val="18"/>
                <w:lang w:eastAsia="es-CR"/>
              </w:rPr>
            </w:pPr>
            <w:r w:rsidRPr="00E97596">
              <w:rPr>
                <w:rFonts w:eastAsia="Times New Roman" w:cs="Calibri"/>
                <w:sz w:val="18"/>
                <w:szCs w:val="18"/>
                <w:lang w:eastAsia="es-CR"/>
              </w:rPr>
              <w:t>0,00</w:t>
            </w:r>
          </w:p>
        </w:tc>
        <w:tc>
          <w:tcPr>
            <w:tcW w:w="933" w:type="dxa"/>
            <w:tcBorders>
              <w:top w:val="nil"/>
              <w:left w:val="single" w:sz="4" w:space="0" w:color="auto"/>
              <w:bottom w:val="single" w:sz="4" w:space="0" w:color="auto"/>
              <w:right w:val="single" w:sz="8" w:space="0" w:color="auto"/>
            </w:tcBorders>
            <w:shd w:val="clear" w:color="auto" w:fill="auto"/>
            <w:noWrap/>
            <w:vAlign w:val="bottom"/>
            <w:hideMark/>
          </w:tcPr>
          <w:p w14:paraId="0915BE1E" w14:textId="77777777" w:rsidR="006448AF" w:rsidRPr="00E97596" w:rsidRDefault="006448AF" w:rsidP="0061790F">
            <w:pPr>
              <w:spacing w:after="0" w:line="240" w:lineRule="auto"/>
              <w:jc w:val="right"/>
              <w:rPr>
                <w:rFonts w:eastAsia="Times New Roman" w:cs="Calibri"/>
                <w:color w:val="000000"/>
                <w:sz w:val="18"/>
                <w:szCs w:val="18"/>
                <w:lang w:eastAsia="es-CR"/>
              </w:rPr>
            </w:pPr>
            <w:r w:rsidRPr="00E97596">
              <w:rPr>
                <w:rFonts w:eastAsia="Times New Roman" w:cs="Calibri"/>
                <w:color w:val="000000"/>
                <w:sz w:val="18"/>
                <w:szCs w:val="18"/>
                <w:lang w:eastAsia="es-CR"/>
              </w:rPr>
              <w:t>0,00%</w:t>
            </w:r>
          </w:p>
        </w:tc>
      </w:tr>
      <w:tr w:rsidR="006448AF" w:rsidRPr="00E97596" w14:paraId="58306CD5" w14:textId="77777777" w:rsidTr="0061790F">
        <w:trPr>
          <w:trHeight w:val="237"/>
        </w:trPr>
        <w:tc>
          <w:tcPr>
            <w:tcW w:w="933" w:type="dxa"/>
            <w:tcBorders>
              <w:top w:val="nil"/>
              <w:left w:val="single" w:sz="8" w:space="0" w:color="auto"/>
              <w:bottom w:val="single" w:sz="4" w:space="0" w:color="auto"/>
              <w:right w:val="single" w:sz="8" w:space="0" w:color="auto"/>
            </w:tcBorders>
            <w:shd w:val="clear" w:color="000000" w:fill="FFFFFF"/>
            <w:noWrap/>
            <w:vAlign w:val="center"/>
            <w:hideMark/>
          </w:tcPr>
          <w:p w14:paraId="6D6C8013" w14:textId="77777777" w:rsidR="006448AF" w:rsidRPr="00E97596" w:rsidRDefault="006448AF" w:rsidP="0061790F">
            <w:pPr>
              <w:spacing w:after="0" w:line="240" w:lineRule="auto"/>
              <w:jc w:val="left"/>
              <w:rPr>
                <w:rFonts w:eastAsia="Times New Roman" w:cs="Calibri"/>
                <w:color w:val="000000"/>
                <w:sz w:val="18"/>
                <w:szCs w:val="18"/>
                <w:lang w:eastAsia="es-CR"/>
              </w:rPr>
            </w:pPr>
            <w:r w:rsidRPr="00E97596">
              <w:rPr>
                <w:rFonts w:eastAsia="Times New Roman" w:cs="Calibri"/>
                <w:color w:val="000000"/>
                <w:sz w:val="18"/>
                <w:szCs w:val="18"/>
                <w:lang w:eastAsia="es-CR"/>
              </w:rPr>
              <w:t>1.2.5.08</w:t>
            </w:r>
          </w:p>
        </w:tc>
        <w:tc>
          <w:tcPr>
            <w:tcW w:w="3031" w:type="dxa"/>
            <w:tcBorders>
              <w:top w:val="nil"/>
              <w:left w:val="nil"/>
              <w:bottom w:val="single" w:sz="4" w:space="0" w:color="auto"/>
              <w:right w:val="single" w:sz="8" w:space="0" w:color="auto"/>
            </w:tcBorders>
            <w:shd w:val="clear" w:color="000000" w:fill="FFFFFF"/>
            <w:vAlign w:val="center"/>
            <w:hideMark/>
          </w:tcPr>
          <w:p w14:paraId="767A3AC1" w14:textId="77777777" w:rsidR="006448AF" w:rsidRPr="00E97596" w:rsidRDefault="006448AF" w:rsidP="0061790F">
            <w:pPr>
              <w:spacing w:after="0" w:line="240" w:lineRule="auto"/>
              <w:jc w:val="left"/>
              <w:rPr>
                <w:rFonts w:eastAsia="Times New Roman" w:cs="Calibri"/>
                <w:color w:val="000000"/>
                <w:sz w:val="18"/>
                <w:szCs w:val="18"/>
                <w:lang w:eastAsia="es-CR"/>
              </w:rPr>
            </w:pPr>
            <w:r w:rsidRPr="00E97596">
              <w:rPr>
                <w:rFonts w:eastAsia="Times New Roman" w:cs="Calibri"/>
                <w:color w:val="000000"/>
                <w:sz w:val="18"/>
                <w:szCs w:val="18"/>
                <w:lang w:eastAsia="es-CR"/>
              </w:rPr>
              <w:t>Bienes intangibles no concesionados</w:t>
            </w:r>
          </w:p>
        </w:tc>
        <w:tc>
          <w:tcPr>
            <w:tcW w:w="160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2D0702" w14:textId="77777777" w:rsidR="006448AF" w:rsidRPr="00E97596" w:rsidRDefault="006448AF" w:rsidP="0061790F">
            <w:pPr>
              <w:spacing w:after="0" w:line="240" w:lineRule="auto"/>
              <w:jc w:val="right"/>
              <w:rPr>
                <w:rFonts w:eastAsia="Times New Roman" w:cs="Calibri"/>
                <w:sz w:val="18"/>
                <w:szCs w:val="18"/>
                <w:lang w:eastAsia="es-CR"/>
              </w:rPr>
            </w:pPr>
            <w:r w:rsidRPr="00E97596">
              <w:rPr>
                <w:rFonts w:eastAsia="Times New Roman" w:cs="Calibri"/>
                <w:sz w:val="18"/>
                <w:szCs w:val="18"/>
                <w:lang w:eastAsia="es-CR"/>
              </w:rPr>
              <w:t>3 474,77</w:t>
            </w:r>
          </w:p>
        </w:tc>
        <w:tc>
          <w:tcPr>
            <w:tcW w:w="1316" w:type="dxa"/>
            <w:tcBorders>
              <w:top w:val="nil"/>
              <w:left w:val="nil"/>
              <w:bottom w:val="single" w:sz="4" w:space="0" w:color="auto"/>
              <w:right w:val="single" w:sz="4" w:space="0" w:color="auto"/>
            </w:tcBorders>
            <w:shd w:val="clear" w:color="000000" w:fill="FFFFFF"/>
            <w:noWrap/>
            <w:vAlign w:val="center"/>
            <w:hideMark/>
          </w:tcPr>
          <w:p w14:paraId="3C72AC2C" w14:textId="77777777" w:rsidR="006448AF" w:rsidRPr="00E97596" w:rsidRDefault="006448AF" w:rsidP="0061790F">
            <w:pPr>
              <w:spacing w:after="0" w:line="240" w:lineRule="auto"/>
              <w:jc w:val="right"/>
              <w:rPr>
                <w:rFonts w:eastAsia="Times New Roman" w:cs="Calibri"/>
                <w:sz w:val="18"/>
                <w:szCs w:val="18"/>
                <w:lang w:eastAsia="es-CR"/>
              </w:rPr>
            </w:pPr>
            <w:r w:rsidRPr="00E97596">
              <w:rPr>
                <w:rFonts w:eastAsia="Times New Roman" w:cs="Calibri"/>
                <w:sz w:val="18"/>
                <w:szCs w:val="18"/>
                <w:lang w:eastAsia="es-CR"/>
              </w:rPr>
              <w:t>8 603,26</w:t>
            </w:r>
          </w:p>
        </w:tc>
        <w:tc>
          <w:tcPr>
            <w:tcW w:w="1045" w:type="dxa"/>
            <w:tcBorders>
              <w:top w:val="nil"/>
              <w:left w:val="nil"/>
              <w:bottom w:val="single" w:sz="4" w:space="0" w:color="auto"/>
              <w:right w:val="single" w:sz="4" w:space="0" w:color="auto"/>
            </w:tcBorders>
            <w:shd w:val="clear" w:color="000000" w:fill="FFFFFF"/>
            <w:noWrap/>
            <w:vAlign w:val="center"/>
            <w:hideMark/>
          </w:tcPr>
          <w:p w14:paraId="1643E2A9" w14:textId="77777777" w:rsidR="006448AF" w:rsidRPr="00E97596" w:rsidRDefault="006448AF" w:rsidP="0061790F">
            <w:pPr>
              <w:spacing w:after="0" w:line="240" w:lineRule="auto"/>
              <w:jc w:val="right"/>
              <w:rPr>
                <w:rFonts w:eastAsia="Times New Roman" w:cs="Calibri"/>
                <w:sz w:val="18"/>
                <w:szCs w:val="18"/>
                <w:lang w:eastAsia="es-CR"/>
              </w:rPr>
            </w:pPr>
            <w:r w:rsidRPr="00E97596">
              <w:rPr>
                <w:rFonts w:eastAsia="Times New Roman" w:cs="Calibri"/>
                <w:sz w:val="18"/>
                <w:szCs w:val="18"/>
                <w:lang w:eastAsia="es-CR"/>
              </w:rPr>
              <w:t>-5 128,49</w:t>
            </w:r>
          </w:p>
        </w:tc>
        <w:tc>
          <w:tcPr>
            <w:tcW w:w="933" w:type="dxa"/>
            <w:tcBorders>
              <w:top w:val="nil"/>
              <w:left w:val="single" w:sz="4" w:space="0" w:color="auto"/>
              <w:bottom w:val="single" w:sz="4" w:space="0" w:color="auto"/>
              <w:right w:val="single" w:sz="8" w:space="0" w:color="auto"/>
            </w:tcBorders>
            <w:shd w:val="clear" w:color="auto" w:fill="auto"/>
            <w:noWrap/>
            <w:vAlign w:val="bottom"/>
            <w:hideMark/>
          </w:tcPr>
          <w:p w14:paraId="455B3C98" w14:textId="77777777" w:rsidR="006448AF" w:rsidRPr="00E97596" w:rsidRDefault="006448AF" w:rsidP="0061790F">
            <w:pPr>
              <w:spacing w:after="0" w:line="240" w:lineRule="auto"/>
              <w:jc w:val="right"/>
              <w:rPr>
                <w:rFonts w:eastAsia="Times New Roman" w:cs="Calibri"/>
                <w:color w:val="000000"/>
                <w:sz w:val="18"/>
                <w:szCs w:val="18"/>
                <w:lang w:eastAsia="es-CR"/>
              </w:rPr>
            </w:pPr>
            <w:r w:rsidRPr="00E97596">
              <w:rPr>
                <w:rFonts w:eastAsia="Times New Roman" w:cs="Calibri"/>
                <w:color w:val="000000"/>
                <w:sz w:val="18"/>
                <w:szCs w:val="18"/>
                <w:lang w:eastAsia="es-CR"/>
              </w:rPr>
              <w:t>-59,61%</w:t>
            </w:r>
          </w:p>
        </w:tc>
      </w:tr>
      <w:tr w:rsidR="006448AF" w:rsidRPr="00E97596" w14:paraId="14E1B9DF" w14:textId="77777777" w:rsidTr="0061790F">
        <w:trPr>
          <w:trHeight w:val="249"/>
        </w:trPr>
        <w:tc>
          <w:tcPr>
            <w:tcW w:w="933" w:type="dxa"/>
            <w:tcBorders>
              <w:top w:val="nil"/>
              <w:left w:val="single" w:sz="8" w:space="0" w:color="auto"/>
              <w:bottom w:val="single" w:sz="8" w:space="0" w:color="auto"/>
              <w:right w:val="single" w:sz="8" w:space="0" w:color="auto"/>
            </w:tcBorders>
            <w:shd w:val="clear" w:color="000000" w:fill="FFFFFF"/>
            <w:noWrap/>
            <w:vAlign w:val="center"/>
            <w:hideMark/>
          </w:tcPr>
          <w:p w14:paraId="54CC0A82" w14:textId="77777777" w:rsidR="006448AF" w:rsidRPr="00E97596" w:rsidRDefault="006448AF" w:rsidP="0061790F">
            <w:pPr>
              <w:spacing w:after="0" w:line="240" w:lineRule="auto"/>
              <w:jc w:val="left"/>
              <w:rPr>
                <w:rFonts w:eastAsia="Times New Roman" w:cs="Calibri"/>
                <w:color w:val="000000"/>
                <w:sz w:val="18"/>
                <w:szCs w:val="18"/>
                <w:lang w:eastAsia="es-CR"/>
              </w:rPr>
            </w:pPr>
            <w:r w:rsidRPr="00E97596">
              <w:rPr>
                <w:rFonts w:eastAsia="Times New Roman" w:cs="Calibri"/>
                <w:color w:val="000000"/>
                <w:sz w:val="18"/>
                <w:szCs w:val="18"/>
                <w:lang w:eastAsia="es-CR"/>
              </w:rPr>
              <w:t>1.2.5.99</w:t>
            </w:r>
          </w:p>
        </w:tc>
        <w:tc>
          <w:tcPr>
            <w:tcW w:w="3031" w:type="dxa"/>
            <w:tcBorders>
              <w:top w:val="nil"/>
              <w:left w:val="nil"/>
              <w:bottom w:val="single" w:sz="8" w:space="0" w:color="auto"/>
              <w:right w:val="single" w:sz="8" w:space="0" w:color="auto"/>
            </w:tcBorders>
            <w:shd w:val="clear" w:color="000000" w:fill="FFFFFF"/>
            <w:vAlign w:val="center"/>
            <w:hideMark/>
          </w:tcPr>
          <w:p w14:paraId="32BC02FB" w14:textId="77777777" w:rsidR="006448AF" w:rsidRPr="00E97596" w:rsidRDefault="006448AF" w:rsidP="0061790F">
            <w:pPr>
              <w:spacing w:after="0" w:line="240" w:lineRule="auto"/>
              <w:jc w:val="left"/>
              <w:rPr>
                <w:rFonts w:eastAsia="Times New Roman" w:cs="Calibri"/>
                <w:color w:val="000000"/>
                <w:sz w:val="18"/>
                <w:szCs w:val="18"/>
                <w:lang w:eastAsia="es-CR"/>
              </w:rPr>
            </w:pPr>
            <w:r w:rsidRPr="00E97596">
              <w:rPr>
                <w:rFonts w:eastAsia="Times New Roman" w:cs="Calibri"/>
                <w:color w:val="000000"/>
                <w:sz w:val="18"/>
                <w:szCs w:val="18"/>
                <w:lang w:eastAsia="es-CR"/>
              </w:rPr>
              <w:t>Bienes no concesionados en proceso de producción</w:t>
            </w:r>
          </w:p>
        </w:tc>
        <w:tc>
          <w:tcPr>
            <w:tcW w:w="1608" w:type="dxa"/>
            <w:tcBorders>
              <w:top w:val="single" w:sz="4" w:space="0" w:color="auto"/>
              <w:left w:val="nil"/>
              <w:bottom w:val="single" w:sz="8" w:space="0" w:color="auto"/>
              <w:right w:val="single" w:sz="4" w:space="0" w:color="auto"/>
            </w:tcBorders>
            <w:shd w:val="clear" w:color="000000" w:fill="FFFFFF"/>
            <w:vAlign w:val="center"/>
            <w:hideMark/>
          </w:tcPr>
          <w:p w14:paraId="71CB2448" w14:textId="77777777" w:rsidR="006448AF" w:rsidRPr="00E97596" w:rsidRDefault="006448AF" w:rsidP="0061790F">
            <w:pPr>
              <w:spacing w:after="0" w:line="240" w:lineRule="auto"/>
              <w:jc w:val="right"/>
              <w:rPr>
                <w:rFonts w:eastAsia="Times New Roman" w:cs="Calibri"/>
                <w:color w:val="000000"/>
                <w:sz w:val="18"/>
                <w:szCs w:val="18"/>
                <w:lang w:eastAsia="es-CR"/>
              </w:rPr>
            </w:pPr>
            <w:r w:rsidRPr="00E97596">
              <w:rPr>
                <w:rFonts w:eastAsia="Times New Roman" w:cs="Calibri"/>
                <w:color w:val="000000"/>
                <w:sz w:val="18"/>
                <w:szCs w:val="18"/>
                <w:lang w:eastAsia="es-CR"/>
              </w:rPr>
              <w:t>97 579,15</w:t>
            </w:r>
          </w:p>
        </w:tc>
        <w:tc>
          <w:tcPr>
            <w:tcW w:w="1316" w:type="dxa"/>
            <w:tcBorders>
              <w:top w:val="nil"/>
              <w:left w:val="nil"/>
              <w:bottom w:val="single" w:sz="8" w:space="0" w:color="auto"/>
              <w:right w:val="nil"/>
            </w:tcBorders>
            <w:shd w:val="clear" w:color="000000" w:fill="FFFFFF"/>
            <w:noWrap/>
            <w:vAlign w:val="center"/>
            <w:hideMark/>
          </w:tcPr>
          <w:p w14:paraId="193BDAD7" w14:textId="77777777" w:rsidR="006448AF" w:rsidRPr="00E97596" w:rsidRDefault="006448AF" w:rsidP="0061790F">
            <w:pPr>
              <w:spacing w:after="0" w:line="240" w:lineRule="auto"/>
              <w:jc w:val="right"/>
              <w:rPr>
                <w:rFonts w:eastAsia="Times New Roman" w:cs="Calibri"/>
                <w:sz w:val="18"/>
                <w:szCs w:val="18"/>
                <w:lang w:eastAsia="es-CR"/>
              </w:rPr>
            </w:pPr>
            <w:r w:rsidRPr="00E97596">
              <w:rPr>
                <w:rFonts w:eastAsia="Times New Roman" w:cs="Calibri"/>
                <w:sz w:val="18"/>
                <w:szCs w:val="18"/>
                <w:lang w:eastAsia="es-CR"/>
              </w:rPr>
              <w:t>77 580,96</w:t>
            </w:r>
          </w:p>
        </w:tc>
        <w:tc>
          <w:tcPr>
            <w:tcW w:w="1045" w:type="dxa"/>
            <w:tcBorders>
              <w:top w:val="single" w:sz="4" w:space="0" w:color="auto"/>
              <w:left w:val="single" w:sz="4" w:space="0" w:color="auto"/>
              <w:bottom w:val="single" w:sz="8" w:space="0" w:color="auto"/>
              <w:right w:val="single" w:sz="4" w:space="0" w:color="auto"/>
            </w:tcBorders>
            <w:shd w:val="clear" w:color="000000" w:fill="FFFFFF"/>
            <w:noWrap/>
            <w:vAlign w:val="center"/>
            <w:hideMark/>
          </w:tcPr>
          <w:p w14:paraId="2847272C" w14:textId="77777777" w:rsidR="006448AF" w:rsidRPr="00E97596" w:rsidRDefault="006448AF" w:rsidP="0061790F">
            <w:pPr>
              <w:spacing w:after="0" w:line="240" w:lineRule="auto"/>
              <w:jc w:val="right"/>
              <w:rPr>
                <w:rFonts w:eastAsia="Times New Roman" w:cs="Calibri"/>
                <w:sz w:val="18"/>
                <w:szCs w:val="18"/>
                <w:lang w:eastAsia="es-CR"/>
              </w:rPr>
            </w:pPr>
            <w:r w:rsidRPr="00E97596">
              <w:rPr>
                <w:rFonts w:eastAsia="Times New Roman" w:cs="Calibri"/>
                <w:sz w:val="18"/>
                <w:szCs w:val="18"/>
                <w:lang w:eastAsia="es-CR"/>
              </w:rPr>
              <w:t>19 998,19</w:t>
            </w:r>
          </w:p>
        </w:tc>
        <w:tc>
          <w:tcPr>
            <w:tcW w:w="933" w:type="dxa"/>
            <w:tcBorders>
              <w:top w:val="nil"/>
              <w:left w:val="nil"/>
              <w:bottom w:val="single" w:sz="4" w:space="0" w:color="auto"/>
              <w:right w:val="single" w:sz="8" w:space="0" w:color="auto"/>
            </w:tcBorders>
            <w:shd w:val="clear" w:color="auto" w:fill="auto"/>
            <w:noWrap/>
            <w:vAlign w:val="bottom"/>
            <w:hideMark/>
          </w:tcPr>
          <w:p w14:paraId="4CB69E3F" w14:textId="77777777" w:rsidR="006448AF" w:rsidRPr="00E97596" w:rsidRDefault="006448AF" w:rsidP="0061790F">
            <w:pPr>
              <w:spacing w:after="0" w:line="240" w:lineRule="auto"/>
              <w:jc w:val="right"/>
              <w:rPr>
                <w:rFonts w:eastAsia="Times New Roman" w:cs="Calibri"/>
                <w:color w:val="000000"/>
                <w:sz w:val="18"/>
                <w:szCs w:val="18"/>
                <w:lang w:eastAsia="es-CR"/>
              </w:rPr>
            </w:pPr>
            <w:r w:rsidRPr="00E97596">
              <w:rPr>
                <w:rFonts w:eastAsia="Times New Roman" w:cs="Calibri"/>
                <w:color w:val="000000"/>
                <w:sz w:val="18"/>
                <w:szCs w:val="18"/>
                <w:lang w:eastAsia="es-CR"/>
              </w:rPr>
              <w:t>25,78%</w:t>
            </w:r>
          </w:p>
        </w:tc>
      </w:tr>
      <w:tr w:rsidR="006448AF" w:rsidRPr="00E97596" w14:paraId="22757B49" w14:textId="77777777" w:rsidTr="0061790F">
        <w:trPr>
          <w:trHeight w:val="249"/>
        </w:trPr>
        <w:tc>
          <w:tcPr>
            <w:tcW w:w="933" w:type="dxa"/>
            <w:tcBorders>
              <w:top w:val="nil"/>
              <w:left w:val="single" w:sz="8" w:space="0" w:color="auto"/>
              <w:bottom w:val="single" w:sz="8" w:space="0" w:color="auto"/>
              <w:right w:val="nil"/>
            </w:tcBorders>
            <w:shd w:val="clear" w:color="auto" w:fill="auto"/>
            <w:noWrap/>
            <w:vAlign w:val="bottom"/>
            <w:hideMark/>
          </w:tcPr>
          <w:p w14:paraId="32A45177" w14:textId="77777777" w:rsidR="006448AF" w:rsidRPr="00E97596" w:rsidRDefault="006448AF" w:rsidP="0061790F">
            <w:pPr>
              <w:spacing w:after="0" w:line="240" w:lineRule="auto"/>
              <w:jc w:val="left"/>
              <w:rPr>
                <w:rFonts w:ascii="Calibri" w:eastAsia="Times New Roman" w:hAnsi="Calibri" w:cs="Calibri"/>
                <w:color w:val="000000"/>
                <w:sz w:val="18"/>
                <w:szCs w:val="18"/>
                <w:lang w:eastAsia="es-CR"/>
              </w:rPr>
            </w:pPr>
            <w:r w:rsidRPr="00E97596">
              <w:rPr>
                <w:rFonts w:ascii="Calibri" w:eastAsia="Times New Roman" w:hAnsi="Calibri" w:cs="Calibri"/>
                <w:color w:val="000000"/>
                <w:sz w:val="18"/>
                <w:szCs w:val="18"/>
                <w:lang w:eastAsia="es-CR"/>
              </w:rPr>
              <w:t> </w:t>
            </w:r>
          </w:p>
        </w:tc>
        <w:tc>
          <w:tcPr>
            <w:tcW w:w="3031" w:type="dxa"/>
            <w:tcBorders>
              <w:top w:val="nil"/>
              <w:left w:val="nil"/>
              <w:bottom w:val="single" w:sz="8" w:space="0" w:color="auto"/>
              <w:right w:val="nil"/>
            </w:tcBorders>
            <w:shd w:val="clear" w:color="000000" w:fill="FFFFFF"/>
            <w:vAlign w:val="center"/>
            <w:hideMark/>
          </w:tcPr>
          <w:p w14:paraId="64D61792" w14:textId="77777777" w:rsidR="006448AF" w:rsidRPr="00E97596" w:rsidRDefault="006448AF" w:rsidP="0061790F">
            <w:pPr>
              <w:spacing w:after="0" w:line="240" w:lineRule="auto"/>
              <w:jc w:val="center"/>
              <w:rPr>
                <w:rFonts w:eastAsia="Times New Roman" w:cs="Calibri"/>
                <w:b/>
                <w:bCs/>
                <w:color w:val="000000"/>
                <w:sz w:val="18"/>
                <w:szCs w:val="18"/>
                <w:lang w:eastAsia="es-CR"/>
              </w:rPr>
            </w:pPr>
            <w:r w:rsidRPr="00E97596">
              <w:rPr>
                <w:rFonts w:eastAsia="Times New Roman" w:cs="Calibri"/>
                <w:b/>
                <w:bCs/>
                <w:color w:val="000000"/>
                <w:sz w:val="18"/>
                <w:szCs w:val="18"/>
                <w:lang w:eastAsia="es-CR"/>
              </w:rPr>
              <w:t>TOTALES</w:t>
            </w:r>
          </w:p>
        </w:tc>
        <w:tc>
          <w:tcPr>
            <w:tcW w:w="1608" w:type="dxa"/>
            <w:tcBorders>
              <w:top w:val="nil"/>
              <w:left w:val="single" w:sz="4" w:space="0" w:color="auto"/>
              <w:bottom w:val="single" w:sz="8" w:space="0" w:color="auto"/>
              <w:right w:val="single" w:sz="4" w:space="0" w:color="auto"/>
            </w:tcBorders>
            <w:shd w:val="clear" w:color="000000" w:fill="FFFFFF"/>
            <w:vAlign w:val="center"/>
            <w:hideMark/>
          </w:tcPr>
          <w:p w14:paraId="045337F9" w14:textId="77777777" w:rsidR="006448AF" w:rsidRPr="00E97596" w:rsidRDefault="006448AF" w:rsidP="0061790F">
            <w:pPr>
              <w:spacing w:after="0" w:line="240" w:lineRule="auto"/>
              <w:jc w:val="right"/>
              <w:rPr>
                <w:rFonts w:eastAsia="Times New Roman" w:cs="Calibri"/>
                <w:b/>
                <w:bCs/>
                <w:color w:val="000000"/>
                <w:sz w:val="18"/>
                <w:szCs w:val="18"/>
                <w:lang w:eastAsia="es-CR"/>
              </w:rPr>
            </w:pPr>
            <w:r w:rsidRPr="00E97596">
              <w:rPr>
                <w:rFonts w:ascii="Arial" w:eastAsia="Times New Roman" w:hAnsi="Arial" w:cs="Arial"/>
                <w:b/>
                <w:bCs/>
                <w:color w:val="000000"/>
                <w:sz w:val="18"/>
                <w:szCs w:val="18"/>
                <w:lang w:eastAsia="es-CR"/>
              </w:rPr>
              <w:t>₡</w:t>
            </w:r>
            <w:r w:rsidRPr="00E97596">
              <w:rPr>
                <w:rFonts w:eastAsia="Times New Roman" w:cs="Calibri"/>
                <w:b/>
                <w:bCs/>
                <w:color w:val="000000"/>
                <w:sz w:val="18"/>
                <w:szCs w:val="18"/>
                <w:lang w:eastAsia="es-CR"/>
              </w:rPr>
              <w:t>163 160 274,66</w:t>
            </w:r>
          </w:p>
        </w:tc>
        <w:tc>
          <w:tcPr>
            <w:tcW w:w="1316" w:type="dxa"/>
            <w:tcBorders>
              <w:top w:val="nil"/>
              <w:left w:val="nil"/>
              <w:bottom w:val="single" w:sz="8" w:space="0" w:color="auto"/>
              <w:right w:val="single" w:sz="4" w:space="0" w:color="auto"/>
            </w:tcBorders>
            <w:shd w:val="clear" w:color="000000" w:fill="FFFFFF"/>
            <w:vAlign w:val="center"/>
            <w:hideMark/>
          </w:tcPr>
          <w:p w14:paraId="07970F92" w14:textId="77777777" w:rsidR="006448AF" w:rsidRPr="00E97596" w:rsidRDefault="006448AF" w:rsidP="0061790F">
            <w:pPr>
              <w:spacing w:after="0" w:line="240" w:lineRule="auto"/>
              <w:jc w:val="right"/>
              <w:rPr>
                <w:rFonts w:eastAsia="Times New Roman" w:cs="Calibri"/>
                <w:b/>
                <w:bCs/>
                <w:color w:val="000000"/>
                <w:sz w:val="18"/>
                <w:szCs w:val="18"/>
                <w:lang w:eastAsia="es-CR"/>
              </w:rPr>
            </w:pPr>
            <w:r w:rsidRPr="00E97596">
              <w:rPr>
                <w:rFonts w:ascii="Arial" w:eastAsia="Times New Roman" w:hAnsi="Arial" w:cs="Arial"/>
                <w:b/>
                <w:bCs/>
                <w:color w:val="000000"/>
                <w:sz w:val="18"/>
                <w:szCs w:val="18"/>
                <w:lang w:eastAsia="es-CR"/>
              </w:rPr>
              <w:t>₡</w:t>
            </w:r>
            <w:r w:rsidRPr="00E97596">
              <w:rPr>
                <w:rFonts w:eastAsia="Times New Roman" w:cs="Calibri"/>
                <w:b/>
                <w:bCs/>
                <w:color w:val="000000"/>
                <w:sz w:val="18"/>
                <w:szCs w:val="18"/>
                <w:lang w:eastAsia="es-CR"/>
              </w:rPr>
              <w:t>162 609 147,58</w:t>
            </w:r>
          </w:p>
        </w:tc>
        <w:tc>
          <w:tcPr>
            <w:tcW w:w="1045" w:type="dxa"/>
            <w:tcBorders>
              <w:top w:val="nil"/>
              <w:left w:val="nil"/>
              <w:bottom w:val="single" w:sz="8" w:space="0" w:color="auto"/>
              <w:right w:val="single" w:sz="4" w:space="0" w:color="auto"/>
            </w:tcBorders>
            <w:shd w:val="clear" w:color="000000" w:fill="FFFFFF"/>
            <w:vAlign w:val="center"/>
            <w:hideMark/>
          </w:tcPr>
          <w:p w14:paraId="493D0BC9" w14:textId="77777777" w:rsidR="006448AF" w:rsidRPr="00E97596" w:rsidRDefault="006448AF" w:rsidP="0061790F">
            <w:pPr>
              <w:spacing w:after="0" w:line="240" w:lineRule="auto"/>
              <w:jc w:val="right"/>
              <w:rPr>
                <w:rFonts w:eastAsia="Times New Roman" w:cs="Calibri"/>
                <w:b/>
                <w:bCs/>
                <w:color w:val="000000"/>
                <w:sz w:val="18"/>
                <w:szCs w:val="18"/>
                <w:lang w:eastAsia="es-CR"/>
              </w:rPr>
            </w:pPr>
            <w:r w:rsidRPr="00E97596">
              <w:rPr>
                <w:rFonts w:ascii="Arial" w:eastAsia="Times New Roman" w:hAnsi="Arial" w:cs="Arial"/>
                <w:b/>
                <w:bCs/>
                <w:color w:val="000000"/>
                <w:sz w:val="18"/>
                <w:szCs w:val="18"/>
                <w:lang w:eastAsia="es-CR"/>
              </w:rPr>
              <w:t>₡</w:t>
            </w:r>
            <w:r w:rsidRPr="00E97596">
              <w:rPr>
                <w:rFonts w:eastAsia="Times New Roman" w:cs="Calibri"/>
                <w:b/>
                <w:bCs/>
                <w:color w:val="000000"/>
                <w:sz w:val="18"/>
                <w:szCs w:val="18"/>
                <w:lang w:eastAsia="es-CR"/>
              </w:rPr>
              <w:t>551 127,08</w:t>
            </w:r>
          </w:p>
        </w:tc>
        <w:tc>
          <w:tcPr>
            <w:tcW w:w="933" w:type="dxa"/>
            <w:tcBorders>
              <w:top w:val="single" w:sz="8" w:space="0" w:color="auto"/>
              <w:left w:val="nil"/>
              <w:bottom w:val="single" w:sz="8" w:space="0" w:color="auto"/>
              <w:right w:val="single" w:sz="8" w:space="0" w:color="auto"/>
            </w:tcBorders>
            <w:shd w:val="clear" w:color="auto" w:fill="auto"/>
            <w:noWrap/>
            <w:vAlign w:val="bottom"/>
            <w:hideMark/>
          </w:tcPr>
          <w:p w14:paraId="45F9FD41" w14:textId="77777777" w:rsidR="006448AF" w:rsidRPr="00E97596" w:rsidRDefault="006448AF" w:rsidP="0061790F">
            <w:pPr>
              <w:spacing w:after="0" w:line="240" w:lineRule="auto"/>
              <w:jc w:val="right"/>
              <w:rPr>
                <w:rFonts w:eastAsia="Times New Roman" w:cs="Calibri"/>
                <w:b/>
                <w:bCs/>
                <w:color w:val="000000"/>
                <w:sz w:val="18"/>
                <w:szCs w:val="18"/>
                <w:lang w:eastAsia="es-CR"/>
              </w:rPr>
            </w:pPr>
            <w:r w:rsidRPr="00E97596">
              <w:rPr>
                <w:rFonts w:eastAsia="Times New Roman" w:cs="Calibri"/>
                <w:b/>
                <w:bCs/>
                <w:color w:val="000000"/>
                <w:sz w:val="18"/>
                <w:szCs w:val="18"/>
                <w:lang w:eastAsia="es-CR"/>
              </w:rPr>
              <w:t>0,34%</w:t>
            </w:r>
          </w:p>
        </w:tc>
      </w:tr>
    </w:tbl>
    <w:p w14:paraId="11A627A5" w14:textId="20A25C27" w:rsidR="006448AF" w:rsidRPr="00EC10CC" w:rsidRDefault="006448AF" w:rsidP="006448AF">
      <w:pPr>
        <w:spacing w:after="0" w:line="240" w:lineRule="auto"/>
        <w:rPr>
          <w:rFonts w:cs="Arial"/>
          <w:lang w:eastAsia="es-CR"/>
        </w:rPr>
      </w:pPr>
      <w:r w:rsidRPr="00B02E88">
        <w:rPr>
          <w:rFonts w:cs="Arial"/>
          <w:lang w:val="es-ES" w:eastAsia="es-CR"/>
        </w:rPr>
        <w:t xml:space="preserve">Como se observa en el detalle anterior, la variación (aumento) en la cuenta Bienes </w:t>
      </w:r>
      <w:r>
        <w:rPr>
          <w:rFonts w:cs="Arial"/>
          <w:lang w:val="es-ES" w:eastAsia="es-CR"/>
        </w:rPr>
        <w:t xml:space="preserve">no </w:t>
      </w:r>
      <w:r w:rsidRPr="00B02E88">
        <w:rPr>
          <w:rFonts w:cs="Arial"/>
          <w:lang w:val="es-ES" w:eastAsia="es-CR"/>
        </w:rPr>
        <w:t xml:space="preserve">Concesionados de </w:t>
      </w:r>
      <w:r w:rsidRPr="00D179FD">
        <w:rPr>
          <w:rFonts w:ascii="Arial" w:hAnsi="Arial" w:cs="Arial"/>
          <w:lang w:val="es-ES" w:eastAsia="es-CR"/>
        </w:rPr>
        <w:t>₡</w:t>
      </w:r>
      <w:r w:rsidR="00EC10CC" w:rsidRPr="00D179FD">
        <w:rPr>
          <w:rFonts w:cs="Arial"/>
          <w:lang w:eastAsia="es-CR"/>
        </w:rPr>
        <w:t xml:space="preserve">193 593,18 </w:t>
      </w:r>
      <w:r w:rsidRPr="00D179FD">
        <w:rPr>
          <w:rFonts w:cs="Arial"/>
          <w:lang w:val="es-ES" w:eastAsia="es-CR"/>
        </w:rPr>
        <w:t>miles</w:t>
      </w:r>
      <w:r w:rsidRPr="00B02E88">
        <w:rPr>
          <w:rFonts w:cs="Arial"/>
          <w:lang w:val="es-ES" w:eastAsia="es-CR"/>
        </w:rPr>
        <w:t xml:space="preserve"> está compuesta por los aumentos de </w:t>
      </w:r>
      <w:r w:rsidRPr="00B02E88">
        <w:rPr>
          <w:rFonts w:ascii="Arial" w:hAnsi="Arial" w:cs="Arial"/>
          <w:lang w:val="es-ES" w:eastAsia="es-CR"/>
        </w:rPr>
        <w:t>₡</w:t>
      </w:r>
      <w:r w:rsidR="00EC10CC" w:rsidRPr="00EC10CC">
        <w:rPr>
          <w:rFonts w:cs="Arial"/>
          <w:lang w:eastAsia="es-CR"/>
        </w:rPr>
        <w:t>85 550,47</w:t>
      </w:r>
      <w:r w:rsidR="00EC10CC">
        <w:rPr>
          <w:rFonts w:cs="Arial"/>
          <w:lang w:eastAsia="es-CR"/>
        </w:rPr>
        <w:t xml:space="preserve"> </w:t>
      </w:r>
      <w:r w:rsidRPr="00B02E88">
        <w:rPr>
          <w:rFonts w:cs="Arial"/>
          <w:lang w:val="es-ES" w:eastAsia="es-CR"/>
        </w:rPr>
        <w:t>miles</w:t>
      </w:r>
      <w:r w:rsidR="00EC10CC">
        <w:rPr>
          <w:rFonts w:cs="Arial"/>
          <w:lang w:val="es-ES" w:eastAsia="es-CR"/>
        </w:rPr>
        <w:t xml:space="preserve">, </w:t>
      </w:r>
      <w:r w:rsidRPr="00B02E88">
        <w:rPr>
          <w:rFonts w:ascii="Arial" w:hAnsi="Arial" w:cs="Arial"/>
          <w:lang w:val="es-ES" w:eastAsia="es-CR"/>
        </w:rPr>
        <w:t>₡</w:t>
      </w:r>
      <w:r w:rsidR="00EC10CC" w:rsidRPr="00EC10CC">
        <w:rPr>
          <w:rFonts w:cs="Arial"/>
          <w:lang w:eastAsia="es-CR"/>
        </w:rPr>
        <w:t>90 760,25</w:t>
      </w:r>
      <w:r w:rsidR="00EC10CC">
        <w:rPr>
          <w:rFonts w:cs="Arial"/>
          <w:lang w:eastAsia="es-CR"/>
        </w:rPr>
        <w:t xml:space="preserve"> y </w:t>
      </w:r>
      <w:r w:rsidR="00EC10CC" w:rsidRPr="00B02E88">
        <w:rPr>
          <w:rFonts w:ascii="Arial" w:hAnsi="Arial" w:cs="Arial"/>
          <w:lang w:val="es-ES" w:eastAsia="es-CR"/>
        </w:rPr>
        <w:t>₡</w:t>
      </w:r>
      <w:r w:rsidR="00EC10CC" w:rsidRPr="00EC10CC">
        <w:rPr>
          <w:rFonts w:cs="Arial"/>
          <w:lang w:eastAsia="es-CR"/>
        </w:rPr>
        <w:t>19 998,19</w:t>
      </w:r>
      <w:r w:rsidR="00EC10CC">
        <w:rPr>
          <w:rFonts w:cs="Arial"/>
          <w:lang w:eastAsia="es-CR"/>
        </w:rPr>
        <w:t xml:space="preserve"> </w:t>
      </w:r>
      <w:r w:rsidRPr="00B02E88">
        <w:rPr>
          <w:rFonts w:cs="Arial"/>
          <w:lang w:val="es-ES" w:eastAsia="es-CR"/>
        </w:rPr>
        <w:t>miles en los saldos de las cuentas Propiedades, planta y equipos explotados</w:t>
      </w:r>
      <w:r w:rsidR="00EC10CC">
        <w:rPr>
          <w:rFonts w:cs="Arial"/>
          <w:lang w:val="es-ES" w:eastAsia="es-CR"/>
        </w:rPr>
        <w:t>, Bienes de infraestructura y de beneficio y uso público en servicio</w:t>
      </w:r>
      <w:r w:rsidRPr="00B02E88">
        <w:rPr>
          <w:rFonts w:cs="Arial"/>
          <w:lang w:val="es-ES" w:eastAsia="es-CR"/>
        </w:rPr>
        <w:t xml:space="preserve"> y Bienes no concesionados en proceso de producción respectivamente y la disminución de -</w:t>
      </w:r>
      <w:r w:rsidRPr="00B02E88">
        <w:rPr>
          <w:rFonts w:ascii="Arial" w:hAnsi="Arial" w:cs="Arial"/>
          <w:lang w:val="es-ES" w:eastAsia="es-CR"/>
        </w:rPr>
        <w:t>₡</w:t>
      </w:r>
      <w:r w:rsidR="00EC10CC" w:rsidRPr="00EC10CC">
        <w:rPr>
          <w:rFonts w:cs="Arial"/>
          <w:lang w:eastAsia="es-CR"/>
        </w:rPr>
        <w:t>2 715,73</w:t>
      </w:r>
      <w:r w:rsidR="00EC10CC">
        <w:rPr>
          <w:rFonts w:cs="Arial"/>
          <w:lang w:eastAsia="es-CR"/>
        </w:rPr>
        <w:t xml:space="preserve"> </w:t>
      </w:r>
      <w:r w:rsidRPr="00B02E88">
        <w:rPr>
          <w:rFonts w:cs="Arial"/>
          <w:lang w:val="es-ES" w:eastAsia="es-CR"/>
        </w:rPr>
        <w:t xml:space="preserve">miles en la cuenta Bienes Intangibles no </w:t>
      </w:r>
      <w:r w:rsidR="00EC10CC">
        <w:rPr>
          <w:rFonts w:cs="Arial"/>
          <w:lang w:val="es-ES" w:eastAsia="es-CR"/>
        </w:rPr>
        <w:lastRenderedPageBreak/>
        <w:t>concesiona</w:t>
      </w:r>
      <w:r w:rsidRPr="00B02E88">
        <w:rPr>
          <w:rFonts w:cs="Arial"/>
          <w:lang w:val="es-ES" w:eastAsia="es-CR"/>
        </w:rPr>
        <w:t xml:space="preserve">dos. Esta variación se origina </w:t>
      </w:r>
      <w:bookmarkStart w:id="256" w:name="_Hlk138408656"/>
      <w:r w:rsidRPr="00B02E88">
        <w:rPr>
          <w:rFonts w:cs="Arial"/>
          <w:lang w:val="es-ES" w:eastAsia="es-CR"/>
        </w:rPr>
        <w:t xml:space="preserve">debido a que durante el periodo comprendido entre </w:t>
      </w:r>
      <w:r w:rsidR="00D64CF8">
        <w:rPr>
          <w:rFonts w:cs="Arial"/>
          <w:lang w:val="es-ES" w:eastAsia="es-CR"/>
        </w:rPr>
        <w:t>diciembre</w:t>
      </w:r>
      <w:r w:rsidRPr="00B02E88">
        <w:rPr>
          <w:rFonts w:cs="Arial"/>
          <w:lang w:val="es-ES" w:eastAsia="es-CR"/>
        </w:rPr>
        <w:t xml:space="preserve"> de 2023 y </w:t>
      </w:r>
      <w:r w:rsidR="00D64CF8">
        <w:rPr>
          <w:rFonts w:cs="Arial"/>
          <w:lang w:val="es-ES" w:eastAsia="es-CR"/>
        </w:rPr>
        <w:t>diciembre</w:t>
      </w:r>
      <w:r w:rsidRPr="00B02E88">
        <w:rPr>
          <w:rFonts w:cs="Arial"/>
          <w:lang w:val="es-ES" w:eastAsia="es-CR"/>
        </w:rPr>
        <w:t xml:space="preserve"> de 2024, se han realizado varios movimientos de activos correspondientes a compras, inclusión de activos identificados como parte del proceso de inventario físico que se está realizando, se ha registrado la depreciación de los activos sujetos a depreciación y se han efectuado algunos ajustes a los registros realizados con el fin de ir ajustando el valor de los activos registrados a un valor razonable.</w:t>
      </w:r>
    </w:p>
    <w:p w14:paraId="2E4B8F34" w14:textId="77777777" w:rsidR="006448AF" w:rsidRDefault="006448AF" w:rsidP="006448AF">
      <w:pPr>
        <w:spacing w:after="0" w:line="240" w:lineRule="auto"/>
        <w:rPr>
          <w:rFonts w:cs="Arial"/>
          <w:lang w:val="es-ES" w:eastAsia="es-CR"/>
        </w:rPr>
      </w:pPr>
    </w:p>
    <w:bookmarkEnd w:id="256"/>
    <w:p w14:paraId="23C18274" w14:textId="77777777" w:rsidR="006448AF" w:rsidRDefault="006448AF" w:rsidP="006448AF">
      <w:pPr>
        <w:spacing w:after="0" w:line="240" w:lineRule="auto"/>
        <w:rPr>
          <w:rFonts w:cs="Arial"/>
        </w:rPr>
      </w:pPr>
      <w:r w:rsidRPr="00291EF8">
        <w:rPr>
          <w:rFonts w:cs="Arial"/>
        </w:rPr>
        <w:t>Es pertinente reiterar que</w:t>
      </w:r>
      <w:r>
        <w:rPr>
          <w:rFonts w:cs="Arial"/>
        </w:rPr>
        <w:t>,</w:t>
      </w:r>
      <w:r w:rsidRPr="00291EF8">
        <w:rPr>
          <w:rFonts w:cs="Arial"/>
        </w:rPr>
        <w:t xml:space="preserve"> a la fecha de cierre de estos estados financieros aún se </w:t>
      </w:r>
      <w:r>
        <w:rPr>
          <w:rFonts w:cs="Arial"/>
        </w:rPr>
        <w:t>está</w:t>
      </w:r>
      <w:r w:rsidRPr="00291EF8">
        <w:rPr>
          <w:rFonts w:cs="Arial"/>
        </w:rPr>
        <w:t xml:space="preserve"> realizando el inventario físico de algunas clases de activos (propiedades e infraestructura vial) y estableciendo la medición de estos para su correspondiente actualización y registros respectivos.</w:t>
      </w:r>
    </w:p>
    <w:p w14:paraId="5B998687" w14:textId="77777777" w:rsidR="00D179FD" w:rsidRDefault="00D179FD" w:rsidP="006448AF">
      <w:pPr>
        <w:spacing w:after="0" w:line="240" w:lineRule="auto"/>
        <w:rPr>
          <w:rFonts w:cs="Arial"/>
        </w:rPr>
      </w:pPr>
    </w:p>
    <w:p w14:paraId="1C66CC7E" w14:textId="77777777" w:rsidR="00D179FD" w:rsidRDefault="00D179FD" w:rsidP="006448AF">
      <w:pPr>
        <w:spacing w:after="0" w:line="240" w:lineRule="auto"/>
        <w:rPr>
          <w:rFonts w:cs="Arial"/>
        </w:rPr>
      </w:pPr>
    </w:p>
    <w:p w14:paraId="0C6705C2" w14:textId="77777777" w:rsidR="00D179FD" w:rsidRPr="00291EF8" w:rsidRDefault="00D179FD" w:rsidP="006448AF">
      <w:pPr>
        <w:spacing w:after="0" w:line="240" w:lineRule="auto"/>
        <w:rPr>
          <w:rFonts w:cs="Arial"/>
        </w:rPr>
      </w:pPr>
    </w:p>
    <w:p w14:paraId="51B65755" w14:textId="77777777" w:rsidR="006448AF" w:rsidRDefault="006448AF" w:rsidP="006448AF">
      <w:pPr>
        <w:spacing w:after="0" w:line="240" w:lineRule="auto"/>
        <w:rPr>
          <w:szCs w:val="24"/>
          <w:lang w:eastAsia="es-CR"/>
        </w:rPr>
      </w:pPr>
    </w:p>
    <w:p w14:paraId="5B4144C0" w14:textId="77777777" w:rsidR="006448AF" w:rsidRPr="00D03FEC" w:rsidRDefault="006448AF" w:rsidP="006448AF">
      <w:pPr>
        <w:spacing w:after="0" w:line="240" w:lineRule="auto"/>
        <w:rPr>
          <w:b/>
          <w:bCs/>
          <w:lang w:val="es-MX" w:eastAsia="es-CR"/>
        </w:rPr>
      </w:pPr>
      <w:r w:rsidRPr="00D03FEC">
        <w:rPr>
          <w:b/>
          <w:bCs/>
          <w:lang w:val="es-MX" w:eastAsia="es-CR"/>
        </w:rPr>
        <w:t>MEDICIÓN DE PROPIEDAD PLANTA Y EQUIPO</w:t>
      </w:r>
    </w:p>
    <w:p w14:paraId="71F750AA" w14:textId="77777777" w:rsidR="006448AF" w:rsidRPr="00D03FEC" w:rsidRDefault="006448AF" w:rsidP="006448AF">
      <w:pPr>
        <w:spacing w:after="0" w:line="240" w:lineRule="auto"/>
        <w:rPr>
          <w:b/>
          <w:bCs/>
          <w:lang w:val="es-MX" w:eastAsia="es-CR"/>
        </w:rPr>
      </w:pPr>
    </w:p>
    <w:p w14:paraId="37DE7E92" w14:textId="77777777" w:rsidR="006448AF" w:rsidRPr="00D03FEC" w:rsidRDefault="006448AF" w:rsidP="006448AF">
      <w:pPr>
        <w:spacing w:after="120" w:line="240" w:lineRule="auto"/>
        <w:rPr>
          <w:lang w:val="es-ES"/>
        </w:rPr>
      </w:pPr>
      <w:r w:rsidRPr="00D03FEC">
        <w:rPr>
          <w:lang w:val="es-ES"/>
        </w:rPr>
        <w:t>La Municipalidad utiliza el Método de Costo, por lo que aquellos activos para los cuales se cuenta con información confiable sobre su costo histórico se registran por ese valor; y para aquellos activos que no se cuente con información fiable del costo histórico, se utiliza un valor sustituto o sea se le da un valor atribuido, el cual es determinado con una base técnica apropiada o por un experto con capacidad demostrada para ese proceso, con base en lo establecido en la NICSP 33.</w:t>
      </w:r>
    </w:p>
    <w:p w14:paraId="6DAA87C5" w14:textId="77777777" w:rsidR="006448AF" w:rsidRPr="00D03FEC" w:rsidRDefault="006448AF" w:rsidP="006448AF">
      <w:pPr>
        <w:spacing w:after="120" w:line="240" w:lineRule="auto"/>
        <w:rPr>
          <w:rFonts w:cs="Arial"/>
          <w:lang w:val="es-ES" w:eastAsia="es-CR"/>
        </w:rPr>
      </w:pPr>
      <w:r w:rsidRPr="00D03FEC">
        <w:rPr>
          <w:rFonts w:cs="Arial"/>
          <w:lang w:val="es-ES" w:eastAsia="es-CR"/>
        </w:rPr>
        <w:t>Los activos nuevos los mismos se registran conforme lo establece la NICSP17 considerando como parte del costo el precio de adquisición (incluidos aranceles de importación e impuestos indirectos recuperables, después de deducir descuentos o rebajas), los costos atribuibles para que el bien pueda operar de la forma prevista; y los costos de desmantelamiento y retiro de elementos, así como la rehabilitación del lugar donde se asentará el bien y cualquier otra obligación en que se incurra atribuible a la adquisición del bien.</w:t>
      </w:r>
    </w:p>
    <w:p w14:paraId="42277D83" w14:textId="77777777" w:rsidR="006448AF" w:rsidRPr="00D03FEC" w:rsidRDefault="006448AF" w:rsidP="006448AF">
      <w:pPr>
        <w:spacing w:after="0" w:line="240" w:lineRule="auto"/>
        <w:rPr>
          <w:b/>
          <w:bCs/>
          <w:lang w:val="es-MX" w:eastAsia="es-CR"/>
        </w:rPr>
      </w:pPr>
    </w:p>
    <w:p w14:paraId="0006E8A1" w14:textId="77777777" w:rsidR="006448AF" w:rsidRPr="00D03FEC" w:rsidRDefault="006448AF" w:rsidP="006448AF">
      <w:pPr>
        <w:spacing w:after="0" w:line="240" w:lineRule="auto"/>
        <w:rPr>
          <w:b/>
          <w:bCs/>
          <w:lang w:val="es-MX" w:eastAsia="es-CR"/>
        </w:rPr>
      </w:pPr>
      <w:r w:rsidRPr="00D03FEC">
        <w:rPr>
          <w:b/>
          <w:bCs/>
          <w:lang w:val="es-MX" w:eastAsia="es-CR"/>
        </w:rPr>
        <w:t>DEPRECIACIÓN DE ACTIVOS DE PROPIEDAD PLANTA Y EQUIPO</w:t>
      </w:r>
    </w:p>
    <w:p w14:paraId="24171A64" w14:textId="77777777" w:rsidR="006448AF" w:rsidRPr="00D03FEC" w:rsidRDefault="006448AF" w:rsidP="006448AF">
      <w:pPr>
        <w:spacing w:after="0" w:line="240" w:lineRule="auto"/>
        <w:rPr>
          <w:b/>
          <w:bCs/>
          <w:lang w:val="es-MX" w:eastAsia="es-CR"/>
        </w:rPr>
      </w:pPr>
    </w:p>
    <w:p w14:paraId="255C471F" w14:textId="77777777" w:rsidR="006448AF" w:rsidRPr="00D03FEC" w:rsidRDefault="006448AF" w:rsidP="006448AF">
      <w:pPr>
        <w:spacing w:after="0" w:line="240" w:lineRule="auto"/>
        <w:rPr>
          <w:rFonts w:eastAsiaTheme="minorEastAsia" w:cs="Arial Narrow"/>
          <w:color w:val="000000"/>
          <w:lang w:eastAsia="es-CR"/>
        </w:rPr>
      </w:pPr>
      <w:r w:rsidRPr="00D03FEC">
        <w:rPr>
          <w:rFonts w:eastAsiaTheme="minorEastAsia" w:cs="Arial Narrow"/>
          <w:color w:val="000000"/>
          <w:lang w:eastAsia="es-CR"/>
        </w:rPr>
        <w:t>El método de depreciación utilizado es el de Línea recta y la determinación de las vidas útiles y los porcentajes de depreciación empleados son los establecidos en la directriz CN-001-2009 emitida por la DGCN. Al respecto debe indicarse que los bienes sujetos a depreciación se empiezan a depreciar a partir del mes siguiente al de su puesta en operación; asimismo, debe señalarse que no se calcula valor residual o de desecho sobre los activos, aspecto que está siendo considerado como parte del proceso de implementación.</w:t>
      </w:r>
    </w:p>
    <w:p w14:paraId="60213ABD" w14:textId="77777777" w:rsidR="006448AF" w:rsidRPr="00D03FEC" w:rsidRDefault="006448AF" w:rsidP="006448AF">
      <w:pPr>
        <w:spacing w:after="0" w:line="240" w:lineRule="auto"/>
        <w:rPr>
          <w:rFonts w:eastAsiaTheme="minorEastAsia" w:cs="Arial Narrow"/>
          <w:color w:val="000000"/>
          <w:lang w:eastAsia="es-CR"/>
        </w:rPr>
      </w:pPr>
    </w:p>
    <w:p w14:paraId="75D753A0" w14:textId="77777777" w:rsidR="006448AF" w:rsidRPr="00D03FEC" w:rsidRDefault="006448AF" w:rsidP="006448AF">
      <w:pPr>
        <w:spacing w:after="0" w:line="240" w:lineRule="auto"/>
        <w:rPr>
          <w:rFonts w:eastAsiaTheme="minorEastAsia" w:cs="Arial Narrow"/>
          <w:b/>
          <w:bCs/>
          <w:color w:val="000000"/>
          <w:lang w:eastAsia="es-CR"/>
        </w:rPr>
      </w:pPr>
      <w:r w:rsidRPr="00D03FEC">
        <w:rPr>
          <w:rFonts w:eastAsiaTheme="minorEastAsia" w:cs="Arial Narrow"/>
          <w:b/>
          <w:bCs/>
          <w:color w:val="000000"/>
          <w:lang w:eastAsia="es-CR"/>
        </w:rPr>
        <w:t>DETERIORO DE LOS ACTIVOS</w:t>
      </w:r>
    </w:p>
    <w:p w14:paraId="60B021B3" w14:textId="77777777" w:rsidR="006448AF" w:rsidRPr="00D03FEC" w:rsidRDefault="006448AF" w:rsidP="006448AF">
      <w:pPr>
        <w:spacing w:after="0" w:line="240" w:lineRule="auto"/>
        <w:rPr>
          <w:rFonts w:eastAsiaTheme="minorEastAsia" w:cs="Arial Narrow"/>
          <w:b/>
          <w:bCs/>
          <w:color w:val="000000"/>
          <w:lang w:eastAsia="es-CR"/>
        </w:rPr>
      </w:pPr>
      <w:r w:rsidRPr="00D03FEC">
        <w:rPr>
          <w:rFonts w:eastAsiaTheme="minorEastAsia" w:cs="Arial Narrow"/>
          <w:b/>
          <w:bCs/>
          <w:color w:val="000000"/>
          <w:lang w:eastAsia="es-CR"/>
        </w:rPr>
        <w:t xml:space="preserve"> </w:t>
      </w:r>
    </w:p>
    <w:p w14:paraId="6009C48A" w14:textId="77777777" w:rsidR="006448AF" w:rsidRPr="00D03FEC" w:rsidRDefault="006448AF" w:rsidP="006448AF">
      <w:pPr>
        <w:spacing w:after="120" w:line="240" w:lineRule="auto"/>
        <w:rPr>
          <w:rFonts w:eastAsiaTheme="minorEastAsia" w:cs="Arial Narrow"/>
          <w:color w:val="000000"/>
          <w:lang w:eastAsia="es-CR"/>
        </w:rPr>
      </w:pPr>
      <w:r w:rsidRPr="00D03FEC">
        <w:rPr>
          <w:rFonts w:eastAsiaTheme="minorEastAsia" w:cs="Arial Narrow"/>
          <w:color w:val="000000"/>
          <w:lang w:eastAsia="es-CR"/>
        </w:rPr>
        <w:t>La Municipalidad revisará en cada fecha de presentación de EEFF los activos para valorar si se ha presentado cualquier deterioro en algún (nos) activo (s) y en caso de que se haya presentado deterioro estimar la cantidad de servicios recuperable (para los activos que no general efectivo), en relación con los activos generadores de efectivo en cada fecha de presentación de EEFF se revisará si el valor en libros excede el valor recuperable con base en un indicador para establecer la cantidad recuperable del activo. Asimismo, en caso de activos intangibles con vida útil indefinida o que todavía no esté disponible para uso, comparará trimestralmente el valor en libros con la cantidad recuperable.</w:t>
      </w:r>
    </w:p>
    <w:p w14:paraId="71C5CD47" w14:textId="77777777" w:rsidR="006448AF" w:rsidRPr="00D03FEC" w:rsidRDefault="006448AF" w:rsidP="006448AF">
      <w:pPr>
        <w:spacing w:after="120" w:line="240" w:lineRule="auto"/>
        <w:rPr>
          <w:rFonts w:eastAsiaTheme="minorEastAsia" w:cs="Arial Narrow"/>
          <w:color w:val="000000"/>
          <w:lang w:eastAsia="es-CR"/>
        </w:rPr>
      </w:pPr>
      <w:r w:rsidRPr="00D03FEC">
        <w:rPr>
          <w:rFonts w:eastAsiaTheme="minorEastAsia" w:cs="Arial Narrow"/>
          <w:color w:val="000000"/>
          <w:lang w:eastAsia="es-CR"/>
        </w:rPr>
        <w:lastRenderedPageBreak/>
        <w:t>Se reconocerá el deterioro las pérdidas por deterioro y efectuará el ajuste a la Depreciación Acumulada del activo (s) relacionado (s) inmediatamente y afectará complementariamente el superávit / déficit del periodo, asimismo se ajustará el gasto por depreciación en periodos futuros sobre la vida útil restante. Las pérdidas por deterioro en el caso de los activos generadores de efectivo se reversarán solo cuando hayan cambiado los estimados para determinar la cantidad recuperable del activo (se incrementa el valor del activo en libros y se reversa la pérdida por deterioro), en caso de activos no generadores de efectivo.</w:t>
      </w:r>
    </w:p>
    <w:p w14:paraId="4C611341" w14:textId="77777777" w:rsidR="006448AF" w:rsidRPr="00D03FEC" w:rsidRDefault="006448AF" w:rsidP="006448AF">
      <w:pPr>
        <w:spacing w:after="120" w:line="240" w:lineRule="auto"/>
        <w:rPr>
          <w:rFonts w:eastAsiaTheme="minorEastAsia" w:cs="Arial Narrow"/>
          <w:color w:val="000000"/>
          <w:lang w:eastAsia="es-CR"/>
        </w:rPr>
      </w:pPr>
      <w:r w:rsidRPr="00D03FEC">
        <w:rPr>
          <w:rFonts w:eastAsiaTheme="minorEastAsia" w:cs="Arial Narrow"/>
          <w:color w:val="000000"/>
          <w:lang w:eastAsia="es-CR"/>
        </w:rPr>
        <w:t>La Municipalidad se encuentra en un proceso de depuración y actualización de su propiedad, planta y equipo para verificar los importes correctos de cada uno de sus activos, para determinar el deterioro de los activos, tanto generadores de efectivo como los no generadores, según las NICSP 21 y               NICSP 26, Además, como parte del proceso en mención se están desarrollando los criterios para distinguir los activos que generan efectivo de los que no generan efectivo.</w:t>
      </w:r>
    </w:p>
    <w:p w14:paraId="432C8532" w14:textId="77777777" w:rsidR="006448AF" w:rsidRPr="00D03FEC" w:rsidRDefault="006448AF" w:rsidP="006448AF">
      <w:pPr>
        <w:spacing w:after="0" w:line="240" w:lineRule="auto"/>
        <w:rPr>
          <w:rFonts w:eastAsiaTheme="minorEastAsia" w:cs="Arial Narrow"/>
          <w:color w:val="000000"/>
          <w:lang w:eastAsia="es-CR"/>
        </w:rPr>
      </w:pPr>
    </w:p>
    <w:p w14:paraId="1DFEAE2D" w14:textId="2BF12AE1" w:rsidR="006448AF" w:rsidRPr="00D03FEC" w:rsidRDefault="006448AF" w:rsidP="006448AF">
      <w:pPr>
        <w:spacing w:after="0" w:line="240" w:lineRule="auto"/>
        <w:rPr>
          <w:rFonts w:eastAsiaTheme="minorEastAsia" w:cs="Arial Narrow"/>
          <w:b/>
          <w:bCs/>
          <w:color w:val="000000"/>
          <w:lang w:eastAsia="es-CR"/>
        </w:rPr>
      </w:pPr>
      <w:r w:rsidRPr="00D03FEC">
        <w:rPr>
          <w:rFonts w:eastAsiaTheme="minorEastAsia" w:cs="Arial Narrow"/>
          <w:b/>
          <w:bCs/>
          <w:color w:val="000000"/>
          <w:lang w:eastAsia="es-CR"/>
        </w:rPr>
        <w:t xml:space="preserve">RESTRICCIONES y OTRAS SITUACIONES ESPECIALES RELACIONADAS CON ACTIVOS </w:t>
      </w:r>
      <w:r w:rsidR="00D179FD" w:rsidRPr="00D03FEC">
        <w:rPr>
          <w:rFonts w:eastAsiaTheme="minorEastAsia" w:cs="Arial Narrow"/>
          <w:b/>
          <w:bCs/>
          <w:color w:val="000000"/>
          <w:lang w:eastAsia="es-CR"/>
        </w:rPr>
        <w:t>DEL PP</w:t>
      </w:r>
      <w:r w:rsidRPr="00D03FEC">
        <w:rPr>
          <w:rFonts w:eastAsiaTheme="minorEastAsia" w:cs="Arial Narrow"/>
          <w:b/>
          <w:bCs/>
          <w:color w:val="000000"/>
          <w:lang w:eastAsia="es-CR"/>
        </w:rPr>
        <w:t xml:space="preserve"> y E</w:t>
      </w:r>
    </w:p>
    <w:p w14:paraId="4E6CB41C" w14:textId="77777777" w:rsidR="006448AF" w:rsidRPr="00D03FEC" w:rsidRDefault="006448AF" w:rsidP="006448AF">
      <w:pPr>
        <w:spacing w:after="0" w:line="240" w:lineRule="auto"/>
        <w:rPr>
          <w:rFonts w:eastAsiaTheme="minorEastAsia" w:cs="Arial Narrow"/>
          <w:b/>
          <w:bCs/>
          <w:color w:val="000000"/>
          <w:lang w:eastAsia="es-CR"/>
        </w:rPr>
      </w:pPr>
    </w:p>
    <w:p w14:paraId="3B46861E" w14:textId="149B7273" w:rsidR="006448AF" w:rsidRPr="00D03FEC" w:rsidRDefault="006448AF" w:rsidP="006448AF">
      <w:pPr>
        <w:spacing w:after="0" w:line="240" w:lineRule="auto"/>
        <w:rPr>
          <w:rFonts w:eastAsiaTheme="minorEastAsia" w:cs="Arial Narrow"/>
          <w:color w:val="000000"/>
          <w:lang w:eastAsia="es-CR"/>
        </w:rPr>
      </w:pPr>
      <w:r w:rsidRPr="00D03FEC">
        <w:rPr>
          <w:rFonts w:eastAsiaTheme="minorEastAsia" w:cs="Arial Narrow"/>
          <w:color w:val="000000"/>
          <w:lang w:eastAsia="es-CR"/>
        </w:rPr>
        <w:t xml:space="preserve">Como parte del trabajo que se está efectuando con respecto a los activos </w:t>
      </w:r>
      <w:r w:rsidR="00D179FD" w:rsidRPr="00D03FEC">
        <w:rPr>
          <w:rFonts w:eastAsiaTheme="minorEastAsia" w:cs="Arial Narrow"/>
          <w:color w:val="000000"/>
          <w:lang w:eastAsia="es-CR"/>
        </w:rPr>
        <w:t>del PP</w:t>
      </w:r>
      <w:r w:rsidRPr="00D03FEC">
        <w:rPr>
          <w:rFonts w:eastAsiaTheme="minorEastAsia" w:cs="Arial Narrow"/>
          <w:color w:val="000000"/>
          <w:lang w:eastAsia="es-CR"/>
        </w:rPr>
        <w:t xml:space="preserve"> y E, se está revisando la existencia y los importes correspondientes a las restricciones de titularidad, así como las propiedades, planta y equipo que están afectos a alguna condición especial, compromiso, para realizar las revelaciones conforme lo establecen la NICSP 17. Asimismo, se verifica si existen Propiedades de Inversión para proceder según lo establece la NICSP 16 y se revisa lo atinente a locales municipales que están en arriendo para proceder de acuerdo con lo establecido en al NICSP 13.</w:t>
      </w:r>
    </w:p>
    <w:p w14:paraId="5404171A" w14:textId="77777777" w:rsidR="006448AF" w:rsidRPr="0011777B" w:rsidRDefault="006448AF" w:rsidP="00654C21">
      <w:pPr>
        <w:rPr>
          <w:szCs w:val="24"/>
          <w:lang w:eastAsia="es-CR"/>
        </w:rPr>
      </w:pPr>
    </w:p>
    <w:p w14:paraId="55FCF9D1" w14:textId="77777777" w:rsidR="00396CB4" w:rsidRDefault="00692DC8" w:rsidP="0011777B">
      <w:pPr>
        <w:rPr>
          <w:rFonts w:asciiTheme="minorHAnsi" w:hAnsiTheme="minorHAnsi"/>
          <w:sz w:val="22"/>
        </w:rPr>
      </w:pPr>
      <w:r w:rsidRPr="0011777B">
        <w:rPr>
          <w:b/>
          <w:lang w:val="es-ES"/>
        </w:rPr>
        <w:t>Detalle:</w:t>
      </w:r>
      <w:r w:rsidR="00654C21">
        <w:rPr>
          <w:lang w:eastAsia="es-CR"/>
        </w:rPr>
        <w:fldChar w:fldCharType="begin"/>
      </w:r>
      <w:r w:rsidR="00654C21">
        <w:rPr>
          <w:lang w:eastAsia="es-CR"/>
        </w:rPr>
        <w:instrText xml:space="preserve"> LINK </w:instrText>
      </w:r>
      <w:r w:rsidR="00756467">
        <w:rPr>
          <w:lang w:eastAsia="es-CR"/>
        </w:rPr>
        <w:instrText xml:space="preserve">Excel.SheetMacroEnabled.12 "C:\\Users\\gcordero\\Downloads\\Notas diciembre 2024\\Formato_Notas_EEFF_Vinculadas_2024\\Formato_Notas_EEFF_Vinculadas_2024\\15603_T04_2024_Anexo_Estado_Notas_Contables_Vinculadas.xlsm" NOTAS_POR_CUENTA!F36C1:F38C6 </w:instrText>
      </w:r>
      <w:r w:rsidR="00654C21">
        <w:rPr>
          <w:lang w:eastAsia="es-CR"/>
        </w:rPr>
        <w:instrText xml:space="preserve">\a \f 4 \h </w:instrText>
      </w:r>
      <w:r w:rsidR="00654C21">
        <w:rPr>
          <w:lang w:eastAsia="es-CR"/>
        </w:rPr>
        <w:fldChar w:fldCharType="separate"/>
      </w:r>
    </w:p>
    <w:tbl>
      <w:tblPr>
        <w:tblW w:w="9600" w:type="dxa"/>
        <w:tblCellMar>
          <w:left w:w="70" w:type="dxa"/>
          <w:right w:w="70" w:type="dxa"/>
        </w:tblCellMar>
        <w:tblLook w:val="04A0" w:firstRow="1" w:lastRow="0" w:firstColumn="1" w:lastColumn="0" w:noHBand="0" w:noVBand="1"/>
      </w:tblPr>
      <w:tblGrid>
        <w:gridCol w:w="1232"/>
        <w:gridCol w:w="2648"/>
        <w:gridCol w:w="500"/>
        <w:gridCol w:w="2100"/>
        <w:gridCol w:w="2100"/>
        <w:gridCol w:w="1020"/>
      </w:tblGrid>
      <w:tr w:rsidR="00396CB4" w:rsidRPr="00396CB4" w14:paraId="4D0671B0" w14:textId="77777777" w:rsidTr="00396CB4">
        <w:trPr>
          <w:divId w:val="430393958"/>
          <w:trHeight w:val="330"/>
        </w:trPr>
        <w:tc>
          <w:tcPr>
            <w:tcW w:w="1232"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4D98299" w14:textId="220286E0" w:rsidR="00396CB4" w:rsidRPr="00396CB4" w:rsidRDefault="00396CB4" w:rsidP="00396CB4">
            <w:pP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2648"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774137B"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B1C1EBC"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0D41653"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36923B9"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538C6B8A"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7081EEB4" w14:textId="77777777" w:rsidTr="00396CB4">
        <w:trPr>
          <w:divId w:val="430393958"/>
          <w:trHeight w:val="330"/>
        </w:trPr>
        <w:tc>
          <w:tcPr>
            <w:tcW w:w="1232" w:type="dxa"/>
            <w:vMerge/>
            <w:tcBorders>
              <w:top w:val="single" w:sz="8" w:space="0" w:color="auto"/>
              <w:left w:val="single" w:sz="8" w:space="0" w:color="auto"/>
              <w:bottom w:val="single" w:sz="8" w:space="0" w:color="000000"/>
              <w:right w:val="single" w:sz="8" w:space="0" w:color="auto"/>
            </w:tcBorders>
            <w:vAlign w:val="center"/>
            <w:hideMark/>
          </w:tcPr>
          <w:p w14:paraId="0B443DA4"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648" w:type="dxa"/>
            <w:vMerge/>
            <w:tcBorders>
              <w:top w:val="single" w:sz="8" w:space="0" w:color="auto"/>
              <w:left w:val="single" w:sz="8" w:space="0" w:color="auto"/>
              <w:bottom w:val="single" w:sz="8" w:space="0" w:color="000000"/>
              <w:right w:val="single" w:sz="8" w:space="0" w:color="auto"/>
            </w:tcBorders>
            <w:vAlign w:val="center"/>
            <w:hideMark/>
          </w:tcPr>
          <w:p w14:paraId="53FD61BE"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3A9B9376"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7D74DCBF"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07458526"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1111BCBA"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2A9E9D3A" w14:textId="77777777" w:rsidTr="00396CB4">
        <w:trPr>
          <w:divId w:val="430393958"/>
          <w:trHeight w:val="330"/>
        </w:trPr>
        <w:tc>
          <w:tcPr>
            <w:tcW w:w="1232" w:type="dxa"/>
            <w:tcBorders>
              <w:top w:val="nil"/>
              <w:left w:val="single" w:sz="8" w:space="0" w:color="auto"/>
              <w:bottom w:val="single" w:sz="8" w:space="0" w:color="auto"/>
              <w:right w:val="single" w:sz="8" w:space="0" w:color="auto"/>
            </w:tcBorders>
            <w:shd w:val="clear" w:color="auto" w:fill="auto"/>
            <w:noWrap/>
            <w:vAlign w:val="center"/>
            <w:hideMark/>
          </w:tcPr>
          <w:p w14:paraId="43AF6601"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1.2.5.01.</w:t>
            </w:r>
          </w:p>
        </w:tc>
        <w:tc>
          <w:tcPr>
            <w:tcW w:w="2648" w:type="dxa"/>
            <w:tcBorders>
              <w:top w:val="nil"/>
              <w:left w:val="nil"/>
              <w:bottom w:val="single" w:sz="8" w:space="0" w:color="auto"/>
              <w:right w:val="single" w:sz="8" w:space="0" w:color="auto"/>
            </w:tcBorders>
            <w:shd w:val="clear" w:color="auto" w:fill="auto"/>
            <w:vAlign w:val="center"/>
            <w:hideMark/>
          </w:tcPr>
          <w:p w14:paraId="3AE8FC85"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Propiedades, planta y equipos explotados</w:t>
            </w:r>
          </w:p>
        </w:tc>
        <w:tc>
          <w:tcPr>
            <w:tcW w:w="500" w:type="dxa"/>
            <w:tcBorders>
              <w:top w:val="nil"/>
              <w:left w:val="nil"/>
              <w:bottom w:val="single" w:sz="8" w:space="0" w:color="auto"/>
              <w:right w:val="single" w:sz="8" w:space="0" w:color="auto"/>
            </w:tcBorders>
            <w:shd w:val="clear" w:color="auto" w:fill="auto"/>
            <w:noWrap/>
            <w:vAlign w:val="center"/>
            <w:hideMark/>
          </w:tcPr>
          <w:p w14:paraId="172C5116"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10</w:t>
            </w:r>
          </w:p>
        </w:tc>
        <w:tc>
          <w:tcPr>
            <w:tcW w:w="2100" w:type="dxa"/>
            <w:tcBorders>
              <w:top w:val="nil"/>
              <w:left w:val="nil"/>
              <w:bottom w:val="single" w:sz="8" w:space="0" w:color="auto"/>
              <w:right w:val="single" w:sz="8" w:space="0" w:color="auto"/>
            </w:tcBorders>
            <w:shd w:val="clear" w:color="auto" w:fill="auto"/>
            <w:noWrap/>
            <w:vAlign w:val="center"/>
            <w:hideMark/>
          </w:tcPr>
          <w:p w14:paraId="1A2F7982"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2 240 714,46 </w:t>
            </w:r>
          </w:p>
        </w:tc>
        <w:tc>
          <w:tcPr>
            <w:tcW w:w="2100" w:type="dxa"/>
            <w:tcBorders>
              <w:top w:val="nil"/>
              <w:left w:val="nil"/>
              <w:bottom w:val="single" w:sz="8" w:space="0" w:color="auto"/>
              <w:right w:val="single" w:sz="8" w:space="0" w:color="auto"/>
            </w:tcBorders>
            <w:shd w:val="clear" w:color="auto" w:fill="auto"/>
            <w:noWrap/>
            <w:vAlign w:val="center"/>
            <w:hideMark/>
          </w:tcPr>
          <w:p w14:paraId="2A5532C4"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2 155 163,99 </w:t>
            </w:r>
          </w:p>
        </w:tc>
        <w:tc>
          <w:tcPr>
            <w:tcW w:w="1020" w:type="dxa"/>
            <w:tcBorders>
              <w:top w:val="nil"/>
              <w:left w:val="nil"/>
              <w:bottom w:val="single" w:sz="8" w:space="0" w:color="auto"/>
              <w:right w:val="single" w:sz="8" w:space="0" w:color="auto"/>
            </w:tcBorders>
            <w:shd w:val="clear" w:color="auto" w:fill="auto"/>
            <w:noWrap/>
            <w:vAlign w:val="center"/>
            <w:hideMark/>
          </w:tcPr>
          <w:p w14:paraId="21894812"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3,97%</w:t>
            </w:r>
          </w:p>
        </w:tc>
      </w:tr>
    </w:tbl>
    <w:p w14:paraId="7B7BF9F8" w14:textId="67968434" w:rsidR="00692DC8" w:rsidRPr="00654C21" w:rsidRDefault="00654C21" w:rsidP="0011777B">
      <w:pPr>
        <w:rPr>
          <w:b/>
          <w:sz w:val="20"/>
          <w:szCs w:val="20"/>
          <w:lang w:eastAsia="es-CR"/>
        </w:rPr>
      </w:pPr>
      <w:r>
        <w:rPr>
          <w:b/>
          <w:sz w:val="20"/>
          <w:szCs w:val="20"/>
          <w:lang w:eastAsia="es-CR"/>
        </w:rPr>
        <w:fldChar w:fldCharType="end"/>
      </w:r>
    </w:p>
    <w:p w14:paraId="2F34E9BE" w14:textId="06EC0CA3" w:rsidR="00692DC8" w:rsidRPr="0011777B" w:rsidRDefault="00692DC8">
      <w:pPr>
        <w:pStyle w:val="Prrafodelista"/>
        <w:numPr>
          <w:ilvl w:val="0"/>
          <w:numId w:val="13"/>
        </w:numPr>
        <w:rPr>
          <w:lang w:val="es-ES"/>
        </w:rPr>
      </w:pPr>
      <w:r w:rsidRPr="0011777B">
        <w:rPr>
          <w:lang w:val="es-ES"/>
        </w:rPr>
        <w:t>ACTIVOS EN POSESION DE TERCEROS Y NO CONCESIONADOS</w:t>
      </w:r>
    </w:p>
    <w:tbl>
      <w:tblPr>
        <w:tblW w:w="9400" w:type="dxa"/>
        <w:tblInd w:w="-10" w:type="dxa"/>
        <w:tblCellMar>
          <w:left w:w="70" w:type="dxa"/>
          <w:right w:w="70" w:type="dxa"/>
        </w:tblCellMar>
        <w:tblLook w:val="04A0" w:firstRow="1" w:lastRow="0" w:firstColumn="1" w:lastColumn="0" w:noHBand="0" w:noVBand="1"/>
      </w:tblPr>
      <w:tblGrid>
        <w:gridCol w:w="1240"/>
        <w:gridCol w:w="2280"/>
        <w:gridCol w:w="1240"/>
        <w:gridCol w:w="1240"/>
        <w:gridCol w:w="1560"/>
        <w:gridCol w:w="1840"/>
      </w:tblGrid>
      <w:tr w:rsidR="00654C21" w:rsidRPr="00654C21" w14:paraId="02D34FB8" w14:textId="77777777" w:rsidTr="00654C21">
        <w:trPr>
          <w:trHeight w:val="324"/>
        </w:trPr>
        <w:tc>
          <w:tcPr>
            <w:tcW w:w="1240" w:type="dxa"/>
            <w:tcBorders>
              <w:top w:val="single" w:sz="8" w:space="0" w:color="auto"/>
              <w:left w:val="single" w:sz="8" w:space="0" w:color="auto"/>
              <w:bottom w:val="single" w:sz="8" w:space="0" w:color="auto"/>
              <w:right w:val="single" w:sz="8" w:space="0" w:color="auto"/>
            </w:tcBorders>
            <w:shd w:val="clear" w:color="000000" w:fill="365F91"/>
            <w:noWrap/>
            <w:vAlign w:val="center"/>
            <w:hideMark/>
          </w:tcPr>
          <w:p w14:paraId="610B08E6" w14:textId="77777777" w:rsidR="00654C21" w:rsidRPr="00654C21" w:rsidRDefault="00654C21" w:rsidP="00654C21">
            <w:pPr>
              <w:spacing w:after="0" w:line="240" w:lineRule="auto"/>
              <w:jc w:val="center"/>
              <w:rPr>
                <w:rFonts w:eastAsia="Times New Roman" w:cs="Calibri"/>
                <w:color w:val="FFFFFF"/>
                <w:szCs w:val="24"/>
                <w:lang w:eastAsia="es-CR"/>
              </w:rPr>
            </w:pPr>
            <w:r w:rsidRPr="00654C21">
              <w:rPr>
                <w:rFonts w:eastAsia="Times New Roman" w:cs="Calibri"/>
                <w:color w:val="FFFFFF"/>
                <w:szCs w:val="24"/>
                <w:lang w:eastAsia="es-CR"/>
              </w:rPr>
              <w:t>Activo</w:t>
            </w:r>
          </w:p>
        </w:tc>
        <w:tc>
          <w:tcPr>
            <w:tcW w:w="2280" w:type="dxa"/>
            <w:tcBorders>
              <w:top w:val="single" w:sz="8" w:space="0" w:color="auto"/>
              <w:left w:val="nil"/>
              <w:bottom w:val="single" w:sz="8" w:space="0" w:color="auto"/>
              <w:right w:val="single" w:sz="8" w:space="0" w:color="auto"/>
            </w:tcBorders>
            <w:shd w:val="clear" w:color="000000" w:fill="365F91"/>
            <w:noWrap/>
            <w:vAlign w:val="center"/>
            <w:hideMark/>
          </w:tcPr>
          <w:p w14:paraId="7F615A49" w14:textId="77777777" w:rsidR="00654C21" w:rsidRPr="00654C21" w:rsidRDefault="00654C21" w:rsidP="00654C21">
            <w:pPr>
              <w:spacing w:after="0" w:line="240" w:lineRule="auto"/>
              <w:jc w:val="center"/>
              <w:rPr>
                <w:rFonts w:eastAsia="Times New Roman" w:cs="Calibri"/>
                <w:color w:val="FFFFFF"/>
                <w:szCs w:val="24"/>
                <w:lang w:eastAsia="es-CR"/>
              </w:rPr>
            </w:pPr>
            <w:r w:rsidRPr="00654C21">
              <w:rPr>
                <w:rFonts w:eastAsia="Times New Roman" w:cs="Calibri"/>
                <w:color w:val="FFFFFF"/>
                <w:szCs w:val="24"/>
                <w:lang w:eastAsia="es-CR"/>
              </w:rPr>
              <w:t>Placa / Identificación</w:t>
            </w:r>
          </w:p>
        </w:tc>
        <w:tc>
          <w:tcPr>
            <w:tcW w:w="1240" w:type="dxa"/>
            <w:tcBorders>
              <w:top w:val="single" w:sz="8" w:space="0" w:color="auto"/>
              <w:left w:val="nil"/>
              <w:bottom w:val="single" w:sz="8" w:space="0" w:color="auto"/>
              <w:right w:val="single" w:sz="8" w:space="0" w:color="auto"/>
            </w:tcBorders>
            <w:shd w:val="clear" w:color="000000" w:fill="365F91"/>
            <w:noWrap/>
            <w:vAlign w:val="center"/>
            <w:hideMark/>
          </w:tcPr>
          <w:p w14:paraId="54D19097" w14:textId="77777777" w:rsidR="00654C21" w:rsidRPr="00654C21" w:rsidRDefault="00654C21" w:rsidP="00654C21">
            <w:pPr>
              <w:spacing w:after="0" w:line="240" w:lineRule="auto"/>
              <w:jc w:val="center"/>
              <w:rPr>
                <w:rFonts w:eastAsia="Times New Roman" w:cs="Calibri"/>
                <w:color w:val="FFFFFF"/>
                <w:szCs w:val="24"/>
                <w:lang w:eastAsia="es-CR"/>
              </w:rPr>
            </w:pPr>
            <w:r w:rsidRPr="00654C21">
              <w:rPr>
                <w:rFonts w:eastAsia="Times New Roman" w:cs="Calibri"/>
                <w:color w:val="FFFFFF"/>
                <w:szCs w:val="24"/>
                <w:lang w:eastAsia="es-CR"/>
              </w:rPr>
              <w:t>Convenio</w:t>
            </w:r>
          </w:p>
        </w:tc>
        <w:tc>
          <w:tcPr>
            <w:tcW w:w="1240" w:type="dxa"/>
            <w:tcBorders>
              <w:top w:val="single" w:sz="8" w:space="0" w:color="auto"/>
              <w:left w:val="nil"/>
              <w:bottom w:val="single" w:sz="8" w:space="0" w:color="auto"/>
              <w:right w:val="single" w:sz="8" w:space="0" w:color="auto"/>
            </w:tcBorders>
            <w:shd w:val="clear" w:color="000000" w:fill="365F91"/>
            <w:noWrap/>
            <w:vAlign w:val="center"/>
            <w:hideMark/>
          </w:tcPr>
          <w:p w14:paraId="06A4C441" w14:textId="77777777" w:rsidR="00654C21" w:rsidRPr="00654C21" w:rsidRDefault="00654C21" w:rsidP="00654C21">
            <w:pPr>
              <w:spacing w:after="0" w:line="240" w:lineRule="auto"/>
              <w:jc w:val="center"/>
              <w:rPr>
                <w:rFonts w:eastAsia="Times New Roman" w:cs="Calibri"/>
                <w:color w:val="FFFFFF"/>
                <w:szCs w:val="24"/>
                <w:lang w:eastAsia="es-CR"/>
              </w:rPr>
            </w:pPr>
            <w:r w:rsidRPr="00654C21">
              <w:rPr>
                <w:rFonts w:eastAsia="Times New Roman" w:cs="Calibri"/>
                <w:color w:val="FFFFFF"/>
                <w:szCs w:val="24"/>
                <w:lang w:eastAsia="es-CR"/>
              </w:rPr>
              <w:t>Plazo</w:t>
            </w:r>
          </w:p>
        </w:tc>
        <w:tc>
          <w:tcPr>
            <w:tcW w:w="1560" w:type="dxa"/>
            <w:tcBorders>
              <w:top w:val="single" w:sz="8" w:space="0" w:color="auto"/>
              <w:left w:val="nil"/>
              <w:bottom w:val="single" w:sz="8" w:space="0" w:color="auto"/>
              <w:right w:val="single" w:sz="8" w:space="0" w:color="auto"/>
            </w:tcBorders>
            <w:shd w:val="clear" w:color="000000" w:fill="365F91"/>
            <w:noWrap/>
            <w:vAlign w:val="center"/>
            <w:hideMark/>
          </w:tcPr>
          <w:p w14:paraId="7A09AB74" w14:textId="77777777" w:rsidR="00654C21" w:rsidRPr="00654C21" w:rsidRDefault="00654C21" w:rsidP="00654C21">
            <w:pPr>
              <w:spacing w:after="0" w:line="240" w:lineRule="auto"/>
              <w:jc w:val="center"/>
              <w:rPr>
                <w:rFonts w:eastAsia="Times New Roman" w:cs="Calibri"/>
                <w:color w:val="FFFFFF"/>
                <w:szCs w:val="24"/>
                <w:lang w:eastAsia="es-CR"/>
              </w:rPr>
            </w:pPr>
            <w:r w:rsidRPr="00654C21">
              <w:rPr>
                <w:rFonts w:eastAsia="Times New Roman" w:cs="Calibri"/>
                <w:color w:val="FFFFFF"/>
                <w:szCs w:val="24"/>
                <w:lang w:eastAsia="es-CR"/>
              </w:rPr>
              <w:t>Valor En Libros</w:t>
            </w:r>
          </w:p>
        </w:tc>
        <w:tc>
          <w:tcPr>
            <w:tcW w:w="1840" w:type="dxa"/>
            <w:tcBorders>
              <w:top w:val="single" w:sz="8" w:space="0" w:color="auto"/>
              <w:left w:val="nil"/>
              <w:bottom w:val="single" w:sz="8" w:space="0" w:color="auto"/>
              <w:right w:val="single" w:sz="8" w:space="0" w:color="auto"/>
            </w:tcBorders>
            <w:shd w:val="clear" w:color="000000" w:fill="365F91"/>
            <w:noWrap/>
            <w:vAlign w:val="center"/>
            <w:hideMark/>
          </w:tcPr>
          <w:p w14:paraId="60038A08" w14:textId="77777777" w:rsidR="00654C21" w:rsidRPr="00654C21" w:rsidRDefault="00654C21" w:rsidP="00654C21">
            <w:pPr>
              <w:spacing w:after="0" w:line="240" w:lineRule="auto"/>
              <w:jc w:val="center"/>
              <w:rPr>
                <w:rFonts w:eastAsia="Times New Roman" w:cs="Calibri"/>
                <w:color w:val="FFFFFF"/>
                <w:szCs w:val="24"/>
                <w:lang w:eastAsia="es-CR"/>
              </w:rPr>
            </w:pPr>
            <w:r w:rsidRPr="00654C21">
              <w:rPr>
                <w:rFonts w:eastAsia="Times New Roman" w:cs="Calibri"/>
                <w:color w:val="FFFFFF"/>
                <w:szCs w:val="24"/>
                <w:lang w:eastAsia="es-CR"/>
              </w:rPr>
              <w:t>Nombre Beneficiario</w:t>
            </w:r>
          </w:p>
        </w:tc>
      </w:tr>
      <w:tr w:rsidR="00654C21" w:rsidRPr="00654C21" w14:paraId="2D065065" w14:textId="77777777" w:rsidTr="00654C21">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7FA5EE27" w14:textId="77777777" w:rsidR="00654C21" w:rsidRPr="00654C21" w:rsidRDefault="00654C21" w:rsidP="00654C21">
            <w:pPr>
              <w:spacing w:after="0" w:line="240" w:lineRule="auto"/>
              <w:rPr>
                <w:rFonts w:eastAsia="Times New Roman" w:cs="Calibri"/>
                <w:color w:val="000000"/>
                <w:sz w:val="20"/>
                <w:szCs w:val="20"/>
                <w:lang w:eastAsia="es-CR"/>
              </w:rPr>
            </w:pPr>
            <w:r w:rsidRPr="00654C21">
              <w:rPr>
                <w:rFonts w:eastAsia="Times New Roman" w:cs="Calibri"/>
                <w:color w:val="000000"/>
                <w:sz w:val="20"/>
                <w:szCs w:val="20"/>
                <w:lang w:eastAsia="es-CR"/>
              </w:rPr>
              <w:t> </w:t>
            </w:r>
          </w:p>
        </w:tc>
        <w:tc>
          <w:tcPr>
            <w:tcW w:w="2280" w:type="dxa"/>
            <w:tcBorders>
              <w:top w:val="nil"/>
              <w:left w:val="nil"/>
              <w:bottom w:val="single" w:sz="8" w:space="0" w:color="auto"/>
              <w:right w:val="single" w:sz="8" w:space="0" w:color="auto"/>
            </w:tcBorders>
            <w:shd w:val="clear" w:color="auto" w:fill="auto"/>
            <w:noWrap/>
            <w:vAlign w:val="center"/>
            <w:hideMark/>
          </w:tcPr>
          <w:p w14:paraId="1BAE43BC" w14:textId="77777777" w:rsidR="00654C21" w:rsidRPr="00654C21" w:rsidRDefault="00654C21" w:rsidP="00654C21">
            <w:pPr>
              <w:spacing w:after="0" w:line="240" w:lineRule="auto"/>
              <w:rPr>
                <w:rFonts w:eastAsia="Times New Roman" w:cs="Calibri"/>
                <w:color w:val="000000"/>
                <w:sz w:val="20"/>
                <w:szCs w:val="20"/>
                <w:lang w:eastAsia="es-CR"/>
              </w:rPr>
            </w:pPr>
            <w:r w:rsidRPr="00654C21">
              <w:rPr>
                <w:rFonts w:eastAsia="Times New Roman" w:cs="Calibri"/>
                <w:color w:val="000000"/>
                <w:sz w:val="20"/>
                <w:szCs w:val="20"/>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07694D8E" w14:textId="77777777" w:rsidR="00654C21" w:rsidRPr="00654C21" w:rsidRDefault="00654C21" w:rsidP="00654C21">
            <w:pPr>
              <w:spacing w:after="0" w:line="240" w:lineRule="auto"/>
              <w:rPr>
                <w:rFonts w:eastAsia="Times New Roman" w:cs="Calibri"/>
                <w:color w:val="000000"/>
                <w:sz w:val="20"/>
                <w:szCs w:val="20"/>
                <w:lang w:eastAsia="es-CR"/>
              </w:rPr>
            </w:pPr>
            <w:r w:rsidRPr="00654C21">
              <w:rPr>
                <w:rFonts w:eastAsia="Times New Roman" w:cs="Calibri"/>
                <w:color w:val="000000"/>
                <w:sz w:val="20"/>
                <w:szCs w:val="20"/>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6DD0F449" w14:textId="77777777" w:rsidR="00654C21" w:rsidRPr="00654C21" w:rsidRDefault="00654C21" w:rsidP="00654C21">
            <w:pPr>
              <w:spacing w:after="0" w:line="240" w:lineRule="auto"/>
              <w:rPr>
                <w:rFonts w:eastAsia="Times New Roman" w:cs="Calibri"/>
                <w:color w:val="000000"/>
                <w:sz w:val="20"/>
                <w:szCs w:val="20"/>
                <w:lang w:eastAsia="es-CR"/>
              </w:rPr>
            </w:pPr>
            <w:r w:rsidRPr="00654C21">
              <w:rPr>
                <w:rFonts w:eastAsia="Times New Roman" w:cs="Calibri"/>
                <w:color w:val="000000"/>
                <w:sz w:val="20"/>
                <w:szCs w:val="20"/>
                <w:lang w:eastAsia="es-CR"/>
              </w:rPr>
              <w:t> </w:t>
            </w:r>
          </w:p>
        </w:tc>
        <w:tc>
          <w:tcPr>
            <w:tcW w:w="1560" w:type="dxa"/>
            <w:tcBorders>
              <w:top w:val="nil"/>
              <w:left w:val="nil"/>
              <w:bottom w:val="single" w:sz="8" w:space="0" w:color="auto"/>
              <w:right w:val="single" w:sz="8" w:space="0" w:color="auto"/>
            </w:tcBorders>
            <w:shd w:val="clear" w:color="auto" w:fill="auto"/>
            <w:noWrap/>
            <w:vAlign w:val="center"/>
            <w:hideMark/>
          </w:tcPr>
          <w:p w14:paraId="04387B1A" w14:textId="77777777" w:rsidR="00654C21" w:rsidRPr="00654C21" w:rsidRDefault="00654C21" w:rsidP="00654C21">
            <w:pPr>
              <w:spacing w:after="0" w:line="240" w:lineRule="auto"/>
              <w:rPr>
                <w:rFonts w:eastAsia="Times New Roman" w:cs="Calibri"/>
                <w:color w:val="000000"/>
                <w:sz w:val="20"/>
                <w:szCs w:val="20"/>
                <w:lang w:eastAsia="es-CR"/>
              </w:rPr>
            </w:pPr>
            <w:r w:rsidRPr="00654C21">
              <w:rPr>
                <w:rFonts w:eastAsia="Times New Roman" w:cs="Calibri"/>
                <w:color w:val="000000"/>
                <w:sz w:val="20"/>
                <w:szCs w:val="20"/>
                <w:lang w:eastAsia="es-CR"/>
              </w:rPr>
              <w:t> </w:t>
            </w:r>
          </w:p>
        </w:tc>
        <w:tc>
          <w:tcPr>
            <w:tcW w:w="1840" w:type="dxa"/>
            <w:tcBorders>
              <w:top w:val="nil"/>
              <w:left w:val="nil"/>
              <w:bottom w:val="single" w:sz="8" w:space="0" w:color="auto"/>
              <w:right w:val="single" w:sz="8" w:space="0" w:color="auto"/>
            </w:tcBorders>
            <w:shd w:val="clear" w:color="auto" w:fill="auto"/>
            <w:noWrap/>
            <w:vAlign w:val="center"/>
            <w:hideMark/>
          </w:tcPr>
          <w:p w14:paraId="05D73B30" w14:textId="77777777" w:rsidR="00654C21" w:rsidRPr="00654C21" w:rsidRDefault="00654C21" w:rsidP="00654C21">
            <w:pPr>
              <w:spacing w:after="0" w:line="240" w:lineRule="auto"/>
              <w:rPr>
                <w:rFonts w:eastAsia="Times New Roman" w:cs="Calibri"/>
                <w:color w:val="000000"/>
                <w:sz w:val="20"/>
                <w:szCs w:val="20"/>
                <w:lang w:eastAsia="es-CR"/>
              </w:rPr>
            </w:pPr>
            <w:r w:rsidRPr="00654C21">
              <w:rPr>
                <w:rFonts w:eastAsia="Times New Roman" w:cs="Calibri"/>
                <w:color w:val="000000"/>
                <w:sz w:val="20"/>
                <w:szCs w:val="20"/>
                <w:lang w:eastAsia="es-CR"/>
              </w:rPr>
              <w:t> </w:t>
            </w:r>
          </w:p>
        </w:tc>
      </w:tr>
      <w:tr w:rsidR="00654C21" w:rsidRPr="00654C21" w14:paraId="26798638" w14:textId="77777777" w:rsidTr="00654C21">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6646EFC2" w14:textId="77777777" w:rsidR="00654C21" w:rsidRPr="00654C21" w:rsidRDefault="00654C21" w:rsidP="00654C21">
            <w:pPr>
              <w:spacing w:after="0" w:line="240" w:lineRule="auto"/>
              <w:rPr>
                <w:rFonts w:eastAsia="Times New Roman" w:cs="Calibri"/>
                <w:color w:val="000000"/>
                <w:sz w:val="20"/>
                <w:szCs w:val="20"/>
                <w:lang w:eastAsia="es-CR"/>
              </w:rPr>
            </w:pPr>
            <w:r w:rsidRPr="00654C21">
              <w:rPr>
                <w:rFonts w:eastAsia="Times New Roman" w:cs="Calibri"/>
                <w:color w:val="000000"/>
                <w:sz w:val="20"/>
                <w:szCs w:val="20"/>
                <w:lang w:eastAsia="es-CR"/>
              </w:rPr>
              <w:t> </w:t>
            </w:r>
          </w:p>
        </w:tc>
        <w:tc>
          <w:tcPr>
            <w:tcW w:w="2280" w:type="dxa"/>
            <w:tcBorders>
              <w:top w:val="nil"/>
              <w:left w:val="nil"/>
              <w:bottom w:val="single" w:sz="8" w:space="0" w:color="auto"/>
              <w:right w:val="single" w:sz="8" w:space="0" w:color="auto"/>
            </w:tcBorders>
            <w:shd w:val="clear" w:color="auto" w:fill="auto"/>
            <w:noWrap/>
            <w:vAlign w:val="center"/>
            <w:hideMark/>
          </w:tcPr>
          <w:p w14:paraId="4A68C0BD" w14:textId="77777777" w:rsidR="00654C21" w:rsidRPr="00654C21" w:rsidRDefault="00654C21" w:rsidP="00654C21">
            <w:pPr>
              <w:spacing w:after="0" w:line="240" w:lineRule="auto"/>
              <w:rPr>
                <w:rFonts w:eastAsia="Times New Roman" w:cs="Calibri"/>
                <w:color w:val="000000"/>
                <w:sz w:val="20"/>
                <w:szCs w:val="20"/>
                <w:lang w:eastAsia="es-CR"/>
              </w:rPr>
            </w:pPr>
            <w:r w:rsidRPr="00654C21">
              <w:rPr>
                <w:rFonts w:eastAsia="Times New Roman" w:cs="Calibri"/>
                <w:color w:val="000000"/>
                <w:sz w:val="20"/>
                <w:szCs w:val="20"/>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2FB6F5A4" w14:textId="77777777" w:rsidR="00654C21" w:rsidRPr="00654C21" w:rsidRDefault="00654C21" w:rsidP="00654C21">
            <w:pPr>
              <w:spacing w:after="0" w:line="240" w:lineRule="auto"/>
              <w:rPr>
                <w:rFonts w:eastAsia="Times New Roman" w:cs="Calibri"/>
                <w:color w:val="000000"/>
                <w:sz w:val="20"/>
                <w:szCs w:val="20"/>
                <w:lang w:eastAsia="es-CR"/>
              </w:rPr>
            </w:pPr>
            <w:r w:rsidRPr="00654C21">
              <w:rPr>
                <w:rFonts w:eastAsia="Times New Roman" w:cs="Calibri"/>
                <w:color w:val="000000"/>
                <w:sz w:val="20"/>
                <w:szCs w:val="20"/>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18FA6C66" w14:textId="77777777" w:rsidR="00654C21" w:rsidRPr="00654C21" w:rsidRDefault="00654C21" w:rsidP="00654C21">
            <w:pPr>
              <w:spacing w:after="0" w:line="240" w:lineRule="auto"/>
              <w:rPr>
                <w:rFonts w:eastAsia="Times New Roman" w:cs="Calibri"/>
                <w:color w:val="000000"/>
                <w:sz w:val="20"/>
                <w:szCs w:val="20"/>
                <w:lang w:eastAsia="es-CR"/>
              </w:rPr>
            </w:pPr>
            <w:r w:rsidRPr="00654C21">
              <w:rPr>
                <w:rFonts w:eastAsia="Times New Roman" w:cs="Calibri"/>
                <w:color w:val="000000"/>
                <w:sz w:val="20"/>
                <w:szCs w:val="20"/>
                <w:lang w:eastAsia="es-CR"/>
              </w:rPr>
              <w:t> </w:t>
            </w:r>
          </w:p>
        </w:tc>
        <w:tc>
          <w:tcPr>
            <w:tcW w:w="1560" w:type="dxa"/>
            <w:tcBorders>
              <w:top w:val="nil"/>
              <w:left w:val="nil"/>
              <w:bottom w:val="single" w:sz="8" w:space="0" w:color="auto"/>
              <w:right w:val="single" w:sz="8" w:space="0" w:color="auto"/>
            </w:tcBorders>
            <w:shd w:val="clear" w:color="auto" w:fill="auto"/>
            <w:noWrap/>
            <w:vAlign w:val="center"/>
            <w:hideMark/>
          </w:tcPr>
          <w:p w14:paraId="5A1D3409" w14:textId="77777777" w:rsidR="00654C21" w:rsidRPr="00654C21" w:rsidRDefault="00654C21" w:rsidP="00654C21">
            <w:pPr>
              <w:spacing w:after="0" w:line="240" w:lineRule="auto"/>
              <w:rPr>
                <w:rFonts w:eastAsia="Times New Roman" w:cs="Calibri"/>
                <w:color w:val="000000"/>
                <w:sz w:val="20"/>
                <w:szCs w:val="20"/>
                <w:lang w:eastAsia="es-CR"/>
              </w:rPr>
            </w:pPr>
            <w:r w:rsidRPr="00654C21">
              <w:rPr>
                <w:rFonts w:eastAsia="Times New Roman" w:cs="Calibri"/>
                <w:color w:val="000000"/>
                <w:sz w:val="20"/>
                <w:szCs w:val="20"/>
                <w:lang w:eastAsia="es-CR"/>
              </w:rPr>
              <w:t> </w:t>
            </w:r>
          </w:p>
        </w:tc>
        <w:tc>
          <w:tcPr>
            <w:tcW w:w="1840" w:type="dxa"/>
            <w:tcBorders>
              <w:top w:val="nil"/>
              <w:left w:val="nil"/>
              <w:bottom w:val="single" w:sz="8" w:space="0" w:color="auto"/>
              <w:right w:val="single" w:sz="8" w:space="0" w:color="auto"/>
            </w:tcBorders>
            <w:shd w:val="clear" w:color="auto" w:fill="auto"/>
            <w:noWrap/>
            <w:vAlign w:val="center"/>
            <w:hideMark/>
          </w:tcPr>
          <w:p w14:paraId="2D6212D7" w14:textId="77777777" w:rsidR="00654C21" w:rsidRPr="00654C21" w:rsidRDefault="00654C21" w:rsidP="00654C21">
            <w:pPr>
              <w:spacing w:after="0" w:line="240" w:lineRule="auto"/>
              <w:rPr>
                <w:rFonts w:eastAsia="Times New Roman" w:cs="Calibri"/>
                <w:color w:val="000000"/>
                <w:sz w:val="20"/>
                <w:szCs w:val="20"/>
                <w:lang w:eastAsia="es-CR"/>
              </w:rPr>
            </w:pPr>
            <w:r w:rsidRPr="00654C21">
              <w:rPr>
                <w:rFonts w:eastAsia="Times New Roman" w:cs="Calibri"/>
                <w:color w:val="000000"/>
                <w:sz w:val="20"/>
                <w:szCs w:val="20"/>
                <w:lang w:eastAsia="es-CR"/>
              </w:rPr>
              <w:t> </w:t>
            </w:r>
          </w:p>
        </w:tc>
      </w:tr>
      <w:tr w:rsidR="00654C21" w:rsidRPr="00654C21" w14:paraId="42E062F7" w14:textId="77777777" w:rsidTr="00654C21">
        <w:trPr>
          <w:trHeight w:val="324"/>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1F1ECA18" w14:textId="77777777" w:rsidR="00654C21" w:rsidRPr="00654C21" w:rsidRDefault="00654C21" w:rsidP="00654C21">
            <w:pPr>
              <w:spacing w:after="0" w:line="240" w:lineRule="auto"/>
              <w:jc w:val="center"/>
              <w:rPr>
                <w:rFonts w:eastAsia="Times New Roman" w:cs="Calibri"/>
                <w:color w:val="000000"/>
                <w:szCs w:val="24"/>
                <w:lang w:eastAsia="es-CR"/>
              </w:rPr>
            </w:pPr>
            <w:r w:rsidRPr="00654C21">
              <w:rPr>
                <w:rFonts w:eastAsia="Times New Roman" w:cs="Calibri"/>
                <w:color w:val="000000"/>
                <w:szCs w:val="24"/>
                <w:lang w:eastAsia="es-CR"/>
              </w:rPr>
              <w:t> </w:t>
            </w:r>
          </w:p>
        </w:tc>
        <w:tc>
          <w:tcPr>
            <w:tcW w:w="2280" w:type="dxa"/>
            <w:tcBorders>
              <w:top w:val="nil"/>
              <w:left w:val="nil"/>
              <w:bottom w:val="single" w:sz="8" w:space="0" w:color="auto"/>
              <w:right w:val="single" w:sz="8" w:space="0" w:color="auto"/>
            </w:tcBorders>
            <w:shd w:val="clear" w:color="auto" w:fill="auto"/>
            <w:noWrap/>
            <w:vAlign w:val="center"/>
            <w:hideMark/>
          </w:tcPr>
          <w:p w14:paraId="7B3BB396" w14:textId="77777777" w:rsidR="00654C21" w:rsidRPr="00654C21" w:rsidRDefault="00654C21" w:rsidP="00654C21">
            <w:pPr>
              <w:spacing w:after="0" w:line="240" w:lineRule="auto"/>
              <w:jc w:val="center"/>
              <w:rPr>
                <w:rFonts w:eastAsia="Times New Roman" w:cs="Calibri"/>
                <w:color w:val="000000"/>
                <w:szCs w:val="24"/>
                <w:lang w:eastAsia="es-CR"/>
              </w:rPr>
            </w:pPr>
            <w:r w:rsidRPr="00654C21">
              <w:rPr>
                <w:rFonts w:eastAsia="Times New Roman" w:cs="Calibri"/>
                <w:color w:val="000000"/>
                <w:szCs w:val="24"/>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3C657C86" w14:textId="77777777" w:rsidR="00654C21" w:rsidRPr="00654C21" w:rsidRDefault="00654C21" w:rsidP="00654C21">
            <w:pPr>
              <w:spacing w:after="0" w:line="240" w:lineRule="auto"/>
              <w:jc w:val="center"/>
              <w:rPr>
                <w:rFonts w:eastAsia="Times New Roman" w:cs="Calibri"/>
                <w:color w:val="000000"/>
                <w:szCs w:val="24"/>
                <w:lang w:eastAsia="es-CR"/>
              </w:rPr>
            </w:pPr>
            <w:r w:rsidRPr="00654C21">
              <w:rPr>
                <w:rFonts w:eastAsia="Times New Roman" w:cs="Calibri"/>
                <w:color w:val="000000"/>
                <w:szCs w:val="24"/>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1C670469" w14:textId="77777777" w:rsidR="00654C21" w:rsidRPr="00654C21" w:rsidRDefault="00654C21" w:rsidP="00654C21">
            <w:pPr>
              <w:spacing w:after="0" w:line="240" w:lineRule="auto"/>
              <w:jc w:val="center"/>
              <w:rPr>
                <w:rFonts w:eastAsia="Times New Roman" w:cs="Calibri"/>
                <w:color w:val="000000"/>
                <w:szCs w:val="24"/>
                <w:lang w:eastAsia="es-CR"/>
              </w:rPr>
            </w:pPr>
            <w:r w:rsidRPr="00654C21">
              <w:rPr>
                <w:rFonts w:eastAsia="Times New Roman" w:cs="Calibri"/>
                <w:color w:val="000000"/>
                <w:szCs w:val="24"/>
                <w:lang w:eastAsia="es-CR"/>
              </w:rPr>
              <w:t> </w:t>
            </w:r>
          </w:p>
        </w:tc>
        <w:tc>
          <w:tcPr>
            <w:tcW w:w="1560" w:type="dxa"/>
            <w:tcBorders>
              <w:top w:val="nil"/>
              <w:left w:val="nil"/>
              <w:bottom w:val="single" w:sz="8" w:space="0" w:color="auto"/>
              <w:right w:val="single" w:sz="8" w:space="0" w:color="auto"/>
            </w:tcBorders>
            <w:shd w:val="clear" w:color="auto" w:fill="auto"/>
            <w:noWrap/>
            <w:vAlign w:val="center"/>
            <w:hideMark/>
          </w:tcPr>
          <w:p w14:paraId="372100EB" w14:textId="77777777" w:rsidR="00654C21" w:rsidRPr="00654C21" w:rsidRDefault="00654C21" w:rsidP="00654C21">
            <w:pPr>
              <w:spacing w:after="0" w:line="240" w:lineRule="auto"/>
              <w:jc w:val="center"/>
              <w:rPr>
                <w:rFonts w:eastAsia="Times New Roman" w:cs="Calibri"/>
                <w:color w:val="000000"/>
                <w:szCs w:val="24"/>
                <w:lang w:eastAsia="es-CR"/>
              </w:rPr>
            </w:pPr>
            <w:r w:rsidRPr="00654C21">
              <w:rPr>
                <w:rFonts w:eastAsia="Times New Roman" w:cs="Calibri"/>
                <w:color w:val="000000"/>
                <w:szCs w:val="24"/>
                <w:lang w:eastAsia="es-CR"/>
              </w:rPr>
              <w:t> </w:t>
            </w:r>
          </w:p>
        </w:tc>
        <w:tc>
          <w:tcPr>
            <w:tcW w:w="1840" w:type="dxa"/>
            <w:tcBorders>
              <w:top w:val="nil"/>
              <w:left w:val="nil"/>
              <w:bottom w:val="single" w:sz="8" w:space="0" w:color="auto"/>
              <w:right w:val="single" w:sz="8" w:space="0" w:color="auto"/>
            </w:tcBorders>
            <w:shd w:val="clear" w:color="auto" w:fill="auto"/>
            <w:noWrap/>
            <w:vAlign w:val="center"/>
            <w:hideMark/>
          </w:tcPr>
          <w:p w14:paraId="082D09DF" w14:textId="77777777" w:rsidR="00654C21" w:rsidRPr="00654C21" w:rsidRDefault="00654C21" w:rsidP="00654C21">
            <w:pPr>
              <w:spacing w:after="0" w:line="240" w:lineRule="auto"/>
              <w:jc w:val="center"/>
              <w:rPr>
                <w:rFonts w:eastAsia="Times New Roman" w:cs="Calibri"/>
                <w:color w:val="000000"/>
                <w:szCs w:val="24"/>
                <w:lang w:eastAsia="es-CR"/>
              </w:rPr>
            </w:pPr>
            <w:r w:rsidRPr="00654C21">
              <w:rPr>
                <w:rFonts w:eastAsia="Times New Roman" w:cs="Calibri"/>
                <w:color w:val="000000"/>
                <w:szCs w:val="24"/>
                <w:lang w:eastAsia="es-CR"/>
              </w:rPr>
              <w:t> </w:t>
            </w:r>
          </w:p>
        </w:tc>
      </w:tr>
    </w:tbl>
    <w:p w14:paraId="5E1CB3B7" w14:textId="77777777" w:rsidR="00692DC8" w:rsidRPr="00692DC8" w:rsidRDefault="00692DC8" w:rsidP="00654C21">
      <w:pPr>
        <w:spacing w:before="240"/>
        <w:rPr>
          <w:lang w:val="es-ES"/>
        </w:rPr>
      </w:pPr>
      <w:r w:rsidRPr="00692DC8">
        <w:rPr>
          <w:lang w:val="es-ES"/>
        </w:rPr>
        <w:t>Explique el Proceso de Revaluación: Método de Costo:</w:t>
      </w:r>
    </w:p>
    <w:p w14:paraId="35031B17" w14:textId="77777777" w:rsidR="006448AF" w:rsidRDefault="006448AF" w:rsidP="006448AF">
      <w:pPr>
        <w:spacing w:after="0" w:line="240" w:lineRule="auto"/>
      </w:pPr>
      <w:r w:rsidRPr="00154852">
        <w:t xml:space="preserve">Como se indicó anteriormente la Municipalidad utiliza el Método de Costo. En ese sentido emplea el costo histórico en aquellos casos que se cuente con información fiable, y en los casos que no se cuente con información confiable se les atribuye un valor a los activos establecido por un experto en </w:t>
      </w:r>
      <w:r w:rsidRPr="00154852">
        <w:lastRenderedPageBreak/>
        <w:t>la materia con capacidad para establecer el valor utilizado, esto con base en lo establecido en la NICSP 17 y NICSP33.</w:t>
      </w:r>
    </w:p>
    <w:p w14:paraId="53330A69" w14:textId="77777777" w:rsidR="006448AF" w:rsidRPr="00154852" w:rsidRDefault="006448AF" w:rsidP="006448AF">
      <w:pPr>
        <w:spacing w:after="0" w:line="240" w:lineRule="auto"/>
      </w:pPr>
    </w:p>
    <w:p w14:paraId="68233BCE" w14:textId="77777777" w:rsidR="006448AF" w:rsidRDefault="006448AF" w:rsidP="006448AF">
      <w:pPr>
        <w:spacing w:after="0" w:line="240" w:lineRule="auto"/>
      </w:pPr>
      <w:r w:rsidRPr="00154852">
        <w:t>Los activos nuevos los mismos se registran conforme lo establece la NICSP17 considerando como parte del costo el precio de adquisición (incluidos aranceles de importación e impuestos indirectos recuperables, después de deducir descuentos o rebajas), los costos atribuibles para que el bien pueda operar de la forma prevista; y los costos de desmantelamiento y retiro de elementos, así como la rehabilitación del lugar donde se asentará el bien y cualquier otra obligación en que se incurra atribuible a la adquisición del bien.</w:t>
      </w:r>
    </w:p>
    <w:p w14:paraId="71AAD4C8" w14:textId="77777777" w:rsidR="00654C21" w:rsidRDefault="00654C21" w:rsidP="0011777B">
      <w:pPr>
        <w:rPr>
          <w:b/>
          <w:lang w:val="es-ES" w:eastAsia="es-CR"/>
        </w:rPr>
      </w:pPr>
    </w:p>
    <w:p w14:paraId="65FA4088" w14:textId="77777777" w:rsidR="00D179FD" w:rsidRDefault="00D179FD" w:rsidP="0011777B">
      <w:pPr>
        <w:rPr>
          <w:b/>
          <w:lang w:val="es-ES" w:eastAsia="es-CR"/>
        </w:rPr>
      </w:pPr>
    </w:p>
    <w:p w14:paraId="7CABD7BF" w14:textId="77777777" w:rsidR="00D179FD" w:rsidRDefault="00D179FD" w:rsidP="0011777B">
      <w:pPr>
        <w:rPr>
          <w:b/>
          <w:lang w:val="es-ES" w:eastAsia="es-CR"/>
        </w:rPr>
      </w:pPr>
    </w:p>
    <w:p w14:paraId="61E26BE6" w14:textId="77777777" w:rsidR="00396CB4" w:rsidRPr="00396CB4" w:rsidRDefault="00692DC8" w:rsidP="0011777B">
      <w:pPr>
        <w:rPr>
          <w:b/>
          <w:lang w:val="es-ES" w:eastAsia="es-CR"/>
        </w:rPr>
      </w:pPr>
      <w:r w:rsidRPr="0011777B">
        <w:rPr>
          <w:b/>
          <w:lang w:val="es-ES" w:eastAsia="es-CR"/>
        </w:rPr>
        <w:t xml:space="preserve">Revelación: </w:t>
      </w:r>
      <w:r w:rsidR="00654C21">
        <w:rPr>
          <w:rFonts w:cs="Calibri"/>
          <w:color w:val="000000"/>
          <w:lang w:eastAsia="es-CR"/>
        </w:rPr>
        <w:fldChar w:fldCharType="begin"/>
      </w:r>
      <w:r w:rsidR="00654C21">
        <w:rPr>
          <w:rFonts w:cs="Calibri"/>
          <w:color w:val="000000"/>
          <w:lang w:eastAsia="es-CR"/>
        </w:rPr>
        <w:instrText xml:space="preserve"> LINK </w:instrText>
      </w:r>
      <w:r w:rsidR="00756467">
        <w:rPr>
          <w:rFonts w:cs="Calibri"/>
          <w:color w:val="000000"/>
          <w:lang w:eastAsia="es-CR"/>
        </w:rPr>
        <w:instrText xml:space="preserve">Excel.SheetMacroEnabled.12 "C:\\Users\\gcordero\\Downloads\\Notas diciembre 2024\\Formato_Notas_EEFF_Vinculadas_2024\\Formato_Notas_EEFF_Vinculadas_2024\\15603_T04_2024_Anexo_Estado_Notas_Contables_Vinculadas.xlsm" NOTAS_POR_CUENTA!F38C8 </w:instrText>
      </w:r>
      <w:r w:rsidR="00654C21">
        <w:rPr>
          <w:rFonts w:cs="Calibri"/>
          <w:color w:val="000000"/>
          <w:lang w:eastAsia="es-CR"/>
        </w:rPr>
        <w:instrText xml:space="preserve">\a \f 5 \h  \* MERGEFORMAT </w:instrText>
      </w:r>
      <w:r w:rsidR="00654C21">
        <w:rPr>
          <w:rFonts w:cs="Calibri"/>
          <w:color w:val="000000"/>
          <w:lang w:eastAsia="es-CR"/>
        </w:rPr>
        <w:fldChar w:fldCharType="separate"/>
      </w:r>
    </w:p>
    <w:p w14:paraId="6B0D925E" w14:textId="77777777" w:rsidR="00396CB4" w:rsidRPr="00396CB4" w:rsidRDefault="00396CB4" w:rsidP="00396CB4">
      <w:pPr>
        <w:rPr>
          <w:rFonts w:cs="Calibri"/>
          <w:color w:val="000000"/>
          <w:lang w:eastAsia="es-CR"/>
        </w:rPr>
      </w:pPr>
      <w:r w:rsidRPr="00396CB4">
        <w:rPr>
          <w:rFonts w:cs="Calibri"/>
          <w:color w:val="000000"/>
          <w:lang w:eastAsia="es-CR"/>
        </w:rPr>
        <w:t>La cuenta Propiedades, planta y equipos explotados, representa el 1,34% del total del Activo, que comparado al periodo anterior genera una variación absoluta de 85 550,47 que corresponde a un Aumento del 3,97% de recursos disponibles.</w:t>
      </w:r>
    </w:p>
    <w:p w14:paraId="1A69B421" w14:textId="07BD0671" w:rsidR="0011777B" w:rsidRPr="00654C21" w:rsidRDefault="00654C21" w:rsidP="0011777B">
      <w:pPr>
        <w:rPr>
          <w:rFonts w:cs="Times New Roman"/>
          <w:szCs w:val="24"/>
          <w:lang w:eastAsia="es-CR"/>
        </w:rPr>
      </w:pPr>
      <w:r>
        <w:rPr>
          <w:rFonts w:cs="Calibri"/>
          <w:color w:val="000000"/>
          <w:lang w:eastAsia="es-CR"/>
        </w:rPr>
        <w:fldChar w:fldCharType="end"/>
      </w:r>
      <w:r w:rsidR="00692DC8" w:rsidRPr="00692DC8">
        <w:rPr>
          <w:rFonts w:cs="Times New Roman"/>
          <w:szCs w:val="24"/>
          <w:highlight w:val="lightGray"/>
          <w:lang w:eastAsia="es-CR"/>
        </w:rPr>
        <w:t>Las variaciones de la cuenta son producto de (Indicar la razón de las variaciones de un periodo a otro):</w:t>
      </w:r>
      <w:r w:rsidR="00692DC8" w:rsidRPr="00692DC8">
        <w:rPr>
          <w:rFonts w:cs="Times New Roman"/>
          <w:szCs w:val="24"/>
          <w:lang w:eastAsia="es-CR"/>
        </w:rPr>
        <w:t xml:space="preserve"> </w:t>
      </w:r>
    </w:p>
    <w:p w14:paraId="2B8D7D13" w14:textId="176AEA36" w:rsidR="00E20455" w:rsidRDefault="00E20455" w:rsidP="00E20455">
      <w:pPr>
        <w:spacing w:line="240" w:lineRule="auto"/>
        <w:rPr>
          <w:bCs/>
          <w:lang w:val="es-ES"/>
        </w:rPr>
      </w:pPr>
      <w:r>
        <w:rPr>
          <w:bCs/>
          <w:lang w:val="es-ES"/>
        </w:rPr>
        <w:t xml:space="preserve">El detalle comparativo de los saldos que presentan los diferentes tipos de activos que componen los bienes de Propiedad, Planta y Equipo entre el </w:t>
      </w:r>
      <w:r w:rsidR="00796636">
        <w:rPr>
          <w:bCs/>
          <w:lang w:val="es-ES"/>
        </w:rPr>
        <w:t>31</w:t>
      </w:r>
      <w:r>
        <w:rPr>
          <w:bCs/>
          <w:lang w:val="es-ES"/>
        </w:rPr>
        <w:t xml:space="preserve"> de </w:t>
      </w:r>
      <w:r w:rsidR="00D64CF8">
        <w:rPr>
          <w:bCs/>
          <w:lang w:val="es-ES"/>
        </w:rPr>
        <w:t>diciembre</w:t>
      </w:r>
      <w:r>
        <w:rPr>
          <w:bCs/>
          <w:lang w:val="es-ES"/>
        </w:rPr>
        <w:t xml:space="preserve"> de 2023 y el </w:t>
      </w:r>
      <w:r w:rsidR="00796636">
        <w:rPr>
          <w:bCs/>
          <w:lang w:val="es-ES"/>
        </w:rPr>
        <w:t>31</w:t>
      </w:r>
      <w:r>
        <w:rPr>
          <w:bCs/>
          <w:lang w:val="es-ES"/>
        </w:rPr>
        <w:t xml:space="preserve"> de </w:t>
      </w:r>
      <w:r w:rsidR="00D64CF8">
        <w:rPr>
          <w:bCs/>
          <w:lang w:val="es-ES"/>
        </w:rPr>
        <w:t>diciembre</w:t>
      </w:r>
      <w:r>
        <w:rPr>
          <w:bCs/>
          <w:lang w:val="es-ES"/>
        </w:rPr>
        <w:t xml:space="preserve"> de 2024, en el que se aprecian las diferencias citadas es el siguiente: </w:t>
      </w:r>
    </w:p>
    <w:p w14:paraId="6E040915" w14:textId="069CDF24" w:rsidR="00E20455" w:rsidRPr="007F7997" w:rsidRDefault="00245C1A" w:rsidP="00E20455">
      <w:pPr>
        <w:rPr>
          <w:lang w:val="es-ES"/>
        </w:rPr>
      </w:pPr>
      <w:r w:rsidRPr="00245C1A">
        <w:rPr>
          <w:noProof/>
          <w:lang w:eastAsia="es-CR"/>
        </w:rPr>
        <w:lastRenderedPageBreak/>
        <w:drawing>
          <wp:inline distT="0" distB="0" distL="0" distR="0" wp14:anchorId="29D29C31" wp14:editId="43BEBC6E">
            <wp:extent cx="5839460" cy="3485072"/>
            <wp:effectExtent l="0" t="0" r="8890" b="1270"/>
            <wp:docPr id="11878707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45419" cy="3488628"/>
                    </a:xfrm>
                    <a:prstGeom prst="rect">
                      <a:avLst/>
                    </a:prstGeom>
                    <a:noFill/>
                    <a:ln>
                      <a:noFill/>
                    </a:ln>
                  </pic:spPr>
                </pic:pic>
              </a:graphicData>
            </a:graphic>
          </wp:inline>
        </w:drawing>
      </w:r>
    </w:p>
    <w:p w14:paraId="2BDD59E6" w14:textId="542C05D5" w:rsidR="00E20455" w:rsidRPr="00E74834" w:rsidRDefault="00E20455" w:rsidP="00E20455">
      <w:pPr>
        <w:spacing w:after="0" w:line="240" w:lineRule="auto"/>
        <w:rPr>
          <w:rFonts w:eastAsia="Times New Roman" w:cs="Calibri"/>
          <w:b/>
          <w:bCs/>
          <w:color w:val="000000"/>
          <w:sz w:val="20"/>
          <w:szCs w:val="20"/>
        </w:rPr>
      </w:pPr>
      <w:r w:rsidRPr="00154852">
        <w:t>Como se observa en el cuadro anterior la variación (</w:t>
      </w:r>
      <w:r>
        <w:t>aumento</w:t>
      </w:r>
      <w:r w:rsidRPr="00154852">
        <w:t xml:space="preserve">) de </w:t>
      </w:r>
      <w:r w:rsidRPr="00154852">
        <w:rPr>
          <w:rFonts w:ascii="Arial" w:hAnsi="Arial" w:cs="Arial"/>
        </w:rPr>
        <w:t>₡</w:t>
      </w:r>
      <w:r w:rsidR="00BF492D">
        <w:rPr>
          <w:rFonts w:cs="Calibri"/>
          <w:color w:val="000000"/>
          <w:lang w:eastAsia="es-CR"/>
        </w:rPr>
        <w:t>338 163,42</w:t>
      </w:r>
      <w:r>
        <w:rPr>
          <w:rFonts w:cs="Calibri"/>
          <w:color w:val="000000"/>
          <w:lang w:eastAsia="es-CR"/>
        </w:rPr>
        <w:t xml:space="preserve"> </w:t>
      </w:r>
      <w:r>
        <w:rPr>
          <w:bCs/>
          <w:lang w:val="es-ES"/>
        </w:rPr>
        <w:t>miles</w:t>
      </w:r>
      <w:r w:rsidRPr="00154852">
        <w:t xml:space="preserve"> corresponden principalmente</w:t>
      </w:r>
      <w:r>
        <w:t xml:space="preserve"> </w:t>
      </w:r>
      <w:r w:rsidRPr="00154852">
        <w:t>a un efecto neto</w:t>
      </w:r>
      <w:r>
        <w:t>,</w:t>
      </w:r>
      <w:r w:rsidRPr="00154852">
        <w:t xml:space="preserve"> ya que el valor </w:t>
      </w:r>
      <w:r>
        <w:t xml:space="preserve">original </w:t>
      </w:r>
      <w:r w:rsidRPr="00154852">
        <w:t>aument</w:t>
      </w:r>
      <w:r>
        <w:t>ó</w:t>
      </w:r>
      <w:r w:rsidRPr="00154852">
        <w:t xml:space="preserve"> entre </w:t>
      </w:r>
      <w:r w:rsidR="00D64CF8">
        <w:t>diciembre</w:t>
      </w:r>
      <w:r w:rsidRPr="00154852">
        <w:t xml:space="preserve"> de </w:t>
      </w:r>
      <w:r>
        <w:t>2023</w:t>
      </w:r>
      <w:r w:rsidRPr="00154852">
        <w:t xml:space="preserve"> y </w:t>
      </w:r>
      <w:r w:rsidR="00D64CF8">
        <w:t>diciembre</w:t>
      </w:r>
      <w:r w:rsidRPr="00154852">
        <w:t xml:space="preserve"> de </w:t>
      </w:r>
      <w:r>
        <w:t>2024</w:t>
      </w:r>
      <w:r w:rsidRPr="00154852">
        <w:t xml:space="preserve"> </w:t>
      </w:r>
      <w:r>
        <w:t>d</w:t>
      </w:r>
      <w:r w:rsidRPr="00154852">
        <w:t xml:space="preserve">e </w:t>
      </w:r>
      <w:r w:rsidRPr="00E74834">
        <w:rPr>
          <w:rFonts w:ascii="Arial" w:hAnsi="Arial" w:cs="Arial"/>
        </w:rPr>
        <w:t>₡</w:t>
      </w:r>
      <w:r w:rsidR="00BF492D">
        <w:t>400 362.83</w:t>
      </w:r>
      <w:r>
        <w:t xml:space="preserve"> </w:t>
      </w:r>
      <w:r w:rsidRPr="00154852">
        <w:t>miles</w:t>
      </w:r>
      <w:r>
        <w:t xml:space="preserve"> como consecuencia </w:t>
      </w:r>
      <w:r w:rsidRPr="00154852">
        <w:t>de la adquisición de nuevos activos</w:t>
      </w:r>
      <w:r>
        <w:t xml:space="preserve"> y el registro de activos identificados como parte del inventario que se está llevando a cabo; </w:t>
      </w:r>
      <w:r w:rsidRPr="00154852">
        <w:t>mientras tanto</w:t>
      </w:r>
      <w:r>
        <w:t xml:space="preserve"> </w:t>
      </w:r>
      <w:r w:rsidRPr="00154852">
        <w:t>la Depreciación Acumulada del periodo</w:t>
      </w:r>
      <w:r>
        <w:t xml:space="preserve"> con respecto al mismo mes del periodo del año anterior se incrementó en</w:t>
      </w:r>
      <w:r w:rsidRPr="00154852">
        <w:t xml:space="preserve"> </w:t>
      </w:r>
      <w:r w:rsidRPr="00154852">
        <w:rPr>
          <w:rFonts w:ascii="Arial" w:hAnsi="Arial" w:cs="Arial"/>
        </w:rPr>
        <w:t>₡</w:t>
      </w:r>
      <w:r w:rsidR="00BF492D">
        <w:t>62 199,40</w:t>
      </w:r>
      <w:r>
        <w:t xml:space="preserve"> </w:t>
      </w:r>
      <w:r w:rsidRPr="00154852">
        <w:t>miles</w:t>
      </w:r>
      <w:r>
        <w:t>,</w:t>
      </w:r>
      <w:r w:rsidRPr="00154852">
        <w:t xml:space="preserve"> producto del registro del gasto de depreciación </w:t>
      </w:r>
      <w:r>
        <w:t xml:space="preserve">correspondiente. Además, la diferencia está influenciada por </w:t>
      </w:r>
      <w:r w:rsidRPr="00154852">
        <w:t>varios ajustes realizados a los registros iniciales.</w:t>
      </w:r>
    </w:p>
    <w:p w14:paraId="65CE9C5A" w14:textId="77777777" w:rsidR="00E20455" w:rsidRPr="00E844AD" w:rsidRDefault="00E20455" w:rsidP="00E20455">
      <w:pPr>
        <w:spacing w:after="0" w:line="240" w:lineRule="auto"/>
        <w:rPr>
          <w:b/>
          <w:sz w:val="20"/>
          <w:szCs w:val="20"/>
          <w:lang w:eastAsia="es-CR"/>
        </w:rPr>
      </w:pPr>
    </w:p>
    <w:p w14:paraId="425113B1" w14:textId="63E57C85" w:rsidR="00E20455" w:rsidRPr="00257C63" w:rsidRDefault="00E20455" w:rsidP="00E20455">
      <w:pPr>
        <w:spacing w:after="0" w:line="240" w:lineRule="auto"/>
        <w:rPr>
          <w:rFonts w:cs="Calibri"/>
          <w:sz w:val="20"/>
          <w:szCs w:val="20"/>
        </w:rPr>
      </w:pPr>
      <w:r>
        <w:t>En relación con las Edificaciones y Terrenos</w:t>
      </w:r>
      <w:r w:rsidRPr="00A91674">
        <w:t xml:space="preserve">, </w:t>
      </w:r>
      <w:r>
        <w:t>mediante</w:t>
      </w:r>
      <w:r w:rsidRPr="00A91674">
        <w:t xml:space="preserve"> el Oficio DU-MA-122-2021 remitido por la Coordinadora Departamento Desarrollo Urbano al Señor Alcalde el 29 de </w:t>
      </w:r>
      <w:r w:rsidR="00D64CF8">
        <w:t>diciembre</w:t>
      </w:r>
      <w:r w:rsidRPr="00A91674">
        <w:t xml:space="preserve"> de 2021, le indica que tenían identificadas 175 propiedades a nombre de la Municipalidad, sobre las cuales se deben efectuar las siguientes acciones:</w:t>
      </w:r>
    </w:p>
    <w:p w14:paraId="3B6D55D4" w14:textId="77777777" w:rsidR="00E20455" w:rsidRPr="00A91674" w:rsidRDefault="00E20455" w:rsidP="00E20455">
      <w:pPr>
        <w:shd w:val="clear" w:color="auto" w:fill="FFFFFF" w:themeFill="background1"/>
        <w:spacing w:after="0" w:line="240" w:lineRule="auto"/>
      </w:pPr>
    </w:p>
    <w:p w14:paraId="6C826866" w14:textId="77777777" w:rsidR="00E20455" w:rsidRPr="00A91674" w:rsidRDefault="00E20455" w:rsidP="007F4626">
      <w:pPr>
        <w:pStyle w:val="Prrafodelista"/>
        <w:numPr>
          <w:ilvl w:val="0"/>
          <w:numId w:val="54"/>
        </w:numPr>
        <w:shd w:val="clear" w:color="auto" w:fill="FFFFFF" w:themeFill="background1"/>
        <w:spacing w:after="0" w:line="240" w:lineRule="auto"/>
        <w:ind w:left="425" w:hanging="357"/>
        <w:contextualSpacing w:val="0"/>
      </w:pPr>
      <w:r w:rsidRPr="00A91674">
        <w:t xml:space="preserve">62 propiedades deben ser objeto de un proceso de regularización por parte del Asesor Legal municipal, debido a que no pertenecen a la Municipalidad, </w:t>
      </w:r>
    </w:p>
    <w:p w14:paraId="61EC0EB5" w14:textId="77777777" w:rsidR="00E20455" w:rsidRPr="00A91674" w:rsidRDefault="00E20455" w:rsidP="007F4626">
      <w:pPr>
        <w:pStyle w:val="Prrafodelista"/>
        <w:numPr>
          <w:ilvl w:val="0"/>
          <w:numId w:val="54"/>
        </w:numPr>
        <w:shd w:val="clear" w:color="auto" w:fill="FFFFFF" w:themeFill="background1"/>
        <w:spacing w:after="0" w:line="240" w:lineRule="auto"/>
        <w:ind w:left="425" w:hanging="357"/>
        <w:contextualSpacing w:val="0"/>
      </w:pPr>
      <w:r w:rsidRPr="00A91674">
        <w:t>51 propiedades relacionadas con lotes comunales destinados a parques y plazas deben ser objeto de valoración por parte del departamento de Administración Tributaria, a través del programa de Valoración del Ministerio de Hacienda.</w:t>
      </w:r>
    </w:p>
    <w:p w14:paraId="37FD271F" w14:textId="77777777" w:rsidR="00E20455" w:rsidRPr="00A91674" w:rsidRDefault="00E20455" w:rsidP="007F4626">
      <w:pPr>
        <w:pStyle w:val="Prrafodelista"/>
        <w:numPr>
          <w:ilvl w:val="0"/>
          <w:numId w:val="54"/>
        </w:numPr>
        <w:shd w:val="clear" w:color="auto" w:fill="FFFFFF" w:themeFill="background1"/>
        <w:spacing w:after="0" w:line="240" w:lineRule="auto"/>
        <w:ind w:left="426"/>
        <w:contextualSpacing w:val="0"/>
      </w:pPr>
      <w:r w:rsidRPr="00A91674">
        <w:t>Se debe obtener del Ingeniero del Departamento de Desarrollo Local, una actualización del avalúo que realizó en su momento de la Terminal, Mercado y edificios municipales.</w:t>
      </w:r>
    </w:p>
    <w:p w14:paraId="05D2A349" w14:textId="77777777" w:rsidR="00E20455" w:rsidRPr="00A91674" w:rsidRDefault="00E20455" w:rsidP="00E20455">
      <w:pPr>
        <w:shd w:val="clear" w:color="auto" w:fill="FFFFFF" w:themeFill="background1"/>
        <w:spacing w:after="0" w:line="240" w:lineRule="auto"/>
      </w:pPr>
    </w:p>
    <w:p w14:paraId="7CCEE4E2" w14:textId="025AC3CE" w:rsidR="00E20455" w:rsidRPr="00A91674" w:rsidRDefault="00E20455" w:rsidP="00E20455">
      <w:pPr>
        <w:shd w:val="clear" w:color="auto" w:fill="FFFFFF" w:themeFill="background1"/>
        <w:spacing w:after="0" w:line="240" w:lineRule="auto"/>
      </w:pPr>
      <w:r w:rsidRPr="00A91674">
        <w:t xml:space="preserve">Con base en dicho oficio, el señor Alcalde mediante el Oficio -AMBA-057-2022 del 02 de febrero de 2022, instó al Asesor Legal, </w:t>
      </w:r>
      <w:r w:rsidR="005743A1">
        <w:t>a la jefa</w:t>
      </w:r>
      <w:r w:rsidRPr="00A91674">
        <w:t xml:space="preserve"> del Departamento de Administración Tributaria y al Ingeniero del Departamento de Desarrollo Local, para que realizaran la programación de las tareas respectivas, con el fin de brindar la información requerida sobre las propiedades municipales consignada en el Oficio DU-MA-122-2021, tareas que al </w:t>
      </w:r>
      <w:r w:rsidR="00796636">
        <w:t>31</w:t>
      </w:r>
      <w:r w:rsidRPr="00A91674">
        <w:t xml:space="preserve"> de </w:t>
      </w:r>
      <w:r w:rsidR="00D64CF8">
        <w:t>diciembre</w:t>
      </w:r>
      <w:r w:rsidRPr="00A91674">
        <w:t xml:space="preserve"> de 2022 aún están en desarrollo.</w:t>
      </w:r>
    </w:p>
    <w:p w14:paraId="282FA93D" w14:textId="77777777" w:rsidR="00E20455" w:rsidRPr="00A91674" w:rsidRDefault="00E20455" w:rsidP="00E20455">
      <w:pPr>
        <w:shd w:val="clear" w:color="auto" w:fill="FFFFFF" w:themeFill="background1"/>
        <w:spacing w:after="0" w:line="240" w:lineRule="auto"/>
      </w:pPr>
    </w:p>
    <w:p w14:paraId="477C5BCE" w14:textId="77777777" w:rsidR="00E20455" w:rsidRPr="00A91674" w:rsidRDefault="00E20455" w:rsidP="00E20455">
      <w:pPr>
        <w:shd w:val="clear" w:color="auto" w:fill="FFFFFF" w:themeFill="background1"/>
        <w:spacing w:after="0" w:line="240" w:lineRule="auto"/>
      </w:pPr>
      <w:r w:rsidRPr="00A91674">
        <w:t>Es pertinente indicar que mediante oficio Nº DU-MBA-009-</w:t>
      </w:r>
      <w:r>
        <w:t>2024</w:t>
      </w:r>
      <w:r w:rsidRPr="00A91674">
        <w:t xml:space="preserve"> del 9 de febrero de </w:t>
      </w:r>
      <w:r>
        <w:t>2024</w:t>
      </w:r>
      <w:r w:rsidRPr="00A91674">
        <w:t xml:space="preserve"> la Coordinadora del Departamento Desarrollo Urbano manifiesta que se realizado el siguiente trabajo en relación con las propiedades Municipales:</w:t>
      </w:r>
    </w:p>
    <w:p w14:paraId="08DAD517" w14:textId="77777777" w:rsidR="00E20455" w:rsidRPr="00A91674" w:rsidRDefault="00E20455" w:rsidP="00E20455">
      <w:pPr>
        <w:shd w:val="clear" w:color="auto" w:fill="FFFFFF" w:themeFill="background1"/>
        <w:spacing w:after="0" w:line="240" w:lineRule="auto"/>
      </w:pPr>
    </w:p>
    <w:p w14:paraId="4E2D925F" w14:textId="77777777" w:rsidR="00E20455" w:rsidRPr="00A91674" w:rsidRDefault="00E20455" w:rsidP="007F4626">
      <w:pPr>
        <w:pStyle w:val="Prrafodelista"/>
        <w:numPr>
          <w:ilvl w:val="0"/>
          <w:numId w:val="55"/>
        </w:numPr>
        <w:shd w:val="clear" w:color="auto" w:fill="FFFFFF" w:themeFill="background1"/>
        <w:spacing w:after="0" w:line="240" w:lineRule="auto"/>
        <w:ind w:left="425" w:hanging="357"/>
        <w:contextualSpacing w:val="0"/>
      </w:pPr>
      <w:r w:rsidRPr="00A91674">
        <w:t>Se han actualizado avalúos de propiedades</w:t>
      </w:r>
    </w:p>
    <w:p w14:paraId="45551722" w14:textId="77777777" w:rsidR="00E20455" w:rsidRPr="00A91674" w:rsidRDefault="00E20455" w:rsidP="007F4626">
      <w:pPr>
        <w:pStyle w:val="Prrafodelista"/>
        <w:numPr>
          <w:ilvl w:val="0"/>
          <w:numId w:val="55"/>
        </w:numPr>
        <w:shd w:val="clear" w:color="auto" w:fill="FFFFFF" w:themeFill="background1"/>
        <w:spacing w:after="0" w:line="240" w:lineRule="auto"/>
        <w:ind w:left="425" w:hanging="357"/>
        <w:contextualSpacing w:val="0"/>
      </w:pPr>
      <w:r w:rsidRPr="00A91674">
        <w:t xml:space="preserve">Se solicitó apoyo a la Administración Tributaria para que </w:t>
      </w:r>
      <w:r>
        <w:t>haga</w:t>
      </w:r>
      <w:r w:rsidRPr="00A91674">
        <w:t xml:space="preserve"> uso del programa de la ONT para </w:t>
      </w:r>
      <w:r>
        <w:t xml:space="preserve">la </w:t>
      </w:r>
      <w:r w:rsidRPr="00A91674">
        <w:t>actualización y valoración</w:t>
      </w:r>
    </w:p>
    <w:p w14:paraId="6C655E46" w14:textId="77777777" w:rsidR="00E20455" w:rsidRPr="00A91674" w:rsidRDefault="00E20455" w:rsidP="007F4626">
      <w:pPr>
        <w:pStyle w:val="Prrafodelista"/>
        <w:numPr>
          <w:ilvl w:val="0"/>
          <w:numId w:val="55"/>
        </w:numPr>
        <w:shd w:val="clear" w:color="auto" w:fill="FFFFFF" w:themeFill="background1"/>
        <w:spacing w:after="0" w:line="240" w:lineRule="auto"/>
        <w:ind w:left="425" w:hanging="357"/>
        <w:contextualSpacing w:val="0"/>
      </w:pPr>
      <w:r w:rsidRPr="00A91674">
        <w:t xml:space="preserve">De las 175 propiedades antes citadas ya se contrató a profesionales en topografía para la elaboración de planos de catastro de las propiedades que no cuentan con el mismo y se reservó en el Presupuesto del </w:t>
      </w:r>
      <w:r>
        <w:t>2024</w:t>
      </w:r>
      <w:r w:rsidRPr="00A91674">
        <w:t xml:space="preserve"> recurso para contratación de topógrafos. Al respecto se han contratado Cementerio, Edificio Municipal, Parque Central, propiedad donde se ubican los tanques sépticos del mercado, Parque de Urbanización las Rosas y Parque en Lotificación Filadelfia Fuentes.</w:t>
      </w:r>
    </w:p>
    <w:p w14:paraId="07DE84FD" w14:textId="77777777" w:rsidR="00E20455" w:rsidRPr="00A91674" w:rsidRDefault="00E20455" w:rsidP="007F4626">
      <w:pPr>
        <w:pStyle w:val="Prrafodelista"/>
        <w:numPr>
          <w:ilvl w:val="0"/>
          <w:numId w:val="55"/>
        </w:numPr>
        <w:shd w:val="clear" w:color="auto" w:fill="FFFFFF" w:themeFill="background1"/>
        <w:spacing w:after="0" w:line="240" w:lineRule="auto"/>
        <w:ind w:left="426"/>
        <w:contextualSpacing w:val="0"/>
      </w:pPr>
      <w:r w:rsidRPr="00A91674">
        <w:t>Se han aportado los avalúos de Plaza Gol en proceso de donación, Plaza las Colinas y Plaza los Ángeles de Potrero Grande.</w:t>
      </w:r>
    </w:p>
    <w:p w14:paraId="7EA0A490" w14:textId="77777777" w:rsidR="00E20455" w:rsidRPr="00A91674" w:rsidRDefault="00E20455" w:rsidP="00E20455">
      <w:pPr>
        <w:shd w:val="clear" w:color="auto" w:fill="FFFFFF" w:themeFill="background1"/>
        <w:spacing w:after="0" w:line="240" w:lineRule="auto"/>
      </w:pPr>
    </w:p>
    <w:p w14:paraId="73D63387" w14:textId="77777777" w:rsidR="00E20455" w:rsidRPr="00A91674" w:rsidRDefault="00E20455" w:rsidP="00E20455">
      <w:pPr>
        <w:shd w:val="clear" w:color="auto" w:fill="FFFFFF" w:themeFill="background1"/>
        <w:spacing w:after="0" w:line="240" w:lineRule="auto"/>
      </w:pPr>
      <w:r w:rsidRPr="00A91674">
        <w:t xml:space="preserve"> Además, señala que queda pendiente: </w:t>
      </w:r>
    </w:p>
    <w:p w14:paraId="7B83AEC3" w14:textId="77777777" w:rsidR="00E20455" w:rsidRPr="00A91674" w:rsidRDefault="00E20455" w:rsidP="00E20455">
      <w:pPr>
        <w:shd w:val="clear" w:color="auto" w:fill="FFFFFF" w:themeFill="background1"/>
        <w:spacing w:after="0" w:line="240" w:lineRule="auto"/>
      </w:pPr>
    </w:p>
    <w:p w14:paraId="05D45E43" w14:textId="77777777" w:rsidR="00E20455" w:rsidRPr="00A91674" w:rsidRDefault="00E20455" w:rsidP="007F4626">
      <w:pPr>
        <w:pStyle w:val="Prrafodelista"/>
        <w:numPr>
          <w:ilvl w:val="0"/>
          <w:numId w:val="56"/>
        </w:numPr>
        <w:shd w:val="clear" w:color="auto" w:fill="FFFFFF" w:themeFill="background1"/>
        <w:spacing w:after="0" w:line="240" w:lineRule="auto"/>
        <w:ind w:left="425" w:hanging="357"/>
        <w:contextualSpacing w:val="0"/>
      </w:pPr>
      <w:r w:rsidRPr="00A91674">
        <w:t>Que el Departamento de Administración Tributaria brinde una programación o tiempo necesario para poder atender solicitud.</w:t>
      </w:r>
    </w:p>
    <w:p w14:paraId="3F30E7B6" w14:textId="77777777" w:rsidR="00E20455" w:rsidRPr="00A91674" w:rsidRDefault="00E20455" w:rsidP="007F4626">
      <w:pPr>
        <w:pStyle w:val="Prrafodelista"/>
        <w:numPr>
          <w:ilvl w:val="0"/>
          <w:numId w:val="56"/>
        </w:numPr>
        <w:shd w:val="clear" w:color="auto" w:fill="FFFFFF" w:themeFill="background1"/>
        <w:spacing w:after="0" w:line="240" w:lineRule="auto"/>
        <w:ind w:left="425" w:hanging="357"/>
        <w:contextualSpacing w:val="0"/>
      </w:pPr>
      <w:r w:rsidRPr="00A91674">
        <w:t xml:space="preserve">Considerando el tiempo que indique del punto anterior, valorar horas para funcionario experto en </w:t>
      </w:r>
      <w:r>
        <w:t>el uso del programa, el señor Félix</w:t>
      </w:r>
      <w:r w:rsidRPr="00A91674">
        <w:t xml:space="preserve"> Saldaña, o cualquier otro compañero con dicha experiencia.</w:t>
      </w:r>
    </w:p>
    <w:p w14:paraId="523613DF" w14:textId="77777777" w:rsidR="00E20455" w:rsidRPr="00A91674" w:rsidRDefault="00E20455" w:rsidP="007F4626">
      <w:pPr>
        <w:pStyle w:val="Prrafodelista"/>
        <w:numPr>
          <w:ilvl w:val="0"/>
          <w:numId w:val="56"/>
        </w:numPr>
        <w:shd w:val="clear" w:color="auto" w:fill="FFFFFF" w:themeFill="background1"/>
        <w:spacing w:after="0" w:line="240" w:lineRule="auto"/>
        <w:ind w:left="426"/>
        <w:contextualSpacing w:val="0"/>
      </w:pPr>
      <w:r w:rsidRPr="00A91674">
        <w:t xml:space="preserve">Avance del Área legal en el traspaso y/o eliminación de propiedades. </w:t>
      </w:r>
    </w:p>
    <w:p w14:paraId="7FA53B48" w14:textId="77777777" w:rsidR="00E20455" w:rsidRDefault="00E20455" w:rsidP="00E20455">
      <w:pPr>
        <w:shd w:val="clear" w:color="auto" w:fill="FFFFFF" w:themeFill="background1"/>
        <w:spacing w:after="0" w:line="240" w:lineRule="auto"/>
        <w:ind w:left="66"/>
      </w:pPr>
    </w:p>
    <w:p w14:paraId="00E0413B" w14:textId="77777777" w:rsidR="00E20455" w:rsidRPr="00EE7DD5" w:rsidRDefault="00E20455" w:rsidP="00E20455">
      <w:pPr>
        <w:shd w:val="clear" w:color="auto" w:fill="FFFFFF" w:themeFill="background1"/>
        <w:spacing w:after="0" w:line="240" w:lineRule="auto"/>
        <w:ind w:left="66"/>
      </w:pPr>
      <w:r w:rsidRPr="00EE7DD5">
        <w:t>Es pertinente mencionar que mediante oficio Nº DU-MBA-031-2024 del 27 de abril de 2024 la Coordinadora Departamento Desarrollo Urbano indicó que no se contaba con nuevos avalúos.</w:t>
      </w:r>
    </w:p>
    <w:p w14:paraId="36332284" w14:textId="225A1D72" w:rsidR="00E20455" w:rsidRPr="00CC706B" w:rsidRDefault="00E20455" w:rsidP="00E20455">
      <w:pPr>
        <w:pStyle w:val="Default"/>
        <w:rPr>
          <w:rFonts w:ascii="Arial Narrow" w:eastAsiaTheme="minorHAnsi" w:hAnsi="Arial Narrow" w:cstheme="minorBidi"/>
          <w:color w:val="auto"/>
          <w:szCs w:val="22"/>
          <w:lang w:eastAsia="en-US"/>
        </w:rPr>
      </w:pPr>
      <w:r w:rsidRPr="00EE7DD5">
        <w:rPr>
          <w:rFonts w:ascii="Arial Narrow" w:eastAsiaTheme="minorHAnsi" w:hAnsi="Arial Narrow" w:cstheme="minorBidi"/>
          <w:color w:val="auto"/>
          <w:szCs w:val="22"/>
          <w:lang w:eastAsia="en-US"/>
        </w:rPr>
        <w:t>En fecha 08</w:t>
      </w:r>
      <w:r>
        <w:rPr>
          <w:rFonts w:ascii="Arial Narrow" w:eastAsiaTheme="minorHAnsi" w:hAnsi="Arial Narrow" w:cstheme="minorBidi"/>
          <w:color w:val="auto"/>
          <w:szCs w:val="22"/>
          <w:lang w:eastAsia="en-US"/>
        </w:rPr>
        <w:t xml:space="preserve"> de octubre del 202</w:t>
      </w:r>
      <w:r w:rsidRPr="00EE7DD5">
        <w:rPr>
          <w:rFonts w:ascii="Arial Narrow" w:eastAsiaTheme="minorHAnsi" w:hAnsi="Arial Narrow" w:cstheme="minorBidi"/>
          <w:color w:val="auto"/>
          <w:szCs w:val="22"/>
          <w:lang w:eastAsia="en-US"/>
        </w:rPr>
        <w:t xml:space="preserve">4 se remitió oficio CMBA-131-2024 al señor </w:t>
      </w:r>
      <w:r w:rsidRPr="00CC706B">
        <w:rPr>
          <w:rFonts w:ascii="Arial Narrow" w:eastAsiaTheme="minorHAnsi" w:hAnsi="Arial Narrow" w:cstheme="minorBidi"/>
          <w:color w:val="auto"/>
          <w:szCs w:val="22"/>
          <w:lang w:eastAsia="en-US"/>
        </w:rPr>
        <w:t xml:space="preserve">Jorge Morales </w:t>
      </w:r>
      <w:r w:rsidRPr="00EE7DD5">
        <w:rPr>
          <w:rFonts w:ascii="Arial Narrow" w:eastAsiaTheme="minorHAnsi" w:hAnsi="Arial Narrow" w:cstheme="minorBidi"/>
          <w:color w:val="auto"/>
          <w:szCs w:val="22"/>
          <w:lang w:eastAsia="en-US"/>
        </w:rPr>
        <w:t>Black del Departamento Desarrollo Urbano donde se le solicito indicar</w:t>
      </w:r>
      <w:r w:rsidRPr="00CC706B">
        <w:rPr>
          <w:rFonts w:ascii="Arial Narrow" w:eastAsiaTheme="minorHAnsi" w:hAnsi="Arial Narrow" w:cstheme="minorBidi"/>
          <w:color w:val="auto"/>
          <w:szCs w:val="22"/>
          <w:lang w:eastAsia="en-US"/>
        </w:rPr>
        <w:t xml:space="preserve"> si existe alguna variación con el último Oficio recibido, Oficio DU-MBA-031-2023 de fecha 27 de abril 2023 y cuales tra</w:t>
      </w:r>
      <w:r w:rsidRPr="00EE7DD5">
        <w:rPr>
          <w:rFonts w:ascii="Arial Narrow" w:eastAsiaTheme="minorHAnsi" w:hAnsi="Arial Narrow" w:cstheme="minorBidi"/>
          <w:color w:val="auto"/>
          <w:szCs w:val="22"/>
          <w:lang w:eastAsia="en-US"/>
        </w:rPr>
        <w:t xml:space="preserve">mites se </w:t>
      </w:r>
      <w:r>
        <w:rPr>
          <w:rFonts w:ascii="Arial Narrow" w:eastAsiaTheme="minorHAnsi" w:hAnsi="Arial Narrow" w:cstheme="minorBidi"/>
          <w:color w:val="auto"/>
          <w:szCs w:val="22"/>
          <w:lang w:eastAsia="en-US"/>
        </w:rPr>
        <w:t xml:space="preserve">encuentran en proceso, al cierre del mes de </w:t>
      </w:r>
      <w:r w:rsidR="00A04B50">
        <w:rPr>
          <w:rFonts w:ascii="Arial Narrow" w:eastAsiaTheme="minorHAnsi" w:hAnsi="Arial Narrow" w:cstheme="minorBidi"/>
          <w:color w:val="auto"/>
          <w:szCs w:val="22"/>
          <w:lang w:eastAsia="en-US"/>
        </w:rPr>
        <w:t>diciembre</w:t>
      </w:r>
      <w:r w:rsidRPr="00EE7DD5">
        <w:rPr>
          <w:rFonts w:ascii="Arial Narrow" w:eastAsiaTheme="minorHAnsi" w:hAnsi="Arial Narrow" w:cstheme="minorBidi"/>
          <w:color w:val="auto"/>
          <w:szCs w:val="22"/>
          <w:lang w:eastAsia="en-US"/>
        </w:rPr>
        <w:t xml:space="preserve"> del 2024 no se había recibido respuesta.</w:t>
      </w:r>
    </w:p>
    <w:p w14:paraId="62BFF0A1" w14:textId="77777777" w:rsidR="00E20455" w:rsidRPr="00EE7DD5" w:rsidRDefault="00E20455" w:rsidP="00E20455">
      <w:pPr>
        <w:pStyle w:val="Default"/>
      </w:pPr>
    </w:p>
    <w:p w14:paraId="787F2B26" w14:textId="77777777" w:rsidR="00E20455" w:rsidRPr="00EE7DD5" w:rsidRDefault="00E20455" w:rsidP="00E20455">
      <w:pPr>
        <w:shd w:val="clear" w:color="auto" w:fill="FFFFFF" w:themeFill="background1"/>
        <w:spacing w:after="0" w:line="240" w:lineRule="auto"/>
        <w:ind w:left="66"/>
      </w:pPr>
    </w:p>
    <w:p w14:paraId="41A748C4" w14:textId="77777777" w:rsidR="00E20455" w:rsidRPr="00B21D4F" w:rsidRDefault="00E20455" w:rsidP="00E20455">
      <w:pPr>
        <w:shd w:val="clear" w:color="auto" w:fill="FFFFFF" w:themeFill="background1"/>
        <w:spacing w:after="0" w:line="240" w:lineRule="auto"/>
        <w:ind w:left="66"/>
      </w:pPr>
      <w:r w:rsidRPr="00EE7DD5">
        <w:t>Asimismo, debe indicarse que mediante oficio AT/MBA/037-2024 del 18 de junio del 2024, la Encargada de la Administración Tributaria municipal informa que por falta de personal no se ha podido realizar los avalúos de las propiedades municipales, además que carecen de registros de parques infantiles, por lo que si le aprueban tiempo extraordinario para cierre de año se harán lo posible para concluir la información.</w:t>
      </w:r>
    </w:p>
    <w:p w14:paraId="499F59B3" w14:textId="77777777" w:rsidR="00E20455" w:rsidRPr="003E1682" w:rsidRDefault="00E20455" w:rsidP="00E20455">
      <w:pPr>
        <w:shd w:val="clear" w:color="auto" w:fill="FFFFFF" w:themeFill="background1"/>
        <w:spacing w:after="0" w:line="240" w:lineRule="auto"/>
        <w:ind w:left="66"/>
      </w:pPr>
      <w:r>
        <w:t xml:space="preserve">Mediante Oficio </w:t>
      </w:r>
      <w:r w:rsidRPr="00EE0AF9">
        <w:t>CMBA-129-2024</w:t>
      </w:r>
      <w:r>
        <w:t xml:space="preserve"> del 07 de octubre del 2024 se le vuelve a solicitar información referente a lo solicitado por la alcaldía municipal mediante Oficio </w:t>
      </w:r>
      <w:r w:rsidRPr="003E1682">
        <w:t>AMBA-057-2022, en resumen, lo que se le solicita es lo siguiente:</w:t>
      </w:r>
    </w:p>
    <w:p w14:paraId="01410159" w14:textId="77777777" w:rsidR="00E20455" w:rsidRDefault="00E20455" w:rsidP="00E20455">
      <w:pPr>
        <w:spacing w:line="276" w:lineRule="auto"/>
      </w:pPr>
    </w:p>
    <w:p w14:paraId="35DD543A" w14:textId="77777777" w:rsidR="00E20455" w:rsidRPr="00A405D9" w:rsidRDefault="00E20455" w:rsidP="00E20455">
      <w:pPr>
        <w:spacing w:line="276" w:lineRule="auto"/>
        <w:rPr>
          <w:rFonts w:ascii="Arial" w:hAnsi="Arial" w:cs="Arial"/>
          <w:i/>
          <w:sz w:val="20"/>
        </w:rPr>
      </w:pPr>
      <w:r w:rsidRPr="00A405D9">
        <w:rPr>
          <w:i/>
          <w:sz w:val="22"/>
        </w:rPr>
        <w:t>Realizar</w:t>
      </w:r>
      <w:r w:rsidRPr="00A405D9">
        <w:rPr>
          <w:rFonts w:ascii="Arial" w:hAnsi="Arial" w:cs="Arial"/>
          <w:i/>
          <w:sz w:val="20"/>
        </w:rPr>
        <w:t xml:space="preserve"> avaluó de los lotes comunales destinados a plazas o parques infantiles producto de lotificaciones a través del Programa de Valoración del Ministerio de Hacienda para el cálculo de valores del impuesto solidario, que maneja dicho departamento. (51 propiedades.)</w:t>
      </w:r>
    </w:p>
    <w:p w14:paraId="06F504F3" w14:textId="1E59C5BB" w:rsidR="00E20455" w:rsidRDefault="00E20455" w:rsidP="00E20455">
      <w:pPr>
        <w:pStyle w:val="Default"/>
        <w:jc w:val="both"/>
        <w:rPr>
          <w:rFonts w:ascii="Arial Narrow" w:eastAsiaTheme="minorHAnsi" w:hAnsi="Arial Narrow" w:cstheme="minorBidi"/>
          <w:color w:val="auto"/>
          <w:szCs w:val="22"/>
          <w:lang w:eastAsia="en-US"/>
        </w:rPr>
      </w:pPr>
      <w:r w:rsidRPr="00B205C0">
        <w:rPr>
          <w:rFonts w:ascii="Arial Narrow" w:eastAsiaTheme="minorHAnsi" w:hAnsi="Arial Narrow" w:cstheme="minorBidi"/>
          <w:color w:val="auto"/>
          <w:szCs w:val="22"/>
          <w:lang w:eastAsia="en-US"/>
        </w:rPr>
        <w:lastRenderedPageBreak/>
        <w:t>En fecha 08/10/2024 se recibe correo con archivo adjunto con información de un total de 194 líneas que en apariencia son propiedad de la municipalidad</w:t>
      </w:r>
      <w:r>
        <w:rPr>
          <w:rFonts w:ascii="Arial Narrow" w:eastAsiaTheme="minorHAnsi" w:hAnsi="Arial Narrow" w:cstheme="minorBidi"/>
          <w:color w:val="auto"/>
          <w:szCs w:val="22"/>
          <w:lang w:eastAsia="en-US"/>
        </w:rPr>
        <w:t xml:space="preserve">, la información recibida no responde a lo solicitado en Oficio CMBA-129-2024 referente a las 51 propiedades, tampoco dicha información según criterio contable podría ser fundamento para realizar una revelación o un registro contable en los EEFF al cierre del mes de </w:t>
      </w:r>
      <w:r w:rsidR="00D64CF8">
        <w:rPr>
          <w:rFonts w:ascii="Arial Narrow" w:eastAsiaTheme="minorHAnsi" w:hAnsi="Arial Narrow" w:cstheme="minorBidi"/>
          <w:color w:val="auto"/>
          <w:szCs w:val="22"/>
          <w:lang w:eastAsia="en-US"/>
        </w:rPr>
        <w:t>diciembre</w:t>
      </w:r>
      <w:r>
        <w:rPr>
          <w:rFonts w:ascii="Arial Narrow" w:eastAsiaTheme="minorHAnsi" w:hAnsi="Arial Narrow" w:cstheme="minorBidi"/>
          <w:color w:val="auto"/>
          <w:szCs w:val="22"/>
          <w:lang w:eastAsia="en-US"/>
        </w:rPr>
        <w:t>, dado que dicha información no trae un orden fiable.</w:t>
      </w:r>
    </w:p>
    <w:p w14:paraId="00CB8EFC" w14:textId="77777777" w:rsidR="00E20455" w:rsidRDefault="00E20455" w:rsidP="00E20455">
      <w:pPr>
        <w:pStyle w:val="Default"/>
        <w:jc w:val="both"/>
        <w:rPr>
          <w:rFonts w:ascii="Arial Narrow" w:eastAsiaTheme="minorHAnsi" w:hAnsi="Arial Narrow" w:cstheme="minorBidi"/>
          <w:color w:val="auto"/>
          <w:szCs w:val="22"/>
          <w:lang w:eastAsia="en-US"/>
        </w:rPr>
      </w:pPr>
    </w:p>
    <w:p w14:paraId="1C390F93" w14:textId="77777777" w:rsidR="00E20455" w:rsidRPr="00EE0AF9" w:rsidRDefault="00E20455" w:rsidP="00E20455">
      <w:pPr>
        <w:pStyle w:val="Default"/>
      </w:pPr>
    </w:p>
    <w:p w14:paraId="54172C74" w14:textId="77777777" w:rsidR="00E20455" w:rsidRDefault="00E20455" w:rsidP="00E20455">
      <w:pPr>
        <w:shd w:val="clear" w:color="auto" w:fill="FFFFFF" w:themeFill="background1"/>
        <w:spacing w:after="0" w:line="240" w:lineRule="auto"/>
        <w:ind w:left="66"/>
      </w:pPr>
      <w:r w:rsidRPr="00A91674">
        <w:t>Finalmente debe señalarse que la Municipalidad está explotando cinco (5) fincas propiedad del ICE detalladas a continuación:</w:t>
      </w:r>
    </w:p>
    <w:p w14:paraId="1811505F" w14:textId="77777777" w:rsidR="00E20455" w:rsidRPr="00A91674" w:rsidRDefault="00E20455" w:rsidP="00E20455">
      <w:pPr>
        <w:shd w:val="clear" w:color="auto" w:fill="FFFFFF" w:themeFill="background1"/>
        <w:spacing w:after="0" w:line="240" w:lineRule="auto"/>
        <w:ind w:left="66"/>
      </w:pPr>
    </w:p>
    <w:p w14:paraId="6B450FCC" w14:textId="77777777" w:rsidR="00E20455" w:rsidRPr="00A91674" w:rsidRDefault="00E20455" w:rsidP="007F4626">
      <w:pPr>
        <w:pStyle w:val="Prrafodelista"/>
        <w:numPr>
          <w:ilvl w:val="0"/>
          <w:numId w:val="57"/>
        </w:numPr>
        <w:shd w:val="clear" w:color="auto" w:fill="FFFFFF" w:themeFill="background1"/>
        <w:spacing w:after="0" w:line="240" w:lineRule="auto"/>
        <w:ind w:left="284" w:hanging="284"/>
        <w:contextualSpacing w:val="0"/>
      </w:pPr>
      <w:r w:rsidRPr="00A91674">
        <w:t xml:space="preserve">Finca ubicada en la provincia de Puntarenas, cuyas características registrales son: inscrita en el Registro Público de la Propiedad, Sección Bienes Inmuebles, bajo matricula de Folio Real número 112845, Distrito Buenos Aires, Cantón Buenos Aires, Linda al norte: Rafaela Barrantes Santamaría, sur: </w:t>
      </w:r>
      <w:proofErr w:type="spellStart"/>
      <w:r w:rsidRPr="00A91674">
        <w:t>Aristides</w:t>
      </w:r>
      <w:proofErr w:type="spellEnd"/>
      <w:r w:rsidRPr="00A91674">
        <w:t xml:space="preserve"> Villanueva Granados y Junta Administrativa del Instituto Profesional Agropecuario de Buenos Aires, este: Agropecuario El Remolino S. A., Bonifacio Vidal Bermúdez y Patricio Fernández Mora, y al oeste: Calle Pública. Plano Catastro número P-582867-1999. del total del área del inmueble, el área a utilizar es de aproximadamente de ciento cuarenta y dos mil cuatrocientos treinta y un metros cuadrados con setenta decímetros (142.431,70 m2).</w:t>
      </w:r>
    </w:p>
    <w:p w14:paraId="537BE34B" w14:textId="77777777" w:rsidR="00E20455" w:rsidRPr="00A91674" w:rsidRDefault="00E20455" w:rsidP="00E20455">
      <w:pPr>
        <w:shd w:val="clear" w:color="auto" w:fill="FFFFFF" w:themeFill="background1"/>
        <w:spacing w:after="0" w:line="240" w:lineRule="auto"/>
        <w:ind w:left="284" w:hanging="284"/>
      </w:pPr>
    </w:p>
    <w:p w14:paraId="52CB9A86" w14:textId="77777777" w:rsidR="00E20455" w:rsidRPr="00A91674" w:rsidRDefault="00E20455" w:rsidP="007F4626">
      <w:pPr>
        <w:pStyle w:val="Prrafodelista"/>
        <w:numPr>
          <w:ilvl w:val="0"/>
          <w:numId w:val="57"/>
        </w:numPr>
        <w:shd w:val="clear" w:color="auto" w:fill="FFFFFF" w:themeFill="background1"/>
        <w:spacing w:after="0" w:line="240" w:lineRule="auto"/>
        <w:ind w:left="284" w:hanging="284"/>
        <w:contextualSpacing w:val="0"/>
      </w:pPr>
      <w:r w:rsidRPr="00A91674">
        <w:t>Finca ubicada en la provincia de Puntarenas, cuyas características registrales son: inscrita en el Registro Público de la Propiedad, Sección Bienes Inmuebles, bajo matricula de Folio Real número 21290-A, Distrito Buenos Aires, Cantón Buenos Aires, Linda al norte: Agropecuario El Remolino S. A.; sur Junta Administrativa del Instituto Profesional Agropecuario de Buenos Aires; este Junta Administrativa del Instituto Profesional Agropecuario de Buenos Aires; y oeste Calle Pública. Plano Catastro número P-582868-1999, del total del área del inmueble, el área a utilizar es de aproximadamente de cuatro mil quinientos ochenta y seis metros cuadrados (4 586 m2).</w:t>
      </w:r>
    </w:p>
    <w:p w14:paraId="67F3DE32" w14:textId="77777777" w:rsidR="00E20455" w:rsidRPr="00A91674" w:rsidRDefault="00E20455" w:rsidP="00E20455">
      <w:pPr>
        <w:shd w:val="clear" w:color="auto" w:fill="FFFFFF" w:themeFill="background1"/>
        <w:spacing w:after="0" w:line="240" w:lineRule="auto"/>
        <w:ind w:left="284" w:hanging="284"/>
      </w:pPr>
    </w:p>
    <w:p w14:paraId="11A00400" w14:textId="77777777" w:rsidR="00E20455" w:rsidRPr="00A91674" w:rsidRDefault="00E20455" w:rsidP="007F4626">
      <w:pPr>
        <w:pStyle w:val="Prrafodelista"/>
        <w:numPr>
          <w:ilvl w:val="0"/>
          <w:numId w:val="57"/>
        </w:numPr>
        <w:shd w:val="clear" w:color="auto" w:fill="FFFFFF" w:themeFill="background1"/>
        <w:spacing w:after="0" w:line="240" w:lineRule="auto"/>
        <w:ind w:left="284" w:hanging="284"/>
        <w:contextualSpacing w:val="0"/>
      </w:pPr>
      <w:r w:rsidRPr="00A91674">
        <w:t>Finca ubicada en la provincia de Puntarenas, cuyas características registrales son: inscrita en el Registro Público de la Propiedad, Sección Bienes Inmuebles, bajo matricula de Folio Real número 170996, Distrito Buenos Aires, Cantón Buenos Aires, Linda al norte: Agropecuario El Remolino S. A. y Daysi Emilice Elizondo Beita; sur Agropecuario El Remolino S. A. y Patricia Fernández Mora; este Patricia Fernández Mora; y oeste Agropecuario El Remolino S. A., Plano Catastro número P-1370836-2009, del total del área del inmueble, el área a utilizar es de aproximadamente de setenta y nueve mil seiscientos ochenta y tres metros cuadrados (79 683 m2).</w:t>
      </w:r>
    </w:p>
    <w:p w14:paraId="42C633B0" w14:textId="77777777" w:rsidR="00E20455" w:rsidRPr="00A91674" w:rsidRDefault="00E20455" w:rsidP="00E20455">
      <w:pPr>
        <w:shd w:val="clear" w:color="auto" w:fill="FFFFFF" w:themeFill="background1"/>
        <w:spacing w:after="0" w:line="240" w:lineRule="auto"/>
        <w:ind w:left="284" w:hanging="284"/>
      </w:pPr>
    </w:p>
    <w:p w14:paraId="48B9CFE9" w14:textId="77777777" w:rsidR="00E20455" w:rsidRPr="00A91674" w:rsidRDefault="00E20455" w:rsidP="007F4626">
      <w:pPr>
        <w:pStyle w:val="Prrafodelista"/>
        <w:numPr>
          <w:ilvl w:val="0"/>
          <w:numId w:val="57"/>
        </w:numPr>
        <w:shd w:val="clear" w:color="auto" w:fill="FFFFFF" w:themeFill="background1"/>
        <w:spacing w:after="0" w:line="240" w:lineRule="auto"/>
        <w:ind w:left="284" w:hanging="284"/>
        <w:contextualSpacing w:val="0"/>
      </w:pPr>
      <w:r w:rsidRPr="00A91674">
        <w:t>Finca ubicada en la provincia de Puntarenas, cuyas características registrales son: inscrita en el Registro Público de la Propiedad, Sección Bienes Inmuebles, bajo matricula de Folio Real número 58735, Distrito Buenos Aires, Cantón Buenos Aires, Linda al norte: Calle Pública; sur Patricia Fernández Mora; este Juan Félix Vásquez Calderón; y al oeste Bonifacio Vidal Bermúdez. Plano Catastro número P-550367-1984. Del total del área del inmueble, el área a utilizar es de aproximadamente doce mil setecientos sesenta metros cuadrados con cuarenta y dos centímetros (12 760,40 m2).</w:t>
      </w:r>
    </w:p>
    <w:p w14:paraId="1B6A09D8" w14:textId="77777777" w:rsidR="00E20455" w:rsidRPr="00A91674" w:rsidRDefault="00E20455" w:rsidP="00E20455">
      <w:pPr>
        <w:shd w:val="clear" w:color="auto" w:fill="FFFFFF" w:themeFill="background1"/>
        <w:spacing w:after="0" w:line="240" w:lineRule="auto"/>
        <w:ind w:left="284" w:hanging="284"/>
      </w:pPr>
    </w:p>
    <w:p w14:paraId="4E086209" w14:textId="77777777" w:rsidR="00E20455" w:rsidRPr="00A91674" w:rsidRDefault="00E20455" w:rsidP="007F4626">
      <w:pPr>
        <w:pStyle w:val="Prrafodelista"/>
        <w:numPr>
          <w:ilvl w:val="0"/>
          <w:numId w:val="57"/>
        </w:numPr>
        <w:shd w:val="clear" w:color="auto" w:fill="FFFFFF" w:themeFill="background1"/>
        <w:spacing w:after="0" w:line="240" w:lineRule="auto"/>
        <w:ind w:left="284" w:hanging="284"/>
        <w:contextualSpacing w:val="0"/>
      </w:pPr>
      <w:r w:rsidRPr="00A91674">
        <w:t xml:space="preserve">Finca ubicada en la provincia de Puntarenas, cuyas características registrales son: inscrita en el Registro Público de la Propiedad, Sección Bienes Inmuebles, bajo matricula de Folio Real número 170866, Distrito Buenos Aires, Cantón Buenos Aires, Linda al norte: Daysi Emilice Elizondo Beita; </w:t>
      </w:r>
      <w:r w:rsidRPr="00A91674">
        <w:lastRenderedPageBreak/>
        <w:t>sur Agropecuario El Remolino S. A.; este Agropecuario El Remolino S. A.; y al oeste Calle Pública, Plano Catastro número P-1370837-2009, del total del área del inmueble, el área a utilizar es de aproximadamente diez mil veinticuatro metros cuadrados (10 024 m2).</w:t>
      </w:r>
    </w:p>
    <w:p w14:paraId="32A5C072" w14:textId="77777777" w:rsidR="00E20455" w:rsidRPr="00A91674" w:rsidRDefault="00E20455" w:rsidP="00E20455">
      <w:pPr>
        <w:shd w:val="clear" w:color="auto" w:fill="FFFFFF" w:themeFill="background1"/>
        <w:spacing w:after="0" w:line="240" w:lineRule="auto"/>
        <w:ind w:left="66"/>
      </w:pPr>
    </w:p>
    <w:p w14:paraId="1BD4B2B4" w14:textId="77777777" w:rsidR="00E20455" w:rsidRDefault="00E20455" w:rsidP="00E20455">
      <w:pPr>
        <w:shd w:val="clear" w:color="auto" w:fill="FFFFFF" w:themeFill="background1"/>
        <w:spacing w:after="0" w:line="240" w:lineRule="auto"/>
        <w:ind w:left="66"/>
      </w:pPr>
      <w:r w:rsidRPr="00201760">
        <w:t>Dichos inmuebles fueron cedidos en calidad de préstamo gratuito, a título precario y en forma ininterrumpida durante su vigencia (la vigencia es de 1 año prorrogable hasta por 4 periodos iguales), mediante convenio CON-006-19 del 7 de marzo de 2019, para desarrollar en dichos bienes entre otros: programas de capacitación para los habitantes del Cantón de Buenos Aires, así como de la Municipalidad, actividades de recreación para la población en general, desarrollo de proyectos productivos o investigación, así como el almacenamiento, taller y custodia de maquinaria y otros activos municipales.</w:t>
      </w:r>
    </w:p>
    <w:p w14:paraId="49D85C56" w14:textId="77777777" w:rsidR="00E20455" w:rsidRPr="00201760" w:rsidRDefault="00E20455" w:rsidP="00E20455">
      <w:pPr>
        <w:shd w:val="clear" w:color="auto" w:fill="FFFFFF" w:themeFill="background1"/>
        <w:spacing w:after="0" w:line="240" w:lineRule="auto"/>
        <w:ind w:left="66"/>
      </w:pPr>
    </w:p>
    <w:p w14:paraId="0C5B2AE2" w14:textId="1BA9200B" w:rsidR="00E20455" w:rsidRDefault="00E20455" w:rsidP="00E20455">
      <w:pPr>
        <w:shd w:val="clear" w:color="auto" w:fill="FFFFFF" w:themeFill="background1"/>
        <w:spacing w:line="240" w:lineRule="auto"/>
        <w:ind w:left="66"/>
      </w:pPr>
      <w:r w:rsidRPr="001613E7">
        <w:t>En relación con el convenio en comentario mediante oficio Nº AMBA-175-2024 del 14 marzo de 2024 el señor Alcalde solicitó a la Presidencia Ejecutiva del ICE la donación del inmueble propiedad del ICE, ubicado en el sector conocido como “Bajo Remolino”, Buenos Aires, Puntarenas. Sobre el particular, mediante oficio Nº AMBA-393-2024 del 29 de junio de 2024, el señor Alcalde informa que a esa fecha no se ha recibido respuesta del ICE y que a dicho trámite el ICE le asignó el consecutivo D-010-2024. Asimismo, indica que el convenio existente inició el 7 de marz</w:t>
      </w:r>
      <w:r>
        <w:t>o de 2019 y venció el 7 de marzo de 2024. Finalmente, s</w:t>
      </w:r>
      <w:r w:rsidRPr="00DF4D09">
        <w:t>egún información del departamento de Legal, se formuló una propuesta y</w:t>
      </w:r>
      <w:r>
        <w:t xml:space="preserve"> según información de la Alcaldia </w:t>
      </w:r>
      <w:r w:rsidRPr="00643A62">
        <w:t xml:space="preserve">Municipal se tenía programada reunión para el día 17 de </w:t>
      </w:r>
      <w:r w:rsidR="00D64CF8">
        <w:t>diciembre</w:t>
      </w:r>
      <w:r w:rsidRPr="00643A62">
        <w:t xml:space="preserve"> con directivos del ICE para definir términos del convenio, dicha reunión </w:t>
      </w:r>
      <w:r>
        <w:t>fue realizada; por parte del ICE se recibieron ciertas indicaciones y se estableció un cronograma de reuniones para revisión, y la fecha próxima para la primera es para el 11 de noviembre 2024.</w:t>
      </w:r>
    </w:p>
    <w:p w14:paraId="2088D933" w14:textId="77777777" w:rsidR="00E20455" w:rsidRPr="00201760" w:rsidRDefault="00E20455" w:rsidP="00E20455">
      <w:pPr>
        <w:shd w:val="clear" w:color="auto" w:fill="FFFFFF" w:themeFill="background1"/>
        <w:spacing w:after="0" w:line="240" w:lineRule="auto"/>
        <w:ind w:left="66"/>
      </w:pPr>
    </w:p>
    <w:p w14:paraId="3D013CBD" w14:textId="2A141E35" w:rsidR="00E20455" w:rsidRPr="00893EA3" w:rsidRDefault="00E20455" w:rsidP="00E20455">
      <w:pPr>
        <w:spacing w:after="0" w:line="240" w:lineRule="auto"/>
        <w:rPr>
          <w:rFonts w:cs="Calibri"/>
          <w:b/>
          <w:bCs/>
          <w:color w:val="000000"/>
          <w:sz w:val="20"/>
          <w:szCs w:val="20"/>
        </w:rPr>
      </w:pPr>
      <w:r w:rsidRPr="00201760">
        <w:t xml:space="preserve">Por otra parte, debe señalarse que, al </w:t>
      </w:r>
      <w:r w:rsidR="00796636">
        <w:t>31</w:t>
      </w:r>
      <w:r>
        <w:t xml:space="preserve"> de </w:t>
      </w:r>
      <w:r w:rsidR="00D64CF8">
        <w:t>diciembre</w:t>
      </w:r>
      <w:r w:rsidRPr="00201760">
        <w:t xml:space="preserve"> de </w:t>
      </w:r>
      <w:r>
        <w:t>2024</w:t>
      </w:r>
      <w:r w:rsidRPr="00201760">
        <w:t xml:space="preserve"> de los </w:t>
      </w:r>
      <w:r w:rsidR="00EB09C1">
        <w:t>1 026</w:t>
      </w:r>
      <w:r w:rsidRPr="00201760">
        <w:t xml:space="preserve"> activos que se mantenían en uso, </w:t>
      </w:r>
      <w:r w:rsidR="00EB09C1">
        <w:t>337</w:t>
      </w:r>
      <w:r w:rsidRPr="00201760">
        <w:t xml:space="preserve"> activos</w:t>
      </w:r>
      <w:r>
        <w:t xml:space="preserve"> con un valor original total de </w:t>
      </w:r>
      <w:r w:rsidRPr="00397867">
        <w:rPr>
          <w:rFonts w:ascii="Arial" w:hAnsi="Arial" w:cs="Arial"/>
        </w:rPr>
        <w:t>₡</w:t>
      </w:r>
      <w:r>
        <w:t>1</w:t>
      </w:r>
      <w:r w:rsidR="00EB09C1">
        <w:t> 046 609,97</w:t>
      </w:r>
      <w:r w:rsidRPr="00397867">
        <w:t xml:space="preserve"> </w:t>
      </w:r>
      <w:r w:rsidRPr="005D1E01">
        <w:t>miles</w:t>
      </w:r>
      <w:r>
        <w:t>,</w:t>
      </w:r>
      <w:r>
        <w:rPr>
          <w:rFonts w:cs="Calibri"/>
          <w:b/>
          <w:bCs/>
          <w:color w:val="000000"/>
          <w:sz w:val="20"/>
          <w:szCs w:val="20"/>
        </w:rPr>
        <w:t xml:space="preserve"> </w:t>
      </w:r>
      <w:r w:rsidRPr="00201760">
        <w:t>ya cumplieron su vida útil</w:t>
      </w:r>
      <w:r>
        <w:t>,</w:t>
      </w:r>
      <w:r w:rsidRPr="00201760">
        <w:t xml:space="preserve"> por lo que su valor en libros es de cero, los cuales serán objeto de valoración para darles un valor atribuido según sus características, con apego a lo establecido en la NICSP 33. El </w:t>
      </w:r>
      <w:r>
        <w:t>resumen</w:t>
      </w:r>
      <w:r w:rsidRPr="00201760">
        <w:t xml:space="preserve"> de </w:t>
      </w:r>
      <w:r>
        <w:t xml:space="preserve">la cantidad de activos por clases </w:t>
      </w:r>
      <w:r w:rsidRPr="00201760">
        <w:t>se muestra en el siguiente cuadro:</w:t>
      </w:r>
    </w:p>
    <w:p w14:paraId="7383F5E0" w14:textId="20D775FE" w:rsidR="00E20455" w:rsidRDefault="0014248C" w:rsidP="00E20455">
      <w:pPr>
        <w:spacing w:after="0" w:line="240" w:lineRule="auto"/>
      </w:pPr>
      <w:r w:rsidRPr="0014248C">
        <w:rPr>
          <w:noProof/>
          <w:lang w:eastAsia="es-CR"/>
        </w:rPr>
        <w:lastRenderedPageBreak/>
        <w:drawing>
          <wp:inline distT="0" distB="0" distL="0" distR="0" wp14:anchorId="47E8192B" wp14:editId="284418FA">
            <wp:extent cx="5611696" cy="4601260"/>
            <wp:effectExtent l="0" t="0" r="8255"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13310" cy="4602583"/>
                    </a:xfrm>
                    <a:prstGeom prst="rect">
                      <a:avLst/>
                    </a:prstGeom>
                    <a:noFill/>
                    <a:ln>
                      <a:noFill/>
                    </a:ln>
                  </pic:spPr>
                </pic:pic>
              </a:graphicData>
            </a:graphic>
          </wp:inline>
        </w:drawing>
      </w:r>
    </w:p>
    <w:p w14:paraId="4B760931" w14:textId="77777777" w:rsidR="00E20455" w:rsidRDefault="00E20455" w:rsidP="00E20455">
      <w:pPr>
        <w:rPr>
          <w:rFonts w:asciiTheme="minorHAnsi" w:hAnsiTheme="minorHAnsi"/>
          <w:sz w:val="22"/>
        </w:rPr>
      </w:pPr>
      <w:r>
        <w:fldChar w:fldCharType="begin"/>
      </w:r>
      <w:r>
        <w:instrText xml:space="preserve"> LINK Excel.SheetMacroEnabled.12 C:\\Users\\gcordero\\Downloads\\Formato_Notas_EEFF_Vinculadas_2024\\Formato_Notas_EEFF_Vinculadas_2024\\15603_T03_2024_Anexo_Estado_Notas_Contables_Vinculadas.xlsm NOTAS_POR_CUENTA!F40C1:F42C6 \a \f 4 \h </w:instrText>
      </w:r>
      <w:r>
        <w:fldChar w:fldCharType="separate"/>
      </w:r>
    </w:p>
    <w:tbl>
      <w:tblPr>
        <w:tblW w:w="9600" w:type="dxa"/>
        <w:tblCellMar>
          <w:left w:w="70" w:type="dxa"/>
          <w:right w:w="70" w:type="dxa"/>
        </w:tblCellMar>
        <w:tblLook w:val="04A0" w:firstRow="1" w:lastRow="0" w:firstColumn="1" w:lastColumn="0" w:noHBand="0" w:noVBand="1"/>
      </w:tblPr>
      <w:tblGrid>
        <w:gridCol w:w="715"/>
        <w:gridCol w:w="3165"/>
        <w:gridCol w:w="500"/>
        <w:gridCol w:w="2100"/>
        <w:gridCol w:w="2100"/>
        <w:gridCol w:w="1020"/>
      </w:tblGrid>
      <w:tr w:rsidR="00E20455" w:rsidRPr="002D4953" w14:paraId="5660F604" w14:textId="77777777" w:rsidTr="0061790F">
        <w:trPr>
          <w:trHeight w:val="330"/>
        </w:trPr>
        <w:tc>
          <w:tcPr>
            <w:tcW w:w="6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A4B8242" w14:textId="77777777" w:rsidR="00E20455" w:rsidRPr="002D4953" w:rsidRDefault="00E20455" w:rsidP="0061790F">
            <w:pPr>
              <w:spacing w:after="0" w:line="240" w:lineRule="auto"/>
              <w:rPr>
                <w:rFonts w:eastAsia="Times New Roman" w:cs="Calibri"/>
                <w:b/>
                <w:bCs/>
                <w:color w:val="FFFFFF"/>
                <w:sz w:val="18"/>
                <w:szCs w:val="18"/>
                <w:lang w:eastAsia="es-CR"/>
              </w:rPr>
            </w:pPr>
            <w:r w:rsidRPr="002D4953">
              <w:rPr>
                <w:rFonts w:eastAsia="Times New Roman" w:cs="Calibri"/>
                <w:b/>
                <w:bCs/>
                <w:color w:val="FFFFFF"/>
                <w:sz w:val="18"/>
                <w:szCs w:val="18"/>
                <w:lang w:eastAsia="es-CR"/>
              </w:rPr>
              <w:t xml:space="preserve">Cuenta </w:t>
            </w:r>
          </w:p>
        </w:tc>
        <w:tc>
          <w:tcPr>
            <w:tcW w:w="32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DD0CF35" w14:textId="77777777" w:rsidR="00E20455" w:rsidRPr="002D4953" w:rsidRDefault="00E20455" w:rsidP="0061790F">
            <w:pPr>
              <w:spacing w:after="0" w:line="240" w:lineRule="auto"/>
              <w:jc w:val="center"/>
              <w:rPr>
                <w:rFonts w:eastAsia="Times New Roman" w:cs="Calibri"/>
                <w:b/>
                <w:bCs/>
                <w:color w:val="FFFFFF"/>
                <w:sz w:val="18"/>
                <w:szCs w:val="18"/>
                <w:lang w:eastAsia="es-CR"/>
              </w:rPr>
            </w:pPr>
            <w:r w:rsidRPr="002D495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EA9E4B2" w14:textId="77777777" w:rsidR="00E20455" w:rsidRPr="002D4953" w:rsidRDefault="00E20455" w:rsidP="0061790F">
            <w:pPr>
              <w:spacing w:after="0" w:line="240" w:lineRule="auto"/>
              <w:jc w:val="center"/>
              <w:rPr>
                <w:rFonts w:eastAsia="Times New Roman" w:cs="Calibri"/>
                <w:b/>
                <w:bCs/>
                <w:color w:val="FFFFFF"/>
                <w:sz w:val="18"/>
                <w:szCs w:val="18"/>
                <w:lang w:eastAsia="es-CR"/>
              </w:rPr>
            </w:pPr>
            <w:r w:rsidRPr="002D4953">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6B73C3B" w14:textId="77777777" w:rsidR="00E20455" w:rsidRPr="002D4953" w:rsidRDefault="00E20455" w:rsidP="0061790F">
            <w:pPr>
              <w:spacing w:after="0" w:line="240" w:lineRule="auto"/>
              <w:jc w:val="center"/>
              <w:rPr>
                <w:rFonts w:eastAsia="Times New Roman" w:cs="Calibri"/>
                <w:b/>
                <w:bCs/>
                <w:color w:val="FFFFFF"/>
                <w:sz w:val="18"/>
                <w:szCs w:val="18"/>
                <w:lang w:eastAsia="es-CR"/>
              </w:rPr>
            </w:pPr>
            <w:r w:rsidRPr="002D4953">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E8E8CC8" w14:textId="77777777" w:rsidR="00E20455" w:rsidRPr="002D4953" w:rsidRDefault="00E20455" w:rsidP="0061790F">
            <w:pPr>
              <w:spacing w:after="0" w:line="240" w:lineRule="auto"/>
              <w:jc w:val="center"/>
              <w:rPr>
                <w:rFonts w:eastAsia="Times New Roman" w:cs="Calibri"/>
                <w:b/>
                <w:bCs/>
                <w:color w:val="FFFFFF"/>
                <w:sz w:val="18"/>
                <w:szCs w:val="18"/>
                <w:lang w:eastAsia="es-CR"/>
              </w:rPr>
            </w:pPr>
            <w:r w:rsidRPr="002D4953">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6DBBBD7A" w14:textId="77777777" w:rsidR="00E20455" w:rsidRPr="002D4953" w:rsidRDefault="00E20455" w:rsidP="0061790F">
            <w:pPr>
              <w:spacing w:after="0" w:line="240" w:lineRule="auto"/>
              <w:jc w:val="center"/>
              <w:rPr>
                <w:rFonts w:eastAsia="Times New Roman" w:cs="Calibri"/>
                <w:b/>
                <w:bCs/>
                <w:color w:val="FFFFFF"/>
                <w:sz w:val="18"/>
                <w:szCs w:val="18"/>
                <w:lang w:eastAsia="es-CR"/>
              </w:rPr>
            </w:pPr>
            <w:r w:rsidRPr="002D4953">
              <w:rPr>
                <w:rFonts w:eastAsia="Times New Roman" w:cs="Calibri"/>
                <w:b/>
                <w:bCs/>
                <w:color w:val="FFFFFF"/>
                <w:sz w:val="18"/>
                <w:szCs w:val="18"/>
                <w:lang w:eastAsia="es-CR"/>
              </w:rPr>
              <w:t xml:space="preserve">Diferencia </w:t>
            </w:r>
          </w:p>
        </w:tc>
      </w:tr>
      <w:tr w:rsidR="00E20455" w:rsidRPr="002D4953" w14:paraId="262D9EF1" w14:textId="77777777" w:rsidTr="0061790F">
        <w:trPr>
          <w:trHeight w:val="330"/>
        </w:trPr>
        <w:tc>
          <w:tcPr>
            <w:tcW w:w="660" w:type="dxa"/>
            <w:vMerge/>
            <w:tcBorders>
              <w:top w:val="single" w:sz="8" w:space="0" w:color="auto"/>
              <w:left w:val="single" w:sz="8" w:space="0" w:color="auto"/>
              <w:bottom w:val="single" w:sz="8" w:space="0" w:color="000000"/>
              <w:right w:val="single" w:sz="8" w:space="0" w:color="auto"/>
            </w:tcBorders>
            <w:vAlign w:val="center"/>
            <w:hideMark/>
          </w:tcPr>
          <w:p w14:paraId="60CAEBAA" w14:textId="77777777" w:rsidR="00E20455" w:rsidRPr="002D4953" w:rsidRDefault="00E20455" w:rsidP="0061790F">
            <w:pPr>
              <w:spacing w:after="0" w:line="240" w:lineRule="auto"/>
              <w:jc w:val="left"/>
              <w:rPr>
                <w:rFonts w:eastAsia="Times New Roman" w:cs="Calibri"/>
                <w:b/>
                <w:bCs/>
                <w:color w:val="FFFFFF"/>
                <w:sz w:val="18"/>
                <w:szCs w:val="18"/>
                <w:lang w:eastAsia="es-CR"/>
              </w:rPr>
            </w:pPr>
          </w:p>
        </w:tc>
        <w:tc>
          <w:tcPr>
            <w:tcW w:w="3220" w:type="dxa"/>
            <w:vMerge/>
            <w:tcBorders>
              <w:top w:val="single" w:sz="8" w:space="0" w:color="auto"/>
              <w:left w:val="single" w:sz="8" w:space="0" w:color="auto"/>
              <w:bottom w:val="single" w:sz="8" w:space="0" w:color="000000"/>
              <w:right w:val="single" w:sz="8" w:space="0" w:color="auto"/>
            </w:tcBorders>
            <w:vAlign w:val="center"/>
            <w:hideMark/>
          </w:tcPr>
          <w:p w14:paraId="63BFCE65" w14:textId="77777777" w:rsidR="00E20455" w:rsidRPr="002D4953" w:rsidRDefault="00E20455" w:rsidP="0061790F">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505DD946" w14:textId="77777777" w:rsidR="00E20455" w:rsidRPr="002D4953" w:rsidRDefault="00E20455" w:rsidP="0061790F">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3B653170" w14:textId="77777777" w:rsidR="00E20455" w:rsidRPr="002D4953" w:rsidRDefault="00E20455" w:rsidP="0061790F">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34267BD1" w14:textId="77777777" w:rsidR="00E20455" w:rsidRPr="002D4953" w:rsidRDefault="00E20455" w:rsidP="0061790F">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4368CA81" w14:textId="77777777" w:rsidR="00E20455" w:rsidRPr="002D4953" w:rsidRDefault="00E20455" w:rsidP="0061790F">
            <w:pPr>
              <w:spacing w:after="0" w:line="240" w:lineRule="auto"/>
              <w:jc w:val="center"/>
              <w:rPr>
                <w:rFonts w:eastAsia="Times New Roman" w:cs="Calibri"/>
                <w:color w:val="FFFFFF"/>
                <w:sz w:val="18"/>
                <w:szCs w:val="18"/>
                <w:lang w:eastAsia="es-CR"/>
              </w:rPr>
            </w:pPr>
            <w:r w:rsidRPr="002D4953">
              <w:rPr>
                <w:rFonts w:eastAsia="Times New Roman" w:cs="Calibri"/>
                <w:color w:val="FFFFFF"/>
                <w:sz w:val="18"/>
                <w:szCs w:val="18"/>
                <w:lang w:eastAsia="es-CR"/>
              </w:rPr>
              <w:t>%</w:t>
            </w:r>
          </w:p>
        </w:tc>
      </w:tr>
      <w:tr w:rsidR="00E20455" w:rsidRPr="002D4953" w14:paraId="6EF6EFA2" w14:textId="77777777" w:rsidTr="0061790F">
        <w:trPr>
          <w:trHeight w:val="330"/>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3F37427E" w14:textId="77777777" w:rsidR="00E20455" w:rsidRPr="002D4953" w:rsidRDefault="00E20455" w:rsidP="0061790F">
            <w:pPr>
              <w:spacing w:after="0" w:line="240" w:lineRule="auto"/>
              <w:jc w:val="left"/>
              <w:rPr>
                <w:rFonts w:eastAsia="Times New Roman" w:cs="Calibri"/>
                <w:b/>
                <w:bCs/>
                <w:color w:val="000000"/>
                <w:sz w:val="18"/>
                <w:szCs w:val="18"/>
                <w:lang w:eastAsia="es-CR"/>
              </w:rPr>
            </w:pPr>
            <w:r w:rsidRPr="002D4953">
              <w:rPr>
                <w:rFonts w:eastAsia="Times New Roman" w:cs="Calibri"/>
                <w:b/>
                <w:bCs/>
                <w:color w:val="000000"/>
                <w:sz w:val="18"/>
                <w:szCs w:val="18"/>
                <w:lang w:eastAsia="es-CR"/>
              </w:rPr>
              <w:t>1.2.5.02.</w:t>
            </w:r>
          </w:p>
        </w:tc>
        <w:tc>
          <w:tcPr>
            <w:tcW w:w="3220" w:type="dxa"/>
            <w:tcBorders>
              <w:top w:val="nil"/>
              <w:left w:val="nil"/>
              <w:bottom w:val="single" w:sz="8" w:space="0" w:color="auto"/>
              <w:right w:val="single" w:sz="8" w:space="0" w:color="auto"/>
            </w:tcBorders>
            <w:shd w:val="clear" w:color="auto" w:fill="auto"/>
            <w:vAlign w:val="center"/>
            <w:hideMark/>
          </w:tcPr>
          <w:p w14:paraId="45FEA56E" w14:textId="77777777" w:rsidR="00E20455" w:rsidRPr="002D4953" w:rsidRDefault="00E20455" w:rsidP="0061790F">
            <w:pPr>
              <w:spacing w:after="0" w:line="240" w:lineRule="auto"/>
              <w:jc w:val="left"/>
              <w:rPr>
                <w:rFonts w:eastAsia="Times New Roman" w:cs="Calibri"/>
                <w:b/>
                <w:bCs/>
                <w:color w:val="000000"/>
                <w:sz w:val="18"/>
                <w:szCs w:val="18"/>
                <w:lang w:eastAsia="es-CR"/>
              </w:rPr>
            </w:pPr>
            <w:r w:rsidRPr="002D4953">
              <w:rPr>
                <w:rFonts w:eastAsia="Times New Roman" w:cs="Calibri"/>
                <w:b/>
                <w:bCs/>
                <w:color w:val="000000"/>
                <w:sz w:val="18"/>
                <w:szCs w:val="18"/>
                <w:lang w:eastAsia="es-CR"/>
              </w:rPr>
              <w:t>Propiedades de inversión</w:t>
            </w:r>
          </w:p>
        </w:tc>
        <w:tc>
          <w:tcPr>
            <w:tcW w:w="500" w:type="dxa"/>
            <w:tcBorders>
              <w:top w:val="nil"/>
              <w:left w:val="nil"/>
              <w:bottom w:val="single" w:sz="8" w:space="0" w:color="auto"/>
              <w:right w:val="single" w:sz="8" w:space="0" w:color="auto"/>
            </w:tcBorders>
            <w:shd w:val="clear" w:color="auto" w:fill="auto"/>
            <w:noWrap/>
            <w:vAlign w:val="center"/>
            <w:hideMark/>
          </w:tcPr>
          <w:p w14:paraId="551D35A4" w14:textId="77777777" w:rsidR="00E20455" w:rsidRPr="002D4953" w:rsidRDefault="00E20455" w:rsidP="0061790F">
            <w:pPr>
              <w:spacing w:after="0" w:line="240" w:lineRule="auto"/>
              <w:jc w:val="center"/>
              <w:rPr>
                <w:rFonts w:eastAsia="Times New Roman" w:cs="Calibri"/>
                <w:b/>
                <w:bCs/>
                <w:color w:val="000000"/>
                <w:sz w:val="18"/>
                <w:szCs w:val="18"/>
                <w:lang w:eastAsia="es-CR"/>
              </w:rPr>
            </w:pPr>
            <w:r w:rsidRPr="002D4953">
              <w:rPr>
                <w:rFonts w:eastAsia="Times New Roman" w:cs="Calibri"/>
                <w:b/>
                <w:bCs/>
                <w:color w:val="000000"/>
                <w:sz w:val="18"/>
                <w:szCs w:val="18"/>
                <w:lang w:eastAsia="es-CR"/>
              </w:rPr>
              <w:t>10</w:t>
            </w:r>
          </w:p>
        </w:tc>
        <w:tc>
          <w:tcPr>
            <w:tcW w:w="2100" w:type="dxa"/>
            <w:tcBorders>
              <w:top w:val="nil"/>
              <w:left w:val="nil"/>
              <w:bottom w:val="single" w:sz="8" w:space="0" w:color="auto"/>
              <w:right w:val="single" w:sz="8" w:space="0" w:color="auto"/>
            </w:tcBorders>
            <w:shd w:val="clear" w:color="auto" w:fill="auto"/>
            <w:noWrap/>
            <w:vAlign w:val="center"/>
            <w:hideMark/>
          </w:tcPr>
          <w:p w14:paraId="5C9FB5C2" w14:textId="77777777" w:rsidR="00E20455" w:rsidRPr="002D4953" w:rsidRDefault="00E20455" w:rsidP="0061790F">
            <w:pPr>
              <w:spacing w:after="0" w:line="240" w:lineRule="auto"/>
              <w:jc w:val="center"/>
              <w:rPr>
                <w:rFonts w:eastAsia="Times New Roman" w:cs="Calibri"/>
                <w:b/>
                <w:bCs/>
                <w:color w:val="000000"/>
                <w:sz w:val="16"/>
                <w:szCs w:val="16"/>
                <w:lang w:eastAsia="es-CR"/>
              </w:rPr>
            </w:pPr>
            <w:r w:rsidRPr="002D4953">
              <w:rPr>
                <w:rFonts w:eastAsia="Times New Roman" w:cs="Calibri"/>
                <w:b/>
                <w:bCs/>
                <w:color w:val="000000"/>
                <w:sz w:val="16"/>
                <w:szCs w:val="16"/>
                <w:lang w:eastAsia="es-CR"/>
              </w:rPr>
              <w:t xml:space="preserve"> -   </w:t>
            </w:r>
          </w:p>
        </w:tc>
        <w:tc>
          <w:tcPr>
            <w:tcW w:w="2100" w:type="dxa"/>
            <w:tcBorders>
              <w:top w:val="nil"/>
              <w:left w:val="nil"/>
              <w:bottom w:val="single" w:sz="8" w:space="0" w:color="auto"/>
              <w:right w:val="single" w:sz="8" w:space="0" w:color="auto"/>
            </w:tcBorders>
            <w:shd w:val="clear" w:color="auto" w:fill="auto"/>
            <w:noWrap/>
            <w:vAlign w:val="center"/>
            <w:hideMark/>
          </w:tcPr>
          <w:p w14:paraId="760CC3DE" w14:textId="77777777" w:rsidR="00E20455" w:rsidRPr="002D4953" w:rsidRDefault="00E20455" w:rsidP="0061790F">
            <w:pPr>
              <w:spacing w:after="0" w:line="240" w:lineRule="auto"/>
              <w:jc w:val="center"/>
              <w:rPr>
                <w:rFonts w:eastAsia="Times New Roman" w:cs="Calibri"/>
                <w:b/>
                <w:bCs/>
                <w:color w:val="000000"/>
                <w:sz w:val="16"/>
                <w:szCs w:val="16"/>
                <w:lang w:eastAsia="es-CR"/>
              </w:rPr>
            </w:pPr>
            <w:r w:rsidRPr="002D4953">
              <w:rPr>
                <w:rFonts w:eastAsia="Times New Roman" w:cs="Calibri"/>
                <w:b/>
                <w:bCs/>
                <w:color w:val="000000"/>
                <w:sz w:val="16"/>
                <w:szCs w:val="16"/>
                <w:lang w:eastAsia="es-CR"/>
              </w:rPr>
              <w:t xml:space="preserve"> -   </w:t>
            </w:r>
          </w:p>
        </w:tc>
        <w:tc>
          <w:tcPr>
            <w:tcW w:w="1020" w:type="dxa"/>
            <w:tcBorders>
              <w:top w:val="nil"/>
              <w:left w:val="nil"/>
              <w:bottom w:val="single" w:sz="8" w:space="0" w:color="auto"/>
              <w:right w:val="single" w:sz="8" w:space="0" w:color="auto"/>
            </w:tcBorders>
            <w:shd w:val="clear" w:color="auto" w:fill="auto"/>
            <w:noWrap/>
            <w:vAlign w:val="center"/>
            <w:hideMark/>
          </w:tcPr>
          <w:p w14:paraId="62C3072B" w14:textId="77777777" w:rsidR="00E20455" w:rsidRPr="002D4953" w:rsidRDefault="00E20455" w:rsidP="0061790F">
            <w:pPr>
              <w:spacing w:after="0" w:line="240" w:lineRule="auto"/>
              <w:jc w:val="center"/>
              <w:rPr>
                <w:rFonts w:eastAsia="Times New Roman" w:cs="Calibri"/>
                <w:b/>
                <w:bCs/>
                <w:color w:val="000000"/>
                <w:sz w:val="18"/>
                <w:szCs w:val="18"/>
                <w:lang w:eastAsia="es-CR"/>
              </w:rPr>
            </w:pPr>
            <w:r w:rsidRPr="002D4953">
              <w:rPr>
                <w:rFonts w:eastAsia="Times New Roman" w:cs="Calibri"/>
                <w:b/>
                <w:bCs/>
                <w:color w:val="000000"/>
                <w:sz w:val="18"/>
                <w:szCs w:val="18"/>
                <w:lang w:eastAsia="es-CR"/>
              </w:rPr>
              <w:t>0,00%</w:t>
            </w:r>
          </w:p>
        </w:tc>
      </w:tr>
    </w:tbl>
    <w:p w14:paraId="12541317" w14:textId="77777777" w:rsidR="00E20455" w:rsidRPr="00692DC8" w:rsidRDefault="00E20455" w:rsidP="00E20455">
      <w:r>
        <w:fldChar w:fldCharType="end"/>
      </w:r>
    </w:p>
    <w:p w14:paraId="3E6D08EF" w14:textId="77777777" w:rsidR="00E20455" w:rsidRPr="00692DC8" w:rsidRDefault="00E20455" w:rsidP="00E20455">
      <w:pPr>
        <w:spacing w:line="240" w:lineRule="auto"/>
      </w:pPr>
      <w:r w:rsidRPr="00692DC8">
        <w:t>Base Contable</w:t>
      </w:r>
    </w:p>
    <w:p w14:paraId="77FC9FC6" w14:textId="77777777" w:rsidR="00E20455" w:rsidRDefault="00E20455" w:rsidP="00E20455">
      <w:pPr>
        <w:spacing w:line="240" w:lineRule="auto"/>
      </w:pPr>
      <w:r w:rsidRPr="00692DC8">
        <w:t xml:space="preserve">Marque con 1, si cumple </w:t>
      </w:r>
    </w:p>
    <w:tbl>
      <w:tblPr>
        <w:tblW w:w="7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00"/>
        <w:gridCol w:w="680"/>
      </w:tblGrid>
      <w:tr w:rsidR="00E20455" w:rsidRPr="00802DCC" w14:paraId="1BFC9C47" w14:textId="77777777" w:rsidTr="0061790F">
        <w:trPr>
          <w:trHeight w:val="324"/>
        </w:trPr>
        <w:tc>
          <w:tcPr>
            <w:tcW w:w="6400" w:type="dxa"/>
            <w:shd w:val="clear" w:color="auto" w:fill="auto"/>
            <w:vAlign w:val="center"/>
            <w:hideMark/>
          </w:tcPr>
          <w:p w14:paraId="318A5ECD" w14:textId="77777777" w:rsidR="00E20455" w:rsidRPr="00802DCC" w:rsidRDefault="00E20455" w:rsidP="0061790F">
            <w:pPr>
              <w:spacing w:after="0" w:line="240" w:lineRule="auto"/>
              <w:rPr>
                <w:rFonts w:eastAsia="Times New Roman" w:cs="Calibri"/>
                <w:color w:val="000000"/>
                <w:szCs w:val="24"/>
                <w:lang w:eastAsia="es-CR"/>
              </w:rPr>
            </w:pPr>
            <w:r w:rsidRPr="00802DCC">
              <w:rPr>
                <w:rFonts w:eastAsia="Times New Roman" w:cs="Calibri"/>
                <w:color w:val="000000"/>
                <w:szCs w:val="24"/>
                <w:lang w:val="es-ES" w:eastAsia="es-CR"/>
              </w:rPr>
              <w:t>Propiedades están debidamente registrados en Registro Nacional</w:t>
            </w:r>
          </w:p>
        </w:tc>
        <w:tc>
          <w:tcPr>
            <w:tcW w:w="680" w:type="dxa"/>
            <w:shd w:val="clear" w:color="auto" w:fill="auto"/>
            <w:noWrap/>
            <w:vAlign w:val="center"/>
            <w:hideMark/>
          </w:tcPr>
          <w:p w14:paraId="2463994B" w14:textId="77777777" w:rsidR="00E20455" w:rsidRPr="00802DCC" w:rsidRDefault="00E20455" w:rsidP="0061790F">
            <w:pPr>
              <w:spacing w:after="0" w:line="240" w:lineRule="auto"/>
              <w:rPr>
                <w:rFonts w:eastAsia="Times New Roman" w:cs="Calibri"/>
                <w:color w:val="000000"/>
                <w:szCs w:val="24"/>
                <w:lang w:eastAsia="es-CR"/>
              </w:rPr>
            </w:pPr>
            <w:r w:rsidRPr="00802DCC">
              <w:rPr>
                <w:rFonts w:eastAsia="Times New Roman" w:cs="Calibri"/>
                <w:color w:val="000000"/>
                <w:szCs w:val="24"/>
                <w:lang w:val="es-ES" w:eastAsia="es-CR"/>
              </w:rPr>
              <w:t> </w:t>
            </w:r>
          </w:p>
        </w:tc>
      </w:tr>
      <w:tr w:rsidR="00E20455" w:rsidRPr="00802DCC" w14:paraId="6EC9AD3E" w14:textId="77777777" w:rsidTr="0061790F">
        <w:trPr>
          <w:trHeight w:val="324"/>
        </w:trPr>
        <w:tc>
          <w:tcPr>
            <w:tcW w:w="6400" w:type="dxa"/>
            <w:shd w:val="clear" w:color="auto" w:fill="auto"/>
            <w:noWrap/>
            <w:vAlign w:val="center"/>
            <w:hideMark/>
          </w:tcPr>
          <w:p w14:paraId="450414F4" w14:textId="77777777" w:rsidR="00E20455" w:rsidRPr="00802DCC" w:rsidRDefault="00E20455" w:rsidP="0061790F">
            <w:pPr>
              <w:spacing w:after="0" w:line="240" w:lineRule="auto"/>
              <w:rPr>
                <w:rFonts w:eastAsia="Times New Roman" w:cs="Calibri"/>
                <w:color w:val="000000"/>
                <w:szCs w:val="24"/>
                <w:lang w:eastAsia="es-CR"/>
              </w:rPr>
            </w:pPr>
            <w:r w:rsidRPr="00802DCC">
              <w:rPr>
                <w:rFonts w:eastAsia="Times New Roman" w:cs="Calibri"/>
                <w:color w:val="000000"/>
                <w:szCs w:val="24"/>
                <w:lang w:val="es-ES" w:eastAsia="es-CR"/>
              </w:rPr>
              <w:t>Propiedades cuentan con planos inscritos</w:t>
            </w:r>
          </w:p>
        </w:tc>
        <w:tc>
          <w:tcPr>
            <w:tcW w:w="680" w:type="dxa"/>
            <w:shd w:val="clear" w:color="auto" w:fill="auto"/>
            <w:noWrap/>
            <w:vAlign w:val="center"/>
            <w:hideMark/>
          </w:tcPr>
          <w:p w14:paraId="48A4A138" w14:textId="77777777" w:rsidR="00E20455" w:rsidRPr="00802DCC" w:rsidRDefault="00E20455" w:rsidP="0061790F">
            <w:pPr>
              <w:spacing w:after="0" w:line="240" w:lineRule="auto"/>
              <w:rPr>
                <w:rFonts w:eastAsia="Times New Roman" w:cs="Calibri"/>
                <w:color w:val="000000"/>
                <w:szCs w:val="24"/>
                <w:lang w:eastAsia="es-CR"/>
              </w:rPr>
            </w:pPr>
            <w:r w:rsidRPr="00802DCC">
              <w:rPr>
                <w:rFonts w:eastAsia="Times New Roman" w:cs="Calibri"/>
                <w:color w:val="000000"/>
                <w:szCs w:val="24"/>
                <w:lang w:val="es-ES" w:eastAsia="es-CR"/>
              </w:rPr>
              <w:t> </w:t>
            </w:r>
          </w:p>
        </w:tc>
      </w:tr>
      <w:tr w:rsidR="00E20455" w:rsidRPr="00802DCC" w14:paraId="30A555CE" w14:textId="77777777" w:rsidTr="0061790F">
        <w:trPr>
          <w:trHeight w:val="324"/>
        </w:trPr>
        <w:tc>
          <w:tcPr>
            <w:tcW w:w="6400" w:type="dxa"/>
            <w:shd w:val="clear" w:color="auto" w:fill="auto"/>
            <w:noWrap/>
            <w:vAlign w:val="center"/>
            <w:hideMark/>
          </w:tcPr>
          <w:p w14:paraId="4A0823CD" w14:textId="77777777" w:rsidR="00E20455" w:rsidRPr="00802DCC" w:rsidRDefault="00E20455" w:rsidP="0061790F">
            <w:pPr>
              <w:spacing w:after="0" w:line="240" w:lineRule="auto"/>
              <w:rPr>
                <w:rFonts w:eastAsia="Times New Roman" w:cs="Calibri"/>
                <w:color w:val="000000"/>
                <w:szCs w:val="24"/>
                <w:lang w:eastAsia="es-CR"/>
              </w:rPr>
            </w:pPr>
            <w:r w:rsidRPr="00802DCC">
              <w:rPr>
                <w:rFonts w:eastAsia="Times New Roman" w:cs="Calibri"/>
                <w:color w:val="000000"/>
                <w:szCs w:val="24"/>
                <w:lang w:val="es-ES" w:eastAsia="es-CR"/>
              </w:rPr>
              <w:t>Se tiene control con el uso de las Propiedades</w:t>
            </w:r>
          </w:p>
        </w:tc>
        <w:tc>
          <w:tcPr>
            <w:tcW w:w="680" w:type="dxa"/>
            <w:shd w:val="clear" w:color="auto" w:fill="auto"/>
            <w:noWrap/>
            <w:vAlign w:val="center"/>
            <w:hideMark/>
          </w:tcPr>
          <w:p w14:paraId="3552481D" w14:textId="77777777" w:rsidR="00E20455" w:rsidRPr="00802DCC" w:rsidRDefault="00E20455" w:rsidP="0061790F">
            <w:pPr>
              <w:spacing w:after="0" w:line="240" w:lineRule="auto"/>
              <w:rPr>
                <w:rFonts w:eastAsia="Times New Roman" w:cs="Calibri"/>
                <w:color w:val="000000"/>
                <w:szCs w:val="24"/>
                <w:lang w:eastAsia="es-CR"/>
              </w:rPr>
            </w:pPr>
            <w:r w:rsidRPr="00802DCC">
              <w:rPr>
                <w:rFonts w:eastAsia="Times New Roman" w:cs="Calibri"/>
                <w:color w:val="000000"/>
                <w:szCs w:val="24"/>
                <w:lang w:val="es-ES" w:eastAsia="es-CR"/>
              </w:rPr>
              <w:t> </w:t>
            </w:r>
          </w:p>
        </w:tc>
      </w:tr>
      <w:tr w:rsidR="00E20455" w:rsidRPr="00802DCC" w14:paraId="2BF3E31C" w14:textId="77777777" w:rsidTr="0061790F">
        <w:trPr>
          <w:trHeight w:val="324"/>
        </w:trPr>
        <w:tc>
          <w:tcPr>
            <w:tcW w:w="6400" w:type="dxa"/>
            <w:shd w:val="clear" w:color="auto" w:fill="auto"/>
            <w:noWrap/>
            <w:vAlign w:val="center"/>
            <w:hideMark/>
          </w:tcPr>
          <w:p w14:paraId="51D98E6F" w14:textId="77777777" w:rsidR="00E20455" w:rsidRPr="00802DCC" w:rsidRDefault="00E20455" w:rsidP="0061790F">
            <w:pPr>
              <w:spacing w:after="0" w:line="240" w:lineRule="auto"/>
              <w:rPr>
                <w:rFonts w:eastAsia="Times New Roman" w:cs="Calibri"/>
                <w:color w:val="000000"/>
                <w:szCs w:val="24"/>
                <w:lang w:eastAsia="es-CR"/>
              </w:rPr>
            </w:pPr>
            <w:r w:rsidRPr="00802DCC">
              <w:rPr>
                <w:rFonts w:eastAsia="Times New Roman" w:cs="Calibri"/>
                <w:color w:val="000000"/>
                <w:szCs w:val="24"/>
                <w:lang w:val="es-ES" w:eastAsia="es-CR"/>
              </w:rPr>
              <w:t>Se tiene Propiedades ocupados ilegalmente.</w:t>
            </w:r>
          </w:p>
        </w:tc>
        <w:tc>
          <w:tcPr>
            <w:tcW w:w="680" w:type="dxa"/>
            <w:shd w:val="clear" w:color="auto" w:fill="auto"/>
            <w:noWrap/>
            <w:vAlign w:val="center"/>
            <w:hideMark/>
          </w:tcPr>
          <w:p w14:paraId="223A26EC" w14:textId="77777777" w:rsidR="00E20455" w:rsidRPr="00802DCC" w:rsidRDefault="00E20455" w:rsidP="0061790F">
            <w:pPr>
              <w:spacing w:after="0" w:line="240" w:lineRule="auto"/>
              <w:rPr>
                <w:rFonts w:eastAsia="Times New Roman" w:cs="Calibri"/>
                <w:color w:val="000000"/>
                <w:szCs w:val="24"/>
                <w:lang w:eastAsia="es-CR"/>
              </w:rPr>
            </w:pPr>
            <w:r w:rsidRPr="00802DCC">
              <w:rPr>
                <w:rFonts w:eastAsia="Times New Roman" w:cs="Calibri"/>
                <w:color w:val="000000"/>
                <w:szCs w:val="24"/>
                <w:lang w:val="es-ES" w:eastAsia="es-CR"/>
              </w:rPr>
              <w:t> </w:t>
            </w:r>
          </w:p>
        </w:tc>
      </w:tr>
    </w:tbl>
    <w:p w14:paraId="465C6590" w14:textId="189BD2AC" w:rsidR="00E20455" w:rsidRDefault="00E20455" w:rsidP="00E20455">
      <w:pPr>
        <w:spacing w:before="240"/>
        <w:rPr>
          <w:b/>
          <w:lang w:val="es-ES"/>
        </w:rPr>
      </w:pPr>
    </w:p>
    <w:p w14:paraId="2CEDCDDA" w14:textId="77777777" w:rsidR="006C1A13" w:rsidRDefault="006C1A13" w:rsidP="00E20455">
      <w:pPr>
        <w:spacing w:before="240"/>
        <w:rPr>
          <w:b/>
          <w:lang w:val="es-ES"/>
        </w:rPr>
      </w:pPr>
    </w:p>
    <w:p w14:paraId="315D51CE" w14:textId="77777777" w:rsidR="00396CB4" w:rsidRPr="00396CB4" w:rsidRDefault="00692DC8" w:rsidP="00396CB4">
      <w:pPr>
        <w:spacing w:before="240"/>
        <w:rPr>
          <w:b/>
          <w:lang w:val="es-ES"/>
        </w:rPr>
      </w:pPr>
      <w:r w:rsidRPr="0011777B">
        <w:rPr>
          <w:b/>
          <w:lang w:val="es-ES"/>
        </w:rPr>
        <w:lastRenderedPageBreak/>
        <w:t xml:space="preserve">Revelación: </w:t>
      </w:r>
      <w:r w:rsidR="00654C21">
        <w:rPr>
          <w:rFonts w:eastAsia="Times New Roman" w:cs="Calibri"/>
          <w:color w:val="000000"/>
          <w:lang w:eastAsia="es-CR"/>
        </w:rPr>
        <w:fldChar w:fldCharType="begin"/>
      </w:r>
      <w:r w:rsidR="00654C21">
        <w:rPr>
          <w:rFonts w:eastAsia="Times New Roman" w:cs="Calibri"/>
          <w:color w:val="000000"/>
          <w:lang w:eastAsia="es-CR"/>
        </w:rPr>
        <w:instrText xml:space="preserve"> LINK </w:instrText>
      </w:r>
      <w:r w:rsidR="00756467">
        <w:rPr>
          <w:rFonts w:eastAsia="Times New Roman" w:cs="Calibri"/>
          <w:color w:val="000000"/>
          <w:lang w:eastAsia="es-CR"/>
        </w:rPr>
        <w:instrText xml:space="preserve">Excel.SheetMacroEnabled.12 "C:\\Users\\gcordero\\Downloads\\Notas diciembre 2024\\Formato_Notas_EEFF_Vinculadas_2024\\Formato_Notas_EEFF_Vinculadas_2024\\15603_T04_2024_Anexo_Estado_Notas_Contables_Vinculadas.xlsm" NOTAS_POR_CUENTA!F42C8 </w:instrText>
      </w:r>
      <w:r w:rsidR="00654C21">
        <w:rPr>
          <w:rFonts w:eastAsia="Times New Roman" w:cs="Calibri"/>
          <w:color w:val="000000"/>
          <w:lang w:eastAsia="es-CR"/>
        </w:rPr>
        <w:instrText xml:space="preserve">\a \f 5 \h  \* MERGEFORMAT </w:instrText>
      </w:r>
      <w:r w:rsidR="00654C21">
        <w:rPr>
          <w:rFonts w:eastAsia="Times New Roman" w:cs="Calibri"/>
          <w:color w:val="000000"/>
          <w:lang w:eastAsia="es-CR"/>
        </w:rPr>
        <w:fldChar w:fldCharType="separate"/>
      </w:r>
    </w:p>
    <w:p w14:paraId="7FF0680D" w14:textId="77777777" w:rsidR="00396CB4" w:rsidRPr="00396CB4" w:rsidRDefault="00396CB4" w:rsidP="00396CB4">
      <w:pPr>
        <w:rPr>
          <w:rFonts w:eastAsia="Times New Roman" w:cs="Calibri"/>
          <w:color w:val="000000"/>
          <w:lang w:eastAsia="es-CR"/>
        </w:rPr>
      </w:pPr>
      <w:r w:rsidRPr="00396CB4">
        <w:rPr>
          <w:rFonts w:eastAsia="Times New Roman" w:cs="Calibri"/>
          <w:color w:val="000000"/>
          <w:lang w:eastAsia="es-CR"/>
        </w:rPr>
        <w:t>La cuenta Propiedades de inversión, representa el 0,00% del total del Activo, que comparado al periodo anterior genera una variación absoluta de 0 000,00 que corresponde a un Aumento del 0,00% de recursos disponibles.</w:t>
      </w:r>
    </w:p>
    <w:p w14:paraId="0457289D" w14:textId="704417A4" w:rsidR="00692DC8" w:rsidRPr="00692DC8" w:rsidRDefault="00654C21" w:rsidP="00654C21">
      <w:pPr>
        <w:rPr>
          <w:rFonts w:eastAsia="Times New Roman"/>
          <w:szCs w:val="24"/>
          <w:lang w:eastAsia="es-CR"/>
        </w:rPr>
      </w:pPr>
      <w:r>
        <w:rPr>
          <w:rFonts w:eastAsia="Times New Roman" w:cs="Calibri"/>
          <w:color w:val="000000"/>
          <w:lang w:eastAsia="es-CR"/>
        </w:rPr>
        <w:fldChar w:fldCharType="end"/>
      </w:r>
      <w:r w:rsidR="00692DC8" w:rsidRPr="00692DC8">
        <w:rPr>
          <w:rFonts w:eastAsia="Times New Roman"/>
          <w:sz w:val="22"/>
          <w:szCs w:val="24"/>
          <w:highlight w:val="lightGray"/>
          <w:lang w:eastAsia="es-CR"/>
        </w:rPr>
        <w:t>Las variaciones de la cuenta son producto de (Indicar la razón de las variaciones de un periodo a otro</w:t>
      </w:r>
      <w:r w:rsidR="00692DC8" w:rsidRPr="00692DC8">
        <w:rPr>
          <w:rFonts w:eastAsia="Times New Roman"/>
          <w:szCs w:val="24"/>
          <w:highlight w:val="lightGray"/>
          <w:lang w:eastAsia="es-CR"/>
        </w:rPr>
        <w:t>):</w:t>
      </w:r>
      <w:r w:rsidR="00692DC8" w:rsidRPr="00692DC8">
        <w:rPr>
          <w:rFonts w:eastAsia="Times New Roman"/>
          <w:szCs w:val="24"/>
          <w:lang w:eastAsia="es-CR"/>
        </w:rPr>
        <w:t xml:space="preserve"> </w:t>
      </w:r>
    </w:p>
    <w:p w14:paraId="37A8E103" w14:textId="77777777" w:rsidR="00396CB4" w:rsidRDefault="00654C21" w:rsidP="00F51D42">
      <w:pPr>
        <w:spacing w:before="240"/>
        <w:rPr>
          <w:rFonts w:asciiTheme="minorHAnsi" w:hAnsiTheme="minorHAnsi"/>
          <w:sz w:val="22"/>
        </w:rPr>
      </w:pPr>
      <w:r>
        <w:rPr>
          <w:lang w:val="es-ES"/>
        </w:rPr>
        <w:fldChar w:fldCharType="begin"/>
      </w:r>
      <w:r>
        <w:rPr>
          <w:lang w:val="es-ES"/>
        </w:rPr>
        <w:instrText xml:space="preserve"> LINK </w:instrText>
      </w:r>
      <w:r w:rsidR="00756467">
        <w:rPr>
          <w:lang w:val="es-ES"/>
        </w:rPr>
        <w:instrText xml:space="preserve">Excel.SheetMacroEnabled.12 "C:\\Users\\gcordero\\Downloads\\Notas diciembre 2024\\Formato_Notas_EEFF_Vinculadas_2024\\Formato_Notas_EEFF_Vinculadas_2024\\15603_T04_2024_Anexo_Estado_Notas_Contables_Vinculadas.xlsm" NOTAS_POR_CUENTA!F44C1:F46C6 </w:instrText>
      </w:r>
      <w:r>
        <w:rPr>
          <w:lang w:val="es-ES"/>
        </w:rPr>
        <w:instrText xml:space="preserve">\a \f 4 \h </w:instrText>
      </w:r>
      <w:r>
        <w:rPr>
          <w:lang w:val="es-ES"/>
        </w:rPr>
        <w:fldChar w:fldCharType="separate"/>
      </w:r>
    </w:p>
    <w:tbl>
      <w:tblPr>
        <w:tblW w:w="9600" w:type="dxa"/>
        <w:tblCellMar>
          <w:left w:w="70" w:type="dxa"/>
          <w:right w:w="70" w:type="dxa"/>
        </w:tblCellMar>
        <w:tblLook w:val="04A0" w:firstRow="1" w:lastRow="0" w:firstColumn="1" w:lastColumn="0" w:noHBand="0" w:noVBand="1"/>
      </w:tblPr>
      <w:tblGrid>
        <w:gridCol w:w="715"/>
        <w:gridCol w:w="3165"/>
        <w:gridCol w:w="500"/>
        <w:gridCol w:w="2100"/>
        <w:gridCol w:w="2100"/>
        <w:gridCol w:w="1020"/>
      </w:tblGrid>
      <w:tr w:rsidR="00396CB4" w:rsidRPr="00396CB4" w14:paraId="73B8C36D" w14:textId="77777777" w:rsidTr="00396CB4">
        <w:trPr>
          <w:divId w:val="1110515271"/>
          <w:trHeight w:val="330"/>
        </w:trPr>
        <w:tc>
          <w:tcPr>
            <w:tcW w:w="6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3806792" w14:textId="57CEE80B" w:rsidR="00396CB4" w:rsidRPr="00396CB4" w:rsidRDefault="00396CB4" w:rsidP="00396CB4">
            <w:pPr>
              <w:spacing w:after="0" w:line="240" w:lineRule="auto"/>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32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0120836"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ED1ADA0"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CFE9AD4"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E86B0B2"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10359C45"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6040C065" w14:textId="77777777" w:rsidTr="00396CB4">
        <w:trPr>
          <w:divId w:val="1110515271"/>
          <w:trHeight w:val="330"/>
        </w:trPr>
        <w:tc>
          <w:tcPr>
            <w:tcW w:w="660" w:type="dxa"/>
            <w:vMerge/>
            <w:tcBorders>
              <w:top w:val="single" w:sz="8" w:space="0" w:color="auto"/>
              <w:left w:val="single" w:sz="8" w:space="0" w:color="auto"/>
              <w:bottom w:val="single" w:sz="8" w:space="0" w:color="000000"/>
              <w:right w:val="single" w:sz="8" w:space="0" w:color="auto"/>
            </w:tcBorders>
            <w:vAlign w:val="center"/>
            <w:hideMark/>
          </w:tcPr>
          <w:p w14:paraId="122E2DED"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3220" w:type="dxa"/>
            <w:vMerge/>
            <w:tcBorders>
              <w:top w:val="single" w:sz="8" w:space="0" w:color="auto"/>
              <w:left w:val="single" w:sz="8" w:space="0" w:color="auto"/>
              <w:bottom w:val="single" w:sz="8" w:space="0" w:color="000000"/>
              <w:right w:val="single" w:sz="8" w:space="0" w:color="auto"/>
            </w:tcBorders>
            <w:vAlign w:val="center"/>
            <w:hideMark/>
          </w:tcPr>
          <w:p w14:paraId="10A4A45C"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174206EF"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5B10CA6D"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2E329C01"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6697951F"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23964B2E" w14:textId="77777777" w:rsidTr="00396CB4">
        <w:trPr>
          <w:divId w:val="1110515271"/>
          <w:trHeight w:val="330"/>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2F21BF61"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1.2.5.03.</w:t>
            </w:r>
          </w:p>
        </w:tc>
        <w:tc>
          <w:tcPr>
            <w:tcW w:w="3220" w:type="dxa"/>
            <w:tcBorders>
              <w:top w:val="nil"/>
              <w:left w:val="nil"/>
              <w:bottom w:val="single" w:sz="8" w:space="0" w:color="auto"/>
              <w:right w:val="single" w:sz="8" w:space="0" w:color="auto"/>
            </w:tcBorders>
            <w:shd w:val="clear" w:color="auto" w:fill="auto"/>
            <w:vAlign w:val="center"/>
            <w:hideMark/>
          </w:tcPr>
          <w:p w14:paraId="3CB7BA2A"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Activos biológicos no concesionados</w:t>
            </w:r>
          </w:p>
        </w:tc>
        <w:tc>
          <w:tcPr>
            <w:tcW w:w="500" w:type="dxa"/>
            <w:tcBorders>
              <w:top w:val="nil"/>
              <w:left w:val="nil"/>
              <w:bottom w:val="single" w:sz="8" w:space="0" w:color="auto"/>
              <w:right w:val="single" w:sz="8" w:space="0" w:color="auto"/>
            </w:tcBorders>
            <w:shd w:val="clear" w:color="auto" w:fill="auto"/>
            <w:noWrap/>
            <w:vAlign w:val="center"/>
            <w:hideMark/>
          </w:tcPr>
          <w:p w14:paraId="6F6DB37F"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10</w:t>
            </w:r>
          </w:p>
        </w:tc>
        <w:tc>
          <w:tcPr>
            <w:tcW w:w="2100" w:type="dxa"/>
            <w:tcBorders>
              <w:top w:val="nil"/>
              <w:left w:val="nil"/>
              <w:bottom w:val="single" w:sz="8" w:space="0" w:color="auto"/>
              <w:right w:val="single" w:sz="8" w:space="0" w:color="auto"/>
            </w:tcBorders>
            <w:shd w:val="clear" w:color="auto" w:fill="auto"/>
            <w:noWrap/>
            <w:vAlign w:val="center"/>
            <w:hideMark/>
          </w:tcPr>
          <w:p w14:paraId="5E8C11F6"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2100" w:type="dxa"/>
            <w:tcBorders>
              <w:top w:val="nil"/>
              <w:left w:val="nil"/>
              <w:bottom w:val="single" w:sz="8" w:space="0" w:color="auto"/>
              <w:right w:val="single" w:sz="8" w:space="0" w:color="auto"/>
            </w:tcBorders>
            <w:shd w:val="clear" w:color="auto" w:fill="auto"/>
            <w:noWrap/>
            <w:vAlign w:val="center"/>
            <w:hideMark/>
          </w:tcPr>
          <w:p w14:paraId="3E99E9E7"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1020" w:type="dxa"/>
            <w:tcBorders>
              <w:top w:val="nil"/>
              <w:left w:val="nil"/>
              <w:bottom w:val="single" w:sz="8" w:space="0" w:color="auto"/>
              <w:right w:val="single" w:sz="8" w:space="0" w:color="auto"/>
            </w:tcBorders>
            <w:shd w:val="clear" w:color="auto" w:fill="auto"/>
            <w:noWrap/>
            <w:vAlign w:val="center"/>
            <w:hideMark/>
          </w:tcPr>
          <w:p w14:paraId="31AF0D19"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0,00%</w:t>
            </w:r>
          </w:p>
        </w:tc>
      </w:tr>
    </w:tbl>
    <w:p w14:paraId="7739423D" w14:textId="77777777" w:rsidR="00396CB4" w:rsidRPr="00396CB4" w:rsidRDefault="00654C21" w:rsidP="00396CB4">
      <w:pPr>
        <w:spacing w:before="240"/>
        <w:rPr>
          <w:b/>
          <w:sz w:val="20"/>
          <w:szCs w:val="20"/>
          <w:lang w:eastAsia="es-CR"/>
        </w:rPr>
      </w:pPr>
      <w:r>
        <w:rPr>
          <w:b/>
          <w:lang w:val="es-ES"/>
        </w:rPr>
        <w:fldChar w:fldCharType="end"/>
      </w:r>
      <w:r w:rsidR="00692DC8" w:rsidRPr="0011777B">
        <w:rPr>
          <w:b/>
          <w:lang w:val="es-ES"/>
        </w:rPr>
        <w:t xml:space="preserve">Revelación: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756467">
        <w:rPr>
          <w:rFonts w:eastAsia="Times New Roman" w:cs="Calibri"/>
          <w:color w:val="000000"/>
          <w:lang w:eastAsia="es-CR"/>
        </w:rPr>
        <w:instrText xml:space="preserve">Excel.SheetMacroEnabled.12 "C:\\Users\\gcordero\\Downloads\\Notas diciembre 2024\\Formato_Notas_EEFF_Vinculadas_2024\\Formato_Notas_EEFF_Vinculadas_2024\\15603_T04_2024_Anexo_Estado_Notas_Contables_Vinculadas.xlsm" NOTAS_POR_CUENTA!F46C8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1B5026DC" w14:textId="77777777" w:rsidR="00396CB4" w:rsidRPr="00396CB4" w:rsidRDefault="00396CB4" w:rsidP="00396CB4">
      <w:pPr>
        <w:rPr>
          <w:rFonts w:eastAsia="Times New Roman" w:cs="Calibri"/>
          <w:color w:val="000000"/>
          <w:lang w:eastAsia="es-CR"/>
        </w:rPr>
      </w:pPr>
      <w:r w:rsidRPr="00396CB4">
        <w:rPr>
          <w:rFonts w:eastAsia="Times New Roman" w:cs="Calibri"/>
          <w:color w:val="000000"/>
          <w:lang w:eastAsia="es-CR"/>
        </w:rPr>
        <w:t>La cuenta Activos biológicos no concesionados, representa el 0,00% del total del Activo, que comparado al periodo anterior genera una variación absoluta de 0 000,00 que corresponde a un Aumento del 0,00% de recursos disponibles.</w:t>
      </w:r>
    </w:p>
    <w:p w14:paraId="071288CA" w14:textId="3DCD2E21" w:rsidR="00692DC8" w:rsidRPr="00692DC8" w:rsidRDefault="00654C21" w:rsidP="00654C21">
      <w:pPr>
        <w:rPr>
          <w:lang w:eastAsia="es-CR"/>
        </w:rPr>
      </w:pPr>
      <w:r>
        <w:rPr>
          <w:rFonts w:eastAsia="Times New Roman" w:cs="Calibri"/>
          <w:color w:val="000000"/>
          <w:lang w:eastAsia="es-CR"/>
        </w:rPr>
        <w:fldChar w:fldCharType="end"/>
      </w:r>
      <w:r w:rsidR="00692DC8" w:rsidRPr="00692DC8">
        <w:rPr>
          <w:highlight w:val="lightGray"/>
          <w:lang w:eastAsia="es-CR"/>
        </w:rPr>
        <w:t>Las variaciones de la cuenta son producto de (Indicar la razón de las variaciones de un periodo a otro):</w:t>
      </w:r>
      <w:r w:rsidR="00692DC8" w:rsidRPr="00692DC8">
        <w:rPr>
          <w:lang w:eastAsia="es-CR"/>
        </w:rPr>
        <w:t xml:space="preserve"> </w:t>
      </w:r>
    </w:p>
    <w:p w14:paraId="3D50E890" w14:textId="77777777" w:rsidR="00396CB4" w:rsidRDefault="00654C21" w:rsidP="00E20455">
      <w:pPr>
        <w:spacing w:after="0" w:line="240" w:lineRule="auto"/>
        <w:rPr>
          <w:rFonts w:asciiTheme="minorHAnsi" w:hAnsiTheme="minorHAnsi"/>
          <w:sz w:val="22"/>
        </w:rPr>
      </w:pPr>
      <w:r>
        <w:rPr>
          <w:lang w:val="es-ES"/>
        </w:rPr>
        <w:fldChar w:fldCharType="begin"/>
      </w:r>
      <w:r>
        <w:rPr>
          <w:lang w:val="es-ES"/>
        </w:rPr>
        <w:instrText xml:space="preserve"> LINK </w:instrText>
      </w:r>
      <w:r w:rsidR="00756467">
        <w:rPr>
          <w:lang w:val="es-ES"/>
        </w:rPr>
        <w:instrText xml:space="preserve">Excel.SheetMacroEnabled.12 "C:\\Users\\gcordero\\Downloads\\Notas diciembre 2024\\Formato_Notas_EEFF_Vinculadas_2024\\Formato_Notas_EEFF_Vinculadas_2024\\15603_T04_2024_Anexo_Estado_Notas_Contables_Vinculadas.xlsm" NOTAS_POR_CUENTA!F48C1:F50C6 </w:instrText>
      </w:r>
      <w:r>
        <w:rPr>
          <w:lang w:val="es-ES"/>
        </w:rPr>
        <w:instrText xml:space="preserve">\a \f 4 \h </w:instrText>
      </w:r>
      <w:r>
        <w:rPr>
          <w:lang w:val="es-ES"/>
        </w:rPr>
        <w:fldChar w:fldCharType="separate"/>
      </w:r>
    </w:p>
    <w:tbl>
      <w:tblPr>
        <w:tblW w:w="9600" w:type="dxa"/>
        <w:tblCellMar>
          <w:left w:w="70" w:type="dxa"/>
          <w:right w:w="70" w:type="dxa"/>
        </w:tblCellMar>
        <w:tblLook w:val="04A0" w:firstRow="1" w:lastRow="0" w:firstColumn="1" w:lastColumn="0" w:noHBand="0" w:noVBand="1"/>
      </w:tblPr>
      <w:tblGrid>
        <w:gridCol w:w="715"/>
        <w:gridCol w:w="3165"/>
        <w:gridCol w:w="500"/>
        <w:gridCol w:w="2100"/>
        <w:gridCol w:w="2100"/>
        <w:gridCol w:w="1020"/>
      </w:tblGrid>
      <w:tr w:rsidR="00396CB4" w:rsidRPr="00396CB4" w14:paraId="761677A6" w14:textId="77777777" w:rsidTr="00396CB4">
        <w:trPr>
          <w:divId w:val="1592620824"/>
          <w:trHeight w:val="330"/>
        </w:trPr>
        <w:tc>
          <w:tcPr>
            <w:tcW w:w="6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F34046C" w14:textId="6516F8BA" w:rsidR="00396CB4" w:rsidRPr="00396CB4" w:rsidRDefault="00396CB4" w:rsidP="00396CB4">
            <w:pPr>
              <w:spacing w:after="0" w:line="240" w:lineRule="auto"/>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32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99A9F8B"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BE75828"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52DED5D"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DF80C48"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2FFC1DF8"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7776978D" w14:textId="77777777" w:rsidTr="00396CB4">
        <w:trPr>
          <w:divId w:val="1592620824"/>
          <w:trHeight w:val="330"/>
        </w:trPr>
        <w:tc>
          <w:tcPr>
            <w:tcW w:w="660" w:type="dxa"/>
            <w:vMerge/>
            <w:tcBorders>
              <w:top w:val="single" w:sz="8" w:space="0" w:color="auto"/>
              <w:left w:val="single" w:sz="8" w:space="0" w:color="auto"/>
              <w:bottom w:val="single" w:sz="8" w:space="0" w:color="000000"/>
              <w:right w:val="single" w:sz="8" w:space="0" w:color="auto"/>
            </w:tcBorders>
            <w:vAlign w:val="center"/>
            <w:hideMark/>
          </w:tcPr>
          <w:p w14:paraId="56F92339"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3220" w:type="dxa"/>
            <w:vMerge/>
            <w:tcBorders>
              <w:top w:val="single" w:sz="8" w:space="0" w:color="auto"/>
              <w:left w:val="single" w:sz="8" w:space="0" w:color="auto"/>
              <w:bottom w:val="single" w:sz="8" w:space="0" w:color="000000"/>
              <w:right w:val="single" w:sz="8" w:space="0" w:color="auto"/>
            </w:tcBorders>
            <w:vAlign w:val="center"/>
            <w:hideMark/>
          </w:tcPr>
          <w:p w14:paraId="2EC92EBB"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77127A6C"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1AEF6DCF"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6E545951"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34F35E54"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4157EC74" w14:textId="77777777" w:rsidTr="00396CB4">
        <w:trPr>
          <w:divId w:val="1592620824"/>
          <w:trHeight w:val="555"/>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1BA0F0AA"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1.2.5.04.</w:t>
            </w:r>
          </w:p>
        </w:tc>
        <w:tc>
          <w:tcPr>
            <w:tcW w:w="3220" w:type="dxa"/>
            <w:tcBorders>
              <w:top w:val="nil"/>
              <w:left w:val="nil"/>
              <w:bottom w:val="single" w:sz="8" w:space="0" w:color="auto"/>
              <w:right w:val="single" w:sz="8" w:space="0" w:color="auto"/>
            </w:tcBorders>
            <w:shd w:val="clear" w:color="auto" w:fill="auto"/>
            <w:vAlign w:val="center"/>
            <w:hideMark/>
          </w:tcPr>
          <w:p w14:paraId="083D67BA"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Bienes de infraestructura y de beneficio y uso público en servicio</w:t>
            </w:r>
          </w:p>
        </w:tc>
        <w:tc>
          <w:tcPr>
            <w:tcW w:w="500" w:type="dxa"/>
            <w:tcBorders>
              <w:top w:val="nil"/>
              <w:left w:val="nil"/>
              <w:bottom w:val="single" w:sz="8" w:space="0" w:color="auto"/>
              <w:right w:val="single" w:sz="8" w:space="0" w:color="auto"/>
            </w:tcBorders>
            <w:shd w:val="clear" w:color="auto" w:fill="auto"/>
            <w:noWrap/>
            <w:vAlign w:val="center"/>
            <w:hideMark/>
          </w:tcPr>
          <w:p w14:paraId="36C1065D"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10</w:t>
            </w:r>
          </w:p>
        </w:tc>
        <w:tc>
          <w:tcPr>
            <w:tcW w:w="2100" w:type="dxa"/>
            <w:tcBorders>
              <w:top w:val="nil"/>
              <w:left w:val="nil"/>
              <w:bottom w:val="single" w:sz="8" w:space="0" w:color="auto"/>
              <w:right w:val="single" w:sz="8" w:space="0" w:color="auto"/>
            </w:tcBorders>
            <w:shd w:val="clear" w:color="auto" w:fill="auto"/>
            <w:noWrap/>
            <w:vAlign w:val="center"/>
            <w:hideMark/>
          </w:tcPr>
          <w:p w14:paraId="261DF5AE"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160 856 258,33 </w:t>
            </w:r>
          </w:p>
        </w:tc>
        <w:tc>
          <w:tcPr>
            <w:tcW w:w="2100" w:type="dxa"/>
            <w:tcBorders>
              <w:top w:val="nil"/>
              <w:left w:val="nil"/>
              <w:bottom w:val="single" w:sz="8" w:space="0" w:color="auto"/>
              <w:right w:val="single" w:sz="8" w:space="0" w:color="auto"/>
            </w:tcBorders>
            <w:shd w:val="clear" w:color="auto" w:fill="auto"/>
            <w:noWrap/>
            <w:vAlign w:val="center"/>
            <w:hideMark/>
          </w:tcPr>
          <w:p w14:paraId="6666CA28"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160 765 498,08 </w:t>
            </w:r>
          </w:p>
        </w:tc>
        <w:tc>
          <w:tcPr>
            <w:tcW w:w="1020" w:type="dxa"/>
            <w:tcBorders>
              <w:top w:val="nil"/>
              <w:left w:val="nil"/>
              <w:bottom w:val="single" w:sz="8" w:space="0" w:color="auto"/>
              <w:right w:val="single" w:sz="8" w:space="0" w:color="auto"/>
            </w:tcBorders>
            <w:shd w:val="clear" w:color="auto" w:fill="auto"/>
            <w:noWrap/>
            <w:vAlign w:val="center"/>
            <w:hideMark/>
          </w:tcPr>
          <w:p w14:paraId="10665858"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0,06%</w:t>
            </w:r>
          </w:p>
        </w:tc>
      </w:tr>
    </w:tbl>
    <w:p w14:paraId="29CCDD70" w14:textId="3BFC2B90" w:rsidR="00E20455" w:rsidRDefault="00654C21" w:rsidP="00E20455">
      <w:pPr>
        <w:spacing w:after="0" w:line="240" w:lineRule="auto"/>
        <w:rPr>
          <w:b/>
          <w:bCs/>
          <w:lang w:val="es-ES"/>
        </w:rPr>
      </w:pPr>
      <w:r>
        <w:rPr>
          <w:b/>
          <w:bCs/>
          <w:lang w:val="es-ES"/>
        </w:rPr>
        <w:fldChar w:fldCharType="end"/>
      </w:r>
      <w:r w:rsidR="00E20455" w:rsidRPr="00257C63">
        <w:rPr>
          <w:b/>
          <w:bCs/>
          <w:lang w:val="es-ES"/>
        </w:rPr>
        <w:t>Explique el Proceso de Revaluación: Método de Costo:</w:t>
      </w:r>
    </w:p>
    <w:p w14:paraId="3357CE3B" w14:textId="77777777" w:rsidR="00E20455" w:rsidRPr="00257C63" w:rsidRDefault="00E20455" w:rsidP="00E20455">
      <w:pPr>
        <w:spacing w:after="0" w:line="240" w:lineRule="auto"/>
        <w:rPr>
          <w:b/>
          <w:bCs/>
          <w:lang w:val="es-ES"/>
        </w:rPr>
      </w:pPr>
    </w:p>
    <w:p w14:paraId="4A8F7E48" w14:textId="77777777" w:rsidR="00E20455" w:rsidRDefault="00E20455" w:rsidP="00E20455">
      <w:pPr>
        <w:spacing w:after="0" w:line="240" w:lineRule="auto"/>
        <w:rPr>
          <w:lang w:val="es-ES"/>
        </w:rPr>
      </w:pPr>
      <w:r w:rsidRPr="00D4132D">
        <w:rPr>
          <w:lang w:val="es-ES"/>
        </w:rPr>
        <w:t>Hay que reiterar que la Municipalidad utiliza el Método de Costo. Este método implica que emplea el costo histórico en aquellos casos que se cuente con información fiable, y en los casos que no se cuente con información confiable se les atribuye un valor a los activos establecido por un experto en la materia con capacidad para establecer el valor utilizado, esto con base en lo establecido en la NICSP 17 y NICSP33.</w:t>
      </w:r>
    </w:p>
    <w:p w14:paraId="7DEC699E" w14:textId="77777777" w:rsidR="00E20455" w:rsidRPr="00D4132D" w:rsidRDefault="00E20455" w:rsidP="00E20455">
      <w:pPr>
        <w:spacing w:after="0" w:line="240" w:lineRule="auto"/>
        <w:rPr>
          <w:lang w:val="es-ES"/>
        </w:rPr>
      </w:pPr>
    </w:p>
    <w:p w14:paraId="719CCDF4" w14:textId="77777777" w:rsidR="00E20455" w:rsidRDefault="00E20455" w:rsidP="00E20455">
      <w:pPr>
        <w:spacing w:after="0" w:line="240" w:lineRule="auto"/>
        <w:rPr>
          <w:rFonts w:cs="Arial"/>
          <w:lang w:val="es-ES" w:eastAsia="es-CR"/>
        </w:rPr>
      </w:pPr>
      <w:r w:rsidRPr="00D4132D">
        <w:rPr>
          <w:rFonts w:cs="Arial"/>
          <w:lang w:val="es-ES" w:eastAsia="es-CR"/>
        </w:rPr>
        <w:t>Los activos de esta clase nuevos se registran conforme lo establece la NICSP17, considerando todos los costos atribuibles para que el bien pueda operar de la forma prevista; y los costos de desmantelamiento y retiro de elementos, así como la rehabilitación del lugar donde se asentará el bien y cualquier otra obligación en que se incurra atribuible a la adquisición del bien como los intereses pagados durante el periodo de construcción, en caso de que los mismos sean financiados con un préstamo, tal como los establece la NICSP 5 “Costos por Préstamos”.</w:t>
      </w:r>
    </w:p>
    <w:p w14:paraId="58032E14" w14:textId="77777777" w:rsidR="009C276C" w:rsidRDefault="009C276C" w:rsidP="00E20455">
      <w:pPr>
        <w:spacing w:after="0" w:line="240" w:lineRule="auto"/>
        <w:rPr>
          <w:rFonts w:cs="Arial"/>
          <w:lang w:val="es-ES" w:eastAsia="es-CR"/>
        </w:rPr>
      </w:pPr>
    </w:p>
    <w:p w14:paraId="0FAFB277" w14:textId="77777777" w:rsidR="00396CB4" w:rsidRPr="00396CB4" w:rsidRDefault="00692DC8" w:rsidP="00396CB4">
      <w:pPr>
        <w:spacing w:before="240"/>
        <w:rPr>
          <w:b/>
          <w:bCs/>
          <w:lang w:val="es-ES"/>
        </w:rPr>
      </w:pPr>
      <w:r w:rsidRPr="00692DC8">
        <w:rPr>
          <w:b/>
          <w:bCs/>
          <w:lang w:val="es-ES"/>
        </w:rPr>
        <w:lastRenderedPageBreak/>
        <w:t>Revelación</w:t>
      </w:r>
      <w:r w:rsidRPr="00692DC8">
        <w:rPr>
          <w:lang w:val="es-ES"/>
        </w:rPr>
        <w:t>:</w:t>
      </w:r>
      <w:r w:rsidR="00654C21">
        <w:rPr>
          <w:rFonts w:eastAsia="Times New Roman" w:cs="Calibri"/>
          <w:color w:val="000000"/>
          <w:lang w:eastAsia="es-CR"/>
        </w:rPr>
        <w:fldChar w:fldCharType="begin"/>
      </w:r>
      <w:r w:rsidR="00654C21">
        <w:rPr>
          <w:rFonts w:eastAsia="Times New Roman" w:cs="Calibri"/>
          <w:color w:val="000000"/>
          <w:lang w:eastAsia="es-CR"/>
        </w:rPr>
        <w:instrText xml:space="preserve"> LINK </w:instrText>
      </w:r>
      <w:r w:rsidR="00756467">
        <w:rPr>
          <w:rFonts w:eastAsia="Times New Roman" w:cs="Calibri"/>
          <w:color w:val="000000"/>
          <w:lang w:eastAsia="es-CR"/>
        </w:rPr>
        <w:instrText xml:space="preserve">Excel.SheetMacroEnabled.12 "C:\\Users\\gcordero\\Downloads\\Notas diciembre 2024\\Formato_Notas_EEFF_Vinculadas_2024\\Formato_Notas_EEFF_Vinculadas_2024\\15603_T04_2024_Anexo_Estado_Notas_Contables_Vinculadas.xlsm" NOTAS_POR_CUENTA!F50C8 </w:instrText>
      </w:r>
      <w:r w:rsidR="00654C21">
        <w:rPr>
          <w:rFonts w:eastAsia="Times New Roman" w:cs="Calibri"/>
          <w:color w:val="000000"/>
          <w:lang w:eastAsia="es-CR"/>
        </w:rPr>
        <w:instrText xml:space="preserve">\a \f 5 \h  \* MERGEFORMAT </w:instrText>
      </w:r>
      <w:r w:rsidR="00654C21">
        <w:rPr>
          <w:rFonts w:eastAsia="Times New Roman" w:cs="Calibri"/>
          <w:color w:val="000000"/>
          <w:lang w:eastAsia="es-CR"/>
        </w:rPr>
        <w:fldChar w:fldCharType="separate"/>
      </w:r>
    </w:p>
    <w:p w14:paraId="1A03277B" w14:textId="77777777" w:rsidR="00396CB4" w:rsidRPr="00396CB4" w:rsidRDefault="00396CB4" w:rsidP="00396CB4">
      <w:pPr>
        <w:rPr>
          <w:rFonts w:eastAsia="Times New Roman" w:cs="Calibri"/>
          <w:color w:val="000000"/>
          <w:lang w:eastAsia="es-CR"/>
        </w:rPr>
      </w:pPr>
      <w:r w:rsidRPr="00396CB4">
        <w:rPr>
          <w:rFonts w:eastAsia="Times New Roman" w:cs="Calibri"/>
          <w:color w:val="000000"/>
          <w:lang w:eastAsia="es-CR"/>
        </w:rPr>
        <w:t>La cuenta Bienes de infraestructura y de beneficio y uso público en servicio, representa el 96,32% del total del Activo, que comparado al periodo anterior genera una variación absoluta de 90 760,25 que corresponde a un Aumento del 0,06% de recursos disponibles.</w:t>
      </w:r>
    </w:p>
    <w:p w14:paraId="1310AAA8" w14:textId="74DA9C01" w:rsidR="00692DC8" w:rsidRDefault="00654C21" w:rsidP="00654C21">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1D999029" w14:textId="3DEA73F2" w:rsidR="00E20455" w:rsidRPr="00A91674" w:rsidRDefault="00E20455" w:rsidP="00E20455">
      <w:pPr>
        <w:spacing w:after="120" w:line="240" w:lineRule="auto"/>
        <w:rPr>
          <w:lang w:val="es-ES"/>
        </w:rPr>
      </w:pPr>
      <w:r>
        <w:rPr>
          <w:lang w:val="es-ES"/>
        </w:rPr>
        <w:t xml:space="preserve">Al respecto, debe señalarse que los bienes de infraestructura vial se registraron en </w:t>
      </w:r>
      <w:r w:rsidR="00D64CF8">
        <w:rPr>
          <w:lang w:val="es-ES"/>
        </w:rPr>
        <w:t>diciembre</w:t>
      </w:r>
      <w:r>
        <w:rPr>
          <w:lang w:val="es-ES"/>
        </w:rPr>
        <w:t xml:space="preserve"> de 2021, con base en los resultados del levantamiento, actualización y valoración de activos viales cantonales, realizada en el año 2020 por la empresa Ileana Aguilar Ingeniería y Administración S.A. (IAA), según informe presentado en enero 2021, por lo que se midieron y reconocieron al valor razonable atribuido según dicho informe. No obstante, dicho informe no contenía información sobre estimación de vida útil por lo que no pudo registrar la depreciación periódica de los activos en mención.</w:t>
      </w:r>
    </w:p>
    <w:p w14:paraId="273C2BF8" w14:textId="77777777" w:rsidR="00E20455" w:rsidRDefault="00E20455" w:rsidP="00E20455">
      <w:pPr>
        <w:spacing w:after="0" w:line="240" w:lineRule="auto"/>
        <w:rPr>
          <w:rFonts w:cs="Arial"/>
          <w:lang w:val="es-ES" w:eastAsia="es-CR"/>
        </w:rPr>
      </w:pPr>
    </w:p>
    <w:p w14:paraId="4A6F8FFA" w14:textId="463E551A" w:rsidR="00E20455" w:rsidRDefault="00E20455" w:rsidP="00E20455">
      <w:pPr>
        <w:spacing w:after="120" w:line="240" w:lineRule="auto"/>
        <w:rPr>
          <w:bCs/>
          <w:lang w:val="es-ES"/>
        </w:rPr>
      </w:pPr>
      <w:r>
        <w:rPr>
          <w:bCs/>
          <w:lang w:val="es-ES"/>
        </w:rPr>
        <w:t>El detalle comparativo de los saldos que presentan los diferentes tipos de activos que componen los “</w:t>
      </w:r>
      <w:r w:rsidRPr="009E5683">
        <w:rPr>
          <w:rFonts w:cs="Calibri"/>
          <w:color w:val="000000"/>
          <w:lang w:eastAsia="es-CR"/>
        </w:rPr>
        <w:t>Bienes de infraestructura y de beneficio y uso público en servicio</w:t>
      </w:r>
      <w:r>
        <w:rPr>
          <w:rFonts w:cs="Calibri"/>
          <w:color w:val="000000"/>
          <w:lang w:eastAsia="es-CR"/>
        </w:rPr>
        <w:t>”</w:t>
      </w:r>
      <w:r>
        <w:rPr>
          <w:bCs/>
          <w:lang w:val="es-ES"/>
        </w:rPr>
        <w:t xml:space="preserve"> entre el </w:t>
      </w:r>
      <w:r w:rsidR="00796636">
        <w:rPr>
          <w:bCs/>
          <w:lang w:val="es-ES"/>
        </w:rPr>
        <w:t>31</w:t>
      </w:r>
      <w:r>
        <w:rPr>
          <w:bCs/>
          <w:lang w:val="es-ES"/>
        </w:rPr>
        <w:t xml:space="preserve"> de </w:t>
      </w:r>
      <w:r w:rsidR="00D64CF8">
        <w:rPr>
          <w:bCs/>
          <w:lang w:val="es-ES"/>
        </w:rPr>
        <w:t>diciembre</w:t>
      </w:r>
      <w:r>
        <w:rPr>
          <w:bCs/>
          <w:lang w:val="es-ES"/>
        </w:rPr>
        <w:t xml:space="preserve"> de 2023 y el </w:t>
      </w:r>
      <w:r w:rsidR="00796636">
        <w:rPr>
          <w:bCs/>
          <w:lang w:val="es-ES"/>
        </w:rPr>
        <w:t>31</w:t>
      </w:r>
      <w:r>
        <w:rPr>
          <w:bCs/>
          <w:lang w:val="es-ES"/>
        </w:rPr>
        <w:t xml:space="preserve"> de </w:t>
      </w:r>
      <w:r w:rsidR="00D64CF8">
        <w:rPr>
          <w:bCs/>
          <w:lang w:val="es-ES"/>
        </w:rPr>
        <w:t>diciembre</w:t>
      </w:r>
      <w:r>
        <w:rPr>
          <w:bCs/>
          <w:lang w:val="es-ES"/>
        </w:rPr>
        <w:t xml:space="preserve"> de 2024, se presenta en el siguiente detalle:</w:t>
      </w:r>
    </w:p>
    <w:p w14:paraId="34F33D37" w14:textId="77777777" w:rsidR="00E20455" w:rsidRPr="00EB34F1" w:rsidRDefault="00E20455" w:rsidP="00E20455">
      <w:pPr>
        <w:spacing w:after="0"/>
        <w:rPr>
          <w:lang w:val="es-ES" w:eastAsia="es-CR"/>
        </w:rPr>
      </w:pPr>
      <w:r w:rsidRPr="00E42D44">
        <w:rPr>
          <w:noProof/>
          <w:lang w:eastAsia="es-CR"/>
        </w:rPr>
        <w:drawing>
          <wp:inline distT="0" distB="0" distL="0" distR="0" wp14:anchorId="6A9A2C78" wp14:editId="37A8DE65">
            <wp:extent cx="6157319" cy="2074985"/>
            <wp:effectExtent l="0" t="0" r="0" b="1905"/>
            <wp:docPr id="274654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93962" cy="2087334"/>
                    </a:xfrm>
                    <a:prstGeom prst="rect">
                      <a:avLst/>
                    </a:prstGeom>
                    <a:noFill/>
                    <a:ln>
                      <a:noFill/>
                    </a:ln>
                  </pic:spPr>
                </pic:pic>
              </a:graphicData>
            </a:graphic>
          </wp:inline>
        </w:drawing>
      </w:r>
    </w:p>
    <w:p w14:paraId="72804730" w14:textId="77777777" w:rsidR="00E20455" w:rsidRDefault="00E20455" w:rsidP="00E20455">
      <w:pPr>
        <w:spacing w:after="0" w:line="240" w:lineRule="auto"/>
        <w:rPr>
          <w:rFonts w:cs="Calibri"/>
          <w:color w:val="000000"/>
          <w:lang w:eastAsia="es-CR"/>
        </w:rPr>
      </w:pPr>
    </w:p>
    <w:p w14:paraId="3E37DEF8" w14:textId="77777777" w:rsidR="00E20455" w:rsidRPr="00A91674" w:rsidRDefault="00E20455" w:rsidP="00E20455">
      <w:pPr>
        <w:spacing w:after="0" w:line="240" w:lineRule="auto"/>
      </w:pPr>
      <w:r w:rsidRPr="007623F4">
        <w:rPr>
          <w:rFonts w:cs="Calibri"/>
          <w:color w:val="000000"/>
          <w:lang w:eastAsia="es-CR"/>
        </w:rPr>
        <w:t>Como se observa en el</w:t>
      </w:r>
      <w:r w:rsidRPr="007623F4">
        <w:t xml:space="preserve"> detalle presentado anteriormente los </w:t>
      </w:r>
      <w:r w:rsidRPr="007623F4">
        <w:rPr>
          <w:rFonts w:ascii="Arial" w:hAnsi="Arial" w:cs="Arial"/>
        </w:rPr>
        <w:t>₡</w:t>
      </w:r>
      <w:r w:rsidRPr="007623F4">
        <w:t>160 765 498,08 corresponden fundamentalmente a 756 carreteras, que medían 1 943,65 Km de longitud de superficie y a 99 puentes, activos que han sido verificados mediante el inventario físico que llevó a cabo la consultora Ileana Aguilar Ingeniera y Administración S.A., según su informe de enero de 2021. Además, se evidencia que los diferentes activos de infraestructura vial no han sido depreciados desde que fueron registrados. Esto debido a que como se indicó antes, no se dispone de datos confiables sobre su vida útil.</w:t>
      </w:r>
    </w:p>
    <w:p w14:paraId="0071A48B" w14:textId="77777777" w:rsidR="00E20455" w:rsidRPr="00A91674" w:rsidRDefault="00E20455" w:rsidP="00E20455">
      <w:pPr>
        <w:spacing w:after="0" w:line="240" w:lineRule="auto"/>
      </w:pPr>
      <w:r w:rsidRPr="00A91674">
        <w:t xml:space="preserve"> </w:t>
      </w:r>
    </w:p>
    <w:p w14:paraId="22C210CF" w14:textId="77777777" w:rsidR="00E20455" w:rsidRPr="00A91674" w:rsidRDefault="00E20455" w:rsidP="00E20455">
      <w:pPr>
        <w:spacing w:after="0" w:line="240" w:lineRule="auto"/>
      </w:pPr>
      <w:r w:rsidRPr="00A91674">
        <w:t xml:space="preserve">Por lo anterior, la </w:t>
      </w:r>
      <w:r>
        <w:t xml:space="preserve">Unidad Técnica de Gestión Vial de la </w:t>
      </w:r>
      <w:r w:rsidRPr="00A91674">
        <w:t xml:space="preserve">Municipalidad </w:t>
      </w:r>
      <w:r>
        <w:t>tuvo</w:t>
      </w:r>
      <w:r w:rsidRPr="00A91674">
        <w:t xml:space="preserve"> conversaciones con personeros del Laboratorio Nacional de Materiales y Modelos Estructurales (LANAMME-UCR), con el objetivo de efectuar una contratación para realizar un nuevo inventario de carreteras, puentes y otra infraestructura vial, con el fin de establecer el estado actual de estos tipos de activos, y con base en dicho inventario proceder a actualizar los saldos de las cuentas de activo de infraestructura </w:t>
      </w:r>
      <w:r w:rsidRPr="00A91674">
        <w:lastRenderedPageBreak/>
        <w:t>mencionadas, establecer la vida útil de los activos y de esa manera tener la información requerida que permita registrar en el futuro los gastos de depreciación correspondientes en cada periodo.</w:t>
      </w:r>
    </w:p>
    <w:p w14:paraId="0A0BA467" w14:textId="77777777" w:rsidR="00E20455" w:rsidRPr="00A91674" w:rsidRDefault="00E20455" w:rsidP="00E20455">
      <w:pPr>
        <w:spacing w:after="0" w:line="240" w:lineRule="auto"/>
      </w:pPr>
    </w:p>
    <w:p w14:paraId="7BAEC22B" w14:textId="01DA31F9" w:rsidR="00E20455" w:rsidRPr="00CD6315" w:rsidRDefault="00E20455" w:rsidP="00E20455">
      <w:pPr>
        <w:spacing w:after="0" w:line="240" w:lineRule="auto"/>
        <w:rPr>
          <w:rFonts w:cs="Arial"/>
          <w:b/>
          <w:bCs/>
          <w:i/>
          <w:iCs/>
          <w:color w:val="000000"/>
          <w:sz w:val="22"/>
        </w:rPr>
      </w:pPr>
      <w:r>
        <w:t xml:space="preserve">Cabe señalar, que mediante el oficio GV-MBA-188-2023 del 11 abril de 2023 el Coordinador General de Gestión Vial informa que se encontraban revisando de la edición del convenio con formato de LANAME-UCR. </w:t>
      </w:r>
      <w:r w:rsidRPr="00CD6315">
        <w:t xml:space="preserve">Posteriormente, al cierre del </w:t>
      </w:r>
      <w:r w:rsidR="00796636">
        <w:t>31</w:t>
      </w:r>
      <w:r w:rsidRPr="00CD6315">
        <w:t xml:space="preserve"> de junio 2023, la Unidad de Gestión Vial indicó mediante Oficio GV-MBA-361-2023 lo siguiente:</w:t>
      </w:r>
      <w:r w:rsidRPr="00CD6315">
        <w:rPr>
          <w:rFonts w:ascii="Arial" w:hAnsi="Arial" w:cs="Arial"/>
          <w:color w:val="000000"/>
          <w:sz w:val="22"/>
        </w:rPr>
        <w:t xml:space="preserve"> </w:t>
      </w:r>
      <w:r w:rsidRPr="00CD6315">
        <w:rPr>
          <w:rFonts w:cs="Arial"/>
          <w:b/>
          <w:bCs/>
          <w:i/>
          <w:iCs/>
          <w:color w:val="000000"/>
          <w:sz w:val="22"/>
        </w:rPr>
        <w:t>“Respecto al tema de la Actualización del inventario de la Red Vial Cantonal, se informa que el proceso se encuentra en las mismas condiciones, esperando que se pueda avanzar lo más pronto posible y poder brindar la información requerida para el registro o revelación en las Notas de los Estados Financieros.”.</w:t>
      </w:r>
    </w:p>
    <w:p w14:paraId="7A5BDD65" w14:textId="77777777" w:rsidR="00E20455" w:rsidRPr="00CC2C8F" w:rsidRDefault="00E20455" w:rsidP="00E20455">
      <w:pPr>
        <w:spacing w:after="0" w:line="240" w:lineRule="auto"/>
        <w:rPr>
          <w:rFonts w:ascii="Arial" w:hAnsi="Arial" w:cs="Arial"/>
          <w:color w:val="000000"/>
          <w:sz w:val="22"/>
          <w:highlight w:val="yellow"/>
        </w:rPr>
      </w:pPr>
    </w:p>
    <w:p w14:paraId="571CFA2A" w14:textId="77777777" w:rsidR="007623F4" w:rsidRDefault="00E20455" w:rsidP="007623F4">
      <w:pPr>
        <w:spacing w:after="0" w:line="240" w:lineRule="auto"/>
      </w:pPr>
      <w:r w:rsidRPr="00CD6315">
        <w:t>Finalm</w:t>
      </w:r>
      <w:r w:rsidR="007623F4">
        <w:t>ente, mediante oficio GV-MBA-24-2025 del 16 de enero de 2025</w:t>
      </w:r>
      <w:r w:rsidRPr="00CD6315">
        <w:t>, el Coordinador General Gestión Vial de la Municipalidad, informó lo siguiente: “… sobre el tema del inventario de la Red Vial Cantonal, se les indica que, en diciembre de 2023, se culminó con la revisión del inventario de la Red Vial Cantonal con la consultoría de LANAME pagada por el MOPT.</w:t>
      </w:r>
      <w:r w:rsidR="007623F4">
        <w:t xml:space="preserve"> </w:t>
      </w:r>
      <w:r w:rsidRPr="00CD6315">
        <w:t>De la red vial actual se deben revisar en campo 206 caminos de los 760 que la compone, esto para validar su legalidad en temas de si son o no públicos, su traza y su longitud, una vez revisados en campo, este proceso ya fue asignado a funcionarios de gestión vial, la posible fecha de finalización será para el primer semestre del próximo año. En el momento que se cuente con mayor información, se le estará</w:t>
      </w:r>
      <w:r w:rsidR="007623F4">
        <w:t xml:space="preserve"> brindando de manera oportuna. </w:t>
      </w:r>
    </w:p>
    <w:p w14:paraId="19306230" w14:textId="7706B364" w:rsidR="00396CB4" w:rsidRPr="007623F4" w:rsidRDefault="00654C21" w:rsidP="007623F4">
      <w:pPr>
        <w:spacing w:after="0" w:line="240" w:lineRule="auto"/>
      </w:pPr>
      <w:r>
        <w:rPr>
          <w:lang w:val="es-ES"/>
        </w:rPr>
        <w:fldChar w:fldCharType="begin"/>
      </w:r>
      <w:r>
        <w:rPr>
          <w:lang w:val="es-ES"/>
        </w:rPr>
        <w:instrText xml:space="preserve"> LINK </w:instrText>
      </w:r>
      <w:r w:rsidR="00756467">
        <w:rPr>
          <w:lang w:val="es-ES"/>
        </w:rPr>
        <w:instrText xml:space="preserve">Excel.SheetMacroEnabled.12 "C:\\Users\\gcordero\\Downloads\\Notas diciembre 2024\\Formato_Notas_EEFF_Vinculadas_2024\\Formato_Notas_EEFF_Vinculadas_2024\\15603_T04_2024_Anexo_Estado_Notas_Contables_Vinculadas.xlsm" NOTAS_POR_CUENTA!F52C1:F54C6 </w:instrText>
      </w:r>
      <w:r>
        <w:rPr>
          <w:lang w:val="es-ES"/>
        </w:rPr>
        <w:instrText xml:space="preserve">\a \f 4 \h </w:instrText>
      </w:r>
      <w:r>
        <w:rPr>
          <w:lang w:val="es-ES"/>
        </w:rPr>
        <w:fldChar w:fldCharType="separate"/>
      </w:r>
    </w:p>
    <w:tbl>
      <w:tblPr>
        <w:tblW w:w="9600" w:type="dxa"/>
        <w:tblCellMar>
          <w:left w:w="70" w:type="dxa"/>
          <w:right w:w="70" w:type="dxa"/>
        </w:tblCellMar>
        <w:tblLook w:val="04A0" w:firstRow="1" w:lastRow="0" w:firstColumn="1" w:lastColumn="0" w:noHBand="0" w:noVBand="1"/>
      </w:tblPr>
      <w:tblGrid>
        <w:gridCol w:w="715"/>
        <w:gridCol w:w="3165"/>
        <w:gridCol w:w="500"/>
        <w:gridCol w:w="2100"/>
        <w:gridCol w:w="2100"/>
        <w:gridCol w:w="1020"/>
      </w:tblGrid>
      <w:tr w:rsidR="00396CB4" w:rsidRPr="00396CB4" w14:paraId="5D39E61B" w14:textId="77777777" w:rsidTr="00396CB4">
        <w:trPr>
          <w:divId w:val="1946308362"/>
          <w:trHeight w:val="330"/>
        </w:trPr>
        <w:tc>
          <w:tcPr>
            <w:tcW w:w="6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7D3568F" w14:textId="67A75337" w:rsidR="00396CB4" w:rsidRPr="00396CB4" w:rsidRDefault="00396CB4" w:rsidP="00396CB4">
            <w:pPr>
              <w:spacing w:after="0" w:line="240" w:lineRule="auto"/>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32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1AC85B7"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2928830"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A7F5095"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1435858"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7FA0F73D"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3F47785D" w14:textId="77777777" w:rsidTr="00396CB4">
        <w:trPr>
          <w:divId w:val="1946308362"/>
          <w:trHeight w:val="330"/>
        </w:trPr>
        <w:tc>
          <w:tcPr>
            <w:tcW w:w="660" w:type="dxa"/>
            <w:vMerge/>
            <w:tcBorders>
              <w:top w:val="single" w:sz="8" w:space="0" w:color="auto"/>
              <w:left w:val="single" w:sz="8" w:space="0" w:color="auto"/>
              <w:bottom w:val="single" w:sz="8" w:space="0" w:color="000000"/>
              <w:right w:val="single" w:sz="8" w:space="0" w:color="auto"/>
            </w:tcBorders>
            <w:vAlign w:val="center"/>
            <w:hideMark/>
          </w:tcPr>
          <w:p w14:paraId="113D78E5"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3220" w:type="dxa"/>
            <w:vMerge/>
            <w:tcBorders>
              <w:top w:val="single" w:sz="8" w:space="0" w:color="auto"/>
              <w:left w:val="single" w:sz="8" w:space="0" w:color="auto"/>
              <w:bottom w:val="single" w:sz="8" w:space="0" w:color="000000"/>
              <w:right w:val="single" w:sz="8" w:space="0" w:color="auto"/>
            </w:tcBorders>
            <w:vAlign w:val="center"/>
            <w:hideMark/>
          </w:tcPr>
          <w:p w14:paraId="7E53AFEC"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6B90DC8E"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2F6A1C1D"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14C54700"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6F4182E5"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7FD9F560" w14:textId="77777777" w:rsidTr="00396CB4">
        <w:trPr>
          <w:divId w:val="1946308362"/>
          <w:trHeight w:val="330"/>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33E1544A"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1.2.5.05.</w:t>
            </w:r>
          </w:p>
        </w:tc>
        <w:tc>
          <w:tcPr>
            <w:tcW w:w="3220" w:type="dxa"/>
            <w:tcBorders>
              <w:top w:val="nil"/>
              <w:left w:val="nil"/>
              <w:bottom w:val="single" w:sz="8" w:space="0" w:color="auto"/>
              <w:right w:val="single" w:sz="8" w:space="0" w:color="auto"/>
            </w:tcBorders>
            <w:shd w:val="clear" w:color="auto" w:fill="auto"/>
            <w:vAlign w:val="center"/>
            <w:hideMark/>
          </w:tcPr>
          <w:p w14:paraId="666B5FD1"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Bienes históricos y culturales</w:t>
            </w:r>
          </w:p>
        </w:tc>
        <w:tc>
          <w:tcPr>
            <w:tcW w:w="500" w:type="dxa"/>
            <w:tcBorders>
              <w:top w:val="nil"/>
              <w:left w:val="nil"/>
              <w:bottom w:val="single" w:sz="8" w:space="0" w:color="auto"/>
              <w:right w:val="single" w:sz="8" w:space="0" w:color="auto"/>
            </w:tcBorders>
            <w:shd w:val="clear" w:color="auto" w:fill="auto"/>
            <w:noWrap/>
            <w:vAlign w:val="center"/>
            <w:hideMark/>
          </w:tcPr>
          <w:p w14:paraId="4047B2F6"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10</w:t>
            </w:r>
          </w:p>
        </w:tc>
        <w:tc>
          <w:tcPr>
            <w:tcW w:w="2100" w:type="dxa"/>
            <w:tcBorders>
              <w:top w:val="nil"/>
              <w:left w:val="nil"/>
              <w:bottom w:val="single" w:sz="8" w:space="0" w:color="auto"/>
              <w:right w:val="single" w:sz="8" w:space="0" w:color="auto"/>
            </w:tcBorders>
            <w:shd w:val="clear" w:color="auto" w:fill="auto"/>
            <w:noWrap/>
            <w:vAlign w:val="center"/>
            <w:hideMark/>
          </w:tcPr>
          <w:p w14:paraId="19A95FA3"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2100" w:type="dxa"/>
            <w:tcBorders>
              <w:top w:val="nil"/>
              <w:left w:val="nil"/>
              <w:bottom w:val="single" w:sz="8" w:space="0" w:color="auto"/>
              <w:right w:val="single" w:sz="8" w:space="0" w:color="auto"/>
            </w:tcBorders>
            <w:shd w:val="clear" w:color="auto" w:fill="auto"/>
            <w:noWrap/>
            <w:vAlign w:val="center"/>
            <w:hideMark/>
          </w:tcPr>
          <w:p w14:paraId="11C6A2A5"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1020" w:type="dxa"/>
            <w:tcBorders>
              <w:top w:val="nil"/>
              <w:left w:val="nil"/>
              <w:bottom w:val="single" w:sz="8" w:space="0" w:color="auto"/>
              <w:right w:val="single" w:sz="8" w:space="0" w:color="auto"/>
            </w:tcBorders>
            <w:shd w:val="clear" w:color="auto" w:fill="auto"/>
            <w:noWrap/>
            <w:vAlign w:val="center"/>
            <w:hideMark/>
          </w:tcPr>
          <w:p w14:paraId="0C5A50C9"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0,00%</w:t>
            </w:r>
          </w:p>
        </w:tc>
      </w:tr>
    </w:tbl>
    <w:p w14:paraId="3955AF66" w14:textId="77777777" w:rsidR="00396CB4" w:rsidRPr="00396CB4" w:rsidRDefault="00654C21" w:rsidP="00396CB4">
      <w:pPr>
        <w:spacing w:before="240"/>
        <w:rPr>
          <w:b/>
          <w:lang w:val="es-ES"/>
        </w:rPr>
      </w:pPr>
      <w:r>
        <w:rPr>
          <w:b/>
          <w:lang w:val="es-ES"/>
        </w:rPr>
        <w:fldChar w:fldCharType="end"/>
      </w:r>
      <w:r w:rsidR="00692DC8" w:rsidRPr="0011777B">
        <w:rPr>
          <w:b/>
          <w:lang w:val="es-ES"/>
        </w:rPr>
        <w:t xml:space="preserve">Revelación: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756467">
        <w:rPr>
          <w:rFonts w:eastAsia="Times New Roman" w:cs="Calibri"/>
          <w:color w:val="000000"/>
          <w:lang w:eastAsia="es-CR"/>
        </w:rPr>
        <w:instrText xml:space="preserve">Excel.SheetMacroEnabled.12 "C:\\Users\\gcordero\\Downloads\\Notas diciembre 2024\\Formato_Notas_EEFF_Vinculadas_2024\\Formato_Notas_EEFF_Vinculadas_2024\\15603_T04_2024_Anexo_Estado_Notas_Contables_Vinculadas.xlsm" NOTAS_POR_CUENTA!F54C8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460FBAE2" w14:textId="77777777" w:rsidR="00396CB4" w:rsidRPr="00396CB4" w:rsidRDefault="00396CB4" w:rsidP="00396CB4">
      <w:pPr>
        <w:rPr>
          <w:rFonts w:eastAsia="Times New Roman" w:cs="Calibri"/>
          <w:color w:val="000000"/>
          <w:lang w:eastAsia="es-CR"/>
        </w:rPr>
      </w:pPr>
      <w:r w:rsidRPr="00396CB4">
        <w:rPr>
          <w:rFonts w:eastAsia="Times New Roman" w:cs="Calibri"/>
          <w:color w:val="000000"/>
          <w:lang w:eastAsia="es-CR"/>
        </w:rPr>
        <w:t>La cuenta Bienes históricos y culturales, representa el 0,00% del total del Activo, que comparado al periodo anterior genera una variación absoluta de 0 000,00 que corresponde a un Aumento del 0,00% de recursos disponibles.</w:t>
      </w:r>
    </w:p>
    <w:p w14:paraId="10CE81E3" w14:textId="17DB9C30" w:rsidR="00692DC8" w:rsidRPr="00654C21" w:rsidRDefault="00654C21" w:rsidP="0011777B">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2E5F4583" w14:textId="77777777" w:rsidR="00396CB4" w:rsidRDefault="00654C21" w:rsidP="00F51D42">
      <w:pPr>
        <w:spacing w:before="240"/>
        <w:rPr>
          <w:rFonts w:asciiTheme="minorHAnsi" w:hAnsiTheme="minorHAnsi"/>
          <w:sz w:val="22"/>
        </w:rPr>
      </w:pPr>
      <w:r>
        <w:rPr>
          <w:lang w:val="es-ES" w:eastAsia="es-CR"/>
        </w:rPr>
        <w:fldChar w:fldCharType="begin"/>
      </w:r>
      <w:r>
        <w:rPr>
          <w:lang w:val="es-ES" w:eastAsia="es-CR"/>
        </w:rPr>
        <w:instrText xml:space="preserve"> LINK </w:instrText>
      </w:r>
      <w:r w:rsidR="00756467">
        <w:rPr>
          <w:lang w:val="es-ES" w:eastAsia="es-CR"/>
        </w:rPr>
        <w:instrText xml:space="preserve">Excel.SheetMacroEnabled.12 "C:\\Users\\gcordero\\Downloads\\Notas diciembre 2024\\Formato_Notas_EEFF_Vinculadas_2024\\Formato_Notas_EEFF_Vinculadas_2024\\15603_T04_2024_Anexo_Estado_Notas_Contables_Vinculadas.xlsm" NOTAS_POR_CUENTA!F56C1:F58C6 </w:instrText>
      </w:r>
      <w:r>
        <w:rPr>
          <w:lang w:val="es-ES" w:eastAsia="es-CR"/>
        </w:rPr>
        <w:instrText xml:space="preserve">\a \f 4 \h </w:instrText>
      </w:r>
      <w:r>
        <w:rPr>
          <w:lang w:val="es-ES" w:eastAsia="es-CR"/>
        </w:rPr>
        <w:fldChar w:fldCharType="separate"/>
      </w:r>
    </w:p>
    <w:tbl>
      <w:tblPr>
        <w:tblW w:w="9600" w:type="dxa"/>
        <w:tblCellMar>
          <w:left w:w="70" w:type="dxa"/>
          <w:right w:w="70" w:type="dxa"/>
        </w:tblCellMar>
        <w:tblLook w:val="04A0" w:firstRow="1" w:lastRow="0" w:firstColumn="1" w:lastColumn="0" w:noHBand="0" w:noVBand="1"/>
      </w:tblPr>
      <w:tblGrid>
        <w:gridCol w:w="715"/>
        <w:gridCol w:w="3165"/>
        <w:gridCol w:w="500"/>
        <w:gridCol w:w="2100"/>
        <w:gridCol w:w="2100"/>
        <w:gridCol w:w="1020"/>
      </w:tblGrid>
      <w:tr w:rsidR="00396CB4" w:rsidRPr="00396CB4" w14:paraId="25BF4CE1" w14:textId="77777777" w:rsidTr="00396CB4">
        <w:trPr>
          <w:divId w:val="786588392"/>
          <w:trHeight w:val="330"/>
        </w:trPr>
        <w:tc>
          <w:tcPr>
            <w:tcW w:w="6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DEEB962" w14:textId="2E41D398" w:rsidR="00396CB4" w:rsidRPr="00396CB4" w:rsidRDefault="00396CB4" w:rsidP="00396CB4">
            <w:pPr>
              <w:spacing w:after="0" w:line="240" w:lineRule="auto"/>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32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A4A9096"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99995DF"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4175B82"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F1E7FB7"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70166220"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3721D4EA" w14:textId="77777777" w:rsidTr="00396CB4">
        <w:trPr>
          <w:divId w:val="786588392"/>
          <w:trHeight w:val="330"/>
        </w:trPr>
        <w:tc>
          <w:tcPr>
            <w:tcW w:w="660" w:type="dxa"/>
            <w:vMerge/>
            <w:tcBorders>
              <w:top w:val="single" w:sz="8" w:space="0" w:color="auto"/>
              <w:left w:val="single" w:sz="8" w:space="0" w:color="auto"/>
              <w:bottom w:val="single" w:sz="8" w:space="0" w:color="000000"/>
              <w:right w:val="single" w:sz="8" w:space="0" w:color="auto"/>
            </w:tcBorders>
            <w:vAlign w:val="center"/>
            <w:hideMark/>
          </w:tcPr>
          <w:p w14:paraId="36F512E7"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3220" w:type="dxa"/>
            <w:vMerge/>
            <w:tcBorders>
              <w:top w:val="single" w:sz="8" w:space="0" w:color="auto"/>
              <w:left w:val="single" w:sz="8" w:space="0" w:color="auto"/>
              <w:bottom w:val="single" w:sz="8" w:space="0" w:color="000000"/>
              <w:right w:val="single" w:sz="8" w:space="0" w:color="auto"/>
            </w:tcBorders>
            <w:vAlign w:val="center"/>
            <w:hideMark/>
          </w:tcPr>
          <w:p w14:paraId="72E3067A"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0A7C5901"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5F6F3761"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48AC7109"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1A793638"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003938B9" w14:textId="77777777" w:rsidTr="00396CB4">
        <w:trPr>
          <w:divId w:val="786588392"/>
          <w:trHeight w:val="330"/>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27F1F54B"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1.2.5.06.</w:t>
            </w:r>
          </w:p>
        </w:tc>
        <w:tc>
          <w:tcPr>
            <w:tcW w:w="3220" w:type="dxa"/>
            <w:tcBorders>
              <w:top w:val="nil"/>
              <w:left w:val="nil"/>
              <w:bottom w:val="single" w:sz="8" w:space="0" w:color="auto"/>
              <w:right w:val="single" w:sz="8" w:space="0" w:color="auto"/>
            </w:tcBorders>
            <w:shd w:val="clear" w:color="auto" w:fill="auto"/>
            <w:vAlign w:val="center"/>
            <w:hideMark/>
          </w:tcPr>
          <w:p w14:paraId="085C0163"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Recursos naturales en explotación</w:t>
            </w:r>
          </w:p>
        </w:tc>
        <w:tc>
          <w:tcPr>
            <w:tcW w:w="500" w:type="dxa"/>
            <w:tcBorders>
              <w:top w:val="nil"/>
              <w:left w:val="nil"/>
              <w:bottom w:val="single" w:sz="8" w:space="0" w:color="auto"/>
              <w:right w:val="single" w:sz="8" w:space="0" w:color="auto"/>
            </w:tcBorders>
            <w:shd w:val="clear" w:color="auto" w:fill="auto"/>
            <w:noWrap/>
            <w:vAlign w:val="center"/>
            <w:hideMark/>
          </w:tcPr>
          <w:p w14:paraId="4CADDCD9"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10</w:t>
            </w:r>
          </w:p>
        </w:tc>
        <w:tc>
          <w:tcPr>
            <w:tcW w:w="2100" w:type="dxa"/>
            <w:tcBorders>
              <w:top w:val="nil"/>
              <w:left w:val="nil"/>
              <w:bottom w:val="single" w:sz="8" w:space="0" w:color="auto"/>
              <w:right w:val="single" w:sz="8" w:space="0" w:color="auto"/>
            </w:tcBorders>
            <w:shd w:val="clear" w:color="auto" w:fill="auto"/>
            <w:noWrap/>
            <w:vAlign w:val="center"/>
            <w:hideMark/>
          </w:tcPr>
          <w:p w14:paraId="44FE5F47"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2100" w:type="dxa"/>
            <w:tcBorders>
              <w:top w:val="nil"/>
              <w:left w:val="nil"/>
              <w:bottom w:val="single" w:sz="8" w:space="0" w:color="auto"/>
              <w:right w:val="single" w:sz="8" w:space="0" w:color="auto"/>
            </w:tcBorders>
            <w:shd w:val="clear" w:color="auto" w:fill="auto"/>
            <w:noWrap/>
            <w:vAlign w:val="center"/>
            <w:hideMark/>
          </w:tcPr>
          <w:p w14:paraId="6D99F697"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1020" w:type="dxa"/>
            <w:tcBorders>
              <w:top w:val="nil"/>
              <w:left w:val="nil"/>
              <w:bottom w:val="single" w:sz="8" w:space="0" w:color="auto"/>
              <w:right w:val="single" w:sz="8" w:space="0" w:color="auto"/>
            </w:tcBorders>
            <w:shd w:val="clear" w:color="auto" w:fill="auto"/>
            <w:noWrap/>
            <w:vAlign w:val="center"/>
            <w:hideMark/>
          </w:tcPr>
          <w:p w14:paraId="4695E9DA"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0,00%</w:t>
            </w:r>
          </w:p>
        </w:tc>
      </w:tr>
    </w:tbl>
    <w:p w14:paraId="1035C835" w14:textId="77777777" w:rsidR="009C276C" w:rsidRDefault="00654C21" w:rsidP="00396CB4">
      <w:pPr>
        <w:spacing w:before="240"/>
        <w:rPr>
          <w:rFonts w:eastAsia="Times New Roman"/>
          <w:b/>
          <w:bCs/>
          <w:sz w:val="22"/>
          <w:lang w:val="es-ES" w:eastAsia="es-CR"/>
        </w:rPr>
      </w:pPr>
      <w:r>
        <w:rPr>
          <w:rFonts w:eastAsia="Times New Roman"/>
          <w:b/>
          <w:bCs/>
          <w:sz w:val="22"/>
          <w:lang w:val="es-ES" w:eastAsia="es-CR"/>
        </w:rPr>
        <w:fldChar w:fldCharType="end"/>
      </w:r>
    </w:p>
    <w:p w14:paraId="29892C1B" w14:textId="77777777" w:rsidR="009C276C" w:rsidRDefault="009C276C" w:rsidP="00396CB4">
      <w:pPr>
        <w:spacing w:before="240"/>
        <w:rPr>
          <w:rFonts w:eastAsia="Times New Roman"/>
          <w:b/>
          <w:bCs/>
          <w:sz w:val="22"/>
          <w:lang w:val="es-ES" w:eastAsia="es-CR"/>
        </w:rPr>
      </w:pPr>
    </w:p>
    <w:p w14:paraId="35C5A2E6" w14:textId="7DE52CB5" w:rsidR="005B579A" w:rsidRDefault="005B579A" w:rsidP="00396CB4">
      <w:pPr>
        <w:spacing w:before="240"/>
        <w:rPr>
          <w:rFonts w:eastAsia="Times New Roman"/>
          <w:b/>
          <w:bCs/>
          <w:sz w:val="22"/>
          <w:lang w:val="es-ES" w:eastAsia="es-CR"/>
        </w:rPr>
      </w:pPr>
    </w:p>
    <w:p w14:paraId="77A6E943" w14:textId="7A4E5112" w:rsidR="00396CB4" w:rsidRPr="00396CB4" w:rsidRDefault="00692DC8" w:rsidP="00396CB4">
      <w:pPr>
        <w:spacing w:before="240"/>
        <w:rPr>
          <w:rFonts w:eastAsia="Times New Roman"/>
          <w:b/>
          <w:bCs/>
          <w:sz w:val="22"/>
          <w:lang w:val="es-ES" w:eastAsia="es-CR"/>
        </w:rPr>
      </w:pPr>
      <w:r w:rsidRPr="00692DC8">
        <w:rPr>
          <w:rFonts w:eastAsia="Times New Roman"/>
          <w:b/>
          <w:bCs/>
          <w:sz w:val="22"/>
          <w:lang w:val="es-ES" w:eastAsia="es-CR"/>
        </w:rPr>
        <w:lastRenderedPageBreak/>
        <w:t>Revelación</w:t>
      </w:r>
      <w:r w:rsidRPr="00692DC8">
        <w:rPr>
          <w:rFonts w:eastAsia="Times New Roman"/>
          <w:sz w:val="22"/>
          <w:lang w:val="es-ES" w:eastAsia="es-CR"/>
        </w:rPr>
        <w:t xml:space="preserve">: </w:t>
      </w:r>
      <w:r w:rsidR="00654C21">
        <w:rPr>
          <w:rFonts w:eastAsia="Times New Roman" w:cs="Calibri"/>
          <w:color w:val="000000"/>
          <w:lang w:eastAsia="es-CR"/>
        </w:rPr>
        <w:fldChar w:fldCharType="begin"/>
      </w:r>
      <w:r w:rsidR="00654C21">
        <w:rPr>
          <w:rFonts w:eastAsia="Times New Roman" w:cs="Calibri"/>
          <w:color w:val="000000"/>
          <w:lang w:eastAsia="es-CR"/>
        </w:rPr>
        <w:instrText xml:space="preserve"> LINK </w:instrText>
      </w:r>
      <w:r w:rsidR="00756467">
        <w:rPr>
          <w:rFonts w:eastAsia="Times New Roman" w:cs="Calibri"/>
          <w:color w:val="000000"/>
          <w:lang w:eastAsia="es-CR"/>
        </w:rPr>
        <w:instrText xml:space="preserve">Excel.SheetMacroEnabled.12 "C:\\Users\\gcordero\\Downloads\\Notas diciembre 2024\\Formato_Notas_EEFF_Vinculadas_2024\\Formato_Notas_EEFF_Vinculadas_2024\\15603_T04_2024_Anexo_Estado_Notas_Contables_Vinculadas.xlsm" NOTAS_POR_CUENTA!F58C8 </w:instrText>
      </w:r>
      <w:r w:rsidR="00654C21">
        <w:rPr>
          <w:rFonts w:eastAsia="Times New Roman" w:cs="Calibri"/>
          <w:color w:val="000000"/>
          <w:lang w:eastAsia="es-CR"/>
        </w:rPr>
        <w:instrText xml:space="preserve">\a \f 5 \h  \* MERGEFORMAT </w:instrText>
      </w:r>
      <w:r w:rsidR="00654C21">
        <w:rPr>
          <w:rFonts w:eastAsia="Times New Roman" w:cs="Calibri"/>
          <w:color w:val="000000"/>
          <w:lang w:eastAsia="es-CR"/>
        </w:rPr>
        <w:fldChar w:fldCharType="separate"/>
      </w:r>
    </w:p>
    <w:p w14:paraId="0B8D1A45" w14:textId="77777777" w:rsidR="00396CB4" w:rsidRPr="00396CB4" w:rsidRDefault="00396CB4" w:rsidP="00396CB4">
      <w:pPr>
        <w:rPr>
          <w:rFonts w:eastAsia="Times New Roman" w:cs="Calibri"/>
          <w:color w:val="000000"/>
          <w:lang w:eastAsia="es-CR"/>
        </w:rPr>
      </w:pPr>
      <w:r w:rsidRPr="00396CB4">
        <w:rPr>
          <w:rFonts w:eastAsia="Times New Roman" w:cs="Calibri"/>
          <w:color w:val="000000"/>
          <w:lang w:eastAsia="es-CR"/>
        </w:rPr>
        <w:t>La cuenta Recursos naturales en explotación, representa el 0,00% del total del Activo, que comparado al periodo anterior genera una variación absoluta de 0 000,00 que corresponde a un Aumento del 0,00% de recursos disponibles.</w:t>
      </w:r>
    </w:p>
    <w:p w14:paraId="1C97878B" w14:textId="0E6DD85C" w:rsidR="00692DC8" w:rsidRPr="009C276C" w:rsidRDefault="00654C21" w:rsidP="001E78C3">
      <w:pPr>
        <w:rPr>
          <w:rFonts w:eastAsia="Times New Roman"/>
          <w:szCs w:val="24"/>
          <w:lang w:eastAsia="es-CR"/>
        </w:rPr>
      </w:pPr>
      <w:r>
        <w:rPr>
          <w:rFonts w:eastAsia="Times New Roman" w:cs="Calibri"/>
          <w:color w:val="000000"/>
          <w:lang w:eastAsia="es-CR"/>
        </w:rPr>
        <w:fldChar w:fldCharType="end"/>
      </w:r>
      <w:r w:rsidR="00692DC8" w:rsidRPr="00692DC8">
        <w:rPr>
          <w:rFonts w:eastAsia="Times New Roman"/>
          <w:sz w:val="22"/>
          <w:szCs w:val="24"/>
          <w:highlight w:val="lightGray"/>
          <w:lang w:eastAsia="es-CR"/>
        </w:rPr>
        <w:t>Las variaciones de la cuenta son producto de (Indicar la razón de las variaciones de un periodo a otro</w:t>
      </w:r>
      <w:r w:rsidR="00692DC8" w:rsidRPr="00692DC8">
        <w:rPr>
          <w:rFonts w:eastAsia="Times New Roman"/>
          <w:szCs w:val="24"/>
          <w:highlight w:val="lightGray"/>
          <w:lang w:eastAsia="es-CR"/>
        </w:rPr>
        <w:t>):</w:t>
      </w:r>
      <w:r w:rsidR="00692DC8" w:rsidRPr="00692DC8">
        <w:rPr>
          <w:rFonts w:eastAsia="Times New Roman"/>
          <w:szCs w:val="24"/>
          <w:lang w:eastAsia="es-CR"/>
        </w:rPr>
        <w:t xml:space="preserve"> </w:t>
      </w:r>
    </w:p>
    <w:p w14:paraId="76995C89" w14:textId="77777777" w:rsidR="00396CB4" w:rsidRDefault="00654C21" w:rsidP="00F51D42">
      <w:pPr>
        <w:spacing w:before="240"/>
        <w:rPr>
          <w:rFonts w:asciiTheme="minorHAnsi" w:hAnsiTheme="minorHAnsi"/>
          <w:sz w:val="22"/>
        </w:rPr>
      </w:pPr>
      <w:r>
        <w:rPr>
          <w:lang w:val="es-ES"/>
        </w:rPr>
        <w:fldChar w:fldCharType="begin"/>
      </w:r>
      <w:r>
        <w:rPr>
          <w:lang w:val="es-ES"/>
        </w:rPr>
        <w:instrText xml:space="preserve"> LINK </w:instrText>
      </w:r>
      <w:r w:rsidR="00756467">
        <w:rPr>
          <w:lang w:val="es-ES"/>
        </w:rPr>
        <w:instrText xml:space="preserve">Excel.SheetMacroEnabled.12 "C:\\Users\\gcordero\\Downloads\\Notas diciembre 2024\\Formato_Notas_EEFF_Vinculadas_2024\\Formato_Notas_EEFF_Vinculadas_2024\\15603_T04_2024_Anexo_Estado_Notas_Contables_Vinculadas.xlsm" NOTAS_POR_CUENTA!F60C1:F62C6 </w:instrText>
      </w:r>
      <w:r>
        <w:rPr>
          <w:lang w:val="es-ES"/>
        </w:rPr>
        <w:instrText xml:space="preserve">\a \f 4 \h </w:instrText>
      </w:r>
      <w:r>
        <w:rPr>
          <w:lang w:val="es-ES"/>
        </w:rPr>
        <w:fldChar w:fldCharType="separate"/>
      </w:r>
    </w:p>
    <w:tbl>
      <w:tblPr>
        <w:tblW w:w="9600" w:type="dxa"/>
        <w:tblCellMar>
          <w:left w:w="70" w:type="dxa"/>
          <w:right w:w="70" w:type="dxa"/>
        </w:tblCellMar>
        <w:tblLook w:val="04A0" w:firstRow="1" w:lastRow="0" w:firstColumn="1" w:lastColumn="0" w:noHBand="0" w:noVBand="1"/>
      </w:tblPr>
      <w:tblGrid>
        <w:gridCol w:w="715"/>
        <w:gridCol w:w="3165"/>
        <w:gridCol w:w="500"/>
        <w:gridCol w:w="2100"/>
        <w:gridCol w:w="2100"/>
        <w:gridCol w:w="1020"/>
      </w:tblGrid>
      <w:tr w:rsidR="00396CB4" w:rsidRPr="00396CB4" w14:paraId="1C6BFC78" w14:textId="77777777" w:rsidTr="00396CB4">
        <w:trPr>
          <w:divId w:val="513494632"/>
          <w:trHeight w:val="330"/>
        </w:trPr>
        <w:tc>
          <w:tcPr>
            <w:tcW w:w="6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67CECDD" w14:textId="2F47F546" w:rsidR="00396CB4" w:rsidRPr="00396CB4" w:rsidRDefault="00396CB4" w:rsidP="00396CB4">
            <w:pPr>
              <w:spacing w:after="0" w:line="240" w:lineRule="auto"/>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32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197812D"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C43593D"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EC3545A"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687C1D9"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7124660D"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79FB12FF" w14:textId="77777777" w:rsidTr="00396CB4">
        <w:trPr>
          <w:divId w:val="513494632"/>
          <w:trHeight w:val="330"/>
        </w:trPr>
        <w:tc>
          <w:tcPr>
            <w:tcW w:w="660" w:type="dxa"/>
            <w:vMerge/>
            <w:tcBorders>
              <w:top w:val="single" w:sz="8" w:space="0" w:color="auto"/>
              <w:left w:val="single" w:sz="8" w:space="0" w:color="auto"/>
              <w:bottom w:val="single" w:sz="8" w:space="0" w:color="000000"/>
              <w:right w:val="single" w:sz="8" w:space="0" w:color="auto"/>
            </w:tcBorders>
            <w:vAlign w:val="center"/>
            <w:hideMark/>
          </w:tcPr>
          <w:p w14:paraId="75C14D80"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3220" w:type="dxa"/>
            <w:vMerge/>
            <w:tcBorders>
              <w:top w:val="single" w:sz="8" w:space="0" w:color="auto"/>
              <w:left w:val="single" w:sz="8" w:space="0" w:color="auto"/>
              <w:bottom w:val="single" w:sz="8" w:space="0" w:color="000000"/>
              <w:right w:val="single" w:sz="8" w:space="0" w:color="auto"/>
            </w:tcBorders>
            <w:vAlign w:val="center"/>
            <w:hideMark/>
          </w:tcPr>
          <w:p w14:paraId="13C71366"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573FF91C"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4C4484D5"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7BA8BB2A"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132127A8"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4A014F31" w14:textId="77777777" w:rsidTr="00396CB4">
        <w:trPr>
          <w:divId w:val="513494632"/>
          <w:trHeight w:val="330"/>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3014BEF8"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1.2.5.07.</w:t>
            </w:r>
          </w:p>
        </w:tc>
        <w:tc>
          <w:tcPr>
            <w:tcW w:w="3220" w:type="dxa"/>
            <w:tcBorders>
              <w:top w:val="nil"/>
              <w:left w:val="nil"/>
              <w:bottom w:val="single" w:sz="8" w:space="0" w:color="auto"/>
              <w:right w:val="single" w:sz="8" w:space="0" w:color="auto"/>
            </w:tcBorders>
            <w:shd w:val="clear" w:color="auto" w:fill="auto"/>
            <w:vAlign w:val="center"/>
            <w:hideMark/>
          </w:tcPr>
          <w:p w14:paraId="26EEED2A"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Recursos naturales en conservación</w:t>
            </w:r>
          </w:p>
        </w:tc>
        <w:tc>
          <w:tcPr>
            <w:tcW w:w="500" w:type="dxa"/>
            <w:tcBorders>
              <w:top w:val="nil"/>
              <w:left w:val="nil"/>
              <w:bottom w:val="single" w:sz="8" w:space="0" w:color="auto"/>
              <w:right w:val="single" w:sz="8" w:space="0" w:color="auto"/>
            </w:tcBorders>
            <w:shd w:val="clear" w:color="auto" w:fill="auto"/>
            <w:noWrap/>
            <w:vAlign w:val="center"/>
            <w:hideMark/>
          </w:tcPr>
          <w:p w14:paraId="370D1928"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10</w:t>
            </w:r>
          </w:p>
        </w:tc>
        <w:tc>
          <w:tcPr>
            <w:tcW w:w="2100" w:type="dxa"/>
            <w:tcBorders>
              <w:top w:val="nil"/>
              <w:left w:val="nil"/>
              <w:bottom w:val="single" w:sz="8" w:space="0" w:color="auto"/>
              <w:right w:val="single" w:sz="8" w:space="0" w:color="auto"/>
            </w:tcBorders>
            <w:shd w:val="clear" w:color="auto" w:fill="auto"/>
            <w:noWrap/>
            <w:vAlign w:val="center"/>
            <w:hideMark/>
          </w:tcPr>
          <w:p w14:paraId="0C8AF684"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2100" w:type="dxa"/>
            <w:tcBorders>
              <w:top w:val="nil"/>
              <w:left w:val="nil"/>
              <w:bottom w:val="single" w:sz="8" w:space="0" w:color="auto"/>
              <w:right w:val="single" w:sz="8" w:space="0" w:color="auto"/>
            </w:tcBorders>
            <w:shd w:val="clear" w:color="auto" w:fill="auto"/>
            <w:noWrap/>
            <w:vAlign w:val="center"/>
            <w:hideMark/>
          </w:tcPr>
          <w:p w14:paraId="4A1FD768"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1020" w:type="dxa"/>
            <w:tcBorders>
              <w:top w:val="nil"/>
              <w:left w:val="nil"/>
              <w:bottom w:val="single" w:sz="8" w:space="0" w:color="auto"/>
              <w:right w:val="single" w:sz="8" w:space="0" w:color="auto"/>
            </w:tcBorders>
            <w:shd w:val="clear" w:color="auto" w:fill="auto"/>
            <w:noWrap/>
            <w:vAlign w:val="center"/>
            <w:hideMark/>
          </w:tcPr>
          <w:p w14:paraId="42978620"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0,00%</w:t>
            </w:r>
          </w:p>
        </w:tc>
      </w:tr>
    </w:tbl>
    <w:p w14:paraId="30B3EB77" w14:textId="77777777" w:rsidR="00396CB4" w:rsidRPr="00396CB4" w:rsidRDefault="00654C21" w:rsidP="00396CB4">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756467">
        <w:rPr>
          <w:rFonts w:eastAsia="Times New Roman" w:cs="Calibri"/>
          <w:color w:val="000000"/>
          <w:lang w:eastAsia="es-CR"/>
        </w:rPr>
        <w:instrText xml:space="preserve">Excel.SheetMacroEnabled.12 "C:\\Users\\gcordero\\Downloads\\Notas diciembre 2024\\Formato_Notas_EEFF_Vinculadas_2024\\Formato_Notas_EEFF_Vinculadas_2024\\15603_T04_2024_Anexo_Estado_Notas_Contables_Vinculadas.xlsm" NOTAS_POR_CUENTA!F62C8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7B29B9EA" w14:textId="77777777" w:rsidR="00396CB4" w:rsidRPr="00396CB4" w:rsidRDefault="00396CB4" w:rsidP="00396CB4">
      <w:pPr>
        <w:rPr>
          <w:rFonts w:eastAsia="Times New Roman" w:cs="Calibri"/>
          <w:color w:val="000000"/>
          <w:lang w:eastAsia="es-CR"/>
        </w:rPr>
      </w:pPr>
      <w:r w:rsidRPr="00396CB4">
        <w:rPr>
          <w:rFonts w:eastAsia="Times New Roman" w:cs="Calibri"/>
          <w:color w:val="000000"/>
          <w:lang w:eastAsia="es-CR"/>
        </w:rPr>
        <w:t>La cuenta Recursos naturales en conservación, representa el 0,00% del total del Activo, que comparado al periodo anterior genera una variación absoluta de 0 000,00 que corresponde a un Aumento del 0,00% de recursos disponibles.</w:t>
      </w:r>
    </w:p>
    <w:p w14:paraId="7C0F5222" w14:textId="38303547" w:rsidR="00692DC8" w:rsidRPr="003421AB" w:rsidRDefault="00654C21" w:rsidP="00654C21">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1140F456" w14:textId="77777777" w:rsidR="00654C21" w:rsidRDefault="00654C21" w:rsidP="001E78C3">
      <w:pPr>
        <w:spacing w:before="240"/>
        <w:rPr>
          <w:lang w:val="es-ES"/>
        </w:rPr>
      </w:pPr>
    </w:p>
    <w:p w14:paraId="71F0A6E5" w14:textId="77777777" w:rsidR="00396CB4" w:rsidRDefault="00654C21" w:rsidP="0061790F">
      <w:pPr>
        <w:spacing w:after="120"/>
        <w:rPr>
          <w:rFonts w:asciiTheme="minorHAnsi" w:hAnsiTheme="minorHAnsi"/>
          <w:sz w:val="22"/>
        </w:rPr>
      </w:pPr>
      <w:r>
        <w:rPr>
          <w:lang w:val="es-ES"/>
        </w:rPr>
        <w:fldChar w:fldCharType="begin"/>
      </w:r>
      <w:r>
        <w:rPr>
          <w:lang w:val="es-ES"/>
        </w:rPr>
        <w:instrText xml:space="preserve"> LINK </w:instrText>
      </w:r>
      <w:r w:rsidR="00756467">
        <w:rPr>
          <w:lang w:val="es-ES"/>
        </w:rPr>
        <w:instrText xml:space="preserve">Excel.SheetMacroEnabled.12 "C:\\Users\\gcordero\\Downloads\\Notas diciembre 2024\\Formato_Notas_EEFF_Vinculadas_2024\\Formato_Notas_EEFF_Vinculadas_2024\\15603_T04_2024_Anexo_Estado_Notas_Contables_Vinculadas.xlsm" NOTAS_POR_CUENTA!F64C1:F66C6 </w:instrText>
      </w:r>
      <w:r>
        <w:rPr>
          <w:lang w:val="es-ES"/>
        </w:rPr>
        <w:instrText xml:space="preserve">\a \f 4 \h </w:instrText>
      </w:r>
      <w:r>
        <w:rPr>
          <w:lang w:val="es-ES"/>
        </w:rPr>
        <w:fldChar w:fldCharType="separate"/>
      </w:r>
    </w:p>
    <w:tbl>
      <w:tblPr>
        <w:tblW w:w="9600" w:type="dxa"/>
        <w:tblCellMar>
          <w:left w:w="70" w:type="dxa"/>
          <w:right w:w="70" w:type="dxa"/>
        </w:tblCellMar>
        <w:tblLook w:val="04A0" w:firstRow="1" w:lastRow="0" w:firstColumn="1" w:lastColumn="0" w:noHBand="0" w:noVBand="1"/>
      </w:tblPr>
      <w:tblGrid>
        <w:gridCol w:w="715"/>
        <w:gridCol w:w="3165"/>
        <w:gridCol w:w="500"/>
        <w:gridCol w:w="2100"/>
        <w:gridCol w:w="2100"/>
        <w:gridCol w:w="1020"/>
      </w:tblGrid>
      <w:tr w:rsidR="00396CB4" w:rsidRPr="00396CB4" w14:paraId="6D6BEB6C" w14:textId="77777777" w:rsidTr="00396CB4">
        <w:trPr>
          <w:divId w:val="1430545167"/>
          <w:trHeight w:val="330"/>
        </w:trPr>
        <w:tc>
          <w:tcPr>
            <w:tcW w:w="6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AA2A287" w14:textId="797AAAA0" w:rsidR="00396CB4" w:rsidRPr="00396CB4" w:rsidRDefault="00396CB4" w:rsidP="00396CB4">
            <w:pPr>
              <w:spacing w:after="0" w:line="240" w:lineRule="auto"/>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32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C41F121"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8CC61E4"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3D45F0B"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54EDC1A"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3D5E8047"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72961849" w14:textId="77777777" w:rsidTr="00396CB4">
        <w:trPr>
          <w:divId w:val="1430545167"/>
          <w:trHeight w:val="330"/>
        </w:trPr>
        <w:tc>
          <w:tcPr>
            <w:tcW w:w="660" w:type="dxa"/>
            <w:vMerge/>
            <w:tcBorders>
              <w:top w:val="single" w:sz="8" w:space="0" w:color="auto"/>
              <w:left w:val="single" w:sz="8" w:space="0" w:color="auto"/>
              <w:bottom w:val="single" w:sz="8" w:space="0" w:color="000000"/>
              <w:right w:val="single" w:sz="8" w:space="0" w:color="auto"/>
            </w:tcBorders>
            <w:vAlign w:val="center"/>
            <w:hideMark/>
          </w:tcPr>
          <w:p w14:paraId="603380F3"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3220" w:type="dxa"/>
            <w:vMerge/>
            <w:tcBorders>
              <w:top w:val="single" w:sz="8" w:space="0" w:color="auto"/>
              <w:left w:val="single" w:sz="8" w:space="0" w:color="auto"/>
              <w:bottom w:val="single" w:sz="8" w:space="0" w:color="000000"/>
              <w:right w:val="single" w:sz="8" w:space="0" w:color="auto"/>
            </w:tcBorders>
            <w:vAlign w:val="center"/>
            <w:hideMark/>
          </w:tcPr>
          <w:p w14:paraId="32E6C7B7"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5A887E5D"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4164892E"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48EF89EB"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288ADEE7"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5BE19E16" w14:textId="77777777" w:rsidTr="00396CB4">
        <w:trPr>
          <w:divId w:val="1430545167"/>
          <w:trHeight w:val="330"/>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032E9698"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1.2.5.08.</w:t>
            </w:r>
          </w:p>
        </w:tc>
        <w:tc>
          <w:tcPr>
            <w:tcW w:w="3220" w:type="dxa"/>
            <w:tcBorders>
              <w:top w:val="nil"/>
              <w:left w:val="nil"/>
              <w:bottom w:val="single" w:sz="8" w:space="0" w:color="auto"/>
              <w:right w:val="single" w:sz="8" w:space="0" w:color="auto"/>
            </w:tcBorders>
            <w:shd w:val="clear" w:color="auto" w:fill="auto"/>
            <w:vAlign w:val="center"/>
            <w:hideMark/>
          </w:tcPr>
          <w:p w14:paraId="2D53F241"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Bienes intangibles no concesionados</w:t>
            </w:r>
          </w:p>
        </w:tc>
        <w:tc>
          <w:tcPr>
            <w:tcW w:w="500" w:type="dxa"/>
            <w:tcBorders>
              <w:top w:val="nil"/>
              <w:left w:val="nil"/>
              <w:bottom w:val="single" w:sz="8" w:space="0" w:color="auto"/>
              <w:right w:val="single" w:sz="8" w:space="0" w:color="auto"/>
            </w:tcBorders>
            <w:shd w:val="clear" w:color="auto" w:fill="auto"/>
            <w:noWrap/>
            <w:vAlign w:val="center"/>
            <w:hideMark/>
          </w:tcPr>
          <w:p w14:paraId="08816177"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10</w:t>
            </w:r>
          </w:p>
        </w:tc>
        <w:tc>
          <w:tcPr>
            <w:tcW w:w="2100" w:type="dxa"/>
            <w:tcBorders>
              <w:top w:val="nil"/>
              <w:left w:val="nil"/>
              <w:bottom w:val="single" w:sz="8" w:space="0" w:color="auto"/>
              <w:right w:val="single" w:sz="8" w:space="0" w:color="auto"/>
            </w:tcBorders>
            <w:shd w:val="clear" w:color="auto" w:fill="auto"/>
            <w:noWrap/>
            <w:vAlign w:val="center"/>
            <w:hideMark/>
          </w:tcPr>
          <w:p w14:paraId="6684BF09"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9 849,51 </w:t>
            </w:r>
          </w:p>
        </w:tc>
        <w:tc>
          <w:tcPr>
            <w:tcW w:w="2100" w:type="dxa"/>
            <w:tcBorders>
              <w:top w:val="nil"/>
              <w:left w:val="nil"/>
              <w:bottom w:val="single" w:sz="8" w:space="0" w:color="auto"/>
              <w:right w:val="single" w:sz="8" w:space="0" w:color="auto"/>
            </w:tcBorders>
            <w:shd w:val="clear" w:color="auto" w:fill="auto"/>
            <w:noWrap/>
            <w:vAlign w:val="center"/>
            <w:hideMark/>
          </w:tcPr>
          <w:p w14:paraId="0DA1ADF0"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12 565,24 </w:t>
            </w:r>
          </w:p>
        </w:tc>
        <w:tc>
          <w:tcPr>
            <w:tcW w:w="1020" w:type="dxa"/>
            <w:tcBorders>
              <w:top w:val="nil"/>
              <w:left w:val="nil"/>
              <w:bottom w:val="single" w:sz="8" w:space="0" w:color="auto"/>
              <w:right w:val="single" w:sz="8" w:space="0" w:color="auto"/>
            </w:tcBorders>
            <w:shd w:val="clear" w:color="auto" w:fill="auto"/>
            <w:noWrap/>
            <w:vAlign w:val="center"/>
            <w:hideMark/>
          </w:tcPr>
          <w:p w14:paraId="0E9A98B9"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-21,61%</w:t>
            </w:r>
          </w:p>
        </w:tc>
      </w:tr>
    </w:tbl>
    <w:p w14:paraId="642B79D6" w14:textId="2CD4C863" w:rsidR="0061790F" w:rsidRDefault="00654C21" w:rsidP="0061790F">
      <w:pPr>
        <w:spacing w:after="120"/>
        <w:rPr>
          <w:b/>
          <w:lang w:val="es-ES"/>
        </w:rPr>
      </w:pPr>
      <w:r>
        <w:rPr>
          <w:b/>
          <w:lang w:val="es-ES"/>
        </w:rPr>
        <w:fldChar w:fldCharType="end"/>
      </w:r>
      <w:r w:rsidR="0061790F" w:rsidRPr="0061790F">
        <w:rPr>
          <w:b/>
          <w:lang w:val="es-ES"/>
        </w:rPr>
        <w:t xml:space="preserve"> </w:t>
      </w:r>
      <w:r w:rsidR="0061790F">
        <w:rPr>
          <w:b/>
          <w:lang w:val="es-ES"/>
        </w:rPr>
        <w:t>Reconocimiento de los activos</w:t>
      </w:r>
    </w:p>
    <w:p w14:paraId="72EDFB41" w14:textId="77777777" w:rsidR="0061790F" w:rsidRDefault="0061790F" w:rsidP="0061790F">
      <w:pPr>
        <w:spacing w:after="120" w:line="240" w:lineRule="auto"/>
        <w:rPr>
          <w:lang w:val="es-ES"/>
        </w:rPr>
      </w:pPr>
      <w:r w:rsidRPr="004E036F">
        <w:rPr>
          <w:lang w:val="es-ES"/>
        </w:rPr>
        <w:t xml:space="preserve">Los activos que se reconocen como activos intangibles son aquellos adquiridos de los cuales se espera fluya un potencial de servicio </w:t>
      </w:r>
      <w:r>
        <w:rPr>
          <w:lang w:val="es-ES"/>
        </w:rPr>
        <w:t>en la operativa normal de</w:t>
      </w:r>
      <w:r w:rsidRPr="004E036F">
        <w:rPr>
          <w:lang w:val="es-ES"/>
        </w:rPr>
        <w:t xml:space="preserve"> la Municipalidad.</w:t>
      </w:r>
    </w:p>
    <w:p w14:paraId="2ECCD7C3" w14:textId="77777777" w:rsidR="0061790F" w:rsidRPr="004E036F" w:rsidRDefault="0061790F" w:rsidP="0061790F">
      <w:pPr>
        <w:spacing w:after="0" w:line="240" w:lineRule="auto"/>
        <w:rPr>
          <w:lang w:val="es-ES"/>
        </w:rPr>
      </w:pPr>
    </w:p>
    <w:p w14:paraId="037E2418" w14:textId="77777777" w:rsidR="0061790F" w:rsidRPr="00194908" w:rsidRDefault="0061790F" w:rsidP="0061790F">
      <w:pPr>
        <w:spacing w:after="120"/>
        <w:rPr>
          <w:b/>
          <w:bCs/>
          <w:lang w:val="es-ES"/>
        </w:rPr>
      </w:pPr>
      <w:r w:rsidRPr="00194908">
        <w:rPr>
          <w:b/>
          <w:bCs/>
          <w:lang w:val="es-ES"/>
        </w:rPr>
        <w:t>Método de Costo:</w:t>
      </w:r>
    </w:p>
    <w:p w14:paraId="193B4E70" w14:textId="77777777" w:rsidR="0061790F" w:rsidRDefault="0061790F" w:rsidP="0061790F">
      <w:pPr>
        <w:spacing w:after="0" w:line="240" w:lineRule="auto"/>
        <w:rPr>
          <w:lang w:val="es-ES"/>
        </w:rPr>
      </w:pPr>
      <w:r w:rsidRPr="00194908">
        <w:rPr>
          <w:lang w:val="es-ES"/>
        </w:rPr>
        <w:t>Hay que reiterar que la Municipalidad utiliza el Método de Costo para el registro de los activos. Este método implica que emplea el costo histórico en aquellos casos que se cuente con información fiable, y en los casos que no se cuente con información confiable se les atribuye un valor a los activos establecido por un experto en la materia con capacidad para establecer el valor utilizado, esto con base en lo establecido en la NICSP 31 y NICSP 33.</w:t>
      </w:r>
    </w:p>
    <w:p w14:paraId="133CEE7D" w14:textId="77777777" w:rsidR="0061790F" w:rsidRPr="00194908" w:rsidRDefault="0061790F" w:rsidP="0061790F">
      <w:pPr>
        <w:spacing w:after="0" w:line="240" w:lineRule="auto"/>
        <w:rPr>
          <w:lang w:val="es-ES"/>
        </w:rPr>
      </w:pPr>
      <w:r w:rsidRPr="00194908">
        <w:rPr>
          <w:lang w:val="es-ES"/>
        </w:rPr>
        <w:t xml:space="preserve"> </w:t>
      </w:r>
    </w:p>
    <w:p w14:paraId="2395F60C" w14:textId="77777777" w:rsidR="0061790F" w:rsidRDefault="0061790F" w:rsidP="0061790F">
      <w:pPr>
        <w:spacing w:after="0" w:line="240" w:lineRule="auto"/>
        <w:rPr>
          <w:rFonts w:cs="Arial"/>
          <w:lang w:val="es-ES" w:eastAsia="es-CR"/>
        </w:rPr>
      </w:pPr>
      <w:r w:rsidRPr="00194908">
        <w:rPr>
          <w:rFonts w:cs="Arial"/>
          <w:lang w:val="es-ES" w:eastAsia="es-CR"/>
        </w:rPr>
        <w:lastRenderedPageBreak/>
        <w:t>Los activos de esta clase nuevos se registran conforme lo establece la NICSP 31, considerando todos los costos atribuibles para que el bien pueda operar de la forma prevista y cualquier otra obligación en que se incurra atribuible a la adquisición del bien como los intereses pagados durante el periodo de construcción, en caso de que los mismos sean financiados con un préstamo, tal como los establece la NICSP 5 “Costos por Préstamos”.</w:t>
      </w:r>
    </w:p>
    <w:p w14:paraId="4B0CEC85" w14:textId="77777777" w:rsidR="0061790F" w:rsidRPr="00194908" w:rsidRDefault="0061790F" w:rsidP="0061790F">
      <w:pPr>
        <w:spacing w:after="0" w:line="240" w:lineRule="auto"/>
        <w:rPr>
          <w:rFonts w:cs="Arial"/>
          <w:lang w:val="es-ES" w:eastAsia="es-CR"/>
        </w:rPr>
      </w:pPr>
    </w:p>
    <w:p w14:paraId="49DA9311" w14:textId="77777777" w:rsidR="0061790F" w:rsidRDefault="0061790F" w:rsidP="0061790F">
      <w:pPr>
        <w:spacing w:after="0" w:line="240" w:lineRule="auto"/>
        <w:rPr>
          <w:b/>
          <w:bCs/>
          <w:lang w:val="es-ES"/>
        </w:rPr>
      </w:pPr>
      <w:r w:rsidRPr="00194908">
        <w:rPr>
          <w:b/>
          <w:bCs/>
          <w:lang w:val="es-ES"/>
        </w:rPr>
        <w:t>Método de Depreciación</w:t>
      </w:r>
    </w:p>
    <w:p w14:paraId="6148CA77" w14:textId="77777777" w:rsidR="0061790F" w:rsidRPr="00194908" w:rsidRDefault="0061790F" w:rsidP="0061790F">
      <w:pPr>
        <w:spacing w:after="0" w:line="240" w:lineRule="auto"/>
        <w:rPr>
          <w:b/>
          <w:bCs/>
          <w:lang w:val="es-ES"/>
        </w:rPr>
      </w:pPr>
    </w:p>
    <w:p w14:paraId="408C2886" w14:textId="77777777" w:rsidR="0061790F" w:rsidRDefault="0061790F" w:rsidP="0061790F">
      <w:pPr>
        <w:spacing w:after="0" w:line="240" w:lineRule="auto"/>
        <w:rPr>
          <w:rFonts w:cs="Arial"/>
          <w:lang w:val="es-ES" w:eastAsia="es-CR"/>
        </w:rPr>
      </w:pPr>
      <w:r w:rsidRPr="00194908">
        <w:rPr>
          <w:rFonts w:cs="Arial"/>
          <w:lang w:val="es-ES" w:eastAsia="es-CR"/>
        </w:rPr>
        <w:t xml:space="preserve">Los activos intangibles se clasifican en activos de vida indefinida y activos de vida definida, los activos de vida </w:t>
      </w:r>
      <w:r>
        <w:rPr>
          <w:rFonts w:cs="Arial"/>
          <w:lang w:val="es-ES" w:eastAsia="es-CR"/>
        </w:rPr>
        <w:t xml:space="preserve">indefinida no son objeto de amortización, los de vida </w:t>
      </w:r>
      <w:r w:rsidRPr="00194908">
        <w:rPr>
          <w:rFonts w:cs="Arial"/>
          <w:lang w:val="es-ES" w:eastAsia="es-CR"/>
        </w:rPr>
        <w:t xml:space="preserve">definida se </w:t>
      </w:r>
      <w:r>
        <w:rPr>
          <w:rFonts w:cs="Arial"/>
          <w:lang w:val="es-ES" w:eastAsia="es-CR"/>
        </w:rPr>
        <w:t>amortizan</w:t>
      </w:r>
      <w:r w:rsidRPr="00194908">
        <w:rPr>
          <w:rFonts w:cs="Arial"/>
          <w:lang w:val="es-ES" w:eastAsia="es-CR"/>
        </w:rPr>
        <w:t xml:space="preserve"> por el método de Línea Recta, según lo establece la Dirección General de contabilidad Nacional (DGCN), distribuyendo su costo durante su vida útil, la cual se establece conforme lo establecido por la NICSP 31 y la DGCN.</w:t>
      </w:r>
    </w:p>
    <w:p w14:paraId="5BFB68BB" w14:textId="77777777" w:rsidR="0061790F" w:rsidRDefault="0061790F" w:rsidP="0061790F">
      <w:pPr>
        <w:spacing w:after="0" w:line="240" w:lineRule="auto"/>
        <w:rPr>
          <w:rFonts w:cs="Arial"/>
          <w:lang w:val="es-ES" w:eastAsia="es-CR"/>
        </w:rPr>
      </w:pPr>
    </w:p>
    <w:p w14:paraId="56EDB5C8" w14:textId="77777777" w:rsidR="0061790F" w:rsidRDefault="0061790F" w:rsidP="0061790F">
      <w:pPr>
        <w:spacing w:after="0" w:line="240" w:lineRule="auto"/>
        <w:rPr>
          <w:b/>
          <w:bCs/>
          <w:lang w:val="es-ES"/>
        </w:rPr>
      </w:pPr>
      <w:r w:rsidRPr="00194908">
        <w:rPr>
          <w:b/>
          <w:bCs/>
          <w:lang w:val="es-ES"/>
        </w:rPr>
        <w:t>Deterioro de los activos</w:t>
      </w:r>
    </w:p>
    <w:p w14:paraId="7863B06A" w14:textId="77777777" w:rsidR="0061790F" w:rsidRPr="00194908" w:rsidRDefault="0061790F" w:rsidP="0061790F">
      <w:pPr>
        <w:spacing w:after="0" w:line="240" w:lineRule="auto"/>
        <w:rPr>
          <w:b/>
          <w:bCs/>
          <w:lang w:val="es-ES"/>
        </w:rPr>
      </w:pPr>
    </w:p>
    <w:p w14:paraId="2373CEE4" w14:textId="77777777" w:rsidR="0061790F" w:rsidRDefault="0061790F" w:rsidP="0061790F">
      <w:pPr>
        <w:spacing w:after="0" w:line="240" w:lineRule="auto"/>
        <w:rPr>
          <w:rFonts w:eastAsiaTheme="minorEastAsia" w:cs="Arial Narrow"/>
          <w:color w:val="000000"/>
          <w:lang w:eastAsia="es-CR"/>
        </w:rPr>
      </w:pPr>
      <w:r w:rsidRPr="00194908">
        <w:rPr>
          <w:rFonts w:eastAsiaTheme="minorEastAsia" w:cs="Arial Narrow"/>
          <w:b/>
          <w:bCs/>
          <w:color w:val="000000"/>
          <w:sz w:val="22"/>
          <w:lang w:eastAsia="es-CR"/>
        </w:rPr>
        <w:t xml:space="preserve"> </w:t>
      </w:r>
      <w:r w:rsidRPr="00194908">
        <w:rPr>
          <w:rFonts w:eastAsiaTheme="minorEastAsia" w:cs="Arial Narrow"/>
          <w:color w:val="000000"/>
          <w:lang w:eastAsia="es-CR"/>
        </w:rPr>
        <w:t>La Municipalidad revisará en cada fecha de presentación de EEFF los activos para valorar si se ha presentado cualquier deterioro en algún (nos) activo (s) y en caso de que se haya presentado deterioro estimar la cantidad de servicios recuperable (para los activos que no general efectivo), en relación con los activos generadores de efectivo en cada fecha de presentación de EEFF se revisará si el valor en libros excede el valor recuperable con base en un indicador para establecer la cantidad recuperable del activo. En caso de activos intangibles con vida útil indefinida o que todavía no esté disponible para uso, comparará trimestralmente el valor en libros con la cantidad recuperable.</w:t>
      </w:r>
    </w:p>
    <w:p w14:paraId="1870D560" w14:textId="77777777" w:rsidR="00396CB4" w:rsidRPr="00396CB4" w:rsidRDefault="00692DC8" w:rsidP="00396CB4">
      <w:pPr>
        <w:spacing w:before="240"/>
        <w:rPr>
          <w:b/>
          <w:lang w:val="es-ES"/>
        </w:rPr>
      </w:pPr>
      <w:r w:rsidRPr="001E78C3">
        <w:rPr>
          <w:b/>
          <w:lang w:val="es-ES"/>
        </w:rPr>
        <w:t xml:space="preserve">Revelación: </w:t>
      </w:r>
      <w:r w:rsidR="00654C21">
        <w:rPr>
          <w:rFonts w:eastAsia="Times New Roman" w:cs="Calibri"/>
          <w:color w:val="000000"/>
          <w:lang w:eastAsia="es-CR"/>
        </w:rPr>
        <w:fldChar w:fldCharType="begin"/>
      </w:r>
      <w:r w:rsidR="00654C21">
        <w:rPr>
          <w:rFonts w:eastAsia="Times New Roman" w:cs="Calibri"/>
          <w:color w:val="000000"/>
          <w:lang w:eastAsia="es-CR"/>
        </w:rPr>
        <w:instrText xml:space="preserve"> LINK </w:instrText>
      </w:r>
      <w:r w:rsidR="00756467">
        <w:rPr>
          <w:rFonts w:eastAsia="Times New Roman" w:cs="Calibri"/>
          <w:color w:val="000000"/>
          <w:lang w:eastAsia="es-CR"/>
        </w:rPr>
        <w:instrText xml:space="preserve">Excel.SheetMacroEnabled.12 "C:\\Users\\gcordero\\Downloads\\Notas diciembre 2024\\Formato_Notas_EEFF_Vinculadas_2024\\Formato_Notas_EEFF_Vinculadas_2024\\15603_T04_2024_Anexo_Estado_Notas_Contables_Vinculadas.xlsm" NOTAS_POR_CUENTA!F66C8 </w:instrText>
      </w:r>
      <w:r w:rsidR="00654C21">
        <w:rPr>
          <w:rFonts w:eastAsia="Times New Roman" w:cs="Calibri"/>
          <w:color w:val="000000"/>
          <w:lang w:eastAsia="es-CR"/>
        </w:rPr>
        <w:instrText xml:space="preserve">\a \f 5 \h  \* MERGEFORMAT </w:instrText>
      </w:r>
      <w:r w:rsidR="00654C21">
        <w:rPr>
          <w:rFonts w:eastAsia="Times New Roman" w:cs="Calibri"/>
          <w:color w:val="000000"/>
          <w:lang w:eastAsia="es-CR"/>
        </w:rPr>
        <w:fldChar w:fldCharType="separate"/>
      </w:r>
    </w:p>
    <w:p w14:paraId="5F1CB7CD" w14:textId="77777777" w:rsidR="00396CB4" w:rsidRPr="00396CB4" w:rsidRDefault="00396CB4" w:rsidP="009C276C">
      <w:pPr>
        <w:spacing w:line="240" w:lineRule="auto"/>
        <w:rPr>
          <w:rFonts w:eastAsia="Times New Roman" w:cs="Calibri"/>
          <w:color w:val="000000"/>
          <w:lang w:eastAsia="es-CR"/>
        </w:rPr>
      </w:pPr>
      <w:r w:rsidRPr="009C276C">
        <w:rPr>
          <w:rFonts w:eastAsia="Times New Roman" w:cs="Calibri"/>
          <w:color w:val="000000"/>
          <w:lang w:eastAsia="es-CR"/>
        </w:rPr>
        <w:t>La cuenta Bienes intangibles no concesionados, representa el 0,01% del total del Activo, que comparado al periodo anterior genera una variación absoluta de -2 715,73 que corresponde a un Disminución del -21,61% de recursos disponibles.</w:t>
      </w:r>
    </w:p>
    <w:p w14:paraId="6B01845D" w14:textId="1A506C90" w:rsidR="00692DC8" w:rsidRPr="00692DC8" w:rsidRDefault="00654C21" w:rsidP="00654C21">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662EC6C9" w14:textId="77777777" w:rsidR="00E17429" w:rsidRDefault="00E17429" w:rsidP="00E17429">
      <w:pPr>
        <w:spacing w:after="0" w:line="240" w:lineRule="auto"/>
      </w:pPr>
      <w:r>
        <w:t>Conforme lo indicado por la Encargada del Departamento de TIC de la Municipalidad, e</w:t>
      </w:r>
      <w:r w:rsidRPr="00194908">
        <w:t xml:space="preserve">l detalle de esos </w:t>
      </w:r>
      <w:r>
        <w:t xml:space="preserve">activos intangibles al cierre de estos estados financieros </w:t>
      </w:r>
      <w:r w:rsidRPr="00194908">
        <w:t>es el que se muestra a continuación:</w:t>
      </w:r>
    </w:p>
    <w:p w14:paraId="2B8CFD57" w14:textId="77777777" w:rsidR="00E17429" w:rsidRDefault="00E17429" w:rsidP="00E17429">
      <w:pPr>
        <w:spacing w:after="0" w:line="240" w:lineRule="auto"/>
      </w:pPr>
    </w:p>
    <w:p w14:paraId="5ADFB0CB" w14:textId="77777777" w:rsidR="00E17429" w:rsidRPr="00692DC8" w:rsidRDefault="00E17429" w:rsidP="00E17429">
      <w:pPr>
        <w:spacing w:after="0" w:line="240" w:lineRule="auto"/>
        <w:rPr>
          <w:sz w:val="20"/>
          <w:szCs w:val="20"/>
          <w:lang w:eastAsia="es-CR"/>
        </w:rPr>
      </w:pPr>
      <w:r w:rsidRPr="00437CCE">
        <w:rPr>
          <w:noProof/>
          <w:lang w:eastAsia="es-CR"/>
        </w:rPr>
        <w:drawing>
          <wp:inline distT="0" distB="0" distL="0" distR="0" wp14:anchorId="7B6D1310" wp14:editId="2281551C">
            <wp:extent cx="6172347" cy="844062"/>
            <wp:effectExtent l="0" t="0" r="0" b="0"/>
            <wp:docPr id="12526137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247425" cy="854329"/>
                    </a:xfrm>
                    <a:prstGeom prst="rect">
                      <a:avLst/>
                    </a:prstGeom>
                    <a:noFill/>
                    <a:ln>
                      <a:noFill/>
                    </a:ln>
                  </pic:spPr>
                </pic:pic>
              </a:graphicData>
            </a:graphic>
          </wp:inline>
        </w:drawing>
      </w:r>
    </w:p>
    <w:p w14:paraId="528E52CE" w14:textId="77777777" w:rsidR="00E17429" w:rsidRDefault="00E17429" w:rsidP="00E17429">
      <w:pPr>
        <w:spacing w:after="0" w:line="240" w:lineRule="auto"/>
      </w:pPr>
    </w:p>
    <w:p w14:paraId="390B9ABA" w14:textId="77777777" w:rsidR="00E17429" w:rsidRDefault="00E17429" w:rsidP="00E17429">
      <w:pPr>
        <w:spacing w:after="0" w:line="240" w:lineRule="auto"/>
      </w:pPr>
      <w:r>
        <w:t>Cabe señalar, que todos los anteriores activos son de vida útil indefinida por lo que no se deprecian de acuerdo con lo establecido en la NICSP 31.</w:t>
      </w:r>
    </w:p>
    <w:p w14:paraId="5881E444" w14:textId="77777777" w:rsidR="009C276C" w:rsidRDefault="009C276C" w:rsidP="00E17429">
      <w:pPr>
        <w:spacing w:after="0" w:line="240" w:lineRule="auto"/>
      </w:pPr>
    </w:p>
    <w:p w14:paraId="5C4C77AD" w14:textId="77777777" w:rsidR="009C276C" w:rsidRDefault="009C276C" w:rsidP="00E17429">
      <w:pPr>
        <w:spacing w:after="0" w:line="240" w:lineRule="auto"/>
      </w:pPr>
    </w:p>
    <w:p w14:paraId="71AD4A44" w14:textId="77777777" w:rsidR="009C276C" w:rsidRDefault="009C276C" w:rsidP="00E17429">
      <w:pPr>
        <w:spacing w:after="0" w:line="240" w:lineRule="auto"/>
      </w:pPr>
    </w:p>
    <w:p w14:paraId="494DACF6" w14:textId="34CC1529" w:rsidR="009C276C" w:rsidRDefault="009C276C" w:rsidP="00E17429">
      <w:pPr>
        <w:spacing w:after="0" w:line="240" w:lineRule="auto"/>
      </w:pPr>
    </w:p>
    <w:p w14:paraId="14548643" w14:textId="57D682A6" w:rsidR="00926C7F" w:rsidRDefault="00926C7F" w:rsidP="00E17429">
      <w:pPr>
        <w:spacing w:after="0" w:line="240" w:lineRule="auto"/>
      </w:pPr>
    </w:p>
    <w:p w14:paraId="5B5EF857" w14:textId="77777777" w:rsidR="00926C7F" w:rsidRPr="00D24B8A" w:rsidRDefault="00926C7F" w:rsidP="00E17429">
      <w:pPr>
        <w:spacing w:after="0" w:line="240" w:lineRule="auto"/>
      </w:pPr>
    </w:p>
    <w:p w14:paraId="0D3BAF02" w14:textId="77777777" w:rsidR="00E17429" w:rsidRPr="009E732C" w:rsidRDefault="00E17429" w:rsidP="00E17429">
      <w:pPr>
        <w:spacing w:after="0" w:line="240" w:lineRule="auto"/>
      </w:pPr>
    </w:p>
    <w:tbl>
      <w:tblPr>
        <w:tblW w:w="9049" w:type="dxa"/>
        <w:tblLook w:val="04A0" w:firstRow="1" w:lastRow="0" w:firstColumn="1" w:lastColumn="0" w:noHBand="0" w:noVBand="1"/>
      </w:tblPr>
      <w:tblGrid>
        <w:gridCol w:w="1000"/>
        <w:gridCol w:w="6646"/>
        <w:gridCol w:w="1181"/>
        <w:gridCol w:w="222"/>
      </w:tblGrid>
      <w:tr w:rsidR="00E17429" w:rsidRPr="004C7B8C" w14:paraId="081BA663" w14:textId="77777777" w:rsidTr="00756467">
        <w:trPr>
          <w:gridAfter w:val="1"/>
          <w:wAfter w:w="222" w:type="dxa"/>
          <w:trHeight w:val="64"/>
        </w:trPr>
        <w:tc>
          <w:tcPr>
            <w:tcW w:w="8827" w:type="dxa"/>
            <w:gridSpan w:val="3"/>
            <w:tcBorders>
              <w:top w:val="single" w:sz="4" w:space="0" w:color="auto"/>
              <w:left w:val="single" w:sz="4" w:space="0" w:color="auto"/>
              <w:bottom w:val="single" w:sz="4" w:space="0" w:color="auto"/>
              <w:right w:val="single" w:sz="4" w:space="0" w:color="auto"/>
            </w:tcBorders>
            <w:shd w:val="clear" w:color="000000" w:fill="305496"/>
            <w:vAlign w:val="center"/>
            <w:hideMark/>
          </w:tcPr>
          <w:p w14:paraId="45B5A69C" w14:textId="77777777" w:rsidR="00E17429" w:rsidRPr="004C7B8C" w:rsidRDefault="00E17429" w:rsidP="00756467">
            <w:pPr>
              <w:spacing w:before="60" w:after="60" w:line="240" w:lineRule="auto"/>
              <w:jc w:val="center"/>
              <w:rPr>
                <w:rFonts w:eastAsia="Times New Roman" w:cs="Calibri"/>
                <w:b/>
                <w:bCs/>
                <w:color w:val="FFFFFF"/>
                <w:sz w:val="20"/>
                <w:szCs w:val="20"/>
              </w:rPr>
            </w:pPr>
            <w:r w:rsidRPr="004C7B8C">
              <w:rPr>
                <w:rFonts w:eastAsia="Times New Roman" w:cs="Calibri"/>
                <w:b/>
                <w:bCs/>
                <w:color w:val="FFFFFF"/>
                <w:sz w:val="20"/>
                <w:szCs w:val="20"/>
              </w:rPr>
              <w:t>DETALLE DE INTANGIBLES</w:t>
            </w:r>
          </w:p>
          <w:p w14:paraId="64C58211" w14:textId="02D52C4B" w:rsidR="00E17429" w:rsidRPr="004C7B8C" w:rsidRDefault="00E17429" w:rsidP="00756467">
            <w:pPr>
              <w:spacing w:before="60" w:after="60" w:line="240" w:lineRule="auto"/>
              <w:jc w:val="center"/>
              <w:rPr>
                <w:rFonts w:eastAsia="Times New Roman" w:cs="Calibri"/>
                <w:b/>
                <w:bCs/>
                <w:color w:val="FFFFFF"/>
                <w:sz w:val="20"/>
                <w:szCs w:val="20"/>
              </w:rPr>
            </w:pPr>
            <w:r>
              <w:rPr>
                <w:rFonts w:eastAsia="Times New Roman" w:cs="Calibri"/>
                <w:b/>
                <w:bCs/>
                <w:color w:val="FFFFFF"/>
                <w:sz w:val="20"/>
                <w:szCs w:val="20"/>
              </w:rPr>
              <w:t xml:space="preserve">AL </w:t>
            </w:r>
            <w:r w:rsidR="00796636">
              <w:rPr>
                <w:rFonts w:eastAsia="Times New Roman" w:cs="Calibri"/>
                <w:b/>
                <w:bCs/>
                <w:color w:val="FFFFFF"/>
                <w:sz w:val="20"/>
                <w:szCs w:val="20"/>
              </w:rPr>
              <w:t>31</w:t>
            </w:r>
            <w:r>
              <w:rPr>
                <w:rFonts w:eastAsia="Times New Roman" w:cs="Calibri"/>
                <w:b/>
                <w:bCs/>
                <w:color w:val="FFFFFF"/>
                <w:sz w:val="20"/>
                <w:szCs w:val="20"/>
              </w:rPr>
              <w:t xml:space="preserve"> DE </w:t>
            </w:r>
            <w:r w:rsidR="00D64CF8">
              <w:rPr>
                <w:rFonts w:eastAsia="Times New Roman" w:cs="Calibri"/>
                <w:b/>
                <w:bCs/>
                <w:color w:val="FFFFFF"/>
                <w:sz w:val="20"/>
                <w:szCs w:val="20"/>
              </w:rPr>
              <w:t>DICIEMBRE</w:t>
            </w:r>
            <w:r w:rsidRPr="004C7B8C">
              <w:rPr>
                <w:rFonts w:eastAsia="Times New Roman" w:cs="Calibri"/>
                <w:b/>
                <w:bCs/>
                <w:color w:val="FFFFFF"/>
                <w:sz w:val="20"/>
                <w:szCs w:val="20"/>
              </w:rPr>
              <w:t xml:space="preserve"> DE 2024</w:t>
            </w:r>
          </w:p>
        </w:tc>
      </w:tr>
      <w:tr w:rsidR="00E17429" w:rsidRPr="004C7B8C" w14:paraId="722B1053" w14:textId="77777777" w:rsidTr="00756467">
        <w:trPr>
          <w:gridAfter w:val="1"/>
          <w:wAfter w:w="222" w:type="dxa"/>
          <w:trHeight w:val="260"/>
        </w:trPr>
        <w:tc>
          <w:tcPr>
            <w:tcW w:w="1000" w:type="dxa"/>
            <w:tcBorders>
              <w:top w:val="single" w:sz="4" w:space="0" w:color="auto"/>
              <w:left w:val="single" w:sz="8" w:space="0" w:color="auto"/>
              <w:bottom w:val="nil"/>
              <w:right w:val="single" w:sz="8" w:space="0" w:color="auto"/>
            </w:tcBorders>
            <w:shd w:val="clear" w:color="000000" w:fill="305496"/>
            <w:vAlign w:val="center"/>
            <w:hideMark/>
          </w:tcPr>
          <w:p w14:paraId="27CAE022" w14:textId="77777777" w:rsidR="00E17429" w:rsidRPr="004C7B8C" w:rsidRDefault="00E17429" w:rsidP="00756467">
            <w:pPr>
              <w:spacing w:before="60" w:after="60" w:line="240" w:lineRule="auto"/>
              <w:jc w:val="center"/>
              <w:rPr>
                <w:rFonts w:eastAsia="Times New Roman" w:cs="Calibri"/>
                <w:b/>
                <w:bCs/>
                <w:color w:val="FFFFFF"/>
                <w:sz w:val="20"/>
                <w:szCs w:val="20"/>
                <w:lang w:val="en-US"/>
              </w:rPr>
            </w:pPr>
            <w:proofErr w:type="spellStart"/>
            <w:r w:rsidRPr="004C7B8C">
              <w:rPr>
                <w:rFonts w:eastAsia="Times New Roman" w:cs="Calibri"/>
                <w:b/>
                <w:bCs/>
                <w:color w:val="FFFFFF"/>
                <w:sz w:val="20"/>
                <w:szCs w:val="20"/>
                <w:lang w:val="en-US"/>
              </w:rPr>
              <w:t>Fecha</w:t>
            </w:r>
            <w:proofErr w:type="spellEnd"/>
            <w:r w:rsidRPr="004C7B8C">
              <w:rPr>
                <w:rFonts w:eastAsia="Times New Roman" w:cs="Calibri"/>
                <w:b/>
                <w:bCs/>
                <w:color w:val="FFFFFF"/>
                <w:sz w:val="20"/>
                <w:szCs w:val="20"/>
                <w:lang w:val="en-US"/>
              </w:rPr>
              <w:t xml:space="preserve"> </w:t>
            </w:r>
            <w:proofErr w:type="spellStart"/>
            <w:r w:rsidRPr="004C7B8C">
              <w:rPr>
                <w:rFonts w:eastAsia="Times New Roman" w:cs="Calibri"/>
                <w:b/>
                <w:bCs/>
                <w:color w:val="FFFFFF"/>
                <w:sz w:val="20"/>
                <w:szCs w:val="20"/>
                <w:lang w:val="en-US"/>
              </w:rPr>
              <w:t>Recibido</w:t>
            </w:r>
            <w:proofErr w:type="spellEnd"/>
          </w:p>
        </w:tc>
        <w:tc>
          <w:tcPr>
            <w:tcW w:w="6646" w:type="dxa"/>
            <w:tcBorders>
              <w:top w:val="single" w:sz="4" w:space="0" w:color="auto"/>
              <w:left w:val="nil"/>
              <w:bottom w:val="nil"/>
              <w:right w:val="single" w:sz="8" w:space="0" w:color="auto"/>
            </w:tcBorders>
            <w:shd w:val="clear" w:color="000000" w:fill="305496"/>
            <w:noWrap/>
            <w:vAlign w:val="center"/>
            <w:hideMark/>
          </w:tcPr>
          <w:p w14:paraId="2D054CB9" w14:textId="77777777" w:rsidR="00E17429" w:rsidRPr="004C7B8C" w:rsidRDefault="00E17429" w:rsidP="00756467">
            <w:pPr>
              <w:spacing w:before="60" w:after="60" w:line="240" w:lineRule="auto"/>
              <w:jc w:val="center"/>
              <w:rPr>
                <w:rFonts w:eastAsia="Times New Roman" w:cs="Calibri"/>
                <w:b/>
                <w:bCs/>
                <w:color w:val="FFFFFF"/>
                <w:sz w:val="20"/>
                <w:szCs w:val="20"/>
                <w:lang w:val="en-US"/>
              </w:rPr>
            </w:pPr>
            <w:proofErr w:type="spellStart"/>
            <w:r w:rsidRPr="004C7B8C">
              <w:rPr>
                <w:rFonts w:eastAsia="Times New Roman" w:cs="Calibri"/>
                <w:b/>
                <w:bCs/>
                <w:color w:val="FFFFFF"/>
                <w:sz w:val="20"/>
                <w:szCs w:val="20"/>
                <w:lang w:val="en-US"/>
              </w:rPr>
              <w:t>Detalle</w:t>
            </w:r>
            <w:proofErr w:type="spellEnd"/>
            <w:r w:rsidRPr="004C7B8C">
              <w:rPr>
                <w:rFonts w:eastAsia="Times New Roman" w:cs="Calibri"/>
                <w:b/>
                <w:bCs/>
                <w:color w:val="FFFFFF"/>
                <w:sz w:val="20"/>
                <w:szCs w:val="20"/>
                <w:lang w:val="en-US"/>
              </w:rPr>
              <w:t xml:space="preserve"> de </w:t>
            </w:r>
            <w:proofErr w:type="spellStart"/>
            <w:r w:rsidRPr="004C7B8C">
              <w:rPr>
                <w:rFonts w:eastAsia="Times New Roman" w:cs="Calibri"/>
                <w:b/>
                <w:bCs/>
                <w:color w:val="FFFFFF"/>
                <w:sz w:val="20"/>
                <w:szCs w:val="20"/>
                <w:lang w:val="en-US"/>
              </w:rPr>
              <w:t>Activo</w:t>
            </w:r>
            <w:proofErr w:type="spellEnd"/>
          </w:p>
        </w:tc>
        <w:tc>
          <w:tcPr>
            <w:tcW w:w="1181" w:type="dxa"/>
            <w:tcBorders>
              <w:top w:val="single" w:sz="4" w:space="0" w:color="auto"/>
              <w:left w:val="nil"/>
              <w:bottom w:val="nil"/>
              <w:right w:val="single" w:sz="8" w:space="0" w:color="auto"/>
            </w:tcBorders>
            <w:shd w:val="clear" w:color="000000" w:fill="305496"/>
            <w:noWrap/>
            <w:vAlign w:val="center"/>
            <w:hideMark/>
          </w:tcPr>
          <w:p w14:paraId="3F5D1CEA" w14:textId="77777777" w:rsidR="00E17429" w:rsidRPr="004C7B8C" w:rsidRDefault="00E17429" w:rsidP="00756467">
            <w:pPr>
              <w:spacing w:before="60" w:after="60" w:line="240" w:lineRule="auto"/>
              <w:jc w:val="center"/>
              <w:rPr>
                <w:rFonts w:eastAsia="Times New Roman" w:cs="Calibri"/>
                <w:b/>
                <w:bCs/>
                <w:color w:val="FFFFFF"/>
                <w:sz w:val="20"/>
                <w:szCs w:val="20"/>
                <w:lang w:val="en-US"/>
              </w:rPr>
            </w:pPr>
            <w:r w:rsidRPr="004C7B8C">
              <w:rPr>
                <w:rFonts w:eastAsia="Times New Roman" w:cs="Calibri"/>
                <w:b/>
                <w:bCs/>
                <w:color w:val="FFFFFF"/>
                <w:sz w:val="20"/>
                <w:szCs w:val="20"/>
                <w:lang w:val="en-US"/>
              </w:rPr>
              <w:t>Monto</w:t>
            </w:r>
          </w:p>
        </w:tc>
      </w:tr>
      <w:tr w:rsidR="00E17429" w:rsidRPr="004C7B8C" w14:paraId="78F35D83" w14:textId="77777777" w:rsidTr="00756467">
        <w:trPr>
          <w:gridAfter w:val="1"/>
          <w:wAfter w:w="222" w:type="dxa"/>
          <w:trHeight w:val="260"/>
        </w:trPr>
        <w:tc>
          <w:tcPr>
            <w:tcW w:w="1000"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791E3FC1" w14:textId="77777777" w:rsidR="00E17429" w:rsidRPr="004C7B8C" w:rsidRDefault="00E17429" w:rsidP="00756467">
            <w:pPr>
              <w:spacing w:after="0" w:line="240" w:lineRule="auto"/>
              <w:rPr>
                <w:rFonts w:eastAsia="Times New Roman" w:cs="Calibri"/>
                <w:color w:val="000000"/>
                <w:sz w:val="20"/>
                <w:szCs w:val="20"/>
                <w:lang w:val="en-US"/>
              </w:rPr>
            </w:pPr>
            <w:r w:rsidRPr="004C7B8C">
              <w:rPr>
                <w:rFonts w:eastAsia="Times New Roman" w:cs="Calibri"/>
                <w:color w:val="000000"/>
                <w:sz w:val="20"/>
                <w:szCs w:val="20"/>
                <w:lang w:val="en-US"/>
              </w:rPr>
              <w:t>17/6/2022</w:t>
            </w:r>
          </w:p>
        </w:tc>
        <w:tc>
          <w:tcPr>
            <w:tcW w:w="6646" w:type="dxa"/>
            <w:tcBorders>
              <w:top w:val="single" w:sz="8" w:space="0" w:color="auto"/>
              <w:left w:val="nil"/>
              <w:bottom w:val="single" w:sz="4" w:space="0" w:color="auto"/>
              <w:right w:val="single" w:sz="4" w:space="0" w:color="auto"/>
            </w:tcBorders>
            <w:shd w:val="clear" w:color="000000" w:fill="FFFFFF"/>
            <w:vAlign w:val="center"/>
            <w:hideMark/>
          </w:tcPr>
          <w:p w14:paraId="1880B5D8" w14:textId="77777777" w:rsidR="00E17429" w:rsidRPr="004C7B8C" w:rsidRDefault="00E17429" w:rsidP="00756467">
            <w:pPr>
              <w:spacing w:after="0" w:line="240" w:lineRule="auto"/>
              <w:rPr>
                <w:rFonts w:eastAsia="Times New Roman" w:cs="Calibri"/>
                <w:color w:val="000000"/>
                <w:sz w:val="20"/>
                <w:szCs w:val="20"/>
              </w:rPr>
            </w:pPr>
            <w:r w:rsidRPr="004C7B8C">
              <w:rPr>
                <w:rFonts w:eastAsia="Times New Roman" w:cs="Calibri"/>
                <w:color w:val="000000"/>
                <w:sz w:val="20"/>
                <w:szCs w:val="20"/>
              </w:rPr>
              <w:t xml:space="preserve">LICENCIA DE SOFTWARE ADOBE CREATIVE CLOUD VIP, ALL APPS, VIGENCIA UN AÑO, ÚLTIMA VERSIÓN Marca </w:t>
            </w:r>
            <w:proofErr w:type="spellStart"/>
            <w:r w:rsidRPr="004C7B8C">
              <w:rPr>
                <w:rFonts w:eastAsia="Times New Roman" w:cs="Calibri"/>
                <w:color w:val="000000"/>
                <w:sz w:val="20"/>
                <w:szCs w:val="20"/>
              </w:rPr>
              <w:t>Creative</w:t>
            </w:r>
            <w:proofErr w:type="spellEnd"/>
            <w:r w:rsidRPr="004C7B8C">
              <w:rPr>
                <w:rFonts w:eastAsia="Times New Roman" w:cs="Calibri"/>
                <w:color w:val="000000"/>
                <w:sz w:val="20"/>
                <w:szCs w:val="20"/>
              </w:rPr>
              <w:t xml:space="preserve"> Cloud Modelo </w:t>
            </w:r>
            <w:proofErr w:type="spellStart"/>
            <w:r w:rsidRPr="004C7B8C">
              <w:rPr>
                <w:rFonts w:eastAsia="Times New Roman" w:cs="Calibri"/>
                <w:color w:val="000000"/>
                <w:sz w:val="20"/>
                <w:szCs w:val="20"/>
              </w:rPr>
              <w:t>for</w:t>
            </w:r>
            <w:proofErr w:type="spellEnd"/>
            <w:r w:rsidRPr="004C7B8C">
              <w:rPr>
                <w:rFonts w:eastAsia="Times New Roman" w:cs="Calibri"/>
                <w:color w:val="000000"/>
                <w:sz w:val="20"/>
                <w:szCs w:val="20"/>
              </w:rPr>
              <w:t xml:space="preserve"> </w:t>
            </w:r>
            <w:proofErr w:type="spellStart"/>
            <w:r w:rsidRPr="004C7B8C">
              <w:rPr>
                <w:rFonts w:eastAsia="Times New Roman" w:cs="Calibri"/>
                <w:color w:val="000000"/>
                <w:sz w:val="20"/>
                <w:szCs w:val="20"/>
              </w:rPr>
              <w:t>Teams</w:t>
            </w:r>
            <w:proofErr w:type="spellEnd"/>
          </w:p>
        </w:tc>
        <w:tc>
          <w:tcPr>
            <w:tcW w:w="1181" w:type="dxa"/>
            <w:tcBorders>
              <w:top w:val="single" w:sz="8" w:space="0" w:color="auto"/>
              <w:left w:val="nil"/>
              <w:bottom w:val="single" w:sz="4" w:space="0" w:color="auto"/>
              <w:right w:val="single" w:sz="8" w:space="0" w:color="auto"/>
            </w:tcBorders>
            <w:shd w:val="clear" w:color="auto" w:fill="auto"/>
            <w:noWrap/>
            <w:vAlign w:val="center"/>
            <w:hideMark/>
          </w:tcPr>
          <w:p w14:paraId="1CCCD425" w14:textId="71D18A4C" w:rsidR="00E17429" w:rsidRPr="004C7B8C" w:rsidRDefault="00E17429" w:rsidP="00756467">
            <w:pPr>
              <w:spacing w:after="0" w:line="240" w:lineRule="auto"/>
              <w:jc w:val="right"/>
              <w:rPr>
                <w:rFonts w:eastAsia="Times New Roman" w:cs="Calibri"/>
                <w:color w:val="000000"/>
                <w:sz w:val="20"/>
                <w:szCs w:val="20"/>
                <w:lang w:val="en-US"/>
              </w:rPr>
            </w:pPr>
            <w:r w:rsidRPr="004C7B8C">
              <w:rPr>
                <w:rFonts w:ascii="Arial" w:eastAsia="Times New Roman" w:hAnsi="Arial" w:cs="Arial"/>
                <w:color w:val="000000"/>
                <w:sz w:val="20"/>
                <w:szCs w:val="20"/>
                <w:lang w:val="en-US"/>
              </w:rPr>
              <w:t>₡</w:t>
            </w:r>
            <w:r w:rsidRPr="004C7B8C">
              <w:rPr>
                <w:rFonts w:eastAsia="Times New Roman" w:cs="Calibri"/>
                <w:color w:val="000000"/>
                <w:sz w:val="20"/>
                <w:szCs w:val="20"/>
                <w:lang w:val="en-US"/>
              </w:rPr>
              <w:t>6</w:t>
            </w:r>
            <w:r w:rsidR="00796636">
              <w:rPr>
                <w:rFonts w:eastAsia="Times New Roman" w:cs="Calibri"/>
                <w:color w:val="000000"/>
                <w:sz w:val="20"/>
                <w:szCs w:val="20"/>
                <w:lang w:val="en-US"/>
              </w:rPr>
              <w:t>31</w:t>
            </w:r>
            <w:r w:rsidRPr="004C7B8C">
              <w:rPr>
                <w:rFonts w:eastAsia="Times New Roman" w:cs="Calibri"/>
                <w:color w:val="000000"/>
                <w:sz w:val="20"/>
                <w:szCs w:val="20"/>
                <w:lang w:val="en-US"/>
              </w:rPr>
              <w:t>,23</w:t>
            </w:r>
          </w:p>
        </w:tc>
      </w:tr>
      <w:tr w:rsidR="00E17429" w:rsidRPr="004C7B8C" w14:paraId="390B8F70" w14:textId="77777777" w:rsidTr="00756467">
        <w:trPr>
          <w:gridAfter w:val="1"/>
          <w:wAfter w:w="222" w:type="dxa"/>
          <w:trHeight w:val="520"/>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2B577522" w14:textId="77777777" w:rsidR="00E17429" w:rsidRPr="004C7B8C" w:rsidRDefault="00E17429" w:rsidP="00756467">
            <w:pPr>
              <w:spacing w:after="0" w:line="240" w:lineRule="auto"/>
              <w:rPr>
                <w:rFonts w:eastAsia="Times New Roman" w:cs="Calibri"/>
                <w:color w:val="000000"/>
                <w:sz w:val="20"/>
                <w:szCs w:val="20"/>
                <w:lang w:val="en-US"/>
              </w:rPr>
            </w:pPr>
            <w:r w:rsidRPr="004C7B8C">
              <w:rPr>
                <w:rFonts w:eastAsia="Times New Roman" w:cs="Calibri"/>
                <w:color w:val="000000"/>
                <w:sz w:val="20"/>
                <w:szCs w:val="20"/>
                <w:lang w:val="en-US"/>
              </w:rPr>
              <w:t>24/9/2023</w:t>
            </w:r>
          </w:p>
        </w:tc>
        <w:tc>
          <w:tcPr>
            <w:tcW w:w="6646" w:type="dxa"/>
            <w:tcBorders>
              <w:top w:val="nil"/>
              <w:left w:val="nil"/>
              <w:bottom w:val="single" w:sz="4" w:space="0" w:color="auto"/>
              <w:right w:val="single" w:sz="4" w:space="0" w:color="auto"/>
            </w:tcBorders>
            <w:shd w:val="clear" w:color="000000" w:fill="FFFFFF"/>
            <w:vAlign w:val="center"/>
            <w:hideMark/>
          </w:tcPr>
          <w:p w14:paraId="55356DA5" w14:textId="77777777" w:rsidR="00E17429" w:rsidRPr="004C7B8C" w:rsidRDefault="00E17429" w:rsidP="00756467">
            <w:pPr>
              <w:spacing w:after="0" w:line="240" w:lineRule="auto"/>
              <w:rPr>
                <w:rFonts w:eastAsia="Times New Roman" w:cs="Calibri"/>
                <w:color w:val="000000"/>
                <w:sz w:val="20"/>
                <w:szCs w:val="20"/>
                <w:lang w:val="en-US"/>
              </w:rPr>
            </w:pPr>
            <w:r w:rsidRPr="004C7B8C">
              <w:rPr>
                <w:rFonts w:eastAsia="Times New Roman" w:cs="Calibri"/>
                <w:color w:val="000000"/>
                <w:sz w:val="20"/>
                <w:szCs w:val="20"/>
                <w:lang w:val="en-US"/>
              </w:rPr>
              <w:t xml:space="preserve">LICENCIA DE SOFTWARE ADOBE CREATIVE CLOUD VIP, ALL APPS, </w:t>
            </w:r>
            <w:proofErr w:type="spellStart"/>
            <w:r w:rsidRPr="004C7B8C">
              <w:rPr>
                <w:rFonts w:eastAsia="Times New Roman" w:cs="Calibri"/>
                <w:color w:val="000000"/>
                <w:sz w:val="20"/>
                <w:szCs w:val="20"/>
                <w:lang w:val="en-US"/>
              </w:rPr>
              <w:t>Marca</w:t>
            </w:r>
            <w:proofErr w:type="spellEnd"/>
            <w:r w:rsidRPr="004C7B8C">
              <w:rPr>
                <w:rFonts w:eastAsia="Times New Roman" w:cs="Calibri"/>
                <w:color w:val="000000"/>
                <w:sz w:val="20"/>
                <w:szCs w:val="20"/>
                <w:lang w:val="en-US"/>
              </w:rPr>
              <w:t xml:space="preserve"> Creative Cloud </w:t>
            </w:r>
            <w:proofErr w:type="spellStart"/>
            <w:r w:rsidRPr="004C7B8C">
              <w:rPr>
                <w:rFonts w:eastAsia="Times New Roman" w:cs="Calibri"/>
                <w:color w:val="000000"/>
                <w:sz w:val="20"/>
                <w:szCs w:val="20"/>
                <w:lang w:val="en-US"/>
              </w:rPr>
              <w:t>Modelo</w:t>
            </w:r>
            <w:proofErr w:type="spellEnd"/>
            <w:r w:rsidRPr="004C7B8C">
              <w:rPr>
                <w:rFonts w:eastAsia="Times New Roman" w:cs="Calibri"/>
                <w:color w:val="000000"/>
                <w:sz w:val="20"/>
                <w:szCs w:val="20"/>
                <w:lang w:val="en-US"/>
              </w:rPr>
              <w:t xml:space="preserve"> for Teams</w:t>
            </w:r>
          </w:p>
        </w:tc>
        <w:tc>
          <w:tcPr>
            <w:tcW w:w="1181" w:type="dxa"/>
            <w:tcBorders>
              <w:top w:val="nil"/>
              <w:left w:val="nil"/>
              <w:bottom w:val="single" w:sz="4" w:space="0" w:color="auto"/>
              <w:right w:val="single" w:sz="8" w:space="0" w:color="auto"/>
            </w:tcBorders>
            <w:shd w:val="clear" w:color="auto" w:fill="auto"/>
            <w:noWrap/>
            <w:vAlign w:val="center"/>
            <w:hideMark/>
          </w:tcPr>
          <w:p w14:paraId="7DBC3A0A" w14:textId="77777777" w:rsidR="00E17429" w:rsidRPr="004C7B8C" w:rsidRDefault="00E17429" w:rsidP="00756467">
            <w:pPr>
              <w:spacing w:after="0" w:line="240" w:lineRule="auto"/>
              <w:jc w:val="right"/>
              <w:rPr>
                <w:rFonts w:eastAsia="Times New Roman" w:cs="Calibri"/>
                <w:color w:val="000000"/>
                <w:sz w:val="20"/>
                <w:szCs w:val="20"/>
                <w:lang w:val="en-US"/>
              </w:rPr>
            </w:pPr>
            <w:r w:rsidRPr="004C7B8C">
              <w:rPr>
                <w:rFonts w:eastAsia="Times New Roman" w:cs="Calibri"/>
                <w:color w:val="000000"/>
                <w:sz w:val="20"/>
                <w:szCs w:val="20"/>
                <w:lang w:val="en-US"/>
              </w:rPr>
              <w:t>615,96</w:t>
            </w:r>
          </w:p>
        </w:tc>
      </w:tr>
      <w:tr w:rsidR="00E17429" w:rsidRPr="004C7B8C" w14:paraId="3F64DCCE" w14:textId="77777777" w:rsidTr="00756467">
        <w:trPr>
          <w:gridAfter w:val="1"/>
          <w:wAfter w:w="222" w:type="dxa"/>
          <w:trHeight w:val="290"/>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0B8A94A2" w14:textId="77777777" w:rsidR="00E17429" w:rsidRPr="004C7B8C" w:rsidRDefault="00E17429" w:rsidP="00756467">
            <w:pPr>
              <w:spacing w:after="0" w:line="240" w:lineRule="auto"/>
              <w:rPr>
                <w:rFonts w:eastAsia="Times New Roman" w:cs="Calibri"/>
                <w:color w:val="000000"/>
                <w:sz w:val="20"/>
                <w:szCs w:val="20"/>
                <w:lang w:val="en-US"/>
              </w:rPr>
            </w:pPr>
            <w:r w:rsidRPr="004C7B8C">
              <w:rPr>
                <w:rFonts w:eastAsia="Times New Roman" w:cs="Calibri"/>
                <w:color w:val="000000"/>
                <w:sz w:val="20"/>
                <w:szCs w:val="20"/>
                <w:lang w:val="en-US"/>
              </w:rPr>
              <w:t>2/11/2023</w:t>
            </w:r>
          </w:p>
        </w:tc>
        <w:tc>
          <w:tcPr>
            <w:tcW w:w="6646" w:type="dxa"/>
            <w:tcBorders>
              <w:top w:val="nil"/>
              <w:left w:val="nil"/>
              <w:bottom w:val="single" w:sz="4" w:space="0" w:color="auto"/>
              <w:right w:val="single" w:sz="4" w:space="0" w:color="auto"/>
            </w:tcBorders>
            <w:shd w:val="clear" w:color="000000" w:fill="FFFFFF"/>
            <w:vAlign w:val="center"/>
            <w:hideMark/>
          </w:tcPr>
          <w:p w14:paraId="5E74AF44" w14:textId="77777777" w:rsidR="00E17429" w:rsidRPr="004C7B8C" w:rsidRDefault="00E17429" w:rsidP="00756467">
            <w:pPr>
              <w:spacing w:after="0" w:line="240" w:lineRule="auto"/>
              <w:rPr>
                <w:rFonts w:eastAsia="Times New Roman" w:cs="Calibri"/>
                <w:color w:val="000000"/>
                <w:sz w:val="20"/>
                <w:szCs w:val="20"/>
                <w:lang w:val="en-US"/>
              </w:rPr>
            </w:pPr>
            <w:r w:rsidRPr="004C7B8C">
              <w:rPr>
                <w:rFonts w:eastAsia="Times New Roman" w:cs="Calibri"/>
                <w:color w:val="000000"/>
                <w:sz w:val="20"/>
                <w:szCs w:val="20"/>
                <w:lang w:val="en-US"/>
              </w:rPr>
              <w:t xml:space="preserve">LICENCIA MICROSOFT PROJECT ONLINE, 3 </w:t>
            </w:r>
            <w:proofErr w:type="spellStart"/>
            <w:r w:rsidRPr="004C7B8C">
              <w:rPr>
                <w:rFonts w:eastAsia="Times New Roman" w:cs="Calibri"/>
                <w:color w:val="000000"/>
                <w:sz w:val="20"/>
                <w:szCs w:val="20"/>
                <w:lang w:val="en-US"/>
              </w:rPr>
              <w:t>licencias</w:t>
            </w:r>
            <w:proofErr w:type="spellEnd"/>
          </w:p>
        </w:tc>
        <w:tc>
          <w:tcPr>
            <w:tcW w:w="1181" w:type="dxa"/>
            <w:tcBorders>
              <w:top w:val="nil"/>
              <w:left w:val="nil"/>
              <w:bottom w:val="single" w:sz="4" w:space="0" w:color="auto"/>
              <w:right w:val="single" w:sz="8" w:space="0" w:color="auto"/>
            </w:tcBorders>
            <w:shd w:val="clear" w:color="auto" w:fill="auto"/>
            <w:noWrap/>
            <w:vAlign w:val="center"/>
            <w:hideMark/>
          </w:tcPr>
          <w:p w14:paraId="3D74A82F" w14:textId="17411866" w:rsidR="00E17429" w:rsidRPr="004C7B8C" w:rsidRDefault="00E17429" w:rsidP="00756467">
            <w:pPr>
              <w:spacing w:after="0" w:line="240" w:lineRule="auto"/>
              <w:jc w:val="right"/>
              <w:rPr>
                <w:rFonts w:eastAsia="Times New Roman" w:cs="Calibri"/>
                <w:color w:val="000000"/>
                <w:sz w:val="20"/>
                <w:szCs w:val="20"/>
                <w:lang w:val="en-US"/>
              </w:rPr>
            </w:pPr>
            <w:r w:rsidRPr="004C7B8C">
              <w:rPr>
                <w:rFonts w:eastAsia="Times New Roman" w:cs="Calibri"/>
                <w:color w:val="000000"/>
                <w:sz w:val="20"/>
                <w:szCs w:val="20"/>
                <w:lang w:val="en-US"/>
              </w:rPr>
              <w:t>6</w:t>
            </w:r>
            <w:r w:rsidR="00796636">
              <w:rPr>
                <w:rFonts w:eastAsia="Times New Roman" w:cs="Calibri"/>
                <w:color w:val="000000"/>
                <w:sz w:val="20"/>
                <w:szCs w:val="20"/>
                <w:lang w:val="en-US"/>
              </w:rPr>
              <w:t>31</w:t>
            </w:r>
          </w:p>
        </w:tc>
      </w:tr>
      <w:tr w:rsidR="00E17429" w:rsidRPr="004C7B8C" w14:paraId="6E36FF66" w14:textId="77777777" w:rsidTr="00756467">
        <w:trPr>
          <w:gridAfter w:val="1"/>
          <w:wAfter w:w="222" w:type="dxa"/>
          <w:trHeight w:val="520"/>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1B779A7D" w14:textId="77777777" w:rsidR="00E17429" w:rsidRPr="004C7B8C" w:rsidRDefault="00E17429" w:rsidP="00756467">
            <w:pPr>
              <w:spacing w:after="0" w:line="240" w:lineRule="auto"/>
              <w:rPr>
                <w:rFonts w:eastAsia="Times New Roman" w:cs="Calibri"/>
                <w:color w:val="000000"/>
                <w:sz w:val="20"/>
                <w:szCs w:val="20"/>
                <w:lang w:val="en-US"/>
              </w:rPr>
            </w:pPr>
            <w:proofErr w:type="spellStart"/>
            <w:r w:rsidRPr="004C7B8C">
              <w:rPr>
                <w:rFonts w:eastAsia="Times New Roman" w:cs="Calibri"/>
                <w:color w:val="000000"/>
                <w:sz w:val="20"/>
                <w:szCs w:val="20"/>
                <w:lang w:val="en-US"/>
              </w:rPr>
              <w:t>Pendiente</w:t>
            </w:r>
            <w:proofErr w:type="spellEnd"/>
          </w:p>
        </w:tc>
        <w:tc>
          <w:tcPr>
            <w:tcW w:w="6646" w:type="dxa"/>
            <w:tcBorders>
              <w:top w:val="nil"/>
              <w:left w:val="nil"/>
              <w:bottom w:val="single" w:sz="4" w:space="0" w:color="auto"/>
              <w:right w:val="single" w:sz="4" w:space="0" w:color="auto"/>
            </w:tcBorders>
            <w:shd w:val="clear" w:color="000000" w:fill="FFFFFF"/>
            <w:vAlign w:val="center"/>
            <w:hideMark/>
          </w:tcPr>
          <w:p w14:paraId="566E641B" w14:textId="77777777" w:rsidR="00E17429" w:rsidRPr="004C7B8C" w:rsidRDefault="00E17429" w:rsidP="00756467">
            <w:pPr>
              <w:spacing w:after="0" w:line="240" w:lineRule="auto"/>
              <w:rPr>
                <w:rFonts w:eastAsia="Times New Roman" w:cs="Calibri"/>
                <w:color w:val="000000"/>
                <w:sz w:val="20"/>
                <w:szCs w:val="20"/>
              </w:rPr>
            </w:pPr>
            <w:r w:rsidRPr="004C7B8C">
              <w:rPr>
                <w:rFonts w:eastAsia="Times New Roman" w:cs="Calibri"/>
                <w:color w:val="000000"/>
                <w:sz w:val="20"/>
                <w:szCs w:val="20"/>
              </w:rPr>
              <w:t xml:space="preserve">SOFTWARE TIPO CAD 2017 O ÚLTIMA VERSIÓN LIBERADA, R2 Marca </w:t>
            </w:r>
            <w:proofErr w:type="spellStart"/>
            <w:r w:rsidRPr="004C7B8C">
              <w:rPr>
                <w:rFonts w:eastAsia="Times New Roman" w:cs="Calibri"/>
                <w:color w:val="000000"/>
                <w:sz w:val="20"/>
                <w:szCs w:val="20"/>
              </w:rPr>
              <w:t>GstarCAD</w:t>
            </w:r>
            <w:proofErr w:type="spellEnd"/>
            <w:r w:rsidRPr="004C7B8C">
              <w:rPr>
                <w:rFonts w:eastAsia="Times New Roman" w:cs="Calibri"/>
                <w:color w:val="000000"/>
                <w:sz w:val="20"/>
                <w:szCs w:val="20"/>
              </w:rPr>
              <w:t xml:space="preserve"> Modelo 2018</w:t>
            </w:r>
          </w:p>
        </w:tc>
        <w:tc>
          <w:tcPr>
            <w:tcW w:w="1181" w:type="dxa"/>
            <w:tcBorders>
              <w:top w:val="nil"/>
              <w:left w:val="nil"/>
              <w:bottom w:val="single" w:sz="4" w:space="0" w:color="auto"/>
              <w:right w:val="single" w:sz="8" w:space="0" w:color="auto"/>
            </w:tcBorders>
            <w:shd w:val="clear" w:color="auto" w:fill="auto"/>
            <w:noWrap/>
            <w:vAlign w:val="center"/>
            <w:hideMark/>
          </w:tcPr>
          <w:p w14:paraId="64035093" w14:textId="77777777" w:rsidR="00E17429" w:rsidRPr="004C7B8C" w:rsidRDefault="00E17429" w:rsidP="00756467">
            <w:pPr>
              <w:spacing w:after="0" w:line="240" w:lineRule="auto"/>
              <w:jc w:val="right"/>
              <w:rPr>
                <w:rFonts w:eastAsia="Times New Roman" w:cs="Calibri"/>
                <w:color w:val="000000"/>
                <w:sz w:val="20"/>
                <w:szCs w:val="20"/>
                <w:lang w:val="en-US"/>
              </w:rPr>
            </w:pPr>
            <w:r w:rsidRPr="004C7B8C">
              <w:rPr>
                <w:rFonts w:eastAsia="Times New Roman" w:cs="Calibri"/>
                <w:color w:val="000000"/>
                <w:sz w:val="20"/>
                <w:szCs w:val="20"/>
                <w:lang w:val="en-US"/>
              </w:rPr>
              <w:t>601,28</w:t>
            </w:r>
          </w:p>
        </w:tc>
      </w:tr>
      <w:tr w:rsidR="00E17429" w:rsidRPr="004C7B8C" w14:paraId="20049EF3" w14:textId="77777777" w:rsidTr="00756467">
        <w:trPr>
          <w:gridAfter w:val="1"/>
          <w:wAfter w:w="222" w:type="dxa"/>
          <w:trHeight w:val="457"/>
        </w:trPr>
        <w:tc>
          <w:tcPr>
            <w:tcW w:w="1000" w:type="dxa"/>
            <w:vMerge w:val="restart"/>
            <w:tcBorders>
              <w:top w:val="nil"/>
              <w:left w:val="single" w:sz="8" w:space="0" w:color="auto"/>
              <w:bottom w:val="single" w:sz="4" w:space="0" w:color="auto"/>
              <w:right w:val="single" w:sz="4" w:space="0" w:color="auto"/>
            </w:tcBorders>
            <w:shd w:val="clear" w:color="000000" w:fill="FFFFFF"/>
            <w:vAlign w:val="center"/>
            <w:hideMark/>
          </w:tcPr>
          <w:p w14:paraId="4EF0F0C1" w14:textId="77777777" w:rsidR="00E17429" w:rsidRPr="004C7B8C" w:rsidRDefault="00E17429" w:rsidP="00756467">
            <w:pPr>
              <w:spacing w:after="0" w:line="240" w:lineRule="auto"/>
              <w:rPr>
                <w:rFonts w:eastAsia="Times New Roman" w:cs="Calibri"/>
                <w:color w:val="000000"/>
                <w:sz w:val="20"/>
                <w:szCs w:val="20"/>
                <w:lang w:val="en-US"/>
              </w:rPr>
            </w:pPr>
            <w:r w:rsidRPr="004C7B8C">
              <w:rPr>
                <w:rFonts w:eastAsia="Times New Roman" w:cs="Calibri"/>
                <w:color w:val="000000"/>
                <w:sz w:val="20"/>
                <w:szCs w:val="20"/>
                <w:lang w:val="en-US"/>
              </w:rPr>
              <w:t>2/4/2024</w:t>
            </w:r>
          </w:p>
        </w:tc>
        <w:tc>
          <w:tcPr>
            <w:tcW w:w="6646" w:type="dxa"/>
            <w:vMerge w:val="restart"/>
            <w:tcBorders>
              <w:top w:val="nil"/>
              <w:left w:val="single" w:sz="4" w:space="0" w:color="auto"/>
              <w:bottom w:val="single" w:sz="4" w:space="0" w:color="auto"/>
              <w:right w:val="single" w:sz="4" w:space="0" w:color="auto"/>
            </w:tcBorders>
            <w:shd w:val="clear" w:color="000000" w:fill="FFFFFF"/>
            <w:vAlign w:val="center"/>
            <w:hideMark/>
          </w:tcPr>
          <w:p w14:paraId="0C50E9F8" w14:textId="77777777" w:rsidR="00E17429" w:rsidRPr="004C7B8C" w:rsidRDefault="00E17429" w:rsidP="00756467">
            <w:pPr>
              <w:spacing w:after="0" w:line="240" w:lineRule="auto"/>
              <w:rPr>
                <w:rFonts w:eastAsia="Times New Roman" w:cs="Calibri"/>
                <w:color w:val="000000"/>
                <w:sz w:val="20"/>
                <w:szCs w:val="20"/>
              </w:rPr>
            </w:pPr>
            <w:r w:rsidRPr="004C7B8C">
              <w:rPr>
                <w:rFonts w:eastAsia="Times New Roman" w:cs="Calibri"/>
                <w:color w:val="000000"/>
                <w:sz w:val="20"/>
                <w:szCs w:val="20"/>
              </w:rPr>
              <w:t xml:space="preserve">LICENCIA ENVATO, VIGENCIA ANUAL, VERSIÓN ACTUAL Marca </w:t>
            </w:r>
            <w:proofErr w:type="spellStart"/>
            <w:r w:rsidRPr="004C7B8C">
              <w:rPr>
                <w:rFonts w:eastAsia="Times New Roman" w:cs="Calibri"/>
                <w:color w:val="000000"/>
                <w:sz w:val="20"/>
                <w:szCs w:val="20"/>
              </w:rPr>
              <w:t>Envato</w:t>
            </w:r>
            <w:proofErr w:type="spellEnd"/>
            <w:r w:rsidRPr="004C7B8C">
              <w:rPr>
                <w:rFonts w:eastAsia="Times New Roman" w:cs="Calibri"/>
                <w:color w:val="000000"/>
                <w:sz w:val="20"/>
                <w:szCs w:val="20"/>
              </w:rPr>
              <w:t xml:space="preserve"> Modelo </w:t>
            </w:r>
            <w:proofErr w:type="spellStart"/>
            <w:r w:rsidRPr="004C7B8C">
              <w:rPr>
                <w:rFonts w:eastAsia="Times New Roman" w:cs="Calibri"/>
                <w:color w:val="000000"/>
                <w:sz w:val="20"/>
                <w:szCs w:val="20"/>
              </w:rPr>
              <w:t>Elements</w:t>
            </w:r>
            <w:proofErr w:type="spellEnd"/>
            <w:r w:rsidRPr="004C7B8C">
              <w:rPr>
                <w:rFonts w:eastAsia="Times New Roman" w:cs="Calibri"/>
                <w:color w:val="000000"/>
                <w:sz w:val="20"/>
                <w:szCs w:val="20"/>
              </w:rPr>
              <w:t xml:space="preserve"> Individual</w:t>
            </w:r>
          </w:p>
        </w:tc>
        <w:tc>
          <w:tcPr>
            <w:tcW w:w="1181"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172C7802" w14:textId="77777777" w:rsidR="00E17429" w:rsidRPr="004C7B8C" w:rsidRDefault="00E17429" w:rsidP="00756467">
            <w:pPr>
              <w:spacing w:after="0" w:line="240" w:lineRule="auto"/>
              <w:jc w:val="right"/>
              <w:rPr>
                <w:rFonts w:eastAsia="Times New Roman" w:cs="Calibri"/>
                <w:color w:val="000000"/>
                <w:sz w:val="20"/>
                <w:szCs w:val="20"/>
                <w:lang w:val="en-US"/>
              </w:rPr>
            </w:pPr>
            <w:r w:rsidRPr="004C7B8C">
              <w:rPr>
                <w:rFonts w:eastAsia="Times New Roman" w:cs="Calibri"/>
                <w:color w:val="000000"/>
                <w:sz w:val="20"/>
                <w:szCs w:val="20"/>
                <w:lang w:val="en-US"/>
              </w:rPr>
              <w:t>139,86</w:t>
            </w:r>
          </w:p>
        </w:tc>
      </w:tr>
      <w:tr w:rsidR="00E17429" w:rsidRPr="004C7B8C" w14:paraId="6AF4FC9D" w14:textId="77777777" w:rsidTr="00756467">
        <w:trPr>
          <w:trHeight w:val="87"/>
        </w:trPr>
        <w:tc>
          <w:tcPr>
            <w:tcW w:w="1000" w:type="dxa"/>
            <w:vMerge/>
            <w:tcBorders>
              <w:top w:val="nil"/>
              <w:left w:val="single" w:sz="8" w:space="0" w:color="auto"/>
              <w:bottom w:val="single" w:sz="4" w:space="0" w:color="auto"/>
              <w:right w:val="single" w:sz="4" w:space="0" w:color="auto"/>
            </w:tcBorders>
            <w:vAlign w:val="center"/>
            <w:hideMark/>
          </w:tcPr>
          <w:p w14:paraId="6C5288EC" w14:textId="77777777" w:rsidR="00E17429" w:rsidRPr="004C7B8C" w:rsidRDefault="00E17429" w:rsidP="00756467">
            <w:pPr>
              <w:spacing w:after="0" w:line="240" w:lineRule="auto"/>
              <w:jc w:val="left"/>
              <w:rPr>
                <w:rFonts w:eastAsia="Times New Roman" w:cs="Calibri"/>
                <w:color w:val="000000"/>
                <w:sz w:val="20"/>
                <w:szCs w:val="20"/>
                <w:lang w:val="en-US"/>
              </w:rPr>
            </w:pPr>
          </w:p>
        </w:tc>
        <w:tc>
          <w:tcPr>
            <w:tcW w:w="6646" w:type="dxa"/>
            <w:vMerge/>
            <w:tcBorders>
              <w:top w:val="nil"/>
              <w:left w:val="single" w:sz="4" w:space="0" w:color="auto"/>
              <w:bottom w:val="single" w:sz="4" w:space="0" w:color="auto"/>
              <w:right w:val="single" w:sz="4" w:space="0" w:color="auto"/>
            </w:tcBorders>
            <w:vAlign w:val="center"/>
            <w:hideMark/>
          </w:tcPr>
          <w:p w14:paraId="355BABDD" w14:textId="77777777" w:rsidR="00E17429" w:rsidRPr="004C7B8C" w:rsidRDefault="00E17429" w:rsidP="00756467">
            <w:pPr>
              <w:spacing w:after="0" w:line="240" w:lineRule="auto"/>
              <w:jc w:val="left"/>
              <w:rPr>
                <w:rFonts w:eastAsia="Times New Roman" w:cs="Calibri"/>
                <w:color w:val="000000"/>
                <w:sz w:val="20"/>
                <w:szCs w:val="20"/>
                <w:lang w:val="en-US"/>
              </w:rPr>
            </w:pPr>
          </w:p>
        </w:tc>
        <w:tc>
          <w:tcPr>
            <w:tcW w:w="1181" w:type="dxa"/>
            <w:vMerge/>
            <w:tcBorders>
              <w:top w:val="nil"/>
              <w:left w:val="single" w:sz="4" w:space="0" w:color="auto"/>
              <w:bottom w:val="single" w:sz="4" w:space="0" w:color="auto"/>
              <w:right w:val="single" w:sz="8" w:space="0" w:color="auto"/>
            </w:tcBorders>
            <w:vAlign w:val="center"/>
            <w:hideMark/>
          </w:tcPr>
          <w:p w14:paraId="18DD06F1" w14:textId="77777777" w:rsidR="00E17429" w:rsidRPr="004C7B8C" w:rsidRDefault="00E17429" w:rsidP="00756467">
            <w:pPr>
              <w:spacing w:after="0" w:line="240" w:lineRule="auto"/>
              <w:jc w:val="left"/>
              <w:rPr>
                <w:rFonts w:eastAsia="Times New Roman" w:cs="Calibri"/>
                <w:color w:val="000000"/>
                <w:sz w:val="20"/>
                <w:szCs w:val="20"/>
                <w:lang w:val="en-US"/>
              </w:rPr>
            </w:pPr>
          </w:p>
        </w:tc>
        <w:tc>
          <w:tcPr>
            <w:tcW w:w="222" w:type="dxa"/>
            <w:tcBorders>
              <w:top w:val="nil"/>
              <w:left w:val="nil"/>
              <w:bottom w:val="nil"/>
              <w:right w:val="nil"/>
            </w:tcBorders>
            <w:shd w:val="clear" w:color="auto" w:fill="auto"/>
            <w:noWrap/>
            <w:vAlign w:val="bottom"/>
            <w:hideMark/>
          </w:tcPr>
          <w:p w14:paraId="7260143A" w14:textId="77777777" w:rsidR="00E17429" w:rsidRPr="004C7B8C" w:rsidRDefault="00E17429" w:rsidP="00756467">
            <w:pPr>
              <w:spacing w:after="0" w:line="240" w:lineRule="auto"/>
              <w:jc w:val="right"/>
              <w:rPr>
                <w:rFonts w:eastAsia="Times New Roman" w:cs="Calibri"/>
                <w:color w:val="000000"/>
                <w:sz w:val="20"/>
                <w:szCs w:val="20"/>
                <w:lang w:val="en-US"/>
              </w:rPr>
            </w:pPr>
          </w:p>
        </w:tc>
      </w:tr>
      <w:tr w:rsidR="00E17429" w:rsidRPr="004C7B8C" w14:paraId="02E9334B" w14:textId="77777777" w:rsidTr="00756467">
        <w:trPr>
          <w:trHeight w:val="348"/>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538C0380" w14:textId="77777777" w:rsidR="00E17429" w:rsidRPr="004C7B8C" w:rsidRDefault="00E17429" w:rsidP="00756467">
            <w:pPr>
              <w:spacing w:after="0" w:line="240" w:lineRule="auto"/>
              <w:rPr>
                <w:rFonts w:eastAsia="Times New Roman" w:cs="Calibri"/>
                <w:color w:val="000000"/>
                <w:sz w:val="20"/>
                <w:szCs w:val="20"/>
                <w:lang w:val="en-US"/>
              </w:rPr>
            </w:pPr>
            <w:r w:rsidRPr="004C7B8C">
              <w:rPr>
                <w:rFonts w:eastAsia="Times New Roman" w:cs="Calibri"/>
                <w:color w:val="000000"/>
                <w:sz w:val="20"/>
                <w:szCs w:val="20"/>
                <w:lang w:val="en-US"/>
              </w:rPr>
              <w:t>2/4/2024</w:t>
            </w:r>
          </w:p>
        </w:tc>
        <w:tc>
          <w:tcPr>
            <w:tcW w:w="6646" w:type="dxa"/>
            <w:tcBorders>
              <w:top w:val="nil"/>
              <w:left w:val="nil"/>
              <w:bottom w:val="single" w:sz="4" w:space="0" w:color="auto"/>
              <w:right w:val="single" w:sz="4" w:space="0" w:color="auto"/>
            </w:tcBorders>
            <w:shd w:val="clear" w:color="000000" w:fill="FFFFFF"/>
            <w:vAlign w:val="center"/>
            <w:hideMark/>
          </w:tcPr>
          <w:p w14:paraId="3D6F3811" w14:textId="77777777" w:rsidR="00E17429" w:rsidRPr="004C7B8C" w:rsidRDefault="00E17429" w:rsidP="00756467">
            <w:pPr>
              <w:spacing w:after="0" w:line="240" w:lineRule="auto"/>
              <w:rPr>
                <w:rFonts w:eastAsia="Times New Roman" w:cs="Calibri"/>
                <w:color w:val="000000"/>
                <w:sz w:val="20"/>
                <w:szCs w:val="20"/>
              </w:rPr>
            </w:pPr>
            <w:r w:rsidRPr="004C7B8C">
              <w:rPr>
                <w:rFonts w:eastAsia="Times New Roman" w:cs="Calibri"/>
                <w:color w:val="000000"/>
                <w:sz w:val="20"/>
                <w:szCs w:val="20"/>
              </w:rPr>
              <w:t>6 LICENCIAS DE OFFICE 365 EMPRESA Marca Microsoft Modelo Office 365 Empresa</w:t>
            </w:r>
          </w:p>
        </w:tc>
        <w:tc>
          <w:tcPr>
            <w:tcW w:w="1181" w:type="dxa"/>
            <w:tcBorders>
              <w:top w:val="nil"/>
              <w:left w:val="nil"/>
              <w:bottom w:val="single" w:sz="4" w:space="0" w:color="auto"/>
              <w:right w:val="single" w:sz="8" w:space="0" w:color="auto"/>
            </w:tcBorders>
            <w:shd w:val="clear" w:color="auto" w:fill="auto"/>
            <w:noWrap/>
            <w:vAlign w:val="center"/>
            <w:hideMark/>
          </w:tcPr>
          <w:p w14:paraId="6EC6B399" w14:textId="77777777" w:rsidR="00E17429" w:rsidRPr="004C7B8C" w:rsidRDefault="00E17429" w:rsidP="00756467">
            <w:pPr>
              <w:spacing w:after="0" w:line="240" w:lineRule="auto"/>
              <w:jc w:val="right"/>
              <w:rPr>
                <w:rFonts w:eastAsia="Times New Roman" w:cs="Calibri"/>
                <w:color w:val="000000"/>
                <w:sz w:val="20"/>
                <w:szCs w:val="20"/>
                <w:lang w:val="en-US"/>
              </w:rPr>
            </w:pPr>
            <w:r w:rsidRPr="004C7B8C">
              <w:rPr>
                <w:rFonts w:eastAsia="Times New Roman" w:cs="Calibri"/>
                <w:color w:val="000000"/>
                <w:sz w:val="20"/>
                <w:szCs w:val="20"/>
                <w:lang w:val="en-US"/>
              </w:rPr>
              <w:t>389,91</w:t>
            </w:r>
          </w:p>
        </w:tc>
        <w:tc>
          <w:tcPr>
            <w:tcW w:w="222" w:type="dxa"/>
            <w:vAlign w:val="center"/>
            <w:hideMark/>
          </w:tcPr>
          <w:p w14:paraId="57E4E31A" w14:textId="77777777" w:rsidR="00E17429" w:rsidRPr="004C7B8C" w:rsidRDefault="00E17429" w:rsidP="00756467">
            <w:pPr>
              <w:spacing w:after="0" w:line="240" w:lineRule="auto"/>
              <w:jc w:val="left"/>
              <w:rPr>
                <w:rFonts w:ascii="Times New Roman" w:eastAsia="Times New Roman" w:hAnsi="Times New Roman" w:cs="Times New Roman"/>
                <w:sz w:val="20"/>
                <w:szCs w:val="20"/>
                <w:lang w:val="en-US"/>
              </w:rPr>
            </w:pPr>
          </w:p>
        </w:tc>
      </w:tr>
      <w:tr w:rsidR="00E17429" w:rsidRPr="004C7B8C" w14:paraId="30383AA2" w14:textId="77777777" w:rsidTr="00756467">
        <w:trPr>
          <w:trHeight w:val="530"/>
        </w:trPr>
        <w:tc>
          <w:tcPr>
            <w:tcW w:w="1000" w:type="dxa"/>
            <w:tcBorders>
              <w:top w:val="nil"/>
              <w:left w:val="single" w:sz="8" w:space="0" w:color="auto"/>
              <w:bottom w:val="single" w:sz="8" w:space="0" w:color="auto"/>
              <w:right w:val="single" w:sz="4" w:space="0" w:color="auto"/>
            </w:tcBorders>
            <w:shd w:val="clear" w:color="000000" w:fill="FFFFFF"/>
            <w:vAlign w:val="center"/>
            <w:hideMark/>
          </w:tcPr>
          <w:p w14:paraId="4761655D" w14:textId="77777777" w:rsidR="00E17429" w:rsidRPr="004C7B8C" w:rsidRDefault="00E17429" w:rsidP="00756467">
            <w:pPr>
              <w:spacing w:after="0" w:line="240" w:lineRule="auto"/>
              <w:rPr>
                <w:rFonts w:eastAsia="Times New Roman" w:cs="Calibri"/>
                <w:color w:val="000000"/>
                <w:sz w:val="20"/>
                <w:szCs w:val="20"/>
                <w:lang w:val="en-US"/>
              </w:rPr>
            </w:pPr>
            <w:r w:rsidRPr="004C7B8C">
              <w:rPr>
                <w:rFonts w:eastAsia="Times New Roman" w:cs="Calibri"/>
                <w:color w:val="000000"/>
                <w:sz w:val="20"/>
                <w:szCs w:val="20"/>
                <w:lang w:val="en-US"/>
              </w:rPr>
              <w:t>5/9/2018</w:t>
            </w:r>
          </w:p>
        </w:tc>
        <w:tc>
          <w:tcPr>
            <w:tcW w:w="6646" w:type="dxa"/>
            <w:tcBorders>
              <w:top w:val="nil"/>
              <w:left w:val="nil"/>
              <w:bottom w:val="single" w:sz="8" w:space="0" w:color="auto"/>
              <w:right w:val="single" w:sz="4" w:space="0" w:color="auto"/>
            </w:tcBorders>
            <w:shd w:val="clear" w:color="000000" w:fill="FFFFFF"/>
            <w:vAlign w:val="center"/>
            <w:hideMark/>
          </w:tcPr>
          <w:p w14:paraId="7E7A8590" w14:textId="77777777" w:rsidR="00E17429" w:rsidRPr="004C7B8C" w:rsidRDefault="00E17429" w:rsidP="00756467">
            <w:pPr>
              <w:spacing w:after="0" w:line="240" w:lineRule="auto"/>
              <w:rPr>
                <w:rFonts w:eastAsia="Times New Roman" w:cs="Calibri"/>
                <w:color w:val="000000"/>
                <w:sz w:val="20"/>
                <w:szCs w:val="20"/>
                <w:lang w:val="en-US"/>
              </w:rPr>
            </w:pPr>
            <w:r w:rsidRPr="004C7B8C">
              <w:rPr>
                <w:rFonts w:eastAsia="Times New Roman" w:cs="Calibri"/>
                <w:color w:val="000000"/>
                <w:sz w:val="20"/>
                <w:szCs w:val="20"/>
              </w:rPr>
              <w:t xml:space="preserve">LICENCIA TIPO CAD, VERSION PROFECIONAL 2017 CAD, LICENCIA, SOFTWARE TIPO CAD. </w:t>
            </w:r>
            <w:proofErr w:type="spellStart"/>
            <w:r w:rsidRPr="004C7B8C">
              <w:rPr>
                <w:rFonts w:eastAsia="Times New Roman" w:cs="Calibri"/>
                <w:color w:val="000000"/>
                <w:sz w:val="20"/>
                <w:szCs w:val="20"/>
                <w:lang w:val="en-US"/>
              </w:rPr>
              <w:t>Marca</w:t>
            </w:r>
            <w:proofErr w:type="spellEnd"/>
            <w:r w:rsidRPr="004C7B8C">
              <w:rPr>
                <w:rFonts w:eastAsia="Times New Roman" w:cs="Calibri"/>
                <w:color w:val="000000"/>
                <w:sz w:val="20"/>
                <w:szCs w:val="20"/>
                <w:lang w:val="en-US"/>
              </w:rPr>
              <w:t xml:space="preserve"> </w:t>
            </w:r>
            <w:proofErr w:type="spellStart"/>
            <w:r w:rsidRPr="004C7B8C">
              <w:rPr>
                <w:rFonts w:eastAsia="Times New Roman" w:cs="Calibri"/>
                <w:color w:val="000000"/>
                <w:sz w:val="20"/>
                <w:szCs w:val="20"/>
                <w:lang w:val="en-US"/>
              </w:rPr>
              <w:t>Gsta</w:t>
            </w:r>
            <w:proofErr w:type="spellEnd"/>
            <w:r w:rsidRPr="004C7B8C">
              <w:rPr>
                <w:rFonts w:eastAsia="Times New Roman" w:cs="Calibri"/>
                <w:color w:val="000000"/>
                <w:sz w:val="20"/>
                <w:szCs w:val="20"/>
                <w:lang w:val="en-US"/>
              </w:rPr>
              <w:t xml:space="preserve"> </w:t>
            </w:r>
            <w:proofErr w:type="spellStart"/>
            <w:r w:rsidRPr="004C7B8C">
              <w:rPr>
                <w:rFonts w:eastAsia="Times New Roman" w:cs="Calibri"/>
                <w:color w:val="000000"/>
                <w:sz w:val="20"/>
                <w:szCs w:val="20"/>
                <w:lang w:val="en-US"/>
              </w:rPr>
              <w:t>rCAD</w:t>
            </w:r>
            <w:proofErr w:type="spellEnd"/>
            <w:r w:rsidRPr="004C7B8C">
              <w:rPr>
                <w:rFonts w:eastAsia="Times New Roman" w:cs="Calibri"/>
                <w:color w:val="000000"/>
                <w:sz w:val="20"/>
                <w:szCs w:val="20"/>
                <w:lang w:val="en-US"/>
              </w:rPr>
              <w:t xml:space="preserve"> </w:t>
            </w:r>
            <w:proofErr w:type="spellStart"/>
            <w:r w:rsidRPr="004C7B8C">
              <w:rPr>
                <w:rFonts w:eastAsia="Times New Roman" w:cs="Calibri"/>
                <w:color w:val="000000"/>
                <w:sz w:val="20"/>
                <w:szCs w:val="20"/>
                <w:lang w:val="en-US"/>
              </w:rPr>
              <w:t>Modelo</w:t>
            </w:r>
            <w:proofErr w:type="spellEnd"/>
            <w:r w:rsidRPr="004C7B8C">
              <w:rPr>
                <w:rFonts w:eastAsia="Times New Roman" w:cs="Calibri"/>
                <w:color w:val="000000"/>
                <w:sz w:val="20"/>
                <w:szCs w:val="20"/>
                <w:lang w:val="en-US"/>
              </w:rPr>
              <w:t xml:space="preserve"> 2018</w:t>
            </w:r>
          </w:p>
        </w:tc>
        <w:tc>
          <w:tcPr>
            <w:tcW w:w="1181" w:type="dxa"/>
            <w:tcBorders>
              <w:top w:val="nil"/>
              <w:left w:val="nil"/>
              <w:bottom w:val="single" w:sz="8" w:space="0" w:color="auto"/>
              <w:right w:val="single" w:sz="8" w:space="0" w:color="auto"/>
            </w:tcBorders>
            <w:shd w:val="clear" w:color="auto" w:fill="auto"/>
            <w:noWrap/>
            <w:vAlign w:val="center"/>
            <w:hideMark/>
          </w:tcPr>
          <w:p w14:paraId="3D62E1EB" w14:textId="77777777" w:rsidR="00E17429" w:rsidRPr="004C7B8C" w:rsidRDefault="00E17429" w:rsidP="00756467">
            <w:pPr>
              <w:spacing w:after="0" w:line="240" w:lineRule="auto"/>
              <w:jc w:val="right"/>
              <w:rPr>
                <w:rFonts w:eastAsia="Times New Roman" w:cs="Calibri"/>
                <w:color w:val="000000"/>
                <w:sz w:val="20"/>
                <w:szCs w:val="20"/>
                <w:lang w:val="en-US"/>
              </w:rPr>
            </w:pPr>
            <w:r w:rsidRPr="004C7B8C">
              <w:rPr>
                <w:rFonts w:eastAsia="Times New Roman" w:cs="Calibri"/>
                <w:color w:val="000000"/>
                <w:sz w:val="20"/>
                <w:szCs w:val="20"/>
                <w:lang w:val="en-US"/>
              </w:rPr>
              <w:t>467,53</w:t>
            </w:r>
          </w:p>
        </w:tc>
        <w:tc>
          <w:tcPr>
            <w:tcW w:w="222" w:type="dxa"/>
            <w:vAlign w:val="center"/>
            <w:hideMark/>
          </w:tcPr>
          <w:p w14:paraId="1581D0E9" w14:textId="77777777" w:rsidR="00E17429" w:rsidRPr="004C7B8C" w:rsidRDefault="00E17429" w:rsidP="00756467">
            <w:pPr>
              <w:spacing w:after="0" w:line="240" w:lineRule="auto"/>
              <w:jc w:val="left"/>
              <w:rPr>
                <w:rFonts w:ascii="Times New Roman" w:eastAsia="Times New Roman" w:hAnsi="Times New Roman" w:cs="Times New Roman"/>
                <w:sz w:val="20"/>
                <w:szCs w:val="20"/>
                <w:lang w:val="en-US"/>
              </w:rPr>
            </w:pPr>
          </w:p>
        </w:tc>
      </w:tr>
      <w:tr w:rsidR="00E17429" w:rsidRPr="004C7B8C" w14:paraId="270CEDA1" w14:textId="77777777" w:rsidTr="00756467">
        <w:trPr>
          <w:trHeight w:val="300"/>
        </w:trPr>
        <w:tc>
          <w:tcPr>
            <w:tcW w:w="7646"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82E3755" w14:textId="77777777" w:rsidR="00E17429" w:rsidRPr="004C7B8C" w:rsidRDefault="00E17429" w:rsidP="00756467">
            <w:pPr>
              <w:spacing w:after="0" w:line="240" w:lineRule="auto"/>
              <w:jc w:val="center"/>
              <w:rPr>
                <w:rFonts w:eastAsia="Times New Roman" w:cs="Calibri"/>
                <w:b/>
                <w:bCs/>
                <w:color w:val="000000"/>
                <w:sz w:val="20"/>
                <w:szCs w:val="20"/>
                <w:lang w:val="en-US"/>
              </w:rPr>
            </w:pPr>
            <w:r w:rsidRPr="004C7B8C">
              <w:rPr>
                <w:rFonts w:eastAsia="Times New Roman" w:cs="Calibri"/>
                <w:b/>
                <w:bCs/>
                <w:color w:val="000000"/>
                <w:sz w:val="20"/>
                <w:szCs w:val="20"/>
                <w:lang w:val="en-US"/>
              </w:rPr>
              <w:t>TOTAL</w:t>
            </w:r>
          </w:p>
        </w:tc>
        <w:tc>
          <w:tcPr>
            <w:tcW w:w="1181" w:type="dxa"/>
            <w:tcBorders>
              <w:top w:val="nil"/>
              <w:left w:val="nil"/>
              <w:bottom w:val="single" w:sz="8" w:space="0" w:color="auto"/>
              <w:right w:val="single" w:sz="8" w:space="0" w:color="auto"/>
            </w:tcBorders>
            <w:shd w:val="clear" w:color="auto" w:fill="auto"/>
            <w:noWrap/>
            <w:vAlign w:val="center"/>
            <w:hideMark/>
          </w:tcPr>
          <w:p w14:paraId="200DB9F5" w14:textId="77777777" w:rsidR="00E17429" w:rsidRPr="004C7B8C" w:rsidRDefault="00E17429" w:rsidP="00756467">
            <w:pPr>
              <w:spacing w:after="0" w:line="240" w:lineRule="auto"/>
              <w:jc w:val="right"/>
              <w:rPr>
                <w:rFonts w:eastAsia="Times New Roman" w:cs="Calibri"/>
                <w:b/>
                <w:bCs/>
                <w:color w:val="000000"/>
                <w:sz w:val="20"/>
                <w:szCs w:val="20"/>
                <w:lang w:val="en-US"/>
              </w:rPr>
            </w:pPr>
            <w:r w:rsidRPr="004C7B8C">
              <w:rPr>
                <w:rFonts w:ascii="Arial" w:eastAsia="Times New Roman" w:hAnsi="Arial" w:cs="Arial"/>
                <w:b/>
                <w:bCs/>
                <w:color w:val="000000"/>
                <w:sz w:val="20"/>
                <w:szCs w:val="20"/>
                <w:lang w:val="en-US"/>
              </w:rPr>
              <w:t>₡</w:t>
            </w:r>
            <w:r w:rsidRPr="004C7B8C">
              <w:rPr>
                <w:rFonts w:eastAsia="Times New Roman" w:cs="Calibri"/>
                <w:b/>
                <w:bCs/>
                <w:color w:val="000000"/>
                <w:sz w:val="20"/>
                <w:szCs w:val="20"/>
                <w:lang w:val="en-US"/>
              </w:rPr>
              <w:t>3 474,77</w:t>
            </w:r>
          </w:p>
        </w:tc>
        <w:tc>
          <w:tcPr>
            <w:tcW w:w="222" w:type="dxa"/>
            <w:vAlign w:val="center"/>
            <w:hideMark/>
          </w:tcPr>
          <w:p w14:paraId="49A3AC11" w14:textId="77777777" w:rsidR="00E17429" w:rsidRPr="004C7B8C" w:rsidRDefault="00E17429" w:rsidP="00756467">
            <w:pPr>
              <w:spacing w:after="0" w:line="240" w:lineRule="auto"/>
              <w:jc w:val="left"/>
              <w:rPr>
                <w:rFonts w:ascii="Times New Roman" w:eastAsia="Times New Roman" w:hAnsi="Times New Roman" w:cs="Times New Roman"/>
                <w:sz w:val="20"/>
                <w:szCs w:val="20"/>
                <w:lang w:val="en-US"/>
              </w:rPr>
            </w:pPr>
          </w:p>
        </w:tc>
      </w:tr>
    </w:tbl>
    <w:p w14:paraId="6CAB0FDB" w14:textId="77777777" w:rsidR="00396CB4" w:rsidRDefault="00654C21" w:rsidP="00F51D42">
      <w:pPr>
        <w:spacing w:before="240"/>
        <w:rPr>
          <w:rFonts w:asciiTheme="minorHAnsi" w:hAnsiTheme="minorHAnsi"/>
          <w:sz w:val="22"/>
        </w:rPr>
      </w:pPr>
      <w:r>
        <w:rPr>
          <w:lang w:val="es-ES"/>
        </w:rPr>
        <w:fldChar w:fldCharType="begin"/>
      </w:r>
      <w:r>
        <w:rPr>
          <w:lang w:val="es-ES"/>
        </w:rPr>
        <w:instrText xml:space="preserve"> LINK </w:instrText>
      </w:r>
      <w:r w:rsidR="00756467">
        <w:rPr>
          <w:lang w:val="es-ES"/>
        </w:rPr>
        <w:instrText xml:space="preserve">Excel.SheetMacroEnabled.12 "C:\\Users\\gcordero\\Downloads\\Notas diciembre 2024\\Formato_Notas_EEFF_Vinculadas_2024\\Formato_Notas_EEFF_Vinculadas_2024\\15603_T04_2024_Anexo_Estado_Notas_Contables_Vinculadas.xlsm" NOTAS_POR_CUENTA!F68C1:F70C6 </w:instrText>
      </w:r>
      <w:r>
        <w:rPr>
          <w:lang w:val="es-ES"/>
        </w:rPr>
        <w:instrText xml:space="preserve">\a \f 4 \h </w:instrText>
      </w:r>
      <w:r>
        <w:rPr>
          <w:lang w:val="es-ES"/>
        </w:rPr>
        <w:fldChar w:fldCharType="separate"/>
      </w:r>
    </w:p>
    <w:tbl>
      <w:tblPr>
        <w:tblW w:w="9600" w:type="dxa"/>
        <w:tblCellMar>
          <w:left w:w="70" w:type="dxa"/>
          <w:right w:w="70" w:type="dxa"/>
        </w:tblCellMar>
        <w:tblLook w:val="04A0" w:firstRow="1" w:lastRow="0" w:firstColumn="1" w:lastColumn="0" w:noHBand="0" w:noVBand="1"/>
      </w:tblPr>
      <w:tblGrid>
        <w:gridCol w:w="715"/>
        <w:gridCol w:w="3165"/>
        <w:gridCol w:w="500"/>
        <w:gridCol w:w="2100"/>
        <w:gridCol w:w="2100"/>
        <w:gridCol w:w="1020"/>
      </w:tblGrid>
      <w:tr w:rsidR="00396CB4" w:rsidRPr="00396CB4" w14:paraId="2DA58475" w14:textId="77777777" w:rsidTr="00396CB4">
        <w:trPr>
          <w:divId w:val="555899293"/>
          <w:trHeight w:val="330"/>
        </w:trPr>
        <w:tc>
          <w:tcPr>
            <w:tcW w:w="6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A93F488" w14:textId="058F7C95" w:rsidR="00396CB4" w:rsidRPr="00396CB4" w:rsidRDefault="00396CB4" w:rsidP="00396CB4">
            <w:pPr>
              <w:spacing w:after="0" w:line="240" w:lineRule="auto"/>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32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9190683"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01B81DD"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A51F6EA"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57A641E"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235FCF6E"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6E471C16" w14:textId="77777777" w:rsidTr="00396CB4">
        <w:trPr>
          <w:divId w:val="555899293"/>
          <w:trHeight w:val="330"/>
        </w:trPr>
        <w:tc>
          <w:tcPr>
            <w:tcW w:w="660" w:type="dxa"/>
            <w:vMerge/>
            <w:tcBorders>
              <w:top w:val="single" w:sz="8" w:space="0" w:color="auto"/>
              <w:left w:val="single" w:sz="8" w:space="0" w:color="auto"/>
              <w:bottom w:val="single" w:sz="8" w:space="0" w:color="000000"/>
              <w:right w:val="single" w:sz="8" w:space="0" w:color="auto"/>
            </w:tcBorders>
            <w:vAlign w:val="center"/>
            <w:hideMark/>
          </w:tcPr>
          <w:p w14:paraId="41D739A5"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3220" w:type="dxa"/>
            <w:vMerge/>
            <w:tcBorders>
              <w:top w:val="single" w:sz="8" w:space="0" w:color="auto"/>
              <w:left w:val="single" w:sz="8" w:space="0" w:color="auto"/>
              <w:bottom w:val="single" w:sz="8" w:space="0" w:color="000000"/>
              <w:right w:val="single" w:sz="8" w:space="0" w:color="auto"/>
            </w:tcBorders>
            <w:vAlign w:val="center"/>
            <w:hideMark/>
          </w:tcPr>
          <w:p w14:paraId="78CB512B"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2AF5E3D8"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3632ADCF"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5142BDF5"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087E3F17"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7C207E05" w14:textId="77777777" w:rsidTr="00396CB4">
        <w:trPr>
          <w:divId w:val="555899293"/>
          <w:trHeight w:val="555"/>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390D63D1"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1.2.5.99.</w:t>
            </w:r>
          </w:p>
        </w:tc>
        <w:tc>
          <w:tcPr>
            <w:tcW w:w="3220" w:type="dxa"/>
            <w:tcBorders>
              <w:top w:val="nil"/>
              <w:left w:val="nil"/>
              <w:bottom w:val="single" w:sz="8" w:space="0" w:color="auto"/>
              <w:right w:val="single" w:sz="8" w:space="0" w:color="auto"/>
            </w:tcBorders>
            <w:shd w:val="clear" w:color="auto" w:fill="auto"/>
            <w:vAlign w:val="center"/>
            <w:hideMark/>
          </w:tcPr>
          <w:p w14:paraId="51BB0B16"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Bienes no concesionados en proceso de producción</w:t>
            </w:r>
          </w:p>
        </w:tc>
        <w:tc>
          <w:tcPr>
            <w:tcW w:w="500" w:type="dxa"/>
            <w:tcBorders>
              <w:top w:val="nil"/>
              <w:left w:val="nil"/>
              <w:bottom w:val="single" w:sz="8" w:space="0" w:color="auto"/>
              <w:right w:val="single" w:sz="8" w:space="0" w:color="auto"/>
            </w:tcBorders>
            <w:shd w:val="clear" w:color="auto" w:fill="auto"/>
            <w:noWrap/>
            <w:vAlign w:val="center"/>
            <w:hideMark/>
          </w:tcPr>
          <w:p w14:paraId="0FA533BF"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10</w:t>
            </w:r>
          </w:p>
        </w:tc>
        <w:tc>
          <w:tcPr>
            <w:tcW w:w="2100" w:type="dxa"/>
            <w:tcBorders>
              <w:top w:val="nil"/>
              <w:left w:val="nil"/>
              <w:bottom w:val="single" w:sz="8" w:space="0" w:color="auto"/>
              <w:right w:val="single" w:sz="8" w:space="0" w:color="auto"/>
            </w:tcBorders>
            <w:shd w:val="clear" w:color="auto" w:fill="auto"/>
            <w:noWrap/>
            <w:vAlign w:val="center"/>
            <w:hideMark/>
          </w:tcPr>
          <w:p w14:paraId="4FBED750"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97 579,15 </w:t>
            </w:r>
          </w:p>
        </w:tc>
        <w:tc>
          <w:tcPr>
            <w:tcW w:w="2100" w:type="dxa"/>
            <w:tcBorders>
              <w:top w:val="nil"/>
              <w:left w:val="nil"/>
              <w:bottom w:val="single" w:sz="8" w:space="0" w:color="auto"/>
              <w:right w:val="single" w:sz="8" w:space="0" w:color="auto"/>
            </w:tcBorders>
            <w:shd w:val="clear" w:color="auto" w:fill="auto"/>
            <w:noWrap/>
            <w:vAlign w:val="center"/>
            <w:hideMark/>
          </w:tcPr>
          <w:p w14:paraId="6757095A"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77 580,96 </w:t>
            </w:r>
          </w:p>
        </w:tc>
        <w:tc>
          <w:tcPr>
            <w:tcW w:w="1020" w:type="dxa"/>
            <w:tcBorders>
              <w:top w:val="nil"/>
              <w:left w:val="nil"/>
              <w:bottom w:val="single" w:sz="8" w:space="0" w:color="auto"/>
              <w:right w:val="single" w:sz="8" w:space="0" w:color="auto"/>
            </w:tcBorders>
            <w:shd w:val="clear" w:color="auto" w:fill="auto"/>
            <w:noWrap/>
            <w:vAlign w:val="center"/>
            <w:hideMark/>
          </w:tcPr>
          <w:p w14:paraId="110EB41D"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25,78%</w:t>
            </w:r>
          </w:p>
        </w:tc>
      </w:tr>
    </w:tbl>
    <w:p w14:paraId="1AF0F979" w14:textId="77777777" w:rsidR="00396CB4" w:rsidRPr="00396CB4" w:rsidRDefault="00654C21" w:rsidP="009C276C">
      <w:pPr>
        <w:spacing w:before="240" w:line="240" w:lineRule="auto"/>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756467">
        <w:rPr>
          <w:rFonts w:eastAsia="Times New Roman" w:cs="Calibri"/>
          <w:color w:val="000000"/>
          <w:lang w:eastAsia="es-CR"/>
        </w:rPr>
        <w:instrText xml:space="preserve">Excel.SheetMacroEnabled.12 "C:\\Users\\gcordero\\Downloads\\Notas diciembre 2024\\Formato_Notas_EEFF_Vinculadas_2024\\Formato_Notas_EEFF_Vinculadas_2024\\15603_T04_2024_Anexo_Estado_Notas_Contables_Vinculadas.xlsm" NOTAS_POR_CUENTA!F70C8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3C58F094" w14:textId="77777777" w:rsidR="00396CB4" w:rsidRPr="00396CB4" w:rsidRDefault="00396CB4" w:rsidP="009C276C">
      <w:pPr>
        <w:spacing w:line="240" w:lineRule="auto"/>
        <w:rPr>
          <w:rFonts w:eastAsia="Times New Roman" w:cs="Calibri"/>
          <w:color w:val="000000"/>
          <w:lang w:eastAsia="es-CR"/>
        </w:rPr>
      </w:pPr>
      <w:r w:rsidRPr="00396CB4">
        <w:rPr>
          <w:rFonts w:eastAsia="Times New Roman" w:cs="Calibri"/>
          <w:color w:val="000000"/>
          <w:lang w:eastAsia="es-CR"/>
        </w:rPr>
        <w:t>La cuenta Bienes no concesionados en proceso de producción, representa el 0,06% del total del Activo, que comparado al periodo anterior genera una variación absoluta de 19 998,19 que corresponde a un Aumento del 25,78% de recursos disponibles.</w:t>
      </w:r>
    </w:p>
    <w:p w14:paraId="795FA6B9" w14:textId="617657DE" w:rsidR="003421AB" w:rsidRDefault="00654C21" w:rsidP="009C276C">
      <w:pPr>
        <w:spacing w:line="240" w:lineRule="auto"/>
        <w:rPr>
          <w:rFonts w:eastAsia="Times New Roman" w:cs="Calibri"/>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36CE849C" w14:textId="77777777" w:rsidR="00E17429" w:rsidRDefault="00E17429" w:rsidP="00E17429">
      <w:pPr>
        <w:spacing w:after="0" w:line="240" w:lineRule="auto"/>
      </w:pPr>
      <w:r w:rsidRPr="000F305B">
        <w:t>El detalle de los pagos realizados a la empresa NETSOFT DE COSTA RICA S.A. es el siguiente:</w:t>
      </w:r>
    </w:p>
    <w:p w14:paraId="2BC21A48" w14:textId="77777777" w:rsidR="00E17429" w:rsidRPr="000F305B" w:rsidRDefault="00E17429" w:rsidP="00E17429">
      <w:pPr>
        <w:spacing w:after="0" w:line="240" w:lineRule="auto"/>
      </w:pPr>
      <w:r w:rsidRPr="000F305B">
        <w:t xml:space="preserve">  </w:t>
      </w:r>
    </w:p>
    <w:tbl>
      <w:tblPr>
        <w:tblW w:w="8739" w:type="dxa"/>
        <w:tblLook w:val="04A0" w:firstRow="1" w:lastRow="0" w:firstColumn="1" w:lastColumn="0" w:noHBand="0" w:noVBand="1"/>
      </w:tblPr>
      <w:tblGrid>
        <w:gridCol w:w="3818"/>
        <w:gridCol w:w="1272"/>
        <w:gridCol w:w="1418"/>
        <w:gridCol w:w="1276"/>
        <w:gridCol w:w="955"/>
      </w:tblGrid>
      <w:tr w:rsidR="00E17429" w:rsidRPr="005038C4" w14:paraId="7932D1A1" w14:textId="77777777" w:rsidTr="00756467">
        <w:trPr>
          <w:trHeight w:val="540"/>
        </w:trPr>
        <w:tc>
          <w:tcPr>
            <w:tcW w:w="3818" w:type="dxa"/>
            <w:tcBorders>
              <w:top w:val="single" w:sz="8" w:space="0" w:color="auto"/>
              <w:left w:val="single" w:sz="8" w:space="0" w:color="auto"/>
              <w:bottom w:val="nil"/>
              <w:right w:val="single" w:sz="12" w:space="0" w:color="auto"/>
            </w:tcBorders>
            <w:shd w:val="clear" w:color="000000" w:fill="002060"/>
            <w:noWrap/>
            <w:vAlign w:val="center"/>
            <w:hideMark/>
          </w:tcPr>
          <w:p w14:paraId="50770C2E" w14:textId="77777777" w:rsidR="00E17429" w:rsidRPr="005038C4" w:rsidRDefault="00E17429" w:rsidP="00756467">
            <w:pPr>
              <w:spacing w:after="0" w:line="240" w:lineRule="auto"/>
              <w:jc w:val="center"/>
              <w:rPr>
                <w:rFonts w:eastAsia="Times New Roman" w:cs="Calibri"/>
                <w:b/>
                <w:bCs/>
                <w:color w:val="FFFFFF"/>
                <w:sz w:val="20"/>
                <w:szCs w:val="20"/>
                <w:lang w:val="en-US"/>
              </w:rPr>
            </w:pPr>
            <w:proofErr w:type="spellStart"/>
            <w:r w:rsidRPr="005038C4">
              <w:rPr>
                <w:rFonts w:eastAsia="Times New Roman" w:cs="Calibri"/>
                <w:b/>
                <w:bCs/>
                <w:color w:val="FFFFFF"/>
                <w:sz w:val="20"/>
                <w:szCs w:val="20"/>
                <w:lang w:val="en-US"/>
              </w:rPr>
              <w:t>Descripción</w:t>
            </w:r>
            <w:proofErr w:type="spellEnd"/>
          </w:p>
        </w:tc>
        <w:tc>
          <w:tcPr>
            <w:tcW w:w="1272" w:type="dxa"/>
            <w:tcBorders>
              <w:top w:val="single" w:sz="8" w:space="0" w:color="auto"/>
              <w:left w:val="nil"/>
              <w:bottom w:val="nil"/>
              <w:right w:val="single" w:sz="12" w:space="0" w:color="auto"/>
            </w:tcBorders>
            <w:shd w:val="clear" w:color="000000" w:fill="002060"/>
            <w:vAlign w:val="center"/>
            <w:hideMark/>
          </w:tcPr>
          <w:p w14:paraId="021B1A41" w14:textId="77777777" w:rsidR="00E17429" w:rsidRPr="005038C4" w:rsidRDefault="00E17429" w:rsidP="00756467">
            <w:pPr>
              <w:spacing w:after="0" w:line="240" w:lineRule="auto"/>
              <w:jc w:val="center"/>
              <w:rPr>
                <w:rFonts w:eastAsia="Times New Roman" w:cs="Calibri"/>
                <w:b/>
                <w:bCs/>
                <w:color w:val="FFFFFF"/>
                <w:sz w:val="20"/>
                <w:szCs w:val="20"/>
                <w:lang w:val="en-US"/>
              </w:rPr>
            </w:pPr>
            <w:r w:rsidRPr="005038C4">
              <w:rPr>
                <w:rFonts w:eastAsia="Times New Roman" w:cs="Calibri"/>
                <w:b/>
                <w:bCs/>
                <w:color w:val="FFFFFF"/>
                <w:sz w:val="20"/>
                <w:szCs w:val="20"/>
                <w:lang w:val="en-US"/>
              </w:rPr>
              <w:t>Saldo Año Actual</w:t>
            </w:r>
          </w:p>
        </w:tc>
        <w:tc>
          <w:tcPr>
            <w:tcW w:w="1418" w:type="dxa"/>
            <w:tcBorders>
              <w:top w:val="single" w:sz="8" w:space="0" w:color="auto"/>
              <w:left w:val="nil"/>
              <w:bottom w:val="nil"/>
              <w:right w:val="single" w:sz="12" w:space="0" w:color="auto"/>
            </w:tcBorders>
            <w:shd w:val="clear" w:color="000000" w:fill="002060"/>
            <w:vAlign w:val="center"/>
            <w:hideMark/>
          </w:tcPr>
          <w:p w14:paraId="64CAE569" w14:textId="77777777" w:rsidR="00E17429" w:rsidRPr="005038C4" w:rsidRDefault="00E17429" w:rsidP="00756467">
            <w:pPr>
              <w:spacing w:after="0" w:line="240" w:lineRule="auto"/>
              <w:jc w:val="center"/>
              <w:rPr>
                <w:rFonts w:eastAsia="Times New Roman" w:cs="Calibri"/>
                <w:b/>
                <w:bCs/>
                <w:color w:val="FFFFFF"/>
                <w:sz w:val="20"/>
                <w:szCs w:val="20"/>
                <w:lang w:val="en-US"/>
              </w:rPr>
            </w:pPr>
            <w:r w:rsidRPr="005038C4">
              <w:rPr>
                <w:rFonts w:eastAsia="Times New Roman" w:cs="Calibri"/>
                <w:b/>
                <w:bCs/>
                <w:color w:val="FFFFFF"/>
                <w:sz w:val="20"/>
                <w:szCs w:val="20"/>
                <w:lang w:val="en-US"/>
              </w:rPr>
              <w:t>Saldo Año Anterior</w:t>
            </w:r>
          </w:p>
        </w:tc>
        <w:tc>
          <w:tcPr>
            <w:tcW w:w="1276" w:type="dxa"/>
            <w:tcBorders>
              <w:top w:val="single" w:sz="8" w:space="0" w:color="auto"/>
              <w:left w:val="nil"/>
              <w:bottom w:val="nil"/>
              <w:right w:val="single" w:sz="12" w:space="0" w:color="auto"/>
            </w:tcBorders>
            <w:shd w:val="clear" w:color="000000" w:fill="002060"/>
            <w:vAlign w:val="center"/>
            <w:hideMark/>
          </w:tcPr>
          <w:p w14:paraId="56CFD705" w14:textId="77777777" w:rsidR="00E17429" w:rsidRPr="005038C4" w:rsidRDefault="00E17429" w:rsidP="00756467">
            <w:pPr>
              <w:spacing w:after="0" w:line="240" w:lineRule="auto"/>
              <w:jc w:val="center"/>
              <w:rPr>
                <w:rFonts w:eastAsia="Times New Roman" w:cs="Calibri"/>
                <w:b/>
                <w:bCs/>
                <w:color w:val="FFFFFF"/>
                <w:sz w:val="20"/>
                <w:szCs w:val="20"/>
                <w:lang w:val="en-US"/>
              </w:rPr>
            </w:pPr>
            <w:proofErr w:type="spellStart"/>
            <w:r w:rsidRPr="005038C4">
              <w:rPr>
                <w:rFonts w:eastAsia="Times New Roman" w:cs="Calibri"/>
                <w:b/>
                <w:bCs/>
                <w:color w:val="FFFFFF"/>
                <w:sz w:val="20"/>
                <w:szCs w:val="20"/>
                <w:lang w:val="en-US"/>
              </w:rPr>
              <w:t>Variación</w:t>
            </w:r>
            <w:proofErr w:type="spellEnd"/>
            <w:r w:rsidRPr="005038C4">
              <w:rPr>
                <w:rFonts w:eastAsia="Times New Roman" w:cs="Calibri"/>
                <w:b/>
                <w:bCs/>
                <w:color w:val="FFFFFF"/>
                <w:sz w:val="20"/>
                <w:szCs w:val="20"/>
                <w:lang w:val="en-US"/>
              </w:rPr>
              <w:t xml:space="preserve"> </w:t>
            </w:r>
            <w:proofErr w:type="spellStart"/>
            <w:r w:rsidRPr="005038C4">
              <w:rPr>
                <w:rFonts w:eastAsia="Times New Roman" w:cs="Calibri"/>
                <w:b/>
                <w:bCs/>
                <w:color w:val="FFFFFF"/>
                <w:sz w:val="20"/>
                <w:szCs w:val="20"/>
                <w:lang w:val="en-US"/>
              </w:rPr>
              <w:t>Absoluta</w:t>
            </w:r>
            <w:proofErr w:type="spellEnd"/>
          </w:p>
        </w:tc>
        <w:tc>
          <w:tcPr>
            <w:tcW w:w="955" w:type="dxa"/>
            <w:tcBorders>
              <w:top w:val="single" w:sz="8" w:space="0" w:color="auto"/>
              <w:left w:val="nil"/>
              <w:bottom w:val="nil"/>
              <w:right w:val="single" w:sz="8" w:space="0" w:color="auto"/>
            </w:tcBorders>
            <w:shd w:val="clear" w:color="000000" w:fill="002060"/>
            <w:vAlign w:val="center"/>
            <w:hideMark/>
          </w:tcPr>
          <w:p w14:paraId="7E78BE8B" w14:textId="77777777" w:rsidR="00E17429" w:rsidRPr="005038C4" w:rsidRDefault="00E17429" w:rsidP="00756467">
            <w:pPr>
              <w:spacing w:after="0" w:line="240" w:lineRule="auto"/>
              <w:jc w:val="center"/>
              <w:rPr>
                <w:rFonts w:eastAsia="Times New Roman" w:cs="Calibri"/>
                <w:b/>
                <w:bCs/>
                <w:color w:val="FFFFFF"/>
                <w:sz w:val="20"/>
                <w:szCs w:val="20"/>
                <w:lang w:val="en-US"/>
              </w:rPr>
            </w:pPr>
            <w:proofErr w:type="spellStart"/>
            <w:r w:rsidRPr="005038C4">
              <w:rPr>
                <w:rFonts w:eastAsia="Times New Roman" w:cs="Calibri"/>
                <w:b/>
                <w:bCs/>
                <w:color w:val="FFFFFF"/>
                <w:sz w:val="20"/>
                <w:szCs w:val="20"/>
                <w:lang w:val="en-US"/>
              </w:rPr>
              <w:t>Variación</w:t>
            </w:r>
            <w:proofErr w:type="spellEnd"/>
            <w:r w:rsidRPr="005038C4">
              <w:rPr>
                <w:rFonts w:eastAsia="Times New Roman" w:cs="Calibri"/>
                <w:b/>
                <w:bCs/>
                <w:color w:val="FFFFFF"/>
                <w:sz w:val="20"/>
                <w:szCs w:val="20"/>
                <w:lang w:val="en-US"/>
              </w:rPr>
              <w:t xml:space="preserve"> %</w:t>
            </w:r>
          </w:p>
        </w:tc>
      </w:tr>
      <w:tr w:rsidR="00E17429" w:rsidRPr="005038C4" w14:paraId="01195E39" w14:textId="77777777" w:rsidTr="00756467">
        <w:trPr>
          <w:trHeight w:val="310"/>
        </w:trPr>
        <w:tc>
          <w:tcPr>
            <w:tcW w:w="381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DA10680" w14:textId="77777777" w:rsidR="00E17429" w:rsidRPr="005038C4" w:rsidRDefault="00E17429" w:rsidP="00756467">
            <w:pPr>
              <w:spacing w:after="0" w:line="240" w:lineRule="auto"/>
              <w:jc w:val="left"/>
              <w:rPr>
                <w:rFonts w:eastAsia="Times New Roman" w:cs="Calibri"/>
                <w:color w:val="000000"/>
                <w:sz w:val="18"/>
                <w:szCs w:val="18"/>
              </w:rPr>
            </w:pPr>
            <w:r w:rsidRPr="005038C4">
              <w:rPr>
                <w:rFonts w:eastAsia="Times New Roman" w:cs="Calibri"/>
                <w:color w:val="000000"/>
                <w:sz w:val="18"/>
                <w:szCs w:val="18"/>
              </w:rPr>
              <w:t>Producción en proceso de software y programas</w:t>
            </w:r>
          </w:p>
        </w:tc>
        <w:tc>
          <w:tcPr>
            <w:tcW w:w="1272" w:type="dxa"/>
            <w:tcBorders>
              <w:top w:val="single" w:sz="8" w:space="0" w:color="auto"/>
              <w:left w:val="nil"/>
              <w:bottom w:val="single" w:sz="4" w:space="0" w:color="auto"/>
              <w:right w:val="single" w:sz="4" w:space="0" w:color="auto"/>
            </w:tcBorders>
            <w:shd w:val="clear" w:color="auto" w:fill="auto"/>
            <w:noWrap/>
            <w:vAlign w:val="center"/>
            <w:hideMark/>
          </w:tcPr>
          <w:p w14:paraId="15831D77" w14:textId="77777777" w:rsidR="00E17429" w:rsidRPr="005038C4" w:rsidRDefault="00E17429" w:rsidP="00756467">
            <w:pPr>
              <w:spacing w:after="0" w:line="240" w:lineRule="auto"/>
              <w:ind w:left="-113"/>
              <w:jc w:val="right"/>
              <w:rPr>
                <w:rFonts w:eastAsia="Times New Roman" w:cs="Calibri"/>
                <w:color w:val="000000"/>
                <w:sz w:val="18"/>
                <w:szCs w:val="18"/>
                <w:lang w:val="en-US"/>
              </w:rPr>
            </w:pPr>
            <w:r w:rsidRPr="005038C4">
              <w:rPr>
                <w:rFonts w:ascii="Arial" w:eastAsia="Times New Roman" w:hAnsi="Arial" w:cs="Arial"/>
                <w:color w:val="000000"/>
                <w:sz w:val="18"/>
                <w:szCs w:val="18"/>
                <w:lang w:val="en-US"/>
              </w:rPr>
              <w:t>₡</w:t>
            </w:r>
            <w:r w:rsidRPr="005038C4">
              <w:rPr>
                <w:rFonts w:eastAsia="Times New Roman" w:cs="Calibri"/>
                <w:color w:val="000000"/>
                <w:sz w:val="18"/>
                <w:szCs w:val="18"/>
                <w:lang w:val="en-US"/>
              </w:rPr>
              <w:t>10 925 838,63</w:t>
            </w:r>
          </w:p>
        </w:tc>
        <w:tc>
          <w:tcPr>
            <w:tcW w:w="1418" w:type="dxa"/>
            <w:tcBorders>
              <w:top w:val="single" w:sz="8" w:space="0" w:color="auto"/>
              <w:left w:val="nil"/>
              <w:bottom w:val="single" w:sz="4" w:space="0" w:color="auto"/>
              <w:right w:val="single" w:sz="4" w:space="0" w:color="auto"/>
            </w:tcBorders>
            <w:shd w:val="clear" w:color="auto" w:fill="auto"/>
            <w:noWrap/>
            <w:vAlign w:val="center"/>
            <w:hideMark/>
          </w:tcPr>
          <w:p w14:paraId="620E2436" w14:textId="77777777" w:rsidR="00E17429" w:rsidRPr="005038C4" w:rsidRDefault="00E17429" w:rsidP="00756467">
            <w:pPr>
              <w:spacing w:after="0" w:line="240" w:lineRule="auto"/>
              <w:jc w:val="right"/>
              <w:rPr>
                <w:rFonts w:eastAsia="Times New Roman" w:cs="Arial"/>
                <w:color w:val="000000"/>
                <w:sz w:val="18"/>
                <w:szCs w:val="18"/>
                <w:lang w:val="en-US"/>
              </w:rPr>
            </w:pPr>
            <w:r w:rsidRPr="005038C4">
              <w:rPr>
                <w:rFonts w:ascii="Arial" w:eastAsia="Times New Roman" w:hAnsi="Arial" w:cs="Arial"/>
                <w:color w:val="000000"/>
                <w:sz w:val="18"/>
                <w:szCs w:val="18"/>
                <w:lang w:val="en-US"/>
              </w:rPr>
              <w:t>₡</w:t>
            </w:r>
            <w:r w:rsidRPr="005038C4">
              <w:rPr>
                <w:rFonts w:eastAsia="Times New Roman" w:cs="Arial"/>
                <w:color w:val="000000"/>
                <w:sz w:val="18"/>
                <w:szCs w:val="18"/>
                <w:lang w:val="en-US"/>
              </w:rPr>
              <w:t>10 925 838,63</w:t>
            </w:r>
          </w:p>
        </w:tc>
        <w:tc>
          <w:tcPr>
            <w:tcW w:w="1276" w:type="dxa"/>
            <w:tcBorders>
              <w:top w:val="single" w:sz="8" w:space="0" w:color="auto"/>
              <w:left w:val="nil"/>
              <w:bottom w:val="single" w:sz="4" w:space="0" w:color="auto"/>
              <w:right w:val="single" w:sz="4" w:space="0" w:color="auto"/>
            </w:tcBorders>
            <w:shd w:val="clear" w:color="auto" w:fill="auto"/>
            <w:noWrap/>
            <w:vAlign w:val="center"/>
            <w:hideMark/>
          </w:tcPr>
          <w:p w14:paraId="53901E7B" w14:textId="77777777" w:rsidR="00E17429" w:rsidRPr="005038C4" w:rsidRDefault="00E17429" w:rsidP="00756467">
            <w:pPr>
              <w:spacing w:after="0" w:line="240" w:lineRule="auto"/>
              <w:jc w:val="right"/>
              <w:rPr>
                <w:rFonts w:eastAsia="Times New Roman" w:cs="Calibri"/>
                <w:color w:val="000000"/>
                <w:sz w:val="18"/>
                <w:szCs w:val="18"/>
                <w:lang w:val="en-US"/>
              </w:rPr>
            </w:pPr>
            <w:r w:rsidRPr="005038C4">
              <w:rPr>
                <w:rFonts w:ascii="Arial" w:eastAsia="Times New Roman" w:hAnsi="Arial" w:cs="Arial"/>
                <w:color w:val="000000"/>
                <w:sz w:val="18"/>
                <w:szCs w:val="18"/>
                <w:lang w:val="en-US"/>
              </w:rPr>
              <w:t>₡</w:t>
            </w:r>
            <w:r w:rsidRPr="005038C4">
              <w:rPr>
                <w:rFonts w:eastAsia="Times New Roman" w:cs="Calibri"/>
                <w:color w:val="000000"/>
                <w:sz w:val="18"/>
                <w:szCs w:val="18"/>
                <w:lang w:val="en-US"/>
              </w:rPr>
              <w:t>0,00</w:t>
            </w:r>
          </w:p>
        </w:tc>
        <w:tc>
          <w:tcPr>
            <w:tcW w:w="955" w:type="dxa"/>
            <w:tcBorders>
              <w:top w:val="single" w:sz="8" w:space="0" w:color="auto"/>
              <w:left w:val="nil"/>
              <w:bottom w:val="single" w:sz="4" w:space="0" w:color="auto"/>
              <w:right w:val="single" w:sz="8" w:space="0" w:color="auto"/>
            </w:tcBorders>
            <w:shd w:val="clear" w:color="auto" w:fill="auto"/>
            <w:noWrap/>
            <w:vAlign w:val="center"/>
            <w:hideMark/>
          </w:tcPr>
          <w:p w14:paraId="5AEE3FFB" w14:textId="77777777" w:rsidR="00E17429" w:rsidRPr="005038C4" w:rsidRDefault="00E17429" w:rsidP="00756467">
            <w:pPr>
              <w:spacing w:after="0" w:line="240" w:lineRule="auto"/>
              <w:jc w:val="right"/>
              <w:rPr>
                <w:rFonts w:eastAsia="Times New Roman" w:cs="Calibri"/>
                <w:color w:val="000000"/>
                <w:sz w:val="18"/>
                <w:szCs w:val="18"/>
                <w:lang w:val="en-US"/>
              </w:rPr>
            </w:pPr>
            <w:r w:rsidRPr="005038C4">
              <w:rPr>
                <w:rFonts w:eastAsia="Times New Roman" w:cs="Calibri"/>
                <w:color w:val="000000"/>
                <w:sz w:val="18"/>
                <w:szCs w:val="18"/>
                <w:lang w:val="en-US"/>
              </w:rPr>
              <w:t>0,00%</w:t>
            </w:r>
          </w:p>
        </w:tc>
      </w:tr>
      <w:tr w:rsidR="00E17429" w:rsidRPr="005038C4" w14:paraId="52B5AA82" w14:textId="77777777" w:rsidTr="00756467">
        <w:trPr>
          <w:trHeight w:val="300"/>
        </w:trPr>
        <w:tc>
          <w:tcPr>
            <w:tcW w:w="3818" w:type="dxa"/>
            <w:tcBorders>
              <w:top w:val="nil"/>
              <w:left w:val="single" w:sz="8" w:space="0" w:color="auto"/>
              <w:bottom w:val="single" w:sz="4" w:space="0" w:color="auto"/>
              <w:right w:val="single" w:sz="4" w:space="0" w:color="auto"/>
            </w:tcBorders>
            <w:shd w:val="clear" w:color="auto" w:fill="auto"/>
            <w:noWrap/>
            <w:vAlign w:val="center"/>
            <w:hideMark/>
          </w:tcPr>
          <w:p w14:paraId="4540629C" w14:textId="77777777" w:rsidR="00E17429" w:rsidRPr="005038C4" w:rsidRDefault="00E17429" w:rsidP="00756467">
            <w:pPr>
              <w:spacing w:after="0" w:line="240" w:lineRule="auto"/>
              <w:jc w:val="left"/>
              <w:rPr>
                <w:rFonts w:eastAsia="Times New Roman" w:cs="Calibri"/>
                <w:color w:val="000000"/>
                <w:sz w:val="18"/>
                <w:szCs w:val="18"/>
              </w:rPr>
            </w:pPr>
            <w:r w:rsidRPr="005038C4">
              <w:rPr>
                <w:rFonts w:eastAsia="Times New Roman" w:cs="Calibri"/>
                <w:color w:val="000000"/>
                <w:sz w:val="18"/>
                <w:szCs w:val="18"/>
              </w:rPr>
              <w:t>Producción en proceso de software y programas</w:t>
            </w:r>
          </w:p>
        </w:tc>
        <w:tc>
          <w:tcPr>
            <w:tcW w:w="1272" w:type="dxa"/>
            <w:tcBorders>
              <w:top w:val="nil"/>
              <w:left w:val="nil"/>
              <w:bottom w:val="single" w:sz="4" w:space="0" w:color="auto"/>
              <w:right w:val="single" w:sz="4" w:space="0" w:color="auto"/>
            </w:tcBorders>
            <w:shd w:val="clear" w:color="auto" w:fill="auto"/>
            <w:noWrap/>
            <w:vAlign w:val="center"/>
            <w:hideMark/>
          </w:tcPr>
          <w:p w14:paraId="5213D376" w14:textId="77777777" w:rsidR="00E17429" w:rsidRPr="005038C4" w:rsidRDefault="00E17429" w:rsidP="00756467">
            <w:pPr>
              <w:spacing w:after="0" w:line="240" w:lineRule="auto"/>
              <w:jc w:val="right"/>
              <w:rPr>
                <w:rFonts w:eastAsia="Times New Roman" w:cs="Calibri"/>
                <w:color w:val="000000"/>
                <w:sz w:val="18"/>
                <w:szCs w:val="18"/>
                <w:lang w:val="en-US"/>
              </w:rPr>
            </w:pPr>
            <w:r w:rsidRPr="005038C4">
              <w:rPr>
                <w:rFonts w:eastAsia="Times New Roman" w:cs="Calibri"/>
                <w:color w:val="000000"/>
                <w:sz w:val="18"/>
                <w:szCs w:val="18"/>
                <w:lang w:val="en-US"/>
              </w:rPr>
              <w:t>14 145 058,94</w:t>
            </w:r>
          </w:p>
        </w:tc>
        <w:tc>
          <w:tcPr>
            <w:tcW w:w="1418" w:type="dxa"/>
            <w:tcBorders>
              <w:top w:val="nil"/>
              <w:left w:val="nil"/>
              <w:bottom w:val="single" w:sz="4" w:space="0" w:color="auto"/>
              <w:right w:val="single" w:sz="4" w:space="0" w:color="auto"/>
            </w:tcBorders>
            <w:shd w:val="clear" w:color="auto" w:fill="auto"/>
            <w:noWrap/>
            <w:vAlign w:val="center"/>
            <w:hideMark/>
          </w:tcPr>
          <w:p w14:paraId="5DA44489" w14:textId="77777777" w:rsidR="00E17429" w:rsidRPr="005038C4" w:rsidRDefault="00E17429" w:rsidP="00756467">
            <w:pPr>
              <w:spacing w:after="0" w:line="240" w:lineRule="auto"/>
              <w:jc w:val="right"/>
              <w:rPr>
                <w:rFonts w:eastAsia="Times New Roman" w:cs="Calibri"/>
                <w:color w:val="000000"/>
                <w:sz w:val="18"/>
                <w:szCs w:val="18"/>
                <w:lang w:val="en-US"/>
              </w:rPr>
            </w:pPr>
            <w:r w:rsidRPr="005038C4">
              <w:rPr>
                <w:rFonts w:eastAsia="Times New Roman" w:cs="Calibri"/>
                <w:color w:val="000000"/>
                <w:sz w:val="18"/>
                <w:szCs w:val="18"/>
                <w:lang w:val="en-US"/>
              </w:rPr>
              <w:t>14 145 058,94</w:t>
            </w:r>
          </w:p>
        </w:tc>
        <w:tc>
          <w:tcPr>
            <w:tcW w:w="1276" w:type="dxa"/>
            <w:tcBorders>
              <w:top w:val="nil"/>
              <w:left w:val="nil"/>
              <w:bottom w:val="single" w:sz="4" w:space="0" w:color="auto"/>
              <w:right w:val="single" w:sz="4" w:space="0" w:color="auto"/>
            </w:tcBorders>
            <w:shd w:val="clear" w:color="auto" w:fill="auto"/>
            <w:noWrap/>
            <w:vAlign w:val="center"/>
            <w:hideMark/>
          </w:tcPr>
          <w:p w14:paraId="01E6207A" w14:textId="77777777" w:rsidR="00E17429" w:rsidRPr="005038C4" w:rsidRDefault="00E17429" w:rsidP="00756467">
            <w:pPr>
              <w:spacing w:after="0" w:line="240" w:lineRule="auto"/>
              <w:jc w:val="right"/>
              <w:rPr>
                <w:rFonts w:eastAsia="Times New Roman" w:cs="Calibri"/>
                <w:color w:val="000000"/>
                <w:sz w:val="18"/>
                <w:szCs w:val="18"/>
                <w:lang w:val="en-US"/>
              </w:rPr>
            </w:pPr>
            <w:r w:rsidRPr="005038C4">
              <w:rPr>
                <w:rFonts w:eastAsia="Times New Roman" w:cs="Calibri"/>
                <w:color w:val="000000"/>
                <w:sz w:val="18"/>
                <w:szCs w:val="18"/>
                <w:lang w:val="en-US"/>
              </w:rPr>
              <w:t>0,00</w:t>
            </w:r>
          </w:p>
        </w:tc>
        <w:tc>
          <w:tcPr>
            <w:tcW w:w="955" w:type="dxa"/>
            <w:tcBorders>
              <w:top w:val="nil"/>
              <w:left w:val="nil"/>
              <w:bottom w:val="single" w:sz="4" w:space="0" w:color="auto"/>
              <w:right w:val="single" w:sz="8" w:space="0" w:color="auto"/>
            </w:tcBorders>
            <w:shd w:val="clear" w:color="auto" w:fill="auto"/>
            <w:noWrap/>
            <w:vAlign w:val="center"/>
            <w:hideMark/>
          </w:tcPr>
          <w:p w14:paraId="7478A097" w14:textId="77777777" w:rsidR="00E17429" w:rsidRPr="005038C4" w:rsidRDefault="00E17429" w:rsidP="00756467">
            <w:pPr>
              <w:spacing w:after="0" w:line="240" w:lineRule="auto"/>
              <w:jc w:val="right"/>
              <w:rPr>
                <w:rFonts w:eastAsia="Times New Roman" w:cs="Calibri"/>
                <w:color w:val="000000"/>
                <w:sz w:val="18"/>
                <w:szCs w:val="18"/>
                <w:lang w:val="en-US"/>
              </w:rPr>
            </w:pPr>
            <w:r w:rsidRPr="005038C4">
              <w:rPr>
                <w:rFonts w:eastAsia="Times New Roman" w:cs="Calibri"/>
                <w:color w:val="000000"/>
                <w:sz w:val="18"/>
                <w:szCs w:val="18"/>
                <w:lang w:val="en-US"/>
              </w:rPr>
              <w:t>0,00%</w:t>
            </w:r>
          </w:p>
        </w:tc>
      </w:tr>
      <w:tr w:rsidR="00E17429" w:rsidRPr="005038C4" w14:paraId="10DCA368" w14:textId="77777777" w:rsidTr="00756467">
        <w:trPr>
          <w:trHeight w:val="300"/>
        </w:trPr>
        <w:tc>
          <w:tcPr>
            <w:tcW w:w="3818" w:type="dxa"/>
            <w:tcBorders>
              <w:top w:val="nil"/>
              <w:left w:val="single" w:sz="8" w:space="0" w:color="auto"/>
              <w:bottom w:val="single" w:sz="4" w:space="0" w:color="auto"/>
              <w:right w:val="single" w:sz="4" w:space="0" w:color="auto"/>
            </w:tcBorders>
            <w:shd w:val="clear" w:color="auto" w:fill="auto"/>
            <w:noWrap/>
            <w:vAlign w:val="center"/>
            <w:hideMark/>
          </w:tcPr>
          <w:p w14:paraId="1E5B0C21" w14:textId="77777777" w:rsidR="00E17429" w:rsidRPr="005038C4" w:rsidRDefault="00E17429" w:rsidP="00756467">
            <w:pPr>
              <w:spacing w:after="0" w:line="240" w:lineRule="auto"/>
              <w:jc w:val="left"/>
              <w:rPr>
                <w:rFonts w:eastAsia="Times New Roman" w:cs="Calibri"/>
                <w:color w:val="000000"/>
                <w:sz w:val="18"/>
                <w:szCs w:val="18"/>
              </w:rPr>
            </w:pPr>
            <w:r w:rsidRPr="005038C4">
              <w:rPr>
                <w:rFonts w:eastAsia="Times New Roman" w:cs="Calibri"/>
                <w:color w:val="000000"/>
                <w:sz w:val="18"/>
                <w:szCs w:val="18"/>
              </w:rPr>
              <w:t>Producción en proceso de software y programas</w:t>
            </w:r>
          </w:p>
        </w:tc>
        <w:tc>
          <w:tcPr>
            <w:tcW w:w="1272" w:type="dxa"/>
            <w:tcBorders>
              <w:top w:val="nil"/>
              <w:left w:val="nil"/>
              <w:bottom w:val="single" w:sz="4" w:space="0" w:color="auto"/>
              <w:right w:val="single" w:sz="4" w:space="0" w:color="auto"/>
            </w:tcBorders>
            <w:shd w:val="clear" w:color="auto" w:fill="auto"/>
            <w:noWrap/>
            <w:vAlign w:val="center"/>
            <w:hideMark/>
          </w:tcPr>
          <w:p w14:paraId="25ED0BBB" w14:textId="77777777" w:rsidR="00E17429" w:rsidRPr="005038C4" w:rsidRDefault="00E17429" w:rsidP="00756467">
            <w:pPr>
              <w:spacing w:after="0" w:line="240" w:lineRule="auto"/>
              <w:jc w:val="right"/>
              <w:rPr>
                <w:rFonts w:eastAsia="Times New Roman" w:cs="Calibri"/>
                <w:color w:val="000000"/>
                <w:sz w:val="18"/>
                <w:szCs w:val="18"/>
                <w:lang w:val="en-US"/>
              </w:rPr>
            </w:pPr>
            <w:r w:rsidRPr="005038C4">
              <w:rPr>
                <w:rFonts w:eastAsia="Times New Roman" w:cs="Calibri"/>
                <w:color w:val="000000"/>
                <w:sz w:val="18"/>
                <w:szCs w:val="18"/>
                <w:lang w:val="en-US"/>
              </w:rPr>
              <w:t>23 510 063,48</w:t>
            </w:r>
          </w:p>
        </w:tc>
        <w:tc>
          <w:tcPr>
            <w:tcW w:w="1418" w:type="dxa"/>
            <w:tcBorders>
              <w:top w:val="nil"/>
              <w:left w:val="nil"/>
              <w:bottom w:val="single" w:sz="4" w:space="0" w:color="auto"/>
              <w:right w:val="single" w:sz="4" w:space="0" w:color="auto"/>
            </w:tcBorders>
            <w:shd w:val="clear" w:color="auto" w:fill="auto"/>
            <w:noWrap/>
            <w:vAlign w:val="center"/>
            <w:hideMark/>
          </w:tcPr>
          <w:p w14:paraId="11E7D230" w14:textId="77777777" w:rsidR="00E17429" w:rsidRPr="005038C4" w:rsidRDefault="00E17429" w:rsidP="00756467">
            <w:pPr>
              <w:spacing w:after="0" w:line="240" w:lineRule="auto"/>
              <w:jc w:val="right"/>
              <w:rPr>
                <w:rFonts w:eastAsia="Times New Roman" w:cs="Calibri"/>
                <w:color w:val="000000"/>
                <w:sz w:val="18"/>
                <w:szCs w:val="18"/>
                <w:lang w:val="en-US"/>
              </w:rPr>
            </w:pPr>
            <w:r w:rsidRPr="005038C4">
              <w:rPr>
                <w:rFonts w:eastAsia="Times New Roman" w:cs="Calibri"/>
                <w:color w:val="000000"/>
                <w:sz w:val="18"/>
                <w:szCs w:val="18"/>
                <w:lang w:val="en-US"/>
              </w:rPr>
              <w:t>23 510 063,48</w:t>
            </w:r>
          </w:p>
        </w:tc>
        <w:tc>
          <w:tcPr>
            <w:tcW w:w="1276" w:type="dxa"/>
            <w:tcBorders>
              <w:top w:val="nil"/>
              <w:left w:val="nil"/>
              <w:bottom w:val="single" w:sz="4" w:space="0" w:color="auto"/>
              <w:right w:val="single" w:sz="4" w:space="0" w:color="auto"/>
            </w:tcBorders>
            <w:shd w:val="clear" w:color="auto" w:fill="auto"/>
            <w:noWrap/>
            <w:vAlign w:val="center"/>
            <w:hideMark/>
          </w:tcPr>
          <w:p w14:paraId="05773955" w14:textId="77777777" w:rsidR="00E17429" w:rsidRPr="005038C4" w:rsidRDefault="00E17429" w:rsidP="00756467">
            <w:pPr>
              <w:spacing w:after="0" w:line="240" w:lineRule="auto"/>
              <w:jc w:val="right"/>
              <w:rPr>
                <w:rFonts w:eastAsia="Times New Roman" w:cs="Calibri"/>
                <w:color w:val="000000"/>
                <w:sz w:val="18"/>
                <w:szCs w:val="18"/>
                <w:lang w:val="en-US"/>
              </w:rPr>
            </w:pPr>
            <w:r w:rsidRPr="005038C4">
              <w:rPr>
                <w:rFonts w:eastAsia="Times New Roman" w:cs="Calibri"/>
                <w:color w:val="000000"/>
                <w:sz w:val="18"/>
                <w:szCs w:val="18"/>
                <w:lang w:val="en-US"/>
              </w:rPr>
              <w:t>0,00</w:t>
            </w:r>
          </w:p>
        </w:tc>
        <w:tc>
          <w:tcPr>
            <w:tcW w:w="955" w:type="dxa"/>
            <w:tcBorders>
              <w:top w:val="nil"/>
              <w:left w:val="nil"/>
              <w:bottom w:val="single" w:sz="4" w:space="0" w:color="auto"/>
              <w:right w:val="single" w:sz="8" w:space="0" w:color="auto"/>
            </w:tcBorders>
            <w:shd w:val="clear" w:color="auto" w:fill="auto"/>
            <w:noWrap/>
            <w:vAlign w:val="center"/>
            <w:hideMark/>
          </w:tcPr>
          <w:p w14:paraId="49DF26B4" w14:textId="77777777" w:rsidR="00E17429" w:rsidRPr="005038C4" w:rsidRDefault="00E17429" w:rsidP="00756467">
            <w:pPr>
              <w:spacing w:after="0" w:line="240" w:lineRule="auto"/>
              <w:jc w:val="right"/>
              <w:rPr>
                <w:rFonts w:eastAsia="Times New Roman" w:cs="Calibri"/>
                <w:color w:val="000000"/>
                <w:sz w:val="18"/>
                <w:szCs w:val="18"/>
                <w:lang w:val="en-US"/>
              </w:rPr>
            </w:pPr>
            <w:r w:rsidRPr="005038C4">
              <w:rPr>
                <w:rFonts w:eastAsia="Times New Roman" w:cs="Calibri"/>
                <w:color w:val="000000"/>
                <w:sz w:val="18"/>
                <w:szCs w:val="18"/>
                <w:lang w:val="en-US"/>
              </w:rPr>
              <w:t>0,00%</w:t>
            </w:r>
          </w:p>
        </w:tc>
      </w:tr>
      <w:tr w:rsidR="00E17429" w:rsidRPr="005038C4" w14:paraId="53F81BE4" w14:textId="77777777" w:rsidTr="00756467">
        <w:trPr>
          <w:trHeight w:val="300"/>
        </w:trPr>
        <w:tc>
          <w:tcPr>
            <w:tcW w:w="3818" w:type="dxa"/>
            <w:tcBorders>
              <w:top w:val="nil"/>
              <w:left w:val="single" w:sz="8" w:space="0" w:color="auto"/>
              <w:bottom w:val="single" w:sz="4" w:space="0" w:color="auto"/>
              <w:right w:val="single" w:sz="4" w:space="0" w:color="auto"/>
            </w:tcBorders>
            <w:shd w:val="clear" w:color="auto" w:fill="auto"/>
            <w:noWrap/>
            <w:vAlign w:val="center"/>
            <w:hideMark/>
          </w:tcPr>
          <w:p w14:paraId="7B75825A" w14:textId="77777777" w:rsidR="00E17429" w:rsidRPr="005038C4" w:rsidRDefault="00E17429" w:rsidP="00756467">
            <w:pPr>
              <w:spacing w:after="0" w:line="240" w:lineRule="auto"/>
              <w:jc w:val="left"/>
              <w:rPr>
                <w:rFonts w:eastAsia="Times New Roman" w:cs="Calibri"/>
                <w:color w:val="000000"/>
                <w:sz w:val="18"/>
                <w:szCs w:val="18"/>
              </w:rPr>
            </w:pPr>
            <w:r w:rsidRPr="005038C4">
              <w:rPr>
                <w:rFonts w:eastAsia="Times New Roman" w:cs="Calibri"/>
                <w:color w:val="000000"/>
                <w:sz w:val="18"/>
                <w:szCs w:val="18"/>
              </w:rPr>
              <w:t>Producción en proceso de software y programas</w:t>
            </w:r>
          </w:p>
        </w:tc>
        <w:tc>
          <w:tcPr>
            <w:tcW w:w="1272" w:type="dxa"/>
            <w:tcBorders>
              <w:top w:val="nil"/>
              <w:left w:val="nil"/>
              <w:bottom w:val="single" w:sz="4" w:space="0" w:color="auto"/>
              <w:right w:val="single" w:sz="4" w:space="0" w:color="auto"/>
            </w:tcBorders>
            <w:shd w:val="clear" w:color="auto" w:fill="auto"/>
            <w:noWrap/>
            <w:vAlign w:val="center"/>
            <w:hideMark/>
          </w:tcPr>
          <w:p w14:paraId="6616B206" w14:textId="77777777" w:rsidR="00E17429" w:rsidRPr="005038C4" w:rsidRDefault="00E17429" w:rsidP="00756467">
            <w:pPr>
              <w:spacing w:after="0" w:line="240" w:lineRule="auto"/>
              <w:jc w:val="right"/>
              <w:rPr>
                <w:rFonts w:eastAsia="Times New Roman" w:cs="Calibri"/>
                <w:color w:val="000000"/>
                <w:sz w:val="18"/>
                <w:szCs w:val="18"/>
                <w:lang w:val="en-US"/>
              </w:rPr>
            </w:pPr>
            <w:r w:rsidRPr="005038C4">
              <w:rPr>
                <w:rFonts w:eastAsia="Times New Roman" w:cs="Calibri"/>
                <w:color w:val="000000"/>
                <w:sz w:val="18"/>
                <w:szCs w:val="18"/>
                <w:lang w:val="en-US"/>
              </w:rPr>
              <w:t>29 000 000,00</w:t>
            </w:r>
          </w:p>
        </w:tc>
        <w:tc>
          <w:tcPr>
            <w:tcW w:w="1418" w:type="dxa"/>
            <w:tcBorders>
              <w:top w:val="nil"/>
              <w:left w:val="nil"/>
              <w:bottom w:val="single" w:sz="4" w:space="0" w:color="auto"/>
              <w:right w:val="single" w:sz="4" w:space="0" w:color="auto"/>
            </w:tcBorders>
            <w:shd w:val="clear" w:color="auto" w:fill="auto"/>
            <w:noWrap/>
            <w:vAlign w:val="center"/>
            <w:hideMark/>
          </w:tcPr>
          <w:p w14:paraId="0FB88FC9" w14:textId="77777777" w:rsidR="00E17429" w:rsidRPr="005038C4" w:rsidRDefault="00E17429" w:rsidP="00756467">
            <w:pPr>
              <w:spacing w:after="0" w:line="240" w:lineRule="auto"/>
              <w:jc w:val="right"/>
              <w:rPr>
                <w:rFonts w:eastAsia="Times New Roman" w:cs="Calibri"/>
                <w:color w:val="000000"/>
                <w:sz w:val="18"/>
                <w:szCs w:val="18"/>
                <w:lang w:val="en-US"/>
              </w:rPr>
            </w:pPr>
            <w:r w:rsidRPr="005038C4">
              <w:rPr>
                <w:rFonts w:eastAsia="Times New Roman" w:cs="Calibri"/>
                <w:color w:val="000000"/>
                <w:sz w:val="18"/>
                <w:szCs w:val="18"/>
                <w:lang w:val="en-US"/>
              </w:rPr>
              <w:t>29 000 000,00</w:t>
            </w:r>
          </w:p>
        </w:tc>
        <w:tc>
          <w:tcPr>
            <w:tcW w:w="1276" w:type="dxa"/>
            <w:tcBorders>
              <w:top w:val="nil"/>
              <w:left w:val="nil"/>
              <w:bottom w:val="single" w:sz="4" w:space="0" w:color="auto"/>
              <w:right w:val="single" w:sz="4" w:space="0" w:color="auto"/>
            </w:tcBorders>
            <w:shd w:val="clear" w:color="auto" w:fill="auto"/>
            <w:noWrap/>
            <w:vAlign w:val="center"/>
            <w:hideMark/>
          </w:tcPr>
          <w:p w14:paraId="3670D24F" w14:textId="77777777" w:rsidR="00E17429" w:rsidRPr="005038C4" w:rsidRDefault="00E17429" w:rsidP="00756467">
            <w:pPr>
              <w:spacing w:after="0" w:line="240" w:lineRule="auto"/>
              <w:jc w:val="right"/>
              <w:rPr>
                <w:rFonts w:eastAsia="Times New Roman" w:cs="Calibri"/>
                <w:color w:val="000000"/>
                <w:sz w:val="18"/>
                <w:szCs w:val="18"/>
                <w:lang w:val="en-US"/>
              </w:rPr>
            </w:pPr>
            <w:r w:rsidRPr="005038C4">
              <w:rPr>
                <w:rFonts w:eastAsia="Times New Roman" w:cs="Calibri"/>
                <w:color w:val="000000"/>
                <w:sz w:val="18"/>
                <w:szCs w:val="18"/>
                <w:lang w:val="en-US"/>
              </w:rPr>
              <w:t>0,00</w:t>
            </w:r>
          </w:p>
        </w:tc>
        <w:tc>
          <w:tcPr>
            <w:tcW w:w="955" w:type="dxa"/>
            <w:tcBorders>
              <w:top w:val="nil"/>
              <w:left w:val="nil"/>
              <w:bottom w:val="single" w:sz="4" w:space="0" w:color="auto"/>
              <w:right w:val="single" w:sz="8" w:space="0" w:color="auto"/>
            </w:tcBorders>
            <w:shd w:val="clear" w:color="auto" w:fill="auto"/>
            <w:noWrap/>
            <w:vAlign w:val="center"/>
            <w:hideMark/>
          </w:tcPr>
          <w:p w14:paraId="2140F4B2" w14:textId="77777777" w:rsidR="00E17429" w:rsidRPr="005038C4" w:rsidRDefault="00E17429" w:rsidP="00756467">
            <w:pPr>
              <w:spacing w:after="0" w:line="240" w:lineRule="auto"/>
              <w:jc w:val="right"/>
              <w:rPr>
                <w:rFonts w:eastAsia="Times New Roman" w:cs="Calibri"/>
                <w:color w:val="000000"/>
                <w:sz w:val="18"/>
                <w:szCs w:val="18"/>
                <w:lang w:val="en-US"/>
              </w:rPr>
            </w:pPr>
            <w:r w:rsidRPr="005038C4">
              <w:rPr>
                <w:rFonts w:eastAsia="Times New Roman" w:cs="Calibri"/>
                <w:color w:val="000000"/>
                <w:sz w:val="18"/>
                <w:szCs w:val="18"/>
                <w:lang w:val="en-US"/>
              </w:rPr>
              <w:t>0,00%</w:t>
            </w:r>
          </w:p>
        </w:tc>
      </w:tr>
      <w:tr w:rsidR="00E17429" w:rsidRPr="005038C4" w14:paraId="286D00DF" w14:textId="77777777" w:rsidTr="00756467">
        <w:trPr>
          <w:trHeight w:val="310"/>
        </w:trPr>
        <w:tc>
          <w:tcPr>
            <w:tcW w:w="3818" w:type="dxa"/>
            <w:tcBorders>
              <w:top w:val="nil"/>
              <w:left w:val="single" w:sz="8" w:space="0" w:color="auto"/>
              <w:bottom w:val="single" w:sz="8" w:space="0" w:color="auto"/>
              <w:right w:val="single" w:sz="4" w:space="0" w:color="auto"/>
            </w:tcBorders>
            <w:shd w:val="clear" w:color="auto" w:fill="auto"/>
            <w:noWrap/>
            <w:vAlign w:val="center"/>
            <w:hideMark/>
          </w:tcPr>
          <w:p w14:paraId="7052E1C0" w14:textId="77777777" w:rsidR="00E17429" w:rsidRPr="005038C4" w:rsidRDefault="00E17429" w:rsidP="00756467">
            <w:pPr>
              <w:spacing w:after="0" w:line="240" w:lineRule="auto"/>
              <w:jc w:val="left"/>
              <w:rPr>
                <w:rFonts w:eastAsia="Times New Roman" w:cs="Calibri"/>
                <w:color w:val="000000"/>
                <w:sz w:val="18"/>
                <w:szCs w:val="18"/>
              </w:rPr>
            </w:pPr>
            <w:r w:rsidRPr="005038C4">
              <w:rPr>
                <w:rFonts w:eastAsia="Times New Roman" w:cs="Calibri"/>
                <w:color w:val="000000"/>
                <w:sz w:val="18"/>
                <w:szCs w:val="18"/>
              </w:rPr>
              <w:t>Producción en proceso de software y programas</w:t>
            </w:r>
          </w:p>
        </w:tc>
        <w:tc>
          <w:tcPr>
            <w:tcW w:w="1272" w:type="dxa"/>
            <w:tcBorders>
              <w:top w:val="nil"/>
              <w:left w:val="nil"/>
              <w:bottom w:val="single" w:sz="8" w:space="0" w:color="auto"/>
              <w:right w:val="single" w:sz="4" w:space="0" w:color="auto"/>
            </w:tcBorders>
            <w:shd w:val="clear" w:color="000000" w:fill="FFFFFF"/>
            <w:noWrap/>
            <w:vAlign w:val="bottom"/>
            <w:hideMark/>
          </w:tcPr>
          <w:p w14:paraId="36AB807B" w14:textId="77777777" w:rsidR="00E17429" w:rsidRPr="005038C4" w:rsidRDefault="00E17429" w:rsidP="00756467">
            <w:pPr>
              <w:spacing w:after="0" w:line="240" w:lineRule="auto"/>
              <w:jc w:val="right"/>
              <w:rPr>
                <w:rFonts w:eastAsia="Times New Roman" w:cs="Calibri"/>
                <w:color w:val="000000"/>
                <w:sz w:val="18"/>
                <w:szCs w:val="18"/>
                <w:lang w:val="en-US"/>
              </w:rPr>
            </w:pPr>
            <w:r w:rsidRPr="005038C4">
              <w:rPr>
                <w:rFonts w:eastAsia="Times New Roman" w:cs="Calibri"/>
                <w:color w:val="000000"/>
                <w:sz w:val="18"/>
                <w:szCs w:val="18"/>
                <w:lang w:val="en-US"/>
              </w:rPr>
              <w:t>19 998 186,77</w:t>
            </w:r>
          </w:p>
        </w:tc>
        <w:tc>
          <w:tcPr>
            <w:tcW w:w="1418" w:type="dxa"/>
            <w:tcBorders>
              <w:top w:val="nil"/>
              <w:left w:val="nil"/>
              <w:bottom w:val="single" w:sz="8" w:space="0" w:color="auto"/>
              <w:right w:val="single" w:sz="4" w:space="0" w:color="auto"/>
            </w:tcBorders>
            <w:shd w:val="clear" w:color="auto" w:fill="auto"/>
            <w:noWrap/>
            <w:vAlign w:val="center"/>
            <w:hideMark/>
          </w:tcPr>
          <w:p w14:paraId="6C6CC0BA" w14:textId="77777777" w:rsidR="00E17429" w:rsidRPr="005038C4" w:rsidRDefault="00E17429" w:rsidP="00756467">
            <w:pPr>
              <w:spacing w:after="0" w:line="240" w:lineRule="auto"/>
              <w:jc w:val="right"/>
              <w:rPr>
                <w:rFonts w:eastAsia="Times New Roman" w:cs="Calibri"/>
                <w:color w:val="000000"/>
                <w:sz w:val="18"/>
                <w:szCs w:val="18"/>
                <w:lang w:val="en-US"/>
              </w:rPr>
            </w:pPr>
            <w:r w:rsidRPr="005038C4">
              <w:rPr>
                <w:rFonts w:eastAsia="Times New Roman" w:cs="Calibri"/>
                <w:color w:val="000000"/>
                <w:sz w:val="18"/>
                <w:szCs w:val="18"/>
                <w:lang w:val="en-US"/>
              </w:rPr>
              <w:t>0,00</w:t>
            </w:r>
          </w:p>
        </w:tc>
        <w:tc>
          <w:tcPr>
            <w:tcW w:w="1276" w:type="dxa"/>
            <w:tcBorders>
              <w:top w:val="nil"/>
              <w:left w:val="nil"/>
              <w:bottom w:val="single" w:sz="8" w:space="0" w:color="auto"/>
              <w:right w:val="single" w:sz="4" w:space="0" w:color="auto"/>
            </w:tcBorders>
            <w:shd w:val="clear" w:color="auto" w:fill="auto"/>
            <w:noWrap/>
            <w:vAlign w:val="center"/>
            <w:hideMark/>
          </w:tcPr>
          <w:p w14:paraId="232A9BCE" w14:textId="77777777" w:rsidR="00E17429" w:rsidRPr="005038C4" w:rsidRDefault="00E17429" w:rsidP="00756467">
            <w:pPr>
              <w:spacing w:after="0" w:line="240" w:lineRule="auto"/>
              <w:jc w:val="right"/>
              <w:rPr>
                <w:rFonts w:eastAsia="Times New Roman" w:cs="Calibri"/>
                <w:color w:val="000000"/>
                <w:sz w:val="18"/>
                <w:szCs w:val="18"/>
                <w:lang w:val="en-US"/>
              </w:rPr>
            </w:pPr>
            <w:r w:rsidRPr="005038C4">
              <w:rPr>
                <w:rFonts w:eastAsia="Times New Roman" w:cs="Calibri"/>
                <w:color w:val="000000"/>
                <w:sz w:val="18"/>
                <w:szCs w:val="18"/>
                <w:lang w:val="en-US"/>
              </w:rPr>
              <w:t>19 998 186,77</w:t>
            </w:r>
          </w:p>
        </w:tc>
        <w:tc>
          <w:tcPr>
            <w:tcW w:w="955" w:type="dxa"/>
            <w:tcBorders>
              <w:top w:val="nil"/>
              <w:left w:val="nil"/>
              <w:bottom w:val="single" w:sz="8" w:space="0" w:color="auto"/>
              <w:right w:val="single" w:sz="8" w:space="0" w:color="auto"/>
            </w:tcBorders>
            <w:shd w:val="clear" w:color="auto" w:fill="auto"/>
            <w:noWrap/>
            <w:vAlign w:val="center"/>
            <w:hideMark/>
          </w:tcPr>
          <w:p w14:paraId="34A7E79B" w14:textId="77777777" w:rsidR="00E17429" w:rsidRPr="005038C4" w:rsidRDefault="00E17429" w:rsidP="00756467">
            <w:pPr>
              <w:spacing w:after="0" w:line="240" w:lineRule="auto"/>
              <w:jc w:val="right"/>
              <w:rPr>
                <w:rFonts w:eastAsia="Times New Roman" w:cs="Calibri"/>
                <w:color w:val="000000"/>
                <w:sz w:val="18"/>
                <w:szCs w:val="18"/>
                <w:lang w:val="en-US"/>
              </w:rPr>
            </w:pPr>
            <w:r w:rsidRPr="005038C4">
              <w:rPr>
                <w:rFonts w:eastAsia="Times New Roman" w:cs="Calibri"/>
                <w:color w:val="000000"/>
                <w:sz w:val="18"/>
                <w:szCs w:val="18"/>
                <w:lang w:val="en-US"/>
              </w:rPr>
              <w:t>0,00%</w:t>
            </w:r>
          </w:p>
        </w:tc>
      </w:tr>
      <w:tr w:rsidR="00E17429" w:rsidRPr="005038C4" w14:paraId="13621683" w14:textId="77777777" w:rsidTr="00756467">
        <w:trPr>
          <w:trHeight w:val="310"/>
        </w:trPr>
        <w:tc>
          <w:tcPr>
            <w:tcW w:w="3818" w:type="dxa"/>
            <w:tcBorders>
              <w:top w:val="nil"/>
              <w:left w:val="single" w:sz="8" w:space="0" w:color="auto"/>
              <w:bottom w:val="single" w:sz="8" w:space="0" w:color="auto"/>
              <w:right w:val="single" w:sz="8" w:space="0" w:color="auto"/>
            </w:tcBorders>
            <w:shd w:val="clear" w:color="auto" w:fill="auto"/>
            <w:noWrap/>
            <w:vAlign w:val="center"/>
            <w:hideMark/>
          </w:tcPr>
          <w:p w14:paraId="78C74380" w14:textId="77777777" w:rsidR="00E17429" w:rsidRPr="005038C4" w:rsidRDefault="00E17429" w:rsidP="00756467">
            <w:pPr>
              <w:spacing w:after="0" w:line="240" w:lineRule="auto"/>
              <w:jc w:val="center"/>
              <w:rPr>
                <w:rFonts w:eastAsia="Times New Roman" w:cs="Calibri"/>
                <w:b/>
                <w:bCs/>
                <w:color w:val="000000"/>
                <w:sz w:val="20"/>
                <w:szCs w:val="20"/>
                <w:lang w:val="en-US"/>
              </w:rPr>
            </w:pPr>
            <w:r w:rsidRPr="005038C4">
              <w:rPr>
                <w:rFonts w:eastAsia="Times New Roman" w:cs="Calibri"/>
                <w:b/>
                <w:bCs/>
                <w:color w:val="000000"/>
                <w:sz w:val="20"/>
                <w:szCs w:val="20"/>
                <w:lang w:val="en-US"/>
              </w:rPr>
              <w:t>TOTAL</w:t>
            </w:r>
          </w:p>
        </w:tc>
        <w:tc>
          <w:tcPr>
            <w:tcW w:w="1272" w:type="dxa"/>
            <w:tcBorders>
              <w:top w:val="nil"/>
              <w:left w:val="nil"/>
              <w:bottom w:val="single" w:sz="8" w:space="0" w:color="auto"/>
              <w:right w:val="single" w:sz="8" w:space="0" w:color="auto"/>
            </w:tcBorders>
            <w:shd w:val="clear" w:color="auto" w:fill="auto"/>
            <w:noWrap/>
            <w:vAlign w:val="center"/>
            <w:hideMark/>
          </w:tcPr>
          <w:p w14:paraId="0F757333" w14:textId="77777777" w:rsidR="00E17429" w:rsidRPr="005038C4" w:rsidRDefault="00E17429" w:rsidP="00756467">
            <w:pPr>
              <w:spacing w:after="0" w:line="240" w:lineRule="auto"/>
              <w:ind w:left="-113"/>
              <w:jc w:val="right"/>
              <w:rPr>
                <w:rFonts w:eastAsia="Times New Roman" w:cs="Arial"/>
                <w:b/>
                <w:bCs/>
                <w:color w:val="000000"/>
                <w:sz w:val="18"/>
                <w:szCs w:val="18"/>
                <w:lang w:val="en-US"/>
              </w:rPr>
            </w:pPr>
            <w:r w:rsidRPr="005038C4">
              <w:rPr>
                <w:rFonts w:ascii="Arial" w:eastAsia="Times New Roman" w:hAnsi="Arial" w:cs="Arial"/>
                <w:b/>
                <w:bCs/>
                <w:color w:val="000000"/>
                <w:sz w:val="18"/>
                <w:szCs w:val="18"/>
                <w:lang w:val="en-US"/>
              </w:rPr>
              <w:t>₡</w:t>
            </w:r>
            <w:r w:rsidRPr="005038C4">
              <w:rPr>
                <w:rFonts w:eastAsia="Times New Roman" w:cs="Arial"/>
                <w:b/>
                <w:bCs/>
                <w:color w:val="000000"/>
                <w:sz w:val="18"/>
                <w:szCs w:val="18"/>
                <w:lang w:val="en-US"/>
              </w:rPr>
              <w:t>97 579 147,82</w:t>
            </w:r>
          </w:p>
        </w:tc>
        <w:tc>
          <w:tcPr>
            <w:tcW w:w="1418" w:type="dxa"/>
            <w:tcBorders>
              <w:top w:val="nil"/>
              <w:left w:val="nil"/>
              <w:bottom w:val="single" w:sz="8" w:space="0" w:color="auto"/>
              <w:right w:val="single" w:sz="8" w:space="0" w:color="auto"/>
            </w:tcBorders>
            <w:shd w:val="clear" w:color="auto" w:fill="auto"/>
            <w:noWrap/>
            <w:vAlign w:val="center"/>
            <w:hideMark/>
          </w:tcPr>
          <w:p w14:paraId="27D11C02" w14:textId="77777777" w:rsidR="00E17429" w:rsidRPr="005038C4" w:rsidRDefault="00E17429" w:rsidP="00756467">
            <w:pPr>
              <w:spacing w:after="0" w:line="240" w:lineRule="auto"/>
              <w:jc w:val="right"/>
              <w:rPr>
                <w:rFonts w:eastAsia="Times New Roman" w:cs="Arial"/>
                <w:b/>
                <w:bCs/>
                <w:color w:val="000000"/>
                <w:sz w:val="18"/>
                <w:szCs w:val="18"/>
                <w:lang w:val="en-US"/>
              </w:rPr>
            </w:pPr>
            <w:r w:rsidRPr="005038C4">
              <w:rPr>
                <w:rFonts w:ascii="Arial" w:eastAsia="Times New Roman" w:hAnsi="Arial" w:cs="Arial"/>
                <w:b/>
                <w:bCs/>
                <w:color w:val="000000"/>
                <w:sz w:val="18"/>
                <w:szCs w:val="18"/>
                <w:lang w:val="en-US"/>
              </w:rPr>
              <w:t>₡</w:t>
            </w:r>
            <w:r w:rsidRPr="005038C4">
              <w:rPr>
                <w:rFonts w:eastAsia="Times New Roman" w:cs="Arial"/>
                <w:b/>
                <w:bCs/>
                <w:color w:val="000000"/>
                <w:sz w:val="18"/>
                <w:szCs w:val="18"/>
                <w:lang w:val="en-US"/>
              </w:rPr>
              <w:t>77 580 961,05</w:t>
            </w:r>
          </w:p>
        </w:tc>
        <w:tc>
          <w:tcPr>
            <w:tcW w:w="1276" w:type="dxa"/>
            <w:tcBorders>
              <w:top w:val="nil"/>
              <w:left w:val="nil"/>
              <w:bottom w:val="single" w:sz="8" w:space="0" w:color="auto"/>
              <w:right w:val="single" w:sz="8" w:space="0" w:color="auto"/>
            </w:tcBorders>
            <w:shd w:val="clear" w:color="auto" w:fill="auto"/>
            <w:noWrap/>
            <w:vAlign w:val="center"/>
            <w:hideMark/>
          </w:tcPr>
          <w:p w14:paraId="1C2C4036" w14:textId="77777777" w:rsidR="00E17429" w:rsidRPr="005038C4" w:rsidRDefault="00E17429" w:rsidP="00756467">
            <w:pPr>
              <w:spacing w:after="0" w:line="240" w:lineRule="auto"/>
              <w:ind w:left="-111"/>
              <w:jc w:val="right"/>
              <w:rPr>
                <w:rFonts w:eastAsia="Times New Roman" w:cs="Arial"/>
                <w:b/>
                <w:bCs/>
                <w:color w:val="000000"/>
                <w:sz w:val="18"/>
                <w:szCs w:val="18"/>
                <w:lang w:val="en-US"/>
              </w:rPr>
            </w:pPr>
            <w:r w:rsidRPr="005038C4">
              <w:rPr>
                <w:rFonts w:ascii="Arial" w:eastAsia="Times New Roman" w:hAnsi="Arial" w:cs="Arial"/>
                <w:b/>
                <w:bCs/>
                <w:color w:val="000000"/>
                <w:sz w:val="18"/>
                <w:szCs w:val="18"/>
                <w:lang w:val="en-US"/>
              </w:rPr>
              <w:t>₡</w:t>
            </w:r>
            <w:r w:rsidRPr="005038C4">
              <w:rPr>
                <w:rFonts w:eastAsia="Times New Roman" w:cs="Arial"/>
                <w:b/>
                <w:bCs/>
                <w:color w:val="000000"/>
                <w:sz w:val="18"/>
                <w:szCs w:val="18"/>
                <w:lang w:val="en-US"/>
              </w:rPr>
              <w:t>19 998 186,77</w:t>
            </w:r>
          </w:p>
        </w:tc>
        <w:tc>
          <w:tcPr>
            <w:tcW w:w="955" w:type="dxa"/>
            <w:tcBorders>
              <w:top w:val="nil"/>
              <w:left w:val="nil"/>
              <w:bottom w:val="single" w:sz="8" w:space="0" w:color="auto"/>
              <w:right w:val="single" w:sz="8" w:space="0" w:color="auto"/>
            </w:tcBorders>
            <w:shd w:val="clear" w:color="auto" w:fill="auto"/>
            <w:noWrap/>
            <w:vAlign w:val="center"/>
            <w:hideMark/>
          </w:tcPr>
          <w:p w14:paraId="68A81608" w14:textId="77777777" w:rsidR="00E17429" w:rsidRPr="005038C4" w:rsidRDefault="00E17429" w:rsidP="00756467">
            <w:pPr>
              <w:spacing w:after="0" w:line="240" w:lineRule="auto"/>
              <w:jc w:val="right"/>
              <w:rPr>
                <w:rFonts w:eastAsia="Times New Roman" w:cs="Calibri"/>
                <w:b/>
                <w:bCs/>
                <w:color w:val="000000"/>
                <w:sz w:val="20"/>
                <w:szCs w:val="20"/>
                <w:lang w:val="en-US"/>
              </w:rPr>
            </w:pPr>
            <w:r w:rsidRPr="005038C4">
              <w:rPr>
                <w:rFonts w:eastAsia="Times New Roman" w:cs="Calibri"/>
                <w:b/>
                <w:bCs/>
                <w:color w:val="000000"/>
                <w:sz w:val="20"/>
                <w:szCs w:val="20"/>
                <w:lang w:val="en-US"/>
              </w:rPr>
              <w:t>25,78%</w:t>
            </w:r>
          </w:p>
        </w:tc>
      </w:tr>
    </w:tbl>
    <w:p w14:paraId="35065EC1" w14:textId="77777777" w:rsidR="00E17429" w:rsidRDefault="00E17429" w:rsidP="00E17429">
      <w:pPr>
        <w:spacing w:after="0" w:line="240" w:lineRule="auto"/>
      </w:pPr>
    </w:p>
    <w:p w14:paraId="506DF0AC" w14:textId="57AF52BD" w:rsidR="00E17429" w:rsidRDefault="00E17429" w:rsidP="00E17429">
      <w:pPr>
        <w:spacing w:line="240" w:lineRule="auto"/>
      </w:pPr>
      <w:r>
        <w:t xml:space="preserve">Los pagos realizados a la empresa </w:t>
      </w:r>
      <w:r w:rsidRPr="00A248A7">
        <w:t>NETSOFT DE COSTA RICA S.A.</w:t>
      </w:r>
      <w:r>
        <w:t xml:space="preserve"> por desarrollo de un sistema informático denominado “Sistema integrado para el manejo de los principales procesos municipales” dicho sistema fue contratado mediante el procedimiento de contratación 2020CD-000299-0004200001 y formalizado mediante el contrato Nro. 0432020000400</w:t>
      </w:r>
      <w:r w:rsidR="00796636">
        <w:t>31</w:t>
      </w:r>
      <w:r>
        <w:t xml:space="preserve">3-00 aprobado según consta en SICOP el 28 de diciembre de 2020 por el Alcalde Municipal y el Asesor Legal con aprobaciones </w:t>
      </w:r>
      <w:proofErr w:type="spellStart"/>
      <w:r>
        <w:t>Nro</w:t>
      </w:r>
      <w:proofErr w:type="spellEnd"/>
      <w:r>
        <w:t xml:space="preserve"> </w:t>
      </w:r>
      <w:r w:rsidRPr="00747A61">
        <w:t>0332020000800326</w:t>
      </w:r>
      <w:r>
        <w:t xml:space="preserve"> y </w:t>
      </w:r>
      <w:proofErr w:type="spellStart"/>
      <w:r>
        <w:t>Nro</w:t>
      </w:r>
      <w:proofErr w:type="spellEnd"/>
      <w:r>
        <w:t xml:space="preserve"> </w:t>
      </w:r>
      <w:r w:rsidRPr="00421243">
        <w:t>0492020000400337</w:t>
      </w:r>
      <w:r>
        <w:t xml:space="preserve">, respectivamente. </w:t>
      </w:r>
    </w:p>
    <w:p w14:paraId="3245025B" w14:textId="77777777" w:rsidR="00741772" w:rsidRPr="003421AB" w:rsidRDefault="00741772" w:rsidP="001E78C3">
      <w:pPr>
        <w:rPr>
          <w:rFonts w:eastAsia="Times New Roman" w:cs="Calibri"/>
          <w:color w:val="000000"/>
          <w:lang w:eastAsia="es-CR"/>
        </w:rPr>
      </w:pPr>
    </w:p>
    <w:p w14:paraId="0C7A3B1B" w14:textId="77777777" w:rsidR="00692DC8" w:rsidRPr="00692DC8" w:rsidRDefault="00692DC8" w:rsidP="001E78C3">
      <w:pPr>
        <w:pStyle w:val="Ttulo4"/>
        <w:spacing w:after="240"/>
        <w:rPr>
          <w:rFonts w:eastAsia="Times New Roman"/>
        </w:rPr>
      </w:pPr>
      <w:bookmarkStart w:id="257" w:name="_Toc13041091"/>
      <w:bookmarkStart w:id="258" w:name="_Toc14345090"/>
      <w:bookmarkStart w:id="259" w:name="_Toc33601222"/>
      <w:bookmarkStart w:id="260" w:name="_Toc82768923"/>
      <w:bookmarkStart w:id="261" w:name="_Toc189804842"/>
      <w:r w:rsidRPr="00692DC8">
        <w:rPr>
          <w:rFonts w:eastAsia="Times New Roman"/>
        </w:rPr>
        <w:t>NOTA N° 11</w:t>
      </w:r>
      <w:bookmarkStart w:id="262" w:name="_Toc13041092"/>
      <w:bookmarkStart w:id="263" w:name="_Toc14345091"/>
      <w:bookmarkEnd w:id="257"/>
      <w:bookmarkEnd w:id="258"/>
      <w:bookmarkEnd w:id="259"/>
      <w:bookmarkEnd w:id="260"/>
      <w:bookmarkEnd w:id="261"/>
    </w:p>
    <w:p w14:paraId="42730C2D" w14:textId="77777777" w:rsidR="00396CB4" w:rsidRDefault="00692DC8" w:rsidP="00F51D42">
      <w:pPr>
        <w:spacing w:before="240"/>
        <w:rPr>
          <w:rFonts w:asciiTheme="minorHAnsi" w:hAnsiTheme="minorHAnsi"/>
          <w:sz w:val="22"/>
        </w:rPr>
      </w:pPr>
      <w:bookmarkStart w:id="264" w:name="_Toc33601223"/>
      <w:bookmarkStart w:id="265" w:name="_Toc82768924"/>
      <w:r w:rsidRPr="00692DC8">
        <w:rPr>
          <w:rFonts w:eastAsia="Times New Roman"/>
        </w:rPr>
        <w:t>Bienes concesionados</w:t>
      </w:r>
      <w:bookmarkEnd w:id="262"/>
      <w:bookmarkEnd w:id="263"/>
      <w:bookmarkEnd w:id="264"/>
      <w:bookmarkEnd w:id="265"/>
      <w:r w:rsidRPr="00692DC8">
        <w:rPr>
          <w:rFonts w:eastAsia="Times New Roman"/>
        </w:rPr>
        <w:t xml:space="preserve"> </w:t>
      </w:r>
      <w:r w:rsidR="00747D23">
        <w:rPr>
          <w:rFonts w:eastAsiaTheme="majorEastAsia" w:cstheme="majorBidi"/>
          <w:iCs/>
          <w:lang w:val="es-ES"/>
        </w:rPr>
        <w:fldChar w:fldCharType="begin"/>
      </w:r>
      <w:r w:rsidR="00747D23">
        <w:rPr>
          <w:lang w:val="es-ES"/>
        </w:rPr>
        <w:instrText xml:space="preserve"> LINK </w:instrText>
      </w:r>
      <w:r w:rsidR="00756467">
        <w:rPr>
          <w:lang w:val="es-ES"/>
        </w:rPr>
        <w:instrText xml:space="preserve">Excel.SheetMacroEnabled.12 "C:\\Users\\gcordero\\Downloads\\Notas diciembre 2024\\Formato_Notas_EEFF_Vinculadas_2024\\Formato_Notas_EEFF_Vinculadas_2024\\15603_T04_2024_Anexo_Estado_Notas_Contables_Vinculadas.xlsm" NOTAS_POR_CUENTA!F72C1:F74C6 </w:instrText>
      </w:r>
      <w:r w:rsidR="00747D23">
        <w:rPr>
          <w:lang w:val="es-ES"/>
        </w:rPr>
        <w:instrText xml:space="preserve">\a \f 4 \h </w:instrText>
      </w:r>
      <w:r w:rsidR="00747D23">
        <w:rPr>
          <w:b/>
          <w:lang w:val="es-ES"/>
        </w:rPr>
        <w:fldChar w:fldCharType="separate"/>
      </w:r>
    </w:p>
    <w:tbl>
      <w:tblPr>
        <w:tblW w:w="9600" w:type="dxa"/>
        <w:tblCellMar>
          <w:left w:w="70" w:type="dxa"/>
          <w:right w:w="70" w:type="dxa"/>
        </w:tblCellMar>
        <w:tblLook w:val="04A0" w:firstRow="1" w:lastRow="0" w:firstColumn="1" w:lastColumn="0" w:noHBand="0" w:noVBand="1"/>
      </w:tblPr>
      <w:tblGrid>
        <w:gridCol w:w="1334"/>
        <w:gridCol w:w="2546"/>
        <w:gridCol w:w="500"/>
        <w:gridCol w:w="2100"/>
        <w:gridCol w:w="2100"/>
        <w:gridCol w:w="1020"/>
      </w:tblGrid>
      <w:tr w:rsidR="00396CB4" w:rsidRPr="00396CB4" w14:paraId="792A3849" w14:textId="77777777" w:rsidTr="00396CB4">
        <w:trPr>
          <w:divId w:val="957415545"/>
          <w:trHeight w:val="330"/>
        </w:trPr>
        <w:tc>
          <w:tcPr>
            <w:tcW w:w="1334"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FE3A397" w14:textId="58835C26" w:rsidR="00396CB4" w:rsidRPr="00396CB4" w:rsidRDefault="00396CB4" w:rsidP="00396CB4">
            <w:pP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2546"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B07AE19"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0AEDD0B"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F62DD10"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EC7A893"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1C9AC953"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76A1A172" w14:textId="77777777" w:rsidTr="00396CB4">
        <w:trPr>
          <w:divId w:val="957415545"/>
          <w:trHeight w:val="330"/>
        </w:trPr>
        <w:tc>
          <w:tcPr>
            <w:tcW w:w="1334" w:type="dxa"/>
            <w:vMerge/>
            <w:tcBorders>
              <w:top w:val="single" w:sz="8" w:space="0" w:color="auto"/>
              <w:left w:val="single" w:sz="8" w:space="0" w:color="auto"/>
              <w:bottom w:val="single" w:sz="8" w:space="0" w:color="000000"/>
              <w:right w:val="single" w:sz="8" w:space="0" w:color="auto"/>
            </w:tcBorders>
            <w:vAlign w:val="center"/>
            <w:hideMark/>
          </w:tcPr>
          <w:p w14:paraId="63BE3F21"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546" w:type="dxa"/>
            <w:vMerge/>
            <w:tcBorders>
              <w:top w:val="single" w:sz="8" w:space="0" w:color="auto"/>
              <w:left w:val="single" w:sz="8" w:space="0" w:color="auto"/>
              <w:bottom w:val="single" w:sz="8" w:space="0" w:color="000000"/>
              <w:right w:val="single" w:sz="8" w:space="0" w:color="auto"/>
            </w:tcBorders>
            <w:vAlign w:val="center"/>
            <w:hideMark/>
          </w:tcPr>
          <w:p w14:paraId="1488C383"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5DC128FE"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564E7F26"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1C70BDB5"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2C2A879F"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61175E23" w14:textId="77777777" w:rsidTr="00396CB4">
        <w:trPr>
          <w:divId w:val="957415545"/>
          <w:trHeight w:val="330"/>
        </w:trPr>
        <w:tc>
          <w:tcPr>
            <w:tcW w:w="1334" w:type="dxa"/>
            <w:tcBorders>
              <w:top w:val="nil"/>
              <w:left w:val="single" w:sz="8" w:space="0" w:color="auto"/>
              <w:bottom w:val="single" w:sz="8" w:space="0" w:color="auto"/>
              <w:right w:val="single" w:sz="8" w:space="0" w:color="auto"/>
            </w:tcBorders>
            <w:shd w:val="clear" w:color="auto" w:fill="auto"/>
            <w:noWrap/>
            <w:vAlign w:val="center"/>
            <w:hideMark/>
          </w:tcPr>
          <w:p w14:paraId="31BB8594"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1.2.6.</w:t>
            </w:r>
          </w:p>
        </w:tc>
        <w:tc>
          <w:tcPr>
            <w:tcW w:w="2546" w:type="dxa"/>
            <w:tcBorders>
              <w:top w:val="nil"/>
              <w:left w:val="nil"/>
              <w:bottom w:val="single" w:sz="8" w:space="0" w:color="auto"/>
              <w:right w:val="single" w:sz="8" w:space="0" w:color="auto"/>
            </w:tcBorders>
            <w:shd w:val="clear" w:color="auto" w:fill="auto"/>
            <w:vAlign w:val="center"/>
            <w:hideMark/>
          </w:tcPr>
          <w:p w14:paraId="02005FA7"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Bienes concesionados</w:t>
            </w:r>
          </w:p>
        </w:tc>
        <w:tc>
          <w:tcPr>
            <w:tcW w:w="500" w:type="dxa"/>
            <w:tcBorders>
              <w:top w:val="nil"/>
              <w:left w:val="nil"/>
              <w:bottom w:val="single" w:sz="8" w:space="0" w:color="auto"/>
              <w:right w:val="single" w:sz="8" w:space="0" w:color="auto"/>
            </w:tcBorders>
            <w:shd w:val="clear" w:color="auto" w:fill="auto"/>
            <w:noWrap/>
            <w:vAlign w:val="center"/>
            <w:hideMark/>
          </w:tcPr>
          <w:p w14:paraId="636237D2"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11</w:t>
            </w:r>
          </w:p>
        </w:tc>
        <w:tc>
          <w:tcPr>
            <w:tcW w:w="2100" w:type="dxa"/>
            <w:tcBorders>
              <w:top w:val="nil"/>
              <w:left w:val="nil"/>
              <w:bottom w:val="single" w:sz="8" w:space="0" w:color="auto"/>
              <w:right w:val="single" w:sz="8" w:space="0" w:color="auto"/>
            </w:tcBorders>
            <w:shd w:val="clear" w:color="auto" w:fill="auto"/>
            <w:noWrap/>
            <w:vAlign w:val="center"/>
            <w:hideMark/>
          </w:tcPr>
          <w:p w14:paraId="4A046F4C"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2100" w:type="dxa"/>
            <w:tcBorders>
              <w:top w:val="nil"/>
              <w:left w:val="nil"/>
              <w:bottom w:val="single" w:sz="8" w:space="0" w:color="auto"/>
              <w:right w:val="single" w:sz="8" w:space="0" w:color="auto"/>
            </w:tcBorders>
            <w:shd w:val="clear" w:color="auto" w:fill="auto"/>
            <w:noWrap/>
            <w:vAlign w:val="center"/>
            <w:hideMark/>
          </w:tcPr>
          <w:p w14:paraId="272E98B1"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1020" w:type="dxa"/>
            <w:tcBorders>
              <w:top w:val="nil"/>
              <w:left w:val="nil"/>
              <w:bottom w:val="single" w:sz="8" w:space="0" w:color="auto"/>
              <w:right w:val="single" w:sz="8" w:space="0" w:color="auto"/>
            </w:tcBorders>
            <w:shd w:val="clear" w:color="auto" w:fill="auto"/>
            <w:noWrap/>
            <w:vAlign w:val="center"/>
            <w:hideMark/>
          </w:tcPr>
          <w:p w14:paraId="41A48F39"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0,00%</w:t>
            </w:r>
          </w:p>
        </w:tc>
      </w:tr>
    </w:tbl>
    <w:p w14:paraId="04A28203" w14:textId="77777777" w:rsidR="00396CB4" w:rsidRPr="00396CB4" w:rsidRDefault="00747D23" w:rsidP="00396CB4">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756467">
        <w:rPr>
          <w:rFonts w:eastAsia="Times New Roman" w:cs="Calibri"/>
          <w:color w:val="000000"/>
          <w:lang w:eastAsia="es-CR"/>
        </w:rPr>
        <w:instrText xml:space="preserve">Excel.SheetMacroEnabled.12 "C:\\Users\\gcordero\\Downloads\\Notas diciembre 2024\\Formato_Notas_EEFF_Vinculadas_2024\\Formato_Notas_EEFF_Vinculadas_2024\\15603_T04_2024_Anexo_Estado_Notas_Contables_Vinculadas.xlsm" NOTAS_POR_CUENTA!F74C8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216CC8DD" w14:textId="77777777" w:rsidR="00396CB4" w:rsidRPr="00396CB4" w:rsidRDefault="00396CB4" w:rsidP="00396CB4">
      <w:pPr>
        <w:rPr>
          <w:rFonts w:eastAsia="Times New Roman" w:cs="Calibri"/>
          <w:color w:val="000000"/>
          <w:lang w:eastAsia="es-CR"/>
        </w:rPr>
      </w:pPr>
      <w:r w:rsidRPr="00396CB4">
        <w:rPr>
          <w:rFonts w:eastAsia="Times New Roman" w:cs="Calibri"/>
          <w:color w:val="000000"/>
          <w:lang w:eastAsia="es-CR"/>
        </w:rPr>
        <w:t>La cuenta Bienes concesionados, representa el 0,00% del total del Activo, que comparado al periodo anterior genera una variación absoluta de 0 000,00 que corresponde a un Aumento del 0,00% de recursos disponibles.</w:t>
      </w:r>
    </w:p>
    <w:p w14:paraId="3E37BB51" w14:textId="78C43080" w:rsidR="00692DC8" w:rsidRPr="00692DC8" w:rsidRDefault="00747D23" w:rsidP="00747D23">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7B19F75A" w14:textId="7A323020" w:rsidR="00692DC8" w:rsidRDefault="00692DC8" w:rsidP="00E276CE">
      <w:pPr>
        <w:rPr>
          <w:sz w:val="20"/>
          <w:szCs w:val="20"/>
          <w:lang w:eastAsia="es-CR"/>
        </w:rPr>
      </w:pPr>
      <w:bookmarkStart w:id="266" w:name="_Toc13041099"/>
      <w:bookmarkStart w:id="267" w:name="_Toc14345098"/>
      <w:bookmarkStart w:id="268" w:name="_Toc33601224"/>
    </w:p>
    <w:p w14:paraId="6B072E4D" w14:textId="77777777" w:rsidR="00396CB4" w:rsidRDefault="00747D23" w:rsidP="00F51D42">
      <w:pPr>
        <w:spacing w:before="240"/>
        <w:rPr>
          <w:rFonts w:asciiTheme="minorHAnsi" w:hAnsiTheme="minorHAnsi"/>
          <w:sz w:val="22"/>
        </w:rPr>
      </w:pPr>
      <w:r>
        <w:rPr>
          <w:lang w:val="es-ES" w:eastAsia="es-CR"/>
        </w:rPr>
        <w:fldChar w:fldCharType="begin"/>
      </w:r>
      <w:r>
        <w:rPr>
          <w:lang w:val="es-ES" w:eastAsia="es-CR"/>
        </w:rPr>
        <w:instrText xml:space="preserve"> LINK </w:instrText>
      </w:r>
      <w:r w:rsidR="00756467">
        <w:rPr>
          <w:lang w:val="es-ES" w:eastAsia="es-CR"/>
        </w:rPr>
        <w:instrText xml:space="preserve">Excel.SheetMacroEnabled.12 "C:\\Users\\gcordero\\Downloads\\Notas diciembre 2024\\Formato_Notas_EEFF_Vinculadas_2024\\Formato_Notas_EEFF_Vinculadas_2024\\15603_T04_2024_Anexo_Estado_Notas_Contables_Vinculadas.xlsm" NOTAS_POR_CUENTA!F76C1:F78C6 </w:instrText>
      </w:r>
      <w:r>
        <w:rPr>
          <w:lang w:val="es-ES" w:eastAsia="es-CR"/>
        </w:rPr>
        <w:instrText xml:space="preserve">\a \f 4 \h </w:instrText>
      </w:r>
      <w:r>
        <w:rPr>
          <w:lang w:val="es-ES" w:eastAsia="es-CR"/>
        </w:rPr>
        <w:fldChar w:fldCharType="separate"/>
      </w:r>
    </w:p>
    <w:tbl>
      <w:tblPr>
        <w:tblW w:w="9600" w:type="dxa"/>
        <w:tblCellMar>
          <w:left w:w="70" w:type="dxa"/>
          <w:right w:w="70" w:type="dxa"/>
        </w:tblCellMar>
        <w:tblLook w:val="04A0" w:firstRow="1" w:lastRow="0" w:firstColumn="1" w:lastColumn="0" w:noHBand="0" w:noVBand="1"/>
      </w:tblPr>
      <w:tblGrid>
        <w:gridCol w:w="715"/>
        <w:gridCol w:w="3165"/>
        <w:gridCol w:w="500"/>
        <w:gridCol w:w="2100"/>
        <w:gridCol w:w="2100"/>
        <w:gridCol w:w="1020"/>
      </w:tblGrid>
      <w:tr w:rsidR="00396CB4" w:rsidRPr="00396CB4" w14:paraId="4B32431B" w14:textId="77777777" w:rsidTr="00396CB4">
        <w:trPr>
          <w:divId w:val="47075728"/>
          <w:trHeight w:val="330"/>
        </w:trPr>
        <w:tc>
          <w:tcPr>
            <w:tcW w:w="6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60FE290" w14:textId="18B4CC1D" w:rsidR="00396CB4" w:rsidRPr="00396CB4" w:rsidRDefault="00396CB4" w:rsidP="00396CB4">
            <w:pPr>
              <w:spacing w:after="0" w:line="240" w:lineRule="auto"/>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32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A736E86"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963FE12"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C16C7E3"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0FF3705"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79EE6F57"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0C34FAC4" w14:textId="77777777" w:rsidTr="00396CB4">
        <w:trPr>
          <w:divId w:val="47075728"/>
          <w:trHeight w:val="330"/>
        </w:trPr>
        <w:tc>
          <w:tcPr>
            <w:tcW w:w="660" w:type="dxa"/>
            <w:vMerge/>
            <w:tcBorders>
              <w:top w:val="single" w:sz="8" w:space="0" w:color="auto"/>
              <w:left w:val="single" w:sz="8" w:space="0" w:color="auto"/>
              <w:bottom w:val="single" w:sz="8" w:space="0" w:color="000000"/>
              <w:right w:val="single" w:sz="8" w:space="0" w:color="auto"/>
            </w:tcBorders>
            <w:vAlign w:val="center"/>
            <w:hideMark/>
          </w:tcPr>
          <w:p w14:paraId="62454F3A"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3220" w:type="dxa"/>
            <w:vMerge/>
            <w:tcBorders>
              <w:top w:val="single" w:sz="8" w:space="0" w:color="auto"/>
              <w:left w:val="single" w:sz="8" w:space="0" w:color="auto"/>
              <w:bottom w:val="single" w:sz="8" w:space="0" w:color="000000"/>
              <w:right w:val="single" w:sz="8" w:space="0" w:color="auto"/>
            </w:tcBorders>
            <w:vAlign w:val="center"/>
            <w:hideMark/>
          </w:tcPr>
          <w:p w14:paraId="17FD5DE8"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6E084E17"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4FA8CD21"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19D23FBC"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31E3D37C"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6AFA2044" w14:textId="77777777" w:rsidTr="00396CB4">
        <w:trPr>
          <w:divId w:val="47075728"/>
          <w:trHeight w:val="555"/>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6784E5F3"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1.2.6.01.</w:t>
            </w:r>
          </w:p>
        </w:tc>
        <w:tc>
          <w:tcPr>
            <w:tcW w:w="3220" w:type="dxa"/>
            <w:tcBorders>
              <w:top w:val="nil"/>
              <w:left w:val="nil"/>
              <w:bottom w:val="single" w:sz="8" w:space="0" w:color="auto"/>
              <w:right w:val="single" w:sz="8" w:space="0" w:color="auto"/>
            </w:tcBorders>
            <w:shd w:val="clear" w:color="auto" w:fill="auto"/>
            <w:vAlign w:val="center"/>
            <w:hideMark/>
          </w:tcPr>
          <w:p w14:paraId="707696AE"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Propiedades, planta y equipos concesionados</w:t>
            </w:r>
          </w:p>
        </w:tc>
        <w:tc>
          <w:tcPr>
            <w:tcW w:w="500" w:type="dxa"/>
            <w:tcBorders>
              <w:top w:val="nil"/>
              <w:left w:val="nil"/>
              <w:bottom w:val="single" w:sz="8" w:space="0" w:color="auto"/>
              <w:right w:val="single" w:sz="8" w:space="0" w:color="auto"/>
            </w:tcBorders>
            <w:shd w:val="clear" w:color="auto" w:fill="auto"/>
            <w:noWrap/>
            <w:vAlign w:val="center"/>
            <w:hideMark/>
          </w:tcPr>
          <w:p w14:paraId="107F97A3"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11</w:t>
            </w:r>
          </w:p>
        </w:tc>
        <w:tc>
          <w:tcPr>
            <w:tcW w:w="2100" w:type="dxa"/>
            <w:tcBorders>
              <w:top w:val="nil"/>
              <w:left w:val="nil"/>
              <w:bottom w:val="single" w:sz="8" w:space="0" w:color="auto"/>
              <w:right w:val="single" w:sz="8" w:space="0" w:color="auto"/>
            </w:tcBorders>
            <w:shd w:val="clear" w:color="auto" w:fill="auto"/>
            <w:noWrap/>
            <w:vAlign w:val="center"/>
            <w:hideMark/>
          </w:tcPr>
          <w:p w14:paraId="09E8F699"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2100" w:type="dxa"/>
            <w:tcBorders>
              <w:top w:val="nil"/>
              <w:left w:val="nil"/>
              <w:bottom w:val="single" w:sz="8" w:space="0" w:color="auto"/>
              <w:right w:val="single" w:sz="8" w:space="0" w:color="auto"/>
            </w:tcBorders>
            <w:shd w:val="clear" w:color="auto" w:fill="auto"/>
            <w:noWrap/>
            <w:vAlign w:val="center"/>
            <w:hideMark/>
          </w:tcPr>
          <w:p w14:paraId="49490FC4"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1020" w:type="dxa"/>
            <w:tcBorders>
              <w:top w:val="nil"/>
              <w:left w:val="nil"/>
              <w:bottom w:val="single" w:sz="8" w:space="0" w:color="auto"/>
              <w:right w:val="single" w:sz="8" w:space="0" w:color="auto"/>
            </w:tcBorders>
            <w:shd w:val="clear" w:color="auto" w:fill="auto"/>
            <w:noWrap/>
            <w:vAlign w:val="center"/>
            <w:hideMark/>
          </w:tcPr>
          <w:p w14:paraId="12EEB749"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0,00%</w:t>
            </w:r>
          </w:p>
        </w:tc>
      </w:tr>
    </w:tbl>
    <w:p w14:paraId="0C5E1C5F" w14:textId="77777777" w:rsidR="00396CB4" w:rsidRPr="00396CB4" w:rsidRDefault="00747D23" w:rsidP="00396CB4">
      <w:pPr>
        <w:spacing w:before="240"/>
        <w:rPr>
          <w:b/>
          <w:lang w:val="es-ES" w:eastAsia="es-CR"/>
        </w:rPr>
      </w:pPr>
      <w:r>
        <w:rPr>
          <w:b/>
          <w:lang w:val="es-ES" w:eastAsia="es-CR"/>
        </w:rPr>
        <w:fldChar w:fldCharType="end"/>
      </w:r>
      <w:r w:rsidR="00692DC8" w:rsidRPr="00E276CE">
        <w:rPr>
          <w:b/>
          <w:lang w:val="es-ES" w:eastAsia="es-CR"/>
        </w:rPr>
        <w:t xml:space="preserve">Revelación: </w:t>
      </w:r>
      <w:r>
        <w:rPr>
          <w:rFonts w:cs="Calibri"/>
          <w:color w:val="000000"/>
          <w:lang w:eastAsia="es-CR"/>
        </w:rPr>
        <w:fldChar w:fldCharType="begin"/>
      </w:r>
      <w:r>
        <w:rPr>
          <w:rFonts w:cs="Calibri"/>
          <w:color w:val="000000"/>
          <w:lang w:eastAsia="es-CR"/>
        </w:rPr>
        <w:instrText xml:space="preserve"> LINK </w:instrText>
      </w:r>
      <w:r w:rsidR="00756467">
        <w:rPr>
          <w:rFonts w:cs="Calibri"/>
          <w:color w:val="000000"/>
          <w:lang w:eastAsia="es-CR"/>
        </w:rPr>
        <w:instrText xml:space="preserve">Excel.SheetMacroEnabled.12 "C:\\Users\\gcordero\\Downloads\\Notas diciembre 2024\\Formato_Notas_EEFF_Vinculadas_2024\\Formato_Notas_EEFF_Vinculadas_2024\\15603_T04_2024_Anexo_Estado_Notas_Contables_Vinculadas.xlsm" NOTAS_POR_CUENTA!F78C8 </w:instrText>
      </w:r>
      <w:r>
        <w:rPr>
          <w:rFonts w:cs="Calibri"/>
          <w:color w:val="000000"/>
          <w:lang w:eastAsia="es-CR"/>
        </w:rPr>
        <w:instrText xml:space="preserve">\a \f 5 \h  \* MERGEFORMAT </w:instrText>
      </w:r>
      <w:r>
        <w:rPr>
          <w:rFonts w:cs="Calibri"/>
          <w:color w:val="000000"/>
          <w:lang w:eastAsia="es-CR"/>
        </w:rPr>
        <w:fldChar w:fldCharType="separate"/>
      </w:r>
    </w:p>
    <w:p w14:paraId="3D8AAF92" w14:textId="77777777" w:rsidR="00396CB4" w:rsidRPr="00396CB4" w:rsidRDefault="00396CB4" w:rsidP="00396CB4">
      <w:pPr>
        <w:rPr>
          <w:rFonts w:cs="Calibri"/>
          <w:color w:val="000000"/>
          <w:lang w:eastAsia="es-CR"/>
        </w:rPr>
      </w:pPr>
      <w:r w:rsidRPr="00396CB4">
        <w:rPr>
          <w:rFonts w:cs="Calibri"/>
          <w:color w:val="000000"/>
          <w:lang w:eastAsia="es-CR"/>
        </w:rPr>
        <w:t>La cuenta Propiedades, planta y equipos concesionados, representa el 0,00% del total del Activo, que comparado al periodo anterior genera una variación absoluta de 0 000,00 que corresponde a un Aumento del 0,00% de recursos disponibles.</w:t>
      </w:r>
    </w:p>
    <w:p w14:paraId="55779410" w14:textId="24659CD9" w:rsidR="00E276CE" w:rsidRPr="003421AB" w:rsidRDefault="00747D23" w:rsidP="00747D23">
      <w:pPr>
        <w:rPr>
          <w:lang w:eastAsia="es-CR"/>
        </w:rPr>
      </w:pPr>
      <w:r>
        <w:rPr>
          <w:rFonts w:cs="Calibri"/>
          <w:color w:val="000000"/>
          <w:lang w:eastAsia="es-CR"/>
        </w:rPr>
        <w:fldChar w:fldCharType="end"/>
      </w:r>
      <w:r w:rsidR="00692DC8" w:rsidRPr="00692DC8">
        <w:rPr>
          <w:sz w:val="22"/>
          <w:highlight w:val="lightGray"/>
          <w:lang w:eastAsia="es-CR"/>
        </w:rPr>
        <w:t xml:space="preserve"> Las variaciones de la cuenta son producto de (Indicar la razón de las variaciones de un periodo a otro</w:t>
      </w:r>
      <w:r w:rsidR="00692DC8" w:rsidRPr="00692DC8">
        <w:rPr>
          <w:highlight w:val="lightGray"/>
          <w:lang w:eastAsia="es-CR"/>
        </w:rPr>
        <w:t>):</w:t>
      </w:r>
      <w:r w:rsidR="00692DC8" w:rsidRPr="00692DC8">
        <w:rPr>
          <w:lang w:eastAsia="es-CR"/>
        </w:rPr>
        <w:t xml:space="preserve"> </w:t>
      </w:r>
    </w:p>
    <w:p w14:paraId="6FC00E7D" w14:textId="1ED0B717" w:rsidR="00692DC8" w:rsidRDefault="00692DC8" w:rsidP="00E276CE">
      <w:pPr>
        <w:rPr>
          <w:lang w:eastAsia="es-CR"/>
        </w:rPr>
      </w:pPr>
    </w:p>
    <w:p w14:paraId="491C0CFD" w14:textId="77777777" w:rsidR="00396CB4" w:rsidRDefault="00C82B66" w:rsidP="00F51D42">
      <w:pPr>
        <w:spacing w:before="240"/>
        <w:rPr>
          <w:rFonts w:asciiTheme="minorHAnsi" w:hAnsiTheme="minorHAnsi"/>
          <w:sz w:val="22"/>
        </w:rPr>
      </w:pPr>
      <w:r>
        <w:rPr>
          <w:lang w:val="es-ES"/>
        </w:rPr>
        <w:fldChar w:fldCharType="begin"/>
      </w:r>
      <w:r>
        <w:rPr>
          <w:lang w:val="es-ES"/>
        </w:rPr>
        <w:instrText xml:space="preserve"> LINK </w:instrText>
      </w:r>
      <w:r w:rsidR="00756467">
        <w:rPr>
          <w:lang w:val="es-ES"/>
        </w:rPr>
        <w:instrText xml:space="preserve">Excel.SheetMacroEnabled.12 "C:\\Users\\gcordero\\Downloads\\Notas diciembre 2024\\Formato_Notas_EEFF_Vinculadas_2024\\Formato_Notas_EEFF_Vinculadas_2024\\15603_T04_2024_Anexo_Estado_Notas_Contables_Vinculadas.xlsm" NOTAS_POR_CUENTA!F80C1:F82C6 </w:instrText>
      </w:r>
      <w:r>
        <w:rPr>
          <w:lang w:val="es-ES"/>
        </w:rPr>
        <w:instrText xml:space="preserve">\a \f 4 \h </w:instrText>
      </w:r>
      <w:r>
        <w:rPr>
          <w:lang w:val="es-ES"/>
        </w:rPr>
        <w:fldChar w:fldCharType="separate"/>
      </w:r>
    </w:p>
    <w:tbl>
      <w:tblPr>
        <w:tblW w:w="9600" w:type="dxa"/>
        <w:tblCellMar>
          <w:left w:w="70" w:type="dxa"/>
          <w:right w:w="70" w:type="dxa"/>
        </w:tblCellMar>
        <w:tblLook w:val="04A0" w:firstRow="1" w:lastRow="0" w:firstColumn="1" w:lastColumn="0" w:noHBand="0" w:noVBand="1"/>
      </w:tblPr>
      <w:tblGrid>
        <w:gridCol w:w="715"/>
        <w:gridCol w:w="3165"/>
        <w:gridCol w:w="500"/>
        <w:gridCol w:w="2100"/>
        <w:gridCol w:w="2100"/>
        <w:gridCol w:w="1020"/>
      </w:tblGrid>
      <w:tr w:rsidR="00396CB4" w:rsidRPr="00396CB4" w14:paraId="37D3C750" w14:textId="77777777" w:rsidTr="00396CB4">
        <w:trPr>
          <w:divId w:val="620301966"/>
          <w:trHeight w:val="330"/>
        </w:trPr>
        <w:tc>
          <w:tcPr>
            <w:tcW w:w="6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7ABF79B" w14:textId="73240D38" w:rsidR="00396CB4" w:rsidRPr="00396CB4" w:rsidRDefault="00396CB4" w:rsidP="00396CB4">
            <w:pPr>
              <w:spacing w:after="0" w:line="240" w:lineRule="auto"/>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32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B46EACC"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AAA66C1"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634E15D"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5B69250"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2817E5B3"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0B5A90C4" w14:textId="77777777" w:rsidTr="00396CB4">
        <w:trPr>
          <w:divId w:val="620301966"/>
          <w:trHeight w:val="330"/>
        </w:trPr>
        <w:tc>
          <w:tcPr>
            <w:tcW w:w="660" w:type="dxa"/>
            <w:vMerge/>
            <w:tcBorders>
              <w:top w:val="single" w:sz="8" w:space="0" w:color="auto"/>
              <w:left w:val="single" w:sz="8" w:space="0" w:color="auto"/>
              <w:bottom w:val="single" w:sz="8" w:space="0" w:color="000000"/>
              <w:right w:val="single" w:sz="8" w:space="0" w:color="auto"/>
            </w:tcBorders>
            <w:vAlign w:val="center"/>
            <w:hideMark/>
          </w:tcPr>
          <w:p w14:paraId="5292263F"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3220" w:type="dxa"/>
            <w:vMerge/>
            <w:tcBorders>
              <w:top w:val="single" w:sz="8" w:space="0" w:color="auto"/>
              <w:left w:val="single" w:sz="8" w:space="0" w:color="auto"/>
              <w:bottom w:val="single" w:sz="8" w:space="0" w:color="000000"/>
              <w:right w:val="single" w:sz="8" w:space="0" w:color="auto"/>
            </w:tcBorders>
            <w:vAlign w:val="center"/>
            <w:hideMark/>
          </w:tcPr>
          <w:p w14:paraId="4BD22517"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57E5B3E7"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223388E0"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2E16B8B1"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38B8246F"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62585E3C" w14:textId="77777777" w:rsidTr="00396CB4">
        <w:trPr>
          <w:divId w:val="620301966"/>
          <w:trHeight w:val="330"/>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2C706BE6"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1.2.6.03.</w:t>
            </w:r>
          </w:p>
        </w:tc>
        <w:tc>
          <w:tcPr>
            <w:tcW w:w="3220" w:type="dxa"/>
            <w:tcBorders>
              <w:top w:val="nil"/>
              <w:left w:val="nil"/>
              <w:bottom w:val="single" w:sz="8" w:space="0" w:color="auto"/>
              <w:right w:val="single" w:sz="8" w:space="0" w:color="auto"/>
            </w:tcBorders>
            <w:shd w:val="clear" w:color="auto" w:fill="auto"/>
            <w:vAlign w:val="center"/>
            <w:hideMark/>
          </w:tcPr>
          <w:p w14:paraId="6FE80EF9"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Activos biológicos concesionados</w:t>
            </w:r>
          </w:p>
        </w:tc>
        <w:tc>
          <w:tcPr>
            <w:tcW w:w="500" w:type="dxa"/>
            <w:tcBorders>
              <w:top w:val="nil"/>
              <w:left w:val="nil"/>
              <w:bottom w:val="single" w:sz="8" w:space="0" w:color="auto"/>
              <w:right w:val="single" w:sz="8" w:space="0" w:color="auto"/>
            </w:tcBorders>
            <w:shd w:val="clear" w:color="auto" w:fill="auto"/>
            <w:noWrap/>
            <w:vAlign w:val="center"/>
            <w:hideMark/>
          </w:tcPr>
          <w:p w14:paraId="34935E0B"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11</w:t>
            </w:r>
          </w:p>
        </w:tc>
        <w:tc>
          <w:tcPr>
            <w:tcW w:w="2100" w:type="dxa"/>
            <w:tcBorders>
              <w:top w:val="nil"/>
              <w:left w:val="nil"/>
              <w:bottom w:val="single" w:sz="8" w:space="0" w:color="auto"/>
              <w:right w:val="single" w:sz="8" w:space="0" w:color="auto"/>
            </w:tcBorders>
            <w:shd w:val="clear" w:color="auto" w:fill="auto"/>
            <w:noWrap/>
            <w:vAlign w:val="center"/>
            <w:hideMark/>
          </w:tcPr>
          <w:p w14:paraId="148BA1F1"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2100" w:type="dxa"/>
            <w:tcBorders>
              <w:top w:val="nil"/>
              <w:left w:val="nil"/>
              <w:bottom w:val="single" w:sz="8" w:space="0" w:color="auto"/>
              <w:right w:val="single" w:sz="8" w:space="0" w:color="auto"/>
            </w:tcBorders>
            <w:shd w:val="clear" w:color="auto" w:fill="auto"/>
            <w:noWrap/>
            <w:vAlign w:val="center"/>
            <w:hideMark/>
          </w:tcPr>
          <w:p w14:paraId="4BD05B23"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1020" w:type="dxa"/>
            <w:tcBorders>
              <w:top w:val="nil"/>
              <w:left w:val="nil"/>
              <w:bottom w:val="single" w:sz="8" w:space="0" w:color="auto"/>
              <w:right w:val="single" w:sz="8" w:space="0" w:color="auto"/>
            </w:tcBorders>
            <w:shd w:val="clear" w:color="auto" w:fill="auto"/>
            <w:noWrap/>
            <w:vAlign w:val="center"/>
            <w:hideMark/>
          </w:tcPr>
          <w:p w14:paraId="13453D96"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0,00%</w:t>
            </w:r>
          </w:p>
        </w:tc>
      </w:tr>
    </w:tbl>
    <w:p w14:paraId="72CB7CFD" w14:textId="77777777" w:rsidR="00396CB4" w:rsidRPr="00396CB4" w:rsidRDefault="00C82B66" w:rsidP="00396CB4">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756467">
        <w:rPr>
          <w:rFonts w:eastAsia="Times New Roman" w:cs="Calibri"/>
          <w:color w:val="000000"/>
          <w:lang w:eastAsia="es-CR"/>
        </w:rPr>
        <w:instrText xml:space="preserve">Excel.SheetMacroEnabled.12 "C:\\Users\\gcordero\\Downloads\\Notas diciembre 2024\\Formato_Notas_EEFF_Vinculadas_2024\\Formato_Notas_EEFF_Vinculadas_2024\\15603_T04_2024_Anexo_Estado_Notas_Contables_Vinculadas.xlsm" NOTAS_POR_CUENTA!F82C8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34401992" w14:textId="77777777" w:rsidR="00396CB4" w:rsidRPr="00396CB4" w:rsidRDefault="00396CB4" w:rsidP="00396CB4">
      <w:pPr>
        <w:rPr>
          <w:rFonts w:eastAsia="Times New Roman" w:cs="Calibri"/>
          <w:color w:val="000000"/>
          <w:lang w:eastAsia="es-CR"/>
        </w:rPr>
      </w:pPr>
      <w:r w:rsidRPr="00396CB4">
        <w:rPr>
          <w:rFonts w:eastAsia="Times New Roman" w:cs="Calibri"/>
          <w:color w:val="000000"/>
          <w:lang w:eastAsia="es-CR"/>
        </w:rPr>
        <w:t>La cuenta Activos biológicos concesionados, representa el 0,00% del total del Activo, que comparado al periodo anterior genera una variación absoluta de 0 000,00 que corresponde a un Aumento del 0,00% de recursos disponibles.</w:t>
      </w:r>
    </w:p>
    <w:p w14:paraId="5EB8BD69" w14:textId="2BB66547" w:rsidR="00692DC8" w:rsidRPr="00692DC8" w:rsidRDefault="00C82B66" w:rsidP="00C82B66">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1D64AFF9" w14:textId="77777777" w:rsidR="00396CB4" w:rsidRDefault="00186411" w:rsidP="00E276CE">
      <w:pPr>
        <w:spacing w:before="240"/>
        <w:rPr>
          <w:rFonts w:asciiTheme="minorHAnsi" w:hAnsiTheme="minorHAnsi"/>
          <w:sz w:val="22"/>
        </w:rPr>
      </w:pPr>
      <w:r>
        <w:rPr>
          <w:lang w:val="es-ES"/>
        </w:rPr>
        <w:fldChar w:fldCharType="begin"/>
      </w:r>
      <w:r>
        <w:rPr>
          <w:lang w:val="es-ES"/>
        </w:rPr>
        <w:instrText xml:space="preserve"> LINK </w:instrText>
      </w:r>
      <w:r w:rsidR="00756467">
        <w:rPr>
          <w:lang w:val="es-ES"/>
        </w:rPr>
        <w:instrText xml:space="preserve">Excel.SheetMacroEnabled.12 "C:\\Users\\gcordero\\Downloads\\Notas diciembre 2024\\Formato_Notas_EEFF_Vinculadas_2024\\Formato_Notas_EEFF_Vinculadas_2024\\15603_T04_2024_Anexo_Estado_Notas_Contables_Vinculadas.xlsm" NOTAS_POR_CUENTA!F84C1:F86C6 </w:instrText>
      </w:r>
      <w:r>
        <w:rPr>
          <w:lang w:val="es-ES"/>
        </w:rPr>
        <w:instrText xml:space="preserve">\a \f 4 \h </w:instrText>
      </w:r>
      <w:r>
        <w:rPr>
          <w:lang w:val="es-ES"/>
        </w:rPr>
        <w:fldChar w:fldCharType="separate"/>
      </w:r>
    </w:p>
    <w:tbl>
      <w:tblPr>
        <w:tblW w:w="9600" w:type="dxa"/>
        <w:tblCellMar>
          <w:left w:w="70" w:type="dxa"/>
          <w:right w:w="70" w:type="dxa"/>
        </w:tblCellMar>
        <w:tblLook w:val="04A0" w:firstRow="1" w:lastRow="0" w:firstColumn="1" w:lastColumn="0" w:noHBand="0" w:noVBand="1"/>
      </w:tblPr>
      <w:tblGrid>
        <w:gridCol w:w="715"/>
        <w:gridCol w:w="3165"/>
        <w:gridCol w:w="500"/>
        <w:gridCol w:w="2100"/>
        <w:gridCol w:w="2100"/>
        <w:gridCol w:w="1020"/>
      </w:tblGrid>
      <w:tr w:rsidR="00396CB4" w:rsidRPr="00396CB4" w14:paraId="74094D89" w14:textId="77777777" w:rsidTr="00396CB4">
        <w:trPr>
          <w:divId w:val="528841658"/>
          <w:trHeight w:val="330"/>
        </w:trPr>
        <w:tc>
          <w:tcPr>
            <w:tcW w:w="6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B2BFB28" w14:textId="4EE0B3F5" w:rsidR="00396CB4" w:rsidRPr="00396CB4" w:rsidRDefault="00396CB4" w:rsidP="00396CB4">
            <w:pPr>
              <w:spacing w:after="0" w:line="240" w:lineRule="auto"/>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32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14EFFBB"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EB5665F"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025489E"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15FA3D8"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7D1D9C7C"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735B121A" w14:textId="77777777" w:rsidTr="00396CB4">
        <w:trPr>
          <w:divId w:val="528841658"/>
          <w:trHeight w:val="330"/>
        </w:trPr>
        <w:tc>
          <w:tcPr>
            <w:tcW w:w="660" w:type="dxa"/>
            <w:vMerge/>
            <w:tcBorders>
              <w:top w:val="single" w:sz="8" w:space="0" w:color="auto"/>
              <w:left w:val="single" w:sz="8" w:space="0" w:color="auto"/>
              <w:bottom w:val="single" w:sz="8" w:space="0" w:color="000000"/>
              <w:right w:val="single" w:sz="8" w:space="0" w:color="auto"/>
            </w:tcBorders>
            <w:vAlign w:val="center"/>
            <w:hideMark/>
          </w:tcPr>
          <w:p w14:paraId="23F070CA"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3220" w:type="dxa"/>
            <w:vMerge/>
            <w:tcBorders>
              <w:top w:val="single" w:sz="8" w:space="0" w:color="auto"/>
              <w:left w:val="single" w:sz="8" w:space="0" w:color="auto"/>
              <w:bottom w:val="single" w:sz="8" w:space="0" w:color="000000"/>
              <w:right w:val="single" w:sz="8" w:space="0" w:color="auto"/>
            </w:tcBorders>
            <w:vAlign w:val="center"/>
            <w:hideMark/>
          </w:tcPr>
          <w:p w14:paraId="5A23BE23"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28422CDE"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0DC0068F"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1AC8617C"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14509B1B"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7BDC561E" w14:textId="77777777" w:rsidTr="00396CB4">
        <w:trPr>
          <w:divId w:val="528841658"/>
          <w:trHeight w:val="555"/>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07D27199"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1.2.6.04.</w:t>
            </w:r>
          </w:p>
        </w:tc>
        <w:tc>
          <w:tcPr>
            <w:tcW w:w="3220" w:type="dxa"/>
            <w:tcBorders>
              <w:top w:val="nil"/>
              <w:left w:val="nil"/>
              <w:bottom w:val="single" w:sz="8" w:space="0" w:color="auto"/>
              <w:right w:val="single" w:sz="8" w:space="0" w:color="auto"/>
            </w:tcBorders>
            <w:shd w:val="clear" w:color="auto" w:fill="auto"/>
            <w:vAlign w:val="center"/>
            <w:hideMark/>
          </w:tcPr>
          <w:p w14:paraId="2F5CC1B1"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Bienes de infraestructura y de beneficio y uso público concesionados</w:t>
            </w:r>
          </w:p>
        </w:tc>
        <w:tc>
          <w:tcPr>
            <w:tcW w:w="500" w:type="dxa"/>
            <w:tcBorders>
              <w:top w:val="nil"/>
              <w:left w:val="nil"/>
              <w:bottom w:val="single" w:sz="8" w:space="0" w:color="auto"/>
              <w:right w:val="single" w:sz="8" w:space="0" w:color="auto"/>
            </w:tcBorders>
            <w:shd w:val="clear" w:color="auto" w:fill="auto"/>
            <w:noWrap/>
            <w:vAlign w:val="center"/>
            <w:hideMark/>
          </w:tcPr>
          <w:p w14:paraId="147F653E"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11</w:t>
            </w:r>
          </w:p>
        </w:tc>
        <w:tc>
          <w:tcPr>
            <w:tcW w:w="2100" w:type="dxa"/>
            <w:tcBorders>
              <w:top w:val="nil"/>
              <w:left w:val="nil"/>
              <w:bottom w:val="single" w:sz="8" w:space="0" w:color="auto"/>
              <w:right w:val="single" w:sz="8" w:space="0" w:color="auto"/>
            </w:tcBorders>
            <w:shd w:val="clear" w:color="auto" w:fill="auto"/>
            <w:noWrap/>
            <w:vAlign w:val="center"/>
            <w:hideMark/>
          </w:tcPr>
          <w:p w14:paraId="765BA900"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2100" w:type="dxa"/>
            <w:tcBorders>
              <w:top w:val="nil"/>
              <w:left w:val="nil"/>
              <w:bottom w:val="single" w:sz="8" w:space="0" w:color="auto"/>
              <w:right w:val="single" w:sz="8" w:space="0" w:color="auto"/>
            </w:tcBorders>
            <w:shd w:val="clear" w:color="auto" w:fill="auto"/>
            <w:noWrap/>
            <w:vAlign w:val="center"/>
            <w:hideMark/>
          </w:tcPr>
          <w:p w14:paraId="356F6F05"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1020" w:type="dxa"/>
            <w:tcBorders>
              <w:top w:val="nil"/>
              <w:left w:val="nil"/>
              <w:bottom w:val="single" w:sz="8" w:space="0" w:color="auto"/>
              <w:right w:val="single" w:sz="8" w:space="0" w:color="auto"/>
            </w:tcBorders>
            <w:shd w:val="clear" w:color="auto" w:fill="auto"/>
            <w:noWrap/>
            <w:vAlign w:val="center"/>
            <w:hideMark/>
          </w:tcPr>
          <w:p w14:paraId="0F02DCC6"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0,00%</w:t>
            </w:r>
          </w:p>
        </w:tc>
      </w:tr>
    </w:tbl>
    <w:p w14:paraId="298EE5FE" w14:textId="76687978" w:rsidR="00186411" w:rsidRDefault="00186411" w:rsidP="00E276CE">
      <w:pPr>
        <w:spacing w:before="240"/>
        <w:rPr>
          <w:b/>
          <w:bCs/>
          <w:lang w:val="es-ES"/>
        </w:rPr>
      </w:pPr>
      <w:r>
        <w:rPr>
          <w:b/>
          <w:bCs/>
          <w:lang w:val="es-ES"/>
        </w:rPr>
        <w:fldChar w:fldCharType="end"/>
      </w:r>
    </w:p>
    <w:p w14:paraId="5937278D" w14:textId="77777777" w:rsidR="00396CB4" w:rsidRPr="00396CB4" w:rsidRDefault="00692DC8" w:rsidP="00396CB4">
      <w:pPr>
        <w:spacing w:before="240"/>
        <w:rPr>
          <w:sz w:val="20"/>
          <w:szCs w:val="20"/>
          <w:lang w:eastAsia="es-CR"/>
        </w:rPr>
      </w:pPr>
      <w:r w:rsidRPr="00692DC8">
        <w:rPr>
          <w:b/>
          <w:bCs/>
          <w:lang w:val="es-ES"/>
        </w:rPr>
        <w:t>Revelación</w:t>
      </w:r>
      <w:r w:rsidRPr="00692DC8">
        <w:rPr>
          <w:lang w:val="es-ES"/>
        </w:rPr>
        <w:t xml:space="preserve">: </w:t>
      </w:r>
      <w:r w:rsidR="00186411">
        <w:rPr>
          <w:rFonts w:eastAsia="Times New Roman" w:cs="Calibri"/>
          <w:color w:val="000000"/>
          <w:lang w:eastAsia="es-CR"/>
        </w:rPr>
        <w:fldChar w:fldCharType="begin"/>
      </w:r>
      <w:r w:rsidR="00186411">
        <w:rPr>
          <w:rFonts w:eastAsia="Times New Roman" w:cs="Calibri"/>
          <w:color w:val="000000"/>
          <w:lang w:eastAsia="es-CR"/>
        </w:rPr>
        <w:instrText xml:space="preserve"> LINK </w:instrText>
      </w:r>
      <w:r w:rsidR="00756467">
        <w:rPr>
          <w:rFonts w:eastAsia="Times New Roman" w:cs="Calibri"/>
          <w:color w:val="000000"/>
          <w:lang w:eastAsia="es-CR"/>
        </w:rPr>
        <w:instrText xml:space="preserve">Excel.SheetMacroEnabled.12 "C:\\Users\\gcordero\\Downloads\\Notas diciembre 2024\\Formato_Notas_EEFF_Vinculadas_2024\\Formato_Notas_EEFF_Vinculadas_2024\\15603_T04_2024_Anexo_Estado_Notas_Contables_Vinculadas.xlsm" NOTAS_POR_CUENTA!F86C8 </w:instrText>
      </w:r>
      <w:r w:rsidR="00186411">
        <w:rPr>
          <w:rFonts w:eastAsia="Times New Roman" w:cs="Calibri"/>
          <w:color w:val="000000"/>
          <w:lang w:eastAsia="es-CR"/>
        </w:rPr>
        <w:instrText xml:space="preserve">\a \f 5 \h  \* MERGEFORMAT </w:instrText>
      </w:r>
      <w:r w:rsidR="00186411">
        <w:rPr>
          <w:rFonts w:eastAsia="Times New Roman" w:cs="Calibri"/>
          <w:color w:val="000000"/>
          <w:lang w:eastAsia="es-CR"/>
        </w:rPr>
        <w:fldChar w:fldCharType="separate"/>
      </w:r>
    </w:p>
    <w:p w14:paraId="1A40523B" w14:textId="77777777" w:rsidR="00396CB4" w:rsidRPr="00396CB4" w:rsidRDefault="00396CB4" w:rsidP="00396CB4">
      <w:pPr>
        <w:rPr>
          <w:rFonts w:eastAsia="Times New Roman" w:cs="Calibri"/>
          <w:color w:val="000000"/>
          <w:lang w:eastAsia="es-CR"/>
        </w:rPr>
      </w:pPr>
      <w:r w:rsidRPr="00396CB4">
        <w:rPr>
          <w:rFonts w:eastAsia="Times New Roman" w:cs="Calibri"/>
          <w:color w:val="000000"/>
          <w:lang w:eastAsia="es-CR"/>
        </w:rPr>
        <w:t>La cuenta Bienes de infraestructura y de beneficio y uso público concesionados, representa el 0,00% del total del Activo, que comparado al periodo anterior genera una variación absoluta de 0 000,00 que corresponde a un Aumento del 0,00% de recursos disponibles.</w:t>
      </w:r>
    </w:p>
    <w:p w14:paraId="3B2E62BD" w14:textId="269C08C1" w:rsidR="00692DC8" w:rsidRPr="00692DC8" w:rsidRDefault="00186411" w:rsidP="00186411">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0FE56466" w14:textId="77777777" w:rsidR="00396CB4" w:rsidRDefault="00186411" w:rsidP="00F51D42">
      <w:pPr>
        <w:spacing w:before="240"/>
        <w:rPr>
          <w:rFonts w:asciiTheme="minorHAnsi" w:hAnsiTheme="minorHAnsi"/>
          <w:sz w:val="22"/>
        </w:rPr>
      </w:pPr>
      <w:r>
        <w:rPr>
          <w:lang w:val="es-ES"/>
        </w:rPr>
        <w:fldChar w:fldCharType="begin"/>
      </w:r>
      <w:r>
        <w:rPr>
          <w:lang w:val="es-ES"/>
        </w:rPr>
        <w:instrText xml:space="preserve"> LINK </w:instrText>
      </w:r>
      <w:r w:rsidR="00756467">
        <w:rPr>
          <w:lang w:val="es-ES"/>
        </w:rPr>
        <w:instrText xml:space="preserve">Excel.SheetMacroEnabled.12 "C:\\Users\\gcordero\\Downloads\\Notas diciembre 2024\\Formato_Notas_EEFF_Vinculadas_2024\\Formato_Notas_EEFF_Vinculadas_2024\\15603_T04_2024_Anexo_Estado_Notas_Contables_Vinculadas.xlsm" NOTAS_POR_CUENTA!F88C1:F90C6 </w:instrText>
      </w:r>
      <w:r>
        <w:rPr>
          <w:lang w:val="es-ES"/>
        </w:rPr>
        <w:instrText xml:space="preserve">\a \f 4 \h </w:instrText>
      </w:r>
      <w:r>
        <w:rPr>
          <w:lang w:val="es-ES"/>
        </w:rPr>
        <w:fldChar w:fldCharType="separate"/>
      </w:r>
    </w:p>
    <w:tbl>
      <w:tblPr>
        <w:tblW w:w="9600" w:type="dxa"/>
        <w:tblCellMar>
          <w:left w:w="70" w:type="dxa"/>
          <w:right w:w="70" w:type="dxa"/>
        </w:tblCellMar>
        <w:tblLook w:val="04A0" w:firstRow="1" w:lastRow="0" w:firstColumn="1" w:lastColumn="0" w:noHBand="0" w:noVBand="1"/>
      </w:tblPr>
      <w:tblGrid>
        <w:gridCol w:w="715"/>
        <w:gridCol w:w="3165"/>
        <w:gridCol w:w="500"/>
        <w:gridCol w:w="2100"/>
        <w:gridCol w:w="2100"/>
        <w:gridCol w:w="1020"/>
      </w:tblGrid>
      <w:tr w:rsidR="00396CB4" w:rsidRPr="00396CB4" w14:paraId="4FDF8B8D" w14:textId="77777777" w:rsidTr="00396CB4">
        <w:trPr>
          <w:divId w:val="106319078"/>
          <w:trHeight w:val="330"/>
        </w:trPr>
        <w:tc>
          <w:tcPr>
            <w:tcW w:w="6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41A3B92" w14:textId="668B7A72" w:rsidR="00396CB4" w:rsidRPr="00396CB4" w:rsidRDefault="00396CB4" w:rsidP="00396CB4">
            <w:pPr>
              <w:spacing w:after="0" w:line="240" w:lineRule="auto"/>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32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D6C1C63"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78A05B0"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509175E"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8D2303D"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72916BC0"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16BA6BB3" w14:textId="77777777" w:rsidTr="00396CB4">
        <w:trPr>
          <w:divId w:val="106319078"/>
          <w:trHeight w:val="330"/>
        </w:trPr>
        <w:tc>
          <w:tcPr>
            <w:tcW w:w="660" w:type="dxa"/>
            <w:vMerge/>
            <w:tcBorders>
              <w:top w:val="single" w:sz="8" w:space="0" w:color="auto"/>
              <w:left w:val="single" w:sz="8" w:space="0" w:color="auto"/>
              <w:bottom w:val="single" w:sz="8" w:space="0" w:color="000000"/>
              <w:right w:val="single" w:sz="8" w:space="0" w:color="auto"/>
            </w:tcBorders>
            <w:vAlign w:val="center"/>
            <w:hideMark/>
          </w:tcPr>
          <w:p w14:paraId="4DF98227"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3220" w:type="dxa"/>
            <w:vMerge/>
            <w:tcBorders>
              <w:top w:val="single" w:sz="8" w:space="0" w:color="auto"/>
              <w:left w:val="single" w:sz="8" w:space="0" w:color="auto"/>
              <w:bottom w:val="single" w:sz="8" w:space="0" w:color="000000"/>
              <w:right w:val="single" w:sz="8" w:space="0" w:color="auto"/>
            </w:tcBorders>
            <w:vAlign w:val="center"/>
            <w:hideMark/>
          </w:tcPr>
          <w:p w14:paraId="7802FB84"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2577DFA1"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02CAF3E4"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3EFB217C"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4340599B"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5EC27EE8" w14:textId="77777777" w:rsidTr="00396CB4">
        <w:trPr>
          <w:divId w:val="106319078"/>
          <w:trHeight w:val="330"/>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08C26415"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1.2.6.06.</w:t>
            </w:r>
          </w:p>
        </w:tc>
        <w:tc>
          <w:tcPr>
            <w:tcW w:w="3220" w:type="dxa"/>
            <w:tcBorders>
              <w:top w:val="nil"/>
              <w:left w:val="nil"/>
              <w:bottom w:val="single" w:sz="8" w:space="0" w:color="auto"/>
              <w:right w:val="single" w:sz="8" w:space="0" w:color="auto"/>
            </w:tcBorders>
            <w:shd w:val="clear" w:color="auto" w:fill="auto"/>
            <w:vAlign w:val="center"/>
            <w:hideMark/>
          </w:tcPr>
          <w:p w14:paraId="248639FF"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Recursos naturales concesionados</w:t>
            </w:r>
          </w:p>
        </w:tc>
        <w:tc>
          <w:tcPr>
            <w:tcW w:w="500" w:type="dxa"/>
            <w:tcBorders>
              <w:top w:val="nil"/>
              <w:left w:val="nil"/>
              <w:bottom w:val="single" w:sz="8" w:space="0" w:color="auto"/>
              <w:right w:val="single" w:sz="8" w:space="0" w:color="auto"/>
            </w:tcBorders>
            <w:shd w:val="clear" w:color="auto" w:fill="auto"/>
            <w:noWrap/>
            <w:vAlign w:val="center"/>
            <w:hideMark/>
          </w:tcPr>
          <w:p w14:paraId="4C6BA03C"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11</w:t>
            </w:r>
          </w:p>
        </w:tc>
        <w:tc>
          <w:tcPr>
            <w:tcW w:w="2100" w:type="dxa"/>
            <w:tcBorders>
              <w:top w:val="nil"/>
              <w:left w:val="nil"/>
              <w:bottom w:val="single" w:sz="8" w:space="0" w:color="auto"/>
              <w:right w:val="single" w:sz="8" w:space="0" w:color="auto"/>
            </w:tcBorders>
            <w:shd w:val="clear" w:color="auto" w:fill="auto"/>
            <w:noWrap/>
            <w:vAlign w:val="center"/>
            <w:hideMark/>
          </w:tcPr>
          <w:p w14:paraId="57EF0B44"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2100" w:type="dxa"/>
            <w:tcBorders>
              <w:top w:val="nil"/>
              <w:left w:val="nil"/>
              <w:bottom w:val="single" w:sz="8" w:space="0" w:color="auto"/>
              <w:right w:val="single" w:sz="8" w:space="0" w:color="auto"/>
            </w:tcBorders>
            <w:shd w:val="clear" w:color="auto" w:fill="auto"/>
            <w:noWrap/>
            <w:vAlign w:val="center"/>
            <w:hideMark/>
          </w:tcPr>
          <w:p w14:paraId="08901802"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1020" w:type="dxa"/>
            <w:tcBorders>
              <w:top w:val="nil"/>
              <w:left w:val="nil"/>
              <w:bottom w:val="single" w:sz="8" w:space="0" w:color="auto"/>
              <w:right w:val="single" w:sz="8" w:space="0" w:color="auto"/>
            </w:tcBorders>
            <w:shd w:val="clear" w:color="auto" w:fill="auto"/>
            <w:noWrap/>
            <w:vAlign w:val="center"/>
            <w:hideMark/>
          </w:tcPr>
          <w:p w14:paraId="1AF5B236"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0,00%</w:t>
            </w:r>
          </w:p>
        </w:tc>
      </w:tr>
    </w:tbl>
    <w:p w14:paraId="24A08051" w14:textId="77777777" w:rsidR="00B2692F" w:rsidRDefault="00186411" w:rsidP="00396CB4">
      <w:pPr>
        <w:spacing w:before="240"/>
        <w:rPr>
          <w:b/>
          <w:bCs/>
          <w:lang w:val="es-ES"/>
        </w:rPr>
      </w:pPr>
      <w:r>
        <w:rPr>
          <w:b/>
          <w:bCs/>
          <w:lang w:val="es-ES"/>
        </w:rPr>
        <w:fldChar w:fldCharType="end"/>
      </w:r>
    </w:p>
    <w:p w14:paraId="63F94807" w14:textId="77777777" w:rsidR="00B2692F" w:rsidRDefault="00B2692F" w:rsidP="00396CB4">
      <w:pPr>
        <w:spacing w:before="240"/>
        <w:rPr>
          <w:b/>
          <w:bCs/>
          <w:lang w:val="es-ES"/>
        </w:rPr>
      </w:pPr>
    </w:p>
    <w:p w14:paraId="0723C64E" w14:textId="3C675A20" w:rsidR="00396CB4" w:rsidRPr="00396CB4" w:rsidRDefault="00692DC8" w:rsidP="00396CB4">
      <w:pPr>
        <w:spacing w:before="240"/>
        <w:rPr>
          <w:b/>
          <w:bCs/>
          <w:lang w:val="es-ES"/>
        </w:rPr>
      </w:pPr>
      <w:r w:rsidRPr="00692DC8">
        <w:rPr>
          <w:b/>
          <w:bCs/>
          <w:lang w:val="es-ES"/>
        </w:rPr>
        <w:t>Revelación</w:t>
      </w:r>
      <w:r w:rsidRPr="00692DC8">
        <w:rPr>
          <w:lang w:val="es-ES"/>
        </w:rPr>
        <w:t xml:space="preserve">: </w:t>
      </w:r>
      <w:r w:rsidR="00186411">
        <w:rPr>
          <w:rFonts w:eastAsia="Times New Roman" w:cs="Calibri"/>
          <w:color w:val="000000"/>
          <w:lang w:eastAsia="es-CR"/>
        </w:rPr>
        <w:fldChar w:fldCharType="begin"/>
      </w:r>
      <w:r w:rsidR="00186411">
        <w:rPr>
          <w:rFonts w:eastAsia="Times New Roman" w:cs="Calibri"/>
          <w:color w:val="000000"/>
          <w:lang w:eastAsia="es-CR"/>
        </w:rPr>
        <w:instrText xml:space="preserve"> LINK </w:instrText>
      </w:r>
      <w:r w:rsidR="00756467">
        <w:rPr>
          <w:rFonts w:eastAsia="Times New Roman" w:cs="Calibri"/>
          <w:color w:val="000000"/>
          <w:lang w:eastAsia="es-CR"/>
        </w:rPr>
        <w:instrText xml:space="preserve">Excel.SheetMacroEnabled.12 "C:\\Users\\gcordero\\Downloads\\Notas diciembre 2024\\Formato_Notas_EEFF_Vinculadas_2024\\Formato_Notas_EEFF_Vinculadas_2024\\15603_T04_2024_Anexo_Estado_Notas_Contables_Vinculadas.xlsm" NOTAS_POR_CUENTA!F90C8 </w:instrText>
      </w:r>
      <w:r w:rsidR="00186411">
        <w:rPr>
          <w:rFonts w:eastAsia="Times New Roman" w:cs="Calibri"/>
          <w:color w:val="000000"/>
          <w:lang w:eastAsia="es-CR"/>
        </w:rPr>
        <w:instrText xml:space="preserve">\a \f 5 \h  \* MERGEFORMAT </w:instrText>
      </w:r>
      <w:r w:rsidR="00186411">
        <w:rPr>
          <w:rFonts w:eastAsia="Times New Roman" w:cs="Calibri"/>
          <w:color w:val="000000"/>
          <w:lang w:eastAsia="es-CR"/>
        </w:rPr>
        <w:fldChar w:fldCharType="separate"/>
      </w:r>
    </w:p>
    <w:p w14:paraId="691CD075" w14:textId="77777777" w:rsidR="00396CB4" w:rsidRPr="00396CB4" w:rsidRDefault="00396CB4" w:rsidP="00396CB4">
      <w:pPr>
        <w:rPr>
          <w:rFonts w:eastAsia="Times New Roman" w:cs="Calibri"/>
          <w:color w:val="000000"/>
          <w:lang w:eastAsia="es-CR"/>
        </w:rPr>
      </w:pPr>
      <w:r w:rsidRPr="00396CB4">
        <w:rPr>
          <w:rFonts w:eastAsia="Times New Roman" w:cs="Calibri"/>
          <w:color w:val="000000"/>
          <w:lang w:eastAsia="es-CR"/>
        </w:rPr>
        <w:t>La cuenta Recursos naturales concesionados, representa el 0,00% del total del Activo, que comparado al periodo anterior genera una variación absoluta de 0 000,00 que corresponde a un Aumento del 0,00% de recursos disponibles.</w:t>
      </w:r>
    </w:p>
    <w:p w14:paraId="27152F9F" w14:textId="6D4D1C8A" w:rsidR="00396CB4" w:rsidRPr="00B2692F" w:rsidRDefault="00186411" w:rsidP="00B2692F">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r>
        <w:rPr>
          <w:lang w:val="es-ES"/>
        </w:rPr>
        <w:fldChar w:fldCharType="begin"/>
      </w:r>
      <w:r>
        <w:rPr>
          <w:lang w:val="es-ES"/>
        </w:rPr>
        <w:instrText xml:space="preserve"> LINK </w:instrText>
      </w:r>
      <w:r w:rsidR="00756467">
        <w:rPr>
          <w:lang w:val="es-ES"/>
        </w:rPr>
        <w:instrText xml:space="preserve">Excel.SheetMacroEnabled.12 "C:\\Users\\gcordero\\Downloads\\Notas diciembre 2024\\Formato_Notas_EEFF_Vinculadas_2024\\Formato_Notas_EEFF_Vinculadas_2024\\15603_T04_2024_Anexo_Estado_Notas_Contables_Vinculadas.xlsm" NOTAS_POR_CUENTA!F92C1:F94C6 </w:instrText>
      </w:r>
      <w:r>
        <w:rPr>
          <w:lang w:val="es-ES"/>
        </w:rPr>
        <w:instrText xml:space="preserve">\a \f 4 \h </w:instrText>
      </w:r>
      <w:r>
        <w:rPr>
          <w:lang w:val="es-ES"/>
        </w:rPr>
        <w:fldChar w:fldCharType="separate"/>
      </w:r>
    </w:p>
    <w:tbl>
      <w:tblPr>
        <w:tblW w:w="9600" w:type="dxa"/>
        <w:tblCellMar>
          <w:left w:w="70" w:type="dxa"/>
          <w:right w:w="70" w:type="dxa"/>
        </w:tblCellMar>
        <w:tblLook w:val="04A0" w:firstRow="1" w:lastRow="0" w:firstColumn="1" w:lastColumn="0" w:noHBand="0" w:noVBand="1"/>
      </w:tblPr>
      <w:tblGrid>
        <w:gridCol w:w="715"/>
        <w:gridCol w:w="3165"/>
        <w:gridCol w:w="500"/>
        <w:gridCol w:w="2100"/>
        <w:gridCol w:w="2100"/>
        <w:gridCol w:w="1020"/>
      </w:tblGrid>
      <w:tr w:rsidR="00396CB4" w:rsidRPr="00396CB4" w14:paraId="4C1C90C5" w14:textId="77777777" w:rsidTr="00396CB4">
        <w:trPr>
          <w:divId w:val="656149894"/>
          <w:trHeight w:val="330"/>
        </w:trPr>
        <w:tc>
          <w:tcPr>
            <w:tcW w:w="6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0D8D5C2" w14:textId="4B7D7598" w:rsidR="00396CB4" w:rsidRPr="00396CB4" w:rsidRDefault="00396CB4" w:rsidP="00396CB4">
            <w:pPr>
              <w:spacing w:after="0" w:line="240" w:lineRule="auto"/>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32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98D4214"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B2CC180"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F0802DF"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16307C5"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6F2DD3A0"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42F53C56" w14:textId="77777777" w:rsidTr="00396CB4">
        <w:trPr>
          <w:divId w:val="656149894"/>
          <w:trHeight w:val="330"/>
        </w:trPr>
        <w:tc>
          <w:tcPr>
            <w:tcW w:w="660" w:type="dxa"/>
            <w:vMerge/>
            <w:tcBorders>
              <w:top w:val="single" w:sz="8" w:space="0" w:color="auto"/>
              <w:left w:val="single" w:sz="8" w:space="0" w:color="auto"/>
              <w:bottom w:val="single" w:sz="8" w:space="0" w:color="000000"/>
              <w:right w:val="single" w:sz="8" w:space="0" w:color="auto"/>
            </w:tcBorders>
            <w:vAlign w:val="center"/>
            <w:hideMark/>
          </w:tcPr>
          <w:p w14:paraId="7EEAA1EA"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3220" w:type="dxa"/>
            <w:vMerge/>
            <w:tcBorders>
              <w:top w:val="single" w:sz="8" w:space="0" w:color="auto"/>
              <w:left w:val="single" w:sz="8" w:space="0" w:color="auto"/>
              <w:bottom w:val="single" w:sz="8" w:space="0" w:color="000000"/>
              <w:right w:val="single" w:sz="8" w:space="0" w:color="auto"/>
            </w:tcBorders>
            <w:vAlign w:val="center"/>
            <w:hideMark/>
          </w:tcPr>
          <w:p w14:paraId="0A5291BC"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1CAD995D"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4AE143E0"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3EF5BFF7"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74D24D87"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5F5E9B6C" w14:textId="77777777" w:rsidTr="00396CB4">
        <w:trPr>
          <w:divId w:val="656149894"/>
          <w:trHeight w:val="330"/>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551898AA"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1.2.6.08.</w:t>
            </w:r>
          </w:p>
        </w:tc>
        <w:tc>
          <w:tcPr>
            <w:tcW w:w="3220" w:type="dxa"/>
            <w:tcBorders>
              <w:top w:val="nil"/>
              <w:left w:val="nil"/>
              <w:bottom w:val="single" w:sz="8" w:space="0" w:color="auto"/>
              <w:right w:val="single" w:sz="8" w:space="0" w:color="auto"/>
            </w:tcBorders>
            <w:shd w:val="clear" w:color="auto" w:fill="auto"/>
            <w:vAlign w:val="center"/>
            <w:hideMark/>
          </w:tcPr>
          <w:p w14:paraId="2BA5A167"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Bienes intangibles concesionados</w:t>
            </w:r>
          </w:p>
        </w:tc>
        <w:tc>
          <w:tcPr>
            <w:tcW w:w="500" w:type="dxa"/>
            <w:tcBorders>
              <w:top w:val="nil"/>
              <w:left w:val="nil"/>
              <w:bottom w:val="single" w:sz="8" w:space="0" w:color="auto"/>
              <w:right w:val="single" w:sz="8" w:space="0" w:color="auto"/>
            </w:tcBorders>
            <w:shd w:val="clear" w:color="auto" w:fill="auto"/>
            <w:noWrap/>
            <w:vAlign w:val="center"/>
            <w:hideMark/>
          </w:tcPr>
          <w:p w14:paraId="0C2DB8A0"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11</w:t>
            </w:r>
          </w:p>
        </w:tc>
        <w:tc>
          <w:tcPr>
            <w:tcW w:w="2100" w:type="dxa"/>
            <w:tcBorders>
              <w:top w:val="nil"/>
              <w:left w:val="nil"/>
              <w:bottom w:val="single" w:sz="8" w:space="0" w:color="auto"/>
              <w:right w:val="single" w:sz="8" w:space="0" w:color="auto"/>
            </w:tcBorders>
            <w:shd w:val="clear" w:color="auto" w:fill="auto"/>
            <w:noWrap/>
            <w:vAlign w:val="center"/>
            <w:hideMark/>
          </w:tcPr>
          <w:p w14:paraId="51107B2F"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 xml:space="preserve"> -   </w:t>
            </w:r>
          </w:p>
        </w:tc>
        <w:tc>
          <w:tcPr>
            <w:tcW w:w="2100" w:type="dxa"/>
            <w:tcBorders>
              <w:top w:val="nil"/>
              <w:left w:val="nil"/>
              <w:bottom w:val="single" w:sz="8" w:space="0" w:color="auto"/>
              <w:right w:val="single" w:sz="8" w:space="0" w:color="auto"/>
            </w:tcBorders>
            <w:shd w:val="clear" w:color="auto" w:fill="auto"/>
            <w:noWrap/>
            <w:vAlign w:val="center"/>
            <w:hideMark/>
          </w:tcPr>
          <w:p w14:paraId="0052A899"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 xml:space="preserve"> -   </w:t>
            </w:r>
          </w:p>
        </w:tc>
        <w:tc>
          <w:tcPr>
            <w:tcW w:w="1020" w:type="dxa"/>
            <w:tcBorders>
              <w:top w:val="nil"/>
              <w:left w:val="nil"/>
              <w:bottom w:val="single" w:sz="8" w:space="0" w:color="auto"/>
              <w:right w:val="single" w:sz="8" w:space="0" w:color="auto"/>
            </w:tcBorders>
            <w:shd w:val="clear" w:color="auto" w:fill="auto"/>
            <w:noWrap/>
            <w:vAlign w:val="center"/>
            <w:hideMark/>
          </w:tcPr>
          <w:p w14:paraId="7E1AA5FB"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0,00%</w:t>
            </w:r>
          </w:p>
        </w:tc>
      </w:tr>
    </w:tbl>
    <w:p w14:paraId="33D66DFD" w14:textId="77777777" w:rsidR="00396CB4" w:rsidRPr="00396CB4" w:rsidRDefault="00186411" w:rsidP="00396CB4">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756467">
        <w:rPr>
          <w:rFonts w:eastAsia="Times New Roman" w:cs="Calibri"/>
          <w:color w:val="000000"/>
          <w:lang w:eastAsia="es-CR"/>
        </w:rPr>
        <w:instrText xml:space="preserve">Excel.SheetMacroEnabled.12 "C:\\Users\\gcordero\\Downloads\\Notas diciembre 2024\\Formato_Notas_EEFF_Vinculadas_2024\\Formato_Notas_EEFF_Vinculadas_2024\\15603_T04_2024_Anexo_Estado_Notas_Contables_Vinculadas.xlsm" NOTAS_POR_CUENTA!F94C8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6490B898" w14:textId="77777777" w:rsidR="00396CB4" w:rsidRPr="00396CB4" w:rsidRDefault="00396CB4" w:rsidP="00396CB4">
      <w:pPr>
        <w:rPr>
          <w:rFonts w:eastAsia="Times New Roman" w:cs="Calibri"/>
          <w:color w:val="000000"/>
          <w:lang w:eastAsia="es-CR"/>
        </w:rPr>
      </w:pPr>
      <w:r w:rsidRPr="00396CB4">
        <w:rPr>
          <w:rFonts w:eastAsia="Times New Roman" w:cs="Calibri"/>
          <w:color w:val="000000"/>
          <w:lang w:eastAsia="es-CR"/>
        </w:rPr>
        <w:t>La cuenta Bienes intangibles concesionados, representa el 0,00% del total del Activo, que comparado al periodo anterior genera una variación absoluta de 0 000,00 que corresponde a un Aumento del 0,00% de recursos disponibles.</w:t>
      </w:r>
    </w:p>
    <w:p w14:paraId="6214F21B" w14:textId="424CDED5" w:rsidR="00692DC8" w:rsidRPr="00692DC8" w:rsidRDefault="00186411" w:rsidP="00186411">
      <w:pPr>
        <w:rPr>
          <w:rFonts w:eastAsia="Times New Roman" w:cs="Calibri"/>
          <w:color w:val="000000"/>
          <w:lang w:eastAsia="es-CR"/>
        </w:rPr>
      </w:pPr>
      <w:r>
        <w:rPr>
          <w:rFonts w:eastAsia="Times New Roman" w:cs="Calibri"/>
          <w:color w:val="000000"/>
          <w:lang w:eastAsia="es-CR"/>
        </w:rPr>
        <w:fldChar w:fldCharType="end"/>
      </w:r>
    </w:p>
    <w:p w14:paraId="35FE75E1" w14:textId="1A0D5F3B" w:rsidR="00692DC8" w:rsidRPr="00B2692F" w:rsidRDefault="00692DC8" w:rsidP="00E276CE">
      <w:pPr>
        <w:rPr>
          <w:rFonts w:eastAsiaTheme="minorEastAsia" w:cs="Arial Narrow"/>
          <w:color w:val="000000"/>
          <w:lang w:eastAsia="es-CR"/>
        </w:rPr>
      </w:pPr>
      <w:r w:rsidRPr="00692DC8">
        <w:rPr>
          <w:highlight w:val="lightGray"/>
        </w:rPr>
        <w:t>Las variaciones de la cuenta son producto de (Indicar la razón de las variaciones de un periodo a otro):</w:t>
      </w:r>
      <w:r w:rsidRPr="00692DC8">
        <w:t xml:space="preserve"> </w:t>
      </w:r>
    </w:p>
    <w:p w14:paraId="473A2BFF" w14:textId="43A9F340" w:rsidR="00396CB4" w:rsidRDefault="00186411" w:rsidP="00F51D42">
      <w:pPr>
        <w:spacing w:before="240"/>
        <w:rPr>
          <w:rFonts w:asciiTheme="minorHAnsi" w:hAnsiTheme="minorHAnsi"/>
          <w:sz w:val="22"/>
        </w:rPr>
      </w:pPr>
      <w:r>
        <w:rPr>
          <w:lang w:val="es-ES"/>
        </w:rPr>
        <w:fldChar w:fldCharType="begin"/>
      </w:r>
      <w:r>
        <w:rPr>
          <w:lang w:val="es-ES"/>
        </w:rPr>
        <w:instrText xml:space="preserve"> LINK </w:instrText>
      </w:r>
      <w:r w:rsidR="00756467">
        <w:rPr>
          <w:lang w:val="es-ES"/>
        </w:rPr>
        <w:instrText xml:space="preserve">Excel.SheetMacroEnabled.12 "C:\\Users\\gcordero\\Downloads\\Notas diciembre 2024\\Formato_Notas_EEFF_Vinculadas_2024\\Formato_Notas_EEFF_Vinculadas_2024\\15603_T04_2024_Anexo_Estado_Notas_Contables_Vinculadas.xlsm" NOTAS_POR_CUENTA!F96C1:F98C6 </w:instrText>
      </w:r>
      <w:r>
        <w:rPr>
          <w:lang w:val="es-ES"/>
        </w:rPr>
        <w:instrText xml:space="preserve">\a \f 4 \h </w:instrText>
      </w:r>
      <w:r w:rsidR="00B2692F">
        <w:rPr>
          <w:lang w:val="es-ES"/>
        </w:rPr>
        <w:instrText xml:space="preserve"> \* MERGEFORMAT </w:instrText>
      </w:r>
      <w:r>
        <w:rPr>
          <w:lang w:val="es-ES"/>
        </w:rPr>
        <w:fldChar w:fldCharType="separate"/>
      </w:r>
    </w:p>
    <w:tbl>
      <w:tblPr>
        <w:tblW w:w="9600" w:type="dxa"/>
        <w:tblCellMar>
          <w:left w:w="70" w:type="dxa"/>
          <w:right w:w="70" w:type="dxa"/>
        </w:tblCellMar>
        <w:tblLook w:val="04A0" w:firstRow="1" w:lastRow="0" w:firstColumn="1" w:lastColumn="0" w:noHBand="0" w:noVBand="1"/>
      </w:tblPr>
      <w:tblGrid>
        <w:gridCol w:w="715"/>
        <w:gridCol w:w="3165"/>
        <w:gridCol w:w="500"/>
        <w:gridCol w:w="2100"/>
        <w:gridCol w:w="2100"/>
        <w:gridCol w:w="1020"/>
      </w:tblGrid>
      <w:tr w:rsidR="00396CB4" w:rsidRPr="00396CB4" w14:paraId="7EF20255" w14:textId="77777777" w:rsidTr="00396CB4">
        <w:trPr>
          <w:divId w:val="1140341875"/>
          <w:trHeight w:val="330"/>
        </w:trPr>
        <w:tc>
          <w:tcPr>
            <w:tcW w:w="6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1D94CFC" w14:textId="445D3800" w:rsidR="00396CB4" w:rsidRPr="00396CB4" w:rsidRDefault="00396CB4" w:rsidP="00396CB4">
            <w:pPr>
              <w:spacing w:after="0" w:line="240" w:lineRule="auto"/>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32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86B119A"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E8F014F"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F320EAA"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E6956DC"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2A364496"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57C39358" w14:textId="77777777" w:rsidTr="00396CB4">
        <w:trPr>
          <w:divId w:val="1140341875"/>
          <w:trHeight w:val="330"/>
        </w:trPr>
        <w:tc>
          <w:tcPr>
            <w:tcW w:w="660" w:type="dxa"/>
            <w:vMerge/>
            <w:tcBorders>
              <w:top w:val="single" w:sz="8" w:space="0" w:color="auto"/>
              <w:left w:val="single" w:sz="8" w:space="0" w:color="auto"/>
              <w:bottom w:val="single" w:sz="8" w:space="0" w:color="000000"/>
              <w:right w:val="single" w:sz="8" w:space="0" w:color="auto"/>
            </w:tcBorders>
            <w:vAlign w:val="center"/>
            <w:hideMark/>
          </w:tcPr>
          <w:p w14:paraId="255080E6"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3220" w:type="dxa"/>
            <w:vMerge/>
            <w:tcBorders>
              <w:top w:val="single" w:sz="8" w:space="0" w:color="auto"/>
              <w:left w:val="single" w:sz="8" w:space="0" w:color="auto"/>
              <w:bottom w:val="single" w:sz="8" w:space="0" w:color="000000"/>
              <w:right w:val="single" w:sz="8" w:space="0" w:color="auto"/>
            </w:tcBorders>
            <w:vAlign w:val="center"/>
            <w:hideMark/>
          </w:tcPr>
          <w:p w14:paraId="1C6DC183"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39A57CC8"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1CB0D55B"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46F5CF96"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5F298AED"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3A50AF2E" w14:textId="77777777" w:rsidTr="00396CB4">
        <w:trPr>
          <w:divId w:val="1140341875"/>
          <w:trHeight w:val="330"/>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04F86A5E"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1.2.6.99.</w:t>
            </w:r>
          </w:p>
        </w:tc>
        <w:tc>
          <w:tcPr>
            <w:tcW w:w="3220" w:type="dxa"/>
            <w:tcBorders>
              <w:top w:val="nil"/>
              <w:left w:val="nil"/>
              <w:bottom w:val="single" w:sz="8" w:space="0" w:color="auto"/>
              <w:right w:val="single" w:sz="8" w:space="0" w:color="auto"/>
            </w:tcBorders>
            <w:shd w:val="clear" w:color="auto" w:fill="auto"/>
            <w:vAlign w:val="center"/>
            <w:hideMark/>
          </w:tcPr>
          <w:p w14:paraId="491551FE"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Bienes concesionados</w:t>
            </w:r>
          </w:p>
        </w:tc>
        <w:tc>
          <w:tcPr>
            <w:tcW w:w="500" w:type="dxa"/>
            <w:tcBorders>
              <w:top w:val="nil"/>
              <w:left w:val="nil"/>
              <w:bottom w:val="single" w:sz="8" w:space="0" w:color="auto"/>
              <w:right w:val="single" w:sz="8" w:space="0" w:color="auto"/>
            </w:tcBorders>
            <w:shd w:val="clear" w:color="auto" w:fill="auto"/>
            <w:noWrap/>
            <w:vAlign w:val="center"/>
            <w:hideMark/>
          </w:tcPr>
          <w:p w14:paraId="51F75FCE"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11</w:t>
            </w:r>
          </w:p>
        </w:tc>
        <w:tc>
          <w:tcPr>
            <w:tcW w:w="2100" w:type="dxa"/>
            <w:tcBorders>
              <w:top w:val="nil"/>
              <w:left w:val="nil"/>
              <w:bottom w:val="single" w:sz="8" w:space="0" w:color="auto"/>
              <w:right w:val="single" w:sz="8" w:space="0" w:color="auto"/>
            </w:tcBorders>
            <w:shd w:val="clear" w:color="auto" w:fill="auto"/>
            <w:noWrap/>
            <w:vAlign w:val="center"/>
            <w:hideMark/>
          </w:tcPr>
          <w:p w14:paraId="1A233635"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2100" w:type="dxa"/>
            <w:tcBorders>
              <w:top w:val="nil"/>
              <w:left w:val="nil"/>
              <w:bottom w:val="single" w:sz="8" w:space="0" w:color="auto"/>
              <w:right w:val="single" w:sz="8" w:space="0" w:color="auto"/>
            </w:tcBorders>
            <w:shd w:val="clear" w:color="auto" w:fill="auto"/>
            <w:noWrap/>
            <w:vAlign w:val="center"/>
            <w:hideMark/>
          </w:tcPr>
          <w:p w14:paraId="53E356F6"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1020" w:type="dxa"/>
            <w:tcBorders>
              <w:top w:val="nil"/>
              <w:left w:val="nil"/>
              <w:bottom w:val="single" w:sz="8" w:space="0" w:color="auto"/>
              <w:right w:val="single" w:sz="8" w:space="0" w:color="auto"/>
            </w:tcBorders>
            <w:shd w:val="clear" w:color="auto" w:fill="auto"/>
            <w:noWrap/>
            <w:vAlign w:val="center"/>
            <w:hideMark/>
          </w:tcPr>
          <w:p w14:paraId="538BEEB0"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0,00%</w:t>
            </w:r>
          </w:p>
        </w:tc>
      </w:tr>
    </w:tbl>
    <w:p w14:paraId="18464F93" w14:textId="77777777" w:rsidR="00396CB4" w:rsidRPr="00396CB4" w:rsidRDefault="00186411" w:rsidP="00396CB4">
      <w:pPr>
        <w:spacing w:before="240"/>
        <w:rPr>
          <w:b/>
          <w:lang w:val="es-ES"/>
        </w:rPr>
      </w:pPr>
      <w:r>
        <w:rPr>
          <w:b/>
          <w:lang w:val="es-ES"/>
        </w:rPr>
        <w:fldChar w:fldCharType="end"/>
      </w:r>
      <w:r w:rsidR="00692DC8" w:rsidRPr="00E276CE">
        <w:rPr>
          <w:b/>
          <w:lang w:val="es-ES"/>
        </w:rPr>
        <w:t xml:space="preserve">Revelación: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756467">
        <w:rPr>
          <w:rFonts w:eastAsia="Times New Roman" w:cs="Calibri"/>
          <w:color w:val="000000"/>
          <w:lang w:eastAsia="es-CR"/>
        </w:rPr>
        <w:instrText xml:space="preserve">Excel.SheetMacroEnabled.12 "C:\\Users\\gcordero\\Downloads\\Notas diciembre 2024\\Formato_Notas_EEFF_Vinculadas_2024\\Formato_Notas_EEFF_Vinculadas_2024\\15603_T04_2024_Anexo_Estado_Notas_Contables_Vinculadas.xlsm" NOTAS_POR_CUENTA!F98C8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43131900" w14:textId="77777777" w:rsidR="00396CB4" w:rsidRPr="00396CB4" w:rsidRDefault="00396CB4" w:rsidP="00396CB4">
      <w:pPr>
        <w:rPr>
          <w:rFonts w:eastAsia="Times New Roman" w:cs="Calibri"/>
          <w:color w:val="000000"/>
          <w:lang w:eastAsia="es-CR"/>
        </w:rPr>
      </w:pPr>
      <w:r w:rsidRPr="00396CB4">
        <w:rPr>
          <w:rFonts w:eastAsia="Times New Roman" w:cs="Calibri"/>
          <w:color w:val="000000"/>
          <w:lang w:eastAsia="es-CR"/>
        </w:rPr>
        <w:t>La cuenta Bienes concesionados en proceso de producción, representa el 0,00% del total del Activo, que comparado al periodo anterior genera una variación absoluta de 0 000,00 que corresponde a un Aumento del 0,00% de recursos disponibles.</w:t>
      </w:r>
    </w:p>
    <w:p w14:paraId="6037F9C5" w14:textId="055FE801" w:rsidR="00692DC8" w:rsidRPr="00E276CE" w:rsidRDefault="00186411" w:rsidP="00186411">
      <w:pPr>
        <w:rPr>
          <w:rFonts w:eastAsia="Times New Roman" w:cs="Calibri"/>
          <w:color w:val="000000"/>
          <w:lang w:eastAsia="es-CR"/>
        </w:rPr>
      </w:pPr>
      <w:r>
        <w:rPr>
          <w:rFonts w:eastAsia="Times New Roman" w:cs="Calibri"/>
          <w:color w:val="000000"/>
          <w:lang w:eastAsia="es-CR"/>
        </w:rPr>
        <w:fldChar w:fldCharType="end"/>
      </w:r>
    </w:p>
    <w:p w14:paraId="6911EF12" w14:textId="6419950B" w:rsidR="00692DC8" w:rsidRPr="00E276CE" w:rsidRDefault="00692DC8" w:rsidP="00E276CE">
      <w:pPr>
        <w:rPr>
          <w:rFonts w:eastAsia="Times New Roman"/>
          <w:szCs w:val="24"/>
          <w:lang w:eastAsia="es-CR"/>
        </w:rPr>
      </w:pPr>
      <w:r w:rsidRPr="00692DC8">
        <w:rPr>
          <w:rFonts w:eastAsia="Times New Roman"/>
          <w:sz w:val="22"/>
          <w:szCs w:val="24"/>
          <w:highlight w:val="lightGray"/>
          <w:lang w:eastAsia="es-CR"/>
        </w:rPr>
        <w:t>Las variaciones de la cuenta son producto de (Indicar la razón de las variaciones de un periodo a otro</w:t>
      </w:r>
      <w:r w:rsidRPr="00692DC8">
        <w:rPr>
          <w:rFonts w:eastAsia="Times New Roman"/>
          <w:szCs w:val="24"/>
          <w:highlight w:val="lightGray"/>
          <w:lang w:eastAsia="es-CR"/>
        </w:rPr>
        <w:t>):</w:t>
      </w:r>
      <w:r w:rsidRPr="00692DC8">
        <w:rPr>
          <w:rFonts w:eastAsia="Times New Roman"/>
          <w:szCs w:val="24"/>
          <w:lang w:eastAsia="es-CR"/>
        </w:rPr>
        <w:t xml:space="preserve"> </w:t>
      </w:r>
    </w:p>
    <w:p w14:paraId="700D8597" w14:textId="77777777" w:rsidR="00692DC8" w:rsidRPr="00692DC8" w:rsidRDefault="00692DC8" w:rsidP="00E276CE">
      <w:pPr>
        <w:rPr>
          <w:i/>
        </w:rPr>
      </w:pPr>
    </w:p>
    <w:p w14:paraId="51CADBF4" w14:textId="77777777" w:rsidR="00692DC8" w:rsidRPr="00692DC8" w:rsidRDefault="00692DC8" w:rsidP="00E276CE">
      <w:pPr>
        <w:pStyle w:val="Ttulo4"/>
        <w:spacing w:after="240"/>
        <w:rPr>
          <w:rFonts w:eastAsia="Times New Roman"/>
        </w:rPr>
      </w:pPr>
      <w:bookmarkStart w:id="269" w:name="_Toc82768925"/>
      <w:bookmarkStart w:id="270" w:name="_Toc189804843"/>
      <w:r w:rsidRPr="00692DC8">
        <w:rPr>
          <w:rFonts w:eastAsia="Times New Roman"/>
        </w:rPr>
        <w:lastRenderedPageBreak/>
        <w:t>NOTA N° 12</w:t>
      </w:r>
      <w:bookmarkEnd w:id="266"/>
      <w:bookmarkEnd w:id="267"/>
      <w:bookmarkEnd w:id="268"/>
      <w:bookmarkEnd w:id="269"/>
      <w:bookmarkEnd w:id="270"/>
    </w:p>
    <w:p w14:paraId="027C91F9" w14:textId="77777777" w:rsidR="00396CB4" w:rsidRDefault="00692DC8" w:rsidP="00F51D42">
      <w:pPr>
        <w:spacing w:before="240"/>
        <w:rPr>
          <w:rFonts w:asciiTheme="minorHAnsi" w:hAnsiTheme="minorHAnsi"/>
          <w:sz w:val="22"/>
        </w:rPr>
      </w:pPr>
      <w:bookmarkStart w:id="271" w:name="_Toc13041100"/>
      <w:bookmarkStart w:id="272" w:name="_Toc14345099"/>
      <w:bookmarkStart w:id="273" w:name="_Toc33601225"/>
      <w:bookmarkStart w:id="274" w:name="_Toc82768926"/>
      <w:r w:rsidRPr="00692DC8">
        <w:rPr>
          <w:rFonts w:eastAsia="Times New Roman"/>
        </w:rPr>
        <w:t>Inversiones patrimoniales - Método de participación</w:t>
      </w:r>
      <w:bookmarkEnd w:id="271"/>
      <w:bookmarkEnd w:id="272"/>
      <w:bookmarkEnd w:id="273"/>
      <w:bookmarkEnd w:id="274"/>
      <w:r w:rsidR="00822997">
        <w:rPr>
          <w:rFonts w:eastAsiaTheme="majorEastAsia" w:cstheme="majorBidi"/>
          <w:iCs/>
          <w:lang w:val="es-ES"/>
        </w:rPr>
        <w:fldChar w:fldCharType="begin"/>
      </w:r>
      <w:r w:rsidR="00822997">
        <w:rPr>
          <w:lang w:val="es-ES"/>
        </w:rPr>
        <w:instrText xml:space="preserve"> LINK </w:instrText>
      </w:r>
      <w:r w:rsidR="00756467">
        <w:rPr>
          <w:lang w:val="es-ES"/>
        </w:rPr>
        <w:instrText xml:space="preserve">Excel.SheetMacroEnabled.12 "C:\\Users\\gcordero\\Downloads\\Notas diciembre 2024\\Formato_Notas_EEFF_Vinculadas_2024\\Formato_Notas_EEFF_Vinculadas_2024\\15603_T04_2024_Anexo_Estado_Notas_Contables_Vinculadas.xlsm" NOTAS_POR_CUENTA!F100C1:F102C6 </w:instrText>
      </w:r>
      <w:r w:rsidR="00822997">
        <w:rPr>
          <w:lang w:val="es-ES"/>
        </w:rPr>
        <w:instrText xml:space="preserve">\a \f 4 \h </w:instrText>
      </w:r>
      <w:r w:rsidR="00822997">
        <w:rPr>
          <w:b/>
          <w:lang w:val="es-ES"/>
        </w:rPr>
        <w:fldChar w:fldCharType="separate"/>
      </w:r>
    </w:p>
    <w:tbl>
      <w:tblPr>
        <w:tblW w:w="9600" w:type="dxa"/>
        <w:tblCellMar>
          <w:left w:w="70" w:type="dxa"/>
          <w:right w:w="70" w:type="dxa"/>
        </w:tblCellMar>
        <w:tblLook w:val="04A0" w:firstRow="1" w:lastRow="0" w:firstColumn="1" w:lastColumn="0" w:noHBand="0" w:noVBand="1"/>
      </w:tblPr>
      <w:tblGrid>
        <w:gridCol w:w="1626"/>
        <w:gridCol w:w="2254"/>
        <w:gridCol w:w="500"/>
        <w:gridCol w:w="2100"/>
        <w:gridCol w:w="2100"/>
        <w:gridCol w:w="1020"/>
      </w:tblGrid>
      <w:tr w:rsidR="00396CB4" w:rsidRPr="00396CB4" w14:paraId="5A548354" w14:textId="77777777" w:rsidTr="00396CB4">
        <w:trPr>
          <w:divId w:val="1553537367"/>
          <w:trHeight w:val="330"/>
        </w:trPr>
        <w:tc>
          <w:tcPr>
            <w:tcW w:w="162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6025959" w14:textId="05FAD2FB" w:rsidR="00396CB4" w:rsidRPr="00396CB4" w:rsidRDefault="00396CB4" w:rsidP="00396CB4">
            <w:pP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225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32A7716"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F2752F8"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2A6D4FB"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5454F57"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5F019240"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56B78434" w14:textId="77777777" w:rsidTr="00396CB4">
        <w:trPr>
          <w:divId w:val="1553537367"/>
          <w:trHeight w:val="330"/>
        </w:trPr>
        <w:tc>
          <w:tcPr>
            <w:tcW w:w="1626" w:type="dxa"/>
            <w:vMerge/>
            <w:tcBorders>
              <w:top w:val="single" w:sz="8" w:space="0" w:color="auto"/>
              <w:left w:val="single" w:sz="8" w:space="0" w:color="auto"/>
              <w:bottom w:val="single" w:sz="8" w:space="0" w:color="000000"/>
              <w:right w:val="single" w:sz="8" w:space="0" w:color="auto"/>
            </w:tcBorders>
            <w:vAlign w:val="center"/>
            <w:hideMark/>
          </w:tcPr>
          <w:p w14:paraId="773F24CC"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254" w:type="dxa"/>
            <w:vMerge/>
            <w:tcBorders>
              <w:top w:val="single" w:sz="8" w:space="0" w:color="auto"/>
              <w:left w:val="single" w:sz="8" w:space="0" w:color="auto"/>
              <w:bottom w:val="single" w:sz="8" w:space="0" w:color="000000"/>
              <w:right w:val="single" w:sz="8" w:space="0" w:color="auto"/>
            </w:tcBorders>
            <w:vAlign w:val="center"/>
            <w:hideMark/>
          </w:tcPr>
          <w:p w14:paraId="4C73ACE8"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0CBD116F"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4C5277EF"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12CFF6E6"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4F3F9EAF"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7D461E06" w14:textId="77777777" w:rsidTr="00396CB4">
        <w:trPr>
          <w:divId w:val="1553537367"/>
          <w:trHeight w:val="555"/>
        </w:trPr>
        <w:tc>
          <w:tcPr>
            <w:tcW w:w="1626" w:type="dxa"/>
            <w:tcBorders>
              <w:top w:val="nil"/>
              <w:left w:val="single" w:sz="8" w:space="0" w:color="auto"/>
              <w:bottom w:val="single" w:sz="8" w:space="0" w:color="auto"/>
              <w:right w:val="single" w:sz="8" w:space="0" w:color="auto"/>
            </w:tcBorders>
            <w:shd w:val="clear" w:color="auto" w:fill="auto"/>
            <w:noWrap/>
            <w:vAlign w:val="center"/>
            <w:hideMark/>
          </w:tcPr>
          <w:p w14:paraId="5957968E"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1.2.7.</w:t>
            </w:r>
          </w:p>
        </w:tc>
        <w:tc>
          <w:tcPr>
            <w:tcW w:w="2254" w:type="dxa"/>
            <w:tcBorders>
              <w:top w:val="nil"/>
              <w:left w:val="nil"/>
              <w:bottom w:val="single" w:sz="8" w:space="0" w:color="auto"/>
              <w:right w:val="single" w:sz="8" w:space="0" w:color="auto"/>
            </w:tcBorders>
            <w:shd w:val="clear" w:color="auto" w:fill="auto"/>
            <w:vAlign w:val="center"/>
            <w:hideMark/>
          </w:tcPr>
          <w:p w14:paraId="1037B35C"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Inversiones patrimoniales - Método de participación</w:t>
            </w:r>
          </w:p>
        </w:tc>
        <w:tc>
          <w:tcPr>
            <w:tcW w:w="500" w:type="dxa"/>
            <w:tcBorders>
              <w:top w:val="nil"/>
              <w:left w:val="nil"/>
              <w:bottom w:val="single" w:sz="8" w:space="0" w:color="auto"/>
              <w:right w:val="single" w:sz="8" w:space="0" w:color="auto"/>
            </w:tcBorders>
            <w:shd w:val="clear" w:color="auto" w:fill="auto"/>
            <w:noWrap/>
            <w:vAlign w:val="center"/>
            <w:hideMark/>
          </w:tcPr>
          <w:p w14:paraId="43E887DE"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12</w:t>
            </w:r>
          </w:p>
        </w:tc>
        <w:tc>
          <w:tcPr>
            <w:tcW w:w="2100" w:type="dxa"/>
            <w:tcBorders>
              <w:top w:val="nil"/>
              <w:left w:val="nil"/>
              <w:bottom w:val="single" w:sz="8" w:space="0" w:color="auto"/>
              <w:right w:val="single" w:sz="8" w:space="0" w:color="auto"/>
            </w:tcBorders>
            <w:shd w:val="clear" w:color="auto" w:fill="auto"/>
            <w:noWrap/>
            <w:vAlign w:val="center"/>
            <w:hideMark/>
          </w:tcPr>
          <w:p w14:paraId="4AB1395F"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2100" w:type="dxa"/>
            <w:tcBorders>
              <w:top w:val="nil"/>
              <w:left w:val="nil"/>
              <w:bottom w:val="single" w:sz="8" w:space="0" w:color="auto"/>
              <w:right w:val="single" w:sz="8" w:space="0" w:color="auto"/>
            </w:tcBorders>
            <w:shd w:val="clear" w:color="auto" w:fill="auto"/>
            <w:noWrap/>
            <w:vAlign w:val="center"/>
            <w:hideMark/>
          </w:tcPr>
          <w:p w14:paraId="0BF2D6AB"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1020" w:type="dxa"/>
            <w:tcBorders>
              <w:top w:val="nil"/>
              <w:left w:val="nil"/>
              <w:bottom w:val="single" w:sz="8" w:space="0" w:color="auto"/>
              <w:right w:val="single" w:sz="8" w:space="0" w:color="auto"/>
            </w:tcBorders>
            <w:shd w:val="clear" w:color="auto" w:fill="auto"/>
            <w:noWrap/>
            <w:vAlign w:val="center"/>
            <w:hideMark/>
          </w:tcPr>
          <w:p w14:paraId="7E2219D6"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0,00%</w:t>
            </w:r>
          </w:p>
        </w:tc>
      </w:tr>
    </w:tbl>
    <w:p w14:paraId="15CD4A19" w14:textId="77777777" w:rsidR="00396CB4" w:rsidRPr="00396CB4" w:rsidRDefault="00822997" w:rsidP="00396CB4">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756467">
        <w:rPr>
          <w:rFonts w:eastAsia="Times New Roman" w:cs="Calibri"/>
          <w:color w:val="000000"/>
          <w:lang w:eastAsia="es-CR"/>
        </w:rPr>
        <w:instrText xml:space="preserve">Excel.SheetMacroEnabled.12 "C:\\Users\\gcordero\\Downloads\\Notas diciembre 2024\\Formato_Notas_EEFF_Vinculadas_2024\\Formato_Notas_EEFF_Vinculadas_2024\\15603_T04_2024_Anexo_Estado_Notas_Contables_Vinculadas.xlsm" NOTAS_POR_CUENTA!F102C8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666C1DFF" w14:textId="77777777" w:rsidR="00396CB4" w:rsidRPr="00396CB4" w:rsidRDefault="00396CB4" w:rsidP="00396CB4">
      <w:pPr>
        <w:rPr>
          <w:rFonts w:eastAsia="Times New Roman" w:cs="Calibri"/>
          <w:color w:val="000000"/>
          <w:lang w:eastAsia="es-CR"/>
        </w:rPr>
      </w:pPr>
      <w:r w:rsidRPr="00396CB4">
        <w:rPr>
          <w:rFonts w:eastAsia="Times New Roman" w:cs="Calibri"/>
          <w:color w:val="000000"/>
          <w:lang w:eastAsia="es-CR"/>
        </w:rPr>
        <w:t>La cuenta Inversiones patrimoniales - Método de participación, representa el 0,00% del total del Activo, que comparado al periodo anterior genera una variación absoluta de 0 000,00 que corresponde a un Aumento del 0,00% de recursos disponibles.</w:t>
      </w:r>
    </w:p>
    <w:p w14:paraId="44DA3937" w14:textId="765DA2A0" w:rsidR="00692DC8" w:rsidRPr="00692DC8" w:rsidRDefault="00822997" w:rsidP="00822997">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45D68405" w14:textId="77777777" w:rsidR="00692DC8" w:rsidRPr="00692DC8" w:rsidRDefault="00692DC8" w:rsidP="00E276CE">
      <w:pPr>
        <w:rPr>
          <w:szCs w:val="24"/>
        </w:rPr>
      </w:pPr>
    </w:p>
    <w:p w14:paraId="51939C1E" w14:textId="77777777" w:rsidR="00692DC8" w:rsidRPr="00692DC8" w:rsidRDefault="00692DC8" w:rsidP="00E276CE">
      <w:pPr>
        <w:pStyle w:val="Ttulo4"/>
        <w:spacing w:after="240"/>
        <w:rPr>
          <w:rFonts w:eastAsia="Times New Roman"/>
        </w:rPr>
      </w:pPr>
      <w:bookmarkStart w:id="275" w:name="_Toc13041105"/>
      <w:bookmarkStart w:id="276" w:name="_Toc14345104"/>
      <w:bookmarkStart w:id="277" w:name="_Toc33601226"/>
      <w:bookmarkStart w:id="278" w:name="_Toc82768927"/>
      <w:bookmarkStart w:id="279" w:name="_Toc189804844"/>
      <w:r w:rsidRPr="00692DC8">
        <w:rPr>
          <w:rFonts w:eastAsia="Times New Roman"/>
        </w:rPr>
        <w:t>NOTA N° 13</w:t>
      </w:r>
      <w:bookmarkEnd w:id="275"/>
      <w:bookmarkEnd w:id="276"/>
      <w:bookmarkEnd w:id="277"/>
      <w:bookmarkEnd w:id="278"/>
      <w:bookmarkEnd w:id="279"/>
    </w:p>
    <w:p w14:paraId="4A352099" w14:textId="77777777" w:rsidR="00396CB4" w:rsidRDefault="00692DC8" w:rsidP="00F51D42">
      <w:pPr>
        <w:spacing w:before="240"/>
        <w:rPr>
          <w:rFonts w:asciiTheme="minorHAnsi" w:hAnsiTheme="minorHAnsi"/>
          <w:sz w:val="22"/>
        </w:rPr>
      </w:pPr>
      <w:bookmarkStart w:id="280" w:name="_Toc13041106"/>
      <w:bookmarkStart w:id="281" w:name="_Toc14345105"/>
      <w:bookmarkStart w:id="282" w:name="_Toc33601227"/>
      <w:bookmarkStart w:id="283" w:name="_Toc82768928"/>
      <w:r w:rsidRPr="00692DC8">
        <w:rPr>
          <w:rFonts w:eastAsia="Times New Roman"/>
        </w:rPr>
        <w:t>Otros activos a largo plazo</w:t>
      </w:r>
      <w:bookmarkEnd w:id="280"/>
      <w:bookmarkEnd w:id="281"/>
      <w:bookmarkEnd w:id="282"/>
      <w:bookmarkEnd w:id="283"/>
      <w:r w:rsidR="00822997">
        <w:rPr>
          <w:rFonts w:eastAsiaTheme="majorEastAsia" w:cstheme="majorBidi"/>
          <w:iCs/>
          <w:lang w:val="es-ES"/>
        </w:rPr>
        <w:fldChar w:fldCharType="begin"/>
      </w:r>
      <w:r w:rsidR="00822997">
        <w:rPr>
          <w:lang w:val="es-ES"/>
        </w:rPr>
        <w:instrText xml:space="preserve"> LINK </w:instrText>
      </w:r>
      <w:r w:rsidR="00756467">
        <w:rPr>
          <w:lang w:val="es-ES"/>
        </w:rPr>
        <w:instrText xml:space="preserve">Excel.SheetMacroEnabled.12 "C:\\Users\\gcordero\\Downloads\\Notas diciembre 2024\\Formato_Notas_EEFF_Vinculadas_2024\\Formato_Notas_EEFF_Vinculadas_2024\\15603_T04_2024_Anexo_Estado_Notas_Contables_Vinculadas.xlsm" NOTAS_POR_CUENTA!F104C1:F106C6 </w:instrText>
      </w:r>
      <w:r w:rsidR="00822997">
        <w:rPr>
          <w:lang w:val="es-ES"/>
        </w:rPr>
        <w:instrText xml:space="preserve">\a \f 4 \h </w:instrText>
      </w:r>
      <w:r w:rsidR="00822997">
        <w:rPr>
          <w:b/>
          <w:lang w:val="es-ES"/>
        </w:rPr>
        <w:fldChar w:fldCharType="separate"/>
      </w:r>
    </w:p>
    <w:tbl>
      <w:tblPr>
        <w:tblW w:w="9600" w:type="dxa"/>
        <w:tblCellMar>
          <w:left w:w="70" w:type="dxa"/>
          <w:right w:w="70" w:type="dxa"/>
        </w:tblCellMar>
        <w:tblLook w:val="04A0" w:firstRow="1" w:lastRow="0" w:firstColumn="1" w:lastColumn="0" w:noHBand="0" w:noVBand="1"/>
      </w:tblPr>
      <w:tblGrid>
        <w:gridCol w:w="991"/>
        <w:gridCol w:w="2889"/>
        <w:gridCol w:w="500"/>
        <w:gridCol w:w="2100"/>
        <w:gridCol w:w="2100"/>
        <w:gridCol w:w="1020"/>
      </w:tblGrid>
      <w:tr w:rsidR="00396CB4" w:rsidRPr="00396CB4" w14:paraId="76AB6A7A" w14:textId="77777777" w:rsidTr="00396CB4">
        <w:trPr>
          <w:divId w:val="633366858"/>
          <w:trHeight w:val="330"/>
        </w:trPr>
        <w:tc>
          <w:tcPr>
            <w:tcW w:w="99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AF92575" w14:textId="1BDEB792" w:rsidR="00396CB4" w:rsidRPr="00396CB4" w:rsidRDefault="00396CB4" w:rsidP="00396CB4">
            <w:pP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2889"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31EEE65"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4AC59F3"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303C780"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30935AC"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635CB57D"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002461E6" w14:textId="77777777" w:rsidTr="00396CB4">
        <w:trPr>
          <w:divId w:val="633366858"/>
          <w:trHeight w:val="330"/>
        </w:trPr>
        <w:tc>
          <w:tcPr>
            <w:tcW w:w="991" w:type="dxa"/>
            <w:vMerge/>
            <w:tcBorders>
              <w:top w:val="single" w:sz="8" w:space="0" w:color="auto"/>
              <w:left w:val="single" w:sz="8" w:space="0" w:color="auto"/>
              <w:bottom w:val="single" w:sz="8" w:space="0" w:color="000000"/>
              <w:right w:val="single" w:sz="8" w:space="0" w:color="auto"/>
            </w:tcBorders>
            <w:vAlign w:val="center"/>
            <w:hideMark/>
          </w:tcPr>
          <w:p w14:paraId="2920C401"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889" w:type="dxa"/>
            <w:vMerge/>
            <w:tcBorders>
              <w:top w:val="single" w:sz="8" w:space="0" w:color="auto"/>
              <w:left w:val="single" w:sz="8" w:space="0" w:color="auto"/>
              <w:bottom w:val="single" w:sz="8" w:space="0" w:color="000000"/>
              <w:right w:val="single" w:sz="8" w:space="0" w:color="auto"/>
            </w:tcBorders>
            <w:vAlign w:val="center"/>
            <w:hideMark/>
          </w:tcPr>
          <w:p w14:paraId="690C339A"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1424819A"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578C9E93"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48AC5EFE"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17C51E34"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6DF2EF99" w14:textId="77777777" w:rsidTr="00396CB4">
        <w:trPr>
          <w:divId w:val="633366858"/>
          <w:trHeight w:val="330"/>
        </w:trPr>
        <w:tc>
          <w:tcPr>
            <w:tcW w:w="991" w:type="dxa"/>
            <w:tcBorders>
              <w:top w:val="nil"/>
              <w:left w:val="single" w:sz="8" w:space="0" w:color="auto"/>
              <w:bottom w:val="single" w:sz="8" w:space="0" w:color="auto"/>
              <w:right w:val="single" w:sz="8" w:space="0" w:color="auto"/>
            </w:tcBorders>
            <w:shd w:val="clear" w:color="auto" w:fill="auto"/>
            <w:noWrap/>
            <w:vAlign w:val="center"/>
            <w:hideMark/>
          </w:tcPr>
          <w:p w14:paraId="0ECC6017"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1.2.9.</w:t>
            </w:r>
          </w:p>
        </w:tc>
        <w:tc>
          <w:tcPr>
            <w:tcW w:w="2889" w:type="dxa"/>
            <w:tcBorders>
              <w:top w:val="nil"/>
              <w:left w:val="nil"/>
              <w:bottom w:val="single" w:sz="8" w:space="0" w:color="auto"/>
              <w:right w:val="single" w:sz="8" w:space="0" w:color="auto"/>
            </w:tcBorders>
            <w:shd w:val="clear" w:color="auto" w:fill="auto"/>
            <w:vAlign w:val="center"/>
            <w:hideMark/>
          </w:tcPr>
          <w:p w14:paraId="518F1A4A"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Otros activos a largo plazo</w:t>
            </w:r>
          </w:p>
        </w:tc>
        <w:tc>
          <w:tcPr>
            <w:tcW w:w="500" w:type="dxa"/>
            <w:tcBorders>
              <w:top w:val="nil"/>
              <w:left w:val="nil"/>
              <w:bottom w:val="single" w:sz="8" w:space="0" w:color="auto"/>
              <w:right w:val="single" w:sz="8" w:space="0" w:color="auto"/>
            </w:tcBorders>
            <w:shd w:val="clear" w:color="auto" w:fill="auto"/>
            <w:noWrap/>
            <w:vAlign w:val="center"/>
            <w:hideMark/>
          </w:tcPr>
          <w:p w14:paraId="79F0591C"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13</w:t>
            </w:r>
          </w:p>
        </w:tc>
        <w:tc>
          <w:tcPr>
            <w:tcW w:w="2100" w:type="dxa"/>
            <w:tcBorders>
              <w:top w:val="nil"/>
              <w:left w:val="nil"/>
              <w:bottom w:val="single" w:sz="8" w:space="0" w:color="auto"/>
              <w:right w:val="single" w:sz="8" w:space="0" w:color="auto"/>
            </w:tcBorders>
            <w:shd w:val="clear" w:color="auto" w:fill="auto"/>
            <w:noWrap/>
            <w:vAlign w:val="center"/>
            <w:hideMark/>
          </w:tcPr>
          <w:p w14:paraId="14977D7D"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2100" w:type="dxa"/>
            <w:tcBorders>
              <w:top w:val="nil"/>
              <w:left w:val="nil"/>
              <w:bottom w:val="single" w:sz="8" w:space="0" w:color="auto"/>
              <w:right w:val="single" w:sz="8" w:space="0" w:color="auto"/>
            </w:tcBorders>
            <w:shd w:val="clear" w:color="auto" w:fill="auto"/>
            <w:noWrap/>
            <w:vAlign w:val="center"/>
            <w:hideMark/>
          </w:tcPr>
          <w:p w14:paraId="12B5D0B2"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1020" w:type="dxa"/>
            <w:tcBorders>
              <w:top w:val="nil"/>
              <w:left w:val="nil"/>
              <w:bottom w:val="single" w:sz="8" w:space="0" w:color="auto"/>
              <w:right w:val="single" w:sz="8" w:space="0" w:color="auto"/>
            </w:tcBorders>
            <w:shd w:val="clear" w:color="auto" w:fill="auto"/>
            <w:noWrap/>
            <w:vAlign w:val="center"/>
            <w:hideMark/>
          </w:tcPr>
          <w:p w14:paraId="6413FD8D"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0,00%</w:t>
            </w:r>
          </w:p>
        </w:tc>
      </w:tr>
    </w:tbl>
    <w:p w14:paraId="1EEA0593" w14:textId="77777777" w:rsidR="00396CB4" w:rsidRPr="00396CB4" w:rsidRDefault="00822997" w:rsidP="00396CB4">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756467">
        <w:rPr>
          <w:rFonts w:eastAsia="Times New Roman" w:cs="Calibri"/>
          <w:color w:val="000000"/>
          <w:lang w:eastAsia="es-CR"/>
        </w:rPr>
        <w:instrText xml:space="preserve">Excel.SheetMacroEnabled.12 "C:\\Users\\gcordero\\Downloads\\Notas diciembre 2024\\Formato_Notas_EEFF_Vinculadas_2024\\Formato_Notas_EEFF_Vinculadas_2024\\15603_T04_2024_Anexo_Estado_Notas_Contables_Vinculadas.xlsm" NOTAS_POR_CUENTA!F106C8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2C13CE5D" w14:textId="77777777" w:rsidR="00396CB4" w:rsidRPr="00396CB4" w:rsidRDefault="00396CB4" w:rsidP="00396CB4">
      <w:pPr>
        <w:rPr>
          <w:rFonts w:eastAsia="Times New Roman" w:cs="Calibri"/>
          <w:color w:val="000000"/>
          <w:lang w:eastAsia="es-CR"/>
        </w:rPr>
      </w:pPr>
      <w:r w:rsidRPr="00396CB4">
        <w:rPr>
          <w:rFonts w:eastAsia="Times New Roman" w:cs="Calibri"/>
          <w:color w:val="000000"/>
          <w:lang w:eastAsia="es-CR"/>
        </w:rPr>
        <w:t>La cuenta Otros activos a largo plazo, representa el 0,00% del total del Activo, que comparado al periodo anterior genera una variación absoluta de 0 000,00 que corresponde a un Aumento del 0,00% de recursos disponibles.</w:t>
      </w:r>
    </w:p>
    <w:p w14:paraId="393C0E3C" w14:textId="099BEF4A" w:rsidR="00692DC8" w:rsidRPr="00692DC8" w:rsidRDefault="00822997" w:rsidP="00822997">
      <w:pPr>
        <w:rPr>
          <w:rFonts w:eastAsia="Times New Roman" w:cs="Calibri"/>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649E845F" w14:textId="77777777" w:rsidR="00692DC8" w:rsidRDefault="00692DC8" w:rsidP="00E276CE"/>
    <w:p w14:paraId="2E36CFDE" w14:textId="77777777" w:rsidR="00B2692F" w:rsidRDefault="00B2692F" w:rsidP="00E276CE"/>
    <w:p w14:paraId="03C2BF00" w14:textId="77777777" w:rsidR="00B2692F" w:rsidRPr="00692DC8" w:rsidRDefault="00B2692F" w:rsidP="00E276CE"/>
    <w:p w14:paraId="08458D94" w14:textId="77777777" w:rsidR="00396CB4" w:rsidRDefault="00692DC8" w:rsidP="00E276CE">
      <w:pPr>
        <w:spacing w:before="240"/>
        <w:rPr>
          <w:rFonts w:asciiTheme="minorHAnsi" w:hAnsiTheme="minorHAnsi"/>
          <w:sz w:val="22"/>
        </w:rPr>
      </w:pPr>
      <w:r w:rsidRPr="00692DC8">
        <w:rPr>
          <w:szCs w:val="24"/>
        </w:rPr>
        <w:lastRenderedPageBreak/>
        <w:t>Detalle cuenta:</w:t>
      </w:r>
      <w:r w:rsidR="00822997">
        <w:fldChar w:fldCharType="begin"/>
      </w:r>
      <w:r w:rsidR="00822997">
        <w:instrText xml:space="preserve"> LINK </w:instrText>
      </w:r>
      <w:r w:rsidR="00756467">
        <w:instrText xml:space="preserve">Excel.SheetMacroEnabled.12 "C:\\Users\\gcordero\\Downloads\\Notas diciembre 2024\\Formato_Notas_EEFF_Vinculadas_2024\\Formato_Notas_EEFF_Vinculadas_2024\\15603_T04_2024_Anexo_Estado_Notas_Contables_Vinculadas.xlsm" NOTAS_POR_CUENTA!F108C1:F110C6 </w:instrText>
      </w:r>
      <w:r w:rsidR="00822997">
        <w:instrText xml:space="preserve">\a \f 4 \h </w:instrText>
      </w:r>
      <w:r w:rsidR="00822997">
        <w:fldChar w:fldCharType="separate"/>
      </w:r>
    </w:p>
    <w:tbl>
      <w:tblPr>
        <w:tblW w:w="9600" w:type="dxa"/>
        <w:tblCellMar>
          <w:left w:w="70" w:type="dxa"/>
          <w:right w:w="70" w:type="dxa"/>
        </w:tblCellMar>
        <w:tblLook w:val="04A0" w:firstRow="1" w:lastRow="0" w:firstColumn="1" w:lastColumn="0" w:noHBand="0" w:noVBand="1"/>
      </w:tblPr>
      <w:tblGrid>
        <w:gridCol w:w="1166"/>
        <w:gridCol w:w="2714"/>
        <w:gridCol w:w="500"/>
        <w:gridCol w:w="2100"/>
        <w:gridCol w:w="2100"/>
        <w:gridCol w:w="1020"/>
      </w:tblGrid>
      <w:tr w:rsidR="00396CB4" w:rsidRPr="00396CB4" w14:paraId="58291C4F" w14:textId="77777777" w:rsidTr="00396CB4">
        <w:trPr>
          <w:divId w:val="1721636177"/>
          <w:trHeight w:val="330"/>
        </w:trPr>
        <w:tc>
          <w:tcPr>
            <w:tcW w:w="116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1E315F9" w14:textId="2F8479E8" w:rsidR="00396CB4" w:rsidRPr="00396CB4" w:rsidRDefault="00396CB4" w:rsidP="00396CB4">
            <w:pP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271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FCEE691"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F704535"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11BD7C0"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4309DE5"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28261610"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67992E52" w14:textId="77777777" w:rsidTr="00396CB4">
        <w:trPr>
          <w:divId w:val="1721636177"/>
          <w:trHeight w:val="330"/>
        </w:trPr>
        <w:tc>
          <w:tcPr>
            <w:tcW w:w="1166" w:type="dxa"/>
            <w:vMerge/>
            <w:tcBorders>
              <w:top w:val="single" w:sz="8" w:space="0" w:color="auto"/>
              <w:left w:val="single" w:sz="8" w:space="0" w:color="auto"/>
              <w:bottom w:val="single" w:sz="8" w:space="0" w:color="000000"/>
              <w:right w:val="single" w:sz="8" w:space="0" w:color="auto"/>
            </w:tcBorders>
            <w:vAlign w:val="center"/>
            <w:hideMark/>
          </w:tcPr>
          <w:p w14:paraId="3C2FDAE4"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714" w:type="dxa"/>
            <w:vMerge/>
            <w:tcBorders>
              <w:top w:val="single" w:sz="8" w:space="0" w:color="auto"/>
              <w:left w:val="single" w:sz="8" w:space="0" w:color="auto"/>
              <w:bottom w:val="single" w:sz="8" w:space="0" w:color="000000"/>
              <w:right w:val="single" w:sz="8" w:space="0" w:color="auto"/>
            </w:tcBorders>
            <w:vAlign w:val="center"/>
            <w:hideMark/>
          </w:tcPr>
          <w:p w14:paraId="12ED2EA7"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30237DA2"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5C9775D5"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39905F3F"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72A2B8D1"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5C57CDF1" w14:textId="77777777" w:rsidTr="00396CB4">
        <w:trPr>
          <w:divId w:val="1721636177"/>
          <w:trHeight w:val="330"/>
        </w:trPr>
        <w:tc>
          <w:tcPr>
            <w:tcW w:w="1166" w:type="dxa"/>
            <w:tcBorders>
              <w:top w:val="nil"/>
              <w:left w:val="single" w:sz="8" w:space="0" w:color="auto"/>
              <w:bottom w:val="single" w:sz="8" w:space="0" w:color="auto"/>
              <w:right w:val="single" w:sz="8" w:space="0" w:color="auto"/>
            </w:tcBorders>
            <w:shd w:val="clear" w:color="auto" w:fill="auto"/>
            <w:noWrap/>
            <w:vAlign w:val="center"/>
            <w:hideMark/>
          </w:tcPr>
          <w:p w14:paraId="7A92FE7D"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1.2.9.01.</w:t>
            </w:r>
          </w:p>
        </w:tc>
        <w:tc>
          <w:tcPr>
            <w:tcW w:w="2714" w:type="dxa"/>
            <w:tcBorders>
              <w:top w:val="nil"/>
              <w:left w:val="nil"/>
              <w:bottom w:val="single" w:sz="8" w:space="0" w:color="auto"/>
              <w:right w:val="single" w:sz="8" w:space="0" w:color="auto"/>
            </w:tcBorders>
            <w:shd w:val="clear" w:color="auto" w:fill="auto"/>
            <w:vAlign w:val="center"/>
            <w:hideMark/>
          </w:tcPr>
          <w:p w14:paraId="743A0787"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Gastos a devengar a largo plazo</w:t>
            </w:r>
          </w:p>
        </w:tc>
        <w:tc>
          <w:tcPr>
            <w:tcW w:w="500" w:type="dxa"/>
            <w:tcBorders>
              <w:top w:val="nil"/>
              <w:left w:val="nil"/>
              <w:bottom w:val="single" w:sz="8" w:space="0" w:color="auto"/>
              <w:right w:val="single" w:sz="8" w:space="0" w:color="auto"/>
            </w:tcBorders>
            <w:shd w:val="clear" w:color="auto" w:fill="auto"/>
            <w:noWrap/>
            <w:vAlign w:val="bottom"/>
            <w:hideMark/>
          </w:tcPr>
          <w:p w14:paraId="713FCBA3"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13</w:t>
            </w:r>
          </w:p>
        </w:tc>
        <w:tc>
          <w:tcPr>
            <w:tcW w:w="2100" w:type="dxa"/>
            <w:tcBorders>
              <w:top w:val="nil"/>
              <w:left w:val="nil"/>
              <w:bottom w:val="single" w:sz="8" w:space="0" w:color="auto"/>
              <w:right w:val="single" w:sz="8" w:space="0" w:color="auto"/>
            </w:tcBorders>
            <w:shd w:val="clear" w:color="auto" w:fill="auto"/>
            <w:noWrap/>
            <w:vAlign w:val="center"/>
            <w:hideMark/>
          </w:tcPr>
          <w:p w14:paraId="37742753"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2100" w:type="dxa"/>
            <w:tcBorders>
              <w:top w:val="nil"/>
              <w:left w:val="nil"/>
              <w:bottom w:val="single" w:sz="8" w:space="0" w:color="auto"/>
              <w:right w:val="single" w:sz="8" w:space="0" w:color="auto"/>
            </w:tcBorders>
            <w:shd w:val="clear" w:color="auto" w:fill="auto"/>
            <w:noWrap/>
            <w:vAlign w:val="center"/>
            <w:hideMark/>
          </w:tcPr>
          <w:p w14:paraId="7E155F69"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1020" w:type="dxa"/>
            <w:tcBorders>
              <w:top w:val="nil"/>
              <w:left w:val="nil"/>
              <w:bottom w:val="single" w:sz="8" w:space="0" w:color="auto"/>
              <w:right w:val="single" w:sz="8" w:space="0" w:color="auto"/>
            </w:tcBorders>
            <w:shd w:val="clear" w:color="auto" w:fill="auto"/>
            <w:noWrap/>
            <w:vAlign w:val="center"/>
            <w:hideMark/>
          </w:tcPr>
          <w:p w14:paraId="14FA2B32"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0,00%</w:t>
            </w:r>
          </w:p>
        </w:tc>
      </w:tr>
    </w:tbl>
    <w:p w14:paraId="2274C958" w14:textId="1F3FB45B" w:rsidR="00692DC8" w:rsidRPr="00692DC8" w:rsidRDefault="00822997" w:rsidP="00E276CE">
      <w:pPr>
        <w:spacing w:before="240"/>
      </w:pPr>
      <w:r>
        <w:fldChar w:fldCharType="end"/>
      </w:r>
      <w:r w:rsidR="00692DC8" w:rsidRPr="00692DC8">
        <w:t>Indicar el detalle de cómo está compuesta la cuenta:</w:t>
      </w:r>
    </w:p>
    <w:p w14:paraId="755CFD32" w14:textId="088E2D20" w:rsidR="00692DC8" w:rsidRPr="00692DC8" w:rsidRDefault="00692DC8" w:rsidP="00E276CE">
      <w:r w:rsidRPr="00692DC8">
        <w:t>________________________________________________________________________________________________________________________________________________________________________________________________________________________________________________</w:t>
      </w:r>
    </w:p>
    <w:p w14:paraId="508607D5" w14:textId="77777777" w:rsidR="00396CB4" w:rsidRPr="00396CB4" w:rsidRDefault="00692DC8" w:rsidP="00822997">
      <w:pPr>
        <w:rPr>
          <w:lang w:val="es-ES"/>
        </w:rPr>
      </w:pPr>
      <w:bookmarkStart w:id="284" w:name="_Hlk99305315"/>
      <w:r w:rsidRPr="00692DC8">
        <w:rPr>
          <w:b/>
          <w:bCs/>
          <w:lang w:val="es-ES"/>
        </w:rPr>
        <w:t>Revelación</w:t>
      </w:r>
      <w:r w:rsidRPr="00692DC8">
        <w:rPr>
          <w:lang w:val="es-ES"/>
        </w:rPr>
        <w:t xml:space="preserve">: </w:t>
      </w:r>
      <w:bookmarkEnd w:id="284"/>
      <w:r w:rsidR="00822997">
        <w:rPr>
          <w:rFonts w:eastAsia="Times New Roman" w:cs="Calibri"/>
          <w:color w:val="000000"/>
          <w:lang w:eastAsia="es-CR"/>
        </w:rPr>
        <w:fldChar w:fldCharType="begin"/>
      </w:r>
      <w:r w:rsidR="00822997">
        <w:rPr>
          <w:rFonts w:eastAsia="Times New Roman" w:cs="Calibri"/>
          <w:color w:val="000000"/>
          <w:lang w:eastAsia="es-CR"/>
        </w:rPr>
        <w:instrText xml:space="preserve"> LINK </w:instrText>
      </w:r>
      <w:r w:rsidR="00756467">
        <w:rPr>
          <w:rFonts w:eastAsia="Times New Roman" w:cs="Calibri"/>
          <w:color w:val="000000"/>
          <w:lang w:eastAsia="es-CR"/>
        </w:rPr>
        <w:instrText xml:space="preserve">Excel.SheetMacroEnabled.12 "C:\\Users\\gcordero\\Downloads\\Notas diciembre 2024\\Formato_Notas_EEFF_Vinculadas_2024\\Formato_Notas_EEFF_Vinculadas_2024\\15603_T04_2024_Anexo_Estado_Notas_Contables_Vinculadas.xlsm" NOTAS_POR_CUENTA!F110C8 </w:instrText>
      </w:r>
      <w:r w:rsidR="00822997">
        <w:rPr>
          <w:rFonts w:eastAsia="Times New Roman" w:cs="Calibri"/>
          <w:color w:val="000000"/>
          <w:lang w:eastAsia="es-CR"/>
        </w:rPr>
        <w:instrText xml:space="preserve">\a \f 5 \h  \* MERGEFORMAT </w:instrText>
      </w:r>
      <w:r w:rsidR="00822997">
        <w:rPr>
          <w:rFonts w:eastAsia="Times New Roman" w:cs="Calibri"/>
          <w:color w:val="000000"/>
          <w:lang w:eastAsia="es-CR"/>
        </w:rPr>
        <w:fldChar w:fldCharType="separate"/>
      </w:r>
    </w:p>
    <w:p w14:paraId="06C07EB4" w14:textId="77777777" w:rsidR="00396CB4" w:rsidRPr="00396CB4" w:rsidRDefault="00396CB4" w:rsidP="00396CB4">
      <w:pPr>
        <w:rPr>
          <w:rFonts w:eastAsia="Times New Roman" w:cs="Calibri"/>
          <w:color w:val="000000"/>
          <w:lang w:eastAsia="es-CR"/>
        </w:rPr>
      </w:pPr>
      <w:r w:rsidRPr="00396CB4">
        <w:rPr>
          <w:rFonts w:eastAsia="Times New Roman" w:cs="Calibri"/>
          <w:color w:val="000000"/>
          <w:lang w:eastAsia="es-CR"/>
        </w:rPr>
        <w:t>La cuenta Gastos a devengar a largo plazo, representa el 0,00% del total del Activo, que comparado al periodo anterior genera una variación absoluta de 0 000,00 que corresponde a un Aumento del 0,00% de recursos disponibles.</w:t>
      </w:r>
    </w:p>
    <w:p w14:paraId="72CF30B1" w14:textId="0EFB6332" w:rsidR="00692DC8" w:rsidRDefault="00822997" w:rsidP="00822997">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0DA09357" w14:textId="77777777" w:rsidR="00B2692F" w:rsidRPr="00692DC8" w:rsidRDefault="00B2692F" w:rsidP="00822997"/>
    <w:p w14:paraId="118BDFE1" w14:textId="12D6565A" w:rsidR="00692DC8" w:rsidRPr="00E276CE" w:rsidRDefault="00E276CE" w:rsidP="00E276CE">
      <w:pPr>
        <w:pStyle w:val="Ttulo3"/>
        <w:spacing w:after="240"/>
        <w:rPr>
          <w:rFonts w:eastAsia="Times New Roman"/>
          <w:lang w:eastAsia="es-CR"/>
        </w:rPr>
      </w:pPr>
      <w:bookmarkStart w:id="285" w:name="_Toc13041110"/>
      <w:bookmarkStart w:id="286" w:name="_Toc14345109"/>
      <w:bookmarkStart w:id="287" w:name="_Toc33601228"/>
      <w:bookmarkStart w:id="288" w:name="_Toc82768929"/>
      <w:bookmarkStart w:id="289" w:name="_Toc189804845"/>
      <w:r w:rsidRPr="00E276CE">
        <w:rPr>
          <w:rFonts w:eastAsia="Times New Roman"/>
          <w:lang w:eastAsia="es-CR"/>
        </w:rPr>
        <w:t xml:space="preserve">2. </w:t>
      </w:r>
      <w:r w:rsidR="00692DC8" w:rsidRPr="00E276CE">
        <w:rPr>
          <w:rFonts w:eastAsia="Times New Roman"/>
          <w:lang w:eastAsia="es-CR"/>
        </w:rPr>
        <w:t>PASIVO</w:t>
      </w:r>
      <w:bookmarkEnd w:id="285"/>
      <w:bookmarkEnd w:id="286"/>
      <w:bookmarkEnd w:id="287"/>
      <w:bookmarkEnd w:id="288"/>
      <w:bookmarkEnd w:id="289"/>
      <w:r w:rsidR="00692DC8" w:rsidRPr="00E276CE">
        <w:rPr>
          <w:rFonts w:eastAsia="Times New Roman"/>
          <w:lang w:eastAsia="es-CR"/>
        </w:rPr>
        <w:t xml:space="preserve"> </w:t>
      </w:r>
      <w:bookmarkStart w:id="290" w:name="_Toc54976715"/>
      <w:bookmarkStart w:id="291" w:name="_Toc54976995"/>
      <w:bookmarkStart w:id="292" w:name="_Toc54977274"/>
      <w:bookmarkStart w:id="293" w:name="_Toc54977555"/>
      <w:bookmarkStart w:id="294" w:name="_Toc54977836"/>
      <w:bookmarkStart w:id="295" w:name="_Toc54978117"/>
      <w:bookmarkStart w:id="296" w:name="_Toc54978426"/>
      <w:bookmarkStart w:id="297" w:name="_Toc54978735"/>
      <w:bookmarkStart w:id="298" w:name="_Toc54979045"/>
      <w:bookmarkStart w:id="299" w:name="_Toc55059332"/>
      <w:bookmarkStart w:id="300" w:name="_Toc55059643"/>
      <w:bookmarkStart w:id="301" w:name="_Toc55060310"/>
      <w:bookmarkStart w:id="302" w:name="_Toc55060695"/>
      <w:bookmarkStart w:id="303" w:name="_Toc55062686"/>
      <w:bookmarkStart w:id="304" w:name="_Toc55062956"/>
      <w:bookmarkStart w:id="305" w:name="_Toc55063207"/>
      <w:bookmarkStart w:id="306" w:name="_Toc55063460"/>
      <w:bookmarkStart w:id="307" w:name="_Toc55063714"/>
      <w:bookmarkStart w:id="308" w:name="_Toc55063984"/>
      <w:bookmarkStart w:id="309" w:name="_Toc55069787"/>
      <w:bookmarkStart w:id="310" w:name="_Toc55070055"/>
      <w:bookmarkStart w:id="311" w:name="_Toc55070322"/>
      <w:bookmarkStart w:id="312" w:name="_Toc55070590"/>
      <w:bookmarkStart w:id="313" w:name="_Toc55070857"/>
      <w:bookmarkStart w:id="314" w:name="_Toc55201380"/>
      <w:bookmarkStart w:id="315" w:name="_Toc55824610"/>
      <w:bookmarkStart w:id="316" w:name="_Toc55824995"/>
      <w:bookmarkStart w:id="317" w:name="_Toc55828929"/>
      <w:bookmarkStart w:id="318" w:name="_Toc56002183"/>
      <w:bookmarkStart w:id="319" w:name="_Toc56002459"/>
      <w:bookmarkStart w:id="320" w:name="_Toc56004653"/>
      <w:bookmarkStart w:id="321" w:name="_Toc56065330"/>
      <w:bookmarkStart w:id="322" w:name="_Toc71563811"/>
      <w:bookmarkStart w:id="323" w:name="_Toc54976717"/>
      <w:bookmarkStart w:id="324" w:name="_Toc54976997"/>
      <w:bookmarkStart w:id="325" w:name="_Toc54977276"/>
      <w:bookmarkStart w:id="326" w:name="_Toc54977557"/>
      <w:bookmarkStart w:id="327" w:name="_Toc54977838"/>
      <w:bookmarkStart w:id="328" w:name="_Toc54978119"/>
      <w:bookmarkStart w:id="329" w:name="_Toc54978428"/>
      <w:bookmarkStart w:id="330" w:name="_Toc54978737"/>
      <w:bookmarkStart w:id="331" w:name="_Toc54979047"/>
      <w:bookmarkStart w:id="332" w:name="_Toc55059334"/>
      <w:bookmarkStart w:id="333" w:name="_Toc55059645"/>
      <w:bookmarkStart w:id="334" w:name="_Toc55060312"/>
      <w:bookmarkStart w:id="335" w:name="_Toc55060697"/>
      <w:bookmarkStart w:id="336" w:name="_Toc55062688"/>
      <w:bookmarkStart w:id="337" w:name="_Toc55062958"/>
      <w:bookmarkStart w:id="338" w:name="_Toc55063209"/>
      <w:bookmarkStart w:id="339" w:name="_Toc55063462"/>
      <w:bookmarkStart w:id="340" w:name="_Toc55063716"/>
      <w:bookmarkStart w:id="341" w:name="_Toc55063986"/>
      <w:bookmarkStart w:id="342" w:name="_Toc55069789"/>
      <w:bookmarkStart w:id="343" w:name="_Toc55070057"/>
      <w:bookmarkStart w:id="344" w:name="_Toc55070324"/>
      <w:bookmarkStart w:id="345" w:name="_Toc55070592"/>
      <w:bookmarkStart w:id="346" w:name="_Toc55070859"/>
      <w:bookmarkStart w:id="347" w:name="_Toc55201382"/>
      <w:bookmarkStart w:id="348" w:name="_Toc55824612"/>
      <w:bookmarkStart w:id="349" w:name="_Toc55824997"/>
      <w:bookmarkStart w:id="350" w:name="_Toc55828931"/>
      <w:bookmarkStart w:id="351" w:name="_Toc56002185"/>
      <w:bookmarkStart w:id="352" w:name="_Toc56002461"/>
      <w:bookmarkStart w:id="353" w:name="_Toc56004655"/>
      <w:bookmarkStart w:id="354" w:name="_Toc56065332"/>
      <w:bookmarkStart w:id="355" w:name="_Toc71563813"/>
      <w:bookmarkStart w:id="356" w:name="_Toc13041111"/>
      <w:bookmarkStart w:id="357" w:name="_Toc14345110"/>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p w14:paraId="49E74A0D" w14:textId="784FD1CC" w:rsidR="00692DC8" w:rsidRPr="00692DC8" w:rsidRDefault="00692DC8" w:rsidP="00E276CE">
      <w:pPr>
        <w:pStyle w:val="Ttulo3"/>
        <w:spacing w:after="240"/>
        <w:rPr>
          <w:rFonts w:eastAsia="Calibri"/>
          <w:lang w:eastAsia="es-CR"/>
        </w:rPr>
      </w:pPr>
      <w:bookmarkStart w:id="358" w:name="_Toc82768930"/>
      <w:bookmarkStart w:id="359" w:name="_Toc189804846"/>
      <w:bookmarkEnd w:id="356"/>
      <w:bookmarkEnd w:id="357"/>
      <w:r w:rsidRPr="00692DC8">
        <w:rPr>
          <w:rFonts w:eastAsia="Calibri"/>
          <w:lang w:eastAsia="es-CR"/>
        </w:rPr>
        <w:t>2.1 PASIVO CORRIENTE</w:t>
      </w:r>
      <w:bookmarkEnd w:id="358"/>
      <w:bookmarkEnd w:id="359"/>
    </w:p>
    <w:p w14:paraId="4910A0C6" w14:textId="77777777" w:rsidR="00692DC8" w:rsidRPr="00692DC8" w:rsidRDefault="00692DC8" w:rsidP="00E276CE">
      <w:pPr>
        <w:pStyle w:val="Ttulo4"/>
        <w:spacing w:after="240"/>
        <w:rPr>
          <w:rFonts w:eastAsia="Times New Roman"/>
        </w:rPr>
      </w:pPr>
      <w:bookmarkStart w:id="360" w:name="_Toc13041112"/>
      <w:bookmarkStart w:id="361" w:name="_Toc14345111"/>
      <w:bookmarkStart w:id="362" w:name="_Toc33601230"/>
      <w:bookmarkStart w:id="363" w:name="_Toc82768931"/>
      <w:bookmarkStart w:id="364" w:name="_Toc189804847"/>
      <w:r w:rsidRPr="00692DC8">
        <w:rPr>
          <w:rFonts w:eastAsia="Times New Roman"/>
        </w:rPr>
        <w:t>NOTA N° 14</w:t>
      </w:r>
      <w:bookmarkEnd w:id="360"/>
      <w:bookmarkEnd w:id="361"/>
      <w:bookmarkEnd w:id="362"/>
      <w:bookmarkEnd w:id="363"/>
      <w:bookmarkEnd w:id="364"/>
    </w:p>
    <w:p w14:paraId="5E5EB291" w14:textId="77777777" w:rsidR="00396CB4" w:rsidRDefault="00692DC8" w:rsidP="00F51D42">
      <w:pPr>
        <w:spacing w:before="240"/>
        <w:rPr>
          <w:rFonts w:asciiTheme="minorHAnsi" w:hAnsiTheme="minorHAnsi"/>
          <w:sz w:val="22"/>
        </w:rPr>
      </w:pPr>
      <w:bookmarkStart w:id="365" w:name="_Toc54546732"/>
      <w:bookmarkStart w:id="366" w:name="_Toc82768932"/>
      <w:r w:rsidRPr="00692DC8">
        <w:rPr>
          <w:rFonts w:eastAsia="Times New Roman"/>
        </w:rPr>
        <w:t>Deudas a corto plazo</w:t>
      </w:r>
      <w:bookmarkEnd w:id="365"/>
      <w:bookmarkEnd w:id="366"/>
      <w:r w:rsidR="006148F0">
        <w:rPr>
          <w:rFonts w:eastAsiaTheme="majorEastAsia" w:cstheme="majorBidi"/>
          <w:iCs/>
          <w:lang w:val="es-ES"/>
        </w:rPr>
        <w:fldChar w:fldCharType="begin"/>
      </w:r>
      <w:r w:rsidR="006148F0">
        <w:rPr>
          <w:lang w:val="es-ES"/>
        </w:rPr>
        <w:instrText xml:space="preserve"> LINK </w:instrText>
      </w:r>
      <w:r w:rsidR="00756467">
        <w:rPr>
          <w:lang w:val="es-ES"/>
        </w:rPr>
        <w:instrText xml:space="preserve">Excel.SheetMacroEnabled.12 "C:\\Users\\gcordero\\Downloads\\Notas diciembre 2024\\Formato_Notas_EEFF_Vinculadas_2024\\Formato_Notas_EEFF_Vinculadas_2024\\15603_T04_2024_Anexo_Estado_Notas_Contables_Vinculadas.xlsm" NOTAS_POR_CUENTA!F115C1:F117C6 </w:instrText>
      </w:r>
      <w:r w:rsidR="006148F0">
        <w:rPr>
          <w:lang w:val="es-ES"/>
        </w:rPr>
        <w:instrText xml:space="preserve">\a \f 4 \h </w:instrText>
      </w:r>
      <w:r w:rsidR="006148F0">
        <w:rPr>
          <w:b/>
          <w:lang w:val="es-ES"/>
        </w:rPr>
        <w:fldChar w:fldCharType="separate"/>
      </w:r>
    </w:p>
    <w:tbl>
      <w:tblPr>
        <w:tblW w:w="9600" w:type="dxa"/>
        <w:tblCellMar>
          <w:left w:w="70" w:type="dxa"/>
          <w:right w:w="70" w:type="dxa"/>
        </w:tblCellMar>
        <w:tblLook w:val="04A0" w:firstRow="1" w:lastRow="0" w:firstColumn="1" w:lastColumn="0" w:noHBand="0" w:noVBand="1"/>
      </w:tblPr>
      <w:tblGrid>
        <w:gridCol w:w="991"/>
        <w:gridCol w:w="2889"/>
        <w:gridCol w:w="500"/>
        <w:gridCol w:w="2100"/>
        <w:gridCol w:w="2100"/>
        <w:gridCol w:w="1020"/>
      </w:tblGrid>
      <w:tr w:rsidR="00396CB4" w:rsidRPr="00396CB4" w14:paraId="60FAC0FD" w14:textId="77777777" w:rsidTr="00396CB4">
        <w:trPr>
          <w:divId w:val="731467879"/>
          <w:trHeight w:val="330"/>
        </w:trPr>
        <w:tc>
          <w:tcPr>
            <w:tcW w:w="99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DEA2661" w14:textId="7551CE27" w:rsidR="00396CB4" w:rsidRPr="00396CB4" w:rsidRDefault="00396CB4" w:rsidP="00396CB4">
            <w:pP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2889"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ACF197A"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61126AD"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B058E05"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F26211F"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34D16ACB"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35B6657A" w14:textId="77777777" w:rsidTr="00396CB4">
        <w:trPr>
          <w:divId w:val="731467879"/>
          <w:trHeight w:val="330"/>
        </w:trPr>
        <w:tc>
          <w:tcPr>
            <w:tcW w:w="991" w:type="dxa"/>
            <w:vMerge/>
            <w:tcBorders>
              <w:top w:val="single" w:sz="8" w:space="0" w:color="auto"/>
              <w:left w:val="single" w:sz="8" w:space="0" w:color="auto"/>
              <w:bottom w:val="single" w:sz="8" w:space="0" w:color="000000"/>
              <w:right w:val="single" w:sz="8" w:space="0" w:color="auto"/>
            </w:tcBorders>
            <w:vAlign w:val="center"/>
            <w:hideMark/>
          </w:tcPr>
          <w:p w14:paraId="0ECAA28C"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889" w:type="dxa"/>
            <w:vMerge/>
            <w:tcBorders>
              <w:top w:val="single" w:sz="8" w:space="0" w:color="auto"/>
              <w:left w:val="single" w:sz="8" w:space="0" w:color="auto"/>
              <w:bottom w:val="single" w:sz="8" w:space="0" w:color="000000"/>
              <w:right w:val="single" w:sz="8" w:space="0" w:color="auto"/>
            </w:tcBorders>
            <w:vAlign w:val="center"/>
            <w:hideMark/>
          </w:tcPr>
          <w:p w14:paraId="0ECA9946"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0D66BFB1"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39D491B0"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2AE5E31B"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5046584D"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1321088D" w14:textId="77777777" w:rsidTr="00396CB4">
        <w:trPr>
          <w:divId w:val="731467879"/>
          <w:trHeight w:val="330"/>
        </w:trPr>
        <w:tc>
          <w:tcPr>
            <w:tcW w:w="991" w:type="dxa"/>
            <w:tcBorders>
              <w:top w:val="nil"/>
              <w:left w:val="single" w:sz="8" w:space="0" w:color="auto"/>
              <w:bottom w:val="single" w:sz="8" w:space="0" w:color="auto"/>
              <w:right w:val="single" w:sz="8" w:space="0" w:color="auto"/>
            </w:tcBorders>
            <w:shd w:val="clear" w:color="auto" w:fill="auto"/>
            <w:noWrap/>
            <w:vAlign w:val="center"/>
            <w:hideMark/>
          </w:tcPr>
          <w:p w14:paraId="315FDB8D"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2.1.1.</w:t>
            </w:r>
          </w:p>
        </w:tc>
        <w:tc>
          <w:tcPr>
            <w:tcW w:w="2889" w:type="dxa"/>
            <w:tcBorders>
              <w:top w:val="nil"/>
              <w:left w:val="nil"/>
              <w:bottom w:val="single" w:sz="8" w:space="0" w:color="auto"/>
              <w:right w:val="single" w:sz="8" w:space="0" w:color="auto"/>
            </w:tcBorders>
            <w:shd w:val="clear" w:color="auto" w:fill="auto"/>
            <w:vAlign w:val="center"/>
            <w:hideMark/>
          </w:tcPr>
          <w:p w14:paraId="45768F15"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Deudas a corto plazo</w:t>
            </w:r>
          </w:p>
        </w:tc>
        <w:tc>
          <w:tcPr>
            <w:tcW w:w="500" w:type="dxa"/>
            <w:tcBorders>
              <w:top w:val="nil"/>
              <w:left w:val="nil"/>
              <w:bottom w:val="single" w:sz="8" w:space="0" w:color="auto"/>
              <w:right w:val="single" w:sz="8" w:space="0" w:color="auto"/>
            </w:tcBorders>
            <w:shd w:val="clear" w:color="auto" w:fill="auto"/>
            <w:noWrap/>
            <w:vAlign w:val="center"/>
            <w:hideMark/>
          </w:tcPr>
          <w:p w14:paraId="705BF0D1"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14</w:t>
            </w:r>
          </w:p>
        </w:tc>
        <w:tc>
          <w:tcPr>
            <w:tcW w:w="2100" w:type="dxa"/>
            <w:tcBorders>
              <w:top w:val="nil"/>
              <w:left w:val="nil"/>
              <w:bottom w:val="single" w:sz="8" w:space="0" w:color="auto"/>
              <w:right w:val="single" w:sz="8" w:space="0" w:color="auto"/>
            </w:tcBorders>
            <w:shd w:val="clear" w:color="auto" w:fill="auto"/>
            <w:noWrap/>
            <w:vAlign w:val="center"/>
            <w:hideMark/>
          </w:tcPr>
          <w:p w14:paraId="12327A1D"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100 143,27 </w:t>
            </w:r>
          </w:p>
        </w:tc>
        <w:tc>
          <w:tcPr>
            <w:tcW w:w="2100" w:type="dxa"/>
            <w:tcBorders>
              <w:top w:val="nil"/>
              <w:left w:val="nil"/>
              <w:bottom w:val="single" w:sz="8" w:space="0" w:color="auto"/>
              <w:right w:val="single" w:sz="8" w:space="0" w:color="auto"/>
            </w:tcBorders>
            <w:shd w:val="clear" w:color="auto" w:fill="auto"/>
            <w:noWrap/>
            <w:vAlign w:val="center"/>
            <w:hideMark/>
          </w:tcPr>
          <w:p w14:paraId="35836B80"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86 261,73 </w:t>
            </w:r>
          </w:p>
        </w:tc>
        <w:tc>
          <w:tcPr>
            <w:tcW w:w="1020" w:type="dxa"/>
            <w:tcBorders>
              <w:top w:val="nil"/>
              <w:left w:val="nil"/>
              <w:bottom w:val="single" w:sz="8" w:space="0" w:color="auto"/>
              <w:right w:val="single" w:sz="8" w:space="0" w:color="auto"/>
            </w:tcBorders>
            <w:shd w:val="clear" w:color="auto" w:fill="auto"/>
            <w:noWrap/>
            <w:vAlign w:val="center"/>
            <w:hideMark/>
          </w:tcPr>
          <w:p w14:paraId="0DBFD37D"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16,09%</w:t>
            </w:r>
          </w:p>
        </w:tc>
      </w:tr>
    </w:tbl>
    <w:p w14:paraId="05AFCD19" w14:textId="77777777" w:rsidR="00396CB4" w:rsidRPr="00396CB4" w:rsidRDefault="006148F0" w:rsidP="00396CB4">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756467">
        <w:rPr>
          <w:rFonts w:eastAsia="Times New Roman" w:cs="Calibri"/>
          <w:color w:val="000000"/>
          <w:lang w:eastAsia="es-CR"/>
        </w:rPr>
        <w:instrText xml:space="preserve">Excel.SheetMacroEnabled.12 "C:\\Users\\gcordero\\Downloads\\Notas diciembre 2024\\Formato_Notas_EEFF_Vinculadas_2024\\Formato_Notas_EEFF_Vinculadas_2024\\15603_T04_2024_Anexo_Estado_Notas_Contables_Vinculadas.xlsm" NOTAS_POR_CUENTA!F117C8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7E87B3A7" w14:textId="77777777" w:rsidR="00396CB4" w:rsidRPr="00396CB4" w:rsidRDefault="00396CB4" w:rsidP="00396CB4">
      <w:pPr>
        <w:rPr>
          <w:rFonts w:eastAsia="Times New Roman" w:cs="Calibri"/>
          <w:color w:val="000000"/>
          <w:lang w:eastAsia="es-CR"/>
        </w:rPr>
      </w:pPr>
      <w:r w:rsidRPr="00396CB4">
        <w:rPr>
          <w:rFonts w:eastAsia="Times New Roman" w:cs="Calibri"/>
          <w:color w:val="000000"/>
          <w:lang w:eastAsia="es-CR"/>
        </w:rPr>
        <w:t>La cuenta Deudas a corto plazo, representa el 4,28% del total del Pasivo, que comparado al periodo anterior genera una variación absoluta de 13 881,54 que corresponde a un Aumento del 16,09% de recursos disponibles.</w:t>
      </w:r>
    </w:p>
    <w:p w14:paraId="42EF4C25" w14:textId="77777777" w:rsidR="00E17429" w:rsidRDefault="006148F0" w:rsidP="006148F0">
      <w:r>
        <w:rPr>
          <w:rFonts w:eastAsia="Times New Roman" w:cs="Calibri"/>
          <w:color w:val="000000"/>
          <w:lang w:eastAsia="es-CR"/>
        </w:rPr>
        <w:lastRenderedPageBreak/>
        <w:fldChar w:fldCharType="end"/>
      </w:r>
      <w:r w:rsidR="00692DC8" w:rsidRPr="00692DC8">
        <w:rPr>
          <w:highlight w:val="lightGray"/>
        </w:rPr>
        <w:t>Las variaciones de la cuenta son producto de (Indicar la razón de las variaciones de un periodo a otro):</w:t>
      </w:r>
    </w:p>
    <w:p w14:paraId="3F4EA60D" w14:textId="0AAC0B3D" w:rsidR="00E17429" w:rsidRDefault="00E17429" w:rsidP="00E17429">
      <w:pPr>
        <w:spacing w:after="0" w:line="240" w:lineRule="auto"/>
      </w:pPr>
      <w:r>
        <w:t>Como se puede observar en siguiente cuadro</w:t>
      </w:r>
      <w:r w:rsidRPr="00A91674">
        <w:t xml:space="preserve"> las Deudas a corto plazo al </w:t>
      </w:r>
      <w:r w:rsidR="00796636">
        <w:t>31</w:t>
      </w:r>
      <w:r>
        <w:t xml:space="preserve"> de </w:t>
      </w:r>
      <w:r w:rsidR="00D64CF8">
        <w:t>diciembre</w:t>
      </w:r>
      <w:r w:rsidRPr="00A91674">
        <w:t xml:space="preserve"> de </w:t>
      </w:r>
      <w:r>
        <w:t xml:space="preserve">2024 tenían la </w:t>
      </w:r>
      <w:r w:rsidRPr="00A91674">
        <w:t>siguiente</w:t>
      </w:r>
      <w:r>
        <w:t xml:space="preserve"> composición</w:t>
      </w:r>
      <w:r w:rsidRPr="00A91674">
        <w:t>:</w:t>
      </w:r>
    </w:p>
    <w:p w14:paraId="4745073B" w14:textId="77777777" w:rsidR="00E17429" w:rsidRPr="00A91674" w:rsidRDefault="00E17429" w:rsidP="00E17429">
      <w:pPr>
        <w:spacing w:after="0" w:line="240" w:lineRule="auto"/>
        <w:rPr>
          <w:lang w:eastAsia="es-CR"/>
        </w:rPr>
      </w:pPr>
    </w:p>
    <w:tbl>
      <w:tblPr>
        <w:tblW w:w="8780" w:type="dxa"/>
        <w:tblCellMar>
          <w:left w:w="70" w:type="dxa"/>
          <w:right w:w="70" w:type="dxa"/>
        </w:tblCellMar>
        <w:tblLook w:val="04A0" w:firstRow="1" w:lastRow="0" w:firstColumn="1" w:lastColumn="0" w:noHBand="0" w:noVBand="1"/>
      </w:tblPr>
      <w:tblGrid>
        <w:gridCol w:w="1275"/>
        <w:gridCol w:w="3164"/>
        <w:gridCol w:w="1135"/>
        <w:gridCol w:w="1274"/>
        <w:gridCol w:w="1095"/>
        <w:gridCol w:w="875"/>
      </w:tblGrid>
      <w:tr w:rsidR="00E17429" w:rsidRPr="00F520D4" w14:paraId="3801850F" w14:textId="77777777" w:rsidTr="00756467">
        <w:trPr>
          <w:trHeight w:val="510"/>
        </w:trPr>
        <w:tc>
          <w:tcPr>
            <w:tcW w:w="1280" w:type="dxa"/>
            <w:tcBorders>
              <w:top w:val="single" w:sz="8" w:space="0" w:color="auto"/>
              <w:left w:val="single" w:sz="8" w:space="0" w:color="auto"/>
              <w:bottom w:val="nil"/>
              <w:right w:val="single" w:sz="12" w:space="0" w:color="auto"/>
            </w:tcBorders>
            <w:shd w:val="clear" w:color="000000" w:fill="002060"/>
            <w:noWrap/>
            <w:vAlign w:val="center"/>
            <w:hideMark/>
          </w:tcPr>
          <w:p w14:paraId="3E33395A" w14:textId="77777777" w:rsidR="00E17429" w:rsidRPr="00F520D4" w:rsidRDefault="00E17429" w:rsidP="00756467">
            <w:pPr>
              <w:spacing w:after="0" w:line="240" w:lineRule="auto"/>
              <w:jc w:val="center"/>
              <w:rPr>
                <w:rFonts w:eastAsia="Times New Roman" w:cs="Calibri"/>
                <w:b/>
                <w:bCs/>
                <w:color w:val="FFFFFF"/>
                <w:sz w:val="20"/>
                <w:szCs w:val="20"/>
                <w:lang w:eastAsia="es-CR"/>
              </w:rPr>
            </w:pPr>
            <w:r w:rsidRPr="00F520D4">
              <w:rPr>
                <w:rFonts w:eastAsia="Times New Roman" w:cs="Calibri"/>
                <w:b/>
                <w:bCs/>
                <w:color w:val="FFFFFF"/>
                <w:sz w:val="20"/>
                <w:szCs w:val="20"/>
                <w:lang w:eastAsia="es-CR"/>
              </w:rPr>
              <w:t>Cuenta</w:t>
            </w:r>
          </w:p>
        </w:tc>
        <w:tc>
          <w:tcPr>
            <w:tcW w:w="3180" w:type="dxa"/>
            <w:tcBorders>
              <w:top w:val="single" w:sz="8" w:space="0" w:color="auto"/>
              <w:left w:val="nil"/>
              <w:bottom w:val="nil"/>
              <w:right w:val="single" w:sz="12" w:space="0" w:color="auto"/>
            </w:tcBorders>
            <w:shd w:val="clear" w:color="000000" w:fill="002060"/>
            <w:noWrap/>
            <w:vAlign w:val="center"/>
            <w:hideMark/>
          </w:tcPr>
          <w:p w14:paraId="4E2C0025" w14:textId="77777777" w:rsidR="00E17429" w:rsidRPr="00F520D4" w:rsidRDefault="00E17429" w:rsidP="00756467">
            <w:pPr>
              <w:spacing w:after="0" w:line="240" w:lineRule="auto"/>
              <w:jc w:val="center"/>
              <w:rPr>
                <w:rFonts w:eastAsia="Times New Roman" w:cs="Calibri"/>
                <w:b/>
                <w:bCs/>
                <w:color w:val="FFFFFF"/>
                <w:sz w:val="20"/>
                <w:szCs w:val="20"/>
                <w:lang w:eastAsia="es-CR"/>
              </w:rPr>
            </w:pPr>
            <w:r w:rsidRPr="00F520D4">
              <w:rPr>
                <w:rFonts w:eastAsia="Times New Roman" w:cs="Calibri"/>
                <w:b/>
                <w:bCs/>
                <w:color w:val="FFFFFF"/>
                <w:sz w:val="20"/>
                <w:szCs w:val="20"/>
                <w:lang w:eastAsia="es-CR"/>
              </w:rPr>
              <w:t>Descripción</w:t>
            </w:r>
          </w:p>
        </w:tc>
        <w:tc>
          <w:tcPr>
            <w:tcW w:w="1140" w:type="dxa"/>
            <w:tcBorders>
              <w:top w:val="single" w:sz="8" w:space="0" w:color="auto"/>
              <w:left w:val="nil"/>
              <w:bottom w:val="nil"/>
              <w:right w:val="single" w:sz="12" w:space="0" w:color="auto"/>
            </w:tcBorders>
            <w:shd w:val="clear" w:color="000000" w:fill="002060"/>
            <w:vAlign w:val="center"/>
            <w:hideMark/>
          </w:tcPr>
          <w:p w14:paraId="090E6C1A" w14:textId="77777777" w:rsidR="00E17429" w:rsidRPr="00F520D4" w:rsidRDefault="00E17429" w:rsidP="00756467">
            <w:pPr>
              <w:spacing w:after="0" w:line="240" w:lineRule="auto"/>
              <w:jc w:val="center"/>
              <w:rPr>
                <w:rFonts w:eastAsia="Times New Roman" w:cs="Calibri"/>
                <w:b/>
                <w:bCs/>
                <w:color w:val="FFFFFF"/>
                <w:sz w:val="20"/>
                <w:szCs w:val="20"/>
                <w:lang w:eastAsia="es-CR"/>
              </w:rPr>
            </w:pPr>
            <w:r w:rsidRPr="00F520D4">
              <w:rPr>
                <w:rFonts w:eastAsia="Times New Roman" w:cs="Calibri"/>
                <w:b/>
                <w:bCs/>
                <w:color w:val="FFFFFF"/>
                <w:sz w:val="20"/>
                <w:szCs w:val="20"/>
                <w:lang w:eastAsia="es-CR"/>
              </w:rPr>
              <w:t>Saldo Año Actual</w:t>
            </w:r>
          </w:p>
        </w:tc>
        <w:tc>
          <w:tcPr>
            <w:tcW w:w="1280" w:type="dxa"/>
            <w:tcBorders>
              <w:top w:val="single" w:sz="8" w:space="0" w:color="auto"/>
              <w:left w:val="nil"/>
              <w:bottom w:val="nil"/>
              <w:right w:val="single" w:sz="12" w:space="0" w:color="auto"/>
            </w:tcBorders>
            <w:shd w:val="clear" w:color="000000" w:fill="002060"/>
            <w:vAlign w:val="center"/>
            <w:hideMark/>
          </w:tcPr>
          <w:p w14:paraId="0955E110" w14:textId="77777777" w:rsidR="00E17429" w:rsidRPr="00F520D4" w:rsidRDefault="00E17429" w:rsidP="00756467">
            <w:pPr>
              <w:spacing w:after="0" w:line="240" w:lineRule="auto"/>
              <w:jc w:val="center"/>
              <w:rPr>
                <w:rFonts w:eastAsia="Times New Roman" w:cs="Calibri"/>
                <w:b/>
                <w:bCs/>
                <w:color w:val="FFFFFF"/>
                <w:sz w:val="20"/>
                <w:szCs w:val="20"/>
                <w:lang w:eastAsia="es-CR"/>
              </w:rPr>
            </w:pPr>
            <w:r w:rsidRPr="00F520D4">
              <w:rPr>
                <w:rFonts w:eastAsia="Times New Roman" w:cs="Calibri"/>
                <w:b/>
                <w:bCs/>
                <w:color w:val="FFFFFF"/>
                <w:sz w:val="20"/>
                <w:szCs w:val="20"/>
                <w:lang w:eastAsia="es-CR"/>
              </w:rPr>
              <w:t>Saldo Año Anterior</w:t>
            </w:r>
          </w:p>
        </w:tc>
        <w:tc>
          <w:tcPr>
            <w:tcW w:w="1100" w:type="dxa"/>
            <w:tcBorders>
              <w:top w:val="single" w:sz="8" w:space="0" w:color="auto"/>
              <w:left w:val="nil"/>
              <w:bottom w:val="nil"/>
              <w:right w:val="single" w:sz="12" w:space="0" w:color="auto"/>
            </w:tcBorders>
            <w:shd w:val="clear" w:color="000000" w:fill="002060"/>
            <w:vAlign w:val="center"/>
            <w:hideMark/>
          </w:tcPr>
          <w:p w14:paraId="3EA7DE75" w14:textId="77777777" w:rsidR="00E17429" w:rsidRPr="00F520D4" w:rsidRDefault="00E17429" w:rsidP="00756467">
            <w:pPr>
              <w:spacing w:after="0" w:line="240" w:lineRule="auto"/>
              <w:jc w:val="center"/>
              <w:rPr>
                <w:rFonts w:eastAsia="Times New Roman" w:cs="Calibri"/>
                <w:b/>
                <w:bCs/>
                <w:color w:val="FFFFFF"/>
                <w:sz w:val="20"/>
                <w:szCs w:val="20"/>
                <w:lang w:eastAsia="es-CR"/>
              </w:rPr>
            </w:pPr>
            <w:r w:rsidRPr="00F520D4">
              <w:rPr>
                <w:rFonts w:eastAsia="Times New Roman" w:cs="Calibri"/>
                <w:b/>
                <w:bCs/>
                <w:color w:val="FFFFFF"/>
                <w:sz w:val="20"/>
                <w:szCs w:val="20"/>
                <w:lang w:eastAsia="es-CR"/>
              </w:rPr>
              <w:t>Variación Absoluta</w:t>
            </w:r>
          </w:p>
        </w:tc>
        <w:tc>
          <w:tcPr>
            <w:tcW w:w="800" w:type="dxa"/>
            <w:tcBorders>
              <w:top w:val="single" w:sz="8" w:space="0" w:color="auto"/>
              <w:left w:val="nil"/>
              <w:bottom w:val="nil"/>
              <w:right w:val="single" w:sz="8" w:space="0" w:color="auto"/>
            </w:tcBorders>
            <w:shd w:val="clear" w:color="000000" w:fill="002060"/>
            <w:vAlign w:val="center"/>
            <w:hideMark/>
          </w:tcPr>
          <w:p w14:paraId="490DF875" w14:textId="77777777" w:rsidR="00E17429" w:rsidRPr="00F520D4" w:rsidRDefault="00E17429" w:rsidP="00756467">
            <w:pPr>
              <w:spacing w:after="0" w:line="240" w:lineRule="auto"/>
              <w:jc w:val="center"/>
              <w:rPr>
                <w:rFonts w:eastAsia="Times New Roman" w:cs="Calibri"/>
                <w:b/>
                <w:bCs/>
                <w:color w:val="FFFFFF"/>
                <w:sz w:val="20"/>
                <w:szCs w:val="20"/>
                <w:lang w:eastAsia="es-CR"/>
              </w:rPr>
            </w:pPr>
            <w:r w:rsidRPr="00F520D4">
              <w:rPr>
                <w:rFonts w:eastAsia="Times New Roman" w:cs="Calibri"/>
                <w:b/>
                <w:bCs/>
                <w:color w:val="FFFFFF"/>
                <w:sz w:val="20"/>
                <w:szCs w:val="20"/>
                <w:lang w:eastAsia="es-CR"/>
              </w:rPr>
              <w:t>Variación %</w:t>
            </w:r>
          </w:p>
        </w:tc>
      </w:tr>
      <w:tr w:rsidR="00E17429" w:rsidRPr="00F520D4" w14:paraId="1BDE46D5" w14:textId="77777777" w:rsidTr="00756467">
        <w:trPr>
          <w:trHeight w:val="300"/>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5A6126" w14:textId="77777777" w:rsidR="00E17429" w:rsidRPr="00F520D4" w:rsidRDefault="00E17429" w:rsidP="00756467">
            <w:pPr>
              <w:spacing w:after="0" w:line="240" w:lineRule="auto"/>
              <w:jc w:val="left"/>
              <w:rPr>
                <w:rFonts w:eastAsia="Times New Roman" w:cs="Calibri"/>
                <w:color w:val="000000"/>
                <w:sz w:val="20"/>
                <w:szCs w:val="20"/>
                <w:lang w:eastAsia="es-CR"/>
              </w:rPr>
            </w:pPr>
            <w:r w:rsidRPr="00F520D4">
              <w:rPr>
                <w:rFonts w:eastAsia="Times New Roman" w:cs="Calibri"/>
                <w:color w:val="000000"/>
                <w:sz w:val="20"/>
                <w:szCs w:val="20"/>
                <w:lang w:eastAsia="es-CR"/>
              </w:rPr>
              <w:t>2.1.1.01.</w:t>
            </w:r>
          </w:p>
        </w:tc>
        <w:tc>
          <w:tcPr>
            <w:tcW w:w="3180" w:type="dxa"/>
            <w:tcBorders>
              <w:top w:val="single" w:sz="4" w:space="0" w:color="auto"/>
              <w:left w:val="nil"/>
              <w:bottom w:val="single" w:sz="4" w:space="0" w:color="auto"/>
              <w:right w:val="single" w:sz="4" w:space="0" w:color="auto"/>
            </w:tcBorders>
            <w:shd w:val="clear" w:color="auto" w:fill="auto"/>
            <w:vAlign w:val="center"/>
            <w:hideMark/>
          </w:tcPr>
          <w:p w14:paraId="7F4DBA54" w14:textId="77777777" w:rsidR="00E17429" w:rsidRPr="00F520D4" w:rsidRDefault="00E17429" w:rsidP="00756467">
            <w:pPr>
              <w:spacing w:after="0" w:line="240" w:lineRule="auto"/>
              <w:jc w:val="left"/>
              <w:rPr>
                <w:rFonts w:eastAsia="Times New Roman" w:cs="Calibri"/>
                <w:sz w:val="20"/>
                <w:szCs w:val="20"/>
                <w:lang w:eastAsia="es-CR"/>
              </w:rPr>
            </w:pPr>
            <w:r w:rsidRPr="00F520D4">
              <w:rPr>
                <w:rFonts w:eastAsia="Times New Roman" w:cs="Calibri"/>
                <w:sz w:val="20"/>
                <w:szCs w:val="20"/>
                <w:lang w:eastAsia="es-CR"/>
              </w:rPr>
              <w:t>Deudas comerciales a corto plazo</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63F22C50" w14:textId="77777777" w:rsidR="00E17429" w:rsidRPr="00F520D4" w:rsidRDefault="00E17429" w:rsidP="00756467">
            <w:pPr>
              <w:spacing w:after="0" w:line="240" w:lineRule="auto"/>
              <w:jc w:val="right"/>
              <w:rPr>
                <w:rFonts w:eastAsia="Times New Roman" w:cs="Calibri"/>
                <w:color w:val="000000"/>
                <w:sz w:val="20"/>
                <w:szCs w:val="20"/>
                <w:lang w:eastAsia="es-CR"/>
              </w:rPr>
            </w:pPr>
            <w:r w:rsidRPr="00F520D4">
              <w:rPr>
                <w:rFonts w:eastAsia="Times New Roman" w:cs="Calibri"/>
                <w:color w:val="000000"/>
                <w:sz w:val="20"/>
                <w:szCs w:val="20"/>
                <w:lang w:eastAsia="es-CR"/>
              </w:rPr>
              <w:t>44 628,48</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5C9AE662" w14:textId="77777777" w:rsidR="00E17429" w:rsidRPr="00F520D4" w:rsidRDefault="00E17429" w:rsidP="00756467">
            <w:pPr>
              <w:spacing w:after="0" w:line="240" w:lineRule="auto"/>
              <w:jc w:val="right"/>
              <w:rPr>
                <w:rFonts w:eastAsia="Times New Roman" w:cs="Calibri"/>
                <w:sz w:val="20"/>
                <w:szCs w:val="20"/>
                <w:lang w:eastAsia="es-CR"/>
              </w:rPr>
            </w:pPr>
            <w:r w:rsidRPr="00F520D4">
              <w:rPr>
                <w:rFonts w:eastAsia="Times New Roman" w:cs="Calibri"/>
                <w:sz w:val="20"/>
                <w:szCs w:val="20"/>
                <w:lang w:eastAsia="es-CR"/>
              </w:rPr>
              <w:t>32 503,77</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14:paraId="3D8517F7" w14:textId="77777777" w:rsidR="00E17429" w:rsidRPr="00F520D4" w:rsidRDefault="00E17429" w:rsidP="00756467">
            <w:pPr>
              <w:spacing w:after="0" w:line="240" w:lineRule="auto"/>
              <w:jc w:val="right"/>
              <w:rPr>
                <w:rFonts w:eastAsia="Times New Roman" w:cs="Calibri"/>
                <w:sz w:val="20"/>
                <w:szCs w:val="20"/>
                <w:lang w:eastAsia="es-CR"/>
              </w:rPr>
            </w:pPr>
            <w:r w:rsidRPr="00F520D4">
              <w:rPr>
                <w:rFonts w:eastAsia="Times New Roman" w:cs="Calibri"/>
                <w:sz w:val="20"/>
                <w:szCs w:val="20"/>
                <w:lang w:eastAsia="es-CR"/>
              </w:rPr>
              <w:t>12 124,71</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35F53AD1" w14:textId="4946477E" w:rsidR="00E17429" w:rsidRPr="00F520D4" w:rsidRDefault="00E17429" w:rsidP="00756467">
            <w:pPr>
              <w:spacing w:after="0" w:line="240" w:lineRule="auto"/>
              <w:jc w:val="right"/>
              <w:rPr>
                <w:rFonts w:eastAsia="Times New Roman" w:cs="Calibri"/>
                <w:sz w:val="20"/>
                <w:szCs w:val="20"/>
                <w:lang w:eastAsia="es-CR"/>
              </w:rPr>
            </w:pPr>
            <w:r w:rsidRPr="00F520D4">
              <w:rPr>
                <w:rFonts w:eastAsia="Times New Roman" w:cs="Calibri"/>
                <w:sz w:val="20"/>
                <w:szCs w:val="20"/>
                <w:lang w:eastAsia="es-CR"/>
              </w:rPr>
              <w:t>37,</w:t>
            </w:r>
            <w:r w:rsidR="00796636">
              <w:rPr>
                <w:rFonts w:eastAsia="Times New Roman" w:cs="Calibri"/>
                <w:sz w:val="20"/>
                <w:szCs w:val="20"/>
                <w:lang w:eastAsia="es-CR"/>
              </w:rPr>
              <w:t>31</w:t>
            </w:r>
            <w:r w:rsidRPr="00F520D4">
              <w:rPr>
                <w:rFonts w:eastAsia="Times New Roman" w:cs="Calibri"/>
                <w:sz w:val="20"/>
                <w:szCs w:val="20"/>
                <w:lang w:eastAsia="es-CR"/>
              </w:rPr>
              <w:t>%</w:t>
            </w:r>
          </w:p>
        </w:tc>
      </w:tr>
      <w:tr w:rsidR="00E17429" w:rsidRPr="00F520D4" w14:paraId="78A3762D" w14:textId="77777777" w:rsidTr="00756467">
        <w:trPr>
          <w:trHeight w:val="300"/>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14:paraId="39502A3A" w14:textId="77777777" w:rsidR="00E17429" w:rsidRPr="00F520D4" w:rsidRDefault="00E17429" w:rsidP="00756467">
            <w:pPr>
              <w:spacing w:after="0" w:line="240" w:lineRule="auto"/>
              <w:jc w:val="left"/>
              <w:rPr>
                <w:rFonts w:eastAsia="Times New Roman" w:cs="Calibri"/>
                <w:color w:val="000000"/>
                <w:sz w:val="20"/>
                <w:szCs w:val="20"/>
                <w:lang w:eastAsia="es-CR"/>
              </w:rPr>
            </w:pPr>
            <w:r w:rsidRPr="00F520D4">
              <w:rPr>
                <w:rFonts w:eastAsia="Times New Roman" w:cs="Calibri"/>
                <w:color w:val="000000"/>
                <w:sz w:val="20"/>
                <w:szCs w:val="20"/>
                <w:lang w:eastAsia="es-CR"/>
              </w:rPr>
              <w:t>2.1.1.02.</w:t>
            </w:r>
          </w:p>
        </w:tc>
        <w:tc>
          <w:tcPr>
            <w:tcW w:w="3180" w:type="dxa"/>
            <w:tcBorders>
              <w:top w:val="nil"/>
              <w:left w:val="nil"/>
              <w:bottom w:val="single" w:sz="4" w:space="0" w:color="auto"/>
              <w:right w:val="single" w:sz="4" w:space="0" w:color="auto"/>
            </w:tcBorders>
            <w:shd w:val="clear" w:color="auto" w:fill="auto"/>
            <w:vAlign w:val="center"/>
            <w:hideMark/>
          </w:tcPr>
          <w:p w14:paraId="5370CC89" w14:textId="77777777" w:rsidR="00E17429" w:rsidRPr="00F520D4" w:rsidRDefault="00E17429" w:rsidP="00756467">
            <w:pPr>
              <w:spacing w:after="0" w:line="240" w:lineRule="auto"/>
              <w:jc w:val="left"/>
              <w:rPr>
                <w:rFonts w:eastAsia="Times New Roman" w:cs="Calibri"/>
                <w:sz w:val="20"/>
                <w:szCs w:val="20"/>
                <w:lang w:eastAsia="es-CR"/>
              </w:rPr>
            </w:pPr>
            <w:r w:rsidRPr="00F520D4">
              <w:rPr>
                <w:rFonts w:eastAsia="Times New Roman" w:cs="Calibri"/>
                <w:sz w:val="20"/>
                <w:szCs w:val="20"/>
                <w:lang w:eastAsia="es-CR"/>
              </w:rPr>
              <w:t>Deudas sociales y fiscales a corto plazo</w:t>
            </w:r>
          </w:p>
        </w:tc>
        <w:tc>
          <w:tcPr>
            <w:tcW w:w="1140" w:type="dxa"/>
            <w:tcBorders>
              <w:top w:val="nil"/>
              <w:left w:val="nil"/>
              <w:bottom w:val="single" w:sz="4" w:space="0" w:color="auto"/>
              <w:right w:val="single" w:sz="4" w:space="0" w:color="auto"/>
            </w:tcBorders>
            <w:shd w:val="clear" w:color="auto" w:fill="auto"/>
            <w:noWrap/>
            <w:vAlign w:val="bottom"/>
            <w:hideMark/>
          </w:tcPr>
          <w:p w14:paraId="296378F7" w14:textId="77777777" w:rsidR="00E17429" w:rsidRPr="00F520D4" w:rsidRDefault="00E17429" w:rsidP="00756467">
            <w:pPr>
              <w:spacing w:after="0" w:line="240" w:lineRule="auto"/>
              <w:jc w:val="right"/>
              <w:rPr>
                <w:rFonts w:eastAsia="Times New Roman" w:cs="Calibri"/>
                <w:color w:val="000000"/>
                <w:sz w:val="20"/>
                <w:szCs w:val="20"/>
                <w:lang w:eastAsia="es-CR"/>
              </w:rPr>
            </w:pPr>
            <w:r w:rsidRPr="00F520D4">
              <w:rPr>
                <w:rFonts w:eastAsia="Times New Roman" w:cs="Calibri"/>
                <w:color w:val="000000"/>
                <w:sz w:val="20"/>
                <w:szCs w:val="20"/>
                <w:lang w:eastAsia="es-CR"/>
              </w:rPr>
              <w:t>155 733,54</w:t>
            </w:r>
          </w:p>
        </w:tc>
        <w:tc>
          <w:tcPr>
            <w:tcW w:w="1280" w:type="dxa"/>
            <w:tcBorders>
              <w:top w:val="nil"/>
              <w:left w:val="nil"/>
              <w:bottom w:val="single" w:sz="4" w:space="0" w:color="auto"/>
              <w:right w:val="single" w:sz="4" w:space="0" w:color="auto"/>
            </w:tcBorders>
            <w:shd w:val="clear" w:color="auto" w:fill="auto"/>
            <w:noWrap/>
            <w:vAlign w:val="bottom"/>
            <w:hideMark/>
          </w:tcPr>
          <w:p w14:paraId="6824635C" w14:textId="77777777" w:rsidR="00E17429" w:rsidRPr="00F520D4" w:rsidRDefault="00E17429" w:rsidP="00756467">
            <w:pPr>
              <w:spacing w:after="0" w:line="240" w:lineRule="auto"/>
              <w:jc w:val="right"/>
              <w:rPr>
                <w:rFonts w:eastAsia="Times New Roman" w:cs="Calibri"/>
                <w:sz w:val="20"/>
                <w:szCs w:val="20"/>
                <w:lang w:eastAsia="es-CR"/>
              </w:rPr>
            </w:pPr>
            <w:r w:rsidRPr="00F520D4">
              <w:rPr>
                <w:rFonts w:eastAsia="Times New Roman" w:cs="Calibri"/>
                <w:sz w:val="20"/>
                <w:szCs w:val="20"/>
                <w:lang w:eastAsia="es-CR"/>
              </w:rPr>
              <w:t>181 141,32</w:t>
            </w:r>
          </w:p>
        </w:tc>
        <w:tc>
          <w:tcPr>
            <w:tcW w:w="1100" w:type="dxa"/>
            <w:tcBorders>
              <w:top w:val="nil"/>
              <w:left w:val="nil"/>
              <w:bottom w:val="single" w:sz="4" w:space="0" w:color="auto"/>
              <w:right w:val="single" w:sz="4" w:space="0" w:color="auto"/>
            </w:tcBorders>
            <w:shd w:val="clear" w:color="auto" w:fill="auto"/>
            <w:noWrap/>
            <w:vAlign w:val="center"/>
            <w:hideMark/>
          </w:tcPr>
          <w:p w14:paraId="5704B323" w14:textId="77777777" w:rsidR="00E17429" w:rsidRPr="00F520D4" w:rsidRDefault="00E17429" w:rsidP="00756467">
            <w:pPr>
              <w:spacing w:after="0" w:line="240" w:lineRule="auto"/>
              <w:jc w:val="right"/>
              <w:rPr>
                <w:rFonts w:eastAsia="Times New Roman" w:cs="Calibri"/>
                <w:sz w:val="20"/>
                <w:szCs w:val="20"/>
                <w:lang w:eastAsia="es-CR"/>
              </w:rPr>
            </w:pPr>
            <w:r w:rsidRPr="00F520D4">
              <w:rPr>
                <w:rFonts w:eastAsia="Times New Roman" w:cs="Calibri"/>
                <w:sz w:val="20"/>
                <w:szCs w:val="20"/>
                <w:lang w:eastAsia="es-CR"/>
              </w:rPr>
              <w:t>-25 407,79</w:t>
            </w:r>
          </w:p>
        </w:tc>
        <w:tc>
          <w:tcPr>
            <w:tcW w:w="800" w:type="dxa"/>
            <w:tcBorders>
              <w:top w:val="nil"/>
              <w:left w:val="nil"/>
              <w:bottom w:val="single" w:sz="4" w:space="0" w:color="auto"/>
              <w:right w:val="single" w:sz="4" w:space="0" w:color="auto"/>
            </w:tcBorders>
            <w:shd w:val="clear" w:color="auto" w:fill="auto"/>
            <w:noWrap/>
            <w:vAlign w:val="center"/>
            <w:hideMark/>
          </w:tcPr>
          <w:p w14:paraId="6A592313" w14:textId="77777777" w:rsidR="00E17429" w:rsidRPr="00F520D4" w:rsidRDefault="00E17429" w:rsidP="00756467">
            <w:pPr>
              <w:spacing w:after="0" w:line="240" w:lineRule="auto"/>
              <w:jc w:val="right"/>
              <w:rPr>
                <w:rFonts w:eastAsia="Times New Roman" w:cs="Calibri"/>
                <w:sz w:val="20"/>
                <w:szCs w:val="20"/>
                <w:lang w:eastAsia="es-CR"/>
              </w:rPr>
            </w:pPr>
            <w:r w:rsidRPr="00F520D4">
              <w:rPr>
                <w:rFonts w:eastAsia="Times New Roman" w:cs="Calibri"/>
                <w:sz w:val="20"/>
                <w:szCs w:val="20"/>
                <w:lang w:eastAsia="es-CR"/>
              </w:rPr>
              <w:t>-14,03%</w:t>
            </w:r>
          </w:p>
        </w:tc>
      </w:tr>
      <w:tr w:rsidR="00E17429" w:rsidRPr="00F520D4" w14:paraId="26239D3B" w14:textId="77777777" w:rsidTr="00756467">
        <w:trPr>
          <w:trHeight w:val="300"/>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14:paraId="31F99A3A" w14:textId="77777777" w:rsidR="00E17429" w:rsidRPr="00F520D4" w:rsidRDefault="00E17429" w:rsidP="00756467">
            <w:pPr>
              <w:spacing w:after="0" w:line="240" w:lineRule="auto"/>
              <w:jc w:val="left"/>
              <w:rPr>
                <w:rFonts w:eastAsia="Times New Roman" w:cs="Calibri"/>
                <w:color w:val="000000"/>
                <w:sz w:val="20"/>
                <w:szCs w:val="20"/>
                <w:lang w:eastAsia="es-CR"/>
              </w:rPr>
            </w:pPr>
            <w:r w:rsidRPr="00F520D4">
              <w:rPr>
                <w:rFonts w:eastAsia="Times New Roman" w:cs="Calibri"/>
                <w:color w:val="000000"/>
                <w:sz w:val="20"/>
                <w:szCs w:val="20"/>
                <w:lang w:eastAsia="es-CR"/>
              </w:rPr>
              <w:t>2.1.1.03.</w:t>
            </w:r>
          </w:p>
        </w:tc>
        <w:tc>
          <w:tcPr>
            <w:tcW w:w="3180" w:type="dxa"/>
            <w:tcBorders>
              <w:top w:val="nil"/>
              <w:left w:val="nil"/>
              <w:bottom w:val="single" w:sz="4" w:space="0" w:color="auto"/>
              <w:right w:val="single" w:sz="4" w:space="0" w:color="auto"/>
            </w:tcBorders>
            <w:shd w:val="clear" w:color="auto" w:fill="auto"/>
            <w:vAlign w:val="center"/>
            <w:hideMark/>
          </w:tcPr>
          <w:p w14:paraId="4F9E82E7" w14:textId="77777777" w:rsidR="00E17429" w:rsidRPr="00F520D4" w:rsidRDefault="00E17429" w:rsidP="00756467">
            <w:pPr>
              <w:spacing w:after="0" w:line="240" w:lineRule="auto"/>
              <w:jc w:val="left"/>
              <w:rPr>
                <w:rFonts w:eastAsia="Times New Roman" w:cs="Calibri"/>
                <w:sz w:val="20"/>
                <w:szCs w:val="20"/>
                <w:lang w:eastAsia="es-CR"/>
              </w:rPr>
            </w:pPr>
            <w:r w:rsidRPr="00F520D4">
              <w:rPr>
                <w:rFonts w:eastAsia="Times New Roman" w:cs="Calibri"/>
                <w:sz w:val="20"/>
                <w:szCs w:val="20"/>
                <w:lang w:eastAsia="es-CR"/>
              </w:rPr>
              <w:t>Transferencias a pagar a corto plazo</w:t>
            </w:r>
          </w:p>
        </w:tc>
        <w:tc>
          <w:tcPr>
            <w:tcW w:w="1140" w:type="dxa"/>
            <w:tcBorders>
              <w:top w:val="nil"/>
              <w:left w:val="nil"/>
              <w:bottom w:val="single" w:sz="4" w:space="0" w:color="auto"/>
              <w:right w:val="single" w:sz="4" w:space="0" w:color="auto"/>
            </w:tcBorders>
            <w:shd w:val="clear" w:color="auto" w:fill="auto"/>
            <w:noWrap/>
            <w:vAlign w:val="bottom"/>
            <w:hideMark/>
          </w:tcPr>
          <w:p w14:paraId="0F10BDF9" w14:textId="77777777" w:rsidR="00E17429" w:rsidRPr="00F520D4" w:rsidRDefault="00E17429" w:rsidP="00756467">
            <w:pPr>
              <w:spacing w:after="0" w:line="240" w:lineRule="auto"/>
              <w:jc w:val="right"/>
              <w:rPr>
                <w:rFonts w:eastAsia="Times New Roman" w:cs="Calibri"/>
                <w:color w:val="000000"/>
                <w:sz w:val="20"/>
                <w:szCs w:val="20"/>
                <w:lang w:eastAsia="es-CR"/>
              </w:rPr>
            </w:pPr>
            <w:r w:rsidRPr="00F520D4">
              <w:rPr>
                <w:rFonts w:eastAsia="Times New Roman" w:cs="Calibri"/>
                <w:color w:val="000000"/>
                <w:sz w:val="20"/>
                <w:szCs w:val="20"/>
                <w:lang w:eastAsia="es-CR"/>
              </w:rPr>
              <w:t>46 455,50</w:t>
            </w:r>
          </w:p>
        </w:tc>
        <w:tc>
          <w:tcPr>
            <w:tcW w:w="1280" w:type="dxa"/>
            <w:tcBorders>
              <w:top w:val="nil"/>
              <w:left w:val="nil"/>
              <w:bottom w:val="single" w:sz="4" w:space="0" w:color="auto"/>
              <w:right w:val="single" w:sz="4" w:space="0" w:color="auto"/>
            </w:tcBorders>
            <w:shd w:val="clear" w:color="auto" w:fill="auto"/>
            <w:noWrap/>
            <w:vAlign w:val="bottom"/>
            <w:hideMark/>
          </w:tcPr>
          <w:p w14:paraId="1054BC12" w14:textId="77777777" w:rsidR="00E17429" w:rsidRPr="00F520D4" w:rsidRDefault="00E17429" w:rsidP="00756467">
            <w:pPr>
              <w:spacing w:after="0" w:line="240" w:lineRule="auto"/>
              <w:jc w:val="right"/>
              <w:rPr>
                <w:rFonts w:eastAsia="Times New Roman" w:cs="Calibri"/>
                <w:sz w:val="20"/>
                <w:szCs w:val="20"/>
                <w:lang w:eastAsia="es-CR"/>
              </w:rPr>
            </w:pPr>
            <w:r w:rsidRPr="00F520D4">
              <w:rPr>
                <w:rFonts w:eastAsia="Times New Roman" w:cs="Calibri"/>
                <w:sz w:val="20"/>
                <w:szCs w:val="20"/>
                <w:lang w:eastAsia="es-CR"/>
              </w:rPr>
              <w:t>43 315,99</w:t>
            </w:r>
          </w:p>
        </w:tc>
        <w:tc>
          <w:tcPr>
            <w:tcW w:w="1100" w:type="dxa"/>
            <w:tcBorders>
              <w:top w:val="nil"/>
              <w:left w:val="nil"/>
              <w:bottom w:val="single" w:sz="4" w:space="0" w:color="auto"/>
              <w:right w:val="single" w:sz="4" w:space="0" w:color="auto"/>
            </w:tcBorders>
            <w:shd w:val="clear" w:color="auto" w:fill="auto"/>
            <w:noWrap/>
            <w:vAlign w:val="center"/>
            <w:hideMark/>
          </w:tcPr>
          <w:p w14:paraId="1DBFC460" w14:textId="77777777" w:rsidR="00E17429" w:rsidRPr="00F520D4" w:rsidRDefault="00E17429" w:rsidP="00756467">
            <w:pPr>
              <w:spacing w:after="0" w:line="240" w:lineRule="auto"/>
              <w:jc w:val="right"/>
              <w:rPr>
                <w:rFonts w:eastAsia="Times New Roman" w:cs="Calibri"/>
                <w:sz w:val="20"/>
                <w:szCs w:val="20"/>
                <w:lang w:eastAsia="es-CR"/>
              </w:rPr>
            </w:pPr>
            <w:r w:rsidRPr="00F520D4">
              <w:rPr>
                <w:rFonts w:eastAsia="Times New Roman" w:cs="Calibri"/>
                <w:sz w:val="20"/>
                <w:szCs w:val="20"/>
                <w:lang w:eastAsia="es-CR"/>
              </w:rPr>
              <w:t>3 139,51</w:t>
            </w:r>
          </w:p>
        </w:tc>
        <w:tc>
          <w:tcPr>
            <w:tcW w:w="800" w:type="dxa"/>
            <w:tcBorders>
              <w:top w:val="nil"/>
              <w:left w:val="nil"/>
              <w:bottom w:val="single" w:sz="4" w:space="0" w:color="auto"/>
              <w:right w:val="single" w:sz="4" w:space="0" w:color="auto"/>
            </w:tcBorders>
            <w:shd w:val="clear" w:color="auto" w:fill="auto"/>
            <w:noWrap/>
            <w:vAlign w:val="center"/>
            <w:hideMark/>
          </w:tcPr>
          <w:p w14:paraId="60DD5570" w14:textId="77777777" w:rsidR="00E17429" w:rsidRPr="00F520D4" w:rsidRDefault="00E17429" w:rsidP="00756467">
            <w:pPr>
              <w:spacing w:after="0" w:line="240" w:lineRule="auto"/>
              <w:jc w:val="right"/>
              <w:rPr>
                <w:rFonts w:eastAsia="Times New Roman" w:cs="Calibri"/>
                <w:sz w:val="20"/>
                <w:szCs w:val="20"/>
                <w:lang w:eastAsia="es-CR"/>
              </w:rPr>
            </w:pPr>
            <w:r w:rsidRPr="00F520D4">
              <w:rPr>
                <w:rFonts w:eastAsia="Times New Roman" w:cs="Calibri"/>
                <w:sz w:val="20"/>
                <w:szCs w:val="20"/>
                <w:lang w:eastAsia="es-CR"/>
              </w:rPr>
              <w:t>7,25%</w:t>
            </w:r>
          </w:p>
        </w:tc>
      </w:tr>
      <w:tr w:rsidR="00E17429" w:rsidRPr="00F520D4" w14:paraId="417E2509" w14:textId="77777777" w:rsidTr="00756467">
        <w:trPr>
          <w:trHeight w:val="315"/>
        </w:trPr>
        <w:tc>
          <w:tcPr>
            <w:tcW w:w="1280" w:type="dxa"/>
            <w:tcBorders>
              <w:top w:val="nil"/>
              <w:left w:val="single" w:sz="4" w:space="0" w:color="auto"/>
              <w:bottom w:val="nil"/>
              <w:right w:val="single" w:sz="4" w:space="0" w:color="auto"/>
            </w:tcBorders>
            <w:shd w:val="clear" w:color="auto" w:fill="auto"/>
            <w:noWrap/>
            <w:vAlign w:val="center"/>
            <w:hideMark/>
          </w:tcPr>
          <w:p w14:paraId="3F53975B" w14:textId="77777777" w:rsidR="00E17429" w:rsidRPr="00F520D4" w:rsidRDefault="00E17429" w:rsidP="00756467">
            <w:pPr>
              <w:spacing w:after="0" w:line="240" w:lineRule="auto"/>
              <w:jc w:val="left"/>
              <w:rPr>
                <w:rFonts w:eastAsia="Times New Roman" w:cs="Calibri"/>
                <w:color w:val="000000"/>
                <w:sz w:val="20"/>
                <w:szCs w:val="20"/>
                <w:lang w:eastAsia="es-CR"/>
              </w:rPr>
            </w:pPr>
            <w:r w:rsidRPr="00F520D4">
              <w:rPr>
                <w:rFonts w:eastAsia="Times New Roman" w:cs="Calibri"/>
                <w:color w:val="000000"/>
                <w:sz w:val="20"/>
                <w:szCs w:val="20"/>
                <w:lang w:eastAsia="es-CR"/>
              </w:rPr>
              <w:t>2.1.1.99</w:t>
            </w:r>
          </w:p>
        </w:tc>
        <w:tc>
          <w:tcPr>
            <w:tcW w:w="3180" w:type="dxa"/>
            <w:tcBorders>
              <w:top w:val="nil"/>
              <w:left w:val="nil"/>
              <w:bottom w:val="nil"/>
              <w:right w:val="nil"/>
            </w:tcBorders>
            <w:shd w:val="clear" w:color="auto" w:fill="auto"/>
            <w:noWrap/>
            <w:vAlign w:val="bottom"/>
            <w:hideMark/>
          </w:tcPr>
          <w:p w14:paraId="04E25D5F" w14:textId="77777777" w:rsidR="00E17429" w:rsidRPr="00F520D4" w:rsidRDefault="00E17429" w:rsidP="00756467">
            <w:pPr>
              <w:spacing w:after="0" w:line="240" w:lineRule="auto"/>
              <w:jc w:val="left"/>
              <w:rPr>
                <w:rFonts w:eastAsia="Times New Roman" w:cs="Calibri"/>
                <w:color w:val="000000"/>
                <w:sz w:val="20"/>
                <w:szCs w:val="20"/>
                <w:lang w:eastAsia="es-CR"/>
              </w:rPr>
            </w:pPr>
            <w:r w:rsidRPr="00F520D4">
              <w:rPr>
                <w:rFonts w:eastAsia="Times New Roman" w:cs="Calibri"/>
                <w:color w:val="000000"/>
                <w:sz w:val="20"/>
                <w:szCs w:val="20"/>
                <w:lang w:eastAsia="es-CR"/>
              </w:rPr>
              <w:t>Otras deudas a corto plazo</w:t>
            </w: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7B24BAC8" w14:textId="77777777" w:rsidR="00E17429" w:rsidRPr="00F520D4" w:rsidRDefault="00E17429" w:rsidP="00756467">
            <w:pPr>
              <w:spacing w:after="0" w:line="240" w:lineRule="auto"/>
              <w:jc w:val="right"/>
              <w:rPr>
                <w:rFonts w:eastAsia="Times New Roman" w:cs="Calibri"/>
                <w:color w:val="000000"/>
                <w:sz w:val="20"/>
                <w:szCs w:val="20"/>
                <w:lang w:eastAsia="es-CR"/>
              </w:rPr>
            </w:pPr>
            <w:r w:rsidRPr="00F520D4">
              <w:rPr>
                <w:rFonts w:eastAsia="Times New Roman" w:cs="Calibri"/>
                <w:color w:val="000000"/>
                <w:sz w:val="20"/>
                <w:szCs w:val="20"/>
                <w:lang w:eastAsia="es-CR"/>
              </w:rPr>
              <w:t>121,00</w:t>
            </w:r>
          </w:p>
        </w:tc>
        <w:tc>
          <w:tcPr>
            <w:tcW w:w="1280" w:type="dxa"/>
            <w:tcBorders>
              <w:top w:val="nil"/>
              <w:left w:val="nil"/>
              <w:bottom w:val="single" w:sz="4" w:space="0" w:color="auto"/>
              <w:right w:val="single" w:sz="4" w:space="0" w:color="auto"/>
            </w:tcBorders>
            <w:shd w:val="clear" w:color="auto" w:fill="auto"/>
            <w:noWrap/>
            <w:vAlign w:val="bottom"/>
            <w:hideMark/>
          </w:tcPr>
          <w:p w14:paraId="4B1E907A" w14:textId="77777777" w:rsidR="00E17429" w:rsidRPr="00F520D4" w:rsidRDefault="00E17429" w:rsidP="00756467">
            <w:pPr>
              <w:spacing w:after="0" w:line="240" w:lineRule="auto"/>
              <w:jc w:val="right"/>
              <w:rPr>
                <w:rFonts w:eastAsia="Times New Roman" w:cs="Calibri"/>
                <w:sz w:val="20"/>
                <w:szCs w:val="20"/>
                <w:lang w:eastAsia="es-CR"/>
              </w:rPr>
            </w:pPr>
            <w:r w:rsidRPr="00F520D4">
              <w:rPr>
                <w:rFonts w:eastAsia="Times New Roman" w:cs="Calibri"/>
                <w:sz w:val="20"/>
                <w:szCs w:val="20"/>
                <w:lang w:eastAsia="es-CR"/>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6E99820B" w14:textId="77777777" w:rsidR="00E17429" w:rsidRPr="00F520D4" w:rsidRDefault="00E17429" w:rsidP="00756467">
            <w:pPr>
              <w:spacing w:after="0" w:line="240" w:lineRule="auto"/>
              <w:jc w:val="right"/>
              <w:rPr>
                <w:rFonts w:eastAsia="Times New Roman" w:cs="Calibri"/>
                <w:sz w:val="20"/>
                <w:szCs w:val="20"/>
                <w:lang w:eastAsia="es-CR"/>
              </w:rPr>
            </w:pPr>
            <w:r w:rsidRPr="00F520D4">
              <w:rPr>
                <w:rFonts w:eastAsia="Times New Roman" w:cs="Calibri"/>
                <w:sz w:val="20"/>
                <w:szCs w:val="20"/>
                <w:lang w:eastAsia="es-CR"/>
              </w:rPr>
              <w:t>121,00</w:t>
            </w:r>
          </w:p>
        </w:tc>
        <w:tc>
          <w:tcPr>
            <w:tcW w:w="800" w:type="dxa"/>
            <w:tcBorders>
              <w:top w:val="nil"/>
              <w:left w:val="nil"/>
              <w:bottom w:val="single" w:sz="4" w:space="0" w:color="auto"/>
              <w:right w:val="single" w:sz="4" w:space="0" w:color="auto"/>
            </w:tcBorders>
            <w:shd w:val="clear" w:color="auto" w:fill="auto"/>
            <w:noWrap/>
            <w:vAlign w:val="center"/>
            <w:hideMark/>
          </w:tcPr>
          <w:p w14:paraId="121EC527" w14:textId="77777777" w:rsidR="00E17429" w:rsidRPr="00F520D4" w:rsidRDefault="00E17429" w:rsidP="00756467">
            <w:pPr>
              <w:spacing w:after="0" w:line="240" w:lineRule="auto"/>
              <w:jc w:val="right"/>
              <w:rPr>
                <w:rFonts w:eastAsia="Times New Roman" w:cs="Calibri"/>
                <w:sz w:val="20"/>
                <w:szCs w:val="20"/>
                <w:lang w:eastAsia="es-CR"/>
              </w:rPr>
            </w:pPr>
            <w:r w:rsidRPr="00F520D4">
              <w:rPr>
                <w:rFonts w:eastAsia="Times New Roman" w:cs="Calibri"/>
                <w:sz w:val="20"/>
                <w:szCs w:val="20"/>
                <w:lang w:eastAsia="es-CR"/>
              </w:rPr>
              <w:t>#¡DIV/0!</w:t>
            </w:r>
          </w:p>
        </w:tc>
      </w:tr>
      <w:tr w:rsidR="00E17429" w:rsidRPr="00F520D4" w14:paraId="28C18339" w14:textId="77777777" w:rsidTr="00756467">
        <w:trPr>
          <w:trHeight w:val="345"/>
        </w:trPr>
        <w:tc>
          <w:tcPr>
            <w:tcW w:w="1280" w:type="dxa"/>
            <w:tcBorders>
              <w:top w:val="single" w:sz="8" w:space="0" w:color="auto"/>
              <w:left w:val="single" w:sz="8" w:space="0" w:color="auto"/>
              <w:bottom w:val="single" w:sz="8" w:space="0" w:color="auto"/>
              <w:right w:val="nil"/>
            </w:tcBorders>
            <w:shd w:val="clear" w:color="auto" w:fill="auto"/>
            <w:noWrap/>
            <w:vAlign w:val="bottom"/>
            <w:hideMark/>
          </w:tcPr>
          <w:p w14:paraId="1F5FA922" w14:textId="77777777" w:rsidR="00E17429" w:rsidRPr="00F520D4" w:rsidRDefault="00E17429" w:rsidP="00756467">
            <w:pPr>
              <w:spacing w:after="0" w:line="240" w:lineRule="auto"/>
              <w:jc w:val="left"/>
              <w:rPr>
                <w:rFonts w:ascii="Calibri" w:eastAsia="Times New Roman" w:hAnsi="Calibri" w:cs="Calibri"/>
                <w:color w:val="000000"/>
                <w:sz w:val="22"/>
                <w:lang w:eastAsia="es-CR"/>
              </w:rPr>
            </w:pPr>
            <w:r w:rsidRPr="00F520D4">
              <w:rPr>
                <w:rFonts w:ascii="Calibri" w:eastAsia="Times New Roman" w:hAnsi="Calibri" w:cs="Calibri"/>
                <w:color w:val="000000"/>
                <w:sz w:val="22"/>
                <w:lang w:eastAsia="es-CR"/>
              </w:rPr>
              <w:t> </w:t>
            </w:r>
          </w:p>
        </w:tc>
        <w:tc>
          <w:tcPr>
            <w:tcW w:w="3180" w:type="dxa"/>
            <w:tcBorders>
              <w:top w:val="single" w:sz="8" w:space="0" w:color="auto"/>
              <w:left w:val="nil"/>
              <w:bottom w:val="single" w:sz="8" w:space="0" w:color="auto"/>
              <w:right w:val="nil"/>
            </w:tcBorders>
            <w:shd w:val="clear" w:color="auto" w:fill="auto"/>
            <w:noWrap/>
            <w:vAlign w:val="bottom"/>
            <w:hideMark/>
          </w:tcPr>
          <w:p w14:paraId="33E82F2E" w14:textId="77777777" w:rsidR="00E17429" w:rsidRPr="00F520D4" w:rsidRDefault="00E17429" w:rsidP="00756467">
            <w:pPr>
              <w:spacing w:after="0" w:line="240" w:lineRule="auto"/>
              <w:jc w:val="center"/>
              <w:rPr>
                <w:rFonts w:eastAsia="Times New Roman" w:cs="Calibri"/>
                <w:b/>
                <w:bCs/>
                <w:color w:val="000000"/>
                <w:sz w:val="22"/>
                <w:lang w:eastAsia="es-CR"/>
              </w:rPr>
            </w:pPr>
            <w:r w:rsidRPr="00F520D4">
              <w:rPr>
                <w:rFonts w:eastAsia="Times New Roman" w:cs="Calibri"/>
                <w:b/>
                <w:bCs/>
                <w:color w:val="000000"/>
                <w:sz w:val="22"/>
                <w:lang w:eastAsia="es-CR"/>
              </w:rPr>
              <w:t>TOTALES</w:t>
            </w:r>
          </w:p>
        </w:tc>
        <w:tc>
          <w:tcPr>
            <w:tcW w:w="11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D66C988" w14:textId="77777777" w:rsidR="00E17429" w:rsidRPr="00F520D4" w:rsidRDefault="00E17429" w:rsidP="00756467">
            <w:pPr>
              <w:spacing w:after="0" w:line="240" w:lineRule="auto"/>
              <w:jc w:val="right"/>
              <w:rPr>
                <w:rFonts w:eastAsia="Times New Roman" w:cs="Calibri"/>
                <w:b/>
                <w:bCs/>
                <w:color w:val="000000"/>
                <w:sz w:val="20"/>
                <w:szCs w:val="20"/>
                <w:lang w:eastAsia="es-CR"/>
              </w:rPr>
            </w:pPr>
            <w:r w:rsidRPr="00F520D4">
              <w:rPr>
                <w:rFonts w:ascii="Arial" w:eastAsia="Times New Roman" w:hAnsi="Arial" w:cs="Arial"/>
                <w:b/>
                <w:bCs/>
                <w:color w:val="000000"/>
                <w:sz w:val="20"/>
                <w:szCs w:val="20"/>
                <w:lang w:eastAsia="es-CR"/>
              </w:rPr>
              <w:t>₡</w:t>
            </w:r>
            <w:r w:rsidRPr="00F520D4">
              <w:rPr>
                <w:rFonts w:eastAsia="Times New Roman" w:cs="Calibri"/>
                <w:b/>
                <w:bCs/>
                <w:color w:val="000000"/>
                <w:sz w:val="20"/>
                <w:szCs w:val="20"/>
                <w:lang w:eastAsia="es-CR"/>
              </w:rPr>
              <w:t>246 938,51</w:t>
            </w:r>
          </w:p>
        </w:tc>
        <w:tc>
          <w:tcPr>
            <w:tcW w:w="1280" w:type="dxa"/>
            <w:tcBorders>
              <w:top w:val="single" w:sz="8" w:space="0" w:color="auto"/>
              <w:left w:val="nil"/>
              <w:bottom w:val="single" w:sz="8" w:space="0" w:color="auto"/>
              <w:right w:val="single" w:sz="8" w:space="0" w:color="auto"/>
            </w:tcBorders>
            <w:shd w:val="clear" w:color="auto" w:fill="auto"/>
            <w:noWrap/>
            <w:vAlign w:val="bottom"/>
            <w:hideMark/>
          </w:tcPr>
          <w:p w14:paraId="1B4E4DBC" w14:textId="77777777" w:rsidR="00E17429" w:rsidRPr="00F520D4" w:rsidRDefault="00E17429" w:rsidP="00756467">
            <w:pPr>
              <w:spacing w:after="0" w:line="240" w:lineRule="auto"/>
              <w:jc w:val="right"/>
              <w:rPr>
                <w:rFonts w:eastAsia="Times New Roman" w:cs="Calibri"/>
                <w:b/>
                <w:bCs/>
                <w:color w:val="000000"/>
                <w:sz w:val="20"/>
                <w:szCs w:val="20"/>
                <w:lang w:eastAsia="es-CR"/>
              </w:rPr>
            </w:pPr>
            <w:r w:rsidRPr="00F520D4">
              <w:rPr>
                <w:rFonts w:ascii="Arial" w:eastAsia="Times New Roman" w:hAnsi="Arial" w:cs="Arial"/>
                <w:b/>
                <w:bCs/>
                <w:color w:val="000000"/>
                <w:sz w:val="20"/>
                <w:szCs w:val="20"/>
                <w:lang w:eastAsia="es-CR"/>
              </w:rPr>
              <w:t>₡</w:t>
            </w:r>
            <w:r w:rsidRPr="00F520D4">
              <w:rPr>
                <w:rFonts w:eastAsia="Times New Roman" w:cs="Calibri"/>
                <w:b/>
                <w:bCs/>
                <w:color w:val="000000"/>
                <w:sz w:val="20"/>
                <w:szCs w:val="20"/>
                <w:lang w:eastAsia="es-CR"/>
              </w:rPr>
              <w:t>256 961,08</w:t>
            </w:r>
          </w:p>
        </w:tc>
        <w:tc>
          <w:tcPr>
            <w:tcW w:w="1100" w:type="dxa"/>
            <w:tcBorders>
              <w:top w:val="single" w:sz="8" w:space="0" w:color="auto"/>
              <w:left w:val="nil"/>
              <w:bottom w:val="single" w:sz="8" w:space="0" w:color="auto"/>
              <w:right w:val="single" w:sz="8" w:space="0" w:color="auto"/>
            </w:tcBorders>
            <w:shd w:val="clear" w:color="auto" w:fill="auto"/>
            <w:noWrap/>
            <w:vAlign w:val="bottom"/>
            <w:hideMark/>
          </w:tcPr>
          <w:p w14:paraId="2608EB5B" w14:textId="77777777" w:rsidR="00E17429" w:rsidRPr="00F520D4" w:rsidRDefault="00E17429" w:rsidP="00756467">
            <w:pPr>
              <w:spacing w:after="0" w:line="240" w:lineRule="auto"/>
              <w:jc w:val="right"/>
              <w:rPr>
                <w:rFonts w:eastAsia="Times New Roman" w:cs="Calibri"/>
                <w:b/>
                <w:bCs/>
                <w:color w:val="000000"/>
                <w:sz w:val="20"/>
                <w:szCs w:val="20"/>
                <w:lang w:eastAsia="es-CR"/>
              </w:rPr>
            </w:pPr>
            <w:r w:rsidRPr="00F520D4">
              <w:rPr>
                <w:rFonts w:eastAsia="Times New Roman" w:cs="Calibri"/>
                <w:b/>
                <w:bCs/>
                <w:color w:val="000000"/>
                <w:sz w:val="20"/>
                <w:szCs w:val="20"/>
                <w:lang w:eastAsia="es-CR"/>
              </w:rPr>
              <w:t>-</w:t>
            </w:r>
            <w:r w:rsidRPr="00F520D4">
              <w:rPr>
                <w:rFonts w:ascii="Arial" w:eastAsia="Times New Roman" w:hAnsi="Arial" w:cs="Arial"/>
                <w:b/>
                <w:bCs/>
                <w:color w:val="000000"/>
                <w:sz w:val="20"/>
                <w:szCs w:val="20"/>
                <w:lang w:eastAsia="es-CR"/>
              </w:rPr>
              <w:t>₡</w:t>
            </w:r>
            <w:r w:rsidRPr="00F520D4">
              <w:rPr>
                <w:rFonts w:eastAsia="Times New Roman" w:cs="Calibri"/>
                <w:b/>
                <w:bCs/>
                <w:color w:val="000000"/>
                <w:sz w:val="20"/>
                <w:szCs w:val="20"/>
                <w:lang w:eastAsia="es-CR"/>
              </w:rPr>
              <w:t>10 022,57</w:t>
            </w:r>
          </w:p>
        </w:tc>
        <w:tc>
          <w:tcPr>
            <w:tcW w:w="80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3F39D587" w14:textId="77777777" w:rsidR="00E17429" w:rsidRPr="00F520D4" w:rsidRDefault="00E17429" w:rsidP="00756467">
            <w:pPr>
              <w:spacing w:after="0" w:line="240" w:lineRule="auto"/>
              <w:jc w:val="right"/>
              <w:rPr>
                <w:rFonts w:eastAsia="Times New Roman" w:cs="Calibri"/>
                <w:b/>
                <w:bCs/>
                <w:sz w:val="20"/>
                <w:szCs w:val="20"/>
                <w:lang w:eastAsia="es-CR"/>
              </w:rPr>
            </w:pPr>
            <w:r w:rsidRPr="00F520D4">
              <w:rPr>
                <w:rFonts w:eastAsia="Times New Roman" w:cs="Calibri"/>
                <w:b/>
                <w:bCs/>
                <w:sz w:val="20"/>
                <w:szCs w:val="20"/>
                <w:lang w:eastAsia="es-CR"/>
              </w:rPr>
              <w:t>-3,90%</w:t>
            </w:r>
          </w:p>
        </w:tc>
      </w:tr>
    </w:tbl>
    <w:p w14:paraId="22D3D9C1" w14:textId="0145D046" w:rsidR="00E17429" w:rsidRDefault="00E17429" w:rsidP="00E17429">
      <w:pPr>
        <w:rPr>
          <w:rFonts w:eastAsiaTheme="minorEastAsia" w:cs="Arial Narrow"/>
          <w:color w:val="000000"/>
          <w:lang w:eastAsia="es-CR"/>
        </w:rPr>
      </w:pPr>
    </w:p>
    <w:tbl>
      <w:tblPr>
        <w:tblW w:w="8780" w:type="dxa"/>
        <w:tblCellMar>
          <w:left w:w="70" w:type="dxa"/>
          <w:right w:w="70" w:type="dxa"/>
        </w:tblCellMar>
        <w:tblLook w:val="04A0" w:firstRow="1" w:lastRow="0" w:firstColumn="1" w:lastColumn="0" w:noHBand="0" w:noVBand="1"/>
      </w:tblPr>
      <w:tblGrid>
        <w:gridCol w:w="1275"/>
        <w:gridCol w:w="3164"/>
        <w:gridCol w:w="1135"/>
        <w:gridCol w:w="1274"/>
        <w:gridCol w:w="1095"/>
        <w:gridCol w:w="875"/>
      </w:tblGrid>
      <w:tr w:rsidR="00B2692F" w:rsidRPr="00B2692F" w14:paraId="6632A61E" w14:textId="77777777" w:rsidTr="00B2692F">
        <w:trPr>
          <w:trHeight w:val="510"/>
        </w:trPr>
        <w:tc>
          <w:tcPr>
            <w:tcW w:w="1280" w:type="dxa"/>
            <w:tcBorders>
              <w:top w:val="single" w:sz="8" w:space="0" w:color="auto"/>
              <w:left w:val="single" w:sz="8" w:space="0" w:color="auto"/>
              <w:bottom w:val="nil"/>
              <w:right w:val="single" w:sz="12" w:space="0" w:color="auto"/>
            </w:tcBorders>
            <w:shd w:val="clear" w:color="000000" w:fill="002060"/>
            <w:noWrap/>
            <w:vAlign w:val="center"/>
            <w:hideMark/>
          </w:tcPr>
          <w:p w14:paraId="79B6C52D" w14:textId="77777777" w:rsidR="00B2692F" w:rsidRPr="00B2692F" w:rsidRDefault="00B2692F" w:rsidP="00B2692F">
            <w:pPr>
              <w:spacing w:after="0" w:line="240" w:lineRule="auto"/>
              <w:jc w:val="center"/>
              <w:rPr>
                <w:rFonts w:eastAsia="Times New Roman" w:cs="Calibri"/>
                <w:b/>
                <w:bCs/>
                <w:color w:val="FFFFFF"/>
                <w:sz w:val="20"/>
                <w:szCs w:val="20"/>
                <w:lang w:eastAsia="es-CR"/>
              </w:rPr>
            </w:pPr>
            <w:r w:rsidRPr="00B2692F">
              <w:rPr>
                <w:rFonts w:eastAsia="Times New Roman" w:cs="Calibri"/>
                <w:b/>
                <w:bCs/>
                <w:color w:val="FFFFFF"/>
                <w:sz w:val="20"/>
                <w:szCs w:val="20"/>
                <w:lang w:eastAsia="es-CR"/>
              </w:rPr>
              <w:t>Cuenta</w:t>
            </w:r>
          </w:p>
        </w:tc>
        <w:tc>
          <w:tcPr>
            <w:tcW w:w="3180" w:type="dxa"/>
            <w:tcBorders>
              <w:top w:val="single" w:sz="8" w:space="0" w:color="auto"/>
              <w:left w:val="nil"/>
              <w:bottom w:val="nil"/>
              <w:right w:val="single" w:sz="12" w:space="0" w:color="auto"/>
            </w:tcBorders>
            <w:shd w:val="clear" w:color="000000" w:fill="002060"/>
            <w:noWrap/>
            <w:vAlign w:val="center"/>
            <w:hideMark/>
          </w:tcPr>
          <w:p w14:paraId="73B73AB8" w14:textId="77777777" w:rsidR="00B2692F" w:rsidRPr="00B2692F" w:rsidRDefault="00B2692F" w:rsidP="00B2692F">
            <w:pPr>
              <w:spacing w:after="0" w:line="240" w:lineRule="auto"/>
              <w:jc w:val="center"/>
              <w:rPr>
                <w:rFonts w:eastAsia="Times New Roman" w:cs="Calibri"/>
                <w:b/>
                <w:bCs/>
                <w:color w:val="FFFFFF"/>
                <w:sz w:val="20"/>
                <w:szCs w:val="20"/>
                <w:lang w:eastAsia="es-CR"/>
              </w:rPr>
            </w:pPr>
            <w:r w:rsidRPr="00B2692F">
              <w:rPr>
                <w:rFonts w:eastAsia="Times New Roman" w:cs="Calibri"/>
                <w:b/>
                <w:bCs/>
                <w:color w:val="FFFFFF"/>
                <w:sz w:val="20"/>
                <w:szCs w:val="20"/>
                <w:lang w:eastAsia="es-CR"/>
              </w:rPr>
              <w:t>Descripción</w:t>
            </w:r>
          </w:p>
        </w:tc>
        <w:tc>
          <w:tcPr>
            <w:tcW w:w="1140" w:type="dxa"/>
            <w:tcBorders>
              <w:top w:val="single" w:sz="8" w:space="0" w:color="auto"/>
              <w:left w:val="nil"/>
              <w:bottom w:val="nil"/>
              <w:right w:val="single" w:sz="12" w:space="0" w:color="auto"/>
            </w:tcBorders>
            <w:shd w:val="clear" w:color="000000" w:fill="002060"/>
            <w:vAlign w:val="center"/>
            <w:hideMark/>
          </w:tcPr>
          <w:p w14:paraId="575489EC" w14:textId="77777777" w:rsidR="00B2692F" w:rsidRPr="00B2692F" w:rsidRDefault="00B2692F" w:rsidP="00B2692F">
            <w:pPr>
              <w:spacing w:after="0" w:line="240" w:lineRule="auto"/>
              <w:jc w:val="center"/>
              <w:rPr>
                <w:rFonts w:eastAsia="Times New Roman" w:cs="Calibri"/>
                <w:b/>
                <w:bCs/>
                <w:color w:val="FFFFFF"/>
                <w:sz w:val="20"/>
                <w:szCs w:val="20"/>
                <w:lang w:eastAsia="es-CR"/>
              </w:rPr>
            </w:pPr>
            <w:r w:rsidRPr="00B2692F">
              <w:rPr>
                <w:rFonts w:eastAsia="Times New Roman" w:cs="Calibri"/>
                <w:b/>
                <w:bCs/>
                <w:color w:val="FFFFFF"/>
                <w:sz w:val="20"/>
                <w:szCs w:val="20"/>
                <w:lang w:eastAsia="es-CR"/>
              </w:rPr>
              <w:t>Saldo Año Actual</w:t>
            </w:r>
          </w:p>
        </w:tc>
        <w:tc>
          <w:tcPr>
            <w:tcW w:w="1280" w:type="dxa"/>
            <w:tcBorders>
              <w:top w:val="single" w:sz="8" w:space="0" w:color="auto"/>
              <w:left w:val="nil"/>
              <w:bottom w:val="nil"/>
              <w:right w:val="single" w:sz="12" w:space="0" w:color="auto"/>
            </w:tcBorders>
            <w:shd w:val="clear" w:color="000000" w:fill="002060"/>
            <w:vAlign w:val="center"/>
            <w:hideMark/>
          </w:tcPr>
          <w:p w14:paraId="613BFDEC" w14:textId="77777777" w:rsidR="00B2692F" w:rsidRPr="00B2692F" w:rsidRDefault="00B2692F" w:rsidP="00B2692F">
            <w:pPr>
              <w:spacing w:after="0" w:line="240" w:lineRule="auto"/>
              <w:jc w:val="center"/>
              <w:rPr>
                <w:rFonts w:eastAsia="Times New Roman" w:cs="Calibri"/>
                <w:b/>
                <w:bCs/>
                <w:color w:val="FFFFFF"/>
                <w:sz w:val="20"/>
                <w:szCs w:val="20"/>
                <w:lang w:eastAsia="es-CR"/>
              </w:rPr>
            </w:pPr>
            <w:r w:rsidRPr="00B2692F">
              <w:rPr>
                <w:rFonts w:eastAsia="Times New Roman" w:cs="Calibri"/>
                <w:b/>
                <w:bCs/>
                <w:color w:val="FFFFFF"/>
                <w:sz w:val="20"/>
                <w:szCs w:val="20"/>
                <w:lang w:eastAsia="es-CR"/>
              </w:rPr>
              <w:t>Saldo Año Anterior</w:t>
            </w:r>
          </w:p>
        </w:tc>
        <w:tc>
          <w:tcPr>
            <w:tcW w:w="1100" w:type="dxa"/>
            <w:tcBorders>
              <w:top w:val="single" w:sz="8" w:space="0" w:color="auto"/>
              <w:left w:val="nil"/>
              <w:bottom w:val="nil"/>
              <w:right w:val="single" w:sz="12" w:space="0" w:color="auto"/>
            </w:tcBorders>
            <w:shd w:val="clear" w:color="000000" w:fill="002060"/>
            <w:vAlign w:val="center"/>
            <w:hideMark/>
          </w:tcPr>
          <w:p w14:paraId="558922BF" w14:textId="77777777" w:rsidR="00B2692F" w:rsidRPr="00B2692F" w:rsidRDefault="00B2692F" w:rsidP="00B2692F">
            <w:pPr>
              <w:spacing w:after="0" w:line="240" w:lineRule="auto"/>
              <w:jc w:val="center"/>
              <w:rPr>
                <w:rFonts w:eastAsia="Times New Roman" w:cs="Calibri"/>
                <w:b/>
                <w:bCs/>
                <w:color w:val="FFFFFF"/>
                <w:sz w:val="20"/>
                <w:szCs w:val="20"/>
                <w:lang w:eastAsia="es-CR"/>
              </w:rPr>
            </w:pPr>
            <w:r w:rsidRPr="00B2692F">
              <w:rPr>
                <w:rFonts w:eastAsia="Times New Roman" w:cs="Calibri"/>
                <w:b/>
                <w:bCs/>
                <w:color w:val="FFFFFF"/>
                <w:sz w:val="20"/>
                <w:szCs w:val="20"/>
                <w:lang w:eastAsia="es-CR"/>
              </w:rPr>
              <w:t>Variación Absoluta</w:t>
            </w:r>
          </w:p>
        </w:tc>
        <w:tc>
          <w:tcPr>
            <w:tcW w:w="800" w:type="dxa"/>
            <w:tcBorders>
              <w:top w:val="single" w:sz="8" w:space="0" w:color="auto"/>
              <w:left w:val="nil"/>
              <w:bottom w:val="nil"/>
              <w:right w:val="single" w:sz="8" w:space="0" w:color="auto"/>
            </w:tcBorders>
            <w:shd w:val="clear" w:color="000000" w:fill="002060"/>
            <w:vAlign w:val="center"/>
            <w:hideMark/>
          </w:tcPr>
          <w:p w14:paraId="0906D554" w14:textId="77777777" w:rsidR="00B2692F" w:rsidRPr="00B2692F" w:rsidRDefault="00B2692F" w:rsidP="00B2692F">
            <w:pPr>
              <w:spacing w:after="0" w:line="240" w:lineRule="auto"/>
              <w:jc w:val="center"/>
              <w:rPr>
                <w:rFonts w:eastAsia="Times New Roman" w:cs="Calibri"/>
                <w:b/>
                <w:bCs/>
                <w:color w:val="FFFFFF"/>
                <w:sz w:val="20"/>
                <w:szCs w:val="20"/>
                <w:lang w:eastAsia="es-CR"/>
              </w:rPr>
            </w:pPr>
            <w:r w:rsidRPr="00B2692F">
              <w:rPr>
                <w:rFonts w:eastAsia="Times New Roman" w:cs="Calibri"/>
                <w:b/>
                <w:bCs/>
                <w:color w:val="FFFFFF"/>
                <w:sz w:val="20"/>
                <w:szCs w:val="20"/>
                <w:lang w:eastAsia="es-CR"/>
              </w:rPr>
              <w:t>Variación %</w:t>
            </w:r>
          </w:p>
        </w:tc>
      </w:tr>
      <w:tr w:rsidR="00B2692F" w:rsidRPr="00B2692F" w14:paraId="597161E4" w14:textId="77777777" w:rsidTr="00B2692F">
        <w:trPr>
          <w:trHeight w:val="300"/>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1BCC5A" w14:textId="77777777" w:rsidR="00B2692F" w:rsidRPr="00B2692F" w:rsidRDefault="00B2692F" w:rsidP="00B2692F">
            <w:pPr>
              <w:spacing w:after="0" w:line="240" w:lineRule="auto"/>
              <w:jc w:val="left"/>
              <w:rPr>
                <w:rFonts w:eastAsia="Times New Roman" w:cs="Calibri"/>
                <w:color w:val="000000"/>
                <w:sz w:val="20"/>
                <w:szCs w:val="20"/>
                <w:lang w:eastAsia="es-CR"/>
              </w:rPr>
            </w:pPr>
            <w:r w:rsidRPr="00B2692F">
              <w:rPr>
                <w:rFonts w:eastAsia="Times New Roman" w:cs="Calibri"/>
                <w:color w:val="000000"/>
                <w:sz w:val="20"/>
                <w:szCs w:val="20"/>
                <w:lang w:eastAsia="es-CR"/>
              </w:rPr>
              <w:t>2.1.1.01.</w:t>
            </w:r>
          </w:p>
        </w:tc>
        <w:tc>
          <w:tcPr>
            <w:tcW w:w="3180" w:type="dxa"/>
            <w:tcBorders>
              <w:top w:val="single" w:sz="4" w:space="0" w:color="auto"/>
              <w:left w:val="nil"/>
              <w:bottom w:val="single" w:sz="4" w:space="0" w:color="auto"/>
              <w:right w:val="single" w:sz="4" w:space="0" w:color="auto"/>
            </w:tcBorders>
            <w:shd w:val="clear" w:color="auto" w:fill="auto"/>
            <w:vAlign w:val="center"/>
            <w:hideMark/>
          </w:tcPr>
          <w:p w14:paraId="057B716A" w14:textId="77777777" w:rsidR="00B2692F" w:rsidRPr="00B2692F" w:rsidRDefault="00B2692F" w:rsidP="00B2692F">
            <w:pPr>
              <w:spacing w:after="0" w:line="240" w:lineRule="auto"/>
              <w:jc w:val="left"/>
              <w:rPr>
                <w:rFonts w:eastAsia="Times New Roman" w:cs="Calibri"/>
                <w:sz w:val="20"/>
                <w:szCs w:val="20"/>
                <w:lang w:eastAsia="es-CR"/>
              </w:rPr>
            </w:pPr>
            <w:r w:rsidRPr="00B2692F">
              <w:rPr>
                <w:rFonts w:eastAsia="Times New Roman" w:cs="Calibri"/>
                <w:sz w:val="20"/>
                <w:szCs w:val="20"/>
                <w:lang w:eastAsia="es-CR"/>
              </w:rPr>
              <w:t>Deudas comerciales a corto plazo</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6BBAA561" w14:textId="77777777" w:rsidR="00B2692F" w:rsidRPr="00B2692F" w:rsidRDefault="00B2692F" w:rsidP="00B2692F">
            <w:pPr>
              <w:spacing w:after="0" w:line="240" w:lineRule="auto"/>
              <w:jc w:val="right"/>
              <w:rPr>
                <w:rFonts w:eastAsia="Times New Roman" w:cs="Calibri"/>
                <w:color w:val="000000"/>
                <w:sz w:val="20"/>
                <w:szCs w:val="20"/>
                <w:lang w:eastAsia="es-CR"/>
              </w:rPr>
            </w:pPr>
            <w:r w:rsidRPr="00B2692F">
              <w:rPr>
                <w:rFonts w:eastAsia="Times New Roman" w:cs="Calibri"/>
                <w:color w:val="000000"/>
                <w:sz w:val="20"/>
                <w:szCs w:val="20"/>
                <w:lang w:eastAsia="es-CR"/>
              </w:rPr>
              <w:t>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72676B14" w14:textId="77777777" w:rsidR="00B2692F" w:rsidRPr="00B2692F" w:rsidRDefault="00B2692F" w:rsidP="00B2692F">
            <w:pPr>
              <w:spacing w:after="0" w:line="240" w:lineRule="auto"/>
              <w:jc w:val="right"/>
              <w:rPr>
                <w:rFonts w:eastAsia="Times New Roman" w:cs="Calibri"/>
                <w:sz w:val="20"/>
                <w:szCs w:val="20"/>
                <w:lang w:eastAsia="es-CR"/>
              </w:rPr>
            </w:pPr>
            <w:r w:rsidRPr="00B2692F">
              <w:rPr>
                <w:rFonts w:eastAsia="Times New Roman" w:cs="Calibri"/>
                <w:sz w:val="20"/>
                <w:szCs w:val="20"/>
                <w:lang w:eastAsia="es-CR"/>
              </w:rPr>
              <w:t>1 108,99</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14:paraId="0483CD63" w14:textId="77777777" w:rsidR="00B2692F" w:rsidRPr="00B2692F" w:rsidRDefault="00B2692F" w:rsidP="00B2692F">
            <w:pPr>
              <w:spacing w:after="0" w:line="240" w:lineRule="auto"/>
              <w:jc w:val="right"/>
              <w:rPr>
                <w:rFonts w:eastAsia="Times New Roman" w:cs="Calibri"/>
                <w:sz w:val="20"/>
                <w:szCs w:val="20"/>
                <w:lang w:eastAsia="es-CR"/>
              </w:rPr>
            </w:pPr>
            <w:r w:rsidRPr="00B2692F">
              <w:rPr>
                <w:rFonts w:eastAsia="Times New Roman" w:cs="Calibri"/>
                <w:sz w:val="20"/>
                <w:szCs w:val="20"/>
                <w:lang w:eastAsia="es-CR"/>
              </w:rPr>
              <w:t>-1 108,99</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4F6B10D4" w14:textId="77777777" w:rsidR="00B2692F" w:rsidRPr="00B2692F" w:rsidRDefault="00B2692F" w:rsidP="00B2692F">
            <w:pPr>
              <w:spacing w:after="0" w:line="240" w:lineRule="auto"/>
              <w:jc w:val="right"/>
              <w:rPr>
                <w:rFonts w:eastAsia="Times New Roman" w:cs="Calibri"/>
                <w:sz w:val="20"/>
                <w:szCs w:val="20"/>
                <w:lang w:eastAsia="es-CR"/>
              </w:rPr>
            </w:pPr>
            <w:r w:rsidRPr="00B2692F">
              <w:rPr>
                <w:rFonts w:eastAsia="Times New Roman" w:cs="Calibri"/>
                <w:sz w:val="20"/>
                <w:szCs w:val="20"/>
                <w:lang w:eastAsia="es-CR"/>
              </w:rPr>
              <w:t>-100,00%</w:t>
            </w:r>
          </w:p>
        </w:tc>
      </w:tr>
      <w:tr w:rsidR="00B2692F" w:rsidRPr="00B2692F" w14:paraId="785BFEAC" w14:textId="77777777" w:rsidTr="00B2692F">
        <w:trPr>
          <w:trHeight w:val="300"/>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14:paraId="6DC54F9A" w14:textId="77777777" w:rsidR="00B2692F" w:rsidRPr="00B2692F" w:rsidRDefault="00B2692F" w:rsidP="00B2692F">
            <w:pPr>
              <w:spacing w:after="0" w:line="240" w:lineRule="auto"/>
              <w:jc w:val="left"/>
              <w:rPr>
                <w:rFonts w:eastAsia="Times New Roman" w:cs="Calibri"/>
                <w:color w:val="000000"/>
                <w:sz w:val="20"/>
                <w:szCs w:val="20"/>
                <w:lang w:eastAsia="es-CR"/>
              </w:rPr>
            </w:pPr>
            <w:r w:rsidRPr="00B2692F">
              <w:rPr>
                <w:rFonts w:eastAsia="Times New Roman" w:cs="Calibri"/>
                <w:color w:val="000000"/>
                <w:sz w:val="20"/>
                <w:szCs w:val="20"/>
                <w:lang w:eastAsia="es-CR"/>
              </w:rPr>
              <w:t>2.1.1.02.</w:t>
            </w:r>
          </w:p>
        </w:tc>
        <w:tc>
          <w:tcPr>
            <w:tcW w:w="3180" w:type="dxa"/>
            <w:tcBorders>
              <w:top w:val="nil"/>
              <w:left w:val="nil"/>
              <w:bottom w:val="single" w:sz="4" w:space="0" w:color="auto"/>
              <w:right w:val="single" w:sz="4" w:space="0" w:color="auto"/>
            </w:tcBorders>
            <w:shd w:val="clear" w:color="auto" w:fill="auto"/>
            <w:vAlign w:val="center"/>
            <w:hideMark/>
          </w:tcPr>
          <w:p w14:paraId="458BB6BD" w14:textId="77777777" w:rsidR="00B2692F" w:rsidRPr="00B2692F" w:rsidRDefault="00B2692F" w:rsidP="00B2692F">
            <w:pPr>
              <w:spacing w:after="0" w:line="240" w:lineRule="auto"/>
              <w:jc w:val="left"/>
              <w:rPr>
                <w:rFonts w:eastAsia="Times New Roman" w:cs="Calibri"/>
                <w:sz w:val="20"/>
                <w:szCs w:val="20"/>
                <w:lang w:eastAsia="es-CR"/>
              </w:rPr>
            </w:pPr>
            <w:r w:rsidRPr="00B2692F">
              <w:rPr>
                <w:rFonts w:eastAsia="Times New Roman" w:cs="Calibri"/>
                <w:sz w:val="20"/>
                <w:szCs w:val="20"/>
                <w:lang w:eastAsia="es-CR"/>
              </w:rPr>
              <w:t>Deudas sociales y fiscales a corto plazo</w:t>
            </w:r>
          </w:p>
        </w:tc>
        <w:tc>
          <w:tcPr>
            <w:tcW w:w="1140" w:type="dxa"/>
            <w:tcBorders>
              <w:top w:val="nil"/>
              <w:left w:val="nil"/>
              <w:bottom w:val="single" w:sz="4" w:space="0" w:color="auto"/>
              <w:right w:val="single" w:sz="4" w:space="0" w:color="auto"/>
            </w:tcBorders>
            <w:shd w:val="clear" w:color="auto" w:fill="auto"/>
            <w:noWrap/>
            <w:vAlign w:val="bottom"/>
            <w:hideMark/>
          </w:tcPr>
          <w:p w14:paraId="1BEE4ACD" w14:textId="77777777" w:rsidR="00B2692F" w:rsidRPr="00B2692F" w:rsidRDefault="00B2692F" w:rsidP="00B2692F">
            <w:pPr>
              <w:spacing w:after="0" w:line="240" w:lineRule="auto"/>
              <w:jc w:val="right"/>
              <w:rPr>
                <w:rFonts w:eastAsia="Times New Roman" w:cs="Calibri"/>
                <w:color w:val="000000"/>
                <w:sz w:val="20"/>
                <w:szCs w:val="20"/>
                <w:lang w:eastAsia="es-CR"/>
              </w:rPr>
            </w:pPr>
            <w:r w:rsidRPr="00B2692F">
              <w:rPr>
                <w:rFonts w:eastAsia="Times New Roman" w:cs="Calibri"/>
                <w:color w:val="000000"/>
                <w:sz w:val="20"/>
                <w:szCs w:val="20"/>
                <w:lang w:eastAsia="es-CR"/>
              </w:rPr>
              <w:t>28 252,88</w:t>
            </w:r>
          </w:p>
        </w:tc>
        <w:tc>
          <w:tcPr>
            <w:tcW w:w="1280" w:type="dxa"/>
            <w:tcBorders>
              <w:top w:val="nil"/>
              <w:left w:val="nil"/>
              <w:bottom w:val="single" w:sz="4" w:space="0" w:color="auto"/>
              <w:right w:val="single" w:sz="4" w:space="0" w:color="auto"/>
            </w:tcBorders>
            <w:shd w:val="clear" w:color="auto" w:fill="auto"/>
            <w:noWrap/>
            <w:vAlign w:val="bottom"/>
            <w:hideMark/>
          </w:tcPr>
          <w:p w14:paraId="1FB861A8" w14:textId="77777777" w:rsidR="00B2692F" w:rsidRPr="00B2692F" w:rsidRDefault="00B2692F" w:rsidP="00B2692F">
            <w:pPr>
              <w:spacing w:after="0" w:line="240" w:lineRule="auto"/>
              <w:jc w:val="right"/>
              <w:rPr>
                <w:rFonts w:eastAsia="Times New Roman" w:cs="Calibri"/>
                <w:sz w:val="20"/>
                <w:szCs w:val="20"/>
                <w:lang w:eastAsia="es-CR"/>
              </w:rPr>
            </w:pPr>
            <w:r w:rsidRPr="00B2692F">
              <w:rPr>
                <w:rFonts w:eastAsia="Times New Roman" w:cs="Calibri"/>
                <w:sz w:val="20"/>
                <w:szCs w:val="20"/>
                <w:lang w:eastAsia="es-CR"/>
              </w:rPr>
              <w:t>21 545,67</w:t>
            </w:r>
          </w:p>
        </w:tc>
        <w:tc>
          <w:tcPr>
            <w:tcW w:w="1100" w:type="dxa"/>
            <w:tcBorders>
              <w:top w:val="nil"/>
              <w:left w:val="nil"/>
              <w:bottom w:val="single" w:sz="4" w:space="0" w:color="auto"/>
              <w:right w:val="single" w:sz="4" w:space="0" w:color="auto"/>
            </w:tcBorders>
            <w:shd w:val="clear" w:color="auto" w:fill="auto"/>
            <w:noWrap/>
            <w:vAlign w:val="center"/>
            <w:hideMark/>
          </w:tcPr>
          <w:p w14:paraId="7F8732EF" w14:textId="77777777" w:rsidR="00B2692F" w:rsidRPr="00B2692F" w:rsidRDefault="00B2692F" w:rsidP="00B2692F">
            <w:pPr>
              <w:spacing w:after="0" w:line="240" w:lineRule="auto"/>
              <w:jc w:val="right"/>
              <w:rPr>
                <w:rFonts w:eastAsia="Times New Roman" w:cs="Calibri"/>
                <w:sz w:val="20"/>
                <w:szCs w:val="20"/>
                <w:lang w:eastAsia="es-CR"/>
              </w:rPr>
            </w:pPr>
            <w:r w:rsidRPr="00B2692F">
              <w:rPr>
                <w:rFonts w:eastAsia="Times New Roman" w:cs="Calibri"/>
                <w:sz w:val="20"/>
                <w:szCs w:val="20"/>
                <w:lang w:eastAsia="es-CR"/>
              </w:rPr>
              <w:t>6 707,20</w:t>
            </w:r>
          </w:p>
        </w:tc>
        <w:tc>
          <w:tcPr>
            <w:tcW w:w="800" w:type="dxa"/>
            <w:tcBorders>
              <w:top w:val="nil"/>
              <w:left w:val="nil"/>
              <w:bottom w:val="single" w:sz="4" w:space="0" w:color="auto"/>
              <w:right w:val="single" w:sz="4" w:space="0" w:color="auto"/>
            </w:tcBorders>
            <w:shd w:val="clear" w:color="auto" w:fill="auto"/>
            <w:noWrap/>
            <w:vAlign w:val="center"/>
            <w:hideMark/>
          </w:tcPr>
          <w:p w14:paraId="00B9F0EA" w14:textId="77777777" w:rsidR="00B2692F" w:rsidRPr="00B2692F" w:rsidRDefault="00B2692F" w:rsidP="00B2692F">
            <w:pPr>
              <w:spacing w:after="0" w:line="240" w:lineRule="auto"/>
              <w:jc w:val="right"/>
              <w:rPr>
                <w:rFonts w:eastAsia="Times New Roman" w:cs="Calibri"/>
                <w:sz w:val="20"/>
                <w:szCs w:val="20"/>
                <w:lang w:eastAsia="es-CR"/>
              </w:rPr>
            </w:pPr>
            <w:r w:rsidRPr="00B2692F">
              <w:rPr>
                <w:rFonts w:eastAsia="Times New Roman" w:cs="Calibri"/>
                <w:sz w:val="20"/>
                <w:szCs w:val="20"/>
                <w:lang w:eastAsia="es-CR"/>
              </w:rPr>
              <w:t>31,13%</w:t>
            </w:r>
          </w:p>
        </w:tc>
      </w:tr>
      <w:tr w:rsidR="00B2692F" w:rsidRPr="00B2692F" w14:paraId="28667415" w14:textId="77777777" w:rsidTr="00B2692F">
        <w:trPr>
          <w:trHeight w:val="300"/>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14:paraId="7C45F921" w14:textId="77777777" w:rsidR="00B2692F" w:rsidRPr="00B2692F" w:rsidRDefault="00B2692F" w:rsidP="00B2692F">
            <w:pPr>
              <w:spacing w:after="0" w:line="240" w:lineRule="auto"/>
              <w:jc w:val="left"/>
              <w:rPr>
                <w:rFonts w:eastAsia="Times New Roman" w:cs="Calibri"/>
                <w:color w:val="000000"/>
                <w:sz w:val="20"/>
                <w:szCs w:val="20"/>
                <w:lang w:eastAsia="es-CR"/>
              </w:rPr>
            </w:pPr>
            <w:bookmarkStart w:id="367" w:name="_Hlk189055467"/>
            <w:r w:rsidRPr="00B2692F">
              <w:rPr>
                <w:rFonts w:eastAsia="Times New Roman" w:cs="Calibri"/>
                <w:color w:val="000000"/>
                <w:sz w:val="20"/>
                <w:szCs w:val="20"/>
                <w:lang w:eastAsia="es-CR"/>
              </w:rPr>
              <w:t>2.1.1.03.</w:t>
            </w:r>
          </w:p>
        </w:tc>
        <w:tc>
          <w:tcPr>
            <w:tcW w:w="3180" w:type="dxa"/>
            <w:tcBorders>
              <w:top w:val="nil"/>
              <w:left w:val="nil"/>
              <w:bottom w:val="single" w:sz="4" w:space="0" w:color="auto"/>
              <w:right w:val="single" w:sz="4" w:space="0" w:color="auto"/>
            </w:tcBorders>
            <w:shd w:val="clear" w:color="auto" w:fill="auto"/>
            <w:vAlign w:val="center"/>
            <w:hideMark/>
          </w:tcPr>
          <w:p w14:paraId="23735AE8" w14:textId="77777777" w:rsidR="00B2692F" w:rsidRPr="00B2692F" w:rsidRDefault="00B2692F" w:rsidP="00B2692F">
            <w:pPr>
              <w:spacing w:after="0" w:line="240" w:lineRule="auto"/>
              <w:jc w:val="left"/>
              <w:rPr>
                <w:rFonts w:eastAsia="Times New Roman" w:cs="Calibri"/>
                <w:sz w:val="20"/>
                <w:szCs w:val="20"/>
                <w:lang w:eastAsia="es-CR"/>
              </w:rPr>
            </w:pPr>
            <w:r w:rsidRPr="00B2692F">
              <w:rPr>
                <w:rFonts w:eastAsia="Times New Roman" w:cs="Calibri"/>
                <w:sz w:val="20"/>
                <w:szCs w:val="20"/>
                <w:lang w:eastAsia="es-CR"/>
              </w:rPr>
              <w:t>Transferencias a pagar a corto plazo</w:t>
            </w:r>
          </w:p>
        </w:tc>
        <w:tc>
          <w:tcPr>
            <w:tcW w:w="1140" w:type="dxa"/>
            <w:tcBorders>
              <w:top w:val="nil"/>
              <w:left w:val="nil"/>
              <w:bottom w:val="single" w:sz="4" w:space="0" w:color="auto"/>
              <w:right w:val="single" w:sz="4" w:space="0" w:color="auto"/>
            </w:tcBorders>
            <w:shd w:val="clear" w:color="auto" w:fill="auto"/>
            <w:noWrap/>
            <w:vAlign w:val="bottom"/>
            <w:hideMark/>
          </w:tcPr>
          <w:p w14:paraId="1B7329C2" w14:textId="77777777" w:rsidR="00B2692F" w:rsidRPr="00B2692F" w:rsidRDefault="00B2692F" w:rsidP="00B2692F">
            <w:pPr>
              <w:spacing w:after="0" w:line="240" w:lineRule="auto"/>
              <w:jc w:val="right"/>
              <w:rPr>
                <w:rFonts w:eastAsia="Times New Roman" w:cs="Calibri"/>
                <w:color w:val="000000"/>
                <w:sz w:val="20"/>
                <w:szCs w:val="20"/>
                <w:lang w:eastAsia="es-CR"/>
              </w:rPr>
            </w:pPr>
            <w:r w:rsidRPr="00B2692F">
              <w:rPr>
                <w:rFonts w:eastAsia="Times New Roman" w:cs="Calibri"/>
                <w:color w:val="000000"/>
                <w:sz w:val="20"/>
                <w:szCs w:val="20"/>
                <w:lang w:eastAsia="es-CR"/>
              </w:rPr>
              <w:t>71 890,39</w:t>
            </w:r>
          </w:p>
        </w:tc>
        <w:tc>
          <w:tcPr>
            <w:tcW w:w="1280" w:type="dxa"/>
            <w:tcBorders>
              <w:top w:val="nil"/>
              <w:left w:val="nil"/>
              <w:bottom w:val="single" w:sz="4" w:space="0" w:color="auto"/>
              <w:right w:val="single" w:sz="4" w:space="0" w:color="auto"/>
            </w:tcBorders>
            <w:shd w:val="clear" w:color="auto" w:fill="auto"/>
            <w:noWrap/>
            <w:vAlign w:val="bottom"/>
            <w:hideMark/>
          </w:tcPr>
          <w:p w14:paraId="2C15C926" w14:textId="77777777" w:rsidR="00B2692F" w:rsidRPr="00B2692F" w:rsidRDefault="00B2692F" w:rsidP="00B2692F">
            <w:pPr>
              <w:spacing w:after="0" w:line="240" w:lineRule="auto"/>
              <w:jc w:val="right"/>
              <w:rPr>
                <w:rFonts w:eastAsia="Times New Roman" w:cs="Calibri"/>
                <w:sz w:val="20"/>
                <w:szCs w:val="20"/>
                <w:lang w:eastAsia="es-CR"/>
              </w:rPr>
            </w:pPr>
            <w:r w:rsidRPr="00B2692F">
              <w:rPr>
                <w:rFonts w:eastAsia="Times New Roman" w:cs="Calibri"/>
                <w:sz w:val="20"/>
                <w:szCs w:val="20"/>
                <w:lang w:eastAsia="es-CR"/>
              </w:rPr>
              <w:t>63 607,07</w:t>
            </w:r>
          </w:p>
        </w:tc>
        <w:tc>
          <w:tcPr>
            <w:tcW w:w="1100" w:type="dxa"/>
            <w:tcBorders>
              <w:top w:val="nil"/>
              <w:left w:val="nil"/>
              <w:bottom w:val="single" w:sz="4" w:space="0" w:color="auto"/>
              <w:right w:val="single" w:sz="4" w:space="0" w:color="auto"/>
            </w:tcBorders>
            <w:shd w:val="clear" w:color="auto" w:fill="auto"/>
            <w:noWrap/>
            <w:vAlign w:val="center"/>
            <w:hideMark/>
          </w:tcPr>
          <w:p w14:paraId="5AD29031" w14:textId="77777777" w:rsidR="00B2692F" w:rsidRPr="00B2692F" w:rsidRDefault="00B2692F" w:rsidP="00B2692F">
            <w:pPr>
              <w:spacing w:after="0" w:line="240" w:lineRule="auto"/>
              <w:jc w:val="right"/>
              <w:rPr>
                <w:rFonts w:eastAsia="Times New Roman" w:cs="Calibri"/>
                <w:sz w:val="20"/>
                <w:szCs w:val="20"/>
                <w:lang w:eastAsia="es-CR"/>
              </w:rPr>
            </w:pPr>
            <w:r w:rsidRPr="00B2692F">
              <w:rPr>
                <w:rFonts w:eastAsia="Times New Roman" w:cs="Calibri"/>
                <w:sz w:val="20"/>
                <w:szCs w:val="20"/>
                <w:lang w:eastAsia="es-CR"/>
              </w:rPr>
              <w:t>8 283,32</w:t>
            </w:r>
          </w:p>
        </w:tc>
        <w:tc>
          <w:tcPr>
            <w:tcW w:w="800" w:type="dxa"/>
            <w:tcBorders>
              <w:top w:val="nil"/>
              <w:left w:val="nil"/>
              <w:bottom w:val="single" w:sz="4" w:space="0" w:color="auto"/>
              <w:right w:val="single" w:sz="4" w:space="0" w:color="auto"/>
            </w:tcBorders>
            <w:shd w:val="clear" w:color="auto" w:fill="auto"/>
            <w:noWrap/>
            <w:vAlign w:val="center"/>
            <w:hideMark/>
          </w:tcPr>
          <w:p w14:paraId="5AF29C63" w14:textId="77777777" w:rsidR="00B2692F" w:rsidRPr="00B2692F" w:rsidRDefault="00B2692F" w:rsidP="00B2692F">
            <w:pPr>
              <w:spacing w:after="0" w:line="240" w:lineRule="auto"/>
              <w:jc w:val="right"/>
              <w:rPr>
                <w:rFonts w:eastAsia="Times New Roman" w:cs="Calibri"/>
                <w:sz w:val="20"/>
                <w:szCs w:val="20"/>
                <w:lang w:eastAsia="es-CR"/>
              </w:rPr>
            </w:pPr>
            <w:r w:rsidRPr="00B2692F">
              <w:rPr>
                <w:rFonts w:eastAsia="Times New Roman" w:cs="Calibri"/>
                <w:sz w:val="20"/>
                <w:szCs w:val="20"/>
                <w:lang w:eastAsia="es-CR"/>
              </w:rPr>
              <w:t>13,02%</w:t>
            </w:r>
          </w:p>
        </w:tc>
      </w:tr>
      <w:bookmarkEnd w:id="367"/>
      <w:tr w:rsidR="00B2692F" w:rsidRPr="00B2692F" w14:paraId="2C21F9C3" w14:textId="77777777" w:rsidTr="00B2692F">
        <w:trPr>
          <w:trHeight w:val="300"/>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14:paraId="7D80159A" w14:textId="77777777" w:rsidR="00B2692F" w:rsidRPr="00B2692F" w:rsidRDefault="00B2692F" w:rsidP="00B2692F">
            <w:pPr>
              <w:spacing w:after="0" w:line="240" w:lineRule="auto"/>
              <w:jc w:val="left"/>
              <w:rPr>
                <w:rFonts w:eastAsia="Times New Roman" w:cs="Calibri"/>
                <w:color w:val="000000"/>
                <w:sz w:val="20"/>
                <w:szCs w:val="20"/>
                <w:lang w:eastAsia="es-CR"/>
              </w:rPr>
            </w:pPr>
            <w:r w:rsidRPr="00B2692F">
              <w:rPr>
                <w:rFonts w:eastAsia="Times New Roman" w:cs="Calibri"/>
                <w:color w:val="000000"/>
                <w:sz w:val="20"/>
                <w:szCs w:val="20"/>
                <w:lang w:eastAsia="es-CR"/>
              </w:rPr>
              <w:t>2.1.1.04.</w:t>
            </w:r>
          </w:p>
        </w:tc>
        <w:tc>
          <w:tcPr>
            <w:tcW w:w="3180" w:type="dxa"/>
            <w:tcBorders>
              <w:top w:val="nil"/>
              <w:left w:val="nil"/>
              <w:bottom w:val="single" w:sz="4" w:space="0" w:color="auto"/>
              <w:right w:val="single" w:sz="4" w:space="0" w:color="auto"/>
            </w:tcBorders>
            <w:shd w:val="clear" w:color="auto" w:fill="auto"/>
            <w:vAlign w:val="center"/>
            <w:hideMark/>
          </w:tcPr>
          <w:p w14:paraId="35C9BC31" w14:textId="77777777" w:rsidR="00B2692F" w:rsidRPr="00B2692F" w:rsidRDefault="00B2692F" w:rsidP="00B2692F">
            <w:pPr>
              <w:spacing w:after="0" w:line="240" w:lineRule="auto"/>
              <w:jc w:val="left"/>
              <w:rPr>
                <w:rFonts w:eastAsia="Times New Roman" w:cs="Calibri"/>
                <w:sz w:val="20"/>
                <w:szCs w:val="20"/>
                <w:lang w:eastAsia="es-CR"/>
              </w:rPr>
            </w:pPr>
            <w:r w:rsidRPr="00B2692F">
              <w:rPr>
                <w:rFonts w:eastAsia="Times New Roman" w:cs="Calibri"/>
                <w:sz w:val="20"/>
                <w:szCs w:val="20"/>
                <w:lang w:eastAsia="es-CR"/>
              </w:rPr>
              <w:t>Documentos a pagar a corto plazo</w:t>
            </w:r>
          </w:p>
        </w:tc>
        <w:tc>
          <w:tcPr>
            <w:tcW w:w="1140" w:type="dxa"/>
            <w:tcBorders>
              <w:top w:val="nil"/>
              <w:left w:val="nil"/>
              <w:bottom w:val="single" w:sz="4" w:space="0" w:color="auto"/>
              <w:right w:val="single" w:sz="4" w:space="0" w:color="auto"/>
            </w:tcBorders>
            <w:shd w:val="clear" w:color="auto" w:fill="auto"/>
            <w:noWrap/>
            <w:vAlign w:val="bottom"/>
            <w:hideMark/>
          </w:tcPr>
          <w:p w14:paraId="17457866" w14:textId="77777777" w:rsidR="00B2692F" w:rsidRPr="00B2692F" w:rsidRDefault="00B2692F" w:rsidP="00B2692F">
            <w:pPr>
              <w:spacing w:after="0" w:line="240" w:lineRule="auto"/>
              <w:jc w:val="right"/>
              <w:rPr>
                <w:rFonts w:eastAsia="Times New Roman" w:cs="Calibri"/>
                <w:color w:val="000000"/>
                <w:sz w:val="20"/>
                <w:szCs w:val="20"/>
                <w:lang w:eastAsia="es-CR"/>
              </w:rPr>
            </w:pPr>
            <w:r w:rsidRPr="00B2692F">
              <w:rPr>
                <w:rFonts w:eastAsia="Times New Roman" w:cs="Calibri"/>
                <w:color w:val="000000"/>
                <w:sz w:val="20"/>
                <w:szCs w:val="20"/>
                <w:lang w:eastAsia="es-CR"/>
              </w:rPr>
              <w:t>0,00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28974D" w14:textId="77777777" w:rsidR="00B2692F" w:rsidRPr="00B2692F" w:rsidRDefault="00B2692F" w:rsidP="00B2692F">
            <w:pPr>
              <w:spacing w:after="0" w:line="240" w:lineRule="auto"/>
              <w:jc w:val="right"/>
              <w:rPr>
                <w:rFonts w:eastAsia="Times New Roman" w:cs="Calibri"/>
                <w:sz w:val="20"/>
                <w:szCs w:val="20"/>
                <w:lang w:eastAsia="es-CR"/>
              </w:rPr>
            </w:pPr>
            <w:r w:rsidRPr="00B2692F">
              <w:rPr>
                <w:rFonts w:eastAsia="Times New Roman" w:cs="Calibri"/>
                <w:sz w:val="20"/>
                <w:szCs w:val="20"/>
                <w:lang w:eastAsia="es-CR"/>
              </w:rPr>
              <w:t>964,50</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3341524B" w14:textId="77777777" w:rsidR="00B2692F" w:rsidRPr="00B2692F" w:rsidRDefault="00B2692F" w:rsidP="00B2692F">
            <w:pPr>
              <w:spacing w:after="0" w:line="240" w:lineRule="auto"/>
              <w:jc w:val="right"/>
              <w:rPr>
                <w:rFonts w:eastAsia="Times New Roman" w:cs="Calibri"/>
                <w:sz w:val="20"/>
                <w:szCs w:val="20"/>
                <w:lang w:eastAsia="es-CR"/>
              </w:rPr>
            </w:pPr>
            <w:r w:rsidRPr="00B2692F">
              <w:rPr>
                <w:rFonts w:eastAsia="Times New Roman" w:cs="Calibri"/>
                <w:sz w:val="20"/>
                <w:szCs w:val="20"/>
                <w:lang w:eastAsia="es-CR"/>
              </w:rPr>
              <w:t>-964,50</w:t>
            </w:r>
          </w:p>
        </w:tc>
        <w:tc>
          <w:tcPr>
            <w:tcW w:w="800" w:type="dxa"/>
            <w:tcBorders>
              <w:top w:val="nil"/>
              <w:left w:val="nil"/>
              <w:bottom w:val="single" w:sz="4" w:space="0" w:color="auto"/>
              <w:right w:val="single" w:sz="4" w:space="0" w:color="auto"/>
            </w:tcBorders>
            <w:shd w:val="clear" w:color="auto" w:fill="auto"/>
            <w:noWrap/>
            <w:vAlign w:val="center"/>
            <w:hideMark/>
          </w:tcPr>
          <w:p w14:paraId="6BFEE19B" w14:textId="77777777" w:rsidR="00B2692F" w:rsidRPr="00B2692F" w:rsidRDefault="00B2692F" w:rsidP="00B2692F">
            <w:pPr>
              <w:spacing w:after="0" w:line="240" w:lineRule="auto"/>
              <w:jc w:val="right"/>
              <w:rPr>
                <w:rFonts w:eastAsia="Times New Roman" w:cs="Calibri"/>
                <w:sz w:val="20"/>
                <w:szCs w:val="20"/>
                <w:lang w:eastAsia="es-CR"/>
              </w:rPr>
            </w:pPr>
            <w:r w:rsidRPr="00B2692F">
              <w:rPr>
                <w:rFonts w:eastAsia="Times New Roman" w:cs="Calibri"/>
                <w:sz w:val="20"/>
                <w:szCs w:val="20"/>
                <w:lang w:eastAsia="es-CR"/>
              </w:rPr>
              <w:t>-100,00%</w:t>
            </w:r>
          </w:p>
        </w:tc>
      </w:tr>
      <w:tr w:rsidR="00B2692F" w:rsidRPr="00B2692F" w14:paraId="7785EBFF" w14:textId="77777777" w:rsidTr="00B2692F">
        <w:trPr>
          <w:trHeight w:val="315"/>
        </w:trPr>
        <w:tc>
          <w:tcPr>
            <w:tcW w:w="1280" w:type="dxa"/>
            <w:tcBorders>
              <w:top w:val="nil"/>
              <w:left w:val="single" w:sz="4" w:space="0" w:color="auto"/>
              <w:bottom w:val="nil"/>
              <w:right w:val="single" w:sz="4" w:space="0" w:color="auto"/>
            </w:tcBorders>
            <w:shd w:val="clear" w:color="auto" w:fill="auto"/>
            <w:noWrap/>
            <w:vAlign w:val="center"/>
            <w:hideMark/>
          </w:tcPr>
          <w:p w14:paraId="2E776A75" w14:textId="77777777" w:rsidR="00B2692F" w:rsidRPr="00B2692F" w:rsidRDefault="00B2692F" w:rsidP="00B2692F">
            <w:pPr>
              <w:spacing w:after="0" w:line="240" w:lineRule="auto"/>
              <w:jc w:val="left"/>
              <w:rPr>
                <w:rFonts w:eastAsia="Times New Roman" w:cs="Calibri"/>
                <w:color w:val="000000"/>
                <w:sz w:val="20"/>
                <w:szCs w:val="20"/>
                <w:lang w:eastAsia="es-CR"/>
              </w:rPr>
            </w:pPr>
            <w:r w:rsidRPr="00B2692F">
              <w:rPr>
                <w:rFonts w:eastAsia="Times New Roman" w:cs="Calibri"/>
                <w:color w:val="000000"/>
                <w:sz w:val="20"/>
                <w:szCs w:val="20"/>
                <w:lang w:eastAsia="es-CR"/>
              </w:rPr>
              <w:t>2.1.1.99</w:t>
            </w:r>
          </w:p>
        </w:tc>
        <w:tc>
          <w:tcPr>
            <w:tcW w:w="3180" w:type="dxa"/>
            <w:tcBorders>
              <w:top w:val="nil"/>
              <w:left w:val="nil"/>
              <w:bottom w:val="nil"/>
              <w:right w:val="nil"/>
            </w:tcBorders>
            <w:shd w:val="clear" w:color="auto" w:fill="auto"/>
            <w:noWrap/>
            <w:vAlign w:val="bottom"/>
            <w:hideMark/>
          </w:tcPr>
          <w:p w14:paraId="363BE252" w14:textId="77777777" w:rsidR="00B2692F" w:rsidRPr="00B2692F" w:rsidRDefault="00B2692F" w:rsidP="00B2692F">
            <w:pPr>
              <w:spacing w:after="0" w:line="240" w:lineRule="auto"/>
              <w:jc w:val="left"/>
              <w:rPr>
                <w:rFonts w:eastAsia="Times New Roman" w:cs="Calibri"/>
                <w:color w:val="000000"/>
                <w:sz w:val="20"/>
                <w:szCs w:val="20"/>
                <w:lang w:eastAsia="es-CR"/>
              </w:rPr>
            </w:pPr>
            <w:r w:rsidRPr="00B2692F">
              <w:rPr>
                <w:rFonts w:eastAsia="Times New Roman" w:cs="Calibri"/>
                <w:color w:val="000000"/>
                <w:sz w:val="20"/>
                <w:szCs w:val="20"/>
                <w:lang w:eastAsia="es-CR"/>
              </w:rPr>
              <w:t>Otras deudas a corto plazo</w:t>
            </w: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32663922" w14:textId="77777777" w:rsidR="00B2692F" w:rsidRPr="00B2692F" w:rsidRDefault="00B2692F" w:rsidP="00B2692F">
            <w:pPr>
              <w:spacing w:after="0" w:line="240" w:lineRule="auto"/>
              <w:jc w:val="right"/>
              <w:rPr>
                <w:rFonts w:eastAsia="Times New Roman" w:cs="Calibri"/>
                <w:color w:val="000000"/>
                <w:sz w:val="20"/>
                <w:szCs w:val="20"/>
                <w:lang w:eastAsia="es-CR"/>
              </w:rPr>
            </w:pPr>
            <w:r w:rsidRPr="00B2692F">
              <w:rPr>
                <w:rFonts w:eastAsia="Times New Roman" w:cs="Calibri"/>
                <w:color w:val="000000"/>
                <w:sz w:val="20"/>
                <w:szCs w:val="20"/>
                <w:lang w:eastAsia="es-CR"/>
              </w:rPr>
              <w:t>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16AAA2EC" w14:textId="77777777" w:rsidR="00B2692F" w:rsidRPr="00B2692F" w:rsidRDefault="00B2692F" w:rsidP="00B2692F">
            <w:pPr>
              <w:spacing w:after="0" w:line="240" w:lineRule="auto"/>
              <w:jc w:val="right"/>
              <w:rPr>
                <w:rFonts w:eastAsia="Times New Roman" w:cs="Calibri"/>
                <w:sz w:val="20"/>
                <w:szCs w:val="20"/>
                <w:lang w:eastAsia="es-CR"/>
              </w:rPr>
            </w:pPr>
            <w:r w:rsidRPr="00B2692F">
              <w:rPr>
                <w:rFonts w:eastAsia="Times New Roman" w:cs="Calibri"/>
                <w:sz w:val="20"/>
                <w:szCs w:val="20"/>
                <w:lang w:eastAsia="es-CR"/>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2B38FBD9" w14:textId="77777777" w:rsidR="00B2692F" w:rsidRPr="00B2692F" w:rsidRDefault="00B2692F" w:rsidP="00B2692F">
            <w:pPr>
              <w:spacing w:after="0" w:line="240" w:lineRule="auto"/>
              <w:jc w:val="right"/>
              <w:rPr>
                <w:rFonts w:eastAsia="Times New Roman" w:cs="Calibri"/>
                <w:sz w:val="20"/>
                <w:szCs w:val="20"/>
                <w:lang w:eastAsia="es-CR"/>
              </w:rPr>
            </w:pPr>
            <w:r w:rsidRPr="00B2692F">
              <w:rPr>
                <w:rFonts w:eastAsia="Times New Roman" w:cs="Calibri"/>
                <w:sz w:val="20"/>
                <w:szCs w:val="20"/>
                <w:lang w:eastAsia="es-CR"/>
              </w:rPr>
              <w:t>0,00</w:t>
            </w:r>
          </w:p>
        </w:tc>
        <w:tc>
          <w:tcPr>
            <w:tcW w:w="800" w:type="dxa"/>
            <w:tcBorders>
              <w:top w:val="nil"/>
              <w:left w:val="nil"/>
              <w:bottom w:val="single" w:sz="4" w:space="0" w:color="auto"/>
              <w:right w:val="single" w:sz="4" w:space="0" w:color="auto"/>
            </w:tcBorders>
            <w:shd w:val="clear" w:color="auto" w:fill="auto"/>
            <w:noWrap/>
            <w:vAlign w:val="center"/>
            <w:hideMark/>
          </w:tcPr>
          <w:p w14:paraId="44226B94" w14:textId="77777777" w:rsidR="00B2692F" w:rsidRPr="00B2692F" w:rsidRDefault="00B2692F" w:rsidP="00B2692F">
            <w:pPr>
              <w:spacing w:after="0" w:line="240" w:lineRule="auto"/>
              <w:jc w:val="right"/>
              <w:rPr>
                <w:rFonts w:eastAsia="Times New Roman" w:cs="Calibri"/>
                <w:sz w:val="20"/>
                <w:szCs w:val="20"/>
                <w:lang w:eastAsia="es-CR"/>
              </w:rPr>
            </w:pPr>
            <w:r w:rsidRPr="00B2692F">
              <w:rPr>
                <w:rFonts w:eastAsia="Times New Roman" w:cs="Calibri"/>
                <w:sz w:val="20"/>
                <w:szCs w:val="20"/>
                <w:lang w:eastAsia="es-CR"/>
              </w:rPr>
              <w:t>#¡DIV/0!</w:t>
            </w:r>
          </w:p>
        </w:tc>
      </w:tr>
      <w:tr w:rsidR="00B2692F" w:rsidRPr="00B2692F" w14:paraId="47CB1566" w14:textId="77777777" w:rsidTr="00B2692F">
        <w:trPr>
          <w:trHeight w:val="345"/>
        </w:trPr>
        <w:tc>
          <w:tcPr>
            <w:tcW w:w="1280" w:type="dxa"/>
            <w:tcBorders>
              <w:top w:val="single" w:sz="8" w:space="0" w:color="auto"/>
              <w:left w:val="single" w:sz="8" w:space="0" w:color="auto"/>
              <w:bottom w:val="single" w:sz="8" w:space="0" w:color="auto"/>
              <w:right w:val="nil"/>
            </w:tcBorders>
            <w:shd w:val="clear" w:color="auto" w:fill="auto"/>
            <w:noWrap/>
            <w:vAlign w:val="bottom"/>
            <w:hideMark/>
          </w:tcPr>
          <w:p w14:paraId="67BB90AB" w14:textId="77777777" w:rsidR="00B2692F" w:rsidRPr="00B2692F" w:rsidRDefault="00B2692F" w:rsidP="00B2692F">
            <w:pPr>
              <w:spacing w:after="0" w:line="240" w:lineRule="auto"/>
              <w:jc w:val="left"/>
              <w:rPr>
                <w:rFonts w:ascii="Calibri" w:eastAsia="Times New Roman" w:hAnsi="Calibri" w:cs="Calibri"/>
                <w:color w:val="000000"/>
                <w:sz w:val="22"/>
                <w:lang w:eastAsia="es-CR"/>
              </w:rPr>
            </w:pPr>
            <w:r w:rsidRPr="00B2692F">
              <w:rPr>
                <w:rFonts w:ascii="Calibri" w:eastAsia="Times New Roman" w:hAnsi="Calibri" w:cs="Calibri"/>
                <w:color w:val="000000"/>
                <w:sz w:val="22"/>
                <w:lang w:eastAsia="es-CR"/>
              </w:rPr>
              <w:t> </w:t>
            </w:r>
          </w:p>
        </w:tc>
        <w:tc>
          <w:tcPr>
            <w:tcW w:w="3180" w:type="dxa"/>
            <w:tcBorders>
              <w:top w:val="single" w:sz="8" w:space="0" w:color="auto"/>
              <w:left w:val="nil"/>
              <w:bottom w:val="single" w:sz="8" w:space="0" w:color="auto"/>
              <w:right w:val="nil"/>
            </w:tcBorders>
            <w:shd w:val="clear" w:color="auto" w:fill="auto"/>
            <w:noWrap/>
            <w:vAlign w:val="bottom"/>
            <w:hideMark/>
          </w:tcPr>
          <w:p w14:paraId="21A9D3DA" w14:textId="77777777" w:rsidR="00B2692F" w:rsidRPr="00B2692F" w:rsidRDefault="00B2692F" w:rsidP="00B2692F">
            <w:pPr>
              <w:spacing w:after="0" w:line="240" w:lineRule="auto"/>
              <w:jc w:val="center"/>
              <w:rPr>
                <w:rFonts w:eastAsia="Times New Roman" w:cs="Calibri"/>
                <w:b/>
                <w:bCs/>
                <w:color w:val="000000"/>
                <w:sz w:val="22"/>
                <w:lang w:eastAsia="es-CR"/>
              </w:rPr>
            </w:pPr>
            <w:r w:rsidRPr="00B2692F">
              <w:rPr>
                <w:rFonts w:eastAsia="Times New Roman" w:cs="Calibri"/>
                <w:b/>
                <w:bCs/>
                <w:color w:val="000000"/>
                <w:sz w:val="22"/>
                <w:lang w:eastAsia="es-CR"/>
              </w:rPr>
              <w:t>TOTALES</w:t>
            </w:r>
          </w:p>
        </w:tc>
        <w:tc>
          <w:tcPr>
            <w:tcW w:w="11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B3122F9" w14:textId="77777777" w:rsidR="00B2692F" w:rsidRPr="00B2692F" w:rsidRDefault="00B2692F" w:rsidP="00B2692F">
            <w:pPr>
              <w:spacing w:after="0" w:line="240" w:lineRule="auto"/>
              <w:jc w:val="right"/>
              <w:rPr>
                <w:rFonts w:eastAsia="Times New Roman" w:cs="Calibri"/>
                <w:b/>
                <w:bCs/>
                <w:color w:val="000000"/>
                <w:sz w:val="20"/>
                <w:szCs w:val="20"/>
                <w:lang w:eastAsia="es-CR"/>
              </w:rPr>
            </w:pPr>
            <w:r w:rsidRPr="00B2692F">
              <w:rPr>
                <w:rFonts w:ascii="Arial" w:eastAsia="Times New Roman" w:hAnsi="Arial" w:cs="Arial"/>
                <w:b/>
                <w:bCs/>
                <w:color w:val="000000"/>
                <w:sz w:val="20"/>
                <w:szCs w:val="20"/>
                <w:lang w:eastAsia="es-CR"/>
              </w:rPr>
              <w:t>₡</w:t>
            </w:r>
            <w:r w:rsidRPr="00B2692F">
              <w:rPr>
                <w:rFonts w:eastAsia="Times New Roman" w:cs="Calibri"/>
                <w:b/>
                <w:bCs/>
                <w:color w:val="000000"/>
                <w:sz w:val="20"/>
                <w:szCs w:val="20"/>
                <w:lang w:eastAsia="es-CR"/>
              </w:rPr>
              <w:t>100 143,27</w:t>
            </w:r>
          </w:p>
        </w:tc>
        <w:tc>
          <w:tcPr>
            <w:tcW w:w="1280" w:type="dxa"/>
            <w:tcBorders>
              <w:top w:val="single" w:sz="8" w:space="0" w:color="auto"/>
              <w:left w:val="nil"/>
              <w:bottom w:val="single" w:sz="8" w:space="0" w:color="auto"/>
              <w:right w:val="single" w:sz="8" w:space="0" w:color="auto"/>
            </w:tcBorders>
            <w:shd w:val="clear" w:color="auto" w:fill="auto"/>
            <w:noWrap/>
            <w:vAlign w:val="bottom"/>
            <w:hideMark/>
          </w:tcPr>
          <w:p w14:paraId="77175696" w14:textId="77777777" w:rsidR="00B2692F" w:rsidRPr="00B2692F" w:rsidRDefault="00B2692F" w:rsidP="00B2692F">
            <w:pPr>
              <w:spacing w:after="0" w:line="240" w:lineRule="auto"/>
              <w:jc w:val="right"/>
              <w:rPr>
                <w:rFonts w:eastAsia="Times New Roman" w:cs="Calibri"/>
                <w:b/>
                <w:bCs/>
                <w:color w:val="000000"/>
                <w:sz w:val="20"/>
                <w:szCs w:val="20"/>
                <w:lang w:eastAsia="es-CR"/>
              </w:rPr>
            </w:pPr>
            <w:r w:rsidRPr="00B2692F">
              <w:rPr>
                <w:rFonts w:ascii="Arial" w:eastAsia="Times New Roman" w:hAnsi="Arial" w:cs="Arial"/>
                <w:b/>
                <w:bCs/>
                <w:color w:val="000000"/>
                <w:sz w:val="20"/>
                <w:szCs w:val="20"/>
                <w:lang w:eastAsia="es-CR"/>
              </w:rPr>
              <w:t>₡</w:t>
            </w:r>
            <w:r w:rsidRPr="00B2692F">
              <w:rPr>
                <w:rFonts w:eastAsia="Times New Roman" w:cs="Calibri"/>
                <w:b/>
                <w:bCs/>
                <w:color w:val="000000"/>
                <w:sz w:val="20"/>
                <w:szCs w:val="20"/>
                <w:lang w:eastAsia="es-CR"/>
              </w:rPr>
              <w:t>87 226,24</w:t>
            </w:r>
          </w:p>
        </w:tc>
        <w:tc>
          <w:tcPr>
            <w:tcW w:w="1100" w:type="dxa"/>
            <w:tcBorders>
              <w:top w:val="single" w:sz="8" w:space="0" w:color="auto"/>
              <w:left w:val="nil"/>
              <w:bottom w:val="single" w:sz="8" w:space="0" w:color="auto"/>
              <w:right w:val="single" w:sz="8" w:space="0" w:color="auto"/>
            </w:tcBorders>
            <w:shd w:val="clear" w:color="auto" w:fill="auto"/>
            <w:noWrap/>
            <w:vAlign w:val="bottom"/>
            <w:hideMark/>
          </w:tcPr>
          <w:p w14:paraId="5561B82B" w14:textId="77777777" w:rsidR="00B2692F" w:rsidRPr="00B2692F" w:rsidRDefault="00B2692F" w:rsidP="00B2692F">
            <w:pPr>
              <w:spacing w:after="0" w:line="240" w:lineRule="auto"/>
              <w:jc w:val="right"/>
              <w:rPr>
                <w:rFonts w:eastAsia="Times New Roman" w:cs="Calibri"/>
                <w:b/>
                <w:bCs/>
                <w:color w:val="000000"/>
                <w:sz w:val="20"/>
                <w:szCs w:val="20"/>
                <w:lang w:eastAsia="es-CR"/>
              </w:rPr>
            </w:pPr>
            <w:r w:rsidRPr="00B2692F">
              <w:rPr>
                <w:rFonts w:ascii="Arial" w:eastAsia="Times New Roman" w:hAnsi="Arial" w:cs="Arial"/>
                <w:b/>
                <w:bCs/>
                <w:color w:val="000000"/>
                <w:sz w:val="20"/>
                <w:szCs w:val="20"/>
                <w:lang w:eastAsia="es-CR"/>
              </w:rPr>
              <w:t>₡</w:t>
            </w:r>
            <w:r w:rsidRPr="00B2692F">
              <w:rPr>
                <w:rFonts w:eastAsia="Times New Roman" w:cs="Calibri"/>
                <w:b/>
                <w:bCs/>
                <w:color w:val="000000"/>
                <w:sz w:val="20"/>
                <w:szCs w:val="20"/>
                <w:lang w:eastAsia="es-CR"/>
              </w:rPr>
              <w:t>12 917,03</w:t>
            </w:r>
          </w:p>
        </w:tc>
        <w:tc>
          <w:tcPr>
            <w:tcW w:w="80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0E3373E" w14:textId="77777777" w:rsidR="00B2692F" w:rsidRPr="00B2692F" w:rsidRDefault="00B2692F" w:rsidP="00B2692F">
            <w:pPr>
              <w:spacing w:after="0" w:line="240" w:lineRule="auto"/>
              <w:jc w:val="right"/>
              <w:rPr>
                <w:rFonts w:eastAsia="Times New Roman" w:cs="Calibri"/>
                <w:b/>
                <w:bCs/>
                <w:sz w:val="20"/>
                <w:szCs w:val="20"/>
                <w:lang w:eastAsia="es-CR"/>
              </w:rPr>
            </w:pPr>
            <w:r w:rsidRPr="00B2692F">
              <w:rPr>
                <w:rFonts w:eastAsia="Times New Roman" w:cs="Calibri"/>
                <w:b/>
                <w:bCs/>
                <w:sz w:val="20"/>
                <w:szCs w:val="20"/>
                <w:lang w:eastAsia="es-CR"/>
              </w:rPr>
              <w:t>14,81%</w:t>
            </w:r>
          </w:p>
        </w:tc>
      </w:tr>
    </w:tbl>
    <w:p w14:paraId="6833FCA5" w14:textId="77777777" w:rsidR="00B2692F" w:rsidRDefault="00B2692F" w:rsidP="00E17429">
      <w:pPr>
        <w:rPr>
          <w:rFonts w:eastAsiaTheme="minorEastAsia" w:cs="Arial Narrow"/>
          <w:color w:val="000000"/>
          <w:lang w:eastAsia="es-CR"/>
        </w:rPr>
      </w:pPr>
    </w:p>
    <w:p w14:paraId="345595DC" w14:textId="45BE8FDE" w:rsidR="00E17429" w:rsidRDefault="00E17429" w:rsidP="00E17429">
      <w:pPr>
        <w:spacing w:after="120" w:line="240" w:lineRule="auto"/>
        <w:rPr>
          <w:rFonts w:eastAsiaTheme="minorEastAsia" w:cs="Arial Narrow"/>
          <w:color w:val="000000"/>
          <w:lang w:eastAsia="es-CR"/>
        </w:rPr>
      </w:pPr>
      <w:r w:rsidRPr="00B43583">
        <w:rPr>
          <w:rFonts w:eastAsiaTheme="minorEastAsia" w:cs="Arial Narrow"/>
          <w:color w:val="000000"/>
          <w:lang w:eastAsia="es-CR"/>
        </w:rPr>
        <w:t>Como se observa en el detalle</w:t>
      </w:r>
      <w:r>
        <w:rPr>
          <w:rFonts w:eastAsiaTheme="minorEastAsia" w:cs="Arial Narrow"/>
          <w:color w:val="000000"/>
          <w:lang w:eastAsia="es-CR"/>
        </w:rPr>
        <w:t xml:space="preserve"> anterior,</w:t>
      </w:r>
      <w:r w:rsidRPr="00B43583">
        <w:rPr>
          <w:rFonts w:eastAsiaTheme="minorEastAsia" w:cs="Arial Narrow"/>
          <w:color w:val="000000"/>
          <w:lang w:eastAsia="es-CR"/>
        </w:rPr>
        <w:t xml:space="preserve"> la </w:t>
      </w:r>
      <w:r>
        <w:rPr>
          <w:rFonts w:eastAsiaTheme="minorEastAsia" w:cs="Arial Narrow"/>
          <w:color w:val="000000"/>
          <w:lang w:eastAsia="es-CR"/>
        </w:rPr>
        <w:t xml:space="preserve">variación </w:t>
      </w:r>
      <w:r w:rsidRPr="00B2692F">
        <w:rPr>
          <w:rFonts w:eastAsiaTheme="minorEastAsia" w:cs="Arial Narrow"/>
          <w:color w:val="000000"/>
          <w:lang w:eastAsia="es-CR"/>
        </w:rPr>
        <w:t xml:space="preserve">de </w:t>
      </w:r>
      <w:r w:rsidR="00B2692F" w:rsidRPr="00B2692F">
        <w:rPr>
          <w:rFonts w:ascii="Arial" w:eastAsiaTheme="minorEastAsia" w:hAnsi="Arial" w:cs="Arial"/>
          <w:color w:val="000000"/>
          <w:lang w:eastAsia="es-CR"/>
        </w:rPr>
        <w:t>₡</w:t>
      </w:r>
      <w:r w:rsidR="00B2692F" w:rsidRPr="00B2692F">
        <w:rPr>
          <w:rFonts w:eastAsiaTheme="minorEastAsia" w:cs="Arial Narrow"/>
          <w:color w:val="000000"/>
          <w:lang w:eastAsia="es-CR"/>
        </w:rPr>
        <w:t>12 917,03</w:t>
      </w:r>
      <w:r w:rsidR="00B2692F">
        <w:rPr>
          <w:rFonts w:eastAsiaTheme="minorEastAsia" w:cs="Arial Narrow"/>
          <w:b/>
          <w:bCs/>
          <w:color w:val="000000"/>
          <w:lang w:eastAsia="es-CR"/>
        </w:rPr>
        <w:t xml:space="preserve"> </w:t>
      </w:r>
      <w:r w:rsidRPr="006B1D5B">
        <w:rPr>
          <w:rFonts w:eastAsiaTheme="minorEastAsia" w:cs="Arial Narrow"/>
          <w:color w:val="000000"/>
          <w:lang w:eastAsia="es-CR"/>
        </w:rPr>
        <w:t>miles,</w:t>
      </w:r>
      <w:r w:rsidRPr="00B43583">
        <w:rPr>
          <w:rFonts w:eastAsiaTheme="minorEastAsia" w:cs="Arial Narrow"/>
          <w:color w:val="000000"/>
          <w:lang w:eastAsia="es-CR"/>
        </w:rPr>
        <w:t xml:space="preserve"> obedece</w:t>
      </w:r>
      <w:r>
        <w:rPr>
          <w:rFonts w:eastAsiaTheme="minorEastAsia" w:cs="Arial Narrow"/>
          <w:color w:val="000000"/>
          <w:lang w:eastAsia="es-CR"/>
        </w:rPr>
        <w:t xml:space="preserve"> fundamentalmente</w:t>
      </w:r>
      <w:r w:rsidRPr="00B43583">
        <w:rPr>
          <w:rFonts w:eastAsiaTheme="minorEastAsia" w:cs="Arial Narrow"/>
          <w:color w:val="000000"/>
          <w:lang w:eastAsia="es-CR"/>
        </w:rPr>
        <w:t xml:space="preserve"> </w:t>
      </w:r>
      <w:r w:rsidR="00B2692F">
        <w:rPr>
          <w:rFonts w:eastAsiaTheme="minorEastAsia" w:cs="Arial Narrow"/>
          <w:color w:val="000000"/>
          <w:lang w:eastAsia="es-CR"/>
        </w:rPr>
        <w:t>a la disminución</w:t>
      </w:r>
      <w:r w:rsidRPr="00B43583">
        <w:rPr>
          <w:rFonts w:eastAsiaTheme="minorEastAsia" w:cs="Arial Narrow"/>
          <w:color w:val="000000"/>
          <w:lang w:eastAsia="es-CR"/>
        </w:rPr>
        <w:t xml:space="preserve"> de </w:t>
      </w:r>
      <w:r w:rsidR="00B2692F">
        <w:rPr>
          <w:rFonts w:eastAsiaTheme="minorEastAsia" w:cs="Arial Narrow"/>
          <w:color w:val="000000"/>
          <w:lang w:eastAsia="es-CR"/>
        </w:rPr>
        <w:t>-</w:t>
      </w:r>
      <w:r w:rsidRPr="00934F7F">
        <w:rPr>
          <w:rFonts w:ascii="Arial" w:eastAsiaTheme="minorEastAsia" w:hAnsi="Arial" w:cs="Arial"/>
          <w:color w:val="000000"/>
          <w:lang w:eastAsia="es-CR"/>
        </w:rPr>
        <w:t>₡</w:t>
      </w:r>
      <w:r w:rsidR="00B2692F" w:rsidRPr="00B2692F">
        <w:rPr>
          <w:rFonts w:eastAsiaTheme="minorEastAsia" w:cs="Arial Narrow"/>
          <w:color w:val="000000"/>
          <w:lang w:eastAsia="es-CR"/>
        </w:rPr>
        <w:t>1 108,99</w:t>
      </w:r>
      <w:r w:rsidRPr="00934F7F">
        <w:rPr>
          <w:rFonts w:eastAsiaTheme="minorEastAsia" w:cs="Arial Narrow"/>
          <w:color w:val="000000"/>
          <w:lang w:eastAsia="es-CR"/>
        </w:rPr>
        <w:t xml:space="preserve"> </w:t>
      </w:r>
      <w:r w:rsidRPr="00B43583">
        <w:rPr>
          <w:rFonts w:eastAsiaTheme="minorEastAsia" w:cs="Arial Narrow"/>
          <w:color w:val="000000"/>
          <w:lang w:eastAsia="es-CR"/>
        </w:rPr>
        <w:t>miles en las “Deudas Comerciales a Corto Plazo”</w:t>
      </w:r>
      <w:r>
        <w:rPr>
          <w:rFonts w:eastAsiaTheme="minorEastAsia" w:cs="Arial Narrow"/>
          <w:color w:val="000000"/>
          <w:lang w:eastAsia="es-CR"/>
        </w:rPr>
        <w:t>, de</w:t>
      </w:r>
      <w:r w:rsidR="00B2692F">
        <w:rPr>
          <w:rFonts w:eastAsiaTheme="minorEastAsia" w:cs="Arial Narrow"/>
          <w:color w:val="000000"/>
          <w:lang w:eastAsia="es-CR"/>
        </w:rPr>
        <w:t xml:space="preserve">l aumento </w:t>
      </w:r>
      <w:r>
        <w:rPr>
          <w:rFonts w:eastAsiaTheme="minorEastAsia" w:cs="Arial Narrow"/>
          <w:color w:val="000000"/>
          <w:lang w:eastAsia="es-CR"/>
        </w:rPr>
        <w:t>de</w:t>
      </w:r>
      <w:r w:rsidRPr="00934F7F">
        <w:rPr>
          <w:rFonts w:eastAsiaTheme="minorEastAsia" w:cs="Arial Narrow"/>
          <w:color w:val="000000"/>
          <w:lang w:eastAsia="es-CR"/>
        </w:rPr>
        <w:t xml:space="preserve"> -</w:t>
      </w:r>
      <w:r w:rsidRPr="00934F7F">
        <w:rPr>
          <w:rFonts w:ascii="Arial" w:eastAsiaTheme="minorEastAsia" w:hAnsi="Arial" w:cs="Arial"/>
          <w:color w:val="000000"/>
          <w:lang w:eastAsia="es-CR"/>
        </w:rPr>
        <w:t>₡</w:t>
      </w:r>
      <w:r w:rsidR="00B2692F" w:rsidRPr="00B2692F">
        <w:rPr>
          <w:rFonts w:eastAsiaTheme="minorEastAsia" w:cs="Arial Narrow"/>
          <w:color w:val="000000"/>
          <w:lang w:eastAsia="es-CR"/>
        </w:rPr>
        <w:t>6 707,20</w:t>
      </w:r>
      <w:r w:rsidR="00B2692F">
        <w:rPr>
          <w:rFonts w:eastAsiaTheme="minorEastAsia" w:cs="Arial Narrow"/>
          <w:color w:val="000000"/>
          <w:lang w:eastAsia="es-CR"/>
        </w:rPr>
        <w:t xml:space="preserve"> </w:t>
      </w:r>
      <w:r w:rsidRPr="00B43583">
        <w:rPr>
          <w:rFonts w:eastAsiaTheme="minorEastAsia" w:cs="Arial Narrow"/>
          <w:color w:val="000000"/>
          <w:lang w:eastAsia="es-CR"/>
        </w:rPr>
        <w:t xml:space="preserve">miles en las subcuentas “Deudas sociales y fiscales a corto plazo” y de </w:t>
      </w:r>
      <w:r w:rsidRPr="006B1D5B">
        <w:rPr>
          <w:rFonts w:ascii="Arial" w:eastAsiaTheme="minorEastAsia" w:hAnsi="Arial" w:cs="Arial"/>
          <w:color w:val="000000"/>
          <w:lang w:eastAsia="es-CR"/>
        </w:rPr>
        <w:t>₡</w:t>
      </w:r>
      <w:r w:rsidR="00B2692F" w:rsidRPr="00B2692F">
        <w:rPr>
          <w:rFonts w:eastAsiaTheme="minorEastAsia" w:cs="Arial Narrow"/>
          <w:color w:val="000000"/>
          <w:lang w:eastAsia="es-CR"/>
        </w:rPr>
        <w:t>8 283,32</w:t>
      </w:r>
      <w:r w:rsidR="00B2692F">
        <w:rPr>
          <w:rFonts w:eastAsiaTheme="minorEastAsia" w:cs="Arial Narrow"/>
          <w:color w:val="000000"/>
          <w:lang w:eastAsia="es-CR"/>
        </w:rPr>
        <w:t xml:space="preserve"> </w:t>
      </w:r>
      <w:r w:rsidRPr="00B43583">
        <w:rPr>
          <w:rFonts w:eastAsiaTheme="minorEastAsia" w:cs="Arial Narrow"/>
          <w:color w:val="000000"/>
          <w:lang w:eastAsia="es-CR"/>
        </w:rPr>
        <w:t>miles en las “Transferencias a pagar a corto plaz</w:t>
      </w:r>
      <w:r w:rsidR="00B2692F">
        <w:rPr>
          <w:rFonts w:eastAsiaTheme="minorEastAsia" w:cs="Arial Narrow"/>
          <w:color w:val="000000"/>
          <w:lang w:eastAsia="es-CR"/>
        </w:rPr>
        <w:t xml:space="preserve">o” y de la disminución de </w:t>
      </w:r>
      <w:r w:rsidR="00B2692F" w:rsidRPr="00B2692F">
        <w:rPr>
          <w:rFonts w:eastAsiaTheme="minorEastAsia" w:cs="Arial Narrow"/>
          <w:color w:val="000000"/>
          <w:lang w:eastAsia="es-CR"/>
        </w:rPr>
        <w:t>-</w:t>
      </w:r>
      <w:r w:rsidR="00B2692F" w:rsidRPr="006B1D5B">
        <w:rPr>
          <w:rFonts w:ascii="Arial" w:eastAsiaTheme="minorEastAsia" w:hAnsi="Arial" w:cs="Arial"/>
          <w:color w:val="000000"/>
          <w:lang w:eastAsia="es-CR"/>
        </w:rPr>
        <w:t>₡</w:t>
      </w:r>
      <w:r w:rsidR="00B2692F" w:rsidRPr="00B2692F">
        <w:rPr>
          <w:rFonts w:eastAsiaTheme="minorEastAsia" w:cs="Arial Narrow"/>
          <w:color w:val="000000"/>
          <w:lang w:eastAsia="es-CR"/>
        </w:rPr>
        <w:t>964,50</w:t>
      </w:r>
      <w:r w:rsidR="00B2692F">
        <w:rPr>
          <w:rFonts w:eastAsiaTheme="minorEastAsia" w:cs="Arial Narrow"/>
          <w:color w:val="000000"/>
          <w:lang w:eastAsia="es-CR"/>
        </w:rPr>
        <w:t xml:space="preserve"> en “Documentos a pagar a corto plazo”</w:t>
      </w:r>
      <w:r w:rsidRPr="00B43583">
        <w:rPr>
          <w:rFonts w:eastAsiaTheme="minorEastAsia" w:cs="Arial Narrow"/>
          <w:color w:val="000000"/>
          <w:lang w:eastAsia="es-CR"/>
        </w:rPr>
        <w:t>.</w:t>
      </w:r>
    </w:p>
    <w:p w14:paraId="5262DD1B" w14:textId="77777777" w:rsidR="00E17429" w:rsidRDefault="00E17429" w:rsidP="00E17429">
      <w:pPr>
        <w:spacing w:after="0" w:line="240" w:lineRule="auto"/>
        <w:rPr>
          <w:rFonts w:eastAsiaTheme="minorEastAsia" w:cs="Arial Narrow"/>
          <w:color w:val="000000"/>
          <w:lang w:eastAsia="es-CR"/>
        </w:rPr>
      </w:pPr>
    </w:p>
    <w:p w14:paraId="35C939E3" w14:textId="77777777" w:rsidR="00E17429" w:rsidRPr="00B43583" w:rsidRDefault="00E17429" w:rsidP="00E17429">
      <w:pPr>
        <w:rPr>
          <w:b/>
          <w:bCs/>
        </w:rPr>
      </w:pPr>
      <w:r w:rsidRPr="00B43583">
        <w:rPr>
          <w:b/>
          <w:bCs/>
        </w:rPr>
        <w:t>Detalle</w:t>
      </w:r>
    </w:p>
    <w:p w14:paraId="03BE9495" w14:textId="77777777" w:rsidR="00E17429" w:rsidRDefault="00E17429" w:rsidP="00E17429">
      <w:pPr>
        <w:rPr>
          <w:rFonts w:eastAsiaTheme="minorEastAsia" w:cs="Arial Narrow"/>
          <w:color w:val="000000"/>
          <w:lang w:eastAsia="es-CR"/>
        </w:rPr>
      </w:pPr>
      <w:r w:rsidRPr="00B43583">
        <w:rPr>
          <w:rFonts w:eastAsiaTheme="minorEastAsia" w:cs="Arial Narrow"/>
          <w:color w:val="000000"/>
          <w:lang w:eastAsia="es-CR"/>
        </w:rPr>
        <w:t xml:space="preserve"> El detalle de las variaciones que presentan dichas cuentas se muestra a continuación:</w:t>
      </w:r>
    </w:p>
    <w:tbl>
      <w:tblPr>
        <w:tblW w:w="5103" w:type="dxa"/>
        <w:tblInd w:w="-10" w:type="dxa"/>
        <w:tblCellMar>
          <w:left w:w="70" w:type="dxa"/>
          <w:right w:w="70" w:type="dxa"/>
        </w:tblCellMar>
        <w:tblLook w:val="04A0" w:firstRow="1" w:lastRow="0" w:firstColumn="1" w:lastColumn="0" w:noHBand="0" w:noVBand="1"/>
      </w:tblPr>
      <w:tblGrid>
        <w:gridCol w:w="1240"/>
        <w:gridCol w:w="3863"/>
      </w:tblGrid>
      <w:tr w:rsidR="00415741" w:rsidRPr="00A91674" w14:paraId="4198D352" w14:textId="77777777" w:rsidTr="00756467">
        <w:trPr>
          <w:trHeight w:val="288"/>
        </w:trPr>
        <w:tc>
          <w:tcPr>
            <w:tcW w:w="1240" w:type="dxa"/>
            <w:tcBorders>
              <w:top w:val="single" w:sz="8" w:space="0" w:color="auto"/>
              <w:left w:val="single" w:sz="8" w:space="0" w:color="auto"/>
              <w:bottom w:val="nil"/>
              <w:right w:val="single" w:sz="8" w:space="0" w:color="auto"/>
            </w:tcBorders>
            <w:shd w:val="clear" w:color="000000" w:fill="366092"/>
            <w:noWrap/>
            <w:vAlign w:val="center"/>
            <w:hideMark/>
          </w:tcPr>
          <w:p w14:paraId="22909CFB" w14:textId="77777777" w:rsidR="00415741" w:rsidRPr="00A91674" w:rsidRDefault="00415741" w:rsidP="00756467">
            <w:pPr>
              <w:rPr>
                <w:rFonts w:cs="Calibri"/>
                <w:b/>
                <w:bCs/>
                <w:color w:val="FFFFFF"/>
                <w:sz w:val="18"/>
                <w:szCs w:val="18"/>
                <w:lang w:eastAsia="es-CR"/>
              </w:rPr>
            </w:pPr>
            <w:r w:rsidRPr="00A91674">
              <w:rPr>
                <w:rFonts w:cs="Calibri"/>
                <w:b/>
                <w:bCs/>
                <w:color w:val="FFFFFF"/>
                <w:sz w:val="18"/>
                <w:szCs w:val="18"/>
                <w:lang w:eastAsia="es-CR"/>
              </w:rPr>
              <w:t xml:space="preserve">Cuenta </w:t>
            </w:r>
          </w:p>
        </w:tc>
        <w:tc>
          <w:tcPr>
            <w:tcW w:w="3863" w:type="dxa"/>
            <w:tcBorders>
              <w:top w:val="single" w:sz="8" w:space="0" w:color="auto"/>
              <w:left w:val="nil"/>
              <w:bottom w:val="nil"/>
              <w:right w:val="single" w:sz="8" w:space="0" w:color="auto"/>
            </w:tcBorders>
            <w:shd w:val="clear" w:color="000000" w:fill="366092"/>
            <w:vAlign w:val="center"/>
            <w:hideMark/>
          </w:tcPr>
          <w:p w14:paraId="20E30DE5" w14:textId="77777777" w:rsidR="00415741" w:rsidRPr="00A91674" w:rsidRDefault="00415741" w:rsidP="00756467">
            <w:pPr>
              <w:jc w:val="center"/>
              <w:rPr>
                <w:rFonts w:cs="Calibri"/>
                <w:b/>
                <w:bCs/>
                <w:color w:val="FFFFFF"/>
                <w:sz w:val="18"/>
                <w:szCs w:val="18"/>
                <w:lang w:eastAsia="es-CR"/>
              </w:rPr>
            </w:pPr>
            <w:r w:rsidRPr="00A91674">
              <w:rPr>
                <w:rFonts w:cs="Calibri"/>
                <w:b/>
                <w:bCs/>
                <w:color w:val="FFFFFF"/>
                <w:sz w:val="18"/>
                <w:szCs w:val="18"/>
                <w:lang w:eastAsia="es-CR"/>
              </w:rPr>
              <w:t xml:space="preserve">Descripción </w:t>
            </w:r>
          </w:p>
        </w:tc>
      </w:tr>
      <w:tr w:rsidR="00415741" w:rsidRPr="00C20218" w14:paraId="036E128B" w14:textId="77777777" w:rsidTr="00756467">
        <w:trPr>
          <w:trHeight w:val="356"/>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1EEFD56C" w14:textId="77777777" w:rsidR="00415741" w:rsidRPr="00A91674" w:rsidRDefault="00415741" w:rsidP="00756467">
            <w:pPr>
              <w:spacing w:after="0" w:line="240" w:lineRule="auto"/>
              <w:rPr>
                <w:rFonts w:cs="Calibri"/>
                <w:b/>
                <w:bCs/>
                <w:color w:val="000000"/>
                <w:sz w:val="18"/>
                <w:szCs w:val="18"/>
                <w:lang w:eastAsia="es-CR"/>
              </w:rPr>
            </w:pPr>
            <w:r w:rsidRPr="00B529C6">
              <w:rPr>
                <w:rFonts w:cs="Calibri"/>
                <w:b/>
                <w:bCs/>
                <w:color w:val="000000"/>
                <w:sz w:val="18"/>
                <w:szCs w:val="18"/>
                <w:lang w:eastAsia="es-CR"/>
              </w:rPr>
              <w:t>2.1.1.01.</w:t>
            </w:r>
          </w:p>
        </w:tc>
        <w:tc>
          <w:tcPr>
            <w:tcW w:w="3863" w:type="dxa"/>
            <w:tcBorders>
              <w:top w:val="nil"/>
              <w:left w:val="nil"/>
              <w:bottom w:val="single" w:sz="8" w:space="0" w:color="auto"/>
              <w:right w:val="single" w:sz="8" w:space="0" w:color="auto"/>
            </w:tcBorders>
            <w:shd w:val="clear" w:color="auto" w:fill="auto"/>
            <w:vAlign w:val="center"/>
            <w:hideMark/>
          </w:tcPr>
          <w:p w14:paraId="71DB4189" w14:textId="77777777" w:rsidR="00415741" w:rsidRPr="00A91674" w:rsidRDefault="00415741" w:rsidP="00756467">
            <w:pPr>
              <w:spacing w:after="0" w:line="240" w:lineRule="auto"/>
              <w:rPr>
                <w:rFonts w:cs="Calibri"/>
                <w:b/>
                <w:bCs/>
                <w:color w:val="000000"/>
                <w:sz w:val="18"/>
                <w:szCs w:val="18"/>
                <w:lang w:eastAsia="es-CR"/>
              </w:rPr>
            </w:pPr>
            <w:r>
              <w:rPr>
                <w:rFonts w:cs="Calibri"/>
                <w:b/>
                <w:bCs/>
                <w:color w:val="000000"/>
                <w:sz w:val="18"/>
                <w:szCs w:val="18"/>
                <w:lang w:eastAsia="es-CR"/>
              </w:rPr>
              <w:t>Deudas comerciales a corto plazo</w:t>
            </w:r>
          </w:p>
        </w:tc>
      </w:tr>
    </w:tbl>
    <w:p w14:paraId="2E23B8EE" w14:textId="77777777" w:rsidR="00415741" w:rsidRDefault="00692DC8" w:rsidP="006148F0">
      <w:r w:rsidRPr="00692DC8">
        <w:t xml:space="preserve"> </w:t>
      </w:r>
    </w:p>
    <w:p w14:paraId="469E85EF" w14:textId="77777777" w:rsidR="00B2692F" w:rsidRDefault="00B2692F" w:rsidP="006148F0"/>
    <w:p w14:paraId="69D184C6" w14:textId="77777777" w:rsidR="00B2692F" w:rsidRDefault="00B2692F" w:rsidP="006148F0"/>
    <w:tbl>
      <w:tblPr>
        <w:tblW w:w="8905" w:type="dxa"/>
        <w:tblCellMar>
          <w:left w:w="70" w:type="dxa"/>
          <w:right w:w="70" w:type="dxa"/>
        </w:tblCellMar>
        <w:tblLook w:val="04A0" w:firstRow="1" w:lastRow="0" w:firstColumn="1" w:lastColumn="0" w:noHBand="0" w:noVBand="1"/>
      </w:tblPr>
      <w:tblGrid>
        <w:gridCol w:w="1288"/>
        <w:gridCol w:w="3196"/>
        <w:gridCol w:w="1146"/>
        <w:gridCol w:w="1286"/>
        <w:gridCol w:w="1106"/>
        <w:gridCol w:w="883"/>
      </w:tblGrid>
      <w:tr w:rsidR="00B2692F" w:rsidRPr="00B2692F" w14:paraId="31D12061" w14:textId="77777777" w:rsidTr="00AC4201">
        <w:trPr>
          <w:trHeight w:val="549"/>
        </w:trPr>
        <w:tc>
          <w:tcPr>
            <w:tcW w:w="1288" w:type="dxa"/>
            <w:tcBorders>
              <w:top w:val="single" w:sz="8" w:space="0" w:color="auto"/>
              <w:left w:val="single" w:sz="8" w:space="0" w:color="auto"/>
              <w:bottom w:val="nil"/>
              <w:right w:val="single" w:sz="12" w:space="0" w:color="auto"/>
            </w:tcBorders>
            <w:shd w:val="clear" w:color="000000" w:fill="002060"/>
            <w:noWrap/>
            <w:vAlign w:val="center"/>
            <w:hideMark/>
          </w:tcPr>
          <w:p w14:paraId="54BE8706" w14:textId="77777777" w:rsidR="00B2692F" w:rsidRPr="00B2692F" w:rsidRDefault="00B2692F" w:rsidP="00B2692F">
            <w:pPr>
              <w:spacing w:after="0" w:line="240" w:lineRule="auto"/>
              <w:jc w:val="center"/>
              <w:rPr>
                <w:rFonts w:eastAsia="Times New Roman" w:cs="Calibri"/>
                <w:b/>
                <w:bCs/>
                <w:color w:val="FFFFFF"/>
                <w:sz w:val="20"/>
                <w:szCs w:val="20"/>
                <w:lang w:eastAsia="es-CR"/>
              </w:rPr>
            </w:pPr>
            <w:r w:rsidRPr="00B2692F">
              <w:rPr>
                <w:rFonts w:eastAsia="Times New Roman" w:cs="Calibri"/>
                <w:b/>
                <w:bCs/>
                <w:color w:val="FFFFFF"/>
                <w:sz w:val="20"/>
                <w:szCs w:val="20"/>
                <w:lang w:eastAsia="es-CR"/>
              </w:rPr>
              <w:lastRenderedPageBreak/>
              <w:t>Cuenta</w:t>
            </w:r>
          </w:p>
        </w:tc>
        <w:tc>
          <w:tcPr>
            <w:tcW w:w="3196" w:type="dxa"/>
            <w:tcBorders>
              <w:top w:val="single" w:sz="8" w:space="0" w:color="auto"/>
              <w:left w:val="nil"/>
              <w:bottom w:val="nil"/>
              <w:right w:val="single" w:sz="12" w:space="0" w:color="auto"/>
            </w:tcBorders>
            <w:shd w:val="clear" w:color="000000" w:fill="002060"/>
            <w:noWrap/>
            <w:vAlign w:val="center"/>
            <w:hideMark/>
          </w:tcPr>
          <w:p w14:paraId="2C4EC806" w14:textId="77777777" w:rsidR="00B2692F" w:rsidRPr="00B2692F" w:rsidRDefault="00B2692F" w:rsidP="00B2692F">
            <w:pPr>
              <w:spacing w:after="0" w:line="240" w:lineRule="auto"/>
              <w:jc w:val="center"/>
              <w:rPr>
                <w:rFonts w:eastAsia="Times New Roman" w:cs="Calibri"/>
                <w:b/>
                <w:bCs/>
                <w:color w:val="FFFFFF"/>
                <w:sz w:val="20"/>
                <w:szCs w:val="20"/>
                <w:lang w:eastAsia="es-CR"/>
              </w:rPr>
            </w:pPr>
            <w:r w:rsidRPr="00B2692F">
              <w:rPr>
                <w:rFonts w:eastAsia="Times New Roman" w:cs="Calibri"/>
                <w:b/>
                <w:bCs/>
                <w:color w:val="FFFFFF"/>
                <w:sz w:val="20"/>
                <w:szCs w:val="20"/>
                <w:lang w:eastAsia="es-CR"/>
              </w:rPr>
              <w:t>Descripción</w:t>
            </w:r>
          </w:p>
        </w:tc>
        <w:tc>
          <w:tcPr>
            <w:tcW w:w="1146" w:type="dxa"/>
            <w:tcBorders>
              <w:top w:val="single" w:sz="8" w:space="0" w:color="auto"/>
              <w:left w:val="nil"/>
              <w:bottom w:val="nil"/>
              <w:right w:val="single" w:sz="12" w:space="0" w:color="auto"/>
            </w:tcBorders>
            <w:shd w:val="clear" w:color="000000" w:fill="002060"/>
            <w:vAlign w:val="center"/>
            <w:hideMark/>
          </w:tcPr>
          <w:p w14:paraId="655C55A9" w14:textId="77777777" w:rsidR="00B2692F" w:rsidRPr="00B2692F" w:rsidRDefault="00B2692F" w:rsidP="00B2692F">
            <w:pPr>
              <w:spacing w:after="0" w:line="240" w:lineRule="auto"/>
              <w:jc w:val="center"/>
              <w:rPr>
                <w:rFonts w:eastAsia="Times New Roman" w:cs="Calibri"/>
                <w:b/>
                <w:bCs/>
                <w:color w:val="FFFFFF"/>
                <w:sz w:val="20"/>
                <w:szCs w:val="20"/>
                <w:lang w:eastAsia="es-CR"/>
              </w:rPr>
            </w:pPr>
            <w:r w:rsidRPr="00B2692F">
              <w:rPr>
                <w:rFonts w:eastAsia="Times New Roman" w:cs="Calibri"/>
                <w:b/>
                <w:bCs/>
                <w:color w:val="FFFFFF"/>
                <w:sz w:val="20"/>
                <w:szCs w:val="20"/>
                <w:lang w:eastAsia="es-CR"/>
              </w:rPr>
              <w:t>Saldo Año Actual</w:t>
            </w:r>
          </w:p>
        </w:tc>
        <w:tc>
          <w:tcPr>
            <w:tcW w:w="1286" w:type="dxa"/>
            <w:tcBorders>
              <w:top w:val="single" w:sz="8" w:space="0" w:color="auto"/>
              <w:left w:val="nil"/>
              <w:bottom w:val="nil"/>
              <w:right w:val="single" w:sz="12" w:space="0" w:color="auto"/>
            </w:tcBorders>
            <w:shd w:val="clear" w:color="000000" w:fill="002060"/>
            <w:vAlign w:val="center"/>
            <w:hideMark/>
          </w:tcPr>
          <w:p w14:paraId="224F192D" w14:textId="77777777" w:rsidR="00B2692F" w:rsidRPr="00B2692F" w:rsidRDefault="00B2692F" w:rsidP="00B2692F">
            <w:pPr>
              <w:spacing w:after="0" w:line="240" w:lineRule="auto"/>
              <w:jc w:val="center"/>
              <w:rPr>
                <w:rFonts w:eastAsia="Times New Roman" w:cs="Calibri"/>
                <w:b/>
                <w:bCs/>
                <w:color w:val="FFFFFF"/>
                <w:sz w:val="20"/>
                <w:szCs w:val="20"/>
                <w:lang w:eastAsia="es-CR"/>
              </w:rPr>
            </w:pPr>
            <w:r w:rsidRPr="00B2692F">
              <w:rPr>
                <w:rFonts w:eastAsia="Times New Roman" w:cs="Calibri"/>
                <w:b/>
                <w:bCs/>
                <w:color w:val="FFFFFF"/>
                <w:sz w:val="20"/>
                <w:szCs w:val="20"/>
                <w:lang w:eastAsia="es-CR"/>
              </w:rPr>
              <w:t>Saldo Año Anterior</w:t>
            </w:r>
          </w:p>
        </w:tc>
        <w:tc>
          <w:tcPr>
            <w:tcW w:w="1106" w:type="dxa"/>
            <w:tcBorders>
              <w:top w:val="single" w:sz="8" w:space="0" w:color="auto"/>
              <w:left w:val="nil"/>
              <w:bottom w:val="nil"/>
              <w:right w:val="single" w:sz="12" w:space="0" w:color="auto"/>
            </w:tcBorders>
            <w:shd w:val="clear" w:color="000000" w:fill="002060"/>
            <w:vAlign w:val="center"/>
            <w:hideMark/>
          </w:tcPr>
          <w:p w14:paraId="4F859296" w14:textId="77777777" w:rsidR="00B2692F" w:rsidRPr="00B2692F" w:rsidRDefault="00B2692F" w:rsidP="00B2692F">
            <w:pPr>
              <w:spacing w:after="0" w:line="240" w:lineRule="auto"/>
              <w:jc w:val="center"/>
              <w:rPr>
                <w:rFonts w:eastAsia="Times New Roman" w:cs="Calibri"/>
                <w:b/>
                <w:bCs/>
                <w:color w:val="FFFFFF"/>
                <w:sz w:val="20"/>
                <w:szCs w:val="20"/>
                <w:lang w:eastAsia="es-CR"/>
              </w:rPr>
            </w:pPr>
            <w:r w:rsidRPr="00B2692F">
              <w:rPr>
                <w:rFonts w:eastAsia="Times New Roman" w:cs="Calibri"/>
                <w:b/>
                <w:bCs/>
                <w:color w:val="FFFFFF"/>
                <w:sz w:val="20"/>
                <w:szCs w:val="20"/>
                <w:lang w:eastAsia="es-CR"/>
              </w:rPr>
              <w:t>Variación Absoluta</w:t>
            </w:r>
          </w:p>
        </w:tc>
        <w:tc>
          <w:tcPr>
            <w:tcW w:w="883" w:type="dxa"/>
            <w:tcBorders>
              <w:top w:val="single" w:sz="8" w:space="0" w:color="auto"/>
              <w:left w:val="nil"/>
              <w:bottom w:val="nil"/>
              <w:right w:val="single" w:sz="8" w:space="0" w:color="auto"/>
            </w:tcBorders>
            <w:shd w:val="clear" w:color="000000" w:fill="002060"/>
            <w:vAlign w:val="center"/>
            <w:hideMark/>
          </w:tcPr>
          <w:p w14:paraId="52556A05" w14:textId="77777777" w:rsidR="00B2692F" w:rsidRPr="00B2692F" w:rsidRDefault="00B2692F" w:rsidP="00B2692F">
            <w:pPr>
              <w:spacing w:after="0" w:line="240" w:lineRule="auto"/>
              <w:jc w:val="center"/>
              <w:rPr>
                <w:rFonts w:eastAsia="Times New Roman" w:cs="Calibri"/>
                <w:b/>
                <w:bCs/>
                <w:color w:val="FFFFFF"/>
                <w:sz w:val="20"/>
                <w:szCs w:val="20"/>
                <w:lang w:eastAsia="es-CR"/>
              </w:rPr>
            </w:pPr>
            <w:r w:rsidRPr="00B2692F">
              <w:rPr>
                <w:rFonts w:eastAsia="Times New Roman" w:cs="Calibri"/>
                <w:b/>
                <w:bCs/>
                <w:color w:val="FFFFFF"/>
                <w:sz w:val="20"/>
                <w:szCs w:val="20"/>
                <w:lang w:eastAsia="es-CR"/>
              </w:rPr>
              <w:t>Variación %</w:t>
            </w:r>
          </w:p>
        </w:tc>
      </w:tr>
      <w:tr w:rsidR="00B2692F" w:rsidRPr="00B2692F" w14:paraId="2C7BD858" w14:textId="77777777" w:rsidTr="00AC4201">
        <w:trPr>
          <w:trHeight w:val="313"/>
        </w:trPr>
        <w:tc>
          <w:tcPr>
            <w:tcW w:w="1288" w:type="dxa"/>
            <w:tcBorders>
              <w:top w:val="single" w:sz="8" w:space="0" w:color="auto"/>
              <w:left w:val="single" w:sz="8" w:space="0" w:color="auto"/>
              <w:bottom w:val="nil"/>
              <w:right w:val="single" w:sz="8" w:space="0" w:color="auto"/>
            </w:tcBorders>
            <w:shd w:val="clear" w:color="auto" w:fill="auto"/>
            <w:noWrap/>
            <w:vAlign w:val="bottom"/>
            <w:hideMark/>
          </w:tcPr>
          <w:p w14:paraId="3ED3E58E" w14:textId="77777777" w:rsidR="00B2692F" w:rsidRPr="00B2692F" w:rsidRDefault="00B2692F" w:rsidP="00B2692F">
            <w:pPr>
              <w:spacing w:after="0" w:line="240" w:lineRule="auto"/>
              <w:jc w:val="left"/>
              <w:rPr>
                <w:rFonts w:eastAsia="Times New Roman" w:cs="Calibri"/>
                <w:color w:val="000000"/>
                <w:sz w:val="20"/>
                <w:szCs w:val="20"/>
                <w:lang w:eastAsia="es-CR"/>
              </w:rPr>
            </w:pPr>
            <w:r w:rsidRPr="00B2692F">
              <w:rPr>
                <w:rFonts w:eastAsia="Times New Roman" w:cs="Calibri"/>
                <w:color w:val="000000"/>
                <w:sz w:val="20"/>
                <w:szCs w:val="20"/>
                <w:lang w:eastAsia="es-CR"/>
              </w:rPr>
              <w:t>2.1.1.01.</w:t>
            </w:r>
          </w:p>
        </w:tc>
        <w:tc>
          <w:tcPr>
            <w:tcW w:w="3196" w:type="dxa"/>
            <w:tcBorders>
              <w:top w:val="single" w:sz="8" w:space="0" w:color="auto"/>
              <w:left w:val="nil"/>
              <w:bottom w:val="nil"/>
              <w:right w:val="single" w:sz="8" w:space="0" w:color="auto"/>
            </w:tcBorders>
            <w:shd w:val="clear" w:color="auto" w:fill="auto"/>
            <w:noWrap/>
            <w:vAlign w:val="bottom"/>
            <w:hideMark/>
          </w:tcPr>
          <w:p w14:paraId="621A5AE4" w14:textId="77777777" w:rsidR="00B2692F" w:rsidRPr="00B2692F" w:rsidRDefault="00B2692F" w:rsidP="00B2692F">
            <w:pPr>
              <w:spacing w:after="0" w:line="240" w:lineRule="auto"/>
              <w:jc w:val="left"/>
              <w:rPr>
                <w:rFonts w:eastAsia="Times New Roman" w:cs="Calibri"/>
                <w:b/>
                <w:bCs/>
                <w:color w:val="000000"/>
                <w:sz w:val="20"/>
                <w:szCs w:val="20"/>
                <w:lang w:eastAsia="es-CR"/>
              </w:rPr>
            </w:pPr>
            <w:r w:rsidRPr="00B2692F">
              <w:rPr>
                <w:rFonts w:eastAsia="Times New Roman" w:cs="Calibri"/>
                <w:b/>
                <w:bCs/>
                <w:color w:val="000000"/>
                <w:sz w:val="20"/>
                <w:szCs w:val="20"/>
                <w:lang w:eastAsia="es-CR"/>
              </w:rPr>
              <w:t>Deudas comerciales a corto plazo</w:t>
            </w:r>
          </w:p>
        </w:tc>
        <w:tc>
          <w:tcPr>
            <w:tcW w:w="1146" w:type="dxa"/>
            <w:tcBorders>
              <w:top w:val="single" w:sz="8" w:space="0" w:color="auto"/>
              <w:left w:val="nil"/>
              <w:bottom w:val="nil"/>
              <w:right w:val="single" w:sz="8" w:space="0" w:color="auto"/>
            </w:tcBorders>
            <w:shd w:val="clear" w:color="auto" w:fill="auto"/>
            <w:noWrap/>
            <w:vAlign w:val="bottom"/>
            <w:hideMark/>
          </w:tcPr>
          <w:p w14:paraId="281DC2A8" w14:textId="77777777" w:rsidR="00B2692F" w:rsidRPr="00B2692F" w:rsidRDefault="00B2692F" w:rsidP="00B2692F">
            <w:pPr>
              <w:spacing w:after="0" w:line="240" w:lineRule="auto"/>
              <w:jc w:val="left"/>
              <w:rPr>
                <w:rFonts w:eastAsia="Times New Roman" w:cs="Calibri"/>
                <w:color w:val="000000"/>
                <w:sz w:val="20"/>
                <w:szCs w:val="20"/>
                <w:lang w:eastAsia="es-CR"/>
              </w:rPr>
            </w:pPr>
            <w:r w:rsidRPr="00B2692F">
              <w:rPr>
                <w:rFonts w:eastAsia="Times New Roman" w:cs="Calibri"/>
                <w:color w:val="000000"/>
                <w:sz w:val="20"/>
                <w:szCs w:val="20"/>
                <w:lang w:eastAsia="es-CR"/>
              </w:rPr>
              <w:t> </w:t>
            </w:r>
          </w:p>
        </w:tc>
        <w:tc>
          <w:tcPr>
            <w:tcW w:w="1286" w:type="dxa"/>
            <w:tcBorders>
              <w:top w:val="single" w:sz="8" w:space="0" w:color="auto"/>
              <w:left w:val="nil"/>
              <w:bottom w:val="nil"/>
              <w:right w:val="single" w:sz="8" w:space="0" w:color="auto"/>
            </w:tcBorders>
            <w:shd w:val="clear" w:color="auto" w:fill="auto"/>
            <w:noWrap/>
            <w:vAlign w:val="bottom"/>
            <w:hideMark/>
          </w:tcPr>
          <w:p w14:paraId="18C17B1A" w14:textId="77777777" w:rsidR="00B2692F" w:rsidRPr="00B2692F" w:rsidRDefault="00B2692F" w:rsidP="00B2692F">
            <w:pPr>
              <w:spacing w:after="0" w:line="240" w:lineRule="auto"/>
              <w:jc w:val="left"/>
              <w:rPr>
                <w:rFonts w:eastAsia="Times New Roman" w:cs="Calibri"/>
                <w:color w:val="000000"/>
                <w:sz w:val="20"/>
                <w:szCs w:val="20"/>
                <w:lang w:eastAsia="es-CR"/>
              </w:rPr>
            </w:pPr>
            <w:r w:rsidRPr="00B2692F">
              <w:rPr>
                <w:rFonts w:eastAsia="Times New Roman" w:cs="Calibri"/>
                <w:color w:val="000000"/>
                <w:sz w:val="20"/>
                <w:szCs w:val="20"/>
                <w:lang w:eastAsia="es-CR"/>
              </w:rPr>
              <w:t> </w:t>
            </w:r>
          </w:p>
        </w:tc>
        <w:tc>
          <w:tcPr>
            <w:tcW w:w="1106" w:type="dxa"/>
            <w:tcBorders>
              <w:top w:val="single" w:sz="8" w:space="0" w:color="auto"/>
              <w:left w:val="nil"/>
              <w:bottom w:val="nil"/>
              <w:right w:val="single" w:sz="8" w:space="0" w:color="auto"/>
            </w:tcBorders>
            <w:shd w:val="clear" w:color="auto" w:fill="auto"/>
            <w:noWrap/>
            <w:vAlign w:val="bottom"/>
            <w:hideMark/>
          </w:tcPr>
          <w:p w14:paraId="519C66A4" w14:textId="77777777" w:rsidR="00B2692F" w:rsidRPr="00B2692F" w:rsidRDefault="00B2692F" w:rsidP="00B2692F">
            <w:pPr>
              <w:spacing w:after="0" w:line="240" w:lineRule="auto"/>
              <w:jc w:val="left"/>
              <w:rPr>
                <w:rFonts w:eastAsia="Times New Roman" w:cs="Calibri"/>
                <w:color w:val="000000"/>
                <w:sz w:val="20"/>
                <w:szCs w:val="20"/>
                <w:lang w:eastAsia="es-CR"/>
              </w:rPr>
            </w:pPr>
            <w:r w:rsidRPr="00B2692F">
              <w:rPr>
                <w:rFonts w:eastAsia="Times New Roman" w:cs="Calibri"/>
                <w:color w:val="000000"/>
                <w:sz w:val="20"/>
                <w:szCs w:val="20"/>
                <w:lang w:eastAsia="es-CR"/>
              </w:rPr>
              <w:t> </w:t>
            </w:r>
          </w:p>
        </w:tc>
        <w:tc>
          <w:tcPr>
            <w:tcW w:w="883" w:type="dxa"/>
            <w:tcBorders>
              <w:top w:val="single" w:sz="8" w:space="0" w:color="auto"/>
              <w:left w:val="nil"/>
              <w:bottom w:val="nil"/>
              <w:right w:val="single" w:sz="8" w:space="0" w:color="auto"/>
            </w:tcBorders>
            <w:shd w:val="clear" w:color="auto" w:fill="auto"/>
            <w:noWrap/>
            <w:vAlign w:val="bottom"/>
            <w:hideMark/>
          </w:tcPr>
          <w:p w14:paraId="781A8561" w14:textId="77777777" w:rsidR="00B2692F" w:rsidRPr="00B2692F" w:rsidRDefault="00B2692F" w:rsidP="00B2692F">
            <w:pPr>
              <w:spacing w:after="0" w:line="240" w:lineRule="auto"/>
              <w:jc w:val="left"/>
              <w:rPr>
                <w:rFonts w:eastAsia="Times New Roman" w:cs="Calibri"/>
                <w:color w:val="000000"/>
                <w:sz w:val="20"/>
                <w:szCs w:val="20"/>
                <w:lang w:eastAsia="es-CR"/>
              </w:rPr>
            </w:pPr>
            <w:r w:rsidRPr="00B2692F">
              <w:rPr>
                <w:rFonts w:eastAsia="Times New Roman" w:cs="Calibri"/>
                <w:color w:val="000000"/>
                <w:sz w:val="20"/>
                <w:szCs w:val="20"/>
                <w:lang w:eastAsia="es-CR"/>
              </w:rPr>
              <w:t> </w:t>
            </w:r>
          </w:p>
        </w:tc>
      </w:tr>
      <w:tr w:rsidR="00B2692F" w:rsidRPr="00B2692F" w14:paraId="4F5FCDFB" w14:textId="77777777" w:rsidTr="00AC4201">
        <w:trPr>
          <w:trHeight w:val="815"/>
        </w:trPr>
        <w:tc>
          <w:tcPr>
            <w:tcW w:w="1288" w:type="dxa"/>
            <w:tcBorders>
              <w:top w:val="nil"/>
              <w:left w:val="single" w:sz="8" w:space="0" w:color="auto"/>
              <w:bottom w:val="nil"/>
              <w:right w:val="single" w:sz="8" w:space="0" w:color="auto"/>
            </w:tcBorders>
            <w:shd w:val="clear" w:color="auto" w:fill="auto"/>
            <w:noWrap/>
            <w:vAlign w:val="center"/>
            <w:hideMark/>
          </w:tcPr>
          <w:p w14:paraId="2627766C" w14:textId="77777777" w:rsidR="00B2692F" w:rsidRPr="00B2692F" w:rsidRDefault="00B2692F" w:rsidP="00B2692F">
            <w:pPr>
              <w:spacing w:after="0" w:line="240" w:lineRule="auto"/>
              <w:jc w:val="left"/>
              <w:rPr>
                <w:rFonts w:eastAsia="Times New Roman" w:cs="Calibri"/>
                <w:color w:val="000000"/>
                <w:sz w:val="20"/>
                <w:szCs w:val="20"/>
                <w:lang w:eastAsia="es-CR"/>
              </w:rPr>
            </w:pPr>
            <w:r w:rsidRPr="00B2692F">
              <w:rPr>
                <w:rFonts w:eastAsia="Times New Roman" w:cs="Calibri"/>
                <w:color w:val="000000"/>
                <w:sz w:val="20"/>
                <w:szCs w:val="20"/>
                <w:lang w:eastAsia="es-CR"/>
              </w:rPr>
              <w:t>2.1.1.01.01.01</w:t>
            </w:r>
          </w:p>
        </w:tc>
        <w:tc>
          <w:tcPr>
            <w:tcW w:w="3196" w:type="dxa"/>
            <w:tcBorders>
              <w:top w:val="nil"/>
              <w:left w:val="nil"/>
              <w:bottom w:val="nil"/>
              <w:right w:val="single" w:sz="8" w:space="0" w:color="auto"/>
            </w:tcBorders>
            <w:shd w:val="clear" w:color="auto" w:fill="auto"/>
            <w:vAlign w:val="bottom"/>
            <w:hideMark/>
          </w:tcPr>
          <w:p w14:paraId="52F6C787" w14:textId="77777777" w:rsidR="00B2692F" w:rsidRPr="00B2692F" w:rsidRDefault="00B2692F" w:rsidP="00B2692F">
            <w:pPr>
              <w:spacing w:after="0" w:line="240" w:lineRule="auto"/>
              <w:jc w:val="left"/>
              <w:rPr>
                <w:rFonts w:eastAsia="Times New Roman" w:cs="Calibri"/>
                <w:color w:val="000000"/>
                <w:sz w:val="20"/>
                <w:szCs w:val="20"/>
                <w:lang w:eastAsia="es-CR"/>
              </w:rPr>
            </w:pPr>
            <w:r w:rsidRPr="00B2692F">
              <w:rPr>
                <w:rFonts w:eastAsia="Times New Roman" w:cs="Calibri"/>
                <w:color w:val="000000"/>
                <w:sz w:val="20"/>
                <w:szCs w:val="20"/>
                <w:lang w:eastAsia="es-CR"/>
              </w:rPr>
              <w:t>Deudas comerciales por adquisición de materiales y suministros para consumo y prestación de servicios c/p</w:t>
            </w:r>
          </w:p>
        </w:tc>
        <w:tc>
          <w:tcPr>
            <w:tcW w:w="1146" w:type="dxa"/>
            <w:tcBorders>
              <w:top w:val="nil"/>
              <w:left w:val="nil"/>
              <w:bottom w:val="nil"/>
              <w:right w:val="single" w:sz="8" w:space="0" w:color="auto"/>
            </w:tcBorders>
            <w:shd w:val="clear" w:color="auto" w:fill="auto"/>
            <w:noWrap/>
            <w:vAlign w:val="bottom"/>
            <w:hideMark/>
          </w:tcPr>
          <w:p w14:paraId="60516C05" w14:textId="77777777" w:rsidR="00B2692F" w:rsidRPr="00B2692F" w:rsidRDefault="00B2692F" w:rsidP="00B2692F">
            <w:pPr>
              <w:spacing w:after="0" w:line="240" w:lineRule="auto"/>
              <w:jc w:val="right"/>
              <w:rPr>
                <w:rFonts w:eastAsia="Times New Roman" w:cs="Calibri"/>
                <w:color w:val="000000"/>
                <w:sz w:val="20"/>
                <w:szCs w:val="20"/>
                <w:lang w:eastAsia="es-CR"/>
              </w:rPr>
            </w:pPr>
            <w:r w:rsidRPr="00B2692F">
              <w:rPr>
                <w:rFonts w:ascii="Arial" w:eastAsia="Times New Roman" w:hAnsi="Arial" w:cs="Arial"/>
                <w:color w:val="000000"/>
                <w:sz w:val="20"/>
                <w:szCs w:val="20"/>
                <w:lang w:eastAsia="es-CR"/>
              </w:rPr>
              <w:t>₡</w:t>
            </w:r>
            <w:r w:rsidRPr="00B2692F">
              <w:rPr>
                <w:rFonts w:eastAsia="Times New Roman" w:cs="Calibri"/>
                <w:color w:val="000000"/>
                <w:sz w:val="20"/>
                <w:szCs w:val="20"/>
                <w:lang w:eastAsia="es-CR"/>
              </w:rPr>
              <w:t>0,00</w:t>
            </w:r>
          </w:p>
        </w:tc>
        <w:tc>
          <w:tcPr>
            <w:tcW w:w="1286" w:type="dxa"/>
            <w:tcBorders>
              <w:top w:val="nil"/>
              <w:left w:val="nil"/>
              <w:bottom w:val="nil"/>
              <w:right w:val="single" w:sz="8" w:space="0" w:color="auto"/>
            </w:tcBorders>
            <w:shd w:val="clear" w:color="auto" w:fill="auto"/>
            <w:noWrap/>
            <w:vAlign w:val="bottom"/>
            <w:hideMark/>
          </w:tcPr>
          <w:p w14:paraId="2EA9DDD3" w14:textId="77777777" w:rsidR="00B2692F" w:rsidRPr="00B2692F" w:rsidRDefault="00B2692F" w:rsidP="00B2692F">
            <w:pPr>
              <w:spacing w:after="0" w:line="240" w:lineRule="auto"/>
              <w:jc w:val="right"/>
              <w:rPr>
                <w:rFonts w:eastAsia="Times New Roman" w:cs="Calibri"/>
                <w:color w:val="000000"/>
                <w:sz w:val="20"/>
                <w:szCs w:val="20"/>
                <w:lang w:eastAsia="es-CR"/>
              </w:rPr>
            </w:pPr>
            <w:r w:rsidRPr="00B2692F">
              <w:rPr>
                <w:rFonts w:ascii="Arial" w:eastAsia="Times New Roman" w:hAnsi="Arial" w:cs="Arial"/>
                <w:color w:val="000000"/>
                <w:sz w:val="20"/>
                <w:szCs w:val="20"/>
                <w:lang w:eastAsia="es-CR"/>
              </w:rPr>
              <w:t>₡</w:t>
            </w:r>
            <w:r w:rsidRPr="00B2692F">
              <w:rPr>
                <w:rFonts w:eastAsia="Times New Roman" w:cs="Calibri"/>
                <w:color w:val="000000"/>
                <w:sz w:val="20"/>
                <w:szCs w:val="20"/>
                <w:lang w:eastAsia="es-CR"/>
              </w:rPr>
              <w:t>1 108,99</w:t>
            </w:r>
          </w:p>
        </w:tc>
        <w:tc>
          <w:tcPr>
            <w:tcW w:w="1106" w:type="dxa"/>
            <w:tcBorders>
              <w:top w:val="nil"/>
              <w:left w:val="nil"/>
              <w:bottom w:val="nil"/>
              <w:right w:val="single" w:sz="8" w:space="0" w:color="auto"/>
            </w:tcBorders>
            <w:shd w:val="clear" w:color="auto" w:fill="auto"/>
            <w:noWrap/>
            <w:vAlign w:val="bottom"/>
            <w:hideMark/>
          </w:tcPr>
          <w:p w14:paraId="45AFB19B" w14:textId="77777777" w:rsidR="00B2692F" w:rsidRPr="00B2692F" w:rsidRDefault="00B2692F" w:rsidP="00B2692F">
            <w:pPr>
              <w:spacing w:after="0" w:line="240" w:lineRule="auto"/>
              <w:jc w:val="right"/>
              <w:rPr>
                <w:rFonts w:eastAsia="Times New Roman" w:cs="Calibri"/>
                <w:color w:val="000000"/>
                <w:sz w:val="20"/>
                <w:szCs w:val="20"/>
                <w:lang w:eastAsia="es-CR"/>
              </w:rPr>
            </w:pPr>
            <w:r w:rsidRPr="00B2692F">
              <w:rPr>
                <w:rFonts w:eastAsia="Times New Roman" w:cs="Calibri"/>
                <w:color w:val="000000"/>
                <w:sz w:val="20"/>
                <w:szCs w:val="20"/>
                <w:lang w:eastAsia="es-CR"/>
              </w:rPr>
              <w:t>-</w:t>
            </w:r>
            <w:r w:rsidRPr="00B2692F">
              <w:rPr>
                <w:rFonts w:ascii="Arial" w:eastAsia="Times New Roman" w:hAnsi="Arial" w:cs="Arial"/>
                <w:color w:val="000000"/>
                <w:sz w:val="20"/>
                <w:szCs w:val="20"/>
                <w:lang w:eastAsia="es-CR"/>
              </w:rPr>
              <w:t>₡</w:t>
            </w:r>
            <w:r w:rsidRPr="00B2692F">
              <w:rPr>
                <w:rFonts w:eastAsia="Times New Roman" w:cs="Calibri"/>
                <w:color w:val="000000"/>
                <w:sz w:val="20"/>
                <w:szCs w:val="20"/>
                <w:lang w:eastAsia="es-CR"/>
              </w:rPr>
              <w:t>1 108,99</w:t>
            </w:r>
          </w:p>
        </w:tc>
        <w:tc>
          <w:tcPr>
            <w:tcW w:w="883" w:type="dxa"/>
            <w:tcBorders>
              <w:top w:val="nil"/>
              <w:left w:val="nil"/>
              <w:bottom w:val="nil"/>
              <w:right w:val="single" w:sz="8" w:space="0" w:color="auto"/>
            </w:tcBorders>
            <w:shd w:val="clear" w:color="auto" w:fill="auto"/>
            <w:noWrap/>
            <w:vAlign w:val="bottom"/>
            <w:hideMark/>
          </w:tcPr>
          <w:p w14:paraId="003D6BDE" w14:textId="77777777" w:rsidR="00B2692F" w:rsidRPr="00B2692F" w:rsidRDefault="00B2692F" w:rsidP="00B2692F">
            <w:pPr>
              <w:spacing w:after="0" w:line="240" w:lineRule="auto"/>
              <w:jc w:val="right"/>
              <w:rPr>
                <w:rFonts w:eastAsia="Times New Roman" w:cs="Calibri"/>
                <w:color w:val="000000"/>
                <w:sz w:val="20"/>
                <w:szCs w:val="20"/>
                <w:lang w:eastAsia="es-CR"/>
              </w:rPr>
            </w:pPr>
            <w:r w:rsidRPr="00B2692F">
              <w:rPr>
                <w:rFonts w:eastAsia="Times New Roman" w:cs="Calibri"/>
                <w:color w:val="000000"/>
                <w:sz w:val="20"/>
                <w:szCs w:val="20"/>
                <w:lang w:eastAsia="es-CR"/>
              </w:rPr>
              <w:t>-100,00%</w:t>
            </w:r>
          </w:p>
        </w:tc>
      </w:tr>
      <w:tr w:rsidR="00B2692F" w:rsidRPr="00B2692F" w14:paraId="31777106" w14:textId="77777777" w:rsidTr="00AC4201">
        <w:trPr>
          <w:trHeight w:val="549"/>
        </w:trPr>
        <w:tc>
          <w:tcPr>
            <w:tcW w:w="1288" w:type="dxa"/>
            <w:tcBorders>
              <w:top w:val="nil"/>
              <w:left w:val="single" w:sz="8" w:space="0" w:color="auto"/>
              <w:bottom w:val="nil"/>
              <w:right w:val="single" w:sz="8" w:space="0" w:color="auto"/>
            </w:tcBorders>
            <w:shd w:val="clear" w:color="auto" w:fill="auto"/>
            <w:noWrap/>
            <w:vAlign w:val="center"/>
            <w:hideMark/>
          </w:tcPr>
          <w:p w14:paraId="296E0814" w14:textId="77777777" w:rsidR="00B2692F" w:rsidRPr="00B2692F" w:rsidRDefault="00B2692F" w:rsidP="00B2692F">
            <w:pPr>
              <w:spacing w:after="0" w:line="240" w:lineRule="auto"/>
              <w:jc w:val="left"/>
              <w:rPr>
                <w:rFonts w:eastAsia="Times New Roman" w:cs="Calibri"/>
                <w:color w:val="000000"/>
                <w:sz w:val="20"/>
                <w:szCs w:val="20"/>
                <w:lang w:eastAsia="es-CR"/>
              </w:rPr>
            </w:pPr>
            <w:r w:rsidRPr="00B2692F">
              <w:rPr>
                <w:rFonts w:eastAsia="Times New Roman" w:cs="Calibri"/>
                <w:color w:val="000000"/>
                <w:sz w:val="20"/>
                <w:szCs w:val="20"/>
                <w:lang w:eastAsia="es-CR"/>
              </w:rPr>
              <w:t>2.1.1.01.01.02.</w:t>
            </w:r>
          </w:p>
        </w:tc>
        <w:tc>
          <w:tcPr>
            <w:tcW w:w="3196" w:type="dxa"/>
            <w:tcBorders>
              <w:top w:val="nil"/>
              <w:left w:val="nil"/>
              <w:bottom w:val="nil"/>
              <w:right w:val="single" w:sz="8" w:space="0" w:color="auto"/>
            </w:tcBorders>
            <w:shd w:val="clear" w:color="auto" w:fill="auto"/>
            <w:vAlign w:val="bottom"/>
            <w:hideMark/>
          </w:tcPr>
          <w:p w14:paraId="7D38ACB9" w14:textId="77777777" w:rsidR="00B2692F" w:rsidRPr="00B2692F" w:rsidRDefault="00B2692F" w:rsidP="00B2692F">
            <w:pPr>
              <w:spacing w:after="0" w:line="240" w:lineRule="auto"/>
              <w:jc w:val="left"/>
              <w:rPr>
                <w:rFonts w:eastAsia="Times New Roman" w:cs="Calibri"/>
                <w:color w:val="000000"/>
                <w:sz w:val="20"/>
                <w:szCs w:val="20"/>
                <w:lang w:eastAsia="es-CR"/>
              </w:rPr>
            </w:pPr>
            <w:r w:rsidRPr="00B2692F">
              <w:rPr>
                <w:rFonts w:eastAsia="Times New Roman" w:cs="Calibri"/>
                <w:color w:val="000000"/>
                <w:sz w:val="20"/>
                <w:szCs w:val="20"/>
                <w:lang w:eastAsia="es-CR"/>
              </w:rPr>
              <w:t>Deudas comerciales por adquisición de bienes para la venta c/p</w:t>
            </w:r>
          </w:p>
        </w:tc>
        <w:tc>
          <w:tcPr>
            <w:tcW w:w="1146" w:type="dxa"/>
            <w:tcBorders>
              <w:top w:val="nil"/>
              <w:left w:val="nil"/>
              <w:bottom w:val="nil"/>
              <w:right w:val="single" w:sz="8" w:space="0" w:color="auto"/>
            </w:tcBorders>
            <w:shd w:val="clear" w:color="auto" w:fill="auto"/>
            <w:noWrap/>
            <w:vAlign w:val="bottom"/>
            <w:hideMark/>
          </w:tcPr>
          <w:p w14:paraId="02471DA9" w14:textId="77777777" w:rsidR="00B2692F" w:rsidRPr="00B2692F" w:rsidRDefault="00B2692F" w:rsidP="00B2692F">
            <w:pPr>
              <w:spacing w:after="0" w:line="240" w:lineRule="auto"/>
              <w:jc w:val="right"/>
              <w:rPr>
                <w:rFonts w:eastAsia="Times New Roman" w:cs="Calibri"/>
                <w:color w:val="000000"/>
                <w:sz w:val="20"/>
                <w:szCs w:val="20"/>
                <w:lang w:eastAsia="es-CR"/>
              </w:rPr>
            </w:pPr>
            <w:r w:rsidRPr="00B2692F">
              <w:rPr>
                <w:rFonts w:ascii="Arial" w:eastAsia="Times New Roman" w:hAnsi="Arial" w:cs="Arial"/>
                <w:color w:val="000000"/>
                <w:sz w:val="20"/>
                <w:szCs w:val="20"/>
                <w:lang w:eastAsia="es-CR"/>
              </w:rPr>
              <w:t>₡</w:t>
            </w:r>
            <w:r w:rsidRPr="00B2692F">
              <w:rPr>
                <w:rFonts w:eastAsia="Times New Roman" w:cs="Calibri"/>
                <w:color w:val="000000"/>
                <w:sz w:val="20"/>
                <w:szCs w:val="20"/>
                <w:lang w:eastAsia="es-CR"/>
              </w:rPr>
              <w:t>0,00</w:t>
            </w:r>
          </w:p>
        </w:tc>
        <w:tc>
          <w:tcPr>
            <w:tcW w:w="1286" w:type="dxa"/>
            <w:tcBorders>
              <w:top w:val="nil"/>
              <w:left w:val="nil"/>
              <w:bottom w:val="nil"/>
              <w:right w:val="single" w:sz="8" w:space="0" w:color="auto"/>
            </w:tcBorders>
            <w:shd w:val="clear" w:color="auto" w:fill="auto"/>
            <w:noWrap/>
            <w:vAlign w:val="bottom"/>
            <w:hideMark/>
          </w:tcPr>
          <w:p w14:paraId="7D4997F6" w14:textId="77777777" w:rsidR="00B2692F" w:rsidRPr="00B2692F" w:rsidRDefault="00B2692F" w:rsidP="00B2692F">
            <w:pPr>
              <w:spacing w:after="0" w:line="240" w:lineRule="auto"/>
              <w:jc w:val="right"/>
              <w:rPr>
                <w:rFonts w:eastAsia="Times New Roman" w:cs="Calibri"/>
                <w:color w:val="000000"/>
                <w:sz w:val="20"/>
                <w:szCs w:val="20"/>
                <w:lang w:eastAsia="es-CR"/>
              </w:rPr>
            </w:pPr>
            <w:r w:rsidRPr="00B2692F">
              <w:rPr>
                <w:rFonts w:ascii="Arial" w:eastAsia="Times New Roman" w:hAnsi="Arial" w:cs="Arial"/>
                <w:color w:val="000000"/>
                <w:sz w:val="20"/>
                <w:szCs w:val="20"/>
                <w:lang w:eastAsia="es-CR"/>
              </w:rPr>
              <w:t>₡</w:t>
            </w:r>
            <w:r w:rsidRPr="00B2692F">
              <w:rPr>
                <w:rFonts w:eastAsia="Times New Roman" w:cs="Calibri"/>
                <w:color w:val="000000"/>
                <w:sz w:val="20"/>
                <w:szCs w:val="20"/>
                <w:lang w:eastAsia="es-CR"/>
              </w:rPr>
              <w:t>0,00</w:t>
            </w:r>
          </w:p>
        </w:tc>
        <w:tc>
          <w:tcPr>
            <w:tcW w:w="1106" w:type="dxa"/>
            <w:tcBorders>
              <w:top w:val="nil"/>
              <w:left w:val="nil"/>
              <w:bottom w:val="nil"/>
              <w:right w:val="single" w:sz="8" w:space="0" w:color="auto"/>
            </w:tcBorders>
            <w:shd w:val="clear" w:color="auto" w:fill="auto"/>
            <w:noWrap/>
            <w:vAlign w:val="bottom"/>
            <w:hideMark/>
          </w:tcPr>
          <w:p w14:paraId="0B57A1B9" w14:textId="77777777" w:rsidR="00B2692F" w:rsidRPr="00B2692F" w:rsidRDefault="00B2692F" w:rsidP="00B2692F">
            <w:pPr>
              <w:spacing w:after="0" w:line="240" w:lineRule="auto"/>
              <w:jc w:val="right"/>
              <w:rPr>
                <w:rFonts w:eastAsia="Times New Roman" w:cs="Calibri"/>
                <w:color w:val="000000"/>
                <w:sz w:val="20"/>
                <w:szCs w:val="20"/>
                <w:lang w:eastAsia="es-CR"/>
              </w:rPr>
            </w:pPr>
            <w:r w:rsidRPr="00B2692F">
              <w:rPr>
                <w:rFonts w:ascii="Arial" w:eastAsia="Times New Roman" w:hAnsi="Arial" w:cs="Arial"/>
                <w:color w:val="000000"/>
                <w:sz w:val="20"/>
                <w:szCs w:val="20"/>
                <w:lang w:eastAsia="es-CR"/>
              </w:rPr>
              <w:t>₡</w:t>
            </w:r>
            <w:r w:rsidRPr="00B2692F">
              <w:rPr>
                <w:rFonts w:eastAsia="Times New Roman" w:cs="Calibri"/>
                <w:color w:val="000000"/>
                <w:sz w:val="20"/>
                <w:szCs w:val="20"/>
                <w:lang w:eastAsia="es-CR"/>
              </w:rPr>
              <w:t>0,00</w:t>
            </w:r>
          </w:p>
        </w:tc>
        <w:tc>
          <w:tcPr>
            <w:tcW w:w="883" w:type="dxa"/>
            <w:tcBorders>
              <w:top w:val="nil"/>
              <w:left w:val="nil"/>
              <w:bottom w:val="nil"/>
              <w:right w:val="single" w:sz="8" w:space="0" w:color="auto"/>
            </w:tcBorders>
            <w:shd w:val="clear" w:color="auto" w:fill="auto"/>
            <w:noWrap/>
            <w:vAlign w:val="bottom"/>
            <w:hideMark/>
          </w:tcPr>
          <w:p w14:paraId="3BE3E93C" w14:textId="77777777" w:rsidR="00B2692F" w:rsidRPr="00B2692F" w:rsidRDefault="00B2692F" w:rsidP="00B2692F">
            <w:pPr>
              <w:spacing w:after="0" w:line="240" w:lineRule="auto"/>
              <w:jc w:val="right"/>
              <w:rPr>
                <w:rFonts w:eastAsia="Times New Roman" w:cs="Calibri"/>
                <w:color w:val="000000"/>
                <w:sz w:val="20"/>
                <w:szCs w:val="20"/>
                <w:lang w:eastAsia="es-CR"/>
              </w:rPr>
            </w:pPr>
            <w:r w:rsidRPr="00B2692F">
              <w:rPr>
                <w:rFonts w:eastAsia="Times New Roman" w:cs="Calibri"/>
                <w:color w:val="000000"/>
                <w:sz w:val="20"/>
                <w:szCs w:val="20"/>
                <w:lang w:eastAsia="es-CR"/>
              </w:rPr>
              <w:t>#¡DIV/0!</w:t>
            </w:r>
          </w:p>
        </w:tc>
      </w:tr>
      <w:tr w:rsidR="00B2692F" w:rsidRPr="00B2692F" w14:paraId="423600B2" w14:textId="77777777" w:rsidTr="00AC4201">
        <w:trPr>
          <w:trHeight w:val="815"/>
        </w:trPr>
        <w:tc>
          <w:tcPr>
            <w:tcW w:w="1288" w:type="dxa"/>
            <w:tcBorders>
              <w:top w:val="nil"/>
              <w:left w:val="single" w:sz="8" w:space="0" w:color="auto"/>
              <w:bottom w:val="nil"/>
              <w:right w:val="single" w:sz="8" w:space="0" w:color="auto"/>
            </w:tcBorders>
            <w:shd w:val="clear" w:color="auto" w:fill="auto"/>
            <w:noWrap/>
            <w:vAlign w:val="center"/>
            <w:hideMark/>
          </w:tcPr>
          <w:p w14:paraId="4E37BEEF" w14:textId="77777777" w:rsidR="00B2692F" w:rsidRPr="00B2692F" w:rsidRDefault="00B2692F" w:rsidP="00B2692F">
            <w:pPr>
              <w:spacing w:after="0" w:line="240" w:lineRule="auto"/>
              <w:jc w:val="left"/>
              <w:rPr>
                <w:rFonts w:eastAsia="Times New Roman" w:cs="Calibri"/>
                <w:color w:val="000000"/>
                <w:sz w:val="20"/>
                <w:szCs w:val="20"/>
                <w:lang w:eastAsia="es-CR"/>
              </w:rPr>
            </w:pPr>
            <w:r w:rsidRPr="00B2692F">
              <w:rPr>
                <w:rFonts w:eastAsia="Times New Roman" w:cs="Calibri"/>
                <w:color w:val="000000"/>
                <w:sz w:val="20"/>
                <w:szCs w:val="20"/>
                <w:lang w:eastAsia="es-CR"/>
              </w:rPr>
              <w:t>2.1.1.01.02.01.</w:t>
            </w:r>
          </w:p>
        </w:tc>
        <w:tc>
          <w:tcPr>
            <w:tcW w:w="3196" w:type="dxa"/>
            <w:tcBorders>
              <w:top w:val="nil"/>
              <w:left w:val="nil"/>
              <w:bottom w:val="nil"/>
              <w:right w:val="single" w:sz="8" w:space="0" w:color="auto"/>
            </w:tcBorders>
            <w:shd w:val="clear" w:color="auto" w:fill="auto"/>
            <w:vAlign w:val="bottom"/>
            <w:hideMark/>
          </w:tcPr>
          <w:p w14:paraId="4BA4A2CD" w14:textId="77777777" w:rsidR="00B2692F" w:rsidRPr="00B2692F" w:rsidRDefault="00B2692F" w:rsidP="00B2692F">
            <w:pPr>
              <w:spacing w:after="0" w:line="240" w:lineRule="auto"/>
              <w:jc w:val="left"/>
              <w:rPr>
                <w:rFonts w:eastAsia="Times New Roman" w:cs="Calibri"/>
                <w:color w:val="000000"/>
                <w:sz w:val="20"/>
                <w:szCs w:val="20"/>
                <w:lang w:eastAsia="es-CR"/>
              </w:rPr>
            </w:pPr>
            <w:r w:rsidRPr="00B2692F">
              <w:rPr>
                <w:rFonts w:eastAsia="Times New Roman" w:cs="Calibri"/>
                <w:color w:val="000000"/>
                <w:sz w:val="20"/>
                <w:szCs w:val="20"/>
                <w:lang w:eastAsia="es-CR"/>
              </w:rPr>
              <w:t>Deudas comerciales por adquisición de propiedades, planta y equipos en explotación c/p</w:t>
            </w:r>
          </w:p>
        </w:tc>
        <w:tc>
          <w:tcPr>
            <w:tcW w:w="1146" w:type="dxa"/>
            <w:tcBorders>
              <w:top w:val="nil"/>
              <w:left w:val="nil"/>
              <w:bottom w:val="nil"/>
              <w:right w:val="single" w:sz="8" w:space="0" w:color="auto"/>
            </w:tcBorders>
            <w:shd w:val="clear" w:color="auto" w:fill="auto"/>
            <w:noWrap/>
            <w:vAlign w:val="bottom"/>
            <w:hideMark/>
          </w:tcPr>
          <w:p w14:paraId="0606735C" w14:textId="77777777" w:rsidR="00B2692F" w:rsidRPr="00B2692F" w:rsidRDefault="00B2692F" w:rsidP="00B2692F">
            <w:pPr>
              <w:spacing w:after="0" w:line="240" w:lineRule="auto"/>
              <w:jc w:val="right"/>
              <w:rPr>
                <w:rFonts w:eastAsia="Times New Roman" w:cs="Calibri"/>
                <w:color w:val="000000"/>
                <w:sz w:val="20"/>
                <w:szCs w:val="20"/>
                <w:lang w:eastAsia="es-CR"/>
              </w:rPr>
            </w:pPr>
            <w:r w:rsidRPr="00B2692F">
              <w:rPr>
                <w:rFonts w:ascii="Arial" w:eastAsia="Times New Roman" w:hAnsi="Arial" w:cs="Arial"/>
                <w:color w:val="000000"/>
                <w:sz w:val="20"/>
                <w:szCs w:val="20"/>
                <w:lang w:eastAsia="es-CR"/>
              </w:rPr>
              <w:t>₡</w:t>
            </w:r>
            <w:r w:rsidRPr="00B2692F">
              <w:rPr>
                <w:rFonts w:eastAsia="Times New Roman" w:cs="Calibri"/>
                <w:color w:val="000000"/>
                <w:sz w:val="20"/>
                <w:szCs w:val="20"/>
                <w:lang w:eastAsia="es-CR"/>
              </w:rPr>
              <w:t>0,00</w:t>
            </w:r>
          </w:p>
        </w:tc>
        <w:tc>
          <w:tcPr>
            <w:tcW w:w="1286" w:type="dxa"/>
            <w:tcBorders>
              <w:top w:val="nil"/>
              <w:left w:val="nil"/>
              <w:bottom w:val="nil"/>
              <w:right w:val="single" w:sz="8" w:space="0" w:color="auto"/>
            </w:tcBorders>
            <w:shd w:val="clear" w:color="auto" w:fill="auto"/>
            <w:noWrap/>
            <w:vAlign w:val="bottom"/>
            <w:hideMark/>
          </w:tcPr>
          <w:p w14:paraId="40843E94" w14:textId="77777777" w:rsidR="00B2692F" w:rsidRPr="00B2692F" w:rsidRDefault="00B2692F" w:rsidP="00B2692F">
            <w:pPr>
              <w:spacing w:after="0" w:line="240" w:lineRule="auto"/>
              <w:jc w:val="right"/>
              <w:rPr>
                <w:rFonts w:eastAsia="Times New Roman" w:cs="Calibri"/>
                <w:color w:val="000000"/>
                <w:sz w:val="20"/>
                <w:szCs w:val="20"/>
                <w:lang w:eastAsia="es-CR"/>
              </w:rPr>
            </w:pPr>
            <w:r w:rsidRPr="00B2692F">
              <w:rPr>
                <w:rFonts w:ascii="Arial" w:eastAsia="Times New Roman" w:hAnsi="Arial" w:cs="Arial"/>
                <w:color w:val="000000"/>
                <w:sz w:val="20"/>
                <w:szCs w:val="20"/>
                <w:lang w:eastAsia="es-CR"/>
              </w:rPr>
              <w:t>₡</w:t>
            </w:r>
            <w:r w:rsidRPr="00B2692F">
              <w:rPr>
                <w:rFonts w:eastAsia="Times New Roman" w:cs="Calibri"/>
                <w:color w:val="000000"/>
                <w:sz w:val="20"/>
                <w:szCs w:val="20"/>
                <w:lang w:eastAsia="es-CR"/>
              </w:rPr>
              <w:t>0,00</w:t>
            </w:r>
          </w:p>
        </w:tc>
        <w:tc>
          <w:tcPr>
            <w:tcW w:w="1106" w:type="dxa"/>
            <w:tcBorders>
              <w:top w:val="nil"/>
              <w:left w:val="nil"/>
              <w:bottom w:val="nil"/>
              <w:right w:val="single" w:sz="8" w:space="0" w:color="auto"/>
            </w:tcBorders>
            <w:shd w:val="clear" w:color="000000" w:fill="FFFFFF"/>
            <w:noWrap/>
            <w:vAlign w:val="bottom"/>
            <w:hideMark/>
          </w:tcPr>
          <w:p w14:paraId="2C618969" w14:textId="77777777" w:rsidR="00B2692F" w:rsidRPr="00B2692F" w:rsidRDefault="00B2692F" w:rsidP="00B2692F">
            <w:pPr>
              <w:spacing w:after="0" w:line="240" w:lineRule="auto"/>
              <w:jc w:val="right"/>
              <w:rPr>
                <w:rFonts w:eastAsia="Times New Roman" w:cs="Calibri"/>
                <w:color w:val="000000"/>
                <w:sz w:val="20"/>
                <w:szCs w:val="20"/>
                <w:lang w:eastAsia="es-CR"/>
              </w:rPr>
            </w:pPr>
            <w:r w:rsidRPr="00B2692F">
              <w:rPr>
                <w:rFonts w:eastAsia="Times New Roman" w:cs="Calibri"/>
                <w:color w:val="000000"/>
                <w:sz w:val="20"/>
                <w:szCs w:val="20"/>
                <w:lang w:eastAsia="es-CR"/>
              </w:rPr>
              <w:t>0,00</w:t>
            </w:r>
          </w:p>
        </w:tc>
        <w:tc>
          <w:tcPr>
            <w:tcW w:w="883" w:type="dxa"/>
            <w:tcBorders>
              <w:top w:val="nil"/>
              <w:left w:val="nil"/>
              <w:bottom w:val="nil"/>
              <w:right w:val="single" w:sz="8" w:space="0" w:color="auto"/>
            </w:tcBorders>
            <w:shd w:val="clear" w:color="auto" w:fill="auto"/>
            <w:noWrap/>
            <w:vAlign w:val="bottom"/>
            <w:hideMark/>
          </w:tcPr>
          <w:p w14:paraId="34E14C39" w14:textId="77777777" w:rsidR="00B2692F" w:rsidRPr="00B2692F" w:rsidRDefault="00B2692F" w:rsidP="00B2692F">
            <w:pPr>
              <w:spacing w:after="0" w:line="240" w:lineRule="auto"/>
              <w:jc w:val="right"/>
              <w:rPr>
                <w:rFonts w:eastAsia="Times New Roman" w:cs="Calibri"/>
                <w:color w:val="000000"/>
                <w:sz w:val="20"/>
                <w:szCs w:val="20"/>
                <w:lang w:eastAsia="es-CR"/>
              </w:rPr>
            </w:pPr>
            <w:r w:rsidRPr="00B2692F">
              <w:rPr>
                <w:rFonts w:eastAsia="Times New Roman" w:cs="Calibri"/>
                <w:color w:val="000000"/>
                <w:sz w:val="20"/>
                <w:szCs w:val="20"/>
                <w:lang w:eastAsia="es-CR"/>
              </w:rPr>
              <w:t>#¡DIV/0!</w:t>
            </w:r>
          </w:p>
        </w:tc>
      </w:tr>
      <w:tr w:rsidR="00B2692F" w:rsidRPr="00B2692F" w14:paraId="3AA8C6BD" w14:textId="77777777" w:rsidTr="00AC4201">
        <w:trPr>
          <w:trHeight w:val="815"/>
        </w:trPr>
        <w:tc>
          <w:tcPr>
            <w:tcW w:w="1288" w:type="dxa"/>
            <w:tcBorders>
              <w:top w:val="nil"/>
              <w:left w:val="single" w:sz="8" w:space="0" w:color="auto"/>
              <w:bottom w:val="nil"/>
              <w:right w:val="single" w:sz="8" w:space="0" w:color="auto"/>
            </w:tcBorders>
            <w:shd w:val="clear" w:color="auto" w:fill="auto"/>
            <w:noWrap/>
            <w:vAlign w:val="center"/>
            <w:hideMark/>
          </w:tcPr>
          <w:p w14:paraId="2CC58C46" w14:textId="77777777" w:rsidR="00B2692F" w:rsidRPr="00B2692F" w:rsidRDefault="00B2692F" w:rsidP="00B2692F">
            <w:pPr>
              <w:spacing w:after="0" w:line="240" w:lineRule="auto"/>
              <w:jc w:val="left"/>
              <w:rPr>
                <w:rFonts w:eastAsia="Times New Roman" w:cs="Calibri"/>
                <w:color w:val="000000"/>
                <w:sz w:val="20"/>
                <w:szCs w:val="20"/>
                <w:lang w:eastAsia="es-CR"/>
              </w:rPr>
            </w:pPr>
            <w:r w:rsidRPr="00B2692F">
              <w:rPr>
                <w:rFonts w:eastAsia="Times New Roman" w:cs="Calibri"/>
                <w:color w:val="000000"/>
                <w:sz w:val="20"/>
                <w:szCs w:val="20"/>
                <w:lang w:eastAsia="es-CR"/>
              </w:rPr>
              <w:t>2.1.1.01.02.04.</w:t>
            </w:r>
          </w:p>
        </w:tc>
        <w:tc>
          <w:tcPr>
            <w:tcW w:w="3196" w:type="dxa"/>
            <w:tcBorders>
              <w:top w:val="nil"/>
              <w:left w:val="nil"/>
              <w:bottom w:val="nil"/>
              <w:right w:val="single" w:sz="8" w:space="0" w:color="auto"/>
            </w:tcBorders>
            <w:shd w:val="clear" w:color="auto" w:fill="auto"/>
            <w:vAlign w:val="bottom"/>
            <w:hideMark/>
          </w:tcPr>
          <w:p w14:paraId="31A32A94" w14:textId="77777777" w:rsidR="00B2692F" w:rsidRPr="00B2692F" w:rsidRDefault="00B2692F" w:rsidP="00B2692F">
            <w:pPr>
              <w:spacing w:after="0" w:line="240" w:lineRule="auto"/>
              <w:jc w:val="left"/>
              <w:rPr>
                <w:rFonts w:eastAsia="Times New Roman" w:cs="Calibri"/>
                <w:color w:val="000000"/>
                <w:sz w:val="20"/>
                <w:szCs w:val="20"/>
                <w:lang w:eastAsia="es-CR"/>
              </w:rPr>
            </w:pPr>
            <w:r w:rsidRPr="00B2692F">
              <w:rPr>
                <w:rFonts w:eastAsia="Times New Roman" w:cs="Calibri"/>
                <w:color w:val="000000"/>
                <w:sz w:val="20"/>
                <w:szCs w:val="20"/>
                <w:lang w:eastAsia="es-CR"/>
              </w:rPr>
              <w:t>Deudas comerciales por adquisición de bienes de infraestructura y de beneficio y uso público c/p</w:t>
            </w:r>
          </w:p>
        </w:tc>
        <w:tc>
          <w:tcPr>
            <w:tcW w:w="1146" w:type="dxa"/>
            <w:tcBorders>
              <w:top w:val="nil"/>
              <w:left w:val="nil"/>
              <w:bottom w:val="nil"/>
              <w:right w:val="single" w:sz="8" w:space="0" w:color="auto"/>
            </w:tcBorders>
            <w:shd w:val="clear" w:color="auto" w:fill="auto"/>
            <w:noWrap/>
            <w:vAlign w:val="bottom"/>
            <w:hideMark/>
          </w:tcPr>
          <w:p w14:paraId="5BA53EBD" w14:textId="77777777" w:rsidR="00B2692F" w:rsidRPr="00B2692F" w:rsidRDefault="00B2692F" w:rsidP="00B2692F">
            <w:pPr>
              <w:spacing w:after="0" w:line="240" w:lineRule="auto"/>
              <w:jc w:val="right"/>
              <w:rPr>
                <w:rFonts w:eastAsia="Times New Roman" w:cs="Calibri"/>
                <w:color w:val="000000"/>
                <w:sz w:val="20"/>
                <w:szCs w:val="20"/>
                <w:lang w:eastAsia="es-CR"/>
              </w:rPr>
            </w:pPr>
            <w:r w:rsidRPr="00B2692F">
              <w:rPr>
                <w:rFonts w:ascii="Arial" w:eastAsia="Times New Roman" w:hAnsi="Arial" w:cs="Arial"/>
                <w:color w:val="000000"/>
                <w:sz w:val="20"/>
                <w:szCs w:val="20"/>
                <w:lang w:eastAsia="es-CR"/>
              </w:rPr>
              <w:t>₡</w:t>
            </w:r>
            <w:r w:rsidRPr="00B2692F">
              <w:rPr>
                <w:rFonts w:eastAsia="Times New Roman" w:cs="Calibri"/>
                <w:color w:val="000000"/>
                <w:sz w:val="20"/>
                <w:szCs w:val="20"/>
                <w:lang w:eastAsia="es-CR"/>
              </w:rPr>
              <w:t>0,00</w:t>
            </w:r>
          </w:p>
        </w:tc>
        <w:tc>
          <w:tcPr>
            <w:tcW w:w="1286" w:type="dxa"/>
            <w:tcBorders>
              <w:top w:val="nil"/>
              <w:left w:val="nil"/>
              <w:bottom w:val="nil"/>
              <w:right w:val="single" w:sz="8" w:space="0" w:color="auto"/>
            </w:tcBorders>
            <w:shd w:val="clear" w:color="auto" w:fill="auto"/>
            <w:noWrap/>
            <w:vAlign w:val="bottom"/>
            <w:hideMark/>
          </w:tcPr>
          <w:p w14:paraId="6D64C3BB" w14:textId="77777777" w:rsidR="00B2692F" w:rsidRPr="00B2692F" w:rsidRDefault="00B2692F" w:rsidP="00B2692F">
            <w:pPr>
              <w:spacing w:after="0" w:line="240" w:lineRule="auto"/>
              <w:jc w:val="right"/>
              <w:rPr>
                <w:rFonts w:eastAsia="Times New Roman" w:cs="Calibri"/>
                <w:color w:val="000000"/>
                <w:sz w:val="20"/>
                <w:szCs w:val="20"/>
                <w:lang w:eastAsia="es-CR"/>
              </w:rPr>
            </w:pPr>
            <w:r w:rsidRPr="00B2692F">
              <w:rPr>
                <w:rFonts w:ascii="Arial" w:eastAsia="Times New Roman" w:hAnsi="Arial" w:cs="Arial"/>
                <w:color w:val="000000"/>
                <w:sz w:val="20"/>
                <w:szCs w:val="20"/>
                <w:lang w:eastAsia="es-CR"/>
              </w:rPr>
              <w:t>₡</w:t>
            </w:r>
            <w:r w:rsidRPr="00B2692F">
              <w:rPr>
                <w:rFonts w:eastAsia="Times New Roman" w:cs="Calibri"/>
                <w:color w:val="000000"/>
                <w:sz w:val="20"/>
                <w:szCs w:val="20"/>
                <w:lang w:eastAsia="es-CR"/>
              </w:rPr>
              <w:t>0,00</w:t>
            </w:r>
          </w:p>
        </w:tc>
        <w:tc>
          <w:tcPr>
            <w:tcW w:w="1106" w:type="dxa"/>
            <w:tcBorders>
              <w:top w:val="nil"/>
              <w:left w:val="nil"/>
              <w:bottom w:val="nil"/>
              <w:right w:val="single" w:sz="8" w:space="0" w:color="auto"/>
            </w:tcBorders>
            <w:shd w:val="clear" w:color="000000" w:fill="FFFFFF"/>
            <w:noWrap/>
            <w:vAlign w:val="bottom"/>
            <w:hideMark/>
          </w:tcPr>
          <w:p w14:paraId="4DB5CC6D" w14:textId="77777777" w:rsidR="00B2692F" w:rsidRPr="00B2692F" w:rsidRDefault="00B2692F" w:rsidP="00B2692F">
            <w:pPr>
              <w:spacing w:after="0" w:line="240" w:lineRule="auto"/>
              <w:jc w:val="right"/>
              <w:rPr>
                <w:rFonts w:eastAsia="Times New Roman" w:cs="Calibri"/>
                <w:color w:val="000000"/>
                <w:sz w:val="20"/>
                <w:szCs w:val="20"/>
                <w:lang w:eastAsia="es-CR"/>
              </w:rPr>
            </w:pPr>
            <w:r w:rsidRPr="00B2692F">
              <w:rPr>
                <w:rFonts w:eastAsia="Times New Roman" w:cs="Calibri"/>
                <w:color w:val="000000"/>
                <w:sz w:val="20"/>
                <w:szCs w:val="20"/>
                <w:lang w:eastAsia="es-CR"/>
              </w:rPr>
              <w:t>0,00</w:t>
            </w:r>
          </w:p>
        </w:tc>
        <w:tc>
          <w:tcPr>
            <w:tcW w:w="883" w:type="dxa"/>
            <w:tcBorders>
              <w:top w:val="nil"/>
              <w:left w:val="nil"/>
              <w:bottom w:val="nil"/>
              <w:right w:val="single" w:sz="8" w:space="0" w:color="auto"/>
            </w:tcBorders>
            <w:shd w:val="clear" w:color="auto" w:fill="auto"/>
            <w:noWrap/>
            <w:vAlign w:val="bottom"/>
            <w:hideMark/>
          </w:tcPr>
          <w:p w14:paraId="5270563A" w14:textId="77777777" w:rsidR="00B2692F" w:rsidRPr="00B2692F" w:rsidRDefault="00B2692F" w:rsidP="00B2692F">
            <w:pPr>
              <w:spacing w:after="0" w:line="240" w:lineRule="auto"/>
              <w:jc w:val="right"/>
              <w:rPr>
                <w:rFonts w:eastAsia="Times New Roman" w:cs="Calibri"/>
                <w:color w:val="000000"/>
                <w:sz w:val="20"/>
                <w:szCs w:val="20"/>
                <w:lang w:eastAsia="es-CR"/>
              </w:rPr>
            </w:pPr>
            <w:r w:rsidRPr="00B2692F">
              <w:rPr>
                <w:rFonts w:eastAsia="Times New Roman" w:cs="Calibri"/>
                <w:color w:val="000000"/>
                <w:sz w:val="20"/>
                <w:szCs w:val="20"/>
                <w:lang w:eastAsia="es-CR"/>
              </w:rPr>
              <w:t>#¡DIV/0!</w:t>
            </w:r>
          </w:p>
        </w:tc>
      </w:tr>
      <w:tr w:rsidR="00B2692F" w:rsidRPr="00B2692F" w14:paraId="7614B2D7" w14:textId="77777777" w:rsidTr="00AC4201">
        <w:trPr>
          <w:trHeight w:val="549"/>
        </w:trPr>
        <w:tc>
          <w:tcPr>
            <w:tcW w:w="1288" w:type="dxa"/>
            <w:tcBorders>
              <w:top w:val="nil"/>
              <w:left w:val="single" w:sz="8" w:space="0" w:color="auto"/>
              <w:bottom w:val="nil"/>
              <w:right w:val="single" w:sz="8" w:space="0" w:color="auto"/>
            </w:tcBorders>
            <w:shd w:val="clear" w:color="auto" w:fill="auto"/>
            <w:noWrap/>
            <w:vAlign w:val="center"/>
            <w:hideMark/>
          </w:tcPr>
          <w:p w14:paraId="77DD0810" w14:textId="77777777" w:rsidR="00B2692F" w:rsidRPr="00B2692F" w:rsidRDefault="00B2692F" w:rsidP="00B2692F">
            <w:pPr>
              <w:spacing w:after="0" w:line="240" w:lineRule="auto"/>
              <w:jc w:val="left"/>
              <w:rPr>
                <w:rFonts w:eastAsia="Times New Roman" w:cs="Calibri"/>
                <w:color w:val="000000"/>
                <w:sz w:val="20"/>
                <w:szCs w:val="20"/>
                <w:lang w:eastAsia="es-CR"/>
              </w:rPr>
            </w:pPr>
            <w:r w:rsidRPr="00B2692F">
              <w:rPr>
                <w:rFonts w:eastAsia="Times New Roman" w:cs="Calibri"/>
                <w:color w:val="000000"/>
                <w:sz w:val="20"/>
                <w:szCs w:val="20"/>
                <w:lang w:eastAsia="es-CR"/>
              </w:rPr>
              <w:t>2.1.1.01.02.08.</w:t>
            </w:r>
          </w:p>
        </w:tc>
        <w:tc>
          <w:tcPr>
            <w:tcW w:w="3196" w:type="dxa"/>
            <w:tcBorders>
              <w:top w:val="nil"/>
              <w:left w:val="nil"/>
              <w:bottom w:val="nil"/>
              <w:right w:val="single" w:sz="8" w:space="0" w:color="auto"/>
            </w:tcBorders>
            <w:shd w:val="clear" w:color="auto" w:fill="auto"/>
            <w:vAlign w:val="bottom"/>
            <w:hideMark/>
          </w:tcPr>
          <w:p w14:paraId="758B51FC" w14:textId="77777777" w:rsidR="00B2692F" w:rsidRPr="00B2692F" w:rsidRDefault="00B2692F" w:rsidP="00B2692F">
            <w:pPr>
              <w:spacing w:after="0" w:line="240" w:lineRule="auto"/>
              <w:jc w:val="left"/>
              <w:rPr>
                <w:rFonts w:eastAsia="Times New Roman" w:cs="Calibri"/>
                <w:color w:val="000000"/>
                <w:sz w:val="20"/>
                <w:szCs w:val="20"/>
                <w:lang w:eastAsia="es-CR"/>
              </w:rPr>
            </w:pPr>
            <w:r w:rsidRPr="00B2692F">
              <w:rPr>
                <w:rFonts w:eastAsia="Times New Roman" w:cs="Calibri"/>
                <w:color w:val="000000"/>
                <w:sz w:val="20"/>
                <w:szCs w:val="20"/>
                <w:lang w:eastAsia="es-CR"/>
              </w:rPr>
              <w:t>Deudas comerciales por adquisición de bienes intangibles c/p</w:t>
            </w:r>
          </w:p>
        </w:tc>
        <w:tc>
          <w:tcPr>
            <w:tcW w:w="1146" w:type="dxa"/>
            <w:tcBorders>
              <w:top w:val="nil"/>
              <w:left w:val="nil"/>
              <w:bottom w:val="nil"/>
              <w:right w:val="single" w:sz="8" w:space="0" w:color="auto"/>
            </w:tcBorders>
            <w:shd w:val="clear" w:color="auto" w:fill="auto"/>
            <w:noWrap/>
            <w:vAlign w:val="bottom"/>
            <w:hideMark/>
          </w:tcPr>
          <w:p w14:paraId="7CD51A44" w14:textId="77777777" w:rsidR="00B2692F" w:rsidRPr="00B2692F" w:rsidRDefault="00B2692F" w:rsidP="00B2692F">
            <w:pPr>
              <w:spacing w:after="0" w:line="240" w:lineRule="auto"/>
              <w:jc w:val="right"/>
              <w:rPr>
                <w:rFonts w:eastAsia="Times New Roman" w:cs="Calibri"/>
                <w:color w:val="000000"/>
                <w:sz w:val="20"/>
                <w:szCs w:val="20"/>
                <w:lang w:eastAsia="es-CR"/>
              </w:rPr>
            </w:pPr>
            <w:r w:rsidRPr="00B2692F">
              <w:rPr>
                <w:rFonts w:ascii="Arial" w:eastAsia="Times New Roman" w:hAnsi="Arial" w:cs="Arial"/>
                <w:color w:val="000000"/>
                <w:sz w:val="20"/>
                <w:szCs w:val="20"/>
                <w:lang w:eastAsia="es-CR"/>
              </w:rPr>
              <w:t>₡</w:t>
            </w:r>
            <w:r w:rsidRPr="00B2692F">
              <w:rPr>
                <w:rFonts w:eastAsia="Times New Roman" w:cs="Calibri"/>
                <w:color w:val="000000"/>
                <w:sz w:val="20"/>
                <w:szCs w:val="20"/>
                <w:lang w:eastAsia="es-CR"/>
              </w:rPr>
              <w:t>0,00</w:t>
            </w:r>
          </w:p>
        </w:tc>
        <w:tc>
          <w:tcPr>
            <w:tcW w:w="1286" w:type="dxa"/>
            <w:tcBorders>
              <w:top w:val="nil"/>
              <w:left w:val="nil"/>
              <w:bottom w:val="nil"/>
              <w:right w:val="single" w:sz="8" w:space="0" w:color="auto"/>
            </w:tcBorders>
            <w:shd w:val="clear" w:color="auto" w:fill="auto"/>
            <w:noWrap/>
            <w:vAlign w:val="bottom"/>
            <w:hideMark/>
          </w:tcPr>
          <w:p w14:paraId="165DAE4C" w14:textId="77777777" w:rsidR="00B2692F" w:rsidRPr="00B2692F" w:rsidRDefault="00B2692F" w:rsidP="00B2692F">
            <w:pPr>
              <w:spacing w:after="0" w:line="240" w:lineRule="auto"/>
              <w:jc w:val="right"/>
              <w:rPr>
                <w:rFonts w:eastAsia="Times New Roman" w:cs="Calibri"/>
                <w:color w:val="000000"/>
                <w:sz w:val="20"/>
                <w:szCs w:val="20"/>
                <w:lang w:eastAsia="es-CR"/>
              </w:rPr>
            </w:pPr>
            <w:r w:rsidRPr="00B2692F">
              <w:rPr>
                <w:rFonts w:ascii="Arial" w:eastAsia="Times New Roman" w:hAnsi="Arial" w:cs="Arial"/>
                <w:color w:val="000000"/>
                <w:sz w:val="20"/>
                <w:szCs w:val="20"/>
                <w:lang w:eastAsia="es-CR"/>
              </w:rPr>
              <w:t>₡</w:t>
            </w:r>
            <w:r w:rsidRPr="00B2692F">
              <w:rPr>
                <w:rFonts w:eastAsia="Times New Roman" w:cs="Calibri"/>
                <w:color w:val="000000"/>
                <w:sz w:val="20"/>
                <w:szCs w:val="20"/>
                <w:lang w:eastAsia="es-CR"/>
              </w:rPr>
              <w:t>0,00</w:t>
            </w:r>
          </w:p>
        </w:tc>
        <w:tc>
          <w:tcPr>
            <w:tcW w:w="1106" w:type="dxa"/>
            <w:tcBorders>
              <w:top w:val="nil"/>
              <w:left w:val="nil"/>
              <w:bottom w:val="nil"/>
              <w:right w:val="single" w:sz="8" w:space="0" w:color="auto"/>
            </w:tcBorders>
            <w:shd w:val="clear" w:color="000000" w:fill="FFFFFF"/>
            <w:noWrap/>
            <w:vAlign w:val="bottom"/>
            <w:hideMark/>
          </w:tcPr>
          <w:p w14:paraId="22F45C5F" w14:textId="77777777" w:rsidR="00B2692F" w:rsidRPr="00B2692F" w:rsidRDefault="00B2692F" w:rsidP="00B2692F">
            <w:pPr>
              <w:spacing w:after="0" w:line="240" w:lineRule="auto"/>
              <w:jc w:val="right"/>
              <w:rPr>
                <w:rFonts w:eastAsia="Times New Roman" w:cs="Calibri"/>
                <w:color w:val="000000"/>
                <w:sz w:val="20"/>
                <w:szCs w:val="20"/>
                <w:lang w:eastAsia="es-CR"/>
              </w:rPr>
            </w:pPr>
            <w:r w:rsidRPr="00B2692F">
              <w:rPr>
                <w:rFonts w:eastAsia="Times New Roman" w:cs="Calibri"/>
                <w:color w:val="000000"/>
                <w:sz w:val="20"/>
                <w:szCs w:val="20"/>
                <w:lang w:eastAsia="es-CR"/>
              </w:rPr>
              <w:t>0,00</w:t>
            </w:r>
          </w:p>
        </w:tc>
        <w:tc>
          <w:tcPr>
            <w:tcW w:w="883" w:type="dxa"/>
            <w:tcBorders>
              <w:top w:val="nil"/>
              <w:left w:val="nil"/>
              <w:bottom w:val="nil"/>
              <w:right w:val="single" w:sz="8" w:space="0" w:color="auto"/>
            </w:tcBorders>
            <w:shd w:val="clear" w:color="auto" w:fill="auto"/>
            <w:noWrap/>
            <w:vAlign w:val="bottom"/>
            <w:hideMark/>
          </w:tcPr>
          <w:p w14:paraId="13887C49" w14:textId="77777777" w:rsidR="00B2692F" w:rsidRPr="00B2692F" w:rsidRDefault="00B2692F" w:rsidP="00B2692F">
            <w:pPr>
              <w:spacing w:after="0" w:line="240" w:lineRule="auto"/>
              <w:jc w:val="right"/>
              <w:rPr>
                <w:rFonts w:eastAsia="Times New Roman" w:cs="Calibri"/>
                <w:color w:val="000000"/>
                <w:sz w:val="20"/>
                <w:szCs w:val="20"/>
                <w:lang w:eastAsia="es-CR"/>
              </w:rPr>
            </w:pPr>
            <w:r w:rsidRPr="00B2692F">
              <w:rPr>
                <w:rFonts w:eastAsia="Times New Roman" w:cs="Calibri"/>
                <w:color w:val="000000"/>
                <w:sz w:val="20"/>
                <w:szCs w:val="20"/>
                <w:lang w:eastAsia="es-CR"/>
              </w:rPr>
              <w:t>#¡DIV/0!</w:t>
            </w:r>
          </w:p>
        </w:tc>
      </w:tr>
      <w:tr w:rsidR="00B2692F" w:rsidRPr="00B2692F" w14:paraId="6D5E99E1" w14:textId="77777777" w:rsidTr="00AC4201">
        <w:trPr>
          <w:trHeight w:val="549"/>
        </w:trPr>
        <w:tc>
          <w:tcPr>
            <w:tcW w:w="1288" w:type="dxa"/>
            <w:tcBorders>
              <w:top w:val="nil"/>
              <w:left w:val="single" w:sz="8" w:space="0" w:color="auto"/>
              <w:bottom w:val="nil"/>
              <w:right w:val="single" w:sz="8" w:space="0" w:color="auto"/>
            </w:tcBorders>
            <w:shd w:val="clear" w:color="auto" w:fill="auto"/>
            <w:noWrap/>
            <w:vAlign w:val="center"/>
            <w:hideMark/>
          </w:tcPr>
          <w:p w14:paraId="131DD666" w14:textId="77777777" w:rsidR="00B2692F" w:rsidRPr="00B2692F" w:rsidRDefault="00B2692F" w:rsidP="00B2692F">
            <w:pPr>
              <w:spacing w:after="0" w:line="240" w:lineRule="auto"/>
              <w:jc w:val="left"/>
              <w:rPr>
                <w:rFonts w:eastAsia="Times New Roman" w:cs="Calibri"/>
                <w:color w:val="000000"/>
                <w:sz w:val="20"/>
                <w:szCs w:val="20"/>
                <w:lang w:eastAsia="es-CR"/>
              </w:rPr>
            </w:pPr>
            <w:r w:rsidRPr="00B2692F">
              <w:rPr>
                <w:rFonts w:eastAsia="Times New Roman" w:cs="Calibri"/>
                <w:color w:val="000000"/>
                <w:sz w:val="20"/>
                <w:szCs w:val="20"/>
                <w:lang w:eastAsia="es-CR"/>
              </w:rPr>
              <w:t>2.1.1.01.04.01.</w:t>
            </w:r>
          </w:p>
        </w:tc>
        <w:tc>
          <w:tcPr>
            <w:tcW w:w="3196" w:type="dxa"/>
            <w:tcBorders>
              <w:top w:val="nil"/>
              <w:left w:val="nil"/>
              <w:bottom w:val="nil"/>
              <w:right w:val="single" w:sz="8" w:space="0" w:color="auto"/>
            </w:tcBorders>
            <w:shd w:val="clear" w:color="auto" w:fill="auto"/>
            <w:vAlign w:val="bottom"/>
            <w:hideMark/>
          </w:tcPr>
          <w:p w14:paraId="7AB6B6EE" w14:textId="77777777" w:rsidR="00B2692F" w:rsidRPr="00B2692F" w:rsidRDefault="00B2692F" w:rsidP="00B2692F">
            <w:pPr>
              <w:spacing w:after="0" w:line="240" w:lineRule="auto"/>
              <w:jc w:val="left"/>
              <w:rPr>
                <w:rFonts w:eastAsia="Times New Roman" w:cs="Calibri"/>
                <w:color w:val="000000"/>
                <w:sz w:val="20"/>
                <w:szCs w:val="20"/>
                <w:lang w:eastAsia="es-CR"/>
              </w:rPr>
            </w:pPr>
            <w:r w:rsidRPr="00B2692F">
              <w:rPr>
                <w:rFonts w:eastAsia="Times New Roman" w:cs="Calibri"/>
                <w:color w:val="000000"/>
                <w:sz w:val="20"/>
                <w:szCs w:val="20"/>
                <w:lang w:eastAsia="es-CR"/>
              </w:rPr>
              <w:t>Deudas comerciales por alquileres y derechos sobre bienes c/p</w:t>
            </w:r>
          </w:p>
        </w:tc>
        <w:tc>
          <w:tcPr>
            <w:tcW w:w="1146" w:type="dxa"/>
            <w:tcBorders>
              <w:top w:val="nil"/>
              <w:left w:val="nil"/>
              <w:bottom w:val="nil"/>
              <w:right w:val="single" w:sz="8" w:space="0" w:color="auto"/>
            </w:tcBorders>
            <w:shd w:val="clear" w:color="auto" w:fill="auto"/>
            <w:noWrap/>
            <w:vAlign w:val="bottom"/>
            <w:hideMark/>
          </w:tcPr>
          <w:p w14:paraId="4E94CB49" w14:textId="77777777" w:rsidR="00B2692F" w:rsidRPr="00B2692F" w:rsidRDefault="00B2692F" w:rsidP="00B2692F">
            <w:pPr>
              <w:spacing w:after="0" w:line="240" w:lineRule="auto"/>
              <w:jc w:val="right"/>
              <w:rPr>
                <w:rFonts w:eastAsia="Times New Roman" w:cs="Calibri"/>
                <w:color w:val="000000"/>
                <w:sz w:val="20"/>
                <w:szCs w:val="20"/>
                <w:lang w:eastAsia="es-CR"/>
              </w:rPr>
            </w:pPr>
            <w:r w:rsidRPr="00B2692F">
              <w:rPr>
                <w:rFonts w:ascii="Arial" w:eastAsia="Times New Roman" w:hAnsi="Arial" w:cs="Arial"/>
                <w:color w:val="000000"/>
                <w:sz w:val="20"/>
                <w:szCs w:val="20"/>
                <w:lang w:eastAsia="es-CR"/>
              </w:rPr>
              <w:t>₡</w:t>
            </w:r>
            <w:r w:rsidRPr="00B2692F">
              <w:rPr>
                <w:rFonts w:eastAsia="Times New Roman" w:cs="Calibri"/>
                <w:color w:val="000000"/>
                <w:sz w:val="20"/>
                <w:szCs w:val="20"/>
                <w:lang w:eastAsia="es-CR"/>
              </w:rPr>
              <w:t>0,00</w:t>
            </w:r>
          </w:p>
        </w:tc>
        <w:tc>
          <w:tcPr>
            <w:tcW w:w="1286" w:type="dxa"/>
            <w:tcBorders>
              <w:top w:val="nil"/>
              <w:left w:val="nil"/>
              <w:bottom w:val="nil"/>
              <w:right w:val="single" w:sz="8" w:space="0" w:color="auto"/>
            </w:tcBorders>
            <w:shd w:val="clear" w:color="auto" w:fill="auto"/>
            <w:noWrap/>
            <w:vAlign w:val="bottom"/>
            <w:hideMark/>
          </w:tcPr>
          <w:p w14:paraId="3D478F0E" w14:textId="77777777" w:rsidR="00B2692F" w:rsidRPr="00B2692F" w:rsidRDefault="00B2692F" w:rsidP="00B2692F">
            <w:pPr>
              <w:spacing w:after="0" w:line="240" w:lineRule="auto"/>
              <w:jc w:val="right"/>
              <w:rPr>
                <w:rFonts w:eastAsia="Times New Roman" w:cs="Calibri"/>
                <w:color w:val="000000"/>
                <w:sz w:val="20"/>
                <w:szCs w:val="20"/>
                <w:lang w:eastAsia="es-CR"/>
              </w:rPr>
            </w:pPr>
            <w:r w:rsidRPr="00B2692F">
              <w:rPr>
                <w:rFonts w:ascii="Arial" w:eastAsia="Times New Roman" w:hAnsi="Arial" w:cs="Arial"/>
                <w:color w:val="000000"/>
                <w:sz w:val="20"/>
                <w:szCs w:val="20"/>
                <w:lang w:eastAsia="es-CR"/>
              </w:rPr>
              <w:t>₡</w:t>
            </w:r>
            <w:r w:rsidRPr="00B2692F">
              <w:rPr>
                <w:rFonts w:eastAsia="Times New Roman" w:cs="Calibri"/>
                <w:color w:val="000000"/>
                <w:sz w:val="20"/>
                <w:szCs w:val="20"/>
                <w:lang w:eastAsia="es-CR"/>
              </w:rPr>
              <w:t>0,00</w:t>
            </w:r>
          </w:p>
        </w:tc>
        <w:tc>
          <w:tcPr>
            <w:tcW w:w="1106" w:type="dxa"/>
            <w:tcBorders>
              <w:top w:val="nil"/>
              <w:left w:val="nil"/>
              <w:bottom w:val="nil"/>
              <w:right w:val="single" w:sz="8" w:space="0" w:color="auto"/>
            </w:tcBorders>
            <w:shd w:val="clear" w:color="000000" w:fill="FFFFFF"/>
            <w:noWrap/>
            <w:vAlign w:val="bottom"/>
            <w:hideMark/>
          </w:tcPr>
          <w:p w14:paraId="7D47D643" w14:textId="77777777" w:rsidR="00B2692F" w:rsidRPr="00B2692F" w:rsidRDefault="00B2692F" w:rsidP="00B2692F">
            <w:pPr>
              <w:spacing w:after="0" w:line="240" w:lineRule="auto"/>
              <w:jc w:val="right"/>
              <w:rPr>
                <w:rFonts w:eastAsia="Times New Roman" w:cs="Calibri"/>
                <w:color w:val="000000"/>
                <w:sz w:val="20"/>
                <w:szCs w:val="20"/>
                <w:lang w:eastAsia="es-CR"/>
              </w:rPr>
            </w:pPr>
            <w:r w:rsidRPr="00B2692F">
              <w:rPr>
                <w:rFonts w:eastAsia="Times New Roman" w:cs="Calibri"/>
                <w:color w:val="000000"/>
                <w:sz w:val="20"/>
                <w:szCs w:val="20"/>
                <w:lang w:eastAsia="es-CR"/>
              </w:rPr>
              <w:t>0,00</w:t>
            </w:r>
          </w:p>
        </w:tc>
        <w:tc>
          <w:tcPr>
            <w:tcW w:w="883" w:type="dxa"/>
            <w:tcBorders>
              <w:top w:val="nil"/>
              <w:left w:val="nil"/>
              <w:bottom w:val="nil"/>
              <w:right w:val="single" w:sz="8" w:space="0" w:color="auto"/>
            </w:tcBorders>
            <w:shd w:val="clear" w:color="auto" w:fill="auto"/>
            <w:noWrap/>
            <w:vAlign w:val="bottom"/>
            <w:hideMark/>
          </w:tcPr>
          <w:p w14:paraId="47F3C1CC" w14:textId="77777777" w:rsidR="00B2692F" w:rsidRPr="00B2692F" w:rsidRDefault="00B2692F" w:rsidP="00B2692F">
            <w:pPr>
              <w:spacing w:after="0" w:line="240" w:lineRule="auto"/>
              <w:jc w:val="right"/>
              <w:rPr>
                <w:rFonts w:eastAsia="Times New Roman" w:cs="Calibri"/>
                <w:color w:val="000000"/>
                <w:sz w:val="20"/>
                <w:szCs w:val="20"/>
                <w:lang w:eastAsia="es-CR"/>
              </w:rPr>
            </w:pPr>
            <w:r w:rsidRPr="00B2692F">
              <w:rPr>
                <w:rFonts w:eastAsia="Times New Roman" w:cs="Calibri"/>
                <w:color w:val="000000"/>
                <w:sz w:val="20"/>
                <w:szCs w:val="20"/>
                <w:lang w:eastAsia="es-CR"/>
              </w:rPr>
              <w:t>#¡DIV/0!</w:t>
            </w:r>
          </w:p>
        </w:tc>
      </w:tr>
      <w:tr w:rsidR="00B2692F" w:rsidRPr="00B2692F" w14:paraId="2ABD8742" w14:textId="77777777" w:rsidTr="00AC4201">
        <w:trPr>
          <w:trHeight w:val="549"/>
        </w:trPr>
        <w:tc>
          <w:tcPr>
            <w:tcW w:w="1288" w:type="dxa"/>
            <w:tcBorders>
              <w:top w:val="nil"/>
              <w:left w:val="single" w:sz="8" w:space="0" w:color="auto"/>
              <w:bottom w:val="nil"/>
              <w:right w:val="single" w:sz="8" w:space="0" w:color="auto"/>
            </w:tcBorders>
            <w:shd w:val="clear" w:color="auto" w:fill="auto"/>
            <w:noWrap/>
            <w:vAlign w:val="center"/>
            <w:hideMark/>
          </w:tcPr>
          <w:p w14:paraId="614246B8" w14:textId="77777777" w:rsidR="00B2692F" w:rsidRPr="00B2692F" w:rsidRDefault="00B2692F" w:rsidP="00B2692F">
            <w:pPr>
              <w:spacing w:after="0" w:line="240" w:lineRule="auto"/>
              <w:jc w:val="left"/>
              <w:rPr>
                <w:rFonts w:eastAsia="Times New Roman" w:cs="Calibri"/>
                <w:color w:val="000000"/>
                <w:sz w:val="20"/>
                <w:szCs w:val="20"/>
                <w:lang w:eastAsia="es-CR"/>
              </w:rPr>
            </w:pPr>
            <w:r w:rsidRPr="00B2692F">
              <w:rPr>
                <w:rFonts w:eastAsia="Times New Roman" w:cs="Calibri"/>
                <w:color w:val="000000"/>
                <w:sz w:val="20"/>
                <w:szCs w:val="20"/>
                <w:lang w:eastAsia="es-CR"/>
              </w:rPr>
              <w:t>2.1.1.01.04.02.</w:t>
            </w:r>
          </w:p>
        </w:tc>
        <w:tc>
          <w:tcPr>
            <w:tcW w:w="3196" w:type="dxa"/>
            <w:tcBorders>
              <w:top w:val="nil"/>
              <w:left w:val="nil"/>
              <w:bottom w:val="nil"/>
              <w:right w:val="single" w:sz="8" w:space="0" w:color="auto"/>
            </w:tcBorders>
            <w:shd w:val="clear" w:color="auto" w:fill="auto"/>
            <w:vAlign w:val="bottom"/>
            <w:hideMark/>
          </w:tcPr>
          <w:p w14:paraId="469FF5F5" w14:textId="77777777" w:rsidR="00B2692F" w:rsidRPr="00B2692F" w:rsidRDefault="00B2692F" w:rsidP="00B2692F">
            <w:pPr>
              <w:spacing w:after="0" w:line="240" w:lineRule="auto"/>
              <w:jc w:val="left"/>
              <w:rPr>
                <w:rFonts w:eastAsia="Times New Roman" w:cs="Calibri"/>
                <w:color w:val="000000"/>
                <w:sz w:val="20"/>
                <w:szCs w:val="20"/>
                <w:lang w:eastAsia="es-CR"/>
              </w:rPr>
            </w:pPr>
            <w:r w:rsidRPr="00B2692F">
              <w:rPr>
                <w:rFonts w:eastAsia="Times New Roman" w:cs="Calibri"/>
                <w:color w:val="000000"/>
                <w:sz w:val="20"/>
                <w:szCs w:val="20"/>
                <w:lang w:eastAsia="es-CR"/>
              </w:rPr>
              <w:t>Deudas comerciales por servicios básicos c/p</w:t>
            </w:r>
          </w:p>
        </w:tc>
        <w:tc>
          <w:tcPr>
            <w:tcW w:w="1146" w:type="dxa"/>
            <w:tcBorders>
              <w:top w:val="nil"/>
              <w:left w:val="nil"/>
              <w:bottom w:val="nil"/>
              <w:right w:val="single" w:sz="8" w:space="0" w:color="auto"/>
            </w:tcBorders>
            <w:shd w:val="clear" w:color="auto" w:fill="auto"/>
            <w:noWrap/>
            <w:vAlign w:val="bottom"/>
            <w:hideMark/>
          </w:tcPr>
          <w:p w14:paraId="01AB8E2D" w14:textId="77777777" w:rsidR="00B2692F" w:rsidRPr="00B2692F" w:rsidRDefault="00B2692F" w:rsidP="00B2692F">
            <w:pPr>
              <w:spacing w:after="0" w:line="240" w:lineRule="auto"/>
              <w:jc w:val="right"/>
              <w:rPr>
                <w:rFonts w:eastAsia="Times New Roman" w:cs="Calibri"/>
                <w:color w:val="000000"/>
                <w:sz w:val="20"/>
                <w:szCs w:val="20"/>
                <w:lang w:eastAsia="es-CR"/>
              </w:rPr>
            </w:pPr>
            <w:r w:rsidRPr="00B2692F">
              <w:rPr>
                <w:rFonts w:ascii="Arial" w:eastAsia="Times New Roman" w:hAnsi="Arial" w:cs="Arial"/>
                <w:color w:val="000000"/>
                <w:sz w:val="20"/>
                <w:szCs w:val="20"/>
                <w:lang w:eastAsia="es-CR"/>
              </w:rPr>
              <w:t>₡</w:t>
            </w:r>
            <w:r w:rsidRPr="00B2692F">
              <w:rPr>
                <w:rFonts w:eastAsia="Times New Roman" w:cs="Calibri"/>
                <w:color w:val="000000"/>
                <w:sz w:val="20"/>
                <w:szCs w:val="20"/>
                <w:lang w:eastAsia="es-CR"/>
              </w:rPr>
              <w:t>0,00</w:t>
            </w:r>
          </w:p>
        </w:tc>
        <w:tc>
          <w:tcPr>
            <w:tcW w:w="1286" w:type="dxa"/>
            <w:tcBorders>
              <w:top w:val="nil"/>
              <w:left w:val="nil"/>
              <w:bottom w:val="nil"/>
              <w:right w:val="single" w:sz="8" w:space="0" w:color="auto"/>
            </w:tcBorders>
            <w:shd w:val="clear" w:color="auto" w:fill="auto"/>
            <w:noWrap/>
            <w:vAlign w:val="bottom"/>
            <w:hideMark/>
          </w:tcPr>
          <w:p w14:paraId="2D7A037B" w14:textId="77777777" w:rsidR="00B2692F" w:rsidRPr="00B2692F" w:rsidRDefault="00B2692F" w:rsidP="00B2692F">
            <w:pPr>
              <w:spacing w:after="0" w:line="240" w:lineRule="auto"/>
              <w:jc w:val="right"/>
              <w:rPr>
                <w:rFonts w:eastAsia="Times New Roman" w:cs="Calibri"/>
                <w:color w:val="000000"/>
                <w:sz w:val="20"/>
                <w:szCs w:val="20"/>
                <w:lang w:eastAsia="es-CR"/>
              </w:rPr>
            </w:pPr>
            <w:r w:rsidRPr="00B2692F">
              <w:rPr>
                <w:rFonts w:ascii="Arial" w:eastAsia="Times New Roman" w:hAnsi="Arial" w:cs="Arial"/>
                <w:color w:val="000000"/>
                <w:sz w:val="20"/>
                <w:szCs w:val="20"/>
                <w:lang w:eastAsia="es-CR"/>
              </w:rPr>
              <w:t>₡</w:t>
            </w:r>
            <w:r w:rsidRPr="00B2692F">
              <w:rPr>
                <w:rFonts w:eastAsia="Times New Roman" w:cs="Calibri"/>
                <w:color w:val="000000"/>
                <w:sz w:val="20"/>
                <w:szCs w:val="20"/>
                <w:lang w:eastAsia="es-CR"/>
              </w:rPr>
              <w:t>0,00</w:t>
            </w:r>
          </w:p>
        </w:tc>
        <w:tc>
          <w:tcPr>
            <w:tcW w:w="1106" w:type="dxa"/>
            <w:tcBorders>
              <w:top w:val="nil"/>
              <w:left w:val="nil"/>
              <w:bottom w:val="nil"/>
              <w:right w:val="single" w:sz="8" w:space="0" w:color="auto"/>
            </w:tcBorders>
            <w:shd w:val="clear" w:color="000000" w:fill="FFFFFF"/>
            <w:noWrap/>
            <w:vAlign w:val="bottom"/>
            <w:hideMark/>
          </w:tcPr>
          <w:p w14:paraId="3CE442D4" w14:textId="77777777" w:rsidR="00B2692F" w:rsidRPr="00B2692F" w:rsidRDefault="00B2692F" w:rsidP="00B2692F">
            <w:pPr>
              <w:spacing w:after="0" w:line="240" w:lineRule="auto"/>
              <w:jc w:val="right"/>
              <w:rPr>
                <w:rFonts w:eastAsia="Times New Roman" w:cs="Calibri"/>
                <w:color w:val="000000"/>
                <w:sz w:val="20"/>
                <w:szCs w:val="20"/>
                <w:lang w:eastAsia="es-CR"/>
              </w:rPr>
            </w:pPr>
            <w:r w:rsidRPr="00B2692F">
              <w:rPr>
                <w:rFonts w:eastAsia="Times New Roman" w:cs="Calibri"/>
                <w:color w:val="000000"/>
                <w:sz w:val="20"/>
                <w:szCs w:val="20"/>
                <w:lang w:eastAsia="es-CR"/>
              </w:rPr>
              <w:t>0,00</w:t>
            </w:r>
          </w:p>
        </w:tc>
        <w:tc>
          <w:tcPr>
            <w:tcW w:w="883" w:type="dxa"/>
            <w:tcBorders>
              <w:top w:val="nil"/>
              <w:left w:val="nil"/>
              <w:bottom w:val="nil"/>
              <w:right w:val="single" w:sz="8" w:space="0" w:color="auto"/>
            </w:tcBorders>
            <w:shd w:val="clear" w:color="auto" w:fill="auto"/>
            <w:noWrap/>
            <w:vAlign w:val="bottom"/>
            <w:hideMark/>
          </w:tcPr>
          <w:p w14:paraId="1BE491E4" w14:textId="77777777" w:rsidR="00B2692F" w:rsidRPr="00B2692F" w:rsidRDefault="00B2692F" w:rsidP="00B2692F">
            <w:pPr>
              <w:spacing w:after="0" w:line="240" w:lineRule="auto"/>
              <w:jc w:val="right"/>
              <w:rPr>
                <w:rFonts w:eastAsia="Times New Roman" w:cs="Calibri"/>
                <w:color w:val="000000"/>
                <w:sz w:val="20"/>
                <w:szCs w:val="20"/>
                <w:lang w:eastAsia="es-CR"/>
              </w:rPr>
            </w:pPr>
            <w:r w:rsidRPr="00B2692F">
              <w:rPr>
                <w:rFonts w:eastAsia="Times New Roman" w:cs="Calibri"/>
                <w:color w:val="000000"/>
                <w:sz w:val="20"/>
                <w:szCs w:val="20"/>
                <w:lang w:eastAsia="es-CR"/>
              </w:rPr>
              <w:t>#¡DIV/0!</w:t>
            </w:r>
          </w:p>
        </w:tc>
      </w:tr>
      <w:tr w:rsidR="00B2692F" w:rsidRPr="00B2692F" w14:paraId="292B32F5" w14:textId="77777777" w:rsidTr="00AC4201">
        <w:trPr>
          <w:trHeight w:val="549"/>
        </w:trPr>
        <w:tc>
          <w:tcPr>
            <w:tcW w:w="1288" w:type="dxa"/>
            <w:tcBorders>
              <w:top w:val="nil"/>
              <w:left w:val="single" w:sz="8" w:space="0" w:color="auto"/>
              <w:bottom w:val="nil"/>
              <w:right w:val="single" w:sz="8" w:space="0" w:color="auto"/>
            </w:tcBorders>
            <w:shd w:val="clear" w:color="auto" w:fill="auto"/>
            <w:noWrap/>
            <w:vAlign w:val="center"/>
            <w:hideMark/>
          </w:tcPr>
          <w:p w14:paraId="43FAC7FE" w14:textId="77777777" w:rsidR="00B2692F" w:rsidRPr="00B2692F" w:rsidRDefault="00B2692F" w:rsidP="00B2692F">
            <w:pPr>
              <w:spacing w:after="0" w:line="240" w:lineRule="auto"/>
              <w:jc w:val="left"/>
              <w:rPr>
                <w:rFonts w:eastAsia="Times New Roman" w:cs="Calibri"/>
                <w:color w:val="000000"/>
                <w:sz w:val="20"/>
                <w:szCs w:val="20"/>
                <w:lang w:eastAsia="es-CR"/>
              </w:rPr>
            </w:pPr>
            <w:r w:rsidRPr="00B2692F">
              <w:rPr>
                <w:rFonts w:eastAsia="Times New Roman" w:cs="Calibri"/>
                <w:color w:val="000000"/>
                <w:sz w:val="20"/>
                <w:szCs w:val="20"/>
                <w:lang w:eastAsia="es-CR"/>
              </w:rPr>
              <w:t>2.1.1.01.04.03.</w:t>
            </w:r>
          </w:p>
        </w:tc>
        <w:tc>
          <w:tcPr>
            <w:tcW w:w="3196" w:type="dxa"/>
            <w:tcBorders>
              <w:top w:val="nil"/>
              <w:left w:val="nil"/>
              <w:bottom w:val="nil"/>
              <w:right w:val="single" w:sz="8" w:space="0" w:color="auto"/>
            </w:tcBorders>
            <w:shd w:val="clear" w:color="auto" w:fill="auto"/>
            <w:vAlign w:val="bottom"/>
            <w:hideMark/>
          </w:tcPr>
          <w:p w14:paraId="06D72D06" w14:textId="77777777" w:rsidR="00B2692F" w:rsidRPr="00B2692F" w:rsidRDefault="00B2692F" w:rsidP="00B2692F">
            <w:pPr>
              <w:spacing w:after="0" w:line="240" w:lineRule="auto"/>
              <w:jc w:val="left"/>
              <w:rPr>
                <w:rFonts w:eastAsia="Times New Roman" w:cs="Calibri"/>
                <w:color w:val="000000"/>
                <w:sz w:val="20"/>
                <w:szCs w:val="20"/>
                <w:lang w:eastAsia="es-CR"/>
              </w:rPr>
            </w:pPr>
            <w:r w:rsidRPr="00B2692F">
              <w:rPr>
                <w:rFonts w:eastAsia="Times New Roman" w:cs="Calibri"/>
                <w:color w:val="000000"/>
                <w:sz w:val="20"/>
                <w:szCs w:val="20"/>
                <w:lang w:eastAsia="es-CR"/>
              </w:rPr>
              <w:t>Deudas comerciales por servicios comerciales y financieros c/p</w:t>
            </w:r>
          </w:p>
        </w:tc>
        <w:tc>
          <w:tcPr>
            <w:tcW w:w="1146" w:type="dxa"/>
            <w:tcBorders>
              <w:top w:val="nil"/>
              <w:left w:val="nil"/>
              <w:bottom w:val="nil"/>
              <w:right w:val="single" w:sz="8" w:space="0" w:color="auto"/>
            </w:tcBorders>
            <w:shd w:val="clear" w:color="auto" w:fill="auto"/>
            <w:noWrap/>
            <w:vAlign w:val="bottom"/>
            <w:hideMark/>
          </w:tcPr>
          <w:p w14:paraId="07E6F92E" w14:textId="77777777" w:rsidR="00B2692F" w:rsidRPr="00B2692F" w:rsidRDefault="00B2692F" w:rsidP="00B2692F">
            <w:pPr>
              <w:spacing w:after="0" w:line="240" w:lineRule="auto"/>
              <w:jc w:val="right"/>
              <w:rPr>
                <w:rFonts w:eastAsia="Times New Roman" w:cs="Calibri"/>
                <w:color w:val="000000"/>
                <w:sz w:val="20"/>
                <w:szCs w:val="20"/>
                <w:lang w:eastAsia="es-CR"/>
              </w:rPr>
            </w:pPr>
            <w:r w:rsidRPr="00B2692F">
              <w:rPr>
                <w:rFonts w:ascii="Arial" w:eastAsia="Times New Roman" w:hAnsi="Arial" w:cs="Arial"/>
                <w:color w:val="000000"/>
                <w:sz w:val="20"/>
                <w:szCs w:val="20"/>
                <w:lang w:eastAsia="es-CR"/>
              </w:rPr>
              <w:t>₡</w:t>
            </w:r>
            <w:r w:rsidRPr="00B2692F">
              <w:rPr>
                <w:rFonts w:eastAsia="Times New Roman" w:cs="Calibri"/>
                <w:color w:val="000000"/>
                <w:sz w:val="20"/>
                <w:szCs w:val="20"/>
                <w:lang w:eastAsia="es-CR"/>
              </w:rPr>
              <w:t>0,00</w:t>
            </w:r>
          </w:p>
        </w:tc>
        <w:tc>
          <w:tcPr>
            <w:tcW w:w="1286" w:type="dxa"/>
            <w:tcBorders>
              <w:top w:val="nil"/>
              <w:left w:val="nil"/>
              <w:bottom w:val="nil"/>
              <w:right w:val="single" w:sz="8" w:space="0" w:color="auto"/>
            </w:tcBorders>
            <w:shd w:val="clear" w:color="auto" w:fill="auto"/>
            <w:noWrap/>
            <w:vAlign w:val="bottom"/>
            <w:hideMark/>
          </w:tcPr>
          <w:p w14:paraId="42F1FD74" w14:textId="77777777" w:rsidR="00B2692F" w:rsidRPr="00B2692F" w:rsidRDefault="00B2692F" w:rsidP="00B2692F">
            <w:pPr>
              <w:spacing w:after="0" w:line="240" w:lineRule="auto"/>
              <w:jc w:val="right"/>
              <w:rPr>
                <w:rFonts w:eastAsia="Times New Roman" w:cs="Calibri"/>
                <w:color w:val="000000"/>
                <w:sz w:val="20"/>
                <w:szCs w:val="20"/>
                <w:lang w:eastAsia="es-CR"/>
              </w:rPr>
            </w:pPr>
            <w:r w:rsidRPr="00B2692F">
              <w:rPr>
                <w:rFonts w:ascii="Arial" w:eastAsia="Times New Roman" w:hAnsi="Arial" w:cs="Arial"/>
                <w:color w:val="000000"/>
                <w:sz w:val="20"/>
                <w:szCs w:val="20"/>
                <w:lang w:eastAsia="es-CR"/>
              </w:rPr>
              <w:t>₡</w:t>
            </w:r>
            <w:r w:rsidRPr="00B2692F">
              <w:rPr>
                <w:rFonts w:eastAsia="Times New Roman" w:cs="Calibri"/>
                <w:color w:val="000000"/>
                <w:sz w:val="20"/>
                <w:szCs w:val="20"/>
                <w:lang w:eastAsia="es-CR"/>
              </w:rPr>
              <w:t>0,00</w:t>
            </w:r>
          </w:p>
        </w:tc>
        <w:tc>
          <w:tcPr>
            <w:tcW w:w="1106" w:type="dxa"/>
            <w:tcBorders>
              <w:top w:val="nil"/>
              <w:left w:val="nil"/>
              <w:bottom w:val="nil"/>
              <w:right w:val="single" w:sz="8" w:space="0" w:color="auto"/>
            </w:tcBorders>
            <w:shd w:val="clear" w:color="000000" w:fill="FFFFFF"/>
            <w:noWrap/>
            <w:vAlign w:val="bottom"/>
            <w:hideMark/>
          </w:tcPr>
          <w:p w14:paraId="58951744" w14:textId="77777777" w:rsidR="00B2692F" w:rsidRPr="00B2692F" w:rsidRDefault="00B2692F" w:rsidP="00B2692F">
            <w:pPr>
              <w:spacing w:after="0" w:line="240" w:lineRule="auto"/>
              <w:jc w:val="right"/>
              <w:rPr>
                <w:rFonts w:eastAsia="Times New Roman" w:cs="Calibri"/>
                <w:color w:val="000000"/>
                <w:sz w:val="20"/>
                <w:szCs w:val="20"/>
                <w:lang w:eastAsia="es-CR"/>
              </w:rPr>
            </w:pPr>
            <w:r w:rsidRPr="00B2692F">
              <w:rPr>
                <w:rFonts w:eastAsia="Times New Roman" w:cs="Calibri"/>
                <w:color w:val="000000"/>
                <w:sz w:val="20"/>
                <w:szCs w:val="20"/>
                <w:lang w:eastAsia="es-CR"/>
              </w:rPr>
              <w:t>0,00</w:t>
            </w:r>
          </w:p>
        </w:tc>
        <w:tc>
          <w:tcPr>
            <w:tcW w:w="883" w:type="dxa"/>
            <w:tcBorders>
              <w:top w:val="nil"/>
              <w:left w:val="nil"/>
              <w:bottom w:val="nil"/>
              <w:right w:val="single" w:sz="8" w:space="0" w:color="auto"/>
            </w:tcBorders>
            <w:shd w:val="clear" w:color="auto" w:fill="auto"/>
            <w:noWrap/>
            <w:vAlign w:val="bottom"/>
            <w:hideMark/>
          </w:tcPr>
          <w:p w14:paraId="6AAA7A85" w14:textId="77777777" w:rsidR="00B2692F" w:rsidRPr="00B2692F" w:rsidRDefault="00B2692F" w:rsidP="00B2692F">
            <w:pPr>
              <w:spacing w:after="0" w:line="240" w:lineRule="auto"/>
              <w:jc w:val="right"/>
              <w:rPr>
                <w:rFonts w:eastAsia="Times New Roman" w:cs="Calibri"/>
                <w:color w:val="000000"/>
                <w:sz w:val="20"/>
                <w:szCs w:val="20"/>
                <w:lang w:eastAsia="es-CR"/>
              </w:rPr>
            </w:pPr>
            <w:r w:rsidRPr="00B2692F">
              <w:rPr>
                <w:rFonts w:eastAsia="Times New Roman" w:cs="Calibri"/>
                <w:color w:val="000000"/>
                <w:sz w:val="20"/>
                <w:szCs w:val="20"/>
                <w:lang w:eastAsia="es-CR"/>
              </w:rPr>
              <w:t>#¡DIV/0!</w:t>
            </w:r>
          </w:p>
        </w:tc>
      </w:tr>
      <w:tr w:rsidR="00B2692F" w:rsidRPr="00B2692F" w14:paraId="1442B889" w14:textId="77777777" w:rsidTr="00AC4201">
        <w:trPr>
          <w:trHeight w:val="549"/>
        </w:trPr>
        <w:tc>
          <w:tcPr>
            <w:tcW w:w="1288" w:type="dxa"/>
            <w:tcBorders>
              <w:top w:val="nil"/>
              <w:left w:val="single" w:sz="8" w:space="0" w:color="auto"/>
              <w:bottom w:val="nil"/>
              <w:right w:val="single" w:sz="8" w:space="0" w:color="auto"/>
            </w:tcBorders>
            <w:shd w:val="clear" w:color="auto" w:fill="auto"/>
            <w:noWrap/>
            <w:vAlign w:val="center"/>
            <w:hideMark/>
          </w:tcPr>
          <w:p w14:paraId="794EB765" w14:textId="77777777" w:rsidR="00B2692F" w:rsidRPr="00B2692F" w:rsidRDefault="00B2692F" w:rsidP="00B2692F">
            <w:pPr>
              <w:spacing w:after="0" w:line="240" w:lineRule="auto"/>
              <w:jc w:val="left"/>
              <w:rPr>
                <w:rFonts w:eastAsia="Times New Roman" w:cs="Calibri"/>
                <w:color w:val="000000"/>
                <w:sz w:val="20"/>
                <w:szCs w:val="20"/>
                <w:lang w:eastAsia="es-CR"/>
              </w:rPr>
            </w:pPr>
            <w:r w:rsidRPr="00B2692F">
              <w:rPr>
                <w:rFonts w:eastAsia="Times New Roman" w:cs="Calibri"/>
                <w:color w:val="000000"/>
                <w:sz w:val="20"/>
                <w:szCs w:val="20"/>
                <w:lang w:eastAsia="es-CR"/>
              </w:rPr>
              <w:t>2.1.1.01.04.04.</w:t>
            </w:r>
          </w:p>
        </w:tc>
        <w:tc>
          <w:tcPr>
            <w:tcW w:w="3196" w:type="dxa"/>
            <w:tcBorders>
              <w:top w:val="nil"/>
              <w:left w:val="nil"/>
              <w:bottom w:val="nil"/>
              <w:right w:val="single" w:sz="8" w:space="0" w:color="auto"/>
            </w:tcBorders>
            <w:shd w:val="clear" w:color="auto" w:fill="auto"/>
            <w:vAlign w:val="bottom"/>
            <w:hideMark/>
          </w:tcPr>
          <w:p w14:paraId="5BDE8817" w14:textId="77777777" w:rsidR="00B2692F" w:rsidRPr="00B2692F" w:rsidRDefault="00B2692F" w:rsidP="00B2692F">
            <w:pPr>
              <w:spacing w:after="0" w:line="240" w:lineRule="auto"/>
              <w:jc w:val="left"/>
              <w:rPr>
                <w:rFonts w:eastAsia="Times New Roman" w:cs="Calibri"/>
                <w:color w:val="000000"/>
                <w:sz w:val="20"/>
                <w:szCs w:val="20"/>
                <w:lang w:eastAsia="es-CR"/>
              </w:rPr>
            </w:pPr>
            <w:r w:rsidRPr="00B2692F">
              <w:rPr>
                <w:rFonts w:eastAsia="Times New Roman" w:cs="Calibri"/>
                <w:color w:val="000000"/>
                <w:sz w:val="20"/>
                <w:szCs w:val="20"/>
                <w:lang w:eastAsia="es-CR"/>
              </w:rPr>
              <w:t>Deudas comerciales por servicios de gestión y apoyo c/p</w:t>
            </w:r>
          </w:p>
        </w:tc>
        <w:tc>
          <w:tcPr>
            <w:tcW w:w="1146" w:type="dxa"/>
            <w:tcBorders>
              <w:top w:val="nil"/>
              <w:left w:val="nil"/>
              <w:bottom w:val="nil"/>
              <w:right w:val="single" w:sz="8" w:space="0" w:color="auto"/>
            </w:tcBorders>
            <w:shd w:val="clear" w:color="auto" w:fill="auto"/>
            <w:noWrap/>
            <w:vAlign w:val="bottom"/>
            <w:hideMark/>
          </w:tcPr>
          <w:p w14:paraId="0317B180" w14:textId="77777777" w:rsidR="00B2692F" w:rsidRPr="00B2692F" w:rsidRDefault="00B2692F" w:rsidP="00B2692F">
            <w:pPr>
              <w:spacing w:after="0" w:line="240" w:lineRule="auto"/>
              <w:jc w:val="right"/>
              <w:rPr>
                <w:rFonts w:eastAsia="Times New Roman" w:cs="Calibri"/>
                <w:color w:val="000000"/>
                <w:sz w:val="20"/>
                <w:szCs w:val="20"/>
                <w:lang w:eastAsia="es-CR"/>
              </w:rPr>
            </w:pPr>
            <w:r w:rsidRPr="00B2692F">
              <w:rPr>
                <w:rFonts w:ascii="Arial" w:eastAsia="Times New Roman" w:hAnsi="Arial" w:cs="Arial"/>
                <w:color w:val="000000"/>
                <w:sz w:val="20"/>
                <w:szCs w:val="20"/>
                <w:lang w:eastAsia="es-CR"/>
              </w:rPr>
              <w:t>₡</w:t>
            </w:r>
            <w:r w:rsidRPr="00B2692F">
              <w:rPr>
                <w:rFonts w:eastAsia="Times New Roman" w:cs="Calibri"/>
                <w:color w:val="000000"/>
                <w:sz w:val="20"/>
                <w:szCs w:val="20"/>
                <w:lang w:eastAsia="es-CR"/>
              </w:rPr>
              <w:t>0,00</w:t>
            </w:r>
          </w:p>
        </w:tc>
        <w:tc>
          <w:tcPr>
            <w:tcW w:w="1286" w:type="dxa"/>
            <w:tcBorders>
              <w:top w:val="nil"/>
              <w:left w:val="nil"/>
              <w:bottom w:val="nil"/>
              <w:right w:val="single" w:sz="8" w:space="0" w:color="auto"/>
            </w:tcBorders>
            <w:shd w:val="clear" w:color="auto" w:fill="auto"/>
            <w:noWrap/>
            <w:vAlign w:val="bottom"/>
            <w:hideMark/>
          </w:tcPr>
          <w:p w14:paraId="3F01387E" w14:textId="77777777" w:rsidR="00B2692F" w:rsidRPr="00B2692F" w:rsidRDefault="00B2692F" w:rsidP="00B2692F">
            <w:pPr>
              <w:spacing w:after="0" w:line="240" w:lineRule="auto"/>
              <w:jc w:val="right"/>
              <w:rPr>
                <w:rFonts w:eastAsia="Times New Roman" w:cs="Calibri"/>
                <w:color w:val="000000"/>
                <w:sz w:val="20"/>
                <w:szCs w:val="20"/>
                <w:lang w:eastAsia="es-CR"/>
              </w:rPr>
            </w:pPr>
            <w:r w:rsidRPr="00B2692F">
              <w:rPr>
                <w:rFonts w:ascii="Arial" w:eastAsia="Times New Roman" w:hAnsi="Arial" w:cs="Arial"/>
                <w:color w:val="000000"/>
                <w:sz w:val="20"/>
                <w:szCs w:val="20"/>
                <w:lang w:eastAsia="es-CR"/>
              </w:rPr>
              <w:t>₡</w:t>
            </w:r>
            <w:r w:rsidRPr="00B2692F">
              <w:rPr>
                <w:rFonts w:eastAsia="Times New Roman" w:cs="Calibri"/>
                <w:color w:val="000000"/>
                <w:sz w:val="20"/>
                <w:szCs w:val="20"/>
                <w:lang w:eastAsia="es-CR"/>
              </w:rPr>
              <w:t>0,00</w:t>
            </w:r>
          </w:p>
        </w:tc>
        <w:tc>
          <w:tcPr>
            <w:tcW w:w="1106" w:type="dxa"/>
            <w:tcBorders>
              <w:top w:val="nil"/>
              <w:left w:val="nil"/>
              <w:bottom w:val="nil"/>
              <w:right w:val="single" w:sz="8" w:space="0" w:color="auto"/>
            </w:tcBorders>
            <w:shd w:val="clear" w:color="000000" w:fill="FFFFFF"/>
            <w:noWrap/>
            <w:vAlign w:val="bottom"/>
            <w:hideMark/>
          </w:tcPr>
          <w:p w14:paraId="2CE10E12" w14:textId="77777777" w:rsidR="00B2692F" w:rsidRPr="00B2692F" w:rsidRDefault="00B2692F" w:rsidP="00B2692F">
            <w:pPr>
              <w:spacing w:after="0" w:line="240" w:lineRule="auto"/>
              <w:jc w:val="right"/>
              <w:rPr>
                <w:rFonts w:eastAsia="Times New Roman" w:cs="Calibri"/>
                <w:color w:val="000000"/>
                <w:sz w:val="20"/>
                <w:szCs w:val="20"/>
                <w:lang w:eastAsia="es-CR"/>
              </w:rPr>
            </w:pPr>
            <w:r w:rsidRPr="00B2692F">
              <w:rPr>
                <w:rFonts w:eastAsia="Times New Roman" w:cs="Calibri"/>
                <w:color w:val="000000"/>
                <w:sz w:val="20"/>
                <w:szCs w:val="20"/>
                <w:lang w:eastAsia="es-CR"/>
              </w:rPr>
              <w:t>0,00</w:t>
            </w:r>
          </w:p>
        </w:tc>
        <w:tc>
          <w:tcPr>
            <w:tcW w:w="883" w:type="dxa"/>
            <w:tcBorders>
              <w:top w:val="nil"/>
              <w:left w:val="nil"/>
              <w:bottom w:val="nil"/>
              <w:right w:val="single" w:sz="8" w:space="0" w:color="auto"/>
            </w:tcBorders>
            <w:shd w:val="clear" w:color="auto" w:fill="auto"/>
            <w:noWrap/>
            <w:vAlign w:val="bottom"/>
            <w:hideMark/>
          </w:tcPr>
          <w:p w14:paraId="50E5A048" w14:textId="77777777" w:rsidR="00B2692F" w:rsidRPr="00B2692F" w:rsidRDefault="00B2692F" w:rsidP="00B2692F">
            <w:pPr>
              <w:spacing w:after="0" w:line="240" w:lineRule="auto"/>
              <w:jc w:val="right"/>
              <w:rPr>
                <w:rFonts w:eastAsia="Times New Roman" w:cs="Calibri"/>
                <w:color w:val="000000"/>
                <w:sz w:val="20"/>
                <w:szCs w:val="20"/>
                <w:lang w:eastAsia="es-CR"/>
              </w:rPr>
            </w:pPr>
            <w:r w:rsidRPr="00B2692F">
              <w:rPr>
                <w:rFonts w:eastAsia="Times New Roman" w:cs="Calibri"/>
                <w:color w:val="000000"/>
                <w:sz w:val="20"/>
                <w:szCs w:val="20"/>
                <w:lang w:eastAsia="es-CR"/>
              </w:rPr>
              <w:t>#¡DIV/0!</w:t>
            </w:r>
          </w:p>
        </w:tc>
      </w:tr>
      <w:tr w:rsidR="00B2692F" w:rsidRPr="00B2692F" w14:paraId="74974CBD" w14:textId="77777777" w:rsidTr="00AC4201">
        <w:trPr>
          <w:trHeight w:val="549"/>
        </w:trPr>
        <w:tc>
          <w:tcPr>
            <w:tcW w:w="1288" w:type="dxa"/>
            <w:tcBorders>
              <w:top w:val="nil"/>
              <w:left w:val="single" w:sz="8" w:space="0" w:color="auto"/>
              <w:bottom w:val="nil"/>
              <w:right w:val="single" w:sz="8" w:space="0" w:color="auto"/>
            </w:tcBorders>
            <w:shd w:val="clear" w:color="auto" w:fill="auto"/>
            <w:noWrap/>
            <w:vAlign w:val="center"/>
            <w:hideMark/>
          </w:tcPr>
          <w:p w14:paraId="5EAE1318" w14:textId="77777777" w:rsidR="00B2692F" w:rsidRPr="00B2692F" w:rsidRDefault="00B2692F" w:rsidP="00B2692F">
            <w:pPr>
              <w:spacing w:after="0" w:line="240" w:lineRule="auto"/>
              <w:jc w:val="left"/>
              <w:rPr>
                <w:rFonts w:eastAsia="Times New Roman" w:cs="Calibri"/>
                <w:color w:val="000000"/>
                <w:sz w:val="20"/>
                <w:szCs w:val="20"/>
                <w:lang w:eastAsia="es-CR"/>
              </w:rPr>
            </w:pPr>
            <w:r w:rsidRPr="00B2692F">
              <w:rPr>
                <w:rFonts w:eastAsia="Times New Roman" w:cs="Calibri"/>
                <w:color w:val="000000"/>
                <w:sz w:val="20"/>
                <w:szCs w:val="20"/>
                <w:lang w:eastAsia="es-CR"/>
              </w:rPr>
              <w:t>2.1.1.01.04.05</w:t>
            </w:r>
          </w:p>
        </w:tc>
        <w:tc>
          <w:tcPr>
            <w:tcW w:w="3196" w:type="dxa"/>
            <w:tcBorders>
              <w:top w:val="nil"/>
              <w:left w:val="nil"/>
              <w:bottom w:val="nil"/>
              <w:right w:val="single" w:sz="8" w:space="0" w:color="auto"/>
            </w:tcBorders>
            <w:shd w:val="clear" w:color="auto" w:fill="auto"/>
            <w:vAlign w:val="bottom"/>
            <w:hideMark/>
          </w:tcPr>
          <w:p w14:paraId="571F69D1" w14:textId="77777777" w:rsidR="00B2692F" w:rsidRPr="00B2692F" w:rsidRDefault="00B2692F" w:rsidP="00B2692F">
            <w:pPr>
              <w:spacing w:after="0" w:line="240" w:lineRule="auto"/>
              <w:jc w:val="left"/>
              <w:rPr>
                <w:rFonts w:eastAsia="Times New Roman" w:cs="Calibri"/>
                <w:color w:val="000000"/>
                <w:sz w:val="20"/>
                <w:szCs w:val="20"/>
                <w:lang w:eastAsia="es-CR"/>
              </w:rPr>
            </w:pPr>
            <w:r w:rsidRPr="00B2692F">
              <w:rPr>
                <w:rFonts w:eastAsia="Times New Roman" w:cs="Calibri"/>
                <w:color w:val="000000"/>
                <w:sz w:val="20"/>
                <w:szCs w:val="20"/>
                <w:lang w:eastAsia="es-CR"/>
              </w:rPr>
              <w:t>Deudas comerciales por gastos de viaje y transporte c/p</w:t>
            </w:r>
          </w:p>
        </w:tc>
        <w:tc>
          <w:tcPr>
            <w:tcW w:w="1146" w:type="dxa"/>
            <w:tcBorders>
              <w:top w:val="nil"/>
              <w:left w:val="nil"/>
              <w:bottom w:val="nil"/>
              <w:right w:val="single" w:sz="8" w:space="0" w:color="auto"/>
            </w:tcBorders>
            <w:shd w:val="clear" w:color="auto" w:fill="auto"/>
            <w:noWrap/>
            <w:vAlign w:val="bottom"/>
            <w:hideMark/>
          </w:tcPr>
          <w:p w14:paraId="6B2B588E" w14:textId="77777777" w:rsidR="00B2692F" w:rsidRPr="00B2692F" w:rsidRDefault="00B2692F" w:rsidP="00B2692F">
            <w:pPr>
              <w:spacing w:after="0" w:line="240" w:lineRule="auto"/>
              <w:jc w:val="right"/>
              <w:rPr>
                <w:rFonts w:eastAsia="Times New Roman" w:cs="Calibri"/>
                <w:color w:val="000000"/>
                <w:sz w:val="20"/>
                <w:szCs w:val="20"/>
                <w:lang w:eastAsia="es-CR"/>
              </w:rPr>
            </w:pPr>
            <w:r w:rsidRPr="00B2692F">
              <w:rPr>
                <w:rFonts w:ascii="Arial" w:eastAsia="Times New Roman" w:hAnsi="Arial" w:cs="Arial"/>
                <w:color w:val="000000"/>
                <w:sz w:val="20"/>
                <w:szCs w:val="20"/>
                <w:lang w:eastAsia="es-CR"/>
              </w:rPr>
              <w:t>₡</w:t>
            </w:r>
            <w:r w:rsidRPr="00B2692F">
              <w:rPr>
                <w:rFonts w:eastAsia="Times New Roman" w:cs="Calibri"/>
                <w:color w:val="000000"/>
                <w:sz w:val="20"/>
                <w:szCs w:val="20"/>
                <w:lang w:eastAsia="es-CR"/>
              </w:rPr>
              <w:t>0,00</w:t>
            </w:r>
          </w:p>
        </w:tc>
        <w:tc>
          <w:tcPr>
            <w:tcW w:w="1286" w:type="dxa"/>
            <w:tcBorders>
              <w:top w:val="nil"/>
              <w:left w:val="nil"/>
              <w:bottom w:val="nil"/>
              <w:right w:val="single" w:sz="8" w:space="0" w:color="auto"/>
            </w:tcBorders>
            <w:shd w:val="clear" w:color="auto" w:fill="auto"/>
            <w:noWrap/>
            <w:vAlign w:val="bottom"/>
            <w:hideMark/>
          </w:tcPr>
          <w:p w14:paraId="78F1336C" w14:textId="77777777" w:rsidR="00B2692F" w:rsidRPr="00B2692F" w:rsidRDefault="00B2692F" w:rsidP="00B2692F">
            <w:pPr>
              <w:spacing w:after="0" w:line="240" w:lineRule="auto"/>
              <w:jc w:val="right"/>
              <w:rPr>
                <w:rFonts w:eastAsia="Times New Roman" w:cs="Calibri"/>
                <w:color w:val="000000"/>
                <w:sz w:val="20"/>
                <w:szCs w:val="20"/>
                <w:lang w:eastAsia="es-CR"/>
              </w:rPr>
            </w:pPr>
            <w:r w:rsidRPr="00B2692F">
              <w:rPr>
                <w:rFonts w:ascii="Arial" w:eastAsia="Times New Roman" w:hAnsi="Arial" w:cs="Arial"/>
                <w:color w:val="000000"/>
                <w:sz w:val="20"/>
                <w:szCs w:val="20"/>
                <w:lang w:eastAsia="es-CR"/>
              </w:rPr>
              <w:t>₡</w:t>
            </w:r>
            <w:r w:rsidRPr="00B2692F">
              <w:rPr>
                <w:rFonts w:eastAsia="Times New Roman" w:cs="Calibri"/>
                <w:color w:val="000000"/>
                <w:sz w:val="20"/>
                <w:szCs w:val="20"/>
                <w:lang w:eastAsia="es-CR"/>
              </w:rPr>
              <w:t>0,00</w:t>
            </w:r>
          </w:p>
        </w:tc>
        <w:tc>
          <w:tcPr>
            <w:tcW w:w="1106" w:type="dxa"/>
            <w:tcBorders>
              <w:top w:val="nil"/>
              <w:left w:val="nil"/>
              <w:bottom w:val="nil"/>
              <w:right w:val="single" w:sz="8" w:space="0" w:color="auto"/>
            </w:tcBorders>
            <w:shd w:val="clear" w:color="000000" w:fill="FFFFFF"/>
            <w:noWrap/>
            <w:vAlign w:val="bottom"/>
            <w:hideMark/>
          </w:tcPr>
          <w:p w14:paraId="584EAF8B" w14:textId="77777777" w:rsidR="00B2692F" w:rsidRPr="00B2692F" w:rsidRDefault="00B2692F" w:rsidP="00B2692F">
            <w:pPr>
              <w:spacing w:after="0" w:line="240" w:lineRule="auto"/>
              <w:jc w:val="right"/>
              <w:rPr>
                <w:rFonts w:eastAsia="Times New Roman" w:cs="Calibri"/>
                <w:color w:val="000000"/>
                <w:sz w:val="20"/>
                <w:szCs w:val="20"/>
                <w:lang w:eastAsia="es-CR"/>
              </w:rPr>
            </w:pPr>
            <w:r w:rsidRPr="00B2692F">
              <w:rPr>
                <w:rFonts w:eastAsia="Times New Roman" w:cs="Calibri"/>
                <w:color w:val="000000"/>
                <w:sz w:val="20"/>
                <w:szCs w:val="20"/>
                <w:lang w:eastAsia="es-CR"/>
              </w:rPr>
              <w:t>0,00</w:t>
            </w:r>
          </w:p>
        </w:tc>
        <w:tc>
          <w:tcPr>
            <w:tcW w:w="883" w:type="dxa"/>
            <w:tcBorders>
              <w:top w:val="nil"/>
              <w:left w:val="nil"/>
              <w:bottom w:val="nil"/>
              <w:right w:val="single" w:sz="8" w:space="0" w:color="auto"/>
            </w:tcBorders>
            <w:shd w:val="clear" w:color="auto" w:fill="auto"/>
            <w:noWrap/>
            <w:vAlign w:val="bottom"/>
            <w:hideMark/>
          </w:tcPr>
          <w:p w14:paraId="5DB14455" w14:textId="77777777" w:rsidR="00B2692F" w:rsidRPr="00B2692F" w:rsidRDefault="00B2692F" w:rsidP="00B2692F">
            <w:pPr>
              <w:spacing w:after="0" w:line="240" w:lineRule="auto"/>
              <w:jc w:val="right"/>
              <w:rPr>
                <w:rFonts w:eastAsia="Times New Roman" w:cs="Calibri"/>
                <w:color w:val="000000"/>
                <w:sz w:val="20"/>
                <w:szCs w:val="20"/>
                <w:lang w:eastAsia="es-CR"/>
              </w:rPr>
            </w:pPr>
            <w:r w:rsidRPr="00B2692F">
              <w:rPr>
                <w:rFonts w:eastAsia="Times New Roman" w:cs="Calibri"/>
                <w:color w:val="000000"/>
                <w:sz w:val="20"/>
                <w:szCs w:val="20"/>
                <w:lang w:eastAsia="es-CR"/>
              </w:rPr>
              <w:t>#¡DIV/0!</w:t>
            </w:r>
          </w:p>
        </w:tc>
      </w:tr>
      <w:tr w:rsidR="00B2692F" w:rsidRPr="00B2692F" w14:paraId="28166DDA" w14:textId="77777777" w:rsidTr="00AC4201">
        <w:trPr>
          <w:trHeight w:val="549"/>
        </w:trPr>
        <w:tc>
          <w:tcPr>
            <w:tcW w:w="1288" w:type="dxa"/>
            <w:tcBorders>
              <w:top w:val="nil"/>
              <w:left w:val="single" w:sz="8" w:space="0" w:color="auto"/>
              <w:bottom w:val="nil"/>
              <w:right w:val="single" w:sz="8" w:space="0" w:color="auto"/>
            </w:tcBorders>
            <w:shd w:val="clear" w:color="auto" w:fill="auto"/>
            <w:noWrap/>
            <w:vAlign w:val="center"/>
            <w:hideMark/>
          </w:tcPr>
          <w:p w14:paraId="6B67E305" w14:textId="77777777" w:rsidR="00B2692F" w:rsidRPr="00B2692F" w:rsidRDefault="00B2692F" w:rsidP="00B2692F">
            <w:pPr>
              <w:spacing w:after="0" w:line="240" w:lineRule="auto"/>
              <w:jc w:val="left"/>
              <w:rPr>
                <w:rFonts w:eastAsia="Times New Roman" w:cs="Calibri"/>
                <w:color w:val="000000"/>
                <w:sz w:val="20"/>
                <w:szCs w:val="20"/>
                <w:lang w:eastAsia="es-CR"/>
              </w:rPr>
            </w:pPr>
            <w:r w:rsidRPr="00B2692F">
              <w:rPr>
                <w:rFonts w:eastAsia="Times New Roman" w:cs="Calibri"/>
                <w:color w:val="000000"/>
                <w:sz w:val="20"/>
                <w:szCs w:val="20"/>
                <w:lang w:eastAsia="es-CR"/>
              </w:rPr>
              <w:t>2.1.1.01.04.06.</w:t>
            </w:r>
          </w:p>
        </w:tc>
        <w:tc>
          <w:tcPr>
            <w:tcW w:w="3196" w:type="dxa"/>
            <w:tcBorders>
              <w:top w:val="nil"/>
              <w:left w:val="nil"/>
              <w:bottom w:val="nil"/>
              <w:right w:val="single" w:sz="8" w:space="0" w:color="auto"/>
            </w:tcBorders>
            <w:shd w:val="clear" w:color="auto" w:fill="auto"/>
            <w:vAlign w:val="bottom"/>
            <w:hideMark/>
          </w:tcPr>
          <w:p w14:paraId="0B7D3A78" w14:textId="77777777" w:rsidR="00B2692F" w:rsidRPr="00B2692F" w:rsidRDefault="00B2692F" w:rsidP="00B2692F">
            <w:pPr>
              <w:spacing w:after="0" w:line="240" w:lineRule="auto"/>
              <w:jc w:val="left"/>
              <w:rPr>
                <w:rFonts w:eastAsia="Times New Roman" w:cs="Calibri"/>
                <w:color w:val="000000"/>
                <w:sz w:val="20"/>
                <w:szCs w:val="20"/>
                <w:lang w:eastAsia="es-CR"/>
              </w:rPr>
            </w:pPr>
            <w:r w:rsidRPr="00B2692F">
              <w:rPr>
                <w:rFonts w:eastAsia="Times New Roman" w:cs="Calibri"/>
                <w:color w:val="000000"/>
                <w:sz w:val="20"/>
                <w:szCs w:val="20"/>
                <w:lang w:eastAsia="es-CR"/>
              </w:rPr>
              <w:t>Deudas comerciales por seguros, reaseguros y otras obligaciones c/p</w:t>
            </w:r>
          </w:p>
        </w:tc>
        <w:tc>
          <w:tcPr>
            <w:tcW w:w="1146" w:type="dxa"/>
            <w:tcBorders>
              <w:top w:val="nil"/>
              <w:left w:val="nil"/>
              <w:bottom w:val="nil"/>
              <w:right w:val="single" w:sz="8" w:space="0" w:color="auto"/>
            </w:tcBorders>
            <w:shd w:val="clear" w:color="auto" w:fill="auto"/>
            <w:noWrap/>
            <w:vAlign w:val="bottom"/>
            <w:hideMark/>
          </w:tcPr>
          <w:p w14:paraId="5E38C69D" w14:textId="77777777" w:rsidR="00B2692F" w:rsidRPr="00B2692F" w:rsidRDefault="00B2692F" w:rsidP="00B2692F">
            <w:pPr>
              <w:spacing w:after="0" w:line="240" w:lineRule="auto"/>
              <w:jc w:val="right"/>
              <w:rPr>
                <w:rFonts w:eastAsia="Times New Roman" w:cs="Calibri"/>
                <w:color w:val="000000"/>
                <w:sz w:val="20"/>
                <w:szCs w:val="20"/>
                <w:lang w:eastAsia="es-CR"/>
              </w:rPr>
            </w:pPr>
            <w:r w:rsidRPr="00B2692F">
              <w:rPr>
                <w:rFonts w:ascii="Arial" w:eastAsia="Times New Roman" w:hAnsi="Arial" w:cs="Arial"/>
                <w:color w:val="000000"/>
                <w:sz w:val="20"/>
                <w:szCs w:val="20"/>
                <w:lang w:eastAsia="es-CR"/>
              </w:rPr>
              <w:t>₡</w:t>
            </w:r>
            <w:r w:rsidRPr="00B2692F">
              <w:rPr>
                <w:rFonts w:eastAsia="Times New Roman" w:cs="Calibri"/>
                <w:color w:val="000000"/>
                <w:sz w:val="20"/>
                <w:szCs w:val="20"/>
                <w:lang w:eastAsia="es-CR"/>
              </w:rPr>
              <w:t>0,00</w:t>
            </w:r>
          </w:p>
        </w:tc>
        <w:tc>
          <w:tcPr>
            <w:tcW w:w="1286" w:type="dxa"/>
            <w:tcBorders>
              <w:top w:val="nil"/>
              <w:left w:val="nil"/>
              <w:bottom w:val="nil"/>
              <w:right w:val="single" w:sz="8" w:space="0" w:color="auto"/>
            </w:tcBorders>
            <w:shd w:val="clear" w:color="auto" w:fill="auto"/>
            <w:noWrap/>
            <w:vAlign w:val="bottom"/>
            <w:hideMark/>
          </w:tcPr>
          <w:p w14:paraId="432857A4" w14:textId="77777777" w:rsidR="00B2692F" w:rsidRPr="00B2692F" w:rsidRDefault="00B2692F" w:rsidP="00B2692F">
            <w:pPr>
              <w:spacing w:after="0" w:line="240" w:lineRule="auto"/>
              <w:jc w:val="right"/>
              <w:rPr>
                <w:rFonts w:eastAsia="Times New Roman" w:cs="Calibri"/>
                <w:color w:val="000000"/>
                <w:sz w:val="20"/>
                <w:szCs w:val="20"/>
                <w:lang w:eastAsia="es-CR"/>
              </w:rPr>
            </w:pPr>
            <w:r w:rsidRPr="00B2692F">
              <w:rPr>
                <w:rFonts w:ascii="Arial" w:eastAsia="Times New Roman" w:hAnsi="Arial" w:cs="Arial"/>
                <w:color w:val="000000"/>
                <w:sz w:val="20"/>
                <w:szCs w:val="20"/>
                <w:lang w:eastAsia="es-CR"/>
              </w:rPr>
              <w:t>₡</w:t>
            </w:r>
            <w:r w:rsidRPr="00B2692F">
              <w:rPr>
                <w:rFonts w:eastAsia="Times New Roman" w:cs="Calibri"/>
                <w:color w:val="000000"/>
                <w:sz w:val="20"/>
                <w:szCs w:val="20"/>
                <w:lang w:eastAsia="es-CR"/>
              </w:rPr>
              <w:t>0,00</w:t>
            </w:r>
          </w:p>
        </w:tc>
        <w:tc>
          <w:tcPr>
            <w:tcW w:w="1106" w:type="dxa"/>
            <w:tcBorders>
              <w:top w:val="nil"/>
              <w:left w:val="nil"/>
              <w:bottom w:val="nil"/>
              <w:right w:val="single" w:sz="8" w:space="0" w:color="auto"/>
            </w:tcBorders>
            <w:shd w:val="clear" w:color="000000" w:fill="FFFFFF"/>
            <w:noWrap/>
            <w:vAlign w:val="bottom"/>
            <w:hideMark/>
          </w:tcPr>
          <w:p w14:paraId="7DB709EA" w14:textId="77777777" w:rsidR="00B2692F" w:rsidRPr="00B2692F" w:rsidRDefault="00B2692F" w:rsidP="00B2692F">
            <w:pPr>
              <w:spacing w:after="0" w:line="240" w:lineRule="auto"/>
              <w:jc w:val="right"/>
              <w:rPr>
                <w:rFonts w:eastAsia="Times New Roman" w:cs="Calibri"/>
                <w:color w:val="000000"/>
                <w:sz w:val="20"/>
                <w:szCs w:val="20"/>
                <w:lang w:eastAsia="es-CR"/>
              </w:rPr>
            </w:pPr>
            <w:r w:rsidRPr="00B2692F">
              <w:rPr>
                <w:rFonts w:eastAsia="Times New Roman" w:cs="Calibri"/>
                <w:color w:val="000000"/>
                <w:sz w:val="20"/>
                <w:szCs w:val="20"/>
                <w:lang w:eastAsia="es-CR"/>
              </w:rPr>
              <w:t>0,00</w:t>
            </w:r>
          </w:p>
        </w:tc>
        <w:tc>
          <w:tcPr>
            <w:tcW w:w="883" w:type="dxa"/>
            <w:tcBorders>
              <w:top w:val="nil"/>
              <w:left w:val="nil"/>
              <w:bottom w:val="nil"/>
              <w:right w:val="single" w:sz="8" w:space="0" w:color="auto"/>
            </w:tcBorders>
            <w:shd w:val="clear" w:color="auto" w:fill="auto"/>
            <w:noWrap/>
            <w:vAlign w:val="bottom"/>
            <w:hideMark/>
          </w:tcPr>
          <w:p w14:paraId="72043FF4" w14:textId="77777777" w:rsidR="00B2692F" w:rsidRPr="00B2692F" w:rsidRDefault="00B2692F" w:rsidP="00B2692F">
            <w:pPr>
              <w:spacing w:after="0" w:line="240" w:lineRule="auto"/>
              <w:jc w:val="right"/>
              <w:rPr>
                <w:rFonts w:eastAsia="Times New Roman" w:cs="Calibri"/>
                <w:color w:val="000000"/>
                <w:sz w:val="20"/>
                <w:szCs w:val="20"/>
                <w:lang w:eastAsia="es-CR"/>
              </w:rPr>
            </w:pPr>
            <w:r w:rsidRPr="00B2692F">
              <w:rPr>
                <w:rFonts w:eastAsia="Times New Roman" w:cs="Calibri"/>
                <w:color w:val="000000"/>
                <w:sz w:val="20"/>
                <w:szCs w:val="20"/>
                <w:lang w:eastAsia="es-CR"/>
              </w:rPr>
              <w:t>#¡DIV/0!</w:t>
            </w:r>
          </w:p>
        </w:tc>
      </w:tr>
      <w:tr w:rsidR="00B2692F" w:rsidRPr="00B2692F" w14:paraId="28FA9B0B" w14:textId="77777777" w:rsidTr="00AC4201">
        <w:trPr>
          <w:trHeight w:val="549"/>
        </w:trPr>
        <w:tc>
          <w:tcPr>
            <w:tcW w:w="1288" w:type="dxa"/>
            <w:tcBorders>
              <w:top w:val="nil"/>
              <w:left w:val="single" w:sz="8" w:space="0" w:color="auto"/>
              <w:bottom w:val="nil"/>
              <w:right w:val="single" w:sz="8" w:space="0" w:color="auto"/>
            </w:tcBorders>
            <w:shd w:val="clear" w:color="auto" w:fill="auto"/>
            <w:noWrap/>
            <w:vAlign w:val="center"/>
            <w:hideMark/>
          </w:tcPr>
          <w:p w14:paraId="7F81018F" w14:textId="77777777" w:rsidR="00B2692F" w:rsidRPr="00B2692F" w:rsidRDefault="00B2692F" w:rsidP="00B2692F">
            <w:pPr>
              <w:spacing w:after="0" w:line="240" w:lineRule="auto"/>
              <w:jc w:val="left"/>
              <w:rPr>
                <w:rFonts w:eastAsia="Times New Roman" w:cs="Calibri"/>
                <w:color w:val="000000"/>
                <w:sz w:val="20"/>
                <w:szCs w:val="20"/>
                <w:lang w:eastAsia="es-CR"/>
              </w:rPr>
            </w:pPr>
            <w:r w:rsidRPr="00B2692F">
              <w:rPr>
                <w:rFonts w:eastAsia="Times New Roman" w:cs="Calibri"/>
                <w:color w:val="000000"/>
                <w:sz w:val="20"/>
                <w:szCs w:val="20"/>
                <w:lang w:eastAsia="es-CR"/>
              </w:rPr>
              <w:t>2.1.1.01.04.07.</w:t>
            </w:r>
          </w:p>
        </w:tc>
        <w:tc>
          <w:tcPr>
            <w:tcW w:w="3196" w:type="dxa"/>
            <w:tcBorders>
              <w:top w:val="nil"/>
              <w:left w:val="nil"/>
              <w:bottom w:val="nil"/>
              <w:right w:val="single" w:sz="8" w:space="0" w:color="auto"/>
            </w:tcBorders>
            <w:shd w:val="clear" w:color="auto" w:fill="auto"/>
            <w:vAlign w:val="bottom"/>
            <w:hideMark/>
          </w:tcPr>
          <w:p w14:paraId="1325C217" w14:textId="77777777" w:rsidR="00B2692F" w:rsidRPr="00B2692F" w:rsidRDefault="00B2692F" w:rsidP="00B2692F">
            <w:pPr>
              <w:spacing w:after="0" w:line="240" w:lineRule="auto"/>
              <w:jc w:val="left"/>
              <w:rPr>
                <w:rFonts w:eastAsia="Times New Roman" w:cs="Calibri"/>
                <w:color w:val="000000"/>
                <w:sz w:val="20"/>
                <w:szCs w:val="20"/>
                <w:lang w:eastAsia="es-CR"/>
              </w:rPr>
            </w:pPr>
            <w:r w:rsidRPr="00B2692F">
              <w:rPr>
                <w:rFonts w:eastAsia="Times New Roman" w:cs="Calibri"/>
                <w:color w:val="000000"/>
                <w:sz w:val="20"/>
                <w:szCs w:val="20"/>
                <w:lang w:eastAsia="es-CR"/>
              </w:rPr>
              <w:t>Deudas comerciales por capacitación y protocolo c/p</w:t>
            </w:r>
          </w:p>
        </w:tc>
        <w:tc>
          <w:tcPr>
            <w:tcW w:w="1146" w:type="dxa"/>
            <w:tcBorders>
              <w:top w:val="nil"/>
              <w:left w:val="nil"/>
              <w:bottom w:val="nil"/>
              <w:right w:val="single" w:sz="8" w:space="0" w:color="auto"/>
            </w:tcBorders>
            <w:shd w:val="clear" w:color="auto" w:fill="auto"/>
            <w:noWrap/>
            <w:vAlign w:val="bottom"/>
            <w:hideMark/>
          </w:tcPr>
          <w:p w14:paraId="2A9398A4" w14:textId="77777777" w:rsidR="00B2692F" w:rsidRPr="00B2692F" w:rsidRDefault="00B2692F" w:rsidP="00B2692F">
            <w:pPr>
              <w:spacing w:after="0" w:line="240" w:lineRule="auto"/>
              <w:jc w:val="right"/>
              <w:rPr>
                <w:rFonts w:eastAsia="Times New Roman" w:cs="Calibri"/>
                <w:color w:val="000000"/>
                <w:sz w:val="20"/>
                <w:szCs w:val="20"/>
                <w:lang w:eastAsia="es-CR"/>
              </w:rPr>
            </w:pPr>
            <w:r w:rsidRPr="00B2692F">
              <w:rPr>
                <w:rFonts w:ascii="Arial" w:eastAsia="Times New Roman" w:hAnsi="Arial" w:cs="Arial"/>
                <w:color w:val="000000"/>
                <w:sz w:val="20"/>
                <w:szCs w:val="20"/>
                <w:lang w:eastAsia="es-CR"/>
              </w:rPr>
              <w:t>₡</w:t>
            </w:r>
            <w:r w:rsidRPr="00B2692F">
              <w:rPr>
                <w:rFonts w:eastAsia="Times New Roman" w:cs="Calibri"/>
                <w:color w:val="000000"/>
                <w:sz w:val="20"/>
                <w:szCs w:val="20"/>
                <w:lang w:eastAsia="es-CR"/>
              </w:rPr>
              <w:t>0,00</w:t>
            </w:r>
          </w:p>
        </w:tc>
        <w:tc>
          <w:tcPr>
            <w:tcW w:w="1286" w:type="dxa"/>
            <w:tcBorders>
              <w:top w:val="nil"/>
              <w:left w:val="nil"/>
              <w:bottom w:val="nil"/>
              <w:right w:val="single" w:sz="8" w:space="0" w:color="auto"/>
            </w:tcBorders>
            <w:shd w:val="clear" w:color="auto" w:fill="auto"/>
            <w:noWrap/>
            <w:vAlign w:val="bottom"/>
            <w:hideMark/>
          </w:tcPr>
          <w:p w14:paraId="7B538C76" w14:textId="77777777" w:rsidR="00B2692F" w:rsidRPr="00B2692F" w:rsidRDefault="00B2692F" w:rsidP="00B2692F">
            <w:pPr>
              <w:spacing w:after="0" w:line="240" w:lineRule="auto"/>
              <w:jc w:val="right"/>
              <w:rPr>
                <w:rFonts w:eastAsia="Times New Roman" w:cs="Calibri"/>
                <w:color w:val="000000"/>
                <w:sz w:val="20"/>
                <w:szCs w:val="20"/>
                <w:lang w:eastAsia="es-CR"/>
              </w:rPr>
            </w:pPr>
            <w:r w:rsidRPr="00B2692F">
              <w:rPr>
                <w:rFonts w:ascii="Arial" w:eastAsia="Times New Roman" w:hAnsi="Arial" w:cs="Arial"/>
                <w:color w:val="000000"/>
                <w:sz w:val="20"/>
                <w:szCs w:val="20"/>
                <w:lang w:eastAsia="es-CR"/>
              </w:rPr>
              <w:t>₡</w:t>
            </w:r>
            <w:r w:rsidRPr="00B2692F">
              <w:rPr>
                <w:rFonts w:eastAsia="Times New Roman" w:cs="Calibri"/>
                <w:color w:val="000000"/>
                <w:sz w:val="20"/>
                <w:szCs w:val="20"/>
                <w:lang w:eastAsia="es-CR"/>
              </w:rPr>
              <w:t>0,00</w:t>
            </w:r>
          </w:p>
        </w:tc>
        <w:tc>
          <w:tcPr>
            <w:tcW w:w="1106" w:type="dxa"/>
            <w:tcBorders>
              <w:top w:val="nil"/>
              <w:left w:val="nil"/>
              <w:bottom w:val="nil"/>
              <w:right w:val="single" w:sz="8" w:space="0" w:color="auto"/>
            </w:tcBorders>
            <w:shd w:val="clear" w:color="000000" w:fill="FFFFFF"/>
            <w:noWrap/>
            <w:vAlign w:val="bottom"/>
            <w:hideMark/>
          </w:tcPr>
          <w:p w14:paraId="4F40969C" w14:textId="77777777" w:rsidR="00B2692F" w:rsidRPr="00B2692F" w:rsidRDefault="00B2692F" w:rsidP="00B2692F">
            <w:pPr>
              <w:spacing w:after="0" w:line="240" w:lineRule="auto"/>
              <w:jc w:val="right"/>
              <w:rPr>
                <w:rFonts w:eastAsia="Times New Roman" w:cs="Calibri"/>
                <w:color w:val="000000"/>
                <w:sz w:val="20"/>
                <w:szCs w:val="20"/>
                <w:lang w:eastAsia="es-CR"/>
              </w:rPr>
            </w:pPr>
            <w:r w:rsidRPr="00B2692F">
              <w:rPr>
                <w:rFonts w:eastAsia="Times New Roman" w:cs="Calibri"/>
                <w:color w:val="000000"/>
                <w:sz w:val="20"/>
                <w:szCs w:val="20"/>
                <w:lang w:eastAsia="es-CR"/>
              </w:rPr>
              <w:t>0,00</w:t>
            </w:r>
          </w:p>
        </w:tc>
        <w:tc>
          <w:tcPr>
            <w:tcW w:w="883" w:type="dxa"/>
            <w:tcBorders>
              <w:top w:val="nil"/>
              <w:left w:val="nil"/>
              <w:bottom w:val="nil"/>
              <w:right w:val="single" w:sz="8" w:space="0" w:color="auto"/>
            </w:tcBorders>
            <w:shd w:val="clear" w:color="auto" w:fill="auto"/>
            <w:noWrap/>
            <w:vAlign w:val="bottom"/>
            <w:hideMark/>
          </w:tcPr>
          <w:p w14:paraId="7BDEAF5E" w14:textId="77777777" w:rsidR="00B2692F" w:rsidRPr="00B2692F" w:rsidRDefault="00B2692F" w:rsidP="00B2692F">
            <w:pPr>
              <w:spacing w:after="0" w:line="240" w:lineRule="auto"/>
              <w:jc w:val="right"/>
              <w:rPr>
                <w:rFonts w:eastAsia="Times New Roman" w:cs="Calibri"/>
                <w:color w:val="000000"/>
                <w:sz w:val="20"/>
                <w:szCs w:val="20"/>
                <w:lang w:eastAsia="es-CR"/>
              </w:rPr>
            </w:pPr>
            <w:r w:rsidRPr="00B2692F">
              <w:rPr>
                <w:rFonts w:eastAsia="Times New Roman" w:cs="Calibri"/>
                <w:color w:val="000000"/>
                <w:sz w:val="20"/>
                <w:szCs w:val="20"/>
                <w:lang w:eastAsia="es-CR"/>
              </w:rPr>
              <w:t>#¡DIV/0!</w:t>
            </w:r>
          </w:p>
        </w:tc>
      </w:tr>
      <w:tr w:rsidR="00B2692F" w:rsidRPr="00B2692F" w14:paraId="2710D37A" w14:textId="77777777" w:rsidTr="00AC4201">
        <w:trPr>
          <w:trHeight w:val="564"/>
        </w:trPr>
        <w:tc>
          <w:tcPr>
            <w:tcW w:w="1288" w:type="dxa"/>
            <w:tcBorders>
              <w:top w:val="nil"/>
              <w:left w:val="single" w:sz="8" w:space="0" w:color="auto"/>
              <w:bottom w:val="nil"/>
              <w:right w:val="single" w:sz="8" w:space="0" w:color="auto"/>
            </w:tcBorders>
            <w:shd w:val="clear" w:color="auto" w:fill="auto"/>
            <w:noWrap/>
            <w:vAlign w:val="center"/>
            <w:hideMark/>
          </w:tcPr>
          <w:p w14:paraId="311AAC12" w14:textId="77777777" w:rsidR="00B2692F" w:rsidRPr="00B2692F" w:rsidRDefault="00B2692F" w:rsidP="00B2692F">
            <w:pPr>
              <w:spacing w:after="0" w:line="240" w:lineRule="auto"/>
              <w:jc w:val="left"/>
              <w:rPr>
                <w:rFonts w:eastAsia="Times New Roman" w:cs="Calibri"/>
                <w:color w:val="000000"/>
                <w:sz w:val="20"/>
                <w:szCs w:val="20"/>
                <w:lang w:eastAsia="es-CR"/>
              </w:rPr>
            </w:pPr>
            <w:r w:rsidRPr="00B2692F">
              <w:rPr>
                <w:rFonts w:eastAsia="Times New Roman" w:cs="Calibri"/>
                <w:color w:val="000000"/>
                <w:sz w:val="20"/>
                <w:szCs w:val="20"/>
                <w:lang w:eastAsia="es-CR"/>
              </w:rPr>
              <w:t>2.1.1.01.04.08.</w:t>
            </w:r>
          </w:p>
        </w:tc>
        <w:tc>
          <w:tcPr>
            <w:tcW w:w="3196" w:type="dxa"/>
            <w:tcBorders>
              <w:top w:val="nil"/>
              <w:left w:val="nil"/>
              <w:bottom w:val="nil"/>
              <w:right w:val="single" w:sz="8" w:space="0" w:color="auto"/>
            </w:tcBorders>
            <w:shd w:val="clear" w:color="auto" w:fill="auto"/>
            <w:vAlign w:val="bottom"/>
            <w:hideMark/>
          </w:tcPr>
          <w:p w14:paraId="6747F56B" w14:textId="77777777" w:rsidR="00B2692F" w:rsidRPr="00B2692F" w:rsidRDefault="00B2692F" w:rsidP="00B2692F">
            <w:pPr>
              <w:spacing w:after="0" w:line="240" w:lineRule="auto"/>
              <w:jc w:val="left"/>
              <w:rPr>
                <w:rFonts w:eastAsia="Times New Roman" w:cs="Calibri"/>
                <w:color w:val="000000"/>
                <w:sz w:val="20"/>
                <w:szCs w:val="20"/>
                <w:lang w:eastAsia="es-CR"/>
              </w:rPr>
            </w:pPr>
            <w:r w:rsidRPr="00B2692F">
              <w:rPr>
                <w:rFonts w:eastAsia="Times New Roman" w:cs="Calibri"/>
                <w:color w:val="000000"/>
                <w:sz w:val="20"/>
                <w:szCs w:val="20"/>
                <w:lang w:eastAsia="es-CR"/>
              </w:rPr>
              <w:t>Deudas comerciales por mantenimiento y reparaciones c/p</w:t>
            </w:r>
          </w:p>
        </w:tc>
        <w:tc>
          <w:tcPr>
            <w:tcW w:w="1146" w:type="dxa"/>
            <w:tcBorders>
              <w:top w:val="nil"/>
              <w:left w:val="nil"/>
              <w:bottom w:val="nil"/>
              <w:right w:val="single" w:sz="8" w:space="0" w:color="auto"/>
            </w:tcBorders>
            <w:shd w:val="clear" w:color="auto" w:fill="auto"/>
            <w:noWrap/>
            <w:vAlign w:val="bottom"/>
            <w:hideMark/>
          </w:tcPr>
          <w:p w14:paraId="4E9F03A1" w14:textId="77777777" w:rsidR="00B2692F" w:rsidRPr="00B2692F" w:rsidRDefault="00B2692F" w:rsidP="00B2692F">
            <w:pPr>
              <w:spacing w:after="0" w:line="240" w:lineRule="auto"/>
              <w:jc w:val="right"/>
              <w:rPr>
                <w:rFonts w:eastAsia="Times New Roman" w:cs="Calibri"/>
                <w:color w:val="000000"/>
                <w:sz w:val="20"/>
                <w:szCs w:val="20"/>
                <w:lang w:eastAsia="es-CR"/>
              </w:rPr>
            </w:pPr>
            <w:r w:rsidRPr="00B2692F">
              <w:rPr>
                <w:rFonts w:ascii="Arial" w:eastAsia="Times New Roman" w:hAnsi="Arial" w:cs="Arial"/>
                <w:color w:val="000000"/>
                <w:sz w:val="20"/>
                <w:szCs w:val="20"/>
                <w:lang w:eastAsia="es-CR"/>
              </w:rPr>
              <w:t>₡</w:t>
            </w:r>
            <w:r w:rsidRPr="00B2692F">
              <w:rPr>
                <w:rFonts w:eastAsia="Times New Roman" w:cs="Calibri"/>
                <w:color w:val="000000"/>
                <w:sz w:val="20"/>
                <w:szCs w:val="20"/>
                <w:lang w:eastAsia="es-CR"/>
              </w:rPr>
              <w:t>0,00</w:t>
            </w:r>
          </w:p>
        </w:tc>
        <w:tc>
          <w:tcPr>
            <w:tcW w:w="1286" w:type="dxa"/>
            <w:tcBorders>
              <w:top w:val="nil"/>
              <w:left w:val="nil"/>
              <w:bottom w:val="nil"/>
              <w:right w:val="single" w:sz="8" w:space="0" w:color="auto"/>
            </w:tcBorders>
            <w:shd w:val="clear" w:color="auto" w:fill="auto"/>
            <w:noWrap/>
            <w:vAlign w:val="bottom"/>
            <w:hideMark/>
          </w:tcPr>
          <w:p w14:paraId="455B17B2" w14:textId="77777777" w:rsidR="00B2692F" w:rsidRPr="00B2692F" w:rsidRDefault="00B2692F" w:rsidP="00B2692F">
            <w:pPr>
              <w:spacing w:after="0" w:line="240" w:lineRule="auto"/>
              <w:jc w:val="right"/>
              <w:rPr>
                <w:rFonts w:eastAsia="Times New Roman" w:cs="Calibri"/>
                <w:color w:val="000000"/>
                <w:sz w:val="20"/>
                <w:szCs w:val="20"/>
                <w:lang w:eastAsia="es-CR"/>
              </w:rPr>
            </w:pPr>
            <w:r w:rsidRPr="00B2692F">
              <w:rPr>
                <w:rFonts w:ascii="Arial" w:eastAsia="Times New Roman" w:hAnsi="Arial" w:cs="Arial"/>
                <w:color w:val="000000"/>
                <w:sz w:val="20"/>
                <w:szCs w:val="20"/>
                <w:lang w:eastAsia="es-CR"/>
              </w:rPr>
              <w:t>₡</w:t>
            </w:r>
            <w:r w:rsidRPr="00B2692F">
              <w:rPr>
                <w:rFonts w:eastAsia="Times New Roman" w:cs="Calibri"/>
                <w:color w:val="000000"/>
                <w:sz w:val="20"/>
                <w:szCs w:val="20"/>
                <w:lang w:eastAsia="es-CR"/>
              </w:rPr>
              <w:t>0,00</w:t>
            </w:r>
          </w:p>
        </w:tc>
        <w:tc>
          <w:tcPr>
            <w:tcW w:w="1106" w:type="dxa"/>
            <w:tcBorders>
              <w:top w:val="nil"/>
              <w:left w:val="nil"/>
              <w:bottom w:val="nil"/>
              <w:right w:val="single" w:sz="8" w:space="0" w:color="auto"/>
            </w:tcBorders>
            <w:shd w:val="clear" w:color="000000" w:fill="FFFFFF"/>
            <w:noWrap/>
            <w:vAlign w:val="bottom"/>
            <w:hideMark/>
          </w:tcPr>
          <w:p w14:paraId="52A8EA32" w14:textId="77777777" w:rsidR="00B2692F" w:rsidRPr="00B2692F" w:rsidRDefault="00B2692F" w:rsidP="00B2692F">
            <w:pPr>
              <w:spacing w:after="0" w:line="240" w:lineRule="auto"/>
              <w:jc w:val="right"/>
              <w:rPr>
                <w:rFonts w:eastAsia="Times New Roman" w:cs="Calibri"/>
                <w:color w:val="000000"/>
                <w:sz w:val="20"/>
                <w:szCs w:val="20"/>
                <w:lang w:eastAsia="es-CR"/>
              </w:rPr>
            </w:pPr>
            <w:r w:rsidRPr="00B2692F">
              <w:rPr>
                <w:rFonts w:eastAsia="Times New Roman" w:cs="Calibri"/>
                <w:color w:val="000000"/>
                <w:sz w:val="20"/>
                <w:szCs w:val="20"/>
                <w:lang w:eastAsia="es-CR"/>
              </w:rPr>
              <w:t>0,00</w:t>
            </w:r>
          </w:p>
        </w:tc>
        <w:tc>
          <w:tcPr>
            <w:tcW w:w="883" w:type="dxa"/>
            <w:tcBorders>
              <w:top w:val="nil"/>
              <w:left w:val="nil"/>
              <w:bottom w:val="nil"/>
              <w:right w:val="single" w:sz="8" w:space="0" w:color="auto"/>
            </w:tcBorders>
            <w:shd w:val="clear" w:color="auto" w:fill="auto"/>
            <w:noWrap/>
            <w:vAlign w:val="bottom"/>
            <w:hideMark/>
          </w:tcPr>
          <w:p w14:paraId="352D5489" w14:textId="77777777" w:rsidR="00B2692F" w:rsidRPr="00B2692F" w:rsidRDefault="00B2692F" w:rsidP="00B2692F">
            <w:pPr>
              <w:spacing w:after="0" w:line="240" w:lineRule="auto"/>
              <w:jc w:val="right"/>
              <w:rPr>
                <w:rFonts w:eastAsia="Times New Roman" w:cs="Calibri"/>
                <w:color w:val="000000"/>
                <w:sz w:val="20"/>
                <w:szCs w:val="20"/>
                <w:lang w:eastAsia="es-CR"/>
              </w:rPr>
            </w:pPr>
            <w:r w:rsidRPr="00B2692F">
              <w:rPr>
                <w:rFonts w:eastAsia="Times New Roman" w:cs="Calibri"/>
                <w:color w:val="000000"/>
                <w:sz w:val="20"/>
                <w:szCs w:val="20"/>
                <w:lang w:eastAsia="es-CR"/>
              </w:rPr>
              <w:t>#¡DIV/0!</w:t>
            </w:r>
          </w:p>
        </w:tc>
      </w:tr>
      <w:tr w:rsidR="00B2692F" w:rsidRPr="00B2692F" w14:paraId="1A5CAFD0" w14:textId="77777777" w:rsidTr="00AC4201">
        <w:trPr>
          <w:trHeight w:val="329"/>
        </w:trPr>
        <w:tc>
          <w:tcPr>
            <w:tcW w:w="128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B8DC2A4" w14:textId="77777777" w:rsidR="00B2692F" w:rsidRPr="00B2692F" w:rsidRDefault="00B2692F" w:rsidP="00B2692F">
            <w:pPr>
              <w:spacing w:after="0" w:line="240" w:lineRule="auto"/>
              <w:jc w:val="left"/>
              <w:rPr>
                <w:rFonts w:ascii="Calibri" w:eastAsia="Times New Roman" w:hAnsi="Calibri" w:cs="Calibri"/>
                <w:color w:val="000000"/>
                <w:sz w:val="22"/>
                <w:lang w:eastAsia="es-CR"/>
              </w:rPr>
            </w:pPr>
            <w:r w:rsidRPr="00B2692F">
              <w:rPr>
                <w:rFonts w:ascii="Calibri" w:eastAsia="Times New Roman" w:hAnsi="Calibri" w:cs="Calibri"/>
                <w:color w:val="000000"/>
                <w:sz w:val="22"/>
                <w:lang w:eastAsia="es-CR"/>
              </w:rPr>
              <w:t> </w:t>
            </w:r>
          </w:p>
        </w:tc>
        <w:tc>
          <w:tcPr>
            <w:tcW w:w="3196" w:type="dxa"/>
            <w:tcBorders>
              <w:top w:val="single" w:sz="8" w:space="0" w:color="auto"/>
              <w:left w:val="nil"/>
              <w:bottom w:val="single" w:sz="8" w:space="0" w:color="auto"/>
              <w:right w:val="single" w:sz="8" w:space="0" w:color="auto"/>
            </w:tcBorders>
            <w:shd w:val="clear" w:color="auto" w:fill="auto"/>
            <w:noWrap/>
            <w:vAlign w:val="bottom"/>
            <w:hideMark/>
          </w:tcPr>
          <w:p w14:paraId="1870E6D2" w14:textId="77777777" w:rsidR="00B2692F" w:rsidRPr="00B2692F" w:rsidRDefault="00B2692F" w:rsidP="00B2692F">
            <w:pPr>
              <w:spacing w:after="0" w:line="240" w:lineRule="auto"/>
              <w:jc w:val="center"/>
              <w:rPr>
                <w:rFonts w:eastAsia="Times New Roman" w:cs="Calibri"/>
                <w:b/>
                <w:bCs/>
                <w:color w:val="000000"/>
                <w:sz w:val="20"/>
                <w:szCs w:val="20"/>
                <w:lang w:eastAsia="es-CR"/>
              </w:rPr>
            </w:pPr>
            <w:r w:rsidRPr="00B2692F">
              <w:rPr>
                <w:rFonts w:eastAsia="Times New Roman" w:cs="Calibri"/>
                <w:b/>
                <w:bCs/>
                <w:color w:val="000000"/>
                <w:sz w:val="20"/>
                <w:szCs w:val="20"/>
                <w:lang w:eastAsia="es-CR"/>
              </w:rPr>
              <w:t>TOTALES</w:t>
            </w:r>
          </w:p>
        </w:tc>
        <w:tc>
          <w:tcPr>
            <w:tcW w:w="1146" w:type="dxa"/>
            <w:tcBorders>
              <w:top w:val="single" w:sz="8" w:space="0" w:color="auto"/>
              <w:left w:val="nil"/>
              <w:bottom w:val="single" w:sz="8" w:space="0" w:color="auto"/>
              <w:right w:val="single" w:sz="8" w:space="0" w:color="auto"/>
            </w:tcBorders>
            <w:shd w:val="clear" w:color="auto" w:fill="auto"/>
            <w:noWrap/>
            <w:vAlign w:val="bottom"/>
            <w:hideMark/>
          </w:tcPr>
          <w:p w14:paraId="3E53C694" w14:textId="77777777" w:rsidR="00B2692F" w:rsidRPr="00B2692F" w:rsidRDefault="00B2692F" w:rsidP="00B2692F">
            <w:pPr>
              <w:spacing w:after="0" w:line="240" w:lineRule="auto"/>
              <w:jc w:val="right"/>
              <w:rPr>
                <w:rFonts w:eastAsia="Times New Roman" w:cs="Calibri"/>
                <w:b/>
                <w:bCs/>
                <w:color w:val="000000"/>
                <w:sz w:val="20"/>
                <w:szCs w:val="20"/>
                <w:lang w:eastAsia="es-CR"/>
              </w:rPr>
            </w:pPr>
            <w:r w:rsidRPr="00B2692F">
              <w:rPr>
                <w:rFonts w:ascii="Arial" w:eastAsia="Times New Roman" w:hAnsi="Arial" w:cs="Arial"/>
                <w:b/>
                <w:bCs/>
                <w:color w:val="000000"/>
                <w:sz w:val="20"/>
                <w:szCs w:val="20"/>
                <w:lang w:eastAsia="es-CR"/>
              </w:rPr>
              <w:t>₡</w:t>
            </w:r>
            <w:r w:rsidRPr="00B2692F">
              <w:rPr>
                <w:rFonts w:eastAsia="Times New Roman" w:cs="Calibri"/>
                <w:b/>
                <w:bCs/>
                <w:color w:val="000000"/>
                <w:sz w:val="20"/>
                <w:szCs w:val="20"/>
                <w:lang w:eastAsia="es-CR"/>
              </w:rPr>
              <w:t>0,00</w:t>
            </w:r>
          </w:p>
        </w:tc>
        <w:tc>
          <w:tcPr>
            <w:tcW w:w="1286" w:type="dxa"/>
            <w:tcBorders>
              <w:top w:val="single" w:sz="8" w:space="0" w:color="auto"/>
              <w:left w:val="nil"/>
              <w:bottom w:val="single" w:sz="8" w:space="0" w:color="auto"/>
              <w:right w:val="single" w:sz="8" w:space="0" w:color="auto"/>
            </w:tcBorders>
            <w:shd w:val="clear" w:color="auto" w:fill="auto"/>
            <w:noWrap/>
            <w:vAlign w:val="bottom"/>
            <w:hideMark/>
          </w:tcPr>
          <w:p w14:paraId="2EF5EFC3" w14:textId="77777777" w:rsidR="00B2692F" w:rsidRPr="00B2692F" w:rsidRDefault="00B2692F" w:rsidP="00B2692F">
            <w:pPr>
              <w:spacing w:after="0" w:line="240" w:lineRule="auto"/>
              <w:jc w:val="right"/>
              <w:rPr>
                <w:rFonts w:eastAsia="Times New Roman" w:cs="Calibri"/>
                <w:b/>
                <w:bCs/>
                <w:color w:val="000000"/>
                <w:sz w:val="20"/>
                <w:szCs w:val="20"/>
                <w:lang w:eastAsia="es-CR"/>
              </w:rPr>
            </w:pPr>
            <w:r w:rsidRPr="00B2692F">
              <w:rPr>
                <w:rFonts w:ascii="Arial" w:eastAsia="Times New Roman" w:hAnsi="Arial" w:cs="Arial"/>
                <w:b/>
                <w:bCs/>
                <w:color w:val="000000"/>
                <w:sz w:val="20"/>
                <w:szCs w:val="20"/>
                <w:lang w:eastAsia="es-CR"/>
              </w:rPr>
              <w:t>₡</w:t>
            </w:r>
            <w:r w:rsidRPr="00B2692F">
              <w:rPr>
                <w:rFonts w:eastAsia="Times New Roman" w:cs="Calibri"/>
                <w:b/>
                <w:bCs/>
                <w:color w:val="000000"/>
                <w:sz w:val="20"/>
                <w:szCs w:val="20"/>
                <w:lang w:eastAsia="es-CR"/>
              </w:rPr>
              <w:t>1 108,99</w:t>
            </w:r>
          </w:p>
        </w:tc>
        <w:tc>
          <w:tcPr>
            <w:tcW w:w="1106" w:type="dxa"/>
            <w:tcBorders>
              <w:top w:val="single" w:sz="8" w:space="0" w:color="auto"/>
              <w:left w:val="nil"/>
              <w:bottom w:val="single" w:sz="8" w:space="0" w:color="auto"/>
              <w:right w:val="single" w:sz="8" w:space="0" w:color="auto"/>
            </w:tcBorders>
            <w:shd w:val="clear" w:color="auto" w:fill="auto"/>
            <w:noWrap/>
            <w:vAlign w:val="bottom"/>
            <w:hideMark/>
          </w:tcPr>
          <w:p w14:paraId="2BFBD712" w14:textId="77777777" w:rsidR="00B2692F" w:rsidRPr="00B2692F" w:rsidRDefault="00B2692F" w:rsidP="00B2692F">
            <w:pPr>
              <w:spacing w:after="0" w:line="240" w:lineRule="auto"/>
              <w:jc w:val="right"/>
              <w:rPr>
                <w:rFonts w:eastAsia="Times New Roman" w:cs="Calibri"/>
                <w:b/>
                <w:bCs/>
                <w:color w:val="000000"/>
                <w:sz w:val="20"/>
                <w:szCs w:val="20"/>
                <w:lang w:eastAsia="es-CR"/>
              </w:rPr>
            </w:pPr>
            <w:r w:rsidRPr="00B2692F">
              <w:rPr>
                <w:rFonts w:eastAsia="Times New Roman" w:cs="Calibri"/>
                <w:b/>
                <w:bCs/>
                <w:color w:val="000000"/>
                <w:sz w:val="20"/>
                <w:szCs w:val="20"/>
                <w:lang w:eastAsia="es-CR"/>
              </w:rPr>
              <w:t>-</w:t>
            </w:r>
            <w:r w:rsidRPr="00B2692F">
              <w:rPr>
                <w:rFonts w:ascii="Arial" w:eastAsia="Times New Roman" w:hAnsi="Arial" w:cs="Arial"/>
                <w:b/>
                <w:bCs/>
                <w:color w:val="000000"/>
                <w:sz w:val="20"/>
                <w:szCs w:val="20"/>
                <w:lang w:eastAsia="es-CR"/>
              </w:rPr>
              <w:t>₡</w:t>
            </w:r>
            <w:r w:rsidRPr="00B2692F">
              <w:rPr>
                <w:rFonts w:eastAsia="Times New Roman" w:cs="Calibri"/>
                <w:b/>
                <w:bCs/>
                <w:color w:val="000000"/>
                <w:sz w:val="20"/>
                <w:szCs w:val="20"/>
                <w:lang w:eastAsia="es-CR"/>
              </w:rPr>
              <w:t>1 108,99</w:t>
            </w:r>
          </w:p>
        </w:tc>
        <w:tc>
          <w:tcPr>
            <w:tcW w:w="883" w:type="dxa"/>
            <w:tcBorders>
              <w:top w:val="single" w:sz="8" w:space="0" w:color="auto"/>
              <w:left w:val="nil"/>
              <w:bottom w:val="single" w:sz="8" w:space="0" w:color="auto"/>
              <w:right w:val="single" w:sz="8" w:space="0" w:color="auto"/>
            </w:tcBorders>
            <w:shd w:val="clear" w:color="auto" w:fill="auto"/>
            <w:noWrap/>
            <w:vAlign w:val="bottom"/>
            <w:hideMark/>
          </w:tcPr>
          <w:p w14:paraId="77768F19" w14:textId="77777777" w:rsidR="00B2692F" w:rsidRPr="00B2692F" w:rsidRDefault="00B2692F" w:rsidP="00B2692F">
            <w:pPr>
              <w:spacing w:after="0" w:line="240" w:lineRule="auto"/>
              <w:jc w:val="right"/>
              <w:rPr>
                <w:rFonts w:eastAsia="Times New Roman" w:cs="Calibri"/>
                <w:b/>
                <w:bCs/>
                <w:color w:val="000000"/>
                <w:sz w:val="20"/>
                <w:szCs w:val="20"/>
                <w:lang w:eastAsia="es-CR"/>
              </w:rPr>
            </w:pPr>
            <w:r w:rsidRPr="00B2692F">
              <w:rPr>
                <w:rFonts w:eastAsia="Times New Roman" w:cs="Calibri"/>
                <w:b/>
                <w:bCs/>
                <w:color w:val="000000"/>
                <w:sz w:val="20"/>
                <w:szCs w:val="20"/>
                <w:lang w:eastAsia="es-CR"/>
              </w:rPr>
              <w:t>-100,00%</w:t>
            </w:r>
          </w:p>
        </w:tc>
      </w:tr>
    </w:tbl>
    <w:p w14:paraId="780CA87E" w14:textId="77777777" w:rsidR="00B2692F" w:rsidRDefault="00B2692F" w:rsidP="006148F0"/>
    <w:p w14:paraId="3327BA96" w14:textId="64CE65CD" w:rsidR="00415741" w:rsidRDefault="00415741" w:rsidP="00415741">
      <w:pPr>
        <w:spacing w:after="0" w:line="240" w:lineRule="auto"/>
        <w:rPr>
          <w:rFonts w:eastAsiaTheme="minorEastAsia" w:cs="Arial Narrow"/>
          <w:color w:val="000000"/>
          <w:lang w:eastAsia="es-CR"/>
        </w:rPr>
      </w:pPr>
    </w:p>
    <w:p w14:paraId="6F08D964" w14:textId="77777777" w:rsidR="00AC4201" w:rsidRDefault="00AC4201" w:rsidP="00415741">
      <w:pPr>
        <w:pStyle w:val="Prrafodelista"/>
        <w:spacing w:after="0" w:line="240" w:lineRule="auto"/>
        <w:ind w:left="426"/>
        <w:rPr>
          <w:rFonts w:eastAsiaTheme="minorEastAsia" w:cs="Arial Narrow"/>
          <w:color w:val="000000"/>
          <w:lang w:eastAsia="es-CR"/>
        </w:rPr>
      </w:pPr>
    </w:p>
    <w:p w14:paraId="361ADFEA" w14:textId="77777777" w:rsidR="00AC4201" w:rsidRDefault="00AC4201" w:rsidP="00415741">
      <w:pPr>
        <w:pStyle w:val="Prrafodelista"/>
        <w:spacing w:after="0" w:line="240" w:lineRule="auto"/>
        <w:ind w:left="426"/>
        <w:rPr>
          <w:rFonts w:eastAsiaTheme="minorEastAsia" w:cs="Arial Narrow"/>
          <w:color w:val="000000"/>
          <w:lang w:eastAsia="es-CR"/>
        </w:rPr>
      </w:pPr>
    </w:p>
    <w:tbl>
      <w:tblPr>
        <w:tblW w:w="5103" w:type="dxa"/>
        <w:tblInd w:w="-10" w:type="dxa"/>
        <w:tblCellMar>
          <w:left w:w="70" w:type="dxa"/>
          <w:right w:w="70" w:type="dxa"/>
        </w:tblCellMar>
        <w:tblLook w:val="04A0" w:firstRow="1" w:lastRow="0" w:firstColumn="1" w:lastColumn="0" w:noHBand="0" w:noVBand="1"/>
      </w:tblPr>
      <w:tblGrid>
        <w:gridCol w:w="1240"/>
        <w:gridCol w:w="3863"/>
      </w:tblGrid>
      <w:tr w:rsidR="00415741" w:rsidRPr="00A91674" w14:paraId="20946DE2" w14:textId="77777777" w:rsidTr="00756467">
        <w:trPr>
          <w:trHeight w:val="288"/>
        </w:trPr>
        <w:tc>
          <w:tcPr>
            <w:tcW w:w="1240" w:type="dxa"/>
            <w:tcBorders>
              <w:top w:val="single" w:sz="8" w:space="0" w:color="auto"/>
              <w:left w:val="single" w:sz="8" w:space="0" w:color="auto"/>
              <w:bottom w:val="nil"/>
              <w:right w:val="single" w:sz="8" w:space="0" w:color="auto"/>
            </w:tcBorders>
            <w:shd w:val="clear" w:color="000000" w:fill="366092"/>
            <w:noWrap/>
            <w:vAlign w:val="center"/>
            <w:hideMark/>
          </w:tcPr>
          <w:p w14:paraId="7A7F95D3" w14:textId="77777777" w:rsidR="00415741" w:rsidRPr="00A91674" w:rsidRDefault="00415741" w:rsidP="00756467">
            <w:pPr>
              <w:spacing w:after="0" w:line="240" w:lineRule="auto"/>
              <w:rPr>
                <w:rFonts w:cs="Calibri"/>
                <w:b/>
                <w:bCs/>
                <w:color w:val="FFFFFF"/>
                <w:sz w:val="18"/>
                <w:szCs w:val="18"/>
                <w:lang w:eastAsia="es-CR"/>
              </w:rPr>
            </w:pPr>
            <w:r w:rsidRPr="00A91674">
              <w:rPr>
                <w:rFonts w:cs="Calibri"/>
                <w:b/>
                <w:bCs/>
                <w:color w:val="FFFFFF"/>
                <w:sz w:val="18"/>
                <w:szCs w:val="18"/>
                <w:lang w:eastAsia="es-CR"/>
              </w:rPr>
              <w:t xml:space="preserve">Cuenta </w:t>
            </w:r>
          </w:p>
        </w:tc>
        <w:tc>
          <w:tcPr>
            <w:tcW w:w="3863" w:type="dxa"/>
            <w:tcBorders>
              <w:top w:val="single" w:sz="8" w:space="0" w:color="auto"/>
              <w:left w:val="nil"/>
              <w:bottom w:val="nil"/>
              <w:right w:val="single" w:sz="8" w:space="0" w:color="auto"/>
            </w:tcBorders>
            <w:shd w:val="clear" w:color="000000" w:fill="366092"/>
            <w:vAlign w:val="center"/>
            <w:hideMark/>
          </w:tcPr>
          <w:p w14:paraId="0BA3A8EE" w14:textId="77777777" w:rsidR="00415741" w:rsidRPr="00A91674" w:rsidRDefault="00415741" w:rsidP="00756467">
            <w:pPr>
              <w:spacing w:after="0" w:line="240" w:lineRule="auto"/>
              <w:jc w:val="center"/>
              <w:rPr>
                <w:rFonts w:cs="Calibri"/>
                <w:b/>
                <w:bCs/>
                <w:color w:val="FFFFFF"/>
                <w:sz w:val="18"/>
                <w:szCs w:val="18"/>
                <w:lang w:eastAsia="es-CR"/>
              </w:rPr>
            </w:pPr>
            <w:r w:rsidRPr="00A91674">
              <w:rPr>
                <w:rFonts w:cs="Calibri"/>
                <w:b/>
                <w:bCs/>
                <w:color w:val="FFFFFF"/>
                <w:sz w:val="18"/>
                <w:szCs w:val="18"/>
                <w:lang w:eastAsia="es-CR"/>
              </w:rPr>
              <w:t xml:space="preserve">Descripción </w:t>
            </w:r>
          </w:p>
        </w:tc>
      </w:tr>
      <w:tr w:rsidR="00415741" w:rsidRPr="00C20218" w14:paraId="0B1FEEDC" w14:textId="77777777" w:rsidTr="00756467">
        <w:trPr>
          <w:trHeight w:val="356"/>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79482C26" w14:textId="77777777" w:rsidR="00415741" w:rsidRPr="00A91674" w:rsidRDefault="00415741" w:rsidP="00756467">
            <w:pPr>
              <w:spacing w:after="0" w:line="240" w:lineRule="auto"/>
              <w:rPr>
                <w:rFonts w:cs="Calibri"/>
                <w:b/>
                <w:bCs/>
                <w:color w:val="000000"/>
                <w:sz w:val="18"/>
                <w:szCs w:val="18"/>
                <w:lang w:eastAsia="es-CR"/>
              </w:rPr>
            </w:pPr>
            <w:r w:rsidRPr="00B43583">
              <w:rPr>
                <w:rFonts w:cs="Calibri"/>
                <w:b/>
                <w:bCs/>
                <w:color w:val="000000"/>
                <w:sz w:val="18"/>
                <w:szCs w:val="18"/>
                <w:lang w:eastAsia="es-CR"/>
              </w:rPr>
              <w:t>2.1.1.02.</w:t>
            </w:r>
          </w:p>
        </w:tc>
        <w:tc>
          <w:tcPr>
            <w:tcW w:w="3863" w:type="dxa"/>
            <w:tcBorders>
              <w:top w:val="nil"/>
              <w:left w:val="nil"/>
              <w:bottom w:val="single" w:sz="8" w:space="0" w:color="auto"/>
              <w:right w:val="single" w:sz="8" w:space="0" w:color="auto"/>
            </w:tcBorders>
            <w:shd w:val="clear" w:color="auto" w:fill="auto"/>
            <w:vAlign w:val="center"/>
            <w:hideMark/>
          </w:tcPr>
          <w:p w14:paraId="60D29EB8" w14:textId="77777777" w:rsidR="00415741" w:rsidRPr="00A91674" w:rsidRDefault="00415741" w:rsidP="00756467">
            <w:pPr>
              <w:spacing w:after="0" w:line="240" w:lineRule="auto"/>
              <w:rPr>
                <w:rFonts w:cs="Calibri"/>
                <w:b/>
                <w:bCs/>
                <w:color w:val="000000"/>
                <w:sz w:val="18"/>
                <w:szCs w:val="18"/>
                <w:lang w:eastAsia="es-CR"/>
              </w:rPr>
            </w:pPr>
            <w:r w:rsidRPr="00B43583">
              <w:rPr>
                <w:rFonts w:cs="Calibri"/>
                <w:b/>
                <w:bCs/>
                <w:color w:val="000000"/>
                <w:sz w:val="18"/>
                <w:szCs w:val="18"/>
                <w:lang w:eastAsia="es-CR"/>
              </w:rPr>
              <w:t>Deudas sociales y fiscales a corto plazo</w:t>
            </w:r>
          </w:p>
        </w:tc>
      </w:tr>
    </w:tbl>
    <w:p w14:paraId="631B249E" w14:textId="77777777" w:rsidR="00415741" w:rsidRDefault="00415741" w:rsidP="00415741">
      <w:pPr>
        <w:spacing w:after="0" w:line="240" w:lineRule="auto"/>
        <w:rPr>
          <w:rFonts w:eastAsiaTheme="minorEastAsia" w:cs="Arial Narrow"/>
          <w:color w:val="000000"/>
          <w:lang w:eastAsia="es-CR"/>
        </w:rPr>
      </w:pPr>
    </w:p>
    <w:p w14:paraId="17A0BBC2" w14:textId="77777777" w:rsidR="00AC4201" w:rsidRDefault="00AC4201" w:rsidP="00415741">
      <w:pPr>
        <w:spacing w:after="0" w:line="240" w:lineRule="auto"/>
        <w:rPr>
          <w:rFonts w:eastAsiaTheme="minorEastAsia" w:cs="Arial Narrow"/>
          <w:color w:val="000000"/>
          <w:lang w:eastAsia="es-CR"/>
        </w:rPr>
      </w:pPr>
    </w:p>
    <w:p w14:paraId="6BA3C65E" w14:textId="77777777" w:rsidR="00AC4201" w:rsidRDefault="00AC4201" w:rsidP="00415741">
      <w:pPr>
        <w:spacing w:after="0" w:line="240" w:lineRule="auto"/>
        <w:rPr>
          <w:rFonts w:eastAsiaTheme="minorEastAsia" w:cs="Arial Narrow"/>
          <w:color w:val="000000"/>
          <w:lang w:eastAsia="es-CR"/>
        </w:rPr>
      </w:pPr>
    </w:p>
    <w:p w14:paraId="1CD7C674" w14:textId="77777777" w:rsidR="00AC4201" w:rsidRDefault="00AC4201" w:rsidP="00415741">
      <w:pPr>
        <w:spacing w:after="0" w:line="240" w:lineRule="auto"/>
        <w:rPr>
          <w:rFonts w:eastAsiaTheme="minorEastAsia" w:cs="Arial Narrow"/>
          <w:color w:val="000000"/>
          <w:lang w:eastAsia="es-CR"/>
        </w:rPr>
      </w:pPr>
    </w:p>
    <w:p w14:paraId="188C38CA" w14:textId="77777777" w:rsidR="00AC4201" w:rsidRDefault="00AC4201" w:rsidP="00415741">
      <w:pPr>
        <w:spacing w:after="0" w:line="240" w:lineRule="auto"/>
        <w:rPr>
          <w:rFonts w:eastAsiaTheme="minorEastAsia" w:cs="Arial Narrow"/>
          <w:color w:val="000000"/>
          <w:lang w:eastAsia="es-CR"/>
        </w:rPr>
      </w:pPr>
    </w:p>
    <w:p w14:paraId="2358B22B" w14:textId="77777777" w:rsidR="00415741" w:rsidRDefault="00415741" w:rsidP="00415741">
      <w:pPr>
        <w:spacing w:after="0" w:line="240" w:lineRule="auto"/>
        <w:rPr>
          <w:rFonts w:eastAsiaTheme="minorEastAsia" w:cs="Arial Narrow"/>
          <w:color w:val="000000"/>
          <w:lang w:eastAsia="es-CR"/>
        </w:rPr>
      </w:pPr>
    </w:p>
    <w:tbl>
      <w:tblPr>
        <w:tblW w:w="8780" w:type="dxa"/>
        <w:tblCellMar>
          <w:left w:w="70" w:type="dxa"/>
          <w:right w:w="70" w:type="dxa"/>
        </w:tblCellMar>
        <w:tblLook w:val="04A0" w:firstRow="1" w:lastRow="0" w:firstColumn="1" w:lastColumn="0" w:noHBand="0" w:noVBand="1"/>
      </w:tblPr>
      <w:tblGrid>
        <w:gridCol w:w="1275"/>
        <w:gridCol w:w="3164"/>
        <w:gridCol w:w="1135"/>
        <w:gridCol w:w="1274"/>
        <w:gridCol w:w="1095"/>
        <w:gridCol w:w="875"/>
      </w:tblGrid>
      <w:tr w:rsidR="00415741" w:rsidRPr="008E621B" w14:paraId="36113B18" w14:textId="77777777" w:rsidTr="00756467">
        <w:trPr>
          <w:trHeight w:val="525"/>
        </w:trPr>
        <w:tc>
          <w:tcPr>
            <w:tcW w:w="1280" w:type="dxa"/>
            <w:tcBorders>
              <w:top w:val="single" w:sz="8" w:space="0" w:color="auto"/>
              <w:left w:val="single" w:sz="8" w:space="0" w:color="auto"/>
              <w:bottom w:val="nil"/>
              <w:right w:val="single" w:sz="12" w:space="0" w:color="auto"/>
            </w:tcBorders>
            <w:shd w:val="clear" w:color="000000" w:fill="002060"/>
            <w:noWrap/>
            <w:vAlign w:val="center"/>
            <w:hideMark/>
          </w:tcPr>
          <w:p w14:paraId="1CB7DD43" w14:textId="77777777" w:rsidR="00415741" w:rsidRPr="008E621B" w:rsidRDefault="00415741" w:rsidP="00756467">
            <w:pPr>
              <w:spacing w:after="0" w:line="240" w:lineRule="auto"/>
              <w:jc w:val="center"/>
              <w:rPr>
                <w:rFonts w:eastAsia="Times New Roman" w:cs="Calibri"/>
                <w:b/>
                <w:bCs/>
                <w:color w:val="FFFFFF"/>
                <w:sz w:val="20"/>
                <w:szCs w:val="20"/>
                <w:lang w:eastAsia="es-CR"/>
              </w:rPr>
            </w:pPr>
            <w:r w:rsidRPr="008E621B">
              <w:rPr>
                <w:rFonts w:eastAsia="Times New Roman" w:cs="Calibri"/>
                <w:b/>
                <w:bCs/>
                <w:color w:val="FFFFFF"/>
                <w:sz w:val="20"/>
                <w:szCs w:val="20"/>
                <w:lang w:eastAsia="es-CR"/>
              </w:rPr>
              <w:lastRenderedPageBreak/>
              <w:t>Cuenta</w:t>
            </w:r>
          </w:p>
        </w:tc>
        <w:tc>
          <w:tcPr>
            <w:tcW w:w="3180" w:type="dxa"/>
            <w:tcBorders>
              <w:top w:val="single" w:sz="8" w:space="0" w:color="auto"/>
              <w:left w:val="nil"/>
              <w:bottom w:val="nil"/>
              <w:right w:val="single" w:sz="12" w:space="0" w:color="auto"/>
            </w:tcBorders>
            <w:shd w:val="clear" w:color="000000" w:fill="002060"/>
            <w:noWrap/>
            <w:vAlign w:val="center"/>
            <w:hideMark/>
          </w:tcPr>
          <w:p w14:paraId="54B00B4F" w14:textId="77777777" w:rsidR="00415741" w:rsidRPr="008E621B" w:rsidRDefault="00415741" w:rsidP="00756467">
            <w:pPr>
              <w:spacing w:after="0" w:line="240" w:lineRule="auto"/>
              <w:jc w:val="center"/>
              <w:rPr>
                <w:rFonts w:eastAsia="Times New Roman" w:cs="Calibri"/>
                <w:b/>
                <w:bCs/>
                <w:color w:val="FFFFFF"/>
                <w:sz w:val="20"/>
                <w:szCs w:val="20"/>
                <w:lang w:eastAsia="es-CR"/>
              </w:rPr>
            </w:pPr>
            <w:r w:rsidRPr="008E621B">
              <w:rPr>
                <w:rFonts w:eastAsia="Times New Roman" w:cs="Calibri"/>
                <w:b/>
                <w:bCs/>
                <w:color w:val="FFFFFF"/>
                <w:sz w:val="20"/>
                <w:szCs w:val="20"/>
                <w:lang w:eastAsia="es-CR"/>
              </w:rPr>
              <w:t>Descripción</w:t>
            </w:r>
          </w:p>
        </w:tc>
        <w:tc>
          <w:tcPr>
            <w:tcW w:w="1140" w:type="dxa"/>
            <w:tcBorders>
              <w:top w:val="single" w:sz="8" w:space="0" w:color="auto"/>
              <w:left w:val="nil"/>
              <w:bottom w:val="nil"/>
              <w:right w:val="single" w:sz="12" w:space="0" w:color="auto"/>
            </w:tcBorders>
            <w:shd w:val="clear" w:color="000000" w:fill="002060"/>
            <w:vAlign w:val="center"/>
            <w:hideMark/>
          </w:tcPr>
          <w:p w14:paraId="00AEC9D8" w14:textId="77777777" w:rsidR="00415741" w:rsidRPr="008E621B" w:rsidRDefault="00415741" w:rsidP="00756467">
            <w:pPr>
              <w:spacing w:after="0" w:line="240" w:lineRule="auto"/>
              <w:jc w:val="center"/>
              <w:rPr>
                <w:rFonts w:eastAsia="Times New Roman" w:cs="Calibri"/>
                <w:b/>
                <w:bCs/>
                <w:color w:val="FFFFFF"/>
                <w:sz w:val="20"/>
                <w:szCs w:val="20"/>
                <w:lang w:eastAsia="es-CR"/>
              </w:rPr>
            </w:pPr>
            <w:r w:rsidRPr="008E621B">
              <w:rPr>
                <w:rFonts w:eastAsia="Times New Roman" w:cs="Calibri"/>
                <w:b/>
                <w:bCs/>
                <w:color w:val="FFFFFF"/>
                <w:sz w:val="20"/>
                <w:szCs w:val="20"/>
                <w:lang w:eastAsia="es-CR"/>
              </w:rPr>
              <w:t>Saldo Año Actual</w:t>
            </w:r>
          </w:p>
        </w:tc>
        <w:tc>
          <w:tcPr>
            <w:tcW w:w="1280" w:type="dxa"/>
            <w:tcBorders>
              <w:top w:val="single" w:sz="8" w:space="0" w:color="auto"/>
              <w:left w:val="nil"/>
              <w:bottom w:val="nil"/>
              <w:right w:val="single" w:sz="12" w:space="0" w:color="auto"/>
            </w:tcBorders>
            <w:shd w:val="clear" w:color="000000" w:fill="002060"/>
            <w:vAlign w:val="center"/>
            <w:hideMark/>
          </w:tcPr>
          <w:p w14:paraId="4C820569" w14:textId="77777777" w:rsidR="00415741" w:rsidRPr="008E621B" w:rsidRDefault="00415741" w:rsidP="00756467">
            <w:pPr>
              <w:spacing w:after="0" w:line="240" w:lineRule="auto"/>
              <w:jc w:val="center"/>
              <w:rPr>
                <w:rFonts w:eastAsia="Times New Roman" w:cs="Calibri"/>
                <w:b/>
                <w:bCs/>
                <w:color w:val="FFFFFF"/>
                <w:sz w:val="20"/>
                <w:szCs w:val="20"/>
                <w:lang w:eastAsia="es-CR"/>
              </w:rPr>
            </w:pPr>
            <w:r w:rsidRPr="008E621B">
              <w:rPr>
                <w:rFonts w:eastAsia="Times New Roman" w:cs="Calibri"/>
                <w:b/>
                <w:bCs/>
                <w:color w:val="FFFFFF"/>
                <w:sz w:val="20"/>
                <w:szCs w:val="20"/>
                <w:lang w:eastAsia="es-CR"/>
              </w:rPr>
              <w:t>Saldo Año Anterior</w:t>
            </w:r>
          </w:p>
        </w:tc>
        <w:tc>
          <w:tcPr>
            <w:tcW w:w="1100" w:type="dxa"/>
            <w:tcBorders>
              <w:top w:val="single" w:sz="8" w:space="0" w:color="auto"/>
              <w:left w:val="nil"/>
              <w:bottom w:val="nil"/>
              <w:right w:val="single" w:sz="12" w:space="0" w:color="auto"/>
            </w:tcBorders>
            <w:shd w:val="clear" w:color="000000" w:fill="002060"/>
            <w:vAlign w:val="center"/>
            <w:hideMark/>
          </w:tcPr>
          <w:p w14:paraId="331671DA" w14:textId="77777777" w:rsidR="00415741" w:rsidRPr="008E621B" w:rsidRDefault="00415741" w:rsidP="00756467">
            <w:pPr>
              <w:spacing w:after="0" w:line="240" w:lineRule="auto"/>
              <w:jc w:val="center"/>
              <w:rPr>
                <w:rFonts w:eastAsia="Times New Roman" w:cs="Calibri"/>
                <w:b/>
                <w:bCs/>
                <w:color w:val="FFFFFF"/>
                <w:sz w:val="20"/>
                <w:szCs w:val="20"/>
                <w:lang w:eastAsia="es-CR"/>
              </w:rPr>
            </w:pPr>
            <w:r w:rsidRPr="008E621B">
              <w:rPr>
                <w:rFonts w:eastAsia="Times New Roman" w:cs="Calibri"/>
                <w:b/>
                <w:bCs/>
                <w:color w:val="FFFFFF"/>
                <w:sz w:val="20"/>
                <w:szCs w:val="20"/>
                <w:lang w:eastAsia="es-CR"/>
              </w:rPr>
              <w:t>Variación Absoluta</w:t>
            </w:r>
          </w:p>
        </w:tc>
        <w:tc>
          <w:tcPr>
            <w:tcW w:w="800" w:type="dxa"/>
            <w:tcBorders>
              <w:top w:val="single" w:sz="8" w:space="0" w:color="auto"/>
              <w:left w:val="nil"/>
              <w:bottom w:val="nil"/>
              <w:right w:val="single" w:sz="8" w:space="0" w:color="auto"/>
            </w:tcBorders>
            <w:shd w:val="clear" w:color="000000" w:fill="002060"/>
            <w:vAlign w:val="center"/>
            <w:hideMark/>
          </w:tcPr>
          <w:p w14:paraId="7F1A7BED" w14:textId="77777777" w:rsidR="00415741" w:rsidRPr="008E621B" w:rsidRDefault="00415741" w:rsidP="00756467">
            <w:pPr>
              <w:spacing w:after="0" w:line="240" w:lineRule="auto"/>
              <w:jc w:val="center"/>
              <w:rPr>
                <w:rFonts w:eastAsia="Times New Roman" w:cs="Calibri"/>
                <w:b/>
                <w:bCs/>
                <w:color w:val="FFFFFF"/>
                <w:sz w:val="20"/>
                <w:szCs w:val="20"/>
                <w:lang w:eastAsia="es-CR"/>
              </w:rPr>
            </w:pPr>
            <w:r w:rsidRPr="008E621B">
              <w:rPr>
                <w:rFonts w:eastAsia="Times New Roman" w:cs="Calibri"/>
                <w:b/>
                <w:bCs/>
                <w:color w:val="FFFFFF"/>
                <w:sz w:val="20"/>
                <w:szCs w:val="20"/>
                <w:lang w:eastAsia="es-CR"/>
              </w:rPr>
              <w:t>Variación %</w:t>
            </w:r>
          </w:p>
        </w:tc>
      </w:tr>
      <w:tr w:rsidR="00415741" w:rsidRPr="008E621B" w14:paraId="0D2125E2" w14:textId="77777777" w:rsidTr="00756467">
        <w:trPr>
          <w:trHeight w:val="300"/>
        </w:trPr>
        <w:tc>
          <w:tcPr>
            <w:tcW w:w="1280" w:type="dxa"/>
            <w:tcBorders>
              <w:top w:val="single" w:sz="8" w:space="0" w:color="auto"/>
              <w:left w:val="single" w:sz="8" w:space="0" w:color="auto"/>
              <w:bottom w:val="nil"/>
              <w:right w:val="single" w:sz="8" w:space="0" w:color="auto"/>
            </w:tcBorders>
            <w:shd w:val="clear" w:color="auto" w:fill="auto"/>
            <w:noWrap/>
            <w:vAlign w:val="bottom"/>
            <w:hideMark/>
          </w:tcPr>
          <w:p w14:paraId="4E14D545" w14:textId="77777777" w:rsidR="00415741" w:rsidRPr="008E621B" w:rsidRDefault="00415741" w:rsidP="00756467">
            <w:pPr>
              <w:spacing w:after="0" w:line="240" w:lineRule="auto"/>
              <w:jc w:val="left"/>
              <w:rPr>
                <w:rFonts w:ascii="Calibri" w:eastAsia="Times New Roman" w:hAnsi="Calibri" w:cs="Calibri"/>
                <w:color w:val="000000"/>
                <w:sz w:val="22"/>
                <w:lang w:eastAsia="es-CR"/>
              </w:rPr>
            </w:pPr>
            <w:r w:rsidRPr="008E621B">
              <w:rPr>
                <w:rFonts w:ascii="Calibri" w:eastAsia="Times New Roman" w:hAnsi="Calibri" w:cs="Calibri"/>
                <w:color w:val="000000"/>
                <w:sz w:val="22"/>
                <w:lang w:eastAsia="es-CR"/>
              </w:rPr>
              <w:t> </w:t>
            </w:r>
          </w:p>
        </w:tc>
        <w:tc>
          <w:tcPr>
            <w:tcW w:w="3180" w:type="dxa"/>
            <w:tcBorders>
              <w:top w:val="single" w:sz="8" w:space="0" w:color="auto"/>
              <w:left w:val="nil"/>
              <w:bottom w:val="nil"/>
              <w:right w:val="single" w:sz="8" w:space="0" w:color="auto"/>
            </w:tcBorders>
            <w:shd w:val="clear" w:color="auto" w:fill="auto"/>
            <w:noWrap/>
            <w:vAlign w:val="bottom"/>
            <w:hideMark/>
          </w:tcPr>
          <w:p w14:paraId="104691D5" w14:textId="77777777" w:rsidR="00415741" w:rsidRPr="008E621B" w:rsidRDefault="00415741" w:rsidP="00756467">
            <w:pPr>
              <w:spacing w:after="0" w:line="240" w:lineRule="auto"/>
              <w:jc w:val="left"/>
              <w:rPr>
                <w:rFonts w:eastAsia="Times New Roman" w:cs="Calibri"/>
                <w:b/>
                <w:bCs/>
                <w:color w:val="000000"/>
                <w:sz w:val="20"/>
                <w:szCs w:val="20"/>
                <w:lang w:eastAsia="es-CR"/>
              </w:rPr>
            </w:pPr>
            <w:r w:rsidRPr="008E621B">
              <w:rPr>
                <w:rFonts w:eastAsia="Times New Roman" w:cs="Calibri"/>
                <w:b/>
                <w:bCs/>
                <w:color w:val="000000"/>
                <w:sz w:val="20"/>
                <w:szCs w:val="20"/>
                <w:lang w:eastAsia="es-CR"/>
              </w:rPr>
              <w:t>Deudas sociales y fiscales a corto plazo</w:t>
            </w:r>
          </w:p>
        </w:tc>
        <w:tc>
          <w:tcPr>
            <w:tcW w:w="1140" w:type="dxa"/>
            <w:tcBorders>
              <w:top w:val="single" w:sz="8" w:space="0" w:color="auto"/>
              <w:left w:val="nil"/>
              <w:bottom w:val="nil"/>
              <w:right w:val="single" w:sz="8" w:space="0" w:color="auto"/>
            </w:tcBorders>
            <w:shd w:val="clear" w:color="auto" w:fill="auto"/>
            <w:noWrap/>
            <w:vAlign w:val="bottom"/>
            <w:hideMark/>
          </w:tcPr>
          <w:p w14:paraId="7E556314" w14:textId="77777777" w:rsidR="00415741" w:rsidRPr="008E621B" w:rsidRDefault="00415741" w:rsidP="00756467">
            <w:pPr>
              <w:spacing w:after="0" w:line="240" w:lineRule="auto"/>
              <w:jc w:val="left"/>
              <w:rPr>
                <w:rFonts w:eastAsia="Times New Roman" w:cs="Calibri"/>
                <w:color w:val="000000"/>
                <w:sz w:val="20"/>
                <w:szCs w:val="20"/>
                <w:lang w:eastAsia="es-CR"/>
              </w:rPr>
            </w:pPr>
            <w:r w:rsidRPr="008E621B">
              <w:rPr>
                <w:rFonts w:eastAsia="Times New Roman" w:cs="Calibri"/>
                <w:color w:val="000000"/>
                <w:sz w:val="20"/>
                <w:szCs w:val="20"/>
                <w:lang w:eastAsia="es-CR"/>
              </w:rPr>
              <w:t> </w:t>
            </w:r>
          </w:p>
        </w:tc>
        <w:tc>
          <w:tcPr>
            <w:tcW w:w="1280" w:type="dxa"/>
            <w:tcBorders>
              <w:top w:val="single" w:sz="8" w:space="0" w:color="auto"/>
              <w:left w:val="nil"/>
              <w:bottom w:val="nil"/>
              <w:right w:val="single" w:sz="8" w:space="0" w:color="auto"/>
            </w:tcBorders>
            <w:shd w:val="clear" w:color="auto" w:fill="auto"/>
            <w:noWrap/>
            <w:vAlign w:val="bottom"/>
            <w:hideMark/>
          </w:tcPr>
          <w:p w14:paraId="2CC6FA24" w14:textId="77777777" w:rsidR="00415741" w:rsidRPr="008E621B" w:rsidRDefault="00415741" w:rsidP="00756467">
            <w:pPr>
              <w:spacing w:after="0" w:line="240" w:lineRule="auto"/>
              <w:jc w:val="left"/>
              <w:rPr>
                <w:rFonts w:eastAsia="Times New Roman" w:cs="Calibri"/>
                <w:color w:val="000000"/>
                <w:sz w:val="20"/>
                <w:szCs w:val="20"/>
                <w:lang w:eastAsia="es-CR"/>
              </w:rPr>
            </w:pPr>
            <w:r w:rsidRPr="008E621B">
              <w:rPr>
                <w:rFonts w:eastAsia="Times New Roman" w:cs="Calibri"/>
                <w:color w:val="000000"/>
                <w:sz w:val="20"/>
                <w:szCs w:val="20"/>
                <w:lang w:eastAsia="es-CR"/>
              </w:rPr>
              <w:t> </w:t>
            </w:r>
          </w:p>
        </w:tc>
        <w:tc>
          <w:tcPr>
            <w:tcW w:w="1100" w:type="dxa"/>
            <w:tcBorders>
              <w:top w:val="single" w:sz="8" w:space="0" w:color="auto"/>
              <w:left w:val="nil"/>
              <w:bottom w:val="nil"/>
              <w:right w:val="single" w:sz="8" w:space="0" w:color="auto"/>
            </w:tcBorders>
            <w:shd w:val="clear" w:color="auto" w:fill="auto"/>
            <w:noWrap/>
            <w:vAlign w:val="bottom"/>
            <w:hideMark/>
          </w:tcPr>
          <w:p w14:paraId="687704ED" w14:textId="77777777" w:rsidR="00415741" w:rsidRPr="008E621B" w:rsidRDefault="00415741" w:rsidP="00756467">
            <w:pPr>
              <w:spacing w:after="0" w:line="240" w:lineRule="auto"/>
              <w:jc w:val="left"/>
              <w:rPr>
                <w:rFonts w:eastAsia="Times New Roman" w:cs="Calibri"/>
                <w:color w:val="000000"/>
                <w:sz w:val="20"/>
                <w:szCs w:val="20"/>
                <w:lang w:eastAsia="es-CR"/>
              </w:rPr>
            </w:pPr>
            <w:r w:rsidRPr="008E621B">
              <w:rPr>
                <w:rFonts w:eastAsia="Times New Roman" w:cs="Calibri"/>
                <w:color w:val="000000"/>
                <w:sz w:val="20"/>
                <w:szCs w:val="20"/>
                <w:lang w:eastAsia="es-CR"/>
              </w:rPr>
              <w:t> </w:t>
            </w:r>
          </w:p>
        </w:tc>
        <w:tc>
          <w:tcPr>
            <w:tcW w:w="800" w:type="dxa"/>
            <w:tcBorders>
              <w:top w:val="single" w:sz="8" w:space="0" w:color="auto"/>
              <w:left w:val="nil"/>
              <w:bottom w:val="nil"/>
              <w:right w:val="single" w:sz="8" w:space="0" w:color="auto"/>
            </w:tcBorders>
            <w:shd w:val="clear" w:color="auto" w:fill="auto"/>
            <w:noWrap/>
            <w:vAlign w:val="bottom"/>
            <w:hideMark/>
          </w:tcPr>
          <w:p w14:paraId="3904EDBC" w14:textId="77777777" w:rsidR="00415741" w:rsidRPr="008E621B" w:rsidRDefault="00415741" w:rsidP="00756467">
            <w:pPr>
              <w:spacing w:after="0" w:line="240" w:lineRule="auto"/>
              <w:jc w:val="left"/>
              <w:rPr>
                <w:rFonts w:eastAsia="Times New Roman" w:cs="Calibri"/>
                <w:color w:val="000000"/>
                <w:sz w:val="20"/>
                <w:szCs w:val="20"/>
                <w:lang w:eastAsia="es-CR"/>
              </w:rPr>
            </w:pPr>
            <w:r w:rsidRPr="008E621B">
              <w:rPr>
                <w:rFonts w:eastAsia="Times New Roman" w:cs="Calibri"/>
                <w:color w:val="000000"/>
                <w:sz w:val="20"/>
                <w:szCs w:val="20"/>
                <w:lang w:eastAsia="es-CR"/>
              </w:rPr>
              <w:t xml:space="preserve"> </w:t>
            </w:r>
          </w:p>
        </w:tc>
      </w:tr>
      <w:tr w:rsidR="00415741" w:rsidRPr="008E621B" w14:paraId="248CBD40" w14:textId="77777777" w:rsidTr="00756467">
        <w:trPr>
          <w:trHeight w:val="525"/>
        </w:trPr>
        <w:tc>
          <w:tcPr>
            <w:tcW w:w="1280" w:type="dxa"/>
            <w:tcBorders>
              <w:top w:val="nil"/>
              <w:left w:val="single" w:sz="8" w:space="0" w:color="auto"/>
              <w:bottom w:val="nil"/>
              <w:right w:val="single" w:sz="8" w:space="0" w:color="auto"/>
            </w:tcBorders>
            <w:shd w:val="clear" w:color="auto" w:fill="auto"/>
            <w:noWrap/>
            <w:vAlign w:val="bottom"/>
            <w:hideMark/>
          </w:tcPr>
          <w:p w14:paraId="4BB707BF" w14:textId="77777777" w:rsidR="00415741" w:rsidRPr="008E621B" w:rsidRDefault="00415741" w:rsidP="00756467">
            <w:pPr>
              <w:spacing w:after="0" w:line="240" w:lineRule="auto"/>
              <w:jc w:val="left"/>
              <w:rPr>
                <w:rFonts w:eastAsia="Times New Roman" w:cs="Calibri"/>
                <w:color w:val="000000"/>
                <w:sz w:val="20"/>
                <w:szCs w:val="20"/>
                <w:lang w:eastAsia="es-CR"/>
              </w:rPr>
            </w:pPr>
            <w:r w:rsidRPr="008E621B">
              <w:rPr>
                <w:rFonts w:eastAsia="Times New Roman" w:cs="Calibri"/>
                <w:color w:val="000000"/>
                <w:sz w:val="20"/>
                <w:szCs w:val="20"/>
                <w:lang w:eastAsia="es-CR"/>
              </w:rPr>
              <w:t>2.1.1.02.01.01.</w:t>
            </w:r>
          </w:p>
        </w:tc>
        <w:tc>
          <w:tcPr>
            <w:tcW w:w="3180" w:type="dxa"/>
            <w:tcBorders>
              <w:top w:val="nil"/>
              <w:left w:val="nil"/>
              <w:bottom w:val="nil"/>
              <w:right w:val="single" w:sz="8" w:space="0" w:color="auto"/>
            </w:tcBorders>
            <w:shd w:val="clear" w:color="auto" w:fill="auto"/>
            <w:vAlign w:val="bottom"/>
            <w:hideMark/>
          </w:tcPr>
          <w:p w14:paraId="47B11084" w14:textId="77777777" w:rsidR="00415741" w:rsidRPr="008E621B" w:rsidRDefault="00415741" w:rsidP="00756467">
            <w:pPr>
              <w:spacing w:after="0" w:line="240" w:lineRule="auto"/>
              <w:jc w:val="left"/>
              <w:rPr>
                <w:rFonts w:eastAsia="Times New Roman" w:cs="Calibri"/>
                <w:color w:val="000000"/>
                <w:sz w:val="20"/>
                <w:szCs w:val="20"/>
                <w:lang w:eastAsia="es-CR"/>
              </w:rPr>
            </w:pPr>
            <w:r w:rsidRPr="008E621B">
              <w:rPr>
                <w:rFonts w:eastAsia="Times New Roman" w:cs="Calibri"/>
                <w:color w:val="000000"/>
                <w:sz w:val="20"/>
                <w:szCs w:val="20"/>
                <w:lang w:eastAsia="es-CR"/>
              </w:rPr>
              <w:t>Remuneraciones básicas y eventuales a pagar c/p (Remuneraciones)</w:t>
            </w:r>
          </w:p>
        </w:tc>
        <w:tc>
          <w:tcPr>
            <w:tcW w:w="1140" w:type="dxa"/>
            <w:tcBorders>
              <w:top w:val="nil"/>
              <w:left w:val="nil"/>
              <w:bottom w:val="nil"/>
              <w:right w:val="single" w:sz="8" w:space="0" w:color="auto"/>
            </w:tcBorders>
            <w:shd w:val="clear" w:color="000000" w:fill="FFFFFF"/>
            <w:noWrap/>
            <w:vAlign w:val="bottom"/>
            <w:hideMark/>
          </w:tcPr>
          <w:p w14:paraId="6ED36188" w14:textId="77777777" w:rsidR="00415741" w:rsidRPr="008E621B" w:rsidRDefault="00415741" w:rsidP="00756467">
            <w:pPr>
              <w:spacing w:after="0" w:line="240" w:lineRule="auto"/>
              <w:jc w:val="right"/>
              <w:rPr>
                <w:rFonts w:eastAsia="Times New Roman" w:cs="Calibri"/>
                <w:color w:val="000000"/>
                <w:sz w:val="20"/>
                <w:szCs w:val="20"/>
                <w:lang w:eastAsia="es-CR"/>
              </w:rPr>
            </w:pPr>
            <w:r w:rsidRPr="008E621B">
              <w:rPr>
                <w:rFonts w:ascii="Arial" w:eastAsia="Times New Roman" w:hAnsi="Arial" w:cs="Arial"/>
                <w:color w:val="000000"/>
                <w:sz w:val="20"/>
                <w:szCs w:val="20"/>
                <w:lang w:eastAsia="es-CR"/>
              </w:rPr>
              <w:t>₡</w:t>
            </w:r>
            <w:r w:rsidRPr="008E621B">
              <w:rPr>
                <w:rFonts w:eastAsia="Times New Roman" w:cs="Calibri"/>
                <w:color w:val="000000"/>
                <w:sz w:val="20"/>
                <w:szCs w:val="20"/>
                <w:lang w:eastAsia="es-CR"/>
              </w:rPr>
              <w:t>29 826,26</w:t>
            </w:r>
          </w:p>
        </w:tc>
        <w:tc>
          <w:tcPr>
            <w:tcW w:w="1280" w:type="dxa"/>
            <w:tcBorders>
              <w:top w:val="nil"/>
              <w:left w:val="nil"/>
              <w:bottom w:val="nil"/>
              <w:right w:val="single" w:sz="8" w:space="0" w:color="auto"/>
            </w:tcBorders>
            <w:shd w:val="clear" w:color="auto" w:fill="auto"/>
            <w:noWrap/>
            <w:vAlign w:val="bottom"/>
            <w:hideMark/>
          </w:tcPr>
          <w:p w14:paraId="3E51867B" w14:textId="77777777" w:rsidR="00415741" w:rsidRPr="008E621B" w:rsidRDefault="00415741" w:rsidP="00756467">
            <w:pPr>
              <w:spacing w:after="0" w:line="240" w:lineRule="auto"/>
              <w:jc w:val="right"/>
              <w:rPr>
                <w:rFonts w:eastAsia="Times New Roman" w:cs="Calibri"/>
                <w:color w:val="000000"/>
                <w:sz w:val="20"/>
                <w:szCs w:val="20"/>
                <w:lang w:eastAsia="es-CR"/>
              </w:rPr>
            </w:pPr>
            <w:r w:rsidRPr="008E621B">
              <w:rPr>
                <w:rFonts w:ascii="Arial" w:eastAsia="Times New Roman" w:hAnsi="Arial" w:cs="Arial"/>
                <w:color w:val="000000"/>
                <w:sz w:val="20"/>
                <w:szCs w:val="20"/>
                <w:lang w:eastAsia="es-CR"/>
              </w:rPr>
              <w:t>₡</w:t>
            </w:r>
            <w:r w:rsidRPr="008E621B">
              <w:rPr>
                <w:rFonts w:eastAsia="Times New Roman" w:cs="Calibri"/>
                <w:color w:val="000000"/>
                <w:sz w:val="20"/>
                <w:szCs w:val="20"/>
                <w:lang w:eastAsia="es-CR"/>
              </w:rPr>
              <w:t>72 274,76</w:t>
            </w:r>
          </w:p>
        </w:tc>
        <w:tc>
          <w:tcPr>
            <w:tcW w:w="1100" w:type="dxa"/>
            <w:tcBorders>
              <w:top w:val="nil"/>
              <w:left w:val="nil"/>
              <w:bottom w:val="nil"/>
              <w:right w:val="single" w:sz="8" w:space="0" w:color="auto"/>
            </w:tcBorders>
            <w:shd w:val="clear" w:color="auto" w:fill="auto"/>
            <w:noWrap/>
            <w:vAlign w:val="bottom"/>
            <w:hideMark/>
          </w:tcPr>
          <w:p w14:paraId="58A1020F" w14:textId="77777777" w:rsidR="00415741" w:rsidRPr="008E621B" w:rsidRDefault="00415741" w:rsidP="00756467">
            <w:pPr>
              <w:spacing w:after="0" w:line="240" w:lineRule="auto"/>
              <w:jc w:val="right"/>
              <w:rPr>
                <w:rFonts w:eastAsia="Times New Roman" w:cs="Calibri"/>
                <w:color w:val="000000"/>
                <w:sz w:val="20"/>
                <w:szCs w:val="20"/>
                <w:lang w:eastAsia="es-CR"/>
              </w:rPr>
            </w:pPr>
            <w:r w:rsidRPr="008E621B">
              <w:rPr>
                <w:rFonts w:eastAsia="Times New Roman" w:cs="Calibri"/>
                <w:color w:val="000000"/>
                <w:sz w:val="20"/>
                <w:szCs w:val="20"/>
                <w:lang w:eastAsia="es-CR"/>
              </w:rPr>
              <w:t>-</w:t>
            </w:r>
            <w:r w:rsidRPr="008E621B">
              <w:rPr>
                <w:rFonts w:ascii="Arial" w:eastAsia="Times New Roman" w:hAnsi="Arial" w:cs="Arial"/>
                <w:color w:val="000000"/>
                <w:sz w:val="20"/>
                <w:szCs w:val="20"/>
                <w:lang w:eastAsia="es-CR"/>
              </w:rPr>
              <w:t>₡</w:t>
            </w:r>
            <w:r w:rsidRPr="008E621B">
              <w:rPr>
                <w:rFonts w:eastAsia="Times New Roman" w:cs="Calibri"/>
                <w:color w:val="000000"/>
                <w:sz w:val="20"/>
                <w:szCs w:val="20"/>
                <w:lang w:eastAsia="es-CR"/>
              </w:rPr>
              <w:t>42 448,50</w:t>
            </w:r>
          </w:p>
        </w:tc>
        <w:tc>
          <w:tcPr>
            <w:tcW w:w="800" w:type="dxa"/>
            <w:tcBorders>
              <w:top w:val="nil"/>
              <w:left w:val="nil"/>
              <w:bottom w:val="nil"/>
              <w:right w:val="single" w:sz="8" w:space="0" w:color="auto"/>
            </w:tcBorders>
            <w:shd w:val="clear" w:color="auto" w:fill="auto"/>
            <w:noWrap/>
            <w:vAlign w:val="bottom"/>
            <w:hideMark/>
          </w:tcPr>
          <w:p w14:paraId="33D8F070" w14:textId="77777777" w:rsidR="00415741" w:rsidRPr="008E621B" w:rsidRDefault="00415741" w:rsidP="00756467">
            <w:pPr>
              <w:spacing w:after="0" w:line="240" w:lineRule="auto"/>
              <w:jc w:val="right"/>
              <w:rPr>
                <w:rFonts w:eastAsia="Times New Roman" w:cs="Calibri"/>
                <w:color w:val="000000"/>
                <w:sz w:val="20"/>
                <w:szCs w:val="20"/>
                <w:lang w:eastAsia="es-CR"/>
              </w:rPr>
            </w:pPr>
            <w:r w:rsidRPr="008E621B">
              <w:rPr>
                <w:rFonts w:eastAsia="Times New Roman" w:cs="Calibri"/>
                <w:color w:val="000000"/>
                <w:sz w:val="20"/>
                <w:szCs w:val="20"/>
                <w:lang w:eastAsia="es-CR"/>
              </w:rPr>
              <w:t>-58,73%</w:t>
            </w:r>
          </w:p>
        </w:tc>
      </w:tr>
      <w:tr w:rsidR="00415741" w:rsidRPr="008E621B" w14:paraId="6B915C52" w14:textId="77777777" w:rsidTr="00756467">
        <w:trPr>
          <w:trHeight w:val="525"/>
        </w:trPr>
        <w:tc>
          <w:tcPr>
            <w:tcW w:w="1280" w:type="dxa"/>
            <w:tcBorders>
              <w:top w:val="nil"/>
              <w:left w:val="single" w:sz="8" w:space="0" w:color="auto"/>
              <w:bottom w:val="nil"/>
              <w:right w:val="single" w:sz="8" w:space="0" w:color="auto"/>
            </w:tcBorders>
            <w:shd w:val="clear" w:color="auto" w:fill="auto"/>
            <w:noWrap/>
            <w:vAlign w:val="bottom"/>
            <w:hideMark/>
          </w:tcPr>
          <w:p w14:paraId="4644FB71" w14:textId="77777777" w:rsidR="00415741" w:rsidRPr="008E621B" w:rsidRDefault="00415741" w:rsidP="00756467">
            <w:pPr>
              <w:spacing w:after="0" w:line="240" w:lineRule="auto"/>
              <w:jc w:val="left"/>
              <w:rPr>
                <w:rFonts w:eastAsia="Times New Roman" w:cs="Calibri"/>
                <w:color w:val="000000"/>
                <w:sz w:val="20"/>
                <w:szCs w:val="20"/>
                <w:lang w:eastAsia="es-CR"/>
              </w:rPr>
            </w:pPr>
            <w:r w:rsidRPr="008E621B">
              <w:rPr>
                <w:rFonts w:eastAsia="Times New Roman" w:cs="Calibri"/>
                <w:color w:val="000000"/>
                <w:sz w:val="20"/>
                <w:szCs w:val="20"/>
                <w:lang w:eastAsia="es-CR"/>
              </w:rPr>
              <w:t>2.1.1.02.01.03.</w:t>
            </w:r>
          </w:p>
        </w:tc>
        <w:tc>
          <w:tcPr>
            <w:tcW w:w="3180" w:type="dxa"/>
            <w:tcBorders>
              <w:top w:val="nil"/>
              <w:left w:val="nil"/>
              <w:bottom w:val="nil"/>
              <w:right w:val="single" w:sz="8" w:space="0" w:color="auto"/>
            </w:tcBorders>
            <w:shd w:val="clear" w:color="auto" w:fill="auto"/>
            <w:vAlign w:val="bottom"/>
            <w:hideMark/>
          </w:tcPr>
          <w:p w14:paraId="5F6F0AEC" w14:textId="77777777" w:rsidR="00415741" w:rsidRPr="008E621B" w:rsidRDefault="00415741" w:rsidP="00756467">
            <w:pPr>
              <w:spacing w:after="0" w:line="240" w:lineRule="auto"/>
              <w:jc w:val="left"/>
              <w:rPr>
                <w:rFonts w:eastAsia="Times New Roman" w:cs="Calibri"/>
                <w:color w:val="000000"/>
                <w:sz w:val="20"/>
                <w:szCs w:val="20"/>
                <w:lang w:eastAsia="es-CR"/>
              </w:rPr>
            </w:pPr>
            <w:r w:rsidRPr="008E621B">
              <w:rPr>
                <w:rFonts w:eastAsia="Times New Roman" w:cs="Calibri"/>
                <w:color w:val="000000"/>
                <w:sz w:val="20"/>
                <w:szCs w:val="20"/>
                <w:lang w:eastAsia="es-CR"/>
              </w:rPr>
              <w:t>Incentivos salariales a pagar c/p (Decimotercer mes)</w:t>
            </w:r>
          </w:p>
        </w:tc>
        <w:tc>
          <w:tcPr>
            <w:tcW w:w="1140" w:type="dxa"/>
            <w:tcBorders>
              <w:top w:val="nil"/>
              <w:left w:val="nil"/>
              <w:bottom w:val="nil"/>
              <w:right w:val="single" w:sz="8" w:space="0" w:color="auto"/>
            </w:tcBorders>
            <w:shd w:val="clear" w:color="000000" w:fill="FFFFFF"/>
            <w:noWrap/>
            <w:vAlign w:val="bottom"/>
            <w:hideMark/>
          </w:tcPr>
          <w:p w14:paraId="4202D6A7" w14:textId="77777777" w:rsidR="00415741" w:rsidRPr="008E621B" w:rsidRDefault="00415741" w:rsidP="00756467">
            <w:pPr>
              <w:spacing w:after="0" w:line="240" w:lineRule="auto"/>
              <w:jc w:val="right"/>
              <w:rPr>
                <w:rFonts w:eastAsia="Times New Roman" w:cs="Calibri"/>
                <w:color w:val="000000"/>
                <w:sz w:val="20"/>
                <w:szCs w:val="20"/>
                <w:lang w:eastAsia="es-CR"/>
              </w:rPr>
            </w:pPr>
            <w:r w:rsidRPr="008E621B">
              <w:rPr>
                <w:rFonts w:ascii="Arial" w:eastAsia="Times New Roman" w:hAnsi="Arial" w:cs="Arial"/>
                <w:color w:val="000000"/>
                <w:sz w:val="20"/>
                <w:szCs w:val="20"/>
                <w:lang w:eastAsia="es-CR"/>
              </w:rPr>
              <w:t>₡</w:t>
            </w:r>
            <w:r w:rsidRPr="008E621B">
              <w:rPr>
                <w:rFonts w:eastAsia="Times New Roman" w:cs="Calibri"/>
                <w:color w:val="000000"/>
                <w:sz w:val="20"/>
                <w:szCs w:val="20"/>
                <w:lang w:eastAsia="es-CR"/>
              </w:rPr>
              <w:t>68 496,96</w:t>
            </w:r>
          </w:p>
        </w:tc>
        <w:tc>
          <w:tcPr>
            <w:tcW w:w="1280" w:type="dxa"/>
            <w:tcBorders>
              <w:top w:val="nil"/>
              <w:left w:val="nil"/>
              <w:bottom w:val="nil"/>
              <w:right w:val="single" w:sz="8" w:space="0" w:color="auto"/>
            </w:tcBorders>
            <w:shd w:val="clear" w:color="000000" w:fill="FFFFFF"/>
            <w:noWrap/>
            <w:vAlign w:val="bottom"/>
            <w:hideMark/>
          </w:tcPr>
          <w:p w14:paraId="01F1931F" w14:textId="77777777" w:rsidR="00415741" w:rsidRPr="008E621B" w:rsidRDefault="00415741" w:rsidP="00756467">
            <w:pPr>
              <w:spacing w:after="0" w:line="240" w:lineRule="auto"/>
              <w:jc w:val="right"/>
              <w:rPr>
                <w:rFonts w:eastAsia="Times New Roman" w:cs="Calibri"/>
                <w:color w:val="000000"/>
                <w:sz w:val="20"/>
                <w:szCs w:val="20"/>
                <w:lang w:eastAsia="es-CR"/>
              </w:rPr>
            </w:pPr>
            <w:r w:rsidRPr="008E621B">
              <w:rPr>
                <w:rFonts w:eastAsia="Times New Roman" w:cs="Calibri"/>
                <w:color w:val="000000"/>
                <w:sz w:val="20"/>
                <w:szCs w:val="20"/>
                <w:lang w:eastAsia="es-CR"/>
              </w:rPr>
              <w:t>70 029,50</w:t>
            </w:r>
          </w:p>
        </w:tc>
        <w:tc>
          <w:tcPr>
            <w:tcW w:w="1100" w:type="dxa"/>
            <w:tcBorders>
              <w:top w:val="nil"/>
              <w:left w:val="nil"/>
              <w:bottom w:val="nil"/>
              <w:right w:val="single" w:sz="8" w:space="0" w:color="auto"/>
            </w:tcBorders>
            <w:shd w:val="clear" w:color="000000" w:fill="FFFFFF"/>
            <w:noWrap/>
            <w:vAlign w:val="bottom"/>
            <w:hideMark/>
          </w:tcPr>
          <w:p w14:paraId="2BA5C68F" w14:textId="77777777" w:rsidR="00415741" w:rsidRPr="008E621B" w:rsidRDefault="00415741" w:rsidP="00756467">
            <w:pPr>
              <w:spacing w:after="0" w:line="240" w:lineRule="auto"/>
              <w:jc w:val="right"/>
              <w:rPr>
                <w:rFonts w:eastAsia="Times New Roman" w:cs="Calibri"/>
                <w:color w:val="000000"/>
                <w:sz w:val="20"/>
                <w:szCs w:val="20"/>
                <w:lang w:eastAsia="es-CR"/>
              </w:rPr>
            </w:pPr>
            <w:r w:rsidRPr="008E621B">
              <w:rPr>
                <w:rFonts w:eastAsia="Times New Roman" w:cs="Calibri"/>
                <w:color w:val="000000"/>
                <w:sz w:val="20"/>
                <w:szCs w:val="20"/>
                <w:lang w:eastAsia="es-CR"/>
              </w:rPr>
              <w:t>-1 532,54</w:t>
            </w:r>
          </w:p>
        </w:tc>
        <w:tc>
          <w:tcPr>
            <w:tcW w:w="800" w:type="dxa"/>
            <w:tcBorders>
              <w:top w:val="nil"/>
              <w:left w:val="nil"/>
              <w:bottom w:val="nil"/>
              <w:right w:val="single" w:sz="8" w:space="0" w:color="auto"/>
            </w:tcBorders>
            <w:shd w:val="clear" w:color="auto" w:fill="auto"/>
            <w:noWrap/>
            <w:vAlign w:val="bottom"/>
            <w:hideMark/>
          </w:tcPr>
          <w:p w14:paraId="11BF1B92" w14:textId="77777777" w:rsidR="00415741" w:rsidRPr="008E621B" w:rsidRDefault="00415741" w:rsidP="00756467">
            <w:pPr>
              <w:spacing w:after="0" w:line="240" w:lineRule="auto"/>
              <w:jc w:val="right"/>
              <w:rPr>
                <w:rFonts w:eastAsia="Times New Roman" w:cs="Calibri"/>
                <w:color w:val="000000"/>
                <w:sz w:val="20"/>
                <w:szCs w:val="20"/>
                <w:lang w:eastAsia="es-CR"/>
              </w:rPr>
            </w:pPr>
            <w:r w:rsidRPr="008E621B">
              <w:rPr>
                <w:rFonts w:eastAsia="Times New Roman" w:cs="Calibri"/>
                <w:color w:val="000000"/>
                <w:sz w:val="20"/>
                <w:szCs w:val="20"/>
                <w:lang w:eastAsia="es-CR"/>
              </w:rPr>
              <w:t>-2,19%</w:t>
            </w:r>
          </w:p>
        </w:tc>
      </w:tr>
      <w:tr w:rsidR="00415741" w:rsidRPr="008E621B" w14:paraId="49C52A52" w14:textId="77777777" w:rsidTr="00756467">
        <w:trPr>
          <w:trHeight w:val="780"/>
        </w:trPr>
        <w:tc>
          <w:tcPr>
            <w:tcW w:w="1280" w:type="dxa"/>
            <w:tcBorders>
              <w:top w:val="nil"/>
              <w:left w:val="single" w:sz="8" w:space="0" w:color="auto"/>
              <w:bottom w:val="nil"/>
              <w:right w:val="single" w:sz="8" w:space="0" w:color="auto"/>
            </w:tcBorders>
            <w:shd w:val="clear" w:color="auto" w:fill="auto"/>
            <w:noWrap/>
            <w:vAlign w:val="center"/>
            <w:hideMark/>
          </w:tcPr>
          <w:p w14:paraId="428F9D0A" w14:textId="77777777" w:rsidR="00415741" w:rsidRPr="008E621B" w:rsidRDefault="00415741" w:rsidP="00756467">
            <w:pPr>
              <w:spacing w:after="0" w:line="240" w:lineRule="auto"/>
              <w:jc w:val="left"/>
              <w:rPr>
                <w:rFonts w:eastAsia="Times New Roman" w:cs="Calibri"/>
                <w:color w:val="000000"/>
                <w:sz w:val="20"/>
                <w:szCs w:val="20"/>
                <w:lang w:eastAsia="es-CR"/>
              </w:rPr>
            </w:pPr>
            <w:r w:rsidRPr="008E621B">
              <w:rPr>
                <w:rFonts w:eastAsia="Times New Roman" w:cs="Calibri"/>
                <w:color w:val="000000"/>
                <w:sz w:val="20"/>
                <w:szCs w:val="20"/>
                <w:lang w:eastAsia="es-CR"/>
              </w:rPr>
              <w:t>2.1.1.02.01.04.</w:t>
            </w:r>
          </w:p>
        </w:tc>
        <w:tc>
          <w:tcPr>
            <w:tcW w:w="3180" w:type="dxa"/>
            <w:tcBorders>
              <w:top w:val="nil"/>
              <w:left w:val="nil"/>
              <w:bottom w:val="nil"/>
              <w:right w:val="single" w:sz="8" w:space="0" w:color="auto"/>
            </w:tcBorders>
            <w:shd w:val="clear" w:color="auto" w:fill="auto"/>
            <w:vAlign w:val="bottom"/>
            <w:hideMark/>
          </w:tcPr>
          <w:p w14:paraId="1A886E2A" w14:textId="77777777" w:rsidR="00415741" w:rsidRPr="008E621B" w:rsidRDefault="00415741" w:rsidP="00756467">
            <w:pPr>
              <w:spacing w:after="0" w:line="240" w:lineRule="auto"/>
              <w:jc w:val="left"/>
              <w:rPr>
                <w:rFonts w:eastAsia="Times New Roman" w:cs="Calibri"/>
                <w:color w:val="000000"/>
                <w:sz w:val="20"/>
                <w:szCs w:val="20"/>
                <w:lang w:eastAsia="es-CR"/>
              </w:rPr>
            </w:pPr>
            <w:r w:rsidRPr="008E621B">
              <w:rPr>
                <w:rFonts w:eastAsia="Times New Roman" w:cs="Calibri"/>
                <w:color w:val="000000"/>
                <w:sz w:val="20"/>
                <w:szCs w:val="20"/>
                <w:lang w:eastAsia="es-CR"/>
              </w:rPr>
              <w:t>Contribuciones patronales al desarrollo y la seguridad social a pagar c/p (Aporte Patronal FCL - CCSS)</w:t>
            </w:r>
          </w:p>
        </w:tc>
        <w:tc>
          <w:tcPr>
            <w:tcW w:w="1140" w:type="dxa"/>
            <w:tcBorders>
              <w:top w:val="nil"/>
              <w:left w:val="nil"/>
              <w:bottom w:val="nil"/>
              <w:right w:val="single" w:sz="8" w:space="0" w:color="auto"/>
            </w:tcBorders>
            <w:shd w:val="clear" w:color="000000" w:fill="FFFFFF"/>
            <w:noWrap/>
            <w:vAlign w:val="bottom"/>
            <w:hideMark/>
          </w:tcPr>
          <w:p w14:paraId="7EF6F973" w14:textId="77777777" w:rsidR="00415741" w:rsidRPr="008E621B" w:rsidRDefault="00415741" w:rsidP="00756467">
            <w:pPr>
              <w:spacing w:after="0" w:line="240" w:lineRule="auto"/>
              <w:jc w:val="right"/>
              <w:rPr>
                <w:rFonts w:eastAsia="Times New Roman" w:cs="Calibri"/>
                <w:color w:val="000000"/>
                <w:sz w:val="20"/>
                <w:szCs w:val="20"/>
                <w:lang w:eastAsia="es-CR"/>
              </w:rPr>
            </w:pPr>
            <w:r w:rsidRPr="008E621B">
              <w:rPr>
                <w:rFonts w:ascii="Arial" w:eastAsia="Times New Roman" w:hAnsi="Arial" w:cs="Arial"/>
                <w:color w:val="000000"/>
                <w:sz w:val="20"/>
                <w:szCs w:val="20"/>
                <w:lang w:eastAsia="es-CR"/>
              </w:rPr>
              <w:t>₡</w:t>
            </w:r>
            <w:r w:rsidRPr="008E621B">
              <w:rPr>
                <w:rFonts w:eastAsia="Times New Roman" w:cs="Calibri"/>
                <w:color w:val="000000"/>
                <w:sz w:val="20"/>
                <w:szCs w:val="20"/>
                <w:lang w:eastAsia="es-CR"/>
              </w:rPr>
              <w:t>49 906,38</w:t>
            </w:r>
          </w:p>
        </w:tc>
        <w:tc>
          <w:tcPr>
            <w:tcW w:w="1280" w:type="dxa"/>
            <w:tcBorders>
              <w:top w:val="nil"/>
              <w:left w:val="nil"/>
              <w:bottom w:val="nil"/>
              <w:right w:val="single" w:sz="8" w:space="0" w:color="auto"/>
            </w:tcBorders>
            <w:shd w:val="clear" w:color="000000" w:fill="FFFFFF"/>
            <w:noWrap/>
            <w:vAlign w:val="bottom"/>
            <w:hideMark/>
          </w:tcPr>
          <w:p w14:paraId="63CCB9D2" w14:textId="77777777" w:rsidR="00415741" w:rsidRPr="008E621B" w:rsidRDefault="00415741" w:rsidP="00756467">
            <w:pPr>
              <w:spacing w:after="0" w:line="240" w:lineRule="auto"/>
              <w:jc w:val="right"/>
              <w:rPr>
                <w:rFonts w:eastAsia="Times New Roman" w:cs="Calibri"/>
                <w:color w:val="000000"/>
                <w:sz w:val="20"/>
                <w:szCs w:val="20"/>
                <w:lang w:eastAsia="es-CR"/>
              </w:rPr>
            </w:pPr>
            <w:r w:rsidRPr="008E621B">
              <w:rPr>
                <w:rFonts w:eastAsia="Times New Roman" w:cs="Calibri"/>
                <w:color w:val="000000"/>
                <w:sz w:val="20"/>
                <w:szCs w:val="20"/>
                <w:lang w:eastAsia="es-CR"/>
              </w:rPr>
              <w:t>18 610,00</w:t>
            </w:r>
          </w:p>
        </w:tc>
        <w:tc>
          <w:tcPr>
            <w:tcW w:w="1100" w:type="dxa"/>
            <w:tcBorders>
              <w:top w:val="nil"/>
              <w:left w:val="nil"/>
              <w:bottom w:val="nil"/>
              <w:right w:val="single" w:sz="8" w:space="0" w:color="auto"/>
            </w:tcBorders>
            <w:shd w:val="clear" w:color="000000" w:fill="FFFFFF"/>
            <w:noWrap/>
            <w:vAlign w:val="bottom"/>
            <w:hideMark/>
          </w:tcPr>
          <w:p w14:paraId="40018FAC" w14:textId="77777777" w:rsidR="00415741" w:rsidRPr="008E621B" w:rsidRDefault="00415741" w:rsidP="00756467">
            <w:pPr>
              <w:spacing w:after="0" w:line="240" w:lineRule="auto"/>
              <w:jc w:val="right"/>
              <w:rPr>
                <w:rFonts w:eastAsia="Times New Roman" w:cs="Calibri"/>
                <w:color w:val="000000"/>
                <w:sz w:val="20"/>
                <w:szCs w:val="20"/>
                <w:lang w:eastAsia="es-CR"/>
              </w:rPr>
            </w:pPr>
            <w:r w:rsidRPr="008E621B">
              <w:rPr>
                <w:rFonts w:eastAsia="Times New Roman" w:cs="Calibri"/>
                <w:color w:val="000000"/>
                <w:sz w:val="20"/>
                <w:szCs w:val="20"/>
                <w:lang w:eastAsia="es-CR"/>
              </w:rPr>
              <w:t>31 296,38</w:t>
            </w:r>
          </w:p>
        </w:tc>
        <w:tc>
          <w:tcPr>
            <w:tcW w:w="800" w:type="dxa"/>
            <w:tcBorders>
              <w:top w:val="nil"/>
              <w:left w:val="nil"/>
              <w:bottom w:val="nil"/>
              <w:right w:val="single" w:sz="8" w:space="0" w:color="auto"/>
            </w:tcBorders>
            <w:shd w:val="clear" w:color="auto" w:fill="auto"/>
            <w:noWrap/>
            <w:vAlign w:val="bottom"/>
            <w:hideMark/>
          </w:tcPr>
          <w:p w14:paraId="16F17FEB" w14:textId="77777777" w:rsidR="00415741" w:rsidRPr="008E621B" w:rsidRDefault="00415741" w:rsidP="00756467">
            <w:pPr>
              <w:spacing w:after="0" w:line="240" w:lineRule="auto"/>
              <w:jc w:val="right"/>
              <w:rPr>
                <w:rFonts w:eastAsia="Times New Roman" w:cs="Calibri"/>
                <w:color w:val="000000"/>
                <w:sz w:val="20"/>
                <w:szCs w:val="20"/>
                <w:lang w:eastAsia="es-CR"/>
              </w:rPr>
            </w:pPr>
            <w:r w:rsidRPr="008E621B">
              <w:rPr>
                <w:rFonts w:eastAsia="Times New Roman" w:cs="Calibri"/>
                <w:color w:val="000000"/>
                <w:sz w:val="20"/>
                <w:szCs w:val="20"/>
                <w:lang w:eastAsia="es-CR"/>
              </w:rPr>
              <w:t>168,17%</w:t>
            </w:r>
          </w:p>
        </w:tc>
      </w:tr>
      <w:tr w:rsidR="00415741" w:rsidRPr="008E621B" w14:paraId="4F2AB5BA" w14:textId="77777777" w:rsidTr="00756467">
        <w:trPr>
          <w:trHeight w:val="525"/>
        </w:trPr>
        <w:tc>
          <w:tcPr>
            <w:tcW w:w="1280" w:type="dxa"/>
            <w:tcBorders>
              <w:top w:val="nil"/>
              <w:left w:val="single" w:sz="8" w:space="0" w:color="auto"/>
              <w:bottom w:val="nil"/>
              <w:right w:val="single" w:sz="8" w:space="0" w:color="auto"/>
            </w:tcBorders>
            <w:shd w:val="clear" w:color="auto" w:fill="auto"/>
            <w:noWrap/>
            <w:vAlign w:val="center"/>
            <w:hideMark/>
          </w:tcPr>
          <w:p w14:paraId="2BF55E5D" w14:textId="77777777" w:rsidR="00415741" w:rsidRPr="008E621B" w:rsidRDefault="00415741" w:rsidP="00756467">
            <w:pPr>
              <w:spacing w:after="0" w:line="240" w:lineRule="auto"/>
              <w:jc w:val="left"/>
              <w:rPr>
                <w:rFonts w:eastAsia="Times New Roman" w:cs="Calibri"/>
                <w:color w:val="000000"/>
                <w:sz w:val="20"/>
                <w:szCs w:val="20"/>
                <w:lang w:eastAsia="es-CR"/>
              </w:rPr>
            </w:pPr>
            <w:r w:rsidRPr="008E621B">
              <w:rPr>
                <w:rFonts w:eastAsia="Times New Roman" w:cs="Calibri"/>
                <w:color w:val="000000"/>
                <w:sz w:val="20"/>
                <w:szCs w:val="20"/>
                <w:lang w:eastAsia="es-CR"/>
              </w:rPr>
              <w:t>2.1.1.02.01.99.</w:t>
            </w:r>
          </w:p>
        </w:tc>
        <w:tc>
          <w:tcPr>
            <w:tcW w:w="3180" w:type="dxa"/>
            <w:tcBorders>
              <w:top w:val="nil"/>
              <w:left w:val="nil"/>
              <w:bottom w:val="nil"/>
              <w:right w:val="single" w:sz="8" w:space="0" w:color="auto"/>
            </w:tcBorders>
            <w:shd w:val="clear" w:color="auto" w:fill="auto"/>
            <w:vAlign w:val="bottom"/>
            <w:hideMark/>
          </w:tcPr>
          <w:p w14:paraId="7F31CFB4" w14:textId="42DAA5BE" w:rsidR="00415741" w:rsidRPr="008E621B" w:rsidRDefault="00953B01" w:rsidP="00756467">
            <w:pPr>
              <w:spacing w:after="0" w:line="240" w:lineRule="auto"/>
              <w:jc w:val="left"/>
              <w:rPr>
                <w:rFonts w:eastAsia="Times New Roman" w:cs="Calibri"/>
                <w:color w:val="000000"/>
                <w:sz w:val="20"/>
                <w:szCs w:val="20"/>
                <w:lang w:eastAsia="es-CR"/>
              </w:rPr>
            </w:pPr>
            <w:r w:rsidRPr="008E621B">
              <w:rPr>
                <w:rFonts w:eastAsia="Times New Roman" w:cs="Calibri"/>
                <w:color w:val="000000"/>
                <w:sz w:val="20"/>
                <w:szCs w:val="20"/>
                <w:lang w:eastAsia="es-CR"/>
              </w:rPr>
              <w:t>Otras deudas</w:t>
            </w:r>
            <w:r w:rsidR="00415741" w:rsidRPr="008E621B">
              <w:rPr>
                <w:rFonts w:eastAsia="Times New Roman" w:cs="Calibri"/>
                <w:color w:val="000000"/>
                <w:sz w:val="20"/>
                <w:szCs w:val="20"/>
                <w:lang w:eastAsia="es-CR"/>
              </w:rPr>
              <w:t xml:space="preserve"> por beneficios a los empleados c/p</w:t>
            </w:r>
          </w:p>
        </w:tc>
        <w:tc>
          <w:tcPr>
            <w:tcW w:w="1140" w:type="dxa"/>
            <w:tcBorders>
              <w:top w:val="nil"/>
              <w:left w:val="nil"/>
              <w:bottom w:val="nil"/>
              <w:right w:val="single" w:sz="8" w:space="0" w:color="auto"/>
            </w:tcBorders>
            <w:shd w:val="clear" w:color="000000" w:fill="FFFFFF"/>
            <w:noWrap/>
            <w:vAlign w:val="bottom"/>
            <w:hideMark/>
          </w:tcPr>
          <w:p w14:paraId="34FA15E4" w14:textId="77777777" w:rsidR="00415741" w:rsidRPr="008E621B" w:rsidRDefault="00415741" w:rsidP="00756467">
            <w:pPr>
              <w:spacing w:after="0" w:line="240" w:lineRule="auto"/>
              <w:jc w:val="right"/>
              <w:rPr>
                <w:rFonts w:eastAsia="Times New Roman" w:cs="Calibri"/>
                <w:color w:val="000000"/>
                <w:sz w:val="20"/>
                <w:szCs w:val="20"/>
                <w:lang w:eastAsia="es-CR"/>
              </w:rPr>
            </w:pPr>
            <w:r w:rsidRPr="008E621B">
              <w:rPr>
                <w:rFonts w:ascii="Arial" w:eastAsia="Times New Roman" w:hAnsi="Arial" w:cs="Arial"/>
                <w:color w:val="000000"/>
                <w:sz w:val="20"/>
                <w:szCs w:val="20"/>
                <w:lang w:eastAsia="es-CR"/>
              </w:rPr>
              <w:t>₡</w:t>
            </w:r>
            <w:r w:rsidRPr="008E621B">
              <w:rPr>
                <w:rFonts w:eastAsia="Times New Roman" w:cs="Calibri"/>
                <w:color w:val="000000"/>
                <w:sz w:val="20"/>
                <w:szCs w:val="20"/>
                <w:lang w:eastAsia="es-CR"/>
              </w:rPr>
              <w:t>0,00</w:t>
            </w:r>
          </w:p>
        </w:tc>
        <w:tc>
          <w:tcPr>
            <w:tcW w:w="1280" w:type="dxa"/>
            <w:tcBorders>
              <w:top w:val="nil"/>
              <w:left w:val="nil"/>
              <w:bottom w:val="nil"/>
              <w:right w:val="single" w:sz="8" w:space="0" w:color="auto"/>
            </w:tcBorders>
            <w:shd w:val="clear" w:color="000000" w:fill="FFFFFF"/>
            <w:noWrap/>
            <w:vAlign w:val="bottom"/>
            <w:hideMark/>
          </w:tcPr>
          <w:p w14:paraId="79269C13" w14:textId="77777777" w:rsidR="00415741" w:rsidRPr="008E621B" w:rsidRDefault="00415741" w:rsidP="00756467">
            <w:pPr>
              <w:spacing w:after="0" w:line="240" w:lineRule="auto"/>
              <w:jc w:val="right"/>
              <w:rPr>
                <w:rFonts w:eastAsia="Times New Roman" w:cs="Calibri"/>
                <w:color w:val="000000"/>
                <w:sz w:val="20"/>
                <w:szCs w:val="20"/>
                <w:lang w:eastAsia="es-CR"/>
              </w:rPr>
            </w:pPr>
            <w:r w:rsidRPr="008E621B">
              <w:rPr>
                <w:rFonts w:eastAsia="Times New Roman" w:cs="Calibri"/>
                <w:color w:val="000000"/>
                <w:sz w:val="20"/>
                <w:szCs w:val="20"/>
                <w:lang w:eastAsia="es-CR"/>
              </w:rPr>
              <w:t>8 754,66</w:t>
            </w:r>
          </w:p>
        </w:tc>
        <w:tc>
          <w:tcPr>
            <w:tcW w:w="1100" w:type="dxa"/>
            <w:tcBorders>
              <w:top w:val="nil"/>
              <w:left w:val="nil"/>
              <w:bottom w:val="nil"/>
              <w:right w:val="single" w:sz="8" w:space="0" w:color="auto"/>
            </w:tcBorders>
            <w:shd w:val="clear" w:color="000000" w:fill="FFFFFF"/>
            <w:noWrap/>
            <w:vAlign w:val="bottom"/>
            <w:hideMark/>
          </w:tcPr>
          <w:p w14:paraId="593E7358" w14:textId="77777777" w:rsidR="00415741" w:rsidRPr="008E621B" w:rsidRDefault="00415741" w:rsidP="00756467">
            <w:pPr>
              <w:spacing w:after="0" w:line="240" w:lineRule="auto"/>
              <w:jc w:val="right"/>
              <w:rPr>
                <w:rFonts w:eastAsia="Times New Roman" w:cs="Calibri"/>
                <w:color w:val="000000"/>
                <w:sz w:val="20"/>
                <w:szCs w:val="20"/>
                <w:lang w:eastAsia="es-CR"/>
              </w:rPr>
            </w:pPr>
            <w:r w:rsidRPr="008E621B">
              <w:rPr>
                <w:rFonts w:eastAsia="Times New Roman" w:cs="Calibri"/>
                <w:color w:val="000000"/>
                <w:sz w:val="20"/>
                <w:szCs w:val="20"/>
                <w:lang w:eastAsia="es-CR"/>
              </w:rPr>
              <w:t>-8 754,66</w:t>
            </w:r>
          </w:p>
        </w:tc>
        <w:tc>
          <w:tcPr>
            <w:tcW w:w="800" w:type="dxa"/>
            <w:tcBorders>
              <w:top w:val="nil"/>
              <w:left w:val="nil"/>
              <w:bottom w:val="nil"/>
              <w:right w:val="single" w:sz="8" w:space="0" w:color="auto"/>
            </w:tcBorders>
            <w:shd w:val="clear" w:color="auto" w:fill="auto"/>
            <w:noWrap/>
            <w:vAlign w:val="bottom"/>
            <w:hideMark/>
          </w:tcPr>
          <w:p w14:paraId="4BDBED48" w14:textId="77777777" w:rsidR="00415741" w:rsidRPr="008E621B" w:rsidRDefault="00415741" w:rsidP="00756467">
            <w:pPr>
              <w:spacing w:after="0" w:line="240" w:lineRule="auto"/>
              <w:jc w:val="right"/>
              <w:rPr>
                <w:rFonts w:eastAsia="Times New Roman" w:cs="Calibri"/>
                <w:color w:val="000000"/>
                <w:sz w:val="20"/>
                <w:szCs w:val="20"/>
                <w:lang w:eastAsia="es-CR"/>
              </w:rPr>
            </w:pPr>
            <w:r w:rsidRPr="008E621B">
              <w:rPr>
                <w:rFonts w:eastAsia="Times New Roman" w:cs="Calibri"/>
                <w:color w:val="000000"/>
                <w:sz w:val="20"/>
                <w:szCs w:val="20"/>
                <w:lang w:eastAsia="es-CR"/>
              </w:rPr>
              <w:t>-100,00%</w:t>
            </w:r>
          </w:p>
        </w:tc>
      </w:tr>
      <w:tr w:rsidR="00415741" w:rsidRPr="008E621B" w14:paraId="6E56B9A7" w14:textId="77777777" w:rsidTr="00756467">
        <w:trPr>
          <w:trHeight w:val="525"/>
        </w:trPr>
        <w:tc>
          <w:tcPr>
            <w:tcW w:w="1280" w:type="dxa"/>
            <w:tcBorders>
              <w:top w:val="nil"/>
              <w:left w:val="single" w:sz="8" w:space="0" w:color="auto"/>
              <w:bottom w:val="nil"/>
              <w:right w:val="single" w:sz="8" w:space="0" w:color="auto"/>
            </w:tcBorders>
            <w:shd w:val="clear" w:color="auto" w:fill="auto"/>
            <w:noWrap/>
            <w:vAlign w:val="center"/>
            <w:hideMark/>
          </w:tcPr>
          <w:p w14:paraId="348A80DB" w14:textId="77777777" w:rsidR="00415741" w:rsidRPr="008E621B" w:rsidRDefault="00415741" w:rsidP="00756467">
            <w:pPr>
              <w:spacing w:after="0" w:line="240" w:lineRule="auto"/>
              <w:jc w:val="left"/>
              <w:rPr>
                <w:rFonts w:eastAsia="Times New Roman" w:cs="Calibri"/>
                <w:color w:val="000000"/>
                <w:sz w:val="20"/>
                <w:szCs w:val="20"/>
                <w:lang w:eastAsia="es-CR"/>
              </w:rPr>
            </w:pPr>
            <w:r w:rsidRPr="008E621B">
              <w:rPr>
                <w:rFonts w:eastAsia="Times New Roman" w:cs="Calibri"/>
                <w:color w:val="000000"/>
                <w:sz w:val="20"/>
                <w:szCs w:val="20"/>
                <w:lang w:eastAsia="es-CR"/>
              </w:rPr>
              <w:t>2.1.1.02.02.02.</w:t>
            </w:r>
          </w:p>
        </w:tc>
        <w:tc>
          <w:tcPr>
            <w:tcW w:w="3180" w:type="dxa"/>
            <w:tcBorders>
              <w:top w:val="nil"/>
              <w:left w:val="nil"/>
              <w:bottom w:val="nil"/>
              <w:right w:val="single" w:sz="8" w:space="0" w:color="auto"/>
            </w:tcBorders>
            <w:shd w:val="clear" w:color="auto" w:fill="auto"/>
            <w:vAlign w:val="bottom"/>
            <w:hideMark/>
          </w:tcPr>
          <w:p w14:paraId="407E14B2" w14:textId="77777777" w:rsidR="00415741" w:rsidRPr="008E621B" w:rsidRDefault="00415741" w:rsidP="00756467">
            <w:pPr>
              <w:spacing w:after="0" w:line="240" w:lineRule="auto"/>
              <w:jc w:val="left"/>
              <w:rPr>
                <w:rFonts w:eastAsia="Times New Roman" w:cs="Calibri"/>
                <w:color w:val="000000"/>
                <w:sz w:val="20"/>
                <w:szCs w:val="20"/>
                <w:lang w:eastAsia="es-CR"/>
              </w:rPr>
            </w:pPr>
            <w:r w:rsidRPr="008E621B">
              <w:rPr>
                <w:rFonts w:eastAsia="Times New Roman" w:cs="Calibri"/>
                <w:color w:val="000000"/>
                <w:sz w:val="20"/>
                <w:szCs w:val="20"/>
                <w:lang w:eastAsia="es-CR"/>
              </w:rPr>
              <w:t>Deudas fiscales c/p - Ministerio de Hacienda (MHD)</w:t>
            </w:r>
          </w:p>
        </w:tc>
        <w:tc>
          <w:tcPr>
            <w:tcW w:w="1140" w:type="dxa"/>
            <w:tcBorders>
              <w:top w:val="nil"/>
              <w:left w:val="nil"/>
              <w:bottom w:val="nil"/>
              <w:right w:val="single" w:sz="8" w:space="0" w:color="auto"/>
            </w:tcBorders>
            <w:shd w:val="clear" w:color="000000" w:fill="FFFFFF"/>
            <w:noWrap/>
            <w:vAlign w:val="bottom"/>
            <w:hideMark/>
          </w:tcPr>
          <w:p w14:paraId="3FECC0EA" w14:textId="77777777" w:rsidR="00415741" w:rsidRPr="008E621B" w:rsidRDefault="00415741" w:rsidP="00756467">
            <w:pPr>
              <w:spacing w:after="0" w:line="240" w:lineRule="auto"/>
              <w:jc w:val="right"/>
              <w:rPr>
                <w:rFonts w:eastAsia="Times New Roman" w:cs="Calibri"/>
                <w:color w:val="000000"/>
                <w:sz w:val="20"/>
                <w:szCs w:val="20"/>
                <w:lang w:eastAsia="es-CR"/>
              </w:rPr>
            </w:pPr>
            <w:r w:rsidRPr="008E621B">
              <w:rPr>
                <w:rFonts w:ascii="Arial" w:eastAsia="Times New Roman" w:hAnsi="Arial" w:cs="Arial"/>
                <w:color w:val="000000"/>
                <w:sz w:val="20"/>
                <w:szCs w:val="20"/>
                <w:lang w:eastAsia="es-CR"/>
              </w:rPr>
              <w:t>₡</w:t>
            </w:r>
            <w:r w:rsidRPr="008E621B">
              <w:rPr>
                <w:rFonts w:eastAsia="Times New Roman" w:cs="Calibri"/>
                <w:color w:val="000000"/>
                <w:sz w:val="20"/>
                <w:szCs w:val="20"/>
                <w:lang w:eastAsia="es-CR"/>
              </w:rPr>
              <w:t>7 503,94</w:t>
            </w:r>
          </w:p>
        </w:tc>
        <w:tc>
          <w:tcPr>
            <w:tcW w:w="1280" w:type="dxa"/>
            <w:tcBorders>
              <w:top w:val="nil"/>
              <w:left w:val="nil"/>
              <w:bottom w:val="nil"/>
              <w:right w:val="single" w:sz="8" w:space="0" w:color="auto"/>
            </w:tcBorders>
            <w:shd w:val="clear" w:color="000000" w:fill="FFFFFF"/>
            <w:noWrap/>
            <w:vAlign w:val="bottom"/>
            <w:hideMark/>
          </w:tcPr>
          <w:p w14:paraId="78B19916" w14:textId="77777777" w:rsidR="00415741" w:rsidRPr="008E621B" w:rsidRDefault="00415741" w:rsidP="00756467">
            <w:pPr>
              <w:spacing w:after="0" w:line="240" w:lineRule="auto"/>
              <w:jc w:val="right"/>
              <w:rPr>
                <w:rFonts w:eastAsia="Times New Roman" w:cs="Calibri"/>
                <w:color w:val="000000"/>
                <w:sz w:val="20"/>
                <w:szCs w:val="20"/>
                <w:lang w:eastAsia="es-CR"/>
              </w:rPr>
            </w:pPr>
            <w:r w:rsidRPr="008E621B">
              <w:rPr>
                <w:rFonts w:eastAsia="Times New Roman" w:cs="Calibri"/>
                <w:color w:val="000000"/>
                <w:sz w:val="20"/>
                <w:szCs w:val="20"/>
                <w:lang w:eastAsia="es-CR"/>
              </w:rPr>
              <w:t>11 472,40</w:t>
            </w:r>
          </w:p>
        </w:tc>
        <w:tc>
          <w:tcPr>
            <w:tcW w:w="1100" w:type="dxa"/>
            <w:tcBorders>
              <w:top w:val="nil"/>
              <w:left w:val="nil"/>
              <w:bottom w:val="nil"/>
              <w:right w:val="single" w:sz="8" w:space="0" w:color="auto"/>
            </w:tcBorders>
            <w:shd w:val="clear" w:color="000000" w:fill="FFFFFF"/>
            <w:noWrap/>
            <w:vAlign w:val="bottom"/>
            <w:hideMark/>
          </w:tcPr>
          <w:p w14:paraId="504AD727" w14:textId="77777777" w:rsidR="00415741" w:rsidRPr="008E621B" w:rsidRDefault="00415741" w:rsidP="00756467">
            <w:pPr>
              <w:spacing w:after="0" w:line="240" w:lineRule="auto"/>
              <w:jc w:val="right"/>
              <w:rPr>
                <w:rFonts w:eastAsia="Times New Roman" w:cs="Calibri"/>
                <w:color w:val="000000"/>
                <w:sz w:val="20"/>
                <w:szCs w:val="20"/>
                <w:lang w:eastAsia="es-CR"/>
              </w:rPr>
            </w:pPr>
            <w:r w:rsidRPr="008E621B">
              <w:rPr>
                <w:rFonts w:eastAsia="Times New Roman" w:cs="Calibri"/>
                <w:color w:val="000000"/>
                <w:sz w:val="20"/>
                <w:szCs w:val="20"/>
                <w:lang w:eastAsia="es-CR"/>
              </w:rPr>
              <w:t>-3 968,46</w:t>
            </w:r>
          </w:p>
        </w:tc>
        <w:tc>
          <w:tcPr>
            <w:tcW w:w="800" w:type="dxa"/>
            <w:tcBorders>
              <w:top w:val="nil"/>
              <w:left w:val="nil"/>
              <w:bottom w:val="nil"/>
              <w:right w:val="single" w:sz="8" w:space="0" w:color="auto"/>
            </w:tcBorders>
            <w:shd w:val="clear" w:color="auto" w:fill="auto"/>
            <w:noWrap/>
            <w:vAlign w:val="bottom"/>
            <w:hideMark/>
          </w:tcPr>
          <w:p w14:paraId="622CDE3D" w14:textId="77777777" w:rsidR="00415741" w:rsidRPr="008E621B" w:rsidRDefault="00415741" w:rsidP="00756467">
            <w:pPr>
              <w:spacing w:after="0" w:line="240" w:lineRule="auto"/>
              <w:jc w:val="right"/>
              <w:rPr>
                <w:rFonts w:eastAsia="Times New Roman" w:cs="Calibri"/>
                <w:color w:val="000000"/>
                <w:sz w:val="20"/>
                <w:szCs w:val="20"/>
                <w:lang w:eastAsia="es-CR"/>
              </w:rPr>
            </w:pPr>
            <w:r w:rsidRPr="008E621B">
              <w:rPr>
                <w:rFonts w:eastAsia="Times New Roman" w:cs="Calibri"/>
                <w:color w:val="000000"/>
                <w:sz w:val="20"/>
                <w:szCs w:val="20"/>
                <w:lang w:eastAsia="es-CR"/>
              </w:rPr>
              <w:t>-34,59%</w:t>
            </w:r>
          </w:p>
        </w:tc>
      </w:tr>
      <w:tr w:rsidR="00415741" w:rsidRPr="008E621B" w14:paraId="28C01B17" w14:textId="77777777" w:rsidTr="00756467">
        <w:trPr>
          <w:trHeight w:val="540"/>
        </w:trPr>
        <w:tc>
          <w:tcPr>
            <w:tcW w:w="1280" w:type="dxa"/>
            <w:tcBorders>
              <w:top w:val="nil"/>
              <w:left w:val="single" w:sz="8" w:space="0" w:color="auto"/>
              <w:bottom w:val="single" w:sz="8" w:space="0" w:color="auto"/>
              <w:right w:val="single" w:sz="8" w:space="0" w:color="auto"/>
            </w:tcBorders>
            <w:shd w:val="clear" w:color="auto" w:fill="auto"/>
            <w:noWrap/>
            <w:vAlign w:val="center"/>
            <w:hideMark/>
          </w:tcPr>
          <w:p w14:paraId="101D204D" w14:textId="77777777" w:rsidR="00415741" w:rsidRPr="008E621B" w:rsidRDefault="00415741" w:rsidP="00756467">
            <w:pPr>
              <w:spacing w:after="0" w:line="240" w:lineRule="auto"/>
              <w:jc w:val="left"/>
              <w:rPr>
                <w:rFonts w:eastAsia="Times New Roman" w:cs="Calibri"/>
                <w:color w:val="000000"/>
                <w:sz w:val="20"/>
                <w:szCs w:val="20"/>
                <w:lang w:eastAsia="es-CR"/>
              </w:rPr>
            </w:pPr>
            <w:r w:rsidRPr="008E621B">
              <w:rPr>
                <w:rFonts w:eastAsia="Times New Roman" w:cs="Calibri"/>
                <w:color w:val="000000"/>
                <w:sz w:val="20"/>
                <w:szCs w:val="20"/>
                <w:lang w:eastAsia="es-CR"/>
              </w:rPr>
              <w:t>2.1.1.02.02.04.</w:t>
            </w:r>
          </w:p>
        </w:tc>
        <w:tc>
          <w:tcPr>
            <w:tcW w:w="3180" w:type="dxa"/>
            <w:tcBorders>
              <w:top w:val="nil"/>
              <w:left w:val="nil"/>
              <w:bottom w:val="nil"/>
              <w:right w:val="single" w:sz="8" w:space="0" w:color="auto"/>
            </w:tcBorders>
            <w:shd w:val="clear" w:color="auto" w:fill="auto"/>
            <w:vAlign w:val="bottom"/>
            <w:hideMark/>
          </w:tcPr>
          <w:p w14:paraId="486CDB5A" w14:textId="77777777" w:rsidR="00415741" w:rsidRPr="008E621B" w:rsidRDefault="00415741" w:rsidP="00756467">
            <w:pPr>
              <w:spacing w:after="0" w:line="240" w:lineRule="auto"/>
              <w:jc w:val="left"/>
              <w:rPr>
                <w:rFonts w:eastAsia="Times New Roman" w:cs="Calibri"/>
                <w:color w:val="000000"/>
                <w:sz w:val="20"/>
                <w:szCs w:val="20"/>
                <w:lang w:eastAsia="es-CR"/>
              </w:rPr>
            </w:pPr>
            <w:r w:rsidRPr="008E621B">
              <w:rPr>
                <w:rFonts w:eastAsia="Times New Roman" w:cs="Calibri"/>
                <w:color w:val="000000"/>
                <w:sz w:val="20"/>
                <w:szCs w:val="20"/>
                <w:lang w:eastAsia="es-CR"/>
              </w:rPr>
              <w:t>Retenciones de impuestos entidades relacionadas a pagar c/p</w:t>
            </w:r>
          </w:p>
        </w:tc>
        <w:tc>
          <w:tcPr>
            <w:tcW w:w="1140" w:type="dxa"/>
            <w:tcBorders>
              <w:top w:val="nil"/>
              <w:left w:val="nil"/>
              <w:bottom w:val="nil"/>
              <w:right w:val="single" w:sz="8" w:space="0" w:color="auto"/>
            </w:tcBorders>
            <w:shd w:val="clear" w:color="000000" w:fill="FFFFFF"/>
            <w:noWrap/>
            <w:vAlign w:val="bottom"/>
            <w:hideMark/>
          </w:tcPr>
          <w:p w14:paraId="1327DA13" w14:textId="77777777" w:rsidR="00415741" w:rsidRPr="008E621B" w:rsidRDefault="00415741" w:rsidP="00756467">
            <w:pPr>
              <w:spacing w:after="0" w:line="240" w:lineRule="auto"/>
              <w:jc w:val="right"/>
              <w:rPr>
                <w:rFonts w:eastAsia="Times New Roman" w:cs="Calibri"/>
                <w:color w:val="000000"/>
                <w:sz w:val="20"/>
                <w:szCs w:val="20"/>
                <w:lang w:eastAsia="es-CR"/>
              </w:rPr>
            </w:pPr>
            <w:r w:rsidRPr="008E621B">
              <w:rPr>
                <w:rFonts w:ascii="Arial" w:eastAsia="Times New Roman" w:hAnsi="Arial" w:cs="Arial"/>
                <w:color w:val="000000"/>
                <w:sz w:val="20"/>
                <w:szCs w:val="20"/>
                <w:lang w:eastAsia="es-CR"/>
              </w:rPr>
              <w:t>₡</w:t>
            </w:r>
            <w:r w:rsidRPr="008E621B">
              <w:rPr>
                <w:rFonts w:eastAsia="Times New Roman" w:cs="Calibri"/>
                <w:color w:val="000000"/>
                <w:sz w:val="20"/>
                <w:szCs w:val="20"/>
                <w:lang w:eastAsia="es-CR"/>
              </w:rPr>
              <w:t>0,00</w:t>
            </w:r>
          </w:p>
        </w:tc>
        <w:tc>
          <w:tcPr>
            <w:tcW w:w="1280" w:type="dxa"/>
            <w:tcBorders>
              <w:top w:val="nil"/>
              <w:left w:val="nil"/>
              <w:bottom w:val="single" w:sz="8" w:space="0" w:color="auto"/>
              <w:right w:val="single" w:sz="8" w:space="0" w:color="auto"/>
            </w:tcBorders>
            <w:shd w:val="clear" w:color="000000" w:fill="FFFFFF"/>
            <w:noWrap/>
            <w:vAlign w:val="bottom"/>
            <w:hideMark/>
          </w:tcPr>
          <w:p w14:paraId="7AE5BE3A" w14:textId="77777777" w:rsidR="00415741" w:rsidRPr="008E621B" w:rsidRDefault="00415741" w:rsidP="00756467">
            <w:pPr>
              <w:spacing w:after="0" w:line="240" w:lineRule="auto"/>
              <w:jc w:val="right"/>
              <w:rPr>
                <w:rFonts w:eastAsia="Times New Roman" w:cs="Calibri"/>
                <w:color w:val="000000"/>
                <w:sz w:val="20"/>
                <w:szCs w:val="20"/>
                <w:lang w:eastAsia="es-CR"/>
              </w:rPr>
            </w:pPr>
            <w:r w:rsidRPr="008E621B">
              <w:rPr>
                <w:rFonts w:eastAsia="Times New Roman" w:cs="Calibri"/>
                <w:color w:val="000000"/>
                <w:sz w:val="20"/>
                <w:szCs w:val="20"/>
                <w:lang w:eastAsia="es-CR"/>
              </w:rPr>
              <w:t>0,00</w:t>
            </w:r>
          </w:p>
        </w:tc>
        <w:tc>
          <w:tcPr>
            <w:tcW w:w="1100" w:type="dxa"/>
            <w:tcBorders>
              <w:top w:val="nil"/>
              <w:left w:val="nil"/>
              <w:bottom w:val="single" w:sz="8" w:space="0" w:color="auto"/>
              <w:right w:val="single" w:sz="8" w:space="0" w:color="auto"/>
            </w:tcBorders>
            <w:shd w:val="clear" w:color="000000" w:fill="FFFFFF"/>
            <w:noWrap/>
            <w:vAlign w:val="bottom"/>
            <w:hideMark/>
          </w:tcPr>
          <w:p w14:paraId="5ABFA12B" w14:textId="77777777" w:rsidR="00415741" w:rsidRPr="008E621B" w:rsidRDefault="00415741" w:rsidP="00756467">
            <w:pPr>
              <w:spacing w:after="0" w:line="240" w:lineRule="auto"/>
              <w:jc w:val="right"/>
              <w:rPr>
                <w:rFonts w:eastAsia="Times New Roman" w:cs="Calibri"/>
                <w:color w:val="000000"/>
                <w:sz w:val="20"/>
                <w:szCs w:val="20"/>
                <w:lang w:eastAsia="es-CR"/>
              </w:rPr>
            </w:pPr>
            <w:r w:rsidRPr="008E621B">
              <w:rPr>
                <w:rFonts w:eastAsia="Times New Roman" w:cs="Calibri"/>
                <w:color w:val="000000"/>
                <w:sz w:val="20"/>
                <w:szCs w:val="20"/>
                <w:lang w:eastAsia="es-CR"/>
              </w:rPr>
              <w:t>0,00</w:t>
            </w:r>
          </w:p>
        </w:tc>
        <w:tc>
          <w:tcPr>
            <w:tcW w:w="800" w:type="dxa"/>
            <w:tcBorders>
              <w:top w:val="nil"/>
              <w:left w:val="nil"/>
              <w:bottom w:val="single" w:sz="8" w:space="0" w:color="auto"/>
              <w:right w:val="single" w:sz="8" w:space="0" w:color="auto"/>
            </w:tcBorders>
            <w:shd w:val="clear" w:color="auto" w:fill="auto"/>
            <w:noWrap/>
            <w:vAlign w:val="bottom"/>
            <w:hideMark/>
          </w:tcPr>
          <w:p w14:paraId="0496D042" w14:textId="77777777" w:rsidR="00415741" w:rsidRPr="008E621B" w:rsidRDefault="00415741" w:rsidP="00756467">
            <w:pPr>
              <w:spacing w:after="0" w:line="240" w:lineRule="auto"/>
              <w:jc w:val="center"/>
              <w:rPr>
                <w:rFonts w:eastAsia="Times New Roman" w:cs="Calibri"/>
                <w:color w:val="000000"/>
                <w:sz w:val="20"/>
                <w:szCs w:val="20"/>
                <w:lang w:eastAsia="es-CR"/>
              </w:rPr>
            </w:pPr>
            <w:r w:rsidRPr="008E621B">
              <w:rPr>
                <w:rFonts w:eastAsia="Times New Roman" w:cs="Calibri"/>
                <w:color w:val="000000"/>
                <w:sz w:val="20"/>
                <w:szCs w:val="20"/>
                <w:lang w:eastAsia="es-CR"/>
              </w:rPr>
              <w:t>#¡DIV/0!</w:t>
            </w:r>
          </w:p>
        </w:tc>
      </w:tr>
      <w:tr w:rsidR="00415741" w:rsidRPr="008E621B" w14:paraId="6AC8A17A" w14:textId="77777777" w:rsidTr="00756467">
        <w:trPr>
          <w:trHeight w:val="315"/>
        </w:trPr>
        <w:tc>
          <w:tcPr>
            <w:tcW w:w="1280" w:type="dxa"/>
            <w:tcBorders>
              <w:top w:val="nil"/>
              <w:left w:val="single" w:sz="8" w:space="0" w:color="auto"/>
              <w:bottom w:val="single" w:sz="8" w:space="0" w:color="auto"/>
              <w:right w:val="single" w:sz="8" w:space="0" w:color="auto"/>
            </w:tcBorders>
            <w:shd w:val="clear" w:color="auto" w:fill="auto"/>
            <w:noWrap/>
            <w:vAlign w:val="bottom"/>
            <w:hideMark/>
          </w:tcPr>
          <w:p w14:paraId="6CDC1426" w14:textId="77777777" w:rsidR="00415741" w:rsidRPr="008E621B" w:rsidRDefault="00415741" w:rsidP="00756467">
            <w:pPr>
              <w:spacing w:after="0" w:line="240" w:lineRule="auto"/>
              <w:jc w:val="left"/>
              <w:rPr>
                <w:rFonts w:ascii="Calibri" w:eastAsia="Times New Roman" w:hAnsi="Calibri" w:cs="Calibri"/>
                <w:color w:val="000000"/>
                <w:sz w:val="22"/>
                <w:lang w:eastAsia="es-CR"/>
              </w:rPr>
            </w:pPr>
            <w:r w:rsidRPr="008E621B">
              <w:rPr>
                <w:rFonts w:ascii="Calibri" w:eastAsia="Times New Roman" w:hAnsi="Calibri" w:cs="Calibri"/>
                <w:color w:val="000000"/>
                <w:sz w:val="22"/>
                <w:lang w:eastAsia="es-CR"/>
              </w:rPr>
              <w:t> </w:t>
            </w:r>
          </w:p>
        </w:tc>
        <w:tc>
          <w:tcPr>
            <w:tcW w:w="3180" w:type="dxa"/>
            <w:tcBorders>
              <w:top w:val="single" w:sz="8" w:space="0" w:color="auto"/>
              <w:left w:val="nil"/>
              <w:bottom w:val="single" w:sz="8" w:space="0" w:color="auto"/>
              <w:right w:val="single" w:sz="8" w:space="0" w:color="auto"/>
            </w:tcBorders>
            <w:shd w:val="clear" w:color="auto" w:fill="auto"/>
            <w:noWrap/>
            <w:vAlign w:val="bottom"/>
            <w:hideMark/>
          </w:tcPr>
          <w:p w14:paraId="51FDEAFE" w14:textId="77777777" w:rsidR="00415741" w:rsidRPr="008E621B" w:rsidRDefault="00415741" w:rsidP="00756467">
            <w:pPr>
              <w:spacing w:after="0" w:line="240" w:lineRule="auto"/>
              <w:jc w:val="center"/>
              <w:rPr>
                <w:rFonts w:eastAsia="Times New Roman" w:cs="Calibri"/>
                <w:b/>
                <w:bCs/>
                <w:color w:val="000000"/>
                <w:sz w:val="20"/>
                <w:szCs w:val="20"/>
                <w:lang w:eastAsia="es-CR"/>
              </w:rPr>
            </w:pPr>
            <w:r w:rsidRPr="008E621B">
              <w:rPr>
                <w:rFonts w:eastAsia="Times New Roman" w:cs="Calibri"/>
                <w:b/>
                <w:bCs/>
                <w:color w:val="000000"/>
                <w:sz w:val="20"/>
                <w:szCs w:val="20"/>
                <w:lang w:eastAsia="es-CR"/>
              </w:rPr>
              <w:t>TOTALES</w:t>
            </w:r>
          </w:p>
        </w:tc>
        <w:tc>
          <w:tcPr>
            <w:tcW w:w="1140" w:type="dxa"/>
            <w:tcBorders>
              <w:top w:val="single" w:sz="8" w:space="0" w:color="auto"/>
              <w:left w:val="nil"/>
              <w:bottom w:val="single" w:sz="8" w:space="0" w:color="auto"/>
              <w:right w:val="single" w:sz="8" w:space="0" w:color="auto"/>
            </w:tcBorders>
            <w:shd w:val="clear" w:color="auto" w:fill="auto"/>
            <w:noWrap/>
            <w:vAlign w:val="bottom"/>
            <w:hideMark/>
          </w:tcPr>
          <w:p w14:paraId="152CEF6A" w14:textId="77777777" w:rsidR="00415741" w:rsidRPr="008E621B" w:rsidRDefault="00415741" w:rsidP="00756467">
            <w:pPr>
              <w:spacing w:after="0" w:line="240" w:lineRule="auto"/>
              <w:jc w:val="right"/>
              <w:rPr>
                <w:rFonts w:eastAsia="Times New Roman" w:cs="Calibri"/>
                <w:b/>
                <w:bCs/>
                <w:color w:val="000000"/>
                <w:sz w:val="20"/>
                <w:szCs w:val="20"/>
                <w:lang w:eastAsia="es-CR"/>
              </w:rPr>
            </w:pPr>
            <w:r w:rsidRPr="008E621B">
              <w:rPr>
                <w:rFonts w:ascii="Arial" w:eastAsia="Times New Roman" w:hAnsi="Arial" w:cs="Arial"/>
                <w:b/>
                <w:bCs/>
                <w:color w:val="000000"/>
                <w:sz w:val="20"/>
                <w:szCs w:val="20"/>
                <w:lang w:eastAsia="es-CR"/>
              </w:rPr>
              <w:t>₡</w:t>
            </w:r>
            <w:r w:rsidRPr="008E621B">
              <w:rPr>
                <w:rFonts w:eastAsia="Times New Roman" w:cs="Calibri"/>
                <w:b/>
                <w:bCs/>
                <w:color w:val="000000"/>
                <w:sz w:val="20"/>
                <w:szCs w:val="20"/>
                <w:lang w:eastAsia="es-CR"/>
              </w:rPr>
              <w:t>155 733,54</w:t>
            </w:r>
          </w:p>
        </w:tc>
        <w:tc>
          <w:tcPr>
            <w:tcW w:w="1280" w:type="dxa"/>
            <w:tcBorders>
              <w:top w:val="nil"/>
              <w:left w:val="nil"/>
              <w:bottom w:val="single" w:sz="8" w:space="0" w:color="auto"/>
              <w:right w:val="single" w:sz="8" w:space="0" w:color="auto"/>
            </w:tcBorders>
            <w:shd w:val="clear" w:color="auto" w:fill="auto"/>
            <w:noWrap/>
            <w:vAlign w:val="bottom"/>
            <w:hideMark/>
          </w:tcPr>
          <w:p w14:paraId="77E96083" w14:textId="77777777" w:rsidR="00415741" w:rsidRPr="008E621B" w:rsidRDefault="00415741" w:rsidP="00756467">
            <w:pPr>
              <w:spacing w:after="0" w:line="240" w:lineRule="auto"/>
              <w:jc w:val="right"/>
              <w:rPr>
                <w:rFonts w:eastAsia="Times New Roman" w:cs="Calibri"/>
                <w:b/>
                <w:bCs/>
                <w:color w:val="000000"/>
                <w:sz w:val="20"/>
                <w:szCs w:val="20"/>
                <w:lang w:eastAsia="es-CR"/>
              </w:rPr>
            </w:pPr>
            <w:r w:rsidRPr="008E621B">
              <w:rPr>
                <w:rFonts w:ascii="Arial" w:eastAsia="Times New Roman" w:hAnsi="Arial" w:cs="Arial"/>
                <w:b/>
                <w:bCs/>
                <w:color w:val="000000"/>
                <w:sz w:val="20"/>
                <w:szCs w:val="20"/>
                <w:lang w:eastAsia="es-CR"/>
              </w:rPr>
              <w:t>₡</w:t>
            </w:r>
            <w:r w:rsidRPr="008E621B">
              <w:rPr>
                <w:rFonts w:eastAsia="Times New Roman" w:cs="Calibri"/>
                <w:b/>
                <w:bCs/>
                <w:color w:val="000000"/>
                <w:sz w:val="20"/>
                <w:szCs w:val="20"/>
                <w:lang w:eastAsia="es-CR"/>
              </w:rPr>
              <w:t>181 141,32</w:t>
            </w:r>
          </w:p>
        </w:tc>
        <w:tc>
          <w:tcPr>
            <w:tcW w:w="1100" w:type="dxa"/>
            <w:tcBorders>
              <w:top w:val="nil"/>
              <w:left w:val="nil"/>
              <w:bottom w:val="single" w:sz="8" w:space="0" w:color="auto"/>
              <w:right w:val="single" w:sz="8" w:space="0" w:color="auto"/>
            </w:tcBorders>
            <w:shd w:val="clear" w:color="auto" w:fill="auto"/>
            <w:noWrap/>
            <w:vAlign w:val="bottom"/>
            <w:hideMark/>
          </w:tcPr>
          <w:p w14:paraId="4F288BD5" w14:textId="77777777" w:rsidR="00415741" w:rsidRPr="008E621B" w:rsidRDefault="00415741" w:rsidP="00756467">
            <w:pPr>
              <w:spacing w:after="0" w:line="240" w:lineRule="auto"/>
              <w:jc w:val="right"/>
              <w:rPr>
                <w:rFonts w:eastAsia="Times New Roman" w:cs="Calibri"/>
                <w:b/>
                <w:bCs/>
                <w:color w:val="000000"/>
                <w:sz w:val="20"/>
                <w:szCs w:val="20"/>
                <w:lang w:eastAsia="es-CR"/>
              </w:rPr>
            </w:pPr>
            <w:r w:rsidRPr="008E621B">
              <w:rPr>
                <w:rFonts w:eastAsia="Times New Roman" w:cs="Calibri"/>
                <w:b/>
                <w:bCs/>
                <w:color w:val="000000"/>
                <w:sz w:val="20"/>
                <w:szCs w:val="20"/>
                <w:lang w:eastAsia="es-CR"/>
              </w:rPr>
              <w:t>-</w:t>
            </w:r>
            <w:r w:rsidRPr="008E621B">
              <w:rPr>
                <w:rFonts w:ascii="Arial" w:eastAsia="Times New Roman" w:hAnsi="Arial" w:cs="Arial"/>
                <w:b/>
                <w:bCs/>
                <w:color w:val="000000"/>
                <w:sz w:val="20"/>
                <w:szCs w:val="20"/>
                <w:lang w:eastAsia="es-CR"/>
              </w:rPr>
              <w:t>₡</w:t>
            </w:r>
            <w:r w:rsidRPr="008E621B">
              <w:rPr>
                <w:rFonts w:eastAsia="Times New Roman" w:cs="Calibri"/>
                <w:b/>
                <w:bCs/>
                <w:color w:val="000000"/>
                <w:sz w:val="20"/>
                <w:szCs w:val="20"/>
                <w:lang w:eastAsia="es-CR"/>
              </w:rPr>
              <w:t>25 407,79</w:t>
            </w:r>
          </w:p>
        </w:tc>
        <w:tc>
          <w:tcPr>
            <w:tcW w:w="800" w:type="dxa"/>
            <w:tcBorders>
              <w:top w:val="nil"/>
              <w:left w:val="nil"/>
              <w:bottom w:val="single" w:sz="8" w:space="0" w:color="auto"/>
              <w:right w:val="single" w:sz="8" w:space="0" w:color="auto"/>
            </w:tcBorders>
            <w:shd w:val="clear" w:color="auto" w:fill="auto"/>
            <w:noWrap/>
            <w:vAlign w:val="bottom"/>
            <w:hideMark/>
          </w:tcPr>
          <w:p w14:paraId="61894929" w14:textId="77777777" w:rsidR="00415741" w:rsidRPr="008E621B" w:rsidRDefault="00415741" w:rsidP="00756467">
            <w:pPr>
              <w:spacing w:after="0" w:line="240" w:lineRule="auto"/>
              <w:jc w:val="right"/>
              <w:rPr>
                <w:rFonts w:eastAsia="Times New Roman" w:cs="Calibri"/>
                <w:b/>
                <w:bCs/>
                <w:color w:val="000000"/>
                <w:sz w:val="20"/>
                <w:szCs w:val="20"/>
                <w:lang w:eastAsia="es-CR"/>
              </w:rPr>
            </w:pPr>
            <w:r w:rsidRPr="008E621B">
              <w:rPr>
                <w:rFonts w:eastAsia="Times New Roman" w:cs="Calibri"/>
                <w:b/>
                <w:bCs/>
                <w:color w:val="000000"/>
                <w:sz w:val="20"/>
                <w:szCs w:val="20"/>
                <w:lang w:eastAsia="es-CR"/>
              </w:rPr>
              <w:t>-14,03%</w:t>
            </w:r>
          </w:p>
        </w:tc>
      </w:tr>
    </w:tbl>
    <w:p w14:paraId="2DE7C1A1" w14:textId="77777777" w:rsidR="00415741" w:rsidRDefault="00415741" w:rsidP="00415741">
      <w:pPr>
        <w:spacing w:after="0" w:line="240" w:lineRule="auto"/>
        <w:rPr>
          <w:rFonts w:eastAsiaTheme="minorEastAsia" w:cs="Arial Narrow"/>
          <w:color w:val="000000"/>
          <w:lang w:eastAsia="es-CR"/>
        </w:rPr>
      </w:pPr>
    </w:p>
    <w:p w14:paraId="1451EEA5" w14:textId="5BF11DC1" w:rsidR="00415741" w:rsidRPr="005B579A" w:rsidRDefault="00415741" w:rsidP="005B579A">
      <w:pPr>
        <w:spacing w:after="0" w:line="240" w:lineRule="auto"/>
        <w:rPr>
          <w:rFonts w:eastAsiaTheme="minorEastAsia" w:cs="Arial Narrow"/>
          <w:color w:val="000000"/>
          <w:lang w:eastAsia="es-CR"/>
        </w:rPr>
      </w:pPr>
      <w:r>
        <w:rPr>
          <w:rFonts w:eastAsiaTheme="minorEastAsia" w:cs="Arial Narrow"/>
          <w:color w:val="000000"/>
          <w:lang w:eastAsia="es-CR"/>
        </w:rPr>
        <w:t>Como se observa en el cuadro anterior, la variación (disminución) de -</w:t>
      </w:r>
      <w:r w:rsidRPr="007E1E36">
        <w:rPr>
          <w:rFonts w:ascii="Arial" w:eastAsiaTheme="minorEastAsia" w:hAnsi="Arial" w:cs="Arial"/>
          <w:color w:val="000000"/>
          <w:lang w:eastAsia="es-CR"/>
        </w:rPr>
        <w:t>₡</w:t>
      </w:r>
      <w:r>
        <w:rPr>
          <w:rFonts w:eastAsiaTheme="minorEastAsia" w:cs="Arial Narrow"/>
          <w:color w:val="000000"/>
          <w:lang w:eastAsia="es-CR"/>
        </w:rPr>
        <w:t>25 407,79 miles en esta cuenta se produjo por un efecto neto principalmente por las disminuciones que se presentaron en las subcuentas: Remuneraciones básicas y eventuales a pagar c/p de -</w:t>
      </w:r>
      <w:r w:rsidRPr="007E1E36">
        <w:rPr>
          <w:rFonts w:ascii="Arial" w:eastAsiaTheme="minorEastAsia" w:hAnsi="Arial" w:cs="Arial"/>
          <w:color w:val="000000"/>
          <w:lang w:eastAsia="es-CR"/>
        </w:rPr>
        <w:t>₡</w:t>
      </w:r>
      <w:r>
        <w:rPr>
          <w:rFonts w:eastAsiaTheme="minorEastAsia" w:cs="Arial Narrow"/>
          <w:color w:val="000000"/>
          <w:lang w:eastAsia="es-CR"/>
        </w:rPr>
        <w:t>42 448,50</w:t>
      </w:r>
      <w:r w:rsidRPr="00B43583">
        <w:rPr>
          <w:rFonts w:eastAsiaTheme="minorEastAsia" w:cs="Arial Narrow"/>
          <w:color w:val="000000"/>
          <w:lang w:eastAsia="es-CR"/>
        </w:rPr>
        <w:t xml:space="preserve"> </w:t>
      </w:r>
      <w:r w:rsidRPr="00CF4B6E">
        <w:rPr>
          <w:rFonts w:eastAsiaTheme="minorEastAsia" w:cs="Arial Narrow"/>
          <w:color w:val="000000"/>
          <w:lang w:eastAsia="es-CR"/>
        </w:rPr>
        <w:t>miles</w:t>
      </w:r>
      <w:r>
        <w:rPr>
          <w:rFonts w:eastAsiaTheme="minorEastAsia" w:cs="Arial Narrow"/>
          <w:color w:val="000000"/>
          <w:lang w:eastAsia="es-CR"/>
        </w:rPr>
        <w:t xml:space="preserve">, </w:t>
      </w:r>
      <w:r w:rsidRPr="004C6F83">
        <w:rPr>
          <w:rFonts w:eastAsiaTheme="minorEastAsia" w:cs="Arial Narrow"/>
          <w:color w:val="000000"/>
          <w:lang w:eastAsia="es-CR"/>
        </w:rPr>
        <w:t xml:space="preserve">Otras deudas por beneficios a los empleados c/p por </w:t>
      </w:r>
      <w:r>
        <w:rPr>
          <w:rFonts w:eastAsiaTheme="minorEastAsia" w:cs="Arial Narrow"/>
          <w:color w:val="000000"/>
          <w:lang w:eastAsia="es-CR"/>
        </w:rPr>
        <w:t>-</w:t>
      </w:r>
      <w:r w:rsidRPr="007E1E36">
        <w:rPr>
          <w:rFonts w:ascii="Arial" w:eastAsiaTheme="minorEastAsia" w:hAnsi="Arial" w:cs="Arial"/>
          <w:color w:val="000000"/>
          <w:lang w:eastAsia="es-CR"/>
        </w:rPr>
        <w:t>₡</w:t>
      </w:r>
      <w:r>
        <w:rPr>
          <w:rFonts w:eastAsiaTheme="minorEastAsia" w:cs="Arial Narrow"/>
          <w:color w:val="000000"/>
          <w:lang w:eastAsia="es-CR"/>
        </w:rPr>
        <w:t>8 754,66</w:t>
      </w:r>
      <w:r w:rsidRPr="00B43583">
        <w:rPr>
          <w:rFonts w:eastAsiaTheme="minorEastAsia" w:cs="Arial Narrow"/>
          <w:color w:val="000000"/>
          <w:lang w:eastAsia="es-CR"/>
        </w:rPr>
        <w:t xml:space="preserve"> </w:t>
      </w:r>
      <w:r>
        <w:rPr>
          <w:rFonts w:eastAsiaTheme="minorEastAsia" w:cs="Arial Narrow"/>
          <w:color w:val="000000"/>
          <w:lang w:eastAsia="es-CR"/>
        </w:rPr>
        <w:t xml:space="preserve">miles, </w:t>
      </w:r>
      <w:r w:rsidRPr="00262F46">
        <w:rPr>
          <w:rFonts w:eastAsiaTheme="minorEastAsia" w:cs="Arial Narrow"/>
          <w:color w:val="000000"/>
          <w:lang w:eastAsia="es-CR"/>
        </w:rPr>
        <w:t>Incentivos salariales a pagar c/p (Decimotercer mes)</w:t>
      </w:r>
      <w:r w:rsidRPr="007E1E36">
        <w:rPr>
          <w:rFonts w:eastAsiaTheme="minorEastAsia" w:cs="Arial Narrow"/>
          <w:color w:val="000000"/>
          <w:lang w:eastAsia="es-CR"/>
        </w:rPr>
        <w:t xml:space="preserve"> por </w:t>
      </w:r>
      <w:r>
        <w:rPr>
          <w:rFonts w:eastAsiaTheme="minorEastAsia" w:cs="Arial Narrow"/>
          <w:color w:val="000000"/>
          <w:lang w:eastAsia="es-CR"/>
        </w:rPr>
        <w:t>-</w:t>
      </w:r>
      <w:r w:rsidRPr="007E1E36">
        <w:rPr>
          <w:rFonts w:ascii="Arial" w:eastAsiaTheme="minorEastAsia" w:hAnsi="Arial" w:cs="Arial"/>
          <w:color w:val="000000"/>
          <w:lang w:eastAsia="es-CR"/>
        </w:rPr>
        <w:t>₡</w:t>
      </w:r>
      <w:r>
        <w:rPr>
          <w:rFonts w:eastAsiaTheme="minorEastAsia" w:cs="Arial Narrow"/>
          <w:color w:val="000000"/>
          <w:lang w:eastAsia="es-CR"/>
        </w:rPr>
        <w:t>1 532,54</w:t>
      </w:r>
      <w:r w:rsidRPr="007E1E36">
        <w:rPr>
          <w:rFonts w:eastAsiaTheme="minorEastAsia" w:cs="Arial Narrow"/>
          <w:color w:val="000000"/>
          <w:lang w:eastAsia="es-CR"/>
        </w:rPr>
        <w:t xml:space="preserve"> miles</w:t>
      </w:r>
      <w:r>
        <w:rPr>
          <w:rFonts w:eastAsiaTheme="minorEastAsia" w:cs="Arial Narrow"/>
          <w:color w:val="000000"/>
          <w:lang w:eastAsia="es-CR"/>
        </w:rPr>
        <w:t xml:space="preserve"> y en </w:t>
      </w:r>
      <w:r w:rsidRPr="0069140F">
        <w:rPr>
          <w:rFonts w:eastAsiaTheme="minorEastAsia" w:cs="Arial Narrow"/>
          <w:color w:val="000000"/>
          <w:lang w:eastAsia="es-CR"/>
        </w:rPr>
        <w:t>Deudas fiscales c/p - Ministerio de Hacienda (MHD</w:t>
      </w:r>
      <w:r>
        <w:rPr>
          <w:rFonts w:eastAsiaTheme="minorEastAsia" w:cs="Arial Narrow"/>
          <w:color w:val="000000"/>
          <w:lang w:eastAsia="es-CR"/>
        </w:rPr>
        <w:t>) por la suma de -</w:t>
      </w:r>
      <w:r w:rsidRPr="007E1E36">
        <w:rPr>
          <w:rFonts w:ascii="Arial" w:eastAsiaTheme="minorEastAsia" w:hAnsi="Arial" w:cs="Arial"/>
          <w:color w:val="000000"/>
          <w:lang w:eastAsia="es-CR"/>
        </w:rPr>
        <w:t>₡</w:t>
      </w:r>
      <w:r>
        <w:rPr>
          <w:rFonts w:eastAsiaTheme="minorEastAsia" w:cs="Arial Narrow"/>
          <w:color w:val="000000"/>
          <w:lang w:eastAsia="es-CR"/>
        </w:rPr>
        <w:t>3 968,46</w:t>
      </w:r>
      <w:r w:rsidRPr="007E1E36">
        <w:rPr>
          <w:rFonts w:eastAsiaTheme="minorEastAsia" w:cs="Arial Narrow"/>
          <w:color w:val="000000"/>
          <w:lang w:eastAsia="es-CR"/>
        </w:rPr>
        <w:t xml:space="preserve"> </w:t>
      </w:r>
      <w:r>
        <w:rPr>
          <w:rFonts w:eastAsiaTheme="minorEastAsia" w:cs="Arial Narrow"/>
          <w:color w:val="000000"/>
          <w:lang w:eastAsia="es-CR"/>
        </w:rPr>
        <w:t>miles y los aumentos en</w:t>
      </w:r>
      <w:r w:rsidRPr="007E1E36">
        <w:rPr>
          <w:rFonts w:eastAsiaTheme="minorEastAsia" w:cs="Arial Narrow"/>
          <w:color w:val="000000"/>
          <w:lang w:eastAsia="es-CR"/>
        </w:rPr>
        <w:t xml:space="preserve">; </w:t>
      </w:r>
      <w:r w:rsidRPr="00CF4B6E">
        <w:rPr>
          <w:rFonts w:eastAsiaTheme="minorEastAsia" w:cs="Arial Narrow"/>
          <w:color w:val="000000"/>
          <w:lang w:eastAsia="es-CR"/>
        </w:rPr>
        <w:t>Contribuciones patronales al desarrollo y la seguridad social a pagar c/p (Aporte Patronal FCL - CCSS)</w:t>
      </w:r>
      <w:r>
        <w:rPr>
          <w:rFonts w:eastAsiaTheme="minorEastAsia" w:cs="Arial Narrow"/>
          <w:color w:val="000000"/>
          <w:lang w:eastAsia="es-CR"/>
        </w:rPr>
        <w:t xml:space="preserve"> de </w:t>
      </w:r>
      <w:r w:rsidRPr="007E1E36">
        <w:rPr>
          <w:rFonts w:ascii="Arial" w:eastAsiaTheme="minorEastAsia" w:hAnsi="Arial" w:cs="Arial"/>
          <w:color w:val="000000"/>
          <w:lang w:eastAsia="es-CR"/>
        </w:rPr>
        <w:t>₡</w:t>
      </w:r>
      <w:r>
        <w:rPr>
          <w:rFonts w:eastAsiaTheme="minorEastAsia" w:cs="Arial Narrow"/>
          <w:color w:val="000000"/>
          <w:lang w:eastAsia="es-CR"/>
        </w:rPr>
        <w:t>31 296,38</w:t>
      </w:r>
      <w:r w:rsidRPr="007E1E36">
        <w:rPr>
          <w:rFonts w:eastAsiaTheme="minorEastAsia" w:cs="Arial Narrow"/>
          <w:color w:val="000000"/>
          <w:lang w:eastAsia="es-CR"/>
        </w:rPr>
        <w:t xml:space="preserve"> </w:t>
      </w:r>
      <w:r>
        <w:rPr>
          <w:rFonts w:eastAsiaTheme="minorEastAsia" w:cs="Arial Narrow"/>
          <w:color w:val="000000"/>
          <w:lang w:eastAsia="es-CR"/>
        </w:rPr>
        <w:t xml:space="preserve">miles. </w:t>
      </w:r>
    </w:p>
    <w:p w14:paraId="702908F8" w14:textId="0774B20B" w:rsidR="00692DC8" w:rsidRDefault="00692DC8" w:rsidP="00E276CE">
      <w:pPr>
        <w:rPr>
          <w:szCs w:val="24"/>
        </w:rPr>
      </w:pPr>
      <w:r w:rsidRPr="00692DC8">
        <w:rPr>
          <w:szCs w:val="24"/>
        </w:rPr>
        <w:t>Detalle:</w:t>
      </w:r>
    </w:p>
    <w:tbl>
      <w:tblPr>
        <w:tblW w:w="4380" w:type="dxa"/>
        <w:tblInd w:w="-10" w:type="dxa"/>
        <w:tblCellMar>
          <w:left w:w="70" w:type="dxa"/>
          <w:right w:w="70" w:type="dxa"/>
        </w:tblCellMar>
        <w:tblLook w:val="04A0" w:firstRow="1" w:lastRow="0" w:firstColumn="1" w:lastColumn="0" w:noHBand="0" w:noVBand="1"/>
      </w:tblPr>
      <w:tblGrid>
        <w:gridCol w:w="1240"/>
        <w:gridCol w:w="3140"/>
      </w:tblGrid>
      <w:tr w:rsidR="00F15E94" w:rsidRPr="00F15E94" w14:paraId="1256F986" w14:textId="77777777" w:rsidTr="00F15E94">
        <w:trPr>
          <w:trHeight w:val="288"/>
        </w:trPr>
        <w:tc>
          <w:tcPr>
            <w:tcW w:w="1240" w:type="dxa"/>
            <w:tcBorders>
              <w:top w:val="single" w:sz="8" w:space="0" w:color="auto"/>
              <w:left w:val="single" w:sz="8" w:space="0" w:color="auto"/>
              <w:bottom w:val="nil"/>
              <w:right w:val="single" w:sz="8" w:space="0" w:color="auto"/>
            </w:tcBorders>
            <w:shd w:val="clear" w:color="000000" w:fill="366092"/>
            <w:noWrap/>
            <w:vAlign w:val="center"/>
            <w:hideMark/>
          </w:tcPr>
          <w:p w14:paraId="5F480FC9" w14:textId="77777777" w:rsidR="00F15E94" w:rsidRPr="00F15E94" w:rsidRDefault="00F15E94" w:rsidP="00F15E94">
            <w:pPr>
              <w:spacing w:after="0" w:line="240" w:lineRule="auto"/>
              <w:rPr>
                <w:rFonts w:eastAsia="Times New Roman" w:cs="Calibri"/>
                <w:b/>
                <w:bCs/>
                <w:color w:val="FFFFFF"/>
                <w:sz w:val="18"/>
                <w:szCs w:val="18"/>
                <w:lang w:eastAsia="es-CR"/>
              </w:rPr>
            </w:pPr>
            <w:r w:rsidRPr="00F15E94">
              <w:rPr>
                <w:rFonts w:eastAsia="Times New Roman" w:cs="Calibri"/>
                <w:b/>
                <w:bCs/>
                <w:color w:val="FFFFFF"/>
                <w:sz w:val="18"/>
                <w:szCs w:val="18"/>
                <w:lang w:eastAsia="es-CR"/>
              </w:rPr>
              <w:t xml:space="preserve">Cuenta </w:t>
            </w:r>
          </w:p>
        </w:tc>
        <w:tc>
          <w:tcPr>
            <w:tcW w:w="3140" w:type="dxa"/>
            <w:tcBorders>
              <w:top w:val="single" w:sz="8" w:space="0" w:color="auto"/>
              <w:left w:val="nil"/>
              <w:bottom w:val="nil"/>
              <w:right w:val="single" w:sz="8" w:space="0" w:color="auto"/>
            </w:tcBorders>
            <w:shd w:val="clear" w:color="000000" w:fill="366092"/>
            <w:vAlign w:val="center"/>
            <w:hideMark/>
          </w:tcPr>
          <w:p w14:paraId="6A928721" w14:textId="77777777" w:rsidR="00F15E94" w:rsidRPr="00F15E94" w:rsidRDefault="00F15E94" w:rsidP="00F15E94">
            <w:pPr>
              <w:spacing w:after="0" w:line="240" w:lineRule="auto"/>
              <w:jc w:val="center"/>
              <w:rPr>
                <w:rFonts w:eastAsia="Times New Roman" w:cs="Calibri"/>
                <w:b/>
                <w:bCs/>
                <w:color w:val="FFFFFF"/>
                <w:sz w:val="18"/>
                <w:szCs w:val="18"/>
                <w:lang w:eastAsia="es-CR"/>
              </w:rPr>
            </w:pPr>
            <w:r w:rsidRPr="00F15E94">
              <w:rPr>
                <w:rFonts w:eastAsia="Times New Roman" w:cs="Calibri"/>
                <w:b/>
                <w:bCs/>
                <w:color w:val="FFFFFF"/>
                <w:sz w:val="18"/>
                <w:szCs w:val="18"/>
                <w:lang w:eastAsia="es-CR"/>
              </w:rPr>
              <w:t xml:space="preserve">Descripción </w:t>
            </w:r>
          </w:p>
        </w:tc>
      </w:tr>
      <w:tr w:rsidR="00F15E94" w:rsidRPr="00F15E94" w14:paraId="01761BA0" w14:textId="77777777" w:rsidTr="00F15E94">
        <w:trPr>
          <w:trHeight w:val="54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2DAF38D0" w14:textId="77777777" w:rsidR="00F15E94" w:rsidRPr="00F15E94" w:rsidRDefault="00F15E94" w:rsidP="00F15E94">
            <w:pPr>
              <w:spacing w:after="0" w:line="240" w:lineRule="auto"/>
              <w:rPr>
                <w:rFonts w:eastAsia="Times New Roman" w:cs="Calibri"/>
                <w:b/>
                <w:bCs/>
                <w:color w:val="000000"/>
                <w:sz w:val="18"/>
                <w:szCs w:val="18"/>
                <w:lang w:eastAsia="es-CR"/>
              </w:rPr>
            </w:pPr>
            <w:r w:rsidRPr="00F15E94">
              <w:rPr>
                <w:rFonts w:eastAsia="Times New Roman" w:cs="Calibri"/>
                <w:b/>
                <w:bCs/>
                <w:color w:val="000000"/>
                <w:sz w:val="18"/>
                <w:szCs w:val="18"/>
                <w:lang w:eastAsia="es-CR"/>
              </w:rPr>
              <w:t>2.1.1.03.02.</w:t>
            </w:r>
          </w:p>
        </w:tc>
        <w:tc>
          <w:tcPr>
            <w:tcW w:w="3140" w:type="dxa"/>
            <w:tcBorders>
              <w:top w:val="nil"/>
              <w:left w:val="nil"/>
              <w:bottom w:val="single" w:sz="8" w:space="0" w:color="auto"/>
              <w:right w:val="single" w:sz="8" w:space="0" w:color="auto"/>
            </w:tcBorders>
            <w:shd w:val="clear" w:color="auto" w:fill="auto"/>
            <w:vAlign w:val="center"/>
            <w:hideMark/>
          </w:tcPr>
          <w:p w14:paraId="362340B4" w14:textId="77777777" w:rsidR="00F15E94" w:rsidRPr="00F15E94" w:rsidRDefault="00F15E94" w:rsidP="00F15E94">
            <w:pPr>
              <w:spacing w:after="0" w:line="240" w:lineRule="auto"/>
              <w:rPr>
                <w:rFonts w:eastAsia="Times New Roman" w:cs="Calibri"/>
                <w:b/>
                <w:bCs/>
                <w:color w:val="000000"/>
                <w:sz w:val="18"/>
                <w:szCs w:val="18"/>
                <w:lang w:eastAsia="es-CR"/>
              </w:rPr>
            </w:pPr>
            <w:r w:rsidRPr="00F15E94">
              <w:rPr>
                <w:rFonts w:eastAsia="Times New Roman" w:cs="Calibri"/>
                <w:b/>
                <w:bCs/>
                <w:color w:val="000000"/>
                <w:sz w:val="18"/>
                <w:szCs w:val="18"/>
                <w:lang w:eastAsia="es-CR"/>
              </w:rPr>
              <w:t>Transferencias al sector público interno a pagar c/p</w:t>
            </w:r>
          </w:p>
        </w:tc>
      </w:tr>
    </w:tbl>
    <w:p w14:paraId="22DF0067" w14:textId="6035B385" w:rsidR="00F15E94" w:rsidRDefault="00F15E94" w:rsidP="00E276CE">
      <w:pPr>
        <w:rPr>
          <w:szCs w:val="24"/>
        </w:rPr>
      </w:pPr>
    </w:p>
    <w:tbl>
      <w:tblPr>
        <w:tblW w:w="8780" w:type="dxa"/>
        <w:tblCellMar>
          <w:left w:w="70" w:type="dxa"/>
          <w:right w:w="70" w:type="dxa"/>
        </w:tblCellMar>
        <w:tblLook w:val="04A0" w:firstRow="1" w:lastRow="0" w:firstColumn="1" w:lastColumn="0" w:noHBand="0" w:noVBand="1"/>
      </w:tblPr>
      <w:tblGrid>
        <w:gridCol w:w="1275"/>
        <w:gridCol w:w="3164"/>
        <w:gridCol w:w="1135"/>
        <w:gridCol w:w="1274"/>
        <w:gridCol w:w="1095"/>
        <w:gridCol w:w="875"/>
      </w:tblGrid>
      <w:tr w:rsidR="00953B01" w:rsidRPr="00953B01" w14:paraId="1A8F6DF8" w14:textId="77777777" w:rsidTr="00953B01">
        <w:trPr>
          <w:trHeight w:val="525"/>
        </w:trPr>
        <w:tc>
          <w:tcPr>
            <w:tcW w:w="1280" w:type="dxa"/>
            <w:tcBorders>
              <w:top w:val="single" w:sz="8" w:space="0" w:color="auto"/>
              <w:left w:val="single" w:sz="8" w:space="0" w:color="auto"/>
              <w:bottom w:val="nil"/>
              <w:right w:val="single" w:sz="12" w:space="0" w:color="auto"/>
            </w:tcBorders>
            <w:shd w:val="clear" w:color="000000" w:fill="002060"/>
            <w:noWrap/>
            <w:vAlign w:val="center"/>
            <w:hideMark/>
          </w:tcPr>
          <w:p w14:paraId="2D5A2AFA" w14:textId="77777777" w:rsidR="00953B01" w:rsidRPr="00953B01" w:rsidRDefault="00953B01" w:rsidP="00953B01">
            <w:pPr>
              <w:spacing w:after="0" w:line="240" w:lineRule="auto"/>
              <w:jc w:val="center"/>
              <w:rPr>
                <w:rFonts w:eastAsia="Times New Roman" w:cs="Calibri"/>
                <w:b/>
                <w:bCs/>
                <w:color w:val="FFFFFF"/>
                <w:sz w:val="20"/>
                <w:szCs w:val="20"/>
                <w:lang w:eastAsia="es-CR"/>
              </w:rPr>
            </w:pPr>
            <w:r w:rsidRPr="00953B01">
              <w:rPr>
                <w:rFonts w:eastAsia="Times New Roman" w:cs="Calibri"/>
                <w:b/>
                <w:bCs/>
                <w:color w:val="FFFFFF"/>
                <w:sz w:val="20"/>
                <w:szCs w:val="20"/>
                <w:lang w:eastAsia="es-CR"/>
              </w:rPr>
              <w:t>Entidad</w:t>
            </w:r>
          </w:p>
        </w:tc>
        <w:tc>
          <w:tcPr>
            <w:tcW w:w="3180" w:type="dxa"/>
            <w:tcBorders>
              <w:top w:val="single" w:sz="8" w:space="0" w:color="auto"/>
              <w:left w:val="nil"/>
              <w:bottom w:val="nil"/>
              <w:right w:val="single" w:sz="12" w:space="0" w:color="auto"/>
            </w:tcBorders>
            <w:shd w:val="clear" w:color="000000" w:fill="002060"/>
            <w:noWrap/>
            <w:vAlign w:val="center"/>
            <w:hideMark/>
          </w:tcPr>
          <w:p w14:paraId="772F8279" w14:textId="77777777" w:rsidR="00953B01" w:rsidRPr="00953B01" w:rsidRDefault="00953B01" w:rsidP="00953B01">
            <w:pPr>
              <w:spacing w:after="0" w:line="240" w:lineRule="auto"/>
              <w:jc w:val="center"/>
              <w:rPr>
                <w:rFonts w:eastAsia="Times New Roman" w:cs="Calibri"/>
                <w:b/>
                <w:bCs/>
                <w:color w:val="FFFFFF"/>
                <w:sz w:val="20"/>
                <w:szCs w:val="20"/>
                <w:lang w:eastAsia="es-CR"/>
              </w:rPr>
            </w:pPr>
            <w:r w:rsidRPr="00953B01">
              <w:rPr>
                <w:rFonts w:eastAsia="Times New Roman" w:cs="Calibri"/>
                <w:b/>
                <w:bCs/>
                <w:color w:val="FFFFFF"/>
                <w:sz w:val="20"/>
                <w:szCs w:val="20"/>
                <w:lang w:eastAsia="es-CR"/>
              </w:rPr>
              <w:t>Descripción</w:t>
            </w:r>
          </w:p>
        </w:tc>
        <w:tc>
          <w:tcPr>
            <w:tcW w:w="1140" w:type="dxa"/>
            <w:tcBorders>
              <w:top w:val="single" w:sz="8" w:space="0" w:color="auto"/>
              <w:left w:val="nil"/>
              <w:bottom w:val="nil"/>
              <w:right w:val="single" w:sz="12" w:space="0" w:color="auto"/>
            </w:tcBorders>
            <w:shd w:val="clear" w:color="000000" w:fill="002060"/>
            <w:vAlign w:val="center"/>
            <w:hideMark/>
          </w:tcPr>
          <w:p w14:paraId="74AD4AFF" w14:textId="77777777" w:rsidR="00953B01" w:rsidRPr="00953B01" w:rsidRDefault="00953B01" w:rsidP="00953B01">
            <w:pPr>
              <w:spacing w:after="0" w:line="240" w:lineRule="auto"/>
              <w:jc w:val="center"/>
              <w:rPr>
                <w:rFonts w:eastAsia="Times New Roman" w:cs="Calibri"/>
                <w:b/>
                <w:bCs/>
                <w:color w:val="FFFFFF"/>
                <w:sz w:val="20"/>
                <w:szCs w:val="20"/>
                <w:lang w:eastAsia="es-CR"/>
              </w:rPr>
            </w:pPr>
            <w:r w:rsidRPr="00953B01">
              <w:rPr>
                <w:rFonts w:eastAsia="Times New Roman" w:cs="Calibri"/>
                <w:b/>
                <w:bCs/>
                <w:color w:val="FFFFFF"/>
                <w:sz w:val="20"/>
                <w:szCs w:val="20"/>
                <w:lang w:eastAsia="es-CR"/>
              </w:rPr>
              <w:t>Saldo Año Actual</w:t>
            </w:r>
          </w:p>
        </w:tc>
        <w:tc>
          <w:tcPr>
            <w:tcW w:w="1280" w:type="dxa"/>
            <w:tcBorders>
              <w:top w:val="single" w:sz="8" w:space="0" w:color="auto"/>
              <w:left w:val="nil"/>
              <w:bottom w:val="nil"/>
              <w:right w:val="single" w:sz="12" w:space="0" w:color="auto"/>
            </w:tcBorders>
            <w:shd w:val="clear" w:color="000000" w:fill="002060"/>
            <w:vAlign w:val="center"/>
            <w:hideMark/>
          </w:tcPr>
          <w:p w14:paraId="37232055" w14:textId="77777777" w:rsidR="00953B01" w:rsidRPr="00953B01" w:rsidRDefault="00953B01" w:rsidP="00953B01">
            <w:pPr>
              <w:spacing w:after="0" w:line="240" w:lineRule="auto"/>
              <w:jc w:val="center"/>
              <w:rPr>
                <w:rFonts w:eastAsia="Times New Roman" w:cs="Calibri"/>
                <w:b/>
                <w:bCs/>
                <w:color w:val="FFFFFF"/>
                <w:sz w:val="20"/>
                <w:szCs w:val="20"/>
                <w:lang w:eastAsia="es-CR"/>
              </w:rPr>
            </w:pPr>
            <w:r w:rsidRPr="00953B01">
              <w:rPr>
                <w:rFonts w:eastAsia="Times New Roman" w:cs="Calibri"/>
                <w:b/>
                <w:bCs/>
                <w:color w:val="FFFFFF"/>
                <w:sz w:val="20"/>
                <w:szCs w:val="20"/>
                <w:lang w:eastAsia="es-CR"/>
              </w:rPr>
              <w:t>Saldo Año Anterior</w:t>
            </w:r>
          </w:p>
        </w:tc>
        <w:tc>
          <w:tcPr>
            <w:tcW w:w="1100" w:type="dxa"/>
            <w:tcBorders>
              <w:top w:val="single" w:sz="8" w:space="0" w:color="auto"/>
              <w:left w:val="nil"/>
              <w:bottom w:val="nil"/>
              <w:right w:val="single" w:sz="12" w:space="0" w:color="auto"/>
            </w:tcBorders>
            <w:shd w:val="clear" w:color="000000" w:fill="002060"/>
            <w:vAlign w:val="center"/>
            <w:hideMark/>
          </w:tcPr>
          <w:p w14:paraId="599C34EB" w14:textId="77777777" w:rsidR="00953B01" w:rsidRPr="00953B01" w:rsidRDefault="00953B01" w:rsidP="00953B01">
            <w:pPr>
              <w:spacing w:after="0" w:line="240" w:lineRule="auto"/>
              <w:jc w:val="center"/>
              <w:rPr>
                <w:rFonts w:eastAsia="Times New Roman" w:cs="Calibri"/>
                <w:b/>
                <w:bCs/>
                <w:color w:val="FFFFFF"/>
                <w:sz w:val="20"/>
                <w:szCs w:val="20"/>
                <w:lang w:eastAsia="es-CR"/>
              </w:rPr>
            </w:pPr>
            <w:r w:rsidRPr="00953B01">
              <w:rPr>
                <w:rFonts w:eastAsia="Times New Roman" w:cs="Calibri"/>
                <w:b/>
                <w:bCs/>
                <w:color w:val="FFFFFF"/>
                <w:sz w:val="20"/>
                <w:szCs w:val="20"/>
                <w:lang w:eastAsia="es-CR"/>
              </w:rPr>
              <w:t>Variación Absoluta</w:t>
            </w:r>
          </w:p>
        </w:tc>
        <w:tc>
          <w:tcPr>
            <w:tcW w:w="800" w:type="dxa"/>
            <w:tcBorders>
              <w:top w:val="single" w:sz="8" w:space="0" w:color="auto"/>
              <w:left w:val="nil"/>
              <w:bottom w:val="nil"/>
              <w:right w:val="single" w:sz="8" w:space="0" w:color="auto"/>
            </w:tcBorders>
            <w:shd w:val="clear" w:color="000000" w:fill="002060"/>
            <w:vAlign w:val="center"/>
            <w:hideMark/>
          </w:tcPr>
          <w:p w14:paraId="58A7059E" w14:textId="77777777" w:rsidR="00953B01" w:rsidRPr="00953B01" w:rsidRDefault="00953B01" w:rsidP="00953B01">
            <w:pPr>
              <w:spacing w:after="0" w:line="240" w:lineRule="auto"/>
              <w:jc w:val="center"/>
              <w:rPr>
                <w:rFonts w:eastAsia="Times New Roman" w:cs="Calibri"/>
                <w:b/>
                <w:bCs/>
                <w:color w:val="FFFFFF"/>
                <w:sz w:val="20"/>
                <w:szCs w:val="20"/>
                <w:lang w:eastAsia="es-CR"/>
              </w:rPr>
            </w:pPr>
            <w:r w:rsidRPr="00953B01">
              <w:rPr>
                <w:rFonts w:eastAsia="Times New Roman" w:cs="Calibri"/>
                <w:b/>
                <w:bCs/>
                <w:color w:val="FFFFFF"/>
                <w:sz w:val="20"/>
                <w:szCs w:val="20"/>
                <w:lang w:eastAsia="es-CR"/>
              </w:rPr>
              <w:t>Variación %</w:t>
            </w:r>
          </w:p>
        </w:tc>
      </w:tr>
      <w:tr w:rsidR="00953B01" w:rsidRPr="00953B01" w14:paraId="35C7C184" w14:textId="77777777" w:rsidTr="00953B01">
        <w:trPr>
          <w:trHeight w:val="510"/>
        </w:trPr>
        <w:tc>
          <w:tcPr>
            <w:tcW w:w="1280" w:type="dxa"/>
            <w:tcBorders>
              <w:top w:val="single" w:sz="8" w:space="0" w:color="auto"/>
              <w:left w:val="single" w:sz="8" w:space="0" w:color="auto"/>
              <w:bottom w:val="nil"/>
              <w:right w:val="single" w:sz="8" w:space="0" w:color="auto"/>
            </w:tcBorders>
            <w:shd w:val="clear" w:color="auto" w:fill="auto"/>
            <w:noWrap/>
            <w:vAlign w:val="bottom"/>
            <w:hideMark/>
          </w:tcPr>
          <w:p w14:paraId="0B7A8855" w14:textId="77777777" w:rsidR="00953B01" w:rsidRPr="00953B01" w:rsidRDefault="00953B01" w:rsidP="00953B01">
            <w:pPr>
              <w:spacing w:after="0" w:line="240" w:lineRule="auto"/>
              <w:jc w:val="center"/>
              <w:rPr>
                <w:rFonts w:eastAsia="Times New Roman" w:cs="Calibri"/>
                <w:b/>
                <w:bCs/>
                <w:color w:val="000000"/>
                <w:sz w:val="20"/>
                <w:szCs w:val="20"/>
                <w:lang w:eastAsia="es-CR"/>
              </w:rPr>
            </w:pPr>
            <w:r w:rsidRPr="00953B01">
              <w:rPr>
                <w:rFonts w:eastAsia="Times New Roman" w:cs="Calibri"/>
                <w:b/>
                <w:bCs/>
                <w:color w:val="000000"/>
                <w:sz w:val="20"/>
                <w:szCs w:val="20"/>
                <w:lang w:eastAsia="es-CR"/>
              </w:rPr>
              <w:t> </w:t>
            </w:r>
          </w:p>
        </w:tc>
        <w:tc>
          <w:tcPr>
            <w:tcW w:w="3180" w:type="dxa"/>
            <w:tcBorders>
              <w:top w:val="nil"/>
              <w:left w:val="nil"/>
              <w:bottom w:val="nil"/>
              <w:right w:val="single" w:sz="8" w:space="0" w:color="auto"/>
            </w:tcBorders>
            <w:shd w:val="clear" w:color="auto" w:fill="auto"/>
            <w:vAlign w:val="center"/>
            <w:hideMark/>
          </w:tcPr>
          <w:p w14:paraId="76CCD20F" w14:textId="77777777" w:rsidR="00953B01" w:rsidRPr="00953B01" w:rsidRDefault="00953B01" w:rsidP="00953B01">
            <w:pPr>
              <w:spacing w:after="0" w:line="240" w:lineRule="auto"/>
              <w:jc w:val="left"/>
              <w:rPr>
                <w:rFonts w:eastAsia="Times New Roman" w:cs="Calibri"/>
                <w:b/>
                <w:bCs/>
                <w:color w:val="000000"/>
                <w:sz w:val="20"/>
                <w:szCs w:val="20"/>
                <w:lang w:eastAsia="es-CR"/>
              </w:rPr>
            </w:pPr>
            <w:r w:rsidRPr="00953B01">
              <w:rPr>
                <w:rFonts w:eastAsia="Times New Roman" w:cs="Calibri"/>
                <w:b/>
                <w:bCs/>
                <w:color w:val="000000"/>
                <w:sz w:val="20"/>
                <w:szCs w:val="20"/>
                <w:lang w:eastAsia="es-CR"/>
              </w:rPr>
              <w:t>Transferencias al sector público interno a pagar c/p</w:t>
            </w:r>
          </w:p>
        </w:tc>
        <w:tc>
          <w:tcPr>
            <w:tcW w:w="1140" w:type="dxa"/>
            <w:tcBorders>
              <w:top w:val="nil"/>
              <w:left w:val="nil"/>
              <w:bottom w:val="nil"/>
              <w:right w:val="single" w:sz="8" w:space="0" w:color="auto"/>
            </w:tcBorders>
            <w:shd w:val="clear" w:color="000000" w:fill="FFFFFF"/>
            <w:noWrap/>
            <w:vAlign w:val="bottom"/>
            <w:hideMark/>
          </w:tcPr>
          <w:p w14:paraId="2AA37798" w14:textId="77777777" w:rsidR="00953B01" w:rsidRPr="00953B01" w:rsidRDefault="00953B01" w:rsidP="00953B01">
            <w:pPr>
              <w:spacing w:after="0" w:line="240" w:lineRule="auto"/>
              <w:jc w:val="left"/>
              <w:rPr>
                <w:rFonts w:eastAsia="Times New Roman" w:cs="Calibri"/>
                <w:color w:val="000000"/>
                <w:sz w:val="20"/>
                <w:szCs w:val="20"/>
                <w:lang w:eastAsia="es-CR"/>
              </w:rPr>
            </w:pPr>
            <w:r w:rsidRPr="00953B01">
              <w:rPr>
                <w:rFonts w:eastAsia="Times New Roman" w:cs="Calibri"/>
                <w:color w:val="000000"/>
                <w:sz w:val="20"/>
                <w:szCs w:val="20"/>
                <w:lang w:eastAsia="es-CR"/>
              </w:rPr>
              <w:t> </w:t>
            </w:r>
          </w:p>
        </w:tc>
        <w:tc>
          <w:tcPr>
            <w:tcW w:w="1280" w:type="dxa"/>
            <w:tcBorders>
              <w:top w:val="nil"/>
              <w:left w:val="nil"/>
              <w:bottom w:val="nil"/>
              <w:right w:val="single" w:sz="8" w:space="0" w:color="auto"/>
            </w:tcBorders>
            <w:shd w:val="clear" w:color="000000" w:fill="FFFFFF"/>
            <w:noWrap/>
            <w:vAlign w:val="bottom"/>
            <w:hideMark/>
          </w:tcPr>
          <w:p w14:paraId="5C2FDCA8" w14:textId="77777777" w:rsidR="00953B01" w:rsidRPr="00953B01" w:rsidRDefault="00953B01" w:rsidP="00953B01">
            <w:pPr>
              <w:spacing w:after="0" w:line="240" w:lineRule="auto"/>
              <w:jc w:val="left"/>
              <w:rPr>
                <w:rFonts w:eastAsia="Times New Roman" w:cs="Calibri"/>
                <w:color w:val="000000"/>
                <w:sz w:val="20"/>
                <w:szCs w:val="20"/>
                <w:lang w:eastAsia="es-CR"/>
              </w:rPr>
            </w:pPr>
            <w:r w:rsidRPr="00953B01">
              <w:rPr>
                <w:rFonts w:eastAsia="Times New Roman" w:cs="Calibri"/>
                <w:color w:val="000000"/>
                <w:sz w:val="20"/>
                <w:szCs w:val="20"/>
                <w:lang w:eastAsia="es-CR"/>
              </w:rPr>
              <w:t> </w:t>
            </w:r>
          </w:p>
        </w:tc>
        <w:tc>
          <w:tcPr>
            <w:tcW w:w="1100" w:type="dxa"/>
            <w:tcBorders>
              <w:top w:val="nil"/>
              <w:left w:val="nil"/>
              <w:bottom w:val="nil"/>
              <w:right w:val="single" w:sz="8" w:space="0" w:color="auto"/>
            </w:tcBorders>
            <w:shd w:val="clear" w:color="auto" w:fill="auto"/>
            <w:noWrap/>
            <w:vAlign w:val="bottom"/>
            <w:hideMark/>
          </w:tcPr>
          <w:p w14:paraId="3330FC16" w14:textId="77777777" w:rsidR="00953B01" w:rsidRPr="00953B01" w:rsidRDefault="00953B01" w:rsidP="00953B01">
            <w:pPr>
              <w:spacing w:after="0" w:line="240" w:lineRule="auto"/>
              <w:jc w:val="left"/>
              <w:rPr>
                <w:rFonts w:eastAsia="Times New Roman" w:cs="Calibri"/>
                <w:color w:val="000000"/>
                <w:sz w:val="20"/>
                <w:szCs w:val="20"/>
                <w:lang w:eastAsia="es-CR"/>
              </w:rPr>
            </w:pPr>
            <w:r w:rsidRPr="00953B01">
              <w:rPr>
                <w:rFonts w:eastAsia="Times New Roman" w:cs="Calibri"/>
                <w:color w:val="000000"/>
                <w:sz w:val="20"/>
                <w:szCs w:val="20"/>
                <w:lang w:eastAsia="es-CR"/>
              </w:rPr>
              <w:t> </w:t>
            </w:r>
          </w:p>
        </w:tc>
        <w:tc>
          <w:tcPr>
            <w:tcW w:w="800" w:type="dxa"/>
            <w:tcBorders>
              <w:top w:val="nil"/>
              <w:left w:val="nil"/>
              <w:bottom w:val="nil"/>
              <w:right w:val="single" w:sz="8" w:space="0" w:color="auto"/>
            </w:tcBorders>
            <w:shd w:val="clear" w:color="auto" w:fill="auto"/>
            <w:noWrap/>
            <w:vAlign w:val="bottom"/>
            <w:hideMark/>
          </w:tcPr>
          <w:p w14:paraId="7943B6C6" w14:textId="77777777" w:rsidR="00953B01" w:rsidRPr="00953B01" w:rsidRDefault="00953B01" w:rsidP="00953B01">
            <w:pPr>
              <w:spacing w:after="0" w:line="240" w:lineRule="auto"/>
              <w:jc w:val="left"/>
              <w:rPr>
                <w:rFonts w:eastAsia="Times New Roman" w:cs="Calibri"/>
                <w:color w:val="000000"/>
                <w:sz w:val="20"/>
                <w:szCs w:val="20"/>
                <w:lang w:eastAsia="es-CR"/>
              </w:rPr>
            </w:pPr>
            <w:r w:rsidRPr="00953B01">
              <w:rPr>
                <w:rFonts w:eastAsia="Times New Roman" w:cs="Calibri"/>
                <w:color w:val="000000"/>
                <w:sz w:val="20"/>
                <w:szCs w:val="20"/>
                <w:lang w:eastAsia="es-CR"/>
              </w:rPr>
              <w:t xml:space="preserve"> </w:t>
            </w:r>
          </w:p>
        </w:tc>
      </w:tr>
      <w:tr w:rsidR="00953B01" w:rsidRPr="00953B01" w14:paraId="38F5E23E" w14:textId="77777777" w:rsidTr="00953B01">
        <w:trPr>
          <w:trHeight w:val="510"/>
        </w:trPr>
        <w:tc>
          <w:tcPr>
            <w:tcW w:w="1280" w:type="dxa"/>
            <w:tcBorders>
              <w:top w:val="nil"/>
              <w:left w:val="single" w:sz="8" w:space="0" w:color="auto"/>
              <w:bottom w:val="nil"/>
              <w:right w:val="single" w:sz="8" w:space="0" w:color="auto"/>
            </w:tcBorders>
            <w:shd w:val="clear" w:color="auto" w:fill="auto"/>
            <w:noWrap/>
            <w:vAlign w:val="bottom"/>
            <w:hideMark/>
          </w:tcPr>
          <w:p w14:paraId="4B57BAE5" w14:textId="77777777" w:rsidR="00953B01" w:rsidRPr="00953B01" w:rsidRDefault="00953B01" w:rsidP="00953B01">
            <w:pPr>
              <w:spacing w:after="0" w:line="240" w:lineRule="auto"/>
              <w:jc w:val="center"/>
              <w:rPr>
                <w:rFonts w:eastAsia="Times New Roman" w:cs="Calibri"/>
                <w:color w:val="000000"/>
                <w:sz w:val="20"/>
                <w:szCs w:val="20"/>
                <w:lang w:eastAsia="es-CR"/>
              </w:rPr>
            </w:pPr>
            <w:r w:rsidRPr="00953B01">
              <w:rPr>
                <w:rFonts w:eastAsia="Times New Roman" w:cs="Calibri"/>
                <w:color w:val="000000"/>
                <w:sz w:val="20"/>
                <w:szCs w:val="20"/>
                <w:lang w:eastAsia="es-CR"/>
              </w:rPr>
              <w:t>2.1.1.03.02.01.</w:t>
            </w:r>
          </w:p>
        </w:tc>
        <w:tc>
          <w:tcPr>
            <w:tcW w:w="3180" w:type="dxa"/>
            <w:tcBorders>
              <w:top w:val="nil"/>
              <w:left w:val="nil"/>
              <w:bottom w:val="nil"/>
              <w:right w:val="single" w:sz="8" w:space="0" w:color="auto"/>
            </w:tcBorders>
            <w:shd w:val="clear" w:color="auto" w:fill="auto"/>
            <w:vAlign w:val="center"/>
            <w:hideMark/>
          </w:tcPr>
          <w:p w14:paraId="7FA9CA24" w14:textId="77777777" w:rsidR="00953B01" w:rsidRPr="00953B01" w:rsidRDefault="00953B01" w:rsidP="00953B01">
            <w:pPr>
              <w:spacing w:after="0" w:line="240" w:lineRule="auto"/>
              <w:jc w:val="left"/>
              <w:rPr>
                <w:rFonts w:eastAsia="Times New Roman" w:cs="Calibri"/>
                <w:color w:val="000000"/>
                <w:sz w:val="20"/>
                <w:szCs w:val="20"/>
                <w:lang w:eastAsia="es-CR"/>
              </w:rPr>
            </w:pPr>
            <w:r w:rsidRPr="00953B01">
              <w:rPr>
                <w:rFonts w:eastAsia="Times New Roman" w:cs="Calibri"/>
                <w:color w:val="000000"/>
                <w:sz w:val="20"/>
                <w:szCs w:val="20"/>
                <w:lang w:eastAsia="es-CR"/>
              </w:rPr>
              <w:t>Transferencias al sector público interno a pagar c/p</w:t>
            </w:r>
          </w:p>
        </w:tc>
        <w:tc>
          <w:tcPr>
            <w:tcW w:w="1140" w:type="dxa"/>
            <w:tcBorders>
              <w:top w:val="nil"/>
              <w:left w:val="nil"/>
              <w:bottom w:val="nil"/>
              <w:right w:val="single" w:sz="8" w:space="0" w:color="auto"/>
            </w:tcBorders>
            <w:shd w:val="clear" w:color="000000" w:fill="FFFFFF"/>
            <w:noWrap/>
            <w:vAlign w:val="bottom"/>
            <w:hideMark/>
          </w:tcPr>
          <w:p w14:paraId="2FBCB6F3" w14:textId="77777777" w:rsidR="00953B01" w:rsidRPr="00953B01" w:rsidRDefault="00953B01" w:rsidP="00953B01">
            <w:pPr>
              <w:spacing w:after="0" w:line="240" w:lineRule="auto"/>
              <w:jc w:val="right"/>
              <w:rPr>
                <w:rFonts w:eastAsia="Times New Roman" w:cs="Calibri"/>
                <w:color w:val="000000"/>
                <w:sz w:val="20"/>
                <w:szCs w:val="20"/>
                <w:lang w:eastAsia="es-CR"/>
              </w:rPr>
            </w:pPr>
            <w:r w:rsidRPr="00953B01">
              <w:rPr>
                <w:rFonts w:ascii="Arial" w:eastAsia="Times New Roman" w:hAnsi="Arial" w:cs="Arial"/>
                <w:color w:val="000000"/>
                <w:sz w:val="20"/>
                <w:szCs w:val="20"/>
                <w:lang w:eastAsia="es-CR"/>
              </w:rPr>
              <w:t>₡</w:t>
            </w:r>
            <w:r w:rsidRPr="00953B01">
              <w:rPr>
                <w:rFonts w:eastAsia="Times New Roman" w:cs="Calibri"/>
                <w:color w:val="000000"/>
                <w:sz w:val="20"/>
                <w:szCs w:val="20"/>
                <w:lang w:eastAsia="es-CR"/>
              </w:rPr>
              <w:t>1 106,38</w:t>
            </w:r>
          </w:p>
        </w:tc>
        <w:tc>
          <w:tcPr>
            <w:tcW w:w="1280" w:type="dxa"/>
            <w:tcBorders>
              <w:top w:val="nil"/>
              <w:left w:val="nil"/>
              <w:bottom w:val="nil"/>
              <w:right w:val="single" w:sz="8" w:space="0" w:color="auto"/>
            </w:tcBorders>
            <w:shd w:val="clear" w:color="auto" w:fill="auto"/>
            <w:noWrap/>
            <w:vAlign w:val="bottom"/>
            <w:hideMark/>
          </w:tcPr>
          <w:p w14:paraId="75C34318" w14:textId="77777777" w:rsidR="00953B01" w:rsidRPr="00953B01" w:rsidRDefault="00953B01" w:rsidP="00953B01">
            <w:pPr>
              <w:spacing w:after="0" w:line="240" w:lineRule="auto"/>
              <w:jc w:val="right"/>
              <w:rPr>
                <w:rFonts w:eastAsia="Times New Roman" w:cs="Calibri"/>
                <w:color w:val="000000"/>
                <w:sz w:val="20"/>
                <w:szCs w:val="20"/>
                <w:lang w:eastAsia="es-CR"/>
              </w:rPr>
            </w:pPr>
            <w:r w:rsidRPr="00953B01">
              <w:rPr>
                <w:rFonts w:ascii="Arial" w:eastAsia="Times New Roman" w:hAnsi="Arial" w:cs="Arial"/>
                <w:color w:val="000000"/>
                <w:sz w:val="20"/>
                <w:szCs w:val="20"/>
                <w:lang w:eastAsia="es-CR"/>
              </w:rPr>
              <w:t>₡</w:t>
            </w:r>
            <w:r w:rsidRPr="00953B01">
              <w:rPr>
                <w:rFonts w:eastAsia="Times New Roman" w:cs="Calibri"/>
                <w:color w:val="000000"/>
                <w:sz w:val="20"/>
                <w:szCs w:val="20"/>
                <w:lang w:eastAsia="es-CR"/>
              </w:rPr>
              <w:t>983,03</w:t>
            </w:r>
          </w:p>
        </w:tc>
        <w:tc>
          <w:tcPr>
            <w:tcW w:w="1100" w:type="dxa"/>
            <w:tcBorders>
              <w:top w:val="nil"/>
              <w:left w:val="nil"/>
              <w:bottom w:val="nil"/>
              <w:right w:val="single" w:sz="8" w:space="0" w:color="auto"/>
            </w:tcBorders>
            <w:shd w:val="clear" w:color="auto" w:fill="auto"/>
            <w:noWrap/>
            <w:vAlign w:val="bottom"/>
            <w:hideMark/>
          </w:tcPr>
          <w:p w14:paraId="5EF1E01C" w14:textId="77777777" w:rsidR="00953B01" w:rsidRPr="00953B01" w:rsidRDefault="00953B01" w:rsidP="00953B01">
            <w:pPr>
              <w:spacing w:after="0" w:line="240" w:lineRule="auto"/>
              <w:jc w:val="right"/>
              <w:rPr>
                <w:rFonts w:eastAsia="Times New Roman" w:cs="Calibri"/>
                <w:color w:val="000000"/>
                <w:sz w:val="20"/>
                <w:szCs w:val="20"/>
                <w:lang w:eastAsia="es-CR"/>
              </w:rPr>
            </w:pPr>
            <w:r w:rsidRPr="00953B01">
              <w:rPr>
                <w:rFonts w:ascii="Arial" w:eastAsia="Times New Roman" w:hAnsi="Arial" w:cs="Arial"/>
                <w:color w:val="000000"/>
                <w:sz w:val="20"/>
                <w:szCs w:val="20"/>
                <w:lang w:eastAsia="es-CR"/>
              </w:rPr>
              <w:t>₡</w:t>
            </w:r>
            <w:r w:rsidRPr="00953B01">
              <w:rPr>
                <w:rFonts w:eastAsia="Times New Roman" w:cs="Calibri"/>
                <w:color w:val="000000"/>
                <w:sz w:val="20"/>
                <w:szCs w:val="20"/>
                <w:lang w:eastAsia="es-CR"/>
              </w:rPr>
              <w:t>123,35</w:t>
            </w:r>
          </w:p>
        </w:tc>
        <w:tc>
          <w:tcPr>
            <w:tcW w:w="800" w:type="dxa"/>
            <w:tcBorders>
              <w:top w:val="nil"/>
              <w:left w:val="nil"/>
              <w:bottom w:val="nil"/>
              <w:right w:val="single" w:sz="8" w:space="0" w:color="auto"/>
            </w:tcBorders>
            <w:shd w:val="clear" w:color="auto" w:fill="auto"/>
            <w:noWrap/>
            <w:vAlign w:val="bottom"/>
            <w:hideMark/>
          </w:tcPr>
          <w:p w14:paraId="002F7DB3" w14:textId="77777777" w:rsidR="00953B01" w:rsidRPr="00953B01" w:rsidRDefault="00953B01" w:rsidP="00953B01">
            <w:pPr>
              <w:spacing w:after="0" w:line="240" w:lineRule="auto"/>
              <w:jc w:val="right"/>
              <w:rPr>
                <w:rFonts w:eastAsia="Times New Roman" w:cs="Calibri"/>
                <w:color w:val="000000"/>
                <w:sz w:val="20"/>
                <w:szCs w:val="20"/>
                <w:lang w:eastAsia="es-CR"/>
              </w:rPr>
            </w:pPr>
            <w:r w:rsidRPr="00953B01">
              <w:rPr>
                <w:rFonts w:eastAsia="Times New Roman" w:cs="Calibri"/>
                <w:color w:val="000000"/>
                <w:sz w:val="20"/>
                <w:szCs w:val="20"/>
                <w:lang w:eastAsia="es-CR"/>
              </w:rPr>
              <w:t>12,55%</w:t>
            </w:r>
          </w:p>
        </w:tc>
      </w:tr>
      <w:tr w:rsidR="00953B01" w:rsidRPr="00953B01" w14:paraId="3B642082" w14:textId="77777777" w:rsidTr="00953B01">
        <w:trPr>
          <w:trHeight w:val="510"/>
        </w:trPr>
        <w:tc>
          <w:tcPr>
            <w:tcW w:w="1280" w:type="dxa"/>
            <w:tcBorders>
              <w:top w:val="nil"/>
              <w:left w:val="single" w:sz="8" w:space="0" w:color="auto"/>
              <w:bottom w:val="nil"/>
              <w:right w:val="single" w:sz="8" w:space="0" w:color="auto"/>
            </w:tcBorders>
            <w:shd w:val="clear" w:color="auto" w:fill="auto"/>
            <w:noWrap/>
            <w:vAlign w:val="bottom"/>
            <w:hideMark/>
          </w:tcPr>
          <w:p w14:paraId="4BF5306D" w14:textId="77777777" w:rsidR="00953B01" w:rsidRPr="00953B01" w:rsidRDefault="00953B01" w:rsidP="00953B01">
            <w:pPr>
              <w:spacing w:after="0" w:line="240" w:lineRule="auto"/>
              <w:jc w:val="center"/>
              <w:rPr>
                <w:rFonts w:eastAsia="Times New Roman" w:cs="Calibri"/>
                <w:color w:val="000000"/>
                <w:sz w:val="20"/>
                <w:szCs w:val="20"/>
                <w:lang w:eastAsia="es-CR"/>
              </w:rPr>
            </w:pPr>
            <w:r w:rsidRPr="00953B01">
              <w:rPr>
                <w:rFonts w:eastAsia="Times New Roman" w:cs="Calibri"/>
                <w:color w:val="000000"/>
                <w:sz w:val="20"/>
                <w:szCs w:val="20"/>
                <w:lang w:eastAsia="es-CR"/>
              </w:rPr>
              <w:t>2.1.1.03.02.02.</w:t>
            </w:r>
          </w:p>
        </w:tc>
        <w:tc>
          <w:tcPr>
            <w:tcW w:w="3180" w:type="dxa"/>
            <w:tcBorders>
              <w:top w:val="nil"/>
              <w:left w:val="nil"/>
              <w:bottom w:val="nil"/>
              <w:right w:val="single" w:sz="8" w:space="0" w:color="auto"/>
            </w:tcBorders>
            <w:shd w:val="clear" w:color="auto" w:fill="auto"/>
            <w:vAlign w:val="center"/>
            <w:hideMark/>
          </w:tcPr>
          <w:p w14:paraId="184FADE7" w14:textId="77777777" w:rsidR="00953B01" w:rsidRPr="00953B01" w:rsidRDefault="00953B01" w:rsidP="00953B01">
            <w:pPr>
              <w:spacing w:after="0" w:line="240" w:lineRule="auto"/>
              <w:jc w:val="left"/>
              <w:rPr>
                <w:rFonts w:eastAsia="Times New Roman" w:cs="Calibri"/>
                <w:color w:val="000000"/>
                <w:sz w:val="20"/>
                <w:szCs w:val="20"/>
                <w:lang w:eastAsia="es-CR"/>
              </w:rPr>
            </w:pPr>
            <w:r w:rsidRPr="00953B01">
              <w:rPr>
                <w:rFonts w:eastAsia="Times New Roman" w:cs="Calibri"/>
                <w:color w:val="000000"/>
                <w:sz w:val="20"/>
                <w:szCs w:val="20"/>
                <w:lang w:eastAsia="es-CR"/>
              </w:rPr>
              <w:t>Transferencias a Órganos Desconcentrados a pagar c/p</w:t>
            </w:r>
          </w:p>
        </w:tc>
        <w:tc>
          <w:tcPr>
            <w:tcW w:w="1140" w:type="dxa"/>
            <w:tcBorders>
              <w:top w:val="nil"/>
              <w:left w:val="nil"/>
              <w:bottom w:val="nil"/>
              <w:right w:val="single" w:sz="8" w:space="0" w:color="auto"/>
            </w:tcBorders>
            <w:shd w:val="clear" w:color="000000" w:fill="FFFFFF"/>
            <w:noWrap/>
            <w:vAlign w:val="bottom"/>
            <w:hideMark/>
          </w:tcPr>
          <w:p w14:paraId="43CF2466" w14:textId="77777777" w:rsidR="00953B01" w:rsidRPr="00953B01" w:rsidRDefault="00953B01" w:rsidP="00953B01">
            <w:pPr>
              <w:spacing w:after="0" w:line="240" w:lineRule="auto"/>
              <w:jc w:val="right"/>
              <w:rPr>
                <w:rFonts w:eastAsia="Times New Roman" w:cs="Calibri"/>
                <w:color w:val="000000"/>
                <w:sz w:val="20"/>
                <w:szCs w:val="20"/>
                <w:lang w:eastAsia="es-CR"/>
              </w:rPr>
            </w:pPr>
            <w:r w:rsidRPr="00953B01">
              <w:rPr>
                <w:rFonts w:ascii="Arial" w:eastAsia="Times New Roman" w:hAnsi="Arial" w:cs="Arial"/>
                <w:color w:val="000000"/>
                <w:sz w:val="20"/>
                <w:szCs w:val="20"/>
                <w:lang w:eastAsia="es-CR"/>
              </w:rPr>
              <w:t>₡</w:t>
            </w:r>
            <w:r w:rsidRPr="00953B01">
              <w:rPr>
                <w:rFonts w:eastAsia="Times New Roman" w:cs="Calibri"/>
                <w:color w:val="000000"/>
                <w:sz w:val="20"/>
                <w:szCs w:val="20"/>
                <w:lang w:eastAsia="es-CR"/>
              </w:rPr>
              <w:t>2 632,28</w:t>
            </w:r>
          </w:p>
        </w:tc>
        <w:tc>
          <w:tcPr>
            <w:tcW w:w="1280" w:type="dxa"/>
            <w:tcBorders>
              <w:top w:val="nil"/>
              <w:left w:val="nil"/>
              <w:bottom w:val="nil"/>
              <w:right w:val="single" w:sz="8" w:space="0" w:color="auto"/>
            </w:tcBorders>
            <w:shd w:val="clear" w:color="auto" w:fill="auto"/>
            <w:noWrap/>
            <w:vAlign w:val="bottom"/>
            <w:hideMark/>
          </w:tcPr>
          <w:p w14:paraId="7CB440B5" w14:textId="77777777" w:rsidR="00953B01" w:rsidRPr="00953B01" w:rsidRDefault="00953B01" w:rsidP="00953B01">
            <w:pPr>
              <w:spacing w:after="0" w:line="240" w:lineRule="auto"/>
              <w:jc w:val="right"/>
              <w:rPr>
                <w:rFonts w:eastAsia="Times New Roman" w:cs="Calibri"/>
                <w:color w:val="000000"/>
                <w:sz w:val="20"/>
                <w:szCs w:val="20"/>
                <w:lang w:eastAsia="es-CR"/>
              </w:rPr>
            </w:pPr>
            <w:r w:rsidRPr="00953B01">
              <w:rPr>
                <w:rFonts w:ascii="Arial" w:eastAsia="Times New Roman" w:hAnsi="Arial" w:cs="Arial"/>
                <w:color w:val="000000"/>
                <w:sz w:val="20"/>
                <w:szCs w:val="20"/>
                <w:lang w:eastAsia="es-CR"/>
              </w:rPr>
              <w:t>₡</w:t>
            </w:r>
            <w:r w:rsidRPr="00953B01">
              <w:rPr>
                <w:rFonts w:eastAsia="Times New Roman" w:cs="Calibri"/>
                <w:color w:val="000000"/>
                <w:sz w:val="20"/>
                <w:szCs w:val="20"/>
                <w:lang w:eastAsia="es-CR"/>
              </w:rPr>
              <w:t>2 002,16</w:t>
            </w:r>
          </w:p>
        </w:tc>
        <w:tc>
          <w:tcPr>
            <w:tcW w:w="1100" w:type="dxa"/>
            <w:tcBorders>
              <w:top w:val="nil"/>
              <w:left w:val="nil"/>
              <w:bottom w:val="nil"/>
              <w:right w:val="single" w:sz="8" w:space="0" w:color="auto"/>
            </w:tcBorders>
            <w:shd w:val="clear" w:color="auto" w:fill="auto"/>
            <w:noWrap/>
            <w:vAlign w:val="bottom"/>
            <w:hideMark/>
          </w:tcPr>
          <w:p w14:paraId="2A234FEC" w14:textId="77777777" w:rsidR="00953B01" w:rsidRPr="00953B01" w:rsidRDefault="00953B01" w:rsidP="00953B01">
            <w:pPr>
              <w:spacing w:after="0" w:line="240" w:lineRule="auto"/>
              <w:jc w:val="right"/>
              <w:rPr>
                <w:rFonts w:eastAsia="Times New Roman" w:cs="Calibri"/>
                <w:color w:val="000000"/>
                <w:sz w:val="20"/>
                <w:szCs w:val="20"/>
                <w:lang w:eastAsia="es-CR"/>
              </w:rPr>
            </w:pPr>
            <w:r w:rsidRPr="00953B01">
              <w:rPr>
                <w:rFonts w:eastAsia="Times New Roman" w:cs="Calibri"/>
                <w:color w:val="000000"/>
                <w:sz w:val="20"/>
                <w:szCs w:val="20"/>
                <w:lang w:eastAsia="es-CR"/>
              </w:rPr>
              <w:t>630,13</w:t>
            </w:r>
          </w:p>
        </w:tc>
        <w:tc>
          <w:tcPr>
            <w:tcW w:w="800" w:type="dxa"/>
            <w:tcBorders>
              <w:top w:val="nil"/>
              <w:left w:val="nil"/>
              <w:bottom w:val="nil"/>
              <w:right w:val="single" w:sz="8" w:space="0" w:color="auto"/>
            </w:tcBorders>
            <w:shd w:val="clear" w:color="auto" w:fill="auto"/>
            <w:noWrap/>
            <w:vAlign w:val="bottom"/>
            <w:hideMark/>
          </w:tcPr>
          <w:p w14:paraId="27BDE76E" w14:textId="77777777" w:rsidR="00953B01" w:rsidRPr="00953B01" w:rsidRDefault="00953B01" w:rsidP="00953B01">
            <w:pPr>
              <w:spacing w:after="0" w:line="240" w:lineRule="auto"/>
              <w:jc w:val="right"/>
              <w:rPr>
                <w:rFonts w:eastAsia="Times New Roman" w:cs="Calibri"/>
                <w:color w:val="000000"/>
                <w:sz w:val="20"/>
                <w:szCs w:val="20"/>
                <w:lang w:eastAsia="es-CR"/>
              </w:rPr>
            </w:pPr>
            <w:r w:rsidRPr="00953B01">
              <w:rPr>
                <w:rFonts w:eastAsia="Times New Roman" w:cs="Calibri"/>
                <w:color w:val="000000"/>
                <w:sz w:val="20"/>
                <w:szCs w:val="20"/>
                <w:lang w:eastAsia="es-CR"/>
              </w:rPr>
              <w:t>31,47%</w:t>
            </w:r>
          </w:p>
        </w:tc>
      </w:tr>
      <w:tr w:rsidR="00953B01" w:rsidRPr="00953B01" w14:paraId="0544B65F" w14:textId="77777777" w:rsidTr="00953B01">
        <w:trPr>
          <w:trHeight w:val="765"/>
        </w:trPr>
        <w:tc>
          <w:tcPr>
            <w:tcW w:w="1280" w:type="dxa"/>
            <w:tcBorders>
              <w:top w:val="nil"/>
              <w:left w:val="single" w:sz="8" w:space="0" w:color="auto"/>
              <w:bottom w:val="nil"/>
              <w:right w:val="single" w:sz="8" w:space="0" w:color="auto"/>
            </w:tcBorders>
            <w:shd w:val="clear" w:color="auto" w:fill="auto"/>
            <w:noWrap/>
            <w:vAlign w:val="bottom"/>
            <w:hideMark/>
          </w:tcPr>
          <w:p w14:paraId="0B3FE1E3" w14:textId="77777777" w:rsidR="00953B01" w:rsidRPr="00953B01" w:rsidRDefault="00953B01" w:rsidP="00953B01">
            <w:pPr>
              <w:spacing w:after="0" w:line="240" w:lineRule="auto"/>
              <w:jc w:val="center"/>
              <w:rPr>
                <w:rFonts w:eastAsia="Times New Roman" w:cs="Calibri"/>
                <w:color w:val="000000"/>
                <w:sz w:val="20"/>
                <w:szCs w:val="20"/>
                <w:lang w:eastAsia="es-CR"/>
              </w:rPr>
            </w:pPr>
            <w:r w:rsidRPr="00953B01">
              <w:rPr>
                <w:rFonts w:eastAsia="Times New Roman" w:cs="Calibri"/>
                <w:color w:val="000000"/>
                <w:sz w:val="20"/>
                <w:szCs w:val="20"/>
                <w:lang w:eastAsia="es-CR"/>
              </w:rPr>
              <w:t>2.1.1.03.02.03.</w:t>
            </w:r>
          </w:p>
        </w:tc>
        <w:tc>
          <w:tcPr>
            <w:tcW w:w="3180" w:type="dxa"/>
            <w:tcBorders>
              <w:top w:val="nil"/>
              <w:left w:val="nil"/>
              <w:bottom w:val="nil"/>
              <w:right w:val="single" w:sz="8" w:space="0" w:color="auto"/>
            </w:tcBorders>
            <w:shd w:val="clear" w:color="auto" w:fill="auto"/>
            <w:vAlign w:val="center"/>
            <w:hideMark/>
          </w:tcPr>
          <w:p w14:paraId="2CC97FF5" w14:textId="77777777" w:rsidR="00953B01" w:rsidRPr="00953B01" w:rsidRDefault="00953B01" w:rsidP="00953B01">
            <w:pPr>
              <w:spacing w:after="0" w:line="240" w:lineRule="auto"/>
              <w:jc w:val="left"/>
              <w:rPr>
                <w:rFonts w:eastAsia="Times New Roman" w:cs="Calibri"/>
                <w:color w:val="000000"/>
                <w:sz w:val="20"/>
                <w:szCs w:val="20"/>
                <w:lang w:eastAsia="es-CR"/>
              </w:rPr>
            </w:pPr>
            <w:r w:rsidRPr="00953B01">
              <w:rPr>
                <w:rFonts w:eastAsia="Times New Roman" w:cs="Calibri"/>
                <w:color w:val="000000"/>
                <w:sz w:val="20"/>
                <w:szCs w:val="20"/>
                <w:lang w:eastAsia="es-CR"/>
              </w:rPr>
              <w:t>Transferencias a Instituciones Descentralizadas no Empresariales a pagar c/p</w:t>
            </w:r>
          </w:p>
        </w:tc>
        <w:tc>
          <w:tcPr>
            <w:tcW w:w="1140" w:type="dxa"/>
            <w:tcBorders>
              <w:top w:val="nil"/>
              <w:left w:val="nil"/>
              <w:bottom w:val="nil"/>
              <w:right w:val="single" w:sz="8" w:space="0" w:color="auto"/>
            </w:tcBorders>
            <w:shd w:val="clear" w:color="000000" w:fill="FFFFFF"/>
            <w:noWrap/>
            <w:vAlign w:val="bottom"/>
            <w:hideMark/>
          </w:tcPr>
          <w:p w14:paraId="493EA036" w14:textId="77777777" w:rsidR="00953B01" w:rsidRPr="00953B01" w:rsidRDefault="00953B01" w:rsidP="00953B01">
            <w:pPr>
              <w:spacing w:after="0" w:line="240" w:lineRule="auto"/>
              <w:jc w:val="right"/>
              <w:rPr>
                <w:rFonts w:eastAsia="Times New Roman" w:cs="Calibri"/>
                <w:color w:val="000000"/>
                <w:sz w:val="20"/>
                <w:szCs w:val="20"/>
                <w:lang w:eastAsia="es-CR"/>
              </w:rPr>
            </w:pPr>
            <w:r w:rsidRPr="00953B01">
              <w:rPr>
                <w:rFonts w:ascii="Arial" w:eastAsia="Times New Roman" w:hAnsi="Arial" w:cs="Arial"/>
                <w:color w:val="000000"/>
                <w:sz w:val="20"/>
                <w:szCs w:val="20"/>
                <w:lang w:eastAsia="es-CR"/>
              </w:rPr>
              <w:t>₡</w:t>
            </w:r>
            <w:r w:rsidRPr="00953B01">
              <w:rPr>
                <w:rFonts w:eastAsia="Times New Roman" w:cs="Calibri"/>
                <w:color w:val="000000"/>
                <w:sz w:val="20"/>
                <w:szCs w:val="20"/>
                <w:lang w:eastAsia="es-CR"/>
              </w:rPr>
              <w:t>61 520,69</w:t>
            </w:r>
          </w:p>
        </w:tc>
        <w:tc>
          <w:tcPr>
            <w:tcW w:w="1280" w:type="dxa"/>
            <w:tcBorders>
              <w:top w:val="nil"/>
              <w:left w:val="nil"/>
              <w:bottom w:val="nil"/>
              <w:right w:val="single" w:sz="8" w:space="0" w:color="auto"/>
            </w:tcBorders>
            <w:shd w:val="clear" w:color="auto" w:fill="auto"/>
            <w:noWrap/>
            <w:vAlign w:val="bottom"/>
            <w:hideMark/>
          </w:tcPr>
          <w:p w14:paraId="02951907" w14:textId="77777777" w:rsidR="00953B01" w:rsidRPr="00953B01" w:rsidRDefault="00953B01" w:rsidP="00953B01">
            <w:pPr>
              <w:spacing w:after="0" w:line="240" w:lineRule="auto"/>
              <w:jc w:val="right"/>
              <w:rPr>
                <w:rFonts w:eastAsia="Times New Roman" w:cs="Calibri"/>
                <w:color w:val="000000"/>
                <w:sz w:val="20"/>
                <w:szCs w:val="20"/>
                <w:lang w:eastAsia="es-CR"/>
              </w:rPr>
            </w:pPr>
            <w:r w:rsidRPr="00953B01">
              <w:rPr>
                <w:rFonts w:ascii="Arial" w:eastAsia="Times New Roman" w:hAnsi="Arial" w:cs="Arial"/>
                <w:color w:val="000000"/>
                <w:sz w:val="20"/>
                <w:szCs w:val="20"/>
                <w:lang w:eastAsia="es-CR"/>
              </w:rPr>
              <w:t>₡</w:t>
            </w:r>
            <w:r w:rsidRPr="00953B01">
              <w:rPr>
                <w:rFonts w:eastAsia="Times New Roman" w:cs="Calibri"/>
                <w:color w:val="000000"/>
                <w:sz w:val="20"/>
                <w:szCs w:val="20"/>
                <w:lang w:eastAsia="es-CR"/>
              </w:rPr>
              <w:t>56 381,41</w:t>
            </w:r>
          </w:p>
        </w:tc>
        <w:tc>
          <w:tcPr>
            <w:tcW w:w="1100" w:type="dxa"/>
            <w:tcBorders>
              <w:top w:val="nil"/>
              <w:left w:val="nil"/>
              <w:bottom w:val="nil"/>
              <w:right w:val="single" w:sz="8" w:space="0" w:color="auto"/>
            </w:tcBorders>
            <w:shd w:val="clear" w:color="auto" w:fill="auto"/>
            <w:noWrap/>
            <w:vAlign w:val="bottom"/>
            <w:hideMark/>
          </w:tcPr>
          <w:p w14:paraId="2CEDDA1E" w14:textId="77777777" w:rsidR="00953B01" w:rsidRPr="00953B01" w:rsidRDefault="00953B01" w:rsidP="00953B01">
            <w:pPr>
              <w:spacing w:after="0" w:line="240" w:lineRule="auto"/>
              <w:jc w:val="right"/>
              <w:rPr>
                <w:rFonts w:eastAsia="Times New Roman" w:cs="Calibri"/>
                <w:color w:val="000000"/>
                <w:sz w:val="20"/>
                <w:szCs w:val="20"/>
                <w:lang w:eastAsia="es-CR"/>
              </w:rPr>
            </w:pPr>
            <w:r w:rsidRPr="00953B01">
              <w:rPr>
                <w:rFonts w:eastAsia="Times New Roman" w:cs="Calibri"/>
                <w:color w:val="000000"/>
                <w:sz w:val="20"/>
                <w:szCs w:val="20"/>
                <w:lang w:eastAsia="es-CR"/>
              </w:rPr>
              <w:t>5 139,28</w:t>
            </w:r>
          </w:p>
        </w:tc>
        <w:tc>
          <w:tcPr>
            <w:tcW w:w="800" w:type="dxa"/>
            <w:tcBorders>
              <w:top w:val="nil"/>
              <w:left w:val="nil"/>
              <w:bottom w:val="nil"/>
              <w:right w:val="single" w:sz="8" w:space="0" w:color="auto"/>
            </w:tcBorders>
            <w:shd w:val="clear" w:color="auto" w:fill="auto"/>
            <w:noWrap/>
            <w:vAlign w:val="bottom"/>
            <w:hideMark/>
          </w:tcPr>
          <w:p w14:paraId="3BD569B2" w14:textId="77777777" w:rsidR="00953B01" w:rsidRPr="00953B01" w:rsidRDefault="00953B01" w:rsidP="00953B01">
            <w:pPr>
              <w:spacing w:after="0" w:line="240" w:lineRule="auto"/>
              <w:jc w:val="right"/>
              <w:rPr>
                <w:rFonts w:eastAsia="Times New Roman" w:cs="Calibri"/>
                <w:color w:val="000000"/>
                <w:sz w:val="20"/>
                <w:szCs w:val="20"/>
                <w:lang w:eastAsia="es-CR"/>
              </w:rPr>
            </w:pPr>
            <w:r w:rsidRPr="00953B01">
              <w:rPr>
                <w:rFonts w:eastAsia="Times New Roman" w:cs="Calibri"/>
                <w:color w:val="000000"/>
                <w:sz w:val="20"/>
                <w:szCs w:val="20"/>
                <w:lang w:eastAsia="es-CR"/>
              </w:rPr>
              <w:t>9,12%</w:t>
            </w:r>
          </w:p>
        </w:tc>
      </w:tr>
      <w:tr w:rsidR="00953B01" w:rsidRPr="00953B01" w14:paraId="66DFFFD6" w14:textId="77777777" w:rsidTr="00953B01">
        <w:trPr>
          <w:trHeight w:val="525"/>
        </w:trPr>
        <w:tc>
          <w:tcPr>
            <w:tcW w:w="1280" w:type="dxa"/>
            <w:tcBorders>
              <w:top w:val="nil"/>
              <w:left w:val="single" w:sz="8" w:space="0" w:color="auto"/>
              <w:bottom w:val="nil"/>
              <w:right w:val="single" w:sz="8" w:space="0" w:color="auto"/>
            </w:tcBorders>
            <w:shd w:val="clear" w:color="auto" w:fill="auto"/>
            <w:noWrap/>
            <w:vAlign w:val="bottom"/>
            <w:hideMark/>
          </w:tcPr>
          <w:p w14:paraId="381512C9" w14:textId="77777777" w:rsidR="00953B01" w:rsidRPr="00953B01" w:rsidRDefault="00953B01" w:rsidP="00953B01">
            <w:pPr>
              <w:spacing w:after="0" w:line="240" w:lineRule="auto"/>
              <w:jc w:val="center"/>
              <w:rPr>
                <w:rFonts w:eastAsia="Times New Roman" w:cs="Calibri"/>
                <w:color w:val="000000"/>
                <w:sz w:val="20"/>
                <w:szCs w:val="20"/>
                <w:lang w:eastAsia="es-CR"/>
              </w:rPr>
            </w:pPr>
            <w:r w:rsidRPr="00953B01">
              <w:rPr>
                <w:rFonts w:eastAsia="Times New Roman" w:cs="Calibri"/>
                <w:color w:val="000000"/>
                <w:sz w:val="20"/>
                <w:szCs w:val="20"/>
                <w:lang w:eastAsia="es-CR"/>
              </w:rPr>
              <w:t>2.1.1.03.02.99.</w:t>
            </w:r>
          </w:p>
        </w:tc>
        <w:tc>
          <w:tcPr>
            <w:tcW w:w="3180" w:type="dxa"/>
            <w:tcBorders>
              <w:top w:val="nil"/>
              <w:left w:val="nil"/>
              <w:bottom w:val="nil"/>
              <w:right w:val="single" w:sz="8" w:space="0" w:color="auto"/>
            </w:tcBorders>
            <w:shd w:val="clear" w:color="auto" w:fill="auto"/>
            <w:vAlign w:val="center"/>
            <w:hideMark/>
          </w:tcPr>
          <w:p w14:paraId="1B7E6C4F" w14:textId="77777777" w:rsidR="00953B01" w:rsidRPr="00953B01" w:rsidRDefault="00953B01" w:rsidP="00953B01">
            <w:pPr>
              <w:spacing w:after="0" w:line="240" w:lineRule="auto"/>
              <w:jc w:val="left"/>
              <w:rPr>
                <w:rFonts w:eastAsia="Times New Roman" w:cs="Calibri"/>
                <w:color w:val="000000"/>
                <w:sz w:val="20"/>
                <w:szCs w:val="20"/>
                <w:lang w:eastAsia="es-CR"/>
              </w:rPr>
            </w:pPr>
            <w:r w:rsidRPr="00953B01">
              <w:rPr>
                <w:rFonts w:eastAsia="Times New Roman" w:cs="Calibri"/>
                <w:color w:val="000000"/>
                <w:sz w:val="20"/>
                <w:szCs w:val="20"/>
                <w:lang w:eastAsia="es-CR"/>
              </w:rPr>
              <w:t>Transferencias a otras Instituciones de Gobiernos Locales a pagar c/p</w:t>
            </w:r>
          </w:p>
        </w:tc>
        <w:tc>
          <w:tcPr>
            <w:tcW w:w="1140" w:type="dxa"/>
            <w:tcBorders>
              <w:top w:val="nil"/>
              <w:left w:val="nil"/>
              <w:bottom w:val="nil"/>
              <w:right w:val="single" w:sz="8" w:space="0" w:color="auto"/>
            </w:tcBorders>
            <w:shd w:val="clear" w:color="000000" w:fill="FFFFFF"/>
            <w:noWrap/>
            <w:vAlign w:val="bottom"/>
            <w:hideMark/>
          </w:tcPr>
          <w:p w14:paraId="5C0DCA85" w14:textId="77777777" w:rsidR="00953B01" w:rsidRPr="00953B01" w:rsidRDefault="00953B01" w:rsidP="00953B01">
            <w:pPr>
              <w:spacing w:after="0" w:line="240" w:lineRule="auto"/>
              <w:jc w:val="right"/>
              <w:rPr>
                <w:rFonts w:eastAsia="Times New Roman" w:cs="Calibri"/>
                <w:color w:val="000000"/>
                <w:sz w:val="20"/>
                <w:szCs w:val="20"/>
                <w:lang w:eastAsia="es-CR"/>
              </w:rPr>
            </w:pPr>
            <w:r w:rsidRPr="00953B01">
              <w:rPr>
                <w:rFonts w:ascii="Arial" w:eastAsia="Times New Roman" w:hAnsi="Arial" w:cs="Arial"/>
                <w:color w:val="000000"/>
                <w:sz w:val="20"/>
                <w:szCs w:val="20"/>
                <w:lang w:eastAsia="es-CR"/>
              </w:rPr>
              <w:t>₡</w:t>
            </w:r>
            <w:r w:rsidRPr="00953B01">
              <w:rPr>
                <w:rFonts w:eastAsia="Times New Roman" w:cs="Calibri"/>
                <w:color w:val="000000"/>
                <w:sz w:val="20"/>
                <w:szCs w:val="20"/>
                <w:lang w:eastAsia="es-CR"/>
              </w:rPr>
              <w:t>6 631,04</w:t>
            </w:r>
          </w:p>
        </w:tc>
        <w:tc>
          <w:tcPr>
            <w:tcW w:w="1280" w:type="dxa"/>
            <w:tcBorders>
              <w:top w:val="nil"/>
              <w:left w:val="nil"/>
              <w:bottom w:val="nil"/>
              <w:right w:val="single" w:sz="8" w:space="0" w:color="auto"/>
            </w:tcBorders>
            <w:shd w:val="clear" w:color="auto" w:fill="auto"/>
            <w:noWrap/>
            <w:vAlign w:val="bottom"/>
            <w:hideMark/>
          </w:tcPr>
          <w:p w14:paraId="181F3685" w14:textId="77777777" w:rsidR="00953B01" w:rsidRPr="00953B01" w:rsidRDefault="00953B01" w:rsidP="00953B01">
            <w:pPr>
              <w:spacing w:after="0" w:line="240" w:lineRule="auto"/>
              <w:jc w:val="right"/>
              <w:rPr>
                <w:rFonts w:eastAsia="Times New Roman" w:cs="Calibri"/>
                <w:color w:val="000000"/>
                <w:sz w:val="20"/>
                <w:szCs w:val="20"/>
                <w:lang w:eastAsia="es-CR"/>
              </w:rPr>
            </w:pPr>
            <w:r w:rsidRPr="00953B01">
              <w:rPr>
                <w:rFonts w:ascii="Arial" w:eastAsia="Times New Roman" w:hAnsi="Arial" w:cs="Arial"/>
                <w:color w:val="000000"/>
                <w:sz w:val="20"/>
                <w:szCs w:val="20"/>
                <w:lang w:eastAsia="es-CR"/>
              </w:rPr>
              <w:t>₡</w:t>
            </w:r>
            <w:r w:rsidRPr="00953B01">
              <w:rPr>
                <w:rFonts w:eastAsia="Times New Roman" w:cs="Calibri"/>
                <w:color w:val="000000"/>
                <w:sz w:val="20"/>
                <w:szCs w:val="20"/>
                <w:lang w:eastAsia="es-CR"/>
              </w:rPr>
              <w:t>4 240,48</w:t>
            </w:r>
          </w:p>
        </w:tc>
        <w:tc>
          <w:tcPr>
            <w:tcW w:w="1100" w:type="dxa"/>
            <w:tcBorders>
              <w:top w:val="nil"/>
              <w:left w:val="nil"/>
              <w:bottom w:val="nil"/>
              <w:right w:val="single" w:sz="8" w:space="0" w:color="auto"/>
            </w:tcBorders>
            <w:shd w:val="clear" w:color="auto" w:fill="auto"/>
            <w:noWrap/>
            <w:vAlign w:val="bottom"/>
            <w:hideMark/>
          </w:tcPr>
          <w:p w14:paraId="007B5CDE" w14:textId="77777777" w:rsidR="00953B01" w:rsidRPr="00953B01" w:rsidRDefault="00953B01" w:rsidP="00953B01">
            <w:pPr>
              <w:spacing w:after="0" w:line="240" w:lineRule="auto"/>
              <w:jc w:val="right"/>
              <w:rPr>
                <w:rFonts w:eastAsia="Times New Roman" w:cs="Calibri"/>
                <w:color w:val="000000"/>
                <w:sz w:val="20"/>
                <w:szCs w:val="20"/>
                <w:lang w:eastAsia="es-CR"/>
              </w:rPr>
            </w:pPr>
            <w:r w:rsidRPr="00953B01">
              <w:rPr>
                <w:rFonts w:eastAsia="Times New Roman" w:cs="Calibri"/>
                <w:color w:val="000000"/>
                <w:sz w:val="20"/>
                <w:szCs w:val="20"/>
                <w:lang w:eastAsia="es-CR"/>
              </w:rPr>
              <w:t>2 390,55</w:t>
            </w:r>
          </w:p>
        </w:tc>
        <w:tc>
          <w:tcPr>
            <w:tcW w:w="800" w:type="dxa"/>
            <w:tcBorders>
              <w:top w:val="nil"/>
              <w:left w:val="nil"/>
              <w:bottom w:val="nil"/>
              <w:right w:val="single" w:sz="8" w:space="0" w:color="auto"/>
            </w:tcBorders>
            <w:shd w:val="clear" w:color="auto" w:fill="auto"/>
            <w:noWrap/>
            <w:vAlign w:val="bottom"/>
            <w:hideMark/>
          </w:tcPr>
          <w:p w14:paraId="17A66E3E" w14:textId="77777777" w:rsidR="00953B01" w:rsidRPr="00953B01" w:rsidRDefault="00953B01" w:rsidP="00953B01">
            <w:pPr>
              <w:spacing w:after="0" w:line="240" w:lineRule="auto"/>
              <w:jc w:val="right"/>
              <w:rPr>
                <w:rFonts w:eastAsia="Times New Roman" w:cs="Calibri"/>
                <w:color w:val="000000"/>
                <w:sz w:val="20"/>
                <w:szCs w:val="20"/>
                <w:lang w:eastAsia="es-CR"/>
              </w:rPr>
            </w:pPr>
            <w:r w:rsidRPr="00953B01">
              <w:rPr>
                <w:rFonts w:eastAsia="Times New Roman" w:cs="Calibri"/>
                <w:color w:val="000000"/>
                <w:sz w:val="20"/>
                <w:szCs w:val="20"/>
                <w:lang w:eastAsia="es-CR"/>
              </w:rPr>
              <w:t>56,37%</w:t>
            </w:r>
          </w:p>
        </w:tc>
      </w:tr>
      <w:tr w:rsidR="00953B01" w:rsidRPr="00953B01" w14:paraId="63060183" w14:textId="77777777" w:rsidTr="00953B01">
        <w:trPr>
          <w:trHeight w:val="315"/>
        </w:trPr>
        <w:tc>
          <w:tcPr>
            <w:tcW w:w="12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A66ACBE" w14:textId="77777777" w:rsidR="00953B01" w:rsidRPr="00953B01" w:rsidRDefault="00953B01" w:rsidP="00953B01">
            <w:pPr>
              <w:spacing w:after="0" w:line="240" w:lineRule="auto"/>
              <w:jc w:val="left"/>
              <w:rPr>
                <w:rFonts w:ascii="Calibri" w:eastAsia="Times New Roman" w:hAnsi="Calibri" w:cs="Calibri"/>
                <w:color w:val="000000"/>
                <w:sz w:val="22"/>
                <w:lang w:eastAsia="es-CR"/>
              </w:rPr>
            </w:pPr>
            <w:r w:rsidRPr="00953B01">
              <w:rPr>
                <w:rFonts w:ascii="Calibri" w:eastAsia="Times New Roman" w:hAnsi="Calibri" w:cs="Calibri"/>
                <w:color w:val="000000"/>
                <w:sz w:val="22"/>
                <w:lang w:eastAsia="es-CR"/>
              </w:rPr>
              <w:t> </w:t>
            </w:r>
          </w:p>
        </w:tc>
        <w:tc>
          <w:tcPr>
            <w:tcW w:w="3180" w:type="dxa"/>
            <w:tcBorders>
              <w:top w:val="single" w:sz="8" w:space="0" w:color="auto"/>
              <w:left w:val="nil"/>
              <w:bottom w:val="single" w:sz="8" w:space="0" w:color="auto"/>
              <w:right w:val="single" w:sz="8" w:space="0" w:color="auto"/>
            </w:tcBorders>
            <w:shd w:val="clear" w:color="auto" w:fill="auto"/>
            <w:noWrap/>
            <w:vAlign w:val="bottom"/>
            <w:hideMark/>
          </w:tcPr>
          <w:p w14:paraId="0FFDB7B6" w14:textId="77777777" w:rsidR="00953B01" w:rsidRPr="00953B01" w:rsidRDefault="00953B01" w:rsidP="00953B01">
            <w:pPr>
              <w:spacing w:after="0" w:line="240" w:lineRule="auto"/>
              <w:jc w:val="left"/>
              <w:rPr>
                <w:rFonts w:eastAsia="Times New Roman" w:cs="Calibri"/>
                <w:b/>
                <w:bCs/>
                <w:color w:val="000000"/>
                <w:sz w:val="20"/>
                <w:szCs w:val="20"/>
                <w:lang w:eastAsia="es-CR"/>
              </w:rPr>
            </w:pPr>
            <w:r w:rsidRPr="00953B01">
              <w:rPr>
                <w:rFonts w:eastAsia="Times New Roman" w:cs="Calibri"/>
                <w:b/>
                <w:bCs/>
                <w:color w:val="000000"/>
                <w:sz w:val="20"/>
                <w:szCs w:val="20"/>
                <w:lang w:eastAsia="es-CR"/>
              </w:rPr>
              <w:t>TOTALES</w:t>
            </w:r>
          </w:p>
        </w:tc>
        <w:tc>
          <w:tcPr>
            <w:tcW w:w="1140"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14:paraId="137D8DEC" w14:textId="77777777" w:rsidR="00953B01" w:rsidRPr="00953B01" w:rsidRDefault="00953B01" w:rsidP="00953B01">
            <w:pPr>
              <w:spacing w:after="0" w:line="240" w:lineRule="auto"/>
              <w:jc w:val="right"/>
              <w:rPr>
                <w:rFonts w:eastAsia="Times New Roman" w:cs="Calibri"/>
                <w:b/>
                <w:bCs/>
                <w:color w:val="000000"/>
                <w:sz w:val="20"/>
                <w:szCs w:val="20"/>
                <w:lang w:eastAsia="es-CR"/>
              </w:rPr>
            </w:pPr>
            <w:r w:rsidRPr="00953B01">
              <w:rPr>
                <w:rFonts w:ascii="Arial" w:eastAsia="Times New Roman" w:hAnsi="Arial" w:cs="Arial"/>
                <w:b/>
                <w:bCs/>
                <w:color w:val="000000"/>
                <w:sz w:val="20"/>
                <w:szCs w:val="20"/>
                <w:lang w:eastAsia="es-CR"/>
              </w:rPr>
              <w:t>₡</w:t>
            </w:r>
            <w:r w:rsidRPr="00953B01">
              <w:rPr>
                <w:rFonts w:eastAsia="Times New Roman" w:cs="Calibri"/>
                <w:b/>
                <w:bCs/>
                <w:color w:val="000000"/>
                <w:sz w:val="20"/>
                <w:szCs w:val="20"/>
                <w:lang w:eastAsia="es-CR"/>
              </w:rPr>
              <w:t>71 890,39</w:t>
            </w:r>
          </w:p>
        </w:tc>
        <w:tc>
          <w:tcPr>
            <w:tcW w:w="1280"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14:paraId="52BA512D" w14:textId="77777777" w:rsidR="00953B01" w:rsidRPr="00953B01" w:rsidRDefault="00953B01" w:rsidP="00953B01">
            <w:pPr>
              <w:spacing w:after="0" w:line="240" w:lineRule="auto"/>
              <w:jc w:val="right"/>
              <w:rPr>
                <w:rFonts w:eastAsia="Times New Roman" w:cs="Calibri"/>
                <w:b/>
                <w:bCs/>
                <w:color w:val="000000"/>
                <w:sz w:val="20"/>
                <w:szCs w:val="20"/>
                <w:lang w:eastAsia="es-CR"/>
              </w:rPr>
            </w:pPr>
            <w:r w:rsidRPr="00953B01">
              <w:rPr>
                <w:rFonts w:ascii="Arial" w:eastAsia="Times New Roman" w:hAnsi="Arial" w:cs="Arial"/>
                <w:b/>
                <w:bCs/>
                <w:color w:val="000000"/>
                <w:sz w:val="20"/>
                <w:szCs w:val="20"/>
                <w:lang w:eastAsia="es-CR"/>
              </w:rPr>
              <w:t>₡</w:t>
            </w:r>
            <w:r w:rsidRPr="00953B01">
              <w:rPr>
                <w:rFonts w:eastAsia="Times New Roman" w:cs="Calibri"/>
                <w:b/>
                <w:bCs/>
                <w:color w:val="000000"/>
                <w:sz w:val="20"/>
                <w:szCs w:val="20"/>
                <w:lang w:eastAsia="es-CR"/>
              </w:rPr>
              <w:t>63 607,07</w:t>
            </w:r>
          </w:p>
        </w:tc>
        <w:tc>
          <w:tcPr>
            <w:tcW w:w="1100"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14:paraId="50C91F43" w14:textId="77777777" w:rsidR="00953B01" w:rsidRPr="00953B01" w:rsidRDefault="00953B01" w:rsidP="00953B01">
            <w:pPr>
              <w:spacing w:after="0" w:line="240" w:lineRule="auto"/>
              <w:jc w:val="right"/>
              <w:rPr>
                <w:rFonts w:eastAsia="Times New Roman" w:cs="Calibri"/>
                <w:b/>
                <w:bCs/>
                <w:color w:val="000000"/>
                <w:sz w:val="20"/>
                <w:szCs w:val="20"/>
                <w:lang w:eastAsia="es-CR"/>
              </w:rPr>
            </w:pPr>
            <w:r w:rsidRPr="00953B01">
              <w:rPr>
                <w:rFonts w:ascii="Arial" w:eastAsia="Times New Roman" w:hAnsi="Arial" w:cs="Arial"/>
                <w:b/>
                <w:bCs/>
                <w:color w:val="000000"/>
                <w:sz w:val="20"/>
                <w:szCs w:val="20"/>
                <w:lang w:eastAsia="es-CR"/>
              </w:rPr>
              <w:t>₡</w:t>
            </w:r>
            <w:r w:rsidRPr="00953B01">
              <w:rPr>
                <w:rFonts w:eastAsia="Times New Roman" w:cs="Calibri"/>
                <w:b/>
                <w:bCs/>
                <w:color w:val="000000"/>
                <w:sz w:val="20"/>
                <w:szCs w:val="20"/>
                <w:lang w:eastAsia="es-CR"/>
              </w:rPr>
              <w:t>8 283,32</w:t>
            </w:r>
          </w:p>
        </w:tc>
        <w:tc>
          <w:tcPr>
            <w:tcW w:w="800" w:type="dxa"/>
            <w:tcBorders>
              <w:top w:val="single" w:sz="8" w:space="0" w:color="auto"/>
              <w:left w:val="nil"/>
              <w:bottom w:val="single" w:sz="8" w:space="0" w:color="auto"/>
              <w:right w:val="single" w:sz="8" w:space="0" w:color="auto"/>
            </w:tcBorders>
            <w:shd w:val="clear" w:color="auto" w:fill="auto"/>
            <w:noWrap/>
            <w:vAlign w:val="bottom"/>
            <w:hideMark/>
          </w:tcPr>
          <w:p w14:paraId="4EC1271A" w14:textId="77777777" w:rsidR="00953B01" w:rsidRPr="00953B01" w:rsidRDefault="00953B01" w:rsidP="00953B01">
            <w:pPr>
              <w:spacing w:after="0" w:line="240" w:lineRule="auto"/>
              <w:jc w:val="right"/>
              <w:rPr>
                <w:rFonts w:eastAsia="Times New Roman" w:cs="Calibri"/>
                <w:b/>
                <w:bCs/>
                <w:color w:val="000000"/>
                <w:sz w:val="20"/>
                <w:szCs w:val="20"/>
                <w:lang w:eastAsia="es-CR"/>
              </w:rPr>
            </w:pPr>
            <w:r w:rsidRPr="00953B01">
              <w:rPr>
                <w:rFonts w:eastAsia="Times New Roman" w:cs="Calibri"/>
                <w:b/>
                <w:bCs/>
                <w:color w:val="000000"/>
                <w:sz w:val="20"/>
                <w:szCs w:val="20"/>
                <w:lang w:eastAsia="es-CR"/>
              </w:rPr>
              <w:t>13,02%</w:t>
            </w:r>
          </w:p>
        </w:tc>
      </w:tr>
    </w:tbl>
    <w:p w14:paraId="130900A5" w14:textId="10862E04" w:rsidR="00692DC8" w:rsidRPr="00846655" w:rsidRDefault="00692DC8" w:rsidP="00846655">
      <w:pPr>
        <w:spacing w:before="240"/>
        <w:rPr>
          <w:rFonts w:eastAsia="Calibri"/>
          <w:b/>
          <w:lang w:val="es-ES"/>
        </w:rPr>
      </w:pPr>
      <w:r w:rsidRPr="00846655">
        <w:rPr>
          <w:rFonts w:eastAsia="Calibri"/>
          <w:b/>
          <w:lang w:val="es-ES"/>
        </w:rPr>
        <w:lastRenderedPageBreak/>
        <w:t xml:space="preserve">Revelación: </w:t>
      </w:r>
    </w:p>
    <w:p w14:paraId="5B6A75BC" w14:textId="1FC0D6B0" w:rsidR="00692DC8" w:rsidRPr="00692DC8" w:rsidRDefault="00692DC8" w:rsidP="00846655">
      <w:pPr>
        <w:rPr>
          <w:rFonts w:cs="Calibri"/>
          <w:color w:val="000000"/>
          <w:lang w:eastAsia="es-CR"/>
        </w:rPr>
      </w:pPr>
      <w:r w:rsidRPr="00692DC8">
        <w:rPr>
          <w:rFonts w:cs="Calibri"/>
          <w:color w:val="000000"/>
          <w:lang w:eastAsia="es-CR"/>
        </w:rPr>
        <w:t>La cuenta Transferencias a paga</w:t>
      </w:r>
      <w:r w:rsidR="003F141E">
        <w:rPr>
          <w:rFonts w:cs="Calibri"/>
          <w:color w:val="000000"/>
          <w:lang w:eastAsia="es-CR"/>
        </w:rPr>
        <w:t xml:space="preserve">r a corto plazo, representa el </w:t>
      </w:r>
      <w:r w:rsidR="00011BEE">
        <w:rPr>
          <w:rFonts w:cs="Calibri"/>
          <w:color w:val="000000"/>
          <w:lang w:eastAsia="es-CR"/>
        </w:rPr>
        <w:t>0.03</w:t>
      </w:r>
      <w:r w:rsidR="003F141E">
        <w:rPr>
          <w:rFonts w:cs="Calibri"/>
          <w:color w:val="000000"/>
          <w:lang w:eastAsia="es-CR"/>
        </w:rPr>
        <w:t xml:space="preserve"> </w:t>
      </w:r>
      <w:r w:rsidRPr="00692DC8">
        <w:rPr>
          <w:rFonts w:cs="Calibri"/>
          <w:color w:val="000000"/>
          <w:lang w:eastAsia="es-CR"/>
        </w:rPr>
        <w:t>% del total de Pasivo, que comparado al periodo anterior gener</w:t>
      </w:r>
      <w:r w:rsidR="00AE429F">
        <w:rPr>
          <w:rFonts w:cs="Calibri"/>
          <w:color w:val="000000"/>
          <w:lang w:eastAsia="es-CR"/>
        </w:rPr>
        <w:t xml:space="preserve">a una variación absoluta de </w:t>
      </w:r>
      <w:r w:rsidR="00AE429F" w:rsidRPr="00953B01">
        <w:rPr>
          <w:rFonts w:ascii="Arial" w:eastAsia="Times New Roman" w:hAnsi="Arial" w:cs="Arial"/>
          <w:color w:val="000000"/>
          <w:sz w:val="20"/>
          <w:szCs w:val="20"/>
          <w:lang w:eastAsia="es-CR"/>
        </w:rPr>
        <w:t>₡</w:t>
      </w:r>
      <w:r w:rsidR="00AE429F">
        <w:rPr>
          <w:rFonts w:cs="Calibri"/>
          <w:color w:val="000000"/>
          <w:lang w:eastAsia="es-CR"/>
        </w:rPr>
        <w:t>8 283,32</w:t>
      </w:r>
      <w:r w:rsidRPr="00692DC8">
        <w:rPr>
          <w:rFonts w:cs="Calibri"/>
          <w:color w:val="000000"/>
          <w:lang w:eastAsia="es-CR"/>
        </w:rPr>
        <w:t xml:space="preserve"> que c</w:t>
      </w:r>
      <w:r w:rsidR="00AE429F">
        <w:rPr>
          <w:rFonts w:cs="Calibri"/>
          <w:color w:val="000000"/>
          <w:lang w:eastAsia="es-CR"/>
        </w:rPr>
        <w:t>orresponde a un(a) Aumento del 13,02</w:t>
      </w:r>
      <w:r w:rsidRPr="00692DC8">
        <w:rPr>
          <w:rFonts w:cs="Calibri"/>
          <w:color w:val="000000"/>
          <w:lang w:eastAsia="es-CR"/>
        </w:rPr>
        <w:t xml:space="preserve"> % de recursos disponibles.</w:t>
      </w:r>
    </w:p>
    <w:p w14:paraId="1E338531" w14:textId="069DB820" w:rsidR="00692DC8" w:rsidRPr="00692DC8" w:rsidRDefault="00692DC8" w:rsidP="00846655">
      <w:pPr>
        <w:rPr>
          <w:rFonts w:eastAsiaTheme="minorEastAsia" w:cs="Arial Narrow"/>
          <w:color w:val="000000"/>
          <w:lang w:eastAsia="es-CR"/>
        </w:rPr>
      </w:pPr>
      <w:r w:rsidRPr="00692DC8">
        <w:rPr>
          <w:rFonts w:eastAsia="Calibri"/>
          <w:highlight w:val="lightGray"/>
        </w:rPr>
        <w:t>Las variaciones de la cuenta son producto de (Indicar la razón de las variaciones de un periodo a otro):</w:t>
      </w:r>
      <w:r w:rsidRPr="00692DC8">
        <w:rPr>
          <w:rFonts w:eastAsia="Calibri"/>
        </w:rPr>
        <w:t xml:space="preserve"> </w:t>
      </w:r>
    </w:p>
    <w:p w14:paraId="0FE16B45" w14:textId="273A33BC" w:rsidR="00415741" w:rsidRDefault="00415741" w:rsidP="00415741">
      <w:pPr>
        <w:spacing w:line="240" w:lineRule="auto"/>
        <w:rPr>
          <w:rFonts w:eastAsia="Calibri"/>
          <w:iCs/>
        </w:rPr>
      </w:pPr>
      <w:r>
        <w:rPr>
          <w:rFonts w:eastAsia="Calibri"/>
          <w:iCs/>
        </w:rPr>
        <w:t>Fundamentalmente por el aumento en las transferencias a las Juntas de Educación</w:t>
      </w:r>
      <w:r w:rsidR="002635DC">
        <w:rPr>
          <w:rFonts w:eastAsia="Calibri"/>
          <w:iCs/>
        </w:rPr>
        <w:t xml:space="preserve"> y el Comité de Deportes</w:t>
      </w:r>
      <w:r>
        <w:rPr>
          <w:rFonts w:eastAsia="Calibri"/>
          <w:iCs/>
        </w:rPr>
        <w:t xml:space="preserve"> como se puede observar </w:t>
      </w:r>
      <w:r w:rsidRPr="008D76DB">
        <w:rPr>
          <w:rFonts w:eastAsia="Calibri"/>
          <w:iCs/>
        </w:rPr>
        <w:t>en el siguiente cuadro:</w:t>
      </w:r>
    </w:p>
    <w:p w14:paraId="5EDB1203" w14:textId="792426A1" w:rsidR="00692DC8" w:rsidRDefault="00953B01" w:rsidP="00846655">
      <w:pPr>
        <w:rPr>
          <w:rFonts w:eastAsia="Calibri"/>
          <w:i/>
        </w:rPr>
      </w:pPr>
      <w:r w:rsidRPr="00953B01">
        <w:rPr>
          <w:noProof/>
          <w:lang w:eastAsia="es-CR"/>
        </w:rPr>
        <w:drawing>
          <wp:inline distT="0" distB="0" distL="0" distR="0" wp14:anchorId="05688804" wp14:editId="39EA44C8">
            <wp:extent cx="5812155" cy="2282025"/>
            <wp:effectExtent l="0" t="0" r="0" b="4445"/>
            <wp:docPr id="15243128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19364" cy="2284856"/>
                    </a:xfrm>
                    <a:prstGeom prst="rect">
                      <a:avLst/>
                    </a:prstGeom>
                    <a:noFill/>
                    <a:ln>
                      <a:noFill/>
                    </a:ln>
                  </pic:spPr>
                </pic:pic>
              </a:graphicData>
            </a:graphic>
          </wp:inline>
        </w:drawing>
      </w:r>
    </w:p>
    <w:p w14:paraId="7EFBADE2" w14:textId="77777777" w:rsidR="00953B01" w:rsidRPr="00692DC8" w:rsidRDefault="00953B01" w:rsidP="00846655">
      <w:pPr>
        <w:rPr>
          <w:rFonts w:eastAsia="Calibri"/>
          <w:i/>
        </w:rPr>
      </w:pPr>
    </w:p>
    <w:p w14:paraId="154ED7AE" w14:textId="77777777" w:rsidR="00692DC8" w:rsidRPr="00692DC8" w:rsidRDefault="00692DC8" w:rsidP="00846655">
      <w:pPr>
        <w:pStyle w:val="Ttulo4"/>
        <w:spacing w:after="240"/>
        <w:rPr>
          <w:rFonts w:eastAsia="Times New Roman"/>
        </w:rPr>
      </w:pPr>
      <w:bookmarkStart w:id="368" w:name="_Toc13041123"/>
      <w:bookmarkStart w:id="369" w:name="_Toc14345122"/>
      <w:bookmarkStart w:id="370" w:name="_Toc33601231"/>
      <w:bookmarkStart w:id="371" w:name="_Toc82768933"/>
      <w:bookmarkStart w:id="372" w:name="_Toc189804848"/>
      <w:r w:rsidRPr="00692DC8">
        <w:rPr>
          <w:rFonts w:eastAsia="Times New Roman"/>
        </w:rPr>
        <w:t>NOTA N° 15</w:t>
      </w:r>
      <w:bookmarkEnd w:id="368"/>
      <w:bookmarkEnd w:id="369"/>
      <w:bookmarkEnd w:id="370"/>
      <w:bookmarkEnd w:id="371"/>
      <w:bookmarkEnd w:id="372"/>
    </w:p>
    <w:p w14:paraId="6EBF262D" w14:textId="77777777" w:rsidR="00396CB4" w:rsidRDefault="00692DC8" w:rsidP="00F51D42">
      <w:pPr>
        <w:spacing w:before="240"/>
        <w:rPr>
          <w:rFonts w:asciiTheme="minorHAnsi" w:hAnsiTheme="minorHAnsi"/>
          <w:sz w:val="22"/>
        </w:rPr>
      </w:pPr>
      <w:bookmarkStart w:id="373" w:name="_Toc82768934"/>
      <w:r w:rsidRPr="00692DC8">
        <w:rPr>
          <w:rFonts w:eastAsia="Times New Roman"/>
        </w:rPr>
        <w:t>Endeudamiento público a corto plazo</w:t>
      </w:r>
      <w:bookmarkEnd w:id="373"/>
      <w:r w:rsidR="0057029C">
        <w:rPr>
          <w:rFonts w:eastAsiaTheme="majorEastAsia" w:cstheme="majorBidi"/>
          <w:iCs/>
          <w:lang w:val="es-ES"/>
        </w:rPr>
        <w:fldChar w:fldCharType="begin"/>
      </w:r>
      <w:r w:rsidR="0057029C">
        <w:rPr>
          <w:lang w:val="es-ES"/>
        </w:rPr>
        <w:instrText xml:space="preserve"> LINK </w:instrText>
      </w:r>
      <w:r w:rsidR="00756467">
        <w:rPr>
          <w:lang w:val="es-ES"/>
        </w:rPr>
        <w:instrText xml:space="preserve">Excel.SheetMacroEnabled.12 "C:\\Users\\gcordero\\Downloads\\Notas diciembre 2024\\Formato_Notas_EEFF_Vinculadas_2024\\Formato_Notas_EEFF_Vinculadas_2024\\15603_T04_2024_Anexo_Estado_Notas_Contables_Vinculadas.xlsm" NOTAS_POR_CUENTA!F119C1:F121C6 </w:instrText>
      </w:r>
      <w:r w:rsidR="0057029C">
        <w:rPr>
          <w:lang w:val="es-ES"/>
        </w:rPr>
        <w:instrText xml:space="preserve">\a \f 4 \h </w:instrText>
      </w:r>
      <w:r w:rsidR="0057029C">
        <w:rPr>
          <w:b/>
          <w:lang w:val="es-ES"/>
        </w:rPr>
        <w:fldChar w:fldCharType="separate"/>
      </w:r>
    </w:p>
    <w:tbl>
      <w:tblPr>
        <w:tblW w:w="9600" w:type="dxa"/>
        <w:tblCellMar>
          <w:left w:w="70" w:type="dxa"/>
          <w:right w:w="70" w:type="dxa"/>
        </w:tblCellMar>
        <w:tblLook w:val="04A0" w:firstRow="1" w:lastRow="0" w:firstColumn="1" w:lastColumn="0" w:noHBand="0" w:noVBand="1"/>
      </w:tblPr>
      <w:tblGrid>
        <w:gridCol w:w="1399"/>
        <w:gridCol w:w="2481"/>
        <w:gridCol w:w="500"/>
        <w:gridCol w:w="2100"/>
        <w:gridCol w:w="2100"/>
        <w:gridCol w:w="1020"/>
      </w:tblGrid>
      <w:tr w:rsidR="00396CB4" w:rsidRPr="00396CB4" w14:paraId="062CB530" w14:textId="77777777" w:rsidTr="00396CB4">
        <w:trPr>
          <w:divId w:val="1171796809"/>
          <w:trHeight w:val="330"/>
        </w:trPr>
        <w:tc>
          <w:tcPr>
            <w:tcW w:w="1399"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7DA1BA8" w14:textId="004B95D1" w:rsidR="00396CB4" w:rsidRPr="00396CB4" w:rsidRDefault="00396CB4" w:rsidP="00396CB4">
            <w:pP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2481"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563AEC2"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C342130"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6EA310A"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1681731"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114E5C04"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6B825F68" w14:textId="77777777" w:rsidTr="00396CB4">
        <w:trPr>
          <w:divId w:val="1171796809"/>
          <w:trHeight w:val="330"/>
        </w:trPr>
        <w:tc>
          <w:tcPr>
            <w:tcW w:w="1399" w:type="dxa"/>
            <w:vMerge/>
            <w:tcBorders>
              <w:top w:val="single" w:sz="8" w:space="0" w:color="auto"/>
              <w:left w:val="single" w:sz="8" w:space="0" w:color="auto"/>
              <w:bottom w:val="single" w:sz="8" w:space="0" w:color="000000"/>
              <w:right w:val="single" w:sz="8" w:space="0" w:color="auto"/>
            </w:tcBorders>
            <w:vAlign w:val="center"/>
            <w:hideMark/>
          </w:tcPr>
          <w:p w14:paraId="7C2FA619"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481" w:type="dxa"/>
            <w:vMerge/>
            <w:tcBorders>
              <w:top w:val="single" w:sz="8" w:space="0" w:color="auto"/>
              <w:left w:val="single" w:sz="8" w:space="0" w:color="auto"/>
              <w:bottom w:val="single" w:sz="8" w:space="0" w:color="000000"/>
              <w:right w:val="single" w:sz="8" w:space="0" w:color="auto"/>
            </w:tcBorders>
            <w:vAlign w:val="center"/>
            <w:hideMark/>
          </w:tcPr>
          <w:p w14:paraId="4B04035B"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74019C70"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7CDB617B"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0737A200"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7C4E8647"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623AAEAA" w14:textId="77777777" w:rsidTr="00396CB4">
        <w:trPr>
          <w:divId w:val="1171796809"/>
          <w:trHeight w:val="330"/>
        </w:trPr>
        <w:tc>
          <w:tcPr>
            <w:tcW w:w="1399" w:type="dxa"/>
            <w:tcBorders>
              <w:top w:val="nil"/>
              <w:left w:val="single" w:sz="8" w:space="0" w:color="auto"/>
              <w:bottom w:val="single" w:sz="8" w:space="0" w:color="auto"/>
              <w:right w:val="single" w:sz="8" w:space="0" w:color="auto"/>
            </w:tcBorders>
            <w:shd w:val="clear" w:color="auto" w:fill="auto"/>
            <w:noWrap/>
            <w:vAlign w:val="center"/>
            <w:hideMark/>
          </w:tcPr>
          <w:p w14:paraId="0392FE50"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2.1.2.</w:t>
            </w:r>
          </w:p>
        </w:tc>
        <w:tc>
          <w:tcPr>
            <w:tcW w:w="2481" w:type="dxa"/>
            <w:tcBorders>
              <w:top w:val="nil"/>
              <w:left w:val="nil"/>
              <w:bottom w:val="single" w:sz="8" w:space="0" w:color="auto"/>
              <w:right w:val="single" w:sz="8" w:space="0" w:color="auto"/>
            </w:tcBorders>
            <w:shd w:val="clear" w:color="auto" w:fill="auto"/>
            <w:vAlign w:val="center"/>
            <w:hideMark/>
          </w:tcPr>
          <w:p w14:paraId="3932FB56"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Endeudamiento público a corto plazo</w:t>
            </w:r>
          </w:p>
        </w:tc>
        <w:tc>
          <w:tcPr>
            <w:tcW w:w="500" w:type="dxa"/>
            <w:tcBorders>
              <w:top w:val="nil"/>
              <w:left w:val="nil"/>
              <w:bottom w:val="single" w:sz="8" w:space="0" w:color="auto"/>
              <w:right w:val="single" w:sz="8" w:space="0" w:color="auto"/>
            </w:tcBorders>
            <w:shd w:val="clear" w:color="auto" w:fill="auto"/>
            <w:noWrap/>
            <w:vAlign w:val="center"/>
            <w:hideMark/>
          </w:tcPr>
          <w:p w14:paraId="73E0D586"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15</w:t>
            </w:r>
          </w:p>
        </w:tc>
        <w:tc>
          <w:tcPr>
            <w:tcW w:w="2100" w:type="dxa"/>
            <w:tcBorders>
              <w:top w:val="nil"/>
              <w:left w:val="nil"/>
              <w:bottom w:val="single" w:sz="8" w:space="0" w:color="auto"/>
              <w:right w:val="single" w:sz="8" w:space="0" w:color="auto"/>
            </w:tcBorders>
            <w:shd w:val="clear" w:color="auto" w:fill="auto"/>
            <w:noWrap/>
            <w:vAlign w:val="center"/>
            <w:hideMark/>
          </w:tcPr>
          <w:p w14:paraId="136C7A3B"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2100" w:type="dxa"/>
            <w:tcBorders>
              <w:top w:val="nil"/>
              <w:left w:val="nil"/>
              <w:bottom w:val="single" w:sz="8" w:space="0" w:color="auto"/>
              <w:right w:val="single" w:sz="8" w:space="0" w:color="auto"/>
            </w:tcBorders>
            <w:shd w:val="clear" w:color="auto" w:fill="auto"/>
            <w:noWrap/>
            <w:vAlign w:val="center"/>
            <w:hideMark/>
          </w:tcPr>
          <w:p w14:paraId="4399E959"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1020" w:type="dxa"/>
            <w:tcBorders>
              <w:top w:val="nil"/>
              <w:left w:val="nil"/>
              <w:bottom w:val="single" w:sz="8" w:space="0" w:color="auto"/>
              <w:right w:val="single" w:sz="8" w:space="0" w:color="auto"/>
            </w:tcBorders>
            <w:shd w:val="clear" w:color="auto" w:fill="auto"/>
            <w:noWrap/>
            <w:vAlign w:val="center"/>
            <w:hideMark/>
          </w:tcPr>
          <w:p w14:paraId="0299D2DA"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0,00%</w:t>
            </w:r>
          </w:p>
        </w:tc>
      </w:tr>
    </w:tbl>
    <w:p w14:paraId="02ECA5D2" w14:textId="77777777" w:rsidR="00396CB4" w:rsidRPr="00396CB4" w:rsidRDefault="0057029C" w:rsidP="00396CB4">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bookmarkStart w:id="374" w:name="_Toc13041129"/>
      <w:bookmarkStart w:id="375" w:name="_Toc14345128"/>
      <w:r>
        <w:rPr>
          <w:rFonts w:eastAsia="Times New Roman" w:cs="Calibri"/>
          <w:color w:val="000000"/>
          <w:lang w:eastAsia="es-CR"/>
        </w:rPr>
        <w:fldChar w:fldCharType="begin"/>
      </w:r>
      <w:r>
        <w:rPr>
          <w:rFonts w:eastAsia="Times New Roman" w:cs="Calibri"/>
          <w:color w:val="000000"/>
          <w:lang w:eastAsia="es-CR"/>
        </w:rPr>
        <w:instrText xml:space="preserve"> LINK </w:instrText>
      </w:r>
      <w:r w:rsidR="00756467">
        <w:rPr>
          <w:rFonts w:eastAsia="Times New Roman" w:cs="Calibri"/>
          <w:color w:val="000000"/>
          <w:lang w:eastAsia="es-CR"/>
        </w:rPr>
        <w:instrText xml:space="preserve">Excel.SheetMacroEnabled.12 "C:\\Users\\gcordero\\Downloads\\Notas diciembre 2024\\Formato_Notas_EEFF_Vinculadas_2024\\Formato_Notas_EEFF_Vinculadas_2024\\15603_T04_2024_Anexo_Estado_Notas_Contables_Vinculadas.xlsm" NOTAS_POR_CUENTA!F121C8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0317B3E0" w14:textId="4DDA59E4" w:rsidR="00396CB4" w:rsidRDefault="00396CB4" w:rsidP="00396CB4">
      <w:pPr>
        <w:rPr>
          <w:rFonts w:eastAsia="Times New Roman" w:cs="Calibri"/>
          <w:color w:val="000000"/>
          <w:lang w:eastAsia="es-CR"/>
        </w:rPr>
      </w:pPr>
      <w:r w:rsidRPr="00396CB4">
        <w:rPr>
          <w:rFonts w:eastAsia="Times New Roman" w:cs="Calibri"/>
          <w:color w:val="000000"/>
          <w:lang w:eastAsia="es-CR"/>
        </w:rPr>
        <w:t>La cuenta Endeudamiento público a corto plazo, representa el 0,00% del total del Pasivo, que comparado al periodo anterior genera una variación absoluta de 0 000,00 que corresponde a un Aumento del 0,00% de recursos disponibles.</w:t>
      </w:r>
    </w:p>
    <w:p w14:paraId="4CB767E7" w14:textId="77777777" w:rsidR="00CB7521" w:rsidRPr="00396CB4" w:rsidRDefault="00CB7521" w:rsidP="00396CB4">
      <w:pPr>
        <w:rPr>
          <w:rFonts w:eastAsia="Times New Roman" w:cs="Calibri"/>
          <w:color w:val="000000"/>
          <w:lang w:eastAsia="es-CR"/>
        </w:rPr>
      </w:pPr>
    </w:p>
    <w:p w14:paraId="454FCE9E" w14:textId="71FC6C99" w:rsidR="00692DC8" w:rsidRPr="00692DC8" w:rsidRDefault="0057029C" w:rsidP="0057029C">
      <w:pPr>
        <w:rPr>
          <w:rFonts w:eastAsiaTheme="minorEastAsia" w:cs="Arial Narrow"/>
          <w:color w:val="000000"/>
          <w:lang w:eastAsia="es-CR"/>
        </w:rPr>
      </w:pPr>
      <w:r>
        <w:rPr>
          <w:rFonts w:eastAsia="Times New Roman" w:cs="Calibri"/>
          <w:color w:val="000000"/>
          <w:lang w:eastAsia="es-CR"/>
        </w:rPr>
        <w:lastRenderedPageBreak/>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77E2C0F0" w14:textId="5F1341DC" w:rsidR="00B90104" w:rsidRPr="00A91674" w:rsidRDefault="000B0873" w:rsidP="00B90104">
      <w:pPr>
        <w:spacing w:after="0" w:line="240" w:lineRule="auto"/>
        <w:rPr>
          <w:rFonts w:eastAsiaTheme="minorEastAsia" w:cs="Arial Narrow"/>
          <w:color w:val="000000"/>
          <w:lang w:eastAsia="es-CR"/>
        </w:rPr>
      </w:pPr>
      <w:r w:rsidRPr="00643A62">
        <w:rPr>
          <w:rFonts w:eastAsiaTheme="minorEastAsia" w:cs="Arial Narrow"/>
          <w:color w:val="000000"/>
          <w:lang w:eastAsia="es-CR"/>
        </w:rPr>
        <w:t xml:space="preserve">La suma que presenta la cuenta de Endeudamiento a corto plazo corresponde a la porción de corto plazo del préstamo que la Municipalidad contrajo con el IFAM, según Contrato de Préstamo celebrado entre IFAM y La Municipalidad de Buenos Aires, Nº 6-CVL-1457-0718 del 19 de enero de 2019 para el Mejoramiento de la Red Vial Cantonal y Compra de Maquinaría, inventario de vías y estudios de pre-inversión para la construcción del plantel municipal y oficinas de la Unidad Técnica de Gestión Vial y Asfaltado, por la suma total de </w:t>
      </w:r>
      <w:r w:rsidRPr="00643A62">
        <w:rPr>
          <w:rFonts w:ascii="Arial" w:eastAsiaTheme="minorEastAsia" w:hAnsi="Arial" w:cs="Arial"/>
          <w:color w:val="000000"/>
          <w:lang w:eastAsia="es-CR"/>
        </w:rPr>
        <w:t>₡</w:t>
      </w:r>
      <w:r w:rsidRPr="00643A62">
        <w:rPr>
          <w:rFonts w:eastAsiaTheme="minorEastAsia" w:cs="Arial Narrow"/>
          <w:color w:val="000000"/>
          <w:lang w:eastAsia="es-CR"/>
        </w:rPr>
        <w:t>3.563.088.496,48. El monto que se registró como obligación a honrar en el año 2024 fue suministrado por  la Licda. Eliana Obregón Montiel MBA, Coordinadora Administrativa de GVM,</w:t>
      </w:r>
      <w:r>
        <w:rPr>
          <w:rFonts w:eastAsiaTheme="minorEastAsia" w:cs="Arial Narrow"/>
          <w:color w:val="000000"/>
          <w:lang w:eastAsia="es-CR"/>
        </w:rPr>
        <w:t xml:space="preserve"> </w:t>
      </w:r>
      <w:r w:rsidRPr="00643A62">
        <w:rPr>
          <w:rFonts w:eastAsiaTheme="minorEastAsia" w:cs="Arial Narrow"/>
          <w:color w:val="000000"/>
          <w:lang w:eastAsia="es-CR"/>
        </w:rPr>
        <w:t xml:space="preserve">mediante Oficio GV-MBA-640-2023  , el cual ascendió a la suma de </w:t>
      </w:r>
      <w:r w:rsidRPr="00037ECC">
        <w:rPr>
          <w:rFonts w:ascii="Arial" w:eastAsiaTheme="minorEastAsia" w:hAnsi="Arial" w:cs="Arial"/>
          <w:color w:val="000000"/>
          <w:lang w:eastAsia="es-CR"/>
        </w:rPr>
        <w:t>₡</w:t>
      </w:r>
      <w:r w:rsidRPr="00037ECC">
        <w:rPr>
          <w:rFonts w:eastAsiaTheme="minorEastAsia" w:cs="Arial Narrow"/>
          <w:color w:val="000000"/>
          <w:lang w:eastAsia="es-CR"/>
        </w:rPr>
        <w:t xml:space="preserve">679 756,97 miles de los cuales al </w:t>
      </w:r>
      <w:r w:rsidR="00796636" w:rsidRPr="00037ECC">
        <w:rPr>
          <w:rFonts w:eastAsiaTheme="minorEastAsia" w:cs="Arial Narrow"/>
          <w:color w:val="000000"/>
          <w:lang w:eastAsia="es-CR"/>
        </w:rPr>
        <w:t>31</w:t>
      </w:r>
      <w:r w:rsidRPr="00037ECC">
        <w:rPr>
          <w:rFonts w:eastAsiaTheme="minorEastAsia" w:cs="Arial Narrow"/>
          <w:color w:val="000000"/>
          <w:lang w:eastAsia="es-CR"/>
        </w:rPr>
        <w:t xml:space="preserve"> de </w:t>
      </w:r>
      <w:r w:rsidR="00D64CF8" w:rsidRPr="00037ECC">
        <w:rPr>
          <w:rFonts w:eastAsiaTheme="minorEastAsia" w:cs="Arial Narrow"/>
          <w:color w:val="000000"/>
          <w:lang w:eastAsia="es-CR"/>
        </w:rPr>
        <w:t>diciembre</w:t>
      </w:r>
      <w:r w:rsidRPr="00037ECC">
        <w:rPr>
          <w:rFonts w:eastAsiaTheme="minorEastAsia" w:cs="Arial Narrow"/>
          <w:color w:val="000000"/>
          <w:lang w:eastAsia="es-CR"/>
        </w:rPr>
        <w:t xml:space="preserve">  2024 se han cancelado un monto de </w:t>
      </w:r>
      <w:r w:rsidRPr="00037ECC">
        <w:rPr>
          <w:rFonts w:ascii="Arial" w:eastAsiaTheme="minorEastAsia" w:hAnsi="Arial" w:cs="Arial"/>
          <w:color w:val="000000"/>
          <w:lang w:eastAsia="es-CR"/>
        </w:rPr>
        <w:t>₡</w:t>
      </w:r>
      <w:r w:rsidR="00037ECC" w:rsidRPr="00037ECC">
        <w:rPr>
          <w:rFonts w:eastAsiaTheme="minorEastAsia" w:cs="Arial Narrow"/>
          <w:color w:val="000000"/>
          <w:lang w:eastAsia="es-CR"/>
        </w:rPr>
        <w:t>430.965,36</w:t>
      </w:r>
      <w:r w:rsidR="00B90104">
        <w:rPr>
          <w:rFonts w:eastAsiaTheme="minorEastAsia" w:cs="Arial Narrow"/>
          <w:color w:val="000000"/>
          <w:lang w:eastAsia="es-CR"/>
        </w:rPr>
        <w:t xml:space="preserve"> miles, y la diferencia fue reclasificada a Endeudamiento público a largo plazo.</w:t>
      </w:r>
    </w:p>
    <w:p w14:paraId="16BE3BEB" w14:textId="2AC4D0FD" w:rsidR="000B0873" w:rsidRPr="00643A62" w:rsidRDefault="000B0873" w:rsidP="000B0873">
      <w:pPr>
        <w:spacing w:after="0" w:line="240" w:lineRule="auto"/>
        <w:rPr>
          <w:rFonts w:eastAsiaTheme="minorEastAsia" w:cs="Arial Narrow"/>
          <w:color w:val="000000"/>
          <w:lang w:eastAsia="es-CR"/>
        </w:rPr>
      </w:pPr>
    </w:p>
    <w:p w14:paraId="1B0D74F9" w14:textId="77777777" w:rsidR="000B0873" w:rsidRPr="00A91674" w:rsidRDefault="000B0873" w:rsidP="000B0873">
      <w:pPr>
        <w:spacing w:after="0" w:line="240" w:lineRule="auto"/>
        <w:rPr>
          <w:rFonts w:eastAsiaTheme="minorEastAsia" w:cs="Arial Narrow"/>
          <w:color w:val="000000"/>
          <w:lang w:eastAsia="es-CR"/>
        </w:rPr>
      </w:pPr>
    </w:p>
    <w:p w14:paraId="6E4D3CAF" w14:textId="0C2B8ED9" w:rsidR="000B0873" w:rsidRPr="00A91674" w:rsidRDefault="000B0873" w:rsidP="000B0873">
      <w:pPr>
        <w:spacing w:after="0" w:line="240" w:lineRule="auto"/>
        <w:rPr>
          <w:rFonts w:eastAsiaTheme="minorEastAsia" w:cs="Arial Narrow"/>
          <w:color w:val="000000"/>
          <w:lang w:eastAsia="es-CR"/>
        </w:rPr>
      </w:pPr>
      <w:r w:rsidRPr="00A91674">
        <w:rPr>
          <w:rFonts w:eastAsiaTheme="minorEastAsia" w:cs="Arial Narrow"/>
          <w:color w:val="000000"/>
          <w:lang w:eastAsia="es-CR"/>
        </w:rPr>
        <w:t>En relación con lo anterior, es pertinente indicar, que la Municipalidad ha realizado gestiones con el IFAM para la obtención de una tabla de amortizaciones actualizada, sin embargo, a la fecha de cierre de estos estados no ha sido suministrada. Esto imposibilita realizar el registro</w:t>
      </w:r>
      <w:r>
        <w:rPr>
          <w:rFonts w:eastAsiaTheme="minorEastAsia" w:cs="Arial Narrow"/>
          <w:color w:val="000000"/>
          <w:lang w:eastAsia="es-CR"/>
        </w:rPr>
        <w:t xml:space="preserve"> correcto del monto por </w:t>
      </w:r>
      <w:r w:rsidR="00953B01">
        <w:rPr>
          <w:rFonts w:eastAsiaTheme="minorEastAsia" w:cs="Arial Narrow"/>
          <w:color w:val="000000"/>
          <w:lang w:eastAsia="es-CR"/>
        </w:rPr>
        <w:t xml:space="preserve">pagar </w:t>
      </w:r>
      <w:r w:rsidR="00953B01" w:rsidRPr="00A91674">
        <w:rPr>
          <w:rFonts w:eastAsiaTheme="minorEastAsia" w:cs="Arial Narrow"/>
          <w:color w:val="000000"/>
          <w:lang w:eastAsia="es-CR"/>
        </w:rPr>
        <w:t>cada</w:t>
      </w:r>
      <w:r w:rsidRPr="00A91674">
        <w:rPr>
          <w:rFonts w:eastAsiaTheme="minorEastAsia" w:cs="Arial Narrow"/>
          <w:color w:val="000000"/>
          <w:lang w:eastAsia="es-CR"/>
        </w:rPr>
        <w:t xml:space="preserve"> periodo.</w:t>
      </w:r>
    </w:p>
    <w:p w14:paraId="241E09AD" w14:textId="77777777" w:rsidR="000B0873" w:rsidRPr="00A91674" w:rsidRDefault="000B0873" w:rsidP="000B0873">
      <w:pPr>
        <w:spacing w:after="0" w:line="240" w:lineRule="auto"/>
        <w:rPr>
          <w:rFonts w:eastAsiaTheme="minorEastAsia" w:cs="Arial Narrow"/>
          <w:color w:val="000000"/>
          <w:lang w:eastAsia="es-CR"/>
        </w:rPr>
      </w:pPr>
    </w:p>
    <w:p w14:paraId="2F65EE51" w14:textId="77777777" w:rsidR="000B0873" w:rsidRPr="00A91674" w:rsidRDefault="000B0873" w:rsidP="000B0873">
      <w:pPr>
        <w:shd w:val="clear" w:color="auto" w:fill="FFFFFF"/>
        <w:spacing w:after="0" w:line="240" w:lineRule="auto"/>
        <w:ind w:right="6"/>
        <w:rPr>
          <w:rFonts w:cs="Arial"/>
          <w:lang w:eastAsia="es-CR"/>
        </w:rPr>
      </w:pPr>
      <w:r w:rsidRPr="00A91674">
        <w:rPr>
          <w:rFonts w:eastAsiaTheme="minorEastAsia" w:cs="Arial Narrow"/>
          <w:color w:val="000000"/>
          <w:lang w:eastAsia="es-CR"/>
        </w:rPr>
        <w:t xml:space="preserve">El préstamo en mención es a un plazo de 7 años, amortizable en 7 años en cuotas trimestrales (28 trimestres) calculada contra desembolsos girados, se establece una comisión de </w:t>
      </w:r>
      <w:r w:rsidRPr="00A91674">
        <w:rPr>
          <w:rFonts w:cs="Arial"/>
          <w:lang w:eastAsia="es-CR"/>
        </w:rPr>
        <w:t>formalización</w:t>
      </w:r>
      <w:r w:rsidRPr="00A91674">
        <w:rPr>
          <w:rFonts w:eastAsiaTheme="minorEastAsia" w:cs="Arial Narrow"/>
          <w:color w:val="000000"/>
          <w:lang w:eastAsia="es-CR"/>
        </w:rPr>
        <w:t xml:space="preserve"> y administración </w:t>
      </w:r>
      <w:r>
        <w:rPr>
          <w:rFonts w:ascii="Arial" w:eastAsiaTheme="minorEastAsia" w:hAnsi="Arial" w:cs="Arial"/>
          <w:color w:val="000000"/>
          <w:lang w:eastAsia="es-CR"/>
        </w:rPr>
        <w:t>₡</w:t>
      </w:r>
      <w:r w:rsidRPr="00A91674">
        <w:rPr>
          <w:rFonts w:eastAsiaTheme="minorEastAsia" w:cs="Arial Narrow"/>
          <w:color w:val="000000"/>
          <w:lang w:eastAsia="es-CR"/>
        </w:rPr>
        <w:t>17.815.442,48 (correspondiente al 0,50 % sobre el monto total del crédito que fue rebajado en el primer desembolso), la tasa de interés es del 7% anual (fijo sobre saldos), interés de mora del 2% mensual sobre cuotas vencidas, como garantías la Municipalidad ofreció las Rentas Municipales y fondos de las leyes 8114 y 9329. E</w:t>
      </w:r>
      <w:r w:rsidRPr="00A91674">
        <w:rPr>
          <w:rFonts w:cs="Arial"/>
          <w:lang w:eastAsia="es-CR"/>
        </w:rPr>
        <w:t>n la Cláusula SÉTIMA del contrato se establece que los desembolsos se girarán en tractos directamente a la Municipalidad a solicitud del representante legal.</w:t>
      </w:r>
    </w:p>
    <w:p w14:paraId="7474634D" w14:textId="77777777" w:rsidR="000B0873" w:rsidRPr="00A91674" w:rsidRDefault="000B0873" w:rsidP="000B0873">
      <w:pPr>
        <w:shd w:val="clear" w:color="auto" w:fill="FFFFFF"/>
        <w:spacing w:after="0" w:line="240" w:lineRule="auto"/>
        <w:ind w:right="6"/>
        <w:rPr>
          <w:rFonts w:cs="Arial"/>
          <w:lang w:eastAsia="es-CR"/>
        </w:rPr>
      </w:pPr>
    </w:p>
    <w:p w14:paraId="301284EC" w14:textId="0C3067E2" w:rsidR="000B0873" w:rsidRPr="00B90104" w:rsidRDefault="000B0873" w:rsidP="000B0873">
      <w:pPr>
        <w:spacing w:after="0" w:line="240" w:lineRule="auto"/>
        <w:rPr>
          <w:rFonts w:eastAsiaTheme="minorEastAsia" w:cs="Arial Narrow"/>
          <w:color w:val="000000"/>
          <w:lang w:eastAsia="es-CR"/>
        </w:rPr>
      </w:pPr>
      <w:r w:rsidRPr="00F932B6">
        <w:rPr>
          <w:rFonts w:eastAsiaTheme="minorEastAsia" w:cs="Arial Narrow"/>
          <w:color w:val="000000"/>
          <w:lang w:eastAsia="es-CR"/>
        </w:rPr>
        <w:t xml:space="preserve">El préstamo fue aprobado por el Concejo Municipal de Buenos Aires en la Sesión Ordinaria Nº 132-2018 del día 19 de noviembre de 2018 y suscrito el 19 de enero de 2019. Al </w:t>
      </w:r>
      <w:r w:rsidR="00796636">
        <w:rPr>
          <w:rFonts w:eastAsiaTheme="minorEastAsia" w:cs="Arial Narrow"/>
          <w:color w:val="000000"/>
          <w:lang w:eastAsia="es-CR"/>
        </w:rPr>
        <w:t>31</w:t>
      </w:r>
      <w:r w:rsidRPr="00F932B6">
        <w:rPr>
          <w:rFonts w:eastAsiaTheme="minorEastAsia" w:cs="Arial Narrow"/>
          <w:color w:val="000000"/>
          <w:lang w:eastAsia="es-CR"/>
        </w:rPr>
        <w:t xml:space="preserve"> de </w:t>
      </w:r>
      <w:r w:rsidR="00D64CF8">
        <w:rPr>
          <w:rFonts w:eastAsiaTheme="minorEastAsia" w:cs="Arial Narrow"/>
          <w:color w:val="000000"/>
          <w:lang w:eastAsia="es-CR"/>
        </w:rPr>
        <w:t>diciembre</w:t>
      </w:r>
      <w:r w:rsidRPr="00F932B6">
        <w:rPr>
          <w:rFonts w:eastAsiaTheme="minorEastAsia" w:cs="Arial Narrow"/>
          <w:color w:val="000000"/>
          <w:lang w:eastAsia="es-CR"/>
        </w:rPr>
        <w:t xml:space="preserve"> de 2024 el IFAM ha desembolsado la suma </w:t>
      </w:r>
      <w:r w:rsidRPr="001D4980">
        <w:rPr>
          <w:rFonts w:eastAsiaTheme="minorEastAsia" w:cs="Arial Narrow"/>
          <w:color w:val="000000"/>
          <w:lang w:eastAsia="es-CR"/>
        </w:rPr>
        <w:t xml:space="preserve">de </w:t>
      </w:r>
      <w:r w:rsidRPr="001D4980">
        <w:rPr>
          <w:rFonts w:ascii="Arial" w:eastAsiaTheme="minorEastAsia" w:hAnsi="Arial" w:cs="Arial"/>
          <w:color w:val="000000"/>
          <w:lang w:eastAsia="es-CR"/>
        </w:rPr>
        <w:t>₡</w:t>
      </w:r>
      <w:r w:rsidR="001D4980" w:rsidRPr="001D4980">
        <w:rPr>
          <w:rFonts w:eastAsiaTheme="minorEastAsia" w:cs="Arial Narrow"/>
          <w:color w:val="000000"/>
          <w:lang w:eastAsia="es-CR"/>
        </w:rPr>
        <w:t xml:space="preserve">3.221.370,86 </w:t>
      </w:r>
      <w:r w:rsidRPr="001D4980">
        <w:rPr>
          <w:rFonts w:eastAsiaTheme="minorEastAsia" w:cs="Arial Narrow"/>
          <w:color w:val="000000"/>
          <w:lang w:eastAsia="es-CR"/>
        </w:rPr>
        <w:t xml:space="preserve">miles de </w:t>
      </w:r>
      <w:r w:rsidRPr="00B90104">
        <w:rPr>
          <w:rFonts w:eastAsiaTheme="minorEastAsia" w:cs="Arial Narrow"/>
          <w:color w:val="000000"/>
          <w:lang w:eastAsia="es-CR"/>
        </w:rPr>
        <w:t xml:space="preserve">la cual está pendiente de cancelar la suma </w:t>
      </w:r>
      <w:r w:rsidRPr="00B90104">
        <w:rPr>
          <w:rFonts w:ascii="Arial" w:eastAsiaTheme="minorEastAsia" w:hAnsi="Arial" w:cs="Arial"/>
          <w:color w:val="000000"/>
          <w:lang w:eastAsia="es-CR"/>
        </w:rPr>
        <w:t>₡</w:t>
      </w:r>
      <w:r w:rsidR="001D4980" w:rsidRPr="00B90104">
        <w:rPr>
          <w:rFonts w:eastAsiaTheme="minorEastAsia" w:cs="Arial Narrow"/>
          <w:color w:val="000000"/>
          <w:lang w:eastAsia="es-CR"/>
        </w:rPr>
        <w:t xml:space="preserve">2.115.032,77 </w:t>
      </w:r>
      <w:r w:rsidRPr="00B90104">
        <w:rPr>
          <w:rFonts w:eastAsiaTheme="minorEastAsia" w:cs="Arial Narrow"/>
          <w:color w:val="000000"/>
          <w:lang w:eastAsia="es-CR"/>
        </w:rPr>
        <w:t>miles de colones.</w:t>
      </w:r>
    </w:p>
    <w:p w14:paraId="518226A1" w14:textId="77777777" w:rsidR="000B0873" w:rsidRPr="00B90104" w:rsidRDefault="000B0873" w:rsidP="000B0873">
      <w:pPr>
        <w:spacing w:after="0" w:line="240" w:lineRule="auto"/>
        <w:rPr>
          <w:rFonts w:eastAsiaTheme="minorEastAsia" w:cs="Arial Narrow"/>
          <w:color w:val="000000"/>
          <w:lang w:eastAsia="es-CR"/>
        </w:rPr>
      </w:pPr>
    </w:p>
    <w:p w14:paraId="0910C09D" w14:textId="77777777" w:rsidR="000B0873" w:rsidRDefault="000B0873" w:rsidP="000B0873">
      <w:pPr>
        <w:spacing w:after="0" w:line="240" w:lineRule="auto"/>
        <w:rPr>
          <w:rFonts w:eastAsiaTheme="minorEastAsia" w:cs="Arial Narrow"/>
          <w:color w:val="000000"/>
          <w:lang w:eastAsia="es-CR"/>
        </w:rPr>
      </w:pPr>
      <w:r w:rsidRPr="00B90104">
        <w:rPr>
          <w:rFonts w:eastAsiaTheme="minorEastAsia" w:cs="Arial Narrow"/>
          <w:color w:val="000000"/>
          <w:lang w:eastAsia="es-CR"/>
        </w:rPr>
        <w:t>La Municipalidad adoptó como políticas contables en relación con</w:t>
      </w:r>
      <w:r w:rsidRPr="004D5656">
        <w:rPr>
          <w:rFonts w:eastAsiaTheme="minorEastAsia" w:cs="Arial Narrow"/>
          <w:color w:val="000000"/>
          <w:lang w:eastAsia="es-CR"/>
        </w:rPr>
        <w:t xml:space="preserve"> los costos por préstamos, que los mismos serán reconocidos como gastos en el periodo en que se incurra en los mismos cuando estos son </w:t>
      </w:r>
      <w:r>
        <w:rPr>
          <w:rFonts w:eastAsiaTheme="minorEastAsia" w:cs="Arial Narrow"/>
          <w:color w:val="000000"/>
          <w:lang w:eastAsia="es-CR"/>
        </w:rPr>
        <w:t>cancelados posteriormente a que los activos adquiridos y puestos en operación</w:t>
      </w:r>
      <w:r w:rsidRPr="004D5656">
        <w:rPr>
          <w:rFonts w:eastAsiaTheme="minorEastAsia" w:cs="Arial Narrow"/>
          <w:color w:val="000000"/>
          <w:lang w:eastAsia="es-CR"/>
        </w:rPr>
        <w:t>. En el caso de aquellos costos por préstamos devengados durante el proceso de construcción de un activo, estos serán capitalizados por lo que pasan a formar parte del costo del activo en cuestión.</w:t>
      </w:r>
      <w:r>
        <w:rPr>
          <w:rFonts w:eastAsiaTheme="minorEastAsia" w:cs="Arial Narrow"/>
          <w:color w:val="000000"/>
          <w:lang w:eastAsia="es-CR"/>
        </w:rPr>
        <w:t xml:space="preserve"> Al respecto, se debe indicar que d</w:t>
      </w:r>
      <w:r w:rsidRPr="004D5656">
        <w:rPr>
          <w:rFonts w:eastAsiaTheme="minorEastAsia" w:cs="Arial Narrow"/>
          <w:color w:val="000000"/>
          <w:lang w:eastAsia="es-CR"/>
        </w:rPr>
        <w:t>urante el periodo informado la Municipalidad no ha incurrido en el pago de importes de los costos por préstamos que corresponda ser capitalizados</w:t>
      </w:r>
      <w:r>
        <w:rPr>
          <w:rFonts w:eastAsiaTheme="minorEastAsia" w:cs="Arial Narrow"/>
          <w:color w:val="000000"/>
          <w:lang w:eastAsia="es-CR"/>
        </w:rPr>
        <w:t xml:space="preserve">, por lo que </w:t>
      </w:r>
      <w:r w:rsidRPr="004D5656">
        <w:rPr>
          <w:rFonts w:eastAsiaTheme="minorEastAsia" w:cs="Arial Narrow"/>
          <w:color w:val="000000"/>
          <w:lang w:eastAsia="es-CR"/>
        </w:rPr>
        <w:t>no fue necesario aplicar ninguna tasa de capitalización para determinar el importe de los costos por préstamos susceptibles de capitalización.</w:t>
      </w:r>
    </w:p>
    <w:p w14:paraId="62B9FD82" w14:textId="77777777" w:rsidR="000B0873" w:rsidRDefault="000B0873" w:rsidP="000B0873">
      <w:pPr>
        <w:spacing w:after="0" w:line="240" w:lineRule="auto"/>
        <w:rPr>
          <w:rFonts w:eastAsiaTheme="minorEastAsia" w:cs="Arial Narrow"/>
          <w:color w:val="000000"/>
          <w:lang w:eastAsia="es-CR"/>
        </w:rPr>
      </w:pPr>
    </w:p>
    <w:p w14:paraId="7AEBCD0D" w14:textId="14ACEB5A" w:rsidR="00692DC8" w:rsidRPr="00B90104" w:rsidRDefault="000B0873" w:rsidP="00B90104">
      <w:pPr>
        <w:spacing w:after="0" w:line="240" w:lineRule="auto"/>
        <w:rPr>
          <w:rFonts w:eastAsiaTheme="minorEastAsia" w:cs="Arial Narrow"/>
          <w:color w:val="000000"/>
          <w:lang w:eastAsia="es-CR"/>
        </w:rPr>
      </w:pPr>
      <w:r w:rsidRPr="007A054A">
        <w:rPr>
          <w:rFonts w:eastAsiaTheme="minorEastAsia" w:cs="Arial Narrow"/>
          <w:color w:val="000000"/>
          <w:lang w:eastAsia="es-CR"/>
        </w:rPr>
        <w:t>Durante el periodo informado la Municipalidad no ha incurrido en el pago de importes de los costos por préstamos que corresponda ser capitalizados.</w:t>
      </w:r>
      <w:r>
        <w:rPr>
          <w:rFonts w:eastAsiaTheme="minorEastAsia" w:cs="Arial Narrow"/>
          <w:color w:val="000000"/>
          <w:lang w:eastAsia="es-CR"/>
        </w:rPr>
        <w:t xml:space="preserve"> Por esta razón </w:t>
      </w:r>
      <w:r w:rsidRPr="007A054A">
        <w:rPr>
          <w:rFonts w:eastAsiaTheme="minorEastAsia" w:cs="Arial Narrow"/>
          <w:color w:val="000000"/>
          <w:lang w:eastAsia="es-CR"/>
        </w:rPr>
        <w:t>no fue necesario aplicar ninguna tasa de capitalización para determinar el importe de los costos por préstamos</w:t>
      </w:r>
      <w:r w:rsidR="00B90104">
        <w:rPr>
          <w:rFonts w:eastAsiaTheme="minorEastAsia" w:cs="Arial Narrow"/>
          <w:color w:val="000000"/>
          <w:lang w:eastAsia="es-CR"/>
        </w:rPr>
        <w:t xml:space="preserve"> susceptibles de capitalización.</w:t>
      </w:r>
    </w:p>
    <w:p w14:paraId="432676B7" w14:textId="77777777" w:rsidR="00692DC8" w:rsidRPr="00692DC8" w:rsidRDefault="00692DC8" w:rsidP="007469D0">
      <w:pPr>
        <w:pStyle w:val="Ttulo4"/>
        <w:spacing w:after="240"/>
        <w:rPr>
          <w:rFonts w:eastAsia="Times New Roman"/>
        </w:rPr>
      </w:pPr>
      <w:bookmarkStart w:id="376" w:name="_Toc33601232"/>
      <w:bookmarkStart w:id="377" w:name="_Toc82768935"/>
      <w:bookmarkStart w:id="378" w:name="_Toc189804849"/>
      <w:r w:rsidRPr="00692DC8">
        <w:rPr>
          <w:rFonts w:eastAsia="Times New Roman"/>
        </w:rPr>
        <w:lastRenderedPageBreak/>
        <w:t>NOTA N° 16</w:t>
      </w:r>
      <w:bookmarkEnd w:id="374"/>
      <w:bookmarkEnd w:id="375"/>
      <w:bookmarkEnd w:id="376"/>
      <w:bookmarkEnd w:id="377"/>
      <w:bookmarkEnd w:id="378"/>
    </w:p>
    <w:p w14:paraId="59602FF0" w14:textId="77777777" w:rsidR="00396CB4" w:rsidRDefault="00692DC8" w:rsidP="00F66003">
      <w:pPr>
        <w:spacing w:before="240"/>
        <w:rPr>
          <w:rFonts w:asciiTheme="minorHAnsi" w:hAnsiTheme="minorHAnsi"/>
          <w:sz w:val="22"/>
        </w:rPr>
      </w:pPr>
      <w:bookmarkStart w:id="379" w:name="_Toc82768936"/>
      <w:r w:rsidRPr="00692DC8">
        <w:rPr>
          <w:rFonts w:eastAsia="Times New Roman"/>
        </w:rPr>
        <w:t>Fondos de terceros y en garantía</w:t>
      </w:r>
      <w:bookmarkEnd w:id="379"/>
      <w:r w:rsidR="0057029C">
        <w:rPr>
          <w:rFonts w:eastAsiaTheme="majorEastAsia" w:cstheme="majorBidi"/>
          <w:b/>
          <w:iCs/>
        </w:rPr>
        <w:fldChar w:fldCharType="begin"/>
      </w:r>
      <w:r w:rsidR="0057029C">
        <w:instrText xml:space="preserve"> LINK </w:instrText>
      </w:r>
      <w:r w:rsidR="00756467">
        <w:instrText xml:space="preserve">Excel.SheetMacroEnabled.12 "C:\\Users\\gcordero\\Downloads\\Notas diciembre 2024\\Formato_Notas_EEFF_Vinculadas_2024\\Formato_Notas_EEFF_Vinculadas_2024\\15603_T04_2024_Anexo_Estado_Notas_Contables_Vinculadas.xlsm" NOTAS_POR_CUENTA!F123C1:F125C6 </w:instrText>
      </w:r>
      <w:r w:rsidR="0057029C">
        <w:instrText xml:space="preserve">\a \f 4 \h </w:instrText>
      </w:r>
      <w:r w:rsidR="0057029C">
        <w:fldChar w:fldCharType="separate"/>
      </w:r>
    </w:p>
    <w:tbl>
      <w:tblPr>
        <w:tblW w:w="9600" w:type="dxa"/>
        <w:tblCellMar>
          <w:left w:w="70" w:type="dxa"/>
          <w:right w:w="70" w:type="dxa"/>
        </w:tblCellMar>
        <w:tblLook w:val="04A0" w:firstRow="1" w:lastRow="0" w:firstColumn="1" w:lastColumn="0" w:noHBand="0" w:noVBand="1"/>
      </w:tblPr>
      <w:tblGrid>
        <w:gridCol w:w="1243"/>
        <w:gridCol w:w="2637"/>
        <w:gridCol w:w="500"/>
        <w:gridCol w:w="2100"/>
        <w:gridCol w:w="2100"/>
        <w:gridCol w:w="1020"/>
      </w:tblGrid>
      <w:tr w:rsidR="00396CB4" w:rsidRPr="00396CB4" w14:paraId="27A2F773" w14:textId="77777777" w:rsidTr="00396CB4">
        <w:trPr>
          <w:divId w:val="684671311"/>
          <w:trHeight w:val="330"/>
        </w:trPr>
        <w:tc>
          <w:tcPr>
            <w:tcW w:w="1243"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B3DAA7E" w14:textId="2717DC03" w:rsidR="00396CB4" w:rsidRPr="00396CB4" w:rsidRDefault="00396CB4" w:rsidP="00396CB4">
            <w:pP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2637"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7C274D9"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A0970D6"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73AB0F1"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1A2AFF1"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094498B4"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131CFA8D" w14:textId="77777777" w:rsidTr="00396CB4">
        <w:trPr>
          <w:divId w:val="684671311"/>
          <w:trHeight w:val="330"/>
        </w:trPr>
        <w:tc>
          <w:tcPr>
            <w:tcW w:w="1243" w:type="dxa"/>
            <w:vMerge/>
            <w:tcBorders>
              <w:top w:val="single" w:sz="8" w:space="0" w:color="auto"/>
              <w:left w:val="single" w:sz="8" w:space="0" w:color="auto"/>
              <w:bottom w:val="single" w:sz="8" w:space="0" w:color="000000"/>
              <w:right w:val="single" w:sz="8" w:space="0" w:color="auto"/>
            </w:tcBorders>
            <w:vAlign w:val="center"/>
            <w:hideMark/>
          </w:tcPr>
          <w:p w14:paraId="31FBCA40"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637" w:type="dxa"/>
            <w:vMerge/>
            <w:tcBorders>
              <w:top w:val="single" w:sz="8" w:space="0" w:color="auto"/>
              <w:left w:val="single" w:sz="8" w:space="0" w:color="auto"/>
              <w:bottom w:val="single" w:sz="8" w:space="0" w:color="000000"/>
              <w:right w:val="single" w:sz="8" w:space="0" w:color="auto"/>
            </w:tcBorders>
            <w:vAlign w:val="center"/>
            <w:hideMark/>
          </w:tcPr>
          <w:p w14:paraId="238ABA11"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1C10D63A"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4CF71D73"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3F31AF53"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701FE83A"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3147B5D8" w14:textId="77777777" w:rsidTr="00396CB4">
        <w:trPr>
          <w:divId w:val="684671311"/>
          <w:trHeight w:val="330"/>
        </w:trPr>
        <w:tc>
          <w:tcPr>
            <w:tcW w:w="1243" w:type="dxa"/>
            <w:tcBorders>
              <w:top w:val="nil"/>
              <w:left w:val="single" w:sz="8" w:space="0" w:color="auto"/>
              <w:bottom w:val="single" w:sz="8" w:space="0" w:color="auto"/>
              <w:right w:val="single" w:sz="8" w:space="0" w:color="auto"/>
            </w:tcBorders>
            <w:shd w:val="clear" w:color="auto" w:fill="auto"/>
            <w:noWrap/>
            <w:vAlign w:val="center"/>
            <w:hideMark/>
          </w:tcPr>
          <w:p w14:paraId="59C4A1E7"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2.1.3.</w:t>
            </w:r>
          </w:p>
        </w:tc>
        <w:tc>
          <w:tcPr>
            <w:tcW w:w="2637" w:type="dxa"/>
            <w:tcBorders>
              <w:top w:val="nil"/>
              <w:left w:val="nil"/>
              <w:bottom w:val="single" w:sz="8" w:space="0" w:color="auto"/>
              <w:right w:val="single" w:sz="8" w:space="0" w:color="auto"/>
            </w:tcBorders>
            <w:shd w:val="clear" w:color="auto" w:fill="auto"/>
            <w:vAlign w:val="center"/>
            <w:hideMark/>
          </w:tcPr>
          <w:p w14:paraId="6783FAF9"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Fondos de terceros y en garantía</w:t>
            </w:r>
          </w:p>
        </w:tc>
        <w:tc>
          <w:tcPr>
            <w:tcW w:w="500" w:type="dxa"/>
            <w:tcBorders>
              <w:top w:val="nil"/>
              <w:left w:val="nil"/>
              <w:bottom w:val="single" w:sz="8" w:space="0" w:color="auto"/>
              <w:right w:val="single" w:sz="8" w:space="0" w:color="auto"/>
            </w:tcBorders>
            <w:shd w:val="clear" w:color="auto" w:fill="auto"/>
            <w:noWrap/>
            <w:vAlign w:val="center"/>
            <w:hideMark/>
          </w:tcPr>
          <w:p w14:paraId="4D401D6A"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16</w:t>
            </w:r>
          </w:p>
        </w:tc>
        <w:tc>
          <w:tcPr>
            <w:tcW w:w="2100" w:type="dxa"/>
            <w:tcBorders>
              <w:top w:val="nil"/>
              <w:left w:val="nil"/>
              <w:bottom w:val="single" w:sz="8" w:space="0" w:color="auto"/>
              <w:right w:val="single" w:sz="8" w:space="0" w:color="auto"/>
            </w:tcBorders>
            <w:shd w:val="clear" w:color="auto" w:fill="auto"/>
            <w:noWrap/>
            <w:vAlign w:val="center"/>
            <w:hideMark/>
          </w:tcPr>
          <w:p w14:paraId="2FB5481F"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62 540,81 </w:t>
            </w:r>
          </w:p>
        </w:tc>
        <w:tc>
          <w:tcPr>
            <w:tcW w:w="2100" w:type="dxa"/>
            <w:tcBorders>
              <w:top w:val="nil"/>
              <w:left w:val="nil"/>
              <w:bottom w:val="single" w:sz="8" w:space="0" w:color="auto"/>
              <w:right w:val="single" w:sz="8" w:space="0" w:color="auto"/>
            </w:tcBorders>
            <w:shd w:val="clear" w:color="auto" w:fill="auto"/>
            <w:noWrap/>
            <w:vAlign w:val="center"/>
            <w:hideMark/>
          </w:tcPr>
          <w:p w14:paraId="589C9438"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66 225,25 </w:t>
            </w:r>
          </w:p>
        </w:tc>
        <w:tc>
          <w:tcPr>
            <w:tcW w:w="1020" w:type="dxa"/>
            <w:tcBorders>
              <w:top w:val="nil"/>
              <w:left w:val="nil"/>
              <w:bottom w:val="single" w:sz="8" w:space="0" w:color="auto"/>
              <w:right w:val="single" w:sz="8" w:space="0" w:color="auto"/>
            </w:tcBorders>
            <w:shd w:val="clear" w:color="auto" w:fill="auto"/>
            <w:noWrap/>
            <w:vAlign w:val="center"/>
            <w:hideMark/>
          </w:tcPr>
          <w:p w14:paraId="09EF02B6"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-5,56%</w:t>
            </w:r>
          </w:p>
        </w:tc>
      </w:tr>
    </w:tbl>
    <w:p w14:paraId="3793C84F" w14:textId="77777777" w:rsidR="00396CB4" w:rsidRDefault="0057029C" w:rsidP="00F51D42">
      <w:pPr>
        <w:spacing w:before="240"/>
        <w:rPr>
          <w:rFonts w:asciiTheme="minorHAnsi" w:hAnsiTheme="minorHAnsi"/>
          <w:sz w:val="22"/>
        </w:rPr>
      </w:pPr>
      <w:r>
        <w:fldChar w:fldCharType="end"/>
      </w:r>
      <w:r w:rsidR="00692DC8" w:rsidRPr="00692DC8">
        <w:rPr>
          <w:rFonts w:eastAsia="Times New Roman"/>
          <w:bCs/>
          <w:sz w:val="22"/>
          <w:lang w:val="es-ES" w:eastAsia="es-CR"/>
        </w:rPr>
        <w:t>Detalle</w:t>
      </w:r>
      <w:r>
        <w:rPr>
          <w:lang w:val="es-ES" w:eastAsia="es-CR"/>
        </w:rPr>
        <w:fldChar w:fldCharType="begin"/>
      </w:r>
      <w:r>
        <w:rPr>
          <w:lang w:val="es-ES" w:eastAsia="es-CR"/>
        </w:rPr>
        <w:instrText xml:space="preserve"> LINK </w:instrText>
      </w:r>
      <w:r w:rsidR="00756467">
        <w:rPr>
          <w:lang w:val="es-ES" w:eastAsia="es-CR"/>
        </w:rPr>
        <w:instrText xml:space="preserve">Excel.SheetMacroEnabled.12 "C:\\Users\\gcordero\\Downloads\\Notas diciembre 2024\\Formato_Notas_EEFF_Vinculadas_2024\\Formato_Notas_EEFF_Vinculadas_2024\\15603_T04_2024_Anexo_Estado_Notas_Contables_Vinculadas.xlsm" NOTAS_POR_CUENTA!F127C1:F129C6 </w:instrText>
      </w:r>
      <w:r>
        <w:rPr>
          <w:lang w:val="es-ES" w:eastAsia="es-CR"/>
        </w:rPr>
        <w:instrText xml:space="preserve">\a \f 4 \h </w:instrText>
      </w:r>
      <w:r>
        <w:rPr>
          <w:lang w:val="es-ES" w:eastAsia="es-CR"/>
        </w:rPr>
        <w:fldChar w:fldCharType="separate"/>
      </w:r>
    </w:p>
    <w:tbl>
      <w:tblPr>
        <w:tblW w:w="9600" w:type="dxa"/>
        <w:tblCellMar>
          <w:left w:w="70" w:type="dxa"/>
          <w:right w:w="70" w:type="dxa"/>
        </w:tblCellMar>
        <w:tblLook w:val="04A0" w:firstRow="1" w:lastRow="0" w:firstColumn="1" w:lastColumn="0" w:noHBand="0" w:noVBand="1"/>
      </w:tblPr>
      <w:tblGrid>
        <w:gridCol w:w="1082"/>
        <w:gridCol w:w="2798"/>
        <w:gridCol w:w="500"/>
        <w:gridCol w:w="2100"/>
        <w:gridCol w:w="2100"/>
        <w:gridCol w:w="1020"/>
      </w:tblGrid>
      <w:tr w:rsidR="00396CB4" w:rsidRPr="00396CB4" w14:paraId="676B5860" w14:textId="77777777" w:rsidTr="00396CB4">
        <w:trPr>
          <w:divId w:val="903835055"/>
          <w:trHeight w:val="330"/>
        </w:trPr>
        <w:tc>
          <w:tcPr>
            <w:tcW w:w="1082"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34E910B" w14:textId="2C5AEF1C" w:rsidR="00396CB4" w:rsidRPr="00396CB4" w:rsidRDefault="00396CB4" w:rsidP="00396CB4">
            <w:pP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2798"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81F49C2"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35D6D91"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2414890"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D89A3F0"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0463100C"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7FA22F15" w14:textId="77777777" w:rsidTr="00396CB4">
        <w:trPr>
          <w:divId w:val="903835055"/>
          <w:trHeight w:val="330"/>
        </w:trPr>
        <w:tc>
          <w:tcPr>
            <w:tcW w:w="1082" w:type="dxa"/>
            <w:vMerge/>
            <w:tcBorders>
              <w:top w:val="single" w:sz="8" w:space="0" w:color="auto"/>
              <w:left w:val="single" w:sz="8" w:space="0" w:color="auto"/>
              <w:bottom w:val="single" w:sz="8" w:space="0" w:color="000000"/>
              <w:right w:val="single" w:sz="8" w:space="0" w:color="auto"/>
            </w:tcBorders>
            <w:vAlign w:val="center"/>
            <w:hideMark/>
          </w:tcPr>
          <w:p w14:paraId="1C2A47AC"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798" w:type="dxa"/>
            <w:vMerge/>
            <w:tcBorders>
              <w:top w:val="single" w:sz="8" w:space="0" w:color="auto"/>
              <w:left w:val="single" w:sz="8" w:space="0" w:color="auto"/>
              <w:bottom w:val="single" w:sz="8" w:space="0" w:color="000000"/>
              <w:right w:val="single" w:sz="8" w:space="0" w:color="auto"/>
            </w:tcBorders>
            <w:vAlign w:val="center"/>
            <w:hideMark/>
          </w:tcPr>
          <w:p w14:paraId="1D0C616F"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7F02B1E4"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256F7E7A"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4153D188"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479A259F"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62F356EF" w14:textId="77777777" w:rsidTr="00396CB4">
        <w:trPr>
          <w:divId w:val="903835055"/>
          <w:trHeight w:val="330"/>
        </w:trPr>
        <w:tc>
          <w:tcPr>
            <w:tcW w:w="1082" w:type="dxa"/>
            <w:tcBorders>
              <w:top w:val="nil"/>
              <w:left w:val="single" w:sz="8" w:space="0" w:color="auto"/>
              <w:bottom w:val="single" w:sz="8" w:space="0" w:color="auto"/>
              <w:right w:val="single" w:sz="8" w:space="0" w:color="auto"/>
            </w:tcBorders>
            <w:shd w:val="clear" w:color="auto" w:fill="auto"/>
            <w:noWrap/>
            <w:vAlign w:val="center"/>
            <w:hideMark/>
          </w:tcPr>
          <w:p w14:paraId="0BF52F2B"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2.1.3.03.</w:t>
            </w:r>
          </w:p>
        </w:tc>
        <w:tc>
          <w:tcPr>
            <w:tcW w:w="2798" w:type="dxa"/>
            <w:tcBorders>
              <w:top w:val="nil"/>
              <w:left w:val="nil"/>
              <w:bottom w:val="single" w:sz="8" w:space="0" w:color="auto"/>
              <w:right w:val="single" w:sz="8" w:space="0" w:color="auto"/>
            </w:tcBorders>
            <w:shd w:val="clear" w:color="auto" w:fill="auto"/>
            <w:vAlign w:val="center"/>
            <w:hideMark/>
          </w:tcPr>
          <w:p w14:paraId="581F45E2"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Depósitos en garantía</w:t>
            </w:r>
          </w:p>
        </w:tc>
        <w:tc>
          <w:tcPr>
            <w:tcW w:w="500" w:type="dxa"/>
            <w:tcBorders>
              <w:top w:val="nil"/>
              <w:left w:val="nil"/>
              <w:bottom w:val="single" w:sz="8" w:space="0" w:color="auto"/>
              <w:right w:val="single" w:sz="8" w:space="0" w:color="auto"/>
            </w:tcBorders>
            <w:shd w:val="clear" w:color="auto" w:fill="auto"/>
            <w:noWrap/>
            <w:vAlign w:val="center"/>
            <w:hideMark/>
          </w:tcPr>
          <w:p w14:paraId="42C8D0F5"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16</w:t>
            </w:r>
          </w:p>
        </w:tc>
        <w:tc>
          <w:tcPr>
            <w:tcW w:w="2100" w:type="dxa"/>
            <w:tcBorders>
              <w:top w:val="nil"/>
              <w:left w:val="nil"/>
              <w:bottom w:val="single" w:sz="8" w:space="0" w:color="auto"/>
              <w:right w:val="single" w:sz="8" w:space="0" w:color="auto"/>
            </w:tcBorders>
            <w:shd w:val="clear" w:color="auto" w:fill="auto"/>
            <w:noWrap/>
            <w:vAlign w:val="center"/>
            <w:hideMark/>
          </w:tcPr>
          <w:p w14:paraId="2D052963"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62 540,81 </w:t>
            </w:r>
          </w:p>
        </w:tc>
        <w:tc>
          <w:tcPr>
            <w:tcW w:w="2100" w:type="dxa"/>
            <w:tcBorders>
              <w:top w:val="nil"/>
              <w:left w:val="nil"/>
              <w:bottom w:val="single" w:sz="8" w:space="0" w:color="auto"/>
              <w:right w:val="single" w:sz="8" w:space="0" w:color="auto"/>
            </w:tcBorders>
            <w:shd w:val="clear" w:color="auto" w:fill="auto"/>
            <w:noWrap/>
            <w:vAlign w:val="center"/>
            <w:hideMark/>
          </w:tcPr>
          <w:p w14:paraId="3A118166"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66 225,25 </w:t>
            </w:r>
          </w:p>
        </w:tc>
        <w:tc>
          <w:tcPr>
            <w:tcW w:w="1020" w:type="dxa"/>
            <w:tcBorders>
              <w:top w:val="nil"/>
              <w:left w:val="nil"/>
              <w:bottom w:val="single" w:sz="8" w:space="0" w:color="auto"/>
              <w:right w:val="single" w:sz="8" w:space="0" w:color="auto"/>
            </w:tcBorders>
            <w:shd w:val="clear" w:color="auto" w:fill="auto"/>
            <w:noWrap/>
            <w:vAlign w:val="center"/>
            <w:hideMark/>
          </w:tcPr>
          <w:p w14:paraId="4C9DF601"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-5,56%</w:t>
            </w:r>
          </w:p>
        </w:tc>
      </w:tr>
    </w:tbl>
    <w:p w14:paraId="1E1494B0" w14:textId="77777777" w:rsidR="00396CB4" w:rsidRPr="00396CB4" w:rsidRDefault="0057029C" w:rsidP="00396CB4">
      <w:pPr>
        <w:spacing w:before="240"/>
        <w:rPr>
          <w:rFonts w:eastAsia="Times New Roman"/>
          <w:bCs/>
          <w:sz w:val="22"/>
          <w:lang w:val="es-ES" w:eastAsia="es-CR"/>
        </w:rPr>
      </w:pPr>
      <w:r>
        <w:rPr>
          <w:rFonts w:eastAsia="Times New Roman"/>
          <w:bCs/>
          <w:sz w:val="22"/>
          <w:lang w:val="es-ES" w:eastAsia="es-CR"/>
        </w:rPr>
        <w:fldChar w:fldCharType="end"/>
      </w:r>
      <w:r w:rsidR="00692DC8" w:rsidRPr="007469D0">
        <w:rPr>
          <w:rFonts w:eastAsia="Calibri"/>
          <w:b/>
          <w:lang w:val="es-ES"/>
        </w:rPr>
        <w:t xml:space="preserve">Revelación: </w:t>
      </w:r>
      <w:r>
        <w:rPr>
          <w:rFonts w:cs="Calibri"/>
          <w:color w:val="000000"/>
          <w:lang w:eastAsia="es-CR"/>
        </w:rPr>
        <w:fldChar w:fldCharType="begin"/>
      </w:r>
      <w:r>
        <w:rPr>
          <w:rFonts w:cs="Calibri"/>
          <w:color w:val="000000"/>
          <w:lang w:eastAsia="es-CR"/>
        </w:rPr>
        <w:instrText xml:space="preserve"> LINK </w:instrText>
      </w:r>
      <w:r w:rsidR="00756467">
        <w:rPr>
          <w:rFonts w:cs="Calibri"/>
          <w:color w:val="000000"/>
          <w:lang w:eastAsia="es-CR"/>
        </w:rPr>
        <w:instrText xml:space="preserve">Excel.SheetMacroEnabled.12 "C:\\Users\\gcordero\\Downloads\\Notas diciembre 2024\\Formato_Notas_EEFF_Vinculadas_2024\\Formato_Notas_EEFF_Vinculadas_2024\\15603_T04_2024_Anexo_Estado_Notas_Contables_Vinculadas.xlsm" NOTAS_POR_CUENTA!F129C8 </w:instrText>
      </w:r>
      <w:r>
        <w:rPr>
          <w:rFonts w:cs="Calibri"/>
          <w:color w:val="000000"/>
          <w:lang w:eastAsia="es-CR"/>
        </w:rPr>
        <w:instrText xml:space="preserve">\a \f 5 \h  \* MERGEFORMAT </w:instrText>
      </w:r>
      <w:r>
        <w:rPr>
          <w:rFonts w:cs="Calibri"/>
          <w:color w:val="000000"/>
          <w:lang w:eastAsia="es-CR"/>
        </w:rPr>
        <w:fldChar w:fldCharType="separate"/>
      </w:r>
    </w:p>
    <w:p w14:paraId="6C7E70F5" w14:textId="77777777" w:rsidR="00396CB4" w:rsidRPr="00396CB4" w:rsidRDefault="00396CB4" w:rsidP="00396CB4">
      <w:pPr>
        <w:rPr>
          <w:rFonts w:cs="Calibri"/>
          <w:color w:val="000000"/>
          <w:lang w:eastAsia="es-CR"/>
        </w:rPr>
      </w:pPr>
      <w:r w:rsidRPr="00396CB4">
        <w:rPr>
          <w:rFonts w:cs="Calibri"/>
          <w:color w:val="000000"/>
          <w:lang w:eastAsia="es-CR"/>
        </w:rPr>
        <w:t>La cuenta Depósitos en garantía, representa el 2,67% del total del Pasivo, que comparado al periodo anterior genera una variación absoluta de -3 684,44 que corresponde a un Disminución del -5,56% de recursos disponibles.</w:t>
      </w:r>
    </w:p>
    <w:p w14:paraId="138A2366" w14:textId="5F79191D" w:rsidR="00692DC8" w:rsidRPr="00692DC8" w:rsidRDefault="0057029C" w:rsidP="0057029C">
      <w:pPr>
        <w:rPr>
          <w:rFonts w:eastAsiaTheme="minorEastAsia" w:cs="Arial Narrow"/>
          <w:color w:val="000000"/>
          <w:lang w:eastAsia="es-CR"/>
        </w:rPr>
      </w:pPr>
      <w:r>
        <w:rPr>
          <w:rFonts w:cs="Calibri"/>
          <w:color w:val="000000"/>
          <w:lang w:eastAsia="es-CR"/>
        </w:rPr>
        <w:fldChar w:fldCharType="end"/>
      </w:r>
      <w:r w:rsidR="00692DC8" w:rsidRPr="00692DC8">
        <w:rPr>
          <w:rFonts w:eastAsia="Calibri"/>
          <w:highlight w:val="lightGray"/>
        </w:rPr>
        <w:t>Las variaciones de la cuenta son producto de (Indicar la razón de las variaciones de un periodo a otro):</w:t>
      </w:r>
      <w:r w:rsidR="00692DC8" w:rsidRPr="00692DC8">
        <w:rPr>
          <w:rFonts w:eastAsia="Calibri"/>
        </w:rPr>
        <w:t xml:space="preserve"> </w:t>
      </w:r>
    </w:p>
    <w:p w14:paraId="6651046B" w14:textId="77777777" w:rsidR="000B0873" w:rsidRDefault="000B0873" w:rsidP="000B0873">
      <w:pPr>
        <w:spacing w:line="240" w:lineRule="auto"/>
        <w:rPr>
          <w:rFonts w:eastAsia="Calibri"/>
        </w:rPr>
      </w:pPr>
      <w:r>
        <w:rPr>
          <w:rFonts w:eastAsia="Calibri"/>
        </w:rPr>
        <w:t xml:space="preserve">Como se indicó antes a que </w:t>
      </w:r>
      <w:r w:rsidRPr="00010BB0">
        <w:rPr>
          <w:rFonts w:cs="Calibri"/>
          <w:color w:val="000000"/>
          <w:lang w:eastAsia="es-CR"/>
        </w:rPr>
        <w:t>la</w:t>
      </w:r>
      <w:r>
        <w:rPr>
          <w:rFonts w:cs="Calibri"/>
          <w:color w:val="000000"/>
          <w:lang w:eastAsia="es-CR"/>
        </w:rPr>
        <w:t>s</w:t>
      </w:r>
      <w:r w:rsidRPr="00010BB0">
        <w:rPr>
          <w:rFonts w:cs="Calibri"/>
          <w:color w:val="000000"/>
          <w:lang w:eastAsia="es-CR"/>
        </w:rPr>
        <w:t xml:space="preserve"> devoluci</w:t>
      </w:r>
      <w:r>
        <w:rPr>
          <w:rFonts w:cs="Calibri"/>
          <w:color w:val="000000"/>
          <w:lang w:eastAsia="es-CR"/>
        </w:rPr>
        <w:t>o</w:t>
      </w:r>
      <w:r w:rsidRPr="00010BB0">
        <w:rPr>
          <w:rFonts w:cs="Calibri"/>
          <w:color w:val="000000"/>
          <w:lang w:eastAsia="es-CR"/>
        </w:rPr>
        <w:t>n</w:t>
      </w:r>
      <w:r>
        <w:rPr>
          <w:rFonts w:cs="Calibri"/>
          <w:color w:val="000000"/>
          <w:lang w:eastAsia="es-CR"/>
        </w:rPr>
        <w:t>es</w:t>
      </w:r>
      <w:r w:rsidRPr="00010BB0">
        <w:rPr>
          <w:rFonts w:cs="Calibri"/>
          <w:color w:val="000000"/>
          <w:lang w:eastAsia="es-CR"/>
        </w:rPr>
        <w:t xml:space="preserve"> de depósitos en garantías a empresas privadas</w:t>
      </w:r>
      <w:r>
        <w:rPr>
          <w:rFonts w:cs="Calibri"/>
          <w:color w:val="000000"/>
          <w:lang w:eastAsia="es-CR"/>
        </w:rPr>
        <w:t xml:space="preserve"> y oferentes</w:t>
      </w:r>
      <w:r w:rsidRPr="00010BB0">
        <w:rPr>
          <w:rFonts w:cs="Calibri"/>
          <w:color w:val="000000"/>
          <w:lang w:eastAsia="es-CR"/>
        </w:rPr>
        <w:t xml:space="preserve"> que las rindieron en diferentes procesos de contratación que realizó la Municipalidad</w:t>
      </w:r>
      <w:r>
        <w:rPr>
          <w:rFonts w:cs="Calibri"/>
          <w:color w:val="000000"/>
          <w:lang w:eastAsia="es-CR"/>
        </w:rPr>
        <w:t xml:space="preserve"> fueron superiores a las garantías recibidas en el periodo</w:t>
      </w:r>
    </w:p>
    <w:p w14:paraId="4D2359EE" w14:textId="09AA9596" w:rsidR="000B0873" w:rsidRPr="00084E9C" w:rsidRDefault="000B0873" w:rsidP="000B0873">
      <w:pPr>
        <w:spacing w:after="120" w:line="240" w:lineRule="auto"/>
        <w:rPr>
          <w:rFonts w:eastAsia="Calibri"/>
          <w:b/>
          <w:bCs/>
        </w:rPr>
      </w:pPr>
      <w:r>
        <w:rPr>
          <w:rFonts w:eastAsia="Calibri"/>
        </w:rPr>
        <w:t xml:space="preserve">Que como se aprecia en el siguiente detalle la disminución de </w:t>
      </w:r>
      <w:r w:rsidRPr="008C37BC">
        <w:rPr>
          <w:rFonts w:eastAsia="Calibri"/>
        </w:rPr>
        <w:t>-</w:t>
      </w:r>
      <w:r w:rsidRPr="00C32732">
        <w:rPr>
          <w:rFonts w:ascii="Arial" w:eastAsia="Calibri" w:hAnsi="Arial" w:cs="Arial"/>
        </w:rPr>
        <w:t>₡</w:t>
      </w:r>
      <w:r w:rsidR="00084E9C" w:rsidRPr="00084E9C">
        <w:rPr>
          <w:rFonts w:eastAsia="Calibri"/>
        </w:rPr>
        <w:t>3 684,44</w:t>
      </w:r>
      <w:r w:rsidR="00084E9C">
        <w:rPr>
          <w:rFonts w:eastAsia="Calibri"/>
          <w:b/>
          <w:bCs/>
        </w:rPr>
        <w:t xml:space="preserve"> </w:t>
      </w:r>
      <w:r>
        <w:rPr>
          <w:rFonts w:eastAsia="Calibri"/>
        </w:rPr>
        <w:t>miles, se debe</w:t>
      </w:r>
      <w:r w:rsidRPr="00C32732">
        <w:rPr>
          <w:rFonts w:eastAsia="Calibri"/>
        </w:rPr>
        <w:t xml:space="preserve"> a </w:t>
      </w:r>
      <w:r>
        <w:rPr>
          <w:rFonts w:eastAsia="Calibri"/>
        </w:rPr>
        <w:t xml:space="preserve">la </w:t>
      </w:r>
      <w:r w:rsidRPr="00C32732">
        <w:rPr>
          <w:rFonts w:eastAsia="Calibri"/>
        </w:rPr>
        <w:t xml:space="preserve">devolución de depósitos en garantías a empresas privadas </w:t>
      </w:r>
      <w:r>
        <w:rPr>
          <w:rFonts w:eastAsia="Calibri"/>
        </w:rPr>
        <w:t>por la suma de -</w:t>
      </w:r>
      <w:r w:rsidRPr="00C32732">
        <w:rPr>
          <w:rFonts w:ascii="Arial" w:eastAsia="Calibri" w:hAnsi="Arial" w:cs="Arial"/>
        </w:rPr>
        <w:t>₡</w:t>
      </w:r>
      <w:r w:rsidR="00084E9C">
        <w:rPr>
          <w:rFonts w:eastAsia="Calibri"/>
        </w:rPr>
        <w:t>3 684,44</w:t>
      </w:r>
      <w:r w:rsidRPr="00C32732">
        <w:rPr>
          <w:rFonts w:eastAsia="Calibri"/>
        </w:rPr>
        <w:t xml:space="preserve"> miles</w:t>
      </w:r>
      <w:r w:rsidR="00084E9C">
        <w:rPr>
          <w:rFonts w:eastAsia="Calibri"/>
        </w:rPr>
        <w:t xml:space="preserve">, </w:t>
      </w:r>
      <w:r>
        <w:rPr>
          <w:rFonts w:eastAsia="Calibri"/>
        </w:rPr>
        <w:t>como se observa en el siguiente cuadro.</w:t>
      </w:r>
    </w:p>
    <w:tbl>
      <w:tblPr>
        <w:tblW w:w="7160" w:type="dxa"/>
        <w:tblCellMar>
          <w:left w:w="70" w:type="dxa"/>
          <w:right w:w="70" w:type="dxa"/>
        </w:tblCellMar>
        <w:tblLook w:val="04A0" w:firstRow="1" w:lastRow="0" w:firstColumn="1" w:lastColumn="0" w:noHBand="0" w:noVBand="1"/>
      </w:tblPr>
      <w:tblGrid>
        <w:gridCol w:w="779"/>
        <w:gridCol w:w="1840"/>
        <w:gridCol w:w="1100"/>
        <w:gridCol w:w="1280"/>
        <w:gridCol w:w="1280"/>
        <w:gridCol w:w="960"/>
      </w:tblGrid>
      <w:tr w:rsidR="00084E9C" w:rsidRPr="00084E9C" w14:paraId="2A185CAF" w14:textId="77777777" w:rsidTr="00084E9C">
        <w:trPr>
          <w:trHeight w:val="525"/>
        </w:trPr>
        <w:tc>
          <w:tcPr>
            <w:tcW w:w="700" w:type="dxa"/>
            <w:tcBorders>
              <w:top w:val="single" w:sz="8" w:space="0" w:color="auto"/>
              <w:left w:val="single" w:sz="8" w:space="0" w:color="auto"/>
              <w:bottom w:val="nil"/>
              <w:right w:val="single" w:sz="12" w:space="0" w:color="auto"/>
            </w:tcBorders>
            <w:shd w:val="clear" w:color="000000" w:fill="002060"/>
            <w:vAlign w:val="center"/>
            <w:hideMark/>
          </w:tcPr>
          <w:p w14:paraId="0986BE05" w14:textId="77777777" w:rsidR="00084E9C" w:rsidRPr="00084E9C" w:rsidRDefault="00084E9C" w:rsidP="00084E9C">
            <w:pPr>
              <w:spacing w:after="0" w:line="240" w:lineRule="auto"/>
              <w:jc w:val="center"/>
              <w:rPr>
                <w:rFonts w:eastAsia="Times New Roman" w:cs="Calibri"/>
                <w:b/>
                <w:bCs/>
                <w:color w:val="FFFFFF"/>
                <w:sz w:val="20"/>
                <w:szCs w:val="20"/>
                <w:lang w:eastAsia="es-CR"/>
              </w:rPr>
            </w:pPr>
            <w:r w:rsidRPr="00084E9C">
              <w:rPr>
                <w:rFonts w:eastAsia="Times New Roman" w:cs="Calibri"/>
                <w:b/>
                <w:bCs/>
                <w:color w:val="FFFFFF"/>
                <w:sz w:val="20"/>
                <w:szCs w:val="20"/>
                <w:lang w:eastAsia="es-CR"/>
              </w:rPr>
              <w:t>Cuenta</w:t>
            </w:r>
          </w:p>
        </w:tc>
        <w:tc>
          <w:tcPr>
            <w:tcW w:w="1840" w:type="dxa"/>
            <w:tcBorders>
              <w:top w:val="single" w:sz="8" w:space="0" w:color="auto"/>
              <w:left w:val="nil"/>
              <w:bottom w:val="nil"/>
              <w:right w:val="single" w:sz="12" w:space="0" w:color="auto"/>
            </w:tcBorders>
            <w:shd w:val="clear" w:color="000000" w:fill="002060"/>
            <w:vAlign w:val="center"/>
            <w:hideMark/>
          </w:tcPr>
          <w:p w14:paraId="11346AAF" w14:textId="77777777" w:rsidR="00084E9C" w:rsidRPr="00084E9C" w:rsidRDefault="00084E9C" w:rsidP="00084E9C">
            <w:pPr>
              <w:spacing w:after="0" w:line="240" w:lineRule="auto"/>
              <w:jc w:val="center"/>
              <w:rPr>
                <w:rFonts w:eastAsia="Times New Roman" w:cs="Calibri"/>
                <w:b/>
                <w:bCs/>
                <w:color w:val="FFFFFF"/>
                <w:sz w:val="20"/>
                <w:szCs w:val="20"/>
                <w:lang w:eastAsia="es-CR"/>
              </w:rPr>
            </w:pPr>
            <w:r w:rsidRPr="00084E9C">
              <w:rPr>
                <w:rFonts w:eastAsia="Times New Roman" w:cs="Calibri"/>
                <w:b/>
                <w:bCs/>
                <w:color w:val="FFFFFF"/>
                <w:sz w:val="20"/>
                <w:szCs w:val="20"/>
                <w:lang w:eastAsia="es-CR"/>
              </w:rPr>
              <w:t>Descripción</w:t>
            </w:r>
          </w:p>
        </w:tc>
        <w:tc>
          <w:tcPr>
            <w:tcW w:w="1100" w:type="dxa"/>
            <w:tcBorders>
              <w:top w:val="single" w:sz="8" w:space="0" w:color="auto"/>
              <w:left w:val="nil"/>
              <w:bottom w:val="nil"/>
              <w:right w:val="single" w:sz="12" w:space="0" w:color="auto"/>
            </w:tcBorders>
            <w:shd w:val="clear" w:color="000000" w:fill="002060"/>
            <w:vAlign w:val="center"/>
            <w:hideMark/>
          </w:tcPr>
          <w:p w14:paraId="22ED7D23" w14:textId="77777777" w:rsidR="00084E9C" w:rsidRPr="00084E9C" w:rsidRDefault="00084E9C" w:rsidP="00084E9C">
            <w:pPr>
              <w:spacing w:after="0" w:line="240" w:lineRule="auto"/>
              <w:jc w:val="center"/>
              <w:rPr>
                <w:rFonts w:eastAsia="Times New Roman" w:cs="Calibri"/>
                <w:b/>
                <w:bCs/>
                <w:color w:val="FFFFFF"/>
                <w:sz w:val="20"/>
                <w:szCs w:val="20"/>
                <w:lang w:eastAsia="es-CR"/>
              </w:rPr>
            </w:pPr>
            <w:r w:rsidRPr="00084E9C">
              <w:rPr>
                <w:rFonts w:eastAsia="Times New Roman" w:cs="Calibri"/>
                <w:b/>
                <w:bCs/>
                <w:color w:val="FFFFFF"/>
                <w:sz w:val="20"/>
                <w:szCs w:val="20"/>
                <w:lang w:eastAsia="es-CR"/>
              </w:rPr>
              <w:t>Saldo Año Actual</w:t>
            </w:r>
          </w:p>
        </w:tc>
        <w:tc>
          <w:tcPr>
            <w:tcW w:w="1280" w:type="dxa"/>
            <w:tcBorders>
              <w:top w:val="single" w:sz="8" w:space="0" w:color="auto"/>
              <w:left w:val="nil"/>
              <w:bottom w:val="nil"/>
              <w:right w:val="single" w:sz="12" w:space="0" w:color="auto"/>
            </w:tcBorders>
            <w:shd w:val="clear" w:color="000000" w:fill="002060"/>
            <w:vAlign w:val="center"/>
            <w:hideMark/>
          </w:tcPr>
          <w:p w14:paraId="0BE67F16" w14:textId="77777777" w:rsidR="00084E9C" w:rsidRPr="00084E9C" w:rsidRDefault="00084E9C" w:rsidP="00084E9C">
            <w:pPr>
              <w:spacing w:after="0" w:line="240" w:lineRule="auto"/>
              <w:jc w:val="center"/>
              <w:rPr>
                <w:rFonts w:eastAsia="Times New Roman" w:cs="Calibri"/>
                <w:b/>
                <w:bCs/>
                <w:color w:val="FFFFFF"/>
                <w:sz w:val="20"/>
                <w:szCs w:val="20"/>
                <w:lang w:eastAsia="es-CR"/>
              </w:rPr>
            </w:pPr>
            <w:r w:rsidRPr="00084E9C">
              <w:rPr>
                <w:rFonts w:eastAsia="Times New Roman" w:cs="Calibri"/>
                <w:b/>
                <w:bCs/>
                <w:color w:val="FFFFFF"/>
                <w:sz w:val="20"/>
                <w:szCs w:val="20"/>
                <w:lang w:eastAsia="es-CR"/>
              </w:rPr>
              <w:t>Saldo Año Anterior</w:t>
            </w:r>
          </w:p>
        </w:tc>
        <w:tc>
          <w:tcPr>
            <w:tcW w:w="1280" w:type="dxa"/>
            <w:tcBorders>
              <w:top w:val="single" w:sz="8" w:space="0" w:color="auto"/>
              <w:left w:val="nil"/>
              <w:bottom w:val="nil"/>
              <w:right w:val="single" w:sz="12" w:space="0" w:color="auto"/>
            </w:tcBorders>
            <w:shd w:val="clear" w:color="000000" w:fill="002060"/>
            <w:vAlign w:val="center"/>
            <w:hideMark/>
          </w:tcPr>
          <w:p w14:paraId="24A61A87" w14:textId="77777777" w:rsidR="00084E9C" w:rsidRPr="00084E9C" w:rsidRDefault="00084E9C" w:rsidP="00084E9C">
            <w:pPr>
              <w:spacing w:after="0" w:line="240" w:lineRule="auto"/>
              <w:jc w:val="center"/>
              <w:rPr>
                <w:rFonts w:eastAsia="Times New Roman" w:cs="Calibri"/>
                <w:b/>
                <w:bCs/>
                <w:color w:val="FFFFFF"/>
                <w:sz w:val="20"/>
                <w:szCs w:val="20"/>
                <w:lang w:eastAsia="es-CR"/>
              </w:rPr>
            </w:pPr>
            <w:r w:rsidRPr="00084E9C">
              <w:rPr>
                <w:rFonts w:eastAsia="Times New Roman" w:cs="Calibri"/>
                <w:b/>
                <w:bCs/>
                <w:color w:val="FFFFFF"/>
                <w:sz w:val="20"/>
                <w:szCs w:val="20"/>
                <w:lang w:eastAsia="es-CR"/>
              </w:rPr>
              <w:t>Variación Absoluta</w:t>
            </w:r>
          </w:p>
        </w:tc>
        <w:tc>
          <w:tcPr>
            <w:tcW w:w="960" w:type="dxa"/>
            <w:tcBorders>
              <w:top w:val="single" w:sz="8" w:space="0" w:color="auto"/>
              <w:left w:val="nil"/>
              <w:bottom w:val="nil"/>
              <w:right w:val="single" w:sz="8" w:space="0" w:color="auto"/>
            </w:tcBorders>
            <w:shd w:val="clear" w:color="000000" w:fill="002060"/>
            <w:vAlign w:val="center"/>
            <w:hideMark/>
          </w:tcPr>
          <w:p w14:paraId="135474FA" w14:textId="77777777" w:rsidR="00084E9C" w:rsidRPr="00084E9C" w:rsidRDefault="00084E9C" w:rsidP="00084E9C">
            <w:pPr>
              <w:spacing w:after="0" w:line="240" w:lineRule="auto"/>
              <w:jc w:val="center"/>
              <w:rPr>
                <w:rFonts w:eastAsia="Times New Roman" w:cs="Calibri"/>
                <w:b/>
                <w:bCs/>
                <w:color w:val="FFFFFF"/>
                <w:sz w:val="20"/>
                <w:szCs w:val="20"/>
                <w:lang w:eastAsia="es-CR"/>
              </w:rPr>
            </w:pPr>
            <w:r w:rsidRPr="00084E9C">
              <w:rPr>
                <w:rFonts w:eastAsia="Times New Roman" w:cs="Calibri"/>
                <w:b/>
                <w:bCs/>
                <w:color w:val="FFFFFF"/>
                <w:sz w:val="20"/>
                <w:szCs w:val="20"/>
                <w:lang w:eastAsia="es-CR"/>
              </w:rPr>
              <w:t>Variación %</w:t>
            </w:r>
          </w:p>
        </w:tc>
      </w:tr>
      <w:tr w:rsidR="00084E9C" w:rsidRPr="00084E9C" w14:paraId="6BD9BEF3" w14:textId="77777777" w:rsidTr="00084E9C">
        <w:trPr>
          <w:trHeight w:val="300"/>
        </w:trPr>
        <w:tc>
          <w:tcPr>
            <w:tcW w:w="700" w:type="dxa"/>
            <w:tcBorders>
              <w:top w:val="single" w:sz="8" w:space="0" w:color="auto"/>
              <w:left w:val="single" w:sz="8" w:space="0" w:color="auto"/>
              <w:bottom w:val="nil"/>
              <w:right w:val="single" w:sz="8" w:space="0" w:color="auto"/>
            </w:tcBorders>
            <w:shd w:val="clear" w:color="auto" w:fill="auto"/>
            <w:noWrap/>
            <w:vAlign w:val="center"/>
            <w:hideMark/>
          </w:tcPr>
          <w:p w14:paraId="03A87274" w14:textId="77777777" w:rsidR="00084E9C" w:rsidRPr="00084E9C" w:rsidRDefault="00084E9C" w:rsidP="00084E9C">
            <w:pPr>
              <w:spacing w:after="0" w:line="240" w:lineRule="auto"/>
              <w:jc w:val="left"/>
              <w:rPr>
                <w:rFonts w:eastAsia="Times New Roman" w:cs="Calibri"/>
                <w:color w:val="000000"/>
                <w:sz w:val="20"/>
                <w:szCs w:val="20"/>
                <w:lang w:eastAsia="es-CR"/>
              </w:rPr>
            </w:pPr>
            <w:r w:rsidRPr="00084E9C">
              <w:rPr>
                <w:rFonts w:eastAsia="Times New Roman" w:cs="Calibri"/>
                <w:color w:val="000000"/>
                <w:sz w:val="20"/>
                <w:szCs w:val="20"/>
                <w:lang w:eastAsia="es-CR"/>
              </w:rPr>
              <w:t>2.1.3.03.</w:t>
            </w:r>
          </w:p>
        </w:tc>
        <w:tc>
          <w:tcPr>
            <w:tcW w:w="1840" w:type="dxa"/>
            <w:tcBorders>
              <w:top w:val="single" w:sz="8" w:space="0" w:color="auto"/>
              <w:left w:val="nil"/>
              <w:bottom w:val="nil"/>
              <w:right w:val="single" w:sz="8" w:space="0" w:color="auto"/>
            </w:tcBorders>
            <w:shd w:val="clear" w:color="auto" w:fill="auto"/>
            <w:vAlign w:val="center"/>
            <w:hideMark/>
          </w:tcPr>
          <w:p w14:paraId="703B8D8D" w14:textId="77777777" w:rsidR="00084E9C" w:rsidRPr="00084E9C" w:rsidRDefault="00084E9C" w:rsidP="00084E9C">
            <w:pPr>
              <w:spacing w:after="0" w:line="240" w:lineRule="auto"/>
              <w:jc w:val="left"/>
              <w:rPr>
                <w:rFonts w:eastAsia="Times New Roman" w:cs="Calibri"/>
                <w:sz w:val="20"/>
                <w:szCs w:val="20"/>
                <w:lang w:eastAsia="es-CR"/>
              </w:rPr>
            </w:pPr>
            <w:r w:rsidRPr="00084E9C">
              <w:rPr>
                <w:rFonts w:eastAsia="Times New Roman" w:cs="Calibri"/>
                <w:sz w:val="20"/>
                <w:szCs w:val="20"/>
                <w:lang w:eastAsia="es-CR"/>
              </w:rPr>
              <w:t>Depósitos en garantía</w:t>
            </w:r>
          </w:p>
        </w:tc>
        <w:tc>
          <w:tcPr>
            <w:tcW w:w="1100" w:type="dxa"/>
            <w:tcBorders>
              <w:top w:val="nil"/>
              <w:left w:val="nil"/>
              <w:bottom w:val="nil"/>
              <w:right w:val="single" w:sz="8" w:space="0" w:color="auto"/>
            </w:tcBorders>
            <w:shd w:val="clear" w:color="000000" w:fill="FFFFFF"/>
            <w:noWrap/>
            <w:vAlign w:val="bottom"/>
            <w:hideMark/>
          </w:tcPr>
          <w:p w14:paraId="37B24A04" w14:textId="77777777" w:rsidR="00084E9C" w:rsidRPr="00084E9C" w:rsidRDefault="00084E9C" w:rsidP="00084E9C">
            <w:pPr>
              <w:spacing w:after="0" w:line="240" w:lineRule="auto"/>
              <w:jc w:val="right"/>
              <w:rPr>
                <w:rFonts w:eastAsia="Times New Roman" w:cs="Calibri"/>
                <w:color w:val="000000"/>
                <w:sz w:val="20"/>
                <w:szCs w:val="20"/>
                <w:lang w:eastAsia="es-CR"/>
              </w:rPr>
            </w:pPr>
            <w:r w:rsidRPr="00084E9C">
              <w:rPr>
                <w:rFonts w:ascii="Arial" w:eastAsia="Times New Roman" w:hAnsi="Arial" w:cs="Arial"/>
                <w:color w:val="000000"/>
                <w:sz w:val="20"/>
                <w:szCs w:val="20"/>
                <w:lang w:eastAsia="es-CR"/>
              </w:rPr>
              <w:t>₡</w:t>
            </w:r>
            <w:r w:rsidRPr="00084E9C">
              <w:rPr>
                <w:rFonts w:eastAsia="Times New Roman" w:cs="Calibri"/>
                <w:color w:val="000000"/>
                <w:sz w:val="20"/>
                <w:szCs w:val="20"/>
                <w:lang w:eastAsia="es-CR"/>
              </w:rPr>
              <w:t>62 540,81</w:t>
            </w:r>
          </w:p>
        </w:tc>
        <w:tc>
          <w:tcPr>
            <w:tcW w:w="1280" w:type="dxa"/>
            <w:tcBorders>
              <w:top w:val="nil"/>
              <w:left w:val="nil"/>
              <w:bottom w:val="nil"/>
              <w:right w:val="single" w:sz="8" w:space="0" w:color="auto"/>
            </w:tcBorders>
            <w:shd w:val="clear" w:color="000000" w:fill="FFFFFF"/>
            <w:noWrap/>
            <w:vAlign w:val="bottom"/>
            <w:hideMark/>
          </w:tcPr>
          <w:p w14:paraId="4DCE5597" w14:textId="77777777" w:rsidR="00084E9C" w:rsidRPr="00084E9C" w:rsidRDefault="00084E9C" w:rsidP="00084E9C">
            <w:pPr>
              <w:spacing w:after="0" w:line="240" w:lineRule="auto"/>
              <w:jc w:val="right"/>
              <w:rPr>
                <w:rFonts w:eastAsia="Times New Roman" w:cs="Calibri"/>
                <w:sz w:val="20"/>
                <w:szCs w:val="20"/>
                <w:lang w:eastAsia="es-CR"/>
              </w:rPr>
            </w:pPr>
            <w:r w:rsidRPr="00084E9C">
              <w:rPr>
                <w:rFonts w:ascii="Arial" w:eastAsia="Times New Roman" w:hAnsi="Arial" w:cs="Arial"/>
                <w:sz w:val="20"/>
                <w:szCs w:val="20"/>
                <w:lang w:eastAsia="es-CR"/>
              </w:rPr>
              <w:t>₡</w:t>
            </w:r>
            <w:r w:rsidRPr="00084E9C">
              <w:rPr>
                <w:rFonts w:eastAsia="Times New Roman" w:cs="Calibri"/>
                <w:sz w:val="20"/>
                <w:szCs w:val="20"/>
                <w:lang w:eastAsia="es-CR"/>
              </w:rPr>
              <w:t>66 225,25</w:t>
            </w:r>
          </w:p>
        </w:tc>
        <w:tc>
          <w:tcPr>
            <w:tcW w:w="1280" w:type="dxa"/>
            <w:tcBorders>
              <w:top w:val="single" w:sz="8" w:space="0" w:color="auto"/>
              <w:left w:val="nil"/>
              <w:bottom w:val="nil"/>
              <w:right w:val="single" w:sz="8" w:space="0" w:color="auto"/>
            </w:tcBorders>
            <w:shd w:val="clear" w:color="FFFFFF" w:fill="FFFFFF"/>
            <w:noWrap/>
            <w:vAlign w:val="center"/>
            <w:hideMark/>
          </w:tcPr>
          <w:p w14:paraId="7FB66F66" w14:textId="77777777" w:rsidR="00084E9C" w:rsidRPr="00084E9C" w:rsidRDefault="00084E9C" w:rsidP="00084E9C">
            <w:pPr>
              <w:spacing w:after="0" w:line="240" w:lineRule="auto"/>
              <w:jc w:val="right"/>
              <w:rPr>
                <w:rFonts w:eastAsia="Times New Roman" w:cs="Calibri"/>
                <w:color w:val="000000"/>
                <w:sz w:val="20"/>
                <w:szCs w:val="20"/>
                <w:lang w:eastAsia="es-CR"/>
              </w:rPr>
            </w:pPr>
            <w:r w:rsidRPr="00084E9C">
              <w:rPr>
                <w:rFonts w:eastAsia="Times New Roman" w:cs="Calibri"/>
                <w:color w:val="000000"/>
                <w:sz w:val="20"/>
                <w:szCs w:val="20"/>
                <w:lang w:eastAsia="es-CR"/>
              </w:rPr>
              <w:t>-</w:t>
            </w:r>
            <w:r w:rsidRPr="00084E9C">
              <w:rPr>
                <w:rFonts w:ascii="Arial" w:eastAsia="Times New Roman" w:hAnsi="Arial" w:cs="Arial"/>
                <w:color w:val="000000"/>
                <w:sz w:val="20"/>
                <w:szCs w:val="20"/>
                <w:lang w:eastAsia="es-CR"/>
              </w:rPr>
              <w:t>₡</w:t>
            </w:r>
            <w:r w:rsidRPr="00084E9C">
              <w:rPr>
                <w:rFonts w:eastAsia="Times New Roman" w:cs="Calibri"/>
                <w:color w:val="000000"/>
                <w:sz w:val="20"/>
                <w:szCs w:val="20"/>
                <w:lang w:eastAsia="es-CR"/>
              </w:rPr>
              <w:t>3 684,44</w:t>
            </w:r>
          </w:p>
        </w:tc>
        <w:tc>
          <w:tcPr>
            <w:tcW w:w="960" w:type="dxa"/>
            <w:tcBorders>
              <w:top w:val="single" w:sz="8" w:space="0" w:color="auto"/>
              <w:left w:val="nil"/>
              <w:bottom w:val="nil"/>
              <w:right w:val="single" w:sz="8" w:space="0" w:color="auto"/>
            </w:tcBorders>
            <w:shd w:val="clear" w:color="auto" w:fill="auto"/>
            <w:noWrap/>
            <w:vAlign w:val="center"/>
            <w:hideMark/>
          </w:tcPr>
          <w:p w14:paraId="14DC8B53" w14:textId="77777777" w:rsidR="00084E9C" w:rsidRPr="00084E9C" w:rsidRDefault="00084E9C" w:rsidP="00084E9C">
            <w:pPr>
              <w:spacing w:after="0" w:line="240" w:lineRule="auto"/>
              <w:jc w:val="right"/>
              <w:rPr>
                <w:rFonts w:eastAsia="Times New Roman" w:cs="Calibri"/>
                <w:sz w:val="20"/>
                <w:szCs w:val="20"/>
                <w:lang w:eastAsia="es-CR"/>
              </w:rPr>
            </w:pPr>
            <w:r w:rsidRPr="00084E9C">
              <w:rPr>
                <w:rFonts w:eastAsia="Times New Roman" w:cs="Calibri"/>
                <w:sz w:val="20"/>
                <w:szCs w:val="20"/>
                <w:lang w:eastAsia="es-CR"/>
              </w:rPr>
              <w:t>-5,56%</w:t>
            </w:r>
          </w:p>
        </w:tc>
      </w:tr>
      <w:tr w:rsidR="00084E9C" w:rsidRPr="00084E9C" w14:paraId="3F7E92D8" w14:textId="77777777" w:rsidTr="00084E9C">
        <w:trPr>
          <w:trHeight w:val="52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1B7F5B47" w14:textId="77777777" w:rsidR="00084E9C" w:rsidRPr="00084E9C" w:rsidRDefault="00084E9C" w:rsidP="00084E9C">
            <w:pPr>
              <w:spacing w:after="0" w:line="240" w:lineRule="auto"/>
              <w:jc w:val="left"/>
              <w:rPr>
                <w:rFonts w:eastAsia="Times New Roman" w:cs="Calibri"/>
                <w:color w:val="000000"/>
                <w:sz w:val="20"/>
                <w:szCs w:val="20"/>
                <w:lang w:eastAsia="es-CR"/>
              </w:rPr>
            </w:pPr>
            <w:r w:rsidRPr="00084E9C">
              <w:rPr>
                <w:rFonts w:eastAsia="Times New Roman" w:cs="Calibri"/>
                <w:color w:val="000000"/>
                <w:sz w:val="20"/>
                <w:szCs w:val="20"/>
                <w:lang w:eastAsia="es-CR"/>
              </w:rPr>
              <w:t>2.1.3.99.</w:t>
            </w:r>
          </w:p>
        </w:tc>
        <w:tc>
          <w:tcPr>
            <w:tcW w:w="1840" w:type="dxa"/>
            <w:tcBorders>
              <w:top w:val="nil"/>
              <w:left w:val="nil"/>
              <w:bottom w:val="single" w:sz="8" w:space="0" w:color="auto"/>
              <w:right w:val="single" w:sz="8" w:space="0" w:color="auto"/>
            </w:tcBorders>
            <w:shd w:val="clear" w:color="auto" w:fill="auto"/>
            <w:vAlign w:val="center"/>
            <w:hideMark/>
          </w:tcPr>
          <w:p w14:paraId="7FDD74F3" w14:textId="77777777" w:rsidR="00084E9C" w:rsidRPr="00084E9C" w:rsidRDefault="00084E9C" w:rsidP="00084E9C">
            <w:pPr>
              <w:spacing w:after="0" w:line="240" w:lineRule="auto"/>
              <w:jc w:val="left"/>
              <w:rPr>
                <w:rFonts w:eastAsia="Times New Roman" w:cs="Calibri"/>
                <w:sz w:val="20"/>
                <w:szCs w:val="20"/>
                <w:lang w:eastAsia="es-CR"/>
              </w:rPr>
            </w:pPr>
            <w:r w:rsidRPr="00084E9C">
              <w:rPr>
                <w:rFonts w:eastAsia="Times New Roman" w:cs="Calibri"/>
                <w:sz w:val="20"/>
                <w:szCs w:val="20"/>
                <w:lang w:eastAsia="es-CR"/>
              </w:rPr>
              <w:t>Otros fondos de terceros</w:t>
            </w:r>
          </w:p>
        </w:tc>
        <w:tc>
          <w:tcPr>
            <w:tcW w:w="1100" w:type="dxa"/>
            <w:tcBorders>
              <w:top w:val="nil"/>
              <w:left w:val="nil"/>
              <w:bottom w:val="single" w:sz="8" w:space="0" w:color="auto"/>
              <w:right w:val="single" w:sz="8" w:space="0" w:color="auto"/>
            </w:tcBorders>
            <w:shd w:val="clear" w:color="auto" w:fill="auto"/>
            <w:noWrap/>
            <w:vAlign w:val="bottom"/>
            <w:hideMark/>
          </w:tcPr>
          <w:p w14:paraId="6DDC9D63" w14:textId="77777777" w:rsidR="00084E9C" w:rsidRPr="00084E9C" w:rsidRDefault="00084E9C" w:rsidP="00084E9C">
            <w:pPr>
              <w:spacing w:after="0" w:line="240" w:lineRule="auto"/>
              <w:jc w:val="right"/>
              <w:rPr>
                <w:rFonts w:eastAsia="Times New Roman" w:cs="Calibri"/>
                <w:color w:val="000000"/>
                <w:sz w:val="20"/>
                <w:szCs w:val="20"/>
                <w:lang w:eastAsia="es-CR"/>
              </w:rPr>
            </w:pPr>
            <w:r w:rsidRPr="00084E9C">
              <w:rPr>
                <w:rFonts w:eastAsia="Times New Roman" w:cs="Calibri"/>
                <w:color w:val="000000"/>
                <w:sz w:val="20"/>
                <w:szCs w:val="20"/>
                <w:lang w:eastAsia="es-CR"/>
              </w:rPr>
              <w:t>0,00</w:t>
            </w:r>
          </w:p>
        </w:tc>
        <w:tc>
          <w:tcPr>
            <w:tcW w:w="1280" w:type="dxa"/>
            <w:tcBorders>
              <w:top w:val="nil"/>
              <w:left w:val="nil"/>
              <w:bottom w:val="nil"/>
              <w:right w:val="single" w:sz="8" w:space="0" w:color="auto"/>
            </w:tcBorders>
            <w:shd w:val="clear" w:color="000000" w:fill="FFFFFF"/>
            <w:noWrap/>
            <w:vAlign w:val="bottom"/>
            <w:hideMark/>
          </w:tcPr>
          <w:p w14:paraId="438EDCC5" w14:textId="77777777" w:rsidR="00084E9C" w:rsidRPr="00084E9C" w:rsidRDefault="00084E9C" w:rsidP="00084E9C">
            <w:pPr>
              <w:spacing w:after="0" w:line="240" w:lineRule="auto"/>
              <w:jc w:val="right"/>
              <w:rPr>
                <w:rFonts w:eastAsia="Times New Roman" w:cs="Calibri"/>
                <w:sz w:val="20"/>
                <w:szCs w:val="20"/>
                <w:lang w:eastAsia="es-CR"/>
              </w:rPr>
            </w:pPr>
            <w:r w:rsidRPr="00084E9C">
              <w:rPr>
                <w:rFonts w:ascii="Arial" w:eastAsia="Times New Roman" w:hAnsi="Arial" w:cs="Arial"/>
                <w:sz w:val="20"/>
                <w:szCs w:val="20"/>
                <w:lang w:eastAsia="es-CR"/>
              </w:rPr>
              <w:t>₡</w:t>
            </w:r>
            <w:r w:rsidRPr="00084E9C">
              <w:rPr>
                <w:rFonts w:eastAsia="Times New Roman" w:cs="Calibri"/>
                <w:sz w:val="20"/>
                <w:szCs w:val="20"/>
                <w:lang w:eastAsia="es-CR"/>
              </w:rPr>
              <w:t>0,00</w:t>
            </w:r>
          </w:p>
        </w:tc>
        <w:tc>
          <w:tcPr>
            <w:tcW w:w="1280" w:type="dxa"/>
            <w:tcBorders>
              <w:top w:val="nil"/>
              <w:left w:val="nil"/>
              <w:bottom w:val="single" w:sz="8" w:space="0" w:color="auto"/>
              <w:right w:val="single" w:sz="8" w:space="0" w:color="auto"/>
            </w:tcBorders>
            <w:shd w:val="clear" w:color="auto" w:fill="auto"/>
            <w:noWrap/>
            <w:vAlign w:val="bottom"/>
            <w:hideMark/>
          </w:tcPr>
          <w:p w14:paraId="5AB84A81" w14:textId="77777777" w:rsidR="00084E9C" w:rsidRPr="00084E9C" w:rsidRDefault="00084E9C" w:rsidP="00084E9C">
            <w:pPr>
              <w:spacing w:after="0" w:line="240" w:lineRule="auto"/>
              <w:jc w:val="right"/>
              <w:rPr>
                <w:rFonts w:eastAsia="Times New Roman" w:cs="Calibri"/>
                <w:color w:val="000000"/>
                <w:sz w:val="20"/>
                <w:szCs w:val="20"/>
                <w:lang w:eastAsia="es-CR"/>
              </w:rPr>
            </w:pPr>
            <w:r w:rsidRPr="00084E9C">
              <w:rPr>
                <w:rFonts w:eastAsia="Times New Roman" w:cs="Calibri"/>
                <w:color w:val="000000"/>
                <w:sz w:val="20"/>
                <w:szCs w:val="20"/>
                <w:lang w:eastAsia="es-CR"/>
              </w:rPr>
              <w:t>0,00</w:t>
            </w:r>
          </w:p>
        </w:tc>
        <w:tc>
          <w:tcPr>
            <w:tcW w:w="960" w:type="dxa"/>
            <w:tcBorders>
              <w:top w:val="nil"/>
              <w:left w:val="nil"/>
              <w:bottom w:val="single" w:sz="8" w:space="0" w:color="auto"/>
              <w:right w:val="single" w:sz="8" w:space="0" w:color="auto"/>
            </w:tcBorders>
            <w:shd w:val="clear" w:color="auto" w:fill="auto"/>
            <w:noWrap/>
            <w:vAlign w:val="center"/>
            <w:hideMark/>
          </w:tcPr>
          <w:p w14:paraId="6B0F2801" w14:textId="77777777" w:rsidR="00084E9C" w:rsidRPr="00084E9C" w:rsidRDefault="00084E9C" w:rsidP="00084E9C">
            <w:pPr>
              <w:spacing w:after="0" w:line="240" w:lineRule="auto"/>
              <w:jc w:val="right"/>
              <w:rPr>
                <w:rFonts w:eastAsia="Times New Roman" w:cs="Calibri"/>
                <w:sz w:val="20"/>
                <w:szCs w:val="20"/>
                <w:lang w:eastAsia="es-CR"/>
              </w:rPr>
            </w:pPr>
            <w:r w:rsidRPr="00084E9C">
              <w:rPr>
                <w:rFonts w:eastAsia="Times New Roman" w:cs="Calibri"/>
                <w:sz w:val="20"/>
                <w:szCs w:val="20"/>
                <w:lang w:eastAsia="es-CR"/>
              </w:rPr>
              <w:t>#¡DIV/0!</w:t>
            </w:r>
          </w:p>
        </w:tc>
      </w:tr>
      <w:tr w:rsidR="00084E9C" w:rsidRPr="00084E9C" w14:paraId="272010E9" w14:textId="77777777" w:rsidTr="00084E9C">
        <w:trPr>
          <w:trHeight w:val="345"/>
        </w:trPr>
        <w:tc>
          <w:tcPr>
            <w:tcW w:w="700" w:type="dxa"/>
            <w:tcBorders>
              <w:top w:val="nil"/>
              <w:left w:val="single" w:sz="8" w:space="0" w:color="auto"/>
              <w:bottom w:val="single" w:sz="8" w:space="0" w:color="auto"/>
              <w:right w:val="single" w:sz="8" w:space="0" w:color="auto"/>
            </w:tcBorders>
            <w:shd w:val="clear" w:color="auto" w:fill="auto"/>
            <w:noWrap/>
            <w:vAlign w:val="bottom"/>
            <w:hideMark/>
          </w:tcPr>
          <w:p w14:paraId="75D43245" w14:textId="77777777" w:rsidR="00084E9C" w:rsidRPr="00084E9C" w:rsidRDefault="00084E9C" w:rsidP="00084E9C">
            <w:pPr>
              <w:spacing w:after="0" w:line="240" w:lineRule="auto"/>
              <w:jc w:val="left"/>
              <w:rPr>
                <w:rFonts w:ascii="Calibri" w:eastAsia="Times New Roman" w:hAnsi="Calibri" w:cs="Calibri"/>
                <w:color w:val="000000"/>
                <w:sz w:val="22"/>
                <w:lang w:eastAsia="es-CR"/>
              </w:rPr>
            </w:pPr>
            <w:r w:rsidRPr="00084E9C">
              <w:rPr>
                <w:rFonts w:ascii="Calibri" w:eastAsia="Times New Roman" w:hAnsi="Calibri" w:cs="Calibri"/>
                <w:color w:val="000000"/>
                <w:sz w:val="22"/>
                <w:lang w:eastAsia="es-CR"/>
              </w:rPr>
              <w:t> </w:t>
            </w:r>
          </w:p>
        </w:tc>
        <w:tc>
          <w:tcPr>
            <w:tcW w:w="1840" w:type="dxa"/>
            <w:tcBorders>
              <w:top w:val="nil"/>
              <w:left w:val="nil"/>
              <w:bottom w:val="single" w:sz="8" w:space="0" w:color="auto"/>
              <w:right w:val="nil"/>
            </w:tcBorders>
            <w:shd w:val="clear" w:color="auto" w:fill="auto"/>
            <w:noWrap/>
            <w:vAlign w:val="bottom"/>
            <w:hideMark/>
          </w:tcPr>
          <w:p w14:paraId="68997E0B" w14:textId="77777777" w:rsidR="00084E9C" w:rsidRPr="00084E9C" w:rsidRDefault="00084E9C" w:rsidP="00084E9C">
            <w:pPr>
              <w:spacing w:after="0" w:line="240" w:lineRule="auto"/>
              <w:jc w:val="center"/>
              <w:rPr>
                <w:rFonts w:eastAsia="Times New Roman" w:cs="Calibri"/>
                <w:b/>
                <w:bCs/>
                <w:color w:val="000000"/>
                <w:sz w:val="22"/>
                <w:lang w:eastAsia="es-CR"/>
              </w:rPr>
            </w:pPr>
            <w:r w:rsidRPr="00084E9C">
              <w:rPr>
                <w:rFonts w:eastAsia="Times New Roman" w:cs="Calibri"/>
                <w:b/>
                <w:bCs/>
                <w:color w:val="000000"/>
                <w:sz w:val="22"/>
                <w:lang w:eastAsia="es-CR"/>
              </w:rPr>
              <w:t>TOTALES</w:t>
            </w:r>
          </w:p>
        </w:tc>
        <w:tc>
          <w:tcPr>
            <w:tcW w:w="1100" w:type="dxa"/>
            <w:tcBorders>
              <w:top w:val="nil"/>
              <w:left w:val="single" w:sz="8" w:space="0" w:color="auto"/>
              <w:bottom w:val="single" w:sz="8" w:space="0" w:color="auto"/>
              <w:right w:val="single" w:sz="8" w:space="0" w:color="auto"/>
            </w:tcBorders>
            <w:shd w:val="clear" w:color="auto" w:fill="auto"/>
            <w:noWrap/>
            <w:vAlign w:val="bottom"/>
            <w:hideMark/>
          </w:tcPr>
          <w:p w14:paraId="63856B4C" w14:textId="77777777" w:rsidR="00084E9C" w:rsidRPr="00084E9C" w:rsidRDefault="00084E9C" w:rsidP="00084E9C">
            <w:pPr>
              <w:spacing w:after="0" w:line="240" w:lineRule="auto"/>
              <w:jc w:val="right"/>
              <w:rPr>
                <w:rFonts w:eastAsia="Times New Roman" w:cs="Calibri"/>
                <w:b/>
                <w:bCs/>
                <w:color w:val="000000"/>
                <w:sz w:val="20"/>
                <w:szCs w:val="20"/>
                <w:lang w:eastAsia="es-CR"/>
              </w:rPr>
            </w:pPr>
            <w:r w:rsidRPr="00084E9C">
              <w:rPr>
                <w:rFonts w:ascii="Arial" w:eastAsia="Times New Roman" w:hAnsi="Arial" w:cs="Arial"/>
                <w:b/>
                <w:bCs/>
                <w:color w:val="000000"/>
                <w:sz w:val="20"/>
                <w:szCs w:val="20"/>
                <w:lang w:eastAsia="es-CR"/>
              </w:rPr>
              <w:t>₡</w:t>
            </w:r>
            <w:r w:rsidRPr="00084E9C">
              <w:rPr>
                <w:rFonts w:eastAsia="Times New Roman" w:cs="Calibri"/>
                <w:b/>
                <w:bCs/>
                <w:color w:val="000000"/>
                <w:sz w:val="20"/>
                <w:szCs w:val="20"/>
                <w:lang w:eastAsia="es-CR"/>
              </w:rPr>
              <w:t>62 540,81</w:t>
            </w:r>
          </w:p>
        </w:tc>
        <w:tc>
          <w:tcPr>
            <w:tcW w:w="1280" w:type="dxa"/>
            <w:tcBorders>
              <w:top w:val="single" w:sz="8" w:space="0" w:color="auto"/>
              <w:left w:val="nil"/>
              <w:bottom w:val="single" w:sz="8" w:space="0" w:color="auto"/>
              <w:right w:val="single" w:sz="8" w:space="0" w:color="auto"/>
            </w:tcBorders>
            <w:shd w:val="clear" w:color="auto" w:fill="auto"/>
            <w:noWrap/>
            <w:vAlign w:val="bottom"/>
            <w:hideMark/>
          </w:tcPr>
          <w:p w14:paraId="107233C1" w14:textId="77777777" w:rsidR="00084E9C" w:rsidRPr="00084E9C" w:rsidRDefault="00084E9C" w:rsidP="00084E9C">
            <w:pPr>
              <w:spacing w:after="0" w:line="240" w:lineRule="auto"/>
              <w:jc w:val="right"/>
              <w:rPr>
                <w:rFonts w:eastAsia="Times New Roman" w:cs="Calibri"/>
                <w:b/>
                <w:bCs/>
                <w:color w:val="000000"/>
                <w:sz w:val="20"/>
                <w:szCs w:val="20"/>
                <w:lang w:eastAsia="es-CR"/>
              </w:rPr>
            </w:pPr>
            <w:r w:rsidRPr="00084E9C">
              <w:rPr>
                <w:rFonts w:ascii="Arial" w:eastAsia="Times New Roman" w:hAnsi="Arial" w:cs="Arial"/>
                <w:b/>
                <w:bCs/>
                <w:color w:val="000000"/>
                <w:sz w:val="20"/>
                <w:szCs w:val="20"/>
                <w:lang w:eastAsia="es-CR"/>
              </w:rPr>
              <w:t>₡</w:t>
            </w:r>
            <w:r w:rsidRPr="00084E9C">
              <w:rPr>
                <w:rFonts w:eastAsia="Times New Roman" w:cs="Calibri"/>
                <w:b/>
                <w:bCs/>
                <w:color w:val="000000"/>
                <w:sz w:val="20"/>
                <w:szCs w:val="20"/>
                <w:lang w:eastAsia="es-CR"/>
              </w:rPr>
              <w:t>66 225,25</w:t>
            </w:r>
          </w:p>
        </w:tc>
        <w:tc>
          <w:tcPr>
            <w:tcW w:w="1280" w:type="dxa"/>
            <w:tcBorders>
              <w:top w:val="nil"/>
              <w:left w:val="nil"/>
              <w:bottom w:val="single" w:sz="8" w:space="0" w:color="auto"/>
              <w:right w:val="single" w:sz="8" w:space="0" w:color="auto"/>
            </w:tcBorders>
            <w:shd w:val="clear" w:color="auto" w:fill="auto"/>
            <w:noWrap/>
            <w:vAlign w:val="bottom"/>
            <w:hideMark/>
          </w:tcPr>
          <w:p w14:paraId="0838313C" w14:textId="77777777" w:rsidR="00084E9C" w:rsidRPr="00084E9C" w:rsidRDefault="00084E9C" w:rsidP="00084E9C">
            <w:pPr>
              <w:spacing w:after="0" w:line="240" w:lineRule="auto"/>
              <w:jc w:val="right"/>
              <w:rPr>
                <w:rFonts w:eastAsia="Times New Roman" w:cs="Calibri"/>
                <w:b/>
                <w:bCs/>
                <w:color w:val="000000"/>
                <w:sz w:val="20"/>
                <w:szCs w:val="20"/>
                <w:lang w:eastAsia="es-CR"/>
              </w:rPr>
            </w:pPr>
            <w:r w:rsidRPr="00084E9C">
              <w:rPr>
                <w:rFonts w:eastAsia="Times New Roman" w:cs="Calibri"/>
                <w:b/>
                <w:bCs/>
                <w:color w:val="000000"/>
                <w:sz w:val="20"/>
                <w:szCs w:val="20"/>
                <w:lang w:eastAsia="es-CR"/>
              </w:rPr>
              <w:t>-</w:t>
            </w:r>
            <w:r w:rsidRPr="00084E9C">
              <w:rPr>
                <w:rFonts w:ascii="Arial" w:eastAsia="Times New Roman" w:hAnsi="Arial" w:cs="Arial"/>
                <w:b/>
                <w:bCs/>
                <w:color w:val="000000"/>
                <w:sz w:val="20"/>
                <w:szCs w:val="20"/>
                <w:lang w:eastAsia="es-CR"/>
              </w:rPr>
              <w:t>₡</w:t>
            </w:r>
            <w:r w:rsidRPr="00084E9C">
              <w:rPr>
                <w:rFonts w:eastAsia="Times New Roman" w:cs="Calibri"/>
                <w:b/>
                <w:bCs/>
                <w:color w:val="000000"/>
                <w:sz w:val="20"/>
                <w:szCs w:val="20"/>
                <w:lang w:eastAsia="es-CR"/>
              </w:rPr>
              <w:t>3 684,44</w:t>
            </w:r>
          </w:p>
        </w:tc>
        <w:tc>
          <w:tcPr>
            <w:tcW w:w="960" w:type="dxa"/>
            <w:tcBorders>
              <w:top w:val="nil"/>
              <w:left w:val="single" w:sz="4" w:space="0" w:color="auto"/>
              <w:bottom w:val="single" w:sz="8" w:space="0" w:color="auto"/>
              <w:right w:val="single" w:sz="8" w:space="0" w:color="auto"/>
            </w:tcBorders>
            <w:shd w:val="clear" w:color="auto" w:fill="auto"/>
            <w:noWrap/>
            <w:vAlign w:val="center"/>
            <w:hideMark/>
          </w:tcPr>
          <w:p w14:paraId="6EC56E29" w14:textId="77777777" w:rsidR="00084E9C" w:rsidRPr="00084E9C" w:rsidRDefault="00084E9C" w:rsidP="00084E9C">
            <w:pPr>
              <w:spacing w:after="0" w:line="240" w:lineRule="auto"/>
              <w:jc w:val="right"/>
              <w:rPr>
                <w:rFonts w:eastAsia="Times New Roman" w:cs="Calibri"/>
                <w:b/>
                <w:bCs/>
                <w:sz w:val="20"/>
                <w:szCs w:val="20"/>
                <w:lang w:eastAsia="es-CR"/>
              </w:rPr>
            </w:pPr>
            <w:r w:rsidRPr="00084E9C">
              <w:rPr>
                <w:rFonts w:eastAsia="Times New Roman" w:cs="Calibri"/>
                <w:b/>
                <w:bCs/>
                <w:sz w:val="20"/>
                <w:szCs w:val="20"/>
                <w:lang w:eastAsia="es-CR"/>
              </w:rPr>
              <w:t>-5,56%</w:t>
            </w:r>
          </w:p>
        </w:tc>
      </w:tr>
    </w:tbl>
    <w:p w14:paraId="357CB3D5" w14:textId="6A925E4C" w:rsidR="00692DC8" w:rsidRDefault="00692DC8" w:rsidP="007469D0">
      <w:pPr>
        <w:rPr>
          <w:rFonts w:eastAsia="Calibri"/>
          <w:szCs w:val="24"/>
        </w:rPr>
      </w:pPr>
    </w:p>
    <w:p w14:paraId="0F7D26DB" w14:textId="3E8CC109" w:rsidR="00B90104" w:rsidRDefault="00B90104" w:rsidP="007469D0">
      <w:pPr>
        <w:rPr>
          <w:rFonts w:eastAsia="Calibri"/>
          <w:szCs w:val="24"/>
        </w:rPr>
      </w:pPr>
    </w:p>
    <w:p w14:paraId="38D64911" w14:textId="77777777" w:rsidR="00B90104" w:rsidRPr="00692DC8" w:rsidRDefault="00B90104" w:rsidP="007469D0">
      <w:pPr>
        <w:rPr>
          <w:rFonts w:eastAsia="Calibri"/>
          <w:szCs w:val="24"/>
        </w:rPr>
      </w:pPr>
    </w:p>
    <w:p w14:paraId="0C0BB990" w14:textId="77777777" w:rsidR="00692DC8" w:rsidRPr="00692DC8" w:rsidRDefault="00692DC8" w:rsidP="007469D0">
      <w:pPr>
        <w:pStyle w:val="Ttulo4"/>
        <w:spacing w:after="240"/>
        <w:rPr>
          <w:rFonts w:eastAsia="Times New Roman"/>
        </w:rPr>
      </w:pPr>
      <w:bookmarkStart w:id="380" w:name="_Toc13041134"/>
      <w:bookmarkStart w:id="381" w:name="_Toc14345133"/>
      <w:bookmarkStart w:id="382" w:name="_Toc33601233"/>
      <w:bookmarkStart w:id="383" w:name="_Toc82768937"/>
      <w:bookmarkStart w:id="384" w:name="_Toc189804850"/>
      <w:r w:rsidRPr="00692DC8">
        <w:rPr>
          <w:rFonts w:eastAsia="Times New Roman"/>
        </w:rPr>
        <w:lastRenderedPageBreak/>
        <w:t>NOTA N° 17</w:t>
      </w:r>
      <w:bookmarkEnd w:id="380"/>
      <w:bookmarkEnd w:id="381"/>
      <w:bookmarkEnd w:id="382"/>
      <w:bookmarkEnd w:id="383"/>
      <w:bookmarkEnd w:id="384"/>
    </w:p>
    <w:p w14:paraId="758F34CB" w14:textId="77777777" w:rsidR="00396CB4" w:rsidRDefault="00692DC8" w:rsidP="003D12E6">
      <w:pPr>
        <w:spacing w:before="240"/>
        <w:rPr>
          <w:rFonts w:asciiTheme="minorHAnsi" w:hAnsiTheme="minorHAnsi"/>
          <w:sz w:val="22"/>
        </w:rPr>
      </w:pPr>
      <w:bookmarkStart w:id="385" w:name="_Toc82768938"/>
      <w:r w:rsidRPr="00692DC8">
        <w:rPr>
          <w:rFonts w:eastAsia="Times New Roman"/>
        </w:rPr>
        <w:t>Provisiones y reservas técnicas a corto plazo</w:t>
      </w:r>
      <w:bookmarkEnd w:id="385"/>
      <w:r w:rsidR="0029366A">
        <w:rPr>
          <w:rFonts w:eastAsiaTheme="majorEastAsia" w:cstheme="majorBidi"/>
          <w:b/>
          <w:iCs/>
          <w:lang w:eastAsia="es-CR"/>
        </w:rPr>
        <w:fldChar w:fldCharType="begin"/>
      </w:r>
      <w:r w:rsidR="0029366A">
        <w:rPr>
          <w:lang w:eastAsia="es-CR"/>
        </w:rPr>
        <w:instrText xml:space="preserve"> LINK </w:instrText>
      </w:r>
      <w:r w:rsidR="00756467">
        <w:rPr>
          <w:lang w:eastAsia="es-CR"/>
        </w:rPr>
        <w:instrText xml:space="preserve">Excel.SheetMacroEnabled.12 "C:\\Users\\gcordero\\Downloads\\Notas diciembre 2024\\Formato_Notas_EEFF_Vinculadas_2024\\Formato_Notas_EEFF_Vinculadas_2024\\15603_T04_2024_Anexo_Estado_Notas_Contables_Vinculadas.xlsm" NOTAS_POR_CUENTA!F131C1:F133C6 </w:instrText>
      </w:r>
      <w:r w:rsidR="0029366A">
        <w:rPr>
          <w:lang w:eastAsia="es-CR"/>
        </w:rPr>
        <w:instrText xml:space="preserve">\a \f 4 \h </w:instrText>
      </w:r>
      <w:r w:rsidR="0029366A">
        <w:rPr>
          <w:lang w:eastAsia="es-CR"/>
        </w:rPr>
        <w:fldChar w:fldCharType="separate"/>
      </w:r>
    </w:p>
    <w:tbl>
      <w:tblPr>
        <w:tblW w:w="9600" w:type="dxa"/>
        <w:tblCellMar>
          <w:left w:w="70" w:type="dxa"/>
          <w:right w:w="70" w:type="dxa"/>
        </w:tblCellMar>
        <w:tblLook w:val="04A0" w:firstRow="1" w:lastRow="0" w:firstColumn="1" w:lastColumn="0" w:noHBand="0" w:noVBand="1"/>
      </w:tblPr>
      <w:tblGrid>
        <w:gridCol w:w="1038"/>
        <w:gridCol w:w="2842"/>
        <w:gridCol w:w="500"/>
        <w:gridCol w:w="2100"/>
        <w:gridCol w:w="2100"/>
        <w:gridCol w:w="1020"/>
      </w:tblGrid>
      <w:tr w:rsidR="00396CB4" w:rsidRPr="00396CB4" w14:paraId="3DD12505" w14:textId="77777777" w:rsidTr="00396CB4">
        <w:trPr>
          <w:divId w:val="897933697"/>
          <w:trHeight w:val="330"/>
        </w:trPr>
        <w:tc>
          <w:tcPr>
            <w:tcW w:w="1038"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4A311F8" w14:textId="552B34A3" w:rsidR="00396CB4" w:rsidRPr="00396CB4" w:rsidRDefault="00396CB4" w:rsidP="00396CB4">
            <w:pP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2842"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EF532F4"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FB0AF01"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83696A6"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13E3D9C"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7BCE8BAB"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304AC2BB" w14:textId="77777777" w:rsidTr="00396CB4">
        <w:trPr>
          <w:divId w:val="897933697"/>
          <w:trHeight w:val="330"/>
        </w:trPr>
        <w:tc>
          <w:tcPr>
            <w:tcW w:w="1038" w:type="dxa"/>
            <w:vMerge/>
            <w:tcBorders>
              <w:top w:val="single" w:sz="8" w:space="0" w:color="auto"/>
              <w:left w:val="single" w:sz="8" w:space="0" w:color="auto"/>
              <w:bottom w:val="single" w:sz="8" w:space="0" w:color="000000"/>
              <w:right w:val="single" w:sz="8" w:space="0" w:color="auto"/>
            </w:tcBorders>
            <w:vAlign w:val="center"/>
            <w:hideMark/>
          </w:tcPr>
          <w:p w14:paraId="1B85FB13"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842" w:type="dxa"/>
            <w:vMerge/>
            <w:tcBorders>
              <w:top w:val="single" w:sz="8" w:space="0" w:color="auto"/>
              <w:left w:val="single" w:sz="8" w:space="0" w:color="auto"/>
              <w:bottom w:val="single" w:sz="8" w:space="0" w:color="000000"/>
              <w:right w:val="single" w:sz="8" w:space="0" w:color="auto"/>
            </w:tcBorders>
            <w:vAlign w:val="center"/>
            <w:hideMark/>
          </w:tcPr>
          <w:p w14:paraId="7DFDBB99"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0A12E987"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129586C9"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0D607CFA"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49A73FE3"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18E2F059" w14:textId="77777777" w:rsidTr="00396CB4">
        <w:trPr>
          <w:divId w:val="897933697"/>
          <w:trHeight w:val="555"/>
        </w:trPr>
        <w:tc>
          <w:tcPr>
            <w:tcW w:w="1038" w:type="dxa"/>
            <w:tcBorders>
              <w:top w:val="nil"/>
              <w:left w:val="single" w:sz="8" w:space="0" w:color="auto"/>
              <w:bottom w:val="single" w:sz="8" w:space="0" w:color="auto"/>
              <w:right w:val="single" w:sz="8" w:space="0" w:color="auto"/>
            </w:tcBorders>
            <w:shd w:val="clear" w:color="auto" w:fill="auto"/>
            <w:noWrap/>
            <w:vAlign w:val="center"/>
            <w:hideMark/>
          </w:tcPr>
          <w:p w14:paraId="3F1D3C8D" w14:textId="77777777" w:rsidR="00396CB4" w:rsidRPr="00396CB4" w:rsidRDefault="00396CB4" w:rsidP="00396CB4">
            <w:pPr>
              <w:spacing w:after="0" w:line="240" w:lineRule="auto"/>
              <w:rPr>
                <w:rFonts w:eastAsia="Times New Roman" w:cs="Calibri"/>
                <w:b/>
                <w:bCs/>
                <w:color w:val="000000"/>
                <w:sz w:val="18"/>
                <w:szCs w:val="18"/>
                <w:lang w:eastAsia="es-CR"/>
              </w:rPr>
            </w:pPr>
            <w:r w:rsidRPr="00396CB4">
              <w:rPr>
                <w:rFonts w:eastAsia="Times New Roman" w:cs="Calibri"/>
                <w:b/>
                <w:bCs/>
                <w:color w:val="000000"/>
                <w:sz w:val="18"/>
                <w:szCs w:val="18"/>
                <w:lang w:eastAsia="es-CR"/>
              </w:rPr>
              <w:t>2.1.4.</w:t>
            </w:r>
          </w:p>
        </w:tc>
        <w:tc>
          <w:tcPr>
            <w:tcW w:w="2842" w:type="dxa"/>
            <w:tcBorders>
              <w:top w:val="nil"/>
              <w:left w:val="nil"/>
              <w:bottom w:val="single" w:sz="8" w:space="0" w:color="auto"/>
              <w:right w:val="single" w:sz="8" w:space="0" w:color="auto"/>
            </w:tcBorders>
            <w:shd w:val="clear" w:color="auto" w:fill="auto"/>
            <w:vAlign w:val="center"/>
            <w:hideMark/>
          </w:tcPr>
          <w:p w14:paraId="5FA8C509" w14:textId="77777777" w:rsidR="00396CB4" w:rsidRPr="00396CB4" w:rsidRDefault="00396CB4" w:rsidP="00396CB4">
            <w:pPr>
              <w:spacing w:after="0" w:line="240" w:lineRule="auto"/>
              <w:rPr>
                <w:rFonts w:eastAsia="Times New Roman" w:cs="Calibri"/>
                <w:b/>
                <w:bCs/>
                <w:color w:val="000000"/>
                <w:sz w:val="18"/>
                <w:szCs w:val="18"/>
                <w:lang w:eastAsia="es-CR"/>
              </w:rPr>
            </w:pPr>
            <w:r w:rsidRPr="00396CB4">
              <w:rPr>
                <w:rFonts w:eastAsia="Times New Roman" w:cs="Calibri"/>
                <w:b/>
                <w:bCs/>
                <w:color w:val="000000"/>
                <w:sz w:val="18"/>
                <w:szCs w:val="18"/>
                <w:lang w:eastAsia="es-CR"/>
              </w:rPr>
              <w:t>Provisiones y reservas técnicas a corto plazo</w:t>
            </w:r>
          </w:p>
        </w:tc>
        <w:tc>
          <w:tcPr>
            <w:tcW w:w="500" w:type="dxa"/>
            <w:tcBorders>
              <w:top w:val="nil"/>
              <w:left w:val="nil"/>
              <w:bottom w:val="single" w:sz="8" w:space="0" w:color="auto"/>
              <w:right w:val="single" w:sz="8" w:space="0" w:color="auto"/>
            </w:tcBorders>
            <w:shd w:val="clear" w:color="auto" w:fill="auto"/>
            <w:noWrap/>
            <w:vAlign w:val="center"/>
            <w:hideMark/>
          </w:tcPr>
          <w:p w14:paraId="689BE5F9"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17</w:t>
            </w:r>
          </w:p>
        </w:tc>
        <w:tc>
          <w:tcPr>
            <w:tcW w:w="2100" w:type="dxa"/>
            <w:tcBorders>
              <w:top w:val="nil"/>
              <w:left w:val="nil"/>
              <w:bottom w:val="single" w:sz="8" w:space="0" w:color="auto"/>
              <w:right w:val="single" w:sz="8" w:space="0" w:color="auto"/>
            </w:tcBorders>
            <w:shd w:val="clear" w:color="auto" w:fill="auto"/>
            <w:noWrap/>
            <w:vAlign w:val="center"/>
            <w:hideMark/>
          </w:tcPr>
          <w:p w14:paraId="3FD27D64"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2100" w:type="dxa"/>
            <w:tcBorders>
              <w:top w:val="nil"/>
              <w:left w:val="nil"/>
              <w:bottom w:val="single" w:sz="8" w:space="0" w:color="auto"/>
              <w:right w:val="single" w:sz="8" w:space="0" w:color="auto"/>
            </w:tcBorders>
            <w:shd w:val="clear" w:color="auto" w:fill="auto"/>
            <w:noWrap/>
            <w:vAlign w:val="center"/>
            <w:hideMark/>
          </w:tcPr>
          <w:p w14:paraId="09212971"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1020" w:type="dxa"/>
            <w:tcBorders>
              <w:top w:val="nil"/>
              <w:left w:val="nil"/>
              <w:bottom w:val="single" w:sz="8" w:space="0" w:color="auto"/>
              <w:right w:val="single" w:sz="8" w:space="0" w:color="auto"/>
            </w:tcBorders>
            <w:shd w:val="clear" w:color="auto" w:fill="auto"/>
            <w:noWrap/>
            <w:vAlign w:val="center"/>
            <w:hideMark/>
          </w:tcPr>
          <w:p w14:paraId="583F8BCC"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0,00%</w:t>
            </w:r>
          </w:p>
        </w:tc>
      </w:tr>
    </w:tbl>
    <w:p w14:paraId="7F28D127" w14:textId="77777777" w:rsidR="00396CB4" w:rsidRDefault="0029366A" w:rsidP="003D12E6">
      <w:pPr>
        <w:spacing w:before="240"/>
        <w:rPr>
          <w:rFonts w:asciiTheme="minorHAnsi" w:hAnsiTheme="minorHAnsi"/>
          <w:sz w:val="22"/>
        </w:rPr>
      </w:pPr>
      <w:r>
        <w:rPr>
          <w:lang w:eastAsia="es-CR"/>
        </w:rPr>
        <w:fldChar w:fldCharType="end"/>
      </w:r>
      <w:r w:rsidR="00692DC8" w:rsidRPr="00692DC8">
        <w:rPr>
          <w:lang w:eastAsia="es-CR"/>
        </w:rPr>
        <w:t>Detalle cuenta:</w:t>
      </w:r>
      <w:r>
        <w:fldChar w:fldCharType="begin"/>
      </w:r>
      <w:r>
        <w:instrText xml:space="preserve"> LINK </w:instrText>
      </w:r>
      <w:r w:rsidR="00756467">
        <w:instrText xml:space="preserve">Excel.SheetMacroEnabled.12 "C:\\Users\\gcordero\\Downloads\\Notas diciembre 2024\\Formato_Notas_EEFF_Vinculadas_2024\\Formato_Notas_EEFF_Vinculadas_2024\\15603_T04_2024_Anexo_Estado_Notas_Contables_Vinculadas.xlsm" NOTAS_POR_CUENTA!F135C1:F137C6 </w:instrText>
      </w:r>
      <w:r>
        <w:instrText xml:space="preserve">\a \f 4 \h </w:instrText>
      </w:r>
      <w:r>
        <w:fldChar w:fldCharType="separate"/>
      </w:r>
    </w:p>
    <w:tbl>
      <w:tblPr>
        <w:tblW w:w="9600" w:type="dxa"/>
        <w:tblCellMar>
          <w:left w:w="70" w:type="dxa"/>
          <w:right w:w="70" w:type="dxa"/>
        </w:tblCellMar>
        <w:tblLook w:val="04A0" w:firstRow="1" w:lastRow="0" w:firstColumn="1" w:lastColumn="0" w:noHBand="0" w:noVBand="1"/>
      </w:tblPr>
      <w:tblGrid>
        <w:gridCol w:w="1166"/>
        <w:gridCol w:w="2714"/>
        <w:gridCol w:w="500"/>
        <w:gridCol w:w="2100"/>
        <w:gridCol w:w="2100"/>
        <w:gridCol w:w="1020"/>
      </w:tblGrid>
      <w:tr w:rsidR="00396CB4" w:rsidRPr="00396CB4" w14:paraId="6B73DE89" w14:textId="77777777" w:rsidTr="00396CB4">
        <w:trPr>
          <w:divId w:val="2090039715"/>
          <w:trHeight w:val="330"/>
        </w:trPr>
        <w:tc>
          <w:tcPr>
            <w:tcW w:w="116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CC6573D" w14:textId="4B6BBC6F" w:rsidR="00396CB4" w:rsidRPr="00396CB4" w:rsidRDefault="00396CB4" w:rsidP="00396CB4">
            <w:pP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271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00DC01C"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A8FE33E"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D0D78AC"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8DB2C56"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2B40AE85"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2AEA5B6F" w14:textId="77777777" w:rsidTr="00396CB4">
        <w:trPr>
          <w:divId w:val="2090039715"/>
          <w:trHeight w:val="330"/>
        </w:trPr>
        <w:tc>
          <w:tcPr>
            <w:tcW w:w="1166" w:type="dxa"/>
            <w:vMerge/>
            <w:tcBorders>
              <w:top w:val="single" w:sz="8" w:space="0" w:color="auto"/>
              <w:left w:val="single" w:sz="8" w:space="0" w:color="auto"/>
              <w:bottom w:val="single" w:sz="8" w:space="0" w:color="000000"/>
              <w:right w:val="single" w:sz="8" w:space="0" w:color="auto"/>
            </w:tcBorders>
            <w:vAlign w:val="center"/>
            <w:hideMark/>
          </w:tcPr>
          <w:p w14:paraId="572D0CC7"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714" w:type="dxa"/>
            <w:vMerge/>
            <w:tcBorders>
              <w:top w:val="single" w:sz="8" w:space="0" w:color="auto"/>
              <w:left w:val="single" w:sz="8" w:space="0" w:color="auto"/>
              <w:bottom w:val="single" w:sz="8" w:space="0" w:color="000000"/>
              <w:right w:val="single" w:sz="8" w:space="0" w:color="auto"/>
            </w:tcBorders>
            <w:vAlign w:val="center"/>
            <w:hideMark/>
          </w:tcPr>
          <w:p w14:paraId="7650146B"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792C3CD0"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3125DFCA"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15071556"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4BCA4C9F"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755EA84E" w14:textId="77777777" w:rsidTr="00396CB4">
        <w:trPr>
          <w:divId w:val="2090039715"/>
          <w:trHeight w:val="330"/>
        </w:trPr>
        <w:tc>
          <w:tcPr>
            <w:tcW w:w="1166" w:type="dxa"/>
            <w:tcBorders>
              <w:top w:val="nil"/>
              <w:left w:val="single" w:sz="8" w:space="0" w:color="auto"/>
              <w:bottom w:val="single" w:sz="8" w:space="0" w:color="auto"/>
              <w:right w:val="single" w:sz="8" w:space="0" w:color="auto"/>
            </w:tcBorders>
            <w:shd w:val="clear" w:color="auto" w:fill="auto"/>
            <w:noWrap/>
            <w:vAlign w:val="center"/>
            <w:hideMark/>
          </w:tcPr>
          <w:p w14:paraId="7BC28BD6" w14:textId="77777777" w:rsidR="00396CB4" w:rsidRPr="00396CB4" w:rsidRDefault="00396CB4" w:rsidP="00396CB4">
            <w:pPr>
              <w:spacing w:after="0" w:line="240" w:lineRule="auto"/>
              <w:rPr>
                <w:rFonts w:eastAsia="Times New Roman" w:cs="Calibri"/>
                <w:b/>
                <w:bCs/>
                <w:color w:val="000000"/>
                <w:sz w:val="18"/>
                <w:szCs w:val="18"/>
                <w:lang w:eastAsia="es-CR"/>
              </w:rPr>
            </w:pPr>
            <w:r w:rsidRPr="00396CB4">
              <w:rPr>
                <w:rFonts w:eastAsia="Times New Roman" w:cs="Calibri"/>
                <w:b/>
                <w:bCs/>
                <w:color w:val="000000"/>
                <w:sz w:val="18"/>
                <w:szCs w:val="18"/>
                <w:lang w:eastAsia="es-CR"/>
              </w:rPr>
              <w:t>2.1.4.01.</w:t>
            </w:r>
          </w:p>
        </w:tc>
        <w:tc>
          <w:tcPr>
            <w:tcW w:w="2714" w:type="dxa"/>
            <w:tcBorders>
              <w:top w:val="nil"/>
              <w:left w:val="nil"/>
              <w:bottom w:val="single" w:sz="8" w:space="0" w:color="auto"/>
              <w:right w:val="single" w:sz="8" w:space="0" w:color="auto"/>
            </w:tcBorders>
            <w:shd w:val="clear" w:color="auto" w:fill="auto"/>
            <w:vAlign w:val="center"/>
            <w:hideMark/>
          </w:tcPr>
          <w:p w14:paraId="717B7AC3" w14:textId="77777777" w:rsidR="00396CB4" w:rsidRPr="00396CB4" w:rsidRDefault="00396CB4" w:rsidP="00396CB4">
            <w:pPr>
              <w:spacing w:after="0" w:line="240" w:lineRule="auto"/>
              <w:rPr>
                <w:rFonts w:eastAsia="Times New Roman" w:cs="Calibri"/>
                <w:b/>
                <w:bCs/>
                <w:color w:val="000000"/>
                <w:sz w:val="18"/>
                <w:szCs w:val="18"/>
                <w:lang w:eastAsia="es-CR"/>
              </w:rPr>
            </w:pPr>
            <w:r w:rsidRPr="00396CB4">
              <w:rPr>
                <w:rFonts w:eastAsia="Times New Roman" w:cs="Calibri"/>
                <w:b/>
                <w:bCs/>
                <w:color w:val="000000"/>
                <w:sz w:val="18"/>
                <w:szCs w:val="18"/>
                <w:lang w:eastAsia="es-CR"/>
              </w:rPr>
              <w:t>Provisiones a corto plazo</w:t>
            </w:r>
          </w:p>
        </w:tc>
        <w:tc>
          <w:tcPr>
            <w:tcW w:w="500" w:type="dxa"/>
            <w:tcBorders>
              <w:top w:val="nil"/>
              <w:left w:val="nil"/>
              <w:bottom w:val="single" w:sz="8" w:space="0" w:color="auto"/>
              <w:right w:val="single" w:sz="8" w:space="0" w:color="auto"/>
            </w:tcBorders>
            <w:shd w:val="clear" w:color="auto" w:fill="auto"/>
            <w:noWrap/>
            <w:vAlign w:val="center"/>
            <w:hideMark/>
          </w:tcPr>
          <w:p w14:paraId="29218BF1"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17</w:t>
            </w:r>
          </w:p>
        </w:tc>
        <w:tc>
          <w:tcPr>
            <w:tcW w:w="2100" w:type="dxa"/>
            <w:tcBorders>
              <w:top w:val="nil"/>
              <w:left w:val="nil"/>
              <w:bottom w:val="single" w:sz="8" w:space="0" w:color="auto"/>
              <w:right w:val="single" w:sz="8" w:space="0" w:color="auto"/>
            </w:tcBorders>
            <w:shd w:val="clear" w:color="auto" w:fill="auto"/>
            <w:noWrap/>
            <w:vAlign w:val="center"/>
            <w:hideMark/>
          </w:tcPr>
          <w:p w14:paraId="07027532"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2100" w:type="dxa"/>
            <w:tcBorders>
              <w:top w:val="nil"/>
              <w:left w:val="nil"/>
              <w:bottom w:val="single" w:sz="8" w:space="0" w:color="auto"/>
              <w:right w:val="single" w:sz="8" w:space="0" w:color="auto"/>
            </w:tcBorders>
            <w:shd w:val="clear" w:color="auto" w:fill="auto"/>
            <w:noWrap/>
            <w:vAlign w:val="center"/>
            <w:hideMark/>
          </w:tcPr>
          <w:p w14:paraId="0456AE13"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1020" w:type="dxa"/>
            <w:tcBorders>
              <w:top w:val="nil"/>
              <w:left w:val="nil"/>
              <w:bottom w:val="single" w:sz="8" w:space="0" w:color="auto"/>
              <w:right w:val="single" w:sz="8" w:space="0" w:color="auto"/>
            </w:tcBorders>
            <w:shd w:val="clear" w:color="auto" w:fill="auto"/>
            <w:noWrap/>
            <w:vAlign w:val="center"/>
            <w:hideMark/>
          </w:tcPr>
          <w:p w14:paraId="0C60B724"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0,00%</w:t>
            </w:r>
          </w:p>
        </w:tc>
      </w:tr>
    </w:tbl>
    <w:p w14:paraId="3325441F" w14:textId="10A5E5CB" w:rsidR="00692DC8" w:rsidRPr="00692DC8" w:rsidRDefault="0029366A" w:rsidP="003D12E6">
      <w:pPr>
        <w:spacing w:before="240"/>
      </w:pPr>
      <w:r>
        <w:fldChar w:fldCharType="end"/>
      </w:r>
      <w:r w:rsidR="00692DC8" w:rsidRPr="00692DC8">
        <w:t>Indicar el detalle de cómo está compuesta la cuenta:</w:t>
      </w:r>
    </w:p>
    <w:p w14:paraId="6FF0274C" w14:textId="22305F3D" w:rsidR="00692DC8" w:rsidRPr="00692DC8" w:rsidRDefault="00692DC8" w:rsidP="003D12E6">
      <w:pPr>
        <w:rPr>
          <w:rFonts w:eastAsia="Times New Roman"/>
          <w:lang w:eastAsia="es-CR"/>
        </w:rPr>
      </w:pPr>
      <w:r w:rsidRPr="00692DC8">
        <w:rPr>
          <w:rFonts w:eastAsia="Times New Roman"/>
          <w:lang w:eastAsia="es-CR"/>
        </w:rPr>
        <w:t>________________________________________________________________________________________________________________________________________________________________________________________________________________________________________________</w:t>
      </w:r>
    </w:p>
    <w:p w14:paraId="36957A28" w14:textId="1288DB60" w:rsidR="00084E9C" w:rsidRDefault="00084E9C" w:rsidP="00DE2C82">
      <w:pPr>
        <w:rPr>
          <w:b/>
          <w:bCs/>
          <w:lang w:val="es-ES"/>
        </w:rPr>
      </w:pPr>
      <w:bookmarkStart w:id="386" w:name="_Toc13041137"/>
      <w:bookmarkStart w:id="387" w:name="_Toc14345136"/>
      <w:bookmarkStart w:id="388" w:name="_Toc33601235"/>
    </w:p>
    <w:p w14:paraId="3FB1FF33" w14:textId="77777777" w:rsidR="00396CB4" w:rsidRPr="00396CB4" w:rsidRDefault="000B0873" w:rsidP="00DE2C82">
      <w:pPr>
        <w:rPr>
          <w:sz w:val="20"/>
          <w:szCs w:val="20"/>
          <w:lang w:eastAsia="es-CR"/>
        </w:rPr>
      </w:pPr>
      <w:r>
        <w:rPr>
          <w:b/>
          <w:bCs/>
          <w:lang w:val="es-ES"/>
        </w:rPr>
        <w:t>R</w:t>
      </w:r>
      <w:r w:rsidR="00692DC8" w:rsidRPr="00692DC8">
        <w:rPr>
          <w:b/>
          <w:bCs/>
          <w:lang w:val="es-ES"/>
        </w:rPr>
        <w:t>evelación</w:t>
      </w:r>
      <w:r w:rsidR="00692DC8" w:rsidRPr="00692DC8">
        <w:rPr>
          <w:lang w:val="es-ES"/>
        </w:rPr>
        <w:t xml:space="preserve">: </w:t>
      </w:r>
      <w:r w:rsidR="00DE2C82">
        <w:rPr>
          <w:rFonts w:eastAsia="Times New Roman" w:cs="Calibri"/>
          <w:color w:val="000000"/>
          <w:lang w:eastAsia="es-CR"/>
        </w:rPr>
        <w:fldChar w:fldCharType="begin"/>
      </w:r>
      <w:r w:rsidR="00DE2C82">
        <w:rPr>
          <w:rFonts w:eastAsia="Times New Roman" w:cs="Calibri"/>
          <w:color w:val="000000"/>
          <w:lang w:eastAsia="es-CR"/>
        </w:rPr>
        <w:instrText xml:space="preserve"> LINK </w:instrText>
      </w:r>
      <w:r w:rsidR="00756467">
        <w:rPr>
          <w:rFonts w:eastAsia="Times New Roman" w:cs="Calibri"/>
          <w:color w:val="000000"/>
          <w:lang w:eastAsia="es-CR"/>
        </w:rPr>
        <w:instrText xml:space="preserve">Excel.SheetMacroEnabled.12 "C:\\Users\\gcordero\\Downloads\\Notas diciembre 2024\\Formato_Notas_EEFF_Vinculadas_2024\\Formato_Notas_EEFF_Vinculadas_2024\\15603_T04_2024_Anexo_Estado_Notas_Contables_Vinculadas.xlsm" NOTAS_POR_CUENTA!F133C8 </w:instrText>
      </w:r>
      <w:r w:rsidR="00DE2C82">
        <w:rPr>
          <w:rFonts w:eastAsia="Times New Roman" w:cs="Calibri"/>
          <w:color w:val="000000"/>
          <w:lang w:eastAsia="es-CR"/>
        </w:rPr>
        <w:instrText xml:space="preserve">\a \f 5 \h  \* MERGEFORMAT </w:instrText>
      </w:r>
      <w:r w:rsidR="00DE2C82">
        <w:rPr>
          <w:rFonts w:eastAsia="Times New Roman" w:cs="Calibri"/>
          <w:color w:val="000000"/>
          <w:lang w:eastAsia="es-CR"/>
        </w:rPr>
        <w:fldChar w:fldCharType="separate"/>
      </w:r>
    </w:p>
    <w:p w14:paraId="247F3F28" w14:textId="77777777" w:rsidR="00396CB4" w:rsidRPr="00396CB4" w:rsidRDefault="00396CB4" w:rsidP="00396CB4">
      <w:pPr>
        <w:rPr>
          <w:rFonts w:eastAsia="Times New Roman" w:cs="Calibri"/>
          <w:color w:val="000000"/>
          <w:lang w:eastAsia="es-CR"/>
        </w:rPr>
      </w:pPr>
      <w:r w:rsidRPr="00396CB4">
        <w:rPr>
          <w:rFonts w:eastAsia="Times New Roman" w:cs="Calibri"/>
          <w:color w:val="000000"/>
          <w:lang w:eastAsia="es-CR"/>
        </w:rPr>
        <w:t>La cuenta Provisiones y reservas técnicas a corto plazo, representa el 0,00% del total del Pasivo, que comparado al periodo anterior genera una variación absoluta de 0 000,00 que corresponde a un Aumento del 0,00% de recursos disponibles.</w:t>
      </w:r>
    </w:p>
    <w:p w14:paraId="3CDA818B" w14:textId="7243A2FE" w:rsidR="00692DC8" w:rsidRPr="00692DC8" w:rsidRDefault="00DE2C82" w:rsidP="00DE2C82">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021153A6" w14:textId="77777777" w:rsidR="000B0873" w:rsidRDefault="000B0873" w:rsidP="000B0873">
      <w:pPr>
        <w:spacing w:after="0" w:line="240" w:lineRule="auto"/>
      </w:pPr>
      <w:r>
        <w:t xml:space="preserve">Al respecto, debe indicarse que a la fecha de cierre de estos estados financieros no se recibió de Recursos Humanos la información requerida para registrar lo correspondiente a provisiones por beneficios a empleados. </w:t>
      </w:r>
    </w:p>
    <w:p w14:paraId="6DC2B0D0" w14:textId="77777777" w:rsidR="000B0873" w:rsidRDefault="000B0873" w:rsidP="000B0873">
      <w:pPr>
        <w:spacing w:after="0" w:line="240" w:lineRule="auto"/>
      </w:pPr>
    </w:p>
    <w:p w14:paraId="61061907" w14:textId="77777777" w:rsidR="000B0873" w:rsidRDefault="000B0873" w:rsidP="000B0873">
      <w:pPr>
        <w:autoSpaceDE w:val="0"/>
        <w:autoSpaceDN w:val="0"/>
        <w:adjustRightInd w:val="0"/>
        <w:spacing w:after="0" w:line="240" w:lineRule="auto"/>
      </w:pPr>
      <w:r>
        <w:t xml:space="preserve">En relación con los activos y pasivos contingentes mediante oficio AJMBA/106-2024 el Asesor Jurídico Municipal indicó que en el caso del </w:t>
      </w:r>
      <w:r w:rsidRPr="007D2929">
        <w:t>RECLAMO ADMINISTRATIVO DE LA EMPRESA PINDECO, el mismo se ha venido manejando bajo la figura de la conciliación, ya se entregó la propuesta por parte de la administración, ya se recibió respuesta, se tomó un acuerdo y está pendiente de ser plasmado y acordado el sistema de pagos con la empresa, mediante documento de transacción debidamente autorizado y aprobado por el Concejo Mu</w:t>
      </w:r>
      <w:r>
        <w:t>nicipal, pero no se consigna el monto para su reconocimiento.</w:t>
      </w:r>
    </w:p>
    <w:p w14:paraId="41FAFDA1" w14:textId="77777777" w:rsidR="000B0873" w:rsidRDefault="000B0873" w:rsidP="000B0873">
      <w:pPr>
        <w:autoSpaceDE w:val="0"/>
        <w:autoSpaceDN w:val="0"/>
        <w:adjustRightInd w:val="0"/>
        <w:spacing w:after="0" w:line="240" w:lineRule="auto"/>
      </w:pPr>
    </w:p>
    <w:p w14:paraId="54E0EC65" w14:textId="77777777" w:rsidR="000B0873" w:rsidRDefault="000B0873" w:rsidP="000B0873">
      <w:pPr>
        <w:autoSpaceDE w:val="0"/>
        <w:autoSpaceDN w:val="0"/>
        <w:adjustRightInd w:val="0"/>
        <w:spacing w:after="0" w:line="240" w:lineRule="auto"/>
      </w:pPr>
      <w:r>
        <w:lastRenderedPageBreak/>
        <w:t xml:space="preserve">En adición, debe señalarse que, de acuerdo con la información existente en los archivos municipales, </w:t>
      </w:r>
      <w:r w:rsidRPr="00DA2D7E">
        <w:t xml:space="preserve">el 6 de mayo del 2022 el señor </w:t>
      </w:r>
      <w:r>
        <w:t>A</w:t>
      </w:r>
      <w:r w:rsidRPr="00DA2D7E">
        <w:t xml:space="preserve">lcalde remite a la Comisión de deuda </w:t>
      </w:r>
      <w:r>
        <w:t>P</w:t>
      </w:r>
      <w:r w:rsidRPr="00DA2D7E">
        <w:t xml:space="preserve">INDECO </w:t>
      </w:r>
      <w:r>
        <w:t xml:space="preserve">la </w:t>
      </w:r>
      <w:r w:rsidRPr="00DA2D7E">
        <w:t xml:space="preserve">propuesta para el pago de deuda, </w:t>
      </w:r>
      <w:r>
        <w:t xml:space="preserve">mediante </w:t>
      </w:r>
      <w:r w:rsidRPr="00DA2D7E">
        <w:t xml:space="preserve">documento con fecha de recibido 09 </w:t>
      </w:r>
      <w:r>
        <w:t xml:space="preserve">de mayo de </w:t>
      </w:r>
      <w:r w:rsidRPr="00DA2D7E">
        <w:t>2022 por el Consejo Municipal</w:t>
      </w:r>
      <w:r>
        <w:t>.</w:t>
      </w:r>
    </w:p>
    <w:p w14:paraId="53D9AF8A" w14:textId="77777777" w:rsidR="000B0873" w:rsidRPr="00DA2D7E" w:rsidRDefault="000B0873" w:rsidP="000B0873">
      <w:pPr>
        <w:autoSpaceDE w:val="0"/>
        <w:autoSpaceDN w:val="0"/>
        <w:adjustRightInd w:val="0"/>
        <w:spacing w:after="0" w:line="240" w:lineRule="auto"/>
      </w:pPr>
    </w:p>
    <w:p w14:paraId="61301A98" w14:textId="77777777" w:rsidR="000B0873" w:rsidRDefault="000B0873" w:rsidP="000B0873">
      <w:pPr>
        <w:autoSpaceDE w:val="0"/>
        <w:autoSpaceDN w:val="0"/>
        <w:adjustRightInd w:val="0"/>
        <w:spacing w:after="0" w:line="240" w:lineRule="auto"/>
      </w:pPr>
      <w:r w:rsidRPr="00DA2D7E">
        <w:t>En</w:t>
      </w:r>
      <w:r>
        <w:t xml:space="preserve"> dicho</w:t>
      </w:r>
      <w:r w:rsidRPr="00DA2D7E">
        <w:t xml:space="preserve"> documento se indica que dado que existe una deuda sobre principal de los periodos 2006-2007-2008 2009 por un monto de </w:t>
      </w:r>
      <w:r w:rsidRPr="00B90104">
        <w:rPr>
          <w:rFonts w:ascii="Arial" w:hAnsi="Arial" w:cs="Arial"/>
        </w:rPr>
        <w:t>₡</w:t>
      </w:r>
      <w:r w:rsidRPr="00B90104">
        <w:t xml:space="preserve">179.024.767 se propone que PINDECO haga renuncia expresa sobre de las costas e intereses y que por su parte la municipalidad se compromete a pagar en el periodo 2022 la suma de </w:t>
      </w:r>
      <w:r w:rsidRPr="00B90104">
        <w:rPr>
          <w:rFonts w:ascii="Arial" w:hAnsi="Arial" w:cs="Arial"/>
        </w:rPr>
        <w:t>₡</w:t>
      </w:r>
      <w:r w:rsidRPr="00B90104">
        <w:t xml:space="preserve">50.000.000 y que sobre el saldo de </w:t>
      </w:r>
      <w:r w:rsidRPr="00B90104">
        <w:rPr>
          <w:rFonts w:ascii="Arial" w:hAnsi="Arial" w:cs="Arial"/>
        </w:rPr>
        <w:t>₡</w:t>
      </w:r>
      <w:r w:rsidRPr="00B90104">
        <w:t xml:space="preserve">129.024.767 restante, se asume el compromiso de pagar en dos tractos en los años 2023 y 2024 cada uno por la suma de </w:t>
      </w:r>
      <w:r w:rsidRPr="00B90104">
        <w:rPr>
          <w:rFonts w:ascii="Arial" w:hAnsi="Arial" w:cs="Arial"/>
        </w:rPr>
        <w:t>₡</w:t>
      </w:r>
      <w:r w:rsidRPr="00B90104">
        <w:t>64.512.383.50. Dicha propuesta fue analizada y transferida por parte de la Comisión de deuda PINDECO al Concejo Municipal.</w:t>
      </w:r>
    </w:p>
    <w:p w14:paraId="0D7934C7" w14:textId="77777777" w:rsidR="000B0873" w:rsidRPr="00DA2D7E" w:rsidRDefault="000B0873" w:rsidP="000B0873">
      <w:pPr>
        <w:autoSpaceDE w:val="0"/>
        <w:autoSpaceDN w:val="0"/>
        <w:adjustRightInd w:val="0"/>
        <w:spacing w:after="0" w:line="240" w:lineRule="auto"/>
      </w:pPr>
    </w:p>
    <w:p w14:paraId="7DEA7DEC" w14:textId="77777777" w:rsidR="000B0873" w:rsidRPr="00DA2D7E" w:rsidRDefault="000B0873" w:rsidP="000B0873">
      <w:pPr>
        <w:autoSpaceDE w:val="0"/>
        <w:autoSpaceDN w:val="0"/>
        <w:adjustRightInd w:val="0"/>
        <w:spacing w:after="0" w:line="240" w:lineRule="auto"/>
      </w:pPr>
      <w:r w:rsidRPr="00DA2D7E">
        <w:t>Mediante el Oficio MBA-SCM 2020-2024-O-0369-2022 del 26 de mayo del 2022 el Concejo remite acuerdo tomado en Sesión Ordinaria 107- 2022, celebrada el 23 de mayo del 2022 que en letra dice: Con vista en el Dictamen de la Comisión Municipal de la deuda PINDECO</w:t>
      </w:r>
      <w:r>
        <w:t>,</w:t>
      </w:r>
      <w:r w:rsidRPr="00DA2D7E">
        <w:t xml:space="preserve"> se procede a acoger la recomendación para autorizar a la Administración para que presente la propuesta a la Compañía PINDECO.</w:t>
      </w:r>
      <w:r>
        <w:t xml:space="preserve"> </w:t>
      </w:r>
      <w:r w:rsidRPr="00DA2D7E">
        <w:t>Mediante Oficio AMBA-397-2022 con fecha 25 de agosto del 2022</w:t>
      </w:r>
      <w:r>
        <w:t>,</w:t>
      </w:r>
      <w:r w:rsidRPr="00DA2D7E">
        <w:t xml:space="preserve"> se le envía nota al Señor Ing. Luis Arias Hidalgo por parte del señor </w:t>
      </w:r>
      <w:r>
        <w:t>Al</w:t>
      </w:r>
      <w:r w:rsidRPr="00DA2D7E">
        <w:t>calde donde se le indica el acuerdo antes citado.</w:t>
      </w:r>
    </w:p>
    <w:p w14:paraId="27EDB974" w14:textId="77777777" w:rsidR="000B0873" w:rsidRPr="00DA2D7E" w:rsidRDefault="000B0873" w:rsidP="000B0873">
      <w:pPr>
        <w:autoSpaceDE w:val="0"/>
        <w:autoSpaceDN w:val="0"/>
        <w:adjustRightInd w:val="0"/>
        <w:spacing w:after="0" w:line="240" w:lineRule="auto"/>
      </w:pPr>
    </w:p>
    <w:p w14:paraId="65F04E36" w14:textId="77777777" w:rsidR="000B0873" w:rsidRPr="00DA2D7E" w:rsidRDefault="000B0873" w:rsidP="000B0873">
      <w:pPr>
        <w:autoSpaceDE w:val="0"/>
        <w:autoSpaceDN w:val="0"/>
        <w:adjustRightInd w:val="0"/>
        <w:spacing w:after="0" w:line="240" w:lineRule="auto"/>
      </w:pPr>
      <w:r w:rsidRPr="00DA2D7E">
        <w:t xml:space="preserve">En el 19 de diciembre del 2022 dado que no había respuesta por parte de PINDECO sobre el acuerdo </w:t>
      </w:r>
      <w:r w:rsidRPr="00CC07E6">
        <w:t xml:space="preserve">tomado y la nota enviada, se procedió con autorización del señor Alcalde mediante Oficio OFICIO-AMBA-577-2022 a depositar la suma de ¢50.000.000 quedando pendiente de cancelar la suma de </w:t>
      </w:r>
      <w:r w:rsidRPr="00CC07E6">
        <w:rPr>
          <w:rFonts w:ascii="Arial" w:hAnsi="Arial" w:cs="Arial"/>
        </w:rPr>
        <w:t>₡</w:t>
      </w:r>
      <w:r w:rsidRPr="00CC07E6">
        <w:t xml:space="preserve">129.024.767,00 (principal </w:t>
      </w:r>
      <w:r w:rsidRPr="00CC07E6">
        <w:rPr>
          <w:rFonts w:ascii="Arial" w:hAnsi="Arial" w:cs="Arial"/>
        </w:rPr>
        <w:t>₡</w:t>
      </w:r>
      <w:r w:rsidRPr="00CC07E6">
        <w:t xml:space="preserve">179.024.767 menos abono </w:t>
      </w:r>
      <w:r w:rsidRPr="00CC07E6">
        <w:rPr>
          <w:rFonts w:ascii="Arial" w:hAnsi="Arial" w:cs="Arial"/>
        </w:rPr>
        <w:t>₡</w:t>
      </w:r>
      <w:r w:rsidRPr="00CC07E6">
        <w:t>50 000,00).</w:t>
      </w:r>
    </w:p>
    <w:p w14:paraId="4EF55ADD" w14:textId="77777777" w:rsidR="000B0873" w:rsidRPr="00DA2D7E" w:rsidRDefault="000B0873" w:rsidP="000B0873">
      <w:pPr>
        <w:autoSpaceDE w:val="0"/>
        <w:autoSpaceDN w:val="0"/>
        <w:adjustRightInd w:val="0"/>
        <w:spacing w:after="0" w:line="240" w:lineRule="auto"/>
      </w:pPr>
    </w:p>
    <w:p w14:paraId="35ABA3AE" w14:textId="77777777" w:rsidR="000B0873" w:rsidRPr="00DA2D7E" w:rsidRDefault="000B0873" w:rsidP="000B0873">
      <w:pPr>
        <w:autoSpaceDE w:val="0"/>
        <w:autoSpaceDN w:val="0"/>
        <w:adjustRightInd w:val="0"/>
        <w:spacing w:after="0" w:line="240" w:lineRule="auto"/>
      </w:pPr>
      <w:r w:rsidRPr="00DA2D7E">
        <w:t xml:space="preserve">En fecha 27 de Julio del 2023 se recibe por parte de la Cía. PINDECO documento sin número de oficio dirigido al señor José Rojas donde nos indican que mantienen la posición de condonar los intereses, pero no así el rubro por los gastos legales administrativos que serían por un monto de </w:t>
      </w:r>
      <w:r w:rsidRPr="00C5183A">
        <w:rPr>
          <w:rFonts w:ascii="Arial" w:hAnsi="Arial" w:cs="Arial"/>
        </w:rPr>
        <w:t>₡</w:t>
      </w:r>
      <w:r w:rsidRPr="00DA2D7E">
        <w:t>61.000.000</w:t>
      </w:r>
      <w:r>
        <w:t>,00</w:t>
      </w:r>
      <w:r w:rsidRPr="00DA2D7E">
        <w:t>.</w:t>
      </w:r>
    </w:p>
    <w:p w14:paraId="14B32A6C" w14:textId="77777777" w:rsidR="000B0873" w:rsidRPr="00DA2D7E" w:rsidRDefault="000B0873" w:rsidP="000B0873">
      <w:pPr>
        <w:autoSpaceDE w:val="0"/>
        <w:autoSpaceDN w:val="0"/>
        <w:adjustRightInd w:val="0"/>
        <w:spacing w:after="0" w:line="240" w:lineRule="auto"/>
      </w:pPr>
    </w:p>
    <w:p w14:paraId="386F2D67" w14:textId="77777777" w:rsidR="000B0873" w:rsidRPr="00DA2D7E" w:rsidRDefault="000B0873" w:rsidP="000B0873">
      <w:pPr>
        <w:autoSpaceDE w:val="0"/>
        <w:autoSpaceDN w:val="0"/>
        <w:adjustRightInd w:val="0"/>
        <w:spacing w:after="0" w:line="240" w:lineRule="auto"/>
      </w:pPr>
      <w:r w:rsidRPr="00DA2D7E">
        <w:t xml:space="preserve">Mediante acuerdo de Sesión Extraordinaria 66-2023 del 27 de octubre del 2024 el </w:t>
      </w:r>
      <w:r>
        <w:t>C</w:t>
      </w:r>
      <w:r w:rsidRPr="00DA2D7E">
        <w:t xml:space="preserve">oncejo </w:t>
      </w:r>
      <w:r>
        <w:t>i</w:t>
      </w:r>
      <w:r w:rsidRPr="00DA2D7E">
        <w:t xml:space="preserve">ndica estar de acuerdo en pagar los gastos administrativos por la suma de </w:t>
      </w:r>
      <w:r w:rsidRPr="00C5183A">
        <w:rPr>
          <w:rFonts w:ascii="Arial" w:hAnsi="Arial" w:cs="Arial"/>
        </w:rPr>
        <w:t>₡</w:t>
      </w:r>
      <w:r w:rsidRPr="00DA2D7E">
        <w:t>61.000.000</w:t>
      </w:r>
      <w:r>
        <w:t>,00</w:t>
      </w:r>
      <w:r w:rsidRPr="00DA2D7E">
        <w:t>.</w:t>
      </w:r>
      <w:r>
        <w:t xml:space="preserve"> </w:t>
      </w:r>
      <w:r w:rsidRPr="00DA2D7E">
        <w:t>A</w:t>
      </w:r>
      <w:r>
        <w:t>si</w:t>
      </w:r>
      <w:r w:rsidRPr="00DA2D7E">
        <w:t>mismo</w:t>
      </w:r>
      <w:r>
        <w:t>,</w:t>
      </w:r>
      <w:r w:rsidRPr="00DA2D7E">
        <w:t xml:space="preserve"> en dicha sesión también se ac</w:t>
      </w:r>
      <w:r>
        <w:t>o</w:t>
      </w:r>
      <w:r w:rsidRPr="00DA2D7E">
        <w:t>rd</w:t>
      </w:r>
      <w:r>
        <w:t>ó</w:t>
      </w:r>
      <w:r w:rsidRPr="00DA2D7E">
        <w:t xml:space="preserve"> delegar al señor Alcalde para que negoci</w:t>
      </w:r>
      <w:r>
        <w:t>ara</w:t>
      </w:r>
      <w:r w:rsidRPr="00DA2D7E">
        <w:t xml:space="preserve"> la modalidad de pago sobre la deuda del periodo 2006 a 2009 y presentarlo ante el </w:t>
      </w:r>
      <w:r>
        <w:t>C</w:t>
      </w:r>
      <w:r w:rsidRPr="00DA2D7E">
        <w:t>oncejo.</w:t>
      </w:r>
      <w:r>
        <w:t xml:space="preserve"> </w:t>
      </w:r>
      <w:r w:rsidRPr="00DA2D7E">
        <w:t xml:space="preserve">Así las cosas, según este último acuerdo el monto de la deuda </w:t>
      </w:r>
      <w:r>
        <w:t>asciende a</w:t>
      </w:r>
      <w:r w:rsidRPr="00DA2D7E">
        <w:t xml:space="preserve"> </w:t>
      </w:r>
      <w:r w:rsidRPr="00C5183A">
        <w:rPr>
          <w:rFonts w:ascii="Arial" w:hAnsi="Arial" w:cs="Arial"/>
        </w:rPr>
        <w:t>₡</w:t>
      </w:r>
      <w:r w:rsidRPr="00DA2D7E">
        <w:t>190.024.767.00</w:t>
      </w:r>
    </w:p>
    <w:p w14:paraId="1C2D9CCA" w14:textId="77777777" w:rsidR="000B0873" w:rsidRPr="00DA2D7E" w:rsidRDefault="000B0873" w:rsidP="000B0873">
      <w:pPr>
        <w:autoSpaceDE w:val="0"/>
        <w:autoSpaceDN w:val="0"/>
        <w:adjustRightInd w:val="0"/>
        <w:spacing w:after="0" w:line="240" w:lineRule="auto"/>
      </w:pPr>
    </w:p>
    <w:p w14:paraId="1CE4B917" w14:textId="006C441B" w:rsidR="000B0873" w:rsidRDefault="000B0873" w:rsidP="000B0873">
      <w:pPr>
        <w:autoSpaceDE w:val="0"/>
        <w:autoSpaceDN w:val="0"/>
        <w:adjustRightInd w:val="0"/>
        <w:spacing w:after="0" w:line="240" w:lineRule="auto"/>
      </w:pPr>
      <w:r w:rsidRPr="00DA2D7E">
        <w:t xml:space="preserve">En fecha 27 de febrero del 2024 se realizó </w:t>
      </w:r>
      <w:r>
        <w:t xml:space="preserve">un </w:t>
      </w:r>
      <w:r w:rsidRPr="00DA2D7E">
        <w:t xml:space="preserve">depósito por la suma de </w:t>
      </w:r>
      <w:r w:rsidRPr="00C5183A">
        <w:rPr>
          <w:rFonts w:ascii="Arial" w:hAnsi="Arial" w:cs="Arial"/>
        </w:rPr>
        <w:t>₡</w:t>
      </w:r>
      <w:r w:rsidRPr="00DA2D7E">
        <w:t xml:space="preserve">50.000.000 correspondiente a la cuota del periodo 2023, </w:t>
      </w:r>
      <w:r>
        <w:t>con lo cual</w:t>
      </w:r>
      <w:r w:rsidRPr="00DA2D7E">
        <w:t xml:space="preserve"> la deuda </w:t>
      </w:r>
      <w:r>
        <w:t>se redujo a</w:t>
      </w:r>
      <w:r w:rsidRPr="00DA2D7E">
        <w:t xml:space="preserve"> </w:t>
      </w:r>
      <w:r w:rsidRPr="00C5183A">
        <w:rPr>
          <w:rFonts w:ascii="Arial" w:hAnsi="Arial" w:cs="Arial"/>
        </w:rPr>
        <w:t>₡</w:t>
      </w:r>
      <w:r w:rsidRPr="00DA2D7E">
        <w:t>140.024.767</w:t>
      </w:r>
      <w:r>
        <w:t>,00</w:t>
      </w:r>
      <w:r w:rsidRPr="00DA2D7E">
        <w:t>.</w:t>
      </w:r>
      <w:r>
        <w:t xml:space="preserve"> Al respecto, </w:t>
      </w:r>
      <w:r w:rsidRPr="00DA2D7E">
        <w:t xml:space="preserve">el señor </w:t>
      </w:r>
      <w:r>
        <w:t>A</w:t>
      </w:r>
      <w:r w:rsidRPr="00DA2D7E">
        <w:t>lcalde deberá presentar</w:t>
      </w:r>
      <w:r>
        <w:t xml:space="preserve"> una</w:t>
      </w:r>
      <w:r w:rsidRPr="00DA2D7E">
        <w:t xml:space="preserve"> propuesta de pago al </w:t>
      </w:r>
      <w:r>
        <w:t>C</w:t>
      </w:r>
      <w:r w:rsidRPr="00DA2D7E">
        <w:t xml:space="preserve">oncejo </w:t>
      </w:r>
      <w:r>
        <w:t>para la cancelación d</w:t>
      </w:r>
      <w:r w:rsidRPr="00DA2D7E">
        <w:t>e</w:t>
      </w:r>
      <w:r>
        <w:t xml:space="preserve"> </w:t>
      </w:r>
      <w:r w:rsidRPr="00DA2D7E">
        <w:t>l</w:t>
      </w:r>
      <w:r>
        <w:t>a</w:t>
      </w:r>
      <w:r w:rsidRPr="00DA2D7E">
        <w:t xml:space="preserve"> </w:t>
      </w:r>
      <w:r>
        <w:t xml:space="preserve">deuda a </w:t>
      </w:r>
      <w:r w:rsidRPr="00DA2D7E">
        <w:t>PINDECO</w:t>
      </w:r>
      <w:r>
        <w:t>.</w:t>
      </w:r>
    </w:p>
    <w:p w14:paraId="547D6A11" w14:textId="77777777" w:rsidR="005D1163" w:rsidRDefault="005D1163" w:rsidP="000B0873">
      <w:pPr>
        <w:autoSpaceDE w:val="0"/>
        <w:autoSpaceDN w:val="0"/>
        <w:adjustRightInd w:val="0"/>
        <w:spacing w:after="0" w:line="240" w:lineRule="auto"/>
      </w:pPr>
    </w:p>
    <w:p w14:paraId="28A127C0" w14:textId="77777777" w:rsidR="005D1163" w:rsidRDefault="005D1163" w:rsidP="005D1163">
      <w:pPr>
        <w:autoSpaceDE w:val="0"/>
        <w:autoSpaceDN w:val="0"/>
        <w:adjustRightInd w:val="0"/>
        <w:spacing w:line="240" w:lineRule="auto"/>
      </w:pPr>
      <w:r w:rsidRPr="00516659">
        <w:t>En fecha 01 de abril del 2024 el señor Alcalde presenta propuesta al Concejo Municipal, mediante oficio AMBA-300-2024, la cual fue aprobada por el Concejo Municipal en sesión ordinaria 204-2024. Se acuerda autorizar al señor Alcalde para que firme convenio con la empresa Corporaci</w:t>
      </w:r>
      <w:r>
        <w:t>ón Agrícola del Monte (Pindeco), mismo que se firmó en fecha del 25 de abril, 2024.</w:t>
      </w:r>
    </w:p>
    <w:p w14:paraId="0D9D7AAE" w14:textId="5CA7CB60" w:rsidR="000B0873" w:rsidRDefault="005D1163" w:rsidP="0040253A">
      <w:pPr>
        <w:autoSpaceDE w:val="0"/>
        <w:autoSpaceDN w:val="0"/>
        <w:adjustRightInd w:val="0"/>
        <w:spacing w:line="240" w:lineRule="auto"/>
      </w:pPr>
      <w:r>
        <w:t>En cumplimiento de dicho convenio, el 23 de diciembre del 2024, se realizó depósito por un monto de 50.000.000, 00 millones de colones</w:t>
      </w:r>
      <w:r w:rsidR="00661E2F">
        <w:t xml:space="preserve">, quedando la deuda en </w:t>
      </w:r>
      <w:r w:rsidR="00661E2F" w:rsidRPr="00CC07E6">
        <w:rPr>
          <w:rFonts w:ascii="Arial" w:hAnsi="Arial" w:cs="Arial"/>
          <w:bCs/>
          <w:sz w:val="22"/>
        </w:rPr>
        <w:t>₡</w:t>
      </w:r>
      <w:r w:rsidR="00661E2F" w:rsidRPr="00CC07E6">
        <w:rPr>
          <w:rFonts w:cs="Arial"/>
          <w:bCs/>
          <w:sz w:val="22"/>
        </w:rPr>
        <w:t>90</w:t>
      </w:r>
      <w:r w:rsidR="00661E2F" w:rsidRPr="00CC07E6">
        <w:rPr>
          <w:bCs/>
          <w:sz w:val="22"/>
        </w:rPr>
        <w:t> 024 767,00</w:t>
      </w:r>
      <w:r w:rsidR="00661E2F" w:rsidRPr="00CC07E6">
        <w:rPr>
          <w:b/>
          <w:bCs/>
          <w:sz w:val="22"/>
        </w:rPr>
        <w:t>.</w:t>
      </w:r>
    </w:p>
    <w:p w14:paraId="6D781816" w14:textId="77777777" w:rsidR="000B0873" w:rsidRDefault="000B0873" w:rsidP="000B0873">
      <w:pPr>
        <w:autoSpaceDE w:val="0"/>
        <w:autoSpaceDN w:val="0"/>
        <w:adjustRightInd w:val="0"/>
      </w:pPr>
      <w:r w:rsidRPr="00DA2D7E">
        <w:lastRenderedPageBreak/>
        <w:t xml:space="preserve">En el siguiente cuadro se </w:t>
      </w:r>
      <w:r>
        <w:t>resume</w:t>
      </w:r>
      <w:r w:rsidRPr="00DA2D7E">
        <w:t xml:space="preserve"> lo </w:t>
      </w:r>
      <w:r>
        <w:t>comentado</w:t>
      </w:r>
      <w:r w:rsidRPr="00DA2D7E">
        <w:t xml:space="preserve"> anteriormente.</w:t>
      </w:r>
    </w:p>
    <w:tbl>
      <w:tblPr>
        <w:tblStyle w:val="Tablaconcuadrcula"/>
        <w:tblW w:w="6804" w:type="dxa"/>
        <w:tblInd w:w="846"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414"/>
        <w:gridCol w:w="2390"/>
      </w:tblGrid>
      <w:tr w:rsidR="005D1163" w:rsidRPr="007D62A5" w14:paraId="7321096D" w14:textId="77777777" w:rsidTr="00EF6BE9">
        <w:tc>
          <w:tcPr>
            <w:tcW w:w="4414" w:type="dxa"/>
            <w:tcBorders>
              <w:top w:val="single" w:sz="12" w:space="0" w:color="auto"/>
              <w:bottom w:val="single" w:sz="4" w:space="0" w:color="auto"/>
            </w:tcBorders>
            <w:shd w:val="clear" w:color="auto" w:fill="1F3864" w:themeFill="accent1" w:themeFillShade="80"/>
          </w:tcPr>
          <w:p w14:paraId="62BBBC20" w14:textId="77777777" w:rsidR="005D1163" w:rsidRPr="0001157F" w:rsidRDefault="005D1163" w:rsidP="00EF6BE9">
            <w:pPr>
              <w:autoSpaceDE w:val="0"/>
              <w:autoSpaceDN w:val="0"/>
              <w:adjustRightInd w:val="0"/>
              <w:spacing w:before="120" w:after="120"/>
              <w:jc w:val="center"/>
              <w:rPr>
                <w:color w:val="FFFFFF" w:themeColor="background1"/>
                <w:sz w:val="22"/>
                <w:szCs w:val="22"/>
              </w:rPr>
            </w:pPr>
            <w:r w:rsidRPr="0001157F">
              <w:rPr>
                <w:b/>
                <w:bCs/>
                <w:color w:val="FFFFFF" w:themeColor="background1"/>
                <w:sz w:val="22"/>
                <w:szCs w:val="22"/>
              </w:rPr>
              <w:t>Descripción</w:t>
            </w:r>
          </w:p>
        </w:tc>
        <w:tc>
          <w:tcPr>
            <w:tcW w:w="2390" w:type="dxa"/>
            <w:tcBorders>
              <w:top w:val="single" w:sz="12" w:space="0" w:color="auto"/>
              <w:bottom w:val="single" w:sz="4" w:space="0" w:color="auto"/>
            </w:tcBorders>
            <w:shd w:val="clear" w:color="auto" w:fill="1F3864" w:themeFill="accent1" w:themeFillShade="80"/>
          </w:tcPr>
          <w:p w14:paraId="572CF788" w14:textId="77777777" w:rsidR="005D1163" w:rsidRPr="0001157F" w:rsidRDefault="005D1163" w:rsidP="00EF6BE9">
            <w:pPr>
              <w:autoSpaceDE w:val="0"/>
              <w:autoSpaceDN w:val="0"/>
              <w:adjustRightInd w:val="0"/>
              <w:spacing w:before="120" w:after="120"/>
              <w:jc w:val="center"/>
              <w:rPr>
                <w:color w:val="FFFFFF" w:themeColor="background1"/>
                <w:sz w:val="22"/>
                <w:szCs w:val="22"/>
              </w:rPr>
            </w:pPr>
            <w:r w:rsidRPr="0001157F">
              <w:rPr>
                <w:b/>
                <w:bCs/>
                <w:color w:val="FFFFFF" w:themeColor="background1"/>
                <w:sz w:val="22"/>
                <w:szCs w:val="22"/>
              </w:rPr>
              <w:t>Monto</w:t>
            </w:r>
          </w:p>
        </w:tc>
      </w:tr>
      <w:tr w:rsidR="005D1163" w:rsidRPr="007D62A5" w14:paraId="0C76367C" w14:textId="77777777" w:rsidTr="00EF6BE9">
        <w:tc>
          <w:tcPr>
            <w:tcW w:w="4414" w:type="dxa"/>
            <w:tcBorders>
              <w:top w:val="single" w:sz="4" w:space="0" w:color="auto"/>
              <w:left w:val="single" w:sz="4" w:space="0" w:color="auto"/>
              <w:bottom w:val="single" w:sz="4" w:space="0" w:color="auto"/>
              <w:right w:val="single" w:sz="4" w:space="0" w:color="auto"/>
            </w:tcBorders>
          </w:tcPr>
          <w:p w14:paraId="55737F73" w14:textId="77777777" w:rsidR="005D1163" w:rsidRPr="0001157F" w:rsidRDefault="005D1163" w:rsidP="00EF6BE9">
            <w:pPr>
              <w:autoSpaceDE w:val="0"/>
              <w:autoSpaceDN w:val="0"/>
              <w:adjustRightInd w:val="0"/>
              <w:spacing w:before="120"/>
              <w:rPr>
                <w:sz w:val="22"/>
                <w:szCs w:val="22"/>
              </w:rPr>
            </w:pPr>
            <w:r w:rsidRPr="0001157F">
              <w:rPr>
                <w:sz w:val="22"/>
                <w:szCs w:val="22"/>
              </w:rPr>
              <w:t>Deuda sobre los periodos 2006-2007-2008 2009</w:t>
            </w:r>
          </w:p>
        </w:tc>
        <w:tc>
          <w:tcPr>
            <w:tcW w:w="2390" w:type="dxa"/>
            <w:tcBorders>
              <w:top w:val="single" w:sz="4" w:space="0" w:color="auto"/>
              <w:left w:val="single" w:sz="4" w:space="0" w:color="auto"/>
              <w:bottom w:val="single" w:sz="4" w:space="0" w:color="auto"/>
              <w:right w:val="single" w:sz="4" w:space="0" w:color="auto"/>
            </w:tcBorders>
          </w:tcPr>
          <w:p w14:paraId="4AED4B7F" w14:textId="77777777" w:rsidR="005D1163" w:rsidRPr="0001157F" w:rsidRDefault="005D1163" w:rsidP="00EF6BE9">
            <w:pPr>
              <w:autoSpaceDE w:val="0"/>
              <w:autoSpaceDN w:val="0"/>
              <w:adjustRightInd w:val="0"/>
              <w:spacing w:before="120"/>
              <w:jc w:val="right"/>
              <w:rPr>
                <w:sz w:val="22"/>
                <w:szCs w:val="22"/>
              </w:rPr>
            </w:pPr>
            <w:r w:rsidRPr="0001157F">
              <w:rPr>
                <w:rFonts w:ascii="Arial" w:hAnsi="Arial" w:cs="Arial"/>
                <w:sz w:val="22"/>
                <w:szCs w:val="22"/>
              </w:rPr>
              <w:t>₡</w:t>
            </w:r>
            <w:r w:rsidRPr="0001157F">
              <w:rPr>
                <w:sz w:val="22"/>
                <w:szCs w:val="22"/>
              </w:rPr>
              <w:t>179 024 767,00</w:t>
            </w:r>
          </w:p>
        </w:tc>
      </w:tr>
      <w:tr w:rsidR="005D1163" w:rsidRPr="007D62A5" w14:paraId="76DB1AAD" w14:textId="77777777" w:rsidTr="00EF6BE9">
        <w:tc>
          <w:tcPr>
            <w:tcW w:w="4414" w:type="dxa"/>
            <w:tcBorders>
              <w:top w:val="single" w:sz="4" w:space="0" w:color="auto"/>
              <w:left w:val="single" w:sz="4" w:space="0" w:color="auto"/>
              <w:bottom w:val="single" w:sz="4" w:space="0" w:color="auto"/>
              <w:right w:val="single" w:sz="4" w:space="0" w:color="auto"/>
            </w:tcBorders>
          </w:tcPr>
          <w:p w14:paraId="2E14E361" w14:textId="77777777" w:rsidR="005D1163" w:rsidRPr="0001157F" w:rsidRDefault="005D1163" w:rsidP="00EF6BE9">
            <w:pPr>
              <w:autoSpaceDE w:val="0"/>
              <w:autoSpaceDN w:val="0"/>
              <w:adjustRightInd w:val="0"/>
              <w:rPr>
                <w:sz w:val="22"/>
                <w:szCs w:val="22"/>
              </w:rPr>
            </w:pPr>
            <w:r w:rsidRPr="0001157F">
              <w:rPr>
                <w:b/>
                <w:bCs/>
                <w:sz w:val="22"/>
                <w:szCs w:val="22"/>
              </w:rPr>
              <w:t>Menos</w:t>
            </w:r>
            <w:r w:rsidRPr="0001157F">
              <w:rPr>
                <w:sz w:val="22"/>
                <w:szCs w:val="22"/>
              </w:rPr>
              <w:t>: Depósito efectuado en diciembre 2022</w:t>
            </w:r>
          </w:p>
        </w:tc>
        <w:tc>
          <w:tcPr>
            <w:tcW w:w="2390" w:type="dxa"/>
            <w:tcBorders>
              <w:top w:val="single" w:sz="4" w:space="0" w:color="auto"/>
              <w:left w:val="single" w:sz="4" w:space="0" w:color="auto"/>
              <w:bottom w:val="single" w:sz="4" w:space="0" w:color="auto"/>
              <w:right w:val="single" w:sz="4" w:space="0" w:color="auto"/>
            </w:tcBorders>
          </w:tcPr>
          <w:p w14:paraId="7263B9C8" w14:textId="77777777" w:rsidR="005D1163" w:rsidRPr="0001157F" w:rsidRDefault="005D1163" w:rsidP="00EF6BE9">
            <w:pPr>
              <w:autoSpaceDE w:val="0"/>
              <w:autoSpaceDN w:val="0"/>
              <w:adjustRightInd w:val="0"/>
              <w:jc w:val="right"/>
              <w:rPr>
                <w:sz w:val="22"/>
                <w:szCs w:val="22"/>
              </w:rPr>
            </w:pPr>
            <w:r w:rsidRPr="0001157F">
              <w:rPr>
                <w:sz w:val="22"/>
                <w:szCs w:val="22"/>
              </w:rPr>
              <w:t>50 000,00</w:t>
            </w:r>
          </w:p>
        </w:tc>
      </w:tr>
      <w:tr w:rsidR="005D1163" w:rsidRPr="007D62A5" w14:paraId="229616C1" w14:textId="77777777" w:rsidTr="00EF6BE9">
        <w:tc>
          <w:tcPr>
            <w:tcW w:w="4414" w:type="dxa"/>
            <w:tcBorders>
              <w:top w:val="single" w:sz="4" w:space="0" w:color="auto"/>
              <w:left w:val="single" w:sz="4" w:space="0" w:color="auto"/>
              <w:bottom w:val="single" w:sz="4" w:space="0" w:color="auto"/>
              <w:right w:val="single" w:sz="4" w:space="0" w:color="auto"/>
            </w:tcBorders>
          </w:tcPr>
          <w:p w14:paraId="4E9B43C7" w14:textId="77777777" w:rsidR="005D1163" w:rsidRPr="0001157F" w:rsidRDefault="005D1163" w:rsidP="00EF6BE9">
            <w:pPr>
              <w:autoSpaceDE w:val="0"/>
              <w:autoSpaceDN w:val="0"/>
              <w:adjustRightInd w:val="0"/>
              <w:spacing w:before="120"/>
              <w:rPr>
                <w:b/>
                <w:bCs/>
                <w:sz w:val="22"/>
                <w:szCs w:val="22"/>
              </w:rPr>
            </w:pPr>
            <w:r w:rsidRPr="0001157F">
              <w:rPr>
                <w:b/>
                <w:bCs/>
                <w:sz w:val="22"/>
                <w:szCs w:val="22"/>
              </w:rPr>
              <w:t>Saldo</w:t>
            </w:r>
          </w:p>
        </w:tc>
        <w:tc>
          <w:tcPr>
            <w:tcW w:w="2390" w:type="dxa"/>
            <w:tcBorders>
              <w:top w:val="single" w:sz="4" w:space="0" w:color="auto"/>
              <w:left w:val="single" w:sz="4" w:space="0" w:color="auto"/>
              <w:bottom w:val="single" w:sz="4" w:space="0" w:color="auto"/>
              <w:right w:val="single" w:sz="4" w:space="0" w:color="auto"/>
            </w:tcBorders>
          </w:tcPr>
          <w:p w14:paraId="3583F68C" w14:textId="77777777" w:rsidR="005D1163" w:rsidRPr="0001157F" w:rsidRDefault="005D1163" w:rsidP="00EF6BE9">
            <w:pPr>
              <w:autoSpaceDE w:val="0"/>
              <w:autoSpaceDN w:val="0"/>
              <w:adjustRightInd w:val="0"/>
              <w:spacing w:before="120"/>
              <w:jc w:val="right"/>
              <w:rPr>
                <w:b/>
                <w:bCs/>
                <w:sz w:val="22"/>
                <w:szCs w:val="22"/>
              </w:rPr>
            </w:pPr>
            <w:r w:rsidRPr="0001157F">
              <w:rPr>
                <w:rFonts w:ascii="Arial" w:hAnsi="Arial" w:cs="Arial"/>
                <w:b/>
                <w:bCs/>
                <w:sz w:val="22"/>
                <w:szCs w:val="22"/>
              </w:rPr>
              <w:t>₡</w:t>
            </w:r>
            <w:r w:rsidRPr="0001157F">
              <w:rPr>
                <w:b/>
                <w:bCs/>
                <w:sz w:val="22"/>
                <w:szCs w:val="22"/>
              </w:rPr>
              <w:t>129 024 767,00</w:t>
            </w:r>
          </w:p>
        </w:tc>
      </w:tr>
      <w:tr w:rsidR="005D1163" w:rsidRPr="007D62A5" w14:paraId="3A103577" w14:textId="77777777" w:rsidTr="00EF6BE9">
        <w:tc>
          <w:tcPr>
            <w:tcW w:w="4414" w:type="dxa"/>
            <w:tcBorders>
              <w:top w:val="single" w:sz="4" w:space="0" w:color="auto"/>
              <w:left w:val="single" w:sz="4" w:space="0" w:color="auto"/>
              <w:bottom w:val="single" w:sz="4" w:space="0" w:color="auto"/>
              <w:right w:val="single" w:sz="4" w:space="0" w:color="auto"/>
            </w:tcBorders>
          </w:tcPr>
          <w:p w14:paraId="72F39EEF" w14:textId="77777777" w:rsidR="005D1163" w:rsidRPr="0001157F" w:rsidRDefault="005D1163" w:rsidP="00EF6BE9">
            <w:pPr>
              <w:autoSpaceDE w:val="0"/>
              <w:autoSpaceDN w:val="0"/>
              <w:adjustRightInd w:val="0"/>
              <w:rPr>
                <w:sz w:val="22"/>
                <w:szCs w:val="22"/>
              </w:rPr>
            </w:pPr>
            <w:r w:rsidRPr="0001157F">
              <w:rPr>
                <w:b/>
                <w:bCs/>
                <w:sz w:val="22"/>
                <w:szCs w:val="22"/>
              </w:rPr>
              <w:t>Mas</w:t>
            </w:r>
            <w:r w:rsidRPr="0001157F">
              <w:rPr>
                <w:sz w:val="22"/>
                <w:szCs w:val="22"/>
              </w:rPr>
              <w:t>: Gastos legales administrativos</w:t>
            </w:r>
          </w:p>
        </w:tc>
        <w:tc>
          <w:tcPr>
            <w:tcW w:w="2390" w:type="dxa"/>
            <w:tcBorders>
              <w:top w:val="single" w:sz="4" w:space="0" w:color="auto"/>
              <w:left w:val="single" w:sz="4" w:space="0" w:color="auto"/>
              <w:bottom w:val="single" w:sz="4" w:space="0" w:color="auto"/>
              <w:right w:val="single" w:sz="4" w:space="0" w:color="auto"/>
            </w:tcBorders>
          </w:tcPr>
          <w:p w14:paraId="07253934" w14:textId="77777777" w:rsidR="005D1163" w:rsidRPr="0001157F" w:rsidRDefault="005D1163" w:rsidP="00EF6BE9">
            <w:pPr>
              <w:autoSpaceDE w:val="0"/>
              <w:autoSpaceDN w:val="0"/>
              <w:adjustRightInd w:val="0"/>
              <w:jc w:val="right"/>
              <w:rPr>
                <w:sz w:val="22"/>
                <w:szCs w:val="22"/>
              </w:rPr>
            </w:pPr>
            <w:r w:rsidRPr="0001157F">
              <w:rPr>
                <w:sz w:val="22"/>
                <w:szCs w:val="22"/>
              </w:rPr>
              <w:t>61 000,00</w:t>
            </w:r>
          </w:p>
        </w:tc>
      </w:tr>
      <w:tr w:rsidR="005D1163" w:rsidRPr="007D62A5" w14:paraId="3B72721D" w14:textId="77777777" w:rsidTr="00EF6BE9">
        <w:tc>
          <w:tcPr>
            <w:tcW w:w="4414" w:type="dxa"/>
            <w:tcBorders>
              <w:top w:val="single" w:sz="4" w:space="0" w:color="auto"/>
              <w:left w:val="single" w:sz="4" w:space="0" w:color="auto"/>
              <w:bottom w:val="single" w:sz="4" w:space="0" w:color="auto"/>
              <w:right w:val="single" w:sz="4" w:space="0" w:color="auto"/>
            </w:tcBorders>
          </w:tcPr>
          <w:p w14:paraId="1ADFEB34" w14:textId="77777777" w:rsidR="005D1163" w:rsidRPr="0001157F" w:rsidRDefault="005D1163" w:rsidP="00EF6BE9">
            <w:pPr>
              <w:autoSpaceDE w:val="0"/>
              <w:autoSpaceDN w:val="0"/>
              <w:adjustRightInd w:val="0"/>
              <w:spacing w:before="120"/>
              <w:rPr>
                <w:b/>
                <w:bCs/>
                <w:sz w:val="22"/>
                <w:szCs w:val="22"/>
              </w:rPr>
            </w:pPr>
            <w:r w:rsidRPr="0001157F">
              <w:rPr>
                <w:b/>
                <w:bCs/>
                <w:sz w:val="22"/>
                <w:szCs w:val="22"/>
              </w:rPr>
              <w:t>Saldo</w:t>
            </w:r>
          </w:p>
        </w:tc>
        <w:tc>
          <w:tcPr>
            <w:tcW w:w="2390" w:type="dxa"/>
            <w:tcBorders>
              <w:top w:val="single" w:sz="4" w:space="0" w:color="auto"/>
              <w:left w:val="single" w:sz="4" w:space="0" w:color="auto"/>
              <w:bottom w:val="single" w:sz="4" w:space="0" w:color="auto"/>
              <w:right w:val="single" w:sz="4" w:space="0" w:color="auto"/>
            </w:tcBorders>
          </w:tcPr>
          <w:p w14:paraId="1B4EDC9F" w14:textId="77777777" w:rsidR="005D1163" w:rsidRPr="0001157F" w:rsidRDefault="005D1163" w:rsidP="00EF6BE9">
            <w:pPr>
              <w:autoSpaceDE w:val="0"/>
              <w:autoSpaceDN w:val="0"/>
              <w:adjustRightInd w:val="0"/>
              <w:spacing w:before="120"/>
              <w:jc w:val="right"/>
              <w:rPr>
                <w:b/>
                <w:bCs/>
                <w:sz w:val="22"/>
                <w:szCs w:val="22"/>
              </w:rPr>
            </w:pPr>
            <w:r w:rsidRPr="0001157F">
              <w:rPr>
                <w:rFonts w:ascii="Arial" w:hAnsi="Arial" w:cs="Arial"/>
                <w:b/>
                <w:bCs/>
                <w:sz w:val="22"/>
                <w:szCs w:val="22"/>
              </w:rPr>
              <w:t>₡</w:t>
            </w:r>
            <w:r w:rsidRPr="0001157F">
              <w:rPr>
                <w:rFonts w:cs="Arial"/>
                <w:b/>
                <w:bCs/>
                <w:sz w:val="22"/>
                <w:szCs w:val="22"/>
              </w:rPr>
              <w:t>190</w:t>
            </w:r>
            <w:r w:rsidRPr="0001157F">
              <w:rPr>
                <w:b/>
                <w:bCs/>
                <w:sz w:val="22"/>
                <w:szCs w:val="22"/>
              </w:rPr>
              <w:t> 024 767,00</w:t>
            </w:r>
          </w:p>
        </w:tc>
      </w:tr>
      <w:tr w:rsidR="005D1163" w:rsidRPr="007D62A5" w14:paraId="0F3F70C1" w14:textId="77777777" w:rsidTr="00EF6BE9">
        <w:tc>
          <w:tcPr>
            <w:tcW w:w="4414" w:type="dxa"/>
            <w:tcBorders>
              <w:top w:val="single" w:sz="4" w:space="0" w:color="auto"/>
              <w:left w:val="single" w:sz="4" w:space="0" w:color="auto"/>
              <w:bottom w:val="single" w:sz="4" w:space="0" w:color="auto"/>
              <w:right w:val="single" w:sz="4" w:space="0" w:color="auto"/>
            </w:tcBorders>
          </w:tcPr>
          <w:p w14:paraId="30909EC6" w14:textId="77777777" w:rsidR="005D1163" w:rsidRPr="0001157F" w:rsidRDefault="005D1163" w:rsidP="00EF6BE9">
            <w:pPr>
              <w:autoSpaceDE w:val="0"/>
              <w:autoSpaceDN w:val="0"/>
              <w:adjustRightInd w:val="0"/>
              <w:rPr>
                <w:sz w:val="22"/>
                <w:szCs w:val="22"/>
              </w:rPr>
            </w:pPr>
            <w:r w:rsidRPr="0001157F">
              <w:rPr>
                <w:b/>
                <w:bCs/>
                <w:sz w:val="22"/>
                <w:szCs w:val="22"/>
              </w:rPr>
              <w:t>Menos</w:t>
            </w:r>
            <w:r w:rsidRPr="0001157F">
              <w:rPr>
                <w:sz w:val="22"/>
                <w:szCs w:val="22"/>
              </w:rPr>
              <w:t>: Depósito efectuado en febrero 2024</w:t>
            </w:r>
          </w:p>
        </w:tc>
        <w:tc>
          <w:tcPr>
            <w:tcW w:w="2390" w:type="dxa"/>
            <w:tcBorders>
              <w:top w:val="single" w:sz="4" w:space="0" w:color="auto"/>
              <w:left w:val="single" w:sz="4" w:space="0" w:color="auto"/>
              <w:bottom w:val="single" w:sz="4" w:space="0" w:color="auto"/>
              <w:right w:val="single" w:sz="4" w:space="0" w:color="auto"/>
            </w:tcBorders>
          </w:tcPr>
          <w:p w14:paraId="3727DC69" w14:textId="77777777" w:rsidR="005D1163" w:rsidRPr="0001157F" w:rsidRDefault="005D1163" w:rsidP="00EF6BE9">
            <w:pPr>
              <w:autoSpaceDE w:val="0"/>
              <w:autoSpaceDN w:val="0"/>
              <w:adjustRightInd w:val="0"/>
              <w:jc w:val="right"/>
              <w:rPr>
                <w:sz w:val="22"/>
                <w:szCs w:val="22"/>
              </w:rPr>
            </w:pPr>
            <w:r w:rsidRPr="0001157F">
              <w:rPr>
                <w:sz w:val="22"/>
                <w:szCs w:val="22"/>
              </w:rPr>
              <w:t>50</w:t>
            </w:r>
            <w:r>
              <w:rPr>
                <w:sz w:val="22"/>
                <w:szCs w:val="22"/>
              </w:rPr>
              <w:t xml:space="preserve"> 000 </w:t>
            </w:r>
            <w:r w:rsidRPr="0001157F">
              <w:rPr>
                <w:sz w:val="22"/>
                <w:szCs w:val="22"/>
              </w:rPr>
              <w:t>000,00</w:t>
            </w:r>
          </w:p>
        </w:tc>
      </w:tr>
      <w:tr w:rsidR="005D1163" w:rsidRPr="007D62A5" w14:paraId="3C1B96E3" w14:textId="77777777" w:rsidTr="00EF6BE9">
        <w:tc>
          <w:tcPr>
            <w:tcW w:w="4414" w:type="dxa"/>
            <w:tcBorders>
              <w:top w:val="single" w:sz="4" w:space="0" w:color="auto"/>
              <w:left w:val="single" w:sz="4" w:space="0" w:color="auto"/>
              <w:bottom w:val="single" w:sz="4" w:space="0" w:color="auto"/>
              <w:right w:val="single" w:sz="4" w:space="0" w:color="auto"/>
            </w:tcBorders>
          </w:tcPr>
          <w:p w14:paraId="0FD54FF8" w14:textId="77777777" w:rsidR="005D1163" w:rsidRPr="0001157F" w:rsidRDefault="005D1163" w:rsidP="00EF6BE9">
            <w:pPr>
              <w:autoSpaceDE w:val="0"/>
              <w:autoSpaceDN w:val="0"/>
              <w:adjustRightInd w:val="0"/>
              <w:rPr>
                <w:b/>
                <w:bCs/>
                <w:sz w:val="22"/>
              </w:rPr>
            </w:pPr>
            <w:r>
              <w:rPr>
                <w:b/>
                <w:bCs/>
                <w:sz w:val="22"/>
              </w:rPr>
              <w:t>Menos: Depósito efectuado en diciembre 2024</w:t>
            </w:r>
          </w:p>
        </w:tc>
        <w:tc>
          <w:tcPr>
            <w:tcW w:w="2390" w:type="dxa"/>
            <w:tcBorders>
              <w:top w:val="single" w:sz="4" w:space="0" w:color="auto"/>
              <w:left w:val="single" w:sz="4" w:space="0" w:color="auto"/>
              <w:bottom w:val="single" w:sz="4" w:space="0" w:color="auto"/>
              <w:right w:val="single" w:sz="4" w:space="0" w:color="auto"/>
            </w:tcBorders>
          </w:tcPr>
          <w:p w14:paraId="056984E2" w14:textId="77777777" w:rsidR="005D1163" w:rsidRPr="0001157F" w:rsidRDefault="005D1163" w:rsidP="00EF6BE9">
            <w:pPr>
              <w:autoSpaceDE w:val="0"/>
              <w:autoSpaceDN w:val="0"/>
              <w:adjustRightInd w:val="0"/>
              <w:jc w:val="right"/>
              <w:rPr>
                <w:sz w:val="22"/>
              </w:rPr>
            </w:pPr>
            <w:r>
              <w:rPr>
                <w:sz w:val="22"/>
              </w:rPr>
              <w:t>50 000 000,00</w:t>
            </w:r>
          </w:p>
        </w:tc>
      </w:tr>
      <w:tr w:rsidR="005D1163" w:rsidRPr="007D62A5" w14:paraId="05EAD655" w14:textId="77777777" w:rsidTr="00EF6BE9">
        <w:tc>
          <w:tcPr>
            <w:tcW w:w="4414" w:type="dxa"/>
            <w:tcBorders>
              <w:top w:val="single" w:sz="4" w:space="0" w:color="auto"/>
              <w:right w:val="single" w:sz="4" w:space="0" w:color="auto"/>
            </w:tcBorders>
          </w:tcPr>
          <w:p w14:paraId="09785291" w14:textId="77777777" w:rsidR="005D1163" w:rsidRPr="0001157F" w:rsidRDefault="005D1163" w:rsidP="00EF6BE9">
            <w:pPr>
              <w:autoSpaceDE w:val="0"/>
              <w:autoSpaceDN w:val="0"/>
              <w:adjustRightInd w:val="0"/>
              <w:rPr>
                <w:b/>
                <w:bCs/>
                <w:sz w:val="22"/>
                <w:szCs w:val="22"/>
              </w:rPr>
            </w:pPr>
            <w:r w:rsidRPr="0001157F">
              <w:rPr>
                <w:b/>
                <w:bCs/>
                <w:sz w:val="22"/>
                <w:szCs w:val="22"/>
              </w:rPr>
              <w:t>SALDO ADEUDADO AL 29/2/2024</w:t>
            </w:r>
          </w:p>
        </w:tc>
        <w:tc>
          <w:tcPr>
            <w:tcW w:w="2390" w:type="dxa"/>
            <w:tcBorders>
              <w:top w:val="single" w:sz="4" w:space="0" w:color="auto"/>
              <w:left w:val="single" w:sz="4" w:space="0" w:color="auto"/>
              <w:bottom w:val="single" w:sz="4" w:space="0" w:color="auto"/>
              <w:right w:val="single" w:sz="4" w:space="0" w:color="auto"/>
            </w:tcBorders>
          </w:tcPr>
          <w:p w14:paraId="68043ED1" w14:textId="77777777" w:rsidR="005D1163" w:rsidRPr="0001157F" w:rsidRDefault="005D1163" w:rsidP="00EF6BE9">
            <w:pPr>
              <w:autoSpaceDE w:val="0"/>
              <w:autoSpaceDN w:val="0"/>
              <w:adjustRightInd w:val="0"/>
              <w:jc w:val="right"/>
              <w:rPr>
                <w:b/>
                <w:bCs/>
                <w:sz w:val="22"/>
                <w:szCs w:val="22"/>
              </w:rPr>
            </w:pPr>
            <w:r w:rsidRPr="0001157F">
              <w:rPr>
                <w:rFonts w:ascii="Arial" w:hAnsi="Arial" w:cs="Arial"/>
                <w:b/>
                <w:bCs/>
                <w:sz w:val="22"/>
                <w:szCs w:val="22"/>
              </w:rPr>
              <w:t>₡</w:t>
            </w:r>
            <w:r>
              <w:rPr>
                <w:rFonts w:cs="Arial"/>
                <w:b/>
                <w:bCs/>
                <w:sz w:val="22"/>
                <w:szCs w:val="22"/>
              </w:rPr>
              <w:t>90</w:t>
            </w:r>
            <w:r w:rsidRPr="0001157F">
              <w:rPr>
                <w:b/>
                <w:bCs/>
                <w:sz w:val="22"/>
                <w:szCs w:val="22"/>
              </w:rPr>
              <w:t> 024 767,00</w:t>
            </w:r>
          </w:p>
        </w:tc>
      </w:tr>
    </w:tbl>
    <w:p w14:paraId="590944B5" w14:textId="155F88B4" w:rsidR="000B0873" w:rsidRDefault="005D1163" w:rsidP="000B0873">
      <w:pPr>
        <w:spacing w:after="0" w:line="240" w:lineRule="auto"/>
      </w:pPr>
      <w:r>
        <w:t xml:space="preserve"> </w:t>
      </w:r>
    </w:p>
    <w:p w14:paraId="02F6447B" w14:textId="77777777" w:rsidR="000B0873" w:rsidRDefault="000B0873" w:rsidP="000B0873">
      <w:pPr>
        <w:spacing w:after="0" w:line="240" w:lineRule="auto"/>
        <w:rPr>
          <w:rFonts w:eastAsia="Calibri" w:cs="Arial"/>
        </w:rPr>
      </w:pPr>
      <w:r w:rsidRPr="0035489C">
        <w:t>Con base en el acuerdo antes consignado, el 25 de abril de 2024 se firmó el “</w:t>
      </w:r>
      <w:r w:rsidRPr="0035489C">
        <w:rPr>
          <w:b/>
          <w:bCs/>
        </w:rPr>
        <w:t>CONTRATO DE TRANSACCIÓN</w:t>
      </w:r>
      <w:r w:rsidRPr="0035489C">
        <w:t xml:space="preserve">” entre la Municipalidad y PINDECO. En dicho contrato se establecen dos cláusulas. En primera cláusula la Municipalidad de Buenos Aires, se compromete, a pagar a la Corporación de Desarrollo Del Monte (Pindeco) la suma de </w:t>
      </w:r>
      <w:r w:rsidRPr="0035489C">
        <w:rPr>
          <w:rFonts w:ascii="Arial" w:eastAsia="Calibri" w:hAnsi="Arial" w:cs="Arial"/>
        </w:rPr>
        <w:t>₡</w:t>
      </w:r>
      <w:r w:rsidRPr="0035489C">
        <w:rPr>
          <w:rFonts w:eastAsia="Calibri" w:cs="Arial"/>
        </w:rPr>
        <w:t xml:space="preserve">140 024 767,00 en tres tractos, uno de </w:t>
      </w:r>
      <w:r w:rsidRPr="0035489C">
        <w:rPr>
          <w:rFonts w:ascii="Arial" w:eastAsia="Calibri" w:hAnsi="Arial" w:cs="Arial"/>
        </w:rPr>
        <w:t>₡</w:t>
      </w:r>
      <w:r w:rsidRPr="0035489C">
        <w:rPr>
          <w:rFonts w:eastAsia="Calibri" w:cs="Arial"/>
        </w:rPr>
        <w:t xml:space="preserve">50 000 000,00 en el mes de diciembre de 2024, y dos pagos por la suma de </w:t>
      </w:r>
      <w:r w:rsidRPr="0035489C">
        <w:rPr>
          <w:rFonts w:ascii="Arial" w:eastAsia="Calibri" w:hAnsi="Arial" w:cs="Arial"/>
        </w:rPr>
        <w:t>₡</w:t>
      </w:r>
      <w:r w:rsidRPr="0035489C">
        <w:rPr>
          <w:rFonts w:eastAsia="Calibri" w:cs="Arial"/>
        </w:rPr>
        <w:t>45 012 383,50 cada uno, en diciembre de 2025 y diciembre de 2026 respectivamente, para de esta forma dar por finalizada la deuda. En la segunda cláusula, Pindeco hace renuncia expresa al cobro de intereses pasados, presentes y futuros de la deuda indicada en la cláusula primera, y de igual manera se compromete a no instaurar procesos judiciales, por dicha causa.</w:t>
      </w:r>
    </w:p>
    <w:p w14:paraId="3CADDBEE" w14:textId="77777777" w:rsidR="000B0873" w:rsidRDefault="000B0873" w:rsidP="000B0873">
      <w:pPr>
        <w:spacing w:after="0" w:line="240" w:lineRule="auto"/>
        <w:rPr>
          <w:iCs/>
        </w:rPr>
      </w:pPr>
    </w:p>
    <w:p w14:paraId="74DB0A9C" w14:textId="77777777" w:rsidR="000B0873" w:rsidRDefault="000B0873" w:rsidP="000B0873">
      <w:pPr>
        <w:spacing w:after="0" w:line="240" w:lineRule="auto"/>
        <w:rPr>
          <w:iCs/>
        </w:rPr>
      </w:pPr>
      <w:r>
        <w:rPr>
          <w:iCs/>
        </w:rPr>
        <w:t>Mediante Oficio Nº AJMBA/51-2024 del 12 de julio de 2024 el Asesor Jurídico Municipal informa que en lo a</w:t>
      </w:r>
      <w:r w:rsidRPr="006617DB">
        <w:rPr>
          <w:iCs/>
        </w:rPr>
        <w:t>tinente al caso de RECLAMO ADMINISTRATIVO DE LA EMPRESA PINDECO, el mismo ya se</w:t>
      </w:r>
      <w:r>
        <w:rPr>
          <w:iCs/>
        </w:rPr>
        <w:t xml:space="preserve"> </w:t>
      </w:r>
      <w:r w:rsidRPr="006617DB">
        <w:rPr>
          <w:iCs/>
        </w:rPr>
        <w:t>tramitó por medio de la figura de la transacción, misma que faculta el Código Civil. Ya se cuenta con el</w:t>
      </w:r>
      <w:r>
        <w:rPr>
          <w:iCs/>
        </w:rPr>
        <w:t xml:space="preserve"> </w:t>
      </w:r>
      <w:r w:rsidRPr="006617DB">
        <w:rPr>
          <w:iCs/>
        </w:rPr>
        <w:t>respectivo documento que establece la forma de cancelar.</w:t>
      </w:r>
    </w:p>
    <w:p w14:paraId="1232E8A7" w14:textId="77777777" w:rsidR="000B0873" w:rsidRDefault="000B0873" w:rsidP="000B0873">
      <w:pPr>
        <w:spacing w:after="0" w:line="240" w:lineRule="auto"/>
        <w:rPr>
          <w:iCs/>
        </w:rPr>
      </w:pPr>
    </w:p>
    <w:p w14:paraId="55FC0CE6" w14:textId="4E84E78B" w:rsidR="000B0873" w:rsidRDefault="00CC07E6" w:rsidP="00CC07E6">
      <w:pPr>
        <w:spacing w:line="240" w:lineRule="auto"/>
        <w:rPr>
          <w:iCs/>
        </w:rPr>
      </w:pPr>
      <w:r w:rsidRPr="00CB06E1">
        <w:rPr>
          <w:iCs/>
        </w:rPr>
        <w:t xml:space="preserve">Además, indica en su oficio el Asesor Jurídico que, respecto a Recursos de Amparo con lugar, se tiene sentencia del proceso de ejecución de sentencia 22-001646-1028-CA, de Mariana Lucía Porras Rozas, sobre el que se deben liquidar las costas por un monto de ¢121 000.00 (ciento veintiún mil colones exactos), mismos que fueron cancelados el 29/11/2024. Cabe señalar, que </w:t>
      </w:r>
      <w:r w:rsidRPr="00CB06E1">
        <w:rPr>
          <w:b/>
          <w:bCs/>
          <w:iCs/>
        </w:rPr>
        <w:t xml:space="preserve">JUZGADO CONTENCIOSO ADMINISTRATIVO Y CIVIL DE HACIENDA (CONTENCIOSO ADMINISTRATIVO), </w:t>
      </w:r>
      <w:r w:rsidRPr="00CB06E1">
        <w:rPr>
          <w:iCs/>
        </w:rPr>
        <w:t>comunicó a la Asesoría Jurídica lo relacionado con el caso en mención a las nueve horas treinta y uno minutos del 7 de junio de 2024.</w:t>
      </w:r>
    </w:p>
    <w:p w14:paraId="5BB39EBB" w14:textId="77777777" w:rsidR="00CC07E6" w:rsidRPr="00CC07E6" w:rsidRDefault="00CC07E6" w:rsidP="00CC07E6">
      <w:pPr>
        <w:spacing w:line="240" w:lineRule="auto"/>
        <w:rPr>
          <w:iCs/>
        </w:rPr>
      </w:pPr>
    </w:p>
    <w:p w14:paraId="4C77E51D" w14:textId="77777777" w:rsidR="00692DC8" w:rsidRPr="00692DC8" w:rsidRDefault="00692DC8" w:rsidP="003D12E6">
      <w:pPr>
        <w:rPr>
          <w:i/>
        </w:rPr>
      </w:pPr>
    </w:p>
    <w:p w14:paraId="2E9D6DF1" w14:textId="77777777" w:rsidR="00692DC8" w:rsidRPr="00692DC8" w:rsidRDefault="00692DC8" w:rsidP="003D12E6">
      <w:pPr>
        <w:pStyle w:val="Ttulo4"/>
        <w:spacing w:after="240"/>
        <w:rPr>
          <w:rFonts w:eastAsia="Times New Roman"/>
        </w:rPr>
      </w:pPr>
      <w:bookmarkStart w:id="389" w:name="_Toc82768939"/>
      <w:bookmarkStart w:id="390" w:name="_Toc189804851"/>
      <w:r w:rsidRPr="00692DC8">
        <w:rPr>
          <w:rFonts w:eastAsia="Times New Roman"/>
        </w:rPr>
        <w:lastRenderedPageBreak/>
        <w:t>NOTA N° 18</w:t>
      </w:r>
      <w:bookmarkEnd w:id="386"/>
      <w:bookmarkEnd w:id="387"/>
      <w:bookmarkEnd w:id="388"/>
      <w:bookmarkEnd w:id="389"/>
      <w:bookmarkEnd w:id="390"/>
    </w:p>
    <w:p w14:paraId="0F1BB941" w14:textId="77777777" w:rsidR="00396CB4" w:rsidRDefault="00692DC8" w:rsidP="00580A3A">
      <w:pPr>
        <w:spacing w:before="240"/>
        <w:rPr>
          <w:rFonts w:asciiTheme="minorHAnsi" w:hAnsiTheme="minorHAnsi"/>
          <w:sz w:val="22"/>
        </w:rPr>
      </w:pPr>
      <w:bookmarkStart w:id="391" w:name="_Toc82768940"/>
      <w:r w:rsidRPr="00692DC8">
        <w:rPr>
          <w:rFonts w:eastAsia="Times New Roman"/>
        </w:rPr>
        <w:t>Otros pasivos a corto plazo</w:t>
      </w:r>
      <w:bookmarkEnd w:id="391"/>
      <w:r w:rsidR="00DE2C82">
        <w:rPr>
          <w:rFonts w:eastAsia="Times New Roman" w:cstheme="majorBidi"/>
          <w:b/>
          <w:iCs/>
          <w:lang w:val="es-ES" w:eastAsia="es-CR"/>
        </w:rPr>
        <w:fldChar w:fldCharType="begin"/>
      </w:r>
      <w:r w:rsidR="00DE2C82">
        <w:rPr>
          <w:rFonts w:eastAsia="Times New Roman"/>
          <w:lang w:val="es-ES" w:eastAsia="es-CR"/>
        </w:rPr>
        <w:instrText xml:space="preserve"> LINK </w:instrText>
      </w:r>
      <w:r w:rsidR="00756467">
        <w:rPr>
          <w:rFonts w:eastAsia="Times New Roman"/>
          <w:lang w:val="es-ES" w:eastAsia="es-CR"/>
        </w:rPr>
        <w:instrText xml:space="preserve">Excel.SheetMacroEnabled.12 "C:\\Users\\gcordero\\Downloads\\Notas diciembre 2024\\Formato_Notas_EEFF_Vinculadas_2024\\Formato_Notas_EEFF_Vinculadas_2024\\15603_T04_2024_Anexo_Estado_Notas_Contables_Vinculadas.xlsm" NOTAS_POR_CUENTA!F139C1:F141C6 </w:instrText>
      </w:r>
      <w:r w:rsidR="00DE2C82">
        <w:rPr>
          <w:rFonts w:eastAsia="Times New Roman"/>
          <w:lang w:val="es-ES" w:eastAsia="es-CR"/>
        </w:rPr>
        <w:instrText xml:space="preserve">\a \f 4 \h </w:instrText>
      </w:r>
      <w:r w:rsidR="00DE2C82">
        <w:rPr>
          <w:rFonts w:eastAsia="Times New Roman"/>
          <w:lang w:val="es-ES" w:eastAsia="es-CR"/>
        </w:rPr>
        <w:fldChar w:fldCharType="separate"/>
      </w:r>
    </w:p>
    <w:tbl>
      <w:tblPr>
        <w:tblW w:w="9600" w:type="dxa"/>
        <w:tblCellMar>
          <w:left w:w="70" w:type="dxa"/>
          <w:right w:w="70" w:type="dxa"/>
        </w:tblCellMar>
        <w:tblLook w:val="04A0" w:firstRow="1" w:lastRow="0" w:firstColumn="1" w:lastColumn="0" w:noHBand="0" w:noVBand="1"/>
      </w:tblPr>
      <w:tblGrid>
        <w:gridCol w:w="991"/>
        <w:gridCol w:w="2889"/>
        <w:gridCol w:w="500"/>
        <w:gridCol w:w="2100"/>
        <w:gridCol w:w="2100"/>
        <w:gridCol w:w="1020"/>
      </w:tblGrid>
      <w:tr w:rsidR="00396CB4" w:rsidRPr="00396CB4" w14:paraId="3898C64B" w14:textId="77777777" w:rsidTr="00396CB4">
        <w:trPr>
          <w:divId w:val="934941423"/>
          <w:trHeight w:val="330"/>
        </w:trPr>
        <w:tc>
          <w:tcPr>
            <w:tcW w:w="99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F9B06AF" w14:textId="6CF1B0E2" w:rsidR="00396CB4" w:rsidRPr="00396CB4" w:rsidRDefault="00396CB4" w:rsidP="00396CB4">
            <w:pP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2889"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95C6A53"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967CAA4"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DD5E345"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17CCB46"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7B8F03FC"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3972ECD8" w14:textId="77777777" w:rsidTr="00396CB4">
        <w:trPr>
          <w:divId w:val="934941423"/>
          <w:trHeight w:val="330"/>
        </w:trPr>
        <w:tc>
          <w:tcPr>
            <w:tcW w:w="991" w:type="dxa"/>
            <w:vMerge/>
            <w:tcBorders>
              <w:top w:val="single" w:sz="8" w:space="0" w:color="auto"/>
              <w:left w:val="single" w:sz="8" w:space="0" w:color="auto"/>
              <w:bottom w:val="single" w:sz="8" w:space="0" w:color="000000"/>
              <w:right w:val="single" w:sz="8" w:space="0" w:color="auto"/>
            </w:tcBorders>
            <w:vAlign w:val="center"/>
            <w:hideMark/>
          </w:tcPr>
          <w:p w14:paraId="57FC0CE0"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889" w:type="dxa"/>
            <w:vMerge/>
            <w:tcBorders>
              <w:top w:val="single" w:sz="8" w:space="0" w:color="auto"/>
              <w:left w:val="single" w:sz="8" w:space="0" w:color="auto"/>
              <w:bottom w:val="single" w:sz="8" w:space="0" w:color="000000"/>
              <w:right w:val="single" w:sz="8" w:space="0" w:color="auto"/>
            </w:tcBorders>
            <w:vAlign w:val="center"/>
            <w:hideMark/>
          </w:tcPr>
          <w:p w14:paraId="7B86E136"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007ACDC8"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02351A32"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4A3AADE8"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482E7608"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330549EC" w14:textId="77777777" w:rsidTr="00396CB4">
        <w:trPr>
          <w:divId w:val="934941423"/>
          <w:trHeight w:val="330"/>
        </w:trPr>
        <w:tc>
          <w:tcPr>
            <w:tcW w:w="991" w:type="dxa"/>
            <w:tcBorders>
              <w:top w:val="nil"/>
              <w:left w:val="single" w:sz="8" w:space="0" w:color="auto"/>
              <w:bottom w:val="single" w:sz="8" w:space="0" w:color="auto"/>
              <w:right w:val="single" w:sz="8" w:space="0" w:color="auto"/>
            </w:tcBorders>
            <w:shd w:val="clear" w:color="auto" w:fill="auto"/>
            <w:noWrap/>
            <w:vAlign w:val="center"/>
            <w:hideMark/>
          </w:tcPr>
          <w:p w14:paraId="08F4EF71"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2.1.9.</w:t>
            </w:r>
          </w:p>
        </w:tc>
        <w:tc>
          <w:tcPr>
            <w:tcW w:w="2889" w:type="dxa"/>
            <w:tcBorders>
              <w:top w:val="nil"/>
              <w:left w:val="nil"/>
              <w:bottom w:val="single" w:sz="8" w:space="0" w:color="auto"/>
              <w:right w:val="single" w:sz="8" w:space="0" w:color="auto"/>
            </w:tcBorders>
            <w:shd w:val="clear" w:color="auto" w:fill="auto"/>
            <w:vAlign w:val="center"/>
            <w:hideMark/>
          </w:tcPr>
          <w:p w14:paraId="379274C7" w14:textId="77777777" w:rsidR="00396CB4" w:rsidRPr="00396CB4" w:rsidRDefault="00396CB4" w:rsidP="00396CB4">
            <w:pPr>
              <w:spacing w:after="0" w:line="240" w:lineRule="auto"/>
              <w:rPr>
                <w:rFonts w:eastAsia="Times New Roman" w:cs="Calibri"/>
                <w:b/>
                <w:bCs/>
                <w:color w:val="000000"/>
                <w:sz w:val="18"/>
                <w:szCs w:val="18"/>
                <w:lang w:eastAsia="es-CR"/>
              </w:rPr>
            </w:pPr>
            <w:r w:rsidRPr="00396CB4">
              <w:rPr>
                <w:rFonts w:eastAsia="Times New Roman" w:cs="Calibri"/>
                <w:b/>
                <w:bCs/>
                <w:color w:val="000000"/>
                <w:sz w:val="18"/>
                <w:szCs w:val="18"/>
                <w:lang w:eastAsia="es-CR"/>
              </w:rPr>
              <w:t>Otros pasivos a corto plazo</w:t>
            </w:r>
          </w:p>
        </w:tc>
        <w:tc>
          <w:tcPr>
            <w:tcW w:w="500" w:type="dxa"/>
            <w:tcBorders>
              <w:top w:val="nil"/>
              <w:left w:val="nil"/>
              <w:bottom w:val="single" w:sz="8" w:space="0" w:color="auto"/>
              <w:right w:val="single" w:sz="8" w:space="0" w:color="auto"/>
            </w:tcBorders>
            <w:shd w:val="clear" w:color="auto" w:fill="auto"/>
            <w:noWrap/>
            <w:vAlign w:val="center"/>
            <w:hideMark/>
          </w:tcPr>
          <w:p w14:paraId="0896CF03"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18</w:t>
            </w:r>
          </w:p>
        </w:tc>
        <w:tc>
          <w:tcPr>
            <w:tcW w:w="2100" w:type="dxa"/>
            <w:tcBorders>
              <w:top w:val="nil"/>
              <w:left w:val="nil"/>
              <w:bottom w:val="single" w:sz="8" w:space="0" w:color="auto"/>
              <w:right w:val="single" w:sz="8" w:space="0" w:color="auto"/>
            </w:tcBorders>
            <w:shd w:val="clear" w:color="auto" w:fill="auto"/>
            <w:noWrap/>
            <w:vAlign w:val="center"/>
            <w:hideMark/>
          </w:tcPr>
          <w:p w14:paraId="1C905BF7"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2100" w:type="dxa"/>
            <w:tcBorders>
              <w:top w:val="nil"/>
              <w:left w:val="nil"/>
              <w:bottom w:val="single" w:sz="8" w:space="0" w:color="auto"/>
              <w:right w:val="single" w:sz="8" w:space="0" w:color="auto"/>
            </w:tcBorders>
            <w:shd w:val="clear" w:color="auto" w:fill="auto"/>
            <w:noWrap/>
            <w:vAlign w:val="center"/>
            <w:hideMark/>
          </w:tcPr>
          <w:p w14:paraId="6924DD35"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1020" w:type="dxa"/>
            <w:tcBorders>
              <w:top w:val="nil"/>
              <w:left w:val="nil"/>
              <w:bottom w:val="single" w:sz="8" w:space="0" w:color="auto"/>
              <w:right w:val="single" w:sz="8" w:space="0" w:color="auto"/>
            </w:tcBorders>
            <w:shd w:val="clear" w:color="auto" w:fill="auto"/>
            <w:noWrap/>
            <w:vAlign w:val="center"/>
            <w:hideMark/>
          </w:tcPr>
          <w:p w14:paraId="46472939"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0,00%</w:t>
            </w:r>
          </w:p>
        </w:tc>
      </w:tr>
    </w:tbl>
    <w:p w14:paraId="2CE2AD2A" w14:textId="77777777" w:rsidR="00396CB4" w:rsidRDefault="00DE2C82" w:rsidP="00580A3A">
      <w:pPr>
        <w:spacing w:before="240"/>
        <w:rPr>
          <w:rFonts w:asciiTheme="minorHAnsi" w:hAnsiTheme="minorHAnsi"/>
          <w:sz w:val="22"/>
        </w:rPr>
      </w:pPr>
      <w:r>
        <w:rPr>
          <w:rFonts w:eastAsia="Times New Roman"/>
          <w:sz w:val="22"/>
          <w:lang w:val="es-ES" w:eastAsia="es-CR"/>
        </w:rPr>
        <w:fldChar w:fldCharType="end"/>
      </w:r>
      <w:r w:rsidR="00692DC8" w:rsidRPr="00692DC8">
        <w:rPr>
          <w:rFonts w:eastAsia="Times New Roman"/>
          <w:sz w:val="22"/>
          <w:lang w:val="es-ES" w:eastAsia="es-CR"/>
        </w:rPr>
        <w:t>Detalle cuenta:</w:t>
      </w:r>
      <w:r>
        <w:rPr>
          <w:lang w:val="es-ES" w:eastAsia="es-CR"/>
        </w:rPr>
        <w:fldChar w:fldCharType="begin"/>
      </w:r>
      <w:r>
        <w:rPr>
          <w:lang w:val="es-ES" w:eastAsia="es-CR"/>
        </w:rPr>
        <w:instrText xml:space="preserve"> LINK </w:instrText>
      </w:r>
      <w:r w:rsidR="00756467">
        <w:rPr>
          <w:lang w:val="es-ES" w:eastAsia="es-CR"/>
        </w:rPr>
        <w:instrText xml:space="preserve">Excel.SheetMacroEnabled.12 "C:\\Users\\gcordero\\Downloads\\Notas diciembre 2024\\Formato_Notas_EEFF_Vinculadas_2024\\Formato_Notas_EEFF_Vinculadas_2024\\15603_T04_2024_Anexo_Estado_Notas_Contables_Vinculadas.xlsm" NOTAS_POR_CUENTA!F143C1:F145C6 </w:instrText>
      </w:r>
      <w:r>
        <w:rPr>
          <w:lang w:val="es-ES" w:eastAsia="es-CR"/>
        </w:rPr>
        <w:instrText xml:space="preserve">\a \f 4 \h </w:instrText>
      </w:r>
      <w:r>
        <w:rPr>
          <w:lang w:val="es-ES" w:eastAsia="es-CR"/>
        </w:rPr>
        <w:fldChar w:fldCharType="separate"/>
      </w:r>
    </w:p>
    <w:tbl>
      <w:tblPr>
        <w:tblW w:w="9600" w:type="dxa"/>
        <w:tblCellMar>
          <w:left w:w="70" w:type="dxa"/>
          <w:right w:w="70" w:type="dxa"/>
        </w:tblCellMar>
        <w:tblLook w:val="04A0" w:firstRow="1" w:lastRow="0" w:firstColumn="1" w:lastColumn="0" w:noHBand="0" w:noVBand="1"/>
      </w:tblPr>
      <w:tblGrid>
        <w:gridCol w:w="1113"/>
        <w:gridCol w:w="2767"/>
        <w:gridCol w:w="500"/>
        <w:gridCol w:w="2100"/>
        <w:gridCol w:w="2100"/>
        <w:gridCol w:w="1020"/>
      </w:tblGrid>
      <w:tr w:rsidR="00396CB4" w:rsidRPr="00396CB4" w14:paraId="543FCDD6" w14:textId="77777777" w:rsidTr="00396CB4">
        <w:trPr>
          <w:divId w:val="1535145097"/>
          <w:trHeight w:val="330"/>
        </w:trPr>
        <w:tc>
          <w:tcPr>
            <w:tcW w:w="1113"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758BE7B" w14:textId="4C7B2FB9" w:rsidR="00396CB4" w:rsidRPr="00396CB4" w:rsidRDefault="00396CB4" w:rsidP="00396CB4">
            <w:pP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2767"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2907124"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A51409B"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A283B92"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48231E6"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31C10093"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15D6B648" w14:textId="77777777" w:rsidTr="00396CB4">
        <w:trPr>
          <w:divId w:val="1535145097"/>
          <w:trHeight w:val="330"/>
        </w:trPr>
        <w:tc>
          <w:tcPr>
            <w:tcW w:w="1113" w:type="dxa"/>
            <w:vMerge/>
            <w:tcBorders>
              <w:top w:val="single" w:sz="8" w:space="0" w:color="auto"/>
              <w:left w:val="single" w:sz="8" w:space="0" w:color="auto"/>
              <w:bottom w:val="single" w:sz="8" w:space="0" w:color="000000"/>
              <w:right w:val="single" w:sz="8" w:space="0" w:color="auto"/>
            </w:tcBorders>
            <w:vAlign w:val="center"/>
            <w:hideMark/>
          </w:tcPr>
          <w:p w14:paraId="2EC85AB1"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767" w:type="dxa"/>
            <w:vMerge/>
            <w:tcBorders>
              <w:top w:val="single" w:sz="8" w:space="0" w:color="auto"/>
              <w:left w:val="single" w:sz="8" w:space="0" w:color="auto"/>
              <w:bottom w:val="single" w:sz="8" w:space="0" w:color="000000"/>
              <w:right w:val="single" w:sz="8" w:space="0" w:color="auto"/>
            </w:tcBorders>
            <w:vAlign w:val="center"/>
            <w:hideMark/>
          </w:tcPr>
          <w:p w14:paraId="574C0ADF"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1B49ED4C"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7E213FBE"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5C9752A2"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3449FF5F"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55CA49B9" w14:textId="77777777" w:rsidTr="00396CB4">
        <w:trPr>
          <w:divId w:val="1535145097"/>
          <w:trHeight w:val="330"/>
        </w:trPr>
        <w:tc>
          <w:tcPr>
            <w:tcW w:w="1113" w:type="dxa"/>
            <w:tcBorders>
              <w:top w:val="nil"/>
              <w:left w:val="single" w:sz="8" w:space="0" w:color="auto"/>
              <w:bottom w:val="single" w:sz="8" w:space="0" w:color="auto"/>
              <w:right w:val="single" w:sz="8" w:space="0" w:color="auto"/>
            </w:tcBorders>
            <w:shd w:val="clear" w:color="auto" w:fill="auto"/>
            <w:noWrap/>
            <w:vAlign w:val="center"/>
            <w:hideMark/>
          </w:tcPr>
          <w:p w14:paraId="691BA8AB"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2.1.9.01.</w:t>
            </w:r>
          </w:p>
        </w:tc>
        <w:tc>
          <w:tcPr>
            <w:tcW w:w="2767" w:type="dxa"/>
            <w:tcBorders>
              <w:top w:val="nil"/>
              <w:left w:val="nil"/>
              <w:bottom w:val="single" w:sz="8" w:space="0" w:color="auto"/>
              <w:right w:val="single" w:sz="8" w:space="0" w:color="auto"/>
            </w:tcBorders>
            <w:shd w:val="clear" w:color="auto" w:fill="auto"/>
            <w:vAlign w:val="center"/>
            <w:hideMark/>
          </w:tcPr>
          <w:p w14:paraId="65229105" w14:textId="77777777" w:rsidR="00396CB4" w:rsidRPr="00396CB4" w:rsidRDefault="00396CB4" w:rsidP="00396CB4">
            <w:pPr>
              <w:spacing w:after="0" w:line="240" w:lineRule="auto"/>
              <w:rPr>
                <w:rFonts w:eastAsia="Times New Roman" w:cs="Calibri"/>
                <w:b/>
                <w:bCs/>
                <w:color w:val="000000"/>
                <w:sz w:val="18"/>
                <w:szCs w:val="18"/>
                <w:lang w:eastAsia="es-CR"/>
              </w:rPr>
            </w:pPr>
            <w:r w:rsidRPr="00396CB4">
              <w:rPr>
                <w:rFonts w:eastAsia="Times New Roman" w:cs="Calibri"/>
                <w:b/>
                <w:bCs/>
                <w:color w:val="000000"/>
                <w:sz w:val="18"/>
                <w:szCs w:val="18"/>
                <w:lang w:eastAsia="es-CR"/>
              </w:rPr>
              <w:t>Ingresos a devengar a corto plazo</w:t>
            </w:r>
          </w:p>
        </w:tc>
        <w:tc>
          <w:tcPr>
            <w:tcW w:w="500" w:type="dxa"/>
            <w:tcBorders>
              <w:top w:val="nil"/>
              <w:left w:val="nil"/>
              <w:bottom w:val="single" w:sz="8" w:space="0" w:color="auto"/>
              <w:right w:val="single" w:sz="8" w:space="0" w:color="auto"/>
            </w:tcBorders>
            <w:shd w:val="clear" w:color="auto" w:fill="auto"/>
            <w:noWrap/>
            <w:vAlign w:val="bottom"/>
            <w:hideMark/>
          </w:tcPr>
          <w:p w14:paraId="7A22520B"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18</w:t>
            </w:r>
          </w:p>
        </w:tc>
        <w:tc>
          <w:tcPr>
            <w:tcW w:w="2100" w:type="dxa"/>
            <w:tcBorders>
              <w:top w:val="nil"/>
              <w:left w:val="nil"/>
              <w:bottom w:val="single" w:sz="8" w:space="0" w:color="auto"/>
              <w:right w:val="single" w:sz="8" w:space="0" w:color="auto"/>
            </w:tcBorders>
            <w:shd w:val="clear" w:color="auto" w:fill="auto"/>
            <w:noWrap/>
            <w:vAlign w:val="center"/>
            <w:hideMark/>
          </w:tcPr>
          <w:p w14:paraId="11B2590C"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2100" w:type="dxa"/>
            <w:tcBorders>
              <w:top w:val="nil"/>
              <w:left w:val="nil"/>
              <w:bottom w:val="single" w:sz="8" w:space="0" w:color="auto"/>
              <w:right w:val="single" w:sz="8" w:space="0" w:color="auto"/>
            </w:tcBorders>
            <w:shd w:val="clear" w:color="auto" w:fill="auto"/>
            <w:noWrap/>
            <w:vAlign w:val="center"/>
            <w:hideMark/>
          </w:tcPr>
          <w:p w14:paraId="020EEE51"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1020" w:type="dxa"/>
            <w:tcBorders>
              <w:top w:val="nil"/>
              <w:left w:val="nil"/>
              <w:bottom w:val="single" w:sz="8" w:space="0" w:color="auto"/>
              <w:right w:val="single" w:sz="8" w:space="0" w:color="auto"/>
            </w:tcBorders>
            <w:shd w:val="clear" w:color="auto" w:fill="auto"/>
            <w:noWrap/>
            <w:vAlign w:val="center"/>
            <w:hideMark/>
          </w:tcPr>
          <w:p w14:paraId="11D93B72"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0,00%</w:t>
            </w:r>
          </w:p>
        </w:tc>
      </w:tr>
    </w:tbl>
    <w:p w14:paraId="11D0A57D" w14:textId="3C83E422" w:rsidR="00692DC8" w:rsidRPr="00580A3A" w:rsidRDefault="00DE2C82" w:rsidP="00580A3A">
      <w:pPr>
        <w:spacing w:before="240"/>
        <w:rPr>
          <w:lang w:val="es-ES" w:eastAsia="es-CR"/>
        </w:rPr>
      </w:pPr>
      <w:r>
        <w:rPr>
          <w:lang w:val="es-ES" w:eastAsia="es-CR"/>
        </w:rPr>
        <w:fldChar w:fldCharType="end"/>
      </w:r>
      <w:r w:rsidR="00692DC8" w:rsidRPr="00692DC8">
        <w:rPr>
          <w:rFonts w:eastAsia="Calibri"/>
          <w:szCs w:val="24"/>
        </w:rPr>
        <w:t>Indicar el detalle de cómo está compuesta la cuenta:</w:t>
      </w:r>
    </w:p>
    <w:p w14:paraId="0C697791" w14:textId="77777777" w:rsidR="00692DC8" w:rsidRPr="00692DC8" w:rsidRDefault="00692DC8" w:rsidP="003D12E6">
      <w:pPr>
        <w:rPr>
          <w:szCs w:val="24"/>
          <w:lang w:eastAsia="es-CR"/>
        </w:rPr>
      </w:pPr>
      <w:r w:rsidRPr="00692DC8">
        <w:rPr>
          <w:szCs w:val="24"/>
          <w:lang w:eastAsia="es-CR"/>
        </w:rPr>
        <w:t>________________________________________________________________________________________________________________________________________________________________________________________________________________________________________________</w:t>
      </w:r>
    </w:p>
    <w:p w14:paraId="7E0FE7A9" w14:textId="77777777" w:rsidR="00396CB4" w:rsidRPr="00396CB4" w:rsidRDefault="00692DC8" w:rsidP="00580A3A">
      <w:pPr>
        <w:rPr>
          <w:rFonts w:eastAsia="Calibri"/>
          <w:lang w:val="es-ES"/>
        </w:rPr>
      </w:pPr>
      <w:r w:rsidRPr="00692DC8">
        <w:rPr>
          <w:rFonts w:eastAsia="Calibri"/>
          <w:b/>
          <w:lang w:val="es-ES"/>
        </w:rPr>
        <w:t>Revelación</w:t>
      </w:r>
      <w:r w:rsidRPr="00692DC8">
        <w:rPr>
          <w:rFonts w:eastAsia="Calibri"/>
          <w:lang w:val="es-ES"/>
        </w:rPr>
        <w:t xml:space="preserve">: </w:t>
      </w:r>
      <w:r w:rsidR="00580A3A">
        <w:rPr>
          <w:rFonts w:cs="Calibri"/>
          <w:color w:val="000000"/>
          <w:lang w:eastAsia="es-CR"/>
        </w:rPr>
        <w:fldChar w:fldCharType="begin"/>
      </w:r>
      <w:r w:rsidR="00580A3A">
        <w:rPr>
          <w:rFonts w:cs="Calibri"/>
          <w:color w:val="000000"/>
          <w:lang w:eastAsia="es-CR"/>
        </w:rPr>
        <w:instrText xml:space="preserve"> LINK </w:instrText>
      </w:r>
      <w:r w:rsidR="00756467">
        <w:rPr>
          <w:rFonts w:cs="Calibri"/>
          <w:color w:val="000000"/>
          <w:lang w:eastAsia="es-CR"/>
        </w:rPr>
        <w:instrText xml:space="preserve">Excel.SheetMacroEnabled.12 "C:\\Users\\gcordero\\Downloads\\Notas diciembre 2024\\Formato_Notas_EEFF_Vinculadas_2024\\Formato_Notas_EEFF_Vinculadas_2024\\15603_T04_2024_Anexo_Estado_Notas_Contables_Vinculadas.xlsm" NOTAS_POR_CUENTA!F141C8 </w:instrText>
      </w:r>
      <w:r w:rsidR="00580A3A">
        <w:rPr>
          <w:rFonts w:cs="Calibri"/>
          <w:color w:val="000000"/>
          <w:lang w:eastAsia="es-CR"/>
        </w:rPr>
        <w:instrText xml:space="preserve">\a \f 5 \h  \* MERGEFORMAT </w:instrText>
      </w:r>
      <w:r w:rsidR="00580A3A">
        <w:rPr>
          <w:rFonts w:cs="Calibri"/>
          <w:color w:val="000000"/>
          <w:lang w:eastAsia="es-CR"/>
        </w:rPr>
        <w:fldChar w:fldCharType="separate"/>
      </w:r>
    </w:p>
    <w:p w14:paraId="174DF398" w14:textId="77777777" w:rsidR="00396CB4" w:rsidRPr="00396CB4" w:rsidRDefault="00396CB4" w:rsidP="00396CB4">
      <w:pPr>
        <w:rPr>
          <w:rFonts w:cs="Calibri"/>
          <w:color w:val="000000"/>
          <w:lang w:eastAsia="es-CR"/>
        </w:rPr>
      </w:pPr>
      <w:r w:rsidRPr="00396CB4">
        <w:rPr>
          <w:rFonts w:cs="Calibri"/>
          <w:color w:val="000000"/>
          <w:lang w:eastAsia="es-CR"/>
        </w:rPr>
        <w:t>La cuenta Otros pasivos a corto plazo, representa el 0,00% del total del Pasivo, que comparado al periodo anterior genera una variación absoluta de 0 000,00 que corresponde a un Aumento del 0,00% de recursos disponibles.</w:t>
      </w:r>
    </w:p>
    <w:p w14:paraId="6AD90497" w14:textId="7C0A67C2" w:rsidR="00692DC8" w:rsidRPr="00692DC8" w:rsidRDefault="00580A3A" w:rsidP="00580A3A">
      <w:pPr>
        <w:rPr>
          <w:rFonts w:eastAsiaTheme="minorEastAsia" w:cs="Arial Narrow"/>
          <w:color w:val="000000"/>
          <w:lang w:eastAsia="es-CR"/>
        </w:rPr>
      </w:pPr>
      <w:r>
        <w:rPr>
          <w:rFonts w:cs="Calibri"/>
          <w:color w:val="000000"/>
          <w:lang w:eastAsia="es-CR"/>
        </w:rPr>
        <w:fldChar w:fldCharType="end"/>
      </w:r>
      <w:r w:rsidR="00692DC8" w:rsidRPr="00692DC8">
        <w:rPr>
          <w:rFonts w:eastAsia="Calibri"/>
          <w:highlight w:val="lightGray"/>
        </w:rPr>
        <w:t>Las variaciones de la cuenta son producto de (Indicar la razón de las variaciones de un periodo a otro):</w:t>
      </w:r>
      <w:r w:rsidR="00692DC8" w:rsidRPr="00692DC8">
        <w:rPr>
          <w:rFonts w:eastAsia="Calibri"/>
        </w:rPr>
        <w:t xml:space="preserve"> </w:t>
      </w:r>
    </w:p>
    <w:p w14:paraId="6A03DFB6" w14:textId="77777777" w:rsidR="003D12E6" w:rsidRPr="00692DC8" w:rsidRDefault="003D12E6" w:rsidP="003D12E6">
      <w:pPr>
        <w:rPr>
          <w:rFonts w:eastAsia="Calibri"/>
          <w:szCs w:val="24"/>
          <w:highlight w:val="yellow"/>
        </w:rPr>
      </w:pPr>
    </w:p>
    <w:p w14:paraId="1418BEA4" w14:textId="4C4ADC77" w:rsidR="00692DC8" w:rsidRPr="00692DC8" w:rsidRDefault="00692DC8" w:rsidP="003D12E6">
      <w:pPr>
        <w:pStyle w:val="Ttulo3"/>
        <w:spacing w:after="240"/>
        <w:rPr>
          <w:rFonts w:eastAsia="Calibri"/>
          <w:lang w:eastAsia="es-CR"/>
        </w:rPr>
      </w:pPr>
      <w:bookmarkStart w:id="392" w:name="_Toc82768941"/>
      <w:bookmarkStart w:id="393" w:name="_Toc189804852"/>
      <w:r w:rsidRPr="00692DC8">
        <w:rPr>
          <w:rFonts w:eastAsia="Calibri"/>
          <w:lang w:eastAsia="es-CR"/>
        </w:rPr>
        <w:t>2.2 PASIVO NO CORRIENTE</w:t>
      </w:r>
      <w:bookmarkStart w:id="394" w:name="_Toc13041142"/>
      <w:bookmarkStart w:id="395" w:name="_Toc14345141"/>
      <w:bookmarkEnd w:id="392"/>
      <w:bookmarkEnd w:id="393"/>
    </w:p>
    <w:p w14:paraId="14564617" w14:textId="77777777" w:rsidR="00692DC8" w:rsidRPr="00692DC8" w:rsidRDefault="00692DC8" w:rsidP="003D12E6">
      <w:pPr>
        <w:pStyle w:val="Ttulo4"/>
        <w:spacing w:after="240"/>
        <w:rPr>
          <w:rFonts w:eastAsia="Times New Roman"/>
        </w:rPr>
      </w:pPr>
      <w:bookmarkStart w:id="396" w:name="_Toc33601237"/>
      <w:bookmarkStart w:id="397" w:name="_Toc82768942"/>
      <w:bookmarkStart w:id="398" w:name="_Toc189804853"/>
      <w:r w:rsidRPr="00692DC8">
        <w:rPr>
          <w:rFonts w:eastAsia="Times New Roman"/>
        </w:rPr>
        <w:t>NOTA N° 19</w:t>
      </w:r>
      <w:bookmarkEnd w:id="394"/>
      <w:bookmarkEnd w:id="395"/>
      <w:bookmarkEnd w:id="396"/>
      <w:bookmarkEnd w:id="397"/>
      <w:bookmarkEnd w:id="398"/>
    </w:p>
    <w:p w14:paraId="52161FEB" w14:textId="77777777" w:rsidR="00396CB4" w:rsidRDefault="00692DC8" w:rsidP="00F51D42">
      <w:pPr>
        <w:spacing w:before="240"/>
        <w:rPr>
          <w:rFonts w:asciiTheme="minorHAnsi" w:hAnsiTheme="minorHAnsi"/>
          <w:sz w:val="22"/>
        </w:rPr>
      </w:pPr>
      <w:bookmarkStart w:id="399" w:name="_Toc82768943"/>
      <w:r w:rsidRPr="00692DC8">
        <w:rPr>
          <w:rFonts w:eastAsia="Times New Roman"/>
        </w:rPr>
        <w:t>Deudas a largo plazo</w:t>
      </w:r>
      <w:bookmarkEnd w:id="399"/>
      <w:r w:rsidR="00697FA2">
        <w:rPr>
          <w:rFonts w:eastAsiaTheme="majorEastAsia" w:cstheme="majorBidi"/>
          <w:iCs/>
          <w:lang w:val="es-ES"/>
        </w:rPr>
        <w:fldChar w:fldCharType="begin"/>
      </w:r>
      <w:r w:rsidR="00697FA2">
        <w:rPr>
          <w:lang w:val="es-ES"/>
        </w:rPr>
        <w:instrText xml:space="preserve"> LINK </w:instrText>
      </w:r>
      <w:r w:rsidR="00756467">
        <w:rPr>
          <w:lang w:val="es-ES"/>
        </w:rPr>
        <w:instrText xml:space="preserve">Excel.SheetMacroEnabled.12 "C:\\Users\\gcordero\\Downloads\\Notas diciembre 2024\\Formato_Notas_EEFF_Vinculadas_2024\\Formato_Notas_EEFF_Vinculadas_2024\\15603_T04_2024_Anexo_Estado_Notas_Contables_Vinculadas.xlsm" NOTAS_POR_CUENTA!F147C1:F149C6 </w:instrText>
      </w:r>
      <w:r w:rsidR="00697FA2">
        <w:rPr>
          <w:lang w:val="es-ES"/>
        </w:rPr>
        <w:instrText xml:space="preserve">\a \f 4 \h </w:instrText>
      </w:r>
      <w:r w:rsidR="00697FA2">
        <w:rPr>
          <w:b/>
          <w:lang w:val="es-ES"/>
        </w:rPr>
        <w:fldChar w:fldCharType="separate"/>
      </w:r>
    </w:p>
    <w:tbl>
      <w:tblPr>
        <w:tblW w:w="9600" w:type="dxa"/>
        <w:tblCellMar>
          <w:left w:w="70" w:type="dxa"/>
          <w:right w:w="70" w:type="dxa"/>
        </w:tblCellMar>
        <w:tblLook w:val="04A0" w:firstRow="1" w:lastRow="0" w:firstColumn="1" w:lastColumn="0" w:noHBand="0" w:noVBand="1"/>
      </w:tblPr>
      <w:tblGrid>
        <w:gridCol w:w="991"/>
        <w:gridCol w:w="2889"/>
        <w:gridCol w:w="500"/>
        <w:gridCol w:w="2100"/>
        <w:gridCol w:w="2100"/>
        <w:gridCol w:w="1020"/>
      </w:tblGrid>
      <w:tr w:rsidR="00396CB4" w:rsidRPr="00396CB4" w14:paraId="57ACEF02" w14:textId="77777777" w:rsidTr="00396CB4">
        <w:trPr>
          <w:divId w:val="1675572183"/>
          <w:trHeight w:val="330"/>
        </w:trPr>
        <w:tc>
          <w:tcPr>
            <w:tcW w:w="99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8B5536C" w14:textId="10DB8F53" w:rsidR="00396CB4" w:rsidRPr="00396CB4" w:rsidRDefault="00396CB4" w:rsidP="00396CB4">
            <w:pP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2889"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F4E57CA"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B8A9608"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EAA8CD8"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FEA0F71"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215F14C8"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064F3C5A" w14:textId="77777777" w:rsidTr="00396CB4">
        <w:trPr>
          <w:divId w:val="1675572183"/>
          <w:trHeight w:val="330"/>
        </w:trPr>
        <w:tc>
          <w:tcPr>
            <w:tcW w:w="991" w:type="dxa"/>
            <w:vMerge/>
            <w:tcBorders>
              <w:top w:val="single" w:sz="8" w:space="0" w:color="auto"/>
              <w:left w:val="single" w:sz="8" w:space="0" w:color="auto"/>
              <w:bottom w:val="single" w:sz="8" w:space="0" w:color="000000"/>
              <w:right w:val="single" w:sz="8" w:space="0" w:color="auto"/>
            </w:tcBorders>
            <w:vAlign w:val="center"/>
            <w:hideMark/>
          </w:tcPr>
          <w:p w14:paraId="2059FBF7"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889" w:type="dxa"/>
            <w:vMerge/>
            <w:tcBorders>
              <w:top w:val="single" w:sz="8" w:space="0" w:color="auto"/>
              <w:left w:val="single" w:sz="8" w:space="0" w:color="auto"/>
              <w:bottom w:val="single" w:sz="8" w:space="0" w:color="000000"/>
              <w:right w:val="single" w:sz="8" w:space="0" w:color="auto"/>
            </w:tcBorders>
            <w:vAlign w:val="center"/>
            <w:hideMark/>
          </w:tcPr>
          <w:p w14:paraId="3723FD36"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7AB5C938"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2AF569EC"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23ED50E3"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6244D93F"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719C3649" w14:textId="77777777" w:rsidTr="00396CB4">
        <w:trPr>
          <w:divId w:val="1675572183"/>
          <w:trHeight w:val="330"/>
        </w:trPr>
        <w:tc>
          <w:tcPr>
            <w:tcW w:w="991" w:type="dxa"/>
            <w:tcBorders>
              <w:top w:val="nil"/>
              <w:left w:val="single" w:sz="8" w:space="0" w:color="auto"/>
              <w:bottom w:val="single" w:sz="8" w:space="0" w:color="auto"/>
              <w:right w:val="single" w:sz="8" w:space="0" w:color="auto"/>
            </w:tcBorders>
            <w:shd w:val="clear" w:color="auto" w:fill="auto"/>
            <w:noWrap/>
            <w:vAlign w:val="center"/>
            <w:hideMark/>
          </w:tcPr>
          <w:p w14:paraId="28CB02D7"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2.2.1.</w:t>
            </w:r>
          </w:p>
        </w:tc>
        <w:tc>
          <w:tcPr>
            <w:tcW w:w="2889" w:type="dxa"/>
            <w:tcBorders>
              <w:top w:val="nil"/>
              <w:left w:val="nil"/>
              <w:bottom w:val="single" w:sz="8" w:space="0" w:color="auto"/>
              <w:right w:val="single" w:sz="8" w:space="0" w:color="auto"/>
            </w:tcBorders>
            <w:shd w:val="clear" w:color="auto" w:fill="auto"/>
            <w:vAlign w:val="center"/>
            <w:hideMark/>
          </w:tcPr>
          <w:p w14:paraId="0F38CA26" w14:textId="77777777" w:rsidR="00396CB4" w:rsidRPr="00396CB4" w:rsidRDefault="00396CB4" w:rsidP="00396CB4">
            <w:pPr>
              <w:spacing w:after="0" w:line="240" w:lineRule="auto"/>
              <w:rPr>
                <w:rFonts w:eastAsia="Times New Roman" w:cs="Calibri"/>
                <w:b/>
                <w:bCs/>
                <w:color w:val="000000"/>
                <w:sz w:val="18"/>
                <w:szCs w:val="18"/>
                <w:lang w:eastAsia="es-CR"/>
              </w:rPr>
            </w:pPr>
            <w:r w:rsidRPr="00396CB4">
              <w:rPr>
                <w:rFonts w:eastAsia="Times New Roman" w:cs="Calibri"/>
                <w:b/>
                <w:bCs/>
                <w:color w:val="000000"/>
                <w:sz w:val="18"/>
                <w:szCs w:val="18"/>
                <w:lang w:eastAsia="es-CR"/>
              </w:rPr>
              <w:t>Deudas a largo plazo</w:t>
            </w:r>
          </w:p>
        </w:tc>
        <w:tc>
          <w:tcPr>
            <w:tcW w:w="500" w:type="dxa"/>
            <w:tcBorders>
              <w:top w:val="nil"/>
              <w:left w:val="nil"/>
              <w:bottom w:val="single" w:sz="8" w:space="0" w:color="auto"/>
              <w:right w:val="single" w:sz="8" w:space="0" w:color="auto"/>
            </w:tcBorders>
            <w:shd w:val="clear" w:color="auto" w:fill="auto"/>
            <w:noWrap/>
            <w:vAlign w:val="center"/>
            <w:hideMark/>
          </w:tcPr>
          <w:p w14:paraId="10AFD7B1"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19</w:t>
            </w:r>
          </w:p>
        </w:tc>
        <w:tc>
          <w:tcPr>
            <w:tcW w:w="2100" w:type="dxa"/>
            <w:tcBorders>
              <w:top w:val="nil"/>
              <w:left w:val="nil"/>
              <w:bottom w:val="single" w:sz="8" w:space="0" w:color="auto"/>
              <w:right w:val="single" w:sz="8" w:space="0" w:color="auto"/>
            </w:tcBorders>
            <w:shd w:val="clear" w:color="auto" w:fill="auto"/>
            <w:noWrap/>
            <w:vAlign w:val="center"/>
            <w:hideMark/>
          </w:tcPr>
          <w:p w14:paraId="44F26A81"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2100" w:type="dxa"/>
            <w:tcBorders>
              <w:top w:val="nil"/>
              <w:left w:val="nil"/>
              <w:bottom w:val="single" w:sz="8" w:space="0" w:color="auto"/>
              <w:right w:val="single" w:sz="8" w:space="0" w:color="auto"/>
            </w:tcBorders>
            <w:shd w:val="clear" w:color="auto" w:fill="auto"/>
            <w:noWrap/>
            <w:vAlign w:val="center"/>
            <w:hideMark/>
          </w:tcPr>
          <w:p w14:paraId="22ECC276"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1020" w:type="dxa"/>
            <w:tcBorders>
              <w:top w:val="nil"/>
              <w:left w:val="nil"/>
              <w:bottom w:val="single" w:sz="8" w:space="0" w:color="auto"/>
              <w:right w:val="single" w:sz="8" w:space="0" w:color="auto"/>
            </w:tcBorders>
            <w:shd w:val="clear" w:color="auto" w:fill="auto"/>
            <w:noWrap/>
            <w:vAlign w:val="center"/>
            <w:hideMark/>
          </w:tcPr>
          <w:p w14:paraId="6FECFC69"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0,00%</w:t>
            </w:r>
          </w:p>
        </w:tc>
      </w:tr>
    </w:tbl>
    <w:p w14:paraId="46504FAE" w14:textId="77777777" w:rsidR="00396CB4" w:rsidRPr="00396CB4" w:rsidRDefault="00697FA2" w:rsidP="00396CB4">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rPr>
        <w:fldChar w:fldCharType="begin"/>
      </w:r>
      <w:r>
        <w:rPr>
          <w:rFonts w:eastAsia="Times New Roman" w:cs="Calibri"/>
          <w:color w:val="000000"/>
        </w:rPr>
        <w:instrText xml:space="preserve"> LINK </w:instrText>
      </w:r>
      <w:r w:rsidR="00756467">
        <w:rPr>
          <w:rFonts w:eastAsia="Times New Roman" w:cs="Calibri"/>
          <w:color w:val="000000"/>
        </w:rPr>
        <w:instrText xml:space="preserve">Excel.SheetMacroEnabled.12 "C:\\Users\\gcordero\\Downloads\\Notas diciembre 2024\\Formato_Notas_EEFF_Vinculadas_2024\\Formato_Notas_EEFF_Vinculadas_2024\\15603_T04_2024_Anexo_Estado_Notas_Contables_Vinculadas.xlsm" NOTAS_POR_CUENTA!F149C8 </w:instrText>
      </w:r>
      <w:r>
        <w:rPr>
          <w:rFonts w:eastAsia="Times New Roman" w:cs="Calibri"/>
          <w:color w:val="000000"/>
        </w:rPr>
        <w:instrText xml:space="preserve">\a \f 5 \h  \* MERGEFORMAT </w:instrText>
      </w:r>
      <w:r>
        <w:rPr>
          <w:rFonts w:eastAsia="Times New Roman" w:cs="Calibri"/>
          <w:color w:val="000000"/>
        </w:rPr>
        <w:fldChar w:fldCharType="separate"/>
      </w:r>
    </w:p>
    <w:p w14:paraId="202F8F4B" w14:textId="77777777" w:rsidR="00396CB4" w:rsidRPr="00396CB4" w:rsidRDefault="00396CB4" w:rsidP="00396CB4">
      <w:pPr>
        <w:rPr>
          <w:rFonts w:eastAsia="Times New Roman" w:cs="Calibri"/>
          <w:color w:val="000000"/>
        </w:rPr>
      </w:pPr>
      <w:r w:rsidRPr="00396CB4">
        <w:rPr>
          <w:rFonts w:eastAsia="Times New Roman" w:cs="Calibri"/>
          <w:color w:val="000000"/>
        </w:rPr>
        <w:lastRenderedPageBreak/>
        <w:t>La cuenta Deudas a largo plazo, representa el 0,00% del total del Pasivo, que comparado al periodo anterior genera una variación absoluta de 0 000,00 que corresponde a un Aumento del 0,00% de recursos disponibles.</w:t>
      </w:r>
    </w:p>
    <w:p w14:paraId="392B6CFC" w14:textId="3D9CBD1A" w:rsidR="00692DC8" w:rsidRPr="00692DC8" w:rsidRDefault="00697FA2" w:rsidP="00697FA2">
      <w:pPr>
        <w:rPr>
          <w:rFonts w:eastAsiaTheme="minorEastAsia" w:cs="Arial Narrow"/>
          <w:color w:val="000000"/>
        </w:rPr>
      </w:pPr>
      <w:r>
        <w:rPr>
          <w:rFonts w:eastAsia="Times New Roman" w:cs="Calibri"/>
          <w:color w:val="000000"/>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05A63C62" w14:textId="77777777" w:rsidR="00692DC8" w:rsidRPr="00692DC8" w:rsidRDefault="00692DC8" w:rsidP="003D12E6">
      <w:pPr>
        <w:rPr>
          <w:szCs w:val="24"/>
        </w:rPr>
      </w:pPr>
    </w:p>
    <w:p w14:paraId="55672662" w14:textId="77777777" w:rsidR="00692DC8" w:rsidRPr="00692DC8" w:rsidRDefault="00692DC8" w:rsidP="005012F5">
      <w:pPr>
        <w:pStyle w:val="Ttulo4"/>
        <w:spacing w:after="240"/>
        <w:rPr>
          <w:rFonts w:eastAsia="Times New Roman"/>
        </w:rPr>
      </w:pPr>
      <w:bookmarkStart w:id="400" w:name="_Toc13041150"/>
      <w:bookmarkStart w:id="401" w:name="_Toc14345149"/>
      <w:bookmarkStart w:id="402" w:name="_Toc33601238"/>
      <w:bookmarkStart w:id="403" w:name="_Toc82768944"/>
      <w:bookmarkStart w:id="404" w:name="_Toc189804854"/>
      <w:r w:rsidRPr="00692DC8">
        <w:rPr>
          <w:rFonts w:eastAsia="Times New Roman"/>
        </w:rPr>
        <w:t>NOTA N° 20</w:t>
      </w:r>
      <w:bookmarkEnd w:id="400"/>
      <w:bookmarkEnd w:id="401"/>
      <w:bookmarkEnd w:id="402"/>
      <w:bookmarkEnd w:id="403"/>
      <w:bookmarkEnd w:id="404"/>
    </w:p>
    <w:p w14:paraId="3E8B2DFD" w14:textId="77777777" w:rsidR="00396CB4" w:rsidRDefault="00692DC8" w:rsidP="00F51D42">
      <w:pPr>
        <w:spacing w:before="240"/>
        <w:rPr>
          <w:rFonts w:asciiTheme="minorHAnsi" w:hAnsiTheme="minorHAnsi"/>
          <w:sz w:val="22"/>
        </w:rPr>
      </w:pPr>
      <w:bookmarkStart w:id="405" w:name="_Toc82768945"/>
      <w:r w:rsidRPr="00692DC8">
        <w:rPr>
          <w:rFonts w:eastAsia="Times New Roman"/>
        </w:rPr>
        <w:t>Endeudamiento público a largo plazo</w:t>
      </w:r>
      <w:bookmarkEnd w:id="405"/>
      <w:r w:rsidR="00F06B1F">
        <w:rPr>
          <w:rFonts w:eastAsiaTheme="majorEastAsia" w:cstheme="majorBidi"/>
          <w:iCs/>
          <w:lang w:val="es-ES"/>
        </w:rPr>
        <w:fldChar w:fldCharType="begin"/>
      </w:r>
      <w:r w:rsidR="00F06B1F">
        <w:rPr>
          <w:lang w:val="es-ES"/>
        </w:rPr>
        <w:instrText xml:space="preserve"> LINK </w:instrText>
      </w:r>
      <w:r w:rsidR="00756467">
        <w:rPr>
          <w:lang w:val="es-ES"/>
        </w:rPr>
        <w:instrText xml:space="preserve">Excel.SheetMacroEnabled.12 "C:\\Users\\gcordero\\Downloads\\Notas diciembre 2024\\Formato_Notas_EEFF_Vinculadas_2024\\Formato_Notas_EEFF_Vinculadas_2024\\15603_T04_2024_Anexo_Estado_Notas_Contables_Vinculadas.xlsm" NOTAS_POR_CUENTA!F151C1:F153C6 </w:instrText>
      </w:r>
      <w:r w:rsidR="00F06B1F">
        <w:rPr>
          <w:lang w:val="es-ES"/>
        </w:rPr>
        <w:instrText xml:space="preserve">\a \f 4 \h </w:instrText>
      </w:r>
      <w:r w:rsidR="00F06B1F">
        <w:rPr>
          <w:b/>
          <w:lang w:val="es-ES"/>
        </w:rPr>
        <w:fldChar w:fldCharType="separate"/>
      </w:r>
    </w:p>
    <w:tbl>
      <w:tblPr>
        <w:tblW w:w="9600" w:type="dxa"/>
        <w:tblCellMar>
          <w:left w:w="70" w:type="dxa"/>
          <w:right w:w="70" w:type="dxa"/>
        </w:tblCellMar>
        <w:tblLook w:val="04A0" w:firstRow="1" w:lastRow="0" w:firstColumn="1" w:lastColumn="0" w:noHBand="0" w:noVBand="1"/>
      </w:tblPr>
      <w:tblGrid>
        <w:gridCol w:w="1399"/>
        <w:gridCol w:w="2481"/>
        <w:gridCol w:w="500"/>
        <w:gridCol w:w="2100"/>
        <w:gridCol w:w="2100"/>
        <w:gridCol w:w="1020"/>
      </w:tblGrid>
      <w:tr w:rsidR="00396CB4" w:rsidRPr="00396CB4" w14:paraId="6B54FAC2" w14:textId="77777777" w:rsidTr="00396CB4">
        <w:trPr>
          <w:divId w:val="956565107"/>
          <w:trHeight w:val="330"/>
        </w:trPr>
        <w:tc>
          <w:tcPr>
            <w:tcW w:w="1399"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2BA6595" w14:textId="32E96317" w:rsidR="00396CB4" w:rsidRPr="00396CB4" w:rsidRDefault="00396CB4" w:rsidP="00396CB4">
            <w:pP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2481"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3D7DDFF"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B6C4373"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3645503"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B1E43CE"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031C2F73"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244AC881" w14:textId="77777777" w:rsidTr="00396CB4">
        <w:trPr>
          <w:divId w:val="956565107"/>
          <w:trHeight w:val="330"/>
        </w:trPr>
        <w:tc>
          <w:tcPr>
            <w:tcW w:w="1399" w:type="dxa"/>
            <w:vMerge/>
            <w:tcBorders>
              <w:top w:val="single" w:sz="8" w:space="0" w:color="auto"/>
              <w:left w:val="single" w:sz="8" w:space="0" w:color="auto"/>
              <w:bottom w:val="single" w:sz="8" w:space="0" w:color="000000"/>
              <w:right w:val="single" w:sz="8" w:space="0" w:color="auto"/>
            </w:tcBorders>
            <w:vAlign w:val="center"/>
            <w:hideMark/>
          </w:tcPr>
          <w:p w14:paraId="3624D639"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481" w:type="dxa"/>
            <w:vMerge/>
            <w:tcBorders>
              <w:top w:val="single" w:sz="8" w:space="0" w:color="auto"/>
              <w:left w:val="single" w:sz="8" w:space="0" w:color="auto"/>
              <w:bottom w:val="single" w:sz="8" w:space="0" w:color="000000"/>
              <w:right w:val="single" w:sz="8" w:space="0" w:color="auto"/>
            </w:tcBorders>
            <w:vAlign w:val="center"/>
            <w:hideMark/>
          </w:tcPr>
          <w:p w14:paraId="3E3B08EC"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79D212C2"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0B269231"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61C32310"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1624FEAC"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3349D7D2" w14:textId="77777777" w:rsidTr="00396CB4">
        <w:trPr>
          <w:divId w:val="956565107"/>
          <w:trHeight w:val="330"/>
        </w:trPr>
        <w:tc>
          <w:tcPr>
            <w:tcW w:w="1399" w:type="dxa"/>
            <w:tcBorders>
              <w:top w:val="nil"/>
              <w:left w:val="single" w:sz="8" w:space="0" w:color="auto"/>
              <w:bottom w:val="single" w:sz="8" w:space="0" w:color="auto"/>
              <w:right w:val="single" w:sz="8" w:space="0" w:color="auto"/>
            </w:tcBorders>
            <w:shd w:val="clear" w:color="auto" w:fill="auto"/>
            <w:noWrap/>
            <w:vAlign w:val="center"/>
            <w:hideMark/>
          </w:tcPr>
          <w:p w14:paraId="63FAC34B"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2.2.2.</w:t>
            </w:r>
          </w:p>
        </w:tc>
        <w:tc>
          <w:tcPr>
            <w:tcW w:w="2481" w:type="dxa"/>
            <w:tcBorders>
              <w:top w:val="nil"/>
              <w:left w:val="nil"/>
              <w:bottom w:val="single" w:sz="8" w:space="0" w:color="auto"/>
              <w:right w:val="single" w:sz="8" w:space="0" w:color="auto"/>
            </w:tcBorders>
            <w:shd w:val="clear" w:color="auto" w:fill="auto"/>
            <w:vAlign w:val="center"/>
            <w:hideMark/>
          </w:tcPr>
          <w:p w14:paraId="26230A8F" w14:textId="77777777" w:rsidR="00396CB4" w:rsidRPr="00396CB4" w:rsidRDefault="00396CB4" w:rsidP="00396CB4">
            <w:pPr>
              <w:spacing w:after="0" w:line="240" w:lineRule="auto"/>
              <w:rPr>
                <w:rFonts w:eastAsia="Times New Roman" w:cs="Calibri"/>
                <w:b/>
                <w:bCs/>
                <w:color w:val="000000"/>
                <w:sz w:val="18"/>
                <w:szCs w:val="18"/>
                <w:lang w:eastAsia="es-CR"/>
              </w:rPr>
            </w:pPr>
            <w:r w:rsidRPr="00396CB4">
              <w:rPr>
                <w:rFonts w:eastAsia="Times New Roman" w:cs="Calibri"/>
                <w:b/>
                <w:bCs/>
                <w:color w:val="000000"/>
                <w:sz w:val="18"/>
                <w:szCs w:val="18"/>
                <w:lang w:eastAsia="es-CR"/>
              </w:rPr>
              <w:t>Endeudamiento público a largo plazo</w:t>
            </w:r>
          </w:p>
        </w:tc>
        <w:tc>
          <w:tcPr>
            <w:tcW w:w="500" w:type="dxa"/>
            <w:tcBorders>
              <w:top w:val="nil"/>
              <w:left w:val="nil"/>
              <w:bottom w:val="single" w:sz="8" w:space="0" w:color="auto"/>
              <w:right w:val="single" w:sz="8" w:space="0" w:color="auto"/>
            </w:tcBorders>
            <w:shd w:val="clear" w:color="auto" w:fill="auto"/>
            <w:noWrap/>
            <w:vAlign w:val="center"/>
            <w:hideMark/>
          </w:tcPr>
          <w:p w14:paraId="2958E286"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20</w:t>
            </w:r>
          </w:p>
        </w:tc>
        <w:tc>
          <w:tcPr>
            <w:tcW w:w="2100" w:type="dxa"/>
            <w:tcBorders>
              <w:top w:val="nil"/>
              <w:left w:val="nil"/>
              <w:bottom w:val="single" w:sz="8" w:space="0" w:color="auto"/>
              <w:right w:val="single" w:sz="8" w:space="0" w:color="auto"/>
            </w:tcBorders>
            <w:shd w:val="clear" w:color="auto" w:fill="auto"/>
            <w:noWrap/>
            <w:vAlign w:val="center"/>
            <w:hideMark/>
          </w:tcPr>
          <w:p w14:paraId="51F6E899"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2 115 032,77 </w:t>
            </w:r>
          </w:p>
        </w:tc>
        <w:tc>
          <w:tcPr>
            <w:tcW w:w="2100" w:type="dxa"/>
            <w:tcBorders>
              <w:top w:val="nil"/>
              <w:left w:val="nil"/>
              <w:bottom w:val="single" w:sz="8" w:space="0" w:color="auto"/>
              <w:right w:val="single" w:sz="8" w:space="0" w:color="auto"/>
            </w:tcBorders>
            <w:shd w:val="clear" w:color="auto" w:fill="auto"/>
            <w:noWrap/>
            <w:vAlign w:val="center"/>
            <w:hideMark/>
          </w:tcPr>
          <w:p w14:paraId="08461F16"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1 522 925,88 </w:t>
            </w:r>
          </w:p>
        </w:tc>
        <w:tc>
          <w:tcPr>
            <w:tcW w:w="1020" w:type="dxa"/>
            <w:tcBorders>
              <w:top w:val="nil"/>
              <w:left w:val="nil"/>
              <w:bottom w:val="single" w:sz="8" w:space="0" w:color="auto"/>
              <w:right w:val="single" w:sz="8" w:space="0" w:color="auto"/>
            </w:tcBorders>
            <w:shd w:val="clear" w:color="auto" w:fill="auto"/>
            <w:noWrap/>
            <w:vAlign w:val="center"/>
            <w:hideMark/>
          </w:tcPr>
          <w:p w14:paraId="052338E2"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38,88%</w:t>
            </w:r>
          </w:p>
        </w:tc>
      </w:tr>
    </w:tbl>
    <w:p w14:paraId="0E5268B4" w14:textId="77777777" w:rsidR="00396CB4" w:rsidRPr="00396CB4" w:rsidRDefault="00F06B1F" w:rsidP="00396CB4">
      <w:pPr>
        <w:spacing w:before="240"/>
        <w:rPr>
          <w:b/>
          <w:lang w:val="es-ES"/>
        </w:rPr>
      </w:pPr>
      <w:r>
        <w:rPr>
          <w:b/>
          <w:lang w:val="es-ES"/>
        </w:rPr>
        <w:fldChar w:fldCharType="end"/>
      </w:r>
      <w:r w:rsidR="00692DC8" w:rsidRPr="003421AB">
        <w:rPr>
          <w:b/>
          <w:lang w:val="es-ES"/>
        </w:rPr>
        <w:t xml:space="preserve">Revelación: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756467">
        <w:rPr>
          <w:rFonts w:eastAsia="Times New Roman" w:cs="Calibri"/>
          <w:color w:val="000000"/>
          <w:lang w:eastAsia="es-CR"/>
        </w:rPr>
        <w:instrText xml:space="preserve">Excel.SheetMacroEnabled.12 "C:\\Users\\gcordero\\Downloads\\Notas diciembre 2024\\Formato_Notas_EEFF_Vinculadas_2024\\Formato_Notas_EEFF_Vinculadas_2024\\15603_T04_2024_Anexo_Estado_Notas_Contables_Vinculadas.xlsm" NOTAS_POR_CUENTA!F153C8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5C6D88FF" w14:textId="77777777" w:rsidR="00396CB4" w:rsidRPr="00396CB4" w:rsidRDefault="00396CB4" w:rsidP="00396CB4">
      <w:pPr>
        <w:rPr>
          <w:rFonts w:eastAsia="Times New Roman" w:cs="Calibri"/>
          <w:color w:val="000000"/>
          <w:lang w:eastAsia="es-CR"/>
        </w:rPr>
      </w:pPr>
      <w:r w:rsidRPr="00396CB4">
        <w:rPr>
          <w:rFonts w:eastAsia="Times New Roman" w:cs="Calibri"/>
          <w:color w:val="000000"/>
          <w:lang w:eastAsia="es-CR"/>
        </w:rPr>
        <w:t>La cuenta Endeudamiento público a largo plazo, representa el 90,36% del total del Pasivo, que comparado al periodo anterior genera una variación absoluta de 592 106,89 que corresponde a un Aumento del 38,88% de recursos disponibles.</w:t>
      </w:r>
    </w:p>
    <w:p w14:paraId="0876D75B" w14:textId="3A8B2569" w:rsidR="00692DC8" w:rsidRPr="00692DC8" w:rsidRDefault="00F06B1F" w:rsidP="00F06B1F">
      <w:pPr>
        <w:rPr>
          <w:rFonts w:eastAsia="Times New Roman"/>
          <w:szCs w:val="24"/>
          <w:lang w:eastAsia="es-CR"/>
        </w:rPr>
      </w:pPr>
      <w:r>
        <w:rPr>
          <w:rFonts w:eastAsia="Times New Roman" w:cs="Calibri"/>
          <w:color w:val="000000"/>
          <w:lang w:eastAsia="es-CR"/>
        </w:rPr>
        <w:fldChar w:fldCharType="end"/>
      </w:r>
      <w:r w:rsidR="00692DC8" w:rsidRPr="00692DC8">
        <w:rPr>
          <w:rFonts w:eastAsia="Times New Roman"/>
          <w:sz w:val="22"/>
          <w:szCs w:val="24"/>
          <w:highlight w:val="lightGray"/>
          <w:lang w:eastAsia="es-CR"/>
        </w:rPr>
        <w:t>Las variaciones de la cuenta son producto de (Indicar la razón de las variaciones de un periodo a otro</w:t>
      </w:r>
      <w:r w:rsidR="00692DC8" w:rsidRPr="00692DC8">
        <w:rPr>
          <w:rFonts w:eastAsia="Times New Roman"/>
          <w:szCs w:val="24"/>
          <w:highlight w:val="lightGray"/>
          <w:lang w:eastAsia="es-CR"/>
        </w:rPr>
        <w:t>):</w:t>
      </w:r>
      <w:r w:rsidR="00692DC8" w:rsidRPr="00692DC8">
        <w:rPr>
          <w:rFonts w:eastAsia="Times New Roman"/>
          <w:szCs w:val="24"/>
          <w:lang w:eastAsia="es-CR"/>
        </w:rPr>
        <w:t xml:space="preserve"> </w:t>
      </w:r>
    </w:p>
    <w:p w14:paraId="6EF6A614" w14:textId="76073DA9" w:rsidR="005F2EC2" w:rsidRPr="00686B8E" w:rsidRDefault="005F2EC2" w:rsidP="005F2EC2">
      <w:pPr>
        <w:spacing w:after="0" w:line="240" w:lineRule="auto"/>
        <w:rPr>
          <w:rFonts w:eastAsiaTheme="minorEastAsia" w:cs="Arial Narrow"/>
          <w:color w:val="000000"/>
          <w:lang w:eastAsia="es-CR"/>
        </w:rPr>
      </w:pPr>
      <w:r w:rsidRPr="00686B8E">
        <w:rPr>
          <w:rFonts w:eastAsiaTheme="minorEastAsia" w:cs="Arial Narrow"/>
          <w:color w:val="000000"/>
          <w:lang w:eastAsia="es-CR"/>
        </w:rPr>
        <w:t xml:space="preserve">Al </w:t>
      </w:r>
      <w:r w:rsidR="00796636">
        <w:rPr>
          <w:rFonts w:eastAsiaTheme="minorEastAsia" w:cs="Arial Narrow"/>
          <w:color w:val="000000"/>
          <w:lang w:eastAsia="es-CR"/>
        </w:rPr>
        <w:t>31</w:t>
      </w:r>
      <w:r w:rsidRPr="00686B8E">
        <w:rPr>
          <w:rFonts w:eastAsiaTheme="minorEastAsia" w:cs="Arial Narrow"/>
          <w:color w:val="000000"/>
          <w:lang w:eastAsia="es-CR"/>
        </w:rPr>
        <w:t xml:space="preserve"> de </w:t>
      </w:r>
      <w:r w:rsidR="00D64CF8">
        <w:rPr>
          <w:rFonts w:eastAsiaTheme="minorEastAsia" w:cs="Arial Narrow"/>
          <w:color w:val="000000"/>
          <w:lang w:eastAsia="es-CR"/>
        </w:rPr>
        <w:t>diciembre</w:t>
      </w:r>
      <w:r w:rsidRPr="00686B8E">
        <w:rPr>
          <w:rFonts w:eastAsiaTheme="minorEastAsia" w:cs="Arial Narrow"/>
          <w:color w:val="000000"/>
          <w:lang w:eastAsia="es-CR"/>
        </w:rPr>
        <w:t xml:space="preserve"> de 2023 se habían recibido desembolsos del IFAM por la suma de </w:t>
      </w:r>
      <w:r w:rsidRPr="00686B8E">
        <w:rPr>
          <w:rFonts w:ascii="Arial" w:eastAsiaTheme="minorEastAsia" w:hAnsi="Arial" w:cs="Arial"/>
          <w:color w:val="000000"/>
          <w:lang w:eastAsia="es-CR"/>
        </w:rPr>
        <w:t>₡</w:t>
      </w:r>
      <w:r w:rsidRPr="00686B8E">
        <w:rPr>
          <w:rFonts w:eastAsiaTheme="minorEastAsia" w:cs="Arial Narrow"/>
          <w:color w:val="000000"/>
          <w:lang w:eastAsia="es-CR"/>
        </w:rPr>
        <w:t xml:space="preserve">1 994 017,51 miles mientras que al </w:t>
      </w:r>
      <w:r w:rsidR="00796636">
        <w:rPr>
          <w:rFonts w:eastAsiaTheme="minorEastAsia" w:cs="Arial Narrow"/>
          <w:color w:val="000000"/>
          <w:lang w:eastAsia="es-CR"/>
        </w:rPr>
        <w:t>31</w:t>
      </w:r>
      <w:r w:rsidRPr="00686B8E">
        <w:rPr>
          <w:rFonts w:eastAsiaTheme="minorEastAsia" w:cs="Arial Narrow"/>
          <w:color w:val="000000"/>
          <w:lang w:eastAsia="es-CR"/>
        </w:rPr>
        <w:t xml:space="preserve"> de </w:t>
      </w:r>
      <w:r w:rsidR="00D64CF8">
        <w:rPr>
          <w:rFonts w:eastAsiaTheme="minorEastAsia" w:cs="Arial Narrow"/>
          <w:color w:val="000000"/>
          <w:lang w:eastAsia="es-CR"/>
        </w:rPr>
        <w:t>diciembre</w:t>
      </w:r>
      <w:r w:rsidRPr="00686B8E">
        <w:rPr>
          <w:rFonts w:eastAsiaTheme="minorEastAsia" w:cs="Arial Narrow"/>
          <w:color w:val="000000"/>
          <w:lang w:eastAsia="es-CR"/>
        </w:rPr>
        <w:t xml:space="preserve"> de 2024 el IFAM ha desembolsado </w:t>
      </w:r>
      <w:r w:rsidRPr="00686B8E">
        <w:rPr>
          <w:rFonts w:ascii="Arial" w:eastAsiaTheme="minorEastAsia" w:hAnsi="Arial" w:cs="Arial"/>
          <w:color w:val="000000"/>
          <w:lang w:eastAsia="es-CR"/>
        </w:rPr>
        <w:t>₡</w:t>
      </w:r>
      <w:r w:rsidRPr="00686B8E">
        <w:rPr>
          <w:rFonts w:eastAsiaTheme="minorEastAsia" w:cs="Arial Narrow"/>
          <w:color w:val="000000"/>
          <w:lang w:eastAsia="es-CR"/>
        </w:rPr>
        <w:t>2.453.135.07 miles</w:t>
      </w:r>
      <w:r w:rsidRPr="00686B8E">
        <w:rPr>
          <w:rFonts w:cs="Arial"/>
          <w:lang w:eastAsia="es-CR"/>
        </w:rPr>
        <w:t>, es decir ¢459.117.56 miles</w:t>
      </w:r>
      <w:r w:rsidRPr="00686B8E">
        <w:rPr>
          <w:rFonts w:eastAsiaTheme="minorEastAsia" w:cs="Arial Narrow"/>
          <w:color w:val="000000"/>
          <w:lang w:eastAsia="es-CR"/>
        </w:rPr>
        <w:t xml:space="preserve"> adicionales en relación con el </w:t>
      </w:r>
      <w:r w:rsidR="00796636">
        <w:rPr>
          <w:rFonts w:eastAsiaTheme="minorEastAsia" w:cs="Arial Narrow"/>
          <w:color w:val="000000"/>
          <w:lang w:eastAsia="es-CR"/>
        </w:rPr>
        <w:t>31</w:t>
      </w:r>
      <w:r w:rsidRPr="00686B8E">
        <w:rPr>
          <w:rFonts w:eastAsiaTheme="minorEastAsia" w:cs="Arial Narrow"/>
          <w:color w:val="000000"/>
          <w:lang w:eastAsia="es-CR"/>
        </w:rPr>
        <w:t xml:space="preserve"> de </w:t>
      </w:r>
      <w:r w:rsidR="00D64CF8">
        <w:rPr>
          <w:rFonts w:eastAsiaTheme="minorEastAsia" w:cs="Arial Narrow"/>
          <w:color w:val="000000"/>
          <w:lang w:eastAsia="es-CR"/>
        </w:rPr>
        <w:t>diciembre</w:t>
      </w:r>
      <w:r w:rsidRPr="00686B8E">
        <w:rPr>
          <w:rFonts w:eastAsiaTheme="minorEastAsia" w:cs="Arial Narrow"/>
          <w:color w:val="000000"/>
          <w:lang w:eastAsia="es-CR"/>
        </w:rPr>
        <w:t xml:space="preserve"> de 2023.</w:t>
      </w:r>
    </w:p>
    <w:p w14:paraId="074E4049" w14:textId="77777777" w:rsidR="005F2EC2" w:rsidRPr="006D61F2" w:rsidRDefault="005F2EC2" w:rsidP="005F2EC2">
      <w:pPr>
        <w:spacing w:after="0" w:line="240" w:lineRule="auto"/>
        <w:rPr>
          <w:rFonts w:eastAsiaTheme="minorEastAsia" w:cs="Arial Narrow"/>
          <w:color w:val="000000"/>
          <w:lang w:eastAsia="es-CR"/>
        </w:rPr>
      </w:pPr>
    </w:p>
    <w:p w14:paraId="6004DD1A" w14:textId="77777777" w:rsidR="005F2EC2" w:rsidRPr="006D61F2" w:rsidRDefault="005F2EC2" w:rsidP="005F2EC2">
      <w:pPr>
        <w:spacing w:after="0" w:line="240" w:lineRule="auto"/>
        <w:rPr>
          <w:rFonts w:eastAsiaTheme="minorEastAsia" w:cs="Arial Narrow"/>
          <w:color w:val="000000"/>
          <w:lang w:eastAsia="es-CR"/>
        </w:rPr>
      </w:pPr>
      <w:r w:rsidRPr="006D61F2">
        <w:rPr>
          <w:rFonts w:eastAsiaTheme="minorEastAsia" w:cs="Arial Narrow"/>
          <w:color w:val="000000"/>
          <w:lang w:eastAsia="es-CR"/>
        </w:rPr>
        <w:t>Se debe reiterar que el saldo que presenta la cuenta Endeudamiento Público a largo plazo corresponde al saldo a largo plazo del Préstamo que la Municipalidad contrajo con el IFAM, según Contrato de Préstamo entre IFAM y La Municipalidad de Buenos Aires, Nº 6-CVL-1457-0718 para el Mejoramiento de la Red Vial Cantonal y Compra de Maquinaría, por la suma total de ¢3.563.088.496,48, a un plazo de 7 años, amortizable en 7 años en cuotas trimestrales (28 trimestres) calculada contra desembolsos girados, se establece una comisión de administración ¢17.815.442,48 (correspondiente al 0,50 % sobre el monto total del crédito que fue rebajado en el primer desembolso), la tasa de interés es del 7% anual (fijo sobre saldos), interés de mora del 2% mensual sobre cuotas vencidas, como garantías la Municipalidad ofreció las Rentas Municipales y fondos de las leyes 8114 y 9329.</w:t>
      </w:r>
    </w:p>
    <w:p w14:paraId="35A30B35" w14:textId="77777777" w:rsidR="005F2EC2" w:rsidRPr="00083B82" w:rsidRDefault="005F2EC2" w:rsidP="005F2EC2">
      <w:pPr>
        <w:spacing w:after="0" w:line="240" w:lineRule="auto"/>
        <w:rPr>
          <w:rFonts w:eastAsiaTheme="minorEastAsia" w:cs="Arial Narrow"/>
          <w:color w:val="000000"/>
          <w:lang w:eastAsia="es-CR"/>
        </w:rPr>
      </w:pPr>
    </w:p>
    <w:p w14:paraId="16EA4014" w14:textId="77777777" w:rsidR="00112D21" w:rsidRPr="00083B82" w:rsidRDefault="005F2EC2" w:rsidP="005F2EC2">
      <w:pPr>
        <w:spacing w:after="0" w:line="240" w:lineRule="auto"/>
        <w:rPr>
          <w:rFonts w:eastAsiaTheme="minorEastAsia" w:cs="Arial Narrow"/>
          <w:color w:val="000000"/>
          <w:lang w:eastAsia="es-CR"/>
        </w:rPr>
      </w:pPr>
      <w:r w:rsidRPr="00083B82">
        <w:rPr>
          <w:rFonts w:eastAsiaTheme="minorEastAsia" w:cs="Arial Narrow"/>
          <w:color w:val="000000"/>
          <w:lang w:eastAsia="es-CR"/>
        </w:rPr>
        <w:t xml:space="preserve">El préstamo fue aprobado por el Concejo Municipal de Buenos Aires en la Sesión Ordinaria Nº 132-2018 del día 19 de noviembre de 2018 y suscrito el 19 de enero de 2019, Al </w:t>
      </w:r>
      <w:r w:rsidR="00796636" w:rsidRPr="00083B82">
        <w:rPr>
          <w:rFonts w:eastAsiaTheme="minorEastAsia" w:cs="Arial Narrow"/>
          <w:color w:val="000000"/>
          <w:lang w:eastAsia="es-CR"/>
        </w:rPr>
        <w:t>31</w:t>
      </w:r>
      <w:r w:rsidRPr="00083B82">
        <w:rPr>
          <w:rFonts w:eastAsiaTheme="minorEastAsia" w:cs="Arial Narrow"/>
          <w:color w:val="000000"/>
          <w:lang w:eastAsia="es-CR"/>
        </w:rPr>
        <w:t xml:space="preserve"> de </w:t>
      </w:r>
      <w:r w:rsidR="00D64CF8" w:rsidRPr="00083B82">
        <w:rPr>
          <w:rFonts w:eastAsiaTheme="minorEastAsia" w:cs="Arial Narrow"/>
          <w:color w:val="000000"/>
          <w:lang w:eastAsia="es-CR"/>
        </w:rPr>
        <w:t>diciembre</w:t>
      </w:r>
      <w:r w:rsidRPr="00083B82">
        <w:rPr>
          <w:rFonts w:eastAsiaTheme="minorEastAsia" w:cs="Arial Narrow"/>
          <w:color w:val="000000"/>
          <w:lang w:eastAsia="es-CR"/>
        </w:rPr>
        <w:t xml:space="preserve"> de 2024 el IFAM ha desembolsado la suma de </w:t>
      </w:r>
      <w:r w:rsidRPr="00083B82">
        <w:rPr>
          <w:rFonts w:ascii="Arial" w:eastAsiaTheme="minorEastAsia" w:hAnsi="Arial" w:cs="Arial"/>
          <w:color w:val="000000"/>
          <w:lang w:eastAsia="es-CR"/>
        </w:rPr>
        <w:t>₡</w:t>
      </w:r>
      <w:r w:rsidR="00112D21" w:rsidRPr="00083B82">
        <w:rPr>
          <w:rFonts w:eastAsiaTheme="minorEastAsia" w:cs="Arial Narrow"/>
          <w:color w:val="000000"/>
          <w:lang w:eastAsia="es-CR"/>
        </w:rPr>
        <w:t>3.221.370,86</w:t>
      </w:r>
      <w:r w:rsidRPr="00083B82">
        <w:rPr>
          <w:rFonts w:eastAsiaTheme="minorEastAsia" w:cs="Arial Narrow"/>
          <w:color w:val="000000"/>
          <w:lang w:eastAsia="es-CR"/>
        </w:rPr>
        <w:t xml:space="preserve"> miles, de la cual al </w:t>
      </w:r>
      <w:r w:rsidR="00796636" w:rsidRPr="00083B82">
        <w:rPr>
          <w:rFonts w:eastAsiaTheme="minorEastAsia" w:cs="Arial Narrow"/>
          <w:color w:val="000000"/>
          <w:lang w:eastAsia="es-CR"/>
        </w:rPr>
        <w:t>31</w:t>
      </w:r>
      <w:r w:rsidRPr="00083B82">
        <w:rPr>
          <w:rFonts w:eastAsiaTheme="minorEastAsia" w:cs="Arial Narrow"/>
          <w:color w:val="000000"/>
          <w:lang w:eastAsia="es-CR"/>
        </w:rPr>
        <w:t xml:space="preserve"> de </w:t>
      </w:r>
      <w:r w:rsidR="00D64CF8" w:rsidRPr="00083B82">
        <w:rPr>
          <w:rFonts w:eastAsiaTheme="minorEastAsia" w:cs="Arial Narrow"/>
          <w:color w:val="000000"/>
          <w:lang w:eastAsia="es-CR"/>
        </w:rPr>
        <w:t>diciembre</w:t>
      </w:r>
      <w:r w:rsidRPr="00083B82">
        <w:rPr>
          <w:rFonts w:eastAsiaTheme="minorEastAsia" w:cs="Arial Narrow"/>
          <w:color w:val="000000"/>
          <w:lang w:eastAsia="es-CR"/>
        </w:rPr>
        <w:t xml:space="preserve"> de 2024 se adeuda la suma de </w:t>
      </w:r>
      <w:r w:rsidRPr="00083B82">
        <w:rPr>
          <w:rFonts w:ascii="Arial" w:eastAsiaTheme="minorEastAsia" w:hAnsi="Arial" w:cs="Arial"/>
          <w:color w:val="000000"/>
          <w:lang w:eastAsia="es-CR"/>
        </w:rPr>
        <w:t>₡</w:t>
      </w:r>
      <w:r w:rsidR="00112D21" w:rsidRPr="00083B82">
        <w:rPr>
          <w:rFonts w:eastAsiaTheme="minorEastAsia" w:cs="Arial Narrow"/>
          <w:color w:val="000000"/>
          <w:lang w:eastAsia="es-CR"/>
        </w:rPr>
        <w:t>2.115.032,77 miles que corresponden al largo plazo</w:t>
      </w:r>
      <w:r w:rsidRPr="00083B82">
        <w:rPr>
          <w:rFonts w:eastAsiaTheme="minorEastAsia" w:cs="Arial Narrow"/>
          <w:color w:val="000000"/>
          <w:lang w:eastAsia="es-CR"/>
        </w:rPr>
        <w:t xml:space="preserve">. </w:t>
      </w:r>
    </w:p>
    <w:p w14:paraId="4AF1C526" w14:textId="06160C80" w:rsidR="005F2EC2" w:rsidRDefault="005F2EC2" w:rsidP="005F2EC2">
      <w:pPr>
        <w:spacing w:after="0" w:line="240" w:lineRule="auto"/>
        <w:rPr>
          <w:rFonts w:eastAsiaTheme="minorEastAsia" w:cs="Arial Narrow"/>
          <w:color w:val="000000"/>
          <w:lang w:eastAsia="es-CR"/>
        </w:rPr>
      </w:pPr>
      <w:r w:rsidRPr="00083B82">
        <w:rPr>
          <w:rFonts w:eastAsiaTheme="minorEastAsia" w:cs="Arial Narrow"/>
          <w:color w:val="000000"/>
          <w:lang w:eastAsia="es-CR"/>
        </w:rPr>
        <w:lastRenderedPageBreak/>
        <w:t xml:space="preserve">En el siguiente cuadro se muestra el detalle del préstamo con el IFAM al </w:t>
      </w:r>
      <w:r w:rsidR="00796636" w:rsidRPr="00083B82">
        <w:rPr>
          <w:rFonts w:eastAsiaTheme="minorEastAsia" w:cs="Arial Narrow"/>
          <w:color w:val="000000"/>
          <w:lang w:eastAsia="es-CR"/>
        </w:rPr>
        <w:t>31</w:t>
      </w:r>
      <w:r w:rsidRPr="00083B82">
        <w:rPr>
          <w:rFonts w:eastAsiaTheme="minorEastAsia" w:cs="Arial Narrow"/>
          <w:color w:val="000000"/>
          <w:lang w:eastAsia="es-CR"/>
        </w:rPr>
        <w:t xml:space="preserve"> de </w:t>
      </w:r>
      <w:r w:rsidR="00D64CF8" w:rsidRPr="00083B82">
        <w:rPr>
          <w:rFonts w:eastAsiaTheme="minorEastAsia" w:cs="Arial Narrow"/>
          <w:color w:val="000000"/>
          <w:lang w:eastAsia="es-CR"/>
        </w:rPr>
        <w:t>diciembre</w:t>
      </w:r>
      <w:r w:rsidRPr="00083B82">
        <w:rPr>
          <w:rFonts w:eastAsiaTheme="minorEastAsia" w:cs="Arial Narrow"/>
          <w:color w:val="000000"/>
          <w:lang w:eastAsia="es-CR"/>
        </w:rPr>
        <w:t xml:space="preserve"> de 2024:</w:t>
      </w:r>
    </w:p>
    <w:p w14:paraId="382514ED" w14:textId="60EDBC9D" w:rsidR="005F2EC2" w:rsidRDefault="00E13EE0" w:rsidP="005F2EC2">
      <w:pPr>
        <w:spacing w:after="0" w:line="240" w:lineRule="auto"/>
        <w:rPr>
          <w:rFonts w:eastAsiaTheme="minorEastAsia" w:cs="Arial Narrow"/>
          <w:color w:val="000000"/>
          <w:lang w:eastAsia="es-CR"/>
        </w:rPr>
      </w:pPr>
      <w:r w:rsidRPr="002E3B01">
        <w:rPr>
          <w:noProof/>
          <w:lang w:eastAsia="es-CR"/>
        </w:rPr>
        <w:drawing>
          <wp:inline distT="0" distB="0" distL="0" distR="0" wp14:anchorId="1B69AE86" wp14:editId="722F4052">
            <wp:extent cx="5612130" cy="905844"/>
            <wp:effectExtent l="0" t="0" r="0" b="8890"/>
            <wp:docPr id="1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905844"/>
                    </a:xfrm>
                    <a:prstGeom prst="rect">
                      <a:avLst/>
                    </a:prstGeom>
                    <a:noFill/>
                    <a:ln>
                      <a:noFill/>
                    </a:ln>
                  </pic:spPr>
                </pic:pic>
              </a:graphicData>
            </a:graphic>
          </wp:inline>
        </w:drawing>
      </w:r>
    </w:p>
    <w:p w14:paraId="01A0A4F0" w14:textId="77777777" w:rsidR="005F2EC2" w:rsidRDefault="005F2EC2" w:rsidP="005F2EC2">
      <w:pPr>
        <w:spacing w:after="0" w:line="240" w:lineRule="auto"/>
        <w:rPr>
          <w:rFonts w:eastAsiaTheme="minorEastAsia" w:cs="Arial Narrow"/>
          <w:color w:val="000000"/>
          <w:lang w:eastAsia="es-CR"/>
        </w:rPr>
      </w:pPr>
    </w:p>
    <w:p w14:paraId="0AE440B1" w14:textId="77777777" w:rsidR="005F2EC2" w:rsidRPr="00A91674" w:rsidRDefault="005F2EC2" w:rsidP="005F2EC2">
      <w:pPr>
        <w:spacing w:after="0" w:line="240" w:lineRule="auto"/>
        <w:rPr>
          <w:rFonts w:eastAsiaTheme="minorEastAsia" w:cs="Arial Narrow"/>
          <w:color w:val="000000"/>
          <w:lang w:eastAsia="es-CR"/>
        </w:rPr>
      </w:pPr>
    </w:p>
    <w:p w14:paraId="71926DF0" w14:textId="77777777" w:rsidR="005F2EC2" w:rsidRDefault="005F2EC2" w:rsidP="005F2EC2">
      <w:pPr>
        <w:spacing w:after="0" w:line="240" w:lineRule="auto"/>
        <w:rPr>
          <w:rFonts w:eastAsiaTheme="minorEastAsia" w:cs="Arial Narrow"/>
          <w:color w:val="000000"/>
          <w:lang w:eastAsia="es-CR"/>
        </w:rPr>
      </w:pPr>
      <w:bookmarkStart w:id="406" w:name="_Hlk138937428"/>
      <w:r w:rsidRPr="00A91674">
        <w:rPr>
          <w:rFonts w:eastAsiaTheme="minorEastAsia" w:cs="Arial Narrow"/>
          <w:color w:val="000000"/>
          <w:lang w:eastAsia="es-CR"/>
        </w:rPr>
        <w:t xml:space="preserve">Los intereses devengados por el préstamo en mención son reconocidos como un gasto debido a que los desembolsos efectuados por el IFAM sobre el préstamo, no están directamente atribuibles a la adquisición de un activo (según lo establece la NICSP 5 párrafos 18), ya que los desembolsos se solicitan al IFAM para pagar de manera simultánea a los proveedores </w:t>
      </w:r>
      <w:r>
        <w:rPr>
          <w:rFonts w:eastAsiaTheme="minorEastAsia" w:cs="Arial Narrow"/>
          <w:color w:val="000000"/>
          <w:lang w:eastAsia="es-CR"/>
        </w:rPr>
        <w:t xml:space="preserve">de los </w:t>
      </w:r>
      <w:r w:rsidRPr="00A91674">
        <w:rPr>
          <w:rFonts w:eastAsiaTheme="minorEastAsia" w:cs="Arial Narrow"/>
          <w:color w:val="000000"/>
          <w:lang w:eastAsia="es-CR"/>
        </w:rPr>
        <w:t>bienes</w:t>
      </w:r>
      <w:r>
        <w:rPr>
          <w:rFonts w:eastAsiaTheme="minorEastAsia" w:cs="Arial Narrow"/>
          <w:color w:val="000000"/>
          <w:lang w:eastAsia="es-CR"/>
        </w:rPr>
        <w:t xml:space="preserve"> y servicios </w:t>
      </w:r>
      <w:r w:rsidRPr="00A91674">
        <w:rPr>
          <w:rFonts w:eastAsiaTheme="minorEastAsia" w:cs="Arial Narrow"/>
          <w:color w:val="000000"/>
          <w:lang w:eastAsia="es-CR"/>
        </w:rPr>
        <w:t xml:space="preserve"> adquiridos en condiciones aptas (por lo que ya no se requiere ejecutar ninguna acción para que dichos activos estén aptos para su uso), y la amortización del principal y pago de intereses sobre dichos desembolsos, se inician con posterioridad de acuerdo con lo establecido en el contrato.</w:t>
      </w:r>
    </w:p>
    <w:p w14:paraId="199078E7" w14:textId="77777777" w:rsidR="005F2EC2" w:rsidRDefault="005F2EC2" w:rsidP="005F2EC2">
      <w:pPr>
        <w:spacing w:after="0" w:line="240" w:lineRule="auto"/>
        <w:rPr>
          <w:rFonts w:eastAsiaTheme="minorEastAsia" w:cs="Arial Narrow"/>
          <w:color w:val="000000"/>
          <w:lang w:eastAsia="es-CR"/>
        </w:rPr>
      </w:pPr>
    </w:p>
    <w:p w14:paraId="567AF694" w14:textId="77777777" w:rsidR="005F2EC2" w:rsidRPr="00C24058" w:rsidRDefault="005F2EC2" w:rsidP="005F2EC2">
      <w:pPr>
        <w:spacing w:after="0" w:line="240" w:lineRule="auto"/>
        <w:rPr>
          <w:rFonts w:eastAsiaTheme="minorEastAsia" w:cs="Arial Narrow"/>
          <w:color w:val="000000"/>
          <w:lang w:eastAsia="es-CR"/>
        </w:rPr>
      </w:pPr>
      <w:r w:rsidRPr="00C24058">
        <w:rPr>
          <w:rFonts w:eastAsiaTheme="minorEastAsia" w:cs="Arial Narrow"/>
          <w:color w:val="000000"/>
          <w:lang w:eastAsia="es-CR"/>
        </w:rPr>
        <w:t>Es pertinente indicar que la Municipalidad ha realizado gestiones con el IFAM para la obtención de una tabla de amortizaciones, sin embargo, a la fecha de cierre de estos estados no ha sido suministrada. Esto imposibilita realizar el registro correcto del monto por pagar el cada periodo.</w:t>
      </w:r>
    </w:p>
    <w:bookmarkEnd w:id="406"/>
    <w:p w14:paraId="7A9EA373" w14:textId="77777777" w:rsidR="00DE143D" w:rsidRPr="00692DC8" w:rsidRDefault="00DE143D" w:rsidP="003421AB">
      <w:pPr>
        <w:rPr>
          <w:rFonts w:eastAsiaTheme="minorEastAsia" w:cs="Arial Narrow"/>
          <w:color w:val="000000"/>
          <w:lang w:eastAsia="es-CR"/>
        </w:rPr>
      </w:pPr>
    </w:p>
    <w:p w14:paraId="17683382" w14:textId="77777777" w:rsidR="00692DC8" w:rsidRPr="00692DC8" w:rsidRDefault="00692DC8" w:rsidP="003421AB">
      <w:pPr>
        <w:pStyle w:val="Ttulo4"/>
        <w:spacing w:after="240"/>
        <w:rPr>
          <w:rFonts w:eastAsia="Times New Roman"/>
        </w:rPr>
      </w:pPr>
      <w:bookmarkStart w:id="407" w:name="_Toc13041154"/>
      <w:bookmarkStart w:id="408" w:name="_Toc14345153"/>
      <w:bookmarkStart w:id="409" w:name="_Toc33601239"/>
      <w:bookmarkStart w:id="410" w:name="_Toc82768946"/>
      <w:bookmarkStart w:id="411" w:name="_Toc189804855"/>
      <w:r w:rsidRPr="00692DC8">
        <w:rPr>
          <w:rFonts w:eastAsia="Times New Roman"/>
        </w:rPr>
        <w:t>NOTA N° 21</w:t>
      </w:r>
      <w:bookmarkEnd w:id="407"/>
      <w:bookmarkEnd w:id="408"/>
      <w:bookmarkEnd w:id="409"/>
      <w:bookmarkEnd w:id="410"/>
      <w:bookmarkEnd w:id="411"/>
    </w:p>
    <w:p w14:paraId="01FDD6FC" w14:textId="77777777" w:rsidR="00396CB4" w:rsidRDefault="00692DC8" w:rsidP="00F51D42">
      <w:pPr>
        <w:spacing w:before="240"/>
        <w:rPr>
          <w:rFonts w:asciiTheme="minorHAnsi" w:hAnsiTheme="minorHAnsi"/>
          <w:sz w:val="22"/>
        </w:rPr>
      </w:pPr>
      <w:bookmarkStart w:id="412" w:name="_Toc82768947"/>
      <w:r w:rsidRPr="00692DC8">
        <w:rPr>
          <w:rFonts w:eastAsia="Times New Roman"/>
        </w:rPr>
        <w:t>Fondos de terceros y en garantía</w:t>
      </w:r>
      <w:bookmarkEnd w:id="412"/>
      <w:r w:rsidR="00F06B1F">
        <w:rPr>
          <w:rFonts w:eastAsiaTheme="majorEastAsia" w:cstheme="majorBidi"/>
          <w:b/>
          <w:iCs/>
        </w:rPr>
        <w:fldChar w:fldCharType="begin"/>
      </w:r>
      <w:r w:rsidR="00F06B1F">
        <w:instrText xml:space="preserve"> LINK </w:instrText>
      </w:r>
      <w:r w:rsidR="00756467">
        <w:instrText xml:space="preserve">Excel.SheetMacroEnabled.12 "C:\\Users\\gcordero\\Downloads\\Notas diciembre 2024\\Formato_Notas_EEFF_Vinculadas_2024\\Formato_Notas_EEFF_Vinculadas_2024\\15603_T04_2024_Anexo_Estado_Notas_Contables_Vinculadas.xlsm" NOTAS_POR_CUENTA!F155C1:F157C6 </w:instrText>
      </w:r>
      <w:r w:rsidR="00F06B1F">
        <w:instrText xml:space="preserve">\a \f 4 \h </w:instrText>
      </w:r>
      <w:r w:rsidR="00F06B1F">
        <w:fldChar w:fldCharType="separate"/>
      </w:r>
    </w:p>
    <w:tbl>
      <w:tblPr>
        <w:tblW w:w="9600" w:type="dxa"/>
        <w:tblCellMar>
          <w:left w:w="70" w:type="dxa"/>
          <w:right w:w="70" w:type="dxa"/>
        </w:tblCellMar>
        <w:tblLook w:val="04A0" w:firstRow="1" w:lastRow="0" w:firstColumn="1" w:lastColumn="0" w:noHBand="0" w:noVBand="1"/>
      </w:tblPr>
      <w:tblGrid>
        <w:gridCol w:w="1243"/>
        <w:gridCol w:w="2637"/>
        <w:gridCol w:w="500"/>
        <w:gridCol w:w="2100"/>
        <w:gridCol w:w="2100"/>
        <w:gridCol w:w="1020"/>
      </w:tblGrid>
      <w:tr w:rsidR="00396CB4" w:rsidRPr="00396CB4" w14:paraId="7F386825" w14:textId="77777777" w:rsidTr="00396CB4">
        <w:trPr>
          <w:divId w:val="1425958023"/>
          <w:trHeight w:val="330"/>
        </w:trPr>
        <w:tc>
          <w:tcPr>
            <w:tcW w:w="1243"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A348D3C" w14:textId="71631A88" w:rsidR="00396CB4" w:rsidRPr="00396CB4" w:rsidRDefault="00396CB4" w:rsidP="00396CB4">
            <w:pP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2637"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D1AF536"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E3DFE38"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B4E8FDF"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FF23C92"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1B0A8FB9"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77E89F0D" w14:textId="77777777" w:rsidTr="00396CB4">
        <w:trPr>
          <w:divId w:val="1425958023"/>
          <w:trHeight w:val="330"/>
        </w:trPr>
        <w:tc>
          <w:tcPr>
            <w:tcW w:w="1243" w:type="dxa"/>
            <w:vMerge/>
            <w:tcBorders>
              <w:top w:val="single" w:sz="8" w:space="0" w:color="auto"/>
              <w:left w:val="single" w:sz="8" w:space="0" w:color="auto"/>
              <w:bottom w:val="single" w:sz="8" w:space="0" w:color="000000"/>
              <w:right w:val="single" w:sz="8" w:space="0" w:color="auto"/>
            </w:tcBorders>
            <w:vAlign w:val="center"/>
            <w:hideMark/>
          </w:tcPr>
          <w:p w14:paraId="32005FA2"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637" w:type="dxa"/>
            <w:vMerge/>
            <w:tcBorders>
              <w:top w:val="single" w:sz="8" w:space="0" w:color="auto"/>
              <w:left w:val="single" w:sz="8" w:space="0" w:color="auto"/>
              <w:bottom w:val="single" w:sz="8" w:space="0" w:color="000000"/>
              <w:right w:val="single" w:sz="8" w:space="0" w:color="auto"/>
            </w:tcBorders>
            <w:vAlign w:val="center"/>
            <w:hideMark/>
          </w:tcPr>
          <w:p w14:paraId="53619DFF"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62F718CD"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3C7F5028"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7B32E6A5"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6AC73928"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5012841D" w14:textId="77777777" w:rsidTr="00396CB4">
        <w:trPr>
          <w:divId w:val="1425958023"/>
          <w:trHeight w:val="330"/>
        </w:trPr>
        <w:tc>
          <w:tcPr>
            <w:tcW w:w="1243" w:type="dxa"/>
            <w:tcBorders>
              <w:top w:val="nil"/>
              <w:left w:val="single" w:sz="8" w:space="0" w:color="auto"/>
              <w:bottom w:val="single" w:sz="8" w:space="0" w:color="auto"/>
              <w:right w:val="single" w:sz="8" w:space="0" w:color="auto"/>
            </w:tcBorders>
            <w:shd w:val="clear" w:color="auto" w:fill="auto"/>
            <w:noWrap/>
            <w:vAlign w:val="center"/>
            <w:hideMark/>
          </w:tcPr>
          <w:p w14:paraId="322AA8BD"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2.2.3.</w:t>
            </w:r>
          </w:p>
        </w:tc>
        <w:tc>
          <w:tcPr>
            <w:tcW w:w="2637" w:type="dxa"/>
            <w:tcBorders>
              <w:top w:val="nil"/>
              <w:left w:val="nil"/>
              <w:bottom w:val="single" w:sz="8" w:space="0" w:color="auto"/>
              <w:right w:val="single" w:sz="8" w:space="0" w:color="auto"/>
            </w:tcBorders>
            <w:shd w:val="clear" w:color="auto" w:fill="auto"/>
            <w:vAlign w:val="center"/>
            <w:hideMark/>
          </w:tcPr>
          <w:p w14:paraId="29982D9C" w14:textId="77777777" w:rsidR="00396CB4" w:rsidRPr="00396CB4" w:rsidRDefault="00396CB4" w:rsidP="00396CB4">
            <w:pPr>
              <w:spacing w:after="0" w:line="240" w:lineRule="auto"/>
              <w:rPr>
                <w:rFonts w:eastAsia="Times New Roman" w:cs="Calibri"/>
                <w:b/>
                <w:bCs/>
                <w:color w:val="000000"/>
                <w:sz w:val="18"/>
                <w:szCs w:val="18"/>
                <w:lang w:eastAsia="es-CR"/>
              </w:rPr>
            </w:pPr>
            <w:r w:rsidRPr="00396CB4">
              <w:rPr>
                <w:rFonts w:eastAsia="Times New Roman" w:cs="Calibri"/>
                <w:b/>
                <w:bCs/>
                <w:color w:val="000000"/>
                <w:sz w:val="18"/>
                <w:szCs w:val="18"/>
                <w:lang w:eastAsia="es-CR"/>
              </w:rPr>
              <w:t>Fondos de terceros y en garantía</w:t>
            </w:r>
          </w:p>
        </w:tc>
        <w:tc>
          <w:tcPr>
            <w:tcW w:w="500" w:type="dxa"/>
            <w:tcBorders>
              <w:top w:val="nil"/>
              <w:left w:val="nil"/>
              <w:bottom w:val="single" w:sz="8" w:space="0" w:color="auto"/>
              <w:right w:val="single" w:sz="8" w:space="0" w:color="auto"/>
            </w:tcBorders>
            <w:shd w:val="clear" w:color="auto" w:fill="auto"/>
            <w:noWrap/>
            <w:vAlign w:val="center"/>
            <w:hideMark/>
          </w:tcPr>
          <w:p w14:paraId="4E1A7012"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21</w:t>
            </w:r>
          </w:p>
        </w:tc>
        <w:tc>
          <w:tcPr>
            <w:tcW w:w="2100" w:type="dxa"/>
            <w:tcBorders>
              <w:top w:val="nil"/>
              <w:left w:val="nil"/>
              <w:bottom w:val="single" w:sz="8" w:space="0" w:color="auto"/>
              <w:right w:val="single" w:sz="8" w:space="0" w:color="auto"/>
            </w:tcBorders>
            <w:shd w:val="clear" w:color="auto" w:fill="auto"/>
            <w:noWrap/>
            <w:vAlign w:val="center"/>
            <w:hideMark/>
          </w:tcPr>
          <w:p w14:paraId="674A376E"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2100" w:type="dxa"/>
            <w:tcBorders>
              <w:top w:val="nil"/>
              <w:left w:val="nil"/>
              <w:bottom w:val="single" w:sz="8" w:space="0" w:color="auto"/>
              <w:right w:val="single" w:sz="8" w:space="0" w:color="auto"/>
            </w:tcBorders>
            <w:shd w:val="clear" w:color="auto" w:fill="auto"/>
            <w:noWrap/>
            <w:vAlign w:val="center"/>
            <w:hideMark/>
          </w:tcPr>
          <w:p w14:paraId="253D6F73"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1020" w:type="dxa"/>
            <w:tcBorders>
              <w:top w:val="nil"/>
              <w:left w:val="nil"/>
              <w:bottom w:val="single" w:sz="8" w:space="0" w:color="auto"/>
              <w:right w:val="single" w:sz="8" w:space="0" w:color="auto"/>
            </w:tcBorders>
            <w:shd w:val="clear" w:color="auto" w:fill="auto"/>
            <w:noWrap/>
            <w:vAlign w:val="center"/>
            <w:hideMark/>
          </w:tcPr>
          <w:p w14:paraId="40E94540"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0,00%</w:t>
            </w:r>
          </w:p>
        </w:tc>
      </w:tr>
    </w:tbl>
    <w:p w14:paraId="7F71CA4E" w14:textId="77777777" w:rsidR="00396CB4" w:rsidRPr="00396CB4" w:rsidRDefault="00F06B1F" w:rsidP="00396CB4">
      <w:pPr>
        <w:spacing w:before="240"/>
      </w:pPr>
      <w: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756467">
        <w:rPr>
          <w:rFonts w:eastAsia="Times New Roman" w:cs="Calibri"/>
          <w:color w:val="000000"/>
          <w:lang w:eastAsia="es-CR"/>
        </w:rPr>
        <w:instrText xml:space="preserve">Excel.SheetMacroEnabled.12 "C:\\Users\\gcordero\\Downloads\\Notas diciembre 2024\\Formato_Notas_EEFF_Vinculadas_2024\\Formato_Notas_EEFF_Vinculadas_2024\\15603_T04_2024_Anexo_Estado_Notas_Contables_Vinculadas.xlsm" NOTAS_POR_CUENTA!F157C8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50CAAD7A" w14:textId="77777777" w:rsidR="00396CB4" w:rsidRPr="00396CB4" w:rsidRDefault="00396CB4" w:rsidP="00396CB4">
      <w:pPr>
        <w:rPr>
          <w:rFonts w:eastAsia="Times New Roman" w:cs="Calibri"/>
          <w:color w:val="000000"/>
          <w:lang w:eastAsia="es-CR"/>
        </w:rPr>
      </w:pPr>
      <w:r w:rsidRPr="00396CB4">
        <w:rPr>
          <w:rFonts w:eastAsia="Times New Roman" w:cs="Calibri"/>
          <w:color w:val="000000"/>
          <w:lang w:eastAsia="es-CR"/>
        </w:rPr>
        <w:t>La cuenta Fondos de terceros y en garantía, representa el 0,00% del total del Pasivo, que comparado al periodo anterior genera una variación absoluta de 0 000,00 que corresponde a un Aumento del 0,00% de recursos disponibles.</w:t>
      </w:r>
    </w:p>
    <w:p w14:paraId="6FA3166A" w14:textId="51D1DF64" w:rsidR="00692DC8" w:rsidRPr="00692DC8" w:rsidRDefault="00F06B1F" w:rsidP="00F06B1F">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5C03374D" w14:textId="49DC3DE9" w:rsidR="00692DC8" w:rsidRDefault="00692DC8" w:rsidP="003421AB">
      <w:pPr>
        <w:rPr>
          <w:i/>
        </w:rPr>
      </w:pPr>
    </w:p>
    <w:p w14:paraId="43355F06" w14:textId="0D11FC01" w:rsidR="00083B82" w:rsidRPr="00692DC8" w:rsidRDefault="00083B82" w:rsidP="003421AB">
      <w:pPr>
        <w:rPr>
          <w:i/>
        </w:rPr>
      </w:pPr>
    </w:p>
    <w:p w14:paraId="026D64CF" w14:textId="77777777" w:rsidR="00692DC8" w:rsidRPr="00692DC8" w:rsidRDefault="00692DC8" w:rsidP="003421AB">
      <w:pPr>
        <w:pStyle w:val="Ttulo4"/>
        <w:spacing w:after="240"/>
        <w:rPr>
          <w:rFonts w:eastAsia="Times New Roman"/>
        </w:rPr>
      </w:pPr>
      <w:bookmarkStart w:id="413" w:name="_Toc13041157"/>
      <w:bookmarkStart w:id="414" w:name="_Toc14345156"/>
      <w:bookmarkStart w:id="415" w:name="_Toc33601240"/>
      <w:bookmarkStart w:id="416" w:name="_Toc82768948"/>
      <w:bookmarkStart w:id="417" w:name="_Toc189804856"/>
      <w:r w:rsidRPr="00692DC8">
        <w:rPr>
          <w:rFonts w:eastAsia="Times New Roman"/>
        </w:rPr>
        <w:lastRenderedPageBreak/>
        <w:t>NOTA N° 22</w:t>
      </w:r>
      <w:bookmarkEnd w:id="413"/>
      <w:bookmarkEnd w:id="414"/>
      <w:bookmarkEnd w:id="415"/>
      <w:bookmarkEnd w:id="416"/>
      <w:bookmarkEnd w:id="417"/>
    </w:p>
    <w:p w14:paraId="4EC9F0C4" w14:textId="77777777" w:rsidR="00396CB4" w:rsidRDefault="00692DC8" w:rsidP="003421AB">
      <w:pPr>
        <w:spacing w:before="240"/>
        <w:rPr>
          <w:rFonts w:asciiTheme="minorHAnsi" w:hAnsiTheme="minorHAnsi"/>
          <w:sz w:val="22"/>
        </w:rPr>
      </w:pPr>
      <w:bookmarkStart w:id="418" w:name="_Toc82768949"/>
      <w:r w:rsidRPr="00692DC8">
        <w:rPr>
          <w:rFonts w:eastAsia="Times New Roman"/>
        </w:rPr>
        <w:t>Provisiones y reservas técnicas a largo plazo</w:t>
      </w:r>
      <w:bookmarkEnd w:id="418"/>
      <w:r w:rsidR="00F06B1F">
        <w:rPr>
          <w:rFonts w:eastAsiaTheme="majorEastAsia" w:cstheme="majorBidi"/>
          <w:b/>
          <w:iCs/>
        </w:rPr>
        <w:fldChar w:fldCharType="begin"/>
      </w:r>
      <w:r w:rsidR="00F06B1F">
        <w:instrText xml:space="preserve"> LINK </w:instrText>
      </w:r>
      <w:r w:rsidR="00756467">
        <w:instrText xml:space="preserve">Excel.SheetMacroEnabled.12 "C:\\Users\\gcordero\\Downloads\\Notas diciembre 2024\\Formato_Notas_EEFF_Vinculadas_2024\\Formato_Notas_EEFF_Vinculadas_2024\\15603_T04_2024_Anexo_Estado_Notas_Contables_Vinculadas.xlsm" NOTAS_POR_CUENTA!F159C1:F161C6 </w:instrText>
      </w:r>
      <w:r w:rsidR="00F06B1F">
        <w:instrText xml:space="preserve">\a \f 4 \h </w:instrText>
      </w:r>
      <w:r w:rsidR="00F06B1F">
        <w:fldChar w:fldCharType="separate"/>
      </w:r>
    </w:p>
    <w:tbl>
      <w:tblPr>
        <w:tblW w:w="9600" w:type="dxa"/>
        <w:tblCellMar>
          <w:left w:w="70" w:type="dxa"/>
          <w:right w:w="70" w:type="dxa"/>
        </w:tblCellMar>
        <w:tblLook w:val="04A0" w:firstRow="1" w:lastRow="0" w:firstColumn="1" w:lastColumn="0" w:noHBand="0" w:noVBand="1"/>
      </w:tblPr>
      <w:tblGrid>
        <w:gridCol w:w="1038"/>
        <w:gridCol w:w="2842"/>
        <w:gridCol w:w="500"/>
        <w:gridCol w:w="2100"/>
        <w:gridCol w:w="2100"/>
        <w:gridCol w:w="1020"/>
      </w:tblGrid>
      <w:tr w:rsidR="00396CB4" w:rsidRPr="00396CB4" w14:paraId="2EB8CD03" w14:textId="77777777" w:rsidTr="00396CB4">
        <w:trPr>
          <w:divId w:val="432360699"/>
          <w:trHeight w:val="330"/>
        </w:trPr>
        <w:tc>
          <w:tcPr>
            <w:tcW w:w="1038"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A885F15" w14:textId="25EB4BDC" w:rsidR="00396CB4" w:rsidRPr="00396CB4" w:rsidRDefault="00396CB4" w:rsidP="00396CB4">
            <w:pP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2842"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CB47820"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271591C"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174802F"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D664BF6"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387D01BF"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0431BEF3" w14:textId="77777777" w:rsidTr="00396CB4">
        <w:trPr>
          <w:divId w:val="432360699"/>
          <w:trHeight w:val="330"/>
        </w:trPr>
        <w:tc>
          <w:tcPr>
            <w:tcW w:w="1038" w:type="dxa"/>
            <w:vMerge/>
            <w:tcBorders>
              <w:top w:val="single" w:sz="8" w:space="0" w:color="auto"/>
              <w:left w:val="single" w:sz="8" w:space="0" w:color="auto"/>
              <w:bottom w:val="single" w:sz="8" w:space="0" w:color="000000"/>
              <w:right w:val="single" w:sz="8" w:space="0" w:color="auto"/>
            </w:tcBorders>
            <w:vAlign w:val="center"/>
            <w:hideMark/>
          </w:tcPr>
          <w:p w14:paraId="029DB0A7"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842" w:type="dxa"/>
            <w:vMerge/>
            <w:tcBorders>
              <w:top w:val="single" w:sz="8" w:space="0" w:color="auto"/>
              <w:left w:val="single" w:sz="8" w:space="0" w:color="auto"/>
              <w:bottom w:val="single" w:sz="8" w:space="0" w:color="000000"/>
              <w:right w:val="single" w:sz="8" w:space="0" w:color="auto"/>
            </w:tcBorders>
            <w:vAlign w:val="center"/>
            <w:hideMark/>
          </w:tcPr>
          <w:p w14:paraId="768EB1DC"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5B4A31CB"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486526AA"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6B893381"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0989BD59"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169D26EF" w14:textId="77777777" w:rsidTr="00396CB4">
        <w:trPr>
          <w:divId w:val="432360699"/>
          <w:trHeight w:val="555"/>
        </w:trPr>
        <w:tc>
          <w:tcPr>
            <w:tcW w:w="1038" w:type="dxa"/>
            <w:tcBorders>
              <w:top w:val="nil"/>
              <w:left w:val="single" w:sz="8" w:space="0" w:color="auto"/>
              <w:bottom w:val="single" w:sz="8" w:space="0" w:color="auto"/>
              <w:right w:val="single" w:sz="8" w:space="0" w:color="auto"/>
            </w:tcBorders>
            <w:shd w:val="clear" w:color="auto" w:fill="auto"/>
            <w:noWrap/>
            <w:vAlign w:val="center"/>
            <w:hideMark/>
          </w:tcPr>
          <w:p w14:paraId="03772BED"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2.2.4.</w:t>
            </w:r>
          </w:p>
        </w:tc>
        <w:tc>
          <w:tcPr>
            <w:tcW w:w="2842" w:type="dxa"/>
            <w:tcBorders>
              <w:top w:val="nil"/>
              <w:left w:val="nil"/>
              <w:bottom w:val="single" w:sz="8" w:space="0" w:color="auto"/>
              <w:right w:val="single" w:sz="8" w:space="0" w:color="auto"/>
            </w:tcBorders>
            <w:shd w:val="clear" w:color="auto" w:fill="auto"/>
            <w:vAlign w:val="center"/>
            <w:hideMark/>
          </w:tcPr>
          <w:p w14:paraId="0DDCC6B1" w14:textId="77777777" w:rsidR="00396CB4" w:rsidRPr="00396CB4" w:rsidRDefault="00396CB4" w:rsidP="00396CB4">
            <w:pPr>
              <w:spacing w:after="0" w:line="240" w:lineRule="auto"/>
              <w:rPr>
                <w:rFonts w:eastAsia="Times New Roman" w:cs="Calibri"/>
                <w:b/>
                <w:bCs/>
                <w:color w:val="000000"/>
                <w:sz w:val="18"/>
                <w:szCs w:val="18"/>
                <w:lang w:eastAsia="es-CR"/>
              </w:rPr>
            </w:pPr>
            <w:r w:rsidRPr="00396CB4">
              <w:rPr>
                <w:rFonts w:eastAsia="Times New Roman" w:cs="Calibri"/>
                <w:b/>
                <w:bCs/>
                <w:color w:val="000000"/>
                <w:sz w:val="18"/>
                <w:szCs w:val="18"/>
                <w:lang w:eastAsia="es-CR"/>
              </w:rPr>
              <w:t>Provisiones y reservas técnicas a largo plazo</w:t>
            </w:r>
          </w:p>
        </w:tc>
        <w:tc>
          <w:tcPr>
            <w:tcW w:w="500" w:type="dxa"/>
            <w:tcBorders>
              <w:top w:val="nil"/>
              <w:left w:val="nil"/>
              <w:bottom w:val="single" w:sz="8" w:space="0" w:color="auto"/>
              <w:right w:val="single" w:sz="8" w:space="0" w:color="auto"/>
            </w:tcBorders>
            <w:shd w:val="clear" w:color="auto" w:fill="auto"/>
            <w:noWrap/>
            <w:vAlign w:val="center"/>
            <w:hideMark/>
          </w:tcPr>
          <w:p w14:paraId="69BF327D"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22</w:t>
            </w:r>
          </w:p>
        </w:tc>
        <w:tc>
          <w:tcPr>
            <w:tcW w:w="2100" w:type="dxa"/>
            <w:tcBorders>
              <w:top w:val="nil"/>
              <w:left w:val="nil"/>
              <w:bottom w:val="single" w:sz="8" w:space="0" w:color="auto"/>
              <w:right w:val="single" w:sz="8" w:space="0" w:color="auto"/>
            </w:tcBorders>
            <w:shd w:val="clear" w:color="auto" w:fill="auto"/>
            <w:noWrap/>
            <w:vAlign w:val="center"/>
            <w:hideMark/>
          </w:tcPr>
          <w:p w14:paraId="6700DC78"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62 941,86 </w:t>
            </w:r>
          </w:p>
        </w:tc>
        <w:tc>
          <w:tcPr>
            <w:tcW w:w="2100" w:type="dxa"/>
            <w:tcBorders>
              <w:top w:val="nil"/>
              <w:left w:val="nil"/>
              <w:bottom w:val="single" w:sz="8" w:space="0" w:color="auto"/>
              <w:right w:val="single" w:sz="8" w:space="0" w:color="auto"/>
            </w:tcBorders>
            <w:shd w:val="clear" w:color="auto" w:fill="auto"/>
            <w:noWrap/>
            <w:vAlign w:val="center"/>
            <w:hideMark/>
          </w:tcPr>
          <w:p w14:paraId="2716D97D"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23 113,23 </w:t>
            </w:r>
          </w:p>
        </w:tc>
        <w:tc>
          <w:tcPr>
            <w:tcW w:w="1020" w:type="dxa"/>
            <w:tcBorders>
              <w:top w:val="nil"/>
              <w:left w:val="nil"/>
              <w:bottom w:val="single" w:sz="8" w:space="0" w:color="auto"/>
              <w:right w:val="single" w:sz="8" w:space="0" w:color="auto"/>
            </w:tcBorders>
            <w:shd w:val="clear" w:color="auto" w:fill="auto"/>
            <w:noWrap/>
            <w:vAlign w:val="center"/>
            <w:hideMark/>
          </w:tcPr>
          <w:p w14:paraId="32A2477C"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172,32%</w:t>
            </w:r>
          </w:p>
        </w:tc>
      </w:tr>
    </w:tbl>
    <w:p w14:paraId="05C8DD6A" w14:textId="77777777" w:rsidR="00396CB4" w:rsidRDefault="00F06B1F" w:rsidP="003421AB">
      <w:pPr>
        <w:spacing w:before="240"/>
        <w:rPr>
          <w:rFonts w:asciiTheme="minorHAnsi" w:hAnsiTheme="minorHAnsi"/>
          <w:sz w:val="22"/>
        </w:rPr>
      </w:pPr>
      <w:r>
        <w:fldChar w:fldCharType="end"/>
      </w:r>
      <w:r w:rsidR="00692DC8" w:rsidRPr="00692DC8">
        <w:rPr>
          <w:szCs w:val="24"/>
        </w:rPr>
        <w:t>Detalle cuenta:</w:t>
      </w:r>
      <w:bookmarkStart w:id="419" w:name="_Toc13041160"/>
      <w:bookmarkStart w:id="420" w:name="_Toc14345159"/>
      <w:bookmarkStart w:id="421" w:name="_Toc33601242"/>
      <w:r>
        <w:rPr>
          <w:lang w:eastAsia="es-CR"/>
        </w:rPr>
        <w:fldChar w:fldCharType="begin"/>
      </w:r>
      <w:r>
        <w:rPr>
          <w:lang w:eastAsia="es-CR"/>
        </w:rPr>
        <w:instrText xml:space="preserve"> LINK </w:instrText>
      </w:r>
      <w:r w:rsidR="00756467">
        <w:rPr>
          <w:lang w:eastAsia="es-CR"/>
        </w:rPr>
        <w:instrText xml:space="preserve">Excel.SheetMacroEnabled.12 "C:\\Users\\gcordero\\Downloads\\Notas diciembre 2024\\Formato_Notas_EEFF_Vinculadas_2024\\Formato_Notas_EEFF_Vinculadas_2024\\15603_T04_2024_Anexo_Estado_Notas_Contables_Vinculadas.xlsm" NOTAS_POR_CUENTA!F163C1:F165C6 </w:instrText>
      </w:r>
      <w:r>
        <w:rPr>
          <w:lang w:eastAsia="es-CR"/>
        </w:rPr>
        <w:instrText xml:space="preserve">\a \f 4 \h </w:instrText>
      </w:r>
      <w:r>
        <w:rPr>
          <w:lang w:eastAsia="es-CR"/>
        </w:rPr>
        <w:fldChar w:fldCharType="separate"/>
      </w:r>
    </w:p>
    <w:tbl>
      <w:tblPr>
        <w:tblW w:w="9600" w:type="dxa"/>
        <w:tblCellMar>
          <w:left w:w="70" w:type="dxa"/>
          <w:right w:w="70" w:type="dxa"/>
        </w:tblCellMar>
        <w:tblLook w:val="04A0" w:firstRow="1" w:lastRow="0" w:firstColumn="1" w:lastColumn="0" w:noHBand="0" w:noVBand="1"/>
      </w:tblPr>
      <w:tblGrid>
        <w:gridCol w:w="1166"/>
        <w:gridCol w:w="2714"/>
        <w:gridCol w:w="500"/>
        <w:gridCol w:w="2100"/>
        <w:gridCol w:w="2100"/>
        <w:gridCol w:w="1020"/>
      </w:tblGrid>
      <w:tr w:rsidR="00396CB4" w:rsidRPr="00396CB4" w14:paraId="0F3304AD" w14:textId="77777777" w:rsidTr="00396CB4">
        <w:trPr>
          <w:divId w:val="168523824"/>
          <w:trHeight w:val="330"/>
        </w:trPr>
        <w:tc>
          <w:tcPr>
            <w:tcW w:w="116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D4C68F7" w14:textId="3053469E" w:rsidR="00396CB4" w:rsidRPr="00396CB4" w:rsidRDefault="00396CB4" w:rsidP="00396CB4">
            <w:pP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271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763BC0C"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831FCFD"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0C34DA7"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F86CE0C"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119B55B0"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21D4846B" w14:textId="77777777" w:rsidTr="00396CB4">
        <w:trPr>
          <w:divId w:val="168523824"/>
          <w:trHeight w:val="330"/>
        </w:trPr>
        <w:tc>
          <w:tcPr>
            <w:tcW w:w="1166" w:type="dxa"/>
            <w:vMerge/>
            <w:tcBorders>
              <w:top w:val="single" w:sz="8" w:space="0" w:color="auto"/>
              <w:left w:val="single" w:sz="8" w:space="0" w:color="auto"/>
              <w:bottom w:val="single" w:sz="8" w:space="0" w:color="000000"/>
              <w:right w:val="single" w:sz="8" w:space="0" w:color="auto"/>
            </w:tcBorders>
            <w:vAlign w:val="center"/>
            <w:hideMark/>
          </w:tcPr>
          <w:p w14:paraId="33471C1E"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714" w:type="dxa"/>
            <w:vMerge/>
            <w:tcBorders>
              <w:top w:val="single" w:sz="8" w:space="0" w:color="auto"/>
              <w:left w:val="single" w:sz="8" w:space="0" w:color="auto"/>
              <w:bottom w:val="single" w:sz="8" w:space="0" w:color="000000"/>
              <w:right w:val="single" w:sz="8" w:space="0" w:color="auto"/>
            </w:tcBorders>
            <w:vAlign w:val="center"/>
            <w:hideMark/>
          </w:tcPr>
          <w:p w14:paraId="4A0E7860"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282CCDAC"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59DB0E4F"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43C0C9D6"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560BE81D"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12F73259" w14:textId="77777777" w:rsidTr="00396CB4">
        <w:trPr>
          <w:divId w:val="168523824"/>
          <w:trHeight w:val="330"/>
        </w:trPr>
        <w:tc>
          <w:tcPr>
            <w:tcW w:w="1166" w:type="dxa"/>
            <w:tcBorders>
              <w:top w:val="nil"/>
              <w:left w:val="single" w:sz="8" w:space="0" w:color="auto"/>
              <w:bottom w:val="single" w:sz="8" w:space="0" w:color="auto"/>
              <w:right w:val="single" w:sz="8" w:space="0" w:color="auto"/>
            </w:tcBorders>
            <w:shd w:val="clear" w:color="auto" w:fill="auto"/>
            <w:noWrap/>
            <w:vAlign w:val="center"/>
            <w:hideMark/>
          </w:tcPr>
          <w:p w14:paraId="70E8B537"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2.2.4.01.</w:t>
            </w:r>
          </w:p>
        </w:tc>
        <w:tc>
          <w:tcPr>
            <w:tcW w:w="2714" w:type="dxa"/>
            <w:tcBorders>
              <w:top w:val="nil"/>
              <w:left w:val="nil"/>
              <w:bottom w:val="single" w:sz="8" w:space="0" w:color="auto"/>
              <w:right w:val="single" w:sz="8" w:space="0" w:color="auto"/>
            </w:tcBorders>
            <w:shd w:val="clear" w:color="auto" w:fill="auto"/>
            <w:vAlign w:val="center"/>
            <w:hideMark/>
          </w:tcPr>
          <w:p w14:paraId="2A7CEF99" w14:textId="77777777" w:rsidR="00396CB4" w:rsidRPr="00396CB4" w:rsidRDefault="00396CB4" w:rsidP="00396CB4">
            <w:pPr>
              <w:spacing w:after="0" w:line="240" w:lineRule="auto"/>
              <w:rPr>
                <w:rFonts w:eastAsia="Times New Roman" w:cs="Calibri"/>
                <w:b/>
                <w:bCs/>
                <w:color w:val="000000"/>
                <w:sz w:val="18"/>
                <w:szCs w:val="18"/>
                <w:lang w:eastAsia="es-CR"/>
              </w:rPr>
            </w:pPr>
            <w:r w:rsidRPr="00396CB4">
              <w:rPr>
                <w:rFonts w:eastAsia="Times New Roman" w:cs="Calibri"/>
                <w:b/>
                <w:bCs/>
                <w:color w:val="000000"/>
                <w:sz w:val="18"/>
                <w:szCs w:val="18"/>
                <w:lang w:eastAsia="es-CR"/>
              </w:rPr>
              <w:t>Provisiones a largo plazo</w:t>
            </w:r>
          </w:p>
        </w:tc>
        <w:tc>
          <w:tcPr>
            <w:tcW w:w="500" w:type="dxa"/>
            <w:tcBorders>
              <w:top w:val="nil"/>
              <w:left w:val="nil"/>
              <w:bottom w:val="single" w:sz="8" w:space="0" w:color="auto"/>
              <w:right w:val="single" w:sz="8" w:space="0" w:color="auto"/>
            </w:tcBorders>
            <w:shd w:val="clear" w:color="auto" w:fill="auto"/>
            <w:noWrap/>
            <w:vAlign w:val="bottom"/>
            <w:hideMark/>
          </w:tcPr>
          <w:p w14:paraId="16009AB9"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22</w:t>
            </w:r>
          </w:p>
        </w:tc>
        <w:tc>
          <w:tcPr>
            <w:tcW w:w="2100" w:type="dxa"/>
            <w:tcBorders>
              <w:top w:val="nil"/>
              <w:left w:val="nil"/>
              <w:bottom w:val="single" w:sz="8" w:space="0" w:color="auto"/>
              <w:right w:val="single" w:sz="8" w:space="0" w:color="auto"/>
            </w:tcBorders>
            <w:shd w:val="clear" w:color="auto" w:fill="auto"/>
            <w:noWrap/>
            <w:vAlign w:val="center"/>
            <w:hideMark/>
          </w:tcPr>
          <w:p w14:paraId="303C7264"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62 941,86 </w:t>
            </w:r>
          </w:p>
        </w:tc>
        <w:tc>
          <w:tcPr>
            <w:tcW w:w="2100" w:type="dxa"/>
            <w:tcBorders>
              <w:top w:val="nil"/>
              <w:left w:val="nil"/>
              <w:bottom w:val="single" w:sz="8" w:space="0" w:color="auto"/>
              <w:right w:val="single" w:sz="8" w:space="0" w:color="auto"/>
            </w:tcBorders>
            <w:shd w:val="clear" w:color="auto" w:fill="auto"/>
            <w:noWrap/>
            <w:vAlign w:val="center"/>
            <w:hideMark/>
          </w:tcPr>
          <w:p w14:paraId="19FD2F3C"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23 113,23 </w:t>
            </w:r>
          </w:p>
        </w:tc>
        <w:tc>
          <w:tcPr>
            <w:tcW w:w="1020" w:type="dxa"/>
            <w:tcBorders>
              <w:top w:val="nil"/>
              <w:left w:val="nil"/>
              <w:bottom w:val="single" w:sz="8" w:space="0" w:color="auto"/>
              <w:right w:val="single" w:sz="8" w:space="0" w:color="auto"/>
            </w:tcBorders>
            <w:shd w:val="clear" w:color="auto" w:fill="auto"/>
            <w:noWrap/>
            <w:vAlign w:val="center"/>
            <w:hideMark/>
          </w:tcPr>
          <w:p w14:paraId="2109E086"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172,32%</w:t>
            </w:r>
          </w:p>
        </w:tc>
      </w:tr>
    </w:tbl>
    <w:p w14:paraId="6AB088AD" w14:textId="50F06067" w:rsidR="00692DC8" w:rsidRPr="00F06B1F" w:rsidRDefault="00F06B1F" w:rsidP="003421AB">
      <w:pPr>
        <w:spacing w:before="240"/>
        <w:rPr>
          <w:sz w:val="20"/>
          <w:szCs w:val="20"/>
          <w:lang w:eastAsia="es-CR"/>
        </w:rPr>
      </w:pPr>
      <w:r>
        <w:rPr>
          <w:sz w:val="20"/>
          <w:szCs w:val="20"/>
          <w:lang w:eastAsia="es-CR"/>
        </w:rPr>
        <w:fldChar w:fldCharType="end"/>
      </w:r>
      <w:r w:rsidR="00692DC8" w:rsidRPr="00692DC8">
        <w:t>Indicar el detalle de cómo está compuesta la cuenta:</w:t>
      </w:r>
    </w:p>
    <w:p w14:paraId="7997DC56" w14:textId="77777777" w:rsidR="005F2EC2" w:rsidRDefault="005F2EC2" w:rsidP="005F2EC2">
      <w:pPr>
        <w:spacing w:before="240" w:after="0" w:line="240" w:lineRule="auto"/>
      </w:pPr>
      <w:r w:rsidRPr="002F29CB">
        <w:t>El saldo de la cuenta Provisiones y reservas técnicas a largo plazo corresponde a Provisiones para beneficios por terminación de contrato</w:t>
      </w:r>
      <w:r>
        <w:t>,</w:t>
      </w:r>
      <w:r w:rsidRPr="002F29CB">
        <w:t xml:space="preserve"> </w:t>
      </w:r>
      <w:r>
        <w:t>ya sea por despido con responsabilidad patronal o por jubilación (</w:t>
      </w:r>
      <w:r w:rsidRPr="002F29CB">
        <w:t>pago de Cesantía).</w:t>
      </w:r>
    </w:p>
    <w:p w14:paraId="729E66E5" w14:textId="77777777" w:rsidR="00DE143D" w:rsidRDefault="00DE143D" w:rsidP="003421AB">
      <w:pPr>
        <w:rPr>
          <w:b/>
          <w:bCs/>
          <w:lang w:val="es-ES"/>
        </w:rPr>
      </w:pPr>
    </w:p>
    <w:p w14:paraId="6288F528" w14:textId="77777777" w:rsidR="00DF1527" w:rsidRDefault="00DF1527" w:rsidP="003421AB">
      <w:pPr>
        <w:rPr>
          <w:b/>
          <w:bCs/>
          <w:lang w:val="es-ES"/>
        </w:rPr>
      </w:pPr>
    </w:p>
    <w:p w14:paraId="47C3E1E0" w14:textId="77777777" w:rsidR="00396CB4" w:rsidRPr="00396CB4" w:rsidRDefault="00692DC8" w:rsidP="003421AB">
      <w:pPr>
        <w:rPr>
          <w:lang w:val="es-ES"/>
        </w:rPr>
      </w:pPr>
      <w:r w:rsidRPr="00692DC8">
        <w:rPr>
          <w:b/>
          <w:bCs/>
          <w:lang w:val="es-ES"/>
        </w:rPr>
        <w:t>Revelación</w:t>
      </w:r>
      <w:r w:rsidRPr="00692DC8">
        <w:rPr>
          <w:lang w:val="es-ES"/>
        </w:rPr>
        <w:t xml:space="preserve">: </w:t>
      </w:r>
      <w:r w:rsidR="00F06B1F">
        <w:rPr>
          <w:rFonts w:eastAsia="Times New Roman" w:cs="Calibri"/>
          <w:color w:val="000000"/>
          <w:lang w:eastAsia="es-CR"/>
        </w:rPr>
        <w:fldChar w:fldCharType="begin"/>
      </w:r>
      <w:r w:rsidR="00F06B1F">
        <w:rPr>
          <w:rFonts w:eastAsia="Times New Roman" w:cs="Calibri"/>
          <w:color w:val="000000"/>
          <w:lang w:eastAsia="es-CR"/>
        </w:rPr>
        <w:instrText xml:space="preserve"> LINK </w:instrText>
      </w:r>
      <w:r w:rsidR="00756467">
        <w:rPr>
          <w:rFonts w:eastAsia="Times New Roman" w:cs="Calibri"/>
          <w:color w:val="000000"/>
          <w:lang w:eastAsia="es-CR"/>
        </w:rPr>
        <w:instrText xml:space="preserve">Excel.SheetMacroEnabled.12 "C:\\Users\\gcordero\\Downloads\\Notas diciembre 2024\\Formato_Notas_EEFF_Vinculadas_2024\\Formato_Notas_EEFF_Vinculadas_2024\\15603_T04_2024_Anexo_Estado_Notas_Contables_Vinculadas.xlsm" NOTAS_POR_CUENTA!F161C8 </w:instrText>
      </w:r>
      <w:r w:rsidR="00F06B1F">
        <w:rPr>
          <w:rFonts w:eastAsia="Times New Roman" w:cs="Calibri"/>
          <w:color w:val="000000"/>
          <w:lang w:eastAsia="es-CR"/>
        </w:rPr>
        <w:instrText xml:space="preserve">\a \f 5 \h  \* MERGEFORMAT </w:instrText>
      </w:r>
      <w:r w:rsidR="00F06B1F">
        <w:rPr>
          <w:rFonts w:eastAsia="Times New Roman" w:cs="Calibri"/>
          <w:color w:val="000000"/>
          <w:lang w:eastAsia="es-CR"/>
        </w:rPr>
        <w:fldChar w:fldCharType="separate"/>
      </w:r>
    </w:p>
    <w:p w14:paraId="7F780A56" w14:textId="77777777" w:rsidR="00396CB4" w:rsidRPr="00396CB4" w:rsidRDefault="00396CB4" w:rsidP="00396CB4">
      <w:pPr>
        <w:rPr>
          <w:rFonts w:eastAsia="Times New Roman" w:cs="Calibri"/>
          <w:color w:val="000000"/>
          <w:lang w:eastAsia="es-CR"/>
        </w:rPr>
      </w:pPr>
      <w:r w:rsidRPr="00396CB4">
        <w:rPr>
          <w:rFonts w:eastAsia="Times New Roman" w:cs="Calibri"/>
          <w:color w:val="000000"/>
          <w:lang w:eastAsia="es-CR"/>
        </w:rPr>
        <w:t>La cuenta Provisiones y reservas técnicas a largo plazo, representa el 2,69% del total del Pasivo, que comparado al periodo anterior genera una variación absoluta de 39 828,63 que corresponde a un Aumento del 172,32% de recursos disponibles.</w:t>
      </w:r>
    </w:p>
    <w:p w14:paraId="350A4DC4" w14:textId="0AAD3985" w:rsidR="003421AB" w:rsidRPr="00F06B1F" w:rsidRDefault="00F06B1F" w:rsidP="003421AB">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15F6A0B8" w14:textId="2B60B856" w:rsidR="004A712C" w:rsidRDefault="005F2EC2" w:rsidP="00061EFB">
      <w:pPr>
        <w:spacing w:after="0" w:line="240" w:lineRule="auto"/>
      </w:pPr>
      <w:r w:rsidRPr="002F29CB">
        <w:t xml:space="preserve">A que </w:t>
      </w:r>
      <w:r>
        <w:t xml:space="preserve">a partir del </w:t>
      </w:r>
      <w:r w:rsidRPr="002F29CB">
        <w:t xml:space="preserve">mes de junio de </w:t>
      </w:r>
      <w:r>
        <w:t>2023</w:t>
      </w:r>
      <w:r w:rsidRPr="002F29CB">
        <w:t xml:space="preserve"> se realiza el aprovisionamiento de las salidas de recurso que tendrá que realizar la Municipalidad en el futuro, por concepto de pago de cesantía a aquellos </w:t>
      </w:r>
      <w:r>
        <w:t>funcionarios</w:t>
      </w:r>
      <w:r w:rsidRPr="002F29CB">
        <w:t xml:space="preserve"> que se</w:t>
      </w:r>
      <w:r>
        <w:t>an despedidos con responsabilidad patronal o</w:t>
      </w:r>
      <w:r w:rsidRPr="002F29CB">
        <w:t xml:space="preserve"> </w:t>
      </w:r>
      <w:r>
        <w:t xml:space="preserve">que se </w:t>
      </w:r>
      <w:r w:rsidRPr="002F29CB">
        <w:t>acog</w:t>
      </w:r>
      <w:r>
        <w:t>i</w:t>
      </w:r>
      <w:r w:rsidRPr="002F29CB">
        <w:t>er</w:t>
      </w:r>
      <w:r>
        <w:t>a</w:t>
      </w:r>
      <w:r w:rsidRPr="002F29CB">
        <w:t>n al beneficio de jubilación.</w:t>
      </w:r>
      <w:r>
        <w:t xml:space="preserve"> Cabe señalar, que el monto provisionado corresponde a un monto parcial.</w:t>
      </w:r>
      <w:bookmarkStart w:id="422" w:name="_Toc82768950"/>
    </w:p>
    <w:p w14:paraId="00F8BE11" w14:textId="77777777" w:rsidR="00061EFB" w:rsidRPr="004A712C" w:rsidRDefault="00061EFB" w:rsidP="00061EFB">
      <w:pPr>
        <w:spacing w:after="0" w:line="240" w:lineRule="auto"/>
      </w:pPr>
    </w:p>
    <w:p w14:paraId="4E4AAE74" w14:textId="4C49933A" w:rsidR="00692DC8" w:rsidRPr="00692DC8" w:rsidRDefault="00692DC8" w:rsidP="003421AB">
      <w:pPr>
        <w:pStyle w:val="Ttulo4"/>
        <w:spacing w:after="240"/>
        <w:rPr>
          <w:rFonts w:eastAsia="Times New Roman"/>
        </w:rPr>
      </w:pPr>
      <w:bookmarkStart w:id="423" w:name="_Toc189804857"/>
      <w:r w:rsidRPr="00692DC8">
        <w:rPr>
          <w:rFonts w:eastAsia="Times New Roman"/>
        </w:rPr>
        <w:t>NOTA N° 23</w:t>
      </w:r>
      <w:bookmarkEnd w:id="419"/>
      <w:bookmarkEnd w:id="420"/>
      <w:bookmarkEnd w:id="421"/>
      <w:bookmarkEnd w:id="422"/>
      <w:bookmarkEnd w:id="423"/>
    </w:p>
    <w:p w14:paraId="588243E7" w14:textId="77777777" w:rsidR="00396CB4" w:rsidRDefault="00692DC8" w:rsidP="003421AB">
      <w:pPr>
        <w:spacing w:before="240"/>
        <w:rPr>
          <w:rFonts w:asciiTheme="minorHAnsi" w:hAnsiTheme="minorHAnsi"/>
          <w:sz w:val="22"/>
        </w:rPr>
      </w:pPr>
      <w:bookmarkStart w:id="424" w:name="_Toc82768951"/>
      <w:r w:rsidRPr="00692DC8">
        <w:rPr>
          <w:rFonts w:eastAsia="Times New Roman"/>
        </w:rPr>
        <w:t>Otros pasivos a largo plazo</w:t>
      </w:r>
      <w:bookmarkEnd w:id="424"/>
      <w:r w:rsidR="00F06B1F">
        <w:rPr>
          <w:rFonts w:eastAsiaTheme="majorEastAsia" w:cstheme="majorBidi"/>
          <w:b/>
          <w:iCs/>
        </w:rPr>
        <w:fldChar w:fldCharType="begin"/>
      </w:r>
      <w:r w:rsidR="00F06B1F">
        <w:instrText xml:space="preserve"> LINK </w:instrText>
      </w:r>
      <w:r w:rsidR="00756467">
        <w:instrText xml:space="preserve">Excel.SheetMacroEnabled.12 "C:\\Users\\gcordero\\Downloads\\Notas diciembre 2024\\Formato_Notas_EEFF_Vinculadas_2024\\Formato_Notas_EEFF_Vinculadas_2024\\15603_T04_2024_Anexo_Estado_Notas_Contables_Vinculadas.xlsm" NOTAS_POR_CUENTA!F167C1:F169C6 </w:instrText>
      </w:r>
      <w:r w:rsidR="00F06B1F">
        <w:instrText xml:space="preserve">\a \f 4 \h </w:instrText>
      </w:r>
      <w:r w:rsidR="00F06B1F">
        <w:fldChar w:fldCharType="separate"/>
      </w:r>
    </w:p>
    <w:tbl>
      <w:tblPr>
        <w:tblW w:w="9600" w:type="dxa"/>
        <w:tblCellMar>
          <w:left w:w="70" w:type="dxa"/>
          <w:right w:w="70" w:type="dxa"/>
        </w:tblCellMar>
        <w:tblLook w:val="04A0" w:firstRow="1" w:lastRow="0" w:firstColumn="1" w:lastColumn="0" w:noHBand="0" w:noVBand="1"/>
      </w:tblPr>
      <w:tblGrid>
        <w:gridCol w:w="991"/>
        <w:gridCol w:w="2889"/>
        <w:gridCol w:w="500"/>
        <w:gridCol w:w="2100"/>
        <w:gridCol w:w="2100"/>
        <w:gridCol w:w="1020"/>
      </w:tblGrid>
      <w:tr w:rsidR="00396CB4" w:rsidRPr="00396CB4" w14:paraId="0897DCE0" w14:textId="77777777" w:rsidTr="00396CB4">
        <w:trPr>
          <w:divId w:val="346905718"/>
          <w:trHeight w:val="330"/>
        </w:trPr>
        <w:tc>
          <w:tcPr>
            <w:tcW w:w="99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94F9D78" w14:textId="48574F19" w:rsidR="00396CB4" w:rsidRPr="00396CB4" w:rsidRDefault="00396CB4" w:rsidP="00396CB4">
            <w:pP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2889"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E58E327"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30F31D9"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8F83424"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4F5088B"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57559091"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6BABC213" w14:textId="77777777" w:rsidTr="00396CB4">
        <w:trPr>
          <w:divId w:val="346905718"/>
          <w:trHeight w:val="330"/>
        </w:trPr>
        <w:tc>
          <w:tcPr>
            <w:tcW w:w="991" w:type="dxa"/>
            <w:vMerge/>
            <w:tcBorders>
              <w:top w:val="single" w:sz="8" w:space="0" w:color="auto"/>
              <w:left w:val="single" w:sz="8" w:space="0" w:color="auto"/>
              <w:bottom w:val="single" w:sz="8" w:space="0" w:color="000000"/>
              <w:right w:val="single" w:sz="8" w:space="0" w:color="auto"/>
            </w:tcBorders>
            <w:vAlign w:val="center"/>
            <w:hideMark/>
          </w:tcPr>
          <w:p w14:paraId="45013AD1"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889" w:type="dxa"/>
            <w:vMerge/>
            <w:tcBorders>
              <w:top w:val="single" w:sz="8" w:space="0" w:color="auto"/>
              <w:left w:val="single" w:sz="8" w:space="0" w:color="auto"/>
              <w:bottom w:val="single" w:sz="8" w:space="0" w:color="000000"/>
              <w:right w:val="single" w:sz="8" w:space="0" w:color="auto"/>
            </w:tcBorders>
            <w:vAlign w:val="center"/>
            <w:hideMark/>
          </w:tcPr>
          <w:p w14:paraId="5B3A3BAA"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640FDD7F"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4FB12AD3"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5AC4CAC0"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4AA30962"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5AD21408" w14:textId="77777777" w:rsidTr="00396CB4">
        <w:trPr>
          <w:divId w:val="346905718"/>
          <w:trHeight w:val="330"/>
        </w:trPr>
        <w:tc>
          <w:tcPr>
            <w:tcW w:w="991" w:type="dxa"/>
            <w:tcBorders>
              <w:top w:val="nil"/>
              <w:left w:val="single" w:sz="8" w:space="0" w:color="auto"/>
              <w:bottom w:val="single" w:sz="8" w:space="0" w:color="auto"/>
              <w:right w:val="single" w:sz="8" w:space="0" w:color="auto"/>
            </w:tcBorders>
            <w:shd w:val="clear" w:color="auto" w:fill="auto"/>
            <w:noWrap/>
            <w:vAlign w:val="center"/>
            <w:hideMark/>
          </w:tcPr>
          <w:p w14:paraId="37414C10"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2.2.9.</w:t>
            </w:r>
          </w:p>
        </w:tc>
        <w:tc>
          <w:tcPr>
            <w:tcW w:w="2889" w:type="dxa"/>
            <w:tcBorders>
              <w:top w:val="nil"/>
              <w:left w:val="nil"/>
              <w:bottom w:val="single" w:sz="8" w:space="0" w:color="auto"/>
              <w:right w:val="single" w:sz="8" w:space="0" w:color="auto"/>
            </w:tcBorders>
            <w:shd w:val="clear" w:color="auto" w:fill="auto"/>
            <w:vAlign w:val="center"/>
            <w:hideMark/>
          </w:tcPr>
          <w:p w14:paraId="5F0FD0B6" w14:textId="77777777" w:rsidR="00396CB4" w:rsidRPr="00396CB4" w:rsidRDefault="00396CB4" w:rsidP="00396CB4">
            <w:pPr>
              <w:spacing w:after="0" w:line="240" w:lineRule="auto"/>
              <w:rPr>
                <w:rFonts w:eastAsia="Times New Roman" w:cs="Calibri"/>
                <w:b/>
                <w:bCs/>
                <w:color w:val="000000"/>
                <w:sz w:val="18"/>
                <w:szCs w:val="18"/>
                <w:lang w:eastAsia="es-CR"/>
              </w:rPr>
            </w:pPr>
            <w:r w:rsidRPr="00396CB4">
              <w:rPr>
                <w:rFonts w:eastAsia="Times New Roman" w:cs="Calibri"/>
                <w:b/>
                <w:bCs/>
                <w:color w:val="000000"/>
                <w:sz w:val="18"/>
                <w:szCs w:val="18"/>
                <w:lang w:eastAsia="es-CR"/>
              </w:rPr>
              <w:t>Otros pasivos a largo plazo</w:t>
            </w:r>
          </w:p>
        </w:tc>
        <w:tc>
          <w:tcPr>
            <w:tcW w:w="500" w:type="dxa"/>
            <w:tcBorders>
              <w:top w:val="nil"/>
              <w:left w:val="nil"/>
              <w:bottom w:val="single" w:sz="8" w:space="0" w:color="auto"/>
              <w:right w:val="single" w:sz="8" w:space="0" w:color="auto"/>
            </w:tcBorders>
            <w:shd w:val="clear" w:color="auto" w:fill="auto"/>
            <w:noWrap/>
            <w:vAlign w:val="center"/>
            <w:hideMark/>
          </w:tcPr>
          <w:p w14:paraId="7CC6BA38"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23</w:t>
            </w:r>
          </w:p>
        </w:tc>
        <w:tc>
          <w:tcPr>
            <w:tcW w:w="2100" w:type="dxa"/>
            <w:tcBorders>
              <w:top w:val="nil"/>
              <w:left w:val="nil"/>
              <w:bottom w:val="single" w:sz="8" w:space="0" w:color="auto"/>
              <w:right w:val="single" w:sz="8" w:space="0" w:color="auto"/>
            </w:tcBorders>
            <w:shd w:val="clear" w:color="auto" w:fill="auto"/>
            <w:noWrap/>
            <w:vAlign w:val="center"/>
            <w:hideMark/>
          </w:tcPr>
          <w:p w14:paraId="6EE2E9F5"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2100" w:type="dxa"/>
            <w:tcBorders>
              <w:top w:val="nil"/>
              <w:left w:val="nil"/>
              <w:bottom w:val="single" w:sz="8" w:space="0" w:color="auto"/>
              <w:right w:val="single" w:sz="8" w:space="0" w:color="auto"/>
            </w:tcBorders>
            <w:shd w:val="clear" w:color="auto" w:fill="auto"/>
            <w:noWrap/>
            <w:vAlign w:val="center"/>
            <w:hideMark/>
          </w:tcPr>
          <w:p w14:paraId="12364056"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1020" w:type="dxa"/>
            <w:tcBorders>
              <w:top w:val="nil"/>
              <w:left w:val="nil"/>
              <w:bottom w:val="single" w:sz="8" w:space="0" w:color="auto"/>
              <w:right w:val="single" w:sz="8" w:space="0" w:color="auto"/>
            </w:tcBorders>
            <w:shd w:val="clear" w:color="auto" w:fill="auto"/>
            <w:noWrap/>
            <w:vAlign w:val="center"/>
            <w:hideMark/>
          </w:tcPr>
          <w:p w14:paraId="464EDF1C"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0,00%</w:t>
            </w:r>
          </w:p>
        </w:tc>
      </w:tr>
    </w:tbl>
    <w:p w14:paraId="58182CDA" w14:textId="77777777" w:rsidR="00396CB4" w:rsidRDefault="00F06B1F" w:rsidP="003421AB">
      <w:pPr>
        <w:spacing w:before="240"/>
        <w:rPr>
          <w:rFonts w:asciiTheme="minorHAnsi" w:hAnsiTheme="minorHAnsi"/>
          <w:sz w:val="22"/>
        </w:rPr>
      </w:pPr>
      <w:r>
        <w:fldChar w:fldCharType="end"/>
      </w:r>
      <w:r w:rsidR="00692DC8" w:rsidRPr="00692DC8">
        <w:rPr>
          <w:szCs w:val="24"/>
        </w:rPr>
        <w:t>Detalle cuenta:</w:t>
      </w:r>
      <w:r>
        <w:rPr>
          <w:lang w:eastAsia="es-CR"/>
        </w:rPr>
        <w:fldChar w:fldCharType="begin"/>
      </w:r>
      <w:r>
        <w:rPr>
          <w:lang w:eastAsia="es-CR"/>
        </w:rPr>
        <w:instrText xml:space="preserve"> LINK </w:instrText>
      </w:r>
      <w:r w:rsidR="00756467">
        <w:rPr>
          <w:lang w:eastAsia="es-CR"/>
        </w:rPr>
        <w:instrText xml:space="preserve">Excel.SheetMacroEnabled.12 "C:\\Users\\gcordero\\Downloads\\Notas diciembre 2024\\Formato_Notas_EEFF_Vinculadas_2024\\Formato_Notas_EEFF_Vinculadas_2024\\15603_T04_2024_Anexo_Estado_Notas_Contables_Vinculadas.xlsm" NOTAS_POR_CUENTA!F171C1:F173C6 </w:instrText>
      </w:r>
      <w:r>
        <w:rPr>
          <w:lang w:eastAsia="es-CR"/>
        </w:rPr>
        <w:instrText xml:space="preserve">\a \f 4 \h </w:instrText>
      </w:r>
      <w:r>
        <w:rPr>
          <w:lang w:eastAsia="es-CR"/>
        </w:rPr>
        <w:fldChar w:fldCharType="separate"/>
      </w:r>
    </w:p>
    <w:tbl>
      <w:tblPr>
        <w:tblW w:w="9600" w:type="dxa"/>
        <w:tblCellMar>
          <w:left w:w="70" w:type="dxa"/>
          <w:right w:w="70" w:type="dxa"/>
        </w:tblCellMar>
        <w:tblLook w:val="04A0" w:firstRow="1" w:lastRow="0" w:firstColumn="1" w:lastColumn="0" w:noHBand="0" w:noVBand="1"/>
      </w:tblPr>
      <w:tblGrid>
        <w:gridCol w:w="1166"/>
        <w:gridCol w:w="2714"/>
        <w:gridCol w:w="500"/>
        <w:gridCol w:w="2100"/>
        <w:gridCol w:w="2100"/>
        <w:gridCol w:w="1020"/>
      </w:tblGrid>
      <w:tr w:rsidR="00396CB4" w:rsidRPr="00396CB4" w14:paraId="7A5A9C0A" w14:textId="77777777" w:rsidTr="00396CB4">
        <w:trPr>
          <w:divId w:val="102186447"/>
          <w:trHeight w:val="330"/>
        </w:trPr>
        <w:tc>
          <w:tcPr>
            <w:tcW w:w="116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2AFD383" w14:textId="49A19D31" w:rsidR="00396CB4" w:rsidRPr="00396CB4" w:rsidRDefault="00396CB4" w:rsidP="00396CB4">
            <w:pP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271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E522880"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0E87D28"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2164C63"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C7D3852"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7AE69121"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291988C8" w14:textId="77777777" w:rsidTr="00396CB4">
        <w:trPr>
          <w:divId w:val="102186447"/>
          <w:trHeight w:val="330"/>
        </w:trPr>
        <w:tc>
          <w:tcPr>
            <w:tcW w:w="1166" w:type="dxa"/>
            <w:vMerge/>
            <w:tcBorders>
              <w:top w:val="single" w:sz="8" w:space="0" w:color="auto"/>
              <w:left w:val="single" w:sz="8" w:space="0" w:color="auto"/>
              <w:bottom w:val="single" w:sz="8" w:space="0" w:color="000000"/>
              <w:right w:val="single" w:sz="8" w:space="0" w:color="auto"/>
            </w:tcBorders>
            <w:vAlign w:val="center"/>
            <w:hideMark/>
          </w:tcPr>
          <w:p w14:paraId="012131FC"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714" w:type="dxa"/>
            <w:vMerge/>
            <w:tcBorders>
              <w:top w:val="single" w:sz="8" w:space="0" w:color="auto"/>
              <w:left w:val="single" w:sz="8" w:space="0" w:color="auto"/>
              <w:bottom w:val="single" w:sz="8" w:space="0" w:color="000000"/>
              <w:right w:val="single" w:sz="8" w:space="0" w:color="auto"/>
            </w:tcBorders>
            <w:vAlign w:val="center"/>
            <w:hideMark/>
          </w:tcPr>
          <w:p w14:paraId="718737E2"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6B77C0CD"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6C2C6CD5"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7F582B06"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74778AEC"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13D4111F" w14:textId="77777777" w:rsidTr="00396CB4">
        <w:trPr>
          <w:divId w:val="102186447"/>
          <w:trHeight w:val="330"/>
        </w:trPr>
        <w:tc>
          <w:tcPr>
            <w:tcW w:w="1166" w:type="dxa"/>
            <w:tcBorders>
              <w:top w:val="nil"/>
              <w:left w:val="single" w:sz="8" w:space="0" w:color="auto"/>
              <w:bottom w:val="single" w:sz="8" w:space="0" w:color="auto"/>
              <w:right w:val="single" w:sz="8" w:space="0" w:color="auto"/>
            </w:tcBorders>
            <w:shd w:val="clear" w:color="auto" w:fill="auto"/>
            <w:noWrap/>
            <w:vAlign w:val="center"/>
            <w:hideMark/>
          </w:tcPr>
          <w:p w14:paraId="53A11CAC"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2.2.9.01.</w:t>
            </w:r>
          </w:p>
        </w:tc>
        <w:tc>
          <w:tcPr>
            <w:tcW w:w="2714" w:type="dxa"/>
            <w:tcBorders>
              <w:top w:val="nil"/>
              <w:left w:val="nil"/>
              <w:bottom w:val="single" w:sz="8" w:space="0" w:color="auto"/>
              <w:right w:val="single" w:sz="8" w:space="0" w:color="auto"/>
            </w:tcBorders>
            <w:shd w:val="clear" w:color="auto" w:fill="auto"/>
            <w:vAlign w:val="center"/>
            <w:hideMark/>
          </w:tcPr>
          <w:p w14:paraId="66D5DF47" w14:textId="77777777" w:rsidR="00396CB4" w:rsidRPr="00396CB4" w:rsidRDefault="00396CB4" w:rsidP="00396CB4">
            <w:pPr>
              <w:spacing w:after="0" w:line="240" w:lineRule="auto"/>
              <w:rPr>
                <w:rFonts w:eastAsia="Times New Roman" w:cs="Calibri"/>
                <w:b/>
                <w:bCs/>
                <w:color w:val="000000"/>
                <w:sz w:val="18"/>
                <w:szCs w:val="18"/>
                <w:lang w:eastAsia="es-CR"/>
              </w:rPr>
            </w:pPr>
            <w:r w:rsidRPr="00396CB4">
              <w:rPr>
                <w:rFonts w:eastAsia="Times New Roman" w:cs="Calibri"/>
                <w:b/>
                <w:bCs/>
                <w:color w:val="000000"/>
                <w:sz w:val="18"/>
                <w:szCs w:val="18"/>
                <w:lang w:eastAsia="es-CR"/>
              </w:rPr>
              <w:t>Ingresos a devengar a largo plazo</w:t>
            </w:r>
          </w:p>
        </w:tc>
        <w:tc>
          <w:tcPr>
            <w:tcW w:w="500" w:type="dxa"/>
            <w:tcBorders>
              <w:top w:val="nil"/>
              <w:left w:val="nil"/>
              <w:bottom w:val="single" w:sz="8" w:space="0" w:color="auto"/>
              <w:right w:val="single" w:sz="8" w:space="0" w:color="auto"/>
            </w:tcBorders>
            <w:shd w:val="clear" w:color="auto" w:fill="auto"/>
            <w:noWrap/>
            <w:vAlign w:val="bottom"/>
            <w:hideMark/>
          </w:tcPr>
          <w:p w14:paraId="35E39D1B"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23</w:t>
            </w:r>
          </w:p>
        </w:tc>
        <w:tc>
          <w:tcPr>
            <w:tcW w:w="2100" w:type="dxa"/>
            <w:tcBorders>
              <w:top w:val="nil"/>
              <w:left w:val="nil"/>
              <w:bottom w:val="single" w:sz="8" w:space="0" w:color="auto"/>
              <w:right w:val="single" w:sz="8" w:space="0" w:color="auto"/>
            </w:tcBorders>
            <w:shd w:val="clear" w:color="auto" w:fill="auto"/>
            <w:noWrap/>
            <w:vAlign w:val="center"/>
            <w:hideMark/>
          </w:tcPr>
          <w:p w14:paraId="780EE760"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2100" w:type="dxa"/>
            <w:tcBorders>
              <w:top w:val="nil"/>
              <w:left w:val="nil"/>
              <w:bottom w:val="single" w:sz="8" w:space="0" w:color="auto"/>
              <w:right w:val="single" w:sz="8" w:space="0" w:color="auto"/>
            </w:tcBorders>
            <w:shd w:val="clear" w:color="auto" w:fill="auto"/>
            <w:noWrap/>
            <w:vAlign w:val="center"/>
            <w:hideMark/>
          </w:tcPr>
          <w:p w14:paraId="6ECF5485"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1020" w:type="dxa"/>
            <w:tcBorders>
              <w:top w:val="nil"/>
              <w:left w:val="nil"/>
              <w:bottom w:val="single" w:sz="8" w:space="0" w:color="auto"/>
              <w:right w:val="single" w:sz="8" w:space="0" w:color="auto"/>
            </w:tcBorders>
            <w:shd w:val="clear" w:color="auto" w:fill="auto"/>
            <w:noWrap/>
            <w:vAlign w:val="center"/>
            <w:hideMark/>
          </w:tcPr>
          <w:p w14:paraId="22EA5BE4"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0,00%</w:t>
            </w:r>
          </w:p>
        </w:tc>
      </w:tr>
    </w:tbl>
    <w:p w14:paraId="5CC6316E" w14:textId="2CBAB32B" w:rsidR="00692DC8" w:rsidRPr="00F06B1F" w:rsidRDefault="00F06B1F" w:rsidP="003421AB">
      <w:pPr>
        <w:spacing w:before="240"/>
        <w:rPr>
          <w:sz w:val="20"/>
          <w:szCs w:val="20"/>
          <w:lang w:eastAsia="es-CR"/>
        </w:rPr>
      </w:pPr>
      <w:r>
        <w:rPr>
          <w:sz w:val="20"/>
          <w:szCs w:val="20"/>
          <w:lang w:eastAsia="es-CR"/>
        </w:rPr>
        <w:fldChar w:fldCharType="end"/>
      </w:r>
      <w:r w:rsidR="00692DC8" w:rsidRPr="00692DC8">
        <w:t>Indicar el detalle de cómo está compuesta la cuenta:</w:t>
      </w:r>
    </w:p>
    <w:p w14:paraId="3A633AC7" w14:textId="77777777" w:rsidR="00692DC8" w:rsidRPr="00692DC8" w:rsidRDefault="00692DC8" w:rsidP="003421AB">
      <w:pPr>
        <w:rPr>
          <w:rFonts w:eastAsia="Times New Roman"/>
          <w:lang w:eastAsia="es-CR"/>
        </w:rPr>
      </w:pPr>
      <w:r w:rsidRPr="00692DC8">
        <w:rPr>
          <w:rFonts w:eastAsia="Times New Roman"/>
          <w:lang w:eastAsia="es-CR"/>
        </w:rPr>
        <w:t>________________________________________________________________________________________________________________________________________________________________________________________________________________________________________________</w:t>
      </w:r>
    </w:p>
    <w:p w14:paraId="6BAF3346" w14:textId="77777777" w:rsidR="00396CB4" w:rsidRPr="00396CB4" w:rsidRDefault="00692DC8" w:rsidP="005F1679">
      <w:pPr>
        <w:rPr>
          <w:sz w:val="20"/>
          <w:szCs w:val="20"/>
          <w:lang w:eastAsia="es-CR"/>
        </w:rPr>
      </w:pPr>
      <w:r w:rsidRPr="00692DC8">
        <w:rPr>
          <w:b/>
          <w:bCs/>
          <w:lang w:val="es-ES"/>
        </w:rPr>
        <w:t>Revelación</w:t>
      </w:r>
      <w:r w:rsidRPr="00692DC8">
        <w:rPr>
          <w:lang w:val="es-ES"/>
        </w:rPr>
        <w:t xml:space="preserve">: </w:t>
      </w:r>
      <w:r w:rsidR="005F1679">
        <w:rPr>
          <w:rFonts w:eastAsia="Times New Roman" w:cs="Calibri"/>
          <w:color w:val="000000"/>
          <w:lang w:eastAsia="es-CR"/>
        </w:rPr>
        <w:fldChar w:fldCharType="begin"/>
      </w:r>
      <w:r w:rsidR="005F1679">
        <w:rPr>
          <w:rFonts w:eastAsia="Times New Roman" w:cs="Calibri"/>
          <w:color w:val="000000"/>
          <w:lang w:eastAsia="es-CR"/>
        </w:rPr>
        <w:instrText xml:space="preserve"> LINK </w:instrText>
      </w:r>
      <w:r w:rsidR="00756467">
        <w:rPr>
          <w:rFonts w:eastAsia="Times New Roman" w:cs="Calibri"/>
          <w:color w:val="000000"/>
          <w:lang w:eastAsia="es-CR"/>
        </w:rPr>
        <w:instrText xml:space="preserve">Excel.SheetMacroEnabled.12 "C:\\Users\\gcordero\\Downloads\\Notas diciembre 2024\\Formato_Notas_EEFF_Vinculadas_2024\\Formato_Notas_EEFF_Vinculadas_2024\\15603_T04_2024_Anexo_Estado_Notas_Contables_Vinculadas.xlsm" NOTAS_POR_CUENTA!F169C8 </w:instrText>
      </w:r>
      <w:r w:rsidR="005F1679">
        <w:rPr>
          <w:rFonts w:eastAsia="Times New Roman" w:cs="Calibri"/>
          <w:color w:val="000000"/>
          <w:lang w:eastAsia="es-CR"/>
        </w:rPr>
        <w:instrText xml:space="preserve">\a \f 5 \h  \* MERGEFORMAT </w:instrText>
      </w:r>
      <w:r w:rsidR="005F1679">
        <w:rPr>
          <w:rFonts w:eastAsia="Times New Roman" w:cs="Calibri"/>
          <w:color w:val="000000"/>
          <w:lang w:eastAsia="es-CR"/>
        </w:rPr>
        <w:fldChar w:fldCharType="separate"/>
      </w:r>
    </w:p>
    <w:p w14:paraId="1211B962" w14:textId="77777777" w:rsidR="00396CB4" w:rsidRPr="00396CB4" w:rsidRDefault="00396CB4" w:rsidP="00396CB4">
      <w:pPr>
        <w:rPr>
          <w:rFonts w:eastAsia="Times New Roman" w:cs="Calibri"/>
          <w:color w:val="000000"/>
          <w:lang w:eastAsia="es-CR"/>
        </w:rPr>
      </w:pPr>
      <w:r w:rsidRPr="00396CB4">
        <w:rPr>
          <w:rFonts w:eastAsia="Times New Roman" w:cs="Calibri"/>
          <w:color w:val="000000"/>
          <w:lang w:eastAsia="es-CR"/>
        </w:rPr>
        <w:t>La cuenta Otros pasivos a largo plazo, representa el 0,00% del total del Pasivo, que comparado al periodo anterior genera una variación absoluta de 0 000,00 que corresponde a un Aumento del 0,00% de recursos disponibles.</w:t>
      </w:r>
    </w:p>
    <w:p w14:paraId="22CE7830" w14:textId="0724B80C" w:rsidR="003421AB" w:rsidRPr="006245FF" w:rsidRDefault="005F1679" w:rsidP="003421AB">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6CDB5AD9" w14:textId="1223C68C" w:rsidR="00692DC8" w:rsidRPr="00692DC8" w:rsidRDefault="003421AB" w:rsidP="003421AB">
      <w:pPr>
        <w:pStyle w:val="Ttulo3"/>
        <w:rPr>
          <w:rFonts w:eastAsia="Times New Roman"/>
          <w:lang w:eastAsia="es-CR"/>
        </w:rPr>
      </w:pPr>
      <w:bookmarkStart w:id="425" w:name="_Toc13041164"/>
      <w:bookmarkStart w:id="426" w:name="_Toc14345163"/>
      <w:bookmarkStart w:id="427" w:name="_Toc33601243"/>
      <w:bookmarkStart w:id="428" w:name="_Toc82768952"/>
      <w:bookmarkStart w:id="429" w:name="_Toc189804858"/>
      <w:r>
        <w:rPr>
          <w:rFonts w:eastAsia="Times New Roman"/>
          <w:lang w:eastAsia="es-CR"/>
        </w:rPr>
        <w:t xml:space="preserve">3. </w:t>
      </w:r>
      <w:r w:rsidR="00692DC8" w:rsidRPr="00692DC8">
        <w:rPr>
          <w:rFonts w:eastAsia="Times New Roman"/>
          <w:lang w:eastAsia="es-CR"/>
        </w:rPr>
        <w:t>PATRIMONIO</w:t>
      </w:r>
      <w:bookmarkEnd w:id="425"/>
      <w:bookmarkEnd w:id="426"/>
      <w:bookmarkEnd w:id="427"/>
      <w:bookmarkEnd w:id="428"/>
      <w:bookmarkEnd w:id="429"/>
      <w:r w:rsidR="00692DC8" w:rsidRPr="00692DC8">
        <w:rPr>
          <w:rFonts w:eastAsia="Times New Roman"/>
          <w:lang w:eastAsia="es-CR"/>
        </w:rPr>
        <w:t xml:space="preserve"> </w:t>
      </w:r>
      <w:bookmarkStart w:id="430" w:name="_Toc54976741"/>
      <w:bookmarkStart w:id="431" w:name="_Toc54977021"/>
      <w:bookmarkStart w:id="432" w:name="_Toc54977300"/>
      <w:bookmarkStart w:id="433" w:name="_Toc54977581"/>
      <w:bookmarkStart w:id="434" w:name="_Toc54977862"/>
      <w:bookmarkStart w:id="435" w:name="_Toc54978143"/>
      <w:bookmarkStart w:id="436" w:name="_Toc54978452"/>
      <w:bookmarkStart w:id="437" w:name="_Toc54978761"/>
      <w:bookmarkStart w:id="438" w:name="_Toc54979071"/>
      <w:bookmarkStart w:id="439" w:name="_Toc55059358"/>
      <w:bookmarkStart w:id="440" w:name="_Toc55059669"/>
      <w:bookmarkStart w:id="441" w:name="_Toc55060336"/>
      <w:bookmarkStart w:id="442" w:name="_Toc55060721"/>
      <w:bookmarkStart w:id="443" w:name="_Toc55062710"/>
      <w:bookmarkStart w:id="444" w:name="_Toc55062980"/>
      <w:bookmarkStart w:id="445" w:name="_Toc55063231"/>
      <w:bookmarkStart w:id="446" w:name="_Toc55063484"/>
      <w:bookmarkStart w:id="447" w:name="_Toc55063738"/>
      <w:bookmarkStart w:id="448" w:name="_Toc55064010"/>
      <w:bookmarkStart w:id="449" w:name="_Toc55069813"/>
      <w:bookmarkStart w:id="450" w:name="_Toc55070081"/>
      <w:bookmarkStart w:id="451" w:name="_Toc55070348"/>
      <w:bookmarkStart w:id="452" w:name="_Toc55070616"/>
      <w:bookmarkStart w:id="453" w:name="_Toc55070883"/>
      <w:bookmarkStart w:id="454" w:name="_Toc55201406"/>
      <w:bookmarkStart w:id="455" w:name="_Toc55824636"/>
      <w:bookmarkStart w:id="456" w:name="_Toc55825021"/>
      <w:bookmarkStart w:id="457" w:name="_Toc55828955"/>
      <w:bookmarkStart w:id="458" w:name="_Toc56002209"/>
      <w:bookmarkStart w:id="459" w:name="_Toc56002485"/>
      <w:bookmarkStart w:id="460" w:name="_Toc56004679"/>
      <w:bookmarkStart w:id="461" w:name="_Toc56065356"/>
      <w:bookmarkStart w:id="462" w:name="_Toc71563837"/>
      <w:bookmarkStart w:id="463" w:name="_Toc54976742"/>
      <w:bookmarkStart w:id="464" w:name="_Toc54977022"/>
      <w:bookmarkStart w:id="465" w:name="_Toc54977301"/>
      <w:bookmarkStart w:id="466" w:name="_Toc54977582"/>
      <w:bookmarkStart w:id="467" w:name="_Toc54977863"/>
      <w:bookmarkStart w:id="468" w:name="_Toc54978144"/>
      <w:bookmarkStart w:id="469" w:name="_Toc54978453"/>
      <w:bookmarkStart w:id="470" w:name="_Toc54978762"/>
      <w:bookmarkStart w:id="471" w:name="_Toc54979072"/>
      <w:bookmarkStart w:id="472" w:name="_Toc55059359"/>
      <w:bookmarkStart w:id="473" w:name="_Toc55059670"/>
      <w:bookmarkStart w:id="474" w:name="_Toc55060337"/>
      <w:bookmarkStart w:id="475" w:name="_Toc55060722"/>
      <w:bookmarkStart w:id="476" w:name="_Toc55062711"/>
      <w:bookmarkStart w:id="477" w:name="_Toc55062981"/>
      <w:bookmarkStart w:id="478" w:name="_Toc55063232"/>
      <w:bookmarkStart w:id="479" w:name="_Toc55063485"/>
      <w:bookmarkStart w:id="480" w:name="_Toc55063739"/>
      <w:bookmarkStart w:id="481" w:name="_Toc55064011"/>
      <w:bookmarkStart w:id="482" w:name="_Toc55069814"/>
      <w:bookmarkStart w:id="483" w:name="_Toc55070082"/>
      <w:bookmarkStart w:id="484" w:name="_Toc55070349"/>
      <w:bookmarkStart w:id="485" w:name="_Toc55070617"/>
      <w:bookmarkStart w:id="486" w:name="_Toc55070884"/>
      <w:bookmarkStart w:id="487" w:name="_Toc55201407"/>
      <w:bookmarkStart w:id="488" w:name="_Toc55824637"/>
      <w:bookmarkStart w:id="489" w:name="_Toc55825022"/>
      <w:bookmarkStart w:id="490" w:name="_Toc55828956"/>
      <w:bookmarkStart w:id="491" w:name="_Toc56002210"/>
      <w:bookmarkStart w:id="492" w:name="_Toc56002486"/>
      <w:bookmarkStart w:id="493" w:name="_Toc56004680"/>
      <w:bookmarkStart w:id="494" w:name="_Toc56065357"/>
      <w:bookmarkStart w:id="495" w:name="_Toc71563838"/>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p>
    <w:p w14:paraId="36392FD8" w14:textId="77777777" w:rsidR="00692DC8" w:rsidRPr="00692DC8" w:rsidRDefault="00692DC8" w:rsidP="003421AB">
      <w:pPr>
        <w:pStyle w:val="Ttulo3"/>
        <w:rPr>
          <w:rFonts w:eastAsia="Calibri"/>
          <w:lang w:eastAsia="es-CR"/>
        </w:rPr>
      </w:pPr>
      <w:bookmarkStart w:id="496" w:name="_Toc82768953"/>
      <w:bookmarkStart w:id="497" w:name="_Toc189804859"/>
      <w:r w:rsidRPr="00692DC8">
        <w:rPr>
          <w:rFonts w:eastAsia="Calibri"/>
          <w:lang w:eastAsia="es-CR"/>
        </w:rPr>
        <w:t>3.1 PATRIMONIO PUBLICO</w:t>
      </w:r>
      <w:bookmarkEnd w:id="496"/>
      <w:bookmarkEnd w:id="497"/>
    </w:p>
    <w:p w14:paraId="4AED326E" w14:textId="77777777" w:rsidR="00692DC8" w:rsidRPr="00692DC8" w:rsidRDefault="00692DC8" w:rsidP="003421AB">
      <w:pPr>
        <w:pStyle w:val="Ttulo4"/>
        <w:spacing w:after="240"/>
        <w:rPr>
          <w:rFonts w:eastAsia="Times New Roman"/>
        </w:rPr>
      </w:pPr>
      <w:bookmarkStart w:id="498" w:name="_Toc13041165"/>
      <w:bookmarkStart w:id="499" w:name="_Toc14345164"/>
      <w:bookmarkStart w:id="500" w:name="_Toc33601244"/>
      <w:bookmarkStart w:id="501" w:name="_Toc82768954"/>
      <w:bookmarkStart w:id="502" w:name="_Toc189804860"/>
      <w:r w:rsidRPr="00692DC8">
        <w:rPr>
          <w:rFonts w:eastAsia="Times New Roman"/>
        </w:rPr>
        <w:t>NOTA N° 24</w:t>
      </w:r>
      <w:bookmarkEnd w:id="498"/>
      <w:bookmarkEnd w:id="499"/>
      <w:bookmarkEnd w:id="500"/>
      <w:bookmarkEnd w:id="501"/>
      <w:bookmarkEnd w:id="502"/>
    </w:p>
    <w:p w14:paraId="03B71B47" w14:textId="77777777" w:rsidR="00396CB4" w:rsidRDefault="00692DC8" w:rsidP="005F2EC2">
      <w:pPr>
        <w:spacing w:before="240"/>
        <w:rPr>
          <w:rFonts w:asciiTheme="minorHAnsi" w:hAnsiTheme="minorHAnsi"/>
          <w:sz w:val="22"/>
        </w:rPr>
      </w:pPr>
      <w:bookmarkStart w:id="503" w:name="_Toc82768955"/>
      <w:r w:rsidRPr="00692DC8">
        <w:rPr>
          <w:rFonts w:eastAsia="Times New Roman"/>
        </w:rPr>
        <w:t>Capital</w:t>
      </w:r>
      <w:bookmarkEnd w:id="503"/>
      <w:r w:rsidR="009C78C0">
        <w:rPr>
          <w:rFonts w:eastAsiaTheme="majorEastAsia" w:cstheme="majorBidi"/>
          <w:b/>
          <w:iCs/>
          <w:lang w:eastAsia="es-CR"/>
        </w:rPr>
        <w:fldChar w:fldCharType="begin"/>
      </w:r>
      <w:r w:rsidR="009C78C0">
        <w:rPr>
          <w:lang w:eastAsia="es-CR"/>
        </w:rPr>
        <w:instrText xml:space="preserve"> LINK </w:instrText>
      </w:r>
      <w:r w:rsidR="00756467">
        <w:rPr>
          <w:lang w:eastAsia="es-CR"/>
        </w:rPr>
        <w:instrText xml:space="preserve">Excel.SheetMacroEnabled.12 "C:\\Users\\gcordero\\Downloads\\Notas diciembre 2024\\Formato_Notas_EEFF_Vinculadas_2024\\Formato_Notas_EEFF_Vinculadas_2024\\15603_T04_2024_Anexo_Estado_Notas_Contables_Vinculadas.xlsm" NOTAS_POR_CUENTA!F178C1:F180C6 </w:instrText>
      </w:r>
      <w:r w:rsidR="009C78C0">
        <w:rPr>
          <w:lang w:eastAsia="es-CR"/>
        </w:rPr>
        <w:instrText xml:space="preserve">\a \f 4 \h </w:instrText>
      </w:r>
      <w:r w:rsidR="009C78C0">
        <w:rPr>
          <w:lang w:eastAsia="es-CR"/>
        </w:rPr>
        <w:fldChar w:fldCharType="separate"/>
      </w:r>
    </w:p>
    <w:tbl>
      <w:tblPr>
        <w:tblW w:w="9600" w:type="dxa"/>
        <w:tblCellMar>
          <w:left w:w="70" w:type="dxa"/>
          <w:right w:w="70" w:type="dxa"/>
        </w:tblCellMar>
        <w:tblLook w:val="04A0" w:firstRow="1" w:lastRow="0" w:firstColumn="1" w:lastColumn="0" w:noHBand="0" w:noVBand="1"/>
      </w:tblPr>
      <w:tblGrid>
        <w:gridCol w:w="1133"/>
        <w:gridCol w:w="2747"/>
        <w:gridCol w:w="500"/>
        <w:gridCol w:w="2100"/>
        <w:gridCol w:w="2100"/>
        <w:gridCol w:w="1020"/>
      </w:tblGrid>
      <w:tr w:rsidR="00396CB4" w:rsidRPr="00396CB4" w14:paraId="05406E94" w14:textId="77777777" w:rsidTr="00396CB4">
        <w:trPr>
          <w:divId w:val="1920865247"/>
          <w:trHeight w:val="330"/>
        </w:trPr>
        <w:tc>
          <w:tcPr>
            <w:tcW w:w="1133"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F3C1665" w14:textId="1C65AD53" w:rsidR="00396CB4" w:rsidRPr="00396CB4" w:rsidRDefault="00396CB4" w:rsidP="00396CB4">
            <w:pP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2747"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F340EFC"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B2FC1C6"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22995E2"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067C77D"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285CA55B"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66405D3C" w14:textId="77777777" w:rsidTr="00396CB4">
        <w:trPr>
          <w:divId w:val="1920865247"/>
          <w:trHeight w:val="330"/>
        </w:trPr>
        <w:tc>
          <w:tcPr>
            <w:tcW w:w="1133" w:type="dxa"/>
            <w:vMerge/>
            <w:tcBorders>
              <w:top w:val="single" w:sz="8" w:space="0" w:color="auto"/>
              <w:left w:val="single" w:sz="8" w:space="0" w:color="auto"/>
              <w:bottom w:val="single" w:sz="8" w:space="0" w:color="000000"/>
              <w:right w:val="single" w:sz="8" w:space="0" w:color="auto"/>
            </w:tcBorders>
            <w:vAlign w:val="center"/>
            <w:hideMark/>
          </w:tcPr>
          <w:p w14:paraId="13DECF74"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747" w:type="dxa"/>
            <w:vMerge/>
            <w:tcBorders>
              <w:top w:val="single" w:sz="8" w:space="0" w:color="auto"/>
              <w:left w:val="single" w:sz="8" w:space="0" w:color="auto"/>
              <w:bottom w:val="single" w:sz="8" w:space="0" w:color="000000"/>
              <w:right w:val="single" w:sz="8" w:space="0" w:color="auto"/>
            </w:tcBorders>
            <w:vAlign w:val="center"/>
            <w:hideMark/>
          </w:tcPr>
          <w:p w14:paraId="65C944A5"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755B4DEC"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4AC94AB9"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27447BF1"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09539323"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5F8C1745" w14:textId="77777777" w:rsidTr="00396CB4">
        <w:trPr>
          <w:divId w:val="1920865247"/>
          <w:trHeight w:val="330"/>
        </w:trPr>
        <w:tc>
          <w:tcPr>
            <w:tcW w:w="1133" w:type="dxa"/>
            <w:tcBorders>
              <w:top w:val="nil"/>
              <w:left w:val="single" w:sz="8" w:space="0" w:color="auto"/>
              <w:bottom w:val="single" w:sz="8" w:space="0" w:color="auto"/>
              <w:right w:val="single" w:sz="8" w:space="0" w:color="auto"/>
            </w:tcBorders>
            <w:shd w:val="clear" w:color="auto" w:fill="auto"/>
            <w:noWrap/>
            <w:vAlign w:val="center"/>
            <w:hideMark/>
          </w:tcPr>
          <w:p w14:paraId="4E45B77D"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3.1.1.</w:t>
            </w:r>
          </w:p>
        </w:tc>
        <w:tc>
          <w:tcPr>
            <w:tcW w:w="2747" w:type="dxa"/>
            <w:tcBorders>
              <w:top w:val="nil"/>
              <w:left w:val="nil"/>
              <w:bottom w:val="single" w:sz="8" w:space="0" w:color="auto"/>
              <w:right w:val="single" w:sz="8" w:space="0" w:color="auto"/>
            </w:tcBorders>
            <w:shd w:val="clear" w:color="auto" w:fill="auto"/>
            <w:vAlign w:val="center"/>
            <w:hideMark/>
          </w:tcPr>
          <w:p w14:paraId="639D1771" w14:textId="77777777" w:rsidR="00396CB4" w:rsidRPr="00396CB4" w:rsidRDefault="00396CB4" w:rsidP="00396CB4">
            <w:pPr>
              <w:spacing w:after="0" w:line="240" w:lineRule="auto"/>
              <w:rPr>
                <w:rFonts w:eastAsia="Times New Roman" w:cs="Calibri"/>
                <w:b/>
                <w:bCs/>
                <w:color w:val="000000"/>
                <w:sz w:val="18"/>
                <w:szCs w:val="18"/>
                <w:lang w:eastAsia="es-CR"/>
              </w:rPr>
            </w:pPr>
            <w:r w:rsidRPr="00396CB4">
              <w:rPr>
                <w:rFonts w:eastAsia="Times New Roman" w:cs="Calibri"/>
                <w:b/>
                <w:bCs/>
                <w:color w:val="000000"/>
                <w:sz w:val="18"/>
                <w:szCs w:val="18"/>
                <w:lang w:eastAsia="es-CR"/>
              </w:rPr>
              <w:t>Capital</w:t>
            </w:r>
          </w:p>
        </w:tc>
        <w:tc>
          <w:tcPr>
            <w:tcW w:w="500" w:type="dxa"/>
            <w:tcBorders>
              <w:top w:val="nil"/>
              <w:left w:val="nil"/>
              <w:bottom w:val="single" w:sz="8" w:space="0" w:color="auto"/>
              <w:right w:val="single" w:sz="8" w:space="0" w:color="auto"/>
            </w:tcBorders>
            <w:shd w:val="clear" w:color="auto" w:fill="auto"/>
            <w:noWrap/>
            <w:vAlign w:val="center"/>
            <w:hideMark/>
          </w:tcPr>
          <w:p w14:paraId="1C992C82"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24</w:t>
            </w:r>
          </w:p>
        </w:tc>
        <w:tc>
          <w:tcPr>
            <w:tcW w:w="2100" w:type="dxa"/>
            <w:tcBorders>
              <w:top w:val="nil"/>
              <w:left w:val="nil"/>
              <w:bottom w:val="single" w:sz="8" w:space="0" w:color="auto"/>
              <w:right w:val="single" w:sz="8" w:space="0" w:color="auto"/>
            </w:tcBorders>
            <w:shd w:val="clear" w:color="auto" w:fill="auto"/>
            <w:noWrap/>
            <w:vAlign w:val="center"/>
            <w:hideMark/>
          </w:tcPr>
          <w:p w14:paraId="3B4D44A1"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0,52 </w:t>
            </w:r>
          </w:p>
        </w:tc>
        <w:tc>
          <w:tcPr>
            <w:tcW w:w="2100" w:type="dxa"/>
            <w:tcBorders>
              <w:top w:val="nil"/>
              <w:left w:val="nil"/>
              <w:bottom w:val="single" w:sz="8" w:space="0" w:color="auto"/>
              <w:right w:val="single" w:sz="8" w:space="0" w:color="auto"/>
            </w:tcBorders>
            <w:shd w:val="clear" w:color="auto" w:fill="auto"/>
            <w:noWrap/>
            <w:vAlign w:val="center"/>
            <w:hideMark/>
          </w:tcPr>
          <w:p w14:paraId="1E4EA051"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0,52 </w:t>
            </w:r>
          </w:p>
        </w:tc>
        <w:tc>
          <w:tcPr>
            <w:tcW w:w="1020" w:type="dxa"/>
            <w:tcBorders>
              <w:top w:val="nil"/>
              <w:left w:val="nil"/>
              <w:bottom w:val="single" w:sz="8" w:space="0" w:color="auto"/>
              <w:right w:val="single" w:sz="8" w:space="0" w:color="auto"/>
            </w:tcBorders>
            <w:shd w:val="clear" w:color="auto" w:fill="auto"/>
            <w:noWrap/>
            <w:vAlign w:val="center"/>
            <w:hideMark/>
          </w:tcPr>
          <w:p w14:paraId="4969165F"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0,00%</w:t>
            </w:r>
          </w:p>
        </w:tc>
      </w:tr>
    </w:tbl>
    <w:p w14:paraId="1F01C38B" w14:textId="77777777" w:rsidR="00061EFB" w:rsidRDefault="009C78C0" w:rsidP="005F2EC2">
      <w:pPr>
        <w:spacing w:before="240"/>
        <w:rPr>
          <w:sz w:val="20"/>
          <w:szCs w:val="20"/>
          <w:lang w:eastAsia="es-CR"/>
        </w:rPr>
      </w:pPr>
      <w:r>
        <w:rPr>
          <w:sz w:val="20"/>
          <w:szCs w:val="20"/>
          <w:lang w:eastAsia="es-CR"/>
        </w:rPr>
        <w:fldChar w:fldCharType="end"/>
      </w:r>
    </w:p>
    <w:p w14:paraId="0664BFF3" w14:textId="0B56E0FB" w:rsidR="00396CB4" w:rsidRDefault="009C78C0" w:rsidP="005F2EC2">
      <w:pPr>
        <w:spacing w:before="240"/>
        <w:rPr>
          <w:rFonts w:asciiTheme="minorHAnsi" w:hAnsiTheme="minorHAnsi"/>
          <w:sz w:val="22"/>
        </w:rPr>
      </w:pPr>
      <w:r>
        <w:rPr>
          <w:lang w:val="es-ES"/>
        </w:rPr>
        <w:t xml:space="preserve">Detalle de Cuenta </w:t>
      </w:r>
      <w:r>
        <w:rPr>
          <w:lang w:val="es-ES"/>
        </w:rPr>
        <w:fldChar w:fldCharType="begin"/>
      </w:r>
      <w:r>
        <w:rPr>
          <w:lang w:val="es-ES"/>
        </w:rPr>
        <w:instrText xml:space="preserve"> LINK </w:instrText>
      </w:r>
      <w:r w:rsidR="00756467">
        <w:rPr>
          <w:lang w:val="es-ES"/>
        </w:rPr>
        <w:instrText xml:space="preserve">Excel.SheetMacroEnabled.12 "C:\\Users\\gcordero\\Downloads\\Notas diciembre 2024\\Formato_Notas_EEFF_Vinculadas_2024\\Formato_Notas_EEFF_Vinculadas_2024\\15603_T04_2024_Anexo_Estado_Notas_Contables_Vinculadas.xlsm" NOTAS_POR_CUENTA!F182C1:F184C6 </w:instrText>
      </w:r>
      <w:r>
        <w:rPr>
          <w:lang w:val="es-ES"/>
        </w:rPr>
        <w:instrText xml:space="preserve">\a \f 4 \h </w:instrText>
      </w:r>
      <w:r>
        <w:rPr>
          <w:lang w:val="es-ES"/>
        </w:rPr>
        <w:fldChar w:fldCharType="separate"/>
      </w:r>
    </w:p>
    <w:tbl>
      <w:tblPr>
        <w:tblW w:w="9600" w:type="dxa"/>
        <w:tblCellMar>
          <w:left w:w="70" w:type="dxa"/>
          <w:right w:w="70" w:type="dxa"/>
        </w:tblCellMar>
        <w:tblLook w:val="04A0" w:firstRow="1" w:lastRow="0" w:firstColumn="1" w:lastColumn="0" w:noHBand="0" w:noVBand="1"/>
      </w:tblPr>
      <w:tblGrid>
        <w:gridCol w:w="715"/>
        <w:gridCol w:w="3165"/>
        <w:gridCol w:w="500"/>
        <w:gridCol w:w="2100"/>
        <w:gridCol w:w="2100"/>
        <w:gridCol w:w="1020"/>
      </w:tblGrid>
      <w:tr w:rsidR="00396CB4" w:rsidRPr="00396CB4" w14:paraId="342D21AB" w14:textId="77777777" w:rsidTr="00396CB4">
        <w:trPr>
          <w:divId w:val="2010600119"/>
          <w:trHeight w:val="330"/>
        </w:trPr>
        <w:tc>
          <w:tcPr>
            <w:tcW w:w="6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714131E" w14:textId="2F3459C6" w:rsidR="00396CB4" w:rsidRPr="00396CB4" w:rsidRDefault="00396CB4" w:rsidP="00396CB4">
            <w:pP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32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82E64D5"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6DEE750"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05CE125"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63636A9"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48DBD2A7"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0B891326" w14:textId="77777777" w:rsidTr="00396CB4">
        <w:trPr>
          <w:divId w:val="2010600119"/>
          <w:trHeight w:val="330"/>
        </w:trPr>
        <w:tc>
          <w:tcPr>
            <w:tcW w:w="660" w:type="dxa"/>
            <w:vMerge/>
            <w:tcBorders>
              <w:top w:val="single" w:sz="8" w:space="0" w:color="auto"/>
              <w:left w:val="single" w:sz="8" w:space="0" w:color="auto"/>
              <w:bottom w:val="single" w:sz="8" w:space="0" w:color="000000"/>
              <w:right w:val="single" w:sz="8" w:space="0" w:color="auto"/>
            </w:tcBorders>
            <w:vAlign w:val="center"/>
            <w:hideMark/>
          </w:tcPr>
          <w:p w14:paraId="42715E29"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3220" w:type="dxa"/>
            <w:vMerge/>
            <w:tcBorders>
              <w:top w:val="single" w:sz="8" w:space="0" w:color="auto"/>
              <w:left w:val="single" w:sz="8" w:space="0" w:color="auto"/>
              <w:bottom w:val="single" w:sz="8" w:space="0" w:color="000000"/>
              <w:right w:val="single" w:sz="8" w:space="0" w:color="auto"/>
            </w:tcBorders>
            <w:vAlign w:val="center"/>
            <w:hideMark/>
          </w:tcPr>
          <w:p w14:paraId="123617D9"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403DA837"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186B0B4B"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5D9CF065"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68BF3CB6"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1D826A4A" w14:textId="77777777" w:rsidTr="00396CB4">
        <w:trPr>
          <w:divId w:val="2010600119"/>
          <w:trHeight w:val="330"/>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24B0440A"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lastRenderedPageBreak/>
              <w:t>3.1.1.01.</w:t>
            </w:r>
          </w:p>
        </w:tc>
        <w:tc>
          <w:tcPr>
            <w:tcW w:w="3220" w:type="dxa"/>
            <w:tcBorders>
              <w:top w:val="nil"/>
              <w:left w:val="nil"/>
              <w:bottom w:val="single" w:sz="8" w:space="0" w:color="auto"/>
              <w:right w:val="single" w:sz="8" w:space="0" w:color="auto"/>
            </w:tcBorders>
            <w:shd w:val="clear" w:color="auto" w:fill="auto"/>
            <w:vAlign w:val="center"/>
            <w:hideMark/>
          </w:tcPr>
          <w:p w14:paraId="192F060E" w14:textId="77777777" w:rsidR="00396CB4" w:rsidRPr="00396CB4" w:rsidRDefault="00396CB4" w:rsidP="00396CB4">
            <w:pPr>
              <w:spacing w:after="0" w:line="240" w:lineRule="auto"/>
              <w:rPr>
                <w:rFonts w:eastAsia="Times New Roman" w:cs="Calibri"/>
                <w:b/>
                <w:bCs/>
                <w:color w:val="000000"/>
                <w:sz w:val="18"/>
                <w:szCs w:val="18"/>
                <w:lang w:eastAsia="es-CR"/>
              </w:rPr>
            </w:pPr>
            <w:r w:rsidRPr="00396CB4">
              <w:rPr>
                <w:rFonts w:eastAsia="Times New Roman" w:cs="Calibri"/>
                <w:b/>
                <w:bCs/>
                <w:color w:val="000000"/>
                <w:sz w:val="18"/>
                <w:szCs w:val="18"/>
                <w:lang w:eastAsia="es-CR"/>
              </w:rPr>
              <w:t>Capital inicial</w:t>
            </w:r>
          </w:p>
        </w:tc>
        <w:tc>
          <w:tcPr>
            <w:tcW w:w="500" w:type="dxa"/>
            <w:tcBorders>
              <w:top w:val="nil"/>
              <w:left w:val="nil"/>
              <w:bottom w:val="single" w:sz="8" w:space="0" w:color="auto"/>
              <w:right w:val="single" w:sz="8" w:space="0" w:color="auto"/>
            </w:tcBorders>
            <w:shd w:val="clear" w:color="auto" w:fill="auto"/>
            <w:noWrap/>
            <w:vAlign w:val="center"/>
            <w:hideMark/>
          </w:tcPr>
          <w:p w14:paraId="3C08196F"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24</w:t>
            </w:r>
          </w:p>
        </w:tc>
        <w:tc>
          <w:tcPr>
            <w:tcW w:w="2100" w:type="dxa"/>
            <w:tcBorders>
              <w:top w:val="nil"/>
              <w:left w:val="nil"/>
              <w:bottom w:val="single" w:sz="8" w:space="0" w:color="auto"/>
              <w:right w:val="single" w:sz="8" w:space="0" w:color="auto"/>
            </w:tcBorders>
            <w:shd w:val="clear" w:color="auto" w:fill="auto"/>
            <w:noWrap/>
            <w:vAlign w:val="center"/>
            <w:hideMark/>
          </w:tcPr>
          <w:p w14:paraId="1DC482B4"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0,52 </w:t>
            </w:r>
          </w:p>
        </w:tc>
        <w:tc>
          <w:tcPr>
            <w:tcW w:w="2100" w:type="dxa"/>
            <w:tcBorders>
              <w:top w:val="nil"/>
              <w:left w:val="nil"/>
              <w:bottom w:val="single" w:sz="8" w:space="0" w:color="auto"/>
              <w:right w:val="single" w:sz="8" w:space="0" w:color="auto"/>
            </w:tcBorders>
            <w:shd w:val="clear" w:color="auto" w:fill="auto"/>
            <w:noWrap/>
            <w:vAlign w:val="center"/>
            <w:hideMark/>
          </w:tcPr>
          <w:p w14:paraId="16D702E4"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0,52 </w:t>
            </w:r>
          </w:p>
        </w:tc>
        <w:tc>
          <w:tcPr>
            <w:tcW w:w="1020" w:type="dxa"/>
            <w:tcBorders>
              <w:top w:val="nil"/>
              <w:left w:val="nil"/>
              <w:bottom w:val="single" w:sz="8" w:space="0" w:color="auto"/>
              <w:right w:val="single" w:sz="8" w:space="0" w:color="auto"/>
            </w:tcBorders>
            <w:shd w:val="clear" w:color="auto" w:fill="auto"/>
            <w:noWrap/>
            <w:vAlign w:val="center"/>
            <w:hideMark/>
          </w:tcPr>
          <w:p w14:paraId="5196B3F4"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0,00%</w:t>
            </w:r>
          </w:p>
        </w:tc>
      </w:tr>
    </w:tbl>
    <w:p w14:paraId="4A431F46" w14:textId="1635C210" w:rsidR="005F2EC2" w:rsidRDefault="009C78C0" w:rsidP="005F2EC2">
      <w:pPr>
        <w:spacing w:before="240"/>
        <w:rPr>
          <w:lang w:val="es-ES"/>
        </w:rPr>
      </w:pPr>
      <w:r>
        <w:rPr>
          <w:lang w:val="es-ES"/>
        </w:rPr>
        <w:fldChar w:fldCharType="end"/>
      </w:r>
      <w:r w:rsidR="005F2EC2" w:rsidRPr="005F2EC2">
        <w:rPr>
          <w:lang w:val="es-ES"/>
        </w:rPr>
        <w:t xml:space="preserve"> </w:t>
      </w:r>
      <w:r w:rsidR="005F2EC2" w:rsidRPr="00692DC8">
        <w:rPr>
          <w:lang w:val="es-ES"/>
        </w:rPr>
        <w:t>Cuadro de análisis de composición Capital Inicial</w:t>
      </w:r>
    </w:p>
    <w:tbl>
      <w:tblPr>
        <w:tblW w:w="9400" w:type="dxa"/>
        <w:tblInd w:w="-10" w:type="dxa"/>
        <w:tblCellMar>
          <w:left w:w="70" w:type="dxa"/>
          <w:right w:w="70" w:type="dxa"/>
        </w:tblCellMar>
        <w:tblLook w:val="04A0" w:firstRow="1" w:lastRow="0" w:firstColumn="1" w:lastColumn="0" w:noHBand="0" w:noVBand="1"/>
      </w:tblPr>
      <w:tblGrid>
        <w:gridCol w:w="1240"/>
        <w:gridCol w:w="2280"/>
        <w:gridCol w:w="1240"/>
        <w:gridCol w:w="1240"/>
        <w:gridCol w:w="1560"/>
        <w:gridCol w:w="1840"/>
      </w:tblGrid>
      <w:tr w:rsidR="005F2EC2" w:rsidRPr="009C78C0" w14:paraId="0FDA17B0" w14:textId="77777777" w:rsidTr="00756467">
        <w:trPr>
          <w:trHeight w:val="324"/>
        </w:trPr>
        <w:tc>
          <w:tcPr>
            <w:tcW w:w="1240" w:type="dxa"/>
            <w:tcBorders>
              <w:top w:val="single" w:sz="8" w:space="0" w:color="auto"/>
              <w:left w:val="single" w:sz="8" w:space="0" w:color="auto"/>
              <w:bottom w:val="single" w:sz="8" w:space="0" w:color="auto"/>
              <w:right w:val="single" w:sz="8" w:space="0" w:color="auto"/>
            </w:tcBorders>
            <w:shd w:val="clear" w:color="000000" w:fill="365F91"/>
            <w:noWrap/>
            <w:vAlign w:val="center"/>
            <w:hideMark/>
          </w:tcPr>
          <w:p w14:paraId="0C1391E1" w14:textId="77777777" w:rsidR="005F2EC2" w:rsidRPr="009C78C0" w:rsidRDefault="005F2EC2" w:rsidP="00756467">
            <w:pPr>
              <w:spacing w:after="0" w:line="240" w:lineRule="auto"/>
              <w:jc w:val="center"/>
              <w:rPr>
                <w:rFonts w:eastAsia="Times New Roman" w:cs="Calibri"/>
                <w:color w:val="FFFFFF"/>
                <w:szCs w:val="24"/>
                <w:lang w:eastAsia="es-CR"/>
              </w:rPr>
            </w:pPr>
            <w:r w:rsidRPr="009C78C0">
              <w:rPr>
                <w:rFonts w:eastAsia="Times New Roman" w:cs="Calibri"/>
                <w:color w:val="FFFFFF"/>
                <w:szCs w:val="24"/>
                <w:lang w:eastAsia="es-CR"/>
              </w:rPr>
              <w:t>Fecha</w:t>
            </w:r>
          </w:p>
        </w:tc>
        <w:tc>
          <w:tcPr>
            <w:tcW w:w="2280" w:type="dxa"/>
            <w:tcBorders>
              <w:top w:val="single" w:sz="8" w:space="0" w:color="auto"/>
              <w:left w:val="nil"/>
              <w:bottom w:val="single" w:sz="8" w:space="0" w:color="auto"/>
              <w:right w:val="nil"/>
            </w:tcBorders>
            <w:shd w:val="clear" w:color="000000" w:fill="365F91"/>
            <w:noWrap/>
            <w:vAlign w:val="center"/>
            <w:hideMark/>
          </w:tcPr>
          <w:p w14:paraId="65D02939" w14:textId="77777777" w:rsidR="005F2EC2" w:rsidRPr="009C78C0" w:rsidRDefault="005F2EC2" w:rsidP="00756467">
            <w:pPr>
              <w:spacing w:after="0" w:line="240" w:lineRule="auto"/>
              <w:jc w:val="center"/>
              <w:rPr>
                <w:rFonts w:eastAsia="Times New Roman" w:cs="Calibri"/>
                <w:color w:val="FFFFFF"/>
                <w:szCs w:val="24"/>
                <w:lang w:eastAsia="es-CR"/>
              </w:rPr>
            </w:pPr>
            <w:r w:rsidRPr="009C78C0">
              <w:rPr>
                <w:rFonts w:eastAsia="Times New Roman" w:cs="Calibri"/>
                <w:color w:val="FFFFFF"/>
                <w:szCs w:val="24"/>
                <w:lang w:eastAsia="es-CR"/>
              </w:rPr>
              <w:t>Entidad que aporta</w:t>
            </w:r>
          </w:p>
        </w:tc>
        <w:tc>
          <w:tcPr>
            <w:tcW w:w="1240" w:type="dxa"/>
            <w:tcBorders>
              <w:top w:val="single" w:sz="8" w:space="0" w:color="auto"/>
              <w:left w:val="single" w:sz="8" w:space="0" w:color="auto"/>
              <w:bottom w:val="single" w:sz="8" w:space="0" w:color="auto"/>
              <w:right w:val="single" w:sz="8" w:space="0" w:color="auto"/>
            </w:tcBorders>
            <w:shd w:val="clear" w:color="000000" w:fill="365F91"/>
            <w:noWrap/>
            <w:vAlign w:val="center"/>
            <w:hideMark/>
          </w:tcPr>
          <w:p w14:paraId="7DCA4A4B" w14:textId="77777777" w:rsidR="005F2EC2" w:rsidRPr="009C78C0" w:rsidRDefault="005F2EC2" w:rsidP="00756467">
            <w:pPr>
              <w:spacing w:after="0" w:line="240" w:lineRule="auto"/>
              <w:jc w:val="center"/>
              <w:rPr>
                <w:rFonts w:eastAsia="Times New Roman" w:cs="Calibri"/>
                <w:color w:val="FFFFFF"/>
                <w:szCs w:val="24"/>
                <w:lang w:eastAsia="es-CR"/>
              </w:rPr>
            </w:pPr>
            <w:r w:rsidRPr="009C78C0">
              <w:rPr>
                <w:rFonts w:eastAsia="Times New Roman" w:cs="Calibri"/>
                <w:color w:val="FFFFFF"/>
                <w:szCs w:val="24"/>
                <w:lang w:eastAsia="es-CR"/>
              </w:rPr>
              <w:t>Sector</w:t>
            </w:r>
          </w:p>
        </w:tc>
        <w:tc>
          <w:tcPr>
            <w:tcW w:w="1240" w:type="dxa"/>
            <w:tcBorders>
              <w:top w:val="single" w:sz="8" w:space="0" w:color="auto"/>
              <w:left w:val="nil"/>
              <w:bottom w:val="single" w:sz="8" w:space="0" w:color="auto"/>
              <w:right w:val="single" w:sz="8" w:space="0" w:color="auto"/>
            </w:tcBorders>
            <w:shd w:val="clear" w:color="000000" w:fill="365F91"/>
            <w:noWrap/>
            <w:vAlign w:val="center"/>
            <w:hideMark/>
          </w:tcPr>
          <w:p w14:paraId="5491103D" w14:textId="77777777" w:rsidR="005F2EC2" w:rsidRPr="009C78C0" w:rsidRDefault="005F2EC2" w:rsidP="00756467">
            <w:pPr>
              <w:spacing w:after="0" w:line="240" w:lineRule="auto"/>
              <w:jc w:val="center"/>
              <w:rPr>
                <w:rFonts w:eastAsia="Times New Roman" w:cs="Calibri"/>
                <w:color w:val="FFFFFF"/>
                <w:szCs w:val="24"/>
                <w:lang w:eastAsia="es-CR"/>
              </w:rPr>
            </w:pPr>
            <w:r w:rsidRPr="009C78C0">
              <w:rPr>
                <w:rFonts w:eastAsia="Times New Roman" w:cs="Calibri"/>
                <w:color w:val="FFFFFF"/>
                <w:szCs w:val="24"/>
                <w:lang w:eastAsia="es-CR"/>
              </w:rPr>
              <w:t>Monto</w:t>
            </w:r>
          </w:p>
        </w:tc>
        <w:tc>
          <w:tcPr>
            <w:tcW w:w="1560" w:type="dxa"/>
            <w:tcBorders>
              <w:top w:val="single" w:sz="8" w:space="0" w:color="auto"/>
              <w:left w:val="nil"/>
              <w:bottom w:val="single" w:sz="8" w:space="0" w:color="auto"/>
              <w:right w:val="single" w:sz="8" w:space="0" w:color="auto"/>
            </w:tcBorders>
            <w:shd w:val="clear" w:color="000000" w:fill="365F91"/>
            <w:noWrap/>
            <w:vAlign w:val="center"/>
            <w:hideMark/>
          </w:tcPr>
          <w:p w14:paraId="5C28CAB3" w14:textId="77777777" w:rsidR="005F2EC2" w:rsidRPr="009C78C0" w:rsidRDefault="005F2EC2" w:rsidP="00756467">
            <w:pPr>
              <w:spacing w:after="0" w:line="240" w:lineRule="auto"/>
              <w:jc w:val="center"/>
              <w:rPr>
                <w:rFonts w:eastAsia="Times New Roman" w:cs="Calibri"/>
                <w:color w:val="FFFFFF"/>
                <w:szCs w:val="24"/>
                <w:lang w:eastAsia="es-CR"/>
              </w:rPr>
            </w:pPr>
            <w:r w:rsidRPr="009C78C0">
              <w:rPr>
                <w:rFonts w:eastAsia="Times New Roman" w:cs="Calibri"/>
                <w:color w:val="FFFFFF"/>
                <w:szCs w:val="24"/>
                <w:lang w:eastAsia="es-CR"/>
              </w:rPr>
              <w:t>Documento</w:t>
            </w:r>
          </w:p>
        </w:tc>
        <w:tc>
          <w:tcPr>
            <w:tcW w:w="1840" w:type="dxa"/>
            <w:tcBorders>
              <w:top w:val="single" w:sz="8" w:space="0" w:color="auto"/>
              <w:left w:val="nil"/>
              <w:bottom w:val="single" w:sz="8" w:space="0" w:color="auto"/>
              <w:right w:val="single" w:sz="8" w:space="0" w:color="auto"/>
            </w:tcBorders>
            <w:shd w:val="clear" w:color="000000" w:fill="365F91"/>
            <w:vAlign w:val="center"/>
            <w:hideMark/>
          </w:tcPr>
          <w:p w14:paraId="23F52D5D" w14:textId="77777777" w:rsidR="005F2EC2" w:rsidRPr="009C78C0" w:rsidRDefault="005F2EC2" w:rsidP="00756467">
            <w:pPr>
              <w:spacing w:after="0" w:line="240" w:lineRule="auto"/>
              <w:jc w:val="center"/>
              <w:rPr>
                <w:rFonts w:eastAsia="Times New Roman" w:cs="Calibri"/>
                <w:color w:val="FFFFFF"/>
                <w:szCs w:val="24"/>
                <w:lang w:eastAsia="es-CR"/>
              </w:rPr>
            </w:pPr>
            <w:r w:rsidRPr="009C78C0">
              <w:rPr>
                <w:rFonts w:eastAsia="Times New Roman" w:cs="Calibri"/>
                <w:color w:val="FFFFFF"/>
                <w:szCs w:val="24"/>
                <w:lang w:eastAsia="es-CR"/>
              </w:rPr>
              <w:t>Tipo de aporte</w:t>
            </w:r>
          </w:p>
        </w:tc>
      </w:tr>
      <w:tr w:rsidR="005F2EC2" w:rsidRPr="009C78C0" w14:paraId="1893C5C3" w14:textId="77777777" w:rsidTr="00756467">
        <w:trPr>
          <w:trHeight w:val="324"/>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3CCB78AE" w14:textId="77777777" w:rsidR="005F2EC2" w:rsidRPr="009C78C0" w:rsidRDefault="005F2EC2" w:rsidP="00756467">
            <w:pPr>
              <w:spacing w:after="0" w:line="240" w:lineRule="auto"/>
              <w:rPr>
                <w:rFonts w:eastAsia="Times New Roman" w:cs="Calibri"/>
                <w:color w:val="000000"/>
                <w:sz w:val="20"/>
                <w:szCs w:val="20"/>
                <w:lang w:eastAsia="es-CR"/>
              </w:rPr>
            </w:pPr>
            <w:r w:rsidRPr="00D3011E">
              <w:rPr>
                <w:rFonts w:cs="Calibri"/>
                <w:color w:val="000000"/>
                <w:sz w:val="20"/>
                <w:szCs w:val="20"/>
                <w:lang w:eastAsia="es-CR"/>
              </w:rPr>
              <w:t> </w:t>
            </w:r>
            <w:r w:rsidRPr="00D3011E">
              <w:rPr>
                <w:color w:val="000000"/>
                <w:sz w:val="20"/>
                <w:szCs w:val="20"/>
                <w:lang w:eastAsia="es-CR"/>
              </w:rPr>
              <w:t>18-01-1949</w:t>
            </w:r>
          </w:p>
        </w:tc>
        <w:tc>
          <w:tcPr>
            <w:tcW w:w="2280" w:type="dxa"/>
            <w:tcBorders>
              <w:top w:val="nil"/>
              <w:left w:val="nil"/>
              <w:bottom w:val="single" w:sz="8" w:space="0" w:color="auto"/>
              <w:right w:val="nil"/>
            </w:tcBorders>
            <w:shd w:val="clear" w:color="auto" w:fill="auto"/>
            <w:noWrap/>
            <w:vAlign w:val="center"/>
            <w:hideMark/>
          </w:tcPr>
          <w:p w14:paraId="64E17876" w14:textId="77777777" w:rsidR="005F2EC2" w:rsidRPr="009C78C0" w:rsidRDefault="005F2EC2" w:rsidP="00756467">
            <w:pPr>
              <w:spacing w:after="0" w:line="240" w:lineRule="auto"/>
              <w:rPr>
                <w:rFonts w:eastAsia="Times New Roman" w:cs="Calibri"/>
                <w:color w:val="000000"/>
                <w:sz w:val="20"/>
                <w:szCs w:val="20"/>
                <w:lang w:eastAsia="es-CR"/>
              </w:rPr>
            </w:pPr>
            <w:r w:rsidRPr="00D3011E">
              <w:rPr>
                <w:rFonts w:cs="Calibri"/>
                <w:color w:val="000000"/>
                <w:sz w:val="20"/>
                <w:szCs w:val="20"/>
                <w:lang w:eastAsia="es-CR"/>
              </w:rPr>
              <w:t> </w:t>
            </w:r>
            <w:r>
              <w:rPr>
                <w:rFonts w:cs="Calibri"/>
                <w:color w:val="000000"/>
                <w:sz w:val="20"/>
                <w:szCs w:val="20"/>
                <w:lang w:eastAsia="es-CR"/>
              </w:rPr>
              <w:t>Estado</w:t>
            </w:r>
          </w:p>
        </w:tc>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38D72B1F" w14:textId="77777777" w:rsidR="005F2EC2" w:rsidRPr="009C78C0" w:rsidRDefault="005F2EC2" w:rsidP="00756467">
            <w:pPr>
              <w:spacing w:after="0" w:line="240" w:lineRule="auto"/>
              <w:jc w:val="center"/>
              <w:rPr>
                <w:rFonts w:eastAsia="Times New Roman" w:cs="Calibri"/>
                <w:color w:val="000000"/>
                <w:sz w:val="20"/>
                <w:szCs w:val="20"/>
                <w:lang w:eastAsia="es-CR"/>
              </w:rPr>
            </w:pPr>
            <w:r w:rsidRPr="00D3011E">
              <w:rPr>
                <w:rFonts w:cs="Calibri"/>
                <w:color w:val="000000"/>
                <w:sz w:val="20"/>
                <w:szCs w:val="20"/>
                <w:lang w:eastAsia="es-CR"/>
              </w:rPr>
              <w:t>Municipal</w:t>
            </w:r>
          </w:p>
        </w:tc>
        <w:tc>
          <w:tcPr>
            <w:tcW w:w="1240" w:type="dxa"/>
            <w:tcBorders>
              <w:top w:val="nil"/>
              <w:left w:val="nil"/>
              <w:bottom w:val="single" w:sz="8" w:space="0" w:color="auto"/>
              <w:right w:val="single" w:sz="8" w:space="0" w:color="auto"/>
            </w:tcBorders>
            <w:shd w:val="clear" w:color="auto" w:fill="auto"/>
            <w:noWrap/>
            <w:vAlign w:val="center"/>
            <w:hideMark/>
          </w:tcPr>
          <w:p w14:paraId="319E1F73" w14:textId="77777777" w:rsidR="005F2EC2" w:rsidRPr="009C78C0" w:rsidRDefault="005F2EC2" w:rsidP="00756467">
            <w:pPr>
              <w:spacing w:after="0" w:line="240" w:lineRule="auto"/>
              <w:jc w:val="center"/>
              <w:rPr>
                <w:rFonts w:eastAsia="Times New Roman" w:cs="Calibri"/>
                <w:color w:val="000000"/>
                <w:sz w:val="20"/>
                <w:szCs w:val="20"/>
                <w:lang w:eastAsia="es-CR"/>
              </w:rPr>
            </w:pPr>
            <w:r w:rsidRPr="00D3011E">
              <w:rPr>
                <w:rFonts w:cs="Calibri"/>
                <w:color w:val="000000"/>
                <w:sz w:val="20"/>
                <w:szCs w:val="20"/>
                <w:lang w:eastAsia="es-CR"/>
              </w:rPr>
              <w:t>524,80</w:t>
            </w:r>
          </w:p>
        </w:tc>
        <w:tc>
          <w:tcPr>
            <w:tcW w:w="1560" w:type="dxa"/>
            <w:tcBorders>
              <w:top w:val="nil"/>
              <w:left w:val="nil"/>
              <w:bottom w:val="single" w:sz="8" w:space="0" w:color="auto"/>
              <w:right w:val="single" w:sz="8" w:space="0" w:color="auto"/>
            </w:tcBorders>
            <w:shd w:val="clear" w:color="auto" w:fill="auto"/>
            <w:noWrap/>
            <w:vAlign w:val="center"/>
            <w:hideMark/>
          </w:tcPr>
          <w:p w14:paraId="1A295ACB" w14:textId="77777777" w:rsidR="005F2EC2" w:rsidRPr="009C78C0" w:rsidRDefault="005F2EC2" w:rsidP="00756467">
            <w:pPr>
              <w:spacing w:after="0" w:line="240" w:lineRule="auto"/>
              <w:rPr>
                <w:rFonts w:eastAsia="Times New Roman" w:cs="Calibri"/>
                <w:color w:val="000000"/>
                <w:sz w:val="20"/>
                <w:szCs w:val="20"/>
                <w:lang w:eastAsia="es-CR"/>
              </w:rPr>
            </w:pPr>
            <w:r w:rsidRPr="00D3011E">
              <w:rPr>
                <w:color w:val="000000"/>
                <w:sz w:val="20"/>
                <w:szCs w:val="20"/>
                <w:lang w:eastAsia="es-CR"/>
              </w:rPr>
              <w:t>OFICIO-AMBA-569-2019</w:t>
            </w:r>
          </w:p>
        </w:tc>
        <w:tc>
          <w:tcPr>
            <w:tcW w:w="1840" w:type="dxa"/>
            <w:tcBorders>
              <w:top w:val="nil"/>
              <w:left w:val="nil"/>
              <w:bottom w:val="single" w:sz="8" w:space="0" w:color="auto"/>
              <w:right w:val="single" w:sz="8" w:space="0" w:color="auto"/>
            </w:tcBorders>
            <w:shd w:val="clear" w:color="auto" w:fill="auto"/>
            <w:vAlign w:val="center"/>
            <w:hideMark/>
          </w:tcPr>
          <w:p w14:paraId="3F8CD352" w14:textId="77777777" w:rsidR="005F2EC2" w:rsidRPr="009C78C0" w:rsidRDefault="005F2EC2" w:rsidP="00756467">
            <w:pPr>
              <w:spacing w:after="0" w:line="240" w:lineRule="auto"/>
              <w:jc w:val="center"/>
              <w:rPr>
                <w:rFonts w:eastAsia="Times New Roman" w:cs="Calibri"/>
                <w:color w:val="000000"/>
                <w:szCs w:val="24"/>
                <w:lang w:eastAsia="es-CR"/>
              </w:rPr>
            </w:pPr>
            <w:r w:rsidRPr="00D3011E">
              <w:rPr>
                <w:rFonts w:cs="Calibri"/>
                <w:color w:val="000000"/>
                <w:sz w:val="20"/>
                <w:szCs w:val="20"/>
                <w:lang w:eastAsia="es-CR"/>
              </w:rPr>
              <w:t>Efectivo </w:t>
            </w:r>
          </w:p>
        </w:tc>
      </w:tr>
      <w:tr w:rsidR="005F2EC2" w:rsidRPr="009C78C0" w14:paraId="60A96764" w14:textId="77777777" w:rsidTr="00756467">
        <w:trPr>
          <w:trHeight w:val="324"/>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78167C90" w14:textId="77777777" w:rsidR="005F2EC2" w:rsidRPr="009C78C0" w:rsidRDefault="005F2EC2" w:rsidP="00756467">
            <w:pPr>
              <w:spacing w:after="0" w:line="240" w:lineRule="auto"/>
              <w:rPr>
                <w:rFonts w:eastAsia="Times New Roman" w:cs="Calibri"/>
                <w:color w:val="000000"/>
                <w:sz w:val="20"/>
                <w:szCs w:val="20"/>
                <w:lang w:eastAsia="es-CR"/>
              </w:rPr>
            </w:pPr>
            <w:r w:rsidRPr="009C78C0">
              <w:rPr>
                <w:rFonts w:eastAsia="Times New Roman" w:cs="Calibri"/>
                <w:color w:val="000000"/>
                <w:sz w:val="20"/>
                <w:szCs w:val="20"/>
                <w:lang w:eastAsia="es-CR"/>
              </w:rPr>
              <w:t> </w:t>
            </w:r>
          </w:p>
        </w:tc>
        <w:tc>
          <w:tcPr>
            <w:tcW w:w="2280" w:type="dxa"/>
            <w:tcBorders>
              <w:top w:val="nil"/>
              <w:left w:val="nil"/>
              <w:bottom w:val="single" w:sz="8" w:space="0" w:color="auto"/>
              <w:right w:val="nil"/>
            </w:tcBorders>
            <w:shd w:val="clear" w:color="auto" w:fill="auto"/>
            <w:noWrap/>
            <w:vAlign w:val="center"/>
            <w:hideMark/>
          </w:tcPr>
          <w:p w14:paraId="11B59F65" w14:textId="77777777" w:rsidR="005F2EC2" w:rsidRPr="009C78C0" w:rsidRDefault="005F2EC2" w:rsidP="00756467">
            <w:pPr>
              <w:spacing w:after="0" w:line="240" w:lineRule="auto"/>
              <w:rPr>
                <w:rFonts w:eastAsia="Times New Roman" w:cs="Calibri"/>
                <w:color w:val="000000"/>
                <w:sz w:val="20"/>
                <w:szCs w:val="20"/>
                <w:lang w:eastAsia="es-CR"/>
              </w:rPr>
            </w:pPr>
            <w:r w:rsidRPr="009C78C0">
              <w:rPr>
                <w:rFonts w:eastAsia="Times New Roman" w:cs="Calibri"/>
                <w:color w:val="000000"/>
                <w:sz w:val="20"/>
                <w:szCs w:val="20"/>
                <w:lang w:eastAsia="es-CR"/>
              </w:rPr>
              <w:t> </w:t>
            </w:r>
          </w:p>
        </w:tc>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7FB09B90" w14:textId="77777777" w:rsidR="005F2EC2" w:rsidRPr="009C78C0" w:rsidRDefault="005F2EC2" w:rsidP="00756467">
            <w:pPr>
              <w:spacing w:after="0" w:line="240" w:lineRule="auto"/>
              <w:jc w:val="center"/>
              <w:rPr>
                <w:rFonts w:eastAsia="Times New Roman" w:cs="Calibri"/>
                <w:color w:val="000000"/>
                <w:sz w:val="20"/>
                <w:szCs w:val="20"/>
                <w:lang w:eastAsia="es-CR"/>
              </w:rPr>
            </w:pPr>
          </w:p>
        </w:tc>
        <w:tc>
          <w:tcPr>
            <w:tcW w:w="1240" w:type="dxa"/>
            <w:tcBorders>
              <w:top w:val="nil"/>
              <w:left w:val="nil"/>
              <w:bottom w:val="single" w:sz="8" w:space="0" w:color="auto"/>
              <w:right w:val="single" w:sz="8" w:space="0" w:color="auto"/>
            </w:tcBorders>
            <w:shd w:val="clear" w:color="auto" w:fill="auto"/>
            <w:noWrap/>
            <w:vAlign w:val="center"/>
            <w:hideMark/>
          </w:tcPr>
          <w:p w14:paraId="354CD428" w14:textId="77777777" w:rsidR="005F2EC2" w:rsidRPr="009C78C0" w:rsidRDefault="005F2EC2" w:rsidP="00756467">
            <w:pPr>
              <w:spacing w:after="0" w:line="240" w:lineRule="auto"/>
              <w:jc w:val="center"/>
              <w:rPr>
                <w:rFonts w:eastAsia="Times New Roman" w:cs="Calibri"/>
                <w:color w:val="000000"/>
                <w:sz w:val="20"/>
                <w:szCs w:val="20"/>
                <w:lang w:eastAsia="es-CR"/>
              </w:rPr>
            </w:pPr>
          </w:p>
        </w:tc>
        <w:tc>
          <w:tcPr>
            <w:tcW w:w="1560" w:type="dxa"/>
            <w:tcBorders>
              <w:top w:val="nil"/>
              <w:left w:val="nil"/>
              <w:bottom w:val="single" w:sz="8" w:space="0" w:color="auto"/>
              <w:right w:val="single" w:sz="8" w:space="0" w:color="auto"/>
            </w:tcBorders>
            <w:shd w:val="clear" w:color="auto" w:fill="auto"/>
            <w:noWrap/>
            <w:vAlign w:val="center"/>
            <w:hideMark/>
          </w:tcPr>
          <w:p w14:paraId="5F73CB49" w14:textId="77777777" w:rsidR="005F2EC2" w:rsidRPr="009C78C0" w:rsidRDefault="005F2EC2" w:rsidP="00756467">
            <w:pPr>
              <w:spacing w:after="0" w:line="240" w:lineRule="auto"/>
              <w:rPr>
                <w:rFonts w:eastAsia="Times New Roman" w:cs="Calibri"/>
                <w:color w:val="000000"/>
                <w:sz w:val="20"/>
                <w:szCs w:val="20"/>
                <w:lang w:eastAsia="es-CR"/>
              </w:rPr>
            </w:pPr>
            <w:r w:rsidRPr="009C78C0">
              <w:rPr>
                <w:rFonts w:eastAsia="Times New Roman" w:cs="Calibri"/>
                <w:color w:val="000000"/>
                <w:sz w:val="20"/>
                <w:szCs w:val="20"/>
                <w:lang w:eastAsia="es-CR"/>
              </w:rPr>
              <w:t> </w:t>
            </w:r>
          </w:p>
        </w:tc>
        <w:tc>
          <w:tcPr>
            <w:tcW w:w="1840" w:type="dxa"/>
            <w:tcBorders>
              <w:top w:val="nil"/>
              <w:left w:val="nil"/>
              <w:bottom w:val="single" w:sz="8" w:space="0" w:color="auto"/>
              <w:right w:val="single" w:sz="8" w:space="0" w:color="auto"/>
            </w:tcBorders>
            <w:shd w:val="clear" w:color="auto" w:fill="auto"/>
            <w:vAlign w:val="center"/>
            <w:hideMark/>
          </w:tcPr>
          <w:p w14:paraId="784A97AB" w14:textId="77777777" w:rsidR="005F2EC2" w:rsidRPr="009C78C0" w:rsidRDefault="005F2EC2" w:rsidP="00756467">
            <w:pPr>
              <w:spacing w:after="0" w:line="240" w:lineRule="auto"/>
              <w:jc w:val="center"/>
              <w:rPr>
                <w:rFonts w:eastAsia="Times New Roman" w:cs="Calibri"/>
                <w:color w:val="000000"/>
                <w:szCs w:val="24"/>
                <w:lang w:eastAsia="es-CR"/>
              </w:rPr>
            </w:pPr>
            <w:r w:rsidRPr="009C78C0">
              <w:rPr>
                <w:rFonts w:eastAsia="Times New Roman" w:cs="Calibri"/>
                <w:color w:val="000000"/>
                <w:szCs w:val="24"/>
                <w:lang w:eastAsia="es-CR"/>
              </w:rPr>
              <w:t> </w:t>
            </w:r>
          </w:p>
        </w:tc>
      </w:tr>
      <w:tr w:rsidR="005F2EC2" w:rsidRPr="009C78C0" w14:paraId="375CEA83" w14:textId="77777777" w:rsidTr="00756467">
        <w:trPr>
          <w:trHeight w:val="324"/>
        </w:trPr>
        <w:tc>
          <w:tcPr>
            <w:tcW w:w="4760" w:type="dxa"/>
            <w:gridSpan w:val="3"/>
            <w:tcBorders>
              <w:top w:val="single" w:sz="8" w:space="0" w:color="auto"/>
              <w:left w:val="single" w:sz="8" w:space="0" w:color="auto"/>
              <w:bottom w:val="single" w:sz="8" w:space="0" w:color="auto"/>
              <w:right w:val="single" w:sz="8" w:space="0" w:color="000000"/>
            </w:tcBorders>
            <w:shd w:val="clear" w:color="000000" w:fill="365F91"/>
            <w:noWrap/>
            <w:vAlign w:val="center"/>
            <w:hideMark/>
          </w:tcPr>
          <w:p w14:paraId="5DF0534C" w14:textId="77777777" w:rsidR="005F2EC2" w:rsidRPr="009C78C0" w:rsidRDefault="005F2EC2" w:rsidP="00756467">
            <w:pPr>
              <w:spacing w:after="0" w:line="240" w:lineRule="auto"/>
              <w:jc w:val="center"/>
              <w:rPr>
                <w:rFonts w:eastAsia="Times New Roman" w:cs="Calibri"/>
                <w:color w:val="FFFFFF"/>
                <w:szCs w:val="24"/>
                <w:lang w:eastAsia="es-CR"/>
              </w:rPr>
            </w:pPr>
            <w:r w:rsidRPr="009C78C0">
              <w:rPr>
                <w:rFonts w:eastAsia="Times New Roman" w:cs="Calibri"/>
                <w:color w:val="FFFFFF"/>
                <w:szCs w:val="24"/>
                <w:lang w:eastAsia="es-CR"/>
              </w:rPr>
              <w:t>TOTAL</w:t>
            </w:r>
          </w:p>
        </w:tc>
        <w:tc>
          <w:tcPr>
            <w:tcW w:w="1240" w:type="dxa"/>
            <w:tcBorders>
              <w:top w:val="nil"/>
              <w:left w:val="nil"/>
              <w:bottom w:val="single" w:sz="8" w:space="0" w:color="auto"/>
              <w:right w:val="single" w:sz="8" w:space="0" w:color="auto"/>
            </w:tcBorders>
            <w:shd w:val="clear" w:color="auto" w:fill="auto"/>
            <w:noWrap/>
            <w:vAlign w:val="center"/>
            <w:hideMark/>
          </w:tcPr>
          <w:p w14:paraId="67B880FE" w14:textId="77777777" w:rsidR="005F2EC2" w:rsidRPr="009C78C0" w:rsidRDefault="005F2EC2" w:rsidP="00756467">
            <w:pPr>
              <w:spacing w:after="0" w:line="240" w:lineRule="auto"/>
              <w:jc w:val="center"/>
              <w:rPr>
                <w:rFonts w:eastAsia="Times New Roman" w:cs="Calibri"/>
                <w:color w:val="000000"/>
                <w:sz w:val="20"/>
                <w:szCs w:val="20"/>
                <w:lang w:eastAsia="es-CR"/>
              </w:rPr>
            </w:pPr>
            <w:r w:rsidRPr="00D3011E">
              <w:rPr>
                <w:b/>
                <w:bCs/>
                <w:sz w:val="20"/>
                <w:szCs w:val="20"/>
              </w:rPr>
              <w:t>5</w:t>
            </w:r>
            <w:r w:rsidRPr="00D3011E">
              <w:rPr>
                <w:b/>
                <w:bCs/>
                <w:color w:val="000000"/>
                <w:sz w:val="20"/>
                <w:szCs w:val="20"/>
                <w:lang w:eastAsia="es-CR"/>
              </w:rPr>
              <w:t>24.80</w:t>
            </w:r>
          </w:p>
        </w:tc>
        <w:tc>
          <w:tcPr>
            <w:tcW w:w="3400" w:type="dxa"/>
            <w:gridSpan w:val="2"/>
            <w:tcBorders>
              <w:top w:val="single" w:sz="8" w:space="0" w:color="auto"/>
              <w:left w:val="nil"/>
              <w:bottom w:val="single" w:sz="8" w:space="0" w:color="auto"/>
              <w:right w:val="single" w:sz="8" w:space="0" w:color="000000"/>
            </w:tcBorders>
            <w:shd w:val="clear" w:color="000000" w:fill="365F91"/>
            <w:noWrap/>
            <w:vAlign w:val="center"/>
            <w:hideMark/>
          </w:tcPr>
          <w:p w14:paraId="2C39902D" w14:textId="77777777" w:rsidR="005F2EC2" w:rsidRPr="009C78C0" w:rsidRDefault="005F2EC2" w:rsidP="00756467">
            <w:pPr>
              <w:spacing w:after="0" w:line="240" w:lineRule="auto"/>
              <w:jc w:val="center"/>
              <w:rPr>
                <w:rFonts w:eastAsia="Times New Roman" w:cs="Calibri"/>
                <w:color w:val="FFFFFF"/>
                <w:szCs w:val="24"/>
                <w:lang w:eastAsia="es-CR"/>
              </w:rPr>
            </w:pPr>
            <w:r w:rsidRPr="009C78C0">
              <w:rPr>
                <w:rFonts w:eastAsia="Times New Roman" w:cs="Calibri"/>
                <w:color w:val="FFFFFF"/>
                <w:szCs w:val="24"/>
                <w:lang w:eastAsia="es-CR"/>
              </w:rPr>
              <w:t> </w:t>
            </w:r>
          </w:p>
        </w:tc>
      </w:tr>
    </w:tbl>
    <w:p w14:paraId="029D671B" w14:textId="77777777" w:rsidR="005F2EC2" w:rsidRDefault="005F2EC2" w:rsidP="005F2EC2">
      <w:pPr>
        <w:spacing w:before="240"/>
        <w:rPr>
          <w:lang w:val="es-ES"/>
        </w:rPr>
      </w:pPr>
      <w:r w:rsidRPr="00692DC8">
        <w:rPr>
          <w:lang w:val="es-ES"/>
        </w:rPr>
        <w:t>Indique claramente la metodología utilizada para cada importe registrado en la cuenta de Capital, indicando el Capital Inicial, las Transferencias de Capital, con aumentos y disminuciones. La justificación para cada uno de los aportes debe revelar su fundamento jurídico.</w:t>
      </w:r>
    </w:p>
    <w:p w14:paraId="6B891D2B" w14:textId="77777777" w:rsidR="005F2EC2" w:rsidRDefault="005F2EC2" w:rsidP="005F2EC2">
      <w:pPr>
        <w:spacing w:after="0" w:line="240" w:lineRule="auto"/>
        <w:rPr>
          <w:lang w:val="es-ES"/>
        </w:rPr>
      </w:pPr>
      <w:r w:rsidRPr="00A91674">
        <w:rPr>
          <w:lang w:val="es-ES"/>
        </w:rPr>
        <w:t xml:space="preserve">Se realizó un análisis en el Archivo Municipal encontrándose que la Municipalidad de Buenos Aires fue creada en Ley No. 185 del 29 de </w:t>
      </w:r>
      <w:r>
        <w:rPr>
          <w:lang w:val="es-ES"/>
        </w:rPr>
        <w:t>agosto</w:t>
      </w:r>
      <w:r w:rsidRPr="00A91674">
        <w:rPr>
          <w:lang w:val="es-ES"/>
        </w:rPr>
        <w:t xml:space="preserve"> de 1940 y se constituyó e inició operaciones con un monto de </w:t>
      </w:r>
      <w:r>
        <w:rPr>
          <w:rFonts w:ascii="Arial" w:hAnsi="Arial" w:cs="Arial"/>
          <w:lang w:val="es-ES"/>
        </w:rPr>
        <w:t>₡</w:t>
      </w:r>
      <w:r w:rsidRPr="00A91674">
        <w:rPr>
          <w:lang w:val="es-ES"/>
        </w:rPr>
        <w:t>524,80 colones.</w:t>
      </w:r>
    </w:p>
    <w:p w14:paraId="0630FAD4" w14:textId="77777777" w:rsidR="005F2EC2" w:rsidRDefault="005F2EC2" w:rsidP="005F2EC2">
      <w:pPr>
        <w:pStyle w:val="Default"/>
        <w:jc w:val="both"/>
        <w:rPr>
          <w:rFonts w:ascii="Arial Narrow" w:eastAsiaTheme="minorHAnsi" w:hAnsi="Arial Narrow" w:cstheme="minorBidi"/>
          <w:color w:val="auto"/>
          <w:szCs w:val="22"/>
          <w:lang w:val="es-ES" w:eastAsia="en-US"/>
        </w:rPr>
      </w:pPr>
      <w:r w:rsidRPr="008477E8">
        <w:rPr>
          <w:rFonts w:ascii="Arial Narrow" w:eastAsiaTheme="minorHAnsi" w:hAnsi="Arial Narrow" w:cstheme="minorBidi"/>
          <w:color w:val="auto"/>
          <w:szCs w:val="22"/>
          <w:lang w:val="es-ES" w:eastAsia="en-US"/>
        </w:rPr>
        <w:t xml:space="preserve">Cabe indicar para para el cierre de </w:t>
      </w:r>
      <w:r>
        <w:rPr>
          <w:rFonts w:ascii="Arial Narrow" w:eastAsiaTheme="minorHAnsi" w:hAnsi="Arial Narrow" w:cstheme="minorBidi"/>
          <w:color w:val="auto"/>
          <w:szCs w:val="22"/>
          <w:lang w:val="es-ES" w:eastAsia="en-US"/>
        </w:rPr>
        <w:t>junio</w:t>
      </w:r>
      <w:r w:rsidRPr="008477E8">
        <w:rPr>
          <w:rFonts w:ascii="Arial Narrow" w:eastAsiaTheme="minorHAnsi" w:hAnsi="Arial Narrow" w:cstheme="minorBidi"/>
          <w:color w:val="auto"/>
          <w:szCs w:val="22"/>
          <w:lang w:val="es-ES" w:eastAsia="en-US"/>
        </w:rPr>
        <w:t xml:space="preserve"> </w:t>
      </w:r>
      <w:r>
        <w:rPr>
          <w:rFonts w:ascii="Arial Narrow" w:eastAsiaTheme="minorHAnsi" w:hAnsi="Arial Narrow" w:cstheme="minorBidi"/>
          <w:color w:val="auto"/>
          <w:szCs w:val="22"/>
          <w:lang w:val="es-ES" w:eastAsia="en-US"/>
        </w:rPr>
        <w:t>2024,</w:t>
      </w:r>
      <w:r w:rsidRPr="008477E8">
        <w:rPr>
          <w:rFonts w:ascii="Arial Narrow" w:eastAsiaTheme="minorHAnsi" w:hAnsi="Arial Narrow" w:cstheme="minorBidi"/>
          <w:color w:val="auto"/>
          <w:szCs w:val="22"/>
          <w:lang w:val="es-ES" w:eastAsia="en-US"/>
        </w:rPr>
        <w:t xml:space="preserve"> por indicaciones del ente rector se procedió con asiento para registrar el capital inicial a la cuenta 11206 código del poder ejecutivo, así indicado mediante oficio MH-DGCN-DIR-OF-0894-2024</w:t>
      </w:r>
      <w:r>
        <w:rPr>
          <w:rFonts w:ascii="Arial Narrow" w:eastAsiaTheme="minorHAnsi" w:hAnsi="Arial Narrow" w:cstheme="minorBidi"/>
          <w:color w:val="auto"/>
          <w:szCs w:val="22"/>
          <w:lang w:val="es-ES" w:eastAsia="en-US"/>
        </w:rPr>
        <w:t>.</w:t>
      </w:r>
    </w:p>
    <w:p w14:paraId="20135954" w14:textId="77777777" w:rsidR="005F2EC2" w:rsidRDefault="005F2EC2" w:rsidP="005F2EC2">
      <w:pPr>
        <w:pStyle w:val="Default"/>
        <w:jc w:val="both"/>
        <w:rPr>
          <w:rFonts w:ascii="Arial Narrow" w:eastAsiaTheme="minorHAnsi" w:hAnsi="Arial Narrow" w:cstheme="minorBidi"/>
          <w:color w:val="auto"/>
          <w:szCs w:val="22"/>
          <w:lang w:val="es-ES" w:eastAsia="en-US"/>
        </w:rPr>
      </w:pPr>
    </w:p>
    <w:p w14:paraId="2156BBD7" w14:textId="77777777" w:rsidR="005F2EC2" w:rsidRPr="00347F88" w:rsidRDefault="005F2EC2" w:rsidP="005F2EC2">
      <w:pPr>
        <w:pStyle w:val="Default"/>
        <w:jc w:val="both"/>
        <w:rPr>
          <w:rFonts w:ascii="Arial Narrow" w:eastAsiaTheme="minorHAnsi" w:hAnsi="Arial Narrow" w:cstheme="minorBidi"/>
          <w:color w:val="auto"/>
          <w:szCs w:val="22"/>
          <w:lang w:val="es-ES" w:eastAsia="en-US"/>
        </w:rPr>
      </w:pPr>
      <w:r w:rsidRPr="00347F88">
        <w:rPr>
          <w:rFonts w:ascii="Arial Narrow" w:eastAsiaTheme="minorHAnsi" w:hAnsi="Arial Narrow" w:cstheme="minorBidi"/>
          <w:color w:val="auto"/>
          <w:szCs w:val="22"/>
          <w:lang w:val="es-ES" w:eastAsia="en-US"/>
        </w:rPr>
        <w:t xml:space="preserve">Para evitar una errónea interpretación, el ente contable debe indicar el código como se indica, y revelar en el Estado de Notas Contables, que incluye el código del Poder Ejecutivo por instrucción de la Contabilidad Nacional y revela el número de este oficio como soporte. </w:t>
      </w:r>
    </w:p>
    <w:p w14:paraId="63A02835" w14:textId="06E5E0EE" w:rsidR="005F2EC2" w:rsidRDefault="005F2EC2" w:rsidP="004A712C">
      <w:pPr>
        <w:pStyle w:val="Default"/>
        <w:jc w:val="both"/>
        <w:rPr>
          <w:rFonts w:ascii="Arial Narrow" w:eastAsiaTheme="minorHAnsi" w:hAnsi="Arial Narrow" w:cstheme="minorBidi"/>
          <w:color w:val="auto"/>
          <w:szCs w:val="22"/>
          <w:lang w:val="es-ES" w:eastAsia="en-US"/>
        </w:rPr>
      </w:pPr>
      <w:r w:rsidRPr="00347F88">
        <w:rPr>
          <w:rFonts w:ascii="Arial Narrow" w:eastAsiaTheme="minorHAnsi" w:hAnsi="Arial Narrow" w:cstheme="minorBidi"/>
          <w:color w:val="auto"/>
          <w:szCs w:val="22"/>
          <w:lang w:val="es-ES" w:eastAsia="en-US"/>
        </w:rPr>
        <w:t>En caso de dudas, debe recurrir al anal</w:t>
      </w:r>
      <w:r w:rsidR="004A712C">
        <w:rPr>
          <w:rFonts w:ascii="Arial Narrow" w:eastAsiaTheme="minorHAnsi" w:hAnsi="Arial Narrow" w:cstheme="minorBidi"/>
          <w:color w:val="auto"/>
          <w:szCs w:val="22"/>
          <w:lang w:val="es-ES" w:eastAsia="en-US"/>
        </w:rPr>
        <w:t>ista asignado para su atención.</w:t>
      </w:r>
    </w:p>
    <w:p w14:paraId="3BF2AE0D" w14:textId="77777777" w:rsidR="004A712C" w:rsidRPr="004A712C" w:rsidRDefault="004A712C" w:rsidP="004A712C">
      <w:pPr>
        <w:pStyle w:val="Default"/>
        <w:jc w:val="both"/>
        <w:rPr>
          <w:rFonts w:ascii="Arial Narrow" w:eastAsiaTheme="minorHAnsi" w:hAnsi="Arial Narrow" w:cstheme="minorBidi"/>
          <w:color w:val="auto"/>
          <w:szCs w:val="22"/>
          <w:lang w:val="es-ES" w:eastAsia="en-US"/>
        </w:rPr>
      </w:pPr>
    </w:p>
    <w:tbl>
      <w:tblPr>
        <w:tblW w:w="6076" w:type="dxa"/>
        <w:jc w:val="center"/>
        <w:tblCellMar>
          <w:left w:w="70" w:type="dxa"/>
          <w:right w:w="70" w:type="dxa"/>
        </w:tblCellMar>
        <w:tblLook w:val="04A0" w:firstRow="1" w:lastRow="0" w:firstColumn="1" w:lastColumn="0" w:noHBand="0" w:noVBand="1"/>
      </w:tblPr>
      <w:tblGrid>
        <w:gridCol w:w="1455"/>
        <w:gridCol w:w="2373"/>
        <w:gridCol w:w="2248"/>
      </w:tblGrid>
      <w:tr w:rsidR="005F2EC2" w:rsidRPr="009C78C0" w14:paraId="6AA1EA84" w14:textId="77777777" w:rsidTr="00756467">
        <w:trPr>
          <w:trHeight w:val="204"/>
          <w:jc w:val="center"/>
        </w:trPr>
        <w:tc>
          <w:tcPr>
            <w:tcW w:w="1455" w:type="dxa"/>
            <w:tcBorders>
              <w:top w:val="single" w:sz="8" w:space="0" w:color="auto"/>
              <w:left w:val="single" w:sz="8" w:space="0" w:color="auto"/>
              <w:bottom w:val="single" w:sz="8" w:space="0" w:color="auto"/>
              <w:right w:val="single" w:sz="8" w:space="0" w:color="auto"/>
            </w:tcBorders>
            <w:shd w:val="clear" w:color="000000" w:fill="365F91"/>
            <w:noWrap/>
            <w:vAlign w:val="center"/>
            <w:hideMark/>
          </w:tcPr>
          <w:p w14:paraId="123364A1" w14:textId="77777777" w:rsidR="005F2EC2" w:rsidRPr="009C78C0" w:rsidRDefault="005F2EC2" w:rsidP="00756467">
            <w:pPr>
              <w:spacing w:after="0" w:line="240" w:lineRule="auto"/>
              <w:jc w:val="center"/>
              <w:rPr>
                <w:rFonts w:eastAsia="Times New Roman" w:cs="Calibri"/>
                <w:color w:val="FFFFFF"/>
                <w:szCs w:val="24"/>
                <w:lang w:eastAsia="es-CR"/>
              </w:rPr>
            </w:pPr>
            <w:bookmarkStart w:id="504" w:name="_Hlk124002447"/>
            <w:r w:rsidRPr="009C78C0">
              <w:rPr>
                <w:rFonts w:eastAsia="Times New Roman" w:cs="Calibri"/>
                <w:color w:val="FFFFFF"/>
                <w:szCs w:val="24"/>
                <w:lang w:eastAsia="es-CR"/>
              </w:rPr>
              <w:t>Fecha</w:t>
            </w:r>
          </w:p>
        </w:tc>
        <w:tc>
          <w:tcPr>
            <w:tcW w:w="2373" w:type="dxa"/>
            <w:tcBorders>
              <w:top w:val="single" w:sz="8" w:space="0" w:color="auto"/>
              <w:left w:val="nil"/>
              <w:bottom w:val="single" w:sz="8" w:space="0" w:color="auto"/>
              <w:right w:val="single" w:sz="8" w:space="0" w:color="auto"/>
            </w:tcBorders>
            <w:shd w:val="clear" w:color="000000" w:fill="365F91"/>
            <w:noWrap/>
            <w:vAlign w:val="center"/>
            <w:hideMark/>
          </w:tcPr>
          <w:p w14:paraId="58A83321" w14:textId="77777777" w:rsidR="005F2EC2" w:rsidRPr="009C78C0" w:rsidRDefault="005F2EC2" w:rsidP="00756467">
            <w:pPr>
              <w:spacing w:after="0" w:line="240" w:lineRule="auto"/>
              <w:jc w:val="center"/>
              <w:rPr>
                <w:rFonts w:eastAsia="Times New Roman" w:cs="Calibri"/>
                <w:color w:val="FFFFFF"/>
                <w:szCs w:val="24"/>
                <w:lang w:eastAsia="es-CR"/>
              </w:rPr>
            </w:pPr>
            <w:r w:rsidRPr="009C78C0">
              <w:rPr>
                <w:rFonts w:eastAsia="Times New Roman" w:cs="Calibri"/>
                <w:color w:val="FFFFFF"/>
                <w:szCs w:val="24"/>
                <w:lang w:eastAsia="es-CR"/>
              </w:rPr>
              <w:t>Tipo de aporte</w:t>
            </w:r>
          </w:p>
        </w:tc>
        <w:tc>
          <w:tcPr>
            <w:tcW w:w="2248" w:type="dxa"/>
            <w:tcBorders>
              <w:top w:val="single" w:sz="8" w:space="0" w:color="auto"/>
              <w:left w:val="nil"/>
              <w:bottom w:val="single" w:sz="8" w:space="0" w:color="auto"/>
              <w:right w:val="single" w:sz="8" w:space="0" w:color="auto"/>
            </w:tcBorders>
            <w:shd w:val="clear" w:color="000000" w:fill="365F91"/>
            <w:noWrap/>
            <w:vAlign w:val="center"/>
            <w:hideMark/>
          </w:tcPr>
          <w:p w14:paraId="47BE4D22" w14:textId="77777777" w:rsidR="005F2EC2" w:rsidRPr="009C78C0" w:rsidRDefault="005F2EC2" w:rsidP="00756467">
            <w:pPr>
              <w:spacing w:after="0" w:line="240" w:lineRule="auto"/>
              <w:jc w:val="center"/>
              <w:rPr>
                <w:rFonts w:eastAsia="Times New Roman" w:cs="Calibri"/>
                <w:color w:val="FFFFFF"/>
                <w:szCs w:val="24"/>
                <w:lang w:eastAsia="es-CR"/>
              </w:rPr>
            </w:pPr>
            <w:r w:rsidRPr="009C78C0">
              <w:rPr>
                <w:rFonts w:eastAsia="Times New Roman" w:cs="Calibri"/>
                <w:color w:val="FFFFFF"/>
                <w:szCs w:val="24"/>
                <w:lang w:eastAsia="es-CR"/>
              </w:rPr>
              <w:t>Fundamento Jurídico</w:t>
            </w:r>
          </w:p>
        </w:tc>
      </w:tr>
      <w:tr w:rsidR="005F2EC2" w:rsidRPr="009C78C0" w14:paraId="2F1E7662" w14:textId="77777777" w:rsidTr="00756467">
        <w:trPr>
          <w:trHeight w:val="204"/>
          <w:jc w:val="center"/>
        </w:trPr>
        <w:tc>
          <w:tcPr>
            <w:tcW w:w="1455" w:type="dxa"/>
            <w:tcBorders>
              <w:top w:val="nil"/>
              <w:left w:val="single" w:sz="8" w:space="0" w:color="auto"/>
              <w:bottom w:val="single" w:sz="8" w:space="0" w:color="auto"/>
              <w:right w:val="single" w:sz="8" w:space="0" w:color="auto"/>
            </w:tcBorders>
            <w:shd w:val="clear" w:color="auto" w:fill="auto"/>
            <w:noWrap/>
            <w:vAlign w:val="center"/>
            <w:hideMark/>
          </w:tcPr>
          <w:p w14:paraId="60AEA9A3" w14:textId="77777777" w:rsidR="005F2EC2" w:rsidRPr="009C78C0" w:rsidRDefault="005F2EC2" w:rsidP="00756467">
            <w:pPr>
              <w:spacing w:after="0" w:line="240" w:lineRule="auto"/>
              <w:jc w:val="left"/>
              <w:rPr>
                <w:rFonts w:ascii="Calibri" w:eastAsia="Times New Roman" w:hAnsi="Calibri" w:cs="Calibri"/>
                <w:color w:val="000000"/>
                <w:sz w:val="22"/>
                <w:lang w:eastAsia="es-CR"/>
              </w:rPr>
            </w:pPr>
            <w:r w:rsidRPr="002937B5">
              <w:rPr>
                <w:color w:val="000000"/>
                <w:sz w:val="22"/>
                <w:lang w:eastAsia="es-CR"/>
              </w:rPr>
              <w:t>18-01-1949</w:t>
            </w:r>
          </w:p>
        </w:tc>
        <w:tc>
          <w:tcPr>
            <w:tcW w:w="2373" w:type="dxa"/>
            <w:tcBorders>
              <w:top w:val="nil"/>
              <w:left w:val="nil"/>
              <w:bottom w:val="single" w:sz="8" w:space="0" w:color="auto"/>
              <w:right w:val="single" w:sz="8" w:space="0" w:color="auto"/>
            </w:tcBorders>
            <w:shd w:val="clear" w:color="auto" w:fill="auto"/>
            <w:noWrap/>
            <w:vAlign w:val="center"/>
            <w:hideMark/>
          </w:tcPr>
          <w:p w14:paraId="27AEAA55" w14:textId="77777777" w:rsidR="005F2EC2" w:rsidRPr="009C78C0" w:rsidRDefault="005F2EC2" w:rsidP="00756467">
            <w:pPr>
              <w:spacing w:after="0" w:line="240" w:lineRule="auto"/>
              <w:jc w:val="left"/>
              <w:rPr>
                <w:rFonts w:ascii="Calibri" w:eastAsia="Times New Roman" w:hAnsi="Calibri" w:cs="Calibri"/>
                <w:color w:val="000000"/>
                <w:sz w:val="22"/>
                <w:lang w:eastAsia="es-CR"/>
              </w:rPr>
            </w:pPr>
            <w:r w:rsidRPr="002937B5">
              <w:rPr>
                <w:color w:val="000000"/>
                <w:sz w:val="22"/>
                <w:lang w:eastAsia="es-CR"/>
              </w:rPr>
              <w:t>Capital Inicial</w:t>
            </w:r>
          </w:p>
        </w:tc>
        <w:tc>
          <w:tcPr>
            <w:tcW w:w="2248" w:type="dxa"/>
            <w:tcBorders>
              <w:top w:val="nil"/>
              <w:left w:val="nil"/>
              <w:bottom w:val="single" w:sz="8" w:space="0" w:color="auto"/>
              <w:right w:val="single" w:sz="8" w:space="0" w:color="auto"/>
            </w:tcBorders>
            <w:shd w:val="clear" w:color="auto" w:fill="auto"/>
            <w:noWrap/>
            <w:vAlign w:val="center"/>
            <w:hideMark/>
          </w:tcPr>
          <w:p w14:paraId="72C949BB" w14:textId="77777777" w:rsidR="005F2EC2" w:rsidRPr="009C78C0" w:rsidRDefault="005F2EC2" w:rsidP="00756467">
            <w:pPr>
              <w:spacing w:after="0" w:line="240" w:lineRule="auto"/>
              <w:jc w:val="left"/>
              <w:rPr>
                <w:rFonts w:ascii="Calibri" w:eastAsia="Times New Roman" w:hAnsi="Calibri" w:cs="Calibri"/>
                <w:color w:val="000000"/>
                <w:sz w:val="22"/>
                <w:lang w:eastAsia="es-CR"/>
              </w:rPr>
            </w:pPr>
            <w:r w:rsidRPr="002937B5">
              <w:rPr>
                <w:color w:val="000000"/>
                <w:sz w:val="22"/>
                <w:lang w:eastAsia="es-CR"/>
              </w:rPr>
              <w:t>Constitución Política, Ley No. 185 y Código Municipal Ley No. 7794</w:t>
            </w:r>
          </w:p>
        </w:tc>
      </w:tr>
      <w:tr w:rsidR="005F2EC2" w:rsidRPr="009C78C0" w14:paraId="7AAE9276" w14:textId="77777777" w:rsidTr="00756467">
        <w:trPr>
          <w:trHeight w:val="204"/>
          <w:jc w:val="center"/>
        </w:trPr>
        <w:tc>
          <w:tcPr>
            <w:tcW w:w="1455" w:type="dxa"/>
            <w:tcBorders>
              <w:top w:val="nil"/>
              <w:left w:val="single" w:sz="8" w:space="0" w:color="auto"/>
              <w:bottom w:val="single" w:sz="8" w:space="0" w:color="auto"/>
              <w:right w:val="single" w:sz="8" w:space="0" w:color="auto"/>
            </w:tcBorders>
            <w:shd w:val="clear" w:color="auto" w:fill="auto"/>
            <w:noWrap/>
            <w:vAlign w:val="center"/>
            <w:hideMark/>
          </w:tcPr>
          <w:p w14:paraId="3EB0535C" w14:textId="77777777" w:rsidR="005F2EC2" w:rsidRPr="009C78C0" w:rsidRDefault="005F2EC2" w:rsidP="00756467">
            <w:pPr>
              <w:spacing w:after="0" w:line="240" w:lineRule="auto"/>
              <w:jc w:val="left"/>
              <w:rPr>
                <w:rFonts w:ascii="Calibri" w:eastAsia="Times New Roman" w:hAnsi="Calibri" w:cs="Calibri"/>
                <w:color w:val="000000"/>
                <w:sz w:val="22"/>
                <w:lang w:eastAsia="es-CR"/>
              </w:rPr>
            </w:pPr>
            <w:r w:rsidRPr="009C78C0">
              <w:rPr>
                <w:rFonts w:ascii="Calibri" w:eastAsia="Times New Roman" w:hAnsi="Calibri" w:cs="Calibri"/>
                <w:color w:val="000000"/>
                <w:sz w:val="22"/>
                <w:lang w:eastAsia="es-CR"/>
              </w:rPr>
              <w:t> </w:t>
            </w:r>
          </w:p>
        </w:tc>
        <w:tc>
          <w:tcPr>
            <w:tcW w:w="2373" w:type="dxa"/>
            <w:tcBorders>
              <w:top w:val="nil"/>
              <w:left w:val="nil"/>
              <w:bottom w:val="single" w:sz="8" w:space="0" w:color="auto"/>
              <w:right w:val="single" w:sz="8" w:space="0" w:color="auto"/>
            </w:tcBorders>
            <w:shd w:val="clear" w:color="auto" w:fill="auto"/>
            <w:noWrap/>
            <w:vAlign w:val="center"/>
            <w:hideMark/>
          </w:tcPr>
          <w:p w14:paraId="0D7ACE63" w14:textId="77777777" w:rsidR="005F2EC2" w:rsidRPr="009C78C0" w:rsidRDefault="005F2EC2" w:rsidP="00756467">
            <w:pPr>
              <w:spacing w:after="0" w:line="240" w:lineRule="auto"/>
              <w:jc w:val="left"/>
              <w:rPr>
                <w:rFonts w:ascii="Calibri" w:eastAsia="Times New Roman" w:hAnsi="Calibri" w:cs="Calibri"/>
                <w:color w:val="000000"/>
                <w:sz w:val="22"/>
                <w:lang w:eastAsia="es-CR"/>
              </w:rPr>
            </w:pPr>
            <w:r w:rsidRPr="009C78C0">
              <w:rPr>
                <w:rFonts w:ascii="Calibri" w:eastAsia="Times New Roman" w:hAnsi="Calibri" w:cs="Calibri"/>
                <w:color w:val="000000"/>
                <w:sz w:val="22"/>
                <w:lang w:eastAsia="es-CR"/>
              </w:rPr>
              <w:t> </w:t>
            </w:r>
          </w:p>
        </w:tc>
        <w:tc>
          <w:tcPr>
            <w:tcW w:w="2248" w:type="dxa"/>
            <w:tcBorders>
              <w:top w:val="nil"/>
              <w:left w:val="nil"/>
              <w:bottom w:val="single" w:sz="8" w:space="0" w:color="auto"/>
              <w:right w:val="single" w:sz="8" w:space="0" w:color="auto"/>
            </w:tcBorders>
            <w:shd w:val="clear" w:color="auto" w:fill="auto"/>
            <w:noWrap/>
            <w:vAlign w:val="center"/>
            <w:hideMark/>
          </w:tcPr>
          <w:p w14:paraId="3B4C56E6" w14:textId="77777777" w:rsidR="005F2EC2" w:rsidRPr="009C78C0" w:rsidRDefault="005F2EC2" w:rsidP="00756467">
            <w:pPr>
              <w:spacing w:after="0" w:line="240" w:lineRule="auto"/>
              <w:jc w:val="left"/>
              <w:rPr>
                <w:rFonts w:ascii="Calibri" w:eastAsia="Times New Roman" w:hAnsi="Calibri" w:cs="Calibri"/>
                <w:color w:val="000000"/>
                <w:sz w:val="22"/>
                <w:lang w:eastAsia="es-CR"/>
              </w:rPr>
            </w:pPr>
            <w:r w:rsidRPr="009C78C0">
              <w:rPr>
                <w:rFonts w:ascii="Calibri" w:eastAsia="Times New Roman" w:hAnsi="Calibri" w:cs="Calibri"/>
                <w:color w:val="000000"/>
                <w:sz w:val="22"/>
                <w:lang w:eastAsia="es-CR"/>
              </w:rPr>
              <w:t> </w:t>
            </w:r>
          </w:p>
        </w:tc>
      </w:tr>
    </w:tbl>
    <w:bookmarkEnd w:id="504"/>
    <w:p w14:paraId="6D4D306C" w14:textId="77777777" w:rsidR="00396CB4" w:rsidRPr="00396CB4" w:rsidRDefault="00692DC8" w:rsidP="00396CB4">
      <w:pPr>
        <w:spacing w:before="240"/>
        <w:rPr>
          <w:rFonts w:eastAsia="Calibri"/>
          <w:b/>
          <w:sz w:val="20"/>
          <w:szCs w:val="20"/>
          <w:lang w:eastAsia="es-CR"/>
        </w:rPr>
      </w:pPr>
      <w:r w:rsidRPr="003421AB">
        <w:rPr>
          <w:rFonts w:eastAsia="Calibri"/>
          <w:b/>
          <w:lang w:val="es-ES"/>
        </w:rPr>
        <w:t xml:space="preserve">Revelación: </w:t>
      </w:r>
      <w:r w:rsidR="009C78C0">
        <w:rPr>
          <w:rFonts w:cs="Calibri"/>
          <w:color w:val="000000"/>
          <w:lang w:eastAsia="es-CR"/>
        </w:rPr>
        <w:fldChar w:fldCharType="begin"/>
      </w:r>
      <w:r w:rsidR="009C78C0">
        <w:rPr>
          <w:rFonts w:cs="Calibri"/>
          <w:color w:val="000000"/>
          <w:lang w:eastAsia="es-CR"/>
        </w:rPr>
        <w:instrText xml:space="preserve"> LINK </w:instrText>
      </w:r>
      <w:r w:rsidR="00756467">
        <w:rPr>
          <w:rFonts w:cs="Calibri"/>
          <w:color w:val="000000"/>
          <w:lang w:eastAsia="es-CR"/>
        </w:rPr>
        <w:instrText xml:space="preserve">Excel.SheetMacroEnabled.12 "C:\\Users\\gcordero\\Downloads\\Notas diciembre 2024\\Formato_Notas_EEFF_Vinculadas_2024\\Formato_Notas_EEFF_Vinculadas_2024\\15603_T04_2024_Anexo_Estado_Notas_Contables_Vinculadas.xlsm" NOTAS_POR_CUENTA!F184C8 </w:instrText>
      </w:r>
      <w:r w:rsidR="009C78C0">
        <w:rPr>
          <w:rFonts w:cs="Calibri"/>
          <w:color w:val="000000"/>
          <w:lang w:eastAsia="es-CR"/>
        </w:rPr>
        <w:instrText xml:space="preserve">\a \f 5 \h  \* MERGEFORMAT </w:instrText>
      </w:r>
      <w:r w:rsidR="009C78C0">
        <w:rPr>
          <w:rFonts w:cs="Calibri"/>
          <w:color w:val="000000"/>
          <w:lang w:eastAsia="es-CR"/>
        </w:rPr>
        <w:fldChar w:fldCharType="separate"/>
      </w:r>
    </w:p>
    <w:p w14:paraId="6A3D93D8" w14:textId="77777777" w:rsidR="00396CB4" w:rsidRDefault="00396CB4" w:rsidP="00396CB4">
      <w:pPr>
        <w:rPr>
          <w:rFonts w:cs="Calibri"/>
          <w:color w:val="000000"/>
          <w:lang w:eastAsia="es-CR"/>
        </w:rPr>
      </w:pPr>
      <w:r w:rsidRPr="00396CB4">
        <w:rPr>
          <w:rFonts w:cs="Calibri"/>
          <w:color w:val="000000"/>
          <w:lang w:eastAsia="es-CR"/>
        </w:rPr>
        <w:t>La cuenta Capital inicial, representa el 0,00% del total del Capital, que comparado al periodo anterior genera una variación absoluta de 0 000,00 que corresponde a un Aumento del 0,00% de recursos disponibles.</w:t>
      </w:r>
    </w:p>
    <w:p w14:paraId="15FC4304" w14:textId="77777777" w:rsidR="00061EFB" w:rsidRPr="00396CB4" w:rsidRDefault="00061EFB" w:rsidP="00396CB4">
      <w:pPr>
        <w:rPr>
          <w:rFonts w:cs="Calibri"/>
          <w:color w:val="000000"/>
          <w:lang w:eastAsia="es-CR"/>
        </w:rPr>
      </w:pPr>
    </w:p>
    <w:p w14:paraId="2C7CC498" w14:textId="09A3AA00" w:rsidR="00396CB4" w:rsidRPr="00061EFB" w:rsidRDefault="009C78C0" w:rsidP="00061EFB">
      <w:pPr>
        <w:rPr>
          <w:rFonts w:eastAsiaTheme="minorEastAsia" w:cs="Arial Narrow"/>
          <w:color w:val="000000"/>
          <w:lang w:eastAsia="es-CR"/>
        </w:rPr>
      </w:pPr>
      <w:r>
        <w:rPr>
          <w:rFonts w:cs="Calibri"/>
          <w:color w:val="000000"/>
          <w:lang w:eastAsia="es-CR"/>
        </w:rPr>
        <w:fldChar w:fldCharType="end"/>
      </w:r>
      <w:r w:rsidR="00692DC8" w:rsidRPr="00692DC8">
        <w:rPr>
          <w:rFonts w:eastAsia="Calibri"/>
          <w:highlight w:val="lightGray"/>
        </w:rPr>
        <w:t>Las variaciones de la cuenta son producto de (Indicar la razón de las variaciones de un periodo a otro):</w:t>
      </w:r>
      <w:r w:rsidR="00692DC8" w:rsidRPr="00692DC8">
        <w:rPr>
          <w:rFonts w:eastAsia="Calibri"/>
        </w:rPr>
        <w:t xml:space="preserve"> </w:t>
      </w:r>
      <w:r>
        <w:rPr>
          <w:lang w:val="es-ES"/>
        </w:rPr>
        <w:fldChar w:fldCharType="begin"/>
      </w:r>
      <w:r>
        <w:rPr>
          <w:lang w:val="es-ES"/>
        </w:rPr>
        <w:instrText xml:space="preserve"> LINK </w:instrText>
      </w:r>
      <w:r w:rsidR="00756467">
        <w:rPr>
          <w:lang w:val="es-ES"/>
        </w:rPr>
        <w:instrText xml:space="preserve">Excel.SheetMacroEnabled.12 "C:\\Users\\gcordero\\Downloads\\Notas diciembre 2024\\Formato_Notas_EEFF_Vinculadas_2024\\Formato_Notas_EEFF_Vinculadas_2024\\15603_T04_2024_Anexo_Estado_Notas_Contables_Vinculadas.xlsm" NOTAS_POR_CUENTA!F186C1:F188C6 </w:instrText>
      </w:r>
      <w:r>
        <w:rPr>
          <w:lang w:val="es-ES"/>
        </w:rPr>
        <w:instrText xml:space="preserve">\a \f 4 \h </w:instrText>
      </w:r>
      <w:r>
        <w:rPr>
          <w:lang w:val="es-ES"/>
        </w:rPr>
        <w:fldChar w:fldCharType="separate"/>
      </w:r>
    </w:p>
    <w:tbl>
      <w:tblPr>
        <w:tblW w:w="9600" w:type="dxa"/>
        <w:tblCellMar>
          <w:left w:w="70" w:type="dxa"/>
          <w:right w:w="70" w:type="dxa"/>
        </w:tblCellMar>
        <w:tblLook w:val="04A0" w:firstRow="1" w:lastRow="0" w:firstColumn="1" w:lastColumn="0" w:noHBand="0" w:noVBand="1"/>
      </w:tblPr>
      <w:tblGrid>
        <w:gridCol w:w="715"/>
        <w:gridCol w:w="3165"/>
        <w:gridCol w:w="500"/>
        <w:gridCol w:w="2100"/>
        <w:gridCol w:w="2100"/>
        <w:gridCol w:w="1020"/>
      </w:tblGrid>
      <w:tr w:rsidR="00396CB4" w:rsidRPr="00396CB4" w14:paraId="13494F17" w14:textId="77777777" w:rsidTr="00396CB4">
        <w:trPr>
          <w:divId w:val="625043092"/>
          <w:trHeight w:val="330"/>
        </w:trPr>
        <w:tc>
          <w:tcPr>
            <w:tcW w:w="6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3051765" w14:textId="4F55DFEF" w:rsidR="00396CB4" w:rsidRPr="00396CB4" w:rsidRDefault="00396CB4" w:rsidP="00396CB4">
            <w:pPr>
              <w:spacing w:after="0" w:line="240" w:lineRule="auto"/>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32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55F5F67"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6DBA080"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2A91D2D"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CD1168C"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0C5AD27A"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7FB574F8" w14:textId="77777777" w:rsidTr="00396CB4">
        <w:trPr>
          <w:divId w:val="625043092"/>
          <w:trHeight w:val="330"/>
        </w:trPr>
        <w:tc>
          <w:tcPr>
            <w:tcW w:w="660" w:type="dxa"/>
            <w:vMerge/>
            <w:tcBorders>
              <w:top w:val="single" w:sz="8" w:space="0" w:color="auto"/>
              <w:left w:val="single" w:sz="8" w:space="0" w:color="auto"/>
              <w:bottom w:val="single" w:sz="8" w:space="0" w:color="000000"/>
              <w:right w:val="single" w:sz="8" w:space="0" w:color="auto"/>
            </w:tcBorders>
            <w:vAlign w:val="center"/>
            <w:hideMark/>
          </w:tcPr>
          <w:p w14:paraId="7E6BE4BE"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3220" w:type="dxa"/>
            <w:vMerge/>
            <w:tcBorders>
              <w:top w:val="single" w:sz="8" w:space="0" w:color="auto"/>
              <w:left w:val="single" w:sz="8" w:space="0" w:color="auto"/>
              <w:bottom w:val="single" w:sz="8" w:space="0" w:color="000000"/>
              <w:right w:val="single" w:sz="8" w:space="0" w:color="auto"/>
            </w:tcBorders>
            <w:vAlign w:val="center"/>
            <w:hideMark/>
          </w:tcPr>
          <w:p w14:paraId="0C33407E"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253DD1CE"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4FA68FDF"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43EA3527"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0B05FC87"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383B2060" w14:textId="77777777" w:rsidTr="00396CB4">
        <w:trPr>
          <w:divId w:val="625043092"/>
          <w:trHeight w:val="330"/>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6F555B8E"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3.1.1.02.</w:t>
            </w:r>
          </w:p>
        </w:tc>
        <w:tc>
          <w:tcPr>
            <w:tcW w:w="3220" w:type="dxa"/>
            <w:tcBorders>
              <w:top w:val="nil"/>
              <w:left w:val="nil"/>
              <w:bottom w:val="single" w:sz="8" w:space="0" w:color="auto"/>
              <w:right w:val="single" w:sz="8" w:space="0" w:color="auto"/>
            </w:tcBorders>
            <w:shd w:val="clear" w:color="auto" w:fill="auto"/>
            <w:vAlign w:val="center"/>
            <w:hideMark/>
          </w:tcPr>
          <w:p w14:paraId="38A65464" w14:textId="77777777" w:rsidR="00396CB4" w:rsidRPr="00396CB4" w:rsidRDefault="00396CB4" w:rsidP="00396CB4">
            <w:pPr>
              <w:spacing w:after="0" w:line="240" w:lineRule="auto"/>
              <w:rPr>
                <w:rFonts w:eastAsia="Times New Roman" w:cs="Calibri"/>
                <w:b/>
                <w:bCs/>
                <w:color w:val="000000"/>
                <w:sz w:val="18"/>
                <w:szCs w:val="18"/>
                <w:lang w:eastAsia="es-CR"/>
              </w:rPr>
            </w:pPr>
            <w:r w:rsidRPr="00396CB4">
              <w:rPr>
                <w:rFonts w:eastAsia="Times New Roman" w:cs="Calibri"/>
                <w:b/>
                <w:bCs/>
                <w:color w:val="000000"/>
                <w:sz w:val="18"/>
                <w:szCs w:val="18"/>
                <w:lang w:eastAsia="es-CR"/>
              </w:rPr>
              <w:t>Incorporaciones al capital</w:t>
            </w:r>
          </w:p>
        </w:tc>
        <w:tc>
          <w:tcPr>
            <w:tcW w:w="500" w:type="dxa"/>
            <w:tcBorders>
              <w:top w:val="nil"/>
              <w:left w:val="nil"/>
              <w:bottom w:val="single" w:sz="8" w:space="0" w:color="auto"/>
              <w:right w:val="single" w:sz="8" w:space="0" w:color="auto"/>
            </w:tcBorders>
            <w:shd w:val="clear" w:color="auto" w:fill="auto"/>
            <w:noWrap/>
            <w:vAlign w:val="center"/>
            <w:hideMark/>
          </w:tcPr>
          <w:p w14:paraId="60005944"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24</w:t>
            </w:r>
          </w:p>
        </w:tc>
        <w:tc>
          <w:tcPr>
            <w:tcW w:w="2100" w:type="dxa"/>
            <w:tcBorders>
              <w:top w:val="nil"/>
              <w:left w:val="nil"/>
              <w:bottom w:val="single" w:sz="8" w:space="0" w:color="auto"/>
              <w:right w:val="single" w:sz="8" w:space="0" w:color="auto"/>
            </w:tcBorders>
            <w:shd w:val="clear" w:color="auto" w:fill="auto"/>
            <w:noWrap/>
            <w:vAlign w:val="center"/>
            <w:hideMark/>
          </w:tcPr>
          <w:p w14:paraId="086D76D9"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2100" w:type="dxa"/>
            <w:tcBorders>
              <w:top w:val="nil"/>
              <w:left w:val="nil"/>
              <w:bottom w:val="single" w:sz="8" w:space="0" w:color="auto"/>
              <w:right w:val="single" w:sz="8" w:space="0" w:color="auto"/>
            </w:tcBorders>
            <w:shd w:val="clear" w:color="auto" w:fill="auto"/>
            <w:noWrap/>
            <w:vAlign w:val="center"/>
            <w:hideMark/>
          </w:tcPr>
          <w:p w14:paraId="6A7520F2"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1020" w:type="dxa"/>
            <w:tcBorders>
              <w:top w:val="nil"/>
              <w:left w:val="nil"/>
              <w:bottom w:val="single" w:sz="8" w:space="0" w:color="auto"/>
              <w:right w:val="single" w:sz="8" w:space="0" w:color="auto"/>
            </w:tcBorders>
            <w:shd w:val="clear" w:color="auto" w:fill="auto"/>
            <w:noWrap/>
            <w:vAlign w:val="center"/>
            <w:hideMark/>
          </w:tcPr>
          <w:p w14:paraId="2A7DD402"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0,00%</w:t>
            </w:r>
          </w:p>
        </w:tc>
      </w:tr>
    </w:tbl>
    <w:p w14:paraId="1320AE52" w14:textId="77777777" w:rsidR="00396CB4" w:rsidRPr="00396CB4" w:rsidRDefault="009C78C0" w:rsidP="00396CB4">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756467">
        <w:rPr>
          <w:rFonts w:eastAsia="Times New Roman" w:cs="Calibri"/>
          <w:color w:val="000000"/>
          <w:lang w:eastAsia="es-CR"/>
        </w:rPr>
        <w:instrText xml:space="preserve">Excel.SheetMacroEnabled.12 "C:\\Users\\gcordero\\Downloads\\Notas diciembre 2024\\Formato_Notas_EEFF_Vinculadas_2024\\Formato_Notas_EEFF_Vinculadas_2024\\15603_T04_2024_Anexo_Estado_Notas_Contables_Vinculadas.xlsm" NOTAS_POR_CUENTA!F188C8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75C4F621" w14:textId="77777777" w:rsidR="00396CB4" w:rsidRPr="00396CB4" w:rsidRDefault="00396CB4" w:rsidP="00396CB4">
      <w:pPr>
        <w:rPr>
          <w:rFonts w:eastAsia="Times New Roman" w:cs="Calibri"/>
          <w:color w:val="000000"/>
          <w:lang w:eastAsia="es-CR"/>
        </w:rPr>
      </w:pPr>
      <w:r w:rsidRPr="00396CB4">
        <w:rPr>
          <w:rFonts w:eastAsia="Times New Roman" w:cs="Calibri"/>
          <w:color w:val="000000"/>
          <w:lang w:eastAsia="es-CR"/>
        </w:rPr>
        <w:t>La cuenta Incorporaciones al capital, representa el 0,00% del total del Capital, que comparado al periodo anterior genera una variación absoluta de 0 000,00 que corresponde a un Aumento del 0,00% de recursos disponibles.</w:t>
      </w:r>
    </w:p>
    <w:p w14:paraId="5616C65A" w14:textId="3E968435" w:rsidR="00692DC8" w:rsidRPr="00692DC8" w:rsidRDefault="009C78C0" w:rsidP="009C78C0">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00ADF49D" w14:textId="77777777" w:rsidR="00692DC8" w:rsidRPr="00692DC8" w:rsidRDefault="00692DC8" w:rsidP="005012F5"/>
    <w:p w14:paraId="2C8DEC73" w14:textId="77777777" w:rsidR="00692DC8" w:rsidRPr="00692DC8" w:rsidRDefault="00692DC8" w:rsidP="005012F5">
      <w:pPr>
        <w:pStyle w:val="Ttulo4"/>
        <w:spacing w:before="0" w:after="240"/>
        <w:rPr>
          <w:rFonts w:eastAsia="Times New Roman"/>
        </w:rPr>
      </w:pPr>
      <w:bookmarkStart w:id="505" w:name="_Toc13041168"/>
      <w:bookmarkStart w:id="506" w:name="_Toc14345167"/>
      <w:bookmarkStart w:id="507" w:name="_Toc33601245"/>
      <w:bookmarkStart w:id="508" w:name="_Toc82768956"/>
      <w:bookmarkStart w:id="509" w:name="_Toc189804861"/>
      <w:r w:rsidRPr="00692DC8">
        <w:rPr>
          <w:rFonts w:eastAsia="Times New Roman"/>
        </w:rPr>
        <w:t>NOTA N° 25</w:t>
      </w:r>
      <w:bookmarkEnd w:id="505"/>
      <w:bookmarkEnd w:id="506"/>
      <w:bookmarkEnd w:id="507"/>
      <w:bookmarkEnd w:id="508"/>
      <w:bookmarkEnd w:id="509"/>
    </w:p>
    <w:p w14:paraId="10F77FEB" w14:textId="77777777" w:rsidR="00396CB4" w:rsidRDefault="00692DC8" w:rsidP="00F51D42">
      <w:pPr>
        <w:spacing w:before="240"/>
        <w:rPr>
          <w:rFonts w:asciiTheme="minorHAnsi" w:hAnsiTheme="minorHAnsi"/>
          <w:sz w:val="22"/>
        </w:rPr>
      </w:pPr>
      <w:bookmarkStart w:id="510" w:name="_Toc82768957"/>
      <w:r w:rsidRPr="00692DC8">
        <w:rPr>
          <w:rFonts w:eastAsia="Times New Roman"/>
        </w:rPr>
        <w:t>Transferencias de capital</w:t>
      </w:r>
      <w:bookmarkEnd w:id="510"/>
      <w:r w:rsidR="006E7602">
        <w:rPr>
          <w:rFonts w:eastAsiaTheme="majorEastAsia" w:cstheme="majorBidi"/>
          <w:b/>
          <w:iCs/>
        </w:rPr>
        <w:fldChar w:fldCharType="begin"/>
      </w:r>
      <w:r w:rsidR="006E7602">
        <w:instrText xml:space="preserve"> LINK </w:instrText>
      </w:r>
      <w:r w:rsidR="00756467">
        <w:instrText xml:space="preserve">Excel.SheetMacroEnabled.12 "C:\\Users\\gcordero\\Downloads\\Notas diciembre 2024\\Formato_Notas_EEFF_Vinculadas_2024\\Formato_Notas_EEFF_Vinculadas_2024\\15603_T04_2024_Anexo_Estado_Notas_Contables_Vinculadas.xlsm" NOTAS_POR_CUENTA!F190C1:F192C6 </w:instrText>
      </w:r>
      <w:r w:rsidR="006E7602">
        <w:instrText xml:space="preserve">\a \f 4 \h </w:instrText>
      </w:r>
      <w:r w:rsidR="006E7602">
        <w:fldChar w:fldCharType="separate"/>
      </w:r>
    </w:p>
    <w:tbl>
      <w:tblPr>
        <w:tblW w:w="9600" w:type="dxa"/>
        <w:tblCellMar>
          <w:left w:w="70" w:type="dxa"/>
          <w:right w:w="70" w:type="dxa"/>
        </w:tblCellMar>
        <w:tblLook w:val="04A0" w:firstRow="1" w:lastRow="0" w:firstColumn="1" w:lastColumn="0" w:noHBand="0" w:noVBand="1"/>
      </w:tblPr>
      <w:tblGrid>
        <w:gridCol w:w="1322"/>
        <w:gridCol w:w="2558"/>
        <w:gridCol w:w="500"/>
        <w:gridCol w:w="2100"/>
        <w:gridCol w:w="2100"/>
        <w:gridCol w:w="1020"/>
      </w:tblGrid>
      <w:tr w:rsidR="00396CB4" w:rsidRPr="00396CB4" w14:paraId="2B8C155D" w14:textId="77777777" w:rsidTr="00396CB4">
        <w:trPr>
          <w:divId w:val="1666854130"/>
          <w:trHeight w:val="330"/>
        </w:trPr>
        <w:tc>
          <w:tcPr>
            <w:tcW w:w="1322"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B5C8527" w14:textId="591836B4" w:rsidR="00396CB4" w:rsidRPr="00396CB4" w:rsidRDefault="00396CB4" w:rsidP="00396CB4">
            <w:pP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2558"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76D1105"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E32BD36"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B91BD00"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10C708F"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2546E356"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60E7FBBB" w14:textId="77777777" w:rsidTr="00396CB4">
        <w:trPr>
          <w:divId w:val="1666854130"/>
          <w:trHeight w:val="330"/>
        </w:trPr>
        <w:tc>
          <w:tcPr>
            <w:tcW w:w="1322" w:type="dxa"/>
            <w:vMerge/>
            <w:tcBorders>
              <w:top w:val="single" w:sz="8" w:space="0" w:color="auto"/>
              <w:left w:val="single" w:sz="8" w:space="0" w:color="auto"/>
              <w:bottom w:val="single" w:sz="8" w:space="0" w:color="000000"/>
              <w:right w:val="single" w:sz="8" w:space="0" w:color="auto"/>
            </w:tcBorders>
            <w:vAlign w:val="center"/>
            <w:hideMark/>
          </w:tcPr>
          <w:p w14:paraId="381C5053"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558" w:type="dxa"/>
            <w:vMerge/>
            <w:tcBorders>
              <w:top w:val="single" w:sz="8" w:space="0" w:color="auto"/>
              <w:left w:val="single" w:sz="8" w:space="0" w:color="auto"/>
              <w:bottom w:val="single" w:sz="8" w:space="0" w:color="000000"/>
              <w:right w:val="single" w:sz="8" w:space="0" w:color="auto"/>
            </w:tcBorders>
            <w:vAlign w:val="center"/>
            <w:hideMark/>
          </w:tcPr>
          <w:p w14:paraId="31425B31"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59B134E0"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7E46598D"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6BE670CE"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02826EF9"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5A3FB539" w14:textId="77777777" w:rsidTr="00396CB4">
        <w:trPr>
          <w:divId w:val="1666854130"/>
          <w:trHeight w:val="330"/>
        </w:trPr>
        <w:tc>
          <w:tcPr>
            <w:tcW w:w="1322" w:type="dxa"/>
            <w:tcBorders>
              <w:top w:val="nil"/>
              <w:left w:val="single" w:sz="8" w:space="0" w:color="auto"/>
              <w:bottom w:val="single" w:sz="8" w:space="0" w:color="auto"/>
              <w:right w:val="single" w:sz="8" w:space="0" w:color="auto"/>
            </w:tcBorders>
            <w:shd w:val="clear" w:color="auto" w:fill="auto"/>
            <w:noWrap/>
            <w:vAlign w:val="center"/>
            <w:hideMark/>
          </w:tcPr>
          <w:p w14:paraId="3EB11465"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3.1.2.</w:t>
            </w:r>
          </w:p>
        </w:tc>
        <w:tc>
          <w:tcPr>
            <w:tcW w:w="2558" w:type="dxa"/>
            <w:tcBorders>
              <w:top w:val="nil"/>
              <w:left w:val="nil"/>
              <w:bottom w:val="single" w:sz="8" w:space="0" w:color="auto"/>
              <w:right w:val="single" w:sz="8" w:space="0" w:color="auto"/>
            </w:tcBorders>
            <w:shd w:val="clear" w:color="auto" w:fill="auto"/>
            <w:vAlign w:val="center"/>
            <w:hideMark/>
          </w:tcPr>
          <w:p w14:paraId="2A6840E8" w14:textId="77777777" w:rsidR="00396CB4" w:rsidRPr="00396CB4" w:rsidRDefault="00396CB4" w:rsidP="00396CB4">
            <w:pPr>
              <w:spacing w:after="0" w:line="240" w:lineRule="auto"/>
              <w:rPr>
                <w:rFonts w:eastAsia="Times New Roman" w:cs="Calibri"/>
                <w:b/>
                <w:bCs/>
                <w:color w:val="000000"/>
                <w:sz w:val="18"/>
                <w:szCs w:val="18"/>
                <w:lang w:eastAsia="es-CR"/>
              </w:rPr>
            </w:pPr>
            <w:r w:rsidRPr="00396CB4">
              <w:rPr>
                <w:rFonts w:eastAsia="Times New Roman" w:cs="Calibri"/>
                <w:b/>
                <w:bCs/>
                <w:color w:val="000000"/>
                <w:sz w:val="18"/>
                <w:szCs w:val="18"/>
                <w:lang w:eastAsia="es-CR"/>
              </w:rPr>
              <w:t>Transferencias de capital</w:t>
            </w:r>
          </w:p>
        </w:tc>
        <w:tc>
          <w:tcPr>
            <w:tcW w:w="500" w:type="dxa"/>
            <w:tcBorders>
              <w:top w:val="nil"/>
              <w:left w:val="nil"/>
              <w:bottom w:val="single" w:sz="8" w:space="0" w:color="auto"/>
              <w:right w:val="single" w:sz="8" w:space="0" w:color="auto"/>
            </w:tcBorders>
            <w:shd w:val="clear" w:color="auto" w:fill="auto"/>
            <w:noWrap/>
            <w:vAlign w:val="center"/>
            <w:hideMark/>
          </w:tcPr>
          <w:p w14:paraId="7C8ED26E"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25</w:t>
            </w:r>
          </w:p>
        </w:tc>
        <w:tc>
          <w:tcPr>
            <w:tcW w:w="2100" w:type="dxa"/>
            <w:tcBorders>
              <w:top w:val="nil"/>
              <w:left w:val="nil"/>
              <w:bottom w:val="single" w:sz="8" w:space="0" w:color="auto"/>
              <w:right w:val="single" w:sz="8" w:space="0" w:color="auto"/>
            </w:tcBorders>
            <w:shd w:val="clear" w:color="auto" w:fill="auto"/>
            <w:noWrap/>
            <w:vAlign w:val="center"/>
            <w:hideMark/>
          </w:tcPr>
          <w:p w14:paraId="0E2BB11D"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2100" w:type="dxa"/>
            <w:tcBorders>
              <w:top w:val="nil"/>
              <w:left w:val="nil"/>
              <w:bottom w:val="single" w:sz="8" w:space="0" w:color="auto"/>
              <w:right w:val="single" w:sz="8" w:space="0" w:color="auto"/>
            </w:tcBorders>
            <w:shd w:val="clear" w:color="auto" w:fill="auto"/>
            <w:noWrap/>
            <w:vAlign w:val="center"/>
            <w:hideMark/>
          </w:tcPr>
          <w:p w14:paraId="3D364F6C"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1020" w:type="dxa"/>
            <w:tcBorders>
              <w:top w:val="nil"/>
              <w:left w:val="nil"/>
              <w:bottom w:val="single" w:sz="8" w:space="0" w:color="auto"/>
              <w:right w:val="single" w:sz="8" w:space="0" w:color="auto"/>
            </w:tcBorders>
            <w:shd w:val="clear" w:color="auto" w:fill="auto"/>
            <w:noWrap/>
            <w:vAlign w:val="center"/>
            <w:hideMark/>
          </w:tcPr>
          <w:p w14:paraId="6791AA50"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0,00%</w:t>
            </w:r>
          </w:p>
        </w:tc>
      </w:tr>
    </w:tbl>
    <w:p w14:paraId="0D9152AE" w14:textId="21EF9896" w:rsidR="00396CB4" w:rsidRPr="00396CB4" w:rsidRDefault="006E7602" w:rsidP="00396CB4">
      <w:pPr>
        <w:spacing w:before="240"/>
      </w:pPr>
      <w: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756467">
        <w:rPr>
          <w:rFonts w:eastAsia="Times New Roman" w:cs="Calibri"/>
          <w:color w:val="000000"/>
          <w:lang w:eastAsia="es-CR"/>
        </w:rPr>
        <w:instrText xml:space="preserve">Excel.SheetMacroEnabled.12 "C:\\Users\\gcordero\\Downloads\\Notas diciembre 2024\\Formato_Notas_EEFF_Vinculadas_2024\\Formato_Notas_EEFF_Vinculadas_2024\\15603_T04_2024_Anexo_Estado_Notas_Contables_Vinculadas.xlsm" NOTAS_POR_CUENTA!F192C8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645AD020" w14:textId="77777777" w:rsidR="00396CB4" w:rsidRPr="00396CB4" w:rsidRDefault="00396CB4" w:rsidP="00396CB4">
      <w:pPr>
        <w:rPr>
          <w:rFonts w:eastAsia="Times New Roman" w:cs="Calibri"/>
          <w:color w:val="000000"/>
          <w:lang w:eastAsia="es-CR"/>
        </w:rPr>
      </w:pPr>
      <w:r w:rsidRPr="00396CB4">
        <w:rPr>
          <w:rFonts w:eastAsia="Times New Roman" w:cs="Calibri"/>
          <w:color w:val="000000"/>
          <w:lang w:eastAsia="es-CR"/>
        </w:rPr>
        <w:t>La cuenta Transferencias de capital, representa el 0,00% del total del Capital, que comparado al periodo anterior genera una variación absoluta de 0 000,00 que corresponde a un Aumento del 0,00% de recursos disponibles.</w:t>
      </w:r>
    </w:p>
    <w:p w14:paraId="08A6BFF9" w14:textId="0A891FC0" w:rsidR="00692DC8" w:rsidRPr="00692DC8" w:rsidRDefault="006E7602" w:rsidP="006E7602">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7D1F0024" w14:textId="77777777" w:rsidR="006E7602" w:rsidRPr="00692DC8" w:rsidRDefault="006E7602" w:rsidP="005012F5">
      <w:pPr>
        <w:rPr>
          <w:szCs w:val="24"/>
        </w:rPr>
      </w:pPr>
    </w:p>
    <w:p w14:paraId="3A833922" w14:textId="77777777" w:rsidR="00692DC8" w:rsidRPr="00692DC8" w:rsidRDefault="00692DC8" w:rsidP="005012F5">
      <w:pPr>
        <w:pStyle w:val="Ttulo4"/>
        <w:spacing w:after="240"/>
        <w:rPr>
          <w:rFonts w:eastAsia="Times New Roman"/>
        </w:rPr>
      </w:pPr>
      <w:bookmarkStart w:id="511" w:name="_Toc13041171"/>
      <w:bookmarkStart w:id="512" w:name="_Toc14345170"/>
      <w:bookmarkStart w:id="513" w:name="_Toc33601246"/>
      <w:bookmarkStart w:id="514" w:name="_Toc82768958"/>
      <w:bookmarkStart w:id="515" w:name="_Toc189804862"/>
      <w:r w:rsidRPr="00692DC8">
        <w:rPr>
          <w:rFonts w:eastAsia="Times New Roman"/>
        </w:rPr>
        <w:t>NOTA N° 26</w:t>
      </w:r>
      <w:bookmarkEnd w:id="511"/>
      <w:bookmarkEnd w:id="512"/>
      <w:bookmarkEnd w:id="513"/>
      <w:bookmarkEnd w:id="514"/>
      <w:bookmarkEnd w:id="515"/>
    </w:p>
    <w:p w14:paraId="670B29ED" w14:textId="77777777" w:rsidR="00396CB4" w:rsidRDefault="00692DC8" w:rsidP="00F51D42">
      <w:pPr>
        <w:spacing w:before="240"/>
        <w:rPr>
          <w:rFonts w:asciiTheme="minorHAnsi" w:hAnsiTheme="minorHAnsi"/>
          <w:sz w:val="22"/>
        </w:rPr>
      </w:pPr>
      <w:bookmarkStart w:id="516" w:name="_Toc82768959"/>
      <w:r w:rsidRPr="00692DC8">
        <w:rPr>
          <w:rFonts w:eastAsia="Times New Roman"/>
        </w:rPr>
        <w:t>Reservas</w:t>
      </w:r>
      <w:bookmarkEnd w:id="516"/>
      <w:r w:rsidR="006E7602">
        <w:rPr>
          <w:rFonts w:eastAsiaTheme="majorEastAsia" w:cstheme="majorBidi"/>
          <w:b/>
          <w:iCs/>
        </w:rPr>
        <w:fldChar w:fldCharType="begin"/>
      </w:r>
      <w:r w:rsidR="006E7602">
        <w:instrText xml:space="preserve"> LINK </w:instrText>
      </w:r>
      <w:r w:rsidR="00756467">
        <w:instrText xml:space="preserve">Excel.SheetMacroEnabled.12 "C:\\Users\\gcordero\\Downloads\\Notas diciembre 2024\\Formato_Notas_EEFF_Vinculadas_2024\\Formato_Notas_EEFF_Vinculadas_2024\\15603_T04_2024_Anexo_Estado_Notas_Contables_Vinculadas.xlsm" NOTAS_POR_CUENTA!F194C1:F196C6 </w:instrText>
      </w:r>
      <w:r w:rsidR="006E7602">
        <w:instrText xml:space="preserve">\a \f 4 \h </w:instrText>
      </w:r>
      <w:r w:rsidR="006E7602">
        <w:fldChar w:fldCharType="separate"/>
      </w:r>
    </w:p>
    <w:tbl>
      <w:tblPr>
        <w:tblW w:w="9600" w:type="dxa"/>
        <w:tblCellMar>
          <w:left w:w="70" w:type="dxa"/>
          <w:right w:w="70" w:type="dxa"/>
        </w:tblCellMar>
        <w:tblLook w:val="04A0" w:firstRow="1" w:lastRow="0" w:firstColumn="1" w:lastColumn="0" w:noHBand="0" w:noVBand="1"/>
      </w:tblPr>
      <w:tblGrid>
        <w:gridCol w:w="1352"/>
        <w:gridCol w:w="2528"/>
        <w:gridCol w:w="500"/>
        <w:gridCol w:w="2100"/>
        <w:gridCol w:w="2100"/>
        <w:gridCol w:w="1020"/>
      </w:tblGrid>
      <w:tr w:rsidR="00396CB4" w:rsidRPr="00396CB4" w14:paraId="1AF2E4A9" w14:textId="77777777" w:rsidTr="00396CB4">
        <w:trPr>
          <w:divId w:val="1155412384"/>
          <w:trHeight w:val="330"/>
        </w:trPr>
        <w:tc>
          <w:tcPr>
            <w:tcW w:w="1352"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25BF971" w14:textId="55F9B114" w:rsidR="00396CB4" w:rsidRPr="00396CB4" w:rsidRDefault="00396CB4" w:rsidP="00396CB4">
            <w:pP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2528"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D7D5651"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C653B57"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2A25140"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813B327"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26CCD422"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65A445C9" w14:textId="77777777" w:rsidTr="00396CB4">
        <w:trPr>
          <w:divId w:val="1155412384"/>
          <w:trHeight w:val="330"/>
        </w:trPr>
        <w:tc>
          <w:tcPr>
            <w:tcW w:w="1352" w:type="dxa"/>
            <w:vMerge/>
            <w:tcBorders>
              <w:top w:val="single" w:sz="8" w:space="0" w:color="auto"/>
              <w:left w:val="single" w:sz="8" w:space="0" w:color="auto"/>
              <w:bottom w:val="single" w:sz="8" w:space="0" w:color="000000"/>
              <w:right w:val="single" w:sz="8" w:space="0" w:color="auto"/>
            </w:tcBorders>
            <w:vAlign w:val="center"/>
            <w:hideMark/>
          </w:tcPr>
          <w:p w14:paraId="733AE5BB"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528" w:type="dxa"/>
            <w:vMerge/>
            <w:tcBorders>
              <w:top w:val="single" w:sz="8" w:space="0" w:color="auto"/>
              <w:left w:val="single" w:sz="8" w:space="0" w:color="auto"/>
              <w:bottom w:val="single" w:sz="8" w:space="0" w:color="000000"/>
              <w:right w:val="single" w:sz="8" w:space="0" w:color="auto"/>
            </w:tcBorders>
            <w:vAlign w:val="center"/>
            <w:hideMark/>
          </w:tcPr>
          <w:p w14:paraId="358C3BEF"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5FE4032F"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495B073A"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44311E27"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2B5E8F18"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484D3BBE" w14:textId="77777777" w:rsidTr="00396CB4">
        <w:trPr>
          <w:divId w:val="1155412384"/>
          <w:trHeight w:val="330"/>
        </w:trPr>
        <w:tc>
          <w:tcPr>
            <w:tcW w:w="1352" w:type="dxa"/>
            <w:tcBorders>
              <w:top w:val="nil"/>
              <w:left w:val="single" w:sz="8" w:space="0" w:color="auto"/>
              <w:bottom w:val="single" w:sz="8" w:space="0" w:color="auto"/>
              <w:right w:val="single" w:sz="8" w:space="0" w:color="auto"/>
            </w:tcBorders>
            <w:shd w:val="clear" w:color="auto" w:fill="auto"/>
            <w:noWrap/>
            <w:vAlign w:val="center"/>
            <w:hideMark/>
          </w:tcPr>
          <w:p w14:paraId="6A162774"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3.1.3.</w:t>
            </w:r>
          </w:p>
        </w:tc>
        <w:tc>
          <w:tcPr>
            <w:tcW w:w="2528" w:type="dxa"/>
            <w:tcBorders>
              <w:top w:val="nil"/>
              <w:left w:val="nil"/>
              <w:bottom w:val="single" w:sz="8" w:space="0" w:color="auto"/>
              <w:right w:val="single" w:sz="8" w:space="0" w:color="auto"/>
            </w:tcBorders>
            <w:shd w:val="clear" w:color="auto" w:fill="auto"/>
            <w:vAlign w:val="center"/>
            <w:hideMark/>
          </w:tcPr>
          <w:p w14:paraId="6EF47B82" w14:textId="77777777" w:rsidR="00396CB4" w:rsidRPr="00396CB4" w:rsidRDefault="00396CB4" w:rsidP="00396CB4">
            <w:pPr>
              <w:spacing w:after="0" w:line="240" w:lineRule="auto"/>
              <w:rPr>
                <w:rFonts w:eastAsia="Times New Roman" w:cs="Calibri"/>
                <w:b/>
                <w:bCs/>
                <w:color w:val="000000"/>
                <w:sz w:val="18"/>
                <w:szCs w:val="18"/>
                <w:lang w:eastAsia="es-CR"/>
              </w:rPr>
            </w:pPr>
            <w:r w:rsidRPr="00396CB4">
              <w:rPr>
                <w:rFonts w:eastAsia="Times New Roman" w:cs="Calibri"/>
                <w:b/>
                <w:bCs/>
                <w:color w:val="000000"/>
                <w:sz w:val="18"/>
                <w:szCs w:val="18"/>
                <w:lang w:eastAsia="es-CR"/>
              </w:rPr>
              <w:t>Reservas</w:t>
            </w:r>
          </w:p>
        </w:tc>
        <w:tc>
          <w:tcPr>
            <w:tcW w:w="500" w:type="dxa"/>
            <w:tcBorders>
              <w:top w:val="nil"/>
              <w:left w:val="nil"/>
              <w:bottom w:val="single" w:sz="8" w:space="0" w:color="auto"/>
              <w:right w:val="single" w:sz="8" w:space="0" w:color="auto"/>
            </w:tcBorders>
            <w:shd w:val="clear" w:color="auto" w:fill="auto"/>
            <w:noWrap/>
            <w:vAlign w:val="center"/>
            <w:hideMark/>
          </w:tcPr>
          <w:p w14:paraId="3433196C"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26</w:t>
            </w:r>
          </w:p>
        </w:tc>
        <w:tc>
          <w:tcPr>
            <w:tcW w:w="2100" w:type="dxa"/>
            <w:tcBorders>
              <w:top w:val="nil"/>
              <w:left w:val="nil"/>
              <w:bottom w:val="single" w:sz="8" w:space="0" w:color="auto"/>
              <w:right w:val="single" w:sz="8" w:space="0" w:color="auto"/>
            </w:tcBorders>
            <w:shd w:val="clear" w:color="auto" w:fill="auto"/>
            <w:noWrap/>
            <w:vAlign w:val="center"/>
            <w:hideMark/>
          </w:tcPr>
          <w:p w14:paraId="27630CFE"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2100" w:type="dxa"/>
            <w:tcBorders>
              <w:top w:val="nil"/>
              <w:left w:val="nil"/>
              <w:bottom w:val="single" w:sz="8" w:space="0" w:color="auto"/>
              <w:right w:val="single" w:sz="8" w:space="0" w:color="auto"/>
            </w:tcBorders>
            <w:shd w:val="clear" w:color="auto" w:fill="auto"/>
            <w:noWrap/>
            <w:vAlign w:val="center"/>
            <w:hideMark/>
          </w:tcPr>
          <w:p w14:paraId="1DF62E10"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1020" w:type="dxa"/>
            <w:tcBorders>
              <w:top w:val="nil"/>
              <w:left w:val="nil"/>
              <w:bottom w:val="single" w:sz="8" w:space="0" w:color="auto"/>
              <w:right w:val="single" w:sz="8" w:space="0" w:color="auto"/>
            </w:tcBorders>
            <w:shd w:val="clear" w:color="auto" w:fill="auto"/>
            <w:noWrap/>
            <w:vAlign w:val="center"/>
            <w:hideMark/>
          </w:tcPr>
          <w:p w14:paraId="0851E1B9"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0,00%</w:t>
            </w:r>
          </w:p>
        </w:tc>
      </w:tr>
    </w:tbl>
    <w:p w14:paraId="5F476A87" w14:textId="66BD88A8" w:rsidR="00396CB4" w:rsidRPr="00396CB4" w:rsidRDefault="006E7602" w:rsidP="00396CB4">
      <w:pPr>
        <w:spacing w:before="240"/>
      </w:pPr>
      <w:r>
        <w:fldChar w:fldCharType="end"/>
      </w:r>
      <w:r w:rsidR="00692DC8" w:rsidRPr="005012F5">
        <w:rPr>
          <w:b/>
          <w:lang w:val="es-ES"/>
        </w:rPr>
        <w:t xml:space="preserve">Revelación: </w:t>
      </w:r>
      <w:bookmarkStart w:id="517" w:name="_Toc13041174"/>
      <w:bookmarkStart w:id="518" w:name="_Toc14345173"/>
      <w:r>
        <w:rPr>
          <w:rFonts w:eastAsia="Times New Roman" w:cs="Calibri"/>
          <w:color w:val="000000"/>
          <w:lang w:eastAsia="es-CR"/>
        </w:rPr>
        <w:fldChar w:fldCharType="begin"/>
      </w:r>
      <w:r>
        <w:rPr>
          <w:rFonts w:eastAsia="Times New Roman" w:cs="Calibri"/>
          <w:color w:val="000000"/>
          <w:lang w:eastAsia="es-CR"/>
        </w:rPr>
        <w:instrText xml:space="preserve"> LINK </w:instrText>
      </w:r>
      <w:r w:rsidR="00756467">
        <w:rPr>
          <w:rFonts w:eastAsia="Times New Roman" w:cs="Calibri"/>
          <w:color w:val="000000"/>
          <w:lang w:eastAsia="es-CR"/>
        </w:rPr>
        <w:instrText xml:space="preserve">Excel.SheetMacroEnabled.12 "C:\\Users\\gcordero\\Downloads\\Notas diciembre 2024\\Formato_Notas_EEFF_Vinculadas_2024\\Formato_Notas_EEFF_Vinculadas_2024\\15603_T04_2024_Anexo_Estado_Notas_Contables_Vinculadas.xlsm" NOTAS_POR_CUENTA!F196C8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6FE6EAB2" w14:textId="77777777" w:rsidR="00396CB4" w:rsidRPr="00396CB4" w:rsidRDefault="00396CB4" w:rsidP="00396CB4">
      <w:pPr>
        <w:rPr>
          <w:rFonts w:eastAsia="Times New Roman" w:cs="Calibri"/>
          <w:color w:val="000000"/>
          <w:lang w:eastAsia="es-CR"/>
        </w:rPr>
      </w:pPr>
      <w:r w:rsidRPr="00396CB4">
        <w:rPr>
          <w:rFonts w:eastAsia="Times New Roman" w:cs="Calibri"/>
          <w:color w:val="000000"/>
          <w:lang w:eastAsia="es-CR"/>
        </w:rPr>
        <w:lastRenderedPageBreak/>
        <w:t>La cuenta Reservas, representa el 0,00% del total del Capital, que comparado al periodo anterior genera una variación absoluta de 0 000,00 que corresponde a un Aumento del 0,00% de recursos disponibles.</w:t>
      </w:r>
    </w:p>
    <w:p w14:paraId="22BF6DF2" w14:textId="657834AD" w:rsidR="00692DC8" w:rsidRPr="001D0A81" w:rsidRDefault="006E7602" w:rsidP="005012F5">
      <w:pPr>
        <w:rPr>
          <w:rFonts w:eastAsiaTheme="minorEastAsia" w:cs="Arial Narrow"/>
          <w:color w:val="000000"/>
          <w:lang w:eastAsia="es-CR"/>
        </w:rPr>
      </w:pPr>
      <w:r>
        <w:rPr>
          <w:rFonts w:eastAsia="Times New Roman" w:cs="Calibri"/>
          <w:color w:val="000000"/>
          <w:lang w:eastAsia="es-CR"/>
        </w:rPr>
        <w:fldChar w:fldCharType="end"/>
      </w:r>
      <w:r w:rsidR="00692DC8" w:rsidRPr="00692DC8">
        <w:t xml:space="preserve"> </w:t>
      </w:r>
      <w:r w:rsidR="00692DC8" w:rsidRPr="00692DC8">
        <w:rPr>
          <w:highlight w:val="lightGray"/>
        </w:rPr>
        <w:t>Las variaciones de la cuenta son producto de (Indicar la razón de las variaciones de un periodo a otro):</w:t>
      </w:r>
      <w:r w:rsidR="00692DC8" w:rsidRPr="00692DC8">
        <w:t xml:space="preserve"> </w:t>
      </w:r>
    </w:p>
    <w:p w14:paraId="24E9A812" w14:textId="77777777" w:rsidR="00692DC8" w:rsidRPr="00692DC8" w:rsidRDefault="00692DC8" w:rsidP="005012F5">
      <w:pPr>
        <w:pStyle w:val="Ttulo4"/>
        <w:spacing w:after="240"/>
        <w:rPr>
          <w:rFonts w:eastAsia="Times New Roman"/>
        </w:rPr>
      </w:pPr>
      <w:bookmarkStart w:id="519" w:name="_Toc33601247"/>
      <w:bookmarkStart w:id="520" w:name="_Toc82768960"/>
      <w:bookmarkStart w:id="521" w:name="_Toc189804863"/>
      <w:r w:rsidRPr="00692DC8">
        <w:rPr>
          <w:rFonts w:eastAsia="Times New Roman"/>
        </w:rPr>
        <w:t>NOTA N° 27</w:t>
      </w:r>
      <w:bookmarkEnd w:id="517"/>
      <w:bookmarkEnd w:id="518"/>
      <w:bookmarkEnd w:id="519"/>
      <w:bookmarkEnd w:id="520"/>
      <w:bookmarkEnd w:id="521"/>
    </w:p>
    <w:p w14:paraId="05D21E05" w14:textId="77777777" w:rsidR="00396CB4" w:rsidRDefault="00692DC8" w:rsidP="00F51D42">
      <w:pPr>
        <w:spacing w:before="240"/>
        <w:rPr>
          <w:rFonts w:asciiTheme="minorHAnsi" w:hAnsiTheme="minorHAnsi"/>
          <w:sz w:val="22"/>
        </w:rPr>
      </w:pPr>
      <w:bookmarkStart w:id="522" w:name="_Toc82768961"/>
      <w:r w:rsidRPr="00692DC8">
        <w:rPr>
          <w:rFonts w:eastAsia="Times New Roman"/>
        </w:rPr>
        <w:t>Variaciones no asignables a reservas</w:t>
      </w:r>
      <w:bookmarkEnd w:id="522"/>
      <w:r w:rsidR="00736E00">
        <w:rPr>
          <w:rFonts w:eastAsiaTheme="majorEastAsia" w:cstheme="majorBidi"/>
          <w:iCs/>
          <w:lang w:val="es-ES"/>
        </w:rPr>
        <w:fldChar w:fldCharType="begin"/>
      </w:r>
      <w:r w:rsidR="00736E00">
        <w:rPr>
          <w:lang w:val="es-ES"/>
        </w:rPr>
        <w:instrText xml:space="preserve"> LINK </w:instrText>
      </w:r>
      <w:r w:rsidR="00756467">
        <w:rPr>
          <w:lang w:val="es-ES"/>
        </w:rPr>
        <w:instrText xml:space="preserve">Excel.SheetMacroEnabled.12 "C:\\Users\\gcordero\\Downloads\\Notas diciembre 2024\\Formato_Notas_EEFF_Vinculadas_2024\\Formato_Notas_EEFF_Vinculadas_2024\\15603_T04_2024_Anexo_Estado_Notas_Contables_Vinculadas.xlsm" NOTAS_POR_CUENTA!F198C1:F200C6 </w:instrText>
      </w:r>
      <w:r w:rsidR="00736E00">
        <w:rPr>
          <w:lang w:val="es-ES"/>
        </w:rPr>
        <w:instrText xml:space="preserve">\a \f 4 \h </w:instrText>
      </w:r>
      <w:r w:rsidR="00736E00">
        <w:rPr>
          <w:b/>
          <w:lang w:val="es-ES"/>
        </w:rPr>
        <w:fldChar w:fldCharType="separate"/>
      </w:r>
    </w:p>
    <w:tbl>
      <w:tblPr>
        <w:tblW w:w="9600" w:type="dxa"/>
        <w:tblCellMar>
          <w:left w:w="70" w:type="dxa"/>
          <w:right w:w="70" w:type="dxa"/>
        </w:tblCellMar>
        <w:tblLook w:val="04A0" w:firstRow="1" w:lastRow="0" w:firstColumn="1" w:lastColumn="0" w:noHBand="0" w:noVBand="1"/>
      </w:tblPr>
      <w:tblGrid>
        <w:gridCol w:w="1275"/>
        <w:gridCol w:w="2605"/>
        <w:gridCol w:w="500"/>
        <w:gridCol w:w="2100"/>
        <w:gridCol w:w="2100"/>
        <w:gridCol w:w="1020"/>
      </w:tblGrid>
      <w:tr w:rsidR="00396CB4" w:rsidRPr="00396CB4" w14:paraId="065A7B0E" w14:textId="77777777" w:rsidTr="00396CB4">
        <w:trPr>
          <w:divId w:val="970861296"/>
          <w:trHeight w:val="330"/>
        </w:trPr>
        <w:tc>
          <w:tcPr>
            <w:tcW w:w="1275"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59B55C3" w14:textId="06DDCB6F" w:rsidR="00396CB4" w:rsidRPr="00396CB4" w:rsidRDefault="00396CB4" w:rsidP="00396CB4">
            <w:pP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2605"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335EFB5"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739D2BE"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0566A49"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E385341"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71DEAB31"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43F8797D" w14:textId="77777777" w:rsidTr="00396CB4">
        <w:trPr>
          <w:divId w:val="970861296"/>
          <w:trHeight w:val="330"/>
        </w:trPr>
        <w:tc>
          <w:tcPr>
            <w:tcW w:w="1275" w:type="dxa"/>
            <w:vMerge/>
            <w:tcBorders>
              <w:top w:val="single" w:sz="8" w:space="0" w:color="auto"/>
              <w:left w:val="single" w:sz="8" w:space="0" w:color="auto"/>
              <w:bottom w:val="single" w:sz="8" w:space="0" w:color="000000"/>
              <w:right w:val="single" w:sz="8" w:space="0" w:color="auto"/>
            </w:tcBorders>
            <w:vAlign w:val="center"/>
            <w:hideMark/>
          </w:tcPr>
          <w:p w14:paraId="582F6C20"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605" w:type="dxa"/>
            <w:vMerge/>
            <w:tcBorders>
              <w:top w:val="single" w:sz="8" w:space="0" w:color="auto"/>
              <w:left w:val="single" w:sz="8" w:space="0" w:color="auto"/>
              <w:bottom w:val="single" w:sz="8" w:space="0" w:color="000000"/>
              <w:right w:val="single" w:sz="8" w:space="0" w:color="auto"/>
            </w:tcBorders>
            <w:vAlign w:val="center"/>
            <w:hideMark/>
          </w:tcPr>
          <w:p w14:paraId="2E53EFA0"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651CAB75"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17EA9BA5"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1E61D140"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29A54298"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383FE916" w14:textId="77777777" w:rsidTr="00396CB4">
        <w:trPr>
          <w:divId w:val="970861296"/>
          <w:trHeight w:val="330"/>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2E599A0F"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3.1.4.</w:t>
            </w:r>
          </w:p>
        </w:tc>
        <w:tc>
          <w:tcPr>
            <w:tcW w:w="2605" w:type="dxa"/>
            <w:tcBorders>
              <w:top w:val="nil"/>
              <w:left w:val="nil"/>
              <w:bottom w:val="single" w:sz="8" w:space="0" w:color="auto"/>
              <w:right w:val="single" w:sz="8" w:space="0" w:color="auto"/>
            </w:tcBorders>
            <w:shd w:val="clear" w:color="auto" w:fill="auto"/>
            <w:vAlign w:val="center"/>
            <w:hideMark/>
          </w:tcPr>
          <w:p w14:paraId="3E780FA2" w14:textId="77777777" w:rsidR="00396CB4" w:rsidRPr="00396CB4" w:rsidRDefault="00396CB4" w:rsidP="00396CB4">
            <w:pPr>
              <w:spacing w:after="0" w:line="240" w:lineRule="auto"/>
              <w:rPr>
                <w:rFonts w:eastAsia="Times New Roman" w:cs="Calibri"/>
                <w:b/>
                <w:bCs/>
                <w:color w:val="000000"/>
                <w:sz w:val="18"/>
                <w:szCs w:val="18"/>
                <w:lang w:eastAsia="es-CR"/>
              </w:rPr>
            </w:pPr>
            <w:r w:rsidRPr="00396CB4">
              <w:rPr>
                <w:rFonts w:eastAsia="Times New Roman" w:cs="Calibri"/>
                <w:b/>
                <w:bCs/>
                <w:color w:val="000000"/>
                <w:sz w:val="18"/>
                <w:szCs w:val="18"/>
                <w:lang w:eastAsia="es-CR"/>
              </w:rPr>
              <w:t>Variaciones no asignables a reservas</w:t>
            </w:r>
          </w:p>
        </w:tc>
        <w:tc>
          <w:tcPr>
            <w:tcW w:w="500" w:type="dxa"/>
            <w:tcBorders>
              <w:top w:val="nil"/>
              <w:left w:val="nil"/>
              <w:bottom w:val="single" w:sz="8" w:space="0" w:color="auto"/>
              <w:right w:val="single" w:sz="8" w:space="0" w:color="auto"/>
            </w:tcBorders>
            <w:shd w:val="clear" w:color="auto" w:fill="auto"/>
            <w:noWrap/>
            <w:vAlign w:val="center"/>
            <w:hideMark/>
          </w:tcPr>
          <w:p w14:paraId="1EFCA00E"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27</w:t>
            </w:r>
          </w:p>
        </w:tc>
        <w:tc>
          <w:tcPr>
            <w:tcW w:w="2100" w:type="dxa"/>
            <w:tcBorders>
              <w:top w:val="nil"/>
              <w:left w:val="nil"/>
              <w:bottom w:val="single" w:sz="8" w:space="0" w:color="auto"/>
              <w:right w:val="single" w:sz="8" w:space="0" w:color="auto"/>
            </w:tcBorders>
            <w:shd w:val="clear" w:color="auto" w:fill="auto"/>
            <w:noWrap/>
            <w:vAlign w:val="center"/>
            <w:hideMark/>
          </w:tcPr>
          <w:p w14:paraId="5C9509A2"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2100" w:type="dxa"/>
            <w:tcBorders>
              <w:top w:val="nil"/>
              <w:left w:val="nil"/>
              <w:bottom w:val="single" w:sz="8" w:space="0" w:color="auto"/>
              <w:right w:val="single" w:sz="8" w:space="0" w:color="auto"/>
            </w:tcBorders>
            <w:shd w:val="clear" w:color="auto" w:fill="auto"/>
            <w:noWrap/>
            <w:vAlign w:val="center"/>
            <w:hideMark/>
          </w:tcPr>
          <w:p w14:paraId="5C9F6FCE"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1020" w:type="dxa"/>
            <w:tcBorders>
              <w:top w:val="nil"/>
              <w:left w:val="nil"/>
              <w:bottom w:val="single" w:sz="8" w:space="0" w:color="auto"/>
              <w:right w:val="single" w:sz="8" w:space="0" w:color="auto"/>
            </w:tcBorders>
            <w:shd w:val="clear" w:color="auto" w:fill="auto"/>
            <w:noWrap/>
            <w:vAlign w:val="center"/>
            <w:hideMark/>
          </w:tcPr>
          <w:p w14:paraId="6B911783"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0,00%</w:t>
            </w:r>
          </w:p>
        </w:tc>
      </w:tr>
    </w:tbl>
    <w:p w14:paraId="0CB429FC" w14:textId="77777777" w:rsidR="00396CB4" w:rsidRPr="00396CB4" w:rsidRDefault="00736E00" w:rsidP="00396CB4">
      <w:pPr>
        <w:spacing w:before="240"/>
        <w:rPr>
          <w:b/>
          <w:lang w:val="es-ES"/>
        </w:rPr>
      </w:pPr>
      <w:r>
        <w:rPr>
          <w:b/>
          <w:lang w:val="es-ES"/>
        </w:rPr>
        <w:fldChar w:fldCharType="end"/>
      </w:r>
      <w:r w:rsidR="00692DC8" w:rsidRPr="005012F5">
        <w:rPr>
          <w:b/>
          <w:lang w:val="es-ES"/>
        </w:rPr>
        <w:t xml:space="preserve">Revelación: </w:t>
      </w:r>
      <w:bookmarkStart w:id="523" w:name="_Toc13041179"/>
      <w:bookmarkStart w:id="524" w:name="_Toc14345178"/>
      <w:r>
        <w:rPr>
          <w:rFonts w:eastAsia="Times New Roman" w:cs="Calibri"/>
          <w:color w:val="000000"/>
          <w:lang w:eastAsia="es-CR"/>
        </w:rPr>
        <w:fldChar w:fldCharType="begin"/>
      </w:r>
      <w:r>
        <w:rPr>
          <w:rFonts w:eastAsia="Times New Roman" w:cs="Calibri"/>
          <w:color w:val="000000"/>
          <w:lang w:eastAsia="es-CR"/>
        </w:rPr>
        <w:instrText xml:space="preserve"> LINK </w:instrText>
      </w:r>
      <w:r w:rsidR="00756467">
        <w:rPr>
          <w:rFonts w:eastAsia="Times New Roman" w:cs="Calibri"/>
          <w:color w:val="000000"/>
          <w:lang w:eastAsia="es-CR"/>
        </w:rPr>
        <w:instrText xml:space="preserve">Excel.SheetMacroEnabled.12 "C:\\Users\\gcordero\\Downloads\\Notas diciembre 2024\\Formato_Notas_EEFF_Vinculadas_2024\\Formato_Notas_EEFF_Vinculadas_2024\\15603_T04_2024_Anexo_Estado_Notas_Contables_Vinculadas.xlsm" NOTAS_POR_CUENTA!F200C8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4082305A" w14:textId="77777777" w:rsidR="00396CB4" w:rsidRPr="00396CB4" w:rsidRDefault="00396CB4" w:rsidP="00396CB4">
      <w:pPr>
        <w:rPr>
          <w:rFonts w:eastAsia="Times New Roman" w:cs="Calibri"/>
          <w:color w:val="000000"/>
          <w:lang w:eastAsia="es-CR"/>
        </w:rPr>
      </w:pPr>
      <w:r w:rsidRPr="00396CB4">
        <w:rPr>
          <w:rFonts w:eastAsia="Times New Roman" w:cs="Calibri"/>
          <w:color w:val="000000"/>
          <w:lang w:eastAsia="es-CR"/>
        </w:rPr>
        <w:t>La cuenta Variaciones no asignables a reservas, representa el 0,00% del total del Capital, que comparado al periodo anterior genera una variación absoluta de 0 000,00 que corresponde a un Aumento del 0,00% de recursos disponibles.</w:t>
      </w:r>
    </w:p>
    <w:p w14:paraId="4CAF1998" w14:textId="3D48C528" w:rsidR="00692DC8" w:rsidRPr="00692DC8" w:rsidRDefault="00736E00" w:rsidP="00736E00">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5BE57CBD" w14:textId="0CD07436" w:rsidR="00692DC8" w:rsidRDefault="00692DC8" w:rsidP="005012F5">
      <w:pPr>
        <w:rPr>
          <w:rFonts w:eastAsia="Times New Roman"/>
        </w:rPr>
      </w:pPr>
      <w:bookmarkStart w:id="525" w:name="_Toc33601248"/>
    </w:p>
    <w:p w14:paraId="3406EF3E" w14:textId="77777777" w:rsidR="004A712C" w:rsidRPr="00692DC8" w:rsidRDefault="004A712C" w:rsidP="005012F5">
      <w:pPr>
        <w:rPr>
          <w:rFonts w:eastAsia="Times New Roman"/>
        </w:rPr>
      </w:pPr>
    </w:p>
    <w:p w14:paraId="0DEF45EA" w14:textId="77777777" w:rsidR="00692DC8" w:rsidRPr="00692DC8" w:rsidRDefault="00692DC8" w:rsidP="005012F5">
      <w:pPr>
        <w:pStyle w:val="Ttulo4"/>
        <w:spacing w:after="240"/>
        <w:rPr>
          <w:rFonts w:eastAsia="Times New Roman"/>
        </w:rPr>
      </w:pPr>
      <w:bookmarkStart w:id="526" w:name="_Toc82768962"/>
      <w:bookmarkStart w:id="527" w:name="_Toc189804864"/>
      <w:r w:rsidRPr="00692DC8">
        <w:rPr>
          <w:rFonts w:eastAsia="Times New Roman"/>
        </w:rPr>
        <w:t>NOTA N° 28</w:t>
      </w:r>
      <w:bookmarkEnd w:id="523"/>
      <w:bookmarkEnd w:id="524"/>
      <w:bookmarkEnd w:id="525"/>
      <w:bookmarkEnd w:id="526"/>
      <w:bookmarkEnd w:id="527"/>
    </w:p>
    <w:p w14:paraId="69C2756E" w14:textId="77777777" w:rsidR="00396CB4" w:rsidRDefault="00692DC8" w:rsidP="003A31CC">
      <w:pPr>
        <w:spacing w:before="240"/>
        <w:rPr>
          <w:rFonts w:asciiTheme="minorHAnsi" w:hAnsiTheme="minorHAnsi"/>
          <w:sz w:val="22"/>
        </w:rPr>
      </w:pPr>
      <w:bookmarkStart w:id="528" w:name="_Toc82768963"/>
      <w:r w:rsidRPr="00692DC8">
        <w:rPr>
          <w:rFonts w:eastAsia="Times New Roman"/>
        </w:rPr>
        <w:t>Resultados acumulados</w:t>
      </w:r>
      <w:bookmarkEnd w:id="528"/>
      <w:r w:rsidR="00736E00">
        <w:rPr>
          <w:rFonts w:eastAsiaTheme="majorEastAsia" w:cstheme="majorBidi"/>
          <w:b/>
          <w:iCs/>
        </w:rPr>
        <w:fldChar w:fldCharType="begin"/>
      </w:r>
      <w:r w:rsidR="00736E00">
        <w:instrText xml:space="preserve"> LINK </w:instrText>
      </w:r>
      <w:r w:rsidR="00756467">
        <w:instrText xml:space="preserve">Excel.SheetMacroEnabled.12 "C:\\Users\\gcordero\\Downloads\\Notas diciembre 2024\\Formato_Notas_EEFF_Vinculadas_2024\\Formato_Notas_EEFF_Vinculadas_2024\\15603_T04_2024_Anexo_Estado_Notas_Contables_Vinculadas.xlsm" NOTAS_POR_CUENTA!F202C1:F204C6 </w:instrText>
      </w:r>
      <w:r w:rsidR="00736E00">
        <w:instrText xml:space="preserve">\a \f 4 \h </w:instrText>
      </w:r>
      <w:r w:rsidR="00736E00">
        <w:fldChar w:fldCharType="separate"/>
      </w:r>
    </w:p>
    <w:tbl>
      <w:tblPr>
        <w:tblW w:w="9600" w:type="dxa"/>
        <w:tblCellMar>
          <w:left w:w="70" w:type="dxa"/>
          <w:right w:w="70" w:type="dxa"/>
        </w:tblCellMar>
        <w:tblLook w:val="04A0" w:firstRow="1" w:lastRow="0" w:firstColumn="1" w:lastColumn="0" w:noHBand="0" w:noVBand="1"/>
      </w:tblPr>
      <w:tblGrid>
        <w:gridCol w:w="1582"/>
        <w:gridCol w:w="2298"/>
        <w:gridCol w:w="500"/>
        <w:gridCol w:w="2100"/>
        <w:gridCol w:w="2100"/>
        <w:gridCol w:w="1020"/>
      </w:tblGrid>
      <w:tr w:rsidR="00396CB4" w:rsidRPr="00396CB4" w14:paraId="4A97EE93" w14:textId="77777777" w:rsidTr="00396CB4">
        <w:trPr>
          <w:divId w:val="1080374147"/>
          <w:trHeight w:val="330"/>
        </w:trPr>
        <w:tc>
          <w:tcPr>
            <w:tcW w:w="1582"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3EB5EA4" w14:textId="63164E30" w:rsidR="00396CB4" w:rsidRPr="00396CB4" w:rsidRDefault="00396CB4" w:rsidP="00396CB4">
            <w:pP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2298"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79A9B22"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13E5439"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F31E5A0"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842F992"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3C6D5D0F"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6C455AF0" w14:textId="77777777" w:rsidTr="00396CB4">
        <w:trPr>
          <w:divId w:val="1080374147"/>
          <w:trHeight w:val="330"/>
        </w:trPr>
        <w:tc>
          <w:tcPr>
            <w:tcW w:w="1582" w:type="dxa"/>
            <w:vMerge/>
            <w:tcBorders>
              <w:top w:val="single" w:sz="8" w:space="0" w:color="auto"/>
              <w:left w:val="single" w:sz="8" w:space="0" w:color="auto"/>
              <w:bottom w:val="single" w:sz="8" w:space="0" w:color="000000"/>
              <w:right w:val="single" w:sz="8" w:space="0" w:color="auto"/>
            </w:tcBorders>
            <w:vAlign w:val="center"/>
            <w:hideMark/>
          </w:tcPr>
          <w:p w14:paraId="41A86D58"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298" w:type="dxa"/>
            <w:vMerge/>
            <w:tcBorders>
              <w:top w:val="single" w:sz="8" w:space="0" w:color="auto"/>
              <w:left w:val="single" w:sz="8" w:space="0" w:color="auto"/>
              <w:bottom w:val="single" w:sz="8" w:space="0" w:color="000000"/>
              <w:right w:val="single" w:sz="8" w:space="0" w:color="auto"/>
            </w:tcBorders>
            <w:vAlign w:val="center"/>
            <w:hideMark/>
          </w:tcPr>
          <w:p w14:paraId="7577B10B"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0BCFD84D"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3FA9CBA1"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6FF5A82B"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3E415ACE"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23A3EF0B" w14:textId="77777777" w:rsidTr="00396CB4">
        <w:trPr>
          <w:divId w:val="1080374147"/>
          <w:trHeight w:val="330"/>
        </w:trPr>
        <w:tc>
          <w:tcPr>
            <w:tcW w:w="1582" w:type="dxa"/>
            <w:tcBorders>
              <w:top w:val="nil"/>
              <w:left w:val="single" w:sz="8" w:space="0" w:color="auto"/>
              <w:bottom w:val="single" w:sz="8" w:space="0" w:color="auto"/>
              <w:right w:val="single" w:sz="8" w:space="0" w:color="auto"/>
            </w:tcBorders>
            <w:shd w:val="clear" w:color="auto" w:fill="auto"/>
            <w:noWrap/>
            <w:vAlign w:val="center"/>
            <w:hideMark/>
          </w:tcPr>
          <w:p w14:paraId="3BBE9BAE"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3.1.5.</w:t>
            </w:r>
          </w:p>
        </w:tc>
        <w:tc>
          <w:tcPr>
            <w:tcW w:w="2298" w:type="dxa"/>
            <w:tcBorders>
              <w:top w:val="nil"/>
              <w:left w:val="nil"/>
              <w:bottom w:val="single" w:sz="8" w:space="0" w:color="auto"/>
              <w:right w:val="single" w:sz="8" w:space="0" w:color="auto"/>
            </w:tcBorders>
            <w:shd w:val="clear" w:color="auto" w:fill="auto"/>
            <w:vAlign w:val="center"/>
            <w:hideMark/>
          </w:tcPr>
          <w:p w14:paraId="1A672AAB" w14:textId="77777777" w:rsidR="00396CB4" w:rsidRPr="00396CB4" w:rsidRDefault="00396CB4" w:rsidP="00396CB4">
            <w:pPr>
              <w:spacing w:after="0" w:line="240" w:lineRule="auto"/>
              <w:rPr>
                <w:rFonts w:eastAsia="Times New Roman" w:cs="Calibri"/>
                <w:b/>
                <w:bCs/>
                <w:color w:val="000000"/>
                <w:sz w:val="18"/>
                <w:szCs w:val="18"/>
                <w:lang w:eastAsia="es-CR"/>
              </w:rPr>
            </w:pPr>
            <w:r w:rsidRPr="00396CB4">
              <w:rPr>
                <w:rFonts w:eastAsia="Times New Roman" w:cs="Calibri"/>
                <w:b/>
                <w:bCs/>
                <w:color w:val="000000"/>
                <w:sz w:val="18"/>
                <w:szCs w:val="18"/>
                <w:lang w:eastAsia="es-CR"/>
              </w:rPr>
              <w:t>Resultados acumulados</w:t>
            </w:r>
          </w:p>
        </w:tc>
        <w:tc>
          <w:tcPr>
            <w:tcW w:w="500" w:type="dxa"/>
            <w:tcBorders>
              <w:top w:val="nil"/>
              <w:left w:val="nil"/>
              <w:bottom w:val="single" w:sz="8" w:space="0" w:color="auto"/>
              <w:right w:val="single" w:sz="8" w:space="0" w:color="auto"/>
            </w:tcBorders>
            <w:shd w:val="clear" w:color="auto" w:fill="auto"/>
            <w:noWrap/>
            <w:vAlign w:val="center"/>
            <w:hideMark/>
          </w:tcPr>
          <w:p w14:paraId="02DCAE67"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28</w:t>
            </w:r>
          </w:p>
        </w:tc>
        <w:tc>
          <w:tcPr>
            <w:tcW w:w="2100" w:type="dxa"/>
            <w:tcBorders>
              <w:top w:val="nil"/>
              <w:left w:val="nil"/>
              <w:bottom w:val="single" w:sz="8" w:space="0" w:color="auto"/>
              <w:right w:val="single" w:sz="8" w:space="0" w:color="auto"/>
            </w:tcBorders>
            <w:shd w:val="clear" w:color="auto" w:fill="auto"/>
            <w:noWrap/>
            <w:vAlign w:val="center"/>
            <w:hideMark/>
          </w:tcPr>
          <w:p w14:paraId="5BD88D09" w14:textId="77777777" w:rsidR="006245FF" w:rsidRPr="006245FF" w:rsidRDefault="006245FF" w:rsidP="006245FF">
            <w:pPr>
              <w:spacing w:after="0" w:line="240" w:lineRule="auto"/>
              <w:jc w:val="center"/>
              <w:rPr>
                <w:rFonts w:eastAsia="Times New Roman" w:cs="Calibri"/>
                <w:b/>
                <w:bCs/>
                <w:color w:val="000000"/>
                <w:sz w:val="16"/>
                <w:szCs w:val="16"/>
                <w:lang w:eastAsia="es-CR"/>
              </w:rPr>
            </w:pPr>
            <w:r w:rsidRPr="006245FF">
              <w:rPr>
                <w:rFonts w:eastAsia="Times New Roman" w:cs="Calibri"/>
                <w:b/>
                <w:bCs/>
                <w:color w:val="000000"/>
                <w:sz w:val="16"/>
                <w:szCs w:val="16"/>
                <w:lang w:eastAsia="es-CR"/>
              </w:rPr>
              <w:t>164 115 700,75</w:t>
            </w:r>
          </w:p>
          <w:p w14:paraId="671B5572" w14:textId="437E9C44"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w:t>
            </w:r>
          </w:p>
        </w:tc>
        <w:tc>
          <w:tcPr>
            <w:tcW w:w="2100" w:type="dxa"/>
            <w:tcBorders>
              <w:top w:val="nil"/>
              <w:left w:val="nil"/>
              <w:bottom w:val="single" w:sz="8" w:space="0" w:color="auto"/>
              <w:right w:val="single" w:sz="8" w:space="0" w:color="auto"/>
            </w:tcBorders>
            <w:shd w:val="clear" w:color="auto" w:fill="auto"/>
            <w:noWrap/>
            <w:vAlign w:val="center"/>
            <w:hideMark/>
          </w:tcPr>
          <w:p w14:paraId="1EA9E0D1" w14:textId="7372E8E2"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w:t>
            </w:r>
            <w:r w:rsidR="006245FF" w:rsidRPr="00396CB4">
              <w:rPr>
                <w:rFonts w:eastAsia="Times New Roman" w:cs="Calibri"/>
                <w:b/>
                <w:bCs/>
                <w:color w:val="000000"/>
                <w:sz w:val="16"/>
                <w:szCs w:val="16"/>
                <w:lang w:eastAsia="es-CR"/>
              </w:rPr>
              <w:t xml:space="preserve"> 164 277 816,04 </w:t>
            </w:r>
            <w:r w:rsidRPr="00396CB4">
              <w:rPr>
                <w:rFonts w:eastAsia="Times New Roman" w:cs="Calibri"/>
                <w:b/>
                <w:bCs/>
                <w:color w:val="000000"/>
                <w:sz w:val="16"/>
                <w:szCs w:val="16"/>
                <w:lang w:eastAsia="es-CR"/>
              </w:rPr>
              <w:t xml:space="preserve"> </w:t>
            </w:r>
          </w:p>
        </w:tc>
        <w:tc>
          <w:tcPr>
            <w:tcW w:w="1020" w:type="dxa"/>
            <w:tcBorders>
              <w:top w:val="nil"/>
              <w:left w:val="nil"/>
              <w:bottom w:val="single" w:sz="8" w:space="0" w:color="auto"/>
              <w:right w:val="single" w:sz="8" w:space="0" w:color="auto"/>
            </w:tcBorders>
            <w:shd w:val="clear" w:color="auto" w:fill="auto"/>
            <w:noWrap/>
            <w:vAlign w:val="center"/>
            <w:hideMark/>
          </w:tcPr>
          <w:p w14:paraId="762279B4"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0,32%</w:t>
            </w:r>
          </w:p>
        </w:tc>
      </w:tr>
    </w:tbl>
    <w:p w14:paraId="18766C11" w14:textId="7FAABF99" w:rsidR="00DE143D" w:rsidRDefault="00736E00" w:rsidP="003A31CC">
      <w:pPr>
        <w:spacing w:before="240"/>
      </w:pPr>
      <w:r>
        <w:fldChar w:fldCharType="end"/>
      </w:r>
    </w:p>
    <w:p w14:paraId="4464C215" w14:textId="492BF795" w:rsidR="004A712C" w:rsidRDefault="004A712C" w:rsidP="003A31CC">
      <w:pPr>
        <w:spacing w:before="240"/>
      </w:pPr>
    </w:p>
    <w:p w14:paraId="49F04E37" w14:textId="77777777" w:rsidR="00396CB4" w:rsidRDefault="00692DC8" w:rsidP="00F66003">
      <w:pPr>
        <w:spacing w:before="240"/>
        <w:rPr>
          <w:rFonts w:asciiTheme="minorHAnsi" w:hAnsiTheme="minorHAnsi"/>
          <w:sz w:val="22"/>
        </w:rPr>
      </w:pPr>
      <w:r w:rsidRPr="00692DC8">
        <w:t>Detalle cuenta</w:t>
      </w:r>
      <w:r w:rsidR="00736E00">
        <w:t>:</w:t>
      </w:r>
      <w:bookmarkStart w:id="529" w:name="_Toc13041183"/>
      <w:bookmarkStart w:id="530" w:name="_Toc14345182"/>
      <w:r w:rsidR="00736E00">
        <w:rPr>
          <w:lang w:val="es-ES"/>
        </w:rPr>
        <w:fldChar w:fldCharType="begin"/>
      </w:r>
      <w:r w:rsidR="00736E00">
        <w:rPr>
          <w:lang w:val="es-ES"/>
        </w:rPr>
        <w:instrText xml:space="preserve"> LINK </w:instrText>
      </w:r>
      <w:r w:rsidR="00756467">
        <w:rPr>
          <w:lang w:val="es-ES"/>
        </w:rPr>
        <w:instrText xml:space="preserve">Excel.SheetMacroEnabled.12 "C:\\Users\\gcordero\\Downloads\\Notas diciembre 2024\\Formato_Notas_EEFF_Vinculadas_2024\\Formato_Notas_EEFF_Vinculadas_2024\\15603_T04_2024_Anexo_Estado_Notas_Contables_Vinculadas.xlsm" NOTAS_POR_CUENTA!F206C1:F208C6 </w:instrText>
      </w:r>
      <w:r w:rsidR="00736E00">
        <w:rPr>
          <w:lang w:val="es-ES"/>
        </w:rPr>
        <w:instrText xml:space="preserve">\a \f 4 \h </w:instrText>
      </w:r>
      <w:r w:rsidR="00736E00">
        <w:rPr>
          <w:lang w:val="es-ES"/>
        </w:rPr>
        <w:fldChar w:fldCharType="separate"/>
      </w:r>
    </w:p>
    <w:tbl>
      <w:tblPr>
        <w:tblW w:w="9600" w:type="dxa"/>
        <w:tblCellMar>
          <w:left w:w="70" w:type="dxa"/>
          <w:right w:w="70" w:type="dxa"/>
        </w:tblCellMar>
        <w:tblLook w:val="04A0" w:firstRow="1" w:lastRow="0" w:firstColumn="1" w:lastColumn="0" w:noHBand="0" w:noVBand="1"/>
      </w:tblPr>
      <w:tblGrid>
        <w:gridCol w:w="1166"/>
        <w:gridCol w:w="2714"/>
        <w:gridCol w:w="500"/>
        <w:gridCol w:w="2100"/>
        <w:gridCol w:w="2100"/>
        <w:gridCol w:w="1020"/>
      </w:tblGrid>
      <w:tr w:rsidR="00396CB4" w:rsidRPr="00396CB4" w14:paraId="1A08D81F" w14:textId="77777777" w:rsidTr="00396CB4">
        <w:trPr>
          <w:divId w:val="1545555105"/>
          <w:trHeight w:val="330"/>
        </w:trPr>
        <w:tc>
          <w:tcPr>
            <w:tcW w:w="116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A724AEF" w14:textId="0043F3E5" w:rsidR="00396CB4" w:rsidRPr="00396CB4" w:rsidRDefault="00396CB4" w:rsidP="00396CB4">
            <w:pPr>
              <w:rPr>
                <w:rFonts w:eastAsia="Times New Roman" w:cs="Calibri"/>
                <w:b/>
                <w:bCs/>
                <w:color w:val="FFFFFF"/>
                <w:sz w:val="18"/>
                <w:szCs w:val="18"/>
                <w:lang w:eastAsia="es-CR"/>
              </w:rPr>
            </w:pPr>
            <w:r w:rsidRPr="00396CB4">
              <w:rPr>
                <w:rFonts w:eastAsia="Times New Roman" w:cs="Calibri"/>
                <w:b/>
                <w:bCs/>
                <w:color w:val="FFFFFF"/>
                <w:sz w:val="18"/>
                <w:szCs w:val="18"/>
                <w:lang w:eastAsia="es-CR"/>
              </w:rPr>
              <w:lastRenderedPageBreak/>
              <w:t xml:space="preserve">Cuenta </w:t>
            </w:r>
          </w:p>
        </w:tc>
        <w:tc>
          <w:tcPr>
            <w:tcW w:w="271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DB184E0"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E4334E1"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3507BB9"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1A735D5"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76C90D1C"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68BDE339" w14:textId="77777777" w:rsidTr="00396CB4">
        <w:trPr>
          <w:divId w:val="1545555105"/>
          <w:trHeight w:val="330"/>
        </w:trPr>
        <w:tc>
          <w:tcPr>
            <w:tcW w:w="1166" w:type="dxa"/>
            <w:vMerge/>
            <w:tcBorders>
              <w:top w:val="single" w:sz="8" w:space="0" w:color="auto"/>
              <w:left w:val="single" w:sz="8" w:space="0" w:color="auto"/>
              <w:bottom w:val="single" w:sz="8" w:space="0" w:color="000000"/>
              <w:right w:val="single" w:sz="8" w:space="0" w:color="auto"/>
            </w:tcBorders>
            <w:vAlign w:val="center"/>
            <w:hideMark/>
          </w:tcPr>
          <w:p w14:paraId="6057D4EF"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714" w:type="dxa"/>
            <w:vMerge/>
            <w:tcBorders>
              <w:top w:val="single" w:sz="8" w:space="0" w:color="auto"/>
              <w:left w:val="single" w:sz="8" w:space="0" w:color="auto"/>
              <w:bottom w:val="single" w:sz="8" w:space="0" w:color="000000"/>
              <w:right w:val="single" w:sz="8" w:space="0" w:color="auto"/>
            </w:tcBorders>
            <w:vAlign w:val="center"/>
            <w:hideMark/>
          </w:tcPr>
          <w:p w14:paraId="2490AD17"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5D4D2425"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737082A5"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3E50E0AA"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3FC7A2D0"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3013BCEF" w14:textId="77777777" w:rsidTr="00396CB4">
        <w:trPr>
          <w:divId w:val="1545555105"/>
          <w:trHeight w:val="555"/>
        </w:trPr>
        <w:tc>
          <w:tcPr>
            <w:tcW w:w="1166" w:type="dxa"/>
            <w:tcBorders>
              <w:top w:val="nil"/>
              <w:left w:val="single" w:sz="8" w:space="0" w:color="auto"/>
              <w:bottom w:val="single" w:sz="8" w:space="0" w:color="auto"/>
              <w:right w:val="single" w:sz="8" w:space="0" w:color="auto"/>
            </w:tcBorders>
            <w:shd w:val="clear" w:color="auto" w:fill="auto"/>
            <w:noWrap/>
            <w:vAlign w:val="center"/>
            <w:hideMark/>
          </w:tcPr>
          <w:p w14:paraId="57C2DD7E"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3.1.5.01.</w:t>
            </w:r>
          </w:p>
        </w:tc>
        <w:tc>
          <w:tcPr>
            <w:tcW w:w="2714" w:type="dxa"/>
            <w:tcBorders>
              <w:top w:val="nil"/>
              <w:left w:val="nil"/>
              <w:bottom w:val="single" w:sz="8" w:space="0" w:color="auto"/>
              <w:right w:val="single" w:sz="8" w:space="0" w:color="auto"/>
            </w:tcBorders>
            <w:shd w:val="clear" w:color="auto" w:fill="auto"/>
            <w:vAlign w:val="center"/>
            <w:hideMark/>
          </w:tcPr>
          <w:p w14:paraId="69B8182B" w14:textId="77777777" w:rsidR="00396CB4" w:rsidRPr="00396CB4" w:rsidRDefault="00396CB4" w:rsidP="00396CB4">
            <w:pPr>
              <w:spacing w:after="0" w:line="240" w:lineRule="auto"/>
              <w:rPr>
                <w:rFonts w:eastAsia="Times New Roman" w:cs="Calibri"/>
                <w:b/>
                <w:bCs/>
                <w:color w:val="000000"/>
                <w:sz w:val="18"/>
                <w:szCs w:val="18"/>
                <w:lang w:eastAsia="es-CR"/>
              </w:rPr>
            </w:pPr>
            <w:r w:rsidRPr="00396CB4">
              <w:rPr>
                <w:rFonts w:eastAsia="Times New Roman" w:cs="Calibri"/>
                <w:b/>
                <w:bCs/>
                <w:color w:val="000000"/>
                <w:sz w:val="18"/>
                <w:szCs w:val="18"/>
                <w:lang w:eastAsia="es-CR"/>
              </w:rPr>
              <w:t>Resultados acumulados de ejercicios anteriores</w:t>
            </w:r>
          </w:p>
        </w:tc>
        <w:tc>
          <w:tcPr>
            <w:tcW w:w="500" w:type="dxa"/>
            <w:tcBorders>
              <w:top w:val="nil"/>
              <w:left w:val="nil"/>
              <w:bottom w:val="single" w:sz="8" w:space="0" w:color="auto"/>
              <w:right w:val="single" w:sz="8" w:space="0" w:color="auto"/>
            </w:tcBorders>
            <w:shd w:val="clear" w:color="auto" w:fill="auto"/>
            <w:noWrap/>
            <w:vAlign w:val="center"/>
            <w:hideMark/>
          </w:tcPr>
          <w:p w14:paraId="56840AF4"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28</w:t>
            </w:r>
          </w:p>
        </w:tc>
        <w:tc>
          <w:tcPr>
            <w:tcW w:w="2100" w:type="dxa"/>
            <w:tcBorders>
              <w:top w:val="nil"/>
              <w:left w:val="nil"/>
              <w:bottom w:val="single" w:sz="8" w:space="0" w:color="auto"/>
              <w:right w:val="single" w:sz="8" w:space="0" w:color="auto"/>
            </w:tcBorders>
            <w:shd w:val="clear" w:color="auto" w:fill="auto"/>
            <w:noWrap/>
            <w:vAlign w:val="center"/>
            <w:hideMark/>
          </w:tcPr>
          <w:p w14:paraId="22A50A9C"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164 115 700,75 </w:t>
            </w:r>
          </w:p>
        </w:tc>
        <w:tc>
          <w:tcPr>
            <w:tcW w:w="2100" w:type="dxa"/>
            <w:tcBorders>
              <w:top w:val="nil"/>
              <w:left w:val="nil"/>
              <w:bottom w:val="single" w:sz="8" w:space="0" w:color="auto"/>
              <w:right w:val="single" w:sz="8" w:space="0" w:color="auto"/>
            </w:tcBorders>
            <w:shd w:val="clear" w:color="auto" w:fill="auto"/>
            <w:noWrap/>
            <w:vAlign w:val="center"/>
            <w:hideMark/>
          </w:tcPr>
          <w:p w14:paraId="3094BF97"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164 277 816,04 </w:t>
            </w:r>
          </w:p>
        </w:tc>
        <w:tc>
          <w:tcPr>
            <w:tcW w:w="1020" w:type="dxa"/>
            <w:tcBorders>
              <w:top w:val="nil"/>
              <w:left w:val="nil"/>
              <w:bottom w:val="single" w:sz="8" w:space="0" w:color="auto"/>
              <w:right w:val="single" w:sz="8" w:space="0" w:color="auto"/>
            </w:tcBorders>
            <w:shd w:val="clear" w:color="auto" w:fill="auto"/>
            <w:noWrap/>
            <w:vAlign w:val="center"/>
            <w:hideMark/>
          </w:tcPr>
          <w:p w14:paraId="5586D12E"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-0,10%</w:t>
            </w:r>
          </w:p>
        </w:tc>
      </w:tr>
    </w:tbl>
    <w:p w14:paraId="6063780A" w14:textId="1A5D0E7B" w:rsidR="00396CB4" w:rsidRDefault="00736E00" w:rsidP="00F51D42">
      <w:pPr>
        <w:spacing w:before="240"/>
        <w:rPr>
          <w:rFonts w:asciiTheme="minorHAnsi" w:hAnsiTheme="minorHAnsi"/>
          <w:sz w:val="22"/>
        </w:rPr>
      </w:pPr>
      <w:r>
        <w:rPr>
          <w:b/>
          <w:bCs/>
          <w:lang w:val="es-ES"/>
        </w:rPr>
        <w:fldChar w:fldCharType="end"/>
      </w:r>
      <w:r>
        <w:rPr>
          <w:b/>
          <w:bCs/>
          <w:lang w:val="es-ES"/>
        </w:rPr>
        <w:fldChar w:fldCharType="begin"/>
      </w:r>
      <w:r>
        <w:rPr>
          <w:b/>
          <w:bCs/>
          <w:lang w:val="es-ES"/>
        </w:rPr>
        <w:instrText xml:space="preserve"> LINK </w:instrText>
      </w:r>
      <w:r w:rsidR="00756467">
        <w:rPr>
          <w:b/>
          <w:bCs/>
          <w:lang w:val="es-ES"/>
        </w:rPr>
        <w:instrText xml:space="preserve">Excel.SheetMacroEnabled.12 "C:\\Users\\gcordero\\Downloads\\Notas diciembre 2024\\Formato_Notas_EEFF_Vinculadas_2024\\Formato_Notas_EEFF_Vinculadas_2024\\15603_T04_2024_Anexo_Estado_Notas_Contables_Vinculadas.xlsm" NOTAS_POR_CUENTA!F210C1:F212C6 </w:instrText>
      </w:r>
      <w:r>
        <w:rPr>
          <w:b/>
          <w:bCs/>
          <w:lang w:val="es-ES"/>
        </w:rPr>
        <w:instrText xml:space="preserve">\a \f 4 \h </w:instrText>
      </w:r>
      <w:r w:rsidR="006245FF">
        <w:rPr>
          <w:b/>
          <w:bCs/>
          <w:lang w:val="es-ES"/>
        </w:rPr>
        <w:instrText xml:space="preserve"> \* MERGEFORMAT </w:instrText>
      </w:r>
      <w:r>
        <w:rPr>
          <w:b/>
          <w:bCs/>
          <w:lang w:val="es-ES"/>
        </w:rPr>
        <w:fldChar w:fldCharType="separate"/>
      </w:r>
    </w:p>
    <w:tbl>
      <w:tblPr>
        <w:tblW w:w="9600" w:type="dxa"/>
        <w:tblCellMar>
          <w:left w:w="70" w:type="dxa"/>
          <w:right w:w="70" w:type="dxa"/>
        </w:tblCellMar>
        <w:tblLook w:val="04A0" w:firstRow="1" w:lastRow="0" w:firstColumn="1" w:lastColumn="0" w:noHBand="0" w:noVBand="1"/>
      </w:tblPr>
      <w:tblGrid>
        <w:gridCol w:w="715"/>
        <w:gridCol w:w="3165"/>
        <w:gridCol w:w="500"/>
        <w:gridCol w:w="2100"/>
        <w:gridCol w:w="2100"/>
        <w:gridCol w:w="1020"/>
      </w:tblGrid>
      <w:tr w:rsidR="00396CB4" w:rsidRPr="00396CB4" w14:paraId="4849DC68" w14:textId="77777777" w:rsidTr="006245FF">
        <w:trPr>
          <w:divId w:val="401370379"/>
          <w:trHeight w:val="330"/>
        </w:trPr>
        <w:tc>
          <w:tcPr>
            <w:tcW w:w="715"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9456C21" w14:textId="46BD1F38" w:rsidR="00396CB4" w:rsidRPr="00396CB4" w:rsidRDefault="00396CB4" w:rsidP="00396CB4">
            <w:pP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3165"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7522100"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4C8F650"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C9E1189"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71390A1"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74A064D9"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393A3EAE" w14:textId="77777777" w:rsidTr="006245FF">
        <w:trPr>
          <w:divId w:val="401370379"/>
          <w:trHeight w:val="330"/>
        </w:trPr>
        <w:tc>
          <w:tcPr>
            <w:tcW w:w="715" w:type="dxa"/>
            <w:vMerge/>
            <w:tcBorders>
              <w:top w:val="single" w:sz="8" w:space="0" w:color="auto"/>
              <w:left w:val="single" w:sz="8" w:space="0" w:color="auto"/>
              <w:bottom w:val="single" w:sz="8" w:space="0" w:color="000000"/>
              <w:right w:val="single" w:sz="8" w:space="0" w:color="auto"/>
            </w:tcBorders>
            <w:vAlign w:val="center"/>
            <w:hideMark/>
          </w:tcPr>
          <w:p w14:paraId="54995A1F"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3165" w:type="dxa"/>
            <w:vMerge/>
            <w:tcBorders>
              <w:top w:val="single" w:sz="8" w:space="0" w:color="auto"/>
              <w:left w:val="single" w:sz="8" w:space="0" w:color="auto"/>
              <w:bottom w:val="single" w:sz="8" w:space="0" w:color="000000"/>
              <w:right w:val="single" w:sz="8" w:space="0" w:color="auto"/>
            </w:tcBorders>
            <w:vAlign w:val="center"/>
            <w:hideMark/>
          </w:tcPr>
          <w:p w14:paraId="1A233706"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540299E6"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02D6F9A8"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0C344121"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4BB35114"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7C8CF5C2" w14:textId="77777777" w:rsidTr="006245FF">
        <w:trPr>
          <w:divId w:val="401370379"/>
          <w:trHeight w:val="330"/>
        </w:trPr>
        <w:tc>
          <w:tcPr>
            <w:tcW w:w="715" w:type="dxa"/>
            <w:tcBorders>
              <w:top w:val="nil"/>
              <w:left w:val="single" w:sz="8" w:space="0" w:color="auto"/>
              <w:bottom w:val="single" w:sz="8" w:space="0" w:color="auto"/>
              <w:right w:val="single" w:sz="8" w:space="0" w:color="auto"/>
            </w:tcBorders>
            <w:shd w:val="clear" w:color="auto" w:fill="auto"/>
            <w:noWrap/>
            <w:vAlign w:val="center"/>
            <w:hideMark/>
          </w:tcPr>
          <w:p w14:paraId="0A835C46"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3.1.5.02.</w:t>
            </w:r>
          </w:p>
        </w:tc>
        <w:tc>
          <w:tcPr>
            <w:tcW w:w="3165" w:type="dxa"/>
            <w:tcBorders>
              <w:top w:val="nil"/>
              <w:left w:val="nil"/>
              <w:bottom w:val="single" w:sz="8" w:space="0" w:color="auto"/>
              <w:right w:val="single" w:sz="8" w:space="0" w:color="auto"/>
            </w:tcBorders>
            <w:shd w:val="clear" w:color="auto" w:fill="auto"/>
            <w:vAlign w:val="center"/>
            <w:hideMark/>
          </w:tcPr>
          <w:p w14:paraId="6C77B2B5" w14:textId="77777777" w:rsidR="00396CB4" w:rsidRPr="00396CB4" w:rsidRDefault="00396CB4" w:rsidP="00396CB4">
            <w:pPr>
              <w:spacing w:after="0" w:line="240" w:lineRule="auto"/>
              <w:rPr>
                <w:rFonts w:eastAsia="Times New Roman" w:cs="Calibri"/>
                <w:b/>
                <w:bCs/>
                <w:color w:val="000000"/>
                <w:sz w:val="18"/>
                <w:szCs w:val="18"/>
                <w:lang w:eastAsia="es-CR"/>
              </w:rPr>
            </w:pPr>
            <w:r w:rsidRPr="00396CB4">
              <w:rPr>
                <w:rFonts w:eastAsia="Times New Roman" w:cs="Calibri"/>
                <w:b/>
                <w:bCs/>
                <w:color w:val="000000"/>
                <w:sz w:val="18"/>
                <w:szCs w:val="18"/>
                <w:lang w:eastAsia="es-CR"/>
              </w:rPr>
              <w:t>Resultado del ejercicio</w:t>
            </w:r>
          </w:p>
        </w:tc>
        <w:tc>
          <w:tcPr>
            <w:tcW w:w="500" w:type="dxa"/>
            <w:tcBorders>
              <w:top w:val="nil"/>
              <w:left w:val="nil"/>
              <w:bottom w:val="single" w:sz="8" w:space="0" w:color="auto"/>
              <w:right w:val="single" w:sz="8" w:space="0" w:color="auto"/>
            </w:tcBorders>
            <w:shd w:val="clear" w:color="auto" w:fill="auto"/>
            <w:noWrap/>
            <w:vAlign w:val="center"/>
            <w:hideMark/>
          </w:tcPr>
          <w:p w14:paraId="470FBC52"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28</w:t>
            </w:r>
          </w:p>
        </w:tc>
        <w:tc>
          <w:tcPr>
            <w:tcW w:w="2100" w:type="dxa"/>
            <w:tcBorders>
              <w:top w:val="nil"/>
              <w:left w:val="nil"/>
              <w:bottom w:val="single" w:sz="8" w:space="0" w:color="auto"/>
              <w:right w:val="single" w:sz="8" w:space="0" w:color="auto"/>
            </w:tcBorders>
            <w:shd w:val="clear" w:color="auto" w:fill="auto"/>
            <w:noWrap/>
            <w:vAlign w:val="center"/>
            <w:hideMark/>
          </w:tcPr>
          <w:p w14:paraId="41B8654A" w14:textId="322E4598" w:rsidR="00396CB4" w:rsidRPr="00396CB4" w:rsidRDefault="006245FF" w:rsidP="00396CB4">
            <w:pPr>
              <w:spacing w:after="0" w:line="240" w:lineRule="auto"/>
              <w:jc w:val="center"/>
              <w:rPr>
                <w:rFonts w:eastAsia="Times New Roman" w:cs="Calibri"/>
                <w:b/>
                <w:bCs/>
                <w:color w:val="000000"/>
                <w:sz w:val="16"/>
                <w:szCs w:val="16"/>
                <w:lang w:eastAsia="es-CR"/>
              </w:rPr>
            </w:pPr>
            <w:r>
              <w:rPr>
                <w:rFonts w:eastAsia="Times New Roman" w:cs="Calibri"/>
                <w:b/>
                <w:bCs/>
                <w:color w:val="000000"/>
                <w:sz w:val="16"/>
                <w:szCs w:val="16"/>
                <w:lang w:eastAsia="es-CR"/>
              </w:rPr>
              <w:t>0.00</w:t>
            </w:r>
          </w:p>
        </w:tc>
        <w:tc>
          <w:tcPr>
            <w:tcW w:w="2100" w:type="dxa"/>
            <w:tcBorders>
              <w:top w:val="nil"/>
              <w:left w:val="nil"/>
              <w:bottom w:val="single" w:sz="8" w:space="0" w:color="auto"/>
              <w:right w:val="single" w:sz="8" w:space="0" w:color="auto"/>
            </w:tcBorders>
            <w:shd w:val="clear" w:color="auto" w:fill="auto"/>
            <w:noWrap/>
            <w:vAlign w:val="center"/>
            <w:hideMark/>
          </w:tcPr>
          <w:p w14:paraId="5A129701" w14:textId="77F6363E" w:rsidR="00396CB4" w:rsidRPr="00396CB4" w:rsidRDefault="006245FF" w:rsidP="00396CB4">
            <w:pPr>
              <w:spacing w:after="0" w:line="240" w:lineRule="auto"/>
              <w:jc w:val="center"/>
              <w:rPr>
                <w:rFonts w:eastAsia="Times New Roman" w:cs="Calibri"/>
                <w:b/>
                <w:bCs/>
                <w:color w:val="000000"/>
                <w:sz w:val="16"/>
                <w:szCs w:val="16"/>
                <w:lang w:eastAsia="es-CR"/>
              </w:rPr>
            </w:pPr>
            <w:r>
              <w:rPr>
                <w:rFonts w:eastAsia="Times New Roman" w:cs="Calibri"/>
                <w:b/>
                <w:bCs/>
                <w:color w:val="000000"/>
                <w:sz w:val="16"/>
                <w:szCs w:val="16"/>
                <w:lang w:eastAsia="es-CR"/>
              </w:rPr>
              <w:t>0.00</w:t>
            </w:r>
          </w:p>
        </w:tc>
        <w:tc>
          <w:tcPr>
            <w:tcW w:w="1020" w:type="dxa"/>
            <w:tcBorders>
              <w:top w:val="nil"/>
              <w:left w:val="nil"/>
              <w:bottom w:val="single" w:sz="8" w:space="0" w:color="auto"/>
              <w:right w:val="single" w:sz="8" w:space="0" w:color="auto"/>
            </w:tcBorders>
            <w:shd w:val="clear" w:color="auto" w:fill="auto"/>
            <w:noWrap/>
            <w:vAlign w:val="center"/>
            <w:hideMark/>
          </w:tcPr>
          <w:p w14:paraId="1637FA60" w14:textId="23D0E3CD" w:rsidR="00396CB4" w:rsidRPr="00396CB4" w:rsidRDefault="006245FF" w:rsidP="00396CB4">
            <w:pPr>
              <w:spacing w:after="0" w:line="240" w:lineRule="auto"/>
              <w:jc w:val="center"/>
              <w:rPr>
                <w:rFonts w:eastAsia="Times New Roman" w:cs="Calibri"/>
                <w:b/>
                <w:bCs/>
                <w:color w:val="000000"/>
                <w:sz w:val="18"/>
                <w:szCs w:val="18"/>
                <w:lang w:eastAsia="es-CR"/>
              </w:rPr>
            </w:pPr>
            <w:r>
              <w:rPr>
                <w:rFonts w:eastAsia="Times New Roman" w:cs="Calibri"/>
                <w:b/>
                <w:bCs/>
                <w:color w:val="000000"/>
                <w:sz w:val="18"/>
                <w:szCs w:val="18"/>
                <w:lang w:eastAsia="es-CR"/>
              </w:rPr>
              <w:t>0.00</w:t>
            </w:r>
            <w:r w:rsidR="00396CB4" w:rsidRPr="00396CB4">
              <w:rPr>
                <w:rFonts w:eastAsia="Times New Roman" w:cs="Calibri"/>
                <w:b/>
                <w:bCs/>
                <w:color w:val="000000"/>
                <w:sz w:val="18"/>
                <w:szCs w:val="18"/>
                <w:lang w:eastAsia="es-CR"/>
              </w:rPr>
              <w:t>%</w:t>
            </w:r>
          </w:p>
        </w:tc>
      </w:tr>
    </w:tbl>
    <w:p w14:paraId="5F675BD5" w14:textId="77777777" w:rsidR="00396CB4" w:rsidRPr="00396CB4" w:rsidRDefault="00736E00" w:rsidP="00396CB4">
      <w:pPr>
        <w:spacing w:before="240"/>
        <w:rPr>
          <w:b/>
          <w:bCs/>
          <w:lang w:val="es-ES"/>
        </w:rPr>
      </w:pPr>
      <w:r>
        <w:rPr>
          <w:b/>
          <w:bCs/>
          <w:lang w:val="es-ES"/>
        </w:rPr>
        <w:fldChar w:fldCharType="end"/>
      </w:r>
      <w:r w:rsidRPr="00692DC8">
        <w:rPr>
          <w:b/>
          <w:bCs/>
          <w:lang w:val="es-ES"/>
        </w:rPr>
        <w:t xml:space="preserve"> </w:t>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756467">
        <w:rPr>
          <w:rFonts w:eastAsia="Times New Roman" w:cs="Calibri"/>
          <w:color w:val="000000"/>
          <w:lang w:eastAsia="es-CR"/>
        </w:rPr>
        <w:instrText xml:space="preserve">Excel.SheetMacroEnabled.12 "C:\\Users\\gcordero\\Downloads\\Notas diciembre 2024\\Formato_Notas_EEFF_Vinculadas_2024\\Formato_Notas_EEFF_Vinculadas_2024\\15603_T04_2024_Anexo_Estado_Notas_Contables_Vinculadas.xlsm" NOTAS_POR_CUENTA!F204C8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07A75CC1" w14:textId="00766489" w:rsidR="00396CB4" w:rsidRPr="00396CB4" w:rsidRDefault="00396CB4" w:rsidP="00396CB4">
      <w:pPr>
        <w:rPr>
          <w:rFonts w:eastAsia="Times New Roman" w:cs="Calibri"/>
          <w:color w:val="000000"/>
          <w:lang w:eastAsia="es-CR"/>
        </w:rPr>
      </w:pPr>
      <w:r w:rsidRPr="00396CB4">
        <w:rPr>
          <w:rFonts w:eastAsia="Times New Roman" w:cs="Calibri"/>
          <w:color w:val="000000"/>
          <w:lang w:eastAsia="es-CR"/>
        </w:rPr>
        <w:t xml:space="preserve">La cuenta Resultados acumulados, representa el 100,00% del total del Capital, que comparado al periodo anterior genera una variación absoluta de 523 959,75 que corresponde </w:t>
      </w:r>
      <w:r w:rsidR="00AC449D">
        <w:rPr>
          <w:rFonts w:eastAsia="Times New Roman" w:cs="Calibri"/>
          <w:color w:val="000000"/>
          <w:lang w:eastAsia="es-CR"/>
        </w:rPr>
        <w:t>a una disminución</w:t>
      </w:r>
      <w:r w:rsidRPr="00396CB4">
        <w:rPr>
          <w:rFonts w:eastAsia="Times New Roman" w:cs="Calibri"/>
          <w:color w:val="000000"/>
          <w:lang w:eastAsia="es-CR"/>
        </w:rPr>
        <w:t xml:space="preserve"> del 0,</w:t>
      </w:r>
      <w:r w:rsidR="00AC449D">
        <w:rPr>
          <w:rFonts w:eastAsia="Times New Roman" w:cs="Calibri"/>
          <w:color w:val="000000"/>
          <w:lang w:eastAsia="es-CR"/>
        </w:rPr>
        <w:t>10</w:t>
      </w:r>
      <w:r w:rsidRPr="00396CB4">
        <w:rPr>
          <w:rFonts w:eastAsia="Times New Roman" w:cs="Calibri"/>
          <w:color w:val="000000"/>
          <w:lang w:eastAsia="es-CR"/>
        </w:rPr>
        <w:t>% de recursos disponibles.</w:t>
      </w:r>
    </w:p>
    <w:p w14:paraId="6196ED55" w14:textId="5F4A5648" w:rsidR="00692DC8" w:rsidRPr="00692DC8" w:rsidRDefault="00736E00" w:rsidP="00736E00">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264B3731" w14:textId="77777777" w:rsidR="00692DC8" w:rsidRPr="00692DC8" w:rsidRDefault="00692DC8" w:rsidP="005012F5">
      <w:pPr>
        <w:rPr>
          <w:i/>
        </w:rPr>
      </w:pPr>
    </w:p>
    <w:p w14:paraId="2E912047" w14:textId="77777777" w:rsidR="00692DC8" w:rsidRPr="00692DC8" w:rsidRDefault="00692DC8" w:rsidP="005012F5">
      <w:pPr>
        <w:pStyle w:val="Ttulo4"/>
        <w:spacing w:after="240"/>
        <w:rPr>
          <w:rFonts w:eastAsia="Times New Roman"/>
        </w:rPr>
      </w:pPr>
      <w:bookmarkStart w:id="531" w:name="_Toc33601249"/>
      <w:bookmarkStart w:id="532" w:name="_Toc82768964"/>
      <w:bookmarkStart w:id="533" w:name="_Toc189804865"/>
      <w:r w:rsidRPr="00692DC8">
        <w:rPr>
          <w:rFonts w:eastAsia="Times New Roman"/>
        </w:rPr>
        <w:t>NOTA N° 29</w:t>
      </w:r>
      <w:bookmarkEnd w:id="529"/>
      <w:bookmarkEnd w:id="530"/>
      <w:bookmarkEnd w:id="531"/>
      <w:bookmarkEnd w:id="532"/>
      <w:bookmarkEnd w:id="533"/>
    </w:p>
    <w:p w14:paraId="529DE0E7" w14:textId="77777777" w:rsidR="00396CB4" w:rsidRDefault="00692DC8" w:rsidP="00F51D42">
      <w:pPr>
        <w:spacing w:before="240"/>
        <w:rPr>
          <w:rFonts w:asciiTheme="minorHAnsi" w:hAnsiTheme="minorHAnsi"/>
          <w:sz w:val="22"/>
        </w:rPr>
      </w:pPr>
      <w:bookmarkStart w:id="534" w:name="_Toc82768965"/>
      <w:r w:rsidRPr="00692DC8">
        <w:rPr>
          <w:rFonts w:eastAsia="Times New Roman"/>
        </w:rPr>
        <w:t>Intereses minoritarios - Participaciones en el patrimonio de entidades controladas</w:t>
      </w:r>
      <w:bookmarkStart w:id="535" w:name="_Toc13041186"/>
      <w:bookmarkStart w:id="536" w:name="_Toc14345185"/>
      <w:bookmarkEnd w:id="534"/>
      <w:r w:rsidR="00D5131A">
        <w:rPr>
          <w:rFonts w:eastAsiaTheme="majorEastAsia" w:cstheme="majorBidi"/>
          <w:iCs/>
          <w:lang w:val="es-ES"/>
        </w:rPr>
        <w:fldChar w:fldCharType="begin"/>
      </w:r>
      <w:r w:rsidR="00D5131A">
        <w:rPr>
          <w:lang w:val="es-ES"/>
        </w:rPr>
        <w:instrText xml:space="preserve"> LINK </w:instrText>
      </w:r>
      <w:r w:rsidR="00756467">
        <w:rPr>
          <w:lang w:val="es-ES"/>
        </w:rPr>
        <w:instrText xml:space="preserve">Excel.SheetMacroEnabled.12 "C:\\Users\\gcordero\\Downloads\\Notas diciembre 2024\\Formato_Notas_EEFF_Vinculadas_2024\\Formato_Notas_EEFF_Vinculadas_2024\\15603_T04_2024_Anexo_Estado_Notas_Contables_Vinculadas.xlsm" NOTAS_POR_CUENTA!F214C1:F216C6 </w:instrText>
      </w:r>
      <w:r w:rsidR="00D5131A">
        <w:rPr>
          <w:lang w:val="es-ES"/>
        </w:rPr>
        <w:instrText xml:space="preserve">\a \f 4 \h </w:instrText>
      </w:r>
      <w:r w:rsidR="00D5131A">
        <w:rPr>
          <w:b/>
          <w:lang w:val="es-ES"/>
        </w:rPr>
        <w:fldChar w:fldCharType="separate"/>
      </w:r>
    </w:p>
    <w:tbl>
      <w:tblPr>
        <w:tblW w:w="9600" w:type="dxa"/>
        <w:tblCellMar>
          <w:left w:w="70" w:type="dxa"/>
          <w:right w:w="70" w:type="dxa"/>
        </w:tblCellMar>
        <w:tblLook w:val="04A0" w:firstRow="1" w:lastRow="0" w:firstColumn="1" w:lastColumn="0" w:noHBand="0" w:noVBand="1"/>
      </w:tblPr>
      <w:tblGrid>
        <w:gridCol w:w="1538"/>
        <w:gridCol w:w="2342"/>
        <w:gridCol w:w="500"/>
        <w:gridCol w:w="2100"/>
        <w:gridCol w:w="2100"/>
        <w:gridCol w:w="1020"/>
      </w:tblGrid>
      <w:tr w:rsidR="00396CB4" w:rsidRPr="00396CB4" w14:paraId="78B147F4" w14:textId="77777777" w:rsidTr="00396CB4">
        <w:trPr>
          <w:divId w:val="2055228512"/>
          <w:trHeight w:val="330"/>
        </w:trPr>
        <w:tc>
          <w:tcPr>
            <w:tcW w:w="1538"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C3FCB11" w14:textId="4720DBD2" w:rsidR="00396CB4" w:rsidRPr="00396CB4" w:rsidRDefault="00396CB4" w:rsidP="00396CB4">
            <w:pP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2342"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65E00AC"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F4CBAD8"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DA8F40A"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5A72257"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77DD1D13"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4F0D3414" w14:textId="77777777" w:rsidTr="00396CB4">
        <w:trPr>
          <w:divId w:val="2055228512"/>
          <w:trHeight w:val="330"/>
        </w:trPr>
        <w:tc>
          <w:tcPr>
            <w:tcW w:w="1538" w:type="dxa"/>
            <w:vMerge/>
            <w:tcBorders>
              <w:top w:val="single" w:sz="8" w:space="0" w:color="auto"/>
              <w:left w:val="single" w:sz="8" w:space="0" w:color="auto"/>
              <w:bottom w:val="single" w:sz="8" w:space="0" w:color="000000"/>
              <w:right w:val="single" w:sz="8" w:space="0" w:color="auto"/>
            </w:tcBorders>
            <w:vAlign w:val="center"/>
            <w:hideMark/>
          </w:tcPr>
          <w:p w14:paraId="442244C4"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342" w:type="dxa"/>
            <w:vMerge/>
            <w:tcBorders>
              <w:top w:val="single" w:sz="8" w:space="0" w:color="auto"/>
              <w:left w:val="single" w:sz="8" w:space="0" w:color="auto"/>
              <w:bottom w:val="single" w:sz="8" w:space="0" w:color="000000"/>
              <w:right w:val="single" w:sz="8" w:space="0" w:color="auto"/>
            </w:tcBorders>
            <w:vAlign w:val="center"/>
            <w:hideMark/>
          </w:tcPr>
          <w:p w14:paraId="71B4E70C"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44109B04"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4C17B268"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44242456"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3992C7F1"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22D4572B" w14:textId="77777777" w:rsidTr="00396CB4">
        <w:trPr>
          <w:divId w:val="2055228512"/>
          <w:trHeight w:val="555"/>
        </w:trPr>
        <w:tc>
          <w:tcPr>
            <w:tcW w:w="1538" w:type="dxa"/>
            <w:tcBorders>
              <w:top w:val="nil"/>
              <w:left w:val="single" w:sz="8" w:space="0" w:color="auto"/>
              <w:bottom w:val="single" w:sz="8" w:space="0" w:color="auto"/>
              <w:right w:val="single" w:sz="8" w:space="0" w:color="auto"/>
            </w:tcBorders>
            <w:shd w:val="clear" w:color="auto" w:fill="auto"/>
            <w:noWrap/>
            <w:vAlign w:val="center"/>
            <w:hideMark/>
          </w:tcPr>
          <w:p w14:paraId="4893C0B3"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3.2.1.</w:t>
            </w:r>
          </w:p>
        </w:tc>
        <w:tc>
          <w:tcPr>
            <w:tcW w:w="2342" w:type="dxa"/>
            <w:tcBorders>
              <w:top w:val="nil"/>
              <w:left w:val="nil"/>
              <w:bottom w:val="single" w:sz="8" w:space="0" w:color="auto"/>
              <w:right w:val="single" w:sz="8" w:space="0" w:color="auto"/>
            </w:tcBorders>
            <w:shd w:val="clear" w:color="auto" w:fill="auto"/>
            <w:vAlign w:val="center"/>
            <w:hideMark/>
          </w:tcPr>
          <w:p w14:paraId="67548045" w14:textId="77777777" w:rsidR="00396CB4" w:rsidRPr="00396CB4" w:rsidRDefault="00396CB4" w:rsidP="00396CB4">
            <w:pPr>
              <w:spacing w:after="0" w:line="240" w:lineRule="auto"/>
              <w:rPr>
                <w:rFonts w:eastAsia="Times New Roman" w:cs="Calibri"/>
                <w:b/>
                <w:bCs/>
                <w:color w:val="000000"/>
                <w:sz w:val="18"/>
                <w:szCs w:val="18"/>
                <w:lang w:eastAsia="es-CR"/>
              </w:rPr>
            </w:pPr>
            <w:r w:rsidRPr="00396CB4">
              <w:rPr>
                <w:rFonts w:eastAsia="Times New Roman" w:cs="Calibri"/>
                <w:b/>
                <w:bCs/>
                <w:color w:val="000000"/>
                <w:sz w:val="18"/>
                <w:szCs w:val="18"/>
                <w:lang w:eastAsia="es-CR"/>
              </w:rPr>
              <w:t>Intereses minoritarios - Participaciones en el patrimonio de entidades controladas</w:t>
            </w:r>
          </w:p>
        </w:tc>
        <w:tc>
          <w:tcPr>
            <w:tcW w:w="500" w:type="dxa"/>
            <w:tcBorders>
              <w:top w:val="nil"/>
              <w:left w:val="nil"/>
              <w:bottom w:val="single" w:sz="8" w:space="0" w:color="auto"/>
              <w:right w:val="single" w:sz="8" w:space="0" w:color="auto"/>
            </w:tcBorders>
            <w:shd w:val="clear" w:color="auto" w:fill="auto"/>
            <w:noWrap/>
            <w:vAlign w:val="center"/>
            <w:hideMark/>
          </w:tcPr>
          <w:p w14:paraId="2FC9D0D4"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29</w:t>
            </w:r>
          </w:p>
        </w:tc>
        <w:tc>
          <w:tcPr>
            <w:tcW w:w="2100" w:type="dxa"/>
            <w:tcBorders>
              <w:top w:val="nil"/>
              <w:left w:val="nil"/>
              <w:bottom w:val="single" w:sz="8" w:space="0" w:color="auto"/>
              <w:right w:val="single" w:sz="8" w:space="0" w:color="auto"/>
            </w:tcBorders>
            <w:shd w:val="clear" w:color="auto" w:fill="auto"/>
            <w:noWrap/>
            <w:vAlign w:val="center"/>
            <w:hideMark/>
          </w:tcPr>
          <w:p w14:paraId="6C5D0EDC"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2100" w:type="dxa"/>
            <w:tcBorders>
              <w:top w:val="nil"/>
              <w:left w:val="nil"/>
              <w:bottom w:val="single" w:sz="8" w:space="0" w:color="auto"/>
              <w:right w:val="single" w:sz="8" w:space="0" w:color="auto"/>
            </w:tcBorders>
            <w:shd w:val="clear" w:color="auto" w:fill="auto"/>
            <w:noWrap/>
            <w:vAlign w:val="center"/>
            <w:hideMark/>
          </w:tcPr>
          <w:p w14:paraId="490FF074"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1020" w:type="dxa"/>
            <w:tcBorders>
              <w:top w:val="nil"/>
              <w:left w:val="nil"/>
              <w:bottom w:val="single" w:sz="8" w:space="0" w:color="auto"/>
              <w:right w:val="single" w:sz="8" w:space="0" w:color="auto"/>
            </w:tcBorders>
            <w:shd w:val="clear" w:color="auto" w:fill="auto"/>
            <w:noWrap/>
            <w:vAlign w:val="center"/>
            <w:hideMark/>
          </w:tcPr>
          <w:p w14:paraId="03886697"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0,00%</w:t>
            </w:r>
          </w:p>
        </w:tc>
      </w:tr>
    </w:tbl>
    <w:p w14:paraId="7C717410" w14:textId="77777777" w:rsidR="00396CB4" w:rsidRPr="00396CB4" w:rsidRDefault="00D5131A" w:rsidP="00396CB4">
      <w:pPr>
        <w:spacing w:before="240"/>
        <w:rPr>
          <w:b/>
          <w:lang w:val="es-ES"/>
        </w:rPr>
      </w:pPr>
      <w:r>
        <w:rPr>
          <w:b/>
          <w:lang w:val="es-ES"/>
        </w:rPr>
        <w:fldChar w:fldCharType="end"/>
      </w:r>
      <w:r w:rsidR="00692DC8" w:rsidRPr="005012F5">
        <w:rPr>
          <w:b/>
          <w:lang w:val="es-ES"/>
        </w:rPr>
        <w:t xml:space="preserve">Revelación: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756467">
        <w:rPr>
          <w:rFonts w:eastAsia="Times New Roman" w:cs="Calibri"/>
          <w:color w:val="000000"/>
          <w:lang w:eastAsia="es-CR"/>
        </w:rPr>
        <w:instrText xml:space="preserve">Excel.SheetMacroEnabled.12 "C:\\Users\\gcordero\\Downloads\\Notas diciembre 2024\\Formato_Notas_EEFF_Vinculadas_2024\\Formato_Notas_EEFF_Vinculadas_2024\\15603_T04_2024_Anexo_Estado_Notas_Contables_Vinculadas.xlsm" NOTAS_POR_CUENTA!F216C8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38AAAE2A" w14:textId="77777777" w:rsidR="00396CB4" w:rsidRPr="00396CB4" w:rsidRDefault="00396CB4" w:rsidP="00396CB4">
      <w:pPr>
        <w:rPr>
          <w:rFonts w:eastAsia="Times New Roman" w:cs="Calibri"/>
          <w:color w:val="000000"/>
          <w:lang w:eastAsia="es-CR"/>
        </w:rPr>
      </w:pPr>
      <w:r w:rsidRPr="00396CB4">
        <w:rPr>
          <w:rFonts w:eastAsia="Times New Roman" w:cs="Calibri"/>
          <w:color w:val="000000"/>
          <w:lang w:eastAsia="es-CR"/>
        </w:rPr>
        <w:t>La cuenta Intereses minoritarios - Participaciones en el patrimonio de entidades controladas, representa el 0,00% del total del Capital, que comparado al periodo anterior genera una variación absoluta de 0 000,00 que corresponde a un Aumento del 0,00% de recursos disponibles.</w:t>
      </w:r>
    </w:p>
    <w:p w14:paraId="43986355" w14:textId="44E9D43E" w:rsidR="00692DC8" w:rsidRDefault="00D5131A" w:rsidP="00D5131A">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5B2D9179" w14:textId="77777777" w:rsidR="005012F5" w:rsidRPr="005012F5" w:rsidRDefault="005012F5" w:rsidP="005012F5">
      <w:pPr>
        <w:rPr>
          <w:rFonts w:eastAsiaTheme="minorEastAsia" w:cs="Arial Narrow"/>
          <w:color w:val="000000"/>
          <w:lang w:eastAsia="es-CR"/>
        </w:rPr>
      </w:pPr>
    </w:p>
    <w:p w14:paraId="482779C9" w14:textId="4FD494BE" w:rsidR="00692DC8" w:rsidRPr="00692DC8" w:rsidRDefault="00692DC8" w:rsidP="005012F5">
      <w:pPr>
        <w:pStyle w:val="Ttulo4"/>
        <w:spacing w:after="240"/>
        <w:rPr>
          <w:rFonts w:eastAsia="Times New Roman"/>
        </w:rPr>
      </w:pPr>
      <w:bookmarkStart w:id="537" w:name="_Toc33601250"/>
      <w:bookmarkStart w:id="538" w:name="_Toc82768966"/>
      <w:bookmarkStart w:id="539" w:name="_Toc189804866"/>
      <w:r w:rsidRPr="00692DC8">
        <w:rPr>
          <w:rFonts w:eastAsia="Times New Roman"/>
        </w:rPr>
        <w:lastRenderedPageBreak/>
        <w:t xml:space="preserve">NOTA N° </w:t>
      </w:r>
      <w:r w:rsidR="00796636">
        <w:rPr>
          <w:rFonts w:eastAsia="Times New Roman"/>
        </w:rPr>
        <w:t>31</w:t>
      </w:r>
      <w:bookmarkEnd w:id="535"/>
      <w:bookmarkEnd w:id="536"/>
      <w:bookmarkEnd w:id="537"/>
      <w:bookmarkEnd w:id="538"/>
      <w:bookmarkEnd w:id="539"/>
    </w:p>
    <w:p w14:paraId="1DA7650E" w14:textId="77777777" w:rsidR="00396CB4" w:rsidRDefault="00692DC8" w:rsidP="00F51D42">
      <w:pPr>
        <w:spacing w:before="240"/>
        <w:rPr>
          <w:rFonts w:asciiTheme="minorHAnsi" w:hAnsiTheme="minorHAnsi"/>
          <w:sz w:val="22"/>
        </w:rPr>
      </w:pPr>
      <w:bookmarkStart w:id="540" w:name="_Toc82768967"/>
      <w:r w:rsidRPr="00692DC8">
        <w:rPr>
          <w:rFonts w:eastAsia="Times New Roman"/>
        </w:rPr>
        <w:t>Intereses minoritarios – Evolución</w:t>
      </w:r>
      <w:bookmarkEnd w:id="540"/>
      <w:r w:rsidR="00D5131A">
        <w:rPr>
          <w:rFonts w:eastAsiaTheme="majorEastAsia" w:cstheme="majorBidi"/>
          <w:iCs/>
          <w:lang w:val="es-ES"/>
        </w:rPr>
        <w:fldChar w:fldCharType="begin"/>
      </w:r>
      <w:r w:rsidR="00D5131A">
        <w:rPr>
          <w:lang w:val="es-ES"/>
        </w:rPr>
        <w:instrText xml:space="preserve"> LINK </w:instrText>
      </w:r>
      <w:r w:rsidR="00756467">
        <w:rPr>
          <w:lang w:val="es-ES"/>
        </w:rPr>
        <w:instrText xml:space="preserve">Excel.SheetMacroEnabled.12 "C:\\Users\\gcordero\\Downloads\\Notas diciembre 2024\\Formato_Notas_EEFF_Vinculadas_2024\\Formato_Notas_EEFF_Vinculadas_2024\\15603_T04_2024_Anexo_Estado_Notas_Contables_Vinculadas.xlsm" NOTAS_POR_CUENTA!F218C1:F220C6 </w:instrText>
      </w:r>
      <w:r w:rsidR="00D5131A">
        <w:rPr>
          <w:lang w:val="es-ES"/>
        </w:rPr>
        <w:instrText xml:space="preserve">\a \f 4 \h </w:instrText>
      </w:r>
      <w:r w:rsidR="00D5131A">
        <w:rPr>
          <w:b/>
          <w:lang w:val="es-ES"/>
        </w:rPr>
        <w:fldChar w:fldCharType="separate"/>
      </w:r>
    </w:p>
    <w:tbl>
      <w:tblPr>
        <w:tblW w:w="9600" w:type="dxa"/>
        <w:tblCellMar>
          <w:left w:w="70" w:type="dxa"/>
          <w:right w:w="70" w:type="dxa"/>
        </w:tblCellMar>
        <w:tblLook w:val="04A0" w:firstRow="1" w:lastRow="0" w:firstColumn="1" w:lastColumn="0" w:noHBand="0" w:noVBand="1"/>
      </w:tblPr>
      <w:tblGrid>
        <w:gridCol w:w="1374"/>
        <w:gridCol w:w="2506"/>
        <w:gridCol w:w="500"/>
        <w:gridCol w:w="2100"/>
        <w:gridCol w:w="2100"/>
        <w:gridCol w:w="1020"/>
      </w:tblGrid>
      <w:tr w:rsidR="00396CB4" w:rsidRPr="00396CB4" w14:paraId="6D23117D" w14:textId="77777777" w:rsidTr="00396CB4">
        <w:trPr>
          <w:divId w:val="169610575"/>
          <w:trHeight w:val="330"/>
        </w:trPr>
        <w:tc>
          <w:tcPr>
            <w:tcW w:w="1374"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15943CB" w14:textId="45711109" w:rsidR="00396CB4" w:rsidRPr="00396CB4" w:rsidRDefault="00396CB4" w:rsidP="00396CB4">
            <w:pP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2506"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88A8DAD"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669F1E6"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971EC69"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287222D"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453714BB"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4EA512CB" w14:textId="77777777" w:rsidTr="00396CB4">
        <w:trPr>
          <w:divId w:val="169610575"/>
          <w:trHeight w:val="330"/>
        </w:trPr>
        <w:tc>
          <w:tcPr>
            <w:tcW w:w="1374" w:type="dxa"/>
            <w:vMerge/>
            <w:tcBorders>
              <w:top w:val="single" w:sz="8" w:space="0" w:color="auto"/>
              <w:left w:val="single" w:sz="8" w:space="0" w:color="auto"/>
              <w:bottom w:val="single" w:sz="8" w:space="0" w:color="000000"/>
              <w:right w:val="single" w:sz="8" w:space="0" w:color="auto"/>
            </w:tcBorders>
            <w:vAlign w:val="center"/>
            <w:hideMark/>
          </w:tcPr>
          <w:p w14:paraId="7562D427"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506" w:type="dxa"/>
            <w:vMerge/>
            <w:tcBorders>
              <w:top w:val="single" w:sz="8" w:space="0" w:color="auto"/>
              <w:left w:val="single" w:sz="8" w:space="0" w:color="auto"/>
              <w:bottom w:val="single" w:sz="8" w:space="0" w:color="000000"/>
              <w:right w:val="single" w:sz="8" w:space="0" w:color="auto"/>
            </w:tcBorders>
            <w:vAlign w:val="center"/>
            <w:hideMark/>
          </w:tcPr>
          <w:p w14:paraId="6B71E429"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0B4AECD0"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546B9B0A"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3F27A04E"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6E3DA9B9"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582CB037" w14:textId="77777777" w:rsidTr="00396CB4">
        <w:trPr>
          <w:divId w:val="169610575"/>
          <w:trHeight w:val="330"/>
        </w:trPr>
        <w:tc>
          <w:tcPr>
            <w:tcW w:w="1374" w:type="dxa"/>
            <w:tcBorders>
              <w:top w:val="nil"/>
              <w:left w:val="single" w:sz="8" w:space="0" w:color="auto"/>
              <w:bottom w:val="single" w:sz="8" w:space="0" w:color="auto"/>
              <w:right w:val="single" w:sz="8" w:space="0" w:color="auto"/>
            </w:tcBorders>
            <w:shd w:val="clear" w:color="auto" w:fill="auto"/>
            <w:noWrap/>
            <w:vAlign w:val="center"/>
            <w:hideMark/>
          </w:tcPr>
          <w:p w14:paraId="2DCEE7DD"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3.2.2.</w:t>
            </w:r>
          </w:p>
        </w:tc>
        <w:tc>
          <w:tcPr>
            <w:tcW w:w="2506" w:type="dxa"/>
            <w:tcBorders>
              <w:top w:val="nil"/>
              <w:left w:val="nil"/>
              <w:bottom w:val="single" w:sz="8" w:space="0" w:color="auto"/>
              <w:right w:val="single" w:sz="8" w:space="0" w:color="auto"/>
            </w:tcBorders>
            <w:shd w:val="clear" w:color="auto" w:fill="auto"/>
            <w:vAlign w:val="center"/>
            <w:hideMark/>
          </w:tcPr>
          <w:p w14:paraId="75A1D542" w14:textId="77777777" w:rsidR="00396CB4" w:rsidRPr="00396CB4" w:rsidRDefault="00396CB4" w:rsidP="00396CB4">
            <w:pPr>
              <w:spacing w:after="0" w:line="240" w:lineRule="auto"/>
              <w:rPr>
                <w:rFonts w:eastAsia="Times New Roman" w:cs="Calibri"/>
                <w:b/>
                <w:bCs/>
                <w:color w:val="000000"/>
                <w:sz w:val="18"/>
                <w:szCs w:val="18"/>
                <w:lang w:eastAsia="es-CR"/>
              </w:rPr>
            </w:pPr>
            <w:r w:rsidRPr="00396CB4">
              <w:rPr>
                <w:rFonts w:eastAsia="Times New Roman" w:cs="Calibri"/>
                <w:b/>
                <w:bCs/>
                <w:color w:val="000000"/>
                <w:sz w:val="18"/>
                <w:szCs w:val="18"/>
                <w:lang w:eastAsia="es-CR"/>
              </w:rPr>
              <w:t>Intereses minoritarios - Evolución</w:t>
            </w:r>
          </w:p>
        </w:tc>
        <w:tc>
          <w:tcPr>
            <w:tcW w:w="500" w:type="dxa"/>
            <w:tcBorders>
              <w:top w:val="nil"/>
              <w:left w:val="nil"/>
              <w:bottom w:val="single" w:sz="8" w:space="0" w:color="auto"/>
              <w:right w:val="single" w:sz="8" w:space="0" w:color="auto"/>
            </w:tcBorders>
            <w:shd w:val="clear" w:color="auto" w:fill="auto"/>
            <w:noWrap/>
            <w:vAlign w:val="center"/>
            <w:hideMark/>
          </w:tcPr>
          <w:p w14:paraId="5C7F4C39" w14:textId="771285B3" w:rsidR="00396CB4" w:rsidRPr="00396CB4" w:rsidRDefault="00796636" w:rsidP="00396CB4">
            <w:pPr>
              <w:spacing w:after="0" w:line="240" w:lineRule="auto"/>
              <w:jc w:val="center"/>
              <w:rPr>
                <w:rFonts w:eastAsia="Times New Roman" w:cs="Calibri"/>
                <w:b/>
                <w:bCs/>
                <w:color w:val="000000"/>
                <w:sz w:val="18"/>
                <w:szCs w:val="18"/>
                <w:lang w:eastAsia="es-CR"/>
              </w:rPr>
            </w:pPr>
            <w:r>
              <w:rPr>
                <w:rFonts w:eastAsia="Times New Roman" w:cs="Calibri"/>
                <w:b/>
                <w:bCs/>
                <w:color w:val="000000"/>
                <w:sz w:val="18"/>
                <w:szCs w:val="18"/>
                <w:lang w:eastAsia="es-CR"/>
              </w:rPr>
              <w:t>31</w:t>
            </w:r>
          </w:p>
        </w:tc>
        <w:tc>
          <w:tcPr>
            <w:tcW w:w="2100" w:type="dxa"/>
            <w:tcBorders>
              <w:top w:val="nil"/>
              <w:left w:val="nil"/>
              <w:bottom w:val="single" w:sz="8" w:space="0" w:color="auto"/>
              <w:right w:val="single" w:sz="8" w:space="0" w:color="auto"/>
            </w:tcBorders>
            <w:shd w:val="clear" w:color="auto" w:fill="auto"/>
            <w:noWrap/>
            <w:vAlign w:val="center"/>
            <w:hideMark/>
          </w:tcPr>
          <w:p w14:paraId="1A9BFB4E"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2100" w:type="dxa"/>
            <w:tcBorders>
              <w:top w:val="nil"/>
              <w:left w:val="nil"/>
              <w:bottom w:val="single" w:sz="8" w:space="0" w:color="auto"/>
              <w:right w:val="single" w:sz="8" w:space="0" w:color="auto"/>
            </w:tcBorders>
            <w:shd w:val="clear" w:color="auto" w:fill="auto"/>
            <w:noWrap/>
            <w:vAlign w:val="center"/>
            <w:hideMark/>
          </w:tcPr>
          <w:p w14:paraId="6D049595"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1020" w:type="dxa"/>
            <w:tcBorders>
              <w:top w:val="nil"/>
              <w:left w:val="nil"/>
              <w:bottom w:val="single" w:sz="8" w:space="0" w:color="auto"/>
              <w:right w:val="single" w:sz="8" w:space="0" w:color="auto"/>
            </w:tcBorders>
            <w:shd w:val="clear" w:color="auto" w:fill="auto"/>
            <w:noWrap/>
            <w:vAlign w:val="center"/>
            <w:hideMark/>
          </w:tcPr>
          <w:p w14:paraId="63EB6273"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0,00%</w:t>
            </w:r>
          </w:p>
        </w:tc>
      </w:tr>
    </w:tbl>
    <w:p w14:paraId="238C041F" w14:textId="77777777" w:rsidR="00396CB4" w:rsidRPr="00396CB4" w:rsidRDefault="00D5131A" w:rsidP="00396CB4">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sidR="00257A5D">
        <w:rPr>
          <w:rFonts w:eastAsia="Times New Roman" w:cs="Calibri"/>
          <w:color w:val="000000"/>
          <w:lang w:eastAsia="es-CR"/>
        </w:rPr>
        <w:fldChar w:fldCharType="begin"/>
      </w:r>
      <w:r w:rsidR="00257A5D">
        <w:rPr>
          <w:rFonts w:eastAsia="Times New Roman" w:cs="Calibri"/>
          <w:color w:val="000000"/>
          <w:lang w:eastAsia="es-CR"/>
        </w:rPr>
        <w:instrText xml:space="preserve"> LINK </w:instrText>
      </w:r>
      <w:r w:rsidR="00756467">
        <w:rPr>
          <w:rFonts w:eastAsia="Times New Roman" w:cs="Calibri"/>
          <w:color w:val="000000"/>
          <w:lang w:eastAsia="es-CR"/>
        </w:rPr>
        <w:instrText xml:space="preserve">Excel.SheetMacroEnabled.12 "C:\\Users\\gcordero\\Downloads\\Notas diciembre 2024\\Formato_Notas_EEFF_Vinculadas_2024\\Formato_Notas_EEFF_Vinculadas_2024\\15603_T04_2024_Anexo_Estado_Notas_Contables_Vinculadas.xlsm" NOTAS_POR_CUENTA!F220C8 </w:instrText>
      </w:r>
      <w:r w:rsidR="00257A5D">
        <w:rPr>
          <w:rFonts w:eastAsia="Times New Roman" w:cs="Calibri"/>
          <w:color w:val="000000"/>
          <w:lang w:eastAsia="es-CR"/>
        </w:rPr>
        <w:instrText xml:space="preserve">\a \f 5 \h  \* MERGEFORMAT </w:instrText>
      </w:r>
      <w:r w:rsidR="00257A5D">
        <w:rPr>
          <w:rFonts w:eastAsia="Times New Roman" w:cs="Calibri"/>
          <w:color w:val="000000"/>
          <w:lang w:eastAsia="es-CR"/>
        </w:rPr>
        <w:fldChar w:fldCharType="separate"/>
      </w:r>
    </w:p>
    <w:p w14:paraId="0FCD8D98" w14:textId="77777777" w:rsidR="00396CB4" w:rsidRPr="00396CB4" w:rsidRDefault="00396CB4" w:rsidP="00396CB4">
      <w:pPr>
        <w:rPr>
          <w:rFonts w:eastAsia="Times New Roman" w:cs="Calibri"/>
          <w:color w:val="000000"/>
          <w:lang w:eastAsia="es-CR"/>
        </w:rPr>
      </w:pPr>
      <w:r w:rsidRPr="00396CB4">
        <w:rPr>
          <w:rFonts w:eastAsia="Times New Roman" w:cs="Calibri"/>
          <w:color w:val="000000"/>
          <w:lang w:eastAsia="es-CR"/>
        </w:rPr>
        <w:t>La cuenta Intereses minoritarios - Evolución, representa el 0,00% del total del Capital, que comparado al periodo anterior genera una variación absoluta de 0 000,00 que corresponde a un Aumento del 0,00% de recursos disponibles.</w:t>
      </w:r>
    </w:p>
    <w:p w14:paraId="74C38F23" w14:textId="4251CE50" w:rsidR="00692DC8" w:rsidRPr="00422EDF" w:rsidRDefault="00257A5D" w:rsidP="005012F5">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p>
    <w:p w14:paraId="37EC000F" w14:textId="77777777" w:rsidR="00692DC8" w:rsidRPr="00692DC8" w:rsidRDefault="00692DC8" w:rsidP="005012F5">
      <w:pPr>
        <w:rPr>
          <w:i/>
        </w:rPr>
      </w:pPr>
    </w:p>
    <w:p w14:paraId="5305ED00" w14:textId="14A255EE" w:rsidR="00692DC8" w:rsidRPr="000F5ACF" w:rsidRDefault="00692DC8" w:rsidP="000F5ACF">
      <w:pPr>
        <w:pStyle w:val="Ttulo2"/>
        <w:jc w:val="center"/>
        <w:rPr>
          <w:rFonts w:eastAsia="Times New Roman"/>
          <w:b/>
        </w:rPr>
      </w:pPr>
      <w:bookmarkStart w:id="541" w:name="_Toc14344754"/>
      <w:bookmarkStart w:id="542" w:name="_Toc33601251"/>
      <w:bookmarkStart w:id="543" w:name="_Toc82768968"/>
      <w:bookmarkStart w:id="544" w:name="_Toc189804867"/>
      <w:r w:rsidRPr="005012F5">
        <w:rPr>
          <w:rFonts w:eastAsia="Times New Roman"/>
          <w:b/>
        </w:rPr>
        <w:t>NOTAS EXPLICATIVAS AL ESTADO DE RENDIMIENTO FINANCIERO</w:t>
      </w:r>
      <w:bookmarkEnd w:id="541"/>
      <w:bookmarkEnd w:id="542"/>
      <w:bookmarkEnd w:id="543"/>
      <w:bookmarkEnd w:id="544"/>
    </w:p>
    <w:p w14:paraId="2561FC22" w14:textId="4F3D99D8" w:rsidR="00692DC8" w:rsidRPr="00692DC8" w:rsidRDefault="000F5ACF" w:rsidP="000F5ACF">
      <w:pPr>
        <w:pStyle w:val="Ttulo3"/>
        <w:spacing w:after="240"/>
        <w:rPr>
          <w:rFonts w:eastAsia="Times New Roman"/>
          <w:lang w:eastAsia="es-CR"/>
        </w:rPr>
      </w:pPr>
      <w:bookmarkStart w:id="545" w:name="_Toc14344755"/>
      <w:bookmarkStart w:id="546" w:name="_Toc33601252"/>
      <w:bookmarkStart w:id="547" w:name="_Toc82768969"/>
      <w:bookmarkStart w:id="548" w:name="_Toc189804868"/>
      <w:r>
        <w:rPr>
          <w:rFonts w:eastAsia="Times New Roman"/>
          <w:lang w:eastAsia="es-CR"/>
        </w:rPr>
        <w:t xml:space="preserve">4. </w:t>
      </w:r>
      <w:r w:rsidR="00692DC8" w:rsidRPr="00692DC8">
        <w:rPr>
          <w:rFonts w:eastAsia="Times New Roman"/>
          <w:lang w:eastAsia="es-CR"/>
        </w:rPr>
        <w:t>INGRESOS</w:t>
      </w:r>
      <w:bookmarkStart w:id="549" w:name="_Toc54976760"/>
      <w:bookmarkStart w:id="550" w:name="_Toc54977040"/>
      <w:bookmarkStart w:id="551" w:name="_Toc54977319"/>
      <w:bookmarkStart w:id="552" w:name="_Toc54977600"/>
      <w:bookmarkStart w:id="553" w:name="_Toc54977881"/>
      <w:bookmarkStart w:id="554" w:name="_Toc54978162"/>
      <w:bookmarkStart w:id="555" w:name="_Toc54978471"/>
      <w:bookmarkStart w:id="556" w:name="_Toc54978780"/>
      <w:bookmarkStart w:id="557" w:name="_Toc54979090"/>
      <w:bookmarkStart w:id="558" w:name="_Toc55059377"/>
      <w:bookmarkStart w:id="559" w:name="_Toc55059688"/>
      <w:bookmarkStart w:id="560" w:name="_Toc55060355"/>
      <w:bookmarkStart w:id="561" w:name="_Toc55060740"/>
      <w:bookmarkStart w:id="562" w:name="_Toc55062728"/>
      <w:bookmarkStart w:id="563" w:name="_Toc55062998"/>
      <w:bookmarkStart w:id="564" w:name="_Toc55063249"/>
      <w:bookmarkStart w:id="565" w:name="_Toc55063502"/>
      <w:bookmarkStart w:id="566" w:name="_Toc55063756"/>
      <w:bookmarkStart w:id="567" w:name="_Toc55064029"/>
      <w:bookmarkStart w:id="568" w:name="_Toc55069832"/>
      <w:bookmarkStart w:id="569" w:name="_Toc55070100"/>
      <w:bookmarkStart w:id="570" w:name="_Toc55070367"/>
      <w:bookmarkStart w:id="571" w:name="_Toc55070635"/>
      <w:bookmarkStart w:id="572" w:name="_Toc55070902"/>
      <w:bookmarkStart w:id="573" w:name="_Toc55201425"/>
      <w:bookmarkStart w:id="574" w:name="_Toc55824655"/>
      <w:bookmarkStart w:id="575" w:name="_Toc55825040"/>
      <w:bookmarkStart w:id="576" w:name="_Toc55828974"/>
      <w:bookmarkStart w:id="577" w:name="_Toc56002228"/>
      <w:bookmarkStart w:id="578" w:name="_Toc56002504"/>
      <w:bookmarkStart w:id="579" w:name="_Toc56004697"/>
      <w:bookmarkStart w:id="580" w:name="_Toc56065374"/>
      <w:bookmarkStart w:id="581" w:name="_Toc71563855"/>
      <w:bookmarkStart w:id="582" w:name="_Toc54976761"/>
      <w:bookmarkStart w:id="583" w:name="_Toc54977041"/>
      <w:bookmarkStart w:id="584" w:name="_Toc54977320"/>
      <w:bookmarkStart w:id="585" w:name="_Toc54977601"/>
      <w:bookmarkStart w:id="586" w:name="_Toc54977882"/>
      <w:bookmarkStart w:id="587" w:name="_Toc54978163"/>
      <w:bookmarkStart w:id="588" w:name="_Toc54978472"/>
      <w:bookmarkStart w:id="589" w:name="_Toc54978781"/>
      <w:bookmarkStart w:id="590" w:name="_Toc54979091"/>
      <w:bookmarkStart w:id="591" w:name="_Toc55059378"/>
      <w:bookmarkStart w:id="592" w:name="_Toc55059689"/>
      <w:bookmarkStart w:id="593" w:name="_Toc55060356"/>
      <w:bookmarkStart w:id="594" w:name="_Toc55060741"/>
      <w:bookmarkStart w:id="595" w:name="_Toc55062729"/>
      <w:bookmarkStart w:id="596" w:name="_Toc55062999"/>
      <w:bookmarkStart w:id="597" w:name="_Toc55063250"/>
      <w:bookmarkStart w:id="598" w:name="_Toc55063503"/>
      <w:bookmarkStart w:id="599" w:name="_Toc55063757"/>
      <w:bookmarkStart w:id="600" w:name="_Toc55064030"/>
      <w:bookmarkStart w:id="601" w:name="_Toc55069833"/>
      <w:bookmarkStart w:id="602" w:name="_Toc55070101"/>
      <w:bookmarkStart w:id="603" w:name="_Toc55070368"/>
      <w:bookmarkStart w:id="604" w:name="_Toc55070636"/>
      <w:bookmarkStart w:id="605" w:name="_Toc55070903"/>
      <w:bookmarkStart w:id="606" w:name="_Toc55201426"/>
      <w:bookmarkStart w:id="607" w:name="_Toc55824656"/>
      <w:bookmarkStart w:id="608" w:name="_Toc55825041"/>
      <w:bookmarkStart w:id="609" w:name="_Toc55828975"/>
      <w:bookmarkStart w:id="610" w:name="_Toc56002229"/>
      <w:bookmarkStart w:id="611" w:name="_Toc56002505"/>
      <w:bookmarkStart w:id="612" w:name="_Toc56004698"/>
      <w:bookmarkStart w:id="613" w:name="_Toc56065375"/>
      <w:bookmarkStart w:id="614" w:name="_Toc71563856"/>
      <w:bookmarkStart w:id="615" w:name="_Toc14344756"/>
      <w:bookmarkStart w:id="616" w:name="_Toc33601253"/>
      <w:bookmarkEnd w:id="545"/>
      <w:bookmarkEnd w:id="546"/>
      <w:bookmarkEnd w:id="547"/>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548"/>
    </w:p>
    <w:p w14:paraId="3B1263BE" w14:textId="77777777" w:rsidR="00692DC8" w:rsidRPr="00692DC8" w:rsidRDefault="00692DC8" w:rsidP="000F5ACF">
      <w:pPr>
        <w:pStyle w:val="Ttulo3"/>
        <w:spacing w:after="240"/>
        <w:rPr>
          <w:rFonts w:eastAsia="Calibri"/>
          <w:lang w:eastAsia="es-CR"/>
        </w:rPr>
      </w:pPr>
      <w:bookmarkStart w:id="617" w:name="_Toc82768970"/>
      <w:bookmarkStart w:id="618" w:name="_Toc189804869"/>
      <w:bookmarkEnd w:id="615"/>
      <w:bookmarkEnd w:id="616"/>
      <w:r w:rsidRPr="00692DC8">
        <w:rPr>
          <w:rFonts w:eastAsia="Calibri"/>
          <w:lang w:eastAsia="es-CR"/>
        </w:rPr>
        <w:t>4.1 IMPUESTOS</w:t>
      </w:r>
      <w:bookmarkEnd w:id="617"/>
      <w:bookmarkEnd w:id="618"/>
    </w:p>
    <w:p w14:paraId="4B893D20" w14:textId="77777777" w:rsidR="00692DC8" w:rsidRPr="00692DC8" w:rsidRDefault="00692DC8" w:rsidP="000F5ACF">
      <w:pPr>
        <w:pStyle w:val="Ttulo4"/>
        <w:spacing w:after="240"/>
        <w:rPr>
          <w:rFonts w:eastAsia="Times New Roman"/>
        </w:rPr>
      </w:pPr>
      <w:bookmarkStart w:id="619" w:name="_Toc14344757"/>
      <w:bookmarkStart w:id="620" w:name="_Toc33601254"/>
      <w:bookmarkStart w:id="621" w:name="_Toc82768971"/>
      <w:bookmarkStart w:id="622" w:name="_Toc189804870"/>
      <w:r w:rsidRPr="00692DC8">
        <w:rPr>
          <w:rFonts w:eastAsia="Times New Roman"/>
        </w:rPr>
        <w:t>NOTA N° 31</w:t>
      </w:r>
      <w:bookmarkEnd w:id="619"/>
      <w:bookmarkEnd w:id="620"/>
      <w:bookmarkEnd w:id="621"/>
      <w:bookmarkEnd w:id="622"/>
    </w:p>
    <w:p w14:paraId="21C302C1" w14:textId="77777777" w:rsidR="00396CB4" w:rsidRDefault="00692DC8" w:rsidP="00F51D42">
      <w:pPr>
        <w:spacing w:before="240"/>
        <w:rPr>
          <w:rFonts w:asciiTheme="minorHAnsi" w:hAnsiTheme="minorHAnsi"/>
          <w:sz w:val="22"/>
        </w:rPr>
      </w:pPr>
      <w:bookmarkStart w:id="623" w:name="_Toc14344758"/>
      <w:bookmarkStart w:id="624" w:name="_Toc33601255"/>
      <w:bookmarkStart w:id="625" w:name="_Toc82768972"/>
      <w:r w:rsidRPr="00692DC8">
        <w:rPr>
          <w:rFonts w:eastAsia="Times New Roman"/>
        </w:rPr>
        <w:t>Impuestos sobre los ingresos, las utilidades y las ganancias de capital</w:t>
      </w:r>
      <w:bookmarkEnd w:id="623"/>
      <w:bookmarkEnd w:id="624"/>
      <w:bookmarkEnd w:id="625"/>
      <w:r w:rsidR="00B67FFA">
        <w:rPr>
          <w:rFonts w:eastAsiaTheme="majorEastAsia" w:cstheme="majorBidi"/>
          <w:iCs/>
          <w:lang w:val="es-ES"/>
        </w:rPr>
        <w:fldChar w:fldCharType="begin"/>
      </w:r>
      <w:r w:rsidR="00B67FFA">
        <w:rPr>
          <w:lang w:val="es-ES"/>
        </w:rPr>
        <w:instrText xml:space="preserve"> LINK </w:instrText>
      </w:r>
      <w:r w:rsidR="00756467">
        <w:rPr>
          <w:lang w:val="es-ES"/>
        </w:rPr>
        <w:instrText xml:space="preserve">Excel.SheetMacroEnabled.12 "C:\\Users\\gcordero\\Downloads\\Notas diciembre 2024\\Formato_Notas_EEFF_Vinculadas_2024\\Formato_Notas_EEFF_Vinculadas_2024\\15603_T04_2024_Anexo_Estado_Notas_Contables_Vinculadas.xlsm" NOTAS_POR_CUENTA!F228C1:F230C6 </w:instrText>
      </w:r>
      <w:r w:rsidR="00B67FFA">
        <w:rPr>
          <w:lang w:val="es-ES"/>
        </w:rPr>
        <w:instrText xml:space="preserve">\a \f 4 \h </w:instrText>
      </w:r>
      <w:r w:rsidR="00B67FFA">
        <w:rPr>
          <w:b/>
          <w:lang w:val="es-ES"/>
        </w:rPr>
        <w:fldChar w:fldCharType="separate"/>
      </w:r>
    </w:p>
    <w:tbl>
      <w:tblPr>
        <w:tblW w:w="9600" w:type="dxa"/>
        <w:tblCellMar>
          <w:left w:w="70" w:type="dxa"/>
          <w:right w:w="70" w:type="dxa"/>
        </w:tblCellMar>
        <w:tblLook w:val="04A0" w:firstRow="1" w:lastRow="0" w:firstColumn="1" w:lastColumn="0" w:noHBand="0" w:noVBand="1"/>
      </w:tblPr>
      <w:tblGrid>
        <w:gridCol w:w="1090"/>
        <w:gridCol w:w="2790"/>
        <w:gridCol w:w="500"/>
        <w:gridCol w:w="2100"/>
        <w:gridCol w:w="2100"/>
        <w:gridCol w:w="1020"/>
      </w:tblGrid>
      <w:tr w:rsidR="00396CB4" w:rsidRPr="00396CB4" w14:paraId="4F2957E6" w14:textId="77777777" w:rsidTr="00396CB4">
        <w:trPr>
          <w:divId w:val="1585188648"/>
          <w:trHeight w:val="330"/>
        </w:trPr>
        <w:tc>
          <w:tcPr>
            <w:tcW w:w="109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9BEB8C8" w14:textId="547B85A6" w:rsidR="00396CB4" w:rsidRPr="00396CB4" w:rsidRDefault="00396CB4" w:rsidP="00396CB4">
            <w:pP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279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4C3D7AE"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835EDFB"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7F75967"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72D8622"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787F854A"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4A4A0754" w14:textId="77777777" w:rsidTr="00396CB4">
        <w:trPr>
          <w:divId w:val="1585188648"/>
          <w:trHeight w:val="330"/>
        </w:trPr>
        <w:tc>
          <w:tcPr>
            <w:tcW w:w="1090" w:type="dxa"/>
            <w:vMerge/>
            <w:tcBorders>
              <w:top w:val="single" w:sz="8" w:space="0" w:color="auto"/>
              <w:left w:val="single" w:sz="8" w:space="0" w:color="auto"/>
              <w:bottom w:val="single" w:sz="8" w:space="0" w:color="000000"/>
              <w:right w:val="single" w:sz="8" w:space="0" w:color="auto"/>
            </w:tcBorders>
            <w:vAlign w:val="center"/>
            <w:hideMark/>
          </w:tcPr>
          <w:p w14:paraId="001E01AD"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790" w:type="dxa"/>
            <w:vMerge/>
            <w:tcBorders>
              <w:top w:val="single" w:sz="8" w:space="0" w:color="auto"/>
              <w:left w:val="single" w:sz="8" w:space="0" w:color="auto"/>
              <w:bottom w:val="single" w:sz="8" w:space="0" w:color="000000"/>
              <w:right w:val="single" w:sz="8" w:space="0" w:color="auto"/>
            </w:tcBorders>
            <w:vAlign w:val="center"/>
            <w:hideMark/>
          </w:tcPr>
          <w:p w14:paraId="1A330BA3"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33523220"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7359C986"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56950C2B"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2F00BC71"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35AD4D4E" w14:textId="77777777" w:rsidTr="00396CB4">
        <w:trPr>
          <w:divId w:val="1585188648"/>
          <w:trHeight w:val="555"/>
        </w:trPr>
        <w:tc>
          <w:tcPr>
            <w:tcW w:w="1090" w:type="dxa"/>
            <w:tcBorders>
              <w:top w:val="nil"/>
              <w:left w:val="single" w:sz="8" w:space="0" w:color="auto"/>
              <w:bottom w:val="single" w:sz="8" w:space="0" w:color="auto"/>
              <w:right w:val="single" w:sz="8" w:space="0" w:color="auto"/>
            </w:tcBorders>
            <w:shd w:val="clear" w:color="auto" w:fill="auto"/>
            <w:noWrap/>
            <w:vAlign w:val="center"/>
            <w:hideMark/>
          </w:tcPr>
          <w:p w14:paraId="1507F7E9"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4.1.1.</w:t>
            </w:r>
          </w:p>
        </w:tc>
        <w:tc>
          <w:tcPr>
            <w:tcW w:w="2790" w:type="dxa"/>
            <w:tcBorders>
              <w:top w:val="nil"/>
              <w:left w:val="nil"/>
              <w:bottom w:val="single" w:sz="8" w:space="0" w:color="auto"/>
              <w:right w:val="single" w:sz="8" w:space="0" w:color="auto"/>
            </w:tcBorders>
            <w:shd w:val="clear" w:color="auto" w:fill="auto"/>
            <w:vAlign w:val="center"/>
            <w:hideMark/>
          </w:tcPr>
          <w:p w14:paraId="6DBE69AD" w14:textId="77777777" w:rsidR="00396CB4" w:rsidRPr="00396CB4" w:rsidRDefault="00396CB4" w:rsidP="00396CB4">
            <w:pPr>
              <w:spacing w:after="0" w:line="240" w:lineRule="auto"/>
              <w:rPr>
                <w:rFonts w:eastAsia="Times New Roman" w:cs="Calibri"/>
                <w:b/>
                <w:bCs/>
                <w:color w:val="000000"/>
                <w:sz w:val="18"/>
                <w:szCs w:val="18"/>
                <w:lang w:eastAsia="es-CR"/>
              </w:rPr>
            </w:pPr>
            <w:r w:rsidRPr="00396CB4">
              <w:rPr>
                <w:rFonts w:eastAsia="Times New Roman" w:cs="Calibri"/>
                <w:b/>
                <w:bCs/>
                <w:color w:val="000000"/>
                <w:sz w:val="18"/>
                <w:szCs w:val="18"/>
                <w:lang w:eastAsia="es-CR"/>
              </w:rPr>
              <w:t>Impuestos sobre los ingresos, las utilidades y las ganancias de capital</w:t>
            </w:r>
          </w:p>
        </w:tc>
        <w:tc>
          <w:tcPr>
            <w:tcW w:w="500" w:type="dxa"/>
            <w:tcBorders>
              <w:top w:val="nil"/>
              <w:left w:val="nil"/>
              <w:bottom w:val="single" w:sz="8" w:space="0" w:color="auto"/>
              <w:right w:val="single" w:sz="8" w:space="0" w:color="auto"/>
            </w:tcBorders>
            <w:shd w:val="clear" w:color="auto" w:fill="auto"/>
            <w:noWrap/>
            <w:vAlign w:val="center"/>
            <w:hideMark/>
          </w:tcPr>
          <w:p w14:paraId="3CE90F5A"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31</w:t>
            </w:r>
          </w:p>
        </w:tc>
        <w:tc>
          <w:tcPr>
            <w:tcW w:w="2100" w:type="dxa"/>
            <w:tcBorders>
              <w:top w:val="nil"/>
              <w:left w:val="nil"/>
              <w:bottom w:val="single" w:sz="8" w:space="0" w:color="auto"/>
              <w:right w:val="single" w:sz="8" w:space="0" w:color="auto"/>
            </w:tcBorders>
            <w:shd w:val="clear" w:color="auto" w:fill="auto"/>
            <w:noWrap/>
            <w:vAlign w:val="center"/>
            <w:hideMark/>
          </w:tcPr>
          <w:p w14:paraId="53FED320"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2100" w:type="dxa"/>
            <w:tcBorders>
              <w:top w:val="nil"/>
              <w:left w:val="nil"/>
              <w:bottom w:val="single" w:sz="8" w:space="0" w:color="auto"/>
              <w:right w:val="single" w:sz="8" w:space="0" w:color="auto"/>
            </w:tcBorders>
            <w:shd w:val="clear" w:color="auto" w:fill="auto"/>
            <w:noWrap/>
            <w:vAlign w:val="center"/>
            <w:hideMark/>
          </w:tcPr>
          <w:p w14:paraId="71F64DE3"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1020" w:type="dxa"/>
            <w:tcBorders>
              <w:top w:val="nil"/>
              <w:left w:val="nil"/>
              <w:bottom w:val="single" w:sz="8" w:space="0" w:color="auto"/>
              <w:right w:val="single" w:sz="8" w:space="0" w:color="auto"/>
            </w:tcBorders>
            <w:shd w:val="clear" w:color="auto" w:fill="auto"/>
            <w:noWrap/>
            <w:vAlign w:val="center"/>
            <w:hideMark/>
          </w:tcPr>
          <w:p w14:paraId="1116E073"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0,00%</w:t>
            </w:r>
          </w:p>
        </w:tc>
      </w:tr>
    </w:tbl>
    <w:p w14:paraId="66BE2049" w14:textId="77777777" w:rsidR="00396CB4" w:rsidRPr="00396CB4" w:rsidRDefault="00B67FFA" w:rsidP="00396CB4">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756467">
        <w:rPr>
          <w:rFonts w:eastAsia="Times New Roman" w:cs="Calibri"/>
          <w:color w:val="000000"/>
          <w:lang w:eastAsia="es-CR"/>
        </w:rPr>
        <w:instrText xml:space="preserve">Excel.SheetMacroEnabled.12 "C:\\Users\\gcordero\\Downloads\\Notas diciembre 2024\\Formato_Notas_EEFF_Vinculadas_2024\\Formato_Notas_EEFF_Vinculadas_2024\\15603_T04_2024_Anexo_Estado_Notas_Contables_Vinculadas.xlsm" NOTAS_POR_CUENTA!F230C8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78646710" w14:textId="77777777" w:rsidR="00396CB4" w:rsidRPr="00396CB4" w:rsidRDefault="00396CB4" w:rsidP="00396CB4">
      <w:pPr>
        <w:rPr>
          <w:rFonts w:eastAsia="Times New Roman" w:cs="Calibri"/>
          <w:color w:val="000000"/>
          <w:lang w:eastAsia="es-CR"/>
        </w:rPr>
      </w:pPr>
      <w:r w:rsidRPr="00396CB4">
        <w:rPr>
          <w:rFonts w:eastAsia="Times New Roman" w:cs="Calibri"/>
          <w:color w:val="000000"/>
          <w:lang w:eastAsia="es-CR"/>
        </w:rPr>
        <w:t>La cuenta Impuestos sobre los ingresos, las utilidades y las ganancias de capital, representa el 0,00% del total del Ingresos, que comparado al periodo anterior genera una variación absoluta de 0 000,00 que corresponde a un Aumento del 0,00% de recursos disponibles.</w:t>
      </w:r>
    </w:p>
    <w:p w14:paraId="57202375" w14:textId="6B69F432" w:rsidR="00692DC8" w:rsidRPr="00DE143D" w:rsidRDefault="00B67FFA" w:rsidP="005C6064">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06FD354C" w14:textId="77777777" w:rsidR="00692DC8" w:rsidRPr="00692DC8" w:rsidRDefault="00692DC8" w:rsidP="005C6064">
      <w:pPr>
        <w:pStyle w:val="Ttulo4"/>
        <w:spacing w:after="240"/>
        <w:rPr>
          <w:rFonts w:eastAsia="Times New Roman"/>
        </w:rPr>
      </w:pPr>
      <w:bookmarkStart w:id="626" w:name="_Toc14344763"/>
      <w:bookmarkStart w:id="627" w:name="_Toc33601256"/>
      <w:bookmarkStart w:id="628" w:name="_Toc82768973"/>
      <w:bookmarkStart w:id="629" w:name="_Toc189804871"/>
      <w:r w:rsidRPr="00692DC8">
        <w:rPr>
          <w:rFonts w:eastAsia="Times New Roman"/>
        </w:rPr>
        <w:lastRenderedPageBreak/>
        <w:t>NOTA N° 32</w:t>
      </w:r>
      <w:bookmarkEnd w:id="626"/>
      <w:bookmarkEnd w:id="627"/>
      <w:bookmarkEnd w:id="628"/>
      <w:bookmarkEnd w:id="629"/>
    </w:p>
    <w:p w14:paraId="22A58625" w14:textId="77777777" w:rsidR="00396CB4" w:rsidRDefault="00692DC8" w:rsidP="00F51D42">
      <w:pPr>
        <w:spacing w:before="240"/>
        <w:rPr>
          <w:rFonts w:asciiTheme="minorHAnsi" w:hAnsiTheme="minorHAnsi"/>
          <w:sz w:val="22"/>
        </w:rPr>
      </w:pPr>
      <w:bookmarkStart w:id="630" w:name="_Toc14344764"/>
      <w:bookmarkStart w:id="631" w:name="_Toc33601257"/>
      <w:bookmarkStart w:id="632" w:name="_Toc82768974"/>
      <w:r w:rsidRPr="00692DC8">
        <w:rPr>
          <w:rFonts w:eastAsia="Times New Roman"/>
        </w:rPr>
        <w:t>Impuestos sobre la propiedad</w:t>
      </w:r>
      <w:bookmarkEnd w:id="630"/>
      <w:bookmarkEnd w:id="631"/>
      <w:bookmarkEnd w:id="632"/>
      <w:r w:rsidR="00C3629E">
        <w:rPr>
          <w:rFonts w:eastAsiaTheme="majorEastAsia" w:cstheme="majorBidi"/>
          <w:iCs/>
          <w:lang w:val="es-ES"/>
        </w:rPr>
        <w:fldChar w:fldCharType="begin"/>
      </w:r>
      <w:r w:rsidR="00C3629E">
        <w:rPr>
          <w:lang w:val="es-ES"/>
        </w:rPr>
        <w:instrText xml:space="preserve"> LINK </w:instrText>
      </w:r>
      <w:r w:rsidR="00756467">
        <w:rPr>
          <w:lang w:val="es-ES"/>
        </w:rPr>
        <w:instrText xml:space="preserve">Excel.SheetMacroEnabled.12 "C:\\Users\\gcordero\\Downloads\\Notas diciembre 2024\\Formato_Notas_EEFF_Vinculadas_2024\\Formato_Notas_EEFF_Vinculadas_2024\\15603_T04_2024_Anexo_Estado_Notas_Contables_Vinculadas.xlsm" NOTAS_POR_CUENTA!F232C1:F234C6 </w:instrText>
      </w:r>
      <w:r w:rsidR="00C3629E">
        <w:rPr>
          <w:lang w:val="es-ES"/>
        </w:rPr>
        <w:instrText xml:space="preserve">\a \f 4 \h </w:instrText>
      </w:r>
      <w:r w:rsidR="00C3629E">
        <w:rPr>
          <w:b/>
          <w:lang w:val="es-ES"/>
        </w:rPr>
        <w:fldChar w:fldCharType="separate"/>
      </w:r>
    </w:p>
    <w:tbl>
      <w:tblPr>
        <w:tblW w:w="9600" w:type="dxa"/>
        <w:tblCellMar>
          <w:left w:w="70" w:type="dxa"/>
          <w:right w:w="70" w:type="dxa"/>
        </w:tblCellMar>
        <w:tblLook w:val="04A0" w:firstRow="1" w:lastRow="0" w:firstColumn="1" w:lastColumn="0" w:noHBand="0" w:noVBand="1"/>
      </w:tblPr>
      <w:tblGrid>
        <w:gridCol w:w="1396"/>
        <w:gridCol w:w="2484"/>
        <w:gridCol w:w="500"/>
        <w:gridCol w:w="2100"/>
        <w:gridCol w:w="2100"/>
        <w:gridCol w:w="1020"/>
      </w:tblGrid>
      <w:tr w:rsidR="00396CB4" w:rsidRPr="00396CB4" w14:paraId="0080895A" w14:textId="77777777" w:rsidTr="00396CB4">
        <w:trPr>
          <w:divId w:val="855772726"/>
          <w:trHeight w:val="330"/>
        </w:trPr>
        <w:tc>
          <w:tcPr>
            <w:tcW w:w="139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92859F7" w14:textId="14191E21" w:rsidR="00396CB4" w:rsidRPr="00396CB4" w:rsidRDefault="00396CB4" w:rsidP="00396CB4">
            <w:pP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248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C102F0C"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3E9C2C9"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9E29AA5"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5538F13"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61A48B4A"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418529BD" w14:textId="77777777" w:rsidTr="00396CB4">
        <w:trPr>
          <w:divId w:val="855772726"/>
          <w:trHeight w:val="330"/>
        </w:trPr>
        <w:tc>
          <w:tcPr>
            <w:tcW w:w="1396" w:type="dxa"/>
            <w:vMerge/>
            <w:tcBorders>
              <w:top w:val="single" w:sz="8" w:space="0" w:color="auto"/>
              <w:left w:val="single" w:sz="8" w:space="0" w:color="auto"/>
              <w:bottom w:val="single" w:sz="8" w:space="0" w:color="000000"/>
              <w:right w:val="single" w:sz="8" w:space="0" w:color="auto"/>
            </w:tcBorders>
            <w:vAlign w:val="center"/>
            <w:hideMark/>
          </w:tcPr>
          <w:p w14:paraId="5E21F1A6"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484" w:type="dxa"/>
            <w:vMerge/>
            <w:tcBorders>
              <w:top w:val="single" w:sz="8" w:space="0" w:color="auto"/>
              <w:left w:val="single" w:sz="8" w:space="0" w:color="auto"/>
              <w:bottom w:val="single" w:sz="8" w:space="0" w:color="000000"/>
              <w:right w:val="single" w:sz="8" w:space="0" w:color="auto"/>
            </w:tcBorders>
            <w:vAlign w:val="center"/>
            <w:hideMark/>
          </w:tcPr>
          <w:p w14:paraId="574050BC"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59662306"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3E5A7825"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2FBFEA8D"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7095E528"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57132256" w14:textId="77777777" w:rsidTr="00396CB4">
        <w:trPr>
          <w:divId w:val="855772726"/>
          <w:trHeight w:val="330"/>
        </w:trPr>
        <w:tc>
          <w:tcPr>
            <w:tcW w:w="1396" w:type="dxa"/>
            <w:tcBorders>
              <w:top w:val="nil"/>
              <w:left w:val="single" w:sz="8" w:space="0" w:color="auto"/>
              <w:bottom w:val="single" w:sz="8" w:space="0" w:color="auto"/>
              <w:right w:val="single" w:sz="8" w:space="0" w:color="auto"/>
            </w:tcBorders>
            <w:shd w:val="clear" w:color="auto" w:fill="auto"/>
            <w:noWrap/>
            <w:vAlign w:val="center"/>
            <w:hideMark/>
          </w:tcPr>
          <w:p w14:paraId="2C9F1B64"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4.1.2.</w:t>
            </w:r>
          </w:p>
        </w:tc>
        <w:tc>
          <w:tcPr>
            <w:tcW w:w="2484" w:type="dxa"/>
            <w:tcBorders>
              <w:top w:val="nil"/>
              <w:left w:val="nil"/>
              <w:bottom w:val="single" w:sz="8" w:space="0" w:color="auto"/>
              <w:right w:val="single" w:sz="8" w:space="0" w:color="auto"/>
            </w:tcBorders>
            <w:shd w:val="clear" w:color="auto" w:fill="auto"/>
            <w:vAlign w:val="center"/>
            <w:hideMark/>
          </w:tcPr>
          <w:p w14:paraId="6EEA9C19" w14:textId="77777777" w:rsidR="00396CB4" w:rsidRPr="00396CB4" w:rsidRDefault="00396CB4" w:rsidP="00396CB4">
            <w:pPr>
              <w:spacing w:after="0" w:line="240" w:lineRule="auto"/>
              <w:rPr>
                <w:rFonts w:eastAsia="Times New Roman" w:cs="Calibri"/>
                <w:b/>
                <w:bCs/>
                <w:color w:val="000000"/>
                <w:sz w:val="18"/>
                <w:szCs w:val="18"/>
                <w:lang w:eastAsia="es-CR"/>
              </w:rPr>
            </w:pPr>
            <w:r w:rsidRPr="00396CB4">
              <w:rPr>
                <w:rFonts w:eastAsia="Times New Roman" w:cs="Calibri"/>
                <w:b/>
                <w:bCs/>
                <w:color w:val="000000"/>
                <w:sz w:val="18"/>
                <w:szCs w:val="18"/>
                <w:lang w:eastAsia="es-CR"/>
              </w:rPr>
              <w:t>Impuestos sobre la propiedad</w:t>
            </w:r>
          </w:p>
        </w:tc>
        <w:tc>
          <w:tcPr>
            <w:tcW w:w="500" w:type="dxa"/>
            <w:tcBorders>
              <w:top w:val="nil"/>
              <w:left w:val="nil"/>
              <w:bottom w:val="single" w:sz="8" w:space="0" w:color="auto"/>
              <w:right w:val="single" w:sz="8" w:space="0" w:color="auto"/>
            </w:tcBorders>
            <w:shd w:val="clear" w:color="auto" w:fill="auto"/>
            <w:noWrap/>
            <w:vAlign w:val="center"/>
            <w:hideMark/>
          </w:tcPr>
          <w:p w14:paraId="397363F1"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32</w:t>
            </w:r>
          </w:p>
        </w:tc>
        <w:tc>
          <w:tcPr>
            <w:tcW w:w="2100" w:type="dxa"/>
            <w:tcBorders>
              <w:top w:val="nil"/>
              <w:left w:val="nil"/>
              <w:bottom w:val="single" w:sz="8" w:space="0" w:color="auto"/>
              <w:right w:val="single" w:sz="8" w:space="0" w:color="auto"/>
            </w:tcBorders>
            <w:shd w:val="clear" w:color="auto" w:fill="auto"/>
            <w:noWrap/>
            <w:vAlign w:val="center"/>
            <w:hideMark/>
          </w:tcPr>
          <w:p w14:paraId="1ACDEDF1"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648 621,27 </w:t>
            </w:r>
          </w:p>
        </w:tc>
        <w:tc>
          <w:tcPr>
            <w:tcW w:w="2100" w:type="dxa"/>
            <w:tcBorders>
              <w:top w:val="nil"/>
              <w:left w:val="nil"/>
              <w:bottom w:val="single" w:sz="8" w:space="0" w:color="auto"/>
              <w:right w:val="single" w:sz="8" w:space="0" w:color="auto"/>
            </w:tcBorders>
            <w:shd w:val="clear" w:color="auto" w:fill="auto"/>
            <w:noWrap/>
            <w:vAlign w:val="center"/>
            <w:hideMark/>
          </w:tcPr>
          <w:p w14:paraId="692E04C6"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707 206,04 </w:t>
            </w:r>
          </w:p>
        </w:tc>
        <w:tc>
          <w:tcPr>
            <w:tcW w:w="1020" w:type="dxa"/>
            <w:tcBorders>
              <w:top w:val="nil"/>
              <w:left w:val="nil"/>
              <w:bottom w:val="single" w:sz="8" w:space="0" w:color="auto"/>
              <w:right w:val="single" w:sz="8" w:space="0" w:color="auto"/>
            </w:tcBorders>
            <w:shd w:val="clear" w:color="auto" w:fill="auto"/>
            <w:noWrap/>
            <w:vAlign w:val="center"/>
            <w:hideMark/>
          </w:tcPr>
          <w:p w14:paraId="257A120C"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-8,28%</w:t>
            </w:r>
          </w:p>
        </w:tc>
      </w:tr>
    </w:tbl>
    <w:p w14:paraId="0E79D908" w14:textId="77777777" w:rsidR="00396CB4" w:rsidRPr="00396CB4" w:rsidRDefault="00C3629E" w:rsidP="00396CB4">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756467">
        <w:rPr>
          <w:rFonts w:eastAsia="Times New Roman" w:cs="Calibri"/>
          <w:color w:val="000000"/>
          <w:lang w:eastAsia="es-CR"/>
        </w:rPr>
        <w:instrText xml:space="preserve">Excel.SheetMacroEnabled.12 "C:\\Users\\gcordero\\Downloads\\Notas diciembre 2024\\Formato_Notas_EEFF_Vinculadas_2024\\Formato_Notas_EEFF_Vinculadas_2024\\15603_T04_2024_Anexo_Estado_Notas_Contables_Vinculadas.xlsm" NOTAS_POR_CUENTA!F234C8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10D89A04" w14:textId="77777777" w:rsidR="00396CB4" w:rsidRPr="00396CB4" w:rsidRDefault="00396CB4" w:rsidP="00396CB4">
      <w:pPr>
        <w:rPr>
          <w:rFonts w:eastAsia="Times New Roman" w:cs="Calibri"/>
          <w:color w:val="000000"/>
          <w:lang w:eastAsia="es-CR"/>
        </w:rPr>
      </w:pPr>
      <w:r w:rsidRPr="00396CB4">
        <w:rPr>
          <w:rFonts w:eastAsia="Times New Roman" w:cs="Calibri"/>
          <w:color w:val="000000"/>
          <w:lang w:eastAsia="es-CR"/>
        </w:rPr>
        <w:t>La cuenta Impuestos sobre la propiedad, representa el 11,17% del total del Ingresos, que comparado al periodo anterior genera una variación absoluta de -58 584,77 que corresponde a un Disminución del -8,28% de recursos disponibles.</w:t>
      </w:r>
    </w:p>
    <w:p w14:paraId="526E07E8" w14:textId="733210A0" w:rsidR="00692DC8" w:rsidRDefault="00C3629E" w:rsidP="00C3629E">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122920D4" w14:textId="77777777" w:rsidR="00500AC8" w:rsidRPr="00F20DFB" w:rsidRDefault="00500AC8" w:rsidP="00500AC8">
      <w:pPr>
        <w:spacing w:after="0" w:line="240" w:lineRule="auto"/>
      </w:pPr>
      <w:bookmarkStart w:id="633" w:name="_Hlk149466101"/>
      <w:r w:rsidRPr="00F20DFB">
        <w:t xml:space="preserve">El saldo que presenta la cuenta de Impuestos sobre la propiedad corresponde a los montos puestos al cobro correspondientes al </w:t>
      </w:r>
      <w:r>
        <w:t>primer</w:t>
      </w:r>
      <w:r w:rsidRPr="00F20DFB">
        <w:t xml:space="preserve"> </w:t>
      </w:r>
      <w:r>
        <w:t>semestre</w:t>
      </w:r>
      <w:r w:rsidRPr="00F20DFB">
        <w:t xml:space="preserve"> de </w:t>
      </w:r>
      <w:r>
        <w:t>2024</w:t>
      </w:r>
      <w:r w:rsidRPr="00F20DFB">
        <w:t xml:space="preserve"> que están pendientes de </w:t>
      </w:r>
      <w:r>
        <w:t>pagar</w:t>
      </w:r>
      <w:r w:rsidRPr="00F20DFB">
        <w:t xml:space="preserve"> por los contribuyentes afectos a este impuesto. Específicamente se trata del Impuesto sobre la propiedad de bienes inmuebles (IBI), que les corresponde pagar a propietarios de bienes muebles e inmuebles </w:t>
      </w:r>
      <w:r w:rsidRPr="00F20DFB">
        <w:rPr>
          <w:rFonts w:cs="Calibri"/>
          <w:color w:val="000000"/>
          <w:lang w:eastAsia="es-CR"/>
        </w:rPr>
        <w:t>en el Cantón</w:t>
      </w:r>
      <w:r w:rsidRPr="00F20DFB">
        <w:t xml:space="preserve">, según la Ley de Impuesto sobre Bienes Inmuebles, Ley Nro. 7509. </w:t>
      </w:r>
      <w:r w:rsidRPr="00F20DFB">
        <w:rPr>
          <w:rFonts w:cs="Calibri"/>
          <w:color w:val="000000"/>
          <w:lang w:eastAsia="es-CR"/>
        </w:rPr>
        <w:t>Al respecto, la variación</w:t>
      </w:r>
      <w:r>
        <w:rPr>
          <w:rFonts w:cs="Calibri"/>
          <w:color w:val="000000"/>
          <w:lang w:eastAsia="es-CR"/>
        </w:rPr>
        <w:t xml:space="preserve"> (disminución)</w:t>
      </w:r>
      <w:r w:rsidRPr="00F20DFB">
        <w:rPr>
          <w:rFonts w:cs="Calibri"/>
          <w:color w:val="000000"/>
          <w:lang w:eastAsia="es-CR"/>
        </w:rPr>
        <w:t xml:space="preserve"> </w:t>
      </w:r>
      <w:r>
        <w:rPr>
          <w:rFonts w:cs="Calibri"/>
          <w:color w:val="000000"/>
          <w:lang w:eastAsia="es-CR"/>
        </w:rPr>
        <w:t xml:space="preserve">de </w:t>
      </w:r>
      <w:r w:rsidRPr="0028132F">
        <w:rPr>
          <w:rFonts w:cs="Calibri"/>
          <w:color w:val="000000"/>
          <w:lang w:eastAsia="es-CR"/>
        </w:rPr>
        <w:t>-</w:t>
      </w:r>
      <w:r w:rsidRPr="0028132F">
        <w:rPr>
          <w:rFonts w:ascii="Arial" w:hAnsi="Arial" w:cs="Arial"/>
          <w:color w:val="000000"/>
          <w:lang w:eastAsia="es-CR"/>
        </w:rPr>
        <w:t>₡</w:t>
      </w:r>
      <w:r w:rsidRPr="0028132F">
        <w:rPr>
          <w:rFonts w:cs="Calibri"/>
          <w:color w:val="000000"/>
          <w:lang w:eastAsia="es-CR"/>
        </w:rPr>
        <w:t>5</w:t>
      </w:r>
      <w:r>
        <w:rPr>
          <w:rFonts w:cs="Calibri"/>
          <w:color w:val="000000"/>
          <w:lang w:eastAsia="es-CR"/>
        </w:rPr>
        <w:t>3</w:t>
      </w:r>
      <w:r w:rsidRPr="0028132F">
        <w:rPr>
          <w:rFonts w:cs="Calibri"/>
          <w:color w:val="000000"/>
          <w:lang w:eastAsia="es-CR"/>
        </w:rPr>
        <w:t xml:space="preserve"> </w:t>
      </w:r>
      <w:r>
        <w:rPr>
          <w:rFonts w:cs="Calibri"/>
          <w:color w:val="000000"/>
          <w:lang w:eastAsia="es-CR"/>
        </w:rPr>
        <w:t>548</w:t>
      </w:r>
      <w:r w:rsidRPr="0028132F">
        <w:rPr>
          <w:rFonts w:cs="Calibri"/>
          <w:color w:val="000000"/>
          <w:lang w:eastAsia="es-CR"/>
        </w:rPr>
        <w:t>,</w:t>
      </w:r>
      <w:r>
        <w:rPr>
          <w:rFonts w:cs="Calibri"/>
          <w:color w:val="000000"/>
          <w:lang w:eastAsia="es-CR"/>
        </w:rPr>
        <w:t xml:space="preserve">31, </w:t>
      </w:r>
      <w:r w:rsidRPr="00F20DFB">
        <w:rPr>
          <w:rFonts w:cs="Calibri"/>
          <w:color w:val="000000"/>
          <w:lang w:eastAsia="es-CR"/>
        </w:rPr>
        <w:t xml:space="preserve">se considera razonable debido a los ajustes que se realizan a las sumas </w:t>
      </w:r>
      <w:r>
        <w:rPr>
          <w:rFonts w:cs="Calibri"/>
          <w:color w:val="000000"/>
          <w:lang w:eastAsia="es-CR"/>
        </w:rPr>
        <w:t xml:space="preserve">puestas al cobro </w:t>
      </w:r>
      <w:r w:rsidRPr="00F20DFB">
        <w:rPr>
          <w:rFonts w:cs="Calibri"/>
          <w:color w:val="000000"/>
          <w:lang w:eastAsia="es-CR"/>
        </w:rPr>
        <w:t>de</w:t>
      </w:r>
      <w:r>
        <w:rPr>
          <w:rFonts w:cs="Calibri"/>
          <w:color w:val="000000"/>
          <w:lang w:eastAsia="es-CR"/>
        </w:rPr>
        <w:t>l</w:t>
      </w:r>
      <w:r w:rsidRPr="00F20DFB">
        <w:rPr>
          <w:rFonts w:cs="Calibri"/>
          <w:color w:val="000000"/>
          <w:lang w:eastAsia="es-CR"/>
        </w:rPr>
        <w:t xml:space="preserve"> impuesto por cobrar</w:t>
      </w:r>
      <w:r>
        <w:rPr>
          <w:rFonts w:cs="Calibri"/>
          <w:color w:val="000000"/>
          <w:lang w:eastAsia="es-CR"/>
        </w:rPr>
        <w:t xml:space="preserve"> por concepto de exoneraciones conforme la citada ley</w:t>
      </w:r>
      <w:r w:rsidRPr="00F20DFB">
        <w:rPr>
          <w:rFonts w:cs="Calibri"/>
          <w:color w:val="000000"/>
          <w:lang w:eastAsia="es-CR"/>
        </w:rPr>
        <w:t>.</w:t>
      </w:r>
    </w:p>
    <w:bookmarkEnd w:id="633"/>
    <w:p w14:paraId="62B4C0E2" w14:textId="77777777" w:rsidR="00500AC8" w:rsidRPr="005C6064" w:rsidRDefault="00500AC8" w:rsidP="00C3629E">
      <w:pPr>
        <w:rPr>
          <w:rFonts w:eastAsiaTheme="minorEastAsia" w:cs="Arial Narrow"/>
          <w:color w:val="000000"/>
          <w:lang w:eastAsia="es-CR"/>
        </w:rPr>
      </w:pPr>
    </w:p>
    <w:p w14:paraId="6232236D" w14:textId="77777777" w:rsidR="00692DC8" w:rsidRPr="00692DC8" w:rsidRDefault="00692DC8" w:rsidP="00DE6F38">
      <w:pPr>
        <w:pStyle w:val="Ttulo4"/>
        <w:spacing w:after="240"/>
        <w:rPr>
          <w:rFonts w:eastAsia="Times New Roman"/>
        </w:rPr>
      </w:pPr>
      <w:bookmarkStart w:id="634" w:name="_Toc14344771"/>
      <w:bookmarkStart w:id="635" w:name="_Toc33601258"/>
      <w:bookmarkStart w:id="636" w:name="_Toc82768975"/>
      <w:bookmarkStart w:id="637" w:name="_Toc189804872"/>
      <w:r w:rsidRPr="00692DC8">
        <w:rPr>
          <w:rFonts w:eastAsia="Times New Roman"/>
        </w:rPr>
        <w:t>NOTA N° 3</w:t>
      </w:r>
      <w:bookmarkEnd w:id="634"/>
      <w:r w:rsidRPr="00692DC8">
        <w:rPr>
          <w:rFonts w:eastAsia="Times New Roman"/>
        </w:rPr>
        <w:t>3</w:t>
      </w:r>
      <w:bookmarkEnd w:id="635"/>
      <w:bookmarkEnd w:id="636"/>
      <w:bookmarkEnd w:id="637"/>
    </w:p>
    <w:p w14:paraId="1E71728C" w14:textId="77777777" w:rsidR="00396CB4" w:rsidRDefault="00692DC8" w:rsidP="00F51D42">
      <w:pPr>
        <w:spacing w:before="240"/>
        <w:rPr>
          <w:rFonts w:asciiTheme="minorHAnsi" w:hAnsiTheme="minorHAnsi"/>
          <w:sz w:val="22"/>
        </w:rPr>
      </w:pPr>
      <w:bookmarkStart w:id="638" w:name="_Toc14344772"/>
      <w:bookmarkStart w:id="639" w:name="_Toc33601259"/>
      <w:bookmarkStart w:id="640" w:name="_Toc82768976"/>
      <w:r w:rsidRPr="00692DC8">
        <w:rPr>
          <w:rFonts w:eastAsia="Times New Roman"/>
        </w:rPr>
        <w:t>Impuestos sobre bienes y servicios</w:t>
      </w:r>
      <w:bookmarkStart w:id="641" w:name="_Toc14344776"/>
      <w:bookmarkEnd w:id="638"/>
      <w:bookmarkEnd w:id="639"/>
      <w:bookmarkEnd w:id="640"/>
      <w:r w:rsidR="00521099">
        <w:rPr>
          <w:rFonts w:eastAsia="Times New Roman" w:cstheme="majorBidi"/>
          <w:iCs/>
          <w:lang w:val="es-ES" w:eastAsia="es-CR"/>
        </w:rPr>
        <w:fldChar w:fldCharType="begin"/>
      </w:r>
      <w:r w:rsidR="00521099">
        <w:rPr>
          <w:rFonts w:eastAsia="Times New Roman"/>
          <w:lang w:val="es-ES" w:eastAsia="es-CR"/>
        </w:rPr>
        <w:instrText xml:space="preserve"> LINK </w:instrText>
      </w:r>
      <w:r w:rsidR="00756467">
        <w:rPr>
          <w:rFonts w:eastAsia="Times New Roman"/>
          <w:lang w:val="es-ES" w:eastAsia="es-CR"/>
        </w:rPr>
        <w:instrText xml:space="preserve">Excel.SheetMacroEnabled.12 "C:\\Users\\gcordero\\Downloads\\Notas diciembre 2024\\Formato_Notas_EEFF_Vinculadas_2024\\Formato_Notas_EEFF_Vinculadas_2024\\15603_T04_2024_Anexo_Estado_Notas_Contables_Vinculadas.xlsm" NOTAS_POR_CUENTA!F236C1:F238C6 </w:instrText>
      </w:r>
      <w:r w:rsidR="00521099">
        <w:rPr>
          <w:rFonts w:eastAsia="Times New Roman"/>
          <w:lang w:val="es-ES" w:eastAsia="es-CR"/>
        </w:rPr>
        <w:instrText xml:space="preserve">\a \f 4 \h </w:instrText>
      </w:r>
      <w:r w:rsidR="00521099">
        <w:rPr>
          <w:rFonts w:eastAsia="Times New Roman"/>
          <w:b/>
          <w:lang w:val="es-ES" w:eastAsia="es-CR"/>
        </w:rPr>
        <w:fldChar w:fldCharType="separate"/>
      </w:r>
    </w:p>
    <w:tbl>
      <w:tblPr>
        <w:tblW w:w="9600" w:type="dxa"/>
        <w:tblCellMar>
          <w:left w:w="70" w:type="dxa"/>
          <w:right w:w="70" w:type="dxa"/>
        </w:tblCellMar>
        <w:tblLook w:val="04A0" w:firstRow="1" w:lastRow="0" w:firstColumn="1" w:lastColumn="0" w:noHBand="0" w:noVBand="1"/>
      </w:tblPr>
      <w:tblGrid>
        <w:gridCol w:w="1286"/>
        <w:gridCol w:w="2594"/>
        <w:gridCol w:w="500"/>
        <w:gridCol w:w="2100"/>
        <w:gridCol w:w="2100"/>
        <w:gridCol w:w="1020"/>
      </w:tblGrid>
      <w:tr w:rsidR="00396CB4" w:rsidRPr="00396CB4" w14:paraId="7E134CE0" w14:textId="77777777" w:rsidTr="00396CB4">
        <w:trPr>
          <w:divId w:val="1874729752"/>
          <w:trHeight w:val="330"/>
        </w:trPr>
        <w:tc>
          <w:tcPr>
            <w:tcW w:w="128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AEB1B4D" w14:textId="6C76A3A9" w:rsidR="00396CB4" w:rsidRPr="00396CB4" w:rsidRDefault="00396CB4" w:rsidP="00396CB4">
            <w:pP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259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8835B32"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24E81AE"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8D1B4FE"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0196ABD"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6A208ECD"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17DEB451" w14:textId="77777777" w:rsidTr="00396CB4">
        <w:trPr>
          <w:divId w:val="1874729752"/>
          <w:trHeight w:val="330"/>
        </w:trPr>
        <w:tc>
          <w:tcPr>
            <w:tcW w:w="1286" w:type="dxa"/>
            <w:vMerge/>
            <w:tcBorders>
              <w:top w:val="single" w:sz="8" w:space="0" w:color="auto"/>
              <w:left w:val="single" w:sz="8" w:space="0" w:color="auto"/>
              <w:bottom w:val="single" w:sz="8" w:space="0" w:color="000000"/>
              <w:right w:val="single" w:sz="8" w:space="0" w:color="auto"/>
            </w:tcBorders>
            <w:vAlign w:val="center"/>
            <w:hideMark/>
          </w:tcPr>
          <w:p w14:paraId="45792543"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594" w:type="dxa"/>
            <w:vMerge/>
            <w:tcBorders>
              <w:top w:val="single" w:sz="8" w:space="0" w:color="auto"/>
              <w:left w:val="single" w:sz="8" w:space="0" w:color="auto"/>
              <w:bottom w:val="single" w:sz="8" w:space="0" w:color="000000"/>
              <w:right w:val="single" w:sz="8" w:space="0" w:color="auto"/>
            </w:tcBorders>
            <w:vAlign w:val="center"/>
            <w:hideMark/>
          </w:tcPr>
          <w:p w14:paraId="539746CB"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6D83B036"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700BF8FB"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165BAEA5"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5647B45A"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6A30C807" w14:textId="77777777" w:rsidTr="00396CB4">
        <w:trPr>
          <w:divId w:val="1874729752"/>
          <w:trHeight w:val="330"/>
        </w:trPr>
        <w:tc>
          <w:tcPr>
            <w:tcW w:w="1286" w:type="dxa"/>
            <w:tcBorders>
              <w:top w:val="nil"/>
              <w:left w:val="single" w:sz="8" w:space="0" w:color="auto"/>
              <w:bottom w:val="single" w:sz="8" w:space="0" w:color="auto"/>
              <w:right w:val="single" w:sz="8" w:space="0" w:color="auto"/>
            </w:tcBorders>
            <w:shd w:val="clear" w:color="auto" w:fill="auto"/>
            <w:noWrap/>
            <w:vAlign w:val="center"/>
            <w:hideMark/>
          </w:tcPr>
          <w:p w14:paraId="55B8562D"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4.1.3.</w:t>
            </w:r>
          </w:p>
        </w:tc>
        <w:tc>
          <w:tcPr>
            <w:tcW w:w="2594" w:type="dxa"/>
            <w:tcBorders>
              <w:top w:val="nil"/>
              <w:left w:val="nil"/>
              <w:bottom w:val="single" w:sz="8" w:space="0" w:color="auto"/>
              <w:right w:val="single" w:sz="8" w:space="0" w:color="auto"/>
            </w:tcBorders>
            <w:shd w:val="clear" w:color="auto" w:fill="auto"/>
            <w:vAlign w:val="center"/>
            <w:hideMark/>
          </w:tcPr>
          <w:p w14:paraId="1BCED285" w14:textId="77777777" w:rsidR="00396CB4" w:rsidRPr="00396CB4" w:rsidRDefault="00396CB4" w:rsidP="00396CB4">
            <w:pPr>
              <w:spacing w:after="0" w:line="240" w:lineRule="auto"/>
              <w:rPr>
                <w:rFonts w:eastAsia="Times New Roman" w:cs="Calibri"/>
                <w:b/>
                <w:bCs/>
                <w:color w:val="000000"/>
                <w:sz w:val="18"/>
                <w:szCs w:val="18"/>
                <w:lang w:eastAsia="es-CR"/>
              </w:rPr>
            </w:pPr>
            <w:r w:rsidRPr="00396CB4">
              <w:rPr>
                <w:rFonts w:eastAsia="Times New Roman" w:cs="Calibri"/>
                <w:b/>
                <w:bCs/>
                <w:color w:val="000000"/>
                <w:sz w:val="18"/>
                <w:szCs w:val="18"/>
                <w:lang w:eastAsia="es-CR"/>
              </w:rPr>
              <w:t>Impuestos sobre bienes y servicios</w:t>
            </w:r>
          </w:p>
        </w:tc>
        <w:tc>
          <w:tcPr>
            <w:tcW w:w="500" w:type="dxa"/>
            <w:tcBorders>
              <w:top w:val="nil"/>
              <w:left w:val="nil"/>
              <w:bottom w:val="single" w:sz="8" w:space="0" w:color="auto"/>
              <w:right w:val="single" w:sz="8" w:space="0" w:color="auto"/>
            </w:tcBorders>
            <w:shd w:val="clear" w:color="auto" w:fill="auto"/>
            <w:noWrap/>
            <w:vAlign w:val="center"/>
            <w:hideMark/>
          </w:tcPr>
          <w:p w14:paraId="686EE772"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33</w:t>
            </w:r>
          </w:p>
        </w:tc>
        <w:tc>
          <w:tcPr>
            <w:tcW w:w="2100" w:type="dxa"/>
            <w:tcBorders>
              <w:top w:val="nil"/>
              <w:left w:val="nil"/>
              <w:bottom w:val="single" w:sz="8" w:space="0" w:color="auto"/>
              <w:right w:val="single" w:sz="8" w:space="0" w:color="auto"/>
            </w:tcBorders>
            <w:shd w:val="clear" w:color="auto" w:fill="auto"/>
            <w:noWrap/>
            <w:vAlign w:val="center"/>
            <w:hideMark/>
          </w:tcPr>
          <w:p w14:paraId="01B1E3EC"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396 638,15 </w:t>
            </w:r>
          </w:p>
        </w:tc>
        <w:tc>
          <w:tcPr>
            <w:tcW w:w="2100" w:type="dxa"/>
            <w:tcBorders>
              <w:top w:val="nil"/>
              <w:left w:val="nil"/>
              <w:bottom w:val="single" w:sz="8" w:space="0" w:color="auto"/>
              <w:right w:val="single" w:sz="8" w:space="0" w:color="auto"/>
            </w:tcBorders>
            <w:shd w:val="clear" w:color="auto" w:fill="auto"/>
            <w:noWrap/>
            <w:vAlign w:val="center"/>
            <w:hideMark/>
          </w:tcPr>
          <w:p w14:paraId="2081909B"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428 075,51 </w:t>
            </w:r>
          </w:p>
        </w:tc>
        <w:tc>
          <w:tcPr>
            <w:tcW w:w="1020" w:type="dxa"/>
            <w:tcBorders>
              <w:top w:val="nil"/>
              <w:left w:val="nil"/>
              <w:bottom w:val="single" w:sz="8" w:space="0" w:color="auto"/>
              <w:right w:val="single" w:sz="8" w:space="0" w:color="auto"/>
            </w:tcBorders>
            <w:shd w:val="clear" w:color="auto" w:fill="auto"/>
            <w:noWrap/>
            <w:vAlign w:val="center"/>
            <w:hideMark/>
          </w:tcPr>
          <w:p w14:paraId="259542CF"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-7,34%</w:t>
            </w:r>
          </w:p>
        </w:tc>
      </w:tr>
    </w:tbl>
    <w:p w14:paraId="573813F8" w14:textId="77777777" w:rsidR="00396CB4" w:rsidRPr="00396CB4" w:rsidRDefault="00521099" w:rsidP="00396CB4">
      <w:pPr>
        <w:spacing w:before="240"/>
        <w:rPr>
          <w:rFonts w:eastAsia="Times New Roman"/>
          <w:b/>
          <w:bCs/>
          <w:sz w:val="22"/>
          <w:lang w:val="es-ES" w:eastAsia="es-CR"/>
        </w:rPr>
      </w:pPr>
      <w:r>
        <w:rPr>
          <w:rFonts w:eastAsia="Times New Roman"/>
          <w:b/>
          <w:bCs/>
          <w:sz w:val="22"/>
          <w:lang w:val="es-ES" w:eastAsia="es-CR"/>
        </w:rPr>
        <w:fldChar w:fldCharType="end"/>
      </w:r>
      <w:r w:rsidR="00692DC8" w:rsidRPr="00692DC8">
        <w:rPr>
          <w:rFonts w:eastAsia="Times New Roman"/>
          <w:b/>
          <w:bCs/>
          <w:sz w:val="22"/>
          <w:lang w:val="es-ES" w:eastAsia="es-CR"/>
        </w:rPr>
        <w:t>Revelación</w:t>
      </w:r>
      <w:r w:rsidR="00692DC8" w:rsidRPr="00692DC8">
        <w:rPr>
          <w:rFonts w:eastAsia="Times New Roman"/>
          <w:sz w:val="22"/>
          <w:lang w:val="es-ES" w:eastAsia="es-CR"/>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756467">
        <w:rPr>
          <w:rFonts w:eastAsia="Times New Roman" w:cs="Calibri"/>
          <w:color w:val="000000"/>
          <w:lang w:eastAsia="es-CR"/>
        </w:rPr>
        <w:instrText xml:space="preserve">Excel.SheetMacroEnabled.12 "C:\\Users\\gcordero\\Downloads\\Notas diciembre 2024\\Formato_Notas_EEFF_Vinculadas_2024\\Formato_Notas_EEFF_Vinculadas_2024\\15603_T04_2024_Anexo_Estado_Notas_Contables_Vinculadas.xlsm" NOTAS_POR_CUENTA!F238C8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729C5866" w14:textId="77777777" w:rsidR="00396CB4" w:rsidRPr="00396CB4" w:rsidRDefault="00396CB4" w:rsidP="00396CB4">
      <w:pPr>
        <w:rPr>
          <w:rFonts w:eastAsia="Times New Roman" w:cs="Calibri"/>
          <w:color w:val="000000"/>
          <w:lang w:eastAsia="es-CR"/>
        </w:rPr>
      </w:pPr>
      <w:r w:rsidRPr="00396CB4">
        <w:rPr>
          <w:rFonts w:eastAsia="Times New Roman" w:cs="Calibri"/>
          <w:color w:val="000000"/>
          <w:lang w:eastAsia="es-CR"/>
        </w:rPr>
        <w:t>La cuenta Impuestos sobre bienes y servicios, representa el 6,83% del total del Ingresos, que comparado al periodo anterior genera una variación absoluta de -31 437,36 que corresponde a un Disminución del -7,34% de recursos disponibles.</w:t>
      </w:r>
    </w:p>
    <w:p w14:paraId="485C9EA7" w14:textId="72389163" w:rsidR="00692DC8" w:rsidRDefault="00521099" w:rsidP="00521099">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7F2E6B43" w14:textId="77777777" w:rsidR="003A0771" w:rsidRPr="00692DC8" w:rsidRDefault="003A0771" w:rsidP="00521099">
      <w:pPr>
        <w:rPr>
          <w:rFonts w:eastAsiaTheme="minorEastAsia" w:cs="Arial Narrow"/>
          <w:color w:val="000000"/>
          <w:lang w:eastAsia="es-CR"/>
        </w:rPr>
      </w:pPr>
    </w:p>
    <w:p w14:paraId="77C8C4F1" w14:textId="6C384995" w:rsidR="006554F9" w:rsidRPr="006554F9" w:rsidRDefault="00500AC8" w:rsidP="006554F9">
      <w:pPr>
        <w:spacing w:after="0" w:line="240" w:lineRule="auto"/>
        <w:rPr>
          <w:rFonts w:ascii="Arial" w:hAnsi="Arial" w:cs="Arial"/>
          <w:b/>
          <w:bCs/>
          <w:color w:val="000000"/>
          <w:szCs w:val="24"/>
          <w:lang w:eastAsia="es-CR"/>
        </w:rPr>
      </w:pPr>
      <w:r w:rsidRPr="006554F9">
        <w:rPr>
          <w:rFonts w:cs="Calibri"/>
          <w:color w:val="000000"/>
          <w:szCs w:val="24"/>
          <w:lang w:eastAsia="es-CR"/>
        </w:rPr>
        <w:lastRenderedPageBreak/>
        <w:t>Como se puede observar en el siguiente cuadro la variación (</w:t>
      </w:r>
      <w:r w:rsidR="006554F9" w:rsidRPr="006554F9">
        <w:rPr>
          <w:rFonts w:cs="Calibri"/>
          <w:color w:val="000000"/>
          <w:szCs w:val="24"/>
          <w:lang w:eastAsia="es-CR"/>
        </w:rPr>
        <w:t>disminución</w:t>
      </w:r>
      <w:r w:rsidRPr="006554F9">
        <w:rPr>
          <w:rFonts w:cs="Calibri"/>
          <w:color w:val="000000"/>
          <w:szCs w:val="24"/>
          <w:lang w:eastAsia="es-CR"/>
        </w:rPr>
        <w:t xml:space="preserve">) de </w:t>
      </w:r>
      <w:r w:rsidR="006554F9" w:rsidRPr="006554F9">
        <w:rPr>
          <w:rFonts w:cs="Arial"/>
          <w:color w:val="000000"/>
          <w:szCs w:val="24"/>
          <w:lang w:eastAsia="es-CR"/>
        </w:rPr>
        <w:t>-</w:t>
      </w:r>
      <w:r w:rsidR="006554F9" w:rsidRPr="006554F9">
        <w:rPr>
          <w:rFonts w:ascii="Arial" w:hAnsi="Arial" w:cs="Arial"/>
          <w:color w:val="000000"/>
          <w:szCs w:val="24"/>
          <w:lang w:eastAsia="es-CR"/>
        </w:rPr>
        <w:t>₡</w:t>
      </w:r>
      <w:r w:rsidR="006554F9" w:rsidRPr="006554F9">
        <w:rPr>
          <w:rFonts w:cs="Arial"/>
          <w:color w:val="000000"/>
          <w:szCs w:val="24"/>
          <w:lang w:eastAsia="es-CR"/>
        </w:rPr>
        <w:t>31 437,36</w:t>
      </w:r>
    </w:p>
    <w:p w14:paraId="4FD94A29" w14:textId="6BF32896" w:rsidR="00500AC8" w:rsidRPr="006554F9" w:rsidRDefault="00500AC8" w:rsidP="00500AC8">
      <w:pPr>
        <w:spacing w:after="0" w:line="240" w:lineRule="auto"/>
        <w:rPr>
          <w:rFonts w:cs="Calibri"/>
          <w:color w:val="000000"/>
          <w:szCs w:val="24"/>
          <w:lang w:eastAsia="es-CR"/>
        </w:rPr>
      </w:pPr>
      <w:r w:rsidRPr="006554F9">
        <w:rPr>
          <w:rFonts w:cs="Calibri"/>
          <w:color w:val="000000"/>
          <w:szCs w:val="24"/>
          <w:lang w:eastAsia="es-CR"/>
        </w:rPr>
        <w:t xml:space="preserve">miles entre </w:t>
      </w:r>
      <w:r w:rsidR="00D64CF8" w:rsidRPr="006554F9">
        <w:rPr>
          <w:rFonts w:cs="Calibri"/>
          <w:color w:val="000000"/>
          <w:szCs w:val="24"/>
          <w:lang w:eastAsia="es-CR"/>
        </w:rPr>
        <w:t>diciembre</w:t>
      </w:r>
      <w:r w:rsidRPr="006554F9">
        <w:rPr>
          <w:rFonts w:cs="Calibri"/>
          <w:color w:val="000000"/>
          <w:szCs w:val="24"/>
          <w:lang w:eastAsia="es-CR"/>
        </w:rPr>
        <w:t xml:space="preserve"> de 2024 y </w:t>
      </w:r>
      <w:r w:rsidR="00D64CF8" w:rsidRPr="006554F9">
        <w:rPr>
          <w:rFonts w:cs="Calibri"/>
          <w:color w:val="000000"/>
          <w:szCs w:val="24"/>
          <w:lang w:eastAsia="es-CR"/>
        </w:rPr>
        <w:t>diciembre</w:t>
      </w:r>
      <w:r w:rsidRPr="006554F9">
        <w:rPr>
          <w:rFonts w:cs="Calibri"/>
          <w:color w:val="000000"/>
          <w:szCs w:val="24"/>
          <w:lang w:eastAsia="es-CR"/>
        </w:rPr>
        <w:t xml:space="preserve"> de 2023 en la cuenta Impuestos sobre bienes y servicios, se debe principalmente por el aumento de </w:t>
      </w:r>
      <w:r w:rsidR="006554F9" w:rsidRPr="006554F9">
        <w:rPr>
          <w:rFonts w:ascii="Arial" w:hAnsi="Arial" w:cs="Arial"/>
          <w:color w:val="000000"/>
          <w:szCs w:val="24"/>
          <w:lang w:eastAsia="es-CR"/>
        </w:rPr>
        <w:t>₡</w:t>
      </w:r>
      <w:r w:rsidR="006554F9" w:rsidRPr="006554F9">
        <w:rPr>
          <w:rFonts w:cs="Arial"/>
          <w:color w:val="000000"/>
          <w:szCs w:val="24"/>
          <w:lang w:eastAsia="es-CR"/>
        </w:rPr>
        <w:t>4 473,96</w:t>
      </w:r>
      <w:r w:rsidR="006554F9" w:rsidRPr="006554F9">
        <w:rPr>
          <w:rFonts w:ascii="Arial" w:hAnsi="Arial" w:cs="Arial"/>
          <w:color w:val="000000"/>
          <w:szCs w:val="24"/>
          <w:lang w:eastAsia="es-CR"/>
        </w:rPr>
        <w:t xml:space="preserve"> </w:t>
      </w:r>
      <w:r w:rsidRPr="006554F9">
        <w:rPr>
          <w:rFonts w:cs="Calibri"/>
          <w:color w:val="000000"/>
          <w:szCs w:val="24"/>
          <w:lang w:eastAsia="es-CR"/>
        </w:rPr>
        <w:t xml:space="preserve">miles en la cuenta Impuestos generales y selectivos sobre ventas y consumo; </w:t>
      </w:r>
      <w:r w:rsidR="006554F9" w:rsidRPr="006554F9">
        <w:rPr>
          <w:rFonts w:cs="Calibri"/>
          <w:color w:val="000000"/>
          <w:szCs w:val="24"/>
          <w:lang w:eastAsia="es-CR"/>
        </w:rPr>
        <w:t>la disminución</w:t>
      </w:r>
      <w:r w:rsidRPr="006554F9">
        <w:rPr>
          <w:rFonts w:cs="Calibri"/>
          <w:color w:val="000000"/>
          <w:szCs w:val="24"/>
          <w:lang w:eastAsia="es-CR"/>
        </w:rPr>
        <w:t xml:space="preserve"> de </w:t>
      </w:r>
      <w:r w:rsidR="006554F9" w:rsidRPr="006554F9">
        <w:rPr>
          <w:rFonts w:cs="Calibri"/>
          <w:color w:val="000000"/>
          <w:szCs w:val="24"/>
          <w:lang w:eastAsia="es-CR"/>
        </w:rPr>
        <w:t>-</w:t>
      </w:r>
      <w:r w:rsidRPr="006554F9">
        <w:rPr>
          <w:rFonts w:ascii="Arial" w:hAnsi="Arial" w:cs="Arial"/>
          <w:color w:val="000000"/>
          <w:szCs w:val="24"/>
          <w:lang w:eastAsia="es-CR"/>
        </w:rPr>
        <w:t>₡</w:t>
      </w:r>
      <w:r w:rsidR="006554F9" w:rsidRPr="006554F9">
        <w:rPr>
          <w:rFonts w:cs="Calibri"/>
          <w:color w:val="000000"/>
          <w:szCs w:val="24"/>
          <w:lang w:eastAsia="es-CR"/>
        </w:rPr>
        <w:t xml:space="preserve">36 734,34 </w:t>
      </w:r>
      <w:r w:rsidRPr="006554F9">
        <w:rPr>
          <w:rFonts w:cs="Calibri"/>
          <w:color w:val="000000"/>
          <w:szCs w:val="24"/>
          <w:lang w:eastAsia="es-CR"/>
        </w:rPr>
        <w:t xml:space="preserve">miles en la cuenta Impuestos específicos sobre la producción y consumo de bienes y servicios; y el aumento de </w:t>
      </w:r>
      <w:r w:rsidRPr="006554F9">
        <w:rPr>
          <w:rFonts w:ascii="Arial" w:hAnsi="Arial" w:cs="Arial"/>
          <w:color w:val="000000"/>
          <w:szCs w:val="24"/>
          <w:lang w:eastAsia="es-CR"/>
        </w:rPr>
        <w:t>₡</w:t>
      </w:r>
      <w:r w:rsidR="006554F9" w:rsidRPr="006554F9">
        <w:rPr>
          <w:rFonts w:cs="Calibri"/>
          <w:color w:val="000000"/>
          <w:szCs w:val="24"/>
          <w:lang w:eastAsia="es-CR"/>
        </w:rPr>
        <w:t xml:space="preserve">823,03 </w:t>
      </w:r>
      <w:r w:rsidRPr="006554F9">
        <w:rPr>
          <w:rFonts w:cs="Calibri"/>
          <w:color w:val="000000"/>
          <w:szCs w:val="24"/>
          <w:lang w:eastAsia="es-CR"/>
        </w:rPr>
        <w:t>en la cuenta de Otros impuestos sobre bienes y servicios. Como se aprecia en el siguiente detalle:</w:t>
      </w:r>
    </w:p>
    <w:p w14:paraId="5DFEF7CF" w14:textId="77777777" w:rsidR="00500AC8" w:rsidRDefault="00500AC8" w:rsidP="00500AC8">
      <w:pPr>
        <w:spacing w:after="0" w:line="240" w:lineRule="auto"/>
        <w:rPr>
          <w:szCs w:val="24"/>
        </w:rPr>
      </w:pPr>
    </w:p>
    <w:p w14:paraId="2A559CD7" w14:textId="3AA02E16" w:rsidR="00692DC8" w:rsidRDefault="006554F9" w:rsidP="00DE6F38">
      <w:pPr>
        <w:rPr>
          <w:szCs w:val="24"/>
        </w:rPr>
      </w:pPr>
      <w:r w:rsidRPr="006554F9">
        <w:rPr>
          <w:noProof/>
          <w:lang w:eastAsia="es-CR"/>
        </w:rPr>
        <w:drawing>
          <wp:inline distT="0" distB="0" distL="0" distR="0" wp14:anchorId="3419A41B" wp14:editId="40310FEF">
            <wp:extent cx="5652770" cy="1423283"/>
            <wp:effectExtent l="0" t="0" r="5080" b="5715"/>
            <wp:docPr id="211230415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58458" cy="1424715"/>
                    </a:xfrm>
                    <a:prstGeom prst="rect">
                      <a:avLst/>
                    </a:prstGeom>
                    <a:noFill/>
                    <a:ln>
                      <a:noFill/>
                    </a:ln>
                  </pic:spPr>
                </pic:pic>
              </a:graphicData>
            </a:graphic>
          </wp:inline>
        </w:drawing>
      </w:r>
    </w:p>
    <w:p w14:paraId="30FFC30A" w14:textId="77777777" w:rsidR="006554F9" w:rsidRDefault="006554F9" w:rsidP="00DE6F38">
      <w:pPr>
        <w:pStyle w:val="Ttulo4"/>
        <w:spacing w:after="240"/>
        <w:rPr>
          <w:rFonts w:eastAsia="Times New Roman"/>
        </w:rPr>
      </w:pPr>
      <w:bookmarkStart w:id="642" w:name="_Toc33601260"/>
      <w:bookmarkStart w:id="643" w:name="_Toc82768977"/>
    </w:p>
    <w:p w14:paraId="53B62F70" w14:textId="77777777" w:rsidR="006554F9" w:rsidRPr="006554F9" w:rsidRDefault="006554F9" w:rsidP="006554F9"/>
    <w:p w14:paraId="316EAE96" w14:textId="5EEA223C" w:rsidR="00692DC8" w:rsidRPr="00692DC8" w:rsidRDefault="00692DC8" w:rsidP="00DE6F38">
      <w:pPr>
        <w:pStyle w:val="Ttulo4"/>
        <w:spacing w:after="240"/>
        <w:rPr>
          <w:rFonts w:eastAsia="Times New Roman"/>
        </w:rPr>
      </w:pPr>
      <w:bookmarkStart w:id="644" w:name="_Toc189804873"/>
      <w:r w:rsidRPr="00692DC8">
        <w:rPr>
          <w:rFonts w:eastAsia="Times New Roman"/>
        </w:rPr>
        <w:t>NOTA N° 34</w:t>
      </w:r>
      <w:bookmarkEnd w:id="641"/>
      <w:bookmarkEnd w:id="642"/>
      <w:bookmarkEnd w:id="643"/>
      <w:bookmarkEnd w:id="644"/>
    </w:p>
    <w:p w14:paraId="234A92B6" w14:textId="77777777" w:rsidR="00396CB4" w:rsidRDefault="00692DC8" w:rsidP="00F51D42">
      <w:pPr>
        <w:spacing w:before="240"/>
        <w:rPr>
          <w:rFonts w:asciiTheme="minorHAnsi" w:hAnsiTheme="minorHAnsi"/>
          <w:sz w:val="22"/>
        </w:rPr>
      </w:pPr>
      <w:bookmarkStart w:id="645" w:name="_Toc14344777"/>
      <w:bookmarkStart w:id="646" w:name="_Toc33601261"/>
      <w:bookmarkStart w:id="647" w:name="_Toc82768978"/>
      <w:r w:rsidRPr="00692DC8">
        <w:rPr>
          <w:rFonts w:eastAsia="Times New Roman"/>
        </w:rPr>
        <w:t>Impuestos sobre el comercio exterior y transacciones internacionales</w:t>
      </w:r>
      <w:bookmarkEnd w:id="645"/>
      <w:bookmarkEnd w:id="646"/>
      <w:bookmarkEnd w:id="647"/>
      <w:r w:rsidR="00521099">
        <w:rPr>
          <w:rFonts w:eastAsiaTheme="majorEastAsia" w:cstheme="majorBidi"/>
          <w:iCs/>
          <w:lang w:val="es-ES"/>
        </w:rPr>
        <w:fldChar w:fldCharType="begin"/>
      </w:r>
      <w:r w:rsidR="00521099">
        <w:rPr>
          <w:lang w:val="es-ES"/>
        </w:rPr>
        <w:instrText xml:space="preserve"> LINK </w:instrText>
      </w:r>
      <w:r w:rsidR="00756467">
        <w:rPr>
          <w:lang w:val="es-ES"/>
        </w:rPr>
        <w:instrText xml:space="preserve">Excel.SheetMacroEnabled.12 "C:\\Users\\gcordero\\Downloads\\Notas diciembre 2024\\Formato_Notas_EEFF_Vinculadas_2024\\Formato_Notas_EEFF_Vinculadas_2024\\15603_T04_2024_Anexo_Estado_Notas_Contables_Vinculadas.xlsm" NOTAS_POR_CUENTA!F240C1:F242C6 </w:instrText>
      </w:r>
      <w:r w:rsidR="00521099">
        <w:rPr>
          <w:lang w:val="es-ES"/>
        </w:rPr>
        <w:instrText xml:space="preserve">\a \f 4 \h </w:instrText>
      </w:r>
      <w:r w:rsidR="00521099">
        <w:rPr>
          <w:b/>
          <w:lang w:val="es-ES"/>
        </w:rPr>
        <w:fldChar w:fldCharType="separate"/>
      </w:r>
    </w:p>
    <w:tbl>
      <w:tblPr>
        <w:tblW w:w="9600" w:type="dxa"/>
        <w:tblCellMar>
          <w:left w:w="70" w:type="dxa"/>
          <w:right w:w="70" w:type="dxa"/>
        </w:tblCellMar>
        <w:tblLook w:val="04A0" w:firstRow="1" w:lastRow="0" w:firstColumn="1" w:lastColumn="0" w:noHBand="0" w:noVBand="1"/>
      </w:tblPr>
      <w:tblGrid>
        <w:gridCol w:w="1845"/>
        <w:gridCol w:w="2035"/>
        <w:gridCol w:w="500"/>
        <w:gridCol w:w="2100"/>
        <w:gridCol w:w="2100"/>
        <w:gridCol w:w="1020"/>
      </w:tblGrid>
      <w:tr w:rsidR="00396CB4" w:rsidRPr="00396CB4" w14:paraId="211B710A" w14:textId="77777777" w:rsidTr="00396CB4">
        <w:trPr>
          <w:divId w:val="1366100165"/>
          <w:trHeight w:val="330"/>
        </w:trPr>
        <w:tc>
          <w:tcPr>
            <w:tcW w:w="1845"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6B3881A" w14:textId="154C183D" w:rsidR="00396CB4" w:rsidRPr="00396CB4" w:rsidRDefault="00396CB4" w:rsidP="00396CB4">
            <w:pP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2035"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07955F7"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9E3BCC6"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0CDBBD1"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FAB0A22"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2FB07F96"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315F74D7" w14:textId="77777777" w:rsidTr="00396CB4">
        <w:trPr>
          <w:divId w:val="1366100165"/>
          <w:trHeight w:val="330"/>
        </w:trPr>
        <w:tc>
          <w:tcPr>
            <w:tcW w:w="1845" w:type="dxa"/>
            <w:vMerge/>
            <w:tcBorders>
              <w:top w:val="single" w:sz="8" w:space="0" w:color="auto"/>
              <w:left w:val="single" w:sz="8" w:space="0" w:color="auto"/>
              <w:bottom w:val="single" w:sz="8" w:space="0" w:color="000000"/>
              <w:right w:val="single" w:sz="8" w:space="0" w:color="auto"/>
            </w:tcBorders>
            <w:vAlign w:val="center"/>
            <w:hideMark/>
          </w:tcPr>
          <w:p w14:paraId="34CC546A"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035" w:type="dxa"/>
            <w:vMerge/>
            <w:tcBorders>
              <w:top w:val="single" w:sz="8" w:space="0" w:color="auto"/>
              <w:left w:val="single" w:sz="8" w:space="0" w:color="auto"/>
              <w:bottom w:val="single" w:sz="8" w:space="0" w:color="000000"/>
              <w:right w:val="single" w:sz="8" w:space="0" w:color="auto"/>
            </w:tcBorders>
            <w:vAlign w:val="center"/>
            <w:hideMark/>
          </w:tcPr>
          <w:p w14:paraId="1DCF40CC"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32F5A73B"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151D431A"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1EA3E68F"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10D0B293"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47BC13B0" w14:textId="77777777" w:rsidTr="00396CB4">
        <w:trPr>
          <w:divId w:val="1366100165"/>
          <w:trHeight w:val="555"/>
        </w:trPr>
        <w:tc>
          <w:tcPr>
            <w:tcW w:w="1845" w:type="dxa"/>
            <w:tcBorders>
              <w:top w:val="nil"/>
              <w:left w:val="single" w:sz="8" w:space="0" w:color="auto"/>
              <w:bottom w:val="single" w:sz="8" w:space="0" w:color="auto"/>
              <w:right w:val="single" w:sz="8" w:space="0" w:color="auto"/>
            </w:tcBorders>
            <w:shd w:val="clear" w:color="auto" w:fill="auto"/>
            <w:noWrap/>
            <w:vAlign w:val="center"/>
            <w:hideMark/>
          </w:tcPr>
          <w:p w14:paraId="361221DD"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4.1.4.</w:t>
            </w:r>
          </w:p>
        </w:tc>
        <w:tc>
          <w:tcPr>
            <w:tcW w:w="2035" w:type="dxa"/>
            <w:tcBorders>
              <w:top w:val="nil"/>
              <w:left w:val="nil"/>
              <w:bottom w:val="single" w:sz="8" w:space="0" w:color="auto"/>
              <w:right w:val="single" w:sz="8" w:space="0" w:color="auto"/>
            </w:tcBorders>
            <w:shd w:val="clear" w:color="auto" w:fill="auto"/>
            <w:vAlign w:val="center"/>
            <w:hideMark/>
          </w:tcPr>
          <w:p w14:paraId="70A9F93E" w14:textId="77777777" w:rsidR="00396CB4" w:rsidRPr="00396CB4" w:rsidRDefault="00396CB4" w:rsidP="00396CB4">
            <w:pPr>
              <w:spacing w:after="0" w:line="240" w:lineRule="auto"/>
              <w:rPr>
                <w:rFonts w:eastAsia="Times New Roman" w:cs="Calibri"/>
                <w:b/>
                <w:bCs/>
                <w:color w:val="000000"/>
                <w:sz w:val="18"/>
                <w:szCs w:val="18"/>
                <w:lang w:eastAsia="es-CR"/>
              </w:rPr>
            </w:pPr>
            <w:r w:rsidRPr="00396CB4">
              <w:rPr>
                <w:rFonts w:eastAsia="Times New Roman" w:cs="Calibri"/>
                <w:b/>
                <w:bCs/>
                <w:color w:val="000000"/>
                <w:sz w:val="18"/>
                <w:szCs w:val="18"/>
                <w:lang w:eastAsia="es-CR"/>
              </w:rPr>
              <w:t>Impuestos sobre el comercio exterior y transacciones internacionales</w:t>
            </w:r>
          </w:p>
        </w:tc>
        <w:tc>
          <w:tcPr>
            <w:tcW w:w="500" w:type="dxa"/>
            <w:tcBorders>
              <w:top w:val="nil"/>
              <w:left w:val="nil"/>
              <w:bottom w:val="single" w:sz="8" w:space="0" w:color="auto"/>
              <w:right w:val="single" w:sz="8" w:space="0" w:color="auto"/>
            </w:tcBorders>
            <w:shd w:val="clear" w:color="auto" w:fill="auto"/>
            <w:noWrap/>
            <w:vAlign w:val="center"/>
            <w:hideMark/>
          </w:tcPr>
          <w:p w14:paraId="43CBB72F"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34</w:t>
            </w:r>
          </w:p>
        </w:tc>
        <w:tc>
          <w:tcPr>
            <w:tcW w:w="2100" w:type="dxa"/>
            <w:tcBorders>
              <w:top w:val="nil"/>
              <w:left w:val="nil"/>
              <w:bottom w:val="single" w:sz="8" w:space="0" w:color="auto"/>
              <w:right w:val="single" w:sz="8" w:space="0" w:color="auto"/>
            </w:tcBorders>
            <w:shd w:val="clear" w:color="auto" w:fill="auto"/>
            <w:noWrap/>
            <w:vAlign w:val="center"/>
            <w:hideMark/>
          </w:tcPr>
          <w:p w14:paraId="793F630F"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2100" w:type="dxa"/>
            <w:tcBorders>
              <w:top w:val="nil"/>
              <w:left w:val="nil"/>
              <w:bottom w:val="single" w:sz="8" w:space="0" w:color="auto"/>
              <w:right w:val="single" w:sz="8" w:space="0" w:color="auto"/>
            </w:tcBorders>
            <w:shd w:val="clear" w:color="auto" w:fill="auto"/>
            <w:noWrap/>
            <w:vAlign w:val="center"/>
            <w:hideMark/>
          </w:tcPr>
          <w:p w14:paraId="0FC82040"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1020" w:type="dxa"/>
            <w:tcBorders>
              <w:top w:val="nil"/>
              <w:left w:val="nil"/>
              <w:bottom w:val="single" w:sz="8" w:space="0" w:color="auto"/>
              <w:right w:val="single" w:sz="8" w:space="0" w:color="auto"/>
            </w:tcBorders>
            <w:shd w:val="clear" w:color="auto" w:fill="auto"/>
            <w:noWrap/>
            <w:vAlign w:val="center"/>
            <w:hideMark/>
          </w:tcPr>
          <w:p w14:paraId="0B89FD03"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0,00%</w:t>
            </w:r>
          </w:p>
        </w:tc>
      </w:tr>
    </w:tbl>
    <w:p w14:paraId="7E2322C0" w14:textId="77777777" w:rsidR="00396CB4" w:rsidRPr="00396CB4" w:rsidRDefault="00521099" w:rsidP="00396CB4">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756467">
        <w:rPr>
          <w:rFonts w:eastAsia="Times New Roman" w:cs="Calibri"/>
          <w:color w:val="000000"/>
          <w:lang w:eastAsia="es-CR"/>
        </w:rPr>
        <w:instrText xml:space="preserve">Excel.SheetMacroEnabled.12 "C:\\Users\\gcordero\\Downloads\\Notas diciembre 2024\\Formato_Notas_EEFF_Vinculadas_2024\\Formato_Notas_EEFF_Vinculadas_2024\\15603_T04_2024_Anexo_Estado_Notas_Contables_Vinculadas.xlsm" NOTAS_POR_CUENTA!F242C8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297FD6C6" w14:textId="77777777" w:rsidR="00396CB4" w:rsidRPr="00396CB4" w:rsidRDefault="00396CB4" w:rsidP="00396CB4">
      <w:pPr>
        <w:rPr>
          <w:rFonts w:eastAsia="Times New Roman" w:cs="Calibri"/>
          <w:color w:val="000000"/>
          <w:lang w:eastAsia="es-CR"/>
        </w:rPr>
      </w:pPr>
      <w:r w:rsidRPr="00396CB4">
        <w:rPr>
          <w:rFonts w:eastAsia="Times New Roman" w:cs="Calibri"/>
          <w:color w:val="000000"/>
          <w:lang w:eastAsia="es-CR"/>
        </w:rPr>
        <w:t>La cuenta Impuestos sobre el comercio exterior y transacciones internacionales, representa el 0,00% del total del Ingresos, que comparado al periodo anterior genera una variación absoluta de 0 000,00 que corresponde a un Aumento del 0,00% de recursos disponibles.</w:t>
      </w:r>
    </w:p>
    <w:p w14:paraId="0AA727A4" w14:textId="5F761D21" w:rsidR="00692DC8" w:rsidRPr="00692DC8" w:rsidRDefault="00521099" w:rsidP="00521099">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179DC596" w14:textId="7AA13BEB" w:rsidR="00692DC8" w:rsidRDefault="00692DC8" w:rsidP="00DE6F38">
      <w:pPr>
        <w:rPr>
          <w:szCs w:val="24"/>
        </w:rPr>
      </w:pPr>
    </w:p>
    <w:p w14:paraId="1684AE4B" w14:textId="77777777" w:rsidR="00F72D2B" w:rsidRPr="00692DC8" w:rsidRDefault="00F72D2B" w:rsidP="00DE6F38">
      <w:pPr>
        <w:rPr>
          <w:szCs w:val="24"/>
        </w:rPr>
      </w:pPr>
    </w:p>
    <w:p w14:paraId="1AB1D0A8" w14:textId="77777777" w:rsidR="00692DC8" w:rsidRPr="00692DC8" w:rsidRDefault="00692DC8" w:rsidP="00623120">
      <w:pPr>
        <w:pStyle w:val="Ttulo4"/>
        <w:spacing w:after="240"/>
        <w:rPr>
          <w:rFonts w:eastAsia="Times New Roman"/>
        </w:rPr>
      </w:pPr>
      <w:bookmarkStart w:id="648" w:name="_Toc14344781"/>
      <w:bookmarkStart w:id="649" w:name="_Toc33601262"/>
      <w:bookmarkStart w:id="650" w:name="_Toc82768979"/>
      <w:bookmarkStart w:id="651" w:name="_Toc189804874"/>
      <w:r w:rsidRPr="00692DC8">
        <w:rPr>
          <w:rFonts w:eastAsia="Times New Roman"/>
        </w:rPr>
        <w:lastRenderedPageBreak/>
        <w:t>NOTA N° 35</w:t>
      </w:r>
      <w:bookmarkEnd w:id="648"/>
      <w:bookmarkEnd w:id="649"/>
      <w:bookmarkEnd w:id="650"/>
      <w:bookmarkEnd w:id="651"/>
    </w:p>
    <w:p w14:paraId="5FB38570" w14:textId="77777777" w:rsidR="00396CB4" w:rsidRDefault="00692DC8" w:rsidP="00F51D42">
      <w:pPr>
        <w:spacing w:before="240"/>
        <w:rPr>
          <w:rFonts w:asciiTheme="minorHAnsi" w:hAnsiTheme="minorHAnsi"/>
          <w:sz w:val="22"/>
        </w:rPr>
      </w:pPr>
      <w:bookmarkStart w:id="652" w:name="_Toc14344782"/>
      <w:bookmarkStart w:id="653" w:name="_Toc33601263"/>
      <w:bookmarkStart w:id="654" w:name="_Toc82768980"/>
      <w:r w:rsidRPr="00692DC8">
        <w:rPr>
          <w:rFonts w:eastAsia="Times New Roman"/>
        </w:rPr>
        <w:t>Otros impuestos</w:t>
      </w:r>
      <w:bookmarkEnd w:id="652"/>
      <w:bookmarkEnd w:id="653"/>
      <w:bookmarkEnd w:id="654"/>
      <w:r w:rsidR="00521099">
        <w:rPr>
          <w:rFonts w:eastAsiaTheme="majorEastAsia" w:cstheme="majorBidi"/>
          <w:iCs/>
          <w:lang w:val="es-ES"/>
        </w:rPr>
        <w:fldChar w:fldCharType="begin"/>
      </w:r>
      <w:r w:rsidR="00521099">
        <w:rPr>
          <w:lang w:val="es-ES"/>
        </w:rPr>
        <w:instrText xml:space="preserve"> LINK </w:instrText>
      </w:r>
      <w:r w:rsidR="00756467">
        <w:rPr>
          <w:lang w:val="es-ES"/>
        </w:rPr>
        <w:instrText xml:space="preserve">Excel.SheetMacroEnabled.12 "C:\\Users\\gcordero\\Downloads\\Notas diciembre 2024\\Formato_Notas_EEFF_Vinculadas_2024\\Formato_Notas_EEFF_Vinculadas_2024\\15603_T04_2024_Anexo_Estado_Notas_Contables_Vinculadas.xlsm" NOTAS_POR_CUENTA!F244C1:F246C6 </w:instrText>
      </w:r>
      <w:r w:rsidR="00521099">
        <w:rPr>
          <w:lang w:val="es-ES"/>
        </w:rPr>
        <w:instrText xml:space="preserve">\a \f 4 \h </w:instrText>
      </w:r>
      <w:r w:rsidR="00521099">
        <w:rPr>
          <w:b/>
          <w:lang w:val="es-ES"/>
        </w:rPr>
        <w:fldChar w:fldCharType="separate"/>
      </w:r>
    </w:p>
    <w:tbl>
      <w:tblPr>
        <w:tblW w:w="9600" w:type="dxa"/>
        <w:tblCellMar>
          <w:left w:w="70" w:type="dxa"/>
          <w:right w:w="70" w:type="dxa"/>
        </w:tblCellMar>
        <w:tblLook w:val="04A0" w:firstRow="1" w:lastRow="0" w:firstColumn="1" w:lastColumn="0" w:noHBand="0" w:noVBand="1"/>
      </w:tblPr>
      <w:tblGrid>
        <w:gridCol w:w="1418"/>
        <w:gridCol w:w="2462"/>
        <w:gridCol w:w="500"/>
        <w:gridCol w:w="2100"/>
        <w:gridCol w:w="2100"/>
        <w:gridCol w:w="1020"/>
      </w:tblGrid>
      <w:tr w:rsidR="00396CB4" w:rsidRPr="00396CB4" w14:paraId="6F744EB9" w14:textId="77777777" w:rsidTr="00396CB4">
        <w:trPr>
          <w:divId w:val="147985167"/>
          <w:trHeight w:val="330"/>
        </w:trPr>
        <w:tc>
          <w:tcPr>
            <w:tcW w:w="1418"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DF47FAB" w14:textId="4DF589C7" w:rsidR="00396CB4" w:rsidRPr="00396CB4" w:rsidRDefault="00396CB4" w:rsidP="00396CB4">
            <w:pP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2462"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7D281FD"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1D1899A"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E987F62"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B5BB36A"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27FEA7B3"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1D207C00" w14:textId="77777777" w:rsidTr="00396CB4">
        <w:trPr>
          <w:divId w:val="147985167"/>
          <w:trHeight w:val="330"/>
        </w:trPr>
        <w:tc>
          <w:tcPr>
            <w:tcW w:w="1418" w:type="dxa"/>
            <w:vMerge/>
            <w:tcBorders>
              <w:top w:val="single" w:sz="8" w:space="0" w:color="auto"/>
              <w:left w:val="single" w:sz="8" w:space="0" w:color="auto"/>
              <w:bottom w:val="single" w:sz="8" w:space="0" w:color="000000"/>
              <w:right w:val="single" w:sz="8" w:space="0" w:color="auto"/>
            </w:tcBorders>
            <w:vAlign w:val="center"/>
            <w:hideMark/>
          </w:tcPr>
          <w:p w14:paraId="5BFD0119"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462" w:type="dxa"/>
            <w:vMerge/>
            <w:tcBorders>
              <w:top w:val="single" w:sz="8" w:space="0" w:color="auto"/>
              <w:left w:val="single" w:sz="8" w:space="0" w:color="auto"/>
              <w:bottom w:val="single" w:sz="8" w:space="0" w:color="000000"/>
              <w:right w:val="single" w:sz="8" w:space="0" w:color="auto"/>
            </w:tcBorders>
            <w:vAlign w:val="center"/>
            <w:hideMark/>
          </w:tcPr>
          <w:p w14:paraId="141FF985"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29B42A33"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7FC3B9EB"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12C072F2"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7C066A14"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3CC4336C" w14:textId="77777777" w:rsidTr="00396CB4">
        <w:trPr>
          <w:divId w:val="147985167"/>
          <w:trHeight w:val="330"/>
        </w:trPr>
        <w:tc>
          <w:tcPr>
            <w:tcW w:w="1418" w:type="dxa"/>
            <w:tcBorders>
              <w:top w:val="nil"/>
              <w:left w:val="single" w:sz="8" w:space="0" w:color="auto"/>
              <w:bottom w:val="single" w:sz="8" w:space="0" w:color="auto"/>
              <w:right w:val="single" w:sz="8" w:space="0" w:color="auto"/>
            </w:tcBorders>
            <w:shd w:val="clear" w:color="auto" w:fill="auto"/>
            <w:noWrap/>
            <w:vAlign w:val="center"/>
            <w:hideMark/>
          </w:tcPr>
          <w:p w14:paraId="0241D3DC"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4.1.9.</w:t>
            </w:r>
          </w:p>
        </w:tc>
        <w:tc>
          <w:tcPr>
            <w:tcW w:w="2462" w:type="dxa"/>
            <w:tcBorders>
              <w:top w:val="nil"/>
              <w:left w:val="nil"/>
              <w:bottom w:val="single" w:sz="8" w:space="0" w:color="auto"/>
              <w:right w:val="single" w:sz="8" w:space="0" w:color="auto"/>
            </w:tcBorders>
            <w:shd w:val="clear" w:color="auto" w:fill="auto"/>
            <w:vAlign w:val="center"/>
            <w:hideMark/>
          </w:tcPr>
          <w:p w14:paraId="326959D1" w14:textId="77777777" w:rsidR="00396CB4" w:rsidRPr="00396CB4" w:rsidRDefault="00396CB4" w:rsidP="00396CB4">
            <w:pPr>
              <w:spacing w:after="0" w:line="240" w:lineRule="auto"/>
              <w:rPr>
                <w:rFonts w:eastAsia="Times New Roman" w:cs="Calibri"/>
                <w:b/>
                <w:bCs/>
                <w:color w:val="000000"/>
                <w:sz w:val="18"/>
                <w:szCs w:val="18"/>
                <w:lang w:eastAsia="es-CR"/>
              </w:rPr>
            </w:pPr>
            <w:r w:rsidRPr="00396CB4">
              <w:rPr>
                <w:rFonts w:eastAsia="Times New Roman" w:cs="Calibri"/>
                <w:b/>
                <w:bCs/>
                <w:color w:val="000000"/>
                <w:sz w:val="18"/>
                <w:szCs w:val="18"/>
                <w:lang w:eastAsia="es-CR"/>
              </w:rPr>
              <w:t>Otros impuestos</w:t>
            </w:r>
          </w:p>
        </w:tc>
        <w:tc>
          <w:tcPr>
            <w:tcW w:w="500" w:type="dxa"/>
            <w:tcBorders>
              <w:top w:val="nil"/>
              <w:left w:val="nil"/>
              <w:bottom w:val="single" w:sz="8" w:space="0" w:color="auto"/>
              <w:right w:val="single" w:sz="8" w:space="0" w:color="auto"/>
            </w:tcBorders>
            <w:shd w:val="clear" w:color="auto" w:fill="auto"/>
            <w:noWrap/>
            <w:vAlign w:val="center"/>
            <w:hideMark/>
          </w:tcPr>
          <w:p w14:paraId="0EA777EE"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35</w:t>
            </w:r>
          </w:p>
        </w:tc>
        <w:tc>
          <w:tcPr>
            <w:tcW w:w="2100" w:type="dxa"/>
            <w:tcBorders>
              <w:top w:val="nil"/>
              <w:left w:val="nil"/>
              <w:bottom w:val="single" w:sz="8" w:space="0" w:color="auto"/>
              <w:right w:val="single" w:sz="8" w:space="0" w:color="auto"/>
            </w:tcBorders>
            <w:shd w:val="clear" w:color="auto" w:fill="auto"/>
            <w:noWrap/>
            <w:vAlign w:val="center"/>
            <w:hideMark/>
          </w:tcPr>
          <w:p w14:paraId="49B09723"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2100" w:type="dxa"/>
            <w:tcBorders>
              <w:top w:val="nil"/>
              <w:left w:val="nil"/>
              <w:bottom w:val="single" w:sz="8" w:space="0" w:color="auto"/>
              <w:right w:val="single" w:sz="8" w:space="0" w:color="auto"/>
            </w:tcBorders>
            <w:shd w:val="clear" w:color="auto" w:fill="auto"/>
            <w:noWrap/>
            <w:vAlign w:val="center"/>
            <w:hideMark/>
          </w:tcPr>
          <w:p w14:paraId="16A303F7"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1020" w:type="dxa"/>
            <w:tcBorders>
              <w:top w:val="nil"/>
              <w:left w:val="nil"/>
              <w:bottom w:val="single" w:sz="8" w:space="0" w:color="auto"/>
              <w:right w:val="single" w:sz="8" w:space="0" w:color="auto"/>
            </w:tcBorders>
            <w:shd w:val="clear" w:color="auto" w:fill="auto"/>
            <w:noWrap/>
            <w:vAlign w:val="center"/>
            <w:hideMark/>
          </w:tcPr>
          <w:p w14:paraId="06DBE3F0"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0,00%</w:t>
            </w:r>
          </w:p>
        </w:tc>
      </w:tr>
    </w:tbl>
    <w:p w14:paraId="7F55B76B" w14:textId="77777777" w:rsidR="00396CB4" w:rsidRPr="00396CB4" w:rsidRDefault="00521099" w:rsidP="00396CB4">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756467">
        <w:rPr>
          <w:rFonts w:eastAsia="Times New Roman" w:cs="Calibri"/>
          <w:color w:val="000000"/>
          <w:lang w:eastAsia="es-CR"/>
        </w:rPr>
        <w:instrText xml:space="preserve">Excel.SheetMacroEnabled.12 "C:\\Users\\gcordero\\Downloads\\Notas diciembre 2024\\Formato_Notas_EEFF_Vinculadas_2024\\Formato_Notas_EEFF_Vinculadas_2024\\15603_T04_2024_Anexo_Estado_Notas_Contables_Vinculadas.xlsm" NOTAS_POR_CUENTA!F246C8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191B1AE2" w14:textId="77777777" w:rsidR="00396CB4" w:rsidRPr="00396CB4" w:rsidRDefault="00396CB4" w:rsidP="00396CB4">
      <w:pPr>
        <w:rPr>
          <w:rFonts w:eastAsia="Times New Roman" w:cs="Calibri"/>
          <w:color w:val="000000"/>
          <w:lang w:eastAsia="es-CR"/>
        </w:rPr>
      </w:pPr>
      <w:r w:rsidRPr="00396CB4">
        <w:rPr>
          <w:rFonts w:eastAsia="Times New Roman" w:cs="Calibri"/>
          <w:color w:val="000000"/>
          <w:lang w:eastAsia="es-CR"/>
        </w:rPr>
        <w:t>La cuenta Otros impuestos, representa el 0,00% del total del Ingresos, que comparado al periodo anterior genera una variación absoluta de 0 000,00 que corresponde a un Aumento del 0,00% de recursos disponibles.</w:t>
      </w:r>
    </w:p>
    <w:p w14:paraId="65DD23EA" w14:textId="09B36E5D" w:rsidR="00692DC8" w:rsidRPr="00623120" w:rsidRDefault="00521099" w:rsidP="00521099">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6FB7A8E3" w14:textId="77777777" w:rsidR="00692DC8" w:rsidRPr="00692DC8" w:rsidRDefault="00692DC8" w:rsidP="00623120">
      <w:pPr>
        <w:spacing w:before="240"/>
        <w:rPr>
          <w:i/>
        </w:rPr>
      </w:pPr>
    </w:p>
    <w:p w14:paraId="73D70758" w14:textId="77777777" w:rsidR="00692DC8" w:rsidRPr="00692DC8" w:rsidRDefault="00692DC8" w:rsidP="00623120">
      <w:pPr>
        <w:pStyle w:val="Ttulo3"/>
        <w:spacing w:before="240" w:after="240"/>
        <w:rPr>
          <w:rFonts w:eastAsia="Calibri"/>
          <w:lang w:eastAsia="es-CR"/>
        </w:rPr>
      </w:pPr>
      <w:bookmarkStart w:id="655" w:name="_Toc82768981"/>
      <w:bookmarkStart w:id="656" w:name="_Toc189804875"/>
      <w:r w:rsidRPr="00692DC8">
        <w:rPr>
          <w:rFonts w:eastAsia="Calibri"/>
          <w:lang w:eastAsia="es-CR"/>
        </w:rPr>
        <w:t>4.2 CONTRIBUCIONES SOCIALES</w:t>
      </w:r>
      <w:bookmarkEnd w:id="655"/>
      <w:bookmarkEnd w:id="656"/>
    </w:p>
    <w:p w14:paraId="1B41B6FA" w14:textId="77777777" w:rsidR="00692DC8" w:rsidRPr="00692DC8" w:rsidRDefault="00692DC8" w:rsidP="00623120">
      <w:pPr>
        <w:pStyle w:val="Ttulo4"/>
        <w:spacing w:after="240"/>
        <w:rPr>
          <w:rFonts w:eastAsia="Times New Roman"/>
        </w:rPr>
      </w:pPr>
      <w:bookmarkStart w:id="657" w:name="_Toc14344785"/>
      <w:bookmarkStart w:id="658" w:name="_Toc33601265"/>
      <w:bookmarkStart w:id="659" w:name="_Toc82768982"/>
      <w:bookmarkStart w:id="660" w:name="_Toc189804876"/>
      <w:r w:rsidRPr="00692DC8">
        <w:rPr>
          <w:rFonts w:eastAsia="Times New Roman"/>
        </w:rPr>
        <w:t>NOTA N°36</w:t>
      </w:r>
      <w:bookmarkEnd w:id="657"/>
      <w:bookmarkEnd w:id="658"/>
      <w:bookmarkEnd w:id="659"/>
      <w:bookmarkEnd w:id="660"/>
    </w:p>
    <w:p w14:paraId="08BB2E8F" w14:textId="77777777" w:rsidR="00396CB4" w:rsidRDefault="00692DC8" w:rsidP="00F51D42">
      <w:pPr>
        <w:spacing w:before="240"/>
        <w:rPr>
          <w:rFonts w:asciiTheme="minorHAnsi" w:hAnsiTheme="minorHAnsi"/>
          <w:sz w:val="22"/>
        </w:rPr>
      </w:pPr>
      <w:bookmarkStart w:id="661" w:name="_Toc14344786"/>
      <w:bookmarkStart w:id="662" w:name="_Toc33601266"/>
      <w:bookmarkStart w:id="663" w:name="_Toc82768983"/>
      <w:r w:rsidRPr="00692DC8">
        <w:rPr>
          <w:rFonts w:eastAsia="Times New Roman"/>
        </w:rPr>
        <w:t>Contribuciones a la seguridad social</w:t>
      </w:r>
      <w:bookmarkEnd w:id="661"/>
      <w:bookmarkEnd w:id="662"/>
      <w:bookmarkEnd w:id="663"/>
      <w:r w:rsidR="00521099">
        <w:rPr>
          <w:rFonts w:eastAsiaTheme="majorEastAsia" w:cstheme="majorBidi"/>
          <w:iCs/>
          <w:lang w:val="es-ES"/>
        </w:rPr>
        <w:fldChar w:fldCharType="begin"/>
      </w:r>
      <w:r w:rsidR="00521099">
        <w:rPr>
          <w:lang w:val="es-ES"/>
        </w:rPr>
        <w:instrText xml:space="preserve"> LINK </w:instrText>
      </w:r>
      <w:r w:rsidR="00756467">
        <w:rPr>
          <w:lang w:val="es-ES"/>
        </w:rPr>
        <w:instrText xml:space="preserve">Excel.SheetMacroEnabled.12 "C:\\Users\\gcordero\\Downloads\\Notas diciembre 2024\\Formato_Notas_EEFF_Vinculadas_2024\\Formato_Notas_EEFF_Vinculadas_2024\\15603_T04_2024_Anexo_Estado_Notas_Contables_Vinculadas.xlsm" NOTAS_POR_CUENTA!F248C1:F250C6 </w:instrText>
      </w:r>
      <w:r w:rsidR="00521099">
        <w:rPr>
          <w:lang w:val="es-ES"/>
        </w:rPr>
        <w:instrText xml:space="preserve">\a \f 4 \h </w:instrText>
      </w:r>
      <w:r w:rsidR="00521099">
        <w:rPr>
          <w:b/>
          <w:lang w:val="es-ES"/>
        </w:rPr>
        <w:fldChar w:fldCharType="separate"/>
      </w:r>
    </w:p>
    <w:tbl>
      <w:tblPr>
        <w:tblW w:w="9600" w:type="dxa"/>
        <w:tblCellMar>
          <w:left w:w="70" w:type="dxa"/>
          <w:right w:w="70" w:type="dxa"/>
        </w:tblCellMar>
        <w:tblLook w:val="04A0" w:firstRow="1" w:lastRow="0" w:firstColumn="1" w:lastColumn="0" w:noHBand="0" w:noVBand="1"/>
      </w:tblPr>
      <w:tblGrid>
        <w:gridCol w:w="1333"/>
        <w:gridCol w:w="2547"/>
        <w:gridCol w:w="500"/>
        <w:gridCol w:w="2100"/>
        <w:gridCol w:w="2100"/>
        <w:gridCol w:w="1020"/>
      </w:tblGrid>
      <w:tr w:rsidR="00396CB4" w:rsidRPr="00396CB4" w14:paraId="103272A0" w14:textId="77777777" w:rsidTr="00396CB4">
        <w:trPr>
          <w:divId w:val="1879660862"/>
          <w:trHeight w:val="330"/>
        </w:trPr>
        <w:tc>
          <w:tcPr>
            <w:tcW w:w="1333"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D8799E4" w14:textId="0E02491A" w:rsidR="00396CB4" w:rsidRPr="00396CB4" w:rsidRDefault="00396CB4" w:rsidP="00396CB4">
            <w:pP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2547"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6278BCE"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62B3EB9"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411ED5E"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ECBDE6E"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3E20ED0A"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7CF369D2" w14:textId="77777777" w:rsidTr="00396CB4">
        <w:trPr>
          <w:divId w:val="1879660862"/>
          <w:trHeight w:val="330"/>
        </w:trPr>
        <w:tc>
          <w:tcPr>
            <w:tcW w:w="1333" w:type="dxa"/>
            <w:vMerge/>
            <w:tcBorders>
              <w:top w:val="single" w:sz="8" w:space="0" w:color="auto"/>
              <w:left w:val="single" w:sz="8" w:space="0" w:color="auto"/>
              <w:bottom w:val="single" w:sz="8" w:space="0" w:color="000000"/>
              <w:right w:val="single" w:sz="8" w:space="0" w:color="auto"/>
            </w:tcBorders>
            <w:vAlign w:val="center"/>
            <w:hideMark/>
          </w:tcPr>
          <w:p w14:paraId="7A641D5E"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547" w:type="dxa"/>
            <w:vMerge/>
            <w:tcBorders>
              <w:top w:val="single" w:sz="8" w:space="0" w:color="auto"/>
              <w:left w:val="single" w:sz="8" w:space="0" w:color="auto"/>
              <w:bottom w:val="single" w:sz="8" w:space="0" w:color="000000"/>
              <w:right w:val="single" w:sz="8" w:space="0" w:color="auto"/>
            </w:tcBorders>
            <w:vAlign w:val="center"/>
            <w:hideMark/>
          </w:tcPr>
          <w:p w14:paraId="6DC796A8"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1CEBA072"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1677012B"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6E749A99"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0A5BC078"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0C2BF929" w14:textId="77777777" w:rsidTr="00396CB4">
        <w:trPr>
          <w:divId w:val="1879660862"/>
          <w:trHeight w:val="330"/>
        </w:trPr>
        <w:tc>
          <w:tcPr>
            <w:tcW w:w="1333" w:type="dxa"/>
            <w:tcBorders>
              <w:top w:val="nil"/>
              <w:left w:val="single" w:sz="8" w:space="0" w:color="auto"/>
              <w:bottom w:val="single" w:sz="8" w:space="0" w:color="auto"/>
              <w:right w:val="single" w:sz="8" w:space="0" w:color="auto"/>
            </w:tcBorders>
            <w:shd w:val="clear" w:color="auto" w:fill="auto"/>
            <w:noWrap/>
            <w:vAlign w:val="center"/>
            <w:hideMark/>
          </w:tcPr>
          <w:p w14:paraId="212FA044"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4.2.1.</w:t>
            </w:r>
          </w:p>
        </w:tc>
        <w:tc>
          <w:tcPr>
            <w:tcW w:w="2547" w:type="dxa"/>
            <w:tcBorders>
              <w:top w:val="nil"/>
              <w:left w:val="nil"/>
              <w:bottom w:val="single" w:sz="8" w:space="0" w:color="auto"/>
              <w:right w:val="single" w:sz="8" w:space="0" w:color="auto"/>
            </w:tcBorders>
            <w:shd w:val="clear" w:color="auto" w:fill="auto"/>
            <w:vAlign w:val="center"/>
            <w:hideMark/>
          </w:tcPr>
          <w:p w14:paraId="3B2417A9" w14:textId="77777777" w:rsidR="00396CB4" w:rsidRPr="00396CB4" w:rsidRDefault="00396CB4" w:rsidP="00396CB4">
            <w:pPr>
              <w:spacing w:after="0" w:line="240" w:lineRule="auto"/>
              <w:rPr>
                <w:rFonts w:eastAsia="Times New Roman" w:cs="Calibri"/>
                <w:b/>
                <w:bCs/>
                <w:color w:val="000000"/>
                <w:sz w:val="18"/>
                <w:szCs w:val="18"/>
                <w:lang w:eastAsia="es-CR"/>
              </w:rPr>
            </w:pPr>
            <w:r w:rsidRPr="00396CB4">
              <w:rPr>
                <w:rFonts w:eastAsia="Times New Roman" w:cs="Calibri"/>
                <w:b/>
                <w:bCs/>
                <w:color w:val="000000"/>
                <w:sz w:val="18"/>
                <w:szCs w:val="18"/>
                <w:lang w:eastAsia="es-CR"/>
              </w:rPr>
              <w:t>Contribuciones a la seguridad social</w:t>
            </w:r>
          </w:p>
        </w:tc>
        <w:tc>
          <w:tcPr>
            <w:tcW w:w="500" w:type="dxa"/>
            <w:tcBorders>
              <w:top w:val="nil"/>
              <w:left w:val="nil"/>
              <w:bottom w:val="single" w:sz="8" w:space="0" w:color="auto"/>
              <w:right w:val="single" w:sz="8" w:space="0" w:color="auto"/>
            </w:tcBorders>
            <w:shd w:val="clear" w:color="auto" w:fill="auto"/>
            <w:noWrap/>
            <w:vAlign w:val="center"/>
            <w:hideMark/>
          </w:tcPr>
          <w:p w14:paraId="72AC88C1"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36</w:t>
            </w:r>
          </w:p>
        </w:tc>
        <w:tc>
          <w:tcPr>
            <w:tcW w:w="2100" w:type="dxa"/>
            <w:tcBorders>
              <w:top w:val="nil"/>
              <w:left w:val="nil"/>
              <w:bottom w:val="single" w:sz="8" w:space="0" w:color="auto"/>
              <w:right w:val="single" w:sz="8" w:space="0" w:color="auto"/>
            </w:tcBorders>
            <w:shd w:val="clear" w:color="auto" w:fill="auto"/>
            <w:noWrap/>
            <w:vAlign w:val="center"/>
            <w:hideMark/>
          </w:tcPr>
          <w:p w14:paraId="60075690"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2100" w:type="dxa"/>
            <w:tcBorders>
              <w:top w:val="nil"/>
              <w:left w:val="nil"/>
              <w:bottom w:val="single" w:sz="8" w:space="0" w:color="auto"/>
              <w:right w:val="single" w:sz="8" w:space="0" w:color="auto"/>
            </w:tcBorders>
            <w:shd w:val="clear" w:color="auto" w:fill="auto"/>
            <w:noWrap/>
            <w:vAlign w:val="center"/>
            <w:hideMark/>
          </w:tcPr>
          <w:p w14:paraId="1490B54C"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1020" w:type="dxa"/>
            <w:tcBorders>
              <w:top w:val="nil"/>
              <w:left w:val="nil"/>
              <w:bottom w:val="single" w:sz="8" w:space="0" w:color="auto"/>
              <w:right w:val="single" w:sz="8" w:space="0" w:color="auto"/>
            </w:tcBorders>
            <w:shd w:val="clear" w:color="auto" w:fill="auto"/>
            <w:noWrap/>
            <w:vAlign w:val="center"/>
            <w:hideMark/>
          </w:tcPr>
          <w:p w14:paraId="0E87D611"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0,00%</w:t>
            </w:r>
          </w:p>
        </w:tc>
      </w:tr>
    </w:tbl>
    <w:p w14:paraId="14A89831" w14:textId="77777777" w:rsidR="00396CB4" w:rsidRPr="00396CB4" w:rsidRDefault="00521099" w:rsidP="00396CB4">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756467">
        <w:rPr>
          <w:rFonts w:eastAsia="Times New Roman" w:cs="Calibri"/>
          <w:color w:val="000000"/>
          <w:lang w:eastAsia="es-CR"/>
        </w:rPr>
        <w:instrText xml:space="preserve">Excel.SheetMacroEnabled.12 "C:\\Users\\gcordero\\Downloads\\Notas diciembre 2024\\Formato_Notas_EEFF_Vinculadas_2024\\Formato_Notas_EEFF_Vinculadas_2024\\15603_T04_2024_Anexo_Estado_Notas_Contables_Vinculadas.xlsm" NOTAS_POR_CUENTA!F250C8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3DE81674" w14:textId="77777777" w:rsidR="00396CB4" w:rsidRPr="00396CB4" w:rsidRDefault="00396CB4" w:rsidP="00396CB4">
      <w:pPr>
        <w:rPr>
          <w:rFonts w:eastAsia="Times New Roman" w:cs="Calibri"/>
          <w:color w:val="000000"/>
          <w:lang w:eastAsia="es-CR"/>
        </w:rPr>
      </w:pPr>
      <w:r w:rsidRPr="00396CB4">
        <w:rPr>
          <w:rFonts w:eastAsia="Times New Roman" w:cs="Calibri"/>
          <w:color w:val="000000"/>
          <w:lang w:eastAsia="es-CR"/>
        </w:rPr>
        <w:t>La cuenta Contribuciones a la seguridad social, representa el 0,00% del total del Ingresos, que comparado al periodo anterior genera una variación absoluta de 0 000,00 que corresponde a un Aumento del 0,00% de recursos disponibles.</w:t>
      </w:r>
    </w:p>
    <w:p w14:paraId="54FD3419" w14:textId="7ABD1336" w:rsidR="00623120" w:rsidRDefault="00521099" w:rsidP="00623120">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42970783" w14:textId="77777777" w:rsidR="00407D18" w:rsidRPr="00623120" w:rsidRDefault="00407D18" w:rsidP="00623120">
      <w:pPr>
        <w:rPr>
          <w:rFonts w:eastAsiaTheme="minorEastAsia" w:cs="Arial Narrow"/>
          <w:color w:val="000000"/>
          <w:lang w:eastAsia="es-CR"/>
        </w:rPr>
      </w:pPr>
    </w:p>
    <w:p w14:paraId="57245463" w14:textId="77777777" w:rsidR="00692DC8" w:rsidRPr="00692DC8" w:rsidRDefault="00692DC8" w:rsidP="00623120">
      <w:pPr>
        <w:pStyle w:val="Ttulo4"/>
        <w:spacing w:after="240"/>
        <w:rPr>
          <w:rFonts w:eastAsia="Times New Roman"/>
        </w:rPr>
      </w:pPr>
      <w:bookmarkStart w:id="664" w:name="_Toc14344790"/>
      <w:bookmarkStart w:id="665" w:name="_Toc33601267"/>
      <w:bookmarkStart w:id="666" w:name="_Toc82768984"/>
      <w:bookmarkStart w:id="667" w:name="_Toc189804877"/>
      <w:r w:rsidRPr="00692DC8">
        <w:rPr>
          <w:rFonts w:eastAsia="Times New Roman"/>
        </w:rPr>
        <w:lastRenderedPageBreak/>
        <w:t>NOTA N° 37</w:t>
      </w:r>
      <w:bookmarkEnd w:id="664"/>
      <w:bookmarkEnd w:id="665"/>
      <w:bookmarkEnd w:id="666"/>
      <w:bookmarkEnd w:id="667"/>
    </w:p>
    <w:p w14:paraId="6F7CC344" w14:textId="77777777" w:rsidR="00396CB4" w:rsidRDefault="00692DC8" w:rsidP="00F51D42">
      <w:pPr>
        <w:spacing w:before="240"/>
        <w:rPr>
          <w:rFonts w:asciiTheme="minorHAnsi" w:hAnsiTheme="minorHAnsi"/>
          <w:sz w:val="22"/>
        </w:rPr>
      </w:pPr>
      <w:bookmarkStart w:id="668" w:name="_Toc14344791"/>
      <w:bookmarkStart w:id="669" w:name="_Toc33601268"/>
      <w:bookmarkStart w:id="670" w:name="_Toc82768985"/>
      <w:r w:rsidRPr="00692DC8">
        <w:rPr>
          <w:rFonts w:eastAsia="Times New Roman"/>
        </w:rPr>
        <w:t xml:space="preserve">Contribuciones </w:t>
      </w:r>
      <w:bookmarkEnd w:id="668"/>
      <w:bookmarkEnd w:id="669"/>
      <w:r w:rsidRPr="00692DC8">
        <w:rPr>
          <w:rFonts w:eastAsia="Times New Roman"/>
        </w:rPr>
        <w:t>sociales diversas</w:t>
      </w:r>
      <w:bookmarkEnd w:id="670"/>
      <w:r w:rsidR="00521099">
        <w:rPr>
          <w:rFonts w:eastAsiaTheme="majorEastAsia" w:cstheme="majorBidi"/>
          <w:iCs/>
          <w:lang w:val="es-ES"/>
        </w:rPr>
        <w:fldChar w:fldCharType="begin"/>
      </w:r>
      <w:r w:rsidR="00521099">
        <w:rPr>
          <w:lang w:val="es-ES"/>
        </w:rPr>
        <w:instrText xml:space="preserve"> LINK </w:instrText>
      </w:r>
      <w:r w:rsidR="00756467">
        <w:rPr>
          <w:lang w:val="es-ES"/>
        </w:rPr>
        <w:instrText xml:space="preserve">Excel.SheetMacroEnabled.12 "C:\\Users\\gcordero\\Downloads\\Notas diciembre 2024\\Formato_Notas_EEFF_Vinculadas_2024\\Formato_Notas_EEFF_Vinculadas_2024\\15603_T04_2024_Anexo_Estado_Notas_Contables_Vinculadas.xlsm" NOTAS_POR_CUENTA!F252C1:F254C6 </w:instrText>
      </w:r>
      <w:r w:rsidR="00521099">
        <w:rPr>
          <w:lang w:val="es-ES"/>
        </w:rPr>
        <w:instrText xml:space="preserve">\a \f 4 \h </w:instrText>
      </w:r>
      <w:r w:rsidR="00521099">
        <w:rPr>
          <w:b/>
          <w:lang w:val="es-ES"/>
        </w:rPr>
        <w:fldChar w:fldCharType="separate"/>
      </w:r>
    </w:p>
    <w:tbl>
      <w:tblPr>
        <w:tblW w:w="9600" w:type="dxa"/>
        <w:tblCellMar>
          <w:left w:w="70" w:type="dxa"/>
          <w:right w:w="70" w:type="dxa"/>
        </w:tblCellMar>
        <w:tblLook w:val="04A0" w:firstRow="1" w:lastRow="0" w:firstColumn="1" w:lastColumn="0" w:noHBand="0" w:noVBand="1"/>
      </w:tblPr>
      <w:tblGrid>
        <w:gridCol w:w="1333"/>
        <w:gridCol w:w="2547"/>
        <w:gridCol w:w="500"/>
        <w:gridCol w:w="2100"/>
        <w:gridCol w:w="2100"/>
        <w:gridCol w:w="1020"/>
      </w:tblGrid>
      <w:tr w:rsidR="00396CB4" w:rsidRPr="00396CB4" w14:paraId="37AC4558" w14:textId="77777777" w:rsidTr="00396CB4">
        <w:trPr>
          <w:divId w:val="1385450960"/>
          <w:trHeight w:val="330"/>
        </w:trPr>
        <w:tc>
          <w:tcPr>
            <w:tcW w:w="1333"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DE13BD0" w14:textId="08563D5D" w:rsidR="00396CB4" w:rsidRPr="00396CB4" w:rsidRDefault="00396CB4" w:rsidP="00396CB4">
            <w:pP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2547"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4C06D36"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52A7181"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851473E"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126E625"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5C58045D"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35642E9D" w14:textId="77777777" w:rsidTr="00396CB4">
        <w:trPr>
          <w:divId w:val="1385450960"/>
          <w:trHeight w:val="330"/>
        </w:trPr>
        <w:tc>
          <w:tcPr>
            <w:tcW w:w="1333" w:type="dxa"/>
            <w:vMerge/>
            <w:tcBorders>
              <w:top w:val="single" w:sz="8" w:space="0" w:color="auto"/>
              <w:left w:val="single" w:sz="8" w:space="0" w:color="auto"/>
              <w:bottom w:val="single" w:sz="8" w:space="0" w:color="000000"/>
              <w:right w:val="single" w:sz="8" w:space="0" w:color="auto"/>
            </w:tcBorders>
            <w:vAlign w:val="center"/>
            <w:hideMark/>
          </w:tcPr>
          <w:p w14:paraId="66ED0779"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547" w:type="dxa"/>
            <w:vMerge/>
            <w:tcBorders>
              <w:top w:val="single" w:sz="8" w:space="0" w:color="auto"/>
              <w:left w:val="single" w:sz="8" w:space="0" w:color="auto"/>
              <w:bottom w:val="single" w:sz="8" w:space="0" w:color="000000"/>
              <w:right w:val="single" w:sz="8" w:space="0" w:color="auto"/>
            </w:tcBorders>
            <w:vAlign w:val="center"/>
            <w:hideMark/>
          </w:tcPr>
          <w:p w14:paraId="2E44AA3D"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1B43B49D"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0F74A555"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08F76D7F"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17305CC8"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063DB505" w14:textId="77777777" w:rsidTr="00396CB4">
        <w:trPr>
          <w:divId w:val="1385450960"/>
          <w:trHeight w:val="330"/>
        </w:trPr>
        <w:tc>
          <w:tcPr>
            <w:tcW w:w="1333" w:type="dxa"/>
            <w:tcBorders>
              <w:top w:val="nil"/>
              <w:left w:val="single" w:sz="8" w:space="0" w:color="auto"/>
              <w:bottom w:val="single" w:sz="8" w:space="0" w:color="auto"/>
              <w:right w:val="single" w:sz="8" w:space="0" w:color="auto"/>
            </w:tcBorders>
            <w:shd w:val="clear" w:color="auto" w:fill="auto"/>
            <w:noWrap/>
            <w:vAlign w:val="center"/>
            <w:hideMark/>
          </w:tcPr>
          <w:p w14:paraId="5F5CFB39"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4.2.9.</w:t>
            </w:r>
          </w:p>
        </w:tc>
        <w:tc>
          <w:tcPr>
            <w:tcW w:w="2547" w:type="dxa"/>
            <w:tcBorders>
              <w:top w:val="nil"/>
              <w:left w:val="nil"/>
              <w:bottom w:val="single" w:sz="8" w:space="0" w:color="auto"/>
              <w:right w:val="single" w:sz="8" w:space="0" w:color="auto"/>
            </w:tcBorders>
            <w:shd w:val="clear" w:color="auto" w:fill="auto"/>
            <w:vAlign w:val="center"/>
            <w:hideMark/>
          </w:tcPr>
          <w:p w14:paraId="0D1EB0C6" w14:textId="77777777" w:rsidR="00396CB4" w:rsidRPr="00396CB4" w:rsidRDefault="00396CB4" w:rsidP="00396CB4">
            <w:pPr>
              <w:spacing w:after="0" w:line="240" w:lineRule="auto"/>
              <w:rPr>
                <w:rFonts w:eastAsia="Times New Roman" w:cs="Calibri"/>
                <w:b/>
                <w:bCs/>
                <w:color w:val="000000"/>
                <w:sz w:val="18"/>
                <w:szCs w:val="18"/>
                <w:lang w:eastAsia="es-CR"/>
              </w:rPr>
            </w:pPr>
            <w:r w:rsidRPr="00396CB4">
              <w:rPr>
                <w:rFonts w:eastAsia="Times New Roman" w:cs="Calibri"/>
                <w:b/>
                <w:bCs/>
                <w:color w:val="000000"/>
                <w:sz w:val="18"/>
                <w:szCs w:val="18"/>
                <w:lang w:eastAsia="es-CR"/>
              </w:rPr>
              <w:t>Contribuciones sociales diversas</w:t>
            </w:r>
          </w:p>
        </w:tc>
        <w:tc>
          <w:tcPr>
            <w:tcW w:w="500" w:type="dxa"/>
            <w:tcBorders>
              <w:top w:val="nil"/>
              <w:left w:val="nil"/>
              <w:bottom w:val="single" w:sz="8" w:space="0" w:color="auto"/>
              <w:right w:val="single" w:sz="8" w:space="0" w:color="auto"/>
            </w:tcBorders>
            <w:shd w:val="clear" w:color="auto" w:fill="auto"/>
            <w:noWrap/>
            <w:vAlign w:val="center"/>
            <w:hideMark/>
          </w:tcPr>
          <w:p w14:paraId="6D704117"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37</w:t>
            </w:r>
          </w:p>
        </w:tc>
        <w:tc>
          <w:tcPr>
            <w:tcW w:w="2100" w:type="dxa"/>
            <w:tcBorders>
              <w:top w:val="nil"/>
              <w:left w:val="nil"/>
              <w:bottom w:val="single" w:sz="8" w:space="0" w:color="auto"/>
              <w:right w:val="single" w:sz="8" w:space="0" w:color="auto"/>
            </w:tcBorders>
            <w:shd w:val="clear" w:color="auto" w:fill="auto"/>
            <w:noWrap/>
            <w:vAlign w:val="center"/>
            <w:hideMark/>
          </w:tcPr>
          <w:p w14:paraId="067E1328"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2100" w:type="dxa"/>
            <w:tcBorders>
              <w:top w:val="nil"/>
              <w:left w:val="nil"/>
              <w:bottom w:val="single" w:sz="8" w:space="0" w:color="auto"/>
              <w:right w:val="single" w:sz="8" w:space="0" w:color="auto"/>
            </w:tcBorders>
            <w:shd w:val="clear" w:color="auto" w:fill="auto"/>
            <w:noWrap/>
            <w:vAlign w:val="center"/>
            <w:hideMark/>
          </w:tcPr>
          <w:p w14:paraId="2DB1AC7D"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1020" w:type="dxa"/>
            <w:tcBorders>
              <w:top w:val="nil"/>
              <w:left w:val="nil"/>
              <w:bottom w:val="single" w:sz="8" w:space="0" w:color="auto"/>
              <w:right w:val="single" w:sz="8" w:space="0" w:color="auto"/>
            </w:tcBorders>
            <w:shd w:val="clear" w:color="auto" w:fill="auto"/>
            <w:noWrap/>
            <w:vAlign w:val="center"/>
            <w:hideMark/>
          </w:tcPr>
          <w:p w14:paraId="143311C7"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0,00%</w:t>
            </w:r>
          </w:p>
        </w:tc>
      </w:tr>
    </w:tbl>
    <w:p w14:paraId="7952383A" w14:textId="77777777" w:rsidR="00396CB4" w:rsidRPr="00396CB4" w:rsidRDefault="00521099" w:rsidP="00396CB4">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756467">
        <w:rPr>
          <w:rFonts w:eastAsia="Times New Roman" w:cs="Calibri"/>
          <w:color w:val="000000"/>
          <w:lang w:eastAsia="es-CR"/>
        </w:rPr>
        <w:instrText xml:space="preserve">Excel.SheetMacroEnabled.12 "C:\\Users\\gcordero\\Downloads\\Notas diciembre 2024\\Formato_Notas_EEFF_Vinculadas_2024\\Formato_Notas_EEFF_Vinculadas_2024\\15603_T04_2024_Anexo_Estado_Notas_Contables_Vinculadas.xlsm" NOTAS_POR_CUENTA!F254C8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051609BD" w14:textId="77777777" w:rsidR="00396CB4" w:rsidRPr="00396CB4" w:rsidRDefault="00396CB4" w:rsidP="00396CB4">
      <w:pPr>
        <w:rPr>
          <w:rFonts w:eastAsia="Times New Roman" w:cs="Calibri"/>
          <w:color w:val="000000"/>
          <w:lang w:eastAsia="es-CR"/>
        </w:rPr>
      </w:pPr>
      <w:r w:rsidRPr="00396CB4">
        <w:rPr>
          <w:rFonts w:eastAsia="Times New Roman" w:cs="Calibri"/>
          <w:color w:val="000000"/>
          <w:lang w:eastAsia="es-CR"/>
        </w:rPr>
        <w:t>La cuenta Contribuciones sociales diversas, representa el 0,00% del total del Ingresos, que comparado al periodo anterior genera una variación absoluta de 0 000,00 que corresponde a un Aumento del 0,00% de recursos disponibles.</w:t>
      </w:r>
    </w:p>
    <w:p w14:paraId="725A43B0" w14:textId="333883D2" w:rsidR="00692DC8" w:rsidRPr="00692DC8" w:rsidRDefault="00521099" w:rsidP="00521099">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78A830D5" w14:textId="03D6FE17" w:rsidR="00692DC8" w:rsidRDefault="00692DC8" w:rsidP="00623120">
      <w:pPr>
        <w:rPr>
          <w:szCs w:val="24"/>
        </w:rPr>
      </w:pPr>
    </w:p>
    <w:p w14:paraId="69DE5B45" w14:textId="77777777" w:rsidR="00DE143D" w:rsidRPr="00692DC8" w:rsidRDefault="00DE143D" w:rsidP="00623120">
      <w:pPr>
        <w:rPr>
          <w:szCs w:val="24"/>
        </w:rPr>
      </w:pPr>
    </w:p>
    <w:p w14:paraId="67665CA1" w14:textId="77777777" w:rsidR="00692DC8" w:rsidRPr="00692DC8" w:rsidRDefault="00692DC8" w:rsidP="00623120">
      <w:pPr>
        <w:pStyle w:val="Ttulo3"/>
        <w:rPr>
          <w:rFonts w:eastAsia="Calibri"/>
          <w:lang w:eastAsia="es-CR"/>
        </w:rPr>
      </w:pPr>
      <w:bookmarkStart w:id="671" w:name="_Toc82768986"/>
      <w:bookmarkStart w:id="672" w:name="_Toc189804878"/>
      <w:r w:rsidRPr="00692DC8">
        <w:rPr>
          <w:rFonts w:eastAsia="Calibri"/>
          <w:lang w:eastAsia="es-CR"/>
        </w:rPr>
        <w:t>4.3 MULTAS, SANCIONES, REMATES Y CONFISCACIONES DE ORIGEN NO TRIBUTARIO</w:t>
      </w:r>
      <w:bookmarkEnd w:id="671"/>
      <w:bookmarkEnd w:id="672"/>
    </w:p>
    <w:p w14:paraId="5CFC7310" w14:textId="77777777" w:rsidR="00692DC8" w:rsidRPr="00692DC8" w:rsidRDefault="00692DC8" w:rsidP="00623120">
      <w:pPr>
        <w:pStyle w:val="Ttulo4"/>
        <w:spacing w:after="240"/>
        <w:rPr>
          <w:rFonts w:eastAsia="Times New Roman"/>
        </w:rPr>
      </w:pPr>
      <w:bookmarkStart w:id="673" w:name="_Toc14344794"/>
      <w:bookmarkStart w:id="674" w:name="_Toc33601269"/>
      <w:bookmarkStart w:id="675" w:name="_Toc82768987"/>
      <w:bookmarkStart w:id="676" w:name="_Toc189804879"/>
      <w:r w:rsidRPr="00692DC8">
        <w:rPr>
          <w:rFonts w:eastAsia="Times New Roman"/>
        </w:rPr>
        <w:t>NOTA N° 38</w:t>
      </w:r>
      <w:bookmarkEnd w:id="673"/>
      <w:bookmarkEnd w:id="674"/>
      <w:bookmarkEnd w:id="675"/>
      <w:bookmarkEnd w:id="676"/>
    </w:p>
    <w:p w14:paraId="47E738BE" w14:textId="77777777" w:rsidR="00396CB4" w:rsidRDefault="00692DC8" w:rsidP="00F51D42">
      <w:pPr>
        <w:spacing w:before="240"/>
        <w:rPr>
          <w:rFonts w:asciiTheme="minorHAnsi" w:hAnsiTheme="minorHAnsi"/>
          <w:sz w:val="22"/>
        </w:rPr>
      </w:pPr>
      <w:bookmarkStart w:id="677" w:name="_Toc14344795"/>
      <w:bookmarkStart w:id="678" w:name="_Toc33601270"/>
      <w:bookmarkStart w:id="679" w:name="_Toc82768988"/>
      <w:r w:rsidRPr="00692DC8">
        <w:rPr>
          <w:rFonts w:eastAsia="Times New Roman"/>
        </w:rPr>
        <w:t>Multas y sanciones administrativas</w:t>
      </w:r>
      <w:bookmarkEnd w:id="677"/>
      <w:bookmarkEnd w:id="678"/>
      <w:bookmarkEnd w:id="679"/>
      <w:r w:rsidR="00521099">
        <w:rPr>
          <w:rFonts w:eastAsiaTheme="majorEastAsia" w:cstheme="majorBidi"/>
          <w:iCs/>
          <w:lang w:val="es-ES"/>
        </w:rPr>
        <w:fldChar w:fldCharType="begin"/>
      </w:r>
      <w:r w:rsidR="00521099">
        <w:rPr>
          <w:lang w:val="es-ES"/>
        </w:rPr>
        <w:instrText xml:space="preserve"> LINK </w:instrText>
      </w:r>
      <w:r w:rsidR="00756467">
        <w:rPr>
          <w:lang w:val="es-ES"/>
        </w:rPr>
        <w:instrText xml:space="preserve">Excel.SheetMacroEnabled.12 "C:\\Users\\gcordero\\Downloads\\Notas diciembre 2024\\Formato_Notas_EEFF_Vinculadas_2024\\Formato_Notas_EEFF_Vinculadas_2024\\15603_T04_2024_Anexo_Estado_Notas_Contables_Vinculadas.xlsm" NOTAS_POR_CUENTA!F256C1:F258C6 </w:instrText>
      </w:r>
      <w:r w:rsidR="00521099">
        <w:rPr>
          <w:lang w:val="es-ES"/>
        </w:rPr>
        <w:instrText xml:space="preserve">\a \f 4 \h </w:instrText>
      </w:r>
      <w:r w:rsidR="00521099">
        <w:rPr>
          <w:b/>
          <w:lang w:val="es-ES"/>
        </w:rPr>
        <w:fldChar w:fldCharType="separate"/>
      </w:r>
    </w:p>
    <w:tbl>
      <w:tblPr>
        <w:tblW w:w="9600" w:type="dxa"/>
        <w:tblCellMar>
          <w:left w:w="70" w:type="dxa"/>
          <w:right w:w="70" w:type="dxa"/>
        </w:tblCellMar>
        <w:tblLook w:val="04A0" w:firstRow="1" w:lastRow="0" w:firstColumn="1" w:lastColumn="0" w:noHBand="0" w:noVBand="1"/>
      </w:tblPr>
      <w:tblGrid>
        <w:gridCol w:w="1833"/>
        <w:gridCol w:w="2047"/>
        <w:gridCol w:w="500"/>
        <w:gridCol w:w="2100"/>
        <w:gridCol w:w="2100"/>
        <w:gridCol w:w="1020"/>
      </w:tblGrid>
      <w:tr w:rsidR="00396CB4" w:rsidRPr="00396CB4" w14:paraId="656F4880" w14:textId="77777777" w:rsidTr="00396CB4">
        <w:trPr>
          <w:divId w:val="204829701"/>
          <w:trHeight w:val="330"/>
        </w:trPr>
        <w:tc>
          <w:tcPr>
            <w:tcW w:w="1833"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3A74AF3" w14:textId="242F5BF3" w:rsidR="00396CB4" w:rsidRPr="00396CB4" w:rsidRDefault="00396CB4" w:rsidP="00396CB4">
            <w:pP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2047"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3F3163C"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FA8B9FC"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6F3EF9C"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73BFF46"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63BD04D5"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69D9AA8D" w14:textId="77777777" w:rsidTr="00396CB4">
        <w:trPr>
          <w:divId w:val="204829701"/>
          <w:trHeight w:val="330"/>
        </w:trPr>
        <w:tc>
          <w:tcPr>
            <w:tcW w:w="1833" w:type="dxa"/>
            <w:vMerge/>
            <w:tcBorders>
              <w:top w:val="single" w:sz="8" w:space="0" w:color="auto"/>
              <w:left w:val="single" w:sz="8" w:space="0" w:color="auto"/>
              <w:bottom w:val="single" w:sz="8" w:space="0" w:color="000000"/>
              <w:right w:val="single" w:sz="8" w:space="0" w:color="auto"/>
            </w:tcBorders>
            <w:vAlign w:val="center"/>
            <w:hideMark/>
          </w:tcPr>
          <w:p w14:paraId="793D50A1"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047" w:type="dxa"/>
            <w:vMerge/>
            <w:tcBorders>
              <w:top w:val="single" w:sz="8" w:space="0" w:color="auto"/>
              <w:left w:val="single" w:sz="8" w:space="0" w:color="auto"/>
              <w:bottom w:val="single" w:sz="8" w:space="0" w:color="000000"/>
              <w:right w:val="single" w:sz="8" w:space="0" w:color="auto"/>
            </w:tcBorders>
            <w:vAlign w:val="center"/>
            <w:hideMark/>
          </w:tcPr>
          <w:p w14:paraId="404B338A"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20050323"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7B560C8F"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2F2CC8A8"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641A8E80"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1624FDF5" w14:textId="77777777" w:rsidTr="00396CB4">
        <w:trPr>
          <w:divId w:val="204829701"/>
          <w:trHeight w:val="330"/>
        </w:trPr>
        <w:tc>
          <w:tcPr>
            <w:tcW w:w="1833" w:type="dxa"/>
            <w:tcBorders>
              <w:top w:val="nil"/>
              <w:left w:val="single" w:sz="8" w:space="0" w:color="auto"/>
              <w:bottom w:val="single" w:sz="8" w:space="0" w:color="auto"/>
              <w:right w:val="single" w:sz="8" w:space="0" w:color="auto"/>
            </w:tcBorders>
            <w:shd w:val="clear" w:color="auto" w:fill="auto"/>
            <w:noWrap/>
            <w:vAlign w:val="center"/>
            <w:hideMark/>
          </w:tcPr>
          <w:p w14:paraId="5E70CC32"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4.3.1.</w:t>
            </w:r>
          </w:p>
        </w:tc>
        <w:tc>
          <w:tcPr>
            <w:tcW w:w="2047" w:type="dxa"/>
            <w:tcBorders>
              <w:top w:val="nil"/>
              <w:left w:val="nil"/>
              <w:bottom w:val="single" w:sz="8" w:space="0" w:color="auto"/>
              <w:right w:val="single" w:sz="8" w:space="0" w:color="auto"/>
            </w:tcBorders>
            <w:shd w:val="clear" w:color="auto" w:fill="auto"/>
            <w:vAlign w:val="center"/>
            <w:hideMark/>
          </w:tcPr>
          <w:p w14:paraId="2856865D" w14:textId="77777777" w:rsidR="00396CB4" w:rsidRPr="00396CB4" w:rsidRDefault="00396CB4" w:rsidP="00396CB4">
            <w:pPr>
              <w:spacing w:after="0" w:line="240" w:lineRule="auto"/>
              <w:rPr>
                <w:rFonts w:eastAsia="Times New Roman" w:cs="Calibri"/>
                <w:b/>
                <w:bCs/>
                <w:color w:val="000000"/>
                <w:sz w:val="18"/>
                <w:szCs w:val="18"/>
                <w:lang w:eastAsia="es-CR"/>
              </w:rPr>
            </w:pPr>
            <w:r w:rsidRPr="00396CB4">
              <w:rPr>
                <w:rFonts w:eastAsia="Times New Roman" w:cs="Calibri"/>
                <w:b/>
                <w:bCs/>
                <w:color w:val="000000"/>
                <w:sz w:val="18"/>
                <w:szCs w:val="18"/>
                <w:lang w:eastAsia="es-CR"/>
              </w:rPr>
              <w:t>Multas y sanciones administrativas</w:t>
            </w:r>
          </w:p>
        </w:tc>
        <w:tc>
          <w:tcPr>
            <w:tcW w:w="500" w:type="dxa"/>
            <w:tcBorders>
              <w:top w:val="nil"/>
              <w:left w:val="nil"/>
              <w:bottom w:val="single" w:sz="8" w:space="0" w:color="auto"/>
              <w:right w:val="single" w:sz="8" w:space="0" w:color="auto"/>
            </w:tcBorders>
            <w:shd w:val="clear" w:color="auto" w:fill="auto"/>
            <w:noWrap/>
            <w:vAlign w:val="center"/>
            <w:hideMark/>
          </w:tcPr>
          <w:p w14:paraId="1A6D5C5A"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38</w:t>
            </w:r>
          </w:p>
        </w:tc>
        <w:tc>
          <w:tcPr>
            <w:tcW w:w="2100" w:type="dxa"/>
            <w:tcBorders>
              <w:top w:val="nil"/>
              <w:left w:val="nil"/>
              <w:bottom w:val="single" w:sz="8" w:space="0" w:color="auto"/>
              <w:right w:val="single" w:sz="8" w:space="0" w:color="auto"/>
            </w:tcBorders>
            <w:shd w:val="clear" w:color="auto" w:fill="auto"/>
            <w:noWrap/>
            <w:vAlign w:val="center"/>
            <w:hideMark/>
          </w:tcPr>
          <w:p w14:paraId="707CB5DE"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2100" w:type="dxa"/>
            <w:tcBorders>
              <w:top w:val="nil"/>
              <w:left w:val="nil"/>
              <w:bottom w:val="single" w:sz="8" w:space="0" w:color="auto"/>
              <w:right w:val="single" w:sz="8" w:space="0" w:color="auto"/>
            </w:tcBorders>
            <w:shd w:val="clear" w:color="auto" w:fill="auto"/>
            <w:noWrap/>
            <w:vAlign w:val="center"/>
            <w:hideMark/>
          </w:tcPr>
          <w:p w14:paraId="7B5A094B"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1020" w:type="dxa"/>
            <w:tcBorders>
              <w:top w:val="nil"/>
              <w:left w:val="nil"/>
              <w:bottom w:val="single" w:sz="8" w:space="0" w:color="auto"/>
              <w:right w:val="single" w:sz="8" w:space="0" w:color="auto"/>
            </w:tcBorders>
            <w:shd w:val="clear" w:color="auto" w:fill="auto"/>
            <w:noWrap/>
            <w:vAlign w:val="center"/>
            <w:hideMark/>
          </w:tcPr>
          <w:p w14:paraId="482387FE"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0,00%</w:t>
            </w:r>
          </w:p>
        </w:tc>
      </w:tr>
    </w:tbl>
    <w:p w14:paraId="23F446BC" w14:textId="77777777" w:rsidR="00396CB4" w:rsidRPr="00396CB4" w:rsidRDefault="00521099" w:rsidP="00396CB4">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756467">
        <w:rPr>
          <w:rFonts w:eastAsia="Times New Roman" w:cs="Calibri"/>
          <w:color w:val="000000"/>
          <w:lang w:eastAsia="es-CR"/>
        </w:rPr>
        <w:instrText xml:space="preserve">Excel.SheetMacroEnabled.12 "C:\\Users\\gcordero\\Downloads\\Notas diciembre 2024\\Formato_Notas_EEFF_Vinculadas_2024\\Formato_Notas_EEFF_Vinculadas_2024\\15603_T04_2024_Anexo_Estado_Notas_Contables_Vinculadas.xlsm" NOTAS_POR_CUENTA!F258C8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4D3988C1" w14:textId="77777777" w:rsidR="00396CB4" w:rsidRPr="00396CB4" w:rsidRDefault="00396CB4" w:rsidP="00396CB4">
      <w:pPr>
        <w:rPr>
          <w:rFonts w:eastAsia="Times New Roman" w:cs="Calibri"/>
          <w:color w:val="000000"/>
          <w:lang w:eastAsia="es-CR"/>
        </w:rPr>
      </w:pPr>
      <w:r w:rsidRPr="00396CB4">
        <w:rPr>
          <w:rFonts w:eastAsia="Times New Roman" w:cs="Calibri"/>
          <w:color w:val="000000"/>
          <w:lang w:eastAsia="es-CR"/>
        </w:rPr>
        <w:t>La cuenta Multas y sanciones administrativas, representa el 0,00% del total del Ingresos, que comparado al periodo anterior genera una variación absoluta de 0 000,00 que corresponde a un Aumento del 0,00% de recursos disponibles.</w:t>
      </w:r>
    </w:p>
    <w:p w14:paraId="5EC6BB5B" w14:textId="36717FEA" w:rsidR="00692DC8" w:rsidRPr="00692DC8" w:rsidRDefault="00521099" w:rsidP="00521099">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0C9A2B7D" w14:textId="126058A3" w:rsidR="00623120" w:rsidRDefault="00623120" w:rsidP="00623120">
      <w:pPr>
        <w:rPr>
          <w:rFonts w:eastAsiaTheme="minorEastAsia" w:cs="Arial Narrow"/>
          <w:color w:val="000000"/>
          <w:lang w:eastAsia="es-CR"/>
        </w:rPr>
      </w:pPr>
    </w:p>
    <w:p w14:paraId="15350E47" w14:textId="77777777" w:rsidR="00DE143D" w:rsidRPr="00692DC8" w:rsidRDefault="00DE143D" w:rsidP="00623120">
      <w:pPr>
        <w:rPr>
          <w:b/>
          <w:szCs w:val="24"/>
        </w:rPr>
      </w:pPr>
    </w:p>
    <w:p w14:paraId="59E05C33" w14:textId="77777777" w:rsidR="00692DC8" w:rsidRPr="00692DC8" w:rsidRDefault="00692DC8" w:rsidP="00623120">
      <w:pPr>
        <w:pStyle w:val="Ttulo4"/>
        <w:spacing w:after="240"/>
        <w:rPr>
          <w:rFonts w:eastAsia="Times New Roman"/>
        </w:rPr>
      </w:pPr>
      <w:bookmarkStart w:id="680" w:name="_Toc14344800"/>
      <w:bookmarkStart w:id="681" w:name="_Toc33601271"/>
      <w:bookmarkStart w:id="682" w:name="_Toc82768989"/>
      <w:bookmarkStart w:id="683" w:name="_Toc189804880"/>
      <w:r w:rsidRPr="00692DC8">
        <w:rPr>
          <w:rFonts w:eastAsia="Times New Roman"/>
        </w:rPr>
        <w:lastRenderedPageBreak/>
        <w:t>NOTA N° 39</w:t>
      </w:r>
      <w:bookmarkEnd w:id="680"/>
      <w:bookmarkEnd w:id="681"/>
      <w:bookmarkEnd w:id="682"/>
      <w:bookmarkEnd w:id="683"/>
    </w:p>
    <w:p w14:paraId="407E7312" w14:textId="77777777" w:rsidR="00396CB4" w:rsidRDefault="00692DC8" w:rsidP="00F51D42">
      <w:pPr>
        <w:spacing w:before="240"/>
        <w:rPr>
          <w:rFonts w:asciiTheme="minorHAnsi" w:hAnsiTheme="minorHAnsi"/>
          <w:sz w:val="22"/>
        </w:rPr>
      </w:pPr>
      <w:bookmarkStart w:id="684" w:name="_Toc14344801"/>
      <w:bookmarkStart w:id="685" w:name="_Toc33601272"/>
      <w:bookmarkStart w:id="686" w:name="_Toc82768990"/>
      <w:r w:rsidRPr="00692DC8">
        <w:rPr>
          <w:rFonts w:eastAsia="Times New Roman"/>
        </w:rPr>
        <w:t>Remates y confiscaciones de origen no tributario</w:t>
      </w:r>
      <w:bookmarkEnd w:id="684"/>
      <w:bookmarkEnd w:id="685"/>
      <w:bookmarkEnd w:id="686"/>
      <w:r w:rsidR="00521099">
        <w:rPr>
          <w:rFonts w:eastAsiaTheme="majorEastAsia" w:cstheme="majorBidi"/>
          <w:iCs/>
          <w:lang w:val="es-ES"/>
        </w:rPr>
        <w:fldChar w:fldCharType="begin"/>
      </w:r>
      <w:r w:rsidR="00521099">
        <w:rPr>
          <w:lang w:val="es-ES"/>
        </w:rPr>
        <w:instrText xml:space="preserve"> LINK </w:instrText>
      </w:r>
      <w:r w:rsidR="00756467">
        <w:rPr>
          <w:lang w:val="es-ES"/>
        </w:rPr>
        <w:instrText xml:space="preserve">Excel.SheetMacroEnabled.12 "C:\\Users\\gcordero\\Downloads\\Notas diciembre 2024\\Formato_Notas_EEFF_Vinculadas_2024\\Formato_Notas_EEFF_Vinculadas_2024\\15603_T04_2024_Anexo_Estado_Notas_Contables_Vinculadas.xlsm" NOTAS_POR_CUENTA!F260C1:F262C6 </w:instrText>
      </w:r>
      <w:r w:rsidR="00521099">
        <w:rPr>
          <w:lang w:val="es-ES"/>
        </w:rPr>
        <w:instrText xml:space="preserve">\a \f 4 \h </w:instrText>
      </w:r>
      <w:r w:rsidR="00521099">
        <w:rPr>
          <w:b/>
          <w:lang w:val="es-ES"/>
        </w:rPr>
        <w:fldChar w:fldCharType="separate"/>
      </w:r>
    </w:p>
    <w:tbl>
      <w:tblPr>
        <w:tblW w:w="9600" w:type="dxa"/>
        <w:tblCellMar>
          <w:left w:w="70" w:type="dxa"/>
          <w:right w:w="70" w:type="dxa"/>
        </w:tblCellMar>
        <w:tblLook w:val="04A0" w:firstRow="1" w:lastRow="0" w:firstColumn="1" w:lastColumn="0" w:noHBand="0" w:noVBand="1"/>
      </w:tblPr>
      <w:tblGrid>
        <w:gridCol w:w="1312"/>
        <w:gridCol w:w="2568"/>
        <w:gridCol w:w="500"/>
        <w:gridCol w:w="2100"/>
        <w:gridCol w:w="2100"/>
        <w:gridCol w:w="1020"/>
      </w:tblGrid>
      <w:tr w:rsidR="00396CB4" w:rsidRPr="00396CB4" w14:paraId="234A1CD4" w14:textId="77777777" w:rsidTr="00396CB4">
        <w:trPr>
          <w:divId w:val="1333138748"/>
          <w:trHeight w:val="330"/>
        </w:trPr>
        <w:tc>
          <w:tcPr>
            <w:tcW w:w="1312"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D0D566E" w14:textId="6D1457F0" w:rsidR="00396CB4" w:rsidRPr="00396CB4" w:rsidRDefault="00396CB4" w:rsidP="00396CB4">
            <w:pP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2568"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3B97156"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C3DACA3"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514AC21"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51C2956"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246A7653"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1E3D31B4" w14:textId="77777777" w:rsidTr="00396CB4">
        <w:trPr>
          <w:divId w:val="1333138748"/>
          <w:trHeight w:val="330"/>
        </w:trPr>
        <w:tc>
          <w:tcPr>
            <w:tcW w:w="1312" w:type="dxa"/>
            <w:vMerge/>
            <w:tcBorders>
              <w:top w:val="single" w:sz="8" w:space="0" w:color="auto"/>
              <w:left w:val="single" w:sz="8" w:space="0" w:color="auto"/>
              <w:bottom w:val="single" w:sz="8" w:space="0" w:color="000000"/>
              <w:right w:val="single" w:sz="8" w:space="0" w:color="auto"/>
            </w:tcBorders>
            <w:vAlign w:val="center"/>
            <w:hideMark/>
          </w:tcPr>
          <w:p w14:paraId="6D40C036"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568" w:type="dxa"/>
            <w:vMerge/>
            <w:tcBorders>
              <w:top w:val="single" w:sz="8" w:space="0" w:color="auto"/>
              <w:left w:val="single" w:sz="8" w:space="0" w:color="auto"/>
              <w:bottom w:val="single" w:sz="8" w:space="0" w:color="000000"/>
              <w:right w:val="single" w:sz="8" w:space="0" w:color="auto"/>
            </w:tcBorders>
            <w:vAlign w:val="center"/>
            <w:hideMark/>
          </w:tcPr>
          <w:p w14:paraId="681AD798"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68CDC559"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3918CD16"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07809219"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6A717909"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4631519A" w14:textId="77777777" w:rsidTr="00396CB4">
        <w:trPr>
          <w:divId w:val="1333138748"/>
          <w:trHeight w:val="555"/>
        </w:trPr>
        <w:tc>
          <w:tcPr>
            <w:tcW w:w="1312" w:type="dxa"/>
            <w:tcBorders>
              <w:top w:val="nil"/>
              <w:left w:val="single" w:sz="8" w:space="0" w:color="auto"/>
              <w:bottom w:val="single" w:sz="8" w:space="0" w:color="auto"/>
              <w:right w:val="single" w:sz="8" w:space="0" w:color="auto"/>
            </w:tcBorders>
            <w:shd w:val="clear" w:color="auto" w:fill="auto"/>
            <w:noWrap/>
            <w:vAlign w:val="center"/>
            <w:hideMark/>
          </w:tcPr>
          <w:p w14:paraId="2CA87B4B"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4.3.2.</w:t>
            </w:r>
          </w:p>
        </w:tc>
        <w:tc>
          <w:tcPr>
            <w:tcW w:w="2568" w:type="dxa"/>
            <w:tcBorders>
              <w:top w:val="nil"/>
              <w:left w:val="nil"/>
              <w:bottom w:val="single" w:sz="8" w:space="0" w:color="auto"/>
              <w:right w:val="single" w:sz="8" w:space="0" w:color="auto"/>
            </w:tcBorders>
            <w:shd w:val="clear" w:color="auto" w:fill="auto"/>
            <w:vAlign w:val="center"/>
            <w:hideMark/>
          </w:tcPr>
          <w:p w14:paraId="568EA8DD" w14:textId="77777777" w:rsidR="00396CB4" w:rsidRPr="00396CB4" w:rsidRDefault="00396CB4" w:rsidP="00396CB4">
            <w:pPr>
              <w:spacing w:after="0" w:line="240" w:lineRule="auto"/>
              <w:rPr>
                <w:rFonts w:eastAsia="Times New Roman" w:cs="Calibri"/>
                <w:b/>
                <w:bCs/>
                <w:color w:val="000000"/>
                <w:sz w:val="18"/>
                <w:szCs w:val="18"/>
                <w:lang w:eastAsia="es-CR"/>
              </w:rPr>
            </w:pPr>
            <w:r w:rsidRPr="00396CB4">
              <w:rPr>
                <w:rFonts w:eastAsia="Times New Roman" w:cs="Calibri"/>
                <w:b/>
                <w:bCs/>
                <w:color w:val="000000"/>
                <w:sz w:val="18"/>
                <w:szCs w:val="18"/>
                <w:lang w:eastAsia="es-CR"/>
              </w:rPr>
              <w:t>Remates y confiscaciones de origen no tributario</w:t>
            </w:r>
          </w:p>
        </w:tc>
        <w:tc>
          <w:tcPr>
            <w:tcW w:w="500" w:type="dxa"/>
            <w:tcBorders>
              <w:top w:val="nil"/>
              <w:left w:val="nil"/>
              <w:bottom w:val="single" w:sz="8" w:space="0" w:color="auto"/>
              <w:right w:val="single" w:sz="8" w:space="0" w:color="auto"/>
            </w:tcBorders>
            <w:shd w:val="clear" w:color="auto" w:fill="auto"/>
            <w:noWrap/>
            <w:vAlign w:val="center"/>
            <w:hideMark/>
          </w:tcPr>
          <w:p w14:paraId="39F0FE1A"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39</w:t>
            </w:r>
          </w:p>
        </w:tc>
        <w:tc>
          <w:tcPr>
            <w:tcW w:w="2100" w:type="dxa"/>
            <w:tcBorders>
              <w:top w:val="nil"/>
              <w:left w:val="nil"/>
              <w:bottom w:val="single" w:sz="8" w:space="0" w:color="auto"/>
              <w:right w:val="single" w:sz="8" w:space="0" w:color="auto"/>
            </w:tcBorders>
            <w:shd w:val="clear" w:color="auto" w:fill="auto"/>
            <w:noWrap/>
            <w:vAlign w:val="center"/>
            <w:hideMark/>
          </w:tcPr>
          <w:p w14:paraId="6D5100C9"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2100" w:type="dxa"/>
            <w:tcBorders>
              <w:top w:val="nil"/>
              <w:left w:val="nil"/>
              <w:bottom w:val="single" w:sz="8" w:space="0" w:color="auto"/>
              <w:right w:val="single" w:sz="8" w:space="0" w:color="auto"/>
            </w:tcBorders>
            <w:shd w:val="clear" w:color="auto" w:fill="auto"/>
            <w:noWrap/>
            <w:vAlign w:val="center"/>
            <w:hideMark/>
          </w:tcPr>
          <w:p w14:paraId="57981AF3"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1020" w:type="dxa"/>
            <w:tcBorders>
              <w:top w:val="nil"/>
              <w:left w:val="nil"/>
              <w:bottom w:val="single" w:sz="8" w:space="0" w:color="auto"/>
              <w:right w:val="single" w:sz="8" w:space="0" w:color="auto"/>
            </w:tcBorders>
            <w:shd w:val="clear" w:color="auto" w:fill="auto"/>
            <w:noWrap/>
            <w:vAlign w:val="center"/>
            <w:hideMark/>
          </w:tcPr>
          <w:p w14:paraId="014EC6E8"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0,00%</w:t>
            </w:r>
          </w:p>
        </w:tc>
      </w:tr>
    </w:tbl>
    <w:p w14:paraId="36D2473D" w14:textId="77777777" w:rsidR="00396CB4" w:rsidRPr="00396CB4" w:rsidRDefault="00521099" w:rsidP="00396CB4">
      <w:pPr>
        <w:spacing w:before="240"/>
        <w:rPr>
          <w:b/>
          <w:lang w:val="es-ES"/>
        </w:rPr>
      </w:pPr>
      <w:r>
        <w:rPr>
          <w:b/>
          <w:lang w:val="es-ES"/>
        </w:rPr>
        <w:fldChar w:fldCharType="end"/>
      </w:r>
      <w:r w:rsidR="00692DC8" w:rsidRPr="00623120">
        <w:rPr>
          <w:b/>
          <w:lang w:val="es-ES"/>
        </w:rPr>
        <w:t xml:space="preserve">Revelación: </w:t>
      </w:r>
      <w:bookmarkStart w:id="687" w:name="_Toc14344804"/>
      <w:r>
        <w:rPr>
          <w:rFonts w:eastAsia="Times New Roman" w:cs="Calibri"/>
          <w:color w:val="000000"/>
          <w:lang w:eastAsia="es-CR"/>
        </w:rPr>
        <w:fldChar w:fldCharType="begin"/>
      </w:r>
      <w:r>
        <w:rPr>
          <w:rFonts w:eastAsia="Times New Roman" w:cs="Calibri"/>
          <w:color w:val="000000"/>
          <w:lang w:eastAsia="es-CR"/>
        </w:rPr>
        <w:instrText xml:space="preserve"> LINK </w:instrText>
      </w:r>
      <w:r w:rsidR="00756467">
        <w:rPr>
          <w:rFonts w:eastAsia="Times New Roman" w:cs="Calibri"/>
          <w:color w:val="000000"/>
          <w:lang w:eastAsia="es-CR"/>
        </w:rPr>
        <w:instrText xml:space="preserve">Excel.SheetMacroEnabled.12 "C:\\Users\\gcordero\\Downloads\\Notas diciembre 2024\\Formato_Notas_EEFF_Vinculadas_2024\\Formato_Notas_EEFF_Vinculadas_2024\\15603_T04_2024_Anexo_Estado_Notas_Contables_Vinculadas.xlsm" NOTAS_POR_CUENTA!F262C8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25186B9F" w14:textId="77777777" w:rsidR="00396CB4" w:rsidRPr="00396CB4" w:rsidRDefault="00396CB4" w:rsidP="00396CB4">
      <w:pPr>
        <w:rPr>
          <w:rFonts w:eastAsia="Times New Roman" w:cs="Calibri"/>
          <w:color w:val="000000"/>
          <w:lang w:eastAsia="es-CR"/>
        </w:rPr>
      </w:pPr>
      <w:r w:rsidRPr="00396CB4">
        <w:rPr>
          <w:rFonts w:eastAsia="Times New Roman" w:cs="Calibri"/>
          <w:color w:val="000000"/>
          <w:lang w:eastAsia="es-CR"/>
        </w:rPr>
        <w:t>La cuenta Remates y confiscaciones de origen no tributario, representa el 0,00% del total del Ingresos, que comparado al periodo anterior genera una variación absoluta de 0 000,00 que corresponde a un Aumento del 0,00% de recursos disponibles.</w:t>
      </w:r>
    </w:p>
    <w:p w14:paraId="6015B750" w14:textId="3B6C6E6B" w:rsidR="00692DC8" w:rsidRPr="00692DC8" w:rsidRDefault="00521099" w:rsidP="00521099">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66663E99" w14:textId="77777777" w:rsidR="00692DC8" w:rsidRPr="00692DC8" w:rsidRDefault="00692DC8" w:rsidP="00623120">
      <w:pPr>
        <w:rPr>
          <w:i/>
          <w:sz w:val="20"/>
          <w:szCs w:val="20"/>
        </w:rPr>
      </w:pPr>
    </w:p>
    <w:p w14:paraId="7B7C6F36" w14:textId="77777777" w:rsidR="00692DC8" w:rsidRPr="00692DC8" w:rsidRDefault="00692DC8" w:rsidP="00623120">
      <w:pPr>
        <w:pStyle w:val="Ttulo4"/>
        <w:spacing w:after="240"/>
        <w:rPr>
          <w:rFonts w:eastAsia="Times New Roman"/>
        </w:rPr>
      </w:pPr>
      <w:bookmarkStart w:id="688" w:name="_Toc189804881"/>
      <w:r w:rsidRPr="00692DC8">
        <w:rPr>
          <w:rFonts w:eastAsia="Times New Roman"/>
        </w:rPr>
        <w:t>NOTA N° 40</w:t>
      </w:r>
      <w:bookmarkEnd w:id="688"/>
    </w:p>
    <w:p w14:paraId="60230C63" w14:textId="77777777" w:rsidR="00396CB4" w:rsidRDefault="00692DC8" w:rsidP="00F51D42">
      <w:pPr>
        <w:spacing w:before="240"/>
        <w:rPr>
          <w:rFonts w:asciiTheme="minorHAnsi" w:hAnsiTheme="minorHAnsi"/>
          <w:sz w:val="22"/>
        </w:rPr>
      </w:pPr>
      <w:r w:rsidRPr="00692DC8">
        <w:rPr>
          <w:rFonts w:eastAsia="Times New Roman"/>
        </w:rPr>
        <w:t>Remates y confiscaciones de origen no tributario</w:t>
      </w:r>
      <w:r w:rsidR="00521099">
        <w:rPr>
          <w:rFonts w:eastAsiaTheme="majorEastAsia" w:cstheme="majorBidi"/>
          <w:iCs/>
          <w:lang w:val="es-ES"/>
        </w:rPr>
        <w:fldChar w:fldCharType="begin"/>
      </w:r>
      <w:r w:rsidR="00521099">
        <w:rPr>
          <w:lang w:val="es-ES"/>
        </w:rPr>
        <w:instrText xml:space="preserve"> LINK </w:instrText>
      </w:r>
      <w:r w:rsidR="00756467">
        <w:rPr>
          <w:lang w:val="es-ES"/>
        </w:rPr>
        <w:instrText xml:space="preserve">Excel.SheetMacroEnabled.12 "C:\\Users\\gcordero\\Downloads\\Notas diciembre 2024\\Formato_Notas_EEFF_Vinculadas_2024\\Formato_Notas_EEFF_Vinculadas_2024\\15603_T04_2024_Anexo_Estado_Notas_Contables_Vinculadas.xlsm" NOTAS_POR_CUENTA!F264C1:F266C6 </w:instrText>
      </w:r>
      <w:r w:rsidR="00521099">
        <w:rPr>
          <w:lang w:val="es-ES"/>
        </w:rPr>
        <w:instrText xml:space="preserve">\a \f 4 \h </w:instrText>
      </w:r>
      <w:r w:rsidR="00521099">
        <w:rPr>
          <w:b/>
          <w:lang w:val="es-ES"/>
        </w:rPr>
        <w:fldChar w:fldCharType="separate"/>
      </w:r>
    </w:p>
    <w:tbl>
      <w:tblPr>
        <w:tblW w:w="9600" w:type="dxa"/>
        <w:tblCellMar>
          <w:left w:w="70" w:type="dxa"/>
          <w:right w:w="70" w:type="dxa"/>
        </w:tblCellMar>
        <w:tblLook w:val="04A0" w:firstRow="1" w:lastRow="0" w:firstColumn="1" w:lastColumn="0" w:noHBand="0" w:noVBand="1"/>
      </w:tblPr>
      <w:tblGrid>
        <w:gridCol w:w="1312"/>
        <w:gridCol w:w="2568"/>
        <w:gridCol w:w="500"/>
        <w:gridCol w:w="2100"/>
        <w:gridCol w:w="2100"/>
        <w:gridCol w:w="1020"/>
      </w:tblGrid>
      <w:tr w:rsidR="00396CB4" w:rsidRPr="00396CB4" w14:paraId="2E1ABA46" w14:textId="77777777" w:rsidTr="00396CB4">
        <w:trPr>
          <w:divId w:val="1466049667"/>
          <w:trHeight w:val="330"/>
        </w:trPr>
        <w:tc>
          <w:tcPr>
            <w:tcW w:w="1312"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F0897F5" w14:textId="0FF90AE1" w:rsidR="00396CB4" w:rsidRPr="00396CB4" w:rsidRDefault="00396CB4" w:rsidP="00396CB4">
            <w:pP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2568"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7BA72D0"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6D3631C"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68E294C"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6D339AE"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10587F5D"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58050A34" w14:textId="77777777" w:rsidTr="00396CB4">
        <w:trPr>
          <w:divId w:val="1466049667"/>
          <w:trHeight w:val="330"/>
        </w:trPr>
        <w:tc>
          <w:tcPr>
            <w:tcW w:w="1312" w:type="dxa"/>
            <w:vMerge/>
            <w:tcBorders>
              <w:top w:val="single" w:sz="8" w:space="0" w:color="auto"/>
              <w:left w:val="single" w:sz="8" w:space="0" w:color="auto"/>
              <w:bottom w:val="single" w:sz="8" w:space="0" w:color="000000"/>
              <w:right w:val="single" w:sz="8" w:space="0" w:color="auto"/>
            </w:tcBorders>
            <w:vAlign w:val="center"/>
            <w:hideMark/>
          </w:tcPr>
          <w:p w14:paraId="5268DEB4"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568" w:type="dxa"/>
            <w:vMerge/>
            <w:tcBorders>
              <w:top w:val="single" w:sz="8" w:space="0" w:color="auto"/>
              <w:left w:val="single" w:sz="8" w:space="0" w:color="auto"/>
              <w:bottom w:val="single" w:sz="8" w:space="0" w:color="000000"/>
              <w:right w:val="single" w:sz="8" w:space="0" w:color="auto"/>
            </w:tcBorders>
            <w:vAlign w:val="center"/>
            <w:hideMark/>
          </w:tcPr>
          <w:p w14:paraId="1C347FFA"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251E5278"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174E855C"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3A5EE401"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655DBC13"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4656EE19" w14:textId="77777777" w:rsidTr="00396CB4">
        <w:trPr>
          <w:divId w:val="1466049667"/>
          <w:trHeight w:val="330"/>
        </w:trPr>
        <w:tc>
          <w:tcPr>
            <w:tcW w:w="1312" w:type="dxa"/>
            <w:tcBorders>
              <w:top w:val="nil"/>
              <w:left w:val="single" w:sz="8" w:space="0" w:color="auto"/>
              <w:bottom w:val="single" w:sz="8" w:space="0" w:color="auto"/>
              <w:right w:val="single" w:sz="8" w:space="0" w:color="auto"/>
            </w:tcBorders>
            <w:shd w:val="clear" w:color="auto" w:fill="auto"/>
            <w:noWrap/>
            <w:vAlign w:val="center"/>
            <w:hideMark/>
          </w:tcPr>
          <w:p w14:paraId="54655CE8"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4.3.3.</w:t>
            </w:r>
          </w:p>
        </w:tc>
        <w:tc>
          <w:tcPr>
            <w:tcW w:w="2568" w:type="dxa"/>
            <w:tcBorders>
              <w:top w:val="nil"/>
              <w:left w:val="nil"/>
              <w:bottom w:val="single" w:sz="8" w:space="0" w:color="auto"/>
              <w:right w:val="single" w:sz="8" w:space="0" w:color="auto"/>
            </w:tcBorders>
            <w:shd w:val="clear" w:color="auto" w:fill="auto"/>
            <w:vAlign w:val="center"/>
            <w:hideMark/>
          </w:tcPr>
          <w:p w14:paraId="4FAA1F53" w14:textId="77777777" w:rsidR="00396CB4" w:rsidRPr="00396CB4" w:rsidRDefault="00396CB4" w:rsidP="00396CB4">
            <w:pPr>
              <w:spacing w:after="0" w:line="240" w:lineRule="auto"/>
              <w:rPr>
                <w:rFonts w:eastAsia="Times New Roman" w:cs="Calibri"/>
                <w:b/>
                <w:bCs/>
                <w:color w:val="000000"/>
                <w:sz w:val="18"/>
                <w:szCs w:val="18"/>
                <w:lang w:eastAsia="es-CR"/>
              </w:rPr>
            </w:pPr>
            <w:r w:rsidRPr="00396CB4">
              <w:rPr>
                <w:rFonts w:eastAsia="Times New Roman" w:cs="Calibri"/>
                <w:b/>
                <w:bCs/>
                <w:color w:val="000000"/>
                <w:sz w:val="18"/>
                <w:szCs w:val="18"/>
                <w:lang w:eastAsia="es-CR"/>
              </w:rPr>
              <w:t>Intereses Moratorios</w:t>
            </w:r>
          </w:p>
        </w:tc>
        <w:tc>
          <w:tcPr>
            <w:tcW w:w="500" w:type="dxa"/>
            <w:tcBorders>
              <w:top w:val="nil"/>
              <w:left w:val="nil"/>
              <w:bottom w:val="single" w:sz="8" w:space="0" w:color="auto"/>
              <w:right w:val="single" w:sz="8" w:space="0" w:color="auto"/>
            </w:tcBorders>
            <w:shd w:val="clear" w:color="auto" w:fill="auto"/>
            <w:noWrap/>
            <w:vAlign w:val="center"/>
            <w:hideMark/>
          </w:tcPr>
          <w:p w14:paraId="4C809455"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40</w:t>
            </w:r>
          </w:p>
        </w:tc>
        <w:tc>
          <w:tcPr>
            <w:tcW w:w="2100" w:type="dxa"/>
            <w:tcBorders>
              <w:top w:val="nil"/>
              <w:left w:val="nil"/>
              <w:bottom w:val="single" w:sz="8" w:space="0" w:color="auto"/>
              <w:right w:val="single" w:sz="8" w:space="0" w:color="auto"/>
            </w:tcBorders>
            <w:shd w:val="clear" w:color="auto" w:fill="auto"/>
            <w:noWrap/>
            <w:vAlign w:val="center"/>
            <w:hideMark/>
          </w:tcPr>
          <w:p w14:paraId="7BC77145"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2100" w:type="dxa"/>
            <w:tcBorders>
              <w:top w:val="nil"/>
              <w:left w:val="nil"/>
              <w:bottom w:val="single" w:sz="8" w:space="0" w:color="auto"/>
              <w:right w:val="single" w:sz="8" w:space="0" w:color="auto"/>
            </w:tcBorders>
            <w:shd w:val="clear" w:color="auto" w:fill="auto"/>
            <w:noWrap/>
            <w:vAlign w:val="center"/>
            <w:hideMark/>
          </w:tcPr>
          <w:p w14:paraId="2D514F97"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1020" w:type="dxa"/>
            <w:tcBorders>
              <w:top w:val="nil"/>
              <w:left w:val="nil"/>
              <w:bottom w:val="single" w:sz="8" w:space="0" w:color="auto"/>
              <w:right w:val="single" w:sz="8" w:space="0" w:color="auto"/>
            </w:tcBorders>
            <w:shd w:val="clear" w:color="auto" w:fill="auto"/>
            <w:noWrap/>
            <w:vAlign w:val="center"/>
            <w:hideMark/>
          </w:tcPr>
          <w:p w14:paraId="23672082"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0,00%</w:t>
            </w:r>
          </w:p>
        </w:tc>
      </w:tr>
    </w:tbl>
    <w:p w14:paraId="60FB2B13" w14:textId="77777777" w:rsidR="00396CB4" w:rsidRPr="00396CB4" w:rsidRDefault="00521099" w:rsidP="00396CB4">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756467">
        <w:rPr>
          <w:rFonts w:eastAsia="Times New Roman" w:cs="Calibri"/>
          <w:color w:val="000000"/>
          <w:lang w:eastAsia="es-CR"/>
        </w:rPr>
        <w:instrText xml:space="preserve">Excel.SheetMacroEnabled.12 "C:\\Users\\gcordero\\Downloads\\Notas diciembre 2024\\Formato_Notas_EEFF_Vinculadas_2024\\Formato_Notas_EEFF_Vinculadas_2024\\15603_T04_2024_Anexo_Estado_Notas_Contables_Vinculadas.xlsm" NOTAS_POR_CUENTA!F266C8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371EA23B" w14:textId="77777777" w:rsidR="00396CB4" w:rsidRPr="00396CB4" w:rsidRDefault="00396CB4" w:rsidP="00396CB4">
      <w:pPr>
        <w:rPr>
          <w:rFonts w:eastAsia="Times New Roman" w:cs="Calibri"/>
          <w:color w:val="000000"/>
          <w:lang w:eastAsia="es-CR"/>
        </w:rPr>
      </w:pPr>
      <w:r w:rsidRPr="00396CB4">
        <w:rPr>
          <w:rFonts w:eastAsia="Times New Roman" w:cs="Calibri"/>
          <w:color w:val="000000"/>
          <w:lang w:eastAsia="es-CR"/>
        </w:rPr>
        <w:t>La cuenta Intereses Moratorios, representa el 0,00% del total del Ingresos, que comparado al periodo anterior genera una variación absoluta de 0 000,00 que corresponde a un Aumento del 0,00% de recursos disponibles.</w:t>
      </w:r>
    </w:p>
    <w:p w14:paraId="2D8E385F" w14:textId="30931E0C" w:rsidR="00692DC8" w:rsidRDefault="00521099" w:rsidP="00623120">
      <w:pPr>
        <w:rPr>
          <w:rFonts w:eastAsiaTheme="minorEastAsia" w:cs="Arial Narrow"/>
          <w:color w:val="000000"/>
          <w:lang w:eastAsia="es-CR"/>
        </w:rPr>
      </w:pPr>
      <w:r>
        <w:rPr>
          <w:rFonts w:eastAsia="Times New Roman" w:cs="Calibri"/>
          <w:color w:val="000000"/>
          <w:lang w:eastAsia="es-CR"/>
        </w:rPr>
        <w:fldChar w:fldCharType="end"/>
      </w:r>
      <w:r w:rsidR="00692DC8" w:rsidRPr="00692DC8">
        <w:t xml:space="preserve"> </w:t>
      </w:r>
      <w:r w:rsidR="00692DC8" w:rsidRPr="00692DC8">
        <w:rPr>
          <w:highlight w:val="lightGray"/>
        </w:rPr>
        <w:t>Las variaciones de la cuenta son producto de (Indicar la razón de las variaciones de un periodo a otro):</w:t>
      </w:r>
      <w:r w:rsidR="00692DC8" w:rsidRPr="00692DC8">
        <w:t xml:space="preserve"> </w:t>
      </w:r>
    </w:p>
    <w:p w14:paraId="03379B64" w14:textId="77777777" w:rsidR="00692DC8" w:rsidRPr="00692DC8" w:rsidRDefault="00692DC8" w:rsidP="00623120">
      <w:pPr>
        <w:pStyle w:val="Ttulo3"/>
        <w:spacing w:after="240"/>
        <w:rPr>
          <w:rFonts w:eastAsia="Calibri"/>
          <w:sz w:val="26"/>
          <w:szCs w:val="26"/>
          <w:lang w:eastAsia="es-CR"/>
        </w:rPr>
      </w:pPr>
      <w:bookmarkStart w:id="689" w:name="_Toc82768991"/>
      <w:bookmarkStart w:id="690" w:name="_Toc189804882"/>
      <w:r w:rsidRPr="00692DC8">
        <w:rPr>
          <w:rFonts w:eastAsia="Calibri"/>
          <w:lang w:eastAsia="es-CR"/>
        </w:rPr>
        <w:t>4.4 INGRESOS Y RESULTADOS POSITIVOS POR VENTAS</w:t>
      </w:r>
      <w:bookmarkStart w:id="691" w:name="_Toc54976783"/>
      <w:bookmarkStart w:id="692" w:name="_Toc54977063"/>
      <w:bookmarkStart w:id="693" w:name="_Toc54977342"/>
      <w:bookmarkStart w:id="694" w:name="_Toc54977623"/>
      <w:bookmarkStart w:id="695" w:name="_Toc54977904"/>
      <w:bookmarkStart w:id="696" w:name="_Toc54978185"/>
      <w:bookmarkStart w:id="697" w:name="_Toc54978494"/>
      <w:bookmarkStart w:id="698" w:name="_Toc54978803"/>
      <w:bookmarkStart w:id="699" w:name="_Toc54979113"/>
      <w:bookmarkStart w:id="700" w:name="_Toc55059400"/>
      <w:bookmarkStart w:id="701" w:name="_Toc55059711"/>
      <w:bookmarkStart w:id="702" w:name="_Toc55060378"/>
      <w:bookmarkStart w:id="703" w:name="_Toc55060763"/>
      <w:bookmarkStart w:id="704" w:name="_Toc55062748"/>
      <w:bookmarkStart w:id="705" w:name="_Toc55063018"/>
      <w:bookmarkStart w:id="706" w:name="_Toc55063269"/>
      <w:bookmarkStart w:id="707" w:name="_Toc55063522"/>
      <w:bookmarkStart w:id="708" w:name="_Toc55063780"/>
      <w:bookmarkStart w:id="709" w:name="_Toc55064053"/>
      <w:bookmarkStart w:id="710" w:name="_Toc55069856"/>
      <w:bookmarkStart w:id="711" w:name="_Toc55070124"/>
      <w:bookmarkStart w:id="712" w:name="_Toc55070391"/>
      <w:bookmarkStart w:id="713" w:name="_Toc55070659"/>
      <w:bookmarkStart w:id="714" w:name="_Toc55070926"/>
      <w:bookmarkStart w:id="715" w:name="_Toc55201449"/>
      <w:bookmarkStart w:id="716" w:name="_Toc55824679"/>
      <w:bookmarkStart w:id="717" w:name="_Toc55825064"/>
      <w:bookmarkStart w:id="718" w:name="_Toc55828998"/>
      <w:bookmarkStart w:id="719" w:name="_Toc56002252"/>
      <w:bookmarkStart w:id="720" w:name="_Toc56002528"/>
      <w:bookmarkStart w:id="721" w:name="_Toc56004721"/>
      <w:bookmarkStart w:id="722" w:name="_Toc56065398"/>
      <w:bookmarkStart w:id="723" w:name="_Toc71563879"/>
      <w:bookmarkStart w:id="724" w:name="_Toc54976790"/>
      <w:bookmarkStart w:id="725" w:name="_Toc54977070"/>
      <w:bookmarkStart w:id="726" w:name="_Toc54977349"/>
      <w:bookmarkStart w:id="727" w:name="_Toc54977630"/>
      <w:bookmarkStart w:id="728" w:name="_Toc54977911"/>
      <w:bookmarkStart w:id="729" w:name="_Toc54978192"/>
      <w:bookmarkStart w:id="730" w:name="_Toc54978501"/>
      <w:bookmarkStart w:id="731" w:name="_Toc54978810"/>
      <w:bookmarkStart w:id="732" w:name="_Toc54979120"/>
      <w:bookmarkStart w:id="733" w:name="_Toc55059407"/>
      <w:bookmarkStart w:id="734" w:name="_Toc55059718"/>
      <w:bookmarkStart w:id="735" w:name="_Toc55060385"/>
      <w:bookmarkStart w:id="736" w:name="_Toc55060770"/>
      <w:bookmarkStart w:id="737" w:name="_Toc55062755"/>
      <w:bookmarkStart w:id="738" w:name="_Toc55063025"/>
      <w:bookmarkStart w:id="739" w:name="_Toc55063276"/>
      <w:bookmarkStart w:id="740" w:name="_Toc55063529"/>
      <w:bookmarkStart w:id="741" w:name="_Toc55063787"/>
      <w:bookmarkStart w:id="742" w:name="_Toc55064060"/>
      <w:bookmarkStart w:id="743" w:name="_Toc55069863"/>
      <w:bookmarkStart w:id="744" w:name="_Toc55070131"/>
      <w:bookmarkStart w:id="745" w:name="_Toc55070398"/>
      <w:bookmarkStart w:id="746" w:name="_Toc55070666"/>
      <w:bookmarkStart w:id="747" w:name="_Toc55070933"/>
      <w:bookmarkStart w:id="748" w:name="_Toc55201456"/>
      <w:bookmarkStart w:id="749" w:name="_Toc55824686"/>
      <w:bookmarkStart w:id="750" w:name="_Toc55825071"/>
      <w:bookmarkStart w:id="751" w:name="_Toc55829005"/>
      <w:bookmarkStart w:id="752" w:name="_Toc56002259"/>
      <w:bookmarkStart w:id="753" w:name="_Toc56002535"/>
      <w:bookmarkStart w:id="754" w:name="_Toc56004728"/>
      <w:bookmarkStart w:id="755" w:name="_Toc56065405"/>
      <w:bookmarkStart w:id="756" w:name="_Toc71563886"/>
      <w:bookmarkEnd w:id="689"/>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690"/>
    </w:p>
    <w:p w14:paraId="07510301" w14:textId="77777777" w:rsidR="00692DC8" w:rsidRPr="00692DC8" w:rsidRDefault="00692DC8" w:rsidP="00623120">
      <w:pPr>
        <w:pStyle w:val="Ttulo4"/>
        <w:spacing w:after="240"/>
        <w:rPr>
          <w:rFonts w:eastAsia="Times New Roman"/>
        </w:rPr>
      </w:pPr>
      <w:bookmarkStart w:id="757" w:name="_Toc33601273"/>
      <w:bookmarkStart w:id="758" w:name="_Toc82768992"/>
      <w:bookmarkStart w:id="759" w:name="_Toc189804883"/>
      <w:r w:rsidRPr="00692DC8">
        <w:rPr>
          <w:rFonts w:eastAsia="Times New Roman"/>
        </w:rPr>
        <w:t>NOTA N° 4</w:t>
      </w:r>
      <w:bookmarkEnd w:id="687"/>
      <w:bookmarkEnd w:id="757"/>
      <w:bookmarkEnd w:id="758"/>
      <w:r w:rsidRPr="00692DC8">
        <w:rPr>
          <w:rFonts w:eastAsia="Times New Roman"/>
        </w:rPr>
        <w:t>1</w:t>
      </w:r>
      <w:bookmarkEnd w:id="759"/>
    </w:p>
    <w:p w14:paraId="45C6BF29" w14:textId="77777777" w:rsidR="00396CB4" w:rsidRDefault="00692DC8" w:rsidP="00F51D42">
      <w:pPr>
        <w:spacing w:before="240"/>
        <w:rPr>
          <w:rFonts w:asciiTheme="minorHAnsi" w:hAnsiTheme="minorHAnsi"/>
          <w:sz w:val="22"/>
        </w:rPr>
      </w:pPr>
      <w:bookmarkStart w:id="760" w:name="_Toc14344805"/>
      <w:bookmarkStart w:id="761" w:name="_Toc33601274"/>
      <w:bookmarkStart w:id="762" w:name="_Toc82768993"/>
      <w:r w:rsidRPr="00692DC8">
        <w:rPr>
          <w:rFonts w:eastAsia="Times New Roman"/>
        </w:rPr>
        <w:t>Ventas de bienes y servicios</w:t>
      </w:r>
      <w:bookmarkEnd w:id="760"/>
      <w:bookmarkEnd w:id="761"/>
      <w:bookmarkEnd w:id="762"/>
      <w:r w:rsidR="00521099">
        <w:rPr>
          <w:rFonts w:eastAsiaTheme="majorEastAsia" w:cstheme="majorBidi"/>
          <w:b/>
          <w:iCs/>
        </w:rPr>
        <w:fldChar w:fldCharType="begin"/>
      </w:r>
      <w:r w:rsidR="00521099">
        <w:instrText xml:space="preserve"> LINK </w:instrText>
      </w:r>
      <w:r w:rsidR="00756467">
        <w:instrText xml:space="preserve">Excel.SheetMacroEnabled.12 "C:\\Users\\gcordero\\Downloads\\Notas diciembre 2024\\Formato_Notas_EEFF_Vinculadas_2024\\Formato_Notas_EEFF_Vinculadas_2024\\15603_T04_2024_Anexo_Estado_Notas_Contables_Vinculadas.xlsm" NOTAS_POR_CUENTA!F268C1:F270C6 </w:instrText>
      </w:r>
      <w:r w:rsidR="00521099">
        <w:instrText xml:space="preserve">\a \f 4 \h </w:instrText>
      </w:r>
      <w:r w:rsidR="00521099">
        <w:fldChar w:fldCharType="separate"/>
      </w:r>
    </w:p>
    <w:tbl>
      <w:tblPr>
        <w:tblW w:w="9600" w:type="dxa"/>
        <w:tblCellMar>
          <w:left w:w="70" w:type="dxa"/>
          <w:right w:w="70" w:type="dxa"/>
        </w:tblCellMar>
        <w:tblLook w:val="04A0" w:firstRow="1" w:lastRow="0" w:firstColumn="1" w:lastColumn="0" w:noHBand="0" w:noVBand="1"/>
      </w:tblPr>
      <w:tblGrid>
        <w:gridCol w:w="1286"/>
        <w:gridCol w:w="2594"/>
        <w:gridCol w:w="500"/>
        <w:gridCol w:w="2100"/>
        <w:gridCol w:w="2100"/>
        <w:gridCol w:w="1020"/>
      </w:tblGrid>
      <w:tr w:rsidR="00396CB4" w:rsidRPr="00396CB4" w14:paraId="4C13DAAC" w14:textId="77777777" w:rsidTr="00396CB4">
        <w:trPr>
          <w:divId w:val="151718214"/>
          <w:trHeight w:val="330"/>
        </w:trPr>
        <w:tc>
          <w:tcPr>
            <w:tcW w:w="128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EE458DD" w14:textId="58FEE5E7" w:rsidR="00396CB4" w:rsidRPr="00396CB4" w:rsidRDefault="00396CB4" w:rsidP="00396CB4">
            <w:pPr>
              <w:rPr>
                <w:rFonts w:eastAsia="Times New Roman" w:cs="Calibri"/>
                <w:b/>
                <w:bCs/>
                <w:color w:val="FFFFFF"/>
                <w:sz w:val="18"/>
                <w:szCs w:val="18"/>
                <w:lang w:eastAsia="es-CR"/>
              </w:rPr>
            </w:pPr>
            <w:r w:rsidRPr="00396CB4">
              <w:rPr>
                <w:rFonts w:eastAsia="Times New Roman" w:cs="Calibri"/>
                <w:b/>
                <w:bCs/>
                <w:color w:val="FFFFFF"/>
                <w:sz w:val="18"/>
                <w:szCs w:val="18"/>
                <w:lang w:eastAsia="es-CR"/>
              </w:rPr>
              <w:lastRenderedPageBreak/>
              <w:t xml:space="preserve">Cuenta </w:t>
            </w:r>
          </w:p>
        </w:tc>
        <w:tc>
          <w:tcPr>
            <w:tcW w:w="259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931FB37"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D7F3A27"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4E6EDD2"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A3E4A4E"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42B59B4E"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604F638F" w14:textId="77777777" w:rsidTr="00396CB4">
        <w:trPr>
          <w:divId w:val="151718214"/>
          <w:trHeight w:val="330"/>
        </w:trPr>
        <w:tc>
          <w:tcPr>
            <w:tcW w:w="1286" w:type="dxa"/>
            <w:vMerge/>
            <w:tcBorders>
              <w:top w:val="single" w:sz="8" w:space="0" w:color="auto"/>
              <w:left w:val="single" w:sz="8" w:space="0" w:color="auto"/>
              <w:bottom w:val="single" w:sz="8" w:space="0" w:color="000000"/>
              <w:right w:val="single" w:sz="8" w:space="0" w:color="auto"/>
            </w:tcBorders>
            <w:vAlign w:val="center"/>
            <w:hideMark/>
          </w:tcPr>
          <w:p w14:paraId="30B8E26F"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594" w:type="dxa"/>
            <w:vMerge/>
            <w:tcBorders>
              <w:top w:val="single" w:sz="8" w:space="0" w:color="auto"/>
              <w:left w:val="single" w:sz="8" w:space="0" w:color="auto"/>
              <w:bottom w:val="single" w:sz="8" w:space="0" w:color="000000"/>
              <w:right w:val="single" w:sz="8" w:space="0" w:color="auto"/>
            </w:tcBorders>
            <w:vAlign w:val="center"/>
            <w:hideMark/>
          </w:tcPr>
          <w:p w14:paraId="3FD39005"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3248E589"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319A8AD1"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10CC49CC"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0837D0BC"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11F75830" w14:textId="77777777" w:rsidTr="00396CB4">
        <w:trPr>
          <w:divId w:val="151718214"/>
          <w:trHeight w:val="330"/>
        </w:trPr>
        <w:tc>
          <w:tcPr>
            <w:tcW w:w="1286" w:type="dxa"/>
            <w:tcBorders>
              <w:top w:val="nil"/>
              <w:left w:val="single" w:sz="8" w:space="0" w:color="auto"/>
              <w:bottom w:val="single" w:sz="8" w:space="0" w:color="auto"/>
              <w:right w:val="single" w:sz="8" w:space="0" w:color="auto"/>
            </w:tcBorders>
            <w:shd w:val="clear" w:color="auto" w:fill="auto"/>
            <w:noWrap/>
            <w:vAlign w:val="center"/>
            <w:hideMark/>
          </w:tcPr>
          <w:p w14:paraId="60AB45AE"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4.4.1.</w:t>
            </w:r>
          </w:p>
        </w:tc>
        <w:tc>
          <w:tcPr>
            <w:tcW w:w="2594" w:type="dxa"/>
            <w:tcBorders>
              <w:top w:val="nil"/>
              <w:left w:val="nil"/>
              <w:bottom w:val="single" w:sz="8" w:space="0" w:color="auto"/>
              <w:right w:val="single" w:sz="8" w:space="0" w:color="auto"/>
            </w:tcBorders>
            <w:shd w:val="clear" w:color="auto" w:fill="auto"/>
            <w:vAlign w:val="center"/>
            <w:hideMark/>
          </w:tcPr>
          <w:p w14:paraId="259D1129" w14:textId="77777777" w:rsidR="00396CB4" w:rsidRPr="00396CB4" w:rsidRDefault="00396CB4" w:rsidP="00396CB4">
            <w:pPr>
              <w:spacing w:after="0" w:line="240" w:lineRule="auto"/>
              <w:rPr>
                <w:rFonts w:eastAsia="Times New Roman" w:cs="Calibri"/>
                <w:b/>
                <w:bCs/>
                <w:color w:val="000000"/>
                <w:sz w:val="18"/>
                <w:szCs w:val="18"/>
                <w:lang w:eastAsia="es-CR"/>
              </w:rPr>
            </w:pPr>
            <w:r w:rsidRPr="00396CB4">
              <w:rPr>
                <w:rFonts w:eastAsia="Times New Roman" w:cs="Calibri"/>
                <w:b/>
                <w:bCs/>
                <w:color w:val="000000"/>
                <w:sz w:val="18"/>
                <w:szCs w:val="18"/>
                <w:lang w:eastAsia="es-CR"/>
              </w:rPr>
              <w:t>Ventas de bienes y servicios</w:t>
            </w:r>
          </w:p>
        </w:tc>
        <w:tc>
          <w:tcPr>
            <w:tcW w:w="500" w:type="dxa"/>
            <w:tcBorders>
              <w:top w:val="nil"/>
              <w:left w:val="nil"/>
              <w:bottom w:val="single" w:sz="8" w:space="0" w:color="auto"/>
              <w:right w:val="single" w:sz="8" w:space="0" w:color="auto"/>
            </w:tcBorders>
            <w:shd w:val="clear" w:color="auto" w:fill="auto"/>
            <w:noWrap/>
            <w:vAlign w:val="center"/>
            <w:hideMark/>
          </w:tcPr>
          <w:p w14:paraId="15A8096B"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41</w:t>
            </w:r>
          </w:p>
        </w:tc>
        <w:tc>
          <w:tcPr>
            <w:tcW w:w="2100" w:type="dxa"/>
            <w:tcBorders>
              <w:top w:val="nil"/>
              <w:left w:val="nil"/>
              <w:bottom w:val="single" w:sz="8" w:space="0" w:color="auto"/>
              <w:right w:val="single" w:sz="8" w:space="0" w:color="auto"/>
            </w:tcBorders>
            <w:shd w:val="clear" w:color="auto" w:fill="auto"/>
            <w:noWrap/>
            <w:vAlign w:val="center"/>
            <w:hideMark/>
          </w:tcPr>
          <w:p w14:paraId="6A7E1833"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576 873,05 </w:t>
            </w:r>
          </w:p>
        </w:tc>
        <w:tc>
          <w:tcPr>
            <w:tcW w:w="2100" w:type="dxa"/>
            <w:tcBorders>
              <w:top w:val="nil"/>
              <w:left w:val="nil"/>
              <w:bottom w:val="single" w:sz="8" w:space="0" w:color="auto"/>
              <w:right w:val="single" w:sz="8" w:space="0" w:color="auto"/>
            </w:tcBorders>
            <w:shd w:val="clear" w:color="auto" w:fill="auto"/>
            <w:noWrap/>
            <w:vAlign w:val="center"/>
            <w:hideMark/>
          </w:tcPr>
          <w:p w14:paraId="02733D90"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434 850,41 </w:t>
            </w:r>
          </w:p>
        </w:tc>
        <w:tc>
          <w:tcPr>
            <w:tcW w:w="1020" w:type="dxa"/>
            <w:tcBorders>
              <w:top w:val="nil"/>
              <w:left w:val="nil"/>
              <w:bottom w:val="single" w:sz="8" w:space="0" w:color="auto"/>
              <w:right w:val="single" w:sz="8" w:space="0" w:color="auto"/>
            </w:tcBorders>
            <w:shd w:val="clear" w:color="auto" w:fill="auto"/>
            <w:noWrap/>
            <w:vAlign w:val="center"/>
            <w:hideMark/>
          </w:tcPr>
          <w:p w14:paraId="1A0D7968"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32,66%</w:t>
            </w:r>
          </w:p>
        </w:tc>
      </w:tr>
    </w:tbl>
    <w:p w14:paraId="5BFB8E46" w14:textId="77777777" w:rsidR="00396CB4" w:rsidRPr="00396CB4" w:rsidRDefault="00521099" w:rsidP="00396CB4">
      <w:pPr>
        <w:spacing w:before="240"/>
      </w:pPr>
      <w:r>
        <w:fldChar w:fldCharType="end"/>
      </w:r>
      <w:r w:rsidR="00692DC8" w:rsidRPr="00692DC8">
        <w:rPr>
          <w:b/>
          <w:bCs/>
          <w:lang w:val="es-ES"/>
        </w:rPr>
        <w:t>Revelación</w:t>
      </w:r>
      <w:r w:rsidR="00692DC8" w:rsidRPr="00692DC8">
        <w:rPr>
          <w:lang w:val="es-ES"/>
        </w:rPr>
        <w:t xml:space="preserve">: </w:t>
      </w:r>
      <w:r w:rsidR="00AA098E">
        <w:rPr>
          <w:rFonts w:eastAsia="Times New Roman" w:cs="Calibri"/>
          <w:color w:val="000000"/>
          <w:lang w:eastAsia="es-CR"/>
        </w:rPr>
        <w:fldChar w:fldCharType="begin"/>
      </w:r>
      <w:r w:rsidR="00AA098E">
        <w:rPr>
          <w:rFonts w:eastAsia="Times New Roman" w:cs="Calibri"/>
          <w:color w:val="000000"/>
          <w:lang w:eastAsia="es-CR"/>
        </w:rPr>
        <w:instrText xml:space="preserve"> LINK </w:instrText>
      </w:r>
      <w:r w:rsidR="00756467">
        <w:rPr>
          <w:rFonts w:eastAsia="Times New Roman" w:cs="Calibri"/>
          <w:color w:val="000000"/>
          <w:lang w:eastAsia="es-CR"/>
        </w:rPr>
        <w:instrText xml:space="preserve">Excel.SheetMacroEnabled.12 "C:\\Users\\gcordero\\Downloads\\Notas diciembre 2024\\Formato_Notas_EEFF_Vinculadas_2024\\Formato_Notas_EEFF_Vinculadas_2024\\15603_T04_2024_Anexo_Estado_Notas_Contables_Vinculadas.xlsm" NOTAS_POR_CUENTA!F270C8 </w:instrText>
      </w:r>
      <w:r w:rsidR="00AA098E">
        <w:rPr>
          <w:rFonts w:eastAsia="Times New Roman" w:cs="Calibri"/>
          <w:color w:val="000000"/>
          <w:lang w:eastAsia="es-CR"/>
        </w:rPr>
        <w:instrText xml:space="preserve">\a \f 5 \h  \* MERGEFORMAT </w:instrText>
      </w:r>
      <w:r w:rsidR="00AA098E">
        <w:rPr>
          <w:rFonts w:eastAsia="Times New Roman" w:cs="Calibri"/>
          <w:color w:val="000000"/>
          <w:lang w:eastAsia="es-CR"/>
        </w:rPr>
        <w:fldChar w:fldCharType="separate"/>
      </w:r>
    </w:p>
    <w:p w14:paraId="300AFF3E" w14:textId="77777777" w:rsidR="00396CB4" w:rsidRPr="00396CB4" w:rsidRDefault="00396CB4" w:rsidP="00396CB4">
      <w:pPr>
        <w:rPr>
          <w:rFonts w:eastAsia="Times New Roman" w:cs="Calibri"/>
          <w:color w:val="000000"/>
          <w:lang w:eastAsia="es-CR"/>
        </w:rPr>
      </w:pPr>
      <w:r w:rsidRPr="00396CB4">
        <w:rPr>
          <w:rFonts w:eastAsia="Times New Roman" w:cs="Calibri"/>
          <w:color w:val="000000"/>
          <w:lang w:eastAsia="es-CR"/>
        </w:rPr>
        <w:t>La cuenta Ventas de bienes y servicios, representa el 9,94% del total del Ingresos, que comparado al periodo anterior genera una variación absoluta de 142 022,63 que corresponde a un Aumento del 32,66% de recursos disponibles.</w:t>
      </w:r>
    </w:p>
    <w:p w14:paraId="16163BF7" w14:textId="6261C8A9" w:rsidR="00692DC8" w:rsidRPr="00692DC8" w:rsidRDefault="00AA098E" w:rsidP="00AA098E">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29351C84" w14:textId="2DED82B4" w:rsidR="00500AC8" w:rsidRDefault="00500AC8" w:rsidP="00500AC8">
      <w:pPr>
        <w:spacing w:after="0" w:line="240" w:lineRule="auto"/>
        <w:ind w:right="193"/>
        <w:rPr>
          <w:rFonts w:cs="Calibri"/>
          <w:color w:val="000000"/>
          <w:lang w:eastAsia="es-CR"/>
        </w:rPr>
      </w:pPr>
      <w:r w:rsidRPr="00A91674">
        <w:t xml:space="preserve">Al </w:t>
      </w:r>
      <w:r w:rsidR="00796636">
        <w:t>31</w:t>
      </w:r>
      <w:r>
        <w:t xml:space="preserve"> de </w:t>
      </w:r>
      <w:r w:rsidR="00D64CF8">
        <w:t>diciembre</w:t>
      </w:r>
      <w:r w:rsidRPr="00A91674">
        <w:t xml:space="preserve"> de </w:t>
      </w:r>
      <w:r>
        <w:t>2024</w:t>
      </w:r>
      <w:r w:rsidRPr="00A91674">
        <w:t xml:space="preserve"> la cuenta </w:t>
      </w:r>
      <w:r w:rsidRPr="00A91674">
        <w:rPr>
          <w:rFonts w:cs="Calibri"/>
          <w:color w:val="000000"/>
          <w:lang w:eastAsia="es-CR"/>
        </w:rPr>
        <w:t>Ventas de bienes y servicios se encuentra conformada por las siguientes partidas:</w:t>
      </w:r>
    </w:p>
    <w:p w14:paraId="7593ACBF" w14:textId="77777777" w:rsidR="00500AC8" w:rsidRDefault="00500AC8" w:rsidP="00500AC8">
      <w:pPr>
        <w:spacing w:after="0" w:line="240" w:lineRule="auto"/>
        <w:ind w:right="193"/>
        <w:rPr>
          <w:rFonts w:cs="Calibri"/>
          <w:color w:val="000000"/>
          <w:lang w:eastAsia="es-CR"/>
        </w:rPr>
      </w:pPr>
    </w:p>
    <w:p w14:paraId="63EB6D88" w14:textId="32118AC4" w:rsidR="00500AC8" w:rsidRDefault="00500AC8" w:rsidP="00500AC8">
      <w:pPr>
        <w:spacing w:after="0" w:line="240" w:lineRule="auto"/>
        <w:ind w:right="193"/>
        <w:rPr>
          <w:rFonts w:cs="Calibri"/>
          <w:color w:val="000000"/>
          <w:lang w:eastAsia="es-CR"/>
        </w:rPr>
      </w:pPr>
    </w:p>
    <w:p w14:paraId="49FA1265" w14:textId="77777777" w:rsidR="006554F9" w:rsidRDefault="006554F9" w:rsidP="00500AC8">
      <w:pPr>
        <w:spacing w:after="0" w:line="240" w:lineRule="auto"/>
      </w:pPr>
      <w:r w:rsidRPr="006554F9">
        <w:rPr>
          <w:noProof/>
          <w:lang w:eastAsia="es-CR"/>
        </w:rPr>
        <w:drawing>
          <wp:inline distT="0" distB="0" distL="0" distR="0" wp14:anchorId="2BD18345" wp14:editId="27006A46">
            <wp:extent cx="5693134" cy="1708785"/>
            <wp:effectExtent l="0" t="0" r="3175" b="5715"/>
            <wp:docPr id="120403119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21789" cy="1717386"/>
                    </a:xfrm>
                    <a:prstGeom prst="rect">
                      <a:avLst/>
                    </a:prstGeom>
                    <a:noFill/>
                    <a:ln>
                      <a:noFill/>
                    </a:ln>
                  </pic:spPr>
                </pic:pic>
              </a:graphicData>
            </a:graphic>
          </wp:inline>
        </w:drawing>
      </w:r>
    </w:p>
    <w:p w14:paraId="3EF6D9D6" w14:textId="77777777" w:rsidR="006554F9" w:rsidRDefault="006554F9" w:rsidP="00500AC8">
      <w:pPr>
        <w:spacing w:after="0" w:line="240" w:lineRule="auto"/>
      </w:pPr>
    </w:p>
    <w:p w14:paraId="59D5E3AE" w14:textId="4FCDFAA5" w:rsidR="00500AC8" w:rsidRDefault="00500AC8" w:rsidP="00500AC8">
      <w:pPr>
        <w:spacing w:after="0" w:line="240" w:lineRule="auto"/>
      </w:pPr>
      <w:r w:rsidRPr="0065256A">
        <w:t xml:space="preserve">Como se observa en el cuadro anterior, el mayor impacto en la diferencia (aumento) </w:t>
      </w:r>
      <w:r>
        <w:t xml:space="preserve">de </w:t>
      </w:r>
      <w:r w:rsidRPr="0065256A">
        <w:rPr>
          <w:rFonts w:ascii="Arial" w:hAnsi="Arial" w:cs="Arial"/>
        </w:rPr>
        <w:t>₡</w:t>
      </w:r>
      <w:r w:rsidR="006554F9">
        <w:t>142 022,63</w:t>
      </w:r>
      <w:r w:rsidRPr="00AA0611">
        <w:rPr>
          <w:rFonts w:cs="Calibri"/>
          <w:b/>
          <w:bCs/>
          <w:color w:val="000000"/>
          <w:sz w:val="18"/>
          <w:szCs w:val="18"/>
        </w:rPr>
        <w:t xml:space="preserve"> </w:t>
      </w:r>
      <w:r>
        <w:t xml:space="preserve">miles que presenta </w:t>
      </w:r>
      <w:r w:rsidRPr="0065256A">
        <w:t xml:space="preserve">la cuenta de Venta de bienes y servicios corresponden a los aumentos </w:t>
      </w:r>
      <w:r w:rsidR="00407D18" w:rsidRPr="0065256A">
        <w:t>que</w:t>
      </w:r>
      <w:r w:rsidR="00407D18">
        <w:t xml:space="preserve"> </w:t>
      </w:r>
      <w:r w:rsidR="00407D18" w:rsidRPr="0065256A">
        <w:t>presentan</w:t>
      </w:r>
      <w:r w:rsidRPr="0065256A">
        <w:t xml:space="preserve"> las cuentas </w:t>
      </w:r>
      <w:r>
        <w:t xml:space="preserve">“Servicios de cementerio” de </w:t>
      </w:r>
      <w:r w:rsidRPr="00B87178">
        <w:rPr>
          <w:rFonts w:ascii="Arial" w:hAnsi="Arial" w:cs="Arial"/>
        </w:rPr>
        <w:t>₡</w:t>
      </w:r>
      <w:r w:rsidR="006554F9">
        <w:t>17 636,07</w:t>
      </w:r>
      <w:r w:rsidRPr="00B87178">
        <w:t xml:space="preserve"> miles; </w:t>
      </w:r>
      <w:r w:rsidRPr="0065256A">
        <w:t xml:space="preserve">Servicios de saneamiento ambiental </w:t>
      </w:r>
      <w:r>
        <w:t xml:space="preserve">de </w:t>
      </w:r>
      <w:r w:rsidRPr="0065256A">
        <w:rPr>
          <w:rFonts w:ascii="Arial" w:hAnsi="Arial" w:cs="Arial"/>
        </w:rPr>
        <w:t>₡</w:t>
      </w:r>
      <w:r w:rsidR="006554F9">
        <w:t>114 830,06</w:t>
      </w:r>
      <w:r w:rsidRPr="0065256A">
        <w:t xml:space="preserve"> miles y Otras ventas de servicios varios </w:t>
      </w:r>
      <w:r>
        <w:t xml:space="preserve">de </w:t>
      </w:r>
      <w:r w:rsidRPr="0065256A">
        <w:rPr>
          <w:rFonts w:ascii="Arial" w:hAnsi="Arial" w:cs="Arial"/>
        </w:rPr>
        <w:t>₡</w:t>
      </w:r>
      <w:r w:rsidR="006554F9">
        <w:t>9 556,51</w:t>
      </w:r>
      <w:r w:rsidRPr="0065256A">
        <w:t xml:space="preserve"> miles. El aumento se considera normal para la Municipalidad, el cual obedece al </w:t>
      </w:r>
      <w:r>
        <w:t xml:space="preserve">ajuste realizado </w:t>
      </w:r>
      <w:r w:rsidRPr="0065256A">
        <w:t xml:space="preserve">por la Municipalidad </w:t>
      </w:r>
      <w:r>
        <w:t>para</w:t>
      </w:r>
      <w:r w:rsidRPr="0065256A">
        <w:t xml:space="preserve"> est</w:t>
      </w:r>
      <w:r>
        <w:t>e</w:t>
      </w:r>
      <w:r w:rsidRPr="0065256A">
        <w:t xml:space="preserve"> año </w:t>
      </w:r>
      <w:r>
        <w:t>2024</w:t>
      </w:r>
      <w:r w:rsidRPr="0065256A">
        <w:t>.</w:t>
      </w:r>
    </w:p>
    <w:p w14:paraId="7D8C6BEA" w14:textId="77777777" w:rsidR="00500AC8" w:rsidRPr="0065256A" w:rsidRDefault="00500AC8" w:rsidP="00500AC8">
      <w:pPr>
        <w:spacing w:after="0" w:line="240" w:lineRule="auto"/>
      </w:pPr>
    </w:p>
    <w:p w14:paraId="0F14EAD2" w14:textId="77777777" w:rsidR="00500AC8" w:rsidRDefault="00500AC8" w:rsidP="00500AC8">
      <w:pPr>
        <w:spacing w:after="0" w:line="240" w:lineRule="auto"/>
      </w:pPr>
      <w:r w:rsidRPr="0065256A">
        <w:t>Cabe señalar, que la cuenta Venta de bienes incluye los ingresos que percibe la Municipalidad por concepto de los diferentes servicios que brinda la Municipalidad a los vecinos del Cantón como</w:t>
      </w:r>
      <w:r>
        <w:t xml:space="preserve"> lo son:</w:t>
      </w:r>
      <w:r w:rsidRPr="0065256A">
        <w:t xml:space="preserve"> Recolección de Basura, Aseo de vías y sitios públicos, Mantenimiento de parque y obras de ornato, Servicio de gestión vial, Servicio de Mercado Municipal, Servicio de Cementerio y Servicio de terminal de buses.</w:t>
      </w:r>
    </w:p>
    <w:p w14:paraId="5C16EED2" w14:textId="34D00E07" w:rsidR="00692DC8" w:rsidRDefault="00692DC8" w:rsidP="00623120">
      <w:pPr>
        <w:rPr>
          <w:szCs w:val="24"/>
        </w:rPr>
      </w:pPr>
    </w:p>
    <w:p w14:paraId="2CB6F8F0" w14:textId="77777777" w:rsidR="00407D18" w:rsidRPr="00692DC8" w:rsidRDefault="00407D18" w:rsidP="00623120">
      <w:pPr>
        <w:rPr>
          <w:szCs w:val="24"/>
        </w:rPr>
      </w:pPr>
    </w:p>
    <w:p w14:paraId="76D4D157" w14:textId="77777777" w:rsidR="00692DC8" w:rsidRPr="00692DC8" w:rsidRDefault="00692DC8" w:rsidP="00623120">
      <w:pPr>
        <w:pStyle w:val="Ttulo4"/>
        <w:spacing w:after="240"/>
        <w:rPr>
          <w:rFonts w:eastAsia="Times New Roman"/>
        </w:rPr>
      </w:pPr>
      <w:bookmarkStart w:id="763" w:name="_Toc14344808"/>
      <w:bookmarkStart w:id="764" w:name="_Toc33601275"/>
      <w:bookmarkStart w:id="765" w:name="_Toc82768994"/>
      <w:bookmarkStart w:id="766" w:name="_Toc189804884"/>
      <w:r w:rsidRPr="00692DC8">
        <w:rPr>
          <w:rFonts w:eastAsia="Times New Roman"/>
        </w:rPr>
        <w:lastRenderedPageBreak/>
        <w:t>NOTA N° 4</w:t>
      </w:r>
      <w:bookmarkEnd w:id="763"/>
      <w:bookmarkEnd w:id="764"/>
      <w:bookmarkEnd w:id="765"/>
      <w:r w:rsidRPr="00692DC8">
        <w:rPr>
          <w:rFonts w:eastAsia="Times New Roman"/>
        </w:rPr>
        <w:t>2</w:t>
      </w:r>
      <w:bookmarkEnd w:id="766"/>
    </w:p>
    <w:p w14:paraId="2FBF38DF" w14:textId="77777777" w:rsidR="00396CB4" w:rsidRDefault="00692DC8" w:rsidP="00F51D42">
      <w:pPr>
        <w:spacing w:before="240"/>
        <w:rPr>
          <w:rFonts w:asciiTheme="minorHAnsi" w:hAnsiTheme="minorHAnsi"/>
          <w:sz w:val="22"/>
        </w:rPr>
      </w:pPr>
      <w:bookmarkStart w:id="767" w:name="_Toc14344809"/>
      <w:bookmarkStart w:id="768" w:name="_Toc33601276"/>
      <w:bookmarkStart w:id="769" w:name="_Toc82768995"/>
      <w:r w:rsidRPr="00692DC8">
        <w:rPr>
          <w:rFonts w:eastAsia="Times New Roman"/>
        </w:rPr>
        <w:t>Derechos administrativos</w:t>
      </w:r>
      <w:bookmarkStart w:id="770" w:name="_Toc14344812"/>
      <w:bookmarkEnd w:id="767"/>
      <w:bookmarkEnd w:id="768"/>
      <w:bookmarkEnd w:id="769"/>
      <w:r w:rsidR="00AA098E">
        <w:rPr>
          <w:rFonts w:eastAsiaTheme="majorEastAsia" w:cstheme="majorBidi"/>
          <w:iCs/>
          <w:lang w:val="es-ES"/>
        </w:rPr>
        <w:fldChar w:fldCharType="begin"/>
      </w:r>
      <w:r w:rsidR="00AA098E">
        <w:rPr>
          <w:lang w:val="es-ES"/>
        </w:rPr>
        <w:instrText xml:space="preserve"> LINK </w:instrText>
      </w:r>
      <w:r w:rsidR="00756467">
        <w:rPr>
          <w:lang w:val="es-ES"/>
        </w:rPr>
        <w:instrText xml:space="preserve">Excel.SheetMacroEnabled.12 "C:\\Users\\gcordero\\Downloads\\Notas diciembre 2024\\Formato_Notas_EEFF_Vinculadas_2024\\Formato_Notas_EEFF_Vinculadas_2024\\15603_T04_2024_Anexo_Estado_Notas_Contables_Vinculadas.xlsm" NOTAS_POR_CUENTA!F272C1:F274C6 </w:instrText>
      </w:r>
      <w:r w:rsidR="00AA098E">
        <w:rPr>
          <w:lang w:val="es-ES"/>
        </w:rPr>
        <w:instrText xml:space="preserve">\a \f 4 \h </w:instrText>
      </w:r>
      <w:r w:rsidR="00AA098E">
        <w:rPr>
          <w:b/>
          <w:lang w:val="es-ES"/>
        </w:rPr>
        <w:fldChar w:fldCharType="separate"/>
      </w:r>
    </w:p>
    <w:tbl>
      <w:tblPr>
        <w:tblW w:w="9600" w:type="dxa"/>
        <w:tblCellMar>
          <w:left w:w="70" w:type="dxa"/>
          <w:right w:w="70" w:type="dxa"/>
        </w:tblCellMar>
        <w:tblLook w:val="04A0" w:firstRow="1" w:lastRow="0" w:firstColumn="1" w:lastColumn="0" w:noHBand="0" w:noVBand="1"/>
      </w:tblPr>
      <w:tblGrid>
        <w:gridCol w:w="1833"/>
        <w:gridCol w:w="2047"/>
        <w:gridCol w:w="500"/>
        <w:gridCol w:w="2100"/>
        <w:gridCol w:w="2100"/>
        <w:gridCol w:w="1020"/>
      </w:tblGrid>
      <w:tr w:rsidR="00396CB4" w:rsidRPr="00396CB4" w14:paraId="00D320FE" w14:textId="77777777" w:rsidTr="00396CB4">
        <w:trPr>
          <w:divId w:val="275211682"/>
          <w:trHeight w:val="330"/>
        </w:trPr>
        <w:tc>
          <w:tcPr>
            <w:tcW w:w="1833"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5088B12" w14:textId="50E9ADD9" w:rsidR="00396CB4" w:rsidRPr="00396CB4" w:rsidRDefault="00396CB4" w:rsidP="00396CB4">
            <w:pP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2047"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3CBE4CA"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014FC83"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0281358"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C7AE412"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018C5CDC"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1A0F4C79" w14:textId="77777777" w:rsidTr="00396CB4">
        <w:trPr>
          <w:divId w:val="275211682"/>
          <w:trHeight w:val="330"/>
        </w:trPr>
        <w:tc>
          <w:tcPr>
            <w:tcW w:w="1833" w:type="dxa"/>
            <w:vMerge/>
            <w:tcBorders>
              <w:top w:val="single" w:sz="8" w:space="0" w:color="auto"/>
              <w:left w:val="single" w:sz="8" w:space="0" w:color="auto"/>
              <w:bottom w:val="single" w:sz="8" w:space="0" w:color="000000"/>
              <w:right w:val="single" w:sz="8" w:space="0" w:color="auto"/>
            </w:tcBorders>
            <w:vAlign w:val="center"/>
            <w:hideMark/>
          </w:tcPr>
          <w:p w14:paraId="3EA5652D"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047" w:type="dxa"/>
            <w:vMerge/>
            <w:tcBorders>
              <w:top w:val="single" w:sz="8" w:space="0" w:color="auto"/>
              <w:left w:val="single" w:sz="8" w:space="0" w:color="auto"/>
              <w:bottom w:val="single" w:sz="8" w:space="0" w:color="000000"/>
              <w:right w:val="single" w:sz="8" w:space="0" w:color="auto"/>
            </w:tcBorders>
            <w:vAlign w:val="center"/>
            <w:hideMark/>
          </w:tcPr>
          <w:p w14:paraId="6A273776"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7D879FBA"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5707980F"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59614A18"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046461F9"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5699449A" w14:textId="77777777" w:rsidTr="00396CB4">
        <w:trPr>
          <w:divId w:val="275211682"/>
          <w:trHeight w:val="330"/>
        </w:trPr>
        <w:tc>
          <w:tcPr>
            <w:tcW w:w="1833" w:type="dxa"/>
            <w:tcBorders>
              <w:top w:val="nil"/>
              <w:left w:val="single" w:sz="8" w:space="0" w:color="auto"/>
              <w:bottom w:val="single" w:sz="8" w:space="0" w:color="auto"/>
              <w:right w:val="single" w:sz="8" w:space="0" w:color="auto"/>
            </w:tcBorders>
            <w:shd w:val="clear" w:color="auto" w:fill="auto"/>
            <w:noWrap/>
            <w:vAlign w:val="center"/>
            <w:hideMark/>
          </w:tcPr>
          <w:p w14:paraId="57F58E94"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4.4.2.</w:t>
            </w:r>
          </w:p>
        </w:tc>
        <w:tc>
          <w:tcPr>
            <w:tcW w:w="2047" w:type="dxa"/>
            <w:tcBorders>
              <w:top w:val="nil"/>
              <w:left w:val="nil"/>
              <w:bottom w:val="single" w:sz="8" w:space="0" w:color="auto"/>
              <w:right w:val="single" w:sz="8" w:space="0" w:color="auto"/>
            </w:tcBorders>
            <w:shd w:val="clear" w:color="auto" w:fill="auto"/>
            <w:vAlign w:val="center"/>
            <w:hideMark/>
          </w:tcPr>
          <w:p w14:paraId="026BAEB1" w14:textId="77777777" w:rsidR="00396CB4" w:rsidRPr="00396CB4" w:rsidRDefault="00396CB4" w:rsidP="00396CB4">
            <w:pPr>
              <w:spacing w:after="0" w:line="240" w:lineRule="auto"/>
              <w:rPr>
                <w:rFonts w:eastAsia="Times New Roman" w:cs="Calibri"/>
                <w:b/>
                <w:bCs/>
                <w:color w:val="000000"/>
                <w:sz w:val="18"/>
                <w:szCs w:val="18"/>
                <w:lang w:eastAsia="es-CR"/>
              </w:rPr>
            </w:pPr>
            <w:r w:rsidRPr="00396CB4">
              <w:rPr>
                <w:rFonts w:eastAsia="Times New Roman" w:cs="Calibri"/>
                <w:b/>
                <w:bCs/>
                <w:color w:val="000000"/>
                <w:sz w:val="18"/>
                <w:szCs w:val="18"/>
                <w:lang w:eastAsia="es-CR"/>
              </w:rPr>
              <w:t>Derechos administrativos</w:t>
            </w:r>
          </w:p>
        </w:tc>
        <w:tc>
          <w:tcPr>
            <w:tcW w:w="500" w:type="dxa"/>
            <w:tcBorders>
              <w:top w:val="nil"/>
              <w:left w:val="nil"/>
              <w:bottom w:val="single" w:sz="8" w:space="0" w:color="auto"/>
              <w:right w:val="single" w:sz="8" w:space="0" w:color="auto"/>
            </w:tcBorders>
            <w:shd w:val="clear" w:color="auto" w:fill="auto"/>
            <w:noWrap/>
            <w:vAlign w:val="center"/>
            <w:hideMark/>
          </w:tcPr>
          <w:p w14:paraId="7819777E"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42</w:t>
            </w:r>
          </w:p>
        </w:tc>
        <w:tc>
          <w:tcPr>
            <w:tcW w:w="2100" w:type="dxa"/>
            <w:tcBorders>
              <w:top w:val="nil"/>
              <w:left w:val="nil"/>
              <w:bottom w:val="single" w:sz="8" w:space="0" w:color="auto"/>
              <w:right w:val="single" w:sz="8" w:space="0" w:color="auto"/>
            </w:tcBorders>
            <w:shd w:val="clear" w:color="auto" w:fill="auto"/>
            <w:noWrap/>
            <w:vAlign w:val="center"/>
            <w:hideMark/>
          </w:tcPr>
          <w:p w14:paraId="040A09A7"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654,52 </w:t>
            </w:r>
          </w:p>
        </w:tc>
        <w:tc>
          <w:tcPr>
            <w:tcW w:w="2100" w:type="dxa"/>
            <w:tcBorders>
              <w:top w:val="nil"/>
              <w:left w:val="nil"/>
              <w:bottom w:val="single" w:sz="8" w:space="0" w:color="auto"/>
              <w:right w:val="single" w:sz="8" w:space="0" w:color="auto"/>
            </w:tcBorders>
            <w:shd w:val="clear" w:color="auto" w:fill="auto"/>
            <w:noWrap/>
            <w:vAlign w:val="center"/>
            <w:hideMark/>
          </w:tcPr>
          <w:p w14:paraId="1020ECDD"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706,00 </w:t>
            </w:r>
          </w:p>
        </w:tc>
        <w:tc>
          <w:tcPr>
            <w:tcW w:w="1020" w:type="dxa"/>
            <w:tcBorders>
              <w:top w:val="nil"/>
              <w:left w:val="nil"/>
              <w:bottom w:val="single" w:sz="8" w:space="0" w:color="auto"/>
              <w:right w:val="single" w:sz="8" w:space="0" w:color="auto"/>
            </w:tcBorders>
            <w:shd w:val="clear" w:color="auto" w:fill="auto"/>
            <w:noWrap/>
            <w:vAlign w:val="center"/>
            <w:hideMark/>
          </w:tcPr>
          <w:p w14:paraId="5A2B9FAB"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-7,29%</w:t>
            </w:r>
          </w:p>
        </w:tc>
      </w:tr>
    </w:tbl>
    <w:p w14:paraId="463ABA43" w14:textId="77777777" w:rsidR="00396CB4" w:rsidRPr="00396CB4" w:rsidRDefault="00AA098E" w:rsidP="00396CB4">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756467">
        <w:rPr>
          <w:rFonts w:eastAsia="Times New Roman" w:cs="Calibri"/>
          <w:color w:val="000000"/>
          <w:lang w:eastAsia="es-CR"/>
        </w:rPr>
        <w:instrText xml:space="preserve">Excel.SheetMacroEnabled.12 "C:\\Users\\gcordero\\Downloads\\Notas diciembre 2024\\Formato_Notas_EEFF_Vinculadas_2024\\Formato_Notas_EEFF_Vinculadas_2024\\15603_T04_2024_Anexo_Estado_Notas_Contables_Vinculadas.xlsm" NOTAS_POR_CUENTA!F274C8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3ECE1CED" w14:textId="77777777" w:rsidR="00396CB4" w:rsidRPr="00396CB4" w:rsidRDefault="00396CB4" w:rsidP="00396CB4">
      <w:pPr>
        <w:rPr>
          <w:rFonts w:eastAsia="Times New Roman" w:cs="Calibri"/>
          <w:color w:val="000000"/>
          <w:lang w:eastAsia="es-CR"/>
        </w:rPr>
      </w:pPr>
      <w:r w:rsidRPr="00396CB4">
        <w:rPr>
          <w:rFonts w:eastAsia="Times New Roman" w:cs="Calibri"/>
          <w:color w:val="000000"/>
          <w:lang w:eastAsia="es-CR"/>
        </w:rPr>
        <w:t>La cuenta Derechos administrativos, representa el 0,01% del total del Ingresos, que comparado al periodo anterior genera una variación absoluta de -0 051,48 que corresponde a un Disminución del -7,29% de recursos disponibles.</w:t>
      </w:r>
    </w:p>
    <w:p w14:paraId="46F9FFDB" w14:textId="01E81D54" w:rsidR="00692DC8" w:rsidRPr="00692DC8" w:rsidRDefault="00AA098E" w:rsidP="00AA098E">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4684DE2D" w14:textId="46FB71A0" w:rsidR="00500AC8" w:rsidRDefault="00500AC8" w:rsidP="00500AC8">
      <w:pPr>
        <w:spacing w:after="0" w:line="240" w:lineRule="auto"/>
        <w:rPr>
          <w:rFonts w:cs="Calibri"/>
          <w:color w:val="000000"/>
          <w:lang w:eastAsia="es-CR"/>
        </w:rPr>
      </w:pPr>
      <w:r w:rsidRPr="0000150F">
        <w:t xml:space="preserve">La variación no se considera material en relación con los estados financieros en conjunto. Al </w:t>
      </w:r>
      <w:r w:rsidR="00796636">
        <w:t>31</w:t>
      </w:r>
      <w:r>
        <w:t xml:space="preserve"> de </w:t>
      </w:r>
      <w:r w:rsidR="00D64CF8">
        <w:t>diciembre</w:t>
      </w:r>
      <w:r w:rsidRPr="0000150F">
        <w:t xml:space="preserve"> de </w:t>
      </w:r>
      <w:r>
        <w:t>2024</w:t>
      </w:r>
      <w:r w:rsidRPr="0000150F">
        <w:t xml:space="preserve"> la cuenta </w:t>
      </w:r>
      <w:r w:rsidRPr="0000150F">
        <w:rPr>
          <w:rFonts w:cs="Calibri"/>
          <w:color w:val="000000"/>
          <w:lang w:eastAsia="es-CR"/>
        </w:rPr>
        <w:t xml:space="preserve">Derechos </w:t>
      </w:r>
      <w:r>
        <w:rPr>
          <w:rFonts w:cs="Calibri"/>
          <w:color w:val="000000"/>
          <w:lang w:eastAsia="es-CR"/>
        </w:rPr>
        <w:t>A</w:t>
      </w:r>
      <w:r w:rsidRPr="0000150F">
        <w:rPr>
          <w:rFonts w:cs="Calibri"/>
          <w:color w:val="000000"/>
          <w:lang w:eastAsia="es-CR"/>
        </w:rPr>
        <w:t>dministrativos se encuentra conformada por las siguientes partidas:</w:t>
      </w:r>
    </w:p>
    <w:p w14:paraId="724C435B" w14:textId="77777777" w:rsidR="00500AC8" w:rsidRDefault="00500AC8" w:rsidP="00500AC8">
      <w:pPr>
        <w:spacing w:after="0" w:line="240" w:lineRule="auto"/>
        <w:rPr>
          <w:rFonts w:cs="Calibri"/>
          <w:color w:val="000000"/>
          <w:lang w:eastAsia="es-CR"/>
        </w:rPr>
      </w:pPr>
    </w:p>
    <w:p w14:paraId="6F05A94E" w14:textId="6B73AFB4" w:rsidR="00500AC8" w:rsidRDefault="006554F9" w:rsidP="00500AC8">
      <w:pPr>
        <w:spacing w:after="0" w:line="240" w:lineRule="auto"/>
        <w:rPr>
          <w:rFonts w:eastAsiaTheme="minorEastAsia" w:cs="Arial Narrow"/>
          <w:color w:val="000000"/>
          <w:lang w:eastAsia="es-CR"/>
        </w:rPr>
      </w:pPr>
      <w:r w:rsidRPr="006554F9">
        <w:rPr>
          <w:noProof/>
          <w:lang w:eastAsia="es-CR"/>
        </w:rPr>
        <w:drawing>
          <wp:inline distT="0" distB="0" distL="0" distR="0" wp14:anchorId="495E5E96" wp14:editId="437FE4ED">
            <wp:extent cx="5653378" cy="946127"/>
            <wp:effectExtent l="0" t="0" r="5080" b="6985"/>
            <wp:docPr id="1061814911"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65019" cy="948075"/>
                    </a:xfrm>
                    <a:prstGeom prst="rect">
                      <a:avLst/>
                    </a:prstGeom>
                    <a:noFill/>
                    <a:ln>
                      <a:noFill/>
                    </a:ln>
                  </pic:spPr>
                </pic:pic>
              </a:graphicData>
            </a:graphic>
          </wp:inline>
        </w:drawing>
      </w:r>
    </w:p>
    <w:p w14:paraId="473CFBFD" w14:textId="77777777" w:rsidR="00500AC8" w:rsidRDefault="00500AC8" w:rsidP="00500AC8">
      <w:pPr>
        <w:rPr>
          <w:rFonts w:eastAsiaTheme="minorEastAsia" w:cs="Arial Narrow"/>
          <w:color w:val="000000"/>
          <w:lang w:eastAsia="es-CR"/>
        </w:rPr>
      </w:pPr>
      <w:r>
        <w:rPr>
          <w:rFonts w:eastAsiaTheme="minorEastAsia" w:cs="Arial Narrow"/>
          <w:color w:val="000000"/>
          <w:lang w:eastAsia="es-CR"/>
        </w:rPr>
        <w:t>La diferencia no se considera material en relación con los estados financieros en conjunto.</w:t>
      </w:r>
    </w:p>
    <w:p w14:paraId="3B83AD7D" w14:textId="77777777" w:rsidR="00623120" w:rsidRPr="00692DC8" w:rsidRDefault="00623120" w:rsidP="00623120">
      <w:pPr>
        <w:rPr>
          <w:szCs w:val="24"/>
        </w:rPr>
      </w:pPr>
    </w:p>
    <w:p w14:paraId="48A624D0" w14:textId="555EEDDC" w:rsidR="00407D18" w:rsidRPr="00407D18" w:rsidRDefault="00692DC8" w:rsidP="00407D18">
      <w:pPr>
        <w:pStyle w:val="Ttulo4"/>
        <w:spacing w:after="240"/>
        <w:rPr>
          <w:rFonts w:eastAsia="Times New Roman"/>
        </w:rPr>
      </w:pPr>
      <w:bookmarkStart w:id="771" w:name="_Toc33601277"/>
      <w:bookmarkStart w:id="772" w:name="_Toc82768996"/>
      <w:bookmarkStart w:id="773" w:name="_Toc189804885"/>
      <w:r w:rsidRPr="00692DC8">
        <w:rPr>
          <w:rFonts w:eastAsia="Times New Roman"/>
        </w:rPr>
        <w:t>NOTA N° 4</w:t>
      </w:r>
      <w:bookmarkEnd w:id="770"/>
      <w:bookmarkEnd w:id="771"/>
      <w:bookmarkEnd w:id="772"/>
      <w:r w:rsidRPr="00692DC8">
        <w:rPr>
          <w:rFonts w:eastAsia="Times New Roman"/>
        </w:rPr>
        <w:t>3</w:t>
      </w:r>
      <w:r w:rsidR="005552ED">
        <w:rPr>
          <w:rFonts w:eastAsia="Times New Roman"/>
        </w:rPr>
        <w:t>.</w:t>
      </w:r>
      <w:bookmarkEnd w:id="773"/>
    </w:p>
    <w:p w14:paraId="7CB0E7C4" w14:textId="77777777" w:rsidR="00396CB4" w:rsidRDefault="00692DC8" w:rsidP="00F51D42">
      <w:pPr>
        <w:spacing w:before="240"/>
        <w:rPr>
          <w:rFonts w:asciiTheme="minorHAnsi" w:hAnsiTheme="minorHAnsi"/>
          <w:sz w:val="22"/>
        </w:rPr>
      </w:pPr>
      <w:bookmarkStart w:id="774" w:name="_Toc14344813"/>
      <w:bookmarkStart w:id="775" w:name="_Toc33601278"/>
      <w:bookmarkStart w:id="776" w:name="_Toc82768997"/>
      <w:r w:rsidRPr="00692DC8">
        <w:rPr>
          <w:rFonts w:eastAsia="Times New Roman"/>
        </w:rPr>
        <w:t>Comisiones por préstamos</w:t>
      </w:r>
      <w:bookmarkEnd w:id="774"/>
      <w:bookmarkEnd w:id="775"/>
      <w:bookmarkEnd w:id="776"/>
      <w:r w:rsidR="00AA098E">
        <w:rPr>
          <w:rFonts w:eastAsiaTheme="majorEastAsia" w:cstheme="majorBidi"/>
          <w:iCs/>
          <w:lang w:val="es-ES"/>
        </w:rPr>
        <w:fldChar w:fldCharType="begin"/>
      </w:r>
      <w:r w:rsidR="00AA098E">
        <w:rPr>
          <w:lang w:val="es-ES"/>
        </w:rPr>
        <w:instrText xml:space="preserve"> LINK </w:instrText>
      </w:r>
      <w:r w:rsidR="00756467">
        <w:rPr>
          <w:lang w:val="es-ES"/>
        </w:rPr>
        <w:instrText xml:space="preserve">Excel.SheetMacroEnabled.12 "C:\\Users\\gcordero\\Downloads\\Notas diciembre 2024\\Formato_Notas_EEFF_Vinculadas_2024\\Formato_Notas_EEFF_Vinculadas_2024\\15603_T04_2024_Anexo_Estado_Notas_Contables_Vinculadas.xlsm" NOTAS_POR_CUENTA!F276C1:F278C6 </w:instrText>
      </w:r>
      <w:r w:rsidR="00AA098E">
        <w:rPr>
          <w:lang w:val="es-ES"/>
        </w:rPr>
        <w:instrText xml:space="preserve">\a \f 4 \h </w:instrText>
      </w:r>
      <w:r w:rsidR="00AA098E">
        <w:rPr>
          <w:b/>
          <w:lang w:val="es-ES"/>
        </w:rPr>
        <w:fldChar w:fldCharType="separate"/>
      </w:r>
    </w:p>
    <w:tbl>
      <w:tblPr>
        <w:tblW w:w="9600" w:type="dxa"/>
        <w:tblCellMar>
          <w:left w:w="70" w:type="dxa"/>
          <w:right w:w="70" w:type="dxa"/>
        </w:tblCellMar>
        <w:tblLook w:val="04A0" w:firstRow="1" w:lastRow="0" w:firstColumn="1" w:lastColumn="0" w:noHBand="0" w:noVBand="1"/>
      </w:tblPr>
      <w:tblGrid>
        <w:gridCol w:w="1440"/>
        <w:gridCol w:w="2440"/>
        <w:gridCol w:w="500"/>
        <w:gridCol w:w="2100"/>
        <w:gridCol w:w="2100"/>
        <w:gridCol w:w="1020"/>
      </w:tblGrid>
      <w:tr w:rsidR="00396CB4" w:rsidRPr="00396CB4" w14:paraId="43F406D7" w14:textId="77777777" w:rsidTr="00396CB4">
        <w:trPr>
          <w:divId w:val="2104178563"/>
          <w:trHeight w:val="330"/>
        </w:trPr>
        <w:tc>
          <w:tcPr>
            <w:tcW w:w="14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6D81F42" w14:textId="24556FDB" w:rsidR="00396CB4" w:rsidRPr="00396CB4" w:rsidRDefault="00396CB4" w:rsidP="00396CB4">
            <w:pP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244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C340158"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22442B2"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41F6336"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32DB91B"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5C22F3E9"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28B48159" w14:textId="77777777" w:rsidTr="00396CB4">
        <w:trPr>
          <w:divId w:val="2104178563"/>
          <w:trHeight w:val="330"/>
        </w:trPr>
        <w:tc>
          <w:tcPr>
            <w:tcW w:w="1440" w:type="dxa"/>
            <w:vMerge/>
            <w:tcBorders>
              <w:top w:val="single" w:sz="8" w:space="0" w:color="auto"/>
              <w:left w:val="single" w:sz="8" w:space="0" w:color="auto"/>
              <w:bottom w:val="single" w:sz="8" w:space="0" w:color="000000"/>
              <w:right w:val="single" w:sz="8" w:space="0" w:color="auto"/>
            </w:tcBorders>
            <w:vAlign w:val="center"/>
            <w:hideMark/>
          </w:tcPr>
          <w:p w14:paraId="03B72DBE"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440" w:type="dxa"/>
            <w:vMerge/>
            <w:tcBorders>
              <w:top w:val="single" w:sz="8" w:space="0" w:color="auto"/>
              <w:left w:val="single" w:sz="8" w:space="0" w:color="auto"/>
              <w:bottom w:val="single" w:sz="8" w:space="0" w:color="000000"/>
              <w:right w:val="single" w:sz="8" w:space="0" w:color="auto"/>
            </w:tcBorders>
            <w:vAlign w:val="center"/>
            <w:hideMark/>
          </w:tcPr>
          <w:p w14:paraId="25627804"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4DA2E873"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7DBC6A0D"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403D729A"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10625DC8"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2EDE61AA" w14:textId="77777777" w:rsidTr="00396CB4">
        <w:trPr>
          <w:divId w:val="2104178563"/>
          <w:trHeight w:val="330"/>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2FD2F5F2"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4.4.3.</w:t>
            </w:r>
          </w:p>
        </w:tc>
        <w:tc>
          <w:tcPr>
            <w:tcW w:w="2440" w:type="dxa"/>
            <w:tcBorders>
              <w:top w:val="nil"/>
              <w:left w:val="nil"/>
              <w:bottom w:val="single" w:sz="8" w:space="0" w:color="auto"/>
              <w:right w:val="single" w:sz="8" w:space="0" w:color="auto"/>
            </w:tcBorders>
            <w:shd w:val="clear" w:color="auto" w:fill="auto"/>
            <w:vAlign w:val="center"/>
            <w:hideMark/>
          </w:tcPr>
          <w:p w14:paraId="4B320ABF" w14:textId="77777777" w:rsidR="00396CB4" w:rsidRPr="00396CB4" w:rsidRDefault="00396CB4" w:rsidP="00396CB4">
            <w:pPr>
              <w:spacing w:after="0" w:line="240" w:lineRule="auto"/>
              <w:rPr>
                <w:rFonts w:eastAsia="Times New Roman" w:cs="Calibri"/>
                <w:b/>
                <w:bCs/>
                <w:color w:val="000000"/>
                <w:sz w:val="18"/>
                <w:szCs w:val="18"/>
                <w:lang w:eastAsia="es-CR"/>
              </w:rPr>
            </w:pPr>
            <w:r w:rsidRPr="00396CB4">
              <w:rPr>
                <w:rFonts w:eastAsia="Times New Roman" w:cs="Calibri"/>
                <w:b/>
                <w:bCs/>
                <w:color w:val="000000"/>
                <w:sz w:val="18"/>
                <w:szCs w:val="18"/>
                <w:lang w:eastAsia="es-CR"/>
              </w:rPr>
              <w:t>Comisiones por préstamos</w:t>
            </w:r>
          </w:p>
        </w:tc>
        <w:tc>
          <w:tcPr>
            <w:tcW w:w="500" w:type="dxa"/>
            <w:tcBorders>
              <w:top w:val="nil"/>
              <w:left w:val="nil"/>
              <w:bottom w:val="single" w:sz="8" w:space="0" w:color="auto"/>
              <w:right w:val="single" w:sz="8" w:space="0" w:color="auto"/>
            </w:tcBorders>
            <w:shd w:val="clear" w:color="auto" w:fill="auto"/>
            <w:noWrap/>
            <w:vAlign w:val="center"/>
            <w:hideMark/>
          </w:tcPr>
          <w:p w14:paraId="59D32650"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43</w:t>
            </w:r>
          </w:p>
        </w:tc>
        <w:tc>
          <w:tcPr>
            <w:tcW w:w="2100" w:type="dxa"/>
            <w:tcBorders>
              <w:top w:val="nil"/>
              <w:left w:val="nil"/>
              <w:bottom w:val="single" w:sz="8" w:space="0" w:color="auto"/>
              <w:right w:val="single" w:sz="8" w:space="0" w:color="auto"/>
            </w:tcBorders>
            <w:shd w:val="clear" w:color="auto" w:fill="auto"/>
            <w:noWrap/>
            <w:vAlign w:val="center"/>
            <w:hideMark/>
          </w:tcPr>
          <w:p w14:paraId="1471BE9B"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2100" w:type="dxa"/>
            <w:tcBorders>
              <w:top w:val="nil"/>
              <w:left w:val="nil"/>
              <w:bottom w:val="single" w:sz="8" w:space="0" w:color="auto"/>
              <w:right w:val="single" w:sz="8" w:space="0" w:color="auto"/>
            </w:tcBorders>
            <w:shd w:val="clear" w:color="auto" w:fill="auto"/>
            <w:noWrap/>
            <w:vAlign w:val="center"/>
            <w:hideMark/>
          </w:tcPr>
          <w:p w14:paraId="6AA9F73B"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1020" w:type="dxa"/>
            <w:tcBorders>
              <w:top w:val="nil"/>
              <w:left w:val="nil"/>
              <w:bottom w:val="single" w:sz="8" w:space="0" w:color="auto"/>
              <w:right w:val="single" w:sz="8" w:space="0" w:color="auto"/>
            </w:tcBorders>
            <w:shd w:val="clear" w:color="auto" w:fill="auto"/>
            <w:noWrap/>
            <w:vAlign w:val="center"/>
            <w:hideMark/>
          </w:tcPr>
          <w:p w14:paraId="157E71BF"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0,00%</w:t>
            </w:r>
          </w:p>
        </w:tc>
      </w:tr>
    </w:tbl>
    <w:p w14:paraId="472F2D7B" w14:textId="77777777" w:rsidR="00407D18" w:rsidRDefault="00AA098E" w:rsidP="00396CB4">
      <w:pPr>
        <w:spacing w:before="240"/>
        <w:rPr>
          <w:b/>
          <w:bCs/>
          <w:lang w:val="es-ES"/>
        </w:rPr>
      </w:pPr>
      <w:r>
        <w:rPr>
          <w:b/>
          <w:bCs/>
          <w:lang w:val="es-ES"/>
        </w:rPr>
        <w:fldChar w:fldCharType="end"/>
      </w:r>
    </w:p>
    <w:p w14:paraId="3F9B23C0" w14:textId="77777777" w:rsidR="00407D18" w:rsidRDefault="00407D18" w:rsidP="00396CB4">
      <w:pPr>
        <w:spacing w:before="240"/>
        <w:rPr>
          <w:b/>
          <w:bCs/>
          <w:lang w:val="es-ES"/>
        </w:rPr>
      </w:pPr>
    </w:p>
    <w:p w14:paraId="10D2DCD3" w14:textId="77777777" w:rsidR="00407D18" w:rsidRDefault="00407D18" w:rsidP="00396CB4">
      <w:pPr>
        <w:spacing w:before="240"/>
        <w:rPr>
          <w:b/>
          <w:bCs/>
          <w:lang w:val="es-ES"/>
        </w:rPr>
      </w:pPr>
    </w:p>
    <w:p w14:paraId="2A01EE47" w14:textId="58F02BF3" w:rsidR="00396CB4" w:rsidRPr="00396CB4" w:rsidRDefault="00692DC8" w:rsidP="00396CB4">
      <w:pPr>
        <w:spacing w:before="240"/>
        <w:rPr>
          <w:b/>
          <w:bCs/>
          <w:lang w:val="es-ES"/>
        </w:rPr>
      </w:pPr>
      <w:r w:rsidRPr="00692DC8">
        <w:rPr>
          <w:b/>
          <w:bCs/>
          <w:lang w:val="es-ES"/>
        </w:rPr>
        <w:lastRenderedPageBreak/>
        <w:t>Revelación</w:t>
      </w:r>
      <w:r w:rsidRPr="00692DC8">
        <w:rPr>
          <w:lang w:val="es-ES"/>
        </w:rPr>
        <w:t xml:space="preserve">: </w:t>
      </w:r>
      <w:r w:rsidR="00AA098E">
        <w:rPr>
          <w:rFonts w:eastAsia="Times New Roman" w:cs="Calibri"/>
          <w:color w:val="000000"/>
          <w:lang w:eastAsia="es-CR"/>
        </w:rPr>
        <w:fldChar w:fldCharType="begin"/>
      </w:r>
      <w:r w:rsidR="00AA098E">
        <w:rPr>
          <w:rFonts w:eastAsia="Times New Roman" w:cs="Calibri"/>
          <w:color w:val="000000"/>
          <w:lang w:eastAsia="es-CR"/>
        </w:rPr>
        <w:instrText xml:space="preserve"> LINK </w:instrText>
      </w:r>
      <w:r w:rsidR="00756467">
        <w:rPr>
          <w:rFonts w:eastAsia="Times New Roman" w:cs="Calibri"/>
          <w:color w:val="000000"/>
          <w:lang w:eastAsia="es-CR"/>
        </w:rPr>
        <w:instrText xml:space="preserve">Excel.SheetMacroEnabled.12 "C:\\Users\\gcordero\\Downloads\\Notas diciembre 2024\\Formato_Notas_EEFF_Vinculadas_2024\\Formato_Notas_EEFF_Vinculadas_2024\\15603_T04_2024_Anexo_Estado_Notas_Contables_Vinculadas.xlsm" NOTAS_POR_CUENTA!F278C8 </w:instrText>
      </w:r>
      <w:r w:rsidR="00AA098E">
        <w:rPr>
          <w:rFonts w:eastAsia="Times New Roman" w:cs="Calibri"/>
          <w:color w:val="000000"/>
          <w:lang w:eastAsia="es-CR"/>
        </w:rPr>
        <w:instrText xml:space="preserve">\a \f 5 \h  \* MERGEFORMAT </w:instrText>
      </w:r>
      <w:r w:rsidR="00AA098E">
        <w:rPr>
          <w:rFonts w:eastAsia="Times New Roman" w:cs="Calibri"/>
          <w:color w:val="000000"/>
          <w:lang w:eastAsia="es-CR"/>
        </w:rPr>
        <w:fldChar w:fldCharType="separate"/>
      </w:r>
    </w:p>
    <w:p w14:paraId="44600799" w14:textId="77777777" w:rsidR="00396CB4" w:rsidRPr="00396CB4" w:rsidRDefault="00396CB4" w:rsidP="00396CB4">
      <w:pPr>
        <w:rPr>
          <w:rFonts w:eastAsia="Times New Roman" w:cs="Calibri"/>
          <w:color w:val="000000"/>
          <w:lang w:eastAsia="es-CR"/>
        </w:rPr>
      </w:pPr>
      <w:r w:rsidRPr="00396CB4">
        <w:rPr>
          <w:rFonts w:eastAsia="Times New Roman" w:cs="Calibri"/>
          <w:color w:val="000000"/>
          <w:lang w:eastAsia="es-CR"/>
        </w:rPr>
        <w:t>La cuenta Comisiones por préstamos, representa el 0,00% del total del Ingresos, que comparado al periodo anterior genera una variación absoluta de 0 000,00 que corresponde a un Aumento del 0,00% de recursos disponibles.</w:t>
      </w:r>
    </w:p>
    <w:p w14:paraId="101B56D7" w14:textId="0A20FB40" w:rsidR="00692DC8" w:rsidRDefault="00AA098E" w:rsidP="00AA098E">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7E4A33F2" w14:textId="3AE7BDE9" w:rsidR="00623120" w:rsidRDefault="00623120" w:rsidP="00623120">
      <w:pPr>
        <w:rPr>
          <w:rFonts w:eastAsiaTheme="minorEastAsia" w:cs="Arial Narrow"/>
          <w:color w:val="000000"/>
          <w:lang w:eastAsia="es-CR"/>
        </w:rPr>
      </w:pPr>
    </w:p>
    <w:p w14:paraId="676D78DF" w14:textId="77777777" w:rsidR="00DE143D" w:rsidRPr="00623120" w:rsidRDefault="00DE143D" w:rsidP="00623120">
      <w:pPr>
        <w:rPr>
          <w:rFonts w:eastAsiaTheme="minorEastAsia" w:cs="Arial Narrow"/>
          <w:color w:val="000000"/>
          <w:lang w:eastAsia="es-CR"/>
        </w:rPr>
      </w:pPr>
    </w:p>
    <w:p w14:paraId="03DF3B31" w14:textId="77777777" w:rsidR="00692DC8" w:rsidRPr="00692DC8" w:rsidRDefault="00692DC8" w:rsidP="00CD1227">
      <w:pPr>
        <w:pStyle w:val="Ttulo4"/>
        <w:spacing w:after="240"/>
        <w:rPr>
          <w:rFonts w:eastAsia="Times New Roman"/>
        </w:rPr>
      </w:pPr>
      <w:bookmarkStart w:id="777" w:name="_Toc14344817"/>
      <w:bookmarkStart w:id="778" w:name="_Toc33601279"/>
      <w:bookmarkStart w:id="779" w:name="_Toc82768998"/>
      <w:bookmarkStart w:id="780" w:name="_Toc189804886"/>
      <w:r w:rsidRPr="00692DC8">
        <w:rPr>
          <w:rFonts w:eastAsia="Times New Roman"/>
        </w:rPr>
        <w:t>NOTA N° 4</w:t>
      </w:r>
      <w:bookmarkEnd w:id="777"/>
      <w:bookmarkEnd w:id="778"/>
      <w:bookmarkEnd w:id="779"/>
      <w:r w:rsidRPr="00692DC8">
        <w:rPr>
          <w:rFonts w:eastAsia="Times New Roman"/>
        </w:rPr>
        <w:t>4</w:t>
      </w:r>
      <w:bookmarkEnd w:id="780"/>
    </w:p>
    <w:p w14:paraId="00C9418C" w14:textId="77777777" w:rsidR="00396CB4" w:rsidRDefault="00692DC8" w:rsidP="00F51D42">
      <w:pPr>
        <w:spacing w:before="240"/>
        <w:rPr>
          <w:rFonts w:asciiTheme="minorHAnsi" w:hAnsiTheme="minorHAnsi"/>
          <w:sz w:val="22"/>
        </w:rPr>
      </w:pPr>
      <w:bookmarkStart w:id="781" w:name="_Toc14344818"/>
      <w:bookmarkStart w:id="782" w:name="_Toc33601280"/>
      <w:bookmarkStart w:id="783" w:name="_Toc82768999"/>
      <w:r w:rsidRPr="00692DC8">
        <w:rPr>
          <w:rFonts w:eastAsia="Times New Roman"/>
        </w:rPr>
        <w:t>Resultados positivos por ventas de inversiones</w:t>
      </w:r>
      <w:bookmarkStart w:id="784" w:name="_Toc14344821"/>
      <w:bookmarkEnd w:id="781"/>
      <w:bookmarkEnd w:id="782"/>
      <w:bookmarkEnd w:id="783"/>
      <w:r w:rsidR="00AA098E">
        <w:rPr>
          <w:rFonts w:eastAsiaTheme="majorEastAsia" w:cstheme="majorBidi"/>
          <w:iCs/>
          <w:lang w:val="es-ES"/>
        </w:rPr>
        <w:fldChar w:fldCharType="begin"/>
      </w:r>
      <w:r w:rsidR="00AA098E">
        <w:rPr>
          <w:lang w:val="es-ES"/>
        </w:rPr>
        <w:instrText xml:space="preserve"> LINK </w:instrText>
      </w:r>
      <w:r w:rsidR="00756467">
        <w:rPr>
          <w:lang w:val="es-ES"/>
        </w:rPr>
        <w:instrText xml:space="preserve">Excel.SheetMacroEnabled.12 "C:\\Users\\gcordero\\Downloads\\Notas diciembre 2024\\Formato_Notas_EEFF_Vinculadas_2024\\Formato_Notas_EEFF_Vinculadas_2024\\15603_T04_2024_Anexo_Estado_Notas_Contables_Vinculadas.xlsm" NOTAS_POR_CUENTA!F280C1:F282C6 </w:instrText>
      </w:r>
      <w:r w:rsidR="00AA098E">
        <w:rPr>
          <w:lang w:val="es-ES"/>
        </w:rPr>
        <w:instrText xml:space="preserve">\a \f 4 \h </w:instrText>
      </w:r>
      <w:r w:rsidR="00AA098E">
        <w:rPr>
          <w:b/>
          <w:lang w:val="es-ES"/>
        </w:rPr>
        <w:fldChar w:fldCharType="separate"/>
      </w:r>
    </w:p>
    <w:tbl>
      <w:tblPr>
        <w:tblW w:w="9600" w:type="dxa"/>
        <w:tblCellMar>
          <w:left w:w="70" w:type="dxa"/>
          <w:right w:w="70" w:type="dxa"/>
        </w:tblCellMar>
        <w:tblLook w:val="04A0" w:firstRow="1" w:lastRow="0" w:firstColumn="1" w:lastColumn="0" w:noHBand="0" w:noVBand="1"/>
      </w:tblPr>
      <w:tblGrid>
        <w:gridCol w:w="1516"/>
        <w:gridCol w:w="2364"/>
        <w:gridCol w:w="500"/>
        <w:gridCol w:w="2100"/>
        <w:gridCol w:w="2100"/>
        <w:gridCol w:w="1020"/>
      </w:tblGrid>
      <w:tr w:rsidR="00396CB4" w:rsidRPr="00396CB4" w14:paraId="5DD4C16D" w14:textId="77777777" w:rsidTr="00396CB4">
        <w:trPr>
          <w:divId w:val="1040591135"/>
          <w:trHeight w:val="330"/>
        </w:trPr>
        <w:tc>
          <w:tcPr>
            <w:tcW w:w="151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1A14B11" w14:textId="5C71474D" w:rsidR="00396CB4" w:rsidRPr="00396CB4" w:rsidRDefault="00396CB4" w:rsidP="00396CB4">
            <w:pP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236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3C9986D"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7E971DA"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1C19362"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A3FF29D"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424B4CF9"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789AFDA3" w14:textId="77777777" w:rsidTr="00396CB4">
        <w:trPr>
          <w:divId w:val="1040591135"/>
          <w:trHeight w:val="330"/>
        </w:trPr>
        <w:tc>
          <w:tcPr>
            <w:tcW w:w="1516" w:type="dxa"/>
            <w:vMerge/>
            <w:tcBorders>
              <w:top w:val="single" w:sz="8" w:space="0" w:color="auto"/>
              <w:left w:val="single" w:sz="8" w:space="0" w:color="auto"/>
              <w:bottom w:val="single" w:sz="8" w:space="0" w:color="000000"/>
              <w:right w:val="single" w:sz="8" w:space="0" w:color="auto"/>
            </w:tcBorders>
            <w:vAlign w:val="center"/>
            <w:hideMark/>
          </w:tcPr>
          <w:p w14:paraId="460D4BB0"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364" w:type="dxa"/>
            <w:vMerge/>
            <w:tcBorders>
              <w:top w:val="single" w:sz="8" w:space="0" w:color="auto"/>
              <w:left w:val="single" w:sz="8" w:space="0" w:color="auto"/>
              <w:bottom w:val="single" w:sz="8" w:space="0" w:color="000000"/>
              <w:right w:val="single" w:sz="8" w:space="0" w:color="auto"/>
            </w:tcBorders>
            <w:vAlign w:val="center"/>
            <w:hideMark/>
          </w:tcPr>
          <w:p w14:paraId="071D77A8"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10841DE8"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377C17C3"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2EA85C72"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0BEF5BA2"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6AF88E20" w14:textId="77777777" w:rsidTr="00396CB4">
        <w:trPr>
          <w:divId w:val="1040591135"/>
          <w:trHeight w:val="555"/>
        </w:trPr>
        <w:tc>
          <w:tcPr>
            <w:tcW w:w="1516" w:type="dxa"/>
            <w:tcBorders>
              <w:top w:val="nil"/>
              <w:left w:val="single" w:sz="8" w:space="0" w:color="auto"/>
              <w:bottom w:val="single" w:sz="8" w:space="0" w:color="auto"/>
              <w:right w:val="single" w:sz="8" w:space="0" w:color="auto"/>
            </w:tcBorders>
            <w:shd w:val="clear" w:color="auto" w:fill="auto"/>
            <w:noWrap/>
            <w:vAlign w:val="center"/>
            <w:hideMark/>
          </w:tcPr>
          <w:p w14:paraId="6D01415C"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4.4.4.</w:t>
            </w:r>
          </w:p>
        </w:tc>
        <w:tc>
          <w:tcPr>
            <w:tcW w:w="2364" w:type="dxa"/>
            <w:tcBorders>
              <w:top w:val="nil"/>
              <w:left w:val="nil"/>
              <w:bottom w:val="single" w:sz="8" w:space="0" w:color="auto"/>
              <w:right w:val="single" w:sz="8" w:space="0" w:color="auto"/>
            </w:tcBorders>
            <w:shd w:val="clear" w:color="auto" w:fill="auto"/>
            <w:vAlign w:val="center"/>
            <w:hideMark/>
          </w:tcPr>
          <w:p w14:paraId="64355D08" w14:textId="77777777" w:rsidR="00396CB4" w:rsidRPr="00396CB4" w:rsidRDefault="00396CB4" w:rsidP="00396CB4">
            <w:pPr>
              <w:spacing w:after="0" w:line="240" w:lineRule="auto"/>
              <w:rPr>
                <w:rFonts w:eastAsia="Times New Roman" w:cs="Calibri"/>
                <w:b/>
                <w:bCs/>
                <w:color w:val="000000"/>
                <w:sz w:val="18"/>
                <w:szCs w:val="18"/>
                <w:lang w:eastAsia="es-CR"/>
              </w:rPr>
            </w:pPr>
            <w:r w:rsidRPr="00396CB4">
              <w:rPr>
                <w:rFonts w:eastAsia="Times New Roman" w:cs="Calibri"/>
                <w:b/>
                <w:bCs/>
                <w:color w:val="000000"/>
                <w:sz w:val="18"/>
                <w:szCs w:val="18"/>
                <w:lang w:eastAsia="es-CR"/>
              </w:rPr>
              <w:t>Resultados positivos por ventas de inversiones</w:t>
            </w:r>
          </w:p>
        </w:tc>
        <w:tc>
          <w:tcPr>
            <w:tcW w:w="500" w:type="dxa"/>
            <w:tcBorders>
              <w:top w:val="nil"/>
              <w:left w:val="nil"/>
              <w:bottom w:val="single" w:sz="8" w:space="0" w:color="auto"/>
              <w:right w:val="single" w:sz="8" w:space="0" w:color="auto"/>
            </w:tcBorders>
            <w:shd w:val="clear" w:color="auto" w:fill="auto"/>
            <w:noWrap/>
            <w:vAlign w:val="center"/>
            <w:hideMark/>
          </w:tcPr>
          <w:p w14:paraId="6E3EEA6C"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44</w:t>
            </w:r>
          </w:p>
        </w:tc>
        <w:tc>
          <w:tcPr>
            <w:tcW w:w="2100" w:type="dxa"/>
            <w:tcBorders>
              <w:top w:val="nil"/>
              <w:left w:val="nil"/>
              <w:bottom w:val="single" w:sz="8" w:space="0" w:color="auto"/>
              <w:right w:val="single" w:sz="8" w:space="0" w:color="auto"/>
            </w:tcBorders>
            <w:shd w:val="clear" w:color="auto" w:fill="auto"/>
            <w:noWrap/>
            <w:vAlign w:val="center"/>
            <w:hideMark/>
          </w:tcPr>
          <w:p w14:paraId="7EB42E5C"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2100" w:type="dxa"/>
            <w:tcBorders>
              <w:top w:val="nil"/>
              <w:left w:val="nil"/>
              <w:bottom w:val="single" w:sz="8" w:space="0" w:color="auto"/>
              <w:right w:val="single" w:sz="8" w:space="0" w:color="auto"/>
            </w:tcBorders>
            <w:shd w:val="clear" w:color="auto" w:fill="auto"/>
            <w:noWrap/>
            <w:vAlign w:val="center"/>
            <w:hideMark/>
          </w:tcPr>
          <w:p w14:paraId="61638CCF"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1020" w:type="dxa"/>
            <w:tcBorders>
              <w:top w:val="nil"/>
              <w:left w:val="nil"/>
              <w:bottom w:val="single" w:sz="8" w:space="0" w:color="auto"/>
              <w:right w:val="single" w:sz="8" w:space="0" w:color="auto"/>
            </w:tcBorders>
            <w:shd w:val="clear" w:color="auto" w:fill="auto"/>
            <w:noWrap/>
            <w:vAlign w:val="center"/>
            <w:hideMark/>
          </w:tcPr>
          <w:p w14:paraId="431DD81C"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0,00%</w:t>
            </w:r>
          </w:p>
        </w:tc>
      </w:tr>
    </w:tbl>
    <w:p w14:paraId="325052EC" w14:textId="77777777" w:rsidR="00396CB4" w:rsidRPr="00396CB4" w:rsidRDefault="00AA098E" w:rsidP="00396CB4">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756467">
        <w:rPr>
          <w:rFonts w:eastAsia="Times New Roman" w:cs="Calibri"/>
          <w:color w:val="000000"/>
          <w:lang w:eastAsia="es-CR"/>
        </w:rPr>
        <w:instrText xml:space="preserve">Excel.SheetMacroEnabled.12 "C:\\Users\\gcordero\\Downloads\\Notas diciembre 2024\\Formato_Notas_EEFF_Vinculadas_2024\\Formato_Notas_EEFF_Vinculadas_2024\\15603_T04_2024_Anexo_Estado_Notas_Contables_Vinculadas.xlsm" NOTAS_POR_CUENTA!F282C8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3A3E81BC" w14:textId="77777777" w:rsidR="00396CB4" w:rsidRPr="00396CB4" w:rsidRDefault="00396CB4" w:rsidP="00396CB4">
      <w:pPr>
        <w:rPr>
          <w:rFonts w:eastAsia="Times New Roman" w:cs="Calibri"/>
          <w:color w:val="000000"/>
          <w:lang w:eastAsia="es-CR"/>
        </w:rPr>
      </w:pPr>
      <w:r w:rsidRPr="00396CB4">
        <w:rPr>
          <w:rFonts w:eastAsia="Times New Roman" w:cs="Calibri"/>
          <w:color w:val="000000"/>
          <w:lang w:eastAsia="es-CR"/>
        </w:rPr>
        <w:t>La cuenta Resultados positivos por ventas de inversiones, representa el 0,00% del total del Ingresos, que comparado al periodo anterior genera una variación absoluta de 0 000,00 que corresponde a un Aumento del 0,00% de recursos disponibles.</w:t>
      </w:r>
    </w:p>
    <w:p w14:paraId="2334DC56" w14:textId="15462BA4" w:rsidR="00692DC8" w:rsidRPr="00692DC8" w:rsidRDefault="00AA098E" w:rsidP="00AA098E">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0345A45F" w14:textId="35FEBFB1" w:rsidR="00692DC8" w:rsidRDefault="00692DC8" w:rsidP="00CD1227">
      <w:pPr>
        <w:rPr>
          <w:rFonts w:eastAsiaTheme="minorEastAsia" w:cs="Arial Narrow"/>
          <w:color w:val="000000"/>
          <w:lang w:eastAsia="es-CR"/>
        </w:rPr>
      </w:pPr>
    </w:p>
    <w:p w14:paraId="21BF8EEE" w14:textId="77777777" w:rsidR="00692DC8" w:rsidRPr="00692DC8" w:rsidRDefault="00692DC8" w:rsidP="00CD1227">
      <w:pPr>
        <w:pStyle w:val="Ttulo4"/>
        <w:spacing w:after="240"/>
        <w:rPr>
          <w:rFonts w:eastAsia="Times New Roman"/>
        </w:rPr>
      </w:pPr>
      <w:bookmarkStart w:id="785" w:name="_Toc33601281"/>
      <w:bookmarkStart w:id="786" w:name="_Toc82769000"/>
      <w:bookmarkStart w:id="787" w:name="_Toc189804887"/>
      <w:r w:rsidRPr="00692DC8">
        <w:rPr>
          <w:rFonts w:eastAsia="Times New Roman"/>
        </w:rPr>
        <w:t>NOTA N° 4</w:t>
      </w:r>
      <w:bookmarkEnd w:id="784"/>
      <w:bookmarkEnd w:id="785"/>
      <w:bookmarkEnd w:id="786"/>
      <w:r w:rsidRPr="00692DC8">
        <w:rPr>
          <w:rFonts w:eastAsia="Times New Roman"/>
        </w:rPr>
        <w:t>5</w:t>
      </w:r>
      <w:bookmarkEnd w:id="787"/>
    </w:p>
    <w:p w14:paraId="7042D2A4" w14:textId="77777777" w:rsidR="00396CB4" w:rsidRDefault="00692DC8" w:rsidP="00F51D42">
      <w:pPr>
        <w:spacing w:before="240"/>
        <w:rPr>
          <w:rFonts w:asciiTheme="minorHAnsi" w:hAnsiTheme="minorHAnsi"/>
          <w:sz w:val="22"/>
        </w:rPr>
      </w:pPr>
      <w:bookmarkStart w:id="788" w:name="_Toc14344822"/>
      <w:bookmarkStart w:id="789" w:name="_Toc33601282"/>
      <w:bookmarkStart w:id="790" w:name="_Toc82769001"/>
      <w:r w:rsidRPr="00692DC8">
        <w:rPr>
          <w:rFonts w:eastAsia="Times New Roman"/>
        </w:rPr>
        <w:t>Resultados positivos por ventas e intercambios de bienes</w:t>
      </w:r>
      <w:bookmarkStart w:id="791" w:name="_Toc14344832"/>
      <w:bookmarkEnd w:id="788"/>
      <w:bookmarkEnd w:id="789"/>
      <w:bookmarkEnd w:id="790"/>
      <w:r w:rsidR="007D6FBD">
        <w:rPr>
          <w:rFonts w:eastAsiaTheme="majorEastAsia" w:cstheme="majorBidi"/>
          <w:iCs/>
          <w:lang w:val="es-ES"/>
        </w:rPr>
        <w:fldChar w:fldCharType="begin"/>
      </w:r>
      <w:r w:rsidR="007D6FBD">
        <w:rPr>
          <w:lang w:val="es-ES"/>
        </w:rPr>
        <w:instrText xml:space="preserve"> LINK </w:instrText>
      </w:r>
      <w:r w:rsidR="00756467">
        <w:rPr>
          <w:lang w:val="es-ES"/>
        </w:rPr>
        <w:instrText xml:space="preserve">Excel.SheetMacroEnabled.12 "C:\\Users\\gcordero\\Downloads\\Notas diciembre 2024\\Formato_Notas_EEFF_Vinculadas_2024\\Formato_Notas_EEFF_Vinculadas_2024\\15603_T04_2024_Anexo_Estado_Notas_Contables_Vinculadas.xlsm" NOTAS_POR_CUENTA!F284C1:F286C6 </w:instrText>
      </w:r>
      <w:r w:rsidR="007D6FBD">
        <w:rPr>
          <w:lang w:val="es-ES"/>
        </w:rPr>
        <w:instrText xml:space="preserve">\a \f 4 \h </w:instrText>
      </w:r>
      <w:r w:rsidR="007D6FBD">
        <w:rPr>
          <w:b/>
          <w:lang w:val="es-ES"/>
        </w:rPr>
        <w:fldChar w:fldCharType="separate"/>
      </w:r>
    </w:p>
    <w:tbl>
      <w:tblPr>
        <w:tblW w:w="9600" w:type="dxa"/>
        <w:tblCellMar>
          <w:left w:w="70" w:type="dxa"/>
          <w:right w:w="70" w:type="dxa"/>
        </w:tblCellMar>
        <w:tblLook w:val="04A0" w:firstRow="1" w:lastRow="0" w:firstColumn="1" w:lastColumn="0" w:noHBand="0" w:noVBand="1"/>
      </w:tblPr>
      <w:tblGrid>
        <w:gridCol w:w="1136"/>
        <w:gridCol w:w="2744"/>
        <w:gridCol w:w="500"/>
        <w:gridCol w:w="2100"/>
        <w:gridCol w:w="2100"/>
        <w:gridCol w:w="1020"/>
      </w:tblGrid>
      <w:tr w:rsidR="00396CB4" w:rsidRPr="00396CB4" w14:paraId="426F5248" w14:textId="77777777" w:rsidTr="00396CB4">
        <w:trPr>
          <w:divId w:val="1017077348"/>
          <w:trHeight w:val="330"/>
        </w:trPr>
        <w:tc>
          <w:tcPr>
            <w:tcW w:w="113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5A6A01B" w14:textId="066F209D" w:rsidR="00396CB4" w:rsidRPr="00396CB4" w:rsidRDefault="00396CB4" w:rsidP="00396CB4">
            <w:pP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274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458F9F6"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47A1728"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AD70344"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5A52837"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2C0477A9"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0299A411" w14:textId="77777777" w:rsidTr="00396CB4">
        <w:trPr>
          <w:divId w:val="1017077348"/>
          <w:trHeight w:val="330"/>
        </w:trPr>
        <w:tc>
          <w:tcPr>
            <w:tcW w:w="1136" w:type="dxa"/>
            <w:vMerge/>
            <w:tcBorders>
              <w:top w:val="single" w:sz="8" w:space="0" w:color="auto"/>
              <w:left w:val="single" w:sz="8" w:space="0" w:color="auto"/>
              <w:bottom w:val="single" w:sz="8" w:space="0" w:color="000000"/>
              <w:right w:val="single" w:sz="8" w:space="0" w:color="auto"/>
            </w:tcBorders>
            <w:vAlign w:val="center"/>
            <w:hideMark/>
          </w:tcPr>
          <w:p w14:paraId="43B45D5C"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744" w:type="dxa"/>
            <w:vMerge/>
            <w:tcBorders>
              <w:top w:val="single" w:sz="8" w:space="0" w:color="auto"/>
              <w:left w:val="single" w:sz="8" w:space="0" w:color="auto"/>
              <w:bottom w:val="single" w:sz="8" w:space="0" w:color="000000"/>
              <w:right w:val="single" w:sz="8" w:space="0" w:color="auto"/>
            </w:tcBorders>
            <w:vAlign w:val="center"/>
            <w:hideMark/>
          </w:tcPr>
          <w:p w14:paraId="796E7E04"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1EE5595D"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5FA20CA4"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66CBD0D5"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341772BE"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3AF28F45" w14:textId="77777777" w:rsidTr="00396CB4">
        <w:trPr>
          <w:divId w:val="1017077348"/>
          <w:trHeight w:val="555"/>
        </w:trPr>
        <w:tc>
          <w:tcPr>
            <w:tcW w:w="1136" w:type="dxa"/>
            <w:tcBorders>
              <w:top w:val="nil"/>
              <w:left w:val="single" w:sz="8" w:space="0" w:color="auto"/>
              <w:bottom w:val="single" w:sz="8" w:space="0" w:color="auto"/>
              <w:right w:val="single" w:sz="8" w:space="0" w:color="auto"/>
            </w:tcBorders>
            <w:shd w:val="clear" w:color="auto" w:fill="auto"/>
            <w:noWrap/>
            <w:vAlign w:val="center"/>
            <w:hideMark/>
          </w:tcPr>
          <w:p w14:paraId="5B37C6C3"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4.4.5.</w:t>
            </w:r>
          </w:p>
        </w:tc>
        <w:tc>
          <w:tcPr>
            <w:tcW w:w="2744" w:type="dxa"/>
            <w:tcBorders>
              <w:top w:val="nil"/>
              <w:left w:val="nil"/>
              <w:bottom w:val="single" w:sz="8" w:space="0" w:color="auto"/>
              <w:right w:val="single" w:sz="8" w:space="0" w:color="auto"/>
            </w:tcBorders>
            <w:shd w:val="clear" w:color="auto" w:fill="auto"/>
            <w:vAlign w:val="center"/>
            <w:hideMark/>
          </w:tcPr>
          <w:p w14:paraId="05D11597" w14:textId="77777777" w:rsidR="00396CB4" w:rsidRPr="00396CB4" w:rsidRDefault="00396CB4" w:rsidP="00396CB4">
            <w:pPr>
              <w:spacing w:after="0" w:line="240" w:lineRule="auto"/>
              <w:rPr>
                <w:rFonts w:eastAsia="Times New Roman" w:cs="Calibri"/>
                <w:b/>
                <w:bCs/>
                <w:color w:val="000000"/>
                <w:sz w:val="18"/>
                <w:szCs w:val="18"/>
                <w:lang w:eastAsia="es-CR"/>
              </w:rPr>
            </w:pPr>
            <w:r w:rsidRPr="00396CB4">
              <w:rPr>
                <w:rFonts w:eastAsia="Times New Roman" w:cs="Calibri"/>
                <w:b/>
                <w:bCs/>
                <w:color w:val="000000"/>
                <w:sz w:val="18"/>
                <w:szCs w:val="18"/>
                <w:lang w:eastAsia="es-CR"/>
              </w:rPr>
              <w:t>Resultados positivos por ventas e intercambio de bienes</w:t>
            </w:r>
          </w:p>
        </w:tc>
        <w:tc>
          <w:tcPr>
            <w:tcW w:w="500" w:type="dxa"/>
            <w:tcBorders>
              <w:top w:val="nil"/>
              <w:left w:val="nil"/>
              <w:bottom w:val="single" w:sz="8" w:space="0" w:color="auto"/>
              <w:right w:val="single" w:sz="8" w:space="0" w:color="auto"/>
            </w:tcBorders>
            <w:shd w:val="clear" w:color="auto" w:fill="auto"/>
            <w:noWrap/>
            <w:vAlign w:val="center"/>
            <w:hideMark/>
          </w:tcPr>
          <w:p w14:paraId="4135F7CE"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45</w:t>
            </w:r>
          </w:p>
        </w:tc>
        <w:tc>
          <w:tcPr>
            <w:tcW w:w="2100" w:type="dxa"/>
            <w:tcBorders>
              <w:top w:val="nil"/>
              <w:left w:val="nil"/>
              <w:bottom w:val="single" w:sz="8" w:space="0" w:color="auto"/>
              <w:right w:val="single" w:sz="8" w:space="0" w:color="auto"/>
            </w:tcBorders>
            <w:shd w:val="clear" w:color="auto" w:fill="auto"/>
            <w:noWrap/>
            <w:vAlign w:val="center"/>
            <w:hideMark/>
          </w:tcPr>
          <w:p w14:paraId="4E706B48"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2100" w:type="dxa"/>
            <w:tcBorders>
              <w:top w:val="nil"/>
              <w:left w:val="nil"/>
              <w:bottom w:val="single" w:sz="8" w:space="0" w:color="auto"/>
              <w:right w:val="single" w:sz="8" w:space="0" w:color="auto"/>
            </w:tcBorders>
            <w:shd w:val="clear" w:color="auto" w:fill="auto"/>
            <w:noWrap/>
            <w:vAlign w:val="center"/>
            <w:hideMark/>
          </w:tcPr>
          <w:p w14:paraId="49D09401"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1020" w:type="dxa"/>
            <w:tcBorders>
              <w:top w:val="nil"/>
              <w:left w:val="nil"/>
              <w:bottom w:val="single" w:sz="8" w:space="0" w:color="auto"/>
              <w:right w:val="single" w:sz="8" w:space="0" w:color="auto"/>
            </w:tcBorders>
            <w:shd w:val="clear" w:color="auto" w:fill="auto"/>
            <w:noWrap/>
            <w:vAlign w:val="center"/>
            <w:hideMark/>
          </w:tcPr>
          <w:p w14:paraId="61CAC4F3"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0,00%</w:t>
            </w:r>
          </w:p>
        </w:tc>
      </w:tr>
    </w:tbl>
    <w:p w14:paraId="20229EFD" w14:textId="77777777" w:rsidR="00407D18" w:rsidRDefault="007D6FBD" w:rsidP="00396CB4">
      <w:pPr>
        <w:spacing w:before="240"/>
        <w:rPr>
          <w:b/>
          <w:bCs/>
          <w:lang w:val="es-ES"/>
        </w:rPr>
      </w:pPr>
      <w:r>
        <w:rPr>
          <w:b/>
          <w:bCs/>
          <w:lang w:val="es-ES"/>
        </w:rPr>
        <w:fldChar w:fldCharType="end"/>
      </w:r>
    </w:p>
    <w:p w14:paraId="0153F4DA" w14:textId="336AB806" w:rsidR="00396CB4" w:rsidRPr="00396CB4" w:rsidRDefault="00692DC8" w:rsidP="00396CB4">
      <w:pPr>
        <w:spacing w:before="240"/>
        <w:rPr>
          <w:b/>
          <w:bCs/>
          <w:lang w:val="es-ES"/>
        </w:rPr>
      </w:pPr>
      <w:r w:rsidRPr="00692DC8">
        <w:rPr>
          <w:b/>
          <w:bCs/>
          <w:lang w:val="es-ES"/>
        </w:rPr>
        <w:lastRenderedPageBreak/>
        <w:t>Revelación</w:t>
      </w:r>
      <w:r w:rsidRPr="00692DC8">
        <w:rPr>
          <w:lang w:val="es-ES"/>
        </w:rPr>
        <w:t xml:space="preserve">: </w:t>
      </w:r>
      <w:r w:rsidR="007D6FBD">
        <w:rPr>
          <w:rFonts w:eastAsia="Times New Roman" w:cs="Calibri"/>
          <w:color w:val="000000"/>
          <w:lang w:eastAsia="es-CR"/>
        </w:rPr>
        <w:fldChar w:fldCharType="begin"/>
      </w:r>
      <w:r w:rsidR="007D6FBD">
        <w:rPr>
          <w:rFonts w:eastAsia="Times New Roman" w:cs="Calibri"/>
          <w:color w:val="000000"/>
          <w:lang w:eastAsia="es-CR"/>
        </w:rPr>
        <w:instrText xml:space="preserve"> LINK </w:instrText>
      </w:r>
      <w:r w:rsidR="00756467">
        <w:rPr>
          <w:rFonts w:eastAsia="Times New Roman" w:cs="Calibri"/>
          <w:color w:val="000000"/>
          <w:lang w:eastAsia="es-CR"/>
        </w:rPr>
        <w:instrText xml:space="preserve">Excel.SheetMacroEnabled.12 "C:\\Users\\gcordero\\Downloads\\Notas diciembre 2024\\Formato_Notas_EEFF_Vinculadas_2024\\Formato_Notas_EEFF_Vinculadas_2024\\15603_T04_2024_Anexo_Estado_Notas_Contables_Vinculadas.xlsm" NOTAS_POR_CUENTA!F286C8 </w:instrText>
      </w:r>
      <w:r w:rsidR="007D6FBD">
        <w:rPr>
          <w:rFonts w:eastAsia="Times New Roman" w:cs="Calibri"/>
          <w:color w:val="000000"/>
          <w:lang w:eastAsia="es-CR"/>
        </w:rPr>
        <w:instrText xml:space="preserve">\a \f 5 \h  \* MERGEFORMAT </w:instrText>
      </w:r>
      <w:r w:rsidR="007D6FBD">
        <w:rPr>
          <w:rFonts w:eastAsia="Times New Roman" w:cs="Calibri"/>
          <w:color w:val="000000"/>
          <w:lang w:eastAsia="es-CR"/>
        </w:rPr>
        <w:fldChar w:fldCharType="separate"/>
      </w:r>
    </w:p>
    <w:p w14:paraId="76EB62DE" w14:textId="77777777" w:rsidR="00396CB4" w:rsidRPr="00396CB4" w:rsidRDefault="00396CB4" w:rsidP="00396CB4">
      <w:pPr>
        <w:rPr>
          <w:rFonts w:eastAsia="Times New Roman" w:cs="Calibri"/>
          <w:color w:val="000000"/>
          <w:lang w:eastAsia="es-CR"/>
        </w:rPr>
      </w:pPr>
      <w:r w:rsidRPr="00396CB4">
        <w:rPr>
          <w:rFonts w:eastAsia="Times New Roman" w:cs="Calibri"/>
          <w:color w:val="000000"/>
          <w:lang w:eastAsia="es-CR"/>
        </w:rPr>
        <w:t>La cuenta Resultados positivos por ventas e intercambio de bienes, representa el 0,00% del total del Ingresos, que comparado al periodo anterior genera una variación absoluta de 0 000,00 que corresponde a un Aumento del 0,00% de recursos disponibles.</w:t>
      </w:r>
    </w:p>
    <w:p w14:paraId="5AC25D3E" w14:textId="79E630C3" w:rsidR="00692DC8" w:rsidRPr="00692DC8" w:rsidRDefault="007D6FBD" w:rsidP="007D6FBD">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607CB20D" w14:textId="77777777" w:rsidR="00692DC8" w:rsidRPr="00692DC8" w:rsidRDefault="00692DC8" w:rsidP="00CD1227">
      <w:pPr>
        <w:rPr>
          <w:szCs w:val="24"/>
        </w:rPr>
      </w:pPr>
    </w:p>
    <w:p w14:paraId="2AC776DD" w14:textId="77777777" w:rsidR="00692DC8" w:rsidRPr="00692DC8" w:rsidRDefault="00692DC8" w:rsidP="00CD1227">
      <w:pPr>
        <w:pStyle w:val="Ttulo4"/>
        <w:spacing w:after="240"/>
        <w:rPr>
          <w:rFonts w:eastAsia="Times New Roman"/>
        </w:rPr>
      </w:pPr>
      <w:bookmarkStart w:id="792" w:name="_Toc33601283"/>
      <w:bookmarkStart w:id="793" w:name="_Toc82769002"/>
      <w:bookmarkStart w:id="794" w:name="_Toc189804888"/>
      <w:r w:rsidRPr="00692DC8">
        <w:rPr>
          <w:rFonts w:eastAsia="Times New Roman"/>
        </w:rPr>
        <w:t>NOTA N° 4</w:t>
      </w:r>
      <w:bookmarkEnd w:id="791"/>
      <w:bookmarkEnd w:id="792"/>
      <w:bookmarkEnd w:id="793"/>
      <w:r w:rsidRPr="00692DC8">
        <w:rPr>
          <w:rFonts w:eastAsia="Times New Roman"/>
        </w:rPr>
        <w:t>6</w:t>
      </w:r>
      <w:bookmarkEnd w:id="794"/>
    </w:p>
    <w:p w14:paraId="4C874D73" w14:textId="77777777" w:rsidR="00396CB4" w:rsidRDefault="00692DC8" w:rsidP="00F51D42">
      <w:pPr>
        <w:spacing w:before="240"/>
        <w:rPr>
          <w:rFonts w:asciiTheme="minorHAnsi" w:hAnsiTheme="minorHAnsi"/>
          <w:sz w:val="22"/>
        </w:rPr>
      </w:pPr>
      <w:bookmarkStart w:id="795" w:name="_Toc14344833"/>
      <w:bookmarkStart w:id="796" w:name="_Toc33601284"/>
      <w:bookmarkStart w:id="797" w:name="_Toc82769003"/>
      <w:r w:rsidRPr="00692DC8">
        <w:rPr>
          <w:rFonts w:eastAsia="Times New Roman"/>
        </w:rPr>
        <w:t>Resultados positivos por la recuperación de dinero mal acreditado de periodos anteriores</w:t>
      </w:r>
      <w:bookmarkEnd w:id="795"/>
      <w:bookmarkEnd w:id="796"/>
      <w:bookmarkEnd w:id="797"/>
      <w:r w:rsidR="007D6FBD">
        <w:rPr>
          <w:rFonts w:eastAsiaTheme="majorEastAsia" w:cstheme="majorBidi"/>
          <w:iCs/>
          <w:lang w:val="es-ES"/>
        </w:rPr>
        <w:fldChar w:fldCharType="begin"/>
      </w:r>
      <w:r w:rsidR="007D6FBD">
        <w:rPr>
          <w:lang w:val="es-ES"/>
        </w:rPr>
        <w:instrText xml:space="preserve"> LINK </w:instrText>
      </w:r>
      <w:r w:rsidR="00756467">
        <w:rPr>
          <w:lang w:val="es-ES"/>
        </w:rPr>
        <w:instrText xml:space="preserve">Excel.SheetMacroEnabled.12 "C:\\Users\\gcordero\\Downloads\\Notas diciembre 2024\\Formato_Notas_EEFF_Vinculadas_2024\\Formato_Notas_EEFF_Vinculadas_2024\\15603_T04_2024_Anexo_Estado_Notas_Contables_Vinculadas.xlsm" NOTAS_POR_CUENTA!F288C1:F290C6 </w:instrText>
      </w:r>
      <w:r w:rsidR="007D6FBD">
        <w:rPr>
          <w:lang w:val="es-ES"/>
        </w:rPr>
        <w:instrText xml:space="preserve">\a \f 4 \h </w:instrText>
      </w:r>
      <w:r w:rsidR="007D6FBD">
        <w:rPr>
          <w:b/>
          <w:lang w:val="es-ES"/>
        </w:rPr>
        <w:fldChar w:fldCharType="separate"/>
      </w:r>
    </w:p>
    <w:tbl>
      <w:tblPr>
        <w:tblW w:w="9600" w:type="dxa"/>
        <w:tblCellMar>
          <w:left w:w="70" w:type="dxa"/>
          <w:right w:w="70" w:type="dxa"/>
        </w:tblCellMar>
        <w:tblLook w:val="04A0" w:firstRow="1" w:lastRow="0" w:firstColumn="1" w:lastColumn="0" w:noHBand="0" w:noVBand="1"/>
      </w:tblPr>
      <w:tblGrid>
        <w:gridCol w:w="1396"/>
        <w:gridCol w:w="2484"/>
        <w:gridCol w:w="500"/>
        <w:gridCol w:w="2100"/>
        <w:gridCol w:w="2100"/>
        <w:gridCol w:w="1020"/>
      </w:tblGrid>
      <w:tr w:rsidR="00396CB4" w:rsidRPr="00396CB4" w14:paraId="77D1776F" w14:textId="77777777" w:rsidTr="00396CB4">
        <w:trPr>
          <w:divId w:val="1101729249"/>
          <w:trHeight w:val="330"/>
        </w:trPr>
        <w:tc>
          <w:tcPr>
            <w:tcW w:w="139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FB67256" w14:textId="53891213" w:rsidR="00396CB4" w:rsidRPr="00396CB4" w:rsidRDefault="00396CB4" w:rsidP="00396CB4">
            <w:pP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248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54D3E9D"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F67B9C4"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94E7EE6"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3673092"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18BF23EA"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17EC18BC" w14:textId="77777777" w:rsidTr="00396CB4">
        <w:trPr>
          <w:divId w:val="1101729249"/>
          <w:trHeight w:val="330"/>
        </w:trPr>
        <w:tc>
          <w:tcPr>
            <w:tcW w:w="1396" w:type="dxa"/>
            <w:vMerge/>
            <w:tcBorders>
              <w:top w:val="single" w:sz="8" w:space="0" w:color="auto"/>
              <w:left w:val="single" w:sz="8" w:space="0" w:color="auto"/>
              <w:bottom w:val="single" w:sz="8" w:space="0" w:color="000000"/>
              <w:right w:val="single" w:sz="8" w:space="0" w:color="auto"/>
            </w:tcBorders>
            <w:vAlign w:val="center"/>
            <w:hideMark/>
          </w:tcPr>
          <w:p w14:paraId="39DFDCB4"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484" w:type="dxa"/>
            <w:vMerge/>
            <w:tcBorders>
              <w:top w:val="single" w:sz="8" w:space="0" w:color="auto"/>
              <w:left w:val="single" w:sz="8" w:space="0" w:color="auto"/>
              <w:bottom w:val="single" w:sz="8" w:space="0" w:color="000000"/>
              <w:right w:val="single" w:sz="8" w:space="0" w:color="auto"/>
            </w:tcBorders>
            <w:vAlign w:val="center"/>
            <w:hideMark/>
          </w:tcPr>
          <w:p w14:paraId="5C22B723"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3AD89A13"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229B9502"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45B039DB"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14A84F04"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468E1359" w14:textId="77777777" w:rsidTr="00396CB4">
        <w:trPr>
          <w:divId w:val="1101729249"/>
          <w:trHeight w:val="825"/>
        </w:trPr>
        <w:tc>
          <w:tcPr>
            <w:tcW w:w="1396" w:type="dxa"/>
            <w:tcBorders>
              <w:top w:val="nil"/>
              <w:left w:val="single" w:sz="8" w:space="0" w:color="auto"/>
              <w:bottom w:val="single" w:sz="8" w:space="0" w:color="auto"/>
              <w:right w:val="single" w:sz="8" w:space="0" w:color="auto"/>
            </w:tcBorders>
            <w:shd w:val="clear" w:color="auto" w:fill="auto"/>
            <w:noWrap/>
            <w:vAlign w:val="center"/>
            <w:hideMark/>
          </w:tcPr>
          <w:p w14:paraId="577D9453"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4.4.6.</w:t>
            </w:r>
          </w:p>
        </w:tc>
        <w:tc>
          <w:tcPr>
            <w:tcW w:w="2484" w:type="dxa"/>
            <w:tcBorders>
              <w:top w:val="nil"/>
              <w:left w:val="nil"/>
              <w:bottom w:val="single" w:sz="8" w:space="0" w:color="auto"/>
              <w:right w:val="single" w:sz="8" w:space="0" w:color="auto"/>
            </w:tcBorders>
            <w:shd w:val="clear" w:color="auto" w:fill="auto"/>
            <w:vAlign w:val="center"/>
            <w:hideMark/>
          </w:tcPr>
          <w:p w14:paraId="07B01E8E" w14:textId="77777777" w:rsidR="00396CB4" w:rsidRPr="00396CB4" w:rsidRDefault="00396CB4" w:rsidP="00396CB4">
            <w:pPr>
              <w:spacing w:after="0" w:line="240" w:lineRule="auto"/>
              <w:rPr>
                <w:rFonts w:eastAsia="Times New Roman" w:cs="Calibri"/>
                <w:b/>
                <w:bCs/>
                <w:color w:val="000000"/>
                <w:sz w:val="18"/>
                <w:szCs w:val="18"/>
                <w:lang w:eastAsia="es-CR"/>
              </w:rPr>
            </w:pPr>
            <w:r w:rsidRPr="00396CB4">
              <w:rPr>
                <w:rFonts w:eastAsia="Times New Roman" w:cs="Calibri"/>
                <w:b/>
                <w:bCs/>
                <w:color w:val="000000"/>
                <w:sz w:val="18"/>
                <w:szCs w:val="18"/>
                <w:lang w:eastAsia="es-CR"/>
              </w:rPr>
              <w:t>Resultados positivos por la recuperación de dinero mal acreditado de periodos anteriores</w:t>
            </w:r>
          </w:p>
        </w:tc>
        <w:tc>
          <w:tcPr>
            <w:tcW w:w="500" w:type="dxa"/>
            <w:tcBorders>
              <w:top w:val="nil"/>
              <w:left w:val="nil"/>
              <w:bottom w:val="single" w:sz="8" w:space="0" w:color="auto"/>
              <w:right w:val="single" w:sz="8" w:space="0" w:color="auto"/>
            </w:tcBorders>
            <w:shd w:val="clear" w:color="auto" w:fill="auto"/>
            <w:noWrap/>
            <w:vAlign w:val="center"/>
            <w:hideMark/>
          </w:tcPr>
          <w:p w14:paraId="0A90DE5E"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46</w:t>
            </w:r>
          </w:p>
        </w:tc>
        <w:tc>
          <w:tcPr>
            <w:tcW w:w="2100" w:type="dxa"/>
            <w:tcBorders>
              <w:top w:val="nil"/>
              <w:left w:val="nil"/>
              <w:bottom w:val="single" w:sz="8" w:space="0" w:color="auto"/>
              <w:right w:val="single" w:sz="8" w:space="0" w:color="auto"/>
            </w:tcBorders>
            <w:shd w:val="clear" w:color="auto" w:fill="auto"/>
            <w:noWrap/>
            <w:vAlign w:val="center"/>
            <w:hideMark/>
          </w:tcPr>
          <w:p w14:paraId="72AF7923"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2100" w:type="dxa"/>
            <w:tcBorders>
              <w:top w:val="nil"/>
              <w:left w:val="nil"/>
              <w:bottom w:val="single" w:sz="8" w:space="0" w:color="auto"/>
              <w:right w:val="single" w:sz="8" w:space="0" w:color="auto"/>
            </w:tcBorders>
            <w:shd w:val="clear" w:color="auto" w:fill="auto"/>
            <w:noWrap/>
            <w:vAlign w:val="center"/>
            <w:hideMark/>
          </w:tcPr>
          <w:p w14:paraId="50C72E5F"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1020" w:type="dxa"/>
            <w:tcBorders>
              <w:top w:val="nil"/>
              <w:left w:val="nil"/>
              <w:bottom w:val="single" w:sz="8" w:space="0" w:color="auto"/>
              <w:right w:val="single" w:sz="8" w:space="0" w:color="auto"/>
            </w:tcBorders>
            <w:shd w:val="clear" w:color="auto" w:fill="auto"/>
            <w:noWrap/>
            <w:vAlign w:val="center"/>
            <w:hideMark/>
          </w:tcPr>
          <w:p w14:paraId="044AD9B1"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0,00%</w:t>
            </w:r>
          </w:p>
        </w:tc>
      </w:tr>
    </w:tbl>
    <w:p w14:paraId="5CC29E16" w14:textId="77777777" w:rsidR="005552ED" w:rsidRDefault="007D6FBD" w:rsidP="00396CB4">
      <w:pPr>
        <w:spacing w:before="240"/>
        <w:rPr>
          <w:b/>
          <w:bCs/>
          <w:lang w:val="es-ES"/>
        </w:rPr>
      </w:pPr>
      <w:r>
        <w:rPr>
          <w:b/>
          <w:bCs/>
          <w:lang w:val="es-ES"/>
        </w:rPr>
        <w:fldChar w:fldCharType="end"/>
      </w:r>
    </w:p>
    <w:p w14:paraId="3E495608" w14:textId="77777777" w:rsidR="005552ED" w:rsidRDefault="005552ED" w:rsidP="00396CB4">
      <w:pPr>
        <w:spacing w:before="240"/>
        <w:rPr>
          <w:b/>
          <w:bCs/>
          <w:lang w:val="es-ES"/>
        </w:rPr>
      </w:pPr>
    </w:p>
    <w:p w14:paraId="4EA96813" w14:textId="3137A1DD" w:rsidR="00396CB4" w:rsidRPr="00396CB4" w:rsidRDefault="00692DC8" w:rsidP="00396CB4">
      <w:pPr>
        <w:spacing w:before="240"/>
        <w:rPr>
          <w:b/>
          <w:bCs/>
          <w:lang w:val="es-ES"/>
        </w:rPr>
      </w:pPr>
      <w:r w:rsidRPr="00692DC8">
        <w:rPr>
          <w:b/>
          <w:bCs/>
          <w:lang w:val="es-ES"/>
        </w:rPr>
        <w:t>Revelación</w:t>
      </w:r>
      <w:r w:rsidRPr="00692DC8">
        <w:rPr>
          <w:lang w:val="es-ES"/>
        </w:rPr>
        <w:t xml:space="preserve">: </w:t>
      </w:r>
      <w:r w:rsidR="007D6FBD">
        <w:rPr>
          <w:rFonts w:eastAsia="Times New Roman" w:cs="Calibri"/>
          <w:color w:val="000000"/>
          <w:lang w:eastAsia="es-CR"/>
        </w:rPr>
        <w:fldChar w:fldCharType="begin"/>
      </w:r>
      <w:r w:rsidR="007D6FBD">
        <w:rPr>
          <w:rFonts w:eastAsia="Times New Roman" w:cs="Calibri"/>
          <w:color w:val="000000"/>
          <w:lang w:eastAsia="es-CR"/>
        </w:rPr>
        <w:instrText xml:space="preserve"> LINK </w:instrText>
      </w:r>
      <w:r w:rsidR="00756467">
        <w:rPr>
          <w:rFonts w:eastAsia="Times New Roman" w:cs="Calibri"/>
          <w:color w:val="000000"/>
          <w:lang w:eastAsia="es-CR"/>
        </w:rPr>
        <w:instrText xml:space="preserve">Excel.SheetMacroEnabled.12 "C:\\Users\\gcordero\\Downloads\\Notas diciembre 2024\\Formato_Notas_EEFF_Vinculadas_2024\\Formato_Notas_EEFF_Vinculadas_2024\\15603_T04_2024_Anexo_Estado_Notas_Contables_Vinculadas.xlsm" NOTAS_POR_CUENTA!F290C8 </w:instrText>
      </w:r>
      <w:r w:rsidR="007D6FBD">
        <w:rPr>
          <w:rFonts w:eastAsia="Times New Roman" w:cs="Calibri"/>
          <w:color w:val="000000"/>
          <w:lang w:eastAsia="es-CR"/>
        </w:rPr>
        <w:instrText xml:space="preserve">\a \f 5 \h  \* MERGEFORMAT </w:instrText>
      </w:r>
      <w:r w:rsidR="007D6FBD">
        <w:rPr>
          <w:rFonts w:eastAsia="Times New Roman" w:cs="Calibri"/>
          <w:color w:val="000000"/>
          <w:lang w:eastAsia="es-CR"/>
        </w:rPr>
        <w:fldChar w:fldCharType="separate"/>
      </w:r>
    </w:p>
    <w:p w14:paraId="523A9A75" w14:textId="77777777" w:rsidR="00396CB4" w:rsidRPr="00396CB4" w:rsidRDefault="00396CB4" w:rsidP="00396CB4">
      <w:pPr>
        <w:rPr>
          <w:rFonts w:eastAsia="Times New Roman" w:cs="Calibri"/>
          <w:color w:val="000000"/>
          <w:lang w:eastAsia="es-CR"/>
        </w:rPr>
      </w:pPr>
      <w:r w:rsidRPr="00396CB4">
        <w:rPr>
          <w:rFonts w:eastAsia="Times New Roman" w:cs="Calibri"/>
          <w:color w:val="000000"/>
          <w:lang w:eastAsia="es-CR"/>
        </w:rPr>
        <w:t>La cuenta Resultados positivos por la recuperación de dinero mal acreditado de periodos anteriores, representa el 0,00% del total del Ingresos, que comparado al periodo anterior genera una variación absoluta de 0 000,00 que corresponde a un Aumento del 0,00% de recursos disponibles.</w:t>
      </w:r>
    </w:p>
    <w:p w14:paraId="1263596F" w14:textId="7C4B26D8" w:rsidR="00692DC8" w:rsidRDefault="007D6FBD" w:rsidP="007D6FBD">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3EF36344" w14:textId="1157B50D" w:rsidR="00CD1227" w:rsidRDefault="00CD1227" w:rsidP="00CD1227">
      <w:pPr>
        <w:rPr>
          <w:rFonts w:eastAsiaTheme="minorEastAsia" w:cs="Arial Narrow"/>
          <w:color w:val="000000"/>
          <w:lang w:eastAsia="es-CR"/>
        </w:rPr>
      </w:pPr>
    </w:p>
    <w:p w14:paraId="6CC9744F" w14:textId="64B3967A" w:rsidR="00407D18" w:rsidRDefault="00407D18" w:rsidP="00CD1227">
      <w:pPr>
        <w:rPr>
          <w:rFonts w:eastAsiaTheme="minorEastAsia" w:cs="Arial Narrow"/>
          <w:color w:val="000000"/>
          <w:lang w:eastAsia="es-CR"/>
        </w:rPr>
      </w:pPr>
    </w:p>
    <w:p w14:paraId="58A0A781" w14:textId="77777777" w:rsidR="00407D18" w:rsidRPr="00CD1227" w:rsidRDefault="00407D18" w:rsidP="00CD1227">
      <w:pPr>
        <w:rPr>
          <w:rFonts w:eastAsiaTheme="minorEastAsia" w:cs="Arial Narrow"/>
          <w:color w:val="000000"/>
          <w:lang w:eastAsia="es-CR"/>
        </w:rPr>
      </w:pPr>
    </w:p>
    <w:p w14:paraId="086ABF09" w14:textId="77777777" w:rsidR="00692DC8" w:rsidRPr="00692DC8" w:rsidRDefault="00692DC8" w:rsidP="00CD1227">
      <w:pPr>
        <w:pStyle w:val="Ttulo3"/>
        <w:spacing w:after="240"/>
        <w:rPr>
          <w:rFonts w:eastAsia="Calibri"/>
          <w:lang w:eastAsia="es-CR"/>
        </w:rPr>
      </w:pPr>
      <w:bookmarkStart w:id="798" w:name="_Toc82769004"/>
      <w:bookmarkStart w:id="799" w:name="_Toc189804889"/>
      <w:r w:rsidRPr="00692DC8">
        <w:rPr>
          <w:rFonts w:eastAsia="Calibri"/>
          <w:lang w:eastAsia="es-CR"/>
        </w:rPr>
        <w:lastRenderedPageBreak/>
        <w:t>4.5 INGRESOS DE LA PROPIEDAD</w:t>
      </w:r>
      <w:bookmarkEnd w:id="798"/>
      <w:bookmarkEnd w:id="799"/>
    </w:p>
    <w:p w14:paraId="508B424E" w14:textId="2F829F1F" w:rsidR="00407D18" w:rsidRPr="00407D18" w:rsidRDefault="00692DC8" w:rsidP="00407D18">
      <w:pPr>
        <w:pStyle w:val="Ttulo4"/>
        <w:spacing w:after="240"/>
        <w:rPr>
          <w:rFonts w:eastAsia="Times New Roman"/>
        </w:rPr>
      </w:pPr>
      <w:bookmarkStart w:id="800" w:name="_Toc14344836"/>
      <w:bookmarkStart w:id="801" w:name="_Toc33601285"/>
      <w:bookmarkStart w:id="802" w:name="_Toc82769005"/>
      <w:bookmarkStart w:id="803" w:name="_Toc189804890"/>
      <w:r w:rsidRPr="00692DC8">
        <w:rPr>
          <w:rFonts w:eastAsia="Times New Roman"/>
        </w:rPr>
        <w:t>NOTA N° 4</w:t>
      </w:r>
      <w:bookmarkEnd w:id="800"/>
      <w:bookmarkEnd w:id="801"/>
      <w:bookmarkEnd w:id="802"/>
      <w:r w:rsidRPr="00692DC8">
        <w:rPr>
          <w:rFonts w:eastAsia="Times New Roman"/>
        </w:rPr>
        <w:t>7</w:t>
      </w:r>
      <w:bookmarkEnd w:id="803"/>
    </w:p>
    <w:p w14:paraId="530FF2A4" w14:textId="35BE01EE" w:rsidR="00396CB4" w:rsidRPr="00407D18" w:rsidRDefault="00692DC8" w:rsidP="00F51D42">
      <w:pPr>
        <w:spacing w:before="240"/>
        <w:rPr>
          <w:rFonts w:eastAsia="Times New Roman"/>
        </w:rPr>
      </w:pPr>
      <w:bookmarkStart w:id="804" w:name="_Toc14344837"/>
      <w:bookmarkStart w:id="805" w:name="_Toc33601286"/>
      <w:bookmarkStart w:id="806" w:name="_Toc82769006"/>
      <w:r w:rsidRPr="00692DC8">
        <w:rPr>
          <w:rFonts w:eastAsia="Times New Roman"/>
        </w:rPr>
        <w:t>Rentas de inversiones y de colocación de efectivo</w:t>
      </w:r>
      <w:bookmarkEnd w:id="804"/>
      <w:bookmarkEnd w:id="805"/>
      <w:bookmarkEnd w:id="806"/>
      <w:r w:rsidR="007D6FBD">
        <w:rPr>
          <w:rFonts w:eastAsiaTheme="majorEastAsia" w:cstheme="majorBidi"/>
          <w:iCs/>
          <w:lang w:val="es-ES"/>
        </w:rPr>
        <w:fldChar w:fldCharType="begin"/>
      </w:r>
      <w:r w:rsidR="007D6FBD">
        <w:rPr>
          <w:lang w:val="es-ES"/>
        </w:rPr>
        <w:instrText xml:space="preserve"> LINK </w:instrText>
      </w:r>
      <w:r w:rsidR="00756467">
        <w:rPr>
          <w:lang w:val="es-ES"/>
        </w:rPr>
        <w:instrText xml:space="preserve">Excel.SheetMacroEnabled.12 "C:\\Users\\gcordero\\Downloads\\Notas diciembre 2024\\Formato_Notas_EEFF_Vinculadas_2024\\Formato_Notas_EEFF_Vinculadas_2024\\15603_T04_2024_Anexo_Estado_Notas_Contables_Vinculadas.xlsm" NOTAS_POR_CUENTA!F292C1:F294C6 </w:instrText>
      </w:r>
      <w:r w:rsidR="007D6FBD">
        <w:rPr>
          <w:lang w:val="es-ES"/>
        </w:rPr>
        <w:instrText xml:space="preserve">\a \f 4 \h </w:instrText>
      </w:r>
      <w:r w:rsidR="007D6FBD">
        <w:rPr>
          <w:b/>
          <w:lang w:val="es-ES"/>
        </w:rPr>
        <w:fldChar w:fldCharType="separate"/>
      </w:r>
    </w:p>
    <w:tbl>
      <w:tblPr>
        <w:tblW w:w="9600" w:type="dxa"/>
        <w:tblCellMar>
          <w:left w:w="70" w:type="dxa"/>
          <w:right w:w="70" w:type="dxa"/>
        </w:tblCellMar>
        <w:tblLook w:val="04A0" w:firstRow="1" w:lastRow="0" w:firstColumn="1" w:lastColumn="0" w:noHBand="0" w:noVBand="1"/>
      </w:tblPr>
      <w:tblGrid>
        <w:gridCol w:w="1199"/>
        <w:gridCol w:w="2681"/>
        <w:gridCol w:w="500"/>
        <w:gridCol w:w="2100"/>
        <w:gridCol w:w="2100"/>
        <w:gridCol w:w="1020"/>
      </w:tblGrid>
      <w:tr w:rsidR="00396CB4" w:rsidRPr="00396CB4" w14:paraId="45974095" w14:textId="77777777" w:rsidTr="00396CB4">
        <w:trPr>
          <w:divId w:val="567958839"/>
          <w:trHeight w:val="330"/>
        </w:trPr>
        <w:tc>
          <w:tcPr>
            <w:tcW w:w="1199"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99AD33E" w14:textId="3FF91E66" w:rsidR="00396CB4" w:rsidRPr="00396CB4" w:rsidRDefault="00396CB4" w:rsidP="00396CB4">
            <w:pP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2681"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3A6C2F8"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F928EF2"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4828E25"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F93C5B6"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0314874D"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6C68EB30" w14:textId="77777777" w:rsidTr="00396CB4">
        <w:trPr>
          <w:divId w:val="567958839"/>
          <w:trHeight w:val="330"/>
        </w:trPr>
        <w:tc>
          <w:tcPr>
            <w:tcW w:w="1199" w:type="dxa"/>
            <w:vMerge/>
            <w:tcBorders>
              <w:top w:val="single" w:sz="8" w:space="0" w:color="auto"/>
              <w:left w:val="single" w:sz="8" w:space="0" w:color="auto"/>
              <w:bottom w:val="single" w:sz="8" w:space="0" w:color="000000"/>
              <w:right w:val="single" w:sz="8" w:space="0" w:color="auto"/>
            </w:tcBorders>
            <w:vAlign w:val="center"/>
            <w:hideMark/>
          </w:tcPr>
          <w:p w14:paraId="56956308"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681" w:type="dxa"/>
            <w:vMerge/>
            <w:tcBorders>
              <w:top w:val="single" w:sz="8" w:space="0" w:color="auto"/>
              <w:left w:val="single" w:sz="8" w:space="0" w:color="auto"/>
              <w:bottom w:val="single" w:sz="8" w:space="0" w:color="000000"/>
              <w:right w:val="single" w:sz="8" w:space="0" w:color="auto"/>
            </w:tcBorders>
            <w:vAlign w:val="center"/>
            <w:hideMark/>
          </w:tcPr>
          <w:p w14:paraId="3C04FEA7"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26AA10DB"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65556046"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175B388C"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2195018B"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192F205C" w14:textId="77777777" w:rsidTr="00396CB4">
        <w:trPr>
          <w:divId w:val="567958839"/>
          <w:trHeight w:val="555"/>
        </w:trPr>
        <w:tc>
          <w:tcPr>
            <w:tcW w:w="1199" w:type="dxa"/>
            <w:tcBorders>
              <w:top w:val="nil"/>
              <w:left w:val="single" w:sz="8" w:space="0" w:color="auto"/>
              <w:bottom w:val="single" w:sz="8" w:space="0" w:color="auto"/>
              <w:right w:val="single" w:sz="8" w:space="0" w:color="auto"/>
            </w:tcBorders>
            <w:shd w:val="clear" w:color="auto" w:fill="auto"/>
            <w:noWrap/>
            <w:vAlign w:val="center"/>
            <w:hideMark/>
          </w:tcPr>
          <w:p w14:paraId="10138B66"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4.5.1.</w:t>
            </w:r>
          </w:p>
        </w:tc>
        <w:tc>
          <w:tcPr>
            <w:tcW w:w="2681" w:type="dxa"/>
            <w:tcBorders>
              <w:top w:val="nil"/>
              <w:left w:val="nil"/>
              <w:bottom w:val="single" w:sz="8" w:space="0" w:color="auto"/>
              <w:right w:val="single" w:sz="8" w:space="0" w:color="auto"/>
            </w:tcBorders>
            <w:shd w:val="clear" w:color="auto" w:fill="auto"/>
            <w:vAlign w:val="center"/>
            <w:hideMark/>
          </w:tcPr>
          <w:p w14:paraId="58D77E60" w14:textId="77777777" w:rsidR="00396CB4" w:rsidRPr="00396CB4" w:rsidRDefault="00396CB4" w:rsidP="00396CB4">
            <w:pPr>
              <w:spacing w:after="0" w:line="240" w:lineRule="auto"/>
              <w:rPr>
                <w:rFonts w:eastAsia="Times New Roman" w:cs="Calibri"/>
                <w:b/>
                <w:bCs/>
                <w:color w:val="000000"/>
                <w:sz w:val="18"/>
                <w:szCs w:val="18"/>
                <w:lang w:eastAsia="es-CR"/>
              </w:rPr>
            </w:pPr>
            <w:r w:rsidRPr="00396CB4">
              <w:rPr>
                <w:rFonts w:eastAsia="Times New Roman" w:cs="Calibri"/>
                <w:b/>
                <w:bCs/>
                <w:color w:val="000000"/>
                <w:sz w:val="18"/>
                <w:szCs w:val="18"/>
                <w:lang w:eastAsia="es-CR"/>
              </w:rPr>
              <w:t>Rentas de inversiones y de colocación de efectivo</w:t>
            </w:r>
          </w:p>
        </w:tc>
        <w:tc>
          <w:tcPr>
            <w:tcW w:w="500" w:type="dxa"/>
            <w:tcBorders>
              <w:top w:val="nil"/>
              <w:left w:val="nil"/>
              <w:bottom w:val="single" w:sz="8" w:space="0" w:color="auto"/>
              <w:right w:val="single" w:sz="8" w:space="0" w:color="auto"/>
            </w:tcBorders>
            <w:shd w:val="clear" w:color="auto" w:fill="auto"/>
            <w:noWrap/>
            <w:vAlign w:val="center"/>
            <w:hideMark/>
          </w:tcPr>
          <w:p w14:paraId="5E181D2A"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47</w:t>
            </w:r>
          </w:p>
        </w:tc>
        <w:tc>
          <w:tcPr>
            <w:tcW w:w="2100" w:type="dxa"/>
            <w:tcBorders>
              <w:top w:val="nil"/>
              <w:left w:val="nil"/>
              <w:bottom w:val="single" w:sz="8" w:space="0" w:color="auto"/>
              <w:right w:val="single" w:sz="8" w:space="0" w:color="auto"/>
            </w:tcBorders>
            <w:shd w:val="clear" w:color="auto" w:fill="auto"/>
            <w:noWrap/>
            <w:vAlign w:val="center"/>
            <w:hideMark/>
          </w:tcPr>
          <w:p w14:paraId="5E23AA80"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19 676,05 </w:t>
            </w:r>
          </w:p>
        </w:tc>
        <w:tc>
          <w:tcPr>
            <w:tcW w:w="2100" w:type="dxa"/>
            <w:tcBorders>
              <w:top w:val="nil"/>
              <w:left w:val="nil"/>
              <w:bottom w:val="single" w:sz="8" w:space="0" w:color="auto"/>
              <w:right w:val="single" w:sz="8" w:space="0" w:color="auto"/>
            </w:tcBorders>
            <w:shd w:val="clear" w:color="auto" w:fill="auto"/>
            <w:noWrap/>
            <w:vAlign w:val="center"/>
            <w:hideMark/>
          </w:tcPr>
          <w:p w14:paraId="1950CCF7"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28 532,50 </w:t>
            </w:r>
          </w:p>
        </w:tc>
        <w:tc>
          <w:tcPr>
            <w:tcW w:w="1020" w:type="dxa"/>
            <w:tcBorders>
              <w:top w:val="nil"/>
              <w:left w:val="nil"/>
              <w:bottom w:val="single" w:sz="8" w:space="0" w:color="auto"/>
              <w:right w:val="single" w:sz="8" w:space="0" w:color="auto"/>
            </w:tcBorders>
            <w:shd w:val="clear" w:color="auto" w:fill="auto"/>
            <w:noWrap/>
            <w:vAlign w:val="center"/>
            <w:hideMark/>
          </w:tcPr>
          <w:p w14:paraId="4BD3D8C0"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-31,04%</w:t>
            </w:r>
          </w:p>
        </w:tc>
      </w:tr>
    </w:tbl>
    <w:p w14:paraId="38C72ACD" w14:textId="77777777" w:rsidR="00396CB4" w:rsidRPr="00396CB4" w:rsidRDefault="007D6FBD" w:rsidP="00396CB4">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756467">
        <w:rPr>
          <w:rFonts w:eastAsia="Times New Roman" w:cs="Calibri"/>
          <w:color w:val="000000"/>
          <w:lang w:eastAsia="es-CR"/>
        </w:rPr>
        <w:instrText xml:space="preserve">Excel.SheetMacroEnabled.12 "C:\\Users\\gcordero\\Downloads\\Notas diciembre 2024\\Formato_Notas_EEFF_Vinculadas_2024\\Formato_Notas_EEFF_Vinculadas_2024\\15603_T04_2024_Anexo_Estado_Notas_Contables_Vinculadas.xlsm" NOTAS_POR_CUENTA!F294C8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3FDF98A1" w14:textId="77777777" w:rsidR="00396CB4" w:rsidRPr="00396CB4" w:rsidRDefault="00396CB4" w:rsidP="00396CB4">
      <w:pPr>
        <w:rPr>
          <w:rFonts w:eastAsia="Times New Roman" w:cs="Calibri"/>
          <w:color w:val="000000"/>
          <w:lang w:eastAsia="es-CR"/>
        </w:rPr>
      </w:pPr>
      <w:r w:rsidRPr="00396CB4">
        <w:rPr>
          <w:rFonts w:eastAsia="Times New Roman" w:cs="Calibri"/>
          <w:color w:val="000000"/>
          <w:lang w:eastAsia="es-CR"/>
        </w:rPr>
        <w:t>La cuenta Rentas de inversiones y de colocación de efectivo, representa el 0,34% del total del Ingresos, que comparado al periodo anterior genera una variación absoluta de -8 856,45 que corresponde a un Disminución del -31,04% de recursos disponibles.</w:t>
      </w:r>
    </w:p>
    <w:p w14:paraId="71CA9B8B" w14:textId="228E2B10" w:rsidR="00692DC8" w:rsidRDefault="007D6FBD" w:rsidP="007D6FBD">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7329B614" w14:textId="2E22E900" w:rsidR="00775C3F" w:rsidRDefault="00775C3F" w:rsidP="00775C3F">
      <w:pPr>
        <w:spacing w:after="0" w:line="240" w:lineRule="auto"/>
        <w:rPr>
          <w:lang w:eastAsia="es-CR"/>
        </w:rPr>
      </w:pPr>
      <w:r w:rsidRPr="005368BB">
        <w:t xml:space="preserve">Como se observa en el siguiente detalle la diferencia </w:t>
      </w:r>
      <w:r>
        <w:t xml:space="preserve">(disminución) </w:t>
      </w:r>
      <w:r w:rsidRPr="005368BB">
        <w:t xml:space="preserve">de </w:t>
      </w:r>
      <w:r>
        <w:t>-</w:t>
      </w:r>
      <w:r w:rsidRPr="005368BB">
        <w:rPr>
          <w:rFonts w:ascii="Arial" w:hAnsi="Arial" w:cs="Arial"/>
          <w:color w:val="000000"/>
        </w:rPr>
        <w:t>₡</w:t>
      </w:r>
      <w:r>
        <w:rPr>
          <w:lang w:eastAsia="es-CR"/>
        </w:rPr>
        <w:t>6 578,54</w:t>
      </w:r>
      <w:r w:rsidRPr="005368BB">
        <w:rPr>
          <w:lang w:eastAsia="es-CR"/>
        </w:rPr>
        <w:t xml:space="preserve"> miles, </w:t>
      </w:r>
      <w:r w:rsidRPr="005368BB">
        <w:t xml:space="preserve">existente entre </w:t>
      </w:r>
      <w:r>
        <w:t>los</w:t>
      </w:r>
      <w:r w:rsidRPr="005368BB">
        <w:t xml:space="preserve"> saldo</w:t>
      </w:r>
      <w:r>
        <w:t>s</w:t>
      </w:r>
      <w:r w:rsidRPr="005368BB">
        <w:t xml:space="preserve"> de la cuenta </w:t>
      </w:r>
      <w:r w:rsidRPr="00926B31">
        <w:rPr>
          <w:lang w:eastAsia="es-CR"/>
        </w:rPr>
        <w:t>Rentas de inversiones y de colocación de efectivo e</w:t>
      </w:r>
      <w:r>
        <w:rPr>
          <w:lang w:eastAsia="es-CR"/>
        </w:rPr>
        <w:t>ntre</w:t>
      </w:r>
      <w:r w:rsidRPr="00926B31">
        <w:rPr>
          <w:lang w:eastAsia="es-CR"/>
        </w:rPr>
        <w:t xml:space="preserve"> </w:t>
      </w:r>
      <w:r w:rsidR="00D64CF8">
        <w:rPr>
          <w:lang w:eastAsia="es-CR"/>
        </w:rPr>
        <w:t>diciembre</w:t>
      </w:r>
      <w:r w:rsidRPr="00926B31">
        <w:rPr>
          <w:lang w:eastAsia="es-CR"/>
        </w:rPr>
        <w:t xml:space="preserve"> 2023 y </w:t>
      </w:r>
      <w:r w:rsidR="00D64CF8">
        <w:rPr>
          <w:lang w:eastAsia="es-CR"/>
        </w:rPr>
        <w:t>diciembre</w:t>
      </w:r>
      <w:r w:rsidRPr="00926B31">
        <w:rPr>
          <w:lang w:eastAsia="es-CR"/>
        </w:rPr>
        <w:t xml:space="preserve"> 2024, corresponde principalmente </w:t>
      </w:r>
      <w:r>
        <w:rPr>
          <w:lang w:eastAsia="es-CR"/>
        </w:rPr>
        <w:t>al efecto neto originado por la disminución en</w:t>
      </w:r>
      <w:r w:rsidRPr="00926B31">
        <w:rPr>
          <w:lang w:eastAsia="es-CR"/>
        </w:rPr>
        <w:t xml:space="preserve"> la rentabilidad obtenida por los dineros depositados </w:t>
      </w:r>
      <w:r>
        <w:rPr>
          <w:lang w:eastAsia="es-CR"/>
        </w:rPr>
        <w:t>en cuentas bancarias por la suma de -</w:t>
      </w:r>
      <w:r w:rsidRPr="005368BB">
        <w:rPr>
          <w:rFonts w:ascii="Arial" w:hAnsi="Arial" w:cs="Arial"/>
          <w:color w:val="000000"/>
        </w:rPr>
        <w:t>₡</w:t>
      </w:r>
      <w:r>
        <w:rPr>
          <w:lang w:eastAsia="es-CR"/>
        </w:rPr>
        <w:t>2</w:t>
      </w:r>
      <w:r w:rsidR="00D14ECC">
        <w:rPr>
          <w:lang w:eastAsia="es-CR"/>
        </w:rPr>
        <w:t> 426,85</w:t>
      </w:r>
      <w:r>
        <w:rPr>
          <w:lang w:eastAsia="es-CR"/>
        </w:rPr>
        <w:t xml:space="preserve"> y la disminución en la rentabilidad obtenida por los recursos en fondos de inversión de -</w:t>
      </w:r>
      <w:r w:rsidRPr="005368BB">
        <w:rPr>
          <w:rFonts w:ascii="Arial" w:hAnsi="Arial" w:cs="Arial"/>
          <w:color w:val="000000"/>
        </w:rPr>
        <w:t>₡</w:t>
      </w:r>
      <w:r w:rsidR="00D14ECC">
        <w:rPr>
          <w:lang w:eastAsia="es-CR"/>
        </w:rPr>
        <w:t>6 429,60</w:t>
      </w:r>
      <w:r>
        <w:rPr>
          <w:lang w:eastAsia="es-CR"/>
        </w:rPr>
        <w:t xml:space="preserve"> </w:t>
      </w:r>
      <w:r w:rsidRPr="00926B31">
        <w:rPr>
          <w:lang w:eastAsia="es-CR"/>
        </w:rPr>
        <w:t xml:space="preserve">en fondos de inversión, Ver al respecto. Lo comentado en la </w:t>
      </w:r>
      <w:r w:rsidRPr="005368BB">
        <w:rPr>
          <w:lang w:eastAsia="es-CR"/>
        </w:rPr>
        <w:t>Nota 03 “Efectivo y Equivalentes de Efectivo”,</w:t>
      </w:r>
      <w:r>
        <w:rPr>
          <w:lang w:eastAsia="es-CR"/>
        </w:rPr>
        <w:t xml:space="preserve"> en </w:t>
      </w:r>
      <w:r w:rsidRPr="005368BB">
        <w:rPr>
          <w:lang w:eastAsia="es-CR"/>
        </w:rPr>
        <w:t xml:space="preserve">la </w:t>
      </w:r>
      <w:r>
        <w:rPr>
          <w:lang w:eastAsia="es-CR"/>
        </w:rPr>
        <w:t>que se indica entre otras cosas que producto de los</w:t>
      </w:r>
      <w:r w:rsidRPr="005368BB">
        <w:rPr>
          <w:lang w:eastAsia="es-CR"/>
        </w:rPr>
        <w:t xml:space="preserve"> </w:t>
      </w:r>
      <w:r>
        <w:rPr>
          <w:lang w:eastAsia="es-CR"/>
        </w:rPr>
        <w:t xml:space="preserve">recursos que la Municipalidad mantiene en </w:t>
      </w:r>
      <w:r w:rsidRPr="005368BB">
        <w:rPr>
          <w:lang w:eastAsia="es-CR"/>
        </w:rPr>
        <w:t>fondo</w:t>
      </w:r>
      <w:r>
        <w:rPr>
          <w:lang w:eastAsia="es-CR"/>
        </w:rPr>
        <w:t>s</w:t>
      </w:r>
      <w:r w:rsidRPr="005368BB">
        <w:rPr>
          <w:lang w:eastAsia="es-CR"/>
        </w:rPr>
        <w:t xml:space="preserve"> de inversión </w:t>
      </w:r>
      <w:r w:rsidRPr="00926B31">
        <w:rPr>
          <w:lang w:eastAsia="es-CR"/>
        </w:rPr>
        <w:t xml:space="preserve">en el Banco de </w:t>
      </w:r>
      <w:r w:rsidRPr="0058141F">
        <w:rPr>
          <w:lang w:eastAsia="es-CR"/>
        </w:rPr>
        <w:t xml:space="preserve">Costa Rica </w:t>
      </w:r>
      <w:r>
        <w:rPr>
          <w:lang w:eastAsia="es-CR"/>
        </w:rPr>
        <w:t>y en el Banco Nacional de Costa Rica, obtuvo ingresos por rentabilidad a</w:t>
      </w:r>
      <w:r w:rsidRPr="0058141F">
        <w:rPr>
          <w:lang w:eastAsia="es-CR"/>
        </w:rPr>
        <w:t>l</w:t>
      </w:r>
      <w:r>
        <w:rPr>
          <w:lang w:eastAsia="es-CR"/>
        </w:rPr>
        <w:t xml:space="preserve"> </w:t>
      </w:r>
      <w:r w:rsidR="00796636">
        <w:rPr>
          <w:lang w:eastAsia="es-CR"/>
        </w:rPr>
        <w:t>31</w:t>
      </w:r>
      <w:r>
        <w:rPr>
          <w:lang w:eastAsia="es-CR"/>
        </w:rPr>
        <w:t xml:space="preserve"> de </w:t>
      </w:r>
      <w:r w:rsidR="00D64CF8">
        <w:rPr>
          <w:lang w:eastAsia="es-CR"/>
        </w:rPr>
        <w:t>diciembre</w:t>
      </w:r>
      <w:r>
        <w:rPr>
          <w:lang w:eastAsia="es-CR"/>
        </w:rPr>
        <w:t xml:space="preserve"> 2024 de </w:t>
      </w:r>
      <w:r w:rsidRPr="00C32C84">
        <w:rPr>
          <w:rFonts w:ascii="Arial" w:hAnsi="Arial" w:cs="Arial"/>
          <w:lang w:eastAsia="es-CR"/>
        </w:rPr>
        <w:t>₡</w:t>
      </w:r>
      <w:r w:rsidR="00D14ECC">
        <w:rPr>
          <w:lang w:eastAsia="es-CR"/>
        </w:rPr>
        <w:t>8 511,16</w:t>
      </w:r>
      <w:r w:rsidRPr="005368BB">
        <w:rPr>
          <w:lang w:eastAsia="es-CR"/>
        </w:rPr>
        <w:t xml:space="preserve"> miles</w:t>
      </w:r>
      <w:r w:rsidRPr="0058141F">
        <w:rPr>
          <w:lang w:eastAsia="es-CR"/>
        </w:rPr>
        <w:t xml:space="preserve"> </w:t>
      </w:r>
      <w:r>
        <w:rPr>
          <w:lang w:eastAsia="es-CR"/>
        </w:rPr>
        <w:t xml:space="preserve">(BCR) </w:t>
      </w:r>
      <w:r w:rsidRPr="0058141F">
        <w:rPr>
          <w:lang w:eastAsia="es-CR"/>
        </w:rPr>
        <w:t xml:space="preserve">y </w:t>
      </w:r>
      <w:r>
        <w:rPr>
          <w:lang w:eastAsia="es-CR"/>
        </w:rPr>
        <w:t xml:space="preserve">de </w:t>
      </w:r>
      <w:r w:rsidRPr="00E92623">
        <w:rPr>
          <w:rFonts w:ascii="Arial" w:hAnsi="Arial" w:cs="Arial"/>
          <w:lang w:eastAsia="es-CR"/>
        </w:rPr>
        <w:t>₡</w:t>
      </w:r>
      <w:r w:rsidR="00D14ECC">
        <w:rPr>
          <w:lang w:eastAsia="es-CR"/>
        </w:rPr>
        <w:t>8 330,52</w:t>
      </w:r>
      <w:r w:rsidRPr="00DD0EFE">
        <w:rPr>
          <w:lang w:eastAsia="es-CR"/>
        </w:rPr>
        <w:t xml:space="preserve"> miles</w:t>
      </w:r>
      <w:r>
        <w:rPr>
          <w:lang w:eastAsia="es-CR"/>
        </w:rPr>
        <w:t xml:space="preserve"> (BNCR) para un total de </w:t>
      </w:r>
      <w:r w:rsidRPr="00E92623">
        <w:rPr>
          <w:rFonts w:ascii="Arial" w:hAnsi="Arial" w:cs="Arial"/>
          <w:lang w:eastAsia="es-CR"/>
        </w:rPr>
        <w:t>₡</w:t>
      </w:r>
      <w:r w:rsidR="00D14ECC">
        <w:rPr>
          <w:lang w:eastAsia="es-CR"/>
        </w:rPr>
        <w:t>16 841,67</w:t>
      </w:r>
      <w:r w:rsidRPr="00E92623">
        <w:rPr>
          <w:lang w:eastAsia="es-CR"/>
        </w:rPr>
        <w:t xml:space="preserve"> miles</w:t>
      </w:r>
      <w:r w:rsidRPr="00DD0EFE">
        <w:rPr>
          <w:lang w:eastAsia="es-CR"/>
        </w:rPr>
        <w:t xml:space="preserve">. </w:t>
      </w:r>
    </w:p>
    <w:p w14:paraId="223B24AA" w14:textId="77777777" w:rsidR="00775C3F" w:rsidRDefault="00775C3F" w:rsidP="00775C3F">
      <w:pPr>
        <w:spacing w:after="0" w:line="240" w:lineRule="auto"/>
        <w:rPr>
          <w:lang w:eastAsia="es-CR"/>
        </w:rPr>
      </w:pPr>
    </w:p>
    <w:p w14:paraId="45270C4D" w14:textId="6A0321DE" w:rsidR="00775C3F" w:rsidRDefault="00775C3F" w:rsidP="00775C3F">
      <w:pPr>
        <w:spacing w:after="0" w:line="240" w:lineRule="auto"/>
        <w:rPr>
          <w:lang w:eastAsia="es-CR"/>
        </w:rPr>
      </w:pPr>
      <w:r w:rsidRPr="00DD0EFE">
        <w:rPr>
          <w:lang w:eastAsia="es-CR"/>
        </w:rPr>
        <w:t>Es</w:t>
      </w:r>
      <w:r>
        <w:rPr>
          <w:lang w:eastAsia="es-CR"/>
        </w:rPr>
        <w:t>e</w:t>
      </w:r>
      <w:r w:rsidRPr="00DD0EFE">
        <w:rPr>
          <w:lang w:eastAsia="es-CR"/>
        </w:rPr>
        <w:t xml:space="preserve"> monto </w:t>
      </w:r>
      <w:r>
        <w:rPr>
          <w:lang w:eastAsia="es-CR"/>
        </w:rPr>
        <w:t>fue inferior</w:t>
      </w:r>
      <w:r w:rsidRPr="005368BB">
        <w:rPr>
          <w:lang w:eastAsia="es-CR"/>
        </w:rPr>
        <w:t xml:space="preserve"> al </w:t>
      </w:r>
      <w:r>
        <w:rPr>
          <w:lang w:eastAsia="es-CR"/>
        </w:rPr>
        <w:t>q</w:t>
      </w:r>
      <w:r w:rsidRPr="005368BB">
        <w:rPr>
          <w:lang w:eastAsia="es-CR"/>
        </w:rPr>
        <w:t xml:space="preserve">ue generaron los dineros que se mantenían en fondos de inversión al </w:t>
      </w:r>
      <w:r w:rsidR="00796636">
        <w:rPr>
          <w:lang w:eastAsia="es-CR"/>
        </w:rPr>
        <w:t>31</w:t>
      </w:r>
      <w:r>
        <w:rPr>
          <w:lang w:eastAsia="es-CR"/>
        </w:rPr>
        <w:t xml:space="preserve"> de </w:t>
      </w:r>
      <w:r w:rsidR="00D64CF8">
        <w:rPr>
          <w:lang w:eastAsia="es-CR"/>
        </w:rPr>
        <w:t>diciembre</w:t>
      </w:r>
      <w:r w:rsidRPr="005368BB">
        <w:rPr>
          <w:lang w:eastAsia="es-CR"/>
        </w:rPr>
        <w:t xml:space="preserve"> de </w:t>
      </w:r>
      <w:r>
        <w:rPr>
          <w:lang w:eastAsia="es-CR"/>
        </w:rPr>
        <w:t xml:space="preserve">2023, que en total ascendió a </w:t>
      </w:r>
      <w:r w:rsidRPr="000720DC">
        <w:rPr>
          <w:rFonts w:ascii="Arial" w:hAnsi="Arial" w:cs="Arial"/>
          <w:lang w:eastAsia="es-CR"/>
        </w:rPr>
        <w:t>₡</w:t>
      </w:r>
      <w:r w:rsidR="00345BF7">
        <w:rPr>
          <w:lang w:eastAsia="es-CR"/>
        </w:rPr>
        <w:t>23 271,28</w:t>
      </w:r>
      <w:r w:rsidRPr="000720DC">
        <w:rPr>
          <w:lang w:eastAsia="es-CR"/>
        </w:rPr>
        <w:t xml:space="preserve"> miles (</w:t>
      </w:r>
      <w:r w:rsidRPr="00E92623">
        <w:rPr>
          <w:rFonts w:ascii="Arial" w:hAnsi="Arial" w:cs="Arial"/>
          <w:lang w:eastAsia="es-CR"/>
        </w:rPr>
        <w:t>₡</w:t>
      </w:r>
      <w:r w:rsidR="00345BF7">
        <w:rPr>
          <w:lang w:eastAsia="es-CR"/>
        </w:rPr>
        <w:t>11 624,06</w:t>
      </w:r>
      <w:r w:rsidRPr="00E92623">
        <w:rPr>
          <w:lang w:eastAsia="es-CR"/>
        </w:rPr>
        <w:t xml:space="preserve"> miles de fondo de inversión del BCR y </w:t>
      </w:r>
      <w:r w:rsidRPr="00E92623">
        <w:rPr>
          <w:rFonts w:ascii="Arial" w:hAnsi="Arial" w:cs="Arial"/>
          <w:lang w:eastAsia="es-CR"/>
        </w:rPr>
        <w:t>₡</w:t>
      </w:r>
      <w:r w:rsidR="00345BF7">
        <w:rPr>
          <w:lang w:eastAsia="es-CR"/>
        </w:rPr>
        <w:t>11 647,22</w:t>
      </w:r>
      <w:r w:rsidRPr="00E92623">
        <w:rPr>
          <w:lang w:eastAsia="es-CR"/>
        </w:rPr>
        <w:t xml:space="preserve"> de fondo de inversión en el BNCR)</w:t>
      </w:r>
      <w:r>
        <w:rPr>
          <w:lang w:eastAsia="es-CR"/>
        </w:rPr>
        <w:t xml:space="preserve">. </w:t>
      </w:r>
    </w:p>
    <w:p w14:paraId="060FB94C" w14:textId="77777777" w:rsidR="00775C3F" w:rsidRDefault="00775C3F" w:rsidP="00775C3F">
      <w:pPr>
        <w:spacing w:after="0" w:line="240" w:lineRule="auto"/>
        <w:rPr>
          <w:lang w:eastAsia="es-CR"/>
        </w:rPr>
      </w:pPr>
      <w:r>
        <w:rPr>
          <w:lang w:eastAsia="es-CR"/>
        </w:rPr>
        <w:t>Lo anterior se detalla en el siguiente cuadro:</w:t>
      </w:r>
    </w:p>
    <w:p w14:paraId="052E8133" w14:textId="467F24F1" w:rsidR="00CD1227" w:rsidRPr="00692DC8" w:rsidRDefault="00345BF7" w:rsidP="00CD1227">
      <w:pPr>
        <w:rPr>
          <w:rFonts w:eastAsiaTheme="minorEastAsia" w:cs="Arial Narrow"/>
          <w:color w:val="000000"/>
          <w:lang w:eastAsia="es-CR"/>
        </w:rPr>
      </w:pPr>
      <w:r w:rsidRPr="00345BF7">
        <w:rPr>
          <w:noProof/>
          <w:lang w:eastAsia="es-CR"/>
        </w:rPr>
        <w:drawing>
          <wp:inline distT="0" distB="0" distL="0" distR="0" wp14:anchorId="04A31F44" wp14:editId="1E191437">
            <wp:extent cx="5938330" cy="1844703"/>
            <wp:effectExtent l="0" t="0" r="5715" b="3175"/>
            <wp:docPr id="137314328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51698" cy="1848856"/>
                    </a:xfrm>
                    <a:prstGeom prst="rect">
                      <a:avLst/>
                    </a:prstGeom>
                    <a:noFill/>
                    <a:ln>
                      <a:noFill/>
                    </a:ln>
                  </pic:spPr>
                </pic:pic>
              </a:graphicData>
            </a:graphic>
          </wp:inline>
        </w:drawing>
      </w:r>
    </w:p>
    <w:p w14:paraId="04BE2B0C" w14:textId="77777777" w:rsidR="00692DC8" w:rsidRPr="00692DC8" w:rsidRDefault="00692DC8" w:rsidP="00CD1227">
      <w:pPr>
        <w:pStyle w:val="Ttulo4"/>
        <w:spacing w:after="240"/>
        <w:rPr>
          <w:rFonts w:eastAsia="Times New Roman"/>
        </w:rPr>
      </w:pPr>
      <w:bookmarkStart w:id="807" w:name="_Toc14344841"/>
      <w:bookmarkStart w:id="808" w:name="_Toc33601287"/>
      <w:bookmarkStart w:id="809" w:name="_Toc82769007"/>
      <w:bookmarkStart w:id="810" w:name="_Toc189804891"/>
      <w:r w:rsidRPr="00692DC8">
        <w:rPr>
          <w:rFonts w:eastAsia="Times New Roman"/>
        </w:rPr>
        <w:lastRenderedPageBreak/>
        <w:t>NOTA N° 4</w:t>
      </w:r>
      <w:bookmarkEnd w:id="807"/>
      <w:bookmarkEnd w:id="808"/>
      <w:bookmarkEnd w:id="809"/>
      <w:r w:rsidRPr="00692DC8">
        <w:rPr>
          <w:rFonts w:eastAsia="Times New Roman"/>
        </w:rPr>
        <w:t>8</w:t>
      </w:r>
      <w:bookmarkEnd w:id="810"/>
    </w:p>
    <w:p w14:paraId="1343D84C" w14:textId="77777777" w:rsidR="00396CB4" w:rsidRDefault="00692DC8" w:rsidP="00CD1227">
      <w:pPr>
        <w:spacing w:before="240"/>
        <w:rPr>
          <w:rFonts w:asciiTheme="minorHAnsi" w:hAnsiTheme="minorHAnsi"/>
          <w:sz w:val="22"/>
        </w:rPr>
      </w:pPr>
      <w:bookmarkStart w:id="811" w:name="_Toc14344842"/>
      <w:bookmarkStart w:id="812" w:name="_Toc33601288"/>
      <w:bookmarkStart w:id="813" w:name="_Toc82769008"/>
      <w:r w:rsidRPr="00692DC8">
        <w:rPr>
          <w:rFonts w:eastAsia="Times New Roman"/>
        </w:rPr>
        <w:t>Alquileres y derechos sobre bienes</w:t>
      </w:r>
      <w:bookmarkStart w:id="814" w:name="_Toc14344846"/>
      <w:bookmarkStart w:id="815" w:name="_Toc33601290"/>
      <w:bookmarkEnd w:id="811"/>
      <w:bookmarkEnd w:id="812"/>
      <w:bookmarkEnd w:id="813"/>
      <w:r w:rsidR="007D6FBD">
        <w:rPr>
          <w:rFonts w:eastAsiaTheme="majorEastAsia" w:cstheme="majorBidi"/>
          <w:b/>
          <w:iCs/>
        </w:rPr>
        <w:fldChar w:fldCharType="begin"/>
      </w:r>
      <w:r w:rsidR="007D6FBD">
        <w:instrText xml:space="preserve"> LINK </w:instrText>
      </w:r>
      <w:r w:rsidR="00756467">
        <w:instrText xml:space="preserve">Excel.SheetMacroEnabled.12 "C:\\Users\\gcordero\\Downloads\\Notas diciembre 2024\\Formato_Notas_EEFF_Vinculadas_2024\\Formato_Notas_EEFF_Vinculadas_2024\\15603_T04_2024_Anexo_Estado_Notas_Contables_Vinculadas.xlsm" NOTAS_POR_CUENTA!F296C1:F298C6 </w:instrText>
      </w:r>
      <w:r w:rsidR="007D6FBD">
        <w:instrText xml:space="preserve">\a \f 4 \h </w:instrText>
      </w:r>
      <w:r w:rsidR="007D6FBD">
        <w:fldChar w:fldCharType="separate"/>
      </w:r>
    </w:p>
    <w:tbl>
      <w:tblPr>
        <w:tblW w:w="9600" w:type="dxa"/>
        <w:tblCellMar>
          <w:left w:w="70" w:type="dxa"/>
          <w:right w:w="70" w:type="dxa"/>
        </w:tblCellMar>
        <w:tblLook w:val="04A0" w:firstRow="1" w:lastRow="0" w:firstColumn="1" w:lastColumn="0" w:noHBand="0" w:noVBand="1"/>
      </w:tblPr>
      <w:tblGrid>
        <w:gridCol w:w="1101"/>
        <w:gridCol w:w="2779"/>
        <w:gridCol w:w="500"/>
        <w:gridCol w:w="2100"/>
        <w:gridCol w:w="2100"/>
        <w:gridCol w:w="1020"/>
      </w:tblGrid>
      <w:tr w:rsidR="00396CB4" w:rsidRPr="00396CB4" w14:paraId="20896327" w14:textId="77777777" w:rsidTr="00396CB4">
        <w:trPr>
          <w:divId w:val="608895387"/>
          <w:trHeight w:val="330"/>
        </w:trPr>
        <w:tc>
          <w:tcPr>
            <w:tcW w:w="110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D47BA09" w14:textId="744196D1" w:rsidR="00396CB4" w:rsidRPr="00396CB4" w:rsidRDefault="00396CB4" w:rsidP="00396CB4">
            <w:pP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2779"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3B89B74"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C306840"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81C3CCC"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E5542A0"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37E9D47C"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17953712" w14:textId="77777777" w:rsidTr="00396CB4">
        <w:trPr>
          <w:divId w:val="608895387"/>
          <w:trHeight w:val="330"/>
        </w:trPr>
        <w:tc>
          <w:tcPr>
            <w:tcW w:w="1101" w:type="dxa"/>
            <w:vMerge/>
            <w:tcBorders>
              <w:top w:val="single" w:sz="8" w:space="0" w:color="auto"/>
              <w:left w:val="single" w:sz="8" w:space="0" w:color="auto"/>
              <w:bottom w:val="single" w:sz="8" w:space="0" w:color="000000"/>
              <w:right w:val="single" w:sz="8" w:space="0" w:color="auto"/>
            </w:tcBorders>
            <w:vAlign w:val="center"/>
            <w:hideMark/>
          </w:tcPr>
          <w:p w14:paraId="51AD9B4B"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779" w:type="dxa"/>
            <w:vMerge/>
            <w:tcBorders>
              <w:top w:val="single" w:sz="8" w:space="0" w:color="auto"/>
              <w:left w:val="single" w:sz="8" w:space="0" w:color="auto"/>
              <w:bottom w:val="single" w:sz="8" w:space="0" w:color="000000"/>
              <w:right w:val="single" w:sz="8" w:space="0" w:color="auto"/>
            </w:tcBorders>
            <w:vAlign w:val="center"/>
            <w:hideMark/>
          </w:tcPr>
          <w:p w14:paraId="0C2B7B12"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7B1D0773"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23B3C389"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426122E1"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2383EFDA"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51EFB6B8" w14:textId="77777777" w:rsidTr="00396CB4">
        <w:trPr>
          <w:divId w:val="608895387"/>
          <w:trHeight w:val="330"/>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526E5BD8"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4.5.2.</w:t>
            </w:r>
          </w:p>
        </w:tc>
        <w:tc>
          <w:tcPr>
            <w:tcW w:w="2779" w:type="dxa"/>
            <w:tcBorders>
              <w:top w:val="nil"/>
              <w:left w:val="nil"/>
              <w:bottom w:val="single" w:sz="8" w:space="0" w:color="auto"/>
              <w:right w:val="single" w:sz="8" w:space="0" w:color="auto"/>
            </w:tcBorders>
            <w:shd w:val="clear" w:color="auto" w:fill="auto"/>
            <w:vAlign w:val="center"/>
            <w:hideMark/>
          </w:tcPr>
          <w:p w14:paraId="6EC6510C" w14:textId="77777777" w:rsidR="00396CB4" w:rsidRPr="00396CB4" w:rsidRDefault="00396CB4" w:rsidP="00396CB4">
            <w:pPr>
              <w:spacing w:after="0" w:line="240" w:lineRule="auto"/>
              <w:rPr>
                <w:rFonts w:eastAsia="Times New Roman" w:cs="Calibri"/>
                <w:b/>
                <w:bCs/>
                <w:color w:val="000000"/>
                <w:sz w:val="18"/>
                <w:szCs w:val="18"/>
                <w:lang w:eastAsia="es-CR"/>
              </w:rPr>
            </w:pPr>
            <w:r w:rsidRPr="00396CB4">
              <w:rPr>
                <w:rFonts w:eastAsia="Times New Roman" w:cs="Calibri"/>
                <w:b/>
                <w:bCs/>
                <w:color w:val="000000"/>
                <w:sz w:val="18"/>
                <w:szCs w:val="18"/>
                <w:lang w:eastAsia="es-CR"/>
              </w:rPr>
              <w:t>Alquileres y derechos sobre bienes</w:t>
            </w:r>
          </w:p>
        </w:tc>
        <w:tc>
          <w:tcPr>
            <w:tcW w:w="500" w:type="dxa"/>
            <w:tcBorders>
              <w:top w:val="nil"/>
              <w:left w:val="nil"/>
              <w:bottom w:val="single" w:sz="8" w:space="0" w:color="auto"/>
              <w:right w:val="single" w:sz="8" w:space="0" w:color="auto"/>
            </w:tcBorders>
            <w:shd w:val="clear" w:color="auto" w:fill="auto"/>
            <w:noWrap/>
            <w:vAlign w:val="center"/>
            <w:hideMark/>
          </w:tcPr>
          <w:p w14:paraId="4920228F"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48</w:t>
            </w:r>
          </w:p>
        </w:tc>
        <w:tc>
          <w:tcPr>
            <w:tcW w:w="2100" w:type="dxa"/>
            <w:tcBorders>
              <w:top w:val="nil"/>
              <w:left w:val="nil"/>
              <w:bottom w:val="single" w:sz="8" w:space="0" w:color="auto"/>
              <w:right w:val="single" w:sz="8" w:space="0" w:color="auto"/>
            </w:tcBorders>
            <w:shd w:val="clear" w:color="auto" w:fill="auto"/>
            <w:noWrap/>
            <w:vAlign w:val="center"/>
            <w:hideMark/>
          </w:tcPr>
          <w:p w14:paraId="70DAA2AF"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39 497,46 </w:t>
            </w:r>
          </w:p>
        </w:tc>
        <w:tc>
          <w:tcPr>
            <w:tcW w:w="2100" w:type="dxa"/>
            <w:tcBorders>
              <w:top w:val="nil"/>
              <w:left w:val="nil"/>
              <w:bottom w:val="single" w:sz="8" w:space="0" w:color="auto"/>
              <w:right w:val="single" w:sz="8" w:space="0" w:color="auto"/>
            </w:tcBorders>
            <w:shd w:val="clear" w:color="auto" w:fill="auto"/>
            <w:noWrap/>
            <w:vAlign w:val="center"/>
            <w:hideMark/>
          </w:tcPr>
          <w:p w14:paraId="0EA01282"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41 920,69 </w:t>
            </w:r>
          </w:p>
        </w:tc>
        <w:tc>
          <w:tcPr>
            <w:tcW w:w="1020" w:type="dxa"/>
            <w:tcBorders>
              <w:top w:val="nil"/>
              <w:left w:val="nil"/>
              <w:bottom w:val="single" w:sz="8" w:space="0" w:color="auto"/>
              <w:right w:val="single" w:sz="8" w:space="0" w:color="auto"/>
            </w:tcBorders>
            <w:shd w:val="clear" w:color="auto" w:fill="auto"/>
            <w:noWrap/>
            <w:vAlign w:val="center"/>
            <w:hideMark/>
          </w:tcPr>
          <w:p w14:paraId="2DF2AD51"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-5,78%</w:t>
            </w:r>
          </w:p>
        </w:tc>
      </w:tr>
    </w:tbl>
    <w:p w14:paraId="412BEADB" w14:textId="77777777" w:rsidR="00396CB4" w:rsidRDefault="007D6FBD" w:rsidP="00CD1227">
      <w:pPr>
        <w:spacing w:before="240"/>
        <w:rPr>
          <w:rFonts w:asciiTheme="minorHAnsi" w:hAnsiTheme="minorHAnsi"/>
          <w:sz w:val="22"/>
        </w:rPr>
      </w:pPr>
      <w:r>
        <w:fldChar w:fldCharType="end"/>
      </w:r>
      <w:r w:rsidR="00692DC8" w:rsidRPr="00692DC8">
        <w:t>Detalle cuenta:</w:t>
      </w:r>
      <w:r>
        <w:fldChar w:fldCharType="begin"/>
      </w:r>
      <w:r>
        <w:instrText xml:space="preserve"> LINK </w:instrText>
      </w:r>
      <w:r w:rsidR="00756467">
        <w:instrText xml:space="preserve">Excel.SheetMacroEnabled.12 "C:\\Users\\gcordero\\Downloads\\Notas diciembre 2024\\Formato_Notas_EEFF_Vinculadas_2024\\Formato_Notas_EEFF_Vinculadas_2024\\15603_T04_2024_Anexo_Estado_Notas_Contables_Vinculadas.xlsm" NOTAS_POR_CUENTA!F300C1:F302C6 </w:instrText>
      </w:r>
      <w:r>
        <w:instrText xml:space="preserve">\a \f 4 \h </w:instrText>
      </w:r>
      <w:r>
        <w:fldChar w:fldCharType="separate"/>
      </w:r>
    </w:p>
    <w:tbl>
      <w:tblPr>
        <w:tblW w:w="9600" w:type="dxa"/>
        <w:tblCellMar>
          <w:left w:w="70" w:type="dxa"/>
          <w:right w:w="70" w:type="dxa"/>
        </w:tblCellMar>
        <w:tblLook w:val="04A0" w:firstRow="1" w:lastRow="0" w:firstColumn="1" w:lastColumn="0" w:noHBand="0" w:noVBand="1"/>
      </w:tblPr>
      <w:tblGrid>
        <w:gridCol w:w="1166"/>
        <w:gridCol w:w="2714"/>
        <w:gridCol w:w="500"/>
        <w:gridCol w:w="2100"/>
        <w:gridCol w:w="2100"/>
        <w:gridCol w:w="1020"/>
      </w:tblGrid>
      <w:tr w:rsidR="00396CB4" w:rsidRPr="00396CB4" w14:paraId="2383D14C" w14:textId="77777777" w:rsidTr="00396CB4">
        <w:trPr>
          <w:divId w:val="26373054"/>
          <w:trHeight w:val="330"/>
        </w:trPr>
        <w:tc>
          <w:tcPr>
            <w:tcW w:w="116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E4D7AE7" w14:textId="5414E898" w:rsidR="00396CB4" w:rsidRPr="00396CB4" w:rsidRDefault="00396CB4" w:rsidP="00396CB4">
            <w:pP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271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D70F19E"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0F2246B"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46C1DFA"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2C6B21A"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6BAB3E59"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2A37D935" w14:textId="77777777" w:rsidTr="00396CB4">
        <w:trPr>
          <w:divId w:val="26373054"/>
          <w:trHeight w:val="330"/>
        </w:trPr>
        <w:tc>
          <w:tcPr>
            <w:tcW w:w="1166" w:type="dxa"/>
            <w:vMerge/>
            <w:tcBorders>
              <w:top w:val="single" w:sz="8" w:space="0" w:color="auto"/>
              <w:left w:val="single" w:sz="8" w:space="0" w:color="auto"/>
              <w:bottom w:val="single" w:sz="8" w:space="0" w:color="000000"/>
              <w:right w:val="single" w:sz="8" w:space="0" w:color="auto"/>
            </w:tcBorders>
            <w:vAlign w:val="center"/>
            <w:hideMark/>
          </w:tcPr>
          <w:p w14:paraId="130118EB"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714" w:type="dxa"/>
            <w:vMerge/>
            <w:tcBorders>
              <w:top w:val="single" w:sz="8" w:space="0" w:color="auto"/>
              <w:left w:val="single" w:sz="8" w:space="0" w:color="auto"/>
              <w:bottom w:val="single" w:sz="8" w:space="0" w:color="000000"/>
              <w:right w:val="single" w:sz="8" w:space="0" w:color="auto"/>
            </w:tcBorders>
            <w:vAlign w:val="center"/>
            <w:hideMark/>
          </w:tcPr>
          <w:p w14:paraId="2C25ADB7"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3C85FDC1"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7B649865"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5D375F3D"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304D8D70"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58DDE7DD" w14:textId="77777777" w:rsidTr="00396CB4">
        <w:trPr>
          <w:divId w:val="26373054"/>
          <w:trHeight w:val="330"/>
        </w:trPr>
        <w:tc>
          <w:tcPr>
            <w:tcW w:w="1166" w:type="dxa"/>
            <w:tcBorders>
              <w:top w:val="nil"/>
              <w:left w:val="single" w:sz="8" w:space="0" w:color="auto"/>
              <w:bottom w:val="single" w:sz="8" w:space="0" w:color="auto"/>
              <w:right w:val="single" w:sz="8" w:space="0" w:color="auto"/>
            </w:tcBorders>
            <w:shd w:val="clear" w:color="auto" w:fill="auto"/>
            <w:noWrap/>
            <w:vAlign w:val="center"/>
            <w:hideMark/>
          </w:tcPr>
          <w:p w14:paraId="3B947FB9"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4.5.2.01.</w:t>
            </w:r>
          </w:p>
        </w:tc>
        <w:tc>
          <w:tcPr>
            <w:tcW w:w="2714" w:type="dxa"/>
            <w:tcBorders>
              <w:top w:val="nil"/>
              <w:left w:val="nil"/>
              <w:bottom w:val="single" w:sz="8" w:space="0" w:color="auto"/>
              <w:right w:val="single" w:sz="8" w:space="0" w:color="auto"/>
            </w:tcBorders>
            <w:shd w:val="clear" w:color="auto" w:fill="auto"/>
            <w:vAlign w:val="center"/>
            <w:hideMark/>
          </w:tcPr>
          <w:p w14:paraId="4AF4C242" w14:textId="315E0D5D" w:rsidR="00396CB4" w:rsidRPr="00396CB4" w:rsidRDefault="00396CB4" w:rsidP="00396CB4">
            <w:pPr>
              <w:spacing w:after="0" w:line="240" w:lineRule="auto"/>
              <w:rPr>
                <w:rFonts w:eastAsia="Times New Roman" w:cs="Calibri"/>
                <w:b/>
                <w:bCs/>
                <w:color w:val="000000"/>
                <w:sz w:val="18"/>
                <w:szCs w:val="18"/>
                <w:lang w:eastAsia="es-CR"/>
              </w:rPr>
            </w:pPr>
            <w:r w:rsidRPr="00396CB4">
              <w:rPr>
                <w:rFonts w:eastAsia="Times New Roman" w:cs="Calibri"/>
                <w:b/>
                <w:bCs/>
                <w:color w:val="000000"/>
                <w:sz w:val="18"/>
                <w:szCs w:val="18"/>
                <w:lang w:eastAsia="es-CR"/>
              </w:rPr>
              <w:t>Alquileres</w:t>
            </w:r>
            <w:r w:rsidR="005811CA">
              <w:rPr>
                <w:rFonts w:eastAsia="Times New Roman" w:cs="Calibri"/>
                <w:b/>
                <w:bCs/>
                <w:color w:val="000000"/>
                <w:sz w:val="18"/>
                <w:szCs w:val="18"/>
                <w:lang w:eastAsia="es-CR"/>
              </w:rPr>
              <w:t xml:space="preserve"> </w:t>
            </w:r>
            <w:r w:rsidR="005811CA" w:rsidRPr="005811CA">
              <w:rPr>
                <w:rFonts w:eastAsia="Times New Roman" w:cs="Calibri"/>
                <w:b/>
                <w:bCs/>
                <w:color w:val="000000"/>
                <w:sz w:val="18"/>
                <w:szCs w:val="18"/>
                <w:lang w:eastAsia="es-CR"/>
              </w:rPr>
              <w:t>(Edificios)</w:t>
            </w:r>
          </w:p>
        </w:tc>
        <w:tc>
          <w:tcPr>
            <w:tcW w:w="500" w:type="dxa"/>
            <w:tcBorders>
              <w:top w:val="nil"/>
              <w:left w:val="nil"/>
              <w:bottom w:val="single" w:sz="8" w:space="0" w:color="auto"/>
              <w:right w:val="single" w:sz="8" w:space="0" w:color="auto"/>
            </w:tcBorders>
            <w:shd w:val="clear" w:color="auto" w:fill="auto"/>
            <w:noWrap/>
            <w:vAlign w:val="center"/>
            <w:hideMark/>
          </w:tcPr>
          <w:p w14:paraId="2ACD46F4"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48</w:t>
            </w:r>
          </w:p>
        </w:tc>
        <w:tc>
          <w:tcPr>
            <w:tcW w:w="2100" w:type="dxa"/>
            <w:tcBorders>
              <w:top w:val="nil"/>
              <w:left w:val="nil"/>
              <w:bottom w:val="single" w:sz="8" w:space="0" w:color="auto"/>
              <w:right w:val="single" w:sz="8" w:space="0" w:color="auto"/>
            </w:tcBorders>
            <w:shd w:val="clear" w:color="auto" w:fill="auto"/>
            <w:noWrap/>
            <w:vAlign w:val="center"/>
            <w:hideMark/>
          </w:tcPr>
          <w:p w14:paraId="2027C47A"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39 497,46 </w:t>
            </w:r>
          </w:p>
        </w:tc>
        <w:tc>
          <w:tcPr>
            <w:tcW w:w="2100" w:type="dxa"/>
            <w:tcBorders>
              <w:top w:val="nil"/>
              <w:left w:val="nil"/>
              <w:bottom w:val="single" w:sz="8" w:space="0" w:color="auto"/>
              <w:right w:val="single" w:sz="8" w:space="0" w:color="auto"/>
            </w:tcBorders>
            <w:shd w:val="clear" w:color="auto" w:fill="auto"/>
            <w:noWrap/>
            <w:vAlign w:val="center"/>
            <w:hideMark/>
          </w:tcPr>
          <w:p w14:paraId="30A93AE3"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41 920,69 </w:t>
            </w:r>
          </w:p>
        </w:tc>
        <w:tc>
          <w:tcPr>
            <w:tcW w:w="1020" w:type="dxa"/>
            <w:tcBorders>
              <w:top w:val="nil"/>
              <w:left w:val="nil"/>
              <w:bottom w:val="single" w:sz="8" w:space="0" w:color="auto"/>
              <w:right w:val="single" w:sz="8" w:space="0" w:color="auto"/>
            </w:tcBorders>
            <w:shd w:val="clear" w:color="auto" w:fill="auto"/>
            <w:noWrap/>
            <w:vAlign w:val="center"/>
            <w:hideMark/>
          </w:tcPr>
          <w:p w14:paraId="6744E3A4"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-5,78%</w:t>
            </w:r>
          </w:p>
        </w:tc>
      </w:tr>
    </w:tbl>
    <w:p w14:paraId="7F48D6C6" w14:textId="40DD923B" w:rsidR="00692DC8" w:rsidRPr="00692DC8" w:rsidRDefault="007D6FBD" w:rsidP="00CD1227">
      <w:pPr>
        <w:spacing w:before="240"/>
        <w:rPr>
          <w:szCs w:val="24"/>
        </w:rPr>
      </w:pPr>
      <w:r>
        <w:rPr>
          <w:szCs w:val="24"/>
        </w:rPr>
        <w:fldChar w:fldCharType="end"/>
      </w:r>
      <w:r w:rsidR="00692DC8" w:rsidRPr="00692DC8">
        <w:rPr>
          <w:szCs w:val="24"/>
        </w:rPr>
        <w:t>Indicar el detalle de cómo está compuesta la cuenta:</w:t>
      </w:r>
    </w:p>
    <w:p w14:paraId="0089D181" w14:textId="77777777" w:rsidR="00CD1227" w:rsidRDefault="00692DC8" w:rsidP="00CD1227">
      <w:pPr>
        <w:rPr>
          <w:rFonts w:eastAsia="Times New Roman"/>
          <w:szCs w:val="24"/>
          <w:lang w:eastAsia="es-CR"/>
        </w:rPr>
      </w:pPr>
      <w:r w:rsidRPr="00692DC8">
        <w:rPr>
          <w:rFonts w:eastAsia="Times New Roman"/>
          <w:szCs w:val="24"/>
          <w:lang w:eastAsia="es-CR"/>
        </w:rPr>
        <w:t>________________________________________________________________________________________________________________________________________________________________________________________________________________________________________________</w:t>
      </w:r>
    </w:p>
    <w:p w14:paraId="66C8EACB" w14:textId="77777777" w:rsidR="00396CB4" w:rsidRPr="00396CB4" w:rsidRDefault="00692DC8" w:rsidP="00407F24">
      <w:pPr>
        <w:rPr>
          <w:rFonts w:eastAsia="Times New Roman"/>
          <w:b/>
          <w:szCs w:val="24"/>
          <w:lang w:eastAsia="es-CR"/>
        </w:rPr>
      </w:pPr>
      <w:r w:rsidRPr="00CD1227">
        <w:rPr>
          <w:b/>
          <w:lang w:val="es-ES"/>
        </w:rPr>
        <w:t xml:space="preserve">Revelación: </w:t>
      </w:r>
      <w:r w:rsidR="00407F24">
        <w:rPr>
          <w:rFonts w:eastAsia="Times New Roman" w:cs="Calibri"/>
          <w:color w:val="000000"/>
          <w:lang w:eastAsia="es-CR"/>
        </w:rPr>
        <w:fldChar w:fldCharType="begin"/>
      </w:r>
      <w:r w:rsidR="00407F24">
        <w:rPr>
          <w:rFonts w:eastAsia="Times New Roman" w:cs="Calibri"/>
          <w:color w:val="000000"/>
          <w:lang w:eastAsia="es-CR"/>
        </w:rPr>
        <w:instrText xml:space="preserve"> LINK </w:instrText>
      </w:r>
      <w:r w:rsidR="00756467">
        <w:rPr>
          <w:rFonts w:eastAsia="Times New Roman" w:cs="Calibri"/>
          <w:color w:val="000000"/>
          <w:lang w:eastAsia="es-CR"/>
        </w:rPr>
        <w:instrText xml:space="preserve">Excel.SheetMacroEnabled.12 "C:\\Users\\gcordero\\Downloads\\Notas diciembre 2024\\Formato_Notas_EEFF_Vinculadas_2024\\Formato_Notas_EEFF_Vinculadas_2024\\15603_T04_2024_Anexo_Estado_Notas_Contables_Vinculadas.xlsm" NOTAS_POR_CUENTA!F298C8 </w:instrText>
      </w:r>
      <w:r w:rsidR="00407F24">
        <w:rPr>
          <w:rFonts w:eastAsia="Times New Roman" w:cs="Calibri"/>
          <w:color w:val="000000"/>
          <w:lang w:eastAsia="es-CR"/>
        </w:rPr>
        <w:instrText xml:space="preserve">\a \f 5 \h  \* MERGEFORMAT </w:instrText>
      </w:r>
      <w:r w:rsidR="00407F24">
        <w:rPr>
          <w:rFonts w:eastAsia="Times New Roman" w:cs="Calibri"/>
          <w:color w:val="000000"/>
          <w:lang w:eastAsia="es-CR"/>
        </w:rPr>
        <w:fldChar w:fldCharType="separate"/>
      </w:r>
    </w:p>
    <w:p w14:paraId="5C6C545C" w14:textId="77777777" w:rsidR="00396CB4" w:rsidRPr="00396CB4" w:rsidRDefault="00396CB4" w:rsidP="00396CB4">
      <w:pPr>
        <w:rPr>
          <w:rFonts w:eastAsia="Times New Roman" w:cs="Calibri"/>
          <w:color w:val="000000"/>
          <w:lang w:eastAsia="es-CR"/>
        </w:rPr>
      </w:pPr>
      <w:r w:rsidRPr="00396CB4">
        <w:rPr>
          <w:rFonts w:eastAsia="Times New Roman" w:cs="Calibri"/>
          <w:color w:val="000000"/>
          <w:lang w:eastAsia="es-CR"/>
        </w:rPr>
        <w:t>La cuenta Alquileres y derechos sobre bienes, representa el 0,68% del total del Ingresos, que comparado al periodo anterior genera una variación absoluta de -2 423,23 que corresponde a un Disminución del -5,78% de recursos disponibles.</w:t>
      </w:r>
    </w:p>
    <w:p w14:paraId="71D93B07" w14:textId="73F5CB87" w:rsidR="00692DC8" w:rsidRPr="00692DC8" w:rsidRDefault="00407F24" w:rsidP="00407F24">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17085B04" w14:textId="1CDD0A62" w:rsidR="00775C3F" w:rsidRDefault="00775C3F" w:rsidP="00775C3F">
      <w:pPr>
        <w:spacing w:after="0" w:line="240" w:lineRule="auto"/>
      </w:pPr>
      <w:r>
        <w:t xml:space="preserve">Algunos inquilinos tenían pendiente de cancelar el alquiler. </w:t>
      </w:r>
      <w:r w:rsidRPr="00A91674">
        <w:t xml:space="preserve">Como se observa en el detalle </w:t>
      </w:r>
      <w:r>
        <w:t>de cómo está compuesta la cuenta,</w:t>
      </w:r>
      <w:r w:rsidRPr="00A91674">
        <w:t xml:space="preserve"> el saldo representa el monto </w:t>
      </w:r>
      <w:r>
        <w:t>devengado</w:t>
      </w:r>
      <w:r w:rsidRPr="00A91674">
        <w:t xml:space="preserve"> por la Municipalidad </w:t>
      </w:r>
      <w:r>
        <w:t xml:space="preserve">al </w:t>
      </w:r>
      <w:r w:rsidR="00796636">
        <w:t>31</w:t>
      </w:r>
      <w:r>
        <w:t xml:space="preserve"> de </w:t>
      </w:r>
      <w:r w:rsidR="00D64CF8">
        <w:t>diciembre</w:t>
      </w:r>
      <w:r w:rsidRPr="00A91674">
        <w:t xml:space="preserve"> </w:t>
      </w:r>
      <w:r>
        <w:t>2024</w:t>
      </w:r>
      <w:r w:rsidRPr="00A91674">
        <w:t xml:space="preserve"> por concepto de alquileres operativos</w:t>
      </w:r>
      <w:r>
        <w:t xml:space="preserve"> de edificios</w:t>
      </w:r>
      <w:r w:rsidRPr="00A91674">
        <w:t xml:space="preserve"> que posee según el siguiente detalle:</w:t>
      </w:r>
    </w:p>
    <w:p w14:paraId="369860BA" w14:textId="77777777" w:rsidR="00775C3F" w:rsidRPr="00A91674" w:rsidRDefault="00775C3F" w:rsidP="00775C3F">
      <w:pPr>
        <w:spacing w:after="0" w:line="240" w:lineRule="auto"/>
      </w:pPr>
    </w:p>
    <w:tbl>
      <w:tblPr>
        <w:tblW w:w="4963" w:type="dxa"/>
        <w:tblLook w:val="04A0" w:firstRow="1" w:lastRow="0" w:firstColumn="1" w:lastColumn="0" w:noHBand="0" w:noVBand="1"/>
      </w:tblPr>
      <w:tblGrid>
        <w:gridCol w:w="3959"/>
        <w:gridCol w:w="1004"/>
      </w:tblGrid>
      <w:tr w:rsidR="00775C3F" w:rsidRPr="00A91674" w14:paraId="2F37043A" w14:textId="77777777" w:rsidTr="00331005">
        <w:trPr>
          <w:trHeight w:val="300"/>
        </w:trPr>
        <w:tc>
          <w:tcPr>
            <w:tcW w:w="3959"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0EC382DC" w14:textId="77777777" w:rsidR="00775C3F" w:rsidRPr="00A91674" w:rsidRDefault="00775C3F" w:rsidP="00756467">
            <w:pPr>
              <w:spacing w:after="0" w:line="240" w:lineRule="auto"/>
              <w:jc w:val="center"/>
              <w:rPr>
                <w:rFonts w:cs="Calibri"/>
                <w:color w:val="FFFFFF"/>
              </w:rPr>
            </w:pPr>
            <w:r w:rsidRPr="00A91674">
              <w:rPr>
                <w:rFonts w:cs="Calibri"/>
                <w:color w:val="FFFFFF"/>
              </w:rPr>
              <w:t>Descripción</w:t>
            </w:r>
          </w:p>
        </w:tc>
        <w:tc>
          <w:tcPr>
            <w:tcW w:w="1004" w:type="dxa"/>
            <w:tcBorders>
              <w:top w:val="single" w:sz="8" w:space="0" w:color="auto"/>
              <w:left w:val="nil"/>
              <w:bottom w:val="single" w:sz="4" w:space="0" w:color="auto"/>
              <w:right w:val="single" w:sz="8" w:space="0" w:color="auto"/>
            </w:tcBorders>
            <w:shd w:val="clear" w:color="000000" w:fill="1F3864"/>
            <w:noWrap/>
            <w:vAlign w:val="center"/>
            <w:hideMark/>
          </w:tcPr>
          <w:p w14:paraId="7D7FE9BD" w14:textId="77777777" w:rsidR="00775C3F" w:rsidRPr="00A91674" w:rsidRDefault="00775C3F" w:rsidP="00756467">
            <w:pPr>
              <w:spacing w:after="0" w:line="240" w:lineRule="auto"/>
              <w:jc w:val="center"/>
              <w:rPr>
                <w:rFonts w:cs="Calibri"/>
                <w:color w:val="FFFFFF"/>
              </w:rPr>
            </w:pPr>
            <w:r w:rsidRPr="00A91674">
              <w:rPr>
                <w:rFonts w:cs="Calibri"/>
                <w:color w:val="FFFFFF"/>
              </w:rPr>
              <w:t>Cantidad</w:t>
            </w:r>
          </w:p>
        </w:tc>
      </w:tr>
      <w:tr w:rsidR="00775C3F" w:rsidRPr="00A91674" w14:paraId="7B3B6C85" w14:textId="77777777" w:rsidTr="00331005">
        <w:trPr>
          <w:trHeight w:val="300"/>
        </w:trPr>
        <w:tc>
          <w:tcPr>
            <w:tcW w:w="3959" w:type="dxa"/>
            <w:tcBorders>
              <w:top w:val="nil"/>
              <w:left w:val="single" w:sz="8" w:space="0" w:color="auto"/>
              <w:bottom w:val="single" w:sz="8" w:space="0" w:color="auto"/>
              <w:right w:val="single" w:sz="4" w:space="0" w:color="auto"/>
            </w:tcBorders>
            <w:shd w:val="clear" w:color="auto" w:fill="auto"/>
            <w:vAlign w:val="center"/>
            <w:hideMark/>
          </w:tcPr>
          <w:p w14:paraId="6CA9F59E" w14:textId="77777777" w:rsidR="00775C3F" w:rsidRPr="00A91674" w:rsidRDefault="00775C3F" w:rsidP="00756467">
            <w:pPr>
              <w:spacing w:after="0" w:line="240" w:lineRule="auto"/>
              <w:rPr>
                <w:rFonts w:cs="Calibri"/>
                <w:color w:val="000000"/>
              </w:rPr>
            </w:pPr>
            <w:r w:rsidRPr="00A91674">
              <w:rPr>
                <w:rFonts w:cs="Calibri"/>
                <w:color w:val="000000"/>
              </w:rPr>
              <w:t>Locales mercado municipal</w:t>
            </w:r>
          </w:p>
        </w:tc>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40925A" w14:textId="77777777" w:rsidR="00775C3F" w:rsidRPr="00A91674" w:rsidRDefault="00775C3F" w:rsidP="00756467">
            <w:pPr>
              <w:spacing w:after="0" w:line="240" w:lineRule="auto"/>
              <w:jc w:val="center"/>
              <w:rPr>
                <w:rFonts w:cs="Calibri"/>
                <w:color w:val="000000"/>
              </w:rPr>
            </w:pPr>
            <w:r w:rsidRPr="00A91674">
              <w:rPr>
                <w:rFonts w:cs="Calibri"/>
                <w:color w:val="000000"/>
              </w:rPr>
              <w:t>17</w:t>
            </w:r>
          </w:p>
        </w:tc>
      </w:tr>
      <w:tr w:rsidR="00775C3F" w:rsidRPr="00A91674" w14:paraId="2E640676" w14:textId="77777777" w:rsidTr="00331005">
        <w:trPr>
          <w:trHeight w:val="300"/>
        </w:trPr>
        <w:tc>
          <w:tcPr>
            <w:tcW w:w="3959" w:type="dxa"/>
            <w:tcBorders>
              <w:top w:val="nil"/>
              <w:left w:val="single" w:sz="8" w:space="0" w:color="auto"/>
              <w:bottom w:val="single" w:sz="8" w:space="0" w:color="auto"/>
              <w:right w:val="single" w:sz="4" w:space="0" w:color="auto"/>
            </w:tcBorders>
            <w:shd w:val="clear" w:color="auto" w:fill="auto"/>
            <w:vAlign w:val="center"/>
            <w:hideMark/>
          </w:tcPr>
          <w:p w14:paraId="31BF24C0" w14:textId="7FF7F5D1" w:rsidR="00775C3F" w:rsidRPr="00A91674" w:rsidRDefault="00331005" w:rsidP="00756467">
            <w:pPr>
              <w:spacing w:after="0" w:line="240" w:lineRule="auto"/>
              <w:rPr>
                <w:rFonts w:cs="Calibri"/>
                <w:color w:val="000000"/>
              </w:rPr>
            </w:pPr>
            <w:r w:rsidRPr="00A91674">
              <w:rPr>
                <w:rFonts w:cs="Calibri"/>
                <w:color w:val="000000"/>
              </w:rPr>
              <w:t>Locales</w:t>
            </w:r>
            <w:r>
              <w:rPr>
                <w:rFonts w:cs="Calibri"/>
                <w:color w:val="000000"/>
              </w:rPr>
              <w:t xml:space="preserve"> de la</w:t>
            </w:r>
            <w:r w:rsidRPr="00A91674">
              <w:rPr>
                <w:rFonts w:cs="Calibri"/>
                <w:color w:val="000000"/>
              </w:rPr>
              <w:t xml:space="preserve"> terminal</w:t>
            </w:r>
            <w:r>
              <w:rPr>
                <w:rFonts w:cs="Calibri"/>
                <w:color w:val="000000"/>
              </w:rPr>
              <w:t xml:space="preserve"> </w:t>
            </w:r>
            <w:r w:rsidR="00775C3F" w:rsidRPr="00A91674">
              <w:rPr>
                <w:rFonts w:cs="Calibri"/>
                <w:color w:val="000000"/>
              </w:rPr>
              <w:t>municipal de autobuses</w:t>
            </w:r>
          </w:p>
        </w:tc>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F1AC1A" w14:textId="77777777" w:rsidR="00775C3F" w:rsidRPr="00A91674" w:rsidRDefault="00775C3F" w:rsidP="00756467">
            <w:pPr>
              <w:spacing w:after="0" w:line="240" w:lineRule="auto"/>
              <w:jc w:val="center"/>
              <w:rPr>
                <w:rFonts w:cs="Calibri"/>
                <w:color w:val="000000"/>
              </w:rPr>
            </w:pPr>
            <w:r w:rsidRPr="00A91674">
              <w:rPr>
                <w:rFonts w:cs="Calibri"/>
                <w:color w:val="000000"/>
              </w:rPr>
              <w:t>3</w:t>
            </w:r>
          </w:p>
        </w:tc>
      </w:tr>
      <w:tr w:rsidR="00775C3F" w:rsidRPr="00A91674" w14:paraId="40758D13" w14:textId="77777777" w:rsidTr="00331005">
        <w:trPr>
          <w:trHeight w:val="300"/>
        </w:trPr>
        <w:tc>
          <w:tcPr>
            <w:tcW w:w="3959" w:type="dxa"/>
            <w:tcBorders>
              <w:top w:val="nil"/>
              <w:left w:val="single" w:sz="8" w:space="0" w:color="auto"/>
              <w:bottom w:val="single" w:sz="8" w:space="0" w:color="auto"/>
              <w:right w:val="single" w:sz="4" w:space="0" w:color="auto"/>
            </w:tcBorders>
            <w:shd w:val="clear" w:color="auto" w:fill="auto"/>
            <w:vAlign w:val="center"/>
            <w:hideMark/>
          </w:tcPr>
          <w:p w14:paraId="4E58AC5E" w14:textId="77777777" w:rsidR="00775C3F" w:rsidRPr="00A91674" w:rsidRDefault="00775C3F" w:rsidP="00756467">
            <w:pPr>
              <w:spacing w:after="0" w:line="240" w:lineRule="auto"/>
              <w:rPr>
                <w:rFonts w:cs="Calibri"/>
                <w:color w:val="000000"/>
              </w:rPr>
            </w:pPr>
            <w:r w:rsidRPr="00A91674">
              <w:rPr>
                <w:rFonts w:cs="Calibri"/>
                <w:color w:val="000000"/>
              </w:rPr>
              <w:t>Espacio terminal municipal de autobuses</w:t>
            </w:r>
          </w:p>
        </w:tc>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D96146" w14:textId="77777777" w:rsidR="00775C3F" w:rsidRPr="00A91674" w:rsidRDefault="00775C3F" w:rsidP="00756467">
            <w:pPr>
              <w:spacing w:after="0" w:line="240" w:lineRule="auto"/>
              <w:jc w:val="center"/>
              <w:rPr>
                <w:rFonts w:cs="Calibri"/>
                <w:color w:val="000000"/>
              </w:rPr>
            </w:pPr>
            <w:r w:rsidRPr="00A91674">
              <w:rPr>
                <w:rFonts w:cs="Calibri"/>
                <w:color w:val="000000"/>
              </w:rPr>
              <w:t>7</w:t>
            </w:r>
          </w:p>
        </w:tc>
      </w:tr>
      <w:tr w:rsidR="00775C3F" w:rsidRPr="00A91674" w14:paraId="288FF58F" w14:textId="77777777" w:rsidTr="00331005">
        <w:trPr>
          <w:trHeight w:val="300"/>
        </w:trPr>
        <w:tc>
          <w:tcPr>
            <w:tcW w:w="3959" w:type="dxa"/>
            <w:tcBorders>
              <w:top w:val="nil"/>
              <w:left w:val="single" w:sz="8" w:space="0" w:color="auto"/>
              <w:bottom w:val="single" w:sz="8" w:space="0" w:color="auto"/>
              <w:right w:val="nil"/>
            </w:tcBorders>
            <w:shd w:val="clear" w:color="auto" w:fill="auto"/>
            <w:vAlign w:val="center"/>
            <w:hideMark/>
          </w:tcPr>
          <w:p w14:paraId="78B1F927" w14:textId="77777777" w:rsidR="00775C3F" w:rsidRPr="00A91674" w:rsidRDefault="00775C3F" w:rsidP="00756467">
            <w:pPr>
              <w:spacing w:after="0" w:line="240" w:lineRule="auto"/>
              <w:jc w:val="center"/>
              <w:rPr>
                <w:rFonts w:cs="Calibri"/>
                <w:b/>
                <w:bCs/>
                <w:color w:val="000000"/>
              </w:rPr>
            </w:pPr>
            <w:r w:rsidRPr="00A91674">
              <w:rPr>
                <w:rFonts w:cs="Calibri"/>
                <w:b/>
                <w:bCs/>
                <w:color w:val="000000"/>
              </w:rPr>
              <w:t>Total</w:t>
            </w:r>
          </w:p>
        </w:tc>
        <w:tc>
          <w:tcPr>
            <w:tcW w:w="1004"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5EB0328B" w14:textId="77777777" w:rsidR="00775C3F" w:rsidRPr="00A91674" w:rsidRDefault="00775C3F" w:rsidP="00756467">
            <w:pPr>
              <w:spacing w:after="0" w:line="240" w:lineRule="auto"/>
              <w:jc w:val="center"/>
              <w:rPr>
                <w:rFonts w:cs="Calibri"/>
                <w:b/>
                <w:bCs/>
                <w:color w:val="000000"/>
              </w:rPr>
            </w:pPr>
            <w:r w:rsidRPr="00A91674">
              <w:rPr>
                <w:rFonts w:cs="Calibri"/>
                <w:b/>
                <w:bCs/>
                <w:color w:val="000000"/>
              </w:rPr>
              <w:t>27</w:t>
            </w:r>
          </w:p>
        </w:tc>
      </w:tr>
    </w:tbl>
    <w:p w14:paraId="35BA71EE" w14:textId="77777777" w:rsidR="00692DC8" w:rsidRPr="00692DC8" w:rsidRDefault="00692DC8" w:rsidP="00CD1227"/>
    <w:p w14:paraId="4CB19100" w14:textId="77777777" w:rsidR="00692DC8" w:rsidRPr="00692DC8" w:rsidRDefault="00692DC8" w:rsidP="00CD1227">
      <w:pPr>
        <w:pStyle w:val="Ttulo4"/>
        <w:spacing w:after="240"/>
        <w:rPr>
          <w:rFonts w:eastAsia="Times New Roman"/>
        </w:rPr>
      </w:pPr>
      <w:bookmarkStart w:id="816" w:name="_Toc82769009"/>
      <w:bookmarkStart w:id="817" w:name="_Toc189804892"/>
      <w:r w:rsidRPr="00692DC8">
        <w:rPr>
          <w:rFonts w:eastAsia="Times New Roman"/>
        </w:rPr>
        <w:lastRenderedPageBreak/>
        <w:t>NOTA N° 4</w:t>
      </w:r>
      <w:bookmarkEnd w:id="814"/>
      <w:bookmarkEnd w:id="815"/>
      <w:bookmarkEnd w:id="816"/>
      <w:r w:rsidRPr="00692DC8">
        <w:rPr>
          <w:rFonts w:eastAsia="Times New Roman"/>
        </w:rPr>
        <w:t>9</w:t>
      </w:r>
      <w:bookmarkEnd w:id="817"/>
    </w:p>
    <w:p w14:paraId="288285BA" w14:textId="77777777" w:rsidR="00396CB4" w:rsidRDefault="00692DC8" w:rsidP="00DE143D">
      <w:pPr>
        <w:spacing w:before="240"/>
        <w:rPr>
          <w:rFonts w:asciiTheme="minorHAnsi" w:hAnsiTheme="minorHAnsi"/>
          <w:sz w:val="22"/>
        </w:rPr>
      </w:pPr>
      <w:bookmarkStart w:id="818" w:name="_Toc14344847"/>
      <w:bookmarkStart w:id="819" w:name="_Toc33601291"/>
      <w:bookmarkStart w:id="820" w:name="_Toc82769010"/>
      <w:r w:rsidRPr="00692DC8">
        <w:rPr>
          <w:rFonts w:eastAsia="Times New Roman"/>
        </w:rPr>
        <w:t>Otros ingresos de la propiedad</w:t>
      </w:r>
      <w:bookmarkEnd w:id="818"/>
      <w:bookmarkEnd w:id="819"/>
      <w:bookmarkEnd w:id="820"/>
      <w:r w:rsidR="009D16A1">
        <w:rPr>
          <w:rFonts w:eastAsiaTheme="majorEastAsia" w:cstheme="majorBidi"/>
          <w:iCs/>
          <w:lang w:val="es-ES"/>
        </w:rPr>
        <w:fldChar w:fldCharType="begin"/>
      </w:r>
      <w:r w:rsidR="009D16A1">
        <w:rPr>
          <w:lang w:val="es-ES"/>
        </w:rPr>
        <w:instrText xml:space="preserve"> LINK </w:instrText>
      </w:r>
      <w:r w:rsidR="00756467">
        <w:rPr>
          <w:lang w:val="es-ES"/>
        </w:rPr>
        <w:instrText xml:space="preserve">Excel.SheetMacroEnabled.12 "C:\\Users\\gcordero\\Downloads\\Notas diciembre 2024\\Formato_Notas_EEFF_Vinculadas_2024\\Formato_Notas_EEFF_Vinculadas_2024\\15603_T04_2024_Anexo_Estado_Notas_Contables_Vinculadas.xlsm" NOTAS_POR_CUENTA!F304C1:F306C6 </w:instrText>
      </w:r>
      <w:r w:rsidR="009D16A1">
        <w:rPr>
          <w:lang w:val="es-ES"/>
        </w:rPr>
        <w:instrText xml:space="preserve">\a \f 4 \h </w:instrText>
      </w:r>
      <w:r w:rsidR="009D16A1">
        <w:rPr>
          <w:b/>
          <w:lang w:val="es-ES"/>
        </w:rPr>
        <w:fldChar w:fldCharType="separate"/>
      </w:r>
    </w:p>
    <w:tbl>
      <w:tblPr>
        <w:tblW w:w="9600" w:type="dxa"/>
        <w:tblCellMar>
          <w:left w:w="70" w:type="dxa"/>
          <w:right w:w="70" w:type="dxa"/>
        </w:tblCellMar>
        <w:tblLook w:val="04A0" w:firstRow="1" w:lastRow="0" w:firstColumn="1" w:lastColumn="0" w:noHBand="0" w:noVBand="1"/>
      </w:tblPr>
      <w:tblGrid>
        <w:gridCol w:w="1396"/>
        <w:gridCol w:w="2484"/>
        <w:gridCol w:w="500"/>
        <w:gridCol w:w="2100"/>
        <w:gridCol w:w="2100"/>
        <w:gridCol w:w="1020"/>
      </w:tblGrid>
      <w:tr w:rsidR="00396CB4" w:rsidRPr="00396CB4" w14:paraId="1030C237" w14:textId="77777777" w:rsidTr="00396CB4">
        <w:trPr>
          <w:divId w:val="691346383"/>
          <w:trHeight w:val="330"/>
        </w:trPr>
        <w:tc>
          <w:tcPr>
            <w:tcW w:w="139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36B1716" w14:textId="02844CCA" w:rsidR="00396CB4" w:rsidRPr="00396CB4" w:rsidRDefault="00396CB4" w:rsidP="00396CB4">
            <w:pP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248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E619F41"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227488C"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816E4B8"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1515A16"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28F9BF68"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57195FBF" w14:textId="77777777" w:rsidTr="00396CB4">
        <w:trPr>
          <w:divId w:val="691346383"/>
          <w:trHeight w:val="330"/>
        </w:trPr>
        <w:tc>
          <w:tcPr>
            <w:tcW w:w="1396" w:type="dxa"/>
            <w:vMerge/>
            <w:tcBorders>
              <w:top w:val="single" w:sz="8" w:space="0" w:color="auto"/>
              <w:left w:val="single" w:sz="8" w:space="0" w:color="auto"/>
              <w:bottom w:val="single" w:sz="8" w:space="0" w:color="000000"/>
              <w:right w:val="single" w:sz="8" w:space="0" w:color="auto"/>
            </w:tcBorders>
            <w:vAlign w:val="center"/>
            <w:hideMark/>
          </w:tcPr>
          <w:p w14:paraId="39977742"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484" w:type="dxa"/>
            <w:vMerge/>
            <w:tcBorders>
              <w:top w:val="single" w:sz="8" w:space="0" w:color="auto"/>
              <w:left w:val="single" w:sz="8" w:space="0" w:color="auto"/>
              <w:bottom w:val="single" w:sz="8" w:space="0" w:color="000000"/>
              <w:right w:val="single" w:sz="8" w:space="0" w:color="auto"/>
            </w:tcBorders>
            <w:vAlign w:val="center"/>
            <w:hideMark/>
          </w:tcPr>
          <w:p w14:paraId="02C6F4D0"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25AA727B"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16F6A4E4"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0F207EE5"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6CB0D647"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5A0164C9" w14:textId="77777777" w:rsidTr="00396CB4">
        <w:trPr>
          <w:divId w:val="691346383"/>
          <w:trHeight w:val="330"/>
        </w:trPr>
        <w:tc>
          <w:tcPr>
            <w:tcW w:w="1396" w:type="dxa"/>
            <w:tcBorders>
              <w:top w:val="nil"/>
              <w:left w:val="single" w:sz="8" w:space="0" w:color="auto"/>
              <w:bottom w:val="single" w:sz="8" w:space="0" w:color="auto"/>
              <w:right w:val="single" w:sz="8" w:space="0" w:color="auto"/>
            </w:tcBorders>
            <w:shd w:val="clear" w:color="auto" w:fill="auto"/>
            <w:noWrap/>
            <w:vAlign w:val="center"/>
            <w:hideMark/>
          </w:tcPr>
          <w:p w14:paraId="037B0944"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4.5.9.</w:t>
            </w:r>
          </w:p>
        </w:tc>
        <w:tc>
          <w:tcPr>
            <w:tcW w:w="2484" w:type="dxa"/>
            <w:tcBorders>
              <w:top w:val="nil"/>
              <w:left w:val="nil"/>
              <w:bottom w:val="single" w:sz="8" w:space="0" w:color="auto"/>
              <w:right w:val="single" w:sz="8" w:space="0" w:color="auto"/>
            </w:tcBorders>
            <w:shd w:val="clear" w:color="auto" w:fill="auto"/>
            <w:vAlign w:val="center"/>
            <w:hideMark/>
          </w:tcPr>
          <w:p w14:paraId="221F383E" w14:textId="77777777" w:rsidR="00396CB4" w:rsidRPr="00396CB4" w:rsidRDefault="00396CB4" w:rsidP="00396CB4">
            <w:pPr>
              <w:spacing w:after="0" w:line="240" w:lineRule="auto"/>
              <w:rPr>
                <w:rFonts w:eastAsia="Times New Roman" w:cs="Calibri"/>
                <w:b/>
                <w:bCs/>
                <w:color w:val="000000"/>
                <w:sz w:val="18"/>
                <w:szCs w:val="18"/>
                <w:lang w:eastAsia="es-CR"/>
              </w:rPr>
            </w:pPr>
            <w:r w:rsidRPr="00396CB4">
              <w:rPr>
                <w:rFonts w:eastAsia="Times New Roman" w:cs="Calibri"/>
                <w:b/>
                <w:bCs/>
                <w:color w:val="000000"/>
                <w:sz w:val="18"/>
                <w:szCs w:val="18"/>
                <w:lang w:eastAsia="es-CR"/>
              </w:rPr>
              <w:t>Otros ingresos de la propiedad</w:t>
            </w:r>
          </w:p>
        </w:tc>
        <w:tc>
          <w:tcPr>
            <w:tcW w:w="500" w:type="dxa"/>
            <w:tcBorders>
              <w:top w:val="nil"/>
              <w:left w:val="nil"/>
              <w:bottom w:val="single" w:sz="8" w:space="0" w:color="auto"/>
              <w:right w:val="single" w:sz="8" w:space="0" w:color="auto"/>
            </w:tcBorders>
            <w:shd w:val="clear" w:color="auto" w:fill="auto"/>
            <w:noWrap/>
            <w:vAlign w:val="center"/>
            <w:hideMark/>
          </w:tcPr>
          <w:p w14:paraId="22BD6164"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49</w:t>
            </w:r>
          </w:p>
        </w:tc>
        <w:tc>
          <w:tcPr>
            <w:tcW w:w="2100" w:type="dxa"/>
            <w:tcBorders>
              <w:top w:val="nil"/>
              <w:left w:val="nil"/>
              <w:bottom w:val="single" w:sz="8" w:space="0" w:color="auto"/>
              <w:right w:val="single" w:sz="8" w:space="0" w:color="auto"/>
            </w:tcBorders>
            <w:shd w:val="clear" w:color="auto" w:fill="auto"/>
            <w:noWrap/>
            <w:vAlign w:val="center"/>
            <w:hideMark/>
          </w:tcPr>
          <w:p w14:paraId="564DFC03"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2100" w:type="dxa"/>
            <w:tcBorders>
              <w:top w:val="nil"/>
              <w:left w:val="nil"/>
              <w:bottom w:val="single" w:sz="8" w:space="0" w:color="auto"/>
              <w:right w:val="single" w:sz="8" w:space="0" w:color="auto"/>
            </w:tcBorders>
            <w:shd w:val="clear" w:color="auto" w:fill="auto"/>
            <w:noWrap/>
            <w:vAlign w:val="center"/>
            <w:hideMark/>
          </w:tcPr>
          <w:p w14:paraId="08C9F242"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1020" w:type="dxa"/>
            <w:tcBorders>
              <w:top w:val="nil"/>
              <w:left w:val="nil"/>
              <w:bottom w:val="single" w:sz="8" w:space="0" w:color="auto"/>
              <w:right w:val="single" w:sz="8" w:space="0" w:color="auto"/>
            </w:tcBorders>
            <w:shd w:val="clear" w:color="auto" w:fill="auto"/>
            <w:noWrap/>
            <w:vAlign w:val="center"/>
            <w:hideMark/>
          </w:tcPr>
          <w:p w14:paraId="465F886C"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0,00%</w:t>
            </w:r>
          </w:p>
        </w:tc>
      </w:tr>
    </w:tbl>
    <w:p w14:paraId="18F7AD88" w14:textId="77777777" w:rsidR="00567780" w:rsidRDefault="009D16A1" w:rsidP="00DE143D">
      <w:pPr>
        <w:spacing w:before="240"/>
        <w:rPr>
          <w:b/>
          <w:lang w:val="es-ES"/>
        </w:rPr>
      </w:pPr>
      <w:r>
        <w:rPr>
          <w:b/>
          <w:lang w:val="es-ES"/>
        </w:rPr>
        <w:fldChar w:fldCharType="end"/>
      </w:r>
    </w:p>
    <w:p w14:paraId="592C7A84" w14:textId="77777777" w:rsidR="00396CB4" w:rsidRPr="00396CB4" w:rsidRDefault="00692DC8" w:rsidP="00396CB4">
      <w:pPr>
        <w:spacing w:before="240"/>
        <w:rPr>
          <w:b/>
          <w:lang w:val="es-ES"/>
        </w:rPr>
      </w:pPr>
      <w:r w:rsidRPr="00CD1227">
        <w:rPr>
          <w:b/>
          <w:lang w:val="es-ES"/>
        </w:rPr>
        <w:t xml:space="preserve">Revelación: </w:t>
      </w:r>
      <w:r w:rsidR="009D16A1">
        <w:rPr>
          <w:rFonts w:eastAsia="Times New Roman" w:cs="Calibri"/>
          <w:color w:val="000000"/>
          <w:lang w:eastAsia="es-CR"/>
        </w:rPr>
        <w:fldChar w:fldCharType="begin"/>
      </w:r>
      <w:r w:rsidR="009D16A1">
        <w:rPr>
          <w:rFonts w:eastAsia="Times New Roman" w:cs="Calibri"/>
          <w:color w:val="000000"/>
          <w:lang w:eastAsia="es-CR"/>
        </w:rPr>
        <w:instrText xml:space="preserve"> LINK </w:instrText>
      </w:r>
      <w:r w:rsidR="00756467">
        <w:rPr>
          <w:rFonts w:eastAsia="Times New Roman" w:cs="Calibri"/>
          <w:color w:val="000000"/>
          <w:lang w:eastAsia="es-CR"/>
        </w:rPr>
        <w:instrText xml:space="preserve">Excel.SheetMacroEnabled.12 "C:\\Users\\gcordero\\Downloads\\Notas diciembre 2024\\Formato_Notas_EEFF_Vinculadas_2024\\Formato_Notas_EEFF_Vinculadas_2024\\15603_T04_2024_Anexo_Estado_Notas_Contables_Vinculadas.xlsm" NOTAS_POR_CUENTA!F306C8 </w:instrText>
      </w:r>
      <w:r w:rsidR="009D16A1">
        <w:rPr>
          <w:rFonts w:eastAsia="Times New Roman" w:cs="Calibri"/>
          <w:color w:val="000000"/>
          <w:lang w:eastAsia="es-CR"/>
        </w:rPr>
        <w:instrText xml:space="preserve">\a \f 5 \h  \* MERGEFORMAT </w:instrText>
      </w:r>
      <w:r w:rsidR="009D16A1">
        <w:rPr>
          <w:rFonts w:eastAsia="Times New Roman" w:cs="Calibri"/>
          <w:color w:val="000000"/>
          <w:lang w:eastAsia="es-CR"/>
        </w:rPr>
        <w:fldChar w:fldCharType="separate"/>
      </w:r>
    </w:p>
    <w:p w14:paraId="1B31260E" w14:textId="77777777" w:rsidR="00396CB4" w:rsidRPr="00396CB4" w:rsidRDefault="00396CB4" w:rsidP="00396CB4">
      <w:pPr>
        <w:rPr>
          <w:rFonts w:eastAsia="Times New Roman" w:cs="Calibri"/>
          <w:color w:val="000000"/>
          <w:lang w:eastAsia="es-CR"/>
        </w:rPr>
      </w:pPr>
      <w:r w:rsidRPr="00396CB4">
        <w:rPr>
          <w:rFonts w:eastAsia="Times New Roman" w:cs="Calibri"/>
          <w:color w:val="000000"/>
          <w:lang w:eastAsia="es-CR"/>
        </w:rPr>
        <w:t>La cuenta Otros ingresos de la propiedad, representa el 0,00% del total del Ingresos, que comparado al periodo anterior genera una variación absoluta de 0 000,00 que corresponde a un Aumento del 0,00% de recursos disponibles.</w:t>
      </w:r>
    </w:p>
    <w:p w14:paraId="329B214B" w14:textId="21F98867" w:rsidR="00692DC8" w:rsidRPr="00692DC8" w:rsidRDefault="009D16A1" w:rsidP="009D16A1">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4AEDBB40" w14:textId="77777777" w:rsidR="00692DC8" w:rsidRPr="00692DC8" w:rsidRDefault="00692DC8" w:rsidP="00CD1227">
      <w:pPr>
        <w:rPr>
          <w:szCs w:val="24"/>
        </w:rPr>
      </w:pPr>
    </w:p>
    <w:p w14:paraId="1D3558E6" w14:textId="77777777" w:rsidR="00692DC8" w:rsidRPr="00692DC8" w:rsidRDefault="00692DC8" w:rsidP="00CD1227">
      <w:pPr>
        <w:pStyle w:val="Ttulo3"/>
        <w:spacing w:after="240"/>
        <w:rPr>
          <w:rFonts w:eastAsia="Calibri"/>
          <w:lang w:eastAsia="es-CR"/>
        </w:rPr>
      </w:pPr>
      <w:bookmarkStart w:id="821" w:name="_Toc82769011"/>
      <w:bookmarkStart w:id="822" w:name="_Toc189804893"/>
      <w:r w:rsidRPr="00692DC8">
        <w:rPr>
          <w:rFonts w:eastAsia="Calibri"/>
          <w:lang w:eastAsia="es-CR"/>
        </w:rPr>
        <w:t>4.6 TRANSFERENCIAS</w:t>
      </w:r>
      <w:bookmarkEnd w:id="821"/>
      <w:bookmarkEnd w:id="822"/>
    </w:p>
    <w:p w14:paraId="22A03072" w14:textId="77777777" w:rsidR="00692DC8" w:rsidRPr="00692DC8" w:rsidRDefault="00692DC8" w:rsidP="00CD1227">
      <w:pPr>
        <w:pStyle w:val="Ttulo4"/>
        <w:spacing w:after="240"/>
        <w:rPr>
          <w:rFonts w:eastAsia="Times New Roman"/>
        </w:rPr>
      </w:pPr>
      <w:bookmarkStart w:id="823" w:name="_Toc14344855"/>
      <w:bookmarkStart w:id="824" w:name="_Toc33601292"/>
      <w:bookmarkStart w:id="825" w:name="_Toc82769012"/>
      <w:bookmarkStart w:id="826" w:name="_Toc189804894"/>
      <w:r w:rsidRPr="00692DC8">
        <w:rPr>
          <w:rFonts w:eastAsia="Times New Roman"/>
        </w:rPr>
        <w:t xml:space="preserve">NOTA N° </w:t>
      </w:r>
      <w:bookmarkEnd w:id="823"/>
      <w:bookmarkEnd w:id="824"/>
      <w:bookmarkEnd w:id="825"/>
      <w:r w:rsidRPr="00692DC8">
        <w:rPr>
          <w:rFonts w:eastAsia="Times New Roman"/>
        </w:rPr>
        <w:t>50</w:t>
      </w:r>
      <w:bookmarkEnd w:id="826"/>
    </w:p>
    <w:p w14:paraId="1C9EB359" w14:textId="77777777" w:rsidR="00396CB4" w:rsidRDefault="00692DC8" w:rsidP="006D2D75">
      <w:pPr>
        <w:spacing w:before="240"/>
        <w:rPr>
          <w:rFonts w:asciiTheme="minorHAnsi" w:hAnsiTheme="minorHAnsi"/>
          <w:sz w:val="22"/>
        </w:rPr>
      </w:pPr>
      <w:bookmarkStart w:id="827" w:name="_Toc14344856"/>
      <w:bookmarkStart w:id="828" w:name="_Toc33601293"/>
      <w:bookmarkStart w:id="829" w:name="_Toc82769013"/>
      <w:r w:rsidRPr="00692DC8">
        <w:rPr>
          <w:rFonts w:eastAsia="Times New Roman"/>
        </w:rPr>
        <w:t>Transferencias corrientes</w:t>
      </w:r>
      <w:bookmarkEnd w:id="827"/>
      <w:bookmarkEnd w:id="828"/>
      <w:bookmarkEnd w:id="829"/>
      <w:r w:rsidR="00772A67">
        <w:rPr>
          <w:rFonts w:eastAsiaTheme="majorEastAsia" w:cstheme="majorBidi"/>
          <w:b/>
          <w:iCs/>
        </w:rPr>
        <w:fldChar w:fldCharType="begin"/>
      </w:r>
      <w:r w:rsidR="00772A67">
        <w:instrText xml:space="preserve"> LINK </w:instrText>
      </w:r>
      <w:r w:rsidR="00756467">
        <w:instrText xml:space="preserve">Excel.SheetMacroEnabled.12 "C:\\Users\\gcordero\\Downloads\\Notas diciembre 2024\\Formato_Notas_EEFF_Vinculadas_2024\\Formato_Notas_EEFF_Vinculadas_2024\\15603_T04_2024_Anexo_Estado_Notas_Contables_Vinculadas.xlsm" NOTAS_POR_CUENTA!F308C1:F310C6 </w:instrText>
      </w:r>
      <w:r w:rsidR="00772A67">
        <w:instrText xml:space="preserve">\a \f 4 \h </w:instrText>
      </w:r>
      <w:r w:rsidR="00772A67">
        <w:fldChar w:fldCharType="separate"/>
      </w:r>
    </w:p>
    <w:tbl>
      <w:tblPr>
        <w:tblW w:w="9600" w:type="dxa"/>
        <w:tblCellMar>
          <w:left w:w="70" w:type="dxa"/>
          <w:right w:w="70" w:type="dxa"/>
        </w:tblCellMar>
        <w:tblLook w:val="04A0" w:firstRow="1" w:lastRow="0" w:firstColumn="1" w:lastColumn="0" w:noHBand="0" w:noVBand="1"/>
      </w:tblPr>
      <w:tblGrid>
        <w:gridCol w:w="1385"/>
        <w:gridCol w:w="2495"/>
        <w:gridCol w:w="500"/>
        <w:gridCol w:w="2100"/>
        <w:gridCol w:w="2100"/>
        <w:gridCol w:w="1020"/>
      </w:tblGrid>
      <w:tr w:rsidR="00396CB4" w:rsidRPr="00396CB4" w14:paraId="4A40F2B3" w14:textId="77777777" w:rsidTr="00396CB4">
        <w:trPr>
          <w:divId w:val="1992830696"/>
          <w:trHeight w:val="330"/>
        </w:trPr>
        <w:tc>
          <w:tcPr>
            <w:tcW w:w="1385"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69CC2FF" w14:textId="36BA1AB0" w:rsidR="00396CB4" w:rsidRPr="00396CB4" w:rsidRDefault="00396CB4" w:rsidP="00396CB4">
            <w:pP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2495"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6F165D7"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5DC9B3C"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B3C1421"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ADD0CD5"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5D420EDC"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6438FC2C" w14:textId="77777777" w:rsidTr="00396CB4">
        <w:trPr>
          <w:divId w:val="1992830696"/>
          <w:trHeight w:val="330"/>
        </w:trPr>
        <w:tc>
          <w:tcPr>
            <w:tcW w:w="1385" w:type="dxa"/>
            <w:vMerge/>
            <w:tcBorders>
              <w:top w:val="single" w:sz="8" w:space="0" w:color="auto"/>
              <w:left w:val="single" w:sz="8" w:space="0" w:color="auto"/>
              <w:bottom w:val="single" w:sz="8" w:space="0" w:color="000000"/>
              <w:right w:val="single" w:sz="8" w:space="0" w:color="auto"/>
            </w:tcBorders>
            <w:vAlign w:val="center"/>
            <w:hideMark/>
          </w:tcPr>
          <w:p w14:paraId="38ABA2A2"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495" w:type="dxa"/>
            <w:vMerge/>
            <w:tcBorders>
              <w:top w:val="single" w:sz="8" w:space="0" w:color="auto"/>
              <w:left w:val="single" w:sz="8" w:space="0" w:color="auto"/>
              <w:bottom w:val="single" w:sz="8" w:space="0" w:color="000000"/>
              <w:right w:val="single" w:sz="8" w:space="0" w:color="auto"/>
            </w:tcBorders>
            <w:vAlign w:val="center"/>
            <w:hideMark/>
          </w:tcPr>
          <w:p w14:paraId="2B8AE005"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09C0D804"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462BCDC5"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1981E0E0"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269CB0D7"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5180012E" w14:textId="77777777" w:rsidTr="00396CB4">
        <w:trPr>
          <w:divId w:val="1992830696"/>
          <w:trHeight w:val="330"/>
        </w:trPr>
        <w:tc>
          <w:tcPr>
            <w:tcW w:w="1385" w:type="dxa"/>
            <w:tcBorders>
              <w:top w:val="nil"/>
              <w:left w:val="single" w:sz="8" w:space="0" w:color="auto"/>
              <w:bottom w:val="single" w:sz="8" w:space="0" w:color="auto"/>
              <w:right w:val="single" w:sz="8" w:space="0" w:color="auto"/>
            </w:tcBorders>
            <w:shd w:val="clear" w:color="auto" w:fill="auto"/>
            <w:noWrap/>
            <w:vAlign w:val="center"/>
            <w:hideMark/>
          </w:tcPr>
          <w:p w14:paraId="792F1C8A"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4.6.1.</w:t>
            </w:r>
          </w:p>
        </w:tc>
        <w:tc>
          <w:tcPr>
            <w:tcW w:w="2495" w:type="dxa"/>
            <w:tcBorders>
              <w:top w:val="nil"/>
              <w:left w:val="nil"/>
              <w:bottom w:val="single" w:sz="8" w:space="0" w:color="auto"/>
              <w:right w:val="single" w:sz="8" w:space="0" w:color="auto"/>
            </w:tcBorders>
            <w:shd w:val="clear" w:color="auto" w:fill="auto"/>
            <w:vAlign w:val="center"/>
            <w:hideMark/>
          </w:tcPr>
          <w:p w14:paraId="1F66E44E" w14:textId="77777777" w:rsidR="00396CB4" w:rsidRPr="00396CB4" w:rsidRDefault="00396CB4" w:rsidP="00396CB4">
            <w:pPr>
              <w:spacing w:after="0" w:line="240" w:lineRule="auto"/>
              <w:rPr>
                <w:rFonts w:eastAsia="Times New Roman" w:cs="Calibri"/>
                <w:b/>
                <w:bCs/>
                <w:color w:val="000000"/>
                <w:sz w:val="18"/>
                <w:szCs w:val="18"/>
                <w:lang w:eastAsia="es-CR"/>
              </w:rPr>
            </w:pPr>
            <w:r w:rsidRPr="00396CB4">
              <w:rPr>
                <w:rFonts w:eastAsia="Times New Roman" w:cs="Calibri"/>
                <w:b/>
                <w:bCs/>
                <w:color w:val="000000"/>
                <w:sz w:val="18"/>
                <w:szCs w:val="18"/>
                <w:lang w:eastAsia="es-CR"/>
              </w:rPr>
              <w:t>Transferencias corrientes</w:t>
            </w:r>
          </w:p>
        </w:tc>
        <w:tc>
          <w:tcPr>
            <w:tcW w:w="500" w:type="dxa"/>
            <w:tcBorders>
              <w:top w:val="nil"/>
              <w:left w:val="nil"/>
              <w:bottom w:val="single" w:sz="8" w:space="0" w:color="auto"/>
              <w:right w:val="single" w:sz="8" w:space="0" w:color="auto"/>
            </w:tcBorders>
            <w:shd w:val="clear" w:color="auto" w:fill="auto"/>
            <w:noWrap/>
            <w:vAlign w:val="center"/>
            <w:hideMark/>
          </w:tcPr>
          <w:p w14:paraId="495135B7"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50</w:t>
            </w:r>
          </w:p>
        </w:tc>
        <w:tc>
          <w:tcPr>
            <w:tcW w:w="2100" w:type="dxa"/>
            <w:tcBorders>
              <w:top w:val="nil"/>
              <w:left w:val="nil"/>
              <w:bottom w:val="single" w:sz="8" w:space="0" w:color="auto"/>
              <w:right w:val="single" w:sz="8" w:space="0" w:color="auto"/>
            </w:tcBorders>
            <w:shd w:val="clear" w:color="auto" w:fill="auto"/>
            <w:noWrap/>
            <w:vAlign w:val="center"/>
            <w:hideMark/>
          </w:tcPr>
          <w:p w14:paraId="4B867BDB"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18 241,29 </w:t>
            </w:r>
          </w:p>
        </w:tc>
        <w:tc>
          <w:tcPr>
            <w:tcW w:w="2100" w:type="dxa"/>
            <w:tcBorders>
              <w:top w:val="nil"/>
              <w:left w:val="nil"/>
              <w:bottom w:val="single" w:sz="8" w:space="0" w:color="auto"/>
              <w:right w:val="single" w:sz="8" w:space="0" w:color="auto"/>
            </w:tcBorders>
            <w:shd w:val="clear" w:color="auto" w:fill="auto"/>
            <w:noWrap/>
            <w:vAlign w:val="center"/>
            <w:hideMark/>
          </w:tcPr>
          <w:p w14:paraId="014A5A40"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20 317,69 </w:t>
            </w:r>
          </w:p>
        </w:tc>
        <w:tc>
          <w:tcPr>
            <w:tcW w:w="1020" w:type="dxa"/>
            <w:tcBorders>
              <w:top w:val="nil"/>
              <w:left w:val="nil"/>
              <w:bottom w:val="single" w:sz="8" w:space="0" w:color="auto"/>
              <w:right w:val="single" w:sz="8" w:space="0" w:color="auto"/>
            </w:tcBorders>
            <w:shd w:val="clear" w:color="auto" w:fill="auto"/>
            <w:noWrap/>
            <w:vAlign w:val="center"/>
            <w:hideMark/>
          </w:tcPr>
          <w:p w14:paraId="1C750CFD"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-10,22%</w:t>
            </w:r>
          </w:p>
        </w:tc>
      </w:tr>
    </w:tbl>
    <w:p w14:paraId="7742ACE8" w14:textId="57EEFE32" w:rsidR="00337C1D" w:rsidRPr="00567780" w:rsidRDefault="00772A67" w:rsidP="006D2D75">
      <w:pPr>
        <w:spacing w:before="240"/>
        <w:rPr>
          <w:szCs w:val="24"/>
        </w:rPr>
      </w:pPr>
      <w:r>
        <w:rPr>
          <w:szCs w:val="24"/>
        </w:rPr>
        <w:fldChar w:fldCharType="end"/>
      </w:r>
      <w:bookmarkStart w:id="830" w:name="_Hlk124007931"/>
      <w:r w:rsidR="006D2D75" w:rsidRPr="00337C1D">
        <w:rPr>
          <w:rFonts w:eastAsia="Calibri" w:cs="Times New Roman"/>
          <w:bCs/>
          <w:lang w:val="es-ES"/>
        </w:rPr>
        <w:t xml:space="preserve"> </w:t>
      </w:r>
      <w:r w:rsidR="00337C1D" w:rsidRPr="00337C1D">
        <w:rPr>
          <w:rFonts w:eastAsia="Calibri" w:cs="Times New Roman"/>
          <w:bCs/>
          <w:lang w:val="es-ES"/>
        </w:rPr>
        <w:t>Detalle:</w:t>
      </w:r>
    </w:p>
    <w:tbl>
      <w:tblPr>
        <w:tblW w:w="4380" w:type="dxa"/>
        <w:tblInd w:w="-10" w:type="dxa"/>
        <w:tblCellMar>
          <w:left w:w="70" w:type="dxa"/>
          <w:right w:w="70" w:type="dxa"/>
        </w:tblCellMar>
        <w:tblLook w:val="04A0" w:firstRow="1" w:lastRow="0" w:firstColumn="1" w:lastColumn="0" w:noHBand="0" w:noVBand="1"/>
      </w:tblPr>
      <w:tblGrid>
        <w:gridCol w:w="1240"/>
        <w:gridCol w:w="3140"/>
      </w:tblGrid>
      <w:tr w:rsidR="00337C1D" w:rsidRPr="00337C1D" w14:paraId="53877D02" w14:textId="77777777" w:rsidTr="00495CDD">
        <w:trPr>
          <w:trHeight w:val="288"/>
        </w:trPr>
        <w:tc>
          <w:tcPr>
            <w:tcW w:w="1240" w:type="dxa"/>
            <w:tcBorders>
              <w:top w:val="single" w:sz="8" w:space="0" w:color="auto"/>
              <w:left w:val="single" w:sz="8" w:space="0" w:color="auto"/>
              <w:bottom w:val="nil"/>
              <w:right w:val="single" w:sz="8" w:space="0" w:color="auto"/>
            </w:tcBorders>
            <w:shd w:val="clear" w:color="000000" w:fill="366092"/>
            <w:noWrap/>
            <w:vAlign w:val="center"/>
            <w:hideMark/>
          </w:tcPr>
          <w:p w14:paraId="33BAEE0D" w14:textId="77777777" w:rsidR="00337C1D" w:rsidRPr="00337C1D" w:rsidRDefault="00337C1D" w:rsidP="00495CDD">
            <w:pPr>
              <w:spacing w:after="0" w:line="240" w:lineRule="auto"/>
              <w:rPr>
                <w:rFonts w:eastAsia="Times New Roman" w:cs="Calibri"/>
                <w:b/>
                <w:bCs/>
                <w:color w:val="FFFFFF"/>
                <w:sz w:val="18"/>
                <w:szCs w:val="18"/>
                <w:lang w:eastAsia="es-CR"/>
              </w:rPr>
            </w:pPr>
            <w:r w:rsidRPr="00337C1D">
              <w:rPr>
                <w:rFonts w:eastAsia="Times New Roman" w:cs="Calibri"/>
                <w:b/>
                <w:bCs/>
                <w:color w:val="FFFFFF"/>
                <w:sz w:val="18"/>
                <w:szCs w:val="18"/>
                <w:lang w:eastAsia="es-CR"/>
              </w:rPr>
              <w:t xml:space="preserve">Cuenta </w:t>
            </w:r>
          </w:p>
        </w:tc>
        <w:tc>
          <w:tcPr>
            <w:tcW w:w="3140" w:type="dxa"/>
            <w:tcBorders>
              <w:top w:val="single" w:sz="8" w:space="0" w:color="auto"/>
              <w:left w:val="nil"/>
              <w:bottom w:val="nil"/>
              <w:right w:val="single" w:sz="8" w:space="0" w:color="auto"/>
            </w:tcBorders>
            <w:shd w:val="clear" w:color="000000" w:fill="366092"/>
            <w:vAlign w:val="center"/>
            <w:hideMark/>
          </w:tcPr>
          <w:p w14:paraId="254B4449" w14:textId="77777777" w:rsidR="00337C1D" w:rsidRPr="00337C1D" w:rsidRDefault="00337C1D" w:rsidP="00495CDD">
            <w:pPr>
              <w:spacing w:after="0" w:line="240" w:lineRule="auto"/>
              <w:jc w:val="center"/>
              <w:rPr>
                <w:rFonts w:eastAsia="Times New Roman" w:cs="Calibri"/>
                <w:b/>
                <w:bCs/>
                <w:color w:val="FFFFFF"/>
                <w:sz w:val="18"/>
                <w:szCs w:val="18"/>
                <w:lang w:eastAsia="es-CR"/>
              </w:rPr>
            </w:pPr>
            <w:r w:rsidRPr="00337C1D">
              <w:rPr>
                <w:rFonts w:eastAsia="Times New Roman" w:cs="Calibri"/>
                <w:b/>
                <w:bCs/>
                <w:color w:val="FFFFFF"/>
                <w:sz w:val="18"/>
                <w:szCs w:val="18"/>
                <w:lang w:eastAsia="es-CR"/>
              </w:rPr>
              <w:t xml:space="preserve">Descripción </w:t>
            </w:r>
          </w:p>
        </w:tc>
      </w:tr>
      <w:tr w:rsidR="00337C1D" w:rsidRPr="00337C1D" w14:paraId="0D00EFC0" w14:textId="77777777" w:rsidTr="00495CDD">
        <w:trPr>
          <w:trHeight w:val="54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0FD3A36D" w14:textId="77777777" w:rsidR="00337C1D" w:rsidRPr="00337C1D" w:rsidRDefault="00337C1D" w:rsidP="00495CDD">
            <w:pPr>
              <w:spacing w:after="0" w:line="240" w:lineRule="auto"/>
              <w:rPr>
                <w:rFonts w:eastAsia="Times New Roman" w:cs="Calibri"/>
                <w:b/>
                <w:bCs/>
                <w:color w:val="000000"/>
                <w:sz w:val="18"/>
                <w:szCs w:val="18"/>
                <w:lang w:eastAsia="es-CR"/>
              </w:rPr>
            </w:pPr>
            <w:r w:rsidRPr="00337C1D">
              <w:rPr>
                <w:rFonts w:eastAsia="Calibri" w:cs="Times New Roman"/>
                <w:b/>
                <w:bCs/>
                <w:color w:val="000000"/>
                <w:sz w:val="18"/>
                <w:szCs w:val="18"/>
                <w:lang w:eastAsia="es-CR"/>
              </w:rPr>
              <w:t>4.6.1.02.</w:t>
            </w:r>
          </w:p>
        </w:tc>
        <w:tc>
          <w:tcPr>
            <w:tcW w:w="3140" w:type="dxa"/>
            <w:tcBorders>
              <w:top w:val="nil"/>
              <w:left w:val="nil"/>
              <w:bottom w:val="single" w:sz="8" w:space="0" w:color="auto"/>
              <w:right w:val="single" w:sz="8" w:space="0" w:color="auto"/>
            </w:tcBorders>
            <w:shd w:val="clear" w:color="auto" w:fill="auto"/>
            <w:vAlign w:val="center"/>
            <w:hideMark/>
          </w:tcPr>
          <w:p w14:paraId="45313D14" w14:textId="77777777" w:rsidR="00337C1D" w:rsidRPr="00337C1D" w:rsidRDefault="00337C1D" w:rsidP="00495CDD">
            <w:pPr>
              <w:spacing w:after="0" w:line="240" w:lineRule="auto"/>
              <w:rPr>
                <w:rFonts w:eastAsia="Times New Roman" w:cs="Calibri"/>
                <w:b/>
                <w:bCs/>
                <w:color w:val="000000"/>
                <w:sz w:val="18"/>
                <w:szCs w:val="18"/>
                <w:lang w:eastAsia="es-CR"/>
              </w:rPr>
            </w:pPr>
            <w:r w:rsidRPr="00337C1D">
              <w:rPr>
                <w:rFonts w:eastAsia="Calibri" w:cs="Times New Roman"/>
                <w:b/>
                <w:bCs/>
                <w:color w:val="000000"/>
                <w:sz w:val="18"/>
                <w:szCs w:val="18"/>
                <w:lang w:eastAsia="es-CR"/>
              </w:rPr>
              <w:t>Transferencias corrientes del sector público interno</w:t>
            </w:r>
          </w:p>
        </w:tc>
      </w:tr>
    </w:tbl>
    <w:p w14:paraId="4D2230E7" w14:textId="6DF3D0CC" w:rsidR="00337C1D" w:rsidRDefault="00337C1D" w:rsidP="00567780">
      <w:pPr>
        <w:spacing w:after="0"/>
        <w:rPr>
          <w:rFonts w:eastAsia="Calibri" w:cs="Times New Roman"/>
          <w:b/>
          <w:bCs/>
          <w:lang w:val="es-ES"/>
        </w:rPr>
      </w:pPr>
    </w:p>
    <w:p w14:paraId="3D9E2084" w14:textId="5DDFC17A" w:rsidR="00775C3F" w:rsidRDefault="0027605E" w:rsidP="00567780">
      <w:pPr>
        <w:spacing w:after="0"/>
        <w:rPr>
          <w:rFonts w:eastAsia="Calibri" w:cs="Times New Roman"/>
          <w:b/>
          <w:bCs/>
          <w:lang w:val="es-ES"/>
        </w:rPr>
      </w:pPr>
      <w:r w:rsidRPr="0027605E">
        <w:rPr>
          <w:noProof/>
          <w:lang w:eastAsia="es-CR"/>
        </w:rPr>
        <w:lastRenderedPageBreak/>
        <w:drawing>
          <wp:inline distT="0" distB="0" distL="0" distR="0" wp14:anchorId="7CD736DF" wp14:editId="6E3B9AF1">
            <wp:extent cx="5764530" cy="1121134"/>
            <wp:effectExtent l="0" t="0" r="7620" b="3175"/>
            <wp:docPr id="44431467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71396" cy="1122469"/>
                    </a:xfrm>
                    <a:prstGeom prst="rect">
                      <a:avLst/>
                    </a:prstGeom>
                    <a:noFill/>
                    <a:ln>
                      <a:noFill/>
                    </a:ln>
                  </pic:spPr>
                </pic:pic>
              </a:graphicData>
            </a:graphic>
          </wp:inline>
        </w:drawing>
      </w:r>
    </w:p>
    <w:bookmarkEnd w:id="830"/>
    <w:p w14:paraId="15BFED3A" w14:textId="77777777" w:rsidR="00396CB4" w:rsidRPr="00396CB4" w:rsidRDefault="00692DC8" w:rsidP="00396CB4">
      <w:pPr>
        <w:spacing w:before="240"/>
        <w:rPr>
          <w:rFonts w:eastAsia="Calibri" w:cs="Times New Roman"/>
          <w:sz w:val="20"/>
          <w:szCs w:val="20"/>
          <w:lang w:eastAsia="es-CR"/>
        </w:rPr>
      </w:pPr>
      <w:r w:rsidRPr="00692DC8">
        <w:rPr>
          <w:rFonts w:eastAsia="Calibri" w:cs="Times New Roman"/>
          <w:b/>
          <w:bCs/>
          <w:lang w:val="es-ES"/>
        </w:rPr>
        <w:t>Revelación</w:t>
      </w:r>
      <w:r w:rsidRPr="00692DC8">
        <w:rPr>
          <w:rFonts w:eastAsia="Calibri" w:cs="Times New Roman"/>
          <w:lang w:val="es-ES"/>
        </w:rPr>
        <w:t xml:space="preserve">: </w:t>
      </w:r>
      <w:r w:rsidR="003069AC">
        <w:rPr>
          <w:rFonts w:eastAsia="Times New Roman" w:cs="Calibri"/>
          <w:color w:val="000000"/>
          <w:lang w:eastAsia="es-CR"/>
        </w:rPr>
        <w:fldChar w:fldCharType="begin"/>
      </w:r>
      <w:r w:rsidR="003069AC">
        <w:rPr>
          <w:rFonts w:eastAsia="Times New Roman" w:cs="Calibri"/>
          <w:color w:val="000000"/>
          <w:lang w:eastAsia="es-CR"/>
        </w:rPr>
        <w:instrText xml:space="preserve"> LINK </w:instrText>
      </w:r>
      <w:r w:rsidR="00756467">
        <w:rPr>
          <w:rFonts w:eastAsia="Times New Roman" w:cs="Calibri"/>
          <w:color w:val="000000"/>
          <w:lang w:eastAsia="es-CR"/>
        </w:rPr>
        <w:instrText xml:space="preserve">Excel.SheetMacroEnabled.12 "C:\\Users\\gcordero\\Downloads\\Notas diciembre 2024\\Formato_Notas_EEFF_Vinculadas_2024\\Formato_Notas_EEFF_Vinculadas_2024\\15603_T04_2024_Anexo_Estado_Notas_Contables_Vinculadas.xlsm" NOTAS_POR_CUENTA!F310C8 </w:instrText>
      </w:r>
      <w:r w:rsidR="003069AC">
        <w:rPr>
          <w:rFonts w:eastAsia="Times New Roman" w:cs="Calibri"/>
          <w:color w:val="000000"/>
          <w:lang w:eastAsia="es-CR"/>
        </w:rPr>
        <w:instrText xml:space="preserve">\a \f 5 \h  \* MERGEFORMAT </w:instrText>
      </w:r>
      <w:r w:rsidR="003069AC">
        <w:rPr>
          <w:rFonts w:eastAsia="Times New Roman" w:cs="Calibri"/>
          <w:color w:val="000000"/>
          <w:lang w:eastAsia="es-CR"/>
        </w:rPr>
        <w:fldChar w:fldCharType="separate"/>
      </w:r>
    </w:p>
    <w:p w14:paraId="54B268DF" w14:textId="77777777" w:rsidR="00396CB4" w:rsidRPr="00396CB4" w:rsidRDefault="00396CB4" w:rsidP="00396CB4">
      <w:pPr>
        <w:rPr>
          <w:rFonts w:eastAsia="Times New Roman" w:cs="Calibri"/>
          <w:color w:val="000000"/>
          <w:lang w:eastAsia="es-CR"/>
        </w:rPr>
      </w:pPr>
      <w:r w:rsidRPr="00396CB4">
        <w:rPr>
          <w:rFonts w:eastAsia="Times New Roman" w:cs="Calibri"/>
          <w:color w:val="000000"/>
          <w:lang w:eastAsia="es-CR"/>
        </w:rPr>
        <w:t>La cuenta Transferencias corrientes, representa el 0,31% del total del Ingresos, que comparado al periodo anterior genera una variación absoluta de -2 076,40 que corresponde a un Disminución del -10,22% de recursos disponibles.</w:t>
      </w:r>
    </w:p>
    <w:p w14:paraId="39D14478" w14:textId="3DD56522" w:rsidR="00CD1227" w:rsidRDefault="003069AC" w:rsidP="00CD1227">
      <w:pPr>
        <w:rPr>
          <w:rFonts w:eastAsia="Calibri" w:cs="Times New Roman"/>
        </w:rPr>
      </w:pPr>
      <w:r>
        <w:rPr>
          <w:rFonts w:eastAsia="Times New Roman" w:cs="Calibri"/>
          <w:color w:val="000000"/>
          <w:lang w:eastAsia="es-CR"/>
        </w:rPr>
        <w:fldChar w:fldCharType="end"/>
      </w:r>
      <w:r w:rsidR="00692DC8" w:rsidRPr="00692DC8">
        <w:rPr>
          <w:rFonts w:eastAsia="Calibri" w:cs="Times New Roman"/>
          <w:highlight w:val="lightGray"/>
        </w:rPr>
        <w:t>Las variaciones de la cuenta son producto de (Indicar la razón de las variaciones de un periodo a otro):</w:t>
      </w:r>
      <w:r w:rsidR="00692DC8" w:rsidRPr="00692DC8">
        <w:rPr>
          <w:rFonts w:eastAsia="Calibri" w:cs="Times New Roman"/>
        </w:rPr>
        <w:t xml:space="preserve"> </w:t>
      </w:r>
    </w:p>
    <w:p w14:paraId="1C6D1200" w14:textId="1C24E48C" w:rsidR="00775C3F" w:rsidRPr="00E570B5" w:rsidRDefault="00775C3F" w:rsidP="00775C3F">
      <w:pPr>
        <w:spacing w:after="0" w:line="240" w:lineRule="auto"/>
        <w:rPr>
          <w:rFonts w:eastAsia="Calibri"/>
        </w:rPr>
      </w:pPr>
      <w:r w:rsidRPr="00E570B5">
        <w:rPr>
          <w:rFonts w:eastAsia="Calibri"/>
        </w:rPr>
        <w:t xml:space="preserve">La variación </w:t>
      </w:r>
      <w:r>
        <w:rPr>
          <w:rFonts w:eastAsia="Calibri"/>
        </w:rPr>
        <w:t xml:space="preserve">(disminución) </w:t>
      </w:r>
      <w:r w:rsidRPr="00E570B5">
        <w:rPr>
          <w:rFonts w:eastAsia="Calibri"/>
        </w:rPr>
        <w:t xml:space="preserve">corresponde a una menor recaudación de recursos </w:t>
      </w:r>
      <w:r>
        <w:rPr>
          <w:rFonts w:eastAsia="Calibri"/>
        </w:rPr>
        <w:t>por concepto de transferencia d</w:t>
      </w:r>
      <w:r w:rsidRPr="00E570B5">
        <w:rPr>
          <w:rFonts w:eastAsia="Calibri"/>
        </w:rPr>
        <w:t xml:space="preserve">el IFAM por concepto del impuesto a licores nacionales y extranjeros </w:t>
      </w:r>
      <w:r>
        <w:rPr>
          <w:rFonts w:eastAsia="Calibri"/>
        </w:rPr>
        <w:t xml:space="preserve">que la </w:t>
      </w:r>
      <w:r w:rsidRPr="00E570B5">
        <w:rPr>
          <w:rFonts w:eastAsia="Calibri"/>
        </w:rPr>
        <w:t xml:space="preserve">efectuada </w:t>
      </w:r>
      <w:r w:rsidRPr="00E570B5">
        <w:t>durante</w:t>
      </w:r>
      <w:r w:rsidRPr="00E570B5">
        <w:rPr>
          <w:rFonts w:eastAsia="Calibri"/>
        </w:rPr>
        <w:t xml:space="preserve"> </w:t>
      </w:r>
      <w:r w:rsidR="00D64CF8">
        <w:rPr>
          <w:rFonts w:eastAsia="Calibri"/>
        </w:rPr>
        <w:t>diciembre</w:t>
      </w:r>
      <w:r w:rsidRPr="00E570B5">
        <w:rPr>
          <w:rFonts w:eastAsia="Calibri"/>
        </w:rPr>
        <w:t xml:space="preserve"> de </w:t>
      </w:r>
      <w:r>
        <w:rPr>
          <w:rFonts w:eastAsia="Calibri"/>
        </w:rPr>
        <w:t xml:space="preserve">2024 en relación con </w:t>
      </w:r>
      <w:r w:rsidR="00D64CF8">
        <w:rPr>
          <w:rFonts w:eastAsia="Calibri"/>
        </w:rPr>
        <w:t>diciembre</w:t>
      </w:r>
      <w:r>
        <w:rPr>
          <w:rFonts w:eastAsia="Calibri"/>
        </w:rPr>
        <w:t xml:space="preserve"> de 2023</w:t>
      </w:r>
      <w:r w:rsidRPr="00E570B5">
        <w:rPr>
          <w:rFonts w:eastAsia="Calibri"/>
        </w:rPr>
        <w:t xml:space="preserve">, de acuerdo con </w:t>
      </w:r>
      <w:r>
        <w:rPr>
          <w:rFonts w:eastAsia="Calibri"/>
        </w:rPr>
        <w:t xml:space="preserve">lo estipulado en </w:t>
      </w:r>
      <w:r w:rsidRPr="00E570B5">
        <w:rPr>
          <w:rFonts w:eastAsia="Calibri"/>
        </w:rPr>
        <w:t>la Ley de Presupuestos Ordinario y Extraordinarios de la República</w:t>
      </w:r>
      <w:r>
        <w:rPr>
          <w:rFonts w:eastAsia="Calibri"/>
        </w:rPr>
        <w:t>.</w:t>
      </w:r>
    </w:p>
    <w:p w14:paraId="3E9595EE" w14:textId="77777777" w:rsidR="00775C3F" w:rsidRPr="00567780" w:rsidRDefault="00775C3F" w:rsidP="00CD1227">
      <w:pPr>
        <w:rPr>
          <w:rFonts w:eastAsia="Calibri" w:cs="Times New Roman"/>
        </w:rPr>
      </w:pPr>
    </w:p>
    <w:p w14:paraId="50AA2450" w14:textId="77777777" w:rsidR="00692DC8" w:rsidRPr="00692DC8" w:rsidRDefault="00692DC8" w:rsidP="00CD1227">
      <w:pPr>
        <w:pStyle w:val="Ttulo4"/>
        <w:rPr>
          <w:rFonts w:eastAsia="Times New Roman"/>
        </w:rPr>
      </w:pPr>
      <w:bookmarkStart w:id="831" w:name="_Toc14344860"/>
      <w:bookmarkStart w:id="832" w:name="_Toc33601294"/>
      <w:bookmarkStart w:id="833" w:name="_Toc82769014"/>
      <w:bookmarkStart w:id="834" w:name="_Toc189804895"/>
      <w:r w:rsidRPr="00692DC8">
        <w:rPr>
          <w:rFonts w:eastAsia="Times New Roman"/>
        </w:rPr>
        <w:t>NOTA N° 5</w:t>
      </w:r>
      <w:bookmarkEnd w:id="831"/>
      <w:bookmarkEnd w:id="832"/>
      <w:bookmarkEnd w:id="833"/>
      <w:r w:rsidRPr="00692DC8">
        <w:rPr>
          <w:rFonts w:eastAsia="Times New Roman"/>
        </w:rPr>
        <w:t>1</w:t>
      </w:r>
      <w:bookmarkEnd w:id="834"/>
    </w:p>
    <w:p w14:paraId="144BFECE" w14:textId="77777777" w:rsidR="00396CB4" w:rsidRPr="00396CB4" w:rsidRDefault="00692DC8" w:rsidP="00396CB4">
      <w:pPr>
        <w:pStyle w:val="Ttulo4"/>
        <w:spacing w:after="240"/>
        <w:rPr>
          <w:rFonts w:eastAsia="Calibri"/>
          <w:sz w:val="20"/>
          <w:szCs w:val="20"/>
          <w:lang w:eastAsia="es-CR"/>
        </w:rPr>
      </w:pPr>
      <w:bookmarkStart w:id="835" w:name="_Toc14344861"/>
      <w:bookmarkStart w:id="836" w:name="_Toc33601295"/>
      <w:bookmarkStart w:id="837" w:name="_Toc82769015"/>
      <w:bookmarkStart w:id="838" w:name="_Toc189804896"/>
      <w:r w:rsidRPr="00692DC8">
        <w:rPr>
          <w:rFonts w:eastAsia="Times New Roman"/>
        </w:rPr>
        <w:t>Transferencias de capital</w:t>
      </w:r>
      <w:bookmarkEnd w:id="835"/>
      <w:bookmarkEnd w:id="836"/>
      <w:bookmarkEnd w:id="837"/>
      <w:bookmarkEnd w:id="838"/>
      <w:r w:rsidR="00337C1D">
        <w:fldChar w:fldCharType="begin"/>
      </w:r>
      <w:r w:rsidR="00337C1D">
        <w:instrText xml:space="preserve"> LINK </w:instrText>
      </w:r>
      <w:r w:rsidR="00756467">
        <w:instrText xml:space="preserve">Excel.SheetMacroEnabled.12 "C:\\Users\\gcordero\\Downloads\\Notas diciembre 2024\\Formato_Notas_EEFF_Vinculadas_2024\\Formato_Notas_EEFF_Vinculadas_2024\\15603_T04_2024_Anexo_Estado_Notas_Contables_Vinculadas.xlsm" NOTAS_POR_CUENTA!F312C1:F314C6 </w:instrText>
      </w:r>
      <w:r w:rsidR="00337C1D">
        <w:instrText xml:space="preserve">\a \f 4 \h  \* MERGEFORMAT </w:instrText>
      </w:r>
      <w:r w:rsidR="00337C1D">
        <w:fldChar w:fldCharType="separate"/>
      </w:r>
    </w:p>
    <w:tbl>
      <w:tblPr>
        <w:tblW w:w="9140" w:type="dxa"/>
        <w:tblCellMar>
          <w:left w:w="70" w:type="dxa"/>
          <w:right w:w="70" w:type="dxa"/>
        </w:tblCellMar>
        <w:tblLook w:val="04A0" w:firstRow="1" w:lastRow="0" w:firstColumn="1" w:lastColumn="0" w:noHBand="0" w:noVBand="1"/>
      </w:tblPr>
      <w:tblGrid>
        <w:gridCol w:w="680"/>
        <w:gridCol w:w="3320"/>
        <w:gridCol w:w="580"/>
        <w:gridCol w:w="1660"/>
        <w:gridCol w:w="1660"/>
        <w:gridCol w:w="1240"/>
      </w:tblGrid>
      <w:tr w:rsidR="00396CB4" w:rsidRPr="00396CB4" w14:paraId="5DB5CBC7" w14:textId="77777777" w:rsidTr="00396CB4">
        <w:trPr>
          <w:divId w:val="990016225"/>
          <w:trHeight w:val="324"/>
        </w:trPr>
        <w:tc>
          <w:tcPr>
            <w:tcW w:w="6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F0E1B16" w14:textId="2F84CA27" w:rsidR="00396CB4" w:rsidRPr="00396CB4" w:rsidRDefault="00396CB4" w:rsidP="00396CB4">
            <w:pPr>
              <w:spacing w:after="0" w:line="240" w:lineRule="auto"/>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B31ED30"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5652E3D"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16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5ABD844"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16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C947727"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16ABF3D4"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2670E44D" w14:textId="77777777" w:rsidTr="00396CB4">
        <w:trPr>
          <w:divId w:val="990016225"/>
          <w:trHeight w:val="324"/>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2257813D"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1205C2E0"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80" w:type="dxa"/>
            <w:vMerge/>
            <w:tcBorders>
              <w:top w:val="single" w:sz="8" w:space="0" w:color="auto"/>
              <w:left w:val="single" w:sz="8" w:space="0" w:color="auto"/>
              <w:bottom w:val="single" w:sz="8" w:space="0" w:color="000000"/>
              <w:right w:val="single" w:sz="8" w:space="0" w:color="auto"/>
            </w:tcBorders>
            <w:vAlign w:val="center"/>
            <w:hideMark/>
          </w:tcPr>
          <w:p w14:paraId="0211CA52"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660" w:type="dxa"/>
            <w:vMerge/>
            <w:tcBorders>
              <w:top w:val="single" w:sz="8" w:space="0" w:color="auto"/>
              <w:left w:val="single" w:sz="8" w:space="0" w:color="auto"/>
              <w:bottom w:val="single" w:sz="8" w:space="0" w:color="000000"/>
              <w:right w:val="single" w:sz="8" w:space="0" w:color="auto"/>
            </w:tcBorders>
            <w:vAlign w:val="center"/>
            <w:hideMark/>
          </w:tcPr>
          <w:p w14:paraId="7F8B4F14"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660" w:type="dxa"/>
            <w:vMerge/>
            <w:tcBorders>
              <w:top w:val="single" w:sz="8" w:space="0" w:color="auto"/>
              <w:left w:val="single" w:sz="8" w:space="0" w:color="auto"/>
              <w:bottom w:val="single" w:sz="8" w:space="0" w:color="000000"/>
              <w:right w:val="single" w:sz="8" w:space="0" w:color="auto"/>
            </w:tcBorders>
            <w:vAlign w:val="center"/>
            <w:hideMark/>
          </w:tcPr>
          <w:p w14:paraId="1E65A150"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3BEA4BF6"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610C4A21" w14:textId="77777777" w:rsidTr="00396CB4">
        <w:trPr>
          <w:divId w:val="990016225"/>
          <w:trHeight w:val="324"/>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14:paraId="53F31FD5"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4.6.2.</w:t>
            </w:r>
          </w:p>
        </w:tc>
        <w:tc>
          <w:tcPr>
            <w:tcW w:w="3320" w:type="dxa"/>
            <w:tcBorders>
              <w:top w:val="nil"/>
              <w:left w:val="nil"/>
              <w:bottom w:val="single" w:sz="8" w:space="0" w:color="auto"/>
              <w:right w:val="single" w:sz="8" w:space="0" w:color="auto"/>
            </w:tcBorders>
            <w:shd w:val="clear" w:color="auto" w:fill="auto"/>
            <w:vAlign w:val="center"/>
            <w:hideMark/>
          </w:tcPr>
          <w:p w14:paraId="3119219F" w14:textId="77777777" w:rsidR="00396CB4" w:rsidRPr="00396CB4" w:rsidRDefault="00396CB4" w:rsidP="00396CB4">
            <w:pPr>
              <w:spacing w:after="0" w:line="240" w:lineRule="auto"/>
              <w:rPr>
                <w:rFonts w:eastAsia="Times New Roman" w:cs="Calibri"/>
                <w:b/>
                <w:bCs/>
                <w:color w:val="000000"/>
                <w:sz w:val="18"/>
                <w:szCs w:val="18"/>
                <w:lang w:eastAsia="es-CR"/>
              </w:rPr>
            </w:pPr>
            <w:r w:rsidRPr="00396CB4">
              <w:rPr>
                <w:rFonts w:eastAsia="Times New Roman" w:cs="Calibri"/>
                <w:b/>
                <w:bCs/>
                <w:color w:val="000000"/>
                <w:sz w:val="18"/>
                <w:szCs w:val="18"/>
                <w:lang w:eastAsia="es-CR"/>
              </w:rPr>
              <w:t>Transferencias de capital</w:t>
            </w:r>
          </w:p>
        </w:tc>
        <w:tc>
          <w:tcPr>
            <w:tcW w:w="580" w:type="dxa"/>
            <w:tcBorders>
              <w:top w:val="nil"/>
              <w:left w:val="nil"/>
              <w:bottom w:val="single" w:sz="8" w:space="0" w:color="auto"/>
              <w:right w:val="single" w:sz="8" w:space="0" w:color="auto"/>
            </w:tcBorders>
            <w:shd w:val="clear" w:color="auto" w:fill="auto"/>
            <w:noWrap/>
            <w:vAlign w:val="center"/>
            <w:hideMark/>
          </w:tcPr>
          <w:p w14:paraId="2C2B922D"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51</w:t>
            </w:r>
          </w:p>
        </w:tc>
        <w:tc>
          <w:tcPr>
            <w:tcW w:w="1660" w:type="dxa"/>
            <w:tcBorders>
              <w:top w:val="nil"/>
              <w:left w:val="nil"/>
              <w:bottom w:val="single" w:sz="8" w:space="0" w:color="auto"/>
              <w:right w:val="single" w:sz="8" w:space="0" w:color="auto"/>
            </w:tcBorders>
            <w:shd w:val="clear" w:color="auto" w:fill="auto"/>
            <w:noWrap/>
            <w:vAlign w:val="center"/>
            <w:hideMark/>
          </w:tcPr>
          <w:p w14:paraId="1E9391C8"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8"/>
                <w:szCs w:val="18"/>
                <w:lang w:eastAsia="es-CR"/>
              </w:rPr>
              <w:t xml:space="preserve"> </w:t>
            </w:r>
            <w:r w:rsidRPr="00396CB4">
              <w:rPr>
                <w:rFonts w:ascii="Arial" w:eastAsia="Times New Roman" w:hAnsi="Arial" w:cs="Arial"/>
                <w:b/>
                <w:bCs/>
                <w:color w:val="000000"/>
                <w:sz w:val="18"/>
                <w:szCs w:val="18"/>
                <w:lang w:eastAsia="es-CR"/>
              </w:rPr>
              <w:t>4</w:t>
            </w:r>
            <w:r w:rsidRPr="00396CB4">
              <w:rPr>
                <w:rFonts w:eastAsia="Times New Roman" w:cs="Calibri"/>
                <w:b/>
                <w:bCs/>
                <w:color w:val="000000"/>
                <w:sz w:val="18"/>
                <w:szCs w:val="18"/>
                <w:lang w:eastAsia="es-CR"/>
              </w:rPr>
              <w:t xml:space="preserve"> 102</w:t>
            </w:r>
            <w:r w:rsidRPr="00396CB4">
              <w:rPr>
                <w:rFonts w:eastAsia="Times New Roman" w:cs="Calibri"/>
                <w:b/>
                <w:bCs/>
                <w:color w:val="000000"/>
                <w:sz w:val="16"/>
                <w:szCs w:val="16"/>
                <w:lang w:eastAsia="es-CR"/>
              </w:rPr>
              <w:t xml:space="preserve"> 012,64 </w:t>
            </w:r>
          </w:p>
        </w:tc>
        <w:tc>
          <w:tcPr>
            <w:tcW w:w="1660" w:type="dxa"/>
            <w:tcBorders>
              <w:top w:val="nil"/>
              <w:left w:val="nil"/>
              <w:bottom w:val="single" w:sz="8" w:space="0" w:color="auto"/>
              <w:right w:val="single" w:sz="8" w:space="0" w:color="auto"/>
            </w:tcBorders>
            <w:shd w:val="clear" w:color="auto" w:fill="auto"/>
            <w:noWrap/>
            <w:vAlign w:val="center"/>
            <w:hideMark/>
          </w:tcPr>
          <w:p w14:paraId="1E4C596F"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8"/>
                <w:szCs w:val="18"/>
                <w:lang w:eastAsia="es-CR"/>
              </w:rPr>
              <w:t xml:space="preserve"> </w:t>
            </w:r>
            <w:r w:rsidRPr="00396CB4">
              <w:rPr>
                <w:rFonts w:ascii="Arial" w:eastAsia="Times New Roman" w:hAnsi="Arial" w:cs="Arial"/>
                <w:b/>
                <w:bCs/>
                <w:color w:val="000000"/>
                <w:sz w:val="18"/>
                <w:szCs w:val="18"/>
                <w:lang w:eastAsia="es-CR"/>
              </w:rPr>
              <w:t>4</w:t>
            </w:r>
            <w:r w:rsidRPr="00396CB4">
              <w:rPr>
                <w:rFonts w:eastAsia="Times New Roman" w:cs="Calibri"/>
                <w:b/>
                <w:bCs/>
                <w:color w:val="000000"/>
                <w:sz w:val="18"/>
                <w:szCs w:val="18"/>
                <w:lang w:eastAsia="es-CR"/>
              </w:rPr>
              <w:t xml:space="preserve"> 004</w:t>
            </w:r>
            <w:r w:rsidRPr="00396CB4">
              <w:rPr>
                <w:rFonts w:eastAsia="Times New Roman" w:cs="Calibri"/>
                <w:b/>
                <w:bCs/>
                <w:color w:val="000000"/>
                <w:sz w:val="16"/>
                <w:szCs w:val="16"/>
                <w:lang w:eastAsia="es-CR"/>
              </w:rPr>
              <w:t xml:space="preserve"> 209,24 </w:t>
            </w:r>
          </w:p>
        </w:tc>
        <w:tc>
          <w:tcPr>
            <w:tcW w:w="1240" w:type="dxa"/>
            <w:tcBorders>
              <w:top w:val="nil"/>
              <w:left w:val="nil"/>
              <w:bottom w:val="single" w:sz="8" w:space="0" w:color="auto"/>
              <w:right w:val="single" w:sz="8" w:space="0" w:color="auto"/>
            </w:tcBorders>
            <w:shd w:val="clear" w:color="auto" w:fill="auto"/>
            <w:noWrap/>
            <w:vAlign w:val="center"/>
            <w:hideMark/>
          </w:tcPr>
          <w:p w14:paraId="720FBE81"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2,44%</w:t>
            </w:r>
          </w:p>
        </w:tc>
      </w:tr>
    </w:tbl>
    <w:p w14:paraId="05C51EFC" w14:textId="5B3ACAF3" w:rsidR="00337C1D" w:rsidRPr="00337C1D" w:rsidRDefault="00337C1D" w:rsidP="006D2D75">
      <w:pPr>
        <w:spacing w:before="240"/>
        <w:rPr>
          <w:rFonts w:eastAsia="Calibri" w:cs="Times New Roman"/>
          <w:bCs/>
          <w:lang w:val="es-ES"/>
        </w:rPr>
      </w:pPr>
      <w:r>
        <w:rPr>
          <w:szCs w:val="24"/>
        </w:rPr>
        <w:fldChar w:fldCharType="end"/>
      </w:r>
      <w:bookmarkStart w:id="839" w:name="_Hlk124008211"/>
      <w:r w:rsidRPr="00337C1D">
        <w:rPr>
          <w:rFonts w:eastAsia="Calibri" w:cs="Times New Roman"/>
          <w:bCs/>
          <w:lang w:val="es-ES"/>
        </w:rPr>
        <w:t>Detalle:</w:t>
      </w:r>
    </w:p>
    <w:tbl>
      <w:tblPr>
        <w:tblW w:w="4380" w:type="dxa"/>
        <w:tblInd w:w="-10" w:type="dxa"/>
        <w:tblCellMar>
          <w:left w:w="70" w:type="dxa"/>
          <w:right w:w="70" w:type="dxa"/>
        </w:tblCellMar>
        <w:tblLook w:val="04A0" w:firstRow="1" w:lastRow="0" w:firstColumn="1" w:lastColumn="0" w:noHBand="0" w:noVBand="1"/>
      </w:tblPr>
      <w:tblGrid>
        <w:gridCol w:w="1240"/>
        <w:gridCol w:w="3140"/>
      </w:tblGrid>
      <w:tr w:rsidR="00337C1D" w:rsidRPr="00337C1D" w14:paraId="51782D5E" w14:textId="77777777" w:rsidTr="00495CDD">
        <w:trPr>
          <w:trHeight w:val="288"/>
        </w:trPr>
        <w:tc>
          <w:tcPr>
            <w:tcW w:w="1240" w:type="dxa"/>
            <w:tcBorders>
              <w:top w:val="single" w:sz="8" w:space="0" w:color="auto"/>
              <w:left w:val="single" w:sz="8" w:space="0" w:color="auto"/>
              <w:bottom w:val="nil"/>
              <w:right w:val="single" w:sz="8" w:space="0" w:color="auto"/>
            </w:tcBorders>
            <w:shd w:val="clear" w:color="000000" w:fill="366092"/>
            <w:noWrap/>
            <w:vAlign w:val="center"/>
            <w:hideMark/>
          </w:tcPr>
          <w:p w14:paraId="76426363" w14:textId="77777777" w:rsidR="00337C1D" w:rsidRPr="00337C1D" w:rsidRDefault="00337C1D" w:rsidP="00495CDD">
            <w:pPr>
              <w:spacing w:after="0" w:line="240" w:lineRule="auto"/>
              <w:rPr>
                <w:rFonts w:eastAsia="Times New Roman" w:cs="Calibri"/>
                <w:b/>
                <w:bCs/>
                <w:color w:val="FFFFFF"/>
                <w:sz w:val="18"/>
                <w:szCs w:val="18"/>
                <w:lang w:eastAsia="es-CR"/>
              </w:rPr>
            </w:pPr>
            <w:r w:rsidRPr="00337C1D">
              <w:rPr>
                <w:rFonts w:eastAsia="Times New Roman" w:cs="Calibri"/>
                <w:b/>
                <w:bCs/>
                <w:color w:val="FFFFFF"/>
                <w:sz w:val="18"/>
                <w:szCs w:val="18"/>
                <w:lang w:eastAsia="es-CR"/>
              </w:rPr>
              <w:t xml:space="preserve">Cuenta </w:t>
            </w:r>
          </w:p>
        </w:tc>
        <w:tc>
          <w:tcPr>
            <w:tcW w:w="3140" w:type="dxa"/>
            <w:tcBorders>
              <w:top w:val="single" w:sz="8" w:space="0" w:color="auto"/>
              <w:left w:val="nil"/>
              <w:bottom w:val="nil"/>
              <w:right w:val="single" w:sz="8" w:space="0" w:color="auto"/>
            </w:tcBorders>
            <w:shd w:val="clear" w:color="000000" w:fill="366092"/>
            <w:vAlign w:val="center"/>
            <w:hideMark/>
          </w:tcPr>
          <w:p w14:paraId="6BEBD5DB" w14:textId="77777777" w:rsidR="00337C1D" w:rsidRPr="00337C1D" w:rsidRDefault="00337C1D" w:rsidP="00495CDD">
            <w:pPr>
              <w:spacing w:after="0" w:line="240" w:lineRule="auto"/>
              <w:jc w:val="center"/>
              <w:rPr>
                <w:rFonts w:eastAsia="Times New Roman" w:cs="Calibri"/>
                <w:b/>
                <w:bCs/>
                <w:color w:val="FFFFFF"/>
                <w:sz w:val="18"/>
                <w:szCs w:val="18"/>
                <w:lang w:eastAsia="es-CR"/>
              </w:rPr>
            </w:pPr>
            <w:r w:rsidRPr="00337C1D">
              <w:rPr>
                <w:rFonts w:eastAsia="Times New Roman" w:cs="Calibri"/>
                <w:b/>
                <w:bCs/>
                <w:color w:val="FFFFFF"/>
                <w:sz w:val="18"/>
                <w:szCs w:val="18"/>
                <w:lang w:eastAsia="es-CR"/>
              </w:rPr>
              <w:t xml:space="preserve">Descripción </w:t>
            </w:r>
          </w:p>
        </w:tc>
      </w:tr>
      <w:tr w:rsidR="00337C1D" w:rsidRPr="00337C1D" w14:paraId="50B76CB3" w14:textId="77777777" w:rsidTr="00495CDD">
        <w:trPr>
          <w:trHeight w:val="54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0A713DE7" w14:textId="3A3800B5" w:rsidR="00337C1D" w:rsidRPr="00337C1D" w:rsidRDefault="00337C1D" w:rsidP="00495CDD">
            <w:pPr>
              <w:spacing w:after="0" w:line="240" w:lineRule="auto"/>
              <w:rPr>
                <w:rFonts w:eastAsia="Times New Roman" w:cs="Calibri"/>
                <w:b/>
                <w:bCs/>
                <w:color w:val="000000"/>
                <w:sz w:val="18"/>
                <w:szCs w:val="18"/>
                <w:lang w:eastAsia="es-CR"/>
              </w:rPr>
            </w:pPr>
            <w:r w:rsidRPr="00337C1D">
              <w:rPr>
                <w:rFonts w:eastAsia="Calibri" w:cs="Times New Roman"/>
                <w:b/>
                <w:bCs/>
                <w:color w:val="000000"/>
                <w:sz w:val="18"/>
                <w:szCs w:val="18"/>
                <w:lang w:eastAsia="es-CR"/>
              </w:rPr>
              <w:t>4.6.</w:t>
            </w:r>
            <w:r w:rsidR="00EC7A41">
              <w:rPr>
                <w:rFonts w:eastAsia="Calibri" w:cs="Times New Roman"/>
                <w:b/>
                <w:bCs/>
                <w:color w:val="000000"/>
                <w:sz w:val="18"/>
                <w:szCs w:val="18"/>
                <w:lang w:eastAsia="es-CR"/>
              </w:rPr>
              <w:t>2</w:t>
            </w:r>
            <w:r w:rsidRPr="00337C1D">
              <w:rPr>
                <w:rFonts w:eastAsia="Calibri" w:cs="Times New Roman"/>
                <w:b/>
                <w:bCs/>
                <w:color w:val="000000"/>
                <w:sz w:val="18"/>
                <w:szCs w:val="18"/>
                <w:lang w:eastAsia="es-CR"/>
              </w:rPr>
              <w:t>.02.</w:t>
            </w:r>
          </w:p>
        </w:tc>
        <w:tc>
          <w:tcPr>
            <w:tcW w:w="3140" w:type="dxa"/>
            <w:tcBorders>
              <w:top w:val="nil"/>
              <w:left w:val="nil"/>
              <w:bottom w:val="single" w:sz="8" w:space="0" w:color="auto"/>
              <w:right w:val="single" w:sz="8" w:space="0" w:color="auto"/>
            </w:tcBorders>
            <w:shd w:val="clear" w:color="auto" w:fill="auto"/>
            <w:vAlign w:val="center"/>
            <w:hideMark/>
          </w:tcPr>
          <w:p w14:paraId="356076B9" w14:textId="4ADAD7AE" w:rsidR="00337C1D" w:rsidRPr="00337C1D" w:rsidRDefault="00337C1D" w:rsidP="00495CDD">
            <w:pPr>
              <w:spacing w:after="0" w:line="240" w:lineRule="auto"/>
              <w:rPr>
                <w:rFonts w:eastAsia="Times New Roman" w:cs="Calibri"/>
                <w:b/>
                <w:bCs/>
                <w:color w:val="000000"/>
                <w:sz w:val="18"/>
                <w:szCs w:val="18"/>
                <w:lang w:eastAsia="es-CR"/>
              </w:rPr>
            </w:pPr>
            <w:r w:rsidRPr="00337C1D">
              <w:rPr>
                <w:rFonts w:eastAsia="Calibri" w:cs="Times New Roman"/>
                <w:b/>
                <w:bCs/>
                <w:color w:val="000000"/>
                <w:sz w:val="18"/>
                <w:szCs w:val="18"/>
                <w:lang w:eastAsia="es-CR"/>
              </w:rPr>
              <w:t xml:space="preserve">Transferencias </w:t>
            </w:r>
            <w:r w:rsidR="00EC7A41">
              <w:rPr>
                <w:rFonts w:eastAsia="Calibri" w:cs="Times New Roman"/>
                <w:b/>
                <w:bCs/>
                <w:color w:val="000000"/>
                <w:sz w:val="18"/>
                <w:szCs w:val="18"/>
                <w:lang w:eastAsia="es-CR"/>
              </w:rPr>
              <w:t>de capital</w:t>
            </w:r>
            <w:r w:rsidRPr="00337C1D">
              <w:rPr>
                <w:rFonts w:eastAsia="Calibri" w:cs="Times New Roman"/>
                <w:b/>
                <w:bCs/>
                <w:color w:val="000000"/>
                <w:sz w:val="18"/>
                <w:szCs w:val="18"/>
                <w:lang w:eastAsia="es-CR"/>
              </w:rPr>
              <w:t xml:space="preserve"> del sector público interno</w:t>
            </w:r>
          </w:p>
        </w:tc>
      </w:tr>
    </w:tbl>
    <w:p w14:paraId="50F28A97" w14:textId="1F3AE7B4" w:rsidR="006D2D75" w:rsidRDefault="006D2D75" w:rsidP="00567780">
      <w:pPr>
        <w:spacing w:after="0"/>
        <w:rPr>
          <w:rFonts w:eastAsia="Calibri" w:cs="Times New Roman"/>
          <w:b/>
          <w:bCs/>
          <w:lang w:val="es-ES"/>
        </w:rPr>
      </w:pPr>
    </w:p>
    <w:tbl>
      <w:tblPr>
        <w:tblW w:w="8840" w:type="dxa"/>
        <w:tblCellMar>
          <w:left w:w="70" w:type="dxa"/>
          <w:right w:w="70" w:type="dxa"/>
        </w:tblCellMar>
        <w:tblLook w:val="04A0" w:firstRow="1" w:lastRow="0" w:firstColumn="1" w:lastColumn="0" w:noHBand="0" w:noVBand="1"/>
      </w:tblPr>
      <w:tblGrid>
        <w:gridCol w:w="1407"/>
        <w:gridCol w:w="1913"/>
        <w:gridCol w:w="1300"/>
        <w:gridCol w:w="1340"/>
        <w:gridCol w:w="1440"/>
        <w:gridCol w:w="1440"/>
      </w:tblGrid>
      <w:tr w:rsidR="0027605E" w:rsidRPr="0027605E" w14:paraId="09623F68" w14:textId="77777777" w:rsidTr="0027605E">
        <w:trPr>
          <w:trHeight w:val="525"/>
        </w:trPr>
        <w:tc>
          <w:tcPr>
            <w:tcW w:w="1400" w:type="dxa"/>
            <w:tcBorders>
              <w:top w:val="single" w:sz="8" w:space="0" w:color="auto"/>
              <w:left w:val="single" w:sz="8" w:space="0" w:color="auto"/>
              <w:bottom w:val="single" w:sz="8" w:space="0" w:color="auto"/>
              <w:right w:val="nil"/>
            </w:tcBorders>
            <w:shd w:val="clear" w:color="000000" w:fill="365F91"/>
            <w:vAlign w:val="center"/>
            <w:hideMark/>
          </w:tcPr>
          <w:p w14:paraId="69FB4149" w14:textId="77777777" w:rsidR="0027605E" w:rsidRPr="0027605E" w:rsidRDefault="0027605E" w:rsidP="0027605E">
            <w:pPr>
              <w:spacing w:after="0" w:line="240" w:lineRule="auto"/>
              <w:jc w:val="center"/>
              <w:rPr>
                <w:rFonts w:eastAsia="Times New Roman" w:cs="Calibri"/>
                <w:b/>
                <w:bCs/>
                <w:color w:val="FFFFFF"/>
                <w:sz w:val="20"/>
                <w:szCs w:val="20"/>
                <w:lang w:eastAsia="es-CR"/>
              </w:rPr>
            </w:pPr>
            <w:r w:rsidRPr="0027605E">
              <w:rPr>
                <w:rFonts w:eastAsia="Times New Roman" w:cs="Calibri"/>
                <w:b/>
                <w:bCs/>
                <w:color w:val="FFFFFF"/>
                <w:sz w:val="20"/>
                <w:szCs w:val="20"/>
                <w:lang w:eastAsia="es-CR"/>
              </w:rPr>
              <w:t>CODIGO INSTITUCIONAL</w:t>
            </w:r>
          </w:p>
        </w:tc>
        <w:tc>
          <w:tcPr>
            <w:tcW w:w="1920" w:type="dxa"/>
            <w:tcBorders>
              <w:top w:val="single" w:sz="8" w:space="0" w:color="auto"/>
              <w:left w:val="single" w:sz="8" w:space="0" w:color="auto"/>
              <w:bottom w:val="single" w:sz="8" w:space="0" w:color="auto"/>
              <w:right w:val="single" w:sz="8" w:space="0" w:color="auto"/>
            </w:tcBorders>
            <w:shd w:val="clear" w:color="000000" w:fill="365F91"/>
            <w:vAlign w:val="center"/>
            <w:hideMark/>
          </w:tcPr>
          <w:p w14:paraId="67048F38" w14:textId="77777777" w:rsidR="0027605E" w:rsidRPr="0027605E" w:rsidRDefault="0027605E" w:rsidP="0027605E">
            <w:pPr>
              <w:spacing w:after="0" w:line="240" w:lineRule="auto"/>
              <w:jc w:val="center"/>
              <w:rPr>
                <w:rFonts w:eastAsia="Times New Roman" w:cs="Calibri"/>
                <w:b/>
                <w:bCs/>
                <w:color w:val="FFFFFF"/>
                <w:sz w:val="20"/>
                <w:szCs w:val="20"/>
                <w:lang w:eastAsia="es-CR"/>
              </w:rPr>
            </w:pPr>
            <w:r w:rsidRPr="0027605E">
              <w:rPr>
                <w:rFonts w:eastAsia="Times New Roman" w:cs="Calibri"/>
                <w:b/>
                <w:bCs/>
                <w:color w:val="FFFFFF"/>
                <w:sz w:val="20"/>
                <w:szCs w:val="20"/>
                <w:lang w:eastAsia="es-CR"/>
              </w:rPr>
              <w:t>NOMBRE ENTIDAD</w:t>
            </w:r>
          </w:p>
        </w:tc>
        <w:tc>
          <w:tcPr>
            <w:tcW w:w="1300" w:type="dxa"/>
            <w:tcBorders>
              <w:top w:val="single" w:sz="8" w:space="0" w:color="auto"/>
              <w:left w:val="nil"/>
              <w:bottom w:val="nil"/>
              <w:right w:val="single" w:sz="8" w:space="0" w:color="auto"/>
            </w:tcBorders>
            <w:shd w:val="clear" w:color="000000" w:fill="366092"/>
            <w:vAlign w:val="center"/>
            <w:hideMark/>
          </w:tcPr>
          <w:p w14:paraId="34F7414B" w14:textId="77777777" w:rsidR="0027605E" w:rsidRPr="0027605E" w:rsidRDefault="0027605E" w:rsidP="0027605E">
            <w:pPr>
              <w:spacing w:after="0" w:line="240" w:lineRule="auto"/>
              <w:jc w:val="center"/>
              <w:rPr>
                <w:rFonts w:eastAsia="Times New Roman" w:cs="Calibri"/>
                <w:b/>
                <w:bCs/>
                <w:color w:val="FFFFFF"/>
                <w:sz w:val="20"/>
                <w:szCs w:val="20"/>
                <w:lang w:eastAsia="es-CR"/>
              </w:rPr>
            </w:pPr>
            <w:r w:rsidRPr="0027605E">
              <w:rPr>
                <w:rFonts w:eastAsia="Times New Roman" w:cs="Calibri"/>
                <w:b/>
                <w:bCs/>
                <w:color w:val="FFFFFF"/>
                <w:sz w:val="20"/>
                <w:szCs w:val="20"/>
                <w:lang w:eastAsia="es-CR"/>
              </w:rPr>
              <w:t>Periodo Actual</w:t>
            </w:r>
          </w:p>
        </w:tc>
        <w:tc>
          <w:tcPr>
            <w:tcW w:w="1340" w:type="dxa"/>
            <w:tcBorders>
              <w:top w:val="single" w:sz="8" w:space="0" w:color="auto"/>
              <w:left w:val="nil"/>
              <w:bottom w:val="nil"/>
              <w:right w:val="single" w:sz="8" w:space="0" w:color="auto"/>
            </w:tcBorders>
            <w:shd w:val="clear" w:color="000000" w:fill="366092"/>
            <w:vAlign w:val="center"/>
            <w:hideMark/>
          </w:tcPr>
          <w:p w14:paraId="0C90ADF2" w14:textId="77777777" w:rsidR="0027605E" w:rsidRPr="0027605E" w:rsidRDefault="0027605E" w:rsidP="0027605E">
            <w:pPr>
              <w:spacing w:after="0" w:line="240" w:lineRule="auto"/>
              <w:jc w:val="center"/>
              <w:rPr>
                <w:rFonts w:eastAsia="Times New Roman" w:cs="Calibri"/>
                <w:b/>
                <w:bCs/>
                <w:color w:val="FFFFFF"/>
                <w:sz w:val="20"/>
                <w:szCs w:val="20"/>
                <w:lang w:eastAsia="es-CR"/>
              </w:rPr>
            </w:pPr>
            <w:r w:rsidRPr="0027605E">
              <w:rPr>
                <w:rFonts w:eastAsia="Times New Roman" w:cs="Calibri"/>
                <w:b/>
                <w:bCs/>
                <w:color w:val="FFFFFF"/>
                <w:sz w:val="20"/>
                <w:szCs w:val="20"/>
                <w:lang w:eastAsia="es-CR"/>
              </w:rPr>
              <w:t>Periodo Anterior</w:t>
            </w:r>
          </w:p>
        </w:tc>
        <w:tc>
          <w:tcPr>
            <w:tcW w:w="1440" w:type="dxa"/>
            <w:tcBorders>
              <w:top w:val="single" w:sz="8" w:space="0" w:color="auto"/>
              <w:left w:val="nil"/>
              <w:bottom w:val="nil"/>
              <w:right w:val="single" w:sz="8" w:space="0" w:color="auto"/>
            </w:tcBorders>
            <w:shd w:val="clear" w:color="000000" w:fill="366092"/>
            <w:vAlign w:val="center"/>
            <w:hideMark/>
          </w:tcPr>
          <w:p w14:paraId="256DCC45" w14:textId="77777777" w:rsidR="0027605E" w:rsidRPr="0027605E" w:rsidRDefault="0027605E" w:rsidP="0027605E">
            <w:pPr>
              <w:spacing w:after="0" w:line="240" w:lineRule="auto"/>
              <w:jc w:val="center"/>
              <w:rPr>
                <w:rFonts w:eastAsia="Times New Roman" w:cs="Calibri"/>
                <w:b/>
                <w:bCs/>
                <w:color w:val="FFFFFF"/>
                <w:sz w:val="20"/>
                <w:szCs w:val="20"/>
                <w:lang w:eastAsia="es-CR"/>
              </w:rPr>
            </w:pPr>
            <w:r w:rsidRPr="0027605E">
              <w:rPr>
                <w:rFonts w:eastAsia="Times New Roman" w:cs="Calibri"/>
                <w:b/>
                <w:bCs/>
                <w:color w:val="FFFFFF"/>
                <w:sz w:val="20"/>
                <w:szCs w:val="20"/>
                <w:lang w:eastAsia="es-CR"/>
              </w:rPr>
              <w:t>Diferencia Absoluta</w:t>
            </w:r>
          </w:p>
        </w:tc>
        <w:tc>
          <w:tcPr>
            <w:tcW w:w="1440" w:type="dxa"/>
            <w:tcBorders>
              <w:top w:val="single" w:sz="8" w:space="0" w:color="auto"/>
              <w:left w:val="nil"/>
              <w:bottom w:val="nil"/>
              <w:right w:val="single" w:sz="8" w:space="0" w:color="auto"/>
            </w:tcBorders>
            <w:shd w:val="clear" w:color="000000" w:fill="366092"/>
            <w:vAlign w:val="center"/>
            <w:hideMark/>
          </w:tcPr>
          <w:p w14:paraId="0042451E" w14:textId="77777777" w:rsidR="0027605E" w:rsidRPr="0027605E" w:rsidRDefault="0027605E" w:rsidP="0027605E">
            <w:pPr>
              <w:spacing w:after="0" w:line="240" w:lineRule="auto"/>
              <w:jc w:val="center"/>
              <w:rPr>
                <w:rFonts w:eastAsia="Times New Roman" w:cs="Calibri"/>
                <w:b/>
                <w:bCs/>
                <w:color w:val="FFFFFF"/>
                <w:sz w:val="20"/>
                <w:szCs w:val="20"/>
                <w:lang w:eastAsia="es-CR"/>
              </w:rPr>
            </w:pPr>
            <w:r w:rsidRPr="0027605E">
              <w:rPr>
                <w:rFonts w:eastAsia="Times New Roman" w:cs="Calibri"/>
                <w:b/>
                <w:bCs/>
                <w:color w:val="FFFFFF"/>
                <w:sz w:val="20"/>
                <w:szCs w:val="20"/>
                <w:lang w:eastAsia="es-CR"/>
              </w:rPr>
              <w:t>Diferencia %</w:t>
            </w:r>
          </w:p>
        </w:tc>
      </w:tr>
      <w:tr w:rsidR="0027605E" w:rsidRPr="0027605E" w14:paraId="7C039803" w14:textId="77777777" w:rsidTr="0027605E">
        <w:trPr>
          <w:trHeight w:val="525"/>
        </w:trPr>
        <w:tc>
          <w:tcPr>
            <w:tcW w:w="1400" w:type="dxa"/>
            <w:tcBorders>
              <w:top w:val="nil"/>
              <w:left w:val="single" w:sz="8" w:space="0" w:color="auto"/>
              <w:bottom w:val="single" w:sz="8" w:space="0" w:color="auto"/>
              <w:right w:val="single" w:sz="8" w:space="0" w:color="auto"/>
            </w:tcBorders>
            <w:shd w:val="clear" w:color="auto" w:fill="auto"/>
            <w:noWrap/>
            <w:vAlign w:val="center"/>
            <w:hideMark/>
          </w:tcPr>
          <w:p w14:paraId="19273268" w14:textId="77777777" w:rsidR="0027605E" w:rsidRPr="0027605E" w:rsidRDefault="0027605E" w:rsidP="0027605E">
            <w:pPr>
              <w:spacing w:after="0" w:line="240" w:lineRule="auto"/>
              <w:jc w:val="center"/>
              <w:rPr>
                <w:rFonts w:eastAsia="Times New Roman" w:cs="Calibri"/>
                <w:b/>
                <w:bCs/>
                <w:color w:val="000000"/>
                <w:sz w:val="20"/>
                <w:szCs w:val="20"/>
                <w:lang w:eastAsia="es-CR"/>
              </w:rPr>
            </w:pPr>
            <w:r w:rsidRPr="0027605E">
              <w:rPr>
                <w:rFonts w:eastAsia="Times New Roman" w:cs="Calibri"/>
                <w:b/>
                <w:bCs/>
                <w:color w:val="000000"/>
                <w:sz w:val="20"/>
                <w:szCs w:val="20"/>
                <w:lang w:eastAsia="es-CR"/>
              </w:rPr>
              <w:t>11206</w:t>
            </w:r>
          </w:p>
        </w:tc>
        <w:tc>
          <w:tcPr>
            <w:tcW w:w="1920" w:type="dxa"/>
            <w:tcBorders>
              <w:top w:val="nil"/>
              <w:left w:val="nil"/>
              <w:bottom w:val="single" w:sz="8" w:space="0" w:color="auto"/>
              <w:right w:val="single" w:sz="8" w:space="0" w:color="auto"/>
            </w:tcBorders>
            <w:shd w:val="clear" w:color="auto" w:fill="auto"/>
            <w:vAlign w:val="center"/>
            <w:hideMark/>
          </w:tcPr>
          <w:p w14:paraId="0FC5756C" w14:textId="77777777" w:rsidR="0027605E" w:rsidRPr="0027605E" w:rsidRDefault="0027605E" w:rsidP="0027605E">
            <w:pPr>
              <w:spacing w:after="0" w:line="240" w:lineRule="auto"/>
              <w:jc w:val="center"/>
              <w:rPr>
                <w:rFonts w:eastAsia="Times New Roman" w:cs="Calibri"/>
                <w:b/>
                <w:bCs/>
                <w:color w:val="000000"/>
                <w:sz w:val="20"/>
                <w:szCs w:val="20"/>
                <w:lang w:eastAsia="es-CR"/>
              </w:rPr>
            </w:pPr>
            <w:r w:rsidRPr="0027605E">
              <w:rPr>
                <w:rFonts w:eastAsia="Times New Roman" w:cs="Calibri"/>
                <w:b/>
                <w:bCs/>
                <w:color w:val="000000"/>
                <w:sz w:val="20"/>
                <w:szCs w:val="20"/>
                <w:lang w:eastAsia="es-CR"/>
              </w:rPr>
              <w:t>Ministerio de Hacienda  </w:t>
            </w:r>
          </w:p>
        </w:tc>
        <w:tc>
          <w:tcPr>
            <w:tcW w:w="1300" w:type="dxa"/>
            <w:tcBorders>
              <w:top w:val="nil"/>
              <w:left w:val="nil"/>
              <w:bottom w:val="single" w:sz="8" w:space="0" w:color="auto"/>
              <w:right w:val="single" w:sz="8" w:space="0" w:color="auto"/>
            </w:tcBorders>
            <w:shd w:val="clear" w:color="auto" w:fill="auto"/>
            <w:noWrap/>
            <w:vAlign w:val="center"/>
            <w:hideMark/>
          </w:tcPr>
          <w:p w14:paraId="25367CED" w14:textId="77777777" w:rsidR="0027605E" w:rsidRPr="0027605E" w:rsidRDefault="0027605E" w:rsidP="0027605E">
            <w:pPr>
              <w:spacing w:after="0" w:line="240" w:lineRule="auto"/>
              <w:jc w:val="center"/>
              <w:rPr>
                <w:rFonts w:eastAsia="Times New Roman" w:cs="Calibri"/>
                <w:b/>
                <w:bCs/>
                <w:color w:val="000000"/>
                <w:sz w:val="20"/>
                <w:szCs w:val="20"/>
                <w:lang w:eastAsia="es-CR"/>
              </w:rPr>
            </w:pPr>
            <w:r w:rsidRPr="0027605E">
              <w:rPr>
                <w:rFonts w:ascii="Arial" w:eastAsia="Times New Roman" w:hAnsi="Arial" w:cs="Arial"/>
                <w:b/>
                <w:bCs/>
                <w:color w:val="000000"/>
                <w:sz w:val="20"/>
                <w:szCs w:val="20"/>
                <w:lang w:eastAsia="es-CR"/>
              </w:rPr>
              <w:t>₡</w:t>
            </w:r>
            <w:r w:rsidRPr="0027605E">
              <w:rPr>
                <w:rFonts w:eastAsia="Times New Roman" w:cs="Calibri"/>
                <w:b/>
                <w:bCs/>
                <w:color w:val="000000"/>
                <w:sz w:val="20"/>
                <w:szCs w:val="20"/>
                <w:lang w:eastAsia="es-CR"/>
              </w:rPr>
              <w:t>4 102 012,64</w:t>
            </w:r>
          </w:p>
        </w:tc>
        <w:tc>
          <w:tcPr>
            <w:tcW w:w="1340" w:type="dxa"/>
            <w:tcBorders>
              <w:top w:val="nil"/>
              <w:left w:val="nil"/>
              <w:bottom w:val="single" w:sz="8" w:space="0" w:color="auto"/>
              <w:right w:val="single" w:sz="8" w:space="0" w:color="auto"/>
            </w:tcBorders>
            <w:shd w:val="clear" w:color="auto" w:fill="auto"/>
            <w:noWrap/>
            <w:vAlign w:val="center"/>
            <w:hideMark/>
          </w:tcPr>
          <w:p w14:paraId="36635346" w14:textId="77777777" w:rsidR="0027605E" w:rsidRPr="0027605E" w:rsidRDefault="0027605E" w:rsidP="0027605E">
            <w:pPr>
              <w:spacing w:after="0" w:line="240" w:lineRule="auto"/>
              <w:jc w:val="center"/>
              <w:rPr>
                <w:rFonts w:eastAsia="Times New Roman" w:cs="Calibri"/>
                <w:b/>
                <w:bCs/>
                <w:sz w:val="20"/>
                <w:szCs w:val="20"/>
                <w:lang w:eastAsia="es-CR"/>
              </w:rPr>
            </w:pPr>
            <w:r w:rsidRPr="0027605E">
              <w:rPr>
                <w:rFonts w:ascii="Arial" w:eastAsia="Times New Roman" w:hAnsi="Arial" w:cs="Arial"/>
                <w:b/>
                <w:bCs/>
                <w:sz w:val="20"/>
                <w:szCs w:val="20"/>
                <w:lang w:eastAsia="es-CR"/>
              </w:rPr>
              <w:t>₡</w:t>
            </w:r>
            <w:r w:rsidRPr="0027605E">
              <w:rPr>
                <w:rFonts w:eastAsia="Times New Roman" w:cs="Calibri"/>
                <w:b/>
                <w:bCs/>
                <w:sz w:val="20"/>
                <w:szCs w:val="20"/>
                <w:lang w:eastAsia="es-CR"/>
              </w:rPr>
              <w:t>4 004 209,24</w:t>
            </w: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14:paraId="1B7E64FC" w14:textId="77777777" w:rsidR="0027605E" w:rsidRPr="0027605E" w:rsidRDefault="0027605E" w:rsidP="0027605E">
            <w:pPr>
              <w:spacing w:after="0" w:line="240" w:lineRule="auto"/>
              <w:jc w:val="right"/>
              <w:rPr>
                <w:rFonts w:eastAsia="Times New Roman" w:cs="Calibri"/>
                <w:b/>
                <w:bCs/>
                <w:color w:val="000000"/>
                <w:sz w:val="20"/>
                <w:szCs w:val="20"/>
                <w:lang w:eastAsia="es-CR"/>
              </w:rPr>
            </w:pPr>
            <w:r w:rsidRPr="0027605E">
              <w:rPr>
                <w:rFonts w:ascii="Arial" w:eastAsia="Times New Roman" w:hAnsi="Arial" w:cs="Arial"/>
                <w:b/>
                <w:bCs/>
                <w:color w:val="000000"/>
                <w:sz w:val="20"/>
                <w:szCs w:val="20"/>
                <w:lang w:eastAsia="es-CR"/>
              </w:rPr>
              <w:t>₡</w:t>
            </w:r>
            <w:r w:rsidRPr="0027605E">
              <w:rPr>
                <w:rFonts w:eastAsia="Times New Roman" w:cs="Calibri"/>
                <w:b/>
                <w:bCs/>
                <w:color w:val="000000"/>
                <w:sz w:val="20"/>
                <w:szCs w:val="20"/>
                <w:lang w:eastAsia="es-CR"/>
              </w:rPr>
              <w:t>97 803,40</w:t>
            </w: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14:paraId="5AF4CA59" w14:textId="77777777" w:rsidR="0027605E" w:rsidRPr="0027605E" w:rsidRDefault="0027605E" w:rsidP="0027605E">
            <w:pPr>
              <w:spacing w:after="0" w:line="240" w:lineRule="auto"/>
              <w:jc w:val="center"/>
              <w:rPr>
                <w:rFonts w:eastAsia="Times New Roman" w:cs="Calibri"/>
                <w:b/>
                <w:bCs/>
                <w:color w:val="000000"/>
                <w:sz w:val="20"/>
                <w:szCs w:val="20"/>
                <w:lang w:eastAsia="es-CR"/>
              </w:rPr>
            </w:pPr>
            <w:r w:rsidRPr="0027605E">
              <w:rPr>
                <w:rFonts w:eastAsia="Times New Roman" w:cs="Calibri"/>
                <w:b/>
                <w:bCs/>
                <w:color w:val="000000"/>
                <w:sz w:val="20"/>
                <w:szCs w:val="20"/>
                <w:lang w:eastAsia="es-CR"/>
              </w:rPr>
              <w:t>2,44%</w:t>
            </w:r>
          </w:p>
        </w:tc>
      </w:tr>
    </w:tbl>
    <w:p w14:paraId="31D7A222" w14:textId="40E92971" w:rsidR="00DF24BE" w:rsidRDefault="00DF24BE" w:rsidP="00567780">
      <w:pPr>
        <w:spacing w:after="0"/>
        <w:rPr>
          <w:rFonts w:eastAsia="Calibri" w:cs="Times New Roman"/>
          <w:b/>
          <w:bCs/>
          <w:lang w:val="es-ES"/>
        </w:rPr>
      </w:pPr>
    </w:p>
    <w:p w14:paraId="4BE7A8DF" w14:textId="77777777" w:rsidR="00F574FC" w:rsidRDefault="00F574FC" w:rsidP="00567780">
      <w:pPr>
        <w:spacing w:after="0"/>
        <w:rPr>
          <w:rFonts w:eastAsia="Calibri" w:cs="Times New Roman"/>
          <w:b/>
          <w:bCs/>
          <w:lang w:val="es-ES"/>
        </w:rPr>
      </w:pPr>
    </w:p>
    <w:bookmarkEnd w:id="839"/>
    <w:p w14:paraId="2A39C5C7" w14:textId="49F8F4F2" w:rsidR="00396CB4" w:rsidRPr="00F574FC" w:rsidRDefault="00337C1D" w:rsidP="00F574FC">
      <w:pPr>
        <w:spacing w:before="240"/>
        <w:rPr>
          <w:rFonts w:eastAsia="Calibri"/>
          <w:b/>
          <w:sz w:val="20"/>
          <w:szCs w:val="20"/>
          <w:lang w:eastAsia="es-CR"/>
        </w:rPr>
      </w:pPr>
      <w:r w:rsidRPr="00855904">
        <w:rPr>
          <w:rFonts w:eastAsia="Calibri"/>
          <w:b/>
          <w:lang w:val="es-ES"/>
        </w:rPr>
        <w:lastRenderedPageBreak/>
        <w:t xml:space="preserve"> </w:t>
      </w:r>
      <w:r w:rsidR="00692DC8" w:rsidRPr="00855904">
        <w:rPr>
          <w:rFonts w:eastAsia="Calibri"/>
          <w:b/>
          <w:lang w:val="es-ES"/>
        </w:rPr>
        <w:t xml:space="preserve">Revelación: </w:t>
      </w:r>
      <w:r>
        <w:rPr>
          <w:rFonts w:cs="Calibri"/>
          <w:color w:val="000000"/>
          <w:lang w:eastAsia="es-CR"/>
        </w:rPr>
        <w:fldChar w:fldCharType="begin"/>
      </w:r>
      <w:r>
        <w:rPr>
          <w:rFonts w:cs="Calibri"/>
          <w:color w:val="000000"/>
          <w:lang w:eastAsia="es-CR"/>
        </w:rPr>
        <w:instrText xml:space="preserve"> LINK </w:instrText>
      </w:r>
      <w:r w:rsidR="00756467">
        <w:rPr>
          <w:rFonts w:cs="Calibri"/>
          <w:color w:val="000000"/>
          <w:lang w:eastAsia="es-CR"/>
        </w:rPr>
        <w:instrText xml:space="preserve">Excel.SheetMacroEnabled.12 "C:\\Users\\gcordero\\Downloads\\Notas diciembre 2024\\Formato_Notas_EEFF_Vinculadas_2024\\Formato_Notas_EEFF_Vinculadas_2024\\15603_T04_2024_Anexo_Estado_Notas_Contables_Vinculadas.xlsm" NOTAS_POR_CUENTA!F314C8 </w:instrText>
      </w:r>
      <w:r>
        <w:rPr>
          <w:rFonts w:cs="Calibri"/>
          <w:color w:val="000000"/>
          <w:lang w:eastAsia="es-CR"/>
        </w:rPr>
        <w:instrText xml:space="preserve">\a \f 5 \h  \* MERGEFORMAT </w:instrText>
      </w:r>
      <w:r>
        <w:rPr>
          <w:rFonts w:cs="Calibri"/>
          <w:color w:val="000000"/>
          <w:lang w:eastAsia="es-CR"/>
        </w:rPr>
        <w:fldChar w:fldCharType="separate"/>
      </w:r>
    </w:p>
    <w:p w14:paraId="0AD16866" w14:textId="77777777" w:rsidR="00396CB4" w:rsidRPr="00396CB4" w:rsidRDefault="00396CB4" w:rsidP="00396CB4">
      <w:pPr>
        <w:rPr>
          <w:rFonts w:cs="Calibri"/>
          <w:color w:val="000000"/>
          <w:lang w:eastAsia="es-CR"/>
        </w:rPr>
      </w:pPr>
      <w:r w:rsidRPr="00396CB4">
        <w:rPr>
          <w:rFonts w:cs="Calibri"/>
          <w:color w:val="000000"/>
          <w:lang w:eastAsia="es-CR"/>
        </w:rPr>
        <w:t xml:space="preserve">La cuenta Transferencias de capital, representa el 70,66% del total del Ingresos, que comparado al periodo anterior genera una variación absoluta de 97 803,40 que corresponde a un Aumento del 2,44% de recursos </w:t>
      </w:r>
      <w:r w:rsidRPr="00396CB4">
        <w:rPr>
          <w:rFonts w:asciiTheme="minorHAnsi" w:hAnsiTheme="minorHAnsi"/>
          <w:sz w:val="22"/>
        </w:rPr>
        <w:t>disponibles</w:t>
      </w:r>
      <w:r w:rsidRPr="00396CB4">
        <w:rPr>
          <w:rFonts w:cs="Calibri"/>
          <w:color w:val="000000"/>
          <w:lang w:eastAsia="es-CR"/>
        </w:rPr>
        <w:t>.</w:t>
      </w:r>
    </w:p>
    <w:p w14:paraId="3307FD8A" w14:textId="6AD921EE" w:rsidR="00692DC8" w:rsidRPr="00855904" w:rsidRDefault="00337C1D" w:rsidP="00337C1D">
      <w:pPr>
        <w:rPr>
          <w:rFonts w:eastAsiaTheme="minorEastAsia" w:cs="Arial Narrow"/>
          <w:color w:val="000000"/>
          <w:lang w:eastAsia="es-CR"/>
        </w:rPr>
      </w:pPr>
      <w:r>
        <w:rPr>
          <w:rFonts w:cs="Calibri"/>
          <w:color w:val="000000"/>
          <w:lang w:eastAsia="es-CR"/>
        </w:rPr>
        <w:fldChar w:fldCharType="end"/>
      </w:r>
      <w:r w:rsidR="00692DC8" w:rsidRPr="00692DC8">
        <w:rPr>
          <w:rFonts w:eastAsia="Calibri"/>
          <w:highlight w:val="lightGray"/>
        </w:rPr>
        <w:t>Las variaciones de la cuenta son producto de (Indicar la razón de las variaciones de un periodo a otro):</w:t>
      </w:r>
      <w:r w:rsidR="00692DC8" w:rsidRPr="00692DC8">
        <w:rPr>
          <w:rFonts w:eastAsia="Calibri"/>
        </w:rPr>
        <w:t xml:space="preserve"> </w:t>
      </w:r>
    </w:p>
    <w:p w14:paraId="2D73A382" w14:textId="477A34D2" w:rsidR="00DF24BE" w:rsidRPr="00A91674" w:rsidRDefault="00DF24BE" w:rsidP="00DF24BE">
      <w:pPr>
        <w:spacing w:after="0" w:line="240" w:lineRule="auto"/>
        <w:rPr>
          <w:rFonts w:eastAsia="Calibri"/>
        </w:rPr>
      </w:pPr>
      <w:r>
        <w:rPr>
          <w:rFonts w:eastAsia="Calibri"/>
        </w:rPr>
        <w:t>La variación (</w:t>
      </w:r>
      <w:r w:rsidR="0015268F">
        <w:rPr>
          <w:rFonts w:eastAsia="Calibri"/>
        </w:rPr>
        <w:t>Aumento</w:t>
      </w:r>
      <w:r>
        <w:rPr>
          <w:rFonts w:eastAsia="Calibri"/>
        </w:rPr>
        <w:t xml:space="preserve">) de </w:t>
      </w:r>
      <w:r w:rsidRPr="00645068">
        <w:rPr>
          <w:rFonts w:eastAsia="Calibri"/>
        </w:rPr>
        <w:t>-</w:t>
      </w:r>
      <w:r w:rsidRPr="00645068">
        <w:rPr>
          <w:rFonts w:ascii="Arial" w:eastAsia="Calibri" w:hAnsi="Arial" w:cs="Arial"/>
        </w:rPr>
        <w:t>₡</w:t>
      </w:r>
      <w:r w:rsidR="0015268F">
        <w:rPr>
          <w:rFonts w:eastAsia="Calibri"/>
        </w:rPr>
        <w:t>97 803,40</w:t>
      </w:r>
      <w:r>
        <w:rPr>
          <w:rFonts w:eastAsia="Calibri"/>
        </w:rPr>
        <w:t xml:space="preserve"> </w:t>
      </w:r>
      <w:r w:rsidRPr="00FD16A8">
        <w:rPr>
          <w:rFonts w:eastAsia="Calibri"/>
        </w:rPr>
        <w:t xml:space="preserve">miles que presenta la cuenta en mención </w:t>
      </w:r>
      <w:r>
        <w:rPr>
          <w:rFonts w:eastAsia="Calibri"/>
        </w:rPr>
        <w:t xml:space="preserve">se deben a que, el monto de las Transferencias de Capital que está incluida en la Ley de Presupuesto Ordinario y Extraordinario de la República de Costa Rica para el año 2024, y que le corresponde al Ministerio de Hacienda transferir a la Municipalidad según programación anual es menor que el incluido en el Presupuesto del año 2023. </w:t>
      </w:r>
    </w:p>
    <w:p w14:paraId="080C8010" w14:textId="77777777" w:rsidR="00DF24BE" w:rsidRDefault="00DF24BE" w:rsidP="00855904">
      <w:pPr>
        <w:pStyle w:val="Ttulo3"/>
        <w:spacing w:after="240"/>
        <w:rPr>
          <w:rFonts w:eastAsia="Calibri"/>
          <w:lang w:eastAsia="es-CR"/>
        </w:rPr>
      </w:pPr>
      <w:bookmarkStart w:id="840" w:name="_Toc82769016"/>
    </w:p>
    <w:p w14:paraId="279A632C" w14:textId="56153E86" w:rsidR="00692DC8" w:rsidRPr="00692DC8" w:rsidRDefault="00692DC8" w:rsidP="00855904">
      <w:pPr>
        <w:pStyle w:val="Ttulo3"/>
        <w:spacing w:after="240"/>
        <w:rPr>
          <w:rFonts w:eastAsia="Calibri"/>
          <w:lang w:eastAsia="es-CR"/>
        </w:rPr>
      </w:pPr>
      <w:bookmarkStart w:id="841" w:name="_Toc189804897"/>
      <w:r w:rsidRPr="00692DC8">
        <w:rPr>
          <w:rFonts w:eastAsia="Calibri"/>
          <w:lang w:eastAsia="es-CR"/>
        </w:rPr>
        <w:t>4.9 OTROS INGRESOS</w:t>
      </w:r>
      <w:bookmarkEnd w:id="840"/>
      <w:bookmarkEnd w:id="841"/>
      <w:r w:rsidRPr="00692DC8">
        <w:rPr>
          <w:rFonts w:eastAsia="Calibri"/>
          <w:lang w:eastAsia="es-CR"/>
        </w:rPr>
        <w:t xml:space="preserve"> </w:t>
      </w:r>
    </w:p>
    <w:p w14:paraId="68DB6659" w14:textId="77777777" w:rsidR="00692DC8" w:rsidRPr="00692DC8" w:rsidRDefault="00692DC8" w:rsidP="00855904">
      <w:pPr>
        <w:pStyle w:val="Ttulo4"/>
        <w:spacing w:after="240"/>
        <w:rPr>
          <w:rFonts w:eastAsia="Times New Roman"/>
        </w:rPr>
      </w:pPr>
      <w:bookmarkStart w:id="842" w:name="_Toc14344866"/>
      <w:bookmarkStart w:id="843" w:name="_Toc33601296"/>
      <w:bookmarkStart w:id="844" w:name="_Toc82769017"/>
      <w:bookmarkStart w:id="845" w:name="_Toc189804898"/>
      <w:r w:rsidRPr="00692DC8">
        <w:rPr>
          <w:rFonts w:eastAsia="Times New Roman"/>
        </w:rPr>
        <w:t>NOTA N° 5</w:t>
      </w:r>
      <w:bookmarkEnd w:id="842"/>
      <w:bookmarkEnd w:id="843"/>
      <w:bookmarkEnd w:id="844"/>
      <w:r w:rsidRPr="00692DC8">
        <w:rPr>
          <w:rFonts w:eastAsia="Times New Roman"/>
        </w:rPr>
        <w:t>2</w:t>
      </w:r>
      <w:bookmarkEnd w:id="845"/>
    </w:p>
    <w:p w14:paraId="1F1134A3" w14:textId="77777777" w:rsidR="00396CB4" w:rsidRDefault="00692DC8" w:rsidP="00F51D42">
      <w:pPr>
        <w:spacing w:before="240"/>
        <w:rPr>
          <w:rFonts w:asciiTheme="minorHAnsi" w:hAnsiTheme="minorHAnsi"/>
          <w:sz w:val="22"/>
        </w:rPr>
      </w:pPr>
      <w:bookmarkStart w:id="846" w:name="_Toc14344867"/>
      <w:bookmarkStart w:id="847" w:name="_Toc33601297"/>
      <w:bookmarkStart w:id="848" w:name="_Toc82769018"/>
      <w:r w:rsidRPr="00692DC8">
        <w:rPr>
          <w:rFonts w:eastAsia="Times New Roman"/>
        </w:rPr>
        <w:t>Resultados positivos por tenencia y por exposición a la inflación</w:t>
      </w:r>
      <w:bookmarkEnd w:id="846"/>
      <w:bookmarkEnd w:id="847"/>
      <w:bookmarkEnd w:id="848"/>
      <w:r w:rsidR="00B03685">
        <w:rPr>
          <w:rFonts w:eastAsiaTheme="majorEastAsia" w:cstheme="majorBidi"/>
          <w:iCs/>
          <w:lang w:val="es-ES"/>
        </w:rPr>
        <w:fldChar w:fldCharType="begin"/>
      </w:r>
      <w:r w:rsidR="00B03685">
        <w:rPr>
          <w:lang w:val="es-ES"/>
        </w:rPr>
        <w:instrText xml:space="preserve"> LINK </w:instrText>
      </w:r>
      <w:r w:rsidR="00756467">
        <w:rPr>
          <w:lang w:val="es-ES"/>
        </w:rPr>
        <w:instrText xml:space="preserve">Excel.SheetMacroEnabled.12 "C:\\Users\\gcordero\\Downloads\\Notas diciembre 2024\\Formato_Notas_EEFF_Vinculadas_2024\\Formato_Notas_EEFF_Vinculadas_2024\\15603_T04_2024_Anexo_Estado_Notas_Contables_Vinculadas.xlsm" NOTAS_POR_CUENTA!F316C1:F318C6 </w:instrText>
      </w:r>
      <w:r w:rsidR="00B03685">
        <w:rPr>
          <w:lang w:val="es-ES"/>
        </w:rPr>
        <w:instrText xml:space="preserve">\a \f 4 \h </w:instrText>
      </w:r>
      <w:r w:rsidR="00B03685">
        <w:rPr>
          <w:b/>
          <w:lang w:val="es-ES"/>
        </w:rPr>
        <w:fldChar w:fldCharType="separate"/>
      </w:r>
    </w:p>
    <w:tbl>
      <w:tblPr>
        <w:tblW w:w="9600" w:type="dxa"/>
        <w:tblCellMar>
          <w:left w:w="70" w:type="dxa"/>
          <w:right w:w="70" w:type="dxa"/>
        </w:tblCellMar>
        <w:tblLook w:val="04A0" w:firstRow="1" w:lastRow="0" w:firstColumn="1" w:lastColumn="0" w:noHBand="0" w:noVBand="1"/>
      </w:tblPr>
      <w:tblGrid>
        <w:gridCol w:w="1243"/>
        <w:gridCol w:w="2637"/>
        <w:gridCol w:w="500"/>
        <w:gridCol w:w="2100"/>
        <w:gridCol w:w="2100"/>
        <w:gridCol w:w="1020"/>
      </w:tblGrid>
      <w:tr w:rsidR="00396CB4" w:rsidRPr="00396CB4" w14:paraId="12FD670C" w14:textId="77777777" w:rsidTr="00396CB4">
        <w:trPr>
          <w:divId w:val="173767984"/>
          <w:trHeight w:val="330"/>
        </w:trPr>
        <w:tc>
          <w:tcPr>
            <w:tcW w:w="1243"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E078B65" w14:textId="1D068B0D" w:rsidR="00396CB4" w:rsidRPr="00396CB4" w:rsidRDefault="00396CB4" w:rsidP="00396CB4">
            <w:pP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2637"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27B65CD"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2FD4796"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9AFFE5E"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FBE0A75"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08A3E7B9"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14212934" w14:textId="77777777" w:rsidTr="00396CB4">
        <w:trPr>
          <w:divId w:val="173767984"/>
          <w:trHeight w:val="330"/>
        </w:trPr>
        <w:tc>
          <w:tcPr>
            <w:tcW w:w="1243" w:type="dxa"/>
            <w:vMerge/>
            <w:tcBorders>
              <w:top w:val="single" w:sz="8" w:space="0" w:color="auto"/>
              <w:left w:val="single" w:sz="8" w:space="0" w:color="auto"/>
              <w:bottom w:val="single" w:sz="8" w:space="0" w:color="000000"/>
              <w:right w:val="single" w:sz="8" w:space="0" w:color="auto"/>
            </w:tcBorders>
            <w:vAlign w:val="center"/>
            <w:hideMark/>
          </w:tcPr>
          <w:p w14:paraId="1E66EBBD"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637" w:type="dxa"/>
            <w:vMerge/>
            <w:tcBorders>
              <w:top w:val="single" w:sz="8" w:space="0" w:color="auto"/>
              <w:left w:val="single" w:sz="8" w:space="0" w:color="auto"/>
              <w:bottom w:val="single" w:sz="8" w:space="0" w:color="000000"/>
              <w:right w:val="single" w:sz="8" w:space="0" w:color="auto"/>
            </w:tcBorders>
            <w:vAlign w:val="center"/>
            <w:hideMark/>
          </w:tcPr>
          <w:p w14:paraId="6D6E63DC"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3EF9E396"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139CC44A"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002319B6"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5D9E11E3"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2521CEC8" w14:textId="77777777" w:rsidTr="00396CB4">
        <w:trPr>
          <w:divId w:val="173767984"/>
          <w:trHeight w:val="555"/>
        </w:trPr>
        <w:tc>
          <w:tcPr>
            <w:tcW w:w="1243" w:type="dxa"/>
            <w:tcBorders>
              <w:top w:val="nil"/>
              <w:left w:val="single" w:sz="8" w:space="0" w:color="auto"/>
              <w:bottom w:val="single" w:sz="8" w:space="0" w:color="auto"/>
              <w:right w:val="single" w:sz="8" w:space="0" w:color="auto"/>
            </w:tcBorders>
            <w:shd w:val="clear" w:color="auto" w:fill="auto"/>
            <w:noWrap/>
            <w:vAlign w:val="center"/>
            <w:hideMark/>
          </w:tcPr>
          <w:p w14:paraId="57367BCB"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4.9.1.</w:t>
            </w:r>
          </w:p>
        </w:tc>
        <w:tc>
          <w:tcPr>
            <w:tcW w:w="2637" w:type="dxa"/>
            <w:tcBorders>
              <w:top w:val="nil"/>
              <w:left w:val="nil"/>
              <w:bottom w:val="single" w:sz="8" w:space="0" w:color="auto"/>
              <w:right w:val="single" w:sz="8" w:space="0" w:color="auto"/>
            </w:tcBorders>
            <w:shd w:val="clear" w:color="auto" w:fill="auto"/>
            <w:vAlign w:val="center"/>
            <w:hideMark/>
          </w:tcPr>
          <w:p w14:paraId="6037F4A9" w14:textId="77777777" w:rsidR="00396CB4" w:rsidRPr="00396CB4" w:rsidRDefault="00396CB4" w:rsidP="00396CB4">
            <w:pPr>
              <w:spacing w:after="0" w:line="240" w:lineRule="auto"/>
              <w:rPr>
                <w:rFonts w:eastAsia="Times New Roman" w:cs="Calibri"/>
                <w:b/>
                <w:bCs/>
                <w:color w:val="000000"/>
                <w:sz w:val="18"/>
                <w:szCs w:val="18"/>
                <w:lang w:eastAsia="es-CR"/>
              </w:rPr>
            </w:pPr>
            <w:r w:rsidRPr="00396CB4">
              <w:rPr>
                <w:rFonts w:eastAsia="Times New Roman" w:cs="Calibri"/>
                <w:b/>
                <w:bCs/>
                <w:color w:val="000000"/>
                <w:sz w:val="18"/>
                <w:szCs w:val="18"/>
                <w:lang w:eastAsia="es-CR"/>
              </w:rPr>
              <w:t>Resultados positivos por tenencia y por exposición a la inflación</w:t>
            </w:r>
          </w:p>
        </w:tc>
        <w:tc>
          <w:tcPr>
            <w:tcW w:w="500" w:type="dxa"/>
            <w:tcBorders>
              <w:top w:val="nil"/>
              <w:left w:val="nil"/>
              <w:bottom w:val="single" w:sz="8" w:space="0" w:color="auto"/>
              <w:right w:val="single" w:sz="8" w:space="0" w:color="auto"/>
            </w:tcBorders>
            <w:shd w:val="clear" w:color="auto" w:fill="auto"/>
            <w:noWrap/>
            <w:vAlign w:val="center"/>
            <w:hideMark/>
          </w:tcPr>
          <w:p w14:paraId="5DB1D009"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52</w:t>
            </w:r>
          </w:p>
        </w:tc>
        <w:tc>
          <w:tcPr>
            <w:tcW w:w="2100" w:type="dxa"/>
            <w:tcBorders>
              <w:top w:val="nil"/>
              <w:left w:val="nil"/>
              <w:bottom w:val="single" w:sz="8" w:space="0" w:color="auto"/>
              <w:right w:val="single" w:sz="8" w:space="0" w:color="auto"/>
            </w:tcBorders>
            <w:shd w:val="clear" w:color="auto" w:fill="auto"/>
            <w:noWrap/>
            <w:vAlign w:val="center"/>
            <w:hideMark/>
          </w:tcPr>
          <w:p w14:paraId="0986BE8B"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2100" w:type="dxa"/>
            <w:tcBorders>
              <w:top w:val="nil"/>
              <w:left w:val="nil"/>
              <w:bottom w:val="single" w:sz="8" w:space="0" w:color="auto"/>
              <w:right w:val="single" w:sz="8" w:space="0" w:color="auto"/>
            </w:tcBorders>
            <w:shd w:val="clear" w:color="auto" w:fill="auto"/>
            <w:noWrap/>
            <w:vAlign w:val="center"/>
            <w:hideMark/>
          </w:tcPr>
          <w:p w14:paraId="114882BC"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1020" w:type="dxa"/>
            <w:tcBorders>
              <w:top w:val="nil"/>
              <w:left w:val="nil"/>
              <w:bottom w:val="single" w:sz="8" w:space="0" w:color="auto"/>
              <w:right w:val="single" w:sz="8" w:space="0" w:color="auto"/>
            </w:tcBorders>
            <w:shd w:val="clear" w:color="auto" w:fill="auto"/>
            <w:noWrap/>
            <w:vAlign w:val="center"/>
            <w:hideMark/>
          </w:tcPr>
          <w:p w14:paraId="25CC2E88"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0,00%</w:t>
            </w:r>
          </w:p>
        </w:tc>
      </w:tr>
    </w:tbl>
    <w:p w14:paraId="46CF649D" w14:textId="77777777" w:rsidR="00396CB4" w:rsidRPr="00396CB4" w:rsidRDefault="00B03685" w:rsidP="00396CB4">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756467">
        <w:rPr>
          <w:rFonts w:eastAsia="Times New Roman" w:cs="Calibri"/>
          <w:color w:val="000000"/>
          <w:lang w:eastAsia="es-CR"/>
        </w:rPr>
        <w:instrText xml:space="preserve">Excel.SheetMacroEnabled.12 "C:\\Users\\gcordero\\Downloads\\Notas diciembre 2024\\Formato_Notas_EEFF_Vinculadas_2024\\Formato_Notas_EEFF_Vinculadas_2024\\15603_T04_2024_Anexo_Estado_Notas_Contables_Vinculadas.xlsm" NOTAS_POR_CUENTA!F318C8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5B0AB4CD" w14:textId="77777777" w:rsidR="00396CB4" w:rsidRPr="00396CB4" w:rsidRDefault="00396CB4" w:rsidP="00396CB4">
      <w:pPr>
        <w:rPr>
          <w:rFonts w:eastAsia="Times New Roman" w:cs="Calibri"/>
          <w:color w:val="000000"/>
          <w:lang w:eastAsia="es-CR"/>
        </w:rPr>
      </w:pPr>
      <w:r w:rsidRPr="00396CB4">
        <w:rPr>
          <w:rFonts w:eastAsia="Times New Roman" w:cs="Calibri"/>
          <w:color w:val="000000"/>
          <w:lang w:eastAsia="es-CR"/>
        </w:rPr>
        <w:t>La cuenta Resultados positivos por tenencia y por exposición a la inflación, representa el 0,00% del total del Ingresos, que comparado al periodo anterior genera una variación absoluta de 0 000,00 que corresponde a un Aumento del 0,00% de recursos disponibles.</w:t>
      </w:r>
    </w:p>
    <w:p w14:paraId="60E0ADA8" w14:textId="1FA9FF7C" w:rsidR="00855904" w:rsidRPr="007925D8" w:rsidRDefault="00B03685" w:rsidP="00855904">
      <w:pPr>
        <w:rPr>
          <w:rFonts w:eastAsia="Times New Roman" w:cs="Calibri"/>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bookmarkStart w:id="849" w:name="_Toc14344874"/>
      <w:bookmarkStart w:id="850" w:name="_Toc33601298"/>
      <w:bookmarkStart w:id="851" w:name="_Toc82769019"/>
    </w:p>
    <w:p w14:paraId="3B0D26F7" w14:textId="77777777" w:rsidR="00692DC8" w:rsidRPr="00692DC8" w:rsidRDefault="00692DC8" w:rsidP="00855904">
      <w:pPr>
        <w:pStyle w:val="Ttulo4"/>
        <w:spacing w:after="240"/>
        <w:rPr>
          <w:rFonts w:eastAsia="Times New Roman"/>
        </w:rPr>
      </w:pPr>
      <w:bookmarkStart w:id="852" w:name="_Toc189804899"/>
      <w:r w:rsidRPr="00692DC8">
        <w:rPr>
          <w:rFonts w:eastAsia="Times New Roman"/>
        </w:rPr>
        <w:t>NOTA N° 5</w:t>
      </w:r>
      <w:bookmarkEnd w:id="849"/>
      <w:bookmarkEnd w:id="850"/>
      <w:bookmarkEnd w:id="851"/>
      <w:r w:rsidRPr="00692DC8">
        <w:rPr>
          <w:rFonts w:eastAsia="Times New Roman"/>
        </w:rPr>
        <w:t>3</w:t>
      </w:r>
      <w:bookmarkEnd w:id="852"/>
    </w:p>
    <w:p w14:paraId="7089F3F9" w14:textId="77777777" w:rsidR="00396CB4" w:rsidRDefault="00692DC8" w:rsidP="00F51D42">
      <w:pPr>
        <w:spacing w:before="240"/>
        <w:rPr>
          <w:rFonts w:asciiTheme="minorHAnsi" w:hAnsiTheme="minorHAnsi"/>
          <w:sz w:val="22"/>
        </w:rPr>
      </w:pPr>
      <w:bookmarkStart w:id="853" w:name="_Toc14344875"/>
      <w:bookmarkStart w:id="854" w:name="_Toc33601299"/>
      <w:bookmarkStart w:id="855" w:name="_Toc82769020"/>
      <w:r w:rsidRPr="00692DC8">
        <w:rPr>
          <w:rFonts w:eastAsia="Times New Roman"/>
        </w:rPr>
        <w:t>Reversión de consumo de bienes</w:t>
      </w:r>
      <w:bookmarkEnd w:id="853"/>
      <w:bookmarkEnd w:id="854"/>
      <w:bookmarkEnd w:id="855"/>
      <w:r w:rsidR="00B03685">
        <w:rPr>
          <w:rFonts w:eastAsiaTheme="majorEastAsia" w:cstheme="majorBidi"/>
          <w:iCs/>
          <w:lang w:val="es-ES"/>
        </w:rPr>
        <w:fldChar w:fldCharType="begin"/>
      </w:r>
      <w:r w:rsidR="00B03685">
        <w:rPr>
          <w:lang w:val="es-ES"/>
        </w:rPr>
        <w:instrText xml:space="preserve"> LINK </w:instrText>
      </w:r>
      <w:r w:rsidR="00756467">
        <w:rPr>
          <w:lang w:val="es-ES"/>
        </w:rPr>
        <w:instrText xml:space="preserve">Excel.SheetMacroEnabled.12 "C:\\Users\\gcordero\\Downloads\\Notas diciembre 2024\\Formato_Notas_EEFF_Vinculadas_2024\\Formato_Notas_EEFF_Vinculadas_2024\\15603_T04_2024_Anexo_Estado_Notas_Contables_Vinculadas.xlsm" NOTAS_POR_CUENTA!F320C1:F322C6 </w:instrText>
      </w:r>
      <w:r w:rsidR="00B03685">
        <w:rPr>
          <w:lang w:val="es-ES"/>
        </w:rPr>
        <w:instrText xml:space="preserve">\a \f 4 \h </w:instrText>
      </w:r>
      <w:r w:rsidR="00B03685">
        <w:rPr>
          <w:b/>
          <w:lang w:val="es-ES"/>
        </w:rPr>
        <w:fldChar w:fldCharType="separate"/>
      </w:r>
    </w:p>
    <w:tbl>
      <w:tblPr>
        <w:tblW w:w="9600" w:type="dxa"/>
        <w:tblCellMar>
          <w:left w:w="70" w:type="dxa"/>
          <w:right w:w="70" w:type="dxa"/>
        </w:tblCellMar>
        <w:tblLook w:val="04A0" w:firstRow="1" w:lastRow="0" w:firstColumn="1" w:lastColumn="0" w:noHBand="0" w:noVBand="1"/>
      </w:tblPr>
      <w:tblGrid>
        <w:gridCol w:w="1101"/>
        <w:gridCol w:w="2779"/>
        <w:gridCol w:w="500"/>
        <w:gridCol w:w="2100"/>
        <w:gridCol w:w="2100"/>
        <w:gridCol w:w="1020"/>
      </w:tblGrid>
      <w:tr w:rsidR="00396CB4" w:rsidRPr="00396CB4" w14:paraId="4F84026B" w14:textId="77777777" w:rsidTr="00396CB4">
        <w:trPr>
          <w:divId w:val="2030721440"/>
          <w:trHeight w:val="330"/>
        </w:trPr>
        <w:tc>
          <w:tcPr>
            <w:tcW w:w="110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9910E2F" w14:textId="576248A6" w:rsidR="00396CB4" w:rsidRPr="00396CB4" w:rsidRDefault="00396CB4" w:rsidP="00396CB4">
            <w:pP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2779"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CDA1882"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5EB21BE"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87A7328"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CA0860B"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15433CE6"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6493FF43" w14:textId="77777777" w:rsidTr="00396CB4">
        <w:trPr>
          <w:divId w:val="2030721440"/>
          <w:trHeight w:val="330"/>
        </w:trPr>
        <w:tc>
          <w:tcPr>
            <w:tcW w:w="1101" w:type="dxa"/>
            <w:vMerge/>
            <w:tcBorders>
              <w:top w:val="single" w:sz="8" w:space="0" w:color="auto"/>
              <w:left w:val="single" w:sz="8" w:space="0" w:color="auto"/>
              <w:bottom w:val="single" w:sz="8" w:space="0" w:color="000000"/>
              <w:right w:val="single" w:sz="8" w:space="0" w:color="auto"/>
            </w:tcBorders>
            <w:vAlign w:val="center"/>
            <w:hideMark/>
          </w:tcPr>
          <w:p w14:paraId="165DABEC"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779" w:type="dxa"/>
            <w:vMerge/>
            <w:tcBorders>
              <w:top w:val="single" w:sz="8" w:space="0" w:color="auto"/>
              <w:left w:val="single" w:sz="8" w:space="0" w:color="auto"/>
              <w:bottom w:val="single" w:sz="8" w:space="0" w:color="000000"/>
              <w:right w:val="single" w:sz="8" w:space="0" w:color="auto"/>
            </w:tcBorders>
            <w:vAlign w:val="center"/>
            <w:hideMark/>
          </w:tcPr>
          <w:p w14:paraId="2299498A"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6DA6ED93"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37F51451"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50194144"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73E99F5F"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29345309" w14:textId="77777777" w:rsidTr="00396CB4">
        <w:trPr>
          <w:divId w:val="2030721440"/>
          <w:trHeight w:val="330"/>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1CB4A201"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4.9.2.</w:t>
            </w:r>
          </w:p>
        </w:tc>
        <w:tc>
          <w:tcPr>
            <w:tcW w:w="2779" w:type="dxa"/>
            <w:tcBorders>
              <w:top w:val="nil"/>
              <w:left w:val="nil"/>
              <w:bottom w:val="single" w:sz="8" w:space="0" w:color="auto"/>
              <w:right w:val="single" w:sz="8" w:space="0" w:color="auto"/>
            </w:tcBorders>
            <w:shd w:val="clear" w:color="auto" w:fill="auto"/>
            <w:vAlign w:val="center"/>
            <w:hideMark/>
          </w:tcPr>
          <w:p w14:paraId="58B7D315" w14:textId="77777777" w:rsidR="00396CB4" w:rsidRPr="00396CB4" w:rsidRDefault="00396CB4" w:rsidP="00396CB4">
            <w:pPr>
              <w:spacing w:after="0" w:line="240" w:lineRule="auto"/>
              <w:rPr>
                <w:rFonts w:eastAsia="Times New Roman" w:cs="Calibri"/>
                <w:b/>
                <w:bCs/>
                <w:color w:val="000000"/>
                <w:sz w:val="18"/>
                <w:szCs w:val="18"/>
                <w:lang w:eastAsia="es-CR"/>
              </w:rPr>
            </w:pPr>
            <w:r w:rsidRPr="00396CB4">
              <w:rPr>
                <w:rFonts w:eastAsia="Times New Roman" w:cs="Calibri"/>
                <w:b/>
                <w:bCs/>
                <w:color w:val="000000"/>
                <w:sz w:val="18"/>
                <w:szCs w:val="18"/>
                <w:lang w:eastAsia="es-CR"/>
              </w:rPr>
              <w:t>Reversión de consumo de bienes</w:t>
            </w:r>
          </w:p>
        </w:tc>
        <w:tc>
          <w:tcPr>
            <w:tcW w:w="500" w:type="dxa"/>
            <w:tcBorders>
              <w:top w:val="nil"/>
              <w:left w:val="nil"/>
              <w:bottom w:val="single" w:sz="8" w:space="0" w:color="auto"/>
              <w:right w:val="single" w:sz="8" w:space="0" w:color="auto"/>
            </w:tcBorders>
            <w:shd w:val="clear" w:color="auto" w:fill="auto"/>
            <w:noWrap/>
            <w:vAlign w:val="center"/>
            <w:hideMark/>
          </w:tcPr>
          <w:p w14:paraId="1F29BADA"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53</w:t>
            </w:r>
          </w:p>
        </w:tc>
        <w:tc>
          <w:tcPr>
            <w:tcW w:w="2100" w:type="dxa"/>
            <w:tcBorders>
              <w:top w:val="nil"/>
              <w:left w:val="nil"/>
              <w:bottom w:val="single" w:sz="8" w:space="0" w:color="auto"/>
              <w:right w:val="single" w:sz="8" w:space="0" w:color="auto"/>
            </w:tcBorders>
            <w:shd w:val="clear" w:color="auto" w:fill="auto"/>
            <w:noWrap/>
            <w:vAlign w:val="center"/>
            <w:hideMark/>
          </w:tcPr>
          <w:p w14:paraId="1EF1F817"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2100" w:type="dxa"/>
            <w:tcBorders>
              <w:top w:val="nil"/>
              <w:left w:val="nil"/>
              <w:bottom w:val="single" w:sz="8" w:space="0" w:color="auto"/>
              <w:right w:val="single" w:sz="8" w:space="0" w:color="auto"/>
            </w:tcBorders>
            <w:shd w:val="clear" w:color="auto" w:fill="auto"/>
            <w:noWrap/>
            <w:vAlign w:val="center"/>
            <w:hideMark/>
          </w:tcPr>
          <w:p w14:paraId="43C75B5A"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1020" w:type="dxa"/>
            <w:tcBorders>
              <w:top w:val="nil"/>
              <w:left w:val="nil"/>
              <w:bottom w:val="single" w:sz="8" w:space="0" w:color="auto"/>
              <w:right w:val="single" w:sz="8" w:space="0" w:color="auto"/>
            </w:tcBorders>
            <w:shd w:val="clear" w:color="auto" w:fill="auto"/>
            <w:noWrap/>
            <w:vAlign w:val="center"/>
            <w:hideMark/>
          </w:tcPr>
          <w:p w14:paraId="52087318"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0,00%</w:t>
            </w:r>
          </w:p>
        </w:tc>
      </w:tr>
    </w:tbl>
    <w:p w14:paraId="7505F4FB" w14:textId="77777777" w:rsidR="00396CB4" w:rsidRPr="00396CB4" w:rsidRDefault="00B03685" w:rsidP="00396CB4">
      <w:pPr>
        <w:spacing w:before="240"/>
        <w:rPr>
          <w:b/>
          <w:lang w:val="es-ES"/>
        </w:rPr>
      </w:pPr>
      <w:r>
        <w:rPr>
          <w:b/>
          <w:lang w:val="es-ES"/>
        </w:rPr>
        <w:lastRenderedPageBreak/>
        <w:fldChar w:fldCharType="end"/>
      </w:r>
      <w:r w:rsidR="00692DC8" w:rsidRPr="00855904">
        <w:rPr>
          <w:b/>
          <w:lang w:val="es-ES"/>
        </w:rPr>
        <w:t xml:space="preserve">Revelación: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756467">
        <w:rPr>
          <w:rFonts w:eastAsia="Times New Roman" w:cs="Calibri"/>
          <w:color w:val="000000"/>
          <w:lang w:eastAsia="es-CR"/>
        </w:rPr>
        <w:instrText xml:space="preserve">Excel.SheetMacroEnabled.12 "C:\\Users\\gcordero\\Downloads\\Notas diciembre 2024\\Formato_Notas_EEFF_Vinculadas_2024\\Formato_Notas_EEFF_Vinculadas_2024\\15603_T04_2024_Anexo_Estado_Notas_Contables_Vinculadas.xlsm" NOTAS_POR_CUENTA!F322C8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21EEE64F" w14:textId="77777777" w:rsidR="00396CB4" w:rsidRPr="00396CB4" w:rsidRDefault="00396CB4" w:rsidP="00396CB4">
      <w:pPr>
        <w:rPr>
          <w:rFonts w:eastAsia="Times New Roman" w:cs="Calibri"/>
          <w:color w:val="000000"/>
          <w:lang w:eastAsia="es-CR"/>
        </w:rPr>
      </w:pPr>
      <w:r w:rsidRPr="00396CB4">
        <w:rPr>
          <w:rFonts w:eastAsia="Times New Roman" w:cs="Calibri"/>
          <w:color w:val="000000"/>
          <w:lang w:eastAsia="es-CR"/>
        </w:rPr>
        <w:t>La cuenta Reversión de consumo de bienes, representa el 0,00% del total del Ingresos, que comparado al periodo anterior genera una variación absoluta de 0 000,00 que corresponde a un Aumento del 0,00% de recursos disponibles.</w:t>
      </w:r>
    </w:p>
    <w:p w14:paraId="7A483C7E" w14:textId="424BCB39" w:rsidR="00692DC8" w:rsidRPr="00692DC8" w:rsidRDefault="00B03685" w:rsidP="00B03685">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69F50A1E" w14:textId="77777777" w:rsidR="00692DC8" w:rsidRPr="00692DC8" w:rsidRDefault="00692DC8" w:rsidP="00855904">
      <w:bookmarkStart w:id="856" w:name="_Toc14344878"/>
      <w:bookmarkStart w:id="857" w:name="_Toc33601300"/>
      <w:bookmarkStart w:id="858" w:name="_Toc82769021"/>
    </w:p>
    <w:p w14:paraId="78921269" w14:textId="77777777" w:rsidR="00692DC8" w:rsidRPr="00692DC8" w:rsidRDefault="00692DC8" w:rsidP="00855904">
      <w:pPr>
        <w:pStyle w:val="Ttulo4"/>
        <w:spacing w:after="240"/>
        <w:rPr>
          <w:rFonts w:eastAsia="Times New Roman"/>
        </w:rPr>
      </w:pPr>
      <w:bookmarkStart w:id="859" w:name="_Toc189804900"/>
      <w:r w:rsidRPr="00692DC8">
        <w:rPr>
          <w:rFonts w:eastAsia="Times New Roman"/>
        </w:rPr>
        <w:t>NOTA N° 5</w:t>
      </w:r>
      <w:bookmarkEnd w:id="856"/>
      <w:bookmarkEnd w:id="857"/>
      <w:bookmarkEnd w:id="858"/>
      <w:r w:rsidRPr="00692DC8">
        <w:rPr>
          <w:rFonts w:eastAsia="Times New Roman"/>
        </w:rPr>
        <w:t>4</w:t>
      </w:r>
      <w:bookmarkEnd w:id="859"/>
    </w:p>
    <w:p w14:paraId="0626FE28" w14:textId="77777777" w:rsidR="00396CB4" w:rsidRDefault="00692DC8" w:rsidP="00DE143D">
      <w:pPr>
        <w:spacing w:before="240"/>
        <w:rPr>
          <w:rFonts w:asciiTheme="minorHAnsi" w:hAnsiTheme="minorHAnsi"/>
          <w:sz w:val="22"/>
        </w:rPr>
      </w:pPr>
      <w:bookmarkStart w:id="860" w:name="_Toc14344879"/>
      <w:bookmarkStart w:id="861" w:name="_Toc33601301"/>
      <w:bookmarkStart w:id="862" w:name="_Toc82769022"/>
      <w:r w:rsidRPr="00692DC8">
        <w:rPr>
          <w:rFonts w:eastAsia="Times New Roman"/>
        </w:rPr>
        <w:t>Reversión de pérdidas por deterioro y desvalorización de bienes</w:t>
      </w:r>
      <w:bookmarkEnd w:id="860"/>
      <w:bookmarkEnd w:id="861"/>
      <w:bookmarkEnd w:id="862"/>
      <w:r w:rsidR="00B03685">
        <w:rPr>
          <w:rFonts w:eastAsiaTheme="majorEastAsia" w:cstheme="majorBidi"/>
          <w:iCs/>
          <w:lang w:val="es-ES"/>
        </w:rPr>
        <w:fldChar w:fldCharType="begin"/>
      </w:r>
      <w:r w:rsidR="00B03685">
        <w:rPr>
          <w:lang w:val="es-ES"/>
        </w:rPr>
        <w:instrText xml:space="preserve"> LINK </w:instrText>
      </w:r>
      <w:r w:rsidR="00756467">
        <w:rPr>
          <w:lang w:val="es-ES"/>
        </w:rPr>
        <w:instrText xml:space="preserve">Excel.SheetMacroEnabled.12 "C:\\Users\\gcordero\\Downloads\\Notas diciembre 2024\\Formato_Notas_EEFF_Vinculadas_2024\\Formato_Notas_EEFF_Vinculadas_2024\\15603_T04_2024_Anexo_Estado_Notas_Contables_Vinculadas.xlsm" NOTAS_POR_CUENTA!F324C1:F326C6 </w:instrText>
      </w:r>
      <w:r w:rsidR="00B03685">
        <w:rPr>
          <w:lang w:val="es-ES"/>
        </w:rPr>
        <w:instrText xml:space="preserve">\a \f 4 \h </w:instrText>
      </w:r>
      <w:r w:rsidR="00B03685">
        <w:rPr>
          <w:b/>
          <w:lang w:val="es-ES"/>
        </w:rPr>
        <w:fldChar w:fldCharType="separate"/>
      </w:r>
    </w:p>
    <w:tbl>
      <w:tblPr>
        <w:tblW w:w="9600" w:type="dxa"/>
        <w:tblCellMar>
          <w:left w:w="70" w:type="dxa"/>
          <w:right w:w="70" w:type="dxa"/>
        </w:tblCellMar>
        <w:tblLook w:val="04A0" w:firstRow="1" w:lastRow="0" w:firstColumn="1" w:lastColumn="0" w:noHBand="0" w:noVBand="1"/>
      </w:tblPr>
      <w:tblGrid>
        <w:gridCol w:w="1377"/>
        <w:gridCol w:w="2503"/>
        <w:gridCol w:w="500"/>
        <w:gridCol w:w="2100"/>
        <w:gridCol w:w="2100"/>
        <w:gridCol w:w="1020"/>
      </w:tblGrid>
      <w:tr w:rsidR="00396CB4" w:rsidRPr="00396CB4" w14:paraId="7B517577" w14:textId="77777777" w:rsidTr="00396CB4">
        <w:trPr>
          <w:divId w:val="832524499"/>
          <w:trHeight w:val="330"/>
        </w:trPr>
        <w:tc>
          <w:tcPr>
            <w:tcW w:w="1377"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3CFFFC7" w14:textId="75883A06" w:rsidR="00396CB4" w:rsidRPr="00396CB4" w:rsidRDefault="00396CB4" w:rsidP="00396CB4">
            <w:pP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2503"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D944A57"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CF4A54C"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0764F91"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5D74A4A"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6F49BFD6"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2856A82D" w14:textId="77777777" w:rsidTr="00396CB4">
        <w:trPr>
          <w:divId w:val="832524499"/>
          <w:trHeight w:val="330"/>
        </w:trPr>
        <w:tc>
          <w:tcPr>
            <w:tcW w:w="1377" w:type="dxa"/>
            <w:vMerge/>
            <w:tcBorders>
              <w:top w:val="single" w:sz="8" w:space="0" w:color="auto"/>
              <w:left w:val="single" w:sz="8" w:space="0" w:color="auto"/>
              <w:bottom w:val="single" w:sz="8" w:space="0" w:color="000000"/>
              <w:right w:val="single" w:sz="8" w:space="0" w:color="auto"/>
            </w:tcBorders>
            <w:vAlign w:val="center"/>
            <w:hideMark/>
          </w:tcPr>
          <w:p w14:paraId="7F1458D4"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503" w:type="dxa"/>
            <w:vMerge/>
            <w:tcBorders>
              <w:top w:val="single" w:sz="8" w:space="0" w:color="auto"/>
              <w:left w:val="single" w:sz="8" w:space="0" w:color="auto"/>
              <w:bottom w:val="single" w:sz="8" w:space="0" w:color="000000"/>
              <w:right w:val="single" w:sz="8" w:space="0" w:color="auto"/>
            </w:tcBorders>
            <w:vAlign w:val="center"/>
            <w:hideMark/>
          </w:tcPr>
          <w:p w14:paraId="4AA0ADEF"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113D797A"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7E69F404"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41C32E38"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77D1026B"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40C58B92" w14:textId="77777777" w:rsidTr="00396CB4">
        <w:trPr>
          <w:divId w:val="832524499"/>
          <w:trHeight w:val="555"/>
        </w:trPr>
        <w:tc>
          <w:tcPr>
            <w:tcW w:w="1377" w:type="dxa"/>
            <w:tcBorders>
              <w:top w:val="nil"/>
              <w:left w:val="single" w:sz="8" w:space="0" w:color="auto"/>
              <w:bottom w:val="single" w:sz="8" w:space="0" w:color="auto"/>
              <w:right w:val="single" w:sz="8" w:space="0" w:color="auto"/>
            </w:tcBorders>
            <w:shd w:val="clear" w:color="auto" w:fill="auto"/>
            <w:noWrap/>
            <w:vAlign w:val="center"/>
            <w:hideMark/>
          </w:tcPr>
          <w:p w14:paraId="1F7E9001"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4.9.3.</w:t>
            </w:r>
          </w:p>
        </w:tc>
        <w:tc>
          <w:tcPr>
            <w:tcW w:w="2503" w:type="dxa"/>
            <w:tcBorders>
              <w:top w:val="nil"/>
              <w:left w:val="nil"/>
              <w:bottom w:val="single" w:sz="8" w:space="0" w:color="auto"/>
              <w:right w:val="single" w:sz="8" w:space="0" w:color="auto"/>
            </w:tcBorders>
            <w:shd w:val="clear" w:color="auto" w:fill="auto"/>
            <w:vAlign w:val="center"/>
            <w:hideMark/>
          </w:tcPr>
          <w:p w14:paraId="55673F0B" w14:textId="77777777" w:rsidR="00396CB4" w:rsidRPr="00396CB4" w:rsidRDefault="00396CB4" w:rsidP="00396CB4">
            <w:pPr>
              <w:spacing w:after="0" w:line="240" w:lineRule="auto"/>
              <w:rPr>
                <w:rFonts w:eastAsia="Times New Roman" w:cs="Calibri"/>
                <w:b/>
                <w:bCs/>
                <w:color w:val="000000"/>
                <w:sz w:val="18"/>
                <w:szCs w:val="18"/>
                <w:lang w:eastAsia="es-CR"/>
              </w:rPr>
            </w:pPr>
            <w:r w:rsidRPr="00396CB4">
              <w:rPr>
                <w:rFonts w:eastAsia="Times New Roman" w:cs="Calibri"/>
                <w:b/>
                <w:bCs/>
                <w:color w:val="000000"/>
                <w:sz w:val="18"/>
                <w:szCs w:val="18"/>
                <w:lang w:eastAsia="es-CR"/>
              </w:rPr>
              <w:t>Reversión de pérdidas por deterioro y desvalorización de bienes</w:t>
            </w:r>
          </w:p>
        </w:tc>
        <w:tc>
          <w:tcPr>
            <w:tcW w:w="500" w:type="dxa"/>
            <w:tcBorders>
              <w:top w:val="nil"/>
              <w:left w:val="nil"/>
              <w:bottom w:val="single" w:sz="8" w:space="0" w:color="auto"/>
              <w:right w:val="single" w:sz="8" w:space="0" w:color="auto"/>
            </w:tcBorders>
            <w:shd w:val="clear" w:color="auto" w:fill="auto"/>
            <w:noWrap/>
            <w:vAlign w:val="center"/>
            <w:hideMark/>
          </w:tcPr>
          <w:p w14:paraId="74EA6A2D"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54</w:t>
            </w:r>
          </w:p>
        </w:tc>
        <w:tc>
          <w:tcPr>
            <w:tcW w:w="2100" w:type="dxa"/>
            <w:tcBorders>
              <w:top w:val="nil"/>
              <w:left w:val="nil"/>
              <w:bottom w:val="single" w:sz="8" w:space="0" w:color="auto"/>
              <w:right w:val="single" w:sz="8" w:space="0" w:color="auto"/>
            </w:tcBorders>
            <w:shd w:val="clear" w:color="auto" w:fill="auto"/>
            <w:noWrap/>
            <w:vAlign w:val="center"/>
            <w:hideMark/>
          </w:tcPr>
          <w:p w14:paraId="5FF830BD"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2100" w:type="dxa"/>
            <w:tcBorders>
              <w:top w:val="nil"/>
              <w:left w:val="nil"/>
              <w:bottom w:val="single" w:sz="8" w:space="0" w:color="auto"/>
              <w:right w:val="single" w:sz="8" w:space="0" w:color="auto"/>
            </w:tcBorders>
            <w:shd w:val="clear" w:color="auto" w:fill="auto"/>
            <w:noWrap/>
            <w:vAlign w:val="center"/>
            <w:hideMark/>
          </w:tcPr>
          <w:p w14:paraId="4F72AE2E"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1020" w:type="dxa"/>
            <w:tcBorders>
              <w:top w:val="nil"/>
              <w:left w:val="nil"/>
              <w:bottom w:val="single" w:sz="8" w:space="0" w:color="auto"/>
              <w:right w:val="single" w:sz="8" w:space="0" w:color="auto"/>
            </w:tcBorders>
            <w:shd w:val="clear" w:color="auto" w:fill="auto"/>
            <w:noWrap/>
            <w:vAlign w:val="center"/>
            <w:hideMark/>
          </w:tcPr>
          <w:p w14:paraId="7D910DA6"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0,00%</w:t>
            </w:r>
          </w:p>
        </w:tc>
      </w:tr>
    </w:tbl>
    <w:p w14:paraId="3E34D8D6" w14:textId="7D897C29" w:rsidR="00396CB4" w:rsidRPr="00396CB4" w:rsidRDefault="00B03685" w:rsidP="00396CB4">
      <w:pPr>
        <w:spacing w:before="240"/>
        <w:rPr>
          <w:rFonts w:cs="Times New Roman"/>
          <w:b/>
          <w:bCs/>
          <w:lang w:val="es-ES"/>
        </w:rPr>
      </w:pPr>
      <w:r>
        <w:rPr>
          <w:rFonts w:cs="Times New Roman"/>
          <w:b/>
          <w:bCs/>
          <w:lang w:val="es-ES"/>
        </w:rPr>
        <w:fldChar w:fldCharType="end"/>
      </w:r>
      <w:r w:rsidR="00692DC8" w:rsidRPr="00692DC8">
        <w:rPr>
          <w:rFonts w:cs="Times New Roman"/>
          <w:b/>
          <w:bCs/>
          <w:lang w:val="es-ES"/>
        </w:rPr>
        <w:t>Revelación</w:t>
      </w:r>
      <w:r w:rsidR="00692DC8" w:rsidRPr="00692DC8">
        <w:rPr>
          <w:rFonts w:cs="Times New Roman"/>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756467">
        <w:rPr>
          <w:rFonts w:eastAsia="Times New Roman" w:cs="Calibri"/>
          <w:color w:val="000000"/>
          <w:lang w:eastAsia="es-CR"/>
        </w:rPr>
        <w:instrText xml:space="preserve">Excel.SheetMacroEnabled.12 "C:\\Users\\gcordero\\Downloads\\Notas diciembre 2024\\Formato_Notas_EEFF_Vinculadas_2024\\Formato_Notas_EEFF_Vinculadas_2024\\15603_T04_2024_Anexo_Estado_Notas_Contables_Vinculadas.xlsm" NOTAS_POR_CUENTA!F326C8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4EF82A7D" w14:textId="77777777" w:rsidR="00396CB4" w:rsidRPr="00396CB4" w:rsidRDefault="00396CB4" w:rsidP="00396CB4">
      <w:pPr>
        <w:rPr>
          <w:rFonts w:eastAsia="Times New Roman" w:cs="Calibri"/>
          <w:color w:val="000000"/>
          <w:lang w:eastAsia="es-CR"/>
        </w:rPr>
      </w:pPr>
      <w:r w:rsidRPr="00396CB4">
        <w:rPr>
          <w:rFonts w:eastAsia="Times New Roman" w:cs="Calibri"/>
          <w:color w:val="000000"/>
          <w:lang w:eastAsia="es-CR"/>
        </w:rPr>
        <w:t>La cuenta Reversión de pérdidas por deterioro y desvalorización de bienes, representa el 0,00% del total del Ingresos, que comparado al periodo anterior genera una variación absoluta de 0 000,00 que corresponde a un Aumento del 0,00% de recursos disponibles.</w:t>
      </w:r>
    </w:p>
    <w:p w14:paraId="32F15304" w14:textId="139672B7" w:rsidR="00692DC8" w:rsidRPr="00692DC8" w:rsidRDefault="00B03685" w:rsidP="00B03685">
      <w:pPr>
        <w:rPr>
          <w:rFonts w:eastAsiaTheme="minorEastAsia" w:cs="Arial Narrow"/>
          <w:color w:val="000000"/>
          <w:lang w:eastAsia="es-CR"/>
        </w:rPr>
      </w:pPr>
      <w:r>
        <w:rPr>
          <w:rFonts w:eastAsia="Times New Roman" w:cs="Calibri"/>
          <w:color w:val="000000"/>
          <w:lang w:eastAsia="es-CR"/>
        </w:rPr>
        <w:fldChar w:fldCharType="end"/>
      </w:r>
      <w:r w:rsidR="00692DC8" w:rsidRPr="00692DC8">
        <w:rPr>
          <w:rFonts w:cs="Times New Roman"/>
          <w:highlight w:val="lightGray"/>
        </w:rPr>
        <w:t>Las variaciones de la cuenta son producto de (Indicar la razón de las variaciones de un periodo a otro):</w:t>
      </w:r>
      <w:r w:rsidR="00692DC8" w:rsidRPr="00692DC8">
        <w:rPr>
          <w:rFonts w:cs="Times New Roman"/>
        </w:rPr>
        <w:t xml:space="preserve"> </w:t>
      </w:r>
    </w:p>
    <w:p w14:paraId="78B4123B" w14:textId="77777777" w:rsidR="00855904" w:rsidRPr="00692DC8" w:rsidRDefault="00855904" w:rsidP="00855904">
      <w:pPr>
        <w:rPr>
          <w:rFonts w:cs="Times New Roman"/>
          <w:b/>
        </w:rPr>
      </w:pPr>
    </w:p>
    <w:p w14:paraId="459BEB99" w14:textId="77777777" w:rsidR="00692DC8" w:rsidRPr="00692DC8" w:rsidRDefault="00692DC8" w:rsidP="00855904">
      <w:pPr>
        <w:pStyle w:val="Ttulo4"/>
        <w:spacing w:after="240"/>
        <w:rPr>
          <w:rFonts w:eastAsia="Times New Roman"/>
        </w:rPr>
      </w:pPr>
      <w:bookmarkStart w:id="863" w:name="_Toc14344885"/>
      <w:bookmarkStart w:id="864" w:name="_Toc33601302"/>
      <w:bookmarkStart w:id="865" w:name="_Toc82769023"/>
      <w:bookmarkStart w:id="866" w:name="_Toc189804901"/>
      <w:r w:rsidRPr="00692DC8">
        <w:rPr>
          <w:rFonts w:eastAsia="Times New Roman"/>
        </w:rPr>
        <w:t>NOTA N° 5</w:t>
      </w:r>
      <w:bookmarkEnd w:id="863"/>
      <w:bookmarkEnd w:id="864"/>
      <w:bookmarkEnd w:id="865"/>
      <w:r w:rsidRPr="00692DC8">
        <w:rPr>
          <w:rFonts w:eastAsia="Times New Roman"/>
        </w:rPr>
        <w:t>5</w:t>
      </w:r>
      <w:bookmarkEnd w:id="866"/>
    </w:p>
    <w:p w14:paraId="466BB410" w14:textId="77777777" w:rsidR="00396CB4" w:rsidRDefault="00692DC8" w:rsidP="00F51D42">
      <w:pPr>
        <w:spacing w:before="240"/>
        <w:rPr>
          <w:rFonts w:asciiTheme="minorHAnsi" w:hAnsiTheme="minorHAnsi"/>
          <w:sz w:val="22"/>
        </w:rPr>
      </w:pPr>
      <w:bookmarkStart w:id="867" w:name="_Toc14344886"/>
      <w:bookmarkStart w:id="868" w:name="_Toc33601303"/>
      <w:bookmarkStart w:id="869" w:name="_Toc82769024"/>
      <w:r w:rsidRPr="00692DC8">
        <w:rPr>
          <w:rFonts w:eastAsia="Times New Roman"/>
        </w:rPr>
        <w:t>Recuperación de previsiones</w:t>
      </w:r>
      <w:bookmarkStart w:id="870" w:name="_Toc14344890"/>
      <w:bookmarkEnd w:id="867"/>
      <w:bookmarkEnd w:id="868"/>
      <w:bookmarkEnd w:id="869"/>
      <w:r w:rsidR="00B03685">
        <w:rPr>
          <w:rFonts w:eastAsiaTheme="majorEastAsia" w:cstheme="majorBidi"/>
          <w:iCs/>
          <w:lang w:val="es-ES"/>
        </w:rPr>
        <w:fldChar w:fldCharType="begin"/>
      </w:r>
      <w:r w:rsidR="00B03685">
        <w:rPr>
          <w:lang w:val="es-ES"/>
        </w:rPr>
        <w:instrText xml:space="preserve"> LINK </w:instrText>
      </w:r>
      <w:r w:rsidR="00756467">
        <w:rPr>
          <w:lang w:val="es-ES"/>
        </w:rPr>
        <w:instrText xml:space="preserve">Excel.SheetMacroEnabled.12 "C:\\Users\\gcordero\\Downloads\\Notas diciembre 2024\\Formato_Notas_EEFF_Vinculadas_2024\\Formato_Notas_EEFF_Vinculadas_2024\\15603_T04_2024_Anexo_Estado_Notas_Contables_Vinculadas.xlsm" NOTAS_POR_CUENTA!F328C1:F330C6 </w:instrText>
      </w:r>
      <w:r w:rsidR="00B03685">
        <w:rPr>
          <w:lang w:val="es-ES"/>
        </w:rPr>
        <w:instrText xml:space="preserve">\a \f 4 \h </w:instrText>
      </w:r>
      <w:r w:rsidR="00B03685">
        <w:rPr>
          <w:b/>
          <w:lang w:val="es-ES"/>
        </w:rPr>
        <w:fldChar w:fldCharType="separate"/>
      </w:r>
    </w:p>
    <w:tbl>
      <w:tblPr>
        <w:tblW w:w="9600" w:type="dxa"/>
        <w:tblCellMar>
          <w:left w:w="70" w:type="dxa"/>
          <w:right w:w="70" w:type="dxa"/>
        </w:tblCellMar>
        <w:tblLook w:val="04A0" w:firstRow="1" w:lastRow="0" w:firstColumn="1" w:lastColumn="0" w:noHBand="0" w:noVBand="1"/>
      </w:tblPr>
      <w:tblGrid>
        <w:gridCol w:w="1516"/>
        <w:gridCol w:w="2364"/>
        <w:gridCol w:w="500"/>
        <w:gridCol w:w="2100"/>
        <w:gridCol w:w="2100"/>
        <w:gridCol w:w="1020"/>
      </w:tblGrid>
      <w:tr w:rsidR="00396CB4" w:rsidRPr="00396CB4" w14:paraId="6FA79B78" w14:textId="77777777" w:rsidTr="00396CB4">
        <w:trPr>
          <w:divId w:val="967201529"/>
          <w:trHeight w:val="330"/>
        </w:trPr>
        <w:tc>
          <w:tcPr>
            <w:tcW w:w="151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84ED769" w14:textId="67A52AE6" w:rsidR="00396CB4" w:rsidRPr="00396CB4" w:rsidRDefault="00396CB4" w:rsidP="00396CB4">
            <w:pP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236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3AA9915"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2BF8E7A"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9C99B9E"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6639FD8"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06F7E8B8"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5C0C5597" w14:textId="77777777" w:rsidTr="00396CB4">
        <w:trPr>
          <w:divId w:val="967201529"/>
          <w:trHeight w:val="330"/>
        </w:trPr>
        <w:tc>
          <w:tcPr>
            <w:tcW w:w="1516" w:type="dxa"/>
            <w:vMerge/>
            <w:tcBorders>
              <w:top w:val="single" w:sz="8" w:space="0" w:color="auto"/>
              <w:left w:val="single" w:sz="8" w:space="0" w:color="auto"/>
              <w:bottom w:val="single" w:sz="8" w:space="0" w:color="000000"/>
              <w:right w:val="single" w:sz="8" w:space="0" w:color="auto"/>
            </w:tcBorders>
            <w:vAlign w:val="center"/>
            <w:hideMark/>
          </w:tcPr>
          <w:p w14:paraId="0C042AC5"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364" w:type="dxa"/>
            <w:vMerge/>
            <w:tcBorders>
              <w:top w:val="single" w:sz="8" w:space="0" w:color="auto"/>
              <w:left w:val="single" w:sz="8" w:space="0" w:color="auto"/>
              <w:bottom w:val="single" w:sz="8" w:space="0" w:color="000000"/>
              <w:right w:val="single" w:sz="8" w:space="0" w:color="auto"/>
            </w:tcBorders>
            <w:vAlign w:val="center"/>
            <w:hideMark/>
          </w:tcPr>
          <w:p w14:paraId="16E96D1C"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140B7EBA"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180957DA"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397BF51A"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6376B50B"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17EC8489" w14:textId="77777777" w:rsidTr="00396CB4">
        <w:trPr>
          <w:divId w:val="967201529"/>
          <w:trHeight w:val="330"/>
        </w:trPr>
        <w:tc>
          <w:tcPr>
            <w:tcW w:w="1516" w:type="dxa"/>
            <w:tcBorders>
              <w:top w:val="nil"/>
              <w:left w:val="single" w:sz="8" w:space="0" w:color="auto"/>
              <w:bottom w:val="single" w:sz="8" w:space="0" w:color="auto"/>
              <w:right w:val="single" w:sz="8" w:space="0" w:color="auto"/>
            </w:tcBorders>
            <w:shd w:val="clear" w:color="auto" w:fill="auto"/>
            <w:noWrap/>
            <w:vAlign w:val="center"/>
            <w:hideMark/>
          </w:tcPr>
          <w:p w14:paraId="603C5F97"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4.9.4.</w:t>
            </w:r>
          </w:p>
        </w:tc>
        <w:tc>
          <w:tcPr>
            <w:tcW w:w="2364" w:type="dxa"/>
            <w:tcBorders>
              <w:top w:val="nil"/>
              <w:left w:val="nil"/>
              <w:bottom w:val="single" w:sz="8" w:space="0" w:color="auto"/>
              <w:right w:val="single" w:sz="8" w:space="0" w:color="auto"/>
            </w:tcBorders>
            <w:shd w:val="clear" w:color="auto" w:fill="auto"/>
            <w:vAlign w:val="center"/>
            <w:hideMark/>
          </w:tcPr>
          <w:p w14:paraId="072C069D" w14:textId="77777777" w:rsidR="00396CB4" w:rsidRPr="00396CB4" w:rsidRDefault="00396CB4" w:rsidP="00396CB4">
            <w:pPr>
              <w:spacing w:after="0" w:line="240" w:lineRule="auto"/>
              <w:rPr>
                <w:rFonts w:eastAsia="Times New Roman" w:cs="Calibri"/>
                <w:b/>
                <w:bCs/>
                <w:color w:val="000000"/>
                <w:sz w:val="18"/>
                <w:szCs w:val="18"/>
                <w:lang w:eastAsia="es-CR"/>
              </w:rPr>
            </w:pPr>
            <w:r w:rsidRPr="00396CB4">
              <w:rPr>
                <w:rFonts w:eastAsia="Times New Roman" w:cs="Calibri"/>
                <w:b/>
                <w:bCs/>
                <w:color w:val="000000"/>
                <w:sz w:val="18"/>
                <w:szCs w:val="18"/>
                <w:lang w:eastAsia="es-CR"/>
              </w:rPr>
              <w:t>Recuperación de previsiones</w:t>
            </w:r>
          </w:p>
        </w:tc>
        <w:tc>
          <w:tcPr>
            <w:tcW w:w="500" w:type="dxa"/>
            <w:tcBorders>
              <w:top w:val="nil"/>
              <w:left w:val="nil"/>
              <w:bottom w:val="single" w:sz="8" w:space="0" w:color="auto"/>
              <w:right w:val="single" w:sz="8" w:space="0" w:color="auto"/>
            </w:tcBorders>
            <w:shd w:val="clear" w:color="auto" w:fill="auto"/>
            <w:noWrap/>
            <w:vAlign w:val="center"/>
            <w:hideMark/>
          </w:tcPr>
          <w:p w14:paraId="3F0677F2"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55</w:t>
            </w:r>
          </w:p>
        </w:tc>
        <w:tc>
          <w:tcPr>
            <w:tcW w:w="2100" w:type="dxa"/>
            <w:tcBorders>
              <w:top w:val="nil"/>
              <w:left w:val="nil"/>
              <w:bottom w:val="single" w:sz="8" w:space="0" w:color="auto"/>
              <w:right w:val="single" w:sz="8" w:space="0" w:color="auto"/>
            </w:tcBorders>
            <w:shd w:val="clear" w:color="auto" w:fill="auto"/>
            <w:noWrap/>
            <w:vAlign w:val="center"/>
            <w:hideMark/>
          </w:tcPr>
          <w:p w14:paraId="7634609E"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2100" w:type="dxa"/>
            <w:tcBorders>
              <w:top w:val="nil"/>
              <w:left w:val="nil"/>
              <w:bottom w:val="single" w:sz="8" w:space="0" w:color="auto"/>
              <w:right w:val="single" w:sz="8" w:space="0" w:color="auto"/>
            </w:tcBorders>
            <w:shd w:val="clear" w:color="auto" w:fill="auto"/>
            <w:noWrap/>
            <w:vAlign w:val="center"/>
            <w:hideMark/>
          </w:tcPr>
          <w:p w14:paraId="526B8835"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1020" w:type="dxa"/>
            <w:tcBorders>
              <w:top w:val="nil"/>
              <w:left w:val="nil"/>
              <w:bottom w:val="single" w:sz="8" w:space="0" w:color="auto"/>
              <w:right w:val="single" w:sz="8" w:space="0" w:color="auto"/>
            </w:tcBorders>
            <w:shd w:val="clear" w:color="auto" w:fill="auto"/>
            <w:noWrap/>
            <w:vAlign w:val="center"/>
            <w:hideMark/>
          </w:tcPr>
          <w:p w14:paraId="02552802"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0,00%</w:t>
            </w:r>
          </w:p>
        </w:tc>
      </w:tr>
    </w:tbl>
    <w:p w14:paraId="0337B280" w14:textId="77777777" w:rsidR="00F574FC" w:rsidRDefault="00B03685" w:rsidP="00396CB4">
      <w:pPr>
        <w:spacing w:before="240"/>
        <w:rPr>
          <w:b/>
          <w:lang w:val="es-ES"/>
        </w:rPr>
      </w:pPr>
      <w:r>
        <w:rPr>
          <w:b/>
          <w:lang w:val="es-ES"/>
        </w:rPr>
        <w:fldChar w:fldCharType="end"/>
      </w:r>
    </w:p>
    <w:p w14:paraId="5FFA42AB" w14:textId="77777777" w:rsidR="00F574FC" w:rsidRDefault="00F574FC" w:rsidP="00396CB4">
      <w:pPr>
        <w:spacing w:before="240"/>
        <w:rPr>
          <w:b/>
          <w:lang w:val="es-ES"/>
        </w:rPr>
      </w:pPr>
    </w:p>
    <w:p w14:paraId="20C1276A" w14:textId="0D7516D9" w:rsidR="00396CB4" w:rsidRPr="00396CB4" w:rsidRDefault="00692DC8" w:rsidP="00396CB4">
      <w:pPr>
        <w:spacing w:before="240"/>
        <w:rPr>
          <w:b/>
          <w:lang w:val="es-ES"/>
        </w:rPr>
      </w:pPr>
      <w:r w:rsidRPr="00855904">
        <w:rPr>
          <w:b/>
          <w:lang w:val="es-ES"/>
        </w:rPr>
        <w:lastRenderedPageBreak/>
        <w:t xml:space="preserve">Revelación: </w:t>
      </w:r>
      <w:r w:rsidR="00B03685">
        <w:rPr>
          <w:rFonts w:eastAsia="Times New Roman" w:cs="Calibri"/>
          <w:color w:val="000000"/>
          <w:lang w:eastAsia="es-CR"/>
        </w:rPr>
        <w:fldChar w:fldCharType="begin"/>
      </w:r>
      <w:r w:rsidR="00B03685">
        <w:rPr>
          <w:rFonts w:eastAsia="Times New Roman" w:cs="Calibri"/>
          <w:color w:val="000000"/>
          <w:lang w:eastAsia="es-CR"/>
        </w:rPr>
        <w:instrText xml:space="preserve"> LINK </w:instrText>
      </w:r>
      <w:r w:rsidR="00756467">
        <w:rPr>
          <w:rFonts w:eastAsia="Times New Roman" w:cs="Calibri"/>
          <w:color w:val="000000"/>
          <w:lang w:eastAsia="es-CR"/>
        </w:rPr>
        <w:instrText xml:space="preserve">Excel.SheetMacroEnabled.12 "C:\\Users\\gcordero\\Downloads\\Notas diciembre 2024\\Formato_Notas_EEFF_Vinculadas_2024\\Formato_Notas_EEFF_Vinculadas_2024\\15603_T04_2024_Anexo_Estado_Notas_Contables_Vinculadas.xlsm" NOTAS_POR_CUENTA!F330C8 </w:instrText>
      </w:r>
      <w:r w:rsidR="00B03685">
        <w:rPr>
          <w:rFonts w:eastAsia="Times New Roman" w:cs="Calibri"/>
          <w:color w:val="000000"/>
          <w:lang w:eastAsia="es-CR"/>
        </w:rPr>
        <w:instrText xml:space="preserve">\a \f 5 \h  \* MERGEFORMAT </w:instrText>
      </w:r>
      <w:r w:rsidR="00B03685">
        <w:rPr>
          <w:rFonts w:eastAsia="Times New Roman" w:cs="Calibri"/>
          <w:color w:val="000000"/>
          <w:lang w:eastAsia="es-CR"/>
        </w:rPr>
        <w:fldChar w:fldCharType="separate"/>
      </w:r>
    </w:p>
    <w:p w14:paraId="3134F4F9" w14:textId="77777777" w:rsidR="00396CB4" w:rsidRPr="00396CB4" w:rsidRDefault="00396CB4" w:rsidP="00396CB4">
      <w:pPr>
        <w:rPr>
          <w:rFonts w:eastAsia="Times New Roman" w:cs="Calibri"/>
          <w:color w:val="000000"/>
          <w:lang w:eastAsia="es-CR"/>
        </w:rPr>
      </w:pPr>
      <w:r w:rsidRPr="00396CB4">
        <w:rPr>
          <w:rFonts w:eastAsia="Times New Roman" w:cs="Calibri"/>
          <w:color w:val="000000"/>
          <w:lang w:eastAsia="es-CR"/>
        </w:rPr>
        <w:t>La cuenta Recuperación de previsiones, representa el 0,00% del total del Ingresos, que comparado al periodo anterior genera una variación absoluta de 0 000,00 que corresponde a un Aumento del 0,00% de recursos disponibles.</w:t>
      </w:r>
    </w:p>
    <w:p w14:paraId="67DED83F" w14:textId="488F3B36" w:rsidR="00692DC8" w:rsidRPr="00692DC8" w:rsidRDefault="00B03685" w:rsidP="00B03685">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06059A2D" w14:textId="77777777" w:rsidR="00692DC8" w:rsidRPr="00692DC8" w:rsidRDefault="00692DC8" w:rsidP="00855904">
      <w:bookmarkStart w:id="871" w:name="_Toc33601304"/>
      <w:bookmarkStart w:id="872" w:name="_Toc82769025"/>
    </w:p>
    <w:p w14:paraId="1FF87117" w14:textId="77777777" w:rsidR="00692DC8" w:rsidRPr="00692DC8" w:rsidRDefault="00692DC8" w:rsidP="00D94B22">
      <w:pPr>
        <w:pStyle w:val="Ttulo4"/>
        <w:spacing w:after="240"/>
        <w:rPr>
          <w:rFonts w:eastAsia="Times New Roman"/>
        </w:rPr>
      </w:pPr>
      <w:bookmarkStart w:id="873" w:name="_Toc189804902"/>
      <w:r w:rsidRPr="00692DC8">
        <w:rPr>
          <w:rFonts w:eastAsia="Times New Roman"/>
        </w:rPr>
        <w:t>NOTA N° 5</w:t>
      </w:r>
      <w:bookmarkEnd w:id="870"/>
      <w:bookmarkEnd w:id="871"/>
      <w:bookmarkEnd w:id="872"/>
      <w:r w:rsidRPr="00692DC8">
        <w:rPr>
          <w:rFonts w:eastAsia="Times New Roman"/>
        </w:rPr>
        <w:t>6</w:t>
      </w:r>
      <w:bookmarkEnd w:id="873"/>
    </w:p>
    <w:p w14:paraId="19E15FA3" w14:textId="77777777" w:rsidR="00396CB4" w:rsidRDefault="00692DC8" w:rsidP="00DE143D">
      <w:pPr>
        <w:spacing w:before="240"/>
        <w:rPr>
          <w:rFonts w:asciiTheme="minorHAnsi" w:hAnsiTheme="minorHAnsi"/>
          <w:sz w:val="22"/>
        </w:rPr>
      </w:pPr>
      <w:bookmarkStart w:id="874" w:name="_Toc14344891"/>
      <w:bookmarkStart w:id="875" w:name="_Toc33601305"/>
      <w:bookmarkStart w:id="876" w:name="_Toc82769026"/>
      <w:r w:rsidRPr="00692DC8">
        <w:rPr>
          <w:rFonts w:eastAsia="Times New Roman"/>
        </w:rPr>
        <w:t>Recuperación de provisiones y reservas técnicas</w:t>
      </w:r>
      <w:bookmarkEnd w:id="874"/>
      <w:bookmarkEnd w:id="875"/>
      <w:bookmarkEnd w:id="876"/>
      <w:r w:rsidR="00B03685">
        <w:rPr>
          <w:rFonts w:eastAsiaTheme="majorEastAsia" w:cstheme="majorBidi"/>
          <w:iCs/>
          <w:lang w:val="es-ES"/>
        </w:rPr>
        <w:fldChar w:fldCharType="begin"/>
      </w:r>
      <w:r w:rsidR="00B03685">
        <w:rPr>
          <w:lang w:val="es-ES"/>
        </w:rPr>
        <w:instrText xml:space="preserve"> LINK </w:instrText>
      </w:r>
      <w:r w:rsidR="00756467">
        <w:rPr>
          <w:lang w:val="es-ES"/>
        </w:rPr>
        <w:instrText xml:space="preserve">Excel.SheetMacroEnabled.12 "C:\\Users\\gcordero\\Downloads\\Notas diciembre 2024\\Formato_Notas_EEFF_Vinculadas_2024\\Formato_Notas_EEFF_Vinculadas_2024\\15603_T04_2024_Anexo_Estado_Notas_Contables_Vinculadas.xlsm" NOTAS_POR_CUENTA!F332C1:F334C6 </w:instrText>
      </w:r>
      <w:r w:rsidR="00B03685">
        <w:rPr>
          <w:lang w:val="es-ES"/>
        </w:rPr>
        <w:instrText xml:space="preserve">\a \f 4 \h </w:instrText>
      </w:r>
      <w:r w:rsidR="00B03685">
        <w:rPr>
          <w:b/>
          <w:lang w:val="es-ES"/>
        </w:rPr>
        <w:fldChar w:fldCharType="separate"/>
      </w:r>
    </w:p>
    <w:tbl>
      <w:tblPr>
        <w:tblW w:w="9600" w:type="dxa"/>
        <w:tblCellMar>
          <w:left w:w="70" w:type="dxa"/>
          <w:right w:w="70" w:type="dxa"/>
        </w:tblCellMar>
        <w:tblLook w:val="04A0" w:firstRow="1" w:lastRow="0" w:firstColumn="1" w:lastColumn="0" w:noHBand="0" w:noVBand="1"/>
      </w:tblPr>
      <w:tblGrid>
        <w:gridCol w:w="1243"/>
        <w:gridCol w:w="2637"/>
        <w:gridCol w:w="500"/>
        <w:gridCol w:w="2100"/>
        <w:gridCol w:w="2100"/>
        <w:gridCol w:w="1020"/>
      </w:tblGrid>
      <w:tr w:rsidR="00396CB4" w:rsidRPr="00396CB4" w14:paraId="720D476F" w14:textId="77777777" w:rsidTr="00396CB4">
        <w:trPr>
          <w:divId w:val="1756629618"/>
          <w:trHeight w:val="330"/>
        </w:trPr>
        <w:tc>
          <w:tcPr>
            <w:tcW w:w="1243"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2B9ECDC" w14:textId="375D85C3" w:rsidR="00396CB4" w:rsidRPr="00396CB4" w:rsidRDefault="00396CB4" w:rsidP="00396CB4">
            <w:pP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2637"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1C07436"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F370F9C"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E5EC544"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4C28345"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35329F12"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6A0D33C3" w14:textId="77777777" w:rsidTr="00396CB4">
        <w:trPr>
          <w:divId w:val="1756629618"/>
          <w:trHeight w:val="330"/>
        </w:trPr>
        <w:tc>
          <w:tcPr>
            <w:tcW w:w="1243" w:type="dxa"/>
            <w:vMerge/>
            <w:tcBorders>
              <w:top w:val="single" w:sz="8" w:space="0" w:color="auto"/>
              <w:left w:val="single" w:sz="8" w:space="0" w:color="auto"/>
              <w:bottom w:val="single" w:sz="8" w:space="0" w:color="000000"/>
              <w:right w:val="single" w:sz="8" w:space="0" w:color="auto"/>
            </w:tcBorders>
            <w:vAlign w:val="center"/>
            <w:hideMark/>
          </w:tcPr>
          <w:p w14:paraId="027A5B9F"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637" w:type="dxa"/>
            <w:vMerge/>
            <w:tcBorders>
              <w:top w:val="single" w:sz="8" w:space="0" w:color="auto"/>
              <w:left w:val="single" w:sz="8" w:space="0" w:color="auto"/>
              <w:bottom w:val="single" w:sz="8" w:space="0" w:color="000000"/>
              <w:right w:val="single" w:sz="8" w:space="0" w:color="auto"/>
            </w:tcBorders>
            <w:vAlign w:val="center"/>
            <w:hideMark/>
          </w:tcPr>
          <w:p w14:paraId="2B19A4A0"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11CD5B02"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0E290DC8"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58027205"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70DD04C7"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6A0E0833" w14:textId="77777777" w:rsidTr="00396CB4">
        <w:trPr>
          <w:divId w:val="1756629618"/>
          <w:trHeight w:val="555"/>
        </w:trPr>
        <w:tc>
          <w:tcPr>
            <w:tcW w:w="1243" w:type="dxa"/>
            <w:tcBorders>
              <w:top w:val="nil"/>
              <w:left w:val="single" w:sz="8" w:space="0" w:color="auto"/>
              <w:bottom w:val="single" w:sz="8" w:space="0" w:color="auto"/>
              <w:right w:val="single" w:sz="8" w:space="0" w:color="auto"/>
            </w:tcBorders>
            <w:shd w:val="clear" w:color="auto" w:fill="auto"/>
            <w:noWrap/>
            <w:vAlign w:val="center"/>
            <w:hideMark/>
          </w:tcPr>
          <w:p w14:paraId="1787A838"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4.9.5.</w:t>
            </w:r>
          </w:p>
        </w:tc>
        <w:tc>
          <w:tcPr>
            <w:tcW w:w="2637" w:type="dxa"/>
            <w:tcBorders>
              <w:top w:val="nil"/>
              <w:left w:val="nil"/>
              <w:bottom w:val="single" w:sz="8" w:space="0" w:color="auto"/>
              <w:right w:val="single" w:sz="8" w:space="0" w:color="auto"/>
            </w:tcBorders>
            <w:shd w:val="clear" w:color="auto" w:fill="auto"/>
            <w:vAlign w:val="center"/>
            <w:hideMark/>
          </w:tcPr>
          <w:p w14:paraId="4A4D20CB" w14:textId="77777777" w:rsidR="00396CB4" w:rsidRPr="00396CB4" w:rsidRDefault="00396CB4" w:rsidP="00396CB4">
            <w:pPr>
              <w:spacing w:after="0" w:line="240" w:lineRule="auto"/>
              <w:rPr>
                <w:rFonts w:eastAsia="Times New Roman" w:cs="Calibri"/>
                <w:b/>
                <w:bCs/>
                <w:color w:val="000000"/>
                <w:sz w:val="18"/>
                <w:szCs w:val="18"/>
                <w:lang w:eastAsia="es-CR"/>
              </w:rPr>
            </w:pPr>
            <w:r w:rsidRPr="00396CB4">
              <w:rPr>
                <w:rFonts w:eastAsia="Times New Roman" w:cs="Calibri"/>
                <w:b/>
                <w:bCs/>
                <w:color w:val="000000"/>
                <w:sz w:val="18"/>
                <w:szCs w:val="18"/>
                <w:lang w:eastAsia="es-CR"/>
              </w:rPr>
              <w:t>Recuperación de provisiones y reservas técnicas</w:t>
            </w:r>
          </w:p>
        </w:tc>
        <w:tc>
          <w:tcPr>
            <w:tcW w:w="500" w:type="dxa"/>
            <w:tcBorders>
              <w:top w:val="nil"/>
              <w:left w:val="nil"/>
              <w:bottom w:val="single" w:sz="8" w:space="0" w:color="auto"/>
              <w:right w:val="single" w:sz="8" w:space="0" w:color="auto"/>
            </w:tcBorders>
            <w:shd w:val="clear" w:color="auto" w:fill="auto"/>
            <w:noWrap/>
            <w:vAlign w:val="center"/>
            <w:hideMark/>
          </w:tcPr>
          <w:p w14:paraId="0BEFEB48"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56</w:t>
            </w:r>
          </w:p>
        </w:tc>
        <w:tc>
          <w:tcPr>
            <w:tcW w:w="2100" w:type="dxa"/>
            <w:tcBorders>
              <w:top w:val="nil"/>
              <w:left w:val="nil"/>
              <w:bottom w:val="single" w:sz="8" w:space="0" w:color="auto"/>
              <w:right w:val="single" w:sz="8" w:space="0" w:color="auto"/>
            </w:tcBorders>
            <w:shd w:val="clear" w:color="auto" w:fill="auto"/>
            <w:noWrap/>
            <w:vAlign w:val="center"/>
            <w:hideMark/>
          </w:tcPr>
          <w:p w14:paraId="0E21F357"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2100" w:type="dxa"/>
            <w:tcBorders>
              <w:top w:val="nil"/>
              <w:left w:val="nil"/>
              <w:bottom w:val="single" w:sz="8" w:space="0" w:color="auto"/>
              <w:right w:val="single" w:sz="8" w:space="0" w:color="auto"/>
            </w:tcBorders>
            <w:shd w:val="clear" w:color="auto" w:fill="auto"/>
            <w:noWrap/>
            <w:vAlign w:val="center"/>
            <w:hideMark/>
          </w:tcPr>
          <w:p w14:paraId="4780FD56"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1020" w:type="dxa"/>
            <w:tcBorders>
              <w:top w:val="nil"/>
              <w:left w:val="nil"/>
              <w:bottom w:val="single" w:sz="8" w:space="0" w:color="auto"/>
              <w:right w:val="single" w:sz="8" w:space="0" w:color="auto"/>
            </w:tcBorders>
            <w:shd w:val="clear" w:color="auto" w:fill="auto"/>
            <w:noWrap/>
            <w:vAlign w:val="center"/>
            <w:hideMark/>
          </w:tcPr>
          <w:p w14:paraId="3A83B6F1"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0,00%</w:t>
            </w:r>
          </w:p>
        </w:tc>
      </w:tr>
    </w:tbl>
    <w:p w14:paraId="2881A298" w14:textId="36A6FAC0" w:rsidR="00567780" w:rsidRDefault="00B03685" w:rsidP="00DE143D">
      <w:pPr>
        <w:spacing w:before="240"/>
        <w:rPr>
          <w:b/>
          <w:lang w:val="es-ES"/>
        </w:rPr>
      </w:pPr>
      <w:r>
        <w:rPr>
          <w:b/>
          <w:lang w:val="es-ES"/>
        </w:rPr>
        <w:fldChar w:fldCharType="end"/>
      </w:r>
    </w:p>
    <w:p w14:paraId="71D4BD53" w14:textId="77777777" w:rsidR="00396CB4" w:rsidRPr="00396CB4" w:rsidRDefault="00692DC8" w:rsidP="00396CB4">
      <w:pPr>
        <w:spacing w:before="240"/>
        <w:rPr>
          <w:b/>
          <w:lang w:val="es-ES"/>
        </w:rPr>
      </w:pPr>
      <w:r w:rsidRPr="00D94B22">
        <w:rPr>
          <w:b/>
          <w:lang w:val="es-ES"/>
        </w:rPr>
        <w:t xml:space="preserve">Revelación: </w:t>
      </w:r>
      <w:r w:rsidR="00B03685">
        <w:rPr>
          <w:rFonts w:eastAsia="Times New Roman" w:cs="Calibri"/>
          <w:color w:val="000000"/>
          <w:lang w:eastAsia="es-CR"/>
        </w:rPr>
        <w:fldChar w:fldCharType="begin"/>
      </w:r>
      <w:r w:rsidR="00B03685">
        <w:rPr>
          <w:rFonts w:eastAsia="Times New Roman" w:cs="Calibri"/>
          <w:color w:val="000000"/>
          <w:lang w:eastAsia="es-CR"/>
        </w:rPr>
        <w:instrText xml:space="preserve"> LINK </w:instrText>
      </w:r>
      <w:r w:rsidR="00756467">
        <w:rPr>
          <w:rFonts w:eastAsia="Times New Roman" w:cs="Calibri"/>
          <w:color w:val="000000"/>
          <w:lang w:eastAsia="es-CR"/>
        </w:rPr>
        <w:instrText xml:space="preserve">Excel.SheetMacroEnabled.12 "C:\\Users\\gcordero\\Downloads\\Notas diciembre 2024\\Formato_Notas_EEFF_Vinculadas_2024\\Formato_Notas_EEFF_Vinculadas_2024\\15603_T04_2024_Anexo_Estado_Notas_Contables_Vinculadas.xlsm" NOTAS_POR_CUENTA!F334C8 </w:instrText>
      </w:r>
      <w:r w:rsidR="00B03685">
        <w:rPr>
          <w:rFonts w:eastAsia="Times New Roman" w:cs="Calibri"/>
          <w:color w:val="000000"/>
          <w:lang w:eastAsia="es-CR"/>
        </w:rPr>
        <w:instrText xml:space="preserve">\a \f 5 \h  \* MERGEFORMAT </w:instrText>
      </w:r>
      <w:r w:rsidR="00B03685">
        <w:rPr>
          <w:rFonts w:eastAsia="Times New Roman" w:cs="Calibri"/>
          <w:color w:val="000000"/>
          <w:lang w:eastAsia="es-CR"/>
        </w:rPr>
        <w:fldChar w:fldCharType="separate"/>
      </w:r>
    </w:p>
    <w:p w14:paraId="38ACC070" w14:textId="77777777" w:rsidR="00396CB4" w:rsidRPr="00396CB4" w:rsidRDefault="00396CB4" w:rsidP="00396CB4">
      <w:pPr>
        <w:rPr>
          <w:rFonts w:eastAsia="Times New Roman" w:cs="Calibri"/>
          <w:color w:val="000000"/>
          <w:lang w:eastAsia="es-CR"/>
        </w:rPr>
      </w:pPr>
      <w:r w:rsidRPr="00396CB4">
        <w:rPr>
          <w:rFonts w:eastAsia="Times New Roman" w:cs="Calibri"/>
          <w:color w:val="000000"/>
          <w:lang w:eastAsia="es-CR"/>
        </w:rPr>
        <w:t>La cuenta Recuperación de provisiones y reservas técnicas, representa el 0,00% del total del Ingresos, que comparado al periodo anterior genera una variación absoluta de 0 000,00 que corresponde a un Aumento del 0,00% de recursos disponibles.</w:t>
      </w:r>
    </w:p>
    <w:p w14:paraId="06AFBD4C" w14:textId="705E52E2" w:rsidR="00422EDF" w:rsidRDefault="00B03685" w:rsidP="00D94B22">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49ABAC93" w14:textId="77777777" w:rsidR="00422EDF" w:rsidRPr="00422EDF" w:rsidRDefault="00422EDF" w:rsidP="00D94B22">
      <w:pPr>
        <w:rPr>
          <w:rFonts w:eastAsiaTheme="minorEastAsia" w:cs="Arial Narrow"/>
          <w:color w:val="000000"/>
          <w:lang w:eastAsia="es-CR"/>
        </w:rPr>
      </w:pPr>
    </w:p>
    <w:p w14:paraId="5CEEFD01" w14:textId="77777777" w:rsidR="00692DC8" w:rsidRPr="00692DC8" w:rsidRDefault="00692DC8" w:rsidP="00D94B22">
      <w:pPr>
        <w:pStyle w:val="Ttulo4"/>
        <w:spacing w:after="240"/>
        <w:rPr>
          <w:rFonts w:eastAsia="Times New Roman"/>
        </w:rPr>
      </w:pPr>
      <w:bookmarkStart w:id="877" w:name="_Toc14344896"/>
      <w:bookmarkStart w:id="878" w:name="_Toc33601306"/>
      <w:bookmarkStart w:id="879" w:name="_Toc82769027"/>
      <w:bookmarkStart w:id="880" w:name="_Toc189804903"/>
      <w:r w:rsidRPr="00692DC8">
        <w:rPr>
          <w:rFonts w:eastAsia="Times New Roman"/>
        </w:rPr>
        <w:t>NOTA N° 5</w:t>
      </w:r>
      <w:bookmarkEnd w:id="877"/>
      <w:bookmarkEnd w:id="878"/>
      <w:bookmarkEnd w:id="879"/>
      <w:r w:rsidRPr="00692DC8">
        <w:rPr>
          <w:rFonts w:eastAsia="Times New Roman"/>
        </w:rPr>
        <w:t>7</w:t>
      </w:r>
      <w:bookmarkEnd w:id="880"/>
    </w:p>
    <w:p w14:paraId="495D970F" w14:textId="1146FDF5" w:rsidR="00396CB4" w:rsidRDefault="00692DC8" w:rsidP="00F51D42">
      <w:pPr>
        <w:spacing w:before="240"/>
        <w:rPr>
          <w:rFonts w:asciiTheme="minorHAnsi" w:hAnsiTheme="minorHAnsi"/>
          <w:sz w:val="22"/>
        </w:rPr>
      </w:pPr>
      <w:bookmarkStart w:id="881" w:name="_Toc14344897"/>
      <w:bookmarkStart w:id="882" w:name="_Toc33601307"/>
      <w:bookmarkStart w:id="883" w:name="_Toc82769028"/>
      <w:r w:rsidRPr="00692DC8">
        <w:rPr>
          <w:rFonts w:eastAsia="Times New Roman"/>
        </w:rPr>
        <w:t>Resultados positivos de inversiones patrimoniales y participación de los intereses minoritarios</w:t>
      </w:r>
      <w:bookmarkStart w:id="884" w:name="_Toc14344900"/>
      <w:bookmarkEnd w:id="881"/>
      <w:bookmarkEnd w:id="882"/>
      <w:bookmarkEnd w:id="883"/>
      <w:r w:rsidR="00B03685">
        <w:rPr>
          <w:rFonts w:eastAsiaTheme="majorEastAsia" w:cstheme="majorBidi"/>
          <w:iCs/>
          <w:lang w:val="es-ES"/>
        </w:rPr>
        <w:fldChar w:fldCharType="begin"/>
      </w:r>
      <w:r w:rsidR="00B03685">
        <w:rPr>
          <w:lang w:val="es-ES"/>
        </w:rPr>
        <w:instrText xml:space="preserve"> LINK </w:instrText>
      </w:r>
      <w:r w:rsidR="00756467">
        <w:rPr>
          <w:lang w:val="es-ES"/>
        </w:rPr>
        <w:instrText xml:space="preserve">Excel.SheetMacroEnabled.12 "C:\\Users\\gcordero\\Downloads\\Notas diciembre 2024\\Formato_Notas_EEFF_Vinculadas_2024\\Formato_Notas_EEFF_Vinculadas_2024\\15603_T04_2024_Anexo_Estado_Notas_Contables_Vinculadas.xlsm" NOTAS_POR_CUENTA!F336C1:F338C6 </w:instrText>
      </w:r>
      <w:r w:rsidR="00B03685">
        <w:rPr>
          <w:lang w:val="es-ES"/>
        </w:rPr>
        <w:instrText xml:space="preserve">\a \f 4 \h </w:instrText>
      </w:r>
      <w:r w:rsidR="007925D8">
        <w:rPr>
          <w:lang w:val="es-ES"/>
        </w:rPr>
        <w:instrText xml:space="preserve"> \* MERGEFORMAT </w:instrText>
      </w:r>
      <w:r w:rsidR="00B03685">
        <w:rPr>
          <w:b/>
          <w:lang w:val="es-ES"/>
        </w:rPr>
        <w:fldChar w:fldCharType="separate"/>
      </w:r>
    </w:p>
    <w:tbl>
      <w:tblPr>
        <w:tblW w:w="9600" w:type="dxa"/>
        <w:tblCellMar>
          <w:left w:w="70" w:type="dxa"/>
          <w:right w:w="70" w:type="dxa"/>
        </w:tblCellMar>
        <w:tblLook w:val="04A0" w:firstRow="1" w:lastRow="0" w:firstColumn="1" w:lastColumn="0" w:noHBand="0" w:noVBand="1"/>
      </w:tblPr>
      <w:tblGrid>
        <w:gridCol w:w="1538"/>
        <w:gridCol w:w="2342"/>
        <w:gridCol w:w="500"/>
        <w:gridCol w:w="2100"/>
        <w:gridCol w:w="2100"/>
        <w:gridCol w:w="1020"/>
      </w:tblGrid>
      <w:tr w:rsidR="00396CB4" w:rsidRPr="00396CB4" w14:paraId="7918CF6D" w14:textId="77777777" w:rsidTr="00396CB4">
        <w:trPr>
          <w:divId w:val="1168135015"/>
          <w:trHeight w:val="330"/>
        </w:trPr>
        <w:tc>
          <w:tcPr>
            <w:tcW w:w="1538"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A288DA7" w14:textId="7A206F5F" w:rsidR="00396CB4" w:rsidRPr="00396CB4" w:rsidRDefault="00396CB4" w:rsidP="00396CB4">
            <w:pP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2342"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0CF1E15"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4C1BA02"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709C946"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D7B67A8"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62448114"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645BC2A1" w14:textId="77777777" w:rsidTr="00396CB4">
        <w:trPr>
          <w:divId w:val="1168135015"/>
          <w:trHeight w:val="330"/>
        </w:trPr>
        <w:tc>
          <w:tcPr>
            <w:tcW w:w="1538" w:type="dxa"/>
            <w:vMerge/>
            <w:tcBorders>
              <w:top w:val="single" w:sz="8" w:space="0" w:color="auto"/>
              <w:left w:val="single" w:sz="8" w:space="0" w:color="auto"/>
              <w:bottom w:val="single" w:sz="8" w:space="0" w:color="000000"/>
              <w:right w:val="single" w:sz="8" w:space="0" w:color="auto"/>
            </w:tcBorders>
            <w:vAlign w:val="center"/>
            <w:hideMark/>
          </w:tcPr>
          <w:p w14:paraId="47DA8FC5"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342" w:type="dxa"/>
            <w:vMerge/>
            <w:tcBorders>
              <w:top w:val="single" w:sz="8" w:space="0" w:color="auto"/>
              <w:left w:val="single" w:sz="8" w:space="0" w:color="auto"/>
              <w:bottom w:val="single" w:sz="8" w:space="0" w:color="000000"/>
              <w:right w:val="single" w:sz="8" w:space="0" w:color="auto"/>
            </w:tcBorders>
            <w:vAlign w:val="center"/>
            <w:hideMark/>
          </w:tcPr>
          <w:p w14:paraId="26CA461E"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38F0C6AA"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08023277"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5756B660"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349F7517"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2D28325A" w14:textId="77777777" w:rsidTr="00396CB4">
        <w:trPr>
          <w:divId w:val="1168135015"/>
          <w:trHeight w:val="825"/>
        </w:trPr>
        <w:tc>
          <w:tcPr>
            <w:tcW w:w="1538" w:type="dxa"/>
            <w:tcBorders>
              <w:top w:val="nil"/>
              <w:left w:val="single" w:sz="8" w:space="0" w:color="auto"/>
              <w:bottom w:val="single" w:sz="8" w:space="0" w:color="auto"/>
              <w:right w:val="single" w:sz="8" w:space="0" w:color="auto"/>
            </w:tcBorders>
            <w:shd w:val="clear" w:color="auto" w:fill="auto"/>
            <w:noWrap/>
            <w:vAlign w:val="center"/>
            <w:hideMark/>
          </w:tcPr>
          <w:p w14:paraId="2F467B12"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4.9.6.</w:t>
            </w:r>
          </w:p>
        </w:tc>
        <w:tc>
          <w:tcPr>
            <w:tcW w:w="2342" w:type="dxa"/>
            <w:tcBorders>
              <w:top w:val="nil"/>
              <w:left w:val="nil"/>
              <w:bottom w:val="single" w:sz="8" w:space="0" w:color="auto"/>
              <w:right w:val="single" w:sz="8" w:space="0" w:color="auto"/>
            </w:tcBorders>
            <w:shd w:val="clear" w:color="auto" w:fill="auto"/>
            <w:vAlign w:val="center"/>
            <w:hideMark/>
          </w:tcPr>
          <w:p w14:paraId="3DEC408C" w14:textId="77777777" w:rsidR="00396CB4" w:rsidRPr="00396CB4" w:rsidRDefault="00396CB4" w:rsidP="00396CB4">
            <w:pPr>
              <w:spacing w:after="0" w:line="240" w:lineRule="auto"/>
              <w:rPr>
                <w:rFonts w:eastAsia="Times New Roman" w:cs="Calibri"/>
                <w:b/>
                <w:bCs/>
                <w:color w:val="000000"/>
                <w:sz w:val="18"/>
                <w:szCs w:val="18"/>
                <w:lang w:eastAsia="es-CR"/>
              </w:rPr>
            </w:pPr>
            <w:r w:rsidRPr="00396CB4">
              <w:rPr>
                <w:rFonts w:eastAsia="Times New Roman" w:cs="Calibri"/>
                <w:b/>
                <w:bCs/>
                <w:color w:val="000000"/>
                <w:sz w:val="18"/>
                <w:szCs w:val="18"/>
                <w:lang w:eastAsia="es-CR"/>
              </w:rPr>
              <w:t>Resultados positivos de inversiones patrimoniales y participación de los intereses minoritarios</w:t>
            </w:r>
          </w:p>
        </w:tc>
        <w:tc>
          <w:tcPr>
            <w:tcW w:w="500" w:type="dxa"/>
            <w:tcBorders>
              <w:top w:val="nil"/>
              <w:left w:val="nil"/>
              <w:bottom w:val="single" w:sz="8" w:space="0" w:color="auto"/>
              <w:right w:val="single" w:sz="8" w:space="0" w:color="auto"/>
            </w:tcBorders>
            <w:shd w:val="clear" w:color="auto" w:fill="auto"/>
            <w:noWrap/>
            <w:vAlign w:val="center"/>
            <w:hideMark/>
          </w:tcPr>
          <w:p w14:paraId="2B7520FD"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57</w:t>
            </w:r>
          </w:p>
        </w:tc>
        <w:tc>
          <w:tcPr>
            <w:tcW w:w="2100" w:type="dxa"/>
            <w:tcBorders>
              <w:top w:val="nil"/>
              <w:left w:val="nil"/>
              <w:bottom w:val="single" w:sz="8" w:space="0" w:color="auto"/>
              <w:right w:val="single" w:sz="8" w:space="0" w:color="auto"/>
            </w:tcBorders>
            <w:shd w:val="clear" w:color="auto" w:fill="auto"/>
            <w:noWrap/>
            <w:vAlign w:val="center"/>
            <w:hideMark/>
          </w:tcPr>
          <w:p w14:paraId="477F537D"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2100" w:type="dxa"/>
            <w:tcBorders>
              <w:top w:val="nil"/>
              <w:left w:val="nil"/>
              <w:bottom w:val="single" w:sz="8" w:space="0" w:color="auto"/>
              <w:right w:val="single" w:sz="8" w:space="0" w:color="auto"/>
            </w:tcBorders>
            <w:shd w:val="clear" w:color="auto" w:fill="auto"/>
            <w:noWrap/>
            <w:vAlign w:val="center"/>
            <w:hideMark/>
          </w:tcPr>
          <w:p w14:paraId="7AB2CA7B"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1020" w:type="dxa"/>
            <w:tcBorders>
              <w:top w:val="nil"/>
              <w:left w:val="nil"/>
              <w:bottom w:val="single" w:sz="8" w:space="0" w:color="auto"/>
              <w:right w:val="single" w:sz="8" w:space="0" w:color="auto"/>
            </w:tcBorders>
            <w:shd w:val="clear" w:color="auto" w:fill="auto"/>
            <w:noWrap/>
            <w:vAlign w:val="center"/>
            <w:hideMark/>
          </w:tcPr>
          <w:p w14:paraId="380EDC5A"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0,00%</w:t>
            </w:r>
          </w:p>
        </w:tc>
      </w:tr>
    </w:tbl>
    <w:p w14:paraId="5DD8F1EF" w14:textId="77777777" w:rsidR="00F574FC" w:rsidRDefault="00B03685" w:rsidP="00396CB4">
      <w:pPr>
        <w:spacing w:before="240"/>
        <w:rPr>
          <w:b/>
          <w:bCs/>
          <w:lang w:val="es-ES"/>
        </w:rPr>
      </w:pPr>
      <w:r>
        <w:rPr>
          <w:b/>
          <w:bCs/>
          <w:lang w:val="es-ES"/>
        </w:rPr>
        <w:fldChar w:fldCharType="end"/>
      </w:r>
    </w:p>
    <w:p w14:paraId="2385CB6C" w14:textId="65ED5B6A" w:rsidR="00396CB4" w:rsidRPr="00396CB4" w:rsidRDefault="00692DC8" w:rsidP="00396CB4">
      <w:pPr>
        <w:spacing w:before="240"/>
        <w:rPr>
          <w:b/>
          <w:bCs/>
          <w:lang w:val="es-ES"/>
        </w:rPr>
      </w:pPr>
      <w:r w:rsidRPr="00692DC8">
        <w:rPr>
          <w:b/>
          <w:bCs/>
          <w:lang w:val="es-ES"/>
        </w:rPr>
        <w:lastRenderedPageBreak/>
        <w:t>Revelación</w:t>
      </w:r>
      <w:r w:rsidRPr="00692DC8">
        <w:rPr>
          <w:lang w:val="es-ES"/>
        </w:rPr>
        <w:t xml:space="preserve">: </w:t>
      </w:r>
      <w:r w:rsidR="00B03685">
        <w:rPr>
          <w:rFonts w:eastAsia="Times New Roman" w:cs="Calibri"/>
          <w:color w:val="000000"/>
          <w:lang w:eastAsia="es-CR"/>
        </w:rPr>
        <w:fldChar w:fldCharType="begin"/>
      </w:r>
      <w:r w:rsidR="00B03685">
        <w:rPr>
          <w:rFonts w:eastAsia="Times New Roman" w:cs="Calibri"/>
          <w:color w:val="000000"/>
          <w:lang w:eastAsia="es-CR"/>
        </w:rPr>
        <w:instrText xml:space="preserve"> LINK </w:instrText>
      </w:r>
      <w:r w:rsidR="00756467">
        <w:rPr>
          <w:rFonts w:eastAsia="Times New Roman" w:cs="Calibri"/>
          <w:color w:val="000000"/>
          <w:lang w:eastAsia="es-CR"/>
        </w:rPr>
        <w:instrText xml:space="preserve">Excel.SheetMacroEnabled.12 "C:\\Users\\gcordero\\Downloads\\Notas diciembre 2024\\Formato_Notas_EEFF_Vinculadas_2024\\Formato_Notas_EEFF_Vinculadas_2024\\15603_T04_2024_Anexo_Estado_Notas_Contables_Vinculadas.xlsm" NOTAS_POR_CUENTA!F338C8 </w:instrText>
      </w:r>
      <w:r w:rsidR="00B03685">
        <w:rPr>
          <w:rFonts w:eastAsia="Times New Roman" w:cs="Calibri"/>
          <w:color w:val="000000"/>
          <w:lang w:eastAsia="es-CR"/>
        </w:rPr>
        <w:instrText xml:space="preserve">\a \f 5 \h  \* MERGEFORMAT </w:instrText>
      </w:r>
      <w:r w:rsidR="00B03685">
        <w:rPr>
          <w:rFonts w:eastAsia="Times New Roman" w:cs="Calibri"/>
          <w:color w:val="000000"/>
          <w:lang w:eastAsia="es-CR"/>
        </w:rPr>
        <w:fldChar w:fldCharType="separate"/>
      </w:r>
    </w:p>
    <w:p w14:paraId="58302BD3" w14:textId="77777777" w:rsidR="00396CB4" w:rsidRPr="00396CB4" w:rsidRDefault="00396CB4" w:rsidP="00396CB4">
      <w:pPr>
        <w:rPr>
          <w:rFonts w:eastAsia="Times New Roman" w:cs="Calibri"/>
          <w:color w:val="000000"/>
          <w:lang w:eastAsia="es-CR"/>
        </w:rPr>
      </w:pPr>
      <w:r w:rsidRPr="00396CB4">
        <w:rPr>
          <w:rFonts w:eastAsia="Times New Roman" w:cs="Calibri"/>
          <w:color w:val="000000"/>
          <w:lang w:eastAsia="es-CR"/>
        </w:rPr>
        <w:t>La cuenta Resultados positivos de inversiones patrimoniales y participación de los intereses minoritarios, representa el 0,00% del total del Ingresos, que comparado al periodo anterior genera una variación absoluta de 0 000,00 que corresponde a un Aumento del 0,00% de recursos disponibles.</w:t>
      </w:r>
    </w:p>
    <w:p w14:paraId="1C82C1B7" w14:textId="230626D9" w:rsidR="00692DC8" w:rsidRPr="00692DC8" w:rsidRDefault="00B03685" w:rsidP="00B03685">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63B896F7" w14:textId="77777777" w:rsidR="00692DC8" w:rsidRPr="00692DC8" w:rsidRDefault="00692DC8" w:rsidP="00D94B22">
      <w:bookmarkStart w:id="885" w:name="_Toc33601308"/>
      <w:bookmarkStart w:id="886" w:name="_Toc82769029"/>
    </w:p>
    <w:p w14:paraId="3B846E61" w14:textId="77777777" w:rsidR="00692DC8" w:rsidRPr="00692DC8" w:rsidRDefault="00692DC8" w:rsidP="00D94B22">
      <w:pPr>
        <w:pStyle w:val="Ttulo4"/>
        <w:spacing w:after="240"/>
        <w:rPr>
          <w:rFonts w:eastAsia="Times New Roman"/>
        </w:rPr>
      </w:pPr>
      <w:bookmarkStart w:id="887" w:name="_Toc189804904"/>
      <w:r w:rsidRPr="00692DC8">
        <w:rPr>
          <w:rFonts w:eastAsia="Times New Roman"/>
        </w:rPr>
        <w:t>NOTA N° 5</w:t>
      </w:r>
      <w:bookmarkEnd w:id="884"/>
      <w:bookmarkEnd w:id="885"/>
      <w:bookmarkEnd w:id="886"/>
      <w:r w:rsidRPr="00692DC8">
        <w:rPr>
          <w:rFonts w:eastAsia="Times New Roman"/>
        </w:rPr>
        <w:t>8</w:t>
      </w:r>
      <w:bookmarkEnd w:id="887"/>
    </w:p>
    <w:p w14:paraId="705DDDAF" w14:textId="77777777" w:rsidR="00396CB4" w:rsidRDefault="00692DC8" w:rsidP="00DE143D">
      <w:pPr>
        <w:spacing w:before="240"/>
        <w:rPr>
          <w:rFonts w:asciiTheme="minorHAnsi" w:hAnsiTheme="minorHAnsi"/>
          <w:sz w:val="22"/>
        </w:rPr>
      </w:pPr>
      <w:bookmarkStart w:id="888" w:name="_Toc14344901"/>
      <w:bookmarkStart w:id="889" w:name="_Toc33601309"/>
      <w:bookmarkStart w:id="890" w:name="_Toc82769030"/>
      <w:r w:rsidRPr="00692DC8">
        <w:rPr>
          <w:rFonts w:eastAsia="Times New Roman"/>
        </w:rPr>
        <w:t>Otros ingresos y resultados positivos</w:t>
      </w:r>
      <w:bookmarkEnd w:id="888"/>
      <w:bookmarkEnd w:id="889"/>
      <w:bookmarkEnd w:id="890"/>
      <w:r w:rsidR="00B03685">
        <w:rPr>
          <w:rFonts w:eastAsiaTheme="majorEastAsia" w:cstheme="majorBidi"/>
          <w:iCs/>
          <w:lang w:val="es-ES"/>
        </w:rPr>
        <w:fldChar w:fldCharType="begin"/>
      </w:r>
      <w:r w:rsidR="00B03685">
        <w:rPr>
          <w:lang w:val="es-ES"/>
        </w:rPr>
        <w:instrText xml:space="preserve"> LINK </w:instrText>
      </w:r>
      <w:r w:rsidR="00756467">
        <w:rPr>
          <w:lang w:val="es-ES"/>
        </w:rPr>
        <w:instrText xml:space="preserve">Excel.SheetMacroEnabled.12 "C:\\Users\\gcordero\\Downloads\\Notas diciembre 2024\\Formato_Notas_EEFF_Vinculadas_2024\\Formato_Notas_EEFF_Vinculadas_2024\\15603_T04_2024_Anexo_Estado_Notas_Contables_Vinculadas.xlsm" NOTAS_POR_CUENTA!F340C1:F342C6 </w:instrText>
      </w:r>
      <w:r w:rsidR="00B03685">
        <w:rPr>
          <w:lang w:val="es-ES"/>
        </w:rPr>
        <w:instrText xml:space="preserve">\a \f 4 \h </w:instrText>
      </w:r>
      <w:r w:rsidR="00B03685">
        <w:rPr>
          <w:b/>
          <w:lang w:val="es-ES"/>
        </w:rPr>
        <w:fldChar w:fldCharType="separate"/>
      </w:r>
    </w:p>
    <w:tbl>
      <w:tblPr>
        <w:tblW w:w="9600" w:type="dxa"/>
        <w:tblCellMar>
          <w:left w:w="70" w:type="dxa"/>
          <w:right w:w="70" w:type="dxa"/>
        </w:tblCellMar>
        <w:tblLook w:val="04A0" w:firstRow="1" w:lastRow="0" w:firstColumn="1" w:lastColumn="0" w:noHBand="0" w:noVBand="1"/>
      </w:tblPr>
      <w:tblGrid>
        <w:gridCol w:w="1287"/>
        <w:gridCol w:w="2593"/>
        <w:gridCol w:w="500"/>
        <w:gridCol w:w="2100"/>
        <w:gridCol w:w="2100"/>
        <w:gridCol w:w="1020"/>
      </w:tblGrid>
      <w:tr w:rsidR="00396CB4" w:rsidRPr="00396CB4" w14:paraId="3250F190" w14:textId="77777777" w:rsidTr="00396CB4">
        <w:trPr>
          <w:divId w:val="241451808"/>
          <w:trHeight w:val="330"/>
        </w:trPr>
        <w:tc>
          <w:tcPr>
            <w:tcW w:w="1287"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E35C0CB" w14:textId="0D6ED7EA" w:rsidR="00396CB4" w:rsidRPr="00396CB4" w:rsidRDefault="00396CB4" w:rsidP="00396CB4">
            <w:pP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2593"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F3206A1"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D355B5B"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2FE781E"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752EA5F"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02F5FF54"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561470D4" w14:textId="77777777" w:rsidTr="00396CB4">
        <w:trPr>
          <w:divId w:val="241451808"/>
          <w:trHeight w:val="330"/>
        </w:trPr>
        <w:tc>
          <w:tcPr>
            <w:tcW w:w="1287" w:type="dxa"/>
            <w:vMerge/>
            <w:tcBorders>
              <w:top w:val="single" w:sz="8" w:space="0" w:color="auto"/>
              <w:left w:val="single" w:sz="8" w:space="0" w:color="auto"/>
              <w:bottom w:val="single" w:sz="8" w:space="0" w:color="000000"/>
              <w:right w:val="single" w:sz="8" w:space="0" w:color="auto"/>
            </w:tcBorders>
            <w:vAlign w:val="center"/>
            <w:hideMark/>
          </w:tcPr>
          <w:p w14:paraId="664FF60F"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593" w:type="dxa"/>
            <w:vMerge/>
            <w:tcBorders>
              <w:top w:val="single" w:sz="8" w:space="0" w:color="auto"/>
              <w:left w:val="single" w:sz="8" w:space="0" w:color="auto"/>
              <w:bottom w:val="single" w:sz="8" w:space="0" w:color="000000"/>
              <w:right w:val="single" w:sz="8" w:space="0" w:color="auto"/>
            </w:tcBorders>
            <w:vAlign w:val="center"/>
            <w:hideMark/>
          </w:tcPr>
          <w:p w14:paraId="249F78A4"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14E3E13B"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05444A03"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27D803B2"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25129CC1"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60DCB093" w14:textId="77777777" w:rsidTr="00396CB4">
        <w:trPr>
          <w:divId w:val="241451808"/>
          <w:trHeight w:val="330"/>
        </w:trPr>
        <w:tc>
          <w:tcPr>
            <w:tcW w:w="1287" w:type="dxa"/>
            <w:tcBorders>
              <w:top w:val="nil"/>
              <w:left w:val="single" w:sz="8" w:space="0" w:color="auto"/>
              <w:bottom w:val="single" w:sz="8" w:space="0" w:color="auto"/>
              <w:right w:val="single" w:sz="8" w:space="0" w:color="auto"/>
            </w:tcBorders>
            <w:shd w:val="clear" w:color="auto" w:fill="auto"/>
            <w:noWrap/>
            <w:vAlign w:val="center"/>
            <w:hideMark/>
          </w:tcPr>
          <w:p w14:paraId="69395140"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4.9.9.</w:t>
            </w:r>
          </w:p>
        </w:tc>
        <w:tc>
          <w:tcPr>
            <w:tcW w:w="2593" w:type="dxa"/>
            <w:tcBorders>
              <w:top w:val="nil"/>
              <w:left w:val="nil"/>
              <w:bottom w:val="single" w:sz="8" w:space="0" w:color="auto"/>
              <w:right w:val="single" w:sz="8" w:space="0" w:color="auto"/>
            </w:tcBorders>
            <w:shd w:val="clear" w:color="auto" w:fill="auto"/>
            <w:vAlign w:val="center"/>
            <w:hideMark/>
          </w:tcPr>
          <w:p w14:paraId="56EEF517" w14:textId="77777777" w:rsidR="00396CB4" w:rsidRPr="00396CB4" w:rsidRDefault="00396CB4" w:rsidP="00396CB4">
            <w:pPr>
              <w:spacing w:after="0" w:line="240" w:lineRule="auto"/>
              <w:rPr>
                <w:rFonts w:eastAsia="Times New Roman" w:cs="Calibri"/>
                <w:b/>
                <w:bCs/>
                <w:color w:val="000000"/>
                <w:sz w:val="18"/>
                <w:szCs w:val="18"/>
                <w:lang w:eastAsia="es-CR"/>
              </w:rPr>
            </w:pPr>
            <w:r w:rsidRPr="00396CB4">
              <w:rPr>
                <w:rFonts w:eastAsia="Times New Roman" w:cs="Calibri"/>
                <w:b/>
                <w:bCs/>
                <w:color w:val="000000"/>
                <w:sz w:val="18"/>
                <w:szCs w:val="18"/>
                <w:lang w:eastAsia="es-CR"/>
              </w:rPr>
              <w:t>Otros ingresos y resultados positivos</w:t>
            </w:r>
          </w:p>
        </w:tc>
        <w:tc>
          <w:tcPr>
            <w:tcW w:w="500" w:type="dxa"/>
            <w:tcBorders>
              <w:top w:val="nil"/>
              <w:left w:val="nil"/>
              <w:bottom w:val="single" w:sz="8" w:space="0" w:color="auto"/>
              <w:right w:val="single" w:sz="8" w:space="0" w:color="auto"/>
            </w:tcBorders>
            <w:shd w:val="clear" w:color="auto" w:fill="auto"/>
            <w:noWrap/>
            <w:vAlign w:val="center"/>
            <w:hideMark/>
          </w:tcPr>
          <w:p w14:paraId="283D6253"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58</w:t>
            </w:r>
          </w:p>
        </w:tc>
        <w:tc>
          <w:tcPr>
            <w:tcW w:w="2100" w:type="dxa"/>
            <w:tcBorders>
              <w:top w:val="nil"/>
              <w:left w:val="nil"/>
              <w:bottom w:val="single" w:sz="8" w:space="0" w:color="auto"/>
              <w:right w:val="single" w:sz="8" w:space="0" w:color="auto"/>
            </w:tcBorders>
            <w:shd w:val="clear" w:color="auto" w:fill="auto"/>
            <w:noWrap/>
            <w:vAlign w:val="center"/>
            <w:hideMark/>
          </w:tcPr>
          <w:p w14:paraId="55F1E45D"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2 926,69 </w:t>
            </w:r>
          </w:p>
        </w:tc>
        <w:tc>
          <w:tcPr>
            <w:tcW w:w="2100" w:type="dxa"/>
            <w:tcBorders>
              <w:top w:val="nil"/>
              <w:left w:val="nil"/>
              <w:bottom w:val="single" w:sz="8" w:space="0" w:color="auto"/>
              <w:right w:val="single" w:sz="8" w:space="0" w:color="auto"/>
            </w:tcBorders>
            <w:shd w:val="clear" w:color="auto" w:fill="auto"/>
            <w:noWrap/>
            <w:vAlign w:val="center"/>
            <w:hideMark/>
          </w:tcPr>
          <w:p w14:paraId="3BD2B84D"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402,27 </w:t>
            </w:r>
          </w:p>
        </w:tc>
        <w:tc>
          <w:tcPr>
            <w:tcW w:w="1020" w:type="dxa"/>
            <w:tcBorders>
              <w:top w:val="nil"/>
              <w:left w:val="nil"/>
              <w:bottom w:val="single" w:sz="8" w:space="0" w:color="auto"/>
              <w:right w:val="single" w:sz="8" w:space="0" w:color="auto"/>
            </w:tcBorders>
            <w:shd w:val="clear" w:color="auto" w:fill="auto"/>
            <w:noWrap/>
            <w:vAlign w:val="center"/>
            <w:hideMark/>
          </w:tcPr>
          <w:p w14:paraId="1DF526C2"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627,54%</w:t>
            </w:r>
          </w:p>
        </w:tc>
      </w:tr>
    </w:tbl>
    <w:p w14:paraId="53577E81" w14:textId="6B895487" w:rsidR="00567780" w:rsidRDefault="00B03685" w:rsidP="00DE143D">
      <w:pPr>
        <w:spacing w:before="240"/>
        <w:rPr>
          <w:b/>
          <w:lang w:val="es-ES"/>
        </w:rPr>
      </w:pPr>
      <w:r>
        <w:rPr>
          <w:b/>
          <w:lang w:val="es-ES"/>
        </w:rPr>
        <w:fldChar w:fldCharType="end"/>
      </w:r>
    </w:p>
    <w:p w14:paraId="7EAFB225" w14:textId="77777777" w:rsidR="00396CB4" w:rsidRPr="00396CB4" w:rsidRDefault="00692DC8" w:rsidP="00396CB4">
      <w:pPr>
        <w:spacing w:before="240"/>
        <w:rPr>
          <w:b/>
          <w:lang w:val="es-ES"/>
        </w:rPr>
      </w:pPr>
      <w:r w:rsidRPr="00D94B22">
        <w:rPr>
          <w:b/>
          <w:lang w:val="es-ES"/>
        </w:rPr>
        <w:t xml:space="preserve">Revelación: </w:t>
      </w:r>
      <w:r w:rsidR="00B03685">
        <w:rPr>
          <w:rFonts w:eastAsia="Times New Roman" w:cs="Calibri"/>
          <w:color w:val="000000"/>
          <w:lang w:eastAsia="es-CR"/>
        </w:rPr>
        <w:fldChar w:fldCharType="begin"/>
      </w:r>
      <w:r w:rsidR="00B03685">
        <w:rPr>
          <w:rFonts w:eastAsia="Times New Roman" w:cs="Calibri"/>
          <w:color w:val="000000"/>
          <w:lang w:eastAsia="es-CR"/>
        </w:rPr>
        <w:instrText xml:space="preserve"> LINK </w:instrText>
      </w:r>
      <w:r w:rsidR="00756467">
        <w:rPr>
          <w:rFonts w:eastAsia="Times New Roman" w:cs="Calibri"/>
          <w:color w:val="000000"/>
          <w:lang w:eastAsia="es-CR"/>
        </w:rPr>
        <w:instrText xml:space="preserve">Excel.SheetMacroEnabled.12 "C:\\Users\\gcordero\\Downloads\\Notas diciembre 2024\\Formato_Notas_EEFF_Vinculadas_2024\\Formato_Notas_EEFF_Vinculadas_2024\\15603_T04_2024_Anexo_Estado_Notas_Contables_Vinculadas.xlsm" NOTAS_POR_CUENTA!F342C8 </w:instrText>
      </w:r>
      <w:r w:rsidR="00B03685">
        <w:rPr>
          <w:rFonts w:eastAsia="Times New Roman" w:cs="Calibri"/>
          <w:color w:val="000000"/>
          <w:lang w:eastAsia="es-CR"/>
        </w:rPr>
        <w:instrText xml:space="preserve">\a \f 5 \h  \* MERGEFORMAT </w:instrText>
      </w:r>
      <w:r w:rsidR="00B03685">
        <w:rPr>
          <w:rFonts w:eastAsia="Times New Roman" w:cs="Calibri"/>
          <w:color w:val="000000"/>
          <w:lang w:eastAsia="es-CR"/>
        </w:rPr>
        <w:fldChar w:fldCharType="separate"/>
      </w:r>
    </w:p>
    <w:p w14:paraId="3885A7D7" w14:textId="77777777" w:rsidR="00396CB4" w:rsidRPr="00396CB4" w:rsidRDefault="00396CB4" w:rsidP="00396CB4">
      <w:pPr>
        <w:rPr>
          <w:rFonts w:eastAsia="Times New Roman" w:cs="Calibri"/>
          <w:color w:val="000000"/>
          <w:lang w:eastAsia="es-CR"/>
        </w:rPr>
      </w:pPr>
      <w:r w:rsidRPr="00396CB4">
        <w:rPr>
          <w:rFonts w:eastAsia="Times New Roman" w:cs="Calibri"/>
          <w:color w:val="000000"/>
          <w:lang w:eastAsia="es-CR"/>
        </w:rPr>
        <w:t>La cuenta Otros ingresos y resultados positivos, representa el 0,05% del total del Ingresos, que comparado al periodo anterior genera una variación absoluta de 2 524,41 que corresponde a un Aumento del 627,54% de recursos disponibles.</w:t>
      </w:r>
    </w:p>
    <w:p w14:paraId="3FDCA510" w14:textId="041036CF" w:rsidR="00692DC8" w:rsidRPr="00692DC8" w:rsidRDefault="00B03685" w:rsidP="00D94B22">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0EB52F15" w14:textId="4F6AC5C6" w:rsidR="00692DC8" w:rsidRDefault="00692DC8" w:rsidP="00D94B22">
      <w:pPr>
        <w:rPr>
          <w:lang w:eastAsia="es-CR"/>
        </w:rPr>
      </w:pPr>
    </w:p>
    <w:p w14:paraId="4E320D07" w14:textId="6F0E05FB" w:rsidR="00F574FC" w:rsidRDefault="00F574FC" w:rsidP="00D94B22">
      <w:pPr>
        <w:rPr>
          <w:lang w:eastAsia="es-CR"/>
        </w:rPr>
      </w:pPr>
    </w:p>
    <w:p w14:paraId="58BC2F05" w14:textId="7920DF4C" w:rsidR="00F574FC" w:rsidRDefault="00F574FC" w:rsidP="00D94B22">
      <w:pPr>
        <w:rPr>
          <w:lang w:eastAsia="es-CR"/>
        </w:rPr>
      </w:pPr>
    </w:p>
    <w:p w14:paraId="7D236E9A" w14:textId="77777777" w:rsidR="00F574FC" w:rsidRPr="00692DC8" w:rsidRDefault="00F574FC" w:rsidP="00D94B22">
      <w:pPr>
        <w:rPr>
          <w:lang w:eastAsia="es-CR"/>
        </w:rPr>
      </w:pPr>
    </w:p>
    <w:p w14:paraId="57DBEB0E" w14:textId="153E64C7" w:rsidR="00692DC8" w:rsidRPr="00692DC8" w:rsidRDefault="00D94B22" w:rsidP="00D94B22">
      <w:pPr>
        <w:pStyle w:val="Ttulo3"/>
        <w:spacing w:after="240"/>
        <w:rPr>
          <w:rFonts w:eastAsia="Times New Roman"/>
          <w:lang w:eastAsia="es-CR"/>
        </w:rPr>
      </w:pPr>
      <w:bookmarkStart w:id="891" w:name="_Toc14344903"/>
      <w:bookmarkStart w:id="892" w:name="_Toc33601310"/>
      <w:bookmarkStart w:id="893" w:name="_Toc82769031"/>
      <w:bookmarkStart w:id="894" w:name="_Toc189804905"/>
      <w:r>
        <w:rPr>
          <w:rFonts w:eastAsia="Times New Roman"/>
          <w:lang w:eastAsia="es-CR"/>
        </w:rPr>
        <w:lastRenderedPageBreak/>
        <w:t xml:space="preserve">5. </w:t>
      </w:r>
      <w:r w:rsidR="00692DC8" w:rsidRPr="00692DC8">
        <w:rPr>
          <w:rFonts w:eastAsia="Times New Roman"/>
          <w:lang w:eastAsia="es-CR"/>
        </w:rPr>
        <w:t>GASTOS</w:t>
      </w:r>
      <w:bookmarkEnd w:id="891"/>
      <w:bookmarkEnd w:id="892"/>
      <w:bookmarkEnd w:id="893"/>
      <w:bookmarkEnd w:id="894"/>
    </w:p>
    <w:p w14:paraId="561C129A" w14:textId="616DDD66" w:rsidR="00692DC8" w:rsidRPr="00692DC8" w:rsidRDefault="00692DC8" w:rsidP="00D94B22">
      <w:pPr>
        <w:pStyle w:val="Ttulo3"/>
        <w:spacing w:after="240"/>
        <w:rPr>
          <w:rFonts w:eastAsia="Calibri"/>
          <w:lang w:eastAsia="es-CR"/>
        </w:rPr>
      </w:pPr>
      <w:bookmarkStart w:id="895" w:name="_Toc82769032"/>
      <w:bookmarkStart w:id="896" w:name="_Toc189804906"/>
      <w:r w:rsidRPr="00692DC8">
        <w:rPr>
          <w:rFonts w:eastAsia="Calibri"/>
          <w:lang w:eastAsia="es-CR"/>
        </w:rPr>
        <w:t>5.1 GASTOS DE FUNCIONAMIENTO</w:t>
      </w:r>
      <w:bookmarkEnd w:id="895"/>
      <w:bookmarkEnd w:id="896"/>
    </w:p>
    <w:p w14:paraId="0E028D4B" w14:textId="77777777" w:rsidR="00692DC8" w:rsidRPr="00692DC8" w:rsidRDefault="00692DC8" w:rsidP="00D94B22">
      <w:pPr>
        <w:pStyle w:val="Ttulo4"/>
        <w:spacing w:after="240"/>
        <w:rPr>
          <w:rFonts w:eastAsia="Times New Roman"/>
        </w:rPr>
      </w:pPr>
      <w:bookmarkStart w:id="897" w:name="_Toc14344905"/>
      <w:bookmarkStart w:id="898" w:name="_Toc33601312"/>
      <w:bookmarkStart w:id="899" w:name="_Toc82769033"/>
      <w:bookmarkStart w:id="900" w:name="_Toc189804907"/>
      <w:r w:rsidRPr="00692DC8">
        <w:rPr>
          <w:rFonts w:eastAsia="Times New Roman"/>
        </w:rPr>
        <w:t>NOTA N° 5</w:t>
      </w:r>
      <w:bookmarkEnd w:id="897"/>
      <w:bookmarkEnd w:id="898"/>
      <w:bookmarkEnd w:id="899"/>
      <w:r w:rsidRPr="00692DC8">
        <w:rPr>
          <w:rFonts w:eastAsia="Times New Roman"/>
        </w:rPr>
        <w:t>9</w:t>
      </w:r>
      <w:bookmarkEnd w:id="900"/>
    </w:p>
    <w:p w14:paraId="0A773762" w14:textId="77777777" w:rsidR="00396CB4" w:rsidRDefault="00692DC8" w:rsidP="00F51D42">
      <w:pPr>
        <w:spacing w:before="240"/>
        <w:rPr>
          <w:rFonts w:asciiTheme="minorHAnsi" w:hAnsiTheme="minorHAnsi"/>
          <w:sz w:val="22"/>
        </w:rPr>
      </w:pPr>
      <w:bookmarkStart w:id="901" w:name="_Toc14344906"/>
      <w:bookmarkStart w:id="902" w:name="_Toc33601313"/>
      <w:bookmarkStart w:id="903" w:name="_Toc82769034"/>
      <w:r w:rsidRPr="00692DC8">
        <w:rPr>
          <w:rFonts w:eastAsia="Times New Roman"/>
        </w:rPr>
        <w:t>Gastos en personal</w:t>
      </w:r>
      <w:bookmarkEnd w:id="901"/>
      <w:bookmarkEnd w:id="902"/>
      <w:bookmarkEnd w:id="903"/>
      <w:r w:rsidR="00E03810">
        <w:rPr>
          <w:rFonts w:eastAsiaTheme="majorEastAsia" w:cstheme="majorBidi"/>
          <w:iCs/>
          <w:lang w:val="es-ES"/>
        </w:rPr>
        <w:fldChar w:fldCharType="begin"/>
      </w:r>
      <w:r w:rsidR="00E03810">
        <w:rPr>
          <w:lang w:val="es-ES"/>
        </w:rPr>
        <w:instrText xml:space="preserve"> LINK </w:instrText>
      </w:r>
      <w:r w:rsidR="00756467">
        <w:rPr>
          <w:lang w:val="es-ES"/>
        </w:rPr>
        <w:instrText xml:space="preserve">Excel.SheetMacroEnabled.12 "C:\\Users\\gcordero\\Downloads\\Notas diciembre 2024\\Formato_Notas_EEFF_Vinculadas_2024\\Formato_Notas_EEFF_Vinculadas_2024\\15603_T04_2024_Anexo_Estado_Notas_Contables_Vinculadas.xlsm" NOTAS_POR_CUENTA!F347C1:F349C6 </w:instrText>
      </w:r>
      <w:r w:rsidR="00E03810">
        <w:rPr>
          <w:lang w:val="es-ES"/>
        </w:rPr>
        <w:instrText xml:space="preserve">\a \f 4 \h </w:instrText>
      </w:r>
      <w:r w:rsidR="00E03810">
        <w:rPr>
          <w:b/>
          <w:lang w:val="es-ES"/>
        </w:rPr>
        <w:fldChar w:fldCharType="separate"/>
      </w:r>
    </w:p>
    <w:tbl>
      <w:tblPr>
        <w:tblW w:w="9600" w:type="dxa"/>
        <w:tblCellMar>
          <w:left w:w="70" w:type="dxa"/>
          <w:right w:w="70" w:type="dxa"/>
        </w:tblCellMar>
        <w:tblLook w:val="04A0" w:firstRow="1" w:lastRow="0" w:firstColumn="1" w:lastColumn="0" w:noHBand="0" w:noVBand="1"/>
      </w:tblPr>
      <w:tblGrid>
        <w:gridCol w:w="1276"/>
        <w:gridCol w:w="2604"/>
        <w:gridCol w:w="500"/>
        <w:gridCol w:w="2100"/>
        <w:gridCol w:w="2100"/>
        <w:gridCol w:w="1020"/>
      </w:tblGrid>
      <w:tr w:rsidR="00396CB4" w:rsidRPr="00396CB4" w14:paraId="3AACFFB4" w14:textId="77777777" w:rsidTr="00396CB4">
        <w:trPr>
          <w:divId w:val="2128350793"/>
          <w:trHeight w:val="330"/>
        </w:trPr>
        <w:tc>
          <w:tcPr>
            <w:tcW w:w="127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C67EE6C" w14:textId="6D12EF67" w:rsidR="00396CB4" w:rsidRPr="00396CB4" w:rsidRDefault="00396CB4" w:rsidP="00396CB4">
            <w:pP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260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A326C92"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B7BCD84"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7882ECC"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E782CE3"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135EE612"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5B4137A1" w14:textId="77777777" w:rsidTr="00396CB4">
        <w:trPr>
          <w:divId w:val="2128350793"/>
          <w:trHeight w:val="330"/>
        </w:trPr>
        <w:tc>
          <w:tcPr>
            <w:tcW w:w="1276" w:type="dxa"/>
            <w:vMerge/>
            <w:tcBorders>
              <w:top w:val="single" w:sz="8" w:space="0" w:color="auto"/>
              <w:left w:val="single" w:sz="8" w:space="0" w:color="auto"/>
              <w:bottom w:val="single" w:sz="8" w:space="0" w:color="000000"/>
              <w:right w:val="single" w:sz="8" w:space="0" w:color="auto"/>
            </w:tcBorders>
            <w:vAlign w:val="center"/>
            <w:hideMark/>
          </w:tcPr>
          <w:p w14:paraId="19DA7AF4"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604" w:type="dxa"/>
            <w:vMerge/>
            <w:tcBorders>
              <w:top w:val="single" w:sz="8" w:space="0" w:color="auto"/>
              <w:left w:val="single" w:sz="8" w:space="0" w:color="auto"/>
              <w:bottom w:val="single" w:sz="8" w:space="0" w:color="000000"/>
              <w:right w:val="single" w:sz="8" w:space="0" w:color="auto"/>
            </w:tcBorders>
            <w:vAlign w:val="center"/>
            <w:hideMark/>
          </w:tcPr>
          <w:p w14:paraId="6DAB9EF5"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6BFDFF4F"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0A385F88"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2FB59230"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63B6149A"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7300498F" w14:textId="77777777" w:rsidTr="00396CB4">
        <w:trPr>
          <w:divId w:val="2128350793"/>
          <w:trHeight w:val="330"/>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6FFFF39A"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5.1.1.</w:t>
            </w:r>
          </w:p>
        </w:tc>
        <w:tc>
          <w:tcPr>
            <w:tcW w:w="2604" w:type="dxa"/>
            <w:tcBorders>
              <w:top w:val="nil"/>
              <w:left w:val="nil"/>
              <w:bottom w:val="single" w:sz="8" w:space="0" w:color="auto"/>
              <w:right w:val="single" w:sz="8" w:space="0" w:color="auto"/>
            </w:tcBorders>
            <w:shd w:val="clear" w:color="auto" w:fill="auto"/>
            <w:vAlign w:val="center"/>
            <w:hideMark/>
          </w:tcPr>
          <w:p w14:paraId="49314C29" w14:textId="77777777" w:rsidR="00396CB4" w:rsidRPr="00396CB4" w:rsidRDefault="00396CB4" w:rsidP="00396CB4">
            <w:pPr>
              <w:spacing w:after="0" w:line="240" w:lineRule="auto"/>
              <w:rPr>
                <w:rFonts w:eastAsia="Times New Roman" w:cs="Calibri"/>
                <w:b/>
                <w:bCs/>
                <w:color w:val="000000"/>
                <w:sz w:val="18"/>
                <w:szCs w:val="18"/>
                <w:lang w:eastAsia="es-CR"/>
              </w:rPr>
            </w:pPr>
            <w:r w:rsidRPr="00396CB4">
              <w:rPr>
                <w:rFonts w:eastAsia="Times New Roman" w:cs="Calibri"/>
                <w:b/>
                <w:bCs/>
                <w:color w:val="000000"/>
                <w:sz w:val="18"/>
                <w:szCs w:val="18"/>
                <w:lang w:eastAsia="es-CR"/>
              </w:rPr>
              <w:t>Gastos en personal</w:t>
            </w:r>
          </w:p>
        </w:tc>
        <w:tc>
          <w:tcPr>
            <w:tcW w:w="500" w:type="dxa"/>
            <w:tcBorders>
              <w:top w:val="nil"/>
              <w:left w:val="nil"/>
              <w:bottom w:val="single" w:sz="8" w:space="0" w:color="auto"/>
              <w:right w:val="single" w:sz="8" w:space="0" w:color="auto"/>
            </w:tcBorders>
            <w:shd w:val="clear" w:color="auto" w:fill="auto"/>
            <w:noWrap/>
            <w:vAlign w:val="center"/>
            <w:hideMark/>
          </w:tcPr>
          <w:p w14:paraId="0343AC6C"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59</w:t>
            </w:r>
          </w:p>
        </w:tc>
        <w:tc>
          <w:tcPr>
            <w:tcW w:w="2100" w:type="dxa"/>
            <w:tcBorders>
              <w:top w:val="nil"/>
              <w:left w:val="nil"/>
              <w:bottom w:val="single" w:sz="8" w:space="0" w:color="auto"/>
              <w:right w:val="single" w:sz="8" w:space="0" w:color="auto"/>
            </w:tcBorders>
            <w:shd w:val="clear" w:color="auto" w:fill="auto"/>
            <w:noWrap/>
            <w:vAlign w:val="center"/>
            <w:hideMark/>
          </w:tcPr>
          <w:p w14:paraId="563A5172"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1 385 399,27 </w:t>
            </w:r>
          </w:p>
        </w:tc>
        <w:tc>
          <w:tcPr>
            <w:tcW w:w="2100" w:type="dxa"/>
            <w:tcBorders>
              <w:top w:val="nil"/>
              <w:left w:val="nil"/>
              <w:bottom w:val="single" w:sz="8" w:space="0" w:color="auto"/>
              <w:right w:val="single" w:sz="8" w:space="0" w:color="auto"/>
            </w:tcBorders>
            <w:shd w:val="clear" w:color="auto" w:fill="auto"/>
            <w:noWrap/>
            <w:vAlign w:val="center"/>
            <w:hideMark/>
          </w:tcPr>
          <w:p w14:paraId="165374AF"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1 284 241,33 </w:t>
            </w:r>
          </w:p>
        </w:tc>
        <w:tc>
          <w:tcPr>
            <w:tcW w:w="1020" w:type="dxa"/>
            <w:tcBorders>
              <w:top w:val="nil"/>
              <w:left w:val="nil"/>
              <w:bottom w:val="single" w:sz="8" w:space="0" w:color="auto"/>
              <w:right w:val="single" w:sz="8" w:space="0" w:color="auto"/>
            </w:tcBorders>
            <w:shd w:val="clear" w:color="auto" w:fill="auto"/>
            <w:noWrap/>
            <w:vAlign w:val="center"/>
            <w:hideMark/>
          </w:tcPr>
          <w:p w14:paraId="1AB02821"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7,88%</w:t>
            </w:r>
          </w:p>
        </w:tc>
      </w:tr>
    </w:tbl>
    <w:p w14:paraId="4E8A7671" w14:textId="77777777" w:rsidR="00396CB4" w:rsidRPr="00396CB4" w:rsidRDefault="00E03810" w:rsidP="00396CB4">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756467">
        <w:rPr>
          <w:rFonts w:eastAsia="Times New Roman" w:cs="Calibri"/>
          <w:color w:val="000000"/>
          <w:lang w:eastAsia="es-CR"/>
        </w:rPr>
        <w:instrText xml:space="preserve">Excel.SheetMacroEnabled.12 "C:\\Users\\gcordero\\Downloads\\Notas diciembre 2024\\Formato_Notas_EEFF_Vinculadas_2024\\Formato_Notas_EEFF_Vinculadas_2024\\15603_T04_2024_Anexo_Estado_Notas_Contables_Vinculadas.xlsm" NOTAS_POR_CUENTA!F349C8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0219F0B1" w14:textId="77777777" w:rsidR="00396CB4" w:rsidRPr="00396CB4" w:rsidRDefault="00396CB4" w:rsidP="00396CB4">
      <w:pPr>
        <w:rPr>
          <w:rFonts w:eastAsia="Times New Roman" w:cs="Calibri"/>
          <w:color w:val="000000"/>
          <w:lang w:eastAsia="es-CR"/>
        </w:rPr>
      </w:pPr>
      <w:r w:rsidRPr="00396CB4">
        <w:rPr>
          <w:rFonts w:eastAsia="Times New Roman" w:cs="Calibri"/>
          <w:color w:val="000000"/>
          <w:lang w:eastAsia="es-CR"/>
        </w:rPr>
        <w:t>La cuenta Gastos en personal, representa el 26,33% del total del Gastos, que comparado al periodo anterior genera una variación absoluta de 101 157,94 que corresponde a un Aumento del 7,88% de recursos disponibles.</w:t>
      </w:r>
    </w:p>
    <w:p w14:paraId="7F607B62" w14:textId="2E09FFFC" w:rsidR="00692DC8" w:rsidRPr="00692DC8" w:rsidRDefault="00E03810" w:rsidP="00E03810">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7C144133" w14:textId="77777777" w:rsidR="00DF24BE" w:rsidRDefault="00DF24BE" w:rsidP="00DF24BE">
      <w:pPr>
        <w:spacing w:after="0" w:line="240" w:lineRule="auto"/>
        <w:rPr>
          <w:rFonts w:cs="Calibri"/>
          <w:color w:val="000000"/>
          <w:lang w:eastAsia="es-CR"/>
        </w:rPr>
      </w:pPr>
      <w:r w:rsidRPr="00A91674">
        <w:t xml:space="preserve">El sado de la cuenta </w:t>
      </w:r>
      <w:r w:rsidRPr="00A91674">
        <w:rPr>
          <w:rFonts w:cs="Calibri"/>
          <w:color w:val="000000"/>
          <w:lang w:eastAsia="es-CR"/>
        </w:rPr>
        <w:t>Gastos en personal est</w:t>
      </w:r>
      <w:r>
        <w:rPr>
          <w:rFonts w:cs="Calibri"/>
          <w:color w:val="000000"/>
          <w:lang w:eastAsia="es-CR"/>
        </w:rPr>
        <w:t>á</w:t>
      </w:r>
      <w:r w:rsidRPr="00A91674">
        <w:rPr>
          <w:rFonts w:cs="Calibri"/>
          <w:color w:val="000000"/>
          <w:lang w:eastAsia="es-CR"/>
        </w:rPr>
        <w:t xml:space="preserve"> compuesto de la siguiente manera:</w:t>
      </w:r>
    </w:p>
    <w:p w14:paraId="30163BBD" w14:textId="77777777" w:rsidR="00DF24BE" w:rsidRDefault="00DF24BE" w:rsidP="00DF24BE">
      <w:pPr>
        <w:spacing w:after="0" w:line="240" w:lineRule="auto"/>
        <w:rPr>
          <w:rFonts w:cs="Calibri"/>
          <w:color w:val="000000"/>
          <w:lang w:eastAsia="es-CR"/>
        </w:rPr>
      </w:pPr>
    </w:p>
    <w:p w14:paraId="4374C552" w14:textId="155359E9" w:rsidR="00DF24BE" w:rsidRDefault="00D872EC" w:rsidP="00DF24BE">
      <w:pPr>
        <w:tabs>
          <w:tab w:val="left" w:pos="2193"/>
        </w:tabs>
        <w:spacing w:after="0" w:line="240" w:lineRule="auto"/>
        <w:rPr>
          <w:rFonts w:eastAsiaTheme="minorEastAsia" w:cs="Arial Narrow"/>
          <w:color w:val="000000"/>
          <w:lang w:eastAsia="es-CR"/>
        </w:rPr>
      </w:pPr>
      <w:r w:rsidRPr="00D872EC">
        <w:rPr>
          <w:noProof/>
          <w:lang w:eastAsia="es-CR"/>
        </w:rPr>
        <w:drawing>
          <wp:inline distT="0" distB="0" distL="0" distR="0" wp14:anchorId="110FD755" wp14:editId="2C2C662D">
            <wp:extent cx="5828030" cy="1956021"/>
            <wp:effectExtent l="0" t="0" r="1270" b="6350"/>
            <wp:docPr id="157437472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36886" cy="1958993"/>
                    </a:xfrm>
                    <a:prstGeom prst="rect">
                      <a:avLst/>
                    </a:prstGeom>
                    <a:noFill/>
                    <a:ln>
                      <a:noFill/>
                    </a:ln>
                  </pic:spPr>
                </pic:pic>
              </a:graphicData>
            </a:graphic>
          </wp:inline>
        </w:drawing>
      </w:r>
      <w:r w:rsidR="00DF24BE">
        <w:rPr>
          <w:rFonts w:eastAsiaTheme="minorEastAsia" w:cs="Arial Narrow"/>
          <w:color w:val="000000"/>
          <w:lang w:eastAsia="es-CR"/>
        </w:rPr>
        <w:tab/>
      </w:r>
    </w:p>
    <w:p w14:paraId="71C2C064" w14:textId="70B5DB2E" w:rsidR="00DF24BE" w:rsidRDefault="00DF24BE" w:rsidP="00DF24BE">
      <w:pPr>
        <w:spacing w:after="0" w:line="240" w:lineRule="auto"/>
      </w:pPr>
      <w:r>
        <w:t>Como se observa en el cuadro anterior l</w:t>
      </w:r>
      <w:r w:rsidRPr="006824DA">
        <w:t>a variaci</w:t>
      </w:r>
      <w:r>
        <w:t>ón</w:t>
      </w:r>
      <w:r w:rsidRPr="006824DA">
        <w:t xml:space="preserve"> </w:t>
      </w:r>
      <w:r>
        <w:t xml:space="preserve">(aumento) </w:t>
      </w:r>
      <w:r w:rsidRPr="006824DA">
        <w:t>de</w:t>
      </w:r>
      <w:r>
        <w:t xml:space="preserve"> </w:t>
      </w:r>
      <w:r w:rsidRPr="00481D7C">
        <w:rPr>
          <w:rFonts w:ascii="Arial" w:hAnsi="Arial" w:cs="Arial"/>
        </w:rPr>
        <w:t>₡</w:t>
      </w:r>
      <w:r w:rsidR="007925D8">
        <w:t>101 157,94</w:t>
      </w:r>
      <w:r w:rsidRPr="001750FE">
        <w:t xml:space="preserve"> miles</w:t>
      </w:r>
      <w:r>
        <w:t xml:space="preserve"> en </w:t>
      </w:r>
      <w:r w:rsidRPr="006824DA">
        <w:t>la cuenta</w:t>
      </w:r>
      <w:r>
        <w:t xml:space="preserve"> Gastos en Personal,</w:t>
      </w:r>
      <w:r w:rsidRPr="006824DA">
        <w:t xml:space="preserve"> </w:t>
      </w:r>
      <w:r>
        <w:t>es</w:t>
      </w:r>
      <w:r w:rsidRPr="006824DA">
        <w:t xml:space="preserve"> producto</w:t>
      </w:r>
      <w:r>
        <w:t xml:space="preserve"> del efecto neto</w:t>
      </w:r>
      <w:r w:rsidRPr="006824DA">
        <w:t xml:space="preserve"> de los incrementos </w:t>
      </w:r>
      <w:r>
        <w:t xml:space="preserve">y disminuciones que se dan en los diferentes rubros relacionados con gastos en personal. </w:t>
      </w:r>
    </w:p>
    <w:p w14:paraId="575BA1DB" w14:textId="77777777" w:rsidR="00DF24BE" w:rsidRDefault="00DF24BE" w:rsidP="00DF24BE">
      <w:pPr>
        <w:spacing w:after="0" w:line="240" w:lineRule="auto"/>
      </w:pPr>
    </w:p>
    <w:p w14:paraId="715D2D31" w14:textId="3A58C2B9" w:rsidR="00DF24BE" w:rsidRDefault="00DF24BE" w:rsidP="00DF24BE">
      <w:pPr>
        <w:spacing w:after="0" w:line="240" w:lineRule="auto"/>
      </w:pPr>
      <w:r>
        <w:t>Sobre el particular, se presentaron aumentos en las siguientes cuentas “Remuneraciones eventuales”, Incentivos salariales”, “Asistencia social y beneficios al personal”, “Contribuciones patronales al desarrollo y la seguridad social”, “</w:t>
      </w:r>
      <w:r w:rsidRPr="009F352D">
        <w:t>Contribuciones patronales a fondos de pensiones y a otros fondos de capitalización</w:t>
      </w:r>
      <w:r w:rsidRPr="00481D7C">
        <w:t>” y</w:t>
      </w:r>
      <w:r>
        <w:t xml:space="preserve"> “</w:t>
      </w:r>
      <w:r w:rsidRPr="009F352D">
        <w:t>Asistencia social y beneficios al personal</w:t>
      </w:r>
      <w:r>
        <w:t xml:space="preserve">” por las sumas de </w:t>
      </w:r>
      <w:r w:rsidR="007925D8">
        <w:t>-</w:t>
      </w:r>
      <w:r w:rsidRPr="00953CBE">
        <w:rPr>
          <w:rFonts w:ascii="Arial" w:hAnsi="Arial" w:cs="Arial"/>
        </w:rPr>
        <w:t>₡</w:t>
      </w:r>
      <w:r w:rsidR="007925D8">
        <w:rPr>
          <w:rFonts w:ascii="Arial" w:hAnsi="Arial" w:cs="Arial"/>
        </w:rPr>
        <w:t>6 765,33</w:t>
      </w:r>
      <w:r w:rsidRPr="00953CBE">
        <w:t xml:space="preserve"> miles, </w:t>
      </w:r>
      <w:r w:rsidRPr="00953CBE">
        <w:rPr>
          <w:rFonts w:ascii="Arial" w:hAnsi="Arial" w:cs="Arial"/>
        </w:rPr>
        <w:lastRenderedPageBreak/>
        <w:t>₡</w:t>
      </w:r>
      <w:r>
        <w:t>5</w:t>
      </w:r>
      <w:r w:rsidR="00D872EC">
        <w:t>9 226,76</w:t>
      </w:r>
      <w:r w:rsidRPr="00953CBE">
        <w:t xml:space="preserve"> miles</w:t>
      </w:r>
      <w:r>
        <w:t xml:space="preserve">, </w:t>
      </w:r>
      <w:r w:rsidRPr="00953CBE">
        <w:rPr>
          <w:rFonts w:ascii="Arial" w:hAnsi="Arial" w:cs="Arial"/>
        </w:rPr>
        <w:t>₡</w:t>
      </w:r>
      <w:r w:rsidR="00D872EC">
        <w:t>26 716,25</w:t>
      </w:r>
      <w:r w:rsidRPr="00953CBE">
        <w:t xml:space="preserve"> miles</w:t>
      </w:r>
      <w:r>
        <w:t>,</w:t>
      </w:r>
      <w:r w:rsidRPr="00953CBE">
        <w:t xml:space="preserve"> </w:t>
      </w:r>
      <w:r w:rsidRPr="00481D7C">
        <w:rPr>
          <w:rFonts w:ascii="Arial" w:hAnsi="Arial" w:cs="Arial"/>
        </w:rPr>
        <w:t>₡</w:t>
      </w:r>
      <w:r w:rsidRPr="009F352D">
        <w:t>2 797,33</w:t>
      </w:r>
      <w:r w:rsidRPr="00481D7C">
        <w:t xml:space="preserve"> miles y </w:t>
      </w:r>
      <w:r w:rsidRPr="00481D7C">
        <w:rPr>
          <w:rFonts w:ascii="Arial" w:hAnsi="Arial" w:cs="Arial"/>
        </w:rPr>
        <w:t>₡</w:t>
      </w:r>
      <w:r w:rsidR="00D872EC">
        <w:t>18 455,82</w:t>
      </w:r>
      <w:r w:rsidRPr="00953CBE">
        <w:t xml:space="preserve"> miles</w:t>
      </w:r>
      <w:r>
        <w:t xml:space="preserve"> en ese orden; asimismo, se presentó disminución en la cuenta de “Remuneraciones básicas” por </w:t>
      </w:r>
      <w:r w:rsidRPr="00D872EC">
        <w:rPr>
          <w:rFonts w:ascii="Arial" w:hAnsi="Arial" w:cs="Arial"/>
        </w:rPr>
        <w:t>₡</w:t>
      </w:r>
      <w:r w:rsidR="00D872EC" w:rsidRPr="00D872EC">
        <w:rPr>
          <w:rFonts w:cs="Arial"/>
        </w:rPr>
        <w:t>727,11</w:t>
      </w:r>
      <w:r w:rsidR="00D872EC" w:rsidRPr="00D872EC">
        <w:rPr>
          <w:rFonts w:ascii="Arial" w:hAnsi="Arial" w:cs="Arial"/>
        </w:rPr>
        <w:t xml:space="preserve"> </w:t>
      </w:r>
      <w:r>
        <w:t>miles.</w:t>
      </w:r>
    </w:p>
    <w:p w14:paraId="1E9B9A74" w14:textId="77777777" w:rsidR="00DF24BE" w:rsidRDefault="00DF24BE" w:rsidP="00DF24BE">
      <w:pPr>
        <w:spacing w:after="0" w:line="240" w:lineRule="auto"/>
      </w:pPr>
    </w:p>
    <w:p w14:paraId="52810C1C" w14:textId="77777777" w:rsidR="00DF24BE" w:rsidRDefault="00DF24BE" w:rsidP="00DF24BE">
      <w:pPr>
        <w:tabs>
          <w:tab w:val="left" w:pos="2193"/>
        </w:tabs>
        <w:spacing w:after="0" w:line="240" w:lineRule="auto"/>
      </w:pPr>
      <w:r>
        <w:t>El detalle de la composición de cada rubro de los que componen los Gastos en personal es el siguiente:</w:t>
      </w:r>
    </w:p>
    <w:p w14:paraId="3BBA8250" w14:textId="77777777" w:rsidR="00DF24BE" w:rsidRDefault="00DF24BE" w:rsidP="00DF24BE">
      <w:pPr>
        <w:tabs>
          <w:tab w:val="left" w:pos="2193"/>
        </w:tabs>
        <w:spacing w:after="0" w:line="240" w:lineRule="auto"/>
      </w:pPr>
    </w:p>
    <w:p w14:paraId="28CBFF2C" w14:textId="65713E9E" w:rsidR="00DF24BE" w:rsidRDefault="00D872EC" w:rsidP="00DF24BE">
      <w:pPr>
        <w:tabs>
          <w:tab w:val="left" w:pos="1706"/>
        </w:tabs>
        <w:spacing w:after="0" w:line="240" w:lineRule="auto"/>
        <w:rPr>
          <w:rFonts w:eastAsiaTheme="minorEastAsia" w:cs="Arial Narrow"/>
          <w:color w:val="000000"/>
          <w:lang w:eastAsia="es-CR"/>
        </w:rPr>
      </w:pPr>
      <w:r w:rsidRPr="00D872EC">
        <w:rPr>
          <w:noProof/>
          <w:lang w:eastAsia="es-CR"/>
        </w:rPr>
        <w:drawing>
          <wp:inline distT="0" distB="0" distL="0" distR="0" wp14:anchorId="7639CDED" wp14:editId="40371403">
            <wp:extent cx="5685043" cy="7044856"/>
            <wp:effectExtent l="0" t="0" r="0" b="3810"/>
            <wp:docPr id="91569170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91004" cy="7052242"/>
                    </a:xfrm>
                    <a:prstGeom prst="rect">
                      <a:avLst/>
                    </a:prstGeom>
                    <a:noFill/>
                    <a:ln>
                      <a:noFill/>
                    </a:ln>
                  </pic:spPr>
                </pic:pic>
              </a:graphicData>
            </a:graphic>
          </wp:inline>
        </w:drawing>
      </w:r>
    </w:p>
    <w:p w14:paraId="3508FE7F" w14:textId="42EBC0F7" w:rsidR="00DF24BE" w:rsidRPr="00DF54E4" w:rsidRDefault="00DF24BE" w:rsidP="00DF24BE">
      <w:pPr>
        <w:spacing w:after="0" w:line="240" w:lineRule="auto"/>
      </w:pPr>
      <w:r>
        <w:lastRenderedPageBreak/>
        <w:t>En relación con el cuadro anterior</w:t>
      </w:r>
      <w:r w:rsidRPr="006824DA">
        <w:t xml:space="preserve">, es pertinente resaltar, el aumento </w:t>
      </w:r>
      <w:r>
        <w:t xml:space="preserve">que presentan las cuentas de “Jornales” de </w:t>
      </w:r>
      <w:r w:rsidRPr="00466989">
        <w:rPr>
          <w:rFonts w:ascii="Arial" w:hAnsi="Arial" w:cs="Arial"/>
        </w:rPr>
        <w:t>₡</w:t>
      </w:r>
      <w:r w:rsidR="00D872EC">
        <w:t>9 424,76</w:t>
      </w:r>
      <w:r>
        <w:t xml:space="preserve"> miles, “</w:t>
      </w:r>
      <w:r w:rsidRPr="009324EC">
        <w:t>Servicios especiales</w:t>
      </w:r>
      <w:r>
        <w:t xml:space="preserve">” de </w:t>
      </w:r>
      <w:r w:rsidRPr="00466989">
        <w:rPr>
          <w:rFonts w:ascii="Arial" w:hAnsi="Arial" w:cs="Arial"/>
        </w:rPr>
        <w:t>₡</w:t>
      </w:r>
      <w:r w:rsidR="00D872EC">
        <w:t>10 081,03</w:t>
      </w:r>
      <w:r>
        <w:t xml:space="preserve"> miles, “Tiempo extraordinario” de </w:t>
      </w:r>
      <w:r w:rsidR="00D872EC" w:rsidRPr="00D872EC">
        <w:t>-</w:t>
      </w:r>
      <w:r w:rsidRPr="00D872EC">
        <w:rPr>
          <w:rFonts w:ascii="Arial" w:hAnsi="Arial" w:cs="Arial"/>
        </w:rPr>
        <w:t>₡</w:t>
      </w:r>
      <w:r w:rsidR="00D872EC" w:rsidRPr="00D872EC">
        <w:rPr>
          <w:rFonts w:cs="Arial"/>
        </w:rPr>
        <w:t>4 067,32</w:t>
      </w:r>
      <w:r>
        <w:t xml:space="preserve"> </w:t>
      </w:r>
      <w:r w:rsidRPr="00F46487">
        <w:t>miles</w:t>
      </w:r>
      <w:r>
        <w:t xml:space="preserve">, “Retribución por años servidos” </w:t>
      </w:r>
      <w:r w:rsidRPr="00466989">
        <w:rPr>
          <w:rFonts w:ascii="Arial" w:hAnsi="Arial" w:cs="Arial"/>
        </w:rPr>
        <w:t>₡</w:t>
      </w:r>
      <w:r w:rsidRPr="00FD77AF">
        <w:t>3</w:t>
      </w:r>
      <w:r w:rsidR="00DE6494">
        <w:t>9 482,72</w:t>
      </w:r>
      <w:r>
        <w:t xml:space="preserve"> </w:t>
      </w:r>
      <w:r w:rsidRPr="00F46487">
        <w:t>miles, “Restricción al ejercicio liberal</w:t>
      </w:r>
      <w:r>
        <w:t xml:space="preserve"> </w:t>
      </w:r>
      <w:r w:rsidRPr="00F46487">
        <w:t xml:space="preserve">de la profesión” de </w:t>
      </w:r>
      <w:r w:rsidRPr="00466989">
        <w:rPr>
          <w:rFonts w:ascii="Arial" w:hAnsi="Arial" w:cs="Arial"/>
        </w:rPr>
        <w:t>₡</w:t>
      </w:r>
      <w:r w:rsidRPr="00FD77AF">
        <w:t>1</w:t>
      </w:r>
      <w:r w:rsidR="00DE6494">
        <w:t>4 734,23</w:t>
      </w:r>
      <w:r>
        <w:t xml:space="preserve"> </w:t>
      </w:r>
      <w:r w:rsidRPr="00F46487">
        <w:t>miles</w:t>
      </w:r>
      <w:r>
        <w:t xml:space="preserve">, “Decimotercer mes” de </w:t>
      </w:r>
      <w:r w:rsidRPr="00466989">
        <w:rPr>
          <w:rFonts w:ascii="Arial" w:hAnsi="Arial" w:cs="Arial"/>
        </w:rPr>
        <w:t>₡</w:t>
      </w:r>
      <w:r w:rsidR="00DE6494">
        <w:t xml:space="preserve">5 009,80 </w:t>
      </w:r>
      <w:r w:rsidRPr="00204A03">
        <w:t>miles</w:t>
      </w:r>
      <w:r>
        <w:t>, “</w:t>
      </w:r>
      <w:r w:rsidRPr="009324EC">
        <w:t>Contribución Patronal al Seguro de Salud de la Caja</w:t>
      </w:r>
      <w:r>
        <w:t xml:space="preserve">” de </w:t>
      </w:r>
      <w:r w:rsidRPr="00466989">
        <w:rPr>
          <w:rFonts w:ascii="Arial" w:hAnsi="Arial" w:cs="Arial"/>
        </w:rPr>
        <w:t>₡</w:t>
      </w:r>
      <w:r w:rsidR="00DE6494">
        <w:t>26 575,26</w:t>
      </w:r>
      <w:r w:rsidRPr="00F071F6">
        <w:t xml:space="preserve"> </w:t>
      </w:r>
      <w:r w:rsidRPr="00F46487">
        <w:t>miles</w:t>
      </w:r>
      <w:r>
        <w:t xml:space="preserve"> y en “Indemnizaciones al personal” de </w:t>
      </w:r>
      <w:r w:rsidRPr="00466989">
        <w:rPr>
          <w:rFonts w:ascii="Arial" w:hAnsi="Arial" w:cs="Arial"/>
        </w:rPr>
        <w:t>₡</w:t>
      </w:r>
      <w:r w:rsidR="00DE6494">
        <w:t xml:space="preserve">18 455,82 </w:t>
      </w:r>
      <w:r w:rsidRPr="00F46487">
        <w:t>miles</w:t>
      </w:r>
      <w:r>
        <w:t>, así como las disminuciones de -</w:t>
      </w:r>
      <w:r w:rsidRPr="009324EC">
        <w:rPr>
          <w:rFonts w:ascii="Arial" w:hAnsi="Arial" w:cs="Arial"/>
        </w:rPr>
        <w:t>₡</w:t>
      </w:r>
      <w:r w:rsidRPr="00A51566">
        <w:t>4</w:t>
      </w:r>
      <w:r w:rsidR="00DE6494">
        <w:t> 220,07</w:t>
      </w:r>
      <w:r>
        <w:t xml:space="preserve"> </w:t>
      </w:r>
      <w:r w:rsidRPr="00F46487">
        <w:t>miles</w:t>
      </w:r>
      <w:r w:rsidR="006C300D">
        <w:t>,</w:t>
      </w:r>
      <w:r>
        <w:t xml:space="preserve"> -</w:t>
      </w:r>
      <w:r w:rsidRPr="009324EC">
        <w:rPr>
          <w:rFonts w:ascii="Arial" w:hAnsi="Arial" w:cs="Arial"/>
        </w:rPr>
        <w:t>₡</w:t>
      </w:r>
      <w:r w:rsidR="00DE6494">
        <w:t>20 962,74</w:t>
      </w:r>
      <w:r>
        <w:t xml:space="preserve"> </w:t>
      </w:r>
      <w:r w:rsidRPr="00F46487">
        <w:t>miles</w:t>
      </w:r>
      <w:r w:rsidR="006C300D">
        <w:t xml:space="preserve"> y -</w:t>
      </w:r>
      <w:r w:rsidR="006C300D" w:rsidRPr="009324EC">
        <w:rPr>
          <w:rFonts w:ascii="Arial" w:hAnsi="Arial" w:cs="Arial"/>
        </w:rPr>
        <w:t>₡</w:t>
      </w:r>
      <w:r w:rsidR="006C300D" w:rsidRPr="00A51566">
        <w:t>4</w:t>
      </w:r>
      <w:r w:rsidR="006C300D">
        <w:t xml:space="preserve"> 067,32 </w:t>
      </w:r>
      <w:r w:rsidR="006C300D" w:rsidRPr="00F46487">
        <w:t>miles</w:t>
      </w:r>
      <w:r>
        <w:t xml:space="preserve"> en “</w:t>
      </w:r>
      <w:r w:rsidRPr="0095484D">
        <w:t>Compensación de vacaciones</w:t>
      </w:r>
      <w:r w:rsidRPr="009324EC">
        <w:t>”</w:t>
      </w:r>
      <w:r w:rsidR="006C300D">
        <w:t xml:space="preserve">, </w:t>
      </w:r>
      <w:r>
        <w:t>“Sueldos para cargos fijos”</w:t>
      </w:r>
      <w:r w:rsidR="006C300D">
        <w:t xml:space="preserve"> y “Tiempos extraordinarios”, </w:t>
      </w:r>
      <w:r w:rsidRPr="009324EC">
        <w:t>respectivamente</w:t>
      </w:r>
      <w:r w:rsidR="006C300D">
        <w:t>.</w:t>
      </w:r>
    </w:p>
    <w:p w14:paraId="10E98C00" w14:textId="77777777" w:rsidR="00692DC8" w:rsidRPr="00692DC8" w:rsidRDefault="00692DC8" w:rsidP="00D94B22">
      <w:pPr>
        <w:rPr>
          <w:szCs w:val="24"/>
        </w:rPr>
      </w:pPr>
    </w:p>
    <w:p w14:paraId="6AAC9265" w14:textId="77777777" w:rsidR="00692DC8" w:rsidRPr="00692DC8" w:rsidRDefault="00692DC8" w:rsidP="000C0028">
      <w:pPr>
        <w:pStyle w:val="Ttulo4"/>
        <w:spacing w:after="240"/>
        <w:rPr>
          <w:rFonts w:eastAsia="Times New Roman"/>
        </w:rPr>
      </w:pPr>
      <w:bookmarkStart w:id="904" w:name="_Toc14344915"/>
      <w:bookmarkStart w:id="905" w:name="_Toc33601315"/>
      <w:bookmarkStart w:id="906" w:name="_Toc82769035"/>
      <w:bookmarkStart w:id="907" w:name="_Toc189804908"/>
      <w:r w:rsidRPr="00692DC8">
        <w:rPr>
          <w:rFonts w:eastAsia="Times New Roman"/>
        </w:rPr>
        <w:t xml:space="preserve">NOTA N° </w:t>
      </w:r>
      <w:bookmarkEnd w:id="904"/>
      <w:bookmarkEnd w:id="905"/>
      <w:bookmarkEnd w:id="906"/>
      <w:r w:rsidRPr="00692DC8">
        <w:rPr>
          <w:rFonts w:eastAsia="Times New Roman"/>
        </w:rPr>
        <w:t>60</w:t>
      </w:r>
      <w:bookmarkEnd w:id="907"/>
    </w:p>
    <w:p w14:paraId="13CD26BD" w14:textId="77777777" w:rsidR="00396CB4" w:rsidRDefault="00692DC8" w:rsidP="00293F0F">
      <w:pPr>
        <w:spacing w:before="240"/>
        <w:rPr>
          <w:rFonts w:asciiTheme="minorHAnsi" w:hAnsiTheme="minorHAnsi"/>
          <w:sz w:val="22"/>
        </w:rPr>
      </w:pPr>
      <w:bookmarkStart w:id="908" w:name="_Toc14344916"/>
      <w:bookmarkStart w:id="909" w:name="_Toc33601316"/>
      <w:bookmarkStart w:id="910" w:name="_Toc82769036"/>
      <w:r w:rsidRPr="00692DC8">
        <w:rPr>
          <w:rFonts w:eastAsia="Times New Roman"/>
        </w:rPr>
        <w:t>Servicios</w:t>
      </w:r>
      <w:bookmarkEnd w:id="908"/>
      <w:bookmarkEnd w:id="909"/>
      <w:bookmarkEnd w:id="910"/>
      <w:r w:rsidR="00F50CDD">
        <w:rPr>
          <w:rFonts w:eastAsiaTheme="majorEastAsia" w:cstheme="majorBidi"/>
          <w:b/>
          <w:iCs/>
        </w:rPr>
        <w:fldChar w:fldCharType="begin"/>
      </w:r>
      <w:r w:rsidR="00F50CDD">
        <w:instrText xml:space="preserve"> LINK </w:instrText>
      </w:r>
      <w:r w:rsidR="00756467">
        <w:instrText xml:space="preserve">Excel.SheetMacroEnabled.12 "C:\\Users\\gcordero\\Downloads\\Notas diciembre 2024\\Formato_Notas_EEFF_Vinculadas_2024\\Formato_Notas_EEFF_Vinculadas_2024\\15603_T04_2024_Anexo_Estado_Notas_Contables_Vinculadas.xlsm" NOTAS_POR_CUENTA!F351C1:F353C6 </w:instrText>
      </w:r>
      <w:r w:rsidR="00F50CDD">
        <w:instrText xml:space="preserve">\a \f 4 \h </w:instrText>
      </w:r>
      <w:r w:rsidR="00F50CDD">
        <w:fldChar w:fldCharType="separate"/>
      </w:r>
    </w:p>
    <w:tbl>
      <w:tblPr>
        <w:tblW w:w="9600" w:type="dxa"/>
        <w:tblCellMar>
          <w:left w:w="70" w:type="dxa"/>
          <w:right w:w="70" w:type="dxa"/>
        </w:tblCellMar>
        <w:tblLook w:val="04A0" w:firstRow="1" w:lastRow="0" w:firstColumn="1" w:lastColumn="0" w:noHBand="0" w:noVBand="1"/>
      </w:tblPr>
      <w:tblGrid>
        <w:gridCol w:w="1319"/>
        <w:gridCol w:w="2561"/>
        <w:gridCol w:w="500"/>
        <w:gridCol w:w="2100"/>
        <w:gridCol w:w="2100"/>
        <w:gridCol w:w="1020"/>
      </w:tblGrid>
      <w:tr w:rsidR="00396CB4" w:rsidRPr="00396CB4" w14:paraId="053CB76B" w14:textId="77777777" w:rsidTr="00396CB4">
        <w:trPr>
          <w:divId w:val="545337330"/>
          <w:trHeight w:val="330"/>
        </w:trPr>
        <w:tc>
          <w:tcPr>
            <w:tcW w:w="1319"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066BDD3" w14:textId="11FC36C0" w:rsidR="00396CB4" w:rsidRPr="00396CB4" w:rsidRDefault="00396CB4" w:rsidP="00396CB4">
            <w:pP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2561"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08D424F"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635B7CD"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5D90AE9"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2848BE0"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51F6D456"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1C1B5C0D" w14:textId="77777777" w:rsidTr="00396CB4">
        <w:trPr>
          <w:divId w:val="545337330"/>
          <w:trHeight w:val="330"/>
        </w:trPr>
        <w:tc>
          <w:tcPr>
            <w:tcW w:w="1319" w:type="dxa"/>
            <w:vMerge/>
            <w:tcBorders>
              <w:top w:val="single" w:sz="8" w:space="0" w:color="auto"/>
              <w:left w:val="single" w:sz="8" w:space="0" w:color="auto"/>
              <w:bottom w:val="single" w:sz="8" w:space="0" w:color="000000"/>
              <w:right w:val="single" w:sz="8" w:space="0" w:color="auto"/>
            </w:tcBorders>
            <w:vAlign w:val="center"/>
            <w:hideMark/>
          </w:tcPr>
          <w:p w14:paraId="055544FD"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561" w:type="dxa"/>
            <w:vMerge/>
            <w:tcBorders>
              <w:top w:val="single" w:sz="8" w:space="0" w:color="auto"/>
              <w:left w:val="single" w:sz="8" w:space="0" w:color="auto"/>
              <w:bottom w:val="single" w:sz="8" w:space="0" w:color="000000"/>
              <w:right w:val="single" w:sz="8" w:space="0" w:color="auto"/>
            </w:tcBorders>
            <w:vAlign w:val="center"/>
            <w:hideMark/>
          </w:tcPr>
          <w:p w14:paraId="33444B78"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5E0FFEDA"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26B0DD3E"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6A246A83"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12171F60"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3DF59905" w14:textId="77777777" w:rsidTr="00396CB4">
        <w:trPr>
          <w:divId w:val="545337330"/>
          <w:trHeight w:val="330"/>
        </w:trPr>
        <w:tc>
          <w:tcPr>
            <w:tcW w:w="1319" w:type="dxa"/>
            <w:tcBorders>
              <w:top w:val="nil"/>
              <w:left w:val="single" w:sz="8" w:space="0" w:color="auto"/>
              <w:bottom w:val="single" w:sz="8" w:space="0" w:color="auto"/>
              <w:right w:val="single" w:sz="8" w:space="0" w:color="auto"/>
            </w:tcBorders>
            <w:shd w:val="clear" w:color="auto" w:fill="auto"/>
            <w:noWrap/>
            <w:vAlign w:val="center"/>
            <w:hideMark/>
          </w:tcPr>
          <w:p w14:paraId="60A71EB6"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5.1.2.</w:t>
            </w:r>
          </w:p>
        </w:tc>
        <w:tc>
          <w:tcPr>
            <w:tcW w:w="2561" w:type="dxa"/>
            <w:tcBorders>
              <w:top w:val="nil"/>
              <w:left w:val="nil"/>
              <w:bottom w:val="single" w:sz="8" w:space="0" w:color="auto"/>
              <w:right w:val="single" w:sz="8" w:space="0" w:color="auto"/>
            </w:tcBorders>
            <w:shd w:val="clear" w:color="auto" w:fill="auto"/>
            <w:vAlign w:val="center"/>
            <w:hideMark/>
          </w:tcPr>
          <w:p w14:paraId="06520A9B" w14:textId="77777777" w:rsidR="00396CB4" w:rsidRPr="00396CB4" w:rsidRDefault="00396CB4" w:rsidP="00396CB4">
            <w:pPr>
              <w:spacing w:after="0" w:line="240" w:lineRule="auto"/>
              <w:rPr>
                <w:rFonts w:eastAsia="Times New Roman" w:cs="Calibri"/>
                <w:b/>
                <w:bCs/>
                <w:color w:val="000000"/>
                <w:sz w:val="18"/>
                <w:szCs w:val="18"/>
                <w:lang w:eastAsia="es-CR"/>
              </w:rPr>
            </w:pPr>
            <w:r w:rsidRPr="00396CB4">
              <w:rPr>
                <w:rFonts w:eastAsia="Times New Roman" w:cs="Calibri"/>
                <w:b/>
                <w:bCs/>
                <w:color w:val="000000"/>
                <w:sz w:val="18"/>
                <w:szCs w:val="18"/>
                <w:lang w:eastAsia="es-CR"/>
              </w:rPr>
              <w:t>Servicios</w:t>
            </w:r>
          </w:p>
        </w:tc>
        <w:tc>
          <w:tcPr>
            <w:tcW w:w="500" w:type="dxa"/>
            <w:tcBorders>
              <w:top w:val="nil"/>
              <w:left w:val="nil"/>
              <w:bottom w:val="single" w:sz="8" w:space="0" w:color="auto"/>
              <w:right w:val="single" w:sz="8" w:space="0" w:color="auto"/>
            </w:tcBorders>
            <w:shd w:val="clear" w:color="auto" w:fill="auto"/>
            <w:noWrap/>
            <w:vAlign w:val="center"/>
            <w:hideMark/>
          </w:tcPr>
          <w:p w14:paraId="146D91A9"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60</w:t>
            </w:r>
          </w:p>
        </w:tc>
        <w:tc>
          <w:tcPr>
            <w:tcW w:w="2100" w:type="dxa"/>
            <w:tcBorders>
              <w:top w:val="nil"/>
              <w:left w:val="nil"/>
              <w:bottom w:val="single" w:sz="8" w:space="0" w:color="auto"/>
              <w:right w:val="single" w:sz="8" w:space="0" w:color="auto"/>
            </w:tcBorders>
            <w:shd w:val="clear" w:color="auto" w:fill="auto"/>
            <w:noWrap/>
            <w:vAlign w:val="center"/>
            <w:hideMark/>
          </w:tcPr>
          <w:p w14:paraId="4A79C075"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2 658 062,48 </w:t>
            </w:r>
          </w:p>
        </w:tc>
        <w:tc>
          <w:tcPr>
            <w:tcW w:w="2100" w:type="dxa"/>
            <w:tcBorders>
              <w:top w:val="nil"/>
              <w:left w:val="nil"/>
              <w:bottom w:val="single" w:sz="8" w:space="0" w:color="auto"/>
              <w:right w:val="single" w:sz="8" w:space="0" w:color="auto"/>
            </w:tcBorders>
            <w:shd w:val="clear" w:color="auto" w:fill="auto"/>
            <w:noWrap/>
            <w:vAlign w:val="center"/>
            <w:hideMark/>
          </w:tcPr>
          <w:p w14:paraId="3BD92DF5"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3 548 386,69 </w:t>
            </w:r>
          </w:p>
        </w:tc>
        <w:tc>
          <w:tcPr>
            <w:tcW w:w="1020" w:type="dxa"/>
            <w:tcBorders>
              <w:top w:val="nil"/>
              <w:left w:val="nil"/>
              <w:bottom w:val="single" w:sz="8" w:space="0" w:color="auto"/>
              <w:right w:val="single" w:sz="8" w:space="0" w:color="auto"/>
            </w:tcBorders>
            <w:shd w:val="clear" w:color="auto" w:fill="auto"/>
            <w:noWrap/>
            <w:vAlign w:val="center"/>
            <w:hideMark/>
          </w:tcPr>
          <w:p w14:paraId="15C4E799"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-25,09%</w:t>
            </w:r>
          </w:p>
        </w:tc>
      </w:tr>
    </w:tbl>
    <w:p w14:paraId="492D4EFD" w14:textId="77777777" w:rsidR="00567780" w:rsidRDefault="00F50CDD" w:rsidP="00293F0F">
      <w:pPr>
        <w:spacing w:before="240"/>
        <w:rPr>
          <w:szCs w:val="24"/>
        </w:rPr>
      </w:pPr>
      <w:r>
        <w:rPr>
          <w:szCs w:val="24"/>
        </w:rPr>
        <w:fldChar w:fldCharType="end"/>
      </w:r>
    </w:p>
    <w:p w14:paraId="33356A54" w14:textId="77777777" w:rsidR="00396CB4" w:rsidRDefault="00692DC8" w:rsidP="00293F0F">
      <w:pPr>
        <w:spacing w:before="240"/>
        <w:rPr>
          <w:rFonts w:asciiTheme="minorHAnsi" w:hAnsiTheme="minorHAnsi"/>
          <w:sz w:val="22"/>
        </w:rPr>
      </w:pPr>
      <w:r w:rsidRPr="00692DC8">
        <w:rPr>
          <w:szCs w:val="24"/>
        </w:rPr>
        <w:t>Detalle cuenta:</w:t>
      </w:r>
      <w:r w:rsidR="00F50CDD">
        <w:fldChar w:fldCharType="begin"/>
      </w:r>
      <w:r w:rsidR="00F50CDD">
        <w:instrText xml:space="preserve"> LINK </w:instrText>
      </w:r>
      <w:r w:rsidR="00756467">
        <w:instrText xml:space="preserve">Excel.SheetMacroEnabled.12 "C:\\Users\\gcordero\\Downloads\\Notas diciembre 2024\\Formato_Notas_EEFF_Vinculadas_2024\\Formato_Notas_EEFF_Vinculadas_2024\\15603_T04_2024_Anexo_Estado_Notas_Contables_Vinculadas.xlsm" NOTAS_POR_CUENTA!F355C1:F357C6 </w:instrText>
      </w:r>
      <w:r w:rsidR="00F50CDD">
        <w:instrText xml:space="preserve">\a \f 4 \h </w:instrText>
      </w:r>
      <w:r w:rsidR="00F50CDD">
        <w:fldChar w:fldCharType="separate"/>
      </w:r>
    </w:p>
    <w:tbl>
      <w:tblPr>
        <w:tblW w:w="9600" w:type="dxa"/>
        <w:tblCellMar>
          <w:left w:w="70" w:type="dxa"/>
          <w:right w:w="70" w:type="dxa"/>
        </w:tblCellMar>
        <w:tblLook w:val="04A0" w:firstRow="1" w:lastRow="0" w:firstColumn="1" w:lastColumn="0" w:noHBand="0" w:noVBand="1"/>
      </w:tblPr>
      <w:tblGrid>
        <w:gridCol w:w="1166"/>
        <w:gridCol w:w="2714"/>
        <w:gridCol w:w="500"/>
        <w:gridCol w:w="2100"/>
        <w:gridCol w:w="2100"/>
        <w:gridCol w:w="1020"/>
      </w:tblGrid>
      <w:tr w:rsidR="00396CB4" w:rsidRPr="00396CB4" w14:paraId="0E0AEB93" w14:textId="77777777" w:rsidTr="00396CB4">
        <w:trPr>
          <w:divId w:val="1104039300"/>
          <w:trHeight w:val="330"/>
        </w:trPr>
        <w:tc>
          <w:tcPr>
            <w:tcW w:w="116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6521AB0" w14:textId="18DEB794" w:rsidR="00396CB4" w:rsidRPr="00396CB4" w:rsidRDefault="00396CB4" w:rsidP="00396CB4">
            <w:pP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271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6D6B451"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5D07439"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9077EA8"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F92C59A"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7CB3853A"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67FD4B72" w14:textId="77777777" w:rsidTr="00396CB4">
        <w:trPr>
          <w:divId w:val="1104039300"/>
          <w:trHeight w:val="330"/>
        </w:trPr>
        <w:tc>
          <w:tcPr>
            <w:tcW w:w="1166" w:type="dxa"/>
            <w:vMerge/>
            <w:tcBorders>
              <w:top w:val="single" w:sz="8" w:space="0" w:color="auto"/>
              <w:left w:val="single" w:sz="8" w:space="0" w:color="auto"/>
              <w:bottom w:val="single" w:sz="8" w:space="0" w:color="000000"/>
              <w:right w:val="single" w:sz="8" w:space="0" w:color="auto"/>
            </w:tcBorders>
            <w:vAlign w:val="center"/>
            <w:hideMark/>
          </w:tcPr>
          <w:p w14:paraId="53FC1049"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714" w:type="dxa"/>
            <w:vMerge/>
            <w:tcBorders>
              <w:top w:val="single" w:sz="8" w:space="0" w:color="auto"/>
              <w:left w:val="single" w:sz="8" w:space="0" w:color="auto"/>
              <w:bottom w:val="single" w:sz="8" w:space="0" w:color="000000"/>
              <w:right w:val="single" w:sz="8" w:space="0" w:color="auto"/>
            </w:tcBorders>
            <w:vAlign w:val="center"/>
            <w:hideMark/>
          </w:tcPr>
          <w:p w14:paraId="0809AEF8"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768A0987"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289C6B0B"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13C34729"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458DB248"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71D5244E" w14:textId="77777777" w:rsidTr="00396CB4">
        <w:trPr>
          <w:divId w:val="1104039300"/>
          <w:trHeight w:val="330"/>
        </w:trPr>
        <w:tc>
          <w:tcPr>
            <w:tcW w:w="1166" w:type="dxa"/>
            <w:tcBorders>
              <w:top w:val="nil"/>
              <w:left w:val="single" w:sz="8" w:space="0" w:color="auto"/>
              <w:bottom w:val="single" w:sz="8" w:space="0" w:color="auto"/>
              <w:right w:val="single" w:sz="8" w:space="0" w:color="auto"/>
            </w:tcBorders>
            <w:shd w:val="clear" w:color="auto" w:fill="auto"/>
            <w:noWrap/>
            <w:vAlign w:val="center"/>
            <w:hideMark/>
          </w:tcPr>
          <w:p w14:paraId="7B4445B4"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5.1.2.01.</w:t>
            </w:r>
          </w:p>
        </w:tc>
        <w:tc>
          <w:tcPr>
            <w:tcW w:w="2714" w:type="dxa"/>
            <w:tcBorders>
              <w:top w:val="nil"/>
              <w:left w:val="nil"/>
              <w:bottom w:val="single" w:sz="8" w:space="0" w:color="auto"/>
              <w:right w:val="single" w:sz="8" w:space="0" w:color="auto"/>
            </w:tcBorders>
            <w:shd w:val="clear" w:color="auto" w:fill="auto"/>
            <w:vAlign w:val="center"/>
            <w:hideMark/>
          </w:tcPr>
          <w:p w14:paraId="0532FCCF" w14:textId="77777777" w:rsidR="00396CB4" w:rsidRPr="00396CB4" w:rsidRDefault="00396CB4" w:rsidP="00396CB4">
            <w:pPr>
              <w:spacing w:after="0" w:line="240" w:lineRule="auto"/>
              <w:rPr>
                <w:rFonts w:eastAsia="Times New Roman" w:cs="Calibri"/>
                <w:b/>
                <w:bCs/>
                <w:color w:val="000000"/>
                <w:sz w:val="18"/>
                <w:szCs w:val="18"/>
                <w:lang w:eastAsia="es-CR"/>
              </w:rPr>
            </w:pPr>
            <w:r w:rsidRPr="00396CB4">
              <w:rPr>
                <w:rFonts w:eastAsia="Times New Roman" w:cs="Calibri"/>
                <w:b/>
                <w:bCs/>
                <w:color w:val="000000"/>
                <w:sz w:val="18"/>
                <w:szCs w:val="18"/>
                <w:lang w:eastAsia="es-CR"/>
              </w:rPr>
              <w:t>Alquileres y derechos sobre bienes</w:t>
            </w:r>
          </w:p>
        </w:tc>
        <w:tc>
          <w:tcPr>
            <w:tcW w:w="500" w:type="dxa"/>
            <w:tcBorders>
              <w:top w:val="nil"/>
              <w:left w:val="nil"/>
              <w:bottom w:val="single" w:sz="8" w:space="0" w:color="auto"/>
              <w:right w:val="single" w:sz="8" w:space="0" w:color="auto"/>
            </w:tcBorders>
            <w:shd w:val="clear" w:color="auto" w:fill="auto"/>
            <w:noWrap/>
            <w:vAlign w:val="center"/>
            <w:hideMark/>
          </w:tcPr>
          <w:p w14:paraId="101952C4"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60</w:t>
            </w:r>
          </w:p>
        </w:tc>
        <w:tc>
          <w:tcPr>
            <w:tcW w:w="2100" w:type="dxa"/>
            <w:tcBorders>
              <w:top w:val="nil"/>
              <w:left w:val="nil"/>
              <w:bottom w:val="single" w:sz="8" w:space="0" w:color="auto"/>
              <w:right w:val="single" w:sz="8" w:space="0" w:color="auto"/>
            </w:tcBorders>
            <w:shd w:val="clear" w:color="auto" w:fill="auto"/>
            <w:noWrap/>
            <w:vAlign w:val="center"/>
            <w:hideMark/>
          </w:tcPr>
          <w:p w14:paraId="3688DA35"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86 512,64 </w:t>
            </w:r>
          </w:p>
        </w:tc>
        <w:tc>
          <w:tcPr>
            <w:tcW w:w="2100" w:type="dxa"/>
            <w:tcBorders>
              <w:top w:val="nil"/>
              <w:left w:val="nil"/>
              <w:bottom w:val="single" w:sz="8" w:space="0" w:color="auto"/>
              <w:right w:val="single" w:sz="8" w:space="0" w:color="auto"/>
            </w:tcBorders>
            <w:shd w:val="clear" w:color="auto" w:fill="auto"/>
            <w:noWrap/>
            <w:vAlign w:val="center"/>
            <w:hideMark/>
          </w:tcPr>
          <w:p w14:paraId="3B27F527"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177 278,18 </w:t>
            </w:r>
          </w:p>
        </w:tc>
        <w:tc>
          <w:tcPr>
            <w:tcW w:w="1020" w:type="dxa"/>
            <w:tcBorders>
              <w:top w:val="nil"/>
              <w:left w:val="nil"/>
              <w:bottom w:val="single" w:sz="8" w:space="0" w:color="auto"/>
              <w:right w:val="single" w:sz="8" w:space="0" w:color="auto"/>
            </w:tcBorders>
            <w:shd w:val="clear" w:color="auto" w:fill="auto"/>
            <w:noWrap/>
            <w:vAlign w:val="center"/>
            <w:hideMark/>
          </w:tcPr>
          <w:p w14:paraId="06F4A11A"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-51,20%</w:t>
            </w:r>
          </w:p>
        </w:tc>
      </w:tr>
    </w:tbl>
    <w:p w14:paraId="7152280E" w14:textId="62E047E3" w:rsidR="00692DC8" w:rsidRPr="00692DC8" w:rsidRDefault="00F50CDD" w:rsidP="00293F0F">
      <w:pPr>
        <w:spacing w:before="240"/>
      </w:pPr>
      <w:r>
        <w:fldChar w:fldCharType="end"/>
      </w:r>
      <w:r w:rsidR="00692DC8" w:rsidRPr="00692DC8">
        <w:t>Indicar el detalle de cómo está compuesta la cuenta:</w:t>
      </w:r>
    </w:p>
    <w:p w14:paraId="1C789BD5" w14:textId="77777777" w:rsidR="00DF24BE" w:rsidRDefault="00DF24BE" w:rsidP="00DF24BE">
      <w:pPr>
        <w:spacing w:after="0" w:line="240" w:lineRule="auto"/>
        <w:rPr>
          <w:lang w:eastAsia="es-CR"/>
        </w:rPr>
      </w:pPr>
      <w:r w:rsidRPr="00A91674">
        <w:rPr>
          <w:lang w:eastAsia="es-CR"/>
        </w:rPr>
        <w:t xml:space="preserve">La cuenta de alquileres y derechos </w:t>
      </w:r>
      <w:r>
        <w:rPr>
          <w:lang w:eastAsia="es-CR"/>
        </w:rPr>
        <w:t xml:space="preserve">sobre bienes </w:t>
      </w:r>
      <w:r w:rsidRPr="00A91674">
        <w:rPr>
          <w:lang w:eastAsia="es-CR"/>
        </w:rPr>
        <w:t xml:space="preserve">representa los pagos efectuados por la Municipalidad por concepto del alquiler del edificio al señor Henry </w:t>
      </w:r>
      <w:proofErr w:type="spellStart"/>
      <w:r w:rsidRPr="00A91674">
        <w:rPr>
          <w:lang w:eastAsia="es-CR"/>
        </w:rPr>
        <w:t>Hubert</w:t>
      </w:r>
      <w:proofErr w:type="spellEnd"/>
      <w:r w:rsidRPr="00A91674">
        <w:rPr>
          <w:lang w:eastAsia="es-CR"/>
        </w:rPr>
        <w:t xml:space="preserve"> </w:t>
      </w:r>
      <w:proofErr w:type="spellStart"/>
      <w:r w:rsidRPr="00A91674">
        <w:rPr>
          <w:lang w:eastAsia="es-CR"/>
        </w:rPr>
        <w:t>Bradook</w:t>
      </w:r>
      <w:proofErr w:type="spellEnd"/>
      <w:r w:rsidRPr="00A91674">
        <w:rPr>
          <w:lang w:eastAsia="es-CR"/>
        </w:rPr>
        <w:t xml:space="preserve"> </w:t>
      </w:r>
      <w:proofErr w:type="spellStart"/>
      <w:r w:rsidRPr="00A91674">
        <w:rPr>
          <w:lang w:eastAsia="es-CR"/>
        </w:rPr>
        <w:t>Straadtmann</w:t>
      </w:r>
      <w:proofErr w:type="spellEnd"/>
      <w:r w:rsidRPr="00A91674">
        <w:rPr>
          <w:lang w:eastAsia="es-CR"/>
        </w:rPr>
        <w:t xml:space="preserve"> en el que se ubica el departamento de la UTGVM</w:t>
      </w:r>
      <w:r>
        <w:rPr>
          <w:lang w:eastAsia="es-CR"/>
        </w:rPr>
        <w:t>,</w:t>
      </w:r>
      <w:r w:rsidRPr="00A91674">
        <w:rPr>
          <w:lang w:eastAsia="es-CR"/>
        </w:rPr>
        <w:t xml:space="preserve"> según contrato 0432019000400276-03 (Prorroga) por el periodo que inicia el 19 </w:t>
      </w:r>
      <w:r>
        <w:rPr>
          <w:lang w:eastAsia="es-CR"/>
        </w:rPr>
        <w:t>enero</w:t>
      </w:r>
      <w:r w:rsidRPr="00A91674">
        <w:rPr>
          <w:lang w:eastAsia="es-CR"/>
        </w:rPr>
        <w:t xml:space="preserve"> de </w:t>
      </w:r>
      <w:r>
        <w:rPr>
          <w:lang w:eastAsia="es-CR"/>
        </w:rPr>
        <w:t>2024</w:t>
      </w:r>
      <w:r w:rsidRPr="00A91674">
        <w:rPr>
          <w:lang w:eastAsia="es-CR"/>
        </w:rPr>
        <w:t>, con una duración de 3 años</w:t>
      </w:r>
      <w:r>
        <w:rPr>
          <w:lang w:eastAsia="es-CR"/>
        </w:rPr>
        <w:t xml:space="preserve"> y al alquiler de </w:t>
      </w:r>
      <w:r w:rsidRPr="00EC6F6E">
        <w:rPr>
          <w:lang w:eastAsia="es-CR"/>
        </w:rPr>
        <w:t>Alquiler de maquinarias, equipos y mobiliario como se observa en el detalle que se consigna más adelante en este aparte.</w:t>
      </w:r>
    </w:p>
    <w:p w14:paraId="0815BFA1" w14:textId="77777777" w:rsidR="00DF24BE" w:rsidRDefault="00DF24BE" w:rsidP="00F50CDD">
      <w:pPr>
        <w:rPr>
          <w:b/>
          <w:bCs/>
          <w:lang w:val="es-ES"/>
        </w:rPr>
      </w:pPr>
    </w:p>
    <w:p w14:paraId="1AD73009" w14:textId="77777777" w:rsidR="00396CB4" w:rsidRPr="00396CB4" w:rsidRDefault="00692DC8" w:rsidP="00F50CDD">
      <w:pPr>
        <w:rPr>
          <w:sz w:val="20"/>
          <w:szCs w:val="20"/>
          <w:lang w:eastAsia="es-CR"/>
        </w:rPr>
      </w:pPr>
      <w:r w:rsidRPr="00692DC8">
        <w:rPr>
          <w:b/>
          <w:bCs/>
          <w:lang w:val="es-ES"/>
        </w:rPr>
        <w:t>Revelación</w:t>
      </w:r>
      <w:r w:rsidRPr="00692DC8">
        <w:rPr>
          <w:lang w:val="es-ES"/>
        </w:rPr>
        <w:t xml:space="preserve">: </w:t>
      </w:r>
      <w:r w:rsidR="00F50CDD">
        <w:rPr>
          <w:rFonts w:eastAsia="Times New Roman" w:cs="Calibri"/>
          <w:color w:val="000000"/>
          <w:lang w:eastAsia="es-CR"/>
        </w:rPr>
        <w:fldChar w:fldCharType="begin"/>
      </w:r>
      <w:r w:rsidR="00F50CDD">
        <w:rPr>
          <w:rFonts w:eastAsia="Times New Roman" w:cs="Calibri"/>
          <w:color w:val="000000"/>
          <w:lang w:eastAsia="es-CR"/>
        </w:rPr>
        <w:instrText xml:space="preserve"> LINK </w:instrText>
      </w:r>
      <w:r w:rsidR="00756467">
        <w:rPr>
          <w:rFonts w:eastAsia="Times New Roman" w:cs="Calibri"/>
          <w:color w:val="000000"/>
          <w:lang w:eastAsia="es-CR"/>
        </w:rPr>
        <w:instrText xml:space="preserve">Excel.SheetMacroEnabled.12 "C:\\Users\\gcordero\\Downloads\\Notas diciembre 2024\\Formato_Notas_EEFF_Vinculadas_2024\\Formato_Notas_EEFF_Vinculadas_2024\\15603_T04_2024_Anexo_Estado_Notas_Contables_Vinculadas.xlsm" NOTAS_POR_CUENTA!F353C8 </w:instrText>
      </w:r>
      <w:r w:rsidR="00F50CDD">
        <w:rPr>
          <w:rFonts w:eastAsia="Times New Roman" w:cs="Calibri"/>
          <w:color w:val="000000"/>
          <w:lang w:eastAsia="es-CR"/>
        </w:rPr>
        <w:instrText xml:space="preserve">\a \f 5 \h  \* MERGEFORMAT </w:instrText>
      </w:r>
      <w:r w:rsidR="00F50CDD">
        <w:rPr>
          <w:rFonts w:eastAsia="Times New Roman" w:cs="Calibri"/>
          <w:color w:val="000000"/>
          <w:lang w:eastAsia="es-CR"/>
        </w:rPr>
        <w:fldChar w:fldCharType="separate"/>
      </w:r>
    </w:p>
    <w:p w14:paraId="2EC0BFAD" w14:textId="008E06E7" w:rsidR="00061EFB" w:rsidRPr="00396CB4" w:rsidRDefault="00396CB4" w:rsidP="00396CB4">
      <w:pPr>
        <w:rPr>
          <w:rFonts w:eastAsia="Times New Roman" w:cs="Calibri"/>
          <w:color w:val="000000"/>
          <w:lang w:eastAsia="es-CR"/>
        </w:rPr>
      </w:pPr>
      <w:r w:rsidRPr="00396CB4">
        <w:rPr>
          <w:rFonts w:eastAsia="Times New Roman" w:cs="Calibri"/>
          <w:color w:val="000000"/>
          <w:lang w:eastAsia="es-CR"/>
        </w:rPr>
        <w:t>La cuenta Servicios, representa el 50,51% del total del Gastos, que comparado al periodo anterior genera una variación absoluta de -890 324,21 que corresponde a un Disminución del -25,09% de recursos disponibles.</w:t>
      </w:r>
    </w:p>
    <w:p w14:paraId="33F4E84E" w14:textId="0611E51C" w:rsidR="00692DC8" w:rsidRPr="00692DC8" w:rsidRDefault="00F50CDD" w:rsidP="00F50CDD">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55F9E08C" w14:textId="505641AE" w:rsidR="00DF24BE" w:rsidRDefault="00DF24BE" w:rsidP="00DF24BE">
      <w:pPr>
        <w:spacing w:after="0" w:line="240" w:lineRule="auto"/>
      </w:pPr>
      <w:bookmarkStart w:id="911" w:name="_Toc14344926"/>
      <w:bookmarkStart w:id="912" w:name="_Toc33601318"/>
      <w:r>
        <w:lastRenderedPageBreak/>
        <w:t>En el detalle que se presenta a continuación se consignan las subcuentas que conformaban la Cuenta de Servicios a</w:t>
      </w:r>
      <w:r w:rsidRPr="00A91674">
        <w:t xml:space="preserve">l </w:t>
      </w:r>
      <w:r w:rsidR="00796636">
        <w:t>31</w:t>
      </w:r>
      <w:r>
        <w:t xml:space="preserve"> de </w:t>
      </w:r>
      <w:r w:rsidR="00D64CF8">
        <w:t>diciembre</w:t>
      </w:r>
      <w:r>
        <w:t xml:space="preserve"> de 2024 en comparación con el año anterior:</w:t>
      </w:r>
    </w:p>
    <w:p w14:paraId="6E2842C8" w14:textId="77777777" w:rsidR="00DF24BE" w:rsidRPr="00A91674" w:rsidRDefault="00DF24BE" w:rsidP="00DF24BE">
      <w:pPr>
        <w:spacing w:after="0" w:line="240" w:lineRule="auto"/>
      </w:pPr>
    </w:p>
    <w:p w14:paraId="15675E0A" w14:textId="39996E9D" w:rsidR="00DF24BE" w:rsidRDefault="00E317BB" w:rsidP="00DF24BE">
      <w:pPr>
        <w:spacing w:after="0" w:line="240" w:lineRule="auto"/>
      </w:pPr>
      <w:r w:rsidRPr="00E317BB">
        <w:rPr>
          <w:noProof/>
          <w:lang w:eastAsia="es-CR"/>
        </w:rPr>
        <w:drawing>
          <wp:inline distT="0" distB="0" distL="0" distR="0" wp14:anchorId="39A7A312" wp14:editId="2CCE8C48">
            <wp:extent cx="5859288" cy="2345635"/>
            <wp:effectExtent l="0" t="0" r="0" b="0"/>
            <wp:docPr id="167869769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67301" cy="2348843"/>
                    </a:xfrm>
                    <a:prstGeom prst="rect">
                      <a:avLst/>
                    </a:prstGeom>
                    <a:noFill/>
                    <a:ln>
                      <a:noFill/>
                    </a:ln>
                  </pic:spPr>
                </pic:pic>
              </a:graphicData>
            </a:graphic>
          </wp:inline>
        </w:drawing>
      </w:r>
    </w:p>
    <w:p w14:paraId="1EF48198" w14:textId="77777777" w:rsidR="003E5A47" w:rsidRDefault="003E5A47" w:rsidP="00DF24BE">
      <w:pPr>
        <w:spacing w:after="0" w:line="240" w:lineRule="auto"/>
      </w:pPr>
    </w:p>
    <w:p w14:paraId="398F5FC7" w14:textId="5A392296" w:rsidR="00DF24BE" w:rsidRDefault="00DF24BE" w:rsidP="00DF24BE">
      <w:pPr>
        <w:spacing w:after="0" w:line="240" w:lineRule="auto"/>
      </w:pPr>
      <w:r w:rsidRPr="00A91674">
        <w:t xml:space="preserve">Como se observa </w:t>
      </w:r>
      <w:r>
        <w:t>en el cuadro anterior la variación (disminución) de -</w:t>
      </w:r>
      <w:r w:rsidRPr="008B61A4">
        <w:rPr>
          <w:rFonts w:ascii="Arial" w:hAnsi="Arial" w:cs="Arial"/>
        </w:rPr>
        <w:t>₡</w:t>
      </w:r>
      <w:r w:rsidR="00E317BB">
        <w:t>890 324,21</w:t>
      </w:r>
      <w:r w:rsidRPr="008B61A4">
        <w:t xml:space="preserve"> </w:t>
      </w:r>
      <w:r>
        <w:t xml:space="preserve">miles, que se presenta al comparar los saldos al </w:t>
      </w:r>
      <w:r w:rsidR="00796636">
        <w:t>31</w:t>
      </w:r>
      <w:r>
        <w:t xml:space="preserve"> de </w:t>
      </w:r>
      <w:r w:rsidR="00D64CF8">
        <w:t>diciembre</w:t>
      </w:r>
      <w:r>
        <w:t xml:space="preserve"> de 2023 con los del </w:t>
      </w:r>
      <w:r w:rsidR="00796636">
        <w:t>31</w:t>
      </w:r>
      <w:r>
        <w:t xml:space="preserve"> de </w:t>
      </w:r>
      <w:r w:rsidR="00D64CF8">
        <w:t>diciembre</w:t>
      </w:r>
      <w:r>
        <w:t xml:space="preserve"> de 2024 en la cuenta de “Servicios”, se origina en gran medida por las disminuciones en las subcuentas de “Alquileres y derechos sobre bienes”, “Servicios comerciales y financieros,</w:t>
      </w:r>
      <w:r w:rsidR="004A20E4">
        <w:t xml:space="preserve"> “Gastos de viaje y transporte”,</w:t>
      </w:r>
      <w:r w:rsidRPr="00161255">
        <w:t xml:space="preserve"> “Mantenimiento y reparaciones” </w:t>
      </w:r>
      <w:r>
        <w:t>por -</w:t>
      </w:r>
      <w:r w:rsidRPr="006242ED">
        <w:rPr>
          <w:rFonts w:ascii="Arial" w:hAnsi="Arial" w:cs="Arial"/>
        </w:rPr>
        <w:t>₡</w:t>
      </w:r>
      <w:r w:rsidR="00E317BB">
        <w:t>90 765,54</w:t>
      </w:r>
      <w:r w:rsidRPr="00DF54E4">
        <w:t xml:space="preserve"> miles</w:t>
      </w:r>
      <w:r>
        <w:t>, -</w:t>
      </w:r>
      <w:r w:rsidRPr="006242ED">
        <w:rPr>
          <w:rFonts w:ascii="Arial" w:hAnsi="Arial" w:cs="Arial"/>
        </w:rPr>
        <w:t>₡</w:t>
      </w:r>
      <w:r w:rsidR="00E317BB">
        <w:t>8 052,33</w:t>
      </w:r>
      <w:r w:rsidRPr="00970B7A">
        <w:t xml:space="preserve"> miles</w:t>
      </w:r>
      <w:r>
        <w:t>, -</w:t>
      </w:r>
      <w:r w:rsidRPr="006242ED">
        <w:rPr>
          <w:rFonts w:ascii="Arial" w:hAnsi="Arial" w:cs="Arial"/>
        </w:rPr>
        <w:t>₡</w:t>
      </w:r>
      <w:r w:rsidRPr="009B6DB5">
        <w:t>2 5</w:t>
      </w:r>
      <w:r w:rsidR="004A20E4">
        <w:t>53</w:t>
      </w:r>
      <w:r w:rsidRPr="009B6DB5">
        <w:t>,2</w:t>
      </w:r>
      <w:r w:rsidR="004A20E4">
        <w:t>9</w:t>
      </w:r>
      <w:r>
        <w:t xml:space="preserve"> </w:t>
      </w:r>
      <w:r w:rsidRPr="00161255">
        <w:t xml:space="preserve">y </w:t>
      </w:r>
      <w:r w:rsidR="004A20E4">
        <w:t xml:space="preserve"> </w:t>
      </w:r>
      <w:r w:rsidRPr="00161255">
        <w:t>-</w:t>
      </w:r>
      <w:r w:rsidRPr="006242ED">
        <w:rPr>
          <w:rFonts w:ascii="Arial" w:hAnsi="Arial" w:cs="Arial"/>
        </w:rPr>
        <w:t>₡</w:t>
      </w:r>
      <w:r w:rsidR="004A20E4">
        <w:t>814 007,52</w:t>
      </w:r>
      <w:r>
        <w:t xml:space="preserve"> </w:t>
      </w:r>
      <w:r w:rsidRPr="00161255">
        <w:t>miles, respectivamente.</w:t>
      </w:r>
      <w:r>
        <w:t xml:space="preserve"> Dichas disminuciones se vieron contrarrestadas en parte por los aumentos en “Servicios básicos”</w:t>
      </w:r>
      <w:r w:rsidRPr="003E2024">
        <w:t xml:space="preserve"> </w:t>
      </w:r>
      <w:r w:rsidRPr="006242ED">
        <w:rPr>
          <w:rFonts w:ascii="Arial" w:hAnsi="Arial" w:cs="Arial"/>
        </w:rPr>
        <w:t>₡</w:t>
      </w:r>
      <w:r w:rsidR="004A20E4">
        <w:t>881,47</w:t>
      </w:r>
      <w:r w:rsidRPr="003E2024">
        <w:t xml:space="preserve"> miles,</w:t>
      </w:r>
      <w:r>
        <w:t xml:space="preserve"> </w:t>
      </w:r>
      <w:r w:rsidR="00E317BB">
        <w:t>“</w:t>
      </w:r>
      <w:r w:rsidR="00E317BB" w:rsidRPr="009359A3">
        <w:t>Servicios de gestión y apoyo</w:t>
      </w:r>
      <w:r w:rsidR="00E317BB">
        <w:t xml:space="preserve">” </w:t>
      </w:r>
      <w:r w:rsidR="00E317BB" w:rsidRPr="00970B7A">
        <w:rPr>
          <w:rFonts w:ascii="Arial" w:hAnsi="Arial" w:cs="Arial"/>
        </w:rPr>
        <w:t>₡</w:t>
      </w:r>
      <w:r w:rsidR="00E317BB">
        <w:t>9 595,89</w:t>
      </w:r>
      <w:r w:rsidR="00E317BB" w:rsidRPr="008473A0">
        <w:t xml:space="preserve"> miles</w:t>
      </w:r>
      <w:r w:rsidR="004A20E4">
        <w:t>,</w:t>
      </w:r>
      <w:r w:rsidR="00E317BB">
        <w:t xml:space="preserve"> </w:t>
      </w:r>
      <w:r>
        <w:t>“</w:t>
      </w:r>
      <w:r w:rsidRPr="00970B7A">
        <w:t xml:space="preserve">Seguros, reaseguros y otras obligaciones” </w:t>
      </w:r>
      <w:r w:rsidRPr="00970B7A">
        <w:rPr>
          <w:rFonts w:ascii="Arial" w:hAnsi="Arial" w:cs="Arial"/>
        </w:rPr>
        <w:t>₡</w:t>
      </w:r>
      <w:r>
        <w:t>3</w:t>
      </w:r>
      <w:r w:rsidR="004A20E4">
        <w:t> 717,12</w:t>
      </w:r>
      <w:r>
        <w:t xml:space="preserve"> </w:t>
      </w:r>
      <w:r w:rsidRPr="00970B7A">
        <w:t xml:space="preserve">miles; </w:t>
      </w:r>
      <w:r>
        <w:t xml:space="preserve">y “Capacitación y protocolo </w:t>
      </w:r>
      <w:r w:rsidRPr="00970B7A">
        <w:rPr>
          <w:rFonts w:ascii="Arial" w:hAnsi="Arial" w:cs="Arial"/>
        </w:rPr>
        <w:t>₡</w:t>
      </w:r>
      <w:r>
        <w:t>10</w:t>
      </w:r>
      <w:r w:rsidRPr="008473A0">
        <w:t> </w:t>
      </w:r>
      <w:r>
        <w:t>860</w:t>
      </w:r>
      <w:r w:rsidRPr="008473A0">
        <w:t>,</w:t>
      </w:r>
      <w:r>
        <w:t>00</w:t>
      </w:r>
      <w:r w:rsidRPr="008473A0">
        <w:t xml:space="preserve"> miles</w:t>
      </w:r>
      <w:r>
        <w:t>.</w:t>
      </w:r>
    </w:p>
    <w:p w14:paraId="4C5A2D55" w14:textId="77777777" w:rsidR="00DF24BE" w:rsidRDefault="00DF24BE" w:rsidP="00DF24BE">
      <w:pPr>
        <w:spacing w:after="0" w:line="240" w:lineRule="auto"/>
      </w:pPr>
    </w:p>
    <w:p w14:paraId="3A8A0021" w14:textId="52C787E2" w:rsidR="00DF24BE" w:rsidRDefault="00DF24BE" w:rsidP="00DF24BE">
      <w:pPr>
        <w:spacing w:after="0" w:line="240" w:lineRule="auto"/>
      </w:pPr>
      <w:r>
        <w:t>En el siguiente detalle</w:t>
      </w:r>
      <w:r w:rsidRPr="00A91674">
        <w:t xml:space="preserve"> de </w:t>
      </w:r>
      <w:r>
        <w:t xml:space="preserve">consigna </w:t>
      </w:r>
      <w:r w:rsidRPr="00A91674">
        <w:t>cómo está compuesta</w:t>
      </w:r>
      <w:r>
        <w:t xml:space="preserve"> en detalle</w:t>
      </w:r>
      <w:r w:rsidRPr="00A91674">
        <w:t xml:space="preserve"> </w:t>
      </w:r>
      <w:r>
        <w:t>cada una de las sub</w:t>
      </w:r>
      <w:r w:rsidRPr="00A91674">
        <w:t>cuenta</w:t>
      </w:r>
      <w:r>
        <w:t xml:space="preserve">s que conformaban la cuenta de Servicios al </w:t>
      </w:r>
      <w:r w:rsidR="00796636">
        <w:t>31</w:t>
      </w:r>
      <w:r>
        <w:t xml:space="preserve"> de </w:t>
      </w:r>
      <w:r w:rsidR="00D64CF8">
        <w:t>diciembre</w:t>
      </w:r>
      <w:r>
        <w:t xml:space="preserve"> de 2024 y como está conformada la variación con respecto a </w:t>
      </w:r>
      <w:r w:rsidR="00D64CF8">
        <w:t>diciembre</w:t>
      </w:r>
      <w:r>
        <w:t xml:space="preserve"> 2023</w:t>
      </w:r>
      <w:r w:rsidRPr="00A91674">
        <w:t>:</w:t>
      </w:r>
    </w:p>
    <w:p w14:paraId="5B33BB31" w14:textId="77777777" w:rsidR="00DF24BE" w:rsidRDefault="00DF24BE" w:rsidP="00DF24BE">
      <w:pPr>
        <w:spacing w:after="0" w:line="240" w:lineRule="auto"/>
      </w:pPr>
    </w:p>
    <w:tbl>
      <w:tblPr>
        <w:tblW w:w="10920" w:type="dxa"/>
        <w:tblCellMar>
          <w:left w:w="70" w:type="dxa"/>
          <w:right w:w="70" w:type="dxa"/>
        </w:tblCellMar>
        <w:tblLook w:val="04A0" w:firstRow="1" w:lastRow="0" w:firstColumn="1" w:lastColumn="0" w:noHBand="0" w:noVBand="1"/>
      </w:tblPr>
      <w:tblGrid>
        <w:gridCol w:w="1263"/>
        <w:gridCol w:w="3247"/>
        <w:gridCol w:w="1328"/>
        <w:gridCol w:w="1918"/>
        <w:gridCol w:w="1558"/>
        <w:gridCol w:w="879"/>
        <w:gridCol w:w="1149"/>
      </w:tblGrid>
      <w:tr w:rsidR="00C81855" w:rsidRPr="00C81855" w14:paraId="25A74DE5" w14:textId="77777777" w:rsidTr="00061EFB">
        <w:trPr>
          <w:gridAfter w:val="1"/>
          <w:wAfter w:w="1149" w:type="dxa"/>
          <w:trHeight w:val="457"/>
        </w:trPr>
        <w:tc>
          <w:tcPr>
            <w:tcW w:w="1263" w:type="dxa"/>
            <w:vMerge w:val="restart"/>
            <w:tcBorders>
              <w:top w:val="single" w:sz="8" w:space="0" w:color="auto"/>
              <w:left w:val="single" w:sz="8" w:space="0" w:color="auto"/>
              <w:bottom w:val="single" w:sz="8" w:space="0" w:color="000000"/>
              <w:right w:val="single" w:sz="8" w:space="0" w:color="auto"/>
            </w:tcBorders>
            <w:shd w:val="clear" w:color="000000" w:fill="203764"/>
            <w:noWrap/>
            <w:vAlign w:val="center"/>
            <w:hideMark/>
          </w:tcPr>
          <w:p w14:paraId="0156D584" w14:textId="77777777" w:rsidR="00C81855" w:rsidRPr="00C81855" w:rsidRDefault="00C81855" w:rsidP="00C81855">
            <w:pPr>
              <w:spacing w:after="0" w:line="240" w:lineRule="auto"/>
              <w:jc w:val="center"/>
              <w:rPr>
                <w:rFonts w:eastAsia="Times New Roman" w:cs="Calibri"/>
                <w:b/>
                <w:bCs/>
                <w:color w:val="FFFFFF"/>
                <w:sz w:val="20"/>
                <w:szCs w:val="20"/>
                <w:lang w:eastAsia="es-CR"/>
              </w:rPr>
            </w:pPr>
            <w:r w:rsidRPr="00C81855">
              <w:rPr>
                <w:rFonts w:eastAsia="Times New Roman" w:cs="Calibri"/>
                <w:b/>
                <w:bCs/>
                <w:color w:val="FFFFFF"/>
                <w:sz w:val="20"/>
                <w:szCs w:val="20"/>
                <w:lang w:eastAsia="es-CR"/>
              </w:rPr>
              <w:t>Cuenta</w:t>
            </w:r>
          </w:p>
        </w:tc>
        <w:tc>
          <w:tcPr>
            <w:tcW w:w="3247" w:type="dxa"/>
            <w:vMerge w:val="restart"/>
            <w:tcBorders>
              <w:top w:val="single" w:sz="8" w:space="0" w:color="auto"/>
              <w:left w:val="single" w:sz="8" w:space="0" w:color="auto"/>
              <w:bottom w:val="single" w:sz="8" w:space="0" w:color="000000"/>
              <w:right w:val="single" w:sz="8" w:space="0" w:color="auto"/>
            </w:tcBorders>
            <w:shd w:val="clear" w:color="000000" w:fill="203764"/>
            <w:vAlign w:val="center"/>
            <w:hideMark/>
          </w:tcPr>
          <w:p w14:paraId="7B49E15F" w14:textId="77777777" w:rsidR="00C81855" w:rsidRPr="00C81855" w:rsidRDefault="00C81855" w:rsidP="00C81855">
            <w:pPr>
              <w:spacing w:after="0" w:line="240" w:lineRule="auto"/>
              <w:jc w:val="center"/>
              <w:rPr>
                <w:rFonts w:eastAsia="Times New Roman" w:cs="Calibri"/>
                <w:b/>
                <w:bCs/>
                <w:color w:val="FFFFFF"/>
                <w:sz w:val="20"/>
                <w:szCs w:val="20"/>
                <w:lang w:eastAsia="es-CR"/>
              </w:rPr>
            </w:pPr>
            <w:r w:rsidRPr="00C81855">
              <w:rPr>
                <w:rFonts w:eastAsia="Times New Roman" w:cs="Calibri"/>
                <w:b/>
                <w:bCs/>
                <w:color w:val="FFFFFF"/>
                <w:sz w:val="20"/>
                <w:szCs w:val="20"/>
                <w:lang w:eastAsia="es-CR"/>
              </w:rPr>
              <w:t>Descripción</w:t>
            </w:r>
          </w:p>
        </w:tc>
        <w:tc>
          <w:tcPr>
            <w:tcW w:w="1328" w:type="dxa"/>
            <w:vMerge w:val="restart"/>
            <w:tcBorders>
              <w:top w:val="single" w:sz="8" w:space="0" w:color="auto"/>
              <w:left w:val="single" w:sz="8" w:space="0" w:color="auto"/>
              <w:bottom w:val="single" w:sz="8" w:space="0" w:color="000000"/>
              <w:right w:val="single" w:sz="8" w:space="0" w:color="auto"/>
            </w:tcBorders>
            <w:shd w:val="clear" w:color="000000" w:fill="203764"/>
            <w:noWrap/>
            <w:vAlign w:val="center"/>
            <w:hideMark/>
          </w:tcPr>
          <w:p w14:paraId="5C57F119" w14:textId="77777777" w:rsidR="00C81855" w:rsidRPr="00C81855" w:rsidRDefault="00C81855" w:rsidP="00C81855">
            <w:pPr>
              <w:spacing w:after="0" w:line="240" w:lineRule="auto"/>
              <w:jc w:val="center"/>
              <w:rPr>
                <w:rFonts w:eastAsia="Times New Roman" w:cs="Calibri"/>
                <w:color w:val="FFFFFF"/>
                <w:sz w:val="20"/>
                <w:szCs w:val="20"/>
                <w:lang w:eastAsia="es-CR"/>
              </w:rPr>
            </w:pPr>
            <w:r w:rsidRPr="00C81855">
              <w:rPr>
                <w:rFonts w:eastAsia="Times New Roman" w:cs="Calibri"/>
                <w:color w:val="FFFFFF"/>
                <w:sz w:val="20"/>
                <w:szCs w:val="20"/>
                <w:lang w:eastAsia="es-CR"/>
              </w:rPr>
              <w:t>Saldo Actual</w:t>
            </w:r>
          </w:p>
        </w:tc>
        <w:tc>
          <w:tcPr>
            <w:tcW w:w="1918" w:type="dxa"/>
            <w:vMerge w:val="restart"/>
            <w:tcBorders>
              <w:top w:val="single" w:sz="8" w:space="0" w:color="auto"/>
              <w:left w:val="single" w:sz="8" w:space="0" w:color="auto"/>
              <w:bottom w:val="single" w:sz="8" w:space="0" w:color="000000"/>
              <w:right w:val="single" w:sz="8" w:space="0" w:color="auto"/>
            </w:tcBorders>
            <w:shd w:val="clear" w:color="000000" w:fill="203764"/>
            <w:vAlign w:val="center"/>
            <w:hideMark/>
          </w:tcPr>
          <w:p w14:paraId="34C92D91" w14:textId="77777777" w:rsidR="00C81855" w:rsidRPr="00C81855" w:rsidRDefault="00C81855" w:rsidP="00C81855">
            <w:pPr>
              <w:spacing w:after="0" w:line="240" w:lineRule="auto"/>
              <w:jc w:val="center"/>
              <w:rPr>
                <w:rFonts w:eastAsia="Times New Roman" w:cs="Calibri"/>
                <w:color w:val="FFFFFF"/>
                <w:sz w:val="20"/>
                <w:szCs w:val="20"/>
                <w:lang w:eastAsia="es-CR"/>
              </w:rPr>
            </w:pPr>
            <w:r w:rsidRPr="00C81855">
              <w:rPr>
                <w:rFonts w:eastAsia="Times New Roman" w:cs="Calibri"/>
                <w:color w:val="FFFFFF"/>
                <w:sz w:val="20"/>
                <w:szCs w:val="20"/>
                <w:lang w:eastAsia="es-CR"/>
              </w:rPr>
              <w:t>Saldo Anterior</w:t>
            </w:r>
          </w:p>
        </w:tc>
        <w:tc>
          <w:tcPr>
            <w:tcW w:w="1558" w:type="dxa"/>
            <w:vMerge w:val="restart"/>
            <w:tcBorders>
              <w:top w:val="single" w:sz="8" w:space="0" w:color="auto"/>
              <w:left w:val="single" w:sz="8" w:space="0" w:color="auto"/>
              <w:bottom w:val="nil"/>
              <w:right w:val="single" w:sz="8" w:space="0" w:color="auto"/>
            </w:tcBorders>
            <w:shd w:val="clear" w:color="000000" w:fill="203764"/>
            <w:vAlign w:val="center"/>
            <w:hideMark/>
          </w:tcPr>
          <w:p w14:paraId="24E5D338" w14:textId="77777777" w:rsidR="00C81855" w:rsidRPr="00C81855" w:rsidRDefault="00C81855" w:rsidP="00C81855">
            <w:pPr>
              <w:spacing w:after="0" w:line="240" w:lineRule="auto"/>
              <w:jc w:val="center"/>
              <w:rPr>
                <w:rFonts w:eastAsia="Times New Roman" w:cs="Calibri"/>
                <w:color w:val="FFFFFF"/>
                <w:sz w:val="20"/>
                <w:szCs w:val="20"/>
                <w:lang w:eastAsia="es-CR"/>
              </w:rPr>
            </w:pPr>
            <w:r w:rsidRPr="00C81855">
              <w:rPr>
                <w:rFonts w:eastAsia="Times New Roman" w:cs="Calibri"/>
                <w:color w:val="FFFFFF"/>
                <w:sz w:val="20"/>
                <w:szCs w:val="20"/>
                <w:lang w:eastAsia="es-CR"/>
              </w:rPr>
              <w:t>Diferencia Absoluta</w:t>
            </w:r>
          </w:p>
        </w:tc>
        <w:tc>
          <w:tcPr>
            <w:tcW w:w="457" w:type="dxa"/>
            <w:vMerge w:val="restart"/>
            <w:tcBorders>
              <w:top w:val="single" w:sz="8" w:space="0" w:color="auto"/>
              <w:left w:val="single" w:sz="8" w:space="0" w:color="auto"/>
              <w:bottom w:val="nil"/>
              <w:right w:val="single" w:sz="8" w:space="0" w:color="auto"/>
            </w:tcBorders>
            <w:shd w:val="clear" w:color="000000" w:fill="203764"/>
            <w:vAlign w:val="center"/>
            <w:hideMark/>
          </w:tcPr>
          <w:p w14:paraId="1FE4C005" w14:textId="77777777" w:rsidR="00C81855" w:rsidRPr="00C81855" w:rsidRDefault="00C81855" w:rsidP="00C81855">
            <w:pPr>
              <w:spacing w:after="0" w:line="240" w:lineRule="auto"/>
              <w:jc w:val="center"/>
              <w:rPr>
                <w:rFonts w:eastAsia="Times New Roman" w:cs="Calibri"/>
                <w:color w:val="FFFFFF"/>
                <w:sz w:val="20"/>
                <w:szCs w:val="20"/>
                <w:lang w:eastAsia="es-CR"/>
              </w:rPr>
            </w:pPr>
            <w:r w:rsidRPr="00C81855">
              <w:rPr>
                <w:rFonts w:eastAsia="Times New Roman" w:cs="Calibri"/>
                <w:color w:val="FFFFFF"/>
                <w:sz w:val="20"/>
                <w:szCs w:val="20"/>
                <w:lang w:eastAsia="es-CR"/>
              </w:rPr>
              <w:t>Diferencia %</w:t>
            </w:r>
          </w:p>
        </w:tc>
      </w:tr>
      <w:tr w:rsidR="00C81855" w:rsidRPr="00C81855" w14:paraId="458CA3F9" w14:textId="77777777" w:rsidTr="00061EFB">
        <w:trPr>
          <w:trHeight w:val="218"/>
        </w:trPr>
        <w:tc>
          <w:tcPr>
            <w:tcW w:w="1263" w:type="dxa"/>
            <w:vMerge/>
            <w:tcBorders>
              <w:top w:val="single" w:sz="8" w:space="0" w:color="auto"/>
              <w:left w:val="single" w:sz="8" w:space="0" w:color="auto"/>
              <w:bottom w:val="single" w:sz="8" w:space="0" w:color="000000"/>
              <w:right w:val="single" w:sz="8" w:space="0" w:color="auto"/>
            </w:tcBorders>
            <w:vAlign w:val="center"/>
            <w:hideMark/>
          </w:tcPr>
          <w:p w14:paraId="1E640802" w14:textId="77777777" w:rsidR="00C81855" w:rsidRPr="00C81855" w:rsidRDefault="00C81855" w:rsidP="00C81855">
            <w:pPr>
              <w:spacing w:after="0" w:line="240" w:lineRule="auto"/>
              <w:jc w:val="left"/>
              <w:rPr>
                <w:rFonts w:eastAsia="Times New Roman" w:cs="Calibri"/>
                <w:b/>
                <w:bCs/>
                <w:color w:val="FFFFFF"/>
                <w:sz w:val="20"/>
                <w:szCs w:val="20"/>
                <w:lang w:eastAsia="es-CR"/>
              </w:rPr>
            </w:pPr>
          </w:p>
        </w:tc>
        <w:tc>
          <w:tcPr>
            <w:tcW w:w="3247" w:type="dxa"/>
            <w:vMerge/>
            <w:tcBorders>
              <w:top w:val="single" w:sz="8" w:space="0" w:color="auto"/>
              <w:left w:val="single" w:sz="8" w:space="0" w:color="auto"/>
              <w:bottom w:val="single" w:sz="8" w:space="0" w:color="000000"/>
              <w:right w:val="single" w:sz="8" w:space="0" w:color="auto"/>
            </w:tcBorders>
            <w:vAlign w:val="center"/>
            <w:hideMark/>
          </w:tcPr>
          <w:p w14:paraId="7E9408F1" w14:textId="77777777" w:rsidR="00C81855" w:rsidRPr="00C81855" w:rsidRDefault="00C81855" w:rsidP="00C81855">
            <w:pPr>
              <w:spacing w:after="0" w:line="240" w:lineRule="auto"/>
              <w:jc w:val="left"/>
              <w:rPr>
                <w:rFonts w:eastAsia="Times New Roman" w:cs="Calibri"/>
                <w:b/>
                <w:bCs/>
                <w:color w:val="FFFFFF"/>
                <w:sz w:val="20"/>
                <w:szCs w:val="20"/>
                <w:lang w:eastAsia="es-CR"/>
              </w:rPr>
            </w:pPr>
          </w:p>
        </w:tc>
        <w:tc>
          <w:tcPr>
            <w:tcW w:w="1328" w:type="dxa"/>
            <w:vMerge/>
            <w:tcBorders>
              <w:top w:val="single" w:sz="8" w:space="0" w:color="auto"/>
              <w:left w:val="single" w:sz="8" w:space="0" w:color="auto"/>
              <w:bottom w:val="single" w:sz="8" w:space="0" w:color="000000"/>
              <w:right w:val="single" w:sz="8" w:space="0" w:color="auto"/>
            </w:tcBorders>
            <w:vAlign w:val="center"/>
            <w:hideMark/>
          </w:tcPr>
          <w:p w14:paraId="10280C0D" w14:textId="77777777" w:rsidR="00C81855" w:rsidRPr="00C81855" w:rsidRDefault="00C81855" w:rsidP="00C81855">
            <w:pPr>
              <w:spacing w:after="0" w:line="240" w:lineRule="auto"/>
              <w:jc w:val="left"/>
              <w:rPr>
                <w:rFonts w:eastAsia="Times New Roman" w:cs="Calibri"/>
                <w:color w:val="FFFFFF"/>
                <w:sz w:val="20"/>
                <w:szCs w:val="20"/>
                <w:lang w:eastAsia="es-CR"/>
              </w:rPr>
            </w:pPr>
          </w:p>
        </w:tc>
        <w:tc>
          <w:tcPr>
            <w:tcW w:w="1918" w:type="dxa"/>
            <w:vMerge/>
            <w:tcBorders>
              <w:top w:val="single" w:sz="8" w:space="0" w:color="auto"/>
              <w:left w:val="single" w:sz="8" w:space="0" w:color="auto"/>
              <w:bottom w:val="single" w:sz="8" w:space="0" w:color="000000"/>
              <w:right w:val="single" w:sz="8" w:space="0" w:color="auto"/>
            </w:tcBorders>
            <w:vAlign w:val="center"/>
            <w:hideMark/>
          </w:tcPr>
          <w:p w14:paraId="6B6303FF" w14:textId="77777777" w:rsidR="00C81855" w:rsidRPr="00C81855" w:rsidRDefault="00C81855" w:rsidP="00C81855">
            <w:pPr>
              <w:spacing w:after="0" w:line="240" w:lineRule="auto"/>
              <w:jc w:val="left"/>
              <w:rPr>
                <w:rFonts w:eastAsia="Times New Roman" w:cs="Calibri"/>
                <w:color w:val="FFFFFF"/>
                <w:sz w:val="20"/>
                <w:szCs w:val="20"/>
                <w:lang w:eastAsia="es-CR"/>
              </w:rPr>
            </w:pPr>
          </w:p>
        </w:tc>
        <w:tc>
          <w:tcPr>
            <w:tcW w:w="1558" w:type="dxa"/>
            <w:vMerge/>
            <w:tcBorders>
              <w:top w:val="single" w:sz="8" w:space="0" w:color="auto"/>
              <w:left w:val="single" w:sz="8" w:space="0" w:color="auto"/>
              <w:bottom w:val="nil"/>
              <w:right w:val="single" w:sz="8" w:space="0" w:color="auto"/>
            </w:tcBorders>
            <w:vAlign w:val="center"/>
            <w:hideMark/>
          </w:tcPr>
          <w:p w14:paraId="509D2D18" w14:textId="77777777" w:rsidR="00C81855" w:rsidRPr="00C81855" w:rsidRDefault="00C81855" w:rsidP="00C81855">
            <w:pPr>
              <w:spacing w:after="0" w:line="240" w:lineRule="auto"/>
              <w:jc w:val="left"/>
              <w:rPr>
                <w:rFonts w:eastAsia="Times New Roman" w:cs="Calibri"/>
                <w:color w:val="FFFFFF"/>
                <w:sz w:val="20"/>
                <w:szCs w:val="20"/>
                <w:lang w:eastAsia="es-CR"/>
              </w:rPr>
            </w:pPr>
          </w:p>
        </w:tc>
        <w:tc>
          <w:tcPr>
            <w:tcW w:w="457" w:type="dxa"/>
            <w:vMerge/>
            <w:tcBorders>
              <w:top w:val="single" w:sz="8" w:space="0" w:color="auto"/>
              <w:left w:val="single" w:sz="8" w:space="0" w:color="auto"/>
              <w:bottom w:val="nil"/>
              <w:right w:val="single" w:sz="8" w:space="0" w:color="auto"/>
            </w:tcBorders>
            <w:vAlign w:val="center"/>
            <w:hideMark/>
          </w:tcPr>
          <w:p w14:paraId="38D7DB71" w14:textId="77777777" w:rsidR="00C81855" w:rsidRPr="00C81855" w:rsidRDefault="00C81855" w:rsidP="00C81855">
            <w:pPr>
              <w:spacing w:after="0" w:line="240" w:lineRule="auto"/>
              <w:jc w:val="left"/>
              <w:rPr>
                <w:rFonts w:eastAsia="Times New Roman" w:cs="Calibri"/>
                <w:color w:val="FFFFFF"/>
                <w:sz w:val="20"/>
                <w:szCs w:val="20"/>
                <w:lang w:eastAsia="es-CR"/>
              </w:rPr>
            </w:pPr>
          </w:p>
        </w:tc>
        <w:tc>
          <w:tcPr>
            <w:tcW w:w="1149" w:type="dxa"/>
            <w:tcBorders>
              <w:top w:val="nil"/>
              <w:left w:val="nil"/>
              <w:bottom w:val="nil"/>
              <w:right w:val="nil"/>
            </w:tcBorders>
            <w:shd w:val="clear" w:color="auto" w:fill="auto"/>
            <w:noWrap/>
            <w:vAlign w:val="bottom"/>
            <w:hideMark/>
          </w:tcPr>
          <w:p w14:paraId="4C0A6334" w14:textId="77777777" w:rsidR="00C81855" w:rsidRPr="00C81855" w:rsidRDefault="00C81855" w:rsidP="00C81855">
            <w:pPr>
              <w:spacing w:after="0" w:line="240" w:lineRule="auto"/>
              <w:jc w:val="center"/>
              <w:rPr>
                <w:rFonts w:eastAsia="Times New Roman" w:cs="Calibri"/>
                <w:color w:val="FFFFFF"/>
                <w:sz w:val="20"/>
                <w:szCs w:val="20"/>
                <w:lang w:eastAsia="es-CR"/>
              </w:rPr>
            </w:pPr>
          </w:p>
        </w:tc>
      </w:tr>
      <w:tr w:rsidR="00C81855" w:rsidRPr="00C81855" w14:paraId="1D10C967" w14:textId="77777777" w:rsidTr="00061EFB">
        <w:trPr>
          <w:trHeight w:val="309"/>
        </w:trPr>
        <w:tc>
          <w:tcPr>
            <w:tcW w:w="1263" w:type="dxa"/>
            <w:tcBorders>
              <w:top w:val="nil"/>
              <w:left w:val="single" w:sz="8" w:space="0" w:color="auto"/>
              <w:bottom w:val="nil"/>
              <w:right w:val="single" w:sz="8" w:space="0" w:color="auto"/>
            </w:tcBorders>
            <w:shd w:val="clear" w:color="auto" w:fill="auto"/>
            <w:vAlign w:val="center"/>
            <w:hideMark/>
          </w:tcPr>
          <w:p w14:paraId="3F7B5861" w14:textId="77777777" w:rsidR="00C81855" w:rsidRPr="00C81855" w:rsidRDefault="00C81855" w:rsidP="00C81855">
            <w:pPr>
              <w:spacing w:after="0" w:line="240" w:lineRule="auto"/>
              <w:rPr>
                <w:rFonts w:eastAsia="Times New Roman" w:cs="Calibri"/>
                <w:b/>
                <w:bCs/>
                <w:color w:val="000000"/>
                <w:sz w:val="20"/>
                <w:szCs w:val="20"/>
                <w:lang w:eastAsia="es-CR"/>
              </w:rPr>
            </w:pPr>
            <w:r w:rsidRPr="00C81855">
              <w:rPr>
                <w:rFonts w:eastAsia="Times New Roman" w:cs="Calibri"/>
                <w:b/>
                <w:bCs/>
                <w:color w:val="000000"/>
                <w:sz w:val="20"/>
                <w:szCs w:val="20"/>
                <w:lang w:eastAsia="es-CR"/>
              </w:rPr>
              <w:t>5.1.2.01.</w:t>
            </w:r>
          </w:p>
        </w:tc>
        <w:tc>
          <w:tcPr>
            <w:tcW w:w="3247" w:type="dxa"/>
            <w:tcBorders>
              <w:top w:val="nil"/>
              <w:left w:val="nil"/>
              <w:bottom w:val="nil"/>
              <w:right w:val="single" w:sz="8" w:space="0" w:color="auto"/>
            </w:tcBorders>
            <w:shd w:val="clear" w:color="auto" w:fill="auto"/>
            <w:vAlign w:val="center"/>
            <w:hideMark/>
          </w:tcPr>
          <w:p w14:paraId="79FA61AB" w14:textId="77777777" w:rsidR="00C81855" w:rsidRPr="00C81855" w:rsidRDefault="00C81855" w:rsidP="00C81855">
            <w:pPr>
              <w:spacing w:after="0" w:line="240" w:lineRule="auto"/>
              <w:rPr>
                <w:rFonts w:eastAsia="Times New Roman" w:cs="Calibri"/>
                <w:b/>
                <w:bCs/>
                <w:color w:val="000000"/>
                <w:sz w:val="20"/>
                <w:szCs w:val="20"/>
                <w:lang w:eastAsia="es-CR"/>
              </w:rPr>
            </w:pPr>
            <w:r w:rsidRPr="00C81855">
              <w:rPr>
                <w:rFonts w:eastAsia="Times New Roman" w:cs="Calibri"/>
                <w:b/>
                <w:bCs/>
                <w:color w:val="000000"/>
                <w:sz w:val="20"/>
                <w:szCs w:val="20"/>
                <w:lang w:eastAsia="es-CR"/>
              </w:rPr>
              <w:t>Alquileres y derechos sobre bienes</w:t>
            </w:r>
          </w:p>
        </w:tc>
        <w:tc>
          <w:tcPr>
            <w:tcW w:w="1328" w:type="dxa"/>
            <w:tcBorders>
              <w:top w:val="nil"/>
              <w:left w:val="nil"/>
              <w:bottom w:val="single" w:sz="8" w:space="0" w:color="auto"/>
              <w:right w:val="single" w:sz="8" w:space="0" w:color="auto"/>
            </w:tcBorders>
            <w:shd w:val="clear" w:color="auto" w:fill="auto"/>
            <w:noWrap/>
            <w:vAlign w:val="bottom"/>
            <w:hideMark/>
          </w:tcPr>
          <w:p w14:paraId="1581D48F" w14:textId="77777777" w:rsidR="00C81855" w:rsidRPr="00C81855" w:rsidRDefault="00C81855" w:rsidP="00C81855">
            <w:pPr>
              <w:spacing w:after="0" w:line="240" w:lineRule="auto"/>
              <w:jc w:val="right"/>
              <w:rPr>
                <w:rFonts w:eastAsia="Times New Roman" w:cs="Calibri"/>
                <w:b/>
                <w:bCs/>
                <w:color w:val="000000"/>
                <w:sz w:val="20"/>
                <w:szCs w:val="20"/>
                <w:lang w:eastAsia="es-CR"/>
              </w:rPr>
            </w:pPr>
            <w:r w:rsidRPr="00C81855">
              <w:rPr>
                <w:rFonts w:ascii="Arial" w:eastAsia="Times New Roman" w:hAnsi="Arial" w:cs="Arial"/>
                <w:b/>
                <w:bCs/>
                <w:color w:val="000000"/>
                <w:sz w:val="20"/>
                <w:szCs w:val="20"/>
                <w:lang w:eastAsia="es-CR"/>
              </w:rPr>
              <w:t>₡</w:t>
            </w:r>
            <w:r w:rsidRPr="00C81855">
              <w:rPr>
                <w:rFonts w:eastAsia="Times New Roman" w:cs="Calibri"/>
                <w:b/>
                <w:bCs/>
                <w:color w:val="000000"/>
                <w:sz w:val="20"/>
                <w:szCs w:val="20"/>
                <w:lang w:eastAsia="es-CR"/>
              </w:rPr>
              <w:t>86 512,64</w:t>
            </w:r>
          </w:p>
        </w:tc>
        <w:tc>
          <w:tcPr>
            <w:tcW w:w="1918" w:type="dxa"/>
            <w:tcBorders>
              <w:top w:val="nil"/>
              <w:left w:val="nil"/>
              <w:bottom w:val="single" w:sz="8" w:space="0" w:color="auto"/>
              <w:right w:val="single" w:sz="8" w:space="0" w:color="auto"/>
            </w:tcBorders>
            <w:shd w:val="clear" w:color="auto" w:fill="auto"/>
            <w:noWrap/>
            <w:vAlign w:val="bottom"/>
            <w:hideMark/>
          </w:tcPr>
          <w:p w14:paraId="30C43A1B" w14:textId="77777777" w:rsidR="00C81855" w:rsidRPr="00C81855" w:rsidRDefault="00C81855" w:rsidP="00C81855">
            <w:pPr>
              <w:spacing w:after="0" w:line="240" w:lineRule="auto"/>
              <w:jc w:val="right"/>
              <w:rPr>
                <w:rFonts w:eastAsia="Times New Roman" w:cs="Calibri"/>
                <w:b/>
                <w:bCs/>
                <w:color w:val="000000"/>
                <w:sz w:val="20"/>
                <w:szCs w:val="20"/>
                <w:lang w:eastAsia="es-CR"/>
              </w:rPr>
            </w:pPr>
            <w:r w:rsidRPr="00C81855">
              <w:rPr>
                <w:rFonts w:ascii="Arial" w:eastAsia="Times New Roman" w:hAnsi="Arial" w:cs="Arial"/>
                <w:b/>
                <w:bCs/>
                <w:color w:val="000000"/>
                <w:sz w:val="20"/>
                <w:szCs w:val="20"/>
                <w:lang w:eastAsia="es-CR"/>
              </w:rPr>
              <w:t>₡</w:t>
            </w:r>
            <w:r w:rsidRPr="00C81855">
              <w:rPr>
                <w:rFonts w:eastAsia="Times New Roman" w:cs="Calibri"/>
                <w:b/>
                <w:bCs/>
                <w:color w:val="000000"/>
                <w:sz w:val="20"/>
                <w:szCs w:val="20"/>
                <w:lang w:eastAsia="es-CR"/>
              </w:rPr>
              <w:t>177 278,18</w:t>
            </w:r>
          </w:p>
        </w:tc>
        <w:tc>
          <w:tcPr>
            <w:tcW w:w="1558" w:type="dxa"/>
            <w:tcBorders>
              <w:top w:val="single" w:sz="8" w:space="0" w:color="auto"/>
              <w:left w:val="nil"/>
              <w:bottom w:val="single" w:sz="8" w:space="0" w:color="auto"/>
              <w:right w:val="single" w:sz="8" w:space="0" w:color="auto"/>
            </w:tcBorders>
            <w:shd w:val="clear" w:color="auto" w:fill="auto"/>
            <w:noWrap/>
            <w:vAlign w:val="bottom"/>
            <w:hideMark/>
          </w:tcPr>
          <w:p w14:paraId="72F5F493" w14:textId="77777777" w:rsidR="00C81855" w:rsidRPr="00C81855" w:rsidRDefault="00C81855" w:rsidP="00C81855">
            <w:pPr>
              <w:spacing w:after="0" w:line="240" w:lineRule="auto"/>
              <w:jc w:val="right"/>
              <w:rPr>
                <w:rFonts w:eastAsia="Times New Roman" w:cs="Calibri"/>
                <w:b/>
                <w:bCs/>
                <w:color w:val="000000"/>
                <w:sz w:val="20"/>
                <w:szCs w:val="20"/>
                <w:lang w:eastAsia="es-CR"/>
              </w:rPr>
            </w:pPr>
            <w:r w:rsidRPr="00C81855">
              <w:rPr>
                <w:rFonts w:eastAsia="Times New Roman" w:cs="Calibri"/>
                <w:b/>
                <w:bCs/>
                <w:color w:val="000000"/>
                <w:sz w:val="20"/>
                <w:szCs w:val="20"/>
                <w:lang w:eastAsia="es-CR"/>
              </w:rPr>
              <w:t>-</w:t>
            </w:r>
            <w:r w:rsidRPr="00C81855">
              <w:rPr>
                <w:rFonts w:ascii="Arial" w:eastAsia="Times New Roman" w:hAnsi="Arial" w:cs="Arial"/>
                <w:b/>
                <w:bCs/>
                <w:color w:val="000000"/>
                <w:sz w:val="20"/>
                <w:szCs w:val="20"/>
                <w:lang w:eastAsia="es-CR"/>
              </w:rPr>
              <w:t>₡</w:t>
            </w:r>
            <w:r w:rsidRPr="00C81855">
              <w:rPr>
                <w:rFonts w:eastAsia="Times New Roman" w:cs="Calibri"/>
                <w:b/>
                <w:bCs/>
                <w:color w:val="000000"/>
                <w:sz w:val="20"/>
                <w:szCs w:val="20"/>
                <w:lang w:eastAsia="es-CR"/>
              </w:rPr>
              <w:t>90 765,54</w:t>
            </w:r>
          </w:p>
        </w:tc>
        <w:tc>
          <w:tcPr>
            <w:tcW w:w="457" w:type="dxa"/>
            <w:tcBorders>
              <w:top w:val="single" w:sz="8" w:space="0" w:color="auto"/>
              <w:left w:val="nil"/>
              <w:bottom w:val="single" w:sz="8" w:space="0" w:color="auto"/>
              <w:right w:val="single" w:sz="8" w:space="0" w:color="auto"/>
            </w:tcBorders>
            <w:shd w:val="clear" w:color="auto" w:fill="auto"/>
            <w:vAlign w:val="center"/>
            <w:hideMark/>
          </w:tcPr>
          <w:p w14:paraId="60B49247" w14:textId="77777777" w:rsidR="00C81855" w:rsidRPr="00C81855" w:rsidRDefault="00C81855" w:rsidP="00C81855">
            <w:pPr>
              <w:spacing w:after="0" w:line="240" w:lineRule="auto"/>
              <w:jc w:val="center"/>
              <w:rPr>
                <w:rFonts w:eastAsia="Times New Roman" w:cs="Calibri"/>
                <w:b/>
                <w:bCs/>
                <w:color w:val="000000"/>
                <w:sz w:val="20"/>
                <w:szCs w:val="20"/>
                <w:lang w:eastAsia="es-CR"/>
              </w:rPr>
            </w:pPr>
            <w:r w:rsidRPr="00C81855">
              <w:rPr>
                <w:rFonts w:eastAsia="Times New Roman" w:cs="Calibri"/>
                <w:b/>
                <w:bCs/>
                <w:color w:val="000000"/>
                <w:sz w:val="20"/>
                <w:szCs w:val="20"/>
                <w:lang w:eastAsia="es-CR"/>
              </w:rPr>
              <w:t>-51,20%</w:t>
            </w:r>
          </w:p>
        </w:tc>
        <w:tc>
          <w:tcPr>
            <w:tcW w:w="1149" w:type="dxa"/>
            <w:vAlign w:val="center"/>
            <w:hideMark/>
          </w:tcPr>
          <w:p w14:paraId="0A5C96C5" w14:textId="77777777" w:rsidR="00C81855" w:rsidRPr="00C81855" w:rsidRDefault="00C81855" w:rsidP="00C81855">
            <w:pPr>
              <w:spacing w:after="0" w:line="240" w:lineRule="auto"/>
              <w:jc w:val="left"/>
              <w:rPr>
                <w:rFonts w:ascii="Times New Roman" w:eastAsia="Times New Roman" w:hAnsi="Times New Roman" w:cs="Times New Roman"/>
                <w:sz w:val="20"/>
                <w:szCs w:val="20"/>
                <w:lang w:eastAsia="es-CR"/>
              </w:rPr>
            </w:pPr>
          </w:p>
        </w:tc>
      </w:tr>
      <w:tr w:rsidR="00C81855" w:rsidRPr="00C81855" w14:paraId="00CF6016" w14:textId="77777777" w:rsidTr="00061EFB">
        <w:trPr>
          <w:trHeight w:val="294"/>
        </w:trPr>
        <w:tc>
          <w:tcPr>
            <w:tcW w:w="1263" w:type="dxa"/>
            <w:tcBorders>
              <w:top w:val="nil"/>
              <w:left w:val="single" w:sz="8" w:space="0" w:color="auto"/>
              <w:bottom w:val="nil"/>
              <w:right w:val="single" w:sz="8" w:space="0" w:color="auto"/>
            </w:tcBorders>
            <w:shd w:val="clear" w:color="auto" w:fill="auto"/>
            <w:noWrap/>
            <w:vAlign w:val="bottom"/>
            <w:hideMark/>
          </w:tcPr>
          <w:p w14:paraId="280B32FC" w14:textId="77777777" w:rsidR="00C81855" w:rsidRPr="00C81855" w:rsidRDefault="00C81855" w:rsidP="00C81855">
            <w:pPr>
              <w:spacing w:after="0" w:line="240" w:lineRule="auto"/>
              <w:jc w:val="left"/>
              <w:rPr>
                <w:rFonts w:eastAsia="Times New Roman" w:cs="Calibri"/>
                <w:color w:val="000000"/>
                <w:sz w:val="20"/>
                <w:szCs w:val="20"/>
                <w:lang w:eastAsia="es-CR"/>
              </w:rPr>
            </w:pPr>
            <w:r w:rsidRPr="00C81855">
              <w:rPr>
                <w:rFonts w:eastAsia="Times New Roman" w:cs="Calibri"/>
                <w:color w:val="000000"/>
                <w:sz w:val="20"/>
                <w:szCs w:val="20"/>
                <w:lang w:eastAsia="es-CR"/>
              </w:rPr>
              <w:t>5.1.2.01.01.</w:t>
            </w:r>
          </w:p>
        </w:tc>
        <w:tc>
          <w:tcPr>
            <w:tcW w:w="3247" w:type="dxa"/>
            <w:tcBorders>
              <w:top w:val="nil"/>
              <w:left w:val="nil"/>
              <w:bottom w:val="nil"/>
              <w:right w:val="single" w:sz="8" w:space="0" w:color="auto"/>
            </w:tcBorders>
            <w:shd w:val="clear" w:color="auto" w:fill="auto"/>
            <w:noWrap/>
            <w:vAlign w:val="bottom"/>
            <w:hideMark/>
          </w:tcPr>
          <w:p w14:paraId="50AFBAB9" w14:textId="77777777" w:rsidR="00C81855" w:rsidRPr="00C81855" w:rsidRDefault="00C81855" w:rsidP="00C81855">
            <w:pPr>
              <w:spacing w:after="0" w:line="240" w:lineRule="auto"/>
              <w:jc w:val="left"/>
              <w:rPr>
                <w:rFonts w:eastAsia="Times New Roman" w:cs="Calibri"/>
                <w:color w:val="000000"/>
                <w:sz w:val="20"/>
                <w:szCs w:val="20"/>
                <w:lang w:eastAsia="es-CR"/>
              </w:rPr>
            </w:pPr>
            <w:r w:rsidRPr="00C81855">
              <w:rPr>
                <w:rFonts w:eastAsia="Times New Roman" w:cs="Calibri"/>
                <w:color w:val="000000"/>
                <w:sz w:val="20"/>
                <w:szCs w:val="20"/>
                <w:lang w:eastAsia="es-CR"/>
              </w:rPr>
              <w:t>Alquiler de terrenos, edificios y locales</w:t>
            </w:r>
          </w:p>
        </w:tc>
        <w:tc>
          <w:tcPr>
            <w:tcW w:w="1328" w:type="dxa"/>
            <w:tcBorders>
              <w:top w:val="nil"/>
              <w:left w:val="nil"/>
              <w:bottom w:val="nil"/>
              <w:right w:val="single" w:sz="8" w:space="0" w:color="auto"/>
            </w:tcBorders>
            <w:shd w:val="clear" w:color="auto" w:fill="auto"/>
            <w:noWrap/>
            <w:vAlign w:val="center"/>
            <w:hideMark/>
          </w:tcPr>
          <w:p w14:paraId="009B287F" w14:textId="77777777" w:rsidR="00C81855" w:rsidRPr="00C81855" w:rsidRDefault="00C81855" w:rsidP="00C81855">
            <w:pPr>
              <w:spacing w:after="0" w:line="240" w:lineRule="auto"/>
              <w:jc w:val="right"/>
              <w:rPr>
                <w:rFonts w:eastAsia="Times New Roman" w:cs="Calibri"/>
                <w:sz w:val="20"/>
                <w:szCs w:val="20"/>
                <w:lang w:eastAsia="es-CR"/>
              </w:rPr>
            </w:pPr>
            <w:r w:rsidRPr="00C81855">
              <w:rPr>
                <w:rFonts w:ascii="Arial" w:eastAsia="Times New Roman" w:hAnsi="Arial" w:cs="Arial"/>
                <w:sz w:val="20"/>
                <w:szCs w:val="20"/>
                <w:lang w:eastAsia="es-CR"/>
              </w:rPr>
              <w:t>₡</w:t>
            </w:r>
            <w:r w:rsidRPr="00C81855">
              <w:rPr>
                <w:rFonts w:eastAsia="Times New Roman" w:cs="Calibri"/>
                <w:sz w:val="20"/>
                <w:szCs w:val="20"/>
                <w:lang w:eastAsia="es-CR"/>
              </w:rPr>
              <w:t>14 400,00</w:t>
            </w:r>
          </w:p>
        </w:tc>
        <w:tc>
          <w:tcPr>
            <w:tcW w:w="1918" w:type="dxa"/>
            <w:tcBorders>
              <w:top w:val="nil"/>
              <w:left w:val="nil"/>
              <w:bottom w:val="nil"/>
              <w:right w:val="single" w:sz="8" w:space="0" w:color="auto"/>
            </w:tcBorders>
            <w:shd w:val="clear" w:color="auto" w:fill="auto"/>
            <w:noWrap/>
            <w:vAlign w:val="center"/>
            <w:hideMark/>
          </w:tcPr>
          <w:p w14:paraId="5B6D4915" w14:textId="77777777" w:rsidR="00C81855" w:rsidRPr="00C81855" w:rsidRDefault="00C81855" w:rsidP="00C81855">
            <w:pPr>
              <w:spacing w:after="0" w:line="240" w:lineRule="auto"/>
              <w:jc w:val="right"/>
              <w:rPr>
                <w:rFonts w:eastAsia="Times New Roman" w:cs="Calibri"/>
                <w:sz w:val="20"/>
                <w:szCs w:val="20"/>
                <w:lang w:eastAsia="es-CR"/>
              </w:rPr>
            </w:pPr>
            <w:r w:rsidRPr="00C81855">
              <w:rPr>
                <w:rFonts w:ascii="Arial" w:eastAsia="Times New Roman" w:hAnsi="Arial" w:cs="Arial"/>
                <w:sz w:val="20"/>
                <w:szCs w:val="20"/>
                <w:lang w:eastAsia="es-CR"/>
              </w:rPr>
              <w:t>₡</w:t>
            </w:r>
            <w:r w:rsidRPr="00C81855">
              <w:rPr>
                <w:rFonts w:eastAsia="Times New Roman" w:cs="Calibri"/>
                <w:sz w:val="20"/>
                <w:szCs w:val="20"/>
                <w:lang w:eastAsia="es-CR"/>
              </w:rPr>
              <w:t>14 400,00</w:t>
            </w:r>
          </w:p>
        </w:tc>
        <w:tc>
          <w:tcPr>
            <w:tcW w:w="1558" w:type="dxa"/>
            <w:tcBorders>
              <w:top w:val="nil"/>
              <w:left w:val="nil"/>
              <w:bottom w:val="nil"/>
              <w:right w:val="single" w:sz="8" w:space="0" w:color="auto"/>
            </w:tcBorders>
            <w:shd w:val="clear" w:color="auto" w:fill="auto"/>
            <w:noWrap/>
            <w:vAlign w:val="center"/>
            <w:hideMark/>
          </w:tcPr>
          <w:p w14:paraId="0A998645" w14:textId="77777777" w:rsidR="00C81855" w:rsidRPr="00C81855" w:rsidRDefault="00C81855" w:rsidP="00C81855">
            <w:pPr>
              <w:spacing w:after="0" w:line="240" w:lineRule="auto"/>
              <w:jc w:val="right"/>
              <w:rPr>
                <w:rFonts w:eastAsia="Times New Roman" w:cs="Calibri"/>
                <w:color w:val="000000"/>
                <w:sz w:val="20"/>
                <w:szCs w:val="20"/>
                <w:lang w:eastAsia="es-CR"/>
              </w:rPr>
            </w:pPr>
            <w:r w:rsidRPr="00C81855">
              <w:rPr>
                <w:rFonts w:eastAsia="Times New Roman" w:cs="Calibri"/>
                <w:color w:val="000000"/>
                <w:sz w:val="20"/>
                <w:szCs w:val="20"/>
                <w:lang w:eastAsia="es-CR"/>
              </w:rPr>
              <w:t>0,00</w:t>
            </w:r>
          </w:p>
        </w:tc>
        <w:tc>
          <w:tcPr>
            <w:tcW w:w="457" w:type="dxa"/>
            <w:tcBorders>
              <w:top w:val="nil"/>
              <w:left w:val="nil"/>
              <w:bottom w:val="nil"/>
              <w:right w:val="single" w:sz="8" w:space="0" w:color="auto"/>
            </w:tcBorders>
            <w:shd w:val="clear" w:color="auto" w:fill="auto"/>
            <w:vAlign w:val="center"/>
            <w:hideMark/>
          </w:tcPr>
          <w:p w14:paraId="3EC0C9A0" w14:textId="77777777" w:rsidR="00C81855" w:rsidRPr="00C81855" w:rsidRDefault="00C81855" w:rsidP="00C81855">
            <w:pPr>
              <w:spacing w:after="0" w:line="240" w:lineRule="auto"/>
              <w:jc w:val="center"/>
              <w:rPr>
                <w:rFonts w:eastAsia="Times New Roman" w:cs="Calibri"/>
                <w:color w:val="000000"/>
                <w:sz w:val="20"/>
                <w:szCs w:val="20"/>
                <w:lang w:eastAsia="es-CR"/>
              </w:rPr>
            </w:pPr>
            <w:r w:rsidRPr="00C81855">
              <w:rPr>
                <w:rFonts w:eastAsia="Times New Roman" w:cs="Calibri"/>
                <w:color w:val="000000"/>
                <w:sz w:val="20"/>
                <w:szCs w:val="20"/>
                <w:lang w:eastAsia="es-CR"/>
              </w:rPr>
              <w:t>0,00%</w:t>
            </w:r>
          </w:p>
        </w:tc>
        <w:tc>
          <w:tcPr>
            <w:tcW w:w="1149" w:type="dxa"/>
            <w:vAlign w:val="center"/>
            <w:hideMark/>
          </w:tcPr>
          <w:p w14:paraId="0503E0B0" w14:textId="77777777" w:rsidR="00C81855" w:rsidRPr="00C81855" w:rsidRDefault="00C81855" w:rsidP="00C81855">
            <w:pPr>
              <w:spacing w:after="0" w:line="240" w:lineRule="auto"/>
              <w:jc w:val="left"/>
              <w:rPr>
                <w:rFonts w:ascii="Times New Roman" w:eastAsia="Times New Roman" w:hAnsi="Times New Roman" w:cs="Times New Roman"/>
                <w:sz w:val="20"/>
                <w:szCs w:val="20"/>
                <w:lang w:eastAsia="es-CR"/>
              </w:rPr>
            </w:pPr>
          </w:p>
        </w:tc>
      </w:tr>
      <w:tr w:rsidR="00C81855" w:rsidRPr="00C81855" w14:paraId="4B73A045" w14:textId="77777777" w:rsidTr="00061EFB">
        <w:trPr>
          <w:trHeight w:val="514"/>
        </w:trPr>
        <w:tc>
          <w:tcPr>
            <w:tcW w:w="1263" w:type="dxa"/>
            <w:tcBorders>
              <w:top w:val="nil"/>
              <w:left w:val="single" w:sz="8" w:space="0" w:color="auto"/>
              <w:bottom w:val="nil"/>
              <w:right w:val="single" w:sz="8" w:space="0" w:color="auto"/>
            </w:tcBorders>
            <w:shd w:val="clear" w:color="auto" w:fill="auto"/>
            <w:noWrap/>
            <w:vAlign w:val="bottom"/>
            <w:hideMark/>
          </w:tcPr>
          <w:p w14:paraId="2EA5DC8C" w14:textId="77777777" w:rsidR="00C81855" w:rsidRPr="00C81855" w:rsidRDefault="00C81855" w:rsidP="00C81855">
            <w:pPr>
              <w:spacing w:after="0" w:line="240" w:lineRule="auto"/>
              <w:jc w:val="left"/>
              <w:rPr>
                <w:rFonts w:eastAsia="Times New Roman" w:cs="Calibri"/>
                <w:color w:val="000000"/>
                <w:sz w:val="20"/>
                <w:szCs w:val="20"/>
                <w:lang w:eastAsia="es-CR"/>
              </w:rPr>
            </w:pPr>
            <w:r w:rsidRPr="00C81855">
              <w:rPr>
                <w:rFonts w:eastAsia="Times New Roman" w:cs="Calibri"/>
                <w:color w:val="000000"/>
                <w:sz w:val="20"/>
                <w:szCs w:val="20"/>
                <w:lang w:eastAsia="es-CR"/>
              </w:rPr>
              <w:t>5.1.2.01.02.</w:t>
            </w:r>
          </w:p>
        </w:tc>
        <w:tc>
          <w:tcPr>
            <w:tcW w:w="3247" w:type="dxa"/>
            <w:tcBorders>
              <w:top w:val="nil"/>
              <w:left w:val="nil"/>
              <w:bottom w:val="nil"/>
              <w:right w:val="single" w:sz="8" w:space="0" w:color="auto"/>
            </w:tcBorders>
            <w:shd w:val="clear" w:color="auto" w:fill="auto"/>
            <w:vAlign w:val="bottom"/>
            <w:hideMark/>
          </w:tcPr>
          <w:p w14:paraId="2C0AB550" w14:textId="77777777" w:rsidR="00C81855" w:rsidRPr="00C81855" w:rsidRDefault="00C81855" w:rsidP="00C81855">
            <w:pPr>
              <w:spacing w:after="0" w:line="240" w:lineRule="auto"/>
              <w:jc w:val="left"/>
              <w:rPr>
                <w:rFonts w:eastAsia="Times New Roman" w:cs="Calibri"/>
                <w:color w:val="000000"/>
                <w:sz w:val="20"/>
                <w:szCs w:val="20"/>
                <w:lang w:eastAsia="es-CR"/>
              </w:rPr>
            </w:pPr>
            <w:r w:rsidRPr="00C81855">
              <w:rPr>
                <w:rFonts w:eastAsia="Times New Roman" w:cs="Calibri"/>
                <w:color w:val="000000"/>
                <w:sz w:val="20"/>
                <w:szCs w:val="20"/>
                <w:lang w:eastAsia="es-CR"/>
              </w:rPr>
              <w:t>Alquiler de maquinarias, equipos y mobiliario</w:t>
            </w:r>
          </w:p>
        </w:tc>
        <w:tc>
          <w:tcPr>
            <w:tcW w:w="1328" w:type="dxa"/>
            <w:tcBorders>
              <w:top w:val="nil"/>
              <w:left w:val="nil"/>
              <w:bottom w:val="nil"/>
              <w:right w:val="single" w:sz="8" w:space="0" w:color="auto"/>
            </w:tcBorders>
            <w:shd w:val="clear" w:color="auto" w:fill="auto"/>
            <w:noWrap/>
            <w:vAlign w:val="center"/>
            <w:hideMark/>
          </w:tcPr>
          <w:p w14:paraId="31DA83DC" w14:textId="77777777" w:rsidR="00C81855" w:rsidRPr="00C81855" w:rsidRDefault="00C81855" w:rsidP="00C81855">
            <w:pPr>
              <w:spacing w:after="0" w:line="240" w:lineRule="auto"/>
              <w:jc w:val="right"/>
              <w:rPr>
                <w:rFonts w:eastAsia="Times New Roman" w:cs="Calibri"/>
                <w:sz w:val="20"/>
                <w:szCs w:val="20"/>
                <w:lang w:eastAsia="es-CR"/>
              </w:rPr>
            </w:pPr>
            <w:r w:rsidRPr="00C81855">
              <w:rPr>
                <w:rFonts w:ascii="Arial" w:eastAsia="Times New Roman" w:hAnsi="Arial" w:cs="Arial"/>
                <w:sz w:val="20"/>
                <w:szCs w:val="20"/>
                <w:lang w:eastAsia="es-CR"/>
              </w:rPr>
              <w:t>₡</w:t>
            </w:r>
            <w:r w:rsidRPr="00C81855">
              <w:rPr>
                <w:rFonts w:eastAsia="Times New Roman" w:cs="Calibri"/>
                <w:sz w:val="20"/>
                <w:szCs w:val="20"/>
                <w:lang w:eastAsia="es-CR"/>
              </w:rPr>
              <w:t>70 424,44</w:t>
            </w:r>
          </w:p>
        </w:tc>
        <w:tc>
          <w:tcPr>
            <w:tcW w:w="1918" w:type="dxa"/>
            <w:tcBorders>
              <w:top w:val="nil"/>
              <w:left w:val="nil"/>
              <w:bottom w:val="nil"/>
              <w:right w:val="single" w:sz="8" w:space="0" w:color="auto"/>
            </w:tcBorders>
            <w:shd w:val="clear" w:color="auto" w:fill="auto"/>
            <w:noWrap/>
            <w:vAlign w:val="center"/>
            <w:hideMark/>
          </w:tcPr>
          <w:p w14:paraId="27015D30" w14:textId="77777777" w:rsidR="00C81855" w:rsidRPr="00C81855" w:rsidRDefault="00C81855" w:rsidP="00C81855">
            <w:pPr>
              <w:spacing w:after="0" w:line="240" w:lineRule="auto"/>
              <w:jc w:val="right"/>
              <w:rPr>
                <w:rFonts w:eastAsia="Times New Roman" w:cs="Calibri"/>
                <w:sz w:val="20"/>
                <w:szCs w:val="20"/>
                <w:lang w:eastAsia="es-CR"/>
              </w:rPr>
            </w:pPr>
            <w:r w:rsidRPr="00C81855">
              <w:rPr>
                <w:rFonts w:ascii="Arial" w:eastAsia="Times New Roman" w:hAnsi="Arial" w:cs="Arial"/>
                <w:sz w:val="20"/>
                <w:szCs w:val="20"/>
                <w:lang w:eastAsia="es-CR"/>
              </w:rPr>
              <w:t>₡</w:t>
            </w:r>
            <w:r w:rsidRPr="00C81855">
              <w:rPr>
                <w:rFonts w:eastAsia="Times New Roman" w:cs="Calibri"/>
                <w:sz w:val="20"/>
                <w:szCs w:val="20"/>
                <w:lang w:eastAsia="es-CR"/>
              </w:rPr>
              <w:t>162 878,18</w:t>
            </w:r>
          </w:p>
        </w:tc>
        <w:tc>
          <w:tcPr>
            <w:tcW w:w="1558" w:type="dxa"/>
            <w:tcBorders>
              <w:top w:val="nil"/>
              <w:left w:val="nil"/>
              <w:bottom w:val="nil"/>
              <w:right w:val="single" w:sz="8" w:space="0" w:color="auto"/>
            </w:tcBorders>
            <w:shd w:val="clear" w:color="auto" w:fill="auto"/>
            <w:noWrap/>
            <w:vAlign w:val="center"/>
            <w:hideMark/>
          </w:tcPr>
          <w:p w14:paraId="7A60B67D" w14:textId="77777777" w:rsidR="00C81855" w:rsidRPr="00C81855" w:rsidRDefault="00C81855" w:rsidP="00C81855">
            <w:pPr>
              <w:spacing w:after="0" w:line="240" w:lineRule="auto"/>
              <w:jc w:val="right"/>
              <w:rPr>
                <w:rFonts w:eastAsia="Times New Roman" w:cs="Calibri"/>
                <w:color w:val="000000"/>
                <w:sz w:val="20"/>
                <w:szCs w:val="20"/>
                <w:lang w:eastAsia="es-CR"/>
              </w:rPr>
            </w:pPr>
            <w:bookmarkStart w:id="913" w:name="_Hlk189123757"/>
            <w:r w:rsidRPr="00C81855">
              <w:rPr>
                <w:rFonts w:eastAsia="Times New Roman" w:cs="Calibri"/>
                <w:color w:val="000000"/>
                <w:sz w:val="20"/>
                <w:szCs w:val="20"/>
                <w:lang w:eastAsia="es-CR"/>
              </w:rPr>
              <w:t>-92 453,74</w:t>
            </w:r>
            <w:bookmarkEnd w:id="913"/>
          </w:p>
        </w:tc>
        <w:tc>
          <w:tcPr>
            <w:tcW w:w="457" w:type="dxa"/>
            <w:tcBorders>
              <w:top w:val="nil"/>
              <w:left w:val="nil"/>
              <w:bottom w:val="nil"/>
              <w:right w:val="single" w:sz="8" w:space="0" w:color="auto"/>
            </w:tcBorders>
            <w:shd w:val="clear" w:color="auto" w:fill="auto"/>
            <w:vAlign w:val="center"/>
            <w:hideMark/>
          </w:tcPr>
          <w:p w14:paraId="6B45DCDF" w14:textId="77777777" w:rsidR="00C81855" w:rsidRPr="00C81855" w:rsidRDefault="00C81855" w:rsidP="00C81855">
            <w:pPr>
              <w:spacing w:after="0" w:line="240" w:lineRule="auto"/>
              <w:jc w:val="center"/>
              <w:rPr>
                <w:rFonts w:eastAsia="Times New Roman" w:cs="Calibri"/>
                <w:color w:val="000000"/>
                <w:sz w:val="20"/>
                <w:szCs w:val="20"/>
                <w:lang w:eastAsia="es-CR"/>
              </w:rPr>
            </w:pPr>
            <w:r w:rsidRPr="00C81855">
              <w:rPr>
                <w:rFonts w:eastAsia="Times New Roman" w:cs="Calibri"/>
                <w:color w:val="000000"/>
                <w:sz w:val="20"/>
                <w:szCs w:val="20"/>
                <w:lang w:eastAsia="es-CR"/>
              </w:rPr>
              <w:t>-56,76%</w:t>
            </w:r>
          </w:p>
        </w:tc>
        <w:tc>
          <w:tcPr>
            <w:tcW w:w="1149" w:type="dxa"/>
            <w:vAlign w:val="center"/>
            <w:hideMark/>
          </w:tcPr>
          <w:p w14:paraId="72373831" w14:textId="77777777" w:rsidR="00C81855" w:rsidRPr="00C81855" w:rsidRDefault="00C81855" w:rsidP="00C81855">
            <w:pPr>
              <w:spacing w:after="0" w:line="240" w:lineRule="auto"/>
              <w:jc w:val="left"/>
              <w:rPr>
                <w:rFonts w:ascii="Times New Roman" w:eastAsia="Times New Roman" w:hAnsi="Times New Roman" w:cs="Times New Roman"/>
                <w:sz w:val="20"/>
                <w:szCs w:val="20"/>
                <w:lang w:eastAsia="es-CR"/>
              </w:rPr>
            </w:pPr>
          </w:p>
        </w:tc>
      </w:tr>
      <w:tr w:rsidR="00C81855" w:rsidRPr="00C81855" w14:paraId="0AC7E254" w14:textId="77777777" w:rsidTr="00061EFB">
        <w:trPr>
          <w:trHeight w:val="529"/>
        </w:trPr>
        <w:tc>
          <w:tcPr>
            <w:tcW w:w="1263" w:type="dxa"/>
            <w:tcBorders>
              <w:top w:val="nil"/>
              <w:left w:val="single" w:sz="8" w:space="0" w:color="auto"/>
              <w:bottom w:val="nil"/>
              <w:right w:val="single" w:sz="8" w:space="0" w:color="auto"/>
            </w:tcBorders>
            <w:shd w:val="clear" w:color="auto" w:fill="auto"/>
            <w:noWrap/>
            <w:vAlign w:val="bottom"/>
            <w:hideMark/>
          </w:tcPr>
          <w:p w14:paraId="2DD84345" w14:textId="77777777" w:rsidR="00C81855" w:rsidRPr="00C81855" w:rsidRDefault="00C81855" w:rsidP="00C81855">
            <w:pPr>
              <w:spacing w:after="0" w:line="240" w:lineRule="auto"/>
              <w:jc w:val="left"/>
              <w:rPr>
                <w:rFonts w:eastAsia="Times New Roman" w:cs="Calibri"/>
                <w:color w:val="000000"/>
                <w:sz w:val="20"/>
                <w:szCs w:val="20"/>
                <w:lang w:eastAsia="es-CR"/>
              </w:rPr>
            </w:pPr>
            <w:r w:rsidRPr="00C81855">
              <w:rPr>
                <w:rFonts w:eastAsia="Times New Roman" w:cs="Calibri"/>
                <w:color w:val="000000"/>
                <w:sz w:val="20"/>
                <w:szCs w:val="20"/>
                <w:lang w:eastAsia="es-CR"/>
              </w:rPr>
              <w:t>5.1.2.01.05.</w:t>
            </w:r>
          </w:p>
        </w:tc>
        <w:tc>
          <w:tcPr>
            <w:tcW w:w="3247" w:type="dxa"/>
            <w:tcBorders>
              <w:top w:val="nil"/>
              <w:left w:val="nil"/>
              <w:bottom w:val="nil"/>
              <w:right w:val="single" w:sz="8" w:space="0" w:color="auto"/>
            </w:tcBorders>
            <w:shd w:val="clear" w:color="auto" w:fill="auto"/>
            <w:vAlign w:val="bottom"/>
            <w:hideMark/>
          </w:tcPr>
          <w:p w14:paraId="5C997D7D" w14:textId="77777777" w:rsidR="00C81855" w:rsidRPr="00C81855" w:rsidRDefault="00C81855" w:rsidP="00C81855">
            <w:pPr>
              <w:spacing w:after="0" w:line="240" w:lineRule="auto"/>
              <w:jc w:val="left"/>
              <w:rPr>
                <w:rFonts w:eastAsia="Times New Roman" w:cs="Calibri"/>
                <w:color w:val="000000"/>
                <w:sz w:val="20"/>
                <w:szCs w:val="20"/>
                <w:lang w:eastAsia="es-CR"/>
              </w:rPr>
            </w:pPr>
            <w:r w:rsidRPr="00C81855">
              <w:rPr>
                <w:rFonts w:eastAsia="Times New Roman" w:cs="Calibri"/>
                <w:color w:val="000000"/>
                <w:sz w:val="20"/>
                <w:szCs w:val="20"/>
                <w:lang w:eastAsia="es-CR"/>
              </w:rPr>
              <w:t>Derechos o regalías sobre bienes intangibles</w:t>
            </w:r>
          </w:p>
        </w:tc>
        <w:tc>
          <w:tcPr>
            <w:tcW w:w="1328" w:type="dxa"/>
            <w:tcBorders>
              <w:top w:val="nil"/>
              <w:left w:val="nil"/>
              <w:bottom w:val="nil"/>
              <w:right w:val="single" w:sz="8" w:space="0" w:color="auto"/>
            </w:tcBorders>
            <w:shd w:val="clear" w:color="auto" w:fill="auto"/>
            <w:noWrap/>
            <w:vAlign w:val="center"/>
            <w:hideMark/>
          </w:tcPr>
          <w:p w14:paraId="077012EF" w14:textId="77777777" w:rsidR="00C81855" w:rsidRPr="00C81855" w:rsidRDefault="00C81855" w:rsidP="00C81855">
            <w:pPr>
              <w:spacing w:after="0" w:line="240" w:lineRule="auto"/>
              <w:jc w:val="right"/>
              <w:rPr>
                <w:rFonts w:eastAsia="Times New Roman" w:cs="Calibri"/>
                <w:sz w:val="20"/>
                <w:szCs w:val="20"/>
                <w:lang w:eastAsia="es-CR"/>
              </w:rPr>
            </w:pPr>
            <w:r w:rsidRPr="00C81855">
              <w:rPr>
                <w:rFonts w:ascii="Arial" w:eastAsia="Times New Roman" w:hAnsi="Arial" w:cs="Arial"/>
                <w:sz w:val="20"/>
                <w:szCs w:val="20"/>
                <w:lang w:eastAsia="es-CR"/>
              </w:rPr>
              <w:t>₡</w:t>
            </w:r>
            <w:r w:rsidRPr="00C81855">
              <w:rPr>
                <w:rFonts w:eastAsia="Times New Roman" w:cs="Calibri"/>
                <w:sz w:val="20"/>
                <w:szCs w:val="20"/>
                <w:lang w:eastAsia="es-CR"/>
              </w:rPr>
              <w:t>1 688,20</w:t>
            </w:r>
          </w:p>
        </w:tc>
        <w:tc>
          <w:tcPr>
            <w:tcW w:w="1918" w:type="dxa"/>
            <w:tcBorders>
              <w:top w:val="nil"/>
              <w:left w:val="nil"/>
              <w:bottom w:val="nil"/>
              <w:right w:val="single" w:sz="8" w:space="0" w:color="auto"/>
            </w:tcBorders>
            <w:shd w:val="clear" w:color="auto" w:fill="auto"/>
            <w:noWrap/>
            <w:vAlign w:val="center"/>
            <w:hideMark/>
          </w:tcPr>
          <w:p w14:paraId="71930B3A" w14:textId="77777777" w:rsidR="00C81855" w:rsidRPr="00C81855" w:rsidRDefault="00C81855" w:rsidP="00C81855">
            <w:pPr>
              <w:spacing w:after="0" w:line="240" w:lineRule="auto"/>
              <w:jc w:val="right"/>
              <w:rPr>
                <w:rFonts w:eastAsia="Times New Roman" w:cs="Calibri"/>
                <w:sz w:val="20"/>
                <w:szCs w:val="20"/>
                <w:lang w:eastAsia="es-CR"/>
              </w:rPr>
            </w:pPr>
            <w:r w:rsidRPr="00C81855">
              <w:rPr>
                <w:rFonts w:ascii="Arial" w:eastAsia="Times New Roman" w:hAnsi="Arial" w:cs="Arial"/>
                <w:sz w:val="20"/>
                <w:szCs w:val="20"/>
                <w:lang w:eastAsia="es-CR"/>
              </w:rPr>
              <w:t>₡</w:t>
            </w:r>
            <w:r w:rsidRPr="00C81855">
              <w:rPr>
                <w:rFonts w:eastAsia="Times New Roman" w:cs="Calibri"/>
                <w:sz w:val="20"/>
                <w:szCs w:val="20"/>
                <w:lang w:eastAsia="es-CR"/>
              </w:rPr>
              <w:t>0,00</w:t>
            </w:r>
          </w:p>
        </w:tc>
        <w:tc>
          <w:tcPr>
            <w:tcW w:w="1558" w:type="dxa"/>
            <w:tcBorders>
              <w:top w:val="nil"/>
              <w:left w:val="nil"/>
              <w:bottom w:val="nil"/>
              <w:right w:val="single" w:sz="8" w:space="0" w:color="auto"/>
            </w:tcBorders>
            <w:shd w:val="clear" w:color="auto" w:fill="auto"/>
            <w:noWrap/>
            <w:vAlign w:val="center"/>
            <w:hideMark/>
          </w:tcPr>
          <w:p w14:paraId="312296F3" w14:textId="77777777" w:rsidR="00C81855" w:rsidRPr="00C81855" w:rsidRDefault="00C81855" w:rsidP="00C81855">
            <w:pPr>
              <w:spacing w:after="0" w:line="240" w:lineRule="auto"/>
              <w:jc w:val="right"/>
              <w:rPr>
                <w:rFonts w:eastAsia="Times New Roman" w:cs="Calibri"/>
                <w:color w:val="000000"/>
                <w:sz w:val="20"/>
                <w:szCs w:val="20"/>
                <w:lang w:eastAsia="es-CR"/>
              </w:rPr>
            </w:pPr>
            <w:r w:rsidRPr="00C81855">
              <w:rPr>
                <w:rFonts w:eastAsia="Times New Roman" w:cs="Calibri"/>
                <w:color w:val="000000"/>
                <w:sz w:val="20"/>
                <w:szCs w:val="20"/>
                <w:lang w:eastAsia="es-CR"/>
              </w:rPr>
              <w:t>1 688,20</w:t>
            </w:r>
          </w:p>
        </w:tc>
        <w:tc>
          <w:tcPr>
            <w:tcW w:w="457" w:type="dxa"/>
            <w:tcBorders>
              <w:top w:val="nil"/>
              <w:left w:val="nil"/>
              <w:bottom w:val="nil"/>
              <w:right w:val="single" w:sz="8" w:space="0" w:color="auto"/>
            </w:tcBorders>
            <w:shd w:val="clear" w:color="auto" w:fill="auto"/>
            <w:vAlign w:val="center"/>
            <w:hideMark/>
          </w:tcPr>
          <w:p w14:paraId="1705AAE4" w14:textId="77777777" w:rsidR="00C81855" w:rsidRPr="00C81855" w:rsidRDefault="00C81855" w:rsidP="00C81855">
            <w:pPr>
              <w:spacing w:after="0" w:line="240" w:lineRule="auto"/>
              <w:jc w:val="center"/>
              <w:rPr>
                <w:rFonts w:eastAsia="Times New Roman" w:cs="Calibri"/>
                <w:color w:val="000000"/>
                <w:sz w:val="20"/>
                <w:szCs w:val="20"/>
                <w:lang w:eastAsia="es-CR"/>
              </w:rPr>
            </w:pPr>
            <w:r w:rsidRPr="00C81855">
              <w:rPr>
                <w:rFonts w:eastAsia="Times New Roman" w:cs="Calibri"/>
                <w:color w:val="000000"/>
                <w:sz w:val="20"/>
                <w:szCs w:val="20"/>
                <w:lang w:eastAsia="es-CR"/>
              </w:rPr>
              <w:t>#¡DIV/0!</w:t>
            </w:r>
          </w:p>
        </w:tc>
        <w:tc>
          <w:tcPr>
            <w:tcW w:w="1149" w:type="dxa"/>
            <w:vAlign w:val="center"/>
            <w:hideMark/>
          </w:tcPr>
          <w:p w14:paraId="4F79B2A9" w14:textId="77777777" w:rsidR="00C81855" w:rsidRPr="00C81855" w:rsidRDefault="00C81855" w:rsidP="00C81855">
            <w:pPr>
              <w:spacing w:after="0" w:line="240" w:lineRule="auto"/>
              <w:jc w:val="left"/>
              <w:rPr>
                <w:rFonts w:ascii="Times New Roman" w:eastAsia="Times New Roman" w:hAnsi="Times New Roman" w:cs="Times New Roman"/>
                <w:sz w:val="20"/>
                <w:szCs w:val="20"/>
                <w:lang w:eastAsia="es-CR"/>
              </w:rPr>
            </w:pPr>
          </w:p>
        </w:tc>
      </w:tr>
      <w:tr w:rsidR="00C81855" w:rsidRPr="00C81855" w14:paraId="00E77B1D" w14:textId="77777777" w:rsidTr="00061EFB">
        <w:trPr>
          <w:trHeight w:val="309"/>
        </w:trPr>
        <w:tc>
          <w:tcPr>
            <w:tcW w:w="1263" w:type="dxa"/>
            <w:tcBorders>
              <w:top w:val="nil"/>
              <w:left w:val="single" w:sz="8" w:space="0" w:color="auto"/>
              <w:bottom w:val="nil"/>
              <w:right w:val="single" w:sz="8" w:space="0" w:color="auto"/>
            </w:tcBorders>
            <w:shd w:val="clear" w:color="auto" w:fill="auto"/>
            <w:noWrap/>
            <w:vAlign w:val="center"/>
            <w:hideMark/>
          </w:tcPr>
          <w:p w14:paraId="31425754" w14:textId="77777777" w:rsidR="00C81855" w:rsidRPr="00C81855" w:rsidRDefault="00C81855" w:rsidP="00C81855">
            <w:pPr>
              <w:spacing w:after="0" w:line="240" w:lineRule="auto"/>
              <w:jc w:val="left"/>
              <w:rPr>
                <w:rFonts w:eastAsia="Times New Roman" w:cs="Calibri"/>
                <w:b/>
                <w:bCs/>
                <w:color w:val="000000"/>
                <w:sz w:val="20"/>
                <w:szCs w:val="20"/>
                <w:lang w:eastAsia="es-CR"/>
              </w:rPr>
            </w:pPr>
            <w:r w:rsidRPr="00C81855">
              <w:rPr>
                <w:rFonts w:eastAsia="Times New Roman" w:cs="Calibri"/>
                <w:b/>
                <w:bCs/>
                <w:color w:val="000000"/>
                <w:sz w:val="20"/>
                <w:szCs w:val="20"/>
                <w:lang w:eastAsia="es-CR"/>
              </w:rPr>
              <w:t>5.1.2.02.</w:t>
            </w:r>
          </w:p>
        </w:tc>
        <w:tc>
          <w:tcPr>
            <w:tcW w:w="3247" w:type="dxa"/>
            <w:tcBorders>
              <w:top w:val="nil"/>
              <w:left w:val="nil"/>
              <w:bottom w:val="nil"/>
              <w:right w:val="single" w:sz="8" w:space="0" w:color="auto"/>
            </w:tcBorders>
            <w:shd w:val="clear" w:color="000000" w:fill="FFFFFF"/>
            <w:noWrap/>
            <w:vAlign w:val="bottom"/>
            <w:hideMark/>
          </w:tcPr>
          <w:p w14:paraId="591D0ECD" w14:textId="77777777" w:rsidR="00C81855" w:rsidRPr="00C81855" w:rsidRDefault="00C81855" w:rsidP="00C81855">
            <w:pPr>
              <w:spacing w:after="0" w:line="240" w:lineRule="auto"/>
              <w:jc w:val="left"/>
              <w:rPr>
                <w:rFonts w:eastAsia="Times New Roman" w:cs="Calibri"/>
                <w:b/>
                <w:bCs/>
                <w:color w:val="000000"/>
                <w:sz w:val="20"/>
                <w:szCs w:val="20"/>
                <w:lang w:eastAsia="es-CR"/>
              </w:rPr>
            </w:pPr>
            <w:r w:rsidRPr="00C81855">
              <w:rPr>
                <w:rFonts w:eastAsia="Times New Roman" w:cs="Calibri"/>
                <w:b/>
                <w:bCs/>
                <w:color w:val="000000"/>
                <w:sz w:val="20"/>
                <w:szCs w:val="20"/>
                <w:lang w:eastAsia="es-CR"/>
              </w:rPr>
              <w:t>Servicios básicos</w:t>
            </w:r>
          </w:p>
        </w:tc>
        <w:tc>
          <w:tcPr>
            <w:tcW w:w="1328" w:type="dxa"/>
            <w:tcBorders>
              <w:top w:val="single" w:sz="8" w:space="0" w:color="auto"/>
              <w:left w:val="nil"/>
              <w:bottom w:val="single" w:sz="8" w:space="0" w:color="auto"/>
              <w:right w:val="single" w:sz="8" w:space="0" w:color="auto"/>
            </w:tcBorders>
            <w:shd w:val="clear" w:color="auto" w:fill="auto"/>
            <w:noWrap/>
            <w:vAlign w:val="bottom"/>
            <w:hideMark/>
          </w:tcPr>
          <w:p w14:paraId="4ACDADC8" w14:textId="77777777" w:rsidR="00C81855" w:rsidRPr="00C81855" w:rsidRDefault="00C81855" w:rsidP="00C81855">
            <w:pPr>
              <w:spacing w:after="0" w:line="240" w:lineRule="auto"/>
              <w:jc w:val="right"/>
              <w:rPr>
                <w:rFonts w:eastAsia="Times New Roman" w:cs="Calibri"/>
                <w:b/>
                <w:bCs/>
                <w:color w:val="000000"/>
                <w:sz w:val="20"/>
                <w:szCs w:val="20"/>
                <w:lang w:eastAsia="es-CR"/>
              </w:rPr>
            </w:pPr>
            <w:r w:rsidRPr="00C81855">
              <w:rPr>
                <w:rFonts w:ascii="Arial" w:eastAsia="Times New Roman" w:hAnsi="Arial" w:cs="Arial"/>
                <w:b/>
                <w:bCs/>
                <w:color w:val="000000"/>
                <w:sz w:val="20"/>
                <w:szCs w:val="20"/>
                <w:lang w:eastAsia="es-CR"/>
              </w:rPr>
              <w:t>₡</w:t>
            </w:r>
            <w:r w:rsidRPr="00C81855">
              <w:rPr>
                <w:rFonts w:eastAsia="Times New Roman" w:cs="Calibri"/>
                <w:b/>
                <w:bCs/>
                <w:color w:val="000000"/>
                <w:sz w:val="20"/>
                <w:szCs w:val="20"/>
                <w:lang w:eastAsia="es-CR"/>
              </w:rPr>
              <w:t>178 594,77</w:t>
            </w:r>
          </w:p>
        </w:tc>
        <w:tc>
          <w:tcPr>
            <w:tcW w:w="1918" w:type="dxa"/>
            <w:tcBorders>
              <w:top w:val="single" w:sz="8" w:space="0" w:color="auto"/>
              <w:left w:val="nil"/>
              <w:bottom w:val="single" w:sz="8" w:space="0" w:color="auto"/>
              <w:right w:val="single" w:sz="8" w:space="0" w:color="auto"/>
            </w:tcBorders>
            <w:shd w:val="clear" w:color="auto" w:fill="auto"/>
            <w:noWrap/>
            <w:vAlign w:val="bottom"/>
            <w:hideMark/>
          </w:tcPr>
          <w:p w14:paraId="4F90AD4B" w14:textId="77777777" w:rsidR="00C81855" w:rsidRPr="00C81855" w:rsidRDefault="00C81855" w:rsidP="00C81855">
            <w:pPr>
              <w:spacing w:after="0" w:line="240" w:lineRule="auto"/>
              <w:jc w:val="right"/>
              <w:rPr>
                <w:rFonts w:eastAsia="Times New Roman" w:cs="Calibri"/>
                <w:b/>
                <w:bCs/>
                <w:color w:val="000000"/>
                <w:sz w:val="20"/>
                <w:szCs w:val="20"/>
                <w:lang w:eastAsia="es-CR"/>
              </w:rPr>
            </w:pPr>
            <w:r w:rsidRPr="00C81855">
              <w:rPr>
                <w:rFonts w:ascii="Arial" w:eastAsia="Times New Roman" w:hAnsi="Arial" w:cs="Arial"/>
                <w:b/>
                <w:bCs/>
                <w:color w:val="000000"/>
                <w:sz w:val="20"/>
                <w:szCs w:val="20"/>
                <w:lang w:eastAsia="es-CR"/>
              </w:rPr>
              <w:t>₡</w:t>
            </w:r>
            <w:r w:rsidRPr="00C81855">
              <w:rPr>
                <w:rFonts w:eastAsia="Times New Roman" w:cs="Calibri"/>
                <w:b/>
                <w:bCs/>
                <w:color w:val="000000"/>
                <w:sz w:val="20"/>
                <w:szCs w:val="20"/>
                <w:lang w:eastAsia="es-CR"/>
              </w:rPr>
              <w:t>177 713,31</w:t>
            </w:r>
          </w:p>
        </w:tc>
        <w:tc>
          <w:tcPr>
            <w:tcW w:w="1558" w:type="dxa"/>
            <w:tcBorders>
              <w:top w:val="single" w:sz="8" w:space="0" w:color="auto"/>
              <w:left w:val="nil"/>
              <w:bottom w:val="single" w:sz="8" w:space="0" w:color="auto"/>
              <w:right w:val="single" w:sz="8" w:space="0" w:color="auto"/>
            </w:tcBorders>
            <w:shd w:val="clear" w:color="auto" w:fill="auto"/>
            <w:noWrap/>
            <w:vAlign w:val="bottom"/>
            <w:hideMark/>
          </w:tcPr>
          <w:p w14:paraId="7C54F5B4" w14:textId="77777777" w:rsidR="00C81855" w:rsidRPr="00C81855" w:rsidRDefault="00C81855" w:rsidP="00C81855">
            <w:pPr>
              <w:spacing w:after="0" w:line="240" w:lineRule="auto"/>
              <w:jc w:val="right"/>
              <w:rPr>
                <w:rFonts w:eastAsia="Times New Roman" w:cs="Calibri"/>
                <w:b/>
                <w:bCs/>
                <w:color w:val="000000"/>
                <w:sz w:val="20"/>
                <w:szCs w:val="20"/>
                <w:lang w:eastAsia="es-CR"/>
              </w:rPr>
            </w:pPr>
            <w:r w:rsidRPr="00C81855">
              <w:rPr>
                <w:rFonts w:ascii="Arial" w:eastAsia="Times New Roman" w:hAnsi="Arial" w:cs="Arial"/>
                <w:b/>
                <w:bCs/>
                <w:color w:val="000000"/>
                <w:sz w:val="20"/>
                <w:szCs w:val="20"/>
                <w:lang w:eastAsia="es-CR"/>
              </w:rPr>
              <w:t>₡</w:t>
            </w:r>
            <w:r w:rsidRPr="00C81855">
              <w:rPr>
                <w:rFonts w:eastAsia="Times New Roman" w:cs="Calibri"/>
                <w:b/>
                <w:bCs/>
                <w:color w:val="000000"/>
                <w:sz w:val="20"/>
                <w:szCs w:val="20"/>
                <w:lang w:eastAsia="es-CR"/>
              </w:rPr>
              <w:t>881,47</w:t>
            </w:r>
          </w:p>
        </w:tc>
        <w:tc>
          <w:tcPr>
            <w:tcW w:w="457" w:type="dxa"/>
            <w:tcBorders>
              <w:top w:val="single" w:sz="8" w:space="0" w:color="auto"/>
              <w:left w:val="nil"/>
              <w:bottom w:val="single" w:sz="8" w:space="0" w:color="auto"/>
              <w:right w:val="single" w:sz="8" w:space="0" w:color="auto"/>
            </w:tcBorders>
            <w:shd w:val="clear" w:color="auto" w:fill="auto"/>
            <w:vAlign w:val="center"/>
            <w:hideMark/>
          </w:tcPr>
          <w:p w14:paraId="6262E3F6" w14:textId="77777777" w:rsidR="00C81855" w:rsidRPr="00C81855" w:rsidRDefault="00C81855" w:rsidP="00C81855">
            <w:pPr>
              <w:spacing w:after="0" w:line="240" w:lineRule="auto"/>
              <w:jc w:val="center"/>
              <w:rPr>
                <w:rFonts w:eastAsia="Times New Roman" w:cs="Calibri"/>
                <w:b/>
                <w:bCs/>
                <w:color w:val="000000"/>
                <w:sz w:val="20"/>
                <w:szCs w:val="20"/>
                <w:lang w:eastAsia="es-CR"/>
              </w:rPr>
            </w:pPr>
            <w:r w:rsidRPr="00C81855">
              <w:rPr>
                <w:rFonts w:eastAsia="Times New Roman" w:cs="Calibri"/>
                <w:b/>
                <w:bCs/>
                <w:color w:val="000000"/>
                <w:sz w:val="20"/>
                <w:szCs w:val="20"/>
                <w:lang w:eastAsia="es-CR"/>
              </w:rPr>
              <w:t>-4,84%</w:t>
            </w:r>
          </w:p>
        </w:tc>
        <w:tc>
          <w:tcPr>
            <w:tcW w:w="1149" w:type="dxa"/>
            <w:vAlign w:val="center"/>
            <w:hideMark/>
          </w:tcPr>
          <w:p w14:paraId="06D05207" w14:textId="77777777" w:rsidR="00C81855" w:rsidRPr="00C81855" w:rsidRDefault="00C81855" w:rsidP="00C81855">
            <w:pPr>
              <w:spacing w:after="0" w:line="240" w:lineRule="auto"/>
              <w:jc w:val="left"/>
              <w:rPr>
                <w:rFonts w:ascii="Times New Roman" w:eastAsia="Times New Roman" w:hAnsi="Times New Roman" w:cs="Times New Roman"/>
                <w:sz w:val="20"/>
                <w:szCs w:val="20"/>
                <w:lang w:eastAsia="es-CR"/>
              </w:rPr>
            </w:pPr>
          </w:p>
        </w:tc>
      </w:tr>
      <w:tr w:rsidR="00C81855" w:rsidRPr="00C81855" w14:paraId="47C4045B" w14:textId="77777777" w:rsidTr="00061EFB">
        <w:trPr>
          <w:trHeight w:val="294"/>
        </w:trPr>
        <w:tc>
          <w:tcPr>
            <w:tcW w:w="1263" w:type="dxa"/>
            <w:tcBorders>
              <w:top w:val="nil"/>
              <w:left w:val="single" w:sz="8" w:space="0" w:color="auto"/>
              <w:bottom w:val="nil"/>
              <w:right w:val="single" w:sz="8" w:space="0" w:color="auto"/>
            </w:tcBorders>
            <w:shd w:val="clear" w:color="auto" w:fill="auto"/>
            <w:noWrap/>
            <w:vAlign w:val="bottom"/>
            <w:hideMark/>
          </w:tcPr>
          <w:p w14:paraId="4B6AAD39" w14:textId="77777777" w:rsidR="00C81855" w:rsidRPr="00C81855" w:rsidRDefault="00C81855" w:rsidP="00C81855">
            <w:pPr>
              <w:spacing w:after="0" w:line="240" w:lineRule="auto"/>
              <w:jc w:val="left"/>
              <w:rPr>
                <w:rFonts w:eastAsia="Times New Roman" w:cs="Calibri"/>
                <w:color w:val="000000"/>
                <w:sz w:val="20"/>
                <w:szCs w:val="20"/>
                <w:lang w:eastAsia="es-CR"/>
              </w:rPr>
            </w:pPr>
            <w:r w:rsidRPr="00C81855">
              <w:rPr>
                <w:rFonts w:eastAsia="Times New Roman" w:cs="Calibri"/>
                <w:color w:val="000000"/>
                <w:sz w:val="20"/>
                <w:szCs w:val="20"/>
                <w:lang w:eastAsia="es-CR"/>
              </w:rPr>
              <w:t>5.1.2.02.01.</w:t>
            </w:r>
          </w:p>
        </w:tc>
        <w:tc>
          <w:tcPr>
            <w:tcW w:w="3247" w:type="dxa"/>
            <w:tcBorders>
              <w:top w:val="nil"/>
              <w:left w:val="nil"/>
              <w:bottom w:val="nil"/>
              <w:right w:val="single" w:sz="8" w:space="0" w:color="auto"/>
            </w:tcBorders>
            <w:shd w:val="clear" w:color="auto" w:fill="auto"/>
            <w:noWrap/>
            <w:vAlign w:val="bottom"/>
            <w:hideMark/>
          </w:tcPr>
          <w:p w14:paraId="56844B8F" w14:textId="77777777" w:rsidR="00C81855" w:rsidRPr="00C81855" w:rsidRDefault="00C81855" w:rsidP="00C81855">
            <w:pPr>
              <w:spacing w:after="0" w:line="240" w:lineRule="auto"/>
              <w:jc w:val="left"/>
              <w:rPr>
                <w:rFonts w:eastAsia="Times New Roman" w:cs="Calibri"/>
                <w:color w:val="000000"/>
                <w:sz w:val="20"/>
                <w:szCs w:val="20"/>
                <w:lang w:eastAsia="es-CR"/>
              </w:rPr>
            </w:pPr>
            <w:r w:rsidRPr="00C81855">
              <w:rPr>
                <w:rFonts w:eastAsia="Times New Roman" w:cs="Calibri"/>
                <w:color w:val="000000"/>
                <w:sz w:val="20"/>
                <w:szCs w:val="20"/>
                <w:lang w:eastAsia="es-CR"/>
              </w:rPr>
              <w:t>Agua y alcantarillado</w:t>
            </w:r>
          </w:p>
        </w:tc>
        <w:tc>
          <w:tcPr>
            <w:tcW w:w="1328" w:type="dxa"/>
            <w:tcBorders>
              <w:top w:val="nil"/>
              <w:left w:val="nil"/>
              <w:bottom w:val="nil"/>
              <w:right w:val="single" w:sz="8" w:space="0" w:color="auto"/>
            </w:tcBorders>
            <w:shd w:val="clear" w:color="auto" w:fill="auto"/>
            <w:noWrap/>
            <w:vAlign w:val="center"/>
            <w:hideMark/>
          </w:tcPr>
          <w:p w14:paraId="2C5388D0" w14:textId="77777777" w:rsidR="00C81855" w:rsidRPr="00C81855" w:rsidRDefault="00C81855" w:rsidP="00C81855">
            <w:pPr>
              <w:spacing w:after="0" w:line="240" w:lineRule="auto"/>
              <w:jc w:val="right"/>
              <w:rPr>
                <w:rFonts w:eastAsia="Times New Roman" w:cs="Calibri"/>
                <w:sz w:val="20"/>
                <w:szCs w:val="20"/>
                <w:lang w:eastAsia="es-CR"/>
              </w:rPr>
            </w:pPr>
            <w:r w:rsidRPr="00C81855">
              <w:rPr>
                <w:rFonts w:ascii="Arial" w:eastAsia="Times New Roman" w:hAnsi="Arial" w:cs="Arial"/>
                <w:sz w:val="20"/>
                <w:szCs w:val="20"/>
                <w:lang w:eastAsia="es-CR"/>
              </w:rPr>
              <w:t>₡</w:t>
            </w:r>
            <w:r w:rsidRPr="00C81855">
              <w:rPr>
                <w:rFonts w:eastAsia="Times New Roman" w:cs="Calibri"/>
                <w:sz w:val="20"/>
                <w:szCs w:val="20"/>
                <w:lang w:eastAsia="es-CR"/>
              </w:rPr>
              <w:t>12 108,75</w:t>
            </w:r>
          </w:p>
        </w:tc>
        <w:tc>
          <w:tcPr>
            <w:tcW w:w="1918" w:type="dxa"/>
            <w:tcBorders>
              <w:top w:val="nil"/>
              <w:left w:val="nil"/>
              <w:bottom w:val="nil"/>
              <w:right w:val="single" w:sz="8" w:space="0" w:color="auto"/>
            </w:tcBorders>
            <w:shd w:val="clear" w:color="auto" w:fill="auto"/>
            <w:noWrap/>
            <w:vAlign w:val="center"/>
            <w:hideMark/>
          </w:tcPr>
          <w:p w14:paraId="1BB46191" w14:textId="77777777" w:rsidR="00C81855" w:rsidRPr="00C81855" w:rsidRDefault="00C81855" w:rsidP="00C81855">
            <w:pPr>
              <w:spacing w:after="0" w:line="240" w:lineRule="auto"/>
              <w:jc w:val="right"/>
              <w:rPr>
                <w:rFonts w:eastAsia="Times New Roman" w:cs="Calibri"/>
                <w:sz w:val="20"/>
                <w:szCs w:val="20"/>
                <w:lang w:eastAsia="es-CR"/>
              </w:rPr>
            </w:pPr>
            <w:r w:rsidRPr="00C81855">
              <w:rPr>
                <w:rFonts w:ascii="Arial" w:eastAsia="Times New Roman" w:hAnsi="Arial" w:cs="Arial"/>
                <w:sz w:val="20"/>
                <w:szCs w:val="20"/>
                <w:lang w:eastAsia="es-CR"/>
              </w:rPr>
              <w:t>₡</w:t>
            </w:r>
            <w:r w:rsidRPr="00C81855">
              <w:rPr>
                <w:rFonts w:eastAsia="Times New Roman" w:cs="Calibri"/>
                <w:sz w:val="20"/>
                <w:szCs w:val="20"/>
                <w:lang w:eastAsia="es-CR"/>
              </w:rPr>
              <w:t>10 742,82</w:t>
            </w:r>
          </w:p>
        </w:tc>
        <w:tc>
          <w:tcPr>
            <w:tcW w:w="1558" w:type="dxa"/>
            <w:tcBorders>
              <w:top w:val="nil"/>
              <w:left w:val="nil"/>
              <w:bottom w:val="nil"/>
              <w:right w:val="single" w:sz="8" w:space="0" w:color="auto"/>
            </w:tcBorders>
            <w:shd w:val="clear" w:color="auto" w:fill="auto"/>
            <w:noWrap/>
            <w:vAlign w:val="center"/>
            <w:hideMark/>
          </w:tcPr>
          <w:p w14:paraId="720FAE85" w14:textId="77777777" w:rsidR="00C81855" w:rsidRPr="00C81855" w:rsidRDefault="00C81855" w:rsidP="00C81855">
            <w:pPr>
              <w:spacing w:after="0" w:line="240" w:lineRule="auto"/>
              <w:jc w:val="right"/>
              <w:rPr>
                <w:rFonts w:eastAsia="Times New Roman" w:cs="Calibri"/>
                <w:color w:val="000000"/>
                <w:sz w:val="20"/>
                <w:szCs w:val="20"/>
                <w:lang w:eastAsia="es-CR"/>
              </w:rPr>
            </w:pPr>
            <w:r w:rsidRPr="00C81855">
              <w:rPr>
                <w:rFonts w:eastAsia="Times New Roman" w:cs="Calibri"/>
                <w:color w:val="000000"/>
                <w:sz w:val="20"/>
                <w:szCs w:val="20"/>
                <w:lang w:eastAsia="es-CR"/>
              </w:rPr>
              <w:t>1 365,94</w:t>
            </w:r>
          </w:p>
        </w:tc>
        <w:tc>
          <w:tcPr>
            <w:tcW w:w="457" w:type="dxa"/>
            <w:tcBorders>
              <w:top w:val="nil"/>
              <w:left w:val="nil"/>
              <w:bottom w:val="nil"/>
              <w:right w:val="single" w:sz="8" w:space="0" w:color="auto"/>
            </w:tcBorders>
            <w:shd w:val="clear" w:color="auto" w:fill="auto"/>
            <w:vAlign w:val="center"/>
            <w:hideMark/>
          </w:tcPr>
          <w:p w14:paraId="5EA72305" w14:textId="77777777" w:rsidR="00C81855" w:rsidRPr="00C81855" w:rsidRDefault="00C81855" w:rsidP="00C81855">
            <w:pPr>
              <w:spacing w:after="0" w:line="240" w:lineRule="auto"/>
              <w:jc w:val="center"/>
              <w:rPr>
                <w:rFonts w:eastAsia="Times New Roman" w:cs="Calibri"/>
                <w:color w:val="000000"/>
                <w:sz w:val="20"/>
                <w:szCs w:val="20"/>
                <w:lang w:eastAsia="es-CR"/>
              </w:rPr>
            </w:pPr>
            <w:r w:rsidRPr="00C81855">
              <w:rPr>
                <w:rFonts w:eastAsia="Times New Roman" w:cs="Calibri"/>
                <w:color w:val="000000"/>
                <w:sz w:val="20"/>
                <w:szCs w:val="20"/>
                <w:lang w:eastAsia="es-CR"/>
              </w:rPr>
              <w:t>12,71%</w:t>
            </w:r>
          </w:p>
        </w:tc>
        <w:tc>
          <w:tcPr>
            <w:tcW w:w="1149" w:type="dxa"/>
            <w:vAlign w:val="center"/>
            <w:hideMark/>
          </w:tcPr>
          <w:p w14:paraId="4CF756A6" w14:textId="77777777" w:rsidR="00C81855" w:rsidRPr="00C81855" w:rsidRDefault="00C81855" w:rsidP="00C81855">
            <w:pPr>
              <w:spacing w:after="0" w:line="240" w:lineRule="auto"/>
              <w:jc w:val="left"/>
              <w:rPr>
                <w:rFonts w:ascii="Times New Roman" w:eastAsia="Times New Roman" w:hAnsi="Times New Roman" w:cs="Times New Roman"/>
                <w:sz w:val="20"/>
                <w:szCs w:val="20"/>
                <w:lang w:eastAsia="es-CR"/>
              </w:rPr>
            </w:pPr>
          </w:p>
        </w:tc>
      </w:tr>
      <w:tr w:rsidR="00C81855" w:rsidRPr="00C81855" w14:paraId="334D341C" w14:textId="77777777" w:rsidTr="00061EFB">
        <w:trPr>
          <w:trHeight w:val="294"/>
        </w:trPr>
        <w:tc>
          <w:tcPr>
            <w:tcW w:w="1263" w:type="dxa"/>
            <w:tcBorders>
              <w:top w:val="nil"/>
              <w:left w:val="single" w:sz="8" w:space="0" w:color="auto"/>
              <w:bottom w:val="nil"/>
              <w:right w:val="single" w:sz="8" w:space="0" w:color="auto"/>
            </w:tcBorders>
            <w:shd w:val="clear" w:color="auto" w:fill="auto"/>
            <w:noWrap/>
            <w:vAlign w:val="bottom"/>
            <w:hideMark/>
          </w:tcPr>
          <w:p w14:paraId="45E80008" w14:textId="77777777" w:rsidR="00C81855" w:rsidRPr="00C81855" w:rsidRDefault="00C81855" w:rsidP="00C81855">
            <w:pPr>
              <w:spacing w:after="0" w:line="240" w:lineRule="auto"/>
              <w:jc w:val="left"/>
              <w:rPr>
                <w:rFonts w:eastAsia="Times New Roman" w:cs="Calibri"/>
                <w:color w:val="000000"/>
                <w:sz w:val="20"/>
                <w:szCs w:val="20"/>
                <w:lang w:eastAsia="es-CR"/>
              </w:rPr>
            </w:pPr>
            <w:r w:rsidRPr="00C81855">
              <w:rPr>
                <w:rFonts w:eastAsia="Times New Roman" w:cs="Calibri"/>
                <w:color w:val="000000"/>
                <w:sz w:val="20"/>
                <w:szCs w:val="20"/>
                <w:lang w:eastAsia="es-CR"/>
              </w:rPr>
              <w:t>5.1.2.02.02.</w:t>
            </w:r>
          </w:p>
        </w:tc>
        <w:tc>
          <w:tcPr>
            <w:tcW w:w="3247" w:type="dxa"/>
            <w:tcBorders>
              <w:top w:val="nil"/>
              <w:left w:val="nil"/>
              <w:bottom w:val="nil"/>
              <w:right w:val="single" w:sz="8" w:space="0" w:color="auto"/>
            </w:tcBorders>
            <w:shd w:val="clear" w:color="auto" w:fill="auto"/>
            <w:noWrap/>
            <w:vAlign w:val="bottom"/>
            <w:hideMark/>
          </w:tcPr>
          <w:p w14:paraId="70561F1A" w14:textId="77777777" w:rsidR="00C81855" w:rsidRPr="00C81855" w:rsidRDefault="00C81855" w:rsidP="00C81855">
            <w:pPr>
              <w:spacing w:after="0" w:line="240" w:lineRule="auto"/>
              <w:jc w:val="left"/>
              <w:rPr>
                <w:rFonts w:eastAsia="Times New Roman" w:cs="Calibri"/>
                <w:color w:val="000000"/>
                <w:sz w:val="20"/>
                <w:szCs w:val="20"/>
                <w:lang w:eastAsia="es-CR"/>
              </w:rPr>
            </w:pPr>
            <w:r w:rsidRPr="00C81855">
              <w:rPr>
                <w:rFonts w:eastAsia="Times New Roman" w:cs="Calibri"/>
                <w:color w:val="000000"/>
                <w:sz w:val="20"/>
                <w:szCs w:val="20"/>
                <w:lang w:eastAsia="es-CR"/>
              </w:rPr>
              <w:t>Energía eléctrica</w:t>
            </w:r>
          </w:p>
        </w:tc>
        <w:tc>
          <w:tcPr>
            <w:tcW w:w="1328" w:type="dxa"/>
            <w:tcBorders>
              <w:top w:val="nil"/>
              <w:left w:val="nil"/>
              <w:bottom w:val="nil"/>
              <w:right w:val="single" w:sz="8" w:space="0" w:color="auto"/>
            </w:tcBorders>
            <w:shd w:val="clear" w:color="auto" w:fill="auto"/>
            <w:noWrap/>
            <w:vAlign w:val="center"/>
            <w:hideMark/>
          </w:tcPr>
          <w:p w14:paraId="32F40D60" w14:textId="77777777" w:rsidR="00C81855" w:rsidRPr="00C81855" w:rsidRDefault="00C81855" w:rsidP="00C81855">
            <w:pPr>
              <w:spacing w:after="0" w:line="240" w:lineRule="auto"/>
              <w:jc w:val="right"/>
              <w:rPr>
                <w:rFonts w:eastAsia="Times New Roman" w:cs="Calibri"/>
                <w:sz w:val="20"/>
                <w:szCs w:val="20"/>
                <w:lang w:eastAsia="es-CR"/>
              </w:rPr>
            </w:pPr>
            <w:r w:rsidRPr="00C81855">
              <w:rPr>
                <w:rFonts w:ascii="Arial" w:eastAsia="Times New Roman" w:hAnsi="Arial" w:cs="Arial"/>
                <w:sz w:val="20"/>
                <w:szCs w:val="20"/>
                <w:lang w:eastAsia="es-CR"/>
              </w:rPr>
              <w:t>₡</w:t>
            </w:r>
            <w:r w:rsidRPr="00C81855">
              <w:rPr>
                <w:rFonts w:eastAsia="Times New Roman" w:cs="Calibri"/>
                <w:sz w:val="20"/>
                <w:szCs w:val="20"/>
                <w:lang w:eastAsia="es-CR"/>
              </w:rPr>
              <w:t>20 748,15</w:t>
            </w:r>
          </w:p>
        </w:tc>
        <w:tc>
          <w:tcPr>
            <w:tcW w:w="1918" w:type="dxa"/>
            <w:tcBorders>
              <w:top w:val="nil"/>
              <w:left w:val="nil"/>
              <w:bottom w:val="nil"/>
              <w:right w:val="single" w:sz="8" w:space="0" w:color="auto"/>
            </w:tcBorders>
            <w:shd w:val="clear" w:color="auto" w:fill="auto"/>
            <w:noWrap/>
            <w:vAlign w:val="center"/>
            <w:hideMark/>
          </w:tcPr>
          <w:p w14:paraId="57B1E920" w14:textId="77777777" w:rsidR="00C81855" w:rsidRPr="00C81855" w:rsidRDefault="00C81855" w:rsidP="00C81855">
            <w:pPr>
              <w:spacing w:after="0" w:line="240" w:lineRule="auto"/>
              <w:jc w:val="right"/>
              <w:rPr>
                <w:rFonts w:eastAsia="Times New Roman" w:cs="Calibri"/>
                <w:sz w:val="20"/>
                <w:szCs w:val="20"/>
                <w:lang w:eastAsia="es-CR"/>
              </w:rPr>
            </w:pPr>
            <w:r w:rsidRPr="00C81855">
              <w:rPr>
                <w:rFonts w:ascii="Arial" w:eastAsia="Times New Roman" w:hAnsi="Arial" w:cs="Arial"/>
                <w:sz w:val="20"/>
                <w:szCs w:val="20"/>
                <w:lang w:eastAsia="es-CR"/>
              </w:rPr>
              <w:t>₡</w:t>
            </w:r>
            <w:r w:rsidRPr="00C81855">
              <w:rPr>
                <w:rFonts w:eastAsia="Times New Roman" w:cs="Calibri"/>
                <w:sz w:val="20"/>
                <w:szCs w:val="20"/>
                <w:lang w:eastAsia="es-CR"/>
              </w:rPr>
              <w:t>18 867,47</w:t>
            </w:r>
          </w:p>
        </w:tc>
        <w:tc>
          <w:tcPr>
            <w:tcW w:w="1558" w:type="dxa"/>
            <w:tcBorders>
              <w:top w:val="nil"/>
              <w:left w:val="nil"/>
              <w:bottom w:val="nil"/>
              <w:right w:val="single" w:sz="8" w:space="0" w:color="auto"/>
            </w:tcBorders>
            <w:shd w:val="clear" w:color="auto" w:fill="auto"/>
            <w:noWrap/>
            <w:vAlign w:val="center"/>
            <w:hideMark/>
          </w:tcPr>
          <w:p w14:paraId="5F4954E1" w14:textId="77777777" w:rsidR="00C81855" w:rsidRPr="00C81855" w:rsidRDefault="00C81855" w:rsidP="00C81855">
            <w:pPr>
              <w:spacing w:after="0" w:line="240" w:lineRule="auto"/>
              <w:jc w:val="right"/>
              <w:rPr>
                <w:rFonts w:eastAsia="Times New Roman" w:cs="Calibri"/>
                <w:color w:val="000000"/>
                <w:sz w:val="20"/>
                <w:szCs w:val="20"/>
                <w:lang w:eastAsia="es-CR"/>
              </w:rPr>
            </w:pPr>
            <w:r w:rsidRPr="00C81855">
              <w:rPr>
                <w:rFonts w:eastAsia="Times New Roman" w:cs="Calibri"/>
                <w:color w:val="000000"/>
                <w:sz w:val="20"/>
                <w:szCs w:val="20"/>
                <w:lang w:eastAsia="es-CR"/>
              </w:rPr>
              <w:t>1 880,68</w:t>
            </w:r>
          </w:p>
        </w:tc>
        <w:tc>
          <w:tcPr>
            <w:tcW w:w="457" w:type="dxa"/>
            <w:tcBorders>
              <w:top w:val="nil"/>
              <w:left w:val="nil"/>
              <w:bottom w:val="nil"/>
              <w:right w:val="single" w:sz="8" w:space="0" w:color="auto"/>
            </w:tcBorders>
            <w:shd w:val="clear" w:color="auto" w:fill="auto"/>
            <w:vAlign w:val="center"/>
            <w:hideMark/>
          </w:tcPr>
          <w:p w14:paraId="1B4A16EE" w14:textId="77777777" w:rsidR="00C81855" w:rsidRPr="00C81855" w:rsidRDefault="00C81855" w:rsidP="00C81855">
            <w:pPr>
              <w:spacing w:after="0" w:line="240" w:lineRule="auto"/>
              <w:jc w:val="center"/>
              <w:rPr>
                <w:rFonts w:eastAsia="Times New Roman" w:cs="Calibri"/>
                <w:color w:val="000000"/>
                <w:sz w:val="20"/>
                <w:szCs w:val="20"/>
                <w:lang w:eastAsia="es-CR"/>
              </w:rPr>
            </w:pPr>
            <w:r w:rsidRPr="00C81855">
              <w:rPr>
                <w:rFonts w:eastAsia="Times New Roman" w:cs="Calibri"/>
                <w:color w:val="000000"/>
                <w:sz w:val="20"/>
                <w:szCs w:val="20"/>
                <w:lang w:eastAsia="es-CR"/>
              </w:rPr>
              <w:t>9,97%</w:t>
            </w:r>
          </w:p>
        </w:tc>
        <w:tc>
          <w:tcPr>
            <w:tcW w:w="1149" w:type="dxa"/>
            <w:vAlign w:val="center"/>
            <w:hideMark/>
          </w:tcPr>
          <w:p w14:paraId="045E5E1D" w14:textId="77777777" w:rsidR="00C81855" w:rsidRPr="00C81855" w:rsidRDefault="00C81855" w:rsidP="00C81855">
            <w:pPr>
              <w:spacing w:after="0" w:line="240" w:lineRule="auto"/>
              <w:jc w:val="left"/>
              <w:rPr>
                <w:rFonts w:ascii="Times New Roman" w:eastAsia="Times New Roman" w:hAnsi="Times New Roman" w:cs="Times New Roman"/>
                <w:sz w:val="20"/>
                <w:szCs w:val="20"/>
                <w:lang w:eastAsia="es-CR"/>
              </w:rPr>
            </w:pPr>
          </w:p>
        </w:tc>
      </w:tr>
      <w:tr w:rsidR="00C81855" w:rsidRPr="00C81855" w14:paraId="3DFDE2A7" w14:textId="77777777" w:rsidTr="00061EFB">
        <w:trPr>
          <w:trHeight w:val="294"/>
        </w:trPr>
        <w:tc>
          <w:tcPr>
            <w:tcW w:w="1263" w:type="dxa"/>
            <w:tcBorders>
              <w:top w:val="nil"/>
              <w:left w:val="single" w:sz="8" w:space="0" w:color="auto"/>
              <w:bottom w:val="nil"/>
              <w:right w:val="single" w:sz="8" w:space="0" w:color="auto"/>
            </w:tcBorders>
            <w:shd w:val="clear" w:color="auto" w:fill="auto"/>
            <w:noWrap/>
            <w:vAlign w:val="bottom"/>
            <w:hideMark/>
          </w:tcPr>
          <w:p w14:paraId="33D4EB24" w14:textId="77777777" w:rsidR="00C81855" w:rsidRPr="00C81855" w:rsidRDefault="00C81855" w:rsidP="00C81855">
            <w:pPr>
              <w:spacing w:after="0" w:line="240" w:lineRule="auto"/>
              <w:jc w:val="left"/>
              <w:rPr>
                <w:rFonts w:eastAsia="Times New Roman" w:cs="Calibri"/>
                <w:color w:val="000000"/>
                <w:sz w:val="20"/>
                <w:szCs w:val="20"/>
                <w:lang w:eastAsia="es-CR"/>
              </w:rPr>
            </w:pPr>
            <w:r w:rsidRPr="00C81855">
              <w:rPr>
                <w:rFonts w:eastAsia="Times New Roman" w:cs="Calibri"/>
                <w:color w:val="000000"/>
                <w:sz w:val="20"/>
                <w:szCs w:val="20"/>
                <w:lang w:eastAsia="es-CR"/>
              </w:rPr>
              <w:t>5.1.2.02.04.</w:t>
            </w:r>
          </w:p>
        </w:tc>
        <w:tc>
          <w:tcPr>
            <w:tcW w:w="3247" w:type="dxa"/>
            <w:tcBorders>
              <w:top w:val="nil"/>
              <w:left w:val="nil"/>
              <w:bottom w:val="nil"/>
              <w:right w:val="single" w:sz="8" w:space="0" w:color="auto"/>
            </w:tcBorders>
            <w:shd w:val="clear" w:color="auto" w:fill="auto"/>
            <w:noWrap/>
            <w:vAlign w:val="bottom"/>
            <w:hideMark/>
          </w:tcPr>
          <w:p w14:paraId="0A4D9D2C" w14:textId="77777777" w:rsidR="00C81855" w:rsidRPr="00C81855" w:rsidRDefault="00C81855" w:rsidP="00C81855">
            <w:pPr>
              <w:spacing w:after="0" w:line="240" w:lineRule="auto"/>
              <w:jc w:val="left"/>
              <w:rPr>
                <w:rFonts w:eastAsia="Times New Roman" w:cs="Calibri"/>
                <w:color w:val="000000"/>
                <w:sz w:val="20"/>
                <w:szCs w:val="20"/>
                <w:lang w:eastAsia="es-CR"/>
              </w:rPr>
            </w:pPr>
            <w:r w:rsidRPr="00C81855">
              <w:rPr>
                <w:rFonts w:eastAsia="Times New Roman" w:cs="Calibri"/>
                <w:color w:val="000000"/>
                <w:sz w:val="20"/>
                <w:szCs w:val="20"/>
                <w:lang w:eastAsia="es-CR"/>
              </w:rPr>
              <w:t>Servicios de telecomunicaciones</w:t>
            </w:r>
          </w:p>
        </w:tc>
        <w:tc>
          <w:tcPr>
            <w:tcW w:w="1328" w:type="dxa"/>
            <w:tcBorders>
              <w:top w:val="nil"/>
              <w:left w:val="nil"/>
              <w:bottom w:val="nil"/>
              <w:right w:val="single" w:sz="8" w:space="0" w:color="auto"/>
            </w:tcBorders>
            <w:shd w:val="clear" w:color="auto" w:fill="auto"/>
            <w:noWrap/>
            <w:vAlign w:val="center"/>
            <w:hideMark/>
          </w:tcPr>
          <w:p w14:paraId="5E935356" w14:textId="77777777" w:rsidR="00C81855" w:rsidRPr="00C81855" w:rsidRDefault="00C81855" w:rsidP="00C81855">
            <w:pPr>
              <w:spacing w:after="0" w:line="240" w:lineRule="auto"/>
              <w:jc w:val="right"/>
              <w:rPr>
                <w:rFonts w:eastAsia="Times New Roman" w:cs="Calibri"/>
                <w:sz w:val="20"/>
                <w:szCs w:val="20"/>
                <w:lang w:eastAsia="es-CR"/>
              </w:rPr>
            </w:pPr>
            <w:r w:rsidRPr="00C81855">
              <w:rPr>
                <w:rFonts w:ascii="Arial" w:eastAsia="Times New Roman" w:hAnsi="Arial" w:cs="Arial"/>
                <w:sz w:val="20"/>
                <w:szCs w:val="20"/>
                <w:lang w:eastAsia="es-CR"/>
              </w:rPr>
              <w:t>₡</w:t>
            </w:r>
            <w:r w:rsidRPr="00C81855">
              <w:rPr>
                <w:rFonts w:eastAsia="Times New Roman" w:cs="Calibri"/>
                <w:sz w:val="20"/>
                <w:szCs w:val="20"/>
                <w:lang w:eastAsia="es-CR"/>
              </w:rPr>
              <w:t>3 511,08</w:t>
            </w:r>
          </w:p>
        </w:tc>
        <w:tc>
          <w:tcPr>
            <w:tcW w:w="1918" w:type="dxa"/>
            <w:tcBorders>
              <w:top w:val="nil"/>
              <w:left w:val="nil"/>
              <w:bottom w:val="nil"/>
              <w:right w:val="single" w:sz="8" w:space="0" w:color="auto"/>
            </w:tcBorders>
            <w:shd w:val="clear" w:color="auto" w:fill="auto"/>
            <w:noWrap/>
            <w:vAlign w:val="center"/>
            <w:hideMark/>
          </w:tcPr>
          <w:p w14:paraId="54F0E67A" w14:textId="77777777" w:rsidR="00C81855" w:rsidRPr="00C81855" w:rsidRDefault="00C81855" w:rsidP="00C81855">
            <w:pPr>
              <w:spacing w:after="0" w:line="240" w:lineRule="auto"/>
              <w:jc w:val="right"/>
              <w:rPr>
                <w:rFonts w:eastAsia="Times New Roman" w:cs="Calibri"/>
                <w:sz w:val="20"/>
                <w:szCs w:val="20"/>
                <w:lang w:eastAsia="es-CR"/>
              </w:rPr>
            </w:pPr>
            <w:r w:rsidRPr="00C81855">
              <w:rPr>
                <w:rFonts w:ascii="Arial" w:eastAsia="Times New Roman" w:hAnsi="Arial" w:cs="Arial"/>
                <w:sz w:val="20"/>
                <w:szCs w:val="20"/>
                <w:lang w:eastAsia="es-CR"/>
              </w:rPr>
              <w:t>₡</w:t>
            </w:r>
            <w:r w:rsidRPr="00C81855">
              <w:rPr>
                <w:rFonts w:eastAsia="Times New Roman" w:cs="Calibri"/>
                <w:sz w:val="20"/>
                <w:szCs w:val="20"/>
                <w:lang w:eastAsia="es-CR"/>
              </w:rPr>
              <w:t>3 923,05</w:t>
            </w:r>
          </w:p>
        </w:tc>
        <w:tc>
          <w:tcPr>
            <w:tcW w:w="1558" w:type="dxa"/>
            <w:tcBorders>
              <w:top w:val="nil"/>
              <w:left w:val="nil"/>
              <w:bottom w:val="nil"/>
              <w:right w:val="single" w:sz="8" w:space="0" w:color="auto"/>
            </w:tcBorders>
            <w:shd w:val="clear" w:color="auto" w:fill="auto"/>
            <w:noWrap/>
            <w:vAlign w:val="center"/>
            <w:hideMark/>
          </w:tcPr>
          <w:p w14:paraId="38C6C72A" w14:textId="77777777" w:rsidR="00C81855" w:rsidRPr="00C81855" w:rsidRDefault="00C81855" w:rsidP="00C81855">
            <w:pPr>
              <w:spacing w:after="0" w:line="240" w:lineRule="auto"/>
              <w:jc w:val="right"/>
              <w:rPr>
                <w:rFonts w:eastAsia="Times New Roman" w:cs="Calibri"/>
                <w:color w:val="000000"/>
                <w:sz w:val="20"/>
                <w:szCs w:val="20"/>
                <w:lang w:eastAsia="es-CR"/>
              </w:rPr>
            </w:pPr>
            <w:r w:rsidRPr="00C81855">
              <w:rPr>
                <w:rFonts w:eastAsia="Times New Roman" w:cs="Calibri"/>
                <w:color w:val="000000"/>
                <w:sz w:val="20"/>
                <w:szCs w:val="20"/>
                <w:lang w:eastAsia="es-CR"/>
              </w:rPr>
              <w:t>-411,97</w:t>
            </w:r>
          </w:p>
        </w:tc>
        <w:tc>
          <w:tcPr>
            <w:tcW w:w="457" w:type="dxa"/>
            <w:tcBorders>
              <w:top w:val="nil"/>
              <w:left w:val="nil"/>
              <w:bottom w:val="nil"/>
              <w:right w:val="single" w:sz="8" w:space="0" w:color="auto"/>
            </w:tcBorders>
            <w:shd w:val="clear" w:color="auto" w:fill="auto"/>
            <w:vAlign w:val="center"/>
            <w:hideMark/>
          </w:tcPr>
          <w:p w14:paraId="3CD35EDD" w14:textId="77777777" w:rsidR="00C81855" w:rsidRPr="00C81855" w:rsidRDefault="00C81855" w:rsidP="00C81855">
            <w:pPr>
              <w:spacing w:after="0" w:line="240" w:lineRule="auto"/>
              <w:jc w:val="center"/>
              <w:rPr>
                <w:rFonts w:eastAsia="Times New Roman" w:cs="Calibri"/>
                <w:color w:val="000000"/>
                <w:sz w:val="20"/>
                <w:szCs w:val="20"/>
                <w:lang w:eastAsia="es-CR"/>
              </w:rPr>
            </w:pPr>
            <w:r w:rsidRPr="00C81855">
              <w:rPr>
                <w:rFonts w:eastAsia="Times New Roman" w:cs="Calibri"/>
                <w:color w:val="000000"/>
                <w:sz w:val="20"/>
                <w:szCs w:val="20"/>
                <w:lang w:eastAsia="es-CR"/>
              </w:rPr>
              <w:t>-10,50%</w:t>
            </w:r>
          </w:p>
        </w:tc>
        <w:tc>
          <w:tcPr>
            <w:tcW w:w="1149" w:type="dxa"/>
            <w:vAlign w:val="center"/>
            <w:hideMark/>
          </w:tcPr>
          <w:p w14:paraId="13EB1E80" w14:textId="77777777" w:rsidR="00C81855" w:rsidRPr="00C81855" w:rsidRDefault="00C81855" w:rsidP="00C81855">
            <w:pPr>
              <w:spacing w:after="0" w:line="240" w:lineRule="auto"/>
              <w:jc w:val="left"/>
              <w:rPr>
                <w:rFonts w:ascii="Times New Roman" w:eastAsia="Times New Roman" w:hAnsi="Times New Roman" w:cs="Times New Roman"/>
                <w:sz w:val="20"/>
                <w:szCs w:val="20"/>
                <w:lang w:eastAsia="es-CR"/>
              </w:rPr>
            </w:pPr>
          </w:p>
        </w:tc>
      </w:tr>
      <w:tr w:rsidR="00C81855" w:rsidRPr="00C81855" w14:paraId="2A0CC2C6" w14:textId="77777777" w:rsidTr="00061EFB">
        <w:trPr>
          <w:trHeight w:val="309"/>
        </w:trPr>
        <w:tc>
          <w:tcPr>
            <w:tcW w:w="1263" w:type="dxa"/>
            <w:tcBorders>
              <w:top w:val="nil"/>
              <w:left w:val="single" w:sz="8" w:space="0" w:color="auto"/>
              <w:bottom w:val="nil"/>
              <w:right w:val="single" w:sz="8" w:space="0" w:color="auto"/>
            </w:tcBorders>
            <w:shd w:val="clear" w:color="auto" w:fill="auto"/>
            <w:noWrap/>
            <w:vAlign w:val="bottom"/>
            <w:hideMark/>
          </w:tcPr>
          <w:p w14:paraId="4FECE574" w14:textId="77777777" w:rsidR="00C81855" w:rsidRPr="00C81855" w:rsidRDefault="00C81855" w:rsidP="00C81855">
            <w:pPr>
              <w:spacing w:after="0" w:line="240" w:lineRule="auto"/>
              <w:jc w:val="left"/>
              <w:rPr>
                <w:rFonts w:eastAsia="Times New Roman" w:cs="Calibri"/>
                <w:color w:val="000000"/>
                <w:sz w:val="20"/>
                <w:szCs w:val="20"/>
                <w:lang w:eastAsia="es-CR"/>
              </w:rPr>
            </w:pPr>
            <w:r w:rsidRPr="00C81855">
              <w:rPr>
                <w:rFonts w:eastAsia="Times New Roman" w:cs="Calibri"/>
                <w:color w:val="000000"/>
                <w:sz w:val="20"/>
                <w:szCs w:val="20"/>
                <w:lang w:eastAsia="es-CR"/>
              </w:rPr>
              <w:t>5.1.2.02.99.</w:t>
            </w:r>
          </w:p>
        </w:tc>
        <w:tc>
          <w:tcPr>
            <w:tcW w:w="3247" w:type="dxa"/>
            <w:tcBorders>
              <w:top w:val="nil"/>
              <w:left w:val="nil"/>
              <w:bottom w:val="nil"/>
              <w:right w:val="single" w:sz="8" w:space="0" w:color="auto"/>
            </w:tcBorders>
            <w:shd w:val="clear" w:color="auto" w:fill="auto"/>
            <w:noWrap/>
            <w:vAlign w:val="bottom"/>
            <w:hideMark/>
          </w:tcPr>
          <w:p w14:paraId="4E2B633D" w14:textId="77777777" w:rsidR="00C81855" w:rsidRPr="00C81855" w:rsidRDefault="00C81855" w:rsidP="00C81855">
            <w:pPr>
              <w:spacing w:after="0" w:line="240" w:lineRule="auto"/>
              <w:jc w:val="left"/>
              <w:rPr>
                <w:rFonts w:eastAsia="Times New Roman" w:cs="Calibri"/>
                <w:color w:val="000000"/>
                <w:sz w:val="20"/>
                <w:szCs w:val="20"/>
                <w:lang w:eastAsia="es-CR"/>
              </w:rPr>
            </w:pPr>
            <w:r w:rsidRPr="00C81855">
              <w:rPr>
                <w:rFonts w:eastAsia="Times New Roman" w:cs="Calibri"/>
                <w:color w:val="000000"/>
                <w:sz w:val="20"/>
                <w:szCs w:val="20"/>
                <w:lang w:eastAsia="es-CR"/>
              </w:rPr>
              <w:t>Otros servicios básicos</w:t>
            </w:r>
          </w:p>
        </w:tc>
        <w:tc>
          <w:tcPr>
            <w:tcW w:w="1328" w:type="dxa"/>
            <w:tcBorders>
              <w:top w:val="nil"/>
              <w:left w:val="nil"/>
              <w:bottom w:val="nil"/>
              <w:right w:val="single" w:sz="8" w:space="0" w:color="auto"/>
            </w:tcBorders>
            <w:shd w:val="clear" w:color="auto" w:fill="auto"/>
            <w:noWrap/>
            <w:vAlign w:val="center"/>
            <w:hideMark/>
          </w:tcPr>
          <w:p w14:paraId="718AFBAA" w14:textId="77777777" w:rsidR="00C81855" w:rsidRPr="00C81855" w:rsidRDefault="00C81855" w:rsidP="00C81855">
            <w:pPr>
              <w:spacing w:after="0" w:line="240" w:lineRule="auto"/>
              <w:jc w:val="right"/>
              <w:rPr>
                <w:rFonts w:eastAsia="Times New Roman" w:cs="Calibri"/>
                <w:sz w:val="20"/>
                <w:szCs w:val="20"/>
                <w:lang w:eastAsia="es-CR"/>
              </w:rPr>
            </w:pPr>
            <w:r w:rsidRPr="00C81855">
              <w:rPr>
                <w:rFonts w:ascii="Arial" w:eastAsia="Times New Roman" w:hAnsi="Arial" w:cs="Arial"/>
                <w:sz w:val="20"/>
                <w:szCs w:val="20"/>
                <w:lang w:eastAsia="es-CR"/>
              </w:rPr>
              <w:t>₡</w:t>
            </w:r>
            <w:r w:rsidRPr="00C81855">
              <w:rPr>
                <w:rFonts w:eastAsia="Times New Roman" w:cs="Calibri"/>
                <w:sz w:val="20"/>
                <w:szCs w:val="20"/>
                <w:lang w:eastAsia="es-CR"/>
              </w:rPr>
              <w:t>142 226,79</w:t>
            </w:r>
          </w:p>
        </w:tc>
        <w:tc>
          <w:tcPr>
            <w:tcW w:w="1918" w:type="dxa"/>
            <w:tcBorders>
              <w:top w:val="nil"/>
              <w:left w:val="nil"/>
              <w:bottom w:val="nil"/>
              <w:right w:val="single" w:sz="8" w:space="0" w:color="auto"/>
            </w:tcBorders>
            <w:shd w:val="clear" w:color="auto" w:fill="auto"/>
            <w:noWrap/>
            <w:vAlign w:val="center"/>
            <w:hideMark/>
          </w:tcPr>
          <w:p w14:paraId="7BE5A729" w14:textId="77777777" w:rsidR="00C81855" w:rsidRPr="00C81855" w:rsidRDefault="00C81855" w:rsidP="00C81855">
            <w:pPr>
              <w:spacing w:after="0" w:line="240" w:lineRule="auto"/>
              <w:jc w:val="right"/>
              <w:rPr>
                <w:rFonts w:eastAsia="Times New Roman" w:cs="Calibri"/>
                <w:sz w:val="20"/>
                <w:szCs w:val="20"/>
                <w:lang w:eastAsia="es-CR"/>
              </w:rPr>
            </w:pPr>
            <w:r w:rsidRPr="00C81855">
              <w:rPr>
                <w:rFonts w:ascii="Arial" w:eastAsia="Times New Roman" w:hAnsi="Arial" w:cs="Arial"/>
                <w:sz w:val="20"/>
                <w:szCs w:val="20"/>
                <w:lang w:eastAsia="es-CR"/>
              </w:rPr>
              <w:t>₡</w:t>
            </w:r>
            <w:r w:rsidRPr="00C81855">
              <w:rPr>
                <w:rFonts w:eastAsia="Times New Roman" w:cs="Calibri"/>
                <w:sz w:val="20"/>
                <w:szCs w:val="20"/>
                <w:lang w:eastAsia="es-CR"/>
              </w:rPr>
              <w:t>144 179,97</w:t>
            </w:r>
          </w:p>
        </w:tc>
        <w:tc>
          <w:tcPr>
            <w:tcW w:w="1558" w:type="dxa"/>
            <w:tcBorders>
              <w:top w:val="nil"/>
              <w:left w:val="nil"/>
              <w:bottom w:val="nil"/>
              <w:right w:val="single" w:sz="8" w:space="0" w:color="auto"/>
            </w:tcBorders>
            <w:shd w:val="clear" w:color="auto" w:fill="auto"/>
            <w:noWrap/>
            <w:vAlign w:val="center"/>
            <w:hideMark/>
          </w:tcPr>
          <w:p w14:paraId="344ABA38" w14:textId="77777777" w:rsidR="00C81855" w:rsidRPr="00C81855" w:rsidRDefault="00C81855" w:rsidP="00C81855">
            <w:pPr>
              <w:spacing w:after="0" w:line="240" w:lineRule="auto"/>
              <w:jc w:val="right"/>
              <w:rPr>
                <w:rFonts w:eastAsia="Times New Roman" w:cs="Calibri"/>
                <w:color w:val="000000"/>
                <w:sz w:val="20"/>
                <w:szCs w:val="20"/>
                <w:lang w:eastAsia="es-CR"/>
              </w:rPr>
            </w:pPr>
            <w:r w:rsidRPr="00C81855">
              <w:rPr>
                <w:rFonts w:eastAsia="Times New Roman" w:cs="Calibri"/>
                <w:color w:val="000000"/>
                <w:sz w:val="20"/>
                <w:szCs w:val="20"/>
                <w:lang w:eastAsia="es-CR"/>
              </w:rPr>
              <w:t>-1 953,18</w:t>
            </w:r>
          </w:p>
        </w:tc>
        <w:tc>
          <w:tcPr>
            <w:tcW w:w="457" w:type="dxa"/>
            <w:tcBorders>
              <w:top w:val="nil"/>
              <w:left w:val="nil"/>
              <w:bottom w:val="nil"/>
              <w:right w:val="single" w:sz="8" w:space="0" w:color="auto"/>
            </w:tcBorders>
            <w:shd w:val="clear" w:color="auto" w:fill="auto"/>
            <w:vAlign w:val="center"/>
            <w:hideMark/>
          </w:tcPr>
          <w:p w14:paraId="31D6C698" w14:textId="77777777" w:rsidR="00C81855" w:rsidRPr="00C81855" w:rsidRDefault="00C81855" w:rsidP="00C81855">
            <w:pPr>
              <w:spacing w:after="0" w:line="240" w:lineRule="auto"/>
              <w:jc w:val="center"/>
              <w:rPr>
                <w:rFonts w:eastAsia="Times New Roman" w:cs="Calibri"/>
                <w:color w:val="000000"/>
                <w:sz w:val="20"/>
                <w:szCs w:val="20"/>
                <w:lang w:eastAsia="es-CR"/>
              </w:rPr>
            </w:pPr>
            <w:r w:rsidRPr="00C81855">
              <w:rPr>
                <w:rFonts w:eastAsia="Times New Roman" w:cs="Calibri"/>
                <w:color w:val="000000"/>
                <w:sz w:val="20"/>
                <w:szCs w:val="20"/>
                <w:lang w:eastAsia="es-CR"/>
              </w:rPr>
              <w:t>-1,35%</w:t>
            </w:r>
          </w:p>
        </w:tc>
        <w:tc>
          <w:tcPr>
            <w:tcW w:w="1149" w:type="dxa"/>
            <w:vAlign w:val="center"/>
            <w:hideMark/>
          </w:tcPr>
          <w:p w14:paraId="178D7D4D" w14:textId="77777777" w:rsidR="00C81855" w:rsidRPr="00C81855" w:rsidRDefault="00C81855" w:rsidP="00C81855">
            <w:pPr>
              <w:spacing w:after="0" w:line="240" w:lineRule="auto"/>
              <w:jc w:val="left"/>
              <w:rPr>
                <w:rFonts w:ascii="Times New Roman" w:eastAsia="Times New Roman" w:hAnsi="Times New Roman" w:cs="Times New Roman"/>
                <w:sz w:val="20"/>
                <w:szCs w:val="20"/>
                <w:lang w:eastAsia="es-CR"/>
              </w:rPr>
            </w:pPr>
          </w:p>
        </w:tc>
      </w:tr>
      <w:tr w:rsidR="00C81855" w:rsidRPr="00C81855" w14:paraId="6124C944" w14:textId="77777777" w:rsidTr="00061EFB">
        <w:trPr>
          <w:trHeight w:val="309"/>
        </w:trPr>
        <w:tc>
          <w:tcPr>
            <w:tcW w:w="1263" w:type="dxa"/>
            <w:tcBorders>
              <w:top w:val="nil"/>
              <w:left w:val="single" w:sz="8" w:space="0" w:color="auto"/>
              <w:bottom w:val="nil"/>
              <w:right w:val="single" w:sz="8" w:space="0" w:color="auto"/>
            </w:tcBorders>
            <w:shd w:val="clear" w:color="auto" w:fill="auto"/>
            <w:noWrap/>
            <w:vAlign w:val="center"/>
            <w:hideMark/>
          </w:tcPr>
          <w:p w14:paraId="4698EA90" w14:textId="77777777" w:rsidR="00C81855" w:rsidRPr="00C81855" w:rsidRDefault="00C81855" w:rsidP="00C81855">
            <w:pPr>
              <w:spacing w:after="0" w:line="240" w:lineRule="auto"/>
              <w:jc w:val="left"/>
              <w:rPr>
                <w:rFonts w:eastAsia="Times New Roman" w:cs="Calibri"/>
                <w:b/>
                <w:bCs/>
                <w:color w:val="000000"/>
                <w:sz w:val="20"/>
                <w:szCs w:val="20"/>
                <w:lang w:eastAsia="es-CR"/>
              </w:rPr>
            </w:pPr>
            <w:r w:rsidRPr="00C81855">
              <w:rPr>
                <w:rFonts w:eastAsia="Times New Roman" w:cs="Calibri"/>
                <w:b/>
                <w:bCs/>
                <w:color w:val="000000"/>
                <w:sz w:val="20"/>
                <w:szCs w:val="20"/>
                <w:lang w:eastAsia="es-CR"/>
              </w:rPr>
              <w:t>5.1.2.03.</w:t>
            </w:r>
          </w:p>
        </w:tc>
        <w:tc>
          <w:tcPr>
            <w:tcW w:w="3247" w:type="dxa"/>
            <w:tcBorders>
              <w:top w:val="nil"/>
              <w:left w:val="nil"/>
              <w:bottom w:val="nil"/>
              <w:right w:val="single" w:sz="8" w:space="0" w:color="auto"/>
            </w:tcBorders>
            <w:shd w:val="clear" w:color="auto" w:fill="auto"/>
            <w:vAlign w:val="center"/>
            <w:hideMark/>
          </w:tcPr>
          <w:p w14:paraId="736B7ED6" w14:textId="77777777" w:rsidR="00C81855" w:rsidRPr="00C81855" w:rsidRDefault="00C81855" w:rsidP="00C81855">
            <w:pPr>
              <w:spacing w:after="0" w:line="240" w:lineRule="auto"/>
              <w:jc w:val="left"/>
              <w:rPr>
                <w:rFonts w:eastAsia="Times New Roman" w:cs="Calibri"/>
                <w:b/>
                <w:bCs/>
                <w:color w:val="000000"/>
                <w:sz w:val="20"/>
                <w:szCs w:val="20"/>
                <w:lang w:eastAsia="es-CR"/>
              </w:rPr>
            </w:pPr>
            <w:r w:rsidRPr="00C81855">
              <w:rPr>
                <w:rFonts w:eastAsia="Times New Roman" w:cs="Calibri"/>
                <w:b/>
                <w:bCs/>
                <w:color w:val="000000"/>
                <w:sz w:val="20"/>
                <w:szCs w:val="20"/>
                <w:lang w:eastAsia="es-CR"/>
              </w:rPr>
              <w:t>Servicios comerciales y financieros</w:t>
            </w:r>
          </w:p>
        </w:tc>
        <w:tc>
          <w:tcPr>
            <w:tcW w:w="1328" w:type="dxa"/>
            <w:tcBorders>
              <w:top w:val="single" w:sz="8" w:space="0" w:color="auto"/>
              <w:left w:val="nil"/>
              <w:bottom w:val="single" w:sz="8" w:space="0" w:color="auto"/>
              <w:right w:val="single" w:sz="8" w:space="0" w:color="auto"/>
            </w:tcBorders>
            <w:shd w:val="clear" w:color="auto" w:fill="auto"/>
            <w:noWrap/>
            <w:vAlign w:val="bottom"/>
            <w:hideMark/>
          </w:tcPr>
          <w:p w14:paraId="7DEDC07D" w14:textId="77777777" w:rsidR="00C81855" w:rsidRPr="00C81855" w:rsidRDefault="00C81855" w:rsidP="00C81855">
            <w:pPr>
              <w:spacing w:after="0" w:line="240" w:lineRule="auto"/>
              <w:jc w:val="right"/>
              <w:rPr>
                <w:rFonts w:eastAsia="Times New Roman" w:cs="Calibri"/>
                <w:b/>
                <w:bCs/>
                <w:color w:val="000000"/>
                <w:sz w:val="20"/>
                <w:szCs w:val="20"/>
                <w:lang w:eastAsia="es-CR"/>
              </w:rPr>
            </w:pPr>
            <w:r w:rsidRPr="00C81855">
              <w:rPr>
                <w:rFonts w:ascii="Arial" w:eastAsia="Times New Roman" w:hAnsi="Arial" w:cs="Arial"/>
                <w:b/>
                <w:bCs/>
                <w:color w:val="000000"/>
                <w:sz w:val="20"/>
                <w:szCs w:val="20"/>
                <w:lang w:eastAsia="es-CR"/>
              </w:rPr>
              <w:t>₡</w:t>
            </w:r>
            <w:r w:rsidRPr="00C81855">
              <w:rPr>
                <w:rFonts w:eastAsia="Times New Roman" w:cs="Calibri"/>
                <w:b/>
                <w:bCs/>
                <w:color w:val="000000"/>
                <w:sz w:val="20"/>
                <w:szCs w:val="20"/>
                <w:lang w:eastAsia="es-CR"/>
              </w:rPr>
              <w:t>29 661,78</w:t>
            </w:r>
          </w:p>
        </w:tc>
        <w:tc>
          <w:tcPr>
            <w:tcW w:w="1918" w:type="dxa"/>
            <w:tcBorders>
              <w:top w:val="single" w:sz="8" w:space="0" w:color="auto"/>
              <w:left w:val="nil"/>
              <w:bottom w:val="single" w:sz="8" w:space="0" w:color="auto"/>
              <w:right w:val="single" w:sz="8" w:space="0" w:color="auto"/>
            </w:tcBorders>
            <w:shd w:val="clear" w:color="auto" w:fill="auto"/>
            <w:noWrap/>
            <w:vAlign w:val="bottom"/>
            <w:hideMark/>
          </w:tcPr>
          <w:p w14:paraId="24FE7937" w14:textId="77777777" w:rsidR="00C81855" w:rsidRPr="00C81855" w:rsidRDefault="00C81855" w:rsidP="00C81855">
            <w:pPr>
              <w:spacing w:after="0" w:line="240" w:lineRule="auto"/>
              <w:jc w:val="right"/>
              <w:rPr>
                <w:rFonts w:eastAsia="Times New Roman" w:cs="Calibri"/>
                <w:b/>
                <w:bCs/>
                <w:color w:val="000000"/>
                <w:sz w:val="20"/>
                <w:szCs w:val="20"/>
                <w:lang w:eastAsia="es-CR"/>
              </w:rPr>
            </w:pPr>
            <w:r w:rsidRPr="00C81855">
              <w:rPr>
                <w:rFonts w:ascii="Arial" w:eastAsia="Times New Roman" w:hAnsi="Arial" w:cs="Arial"/>
                <w:b/>
                <w:bCs/>
                <w:color w:val="000000"/>
                <w:sz w:val="20"/>
                <w:szCs w:val="20"/>
                <w:lang w:eastAsia="es-CR"/>
              </w:rPr>
              <w:t>₡</w:t>
            </w:r>
            <w:r w:rsidRPr="00C81855">
              <w:rPr>
                <w:rFonts w:eastAsia="Times New Roman" w:cs="Calibri"/>
                <w:b/>
                <w:bCs/>
                <w:color w:val="000000"/>
                <w:sz w:val="20"/>
                <w:szCs w:val="20"/>
                <w:lang w:eastAsia="es-CR"/>
              </w:rPr>
              <w:t>37 714,11</w:t>
            </w:r>
          </w:p>
        </w:tc>
        <w:tc>
          <w:tcPr>
            <w:tcW w:w="1558" w:type="dxa"/>
            <w:tcBorders>
              <w:top w:val="single" w:sz="8" w:space="0" w:color="auto"/>
              <w:left w:val="nil"/>
              <w:bottom w:val="single" w:sz="8" w:space="0" w:color="auto"/>
              <w:right w:val="single" w:sz="8" w:space="0" w:color="auto"/>
            </w:tcBorders>
            <w:shd w:val="clear" w:color="auto" w:fill="auto"/>
            <w:noWrap/>
            <w:vAlign w:val="bottom"/>
            <w:hideMark/>
          </w:tcPr>
          <w:p w14:paraId="517D0BEB" w14:textId="77777777" w:rsidR="00C81855" w:rsidRPr="00C81855" w:rsidRDefault="00C81855" w:rsidP="00C81855">
            <w:pPr>
              <w:spacing w:after="0" w:line="240" w:lineRule="auto"/>
              <w:jc w:val="right"/>
              <w:rPr>
                <w:rFonts w:eastAsia="Times New Roman" w:cs="Calibri"/>
                <w:b/>
                <w:bCs/>
                <w:color w:val="000000"/>
                <w:sz w:val="20"/>
                <w:szCs w:val="20"/>
                <w:lang w:eastAsia="es-CR"/>
              </w:rPr>
            </w:pPr>
            <w:r w:rsidRPr="00C81855">
              <w:rPr>
                <w:rFonts w:eastAsia="Times New Roman" w:cs="Calibri"/>
                <w:b/>
                <w:bCs/>
                <w:color w:val="000000"/>
                <w:sz w:val="20"/>
                <w:szCs w:val="20"/>
                <w:lang w:eastAsia="es-CR"/>
              </w:rPr>
              <w:t>-</w:t>
            </w:r>
            <w:r w:rsidRPr="00C81855">
              <w:rPr>
                <w:rFonts w:ascii="Arial" w:eastAsia="Times New Roman" w:hAnsi="Arial" w:cs="Arial"/>
                <w:b/>
                <w:bCs/>
                <w:color w:val="000000"/>
                <w:sz w:val="20"/>
                <w:szCs w:val="20"/>
                <w:lang w:eastAsia="es-CR"/>
              </w:rPr>
              <w:t>₡</w:t>
            </w:r>
            <w:r w:rsidRPr="00C81855">
              <w:rPr>
                <w:rFonts w:eastAsia="Times New Roman" w:cs="Calibri"/>
                <w:b/>
                <w:bCs/>
                <w:color w:val="000000"/>
                <w:sz w:val="20"/>
                <w:szCs w:val="20"/>
                <w:lang w:eastAsia="es-CR"/>
              </w:rPr>
              <w:t>8 052,33</w:t>
            </w:r>
          </w:p>
        </w:tc>
        <w:tc>
          <w:tcPr>
            <w:tcW w:w="457" w:type="dxa"/>
            <w:tcBorders>
              <w:top w:val="single" w:sz="8" w:space="0" w:color="auto"/>
              <w:left w:val="nil"/>
              <w:bottom w:val="single" w:sz="8" w:space="0" w:color="auto"/>
              <w:right w:val="single" w:sz="8" w:space="0" w:color="auto"/>
            </w:tcBorders>
            <w:shd w:val="clear" w:color="auto" w:fill="auto"/>
            <w:vAlign w:val="center"/>
            <w:hideMark/>
          </w:tcPr>
          <w:p w14:paraId="453F2783" w14:textId="77777777" w:rsidR="00C81855" w:rsidRPr="00C81855" w:rsidRDefault="00C81855" w:rsidP="00C81855">
            <w:pPr>
              <w:spacing w:after="0" w:line="240" w:lineRule="auto"/>
              <w:jc w:val="center"/>
              <w:rPr>
                <w:rFonts w:eastAsia="Times New Roman" w:cs="Calibri"/>
                <w:b/>
                <w:bCs/>
                <w:color w:val="000000"/>
                <w:sz w:val="20"/>
                <w:szCs w:val="20"/>
                <w:lang w:eastAsia="es-CR"/>
              </w:rPr>
            </w:pPr>
            <w:r w:rsidRPr="00C81855">
              <w:rPr>
                <w:rFonts w:eastAsia="Times New Roman" w:cs="Calibri"/>
                <w:b/>
                <w:bCs/>
                <w:color w:val="000000"/>
                <w:sz w:val="20"/>
                <w:szCs w:val="20"/>
                <w:lang w:eastAsia="es-CR"/>
              </w:rPr>
              <w:t>-21,35%</w:t>
            </w:r>
          </w:p>
        </w:tc>
        <w:tc>
          <w:tcPr>
            <w:tcW w:w="1149" w:type="dxa"/>
            <w:vAlign w:val="center"/>
            <w:hideMark/>
          </w:tcPr>
          <w:p w14:paraId="22DBB112" w14:textId="77777777" w:rsidR="00C81855" w:rsidRPr="00C81855" w:rsidRDefault="00C81855" w:rsidP="00C81855">
            <w:pPr>
              <w:spacing w:after="0" w:line="240" w:lineRule="auto"/>
              <w:jc w:val="left"/>
              <w:rPr>
                <w:rFonts w:ascii="Times New Roman" w:eastAsia="Times New Roman" w:hAnsi="Times New Roman" w:cs="Times New Roman"/>
                <w:sz w:val="20"/>
                <w:szCs w:val="20"/>
                <w:lang w:eastAsia="es-CR"/>
              </w:rPr>
            </w:pPr>
          </w:p>
        </w:tc>
      </w:tr>
      <w:tr w:rsidR="00C81855" w:rsidRPr="00C81855" w14:paraId="795B13B5" w14:textId="77777777" w:rsidTr="00061EFB">
        <w:trPr>
          <w:trHeight w:val="294"/>
        </w:trPr>
        <w:tc>
          <w:tcPr>
            <w:tcW w:w="1263" w:type="dxa"/>
            <w:tcBorders>
              <w:top w:val="nil"/>
              <w:left w:val="single" w:sz="8" w:space="0" w:color="auto"/>
              <w:bottom w:val="nil"/>
              <w:right w:val="single" w:sz="8" w:space="0" w:color="auto"/>
            </w:tcBorders>
            <w:shd w:val="clear" w:color="auto" w:fill="auto"/>
            <w:noWrap/>
            <w:vAlign w:val="bottom"/>
            <w:hideMark/>
          </w:tcPr>
          <w:p w14:paraId="5B4A2BB7" w14:textId="77777777" w:rsidR="00C81855" w:rsidRPr="00C81855" w:rsidRDefault="00C81855" w:rsidP="00C81855">
            <w:pPr>
              <w:spacing w:after="0" w:line="240" w:lineRule="auto"/>
              <w:jc w:val="left"/>
              <w:rPr>
                <w:rFonts w:eastAsia="Times New Roman" w:cs="Calibri"/>
                <w:color w:val="000000"/>
                <w:sz w:val="20"/>
                <w:szCs w:val="20"/>
                <w:lang w:eastAsia="es-CR"/>
              </w:rPr>
            </w:pPr>
            <w:r w:rsidRPr="00C81855">
              <w:rPr>
                <w:rFonts w:eastAsia="Times New Roman" w:cs="Calibri"/>
                <w:color w:val="000000"/>
                <w:sz w:val="20"/>
                <w:szCs w:val="20"/>
                <w:lang w:eastAsia="es-CR"/>
              </w:rPr>
              <w:lastRenderedPageBreak/>
              <w:t>5.1.2.03.01.</w:t>
            </w:r>
          </w:p>
        </w:tc>
        <w:tc>
          <w:tcPr>
            <w:tcW w:w="3247" w:type="dxa"/>
            <w:tcBorders>
              <w:top w:val="nil"/>
              <w:left w:val="nil"/>
              <w:bottom w:val="nil"/>
              <w:right w:val="single" w:sz="8" w:space="0" w:color="auto"/>
            </w:tcBorders>
            <w:shd w:val="clear" w:color="auto" w:fill="auto"/>
            <w:noWrap/>
            <w:vAlign w:val="bottom"/>
            <w:hideMark/>
          </w:tcPr>
          <w:p w14:paraId="477BE88B" w14:textId="77777777" w:rsidR="00C81855" w:rsidRPr="00C81855" w:rsidRDefault="00C81855" w:rsidP="00C81855">
            <w:pPr>
              <w:spacing w:after="0" w:line="240" w:lineRule="auto"/>
              <w:jc w:val="left"/>
              <w:rPr>
                <w:rFonts w:eastAsia="Times New Roman" w:cs="Calibri"/>
                <w:color w:val="000000"/>
                <w:sz w:val="20"/>
                <w:szCs w:val="20"/>
                <w:lang w:eastAsia="es-CR"/>
              </w:rPr>
            </w:pPr>
            <w:r w:rsidRPr="00C81855">
              <w:rPr>
                <w:rFonts w:eastAsia="Times New Roman" w:cs="Calibri"/>
                <w:color w:val="000000"/>
                <w:sz w:val="20"/>
                <w:szCs w:val="20"/>
                <w:lang w:eastAsia="es-CR"/>
              </w:rPr>
              <w:t>Servicios de información</w:t>
            </w:r>
          </w:p>
        </w:tc>
        <w:tc>
          <w:tcPr>
            <w:tcW w:w="1328" w:type="dxa"/>
            <w:tcBorders>
              <w:top w:val="nil"/>
              <w:left w:val="nil"/>
              <w:bottom w:val="nil"/>
              <w:right w:val="single" w:sz="8" w:space="0" w:color="auto"/>
            </w:tcBorders>
            <w:shd w:val="clear" w:color="auto" w:fill="auto"/>
            <w:noWrap/>
            <w:vAlign w:val="center"/>
            <w:hideMark/>
          </w:tcPr>
          <w:p w14:paraId="7794E6E6" w14:textId="77777777" w:rsidR="00C81855" w:rsidRPr="00C81855" w:rsidRDefault="00C81855" w:rsidP="00C81855">
            <w:pPr>
              <w:spacing w:after="0" w:line="240" w:lineRule="auto"/>
              <w:jc w:val="right"/>
              <w:rPr>
                <w:rFonts w:eastAsia="Times New Roman" w:cs="Calibri"/>
                <w:sz w:val="20"/>
                <w:szCs w:val="20"/>
                <w:lang w:eastAsia="es-CR"/>
              </w:rPr>
            </w:pPr>
            <w:r w:rsidRPr="00C81855">
              <w:rPr>
                <w:rFonts w:ascii="Arial" w:eastAsia="Times New Roman" w:hAnsi="Arial" w:cs="Arial"/>
                <w:sz w:val="20"/>
                <w:szCs w:val="20"/>
                <w:lang w:eastAsia="es-CR"/>
              </w:rPr>
              <w:t>₡</w:t>
            </w:r>
            <w:r w:rsidRPr="00C81855">
              <w:rPr>
                <w:rFonts w:eastAsia="Times New Roman" w:cs="Calibri"/>
                <w:sz w:val="20"/>
                <w:szCs w:val="20"/>
                <w:lang w:eastAsia="es-CR"/>
              </w:rPr>
              <w:t>566,08</w:t>
            </w:r>
          </w:p>
        </w:tc>
        <w:tc>
          <w:tcPr>
            <w:tcW w:w="1918" w:type="dxa"/>
            <w:tcBorders>
              <w:top w:val="nil"/>
              <w:left w:val="nil"/>
              <w:bottom w:val="nil"/>
              <w:right w:val="single" w:sz="8" w:space="0" w:color="auto"/>
            </w:tcBorders>
            <w:shd w:val="clear" w:color="auto" w:fill="auto"/>
            <w:noWrap/>
            <w:vAlign w:val="center"/>
            <w:hideMark/>
          </w:tcPr>
          <w:p w14:paraId="266AED8F" w14:textId="77777777" w:rsidR="00C81855" w:rsidRPr="00C81855" w:rsidRDefault="00C81855" w:rsidP="00C81855">
            <w:pPr>
              <w:spacing w:after="0" w:line="240" w:lineRule="auto"/>
              <w:jc w:val="right"/>
              <w:rPr>
                <w:rFonts w:eastAsia="Times New Roman" w:cs="Calibri"/>
                <w:sz w:val="20"/>
                <w:szCs w:val="20"/>
                <w:lang w:eastAsia="es-CR"/>
              </w:rPr>
            </w:pPr>
            <w:r w:rsidRPr="00C81855">
              <w:rPr>
                <w:rFonts w:ascii="Arial" w:eastAsia="Times New Roman" w:hAnsi="Arial" w:cs="Arial"/>
                <w:sz w:val="20"/>
                <w:szCs w:val="20"/>
                <w:lang w:eastAsia="es-CR"/>
              </w:rPr>
              <w:t>₡</w:t>
            </w:r>
            <w:r w:rsidRPr="00C81855">
              <w:rPr>
                <w:rFonts w:eastAsia="Times New Roman" w:cs="Calibri"/>
                <w:sz w:val="20"/>
                <w:szCs w:val="20"/>
                <w:lang w:eastAsia="es-CR"/>
              </w:rPr>
              <w:t>2 268,22</w:t>
            </w:r>
          </w:p>
        </w:tc>
        <w:tc>
          <w:tcPr>
            <w:tcW w:w="1558" w:type="dxa"/>
            <w:tcBorders>
              <w:top w:val="nil"/>
              <w:left w:val="nil"/>
              <w:bottom w:val="nil"/>
              <w:right w:val="single" w:sz="8" w:space="0" w:color="auto"/>
            </w:tcBorders>
            <w:shd w:val="clear" w:color="auto" w:fill="auto"/>
            <w:noWrap/>
            <w:vAlign w:val="center"/>
            <w:hideMark/>
          </w:tcPr>
          <w:p w14:paraId="6F283EEB" w14:textId="77777777" w:rsidR="00C81855" w:rsidRPr="00C81855" w:rsidRDefault="00C81855" w:rsidP="00C81855">
            <w:pPr>
              <w:spacing w:after="0" w:line="240" w:lineRule="auto"/>
              <w:jc w:val="right"/>
              <w:rPr>
                <w:rFonts w:eastAsia="Times New Roman" w:cs="Calibri"/>
                <w:color w:val="000000"/>
                <w:sz w:val="20"/>
                <w:szCs w:val="20"/>
                <w:lang w:eastAsia="es-CR"/>
              </w:rPr>
            </w:pPr>
            <w:r w:rsidRPr="00C81855">
              <w:rPr>
                <w:rFonts w:eastAsia="Times New Roman" w:cs="Calibri"/>
                <w:color w:val="000000"/>
                <w:sz w:val="20"/>
                <w:szCs w:val="20"/>
                <w:lang w:eastAsia="es-CR"/>
              </w:rPr>
              <w:t>-1 702,15</w:t>
            </w:r>
          </w:p>
        </w:tc>
        <w:tc>
          <w:tcPr>
            <w:tcW w:w="457" w:type="dxa"/>
            <w:tcBorders>
              <w:top w:val="nil"/>
              <w:left w:val="nil"/>
              <w:bottom w:val="nil"/>
              <w:right w:val="single" w:sz="8" w:space="0" w:color="auto"/>
            </w:tcBorders>
            <w:shd w:val="clear" w:color="auto" w:fill="auto"/>
            <w:vAlign w:val="center"/>
            <w:hideMark/>
          </w:tcPr>
          <w:p w14:paraId="7602B182" w14:textId="77777777" w:rsidR="00C81855" w:rsidRPr="00C81855" w:rsidRDefault="00C81855" w:rsidP="00C81855">
            <w:pPr>
              <w:spacing w:after="0" w:line="240" w:lineRule="auto"/>
              <w:jc w:val="center"/>
              <w:rPr>
                <w:rFonts w:eastAsia="Times New Roman" w:cs="Calibri"/>
                <w:color w:val="000000"/>
                <w:sz w:val="20"/>
                <w:szCs w:val="20"/>
                <w:lang w:eastAsia="es-CR"/>
              </w:rPr>
            </w:pPr>
            <w:r w:rsidRPr="00C81855">
              <w:rPr>
                <w:rFonts w:eastAsia="Times New Roman" w:cs="Calibri"/>
                <w:color w:val="000000"/>
                <w:sz w:val="20"/>
                <w:szCs w:val="20"/>
                <w:lang w:eastAsia="es-CR"/>
              </w:rPr>
              <w:t>-75,04%</w:t>
            </w:r>
          </w:p>
        </w:tc>
        <w:tc>
          <w:tcPr>
            <w:tcW w:w="1149" w:type="dxa"/>
            <w:vAlign w:val="center"/>
            <w:hideMark/>
          </w:tcPr>
          <w:p w14:paraId="6060B70B" w14:textId="77777777" w:rsidR="00C81855" w:rsidRPr="00C81855" w:rsidRDefault="00C81855" w:rsidP="00C81855">
            <w:pPr>
              <w:spacing w:after="0" w:line="240" w:lineRule="auto"/>
              <w:jc w:val="left"/>
              <w:rPr>
                <w:rFonts w:ascii="Times New Roman" w:eastAsia="Times New Roman" w:hAnsi="Times New Roman" w:cs="Times New Roman"/>
                <w:sz w:val="20"/>
                <w:szCs w:val="20"/>
                <w:lang w:eastAsia="es-CR"/>
              </w:rPr>
            </w:pPr>
          </w:p>
        </w:tc>
      </w:tr>
      <w:tr w:rsidR="00C81855" w:rsidRPr="00C81855" w14:paraId="30F09A59" w14:textId="77777777" w:rsidTr="00061EFB">
        <w:trPr>
          <w:trHeight w:val="294"/>
        </w:trPr>
        <w:tc>
          <w:tcPr>
            <w:tcW w:w="1263" w:type="dxa"/>
            <w:tcBorders>
              <w:top w:val="nil"/>
              <w:left w:val="single" w:sz="8" w:space="0" w:color="auto"/>
              <w:bottom w:val="nil"/>
              <w:right w:val="single" w:sz="8" w:space="0" w:color="auto"/>
            </w:tcBorders>
            <w:shd w:val="clear" w:color="auto" w:fill="auto"/>
            <w:noWrap/>
            <w:vAlign w:val="bottom"/>
            <w:hideMark/>
          </w:tcPr>
          <w:p w14:paraId="36100A7B" w14:textId="77777777" w:rsidR="00C81855" w:rsidRPr="00C81855" w:rsidRDefault="00C81855" w:rsidP="00C81855">
            <w:pPr>
              <w:spacing w:after="0" w:line="240" w:lineRule="auto"/>
              <w:jc w:val="left"/>
              <w:rPr>
                <w:rFonts w:eastAsia="Times New Roman" w:cs="Calibri"/>
                <w:color w:val="000000"/>
                <w:sz w:val="20"/>
                <w:szCs w:val="20"/>
                <w:lang w:eastAsia="es-CR"/>
              </w:rPr>
            </w:pPr>
            <w:r w:rsidRPr="00C81855">
              <w:rPr>
                <w:rFonts w:eastAsia="Times New Roman" w:cs="Calibri"/>
                <w:color w:val="000000"/>
                <w:sz w:val="20"/>
                <w:szCs w:val="20"/>
                <w:lang w:eastAsia="es-CR"/>
              </w:rPr>
              <w:t>5.1.2.03.02.</w:t>
            </w:r>
          </w:p>
        </w:tc>
        <w:tc>
          <w:tcPr>
            <w:tcW w:w="3247" w:type="dxa"/>
            <w:tcBorders>
              <w:top w:val="nil"/>
              <w:left w:val="nil"/>
              <w:bottom w:val="nil"/>
              <w:right w:val="single" w:sz="8" w:space="0" w:color="auto"/>
            </w:tcBorders>
            <w:shd w:val="clear" w:color="auto" w:fill="auto"/>
            <w:noWrap/>
            <w:vAlign w:val="bottom"/>
            <w:hideMark/>
          </w:tcPr>
          <w:p w14:paraId="206ED0C0" w14:textId="77777777" w:rsidR="00C81855" w:rsidRPr="00C81855" w:rsidRDefault="00C81855" w:rsidP="00C81855">
            <w:pPr>
              <w:spacing w:after="0" w:line="240" w:lineRule="auto"/>
              <w:jc w:val="left"/>
              <w:rPr>
                <w:rFonts w:eastAsia="Times New Roman" w:cs="Calibri"/>
                <w:color w:val="000000"/>
                <w:sz w:val="20"/>
                <w:szCs w:val="20"/>
                <w:lang w:eastAsia="es-CR"/>
              </w:rPr>
            </w:pPr>
            <w:r w:rsidRPr="00C81855">
              <w:rPr>
                <w:rFonts w:eastAsia="Times New Roman" w:cs="Calibri"/>
                <w:color w:val="000000"/>
                <w:sz w:val="20"/>
                <w:szCs w:val="20"/>
                <w:lang w:eastAsia="es-CR"/>
              </w:rPr>
              <w:t>Publicidad y propaganda</w:t>
            </w:r>
          </w:p>
        </w:tc>
        <w:tc>
          <w:tcPr>
            <w:tcW w:w="1328" w:type="dxa"/>
            <w:tcBorders>
              <w:top w:val="nil"/>
              <w:left w:val="nil"/>
              <w:bottom w:val="nil"/>
              <w:right w:val="single" w:sz="8" w:space="0" w:color="auto"/>
            </w:tcBorders>
            <w:shd w:val="clear" w:color="auto" w:fill="auto"/>
            <w:noWrap/>
            <w:vAlign w:val="center"/>
            <w:hideMark/>
          </w:tcPr>
          <w:p w14:paraId="564B14D7" w14:textId="77777777" w:rsidR="00C81855" w:rsidRPr="00C81855" w:rsidRDefault="00C81855" w:rsidP="00C81855">
            <w:pPr>
              <w:spacing w:after="0" w:line="240" w:lineRule="auto"/>
              <w:jc w:val="right"/>
              <w:rPr>
                <w:rFonts w:eastAsia="Times New Roman" w:cs="Calibri"/>
                <w:sz w:val="20"/>
                <w:szCs w:val="20"/>
                <w:lang w:eastAsia="es-CR"/>
              </w:rPr>
            </w:pPr>
            <w:r w:rsidRPr="00C81855">
              <w:rPr>
                <w:rFonts w:ascii="Arial" w:eastAsia="Times New Roman" w:hAnsi="Arial" w:cs="Arial"/>
                <w:sz w:val="20"/>
                <w:szCs w:val="20"/>
                <w:lang w:eastAsia="es-CR"/>
              </w:rPr>
              <w:t>₡</w:t>
            </w:r>
            <w:r w:rsidRPr="00C81855">
              <w:rPr>
                <w:rFonts w:eastAsia="Times New Roman" w:cs="Calibri"/>
                <w:sz w:val="20"/>
                <w:szCs w:val="20"/>
                <w:lang w:eastAsia="es-CR"/>
              </w:rPr>
              <w:t>150,00</w:t>
            </w:r>
          </w:p>
        </w:tc>
        <w:tc>
          <w:tcPr>
            <w:tcW w:w="1918" w:type="dxa"/>
            <w:tcBorders>
              <w:top w:val="nil"/>
              <w:left w:val="nil"/>
              <w:bottom w:val="nil"/>
              <w:right w:val="single" w:sz="8" w:space="0" w:color="auto"/>
            </w:tcBorders>
            <w:shd w:val="clear" w:color="auto" w:fill="auto"/>
            <w:noWrap/>
            <w:vAlign w:val="center"/>
            <w:hideMark/>
          </w:tcPr>
          <w:p w14:paraId="196B53B3" w14:textId="77777777" w:rsidR="00C81855" w:rsidRPr="00C81855" w:rsidRDefault="00C81855" w:rsidP="00C81855">
            <w:pPr>
              <w:spacing w:after="0" w:line="240" w:lineRule="auto"/>
              <w:jc w:val="right"/>
              <w:rPr>
                <w:rFonts w:eastAsia="Times New Roman" w:cs="Calibri"/>
                <w:sz w:val="20"/>
                <w:szCs w:val="20"/>
                <w:lang w:eastAsia="es-CR"/>
              </w:rPr>
            </w:pPr>
            <w:r w:rsidRPr="00C81855">
              <w:rPr>
                <w:rFonts w:ascii="Arial" w:eastAsia="Times New Roman" w:hAnsi="Arial" w:cs="Arial"/>
                <w:sz w:val="20"/>
                <w:szCs w:val="20"/>
                <w:lang w:eastAsia="es-CR"/>
              </w:rPr>
              <w:t>₡</w:t>
            </w:r>
            <w:r w:rsidRPr="00C81855">
              <w:rPr>
                <w:rFonts w:eastAsia="Times New Roman" w:cs="Calibri"/>
                <w:sz w:val="20"/>
                <w:szCs w:val="20"/>
                <w:lang w:eastAsia="es-CR"/>
              </w:rPr>
              <w:t>215,00</w:t>
            </w:r>
          </w:p>
        </w:tc>
        <w:tc>
          <w:tcPr>
            <w:tcW w:w="1558" w:type="dxa"/>
            <w:tcBorders>
              <w:top w:val="nil"/>
              <w:left w:val="nil"/>
              <w:bottom w:val="nil"/>
              <w:right w:val="single" w:sz="8" w:space="0" w:color="auto"/>
            </w:tcBorders>
            <w:shd w:val="clear" w:color="auto" w:fill="auto"/>
            <w:noWrap/>
            <w:vAlign w:val="center"/>
            <w:hideMark/>
          </w:tcPr>
          <w:p w14:paraId="4576BA77" w14:textId="77777777" w:rsidR="00C81855" w:rsidRPr="00C81855" w:rsidRDefault="00C81855" w:rsidP="00C81855">
            <w:pPr>
              <w:spacing w:after="0" w:line="240" w:lineRule="auto"/>
              <w:jc w:val="right"/>
              <w:rPr>
                <w:rFonts w:eastAsia="Times New Roman" w:cs="Calibri"/>
                <w:color w:val="000000"/>
                <w:sz w:val="20"/>
                <w:szCs w:val="20"/>
                <w:lang w:eastAsia="es-CR"/>
              </w:rPr>
            </w:pPr>
            <w:r w:rsidRPr="00C81855">
              <w:rPr>
                <w:rFonts w:eastAsia="Times New Roman" w:cs="Calibri"/>
                <w:color w:val="000000"/>
                <w:sz w:val="20"/>
                <w:szCs w:val="20"/>
                <w:lang w:eastAsia="es-CR"/>
              </w:rPr>
              <w:t>-65,00</w:t>
            </w:r>
          </w:p>
        </w:tc>
        <w:tc>
          <w:tcPr>
            <w:tcW w:w="457" w:type="dxa"/>
            <w:tcBorders>
              <w:top w:val="nil"/>
              <w:left w:val="nil"/>
              <w:bottom w:val="nil"/>
              <w:right w:val="single" w:sz="8" w:space="0" w:color="auto"/>
            </w:tcBorders>
            <w:shd w:val="clear" w:color="auto" w:fill="auto"/>
            <w:vAlign w:val="center"/>
            <w:hideMark/>
          </w:tcPr>
          <w:p w14:paraId="76DC4929" w14:textId="77777777" w:rsidR="00C81855" w:rsidRPr="00C81855" w:rsidRDefault="00C81855" w:rsidP="00C81855">
            <w:pPr>
              <w:spacing w:after="0" w:line="240" w:lineRule="auto"/>
              <w:jc w:val="center"/>
              <w:rPr>
                <w:rFonts w:eastAsia="Times New Roman" w:cs="Calibri"/>
                <w:color w:val="000000"/>
                <w:sz w:val="20"/>
                <w:szCs w:val="20"/>
                <w:lang w:eastAsia="es-CR"/>
              </w:rPr>
            </w:pPr>
            <w:r w:rsidRPr="00C81855">
              <w:rPr>
                <w:rFonts w:eastAsia="Times New Roman" w:cs="Calibri"/>
                <w:color w:val="000000"/>
                <w:sz w:val="20"/>
                <w:szCs w:val="20"/>
                <w:lang w:eastAsia="es-CR"/>
              </w:rPr>
              <w:t>-30,23%</w:t>
            </w:r>
          </w:p>
        </w:tc>
        <w:tc>
          <w:tcPr>
            <w:tcW w:w="1149" w:type="dxa"/>
            <w:vAlign w:val="center"/>
            <w:hideMark/>
          </w:tcPr>
          <w:p w14:paraId="7BEF933E" w14:textId="77777777" w:rsidR="00C81855" w:rsidRPr="00C81855" w:rsidRDefault="00C81855" w:rsidP="00C81855">
            <w:pPr>
              <w:spacing w:after="0" w:line="240" w:lineRule="auto"/>
              <w:jc w:val="left"/>
              <w:rPr>
                <w:rFonts w:ascii="Times New Roman" w:eastAsia="Times New Roman" w:hAnsi="Times New Roman" w:cs="Times New Roman"/>
                <w:sz w:val="20"/>
                <w:szCs w:val="20"/>
                <w:lang w:eastAsia="es-CR"/>
              </w:rPr>
            </w:pPr>
          </w:p>
        </w:tc>
      </w:tr>
      <w:tr w:rsidR="00C81855" w:rsidRPr="00C81855" w14:paraId="34E11667" w14:textId="77777777" w:rsidTr="00061EFB">
        <w:trPr>
          <w:trHeight w:val="294"/>
        </w:trPr>
        <w:tc>
          <w:tcPr>
            <w:tcW w:w="1263" w:type="dxa"/>
            <w:tcBorders>
              <w:top w:val="nil"/>
              <w:left w:val="single" w:sz="8" w:space="0" w:color="auto"/>
              <w:bottom w:val="nil"/>
              <w:right w:val="single" w:sz="8" w:space="0" w:color="auto"/>
            </w:tcBorders>
            <w:shd w:val="clear" w:color="auto" w:fill="auto"/>
            <w:noWrap/>
            <w:vAlign w:val="bottom"/>
            <w:hideMark/>
          </w:tcPr>
          <w:p w14:paraId="195E26AB" w14:textId="77777777" w:rsidR="00C81855" w:rsidRPr="00C81855" w:rsidRDefault="00C81855" w:rsidP="00C81855">
            <w:pPr>
              <w:spacing w:after="0" w:line="240" w:lineRule="auto"/>
              <w:jc w:val="left"/>
              <w:rPr>
                <w:rFonts w:eastAsia="Times New Roman" w:cs="Calibri"/>
                <w:color w:val="000000"/>
                <w:sz w:val="20"/>
                <w:szCs w:val="20"/>
                <w:lang w:eastAsia="es-CR"/>
              </w:rPr>
            </w:pPr>
            <w:r w:rsidRPr="00C81855">
              <w:rPr>
                <w:rFonts w:eastAsia="Times New Roman" w:cs="Calibri"/>
                <w:color w:val="000000"/>
                <w:sz w:val="20"/>
                <w:szCs w:val="20"/>
                <w:lang w:eastAsia="es-CR"/>
              </w:rPr>
              <w:t>5.1.2.03.03.</w:t>
            </w:r>
          </w:p>
        </w:tc>
        <w:tc>
          <w:tcPr>
            <w:tcW w:w="3247" w:type="dxa"/>
            <w:tcBorders>
              <w:top w:val="nil"/>
              <w:left w:val="nil"/>
              <w:bottom w:val="nil"/>
              <w:right w:val="single" w:sz="8" w:space="0" w:color="auto"/>
            </w:tcBorders>
            <w:shd w:val="clear" w:color="auto" w:fill="auto"/>
            <w:noWrap/>
            <w:vAlign w:val="bottom"/>
            <w:hideMark/>
          </w:tcPr>
          <w:p w14:paraId="4BFE3BE5" w14:textId="77777777" w:rsidR="00C81855" w:rsidRPr="00C81855" w:rsidRDefault="00C81855" w:rsidP="00C81855">
            <w:pPr>
              <w:spacing w:after="0" w:line="240" w:lineRule="auto"/>
              <w:jc w:val="left"/>
              <w:rPr>
                <w:rFonts w:eastAsia="Times New Roman" w:cs="Calibri"/>
                <w:color w:val="000000"/>
                <w:sz w:val="20"/>
                <w:szCs w:val="20"/>
                <w:lang w:eastAsia="es-CR"/>
              </w:rPr>
            </w:pPr>
            <w:r w:rsidRPr="00C81855">
              <w:rPr>
                <w:rFonts w:eastAsia="Times New Roman" w:cs="Calibri"/>
                <w:color w:val="000000"/>
                <w:sz w:val="20"/>
                <w:szCs w:val="20"/>
                <w:lang w:eastAsia="es-CR"/>
              </w:rPr>
              <w:t>Impresión, encuadernación y otros</w:t>
            </w:r>
          </w:p>
        </w:tc>
        <w:tc>
          <w:tcPr>
            <w:tcW w:w="1328" w:type="dxa"/>
            <w:tcBorders>
              <w:top w:val="nil"/>
              <w:left w:val="nil"/>
              <w:bottom w:val="nil"/>
              <w:right w:val="single" w:sz="8" w:space="0" w:color="auto"/>
            </w:tcBorders>
            <w:shd w:val="clear" w:color="auto" w:fill="auto"/>
            <w:noWrap/>
            <w:vAlign w:val="center"/>
            <w:hideMark/>
          </w:tcPr>
          <w:p w14:paraId="734CAEDC" w14:textId="77777777" w:rsidR="00C81855" w:rsidRPr="00C81855" w:rsidRDefault="00C81855" w:rsidP="00C81855">
            <w:pPr>
              <w:spacing w:after="0" w:line="240" w:lineRule="auto"/>
              <w:jc w:val="right"/>
              <w:rPr>
                <w:rFonts w:eastAsia="Times New Roman" w:cs="Calibri"/>
                <w:sz w:val="20"/>
                <w:szCs w:val="20"/>
                <w:lang w:eastAsia="es-CR"/>
              </w:rPr>
            </w:pPr>
            <w:r w:rsidRPr="00C81855">
              <w:rPr>
                <w:rFonts w:ascii="Arial" w:eastAsia="Times New Roman" w:hAnsi="Arial" w:cs="Arial"/>
                <w:sz w:val="20"/>
                <w:szCs w:val="20"/>
                <w:lang w:eastAsia="es-CR"/>
              </w:rPr>
              <w:t>₡</w:t>
            </w:r>
            <w:r w:rsidRPr="00C81855">
              <w:rPr>
                <w:rFonts w:eastAsia="Times New Roman" w:cs="Calibri"/>
                <w:sz w:val="20"/>
                <w:szCs w:val="20"/>
                <w:lang w:eastAsia="es-CR"/>
              </w:rPr>
              <w:t>210,00</w:t>
            </w:r>
          </w:p>
        </w:tc>
        <w:tc>
          <w:tcPr>
            <w:tcW w:w="1918" w:type="dxa"/>
            <w:tcBorders>
              <w:top w:val="nil"/>
              <w:left w:val="nil"/>
              <w:bottom w:val="nil"/>
              <w:right w:val="single" w:sz="8" w:space="0" w:color="auto"/>
            </w:tcBorders>
            <w:shd w:val="clear" w:color="auto" w:fill="auto"/>
            <w:noWrap/>
            <w:vAlign w:val="center"/>
            <w:hideMark/>
          </w:tcPr>
          <w:p w14:paraId="5FDD12A0" w14:textId="77777777" w:rsidR="00C81855" w:rsidRPr="00C81855" w:rsidRDefault="00C81855" w:rsidP="00C81855">
            <w:pPr>
              <w:spacing w:after="0" w:line="240" w:lineRule="auto"/>
              <w:jc w:val="right"/>
              <w:rPr>
                <w:rFonts w:eastAsia="Times New Roman" w:cs="Calibri"/>
                <w:sz w:val="20"/>
                <w:szCs w:val="20"/>
                <w:lang w:eastAsia="es-CR"/>
              </w:rPr>
            </w:pPr>
            <w:r w:rsidRPr="00C81855">
              <w:rPr>
                <w:rFonts w:ascii="Arial" w:eastAsia="Times New Roman" w:hAnsi="Arial" w:cs="Arial"/>
                <w:sz w:val="20"/>
                <w:szCs w:val="20"/>
                <w:lang w:eastAsia="es-CR"/>
              </w:rPr>
              <w:t>₡</w:t>
            </w:r>
            <w:r w:rsidRPr="00C81855">
              <w:rPr>
                <w:rFonts w:eastAsia="Times New Roman" w:cs="Calibri"/>
                <w:sz w:val="20"/>
                <w:szCs w:val="20"/>
                <w:lang w:eastAsia="es-CR"/>
              </w:rPr>
              <w:t>1 274,00</w:t>
            </w:r>
          </w:p>
        </w:tc>
        <w:tc>
          <w:tcPr>
            <w:tcW w:w="1558" w:type="dxa"/>
            <w:tcBorders>
              <w:top w:val="nil"/>
              <w:left w:val="nil"/>
              <w:bottom w:val="nil"/>
              <w:right w:val="single" w:sz="8" w:space="0" w:color="auto"/>
            </w:tcBorders>
            <w:shd w:val="clear" w:color="auto" w:fill="auto"/>
            <w:noWrap/>
            <w:vAlign w:val="center"/>
            <w:hideMark/>
          </w:tcPr>
          <w:p w14:paraId="3F2062C3" w14:textId="77777777" w:rsidR="00C81855" w:rsidRPr="00C81855" w:rsidRDefault="00C81855" w:rsidP="00C81855">
            <w:pPr>
              <w:spacing w:after="0" w:line="240" w:lineRule="auto"/>
              <w:jc w:val="right"/>
              <w:rPr>
                <w:rFonts w:eastAsia="Times New Roman" w:cs="Calibri"/>
                <w:color w:val="000000"/>
                <w:sz w:val="20"/>
                <w:szCs w:val="20"/>
                <w:lang w:eastAsia="es-CR"/>
              </w:rPr>
            </w:pPr>
            <w:r w:rsidRPr="00C81855">
              <w:rPr>
                <w:rFonts w:eastAsia="Times New Roman" w:cs="Calibri"/>
                <w:color w:val="000000"/>
                <w:sz w:val="20"/>
                <w:szCs w:val="20"/>
                <w:lang w:eastAsia="es-CR"/>
              </w:rPr>
              <w:t>-1 064,00</w:t>
            </w:r>
          </w:p>
        </w:tc>
        <w:tc>
          <w:tcPr>
            <w:tcW w:w="457" w:type="dxa"/>
            <w:tcBorders>
              <w:top w:val="nil"/>
              <w:left w:val="nil"/>
              <w:bottom w:val="nil"/>
              <w:right w:val="single" w:sz="8" w:space="0" w:color="auto"/>
            </w:tcBorders>
            <w:shd w:val="clear" w:color="auto" w:fill="auto"/>
            <w:vAlign w:val="center"/>
            <w:hideMark/>
          </w:tcPr>
          <w:p w14:paraId="58799620" w14:textId="77777777" w:rsidR="00C81855" w:rsidRPr="00C81855" w:rsidRDefault="00C81855" w:rsidP="00C81855">
            <w:pPr>
              <w:spacing w:after="0" w:line="240" w:lineRule="auto"/>
              <w:jc w:val="center"/>
              <w:rPr>
                <w:rFonts w:eastAsia="Times New Roman" w:cs="Calibri"/>
                <w:color w:val="000000"/>
                <w:sz w:val="20"/>
                <w:szCs w:val="20"/>
                <w:lang w:eastAsia="es-CR"/>
              </w:rPr>
            </w:pPr>
            <w:r w:rsidRPr="00C81855">
              <w:rPr>
                <w:rFonts w:eastAsia="Times New Roman" w:cs="Calibri"/>
                <w:color w:val="000000"/>
                <w:sz w:val="20"/>
                <w:szCs w:val="20"/>
                <w:lang w:eastAsia="es-CR"/>
              </w:rPr>
              <w:t>-83,52%</w:t>
            </w:r>
          </w:p>
        </w:tc>
        <w:tc>
          <w:tcPr>
            <w:tcW w:w="1149" w:type="dxa"/>
            <w:vAlign w:val="center"/>
            <w:hideMark/>
          </w:tcPr>
          <w:p w14:paraId="4B8127CF" w14:textId="77777777" w:rsidR="00C81855" w:rsidRPr="00C81855" w:rsidRDefault="00C81855" w:rsidP="00C81855">
            <w:pPr>
              <w:spacing w:after="0" w:line="240" w:lineRule="auto"/>
              <w:jc w:val="left"/>
              <w:rPr>
                <w:rFonts w:ascii="Times New Roman" w:eastAsia="Times New Roman" w:hAnsi="Times New Roman" w:cs="Times New Roman"/>
                <w:sz w:val="20"/>
                <w:szCs w:val="20"/>
                <w:lang w:eastAsia="es-CR"/>
              </w:rPr>
            </w:pPr>
          </w:p>
        </w:tc>
      </w:tr>
      <w:tr w:rsidR="00C81855" w:rsidRPr="00C81855" w14:paraId="7764A15A" w14:textId="77777777" w:rsidTr="00061EFB">
        <w:trPr>
          <w:trHeight w:val="514"/>
        </w:trPr>
        <w:tc>
          <w:tcPr>
            <w:tcW w:w="1263" w:type="dxa"/>
            <w:tcBorders>
              <w:top w:val="nil"/>
              <w:left w:val="single" w:sz="8" w:space="0" w:color="auto"/>
              <w:bottom w:val="nil"/>
              <w:right w:val="single" w:sz="8" w:space="0" w:color="auto"/>
            </w:tcBorders>
            <w:shd w:val="clear" w:color="auto" w:fill="auto"/>
            <w:noWrap/>
            <w:vAlign w:val="bottom"/>
            <w:hideMark/>
          </w:tcPr>
          <w:p w14:paraId="3A253DF7" w14:textId="77777777" w:rsidR="00C81855" w:rsidRPr="00C81855" w:rsidRDefault="00C81855" w:rsidP="00C81855">
            <w:pPr>
              <w:spacing w:after="0" w:line="240" w:lineRule="auto"/>
              <w:jc w:val="left"/>
              <w:rPr>
                <w:rFonts w:eastAsia="Times New Roman" w:cs="Calibri"/>
                <w:color w:val="000000"/>
                <w:sz w:val="20"/>
                <w:szCs w:val="20"/>
                <w:lang w:eastAsia="es-CR"/>
              </w:rPr>
            </w:pPr>
            <w:r w:rsidRPr="00C81855">
              <w:rPr>
                <w:rFonts w:eastAsia="Times New Roman" w:cs="Calibri"/>
                <w:color w:val="000000"/>
                <w:sz w:val="20"/>
                <w:szCs w:val="20"/>
                <w:lang w:eastAsia="es-CR"/>
              </w:rPr>
              <w:t>5.1.2.03.06.</w:t>
            </w:r>
          </w:p>
        </w:tc>
        <w:tc>
          <w:tcPr>
            <w:tcW w:w="3247" w:type="dxa"/>
            <w:tcBorders>
              <w:top w:val="nil"/>
              <w:left w:val="nil"/>
              <w:bottom w:val="nil"/>
              <w:right w:val="single" w:sz="8" w:space="0" w:color="auto"/>
            </w:tcBorders>
            <w:shd w:val="clear" w:color="auto" w:fill="auto"/>
            <w:vAlign w:val="bottom"/>
            <w:hideMark/>
          </w:tcPr>
          <w:p w14:paraId="41C710AF" w14:textId="77777777" w:rsidR="00C81855" w:rsidRPr="00C81855" w:rsidRDefault="00C81855" w:rsidP="00C81855">
            <w:pPr>
              <w:spacing w:after="0" w:line="240" w:lineRule="auto"/>
              <w:jc w:val="left"/>
              <w:rPr>
                <w:rFonts w:eastAsia="Times New Roman" w:cs="Calibri"/>
                <w:color w:val="000000"/>
                <w:sz w:val="20"/>
                <w:szCs w:val="20"/>
                <w:lang w:eastAsia="es-CR"/>
              </w:rPr>
            </w:pPr>
            <w:r w:rsidRPr="00C81855">
              <w:rPr>
                <w:rFonts w:eastAsia="Times New Roman" w:cs="Calibri"/>
                <w:color w:val="000000"/>
                <w:sz w:val="20"/>
                <w:szCs w:val="20"/>
                <w:lang w:eastAsia="es-CR"/>
              </w:rPr>
              <w:t>Comisiones y gastos por servicios financieros y comerciales</w:t>
            </w:r>
          </w:p>
        </w:tc>
        <w:tc>
          <w:tcPr>
            <w:tcW w:w="1328" w:type="dxa"/>
            <w:tcBorders>
              <w:top w:val="nil"/>
              <w:left w:val="nil"/>
              <w:bottom w:val="nil"/>
              <w:right w:val="single" w:sz="8" w:space="0" w:color="auto"/>
            </w:tcBorders>
            <w:shd w:val="clear" w:color="auto" w:fill="auto"/>
            <w:noWrap/>
            <w:vAlign w:val="center"/>
            <w:hideMark/>
          </w:tcPr>
          <w:p w14:paraId="0CD7EF41" w14:textId="77777777" w:rsidR="00C81855" w:rsidRPr="00C81855" w:rsidRDefault="00C81855" w:rsidP="00C81855">
            <w:pPr>
              <w:spacing w:after="0" w:line="240" w:lineRule="auto"/>
              <w:jc w:val="right"/>
              <w:rPr>
                <w:rFonts w:eastAsia="Times New Roman" w:cs="Calibri"/>
                <w:sz w:val="20"/>
                <w:szCs w:val="20"/>
                <w:lang w:eastAsia="es-CR"/>
              </w:rPr>
            </w:pPr>
            <w:r w:rsidRPr="00C81855">
              <w:rPr>
                <w:rFonts w:ascii="Arial" w:eastAsia="Times New Roman" w:hAnsi="Arial" w:cs="Arial"/>
                <w:sz w:val="20"/>
                <w:szCs w:val="20"/>
                <w:lang w:eastAsia="es-CR"/>
              </w:rPr>
              <w:t>₡</w:t>
            </w:r>
            <w:r w:rsidRPr="00C81855">
              <w:rPr>
                <w:rFonts w:eastAsia="Times New Roman" w:cs="Calibri"/>
                <w:sz w:val="20"/>
                <w:szCs w:val="20"/>
                <w:lang w:eastAsia="es-CR"/>
              </w:rPr>
              <w:t>28 067,68</w:t>
            </w:r>
          </w:p>
        </w:tc>
        <w:tc>
          <w:tcPr>
            <w:tcW w:w="1918" w:type="dxa"/>
            <w:tcBorders>
              <w:top w:val="nil"/>
              <w:left w:val="nil"/>
              <w:bottom w:val="nil"/>
              <w:right w:val="single" w:sz="8" w:space="0" w:color="auto"/>
            </w:tcBorders>
            <w:shd w:val="clear" w:color="auto" w:fill="auto"/>
            <w:noWrap/>
            <w:vAlign w:val="center"/>
            <w:hideMark/>
          </w:tcPr>
          <w:p w14:paraId="530256BF" w14:textId="77777777" w:rsidR="00C81855" w:rsidRPr="00C81855" w:rsidRDefault="00C81855" w:rsidP="00C81855">
            <w:pPr>
              <w:spacing w:after="0" w:line="240" w:lineRule="auto"/>
              <w:jc w:val="right"/>
              <w:rPr>
                <w:rFonts w:eastAsia="Times New Roman" w:cs="Calibri"/>
                <w:sz w:val="20"/>
                <w:szCs w:val="20"/>
                <w:lang w:eastAsia="es-CR"/>
              </w:rPr>
            </w:pPr>
            <w:r w:rsidRPr="00C81855">
              <w:rPr>
                <w:rFonts w:ascii="Arial" w:eastAsia="Times New Roman" w:hAnsi="Arial" w:cs="Arial"/>
                <w:sz w:val="20"/>
                <w:szCs w:val="20"/>
                <w:lang w:eastAsia="es-CR"/>
              </w:rPr>
              <w:t>₡</w:t>
            </w:r>
            <w:r w:rsidRPr="00C81855">
              <w:rPr>
                <w:rFonts w:eastAsia="Times New Roman" w:cs="Calibri"/>
                <w:sz w:val="20"/>
                <w:szCs w:val="20"/>
                <w:lang w:eastAsia="es-CR"/>
              </w:rPr>
              <w:t>33 858,17</w:t>
            </w:r>
          </w:p>
        </w:tc>
        <w:tc>
          <w:tcPr>
            <w:tcW w:w="1558" w:type="dxa"/>
            <w:tcBorders>
              <w:top w:val="nil"/>
              <w:left w:val="nil"/>
              <w:bottom w:val="nil"/>
              <w:right w:val="single" w:sz="8" w:space="0" w:color="auto"/>
            </w:tcBorders>
            <w:shd w:val="clear" w:color="auto" w:fill="auto"/>
            <w:noWrap/>
            <w:vAlign w:val="center"/>
            <w:hideMark/>
          </w:tcPr>
          <w:p w14:paraId="1BC6B7D4" w14:textId="77777777" w:rsidR="00C81855" w:rsidRPr="00C81855" w:rsidRDefault="00C81855" w:rsidP="00C81855">
            <w:pPr>
              <w:spacing w:after="0" w:line="240" w:lineRule="auto"/>
              <w:jc w:val="right"/>
              <w:rPr>
                <w:rFonts w:eastAsia="Times New Roman" w:cs="Calibri"/>
                <w:color w:val="000000"/>
                <w:sz w:val="20"/>
                <w:szCs w:val="20"/>
                <w:lang w:eastAsia="es-CR"/>
              </w:rPr>
            </w:pPr>
            <w:r w:rsidRPr="00C81855">
              <w:rPr>
                <w:rFonts w:eastAsia="Times New Roman" w:cs="Calibri"/>
                <w:color w:val="000000"/>
                <w:sz w:val="20"/>
                <w:szCs w:val="20"/>
                <w:lang w:eastAsia="es-CR"/>
              </w:rPr>
              <w:t>-5 790,50</w:t>
            </w:r>
          </w:p>
        </w:tc>
        <w:tc>
          <w:tcPr>
            <w:tcW w:w="457" w:type="dxa"/>
            <w:tcBorders>
              <w:top w:val="nil"/>
              <w:left w:val="nil"/>
              <w:bottom w:val="nil"/>
              <w:right w:val="single" w:sz="8" w:space="0" w:color="auto"/>
            </w:tcBorders>
            <w:shd w:val="clear" w:color="auto" w:fill="auto"/>
            <w:vAlign w:val="center"/>
            <w:hideMark/>
          </w:tcPr>
          <w:p w14:paraId="3186FCB5" w14:textId="77777777" w:rsidR="00C81855" w:rsidRPr="00C81855" w:rsidRDefault="00C81855" w:rsidP="00C81855">
            <w:pPr>
              <w:spacing w:after="0" w:line="240" w:lineRule="auto"/>
              <w:jc w:val="center"/>
              <w:rPr>
                <w:rFonts w:eastAsia="Times New Roman" w:cs="Calibri"/>
                <w:color w:val="000000"/>
                <w:sz w:val="20"/>
                <w:szCs w:val="20"/>
                <w:lang w:eastAsia="es-CR"/>
              </w:rPr>
            </w:pPr>
            <w:r w:rsidRPr="00C81855">
              <w:rPr>
                <w:rFonts w:eastAsia="Times New Roman" w:cs="Calibri"/>
                <w:color w:val="000000"/>
                <w:sz w:val="20"/>
                <w:szCs w:val="20"/>
                <w:lang w:eastAsia="es-CR"/>
              </w:rPr>
              <w:t>-17,10%</w:t>
            </w:r>
          </w:p>
        </w:tc>
        <w:tc>
          <w:tcPr>
            <w:tcW w:w="1149" w:type="dxa"/>
            <w:vAlign w:val="center"/>
            <w:hideMark/>
          </w:tcPr>
          <w:p w14:paraId="22998A8A" w14:textId="77777777" w:rsidR="00C81855" w:rsidRPr="00C81855" w:rsidRDefault="00C81855" w:rsidP="00C81855">
            <w:pPr>
              <w:spacing w:after="0" w:line="240" w:lineRule="auto"/>
              <w:jc w:val="left"/>
              <w:rPr>
                <w:rFonts w:ascii="Times New Roman" w:eastAsia="Times New Roman" w:hAnsi="Times New Roman" w:cs="Times New Roman"/>
                <w:sz w:val="20"/>
                <w:szCs w:val="20"/>
                <w:lang w:eastAsia="es-CR"/>
              </w:rPr>
            </w:pPr>
          </w:p>
        </w:tc>
      </w:tr>
      <w:tr w:rsidR="00C81855" w:rsidRPr="00C81855" w14:paraId="3BAE476D" w14:textId="77777777" w:rsidTr="00061EFB">
        <w:trPr>
          <w:trHeight w:val="529"/>
        </w:trPr>
        <w:tc>
          <w:tcPr>
            <w:tcW w:w="1263" w:type="dxa"/>
            <w:tcBorders>
              <w:top w:val="nil"/>
              <w:left w:val="single" w:sz="8" w:space="0" w:color="auto"/>
              <w:bottom w:val="nil"/>
              <w:right w:val="single" w:sz="8" w:space="0" w:color="auto"/>
            </w:tcBorders>
            <w:shd w:val="clear" w:color="auto" w:fill="auto"/>
            <w:noWrap/>
            <w:vAlign w:val="bottom"/>
            <w:hideMark/>
          </w:tcPr>
          <w:p w14:paraId="6A8EF600" w14:textId="77777777" w:rsidR="00C81855" w:rsidRPr="00C81855" w:rsidRDefault="00C81855" w:rsidP="00C81855">
            <w:pPr>
              <w:spacing w:after="0" w:line="240" w:lineRule="auto"/>
              <w:jc w:val="left"/>
              <w:rPr>
                <w:rFonts w:eastAsia="Times New Roman" w:cs="Calibri"/>
                <w:color w:val="000000"/>
                <w:sz w:val="20"/>
                <w:szCs w:val="20"/>
                <w:lang w:eastAsia="es-CR"/>
              </w:rPr>
            </w:pPr>
            <w:r w:rsidRPr="00C81855">
              <w:rPr>
                <w:rFonts w:eastAsia="Times New Roman" w:cs="Calibri"/>
                <w:color w:val="000000"/>
                <w:sz w:val="20"/>
                <w:szCs w:val="20"/>
                <w:lang w:eastAsia="es-CR"/>
              </w:rPr>
              <w:t>5.1.2.03.07.</w:t>
            </w:r>
          </w:p>
        </w:tc>
        <w:tc>
          <w:tcPr>
            <w:tcW w:w="3247" w:type="dxa"/>
            <w:tcBorders>
              <w:top w:val="nil"/>
              <w:left w:val="nil"/>
              <w:bottom w:val="nil"/>
              <w:right w:val="single" w:sz="8" w:space="0" w:color="auto"/>
            </w:tcBorders>
            <w:shd w:val="clear" w:color="auto" w:fill="auto"/>
            <w:vAlign w:val="bottom"/>
            <w:hideMark/>
          </w:tcPr>
          <w:p w14:paraId="09804508" w14:textId="77777777" w:rsidR="00C81855" w:rsidRPr="00C81855" w:rsidRDefault="00C81855" w:rsidP="00C81855">
            <w:pPr>
              <w:spacing w:after="0" w:line="240" w:lineRule="auto"/>
              <w:jc w:val="left"/>
              <w:rPr>
                <w:rFonts w:eastAsia="Times New Roman" w:cs="Calibri"/>
                <w:color w:val="000000"/>
                <w:sz w:val="20"/>
                <w:szCs w:val="20"/>
                <w:lang w:eastAsia="es-CR"/>
              </w:rPr>
            </w:pPr>
            <w:r w:rsidRPr="00C81855">
              <w:rPr>
                <w:rFonts w:eastAsia="Times New Roman" w:cs="Calibri"/>
                <w:color w:val="000000"/>
                <w:sz w:val="20"/>
                <w:szCs w:val="20"/>
                <w:lang w:eastAsia="es-CR"/>
              </w:rPr>
              <w:t>Servicios de transferencia electrónica de información</w:t>
            </w:r>
          </w:p>
        </w:tc>
        <w:tc>
          <w:tcPr>
            <w:tcW w:w="1328" w:type="dxa"/>
            <w:tcBorders>
              <w:top w:val="nil"/>
              <w:left w:val="nil"/>
              <w:bottom w:val="nil"/>
              <w:right w:val="single" w:sz="8" w:space="0" w:color="auto"/>
            </w:tcBorders>
            <w:shd w:val="clear" w:color="auto" w:fill="auto"/>
            <w:noWrap/>
            <w:vAlign w:val="center"/>
            <w:hideMark/>
          </w:tcPr>
          <w:p w14:paraId="18E4EE05" w14:textId="77777777" w:rsidR="00C81855" w:rsidRPr="00C81855" w:rsidRDefault="00C81855" w:rsidP="00C81855">
            <w:pPr>
              <w:spacing w:after="0" w:line="240" w:lineRule="auto"/>
              <w:jc w:val="right"/>
              <w:rPr>
                <w:rFonts w:eastAsia="Times New Roman" w:cs="Calibri"/>
                <w:sz w:val="20"/>
                <w:szCs w:val="20"/>
                <w:lang w:eastAsia="es-CR"/>
              </w:rPr>
            </w:pPr>
            <w:r w:rsidRPr="00C81855">
              <w:rPr>
                <w:rFonts w:ascii="Arial" w:eastAsia="Times New Roman" w:hAnsi="Arial" w:cs="Arial"/>
                <w:sz w:val="20"/>
                <w:szCs w:val="20"/>
                <w:lang w:eastAsia="es-CR"/>
              </w:rPr>
              <w:t>₡</w:t>
            </w:r>
            <w:r w:rsidRPr="00C81855">
              <w:rPr>
                <w:rFonts w:eastAsia="Times New Roman" w:cs="Calibri"/>
                <w:sz w:val="20"/>
                <w:szCs w:val="20"/>
                <w:lang w:eastAsia="es-CR"/>
              </w:rPr>
              <w:t>668,03</w:t>
            </w:r>
          </w:p>
        </w:tc>
        <w:tc>
          <w:tcPr>
            <w:tcW w:w="1918" w:type="dxa"/>
            <w:tcBorders>
              <w:top w:val="nil"/>
              <w:left w:val="nil"/>
              <w:bottom w:val="nil"/>
              <w:right w:val="single" w:sz="8" w:space="0" w:color="auto"/>
            </w:tcBorders>
            <w:shd w:val="clear" w:color="auto" w:fill="auto"/>
            <w:noWrap/>
            <w:vAlign w:val="center"/>
            <w:hideMark/>
          </w:tcPr>
          <w:p w14:paraId="218BEC71" w14:textId="77777777" w:rsidR="00C81855" w:rsidRPr="00C81855" w:rsidRDefault="00C81855" w:rsidP="00C81855">
            <w:pPr>
              <w:spacing w:after="0" w:line="240" w:lineRule="auto"/>
              <w:jc w:val="right"/>
              <w:rPr>
                <w:rFonts w:eastAsia="Times New Roman" w:cs="Calibri"/>
                <w:sz w:val="20"/>
                <w:szCs w:val="20"/>
                <w:lang w:eastAsia="es-CR"/>
              </w:rPr>
            </w:pPr>
            <w:r w:rsidRPr="00C81855">
              <w:rPr>
                <w:rFonts w:ascii="Arial" w:eastAsia="Times New Roman" w:hAnsi="Arial" w:cs="Arial"/>
                <w:sz w:val="20"/>
                <w:szCs w:val="20"/>
                <w:lang w:eastAsia="es-CR"/>
              </w:rPr>
              <w:t>₡</w:t>
            </w:r>
            <w:r w:rsidRPr="00C81855">
              <w:rPr>
                <w:rFonts w:eastAsia="Times New Roman" w:cs="Calibri"/>
                <w:sz w:val="20"/>
                <w:szCs w:val="20"/>
                <w:lang w:eastAsia="es-CR"/>
              </w:rPr>
              <w:t>98,71</w:t>
            </w:r>
          </w:p>
        </w:tc>
        <w:tc>
          <w:tcPr>
            <w:tcW w:w="1558" w:type="dxa"/>
            <w:tcBorders>
              <w:top w:val="nil"/>
              <w:left w:val="nil"/>
              <w:bottom w:val="nil"/>
              <w:right w:val="single" w:sz="8" w:space="0" w:color="auto"/>
            </w:tcBorders>
            <w:shd w:val="clear" w:color="auto" w:fill="auto"/>
            <w:noWrap/>
            <w:vAlign w:val="center"/>
            <w:hideMark/>
          </w:tcPr>
          <w:p w14:paraId="0FFA6E7D" w14:textId="77777777" w:rsidR="00C81855" w:rsidRPr="00C81855" w:rsidRDefault="00C81855" w:rsidP="00C81855">
            <w:pPr>
              <w:spacing w:after="0" w:line="240" w:lineRule="auto"/>
              <w:jc w:val="right"/>
              <w:rPr>
                <w:rFonts w:eastAsia="Times New Roman" w:cs="Calibri"/>
                <w:color w:val="000000"/>
                <w:sz w:val="20"/>
                <w:szCs w:val="20"/>
                <w:lang w:eastAsia="es-CR"/>
              </w:rPr>
            </w:pPr>
            <w:r w:rsidRPr="00C81855">
              <w:rPr>
                <w:rFonts w:eastAsia="Times New Roman" w:cs="Calibri"/>
                <w:color w:val="000000"/>
                <w:sz w:val="20"/>
                <w:szCs w:val="20"/>
                <w:lang w:eastAsia="es-CR"/>
              </w:rPr>
              <w:t>569,32</w:t>
            </w:r>
          </w:p>
        </w:tc>
        <w:tc>
          <w:tcPr>
            <w:tcW w:w="457" w:type="dxa"/>
            <w:tcBorders>
              <w:top w:val="nil"/>
              <w:left w:val="nil"/>
              <w:bottom w:val="nil"/>
              <w:right w:val="single" w:sz="8" w:space="0" w:color="auto"/>
            </w:tcBorders>
            <w:shd w:val="clear" w:color="auto" w:fill="auto"/>
            <w:vAlign w:val="center"/>
            <w:hideMark/>
          </w:tcPr>
          <w:p w14:paraId="156D772C" w14:textId="77777777" w:rsidR="00C81855" w:rsidRPr="00C81855" w:rsidRDefault="00C81855" w:rsidP="00C81855">
            <w:pPr>
              <w:spacing w:after="0" w:line="240" w:lineRule="auto"/>
              <w:jc w:val="center"/>
              <w:rPr>
                <w:rFonts w:eastAsia="Times New Roman" w:cs="Calibri"/>
                <w:color w:val="000000"/>
                <w:sz w:val="20"/>
                <w:szCs w:val="20"/>
                <w:lang w:eastAsia="es-CR"/>
              </w:rPr>
            </w:pPr>
            <w:r w:rsidRPr="00C81855">
              <w:rPr>
                <w:rFonts w:eastAsia="Times New Roman" w:cs="Calibri"/>
                <w:color w:val="000000"/>
                <w:sz w:val="20"/>
                <w:szCs w:val="20"/>
                <w:lang w:eastAsia="es-CR"/>
              </w:rPr>
              <w:t>576,74%</w:t>
            </w:r>
          </w:p>
        </w:tc>
        <w:tc>
          <w:tcPr>
            <w:tcW w:w="1149" w:type="dxa"/>
            <w:vAlign w:val="center"/>
            <w:hideMark/>
          </w:tcPr>
          <w:p w14:paraId="23818A95" w14:textId="77777777" w:rsidR="00C81855" w:rsidRPr="00C81855" w:rsidRDefault="00C81855" w:rsidP="00C81855">
            <w:pPr>
              <w:spacing w:after="0" w:line="240" w:lineRule="auto"/>
              <w:jc w:val="left"/>
              <w:rPr>
                <w:rFonts w:ascii="Times New Roman" w:eastAsia="Times New Roman" w:hAnsi="Times New Roman" w:cs="Times New Roman"/>
                <w:sz w:val="20"/>
                <w:szCs w:val="20"/>
                <w:lang w:eastAsia="es-CR"/>
              </w:rPr>
            </w:pPr>
          </w:p>
        </w:tc>
      </w:tr>
      <w:tr w:rsidR="00C81855" w:rsidRPr="00C81855" w14:paraId="05FDFA98" w14:textId="77777777" w:rsidTr="00061EFB">
        <w:trPr>
          <w:trHeight w:val="309"/>
        </w:trPr>
        <w:tc>
          <w:tcPr>
            <w:tcW w:w="1263" w:type="dxa"/>
            <w:tcBorders>
              <w:top w:val="nil"/>
              <w:left w:val="single" w:sz="8" w:space="0" w:color="auto"/>
              <w:bottom w:val="nil"/>
              <w:right w:val="single" w:sz="8" w:space="0" w:color="auto"/>
            </w:tcBorders>
            <w:shd w:val="clear" w:color="auto" w:fill="auto"/>
            <w:noWrap/>
            <w:vAlign w:val="center"/>
            <w:hideMark/>
          </w:tcPr>
          <w:p w14:paraId="27F6FD83" w14:textId="77777777" w:rsidR="00C81855" w:rsidRPr="00C81855" w:rsidRDefault="00C81855" w:rsidP="00C81855">
            <w:pPr>
              <w:spacing w:after="0" w:line="240" w:lineRule="auto"/>
              <w:jc w:val="left"/>
              <w:rPr>
                <w:rFonts w:eastAsia="Times New Roman" w:cs="Calibri"/>
                <w:b/>
                <w:bCs/>
                <w:color w:val="000000"/>
                <w:sz w:val="20"/>
                <w:szCs w:val="20"/>
                <w:lang w:eastAsia="es-CR"/>
              </w:rPr>
            </w:pPr>
            <w:r w:rsidRPr="00C81855">
              <w:rPr>
                <w:rFonts w:eastAsia="Times New Roman" w:cs="Calibri"/>
                <w:b/>
                <w:bCs/>
                <w:color w:val="000000"/>
                <w:sz w:val="20"/>
                <w:szCs w:val="20"/>
                <w:lang w:eastAsia="es-CR"/>
              </w:rPr>
              <w:t>5.1.2.04.</w:t>
            </w:r>
          </w:p>
        </w:tc>
        <w:tc>
          <w:tcPr>
            <w:tcW w:w="3247" w:type="dxa"/>
            <w:tcBorders>
              <w:top w:val="nil"/>
              <w:left w:val="nil"/>
              <w:bottom w:val="nil"/>
              <w:right w:val="single" w:sz="8" w:space="0" w:color="auto"/>
            </w:tcBorders>
            <w:shd w:val="clear" w:color="auto" w:fill="auto"/>
            <w:vAlign w:val="center"/>
            <w:hideMark/>
          </w:tcPr>
          <w:p w14:paraId="4968470F" w14:textId="77777777" w:rsidR="00C81855" w:rsidRPr="00C81855" w:rsidRDefault="00C81855" w:rsidP="00C81855">
            <w:pPr>
              <w:spacing w:after="0" w:line="240" w:lineRule="auto"/>
              <w:jc w:val="left"/>
              <w:rPr>
                <w:rFonts w:eastAsia="Times New Roman" w:cs="Calibri"/>
                <w:b/>
                <w:bCs/>
                <w:color w:val="000000"/>
                <w:sz w:val="20"/>
                <w:szCs w:val="20"/>
                <w:lang w:eastAsia="es-CR"/>
              </w:rPr>
            </w:pPr>
            <w:r w:rsidRPr="00C81855">
              <w:rPr>
                <w:rFonts w:eastAsia="Times New Roman" w:cs="Calibri"/>
                <w:b/>
                <w:bCs/>
                <w:color w:val="000000"/>
                <w:sz w:val="20"/>
                <w:szCs w:val="20"/>
                <w:lang w:eastAsia="es-CR"/>
              </w:rPr>
              <w:t>Servicios de gestión y apoyo</w:t>
            </w:r>
          </w:p>
        </w:tc>
        <w:tc>
          <w:tcPr>
            <w:tcW w:w="1328" w:type="dxa"/>
            <w:tcBorders>
              <w:top w:val="single" w:sz="8" w:space="0" w:color="auto"/>
              <w:left w:val="nil"/>
              <w:bottom w:val="single" w:sz="8" w:space="0" w:color="auto"/>
              <w:right w:val="single" w:sz="8" w:space="0" w:color="auto"/>
            </w:tcBorders>
            <w:shd w:val="clear" w:color="auto" w:fill="auto"/>
            <w:noWrap/>
            <w:vAlign w:val="bottom"/>
            <w:hideMark/>
          </w:tcPr>
          <w:p w14:paraId="407AD454" w14:textId="77777777" w:rsidR="00C81855" w:rsidRPr="00C81855" w:rsidRDefault="00C81855" w:rsidP="00C81855">
            <w:pPr>
              <w:spacing w:after="0" w:line="240" w:lineRule="auto"/>
              <w:jc w:val="right"/>
              <w:rPr>
                <w:rFonts w:eastAsia="Times New Roman" w:cs="Calibri"/>
                <w:b/>
                <w:bCs/>
                <w:color w:val="000000"/>
                <w:sz w:val="20"/>
                <w:szCs w:val="20"/>
                <w:lang w:eastAsia="es-CR"/>
              </w:rPr>
            </w:pPr>
            <w:r w:rsidRPr="00C81855">
              <w:rPr>
                <w:rFonts w:ascii="Arial" w:eastAsia="Times New Roman" w:hAnsi="Arial" w:cs="Arial"/>
                <w:b/>
                <w:bCs/>
                <w:color w:val="000000"/>
                <w:sz w:val="20"/>
                <w:szCs w:val="20"/>
                <w:lang w:eastAsia="es-CR"/>
              </w:rPr>
              <w:t>₡</w:t>
            </w:r>
            <w:r w:rsidRPr="00C81855">
              <w:rPr>
                <w:rFonts w:eastAsia="Times New Roman" w:cs="Calibri"/>
                <w:b/>
                <w:bCs/>
                <w:color w:val="000000"/>
                <w:sz w:val="20"/>
                <w:szCs w:val="20"/>
                <w:lang w:eastAsia="es-CR"/>
              </w:rPr>
              <w:t>129 221,95</w:t>
            </w:r>
          </w:p>
        </w:tc>
        <w:tc>
          <w:tcPr>
            <w:tcW w:w="1918" w:type="dxa"/>
            <w:tcBorders>
              <w:top w:val="single" w:sz="8" w:space="0" w:color="auto"/>
              <w:left w:val="nil"/>
              <w:bottom w:val="single" w:sz="8" w:space="0" w:color="auto"/>
              <w:right w:val="single" w:sz="8" w:space="0" w:color="auto"/>
            </w:tcBorders>
            <w:shd w:val="clear" w:color="auto" w:fill="auto"/>
            <w:noWrap/>
            <w:vAlign w:val="bottom"/>
            <w:hideMark/>
          </w:tcPr>
          <w:p w14:paraId="4330781A" w14:textId="77777777" w:rsidR="00C81855" w:rsidRPr="00C81855" w:rsidRDefault="00C81855" w:rsidP="00C81855">
            <w:pPr>
              <w:spacing w:after="0" w:line="240" w:lineRule="auto"/>
              <w:jc w:val="right"/>
              <w:rPr>
                <w:rFonts w:eastAsia="Times New Roman" w:cs="Calibri"/>
                <w:b/>
                <w:bCs/>
                <w:color w:val="000000"/>
                <w:sz w:val="20"/>
                <w:szCs w:val="20"/>
                <w:lang w:eastAsia="es-CR"/>
              </w:rPr>
            </w:pPr>
            <w:r w:rsidRPr="00C81855">
              <w:rPr>
                <w:rFonts w:ascii="Arial" w:eastAsia="Times New Roman" w:hAnsi="Arial" w:cs="Arial"/>
                <w:b/>
                <w:bCs/>
                <w:color w:val="000000"/>
                <w:sz w:val="20"/>
                <w:szCs w:val="20"/>
                <w:lang w:eastAsia="es-CR"/>
              </w:rPr>
              <w:t>₡</w:t>
            </w:r>
            <w:r w:rsidRPr="00C81855">
              <w:rPr>
                <w:rFonts w:eastAsia="Times New Roman" w:cs="Calibri"/>
                <w:b/>
                <w:bCs/>
                <w:color w:val="000000"/>
                <w:sz w:val="20"/>
                <w:szCs w:val="20"/>
                <w:lang w:eastAsia="es-CR"/>
              </w:rPr>
              <w:t>119 626,07</w:t>
            </w:r>
          </w:p>
        </w:tc>
        <w:tc>
          <w:tcPr>
            <w:tcW w:w="1558" w:type="dxa"/>
            <w:tcBorders>
              <w:top w:val="single" w:sz="8" w:space="0" w:color="auto"/>
              <w:left w:val="nil"/>
              <w:bottom w:val="single" w:sz="8" w:space="0" w:color="auto"/>
              <w:right w:val="single" w:sz="8" w:space="0" w:color="auto"/>
            </w:tcBorders>
            <w:shd w:val="clear" w:color="auto" w:fill="auto"/>
            <w:noWrap/>
            <w:vAlign w:val="bottom"/>
            <w:hideMark/>
          </w:tcPr>
          <w:p w14:paraId="357C5244" w14:textId="77777777" w:rsidR="00C81855" w:rsidRPr="00C81855" w:rsidRDefault="00C81855" w:rsidP="00C81855">
            <w:pPr>
              <w:spacing w:after="0" w:line="240" w:lineRule="auto"/>
              <w:jc w:val="right"/>
              <w:rPr>
                <w:rFonts w:eastAsia="Times New Roman" w:cs="Calibri"/>
                <w:b/>
                <w:bCs/>
                <w:color w:val="000000"/>
                <w:sz w:val="20"/>
                <w:szCs w:val="20"/>
                <w:lang w:eastAsia="es-CR"/>
              </w:rPr>
            </w:pPr>
            <w:r w:rsidRPr="00C81855">
              <w:rPr>
                <w:rFonts w:ascii="Arial" w:eastAsia="Times New Roman" w:hAnsi="Arial" w:cs="Arial"/>
                <w:b/>
                <w:bCs/>
                <w:color w:val="000000"/>
                <w:sz w:val="20"/>
                <w:szCs w:val="20"/>
                <w:lang w:eastAsia="es-CR"/>
              </w:rPr>
              <w:t>₡</w:t>
            </w:r>
            <w:r w:rsidRPr="00C81855">
              <w:rPr>
                <w:rFonts w:eastAsia="Times New Roman" w:cs="Calibri"/>
                <w:b/>
                <w:bCs/>
                <w:color w:val="000000"/>
                <w:sz w:val="20"/>
                <w:szCs w:val="20"/>
                <w:lang w:eastAsia="es-CR"/>
              </w:rPr>
              <w:t>9 595,89</w:t>
            </w:r>
          </w:p>
        </w:tc>
        <w:tc>
          <w:tcPr>
            <w:tcW w:w="457" w:type="dxa"/>
            <w:tcBorders>
              <w:top w:val="single" w:sz="8" w:space="0" w:color="auto"/>
              <w:left w:val="nil"/>
              <w:bottom w:val="single" w:sz="8" w:space="0" w:color="auto"/>
              <w:right w:val="single" w:sz="8" w:space="0" w:color="auto"/>
            </w:tcBorders>
            <w:shd w:val="clear" w:color="auto" w:fill="auto"/>
            <w:vAlign w:val="center"/>
            <w:hideMark/>
          </w:tcPr>
          <w:p w14:paraId="7D6CC5DA" w14:textId="77777777" w:rsidR="00C81855" w:rsidRPr="00C81855" w:rsidRDefault="00C81855" w:rsidP="00C81855">
            <w:pPr>
              <w:spacing w:after="0" w:line="240" w:lineRule="auto"/>
              <w:jc w:val="center"/>
              <w:rPr>
                <w:rFonts w:eastAsia="Times New Roman" w:cs="Calibri"/>
                <w:b/>
                <w:bCs/>
                <w:color w:val="000000"/>
                <w:sz w:val="20"/>
                <w:szCs w:val="20"/>
                <w:lang w:eastAsia="es-CR"/>
              </w:rPr>
            </w:pPr>
            <w:r w:rsidRPr="00C81855">
              <w:rPr>
                <w:rFonts w:eastAsia="Times New Roman" w:cs="Calibri"/>
                <w:b/>
                <w:bCs/>
                <w:color w:val="000000"/>
                <w:sz w:val="20"/>
                <w:szCs w:val="20"/>
                <w:lang w:eastAsia="es-CR"/>
              </w:rPr>
              <w:t>8,02%</w:t>
            </w:r>
          </w:p>
        </w:tc>
        <w:tc>
          <w:tcPr>
            <w:tcW w:w="1149" w:type="dxa"/>
            <w:vAlign w:val="center"/>
            <w:hideMark/>
          </w:tcPr>
          <w:p w14:paraId="50EF4384" w14:textId="77777777" w:rsidR="00C81855" w:rsidRPr="00C81855" w:rsidRDefault="00C81855" w:rsidP="00C81855">
            <w:pPr>
              <w:spacing w:after="0" w:line="240" w:lineRule="auto"/>
              <w:jc w:val="left"/>
              <w:rPr>
                <w:rFonts w:ascii="Times New Roman" w:eastAsia="Times New Roman" w:hAnsi="Times New Roman" w:cs="Times New Roman"/>
                <w:sz w:val="20"/>
                <w:szCs w:val="20"/>
                <w:lang w:eastAsia="es-CR"/>
              </w:rPr>
            </w:pPr>
          </w:p>
        </w:tc>
      </w:tr>
      <w:tr w:rsidR="00C81855" w:rsidRPr="00C81855" w14:paraId="27FF2984" w14:textId="77777777" w:rsidTr="00061EFB">
        <w:trPr>
          <w:trHeight w:val="294"/>
        </w:trPr>
        <w:tc>
          <w:tcPr>
            <w:tcW w:w="1263" w:type="dxa"/>
            <w:tcBorders>
              <w:top w:val="nil"/>
              <w:left w:val="single" w:sz="8" w:space="0" w:color="auto"/>
              <w:bottom w:val="nil"/>
              <w:right w:val="single" w:sz="8" w:space="0" w:color="auto"/>
            </w:tcBorders>
            <w:shd w:val="clear" w:color="000000" w:fill="FFFFFF"/>
            <w:noWrap/>
            <w:vAlign w:val="bottom"/>
            <w:hideMark/>
          </w:tcPr>
          <w:p w14:paraId="7B835250" w14:textId="77777777" w:rsidR="00C81855" w:rsidRPr="00C81855" w:rsidRDefault="00C81855" w:rsidP="00C81855">
            <w:pPr>
              <w:spacing w:after="0" w:line="240" w:lineRule="auto"/>
              <w:jc w:val="left"/>
              <w:rPr>
                <w:rFonts w:eastAsia="Times New Roman" w:cs="Calibri"/>
                <w:color w:val="000000"/>
                <w:sz w:val="20"/>
                <w:szCs w:val="20"/>
                <w:lang w:eastAsia="es-CR"/>
              </w:rPr>
            </w:pPr>
            <w:r w:rsidRPr="00C81855">
              <w:rPr>
                <w:rFonts w:eastAsia="Times New Roman" w:cs="Calibri"/>
                <w:color w:val="000000"/>
                <w:sz w:val="20"/>
                <w:szCs w:val="20"/>
                <w:lang w:eastAsia="es-CR"/>
              </w:rPr>
              <w:t>5.1.2.04.01.</w:t>
            </w:r>
          </w:p>
        </w:tc>
        <w:tc>
          <w:tcPr>
            <w:tcW w:w="3247" w:type="dxa"/>
            <w:tcBorders>
              <w:top w:val="nil"/>
              <w:left w:val="nil"/>
              <w:bottom w:val="nil"/>
              <w:right w:val="single" w:sz="8" w:space="0" w:color="auto"/>
            </w:tcBorders>
            <w:shd w:val="clear" w:color="auto" w:fill="auto"/>
            <w:noWrap/>
            <w:vAlign w:val="bottom"/>
            <w:hideMark/>
          </w:tcPr>
          <w:p w14:paraId="77F9B0A2" w14:textId="77777777" w:rsidR="00C81855" w:rsidRPr="00C81855" w:rsidRDefault="00C81855" w:rsidP="00C81855">
            <w:pPr>
              <w:spacing w:after="0" w:line="240" w:lineRule="auto"/>
              <w:jc w:val="left"/>
              <w:rPr>
                <w:rFonts w:eastAsia="Times New Roman" w:cs="Calibri"/>
                <w:color w:val="000000"/>
                <w:sz w:val="20"/>
                <w:szCs w:val="20"/>
                <w:lang w:eastAsia="es-CR"/>
              </w:rPr>
            </w:pPr>
            <w:r w:rsidRPr="00C81855">
              <w:rPr>
                <w:rFonts w:eastAsia="Times New Roman" w:cs="Calibri"/>
                <w:color w:val="000000"/>
                <w:sz w:val="20"/>
                <w:szCs w:val="20"/>
                <w:lang w:eastAsia="es-CR"/>
              </w:rPr>
              <w:t>Servicios médicos y de laboratorio</w:t>
            </w:r>
          </w:p>
        </w:tc>
        <w:tc>
          <w:tcPr>
            <w:tcW w:w="1328" w:type="dxa"/>
            <w:tcBorders>
              <w:top w:val="nil"/>
              <w:left w:val="nil"/>
              <w:bottom w:val="nil"/>
              <w:right w:val="single" w:sz="8" w:space="0" w:color="auto"/>
            </w:tcBorders>
            <w:shd w:val="clear" w:color="auto" w:fill="auto"/>
            <w:noWrap/>
            <w:vAlign w:val="center"/>
            <w:hideMark/>
          </w:tcPr>
          <w:p w14:paraId="40FA3482" w14:textId="77777777" w:rsidR="00C81855" w:rsidRPr="00C81855" w:rsidRDefault="00C81855" w:rsidP="00C81855">
            <w:pPr>
              <w:spacing w:after="0" w:line="240" w:lineRule="auto"/>
              <w:jc w:val="right"/>
              <w:rPr>
                <w:rFonts w:eastAsia="Times New Roman" w:cs="Calibri"/>
                <w:sz w:val="20"/>
                <w:szCs w:val="20"/>
                <w:lang w:eastAsia="es-CR"/>
              </w:rPr>
            </w:pPr>
            <w:r w:rsidRPr="00C81855">
              <w:rPr>
                <w:rFonts w:ascii="Arial" w:eastAsia="Times New Roman" w:hAnsi="Arial" w:cs="Arial"/>
                <w:sz w:val="20"/>
                <w:szCs w:val="20"/>
                <w:lang w:eastAsia="es-CR"/>
              </w:rPr>
              <w:t>₡</w:t>
            </w:r>
            <w:r w:rsidRPr="00C81855">
              <w:rPr>
                <w:rFonts w:eastAsia="Times New Roman" w:cs="Calibri"/>
                <w:sz w:val="20"/>
                <w:szCs w:val="20"/>
                <w:lang w:eastAsia="es-CR"/>
              </w:rPr>
              <w:t>52,00</w:t>
            </w:r>
          </w:p>
        </w:tc>
        <w:tc>
          <w:tcPr>
            <w:tcW w:w="1918" w:type="dxa"/>
            <w:tcBorders>
              <w:top w:val="nil"/>
              <w:left w:val="nil"/>
              <w:bottom w:val="nil"/>
              <w:right w:val="single" w:sz="8" w:space="0" w:color="auto"/>
            </w:tcBorders>
            <w:shd w:val="clear" w:color="auto" w:fill="auto"/>
            <w:noWrap/>
            <w:vAlign w:val="center"/>
            <w:hideMark/>
          </w:tcPr>
          <w:p w14:paraId="59BD2A3B" w14:textId="77777777" w:rsidR="00C81855" w:rsidRPr="00C81855" w:rsidRDefault="00C81855" w:rsidP="00C81855">
            <w:pPr>
              <w:spacing w:after="0" w:line="240" w:lineRule="auto"/>
              <w:jc w:val="right"/>
              <w:rPr>
                <w:rFonts w:eastAsia="Times New Roman" w:cs="Calibri"/>
                <w:sz w:val="20"/>
                <w:szCs w:val="20"/>
                <w:lang w:eastAsia="es-CR"/>
              </w:rPr>
            </w:pPr>
            <w:r w:rsidRPr="00C81855">
              <w:rPr>
                <w:rFonts w:ascii="Arial" w:eastAsia="Times New Roman" w:hAnsi="Arial" w:cs="Arial"/>
                <w:sz w:val="20"/>
                <w:szCs w:val="20"/>
                <w:lang w:eastAsia="es-CR"/>
              </w:rPr>
              <w:t>₡</w:t>
            </w:r>
            <w:r w:rsidRPr="00C81855">
              <w:rPr>
                <w:rFonts w:eastAsia="Times New Roman" w:cs="Calibri"/>
                <w:sz w:val="20"/>
                <w:szCs w:val="20"/>
                <w:lang w:eastAsia="es-CR"/>
              </w:rPr>
              <w:t>0,00</w:t>
            </w:r>
          </w:p>
        </w:tc>
        <w:tc>
          <w:tcPr>
            <w:tcW w:w="1558" w:type="dxa"/>
            <w:tcBorders>
              <w:top w:val="nil"/>
              <w:left w:val="nil"/>
              <w:bottom w:val="nil"/>
              <w:right w:val="single" w:sz="8" w:space="0" w:color="auto"/>
            </w:tcBorders>
            <w:shd w:val="clear" w:color="auto" w:fill="auto"/>
            <w:noWrap/>
            <w:vAlign w:val="center"/>
            <w:hideMark/>
          </w:tcPr>
          <w:p w14:paraId="4909EC74" w14:textId="77777777" w:rsidR="00C81855" w:rsidRPr="00C81855" w:rsidRDefault="00C81855" w:rsidP="00C81855">
            <w:pPr>
              <w:spacing w:after="0" w:line="240" w:lineRule="auto"/>
              <w:jc w:val="right"/>
              <w:rPr>
                <w:rFonts w:eastAsia="Times New Roman" w:cs="Calibri"/>
                <w:color w:val="000000"/>
                <w:sz w:val="20"/>
                <w:szCs w:val="20"/>
                <w:lang w:eastAsia="es-CR"/>
              </w:rPr>
            </w:pPr>
            <w:r w:rsidRPr="00C81855">
              <w:rPr>
                <w:rFonts w:eastAsia="Times New Roman" w:cs="Calibri"/>
                <w:color w:val="000000"/>
                <w:sz w:val="20"/>
                <w:szCs w:val="20"/>
                <w:lang w:eastAsia="es-CR"/>
              </w:rPr>
              <w:t>52,00</w:t>
            </w:r>
          </w:p>
        </w:tc>
        <w:tc>
          <w:tcPr>
            <w:tcW w:w="457" w:type="dxa"/>
            <w:tcBorders>
              <w:top w:val="nil"/>
              <w:left w:val="nil"/>
              <w:bottom w:val="nil"/>
              <w:right w:val="single" w:sz="8" w:space="0" w:color="auto"/>
            </w:tcBorders>
            <w:shd w:val="clear" w:color="auto" w:fill="auto"/>
            <w:vAlign w:val="center"/>
            <w:hideMark/>
          </w:tcPr>
          <w:p w14:paraId="1CC101DF" w14:textId="77777777" w:rsidR="00C81855" w:rsidRPr="00C81855" w:rsidRDefault="00C81855" w:rsidP="00C81855">
            <w:pPr>
              <w:spacing w:after="0" w:line="240" w:lineRule="auto"/>
              <w:jc w:val="center"/>
              <w:rPr>
                <w:rFonts w:eastAsia="Times New Roman" w:cs="Calibri"/>
                <w:color w:val="000000"/>
                <w:sz w:val="20"/>
                <w:szCs w:val="20"/>
                <w:lang w:eastAsia="es-CR"/>
              </w:rPr>
            </w:pPr>
            <w:r w:rsidRPr="00C81855">
              <w:rPr>
                <w:rFonts w:eastAsia="Times New Roman" w:cs="Calibri"/>
                <w:color w:val="000000"/>
                <w:sz w:val="20"/>
                <w:szCs w:val="20"/>
                <w:lang w:eastAsia="es-CR"/>
              </w:rPr>
              <w:t>#¡DIV/0!</w:t>
            </w:r>
          </w:p>
        </w:tc>
        <w:tc>
          <w:tcPr>
            <w:tcW w:w="1149" w:type="dxa"/>
            <w:vAlign w:val="center"/>
            <w:hideMark/>
          </w:tcPr>
          <w:p w14:paraId="337198C9" w14:textId="77777777" w:rsidR="00C81855" w:rsidRPr="00C81855" w:rsidRDefault="00C81855" w:rsidP="00C81855">
            <w:pPr>
              <w:spacing w:after="0" w:line="240" w:lineRule="auto"/>
              <w:jc w:val="left"/>
              <w:rPr>
                <w:rFonts w:ascii="Times New Roman" w:eastAsia="Times New Roman" w:hAnsi="Times New Roman" w:cs="Times New Roman"/>
                <w:sz w:val="20"/>
                <w:szCs w:val="20"/>
                <w:lang w:eastAsia="es-CR"/>
              </w:rPr>
            </w:pPr>
          </w:p>
        </w:tc>
      </w:tr>
      <w:tr w:rsidR="00C81855" w:rsidRPr="00C81855" w14:paraId="26906CE1" w14:textId="77777777" w:rsidTr="00061EFB">
        <w:trPr>
          <w:trHeight w:val="294"/>
        </w:trPr>
        <w:tc>
          <w:tcPr>
            <w:tcW w:w="1263" w:type="dxa"/>
            <w:tcBorders>
              <w:top w:val="nil"/>
              <w:left w:val="single" w:sz="8" w:space="0" w:color="auto"/>
              <w:bottom w:val="nil"/>
              <w:right w:val="single" w:sz="8" w:space="0" w:color="auto"/>
            </w:tcBorders>
            <w:shd w:val="clear" w:color="000000" w:fill="FFFFFF"/>
            <w:noWrap/>
            <w:vAlign w:val="bottom"/>
            <w:hideMark/>
          </w:tcPr>
          <w:p w14:paraId="02E88646" w14:textId="77777777" w:rsidR="00C81855" w:rsidRPr="00C81855" w:rsidRDefault="00C81855" w:rsidP="00C81855">
            <w:pPr>
              <w:spacing w:after="0" w:line="240" w:lineRule="auto"/>
              <w:jc w:val="left"/>
              <w:rPr>
                <w:rFonts w:eastAsia="Times New Roman" w:cs="Calibri"/>
                <w:color w:val="000000"/>
                <w:sz w:val="20"/>
                <w:szCs w:val="20"/>
                <w:lang w:eastAsia="es-CR"/>
              </w:rPr>
            </w:pPr>
            <w:r w:rsidRPr="00C81855">
              <w:rPr>
                <w:rFonts w:eastAsia="Times New Roman" w:cs="Calibri"/>
                <w:color w:val="000000"/>
                <w:sz w:val="20"/>
                <w:szCs w:val="20"/>
                <w:lang w:eastAsia="es-CR"/>
              </w:rPr>
              <w:t>5.1.2.04.02.</w:t>
            </w:r>
          </w:p>
        </w:tc>
        <w:tc>
          <w:tcPr>
            <w:tcW w:w="3247" w:type="dxa"/>
            <w:tcBorders>
              <w:top w:val="nil"/>
              <w:left w:val="nil"/>
              <w:bottom w:val="nil"/>
              <w:right w:val="single" w:sz="8" w:space="0" w:color="auto"/>
            </w:tcBorders>
            <w:shd w:val="clear" w:color="auto" w:fill="auto"/>
            <w:noWrap/>
            <w:vAlign w:val="bottom"/>
            <w:hideMark/>
          </w:tcPr>
          <w:p w14:paraId="2D73CC53" w14:textId="77777777" w:rsidR="00C81855" w:rsidRPr="00C81855" w:rsidRDefault="00C81855" w:rsidP="00C81855">
            <w:pPr>
              <w:spacing w:after="0" w:line="240" w:lineRule="auto"/>
              <w:jc w:val="left"/>
              <w:rPr>
                <w:rFonts w:eastAsia="Times New Roman" w:cs="Calibri"/>
                <w:color w:val="000000"/>
                <w:sz w:val="20"/>
                <w:szCs w:val="20"/>
                <w:lang w:eastAsia="es-CR"/>
              </w:rPr>
            </w:pPr>
            <w:r w:rsidRPr="00C81855">
              <w:rPr>
                <w:rFonts w:eastAsia="Times New Roman" w:cs="Calibri"/>
                <w:color w:val="000000"/>
                <w:sz w:val="20"/>
                <w:szCs w:val="20"/>
                <w:lang w:eastAsia="es-CR"/>
              </w:rPr>
              <w:t>Servicios jurídicos</w:t>
            </w:r>
          </w:p>
        </w:tc>
        <w:tc>
          <w:tcPr>
            <w:tcW w:w="1328" w:type="dxa"/>
            <w:tcBorders>
              <w:top w:val="nil"/>
              <w:left w:val="nil"/>
              <w:bottom w:val="nil"/>
              <w:right w:val="single" w:sz="8" w:space="0" w:color="auto"/>
            </w:tcBorders>
            <w:shd w:val="clear" w:color="auto" w:fill="auto"/>
            <w:noWrap/>
            <w:vAlign w:val="center"/>
            <w:hideMark/>
          </w:tcPr>
          <w:p w14:paraId="4E725C07" w14:textId="77777777" w:rsidR="00C81855" w:rsidRPr="00C81855" w:rsidRDefault="00C81855" w:rsidP="00C81855">
            <w:pPr>
              <w:spacing w:after="0" w:line="240" w:lineRule="auto"/>
              <w:jc w:val="right"/>
              <w:rPr>
                <w:rFonts w:eastAsia="Times New Roman" w:cs="Calibri"/>
                <w:sz w:val="20"/>
                <w:szCs w:val="20"/>
                <w:lang w:eastAsia="es-CR"/>
              </w:rPr>
            </w:pPr>
            <w:r w:rsidRPr="00C81855">
              <w:rPr>
                <w:rFonts w:ascii="Arial" w:eastAsia="Times New Roman" w:hAnsi="Arial" w:cs="Arial"/>
                <w:sz w:val="20"/>
                <w:szCs w:val="20"/>
                <w:lang w:eastAsia="es-CR"/>
              </w:rPr>
              <w:t>₡</w:t>
            </w:r>
            <w:r w:rsidRPr="00C81855">
              <w:rPr>
                <w:rFonts w:eastAsia="Times New Roman" w:cs="Calibri"/>
                <w:sz w:val="20"/>
                <w:szCs w:val="20"/>
                <w:lang w:eastAsia="es-CR"/>
              </w:rPr>
              <w:t>2 613,56</w:t>
            </w:r>
          </w:p>
        </w:tc>
        <w:tc>
          <w:tcPr>
            <w:tcW w:w="1918" w:type="dxa"/>
            <w:tcBorders>
              <w:top w:val="nil"/>
              <w:left w:val="nil"/>
              <w:bottom w:val="nil"/>
              <w:right w:val="single" w:sz="8" w:space="0" w:color="auto"/>
            </w:tcBorders>
            <w:shd w:val="clear" w:color="auto" w:fill="auto"/>
            <w:noWrap/>
            <w:vAlign w:val="center"/>
            <w:hideMark/>
          </w:tcPr>
          <w:p w14:paraId="14415B27" w14:textId="77777777" w:rsidR="00C81855" w:rsidRPr="00C81855" w:rsidRDefault="00C81855" w:rsidP="00C81855">
            <w:pPr>
              <w:spacing w:after="0" w:line="240" w:lineRule="auto"/>
              <w:jc w:val="right"/>
              <w:rPr>
                <w:rFonts w:eastAsia="Times New Roman" w:cs="Calibri"/>
                <w:sz w:val="20"/>
                <w:szCs w:val="20"/>
                <w:lang w:eastAsia="es-CR"/>
              </w:rPr>
            </w:pPr>
            <w:r w:rsidRPr="00C81855">
              <w:rPr>
                <w:rFonts w:ascii="Arial" w:eastAsia="Times New Roman" w:hAnsi="Arial" w:cs="Arial"/>
                <w:sz w:val="20"/>
                <w:szCs w:val="20"/>
                <w:lang w:eastAsia="es-CR"/>
              </w:rPr>
              <w:t>₡</w:t>
            </w:r>
            <w:r w:rsidRPr="00C81855">
              <w:rPr>
                <w:rFonts w:eastAsia="Times New Roman" w:cs="Calibri"/>
                <w:sz w:val="20"/>
                <w:szCs w:val="20"/>
                <w:lang w:eastAsia="es-CR"/>
              </w:rPr>
              <w:t>0,00</w:t>
            </w:r>
          </w:p>
        </w:tc>
        <w:tc>
          <w:tcPr>
            <w:tcW w:w="1558" w:type="dxa"/>
            <w:tcBorders>
              <w:top w:val="nil"/>
              <w:left w:val="nil"/>
              <w:bottom w:val="nil"/>
              <w:right w:val="single" w:sz="8" w:space="0" w:color="auto"/>
            </w:tcBorders>
            <w:shd w:val="clear" w:color="auto" w:fill="auto"/>
            <w:noWrap/>
            <w:vAlign w:val="center"/>
            <w:hideMark/>
          </w:tcPr>
          <w:p w14:paraId="2A529C25" w14:textId="77777777" w:rsidR="00C81855" w:rsidRPr="00C81855" w:rsidRDefault="00C81855" w:rsidP="00C81855">
            <w:pPr>
              <w:spacing w:after="0" w:line="240" w:lineRule="auto"/>
              <w:jc w:val="right"/>
              <w:rPr>
                <w:rFonts w:eastAsia="Times New Roman" w:cs="Calibri"/>
                <w:color w:val="000000"/>
                <w:sz w:val="20"/>
                <w:szCs w:val="20"/>
                <w:lang w:eastAsia="es-CR"/>
              </w:rPr>
            </w:pPr>
            <w:r w:rsidRPr="00C81855">
              <w:rPr>
                <w:rFonts w:eastAsia="Times New Roman" w:cs="Calibri"/>
                <w:color w:val="000000"/>
                <w:sz w:val="20"/>
                <w:szCs w:val="20"/>
                <w:lang w:eastAsia="es-CR"/>
              </w:rPr>
              <w:t>2 613,56</w:t>
            </w:r>
          </w:p>
        </w:tc>
        <w:tc>
          <w:tcPr>
            <w:tcW w:w="457" w:type="dxa"/>
            <w:tcBorders>
              <w:top w:val="nil"/>
              <w:left w:val="nil"/>
              <w:bottom w:val="nil"/>
              <w:right w:val="single" w:sz="8" w:space="0" w:color="auto"/>
            </w:tcBorders>
            <w:shd w:val="clear" w:color="auto" w:fill="auto"/>
            <w:vAlign w:val="center"/>
            <w:hideMark/>
          </w:tcPr>
          <w:p w14:paraId="3E3CFB07" w14:textId="77777777" w:rsidR="00C81855" w:rsidRPr="00C81855" w:rsidRDefault="00C81855" w:rsidP="00C81855">
            <w:pPr>
              <w:spacing w:after="0" w:line="240" w:lineRule="auto"/>
              <w:jc w:val="center"/>
              <w:rPr>
                <w:rFonts w:eastAsia="Times New Roman" w:cs="Calibri"/>
                <w:color w:val="000000"/>
                <w:sz w:val="20"/>
                <w:szCs w:val="20"/>
                <w:lang w:eastAsia="es-CR"/>
              </w:rPr>
            </w:pPr>
            <w:r w:rsidRPr="00C81855">
              <w:rPr>
                <w:rFonts w:eastAsia="Times New Roman" w:cs="Calibri"/>
                <w:color w:val="000000"/>
                <w:sz w:val="20"/>
                <w:szCs w:val="20"/>
                <w:lang w:eastAsia="es-CR"/>
              </w:rPr>
              <w:t>#¡DIV/0!</w:t>
            </w:r>
          </w:p>
        </w:tc>
        <w:tc>
          <w:tcPr>
            <w:tcW w:w="1149" w:type="dxa"/>
            <w:vAlign w:val="center"/>
            <w:hideMark/>
          </w:tcPr>
          <w:p w14:paraId="44770F3D" w14:textId="77777777" w:rsidR="00C81855" w:rsidRPr="00C81855" w:rsidRDefault="00C81855" w:rsidP="00C81855">
            <w:pPr>
              <w:spacing w:after="0" w:line="240" w:lineRule="auto"/>
              <w:jc w:val="left"/>
              <w:rPr>
                <w:rFonts w:ascii="Times New Roman" w:eastAsia="Times New Roman" w:hAnsi="Times New Roman" w:cs="Times New Roman"/>
                <w:sz w:val="20"/>
                <w:szCs w:val="20"/>
                <w:lang w:eastAsia="es-CR"/>
              </w:rPr>
            </w:pPr>
          </w:p>
        </w:tc>
      </w:tr>
      <w:tr w:rsidR="00C81855" w:rsidRPr="00C81855" w14:paraId="098AE070" w14:textId="77777777" w:rsidTr="00061EFB">
        <w:trPr>
          <w:trHeight w:val="294"/>
        </w:trPr>
        <w:tc>
          <w:tcPr>
            <w:tcW w:w="1263" w:type="dxa"/>
            <w:tcBorders>
              <w:top w:val="nil"/>
              <w:left w:val="single" w:sz="8" w:space="0" w:color="auto"/>
              <w:bottom w:val="nil"/>
              <w:right w:val="single" w:sz="8" w:space="0" w:color="auto"/>
            </w:tcBorders>
            <w:shd w:val="clear" w:color="auto" w:fill="auto"/>
            <w:noWrap/>
            <w:vAlign w:val="bottom"/>
            <w:hideMark/>
          </w:tcPr>
          <w:p w14:paraId="0DADC5CA" w14:textId="77777777" w:rsidR="00C81855" w:rsidRPr="00C81855" w:rsidRDefault="00C81855" w:rsidP="00C81855">
            <w:pPr>
              <w:spacing w:after="0" w:line="240" w:lineRule="auto"/>
              <w:jc w:val="left"/>
              <w:rPr>
                <w:rFonts w:eastAsia="Times New Roman" w:cs="Calibri"/>
                <w:color w:val="000000"/>
                <w:sz w:val="20"/>
                <w:szCs w:val="20"/>
                <w:lang w:eastAsia="es-CR"/>
              </w:rPr>
            </w:pPr>
            <w:r w:rsidRPr="00C81855">
              <w:rPr>
                <w:rFonts w:eastAsia="Times New Roman" w:cs="Calibri"/>
                <w:color w:val="000000"/>
                <w:sz w:val="20"/>
                <w:szCs w:val="20"/>
                <w:lang w:eastAsia="es-CR"/>
              </w:rPr>
              <w:t>5.1.2.04.03.</w:t>
            </w:r>
          </w:p>
        </w:tc>
        <w:tc>
          <w:tcPr>
            <w:tcW w:w="3247" w:type="dxa"/>
            <w:tcBorders>
              <w:top w:val="nil"/>
              <w:left w:val="nil"/>
              <w:bottom w:val="nil"/>
              <w:right w:val="single" w:sz="8" w:space="0" w:color="auto"/>
            </w:tcBorders>
            <w:shd w:val="clear" w:color="auto" w:fill="auto"/>
            <w:noWrap/>
            <w:vAlign w:val="bottom"/>
            <w:hideMark/>
          </w:tcPr>
          <w:p w14:paraId="5E8985E3" w14:textId="77777777" w:rsidR="00C81855" w:rsidRPr="00C81855" w:rsidRDefault="00C81855" w:rsidP="00C81855">
            <w:pPr>
              <w:spacing w:after="0" w:line="240" w:lineRule="auto"/>
              <w:jc w:val="left"/>
              <w:rPr>
                <w:rFonts w:eastAsia="Times New Roman" w:cs="Calibri"/>
                <w:color w:val="000000"/>
                <w:sz w:val="20"/>
                <w:szCs w:val="20"/>
                <w:lang w:eastAsia="es-CR"/>
              </w:rPr>
            </w:pPr>
            <w:r w:rsidRPr="00C81855">
              <w:rPr>
                <w:rFonts w:eastAsia="Times New Roman" w:cs="Calibri"/>
                <w:color w:val="000000"/>
                <w:sz w:val="20"/>
                <w:szCs w:val="20"/>
                <w:lang w:eastAsia="es-CR"/>
              </w:rPr>
              <w:t>Servicios de ingeniería</w:t>
            </w:r>
          </w:p>
        </w:tc>
        <w:tc>
          <w:tcPr>
            <w:tcW w:w="1328" w:type="dxa"/>
            <w:tcBorders>
              <w:top w:val="nil"/>
              <w:left w:val="nil"/>
              <w:bottom w:val="nil"/>
              <w:right w:val="single" w:sz="8" w:space="0" w:color="auto"/>
            </w:tcBorders>
            <w:shd w:val="clear" w:color="auto" w:fill="auto"/>
            <w:noWrap/>
            <w:vAlign w:val="center"/>
            <w:hideMark/>
          </w:tcPr>
          <w:p w14:paraId="5CE23572" w14:textId="77777777" w:rsidR="00C81855" w:rsidRPr="00C81855" w:rsidRDefault="00C81855" w:rsidP="00C81855">
            <w:pPr>
              <w:spacing w:after="0" w:line="240" w:lineRule="auto"/>
              <w:jc w:val="right"/>
              <w:rPr>
                <w:rFonts w:eastAsia="Times New Roman" w:cs="Calibri"/>
                <w:sz w:val="20"/>
                <w:szCs w:val="20"/>
                <w:lang w:eastAsia="es-CR"/>
              </w:rPr>
            </w:pPr>
            <w:r w:rsidRPr="00C81855">
              <w:rPr>
                <w:rFonts w:ascii="Arial" w:eastAsia="Times New Roman" w:hAnsi="Arial" w:cs="Arial"/>
                <w:sz w:val="20"/>
                <w:szCs w:val="20"/>
                <w:lang w:eastAsia="es-CR"/>
              </w:rPr>
              <w:t>₡</w:t>
            </w:r>
            <w:r w:rsidRPr="00C81855">
              <w:rPr>
                <w:rFonts w:eastAsia="Times New Roman" w:cs="Calibri"/>
                <w:sz w:val="20"/>
                <w:szCs w:val="20"/>
                <w:lang w:eastAsia="es-CR"/>
              </w:rPr>
              <w:t>24 929,88</w:t>
            </w:r>
          </w:p>
        </w:tc>
        <w:tc>
          <w:tcPr>
            <w:tcW w:w="1918" w:type="dxa"/>
            <w:tcBorders>
              <w:top w:val="nil"/>
              <w:left w:val="nil"/>
              <w:bottom w:val="nil"/>
              <w:right w:val="single" w:sz="8" w:space="0" w:color="auto"/>
            </w:tcBorders>
            <w:shd w:val="clear" w:color="auto" w:fill="auto"/>
            <w:noWrap/>
            <w:vAlign w:val="center"/>
            <w:hideMark/>
          </w:tcPr>
          <w:p w14:paraId="6D294A67" w14:textId="77777777" w:rsidR="00C81855" w:rsidRPr="00C81855" w:rsidRDefault="00C81855" w:rsidP="00C81855">
            <w:pPr>
              <w:spacing w:after="0" w:line="240" w:lineRule="auto"/>
              <w:jc w:val="right"/>
              <w:rPr>
                <w:rFonts w:eastAsia="Times New Roman" w:cs="Calibri"/>
                <w:sz w:val="20"/>
                <w:szCs w:val="20"/>
                <w:lang w:eastAsia="es-CR"/>
              </w:rPr>
            </w:pPr>
            <w:r w:rsidRPr="00C81855">
              <w:rPr>
                <w:rFonts w:ascii="Arial" w:eastAsia="Times New Roman" w:hAnsi="Arial" w:cs="Arial"/>
                <w:sz w:val="20"/>
                <w:szCs w:val="20"/>
                <w:lang w:eastAsia="es-CR"/>
              </w:rPr>
              <w:t>₡</w:t>
            </w:r>
            <w:r w:rsidRPr="00C81855">
              <w:rPr>
                <w:rFonts w:eastAsia="Times New Roman" w:cs="Calibri"/>
                <w:sz w:val="20"/>
                <w:szCs w:val="20"/>
                <w:lang w:eastAsia="es-CR"/>
              </w:rPr>
              <w:t>50 219,77</w:t>
            </w:r>
          </w:p>
        </w:tc>
        <w:tc>
          <w:tcPr>
            <w:tcW w:w="1558" w:type="dxa"/>
            <w:tcBorders>
              <w:top w:val="nil"/>
              <w:left w:val="nil"/>
              <w:bottom w:val="nil"/>
              <w:right w:val="single" w:sz="8" w:space="0" w:color="auto"/>
            </w:tcBorders>
            <w:shd w:val="clear" w:color="auto" w:fill="auto"/>
            <w:noWrap/>
            <w:vAlign w:val="center"/>
            <w:hideMark/>
          </w:tcPr>
          <w:p w14:paraId="64183226" w14:textId="77777777" w:rsidR="00C81855" w:rsidRPr="00C81855" w:rsidRDefault="00C81855" w:rsidP="00C81855">
            <w:pPr>
              <w:spacing w:after="0" w:line="240" w:lineRule="auto"/>
              <w:jc w:val="right"/>
              <w:rPr>
                <w:rFonts w:eastAsia="Times New Roman" w:cs="Calibri"/>
                <w:color w:val="000000"/>
                <w:sz w:val="20"/>
                <w:szCs w:val="20"/>
                <w:lang w:eastAsia="es-CR"/>
              </w:rPr>
            </w:pPr>
            <w:r w:rsidRPr="00C81855">
              <w:rPr>
                <w:rFonts w:eastAsia="Times New Roman" w:cs="Calibri"/>
                <w:color w:val="000000"/>
                <w:sz w:val="20"/>
                <w:szCs w:val="20"/>
                <w:lang w:eastAsia="es-CR"/>
              </w:rPr>
              <w:t>-25 289,90</w:t>
            </w:r>
          </w:p>
        </w:tc>
        <w:tc>
          <w:tcPr>
            <w:tcW w:w="457" w:type="dxa"/>
            <w:tcBorders>
              <w:top w:val="nil"/>
              <w:left w:val="nil"/>
              <w:bottom w:val="nil"/>
              <w:right w:val="single" w:sz="8" w:space="0" w:color="auto"/>
            </w:tcBorders>
            <w:shd w:val="clear" w:color="auto" w:fill="auto"/>
            <w:vAlign w:val="center"/>
            <w:hideMark/>
          </w:tcPr>
          <w:p w14:paraId="0F48C8D4" w14:textId="77777777" w:rsidR="00C81855" w:rsidRPr="00C81855" w:rsidRDefault="00C81855" w:rsidP="00C81855">
            <w:pPr>
              <w:spacing w:after="0" w:line="240" w:lineRule="auto"/>
              <w:jc w:val="center"/>
              <w:rPr>
                <w:rFonts w:eastAsia="Times New Roman" w:cs="Calibri"/>
                <w:color w:val="000000"/>
                <w:sz w:val="20"/>
                <w:szCs w:val="20"/>
                <w:lang w:eastAsia="es-CR"/>
              </w:rPr>
            </w:pPr>
            <w:r w:rsidRPr="00C81855">
              <w:rPr>
                <w:rFonts w:eastAsia="Times New Roman" w:cs="Calibri"/>
                <w:color w:val="000000"/>
                <w:sz w:val="20"/>
                <w:szCs w:val="20"/>
                <w:lang w:eastAsia="es-CR"/>
              </w:rPr>
              <w:t>-50,36%</w:t>
            </w:r>
          </w:p>
        </w:tc>
        <w:tc>
          <w:tcPr>
            <w:tcW w:w="1149" w:type="dxa"/>
            <w:vAlign w:val="center"/>
            <w:hideMark/>
          </w:tcPr>
          <w:p w14:paraId="764D2B81" w14:textId="77777777" w:rsidR="00C81855" w:rsidRPr="00C81855" w:rsidRDefault="00C81855" w:rsidP="00C81855">
            <w:pPr>
              <w:spacing w:after="0" w:line="240" w:lineRule="auto"/>
              <w:jc w:val="left"/>
              <w:rPr>
                <w:rFonts w:ascii="Times New Roman" w:eastAsia="Times New Roman" w:hAnsi="Times New Roman" w:cs="Times New Roman"/>
                <w:sz w:val="20"/>
                <w:szCs w:val="20"/>
                <w:lang w:eastAsia="es-CR"/>
              </w:rPr>
            </w:pPr>
          </w:p>
        </w:tc>
      </w:tr>
      <w:tr w:rsidR="00C81855" w:rsidRPr="00C81855" w14:paraId="77E2F060" w14:textId="77777777" w:rsidTr="00061EFB">
        <w:trPr>
          <w:trHeight w:val="514"/>
        </w:trPr>
        <w:tc>
          <w:tcPr>
            <w:tcW w:w="1263" w:type="dxa"/>
            <w:tcBorders>
              <w:top w:val="nil"/>
              <w:left w:val="single" w:sz="8" w:space="0" w:color="auto"/>
              <w:bottom w:val="nil"/>
              <w:right w:val="single" w:sz="8" w:space="0" w:color="auto"/>
            </w:tcBorders>
            <w:shd w:val="clear" w:color="auto" w:fill="auto"/>
            <w:noWrap/>
            <w:vAlign w:val="bottom"/>
            <w:hideMark/>
          </w:tcPr>
          <w:p w14:paraId="2FD0E3CF" w14:textId="77777777" w:rsidR="00C81855" w:rsidRPr="00C81855" w:rsidRDefault="00C81855" w:rsidP="00C81855">
            <w:pPr>
              <w:spacing w:after="0" w:line="240" w:lineRule="auto"/>
              <w:jc w:val="left"/>
              <w:rPr>
                <w:rFonts w:eastAsia="Times New Roman" w:cs="Calibri"/>
                <w:color w:val="000000"/>
                <w:sz w:val="20"/>
                <w:szCs w:val="20"/>
                <w:lang w:eastAsia="es-CR"/>
              </w:rPr>
            </w:pPr>
            <w:r w:rsidRPr="00C81855">
              <w:rPr>
                <w:rFonts w:eastAsia="Times New Roman" w:cs="Calibri"/>
                <w:color w:val="000000"/>
                <w:sz w:val="20"/>
                <w:szCs w:val="20"/>
                <w:lang w:eastAsia="es-CR"/>
              </w:rPr>
              <w:t>5.1.2.04.04.</w:t>
            </w:r>
          </w:p>
        </w:tc>
        <w:tc>
          <w:tcPr>
            <w:tcW w:w="3247" w:type="dxa"/>
            <w:tcBorders>
              <w:top w:val="nil"/>
              <w:left w:val="nil"/>
              <w:bottom w:val="nil"/>
              <w:right w:val="single" w:sz="8" w:space="0" w:color="auto"/>
            </w:tcBorders>
            <w:shd w:val="clear" w:color="auto" w:fill="auto"/>
            <w:vAlign w:val="bottom"/>
            <w:hideMark/>
          </w:tcPr>
          <w:p w14:paraId="7BC03BBC" w14:textId="77777777" w:rsidR="00C81855" w:rsidRPr="00C81855" w:rsidRDefault="00C81855" w:rsidP="00C81855">
            <w:pPr>
              <w:spacing w:after="0" w:line="240" w:lineRule="auto"/>
              <w:jc w:val="left"/>
              <w:rPr>
                <w:rFonts w:eastAsia="Times New Roman" w:cs="Calibri"/>
                <w:color w:val="000000"/>
                <w:sz w:val="20"/>
                <w:szCs w:val="20"/>
                <w:lang w:eastAsia="es-CR"/>
              </w:rPr>
            </w:pPr>
            <w:r w:rsidRPr="00C81855">
              <w:rPr>
                <w:rFonts w:eastAsia="Times New Roman" w:cs="Calibri"/>
                <w:color w:val="000000"/>
                <w:sz w:val="20"/>
                <w:szCs w:val="20"/>
                <w:lang w:eastAsia="es-CR"/>
              </w:rPr>
              <w:t>Servicios en ciencias económicas y sociales</w:t>
            </w:r>
          </w:p>
        </w:tc>
        <w:tc>
          <w:tcPr>
            <w:tcW w:w="1328" w:type="dxa"/>
            <w:tcBorders>
              <w:top w:val="nil"/>
              <w:left w:val="nil"/>
              <w:bottom w:val="nil"/>
              <w:right w:val="single" w:sz="8" w:space="0" w:color="auto"/>
            </w:tcBorders>
            <w:shd w:val="clear" w:color="auto" w:fill="auto"/>
            <w:noWrap/>
            <w:vAlign w:val="center"/>
            <w:hideMark/>
          </w:tcPr>
          <w:p w14:paraId="18C09CB3" w14:textId="77777777" w:rsidR="00C81855" w:rsidRPr="00C81855" w:rsidRDefault="00C81855" w:rsidP="00C81855">
            <w:pPr>
              <w:spacing w:after="0" w:line="240" w:lineRule="auto"/>
              <w:jc w:val="right"/>
              <w:rPr>
                <w:rFonts w:eastAsia="Times New Roman" w:cs="Calibri"/>
                <w:sz w:val="20"/>
                <w:szCs w:val="20"/>
                <w:lang w:eastAsia="es-CR"/>
              </w:rPr>
            </w:pPr>
            <w:r w:rsidRPr="00C81855">
              <w:rPr>
                <w:rFonts w:ascii="Arial" w:eastAsia="Times New Roman" w:hAnsi="Arial" w:cs="Arial"/>
                <w:sz w:val="20"/>
                <w:szCs w:val="20"/>
                <w:lang w:eastAsia="es-CR"/>
              </w:rPr>
              <w:t>₡</w:t>
            </w:r>
            <w:r w:rsidRPr="00C81855">
              <w:rPr>
                <w:rFonts w:eastAsia="Times New Roman" w:cs="Calibri"/>
                <w:sz w:val="20"/>
                <w:szCs w:val="20"/>
                <w:lang w:eastAsia="es-CR"/>
              </w:rPr>
              <w:t>16 413,57</w:t>
            </w:r>
          </w:p>
        </w:tc>
        <w:tc>
          <w:tcPr>
            <w:tcW w:w="1918" w:type="dxa"/>
            <w:tcBorders>
              <w:top w:val="nil"/>
              <w:left w:val="nil"/>
              <w:bottom w:val="nil"/>
              <w:right w:val="single" w:sz="8" w:space="0" w:color="auto"/>
            </w:tcBorders>
            <w:shd w:val="clear" w:color="auto" w:fill="auto"/>
            <w:noWrap/>
            <w:vAlign w:val="center"/>
            <w:hideMark/>
          </w:tcPr>
          <w:p w14:paraId="30484D2E" w14:textId="77777777" w:rsidR="00C81855" w:rsidRPr="00C81855" w:rsidRDefault="00C81855" w:rsidP="00C81855">
            <w:pPr>
              <w:spacing w:after="0" w:line="240" w:lineRule="auto"/>
              <w:jc w:val="right"/>
              <w:rPr>
                <w:rFonts w:eastAsia="Times New Roman" w:cs="Calibri"/>
                <w:sz w:val="20"/>
                <w:szCs w:val="20"/>
                <w:lang w:eastAsia="es-CR"/>
              </w:rPr>
            </w:pPr>
            <w:r w:rsidRPr="00C81855">
              <w:rPr>
                <w:rFonts w:ascii="Arial" w:eastAsia="Times New Roman" w:hAnsi="Arial" w:cs="Arial"/>
                <w:sz w:val="20"/>
                <w:szCs w:val="20"/>
                <w:lang w:eastAsia="es-CR"/>
              </w:rPr>
              <w:t>₡</w:t>
            </w:r>
            <w:r w:rsidRPr="00C81855">
              <w:rPr>
                <w:rFonts w:eastAsia="Times New Roman" w:cs="Calibri"/>
                <w:sz w:val="20"/>
                <w:szCs w:val="20"/>
                <w:lang w:eastAsia="es-CR"/>
              </w:rPr>
              <w:t>16 678,95</w:t>
            </w:r>
          </w:p>
        </w:tc>
        <w:tc>
          <w:tcPr>
            <w:tcW w:w="1558" w:type="dxa"/>
            <w:tcBorders>
              <w:top w:val="nil"/>
              <w:left w:val="nil"/>
              <w:bottom w:val="nil"/>
              <w:right w:val="single" w:sz="8" w:space="0" w:color="auto"/>
            </w:tcBorders>
            <w:shd w:val="clear" w:color="auto" w:fill="auto"/>
            <w:noWrap/>
            <w:vAlign w:val="center"/>
            <w:hideMark/>
          </w:tcPr>
          <w:p w14:paraId="60C5A27E" w14:textId="77777777" w:rsidR="00C81855" w:rsidRPr="00C81855" w:rsidRDefault="00C81855" w:rsidP="00C81855">
            <w:pPr>
              <w:spacing w:after="0" w:line="240" w:lineRule="auto"/>
              <w:jc w:val="right"/>
              <w:rPr>
                <w:rFonts w:eastAsia="Times New Roman" w:cs="Calibri"/>
                <w:color w:val="000000"/>
                <w:sz w:val="20"/>
                <w:szCs w:val="20"/>
                <w:lang w:eastAsia="es-CR"/>
              </w:rPr>
            </w:pPr>
            <w:r w:rsidRPr="00C81855">
              <w:rPr>
                <w:rFonts w:eastAsia="Times New Roman" w:cs="Calibri"/>
                <w:color w:val="000000"/>
                <w:sz w:val="20"/>
                <w:szCs w:val="20"/>
                <w:lang w:eastAsia="es-CR"/>
              </w:rPr>
              <w:t>-265,38</w:t>
            </w:r>
          </w:p>
        </w:tc>
        <w:tc>
          <w:tcPr>
            <w:tcW w:w="457" w:type="dxa"/>
            <w:tcBorders>
              <w:top w:val="nil"/>
              <w:left w:val="nil"/>
              <w:bottom w:val="nil"/>
              <w:right w:val="single" w:sz="8" w:space="0" w:color="auto"/>
            </w:tcBorders>
            <w:shd w:val="clear" w:color="auto" w:fill="auto"/>
            <w:vAlign w:val="center"/>
            <w:hideMark/>
          </w:tcPr>
          <w:p w14:paraId="18F7B23D" w14:textId="77777777" w:rsidR="00C81855" w:rsidRPr="00C81855" w:rsidRDefault="00C81855" w:rsidP="00C81855">
            <w:pPr>
              <w:spacing w:after="0" w:line="240" w:lineRule="auto"/>
              <w:jc w:val="center"/>
              <w:rPr>
                <w:rFonts w:eastAsia="Times New Roman" w:cs="Calibri"/>
                <w:color w:val="000000"/>
                <w:sz w:val="20"/>
                <w:szCs w:val="20"/>
                <w:lang w:eastAsia="es-CR"/>
              </w:rPr>
            </w:pPr>
            <w:r w:rsidRPr="00C81855">
              <w:rPr>
                <w:rFonts w:eastAsia="Times New Roman" w:cs="Calibri"/>
                <w:color w:val="000000"/>
                <w:sz w:val="20"/>
                <w:szCs w:val="20"/>
                <w:lang w:eastAsia="es-CR"/>
              </w:rPr>
              <w:t>-1,59%</w:t>
            </w:r>
          </w:p>
        </w:tc>
        <w:tc>
          <w:tcPr>
            <w:tcW w:w="1149" w:type="dxa"/>
            <w:vAlign w:val="center"/>
            <w:hideMark/>
          </w:tcPr>
          <w:p w14:paraId="717D884D" w14:textId="77777777" w:rsidR="00C81855" w:rsidRPr="00C81855" w:rsidRDefault="00C81855" w:rsidP="00C81855">
            <w:pPr>
              <w:spacing w:after="0" w:line="240" w:lineRule="auto"/>
              <w:jc w:val="left"/>
              <w:rPr>
                <w:rFonts w:ascii="Times New Roman" w:eastAsia="Times New Roman" w:hAnsi="Times New Roman" w:cs="Times New Roman"/>
                <w:sz w:val="20"/>
                <w:szCs w:val="20"/>
                <w:lang w:eastAsia="es-CR"/>
              </w:rPr>
            </w:pPr>
          </w:p>
        </w:tc>
      </w:tr>
      <w:tr w:rsidR="00C81855" w:rsidRPr="00C81855" w14:paraId="722EECA7" w14:textId="77777777" w:rsidTr="00061EFB">
        <w:trPr>
          <w:trHeight w:val="294"/>
        </w:trPr>
        <w:tc>
          <w:tcPr>
            <w:tcW w:w="1263" w:type="dxa"/>
            <w:tcBorders>
              <w:top w:val="nil"/>
              <w:left w:val="single" w:sz="8" w:space="0" w:color="auto"/>
              <w:bottom w:val="nil"/>
              <w:right w:val="single" w:sz="8" w:space="0" w:color="auto"/>
            </w:tcBorders>
            <w:shd w:val="clear" w:color="auto" w:fill="auto"/>
            <w:noWrap/>
            <w:vAlign w:val="bottom"/>
            <w:hideMark/>
          </w:tcPr>
          <w:p w14:paraId="582C7D32" w14:textId="77777777" w:rsidR="00C81855" w:rsidRPr="00C81855" w:rsidRDefault="00C81855" w:rsidP="00C81855">
            <w:pPr>
              <w:spacing w:after="0" w:line="240" w:lineRule="auto"/>
              <w:jc w:val="left"/>
              <w:rPr>
                <w:rFonts w:eastAsia="Times New Roman" w:cs="Calibri"/>
                <w:color w:val="000000"/>
                <w:sz w:val="20"/>
                <w:szCs w:val="20"/>
                <w:lang w:eastAsia="es-CR"/>
              </w:rPr>
            </w:pPr>
            <w:r w:rsidRPr="00C81855">
              <w:rPr>
                <w:rFonts w:eastAsia="Times New Roman" w:cs="Calibri"/>
                <w:color w:val="000000"/>
                <w:sz w:val="20"/>
                <w:szCs w:val="20"/>
                <w:lang w:eastAsia="es-CR"/>
              </w:rPr>
              <w:t>5.1.2.04.06.</w:t>
            </w:r>
          </w:p>
        </w:tc>
        <w:tc>
          <w:tcPr>
            <w:tcW w:w="3247" w:type="dxa"/>
            <w:tcBorders>
              <w:top w:val="nil"/>
              <w:left w:val="nil"/>
              <w:bottom w:val="nil"/>
              <w:right w:val="single" w:sz="8" w:space="0" w:color="auto"/>
            </w:tcBorders>
            <w:shd w:val="clear" w:color="auto" w:fill="auto"/>
            <w:noWrap/>
            <w:vAlign w:val="bottom"/>
            <w:hideMark/>
          </w:tcPr>
          <w:p w14:paraId="3DCBDDC7" w14:textId="77777777" w:rsidR="00C81855" w:rsidRPr="00C81855" w:rsidRDefault="00C81855" w:rsidP="00C81855">
            <w:pPr>
              <w:spacing w:after="0" w:line="240" w:lineRule="auto"/>
              <w:jc w:val="left"/>
              <w:rPr>
                <w:rFonts w:eastAsia="Times New Roman" w:cs="Calibri"/>
                <w:color w:val="000000"/>
                <w:sz w:val="20"/>
                <w:szCs w:val="20"/>
                <w:lang w:eastAsia="es-CR"/>
              </w:rPr>
            </w:pPr>
            <w:bookmarkStart w:id="914" w:name="_Hlk189124039"/>
            <w:r w:rsidRPr="00C81855">
              <w:rPr>
                <w:rFonts w:eastAsia="Times New Roman" w:cs="Calibri"/>
                <w:color w:val="000000"/>
                <w:sz w:val="20"/>
                <w:szCs w:val="20"/>
                <w:lang w:eastAsia="es-CR"/>
              </w:rPr>
              <w:t>Servicios generales</w:t>
            </w:r>
            <w:bookmarkEnd w:id="914"/>
          </w:p>
        </w:tc>
        <w:tc>
          <w:tcPr>
            <w:tcW w:w="1328" w:type="dxa"/>
            <w:tcBorders>
              <w:top w:val="nil"/>
              <w:left w:val="nil"/>
              <w:bottom w:val="nil"/>
              <w:right w:val="single" w:sz="8" w:space="0" w:color="auto"/>
            </w:tcBorders>
            <w:shd w:val="clear" w:color="auto" w:fill="auto"/>
            <w:noWrap/>
            <w:vAlign w:val="center"/>
            <w:hideMark/>
          </w:tcPr>
          <w:p w14:paraId="5107E360" w14:textId="77777777" w:rsidR="00C81855" w:rsidRPr="00C81855" w:rsidRDefault="00C81855" w:rsidP="00C81855">
            <w:pPr>
              <w:spacing w:after="0" w:line="240" w:lineRule="auto"/>
              <w:jc w:val="right"/>
              <w:rPr>
                <w:rFonts w:eastAsia="Times New Roman" w:cs="Calibri"/>
                <w:sz w:val="20"/>
                <w:szCs w:val="20"/>
                <w:lang w:eastAsia="es-CR"/>
              </w:rPr>
            </w:pPr>
            <w:r w:rsidRPr="00C81855">
              <w:rPr>
                <w:rFonts w:ascii="Arial" w:eastAsia="Times New Roman" w:hAnsi="Arial" w:cs="Arial"/>
                <w:sz w:val="20"/>
                <w:szCs w:val="20"/>
                <w:lang w:eastAsia="es-CR"/>
              </w:rPr>
              <w:t>₡</w:t>
            </w:r>
            <w:r w:rsidRPr="00C81855">
              <w:rPr>
                <w:rFonts w:eastAsia="Times New Roman" w:cs="Calibri"/>
                <w:sz w:val="20"/>
                <w:szCs w:val="20"/>
                <w:lang w:eastAsia="es-CR"/>
              </w:rPr>
              <w:t>70 744,37</w:t>
            </w:r>
          </w:p>
        </w:tc>
        <w:tc>
          <w:tcPr>
            <w:tcW w:w="1918" w:type="dxa"/>
            <w:tcBorders>
              <w:top w:val="nil"/>
              <w:left w:val="nil"/>
              <w:bottom w:val="nil"/>
              <w:right w:val="single" w:sz="8" w:space="0" w:color="auto"/>
            </w:tcBorders>
            <w:shd w:val="clear" w:color="auto" w:fill="auto"/>
            <w:noWrap/>
            <w:vAlign w:val="center"/>
            <w:hideMark/>
          </w:tcPr>
          <w:p w14:paraId="36AAA9AD" w14:textId="77777777" w:rsidR="00C81855" w:rsidRPr="00C81855" w:rsidRDefault="00C81855" w:rsidP="00C81855">
            <w:pPr>
              <w:spacing w:after="0" w:line="240" w:lineRule="auto"/>
              <w:jc w:val="right"/>
              <w:rPr>
                <w:rFonts w:eastAsia="Times New Roman" w:cs="Calibri"/>
                <w:sz w:val="20"/>
                <w:szCs w:val="20"/>
                <w:lang w:eastAsia="es-CR"/>
              </w:rPr>
            </w:pPr>
            <w:r w:rsidRPr="00C81855">
              <w:rPr>
                <w:rFonts w:ascii="Arial" w:eastAsia="Times New Roman" w:hAnsi="Arial" w:cs="Arial"/>
                <w:sz w:val="20"/>
                <w:szCs w:val="20"/>
                <w:lang w:eastAsia="es-CR"/>
              </w:rPr>
              <w:t>₡</w:t>
            </w:r>
            <w:r w:rsidRPr="00C81855">
              <w:rPr>
                <w:rFonts w:eastAsia="Times New Roman" w:cs="Calibri"/>
                <w:sz w:val="20"/>
                <w:szCs w:val="20"/>
                <w:lang w:eastAsia="es-CR"/>
              </w:rPr>
              <w:t>47 133,67</w:t>
            </w:r>
          </w:p>
        </w:tc>
        <w:tc>
          <w:tcPr>
            <w:tcW w:w="1558" w:type="dxa"/>
            <w:tcBorders>
              <w:top w:val="nil"/>
              <w:left w:val="nil"/>
              <w:bottom w:val="nil"/>
              <w:right w:val="single" w:sz="8" w:space="0" w:color="auto"/>
            </w:tcBorders>
            <w:shd w:val="clear" w:color="auto" w:fill="auto"/>
            <w:noWrap/>
            <w:vAlign w:val="center"/>
            <w:hideMark/>
          </w:tcPr>
          <w:p w14:paraId="4C3C167B" w14:textId="77777777" w:rsidR="00C81855" w:rsidRPr="00C81855" w:rsidRDefault="00C81855" w:rsidP="00C81855">
            <w:pPr>
              <w:spacing w:after="0" w:line="240" w:lineRule="auto"/>
              <w:jc w:val="right"/>
              <w:rPr>
                <w:rFonts w:eastAsia="Times New Roman" w:cs="Calibri"/>
                <w:color w:val="000000"/>
                <w:sz w:val="20"/>
                <w:szCs w:val="20"/>
                <w:lang w:eastAsia="es-CR"/>
              </w:rPr>
            </w:pPr>
            <w:r w:rsidRPr="00C81855">
              <w:rPr>
                <w:rFonts w:eastAsia="Times New Roman" w:cs="Calibri"/>
                <w:color w:val="000000"/>
                <w:sz w:val="20"/>
                <w:szCs w:val="20"/>
                <w:lang w:eastAsia="es-CR"/>
              </w:rPr>
              <w:t>23 610,70</w:t>
            </w:r>
          </w:p>
        </w:tc>
        <w:tc>
          <w:tcPr>
            <w:tcW w:w="457" w:type="dxa"/>
            <w:tcBorders>
              <w:top w:val="nil"/>
              <w:left w:val="nil"/>
              <w:bottom w:val="nil"/>
              <w:right w:val="single" w:sz="8" w:space="0" w:color="auto"/>
            </w:tcBorders>
            <w:shd w:val="clear" w:color="auto" w:fill="auto"/>
            <w:vAlign w:val="center"/>
            <w:hideMark/>
          </w:tcPr>
          <w:p w14:paraId="38375536" w14:textId="77777777" w:rsidR="00C81855" w:rsidRPr="00C81855" w:rsidRDefault="00C81855" w:rsidP="00C81855">
            <w:pPr>
              <w:spacing w:after="0" w:line="240" w:lineRule="auto"/>
              <w:jc w:val="center"/>
              <w:rPr>
                <w:rFonts w:eastAsia="Times New Roman" w:cs="Calibri"/>
                <w:color w:val="000000"/>
                <w:sz w:val="20"/>
                <w:szCs w:val="20"/>
                <w:lang w:eastAsia="es-CR"/>
              </w:rPr>
            </w:pPr>
            <w:r w:rsidRPr="00C81855">
              <w:rPr>
                <w:rFonts w:eastAsia="Times New Roman" w:cs="Calibri"/>
                <w:color w:val="000000"/>
                <w:sz w:val="20"/>
                <w:szCs w:val="20"/>
                <w:lang w:eastAsia="es-CR"/>
              </w:rPr>
              <w:t>50,09%</w:t>
            </w:r>
          </w:p>
        </w:tc>
        <w:tc>
          <w:tcPr>
            <w:tcW w:w="1149" w:type="dxa"/>
            <w:vAlign w:val="center"/>
            <w:hideMark/>
          </w:tcPr>
          <w:p w14:paraId="3DCCBB01" w14:textId="77777777" w:rsidR="00C81855" w:rsidRPr="00C81855" w:rsidRDefault="00C81855" w:rsidP="00C81855">
            <w:pPr>
              <w:spacing w:after="0" w:line="240" w:lineRule="auto"/>
              <w:jc w:val="left"/>
              <w:rPr>
                <w:rFonts w:ascii="Times New Roman" w:eastAsia="Times New Roman" w:hAnsi="Times New Roman" w:cs="Times New Roman"/>
                <w:sz w:val="20"/>
                <w:szCs w:val="20"/>
                <w:lang w:eastAsia="es-CR"/>
              </w:rPr>
            </w:pPr>
          </w:p>
        </w:tc>
      </w:tr>
      <w:tr w:rsidR="00C81855" w:rsidRPr="00C81855" w14:paraId="1D623DBE" w14:textId="77777777" w:rsidTr="00061EFB">
        <w:trPr>
          <w:trHeight w:val="309"/>
        </w:trPr>
        <w:tc>
          <w:tcPr>
            <w:tcW w:w="1263" w:type="dxa"/>
            <w:tcBorders>
              <w:top w:val="nil"/>
              <w:left w:val="single" w:sz="8" w:space="0" w:color="auto"/>
              <w:bottom w:val="nil"/>
              <w:right w:val="single" w:sz="8" w:space="0" w:color="auto"/>
            </w:tcBorders>
            <w:shd w:val="clear" w:color="auto" w:fill="auto"/>
            <w:noWrap/>
            <w:vAlign w:val="bottom"/>
            <w:hideMark/>
          </w:tcPr>
          <w:p w14:paraId="0D39B3F7" w14:textId="77777777" w:rsidR="00C81855" w:rsidRPr="00C81855" w:rsidRDefault="00C81855" w:rsidP="00C81855">
            <w:pPr>
              <w:spacing w:after="0" w:line="240" w:lineRule="auto"/>
              <w:jc w:val="left"/>
              <w:rPr>
                <w:rFonts w:eastAsia="Times New Roman" w:cs="Calibri"/>
                <w:color w:val="000000"/>
                <w:sz w:val="20"/>
                <w:szCs w:val="20"/>
                <w:lang w:eastAsia="es-CR"/>
              </w:rPr>
            </w:pPr>
            <w:r w:rsidRPr="00C81855">
              <w:rPr>
                <w:rFonts w:eastAsia="Times New Roman" w:cs="Calibri"/>
                <w:color w:val="000000"/>
                <w:sz w:val="20"/>
                <w:szCs w:val="20"/>
                <w:lang w:eastAsia="es-CR"/>
              </w:rPr>
              <w:t>5.1.2.04.99.</w:t>
            </w:r>
          </w:p>
        </w:tc>
        <w:tc>
          <w:tcPr>
            <w:tcW w:w="3247" w:type="dxa"/>
            <w:tcBorders>
              <w:top w:val="nil"/>
              <w:left w:val="nil"/>
              <w:bottom w:val="nil"/>
              <w:right w:val="single" w:sz="8" w:space="0" w:color="auto"/>
            </w:tcBorders>
            <w:shd w:val="clear" w:color="auto" w:fill="auto"/>
            <w:noWrap/>
            <w:vAlign w:val="bottom"/>
            <w:hideMark/>
          </w:tcPr>
          <w:p w14:paraId="79B9B06B" w14:textId="77777777" w:rsidR="00C81855" w:rsidRPr="00C81855" w:rsidRDefault="00C81855" w:rsidP="00C81855">
            <w:pPr>
              <w:spacing w:after="0" w:line="240" w:lineRule="auto"/>
              <w:jc w:val="left"/>
              <w:rPr>
                <w:rFonts w:eastAsia="Times New Roman" w:cs="Calibri"/>
                <w:color w:val="000000"/>
                <w:sz w:val="20"/>
                <w:szCs w:val="20"/>
                <w:lang w:eastAsia="es-CR"/>
              </w:rPr>
            </w:pPr>
            <w:r w:rsidRPr="00C81855">
              <w:rPr>
                <w:rFonts w:eastAsia="Times New Roman" w:cs="Calibri"/>
                <w:color w:val="000000"/>
                <w:sz w:val="20"/>
                <w:szCs w:val="20"/>
                <w:lang w:eastAsia="es-CR"/>
              </w:rPr>
              <w:t>Otros servicios de gestión y apoyo</w:t>
            </w:r>
          </w:p>
        </w:tc>
        <w:tc>
          <w:tcPr>
            <w:tcW w:w="1328" w:type="dxa"/>
            <w:tcBorders>
              <w:top w:val="nil"/>
              <w:left w:val="nil"/>
              <w:bottom w:val="nil"/>
              <w:right w:val="single" w:sz="8" w:space="0" w:color="auto"/>
            </w:tcBorders>
            <w:shd w:val="clear" w:color="auto" w:fill="auto"/>
            <w:noWrap/>
            <w:vAlign w:val="center"/>
            <w:hideMark/>
          </w:tcPr>
          <w:p w14:paraId="63B1E0B8" w14:textId="77777777" w:rsidR="00C81855" w:rsidRPr="00C81855" w:rsidRDefault="00C81855" w:rsidP="00C81855">
            <w:pPr>
              <w:spacing w:after="0" w:line="240" w:lineRule="auto"/>
              <w:jc w:val="right"/>
              <w:rPr>
                <w:rFonts w:eastAsia="Times New Roman" w:cs="Calibri"/>
                <w:sz w:val="20"/>
                <w:szCs w:val="20"/>
                <w:lang w:eastAsia="es-CR"/>
              </w:rPr>
            </w:pPr>
            <w:r w:rsidRPr="00C81855">
              <w:rPr>
                <w:rFonts w:ascii="Arial" w:eastAsia="Times New Roman" w:hAnsi="Arial" w:cs="Arial"/>
                <w:sz w:val="20"/>
                <w:szCs w:val="20"/>
                <w:lang w:eastAsia="es-CR"/>
              </w:rPr>
              <w:t>₡</w:t>
            </w:r>
            <w:r w:rsidRPr="00C81855">
              <w:rPr>
                <w:rFonts w:eastAsia="Times New Roman" w:cs="Calibri"/>
                <w:sz w:val="20"/>
                <w:szCs w:val="20"/>
                <w:lang w:eastAsia="es-CR"/>
              </w:rPr>
              <w:t>14 468,57</w:t>
            </w:r>
          </w:p>
        </w:tc>
        <w:tc>
          <w:tcPr>
            <w:tcW w:w="1918" w:type="dxa"/>
            <w:tcBorders>
              <w:top w:val="nil"/>
              <w:left w:val="nil"/>
              <w:bottom w:val="nil"/>
              <w:right w:val="single" w:sz="8" w:space="0" w:color="auto"/>
            </w:tcBorders>
            <w:shd w:val="clear" w:color="auto" w:fill="auto"/>
            <w:noWrap/>
            <w:vAlign w:val="center"/>
            <w:hideMark/>
          </w:tcPr>
          <w:p w14:paraId="3A06E9C1" w14:textId="77777777" w:rsidR="00C81855" w:rsidRPr="00C81855" w:rsidRDefault="00C81855" w:rsidP="00C81855">
            <w:pPr>
              <w:spacing w:after="0" w:line="240" w:lineRule="auto"/>
              <w:jc w:val="right"/>
              <w:rPr>
                <w:rFonts w:eastAsia="Times New Roman" w:cs="Calibri"/>
                <w:sz w:val="20"/>
                <w:szCs w:val="20"/>
                <w:lang w:eastAsia="es-CR"/>
              </w:rPr>
            </w:pPr>
            <w:r w:rsidRPr="00C81855">
              <w:rPr>
                <w:rFonts w:ascii="Arial" w:eastAsia="Times New Roman" w:hAnsi="Arial" w:cs="Arial"/>
                <w:sz w:val="20"/>
                <w:szCs w:val="20"/>
                <w:lang w:eastAsia="es-CR"/>
              </w:rPr>
              <w:t>₡</w:t>
            </w:r>
            <w:r w:rsidRPr="00C81855">
              <w:rPr>
                <w:rFonts w:eastAsia="Times New Roman" w:cs="Calibri"/>
                <w:sz w:val="20"/>
                <w:szCs w:val="20"/>
                <w:lang w:eastAsia="es-CR"/>
              </w:rPr>
              <w:t>5 593,67</w:t>
            </w:r>
          </w:p>
        </w:tc>
        <w:tc>
          <w:tcPr>
            <w:tcW w:w="1558" w:type="dxa"/>
            <w:tcBorders>
              <w:top w:val="nil"/>
              <w:left w:val="nil"/>
              <w:bottom w:val="nil"/>
              <w:right w:val="single" w:sz="8" w:space="0" w:color="auto"/>
            </w:tcBorders>
            <w:shd w:val="clear" w:color="auto" w:fill="auto"/>
            <w:noWrap/>
            <w:vAlign w:val="center"/>
            <w:hideMark/>
          </w:tcPr>
          <w:p w14:paraId="36427512" w14:textId="77777777" w:rsidR="00C81855" w:rsidRPr="00C81855" w:rsidRDefault="00C81855" w:rsidP="00C81855">
            <w:pPr>
              <w:spacing w:after="0" w:line="240" w:lineRule="auto"/>
              <w:jc w:val="right"/>
              <w:rPr>
                <w:rFonts w:eastAsia="Times New Roman" w:cs="Calibri"/>
                <w:color w:val="000000"/>
                <w:sz w:val="20"/>
                <w:szCs w:val="20"/>
                <w:lang w:eastAsia="es-CR"/>
              </w:rPr>
            </w:pPr>
            <w:r w:rsidRPr="00C81855">
              <w:rPr>
                <w:rFonts w:eastAsia="Times New Roman" w:cs="Calibri"/>
                <w:color w:val="000000"/>
                <w:sz w:val="20"/>
                <w:szCs w:val="20"/>
                <w:lang w:eastAsia="es-CR"/>
              </w:rPr>
              <w:t>8 874,90</w:t>
            </w:r>
          </w:p>
        </w:tc>
        <w:tc>
          <w:tcPr>
            <w:tcW w:w="457" w:type="dxa"/>
            <w:tcBorders>
              <w:top w:val="nil"/>
              <w:left w:val="nil"/>
              <w:bottom w:val="nil"/>
              <w:right w:val="single" w:sz="8" w:space="0" w:color="auto"/>
            </w:tcBorders>
            <w:shd w:val="clear" w:color="auto" w:fill="auto"/>
            <w:vAlign w:val="center"/>
            <w:hideMark/>
          </w:tcPr>
          <w:p w14:paraId="2E91F2DB" w14:textId="77777777" w:rsidR="00C81855" w:rsidRPr="00C81855" w:rsidRDefault="00C81855" w:rsidP="00C81855">
            <w:pPr>
              <w:spacing w:after="0" w:line="240" w:lineRule="auto"/>
              <w:jc w:val="center"/>
              <w:rPr>
                <w:rFonts w:eastAsia="Times New Roman" w:cs="Calibri"/>
                <w:color w:val="000000"/>
                <w:sz w:val="20"/>
                <w:szCs w:val="20"/>
                <w:lang w:eastAsia="es-CR"/>
              </w:rPr>
            </w:pPr>
            <w:r w:rsidRPr="00C81855">
              <w:rPr>
                <w:rFonts w:eastAsia="Times New Roman" w:cs="Calibri"/>
                <w:color w:val="000000"/>
                <w:sz w:val="20"/>
                <w:szCs w:val="20"/>
                <w:lang w:eastAsia="es-CR"/>
              </w:rPr>
              <w:t>158,66%</w:t>
            </w:r>
          </w:p>
        </w:tc>
        <w:tc>
          <w:tcPr>
            <w:tcW w:w="1149" w:type="dxa"/>
            <w:vAlign w:val="center"/>
            <w:hideMark/>
          </w:tcPr>
          <w:p w14:paraId="301E81B1" w14:textId="77777777" w:rsidR="00C81855" w:rsidRPr="00C81855" w:rsidRDefault="00C81855" w:rsidP="00C81855">
            <w:pPr>
              <w:spacing w:after="0" w:line="240" w:lineRule="auto"/>
              <w:jc w:val="left"/>
              <w:rPr>
                <w:rFonts w:ascii="Times New Roman" w:eastAsia="Times New Roman" w:hAnsi="Times New Roman" w:cs="Times New Roman"/>
                <w:sz w:val="20"/>
                <w:szCs w:val="20"/>
                <w:lang w:eastAsia="es-CR"/>
              </w:rPr>
            </w:pPr>
          </w:p>
        </w:tc>
      </w:tr>
      <w:tr w:rsidR="00C81855" w:rsidRPr="00C81855" w14:paraId="09619A3C" w14:textId="77777777" w:rsidTr="00061EFB">
        <w:trPr>
          <w:trHeight w:val="309"/>
        </w:trPr>
        <w:tc>
          <w:tcPr>
            <w:tcW w:w="1263" w:type="dxa"/>
            <w:tcBorders>
              <w:top w:val="nil"/>
              <w:left w:val="single" w:sz="8" w:space="0" w:color="auto"/>
              <w:bottom w:val="nil"/>
              <w:right w:val="single" w:sz="8" w:space="0" w:color="auto"/>
            </w:tcBorders>
            <w:shd w:val="clear" w:color="auto" w:fill="auto"/>
            <w:noWrap/>
            <w:vAlign w:val="center"/>
            <w:hideMark/>
          </w:tcPr>
          <w:p w14:paraId="5CE75EB7" w14:textId="77777777" w:rsidR="00C81855" w:rsidRPr="00C81855" w:rsidRDefault="00C81855" w:rsidP="00C81855">
            <w:pPr>
              <w:spacing w:after="0" w:line="240" w:lineRule="auto"/>
              <w:jc w:val="left"/>
              <w:rPr>
                <w:rFonts w:eastAsia="Times New Roman" w:cs="Calibri"/>
                <w:b/>
                <w:bCs/>
                <w:color w:val="000000"/>
                <w:sz w:val="20"/>
                <w:szCs w:val="20"/>
                <w:lang w:eastAsia="es-CR"/>
              </w:rPr>
            </w:pPr>
            <w:r w:rsidRPr="00C81855">
              <w:rPr>
                <w:rFonts w:eastAsia="Times New Roman" w:cs="Calibri"/>
                <w:b/>
                <w:bCs/>
                <w:color w:val="000000"/>
                <w:sz w:val="20"/>
                <w:szCs w:val="20"/>
                <w:lang w:eastAsia="es-CR"/>
              </w:rPr>
              <w:t>5.1.2.05.</w:t>
            </w:r>
          </w:p>
        </w:tc>
        <w:tc>
          <w:tcPr>
            <w:tcW w:w="3247" w:type="dxa"/>
            <w:tcBorders>
              <w:top w:val="nil"/>
              <w:left w:val="nil"/>
              <w:bottom w:val="nil"/>
              <w:right w:val="single" w:sz="8" w:space="0" w:color="auto"/>
            </w:tcBorders>
            <w:shd w:val="clear" w:color="auto" w:fill="auto"/>
            <w:vAlign w:val="center"/>
            <w:hideMark/>
          </w:tcPr>
          <w:p w14:paraId="33297144" w14:textId="77777777" w:rsidR="00C81855" w:rsidRPr="00C81855" w:rsidRDefault="00C81855" w:rsidP="00C81855">
            <w:pPr>
              <w:spacing w:after="0" w:line="240" w:lineRule="auto"/>
              <w:jc w:val="left"/>
              <w:rPr>
                <w:rFonts w:eastAsia="Times New Roman" w:cs="Calibri"/>
                <w:b/>
                <w:bCs/>
                <w:color w:val="000000"/>
                <w:sz w:val="20"/>
                <w:szCs w:val="20"/>
                <w:lang w:eastAsia="es-CR"/>
              </w:rPr>
            </w:pPr>
            <w:r w:rsidRPr="00C81855">
              <w:rPr>
                <w:rFonts w:eastAsia="Times New Roman" w:cs="Calibri"/>
                <w:b/>
                <w:bCs/>
                <w:color w:val="000000"/>
                <w:sz w:val="20"/>
                <w:szCs w:val="20"/>
                <w:lang w:eastAsia="es-CR"/>
              </w:rPr>
              <w:t>Gastos de viaje y transporte</w:t>
            </w:r>
          </w:p>
        </w:tc>
        <w:tc>
          <w:tcPr>
            <w:tcW w:w="1328" w:type="dxa"/>
            <w:tcBorders>
              <w:top w:val="single" w:sz="8" w:space="0" w:color="auto"/>
              <w:left w:val="nil"/>
              <w:bottom w:val="single" w:sz="8" w:space="0" w:color="auto"/>
              <w:right w:val="single" w:sz="8" w:space="0" w:color="auto"/>
            </w:tcBorders>
            <w:shd w:val="clear" w:color="auto" w:fill="auto"/>
            <w:noWrap/>
            <w:vAlign w:val="bottom"/>
            <w:hideMark/>
          </w:tcPr>
          <w:p w14:paraId="57EB0EED" w14:textId="77777777" w:rsidR="00C81855" w:rsidRPr="00C81855" w:rsidRDefault="00C81855" w:rsidP="00C81855">
            <w:pPr>
              <w:spacing w:after="0" w:line="240" w:lineRule="auto"/>
              <w:jc w:val="right"/>
              <w:rPr>
                <w:rFonts w:eastAsia="Times New Roman" w:cs="Calibri"/>
                <w:b/>
                <w:bCs/>
                <w:color w:val="000000"/>
                <w:sz w:val="20"/>
                <w:szCs w:val="20"/>
                <w:lang w:eastAsia="es-CR"/>
              </w:rPr>
            </w:pPr>
            <w:r w:rsidRPr="00C81855">
              <w:rPr>
                <w:rFonts w:ascii="Arial" w:eastAsia="Times New Roman" w:hAnsi="Arial" w:cs="Arial"/>
                <w:b/>
                <w:bCs/>
                <w:color w:val="000000"/>
                <w:sz w:val="20"/>
                <w:szCs w:val="20"/>
                <w:lang w:eastAsia="es-CR"/>
              </w:rPr>
              <w:t>₡</w:t>
            </w:r>
            <w:r w:rsidRPr="00C81855">
              <w:rPr>
                <w:rFonts w:eastAsia="Times New Roman" w:cs="Calibri"/>
                <w:b/>
                <w:bCs/>
                <w:color w:val="000000"/>
                <w:sz w:val="20"/>
                <w:szCs w:val="20"/>
                <w:lang w:eastAsia="es-CR"/>
              </w:rPr>
              <w:t>6 243,82</w:t>
            </w:r>
          </w:p>
        </w:tc>
        <w:tc>
          <w:tcPr>
            <w:tcW w:w="1918" w:type="dxa"/>
            <w:tcBorders>
              <w:top w:val="single" w:sz="8" w:space="0" w:color="auto"/>
              <w:left w:val="nil"/>
              <w:bottom w:val="single" w:sz="8" w:space="0" w:color="auto"/>
              <w:right w:val="single" w:sz="8" w:space="0" w:color="auto"/>
            </w:tcBorders>
            <w:shd w:val="clear" w:color="auto" w:fill="auto"/>
            <w:noWrap/>
            <w:vAlign w:val="bottom"/>
            <w:hideMark/>
          </w:tcPr>
          <w:p w14:paraId="6FA8700A" w14:textId="77777777" w:rsidR="00C81855" w:rsidRPr="00C81855" w:rsidRDefault="00C81855" w:rsidP="00C81855">
            <w:pPr>
              <w:spacing w:after="0" w:line="240" w:lineRule="auto"/>
              <w:jc w:val="right"/>
              <w:rPr>
                <w:rFonts w:eastAsia="Times New Roman" w:cs="Calibri"/>
                <w:b/>
                <w:bCs/>
                <w:color w:val="000000"/>
                <w:sz w:val="20"/>
                <w:szCs w:val="20"/>
                <w:lang w:eastAsia="es-CR"/>
              </w:rPr>
            </w:pPr>
            <w:r w:rsidRPr="00C81855">
              <w:rPr>
                <w:rFonts w:ascii="Arial" w:eastAsia="Times New Roman" w:hAnsi="Arial" w:cs="Arial"/>
                <w:b/>
                <w:bCs/>
                <w:color w:val="000000"/>
                <w:sz w:val="20"/>
                <w:szCs w:val="20"/>
                <w:lang w:eastAsia="es-CR"/>
              </w:rPr>
              <w:t>₡</w:t>
            </w:r>
            <w:r w:rsidRPr="00C81855">
              <w:rPr>
                <w:rFonts w:eastAsia="Times New Roman" w:cs="Calibri"/>
                <w:b/>
                <w:bCs/>
                <w:color w:val="000000"/>
                <w:sz w:val="20"/>
                <w:szCs w:val="20"/>
                <w:lang w:eastAsia="es-CR"/>
              </w:rPr>
              <w:t>8 797,12</w:t>
            </w:r>
          </w:p>
        </w:tc>
        <w:tc>
          <w:tcPr>
            <w:tcW w:w="1558" w:type="dxa"/>
            <w:tcBorders>
              <w:top w:val="single" w:sz="8" w:space="0" w:color="auto"/>
              <w:left w:val="nil"/>
              <w:bottom w:val="single" w:sz="8" w:space="0" w:color="auto"/>
              <w:right w:val="single" w:sz="8" w:space="0" w:color="auto"/>
            </w:tcBorders>
            <w:shd w:val="clear" w:color="auto" w:fill="auto"/>
            <w:noWrap/>
            <w:vAlign w:val="bottom"/>
            <w:hideMark/>
          </w:tcPr>
          <w:p w14:paraId="2BDF1696" w14:textId="77777777" w:rsidR="00C81855" w:rsidRPr="00C81855" w:rsidRDefault="00C81855" w:rsidP="00C81855">
            <w:pPr>
              <w:spacing w:after="0" w:line="240" w:lineRule="auto"/>
              <w:jc w:val="right"/>
              <w:rPr>
                <w:rFonts w:eastAsia="Times New Roman" w:cs="Calibri"/>
                <w:b/>
                <w:bCs/>
                <w:color w:val="000000"/>
                <w:sz w:val="20"/>
                <w:szCs w:val="20"/>
                <w:lang w:eastAsia="es-CR"/>
              </w:rPr>
            </w:pPr>
            <w:r w:rsidRPr="00C81855">
              <w:rPr>
                <w:rFonts w:eastAsia="Times New Roman" w:cs="Calibri"/>
                <w:b/>
                <w:bCs/>
                <w:color w:val="000000"/>
                <w:sz w:val="20"/>
                <w:szCs w:val="20"/>
                <w:lang w:eastAsia="es-CR"/>
              </w:rPr>
              <w:t>-</w:t>
            </w:r>
            <w:r w:rsidRPr="00C81855">
              <w:rPr>
                <w:rFonts w:ascii="Arial" w:eastAsia="Times New Roman" w:hAnsi="Arial" w:cs="Arial"/>
                <w:b/>
                <w:bCs/>
                <w:color w:val="000000"/>
                <w:sz w:val="20"/>
                <w:szCs w:val="20"/>
                <w:lang w:eastAsia="es-CR"/>
              </w:rPr>
              <w:t>₡</w:t>
            </w:r>
            <w:r w:rsidRPr="00C81855">
              <w:rPr>
                <w:rFonts w:eastAsia="Times New Roman" w:cs="Calibri"/>
                <w:b/>
                <w:bCs/>
                <w:color w:val="000000"/>
                <w:sz w:val="20"/>
                <w:szCs w:val="20"/>
                <w:lang w:eastAsia="es-CR"/>
              </w:rPr>
              <w:t>2 553,29</w:t>
            </w:r>
          </w:p>
        </w:tc>
        <w:tc>
          <w:tcPr>
            <w:tcW w:w="457" w:type="dxa"/>
            <w:tcBorders>
              <w:top w:val="single" w:sz="8" w:space="0" w:color="auto"/>
              <w:left w:val="nil"/>
              <w:bottom w:val="single" w:sz="8" w:space="0" w:color="auto"/>
              <w:right w:val="single" w:sz="8" w:space="0" w:color="auto"/>
            </w:tcBorders>
            <w:shd w:val="clear" w:color="auto" w:fill="auto"/>
            <w:vAlign w:val="center"/>
            <w:hideMark/>
          </w:tcPr>
          <w:p w14:paraId="28724226" w14:textId="77777777" w:rsidR="00C81855" w:rsidRPr="00C81855" w:rsidRDefault="00C81855" w:rsidP="00C81855">
            <w:pPr>
              <w:spacing w:after="0" w:line="240" w:lineRule="auto"/>
              <w:jc w:val="center"/>
              <w:rPr>
                <w:rFonts w:eastAsia="Times New Roman" w:cs="Calibri"/>
                <w:b/>
                <w:bCs/>
                <w:color w:val="000000"/>
                <w:sz w:val="20"/>
                <w:szCs w:val="20"/>
                <w:lang w:eastAsia="es-CR"/>
              </w:rPr>
            </w:pPr>
            <w:r w:rsidRPr="00C81855">
              <w:rPr>
                <w:rFonts w:eastAsia="Times New Roman" w:cs="Calibri"/>
                <w:b/>
                <w:bCs/>
                <w:color w:val="000000"/>
                <w:sz w:val="20"/>
                <w:szCs w:val="20"/>
                <w:lang w:eastAsia="es-CR"/>
              </w:rPr>
              <w:t>-29,02%</w:t>
            </w:r>
          </w:p>
        </w:tc>
        <w:tc>
          <w:tcPr>
            <w:tcW w:w="1149" w:type="dxa"/>
            <w:vAlign w:val="center"/>
            <w:hideMark/>
          </w:tcPr>
          <w:p w14:paraId="4260747C" w14:textId="77777777" w:rsidR="00C81855" w:rsidRPr="00C81855" w:rsidRDefault="00C81855" w:rsidP="00C81855">
            <w:pPr>
              <w:spacing w:after="0" w:line="240" w:lineRule="auto"/>
              <w:jc w:val="left"/>
              <w:rPr>
                <w:rFonts w:ascii="Times New Roman" w:eastAsia="Times New Roman" w:hAnsi="Times New Roman" w:cs="Times New Roman"/>
                <w:sz w:val="20"/>
                <w:szCs w:val="20"/>
                <w:lang w:eastAsia="es-CR"/>
              </w:rPr>
            </w:pPr>
          </w:p>
        </w:tc>
      </w:tr>
      <w:tr w:rsidR="00C81855" w:rsidRPr="00C81855" w14:paraId="02742C39" w14:textId="77777777" w:rsidTr="00061EFB">
        <w:trPr>
          <w:trHeight w:val="294"/>
        </w:trPr>
        <w:tc>
          <w:tcPr>
            <w:tcW w:w="1263" w:type="dxa"/>
            <w:tcBorders>
              <w:top w:val="nil"/>
              <w:left w:val="single" w:sz="8" w:space="0" w:color="auto"/>
              <w:bottom w:val="nil"/>
              <w:right w:val="single" w:sz="8" w:space="0" w:color="auto"/>
            </w:tcBorders>
            <w:shd w:val="clear" w:color="auto" w:fill="auto"/>
            <w:noWrap/>
            <w:vAlign w:val="bottom"/>
            <w:hideMark/>
          </w:tcPr>
          <w:p w14:paraId="00669378" w14:textId="77777777" w:rsidR="00C81855" w:rsidRPr="00C81855" w:rsidRDefault="00C81855" w:rsidP="00C81855">
            <w:pPr>
              <w:spacing w:after="0" w:line="240" w:lineRule="auto"/>
              <w:jc w:val="left"/>
              <w:rPr>
                <w:rFonts w:eastAsia="Times New Roman" w:cs="Calibri"/>
                <w:color w:val="000000"/>
                <w:sz w:val="20"/>
                <w:szCs w:val="20"/>
                <w:lang w:eastAsia="es-CR"/>
              </w:rPr>
            </w:pPr>
            <w:r w:rsidRPr="00C81855">
              <w:rPr>
                <w:rFonts w:eastAsia="Times New Roman" w:cs="Calibri"/>
                <w:color w:val="000000"/>
                <w:sz w:val="20"/>
                <w:szCs w:val="20"/>
                <w:lang w:eastAsia="es-CR"/>
              </w:rPr>
              <w:t>5.1.2.05.01.</w:t>
            </w:r>
          </w:p>
        </w:tc>
        <w:tc>
          <w:tcPr>
            <w:tcW w:w="3247" w:type="dxa"/>
            <w:tcBorders>
              <w:top w:val="nil"/>
              <w:left w:val="nil"/>
              <w:bottom w:val="nil"/>
              <w:right w:val="single" w:sz="8" w:space="0" w:color="auto"/>
            </w:tcBorders>
            <w:shd w:val="clear" w:color="auto" w:fill="auto"/>
            <w:noWrap/>
            <w:vAlign w:val="bottom"/>
            <w:hideMark/>
          </w:tcPr>
          <w:p w14:paraId="7A340163" w14:textId="77777777" w:rsidR="00C81855" w:rsidRPr="00C81855" w:rsidRDefault="00C81855" w:rsidP="00C81855">
            <w:pPr>
              <w:spacing w:after="0" w:line="240" w:lineRule="auto"/>
              <w:jc w:val="left"/>
              <w:rPr>
                <w:rFonts w:eastAsia="Times New Roman" w:cs="Calibri"/>
                <w:color w:val="000000"/>
                <w:sz w:val="20"/>
                <w:szCs w:val="20"/>
                <w:lang w:eastAsia="es-CR"/>
              </w:rPr>
            </w:pPr>
            <w:r w:rsidRPr="00C81855">
              <w:rPr>
                <w:rFonts w:eastAsia="Times New Roman" w:cs="Calibri"/>
                <w:color w:val="000000"/>
                <w:sz w:val="20"/>
                <w:szCs w:val="20"/>
                <w:lang w:eastAsia="es-CR"/>
              </w:rPr>
              <w:t>Transporte dentro del país</w:t>
            </w:r>
          </w:p>
        </w:tc>
        <w:tc>
          <w:tcPr>
            <w:tcW w:w="1328" w:type="dxa"/>
            <w:tcBorders>
              <w:top w:val="nil"/>
              <w:left w:val="nil"/>
              <w:bottom w:val="nil"/>
              <w:right w:val="single" w:sz="8" w:space="0" w:color="auto"/>
            </w:tcBorders>
            <w:shd w:val="clear" w:color="auto" w:fill="auto"/>
            <w:noWrap/>
            <w:vAlign w:val="center"/>
            <w:hideMark/>
          </w:tcPr>
          <w:p w14:paraId="382625E8" w14:textId="77777777" w:rsidR="00C81855" w:rsidRPr="00C81855" w:rsidRDefault="00C81855" w:rsidP="00C81855">
            <w:pPr>
              <w:spacing w:after="0" w:line="240" w:lineRule="auto"/>
              <w:jc w:val="right"/>
              <w:rPr>
                <w:rFonts w:eastAsia="Times New Roman" w:cs="Calibri"/>
                <w:sz w:val="20"/>
                <w:szCs w:val="20"/>
                <w:lang w:eastAsia="es-CR"/>
              </w:rPr>
            </w:pPr>
            <w:r w:rsidRPr="00C81855">
              <w:rPr>
                <w:rFonts w:ascii="Arial" w:eastAsia="Times New Roman" w:hAnsi="Arial" w:cs="Arial"/>
                <w:sz w:val="20"/>
                <w:szCs w:val="20"/>
                <w:lang w:eastAsia="es-CR"/>
              </w:rPr>
              <w:t>₡</w:t>
            </w:r>
            <w:r w:rsidRPr="00C81855">
              <w:rPr>
                <w:rFonts w:eastAsia="Times New Roman" w:cs="Calibri"/>
                <w:sz w:val="20"/>
                <w:szCs w:val="20"/>
                <w:lang w:eastAsia="es-CR"/>
              </w:rPr>
              <w:t>149,37</w:t>
            </w:r>
          </w:p>
        </w:tc>
        <w:tc>
          <w:tcPr>
            <w:tcW w:w="1918" w:type="dxa"/>
            <w:tcBorders>
              <w:top w:val="nil"/>
              <w:left w:val="nil"/>
              <w:bottom w:val="nil"/>
              <w:right w:val="single" w:sz="8" w:space="0" w:color="auto"/>
            </w:tcBorders>
            <w:shd w:val="clear" w:color="auto" w:fill="auto"/>
            <w:noWrap/>
            <w:vAlign w:val="center"/>
            <w:hideMark/>
          </w:tcPr>
          <w:p w14:paraId="2A890F92" w14:textId="77777777" w:rsidR="00C81855" w:rsidRPr="00C81855" w:rsidRDefault="00C81855" w:rsidP="00C81855">
            <w:pPr>
              <w:spacing w:after="0" w:line="240" w:lineRule="auto"/>
              <w:jc w:val="right"/>
              <w:rPr>
                <w:rFonts w:eastAsia="Times New Roman" w:cs="Calibri"/>
                <w:sz w:val="20"/>
                <w:szCs w:val="20"/>
                <w:lang w:eastAsia="es-CR"/>
              </w:rPr>
            </w:pPr>
            <w:r w:rsidRPr="00C81855">
              <w:rPr>
                <w:rFonts w:ascii="Arial" w:eastAsia="Times New Roman" w:hAnsi="Arial" w:cs="Arial"/>
                <w:sz w:val="20"/>
                <w:szCs w:val="20"/>
                <w:lang w:eastAsia="es-CR"/>
              </w:rPr>
              <w:t>₡</w:t>
            </w:r>
            <w:r w:rsidRPr="00C81855">
              <w:rPr>
                <w:rFonts w:eastAsia="Times New Roman" w:cs="Calibri"/>
                <w:sz w:val="20"/>
                <w:szCs w:val="20"/>
                <w:lang w:eastAsia="es-CR"/>
              </w:rPr>
              <w:t>47,59</w:t>
            </w:r>
          </w:p>
        </w:tc>
        <w:tc>
          <w:tcPr>
            <w:tcW w:w="1558" w:type="dxa"/>
            <w:tcBorders>
              <w:top w:val="nil"/>
              <w:left w:val="nil"/>
              <w:bottom w:val="nil"/>
              <w:right w:val="single" w:sz="8" w:space="0" w:color="auto"/>
            </w:tcBorders>
            <w:shd w:val="clear" w:color="auto" w:fill="auto"/>
            <w:noWrap/>
            <w:vAlign w:val="center"/>
            <w:hideMark/>
          </w:tcPr>
          <w:p w14:paraId="67272928" w14:textId="77777777" w:rsidR="00C81855" w:rsidRPr="00C81855" w:rsidRDefault="00C81855" w:rsidP="00C81855">
            <w:pPr>
              <w:spacing w:after="0" w:line="240" w:lineRule="auto"/>
              <w:jc w:val="right"/>
              <w:rPr>
                <w:rFonts w:eastAsia="Times New Roman" w:cs="Calibri"/>
                <w:color w:val="000000"/>
                <w:sz w:val="20"/>
                <w:szCs w:val="20"/>
                <w:lang w:eastAsia="es-CR"/>
              </w:rPr>
            </w:pPr>
            <w:r w:rsidRPr="00C81855">
              <w:rPr>
                <w:rFonts w:eastAsia="Times New Roman" w:cs="Calibri"/>
                <w:color w:val="000000"/>
                <w:sz w:val="20"/>
                <w:szCs w:val="20"/>
                <w:lang w:eastAsia="es-CR"/>
              </w:rPr>
              <w:t>101,79</w:t>
            </w:r>
          </w:p>
        </w:tc>
        <w:tc>
          <w:tcPr>
            <w:tcW w:w="457" w:type="dxa"/>
            <w:tcBorders>
              <w:top w:val="nil"/>
              <w:left w:val="nil"/>
              <w:bottom w:val="nil"/>
              <w:right w:val="single" w:sz="8" w:space="0" w:color="auto"/>
            </w:tcBorders>
            <w:shd w:val="clear" w:color="auto" w:fill="auto"/>
            <w:vAlign w:val="center"/>
            <w:hideMark/>
          </w:tcPr>
          <w:p w14:paraId="6462CA8E" w14:textId="77777777" w:rsidR="00C81855" w:rsidRPr="00C81855" w:rsidRDefault="00C81855" w:rsidP="00C81855">
            <w:pPr>
              <w:spacing w:after="0" w:line="240" w:lineRule="auto"/>
              <w:jc w:val="center"/>
              <w:rPr>
                <w:rFonts w:eastAsia="Times New Roman" w:cs="Calibri"/>
                <w:color w:val="000000"/>
                <w:sz w:val="20"/>
                <w:szCs w:val="20"/>
                <w:lang w:eastAsia="es-CR"/>
              </w:rPr>
            </w:pPr>
            <w:r w:rsidRPr="00C81855">
              <w:rPr>
                <w:rFonts w:eastAsia="Times New Roman" w:cs="Calibri"/>
                <w:color w:val="000000"/>
                <w:sz w:val="20"/>
                <w:szCs w:val="20"/>
                <w:lang w:eastAsia="es-CR"/>
              </w:rPr>
              <w:t>213,91%</w:t>
            </w:r>
          </w:p>
        </w:tc>
        <w:tc>
          <w:tcPr>
            <w:tcW w:w="1149" w:type="dxa"/>
            <w:vAlign w:val="center"/>
            <w:hideMark/>
          </w:tcPr>
          <w:p w14:paraId="3D01A06C" w14:textId="77777777" w:rsidR="00C81855" w:rsidRPr="00C81855" w:rsidRDefault="00C81855" w:rsidP="00C81855">
            <w:pPr>
              <w:spacing w:after="0" w:line="240" w:lineRule="auto"/>
              <w:jc w:val="left"/>
              <w:rPr>
                <w:rFonts w:ascii="Times New Roman" w:eastAsia="Times New Roman" w:hAnsi="Times New Roman" w:cs="Times New Roman"/>
                <w:sz w:val="20"/>
                <w:szCs w:val="20"/>
                <w:lang w:eastAsia="es-CR"/>
              </w:rPr>
            </w:pPr>
          </w:p>
        </w:tc>
      </w:tr>
      <w:tr w:rsidR="00C81855" w:rsidRPr="00C81855" w14:paraId="5081FB33" w14:textId="77777777" w:rsidTr="00061EFB">
        <w:trPr>
          <w:trHeight w:val="309"/>
        </w:trPr>
        <w:tc>
          <w:tcPr>
            <w:tcW w:w="1263" w:type="dxa"/>
            <w:tcBorders>
              <w:top w:val="nil"/>
              <w:left w:val="single" w:sz="8" w:space="0" w:color="auto"/>
              <w:bottom w:val="nil"/>
              <w:right w:val="single" w:sz="8" w:space="0" w:color="auto"/>
            </w:tcBorders>
            <w:shd w:val="clear" w:color="auto" w:fill="auto"/>
            <w:noWrap/>
            <w:vAlign w:val="bottom"/>
            <w:hideMark/>
          </w:tcPr>
          <w:p w14:paraId="3DD14A25" w14:textId="77777777" w:rsidR="00C81855" w:rsidRPr="00C81855" w:rsidRDefault="00C81855" w:rsidP="00C81855">
            <w:pPr>
              <w:spacing w:after="0" w:line="240" w:lineRule="auto"/>
              <w:jc w:val="left"/>
              <w:rPr>
                <w:rFonts w:eastAsia="Times New Roman" w:cs="Calibri"/>
                <w:color w:val="000000"/>
                <w:sz w:val="20"/>
                <w:szCs w:val="20"/>
                <w:lang w:eastAsia="es-CR"/>
              </w:rPr>
            </w:pPr>
            <w:r w:rsidRPr="00C81855">
              <w:rPr>
                <w:rFonts w:eastAsia="Times New Roman" w:cs="Calibri"/>
                <w:color w:val="000000"/>
                <w:sz w:val="20"/>
                <w:szCs w:val="20"/>
                <w:lang w:eastAsia="es-CR"/>
              </w:rPr>
              <w:t>5.1.2.05.02.</w:t>
            </w:r>
          </w:p>
        </w:tc>
        <w:tc>
          <w:tcPr>
            <w:tcW w:w="3247" w:type="dxa"/>
            <w:tcBorders>
              <w:top w:val="nil"/>
              <w:left w:val="nil"/>
              <w:bottom w:val="nil"/>
              <w:right w:val="single" w:sz="8" w:space="0" w:color="auto"/>
            </w:tcBorders>
            <w:shd w:val="clear" w:color="auto" w:fill="auto"/>
            <w:noWrap/>
            <w:vAlign w:val="bottom"/>
            <w:hideMark/>
          </w:tcPr>
          <w:p w14:paraId="21163334" w14:textId="77777777" w:rsidR="00C81855" w:rsidRPr="00C81855" w:rsidRDefault="00C81855" w:rsidP="00C81855">
            <w:pPr>
              <w:spacing w:after="0" w:line="240" w:lineRule="auto"/>
              <w:jc w:val="left"/>
              <w:rPr>
                <w:rFonts w:eastAsia="Times New Roman" w:cs="Calibri"/>
                <w:color w:val="000000"/>
                <w:sz w:val="20"/>
                <w:szCs w:val="20"/>
                <w:lang w:eastAsia="es-CR"/>
              </w:rPr>
            </w:pPr>
            <w:r w:rsidRPr="00C81855">
              <w:rPr>
                <w:rFonts w:eastAsia="Times New Roman" w:cs="Calibri"/>
                <w:color w:val="000000"/>
                <w:sz w:val="20"/>
                <w:szCs w:val="20"/>
                <w:lang w:eastAsia="es-CR"/>
              </w:rPr>
              <w:t>Viáticos dentro del país</w:t>
            </w:r>
          </w:p>
        </w:tc>
        <w:tc>
          <w:tcPr>
            <w:tcW w:w="1328" w:type="dxa"/>
            <w:tcBorders>
              <w:top w:val="nil"/>
              <w:left w:val="nil"/>
              <w:bottom w:val="nil"/>
              <w:right w:val="single" w:sz="8" w:space="0" w:color="auto"/>
            </w:tcBorders>
            <w:shd w:val="clear" w:color="auto" w:fill="auto"/>
            <w:noWrap/>
            <w:vAlign w:val="center"/>
            <w:hideMark/>
          </w:tcPr>
          <w:p w14:paraId="6BB7207D" w14:textId="77777777" w:rsidR="00C81855" w:rsidRPr="00C81855" w:rsidRDefault="00C81855" w:rsidP="00C81855">
            <w:pPr>
              <w:spacing w:after="0" w:line="240" w:lineRule="auto"/>
              <w:jc w:val="right"/>
              <w:rPr>
                <w:rFonts w:eastAsia="Times New Roman" w:cs="Calibri"/>
                <w:sz w:val="20"/>
                <w:szCs w:val="20"/>
                <w:lang w:eastAsia="es-CR"/>
              </w:rPr>
            </w:pPr>
            <w:r w:rsidRPr="00C81855">
              <w:rPr>
                <w:rFonts w:ascii="Arial" w:eastAsia="Times New Roman" w:hAnsi="Arial" w:cs="Arial"/>
                <w:sz w:val="20"/>
                <w:szCs w:val="20"/>
                <w:lang w:eastAsia="es-CR"/>
              </w:rPr>
              <w:t>₡</w:t>
            </w:r>
            <w:r w:rsidRPr="00C81855">
              <w:rPr>
                <w:rFonts w:eastAsia="Times New Roman" w:cs="Calibri"/>
                <w:sz w:val="20"/>
                <w:szCs w:val="20"/>
                <w:lang w:eastAsia="es-CR"/>
              </w:rPr>
              <w:t>6 094,45</w:t>
            </w:r>
          </w:p>
        </w:tc>
        <w:tc>
          <w:tcPr>
            <w:tcW w:w="1918" w:type="dxa"/>
            <w:tcBorders>
              <w:top w:val="nil"/>
              <w:left w:val="nil"/>
              <w:bottom w:val="nil"/>
              <w:right w:val="single" w:sz="8" w:space="0" w:color="auto"/>
            </w:tcBorders>
            <w:shd w:val="clear" w:color="auto" w:fill="auto"/>
            <w:noWrap/>
            <w:vAlign w:val="center"/>
            <w:hideMark/>
          </w:tcPr>
          <w:p w14:paraId="6B664A01" w14:textId="77777777" w:rsidR="00C81855" w:rsidRPr="00C81855" w:rsidRDefault="00C81855" w:rsidP="00C81855">
            <w:pPr>
              <w:spacing w:after="0" w:line="240" w:lineRule="auto"/>
              <w:jc w:val="right"/>
              <w:rPr>
                <w:rFonts w:eastAsia="Times New Roman" w:cs="Calibri"/>
                <w:sz w:val="20"/>
                <w:szCs w:val="20"/>
                <w:lang w:eastAsia="es-CR"/>
              </w:rPr>
            </w:pPr>
            <w:r w:rsidRPr="00C81855">
              <w:rPr>
                <w:rFonts w:ascii="Arial" w:eastAsia="Times New Roman" w:hAnsi="Arial" w:cs="Arial"/>
                <w:sz w:val="20"/>
                <w:szCs w:val="20"/>
                <w:lang w:eastAsia="es-CR"/>
              </w:rPr>
              <w:t>₡</w:t>
            </w:r>
            <w:r w:rsidRPr="00C81855">
              <w:rPr>
                <w:rFonts w:eastAsia="Times New Roman" w:cs="Calibri"/>
                <w:sz w:val="20"/>
                <w:szCs w:val="20"/>
                <w:lang w:eastAsia="es-CR"/>
              </w:rPr>
              <w:t>8 749,53</w:t>
            </w:r>
          </w:p>
        </w:tc>
        <w:tc>
          <w:tcPr>
            <w:tcW w:w="1558" w:type="dxa"/>
            <w:tcBorders>
              <w:top w:val="nil"/>
              <w:left w:val="nil"/>
              <w:bottom w:val="nil"/>
              <w:right w:val="single" w:sz="8" w:space="0" w:color="auto"/>
            </w:tcBorders>
            <w:shd w:val="clear" w:color="auto" w:fill="auto"/>
            <w:noWrap/>
            <w:vAlign w:val="center"/>
            <w:hideMark/>
          </w:tcPr>
          <w:p w14:paraId="4E31E619" w14:textId="77777777" w:rsidR="00C81855" w:rsidRPr="00C81855" w:rsidRDefault="00C81855" w:rsidP="00C81855">
            <w:pPr>
              <w:spacing w:after="0" w:line="240" w:lineRule="auto"/>
              <w:jc w:val="right"/>
              <w:rPr>
                <w:rFonts w:eastAsia="Times New Roman" w:cs="Calibri"/>
                <w:color w:val="000000"/>
                <w:sz w:val="20"/>
                <w:szCs w:val="20"/>
                <w:lang w:eastAsia="es-CR"/>
              </w:rPr>
            </w:pPr>
            <w:r w:rsidRPr="00C81855">
              <w:rPr>
                <w:rFonts w:eastAsia="Times New Roman" w:cs="Calibri"/>
                <w:color w:val="000000"/>
                <w:sz w:val="20"/>
                <w:szCs w:val="20"/>
                <w:lang w:eastAsia="es-CR"/>
              </w:rPr>
              <w:t>-2 655,08</w:t>
            </w:r>
          </w:p>
        </w:tc>
        <w:tc>
          <w:tcPr>
            <w:tcW w:w="457" w:type="dxa"/>
            <w:tcBorders>
              <w:top w:val="nil"/>
              <w:left w:val="nil"/>
              <w:bottom w:val="nil"/>
              <w:right w:val="single" w:sz="8" w:space="0" w:color="auto"/>
            </w:tcBorders>
            <w:shd w:val="clear" w:color="auto" w:fill="auto"/>
            <w:vAlign w:val="center"/>
            <w:hideMark/>
          </w:tcPr>
          <w:p w14:paraId="6B552FE9" w14:textId="77777777" w:rsidR="00C81855" w:rsidRPr="00C81855" w:rsidRDefault="00C81855" w:rsidP="00C81855">
            <w:pPr>
              <w:spacing w:after="0" w:line="240" w:lineRule="auto"/>
              <w:jc w:val="center"/>
              <w:rPr>
                <w:rFonts w:eastAsia="Times New Roman" w:cs="Calibri"/>
                <w:color w:val="000000"/>
                <w:sz w:val="20"/>
                <w:szCs w:val="20"/>
                <w:lang w:eastAsia="es-CR"/>
              </w:rPr>
            </w:pPr>
            <w:r w:rsidRPr="00C81855">
              <w:rPr>
                <w:rFonts w:eastAsia="Times New Roman" w:cs="Calibri"/>
                <w:color w:val="000000"/>
                <w:sz w:val="20"/>
                <w:szCs w:val="20"/>
                <w:lang w:eastAsia="es-CR"/>
              </w:rPr>
              <w:t>-30,35%</w:t>
            </w:r>
          </w:p>
        </w:tc>
        <w:tc>
          <w:tcPr>
            <w:tcW w:w="1149" w:type="dxa"/>
            <w:vAlign w:val="center"/>
            <w:hideMark/>
          </w:tcPr>
          <w:p w14:paraId="3E1BEDE3" w14:textId="77777777" w:rsidR="00C81855" w:rsidRPr="00C81855" w:rsidRDefault="00C81855" w:rsidP="00C81855">
            <w:pPr>
              <w:spacing w:after="0" w:line="240" w:lineRule="auto"/>
              <w:jc w:val="left"/>
              <w:rPr>
                <w:rFonts w:ascii="Times New Roman" w:eastAsia="Times New Roman" w:hAnsi="Times New Roman" w:cs="Times New Roman"/>
                <w:sz w:val="20"/>
                <w:szCs w:val="20"/>
                <w:lang w:eastAsia="es-CR"/>
              </w:rPr>
            </w:pPr>
          </w:p>
        </w:tc>
      </w:tr>
      <w:tr w:rsidR="00C81855" w:rsidRPr="00C81855" w14:paraId="1770A9D7" w14:textId="77777777" w:rsidTr="00061EFB">
        <w:trPr>
          <w:trHeight w:val="514"/>
        </w:trPr>
        <w:tc>
          <w:tcPr>
            <w:tcW w:w="1263" w:type="dxa"/>
            <w:tcBorders>
              <w:top w:val="nil"/>
              <w:left w:val="single" w:sz="8" w:space="0" w:color="auto"/>
              <w:bottom w:val="nil"/>
              <w:right w:val="single" w:sz="8" w:space="0" w:color="auto"/>
            </w:tcBorders>
            <w:shd w:val="clear" w:color="auto" w:fill="auto"/>
            <w:noWrap/>
            <w:vAlign w:val="center"/>
            <w:hideMark/>
          </w:tcPr>
          <w:p w14:paraId="258EB649" w14:textId="77777777" w:rsidR="00C81855" w:rsidRPr="00C81855" w:rsidRDefault="00C81855" w:rsidP="00C81855">
            <w:pPr>
              <w:spacing w:after="0" w:line="240" w:lineRule="auto"/>
              <w:jc w:val="left"/>
              <w:rPr>
                <w:rFonts w:eastAsia="Times New Roman" w:cs="Calibri"/>
                <w:b/>
                <w:bCs/>
                <w:color w:val="000000"/>
                <w:sz w:val="20"/>
                <w:szCs w:val="20"/>
                <w:lang w:eastAsia="es-CR"/>
              </w:rPr>
            </w:pPr>
            <w:r w:rsidRPr="00C81855">
              <w:rPr>
                <w:rFonts w:eastAsia="Times New Roman" w:cs="Calibri"/>
                <w:b/>
                <w:bCs/>
                <w:color w:val="000000"/>
                <w:sz w:val="20"/>
                <w:szCs w:val="20"/>
                <w:lang w:eastAsia="es-CR"/>
              </w:rPr>
              <w:t>5.1.2.06.</w:t>
            </w:r>
          </w:p>
        </w:tc>
        <w:tc>
          <w:tcPr>
            <w:tcW w:w="3247" w:type="dxa"/>
            <w:tcBorders>
              <w:top w:val="nil"/>
              <w:left w:val="nil"/>
              <w:bottom w:val="nil"/>
              <w:right w:val="single" w:sz="8" w:space="0" w:color="auto"/>
            </w:tcBorders>
            <w:shd w:val="clear" w:color="auto" w:fill="auto"/>
            <w:vAlign w:val="center"/>
            <w:hideMark/>
          </w:tcPr>
          <w:p w14:paraId="6EF3D16E" w14:textId="77777777" w:rsidR="00C81855" w:rsidRPr="00C81855" w:rsidRDefault="00C81855" w:rsidP="00C81855">
            <w:pPr>
              <w:spacing w:after="0" w:line="240" w:lineRule="auto"/>
              <w:jc w:val="left"/>
              <w:rPr>
                <w:rFonts w:eastAsia="Times New Roman" w:cs="Calibri"/>
                <w:b/>
                <w:bCs/>
                <w:color w:val="000000"/>
                <w:sz w:val="20"/>
                <w:szCs w:val="20"/>
                <w:lang w:eastAsia="es-CR"/>
              </w:rPr>
            </w:pPr>
            <w:r w:rsidRPr="00C81855">
              <w:rPr>
                <w:rFonts w:eastAsia="Times New Roman" w:cs="Calibri"/>
                <w:b/>
                <w:bCs/>
                <w:color w:val="000000"/>
                <w:sz w:val="20"/>
                <w:szCs w:val="20"/>
                <w:lang w:eastAsia="es-CR"/>
              </w:rPr>
              <w:t>Seguros, reaseguros y otras obligaciones</w:t>
            </w:r>
          </w:p>
        </w:tc>
        <w:tc>
          <w:tcPr>
            <w:tcW w:w="1328" w:type="dxa"/>
            <w:tcBorders>
              <w:top w:val="single" w:sz="8" w:space="0" w:color="auto"/>
              <w:left w:val="nil"/>
              <w:bottom w:val="single" w:sz="8" w:space="0" w:color="auto"/>
              <w:right w:val="single" w:sz="8" w:space="0" w:color="auto"/>
            </w:tcBorders>
            <w:shd w:val="clear" w:color="auto" w:fill="auto"/>
            <w:noWrap/>
            <w:vAlign w:val="bottom"/>
            <w:hideMark/>
          </w:tcPr>
          <w:p w14:paraId="1AB64AAC" w14:textId="77777777" w:rsidR="00C81855" w:rsidRPr="00C81855" w:rsidRDefault="00C81855" w:rsidP="00C81855">
            <w:pPr>
              <w:spacing w:after="0" w:line="240" w:lineRule="auto"/>
              <w:jc w:val="right"/>
              <w:rPr>
                <w:rFonts w:eastAsia="Times New Roman" w:cs="Calibri"/>
                <w:b/>
                <w:bCs/>
                <w:color w:val="000000"/>
                <w:sz w:val="20"/>
                <w:szCs w:val="20"/>
                <w:lang w:eastAsia="es-CR"/>
              </w:rPr>
            </w:pPr>
            <w:r w:rsidRPr="00C81855">
              <w:rPr>
                <w:rFonts w:ascii="Arial" w:eastAsia="Times New Roman" w:hAnsi="Arial" w:cs="Arial"/>
                <w:b/>
                <w:bCs/>
                <w:color w:val="000000"/>
                <w:sz w:val="20"/>
                <w:szCs w:val="20"/>
                <w:lang w:eastAsia="es-CR"/>
              </w:rPr>
              <w:t>₡</w:t>
            </w:r>
            <w:r w:rsidRPr="00C81855">
              <w:rPr>
                <w:rFonts w:eastAsia="Times New Roman" w:cs="Calibri"/>
                <w:b/>
                <w:bCs/>
                <w:color w:val="000000"/>
                <w:sz w:val="20"/>
                <w:szCs w:val="20"/>
                <w:lang w:eastAsia="es-CR"/>
              </w:rPr>
              <w:t>57 418,18</w:t>
            </w:r>
          </w:p>
        </w:tc>
        <w:tc>
          <w:tcPr>
            <w:tcW w:w="1918" w:type="dxa"/>
            <w:tcBorders>
              <w:top w:val="single" w:sz="8" w:space="0" w:color="auto"/>
              <w:left w:val="nil"/>
              <w:bottom w:val="single" w:sz="8" w:space="0" w:color="auto"/>
              <w:right w:val="single" w:sz="8" w:space="0" w:color="auto"/>
            </w:tcBorders>
            <w:shd w:val="clear" w:color="auto" w:fill="auto"/>
            <w:noWrap/>
            <w:vAlign w:val="bottom"/>
            <w:hideMark/>
          </w:tcPr>
          <w:p w14:paraId="5E5B5690" w14:textId="77777777" w:rsidR="00C81855" w:rsidRPr="00C81855" w:rsidRDefault="00C81855" w:rsidP="00C81855">
            <w:pPr>
              <w:spacing w:after="0" w:line="240" w:lineRule="auto"/>
              <w:jc w:val="right"/>
              <w:rPr>
                <w:rFonts w:eastAsia="Times New Roman" w:cs="Calibri"/>
                <w:b/>
                <w:bCs/>
                <w:color w:val="000000"/>
                <w:sz w:val="20"/>
                <w:szCs w:val="20"/>
                <w:lang w:eastAsia="es-CR"/>
              </w:rPr>
            </w:pPr>
            <w:r w:rsidRPr="00C81855">
              <w:rPr>
                <w:rFonts w:ascii="Arial" w:eastAsia="Times New Roman" w:hAnsi="Arial" w:cs="Arial"/>
                <w:b/>
                <w:bCs/>
                <w:color w:val="000000"/>
                <w:sz w:val="20"/>
                <w:szCs w:val="20"/>
                <w:lang w:eastAsia="es-CR"/>
              </w:rPr>
              <w:t>₡</w:t>
            </w:r>
            <w:r w:rsidRPr="00C81855">
              <w:rPr>
                <w:rFonts w:eastAsia="Times New Roman" w:cs="Calibri"/>
                <w:b/>
                <w:bCs/>
                <w:color w:val="000000"/>
                <w:sz w:val="20"/>
                <w:szCs w:val="20"/>
                <w:lang w:eastAsia="es-CR"/>
              </w:rPr>
              <w:t>53 701,06</w:t>
            </w:r>
          </w:p>
        </w:tc>
        <w:tc>
          <w:tcPr>
            <w:tcW w:w="1558" w:type="dxa"/>
            <w:tcBorders>
              <w:top w:val="single" w:sz="8" w:space="0" w:color="auto"/>
              <w:left w:val="nil"/>
              <w:bottom w:val="single" w:sz="8" w:space="0" w:color="auto"/>
              <w:right w:val="single" w:sz="8" w:space="0" w:color="auto"/>
            </w:tcBorders>
            <w:shd w:val="clear" w:color="auto" w:fill="auto"/>
            <w:noWrap/>
            <w:vAlign w:val="bottom"/>
            <w:hideMark/>
          </w:tcPr>
          <w:p w14:paraId="7114C759" w14:textId="77777777" w:rsidR="00C81855" w:rsidRPr="00C81855" w:rsidRDefault="00C81855" w:rsidP="00C81855">
            <w:pPr>
              <w:spacing w:after="0" w:line="240" w:lineRule="auto"/>
              <w:jc w:val="right"/>
              <w:rPr>
                <w:rFonts w:eastAsia="Times New Roman" w:cs="Calibri"/>
                <w:b/>
                <w:bCs/>
                <w:color w:val="000000"/>
                <w:sz w:val="20"/>
                <w:szCs w:val="20"/>
                <w:lang w:eastAsia="es-CR"/>
              </w:rPr>
            </w:pPr>
            <w:r w:rsidRPr="00C81855">
              <w:rPr>
                <w:rFonts w:ascii="Arial" w:eastAsia="Times New Roman" w:hAnsi="Arial" w:cs="Arial"/>
                <w:b/>
                <w:bCs/>
                <w:color w:val="000000"/>
                <w:sz w:val="20"/>
                <w:szCs w:val="20"/>
                <w:lang w:eastAsia="es-CR"/>
              </w:rPr>
              <w:t>₡</w:t>
            </w:r>
            <w:r w:rsidRPr="00C81855">
              <w:rPr>
                <w:rFonts w:eastAsia="Times New Roman" w:cs="Calibri"/>
                <w:b/>
                <w:bCs/>
                <w:color w:val="000000"/>
                <w:sz w:val="20"/>
                <w:szCs w:val="20"/>
                <w:lang w:eastAsia="es-CR"/>
              </w:rPr>
              <w:t>3 717,12</w:t>
            </w:r>
          </w:p>
        </w:tc>
        <w:tc>
          <w:tcPr>
            <w:tcW w:w="457" w:type="dxa"/>
            <w:tcBorders>
              <w:top w:val="single" w:sz="8" w:space="0" w:color="auto"/>
              <w:left w:val="nil"/>
              <w:bottom w:val="single" w:sz="8" w:space="0" w:color="auto"/>
              <w:right w:val="single" w:sz="8" w:space="0" w:color="auto"/>
            </w:tcBorders>
            <w:shd w:val="clear" w:color="auto" w:fill="auto"/>
            <w:vAlign w:val="center"/>
            <w:hideMark/>
          </w:tcPr>
          <w:p w14:paraId="453096E5" w14:textId="77777777" w:rsidR="00C81855" w:rsidRPr="00C81855" w:rsidRDefault="00C81855" w:rsidP="00C81855">
            <w:pPr>
              <w:spacing w:after="0" w:line="240" w:lineRule="auto"/>
              <w:jc w:val="center"/>
              <w:rPr>
                <w:rFonts w:eastAsia="Times New Roman" w:cs="Calibri"/>
                <w:b/>
                <w:bCs/>
                <w:color w:val="000000"/>
                <w:sz w:val="20"/>
                <w:szCs w:val="20"/>
                <w:lang w:eastAsia="es-CR"/>
              </w:rPr>
            </w:pPr>
            <w:r w:rsidRPr="00C81855">
              <w:rPr>
                <w:rFonts w:eastAsia="Times New Roman" w:cs="Calibri"/>
                <w:b/>
                <w:bCs/>
                <w:color w:val="000000"/>
                <w:sz w:val="20"/>
                <w:szCs w:val="20"/>
                <w:lang w:eastAsia="es-CR"/>
              </w:rPr>
              <w:t>6,92%</w:t>
            </w:r>
          </w:p>
        </w:tc>
        <w:tc>
          <w:tcPr>
            <w:tcW w:w="1149" w:type="dxa"/>
            <w:vAlign w:val="center"/>
            <w:hideMark/>
          </w:tcPr>
          <w:p w14:paraId="7419A8E1" w14:textId="77777777" w:rsidR="00C81855" w:rsidRPr="00C81855" w:rsidRDefault="00C81855" w:rsidP="00C81855">
            <w:pPr>
              <w:spacing w:after="0" w:line="240" w:lineRule="auto"/>
              <w:jc w:val="left"/>
              <w:rPr>
                <w:rFonts w:ascii="Times New Roman" w:eastAsia="Times New Roman" w:hAnsi="Times New Roman" w:cs="Times New Roman"/>
                <w:sz w:val="20"/>
                <w:szCs w:val="20"/>
                <w:lang w:eastAsia="es-CR"/>
              </w:rPr>
            </w:pPr>
          </w:p>
        </w:tc>
      </w:tr>
      <w:tr w:rsidR="00C81855" w:rsidRPr="00C81855" w14:paraId="24A304A2" w14:textId="77777777" w:rsidTr="00061EFB">
        <w:trPr>
          <w:trHeight w:val="294"/>
        </w:trPr>
        <w:tc>
          <w:tcPr>
            <w:tcW w:w="1263" w:type="dxa"/>
            <w:tcBorders>
              <w:top w:val="nil"/>
              <w:left w:val="single" w:sz="8" w:space="0" w:color="auto"/>
              <w:bottom w:val="nil"/>
              <w:right w:val="single" w:sz="8" w:space="0" w:color="auto"/>
            </w:tcBorders>
            <w:shd w:val="clear" w:color="auto" w:fill="auto"/>
            <w:noWrap/>
            <w:vAlign w:val="bottom"/>
            <w:hideMark/>
          </w:tcPr>
          <w:p w14:paraId="5830585F" w14:textId="77777777" w:rsidR="00C81855" w:rsidRPr="00C81855" w:rsidRDefault="00C81855" w:rsidP="00C81855">
            <w:pPr>
              <w:spacing w:after="0" w:line="240" w:lineRule="auto"/>
              <w:jc w:val="left"/>
              <w:rPr>
                <w:rFonts w:eastAsia="Times New Roman" w:cs="Calibri"/>
                <w:color w:val="000000"/>
                <w:sz w:val="20"/>
                <w:szCs w:val="20"/>
                <w:lang w:eastAsia="es-CR"/>
              </w:rPr>
            </w:pPr>
            <w:r w:rsidRPr="00C81855">
              <w:rPr>
                <w:rFonts w:eastAsia="Times New Roman" w:cs="Calibri"/>
                <w:color w:val="000000"/>
                <w:sz w:val="20"/>
                <w:szCs w:val="20"/>
                <w:lang w:eastAsia="es-CR"/>
              </w:rPr>
              <w:t>5.1.2.06.01.</w:t>
            </w:r>
          </w:p>
        </w:tc>
        <w:tc>
          <w:tcPr>
            <w:tcW w:w="3247" w:type="dxa"/>
            <w:tcBorders>
              <w:top w:val="nil"/>
              <w:left w:val="nil"/>
              <w:bottom w:val="nil"/>
              <w:right w:val="single" w:sz="8" w:space="0" w:color="auto"/>
            </w:tcBorders>
            <w:shd w:val="clear" w:color="auto" w:fill="auto"/>
            <w:noWrap/>
            <w:vAlign w:val="bottom"/>
            <w:hideMark/>
          </w:tcPr>
          <w:p w14:paraId="51BB285A" w14:textId="77777777" w:rsidR="00C81855" w:rsidRPr="00C81855" w:rsidRDefault="00C81855" w:rsidP="00C81855">
            <w:pPr>
              <w:spacing w:after="0" w:line="240" w:lineRule="auto"/>
              <w:jc w:val="left"/>
              <w:rPr>
                <w:rFonts w:eastAsia="Times New Roman" w:cs="Calibri"/>
                <w:color w:val="000000"/>
                <w:sz w:val="20"/>
                <w:szCs w:val="20"/>
                <w:lang w:eastAsia="es-CR"/>
              </w:rPr>
            </w:pPr>
            <w:r w:rsidRPr="00C81855">
              <w:rPr>
                <w:rFonts w:eastAsia="Times New Roman" w:cs="Calibri"/>
                <w:color w:val="000000"/>
                <w:sz w:val="20"/>
                <w:szCs w:val="20"/>
                <w:lang w:eastAsia="es-CR"/>
              </w:rPr>
              <w:t>Seguros (Vehículos y Riesgos del Trabajo)</w:t>
            </w:r>
          </w:p>
        </w:tc>
        <w:tc>
          <w:tcPr>
            <w:tcW w:w="1328" w:type="dxa"/>
            <w:tcBorders>
              <w:top w:val="nil"/>
              <w:left w:val="nil"/>
              <w:bottom w:val="nil"/>
              <w:right w:val="single" w:sz="8" w:space="0" w:color="auto"/>
            </w:tcBorders>
            <w:shd w:val="clear" w:color="auto" w:fill="auto"/>
            <w:noWrap/>
            <w:vAlign w:val="center"/>
            <w:hideMark/>
          </w:tcPr>
          <w:p w14:paraId="1407D77E" w14:textId="77777777" w:rsidR="00C81855" w:rsidRPr="00C81855" w:rsidRDefault="00C81855" w:rsidP="00C81855">
            <w:pPr>
              <w:spacing w:after="0" w:line="240" w:lineRule="auto"/>
              <w:jc w:val="right"/>
              <w:rPr>
                <w:rFonts w:eastAsia="Times New Roman" w:cs="Calibri"/>
                <w:sz w:val="20"/>
                <w:szCs w:val="20"/>
                <w:lang w:eastAsia="es-CR"/>
              </w:rPr>
            </w:pPr>
            <w:r w:rsidRPr="00C81855">
              <w:rPr>
                <w:rFonts w:ascii="Arial" w:eastAsia="Times New Roman" w:hAnsi="Arial" w:cs="Arial"/>
                <w:sz w:val="20"/>
                <w:szCs w:val="20"/>
                <w:lang w:eastAsia="es-CR"/>
              </w:rPr>
              <w:t>₡</w:t>
            </w:r>
            <w:r w:rsidRPr="00C81855">
              <w:rPr>
                <w:rFonts w:eastAsia="Times New Roman" w:cs="Calibri"/>
                <w:sz w:val="20"/>
                <w:szCs w:val="20"/>
                <w:lang w:eastAsia="es-CR"/>
              </w:rPr>
              <w:t>57 418,18</w:t>
            </w:r>
          </w:p>
        </w:tc>
        <w:tc>
          <w:tcPr>
            <w:tcW w:w="1918" w:type="dxa"/>
            <w:tcBorders>
              <w:top w:val="nil"/>
              <w:left w:val="nil"/>
              <w:bottom w:val="nil"/>
              <w:right w:val="single" w:sz="8" w:space="0" w:color="auto"/>
            </w:tcBorders>
            <w:shd w:val="clear" w:color="auto" w:fill="auto"/>
            <w:noWrap/>
            <w:vAlign w:val="center"/>
            <w:hideMark/>
          </w:tcPr>
          <w:p w14:paraId="0BE2CB9A" w14:textId="77777777" w:rsidR="00C81855" w:rsidRPr="00C81855" w:rsidRDefault="00C81855" w:rsidP="00C81855">
            <w:pPr>
              <w:spacing w:after="0" w:line="240" w:lineRule="auto"/>
              <w:jc w:val="right"/>
              <w:rPr>
                <w:rFonts w:eastAsia="Times New Roman" w:cs="Calibri"/>
                <w:sz w:val="20"/>
                <w:szCs w:val="20"/>
                <w:lang w:eastAsia="es-CR"/>
              </w:rPr>
            </w:pPr>
            <w:r w:rsidRPr="00C81855">
              <w:rPr>
                <w:rFonts w:ascii="Arial" w:eastAsia="Times New Roman" w:hAnsi="Arial" w:cs="Arial"/>
                <w:sz w:val="20"/>
                <w:szCs w:val="20"/>
                <w:lang w:eastAsia="es-CR"/>
              </w:rPr>
              <w:t>₡</w:t>
            </w:r>
            <w:r w:rsidRPr="00C81855">
              <w:rPr>
                <w:rFonts w:eastAsia="Times New Roman" w:cs="Calibri"/>
                <w:sz w:val="20"/>
                <w:szCs w:val="20"/>
                <w:lang w:eastAsia="es-CR"/>
              </w:rPr>
              <w:t>53 701,06</w:t>
            </w:r>
          </w:p>
        </w:tc>
        <w:tc>
          <w:tcPr>
            <w:tcW w:w="1558" w:type="dxa"/>
            <w:tcBorders>
              <w:top w:val="nil"/>
              <w:left w:val="nil"/>
              <w:bottom w:val="nil"/>
              <w:right w:val="single" w:sz="8" w:space="0" w:color="auto"/>
            </w:tcBorders>
            <w:shd w:val="clear" w:color="auto" w:fill="auto"/>
            <w:noWrap/>
            <w:vAlign w:val="center"/>
            <w:hideMark/>
          </w:tcPr>
          <w:p w14:paraId="16A989B9" w14:textId="77777777" w:rsidR="00C81855" w:rsidRPr="00C81855" w:rsidRDefault="00C81855" w:rsidP="00C81855">
            <w:pPr>
              <w:spacing w:after="0" w:line="240" w:lineRule="auto"/>
              <w:jc w:val="right"/>
              <w:rPr>
                <w:rFonts w:eastAsia="Times New Roman" w:cs="Calibri"/>
                <w:color w:val="000000"/>
                <w:sz w:val="20"/>
                <w:szCs w:val="20"/>
                <w:lang w:eastAsia="es-CR"/>
              </w:rPr>
            </w:pPr>
            <w:r w:rsidRPr="00C81855">
              <w:rPr>
                <w:rFonts w:eastAsia="Times New Roman" w:cs="Calibri"/>
                <w:color w:val="000000"/>
                <w:sz w:val="20"/>
                <w:szCs w:val="20"/>
                <w:lang w:eastAsia="es-CR"/>
              </w:rPr>
              <w:t>3 717,12</w:t>
            </w:r>
          </w:p>
        </w:tc>
        <w:tc>
          <w:tcPr>
            <w:tcW w:w="457" w:type="dxa"/>
            <w:tcBorders>
              <w:top w:val="nil"/>
              <w:left w:val="nil"/>
              <w:bottom w:val="nil"/>
              <w:right w:val="single" w:sz="8" w:space="0" w:color="auto"/>
            </w:tcBorders>
            <w:shd w:val="clear" w:color="auto" w:fill="auto"/>
            <w:vAlign w:val="center"/>
            <w:hideMark/>
          </w:tcPr>
          <w:p w14:paraId="01152938" w14:textId="77777777" w:rsidR="00C81855" w:rsidRPr="00C81855" w:rsidRDefault="00C81855" w:rsidP="00C81855">
            <w:pPr>
              <w:spacing w:after="0" w:line="240" w:lineRule="auto"/>
              <w:jc w:val="center"/>
              <w:rPr>
                <w:rFonts w:eastAsia="Times New Roman" w:cs="Calibri"/>
                <w:color w:val="000000"/>
                <w:sz w:val="20"/>
                <w:szCs w:val="20"/>
                <w:lang w:eastAsia="es-CR"/>
              </w:rPr>
            </w:pPr>
            <w:r w:rsidRPr="00C81855">
              <w:rPr>
                <w:rFonts w:eastAsia="Times New Roman" w:cs="Calibri"/>
                <w:color w:val="000000"/>
                <w:sz w:val="20"/>
                <w:szCs w:val="20"/>
                <w:lang w:eastAsia="es-CR"/>
              </w:rPr>
              <w:t>6,92%</w:t>
            </w:r>
          </w:p>
        </w:tc>
        <w:tc>
          <w:tcPr>
            <w:tcW w:w="1149" w:type="dxa"/>
            <w:vAlign w:val="center"/>
            <w:hideMark/>
          </w:tcPr>
          <w:p w14:paraId="23DB06DD" w14:textId="77777777" w:rsidR="00C81855" w:rsidRPr="00C81855" w:rsidRDefault="00C81855" w:rsidP="00C81855">
            <w:pPr>
              <w:spacing w:after="0" w:line="240" w:lineRule="auto"/>
              <w:jc w:val="left"/>
              <w:rPr>
                <w:rFonts w:ascii="Times New Roman" w:eastAsia="Times New Roman" w:hAnsi="Times New Roman" w:cs="Times New Roman"/>
                <w:sz w:val="20"/>
                <w:szCs w:val="20"/>
                <w:lang w:eastAsia="es-CR"/>
              </w:rPr>
            </w:pPr>
          </w:p>
        </w:tc>
      </w:tr>
      <w:tr w:rsidR="00C81855" w:rsidRPr="00C81855" w14:paraId="37FB8684" w14:textId="77777777" w:rsidTr="00061EFB">
        <w:trPr>
          <w:trHeight w:val="294"/>
        </w:trPr>
        <w:tc>
          <w:tcPr>
            <w:tcW w:w="1263" w:type="dxa"/>
            <w:tcBorders>
              <w:top w:val="nil"/>
              <w:left w:val="single" w:sz="8" w:space="0" w:color="auto"/>
              <w:bottom w:val="nil"/>
              <w:right w:val="single" w:sz="8" w:space="0" w:color="auto"/>
            </w:tcBorders>
            <w:shd w:val="clear" w:color="auto" w:fill="auto"/>
            <w:noWrap/>
            <w:vAlign w:val="bottom"/>
            <w:hideMark/>
          </w:tcPr>
          <w:p w14:paraId="1CF5909C" w14:textId="77777777" w:rsidR="00C81855" w:rsidRPr="00C81855" w:rsidRDefault="00C81855" w:rsidP="00C81855">
            <w:pPr>
              <w:spacing w:after="0" w:line="240" w:lineRule="auto"/>
              <w:jc w:val="left"/>
              <w:rPr>
                <w:rFonts w:eastAsia="Times New Roman" w:cs="Calibri"/>
                <w:color w:val="000000"/>
                <w:sz w:val="20"/>
                <w:szCs w:val="20"/>
                <w:lang w:eastAsia="es-CR"/>
              </w:rPr>
            </w:pPr>
            <w:r w:rsidRPr="00C81855">
              <w:rPr>
                <w:rFonts w:eastAsia="Times New Roman" w:cs="Calibri"/>
                <w:color w:val="000000"/>
                <w:sz w:val="20"/>
                <w:szCs w:val="20"/>
                <w:lang w:eastAsia="es-CR"/>
              </w:rPr>
              <w:t>5.1.2.06.01.01.</w:t>
            </w:r>
          </w:p>
        </w:tc>
        <w:tc>
          <w:tcPr>
            <w:tcW w:w="3247" w:type="dxa"/>
            <w:tcBorders>
              <w:top w:val="nil"/>
              <w:left w:val="nil"/>
              <w:bottom w:val="nil"/>
              <w:right w:val="single" w:sz="8" w:space="0" w:color="auto"/>
            </w:tcBorders>
            <w:shd w:val="clear" w:color="auto" w:fill="auto"/>
            <w:noWrap/>
            <w:vAlign w:val="bottom"/>
            <w:hideMark/>
          </w:tcPr>
          <w:p w14:paraId="13B97306" w14:textId="77777777" w:rsidR="00C81855" w:rsidRPr="00C81855" w:rsidRDefault="00C81855" w:rsidP="00C81855">
            <w:pPr>
              <w:spacing w:after="0" w:line="240" w:lineRule="auto"/>
              <w:jc w:val="left"/>
              <w:rPr>
                <w:rFonts w:eastAsia="Times New Roman" w:cs="Calibri"/>
                <w:color w:val="000000"/>
                <w:sz w:val="20"/>
                <w:szCs w:val="20"/>
                <w:lang w:eastAsia="es-CR"/>
              </w:rPr>
            </w:pPr>
            <w:r w:rsidRPr="00C81855">
              <w:rPr>
                <w:rFonts w:eastAsia="Times New Roman" w:cs="Calibri"/>
                <w:color w:val="000000"/>
                <w:sz w:val="20"/>
                <w:szCs w:val="20"/>
                <w:lang w:eastAsia="es-CR"/>
              </w:rPr>
              <w:t xml:space="preserve">Seguros contra riesgos de trabajo        </w:t>
            </w:r>
          </w:p>
        </w:tc>
        <w:tc>
          <w:tcPr>
            <w:tcW w:w="1328" w:type="dxa"/>
            <w:tcBorders>
              <w:top w:val="nil"/>
              <w:left w:val="nil"/>
              <w:bottom w:val="nil"/>
              <w:right w:val="single" w:sz="8" w:space="0" w:color="auto"/>
            </w:tcBorders>
            <w:shd w:val="clear" w:color="auto" w:fill="auto"/>
            <w:noWrap/>
            <w:vAlign w:val="center"/>
            <w:hideMark/>
          </w:tcPr>
          <w:p w14:paraId="4C7E6DCE" w14:textId="77777777" w:rsidR="00C81855" w:rsidRPr="00C81855" w:rsidRDefault="00C81855" w:rsidP="00C81855">
            <w:pPr>
              <w:spacing w:after="0" w:line="240" w:lineRule="auto"/>
              <w:jc w:val="right"/>
              <w:rPr>
                <w:rFonts w:eastAsia="Times New Roman" w:cs="Calibri"/>
                <w:sz w:val="20"/>
                <w:szCs w:val="20"/>
                <w:lang w:eastAsia="es-CR"/>
              </w:rPr>
            </w:pPr>
            <w:r w:rsidRPr="00C81855">
              <w:rPr>
                <w:rFonts w:ascii="Arial" w:eastAsia="Times New Roman" w:hAnsi="Arial" w:cs="Arial"/>
                <w:sz w:val="20"/>
                <w:szCs w:val="20"/>
                <w:lang w:eastAsia="es-CR"/>
              </w:rPr>
              <w:t>₡</w:t>
            </w:r>
            <w:r w:rsidRPr="00C81855">
              <w:rPr>
                <w:rFonts w:eastAsia="Times New Roman" w:cs="Calibri"/>
                <w:sz w:val="20"/>
                <w:szCs w:val="20"/>
                <w:lang w:eastAsia="es-CR"/>
              </w:rPr>
              <w:t>15 614,75</w:t>
            </w:r>
          </w:p>
        </w:tc>
        <w:tc>
          <w:tcPr>
            <w:tcW w:w="1918" w:type="dxa"/>
            <w:tcBorders>
              <w:top w:val="nil"/>
              <w:left w:val="nil"/>
              <w:bottom w:val="nil"/>
              <w:right w:val="single" w:sz="8" w:space="0" w:color="auto"/>
            </w:tcBorders>
            <w:shd w:val="clear" w:color="auto" w:fill="auto"/>
            <w:noWrap/>
            <w:vAlign w:val="center"/>
            <w:hideMark/>
          </w:tcPr>
          <w:p w14:paraId="29475802" w14:textId="77777777" w:rsidR="00C81855" w:rsidRPr="00C81855" w:rsidRDefault="00C81855" w:rsidP="00C81855">
            <w:pPr>
              <w:spacing w:after="0" w:line="240" w:lineRule="auto"/>
              <w:jc w:val="right"/>
              <w:rPr>
                <w:rFonts w:eastAsia="Times New Roman" w:cs="Calibri"/>
                <w:sz w:val="20"/>
                <w:szCs w:val="20"/>
                <w:lang w:eastAsia="es-CR"/>
              </w:rPr>
            </w:pPr>
            <w:r w:rsidRPr="00C81855">
              <w:rPr>
                <w:rFonts w:ascii="Arial" w:eastAsia="Times New Roman" w:hAnsi="Arial" w:cs="Arial"/>
                <w:sz w:val="20"/>
                <w:szCs w:val="20"/>
                <w:lang w:eastAsia="es-CR"/>
              </w:rPr>
              <w:t>₡</w:t>
            </w:r>
            <w:r w:rsidRPr="00C81855">
              <w:rPr>
                <w:rFonts w:eastAsia="Times New Roman" w:cs="Calibri"/>
                <w:sz w:val="20"/>
                <w:szCs w:val="20"/>
                <w:lang w:eastAsia="es-CR"/>
              </w:rPr>
              <w:t>14 499,49</w:t>
            </w:r>
          </w:p>
        </w:tc>
        <w:tc>
          <w:tcPr>
            <w:tcW w:w="1558" w:type="dxa"/>
            <w:tcBorders>
              <w:top w:val="nil"/>
              <w:left w:val="nil"/>
              <w:bottom w:val="nil"/>
              <w:right w:val="single" w:sz="8" w:space="0" w:color="auto"/>
            </w:tcBorders>
            <w:shd w:val="clear" w:color="auto" w:fill="auto"/>
            <w:noWrap/>
            <w:vAlign w:val="center"/>
            <w:hideMark/>
          </w:tcPr>
          <w:p w14:paraId="3108108E" w14:textId="77777777" w:rsidR="00C81855" w:rsidRPr="00C81855" w:rsidRDefault="00C81855" w:rsidP="00C81855">
            <w:pPr>
              <w:spacing w:after="0" w:line="240" w:lineRule="auto"/>
              <w:jc w:val="right"/>
              <w:rPr>
                <w:rFonts w:eastAsia="Times New Roman" w:cs="Calibri"/>
                <w:color w:val="000000"/>
                <w:sz w:val="20"/>
                <w:szCs w:val="20"/>
                <w:lang w:eastAsia="es-CR"/>
              </w:rPr>
            </w:pPr>
            <w:r w:rsidRPr="00C81855">
              <w:rPr>
                <w:rFonts w:eastAsia="Times New Roman" w:cs="Calibri"/>
                <w:color w:val="000000"/>
                <w:sz w:val="20"/>
                <w:szCs w:val="20"/>
                <w:lang w:eastAsia="es-CR"/>
              </w:rPr>
              <w:t>1 115,27</w:t>
            </w:r>
          </w:p>
        </w:tc>
        <w:tc>
          <w:tcPr>
            <w:tcW w:w="457" w:type="dxa"/>
            <w:tcBorders>
              <w:top w:val="nil"/>
              <w:left w:val="nil"/>
              <w:bottom w:val="nil"/>
              <w:right w:val="single" w:sz="8" w:space="0" w:color="auto"/>
            </w:tcBorders>
            <w:shd w:val="clear" w:color="auto" w:fill="auto"/>
            <w:vAlign w:val="center"/>
            <w:hideMark/>
          </w:tcPr>
          <w:p w14:paraId="1D6FEA89" w14:textId="77777777" w:rsidR="00C81855" w:rsidRPr="00C81855" w:rsidRDefault="00C81855" w:rsidP="00C81855">
            <w:pPr>
              <w:spacing w:after="0" w:line="240" w:lineRule="auto"/>
              <w:jc w:val="center"/>
              <w:rPr>
                <w:rFonts w:eastAsia="Times New Roman" w:cs="Calibri"/>
                <w:color w:val="000000"/>
                <w:sz w:val="20"/>
                <w:szCs w:val="20"/>
                <w:lang w:eastAsia="es-CR"/>
              </w:rPr>
            </w:pPr>
            <w:r w:rsidRPr="00C81855">
              <w:rPr>
                <w:rFonts w:eastAsia="Times New Roman" w:cs="Calibri"/>
                <w:color w:val="000000"/>
                <w:sz w:val="20"/>
                <w:szCs w:val="20"/>
                <w:lang w:eastAsia="es-CR"/>
              </w:rPr>
              <w:t>7,69%</w:t>
            </w:r>
          </w:p>
        </w:tc>
        <w:tc>
          <w:tcPr>
            <w:tcW w:w="1149" w:type="dxa"/>
            <w:vAlign w:val="center"/>
            <w:hideMark/>
          </w:tcPr>
          <w:p w14:paraId="6985402A" w14:textId="77777777" w:rsidR="00C81855" w:rsidRPr="00C81855" w:rsidRDefault="00C81855" w:rsidP="00C81855">
            <w:pPr>
              <w:spacing w:after="0" w:line="240" w:lineRule="auto"/>
              <w:jc w:val="left"/>
              <w:rPr>
                <w:rFonts w:ascii="Times New Roman" w:eastAsia="Times New Roman" w:hAnsi="Times New Roman" w:cs="Times New Roman"/>
                <w:sz w:val="20"/>
                <w:szCs w:val="20"/>
                <w:lang w:eastAsia="es-CR"/>
              </w:rPr>
            </w:pPr>
          </w:p>
        </w:tc>
      </w:tr>
      <w:tr w:rsidR="00C81855" w:rsidRPr="00C81855" w14:paraId="6C3D8537" w14:textId="77777777" w:rsidTr="00061EFB">
        <w:trPr>
          <w:trHeight w:val="309"/>
        </w:trPr>
        <w:tc>
          <w:tcPr>
            <w:tcW w:w="1263" w:type="dxa"/>
            <w:tcBorders>
              <w:top w:val="nil"/>
              <w:left w:val="single" w:sz="8" w:space="0" w:color="auto"/>
              <w:bottom w:val="nil"/>
              <w:right w:val="single" w:sz="8" w:space="0" w:color="auto"/>
            </w:tcBorders>
            <w:shd w:val="clear" w:color="auto" w:fill="auto"/>
            <w:noWrap/>
            <w:vAlign w:val="bottom"/>
            <w:hideMark/>
          </w:tcPr>
          <w:p w14:paraId="47644813" w14:textId="77777777" w:rsidR="00C81855" w:rsidRPr="00C81855" w:rsidRDefault="00C81855" w:rsidP="00C81855">
            <w:pPr>
              <w:spacing w:after="0" w:line="240" w:lineRule="auto"/>
              <w:jc w:val="left"/>
              <w:rPr>
                <w:rFonts w:eastAsia="Times New Roman" w:cs="Calibri"/>
                <w:color w:val="000000"/>
                <w:sz w:val="20"/>
                <w:szCs w:val="20"/>
                <w:lang w:eastAsia="es-CR"/>
              </w:rPr>
            </w:pPr>
            <w:r w:rsidRPr="00C81855">
              <w:rPr>
                <w:rFonts w:eastAsia="Times New Roman" w:cs="Calibri"/>
                <w:color w:val="000000"/>
                <w:sz w:val="20"/>
                <w:szCs w:val="20"/>
                <w:lang w:eastAsia="es-CR"/>
              </w:rPr>
              <w:t>5.1.2.06.01.04.</w:t>
            </w:r>
          </w:p>
        </w:tc>
        <w:tc>
          <w:tcPr>
            <w:tcW w:w="3247" w:type="dxa"/>
            <w:tcBorders>
              <w:top w:val="nil"/>
              <w:left w:val="nil"/>
              <w:bottom w:val="nil"/>
              <w:right w:val="single" w:sz="8" w:space="0" w:color="auto"/>
            </w:tcBorders>
            <w:shd w:val="clear" w:color="auto" w:fill="auto"/>
            <w:noWrap/>
            <w:vAlign w:val="bottom"/>
            <w:hideMark/>
          </w:tcPr>
          <w:p w14:paraId="6D2DDDBC" w14:textId="77777777" w:rsidR="00C81855" w:rsidRPr="00C81855" w:rsidRDefault="00C81855" w:rsidP="00C81855">
            <w:pPr>
              <w:spacing w:after="0" w:line="240" w:lineRule="auto"/>
              <w:jc w:val="left"/>
              <w:rPr>
                <w:rFonts w:eastAsia="Times New Roman" w:cs="Calibri"/>
                <w:color w:val="000000"/>
                <w:sz w:val="20"/>
                <w:szCs w:val="20"/>
                <w:lang w:eastAsia="es-CR"/>
              </w:rPr>
            </w:pPr>
            <w:r w:rsidRPr="00C81855">
              <w:rPr>
                <w:rFonts w:eastAsia="Times New Roman" w:cs="Calibri"/>
                <w:color w:val="000000"/>
                <w:sz w:val="20"/>
                <w:szCs w:val="20"/>
                <w:lang w:eastAsia="es-CR"/>
              </w:rPr>
              <w:t xml:space="preserve">Seguros voluntarios de automóviles   </w:t>
            </w:r>
          </w:p>
        </w:tc>
        <w:tc>
          <w:tcPr>
            <w:tcW w:w="1328" w:type="dxa"/>
            <w:tcBorders>
              <w:top w:val="nil"/>
              <w:left w:val="nil"/>
              <w:bottom w:val="nil"/>
              <w:right w:val="single" w:sz="8" w:space="0" w:color="auto"/>
            </w:tcBorders>
            <w:shd w:val="clear" w:color="auto" w:fill="auto"/>
            <w:noWrap/>
            <w:vAlign w:val="center"/>
            <w:hideMark/>
          </w:tcPr>
          <w:p w14:paraId="13A07786" w14:textId="77777777" w:rsidR="00C81855" w:rsidRPr="00C81855" w:rsidRDefault="00C81855" w:rsidP="00C81855">
            <w:pPr>
              <w:spacing w:after="0" w:line="240" w:lineRule="auto"/>
              <w:jc w:val="right"/>
              <w:rPr>
                <w:rFonts w:eastAsia="Times New Roman" w:cs="Calibri"/>
                <w:sz w:val="20"/>
                <w:szCs w:val="20"/>
                <w:lang w:eastAsia="es-CR"/>
              </w:rPr>
            </w:pPr>
            <w:r w:rsidRPr="00C81855">
              <w:rPr>
                <w:rFonts w:ascii="Arial" w:eastAsia="Times New Roman" w:hAnsi="Arial" w:cs="Arial"/>
                <w:sz w:val="20"/>
                <w:szCs w:val="20"/>
                <w:lang w:eastAsia="es-CR"/>
              </w:rPr>
              <w:t>₡</w:t>
            </w:r>
            <w:r w:rsidRPr="00C81855">
              <w:rPr>
                <w:rFonts w:eastAsia="Times New Roman" w:cs="Calibri"/>
                <w:sz w:val="20"/>
                <w:szCs w:val="20"/>
                <w:lang w:eastAsia="es-CR"/>
              </w:rPr>
              <w:t>41 803,43</w:t>
            </w:r>
          </w:p>
        </w:tc>
        <w:tc>
          <w:tcPr>
            <w:tcW w:w="1918" w:type="dxa"/>
            <w:tcBorders>
              <w:top w:val="nil"/>
              <w:left w:val="nil"/>
              <w:bottom w:val="nil"/>
              <w:right w:val="single" w:sz="8" w:space="0" w:color="auto"/>
            </w:tcBorders>
            <w:shd w:val="clear" w:color="auto" w:fill="auto"/>
            <w:noWrap/>
            <w:vAlign w:val="center"/>
            <w:hideMark/>
          </w:tcPr>
          <w:p w14:paraId="0E161DD5" w14:textId="77777777" w:rsidR="00C81855" w:rsidRPr="00C81855" w:rsidRDefault="00C81855" w:rsidP="00C81855">
            <w:pPr>
              <w:spacing w:after="0" w:line="240" w:lineRule="auto"/>
              <w:jc w:val="right"/>
              <w:rPr>
                <w:rFonts w:eastAsia="Times New Roman" w:cs="Calibri"/>
                <w:sz w:val="20"/>
                <w:szCs w:val="20"/>
                <w:lang w:eastAsia="es-CR"/>
              </w:rPr>
            </w:pPr>
            <w:r w:rsidRPr="00C81855">
              <w:rPr>
                <w:rFonts w:ascii="Arial" w:eastAsia="Times New Roman" w:hAnsi="Arial" w:cs="Arial"/>
                <w:sz w:val="20"/>
                <w:szCs w:val="20"/>
                <w:lang w:eastAsia="es-CR"/>
              </w:rPr>
              <w:t>₡</w:t>
            </w:r>
            <w:r w:rsidRPr="00C81855">
              <w:rPr>
                <w:rFonts w:eastAsia="Times New Roman" w:cs="Calibri"/>
                <w:sz w:val="20"/>
                <w:szCs w:val="20"/>
                <w:lang w:eastAsia="es-CR"/>
              </w:rPr>
              <w:t>39 201,57</w:t>
            </w:r>
          </w:p>
        </w:tc>
        <w:tc>
          <w:tcPr>
            <w:tcW w:w="1558" w:type="dxa"/>
            <w:tcBorders>
              <w:top w:val="nil"/>
              <w:left w:val="nil"/>
              <w:bottom w:val="nil"/>
              <w:right w:val="single" w:sz="8" w:space="0" w:color="auto"/>
            </w:tcBorders>
            <w:shd w:val="clear" w:color="auto" w:fill="auto"/>
            <w:noWrap/>
            <w:vAlign w:val="center"/>
            <w:hideMark/>
          </w:tcPr>
          <w:p w14:paraId="0183392B" w14:textId="77777777" w:rsidR="00C81855" w:rsidRPr="00C81855" w:rsidRDefault="00C81855" w:rsidP="00C81855">
            <w:pPr>
              <w:spacing w:after="0" w:line="240" w:lineRule="auto"/>
              <w:jc w:val="right"/>
              <w:rPr>
                <w:rFonts w:eastAsia="Times New Roman" w:cs="Calibri"/>
                <w:color w:val="000000"/>
                <w:sz w:val="20"/>
                <w:szCs w:val="20"/>
                <w:lang w:eastAsia="es-CR"/>
              </w:rPr>
            </w:pPr>
            <w:r w:rsidRPr="00C81855">
              <w:rPr>
                <w:rFonts w:eastAsia="Times New Roman" w:cs="Calibri"/>
                <w:color w:val="000000"/>
                <w:sz w:val="20"/>
                <w:szCs w:val="20"/>
                <w:lang w:eastAsia="es-CR"/>
              </w:rPr>
              <w:t>2 601,85</w:t>
            </w:r>
          </w:p>
        </w:tc>
        <w:tc>
          <w:tcPr>
            <w:tcW w:w="457" w:type="dxa"/>
            <w:tcBorders>
              <w:top w:val="nil"/>
              <w:left w:val="nil"/>
              <w:bottom w:val="nil"/>
              <w:right w:val="single" w:sz="8" w:space="0" w:color="auto"/>
            </w:tcBorders>
            <w:shd w:val="clear" w:color="auto" w:fill="auto"/>
            <w:vAlign w:val="center"/>
            <w:hideMark/>
          </w:tcPr>
          <w:p w14:paraId="2234D05C" w14:textId="77777777" w:rsidR="00C81855" w:rsidRPr="00C81855" w:rsidRDefault="00C81855" w:rsidP="00C81855">
            <w:pPr>
              <w:spacing w:after="0" w:line="240" w:lineRule="auto"/>
              <w:jc w:val="center"/>
              <w:rPr>
                <w:rFonts w:eastAsia="Times New Roman" w:cs="Calibri"/>
                <w:color w:val="000000"/>
                <w:sz w:val="20"/>
                <w:szCs w:val="20"/>
                <w:lang w:eastAsia="es-CR"/>
              </w:rPr>
            </w:pPr>
            <w:r w:rsidRPr="00C81855">
              <w:rPr>
                <w:rFonts w:eastAsia="Times New Roman" w:cs="Calibri"/>
                <w:color w:val="000000"/>
                <w:sz w:val="20"/>
                <w:szCs w:val="20"/>
                <w:lang w:eastAsia="es-CR"/>
              </w:rPr>
              <w:t>6,64%</w:t>
            </w:r>
          </w:p>
        </w:tc>
        <w:tc>
          <w:tcPr>
            <w:tcW w:w="1149" w:type="dxa"/>
            <w:vAlign w:val="center"/>
            <w:hideMark/>
          </w:tcPr>
          <w:p w14:paraId="5F2A1391" w14:textId="77777777" w:rsidR="00C81855" w:rsidRPr="00C81855" w:rsidRDefault="00C81855" w:rsidP="00C81855">
            <w:pPr>
              <w:spacing w:after="0" w:line="240" w:lineRule="auto"/>
              <w:jc w:val="left"/>
              <w:rPr>
                <w:rFonts w:ascii="Times New Roman" w:eastAsia="Times New Roman" w:hAnsi="Times New Roman" w:cs="Times New Roman"/>
                <w:sz w:val="20"/>
                <w:szCs w:val="20"/>
                <w:lang w:eastAsia="es-CR"/>
              </w:rPr>
            </w:pPr>
          </w:p>
        </w:tc>
      </w:tr>
      <w:tr w:rsidR="00C81855" w:rsidRPr="00C81855" w14:paraId="7C806807" w14:textId="77777777" w:rsidTr="00061EFB">
        <w:trPr>
          <w:trHeight w:val="309"/>
        </w:trPr>
        <w:tc>
          <w:tcPr>
            <w:tcW w:w="1263" w:type="dxa"/>
            <w:tcBorders>
              <w:top w:val="nil"/>
              <w:left w:val="single" w:sz="8" w:space="0" w:color="auto"/>
              <w:bottom w:val="nil"/>
              <w:right w:val="single" w:sz="8" w:space="0" w:color="auto"/>
            </w:tcBorders>
            <w:shd w:val="clear" w:color="auto" w:fill="auto"/>
            <w:noWrap/>
            <w:vAlign w:val="center"/>
            <w:hideMark/>
          </w:tcPr>
          <w:p w14:paraId="0F2C87EB" w14:textId="77777777" w:rsidR="00C81855" w:rsidRPr="00C81855" w:rsidRDefault="00C81855" w:rsidP="00C81855">
            <w:pPr>
              <w:spacing w:after="0" w:line="240" w:lineRule="auto"/>
              <w:jc w:val="left"/>
              <w:rPr>
                <w:rFonts w:eastAsia="Times New Roman" w:cs="Calibri"/>
                <w:b/>
                <w:bCs/>
                <w:color w:val="000000"/>
                <w:sz w:val="20"/>
                <w:szCs w:val="20"/>
                <w:lang w:eastAsia="es-CR"/>
              </w:rPr>
            </w:pPr>
            <w:r w:rsidRPr="00C81855">
              <w:rPr>
                <w:rFonts w:eastAsia="Times New Roman" w:cs="Calibri"/>
                <w:b/>
                <w:bCs/>
                <w:color w:val="000000"/>
                <w:sz w:val="20"/>
                <w:szCs w:val="20"/>
                <w:lang w:eastAsia="es-CR"/>
              </w:rPr>
              <w:t>5.1.2.07.</w:t>
            </w:r>
          </w:p>
        </w:tc>
        <w:tc>
          <w:tcPr>
            <w:tcW w:w="3247" w:type="dxa"/>
            <w:tcBorders>
              <w:top w:val="nil"/>
              <w:left w:val="nil"/>
              <w:bottom w:val="nil"/>
              <w:right w:val="single" w:sz="8" w:space="0" w:color="auto"/>
            </w:tcBorders>
            <w:shd w:val="clear" w:color="auto" w:fill="auto"/>
            <w:vAlign w:val="center"/>
            <w:hideMark/>
          </w:tcPr>
          <w:p w14:paraId="3A66FC71" w14:textId="77777777" w:rsidR="00C81855" w:rsidRPr="00C81855" w:rsidRDefault="00C81855" w:rsidP="00C81855">
            <w:pPr>
              <w:spacing w:after="0" w:line="240" w:lineRule="auto"/>
              <w:jc w:val="left"/>
              <w:rPr>
                <w:rFonts w:eastAsia="Times New Roman" w:cs="Calibri"/>
                <w:b/>
                <w:bCs/>
                <w:color w:val="000000"/>
                <w:sz w:val="20"/>
                <w:szCs w:val="20"/>
                <w:lang w:eastAsia="es-CR"/>
              </w:rPr>
            </w:pPr>
            <w:r w:rsidRPr="00C81855">
              <w:rPr>
                <w:rFonts w:eastAsia="Times New Roman" w:cs="Calibri"/>
                <w:b/>
                <w:bCs/>
                <w:color w:val="000000"/>
                <w:sz w:val="20"/>
                <w:szCs w:val="20"/>
                <w:lang w:eastAsia="es-CR"/>
              </w:rPr>
              <w:t>Capacitación y protocolo</w:t>
            </w:r>
          </w:p>
        </w:tc>
        <w:tc>
          <w:tcPr>
            <w:tcW w:w="1328" w:type="dxa"/>
            <w:tcBorders>
              <w:top w:val="single" w:sz="8" w:space="0" w:color="auto"/>
              <w:left w:val="nil"/>
              <w:bottom w:val="single" w:sz="8" w:space="0" w:color="auto"/>
              <w:right w:val="single" w:sz="8" w:space="0" w:color="auto"/>
            </w:tcBorders>
            <w:shd w:val="clear" w:color="auto" w:fill="auto"/>
            <w:noWrap/>
            <w:vAlign w:val="bottom"/>
            <w:hideMark/>
          </w:tcPr>
          <w:p w14:paraId="1BEF4C20" w14:textId="77777777" w:rsidR="00C81855" w:rsidRPr="00C81855" w:rsidRDefault="00C81855" w:rsidP="00C81855">
            <w:pPr>
              <w:spacing w:after="0" w:line="240" w:lineRule="auto"/>
              <w:jc w:val="right"/>
              <w:rPr>
                <w:rFonts w:eastAsia="Times New Roman" w:cs="Calibri"/>
                <w:b/>
                <w:bCs/>
                <w:color w:val="000000"/>
                <w:sz w:val="20"/>
                <w:szCs w:val="20"/>
                <w:lang w:eastAsia="es-CR"/>
              </w:rPr>
            </w:pPr>
            <w:r w:rsidRPr="00C81855">
              <w:rPr>
                <w:rFonts w:ascii="Arial" w:eastAsia="Times New Roman" w:hAnsi="Arial" w:cs="Arial"/>
                <w:b/>
                <w:bCs/>
                <w:color w:val="000000"/>
                <w:sz w:val="20"/>
                <w:szCs w:val="20"/>
                <w:lang w:eastAsia="es-CR"/>
              </w:rPr>
              <w:t>₡</w:t>
            </w:r>
            <w:r w:rsidRPr="00C81855">
              <w:rPr>
                <w:rFonts w:eastAsia="Times New Roman" w:cs="Calibri"/>
                <w:b/>
                <w:bCs/>
                <w:color w:val="000000"/>
                <w:sz w:val="20"/>
                <w:szCs w:val="20"/>
                <w:lang w:eastAsia="es-CR"/>
              </w:rPr>
              <w:t>10 860,00</w:t>
            </w:r>
          </w:p>
        </w:tc>
        <w:tc>
          <w:tcPr>
            <w:tcW w:w="1918" w:type="dxa"/>
            <w:tcBorders>
              <w:top w:val="single" w:sz="8" w:space="0" w:color="auto"/>
              <w:left w:val="nil"/>
              <w:bottom w:val="single" w:sz="8" w:space="0" w:color="auto"/>
              <w:right w:val="single" w:sz="8" w:space="0" w:color="auto"/>
            </w:tcBorders>
            <w:shd w:val="clear" w:color="auto" w:fill="auto"/>
            <w:noWrap/>
            <w:vAlign w:val="bottom"/>
            <w:hideMark/>
          </w:tcPr>
          <w:p w14:paraId="46482FA2" w14:textId="77777777" w:rsidR="00C81855" w:rsidRPr="00C81855" w:rsidRDefault="00C81855" w:rsidP="00C81855">
            <w:pPr>
              <w:spacing w:after="0" w:line="240" w:lineRule="auto"/>
              <w:jc w:val="right"/>
              <w:rPr>
                <w:rFonts w:eastAsia="Times New Roman" w:cs="Calibri"/>
                <w:b/>
                <w:bCs/>
                <w:color w:val="000000"/>
                <w:sz w:val="20"/>
                <w:szCs w:val="20"/>
                <w:lang w:eastAsia="es-CR"/>
              </w:rPr>
            </w:pPr>
            <w:r w:rsidRPr="00C81855">
              <w:rPr>
                <w:rFonts w:ascii="Arial" w:eastAsia="Times New Roman" w:hAnsi="Arial" w:cs="Arial"/>
                <w:b/>
                <w:bCs/>
                <w:color w:val="000000"/>
                <w:sz w:val="20"/>
                <w:szCs w:val="20"/>
                <w:lang w:eastAsia="es-CR"/>
              </w:rPr>
              <w:t>₡</w:t>
            </w:r>
            <w:r w:rsidRPr="00C81855">
              <w:rPr>
                <w:rFonts w:eastAsia="Times New Roman" w:cs="Calibri"/>
                <w:b/>
                <w:bCs/>
                <w:color w:val="000000"/>
                <w:sz w:val="20"/>
                <w:szCs w:val="20"/>
                <w:lang w:eastAsia="es-CR"/>
              </w:rPr>
              <w:t>0,00</w:t>
            </w:r>
          </w:p>
        </w:tc>
        <w:tc>
          <w:tcPr>
            <w:tcW w:w="1558" w:type="dxa"/>
            <w:tcBorders>
              <w:top w:val="single" w:sz="8" w:space="0" w:color="auto"/>
              <w:left w:val="nil"/>
              <w:bottom w:val="single" w:sz="8" w:space="0" w:color="auto"/>
              <w:right w:val="single" w:sz="8" w:space="0" w:color="auto"/>
            </w:tcBorders>
            <w:shd w:val="clear" w:color="auto" w:fill="auto"/>
            <w:noWrap/>
            <w:vAlign w:val="bottom"/>
            <w:hideMark/>
          </w:tcPr>
          <w:p w14:paraId="5A5822AE" w14:textId="77777777" w:rsidR="00C81855" w:rsidRPr="00C81855" w:rsidRDefault="00C81855" w:rsidP="00C81855">
            <w:pPr>
              <w:spacing w:after="0" w:line="240" w:lineRule="auto"/>
              <w:jc w:val="right"/>
              <w:rPr>
                <w:rFonts w:eastAsia="Times New Roman" w:cs="Calibri"/>
                <w:b/>
                <w:bCs/>
                <w:color w:val="000000"/>
                <w:sz w:val="20"/>
                <w:szCs w:val="20"/>
                <w:lang w:eastAsia="es-CR"/>
              </w:rPr>
            </w:pPr>
            <w:r w:rsidRPr="00C81855">
              <w:rPr>
                <w:rFonts w:ascii="Arial" w:eastAsia="Times New Roman" w:hAnsi="Arial" w:cs="Arial"/>
                <w:b/>
                <w:bCs/>
                <w:color w:val="000000"/>
                <w:sz w:val="20"/>
                <w:szCs w:val="20"/>
                <w:lang w:eastAsia="es-CR"/>
              </w:rPr>
              <w:t>₡</w:t>
            </w:r>
            <w:r w:rsidRPr="00C81855">
              <w:rPr>
                <w:rFonts w:eastAsia="Times New Roman" w:cs="Calibri"/>
                <w:b/>
                <w:bCs/>
                <w:color w:val="000000"/>
                <w:sz w:val="20"/>
                <w:szCs w:val="20"/>
                <w:lang w:eastAsia="es-CR"/>
              </w:rPr>
              <w:t>10 860,00</w:t>
            </w:r>
          </w:p>
        </w:tc>
        <w:tc>
          <w:tcPr>
            <w:tcW w:w="457" w:type="dxa"/>
            <w:tcBorders>
              <w:top w:val="single" w:sz="8" w:space="0" w:color="auto"/>
              <w:left w:val="nil"/>
              <w:bottom w:val="single" w:sz="8" w:space="0" w:color="auto"/>
              <w:right w:val="single" w:sz="8" w:space="0" w:color="auto"/>
            </w:tcBorders>
            <w:shd w:val="clear" w:color="auto" w:fill="auto"/>
            <w:vAlign w:val="center"/>
            <w:hideMark/>
          </w:tcPr>
          <w:p w14:paraId="02375C55" w14:textId="77777777" w:rsidR="00C81855" w:rsidRPr="00C81855" w:rsidRDefault="00C81855" w:rsidP="00C81855">
            <w:pPr>
              <w:spacing w:after="0" w:line="240" w:lineRule="auto"/>
              <w:jc w:val="center"/>
              <w:rPr>
                <w:rFonts w:eastAsia="Times New Roman" w:cs="Calibri"/>
                <w:b/>
                <w:bCs/>
                <w:color w:val="000000"/>
                <w:sz w:val="20"/>
                <w:szCs w:val="20"/>
                <w:lang w:eastAsia="es-CR"/>
              </w:rPr>
            </w:pPr>
            <w:r w:rsidRPr="00C81855">
              <w:rPr>
                <w:rFonts w:eastAsia="Times New Roman" w:cs="Calibri"/>
                <w:b/>
                <w:bCs/>
                <w:color w:val="000000"/>
                <w:sz w:val="20"/>
                <w:szCs w:val="20"/>
                <w:lang w:eastAsia="es-CR"/>
              </w:rPr>
              <w:t>#¡DIV/0!</w:t>
            </w:r>
          </w:p>
        </w:tc>
        <w:tc>
          <w:tcPr>
            <w:tcW w:w="1149" w:type="dxa"/>
            <w:vAlign w:val="center"/>
            <w:hideMark/>
          </w:tcPr>
          <w:p w14:paraId="20DDEAAB" w14:textId="77777777" w:rsidR="00C81855" w:rsidRPr="00C81855" w:rsidRDefault="00C81855" w:rsidP="00C81855">
            <w:pPr>
              <w:spacing w:after="0" w:line="240" w:lineRule="auto"/>
              <w:jc w:val="left"/>
              <w:rPr>
                <w:rFonts w:ascii="Times New Roman" w:eastAsia="Times New Roman" w:hAnsi="Times New Roman" w:cs="Times New Roman"/>
                <w:sz w:val="20"/>
                <w:szCs w:val="20"/>
                <w:lang w:eastAsia="es-CR"/>
              </w:rPr>
            </w:pPr>
          </w:p>
        </w:tc>
      </w:tr>
      <w:tr w:rsidR="00C81855" w:rsidRPr="00C81855" w14:paraId="360E2F6A" w14:textId="77777777" w:rsidTr="00061EFB">
        <w:trPr>
          <w:trHeight w:val="294"/>
        </w:trPr>
        <w:tc>
          <w:tcPr>
            <w:tcW w:w="1263" w:type="dxa"/>
            <w:tcBorders>
              <w:top w:val="nil"/>
              <w:left w:val="single" w:sz="8" w:space="0" w:color="auto"/>
              <w:bottom w:val="nil"/>
              <w:right w:val="single" w:sz="8" w:space="0" w:color="auto"/>
            </w:tcBorders>
            <w:shd w:val="clear" w:color="000000" w:fill="FFFFFF"/>
            <w:noWrap/>
            <w:vAlign w:val="bottom"/>
            <w:hideMark/>
          </w:tcPr>
          <w:p w14:paraId="6523D771" w14:textId="77777777" w:rsidR="00C81855" w:rsidRPr="00C81855" w:rsidRDefault="00C81855" w:rsidP="00C81855">
            <w:pPr>
              <w:spacing w:after="0" w:line="240" w:lineRule="auto"/>
              <w:jc w:val="left"/>
              <w:rPr>
                <w:rFonts w:eastAsia="Times New Roman" w:cs="Calibri"/>
                <w:color w:val="000000"/>
                <w:sz w:val="20"/>
                <w:szCs w:val="20"/>
                <w:lang w:eastAsia="es-CR"/>
              </w:rPr>
            </w:pPr>
            <w:r w:rsidRPr="00C81855">
              <w:rPr>
                <w:rFonts w:eastAsia="Times New Roman" w:cs="Calibri"/>
                <w:color w:val="000000"/>
                <w:sz w:val="20"/>
                <w:szCs w:val="20"/>
                <w:lang w:eastAsia="es-CR"/>
              </w:rPr>
              <w:t>5.1.2.07.01</w:t>
            </w:r>
          </w:p>
        </w:tc>
        <w:tc>
          <w:tcPr>
            <w:tcW w:w="3247" w:type="dxa"/>
            <w:tcBorders>
              <w:top w:val="nil"/>
              <w:left w:val="nil"/>
              <w:bottom w:val="nil"/>
              <w:right w:val="single" w:sz="8" w:space="0" w:color="auto"/>
            </w:tcBorders>
            <w:shd w:val="clear" w:color="auto" w:fill="auto"/>
            <w:vAlign w:val="center"/>
            <w:hideMark/>
          </w:tcPr>
          <w:p w14:paraId="2B0CF07B" w14:textId="77777777" w:rsidR="00C81855" w:rsidRPr="00C81855" w:rsidRDefault="00C81855" w:rsidP="00C81855">
            <w:pPr>
              <w:spacing w:after="0" w:line="240" w:lineRule="auto"/>
              <w:jc w:val="left"/>
              <w:rPr>
                <w:rFonts w:eastAsia="Times New Roman" w:cs="Calibri"/>
                <w:color w:val="000000"/>
                <w:sz w:val="20"/>
                <w:szCs w:val="20"/>
                <w:lang w:eastAsia="es-CR"/>
              </w:rPr>
            </w:pPr>
            <w:r w:rsidRPr="00C81855">
              <w:rPr>
                <w:rFonts w:eastAsia="Times New Roman" w:cs="Calibri"/>
                <w:color w:val="000000"/>
                <w:sz w:val="20"/>
                <w:szCs w:val="20"/>
                <w:lang w:eastAsia="es-CR"/>
              </w:rPr>
              <w:t>Actividades de capacitación</w:t>
            </w:r>
          </w:p>
        </w:tc>
        <w:tc>
          <w:tcPr>
            <w:tcW w:w="1328" w:type="dxa"/>
            <w:tcBorders>
              <w:top w:val="nil"/>
              <w:left w:val="nil"/>
              <w:bottom w:val="nil"/>
              <w:right w:val="single" w:sz="8" w:space="0" w:color="auto"/>
            </w:tcBorders>
            <w:shd w:val="clear" w:color="auto" w:fill="auto"/>
            <w:noWrap/>
            <w:vAlign w:val="center"/>
            <w:hideMark/>
          </w:tcPr>
          <w:p w14:paraId="2A725DC6" w14:textId="77777777" w:rsidR="00C81855" w:rsidRPr="00C81855" w:rsidRDefault="00C81855" w:rsidP="00C81855">
            <w:pPr>
              <w:spacing w:after="0" w:line="240" w:lineRule="auto"/>
              <w:jc w:val="right"/>
              <w:rPr>
                <w:rFonts w:eastAsia="Times New Roman" w:cs="Calibri"/>
                <w:sz w:val="20"/>
                <w:szCs w:val="20"/>
                <w:lang w:eastAsia="es-CR"/>
              </w:rPr>
            </w:pPr>
            <w:r w:rsidRPr="00C81855">
              <w:rPr>
                <w:rFonts w:ascii="Arial" w:eastAsia="Times New Roman" w:hAnsi="Arial" w:cs="Arial"/>
                <w:sz w:val="20"/>
                <w:szCs w:val="20"/>
                <w:lang w:eastAsia="es-CR"/>
              </w:rPr>
              <w:t>₡</w:t>
            </w:r>
            <w:r w:rsidRPr="00C81855">
              <w:rPr>
                <w:rFonts w:eastAsia="Times New Roman" w:cs="Calibri"/>
                <w:sz w:val="20"/>
                <w:szCs w:val="20"/>
                <w:lang w:eastAsia="es-CR"/>
              </w:rPr>
              <w:t>4 860,00</w:t>
            </w:r>
          </w:p>
        </w:tc>
        <w:tc>
          <w:tcPr>
            <w:tcW w:w="1918" w:type="dxa"/>
            <w:tcBorders>
              <w:top w:val="nil"/>
              <w:left w:val="nil"/>
              <w:bottom w:val="nil"/>
              <w:right w:val="single" w:sz="8" w:space="0" w:color="auto"/>
            </w:tcBorders>
            <w:shd w:val="clear" w:color="auto" w:fill="auto"/>
            <w:noWrap/>
            <w:vAlign w:val="center"/>
            <w:hideMark/>
          </w:tcPr>
          <w:p w14:paraId="00844C86" w14:textId="77777777" w:rsidR="00C81855" w:rsidRPr="00C81855" w:rsidRDefault="00C81855" w:rsidP="00C81855">
            <w:pPr>
              <w:spacing w:after="0" w:line="240" w:lineRule="auto"/>
              <w:jc w:val="right"/>
              <w:rPr>
                <w:rFonts w:eastAsia="Times New Roman" w:cs="Calibri"/>
                <w:sz w:val="20"/>
                <w:szCs w:val="20"/>
                <w:lang w:eastAsia="es-CR"/>
              </w:rPr>
            </w:pPr>
            <w:r w:rsidRPr="00C81855">
              <w:rPr>
                <w:rFonts w:ascii="Arial" w:eastAsia="Times New Roman" w:hAnsi="Arial" w:cs="Arial"/>
                <w:sz w:val="20"/>
                <w:szCs w:val="20"/>
                <w:lang w:eastAsia="es-CR"/>
              </w:rPr>
              <w:t>₡</w:t>
            </w:r>
            <w:r w:rsidRPr="00C81855">
              <w:rPr>
                <w:rFonts w:eastAsia="Times New Roman" w:cs="Calibri"/>
                <w:sz w:val="20"/>
                <w:szCs w:val="20"/>
                <w:lang w:eastAsia="es-CR"/>
              </w:rPr>
              <w:t>0,00</w:t>
            </w:r>
          </w:p>
        </w:tc>
        <w:tc>
          <w:tcPr>
            <w:tcW w:w="1558" w:type="dxa"/>
            <w:tcBorders>
              <w:top w:val="nil"/>
              <w:left w:val="nil"/>
              <w:bottom w:val="nil"/>
              <w:right w:val="single" w:sz="8" w:space="0" w:color="auto"/>
            </w:tcBorders>
            <w:shd w:val="clear" w:color="auto" w:fill="auto"/>
            <w:noWrap/>
            <w:vAlign w:val="center"/>
            <w:hideMark/>
          </w:tcPr>
          <w:p w14:paraId="6E78711E" w14:textId="77777777" w:rsidR="00C81855" w:rsidRPr="00C81855" w:rsidRDefault="00C81855" w:rsidP="00C81855">
            <w:pPr>
              <w:spacing w:after="0" w:line="240" w:lineRule="auto"/>
              <w:jc w:val="right"/>
              <w:rPr>
                <w:rFonts w:eastAsia="Times New Roman" w:cs="Calibri"/>
                <w:color w:val="000000"/>
                <w:sz w:val="20"/>
                <w:szCs w:val="20"/>
                <w:lang w:eastAsia="es-CR"/>
              </w:rPr>
            </w:pPr>
            <w:r w:rsidRPr="00C81855">
              <w:rPr>
                <w:rFonts w:eastAsia="Times New Roman" w:cs="Calibri"/>
                <w:color w:val="000000"/>
                <w:sz w:val="20"/>
                <w:szCs w:val="20"/>
                <w:lang w:eastAsia="es-CR"/>
              </w:rPr>
              <w:t>4 860,00</w:t>
            </w:r>
          </w:p>
        </w:tc>
        <w:tc>
          <w:tcPr>
            <w:tcW w:w="457" w:type="dxa"/>
            <w:tcBorders>
              <w:top w:val="nil"/>
              <w:left w:val="nil"/>
              <w:bottom w:val="nil"/>
              <w:right w:val="single" w:sz="8" w:space="0" w:color="auto"/>
            </w:tcBorders>
            <w:shd w:val="clear" w:color="auto" w:fill="auto"/>
            <w:vAlign w:val="center"/>
            <w:hideMark/>
          </w:tcPr>
          <w:p w14:paraId="1D986DD5" w14:textId="77777777" w:rsidR="00C81855" w:rsidRPr="00C81855" w:rsidRDefault="00C81855" w:rsidP="00C81855">
            <w:pPr>
              <w:spacing w:after="0" w:line="240" w:lineRule="auto"/>
              <w:jc w:val="center"/>
              <w:rPr>
                <w:rFonts w:eastAsia="Times New Roman" w:cs="Calibri"/>
                <w:b/>
                <w:bCs/>
                <w:color w:val="000000"/>
                <w:sz w:val="20"/>
                <w:szCs w:val="20"/>
                <w:lang w:eastAsia="es-CR"/>
              </w:rPr>
            </w:pPr>
            <w:r w:rsidRPr="00C81855">
              <w:rPr>
                <w:rFonts w:eastAsia="Times New Roman" w:cs="Calibri"/>
                <w:b/>
                <w:bCs/>
                <w:color w:val="000000"/>
                <w:sz w:val="20"/>
                <w:szCs w:val="20"/>
                <w:lang w:eastAsia="es-CR"/>
              </w:rPr>
              <w:t>#¡DIV/0!</w:t>
            </w:r>
          </w:p>
        </w:tc>
        <w:tc>
          <w:tcPr>
            <w:tcW w:w="1149" w:type="dxa"/>
            <w:vAlign w:val="center"/>
            <w:hideMark/>
          </w:tcPr>
          <w:p w14:paraId="7BBA52FA" w14:textId="77777777" w:rsidR="00C81855" w:rsidRPr="00C81855" w:rsidRDefault="00C81855" w:rsidP="00C81855">
            <w:pPr>
              <w:spacing w:after="0" w:line="240" w:lineRule="auto"/>
              <w:jc w:val="left"/>
              <w:rPr>
                <w:rFonts w:ascii="Times New Roman" w:eastAsia="Times New Roman" w:hAnsi="Times New Roman" w:cs="Times New Roman"/>
                <w:sz w:val="20"/>
                <w:szCs w:val="20"/>
                <w:lang w:eastAsia="es-CR"/>
              </w:rPr>
            </w:pPr>
          </w:p>
        </w:tc>
      </w:tr>
      <w:tr w:rsidR="00C81855" w:rsidRPr="00C81855" w14:paraId="6BADC6B5" w14:textId="77777777" w:rsidTr="00061EFB">
        <w:trPr>
          <w:trHeight w:val="309"/>
        </w:trPr>
        <w:tc>
          <w:tcPr>
            <w:tcW w:w="1263" w:type="dxa"/>
            <w:tcBorders>
              <w:top w:val="nil"/>
              <w:left w:val="single" w:sz="8" w:space="0" w:color="auto"/>
              <w:bottom w:val="nil"/>
              <w:right w:val="single" w:sz="8" w:space="0" w:color="auto"/>
            </w:tcBorders>
            <w:shd w:val="clear" w:color="000000" w:fill="FFFFFF"/>
            <w:noWrap/>
            <w:vAlign w:val="bottom"/>
            <w:hideMark/>
          </w:tcPr>
          <w:p w14:paraId="593DD33E" w14:textId="77777777" w:rsidR="00C81855" w:rsidRPr="00C81855" w:rsidRDefault="00C81855" w:rsidP="00C81855">
            <w:pPr>
              <w:spacing w:after="0" w:line="240" w:lineRule="auto"/>
              <w:jc w:val="left"/>
              <w:rPr>
                <w:rFonts w:eastAsia="Times New Roman" w:cs="Calibri"/>
                <w:color w:val="000000"/>
                <w:sz w:val="20"/>
                <w:szCs w:val="20"/>
                <w:lang w:eastAsia="es-CR"/>
              </w:rPr>
            </w:pPr>
            <w:r w:rsidRPr="00C81855">
              <w:rPr>
                <w:rFonts w:eastAsia="Times New Roman" w:cs="Calibri"/>
                <w:color w:val="000000"/>
                <w:sz w:val="20"/>
                <w:szCs w:val="20"/>
                <w:lang w:eastAsia="es-CR"/>
              </w:rPr>
              <w:t>5.1.2.07.02.</w:t>
            </w:r>
          </w:p>
        </w:tc>
        <w:tc>
          <w:tcPr>
            <w:tcW w:w="3247" w:type="dxa"/>
            <w:tcBorders>
              <w:top w:val="nil"/>
              <w:left w:val="nil"/>
              <w:bottom w:val="nil"/>
              <w:right w:val="single" w:sz="8" w:space="0" w:color="auto"/>
            </w:tcBorders>
            <w:shd w:val="clear" w:color="000000" w:fill="FFFFFF"/>
            <w:noWrap/>
            <w:vAlign w:val="bottom"/>
            <w:hideMark/>
          </w:tcPr>
          <w:p w14:paraId="33DDD448" w14:textId="77777777" w:rsidR="00C81855" w:rsidRPr="00C81855" w:rsidRDefault="00C81855" w:rsidP="00C81855">
            <w:pPr>
              <w:spacing w:after="0" w:line="240" w:lineRule="auto"/>
              <w:jc w:val="left"/>
              <w:rPr>
                <w:rFonts w:eastAsia="Times New Roman" w:cs="Calibri"/>
                <w:color w:val="000000"/>
                <w:sz w:val="20"/>
                <w:szCs w:val="20"/>
                <w:lang w:eastAsia="es-CR"/>
              </w:rPr>
            </w:pPr>
            <w:r w:rsidRPr="00C81855">
              <w:rPr>
                <w:rFonts w:eastAsia="Times New Roman" w:cs="Calibri"/>
                <w:color w:val="000000"/>
                <w:sz w:val="20"/>
                <w:szCs w:val="20"/>
                <w:lang w:eastAsia="es-CR"/>
              </w:rPr>
              <w:t>Actividades protocolarias y sociales</w:t>
            </w:r>
          </w:p>
        </w:tc>
        <w:tc>
          <w:tcPr>
            <w:tcW w:w="1328" w:type="dxa"/>
            <w:tcBorders>
              <w:top w:val="nil"/>
              <w:left w:val="nil"/>
              <w:bottom w:val="nil"/>
              <w:right w:val="single" w:sz="8" w:space="0" w:color="auto"/>
            </w:tcBorders>
            <w:shd w:val="clear" w:color="auto" w:fill="auto"/>
            <w:noWrap/>
            <w:vAlign w:val="center"/>
            <w:hideMark/>
          </w:tcPr>
          <w:p w14:paraId="60259111" w14:textId="77777777" w:rsidR="00C81855" w:rsidRPr="00C81855" w:rsidRDefault="00C81855" w:rsidP="00C81855">
            <w:pPr>
              <w:spacing w:after="0" w:line="240" w:lineRule="auto"/>
              <w:jc w:val="right"/>
              <w:rPr>
                <w:rFonts w:eastAsia="Times New Roman" w:cs="Calibri"/>
                <w:sz w:val="20"/>
                <w:szCs w:val="20"/>
                <w:lang w:eastAsia="es-CR"/>
              </w:rPr>
            </w:pPr>
            <w:r w:rsidRPr="00C81855">
              <w:rPr>
                <w:rFonts w:ascii="Arial" w:eastAsia="Times New Roman" w:hAnsi="Arial" w:cs="Arial"/>
                <w:sz w:val="20"/>
                <w:szCs w:val="20"/>
                <w:lang w:eastAsia="es-CR"/>
              </w:rPr>
              <w:t>₡</w:t>
            </w:r>
            <w:r w:rsidRPr="00C81855">
              <w:rPr>
                <w:rFonts w:eastAsia="Times New Roman" w:cs="Calibri"/>
                <w:sz w:val="20"/>
                <w:szCs w:val="20"/>
                <w:lang w:eastAsia="es-CR"/>
              </w:rPr>
              <w:t>6 000,00</w:t>
            </w:r>
          </w:p>
        </w:tc>
        <w:tc>
          <w:tcPr>
            <w:tcW w:w="1918" w:type="dxa"/>
            <w:tcBorders>
              <w:top w:val="nil"/>
              <w:left w:val="nil"/>
              <w:bottom w:val="nil"/>
              <w:right w:val="single" w:sz="8" w:space="0" w:color="auto"/>
            </w:tcBorders>
            <w:shd w:val="clear" w:color="auto" w:fill="auto"/>
            <w:noWrap/>
            <w:vAlign w:val="center"/>
            <w:hideMark/>
          </w:tcPr>
          <w:p w14:paraId="1C3B1AE3" w14:textId="77777777" w:rsidR="00C81855" w:rsidRPr="00C81855" w:rsidRDefault="00C81855" w:rsidP="00C81855">
            <w:pPr>
              <w:spacing w:after="0" w:line="240" w:lineRule="auto"/>
              <w:jc w:val="right"/>
              <w:rPr>
                <w:rFonts w:eastAsia="Times New Roman" w:cs="Calibri"/>
                <w:sz w:val="20"/>
                <w:szCs w:val="20"/>
                <w:lang w:eastAsia="es-CR"/>
              </w:rPr>
            </w:pPr>
            <w:r w:rsidRPr="00C81855">
              <w:rPr>
                <w:rFonts w:ascii="Arial" w:eastAsia="Times New Roman" w:hAnsi="Arial" w:cs="Arial"/>
                <w:sz w:val="20"/>
                <w:szCs w:val="20"/>
                <w:lang w:eastAsia="es-CR"/>
              </w:rPr>
              <w:t>₡</w:t>
            </w:r>
            <w:r w:rsidRPr="00C81855">
              <w:rPr>
                <w:rFonts w:eastAsia="Times New Roman" w:cs="Calibri"/>
                <w:sz w:val="20"/>
                <w:szCs w:val="20"/>
                <w:lang w:eastAsia="es-CR"/>
              </w:rPr>
              <w:t>0,00</w:t>
            </w:r>
          </w:p>
        </w:tc>
        <w:tc>
          <w:tcPr>
            <w:tcW w:w="1558" w:type="dxa"/>
            <w:tcBorders>
              <w:top w:val="nil"/>
              <w:left w:val="nil"/>
              <w:bottom w:val="nil"/>
              <w:right w:val="single" w:sz="8" w:space="0" w:color="auto"/>
            </w:tcBorders>
            <w:shd w:val="clear" w:color="auto" w:fill="auto"/>
            <w:noWrap/>
            <w:vAlign w:val="center"/>
            <w:hideMark/>
          </w:tcPr>
          <w:p w14:paraId="2283248C" w14:textId="77777777" w:rsidR="00C81855" w:rsidRPr="00C81855" w:rsidRDefault="00C81855" w:rsidP="00C81855">
            <w:pPr>
              <w:spacing w:after="0" w:line="240" w:lineRule="auto"/>
              <w:jc w:val="right"/>
              <w:rPr>
                <w:rFonts w:eastAsia="Times New Roman" w:cs="Calibri"/>
                <w:color w:val="000000"/>
                <w:sz w:val="20"/>
                <w:szCs w:val="20"/>
                <w:lang w:eastAsia="es-CR"/>
              </w:rPr>
            </w:pPr>
            <w:r w:rsidRPr="00C81855">
              <w:rPr>
                <w:rFonts w:eastAsia="Times New Roman" w:cs="Calibri"/>
                <w:color w:val="000000"/>
                <w:sz w:val="20"/>
                <w:szCs w:val="20"/>
                <w:lang w:eastAsia="es-CR"/>
              </w:rPr>
              <w:t>6 000,00</w:t>
            </w:r>
          </w:p>
        </w:tc>
        <w:tc>
          <w:tcPr>
            <w:tcW w:w="457" w:type="dxa"/>
            <w:tcBorders>
              <w:top w:val="nil"/>
              <w:left w:val="nil"/>
              <w:bottom w:val="nil"/>
              <w:right w:val="single" w:sz="8" w:space="0" w:color="auto"/>
            </w:tcBorders>
            <w:shd w:val="clear" w:color="auto" w:fill="auto"/>
            <w:vAlign w:val="center"/>
            <w:hideMark/>
          </w:tcPr>
          <w:p w14:paraId="1C1DDD89" w14:textId="77777777" w:rsidR="00C81855" w:rsidRPr="00C81855" w:rsidRDefault="00C81855" w:rsidP="00C81855">
            <w:pPr>
              <w:spacing w:after="0" w:line="240" w:lineRule="auto"/>
              <w:jc w:val="center"/>
              <w:rPr>
                <w:rFonts w:eastAsia="Times New Roman" w:cs="Calibri"/>
                <w:color w:val="000000"/>
                <w:sz w:val="20"/>
                <w:szCs w:val="20"/>
                <w:lang w:eastAsia="es-CR"/>
              </w:rPr>
            </w:pPr>
            <w:r w:rsidRPr="00C81855">
              <w:rPr>
                <w:rFonts w:eastAsia="Times New Roman" w:cs="Calibri"/>
                <w:color w:val="000000"/>
                <w:sz w:val="20"/>
                <w:szCs w:val="20"/>
                <w:lang w:eastAsia="es-CR"/>
              </w:rPr>
              <w:t>#¡DIV/0!</w:t>
            </w:r>
          </w:p>
        </w:tc>
        <w:tc>
          <w:tcPr>
            <w:tcW w:w="1149" w:type="dxa"/>
            <w:vAlign w:val="center"/>
            <w:hideMark/>
          </w:tcPr>
          <w:p w14:paraId="40C89FF8" w14:textId="77777777" w:rsidR="00C81855" w:rsidRPr="00C81855" w:rsidRDefault="00C81855" w:rsidP="00C81855">
            <w:pPr>
              <w:spacing w:after="0" w:line="240" w:lineRule="auto"/>
              <w:jc w:val="left"/>
              <w:rPr>
                <w:rFonts w:ascii="Times New Roman" w:eastAsia="Times New Roman" w:hAnsi="Times New Roman" w:cs="Times New Roman"/>
                <w:sz w:val="20"/>
                <w:szCs w:val="20"/>
                <w:lang w:eastAsia="es-CR"/>
              </w:rPr>
            </w:pPr>
          </w:p>
        </w:tc>
      </w:tr>
      <w:tr w:rsidR="00C81855" w:rsidRPr="00C81855" w14:paraId="1F85463C" w14:textId="77777777" w:rsidTr="00061EFB">
        <w:trPr>
          <w:trHeight w:val="309"/>
        </w:trPr>
        <w:tc>
          <w:tcPr>
            <w:tcW w:w="1263" w:type="dxa"/>
            <w:tcBorders>
              <w:top w:val="nil"/>
              <w:left w:val="single" w:sz="8" w:space="0" w:color="auto"/>
              <w:bottom w:val="nil"/>
              <w:right w:val="single" w:sz="8" w:space="0" w:color="auto"/>
            </w:tcBorders>
            <w:shd w:val="clear" w:color="auto" w:fill="auto"/>
            <w:noWrap/>
            <w:vAlign w:val="center"/>
            <w:hideMark/>
          </w:tcPr>
          <w:p w14:paraId="04ACF0E3" w14:textId="77777777" w:rsidR="00C81855" w:rsidRPr="00C81855" w:rsidRDefault="00C81855" w:rsidP="00C81855">
            <w:pPr>
              <w:spacing w:after="0" w:line="240" w:lineRule="auto"/>
              <w:jc w:val="left"/>
              <w:rPr>
                <w:rFonts w:eastAsia="Times New Roman" w:cs="Calibri"/>
                <w:b/>
                <w:bCs/>
                <w:color w:val="000000"/>
                <w:sz w:val="20"/>
                <w:szCs w:val="20"/>
                <w:lang w:eastAsia="es-CR"/>
              </w:rPr>
            </w:pPr>
            <w:r w:rsidRPr="00C81855">
              <w:rPr>
                <w:rFonts w:eastAsia="Times New Roman" w:cs="Calibri"/>
                <w:b/>
                <w:bCs/>
                <w:color w:val="000000"/>
                <w:sz w:val="20"/>
                <w:szCs w:val="20"/>
                <w:lang w:eastAsia="es-CR"/>
              </w:rPr>
              <w:t>5.1.2.08.</w:t>
            </w:r>
          </w:p>
        </w:tc>
        <w:tc>
          <w:tcPr>
            <w:tcW w:w="3247" w:type="dxa"/>
            <w:tcBorders>
              <w:top w:val="nil"/>
              <w:left w:val="nil"/>
              <w:bottom w:val="nil"/>
              <w:right w:val="single" w:sz="8" w:space="0" w:color="auto"/>
            </w:tcBorders>
            <w:shd w:val="clear" w:color="auto" w:fill="auto"/>
            <w:vAlign w:val="center"/>
            <w:hideMark/>
          </w:tcPr>
          <w:p w14:paraId="79A1F3ED" w14:textId="77777777" w:rsidR="00C81855" w:rsidRPr="00C81855" w:rsidRDefault="00C81855" w:rsidP="00C81855">
            <w:pPr>
              <w:spacing w:after="0" w:line="240" w:lineRule="auto"/>
              <w:jc w:val="left"/>
              <w:rPr>
                <w:rFonts w:eastAsia="Times New Roman" w:cs="Calibri"/>
                <w:b/>
                <w:bCs/>
                <w:color w:val="000000"/>
                <w:sz w:val="20"/>
                <w:szCs w:val="20"/>
                <w:lang w:eastAsia="es-CR"/>
              </w:rPr>
            </w:pPr>
            <w:r w:rsidRPr="00C81855">
              <w:rPr>
                <w:rFonts w:eastAsia="Times New Roman" w:cs="Calibri"/>
                <w:b/>
                <w:bCs/>
                <w:color w:val="000000"/>
                <w:sz w:val="20"/>
                <w:szCs w:val="20"/>
                <w:lang w:eastAsia="es-CR"/>
              </w:rPr>
              <w:t>Mantenimiento y reparaciones</w:t>
            </w:r>
          </w:p>
        </w:tc>
        <w:tc>
          <w:tcPr>
            <w:tcW w:w="1328" w:type="dxa"/>
            <w:tcBorders>
              <w:top w:val="single" w:sz="8" w:space="0" w:color="auto"/>
              <w:left w:val="nil"/>
              <w:bottom w:val="single" w:sz="8" w:space="0" w:color="auto"/>
              <w:right w:val="single" w:sz="8" w:space="0" w:color="auto"/>
            </w:tcBorders>
            <w:shd w:val="clear" w:color="auto" w:fill="auto"/>
            <w:noWrap/>
            <w:vAlign w:val="bottom"/>
            <w:hideMark/>
          </w:tcPr>
          <w:p w14:paraId="5517C588" w14:textId="77777777" w:rsidR="00C81855" w:rsidRPr="00C81855" w:rsidRDefault="00C81855" w:rsidP="00C81855">
            <w:pPr>
              <w:spacing w:after="0" w:line="240" w:lineRule="auto"/>
              <w:jc w:val="right"/>
              <w:rPr>
                <w:rFonts w:eastAsia="Times New Roman" w:cs="Calibri"/>
                <w:b/>
                <w:bCs/>
                <w:color w:val="000000"/>
                <w:sz w:val="20"/>
                <w:szCs w:val="20"/>
                <w:lang w:eastAsia="es-CR"/>
              </w:rPr>
            </w:pPr>
            <w:r w:rsidRPr="00C81855">
              <w:rPr>
                <w:rFonts w:ascii="Arial" w:eastAsia="Times New Roman" w:hAnsi="Arial" w:cs="Arial"/>
                <w:b/>
                <w:bCs/>
                <w:color w:val="000000"/>
                <w:sz w:val="20"/>
                <w:szCs w:val="20"/>
                <w:lang w:eastAsia="es-CR"/>
              </w:rPr>
              <w:t>₡</w:t>
            </w:r>
            <w:r w:rsidRPr="00C81855">
              <w:rPr>
                <w:rFonts w:eastAsia="Times New Roman" w:cs="Calibri"/>
                <w:b/>
                <w:bCs/>
                <w:color w:val="000000"/>
                <w:sz w:val="20"/>
                <w:szCs w:val="20"/>
                <w:lang w:eastAsia="es-CR"/>
              </w:rPr>
              <w:t>2 159 399,33</w:t>
            </w:r>
          </w:p>
        </w:tc>
        <w:tc>
          <w:tcPr>
            <w:tcW w:w="1918" w:type="dxa"/>
            <w:tcBorders>
              <w:top w:val="single" w:sz="8" w:space="0" w:color="auto"/>
              <w:left w:val="nil"/>
              <w:bottom w:val="single" w:sz="8" w:space="0" w:color="auto"/>
              <w:right w:val="single" w:sz="8" w:space="0" w:color="auto"/>
            </w:tcBorders>
            <w:shd w:val="clear" w:color="auto" w:fill="auto"/>
            <w:noWrap/>
            <w:vAlign w:val="bottom"/>
            <w:hideMark/>
          </w:tcPr>
          <w:p w14:paraId="0C01C4C2" w14:textId="77777777" w:rsidR="00C81855" w:rsidRPr="00C81855" w:rsidRDefault="00C81855" w:rsidP="00C81855">
            <w:pPr>
              <w:spacing w:after="0" w:line="240" w:lineRule="auto"/>
              <w:jc w:val="right"/>
              <w:rPr>
                <w:rFonts w:eastAsia="Times New Roman" w:cs="Calibri"/>
                <w:b/>
                <w:bCs/>
                <w:color w:val="000000"/>
                <w:sz w:val="20"/>
                <w:szCs w:val="20"/>
                <w:lang w:eastAsia="es-CR"/>
              </w:rPr>
            </w:pPr>
            <w:r w:rsidRPr="00C81855">
              <w:rPr>
                <w:rFonts w:ascii="Arial" w:eastAsia="Times New Roman" w:hAnsi="Arial" w:cs="Arial"/>
                <w:b/>
                <w:bCs/>
                <w:color w:val="000000"/>
                <w:sz w:val="20"/>
                <w:szCs w:val="20"/>
                <w:lang w:eastAsia="es-CR"/>
              </w:rPr>
              <w:t>₡</w:t>
            </w:r>
            <w:r w:rsidRPr="00C81855">
              <w:rPr>
                <w:rFonts w:eastAsia="Times New Roman" w:cs="Calibri"/>
                <w:b/>
                <w:bCs/>
                <w:color w:val="000000"/>
                <w:sz w:val="20"/>
                <w:szCs w:val="20"/>
                <w:lang w:eastAsia="es-CR"/>
              </w:rPr>
              <w:t>2 973 406,86</w:t>
            </w:r>
          </w:p>
        </w:tc>
        <w:tc>
          <w:tcPr>
            <w:tcW w:w="1558" w:type="dxa"/>
            <w:tcBorders>
              <w:top w:val="single" w:sz="8" w:space="0" w:color="auto"/>
              <w:left w:val="nil"/>
              <w:bottom w:val="single" w:sz="8" w:space="0" w:color="auto"/>
              <w:right w:val="single" w:sz="8" w:space="0" w:color="auto"/>
            </w:tcBorders>
            <w:shd w:val="clear" w:color="auto" w:fill="auto"/>
            <w:noWrap/>
            <w:vAlign w:val="bottom"/>
            <w:hideMark/>
          </w:tcPr>
          <w:p w14:paraId="3AE5EB7E" w14:textId="77777777" w:rsidR="00C81855" w:rsidRPr="00C81855" w:rsidRDefault="00C81855" w:rsidP="00C81855">
            <w:pPr>
              <w:spacing w:after="0" w:line="240" w:lineRule="auto"/>
              <w:jc w:val="right"/>
              <w:rPr>
                <w:rFonts w:eastAsia="Times New Roman" w:cs="Calibri"/>
                <w:b/>
                <w:bCs/>
                <w:color w:val="000000"/>
                <w:sz w:val="20"/>
                <w:szCs w:val="20"/>
                <w:lang w:eastAsia="es-CR"/>
              </w:rPr>
            </w:pPr>
            <w:bookmarkStart w:id="915" w:name="_Hlk189123612"/>
            <w:r w:rsidRPr="00C81855">
              <w:rPr>
                <w:rFonts w:eastAsia="Times New Roman" w:cs="Calibri"/>
                <w:b/>
                <w:bCs/>
                <w:color w:val="000000"/>
                <w:sz w:val="20"/>
                <w:szCs w:val="20"/>
                <w:lang w:eastAsia="es-CR"/>
              </w:rPr>
              <w:t>-</w:t>
            </w:r>
            <w:r w:rsidRPr="00C81855">
              <w:rPr>
                <w:rFonts w:ascii="Arial" w:eastAsia="Times New Roman" w:hAnsi="Arial" w:cs="Arial"/>
                <w:b/>
                <w:bCs/>
                <w:color w:val="000000"/>
                <w:sz w:val="20"/>
                <w:szCs w:val="20"/>
                <w:lang w:eastAsia="es-CR"/>
              </w:rPr>
              <w:t>₡</w:t>
            </w:r>
            <w:r w:rsidRPr="00C81855">
              <w:rPr>
                <w:rFonts w:eastAsia="Times New Roman" w:cs="Calibri"/>
                <w:b/>
                <w:bCs/>
                <w:color w:val="000000"/>
                <w:sz w:val="20"/>
                <w:szCs w:val="20"/>
                <w:lang w:eastAsia="es-CR"/>
              </w:rPr>
              <w:t>814 007,52</w:t>
            </w:r>
            <w:bookmarkEnd w:id="915"/>
          </w:p>
        </w:tc>
        <w:tc>
          <w:tcPr>
            <w:tcW w:w="457" w:type="dxa"/>
            <w:tcBorders>
              <w:top w:val="single" w:sz="8" w:space="0" w:color="auto"/>
              <w:left w:val="nil"/>
              <w:bottom w:val="single" w:sz="8" w:space="0" w:color="auto"/>
              <w:right w:val="single" w:sz="8" w:space="0" w:color="auto"/>
            </w:tcBorders>
            <w:shd w:val="clear" w:color="auto" w:fill="auto"/>
            <w:vAlign w:val="center"/>
            <w:hideMark/>
          </w:tcPr>
          <w:p w14:paraId="21881046" w14:textId="77777777" w:rsidR="00C81855" w:rsidRPr="00C81855" w:rsidRDefault="00C81855" w:rsidP="00C81855">
            <w:pPr>
              <w:spacing w:after="0" w:line="240" w:lineRule="auto"/>
              <w:jc w:val="center"/>
              <w:rPr>
                <w:rFonts w:eastAsia="Times New Roman" w:cs="Calibri"/>
                <w:b/>
                <w:bCs/>
                <w:color w:val="000000"/>
                <w:sz w:val="20"/>
                <w:szCs w:val="20"/>
                <w:lang w:eastAsia="es-CR"/>
              </w:rPr>
            </w:pPr>
            <w:r w:rsidRPr="00C81855">
              <w:rPr>
                <w:rFonts w:eastAsia="Times New Roman" w:cs="Calibri"/>
                <w:b/>
                <w:bCs/>
                <w:color w:val="000000"/>
                <w:sz w:val="20"/>
                <w:szCs w:val="20"/>
                <w:lang w:eastAsia="es-CR"/>
              </w:rPr>
              <w:t>-27,38%</w:t>
            </w:r>
          </w:p>
        </w:tc>
        <w:tc>
          <w:tcPr>
            <w:tcW w:w="1149" w:type="dxa"/>
            <w:vAlign w:val="center"/>
            <w:hideMark/>
          </w:tcPr>
          <w:p w14:paraId="7BE51C8D" w14:textId="77777777" w:rsidR="00C81855" w:rsidRPr="00C81855" w:rsidRDefault="00C81855" w:rsidP="00C81855">
            <w:pPr>
              <w:spacing w:after="0" w:line="240" w:lineRule="auto"/>
              <w:jc w:val="left"/>
              <w:rPr>
                <w:rFonts w:ascii="Times New Roman" w:eastAsia="Times New Roman" w:hAnsi="Times New Roman" w:cs="Times New Roman"/>
                <w:sz w:val="20"/>
                <w:szCs w:val="20"/>
                <w:lang w:eastAsia="es-CR"/>
              </w:rPr>
            </w:pPr>
          </w:p>
        </w:tc>
      </w:tr>
      <w:tr w:rsidR="00C81855" w:rsidRPr="00C81855" w14:paraId="0052EE50" w14:textId="77777777" w:rsidTr="00061EFB">
        <w:trPr>
          <w:trHeight w:val="294"/>
        </w:trPr>
        <w:tc>
          <w:tcPr>
            <w:tcW w:w="1263" w:type="dxa"/>
            <w:tcBorders>
              <w:top w:val="nil"/>
              <w:left w:val="single" w:sz="8" w:space="0" w:color="auto"/>
              <w:bottom w:val="nil"/>
              <w:right w:val="single" w:sz="8" w:space="0" w:color="auto"/>
            </w:tcBorders>
            <w:shd w:val="clear" w:color="auto" w:fill="auto"/>
            <w:noWrap/>
            <w:vAlign w:val="bottom"/>
            <w:hideMark/>
          </w:tcPr>
          <w:p w14:paraId="56E42CC2" w14:textId="77777777" w:rsidR="00C81855" w:rsidRPr="00C81855" w:rsidRDefault="00C81855" w:rsidP="00C81855">
            <w:pPr>
              <w:spacing w:after="0" w:line="240" w:lineRule="auto"/>
              <w:jc w:val="left"/>
              <w:rPr>
                <w:rFonts w:eastAsia="Times New Roman" w:cs="Calibri"/>
                <w:color w:val="000000"/>
                <w:sz w:val="20"/>
                <w:szCs w:val="20"/>
                <w:lang w:eastAsia="es-CR"/>
              </w:rPr>
            </w:pPr>
            <w:r w:rsidRPr="00C81855">
              <w:rPr>
                <w:rFonts w:eastAsia="Times New Roman" w:cs="Calibri"/>
                <w:color w:val="000000"/>
                <w:sz w:val="20"/>
                <w:szCs w:val="20"/>
                <w:lang w:eastAsia="es-CR"/>
              </w:rPr>
              <w:t>5.1.2.08.01.</w:t>
            </w:r>
          </w:p>
        </w:tc>
        <w:tc>
          <w:tcPr>
            <w:tcW w:w="3247" w:type="dxa"/>
            <w:tcBorders>
              <w:top w:val="nil"/>
              <w:left w:val="nil"/>
              <w:bottom w:val="nil"/>
              <w:right w:val="single" w:sz="8" w:space="0" w:color="auto"/>
            </w:tcBorders>
            <w:shd w:val="clear" w:color="000000" w:fill="FFFFFF"/>
            <w:noWrap/>
            <w:vAlign w:val="bottom"/>
            <w:hideMark/>
          </w:tcPr>
          <w:p w14:paraId="0A95FAD4" w14:textId="77777777" w:rsidR="00C81855" w:rsidRPr="00C81855" w:rsidRDefault="00C81855" w:rsidP="00C81855">
            <w:pPr>
              <w:spacing w:after="0" w:line="240" w:lineRule="auto"/>
              <w:jc w:val="left"/>
              <w:rPr>
                <w:rFonts w:eastAsia="Times New Roman" w:cs="Calibri"/>
                <w:color w:val="000000"/>
                <w:sz w:val="20"/>
                <w:szCs w:val="20"/>
                <w:lang w:eastAsia="es-CR"/>
              </w:rPr>
            </w:pPr>
            <w:bookmarkStart w:id="916" w:name="_Hlk189124419"/>
            <w:r w:rsidRPr="00C81855">
              <w:rPr>
                <w:rFonts w:eastAsia="Times New Roman" w:cs="Calibri"/>
                <w:color w:val="000000"/>
                <w:sz w:val="20"/>
                <w:szCs w:val="20"/>
                <w:lang w:eastAsia="es-CR"/>
              </w:rPr>
              <w:t>Mantenimiento de edificios Varios</w:t>
            </w:r>
            <w:bookmarkEnd w:id="916"/>
          </w:p>
        </w:tc>
        <w:tc>
          <w:tcPr>
            <w:tcW w:w="1328" w:type="dxa"/>
            <w:tcBorders>
              <w:top w:val="nil"/>
              <w:left w:val="nil"/>
              <w:bottom w:val="nil"/>
              <w:right w:val="single" w:sz="8" w:space="0" w:color="auto"/>
            </w:tcBorders>
            <w:shd w:val="clear" w:color="auto" w:fill="auto"/>
            <w:noWrap/>
            <w:vAlign w:val="center"/>
            <w:hideMark/>
          </w:tcPr>
          <w:p w14:paraId="36C43D28" w14:textId="77777777" w:rsidR="00C81855" w:rsidRPr="00C81855" w:rsidRDefault="00C81855" w:rsidP="00C81855">
            <w:pPr>
              <w:spacing w:after="0" w:line="240" w:lineRule="auto"/>
              <w:jc w:val="right"/>
              <w:rPr>
                <w:rFonts w:eastAsia="Times New Roman" w:cs="Calibri"/>
                <w:sz w:val="20"/>
                <w:szCs w:val="20"/>
                <w:lang w:eastAsia="es-CR"/>
              </w:rPr>
            </w:pPr>
            <w:r w:rsidRPr="00C81855">
              <w:rPr>
                <w:rFonts w:ascii="Arial" w:eastAsia="Times New Roman" w:hAnsi="Arial" w:cs="Arial"/>
                <w:sz w:val="20"/>
                <w:szCs w:val="20"/>
                <w:lang w:eastAsia="es-CR"/>
              </w:rPr>
              <w:t>₡</w:t>
            </w:r>
            <w:r w:rsidRPr="00C81855">
              <w:rPr>
                <w:rFonts w:eastAsia="Times New Roman" w:cs="Calibri"/>
                <w:sz w:val="20"/>
                <w:szCs w:val="20"/>
                <w:lang w:eastAsia="es-CR"/>
              </w:rPr>
              <w:t>43 948,71</w:t>
            </w:r>
          </w:p>
        </w:tc>
        <w:tc>
          <w:tcPr>
            <w:tcW w:w="1918" w:type="dxa"/>
            <w:tcBorders>
              <w:top w:val="nil"/>
              <w:left w:val="nil"/>
              <w:bottom w:val="nil"/>
              <w:right w:val="single" w:sz="8" w:space="0" w:color="auto"/>
            </w:tcBorders>
            <w:shd w:val="clear" w:color="auto" w:fill="auto"/>
            <w:noWrap/>
            <w:vAlign w:val="center"/>
            <w:hideMark/>
          </w:tcPr>
          <w:p w14:paraId="216AEC78" w14:textId="77777777" w:rsidR="00C81855" w:rsidRPr="00C81855" w:rsidRDefault="00C81855" w:rsidP="00C81855">
            <w:pPr>
              <w:spacing w:after="0" w:line="240" w:lineRule="auto"/>
              <w:jc w:val="right"/>
              <w:rPr>
                <w:rFonts w:eastAsia="Times New Roman" w:cs="Calibri"/>
                <w:sz w:val="20"/>
                <w:szCs w:val="20"/>
                <w:lang w:eastAsia="es-CR"/>
              </w:rPr>
            </w:pPr>
            <w:r w:rsidRPr="00C81855">
              <w:rPr>
                <w:rFonts w:ascii="Arial" w:eastAsia="Times New Roman" w:hAnsi="Arial" w:cs="Arial"/>
                <w:sz w:val="20"/>
                <w:szCs w:val="20"/>
                <w:lang w:eastAsia="es-CR"/>
              </w:rPr>
              <w:t>₡</w:t>
            </w:r>
            <w:r w:rsidRPr="00C81855">
              <w:rPr>
                <w:rFonts w:eastAsia="Times New Roman" w:cs="Calibri"/>
                <w:sz w:val="20"/>
                <w:szCs w:val="20"/>
                <w:lang w:eastAsia="es-CR"/>
              </w:rPr>
              <w:t>15 364,23</w:t>
            </w:r>
          </w:p>
        </w:tc>
        <w:tc>
          <w:tcPr>
            <w:tcW w:w="1558" w:type="dxa"/>
            <w:tcBorders>
              <w:top w:val="nil"/>
              <w:left w:val="nil"/>
              <w:bottom w:val="nil"/>
              <w:right w:val="single" w:sz="8" w:space="0" w:color="auto"/>
            </w:tcBorders>
            <w:shd w:val="clear" w:color="auto" w:fill="auto"/>
            <w:noWrap/>
            <w:vAlign w:val="center"/>
            <w:hideMark/>
          </w:tcPr>
          <w:p w14:paraId="1DFE6F45" w14:textId="77777777" w:rsidR="00C81855" w:rsidRPr="00C81855" w:rsidRDefault="00C81855" w:rsidP="00C81855">
            <w:pPr>
              <w:spacing w:after="0" w:line="240" w:lineRule="auto"/>
              <w:jc w:val="right"/>
              <w:rPr>
                <w:rFonts w:eastAsia="Times New Roman" w:cs="Calibri"/>
                <w:color w:val="000000"/>
                <w:sz w:val="20"/>
                <w:szCs w:val="20"/>
                <w:lang w:eastAsia="es-CR"/>
              </w:rPr>
            </w:pPr>
            <w:r w:rsidRPr="00C81855">
              <w:rPr>
                <w:rFonts w:eastAsia="Times New Roman" w:cs="Calibri"/>
                <w:color w:val="000000"/>
                <w:sz w:val="20"/>
                <w:szCs w:val="20"/>
                <w:lang w:eastAsia="es-CR"/>
              </w:rPr>
              <w:t>28 584,48</w:t>
            </w:r>
          </w:p>
        </w:tc>
        <w:tc>
          <w:tcPr>
            <w:tcW w:w="457" w:type="dxa"/>
            <w:tcBorders>
              <w:top w:val="nil"/>
              <w:left w:val="nil"/>
              <w:bottom w:val="nil"/>
              <w:right w:val="single" w:sz="8" w:space="0" w:color="auto"/>
            </w:tcBorders>
            <w:shd w:val="clear" w:color="auto" w:fill="auto"/>
            <w:vAlign w:val="center"/>
            <w:hideMark/>
          </w:tcPr>
          <w:p w14:paraId="44FF5BF8" w14:textId="77777777" w:rsidR="00C81855" w:rsidRPr="00C81855" w:rsidRDefault="00C81855" w:rsidP="00C81855">
            <w:pPr>
              <w:spacing w:after="0" w:line="240" w:lineRule="auto"/>
              <w:jc w:val="center"/>
              <w:rPr>
                <w:rFonts w:eastAsia="Times New Roman" w:cs="Calibri"/>
                <w:color w:val="000000"/>
                <w:sz w:val="20"/>
                <w:szCs w:val="20"/>
                <w:lang w:eastAsia="es-CR"/>
              </w:rPr>
            </w:pPr>
            <w:r w:rsidRPr="00C81855">
              <w:rPr>
                <w:rFonts w:eastAsia="Times New Roman" w:cs="Calibri"/>
                <w:color w:val="000000"/>
                <w:sz w:val="20"/>
                <w:szCs w:val="20"/>
                <w:lang w:eastAsia="es-CR"/>
              </w:rPr>
              <w:t>186,05%</w:t>
            </w:r>
          </w:p>
        </w:tc>
        <w:tc>
          <w:tcPr>
            <w:tcW w:w="1149" w:type="dxa"/>
            <w:vAlign w:val="center"/>
            <w:hideMark/>
          </w:tcPr>
          <w:p w14:paraId="137811E3" w14:textId="77777777" w:rsidR="00C81855" w:rsidRPr="00C81855" w:rsidRDefault="00C81855" w:rsidP="00C81855">
            <w:pPr>
              <w:spacing w:after="0" w:line="240" w:lineRule="auto"/>
              <w:jc w:val="left"/>
              <w:rPr>
                <w:rFonts w:ascii="Times New Roman" w:eastAsia="Times New Roman" w:hAnsi="Times New Roman" w:cs="Times New Roman"/>
                <w:sz w:val="20"/>
                <w:szCs w:val="20"/>
                <w:lang w:eastAsia="es-CR"/>
              </w:rPr>
            </w:pPr>
          </w:p>
        </w:tc>
      </w:tr>
      <w:tr w:rsidR="00C81855" w:rsidRPr="00C81855" w14:paraId="059CF56B" w14:textId="77777777" w:rsidTr="00061EFB">
        <w:trPr>
          <w:trHeight w:val="514"/>
        </w:trPr>
        <w:tc>
          <w:tcPr>
            <w:tcW w:w="1263" w:type="dxa"/>
            <w:tcBorders>
              <w:top w:val="nil"/>
              <w:left w:val="single" w:sz="8" w:space="0" w:color="auto"/>
              <w:bottom w:val="nil"/>
              <w:right w:val="single" w:sz="8" w:space="0" w:color="auto"/>
            </w:tcBorders>
            <w:shd w:val="clear" w:color="auto" w:fill="auto"/>
            <w:noWrap/>
            <w:vAlign w:val="bottom"/>
            <w:hideMark/>
          </w:tcPr>
          <w:p w14:paraId="088D1310" w14:textId="77777777" w:rsidR="00C81855" w:rsidRPr="00C81855" w:rsidRDefault="00C81855" w:rsidP="00C81855">
            <w:pPr>
              <w:spacing w:after="0" w:line="240" w:lineRule="auto"/>
              <w:jc w:val="left"/>
              <w:rPr>
                <w:rFonts w:eastAsia="Times New Roman" w:cs="Calibri"/>
                <w:color w:val="000000"/>
                <w:sz w:val="20"/>
                <w:szCs w:val="20"/>
                <w:lang w:eastAsia="es-CR"/>
              </w:rPr>
            </w:pPr>
            <w:r w:rsidRPr="00C81855">
              <w:rPr>
                <w:rFonts w:eastAsia="Times New Roman" w:cs="Calibri"/>
                <w:color w:val="000000"/>
                <w:sz w:val="20"/>
                <w:szCs w:val="20"/>
                <w:lang w:eastAsia="es-CR"/>
              </w:rPr>
              <w:t>5.1.2.08.02.</w:t>
            </w:r>
          </w:p>
        </w:tc>
        <w:tc>
          <w:tcPr>
            <w:tcW w:w="3247" w:type="dxa"/>
            <w:tcBorders>
              <w:top w:val="nil"/>
              <w:left w:val="nil"/>
              <w:bottom w:val="nil"/>
              <w:right w:val="single" w:sz="8" w:space="0" w:color="auto"/>
            </w:tcBorders>
            <w:shd w:val="clear" w:color="000000" w:fill="FFFFFF"/>
            <w:vAlign w:val="bottom"/>
            <w:hideMark/>
          </w:tcPr>
          <w:p w14:paraId="2720EF6F" w14:textId="77777777" w:rsidR="00C81855" w:rsidRPr="00C81855" w:rsidRDefault="00C81855" w:rsidP="00C81855">
            <w:pPr>
              <w:spacing w:after="0" w:line="240" w:lineRule="auto"/>
              <w:jc w:val="left"/>
              <w:rPr>
                <w:rFonts w:eastAsia="Times New Roman" w:cs="Calibri"/>
                <w:color w:val="000000"/>
                <w:sz w:val="20"/>
                <w:szCs w:val="20"/>
                <w:lang w:eastAsia="es-CR"/>
              </w:rPr>
            </w:pPr>
            <w:r w:rsidRPr="00C81855">
              <w:rPr>
                <w:rFonts w:eastAsia="Times New Roman" w:cs="Calibri"/>
                <w:color w:val="000000"/>
                <w:sz w:val="20"/>
                <w:szCs w:val="20"/>
                <w:lang w:eastAsia="es-CR"/>
              </w:rPr>
              <w:t>Mantenimiento y reparación de maquinaria y equipos para la producción</w:t>
            </w:r>
          </w:p>
        </w:tc>
        <w:tc>
          <w:tcPr>
            <w:tcW w:w="1328" w:type="dxa"/>
            <w:tcBorders>
              <w:top w:val="nil"/>
              <w:left w:val="nil"/>
              <w:bottom w:val="nil"/>
              <w:right w:val="single" w:sz="8" w:space="0" w:color="auto"/>
            </w:tcBorders>
            <w:shd w:val="clear" w:color="auto" w:fill="auto"/>
            <w:noWrap/>
            <w:vAlign w:val="center"/>
            <w:hideMark/>
          </w:tcPr>
          <w:p w14:paraId="358E3408" w14:textId="77777777" w:rsidR="00C81855" w:rsidRPr="00C81855" w:rsidRDefault="00C81855" w:rsidP="00C81855">
            <w:pPr>
              <w:spacing w:after="0" w:line="240" w:lineRule="auto"/>
              <w:jc w:val="right"/>
              <w:rPr>
                <w:rFonts w:eastAsia="Times New Roman" w:cs="Calibri"/>
                <w:sz w:val="20"/>
                <w:szCs w:val="20"/>
                <w:lang w:eastAsia="es-CR"/>
              </w:rPr>
            </w:pPr>
            <w:r w:rsidRPr="00C81855">
              <w:rPr>
                <w:rFonts w:ascii="Arial" w:eastAsia="Times New Roman" w:hAnsi="Arial" w:cs="Arial"/>
                <w:sz w:val="20"/>
                <w:szCs w:val="20"/>
                <w:lang w:eastAsia="es-CR"/>
              </w:rPr>
              <w:t>₡</w:t>
            </w:r>
            <w:r w:rsidRPr="00C81855">
              <w:rPr>
                <w:rFonts w:eastAsia="Times New Roman" w:cs="Calibri"/>
                <w:sz w:val="20"/>
                <w:szCs w:val="20"/>
                <w:lang w:eastAsia="es-CR"/>
              </w:rPr>
              <w:t>0,00</w:t>
            </w:r>
          </w:p>
        </w:tc>
        <w:tc>
          <w:tcPr>
            <w:tcW w:w="1918" w:type="dxa"/>
            <w:tcBorders>
              <w:top w:val="nil"/>
              <w:left w:val="nil"/>
              <w:bottom w:val="nil"/>
              <w:right w:val="single" w:sz="8" w:space="0" w:color="auto"/>
            </w:tcBorders>
            <w:shd w:val="clear" w:color="auto" w:fill="auto"/>
            <w:noWrap/>
            <w:vAlign w:val="center"/>
            <w:hideMark/>
          </w:tcPr>
          <w:p w14:paraId="2B6EE2C6" w14:textId="77777777" w:rsidR="00C81855" w:rsidRPr="00C81855" w:rsidRDefault="00C81855" w:rsidP="00C81855">
            <w:pPr>
              <w:spacing w:after="0" w:line="240" w:lineRule="auto"/>
              <w:jc w:val="right"/>
              <w:rPr>
                <w:rFonts w:eastAsia="Times New Roman" w:cs="Calibri"/>
                <w:sz w:val="20"/>
                <w:szCs w:val="20"/>
                <w:lang w:eastAsia="es-CR"/>
              </w:rPr>
            </w:pPr>
            <w:r w:rsidRPr="00C81855">
              <w:rPr>
                <w:rFonts w:ascii="Arial" w:eastAsia="Times New Roman" w:hAnsi="Arial" w:cs="Arial"/>
                <w:sz w:val="20"/>
                <w:szCs w:val="20"/>
                <w:lang w:eastAsia="es-CR"/>
              </w:rPr>
              <w:t>₡</w:t>
            </w:r>
            <w:r w:rsidRPr="00C81855">
              <w:rPr>
                <w:rFonts w:eastAsia="Times New Roman" w:cs="Calibri"/>
                <w:sz w:val="20"/>
                <w:szCs w:val="20"/>
                <w:lang w:eastAsia="es-CR"/>
              </w:rPr>
              <w:t>44 677,60</w:t>
            </w:r>
          </w:p>
        </w:tc>
        <w:tc>
          <w:tcPr>
            <w:tcW w:w="1558" w:type="dxa"/>
            <w:tcBorders>
              <w:top w:val="nil"/>
              <w:left w:val="nil"/>
              <w:bottom w:val="nil"/>
              <w:right w:val="single" w:sz="8" w:space="0" w:color="auto"/>
            </w:tcBorders>
            <w:shd w:val="clear" w:color="auto" w:fill="auto"/>
            <w:noWrap/>
            <w:vAlign w:val="center"/>
            <w:hideMark/>
          </w:tcPr>
          <w:p w14:paraId="57FE8937" w14:textId="77777777" w:rsidR="00C81855" w:rsidRPr="00C81855" w:rsidRDefault="00C81855" w:rsidP="00C81855">
            <w:pPr>
              <w:spacing w:after="0" w:line="240" w:lineRule="auto"/>
              <w:jc w:val="right"/>
              <w:rPr>
                <w:rFonts w:eastAsia="Times New Roman" w:cs="Calibri"/>
                <w:color w:val="000000"/>
                <w:sz w:val="20"/>
                <w:szCs w:val="20"/>
                <w:lang w:eastAsia="es-CR"/>
              </w:rPr>
            </w:pPr>
            <w:r w:rsidRPr="00C81855">
              <w:rPr>
                <w:rFonts w:eastAsia="Times New Roman" w:cs="Calibri"/>
                <w:color w:val="000000"/>
                <w:sz w:val="20"/>
                <w:szCs w:val="20"/>
                <w:lang w:eastAsia="es-CR"/>
              </w:rPr>
              <w:t>-44 677,60</w:t>
            </w:r>
          </w:p>
        </w:tc>
        <w:tc>
          <w:tcPr>
            <w:tcW w:w="457" w:type="dxa"/>
            <w:tcBorders>
              <w:top w:val="nil"/>
              <w:left w:val="nil"/>
              <w:bottom w:val="nil"/>
              <w:right w:val="single" w:sz="8" w:space="0" w:color="auto"/>
            </w:tcBorders>
            <w:shd w:val="clear" w:color="auto" w:fill="auto"/>
            <w:vAlign w:val="center"/>
            <w:hideMark/>
          </w:tcPr>
          <w:p w14:paraId="5AE2E12A" w14:textId="77777777" w:rsidR="00C81855" w:rsidRPr="00C81855" w:rsidRDefault="00C81855" w:rsidP="00C81855">
            <w:pPr>
              <w:spacing w:after="0" w:line="240" w:lineRule="auto"/>
              <w:jc w:val="center"/>
              <w:rPr>
                <w:rFonts w:eastAsia="Times New Roman" w:cs="Calibri"/>
                <w:color w:val="000000"/>
                <w:sz w:val="20"/>
                <w:szCs w:val="20"/>
                <w:lang w:eastAsia="es-CR"/>
              </w:rPr>
            </w:pPr>
            <w:r w:rsidRPr="00C81855">
              <w:rPr>
                <w:rFonts w:eastAsia="Times New Roman" w:cs="Calibri"/>
                <w:color w:val="000000"/>
                <w:sz w:val="20"/>
                <w:szCs w:val="20"/>
                <w:lang w:eastAsia="es-CR"/>
              </w:rPr>
              <w:t>-100,00%</w:t>
            </w:r>
          </w:p>
        </w:tc>
        <w:tc>
          <w:tcPr>
            <w:tcW w:w="1149" w:type="dxa"/>
            <w:vAlign w:val="center"/>
            <w:hideMark/>
          </w:tcPr>
          <w:p w14:paraId="4CE4EE76" w14:textId="77777777" w:rsidR="00C81855" w:rsidRPr="00C81855" w:rsidRDefault="00C81855" w:rsidP="00C81855">
            <w:pPr>
              <w:spacing w:after="0" w:line="240" w:lineRule="auto"/>
              <w:jc w:val="left"/>
              <w:rPr>
                <w:rFonts w:ascii="Times New Roman" w:eastAsia="Times New Roman" w:hAnsi="Times New Roman" w:cs="Times New Roman"/>
                <w:sz w:val="20"/>
                <w:szCs w:val="20"/>
                <w:lang w:eastAsia="es-CR"/>
              </w:rPr>
            </w:pPr>
          </w:p>
        </w:tc>
      </w:tr>
      <w:tr w:rsidR="00C81855" w:rsidRPr="00C81855" w14:paraId="6003A03B" w14:textId="77777777" w:rsidTr="00061EFB">
        <w:trPr>
          <w:trHeight w:val="514"/>
        </w:trPr>
        <w:tc>
          <w:tcPr>
            <w:tcW w:w="1263" w:type="dxa"/>
            <w:tcBorders>
              <w:top w:val="nil"/>
              <w:left w:val="single" w:sz="8" w:space="0" w:color="auto"/>
              <w:bottom w:val="nil"/>
              <w:right w:val="single" w:sz="8" w:space="0" w:color="auto"/>
            </w:tcBorders>
            <w:shd w:val="clear" w:color="auto" w:fill="auto"/>
            <w:noWrap/>
            <w:vAlign w:val="bottom"/>
            <w:hideMark/>
          </w:tcPr>
          <w:p w14:paraId="717FC776" w14:textId="77777777" w:rsidR="00C81855" w:rsidRPr="00C81855" w:rsidRDefault="00C81855" w:rsidP="00C81855">
            <w:pPr>
              <w:spacing w:after="0" w:line="240" w:lineRule="auto"/>
              <w:jc w:val="left"/>
              <w:rPr>
                <w:rFonts w:eastAsia="Times New Roman" w:cs="Calibri"/>
                <w:color w:val="000000"/>
                <w:sz w:val="20"/>
                <w:szCs w:val="20"/>
                <w:lang w:eastAsia="es-CR"/>
              </w:rPr>
            </w:pPr>
            <w:r w:rsidRPr="00C81855">
              <w:rPr>
                <w:rFonts w:eastAsia="Times New Roman" w:cs="Calibri"/>
                <w:color w:val="000000"/>
                <w:sz w:val="20"/>
                <w:szCs w:val="20"/>
                <w:lang w:eastAsia="es-CR"/>
              </w:rPr>
              <w:t>5.1.2.08.03.</w:t>
            </w:r>
          </w:p>
        </w:tc>
        <w:tc>
          <w:tcPr>
            <w:tcW w:w="3247" w:type="dxa"/>
            <w:tcBorders>
              <w:top w:val="nil"/>
              <w:left w:val="nil"/>
              <w:bottom w:val="nil"/>
              <w:right w:val="single" w:sz="8" w:space="0" w:color="auto"/>
            </w:tcBorders>
            <w:shd w:val="clear" w:color="auto" w:fill="auto"/>
            <w:vAlign w:val="bottom"/>
            <w:hideMark/>
          </w:tcPr>
          <w:p w14:paraId="4E13DF8B" w14:textId="77777777" w:rsidR="00C81855" w:rsidRPr="00C81855" w:rsidRDefault="00C81855" w:rsidP="00C81855">
            <w:pPr>
              <w:spacing w:after="0" w:line="240" w:lineRule="auto"/>
              <w:jc w:val="left"/>
              <w:rPr>
                <w:rFonts w:eastAsia="Times New Roman" w:cs="Calibri"/>
                <w:color w:val="000000"/>
                <w:sz w:val="20"/>
                <w:szCs w:val="20"/>
                <w:lang w:eastAsia="es-CR"/>
              </w:rPr>
            </w:pPr>
            <w:r w:rsidRPr="00C81855">
              <w:rPr>
                <w:rFonts w:eastAsia="Times New Roman" w:cs="Calibri"/>
                <w:color w:val="000000"/>
                <w:sz w:val="20"/>
                <w:szCs w:val="20"/>
                <w:lang w:eastAsia="es-CR"/>
              </w:rPr>
              <w:t>Mantenimiento y reparación de equipos de transporte, tracción y elevación</w:t>
            </w:r>
          </w:p>
        </w:tc>
        <w:tc>
          <w:tcPr>
            <w:tcW w:w="1328" w:type="dxa"/>
            <w:tcBorders>
              <w:top w:val="nil"/>
              <w:left w:val="nil"/>
              <w:bottom w:val="nil"/>
              <w:right w:val="single" w:sz="8" w:space="0" w:color="auto"/>
            </w:tcBorders>
            <w:shd w:val="clear" w:color="auto" w:fill="auto"/>
            <w:noWrap/>
            <w:vAlign w:val="center"/>
            <w:hideMark/>
          </w:tcPr>
          <w:p w14:paraId="6B73C411" w14:textId="77777777" w:rsidR="00C81855" w:rsidRPr="00C81855" w:rsidRDefault="00C81855" w:rsidP="00C81855">
            <w:pPr>
              <w:spacing w:after="0" w:line="240" w:lineRule="auto"/>
              <w:jc w:val="right"/>
              <w:rPr>
                <w:rFonts w:eastAsia="Times New Roman" w:cs="Calibri"/>
                <w:sz w:val="20"/>
                <w:szCs w:val="20"/>
                <w:lang w:eastAsia="es-CR"/>
              </w:rPr>
            </w:pPr>
            <w:r w:rsidRPr="00C81855">
              <w:rPr>
                <w:rFonts w:ascii="Arial" w:eastAsia="Times New Roman" w:hAnsi="Arial" w:cs="Arial"/>
                <w:sz w:val="20"/>
                <w:szCs w:val="20"/>
                <w:lang w:eastAsia="es-CR"/>
              </w:rPr>
              <w:t>₡</w:t>
            </w:r>
            <w:r w:rsidRPr="00C81855">
              <w:rPr>
                <w:rFonts w:eastAsia="Times New Roman" w:cs="Calibri"/>
                <w:sz w:val="20"/>
                <w:szCs w:val="20"/>
                <w:lang w:eastAsia="es-CR"/>
              </w:rPr>
              <w:t>23 800,57</w:t>
            </w:r>
          </w:p>
        </w:tc>
        <w:tc>
          <w:tcPr>
            <w:tcW w:w="1918" w:type="dxa"/>
            <w:tcBorders>
              <w:top w:val="nil"/>
              <w:left w:val="nil"/>
              <w:bottom w:val="nil"/>
              <w:right w:val="single" w:sz="8" w:space="0" w:color="auto"/>
            </w:tcBorders>
            <w:shd w:val="clear" w:color="auto" w:fill="auto"/>
            <w:noWrap/>
            <w:vAlign w:val="center"/>
            <w:hideMark/>
          </w:tcPr>
          <w:p w14:paraId="5335A195" w14:textId="77777777" w:rsidR="00C81855" w:rsidRPr="00C81855" w:rsidRDefault="00C81855" w:rsidP="00C81855">
            <w:pPr>
              <w:spacing w:after="0" w:line="240" w:lineRule="auto"/>
              <w:jc w:val="right"/>
              <w:rPr>
                <w:rFonts w:eastAsia="Times New Roman" w:cs="Calibri"/>
                <w:sz w:val="20"/>
                <w:szCs w:val="20"/>
                <w:lang w:eastAsia="es-CR"/>
              </w:rPr>
            </w:pPr>
            <w:r w:rsidRPr="00C81855">
              <w:rPr>
                <w:rFonts w:ascii="Arial" w:eastAsia="Times New Roman" w:hAnsi="Arial" w:cs="Arial"/>
                <w:sz w:val="20"/>
                <w:szCs w:val="20"/>
                <w:lang w:eastAsia="es-CR"/>
              </w:rPr>
              <w:t>₡</w:t>
            </w:r>
            <w:r w:rsidRPr="00C81855">
              <w:rPr>
                <w:rFonts w:eastAsia="Times New Roman" w:cs="Calibri"/>
                <w:sz w:val="20"/>
                <w:szCs w:val="20"/>
                <w:lang w:eastAsia="es-CR"/>
              </w:rPr>
              <w:t>22 362,93</w:t>
            </w:r>
          </w:p>
        </w:tc>
        <w:tc>
          <w:tcPr>
            <w:tcW w:w="1558" w:type="dxa"/>
            <w:tcBorders>
              <w:top w:val="nil"/>
              <w:left w:val="nil"/>
              <w:bottom w:val="nil"/>
              <w:right w:val="single" w:sz="8" w:space="0" w:color="auto"/>
            </w:tcBorders>
            <w:shd w:val="clear" w:color="auto" w:fill="auto"/>
            <w:noWrap/>
            <w:vAlign w:val="center"/>
            <w:hideMark/>
          </w:tcPr>
          <w:p w14:paraId="4B84B010" w14:textId="77777777" w:rsidR="00C81855" w:rsidRPr="00C81855" w:rsidRDefault="00C81855" w:rsidP="00C81855">
            <w:pPr>
              <w:spacing w:after="0" w:line="240" w:lineRule="auto"/>
              <w:jc w:val="right"/>
              <w:rPr>
                <w:rFonts w:eastAsia="Times New Roman" w:cs="Calibri"/>
                <w:color w:val="000000"/>
                <w:sz w:val="20"/>
                <w:szCs w:val="20"/>
                <w:lang w:eastAsia="es-CR"/>
              </w:rPr>
            </w:pPr>
            <w:bookmarkStart w:id="917" w:name="_Hlk189124473"/>
            <w:r w:rsidRPr="00C81855">
              <w:rPr>
                <w:rFonts w:eastAsia="Times New Roman" w:cs="Calibri"/>
                <w:color w:val="000000"/>
                <w:sz w:val="20"/>
                <w:szCs w:val="20"/>
                <w:lang w:eastAsia="es-CR"/>
              </w:rPr>
              <w:t>1 437,64</w:t>
            </w:r>
            <w:bookmarkEnd w:id="917"/>
          </w:p>
        </w:tc>
        <w:tc>
          <w:tcPr>
            <w:tcW w:w="457" w:type="dxa"/>
            <w:tcBorders>
              <w:top w:val="nil"/>
              <w:left w:val="nil"/>
              <w:bottom w:val="nil"/>
              <w:right w:val="single" w:sz="8" w:space="0" w:color="auto"/>
            </w:tcBorders>
            <w:shd w:val="clear" w:color="auto" w:fill="auto"/>
            <w:vAlign w:val="center"/>
            <w:hideMark/>
          </w:tcPr>
          <w:p w14:paraId="3C6334F9" w14:textId="77777777" w:rsidR="00C81855" w:rsidRPr="00C81855" w:rsidRDefault="00C81855" w:rsidP="00C81855">
            <w:pPr>
              <w:spacing w:after="0" w:line="240" w:lineRule="auto"/>
              <w:jc w:val="center"/>
              <w:rPr>
                <w:rFonts w:eastAsia="Times New Roman" w:cs="Calibri"/>
                <w:color w:val="000000"/>
                <w:sz w:val="20"/>
                <w:szCs w:val="20"/>
                <w:lang w:eastAsia="es-CR"/>
              </w:rPr>
            </w:pPr>
            <w:r w:rsidRPr="00C81855">
              <w:rPr>
                <w:rFonts w:eastAsia="Times New Roman" w:cs="Calibri"/>
                <w:color w:val="000000"/>
                <w:sz w:val="20"/>
                <w:szCs w:val="20"/>
                <w:lang w:eastAsia="es-CR"/>
              </w:rPr>
              <w:t>6,43%</w:t>
            </w:r>
          </w:p>
        </w:tc>
        <w:tc>
          <w:tcPr>
            <w:tcW w:w="1149" w:type="dxa"/>
            <w:vAlign w:val="center"/>
            <w:hideMark/>
          </w:tcPr>
          <w:p w14:paraId="44F40228" w14:textId="77777777" w:rsidR="00C81855" w:rsidRPr="00C81855" w:rsidRDefault="00C81855" w:rsidP="00C81855">
            <w:pPr>
              <w:spacing w:after="0" w:line="240" w:lineRule="auto"/>
              <w:jc w:val="left"/>
              <w:rPr>
                <w:rFonts w:ascii="Times New Roman" w:eastAsia="Times New Roman" w:hAnsi="Times New Roman" w:cs="Times New Roman"/>
                <w:sz w:val="20"/>
                <w:szCs w:val="20"/>
                <w:lang w:eastAsia="es-CR"/>
              </w:rPr>
            </w:pPr>
          </w:p>
        </w:tc>
      </w:tr>
      <w:tr w:rsidR="00C81855" w:rsidRPr="00C81855" w14:paraId="52F30AC5" w14:textId="77777777" w:rsidTr="00061EFB">
        <w:trPr>
          <w:trHeight w:val="514"/>
        </w:trPr>
        <w:tc>
          <w:tcPr>
            <w:tcW w:w="1263" w:type="dxa"/>
            <w:tcBorders>
              <w:top w:val="nil"/>
              <w:left w:val="single" w:sz="8" w:space="0" w:color="auto"/>
              <w:bottom w:val="nil"/>
              <w:right w:val="single" w:sz="8" w:space="0" w:color="auto"/>
            </w:tcBorders>
            <w:shd w:val="clear" w:color="auto" w:fill="auto"/>
            <w:noWrap/>
            <w:vAlign w:val="bottom"/>
            <w:hideMark/>
          </w:tcPr>
          <w:p w14:paraId="0626E043" w14:textId="77777777" w:rsidR="00C81855" w:rsidRPr="00C81855" w:rsidRDefault="00C81855" w:rsidP="00C81855">
            <w:pPr>
              <w:spacing w:after="0" w:line="240" w:lineRule="auto"/>
              <w:jc w:val="left"/>
              <w:rPr>
                <w:rFonts w:eastAsia="Times New Roman" w:cs="Calibri"/>
                <w:color w:val="000000"/>
                <w:sz w:val="20"/>
                <w:szCs w:val="20"/>
                <w:lang w:eastAsia="es-CR"/>
              </w:rPr>
            </w:pPr>
            <w:r w:rsidRPr="00C81855">
              <w:rPr>
                <w:rFonts w:eastAsia="Times New Roman" w:cs="Calibri"/>
                <w:color w:val="000000"/>
                <w:sz w:val="20"/>
                <w:szCs w:val="20"/>
                <w:lang w:eastAsia="es-CR"/>
              </w:rPr>
              <w:t>5.1.2.08.04.</w:t>
            </w:r>
          </w:p>
        </w:tc>
        <w:tc>
          <w:tcPr>
            <w:tcW w:w="3247" w:type="dxa"/>
            <w:tcBorders>
              <w:top w:val="nil"/>
              <w:left w:val="nil"/>
              <w:bottom w:val="nil"/>
              <w:right w:val="single" w:sz="8" w:space="0" w:color="auto"/>
            </w:tcBorders>
            <w:shd w:val="clear" w:color="auto" w:fill="auto"/>
            <w:vAlign w:val="bottom"/>
            <w:hideMark/>
          </w:tcPr>
          <w:p w14:paraId="1C76223D" w14:textId="77777777" w:rsidR="00C81855" w:rsidRPr="00C81855" w:rsidRDefault="00C81855" w:rsidP="00C81855">
            <w:pPr>
              <w:spacing w:after="0" w:line="240" w:lineRule="auto"/>
              <w:jc w:val="left"/>
              <w:rPr>
                <w:rFonts w:eastAsia="Times New Roman" w:cs="Calibri"/>
                <w:color w:val="000000"/>
                <w:sz w:val="20"/>
                <w:szCs w:val="20"/>
                <w:lang w:eastAsia="es-CR"/>
              </w:rPr>
            </w:pPr>
            <w:r w:rsidRPr="00C81855">
              <w:rPr>
                <w:rFonts w:eastAsia="Times New Roman" w:cs="Calibri"/>
                <w:color w:val="000000"/>
                <w:sz w:val="20"/>
                <w:szCs w:val="20"/>
                <w:lang w:eastAsia="es-CR"/>
              </w:rPr>
              <w:t>Mantenimiento y reparación de equipos de comunicación</w:t>
            </w:r>
          </w:p>
        </w:tc>
        <w:tc>
          <w:tcPr>
            <w:tcW w:w="1328" w:type="dxa"/>
            <w:tcBorders>
              <w:top w:val="nil"/>
              <w:left w:val="nil"/>
              <w:bottom w:val="nil"/>
              <w:right w:val="single" w:sz="8" w:space="0" w:color="auto"/>
            </w:tcBorders>
            <w:shd w:val="clear" w:color="auto" w:fill="auto"/>
            <w:noWrap/>
            <w:vAlign w:val="center"/>
            <w:hideMark/>
          </w:tcPr>
          <w:p w14:paraId="7B0C44F7" w14:textId="77777777" w:rsidR="00C81855" w:rsidRPr="00C81855" w:rsidRDefault="00C81855" w:rsidP="00C81855">
            <w:pPr>
              <w:spacing w:after="0" w:line="240" w:lineRule="auto"/>
              <w:jc w:val="right"/>
              <w:rPr>
                <w:rFonts w:eastAsia="Times New Roman" w:cs="Calibri"/>
                <w:sz w:val="20"/>
                <w:szCs w:val="20"/>
                <w:lang w:eastAsia="es-CR"/>
              </w:rPr>
            </w:pPr>
            <w:r w:rsidRPr="00C81855">
              <w:rPr>
                <w:rFonts w:ascii="Arial" w:eastAsia="Times New Roman" w:hAnsi="Arial" w:cs="Arial"/>
                <w:sz w:val="20"/>
                <w:szCs w:val="20"/>
                <w:lang w:eastAsia="es-CR"/>
              </w:rPr>
              <w:t>₡</w:t>
            </w:r>
            <w:r w:rsidRPr="00C81855">
              <w:rPr>
                <w:rFonts w:eastAsia="Times New Roman" w:cs="Calibri"/>
                <w:sz w:val="20"/>
                <w:szCs w:val="20"/>
                <w:lang w:eastAsia="es-CR"/>
              </w:rPr>
              <w:t>503,50</w:t>
            </w:r>
          </w:p>
        </w:tc>
        <w:tc>
          <w:tcPr>
            <w:tcW w:w="1918" w:type="dxa"/>
            <w:tcBorders>
              <w:top w:val="nil"/>
              <w:left w:val="nil"/>
              <w:bottom w:val="nil"/>
              <w:right w:val="single" w:sz="8" w:space="0" w:color="auto"/>
            </w:tcBorders>
            <w:shd w:val="clear" w:color="auto" w:fill="auto"/>
            <w:noWrap/>
            <w:vAlign w:val="center"/>
            <w:hideMark/>
          </w:tcPr>
          <w:p w14:paraId="20BEAA86" w14:textId="77777777" w:rsidR="00C81855" w:rsidRPr="00C81855" w:rsidRDefault="00C81855" w:rsidP="00C81855">
            <w:pPr>
              <w:spacing w:after="0" w:line="240" w:lineRule="auto"/>
              <w:jc w:val="right"/>
              <w:rPr>
                <w:rFonts w:eastAsia="Times New Roman" w:cs="Calibri"/>
                <w:sz w:val="20"/>
                <w:szCs w:val="20"/>
                <w:lang w:eastAsia="es-CR"/>
              </w:rPr>
            </w:pPr>
            <w:r w:rsidRPr="00C81855">
              <w:rPr>
                <w:rFonts w:ascii="Arial" w:eastAsia="Times New Roman" w:hAnsi="Arial" w:cs="Arial"/>
                <w:sz w:val="20"/>
                <w:szCs w:val="20"/>
                <w:lang w:eastAsia="es-CR"/>
              </w:rPr>
              <w:t>₡</w:t>
            </w:r>
            <w:r w:rsidRPr="00C81855">
              <w:rPr>
                <w:rFonts w:eastAsia="Times New Roman" w:cs="Calibri"/>
                <w:sz w:val="20"/>
                <w:szCs w:val="20"/>
                <w:lang w:eastAsia="es-CR"/>
              </w:rPr>
              <w:t>0,00</w:t>
            </w:r>
          </w:p>
        </w:tc>
        <w:tc>
          <w:tcPr>
            <w:tcW w:w="1558" w:type="dxa"/>
            <w:tcBorders>
              <w:top w:val="nil"/>
              <w:left w:val="nil"/>
              <w:bottom w:val="nil"/>
              <w:right w:val="single" w:sz="8" w:space="0" w:color="auto"/>
            </w:tcBorders>
            <w:shd w:val="clear" w:color="auto" w:fill="auto"/>
            <w:noWrap/>
            <w:vAlign w:val="center"/>
            <w:hideMark/>
          </w:tcPr>
          <w:p w14:paraId="4DA094A5" w14:textId="77777777" w:rsidR="00C81855" w:rsidRPr="00C81855" w:rsidRDefault="00C81855" w:rsidP="00C81855">
            <w:pPr>
              <w:spacing w:after="0" w:line="240" w:lineRule="auto"/>
              <w:jc w:val="right"/>
              <w:rPr>
                <w:rFonts w:eastAsia="Times New Roman" w:cs="Calibri"/>
                <w:color w:val="000000"/>
                <w:sz w:val="20"/>
                <w:szCs w:val="20"/>
                <w:lang w:eastAsia="es-CR"/>
              </w:rPr>
            </w:pPr>
            <w:r w:rsidRPr="00C81855">
              <w:rPr>
                <w:rFonts w:eastAsia="Times New Roman" w:cs="Calibri"/>
                <w:color w:val="000000"/>
                <w:sz w:val="20"/>
                <w:szCs w:val="20"/>
                <w:lang w:eastAsia="es-CR"/>
              </w:rPr>
              <w:t>503,50</w:t>
            </w:r>
          </w:p>
        </w:tc>
        <w:tc>
          <w:tcPr>
            <w:tcW w:w="457" w:type="dxa"/>
            <w:tcBorders>
              <w:top w:val="nil"/>
              <w:left w:val="nil"/>
              <w:bottom w:val="nil"/>
              <w:right w:val="single" w:sz="8" w:space="0" w:color="auto"/>
            </w:tcBorders>
            <w:shd w:val="clear" w:color="auto" w:fill="auto"/>
            <w:vAlign w:val="center"/>
            <w:hideMark/>
          </w:tcPr>
          <w:p w14:paraId="24736019" w14:textId="77777777" w:rsidR="00C81855" w:rsidRPr="00C81855" w:rsidRDefault="00C81855" w:rsidP="00C81855">
            <w:pPr>
              <w:spacing w:after="0" w:line="240" w:lineRule="auto"/>
              <w:jc w:val="center"/>
              <w:rPr>
                <w:rFonts w:eastAsia="Times New Roman" w:cs="Calibri"/>
                <w:color w:val="000000"/>
                <w:sz w:val="20"/>
                <w:szCs w:val="20"/>
                <w:lang w:eastAsia="es-CR"/>
              </w:rPr>
            </w:pPr>
            <w:r w:rsidRPr="00C81855">
              <w:rPr>
                <w:rFonts w:eastAsia="Times New Roman" w:cs="Calibri"/>
                <w:color w:val="000000"/>
                <w:sz w:val="20"/>
                <w:szCs w:val="20"/>
                <w:lang w:eastAsia="es-CR"/>
              </w:rPr>
              <w:t>#¡DIV/0!</w:t>
            </w:r>
          </w:p>
        </w:tc>
        <w:tc>
          <w:tcPr>
            <w:tcW w:w="1149" w:type="dxa"/>
            <w:vAlign w:val="center"/>
            <w:hideMark/>
          </w:tcPr>
          <w:p w14:paraId="793A76F8" w14:textId="77777777" w:rsidR="00C81855" w:rsidRPr="00C81855" w:rsidRDefault="00C81855" w:rsidP="00C81855">
            <w:pPr>
              <w:spacing w:after="0" w:line="240" w:lineRule="auto"/>
              <w:jc w:val="left"/>
              <w:rPr>
                <w:rFonts w:ascii="Times New Roman" w:eastAsia="Times New Roman" w:hAnsi="Times New Roman" w:cs="Times New Roman"/>
                <w:sz w:val="20"/>
                <w:szCs w:val="20"/>
                <w:lang w:eastAsia="es-CR"/>
              </w:rPr>
            </w:pPr>
          </w:p>
        </w:tc>
      </w:tr>
      <w:tr w:rsidR="00C81855" w:rsidRPr="00C81855" w14:paraId="6248BB9F" w14:textId="77777777" w:rsidTr="00061EFB">
        <w:trPr>
          <w:trHeight w:val="514"/>
        </w:trPr>
        <w:tc>
          <w:tcPr>
            <w:tcW w:w="1263" w:type="dxa"/>
            <w:tcBorders>
              <w:top w:val="nil"/>
              <w:left w:val="single" w:sz="8" w:space="0" w:color="auto"/>
              <w:bottom w:val="nil"/>
              <w:right w:val="single" w:sz="8" w:space="0" w:color="auto"/>
            </w:tcBorders>
            <w:shd w:val="clear" w:color="auto" w:fill="auto"/>
            <w:noWrap/>
            <w:vAlign w:val="bottom"/>
            <w:hideMark/>
          </w:tcPr>
          <w:p w14:paraId="50F0F903" w14:textId="77777777" w:rsidR="00C81855" w:rsidRPr="00C81855" w:rsidRDefault="00C81855" w:rsidP="00C81855">
            <w:pPr>
              <w:spacing w:after="0" w:line="240" w:lineRule="auto"/>
              <w:jc w:val="left"/>
              <w:rPr>
                <w:rFonts w:eastAsia="Times New Roman" w:cs="Calibri"/>
                <w:color w:val="000000"/>
                <w:sz w:val="20"/>
                <w:szCs w:val="20"/>
                <w:lang w:eastAsia="es-CR"/>
              </w:rPr>
            </w:pPr>
            <w:r w:rsidRPr="00C81855">
              <w:rPr>
                <w:rFonts w:eastAsia="Times New Roman" w:cs="Calibri"/>
                <w:color w:val="000000"/>
                <w:sz w:val="20"/>
                <w:szCs w:val="20"/>
                <w:lang w:eastAsia="es-CR"/>
              </w:rPr>
              <w:t>5.1.2.08.05.</w:t>
            </w:r>
          </w:p>
        </w:tc>
        <w:tc>
          <w:tcPr>
            <w:tcW w:w="3247" w:type="dxa"/>
            <w:tcBorders>
              <w:top w:val="nil"/>
              <w:left w:val="nil"/>
              <w:bottom w:val="nil"/>
              <w:right w:val="single" w:sz="8" w:space="0" w:color="auto"/>
            </w:tcBorders>
            <w:shd w:val="clear" w:color="auto" w:fill="auto"/>
            <w:vAlign w:val="bottom"/>
            <w:hideMark/>
          </w:tcPr>
          <w:p w14:paraId="478DD2F0" w14:textId="77777777" w:rsidR="00C81855" w:rsidRPr="00C81855" w:rsidRDefault="00C81855" w:rsidP="00C81855">
            <w:pPr>
              <w:spacing w:after="0" w:line="240" w:lineRule="auto"/>
              <w:jc w:val="left"/>
              <w:rPr>
                <w:rFonts w:eastAsia="Times New Roman" w:cs="Calibri"/>
                <w:color w:val="000000"/>
                <w:sz w:val="20"/>
                <w:szCs w:val="20"/>
                <w:lang w:eastAsia="es-CR"/>
              </w:rPr>
            </w:pPr>
            <w:r w:rsidRPr="00C81855">
              <w:rPr>
                <w:rFonts w:eastAsia="Times New Roman" w:cs="Calibri"/>
                <w:color w:val="000000"/>
                <w:sz w:val="20"/>
                <w:szCs w:val="20"/>
                <w:lang w:eastAsia="es-CR"/>
              </w:rPr>
              <w:t>Mantenimiento y reparación de equipos y mobiliario de oficina</w:t>
            </w:r>
          </w:p>
        </w:tc>
        <w:tc>
          <w:tcPr>
            <w:tcW w:w="1328" w:type="dxa"/>
            <w:tcBorders>
              <w:top w:val="nil"/>
              <w:left w:val="nil"/>
              <w:bottom w:val="nil"/>
              <w:right w:val="single" w:sz="8" w:space="0" w:color="auto"/>
            </w:tcBorders>
            <w:shd w:val="clear" w:color="auto" w:fill="auto"/>
            <w:noWrap/>
            <w:vAlign w:val="center"/>
            <w:hideMark/>
          </w:tcPr>
          <w:p w14:paraId="26E21BC7" w14:textId="77777777" w:rsidR="00C81855" w:rsidRPr="00C81855" w:rsidRDefault="00C81855" w:rsidP="00C81855">
            <w:pPr>
              <w:spacing w:after="0" w:line="240" w:lineRule="auto"/>
              <w:jc w:val="right"/>
              <w:rPr>
                <w:rFonts w:eastAsia="Times New Roman" w:cs="Calibri"/>
                <w:sz w:val="20"/>
                <w:szCs w:val="20"/>
                <w:lang w:eastAsia="es-CR"/>
              </w:rPr>
            </w:pPr>
            <w:r w:rsidRPr="00C81855">
              <w:rPr>
                <w:rFonts w:ascii="Arial" w:eastAsia="Times New Roman" w:hAnsi="Arial" w:cs="Arial"/>
                <w:sz w:val="20"/>
                <w:szCs w:val="20"/>
                <w:lang w:eastAsia="es-CR"/>
              </w:rPr>
              <w:t>₡</w:t>
            </w:r>
            <w:r w:rsidRPr="00C81855">
              <w:rPr>
                <w:rFonts w:eastAsia="Times New Roman" w:cs="Calibri"/>
                <w:sz w:val="20"/>
                <w:szCs w:val="20"/>
                <w:lang w:eastAsia="es-CR"/>
              </w:rPr>
              <w:t>605,00</w:t>
            </w:r>
          </w:p>
        </w:tc>
        <w:tc>
          <w:tcPr>
            <w:tcW w:w="1918" w:type="dxa"/>
            <w:tcBorders>
              <w:top w:val="nil"/>
              <w:left w:val="nil"/>
              <w:bottom w:val="nil"/>
              <w:right w:val="single" w:sz="8" w:space="0" w:color="auto"/>
            </w:tcBorders>
            <w:shd w:val="clear" w:color="auto" w:fill="auto"/>
            <w:noWrap/>
            <w:vAlign w:val="center"/>
            <w:hideMark/>
          </w:tcPr>
          <w:p w14:paraId="4B506BEC" w14:textId="77777777" w:rsidR="00C81855" w:rsidRPr="00C81855" w:rsidRDefault="00C81855" w:rsidP="00C81855">
            <w:pPr>
              <w:spacing w:after="0" w:line="240" w:lineRule="auto"/>
              <w:jc w:val="right"/>
              <w:rPr>
                <w:rFonts w:eastAsia="Times New Roman" w:cs="Calibri"/>
                <w:sz w:val="20"/>
                <w:szCs w:val="20"/>
                <w:lang w:eastAsia="es-CR"/>
              </w:rPr>
            </w:pPr>
            <w:r w:rsidRPr="00C81855">
              <w:rPr>
                <w:rFonts w:ascii="Arial" w:eastAsia="Times New Roman" w:hAnsi="Arial" w:cs="Arial"/>
                <w:sz w:val="20"/>
                <w:szCs w:val="20"/>
                <w:lang w:eastAsia="es-CR"/>
              </w:rPr>
              <w:t>₡</w:t>
            </w:r>
            <w:r w:rsidRPr="00C81855">
              <w:rPr>
                <w:rFonts w:eastAsia="Times New Roman" w:cs="Calibri"/>
                <w:sz w:val="20"/>
                <w:szCs w:val="20"/>
                <w:lang w:eastAsia="es-CR"/>
              </w:rPr>
              <w:t>682,00</w:t>
            </w:r>
          </w:p>
        </w:tc>
        <w:tc>
          <w:tcPr>
            <w:tcW w:w="1558" w:type="dxa"/>
            <w:tcBorders>
              <w:top w:val="nil"/>
              <w:left w:val="nil"/>
              <w:bottom w:val="nil"/>
              <w:right w:val="single" w:sz="8" w:space="0" w:color="auto"/>
            </w:tcBorders>
            <w:shd w:val="clear" w:color="auto" w:fill="auto"/>
            <w:noWrap/>
            <w:vAlign w:val="center"/>
            <w:hideMark/>
          </w:tcPr>
          <w:p w14:paraId="67491346" w14:textId="77777777" w:rsidR="00C81855" w:rsidRPr="00C81855" w:rsidRDefault="00C81855" w:rsidP="00C81855">
            <w:pPr>
              <w:spacing w:after="0" w:line="240" w:lineRule="auto"/>
              <w:jc w:val="right"/>
              <w:rPr>
                <w:rFonts w:eastAsia="Times New Roman" w:cs="Calibri"/>
                <w:color w:val="000000"/>
                <w:sz w:val="20"/>
                <w:szCs w:val="20"/>
                <w:lang w:eastAsia="es-CR"/>
              </w:rPr>
            </w:pPr>
            <w:r w:rsidRPr="00C81855">
              <w:rPr>
                <w:rFonts w:eastAsia="Times New Roman" w:cs="Calibri"/>
                <w:color w:val="000000"/>
                <w:sz w:val="20"/>
                <w:szCs w:val="20"/>
                <w:lang w:eastAsia="es-CR"/>
              </w:rPr>
              <w:t>-77,00</w:t>
            </w:r>
          </w:p>
        </w:tc>
        <w:tc>
          <w:tcPr>
            <w:tcW w:w="457" w:type="dxa"/>
            <w:tcBorders>
              <w:top w:val="nil"/>
              <w:left w:val="nil"/>
              <w:bottom w:val="nil"/>
              <w:right w:val="single" w:sz="8" w:space="0" w:color="auto"/>
            </w:tcBorders>
            <w:shd w:val="clear" w:color="auto" w:fill="auto"/>
            <w:vAlign w:val="center"/>
            <w:hideMark/>
          </w:tcPr>
          <w:p w14:paraId="79755CC3" w14:textId="77777777" w:rsidR="00C81855" w:rsidRPr="00C81855" w:rsidRDefault="00C81855" w:rsidP="00C81855">
            <w:pPr>
              <w:spacing w:after="0" w:line="240" w:lineRule="auto"/>
              <w:jc w:val="center"/>
              <w:rPr>
                <w:rFonts w:eastAsia="Times New Roman" w:cs="Calibri"/>
                <w:color w:val="000000"/>
                <w:sz w:val="20"/>
                <w:szCs w:val="20"/>
                <w:lang w:eastAsia="es-CR"/>
              </w:rPr>
            </w:pPr>
            <w:r w:rsidRPr="00C81855">
              <w:rPr>
                <w:rFonts w:eastAsia="Times New Roman" w:cs="Calibri"/>
                <w:color w:val="000000"/>
                <w:sz w:val="20"/>
                <w:szCs w:val="20"/>
                <w:lang w:eastAsia="es-CR"/>
              </w:rPr>
              <w:t>-11,29%</w:t>
            </w:r>
          </w:p>
        </w:tc>
        <w:tc>
          <w:tcPr>
            <w:tcW w:w="1149" w:type="dxa"/>
            <w:vAlign w:val="center"/>
            <w:hideMark/>
          </w:tcPr>
          <w:p w14:paraId="26749A1B" w14:textId="77777777" w:rsidR="00C81855" w:rsidRPr="00C81855" w:rsidRDefault="00C81855" w:rsidP="00C81855">
            <w:pPr>
              <w:spacing w:after="0" w:line="240" w:lineRule="auto"/>
              <w:jc w:val="left"/>
              <w:rPr>
                <w:rFonts w:ascii="Times New Roman" w:eastAsia="Times New Roman" w:hAnsi="Times New Roman" w:cs="Times New Roman"/>
                <w:sz w:val="20"/>
                <w:szCs w:val="20"/>
                <w:lang w:eastAsia="es-CR"/>
              </w:rPr>
            </w:pPr>
          </w:p>
        </w:tc>
      </w:tr>
      <w:tr w:rsidR="00C81855" w:rsidRPr="00C81855" w14:paraId="2ECCBB96" w14:textId="77777777" w:rsidTr="00061EFB">
        <w:trPr>
          <w:trHeight w:val="514"/>
        </w:trPr>
        <w:tc>
          <w:tcPr>
            <w:tcW w:w="1263" w:type="dxa"/>
            <w:tcBorders>
              <w:top w:val="nil"/>
              <w:left w:val="single" w:sz="8" w:space="0" w:color="auto"/>
              <w:bottom w:val="nil"/>
              <w:right w:val="single" w:sz="8" w:space="0" w:color="auto"/>
            </w:tcBorders>
            <w:shd w:val="clear" w:color="auto" w:fill="auto"/>
            <w:noWrap/>
            <w:vAlign w:val="bottom"/>
            <w:hideMark/>
          </w:tcPr>
          <w:p w14:paraId="1B52BD59" w14:textId="77777777" w:rsidR="00C81855" w:rsidRPr="00C81855" w:rsidRDefault="00C81855" w:rsidP="00C81855">
            <w:pPr>
              <w:spacing w:after="0" w:line="240" w:lineRule="auto"/>
              <w:jc w:val="left"/>
              <w:rPr>
                <w:rFonts w:eastAsia="Times New Roman" w:cs="Calibri"/>
                <w:color w:val="000000"/>
                <w:sz w:val="20"/>
                <w:szCs w:val="20"/>
                <w:lang w:eastAsia="es-CR"/>
              </w:rPr>
            </w:pPr>
            <w:r w:rsidRPr="00C81855">
              <w:rPr>
                <w:rFonts w:eastAsia="Times New Roman" w:cs="Calibri"/>
                <w:color w:val="000000"/>
                <w:sz w:val="20"/>
                <w:szCs w:val="20"/>
                <w:lang w:eastAsia="es-CR"/>
              </w:rPr>
              <w:t>5.1.2.08.06.</w:t>
            </w:r>
          </w:p>
        </w:tc>
        <w:tc>
          <w:tcPr>
            <w:tcW w:w="3247" w:type="dxa"/>
            <w:tcBorders>
              <w:top w:val="nil"/>
              <w:left w:val="nil"/>
              <w:bottom w:val="nil"/>
              <w:right w:val="single" w:sz="8" w:space="0" w:color="auto"/>
            </w:tcBorders>
            <w:shd w:val="clear" w:color="auto" w:fill="auto"/>
            <w:vAlign w:val="bottom"/>
            <w:hideMark/>
          </w:tcPr>
          <w:p w14:paraId="5036B91A" w14:textId="77777777" w:rsidR="00C81855" w:rsidRPr="00C81855" w:rsidRDefault="00C81855" w:rsidP="00C81855">
            <w:pPr>
              <w:spacing w:after="0" w:line="240" w:lineRule="auto"/>
              <w:jc w:val="left"/>
              <w:rPr>
                <w:rFonts w:eastAsia="Times New Roman" w:cs="Calibri"/>
                <w:color w:val="000000"/>
                <w:sz w:val="20"/>
                <w:szCs w:val="20"/>
                <w:lang w:eastAsia="es-CR"/>
              </w:rPr>
            </w:pPr>
            <w:r w:rsidRPr="00C81855">
              <w:rPr>
                <w:rFonts w:eastAsia="Times New Roman" w:cs="Calibri"/>
                <w:color w:val="000000"/>
                <w:sz w:val="20"/>
                <w:szCs w:val="20"/>
                <w:lang w:eastAsia="es-CR"/>
              </w:rPr>
              <w:t>Mantenimiento y reparación de equipos para computación</w:t>
            </w:r>
          </w:p>
        </w:tc>
        <w:tc>
          <w:tcPr>
            <w:tcW w:w="1328" w:type="dxa"/>
            <w:tcBorders>
              <w:top w:val="nil"/>
              <w:left w:val="nil"/>
              <w:bottom w:val="nil"/>
              <w:right w:val="single" w:sz="8" w:space="0" w:color="auto"/>
            </w:tcBorders>
            <w:shd w:val="clear" w:color="auto" w:fill="auto"/>
            <w:noWrap/>
            <w:vAlign w:val="center"/>
            <w:hideMark/>
          </w:tcPr>
          <w:p w14:paraId="5E67F602" w14:textId="77777777" w:rsidR="00C81855" w:rsidRPr="00C81855" w:rsidRDefault="00C81855" w:rsidP="00C81855">
            <w:pPr>
              <w:spacing w:after="0" w:line="240" w:lineRule="auto"/>
              <w:jc w:val="right"/>
              <w:rPr>
                <w:rFonts w:eastAsia="Times New Roman" w:cs="Calibri"/>
                <w:sz w:val="20"/>
                <w:szCs w:val="20"/>
                <w:lang w:eastAsia="es-CR"/>
              </w:rPr>
            </w:pPr>
            <w:r w:rsidRPr="00C81855">
              <w:rPr>
                <w:rFonts w:ascii="Arial" w:eastAsia="Times New Roman" w:hAnsi="Arial" w:cs="Arial"/>
                <w:sz w:val="20"/>
                <w:szCs w:val="20"/>
                <w:lang w:eastAsia="es-CR"/>
              </w:rPr>
              <w:t>₡</w:t>
            </w:r>
            <w:r w:rsidRPr="00C81855">
              <w:rPr>
                <w:rFonts w:eastAsia="Times New Roman" w:cs="Calibri"/>
                <w:sz w:val="20"/>
                <w:szCs w:val="20"/>
                <w:lang w:eastAsia="es-CR"/>
              </w:rPr>
              <w:t>0,00</w:t>
            </w:r>
          </w:p>
        </w:tc>
        <w:tc>
          <w:tcPr>
            <w:tcW w:w="1918" w:type="dxa"/>
            <w:tcBorders>
              <w:top w:val="nil"/>
              <w:left w:val="nil"/>
              <w:bottom w:val="nil"/>
              <w:right w:val="single" w:sz="8" w:space="0" w:color="auto"/>
            </w:tcBorders>
            <w:shd w:val="clear" w:color="auto" w:fill="auto"/>
            <w:noWrap/>
            <w:vAlign w:val="center"/>
            <w:hideMark/>
          </w:tcPr>
          <w:p w14:paraId="55558337" w14:textId="77777777" w:rsidR="00C81855" w:rsidRPr="00C81855" w:rsidRDefault="00C81855" w:rsidP="00C81855">
            <w:pPr>
              <w:spacing w:after="0" w:line="240" w:lineRule="auto"/>
              <w:jc w:val="right"/>
              <w:rPr>
                <w:rFonts w:eastAsia="Times New Roman" w:cs="Calibri"/>
                <w:sz w:val="20"/>
                <w:szCs w:val="20"/>
                <w:lang w:eastAsia="es-CR"/>
              </w:rPr>
            </w:pPr>
            <w:r w:rsidRPr="00C81855">
              <w:rPr>
                <w:rFonts w:ascii="Arial" w:eastAsia="Times New Roman" w:hAnsi="Arial" w:cs="Arial"/>
                <w:sz w:val="20"/>
                <w:szCs w:val="20"/>
                <w:lang w:eastAsia="es-CR"/>
              </w:rPr>
              <w:t>₡</w:t>
            </w:r>
            <w:r w:rsidRPr="00C81855">
              <w:rPr>
                <w:rFonts w:eastAsia="Times New Roman" w:cs="Calibri"/>
                <w:sz w:val="20"/>
                <w:szCs w:val="20"/>
                <w:lang w:eastAsia="es-CR"/>
              </w:rPr>
              <w:t>0,00</w:t>
            </w:r>
          </w:p>
        </w:tc>
        <w:tc>
          <w:tcPr>
            <w:tcW w:w="1558" w:type="dxa"/>
            <w:tcBorders>
              <w:top w:val="nil"/>
              <w:left w:val="nil"/>
              <w:bottom w:val="nil"/>
              <w:right w:val="single" w:sz="8" w:space="0" w:color="auto"/>
            </w:tcBorders>
            <w:shd w:val="clear" w:color="auto" w:fill="auto"/>
            <w:noWrap/>
            <w:vAlign w:val="center"/>
            <w:hideMark/>
          </w:tcPr>
          <w:p w14:paraId="4C97C2AD" w14:textId="77777777" w:rsidR="00C81855" w:rsidRPr="00C81855" w:rsidRDefault="00C81855" w:rsidP="00C81855">
            <w:pPr>
              <w:spacing w:after="0" w:line="240" w:lineRule="auto"/>
              <w:jc w:val="right"/>
              <w:rPr>
                <w:rFonts w:eastAsia="Times New Roman" w:cs="Calibri"/>
                <w:color w:val="000000"/>
                <w:sz w:val="20"/>
                <w:szCs w:val="20"/>
                <w:lang w:eastAsia="es-CR"/>
              </w:rPr>
            </w:pPr>
            <w:r w:rsidRPr="00C81855">
              <w:rPr>
                <w:rFonts w:eastAsia="Times New Roman" w:cs="Calibri"/>
                <w:color w:val="000000"/>
                <w:sz w:val="20"/>
                <w:szCs w:val="20"/>
                <w:lang w:eastAsia="es-CR"/>
              </w:rPr>
              <w:t>0,00</w:t>
            </w:r>
          </w:p>
        </w:tc>
        <w:tc>
          <w:tcPr>
            <w:tcW w:w="457" w:type="dxa"/>
            <w:tcBorders>
              <w:top w:val="nil"/>
              <w:left w:val="nil"/>
              <w:bottom w:val="nil"/>
              <w:right w:val="single" w:sz="8" w:space="0" w:color="auto"/>
            </w:tcBorders>
            <w:shd w:val="clear" w:color="auto" w:fill="auto"/>
            <w:vAlign w:val="center"/>
            <w:hideMark/>
          </w:tcPr>
          <w:p w14:paraId="75143DB0" w14:textId="77777777" w:rsidR="00C81855" w:rsidRPr="00C81855" w:rsidRDefault="00C81855" w:rsidP="00C81855">
            <w:pPr>
              <w:spacing w:after="0" w:line="240" w:lineRule="auto"/>
              <w:jc w:val="center"/>
              <w:rPr>
                <w:rFonts w:eastAsia="Times New Roman" w:cs="Calibri"/>
                <w:color w:val="000000"/>
                <w:sz w:val="20"/>
                <w:szCs w:val="20"/>
                <w:lang w:eastAsia="es-CR"/>
              </w:rPr>
            </w:pPr>
            <w:r w:rsidRPr="00C81855">
              <w:rPr>
                <w:rFonts w:eastAsia="Times New Roman" w:cs="Calibri"/>
                <w:color w:val="000000"/>
                <w:sz w:val="20"/>
                <w:szCs w:val="20"/>
                <w:lang w:eastAsia="es-CR"/>
              </w:rPr>
              <w:t>#¡DIV/0!</w:t>
            </w:r>
          </w:p>
        </w:tc>
        <w:tc>
          <w:tcPr>
            <w:tcW w:w="1149" w:type="dxa"/>
            <w:vAlign w:val="center"/>
            <w:hideMark/>
          </w:tcPr>
          <w:p w14:paraId="248F76C9" w14:textId="77777777" w:rsidR="00C81855" w:rsidRPr="00C81855" w:rsidRDefault="00C81855" w:rsidP="00C81855">
            <w:pPr>
              <w:spacing w:after="0" w:line="240" w:lineRule="auto"/>
              <w:jc w:val="left"/>
              <w:rPr>
                <w:rFonts w:ascii="Times New Roman" w:eastAsia="Times New Roman" w:hAnsi="Times New Roman" w:cs="Times New Roman"/>
                <w:sz w:val="20"/>
                <w:szCs w:val="20"/>
                <w:lang w:eastAsia="es-CR"/>
              </w:rPr>
            </w:pPr>
          </w:p>
        </w:tc>
      </w:tr>
      <w:tr w:rsidR="00C81855" w:rsidRPr="00C81855" w14:paraId="2CF314C9" w14:textId="77777777" w:rsidTr="00061EFB">
        <w:trPr>
          <w:trHeight w:val="529"/>
        </w:trPr>
        <w:tc>
          <w:tcPr>
            <w:tcW w:w="1263" w:type="dxa"/>
            <w:tcBorders>
              <w:top w:val="nil"/>
              <w:left w:val="single" w:sz="8" w:space="0" w:color="auto"/>
              <w:bottom w:val="nil"/>
              <w:right w:val="single" w:sz="8" w:space="0" w:color="auto"/>
            </w:tcBorders>
            <w:shd w:val="clear" w:color="auto" w:fill="auto"/>
            <w:noWrap/>
            <w:vAlign w:val="bottom"/>
            <w:hideMark/>
          </w:tcPr>
          <w:p w14:paraId="7F4536AA" w14:textId="77777777" w:rsidR="00C81855" w:rsidRPr="00C81855" w:rsidRDefault="00C81855" w:rsidP="00C81855">
            <w:pPr>
              <w:spacing w:after="0" w:line="240" w:lineRule="auto"/>
              <w:jc w:val="left"/>
              <w:rPr>
                <w:rFonts w:eastAsia="Times New Roman" w:cs="Calibri"/>
                <w:color w:val="000000"/>
                <w:sz w:val="20"/>
                <w:szCs w:val="20"/>
                <w:lang w:eastAsia="es-CR"/>
              </w:rPr>
            </w:pPr>
            <w:r w:rsidRPr="00C81855">
              <w:rPr>
                <w:rFonts w:eastAsia="Times New Roman" w:cs="Calibri"/>
                <w:color w:val="000000"/>
                <w:sz w:val="20"/>
                <w:szCs w:val="20"/>
                <w:lang w:eastAsia="es-CR"/>
              </w:rPr>
              <w:t>5.1.2.08.10.</w:t>
            </w:r>
          </w:p>
        </w:tc>
        <w:tc>
          <w:tcPr>
            <w:tcW w:w="3247" w:type="dxa"/>
            <w:tcBorders>
              <w:top w:val="nil"/>
              <w:left w:val="nil"/>
              <w:bottom w:val="nil"/>
              <w:right w:val="single" w:sz="8" w:space="0" w:color="auto"/>
            </w:tcBorders>
            <w:shd w:val="clear" w:color="auto" w:fill="auto"/>
            <w:vAlign w:val="bottom"/>
            <w:hideMark/>
          </w:tcPr>
          <w:p w14:paraId="1D4F1B69" w14:textId="77777777" w:rsidR="00C81855" w:rsidRPr="00C81855" w:rsidRDefault="00C81855" w:rsidP="00C81855">
            <w:pPr>
              <w:spacing w:after="0" w:line="240" w:lineRule="auto"/>
              <w:jc w:val="left"/>
              <w:rPr>
                <w:rFonts w:eastAsia="Times New Roman" w:cs="Calibri"/>
                <w:color w:val="000000"/>
                <w:sz w:val="20"/>
                <w:szCs w:val="20"/>
                <w:lang w:eastAsia="es-CR"/>
              </w:rPr>
            </w:pPr>
            <w:r w:rsidRPr="00C81855">
              <w:rPr>
                <w:rFonts w:eastAsia="Times New Roman" w:cs="Calibri"/>
                <w:color w:val="000000"/>
                <w:sz w:val="20"/>
                <w:szCs w:val="20"/>
                <w:lang w:eastAsia="es-CR"/>
              </w:rPr>
              <w:t>Mantenimiento y reparación de bienes de infraestructura y de beneficio y uso público</w:t>
            </w:r>
          </w:p>
        </w:tc>
        <w:tc>
          <w:tcPr>
            <w:tcW w:w="1328" w:type="dxa"/>
            <w:tcBorders>
              <w:top w:val="nil"/>
              <w:left w:val="nil"/>
              <w:bottom w:val="nil"/>
              <w:right w:val="single" w:sz="8" w:space="0" w:color="auto"/>
            </w:tcBorders>
            <w:shd w:val="clear" w:color="auto" w:fill="auto"/>
            <w:noWrap/>
            <w:vAlign w:val="center"/>
            <w:hideMark/>
          </w:tcPr>
          <w:p w14:paraId="7EDB4429" w14:textId="77777777" w:rsidR="00C81855" w:rsidRPr="00C81855" w:rsidRDefault="00C81855" w:rsidP="00C81855">
            <w:pPr>
              <w:spacing w:after="0" w:line="240" w:lineRule="auto"/>
              <w:jc w:val="right"/>
              <w:rPr>
                <w:rFonts w:eastAsia="Times New Roman" w:cs="Calibri"/>
                <w:sz w:val="20"/>
                <w:szCs w:val="20"/>
                <w:lang w:eastAsia="es-CR"/>
              </w:rPr>
            </w:pPr>
            <w:r w:rsidRPr="00C81855">
              <w:rPr>
                <w:rFonts w:ascii="Arial" w:eastAsia="Times New Roman" w:hAnsi="Arial" w:cs="Arial"/>
                <w:sz w:val="20"/>
                <w:szCs w:val="20"/>
                <w:lang w:eastAsia="es-CR"/>
              </w:rPr>
              <w:t>₡</w:t>
            </w:r>
            <w:r w:rsidRPr="00C81855">
              <w:rPr>
                <w:rFonts w:eastAsia="Times New Roman" w:cs="Calibri"/>
                <w:sz w:val="20"/>
                <w:szCs w:val="20"/>
                <w:lang w:eastAsia="es-CR"/>
              </w:rPr>
              <w:t>2 090 541,55</w:t>
            </w:r>
          </w:p>
        </w:tc>
        <w:tc>
          <w:tcPr>
            <w:tcW w:w="1918" w:type="dxa"/>
            <w:tcBorders>
              <w:top w:val="nil"/>
              <w:left w:val="nil"/>
              <w:bottom w:val="nil"/>
              <w:right w:val="single" w:sz="8" w:space="0" w:color="auto"/>
            </w:tcBorders>
            <w:shd w:val="clear" w:color="auto" w:fill="auto"/>
            <w:noWrap/>
            <w:vAlign w:val="center"/>
            <w:hideMark/>
          </w:tcPr>
          <w:p w14:paraId="3CD2E1DD" w14:textId="77777777" w:rsidR="00C81855" w:rsidRPr="00C81855" w:rsidRDefault="00C81855" w:rsidP="00C81855">
            <w:pPr>
              <w:spacing w:after="0" w:line="240" w:lineRule="auto"/>
              <w:jc w:val="right"/>
              <w:rPr>
                <w:rFonts w:eastAsia="Times New Roman" w:cs="Calibri"/>
                <w:sz w:val="20"/>
                <w:szCs w:val="20"/>
                <w:lang w:eastAsia="es-CR"/>
              </w:rPr>
            </w:pPr>
            <w:r w:rsidRPr="00C81855">
              <w:rPr>
                <w:rFonts w:ascii="Arial" w:eastAsia="Times New Roman" w:hAnsi="Arial" w:cs="Arial"/>
                <w:sz w:val="20"/>
                <w:szCs w:val="20"/>
                <w:lang w:eastAsia="es-CR"/>
              </w:rPr>
              <w:t>₡</w:t>
            </w:r>
            <w:r w:rsidRPr="00C81855">
              <w:rPr>
                <w:rFonts w:eastAsia="Times New Roman" w:cs="Calibri"/>
                <w:sz w:val="20"/>
                <w:szCs w:val="20"/>
                <w:lang w:eastAsia="es-CR"/>
              </w:rPr>
              <w:t>2 890 320,09</w:t>
            </w:r>
          </w:p>
        </w:tc>
        <w:tc>
          <w:tcPr>
            <w:tcW w:w="1558" w:type="dxa"/>
            <w:tcBorders>
              <w:top w:val="nil"/>
              <w:left w:val="nil"/>
              <w:bottom w:val="nil"/>
              <w:right w:val="single" w:sz="8" w:space="0" w:color="auto"/>
            </w:tcBorders>
            <w:shd w:val="clear" w:color="auto" w:fill="auto"/>
            <w:noWrap/>
            <w:vAlign w:val="center"/>
            <w:hideMark/>
          </w:tcPr>
          <w:p w14:paraId="012FB6A0" w14:textId="77777777" w:rsidR="00C81855" w:rsidRPr="00C81855" w:rsidRDefault="00C81855" w:rsidP="00C81855">
            <w:pPr>
              <w:spacing w:after="0" w:line="240" w:lineRule="auto"/>
              <w:jc w:val="right"/>
              <w:rPr>
                <w:rFonts w:eastAsia="Times New Roman" w:cs="Calibri"/>
                <w:color w:val="000000"/>
                <w:sz w:val="20"/>
                <w:szCs w:val="20"/>
                <w:lang w:eastAsia="es-CR"/>
              </w:rPr>
            </w:pPr>
            <w:r w:rsidRPr="00C81855">
              <w:rPr>
                <w:rFonts w:eastAsia="Times New Roman" w:cs="Calibri"/>
                <w:color w:val="000000"/>
                <w:sz w:val="20"/>
                <w:szCs w:val="20"/>
                <w:lang w:eastAsia="es-CR"/>
              </w:rPr>
              <w:t>-799 778,54</w:t>
            </w:r>
          </w:p>
        </w:tc>
        <w:tc>
          <w:tcPr>
            <w:tcW w:w="457" w:type="dxa"/>
            <w:tcBorders>
              <w:top w:val="nil"/>
              <w:left w:val="nil"/>
              <w:bottom w:val="nil"/>
              <w:right w:val="single" w:sz="8" w:space="0" w:color="auto"/>
            </w:tcBorders>
            <w:shd w:val="clear" w:color="auto" w:fill="auto"/>
            <w:vAlign w:val="center"/>
            <w:hideMark/>
          </w:tcPr>
          <w:p w14:paraId="1E7DDBB6" w14:textId="77777777" w:rsidR="00C81855" w:rsidRPr="00C81855" w:rsidRDefault="00C81855" w:rsidP="00C81855">
            <w:pPr>
              <w:spacing w:after="0" w:line="240" w:lineRule="auto"/>
              <w:jc w:val="center"/>
              <w:rPr>
                <w:rFonts w:eastAsia="Times New Roman" w:cs="Calibri"/>
                <w:color w:val="000000"/>
                <w:sz w:val="20"/>
                <w:szCs w:val="20"/>
                <w:lang w:eastAsia="es-CR"/>
              </w:rPr>
            </w:pPr>
            <w:r w:rsidRPr="00C81855">
              <w:rPr>
                <w:rFonts w:eastAsia="Times New Roman" w:cs="Calibri"/>
                <w:color w:val="000000"/>
                <w:sz w:val="20"/>
                <w:szCs w:val="20"/>
                <w:lang w:eastAsia="es-CR"/>
              </w:rPr>
              <w:t>-27,67%</w:t>
            </w:r>
          </w:p>
        </w:tc>
        <w:tc>
          <w:tcPr>
            <w:tcW w:w="1149" w:type="dxa"/>
            <w:vAlign w:val="center"/>
            <w:hideMark/>
          </w:tcPr>
          <w:p w14:paraId="5D62A8D0" w14:textId="77777777" w:rsidR="00C81855" w:rsidRPr="00C81855" w:rsidRDefault="00C81855" w:rsidP="00C81855">
            <w:pPr>
              <w:spacing w:after="0" w:line="240" w:lineRule="auto"/>
              <w:jc w:val="left"/>
              <w:rPr>
                <w:rFonts w:ascii="Times New Roman" w:eastAsia="Times New Roman" w:hAnsi="Times New Roman" w:cs="Times New Roman"/>
                <w:sz w:val="20"/>
                <w:szCs w:val="20"/>
                <w:lang w:eastAsia="es-CR"/>
              </w:rPr>
            </w:pPr>
          </w:p>
        </w:tc>
      </w:tr>
      <w:tr w:rsidR="00C81855" w:rsidRPr="00C81855" w14:paraId="450546F7" w14:textId="77777777" w:rsidTr="00061EFB">
        <w:trPr>
          <w:trHeight w:val="309"/>
        </w:trPr>
        <w:tc>
          <w:tcPr>
            <w:tcW w:w="1263" w:type="dxa"/>
            <w:tcBorders>
              <w:top w:val="nil"/>
              <w:left w:val="single" w:sz="8" w:space="0" w:color="auto"/>
              <w:bottom w:val="nil"/>
              <w:right w:val="single" w:sz="8" w:space="0" w:color="auto"/>
            </w:tcBorders>
            <w:shd w:val="clear" w:color="auto" w:fill="auto"/>
            <w:noWrap/>
            <w:vAlign w:val="center"/>
            <w:hideMark/>
          </w:tcPr>
          <w:p w14:paraId="04711D51" w14:textId="77777777" w:rsidR="00C81855" w:rsidRPr="00C81855" w:rsidRDefault="00C81855" w:rsidP="00C81855">
            <w:pPr>
              <w:spacing w:after="0" w:line="240" w:lineRule="auto"/>
              <w:jc w:val="left"/>
              <w:rPr>
                <w:rFonts w:eastAsia="Times New Roman" w:cs="Calibri"/>
                <w:b/>
                <w:bCs/>
                <w:color w:val="000000"/>
                <w:sz w:val="20"/>
                <w:szCs w:val="20"/>
                <w:lang w:eastAsia="es-CR"/>
              </w:rPr>
            </w:pPr>
            <w:r w:rsidRPr="00C81855">
              <w:rPr>
                <w:rFonts w:eastAsia="Times New Roman" w:cs="Calibri"/>
                <w:b/>
                <w:bCs/>
                <w:color w:val="000000"/>
                <w:sz w:val="20"/>
                <w:szCs w:val="20"/>
                <w:lang w:eastAsia="es-CR"/>
              </w:rPr>
              <w:t>5.1.2.99.</w:t>
            </w:r>
          </w:p>
        </w:tc>
        <w:tc>
          <w:tcPr>
            <w:tcW w:w="3247" w:type="dxa"/>
            <w:tcBorders>
              <w:top w:val="nil"/>
              <w:left w:val="nil"/>
              <w:bottom w:val="nil"/>
              <w:right w:val="single" w:sz="8" w:space="0" w:color="auto"/>
            </w:tcBorders>
            <w:shd w:val="clear" w:color="auto" w:fill="auto"/>
            <w:vAlign w:val="center"/>
            <w:hideMark/>
          </w:tcPr>
          <w:p w14:paraId="027E6C0B" w14:textId="77777777" w:rsidR="00C81855" w:rsidRPr="00C81855" w:rsidRDefault="00C81855" w:rsidP="00C81855">
            <w:pPr>
              <w:spacing w:after="0" w:line="240" w:lineRule="auto"/>
              <w:jc w:val="left"/>
              <w:rPr>
                <w:rFonts w:eastAsia="Times New Roman" w:cs="Calibri"/>
                <w:b/>
                <w:bCs/>
                <w:color w:val="000000"/>
                <w:sz w:val="20"/>
                <w:szCs w:val="20"/>
                <w:lang w:eastAsia="es-CR"/>
              </w:rPr>
            </w:pPr>
            <w:r w:rsidRPr="00C81855">
              <w:rPr>
                <w:rFonts w:eastAsia="Times New Roman" w:cs="Calibri"/>
                <w:b/>
                <w:bCs/>
                <w:color w:val="000000"/>
                <w:sz w:val="20"/>
                <w:szCs w:val="20"/>
                <w:lang w:eastAsia="es-CR"/>
              </w:rPr>
              <w:t>Otros servicios varios</w:t>
            </w:r>
          </w:p>
        </w:tc>
        <w:tc>
          <w:tcPr>
            <w:tcW w:w="1328" w:type="dxa"/>
            <w:tcBorders>
              <w:top w:val="single" w:sz="8" w:space="0" w:color="auto"/>
              <w:left w:val="nil"/>
              <w:bottom w:val="single" w:sz="8" w:space="0" w:color="auto"/>
              <w:right w:val="single" w:sz="8" w:space="0" w:color="auto"/>
            </w:tcBorders>
            <w:shd w:val="clear" w:color="auto" w:fill="auto"/>
            <w:noWrap/>
            <w:vAlign w:val="bottom"/>
            <w:hideMark/>
          </w:tcPr>
          <w:p w14:paraId="47039DA4" w14:textId="77777777" w:rsidR="00C81855" w:rsidRPr="00C81855" w:rsidRDefault="00C81855" w:rsidP="00C81855">
            <w:pPr>
              <w:spacing w:after="0" w:line="240" w:lineRule="auto"/>
              <w:jc w:val="right"/>
              <w:rPr>
                <w:rFonts w:eastAsia="Times New Roman" w:cs="Calibri"/>
                <w:b/>
                <w:bCs/>
                <w:color w:val="000000"/>
                <w:sz w:val="20"/>
                <w:szCs w:val="20"/>
                <w:lang w:eastAsia="es-CR"/>
              </w:rPr>
            </w:pPr>
            <w:r w:rsidRPr="00C81855">
              <w:rPr>
                <w:rFonts w:ascii="Arial" w:eastAsia="Times New Roman" w:hAnsi="Arial" w:cs="Arial"/>
                <w:b/>
                <w:bCs/>
                <w:color w:val="000000"/>
                <w:sz w:val="20"/>
                <w:szCs w:val="20"/>
                <w:lang w:eastAsia="es-CR"/>
              </w:rPr>
              <w:t>₡</w:t>
            </w:r>
            <w:r w:rsidRPr="00C81855">
              <w:rPr>
                <w:rFonts w:eastAsia="Times New Roman" w:cs="Calibri"/>
                <w:b/>
                <w:bCs/>
                <w:color w:val="000000"/>
                <w:sz w:val="20"/>
                <w:szCs w:val="20"/>
                <w:lang w:eastAsia="es-CR"/>
              </w:rPr>
              <w:t>150,00</w:t>
            </w:r>
          </w:p>
        </w:tc>
        <w:tc>
          <w:tcPr>
            <w:tcW w:w="1918" w:type="dxa"/>
            <w:tcBorders>
              <w:top w:val="single" w:sz="8" w:space="0" w:color="auto"/>
              <w:left w:val="nil"/>
              <w:bottom w:val="single" w:sz="8" w:space="0" w:color="auto"/>
              <w:right w:val="single" w:sz="8" w:space="0" w:color="auto"/>
            </w:tcBorders>
            <w:shd w:val="clear" w:color="auto" w:fill="auto"/>
            <w:noWrap/>
            <w:vAlign w:val="bottom"/>
            <w:hideMark/>
          </w:tcPr>
          <w:p w14:paraId="70C36688" w14:textId="77777777" w:rsidR="00C81855" w:rsidRPr="00C81855" w:rsidRDefault="00C81855" w:rsidP="00C81855">
            <w:pPr>
              <w:spacing w:after="0" w:line="240" w:lineRule="auto"/>
              <w:jc w:val="right"/>
              <w:rPr>
                <w:rFonts w:eastAsia="Times New Roman" w:cs="Calibri"/>
                <w:b/>
                <w:bCs/>
                <w:color w:val="000000"/>
                <w:sz w:val="20"/>
                <w:szCs w:val="20"/>
                <w:lang w:eastAsia="es-CR"/>
              </w:rPr>
            </w:pPr>
            <w:r w:rsidRPr="00C81855">
              <w:rPr>
                <w:rFonts w:ascii="Arial" w:eastAsia="Times New Roman" w:hAnsi="Arial" w:cs="Arial"/>
                <w:b/>
                <w:bCs/>
                <w:color w:val="000000"/>
                <w:sz w:val="20"/>
                <w:szCs w:val="20"/>
                <w:lang w:eastAsia="es-CR"/>
              </w:rPr>
              <w:t>₡</w:t>
            </w:r>
            <w:r w:rsidRPr="00C81855">
              <w:rPr>
                <w:rFonts w:eastAsia="Times New Roman" w:cs="Calibri"/>
                <w:b/>
                <w:bCs/>
                <w:color w:val="000000"/>
                <w:sz w:val="20"/>
                <w:szCs w:val="20"/>
                <w:lang w:eastAsia="es-CR"/>
              </w:rPr>
              <w:t>150,00</w:t>
            </w:r>
          </w:p>
        </w:tc>
        <w:tc>
          <w:tcPr>
            <w:tcW w:w="1558" w:type="dxa"/>
            <w:tcBorders>
              <w:top w:val="single" w:sz="8" w:space="0" w:color="auto"/>
              <w:left w:val="nil"/>
              <w:bottom w:val="single" w:sz="8" w:space="0" w:color="auto"/>
              <w:right w:val="single" w:sz="8" w:space="0" w:color="auto"/>
            </w:tcBorders>
            <w:shd w:val="clear" w:color="auto" w:fill="auto"/>
            <w:noWrap/>
            <w:vAlign w:val="bottom"/>
            <w:hideMark/>
          </w:tcPr>
          <w:p w14:paraId="13416AF7" w14:textId="77777777" w:rsidR="00C81855" w:rsidRPr="00C81855" w:rsidRDefault="00C81855" w:rsidP="00C81855">
            <w:pPr>
              <w:spacing w:after="0" w:line="240" w:lineRule="auto"/>
              <w:jc w:val="right"/>
              <w:rPr>
                <w:rFonts w:eastAsia="Times New Roman" w:cs="Calibri"/>
                <w:b/>
                <w:bCs/>
                <w:color w:val="000000"/>
                <w:sz w:val="20"/>
                <w:szCs w:val="20"/>
                <w:lang w:eastAsia="es-CR"/>
              </w:rPr>
            </w:pPr>
            <w:r w:rsidRPr="00C81855">
              <w:rPr>
                <w:rFonts w:ascii="Arial" w:eastAsia="Times New Roman" w:hAnsi="Arial" w:cs="Arial"/>
                <w:b/>
                <w:bCs/>
                <w:color w:val="000000"/>
                <w:sz w:val="20"/>
                <w:szCs w:val="20"/>
                <w:lang w:eastAsia="es-CR"/>
              </w:rPr>
              <w:t>₡</w:t>
            </w:r>
            <w:r w:rsidRPr="00C81855">
              <w:rPr>
                <w:rFonts w:eastAsia="Times New Roman" w:cs="Calibri"/>
                <w:b/>
                <w:bCs/>
                <w:color w:val="000000"/>
                <w:sz w:val="20"/>
                <w:szCs w:val="20"/>
                <w:lang w:eastAsia="es-CR"/>
              </w:rPr>
              <w:t>0,00</w:t>
            </w:r>
          </w:p>
        </w:tc>
        <w:tc>
          <w:tcPr>
            <w:tcW w:w="457" w:type="dxa"/>
            <w:tcBorders>
              <w:top w:val="single" w:sz="8" w:space="0" w:color="auto"/>
              <w:left w:val="nil"/>
              <w:bottom w:val="single" w:sz="8" w:space="0" w:color="auto"/>
              <w:right w:val="single" w:sz="8" w:space="0" w:color="auto"/>
            </w:tcBorders>
            <w:shd w:val="clear" w:color="auto" w:fill="auto"/>
            <w:vAlign w:val="center"/>
            <w:hideMark/>
          </w:tcPr>
          <w:p w14:paraId="4FB14D70" w14:textId="77777777" w:rsidR="00C81855" w:rsidRPr="00C81855" w:rsidRDefault="00C81855" w:rsidP="00C81855">
            <w:pPr>
              <w:spacing w:after="0" w:line="240" w:lineRule="auto"/>
              <w:jc w:val="center"/>
              <w:rPr>
                <w:rFonts w:eastAsia="Times New Roman" w:cs="Calibri"/>
                <w:b/>
                <w:bCs/>
                <w:color w:val="000000"/>
                <w:sz w:val="20"/>
                <w:szCs w:val="20"/>
                <w:lang w:eastAsia="es-CR"/>
              </w:rPr>
            </w:pPr>
            <w:r w:rsidRPr="00C81855">
              <w:rPr>
                <w:rFonts w:eastAsia="Times New Roman" w:cs="Calibri"/>
                <w:b/>
                <w:bCs/>
                <w:color w:val="000000"/>
                <w:sz w:val="20"/>
                <w:szCs w:val="20"/>
                <w:lang w:eastAsia="es-CR"/>
              </w:rPr>
              <w:t>0,00%</w:t>
            </w:r>
          </w:p>
        </w:tc>
        <w:tc>
          <w:tcPr>
            <w:tcW w:w="1149" w:type="dxa"/>
            <w:vAlign w:val="center"/>
            <w:hideMark/>
          </w:tcPr>
          <w:p w14:paraId="5FF49502" w14:textId="77777777" w:rsidR="00C81855" w:rsidRPr="00C81855" w:rsidRDefault="00C81855" w:rsidP="00C81855">
            <w:pPr>
              <w:spacing w:after="0" w:line="240" w:lineRule="auto"/>
              <w:jc w:val="left"/>
              <w:rPr>
                <w:rFonts w:ascii="Times New Roman" w:eastAsia="Times New Roman" w:hAnsi="Times New Roman" w:cs="Times New Roman"/>
                <w:sz w:val="20"/>
                <w:szCs w:val="20"/>
                <w:lang w:eastAsia="es-CR"/>
              </w:rPr>
            </w:pPr>
          </w:p>
        </w:tc>
      </w:tr>
      <w:tr w:rsidR="00C81855" w:rsidRPr="00C81855" w14:paraId="40A73324" w14:textId="77777777" w:rsidTr="00061EFB">
        <w:trPr>
          <w:trHeight w:val="309"/>
        </w:trPr>
        <w:tc>
          <w:tcPr>
            <w:tcW w:w="1263" w:type="dxa"/>
            <w:tcBorders>
              <w:top w:val="nil"/>
              <w:left w:val="single" w:sz="8" w:space="0" w:color="auto"/>
              <w:bottom w:val="single" w:sz="8" w:space="0" w:color="auto"/>
              <w:right w:val="single" w:sz="8" w:space="0" w:color="auto"/>
            </w:tcBorders>
            <w:shd w:val="clear" w:color="auto" w:fill="auto"/>
            <w:noWrap/>
            <w:vAlign w:val="bottom"/>
            <w:hideMark/>
          </w:tcPr>
          <w:p w14:paraId="76805861" w14:textId="77777777" w:rsidR="00C81855" w:rsidRPr="00C81855" w:rsidRDefault="00C81855" w:rsidP="00C81855">
            <w:pPr>
              <w:spacing w:after="0" w:line="240" w:lineRule="auto"/>
              <w:jc w:val="left"/>
              <w:rPr>
                <w:rFonts w:eastAsia="Times New Roman" w:cs="Calibri"/>
                <w:color w:val="000000"/>
                <w:sz w:val="20"/>
                <w:szCs w:val="20"/>
                <w:lang w:eastAsia="es-CR"/>
              </w:rPr>
            </w:pPr>
            <w:r w:rsidRPr="00C81855">
              <w:rPr>
                <w:rFonts w:eastAsia="Times New Roman" w:cs="Calibri"/>
                <w:color w:val="000000"/>
                <w:sz w:val="20"/>
                <w:szCs w:val="20"/>
                <w:lang w:eastAsia="es-CR"/>
              </w:rPr>
              <w:t>5.1.2.99.99.</w:t>
            </w:r>
          </w:p>
        </w:tc>
        <w:tc>
          <w:tcPr>
            <w:tcW w:w="3247" w:type="dxa"/>
            <w:tcBorders>
              <w:top w:val="nil"/>
              <w:left w:val="nil"/>
              <w:bottom w:val="single" w:sz="8" w:space="0" w:color="auto"/>
              <w:right w:val="single" w:sz="8" w:space="0" w:color="auto"/>
            </w:tcBorders>
            <w:shd w:val="clear" w:color="auto" w:fill="auto"/>
            <w:noWrap/>
            <w:vAlign w:val="bottom"/>
            <w:hideMark/>
          </w:tcPr>
          <w:p w14:paraId="34CB7B99" w14:textId="77777777" w:rsidR="00C81855" w:rsidRPr="00C81855" w:rsidRDefault="00C81855" w:rsidP="00C81855">
            <w:pPr>
              <w:spacing w:after="0" w:line="240" w:lineRule="auto"/>
              <w:jc w:val="left"/>
              <w:rPr>
                <w:rFonts w:eastAsia="Times New Roman" w:cs="Calibri"/>
                <w:color w:val="000000"/>
                <w:sz w:val="20"/>
                <w:szCs w:val="20"/>
                <w:lang w:eastAsia="es-CR"/>
              </w:rPr>
            </w:pPr>
            <w:r w:rsidRPr="00C81855">
              <w:rPr>
                <w:rFonts w:eastAsia="Times New Roman" w:cs="Calibri"/>
                <w:color w:val="000000"/>
                <w:sz w:val="20"/>
                <w:szCs w:val="20"/>
                <w:lang w:eastAsia="es-CR"/>
              </w:rPr>
              <w:t>Otros servicios varios</w:t>
            </w:r>
          </w:p>
        </w:tc>
        <w:tc>
          <w:tcPr>
            <w:tcW w:w="1328" w:type="dxa"/>
            <w:tcBorders>
              <w:top w:val="nil"/>
              <w:left w:val="nil"/>
              <w:bottom w:val="nil"/>
              <w:right w:val="single" w:sz="8" w:space="0" w:color="auto"/>
            </w:tcBorders>
            <w:shd w:val="clear" w:color="auto" w:fill="auto"/>
            <w:noWrap/>
            <w:vAlign w:val="center"/>
            <w:hideMark/>
          </w:tcPr>
          <w:p w14:paraId="7D5167E2" w14:textId="77777777" w:rsidR="00C81855" w:rsidRPr="00C81855" w:rsidRDefault="00C81855" w:rsidP="00C81855">
            <w:pPr>
              <w:spacing w:after="0" w:line="240" w:lineRule="auto"/>
              <w:jc w:val="right"/>
              <w:rPr>
                <w:rFonts w:eastAsia="Times New Roman" w:cs="Calibri"/>
                <w:sz w:val="20"/>
                <w:szCs w:val="20"/>
                <w:lang w:eastAsia="es-CR"/>
              </w:rPr>
            </w:pPr>
            <w:r w:rsidRPr="00C81855">
              <w:rPr>
                <w:rFonts w:ascii="Arial" w:eastAsia="Times New Roman" w:hAnsi="Arial" w:cs="Arial"/>
                <w:sz w:val="20"/>
                <w:szCs w:val="20"/>
                <w:lang w:eastAsia="es-CR"/>
              </w:rPr>
              <w:t>₡</w:t>
            </w:r>
            <w:r w:rsidRPr="00C81855">
              <w:rPr>
                <w:rFonts w:eastAsia="Times New Roman" w:cs="Calibri"/>
                <w:sz w:val="20"/>
                <w:szCs w:val="20"/>
                <w:lang w:eastAsia="es-CR"/>
              </w:rPr>
              <w:t>150,00</w:t>
            </w:r>
          </w:p>
        </w:tc>
        <w:tc>
          <w:tcPr>
            <w:tcW w:w="1918" w:type="dxa"/>
            <w:tcBorders>
              <w:top w:val="nil"/>
              <w:left w:val="nil"/>
              <w:bottom w:val="nil"/>
              <w:right w:val="single" w:sz="8" w:space="0" w:color="auto"/>
            </w:tcBorders>
            <w:shd w:val="clear" w:color="auto" w:fill="auto"/>
            <w:noWrap/>
            <w:vAlign w:val="center"/>
            <w:hideMark/>
          </w:tcPr>
          <w:p w14:paraId="370B37FF" w14:textId="77777777" w:rsidR="00C81855" w:rsidRPr="00C81855" w:rsidRDefault="00C81855" w:rsidP="00C81855">
            <w:pPr>
              <w:spacing w:after="0" w:line="240" w:lineRule="auto"/>
              <w:jc w:val="right"/>
              <w:rPr>
                <w:rFonts w:eastAsia="Times New Roman" w:cs="Calibri"/>
                <w:sz w:val="20"/>
                <w:szCs w:val="20"/>
                <w:lang w:eastAsia="es-CR"/>
              </w:rPr>
            </w:pPr>
            <w:r w:rsidRPr="00C81855">
              <w:rPr>
                <w:rFonts w:ascii="Arial" w:eastAsia="Times New Roman" w:hAnsi="Arial" w:cs="Arial"/>
                <w:sz w:val="20"/>
                <w:szCs w:val="20"/>
                <w:lang w:eastAsia="es-CR"/>
              </w:rPr>
              <w:t>₡</w:t>
            </w:r>
            <w:r w:rsidRPr="00C81855">
              <w:rPr>
                <w:rFonts w:eastAsia="Times New Roman" w:cs="Calibri"/>
                <w:sz w:val="20"/>
                <w:szCs w:val="20"/>
                <w:lang w:eastAsia="es-CR"/>
              </w:rPr>
              <w:t>150,00</w:t>
            </w:r>
          </w:p>
        </w:tc>
        <w:tc>
          <w:tcPr>
            <w:tcW w:w="1558" w:type="dxa"/>
            <w:tcBorders>
              <w:top w:val="nil"/>
              <w:left w:val="nil"/>
              <w:bottom w:val="nil"/>
              <w:right w:val="single" w:sz="8" w:space="0" w:color="auto"/>
            </w:tcBorders>
            <w:shd w:val="clear" w:color="auto" w:fill="auto"/>
            <w:noWrap/>
            <w:vAlign w:val="center"/>
            <w:hideMark/>
          </w:tcPr>
          <w:p w14:paraId="447004E2" w14:textId="77777777" w:rsidR="00C81855" w:rsidRPr="00C81855" w:rsidRDefault="00C81855" w:rsidP="00C81855">
            <w:pPr>
              <w:spacing w:after="0" w:line="240" w:lineRule="auto"/>
              <w:jc w:val="right"/>
              <w:rPr>
                <w:rFonts w:eastAsia="Times New Roman" w:cs="Calibri"/>
                <w:color w:val="000000"/>
                <w:sz w:val="20"/>
                <w:szCs w:val="20"/>
                <w:lang w:eastAsia="es-CR"/>
              </w:rPr>
            </w:pPr>
            <w:r w:rsidRPr="00C81855">
              <w:rPr>
                <w:rFonts w:eastAsia="Times New Roman" w:cs="Calibri"/>
                <w:color w:val="000000"/>
                <w:sz w:val="20"/>
                <w:szCs w:val="20"/>
                <w:lang w:eastAsia="es-CR"/>
              </w:rPr>
              <w:t>0,00</w:t>
            </w:r>
          </w:p>
        </w:tc>
        <w:tc>
          <w:tcPr>
            <w:tcW w:w="457" w:type="dxa"/>
            <w:tcBorders>
              <w:top w:val="nil"/>
              <w:left w:val="nil"/>
              <w:bottom w:val="nil"/>
              <w:right w:val="single" w:sz="8" w:space="0" w:color="auto"/>
            </w:tcBorders>
            <w:shd w:val="clear" w:color="auto" w:fill="auto"/>
            <w:vAlign w:val="center"/>
            <w:hideMark/>
          </w:tcPr>
          <w:p w14:paraId="18782460" w14:textId="77777777" w:rsidR="00C81855" w:rsidRPr="00C81855" w:rsidRDefault="00C81855" w:rsidP="00C81855">
            <w:pPr>
              <w:spacing w:after="0" w:line="240" w:lineRule="auto"/>
              <w:jc w:val="center"/>
              <w:rPr>
                <w:rFonts w:eastAsia="Times New Roman" w:cs="Calibri"/>
                <w:color w:val="000000"/>
                <w:sz w:val="20"/>
                <w:szCs w:val="20"/>
                <w:lang w:eastAsia="es-CR"/>
              </w:rPr>
            </w:pPr>
            <w:r w:rsidRPr="00C81855">
              <w:rPr>
                <w:rFonts w:eastAsia="Times New Roman" w:cs="Calibri"/>
                <w:color w:val="000000"/>
                <w:sz w:val="20"/>
                <w:szCs w:val="20"/>
                <w:lang w:eastAsia="es-CR"/>
              </w:rPr>
              <w:t>0,00%</w:t>
            </w:r>
          </w:p>
        </w:tc>
        <w:tc>
          <w:tcPr>
            <w:tcW w:w="1149" w:type="dxa"/>
            <w:vAlign w:val="center"/>
            <w:hideMark/>
          </w:tcPr>
          <w:p w14:paraId="54183B49" w14:textId="77777777" w:rsidR="00C81855" w:rsidRPr="00C81855" w:rsidRDefault="00C81855" w:rsidP="00C81855">
            <w:pPr>
              <w:spacing w:after="0" w:line="240" w:lineRule="auto"/>
              <w:jc w:val="left"/>
              <w:rPr>
                <w:rFonts w:ascii="Times New Roman" w:eastAsia="Times New Roman" w:hAnsi="Times New Roman" w:cs="Times New Roman"/>
                <w:sz w:val="20"/>
                <w:szCs w:val="20"/>
                <w:lang w:eastAsia="es-CR"/>
              </w:rPr>
            </w:pPr>
          </w:p>
        </w:tc>
      </w:tr>
      <w:tr w:rsidR="00C81855" w:rsidRPr="00C81855" w14:paraId="5E78F610" w14:textId="77777777" w:rsidTr="00061EFB">
        <w:trPr>
          <w:trHeight w:val="60"/>
        </w:trPr>
        <w:tc>
          <w:tcPr>
            <w:tcW w:w="1263" w:type="dxa"/>
            <w:tcBorders>
              <w:top w:val="nil"/>
              <w:left w:val="single" w:sz="8" w:space="0" w:color="auto"/>
              <w:bottom w:val="single" w:sz="8" w:space="0" w:color="auto"/>
              <w:right w:val="single" w:sz="8" w:space="0" w:color="auto"/>
            </w:tcBorders>
            <w:shd w:val="clear" w:color="auto" w:fill="auto"/>
            <w:noWrap/>
            <w:vAlign w:val="bottom"/>
            <w:hideMark/>
          </w:tcPr>
          <w:p w14:paraId="6961BAD3" w14:textId="77777777" w:rsidR="00C81855" w:rsidRPr="00C81855" w:rsidRDefault="00C81855" w:rsidP="00C81855">
            <w:pPr>
              <w:spacing w:after="0" w:line="240" w:lineRule="auto"/>
              <w:jc w:val="left"/>
              <w:rPr>
                <w:rFonts w:eastAsia="Times New Roman" w:cs="Calibri"/>
                <w:color w:val="000000"/>
                <w:sz w:val="20"/>
                <w:szCs w:val="20"/>
                <w:lang w:eastAsia="es-CR"/>
              </w:rPr>
            </w:pPr>
            <w:r w:rsidRPr="00C81855">
              <w:rPr>
                <w:rFonts w:eastAsia="Times New Roman" w:cs="Calibri"/>
                <w:color w:val="000000"/>
                <w:sz w:val="20"/>
                <w:szCs w:val="20"/>
                <w:lang w:eastAsia="es-CR"/>
              </w:rPr>
              <w:t> </w:t>
            </w:r>
          </w:p>
        </w:tc>
        <w:tc>
          <w:tcPr>
            <w:tcW w:w="3247" w:type="dxa"/>
            <w:tcBorders>
              <w:top w:val="nil"/>
              <w:left w:val="nil"/>
              <w:bottom w:val="single" w:sz="8" w:space="0" w:color="auto"/>
              <w:right w:val="single" w:sz="8" w:space="0" w:color="auto"/>
            </w:tcBorders>
            <w:shd w:val="clear" w:color="auto" w:fill="auto"/>
            <w:noWrap/>
            <w:vAlign w:val="bottom"/>
            <w:hideMark/>
          </w:tcPr>
          <w:p w14:paraId="65492D2E" w14:textId="77777777" w:rsidR="00C81855" w:rsidRPr="00C81855" w:rsidRDefault="00C81855" w:rsidP="00C81855">
            <w:pPr>
              <w:spacing w:after="0" w:line="240" w:lineRule="auto"/>
              <w:jc w:val="center"/>
              <w:rPr>
                <w:rFonts w:eastAsia="Times New Roman" w:cs="Calibri"/>
                <w:b/>
                <w:bCs/>
                <w:color w:val="000000"/>
                <w:sz w:val="20"/>
                <w:szCs w:val="20"/>
                <w:lang w:eastAsia="es-CR"/>
              </w:rPr>
            </w:pPr>
            <w:r w:rsidRPr="00C81855">
              <w:rPr>
                <w:rFonts w:eastAsia="Times New Roman" w:cs="Calibri"/>
                <w:b/>
                <w:bCs/>
                <w:color w:val="000000"/>
                <w:sz w:val="20"/>
                <w:szCs w:val="20"/>
                <w:lang w:eastAsia="es-CR"/>
              </w:rPr>
              <w:t>TOTALES</w:t>
            </w:r>
          </w:p>
        </w:tc>
        <w:tc>
          <w:tcPr>
            <w:tcW w:w="1328" w:type="dxa"/>
            <w:tcBorders>
              <w:top w:val="single" w:sz="8" w:space="0" w:color="auto"/>
              <w:left w:val="nil"/>
              <w:bottom w:val="single" w:sz="8" w:space="0" w:color="auto"/>
              <w:right w:val="single" w:sz="8" w:space="0" w:color="auto"/>
            </w:tcBorders>
            <w:shd w:val="clear" w:color="auto" w:fill="auto"/>
            <w:noWrap/>
            <w:vAlign w:val="bottom"/>
            <w:hideMark/>
          </w:tcPr>
          <w:p w14:paraId="43573991" w14:textId="77777777" w:rsidR="00C81855" w:rsidRPr="00C81855" w:rsidRDefault="00C81855" w:rsidP="00C81855">
            <w:pPr>
              <w:spacing w:after="0" w:line="240" w:lineRule="auto"/>
              <w:jc w:val="right"/>
              <w:rPr>
                <w:rFonts w:eastAsia="Times New Roman" w:cs="Calibri"/>
                <w:b/>
                <w:bCs/>
                <w:color w:val="000000"/>
                <w:sz w:val="20"/>
                <w:szCs w:val="20"/>
                <w:lang w:eastAsia="es-CR"/>
              </w:rPr>
            </w:pPr>
            <w:r w:rsidRPr="00C81855">
              <w:rPr>
                <w:rFonts w:ascii="Arial" w:eastAsia="Times New Roman" w:hAnsi="Arial" w:cs="Arial"/>
                <w:b/>
                <w:bCs/>
                <w:color w:val="000000"/>
                <w:sz w:val="20"/>
                <w:szCs w:val="20"/>
                <w:lang w:eastAsia="es-CR"/>
              </w:rPr>
              <w:t>₡</w:t>
            </w:r>
            <w:r w:rsidRPr="00C81855">
              <w:rPr>
                <w:rFonts w:eastAsia="Times New Roman" w:cs="Calibri"/>
                <w:b/>
                <w:bCs/>
                <w:color w:val="000000"/>
                <w:sz w:val="20"/>
                <w:szCs w:val="20"/>
                <w:lang w:eastAsia="es-CR"/>
              </w:rPr>
              <w:t>2 658 062,48</w:t>
            </w:r>
          </w:p>
        </w:tc>
        <w:tc>
          <w:tcPr>
            <w:tcW w:w="1918" w:type="dxa"/>
            <w:tcBorders>
              <w:top w:val="single" w:sz="8" w:space="0" w:color="auto"/>
              <w:left w:val="nil"/>
              <w:bottom w:val="single" w:sz="8" w:space="0" w:color="auto"/>
              <w:right w:val="single" w:sz="8" w:space="0" w:color="auto"/>
            </w:tcBorders>
            <w:shd w:val="clear" w:color="auto" w:fill="auto"/>
            <w:noWrap/>
            <w:vAlign w:val="bottom"/>
            <w:hideMark/>
          </w:tcPr>
          <w:p w14:paraId="0448532F" w14:textId="77777777" w:rsidR="00C81855" w:rsidRPr="00C81855" w:rsidRDefault="00C81855" w:rsidP="00C81855">
            <w:pPr>
              <w:spacing w:after="0" w:line="240" w:lineRule="auto"/>
              <w:jc w:val="right"/>
              <w:rPr>
                <w:rFonts w:eastAsia="Times New Roman" w:cs="Calibri"/>
                <w:b/>
                <w:bCs/>
                <w:color w:val="000000"/>
                <w:sz w:val="20"/>
                <w:szCs w:val="20"/>
                <w:lang w:eastAsia="es-CR"/>
              </w:rPr>
            </w:pPr>
            <w:r w:rsidRPr="00C81855">
              <w:rPr>
                <w:rFonts w:ascii="Arial" w:eastAsia="Times New Roman" w:hAnsi="Arial" w:cs="Arial"/>
                <w:b/>
                <w:bCs/>
                <w:color w:val="000000"/>
                <w:sz w:val="20"/>
                <w:szCs w:val="20"/>
                <w:lang w:eastAsia="es-CR"/>
              </w:rPr>
              <w:t>₡</w:t>
            </w:r>
            <w:r w:rsidRPr="00C81855">
              <w:rPr>
                <w:rFonts w:eastAsia="Times New Roman" w:cs="Calibri"/>
                <w:b/>
                <w:bCs/>
                <w:color w:val="000000"/>
                <w:sz w:val="20"/>
                <w:szCs w:val="20"/>
                <w:lang w:eastAsia="es-CR"/>
              </w:rPr>
              <w:t>3 548 386,69</w:t>
            </w:r>
          </w:p>
        </w:tc>
        <w:tc>
          <w:tcPr>
            <w:tcW w:w="1558" w:type="dxa"/>
            <w:tcBorders>
              <w:top w:val="single" w:sz="8" w:space="0" w:color="auto"/>
              <w:left w:val="nil"/>
              <w:bottom w:val="single" w:sz="8" w:space="0" w:color="auto"/>
              <w:right w:val="single" w:sz="8" w:space="0" w:color="auto"/>
            </w:tcBorders>
            <w:shd w:val="clear" w:color="auto" w:fill="auto"/>
            <w:noWrap/>
            <w:vAlign w:val="bottom"/>
            <w:hideMark/>
          </w:tcPr>
          <w:p w14:paraId="65ABEDF1" w14:textId="77777777" w:rsidR="00C81855" w:rsidRPr="00C81855" w:rsidRDefault="00C81855" w:rsidP="00C81855">
            <w:pPr>
              <w:spacing w:after="0" w:line="240" w:lineRule="auto"/>
              <w:jc w:val="right"/>
              <w:rPr>
                <w:rFonts w:eastAsia="Times New Roman" w:cs="Calibri"/>
                <w:b/>
                <w:bCs/>
                <w:color w:val="000000"/>
                <w:sz w:val="20"/>
                <w:szCs w:val="20"/>
                <w:lang w:eastAsia="es-CR"/>
              </w:rPr>
            </w:pPr>
            <w:r w:rsidRPr="00C81855">
              <w:rPr>
                <w:rFonts w:eastAsia="Times New Roman" w:cs="Calibri"/>
                <w:b/>
                <w:bCs/>
                <w:color w:val="000000"/>
                <w:sz w:val="20"/>
                <w:szCs w:val="20"/>
                <w:lang w:eastAsia="es-CR"/>
              </w:rPr>
              <w:t>-</w:t>
            </w:r>
            <w:r w:rsidRPr="00C81855">
              <w:rPr>
                <w:rFonts w:ascii="Arial" w:eastAsia="Times New Roman" w:hAnsi="Arial" w:cs="Arial"/>
                <w:b/>
                <w:bCs/>
                <w:color w:val="000000"/>
                <w:sz w:val="20"/>
                <w:szCs w:val="20"/>
                <w:lang w:eastAsia="es-CR"/>
              </w:rPr>
              <w:t>₡</w:t>
            </w:r>
            <w:r w:rsidRPr="00C81855">
              <w:rPr>
                <w:rFonts w:eastAsia="Times New Roman" w:cs="Calibri"/>
                <w:b/>
                <w:bCs/>
                <w:color w:val="000000"/>
                <w:sz w:val="20"/>
                <w:szCs w:val="20"/>
                <w:lang w:eastAsia="es-CR"/>
              </w:rPr>
              <w:t>890 324,21</w:t>
            </w:r>
          </w:p>
        </w:tc>
        <w:tc>
          <w:tcPr>
            <w:tcW w:w="457" w:type="dxa"/>
            <w:tcBorders>
              <w:top w:val="single" w:sz="8" w:space="0" w:color="auto"/>
              <w:left w:val="nil"/>
              <w:bottom w:val="single" w:sz="8" w:space="0" w:color="auto"/>
              <w:right w:val="single" w:sz="8" w:space="0" w:color="auto"/>
            </w:tcBorders>
            <w:shd w:val="clear" w:color="auto" w:fill="auto"/>
            <w:vAlign w:val="center"/>
            <w:hideMark/>
          </w:tcPr>
          <w:p w14:paraId="0FD4156A" w14:textId="77777777" w:rsidR="00C81855" w:rsidRPr="00C81855" w:rsidRDefault="00C81855" w:rsidP="00C81855">
            <w:pPr>
              <w:spacing w:after="0" w:line="240" w:lineRule="auto"/>
              <w:jc w:val="center"/>
              <w:rPr>
                <w:rFonts w:eastAsia="Times New Roman" w:cs="Calibri"/>
                <w:b/>
                <w:bCs/>
                <w:color w:val="000000"/>
                <w:sz w:val="20"/>
                <w:szCs w:val="20"/>
                <w:lang w:eastAsia="es-CR"/>
              </w:rPr>
            </w:pPr>
            <w:r w:rsidRPr="00C81855">
              <w:rPr>
                <w:rFonts w:eastAsia="Times New Roman" w:cs="Calibri"/>
                <w:b/>
                <w:bCs/>
                <w:color w:val="000000"/>
                <w:sz w:val="20"/>
                <w:szCs w:val="20"/>
                <w:lang w:eastAsia="es-CR"/>
              </w:rPr>
              <w:t>-25,09%</w:t>
            </w:r>
          </w:p>
        </w:tc>
        <w:tc>
          <w:tcPr>
            <w:tcW w:w="1149" w:type="dxa"/>
            <w:vAlign w:val="center"/>
            <w:hideMark/>
          </w:tcPr>
          <w:p w14:paraId="56463556" w14:textId="77777777" w:rsidR="00C81855" w:rsidRPr="00C81855" w:rsidRDefault="00C81855" w:rsidP="00C81855">
            <w:pPr>
              <w:spacing w:after="0" w:line="240" w:lineRule="auto"/>
              <w:jc w:val="left"/>
              <w:rPr>
                <w:rFonts w:ascii="Times New Roman" w:eastAsia="Times New Roman" w:hAnsi="Times New Roman" w:cs="Times New Roman"/>
                <w:sz w:val="20"/>
                <w:szCs w:val="20"/>
                <w:lang w:eastAsia="es-CR"/>
              </w:rPr>
            </w:pPr>
          </w:p>
        </w:tc>
      </w:tr>
    </w:tbl>
    <w:p w14:paraId="1D5D2859" w14:textId="716AE84A" w:rsidR="00DF24BE" w:rsidRPr="00204A03" w:rsidRDefault="00DF24BE" w:rsidP="00DF24BE">
      <w:pPr>
        <w:spacing w:after="0" w:line="240" w:lineRule="auto"/>
      </w:pPr>
      <w:r w:rsidRPr="000B7ED5">
        <w:lastRenderedPageBreak/>
        <w:t>Como se observa en el detalle anterior</w:t>
      </w:r>
      <w:r>
        <w:t>,</w:t>
      </w:r>
      <w:r w:rsidRPr="000B7ED5">
        <w:t xml:space="preserve"> la</w:t>
      </w:r>
      <w:r>
        <w:t>s</w:t>
      </w:r>
      <w:r w:rsidRPr="000B7ED5">
        <w:t xml:space="preserve"> cuenta</w:t>
      </w:r>
      <w:r>
        <w:t>s</w:t>
      </w:r>
      <w:r w:rsidRPr="000B7ED5">
        <w:t xml:space="preserve"> de mayor importancia en la variación s</w:t>
      </w:r>
      <w:r>
        <w:t>on</w:t>
      </w:r>
      <w:r w:rsidRPr="000B7ED5">
        <w:t xml:space="preserve"> </w:t>
      </w:r>
      <w:r>
        <w:t>“</w:t>
      </w:r>
      <w:r w:rsidRPr="00271B25">
        <w:t>Mantenimiento y reparaciones</w:t>
      </w:r>
      <w:r>
        <w:t xml:space="preserve">”, </w:t>
      </w:r>
      <w:r w:rsidRPr="000B7ED5">
        <w:t>que tuvo un</w:t>
      </w:r>
      <w:r>
        <w:t>a</w:t>
      </w:r>
      <w:r w:rsidRPr="000B7ED5">
        <w:t xml:space="preserve"> </w:t>
      </w:r>
      <w:r>
        <w:t>disminución neta</w:t>
      </w:r>
      <w:r w:rsidRPr="000B7ED5">
        <w:t xml:space="preserve"> de </w:t>
      </w:r>
      <w:r w:rsidR="00BC5B28" w:rsidRPr="00C81855">
        <w:t>-</w:t>
      </w:r>
      <w:r w:rsidR="00BC5B28" w:rsidRPr="00C81855">
        <w:rPr>
          <w:rFonts w:ascii="Arial" w:hAnsi="Arial" w:cs="Arial"/>
        </w:rPr>
        <w:t>₡</w:t>
      </w:r>
      <w:r w:rsidR="00BC5B28" w:rsidRPr="00C81855">
        <w:t>814 007,52</w:t>
      </w:r>
      <w:r w:rsidR="00BC5B28">
        <w:rPr>
          <w:b/>
          <w:bCs/>
        </w:rPr>
        <w:t xml:space="preserve"> </w:t>
      </w:r>
      <w:r w:rsidRPr="00271B25">
        <w:t>miles</w:t>
      </w:r>
      <w:r>
        <w:t>. Además, las cuentas “</w:t>
      </w:r>
      <w:r w:rsidRPr="00204A03">
        <w:t xml:space="preserve">Alquileres </w:t>
      </w:r>
      <w:r>
        <w:t>de maquinarias, equipos y mobiliario”, “</w:t>
      </w:r>
      <w:r w:rsidRPr="00204A03">
        <w:t xml:space="preserve">Servicios de </w:t>
      </w:r>
      <w:r>
        <w:t>ingeniería”</w:t>
      </w:r>
      <w:r w:rsidR="00BC5B28">
        <w:t>,</w:t>
      </w:r>
      <w:r>
        <w:t xml:space="preserve"> </w:t>
      </w:r>
      <w:r w:rsidR="00BC5B28">
        <w:t>“</w:t>
      </w:r>
      <w:r w:rsidRPr="007E5CDA">
        <w:t>Mantenimiento y reparación de maquinaria y equipos para la producción</w:t>
      </w:r>
      <w:r w:rsidR="00BC5B28">
        <w:t>” y “</w:t>
      </w:r>
      <w:r w:rsidR="00BC5B28" w:rsidRPr="00C81855">
        <w:t>Mantenimiento y reparación de bienes de infraestructura y de beneficio y uso público</w:t>
      </w:r>
      <w:r w:rsidR="00BC5B28">
        <w:t>”</w:t>
      </w:r>
      <w:r w:rsidR="00BC5B28" w:rsidRPr="00BC5B28">
        <w:t xml:space="preserve"> </w:t>
      </w:r>
      <w:r>
        <w:t xml:space="preserve">presentan variaciones negativas importantes de </w:t>
      </w:r>
      <w:r w:rsidRPr="00204A03">
        <w:t>-</w:t>
      </w:r>
      <w:r w:rsidRPr="00B47A6C">
        <w:rPr>
          <w:rFonts w:ascii="Arial" w:hAnsi="Arial" w:cs="Arial"/>
        </w:rPr>
        <w:t>₡</w:t>
      </w:r>
      <w:r w:rsidR="00BC5B28" w:rsidRPr="00C81855">
        <w:t>92 453,74</w:t>
      </w:r>
      <w:r w:rsidRPr="00204A03">
        <w:t>miles</w:t>
      </w:r>
      <w:r>
        <w:t>,</w:t>
      </w:r>
      <w:r w:rsidRPr="00204A03">
        <w:t xml:space="preserve"> -</w:t>
      </w:r>
      <w:r w:rsidRPr="00B47A6C">
        <w:rPr>
          <w:rFonts w:ascii="Arial" w:hAnsi="Arial" w:cs="Arial"/>
        </w:rPr>
        <w:t>₡</w:t>
      </w:r>
      <w:r w:rsidR="00BC5B28" w:rsidRPr="00C81855">
        <w:t>25 289,90</w:t>
      </w:r>
      <w:r w:rsidR="00BC5B28">
        <w:t xml:space="preserve"> </w:t>
      </w:r>
      <w:r w:rsidRPr="00204A03">
        <w:t>miles</w:t>
      </w:r>
      <w:r w:rsidR="00BC5B28">
        <w:t>,</w:t>
      </w:r>
      <w:r>
        <w:t xml:space="preserve"> </w:t>
      </w:r>
      <w:r w:rsidRPr="00204A03">
        <w:t>-</w:t>
      </w:r>
      <w:r w:rsidRPr="00B47A6C">
        <w:rPr>
          <w:rFonts w:ascii="Arial" w:hAnsi="Arial" w:cs="Arial"/>
        </w:rPr>
        <w:t>₡</w:t>
      </w:r>
      <w:r w:rsidR="00BC5B28" w:rsidRPr="00C81855">
        <w:t>44 677,60</w:t>
      </w:r>
      <w:r w:rsidR="00BC5B28">
        <w:t xml:space="preserve"> </w:t>
      </w:r>
      <w:r>
        <w:t>miles</w:t>
      </w:r>
      <w:r w:rsidR="00BC5B28">
        <w:t xml:space="preserve"> y </w:t>
      </w:r>
      <w:r w:rsidR="00BC5B28" w:rsidRPr="00C81855">
        <w:t>-</w:t>
      </w:r>
      <w:r w:rsidR="00BC5B28" w:rsidRPr="00B47A6C">
        <w:rPr>
          <w:rFonts w:ascii="Arial" w:hAnsi="Arial" w:cs="Arial"/>
        </w:rPr>
        <w:t>₡</w:t>
      </w:r>
      <w:r w:rsidR="00BC5B28" w:rsidRPr="00C81855">
        <w:t>799 778,54</w:t>
      </w:r>
      <w:r>
        <w:t xml:space="preserve">, </w:t>
      </w:r>
      <w:r w:rsidRPr="00204A03">
        <w:t>respectivamente</w:t>
      </w:r>
      <w:r w:rsidR="00BC5B28">
        <w:t>.</w:t>
      </w:r>
    </w:p>
    <w:p w14:paraId="19E1A3B8" w14:textId="77777777" w:rsidR="00DF24BE" w:rsidRDefault="00DF24BE" w:rsidP="00DF24BE">
      <w:pPr>
        <w:spacing w:after="0" w:line="240" w:lineRule="auto"/>
      </w:pPr>
    </w:p>
    <w:p w14:paraId="005284F7" w14:textId="29CDBFB4" w:rsidR="00DF24BE" w:rsidRPr="00F4405D" w:rsidRDefault="00DF24BE" w:rsidP="00DF24BE">
      <w:pPr>
        <w:spacing w:after="0" w:line="240" w:lineRule="auto"/>
      </w:pPr>
      <w:r>
        <w:t>Por otra parte, en dicho detalle se aprecia,</w:t>
      </w:r>
      <w:r w:rsidRPr="00A91674">
        <w:t xml:space="preserve"> </w:t>
      </w:r>
      <w:r>
        <w:t>que otras subcuentas presentan diferencias (aumentos) que tienen un peso considerable en la variación, tales como las subcuentas de</w:t>
      </w:r>
      <w:r w:rsidR="00A71C7B">
        <w:t xml:space="preserve"> </w:t>
      </w:r>
      <w:r w:rsidR="00743BFB">
        <w:t>“</w:t>
      </w:r>
      <w:r w:rsidR="00743BFB" w:rsidRPr="00C81855">
        <w:t>Servicios jurídicos</w:t>
      </w:r>
      <w:r w:rsidR="00743BFB">
        <w:t>”</w:t>
      </w:r>
      <w:r w:rsidR="00743BFB" w:rsidRPr="00743BFB">
        <w:t xml:space="preserve"> </w:t>
      </w:r>
      <w:r w:rsidR="00743BFB" w:rsidRPr="00B47A6C">
        <w:rPr>
          <w:rFonts w:ascii="Arial" w:hAnsi="Arial" w:cs="Arial"/>
        </w:rPr>
        <w:t>₡</w:t>
      </w:r>
      <w:r w:rsidR="00743BFB" w:rsidRPr="00C81855">
        <w:t>2 613,56</w:t>
      </w:r>
      <w:r w:rsidR="00743BFB" w:rsidRPr="00743BFB">
        <w:t xml:space="preserve"> </w:t>
      </w:r>
      <w:r w:rsidR="00A71C7B">
        <w:t>“</w:t>
      </w:r>
      <w:r w:rsidR="00A71C7B" w:rsidRPr="00C81855">
        <w:t>Servicios generales</w:t>
      </w:r>
      <w:r w:rsidR="00A71C7B">
        <w:t xml:space="preserve">” </w:t>
      </w:r>
      <w:r w:rsidR="00A71C7B" w:rsidRPr="00B47A6C">
        <w:rPr>
          <w:rFonts w:ascii="Arial" w:hAnsi="Arial" w:cs="Arial"/>
        </w:rPr>
        <w:t>₡</w:t>
      </w:r>
      <w:r w:rsidR="00A71C7B" w:rsidRPr="00C81855">
        <w:t>23 610,70</w:t>
      </w:r>
      <w:r>
        <w:t xml:space="preserve"> </w:t>
      </w:r>
      <w:r w:rsidR="00A71C7B">
        <w:t>“</w:t>
      </w:r>
      <w:r w:rsidR="00A71C7B" w:rsidRPr="00C81855">
        <w:t>Otros servicios de gestión y apoyo</w:t>
      </w:r>
      <w:r w:rsidRPr="00B47A6C">
        <w:t xml:space="preserve">” </w:t>
      </w:r>
      <w:r w:rsidRPr="00B47A6C">
        <w:rPr>
          <w:rFonts w:ascii="Arial" w:hAnsi="Arial" w:cs="Arial"/>
        </w:rPr>
        <w:t>₡</w:t>
      </w:r>
      <w:r w:rsidR="00A71C7B" w:rsidRPr="00C81855">
        <w:t>8 874,90</w:t>
      </w:r>
      <w:r w:rsidRPr="00B47A6C">
        <w:t xml:space="preserve">miles, </w:t>
      </w:r>
      <w:r>
        <w:t xml:space="preserve"> “</w:t>
      </w:r>
      <w:r w:rsidR="00743BFB" w:rsidRPr="00C81855">
        <w:t>Seguros (Vehículos y Riesgos del Trabajo)</w:t>
      </w:r>
      <w:r>
        <w:t xml:space="preserve">” </w:t>
      </w:r>
      <w:r w:rsidRPr="00B47A6C">
        <w:rPr>
          <w:rFonts w:ascii="Arial" w:hAnsi="Arial" w:cs="Arial"/>
        </w:rPr>
        <w:t>₡</w:t>
      </w:r>
      <w:r w:rsidR="00743BFB" w:rsidRPr="00C81855">
        <w:t>3 717,12</w:t>
      </w:r>
      <w:r w:rsidRPr="004A5ED9">
        <w:t xml:space="preserve"> miles</w:t>
      </w:r>
      <w:r>
        <w:t>,</w:t>
      </w:r>
      <w:r w:rsidR="00743BFB" w:rsidRPr="00743BFB">
        <w:rPr>
          <w:rFonts w:eastAsia="Times New Roman" w:cs="Calibri"/>
          <w:color w:val="000000"/>
          <w:sz w:val="20"/>
          <w:szCs w:val="20"/>
          <w:lang w:eastAsia="es-CR"/>
        </w:rPr>
        <w:t xml:space="preserve"> </w:t>
      </w:r>
      <w:r w:rsidR="00743BFB">
        <w:rPr>
          <w:rFonts w:eastAsia="Times New Roman" w:cs="Calibri"/>
          <w:color w:val="000000"/>
          <w:sz w:val="20"/>
          <w:szCs w:val="20"/>
          <w:lang w:eastAsia="es-CR"/>
        </w:rPr>
        <w:t>“</w:t>
      </w:r>
      <w:r w:rsidR="00743BFB" w:rsidRPr="00C81855">
        <w:t>Actividades de capacitación</w:t>
      </w:r>
      <w:r w:rsidR="00743BFB">
        <w:t xml:space="preserve">” </w:t>
      </w:r>
      <w:r w:rsidR="00743BFB" w:rsidRPr="00B47A6C">
        <w:rPr>
          <w:rFonts w:ascii="Arial" w:hAnsi="Arial" w:cs="Arial"/>
        </w:rPr>
        <w:t>₡</w:t>
      </w:r>
      <w:r w:rsidR="00743BFB" w:rsidRPr="00C81855">
        <w:t>4 860,00</w:t>
      </w:r>
      <w:r>
        <w:t xml:space="preserve"> “Actividades protocolarías y sociales” </w:t>
      </w:r>
      <w:r w:rsidRPr="00B47A6C">
        <w:rPr>
          <w:rFonts w:ascii="Arial" w:hAnsi="Arial" w:cs="Arial"/>
        </w:rPr>
        <w:t>₡</w:t>
      </w:r>
      <w:r w:rsidRPr="00E05ABA">
        <w:t>6 000,00 miles</w:t>
      </w:r>
      <w:r w:rsidR="00743BFB">
        <w:t>, “</w:t>
      </w:r>
      <w:r w:rsidR="00743BFB" w:rsidRPr="00C81855">
        <w:t>Mantenimiento de edificios Varios</w:t>
      </w:r>
      <w:r w:rsidR="00743BFB">
        <w:t>”</w:t>
      </w:r>
      <w:r w:rsidR="00743BFB" w:rsidRPr="00743BFB">
        <w:t xml:space="preserve"> </w:t>
      </w:r>
      <w:r w:rsidR="00743BFB" w:rsidRPr="00B47A6C">
        <w:rPr>
          <w:rFonts w:ascii="Arial" w:hAnsi="Arial" w:cs="Arial"/>
        </w:rPr>
        <w:t>₡</w:t>
      </w:r>
      <w:r w:rsidR="00743BFB" w:rsidRPr="00C81855">
        <w:t>28 584,48</w:t>
      </w:r>
      <w:r w:rsidR="00743BFB">
        <w:t xml:space="preserve"> </w:t>
      </w:r>
      <w:r>
        <w:t xml:space="preserve">y </w:t>
      </w:r>
      <w:r w:rsidR="00743BFB">
        <w:t>“</w:t>
      </w:r>
      <w:r w:rsidRPr="007E5CDA">
        <w:t>Mantenimiento y reparación de equipos de transporte, tracción y elevación</w:t>
      </w:r>
      <w:r w:rsidR="00743BFB">
        <w:t>”</w:t>
      </w:r>
      <w:r w:rsidRPr="00B47A6C">
        <w:t xml:space="preserve"> </w:t>
      </w:r>
      <w:r w:rsidRPr="00B47A6C">
        <w:rPr>
          <w:rFonts w:ascii="Arial" w:hAnsi="Arial" w:cs="Arial"/>
        </w:rPr>
        <w:t>₡</w:t>
      </w:r>
      <w:r w:rsidR="00743BFB" w:rsidRPr="00C81855">
        <w:t>1 437,64</w:t>
      </w:r>
      <w:r w:rsidR="00743BFB">
        <w:t xml:space="preserve"> </w:t>
      </w:r>
      <w:r w:rsidRPr="00B47A6C">
        <w:t>miles</w:t>
      </w:r>
      <w:r>
        <w:t>.</w:t>
      </w:r>
    </w:p>
    <w:p w14:paraId="06D05B85" w14:textId="77777777" w:rsidR="00692DC8" w:rsidRPr="00692DC8" w:rsidRDefault="00692DC8" w:rsidP="00293F0F"/>
    <w:p w14:paraId="0253AF13" w14:textId="77777777" w:rsidR="00692DC8" w:rsidRPr="00692DC8" w:rsidRDefault="00692DC8" w:rsidP="00293F0F">
      <w:pPr>
        <w:pStyle w:val="Ttulo4"/>
        <w:spacing w:after="240"/>
        <w:rPr>
          <w:rFonts w:eastAsia="Times New Roman"/>
        </w:rPr>
      </w:pPr>
      <w:bookmarkStart w:id="918" w:name="_Toc82769037"/>
      <w:bookmarkStart w:id="919" w:name="_Toc189804909"/>
      <w:r w:rsidRPr="00692DC8">
        <w:rPr>
          <w:rFonts w:eastAsia="Times New Roman"/>
        </w:rPr>
        <w:t>NOTA N° 6</w:t>
      </w:r>
      <w:bookmarkEnd w:id="911"/>
      <w:bookmarkEnd w:id="912"/>
      <w:bookmarkEnd w:id="918"/>
      <w:r w:rsidRPr="00692DC8">
        <w:rPr>
          <w:rFonts w:eastAsia="Times New Roman"/>
        </w:rPr>
        <w:t>1</w:t>
      </w:r>
      <w:bookmarkEnd w:id="919"/>
    </w:p>
    <w:p w14:paraId="334A5DDC" w14:textId="77777777" w:rsidR="00396CB4" w:rsidRDefault="00692DC8" w:rsidP="00F51D42">
      <w:pPr>
        <w:spacing w:before="240"/>
        <w:rPr>
          <w:rFonts w:asciiTheme="minorHAnsi" w:hAnsiTheme="minorHAnsi"/>
          <w:sz w:val="22"/>
        </w:rPr>
      </w:pPr>
      <w:bookmarkStart w:id="920" w:name="_Toc14344927"/>
      <w:bookmarkStart w:id="921" w:name="_Toc33601319"/>
      <w:bookmarkStart w:id="922" w:name="_Toc82769038"/>
      <w:r w:rsidRPr="00692DC8">
        <w:rPr>
          <w:rFonts w:eastAsia="Times New Roman"/>
        </w:rPr>
        <w:t>Materiales y suministros consumidos</w:t>
      </w:r>
      <w:bookmarkStart w:id="923" w:name="_Toc14344933"/>
      <w:bookmarkEnd w:id="920"/>
      <w:bookmarkEnd w:id="921"/>
      <w:bookmarkEnd w:id="922"/>
      <w:r w:rsidR="00AD32EB">
        <w:rPr>
          <w:rFonts w:eastAsiaTheme="majorEastAsia" w:cstheme="majorBidi"/>
          <w:iCs/>
          <w:lang w:val="es-ES"/>
        </w:rPr>
        <w:fldChar w:fldCharType="begin"/>
      </w:r>
      <w:r w:rsidR="00AD32EB">
        <w:rPr>
          <w:lang w:val="es-ES"/>
        </w:rPr>
        <w:instrText xml:space="preserve"> LINK </w:instrText>
      </w:r>
      <w:r w:rsidR="00756467">
        <w:rPr>
          <w:lang w:val="es-ES"/>
        </w:rPr>
        <w:instrText xml:space="preserve">Excel.SheetMacroEnabled.12 "C:\\Users\\gcordero\\Downloads\\Notas diciembre 2024\\Formato_Notas_EEFF_Vinculadas_2024\\Formato_Notas_EEFF_Vinculadas_2024\\15603_T04_2024_Anexo_Estado_Notas_Contables_Vinculadas.xlsm" NOTAS_POR_CUENTA!F359C1:F361C6 </w:instrText>
      </w:r>
      <w:r w:rsidR="00AD32EB">
        <w:rPr>
          <w:lang w:val="es-ES"/>
        </w:rPr>
        <w:instrText xml:space="preserve">\a \f 4 \h </w:instrText>
      </w:r>
      <w:r w:rsidR="00AD32EB">
        <w:rPr>
          <w:b/>
          <w:lang w:val="es-ES"/>
        </w:rPr>
        <w:fldChar w:fldCharType="separate"/>
      </w:r>
    </w:p>
    <w:tbl>
      <w:tblPr>
        <w:tblW w:w="9600" w:type="dxa"/>
        <w:tblCellMar>
          <w:left w:w="70" w:type="dxa"/>
          <w:right w:w="70" w:type="dxa"/>
        </w:tblCellMar>
        <w:tblLook w:val="04A0" w:firstRow="1" w:lastRow="0" w:firstColumn="1" w:lastColumn="0" w:noHBand="0" w:noVBand="1"/>
      </w:tblPr>
      <w:tblGrid>
        <w:gridCol w:w="1571"/>
        <w:gridCol w:w="2309"/>
        <w:gridCol w:w="500"/>
        <w:gridCol w:w="2100"/>
        <w:gridCol w:w="2100"/>
        <w:gridCol w:w="1020"/>
      </w:tblGrid>
      <w:tr w:rsidR="00396CB4" w:rsidRPr="00396CB4" w14:paraId="0D8F8D34" w14:textId="77777777" w:rsidTr="00396CB4">
        <w:trPr>
          <w:divId w:val="562175377"/>
          <w:trHeight w:val="330"/>
        </w:trPr>
        <w:tc>
          <w:tcPr>
            <w:tcW w:w="157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4CB317A" w14:textId="62FA3183" w:rsidR="00396CB4" w:rsidRPr="00396CB4" w:rsidRDefault="00396CB4" w:rsidP="00396CB4">
            <w:pP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2309"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2360F01"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EEA729A"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33B649A"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88F1593"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543B99FE"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11F84B13" w14:textId="77777777" w:rsidTr="00396CB4">
        <w:trPr>
          <w:divId w:val="562175377"/>
          <w:trHeight w:val="330"/>
        </w:trPr>
        <w:tc>
          <w:tcPr>
            <w:tcW w:w="1571" w:type="dxa"/>
            <w:vMerge/>
            <w:tcBorders>
              <w:top w:val="single" w:sz="8" w:space="0" w:color="auto"/>
              <w:left w:val="single" w:sz="8" w:space="0" w:color="auto"/>
              <w:bottom w:val="single" w:sz="8" w:space="0" w:color="000000"/>
              <w:right w:val="single" w:sz="8" w:space="0" w:color="auto"/>
            </w:tcBorders>
            <w:vAlign w:val="center"/>
            <w:hideMark/>
          </w:tcPr>
          <w:p w14:paraId="5728B4E5"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309" w:type="dxa"/>
            <w:vMerge/>
            <w:tcBorders>
              <w:top w:val="single" w:sz="8" w:space="0" w:color="auto"/>
              <w:left w:val="single" w:sz="8" w:space="0" w:color="auto"/>
              <w:bottom w:val="single" w:sz="8" w:space="0" w:color="000000"/>
              <w:right w:val="single" w:sz="8" w:space="0" w:color="auto"/>
            </w:tcBorders>
            <w:vAlign w:val="center"/>
            <w:hideMark/>
          </w:tcPr>
          <w:p w14:paraId="4FB08716"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423B4549"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76DDE9BE"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3A5D1144"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1F6C1F45"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4EB72458" w14:textId="77777777" w:rsidTr="00396CB4">
        <w:trPr>
          <w:divId w:val="562175377"/>
          <w:trHeight w:val="330"/>
        </w:trPr>
        <w:tc>
          <w:tcPr>
            <w:tcW w:w="1571" w:type="dxa"/>
            <w:tcBorders>
              <w:top w:val="nil"/>
              <w:left w:val="single" w:sz="8" w:space="0" w:color="auto"/>
              <w:bottom w:val="single" w:sz="8" w:space="0" w:color="auto"/>
              <w:right w:val="single" w:sz="8" w:space="0" w:color="auto"/>
            </w:tcBorders>
            <w:shd w:val="clear" w:color="auto" w:fill="auto"/>
            <w:noWrap/>
            <w:vAlign w:val="center"/>
            <w:hideMark/>
          </w:tcPr>
          <w:p w14:paraId="7D64C36F"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5.1.3.</w:t>
            </w:r>
          </w:p>
        </w:tc>
        <w:tc>
          <w:tcPr>
            <w:tcW w:w="2309" w:type="dxa"/>
            <w:tcBorders>
              <w:top w:val="nil"/>
              <w:left w:val="nil"/>
              <w:bottom w:val="single" w:sz="8" w:space="0" w:color="auto"/>
              <w:right w:val="single" w:sz="8" w:space="0" w:color="auto"/>
            </w:tcBorders>
            <w:shd w:val="clear" w:color="auto" w:fill="auto"/>
            <w:vAlign w:val="center"/>
            <w:hideMark/>
          </w:tcPr>
          <w:p w14:paraId="1DAA679F" w14:textId="77777777" w:rsidR="00396CB4" w:rsidRPr="00396CB4" w:rsidRDefault="00396CB4" w:rsidP="00396CB4">
            <w:pPr>
              <w:spacing w:after="0" w:line="240" w:lineRule="auto"/>
              <w:rPr>
                <w:rFonts w:eastAsia="Times New Roman" w:cs="Calibri"/>
                <w:b/>
                <w:bCs/>
                <w:color w:val="000000"/>
                <w:sz w:val="18"/>
                <w:szCs w:val="18"/>
                <w:lang w:eastAsia="es-CR"/>
              </w:rPr>
            </w:pPr>
            <w:r w:rsidRPr="00396CB4">
              <w:rPr>
                <w:rFonts w:eastAsia="Times New Roman" w:cs="Calibri"/>
                <w:b/>
                <w:bCs/>
                <w:color w:val="000000"/>
                <w:sz w:val="18"/>
                <w:szCs w:val="18"/>
                <w:lang w:eastAsia="es-CR"/>
              </w:rPr>
              <w:t>Materiales y suministros consumidos</w:t>
            </w:r>
          </w:p>
        </w:tc>
        <w:tc>
          <w:tcPr>
            <w:tcW w:w="500" w:type="dxa"/>
            <w:tcBorders>
              <w:top w:val="nil"/>
              <w:left w:val="nil"/>
              <w:bottom w:val="single" w:sz="8" w:space="0" w:color="auto"/>
              <w:right w:val="single" w:sz="8" w:space="0" w:color="auto"/>
            </w:tcBorders>
            <w:shd w:val="clear" w:color="auto" w:fill="auto"/>
            <w:noWrap/>
            <w:vAlign w:val="center"/>
            <w:hideMark/>
          </w:tcPr>
          <w:p w14:paraId="2D5600A0"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61</w:t>
            </w:r>
          </w:p>
        </w:tc>
        <w:tc>
          <w:tcPr>
            <w:tcW w:w="2100" w:type="dxa"/>
            <w:tcBorders>
              <w:top w:val="nil"/>
              <w:left w:val="nil"/>
              <w:bottom w:val="single" w:sz="8" w:space="0" w:color="auto"/>
              <w:right w:val="single" w:sz="8" w:space="0" w:color="auto"/>
            </w:tcBorders>
            <w:shd w:val="clear" w:color="auto" w:fill="auto"/>
            <w:noWrap/>
            <w:vAlign w:val="center"/>
            <w:hideMark/>
          </w:tcPr>
          <w:p w14:paraId="5762C700"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591 454,25 </w:t>
            </w:r>
          </w:p>
        </w:tc>
        <w:tc>
          <w:tcPr>
            <w:tcW w:w="2100" w:type="dxa"/>
            <w:tcBorders>
              <w:top w:val="nil"/>
              <w:left w:val="nil"/>
              <w:bottom w:val="single" w:sz="8" w:space="0" w:color="auto"/>
              <w:right w:val="single" w:sz="8" w:space="0" w:color="auto"/>
            </w:tcBorders>
            <w:shd w:val="clear" w:color="auto" w:fill="auto"/>
            <w:noWrap/>
            <w:vAlign w:val="center"/>
            <w:hideMark/>
          </w:tcPr>
          <w:p w14:paraId="037932C8"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539 311,43 </w:t>
            </w:r>
          </w:p>
        </w:tc>
        <w:tc>
          <w:tcPr>
            <w:tcW w:w="1020" w:type="dxa"/>
            <w:tcBorders>
              <w:top w:val="nil"/>
              <w:left w:val="nil"/>
              <w:bottom w:val="single" w:sz="8" w:space="0" w:color="auto"/>
              <w:right w:val="single" w:sz="8" w:space="0" w:color="auto"/>
            </w:tcBorders>
            <w:shd w:val="clear" w:color="auto" w:fill="auto"/>
            <w:noWrap/>
            <w:vAlign w:val="center"/>
            <w:hideMark/>
          </w:tcPr>
          <w:p w14:paraId="5B9DC5B9"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9,67%</w:t>
            </w:r>
          </w:p>
        </w:tc>
      </w:tr>
    </w:tbl>
    <w:p w14:paraId="442AFDBC" w14:textId="77777777" w:rsidR="00CE5B37" w:rsidRDefault="00AD32EB" w:rsidP="00396CB4">
      <w:pPr>
        <w:spacing w:before="240"/>
        <w:rPr>
          <w:b/>
          <w:bCs/>
          <w:lang w:val="es-ES"/>
        </w:rPr>
      </w:pPr>
      <w:r>
        <w:rPr>
          <w:b/>
          <w:bCs/>
          <w:lang w:val="es-ES"/>
        </w:rPr>
        <w:fldChar w:fldCharType="end"/>
      </w:r>
    </w:p>
    <w:p w14:paraId="5E611B9C" w14:textId="771D9005" w:rsidR="00396CB4" w:rsidRPr="00396CB4" w:rsidRDefault="00692DC8" w:rsidP="00396CB4">
      <w:pPr>
        <w:spacing w:before="240"/>
        <w:rPr>
          <w:b/>
          <w:bCs/>
          <w:lang w:val="es-ES"/>
        </w:rPr>
      </w:pPr>
      <w:r w:rsidRPr="00692DC8">
        <w:rPr>
          <w:b/>
          <w:bCs/>
          <w:lang w:val="es-ES"/>
        </w:rPr>
        <w:t>Revelación</w:t>
      </w:r>
      <w:r w:rsidRPr="00692DC8">
        <w:rPr>
          <w:lang w:val="es-ES"/>
        </w:rPr>
        <w:t xml:space="preserve">: </w:t>
      </w:r>
      <w:r w:rsidR="00AD32EB">
        <w:rPr>
          <w:rFonts w:eastAsia="Times New Roman" w:cs="Calibri"/>
          <w:color w:val="000000"/>
          <w:lang w:eastAsia="es-CR"/>
        </w:rPr>
        <w:fldChar w:fldCharType="begin"/>
      </w:r>
      <w:r w:rsidR="00AD32EB">
        <w:rPr>
          <w:rFonts w:eastAsia="Times New Roman" w:cs="Calibri"/>
          <w:color w:val="000000"/>
          <w:lang w:eastAsia="es-CR"/>
        </w:rPr>
        <w:instrText xml:space="preserve"> LINK </w:instrText>
      </w:r>
      <w:r w:rsidR="00756467">
        <w:rPr>
          <w:rFonts w:eastAsia="Times New Roman" w:cs="Calibri"/>
          <w:color w:val="000000"/>
          <w:lang w:eastAsia="es-CR"/>
        </w:rPr>
        <w:instrText xml:space="preserve">Excel.SheetMacroEnabled.12 "C:\\Users\\gcordero\\Downloads\\Notas diciembre 2024\\Formato_Notas_EEFF_Vinculadas_2024\\Formato_Notas_EEFF_Vinculadas_2024\\15603_T04_2024_Anexo_Estado_Notas_Contables_Vinculadas.xlsm" NOTAS_POR_CUENTA!F361C8 </w:instrText>
      </w:r>
      <w:r w:rsidR="00AD32EB">
        <w:rPr>
          <w:rFonts w:eastAsia="Times New Roman" w:cs="Calibri"/>
          <w:color w:val="000000"/>
          <w:lang w:eastAsia="es-CR"/>
        </w:rPr>
        <w:instrText xml:space="preserve">\a \f 5 \h  \* MERGEFORMAT </w:instrText>
      </w:r>
      <w:r w:rsidR="00AD32EB">
        <w:rPr>
          <w:rFonts w:eastAsia="Times New Roman" w:cs="Calibri"/>
          <w:color w:val="000000"/>
          <w:lang w:eastAsia="es-CR"/>
        </w:rPr>
        <w:fldChar w:fldCharType="separate"/>
      </w:r>
    </w:p>
    <w:p w14:paraId="5A75DFF5" w14:textId="4055011E" w:rsidR="00CE5B37" w:rsidRPr="00396CB4" w:rsidRDefault="00396CB4" w:rsidP="00396CB4">
      <w:pPr>
        <w:rPr>
          <w:rFonts w:eastAsia="Times New Roman" w:cs="Calibri"/>
          <w:color w:val="000000"/>
          <w:lang w:eastAsia="es-CR"/>
        </w:rPr>
      </w:pPr>
      <w:r w:rsidRPr="00396CB4">
        <w:rPr>
          <w:rFonts w:eastAsia="Times New Roman" w:cs="Calibri"/>
          <w:color w:val="000000"/>
          <w:lang w:eastAsia="es-CR"/>
        </w:rPr>
        <w:t>La cuenta Materiales y suministros consumidos, representa el 11,24% del total del Gastos, que comparado al periodo anterior genera una variación absoluta de 52 142,82 que corresponde a un Aumento del 9,67% de recursos disponibles.</w:t>
      </w:r>
    </w:p>
    <w:p w14:paraId="2E034559" w14:textId="788D4683" w:rsidR="00692DC8" w:rsidRPr="00293F0F" w:rsidRDefault="00AD32EB" w:rsidP="00AD32EB">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53B6A412" w14:textId="1D68D4E8" w:rsidR="00DF24BE" w:rsidRPr="00514ED6" w:rsidRDefault="00DF24BE" w:rsidP="00DF24BE">
      <w:pPr>
        <w:spacing w:after="0" w:line="240" w:lineRule="auto"/>
        <w:rPr>
          <w:rFonts w:eastAsia="Times New Roman" w:cs="Calibri"/>
          <w:color w:val="000000"/>
          <w:sz w:val="20"/>
          <w:szCs w:val="20"/>
        </w:rPr>
      </w:pPr>
      <w:r w:rsidRPr="00A04154">
        <w:rPr>
          <w:rFonts w:eastAsiaTheme="minorEastAsia" w:cs="Arial Narrow"/>
          <w:color w:val="000000"/>
          <w:lang w:eastAsia="es-CR"/>
        </w:rPr>
        <w:t xml:space="preserve">Como se observa en el </w:t>
      </w:r>
      <w:r>
        <w:rPr>
          <w:rFonts w:eastAsiaTheme="minorEastAsia" w:cs="Arial Narrow"/>
          <w:color w:val="000000"/>
          <w:lang w:eastAsia="es-CR"/>
        </w:rPr>
        <w:t xml:space="preserve">siguiente </w:t>
      </w:r>
      <w:r w:rsidRPr="00A04154">
        <w:rPr>
          <w:rFonts w:eastAsiaTheme="minorEastAsia" w:cs="Arial Narrow"/>
          <w:color w:val="000000"/>
          <w:lang w:eastAsia="es-CR"/>
        </w:rPr>
        <w:t xml:space="preserve">cuadro la variación </w:t>
      </w:r>
      <w:r>
        <w:rPr>
          <w:rFonts w:eastAsiaTheme="minorEastAsia" w:cs="Arial Narrow"/>
          <w:color w:val="000000"/>
          <w:lang w:eastAsia="es-CR"/>
        </w:rPr>
        <w:t xml:space="preserve">(aumento) de </w:t>
      </w:r>
      <w:r w:rsidRPr="00767BA3">
        <w:rPr>
          <w:rFonts w:ascii="Arial" w:eastAsiaTheme="minorEastAsia" w:hAnsi="Arial" w:cs="Arial"/>
          <w:color w:val="000000"/>
          <w:lang w:eastAsia="es-CR"/>
        </w:rPr>
        <w:t>₡</w:t>
      </w:r>
      <w:r w:rsidR="00CE5B37">
        <w:rPr>
          <w:rFonts w:eastAsiaTheme="minorEastAsia" w:cs="Arial Narrow"/>
          <w:color w:val="000000"/>
          <w:lang w:eastAsia="es-CR"/>
        </w:rPr>
        <w:t>52 142,82</w:t>
      </w:r>
      <w:r>
        <w:rPr>
          <w:rFonts w:eastAsiaTheme="minorEastAsia" w:cs="Arial Narrow"/>
          <w:color w:val="000000"/>
          <w:lang w:eastAsia="es-CR"/>
        </w:rPr>
        <w:t xml:space="preserve"> miles </w:t>
      </w:r>
      <w:r w:rsidRPr="00A04154">
        <w:rPr>
          <w:rFonts w:eastAsiaTheme="minorEastAsia" w:cs="Arial Narrow"/>
          <w:color w:val="000000"/>
          <w:lang w:eastAsia="es-CR"/>
        </w:rPr>
        <w:t>en l</w:t>
      </w:r>
      <w:r>
        <w:rPr>
          <w:rFonts w:eastAsiaTheme="minorEastAsia" w:cs="Arial Narrow"/>
          <w:color w:val="000000"/>
          <w:lang w:eastAsia="es-CR"/>
        </w:rPr>
        <w:t>a cuenta de “G</w:t>
      </w:r>
      <w:r w:rsidRPr="00A04154">
        <w:rPr>
          <w:rFonts w:eastAsiaTheme="minorEastAsia" w:cs="Arial Narrow"/>
          <w:color w:val="000000"/>
          <w:lang w:eastAsia="es-CR"/>
        </w:rPr>
        <w:t>asto de materiales y suministro</w:t>
      </w:r>
      <w:r>
        <w:rPr>
          <w:rFonts w:eastAsiaTheme="minorEastAsia" w:cs="Arial Narrow"/>
          <w:color w:val="000000"/>
          <w:lang w:eastAsia="es-CR"/>
        </w:rPr>
        <w:t>s”</w:t>
      </w:r>
      <w:r w:rsidRPr="00A04154">
        <w:rPr>
          <w:rFonts w:eastAsiaTheme="minorEastAsia" w:cs="Arial Narrow"/>
          <w:color w:val="000000"/>
          <w:lang w:eastAsia="es-CR"/>
        </w:rPr>
        <w:t xml:space="preserve"> </w:t>
      </w:r>
      <w:r>
        <w:rPr>
          <w:rFonts w:eastAsiaTheme="minorEastAsia" w:cs="Arial Narrow"/>
          <w:color w:val="000000"/>
          <w:lang w:eastAsia="es-CR"/>
        </w:rPr>
        <w:t xml:space="preserve">al </w:t>
      </w:r>
      <w:r w:rsidR="00796636">
        <w:rPr>
          <w:rFonts w:eastAsiaTheme="minorEastAsia" w:cs="Arial Narrow"/>
          <w:color w:val="000000"/>
          <w:lang w:eastAsia="es-CR"/>
        </w:rPr>
        <w:t>31</w:t>
      </w:r>
      <w:r>
        <w:rPr>
          <w:rFonts w:eastAsiaTheme="minorEastAsia" w:cs="Arial Narrow"/>
          <w:color w:val="000000"/>
          <w:lang w:eastAsia="es-CR"/>
        </w:rPr>
        <w:t xml:space="preserve"> de </w:t>
      </w:r>
      <w:r w:rsidR="00D64CF8">
        <w:rPr>
          <w:rFonts w:eastAsiaTheme="minorEastAsia" w:cs="Arial Narrow"/>
          <w:color w:val="000000"/>
          <w:lang w:eastAsia="es-CR"/>
        </w:rPr>
        <w:t>diciembre</w:t>
      </w:r>
      <w:r>
        <w:rPr>
          <w:rFonts w:eastAsiaTheme="minorEastAsia" w:cs="Arial Narrow"/>
          <w:color w:val="000000"/>
          <w:lang w:eastAsia="es-CR"/>
        </w:rPr>
        <w:t xml:space="preserve"> de</w:t>
      </w:r>
      <w:r w:rsidRPr="00A04154">
        <w:rPr>
          <w:rFonts w:eastAsiaTheme="minorEastAsia" w:cs="Arial Narrow"/>
          <w:color w:val="000000"/>
          <w:lang w:eastAsia="es-CR"/>
        </w:rPr>
        <w:t xml:space="preserve"> </w:t>
      </w:r>
      <w:r>
        <w:rPr>
          <w:rFonts w:eastAsiaTheme="minorEastAsia" w:cs="Arial Narrow"/>
          <w:color w:val="000000"/>
          <w:lang w:eastAsia="es-CR"/>
        </w:rPr>
        <w:t>2024</w:t>
      </w:r>
      <w:r w:rsidRPr="00A04154">
        <w:rPr>
          <w:rFonts w:eastAsiaTheme="minorEastAsia" w:cs="Arial Narrow"/>
          <w:color w:val="000000"/>
          <w:lang w:eastAsia="es-CR"/>
        </w:rPr>
        <w:t xml:space="preserve"> en relación con el </w:t>
      </w:r>
      <w:r w:rsidR="00796636">
        <w:rPr>
          <w:rFonts w:eastAsiaTheme="minorEastAsia" w:cs="Arial Narrow"/>
          <w:color w:val="000000"/>
          <w:lang w:eastAsia="es-CR"/>
        </w:rPr>
        <w:t>31</w:t>
      </w:r>
      <w:r>
        <w:rPr>
          <w:rFonts w:eastAsiaTheme="minorEastAsia" w:cs="Arial Narrow"/>
          <w:color w:val="000000"/>
          <w:lang w:eastAsia="es-CR"/>
        </w:rPr>
        <w:t xml:space="preserve"> de </w:t>
      </w:r>
      <w:r w:rsidR="00D64CF8">
        <w:rPr>
          <w:rFonts w:eastAsiaTheme="minorEastAsia" w:cs="Arial Narrow"/>
          <w:color w:val="000000"/>
          <w:lang w:eastAsia="es-CR"/>
        </w:rPr>
        <w:t>diciembre</w:t>
      </w:r>
      <w:r>
        <w:rPr>
          <w:rFonts w:eastAsiaTheme="minorEastAsia" w:cs="Arial Narrow"/>
          <w:color w:val="000000"/>
          <w:lang w:eastAsia="es-CR"/>
        </w:rPr>
        <w:t xml:space="preserve"> de 2023</w:t>
      </w:r>
      <w:r w:rsidRPr="00A04154">
        <w:rPr>
          <w:rFonts w:eastAsiaTheme="minorEastAsia" w:cs="Arial Narrow"/>
          <w:color w:val="000000"/>
          <w:lang w:eastAsia="es-CR"/>
        </w:rPr>
        <w:t xml:space="preserve">, </w:t>
      </w:r>
      <w:r>
        <w:rPr>
          <w:rFonts w:eastAsiaTheme="minorEastAsia" w:cs="Arial Narrow"/>
          <w:color w:val="000000"/>
          <w:lang w:eastAsia="es-CR"/>
        </w:rPr>
        <w:t>es producto de un efecto neto de aumentos en las diferentes cuentas que componen el rubro. Al respecto, las cuentas que presentan las variaciones más significativas son “</w:t>
      </w:r>
      <w:r w:rsidRPr="00514ED6">
        <w:rPr>
          <w:rFonts w:eastAsiaTheme="minorEastAsia" w:cs="Arial Narrow"/>
          <w:color w:val="000000"/>
          <w:lang w:eastAsia="es-CR"/>
        </w:rPr>
        <w:t>Productos químicos y conexos”,</w:t>
      </w:r>
      <w:r>
        <w:rPr>
          <w:rFonts w:eastAsiaTheme="minorEastAsia" w:cs="Arial Narrow"/>
          <w:color w:val="000000"/>
          <w:lang w:eastAsia="es-CR"/>
        </w:rPr>
        <w:t xml:space="preserve"> “</w:t>
      </w:r>
      <w:r w:rsidRPr="00A425DD">
        <w:rPr>
          <w:rFonts w:eastAsiaTheme="minorEastAsia" w:cs="Arial Narrow"/>
          <w:color w:val="000000"/>
          <w:lang w:eastAsia="es-CR"/>
        </w:rPr>
        <w:t>Materiales y productos de uso en la construcción y mantenimiento</w:t>
      </w:r>
      <w:r>
        <w:rPr>
          <w:rFonts w:eastAsiaTheme="minorEastAsia" w:cs="Arial Narrow"/>
          <w:color w:val="000000"/>
          <w:lang w:eastAsia="es-CR"/>
        </w:rPr>
        <w:t>” y “</w:t>
      </w:r>
      <w:r w:rsidRPr="00514ED6">
        <w:rPr>
          <w:rFonts w:eastAsiaTheme="minorEastAsia" w:cs="Arial Narrow"/>
          <w:color w:val="000000"/>
          <w:lang w:eastAsia="es-CR"/>
        </w:rPr>
        <w:t>Útiles, materiales y suministros diversos”,</w:t>
      </w:r>
      <w:r w:rsidR="00CE5B37">
        <w:rPr>
          <w:rFonts w:eastAsiaTheme="minorEastAsia" w:cs="Arial Narrow"/>
          <w:color w:val="000000"/>
          <w:lang w:eastAsia="es-CR"/>
        </w:rPr>
        <w:t xml:space="preserve"> que</w:t>
      </w:r>
      <w:r w:rsidRPr="00A425DD">
        <w:rPr>
          <w:rFonts w:eastAsiaTheme="minorEastAsia" w:cs="Arial Narrow"/>
          <w:color w:val="000000"/>
          <w:lang w:eastAsia="es-CR"/>
        </w:rPr>
        <w:t xml:space="preserve"> presenta</w:t>
      </w:r>
      <w:r>
        <w:rPr>
          <w:rFonts w:eastAsiaTheme="minorEastAsia" w:cs="Arial Narrow"/>
          <w:color w:val="000000"/>
          <w:lang w:eastAsia="es-CR"/>
        </w:rPr>
        <w:t>n</w:t>
      </w:r>
      <w:r w:rsidRPr="00A425DD">
        <w:rPr>
          <w:rFonts w:eastAsiaTheme="minorEastAsia" w:cs="Arial Narrow"/>
          <w:color w:val="000000"/>
          <w:lang w:eastAsia="es-CR"/>
        </w:rPr>
        <w:t xml:space="preserve"> </w:t>
      </w:r>
      <w:r>
        <w:rPr>
          <w:rFonts w:eastAsiaTheme="minorEastAsia" w:cs="Arial Narrow"/>
          <w:color w:val="000000"/>
          <w:lang w:eastAsia="es-CR"/>
        </w:rPr>
        <w:t xml:space="preserve">aumentos </w:t>
      </w:r>
      <w:r w:rsidRPr="00A425DD">
        <w:rPr>
          <w:rFonts w:eastAsiaTheme="minorEastAsia" w:cs="Arial Narrow"/>
          <w:color w:val="000000"/>
          <w:lang w:eastAsia="es-CR"/>
        </w:rPr>
        <w:t xml:space="preserve">de </w:t>
      </w:r>
      <w:r w:rsidRPr="00514ED6">
        <w:rPr>
          <w:rFonts w:ascii="Arial" w:eastAsiaTheme="minorEastAsia" w:hAnsi="Arial" w:cs="Arial"/>
          <w:color w:val="000000"/>
          <w:lang w:eastAsia="es-CR"/>
        </w:rPr>
        <w:t>₡</w:t>
      </w:r>
      <w:r w:rsidR="00CE5B37">
        <w:rPr>
          <w:rFonts w:eastAsiaTheme="minorEastAsia" w:cs="Arial Narrow"/>
          <w:color w:val="000000"/>
          <w:lang w:eastAsia="es-CR"/>
        </w:rPr>
        <w:t>1 735,13</w:t>
      </w:r>
      <w:r w:rsidRPr="00514ED6">
        <w:rPr>
          <w:rFonts w:eastAsiaTheme="minorEastAsia" w:cs="Arial Narrow"/>
          <w:color w:val="000000"/>
          <w:lang w:eastAsia="es-CR"/>
        </w:rPr>
        <w:t xml:space="preserve"> </w:t>
      </w:r>
      <w:r>
        <w:rPr>
          <w:rFonts w:eastAsiaTheme="minorEastAsia" w:cs="Arial Narrow"/>
          <w:color w:val="000000"/>
          <w:lang w:eastAsia="es-CR"/>
        </w:rPr>
        <w:t xml:space="preserve">miles, </w:t>
      </w:r>
      <w:r w:rsidRPr="00514ED6">
        <w:rPr>
          <w:rFonts w:ascii="Arial" w:eastAsiaTheme="minorEastAsia" w:hAnsi="Arial" w:cs="Arial"/>
          <w:color w:val="000000"/>
          <w:lang w:eastAsia="es-CR"/>
        </w:rPr>
        <w:t>₡</w:t>
      </w:r>
      <w:r>
        <w:rPr>
          <w:rFonts w:eastAsiaTheme="minorEastAsia" w:cs="Arial Narrow"/>
          <w:color w:val="000000"/>
          <w:lang w:eastAsia="es-CR"/>
        </w:rPr>
        <w:t>3</w:t>
      </w:r>
      <w:r w:rsidR="00CE5B37">
        <w:rPr>
          <w:rFonts w:eastAsiaTheme="minorEastAsia" w:cs="Arial Narrow"/>
          <w:color w:val="000000"/>
          <w:lang w:eastAsia="es-CR"/>
        </w:rPr>
        <w:t>9 256,53</w:t>
      </w:r>
      <w:r>
        <w:rPr>
          <w:rFonts w:eastAsiaTheme="minorEastAsia" w:cs="Arial Narrow"/>
          <w:color w:val="000000"/>
          <w:lang w:eastAsia="es-CR"/>
        </w:rPr>
        <w:t xml:space="preserve"> miles,</w:t>
      </w:r>
      <w:r w:rsidR="00CE5B37">
        <w:rPr>
          <w:rFonts w:eastAsiaTheme="minorEastAsia" w:cs="Arial Narrow"/>
          <w:color w:val="000000"/>
          <w:lang w:eastAsia="es-CR"/>
        </w:rPr>
        <w:t xml:space="preserve"> </w:t>
      </w:r>
      <w:r>
        <w:rPr>
          <w:rFonts w:eastAsiaTheme="minorEastAsia" w:cs="Arial Narrow"/>
          <w:color w:val="000000"/>
          <w:lang w:eastAsia="es-CR"/>
        </w:rPr>
        <w:t xml:space="preserve">y </w:t>
      </w:r>
      <w:r w:rsidRPr="00514ED6">
        <w:rPr>
          <w:rFonts w:ascii="Arial" w:eastAsiaTheme="minorEastAsia" w:hAnsi="Arial" w:cs="Arial"/>
          <w:color w:val="000000"/>
          <w:lang w:eastAsia="es-CR"/>
        </w:rPr>
        <w:t>₡</w:t>
      </w:r>
      <w:r w:rsidR="00EC23A8">
        <w:rPr>
          <w:rFonts w:eastAsiaTheme="minorEastAsia" w:cs="Arial Narrow"/>
          <w:color w:val="000000"/>
          <w:lang w:eastAsia="es-CR"/>
        </w:rPr>
        <w:t xml:space="preserve">16 889,58 </w:t>
      </w:r>
      <w:r w:rsidRPr="00514ED6">
        <w:rPr>
          <w:rFonts w:eastAsiaTheme="minorEastAsia" w:cs="Arial Narrow"/>
          <w:color w:val="000000"/>
          <w:lang w:eastAsia="es-CR"/>
        </w:rPr>
        <w:t>miles respectivamente.</w:t>
      </w:r>
    </w:p>
    <w:p w14:paraId="20C11BBC" w14:textId="77777777" w:rsidR="00DF24BE" w:rsidRDefault="00DF24BE" w:rsidP="00DF24BE">
      <w:pPr>
        <w:spacing w:after="0" w:line="240" w:lineRule="auto"/>
        <w:rPr>
          <w:rFonts w:eastAsiaTheme="minorEastAsia" w:cs="Arial Narrow"/>
          <w:color w:val="000000"/>
          <w:lang w:eastAsia="es-CR"/>
        </w:rPr>
      </w:pPr>
    </w:p>
    <w:p w14:paraId="0B5AE90F" w14:textId="00EB8D4C" w:rsidR="00DF24BE" w:rsidRPr="00290BBB" w:rsidRDefault="00CE5B37" w:rsidP="00DF24BE">
      <w:pPr>
        <w:spacing w:after="0" w:line="240" w:lineRule="auto"/>
        <w:rPr>
          <w:rFonts w:eastAsiaTheme="minorEastAsia" w:cs="Arial Narrow"/>
          <w:color w:val="000000"/>
          <w:lang w:eastAsia="es-CR"/>
        </w:rPr>
      </w:pPr>
      <w:r w:rsidRPr="00CE5B37">
        <w:rPr>
          <w:noProof/>
          <w:lang w:eastAsia="es-CR"/>
        </w:rPr>
        <w:lastRenderedPageBreak/>
        <w:drawing>
          <wp:inline distT="0" distB="0" distL="0" distR="0" wp14:anchorId="32A0449A" wp14:editId="7A10B2B4">
            <wp:extent cx="5645150" cy="1804946"/>
            <wp:effectExtent l="0" t="0" r="0" b="5080"/>
            <wp:docPr id="179301621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50124" cy="1806536"/>
                    </a:xfrm>
                    <a:prstGeom prst="rect">
                      <a:avLst/>
                    </a:prstGeom>
                    <a:noFill/>
                    <a:ln>
                      <a:noFill/>
                    </a:ln>
                  </pic:spPr>
                </pic:pic>
              </a:graphicData>
            </a:graphic>
          </wp:inline>
        </w:drawing>
      </w:r>
    </w:p>
    <w:p w14:paraId="39AB8C03" w14:textId="77777777" w:rsidR="00DF24BE" w:rsidRDefault="00DF24BE" w:rsidP="00DF24BE">
      <w:pPr>
        <w:rPr>
          <w:rFonts w:eastAsiaTheme="minorEastAsia" w:cs="Arial Narrow"/>
          <w:color w:val="000000"/>
          <w:lang w:eastAsia="es-CR"/>
        </w:rPr>
      </w:pPr>
      <w:r w:rsidRPr="00A04154">
        <w:rPr>
          <w:rFonts w:eastAsiaTheme="minorEastAsia" w:cs="Arial Narrow"/>
          <w:color w:val="000000"/>
          <w:lang w:eastAsia="es-CR"/>
        </w:rPr>
        <w:t>El detalle de las variaciones por rubro se muestra en el siguiente detalle:</w:t>
      </w:r>
    </w:p>
    <w:p w14:paraId="4C4F6429" w14:textId="03C81CAE" w:rsidR="00DF24BE" w:rsidRDefault="00403BC3" w:rsidP="00DF24BE">
      <w:pPr>
        <w:spacing w:after="0" w:line="240" w:lineRule="auto"/>
        <w:rPr>
          <w:rFonts w:eastAsiaTheme="minorEastAsia" w:cs="Arial Narrow"/>
          <w:color w:val="000000"/>
          <w:lang w:eastAsia="es-CR"/>
        </w:rPr>
      </w:pPr>
      <w:r w:rsidRPr="00403BC3">
        <w:rPr>
          <w:noProof/>
          <w:lang w:eastAsia="es-CR"/>
        </w:rPr>
        <w:drawing>
          <wp:inline distT="0" distB="0" distL="0" distR="0" wp14:anchorId="3B1B8F51" wp14:editId="3450779C">
            <wp:extent cx="5629524" cy="6010460"/>
            <wp:effectExtent l="0" t="0" r="9525" b="0"/>
            <wp:docPr id="125150639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36750" cy="6018175"/>
                    </a:xfrm>
                    <a:prstGeom prst="rect">
                      <a:avLst/>
                    </a:prstGeom>
                    <a:noFill/>
                    <a:ln>
                      <a:noFill/>
                    </a:ln>
                  </pic:spPr>
                </pic:pic>
              </a:graphicData>
            </a:graphic>
          </wp:inline>
        </w:drawing>
      </w:r>
    </w:p>
    <w:p w14:paraId="4E8835C8" w14:textId="354F05B5" w:rsidR="00692DC8" w:rsidRPr="00403BC3" w:rsidRDefault="00DF24BE" w:rsidP="00DF24BE">
      <w:r>
        <w:lastRenderedPageBreak/>
        <w:t xml:space="preserve">Como se aprecia en el cuadro anterior, la variación (aumento) de </w:t>
      </w:r>
      <w:r w:rsidRPr="00B46A0F">
        <w:rPr>
          <w:rFonts w:ascii="Arial" w:hAnsi="Arial" w:cs="Arial"/>
        </w:rPr>
        <w:t>₡</w:t>
      </w:r>
      <w:r w:rsidR="00403BC3">
        <w:t>52 142,82</w:t>
      </w:r>
      <w:r w:rsidRPr="009755F2">
        <w:t xml:space="preserve"> miles</w:t>
      </w:r>
      <w:r>
        <w:t xml:space="preserve"> que presenta la cuenta de “Materiales y suministros consumidos” al comparar los saldos de </w:t>
      </w:r>
      <w:r w:rsidR="00D64CF8">
        <w:t>diciembre</w:t>
      </w:r>
      <w:r>
        <w:t xml:space="preserve"> de 2023 y </w:t>
      </w:r>
      <w:r w:rsidR="00D64CF8">
        <w:t>diciembre</w:t>
      </w:r>
      <w:r>
        <w:t xml:space="preserve"> de 2024, es el producto neto de variaciones positiva y negativas en las subcuentas que la conforman. Al respecto, los rubros de más relevancia según se observa en el cuadro de referencia son: </w:t>
      </w:r>
      <w:r w:rsidRPr="00DA2286">
        <w:t xml:space="preserve">Combustibles y lubricantes </w:t>
      </w:r>
      <w:r w:rsidR="00403BC3">
        <w:t>-</w:t>
      </w:r>
      <w:r w:rsidR="00403BC3" w:rsidRPr="00403BC3">
        <w:rPr>
          <w:rFonts w:ascii="Arial" w:hAnsi="Arial" w:cs="Arial"/>
        </w:rPr>
        <w:t>₡</w:t>
      </w:r>
      <w:r w:rsidR="00403BC3" w:rsidRPr="00403BC3">
        <w:t>2 679,31</w:t>
      </w:r>
      <w:r w:rsidR="00403BC3">
        <w:t xml:space="preserve"> </w:t>
      </w:r>
      <w:r w:rsidRPr="00DA2286">
        <w:t>miles,</w:t>
      </w:r>
      <w:r>
        <w:t xml:space="preserve"> “</w:t>
      </w:r>
      <w:r w:rsidRPr="001A229E">
        <w:t>Materiales y productos metálicos</w:t>
      </w:r>
      <w:r w:rsidRPr="00B46A0F">
        <w:t xml:space="preserve">” </w:t>
      </w:r>
      <w:r w:rsidR="00403BC3" w:rsidRPr="00403BC3">
        <w:t>-</w:t>
      </w:r>
      <w:r w:rsidR="00403BC3" w:rsidRPr="00403BC3">
        <w:rPr>
          <w:rFonts w:ascii="Arial" w:hAnsi="Arial" w:cs="Arial"/>
        </w:rPr>
        <w:t>₡</w:t>
      </w:r>
      <w:r w:rsidR="00403BC3" w:rsidRPr="00403BC3">
        <w:t>688,77</w:t>
      </w:r>
      <w:r w:rsidR="00403BC3">
        <w:t xml:space="preserve"> </w:t>
      </w:r>
      <w:r w:rsidRPr="00B46A0F">
        <w:t>miles,</w:t>
      </w:r>
      <w:r w:rsidRPr="00DA2286">
        <w:t xml:space="preserve"> “Materiales y productos minerales y asfálticos”</w:t>
      </w:r>
      <w:r>
        <w:t xml:space="preserve"> </w:t>
      </w:r>
      <w:r w:rsidRPr="00B46A0F">
        <w:rPr>
          <w:rFonts w:ascii="Arial" w:hAnsi="Arial" w:cs="Arial"/>
        </w:rPr>
        <w:t>₡</w:t>
      </w:r>
      <w:r w:rsidR="00403BC3" w:rsidRPr="00403BC3">
        <w:t>35 740,93</w:t>
      </w:r>
      <w:r w:rsidR="00403BC3">
        <w:t xml:space="preserve"> </w:t>
      </w:r>
      <w:r w:rsidRPr="00DA2286">
        <w:t>miles; “</w:t>
      </w:r>
      <w:r w:rsidRPr="00E75AB1">
        <w:t>Textiles y vestuario</w:t>
      </w:r>
      <w:r w:rsidRPr="00DA2286">
        <w:t xml:space="preserve">” </w:t>
      </w:r>
      <w:r w:rsidRPr="00B46A0F">
        <w:rPr>
          <w:rFonts w:ascii="Arial" w:hAnsi="Arial" w:cs="Arial"/>
        </w:rPr>
        <w:t>₡</w:t>
      </w:r>
      <w:r w:rsidR="00403BC3" w:rsidRPr="00403BC3">
        <w:t>7 391,55</w:t>
      </w:r>
      <w:r w:rsidR="00403BC3">
        <w:t xml:space="preserve"> </w:t>
      </w:r>
      <w:r w:rsidRPr="00DA2286">
        <w:t>miles</w:t>
      </w:r>
      <w:r>
        <w:t xml:space="preserve">; </w:t>
      </w:r>
      <w:r w:rsidR="00403BC3" w:rsidRPr="001A229E">
        <w:t>Repuestos y accesorios</w:t>
      </w:r>
      <w:r w:rsidR="00403BC3">
        <w:t xml:space="preserve"> </w:t>
      </w:r>
      <w:r w:rsidR="00403BC3" w:rsidRPr="00B46A0F">
        <w:rPr>
          <w:rFonts w:ascii="Arial" w:hAnsi="Arial" w:cs="Arial"/>
        </w:rPr>
        <w:t>₡</w:t>
      </w:r>
      <w:r w:rsidR="00403BC3" w:rsidRPr="00403BC3">
        <w:t>-1 111,62</w:t>
      </w:r>
      <w:r w:rsidR="00403BC3">
        <w:t xml:space="preserve"> </w:t>
      </w:r>
      <w:r w:rsidR="00403BC3" w:rsidRPr="00B46A0F">
        <w:t>miles</w:t>
      </w:r>
      <w:r w:rsidR="00403BC3">
        <w:t xml:space="preserve">, </w:t>
      </w:r>
      <w:r w:rsidRPr="001A229E">
        <w:t>Útiles y materiales de resguardo y seguridad</w:t>
      </w:r>
      <w:r w:rsidRPr="00B46A0F">
        <w:t xml:space="preserve"> </w:t>
      </w:r>
      <w:r w:rsidRPr="00B46A0F">
        <w:rPr>
          <w:rFonts w:ascii="Arial" w:hAnsi="Arial" w:cs="Arial"/>
        </w:rPr>
        <w:t>₡</w:t>
      </w:r>
      <w:r w:rsidR="00403BC3" w:rsidRPr="00403BC3">
        <w:t>2 944,04</w:t>
      </w:r>
      <w:r w:rsidR="00403BC3">
        <w:t xml:space="preserve"> </w:t>
      </w:r>
      <w:r w:rsidRPr="00B46A0F">
        <w:t xml:space="preserve">miles; </w:t>
      </w:r>
      <w:r>
        <w:t>Ú</w:t>
      </w:r>
      <w:r w:rsidRPr="00E75AB1">
        <w:t xml:space="preserve">tiles, materiales y suministros diversos </w:t>
      </w:r>
      <w:r>
        <w:t>-</w:t>
      </w:r>
      <w:r w:rsidRPr="00B46A0F">
        <w:rPr>
          <w:rFonts w:ascii="Arial" w:hAnsi="Arial" w:cs="Arial"/>
        </w:rPr>
        <w:t>₡</w:t>
      </w:r>
      <w:r w:rsidR="00403BC3" w:rsidRPr="00403BC3">
        <w:t>780,11</w:t>
      </w:r>
      <w:r w:rsidR="00403BC3">
        <w:t xml:space="preserve"> </w:t>
      </w:r>
      <w:r w:rsidRPr="00DA2286">
        <w:t>miles</w:t>
      </w:r>
      <w:r>
        <w:t>.</w:t>
      </w:r>
    </w:p>
    <w:p w14:paraId="5A841A50" w14:textId="77777777" w:rsidR="00692DC8" w:rsidRPr="00692DC8" w:rsidRDefault="00692DC8" w:rsidP="00E3707A">
      <w:pPr>
        <w:pStyle w:val="Ttulo4"/>
        <w:spacing w:after="240"/>
        <w:rPr>
          <w:rFonts w:eastAsia="Times New Roman"/>
        </w:rPr>
      </w:pPr>
      <w:bookmarkStart w:id="924" w:name="_Toc33601320"/>
      <w:bookmarkStart w:id="925" w:name="_Toc82769039"/>
      <w:bookmarkStart w:id="926" w:name="_Toc189804910"/>
      <w:r w:rsidRPr="00692DC8">
        <w:rPr>
          <w:rFonts w:eastAsia="Times New Roman"/>
        </w:rPr>
        <w:t>NOTA N° 6</w:t>
      </w:r>
      <w:bookmarkEnd w:id="923"/>
      <w:bookmarkEnd w:id="924"/>
      <w:bookmarkEnd w:id="925"/>
      <w:r w:rsidRPr="00692DC8">
        <w:rPr>
          <w:rFonts w:eastAsia="Times New Roman"/>
        </w:rPr>
        <w:t>2</w:t>
      </w:r>
      <w:bookmarkEnd w:id="926"/>
    </w:p>
    <w:p w14:paraId="6504F069" w14:textId="77777777" w:rsidR="00396CB4" w:rsidRDefault="00692DC8" w:rsidP="00F51D42">
      <w:pPr>
        <w:spacing w:before="240"/>
        <w:rPr>
          <w:rFonts w:asciiTheme="minorHAnsi" w:hAnsiTheme="minorHAnsi"/>
          <w:sz w:val="22"/>
        </w:rPr>
      </w:pPr>
      <w:bookmarkStart w:id="927" w:name="_Toc14344934"/>
      <w:bookmarkStart w:id="928" w:name="_Toc33601321"/>
      <w:bookmarkStart w:id="929" w:name="_Toc82769040"/>
      <w:r w:rsidRPr="00692DC8">
        <w:rPr>
          <w:rFonts w:eastAsia="Times New Roman"/>
        </w:rPr>
        <w:t>Consumo de bienes distintos de inventarios</w:t>
      </w:r>
      <w:bookmarkEnd w:id="927"/>
      <w:bookmarkEnd w:id="928"/>
      <w:bookmarkEnd w:id="929"/>
      <w:r w:rsidR="00AD32EB">
        <w:rPr>
          <w:rFonts w:eastAsiaTheme="majorEastAsia" w:cstheme="majorBidi"/>
          <w:iCs/>
          <w:lang w:val="es-ES"/>
        </w:rPr>
        <w:fldChar w:fldCharType="begin"/>
      </w:r>
      <w:r w:rsidR="00AD32EB">
        <w:rPr>
          <w:lang w:val="es-ES"/>
        </w:rPr>
        <w:instrText xml:space="preserve"> LINK </w:instrText>
      </w:r>
      <w:r w:rsidR="00756467">
        <w:rPr>
          <w:lang w:val="es-ES"/>
        </w:rPr>
        <w:instrText xml:space="preserve">Excel.SheetMacroEnabled.12 "C:\\Users\\gcordero\\Downloads\\Notas diciembre 2024\\Formato_Notas_EEFF_Vinculadas_2024\\Formato_Notas_EEFF_Vinculadas_2024\\15603_T04_2024_Anexo_Estado_Notas_Contables_Vinculadas.xlsm" NOTAS_POR_CUENTA!F363C1:F365C6 </w:instrText>
      </w:r>
      <w:r w:rsidR="00AD32EB">
        <w:rPr>
          <w:lang w:val="es-ES"/>
        </w:rPr>
        <w:instrText xml:space="preserve">\a \f 4 \h </w:instrText>
      </w:r>
      <w:r w:rsidR="00AD32EB">
        <w:rPr>
          <w:b/>
          <w:lang w:val="es-ES"/>
        </w:rPr>
        <w:fldChar w:fldCharType="separate"/>
      </w:r>
    </w:p>
    <w:tbl>
      <w:tblPr>
        <w:tblW w:w="9600" w:type="dxa"/>
        <w:tblCellMar>
          <w:left w:w="70" w:type="dxa"/>
          <w:right w:w="70" w:type="dxa"/>
        </w:tblCellMar>
        <w:tblLook w:val="04A0" w:firstRow="1" w:lastRow="0" w:firstColumn="1" w:lastColumn="0" w:noHBand="0" w:noVBand="1"/>
      </w:tblPr>
      <w:tblGrid>
        <w:gridCol w:w="1472"/>
        <w:gridCol w:w="2408"/>
        <w:gridCol w:w="500"/>
        <w:gridCol w:w="2100"/>
        <w:gridCol w:w="2100"/>
        <w:gridCol w:w="1020"/>
      </w:tblGrid>
      <w:tr w:rsidR="00396CB4" w:rsidRPr="00396CB4" w14:paraId="32498E6F" w14:textId="77777777" w:rsidTr="00396CB4">
        <w:trPr>
          <w:divId w:val="2018723920"/>
          <w:trHeight w:val="330"/>
        </w:trPr>
        <w:tc>
          <w:tcPr>
            <w:tcW w:w="1472"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E2FC647" w14:textId="530AEBCD" w:rsidR="00396CB4" w:rsidRPr="00396CB4" w:rsidRDefault="00396CB4" w:rsidP="00396CB4">
            <w:pP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2408"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9D67DB1"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4A0B85B"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4CD58B8"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4D166A2"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305B1BE3"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0E3C2A7D" w14:textId="77777777" w:rsidTr="00396CB4">
        <w:trPr>
          <w:divId w:val="2018723920"/>
          <w:trHeight w:val="330"/>
        </w:trPr>
        <w:tc>
          <w:tcPr>
            <w:tcW w:w="1472" w:type="dxa"/>
            <w:vMerge/>
            <w:tcBorders>
              <w:top w:val="single" w:sz="8" w:space="0" w:color="auto"/>
              <w:left w:val="single" w:sz="8" w:space="0" w:color="auto"/>
              <w:bottom w:val="single" w:sz="8" w:space="0" w:color="000000"/>
              <w:right w:val="single" w:sz="8" w:space="0" w:color="auto"/>
            </w:tcBorders>
            <w:vAlign w:val="center"/>
            <w:hideMark/>
          </w:tcPr>
          <w:p w14:paraId="4AEA104A"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408" w:type="dxa"/>
            <w:vMerge/>
            <w:tcBorders>
              <w:top w:val="single" w:sz="8" w:space="0" w:color="auto"/>
              <w:left w:val="single" w:sz="8" w:space="0" w:color="auto"/>
              <w:bottom w:val="single" w:sz="8" w:space="0" w:color="000000"/>
              <w:right w:val="single" w:sz="8" w:space="0" w:color="auto"/>
            </w:tcBorders>
            <w:vAlign w:val="center"/>
            <w:hideMark/>
          </w:tcPr>
          <w:p w14:paraId="107FCA2B"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117B7A96"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491A915A"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1B4700C4"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0DF5153B"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49C2D8FB" w14:textId="77777777" w:rsidTr="00396CB4">
        <w:trPr>
          <w:divId w:val="2018723920"/>
          <w:trHeight w:val="330"/>
        </w:trPr>
        <w:tc>
          <w:tcPr>
            <w:tcW w:w="1472" w:type="dxa"/>
            <w:tcBorders>
              <w:top w:val="nil"/>
              <w:left w:val="single" w:sz="8" w:space="0" w:color="auto"/>
              <w:bottom w:val="single" w:sz="8" w:space="0" w:color="auto"/>
              <w:right w:val="single" w:sz="8" w:space="0" w:color="auto"/>
            </w:tcBorders>
            <w:shd w:val="clear" w:color="auto" w:fill="auto"/>
            <w:noWrap/>
            <w:vAlign w:val="center"/>
            <w:hideMark/>
          </w:tcPr>
          <w:p w14:paraId="3536BDC6"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5.1.4.</w:t>
            </w:r>
          </w:p>
        </w:tc>
        <w:tc>
          <w:tcPr>
            <w:tcW w:w="2408" w:type="dxa"/>
            <w:tcBorders>
              <w:top w:val="nil"/>
              <w:left w:val="nil"/>
              <w:bottom w:val="single" w:sz="8" w:space="0" w:color="auto"/>
              <w:right w:val="single" w:sz="8" w:space="0" w:color="auto"/>
            </w:tcBorders>
            <w:shd w:val="clear" w:color="auto" w:fill="auto"/>
            <w:vAlign w:val="center"/>
            <w:hideMark/>
          </w:tcPr>
          <w:p w14:paraId="101B2FE5" w14:textId="77777777" w:rsidR="00396CB4" w:rsidRPr="00396CB4" w:rsidRDefault="00396CB4" w:rsidP="00396CB4">
            <w:pPr>
              <w:spacing w:after="0" w:line="240" w:lineRule="auto"/>
              <w:rPr>
                <w:rFonts w:eastAsia="Times New Roman" w:cs="Calibri"/>
                <w:b/>
                <w:bCs/>
                <w:color w:val="000000"/>
                <w:sz w:val="18"/>
                <w:szCs w:val="18"/>
                <w:lang w:eastAsia="es-CR"/>
              </w:rPr>
            </w:pPr>
            <w:r w:rsidRPr="00396CB4">
              <w:rPr>
                <w:rFonts w:eastAsia="Times New Roman" w:cs="Calibri"/>
                <w:b/>
                <w:bCs/>
                <w:color w:val="000000"/>
                <w:sz w:val="18"/>
                <w:szCs w:val="18"/>
                <w:lang w:eastAsia="es-CR"/>
              </w:rPr>
              <w:t>Consumo de bienes distintos de inventarios</w:t>
            </w:r>
          </w:p>
        </w:tc>
        <w:tc>
          <w:tcPr>
            <w:tcW w:w="500" w:type="dxa"/>
            <w:tcBorders>
              <w:top w:val="nil"/>
              <w:left w:val="nil"/>
              <w:bottom w:val="single" w:sz="8" w:space="0" w:color="auto"/>
              <w:right w:val="single" w:sz="8" w:space="0" w:color="auto"/>
            </w:tcBorders>
            <w:shd w:val="clear" w:color="auto" w:fill="auto"/>
            <w:noWrap/>
            <w:vAlign w:val="center"/>
            <w:hideMark/>
          </w:tcPr>
          <w:p w14:paraId="7E092B4B"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62</w:t>
            </w:r>
          </w:p>
        </w:tc>
        <w:tc>
          <w:tcPr>
            <w:tcW w:w="2100" w:type="dxa"/>
            <w:tcBorders>
              <w:top w:val="nil"/>
              <w:left w:val="nil"/>
              <w:bottom w:val="single" w:sz="8" w:space="0" w:color="auto"/>
              <w:right w:val="single" w:sz="8" w:space="0" w:color="auto"/>
            </w:tcBorders>
            <w:shd w:val="clear" w:color="auto" w:fill="auto"/>
            <w:noWrap/>
            <w:vAlign w:val="center"/>
            <w:hideMark/>
          </w:tcPr>
          <w:p w14:paraId="40CEEAE9"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221 860,60 </w:t>
            </w:r>
          </w:p>
        </w:tc>
        <w:tc>
          <w:tcPr>
            <w:tcW w:w="2100" w:type="dxa"/>
            <w:tcBorders>
              <w:top w:val="nil"/>
              <w:left w:val="nil"/>
              <w:bottom w:val="single" w:sz="8" w:space="0" w:color="auto"/>
              <w:right w:val="single" w:sz="8" w:space="0" w:color="auto"/>
            </w:tcBorders>
            <w:shd w:val="clear" w:color="auto" w:fill="auto"/>
            <w:noWrap/>
            <w:vAlign w:val="center"/>
            <w:hideMark/>
          </w:tcPr>
          <w:p w14:paraId="5D16C07D"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176 031,82 </w:t>
            </w:r>
          </w:p>
        </w:tc>
        <w:tc>
          <w:tcPr>
            <w:tcW w:w="1020" w:type="dxa"/>
            <w:tcBorders>
              <w:top w:val="nil"/>
              <w:left w:val="nil"/>
              <w:bottom w:val="single" w:sz="8" w:space="0" w:color="auto"/>
              <w:right w:val="single" w:sz="8" w:space="0" w:color="auto"/>
            </w:tcBorders>
            <w:shd w:val="clear" w:color="auto" w:fill="auto"/>
            <w:noWrap/>
            <w:vAlign w:val="center"/>
            <w:hideMark/>
          </w:tcPr>
          <w:p w14:paraId="4CE35F10"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26,03%</w:t>
            </w:r>
          </w:p>
        </w:tc>
      </w:tr>
    </w:tbl>
    <w:p w14:paraId="2236315A" w14:textId="77777777" w:rsidR="00396CB4" w:rsidRPr="00396CB4" w:rsidRDefault="00AD32EB" w:rsidP="00396CB4">
      <w:pPr>
        <w:spacing w:before="240"/>
        <w:rPr>
          <w:b/>
          <w:lang w:val="es-ES"/>
        </w:rPr>
      </w:pPr>
      <w:r>
        <w:rPr>
          <w:b/>
          <w:lang w:val="es-ES"/>
        </w:rPr>
        <w:fldChar w:fldCharType="end"/>
      </w:r>
      <w:r w:rsidR="00692DC8" w:rsidRPr="00293F0F">
        <w:rPr>
          <w:b/>
          <w:lang w:val="es-ES"/>
        </w:rPr>
        <w:t xml:space="preserve">Revelación: </w:t>
      </w:r>
      <w:bookmarkStart w:id="930" w:name="_Toc14344937"/>
      <w:r>
        <w:rPr>
          <w:rFonts w:eastAsia="Times New Roman" w:cs="Calibri"/>
          <w:color w:val="000000"/>
          <w:lang w:eastAsia="es-CR"/>
        </w:rPr>
        <w:fldChar w:fldCharType="begin"/>
      </w:r>
      <w:r>
        <w:rPr>
          <w:rFonts w:eastAsia="Times New Roman" w:cs="Calibri"/>
          <w:color w:val="000000"/>
          <w:lang w:eastAsia="es-CR"/>
        </w:rPr>
        <w:instrText xml:space="preserve"> LINK </w:instrText>
      </w:r>
      <w:r w:rsidR="00756467">
        <w:rPr>
          <w:rFonts w:eastAsia="Times New Roman" w:cs="Calibri"/>
          <w:color w:val="000000"/>
          <w:lang w:eastAsia="es-CR"/>
        </w:rPr>
        <w:instrText xml:space="preserve">Excel.SheetMacroEnabled.12 "C:\\Users\\gcordero\\Downloads\\Notas diciembre 2024\\Formato_Notas_EEFF_Vinculadas_2024\\Formato_Notas_EEFF_Vinculadas_2024\\15603_T04_2024_Anexo_Estado_Notas_Contables_Vinculadas.xlsm" NOTAS_POR_CUENTA!F365C8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765F363C" w14:textId="77777777" w:rsidR="00396CB4" w:rsidRPr="00396CB4" w:rsidRDefault="00396CB4" w:rsidP="00396CB4">
      <w:pPr>
        <w:rPr>
          <w:rFonts w:eastAsia="Times New Roman" w:cs="Calibri"/>
          <w:color w:val="000000"/>
          <w:lang w:eastAsia="es-CR"/>
        </w:rPr>
      </w:pPr>
      <w:r w:rsidRPr="00396CB4">
        <w:rPr>
          <w:rFonts w:eastAsia="Times New Roman" w:cs="Calibri"/>
          <w:color w:val="000000"/>
          <w:lang w:eastAsia="es-CR"/>
        </w:rPr>
        <w:t>La cuenta Consumo de bienes distintos de inventarios, representa el 4,22% del total del Gastos, que comparado al periodo anterior genera una variación absoluta de 45 828,78 que corresponde a un Aumento del 26,03% de recursos disponibles.</w:t>
      </w:r>
    </w:p>
    <w:p w14:paraId="051B4DD4" w14:textId="52FB2472" w:rsidR="00692DC8" w:rsidRPr="00692DC8" w:rsidRDefault="00AD32EB" w:rsidP="00AD32EB">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3C6B6780" w14:textId="723C4FC0" w:rsidR="002E7F68" w:rsidRDefault="002E7F68" w:rsidP="002E7F68">
      <w:pPr>
        <w:spacing w:after="0" w:line="240" w:lineRule="auto"/>
      </w:pPr>
      <w:bookmarkStart w:id="931" w:name="_Toc33601322"/>
      <w:bookmarkStart w:id="932" w:name="_Toc82769041"/>
      <w:r>
        <w:t>L</w:t>
      </w:r>
      <w:r w:rsidRPr="00CA3E62">
        <w:t xml:space="preserve">a </w:t>
      </w:r>
      <w:r>
        <w:t>variación</w:t>
      </w:r>
      <w:r w:rsidRPr="00CA3E62">
        <w:t xml:space="preserve"> </w:t>
      </w:r>
      <w:r>
        <w:t>(</w:t>
      </w:r>
      <w:r w:rsidR="00D50A89">
        <w:t>aumento</w:t>
      </w:r>
      <w:r>
        <w:t xml:space="preserve">) de </w:t>
      </w:r>
      <w:r w:rsidRPr="00D50A89">
        <w:rPr>
          <w:rFonts w:ascii="Arial" w:hAnsi="Arial" w:cs="Arial"/>
        </w:rPr>
        <w:t>₡</w:t>
      </w:r>
      <w:r w:rsidR="00D50A89" w:rsidRPr="00D50A89">
        <w:rPr>
          <w:rFonts w:cs="Arial"/>
        </w:rPr>
        <w:t>45 828,78</w:t>
      </w:r>
      <w:r>
        <w:t xml:space="preserve"> miles</w:t>
      </w:r>
      <w:r w:rsidRPr="006E0F78">
        <w:t xml:space="preserve"> que se presenta </w:t>
      </w:r>
      <w:r w:rsidRPr="00CA3E62">
        <w:t>e</w:t>
      </w:r>
      <w:r>
        <w:t>n</w:t>
      </w:r>
      <w:r w:rsidRPr="00CA3E62">
        <w:t xml:space="preserve"> el periodo comprendido entre </w:t>
      </w:r>
      <w:r w:rsidR="00D64CF8">
        <w:t>diciembre</w:t>
      </w:r>
      <w:r>
        <w:t xml:space="preserve"> </w:t>
      </w:r>
      <w:r w:rsidRPr="00CA3E62">
        <w:t xml:space="preserve">2023 y </w:t>
      </w:r>
      <w:r w:rsidR="00D64CF8">
        <w:t>diciembre</w:t>
      </w:r>
      <w:r w:rsidRPr="00CA3E62">
        <w:t xml:space="preserve"> </w:t>
      </w:r>
      <w:r w:rsidR="00345C93">
        <w:t>2024</w:t>
      </w:r>
      <w:r w:rsidRPr="00CA3E62">
        <w:t xml:space="preserve"> </w:t>
      </w:r>
      <w:r>
        <w:t xml:space="preserve">se </w:t>
      </w:r>
      <w:r w:rsidRPr="00CA3E62">
        <w:t>originan principalmente de</w:t>
      </w:r>
      <w:r>
        <w:t>bido a</w:t>
      </w:r>
      <w:r w:rsidRPr="00CA3E62">
        <w:t xml:space="preserve"> que,</w:t>
      </w:r>
      <w:r>
        <w:t xml:space="preserve"> en el año 2023 por error se registró el gasto anual de depreciación de los edificios municipales reconocidos por un monto de </w:t>
      </w:r>
      <w:r w:rsidRPr="006E0F78">
        <w:rPr>
          <w:rFonts w:ascii="Arial" w:hAnsi="Arial" w:cs="Arial"/>
        </w:rPr>
        <w:t>₡</w:t>
      </w:r>
      <w:r w:rsidRPr="002E488B">
        <w:t>19</w:t>
      </w:r>
      <w:r>
        <w:t xml:space="preserve"> </w:t>
      </w:r>
      <w:r w:rsidRPr="002E488B">
        <w:t>603,36</w:t>
      </w:r>
      <w:r>
        <w:t xml:space="preserve"> miles cuando lo correcto era </w:t>
      </w:r>
      <w:r w:rsidRPr="006E0F78">
        <w:rPr>
          <w:rFonts w:ascii="Arial" w:hAnsi="Arial" w:cs="Arial"/>
        </w:rPr>
        <w:t>₡</w:t>
      </w:r>
      <w:r w:rsidRPr="002E488B">
        <w:t>1</w:t>
      </w:r>
      <w:r>
        <w:t xml:space="preserve"> </w:t>
      </w:r>
      <w:r w:rsidRPr="002E488B">
        <w:t>633,61</w:t>
      </w:r>
      <w:r>
        <w:t xml:space="preserve"> miles, lo cual fue corregido para el año 2024. </w:t>
      </w:r>
    </w:p>
    <w:p w14:paraId="7F6E8039" w14:textId="77777777" w:rsidR="002E7F68" w:rsidRDefault="002E7F68" w:rsidP="002E7F68">
      <w:pPr>
        <w:spacing w:after="0" w:line="240" w:lineRule="auto"/>
      </w:pPr>
    </w:p>
    <w:p w14:paraId="4D3A0C08" w14:textId="77777777" w:rsidR="002E7F68" w:rsidRPr="00CA3E62" w:rsidRDefault="002E7F68" w:rsidP="002E7F68">
      <w:pPr>
        <w:spacing w:after="0" w:line="240" w:lineRule="auto"/>
      </w:pPr>
      <w:r>
        <w:t xml:space="preserve">Además, la diferencia en mención se originó por las altas y bajas que presentaron en el periodo objeto de informe. </w:t>
      </w:r>
      <w:r w:rsidRPr="00CA3E62">
        <w:t xml:space="preserve">El detalle de variación se presenta </w:t>
      </w:r>
      <w:r>
        <w:t>a continuación</w:t>
      </w:r>
      <w:r w:rsidRPr="00CA3E62">
        <w:t>:</w:t>
      </w:r>
    </w:p>
    <w:p w14:paraId="46EC7C87" w14:textId="77777777" w:rsidR="002E7F68" w:rsidRPr="00692DC8" w:rsidRDefault="002E7F68" w:rsidP="002E7F68">
      <w:pPr>
        <w:spacing w:after="0" w:line="240" w:lineRule="auto"/>
        <w:rPr>
          <w:rFonts w:eastAsiaTheme="minorEastAsia" w:cs="Arial Narrow"/>
          <w:color w:val="000000"/>
          <w:lang w:eastAsia="es-CR"/>
        </w:rPr>
      </w:pPr>
    </w:p>
    <w:tbl>
      <w:tblPr>
        <w:tblW w:w="9980" w:type="dxa"/>
        <w:tblCellMar>
          <w:left w:w="70" w:type="dxa"/>
          <w:right w:w="70" w:type="dxa"/>
        </w:tblCellMar>
        <w:tblLook w:val="04A0" w:firstRow="1" w:lastRow="0" w:firstColumn="1" w:lastColumn="0" w:noHBand="0" w:noVBand="1"/>
      </w:tblPr>
      <w:tblGrid>
        <w:gridCol w:w="1235"/>
        <w:gridCol w:w="4389"/>
        <w:gridCol w:w="1240"/>
        <w:gridCol w:w="1198"/>
        <w:gridCol w:w="1078"/>
        <w:gridCol w:w="899"/>
        <w:gridCol w:w="146"/>
      </w:tblGrid>
      <w:tr w:rsidR="00D50A89" w:rsidRPr="00D50A89" w14:paraId="67A3E401" w14:textId="77777777" w:rsidTr="00D50A89">
        <w:trPr>
          <w:gridAfter w:val="1"/>
          <w:wAfter w:w="36" w:type="dxa"/>
          <w:trHeight w:val="457"/>
        </w:trPr>
        <w:tc>
          <w:tcPr>
            <w:tcW w:w="1140" w:type="dxa"/>
            <w:vMerge w:val="restart"/>
            <w:tcBorders>
              <w:top w:val="single" w:sz="8" w:space="0" w:color="auto"/>
              <w:left w:val="single" w:sz="8" w:space="0" w:color="auto"/>
              <w:bottom w:val="nil"/>
              <w:right w:val="single" w:sz="8" w:space="0" w:color="auto"/>
            </w:tcBorders>
            <w:shd w:val="clear" w:color="000000" w:fill="203764"/>
            <w:noWrap/>
            <w:vAlign w:val="center"/>
            <w:hideMark/>
          </w:tcPr>
          <w:p w14:paraId="6446CBBB" w14:textId="77777777" w:rsidR="00D50A89" w:rsidRPr="00D50A89" w:rsidRDefault="00D50A89" w:rsidP="00D50A89">
            <w:pPr>
              <w:spacing w:after="0" w:line="240" w:lineRule="auto"/>
              <w:jc w:val="center"/>
              <w:rPr>
                <w:rFonts w:eastAsia="Times New Roman" w:cs="Calibri"/>
                <w:b/>
                <w:bCs/>
                <w:color w:val="FFFFFF"/>
                <w:sz w:val="20"/>
                <w:szCs w:val="20"/>
                <w:lang w:eastAsia="es-CR"/>
              </w:rPr>
            </w:pPr>
            <w:r w:rsidRPr="00D50A89">
              <w:rPr>
                <w:rFonts w:eastAsia="Times New Roman" w:cs="Calibri"/>
                <w:b/>
                <w:bCs/>
                <w:color w:val="FFFFFF"/>
                <w:sz w:val="20"/>
                <w:szCs w:val="20"/>
                <w:lang w:eastAsia="es-CR"/>
              </w:rPr>
              <w:t>Cuenta</w:t>
            </w:r>
          </w:p>
        </w:tc>
        <w:tc>
          <w:tcPr>
            <w:tcW w:w="4389" w:type="dxa"/>
            <w:vMerge w:val="restart"/>
            <w:tcBorders>
              <w:top w:val="single" w:sz="8" w:space="0" w:color="auto"/>
              <w:left w:val="single" w:sz="8" w:space="0" w:color="auto"/>
              <w:bottom w:val="nil"/>
              <w:right w:val="single" w:sz="8" w:space="0" w:color="auto"/>
            </w:tcBorders>
            <w:shd w:val="clear" w:color="000000" w:fill="203764"/>
            <w:vAlign w:val="center"/>
            <w:hideMark/>
          </w:tcPr>
          <w:p w14:paraId="0B02A991" w14:textId="77777777" w:rsidR="00D50A89" w:rsidRPr="00D50A89" w:rsidRDefault="00D50A89" w:rsidP="00D50A89">
            <w:pPr>
              <w:spacing w:after="0" w:line="240" w:lineRule="auto"/>
              <w:jc w:val="center"/>
              <w:rPr>
                <w:rFonts w:eastAsia="Times New Roman" w:cs="Calibri"/>
                <w:b/>
                <w:bCs/>
                <w:color w:val="FFFFFF"/>
                <w:sz w:val="20"/>
                <w:szCs w:val="20"/>
                <w:lang w:eastAsia="es-CR"/>
              </w:rPr>
            </w:pPr>
            <w:r w:rsidRPr="00D50A89">
              <w:rPr>
                <w:rFonts w:eastAsia="Times New Roman" w:cs="Calibri"/>
                <w:b/>
                <w:bCs/>
                <w:color w:val="FFFFFF"/>
                <w:sz w:val="20"/>
                <w:szCs w:val="20"/>
                <w:lang w:eastAsia="es-CR"/>
              </w:rPr>
              <w:t>Descripción</w:t>
            </w:r>
          </w:p>
        </w:tc>
        <w:tc>
          <w:tcPr>
            <w:tcW w:w="1240" w:type="dxa"/>
            <w:vMerge w:val="restart"/>
            <w:tcBorders>
              <w:top w:val="single" w:sz="8" w:space="0" w:color="auto"/>
              <w:left w:val="single" w:sz="8" w:space="0" w:color="auto"/>
              <w:bottom w:val="nil"/>
              <w:right w:val="single" w:sz="8" w:space="0" w:color="auto"/>
            </w:tcBorders>
            <w:shd w:val="clear" w:color="000000" w:fill="203764"/>
            <w:noWrap/>
            <w:vAlign w:val="center"/>
            <w:hideMark/>
          </w:tcPr>
          <w:p w14:paraId="002FD0FC" w14:textId="77777777" w:rsidR="00D50A89" w:rsidRPr="00D50A89" w:rsidRDefault="00D50A89" w:rsidP="00D50A89">
            <w:pPr>
              <w:spacing w:after="0" w:line="240" w:lineRule="auto"/>
              <w:jc w:val="center"/>
              <w:rPr>
                <w:rFonts w:eastAsia="Times New Roman" w:cs="Calibri"/>
                <w:color w:val="FFFFFF"/>
                <w:sz w:val="20"/>
                <w:szCs w:val="20"/>
                <w:lang w:eastAsia="es-CR"/>
              </w:rPr>
            </w:pPr>
            <w:r w:rsidRPr="00D50A89">
              <w:rPr>
                <w:rFonts w:eastAsia="Times New Roman" w:cs="Calibri"/>
                <w:color w:val="FFFFFF"/>
                <w:sz w:val="20"/>
                <w:szCs w:val="20"/>
                <w:lang w:eastAsia="es-CR"/>
              </w:rPr>
              <w:t>Saldo Actual</w:t>
            </w:r>
          </w:p>
        </w:tc>
        <w:tc>
          <w:tcPr>
            <w:tcW w:w="1198" w:type="dxa"/>
            <w:vMerge w:val="restart"/>
            <w:tcBorders>
              <w:top w:val="single" w:sz="8" w:space="0" w:color="auto"/>
              <w:left w:val="single" w:sz="8" w:space="0" w:color="auto"/>
              <w:bottom w:val="nil"/>
              <w:right w:val="single" w:sz="8" w:space="0" w:color="auto"/>
            </w:tcBorders>
            <w:shd w:val="clear" w:color="000000" w:fill="203764"/>
            <w:vAlign w:val="center"/>
            <w:hideMark/>
          </w:tcPr>
          <w:p w14:paraId="4570F497" w14:textId="77777777" w:rsidR="00D50A89" w:rsidRPr="00D50A89" w:rsidRDefault="00D50A89" w:rsidP="00D50A89">
            <w:pPr>
              <w:spacing w:after="0" w:line="240" w:lineRule="auto"/>
              <w:jc w:val="center"/>
              <w:rPr>
                <w:rFonts w:eastAsia="Times New Roman" w:cs="Calibri"/>
                <w:color w:val="FFFFFF"/>
                <w:sz w:val="20"/>
                <w:szCs w:val="20"/>
                <w:lang w:eastAsia="es-CR"/>
              </w:rPr>
            </w:pPr>
            <w:r w:rsidRPr="00D50A89">
              <w:rPr>
                <w:rFonts w:eastAsia="Times New Roman" w:cs="Calibri"/>
                <w:color w:val="FFFFFF"/>
                <w:sz w:val="20"/>
                <w:szCs w:val="20"/>
                <w:lang w:eastAsia="es-CR"/>
              </w:rPr>
              <w:t>Saldo Anterior</w:t>
            </w:r>
          </w:p>
        </w:tc>
        <w:tc>
          <w:tcPr>
            <w:tcW w:w="1078" w:type="dxa"/>
            <w:vMerge w:val="restart"/>
            <w:tcBorders>
              <w:top w:val="single" w:sz="8" w:space="0" w:color="auto"/>
              <w:left w:val="single" w:sz="8" w:space="0" w:color="auto"/>
              <w:bottom w:val="nil"/>
              <w:right w:val="single" w:sz="8" w:space="0" w:color="auto"/>
            </w:tcBorders>
            <w:shd w:val="clear" w:color="000000" w:fill="203764"/>
            <w:vAlign w:val="center"/>
            <w:hideMark/>
          </w:tcPr>
          <w:p w14:paraId="196422AB" w14:textId="77777777" w:rsidR="00D50A89" w:rsidRPr="00D50A89" w:rsidRDefault="00D50A89" w:rsidP="00D50A89">
            <w:pPr>
              <w:spacing w:after="0" w:line="240" w:lineRule="auto"/>
              <w:jc w:val="center"/>
              <w:rPr>
                <w:rFonts w:eastAsia="Times New Roman" w:cs="Calibri"/>
                <w:color w:val="FFFFFF"/>
                <w:sz w:val="20"/>
                <w:szCs w:val="20"/>
                <w:lang w:eastAsia="es-CR"/>
              </w:rPr>
            </w:pPr>
            <w:r w:rsidRPr="00D50A89">
              <w:rPr>
                <w:rFonts w:eastAsia="Times New Roman" w:cs="Calibri"/>
                <w:color w:val="FFFFFF"/>
                <w:sz w:val="20"/>
                <w:szCs w:val="20"/>
                <w:lang w:eastAsia="es-CR"/>
              </w:rPr>
              <w:t>Diferencia Absoluta</w:t>
            </w:r>
          </w:p>
        </w:tc>
        <w:tc>
          <w:tcPr>
            <w:tcW w:w="899" w:type="dxa"/>
            <w:vMerge w:val="restart"/>
            <w:tcBorders>
              <w:top w:val="single" w:sz="8" w:space="0" w:color="auto"/>
              <w:left w:val="single" w:sz="8" w:space="0" w:color="auto"/>
              <w:bottom w:val="nil"/>
              <w:right w:val="single" w:sz="8" w:space="0" w:color="auto"/>
            </w:tcBorders>
            <w:shd w:val="clear" w:color="000000" w:fill="203764"/>
            <w:vAlign w:val="center"/>
            <w:hideMark/>
          </w:tcPr>
          <w:p w14:paraId="3192CBDE" w14:textId="77777777" w:rsidR="00D50A89" w:rsidRPr="00D50A89" w:rsidRDefault="00D50A89" w:rsidP="00D50A89">
            <w:pPr>
              <w:spacing w:after="0" w:line="240" w:lineRule="auto"/>
              <w:jc w:val="center"/>
              <w:rPr>
                <w:rFonts w:eastAsia="Times New Roman" w:cs="Calibri"/>
                <w:color w:val="FFFFFF"/>
                <w:sz w:val="20"/>
                <w:szCs w:val="20"/>
                <w:lang w:eastAsia="es-CR"/>
              </w:rPr>
            </w:pPr>
            <w:r w:rsidRPr="00D50A89">
              <w:rPr>
                <w:rFonts w:eastAsia="Times New Roman" w:cs="Calibri"/>
                <w:color w:val="FFFFFF"/>
                <w:sz w:val="20"/>
                <w:szCs w:val="20"/>
                <w:lang w:eastAsia="es-CR"/>
              </w:rPr>
              <w:t>Diferencia %</w:t>
            </w:r>
          </w:p>
        </w:tc>
      </w:tr>
      <w:tr w:rsidR="00D50A89" w:rsidRPr="00D50A89" w14:paraId="4A01A086" w14:textId="77777777" w:rsidTr="00D50A89">
        <w:trPr>
          <w:trHeight w:val="315"/>
        </w:trPr>
        <w:tc>
          <w:tcPr>
            <w:tcW w:w="1140" w:type="dxa"/>
            <w:vMerge/>
            <w:tcBorders>
              <w:top w:val="single" w:sz="8" w:space="0" w:color="auto"/>
              <w:left w:val="single" w:sz="8" w:space="0" w:color="auto"/>
              <w:bottom w:val="nil"/>
              <w:right w:val="single" w:sz="8" w:space="0" w:color="auto"/>
            </w:tcBorders>
            <w:vAlign w:val="center"/>
            <w:hideMark/>
          </w:tcPr>
          <w:p w14:paraId="156EEAD5" w14:textId="77777777" w:rsidR="00D50A89" w:rsidRPr="00D50A89" w:rsidRDefault="00D50A89" w:rsidP="00D50A89">
            <w:pPr>
              <w:spacing w:after="0" w:line="240" w:lineRule="auto"/>
              <w:jc w:val="left"/>
              <w:rPr>
                <w:rFonts w:eastAsia="Times New Roman" w:cs="Calibri"/>
                <w:b/>
                <w:bCs/>
                <w:color w:val="FFFFFF"/>
                <w:sz w:val="20"/>
                <w:szCs w:val="20"/>
                <w:lang w:eastAsia="es-CR"/>
              </w:rPr>
            </w:pPr>
          </w:p>
        </w:tc>
        <w:tc>
          <w:tcPr>
            <w:tcW w:w="4389" w:type="dxa"/>
            <w:vMerge/>
            <w:tcBorders>
              <w:top w:val="single" w:sz="8" w:space="0" w:color="auto"/>
              <w:left w:val="single" w:sz="8" w:space="0" w:color="auto"/>
              <w:bottom w:val="nil"/>
              <w:right w:val="single" w:sz="8" w:space="0" w:color="auto"/>
            </w:tcBorders>
            <w:vAlign w:val="center"/>
            <w:hideMark/>
          </w:tcPr>
          <w:p w14:paraId="5B33B981" w14:textId="77777777" w:rsidR="00D50A89" w:rsidRPr="00D50A89" w:rsidRDefault="00D50A89" w:rsidP="00D50A89">
            <w:pPr>
              <w:spacing w:after="0" w:line="240" w:lineRule="auto"/>
              <w:jc w:val="left"/>
              <w:rPr>
                <w:rFonts w:eastAsia="Times New Roman" w:cs="Calibri"/>
                <w:b/>
                <w:bCs/>
                <w:color w:val="FFFFFF"/>
                <w:sz w:val="20"/>
                <w:szCs w:val="20"/>
                <w:lang w:eastAsia="es-CR"/>
              </w:rPr>
            </w:pPr>
          </w:p>
        </w:tc>
        <w:tc>
          <w:tcPr>
            <w:tcW w:w="1240" w:type="dxa"/>
            <w:vMerge/>
            <w:tcBorders>
              <w:top w:val="single" w:sz="8" w:space="0" w:color="auto"/>
              <w:left w:val="single" w:sz="8" w:space="0" w:color="auto"/>
              <w:bottom w:val="nil"/>
              <w:right w:val="single" w:sz="8" w:space="0" w:color="auto"/>
            </w:tcBorders>
            <w:vAlign w:val="center"/>
            <w:hideMark/>
          </w:tcPr>
          <w:p w14:paraId="6A6078AE" w14:textId="77777777" w:rsidR="00D50A89" w:rsidRPr="00D50A89" w:rsidRDefault="00D50A89" w:rsidP="00D50A89">
            <w:pPr>
              <w:spacing w:after="0" w:line="240" w:lineRule="auto"/>
              <w:jc w:val="left"/>
              <w:rPr>
                <w:rFonts w:eastAsia="Times New Roman" w:cs="Calibri"/>
                <w:color w:val="FFFFFF"/>
                <w:sz w:val="20"/>
                <w:szCs w:val="20"/>
                <w:lang w:eastAsia="es-CR"/>
              </w:rPr>
            </w:pPr>
          </w:p>
        </w:tc>
        <w:tc>
          <w:tcPr>
            <w:tcW w:w="1198" w:type="dxa"/>
            <w:vMerge/>
            <w:tcBorders>
              <w:top w:val="single" w:sz="8" w:space="0" w:color="auto"/>
              <w:left w:val="single" w:sz="8" w:space="0" w:color="auto"/>
              <w:bottom w:val="nil"/>
              <w:right w:val="single" w:sz="8" w:space="0" w:color="auto"/>
            </w:tcBorders>
            <w:vAlign w:val="center"/>
            <w:hideMark/>
          </w:tcPr>
          <w:p w14:paraId="12029DDB" w14:textId="77777777" w:rsidR="00D50A89" w:rsidRPr="00D50A89" w:rsidRDefault="00D50A89" w:rsidP="00D50A89">
            <w:pPr>
              <w:spacing w:after="0" w:line="240" w:lineRule="auto"/>
              <w:jc w:val="left"/>
              <w:rPr>
                <w:rFonts w:eastAsia="Times New Roman" w:cs="Calibri"/>
                <w:color w:val="FFFFFF"/>
                <w:sz w:val="20"/>
                <w:szCs w:val="20"/>
                <w:lang w:eastAsia="es-CR"/>
              </w:rPr>
            </w:pPr>
          </w:p>
        </w:tc>
        <w:tc>
          <w:tcPr>
            <w:tcW w:w="1078" w:type="dxa"/>
            <w:vMerge/>
            <w:tcBorders>
              <w:top w:val="single" w:sz="8" w:space="0" w:color="auto"/>
              <w:left w:val="single" w:sz="8" w:space="0" w:color="auto"/>
              <w:bottom w:val="nil"/>
              <w:right w:val="single" w:sz="8" w:space="0" w:color="auto"/>
            </w:tcBorders>
            <w:vAlign w:val="center"/>
            <w:hideMark/>
          </w:tcPr>
          <w:p w14:paraId="096E8A97" w14:textId="77777777" w:rsidR="00D50A89" w:rsidRPr="00D50A89" w:rsidRDefault="00D50A89" w:rsidP="00D50A89">
            <w:pPr>
              <w:spacing w:after="0" w:line="240" w:lineRule="auto"/>
              <w:jc w:val="left"/>
              <w:rPr>
                <w:rFonts w:eastAsia="Times New Roman" w:cs="Calibri"/>
                <w:color w:val="FFFFFF"/>
                <w:sz w:val="20"/>
                <w:szCs w:val="20"/>
                <w:lang w:eastAsia="es-CR"/>
              </w:rPr>
            </w:pPr>
          </w:p>
        </w:tc>
        <w:tc>
          <w:tcPr>
            <w:tcW w:w="899" w:type="dxa"/>
            <w:vMerge/>
            <w:tcBorders>
              <w:top w:val="single" w:sz="8" w:space="0" w:color="auto"/>
              <w:left w:val="single" w:sz="8" w:space="0" w:color="auto"/>
              <w:bottom w:val="nil"/>
              <w:right w:val="single" w:sz="8" w:space="0" w:color="auto"/>
            </w:tcBorders>
            <w:vAlign w:val="center"/>
            <w:hideMark/>
          </w:tcPr>
          <w:p w14:paraId="70C786E3" w14:textId="77777777" w:rsidR="00D50A89" w:rsidRPr="00D50A89" w:rsidRDefault="00D50A89" w:rsidP="00D50A89">
            <w:pPr>
              <w:spacing w:after="0" w:line="240" w:lineRule="auto"/>
              <w:jc w:val="left"/>
              <w:rPr>
                <w:rFonts w:eastAsia="Times New Roman" w:cs="Calibri"/>
                <w:color w:val="FFFFFF"/>
                <w:sz w:val="20"/>
                <w:szCs w:val="20"/>
                <w:lang w:eastAsia="es-CR"/>
              </w:rPr>
            </w:pPr>
          </w:p>
        </w:tc>
        <w:tc>
          <w:tcPr>
            <w:tcW w:w="36" w:type="dxa"/>
            <w:tcBorders>
              <w:top w:val="nil"/>
              <w:left w:val="nil"/>
              <w:bottom w:val="nil"/>
              <w:right w:val="nil"/>
            </w:tcBorders>
            <w:shd w:val="clear" w:color="auto" w:fill="auto"/>
            <w:noWrap/>
            <w:vAlign w:val="bottom"/>
            <w:hideMark/>
          </w:tcPr>
          <w:p w14:paraId="318EAFF9" w14:textId="77777777" w:rsidR="00D50A89" w:rsidRPr="00D50A89" w:rsidRDefault="00D50A89" w:rsidP="00D50A89">
            <w:pPr>
              <w:spacing w:after="0" w:line="240" w:lineRule="auto"/>
              <w:jc w:val="center"/>
              <w:rPr>
                <w:rFonts w:eastAsia="Times New Roman" w:cs="Calibri"/>
                <w:color w:val="FFFFFF"/>
                <w:sz w:val="20"/>
                <w:szCs w:val="20"/>
                <w:lang w:eastAsia="es-CR"/>
              </w:rPr>
            </w:pPr>
          </w:p>
        </w:tc>
      </w:tr>
      <w:tr w:rsidR="00D50A89" w:rsidRPr="00D50A89" w14:paraId="68EE3EDA" w14:textId="77777777" w:rsidTr="00D50A89">
        <w:trPr>
          <w:trHeight w:val="300"/>
        </w:trPr>
        <w:tc>
          <w:tcPr>
            <w:tcW w:w="1140" w:type="dxa"/>
            <w:tcBorders>
              <w:top w:val="nil"/>
              <w:left w:val="single" w:sz="8" w:space="0" w:color="auto"/>
              <w:bottom w:val="nil"/>
              <w:right w:val="single" w:sz="8" w:space="0" w:color="auto"/>
            </w:tcBorders>
            <w:shd w:val="clear" w:color="auto" w:fill="auto"/>
            <w:noWrap/>
            <w:vAlign w:val="bottom"/>
            <w:hideMark/>
          </w:tcPr>
          <w:p w14:paraId="3B780FF1" w14:textId="77777777" w:rsidR="00D50A89" w:rsidRPr="00D50A89" w:rsidRDefault="00D50A89" w:rsidP="00D50A89">
            <w:pPr>
              <w:spacing w:after="0" w:line="240" w:lineRule="auto"/>
              <w:jc w:val="left"/>
              <w:rPr>
                <w:rFonts w:eastAsia="Times New Roman" w:cs="Calibri"/>
                <w:b/>
                <w:bCs/>
                <w:color w:val="000000"/>
                <w:sz w:val="20"/>
                <w:szCs w:val="20"/>
                <w:lang w:eastAsia="es-CR"/>
              </w:rPr>
            </w:pPr>
            <w:r w:rsidRPr="00D50A89">
              <w:rPr>
                <w:rFonts w:eastAsia="Times New Roman" w:cs="Calibri"/>
                <w:b/>
                <w:bCs/>
                <w:color w:val="000000"/>
                <w:sz w:val="20"/>
                <w:szCs w:val="20"/>
                <w:lang w:eastAsia="es-CR"/>
              </w:rPr>
              <w:t>5.1.4.</w:t>
            </w:r>
          </w:p>
        </w:tc>
        <w:tc>
          <w:tcPr>
            <w:tcW w:w="4389" w:type="dxa"/>
            <w:tcBorders>
              <w:top w:val="nil"/>
              <w:left w:val="nil"/>
              <w:bottom w:val="nil"/>
              <w:right w:val="nil"/>
            </w:tcBorders>
            <w:shd w:val="clear" w:color="auto" w:fill="auto"/>
            <w:vAlign w:val="bottom"/>
            <w:hideMark/>
          </w:tcPr>
          <w:p w14:paraId="08087389" w14:textId="77777777" w:rsidR="00D50A89" w:rsidRPr="00D50A89" w:rsidRDefault="00D50A89" w:rsidP="00D50A89">
            <w:pPr>
              <w:spacing w:after="0" w:line="240" w:lineRule="auto"/>
              <w:jc w:val="left"/>
              <w:rPr>
                <w:rFonts w:eastAsia="Times New Roman" w:cs="Calibri"/>
                <w:b/>
                <w:bCs/>
                <w:color w:val="000000"/>
                <w:sz w:val="20"/>
                <w:szCs w:val="20"/>
                <w:lang w:eastAsia="es-CR"/>
              </w:rPr>
            </w:pPr>
            <w:r w:rsidRPr="00D50A89">
              <w:rPr>
                <w:rFonts w:eastAsia="Times New Roman" w:cs="Calibri"/>
                <w:b/>
                <w:bCs/>
                <w:color w:val="000000"/>
                <w:sz w:val="20"/>
                <w:szCs w:val="20"/>
                <w:lang w:eastAsia="es-CR"/>
              </w:rPr>
              <w:t>Consumo de bienes distintos de inventarios</w:t>
            </w:r>
          </w:p>
        </w:tc>
        <w:tc>
          <w:tcPr>
            <w:tcW w:w="1240" w:type="dxa"/>
            <w:tcBorders>
              <w:top w:val="single" w:sz="8" w:space="0" w:color="auto"/>
              <w:left w:val="single" w:sz="8" w:space="0" w:color="auto"/>
              <w:bottom w:val="nil"/>
              <w:right w:val="single" w:sz="8" w:space="0" w:color="auto"/>
            </w:tcBorders>
            <w:shd w:val="clear" w:color="auto" w:fill="auto"/>
            <w:noWrap/>
            <w:vAlign w:val="bottom"/>
            <w:hideMark/>
          </w:tcPr>
          <w:p w14:paraId="47450039" w14:textId="77777777" w:rsidR="00D50A89" w:rsidRPr="00D50A89" w:rsidRDefault="00D50A89" w:rsidP="00D50A89">
            <w:pPr>
              <w:spacing w:after="0" w:line="240" w:lineRule="auto"/>
              <w:jc w:val="left"/>
              <w:rPr>
                <w:rFonts w:eastAsia="Times New Roman" w:cs="Calibri"/>
                <w:color w:val="000000"/>
                <w:sz w:val="20"/>
                <w:szCs w:val="20"/>
                <w:lang w:eastAsia="es-CR"/>
              </w:rPr>
            </w:pPr>
            <w:r w:rsidRPr="00D50A89">
              <w:rPr>
                <w:rFonts w:eastAsia="Times New Roman" w:cs="Calibri"/>
                <w:color w:val="000000"/>
                <w:sz w:val="20"/>
                <w:szCs w:val="20"/>
                <w:lang w:eastAsia="es-CR"/>
              </w:rPr>
              <w:t xml:space="preserve"> </w:t>
            </w:r>
          </w:p>
        </w:tc>
        <w:tc>
          <w:tcPr>
            <w:tcW w:w="1198" w:type="dxa"/>
            <w:tcBorders>
              <w:top w:val="nil"/>
              <w:left w:val="nil"/>
              <w:bottom w:val="nil"/>
              <w:right w:val="nil"/>
            </w:tcBorders>
            <w:shd w:val="clear" w:color="auto" w:fill="auto"/>
            <w:noWrap/>
            <w:vAlign w:val="bottom"/>
            <w:hideMark/>
          </w:tcPr>
          <w:p w14:paraId="3D26600D" w14:textId="77777777" w:rsidR="00D50A89" w:rsidRPr="00D50A89" w:rsidRDefault="00D50A89" w:rsidP="00D50A89">
            <w:pPr>
              <w:spacing w:after="0" w:line="240" w:lineRule="auto"/>
              <w:jc w:val="left"/>
              <w:rPr>
                <w:rFonts w:eastAsia="Times New Roman" w:cs="Calibri"/>
                <w:color w:val="000000"/>
                <w:sz w:val="20"/>
                <w:szCs w:val="20"/>
                <w:lang w:eastAsia="es-CR"/>
              </w:rPr>
            </w:pPr>
            <w:r w:rsidRPr="00D50A89">
              <w:rPr>
                <w:rFonts w:eastAsia="Times New Roman" w:cs="Calibri"/>
                <w:color w:val="000000"/>
                <w:sz w:val="20"/>
                <w:szCs w:val="20"/>
                <w:lang w:eastAsia="es-CR"/>
              </w:rPr>
              <w:t xml:space="preserve"> </w:t>
            </w:r>
          </w:p>
        </w:tc>
        <w:tc>
          <w:tcPr>
            <w:tcW w:w="1078" w:type="dxa"/>
            <w:tcBorders>
              <w:top w:val="nil"/>
              <w:left w:val="single" w:sz="8" w:space="0" w:color="auto"/>
              <w:bottom w:val="nil"/>
              <w:right w:val="single" w:sz="8" w:space="0" w:color="auto"/>
            </w:tcBorders>
            <w:shd w:val="clear" w:color="auto" w:fill="auto"/>
            <w:noWrap/>
            <w:vAlign w:val="bottom"/>
            <w:hideMark/>
          </w:tcPr>
          <w:p w14:paraId="043FA84B" w14:textId="77777777" w:rsidR="00D50A89" w:rsidRPr="00D50A89" w:rsidRDefault="00D50A89" w:rsidP="00D50A89">
            <w:pPr>
              <w:spacing w:after="0" w:line="240" w:lineRule="auto"/>
              <w:jc w:val="left"/>
              <w:rPr>
                <w:rFonts w:eastAsia="Times New Roman" w:cs="Calibri"/>
                <w:color w:val="000000"/>
                <w:sz w:val="20"/>
                <w:szCs w:val="20"/>
                <w:lang w:eastAsia="es-CR"/>
              </w:rPr>
            </w:pPr>
            <w:r w:rsidRPr="00D50A89">
              <w:rPr>
                <w:rFonts w:eastAsia="Times New Roman" w:cs="Calibri"/>
                <w:color w:val="000000"/>
                <w:sz w:val="20"/>
                <w:szCs w:val="20"/>
                <w:lang w:eastAsia="es-CR"/>
              </w:rPr>
              <w:t xml:space="preserve"> </w:t>
            </w:r>
          </w:p>
        </w:tc>
        <w:tc>
          <w:tcPr>
            <w:tcW w:w="899" w:type="dxa"/>
            <w:tcBorders>
              <w:top w:val="nil"/>
              <w:left w:val="nil"/>
              <w:bottom w:val="nil"/>
              <w:right w:val="single" w:sz="8" w:space="0" w:color="auto"/>
            </w:tcBorders>
            <w:shd w:val="clear" w:color="auto" w:fill="auto"/>
            <w:noWrap/>
            <w:vAlign w:val="bottom"/>
            <w:hideMark/>
          </w:tcPr>
          <w:p w14:paraId="1928095C" w14:textId="77777777" w:rsidR="00D50A89" w:rsidRPr="00D50A89" w:rsidRDefault="00D50A89" w:rsidP="00D50A89">
            <w:pPr>
              <w:spacing w:after="0" w:line="240" w:lineRule="auto"/>
              <w:jc w:val="left"/>
              <w:rPr>
                <w:rFonts w:eastAsia="Times New Roman" w:cs="Calibri"/>
                <w:color w:val="000000"/>
                <w:sz w:val="20"/>
                <w:szCs w:val="20"/>
                <w:lang w:eastAsia="es-CR"/>
              </w:rPr>
            </w:pPr>
            <w:r w:rsidRPr="00D50A89">
              <w:rPr>
                <w:rFonts w:eastAsia="Times New Roman" w:cs="Calibri"/>
                <w:color w:val="000000"/>
                <w:sz w:val="20"/>
                <w:szCs w:val="20"/>
                <w:lang w:eastAsia="es-CR"/>
              </w:rPr>
              <w:t> </w:t>
            </w:r>
          </w:p>
        </w:tc>
        <w:tc>
          <w:tcPr>
            <w:tcW w:w="36" w:type="dxa"/>
            <w:vAlign w:val="center"/>
            <w:hideMark/>
          </w:tcPr>
          <w:p w14:paraId="2FFBC62B" w14:textId="77777777" w:rsidR="00D50A89" w:rsidRPr="00D50A89" w:rsidRDefault="00D50A89" w:rsidP="00D50A89">
            <w:pPr>
              <w:spacing w:after="0" w:line="240" w:lineRule="auto"/>
              <w:jc w:val="left"/>
              <w:rPr>
                <w:rFonts w:ascii="Times New Roman" w:eastAsia="Times New Roman" w:hAnsi="Times New Roman" w:cs="Times New Roman"/>
                <w:sz w:val="20"/>
                <w:szCs w:val="20"/>
                <w:lang w:eastAsia="es-CR"/>
              </w:rPr>
            </w:pPr>
          </w:p>
        </w:tc>
      </w:tr>
      <w:tr w:rsidR="00D50A89" w:rsidRPr="00D50A89" w14:paraId="670BED02" w14:textId="77777777" w:rsidTr="00D50A89">
        <w:trPr>
          <w:trHeight w:val="300"/>
        </w:trPr>
        <w:tc>
          <w:tcPr>
            <w:tcW w:w="1140" w:type="dxa"/>
            <w:tcBorders>
              <w:top w:val="nil"/>
              <w:left w:val="single" w:sz="8" w:space="0" w:color="auto"/>
              <w:bottom w:val="nil"/>
              <w:right w:val="single" w:sz="8" w:space="0" w:color="auto"/>
            </w:tcBorders>
            <w:shd w:val="clear" w:color="auto" w:fill="auto"/>
            <w:noWrap/>
            <w:vAlign w:val="bottom"/>
            <w:hideMark/>
          </w:tcPr>
          <w:p w14:paraId="16EE2C3B" w14:textId="77777777" w:rsidR="00D50A89" w:rsidRPr="00D50A89" w:rsidRDefault="00D50A89" w:rsidP="00D50A89">
            <w:pPr>
              <w:spacing w:after="0" w:line="240" w:lineRule="auto"/>
              <w:jc w:val="left"/>
              <w:rPr>
                <w:rFonts w:eastAsia="Times New Roman" w:cs="Calibri"/>
                <w:color w:val="000000"/>
                <w:sz w:val="20"/>
                <w:szCs w:val="20"/>
                <w:lang w:eastAsia="es-CR"/>
              </w:rPr>
            </w:pPr>
            <w:r w:rsidRPr="00D50A89">
              <w:rPr>
                <w:rFonts w:eastAsia="Times New Roman" w:cs="Calibri"/>
                <w:color w:val="000000"/>
                <w:sz w:val="20"/>
                <w:szCs w:val="20"/>
                <w:lang w:eastAsia="es-CR"/>
              </w:rPr>
              <w:t>5.1.4.01.01.02.</w:t>
            </w:r>
          </w:p>
        </w:tc>
        <w:tc>
          <w:tcPr>
            <w:tcW w:w="4389" w:type="dxa"/>
            <w:tcBorders>
              <w:top w:val="nil"/>
              <w:left w:val="nil"/>
              <w:bottom w:val="nil"/>
              <w:right w:val="nil"/>
            </w:tcBorders>
            <w:shd w:val="clear" w:color="auto" w:fill="auto"/>
            <w:vAlign w:val="bottom"/>
            <w:hideMark/>
          </w:tcPr>
          <w:p w14:paraId="4A2390A6" w14:textId="77777777" w:rsidR="00D50A89" w:rsidRPr="00D50A89" w:rsidRDefault="00D50A89" w:rsidP="00D50A89">
            <w:pPr>
              <w:spacing w:after="0" w:line="240" w:lineRule="auto"/>
              <w:jc w:val="left"/>
              <w:rPr>
                <w:rFonts w:eastAsia="Times New Roman" w:cs="Calibri"/>
                <w:color w:val="000000"/>
                <w:sz w:val="20"/>
                <w:szCs w:val="20"/>
                <w:lang w:eastAsia="es-CR"/>
              </w:rPr>
            </w:pPr>
            <w:r w:rsidRPr="00D50A89">
              <w:rPr>
                <w:rFonts w:eastAsia="Times New Roman" w:cs="Calibri"/>
                <w:color w:val="000000"/>
                <w:sz w:val="20"/>
                <w:szCs w:val="20"/>
                <w:lang w:eastAsia="es-CR"/>
              </w:rPr>
              <w:t>Depreciación de edificios</w:t>
            </w:r>
          </w:p>
        </w:tc>
        <w:tc>
          <w:tcPr>
            <w:tcW w:w="1240" w:type="dxa"/>
            <w:tcBorders>
              <w:top w:val="nil"/>
              <w:left w:val="single" w:sz="8" w:space="0" w:color="auto"/>
              <w:bottom w:val="nil"/>
              <w:right w:val="single" w:sz="8" w:space="0" w:color="auto"/>
            </w:tcBorders>
            <w:shd w:val="clear" w:color="auto" w:fill="auto"/>
            <w:noWrap/>
            <w:vAlign w:val="bottom"/>
            <w:hideMark/>
          </w:tcPr>
          <w:p w14:paraId="51711981" w14:textId="77777777" w:rsidR="00D50A89" w:rsidRPr="00D50A89" w:rsidRDefault="00D50A89" w:rsidP="00D50A89">
            <w:pPr>
              <w:spacing w:after="0" w:line="240" w:lineRule="auto"/>
              <w:jc w:val="right"/>
              <w:rPr>
                <w:rFonts w:eastAsia="Times New Roman" w:cs="Calibri"/>
                <w:color w:val="000000"/>
                <w:sz w:val="20"/>
                <w:szCs w:val="20"/>
                <w:lang w:eastAsia="es-CR"/>
              </w:rPr>
            </w:pPr>
            <w:r w:rsidRPr="00D50A89">
              <w:rPr>
                <w:rFonts w:ascii="Arial" w:eastAsia="Times New Roman" w:hAnsi="Arial" w:cs="Arial"/>
                <w:color w:val="000000"/>
                <w:sz w:val="20"/>
                <w:szCs w:val="20"/>
                <w:lang w:eastAsia="es-CR"/>
              </w:rPr>
              <w:t>₡</w:t>
            </w:r>
            <w:r w:rsidRPr="00D50A89">
              <w:rPr>
                <w:rFonts w:eastAsia="Times New Roman" w:cs="Calibri"/>
                <w:color w:val="000000"/>
                <w:sz w:val="20"/>
                <w:szCs w:val="20"/>
                <w:lang w:eastAsia="es-CR"/>
              </w:rPr>
              <w:t>21 731,57</w:t>
            </w:r>
          </w:p>
        </w:tc>
        <w:tc>
          <w:tcPr>
            <w:tcW w:w="1198" w:type="dxa"/>
            <w:tcBorders>
              <w:top w:val="nil"/>
              <w:left w:val="nil"/>
              <w:bottom w:val="nil"/>
              <w:right w:val="single" w:sz="8" w:space="0" w:color="auto"/>
            </w:tcBorders>
            <w:shd w:val="clear" w:color="auto" w:fill="auto"/>
            <w:noWrap/>
            <w:vAlign w:val="bottom"/>
            <w:hideMark/>
          </w:tcPr>
          <w:p w14:paraId="7AEC4499" w14:textId="77777777" w:rsidR="00D50A89" w:rsidRPr="00D50A89" w:rsidRDefault="00D50A89" w:rsidP="00D50A89">
            <w:pPr>
              <w:spacing w:after="0" w:line="240" w:lineRule="auto"/>
              <w:jc w:val="right"/>
              <w:rPr>
                <w:rFonts w:eastAsia="Times New Roman" w:cs="Calibri"/>
                <w:sz w:val="20"/>
                <w:szCs w:val="20"/>
                <w:lang w:eastAsia="es-CR"/>
              </w:rPr>
            </w:pPr>
            <w:r w:rsidRPr="00D50A89">
              <w:rPr>
                <w:rFonts w:ascii="Arial" w:eastAsia="Times New Roman" w:hAnsi="Arial" w:cs="Arial"/>
                <w:sz w:val="20"/>
                <w:szCs w:val="20"/>
                <w:lang w:eastAsia="es-CR"/>
              </w:rPr>
              <w:t>₡</w:t>
            </w:r>
            <w:r w:rsidRPr="00D50A89">
              <w:rPr>
                <w:rFonts w:eastAsia="Times New Roman" w:cs="Calibri"/>
                <w:sz w:val="20"/>
                <w:szCs w:val="20"/>
                <w:lang w:eastAsia="es-CR"/>
              </w:rPr>
              <w:t>19 631,74</w:t>
            </w:r>
          </w:p>
        </w:tc>
        <w:tc>
          <w:tcPr>
            <w:tcW w:w="1078" w:type="dxa"/>
            <w:tcBorders>
              <w:top w:val="nil"/>
              <w:left w:val="nil"/>
              <w:bottom w:val="nil"/>
              <w:right w:val="single" w:sz="8" w:space="0" w:color="auto"/>
            </w:tcBorders>
            <w:shd w:val="clear" w:color="auto" w:fill="auto"/>
            <w:noWrap/>
            <w:vAlign w:val="bottom"/>
            <w:hideMark/>
          </w:tcPr>
          <w:p w14:paraId="5510A082" w14:textId="77777777" w:rsidR="00D50A89" w:rsidRPr="00D50A89" w:rsidRDefault="00D50A89" w:rsidP="00D50A89">
            <w:pPr>
              <w:spacing w:after="0" w:line="240" w:lineRule="auto"/>
              <w:jc w:val="right"/>
              <w:rPr>
                <w:rFonts w:eastAsia="Times New Roman" w:cs="Calibri"/>
                <w:color w:val="000000"/>
                <w:sz w:val="20"/>
                <w:szCs w:val="20"/>
                <w:lang w:eastAsia="es-CR"/>
              </w:rPr>
            </w:pPr>
            <w:r w:rsidRPr="00D50A89">
              <w:rPr>
                <w:rFonts w:ascii="Arial" w:eastAsia="Times New Roman" w:hAnsi="Arial" w:cs="Arial"/>
                <w:color w:val="000000"/>
                <w:sz w:val="20"/>
                <w:szCs w:val="20"/>
                <w:lang w:eastAsia="es-CR"/>
              </w:rPr>
              <w:t>₡</w:t>
            </w:r>
            <w:r w:rsidRPr="00D50A89">
              <w:rPr>
                <w:rFonts w:eastAsia="Times New Roman" w:cs="Calibri"/>
                <w:color w:val="000000"/>
                <w:sz w:val="20"/>
                <w:szCs w:val="20"/>
                <w:lang w:eastAsia="es-CR"/>
              </w:rPr>
              <w:t>2 099,84</w:t>
            </w:r>
          </w:p>
        </w:tc>
        <w:tc>
          <w:tcPr>
            <w:tcW w:w="899" w:type="dxa"/>
            <w:tcBorders>
              <w:top w:val="nil"/>
              <w:left w:val="nil"/>
              <w:bottom w:val="nil"/>
              <w:right w:val="single" w:sz="8" w:space="0" w:color="auto"/>
            </w:tcBorders>
            <w:shd w:val="clear" w:color="000000" w:fill="FFFFFF"/>
            <w:noWrap/>
            <w:vAlign w:val="bottom"/>
            <w:hideMark/>
          </w:tcPr>
          <w:p w14:paraId="79EA9009" w14:textId="77777777" w:rsidR="00D50A89" w:rsidRPr="00D50A89" w:rsidRDefault="00D50A89" w:rsidP="00D50A89">
            <w:pPr>
              <w:spacing w:after="0" w:line="240" w:lineRule="auto"/>
              <w:jc w:val="right"/>
              <w:rPr>
                <w:rFonts w:eastAsia="Times New Roman" w:cs="Calibri"/>
                <w:color w:val="000000"/>
                <w:sz w:val="20"/>
                <w:szCs w:val="20"/>
                <w:lang w:eastAsia="es-CR"/>
              </w:rPr>
            </w:pPr>
            <w:r w:rsidRPr="00D50A89">
              <w:rPr>
                <w:rFonts w:eastAsia="Times New Roman" w:cs="Calibri"/>
                <w:color w:val="000000"/>
                <w:sz w:val="20"/>
                <w:szCs w:val="20"/>
                <w:lang w:eastAsia="es-CR"/>
              </w:rPr>
              <w:t>10,70%</w:t>
            </w:r>
          </w:p>
        </w:tc>
        <w:tc>
          <w:tcPr>
            <w:tcW w:w="36" w:type="dxa"/>
            <w:vAlign w:val="center"/>
            <w:hideMark/>
          </w:tcPr>
          <w:p w14:paraId="36A4B04B" w14:textId="77777777" w:rsidR="00D50A89" w:rsidRPr="00D50A89" w:rsidRDefault="00D50A89" w:rsidP="00D50A89">
            <w:pPr>
              <w:spacing w:after="0" w:line="240" w:lineRule="auto"/>
              <w:jc w:val="left"/>
              <w:rPr>
                <w:rFonts w:ascii="Times New Roman" w:eastAsia="Times New Roman" w:hAnsi="Times New Roman" w:cs="Times New Roman"/>
                <w:sz w:val="20"/>
                <w:szCs w:val="20"/>
                <w:lang w:eastAsia="es-CR"/>
              </w:rPr>
            </w:pPr>
          </w:p>
        </w:tc>
      </w:tr>
      <w:tr w:rsidR="00D50A89" w:rsidRPr="00D50A89" w14:paraId="64F3679D" w14:textId="77777777" w:rsidTr="00D50A89">
        <w:trPr>
          <w:trHeight w:val="525"/>
        </w:trPr>
        <w:tc>
          <w:tcPr>
            <w:tcW w:w="1140" w:type="dxa"/>
            <w:tcBorders>
              <w:top w:val="nil"/>
              <w:left w:val="single" w:sz="8" w:space="0" w:color="auto"/>
              <w:bottom w:val="nil"/>
              <w:right w:val="single" w:sz="8" w:space="0" w:color="auto"/>
            </w:tcBorders>
            <w:shd w:val="clear" w:color="auto" w:fill="auto"/>
            <w:noWrap/>
            <w:vAlign w:val="bottom"/>
            <w:hideMark/>
          </w:tcPr>
          <w:p w14:paraId="4F9055AB" w14:textId="77777777" w:rsidR="00D50A89" w:rsidRPr="00D50A89" w:rsidRDefault="00D50A89" w:rsidP="00D50A89">
            <w:pPr>
              <w:spacing w:after="0" w:line="240" w:lineRule="auto"/>
              <w:jc w:val="left"/>
              <w:rPr>
                <w:rFonts w:eastAsia="Times New Roman" w:cs="Calibri"/>
                <w:color w:val="000000"/>
                <w:sz w:val="20"/>
                <w:szCs w:val="20"/>
                <w:lang w:eastAsia="es-CR"/>
              </w:rPr>
            </w:pPr>
            <w:r w:rsidRPr="00D50A89">
              <w:rPr>
                <w:rFonts w:eastAsia="Times New Roman" w:cs="Calibri"/>
                <w:color w:val="000000"/>
                <w:sz w:val="20"/>
                <w:szCs w:val="20"/>
                <w:lang w:eastAsia="es-CR"/>
              </w:rPr>
              <w:t>5.1.4.01.01.03.</w:t>
            </w:r>
          </w:p>
        </w:tc>
        <w:tc>
          <w:tcPr>
            <w:tcW w:w="4389" w:type="dxa"/>
            <w:tcBorders>
              <w:top w:val="nil"/>
              <w:left w:val="nil"/>
              <w:bottom w:val="nil"/>
              <w:right w:val="nil"/>
            </w:tcBorders>
            <w:shd w:val="clear" w:color="auto" w:fill="auto"/>
            <w:vAlign w:val="bottom"/>
            <w:hideMark/>
          </w:tcPr>
          <w:p w14:paraId="6F336932" w14:textId="77777777" w:rsidR="00D50A89" w:rsidRPr="00D50A89" w:rsidRDefault="00D50A89" w:rsidP="00D50A89">
            <w:pPr>
              <w:spacing w:after="0" w:line="240" w:lineRule="auto"/>
              <w:jc w:val="left"/>
              <w:rPr>
                <w:rFonts w:eastAsia="Times New Roman" w:cs="Calibri"/>
                <w:color w:val="000000"/>
                <w:sz w:val="20"/>
                <w:szCs w:val="20"/>
                <w:lang w:eastAsia="es-CR"/>
              </w:rPr>
            </w:pPr>
            <w:r w:rsidRPr="00D50A89">
              <w:rPr>
                <w:rFonts w:eastAsia="Times New Roman" w:cs="Calibri"/>
                <w:color w:val="000000"/>
                <w:sz w:val="20"/>
                <w:szCs w:val="20"/>
                <w:lang w:eastAsia="es-CR"/>
              </w:rPr>
              <w:t>Depreciaciones de maquinaria y equipos para la producción</w:t>
            </w:r>
          </w:p>
        </w:tc>
        <w:tc>
          <w:tcPr>
            <w:tcW w:w="1240" w:type="dxa"/>
            <w:tcBorders>
              <w:top w:val="nil"/>
              <w:left w:val="single" w:sz="8" w:space="0" w:color="auto"/>
              <w:bottom w:val="nil"/>
              <w:right w:val="single" w:sz="8" w:space="0" w:color="auto"/>
            </w:tcBorders>
            <w:shd w:val="clear" w:color="auto" w:fill="auto"/>
            <w:noWrap/>
            <w:vAlign w:val="bottom"/>
            <w:hideMark/>
          </w:tcPr>
          <w:p w14:paraId="22578878" w14:textId="77777777" w:rsidR="00D50A89" w:rsidRPr="00D50A89" w:rsidRDefault="00D50A89" w:rsidP="00D50A89">
            <w:pPr>
              <w:spacing w:after="0" w:line="240" w:lineRule="auto"/>
              <w:jc w:val="right"/>
              <w:rPr>
                <w:rFonts w:eastAsia="Times New Roman" w:cs="Calibri"/>
                <w:sz w:val="20"/>
                <w:szCs w:val="20"/>
                <w:lang w:eastAsia="es-CR"/>
              </w:rPr>
            </w:pPr>
            <w:r w:rsidRPr="00D50A89">
              <w:rPr>
                <w:rFonts w:ascii="Arial" w:eastAsia="Times New Roman" w:hAnsi="Arial" w:cs="Arial"/>
                <w:sz w:val="20"/>
                <w:szCs w:val="20"/>
                <w:lang w:eastAsia="es-CR"/>
              </w:rPr>
              <w:t>₡</w:t>
            </w:r>
            <w:r w:rsidRPr="00D50A89">
              <w:rPr>
                <w:rFonts w:eastAsia="Times New Roman" w:cs="Calibri"/>
                <w:sz w:val="20"/>
                <w:szCs w:val="20"/>
                <w:lang w:eastAsia="es-CR"/>
              </w:rPr>
              <w:t>161 085,89</w:t>
            </w:r>
          </w:p>
        </w:tc>
        <w:tc>
          <w:tcPr>
            <w:tcW w:w="1198" w:type="dxa"/>
            <w:tcBorders>
              <w:top w:val="nil"/>
              <w:left w:val="nil"/>
              <w:bottom w:val="nil"/>
              <w:right w:val="single" w:sz="8" w:space="0" w:color="auto"/>
            </w:tcBorders>
            <w:shd w:val="clear" w:color="auto" w:fill="auto"/>
            <w:noWrap/>
            <w:vAlign w:val="bottom"/>
            <w:hideMark/>
          </w:tcPr>
          <w:p w14:paraId="131B2D40" w14:textId="77777777" w:rsidR="00D50A89" w:rsidRPr="00D50A89" w:rsidRDefault="00D50A89" w:rsidP="00D50A89">
            <w:pPr>
              <w:spacing w:after="0" w:line="240" w:lineRule="auto"/>
              <w:jc w:val="right"/>
              <w:rPr>
                <w:rFonts w:eastAsia="Times New Roman" w:cs="Calibri"/>
                <w:sz w:val="20"/>
                <w:szCs w:val="20"/>
                <w:lang w:eastAsia="es-CR"/>
              </w:rPr>
            </w:pPr>
            <w:r w:rsidRPr="00D50A89">
              <w:rPr>
                <w:rFonts w:ascii="Arial" w:eastAsia="Times New Roman" w:hAnsi="Arial" w:cs="Arial"/>
                <w:sz w:val="20"/>
                <w:szCs w:val="20"/>
                <w:lang w:eastAsia="es-CR"/>
              </w:rPr>
              <w:t>₡</w:t>
            </w:r>
            <w:r w:rsidRPr="00D50A89">
              <w:rPr>
                <w:rFonts w:eastAsia="Times New Roman" w:cs="Calibri"/>
                <w:sz w:val="20"/>
                <w:szCs w:val="20"/>
                <w:lang w:eastAsia="es-CR"/>
              </w:rPr>
              <w:t>125 882,59</w:t>
            </w:r>
          </w:p>
        </w:tc>
        <w:tc>
          <w:tcPr>
            <w:tcW w:w="1078" w:type="dxa"/>
            <w:tcBorders>
              <w:top w:val="nil"/>
              <w:left w:val="nil"/>
              <w:bottom w:val="nil"/>
              <w:right w:val="single" w:sz="8" w:space="0" w:color="auto"/>
            </w:tcBorders>
            <w:shd w:val="clear" w:color="auto" w:fill="auto"/>
            <w:noWrap/>
            <w:vAlign w:val="bottom"/>
            <w:hideMark/>
          </w:tcPr>
          <w:p w14:paraId="14A3B8EF" w14:textId="77777777" w:rsidR="00D50A89" w:rsidRPr="00D50A89" w:rsidRDefault="00D50A89" w:rsidP="00D50A89">
            <w:pPr>
              <w:spacing w:after="0" w:line="240" w:lineRule="auto"/>
              <w:jc w:val="right"/>
              <w:rPr>
                <w:rFonts w:eastAsia="Times New Roman" w:cs="Calibri"/>
                <w:color w:val="000000"/>
                <w:sz w:val="20"/>
                <w:szCs w:val="20"/>
                <w:lang w:eastAsia="es-CR"/>
              </w:rPr>
            </w:pPr>
            <w:r w:rsidRPr="00D50A89">
              <w:rPr>
                <w:rFonts w:eastAsia="Times New Roman" w:cs="Calibri"/>
                <w:color w:val="000000"/>
                <w:sz w:val="20"/>
                <w:szCs w:val="20"/>
                <w:lang w:eastAsia="es-CR"/>
              </w:rPr>
              <w:t>35 203,30</w:t>
            </w:r>
          </w:p>
        </w:tc>
        <w:tc>
          <w:tcPr>
            <w:tcW w:w="899" w:type="dxa"/>
            <w:tcBorders>
              <w:top w:val="nil"/>
              <w:left w:val="nil"/>
              <w:bottom w:val="nil"/>
              <w:right w:val="single" w:sz="8" w:space="0" w:color="auto"/>
            </w:tcBorders>
            <w:shd w:val="clear" w:color="000000" w:fill="FFFFFF"/>
            <w:noWrap/>
            <w:vAlign w:val="bottom"/>
            <w:hideMark/>
          </w:tcPr>
          <w:p w14:paraId="67FA63A4" w14:textId="77777777" w:rsidR="00D50A89" w:rsidRPr="00D50A89" w:rsidRDefault="00D50A89" w:rsidP="00D50A89">
            <w:pPr>
              <w:spacing w:after="0" w:line="240" w:lineRule="auto"/>
              <w:jc w:val="right"/>
              <w:rPr>
                <w:rFonts w:eastAsia="Times New Roman" w:cs="Calibri"/>
                <w:color w:val="000000"/>
                <w:sz w:val="20"/>
                <w:szCs w:val="20"/>
                <w:lang w:eastAsia="es-CR"/>
              </w:rPr>
            </w:pPr>
            <w:r w:rsidRPr="00D50A89">
              <w:rPr>
                <w:rFonts w:eastAsia="Times New Roman" w:cs="Calibri"/>
                <w:color w:val="000000"/>
                <w:sz w:val="20"/>
                <w:szCs w:val="20"/>
                <w:lang w:eastAsia="es-CR"/>
              </w:rPr>
              <w:t>27,97%</w:t>
            </w:r>
          </w:p>
        </w:tc>
        <w:tc>
          <w:tcPr>
            <w:tcW w:w="36" w:type="dxa"/>
            <w:vAlign w:val="center"/>
            <w:hideMark/>
          </w:tcPr>
          <w:p w14:paraId="0BCD7AF9" w14:textId="77777777" w:rsidR="00D50A89" w:rsidRPr="00D50A89" w:rsidRDefault="00D50A89" w:rsidP="00D50A89">
            <w:pPr>
              <w:spacing w:after="0" w:line="240" w:lineRule="auto"/>
              <w:jc w:val="left"/>
              <w:rPr>
                <w:rFonts w:ascii="Times New Roman" w:eastAsia="Times New Roman" w:hAnsi="Times New Roman" w:cs="Times New Roman"/>
                <w:sz w:val="20"/>
                <w:szCs w:val="20"/>
                <w:lang w:eastAsia="es-CR"/>
              </w:rPr>
            </w:pPr>
          </w:p>
        </w:tc>
      </w:tr>
      <w:tr w:rsidR="00D50A89" w:rsidRPr="00D50A89" w14:paraId="059CA03A" w14:textId="77777777" w:rsidTr="00D50A89">
        <w:trPr>
          <w:trHeight w:val="525"/>
        </w:trPr>
        <w:tc>
          <w:tcPr>
            <w:tcW w:w="1140" w:type="dxa"/>
            <w:tcBorders>
              <w:top w:val="nil"/>
              <w:left w:val="single" w:sz="8" w:space="0" w:color="auto"/>
              <w:bottom w:val="nil"/>
              <w:right w:val="single" w:sz="8" w:space="0" w:color="auto"/>
            </w:tcBorders>
            <w:shd w:val="clear" w:color="auto" w:fill="auto"/>
            <w:noWrap/>
            <w:vAlign w:val="bottom"/>
            <w:hideMark/>
          </w:tcPr>
          <w:p w14:paraId="68DAE4F9" w14:textId="77777777" w:rsidR="00D50A89" w:rsidRPr="00D50A89" w:rsidRDefault="00D50A89" w:rsidP="00D50A89">
            <w:pPr>
              <w:spacing w:after="0" w:line="240" w:lineRule="auto"/>
              <w:jc w:val="left"/>
              <w:rPr>
                <w:rFonts w:eastAsia="Times New Roman" w:cs="Calibri"/>
                <w:color w:val="000000"/>
                <w:sz w:val="20"/>
                <w:szCs w:val="20"/>
                <w:lang w:eastAsia="es-CR"/>
              </w:rPr>
            </w:pPr>
            <w:r w:rsidRPr="00D50A89">
              <w:rPr>
                <w:rFonts w:eastAsia="Times New Roman" w:cs="Calibri"/>
                <w:color w:val="000000"/>
                <w:sz w:val="20"/>
                <w:szCs w:val="20"/>
                <w:lang w:eastAsia="es-CR"/>
              </w:rPr>
              <w:lastRenderedPageBreak/>
              <w:t>5.1.4.01.01.04.</w:t>
            </w:r>
          </w:p>
        </w:tc>
        <w:tc>
          <w:tcPr>
            <w:tcW w:w="4389" w:type="dxa"/>
            <w:tcBorders>
              <w:top w:val="nil"/>
              <w:left w:val="nil"/>
              <w:bottom w:val="nil"/>
              <w:right w:val="nil"/>
            </w:tcBorders>
            <w:shd w:val="clear" w:color="auto" w:fill="auto"/>
            <w:vAlign w:val="bottom"/>
            <w:hideMark/>
          </w:tcPr>
          <w:p w14:paraId="308F16B9" w14:textId="77777777" w:rsidR="00D50A89" w:rsidRPr="00D50A89" w:rsidRDefault="00D50A89" w:rsidP="00D50A89">
            <w:pPr>
              <w:spacing w:after="0" w:line="240" w:lineRule="auto"/>
              <w:jc w:val="left"/>
              <w:rPr>
                <w:rFonts w:eastAsia="Times New Roman" w:cs="Calibri"/>
                <w:color w:val="000000"/>
                <w:sz w:val="20"/>
                <w:szCs w:val="20"/>
                <w:lang w:eastAsia="es-CR"/>
              </w:rPr>
            </w:pPr>
            <w:r w:rsidRPr="00D50A89">
              <w:rPr>
                <w:rFonts w:eastAsia="Times New Roman" w:cs="Calibri"/>
                <w:color w:val="000000"/>
                <w:sz w:val="20"/>
                <w:szCs w:val="20"/>
                <w:lang w:eastAsia="es-CR"/>
              </w:rPr>
              <w:t>Depreciaciones de equipos de transporte, tracción y elevación</w:t>
            </w:r>
          </w:p>
        </w:tc>
        <w:tc>
          <w:tcPr>
            <w:tcW w:w="1240" w:type="dxa"/>
            <w:tcBorders>
              <w:top w:val="nil"/>
              <w:left w:val="single" w:sz="8" w:space="0" w:color="auto"/>
              <w:bottom w:val="nil"/>
              <w:right w:val="single" w:sz="8" w:space="0" w:color="auto"/>
            </w:tcBorders>
            <w:shd w:val="clear" w:color="auto" w:fill="auto"/>
            <w:noWrap/>
            <w:vAlign w:val="bottom"/>
            <w:hideMark/>
          </w:tcPr>
          <w:p w14:paraId="7C67911E" w14:textId="77777777" w:rsidR="00D50A89" w:rsidRPr="00D50A89" w:rsidRDefault="00D50A89" w:rsidP="00D50A89">
            <w:pPr>
              <w:spacing w:after="0" w:line="240" w:lineRule="auto"/>
              <w:jc w:val="right"/>
              <w:rPr>
                <w:rFonts w:eastAsia="Times New Roman" w:cs="Calibri"/>
                <w:sz w:val="20"/>
                <w:szCs w:val="20"/>
                <w:lang w:eastAsia="es-CR"/>
              </w:rPr>
            </w:pPr>
            <w:r w:rsidRPr="00D50A89">
              <w:rPr>
                <w:rFonts w:ascii="Arial" w:eastAsia="Times New Roman" w:hAnsi="Arial" w:cs="Arial"/>
                <w:sz w:val="20"/>
                <w:szCs w:val="20"/>
                <w:lang w:eastAsia="es-CR"/>
              </w:rPr>
              <w:t>₡</w:t>
            </w:r>
            <w:r w:rsidRPr="00D50A89">
              <w:rPr>
                <w:rFonts w:eastAsia="Times New Roman" w:cs="Calibri"/>
                <w:sz w:val="20"/>
                <w:szCs w:val="20"/>
                <w:lang w:eastAsia="es-CR"/>
              </w:rPr>
              <w:t>15 065,82</w:t>
            </w:r>
          </w:p>
        </w:tc>
        <w:tc>
          <w:tcPr>
            <w:tcW w:w="1198" w:type="dxa"/>
            <w:tcBorders>
              <w:top w:val="nil"/>
              <w:left w:val="nil"/>
              <w:bottom w:val="nil"/>
              <w:right w:val="single" w:sz="8" w:space="0" w:color="auto"/>
            </w:tcBorders>
            <w:shd w:val="clear" w:color="auto" w:fill="auto"/>
            <w:noWrap/>
            <w:vAlign w:val="bottom"/>
            <w:hideMark/>
          </w:tcPr>
          <w:p w14:paraId="2C372AE7" w14:textId="77777777" w:rsidR="00D50A89" w:rsidRPr="00D50A89" w:rsidRDefault="00D50A89" w:rsidP="00D50A89">
            <w:pPr>
              <w:spacing w:after="0" w:line="240" w:lineRule="auto"/>
              <w:jc w:val="right"/>
              <w:rPr>
                <w:rFonts w:eastAsia="Times New Roman" w:cs="Calibri"/>
                <w:sz w:val="20"/>
                <w:szCs w:val="20"/>
                <w:lang w:eastAsia="es-CR"/>
              </w:rPr>
            </w:pPr>
            <w:r w:rsidRPr="00D50A89">
              <w:rPr>
                <w:rFonts w:ascii="Arial" w:eastAsia="Times New Roman" w:hAnsi="Arial" w:cs="Arial"/>
                <w:sz w:val="20"/>
                <w:szCs w:val="20"/>
                <w:lang w:eastAsia="es-CR"/>
              </w:rPr>
              <w:t>₡</w:t>
            </w:r>
            <w:r w:rsidRPr="00D50A89">
              <w:rPr>
                <w:rFonts w:eastAsia="Times New Roman" w:cs="Calibri"/>
                <w:sz w:val="20"/>
                <w:szCs w:val="20"/>
                <w:lang w:eastAsia="es-CR"/>
              </w:rPr>
              <w:t>10 353,49</w:t>
            </w:r>
          </w:p>
        </w:tc>
        <w:tc>
          <w:tcPr>
            <w:tcW w:w="1078" w:type="dxa"/>
            <w:tcBorders>
              <w:top w:val="nil"/>
              <w:left w:val="nil"/>
              <w:bottom w:val="nil"/>
              <w:right w:val="single" w:sz="8" w:space="0" w:color="auto"/>
            </w:tcBorders>
            <w:shd w:val="clear" w:color="auto" w:fill="auto"/>
            <w:noWrap/>
            <w:vAlign w:val="bottom"/>
            <w:hideMark/>
          </w:tcPr>
          <w:p w14:paraId="5B75B543" w14:textId="77777777" w:rsidR="00D50A89" w:rsidRPr="00D50A89" w:rsidRDefault="00D50A89" w:rsidP="00D50A89">
            <w:pPr>
              <w:spacing w:after="0" w:line="240" w:lineRule="auto"/>
              <w:jc w:val="right"/>
              <w:rPr>
                <w:rFonts w:eastAsia="Times New Roman" w:cs="Calibri"/>
                <w:color w:val="000000"/>
                <w:sz w:val="20"/>
                <w:szCs w:val="20"/>
                <w:lang w:eastAsia="es-CR"/>
              </w:rPr>
            </w:pPr>
            <w:r w:rsidRPr="00D50A89">
              <w:rPr>
                <w:rFonts w:eastAsia="Times New Roman" w:cs="Calibri"/>
                <w:color w:val="000000"/>
                <w:sz w:val="20"/>
                <w:szCs w:val="20"/>
                <w:lang w:eastAsia="es-CR"/>
              </w:rPr>
              <w:t>4 712,32</w:t>
            </w:r>
          </w:p>
        </w:tc>
        <w:tc>
          <w:tcPr>
            <w:tcW w:w="899" w:type="dxa"/>
            <w:tcBorders>
              <w:top w:val="nil"/>
              <w:left w:val="nil"/>
              <w:bottom w:val="nil"/>
              <w:right w:val="single" w:sz="8" w:space="0" w:color="auto"/>
            </w:tcBorders>
            <w:shd w:val="clear" w:color="000000" w:fill="FFFFFF"/>
            <w:noWrap/>
            <w:vAlign w:val="bottom"/>
            <w:hideMark/>
          </w:tcPr>
          <w:p w14:paraId="4DB7A0E8" w14:textId="77777777" w:rsidR="00D50A89" w:rsidRPr="00D50A89" w:rsidRDefault="00D50A89" w:rsidP="00D50A89">
            <w:pPr>
              <w:spacing w:after="0" w:line="240" w:lineRule="auto"/>
              <w:jc w:val="right"/>
              <w:rPr>
                <w:rFonts w:eastAsia="Times New Roman" w:cs="Calibri"/>
                <w:color w:val="000000"/>
                <w:sz w:val="20"/>
                <w:szCs w:val="20"/>
                <w:lang w:eastAsia="es-CR"/>
              </w:rPr>
            </w:pPr>
            <w:r w:rsidRPr="00D50A89">
              <w:rPr>
                <w:rFonts w:eastAsia="Times New Roman" w:cs="Calibri"/>
                <w:color w:val="000000"/>
                <w:sz w:val="20"/>
                <w:szCs w:val="20"/>
                <w:lang w:eastAsia="es-CR"/>
              </w:rPr>
              <w:t>45,51%</w:t>
            </w:r>
          </w:p>
        </w:tc>
        <w:tc>
          <w:tcPr>
            <w:tcW w:w="36" w:type="dxa"/>
            <w:vAlign w:val="center"/>
            <w:hideMark/>
          </w:tcPr>
          <w:p w14:paraId="18A4CEC2" w14:textId="77777777" w:rsidR="00D50A89" w:rsidRPr="00D50A89" w:rsidRDefault="00D50A89" w:rsidP="00D50A89">
            <w:pPr>
              <w:spacing w:after="0" w:line="240" w:lineRule="auto"/>
              <w:jc w:val="left"/>
              <w:rPr>
                <w:rFonts w:ascii="Times New Roman" w:eastAsia="Times New Roman" w:hAnsi="Times New Roman" w:cs="Times New Roman"/>
                <w:sz w:val="20"/>
                <w:szCs w:val="20"/>
                <w:lang w:eastAsia="es-CR"/>
              </w:rPr>
            </w:pPr>
          </w:p>
        </w:tc>
      </w:tr>
      <w:tr w:rsidR="00D50A89" w:rsidRPr="00D50A89" w14:paraId="7A4A6E92" w14:textId="77777777" w:rsidTr="00D50A89">
        <w:trPr>
          <w:trHeight w:val="300"/>
        </w:trPr>
        <w:tc>
          <w:tcPr>
            <w:tcW w:w="1140" w:type="dxa"/>
            <w:tcBorders>
              <w:top w:val="nil"/>
              <w:left w:val="single" w:sz="8" w:space="0" w:color="auto"/>
              <w:bottom w:val="nil"/>
              <w:right w:val="single" w:sz="8" w:space="0" w:color="auto"/>
            </w:tcBorders>
            <w:shd w:val="clear" w:color="auto" w:fill="auto"/>
            <w:noWrap/>
            <w:vAlign w:val="bottom"/>
            <w:hideMark/>
          </w:tcPr>
          <w:p w14:paraId="64BB89F0" w14:textId="77777777" w:rsidR="00D50A89" w:rsidRPr="00D50A89" w:rsidRDefault="00D50A89" w:rsidP="00D50A89">
            <w:pPr>
              <w:spacing w:after="0" w:line="240" w:lineRule="auto"/>
              <w:jc w:val="left"/>
              <w:rPr>
                <w:rFonts w:eastAsia="Times New Roman" w:cs="Calibri"/>
                <w:color w:val="000000"/>
                <w:sz w:val="20"/>
                <w:szCs w:val="20"/>
                <w:lang w:eastAsia="es-CR"/>
              </w:rPr>
            </w:pPr>
            <w:r w:rsidRPr="00D50A89">
              <w:rPr>
                <w:rFonts w:eastAsia="Times New Roman" w:cs="Calibri"/>
                <w:color w:val="000000"/>
                <w:sz w:val="20"/>
                <w:szCs w:val="20"/>
                <w:lang w:eastAsia="es-CR"/>
              </w:rPr>
              <w:t>5.1.4.01.01.05.</w:t>
            </w:r>
          </w:p>
        </w:tc>
        <w:tc>
          <w:tcPr>
            <w:tcW w:w="4389" w:type="dxa"/>
            <w:tcBorders>
              <w:top w:val="nil"/>
              <w:left w:val="nil"/>
              <w:bottom w:val="nil"/>
              <w:right w:val="nil"/>
            </w:tcBorders>
            <w:shd w:val="clear" w:color="auto" w:fill="auto"/>
            <w:vAlign w:val="bottom"/>
            <w:hideMark/>
          </w:tcPr>
          <w:p w14:paraId="09A7B739" w14:textId="77777777" w:rsidR="00D50A89" w:rsidRPr="00D50A89" w:rsidRDefault="00D50A89" w:rsidP="00D50A89">
            <w:pPr>
              <w:spacing w:after="0" w:line="240" w:lineRule="auto"/>
              <w:jc w:val="left"/>
              <w:rPr>
                <w:rFonts w:eastAsia="Times New Roman" w:cs="Calibri"/>
                <w:color w:val="000000"/>
                <w:sz w:val="20"/>
                <w:szCs w:val="20"/>
                <w:lang w:eastAsia="es-CR"/>
              </w:rPr>
            </w:pPr>
            <w:r w:rsidRPr="00D50A89">
              <w:rPr>
                <w:rFonts w:eastAsia="Times New Roman" w:cs="Calibri"/>
                <w:color w:val="000000"/>
                <w:sz w:val="20"/>
                <w:szCs w:val="20"/>
                <w:lang w:eastAsia="es-CR"/>
              </w:rPr>
              <w:t>Depreciaciones de equipos de comunicación</w:t>
            </w:r>
          </w:p>
        </w:tc>
        <w:tc>
          <w:tcPr>
            <w:tcW w:w="1240" w:type="dxa"/>
            <w:tcBorders>
              <w:top w:val="nil"/>
              <w:left w:val="single" w:sz="8" w:space="0" w:color="auto"/>
              <w:bottom w:val="nil"/>
              <w:right w:val="single" w:sz="8" w:space="0" w:color="auto"/>
            </w:tcBorders>
            <w:shd w:val="clear" w:color="auto" w:fill="auto"/>
            <w:noWrap/>
            <w:vAlign w:val="bottom"/>
            <w:hideMark/>
          </w:tcPr>
          <w:p w14:paraId="022CC2ED" w14:textId="77777777" w:rsidR="00D50A89" w:rsidRPr="00D50A89" w:rsidRDefault="00D50A89" w:rsidP="00D50A89">
            <w:pPr>
              <w:spacing w:after="0" w:line="240" w:lineRule="auto"/>
              <w:jc w:val="right"/>
              <w:rPr>
                <w:rFonts w:eastAsia="Times New Roman" w:cs="Calibri"/>
                <w:sz w:val="20"/>
                <w:szCs w:val="20"/>
                <w:lang w:eastAsia="es-CR"/>
              </w:rPr>
            </w:pPr>
            <w:r w:rsidRPr="00D50A89">
              <w:rPr>
                <w:rFonts w:ascii="Arial" w:eastAsia="Times New Roman" w:hAnsi="Arial" w:cs="Arial"/>
                <w:sz w:val="20"/>
                <w:szCs w:val="20"/>
                <w:lang w:eastAsia="es-CR"/>
              </w:rPr>
              <w:t>₡</w:t>
            </w:r>
            <w:r w:rsidRPr="00D50A89">
              <w:rPr>
                <w:rFonts w:eastAsia="Times New Roman" w:cs="Calibri"/>
                <w:sz w:val="20"/>
                <w:szCs w:val="20"/>
                <w:lang w:eastAsia="es-CR"/>
              </w:rPr>
              <w:t>3 299,70</w:t>
            </w:r>
          </w:p>
        </w:tc>
        <w:tc>
          <w:tcPr>
            <w:tcW w:w="1198" w:type="dxa"/>
            <w:tcBorders>
              <w:top w:val="nil"/>
              <w:left w:val="nil"/>
              <w:bottom w:val="nil"/>
              <w:right w:val="single" w:sz="8" w:space="0" w:color="auto"/>
            </w:tcBorders>
            <w:shd w:val="clear" w:color="auto" w:fill="auto"/>
            <w:noWrap/>
            <w:vAlign w:val="bottom"/>
            <w:hideMark/>
          </w:tcPr>
          <w:p w14:paraId="0A3EC0F0" w14:textId="77777777" w:rsidR="00D50A89" w:rsidRPr="00D50A89" w:rsidRDefault="00D50A89" w:rsidP="00D50A89">
            <w:pPr>
              <w:spacing w:after="0" w:line="240" w:lineRule="auto"/>
              <w:jc w:val="right"/>
              <w:rPr>
                <w:rFonts w:eastAsia="Times New Roman" w:cs="Calibri"/>
                <w:sz w:val="20"/>
                <w:szCs w:val="20"/>
                <w:lang w:eastAsia="es-CR"/>
              </w:rPr>
            </w:pPr>
            <w:r w:rsidRPr="00D50A89">
              <w:rPr>
                <w:rFonts w:ascii="Arial" w:eastAsia="Times New Roman" w:hAnsi="Arial" w:cs="Arial"/>
                <w:sz w:val="20"/>
                <w:szCs w:val="20"/>
                <w:lang w:eastAsia="es-CR"/>
              </w:rPr>
              <w:t>₡</w:t>
            </w:r>
            <w:r w:rsidRPr="00D50A89">
              <w:rPr>
                <w:rFonts w:eastAsia="Times New Roman" w:cs="Calibri"/>
                <w:sz w:val="20"/>
                <w:szCs w:val="20"/>
                <w:lang w:eastAsia="es-CR"/>
              </w:rPr>
              <w:t>3 002,99</w:t>
            </w:r>
          </w:p>
        </w:tc>
        <w:tc>
          <w:tcPr>
            <w:tcW w:w="1078" w:type="dxa"/>
            <w:tcBorders>
              <w:top w:val="nil"/>
              <w:left w:val="nil"/>
              <w:bottom w:val="nil"/>
              <w:right w:val="single" w:sz="8" w:space="0" w:color="auto"/>
            </w:tcBorders>
            <w:shd w:val="clear" w:color="auto" w:fill="auto"/>
            <w:noWrap/>
            <w:vAlign w:val="bottom"/>
            <w:hideMark/>
          </w:tcPr>
          <w:p w14:paraId="247C6B91" w14:textId="77777777" w:rsidR="00D50A89" w:rsidRPr="00D50A89" w:rsidRDefault="00D50A89" w:rsidP="00D50A89">
            <w:pPr>
              <w:spacing w:after="0" w:line="240" w:lineRule="auto"/>
              <w:jc w:val="right"/>
              <w:rPr>
                <w:rFonts w:eastAsia="Times New Roman" w:cs="Calibri"/>
                <w:color w:val="000000"/>
                <w:sz w:val="20"/>
                <w:szCs w:val="20"/>
                <w:lang w:eastAsia="es-CR"/>
              </w:rPr>
            </w:pPr>
            <w:r w:rsidRPr="00D50A89">
              <w:rPr>
                <w:rFonts w:eastAsia="Times New Roman" w:cs="Calibri"/>
                <w:color w:val="000000"/>
                <w:sz w:val="20"/>
                <w:szCs w:val="20"/>
                <w:lang w:eastAsia="es-CR"/>
              </w:rPr>
              <w:t>296,71</w:t>
            </w:r>
          </w:p>
        </w:tc>
        <w:tc>
          <w:tcPr>
            <w:tcW w:w="899" w:type="dxa"/>
            <w:tcBorders>
              <w:top w:val="nil"/>
              <w:left w:val="nil"/>
              <w:bottom w:val="nil"/>
              <w:right w:val="single" w:sz="8" w:space="0" w:color="auto"/>
            </w:tcBorders>
            <w:shd w:val="clear" w:color="000000" w:fill="FFFFFF"/>
            <w:noWrap/>
            <w:vAlign w:val="bottom"/>
            <w:hideMark/>
          </w:tcPr>
          <w:p w14:paraId="543762DF" w14:textId="77777777" w:rsidR="00D50A89" w:rsidRPr="00D50A89" w:rsidRDefault="00D50A89" w:rsidP="00D50A89">
            <w:pPr>
              <w:spacing w:after="0" w:line="240" w:lineRule="auto"/>
              <w:jc w:val="right"/>
              <w:rPr>
                <w:rFonts w:eastAsia="Times New Roman" w:cs="Calibri"/>
                <w:color w:val="000000"/>
                <w:sz w:val="20"/>
                <w:szCs w:val="20"/>
                <w:lang w:eastAsia="es-CR"/>
              </w:rPr>
            </w:pPr>
            <w:r w:rsidRPr="00D50A89">
              <w:rPr>
                <w:rFonts w:eastAsia="Times New Roman" w:cs="Calibri"/>
                <w:color w:val="000000"/>
                <w:sz w:val="20"/>
                <w:szCs w:val="20"/>
                <w:lang w:eastAsia="es-CR"/>
              </w:rPr>
              <w:t>9,88%</w:t>
            </w:r>
          </w:p>
        </w:tc>
        <w:tc>
          <w:tcPr>
            <w:tcW w:w="36" w:type="dxa"/>
            <w:vAlign w:val="center"/>
            <w:hideMark/>
          </w:tcPr>
          <w:p w14:paraId="6BD8E15C" w14:textId="77777777" w:rsidR="00D50A89" w:rsidRPr="00D50A89" w:rsidRDefault="00D50A89" w:rsidP="00D50A89">
            <w:pPr>
              <w:spacing w:after="0" w:line="240" w:lineRule="auto"/>
              <w:jc w:val="left"/>
              <w:rPr>
                <w:rFonts w:ascii="Times New Roman" w:eastAsia="Times New Roman" w:hAnsi="Times New Roman" w:cs="Times New Roman"/>
                <w:sz w:val="20"/>
                <w:szCs w:val="20"/>
                <w:lang w:eastAsia="es-CR"/>
              </w:rPr>
            </w:pPr>
          </w:p>
        </w:tc>
      </w:tr>
      <w:tr w:rsidR="00D50A89" w:rsidRPr="00D50A89" w14:paraId="6AD863F2" w14:textId="77777777" w:rsidTr="00D50A89">
        <w:trPr>
          <w:trHeight w:val="300"/>
        </w:trPr>
        <w:tc>
          <w:tcPr>
            <w:tcW w:w="1140" w:type="dxa"/>
            <w:tcBorders>
              <w:top w:val="nil"/>
              <w:left w:val="single" w:sz="8" w:space="0" w:color="auto"/>
              <w:bottom w:val="nil"/>
              <w:right w:val="single" w:sz="8" w:space="0" w:color="auto"/>
            </w:tcBorders>
            <w:shd w:val="clear" w:color="auto" w:fill="auto"/>
            <w:noWrap/>
            <w:vAlign w:val="bottom"/>
            <w:hideMark/>
          </w:tcPr>
          <w:p w14:paraId="1480C377" w14:textId="77777777" w:rsidR="00D50A89" w:rsidRPr="00D50A89" w:rsidRDefault="00D50A89" w:rsidP="00D50A89">
            <w:pPr>
              <w:spacing w:after="0" w:line="240" w:lineRule="auto"/>
              <w:jc w:val="left"/>
              <w:rPr>
                <w:rFonts w:eastAsia="Times New Roman" w:cs="Calibri"/>
                <w:color w:val="000000"/>
                <w:sz w:val="20"/>
                <w:szCs w:val="20"/>
                <w:lang w:eastAsia="es-CR"/>
              </w:rPr>
            </w:pPr>
            <w:r w:rsidRPr="00D50A89">
              <w:rPr>
                <w:rFonts w:eastAsia="Times New Roman" w:cs="Calibri"/>
                <w:color w:val="000000"/>
                <w:sz w:val="20"/>
                <w:szCs w:val="20"/>
                <w:lang w:eastAsia="es-CR"/>
              </w:rPr>
              <w:t>5.1.4.01.01.06.</w:t>
            </w:r>
          </w:p>
        </w:tc>
        <w:tc>
          <w:tcPr>
            <w:tcW w:w="4389" w:type="dxa"/>
            <w:tcBorders>
              <w:top w:val="nil"/>
              <w:left w:val="nil"/>
              <w:bottom w:val="nil"/>
              <w:right w:val="nil"/>
            </w:tcBorders>
            <w:shd w:val="clear" w:color="auto" w:fill="auto"/>
            <w:vAlign w:val="bottom"/>
            <w:hideMark/>
          </w:tcPr>
          <w:p w14:paraId="2AD7596A" w14:textId="77777777" w:rsidR="00D50A89" w:rsidRPr="00D50A89" w:rsidRDefault="00D50A89" w:rsidP="00D50A89">
            <w:pPr>
              <w:spacing w:after="0" w:line="240" w:lineRule="auto"/>
              <w:jc w:val="left"/>
              <w:rPr>
                <w:rFonts w:eastAsia="Times New Roman" w:cs="Calibri"/>
                <w:color w:val="000000"/>
                <w:sz w:val="20"/>
                <w:szCs w:val="20"/>
                <w:lang w:eastAsia="es-CR"/>
              </w:rPr>
            </w:pPr>
            <w:r w:rsidRPr="00D50A89">
              <w:rPr>
                <w:rFonts w:eastAsia="Times New Roman" w:cs="Calibri"/>
                <w:color w:val="000000"/>
                <w:sz w:val="20"/>
                <w:szCs w:val="20"/>
                <w:lang w:eastAsia="es-CR"/>
              </w:rPr>
              <w:t>Depreciaciones de equipos y mobiliario de oficina</w:t>
            </w:r>
          </w:p>
        </w:tc>
        <w:tc>
          <w:tcPr>
            <w:tcW w:w="1240" w:type="dxa"/>
            <w:tcBorders>
              <w:top w:val="nil"/>
              <w:left w:val="single" w:sz="8" w:space="0" w:color="auto"/>
              <w:bottom w:val="nil"/>
              <w:right w:val="single" w:sz="8" w:space="0" w:color="auto"/>
            </w:tcBorders>
            <w:shd w:val="clear" w:color="auto" w:fill="auto"/>
            <w:noWrap/>
            <w:vAlign w:val="bottom"/>
            <w:hideMark/>
          </w:tcPr>
          <w:p w14:paraId="228DFF4B" w14:textId="77777777" w:rsidR="00D50A89" w:rsidRPr="00D50A89" w:rsidRDefault="00D50A89" w:rsidP="00D50A89">
            <w:pPr>
              <w:spacing w:after="0" w:line="240" w:lineRule="auto"/>
              <w:jc w:val="right"/>
              <w:rPr>
                <w:rFonts w:eastAsia="Times New Roman" w:cs="Calibri"/>
                <w:sz w:val="20"/>
                <w:szCs w:val="20"/>
                <w:lang w:eastAsia="es-CR"/>
              </w:rPr>
            </w:pPr>
            <w:r w:rsidRPr="00D50A89">
              <w:rPr>
                <w:rFonts w:ascii="Arial" w:eastAsia="Times New Roman" w:hAnsi="Arial" w:cs="Arial"/>
                <w:sz w:val="20"/>
                <w:szCs w:val="20"/>
                <w:lang w:eastAsia="es-CR"/>
              </w:rPr>
              <w:t>₡</w:t>
            </w:r>
            <w:r w:rsidRPr="00D50A89">
              <w:rPr>
                <w:rFonts w:eastAsia="Times New Roman" w:cs="Calibri"/>
                <w:sz w:val="20"/>
                <w:szCs w:val="20"/>
                <w:lang w:eastAsia="es-CR"/>
              </w:rPr>
              <w:t>6 334,38</w:t>
            </w:r>
          </w:p>
        </w:tc>
        <w:tc>
          <w:tcPr>
            <w:tcW w:w="1198" w:type="dxa"/>
            <w:tcBorders>
              <w:top w:val="nil"/>
              <w:left w:val="nil"/>
              <w:bottom w:val="nil"/>
              <w:right w:val="single" w:sz="8" w:space="0" w:color="auto"/>
            </w:tcBorders>
            <w:shd w:val="clear" w:color="auto" w:fill="auto"/>
            <w:noWrap/>
            <w:vAlign w:val="bottom"/>
            <w:hideMark/>
          </w:tcPr>
          <w:p w14:paraId="3C87942C" w14:textId="77777777" w:rsidR="00D50A89" w:rsidRPr="00D50A89" w:rsidRDefault="00D50A89" w:rsidP="00D50A89">
            <w:pPr>
              <w:spacing w:after="0" w:line="240" w:lineRule="auto"/>
              <w:jc w:val="right"/>
              <w:rPr>
                <w:rFonts w:eastAsia="Times New Roman" w:cs="Calibri"/>
                <w:sz w:val="20"/>
                <w:szCs w:val="20"/>
                <w:lang w:eastAsia="es-CR"/>
              </w:rPr>
            </w:pPr>
            <w:r w:rsidRPr="00D50A89">
              <w:rPr>
                <w:rFonts w:ascii="Arial" w:eastAsia="Times New Roman" w:hAnsi="Arial" w:cs="Arial"/>
                <w:sz w:val="20"/>
                <w:szCs w:val="20"/>
                <w:lang w:eastAsia="es-CR"/>
              </w:rPr>
              <w:t>₡</w:t>
            </w:r>
            <w:r w:rsidRPr="00D50A89">
              <w:rPr>
                <w:rFonts w:eastAsia="Times New Roman" w:cs="Calibri"/>
                <w:sz w:val="20"/>
                <w:szCs w:val="20"/>
                <w:lang w:eastAsia="es-CR"/>
              </w:rPr>
              <w:t>5 258,36</w:t>
            </w:r>
          </w:p>
        </w:tc>
        <w:tc>
          <w:tcPr>
            <w:tcW w:w="1078" w:type="dxa"/>
            <w:tcBorders>
              <w:top w:val="nil"/>
              <w:left w:val="nil"/>
              <w:bottom w:val="nil"/>
              <w:right w:val="single" w:sz="8" w:space="0" w:color="auto"/>
            </w:tcBorders>
            <w:shd w:val="clear" w:color="auto" w:fill="auto"/>
            <w:noWrap/>
            <w:vAlign w:val="bottom"/>
            <w:hideMark/>
          </w:tcPr>
          <w:p w14:paraId="384C311B" w14:textId="77777777" w:rsidR="00D50A89" w:rsidRPr="00D50A89" w:rsidRDefault="00D50A89" w:rsidP="00D50A89">
            <w:pPr>
              <w:spacing w:after="0" w:line="240" w:lineRule="auto"/>
              <w:jc w:val="right"/>
              <w:rPr>
                <w:rFonts w:eastAsia="Times New Roman" w:cs="Calibri"/>
                <w:color w:val="000000"/>
                <w:sz w:val="20"/>
                <w:szCs w:val="20"/>
                <w:lang w:eastAsia="es-CR"/>
              </w:rPr>
            </w:pPr>
            <w:r w:rsidRPr="00D50A89">
              <w:rPr>
                <w:rFonts w:eastAsia="Times New Roman" w:cs="Calibri"/>
                <w:color w:val="000000"/>
                <w:sz w:val="20"/>
                <w:szCs w:val="20"/>
                <w:lang w:eastAsia="es-CR"/>
              </w:rPr>
              <w:t>1 076,01</w:t>
            </w:r>
          </w:p>
        </w:tc>
        <w:tc>
          <w:tcPr>
            <w:tcW w:w="899" w:type="dxa"/>
            <w:tcBorders>
              <w:top w:val="nil"/>
              <w:left w:val="nil"/>
              <w:bottom w:val="nil"/>
              <w:right w:val="single" w:sz="8" w:space="0" w:color="auto"/>
            </w:tcBorders>
            <w:shd w:val="clear" w:color="000000" w:fill="FFFFFF"/>
            <w:noWrap/>
            <w:vAlign w:val="bottom"/>
            <w:hideMark/>
          </w:tcPr>
          <w:p w14:paraId="5E049978" w14:textId="77777777" w:rsidR="00D50A89" w:rsidRPr="00D50A89" w:rsidRDefault="00D50A89" w:rsidP="00D50A89">
            <w:pPr>
              <w:spacing w:after="0" w:line="240" w:lineRule="auto"/>
              <w:jc w:val="right"/>
              <w:rPr>
                <w:rFonts w:eastAsia="Times New Roman" w:cs="Calibri"/>
                <w:color w:val="000000"/>
                <w:sz w:val="20"/>
                <w:szCs w:val="20"/>
                <w:lang w:eastAsia="es-CR"/>
              </w:rPr>
            </w:pPr>
            <w:r w:rsidRPr="00D50A89">
              <w:rPr>
                <w:rFonts w:eastAsia="Times New Roman" w:cs="Calibri"/>
                <w:color w:val="000000"/>
                <w:sz w:val="20"/>
                <w:szCs w:val="20"/>
                <w:lang w:eastAsia="es-CR"/>
              </w:rPr>
              <w:t>20,46%</w:t>
            </w:r>
          </w:p>
        </w:tc>
        <w:tc>
          <w:tcPr>
            <w:tcW w:w="36" w:type="dxa"/>
            <w:vAlign w:val="center"/>
            <w:hideMark/>
          </w:tcPr>
          <w:p w14:paraId="7180876D" w14:textId="77777777" w:rsidR="00D50A89" w:rsidRPr="00D50A89" w:rsidRDefault="00D50A89" w:rsidP="00D50A89">
            <w:pPr>
              <w:spacing w:after="0" w:line="240" w:lineRule="auto"/>
              <w:jc w:val="left"/>
              <w:rPr>
                <w:rFonts w:ascii="Times New Roman" w:eastAsia="Times New Roman" w:hAnsi="Times New Roman" w:cs="Times New Roman"/>
                <w:sz w:val="20"/>
                <w:szCs w:val="20"/>
                <w:lang w:eastAsia="es-CR"/>
              </w:rPr>
            </w:pPr>
          </w:p>
        </w:tc>
      </w:tr>
      <w:tr w:rsidR="00D50A89" w:rsidRPr="00D50A89" w14:paraId="71769DCE" w14:textId="77777777" w:rsidTr="00D50A89">
        <w:trPr>
          <w:trHeight w:val="300"/>
        </w:trPr>
        <w:tc>
          <w:tcPr>
            <w:tcW w:w="1140" w:type="dxa"/>
            <w:tcBorders>
              <w:top w:val="nil"/>
              <w:left w:val="single" w:sz="8" w:space="0" w:color="auto"/>
              <w:bottom w:val="nil"/>
              <w:right w:val="single" w:sz="8" w:space="0" w:color="auto"/>
            </w:tcBorders>
            <w:shd w:val="clear" w:color="auto" w:fill="auto"/>
            <w:noWrap/>
            <w:vAlign w:val="bottom"/>
            <w:hideMark/>
          </w:tcPr>
          <w:p w14:paraId="0A7F24CB" w14:textId="77777777" w:rsidR="00D50A89" w:rsidRPr="00D50A89" w:rsidRDefault="00D50A89" w:rsidP="00D50A89">
            <w:pPr>
              <w:spacing w:after="0" w:line="240" w:lineRule="auto"/>
              <w:jc w:val="left"/>
              <w:rPr>
                <w:rFonts w:eastAsia="Times New Roman" w:cs="Calibri"/>
                <w:color w:val="000000"/>
                <w:sz w:val="20"/>
                <w:szCs w:val="20"/>
                <w:lang w:eastAsia="es-CR"/>
              </w:rPr>
            </w:pPr>
            <w:r w:rsidRPr="00D50A89">
              <w:rPr>
                <w:rFonts w:eastAsia="Times New Roman" w:cs="Calibri"/>
                <w:color w:val="000000"/>
                <w:sz w:val="20"/>
                <w:szCs w:val="20"/>
                <w:lang w:eastAsia="es-CR"/>
              </w:rPr>
              <w:t>5.1.4.01.01.07.</w:t>
            </w:r>
          </w:p>
        </w:tc>
        <w:tc>
          <w:tcPr>
            <w:tcW w:w="4389" w:type="dxa"/>
            <w:tcBorders>
              <w:top w:val="nil"/>
              <w:left w:val="nil"/>
              <w:bottom w:val="nil"/>
              <w:right w:val="nil"/>
            </w:tcBorders>
            <w:shd w:val="clear" w:color="auto" w:fill="auto"/>
            <w:vAlign w:val="bottom"/>
            <w:hideMark/>
          </w:tcPr>
          <w:p w14:paraId="4AB3262F" w14:textId="77777777" w:rsidR="00D50A89" w:rsidRPr="00D50A89" w:rsidRDefault="00D50A89" w:rsidP="00D50A89">
            <w:pPr>
              <w:spacing w:after="0" w:line="240" w:lineRule="auto"/>
              <w:jc w:val="left"/>
              <w:rPr>
                <w:rFonts w:eastAsia="Times New Roman" w:cs="Calibri"/>
                <w:color w:val="000000"/>
                <w:sz w:val="20"/>
                <w:szCs w:val="20"/>
                <w:lang w:eastAsia="es-CR"/>
              </w:rPr>
            </w:pPr>
            <w:r w:rsidRPr="00D50A89">
              <w:rPr>
                <w:rFonts w:eastAsia="Times New Roman" w:cs="Calibri"/>
                <w:color w:val="000000"/>
                <w:sz w:val="20"/>
                <w:szCs w:val="20"/>
                <w:lang w:eastAsia="es-CR"/>
              </w:rPr>
              <w:t>Depreciaciones de equipos para computación</w:t>
            </w:r>
          </w:p>
        </w:tc>
        <w:tc>
          <w:tcPr>
            <w:tcW w:w="1240" w:type="dxa"/>
            <w:tcBorders>
              <w:top w:val="nil"/>
              <w:left w:val="single" w:sz="8" w:space="0" w:color="auto"/>
              <w:bottom w:val="nil"/>
              <w:right w:val="single" w:sz="8" w:space="0" w:color="auto"/>
            </w:tcBorders>
            <w:shd w:val="clear" w:color="auto" w:fill="auto"/>
            <w:noWrap/>
            <w:vAlign w:val="bottom"/>
            <w:hideMark/>
          </w:tcPr>
          <w:p w14:paraId="55CCB9E1" w14:textId="77777777" w:rsidR="00D50A89" w:rsidRPr="00D50A89" w:rsidRDefault="00D50A89" w:rsidP="00D50A89">
            <w:pPr>
              <w:spacing w:after="0" w:line="240" w:lineRule="auto"/>
              <w:jc w:val="right"/>
              <w:rPr>
                <w:rFonts w:eastAsia="Times New Roman" w:cs="Calibri"/>
                <w:sz w:val="20"/>
                <w:szCs w:val="20"/>
                <w:lang w:eastAsia="es-CR"/>
              </w:rPr>
            </w:pPr>
            <w:r w:rsidRPr="00D50A89">
              <w:rPr>
                <w:rFonts w:ascii="Arial" w:eastAsia="Times New Roman" w:hAnsi="Arial" w:cs="Arial"/>
                <w:sz w:val="20"/>
                <w:szCs w:val="20"/>
                <w:lang w:eastAsia="es-CR"/>
              </w:rPr>
              <w:t>₡</w:t>
            </w:r>
            <w:r w:rsidRPr="00D50A89">
              <w:rPr>
                <w:rFonts w:eastAsia="Times New Roman" w:cs="Calibri"/>
                <w:sz w:val="20"/>
                <w:szCs w:val="20"/>
                <w:lang w:eastAsia="es-CR"/>
              </w:rPr>
              <w:t>11 554,64</w:t>
            </w:r>
          </w:p>
        </w:tc>
        <w:tc>
          <w:tcPr>
            <w:tcW w:w="1198" w:type="dxa"/>
            <w:tcBorders>
              <w:top w:val="nil"/>
              <w:left w:val="nil"/>
              <w:bottom w:val="nil"/>
              <w:right w:val="single" w:sz="8" w:space="0" w:color="auto"/>
            </w:tcBorders>
            <w:shd w:val="clear" w:color="auto" w:fill="auto"/>
            <w:noWrap/>
            <w:vAlign w:val="bottom"/>
            <w:hideMark/>
          </w:tcPr>
          <w:p w14:paraId="2A03E0A7" w14:textId="77777777" w:rsidR="00D50A89" w:rsidRPr="00D50A89" w:rsidRDefault="00D50A89" w:rsidP="00D50A89">
            <w:pPr>
              <w:spacing w:after="0" w:line="240" w:lineRule="auto"/>
              <w:jc w:val="right"/>
              <w:rPr>
                <w:rFonts w:eastAsia="Times New Roman" w:cs="Calibri"/>
                <w:sz w:val="20"/>
                <w:szCs w:val="20"/>
                <w:lang w:eastAsia="es-CR"/>
              </w:rPr>
            </w:pPr>
            <w:r w:rsidRPr="00D50A89">
              <w:rPr>
                <w:rFonts w:ascii="Arial" w:eastAsia="Times New Roman" w:hAnsi="Arial" w:cs="Arial"/>
                <w:sz w:val="20"/>
                <w:szCs w:val="20"/>
                <w:lang w:eastAsia="es-CR"/>
              </w:rPr>
              <w:t>₡</w:t>
            </w:r>
            <w:r w:rsidRPr="00D50A89">
              <w:rPr>
                <w:rFonts w:eastAsia="Times New Roman" w:cs="Calibri"/>
                <w:sz w:val="20"/>
                <w:szCs w:val="20"/>
                <w:lang w:eastAsia="es-CR"/>
              </w:rPr>
              <w:t>10 997,18</w:t>
            </w:r>
          </w:p>
        </w:tc>
        <w:tc>
          <w:tcPr>
            <w:tcW w:w="1078" w:type="dxa"/>
            <w:tcBorders>
              <w:top w:val="nil"/>
              <w:left w:val="nil"/>
              <w:bottom w:val="nil"/>
              <w:right w:val="single" w:sz="8" w:space="0" w:color="auto"/>
            </w:tcBorders>
            <w:shd w:val="clear" w:color="auto" w:fill="auto"/>
            <w:noWrap/>
            <w:vAlign w:val="bottom"/>
            <w:hideMark/>
          </w:tcPr>
          <w:p w14:paraId="71CE406E" w14:textId="77777777" w:rsidR="00D50A89" w:rsidRPr="00D50A89" w:rsidRDefault="00D50A89" w:rsidP="00D50A89">
            <w:pPr>
              <w:spacing w:after="0" w:line="240" w:lineRule="auto"/>
              <w:jc w:val="right"/>
              <w:rPr>
                <w:rFonts w:eastAsia="Times New Roman" w:cs="Calibri"/>
                <w:color w:val="000000"/>
                <w:sz w:val="20"/>
                <w:szCs w:val="20"/>
                <w:lang w:eastAsia="es-CR"/>
              </w:rPr>
            </w:pPr>
            <w:r w:rsidRPr="00D50A89">
              <w:rPr>
                <w:rFonts w:eastAsia="Times New Roman" w:cs="Calibri"/>
                <w:color w:val="000000"/>
                <w:sz w:val="20"/>
                <w:szCs w:val="20"/>
                <w:lang w:eastAsia="es-CR"/>
              </w:rPr>
              <w:t>557,47</w:t>
            </w:r>
          </w:p>
        </w:tc>
        <w:tc>
          <w:tcPr>
            <w:tcW w:w="899" w:type="dxa"/>
            <w:tcBorders>
              <w:top w:val="nil"/>
              <w:left w:val="nil"/>
              <w:bottom w:val="nil"/>
              <w:right w:val="single" w:sz="8" w:space="0" w:color="auto"/>
            </w:tcBorders>
            <w:shd w:val="clear" w:color="000000" w:fill="FFFFFF"/>
            <w:noWrap/>
            <w:vAlign w:val="bottom"/>
            <w:hideMark/>
          </w:tcPr>
          <w:p w14:paraId="108AAD08" w14:textId="77777777" w:rsidR="00D50A89" w:rsidRPr="00D50A89" w:rsidRDefault="00D50A89" w:rsidP="00D50A89">
            <w:pPr>
              <w:spacing w:after="0" w:line="240" w:lineRule="auto"/>
              <w:jc w:val="right"/>
              <w:rPr>
                <w:rFonts w:eastAsia="Times New Roman" w:cs="Calibri"/>
                <w:color w:val="000000"/>
                <w:sz w:val="20"/>
                <w:szCs w:val="20"/>
                <w:lang w:eastAsia="es-CR"/>
              </w:rPr>
            </w:pPr>
            <w:r w:rsidRPr="00D50A89">
              <w:rPr>
                <w:rFonts w:eastAsia="Times New Roman" w:cs="Calibri"/>
                <w:color w:val="000000"/>
                <w:sz w:val="20"/>
                <w:szCs w:val="20"/>
                <w:lang w:eastAsia="es-CR"/>
              </w:rPr>
              <w:t>5,07%</w:t>
            </w:r>
          </w:p>
        </w:tc>
        <w:tc>
          <w:tcPr>
            <w:tcW w:w="36" w:type="dxa"/>
            <w:vAlign w:val="center"/>
            <w:hideMark/>
          </w:tcPr>
          <w:p w14:paraId="331CC321" w14:textId="77777777" w:rsidR="00D50A89" w:rsidRPr="00D50A89" w:rsidRDefault="00D50A89" w:rsidP="00D50A89">
            <w:pPr>
              <w:spacing w:after="0" w:line="240" w:lineRule="auto"/>
              <w:jc w:val="left"/>
              <w:rPr>
                <w:rFonts w:ascii="Times New Roman" w:eastAsia="Times New Roman" w:hAnsi="Times New Roman" w:cs="Times New Roman"/>
                <w:sz w:val="20"/>
                <w:szCs w:val="20"/>
                <w:lang w:eastAsia="es-CR"/>
              </w:rPr>
            </w:pPr>
          </w:p>
        </w:tc>
      </w:tr>
      <w:tr w:rsidR="00D50A89" w:rsidRPr="00D50A89" w14:paraId="0DE8EA5D" w14:textId="77777777" w:rsidTr="00D50A89">
        <w:trPr>
          <w:trHeight w:val="525"/>
        </w:trPr>
        <w:tc>
          <w:tcPr>
            <w:tcW w:w="1140" w:type="dxa"/>
            <w:tcBorders>
              <w:top w:val="nil"/>
              <w:left w:val="single" w:sz="8" w:space="0" w:color="auto"/>
              <w:bottom w:val="nil"/>
              <w:right w:val="single" w:sz="8" w:space="0" w:color="auto"/>
            </w:tcBorders>
            <w:shd w:val="clear" w:color="auto" w:fill="auto"/>
            <w:noWrap/>
            <w:vAlign w:val="bottom"/>
            <w:hideMark/>
          </w:tcPr>
          <w:p w14:paraId="6E90D95A" w14:textId="77777777" w:rsidR="00D50A89" w:rsidRPr="00D50A89" w:rsidRDefault="00D50A89" w:rsidP="00D50A89">
            <w:pPr>
              <w:spacing w:after="0" w:line="240" w:lineRule="auto"/>
              <w:jc w:val="left"/>
              <w:rPr>
                <w:rFonts w:eastAsia="Times New Roman" w:cs="Calibri"/>
                <w:color w:val="000000"/>
                <w:sz w:val="20"/>
                <w:szCs w:val="20"/>
                <w:lang w:eastAsia="es-CR"/>
              </w:rPr>
            </w:pPr>
            <w:r w:rsidRPr="00D50A89">
              <w:rPr>
                <w:rFonts w:eastAsia="Times New Roman" w:cs="Calibri"/>
                <w:color w:val="000000"/>
                <w:sz w:val="20"/>
                <w:szCs w:val="20"/>
                <w:lang w:eastAsia="es-CR"/>
              </w:rPr>
              <w:t>5.1.4.01.01.09.</w:t>
            </w:r>
          </w:p>
        </w:tc>
        <w:tc>
          <w:tcPr>
            <w:tcW w:w="4389" w:type="dxa"/>
            <w:tcBorders>
              <w:top w:val="nil"/>
              <w:left w:val="nil"/>
              <w:bottom w:val="nil"/>
              <w:right w:val="nil"/>
            </w:tcBorders>
            <w:shd w:val="clear" w:color="auto" w:fill="auto"/>
            <w:vAlign w:val="bottom"/>
            <w:hideMark/>
          </w:tcPr>
          <w:p w14:paraId="45EF32BA" w14:textId="77777777" w:rsidR="00D50A89" w:rsidRPr="00D50A89" w:rsidRDefault="00D50A89" w:rsidP="00D50A89">
            <w:pPr>
              <w:spacing w:after="0" w:line="240" w:lineRule="auto"/>
              <w:jc w:val="left"/>
              <w:rPr>
                <w:rFonts w:eastAsia="Times New Roman" w:cs="Calibri"/>
                <w:color w:val="000000"/>
                <w:sz w:val="20"/>
                <w:szCs w:val="20"/>
                <w:lang w:eastAsia="es-CR"/>
              </w:rPr>
            </w:pPr>
            <w:r w:rsidRPr="00D50A89">
              <w:rPr>
                <w:rFonts w:eastAsia="Times New Roman" w:cs="Calibri"/>
                <w:color w:val="000000"/>
                <w:sz w:val="20"/>
                <w:szCs w:val="20"/>
                <w:lang w:eastAsia="es-CR"/>
              </w:rPr>
              <w:t>Depreciaciones de equipos y mobiliario educacional, deportivo y recreativo</w:t>
            </w:r>
          </w:p>
        </w:tc>
        <w:tc>
          <w:tcPr>
            <w:tcW w:w="1240" w:type="dxa"/>
            <w:tcBorders>
              <w:top w:val="nil"/>
              <w:left w:val="single" w:sz="8" w:space="0" w:color="auto"/>
              <w:bottom w:val="nil"/>
              <w:right w:val="single" w:sz="8" w:space="0" w:color="auto"/>
            </w:tcBorders>
            <w:shd w:val="clear" w:color="auto" w:fill="auto"/>
            <w:noWrap/>
            <w:vAlign w:val="bottom"/>
            <w:hideMark/>
          </w:tcPr>
          <w:p w14:paraId="0479EC1B" w14:textId="77777777" w:rsidR="00D50A89" w:rsidRPr="00D50A89" w:rsidRDefault="00D50A89" w:rsidP="00D50A89">
            <w:pPr>
              <w:spacing w:after="0" w:line="240" w:lineRule="auto"/>
              <w:jc w:val="right"/>
              <w:rPr>
                <w:rFonts w:eastAsia="Times New Roman" w:cs="Calibri"/>
                <w:sz w:val="20"/>
                <w:szCs w:val="20"/>
                <w:lang w:eastAsia="es-CR"/>
              </w:rPr>
            </w:pPr>
            <w:r w:rsidRPr="00D50A89">
              <w:rPr>
                <w:rFonts w:ascii="Arial" w:eastAsia="Times New Roman" w:hAnsi="Arial" w:cs="Arial"/>
                <w:sz w:val="20"/>
                <w:szCs w:val="20"/>
                <w:lang w:eastAsia="es-CR"/>
              </w:rPr>
              <w:t>₡</w:t>
            </w:r>
            <w:r w:rsidRPr="00D50A89">
              <w:rPr>
                <w:rFonts w:eastAsia="Times New Roman" w:cs="Calibri"/>
                <w:sz w:val="20"/>
                <w:szCs w:val="20"/>
                <w:lang w:eastAsia="es-CR"/>
              </w:rPr>
              <w:t>2 105,54</w:t>
            </w:r>
          </w:p>
        </w:tc>
        <w:tc>
          <w:tcPr>
            <w:tcW w:w="1198" w:type="dxa"/>
            <w:tcBorders>
              <w:top w:val="nil"/>
              <w:left w:val="nil"/>
              <w:bottom w:val="nil"/>
              <w:right w:val="single" w:sz="8" w:space="0" w:color="auto"/>
            </w:tcBorders>
            <w:shd w:val="clear" w:color="auto" w:fill="auto"/>
            <w:noWrap/>
            <w:vAlign w:val="bottom"/>
            <w:hideMark/>
          </w:tcPr>
          <w:p w14:paraId="546375D0" w14:textId="77777777" w:rsidR="00D50A89" w:rsidRPr="00D50A89" w:rsidRDefault="00D50A89" w:rsidP="00D50A89">
            <w:pPr>
              <w:spacing w:after="0" w:line="240" w:lineRule="auto"/>
              <w:jc w:val="right"/>
              <w:rPr>
                <w:rFonts w:eastAsia="Times New Roman" w:cs="Calibri"/>
                <w:sz w:val="20"/>
                <w:szCs w:val="20"/>
                <w:lang w:eastAsia="es-CR"/>
              </w:rPr>
            </w:pPr>
            <w:r w:rsidRPr="00D50A89">
              <w:rPr>
                <w:rFonts w:ascii="Arial" w:eastAsia="Times New Roman" w:hAnsi="Arial" w:cs="Arial"/>
                <w:sz w:val="20"/>
                <w:szCs w:val="20"/>
                <w:lang w:eastAsia="es-CR"/>
              </w:rPr>
              <w:t>₡</w:t>
            </w:r>
            <w:r w:rsidRPr="00D50A89">
              <w:rPr>
                <w:rFonts w:eastAsia="Times New Roman" w:cs="Calibri"/>
                <w:sz w:val="20"/>
                <w:szCs w:val="20"/>
                <w:lang w:eastAsia="es-CR"/>
              </w:rPr>
              <w:t>0,00</w:t>
            </w:r>
          </w:p>
        </w:tc>
        <w:tc>
          <w:tcPr>
            <w:tcW w:w="1078" w:type="dxa"/>
            <w:tcBorders>
              <w:top w:val="nil"/>
              <w:left w:val="nil"/>
              <w:bottom w:val="nil"/>
              <w:right w:val="single" w:sz="8" w:space="0" w:color="auto"/>
            </w:tcBorders>
            <w:shd w:val="clear" w:color="auto" w:fill="auto"/>
            <w:noWrap/>
            <w:vAlign w:val="bottom"/>
            <w:hideMark/>
          </w:tcPr>
          <w:p w14:paraId="06AB9AA3" w14:textId="77777777" w:rsidR="00D50A89" w:rsidRPr="00D50A89" w:rsidRDefault="00D50A89" w:rsidP="00D50A89">
            <w:pPr>
              <w:spacing w:after="0" w:line="240" w:lineRule="auto"/>
              <w:jc w:val="right"/>
              <w:rPr>
                <w:rFonts w:eastAsia="Times New Roman" w:cs="Calibri"/>
                <w:color w:val="000000"/>
                <w:sz w:val="20"/>
                <w:szCs w:val="20"/>
                <w:lang w:eastAsia="es-CR"/>
              </w:rPr>
            </w:pPr>
            <w:r w:rsidRPr="00D50A89">
              <w:rPr>
                <w:rFonts w:eastAsia="Times New Roman" w:cs="Calibri"/>
                <w:color w:val="000000"/>
                <w:sz w:val="20"/>
                <w:szCs w:val="20"/>
                <w:lang w:eastAsia="es-CR"/>
              </w:rPr>
              <w:t>2 105,54</w:t>
            </w:r>
          </w:p>
        </w:tc>
        <w:tc>
          <w:tcPr>
            <w:tcW w:w="899" w:type="dxa"/>
            <w:tcBorders>
              <w:top w:val="nil"/>
              <w:left w:val="nil"/>
              <w:bottom w:val="nil"/>
              <w:right w:val="single" w:sz="8" w:space="0" w:color="auto"/>
            </w:tcBorders>
            <w:shd w:val="clear" w:color="000000" w:fill="FFFFFF"/>
            <w:noWrap/>
            <w:vAlign w:val="bottom"/>
            <w:hideMark/>
          </w:tcPr>
          <w:p w14:paraId="00580C2D" w14:textId="77777777" w:rsidR="00D50A89" w:rsidRPr="00D50A89" w:rsidRDefault="00D50A89" w:rsidP="00D50A89">
            <w:pPr>
              <w:spacing w:after="0" w:line="240" w:lineRule="auto"/>
              <w:jc w:val="center"/>
              <w:rPr>
                <w:rFonts w:eastAsia="Times New Roman" w:cs="Calibri"/>
                <w:color w:val="000000"/>
                <w:sz w:val="20"/>
                <w:szCs w:val="20"/>
                <w:lang w:eastAsia="es-CR"/>
              </w:rPr>
            </w:pPr>
            <w:r w:rsidRPr="00D50A89">
              <w:rPr>
                <w:rFonts w:eastAsia="Times New Roman" w:cs="Calibri"/>
                <w:color w:val="000000"/>
                <w:sz w:val="20"/>
                <w:szCs w:val="20"/>
                <w:lang w:eastAsia="es-CR"/>
              </w:rPr>
              <w:t>#¡DIV/0!</w:t>
            </w:r>
          </w:p>
        </w:tc>
        <w:tc>
          <w:tcPr>
            <w:tcW w:w="36" w:type="dxa"/>
            <w:vAlign w:val="center"/>
            <w:hideMark/>
          </w:tcPr>
          <w:p w14:paraId="4CD7CD39" w14:textId="77777777" w:rsidR="00D50A89" w:rsidRPr="00D50A89" w:rsidRDefault="00D50A89" w:rsidP="00D50A89">
            <w:pPr>
              <w:spacing w:after="0" w:line="240" w:lineRule="auto"/>
              <w:jc w:val="left"/>
              <w:rPr>
                <w:rFonts w:ascii="Times New Roman" w:eastAsia="Times New Roman" w:hAnsi="Times New Roman" w:cs="Times New Roman"/>
                <w:sz w:val="20"/>
                <w:szCs w:val="20"/>
                <w:lang w:eastAsia="es-CR"/>
              </w:rPr>
            </w:pPr>
          </w:p>
        </w:tc>
      </w:tr>
      <w:tr w:rsidR="00D50A89" w:rsidRPr="00D50A89" w14:paraId="33E76A23" w14:textId="77777777" w:rsidTr="00D50A89">
        <w:trPr>
          <w:trHeight w:val="525"/>
        </w:trPr>
        <w:tc>
          <w:tcPr>
            <w:tcW w:w="1140" w:type="dxa"/>
            <w:tcBorders>
              <w:top w:val="nil"/>
              <w:left w:val="single" w:sz="8" w:space="0" w:color="auto"/>
              <w:bottom w:val="nil"/>
              <w:right w:val="single" w:sz="8" w:space="0" w:color="auto"/>
            </w:tcBorders>
            <w:shd w:val="clear" w:color="auto" w:fill="auto"/>
            <w:noWrap/>
            <w:vAlign w:val="bottom"/>
            <w:hideMark/>
          </w:tcPr>
          <w:p w14:paraId="3B73ADCE" w14:textId="77777777" w:rsidR="00D50A89" w:rsidRPr="00D50A89" w:rsidRDefault="00D50A89" w:rsidP="00D50A89">
            <w:pPr>
              <w:spacing w:after="0" w:line="240" w:lineRule="auto"/>
              <w:jc w:val="left"/>
              <w:rPr>
                <w:rFonts w:eastAsia="Times New Roman" w:cs="Calibri"/>
                <w:color w:val="000000"/>
                <w:sz w:val="20"/>
                <w:szCs w:val="20"/>
                <w:lang w:eastAsia="es-CR"/>
              </w:rPr>
            </w:pPr>
            <w:r w:rsidRPr="00D50A89">
              <w:rPr>
                <w:rFonts w:eastAsia="Times New Roman" w:cs="Calibri"/>
                <w:color w:val="000000"/>
                <w:sz w:val="20"/>
                <w:szCs w:val="20"/>
                <w:lang w:eastAsia="es-CR"/>
              </w:rPr>
              <w:t>5.1.4.01.01.10.</w:t>
            </w:r>
          </w:p>
        </w:tc>
        <w:tc>
          <w:tcPr>
            <w:tcW w:w="4389" w:type="dxa"/>
            <w:tcBorders>
              <w:top w:val="nil"/>
              <w:left w:val="nil"/>
              <w:bottom w:val="nil"/>
              <w:right w:val="nil"/>
            </w:tcBorders>
            <w:shd w:val="clear" w:color="auto" w:fill="auto"/>
            <w:vAlign w:val="bottom"/>
            <w:hideMark/>
          </w:tcPr>
          <w:p w14:paraId="5FDF7E44" w14:textId="77777777" w:rsidR="00D50A89" w:rsidRPr="00D50A89" w:rsidRDefault="00D50A89" w:rsidP="00D50A89">
            <w:pPr>
              <w:spacing w:after="0" w:line="240" w:lineRule="auto"/>
              <w:jc w:val="left"/>
              <w:rPr>
                <w:rFonts w:eastAsia="Times New Roman" w:cs="Calibri"/>
                <w:color w:val="000000"/>
                <w:sz w:val="20"/>
                <w:szCs w:val="20"/>
                <w:lang w:eastAsia="es-CR"/>
              </w:rPr>
            </w:pPr>
            <w:r w:rsidRPr="00D50A89">
              <w:rPr>
                <w:rFonts w:eastAsia="Times New Roman" w:cs="Calibri"/>
                <w:color w:val="000000"/>
                <w:sz w:val="20"/>
                <w:szCs w:val="20"/>
                <w:lang w:eastAsia="es-CR"/>
              </w:rPr>
              <w:t>Depreciaciones de equipos de seguridad, orden, vigilancia y control público</w:t>
            </w:r>
          </w:p>
        </w:tc>
        <w:tc>
          <w:tcPr>
            <w:tcW w:w="1240" w:type="dxa"/>
            <w:tcBorders>
              <w:top w:val="nil"/>
              <w:left w:val="single" w:sz="8" w:space="0" w:color="auto"/>
              <w:bottom w:val="nil"/>
              <w:right w:val="single" w:sz="8" w:space="0" w:color="auto"/>
            </w:tcBorders>
            <w:shd w:val="clear" w:color="auto" w:fill="auto"/>
            <w:noWrap/>
            <w:vAlign w:val="bottom"/>
            <w:hideMark/>
          </w:tcPr>
          <w:p w14:paraId="1BFBED04" w14:textId="77777777" w:rsidR="00D50A89" w:rsidRPr="00D50A89" w:rsidRDefault="00D50A89" w:rsidP="00D50A89">
            <w:pPr>
              <w:spacing w:after="0" w:line="240" w:lineRule="auto"/>
              <w:jc w:val="right"/>
              <w:rPr>
                <w:rFonts w:eastAsia="Times New Roman" w:cs="Calibri"/>
                <w:sz w:val="20"/>
                <w:szCs w:val="20"/>
                <w:lang w:eastAsia="es-CR"/>
              </w:rPr>
            </w:pPr>
            <w:r w:rsidRPr="00D50A89">
              <w:rPr>
                <w:rFonts w:ascii="Arial" w:eastAsia="Times New Roman" w:hAnsi="Arial" w:cs="Arial"/>
                <w:sz w:val="20"/>
                <w:szCs w:val="20"/>
                <w:lang w:eastAsia="es-CR"/>
              </w:rPr>
              <w:t>₡</w:t>
            </w:r>
            <w:r w:rsidRPr="00D50A89">
              <w:rPr>
                <w:rFonts w:eastAsia="Times New Roman" w:cs="Calibri"/>
                <w:sz w:val="20"/>
                <w:szCs w:val="20"/>
                <w:lang w:eastAsia="es-CR"/>
              </w:rPr>
              <w:t>209,40</w:t>
            </w:r>
          </w:p>
        </w:tc>
        <w:tc>
          <w:tcPr>
            <w:tcW w:w="1198" w:type="dxa"/>
            <w:tcBorders>
              <w:top w:val="nil"/>
              <w:left w:val="nil"/>
              <w:bottom w:val="nil"/>
              <w:right w:val="single" w:sz="8" w:space="0" w:color="auto"/>
            </w:tcBorders>
            <w:shd w:val="clear" w:color="auto" w:fill="auto"/>
            <w:noWrap/>
            <w:vAlign w:val="bottom"/>
            <w:hideMark/>
          </w:tcPr>
          <w:p w14:paraId="2AC08507" w14:textId="77777777" w:rsidR="00D50A89" w:rsidRPr="00D50A89" w:rsidRDefault="00D50A89" w:rsidP="00D50A89">
            <w:pPr>
              <w:spacing w:after="0" w:line="240" w:lineRule="auto"/>
              <w:jc w:val="right"/>
              <w:rPr>
                <w:rFonts w:eastAsia="Times New Roman" w:cs="Calibri"/>
                <w:sz w:val="20"/>
                <w:szCs w:val="20"/>
                <w:lang w:eastAsia="es-CR"/>
              </w:rPr>
            </w:pPr>
            <w:r w:rsidRPr="00D50A89">
              <w:rPr>
                <w:rFonts w:ascii="Arial" w:eastAsia="Times New Roman" w:hAnsi="Arial" w:cs="Arial"/>
                <w:sz w:val="20"/>
                <w:szCs w:val="20"/>
                <w:lang w:eastAsia="es-CR"/>
              </w:rPr>
              <w:t>₡</w:t>
            </w:r>
            <w:r w:rsidRPr="00D50A89">
              <w:rPr>
                <w:rFonts w:eastAsia="Times New Roman" w:cs="Calibri"/>
                <w:sz w:val="20"/>
                <w:szCs w:val="20"/>
                <w:lang w:eastAsia="es-CR"/>
              </w:rPr>
              <w:t>145,06</w:t>
            </w:r>
          </w:p>
        </w:tc>
        <w:tc>
          <w:tcPr>
            <w:tcW w:w="1078" w:type="dxa"/>
            <w:tcBorders>
              <w:top w:val="nil"/>
              <w:left w:val="nil"/>
              <w:bottom w:val="nil"/>
              <w:right w:val="single" w:sz="8" w:space="0" w:color="auto"/>
            </w:tcBorders>
            <w:shd w:val="clear" w:color="auto" w:fill="auto"/>
            <w:noWrap/>
            <w:vAlign w:val="bottom"/>
            <w:hideMark/>
          </w:tcPr>
          <w:p w14:paraId="36BC1777" w14:textId="77777777" w:rsidR="00D50A89" w:rsidRPr="00D50A89" w:rsidRDefault="00D50A89" w:rsidP="00D50A89">
            <w:pPr>
              <w:spacing w:after="0" w:line="240" w:lineRule="auto"/>
              <w:jc w:val="right"/>
              <w:rPr>
                <w:rFonts w:eastAsia="Times New Roman" w:cs="Calibri"/>
                <w:color w:val="000000"/>
                <w:sz w:val="20"/>
                <w:szCs w:val="20"/>
                <w:lang w:eastAsia="es-CR"/>
              </w:rPr>
            </w:pPr>
            <w:r w:rsidRPr="00D50A89">
              <w:rPr>
                <w:rFonts w:eastAsia="Times New Roman" w:cs="Calibri"/>
                <w:color w:val="000000"/>
                <w:sz w:val="20"/>
                <w:szCs w:val="20"/>
                <w:lang w:eastAsia="es-CR"/>
              </w:rPr>
              <w:t>64,34</w:t>
            </w:r>
          </w:p>
        </w:tc>
        <w:tc>
          <w:tcPr>
            <w:tcW w:w="899" w:type="dxa"/>
            <w:tcBorders>
              <w:top w:val="nil"/>
              <w:left w:val="nil"/>
              <w:bottom w:val="nil"/>
              <w:right w:val="single" w:sz="8" w:space="0" w:color="auto"/>
            </w:tcBorders>
            <w:shd w:val="clear" w:color="000000" w:fill="FFFFFF"/>
            <w:noWrap/>
            <w:vAlign w:val="bottom"/>
            <w:hideMark/>
          </w:tcPr>
          <w:p w14:paraId="68DCF35D" w14:textId="77777777" w:rsidR="00D50A89" w:rsidRPr="00D50A89" w:rsidRDefault="00D50A89" w:rsidP="00D50A89">
            <w:pPr>
              <w:spacing w:after="0" w:line="240" w:lineRule="auto"/>
              <w:jc w:val="right"/>
              <w:rPr>
                <w:rFonts w:eastAsia="Times New Roman" w:cs="Calibri"/>
                <w:color w:val="000000"/>
                <w:sz w:val="20"/>
                <w:szCs w:val="20"/>
                <w:lang w:eastAsia="es-CR"/>
              </w:rPr>
            </w:pPr>
            <w:r w:rsidRPr="00D50A89">
              <w:rPr>
                <w:rFonts w:eastAsia="Times New Roman" w:cs="Calibri"/>
                <w:color w:val="000000"/>
                <w:sz w:val="20"/>
                <w:szCs w:val="20"/>
                <w:lang w:eastAsia="es-CR"/>
              </w:rPr>
              <w:t>44,35%</w:t>
            </w:r>
          </w:p>
        </w:tc>
        <w:tc>
          <w:tcPr>
            <w:tcW w:w="36" w:type="dxa"/>
            <w:vAlign w:val="center"/>
            <w:hideMark/>
          </w:tcPr>
          <w:p w14:paraId="7F712D65" w14:textId="77777777" w:rsidR="00D50A89" w:rsidRPr="00D50A89" w:rsidRDefault="00D50A89" w:rsidP="00D50A89">
            <w:pPr>
              <w:spacing w:after="0" w:line="240" w:lineRule="auto"/>
              <w:jc w:val="left"/>
              <w:rPr>
                <w:rFonts w:ascii="Times New Roman" w:eastAsia="Times New Roman" w:hAnsi="Times New Roman" w:cs="Times New Roman"/>
                <w:sz w:val="20"/>
                <w:szCs w:val="20"/>
                <w:lang w:eastAsia="es-CR"/>
              </w:rPr>
            </w:pPr>
          </w:p>
        </w:tc>
      </w:tr>
      <w:tr w:rsidR="00D50A89" w:rsidRPr="00D50A89" w14:paraId="272AED19" w14:textId="77777777" w:rsidTr="00D50A89">
        <w:trPr>
          <w:trHeight w:val="315"/>
        </w:trPr>
        <w:tc>
          <w:tcPr>
            <w:tcW w:w="1140" w:type="dxa"/>
            <w:tcBorders>
              <w:top w:val="nil"/>
              <w:left w:val="single" w:sz="8" w:space="0" w:color="auto"/>
              <w:bottom w:val="nil"/>
              <w:right w:val="single" w:sz="8" w:space="0" w:color="auto"/>
            </w:tcBorders>
            <w:shd w:val="clear" w:color="auto" w:fill="auto"/>
            <w:noWrap/>
            <w:vAlign w:val="bottom"/>
            <w:hideMark/>
          </w:tcPr>
          <w:p w14:paraId="4FDF90AA" w14:textId="77777777" w:rsidR="00D50A89" w:rsidRPr="00D50A89" w:rsidRDefault="00D50A89" w:rsidP="00D50A89">
            <w:pPr>
              <w:spacing w:after="0" w:line="240" w:lineRule="auto"/>
              <w:jc w:val="left"/>
              <w:rPr>
                <w:rFonts w:eastAsia="Times New Roman" w:cs="Calibri"/>
                <w:color w:val="000000"/>
                <w:sz w:val="20"/>
                <w:szCs w:val="20"/>
                <w:lang w:eastAsia="es-CR"/>
              </w:rPr>
            </w:pPr>
            <w:r w:rsidRPr="00D50A89">
              <w:rPr>
                <w:rFonts w:eastAsia="Times New Roman" w:cs="Calibri"/>
                <w:color w:val="000000"/>
                <w:sz w:val="20"/>
                <w:szCs w:val="20"/>
                <w:lang w:eastAsia="es-CR"/>
              </w:rPr>
              <w:t>5.1.4.01.01.99.</w:t>
            </w:r>
          </w:p>
        </w:tc>
        <w:tc>
          <w:tcPr>
            <w:tcW w:w="4389" w:type="dxa"/>
            <w:tcBorders>
              <w:top w:val="nil"/>
              <w:left w:val="nil"/>
              <w:bottom w:val="nil"/>
              <w:right w:val="nil"/>
            </w:tcBorders>
            <w:shd w:val="clear" w:color="auto" w:fill="auto"/>
            <w:vAlign w:val="bottom"/>
            <w:hideMark/>
          </w:tcPr>
          <w:p w14:paraId="4EBD9C54" w14:textId="043F529A" w:rsidR="00D50A89" w:rsidRPr="00D50A89" w:rsidRDefault="00D50A89" w:rsidP="00D50A89">
            <w:pPr>
              <w:spacing w:after="0" w:line="240" w:lineRule="auto"/>
              <w:jc w:val="left"/>
              <w:rPr>
                <w:rFonts w:eastAsia="Times New Roman" w:cs="Calibri"/>
                <w:color w:val="000000"/>
                <w:sz w:val="20"/>
                <w:szCs w:val="20"/>
                <w:lang w:eastAsia="es-CR"/>
              </w:rPr>
            </w:pPr>
            <w:r w:rsidRPr="00D50A89">
              <w:rPr>
                <w:rFonts w:eastAsia="Times New Roman" w:cs="Calibri"/>
                <w:color w:val="000000"/>
                <w:sz w:val="20"/>
                <w:szCs w:val="20"/>
                <w:lang w:eastAsia="es-CR"/>
              </w:rPr>
              <w:t>Depreciac</w:t>
            </w:r>
            <w:r>
              <w:rPr>
                <w:rFonts w:eastAsia="Times New Roman" w:cs="Calibri"/>
                <w:color w:val="000000"/>
                <w:sz w:val="20"/>
                <w:szCs w:val="20"/>
                <w:lang w:eastAsia="es-CR"/>
              </w:rPr>
              <w:t>ión</w:t>
            </w:r>
            <w:r w:rsidRPr="00D50A89">
              <w:rPr>
                <w:rFonts w:eastAsia="Times New Roman" w:cs="Calibri"/>
                <w:color w:val="000000"/>
                <w:sz w:val="20"/>
                <w:szCs w:val="20"/>
                <w:lang w:eastAsia="es-CR"/>
              </w:rPr>
              <w:t xml:space="preserve"> maquinaria, equipo y mobiliar diverso</w:t>
            </w:r>
          </w:p>
        </w:tc>
        <w:tc>
          <w:tcPr>
            <w:tcW w:w="1240" w:type="dxa"/>
            <w:tcBorders>
              <w:top w:val="nil"/>
              <w:left w:val="single" w:sz="8" w:space="0" w:color="auto"/>
              <w:bottom w:val="nil"/>
              <w:right w:val="single" w:sz="8" w:space="0" w:color="auto"/>
            </w:tcBorders>
            <w:shd w:val="clear" w:color="auto" w:fill="auto"/>
            <w:noWrap/>
            <w:vAlign w:val="bottom"/>
            <w:hideMark/>
          </w:tcPr>
          <w:p w14:paraId="5B2322CC" w14:textId="77777777" w:rsidR="00D50A89" w:rsidRPr="00D50A89" w:rsidRDefault="00D50A89" w:rsidP="00D50A89">
            <w:pPr>
              <w:spacing w:after="0" w:line="240" w:lineRule="auto"/>
              <w:jc w:val="right"/>
              <w:rPr>
                <w:rFonts w:eastAsia="Times New Roman" w:cs="Calibri"/>
                <w:sz w:val="20"/>
                <w:szCs w:val="20"/>
                <w:lang w:eastAsia="es-CR"/>
              </w:rPr>
            </w:pPr>
            <w:r w:rsidRPr="00D50A89">
              <w:rPr>
                <w:rFonts w:ascii="Arial" w:eastAsia="Times New Roman" w:hAnsi="Arial" w:cs="Arial"/>
                <w:sz w:val="20"/>
                <w:szCs w:val="20"/>
                <w:lang w:eastAsia="es-CR"/>
              </w:rPr>
              <w:t>₡</w:t>
            </w:r>
            <w:r w:rsidRPr="00D50A89">
              <w:rPr>
                <w:rFonts w:eastAsia="Times New Roman" w:cs="Calibri"/>
                <w:sz w:val="20"/>
                <w:szCs w:val="20"/>
                <w:lang w:eastAsia="es-CR"/>
              </w:rPr>
              <w:t>473,66</w:t>
            </w:r>
          </w:p>
        </w:tc>
        <w:tc>
          <w:tcPr>
            <w:tcW w:w="1198" w:type="dxa"/>
            <w:tcBorders>
              <w:top w:val="nil"/>
              <w:left w:val="nil"/>
              <w:bottom w:val="nil"/>
              <w:right w:val="single" w:sz="8" w:space="0" w:color="auto"/>
            </w:tcBorders>
            <w:shd w:val="clear" w:color="auto" w:fill="auto"/>
            <w:noWrap/>
            <w:vAlign w:val="bottom"/>
            <w:hideMark/>
          </w:tcPr>
          <w:p w14:paraId="6DFAD59B" w14:textId="77777777" w:rsidR="00D50A89" w:rsidRPr="00D50A89" w:rsidRDefault="00D50A89" w:rsidP="00D50A89">
            <w:pPr>
              <w:spacing w:after="0" w:line="240" w:lineRule="auto"/>
              <w:jc w:val="right"/>
              <w:rPr>
                <w:rFonts w:eastAsia="Times New Roman" w:cs="Calibri"/>
                <w:sz w:val="20"/>
                <w:szCs w:val="20"/>
                <w:lang w:eastAsia="es-CR"/>
              </w:rPr>
            </w:pPr>
            <w:r w:rsidRPr="00D50A89">
              <w:rPr>
                <w:rFonts w:ascii="Arial" w:eastAsia="Times New Roman" w:hAnsi="Arial" w:cs="Arial"/>
                <w:sz w:val="20"/>
                <w:szCs w:val="20"/>
                <w:lang w:eastAsia="es-CR"/>
              </w:rPr>
              <w:t>₡</w:t>
            </w:r>
            <w:r w:rsidRPr="00D50A89">
              <w:rPr>
                <w:rFonts w:eastAsia="Times New Roman" w:cs="Calibri"/>
                <w:sz w:val="20"/>
                <w:szCs w:val="20"/>
                <w:lang w:eastAsia="es-CR"/>
              </w:rPr>
              <w:t>760,39</w:t>
            </w:r>
          </w:p>
        </w:tc>
        <w:tc>
          <w:tcPr>
            <w:tcW w:w="1078" w:type="dxa"/>
            <w:tcBorders>
              <w:top w:val="nil"/>
              <w:left w:val="nil"/>
              <w:bottom w:val="nil"/>
              <w:right w:val="single" w:sz="8" w:space="0" w:color="auto"/>
            </w:tcBorders>
            <w:shd w:val="clear" w:color="auto" w:fill="auto"/>
            <w:noWrap/>
            <w:vAlign w:val="bottom"/>
            <w:hideMark/>
          </w:tcPr>
          <w:p w14:paraId="4AE191EB" w14:textId="77777777" w:rsidR="00D50A89" w:rsidRPr="00D50A89" w:rsidRDefault="00D50A89" w:rsidP="00D50A89">
            <w:pPr>
              <w:spacing w:after="0" w:line="240" w:lineRule="auto"/>
              <w:jc w:val="right"/>
              <w:rPr>
                <w:rFonts w:eastAsia="Times New Roman" w:cs="Calibri"/>
                <w:color w:val="000000"/>
                <w:sz w:val="20"/>
                <w:szCs w:val="20"/>
                <w:lang w:eastAsia="es-CR"/>
              </w:rPr>
            </w:pPr>
            <w:r w:rsidRPr="00D50A89">
              <w:rPr>
                <w:rFonts w:eastAsia="Times New Roman" w:cs="Calibri"/>
                <w:color w:val="000000"/>
                <w:sz w:val="20"/>
                <w:szCs w:val="20"/>
                <w:lang w:eastAsia="es-CR"/>
              </w:rPr>
              <w:t>-286,73</w:t>
            </w:r>
          </w:p>
        </w:tc>
        <w:tc>
          <w:tcPr>
            <w:tcW w:w="899" w:type="dxa"/>
            <w:tcBorders>
              <w:top w:val="nil"/>
              <w:left w:val="nil"/>
              <w:bottom w:val="nil"/>
              <w:right w:val="single" w:sz="8" w:space="0" w:color="auto"/>
            </w:tcBorders>
            <w:shd w:val="clear" w:color="000000" w:fill="FFFFFF"/>
            <w:noWrap/>
            <w:vAlign w:val="bottom"/>
            <w:hideMark/>
          </w:tcPr>
          <w:p w14:paraId="4AA7D2E4" w14:textId="77777777" w:rsidR="00D50A89" w:rsidRPr="00D50A89" w:rsidRDefault="00D50A89" w:rsidP="00D50A89">
            <w:pPr>
              <w:spacing w:after="0" w:line="240" w:lineRule="auto"/>
              <w:jc w:val="right"/>
              <w:rPr>
                <w:rFonts w:eastAsia="Times New Roman" w:cs="Calibri"/>
                <w:color w:val="000000"/>
                <w:sz w:val="20"/>
                <w:szCs w:val="20"/>
                <w:lang w:eastAsia="es-CR"/>
              </w:rPr>
            </w:pPr>
            <w:r w:rsidRPr="00D50A89">
              <w:rPr>
                <w:rFonts w:eastAsia="Times New Roman" w:cs="Calibri"/>
                <w:color w:val="000000"/>
                <w:sz w:val="20"/>
                <w:szCs w:val="20"/>
                <w:lang w:eastAsia="es-CR"/>
              </w:rPr>
              <w:t>-37,71%</w:t>
            </w:r>
          </w:p>
        </w:tc>
        <w:tc>
          <w:tcPr>
            <w:tcW w:w="36" w:type="dxa"/>
            <w:vAlign w:val="center"/>
            <w:hideMark/>
          </w:tcPr>
          <w:p w14:paraId="23524B99" w14:textId="77777777" w:rsidR="00D50A89" w:rsidRPr="00D50A89" w:rsidRDefault="00D50A89" w:rsidP="00D50A89">
            <w:pPr>
              <w:spacing w:after="0" w:line="240" w:lineRule="auto"/>
              <w:jc w:val="left"/>
              <w:rPr>
                <w:rFonts w:ascii="Times New Roman" w:eastAsia="Times New Roman" w:hAnsi="Times New Roman" w:cs="Times New Roman"/>
                <w:sz w:val="20"/>
                <w:szCs w:val="20"/>
                <w:lang w:eastAsia="es-CR"/>
              </w:rPr>
            </w:pPr>
          </w:p>
        </w:tc>
      </w:tr>
      <w:tr w:rsidR="00D50A89" w:rsidRPr="00D50A89" w14:paraId="026C668E" w14:textId="77777777" w:rsidTr="00D50A89">
        <w:trPr>
          <w:trHeight w:val="315"/>
        </w:trPr>
        <w:tc>
          <w:tcPr>
            <w:tcW w:w="11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4D69A9F" w14:textId="77777777" w:rsidR="00D50A89" w:rsidRPr="00D50A89" w:rsidRDefault="00D50A89" w:rsidP="00D50A89">
            <w:pPr>
              <w:spacing w:after="0" w:line="240" w:lineRule="auto"/>
              <w:jc w:val="left"/>
              <w:rPr>
                <w:rFonts w:ascii="Calibri" w:eastAsia="Times New Roman" w:hAnsi="Calibri" w:cs="Calibri"/>
                <w:color w:val="000000"/>
                <w:sz w:val="22"/>
                <w:lang w:eastAsia="es-CR"/>
              </w:rPr>
            </w:pPr>
            <w:r w:rsidRPr="00D50A89">
              <w:rPr>
                <w:rFonts w:ascii="Calibri" w:eastAsia="Times New Roman" w:hAnsi="Calibri" w:cs="Calibri"/>
                <w:color w:val="000000"/>
                <w:sz w:val="22"/>
                <w:lang w:eastAsia="es-CR"/>
              </w:rPr>
              <w:t> </w:t>
            </w:r>
          </w:p>
        </w:tc>
        <w:tc>
          <w:tcPr>
            <w:tcW w:w="4389" w:type="dxa"/>
            <w:tcBorders>
              <w:top w:val="single" w:sz="8" w:space="0" w:color="auto"/>
              <w:left w:val="nil"/>
              <w:bottom w:val="single" w:sz="8" w:space="0" w:color="auto"/>
              <w:right w:val="single" w:sz="8" w:space="0" w:color="auto"/>
            </w:tcBorders>
            <w:shd w:val="clear" w:color="auto" w:fill="auto"/>
            <w:noWrap/>
            <w:vAlign w:val="bottom"/>
            <w:hideMark/>
          </w:tcPr>
          <w:p w14:paraId="27F684A1" w14:textId="77777777" w:rsidR="00D50A89" w:rsidRPr="00D50A89" w:rsidRDefault="00D50A89" w:rsidP="00D50A89">
            <w:pPr>
              <w:spacing w:after="0" w:line="240" w:lineRule="auto"/>
              <w:jc w:val="center"/>
              <w:rPr>
                <w:rFonts w:ascii="Calibri" w:eastAsia="Times New Roman" w:hAnsi="Calibri" w:cs="Calibri"/>
                <w:b/>
                <w:bCs/>
                <w:color w:val="000000"/>
                <w:sz w:val="22"/>
                <w:lang w:eastAsia="es-CR"/>
              </w:rPr>
            </w:pPr>
            <w:r w:rsidRPr="00D50A89">
              <w:rPr>
                <w:rFonts w:ascii="Calibri" w:eastAsia="Times New Roman" w:hAnsi="Calibri" w:cs="Calibri"/>
                <w:b/>
                <w:bCs/>
                <w:color w:val="000000"/>
                <w:sz w:val="22"/>
                <w:lang w:eastAsia="es-CR"/>
              </w:rPr>
              <w:t>TOTALES</w:t>
            </w:r>
          </w:p>
        </w:tc>
        <w:tc>
          <w:tcPr>
            <w:tcW w:w="1240" w:type="dxa"/>
            <w:tcBorders>
              <w:top w:val="single" w:sz="8" w:space="0" w:color="auto"/>
              <w:left w:val="nil"/>
              <w:bottom w:val="single" w:sz="8" w:space="0" w:color="auto"/>
              <w:right w:val="single" w:sz="8" w:space="0" w:color="auto"/>
            </w:tcBorders>
            <w:shd w:val="clear" w:color="auto" w:fill="auto"/>
            <w:noWrap/>
            <w:vAlign w:val="bottom"/>
            <w:hideMark/>
          </w:tcPr>
          <w:p w14:paraId="374AD72D" w14:textId="77777777" w:rsidR="00D50A89" w:rsidRPr="00D50A89" w:rsidRDefault="00D50A89" w:rsidP="00D50A89">
            <w:pPr>
              <w:spacing w:after="0" w:line="240" w:lineRule="auto"/>
              <w:jc w:val="right"/>
              <w:rPr>
                <w:rFonts w:eastAsia="Times New Roman" w:cs="Calibri"/>
                <w:b/>
                <w:bCs/>
                <w:color w:val="000000"/>
                <w:sz w:val="20"/>
                <w:szCs w:val="20"/>
                <w:lang w:eastAsia="es-CR"/>
              </w:rPr>
            </w:pPr>
            <w:r w:rsidRPr="00D50A89">
              <w:rPr>
                <w:rFonts w:ascii="Arial" w:eastAsia="Times New Roman" w:hAnsi="Arial" w:cs="Arial"/>
                <w:b/>
                <w:bCs/>
                <w:color w:val="000000"/>
                <w:sz w:val="20"/>
                <w:szCs w:val="20"/>
                <w:lang w:eastAsia="es-CR"/>
              </w:rPr>
              <w:t>₡</w:t>
            </w:r>
            <w:r w:rsidRPr="00D50A89">
              <w:rPr>
                <w:rFonts w:eastAsia="Times New Roman" w:cs="Calibri"/>
                <w:b/>
                <w:bCs/>
                <w:color w:val="000000"/>
                <w:sz w:val="20"/>
                <w:szCs w:val="20"/>
                <w:lang w:eastAsia="es-CR"/>
              </w:rPr>
              <w:t>221 860,60</w:t>
            </w:r>
          </w:p>
        </w:tc>
        <w:tc>
          <w:tcPr>
            <w:tcW w:w="1198" w:type="dxa"/>
            <w:tcBorders>
              <w:top w:val="single" w:sz="8" w:space="0" w:color="auto"/>
              <w:left w:val="nil"/>
              <w:bottom w:val="single" w:sz="8" w:space="0" w:color="auto"/>
              <w:right w:val="single" w:sz="8" w:space="0" w:color="auto"/>
            </w:tcBorders>
            <w:shd w:val="clear" w:color="auto" w:fill="auto"/>
            <w:noWrap/>
            <w:vAlign w:val="bottom"/>
            <w:hideMark/>
          </w:tcPr>
          <w:p w14:paraId="4D2DA626" w14:textId="77777777" w:rsidR="00D50A89" w:rsidRPr="00D50A89" w:rsidRDefault="00D50A89" w:rsidP="00D50A89">
            <w:pPr>
              <w:spacing w:after="0" w:line="240" w:lineRule="auto"/>
              <w:jc w:val="right"/>
              <w:rPr>
                <w:rFonts w:eastAsia="Times New Roman" w:cs="Calibri"/>
                <w:b/>
                <w:bCs/>
                <w:color w:val="000000"/>
                <w:sz w:val="20"/>
                <w:szCs w:val="20"/>
                <w:lang w:eastAsia="es-CR"/>
              </w:rPr>
            </w:pPr>
            <w:r w:rsidRPr="00D50A89">
              <w:rPr>
                <w:rFonts w:ascii="Arial" w:eastAsia="Times New Roman" w:hAnsi="Arial" w:cs="Arial"/>
                <w:b/>
                <w:bCs/>
                <w:color w:val="000000"/>
                <w:sz w:val="20"/>
                <w:szCs w:val="20"/>
                <w:lang w:eastAsia="es-CR"/>
              </w:rPr>
              <w:t>₡</w:t>
            </w:r>
            <w:r w:rsidRPr="00D50A89">
              <w:rPr>
                <w:rFonts w:eastAsia="Times New Roman" w:cs="Calibri"/>
                <w:b/>
                <w:bCs/>
                <w:color w:val="000000"/>
                <w:sz w:val="20"/>
                <w:szCs w:val="20"/>
                <w:lang w:eastAsia="es-CR"/>
              </w:rPr>
              <w:t>176 031,82</w:t>
            </w:r>
          </w:p>
        </w:tc>
        <w:tc>
          <w:tcPr>
            <w:tcW w:w="1078" w:type="dxa"/>
            <w:tcBorders>
              <w:top w:val="single" w:sz="8" w:space="0" w:color="auto"/>
              <w:left w:val="nil"/>
              <w:bottom w:val="single" w:sz="8" w:space="0" w:color="auto"/>
              <w:right w:val="single" w:sz="8" w:space="0" w:color="auto"/>
            </w:tcBorders>
            <w:shd w:val="clear" w:color="auto" w:fill="auto"/>
            <w:noWrap/>
            <w:vAlign w:val="bottom"/>
            <w:hideMark/>
          </w:tcPr>
          <w:p w14:paraId="6B4BE09C" w14:textId="77777777" w:rsidR="00D50A89" w:rsidRPr="00D50A89" w:rsidRDefault="00D50A89" w:rsidP="00D50A89">
            <w:pPr>
              <w:spacing w:after="0" w:line="240" w:lineRule="auto"/>
              <w:jc w:val="right"/>
              <w:rPr>
                <w:rFonts w:eastAsia="Times New Roman" w:cs="Calibri"/>
                <w:b/>
                <w:bCs/>
                <w:color w:val="000000"/>
                <w:sz w:val="20"/>
                <w:szCs w:val="20"/>
                <w:lang w:eastAsia="es-CR"/>
              </w:rPr>
            </w:pPr>
            <w:r w:rsidRPr="00D50A89">
              <w:rPr>
                <w:rFonts w:ascii="Arial" w:eastAsia="Times New Roman" w:hAnsi="Arial" w:cs="Arial"/>
                <w:b/>
                <w:bCs/>
                <w:color w:val="000000"/>
                <w:sz w:val="20"/>
                <w:szCs w:val="20"/>
                <w:lang w:eastAsia="es-CR"/>
              </w:rPr>
              <w:t>₡</w:t>
            </w:r>
            <w:r w:rsidRPr="00D50A89">
              <w:rPr>
                <w:rFonts w:eastAsia="Times New Roman" w:cs="Calibri"/>
                <w:b/>
                <w:bCs/>
                <w:color w:val="000000"/>
                <w:sz w:val="20"/>
                <w:szCs w:val="20"/>
                <w:lang w:eastAsia="es-CR"/>
              </w:rPr>
              <w:t>45 828,78</w:t>
            </w:r>
          </w:p>
        </w:tc>
        <w:tc>
          <w:tcPr>
            <w:tcW w:w="899" w:type="dxa"/>
            <w:tcBorders>
              <w:top w:val="single" w:sz="8" w:space="0" w:color="auto"/>
              <w:left w:val="nil"/>
              <w:bottom w:val="single" w:sz="8" w:space="0" w:color="auto"/>
              <w:right w:val="single" w:sz="8" w:space="0" w:color="auto"/>
            </w:tcBorders>
            <w:shd w:val="clear" w:color="auto" w:fill="auto"/>
            <w:noWrap/>
            <w:vAlign w:val="bottom"/>
            <w:hideMark/>
          </w:tcPr>
          <w:p w14:paraId="58F4B496" w14:textId="77777777" w:rsidR="00D50A89" w:rsidRPr="00D50A89" w:rsidRDefault="00D50A89" w:rsidP="00D50A89">
            <w:pPr>
              <w:spacing w:after="0" w:line="240" w:lineRule="auto"/>
              <w:jc w:val="right"/>
              <w:rPr>
                <w:rFonts w:eastAsia="Times New Roman" w:cs="Calibri"/>
                <w:b/>
                <w:bCs/>
                <w:color w:val="000000"/>
                <w:sz w:val="20"/>
                <w:szCs w:val="20"/>
                <w:lang w:eastAsia="es-CR"/>
              </w:rPr>
            </w:pPr>
            <w:r w:rsidRPr="00D50A89">
              <w:rPr>
                <w:rFonts w:eastAsia="Times New Roman" w:cs="Calibri"/>
                <w:b/>
                <w:bCs/>
                <w:color w:val="000000"/>
                <w:sz w:val="20"/>
                <w:szCs w:val="20"/>
                <w:lang w:eastAsia="es-CR"/>
              </w:rPr>
              <w:t>26,03%</w:t>
            </w:r>
          </w:p>
        </w:tc>
        <w:tc>
          <w:tcPr>
            <w:tcW w:w="36" w:type="dxa"/>
            <w:vAlign w:val="center"/>
            <w:hideMark/>
          </w:tcPr>
          <w:p w14:paraId="3EC0B855" w14:textId="77777777" w:rsidR="00D50A89" w:rsidRPr="00D50A89" w:rsidRDefault="00D50A89" w:rsidP="00D50A89">
            <w:pPr>
              <w:spacing w:after="0" w:line="240" w:lineRule="auto"/>
              <w:jc w:val="left"/>
              <w:rPr>
                <w:rFonts w:ascii="Times New Roman" w:eastAsia="Times New Roman" w:hAnsi="Times New Roman" w:cs="Times New Roman"/>
                <w:sz w:val="20"/>
                <w:szCs w:val="20"/>
                <w:lang w:eastAsia="es-CR"/>
              </w:rPr>
            </w:pPr>
          </w:p>
        </w:tc>
      </w:tr>
    </w:tbl>
    <w:p w14:paraId="33C404E6" w14:textId="77777777" w:rsidR="00692DC8" w:rsidRPr="00692DC8" w:rsidRDefault="00692DC8" w:rsidP="00293F0F"/>
    <w:p w14:paraId="01FCC985" w14:textId="77777777" w:rsidR="00692DC8" w:rsidRPr="00692DC8" w:rsidRDefault="00692DC8" w:rsidP="00D91089">
      <w:pPr>
        <w:pStyle w:val="Ttulo4"/>
        <w:spacing w:after="240"/>
        <w:rPr>
          <w:rFonts w:eastAsia="Times New Roman"/>
        </w:rPr>
      </w:pPr>
      <w:bookmarkStart w:id="933" w:name="_Toc189804911"/>
      <w:r w:rsidRPr="00692DC8">
        <w:rPr>
          <w:rFonts w:eastAsia="Times New Roman"/>
        </w:rPr>
        <w:t>NOTA N° 6</w:t>
      </w:r>
      <w:bookmarkEnd w:id="930"/>
      <w:bookmarkEnd w:id="931"/>
      <w:bookmarkEnd w:id="932"/>
      <w:r w:rsidRPr="00692DC8">
        <w:rPr>
          <w:rFonts w:eastAsia="Times New Roman"/>
        </w:rPr>
        <w:t>3</w:t>
      </w:r>
      <w:bookmarkEnd w:id="933"/>
    </w:p>
    <w:p w14:paraId="508B7806" w14:textId="77777777" w:rsidR="00396CB4" w:rsidRDefault="00692DC8" w:rsidP="00F51D42">
      <w:pPr>
        <w:spacing w:before="240"/>
        <w:rPr>
          <w:rFonts w:asciiTheme="minorHAnsi" w:hAnsiTheme="minorHAnsi"/>
          <w:sz w:val="22"/>
        </w:rPr>
      </w:pPr>
      <w:bookmarkStart w:id="934" w:name="_Toc14344938"/>
      <w:bookmarkStart w:id="935" w:name="_Toc33601323"/>
      <w:bookmarkStart w:id="936" w:name="_Toc82769042"/>
      <w:r w:rsidRPr="00692DC8">
        <w:rPr>
          <w:rFonts w:eastAsia="Times New Roman"/>
        </w:rPr>
        <w:t>Pérdidas por deterioro y desvalorización de bienes</w:t>
      </w:r>
      <w:bookmarkEnd w:id="934"/>
      <w:bookmarkEnd w:id="935"/>
      <w:bookmarkEnd w:id="936"/>
      <w:r w:rsidR="00AD32EB">
        <w:rPr>
          <w:rFonts w:eastAsiaTheme="majorEastAsia" w:cstheme="majorBidi"/>
          <w:iCs/>
          <w:lang w:val="es-ES"/>
        </w:rPr>
        <w:fldChar w:fldCharType="begin"/>
      </w:r>
      <w:r w:rsidR="00AD32EB">
        <w:rPr>
          <w:lang w:val="es-ES"/>
        </w:rPr>
        <w:instrText xml:space="preserve"> LINK </w:instrText>
      </w:r>
      <w:r w:rsidR="00756467">
        <w:rPr>
          <w:lang w:val="es-ES"/>
        </w:rPr>
        <w:instrText xml:space="preserve">Excel.SheetMacroEnabled.12 "C:\\Users\\gcordero\\Downloads\\Notas diciembre 2024\\Formato_Notas_EEFF_Vinculadas_2024\\Formato_Notas_EEFF_Vinculadas_2024\\15603_T04_2024_Anexo_Estado_Notas_Contables_Vinculadas.xlsm" NOTAS_POR_CUENTA!F367C1:F369C6 </w:instrText>
      </w:r>
      <w:r w:rsidR="00AD32EB">
        <w:rPr>
          <w:lang w:val="es-ES"/>
        </w:rPr>
        <w:instrText xml:space="preserve">\a \f 4 \h </w:instrText>
      </w:r>
      <w:r w:rsidR="00AD32EB">
        <w:rPr>
          <w:b/>
          <w:lang w:val="es-ES"/>
        </w:rPr>
        <w:fldChar w:fldCharType="separate"/>
      </w:r>
    </w:p>
    <w:tbl>
      <w:tblPr>
        <w:tblW w:w="9600" w:type="dxa"/>
        <w:tblCellMar>
          <w:left w:w="70" w:type="dxa"/>
          <w:right w:w="70" w:type="dxa"/>
        </w:tblCellMar>
        <w:tblLook w:val="04A0" w:firstRow="1" w:lastRow="0" w:firstColumn="1" w:lastColumn="0" w:noHBand="0" w:noVBand="1"/>
      </w:tblPr>
      <w:tblGrid>
        <w:gridCol w:w="1377"/>
        <w:gridCol w:w="2503"/>
        <w:gridCol w:w="500"/>
        <w:gridCol w:w="2100"/>
        <w:gridCol w:w="2100"/>
        <w:gridCol w:w="1020"/>
      </w:tblGrid>
      <w:tr w:rsidR="00396CB4" w:rsidRPr="00396CB4" w14:paraId="72224B34" w14:textId="77777777" w:rsidTr="00396CB4">
        <w:trPr>
          <w:divId w:val="495387652"/>
          <w:trHeight w:val="330"/>
        </w:trPr>
        <w:tc>
          <w:tcPr>
            <w:tcW w:w="1377"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606162D" w14:textId="0707C7DF" w:rsidR="00396CB4" w:rsidRPr="00396CB4" w:rsidRDefault="00396CB4" w:rsidP="00396CB4">
            <w:pP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2503"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28D85B5"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A4F1D91"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82DE89F"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441D4EC"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5C924307"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45F234C1" w14:textId="77777777" w:rsidTr="00396CB4">
        <w:trPr>
          <w:divId w:val="495387652"/>
          <w:trHeight w:val="330"/>
        </w:trPr>
        <w:tc>
          <w:tcPr>
            <w:tcW w:w="1377" w:type="dxa"/>
            <w:vMerge/>
            <w:tcBorders>
              <w:top w:val="single" w:sz="8" w:space="0" w:color="auto"/>
              <w:left w:val="single" w:sz="8" w:space="0" w:color="auto"/>
              <w:bottom w:val="single" w:sz="8" w:space="0" w:color="000000"/>
              <w:right w:val="single" w:sz="8" w:space="0" w:color="auto"/>
            </w:tcBorders>
            <w:vAlign w:val="center"/>
            <w:hideMark/>
          </w:tcPr>
          <w:p w14:paraId="28AC0261"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503" w:type="dxa"/>
            <w:vMerge/>
            <w:tcBorders>
              <w:top w:val="single" w:sz="8" w:space="0" w:color="auto"/>
              <w:left w:val="single" w:sz="8" w:space="0" w:color="auto"/>
              <w:bottom w:val="single" w:sz="8" w:space="0" w:color="000000"/>
              <w:right w:val="single" w:sz="8" w:space="0" w:color="auto"/>
            </w:tcBorders>
            <w:vAlign w:val="center"/>
            <w:hideMark/>
          </w:tcPr>
          <w:p w14:paraId="69E3F9B5"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69EF96FA"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277FE930"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71218D48"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2F3601DD"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6B43119E" w14:textId="77777777" w:rsidTr="00396CB4">
        <w:trPr>
          <w:divId w:val="495387652"/>
          <w:trHeight w:val="555"/>
        </w:trPr>
        <w:tc>
          <w:tcPr>
            <w:tcW w:w="1377" w:type="dxa"/>
            <w:tcBorders>
              <w:top w:val="nil"/>
              <w:left w:val="single" w:sz="8" w:space="0" w:color="auto"/>
              <w:bottom w:val="single" w:sz="8" w:space="0" w:color="auto"/>
              <w:right w:val="single" w:sz="8" w:space="0" w:color="auto"/>
            </w:tcBorders>
            <w:shd w:val="clear" w:color="auto" w:fill="auto"/>
            <w:noWrap/>
            <w:vAlign w:val="center"/>
            <w:hideMark/>
          </w:tcPr>
          <w:p w14:paraId="77DEB62A"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5.1.5.</w:t>
            </w:r>
          </w:p>
        </w:tc>
        <w:tc>
          <w:tcPr>
            <w:tcW w:w="2503" w:type="dxa"/>
            <w:tcBorders>
              <w:top w:val="nil"/>
              <w:left w:val="nil"/>
              <w:bottom w:val="single" w:sz="8" w:space="0" w:color="auto"/>
              <w:right w:val="single" w:sz="8" w:space="0" w:color="auto"/>
            </w:tcBorders>
            <w:shd w:val="clear" w:color="auto" w:fill="auto"/>
            <w:vAlign w:val="center"/>
            <w:hideMark/>
          </w:tcPr>
          <w:p w14:paraId="35FF523C" w14:textId="77777777" w:rsidR="00396CB4" w:rsidRPr="00396CB4" w:rsidRDefault="00396CB4" w:rsidP="00396CB4">
            <w:pPr>
              <w:spacing w:after="0" w:line="240" w:lineRule="auto"/>
              <w:rPr>
                <w:rFonts w:eastAsia="Times New Roman" w:cs="Calibri"/>
                <w:b/>
                <w:bCs/>
                <w:color w:val="000000"/>
                <w:sz w:val="18"/>
                <w:szCs w:val="18"/>
                <w:lang w:eastAsia="es-CR"/>
              </w:rPr>
            </w:pPr>
            <w:r w:rsidRPr="00396CB4">
              <w:rPr>
                <w:rFonts w:eastAsia="Times New Roman" w:cs="Calibri"/>
                <w:b/>
                <w:bCs/>
                <w:color w:val="000000"/>
                <w:sz w:val="18"/>
                <w:szCs w:val="18"/>
                <w:lang w:eastAsia="es-CR"/>
              </w:rPr>
              <w:t xml:space="preserve">Pérdidas por deterioro y desvalorización de bienes </w:t>
            </w:r>
          </w:p>
        </w:tc>
        <w:tc>
          <w:tcPr>
            <w:tcW w:w="500" w:type="dxa"/>
            <w:tcBorders>
              <w:top w:val="nil"/>
              <w:left w:val="nil"/>
              <w:bottom w:val="single" w:sz="8" w:space="0" w:color="auto"/>
              <w:right w:val="single" w:sz="8" w:space="0" w:color="auto"/>
            </w:tcBorders>
            <w:shd w:val="clear" w:color="auto" w:fill="auto"/>
            <w:noWrap/>
            <w:vAlign w:val="center"/>
            <w:hideMark/>
          </w:tcPr>
          <w:p w14:paraId="1F028DB5"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63</w:t>
            </w:r>
          </w:p>
        </w:tc>
        <w:tc>
          <w:tcPr>
            <w:tcW w:w="2100" w:type="dxa"/>
            <w:tcBorders>
              <w:top w:val="nil"/>
              <w:left w:val="nil"/>
              <w:bottom w:val="single" w:sz="8" w:space="0" w:color="auto"/>
              <w:right w:val="single" w:sz="8" w:space="0" w:color="auto"/>
            </w:tcBorders>
            <w:shd w:val="clear" w:color="auto" w:fill="auto"/>
            <w:noWrap/>
            <w:vAlign w:val="center"/>
            <w:hideMark/>
          </w:tcPr>
          <w:p w14:paraId="40031E4A"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2100" w:type="dxa"/>
            <w:tcBorders>
              <w:top w:val="nil"/>
              <w:left w:val="nil"/>
              <w:bottom w:val="single" w:sz="8" w:space="0" w:color="auto"/>
              <w:right w:val="single" w:sz="8" w:space="0" w:color="auto"/>
            </w:tcBorders>
            <w:shd w:val="clear" w:color="auto" w:fill="auto"/>
            <w:noWrap/>
            <w:vAlign w:val="center"/>
            <w:hideMark/>
          </w:tcPr>
          <w:p w14:paraId="52ADC5F0"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155,08 </w:t>
            </w:r>
          </w:p>
        </w:tc>
        <w:tc>
          <w:tcPr>
            <w:tcW w:w="1020" w:type="dxa"/>
            <w:tcBorders>
              <w:top w:val="nil"/>
              <w:left w:val="nil"/>
              <w:bottom w:val="single" w:sz="8" w:space="0" w:color="auto"/>
              <w:right w:val="single" w:sz="8" w:space="0" w:color="auto"/>
            </w:tcBorders>
            <w:shd w:val="clear" w:color="auto" w:fill="auto"/>
            <w:noWrap/>
            <w:vAlign w:val="center"/>
            <w:hideMark/>
          </w:tcPr>
          <w:p w14:paraId="6F8F65D8"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-100,00%</w:t>
            </w:r>
          </w:p>
        </w:tc>
      </w:tr>
    </w:tbl>
    <w:p w14:paraId="73C35E96" w14:textId="77777777" w:rsidR="00396CB4" w:rsidRPr="00396CB4" w:rsidRDefault="00AD32EB" w:rsidP="00396CB4">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756467">
        <w:rPr>
          <w:rFonts w:eastAsia="Times New Roman" w:cs="Calibri"/>
          <w:color w:val="000000"/>
          <w:lang w:eastAsia="es-CR"/>
        </w:rPr>
        <w:instrText xml:space="preserve">Excel.SheetMacroEnabled.12 "C:\\Users\\gcordero\\Downloads\\Notas diciembre 2024\\Formato_Notas_EEFF_Vinculadas_2024\\Formato_Notas_EEFF_Vinculadas_2024\\15603_T04_2024_Anexo_Estado_Notas_Contables_Vinculadas.xlsm" NOTAS_POR_CUENTA!F369C8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1DFC0080" w14:textId="2EDAF9F0" w:rsidR="00396CB4" w:rsidRPr="00396CB4" w:rsidRDefault="00396CB4" w:rsidP="00396CB4">
      <w:pPr>
        <w:rPr>
          <w:b/>
          <w:bCs/>
        </w:rPr>
      </w:pPr>
      <w:r w:rsidRPr="00396CB4">
        <w:rPr>
          <w:rFonts w:eastAsia="Times New Roman" w:cs="Calibri"/>
          <w:color w:val="000000"/>
          <w:lang w:eastAsia="es-CR"/>
        </w:rPr>
        <w:t xml:space="preserve">La cuenta Pérdidas por deterioro y desvalorización de </w:t>
      </w:r>
      <w:r w:rsidR="00CC2F42" w:rsidRPr="00396CB4">
        <w:rPr>
          <w:rFonts w:eastAsia="Times New Roman" w:cs="Calibri"/>
          <w:color w:val="000000"/>
          <w:lang w:eastAsia="es-CR"/>
        </w:rPr>
        <w:t>bienes,</w:t>
      </w:r>
      <w:r w:rsidRPr="00396CB4">
        <w:rPr>
          <w:rFonts w:eastAsia="Times New Roman" w:cs="Calibri"/>
          <w:color w:val="000000"/>
          <w:lang w:eastAsia="es-CR"/>
        </w:rPr>
        <w:t xml:space="preserve"> representa el 0,00% del total del Gastos, que comparado al periodo anterior genera una variación absoluta de -0 155,08 que corresponde a un Disminución del -100,00% de recursos disponibles.</w:t>
      </w:r>
    </w:p>
    <w:p w14:paraId="0F3C4032" w14:textId="1B287C42" w:rsidR="00692DC8" w:rsidRPr="00692DC8" w:rsidRDefault="00AD32EB" w:rsidP="00AD32EB">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7E0DCB78" w14:textId="20B45567" w:rsidR="00692DC8" w:rsidRDefault="00567780" w:rsidP="00567780">
      <w:pPr>
        <w:tabs>
          <w:tab w:val="left" w:pos="1008"/>
        </w:tabs>
      </w:pPr>
      <w:r>
        <w:tab/>
      </w:r>
    </w:p>
    <w:p w14:paraId="413D252A" w14:textId="77777777" w:rsidR="00567780" w:rsidRPr="00692DC8" w:rsidRDefault="00567780" w:rsidP="00567780">
      <w:pPr>
        <w:tabs>
          <w:tab w:val="left" w:pos="1008"/>
        </w:tabs>
      </w:pPr>
    </w:p>
    <w:p w14:paraId="7243C3A3" w14:textId="77777777" w:rsidR="00692DC8" w:rsidRPr="00692DC8" w:rsidRDefault="00692DC8" w:rsidP="00B21D69">
      <w:pPr>
        <w:pStyle w:val="Ttulo4"/>
        <w:spacing w:after="240"/>
        <w:rPr>
          <w:rFonts w:eastAsia="Times New Roman"/>
        </w:rPr>
      </w:pPr>
      <w:bookmarkStart w:id="937" w:name="_Toc14344941"/>
      <w:bookmarkStart w:id="938" w:name="_Toc33601324"/>
      <w:bookmarkStart w:id="939" w:name="_Toc82769043"/>
      <w:bookmarkStart w:id="940" w:name="_Toc189804912"/>
      <w:r w:rsidRPr="00692DC8">
        <w:rPr>
          <w:rFonts w:eastAsia="Times New Roman"/>
        </w:rPr>
        <w:t>NOTA N° 6</w:t>
      </w:r>
      <w:bookmarkEnd w:id="937"/>
      <w:bookmarkEnd w:id="938"/>
      <w:bookmarkEnd w:id="939"/>
      <w:r w:rsidRPr="00692DC8">
        <w:rPr>
          <w:rFonts w:eastAsia="Times New Roman"/>
        </w:rPr>
        <w:t>4</w:t>
      </w:r>
      <w:bookmarkEnd w:id="940"/>
    </w:p>
    <w:p w14:paraId="33461AFC" w14:textId="77777777" w:rsidR="00396CB4" w:rsidRDefault="00692DC8" w:rsidP="00F51D42">
      <w:pPr>
        <w:spacing w:before="240"/>
        <w:rPr>
          <w:rFonts w:asciiTheme="minorHAnsi" w:hAnsiTheme="minorHAnsi"/>
          <w:sz w:val="22"/>
        </w:rPr>
      </w:pPr>
      <w:bookmarkStart w:id="941" w:name="_Toc14344942"/>
      <w:bookmarkStart w:id="942" w:name="_Toc33601325"/>
      <w:bookmarkStart w:id="943" w:name="_Toc82769044"/>
      <w:r w:rsidRPr="00692DC8">
        <w:rPr>
          <w:rFonts w:eastAsia="Times New Roman"/>
        </w:rPr>
        <w:t>Deterioro y pérdidas de inventarios</w:t>
      </w:r>
      <w:bookmarkStart w:id="944" w:name="_Toc14344946"/>
      <w:bookmarkEnd w:id="941"/>
      <w:bookmarkEnd w:id="942"/>
      <w:bookmarkEnd w:id="943"/>
      <w:r w:rsidR="00AD32EB">
        <w:rPr>
          <w:rFonts w:eastAsiaTheme="majorEastAsia" w:cstheme="majorBidi"/>
          <w:iCs/>
          <w:lang w:val="es-ES"/>
        </w:rPr>
        <w:fldChar w:fldCharType="begin"/>
      </w:r>
      <w:r w:rsidR="00AD32EB">
        <w:rPr>
          <w:lang w:val="es-ES"/>
        </w:rPr>
        <w:instrText xml:space="preserve"> LINK </w:instrText>
      </w:r>
      <w:r w:rsidR="00756467">
        <w:rPr>
          <w:lang w:val="es-ES"/>
        </w:rPr>
        <w:instrText xml:space="preserve">Excel.SheetMacroEnabled.12 "C:\\Users\\gcordero\\Downloads\\Notas diciembre 2024\\Formato_Notas_EEFF_Vinculadas_2024\\Formato_Notas_EEFF_Vinculadas_2024\\15603_T04_2024_Anexo_Estado_Notas_Contables_Vinculadas.xlsm" NOTAS_POR_CUENTA!F371C1:F373C6 </w:instrText>
      </w:r>
      <w:r w:rsidR="00AD32EB">
        <w:rPr>
          <w:lang w:val="es-ES"/>
        </w:rPr>
        <w:instrText xml:space="preserve">\a \f 4 \h </w:instrText>
      </w:r>
      <w:r w:rsidR="00AD32EB">
        <w:rPr>
          <w:b/>
          <w:lang w:val="es-ES"/>
        </w:rPr>
        <w:fldChar w:fldCharType="separate"/>
      </w:r>
    </w:p>
    <w:tbl>
      <w:tblPr>
        <w:tblW w:w="9600" w:type="dxa"/>
        <w:tblCellMar>
          <w:left w:w="70" w:type="dxa"/>
          <w:right w:w="70" w:type="dxa"/>
        </w:tblCellMar>
        <w:tblLook w:val="04A0" w:firstRow="1" w:lastRow="0" w:firstColumn="1" w:lastColumn="0" w:noHBand="0" w:noVBand="1"/>
      </w:tblPr>
      <w:tblGrid>
        <w:gridCol w:w="1472"/>
        <w:gridCol w:w="2408"/>
        <w:gridCol w:w="500"/>
        <w:gridCol w:w="2100"/>
        <w:gridCol w:w="2100"/>
        <w:gridCol w:w="1020"/>
      </w:tblGrid>
      <w:tr w:rsidR="00396CB4" w:rsidRPr="00396CB4" w14:paraId="0C03BA9D" w14:textId="77777777" w:rsidTr="00396CB4">
        <w:trPr>
          <w:divId w:val="540244349"/>
          <w:trHeight w:val="330"/>
        </w:trPr>
        <w:tc>
          <w:tcPr>
            <w:tcW w:w="1472"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193774B" w14:textId="37F0FDD1" w:rsidR="00396CB4" w:rsidRPr="00396CB4" w:rsidRDefault="00396CB4" w:rsidP="00396CB4">
            <w:pP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2408"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154730D"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FCEAEC3"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7133E30"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8459EFD"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31F12ACD"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6AC49757" w14:textId="77777777" w:rsidTr="00396CB4">
        <w:trPr>
          <w:divId w:val="540244349"/>
          <w:trHeight w:val="330"/>
        </w:trPr>
        <w:tc>
          <w:tcPr>
            <w:tcW w:w="1472" w:type="dxa"/>
            <w:vMerge/>
            <w:tcBorders>
              <w:top w:val="single" w:sz="8" w:space="0" w:color="auto"/>
              <w:left w:val="single" w:sz="8" w:space="0" w:color="auto"/>
              <w:bottom w:val="single" w:sz="8" w:space="0" w:color="000000"/>
              <w:right w:val="single" w:sz="8" w:space="0" w:color="auto"/>
            </w:tcBorders>
            <w:vAlign w:val="center"/>
            <w:hideMark/>
          </w:tcPr>
          <w:p w14:paraId="061ADF19"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408" w:type="dxa"/>
            <w:vMerge/>
            <w:tcBorders>
              <w:top w:val="single" w:sz="8" w:space="0" w:color="auto"/>
              <w:left w:val="single" w:sz="8" w:space="0" w:color="auto"/>
              <w:bottom w:val="single" w:sz="8" w:space="0" w:color="000000"/>
              <w:right w:val="single" w:sz="8" w:space="0" w:color="auto"/>
            </w:tcBorders>
            <w:vAlign w:val="center"/>
            <w:hideMark/>
          </w:tcPr>
          <w:p w14:paraId="4FED6F30"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62CF6B9D"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4A604472"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6A2E9E28"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19764F15"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2593F37E" w14:textId="77777777" w:rsidTr="00396CB4">
        <w:trPr>
          <w:divId w:val="540244349"/>
          <w:trHeight w:val="330"/>
        </w:trPr>
        <w:tc>
          <w:tcPr>
            <w:tcW w:w="1472" w:type="dxa"/>
            <w:tcBorders>
              <w:top w:val="nil"/>
              <w:left w:val="single" w:sz="8" w:space="0" w:color="auto"/>
              <w:bottom w:val="single" w:sz="8" w:space="0" w:color="auto"/>
              <w:right w:val="single" w:sz="8" w:space="0" w:color="auto"/>
            </w:tcBorders>
            <w:shd w:val="clear" w:color="auto" w:fill="auto"/>
            <w:noWrap/>
            <w:vAlign w:val="center"/>
            <w:hideMark/>
          </w:tcPr>
          <w:p w14:paraId="12EEE616"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5.1.6.</w:t>
            </w:r>
          </w:p>
        </w:tc>
        <w:tc>
          <w:tcPr>
            <w:tcW w:w="2408" w:type="dxa"/>
            <w:tcBorders>
              <w:top w:val="nil"/>
              <w:left w:val="nil"/>
              <w:bottom w:val="single" w:sz="8" w:space="0" w:color="auto"/>
              <w:right w:val="single" w:sz="8" w:space="0" w:color="auto"/>
            </w:tcBorders>
            <w:shd w:val="clear" w:color="auto" w:fill="auto"/>
            <w:vAlign w:val="center"/>
            <w:hideMark/>
          </w:tcPr>
          <w:p w14:paraId="71FD88AB" w14:textId="77777777" w:rsidR="00396CB4" w:rsidRPr="00396CB4" w:rsidRDefault="00396CB4" w:rsidP="00396CB4">
            <w:pPr>
              <w:spacing w:after="0" w:line="240" w:lineRule="auto"/>
              <w:rPr>
                <w:rFonts w:eastAsia="Times New Roman" w:cs="Calibri"/>
                <w:b/>
                <w:bCs/>
                <w:color w:val="000000"/>
                <w:sz w:val="18"/>
                <w:szCs w:val="18"/>
                <w:lang w:eastAsia="es-CR"/>
              </w:rPr>
            </w:pPr>
            <w:r w:rsidRPr="00396CB4">
              <w:rPr>
                <w:rFonts w:eastAsia="Times New Roman" w:cs="Calibri"/>
                <w:b/>
                <w:bCs/>
                <w:color w:val="000000"/>
                <w:sz w:val="18"/>
                <w:szCs w:val="18"/>
                <w:lang w:eastAsia="es-CR"/>
              </w:rPr>
              <w:t>Deterioro y pérdidas de inventarios</w:t>
            </w:r>
          </w:p>
        </w:tc>
        <w:tc>
          <w:tcPr>
            <w:tcW w:w="500" w:type="dxa"/>
            <w:tcBorders>
              <w:top w:val="nil"/>
              <w:left w:val="nil"/>
              <w:bottom w:val="single" w:sz="8" w:space="0" w:color="auto"/>
              <w:right w:val="single" w:sz="8" w:space="0" w:color="auto"/>
            </w:tcBorders>
            <w:shd w:val="clear" w:color="auto" w:fill="auto"/>
            <w:noWrap/>
            <w:vAlign w:val="center"/>
            <w:hideMark/>
          </w:tcPr>
          <w:p w14:paraId="26710E8B"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64</w:t>
            </w:r>
          </w:p>
        </w:tc>
        <w:tc>
          <w:tcPr>
            <w:tcW w:w="2100" w:type="dxa"/>
            <w:tcBorders>
              <w:top w:val="nil"/>
              <w:left w:val="nil"/>
              <w:bottom w:val="single" w:sz="8" w:space="0" w:color="auto"/>
              <w:right w:val="single" w:sz="8" w:space="0" w:color="auto"/>
            </w:tcBorders>
            <w:shd w:val="clear" w:color="auto" w:fill="auto"/>
            <w:noWrap/>
            <w:vAlign w:val="center"/>
            <w:hideMark/>
          </w:tcPr>
          <w:p w14:paraId="5A47BF3D"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2100" w:type="dxa"/>
            <w:tcBorders>
              <w:top w:val="nil"/>
              <w:left w:val="nil"/>
              <w:bottom w:val="single" w:sz="8" w:space="0" w:color="auto"/>
              <w:right w:val="single" w:sz="8" w:space="0" w:color="auto"/>
            </w:tcBorders>
            <w:shd w:val="clear" w:color="auto" w:fill="auto"/>
            <w:noWrap/>
            <w:vAlign w:val="center"/>
            <w:hideMark/>
          </w:tcPr>
          <w:p w14:paraId="0D8071B6"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1020" w:type="dxa"/>
            <w:tcBorders>
              <w:top w:val="nil"/>
              <w:left w:val="nil"/>
              <w:bottom w:val="single" w:sz="8" w:space="0" w:color="auto"/>
              <w:right w:val="single" w:sz="8" w:space="0" w:color="auto"/>
            </w:tcBorders>
            <w:shd w:val="clear" w:color="auto" w:fill="auto"/>
            <w:noWrap/>
            <w:vAlign w:val="center"/>
            <w:hideMark/>
          </w:tcPr>
          <w:p w14:paraId="139711D6"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0,00%</w:t>
            </w:r>
          </w:p>
        </w:tc>
      </w:tr>
    </w:tbl>
    <w:p w14:paraId="03A4FA3B" w14:textId="77777777" w:rsidR="00396CB4" w:rsidRPr="00396CB4" w:rsidRDefault="00AD32EB" w:rsidP="00396CB4">
      <w:pPr>
        <w:spacing w:before="240"/>
        <w:rPr>
          <w:b/>
          <w:bCs/>
          <w:lang w:val="es-ES"/>
        </w:rPr>
      </w:pPr>
      <w:r>
        <w:rPr>
          <w:b/>
          <w:bCs/>
          <w:lang w:val="es-ES"/>
        </w:rPr>
        <w:lastRenderedPageBreak/>
        <w:fldChar w:fldCharType="end"/>
      </w:r>
      <w:r w:rsidR="00692DC8" w:rsidRPr="00692DC8">
        <w:rPr>
          <w:b/>
          <w:bCs/>
          <w:lang w:val="es-ES"/>
        </w:rPr>
        <w:t>Revelación</w:t>
      </w:r>
      <w:r w:rsidR="00692DC8" w:rsidRPr="00692DC8">
        <w:rPr>
          <w:lang w:val="es-ES"/>
        </w:rPr>
        <w:t xml:space="preserve">: </w:t>
      </w:r>
      <w:bookmarkStart w:id="945" w:name="_Toc33601326"/>
      <w:r>
        <w:rPr>
          <w:rFonts w:eastAsia="Times New Roman" w:cs="Calibri"/>
          <w:color w:val="000000"/>
          <w:lang w:eastAsia="es-CR"/>
        </w:rPr>
        <w:fldChar w:fldCharType="begin"/>
      </w:r>
      <w:r>
        <w:rPr>
          <w:rFonts w:eastAsia="Times New Roman" w:cs="Calibri"/>
          <w:color w:val="000000"/>
          <w:lang w:eastAsia="es-CR"/>
        </w:rPr>
        <w:instrText xml:space="preserve"> LINK </w:instrText>
      </w:r>
      <w:r w:rsidR="00756467">
        <w:rPr>
          <w:rFonts w:eastAsia="Times New Roman" w:cs="Calibri"/>
          <w:color w:val="000000"/>
          <w:lang w:eastAsia="es-CR"/>
        </w:rPr>
        <w:instrText xml:space="preserve">Excel.SheetMacroEnabled.12 "C:\\Users\\gcordero\\Downloads\\Notas diciembre 2024\\Formato_Notas_EEFF_Vinculadas_2024\\Formato_Notas_EEFF_Vinculadas_2024\\15603_T04_2024_Anexo_Estado_Notas_Contables_Vinculadas.xlsm" NOTAS_POR_CUENTA!F373C8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28DEC608" w14:textId="77777777" w:rsidR="00396CB4" w:rsidRPr="00396CB4" w:rsidRDefault="00396CB4" w:rsidP="00396CB4">
      <w:pPr>
        <w:rPr>
          <w:rFonts w:eastAsia="Times New Roman" w:cs="Calibri"/>
          <w:color w:val="000000"/>
          <w:lang w:eastAsia="es-CR"/>
        </w:rPr>
      </w:pPr>
      <w:r w:rsidRPr="00396CB4">
        <w:rPr>
          <w:rFonts w:eastAsia="Times New Roman" w:cs="Calibri"/>
          <w:color w:val="000000"/>
          <w:lang w:eastAsia="es-CR"/>
        </w:rPr>
        <w:t>La cuenta Deterioro y pérdidas de inventarios, representa el 0,00% del total del Gastos, que comparado al periodo anterior genera una variación absoluta de 0 000,00 que corresponde a un Aumento del 0,00% de recursos disponibles.</w:t>
      </w:r>
    </w:p>
    <w:p w14:paraId="6836E8A1" w14:textId="21B33E16" w:rsidR="00AD32EB" w:rsidRPr="00CC2F42" w:rsidRDefault="00AD32EB" w:rsidP="00AD32EB">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485F95D0" w14:textId="77777777" w:rsidR="00692DC8" w:rsidRPr="00692DC8" w:rsidRDefault="00692DC8" w:rsidP="00B21D69">
      <w:pPr>
        <w:pStyle w:val="Ttulo4"/>
        <w:spacing w:before="0" w:after="240"/>
        <w:rPr>
          <w:rFonts w:eastAsia="Times New Roman"/>
        </w:rPr>
      </w:pPr>
      <w:bookmarkStart w:id="946" w:name="_Toc82769045"/>
      <w:bookmarkStart w:id="947" w:name="_Toc189804913"/>
      <w:r w:rsidRPr="00692DC8">
        <w:rPr>
          <w:rFonts w:eastAsia="Times New Roman"/>
        </w:rPr>
        <w:t>NOTA N° 6</w:t>
      </w:r>
      <w:bookmarkEnd w:id="944"/>
      <w:bookmarkEnd w:id="945"/>
      <w:bookmarkEnd w:id="946"/>
      <w:r w:rsidRPr="00692DC8">
        <w:rPr>
          <w:rFonts w:eastAsia="Times New Roman"/>
        </w:rPr>
        <w:t>5</w:t>
      </w:r>
      <w:bookmarkEnd w:id="947"/>
    </w:p>
    <w:p w14:paraId="476E544E" w14:textId="77777777" w:rsidR="00396CB4" w:rsidRDefault="00692DC8" w:rsidP="00F51D42">
      <w:pPr>
        <w:spacing w:before="240"/>
        <w:rPr>
          <w:rFonts w:asciiTheme="minorHAnsi" w:hAnsiTheme="minorHAnsi"/>
          <w:sz w:val="22"/>
        </w:rPr>
      </w:pPr>
      <w:bookmarkStart w:id="948" w:name="_Toc14344947"/>
      <w:bookmarkStart w:id="949" w:name="_Toc33601327"/>
      <w:bookmarkStart w:id="950" w:name="_Toc82769046"/>
      <w:r w:rsidRPr="00692DC8">
        <w:rPr>
          <w:rFonts w:eastAsia="Times New Roman"/>
        </w:rPr>
        <w:t>Deterioro de inversiones y cuentas a cobrar</w:t>
      </w:r>
      <w:bookmarkEnd w:id="948"/>
      <w:bookmarkEnd w:id="949"/>
      <w:bookmarkEnd w:id="950"/>
      <w:r w:rsidR="00AD32EB">
        <w:rPr>
          <w:rFonts w:eastAsiaTheme="majorEastAsia" w:cstheme="majorBidi"/>
          <w:iCs/>
          <w:lang w:val="es-ES"/>
        </w:rPr>
        <w:fldChar w:fldCharType="begin"/>
      </w:r>
      <w:r w:rsidR="00AD32EB">
        <w:rPr>
          <w:lang w:val="es-ES"/>
        </w:rPr>
        <w:instrText xml:space="preserve"> LINK </w:instrText>
      </w:r>
      <w:r w:rsidR="00756467">
        <w:rPr>
          <w:lang w:val="es-ES"/>
        </w:rPr>
        <w:instrText xml:space="preserve">Excel.SheetMacroEnabled.12 "C:\\Users\\gcordero\\Downloads\\Notas diciembre 2024\\Formato_Notas_EEFF_Vinculadas_2024\\Formato_Notas_EEFF_Vinculadas_2024\\15603_T04_2024_Anexo_Estado_Notas_Contables_Vinculadas.xlsm" NOTAS_POR_CUENTA!F375C1:F377C6 </w:instrText>
      </w:r>
      <w:r w:rsidR="00AD32EB">
        <w:rPr>
          <w:lang w:val="es-ES"/>
        </w:rPr>
        <w:instrText xml:space="preserve">\a \f 4 \h </w:instrText>
      </w:r>
      <w:r w:rsidR="00AD32EB">
        <w:rPr>
          <w:b/>
          <w:lang w:val="es-ES"/>
        </w:rPr>
        <w:fldChar w:fldCharType="separate"/>
      </w:r>
    </w:p>
    <w:tbl>
      <w:tblPr>
        <w:tblW w:w="9600" w:type="dxa"/>
        <w:tblCellMar>
          <w:left w:w="70" w:type="dxa"/>
          <w:right w:w="70" w:type="dxa"/>
        </w:tblCellMar>
        <w:tblLook w:val="04A0" w:firstRow="1" w:lastRow="0" w:firstColumn="1" w:lastColumn="0" w:noHBand="0" w:noVBand="1"/>
      </w:tblPr>
      <w:tblGrid>
        <w:gridCol w:w="1078"/>
        <w:gridCol w:w="2802"/>
        <w:gridCol w:w="500"/>
        <w:gridCol w:w="2100"/>
        <w:gridCol w:w="2100"/>
        <w:gridCol w:w="1020"/>
      </w:tblGrid>
      <w:tr w:rsidR="00396CB4" w:rsidRPr="00396CB4" w14:paraId="537991EA" w14:textId="77777777" w:rsidTr="00396CB4">
        <w:trPr>
          <w:divId w:val="1397508290"/>
          <w:trHeight w:val="330"/>
        </w:trPr>
        <w:tc>
          <w:tcPr>
            <w:tcW w:w="1078"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B4B291A" w14:textId="6145A240" w:rsidR="00396CB4" w:rsidRPr="00396CB4" w:rsidRDefault="00396CB4" w:rsidP="00396CB4">
            <w:pP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2802"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D74C447"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39ABEF8"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29D0E94"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E451F7A"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6CD571BF"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6037E50F" w14:textId="77777777" w:rsidTr="00396CB4">
        <w:trPr>
          <w:divId w:val="1397508290"/>
          <w:trHeight w:val="330"/>
        </w:trPr>
        <w:tc>
          <w:tcPr>
            <w:tcW w:w="1078" w:type="dxa"/>
            <w:vMerge/>
            <w:tcBorders>
              <w:top w:val="single" w:sz="8" w:space="0" w:color="auto"/>
              <w:left w:val="single" w:sz="8" w:space="0" w:color="auto"/>
              <w:bottom w:val="single" w:sz="8" w:space="0" w:color="000000"/>
              <w:right w:val="single" w:sz="8" w:space="0" w:color="auto"/>
            </w:tcBorders>
            <w:vAlign w:val="center"/>
            <w:hideMark/>
          </w:tcPr>
          <w:p w14:paraId="79DF9CA4"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802" w:type="dxa"/>
            <w:vMerge/>
            <w:tcBorders>
              <w:top w:val="single" w:sz="8" w:space="0" w:color="auto"/>
              <w:left w:val="single" w:sz="8" w:space="0" w:color="auto"/>
              <w:bottom w:val="single" w:sz="8" w:space="0" w:color="000000"/>
              <w:right w:val="single" w:sz="8" w:space="0" w:color="auto"/>
            </w:tcBorders>
            <w:vAlign w:val="center"/>
            <w:hideMark/>
          </w:tcPr>
          <w:p w14:paraId="1289293B"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32FF7468"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0D21878F"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5A5A4141"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53863F51"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46A5CA10" w14:textId="77777777" w:rsidTr="00396CB4">
        <w:trPr>
          <w:divId w:val="1397508290"/>
          <w:trHeight w:val="330"/>
        </w:trPr>
        <w:tc>
          <w:tcPr>
            <w:tcW w:w="1078" w:type="dxa"/>
            <w:tcBorders>
              <w:top w:val="nil"/>
              <w:left w:val="single" w:sz="8" w:space="0" w:color="auto"/>
              <w:bottom w:val="single" w:sz="8" w:space="0" w:color="auto"/>
              <w:right w:val="single" w:sz="8" w:space="0" w:color="auto"/>
            </w:tcBorders>
            <w:shd w:val="clear" w:color="auto" w:fill="auto"/>
            <w:noWrap/>
            <w:vAlign w:val="center"/>
            <w:hideMark/>
          </w:tcPr>
          <w:p w14:paraId="5B5B5A19"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5.1.7.</w:t>
            </w:r>
          </w:p>
        </w:tc>
        <w:tc>
          <w:tcPr>
            <w:tcW w:w="2802" w:type="dxa"/>
            <w:tcBorders>
              <w:top w:val="nil"/>
              <w:left w:val="nil"/>
              <w:bottom w:val="single" w:sz="8" w:space="0" w:color="auto"/>
              <w:right w:val="single" w:sz="8" w:space="0" w:color="auto"/>
            </w:tcBorders>
            <w:shd w:val="clear" w:color="auto" w:fill="auto"/>
            <w:vAlign w:val="center"/>
            <w:hideMark/>
          </w:tcPr>
          <w:p w14:paraId="5A9C4F44" w14:textId="77777777" w:rsidR="00396CB4" w:rsidRPr="00396CB4" w:rsidRDefault="00396CB4" w:rsidP="00396CB4">
            <w:pPr>
              <w:spacing w:after="0" w:line="240" w:lineRule="auto"/>
              <w:rPr>
                <w:rFonts w:eastAsia="Times New Roman" w:cs="Calibri"/>
                <w:b/>
                <w:bCs/>
                <w:color w:val="000000"/>
                <w:sz w:val="18"/>
                <w:szCs w:val="18"/>
                <w:lang w:eastAsia="es-CR"/>
              </w:rPr>
            </w:pPr>
            <w:r w:rsidRPr="00396CB4">
              <w:rPr>
                <w:rFonts w:eastAsia="Times New Roman" w:cs="Calibri"/>
                <w:b/>
                <w:bCs/>
                <w:color w:val="000000"/>
                <w:sz w:val="18"/>
                <w:szCs w:val="18"/>
                <w:lang w:eastAsia="es-CR"/>
              </w:rPr>
              <w:t>Deterioro de inversiones y cuentas a cobrar</w:t>
            </w:r>
          </w:p>
        </w:tc>
        <w:tc>
          <w:tcPr>
            <w:tcW w:w="500" w:type="dxa"/>
            <w:tcBorders>
              <w:top w:val="nil"/>
              <w:left w:val="nil"/>
              <w:bottom w:val="single" w:sz="8" w:space="0" w:color="auto"/>
              <w:right w:val="single" w:sz="8" w:space="0" w:color="auto"/>
            </w:tcBorders>
            <w:shd w:val="clear" w:color="auto" w:fill="auto"/>
            <w:noWrap/>
            <w:vAlign w:val="center"/>
            <w:hideMark/>
          </w:tcPr>
          <w:p w14:paraId="3999C9E8"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65</w:t>
            </w:r>
          </w:p>
        </w:tc>
        <w:tc>
          <w:tcPr>
            <w:tcW w:w="2100" w:type="dxa"/>
            <w:tcBorders>
              <w:top w:val="nil"/>
              <w:left w:val="nil"/>
              <w:bottom w:val="single" w:sz="8" w:space="0" w:color="auto"/>
              <w:right w:val="single" w:sz="8" w:space="0" w:color="auto"/>
            </w:tcBorders>
            <w:shd w:val="clear" w:color="auto" w:fill="auto"/>
            <w:noWrap/>
            <w:vAlign w:val="center"/>
            <w:hideMark/>
          </w:tcPr>
          <w:p w14:paraId="5BE399D4"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2100" w:type="dxa"/>
            <w:tcBorders>
              <w:top w:val="nil"/>
              <w:left w:val="nil"/>
              <w:bottom w:val="single" w:sz="8" w:space="0" w:color="auto"/>
              <w:right w:val="single" w:sz="8" w:space="0" w:color="auto"/>
            </w:tcBorders>
            <w:shd w:val="clear" w:color="auto" w:fill="auto"/>
            <w:noWrap/>
            <w:vAlign w:val="center"/>
            <w:hideMark/>
          </w:tcPr>
          <w:p w14:paraId="45913DF8"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1020" w:type="dxa"/>
            <w:tcBorders>
              <w:top w:val="nil"/>
              <w:left w:val="nil"/>
              <w:bottom w:val="single" w:sz="8" w:space="0" w:color="auto"/>
              <w:right w:val="single" w:sz="8" w:space="0" w:color="auto"/>
            </w:tcBorders>
            <w:shd w:val="clear" w:color="auto" w:fill="auto"/>
            <w:noWrap/>
            <w:vAlign w:val="center"/>
            <w:hideMark/>
          </w:tcPr>
          <w:p w14:paraId="700338C5"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0,00%</w:t>
            </w:r>
          </w:p>
        </w:tc>
      </w:tr>
    </w:tbl>
    <w:p w14:paraId="3D0EF762" w14:textId="77777777" w:rsidR="00396CB4" w:rsidRPr="00396CB4" w:rsidRDefault="00AD32EB" w:rsidP="00396CB4">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756467">
        <w:rPr>
          <w:rFonts w:eastAsia="Times New Roman" w:cs="Calibri"/>
          <w:color w:val="000000"/>
          <w:lang w:eastAsia="es-CR"/>
        </w:rPr>
        <w:instrText xml:space="preserve">Excel.SheetMacroEnabled.12 "C:\\Users\\gcordero\\Downloads\\Notas diciembre 2024\\Formato_Notas_EEFF_Vinculadas_2024\\Formato_Notas_EEFF_Vinculadas_2024\\15603_T04_2024_Anexo_Estado_Notas_Contables_Vinculadas.xlsm" NOTAS_POR_CUENTA!F377C8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7DB3082B" w14:textId="77777777" w:rsidR="00396CB4" w:rsidRPr="00396CB4" w:rsidRDefault="00396CB4" w:rsidP="00396CB4">
      <w:pPr>
        <w:rPr>
          <w:rFonts w:eastAsia="Times New Roman" w:cs="Calibri"/>
          <w:color w:val="000000"/>
          <w:lang w:eastAsia="es-CR"/>
        </w:rPr>
      </w:pPr>
      <w:r w:rsidRPr="00396CB4">
        <w:rPr>
          <w:rFonts w:eastAsia="Times New Roman" w:cs="Calibri"/>
          <w:color w:val="000000"/>
          <w:lang w:eastAsia="es-CR"/>
        </w:rPr>
        <w:t>La cuenta Deterioro de inversiones y cuentas a cobrar, representa el 0,00% del total del Gastos, que comparado al periodo anterior genera una variación absoluta de 0 000,00 que corresponde a un Aumento del 0,00% de recursos disponibles.</w:t>
      </w:r>
    </w:p>
    <w:p w14:paraId="42E945BB" w14:textId="1665C046" w:rsidR="00692DC8" w:rsidRPr="00692DC8" w:rsidRDefault="00AD32EB" w:rsidP="00AD32EB">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17EB9E10" w14:textId="77777777" w:rsidR="00567780" w:rsidRPr="00692DC8" w:rsidRDefault="00567780" w:rsidP="00B21D69">
      <w:pPr>
        <w:rPr>
          <w:szCs w:val="24"/>
        </w:rPr>
      </w:pPr>
    </w:p>
    <w:p w14:paraId="1A656FA3" w14:textId="77777777" w:rsidR="00692DC8" w:rsidRPr="00692DC8" w:rsidRDefault="00692DC8" w:rsidP="00B21D69">
      <w:pPr>
        <w:pStyle w:val="Ttulo4"/>
        <w:spacing w:after="240"/>
        <w:rPr>
          <w:rFonts w:eastAsia="Times New Roman"/>
        </w:rPr>
      </w:pPr>
      <w:bookmarkStart w:id="951" w:name="_Toc14344950"/>
      <w:bookmarkStart w:id="952" w:name="_Toc33601328"/>
      <w:bookmarkStart w:id="953" w:name="_Toc82769047"/>
      <w:bookmarkStart w:id="954" w:name="_Toc189804914"/>
      <w:r w:rsidRPr="00692DC8">
        <w:rPr>
          <w:rFonts w:eastAsia="Times New Roman"/>
        </w:rPr>
        <w:t>NOTA N° 6</w:t>
      </w:r>
      <w:bookmarkEnd w:id="951"/>
      <w:bookmarkEnd w:id="952"/>
      <w:bookmarkEnd w:id="953"/>
      <w:r w:rsidRPr="00692DC8">
        <w:rPr>
          <w:rFonts w:eastAsia="Times New Roman"/>
        </w:rPr>
        <w:t>6</w:t>
      </w:r>
      <w:bookmarkEnd w:id="954"/>
    </w:p>
    <w:p w14:paraId="119389FE" w14:textId="77777777" w:rsidR="00396CB4" w:rsidRDefault="00692DC8" w:rsidP="00B21D69">
      <w:pPr>
        <w:rPr>
          <w:rFonts w:asciiTheme="minorHAnsi" w:hAnsiTheme="minorHAnsi"/>
          <w:sz w:val="22"/>
        </w:rPr>
      </w:pPr>
      <w:bookmarkStart w:id="955" w:name="_Toc14344951"/>
      <w:bookmarkStart w:id="956" w:name="_Toc33601329"/>
      <w:bookmarkStart w:id="957" w:name="_Toc82769048"/>
      <w:r w:rsidRPr="00692DC8">
        <w:rPr>
          <w:rFonts w:eastAsia="Times New Roman"/>
        </w:rPr>
        <w:t>Cargos por provisiones y reservas técnicas</w:t>
      </w:r>
      <w:bookmarkEnd w:id="955"/>
      <w:bookmarkEnd w:id="956"/>
      <w:bookmarkEnd w:id="957"/>
      <w:r w:rsidR="00AD32EB">
        <w:rPr>
          <w:rFonts w:eastAsiaTheme="majorEastAsia" w:cstheme="majorBidi"/>
          <w:b/>
          <w:iCs/>
        </w:rPr>
        <w:fldChar w:fldCharType="begin"/>
      </w:r>
      <w:r w:rsidR="00AD32EB">
        <w:instrText xml:space="preserve"> LINK </w:instrText>
      </w:r>
      <w:r w:rsidR="00756467">
        <w:instrText xml:space="preserve">Excel.SheetMacroEnabled.12 "C:\\Users\\gcordero\\Downloads\\Notas diciembre 2024\\Formato_Notas_EEFF_Vinculadas_2024\\Formato_Notas_EEFF_Vinculadas_2024\\15603_T04_2024_Anexo_Estado_Notas_Contables_Vinculadas.xlsm" NOTAS_POR_CUENTA!F379C1:F381C6 </w:instrText>
      </w:r>
      <w:r w:rsidR="00AD32EB">
        <w:instrText xml:space="preserve">\a \f 4 \h </w:instrText>
      </w:r>
      <w:r w:rsidR="00AD32EB">
        <w:fldChar w:fldCharType="separate"/>
      </w:r>
    </w:p>
    <w:tbl>
      <w:tblPr>
        <w:tblW w:w="9600" w:type="dxa"/>
        <w:tblCellMar>
          <w:left w:w="70" w:type="dxa"/>
          <w:right w:w="70" w:type="dxa"/>
        </w:tblCellMar>
        <w:tblLook w:val="04A0" w:firstRow="1" w:lastRow="0" w:firstColumn="1" w:lastColumn="0" w:noHBand="0" w:noVBand="1"/>
      </w:tblPr>
      <w:tblGrid>
        <w:gridCol w:w="1243"/>
        <w:gridCol w:w="2637"/>
        <w:gridCol w:w="500"/>
        <w:gridCol w:w="2100"/>
        <w:gridCol w:w="2100"/>
        <w:gridCol w:w="1020"/>
      </w:tblGrid>
      <w:tr w:rsidR="00396CB4" w:rsidRPr="00396CB4" w14:paraId="24EA0842" w14:textId="77777777" w:rsidTr="00396CB4">
        <w:trPr>
          <w:divId w:val="771899921"/>
          <w:trHeight w:val="330"/>
        </w:trPr>
        <w:tc>
          <w:tcPr>
            <w:tcW w:w="1243"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0F388B2" w14:textId="0406BD29" w:rsidR="00396CB4" w:rsidRPr="00396CB4" w:rsidRDefault="00396CB4" w:rsidP="00396CB4">
            <w:pP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2637"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9CFCF69"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454B236"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0456489"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12EA7F9"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35EECAE2"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7E324352" w14:textId="77777777" w:rsidTr="00396CB4">
        <w:trPr>
          <w:divId w:val="771899921"/>
          <w:trHeight w:val="330"/>
        </w:trPr>
        <w:tc>
          <w:tcPr>
            <w:tcW w:w="1243" w:type="dxa"/>
            <w:vMerge/>
            <w:tcBorders>
              <w:top w:val="single" w:sz="8" w:space="0" w:color="auto"/>
              <w:left w:val="single" w:sz="8" w:space="0" w:color="auto"/>
              <w:bottom w:val="single" w:sz="8" w:space="0" w:color="000000"/>
              <w:right w:val="single" w:sz="8" w:space="0" w:color="auto"/>
            </w:tcBorders>
            <w:vAlign w:val="center"/>
            <w:hideMark/>
          </w:tcPr>
          <w:p w14:paraId="414BA2BE"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637" w:type="dxa"/>
            <w:vMerge/>
            <w:tcBorders>
              <w:top w:val="single" w:sz="8" w:space="0" w:color="auto"/>
              <w:left w:val="single" w:sz="8" w:space="0" w:color="auto"/>
              <w:bottom w:val="single" w:sz="8" w:space="0" w:color="000000"/>
              <w:right w:val="single" w:sz="8" w:space="0" w:color="auto"/>
            </w:tcBorders>
            <w:vAlign w:val="center"/>
            <w:hideMark/>
          </w:tcPr>
          <w:p w14:paraId="0DAF39E7"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164D1575"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263CE85F"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09AB4734"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0AD73C55"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02474AA1" w14:textId="77777777" w:rsidTr="00396CB4">
        <w:trPr>
          <w:divId w:val="771899921"/>
          <w:trHeight w:val="330"/>
        </w:trPr>
        <w:tc>
          <w:tcPr>
            <w:tcW w:w="1243" w:type="dxa"/>
            <w:tcBorders>
              <w:top w:val="nil"/>
              <w:left w:val="single" w:sz="8" w:space="0" w:color="auto"/>
              <w:bottom w:val="single" w:sz="8" w:space="0" w:color="auto"/>
              <w:right w:val="single" w:sz="8" w:space="0" w:color="auto"/>
            </w:tcBorders>
            <w:shd w:val="clear" w:color="auto" w:fill="auto"/>
            <w:noWrap/>
            <w:vAlign w:val="center"/>
            <w:hideMark/>
          </w:tcPr>
          <w:p w14:paraId="694D94B3"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5.1.8.</w:t>
            </w:r>
          </w:p>
        </w:tc>
        <w:tc>
          <w:tcPr>
            <w:tcW w:w="2637" w:type="dxa"/>
            <w:tcBorders>
              <w:top w:val="nil"/>
              <w:left w:val="nil"/>
              <w:bottom w:val="single" w:sz="8" w:space="0" w:color="auto"/>
              <w:right w:val="single" w:sz="8" w:space="0" w:color="auto"/>
            </w:tcBorders>
            <w:shd w:val="clear" w:color="auto" w:fill="auto"/>
            <w:vAlign w:val="center"/>
            <w:hideMark/>
          </w:tcPr>
          <w:p w14:paraId="604E973A" w14:textId="77777777" w:rsidR="00396CB4" w:rsidRPr="00396CB4" w:rsidRDefault="00396CB4" w:rsidP="00396CB4">
            <w:pPr>
              <w:spacing w:after="0" w:line="240" w:lineRule="auto"/>
              <w:rPr>
                <w:rFonts w:eastAsia="Times New Roman" w:cs="Calibri"/>
                <w:b/>
                <w:bCs/>
                <w:color w:val="000000"/>
                <w:sz w:val="18"/>
                <w:szCs w:val="18"/>
                <w:lang w:eastAsia="es-CR"/>
              </w:rPr>
            </w:pPr>
            <w:r w:rsidRPr="00396CB4">
              <w:rPr>
                <w:rFonts w:eastAsia="Times New Roman" w:cs="Calibri"/>
                <w:b/>
                <w:bCs/>
                <w:color w:val="000000"/>
                <w:sz w:val="18"/>
                <w:szCs w:val="18"/>
                <w:lang w:eastAsia="es-CR"/>
              </w:rPr>
              <w:t>Cargos por provisiones y reservas técnicas</w:t>
            </w:r>
          </w:p>
        </w:tc>
        <w:tc>
          <w:tcPr>
            <w:tcW w:w="500" w:type="dxa"/>
            <w:tcBorders>
              <w:top w:val="nil"/>
              <w:left w:val="nil"/>
              <w:bottom w:val="single" w:sz="8" w:space="0" w:color="auto"/>
              <w:right w:val="single" w:sz="8" w:space="0" w:color="auto"/>
            </w:tcBorders>
            <w:shd w:val="clear" w:color="auto" w:fill="auto"/>
            <w:noWrap/>
            <w:vAlign w:val="center"/>
            <w:hideMark/>
          </w:tcPr>
          <w:p w14:paraId="420C841B"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66</w:t>
            </w:r>
          </w:p>
        </w:tc>
        <w:tc>
          <w:tcPr>
            <w:tcW w:w="2100" w:type="dxa"/>
            <w:tcBorders>
              <w:top w:val="nil"/>
              <w:left w:val="nil"/>
              <w:bottom w:val="single" w:sz="8" w:space="0" w:color="auto"/>
              <w:right w:val="single" w:sz="8" w:space="0" w:color="auto"/>
            </w:tcBorders>
            <w:shd w:val="clear" w:color="auto" w:fill="auto"/>
            <w:noWrap/>
            <w:vAlign w:val="center"/>
            <w:hideMark/>
          </w:tcPr>
          <w:p w14:paraId="7534D932"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121,00 </w:t>
            </w:r>
          </w:p>
        </w:tc>
        <w:tc>
          <w:tcPr>
            <w:tcW w:w="2100" w:type="dxa"/>
            <w:tcBorders>
              <w:top w:val="nil"/>
              <w:left w:val="nil"/>
              <w:bottom w:val="single" w:sz="8" w:space="0" w:color="auto"/>
              <w:right w:val="single" w:sz="8" w:space="0" w:color="auto"/>
            </w:tcBorders>
            <w:shd w:val="clear" w:color="auto" w:fill="auto"/>
            <w:noWrap/>
            <w:vAlign w:val="center"/>
            <w:hideMark/>
          </w:tcPr>
          <w:p w14:paraId="077D47C2"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181,50 </w:t>
            </w:r>
          </w:p>
        </w:tc>
        <w:tc>
          <w:tcPr>
            <w:tcW w:w="1020" w:type="dxa"/>
            <w:tcBorders>
              <w:top w:val="nil"/>
              <w:left w:val="nil"/>
              <w:bottom w:val="single" w:sz="8" w:space="0" w:color="auto"/>
              <w:right w:val="single" w:sz="8" w:space="0" w:color="auto"/>
            </w:tcBorders>
            <w:shd w:val="clear" w:color="auto" w:fill="auto"/>
            <w:noWrap/>
            <w:vAlign w:val="center"/>
            <w:hideMark/>
          </w:tcPr>
          <w:p w14:paraId="6C3682DD"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-33,33%</w:t>
            </w:r>
          </w:p>
        </w:tc>
      </w:tr>
    </w:tbl>
    <w:p w14:paraId="718BA88C" w14:textId="77777777" w:rsidR="00396CB4" w:rsidRDefault="00AD32EB" w:rsidP="00B21D69">
      <w:pPr>
        <w:rPr>
          <w:rFonts w:asciiTheme="minorHAnsi" w:hAnsiTheme="minorHAnsi"/>
          <w:sz w:val="22"/>
        </w:rPr>
      </w:pPr>
      <w:r>
        <w:rPr>
          <w:szCs w:val="24"/>
        </w:rPr>
        <w:fldChar w:fldCharType="end"/>
      </w:r>
      <w:r w:rsidR="00692DC8" w:rsidRPr="00692DC8">
        <w:rPr>
          <w:szCs w:val="24"/>
        </w:rPr>
        <w:t>Detalle cuenta:</w:t>
      </w:r>
      <w:r>
        <w:fldChar w:fldCharType="begin"/>
      </w:r>
      <w:r>
        <w:instrText xml:space="preserve"> LINK </w:instrText>
      </w:r>
      <w:r w:rsidR="00756467">
        <w:instrText xml:space="preserve">Excel.SheetMacroEnabled.12 "C:\\Users\\gcordero\\Downloads\\Notas diciembre 2024\\Formato_Notas_EEFF_Vinculadas_2024\\Formato_Notas_EEFF_Vinculadas_2024\\15603_T04_2024_Anexo_Estado_Notas_Contables_Vinculadas.xlsm" NOTAS_POR_CUENTA!F383C1:F385C6 </w:instrText>
      </w:r>
      <w:r>
        <w:instrText xml:space="preserve">\a \f 4 \h </w:instrText>
      </w:r>
      <w:r>
        <w:fldChar w:fldCharType="separate"/>
      </w:r>
    </w:p>
    <w:tbl>
      <w:tblPr>
        <w:tblW w:w="9600" w:type="dxa"/>
        <w:tblCellMar>
          <w:left w:w="70" w:type="dxa"/>
          <w:right w:w="70" w:type="dxa"/>
        </w:tblCellMar>
        <w:tblLook w:val="04A0" w:firstRow="1" w:lastRow="0" w:firstColumn="1" w:lastColumn="0" w:noHBand="0" w:noVBand="1"/>
      </w:tblPr>
      <w:tblGrid>
        <w:gridCol w:w="1166"/>
        <w:gridCol w:w="2714"/>
        <w:gridCol w:w="500"/>
        <w:gridCol w:w="2100"/>
        <w:gridCol w:w="2100"/>
        <w:gridCol w:w="1020"/>
      </w:tblGrid>
      <w:tr w:rsidR="00396CB4" w:rsidRPr="00396CB4" w14:paraId="2D930A84" w14:textId="77777777" w:rsidTr="00396CB4">
        <w:trPr>
          <w:divId w:val="20591880"/>
          <w:trHeight w:val="330"/>
        </w:trPr>
        <w:tc>
          <w:tcPr>
            <w:tcW w:w="116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FE142FE" w14:textId="0D25787A" w:rsidR="00396CB4" w:rsidRPr="00396CB4" w:rsidRDefault="00396CB4" w:rsidP="00396CB4">
            <w:pP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271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FD3BF0F"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9558E2A"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23B85AD"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083FBF7"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5265FC76"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7831B514" w14:textId="77777777" w:rsidTr="00396CB4">
        <w:trPr>
          <w:divId w:val="20591880"/>
          <w:trHeight w:val="330"/>
        </w:trPr>
        <w:tc>
          <w:tcPr>
            <w:tcW w:w="1166" w:type="dxa"/>
            <w:vMerge/>
            <w:tcBorders>
              <w:top w:val="single" w:sz="8" w:space="0" w:color="auto"/>
              <w:left w:val="single" w:sz="8" w:space="0" w:color="auto"/>
              <w:bottom w:val="single" w:sz="8" w:space="0" w:color="000000"/>
              <w:right w:val="single" w:sz="8" w:space="0" w:color="auto"/>
            </w:tcBorders>
            <w:vAlign w:val="center"/>
            <w:hideMark/>
          </w:tcPr>
          <w:p w14:paraId="7D074703"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714" w:type="dxa"/>
            <w:vMerge/>
            <w:tcBorders>
              <w:top w:val="single" w:sz="8" w:space="0" w:color="auto"/>
              <w:left w:val="single" w:sz="8" w:space="0" w:color="auto"/>
              <w:bottom w:val="single" w:sz="8" w:space="0" w:color="000000"/>
              <w:right w:val="single" w:sz="8" w:space="0" w:color="auto"/>
            </w:tcBorders>
            <w:vAlign w:val="center"/>
            <w:hideMark/>
          </w:tcPr>
          <w:p w14:paraId="1B3C2EDC"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6EDE6FA2"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666D7F27"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11B3EB30"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3E52591E"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6A20F35F" w14:textId="77777777" w:rsidTr="00396CB4">
        <w:trPr>
          <w:divId w:val="20591880"/>
          <w:trHeight w:val="330"/>
        </w:trPr>
        <w:tc>
          <w:tcPr>
            <w:tcW w:w="1166" w:type="dxa"/>
            <w:tcBorders>
              <w:top w:val="nil"/>
              <w:left w:val="single" w:sz="8" w:space="0" w:color="auto"/>
              <w:bottom w:val="single" w:sz="8" w:space="0" w:color="auto"/>
              <w:right w:val="single" w:sz="8" w:space="0" w:color="auto"/>
            </w:tcBorders>
            <w:shd w:val="clear" w:color="auto" w:fill="auto"/>
            <w:noWrap/>
            <w:vAlign w:val="center"/>
            <w:hideMark/>
          </w:tcPr>
          <w:p w14:paraId="25FCB0A9"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5.1.8.01.</w:t>
            </w:r>
          </w:p>
        </w:tc>
        <w:tc>
          <w:tcPr>
            <w:tcW w:w="2714" w:type="dxa"/>
            <w:tcBorders>
              <w:top w:val="nil"/>
              <w:left w:val="nil"/>
              <w:bottom w:val="single" w:sz="8" w:space="0" w:color="auto"/>
              <w:right w:val="single" w:sz="8" w:space="0" w:color="auto"/>
            </w:tcBorders>
            <w:shd w:val="clear" w:color="auto" w:fill="auto"/>
            <w:vAlign w:val="center"/>
            <w:hideMark/>
          </w:tcPr>
          <w:p w14:paraId="6A12088D" w14:textId="77777777" w:rsidR="00396CB4" w:rsidRPr="00396CB4" w:rsidRDefault="00396CB4" w:rsidP="00396CB4">
            <w:pPr>
              <w:spacing w:after="0" w:line="240" w:lineRule="auto"/>
              <w:rPr>
                <w:rFonts w:eastAsia="Times New Roman" w:cs="Calibri"/>
                <w:b/>
                <w:bCs/>
                <w:color w:val="000000"/>
                <w:sz w:val="18"/>
                <w:szCs w:val="18"/>
                <w:lang w:eastAsia="es-CR"/>
              </w:rPr>
            </w:pPr>
            <w:r w:rsidRPr="00396CB4">
              <w:rPr>
                <w:rFonts w:eastAsia="Times New Roman" w:cs="Calibri"/>
                <w:b/>
                <w:bCs/>
                <w:color w:val="000000"/>
                <w:sz w:val="18"/>
                <w:szCs w:val="18"/>
                <w:lang w:eastAsia="es-CR"/>
              </w:rPr>
              <w:t>Cargos por litigios y demandas</w:t>
            </w:r>
          </w:p>
        </w:tc>
        <w:tc>
          <w:tcPr>
            <w:tcW w:w="500" w:type="dxa"/>
            <w:tcBorders>
              <w:top w:val="nil"/>
              <w:left w:val="nil"/>
              <w:bottom w:val="single" w:sz="8" w:space="0" w:color="auto"/>
              <w:right w:val="single" w:sz="8" w:space="0" w:color="auto"/>
            </w:tcBorders>
            <w:shd w:val="clear" w:color="auto" w:fill="auto"/>
            <w:noWrap/>
            <w:vAlign w:val="center"/>
            <w:hideMark/>
          </w:tcPr>
          <w:p w14:paraId="50DEFC29"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66</w:t>
            </w:r>
          </w:p>
        </w:tc>
        <w:tc>
          <w:tcPr>
            <w:tcW w:w="2100" w:type="dxa"/>
            <w:tcBorders>
              <w:top w:val="nil"/>
              <w:left w:val="nil"/>
              <w:bottom w:val="single" w:sz="8" w:space="0" w:color="auto"/>
              <w:right w:val="single" w:sz="8" w:space="0" w:color="auto"/>
            </w:tcBorders>
            <w:shd w:val="clear" w:color="auto" w:fill="auto"/>
            <w:noWrap/>
            <w:vAlign w:val="center"/>
            <w:hideMark/>
          </w:tcPr>
          <w:p w14:paraId="157CA32A"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121,00 </w:t>
            </w:r>
          </w:p>
        </w:tc>
        <w:tc>
          <w:tcPr>
            <w:tcW w:w="2100" w:type="dxa"/>
            <w:tcBorders>
              <w:top w:val="nil"/>
              <w:left w:val="nil"/>
              <w:bottom w:val="single" w:sz="8" w:space="0" w:color="auto"/>
              <w:right w:val="single" w:sz="8" w:space="0" w:color="auto"/>
            </w:tcBorders>
            <w:shd w:val="clear" w:color="auto" w:fill="auto"/>
            <w:noWrap/>
            <w:vAlign w:val="center"/>
            <w:hideMark/>
          </w:tcPr>
          <w:p w14:paraId="698C35CE"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181,50 </w:t>
            </w:r>
          </w:p>
        </w:tc>
        <w:tc>
          <w:tcPr>
            <w:tcW w:w="1020" w:type="dxa"/>
            <w:tcBorders>
              <w:top w:val="nil"/>
              <w:left w:val="nil"/>
              <w:bottom w:val="single" w:sz="8" w:space="0" w:color="auto"/>
              <w:right w:val="single" w:sz="8" w:space="0" w:color="auto"/>
            </w:tcBorders>
            <w:shd w:val="clear" w:color="auto" w:fill="auto"/>
            <w:noWrap/>
            <w:vAlign w:val="center"/>
            <w:hideMark/>
          </w:tcPr>
          <w:p w14:paraId="42F91ED7"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-33,33%</w:t>
            </w:r>
          </w:p>
        </w:tc>
      </w:tr>
    </w:tbl>
    <w:p w14:paraId="2A7965F9" w14:textId="77777777" w:rsidR="00AD32EB" w:rsidRDefault="00AD32EB" w:rsidP="00B21D69">
      <w:r>
        <w:fldChar w:fldCharType="end"/>
      </w:r>
    </w:p>
    <w:p w14:paraId="69362A4C" w14:textId="5662E1B3" w:rsidR="00692DC8" w:rsidRPr="00692DC8" w:rsidRDefault="00692DC8" w:rsidP="00B21D69">
      <w:r w:rsidRPr="00692DC8">
        <w:lastRenderedPageBreak/>
        <w:t>Indicar el detalle de cómo está compuesta la cuenta:</w:t>
      </w:r>
    </w:p>
    <w:p w14:paraId="7AE7CBEB" w14:textId="17487629" w:rsidR="00692DC8" w:rsidRPr="00B21D69" w:rsidRDefault="00692DC8" w:rsidP="00B21D69">
      <w:pPr>
        <w:rPr>
          <w:rFonts w:eastAsia="Times New Roman"/>
          <w:lang w:eastAsia="es-CR"/>
        </w:rPr>
      </w:pPr>
      <w:r w:rsidRPr="00692DC8">
        <w:rPr>
          <w:rFonts w:eastAsia="Times New Roman"/>
          <w:lang w:eastAsia="es-CR"/>
        </w:rPr>
        <w:t>________________________________________________________________________________________________________________________________________________________________________________________________________________________________________________</w:t>
      </w:r>
    </w:p>
    <w:p w14:paraId="159F522C" w14:textId="77777777" w:rsidR="00396CB4" w:rsidRPr="00396CB4" w:rsidRDefault="00692DC8" w:rsidP="00AD32EB">
      <w:pPr>
        <w:rPr>
          <w:sz w:val="20"/>
          <w:szCs w:val="20"/>
          <w:lang w:eastAsia="es-CR"/>
        </w:rPr>
      </w:pPr>
      <w:r w:rsidRPr="00692DC8">
        <w:rPr>
          <w:b/>
          <w:bCs/>
          <w:lang w:val="es-ES"/>
        </w:rPr>
        <w:t>Revelación</w:t>
      </w:r>
      <w:r w:rsidRPr="00692DC8">
        <w:rPr>
          <w:lang w:val="es-ES"/>
        </w:rPr>
        <w:t xml:space="preserve">: </w:t>
      </w:r>
      <w:r w:rsidR="00AD32EB">
        <w:rPr>
          <w:rFonts w:eastAsia="Times New Roman" w:cs="Calibri"/>
          <w:color w:val="000000"/>
          <w:lang w:eastAsia="es-CR"/>
        </w:rPr>
        <w:fldChar w:fldCharType="begin"/>
      </w:r>
      <w:r w:rsidR="00AD32EB">
        <w:rPr>
          <w:rFonts w:eastAsia="Times New Roman" w:cs="Calibri"/>
          <w:color w:val="000000"/>
          <w:lang w:eastAsia="es-CR"/>
        </w:rPr>
        <w:instrText xml:space="preserve"> LINK </w:instrText>
      </w:r>
      <w:r w:rsidR="00756467">
        <w:rPr>
          <w:rFonts w:eastAsia="Times New Roman" w:cs="Calibri"/>
          <w:color w:val="000000"/>
          <w:lang w:eastAsia="es-CR"/>
        </w:rPr>
        <w:instrText xml:space="preserve">Excel.SheetMacroEnabled.12 "C:\\Users\\gcordero\\Downloads\\Notas diciembre 2024\\Formato_Notas_EEFF_Vinculadas_2024\\Formato_Notas_EEFF_Vinculadas_2024\\15603_T04_2024_Anexo_Estado_Notas_Contables_Vinculadas.xlsm" NOTAS_POR_CUENTA!F381C8 </w:instrText>
      </w:r>
      <w:r w:rsidR="00AD32EB">
        <w:rPr>
          <w:rFonts w:eastAsia="Times New Roman" w:cs="Calibri"/>
          <w:color w:val="000000"/>
          <w:lang w:eastAsia="es-CR"/>
        </w:rPr>
        <w:instrText xml:space="preserve">\a \f 5 \h  \* MERGEFORMAT </w:instrText>
      </w:r>
      <w:r w:rsidR="00AD32EB">
        <w:rPr>
          <w:rFonts w:eastAsia="Times New Roman" w:cs="Calibri"/>
          <w:color w:val="000000"/>
          <w:lang w:eastAsia="es-CR"/>
        </w:rPr>
        <w:fldChar w:fldCharType="separate"/>
      </w:r>
    </w:p>
    <w:p w14:paraId="02FA8225" w14:textId="77777777" w:rsidR="00396CB4" w:rsidRPr="00396CB4" w:rsidRDefault="00396CB4" w:rsidP="00396CB4">
      <w:pPr>
        <w:rPr>
          <w:rFonts w:eastAsia="Times New Roman" w:cs="Calibri"/>
          <w:color w:val="000000"/>
          <w:lang w:eastAsia="es-CR"/>
        </w:rPr>
      </w:pPr>
      <w:r w:rsidRPr="00396CB4">
        <w:rPr>
          <w:rFonts w:eastAsia="Times New Roman" w:cs="Calibri"/>
          <w:color w:val="000000"/>
          <w:lang w:eastAsia="es-CR"/>
        </w:rPr>
        <w:t>La cuenta Cargos por provisiones y reservas técnicas, representa el 0,00% del total del Gastos, que comparado al periodo anterior genera una variación absoluta de -0 060,50 que corresponde a un Disminución del -33,33% de recursos disponibles.</w:t>
      </w:r>
    </w:p>
    <w:p w14:paraId="61335EAC" w14:textId="09D02F09" w:rsidR="00692DC8" w:rsidRDefault="00AD32EB" w:rsidP="00AD32EB">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0AC3CC9F" w14:textId="77777777" w:rsidR="00692DC8" w:rsidRPr="00692DC8" w:rsidRDefault="00692DC8" w:rsidP="00E3707A"/>
    <w:p w14:paraId="18FE49DC" w14:textId="3EFFC68C" w:rsidR="00692DC8" w:rsidRPr="00692DC8" w:rsidRDefault="00692DC8" w:rsidP="00E3707A">
      <w:pPr>
        <w:pStyle w:val="Ttulo3"/>
        <w:spacing w:after="240"/>
        <w:rPr>
          <w:rFonts w:eastAsia="Calibri"/>
          <w:lang w:eastAsia="es-CR"/>
        </w:rPr>
      </w:pPr>
      <w:bookmarkStart w:id="958" w:name="_Toc82769049"/>
      <w:bookmarkStart w:id="959" w:name="_Toc189804915"/>
      <w:r w:rsidRPr="00692DC8">
        <w:rPr>
          <w:rFonts w:eastAsia="Calibri"/>
          <w:lang w:eastAsia="es-CR"/>
        </w:rPr>
        <w:t>5.2 GASTOS FINANCIEROS</w:t>
      </w:r>
      <w:bookmarkEnd w:id="958"/>
      <w:bookmarkEnd w:id="959"/>
    </w:p>
    <w:p w14:paraId="6E644440" w14:textId="77777777" w:rsidR="00692DC8" w:rsidRPr="00692DC8" w:rsidRDefault="00692DC8" w:rsidP="00B21D69">
      <w:pPr>
        <w:pStyle w:val="Ttulo4"/>
        <w:spacing w:after="240"/>
        <w:rPr>
          <w:rFonts w:eastAsia="Times New Roman"/>
        </w:rPr>
      </w:pPr>
      <w:bookmarkStart w:id="960" w:name="_Toc14344957"/>
      <w:bookmarkStart w:id="961" w:name="_Toc33601331"/>
      <w:bookmarkStart w:id="962" w:name="_Toc82769050"/>
      <w:bookmarkStart w:id="963" w:name="_Toc189804916"/>
      <w:r w:rsidRPr="00692DC8">
        <w:rPr>
          <w:rFonts w:eastAsia="Times New Roman"/>
        </w:rPr>
        <w:t>NOTA N° 6</w:t>
      </w:r>
      <w:bookmarkEnd w:id="960"/>
      <w:bookmarkEnd w:id="961"/>
      <w:bookmarkEnd w:id="962"/>
      <w:r w:rsidRPr="00692DC8">
        <w:rPr>
          <w:rFonts w:eastAsia="Times New Roman"/>
        </w:rPr>
        <w:t>7</w:t>
      </w:r>
      <w:bookmarkEnd w:id="963"/>
    </w:p>
    <w:p w14:paraId="693C638E" w14:textId="77777777" w:rsidR="00396CB4" w:rsidRDefault="00692DC8" w:rsidP="00F51D42">
      <w:pPr>
        <w:spacing w:before="240"/>
        <w:rPr>
          <w:rFonts w:asciiTheme="minorHAnsi" w:hAnsiTheme="minorHAnsi"/>
          <w:sz w:val="22"/>
        </w:rPr>
      </w:pPr>
      <w:bookmarkStart w:id="964" w:name="_Toc14344958"/>
      <w:bookmarkStart w:id="965" w:name="_Toc33601332"/>
      <w:bookmarkStart w:id="966" w:name="_Toc82769051"/>
      <w:r w:rsidRPr="00692DC8">
        <w:rPr>
          <w:rFonts w:eastAsia="Times New Roman"/>
        </w:rPr>
        <w:t>Intereses sobre endeudamiento público</w:t>
      </w:r>
      <w:bookmarkStart w:id="967" w:name="_Toc14344963"/>
      <w:bookmarkEnd w:id="964"/>
      <w:bookmarkEnd w:id="965"/>
      <w:bookmarkEnd w:id="966"/>
      <w:r w:rsidR="00AD32EB">
        <w:rPr>
          <w:rFonts w:eastAsiaTheme="majorEastAsia" w:cstheme="majorBidi"/>
          <w:iCs/>
          <w:lang w:val="es-ES"/>
        </w:rPr>
        <w:fldChar w:fldCharType="begin"/>
      </w:r>
      <w:r w:rsidR="00AD32EB">
        <w:rPr>
          <w:lang w:val="es-ES"/>
        </w:rPr>
        <w:instrText xml:space="preserve"> LINK </w:instrText>
      </w:r>
      <w:r w:rsidR="00756467">
        <w:rPr>
          <w:lang w:val="es-ES"/>
        </w:rPr>
        <w:instrText xml:space="preserve">Excel.SheetMacroEnabled.12 "C:\\Users\\gcordero\\Downloads\\Notas diciembre 2024\\Formato_Notas_EEFF_Vinculadas_2024\\Formato_Notas_EEFF_Vinculadas_2024\\15603_T04_2024_Anexo_Estado_Notas_Contables_Vinculadas.xlsm" NOTAS_POR_CUENTA!F387C1:F389C6 </w:instrText>
      </w:r>
      <w:r w:rsidR="00AD32EB">
        <w:rPr>
          <w:lang w:val="es-ES"/>
        </w:rPr>
        <w:instrText xml:space="preserve">\a \f 4 \h </w:instrText>
      </w:r>
      <w:r w:rsidR="00AD32EB">
        <w:rPr>
          <w:b/>
          <w:lang w:val="es-ES"/>
        </w:rPr>
        <w:fldChar w:fldCharType="separate"/>
      </w:r>
    </w:p>
    <w:tbl>
      <w:tblPr>
        <w:tblW w:w="9600" w:type="dxa"/>
        <w:tblCellMar>
          <w:left w:w="70" w:type="dxa"/>
          <w:right w:w="70" w:type="dxa"/>
        </w:tblCellMar>
        <w:tblLook w:val="04A0" w:firstRow="1" w:lastRow="0" w:firstColumn="1" w:lastColumn="0" w:noHBand="0" w:noVBand="1"/>
      </w:tblPr>
      <w:tblGrid>
        <w:gridCol w:w="1377"/>
        <w:gridCol w:w="2503"/>
        <w:gridCol w:w="500"/>
        <w:gridCol w:w="2100"/>
        <w:gridCol w:w="2100"/>
        <w:gridCol w:w="1020"/>
      </w:tblGrid>
      <w:tr w:rsidR="00396CB4" w:rsidRPr="00396CB4" w14:paraId="481A7D76" w14:textId="77777777" w:rsidTr="00396CB4">
        <w:trPr>
          <w:divId w:val="629550875"/>
          <w:trHeight w:val="330"/>
        </w:trPr>
        <w:tc>
          <w:tcPr>
            <w:tcW w:w="1377"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E26FA14" w14:textId="1F8FC319" w:rsidR="00396CB4" w:rsidRPr="00396CB4" w:rsidRDefault="00396CB4" w:rsidP="00396CB4">
            <w:pP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2503"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85495FA"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00A60F3"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9362EE8"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EB251F2"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49FE9EAF"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73E252F2" w14:textId="77777777" w:rsidTr="00396CB4">
        <w:trPr>
          <w:divId w:val="629550875"/>
          <w:trHeight w:val="330"/>
        </w:trPr>
        <w:tc>
          <w:tcPr>
            <w:tcW w:w="1377" w:type="dxa"/>
            <w:vMerge/>
            <w:tcBorders>
              <w:top w:val="single" w:sz="8" w:space="0" w:color="auto"/>
              <w:left w:val="single" w:sz="8" w:space="0" w:color="auto"/>
              <w:bottom w:val="single" w:sz="8" w:space="0" w:color="000000"/>
              <w:right w:val="single" w:sz="8" w:space="0" w:color="auto"/>
            </w:tcBorders>
            <w:vAlign w:val="center"/>
            <w:hideMark/>
          </w:tcPr>
          <w:p w14:paraId="3B4BE232"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503" w:type="dxa"/>
            <w:vMerge/>
            <w:tcBorders>
              <w:top w:val="single" w:sz="8" w:space="0" w:color="auto"/>
              <w:left w:val="single" w:sz="8" w:space="0" w:color="auto"/>
              <w:bottom w:val="single" w:sz="8" w:space="0" w:color="000000"/>
              <w:right w:val="single" w:sz="8" w:space="0" w:color="auto"/>
            </w:tcBorders>
            <w:vAlign w:val="center"/>
            <w:hideMark/>
          </w:tcPr>
          <w:p w14:paraId="69317932"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2A03559F"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5CF88229"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44A65116"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3B818BF0"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0C7C81E4" w14:textId="77777777" w:rsidTr="00396CB4">
        <w:trPr>
          <w:divId w:val="629550875"/>
          <w:trHeight w:val="330"/>
        </w:trPr>
        <w:tc>
          <w:tcPr>
            <w:tcW w:w="1377" w:type="dxa"/>
            <w:tcBorders>
              <w:top w:val="nil"/>
              <w:left w:val="single" w:sz="8" w:space="0" w:color="auto"/>
              <w:bottom w:val="single" w:sz="8" w:space="0" w:color="auto"/>
              <w:right w:val="single" w:sz="8" w:space="0" w:color="auto"/>
            </w:tcBorders>
            <w:shd w:val="clear" w:color="auto" w:fill="auto"/>
            <w:noWrap/>
            <w:vAlign w:val="center"/>
            <w:hideMark/>
          </w:tcPr>
          <w:p w14:paraId="4C95092C"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5.2.1.</w:t>
            </w:r>
          </w:p>
        </w:tc>
        <w:tc>
          <w:tcPr>
            <w:tcW w:w="2503" w:type="dxa"/>
            <w:tcBorders>
              <w:top w:val="nil"/>
              <w:left w:val="nil"/>
              <w:bottom w:val="single" w:sz="8" w:space="0" w:color="auto"/>
              <w:right w:val="single" w:sz="8" w:space="0" w:color="auto"/>
            </w:tcBorders>
            <w:shd w:val="clear" w:color="auto" w:fill="auto"/>
            <w:vAlign w:val="center"/>
            <w:hideMark/>
          </w:tcPr>
          <w:p w14:paraId="0C8DAF2F" w14:textId="77777777" w:rsidR="00396CB4" w:rsidRPr="00396CB4" w:rsidRDefault="00396CB4" w:rsidP="00396CB4">
            <w:pPr>
              <w:spacing w:after="0" w:line="240" w:lineRule="auto"/>
              <w:rPr>
                <w:rFonts w:eastAsia="Times New Roman" w:cs="Calibri"/>
                <w:b/>
                <w:bCs/>
                <w:color w:val="000000"/>
                <w:sz w:val="18"/>
                <w:szCs w:val="18"/>
                <w:lang w:eastAsia="es-CR"/>
              </w:rPr>
            </w:pPr>
            <w:r w:rsidRPr="00396CB4">
              <w:rPr>
                <w:rFonts w:eastAsia="Times New Roman" w:cs="Calibri"/>
                <w:b/>
                <w:bCs/>
                <w:color w:val="000000"/>
                <w:sz w:val="18"/>
                <w:szCs w:val="18"/>
                <w:lang w:eastAsia="es-CR"/>
              </w:rPr>
              <w:t>Intereses sobre endeudamiento público</w:t>
            </w:r>
          </w:p>
        </w:tc>
        <w:tc>
          <w:tcPr>
            <w:tcW w:w="500" w:type="dxa"/>
            <w:tcBorders>
              <w:top w:val="nil"/>
              <w:left w:val="nil"/>
              <w:bottom w:val="single" w:sz="8" w:space="0" w:color="auto"/>
              <w:right w:val="single" w:sz="8" w:space="0" w:color="auto"/>
            </w:tcBorders>
            <w:shd w:val="clear" w:color="auto" w:fill="auto"/>
            <w:noWrap/>
            <w:vAlign w:val="center"/>
            <w:hideMark/>
          </w:tcPr>
          <w:p w14:paraId="32865B84"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67</w:t>
            </w:r>
          </w:p>
        </w:tc>
        <w:tc>
          <w:tcPr>
            <w:tcW w:w="2100" w:type="dxa"/>
            <w:tcBorders>
              <w:top w:val="nil"/>
              <w:left w:val="nil"/>
              <w:bottom w:val="single" w:sz="8" w:space="0" w:color="auto"/>
              <w:right w:val="single" w:sz="8" w:space="0" w:color="auto"/>
            </w:tcBorders>
            <w:shd w:val="clear" w:color="auto" w:fill="auto"/>
            <w:noWrap/>
            <w:vAlign w:val="center"/>
            <w:hideMark/>
          </w:tcPr>
          <w:p w14:paraId="6771AEB1"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107 152,32 </w:t>
            </w:r>
          </w:p>
        </w:tc>
        <w:tc>
          <w:tcPr>
            <w:tcW w:w="2100" w:type="dxa"/>
            <w:tcBorders>
              <w:top w:val="nil"/>
              <w:left w:val="nil"/>
              <w:bottom w:val="single" w:sz="8" w:space="0" w:color="auto"/>
              <w:right w:val="single" w:sz="8" w:space="0" w:color="auto"/>
            </w:tcBorders>
            <w:shd w:val="clear" w:color="auto" w:fill="auto"/>
            <w:noWrap/>
            <w:vAlign w:val="center"/>
            <w:hideMark/>
          </w:tcPr>
          <w:p w14:paraId="0F47B10B"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106 997,67 </w:t>
            </w:r>
          </w:p>
        </w:tc>
        <w:tc>
          <w:tcPr>
            <w:tcW w:w="1020" w:type="dxa"/>
            <w:tcBorders>
              <w:top w:val="nil"/>
              <w:left w:val="nil"/>
              <w:bottom w:val="single" w:sz="8" w:space="0" w:color="auto"/>
              <w:right w:val="single" w:sz="8" w:space="0" w:color="auto"/>
            </w:tcBorders>
            <w:shd w:val="clear" w:color="auto" w:fill="auto"/>
            <w:noWrap/>
            <w:vAlign w:val="center"/>
            <w:hideMark/>
          </w:tcPr>
          <w:p w14:paraId="4C5FA652"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0,14%</w:t>
            </w:r>
          </w:p>
        </w:tc>
      </w:tr>
    </w:tbl>
    <w:p w14:paraId="31804B5A" w14:textId="77777777" w:rsidR="00396CB4" w:rsidRPr="00396CB4" w:rsidRDefault="00AD32EB" w:rsidP="00396CB4">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756467">
        <w:rPr>
          <w:rFonts w:eastAsia="Times New Roman" w:cs="Calibri"/>
          <w:color w:val="000000"/>
          <w:lang w:eastAsia="es-CR"/>
        </w:rPr>
        <w:instrText xml:space="preserve">Excel.SheetMacroEnabled.12 "C:\\Users\\gcordero\\Downloads\\Notas diciembre 2024\\Formato_Notas_EEFF_Vinculadas_2024\\Formato_Notas_EEFF_Vinculadas_2024\\15603_T04_2024_Anexo_Estado_Notas_Contables_Vinculadas.xlsm" NOTAS_POR_CUENTA!F389C8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56145651" w14:textId="77777777" w:rsidR="00396CB4" w:rsidRPr="00396CB4" w:rsidRDefault="00396CB4" w:rsidP="00396CB4">
      <w:pPr>
        <w:rPr>
          <w:rFonts w:eastAsia="Times New Roman" w:cs="Calibri"/>
          <w:color w:val="000000"/>
          <w:lang w:eastAsia="es-CR"/>
        </w:rPr>
      </w:pPr>
      <w:r w:rsidRPr="00396CB4">
        <w:rPr>
          <w:rFonts w:eastAsia="Times New Roman" w:cs="Calibri"/>
          <w:color w:val="000000"/>
          <w:lang w:eastAsia="es-CR"/>
        </w:rPr>
        <w:t>La cuenta Intereses sobre endeudamiento público, representa el 2,04% del total del Gastos, que comparado al periodo anterior genera una variación absoluta de 0 154,65 que corresponde a un Aumento del 0,14% de recursos disponibles.</w:t>
      </w:r>
    </w:p>
    <w:p w14:paraId="030540E4" w14:textId="38FD77FD" w:rsidR="00692DC8" w:rsidRPr="00692DC8" w:rsidRDefault="00AD32EB" w:rsidP="00AD32EB">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6834E684" w14:textId="5027140F" w:rsidR="002E7F68" w:rsidRDefault="002E7F68" w:rsidP="002E7F68">
      <w:pPr>
        <w:spacing w:after="0" w:line="240" w:lineRule="auto"/>
        <w:rPr>
          <w:rFonts w:eastAsiaTheme="minorEastAsia" w:cs="Arial Narrow"/>
          <w:color w:val="000000"/>
          <w:lang w:eastAsia="es-CR"/>
        </w:rPr>
      </w:pPr>
      <w:r>
        <w:rPr>
          <w:rFonts w:eastAsiaTheme="minorEastAsia" w:cs="Arial Narrow"/>
          <w:color w:val="000000"/>
          <w:lang w:eastAsia="es-CR"/>
        </w:rPr>
        <w:t xml:space="preserve">Los </w:t>
      </w:r>
      <w:r w:rsidRPr="00A91674">
        <w:rPr>
          <w:rFonts w:cs="Calibri"/>
          <w:color w:val="000000"/>
          <w:lang w:eastAsia="es-CR"/>
        </w:rPr>
        <w:t xml:space="preserve">Intereses pagados </w:t>
      </w:r>
      <w:r w:rsidRPr="00A91674">
        <w:rPr>
          <w:rFonts w:eastAsiaTheme="minorEastAsia" w:cs="Arial Narrow"/>
          <w:color w:val="000000"/>
          <w:lang w:eastAsia="es-CR"/>
        </w:rPr>
        <w:t xml:space="preserve">al </w:t>
      </w:r>
      <w:r w:rsidR="00796636">
        <w:rPr>
          <w:rFonts w:eastAsiaTheme="minorEastAsia" w:cs="Arial Narrow"/>
          <w:color w:val="000000"/>
          <w:lang w:eastAsia="es-CR"/>
        </w:rPr>
        <w:t>31</w:t>
      </w:r>
      <w:r>
        <w:rPr>
          <w:rFonts w:eastAsiaTheme="minorEastAsia" w:cs="Arial Narrow"/>
          <w:color w:val="000000"/>
          <w:lang w:eastAsia="es-CR"/>
        </w:rPr>
        <w:t xml:space="preserve"> de </w:t>
      </w:r>
      <w:r w:rsidR="00D64CF8">
        <w:rPr>
          <w:rFonts w:eastAsiaTheme="minorEastAsia" w:cs="Arial Narrow"/>
          <w:color w:val="000000"/>
          <w:lang w:eastAsia="es-CR"/>
        </w:rPr>
        <w:t>diciembre</w:t>
      </w:r>
      <w:r w:rsidRPr="00A91674">
        <w:rPr>
          <w:rFonts w:eastAsiaTheme="minorEastAsia" w:cs="Arial Narrow"/>
          <w:color w:val="000000"/>
          <w:lang w:eastAsia="es-CR"/>
        </w:rPr>
        <w:t xml:space="preserve"> de </w:t>
      </w:r>
      <w:r>
        <w:rPr>
          <w:rFonts w:eastAsiaTheme="minorEastAsia" w:cs="Arial Narrow"/>
          <w:color w:val="000000"/>
          <w:lang w:eastAsia="es-CR"/>
        </w:rPr>
        <w:t>2024</w:t>
      </w:r>
      <w:r w:rsidRPr="00A91674">
        <w:rPr>
          <w:rFonts w:eastAsiaTheme="minorEastAsia" w:cs="Arial Narrow"/>
          <w:color w:val="000000"/>
          <w:lang w:eastAsia="es-CR"/>
        </w:rPr>
        <w:t>,</w:t>
      </w:r>
      <w:r w:rsidRPr="009657C1">
        <w:rPr>
          <w:rFonts w:cs="Calibri"/>
          <w:color w:val="000000"/>
          <w:lang w:eastAsia="es-CR"/>
        </w:rPr>
        <w:t xml:space="preserve"> </w:t>
      </w:r>
      <w:r w:rsidRPr="00A91674">
        <w:rPr>
          <w:rFonts w:cs="Calibri"/>
          <w:color w:val="000000"/>
          <w:lang w:eastAsia="es-CR"/>
        </w:rPr>
        <w:t xml:space="preserve">sobre el saldo del </w:t>
      </w:r>
      <w:r w:rsidRPr="00A91674">
        <w:rPr>
          <w:rFonts w:eastAsiaTheme="minorEastAsia" w:cs="Arial Narrow"/>
          <w:color w:val="000000"/>
          <w:lang w:eastAsia="es-CR"/>
        </w:rPr>
        <w:t>préstamo que</w:t>
      </w:r>
      <w:r w:rsidRPr="003343B9">
        <w:rPr>
          <w:rFonts w:eastAsiaTheme="minorEastAsia" w:cs="Arial Narrow"/>
          <w:color w:val="000000"/>
          <w:lang w:eastAsia="es-CR"/>
        </w:rPr>
        <w:t xml:space="preserve"> la Municipalidad contrajo con el IFAM,</w:t>
      </w:r>
      <w:r w:rsidRPr="00A91674">
        <w:rPr>
          <w:rFonts w:eastAsiaTheme="minorEastAsia" w:cs="Arial Narrow"/>
          <w:color w:val="000000"/>
          <w:lang w:eastAsia="es-CR"/>
        </w:rPr>
        <w:t xml:space="preserve"> según Contrato de Préstamo entre IFAM y La Municipalidad de Buenos Aires, Nº 6-CVL-1457-0718 para el Mejoramiento de la Red Vial Cantonal y Compra de Maquinaría, por la suma total de </w:t>
      </w:r>
      <w:r>
        <w:rPr>
          <w:rFonts w:ascii="Arial" w:eastAsiaTheme="minorEastAsia" w:hAnsi="Arial" w:cs="Arial"/>
          <w:color w:val="000000"/>
          <w:lang w:eastAsia="es-CR"/>
        </w:rPr>
        <w:t>₡</w:t>
      </w:r>
      <w:r w:rsidRPr="00A91674">
        <w:rPr>
          <w:rFonts w:eastAsiaTheme="minorEastAsia" w:cs="Arial Narrow"/>
          <w:color w:val="000000"/>
          <w:lang w:eastAsia="es-CR"/>
        </w:rPr>
        <w:t>3.563.088.496,48</w:t>
      </w:r>
      <w:r>
        <w:rPr>
          <w:rFonts w:eastAsiaTheme="minorEastAsia" w:cs="Arial Narrow"/>
          <w:color w:val="000000"/>
          <w:lang w:eastAsia="es-CR"/>
        </w:rPr>
        <w:t xml:space="preserve"> miles sobre el cual se debe pagar</w:t>
      </w:r>
      <w:r w:rsidRPr="00A91674">
        <w:rPr>
          <w:rFonts w:eastAsiaTheme="minorEastAsia" w:cs="Arial Narrow"/>
          <w:color w:val="000000"/>
          <w:lang w:eastAsia="es-CR"/>
        </w:rPr>
        <w:t xml:space="preserve"> la tasa de interés es del 7% anual (fijo sobre saldos), </w:t>
      </w:r>
      <w:r>
        <w:rPr>
          <w:rFonts w:eastAsiaTheme="minorEastAsia" w:cs="Arial Narrow"/>
          <w:color w:val="000000"/>
          <w:lang w:eastAsia="es-CR"/>
        </w:rPr>
        <w:t xml:space="preserve">así como </w:t>
      </w:r>
      <w:r w:rsidRPr="00A91674">
        <w:rPr>
          <w:rFonts w:eastAsiaTheme="minorEastAsia" w:cs="Arial Narrow"/>
          <w:color w:val="000000"/>
          <w:lang w:eastAsia="es-CR"/>
        </w:rPr>
        <w:t>interés de mora del 2% mensual sobre cuotas vencidas</w:t>
      </w:r>
      <w:r>
        <w:rPr>
          <w:rFonts w:eastAsiaTheme="minorEastAsia" w:cs="Arial Narrow"/>
          <w:color w:val="000000"/>
          <w:lang w:eastAsia="es-CR"/>
        </w:rPr>
        <w:t xml:space="preserve">. Ver al respecto, </w:t>
      </w:r>
      <w:r w:rsidRPr="00C807BA">
        <w:rPr>
          <w:rFonts w:eastAsiaTheme="minorEastAsia" w:cs="Arial Narrow"/>
          <w:color w:val="000000"/>
          <w:lang w:eastAsia="es-CR"/>
        </w:rPr>
        <w:t xml:space="preserve">las Notas </w:t>
      </w:r>
      <w:proofErr w:type="spellStart"/>
      <w:r w:rsidRPr="00C807BA">
        <w:rPr>
          <w:rFonts w:eastAsiaTheme="minorEastAsia" w:cs="Arial Narrow"/>
          <w:color w:val="000000"/>
          <w:lang w:eastAsia="es-CR"/>
        </w:rPr>
        <w:t>Nros</w:t>
      </w:r>
      <w:proofErr w:type="spellEnd"/>
      <w:r w:rsidRPr="00C807BA">
        <w:rPr>
          <w:rFonts w:eastAsiaTheme="minorEastAsia" w:cs="Arial Narrow"/>
          <w:color w:val="000000"/>
          <w:lang w:eastAsia="es-CR"/>
        </w:rPr>
        <w:t xml:space="preserve">. 15 </w:t>
      </w:r>
      <w:r>
        <w:rPr>
          <w:rFonts w:eastAsiaTheme="minorEastAsia" w:cs="Arial Narrow"/>
          <w:color w:val="000000"/>
          <w:lang w:eastAsia="es-CR"/>
        </w:rPr>
        <w:t>“</w:t>
      </w:r>
      <w:r w:rsidRPr="00C807BA">
        <w:rPr>
          <w:rFonts w:eastAsiaTheme="minorEastAsia" w:cs="Arial Narrow"/>
          <w:color w:val="000000"/>
          <w:lang w:eastAsia="es-CR"/>
        </w:rPr>
        <w:t>Endeudamiento público a corto plazo</w:t>
      </w:r>
      <w:r>
        <w:rPr>
          <w:rFonts w:eastAsiaTheme="minorEastAsia" w:cs="Arial Narrow"/>
          <w:color w:val="000000"/>
          <w:lang w:eastAsia="es-CR"/>
        </w:rPr>
        <w:t>”</w:t>
      </w:r>
      <w:r w:rsidRPr="00C807BA">
        <w:rPr>
          <w:rFonts w:eastAsiaTheme="minorEastAsia" w:cs="Arial Narrow"/>
          <w:color w:val="000000"/>
          <w:lang w:eastAsia="es-CR"/>
        </w:rPr>
        <w:t xml:space="preserve"> y 20 </w:t>
      </w:r>
      <w:r>
        <w:rPr>
          <w:rFonts w:eastAsiaTheme="minorEastAsia" w:cs="Arial Narrow"/>
          <w:color w:val="000000"/>
          <w:lang w:eastAsia="es-CR"/>
        </w:rPr>
        <w:t>“</w:t>
      </w:r>
      <w:r w:rsidRPr="00C807BA">
        <w:rPr>
          <w:rFonts w:eastAsiaTheme="minorEastAsia" w:cs="Arial Narrow"/>
          <w:color w:val="000000"/>
          <w:lang w:eastAsia="es-CR"/>
        </w:rPr>
        <w:t>Endeudamiento público de largo plazo</w:t>
      </w:r>
      <w:r>
        <w:rPr>
          <w:rFonts w:eastAsiaTheme="minorEastAsia" w:cs="Arial Narrow"/>
          <w:color w:val="000000"/>
          <w:lang w:eastAsia="es-CR"/>
        </w:rPr>
        <w:t>”.</w:t>
      </w:r>
      <w:r w:rsidRPr="00C807BA">
        <w:rPr>
          <w:rFonts w:eastAsiaTheme="minorEastAsia" w:cs="Arial Narrow"/>
          <w:color w:val="000000"/>
          <w:lang w:eastAsia="es-CR"/>
        </w:rPr>
        <w:t xml:space="preserve"> </w:t>
      </w:r>
    </w:p>
    <w:p w14:paraId="507C4AD5" w14:textId="77777777" w:rsidR="002E7F68" w:rsidRDefault="002E7F68" w:rsidP="002E7F68">
      <w:pPr>
        <w:spacing w:after="0" w:line="240" w:lineRule="auto"/>
        <w:rPr>
          <w:rFonts w:eastAsiaTheme="minorEastAsia" w:cs="Arial Narrow"/>
          <w:color w:val="000000"/>
          <w:lang w:eastAsia="es-CR"/>
        </w:rPr>
      </w:pPr>
      <w:r>
        <w:rPr>
          <w:rFonts w:eastAsiaTheme="minorEastAsia" w:cs="Arial Narrow"/>
          <w:color w:val="000000"/>
          <w:lang w:eastAsia="es-CR"/>
        </w:rPr>
        <w:lastRenderedPageBreak/>
        <w:t>Es preciso reiterar que l</w:t>
      </w:r>
      <w:r w:rsidRPr="00A91674">
        <w:rPr>
          <w:rFonts w:eastAsiaTheme="minorEastAsia" w:cs="Arial Narrow"/>
          <w:color w:val="000000"/>
          <w:lang w:eastAsia="es-CR"/>
        </w:rPr>
        <w:t>os intereses devengados por el préstamo en mención</w:t>
      </w:r>
      <w:r>
        <w:rPr>
          <w:rFonts w:eastAsiaTheme="minorEastAsia" w:cs="Arial Narrow"/>
          <w:color w:val="000000"/>
          <w:lang w:eastAsia="es-CR"/>
        </w:rPr>
        <w:t>,</w:t>
      </w:r>
      <w:r w:rsidRPr="00A91674">
        <w:rPr>
          <w:rFonts w:eastAsiaTheme="minorEastAsia" w:cs="Arial Narrow"/>
          <w:color w:val="000000"/>
          <w:lang w:eastAsia="es-CR"/>
        </w:rPr>
        <w:t xml:space="preserve"> son reconocidos como un gasto debido a que los desembolsos efectuados por el IFAM sobre el préstamo, no </w:t>
      </w:r>
      <w:r>
        <w:rPr>
          <w:rFonts w:eastAsiaTheme="minorEastAsia" w:cs="Arial Narrow"/>
          <w:color w:val="000000"/>
          <w:lang w:eastAsia="es-CR"/>
        </w:rPr>
        <w:t>son</w:t>
      </w:r>
      <w:r w:rsidRPr="00A91674">
        <w:rPr>
          <w:rFonts w:eastAsiaTheme="minorEastAsia" w:cs="Arial Narrow"/>
          <w:color w:val="000000"/>
          <w:lang w:eastAsia="es-CR"/>
        </w:rPr>
        <w:t xml:space="preserve"> directamente atribuibles a la adquisición de un activo (según lo establece la NICSP 5 párrafos 18), ya que los desembolsos se solicitan al IFAM para pagar de manera simultánea a los proveedores bienes adquiridos en condiciones aptas (por lo que ya no se requiere ejecutar ninguna acción para que dichos activos estén aptos para su uso), y la amortización del principal y pago de intereses sobre dichos desembolsos, se inician con posterioridad de acuerdo con lo establecido en el contrato.</w:t>
      </w:r>
    </w:p>
    <w:p w14:paraId="580C7991" w14:textId="77777777" w:rsidR="00692DC8" w:rsidRPr="00692DC8" w:rsidRDefault="00692DC8" w:rsidP="00B21D69"/>
    <w:p w14:paraId="71A09341" w14:textId="77777777" w:rsidR="00692DC8" w:rsidRPr="00692DC8" w:rsidRDefault="00692DC8" w:rsidP="00B21D69">
      <w:pPr>
        <w:pStyle w:val="Ttulo4"/>
        <w:spacing w:after="240"/>
        <w:rPr>
          <w:rFonts w:eastAsia="Times New Roman"/>
        </w:rPr>
      </w:pPr>
      <w:bookmarkStart w:id="968" w:name="_Toc33601333"/>
      <w:bookmarkStart w:id="969" w:name="_Toc82769052"/>
      <w:bookmarkStart w:id="970" w:name="_Toc189804917"/>
      <w:r w:rsidRPr="00692DC8">
        <w:rPr>
          <w:rFonts w:eastAsia="Times New Roman"/>
        </w:rPr>
        <w:t>NOTA N° 6</w:t>
      </w:r>
      <w:bookmarkEnd w:id="967"/>
      <w:bookmarkEnd w:id="968"/>
      <w:bookmarkEnd w:id="969"/>
      <w:r w:rsidRPr="00692DC8">
        <w:rPr>
          <w:rFonts w:eastAsia="Times New Roman"/>
        </w:rPr>
        <w:t>8</w:t>
      </w:r>
      <w:bookmarkEnd w:id="970"/>
    </w:p>
    <w:p w14:paraId="3D7A3039" w14:textId="77777777" w:rsidR="00396CB4" w:rsidRDefault="00692DC8" w:rsidP="00F51D42">
      <w:pPr>
        <w:spacing w:before="240"/>
        <w:rPr>
          <w:rFonts w:asciiTheme="minorHAnsi" w:hAnsiTheme="minorHAnsi"/>
          <w:sz w:val="22"/>
        </w:rPr>
      </w:pPr>
      <w:bookmarkStart w:id="971" w:name="_Toc14344964"/>
      <w:bookmarkStart w:id="972" w:name="_Toc33601334"/>
      <w:bookmarkStart w:id="973" w:name="_Toc82769053"/>
      <w:r w:rsidRPr="00692DC8">
        <w:rPr>
          <w:rFonts w:eastAsia="Times New Roman"/>
        </w:rPr>
        <w:t>Otros gastos financieros</w:t>
      </w:r>
      <w:bookmarkEnd w:id="971"/>
      <w:bookmarkEnd w:id="972"/>
      <w:bookmarkEnd w:id="973"/>
      <w:r w:rsidR="00AD32EB">
        <w:rPr>
          <w:rFonts w:eastAsiaTheme="majorEastAsia" w:cstheme="majorBidi"/>
          <w:iCs/>
          <w:lang w:val="es-ES"/>
        </w:rPr>
        <w:fldChar w:fldCharType="begin"/>
      </w:r>
      <w:r w:rsidR="00AD32EB">
        <w:rPr>
          <w:lang w:val="es-ES"/>
        </w:rPr>
        <w:instrText xml:space="preserve"> LINK </w:instrText>
      </w:r>
      <w:r w:rsidR="00756467">
        <w:rPr>
          <w:lang w:val="es-ES"/>
        </w:rPr>
        <w:instrText xml:space="preserve">Excel.SheetMacroEnabled.12 "C:\\Users\\gcordero\\Downloads\\Notas diciembre 2024\\Formato_Notas_EEFF_Vinculadas_2024\\Formato_Notas_EEFF_Vinculadas_2024\\15603_T04_2024_Anexo_Estado_Notas_Contables_Vinculadas.xlsm" NOTAS_POR_CUENTA!F391C1:F393C6 </w:instrText>
      </w:r>
      <w:r w:rsidR="00AD32EB">
        <w:rPr>
          <w:lang w:val="es-ES"/>
        </w:rPr>
        <w:instrText xml:space="preserve">\a \f 4 \h </w:instrText>
      </w:r>
      <w:r w:rsidR="00AD32EB">
        <w:rPr>
          <w:b/>
          <w:lang w:val="es-ES"/>
        </w:rPr>
        <w:fldChar w:fldCharType="separate"/>
      </w:r>
    </w:p>
    <w:tbl>
      <w:tblPr>
        <w:tblW w:w="9600" w:type="dxa"/>
        <w:tblCellMar>
          <w:left w:w="70" w:type="dxa"/>
          <w:right w:w="70" w:type="dxa"/>
        </w:tblCellMar>
        <w:tblLook w:val="04A0" w:firstRow="1" w:lastRow="0" w:firstColumn="1" w:lastColumn="0" w:noHBand="0" w:noVBand="1"/>
      </w:tblPr>
      <w:tblGrid>
        <w:gridCol w:w="1472"/>
        <w:gridCol w:w="2408"/>
        <w:gridCol w:w="500"/>
        <w:gridCol w:w="2100"/>
        <w:gridCol w:w="2100"/>
        <w:gridCol w:w="1020"/>
      </w:tblGrid>
      <w:tr w:rsidR="00396CB4" w:rsidRPr="00396CB4" w14:paraId="1A71944E" w14:textId="77777777" w:rsidTr="00396CB4">
        <w:trPr>
          <w:divId w:val="1075977548"/>
          <w:trHeight w:val="330"/>
        </w:trPr>
        <w:tc>
          <w:tcPr>
            <w:tcW w:w="1472"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408323B" w14:textId="5B82A17D" w:rsidR="00396CB4" w:rsidRPr="00396CB4" w:rsidRDefault="00396CB4" w:rsidP="00396CB4">
            <w:pP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2408"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97C0694"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615536E"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B2E5996"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C2F92ED"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28247A39"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4F9DA908" w14:textId="77777777" w:rsidTr="00396CB4">
        <w:trPr>
          <w:divId w:val="1075977548"/>
          <w:trHeight w:val="330"/>
        </w:trPr>
        <w:tc>
          <w:tcPr>
            <w:tcW w:w="1472" w:type="dxa"/>
            <w:vMerge/>
            <w:tcBorders>
              <w:top w:val="single" w:sz="8" w:space="0" w:color="auto"/>
              <w:left w:val="single" w:sz="8" w:space="0" w:color="auto"/>
              <w:bottom w:val="single" w:sz="8" w:space="0" w:color="000000"/>
              <w:right w:val="single" w:sz="8" w:space="0" w:color="auto"/>
            </w:tcBorders>
            <w:vAlign w:val="center"/>
            <w:hideMark/>
          </w:tcPr>
          <w:p w14:paraId="125345A3"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408" w:type="dxa"/>
            <w:vMerge/>
            <w:tcBorders>
              <w:top w:val="single" w:sz="8" w:space="0" w:color="auto"/>
              <w:left w:val="single" w:sz="8" w:space="0" w:color="auto"/>
              <w:bottom w:val="single" w:sz="8" w:space="0" w:color="000000"/>
              <w:right w:val="single" w:sz="8" w:space="0" w:color="auto"/>
            </w:tcBorders>
            <w:vAlign w:val="center"/>
            <w:hideMark/>
          </w:tcPr>
          <w:p w14:paraId="1FA334C4"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532BFFAB"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59FC335D"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3B4B545F"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53F09554"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70327A16" w14:textId="77777777" w:rsidTr="00396CB4">
        <w:trPr>
          <w:divId w:val="1075977548"/>
          <w:trHeight w:val="330"/>
        </w:trPr>
        <w:tc>
          <w:tcPr>
            <w:tcW w:w="1472" w:type="dxa"/>
            <w:tcBorders>
              <w:top w:val="nil"/>
              <w:left w:val="single" w:sz="8" w:space="0" w:color="auto"/>
              <w:bottom w:val="single" w:sz="8" w:space="0" w:color="auto"/>
              <w:right w:val="single" w:sz="8" w:space="0" w:color="auto"/>
            </w:tcBorders>
            <w:shd w:val="clear" w:color="auto" w:fill="auto"/>
            <w:noWrap/>
            <w:vAlign w:val="center"/>
            <w:hideMark/>
          </w:tcPr>
          <w:p w14:paraId="6E6A78DC"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5.2.9.</w:t>
            </w:r>
          </w:p>
        </w:tc>
        <w:tc>
          <w:tcPr>
            <w:tcW w:w="2408" w:type="dxa"/>
            <w:tcBorders>
              <w:top w:val="nil"/>
              <w:left w:val="nil"/>
              <w:bottom w:val="single" w:sz="8" w:space="0" w:color="auto"/>
              <w:right w:val="single" w:sz="8" w:space="0" w:color="auto"/>
            </w:tcBorders>
            <w:shd w:val="clear" w:color="auto" w:fill="auto"/>
            <w:vAlign w:val="center"/>
            <w:hideMark/>
          </w:tcPr>
          <w:p w14:paraId="05AB91C7" w14:textId="77777777" w:rsidR="00396CB4" w:rsidRPr="00396CB4" w:rsidRDefault="00396CB4" w:rsidP="00396CB4">
            <w:pPr>
              <w:spacing w:after="0" w:line="240" w:lineRule="auto"/>
              <w:rPr>
                <w:rFonts w:eastAsia="Times New Roman" w:cs="Calibri"/>
                <w:b/>
                <w:bCs/>
                <w:color w:val="000000"/>
                <w:sz w:val="18"/>
                <w:szCs w:val="18"/>
                <w:lang w:eastAsia="es-CR"/>
              </w:rPr>
            </w:pPr>
            <w:r w:rsidRPr="00396CB4">
              <w:rPr>
                <w:rFonts w:eastAsia="Times New Roman" w:cs="Calibri"/>
                <w:b/>
                <w:bCs/>
                <w:color w:val="000000"/>
                <w:sz w:val="18"/>
                <w:szCs w:val="18"/>
                <w:lang w:eastAsia="es-CR"/>
              </w:rPr>
              <w:t>Otros gastos financieros</w:t>
            </w:r>
          </w:p>
        </w:tc>
        <w:tc>
          <w:tcPr>
            <w:tcW w:w="500" w:type="dxa"/>
            <w:tcBorders>
              <w:top w:val="nil"/>
              <w:left w:val="nil"/>
              <w:bottom w:val="single" w:sz="8" w:space="0" w:color="auto"/>
              <w:right w:val="single" w:sz="8" w:space="0" w:color="auto"/>
            </w:tcBorders>
            <w:shd w:val="clear" w:color="auto" w:fill="auto"/>
            <w:noWrap/>
            <w:vAlign w:val="center"/>
            <w:hideMark/>
          </w:tcPr>
          <w:p w14:paraId="22042A87"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68</w:t>
            </w:r>
          </w:p>
        </w:tc>
        <w:tc>
          <w:tcPr>
            <w:tcW w:w="2100" w:type="dxa"/>
            <w:tcBorders>
              <w:top w:val="nil"/>
              <w:left w:val="nil"/>
              <w:bottom w:val="single" w:sz="8" w:space="0" w:color="auto"/>
              <w:right w:val="single" w:sz="8" w:space="0" w:color="auto"/>
            </w:tcBorders>
            <w:shd w:val="clear" w:color="auto" w:fill="auto"/>
            <w:noWrap/>
            <w:vAlign w:val="center"/>
            <w:hideMark/>
          </w:tcPr>
          <w:p w14:paraId="14E04F78"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2100" w:type="dxa"/>
            <w:tcBorders>
              <w:top w:val="nil"/>
              <w:left w:val="nil"/>
              <w:bottom w:val="single" w:sz="8" w:space="0" w:color="auto"/>
              <w:right w:val="single" w:sz="8" w:space="0" w:color="auto"/>
            </w:tcBorders>
            <w:shd w:val="clear" w:color="auto" w:fill="auto"/>
            <w:noWrap/>
            <w:vAlign w:val="center"/>
            <w:hideMark/>
          </w:tcPr>
          <w:p w14:paraId="7C555A93"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1020" w:type="dxa"/>
            <w:tcBorders>
              <w:top w:val="nil"/>
              <w:left w:val="nil"/>
              <w:bottom w:val="single" w:sz="8" w:space="0" w:color="auto"/>
              <w:right w:val="single" w:sz="8" w:space="0" w:color="auto"/>
            </w:tcBorders>
            <w:shd w:val="clear" w:color="auto" w:fill="auto"/>
            <w:noWrap/>
            <w:vAlign w:val="center"/>
            <w:hideMark/>
          </w:tcPr>
          <w:p w14:paraId="7180AB24"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0,00%</w:t>
            </w:r>
          </w:p>
        </w:tc>
      </w:tr>
    </w:tbl>
    <w:p w14:paraId="4DBF4809" w14:textId="77777777" w:rsidR="00396CB4" w:rsidRPr="00396CB4" w:rsidRDefault="00AD32EB" w:rsidP="00396CB4">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756467">
        <w:rPr>
          <w:rFonts w:eastAsia="Times New Roman" w:cs="Calibri"/>
          <w:color w:val="000000"/>
          <w:lang w:eastAsia="es-CR"/>
        </w:rPr>
        <w:instrText xml:space="preserve">Excel.SheetMacroEnabled.12 "C:\\Users\\gcordero\\Downloads\\Notas diciembre 2024\\Formato_Notas_EEFF_Vinculadas_2024\\Formato_Notas_EEFF_Vinculadas_2024\\15603_T04_2024_Anexo_Estado_Notas_Contables_Vinculadas.xlsm" NOTAS_POR_CUENTA!F393C8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77058495" w14:textId="77777777" w:rsidR="00396CB4" w:rsidRPr="00396CB4" w:rsidRDefault="00396CB4" w:rsidP="00396CB4">
      <w:pPr>
        <w:rPr>
          <w:rFonts w:eastAsia="Times New Roman" w:cs="Calibri"/>
          <w:color w:val="000000"/>
          <w:lang w:eastAsia="es-CR"/>
        </w:rPr>
      </w:pPr>
      <w:r w:rsidRPr="00396CB4">
        <w:rPr>
          <w:rFonts w:eastAsia="Times New Roman" w:cs="Calibri"/>
          <w:color w:val="000000"/>
          <w:lang w:eastAsia="es-CR"/>
        </w:rPr>
        <w:t>La cuenta Otros gastos financieros, representa el 0,00% del total del Gastos, que comparado al periodo anterior genera una variación absoluta de 0 000,00 que corresponde a un Aumento del 0,00% de recursos disponibles.</w:t>
      </w:r>
    </w:p>
    <w:p w14:paraId="5D0D7712" w14:textId="000A4737" w:rsidR="00692DC8" w:rsidRPr="00692DC8" w:rsidRDefault="00AD32EB" w:rsidP="00AD32EB">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689DCD12" w14:textId="77777777" w:rsidR="00692DC8" w:rsidRPr="00692DC8" w:rsidRDefault="00692DC8" w:rsidP="00B21D69">
      <w:pPr>
        <w:rPr>
          <w:i/>
        </w:rPr>
      </w:pPr>
    </w:p>
    <w:p w14:paraId="08D11C16" w14:textId="77777777" w:rsidR="00692DC8" w:rsidRPr="00692DC8" w:rsidRDefault="00692DC8" w:rsidP="00B21D69">
      <w:pPr>
        <w:pStyle w:val="Ttulo3"/>
        <w:spacing w:after="240"/>
        <w:rPr>
          <w:rFonts w:eastAsia="Calibri"/>
          <w:lang w:eastAsia="es-CR"/>
        </w:rPr>
      </w:pPr>
      <w:bookmarkStart w:id="974" w:name="_Toc82769054"/>
      <w:bookmarkStart w:id="975" w:name="_Toc189804918"/>
      <w:r w:rsidRPr="00692DC8">
        <w:rPr>
          <w:rFonts w:eastAsia="Calibri"/>
          <w:lang w:eastAsia="es-CR"/>
        </w:rPr>
        <w:t>5.3 GASTOS Y RESULTADOS NEGATIVOS POR VENTAS</w:t>
      </w:r>
      <w:bookmarkEnd w:id="974"/>
      <w:bookmarkEnd w:id="975"/>
    </w:p>
    <w:p w14:paraId="592F24B9" w14:textId="77777777" w:rsidR="00692DC8" w:rsidRPr="00692DC8" w:rsidRDefault="00692DC8" w:rsidP="00B21D69">
      <w:pPr>
        <w:pStyle w:val="Ttulo4"/>
        <w:spacing w:after="240"/>
        <w:rPr>
          <w:rFonts w:eastAsia="Times New Roman"/>
        </w:rPr>
      </w:pPr>
      <w:bookmarkStart w:id="976" w:name="_Toc14344971"/>
      <w:bookmarkStart w:id="977" w:name="_Toc33601336"/>
      <w:bookmarkStart w:id="978" w:name="_Toc82769055"/>
      <w:bookmarkStart w:id="979" w:name="_Toc189804919"/>
      <w:r w:rsidRPr="00692DC8">
        <w:rPr>
          <w:rFonts w:eastAsia="Times New Roman"/>
        </w:rPr>
        <w:t>NOTA N° 6</w:t>
      </w:r>
      <w:bookmarkEnd w:id="976"/>
      <w:bookmarkEnd w:id="977"/>
      <w:bookmarkEnd w:id="978"/>
      <w:r w:rsidRPr="00692DC8">
        <w:rPr>
          <w:rFonts w:eastAsia="Times New Roman"/>
        </w:rPr>
        <w:t>9</w:t>
      </w:r>
      <w:bookmarkEnd w:id="979"/>
    </w:p>
    <w:p w14:paraId="152FFBEA" w14:textId="77777777" w:rsidR="00396CB4" w:rsidRDefault="00692DC8" w:rsidP="00DE143D">
      <w:pPr>
        <w:spacing w:before="240"/>
        <w:rPr>
          <w:rFonts w:asciiTheme="minorHAnsi" w:hAnsiTheme="minorHAnsi"/>
          <w:sz w:val="22"/>
        </w:rPr>
      </w:pPr>
      <w:bookmarkStart w:id="980" w:name="_Toc14344972"/>
      <w:bookmarkStart w:id="981" w:name="_Toc33601337"/>
      <w:bookmarkStart w:id="982" w:name="_Toc82769056"/>
      <w:r w:rsidRPr="00692DC8">
        <w:rPr>
          <w:rFonts w:eastAsia="Times New Roman"/>
        </w:rPr>
        <w:t>Costo de ventas de bienes y servicios</w:t>
      </w:r>
      <w:bookmarkEnd w:id="980"/>
      <w:bookmarkEnd w:id="981"/>
      <w:bookmarkEnd w:id="982"/>
      <w:r w:rsidR="00495CDD">
        <w:rPr>
          <w:rFonts w:eastAsiaTheme="majorEastAsia" w:cstheme="majorBidi"/>
          <w:iCs/>
          <w:lang w:val="es-ES"/>
        </w:rPr>
        <w:fldChar w:fldCharType="begin"/>
      </w:r>
      <w:r w:rsidR="00495CDD">
        <w:rPr>
          <w:lang w:val="es-ES"/>
        </w:rPr>
        <w:instrText xml:space="preserve"> LINK </w:instrText>
      </w:r>
      <w:r w:rsidR="00756467">
        <w:rPr>
          <w:lang w:val="es-ES"/>
        </w:rPr>
        <w:instrText xml:space="preserve">Excel.SheetMacroEnabled.12 "C:\\Users\\gcordero\\Downloads\\Notas diciembre 2024\\Formato_Notas_EEFF_Vinculadas_2024\\Formato_Notas_EEFF_Vinculadas_2024\\15603_T04_2024_Anexo_Estado_Notas_Contables_Vinculadas.xlsm" NOTAS_POR_CUENTA!F395C1:F397C6 </w:instrText>
      </w:r>
      <w:r w:rsidR="00495CDD">
        <w:rPr>
          <w:lang w:val="es-ES"/>
        </w:rPr>
        <w:instrText xml:space="preserve">\a \f 4 \h </w:instrText>
      </w:r>
      <w:r w:rsidR="00495CDD">
        <w:rPr>
          <w:b/>
          <w:lang w:val="es-ES"/>
        </w:rPr>
        <w:fldChar w:fldCharType="separate"/>
      </w:r>
    </w:p>
    <w:tbl>
      <w:tblPr>
        <w:tblW w:w="9600" w:type="dxa"/>
        <w:tblCellMar>
          <w:left w:w="70" w:type="dxa"/>
          <w:right w:w="70" w:type="dxa"/>
        </w:tblCellMar>
        <w:tblLook w:val="04A0" w:firstRow="1" w:lastRow="0" w:firstColumn="1" w:lastColumn="0" w:noHBand="0" w:noVBand="1"/>
      </w:tblPr>
      <w:tblGrid>
        <w:gridCol w:w="1286"/>
        <w:gridCol w:w="2594"/>
        <w:gridCol w:w="500"/>
        <w:gridCol w:w="2100"/>
        <w:gridCol w:w="2100"/>
        <w:gridCol w:w="1020"/>
      </w:tblGrid>
      <w:tr w:rsidR="00396CB4" w:rsidRPr="00396CB4" w14:paraId="7948D114" w14:textId="77777777" w:rsidTr="00396CB4">
        <w:trPr>
          <w:divId w:val="2019770309"/>
          <w:trHeight w:val="330"/>
        </w:trPr>
        <w:tc>
          <w:tcPr>
            <w:tcW w:w="128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1F0B145" w14:textId="56D06E9A" w:rsidR="00396CB4" w:rsidRPr="00396CB4" w:rsidRDefault="00396CB4" w:rsidP="00396CB4">
            <w:pP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259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9CD6B3F"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8983F28"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3BBB141"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28BEEA5"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1D4EF63A"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38000D20" w14:textId="77777777" w:rsidTr="00396CB4">
        <w:trPr>
          <w:divId w:val="2019770309"/>
          <w:trHeight w:val="330"/>
        </w:trPr>
        <w:tc>
          <w:tcPr>
            <w:tcW w:w="1286" w:type="dxa"/>
            <w:vMerge/>
            <w:tcBorders>
              <w:top w:val="single" w:sz="8" w:space="0" w:color="auto"/>
              <w:left w:val="single" w:sz="8" w:space="0" w:color="auto"/>
              <w:bottom w:val="single" w:sz="8" w:space="0" w:color="000000"/>
              <w:right w:val="single" w:sz="8" w:space="0" w:color="auto"/>
            </w:tcBorders>
            <w:vAlign w:val="center"/>
            <w:hideMark/>
          </w:tcPr>
          <w:p w14:paraId="7989ED70"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594" w:type="dxa"/>
            <w:vMerge/>
            <w:tcBorders>
              <w:top w:val="single" w:sz="8" w:space="0" w:color="auto"/>
              <w:left w:val="single" w:sz="8" w:space="0" w:color="auto"/>
              <w:bottom w:val="single" w:sz="8" w:space="0" w:color="000000"/>
              <w:right w:val="single" w:sz="8" w:space="0" w:color="auto"/>
            </w:tcBorders>
            <w:vAlign w:val="center"/>
            <w:hideMark/>
          </w:tcPr>
          <w:p w14:paraId="3B66E796"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75CF2FBE"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28678C74"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2783FE81"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0DC775D4"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359957F7" w14:textId="77777777" w:rsidTr="00396CB4">
        <w:trPr>
          <w:divId w:val="2019770309"/>
          <w:trHeight w:val="330"/>
        </w:trPr>
        <w:tc>
          <w:tcPr>
            <w:tcW w:w="1286" w:type="dxa"/>
            <w:tcBorders>
              <w:top w:val="nil"/>
              <w:left w:val="single" w:sz="8" w:space="0" w:color="auto"/>
              <w:bottom w:val="single" w:sz="8" w:space="0" w:color="auto"/>
              <w:right w:val="single" w:sz="8" w:space="0" w:color="auto"/>
            </w:tcBorders>
            <w:shd w:val="clear" w:color="auto" w:fill="auto"/>
            <w:noWrap/>
            <w:vAlign w:val="center"/>
            <w:hideMark/>
          </w:tcPr>
          <w:p w14:paraId="7504468F"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5.3.1.</w:t>
            </w:r>
          </w:p>
        </w:tc>
        <w:tc>
          <w:tcPr>
            <w:tcW w:w="2594" w:type="dxa"/>
            <w:tcBorders>
              <w:top w:val="nil"/>
              <w:left w:val="nil"/>
              <w:bottom w:val="single" w:sz="8" w:space="0" w:color="auto"/>
              <w:right w:val="single" w:sz="8" w:space="0" w:color="auto"/>
            </w:tcBorders>
            <w:shd w:val="clear" w:color="auto" w:fill="auto"/>
            <w:vAlign w:val="center"/>
            <w:hideMark/>
          </w:tcPr>
          <w:p w14:paraId="4013D628" w14:textId="77777777" w:rsidR="00396CB4" w:rsidRPr="00396CB4" w:rsidRDefault="00396CB4" w:rsidP="00396CB4">
            <w:pPr>
              <w:spacing w:after="0" w:line="240" w:lineRule="auto"/>
              <w:rPr>
                <w:rFonts w:eastAsia="Times New Roman" w:cs="Calibri"/>
                <w:b/>
                <w:bCs/>
                <w:color w:val="000000"/>
                <w:sz w:val="18"/>
                <w:szCs w:val="18"/>
                <w:lang w:eastAsia="es-CR"/>
              </w:rPr>
            </w:pPr>
            <w:r w:rsidRPr="00396CB4">
              <w:rPr>
                <w:rFonts w:eastAsia="Times New Roman" w:cs="Calibri"/>
                <w:b/>
                <w:bCs/>
                <w:color w:val="000000"/>
                <w:sz w:val="18"/>
                <w:szCs w:val="18"/>
                <w:lang w:eastAsia="es-CR"/>
              </w:rPr>
              <w:t>Costo de ventas de bienes y servicios</w:t>
            </w:r>
          </w:p>
        </w:tc>
        <w:tc>
          <w:tcPr>
            <w:tcW w:w="500" w:type="dxa"/>
            <w:tcBorders>
              <w:top w:val="nil"/>
              <w:left w:val="nil"/>
              <w:bottom w:val="single" w:sz="8" w:space="0" w:color="auto"/>
              <w:right w:val="single" w:sz="8" w:space="0" w:color="auto"/>
            </w:tcBorders>
            <w:shd w:val="clear" w:color="auto" w:fill="auto"/>
            <w:noWrap/>
            <w:vAlign w:val="center"/>
            <w:hideMark/>
          </w:tcPr>
          <w:p w14:paraId="540BA043"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69</w:t>
            </w:r>
          </w:p>
        </w:tc>
        <w:tc>
          <w:tcPr>
            <w:tcW w:w="2100" w:type="dxa"/>
            <w:tcBorders>
              <w:top w:val="nil"/>
              <w:left w:val="nil"/>
              <w:bottom w:val="single" w:sz="8" w:space="0" w:color="auto"/>
              <w:right w:val="single" w:sz="8" w:space="0" w:color="auto"/>
            </w:tcBorders>
            <w:shd w:val="clear" w:color="auto" w:fill="auto"/>
            <w:noWrap/>
            <w:vAlign w:val="center"/>
            <w:hideMark/>
          </w:tcPr>
          <w:p w14:paraId="5D0FFB1C"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2100" w:type="dxa"/>
            <w:tcBorders>
              <w:top w:val="nil"/>
              <w:left w:val="nil"/>
              <w:bottom w:val="single" w:sz="8" w:space="0" w:color="auto"/>
              <w:right w:val="single" w:sz="8" w:space="0" w:color="auto"/>
            </w:tcBorders>
            <w:shd w:val="clear" w:color="auto" w:fill="auto"/>
            <w:noWrap/>
            <w:vAlign w:val="center"/>
            <w:hideMark/>
          </w:tcPr>
          <w:p w14:paraId="49215A08"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1020" w:type="dxa"/>
            <w:tcBorders>
              <w:top w:val="nil"/>
              <w:left w:val="nil"/>
              <w:bottom w:val="single" w:sz="8" w:space="0" w:color="auto"/>
              <w:right w:val="single" w:sz="8" w:space="0" w:color="auto"/>
            </w:tcBorders>
            <w:shd w:val="clear" w:color="auto" w:fill="auto"/>
            <w:noWrap/>
            <w:vAlign w:val="center"/>
            <w:hideMark/>
          </w:tcPr>
          <w:p w14:paraId="1F87BE39"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0,00%</w:t>
            </w:r>
          </w:p>
        </w:tc>
      </w:tr>
    </w:tbl>
    <w:p w14:paraId="586184CD" w14:textId="77777777" w:rsidR="00567780" w:rsidRDefault="00495CDD" w:rsidP="00DE143D">
      <w:pPr>
        <w:spacing w:before="240"/>
        <w:rPr>
          <w:b/>
          <w:bCs/>
          <w:lang w:val="es-ES"/>
        </w:rPr>
      </w:pPr>
      <w:r>
        <w:rPr>
          <w:b/>
          <w:bCs/>
          <w:lang w:val="es-ES"/>
        </w:rPr>
        <w:fldChar w:fldCharType="end"/>
      </w:r>
    </w:p>
    <w:p w14:paraId="5132F602" w14:textId="77777777" w:rsidR="00567780" w:rsidRDefault="00567780" w:rsidP="00DE143D">
      <w:pPr>
        <w:spacing w:before="240"/>
        <w:rPr>
          <w:b/>
          <w:bCs/>
          <w:lang w:val="es-ES"/>
        </w:rPr>
      </w:pPr>
    </w:p>
    <w:p w14:paraId="7354EE64" w14:textId="77777777" w:rsidR="00396CB4" w:rsidRPr="00396CB4" w:rsidRDefault="00692DC8" w:rsidP="00396CB4">
      <w:pPr>
        <w:spacing w:before="240"/>
        <w:rPr>
          <w:b/>
          <w:bCs/>
          <w:lang w:val="es-ES"/>
        </w:rPr>
      </w:pPr>
      <w:r w:rsidRPr="00692DC8">
        <w:rPr>
          <w:b/>
          <w:bCs/>
          <w:lang w:val="es-ES"/>
        </w:rPr>
        <w:lastRenderedPageBreak/>
        <w:t>Revelación</w:t>
      </w:r>
      <w:r w:rsidRPr="00692DC8">
        <w:rPr>
          <w:lang w:val="es-ES"/>
        </w:rPr>
        <w:t xml:space="preserve">: </w:t>
      </w:r>
      <w:r w:rsidR="00495CDD">
        <w:rPr>
          <w:rFonts w:eastAsia="Times New Roman" w:cs="Calibri"/>
          <w:color w:val="000000"/>
          <w:lang w:eastAsia="es-CR"/>
        </w:rPr>
        <w:fldChar w:fldCharType="begin"/>
      </w:r>
      <w:r w:rsidR="00495CDD">
        <w:rPr>
          <w:rFonts w:eastAsia="Times New Roman" w:cs="Calibri"/>
          <w:color w:val="000000"/>
          <w:lang w:eastAsia="es-CR"/>
        </w:rPr>
        <w:instrText xml:space="preserve"> LINK </w:instrText>
      </w:r>
      <w:r w:rsidR="00756467">
        <w:rPr>
          <w:rFonts w:eastAsia="Times New Roman" w:cs="Calibri"/>
          <w:color w:val="000000"/>
          <w:lang w:eastAsia="es-CR"/>
        </w:rPr>
        <w:instrText xml:space="preserve">Excel.SheetMacroEnabled.12 "C:\\Users\\gcordero\\Downloads\\Notas diciembre 2024\\Formato_Notas_EEFF_Vinculadas_2024\\Formato_Notas_EEFF_Vinculadas_2024\\15603_T04_2024_Anexo_Estado_Notas_Contables_Vinculadas.xlsm" NOTAS_POR_CUENTA!F397C8 </w:instrText>
      </w:r>
      <w:r w:rsidR="00495CDD">
        <w:rPr>
          <w:rFonts w:eastAsia="Times New Roman" w:cs="Calibri"/>
          <w:color w:val="000000"/>
          <w:lang w:eastAsia="es-CR"/>
        </w:rPr>
        <w:instrText xml:space="preserve">\a \f 5 \h  \* MERGEFORMAT </w:instrText>
      </w:r>
      <w:r w:rsidR="00495CDD">
        <w:rPr>
          <w:rFonts w:eastAsia="Times New Roman" w:cs="Calibri"/>
          <w:color w:val="000000"/>
          <w:lang w:eastAsia="es-CR"/>
        </w:rPr>
        <w:fldChar w:fldCharType="separate"/>
      </w:r>
    </w:p>
    <w:p w14:paraId="2AFADE86" w14:textId="77777777" w:rsidR="00396CB4" w:rsidRPr="00396CB4" w:rsidRDefault="00396CB4" w:rsidP="00396CB4">
      <w:pPr>
        <w:rPr>
          <w:rFonts w:eastAsia="Times New Roman" w:cs="Calibri"/>
          <w:color w:val="000000"/>
          <w:lang w:eastAsia="es-CR"/>
        </w:rPr>
      </w:pPr>
      <w:r w:rsidRPr="00396CB4">
        <w:rPr>
          <w:rFonts w:eastAsia="Times New Roman" w:cs="Calibri"/>
          <w:color w:val="000000"/>
          <w:lang w:eastAsia="es-CR"/>
        </w:rPr>
        <w:t>La cuenta Costo de ventas de bienes y servicios, representa el 0,00% del total del Gastos, que comparado al periodo anterior genera una variación absoluta de 0 000,00 que corresponde a un Aumento del 0,00% de recursos disponibles.</w:t>
      </w:r>
    </w:p>
    <w:p w14:paraId="63E0445D" w14:textId="54284EA5" w:rsidR="00422EDF" w:rsidRPr="00305662" w:rsidRDefault="00495CDD" w:rsidP="00B21D69">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bookmarkStart w:id="983" w:name="_Toc14344975"/>
      <w:bookmarkStart w:id="984" w:name="_Toc33601338"/>
      <w:bookmarkStart w:id="985" w:name="_Toc82769057"/>
    </w:p>
    <w:p w14:paraId="50558935" w14:textId="77777777" w:rsidR="00692DC8" w:rsidRPr="00692DC8" w:rsidRDefault="00692DC8" w:rsidP="00B21D69">
      <w:pPr>
        <w:pStyle w:val="Ttulo4"/>
        <w:spacing w:after="240"/>
        <w:rPr>
          <w:rFonts w:eastAsia="Times New Roman"/>
        </w:rPr>
      </w:pPr>
      <w:bookmarkStart w:id="986" w:name="_Toc189804920"/>
      <w:r w:rsidRPr="00692DC8">
        <w:rPr>
          <w:rFonts w:eastAsia="Times New Roman"/>
        </w:rPr>
        <w:t xml:space="preserve">NOTA N° </w:t>
      </w:r>
      <w:bookmarkEnd w:id="983"/>
      <w:bookmarkEnd w:id="984"/>
      <w:bookmarkEnd w:id="985"/>
      <w:r w:rsidRPr="00692DC8">
        <w:rPr>
          <w:rFonts w:eastAsia="Times New Roman"/>
        </w:rPr>
        <w:t>70</w:t>
      </w:r>
      <w:bookmarkEnd w:id="986"/>
    </w:p>
    <w:p w14:paraId="62DAA1C8" w14:textId="77777777" w:rsidR="00396CB4" w:rsidRDefault="00692DC8" w:rsidP="00F51D42">
      <w:pPr>
        <w:spacing w:before="240"/>
        <w:rPr>
          <w:rFonts w:asciiTheme="minorHAnsi" w:hAnsiTheme="minorHAnsi"/>
          <w:sz w:val="22"/>
        </w:rPr>
      </w:pPr>
      <w:bookmarkStart w:id="987" w:name="_Toc14344976"/>
      <w:bookmarkStart w:id="988" w:name="_Toc33601339"/>
      <w:bookmarkStart w:id="989" w:name="_Toc82769058"/>
      <w:r w:rsidRPr="00692DC8">
        <w:rPr>
          <w:rFonts w:eastAsia="Times New Roman"/>
        </w:rPr>
        <w:t>Resultados negativos por ventas de inversiones</w:t>
      </w:r>
      <w:bookmarkStart w:id="990" w:name="_Toc14344979"/>
      <w:bookmarkEnd w:id="987"/>
      <w:bookmarkEnd w:id="988"/>
      <w:bookmarkEnd w:id="989"/>
      <w:r w:rsidR="00495CDD">
        <w:rPr>
          <w:rFonts w:eastAsiaTheme="majorEastAsia" w:cstheme="majorBidi"/>
          <w:iCs/>
          <w:lang w:val="es-ES"/>
        </w:rPr>
        <w:fldChar w:fldCharType="begin"/>
      </w:r>
      <w:r w:rsidR="00495CDD">
        <w:rPr>
          <w:lang w:val="es-ES"/>
        </w:rPr>
        <w:instrText xml:space="preserve"> LINK </w:instrText>
      </w:r>
      <w:r w:rsidR="00756467">
        <w:rPr>
          <w:lang w:val="es-ES"/>
        </w:rPr>
        <w:instrText xml:space="preserve">Excel.SheetMacroEnabled.12 "C:\\Users\\gcordero\\Downloads\\Notas diciembre 2024\\Formato_Notas_EEFF_Vinculadas_2024\\Formato_Notas_EEFF_Vinculadas_2024\\15603_T04_2024_Anexo_Estado_Notas_Contables_Vinculadas.xlsm" NOTAS_POR_CUENTA!F399C1:F401C6 </w:instrText>
      </w:r>
      <w:r w:rsidR="00495CDD">
        <w:rPr>
          <w:lang w:val="es-ES"/>
        </w:rPr>
        <w:instrText xml:space="preserve">\a \f 4 \h </w:instrText>
      </w:r>
      <w:r w:rsidR="00495CDD">
        <w:rPr>
          <w:b/>
          <w:lang w:val="es-ES"/>
        </w:rPr>
        <w:fldChar w:fldCharType="separate"/>
      </w:r>
    </w:p>
    <w:tbl>
      <w:tblPr>
        <w:tblW w:w="9600" w:type="dxa"/>
        <w:tblCellMar>
          <w:left w:w="70" w:type="dxa"/>
          <w:right w:w="70" w:type="dxa"/>
        </w:tblCellMar>
        <w:tblLook w:val="04A0" w:firstRow="1" w:lastRow="0" w:firstColumn="1" w:lastColumn="0" w:noHBand="0" w:noVBand="1"/>
      </w:tblPr>
      <w:tblGrid>
        <w:gridCol w:w="1516"/>
        <w:gridCol w:w="2364"/>
        <w:gridCol w:w="500"/>
        <w:gridCol w:w="2100"/>
        <w:gridCol w:w="2100"/>
        <w:gridCol w:w="1020"/>
      </w:tblGrid>
      <w:tr w:rsidR="00396CB4" w:rsidRPr="00396CB4" w14:paraId="4394A9F4" w14:textId="77777777" w:rsidTr="00396CB4">
        <w:trPr>
          <w:divId w:val="221790218"/>
          <w:trHeight w:val="330"/>
        </w:trPr>
        <w:tc>
          <w:tcPr>
            <w:tcW w:w="151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B667685" w14:textId="6B16C042" w:rsidR="00396CB4" w:rsidRPr="00396CB4" w:rsidRDefault="00396CB4" w:rsidP="00396CB4">
            <w:pP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236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4DDC7A6"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B41048B"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8582F25"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A1598CD"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4993BBB3"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5DBD7629" w14:textId="77777777" w:rsidTr="00396CB4">
        <w:trPr>
          <w:divId w:val="221790218"/>
          <w:trHeight w:val="330"/>
        </w:trPr>
        <w:tc>
          <w:tcPr>
            <w:tcW w:w="1516" w:type="dxa"/>
            <w:vMerge/>
            <w:tcBorders>
              <w:top w:val="single" w:sz="8" w:space="0" w:color="auto"/>
              <w:left w:val="single" w:sz="8" w:space="0" w:color="auto"/>
              <w:bottom w:val="single" w:sz="8" w:space="0" w:color="000000"/>
              <w:right w:val="single" w:sz="8" w:space="0" w:color="auto"/>
            </w:tcBorders>
            <w:vAlign w:val="center"/>
            <w:hideMark/>
          </w:tcPr>
          <w:p w14:paraId="3948CD02"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364" w:type="dxa"/>
            <w:vMerge/>
            <w:tcBorders>
              <w:top w:val="single" w:sz="8" w:space="0" w:color="auto"/>
              <w:left w:val="single" w:sz="8" w:space="0" w:color="auto"/>
              <w:bottom w:val="single" w:sz="8" w:space="0" w:color="000000"/>
              <w:right w:val="single" w:sz="8" w:space="0" w:color="auto"/>
            </w:tcBorders>
            <w:vAlign w:val="center"/>
            <w:hideMark/>
          </w:tcPr>
          <w:p w14:paraId="38ED97A0"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0DDE9D0F"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303C0A50"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0A646BF1"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498DBDF7"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7B9A575F" w14:textId="77777777" w:rsidTr="00396CB4">
        <w:trPr>
          <w:divId w:val="221790218"/>
          <w:trHeight w:val="555"/>
        </w:trPr>
        <w:tc>
          <w:tcPr>
            <w:tcW w:w="1516" w:type="dxa"/>
            <w:tcBorders>
              <w:top w:val="nil"/>
              <w:left w:val="single" w:sz="8" w:space="0" w:color="auto"/>
              <w:bottom w:val="single" w:sz="8" w:space="0" w:color="auto"/>
              <w:right w:val="single" w:sz="8" w:space="0" w:color="auto"/>
            </w:tcBorders>
            <w:shd w:val="clear" w:color="auto" w:fill="auto"/>
            <w:noWrap/>
            <w:vAlign w:val="center"/>
            <w:hideMark/>
          </w:tcPr>
          <w:p w14:paraId="486ADD08"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5.3.2.</w:t>
            </w:r>
          </w:p>
        </w:tc>
        <w:tc>
          <w:tcPr>
            <w:tcW w:w="2364" w:type="dxa"/>
            <w:tcBorders>
              <w:top w:val="nil"/>
              <w:left w:val="nil"/>
              <w:bottom w:val="single" w:sz="8" w:space="0" w:color="auto"/>
              <w:right w:val="single" w:sz="8" w:space="0" w:color="auto"/>
            </w:tcBorders>
            <w:shd w:val="clear" w:color="auto" w:fill="auto"/>
            <w:vAlign w:val="center"/>
            <w:hideMark/>
          </w:tcPr>
          <w:p w14:paraId="46AE6974" w14:textId="77777777" w:rsidR="00396CB4" w:rsidRPr="00396CB4" w:rsidRDefault="00396CB4" w:rsidP="00396CB4">
            <w:pPr>
              <w:spacing w:after="0" w:line="240" w:lineRule="auto"/>
              <w:rPr>
                <w:rFonts w:eastAsia="Times New Roman" w:cs="Calibri"/>
                <w:b/>
                <w:bCs/>
                <w:color w:val="000000"/>
                <w:sz w:val="18"/>
                <w:szCs w:val="18"/>
                <w:lang w:eastAsia="es-CR"/>
              </w:rPr>
            </w:pPr>
            <w:r w:rsidRPr="00396CB4">
              <w:rPr>
                <w:rFonts w:eastAsia="Times New Roman" w:cs="Calibri"/>
                <w:b/>
                <w:bCs/>
                <w:color w:val="000000"/>
                <w:sz w:val="18"/>
                <w:szCs w:val="18"/>
                <w:lang w:eastAsia="es-CR"/>
              </w:rPr>
              <w:t>Resultados negativos por ventas de inversiones</w:t>
            </w:r>
          </w:p>
        </w:tc>
        <w:tc>
          <w:tcPr>
            <w:tcW w:w="500" w:type="dxa"/>
            <w:tcBorders>
              <w:top w:val="nil"/>
              <w:left w:val="nil"/>
              <w:bottom w:val="single" w:sz="8" w:space="0" w:color="auto"/>
              <w:right w:val="single" w:sz="8" w:space="0" w:color="auto"/>
            </w:tcBorders>
            <w:shd w:val="clear" w:color="auto" w:fill="auto"/>
            <w:noWrap/>
            <w:vAlign w:val="center"/>
            <w:hideMark/>
          </w:tcPr>
          <w:p w14:paraId="2C10500C"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70</w:t>
            </w:r>
          </w:p>
        </w:tc>
        <w:tc>
          <w:tcPr>
            <w:tcW w:w="2100" w:type="dxa"/>
            <w:tcBorders>
              <w:top w:val="nil"/>
              <w:left w:val="nil"/>
              <w:bottom w:val="single" w:sz="8" w:space="0" w:color="auto"/>
              <w:right w:val="single" w:sz="8" w:space="0" w:color="auto"/>
            </w:tcBorders>
            <w:shd w:val="clear" w:color="auto" w:fill="auto"/>
            <w:noWrap/>
            <w:vAlign w:val="center"/>
            <w:hideMark/>
          </w:tcPr>
          <w:p w14:paraId="08DBAC16"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2100" w:type="dxa"/>
            <w:tcBorders>
              <w:top w:val="nil"/>
              <w:left w:val="nil"/>
              <w:bottom w:val="single" w:sz="8" w:space="0" w:color="auto"/>
              <w:right w:val="single" w:sz="8" w:space="0" w:color="auto"/>
            </w:tcBorders>
            <w:shd w:val="clear" w:color="auto" w:fill="auto"/>
            <w:noWrap/>
            <w:vAlign w:val="center"/>
            <w:hideMark/>
          </w:tcPr>
          <w:p w14:paraId="6E6585A8"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1020" w:type="dxa"/>
            <w:tcBorders>
              <w:top w:val="nil"/>
              <w:left w:val="nil"/>
              <w:bottom w:val="single" w:sz="8" w:space="0" w:color="auto"/>
              <w:right w:val="single" w:sz="8" w:space="0" w:color="auto"/>
            </w:tcBorders>
            <w:shd w:val="clear" w:color="auto" w:fill="auto"/>
            <w:noWrap/>
            <w:vAlign w:val="center"/>
            <w:hideMark/>
          </w:tcPr>
          <w:p w14:paraId="47C56AAD"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0,00%</w:t>
            </w:r>
          </w:p>
        </w:tc>
      </w:tr>
    </w:tbl>
    <w:p w14:paraId="47857CA6" w14:textId="77777777" w:rsidR="00396CB4" w:rsidRPr="00396CB4" w:rsidRDefault="00495CDD" w:rsidP="00396CB4">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756467">
        <w:rPr>
          <w:rFonts w:eastAsia="Times New Roman" w:cs="Calibri"/>
          <w:color w:val="000000"/>
          <w:lang w:eastAsia="es-CR"/>
        </w:rPr>
        <w:instrText xml:space="preserve">Excel.SheetMacroEnabled.12 "C:\\Users\\gcordero\\Downloads\\Notas diciembre 2024\\Formato_Notas_EEFF_Vinculadas_2024\\Formato_Notas_EEFF_Vinculadas_2024\\15603_T04_2024_Anexo_Estado_Notas_Contables_Vinculadas.xlsm" NOTAS_POR_CUENTA!F401C8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18DA6552" w14:textId="77777777" w:rsidR="00396CB4" w:rsidRPr="00396CB4" w:rsidRDefault="00396CB4" w:rsidP="00396CB4">
      <w:pPr>
        <w:rPr>
          <w:rFonts w:eastAsia="Times New Roman" w:cs="Calibri"/>
          <w:color w:val="000000"/>
          <w:lang w:eastAsia="es-CR"/>
        </w:rPr>
      </w:pPr>
      <w:r w:rsidRPr="00396CB4">
        <w:rPr>
          <w:rFonts w:eastAsia="Times New Roman" w:cs="Calibri"/>
          <w:color w:val="000000"/>
          <w:lang w:eastAsia="es-CR"/>
        </w:rPr>
        <w:t>La cuenta Resultados negativos por ventas de inversiones, representa el 0,00% del total del Gastos, que comparado al periodo anterior genera una variación absoluta de 0 000,00 que corresponde a un Aumento del 0,00% de recursos disponibles.</w:t>
      </w:r>
    </w:p>
    <w:p w14:paraId="7A6562BF" w14:textId="3F123892" w:rsidR="00692DC8" w:rsidRPr="00692DC8" w:rsidRDefault="00495CDD" w:rsidP="00495CDD">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1E8EB967" w14:textId="77777777" w:rsidR="00B21D69" w:rsidRPr="00692DC8" w:rsidRDefault="00B21D69" w:rsidP="00B21D69">
      <w:pPr>
        <w:rPr>
          <w:rFonts w:eastAsiaTheme="minorEastAsia" w:cs="Arial Narrow"/>
          <w:color w:val="000000"/>
          <w:lang w:eastAsia="es-CR"/>
        </w:rPr>
      </w:pPr>
    </w:p>
    <w:p w14:paraId="23719997" w14:textId="77777777" w:rsidR="00692DC8" w:rsidRPr="00692DC8" w:rsidRDefault="00692DC8" w:rsidP="00E3707A">
      <w:pPr>
        <w:pStyle w:val="Ttulo4"/>
        <w:spacing w:after="240"/>
        <w:rPr>
          <w:rFonts w:eastAsia="Times New Roman"/>
        </w:rPr>
      </w:pPr>
      <w:bookmarkStart w:id="991" w:name="_Toc33601340"/>
      <w:bookmarkStart w:id="992" w:name="_Toc82769059"/>
      <w:bookmarkStart w:id="993" w:name="_Toc189804921"/>
      <w:r w:rsidRPr="00692DC8">
        <w:rPr>
          <w:rFonts w:eastAsia="Times New Roman"/>
        </w:rPr>
        <w:t>NOTA N° 7</w:t>
      </w:r>
      <w:bookmarkEnd w:id="990"/>
      <w:bookmarkEnd w:id="991"/>
      <w:bookmarkEnd w:id="992"/>
      <w:r w:rsidRPr="00692DC8">
        <w:rPr>
          <w:rFonts w:eastAsia="Times New Roman"/>
        </w:rPr>
        <w:t>1</w:t>
      </w:r>
      <w:bookmarkEnd w:id="993"/>
    </w:p>
    <w:p w14:paraId="4C4232A8" w14:textId="77777777" w:rsidR="00396CB4" w:rsidRDefault="00692DC8" w:rsidP="00DE143D">
      <w:pPr>
        <w:spacing w:before="240"/>
        <w:rPr>
          <w:rFonts w:asciiTheme="minorHAnsi" w:hAnsiTheme="minorHAnsi"/>
          <w:sz w:val="22"/>
        </w:rPr>
      </w:pPr>
      <w:bookmarkStart w:id="994" w:name="_Toc14344980"/>
      <w:bookmarkStart w:id="995" w:name="_Toc33601341"/>
      <w:bookmarkStart w:id="996" w:name="_Toc82769060"/>
      <w:r w:rsidRPr="00692DC8">
        <w:rPr>
          <w:rFonts w:eastAsia="Times New Roman"/>
        </w:rPr>
        <w:t>Resultados negativos por ventas e intercambio de bienes</w:t>
      </w:r>
      <w:bookmarkEnd w:id="994"/>
      <w:bookmarkEnd w:id="995"/>
      <w:bookmarkEnd w:id="996"/>
      <w:r w:rsidR="00495CDD">
        <w:rPr>
          <w:rFonts w:eastAsiaTheme="majorEastAsia" w:cstheme="majorBidi"/>
          <w:iCs/>
          <w:lang w:val="es-ES"/>
        </w:rPr>
        <w:fldChar w:fldCharType="begin"/>
      </w:r>
      <w:r w:rsidR="00495CDD">
        <w:rPr>
          <w:lang w:val="es-ES"/>
        </w:rPr>
        <w:instrText xml:space="preserve"> LINK </w:instrText>
      </w:r>
      <w:r w:rsidR="00756467">
        <w:rPr>
          <w:lang w:val="es-ES"/>
        </w:rPr>
        <w:instrText xml:space="preserve">Excel.SheetMacroEnabled.12 "C:\\Users\\gcordero\\Downloads\\Notas diciembre 2024\\Formato_Notas_EEFF_Vinculadas_2024\\Formato_Notas_EEFF_Vinculadas_2024\\15603_T04_2024_Anexo_Estado_Notas_Contables_Vinculadas.xlsm" NOTAS_POR_CUENTA!F403C1:F405C6 </w:instrText>
      </w:r>
      <w:r w:rsidR="00495CDD">
        <w:rPr>
          <w:lang w:val="es-ES"/>
        </w:rPr>
        <w:instrText xml:space="preserve">\a \f 4 \h </w:instrText>
      </w:r>
      <w:r w:rsidR="00495CDD">
        <w:rPr>
          <w:b/>
          <w:lang w:val="es-ES"/>
        </w:rPr>
        <w:fldChar w:fldCharType="separate"/>
      </w:r>
    </w:p>
    <w:tbl>
      <w:tblPr>
        <w:tblW w:w="9600" w:type="dxa"/>
        <w:tblCellMar>
          <w:left w:w="70" w:type="dxa"/>
          <w:right w:w="70" w:type="dxa"/>
        </w:tblCellMar>
        <w:tblLook w:val="04A0" w:firstRow="1" w:lastRow="0" w:firstColumn="1" w:lastColumn="0" w:noHBand="0" w:noVBand="1"/>
      </w:tblPr>
      <w:tblGrid>
        <w:gridCol w:w="1101"/>
        <w:gridCol w:w="2779"/>
        <w:gridCol w:w="500"/>
        <w:gridCol w:w="2100"/>
        <w:gridCol w:w="2100"/>
        <w:gridCol w:w="1020"/>
      </w:tblGrid>
      <w:tr w:rsidR="00396CB4" w:rsidRPr="00396CB4" w14:paraId="6392BE25" w14:textId="77777777" w:rsidTr="00396CB4">
        <w:trPr>
          <w:divId w:val="1939215979"/>
          <w:trHeight w:val="330"/>
        </w:trPr>
        <w:tc>
          <w:tcPr>
            <w:tcW w:w="110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4191BC1" w14:textId="06858B6B" w:rsidR="00396CB4" w:rsidRPr="00396CB4" w:rsidRDefault="00396CB4" w:rsidP="00396CB4">
            <w:pP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2779"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24A666C"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B4816A1"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798C659"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AFE3672"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357BA5C1"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7F4F5409" w14:textId="77777777" w:rsidTr="00396CB4">
        <w:trPr>
          <w:divId w:val="1939215979"/>
          <w:trHeight w:val="330"/>
        </w:trPr>
        <w:tc>
          <w:tcPr>
            <w:tcW w:w="1101" w:type="dxa"/>
            <w:vMerge/>
            <w:tcBorders>
              <w:top w:val="single" w:sz="8" w:space="0" w:color="auto"/>
              <w:left w:val="single" w:sz="8" w:space="0" w:color="auto"/>
              <w:bottom w:val="single" w:sz="8" w:space="0" w:color="000000"/>
              <w:right w:val="single" w:sz="8" w:space="0" w:color="auto"/>
            </w:tcBorders>
            <w:vAlign w:val="center"/>
            <w:hideMark/>
          </w:tcPr>
          <w:p w14:paraId="0F9573E7"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779" w:type="dxa"/>
            <w:vMerge/>
            <w:tcBorders>
              <w:top w:val="single" w:sz="8" w:space="0" w:color="auto"/>
              <w:left w:val="single" w:sz="8" w:space="0" w:color="auto"/>
              <w:bottom w:val="single" w:sz="8" w:space="0" w:color="000000"/>
              <w:right w:val="single" w:sz="8" w:space="0" w:color="auto"/>
            </w:tcBorders>
            <w:vAlign w:val="center"/>
            <w:hideMark/>
          </w:tcPr>
          <w:p w14:paraId="738C0BF4"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5EB381D4"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27889B54"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3EBB9BEA"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3E5934E7"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50DB4226" w14:textId="77777777" w:rsidTr="00396CB4">
        <w:trPr>
          <w:divId w:val="1939215979"/>
          <w:trHeight w:val="555"/>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2157E079"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5.3.3.</w:t>
            </w:r>
          </w:p>
        </w:tc>
        <w:tc>
          <w:tcPr>
            <w:tcW w:w="2779" w:type="dxa"/>
            <w:tcBorders>
              <w:top w:val="nil"/>
              <w:left w:val="nil"/>
              <w:bottom w:val="single" w:sz="8" w:space="0" w:color="auto"/>
              <w:right w:val="single" w:sz="8" w:space="0" w:color="auto"/>
            </w:tcBorders>
            <w:shd w:val="clear" w:color="auto" w:fill="auto"/>
            <w:vAlign w:val="center"/>
            <w:hideMark/>
          </w:tcPr>
          <w:p w14:paraId="434B3788" w14:textId="77777777" w:rsidR="00396CB4" w:rsidRPr="00396CB4" w:rsidRDefault="00396CB4" w:rsidP="00396CB4">
            <w:pPr>
              <w:spacing w:after="0" w:line="240" w:lineRule="auto"/>
              <w:rPr>
                <w:rFonts w:eastAsia="Times New Roman" w:cs="Calibri"/>
                <w:b/>
                <w:bCs/>
                <w:color w:val="000000"/>
                <w:sz w:val="18"/>
                <w:szCs w:val="18"/>
                <w:lang w:eastAsia="es-CR"/>
              </w:rPr>
            </w:pPr>
            <w:r w:rsidRPr="00396CB4">
              <w:rPr>
                <w:rFonts w:eastAsia="Times New Roman" w:cs="Calibri"/>
                <w:b/>
                <w:bCs/>
                <w:color w:val="000000"/>
                <w:sz w:val="18"/>
                <w:szCs w:val="18"/>
                <w:lang w:eastAsia="es-CR"/>
              </w:rPr>
              <w:t>Resultados negativos por ventas e intercambio de bienes</w:t>
            </w:r>
          </w:p>
        </w:tc>
        <w:tc>
          <w:tcPr>
            <w:tcW w:w="500" w:type="dxa"/>
            <w:tcBorders>
              <w:top w:val="nil"/>
              <w:left w:val="nil"/>
              <w:bottom w:val="single" w:sz="8" w:space="0" w:color="auto"/>
              <w:right w:val="single" w:sz="8" w:space="0" w:color="auto"/>
            </w:tcBorders>
            <w:shd w:val="clear" w:color="auto" w:fill="auto"/>
            <w:noWrap/>
            <w:vAlign w:val="center"/>
            <w:hideMark/>
          </w:tcPr>
          <w:p w14:paraId="379E3160"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71</w:t>
            </w:r>
          </w:p>
        </w:tc>
        <w:tc>
          <w:tcPr>
            <w:tcW w:w="2100" w:type="dxa"/>
            <w:tcBorders>
              <w:top w:val="nil"/>
              <w:left w:val="nil"/>
              <w:bottom w:val="single" w:sz="8" w:space="0" w:color="auto"/>
              <w:right w:val="single" w:sz="8" w:space="0" w:color="auto"/>
            </w:tcBorders>
            <w:shd w:val="clear" w:color="auto" w:fill="auto"/>
            <w:noWrap/>
            <w:vAlign w:val="center"/>
            <w:hideMark/>
          </w:tcPr>
          <w:p w14:paraId="4AD908F7"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2100" w:type="dxa"/>
            <w:tcBorders>
              <w:top w:val="nil"/>
              <w:left w:val="nil"/>
              <w:bottom w:val="single" w:sz="8" w:space="0" w:color="auto"/>
              <w:right w:val="single" w:sz="8" w:space="0" w:color="auto"/>
            </w:tcBorders>
            <w:shd w:val="clear" w:color="auto" w:fill="auto"/>
            <w:noWrap/>
            <w:vAlign w:val="center"/>
            <w:hideMark/>
          </w:tcPr>
          <w:p w14:paraId="0339C473"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1020" w:type="dxa"/>
            <w:tcBorders>
              <w:top w:val="nil"/>
              <w:left w:val="nil"/>
              <w:bottom w:val="single" w:sz="8" w:space="0" w:color="auto"/>
              <w:right w:val="single" w:sz="8" w:space="0" w:color="auto"/>
            </w:tcBorders>
            <w:shd w:val="clear" w:color="auto" w:fill="auto"/>
            <w:noWrap/>
            <w:vAlign w:val="center"/>
            <w:hideMark/>
          </w:tcPr>
          <w:p w14:paraId="5A3225A6"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0,00%</w:t>
            </w:r>
          </w:p>
        </w:tc>
      </w:tr>
    </w:tbl>
    <w:p w14:paraId="48A7E533" w14:textId="77777777" w:rsidR="00567780" w:rsidRDefault="00495CDD" w:rsidP="00DE143D">
      <w:pPr>
        <w:spacing w:before="240"/>
        <w:rPr>
          <w:b/>
          <w:bCs/>
          <w:lang w:val="es-ES"/>
        </w:rPr>
      </w:pPr>
      <w:r>
        <w:rPr>
          <w:b/>
          <w:bCs/>
          <w:lang w:val="es-ES"/>
        </w:rPr>
        <w:fldChar w:fldCharType="end"/>
      </w:r>
    </w:p>
    <w:p w14:paraId="55782E17" w14:textId="77777777" w:rsidR="00567780" w:rsidRDefault="00567780" w:rsidP="00DE143D">
      <w:pPr>
        <w:spacing w:before="240"/>
        <w:rPr>
          <w:b/>
          <w:bCs/>
          <w:lang w:val="es-ES"/>
        </w:rPr>
      </w:pPr>
    </w:p>
    <w:p w14:paraId="40A62071" w14:textId="77777777" w:rsidR="00CC2F42" w:rsidRDefault="00CC2F42" w:rsidP="00DE143D">
      <w:pPr>
        <w:spacing w:before="240"/>
        <w:rPr>
          <w:b/>
          <w:bCs/>
          <w:lang w:val="es-ES"/>
        </w:rPr>
      </w:pPr>
    </w:p>
    <w:p w14:paraId="11A6CE4E" w14:textId="77777777" w:rsidR="00396CB4" w:rsidRPr="00396CB4" w:rsidRDefault="00692DC8" w:rsidP="00396CB4">
      <w:pPr>
        <w:spacing w:before="240"/>
        <w:rPr>
          <w:b/>
          <w:bCs/>
          <w:lang w:val="es-ES"/>
        </w:rPr>
      </w:pPr>
      <w:r w:rsidRPr="00692DC8">
        <w:rPr>
          <w:b/>
          <w:bCs/>
          <w:lang w:val="es-ES"/>
        </w:rPr>
        <w:lastRenderedPageBreak/>
        <w:t>Revelación</w:t>
      </w:r>
      <w:r w:rsidRPr="00692DC8">
        <w:rPr>
          <w:lang w:val="es-ES"/>
        </w:rPr>
        <w:t xml:space="preserve">: </w:t>
      </w:r>
      <w:r w:rsidR="00495CDD">
        <w:rPr>
          <w:rFonts w:eastAsia="Times New Roman" w:cs="Calibri"/>
          <w:color w:val="000000"/>
          <w:lang w:eastAsia="es-CR"/>
        </w:rPr>
        <w:fldChar w:fldCharType="begin"/>
      </w:r>
      <w:r w:rsidR="00495CDD">
        <w:rPr>
          <w:rFonts w:eastAsia="Times New Roman" w:cs="Calibri"/>
          <w:color w:val="000000"/>
          <w:lang w:eastAsia="es-CR"/>
        </w:rPr>
        <w:instrText xml:space="preserve"> LINK </w:instrText>
      </w:r>
      <w:r w:rsidR="00756467">
        <w:rPr>
          <w:rFonts w:eastAsia="Times New Roman" w:cs="Calibri"/>
          <w:color w:val="000000"/>
          <w:lang w:eastAsia="es-CR"/>
        </w:rPr>
        <w:instrText xml:space="preserve">Excel.SheetMacroEnabled.12 "C:\\Users\\gcordero\\Downloads\\Notas diciembre 2024\\Formato_Notas_EEFF_Vinculadas_2024\\Formato_Notas_EEFF_Vinculadas_2024\\15603_T04_2024_Anexo_Estado_Notas_Contables_Vinculadas.xlsm" NOTAS_POR_CUENTA!F405C8 </w:instrText>
      </w:r>
      <w:r w:rsidR="00495CDD">
        <w:rPr>
          <w:rFonts w:eastAsia="Times New Roman" w:cs="Calibri"/>
          <w:color w:val="000000"/>
          <w:lang w:eastAsia="es-CR"/>
        </w:rPr>
        <w:instrText xml:space="preserve">\a \f 5 \h  \* MERGEFORMAT </w:instrText>
      </w:r>
      <w:r w:rsidR="00495CDD">
        <w:rPr>
          <w:rFonts w:eastAsia="Times New Roman" w:cs="Calibri"/>
          <w:color w:val="000000"/>
          <w:lang w:eastAsia="es-CR"/>
        </w:rPr>
        <w:fldChar w:fldCharType="separate"/>
      </w:r>
    </w:p>
    <w:p w14:paraId="0B1ADA56" w14:textId="77777777" w:rsidR="00396CB4" w:rsidRPr="00396CB4" w:rsidRDefault="00396CB4" w:rsidP="00396CB4">
      <w:pPr>
        <w:rPr>
          <w:rFonts w:eastAsia="Times New Roman" w:cs="Calibri"/>
          <w:color w:val="000000"/>
          <w:lang w:eastAsia="es-CR"/>
        </w:rPr>
      </w:pPr>
      <w:r w:rsidRPr="00396CB4">
        <w:rPr>
          <w:rFonts w:eastAsia="Times New Roman" w:cs="Calibri"/>
          <w:color w:val="000000"/>
          <w:lang w:eastAsia="es-CR"/>
        </w:rPr>
        <w:t>La cuenta Resultados negativos por ventas e intercambio de bienes, representa el 0,00% del total del Gastos, que comparado al periodo anterior genera una variación absoluta de 0 000,00 que corresponde a un Aumento del 0,00% de recursos disponibles.</w:t>
      </w:r>
    </w:p>
    <w:p w14:paraId="2310ED17" w14:textId="4B1733BA" w:rsidR="00692DC8" w:rsidRPr="00305662" w:rsidRDefault="00495CDD" w:rsidP="00E3707A">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bookmarkStart w:id="997" w:name="_Toc82769061"/>
    </w:p>
    <w:p w14:paraId="31C80C29" w14:textId="73B9F550" w:rsidR="00692DC8" w:rsidRPr="00692DC8" w:rsidRDefault="00692DC8" w:rsidP="00E3707A">
      <w:pPr>
        <w:pStyle w:val="Ttulo3"/>
        <w:spacing w:after="240"/>
        <w:rPr>
          <w:rFonts w:eastAsia="Calibri"/>
          <w:lang w:eastAsia="es-CR"/>
        </w:rPr>
      </w:pPr>
      <w:bookmarkStart w:id="998" w:name="_Toc189804922"/>
      <w:r w:rsidRPr="00692DC8">
        <w:rPr>
          <w:rFonts w:eastAsia="Calibri"/>
          <w:lang w:eastAsia="es-CR"/>
        </w:rPr>
        <w:t>5.4 TRANSFERENCIAS</w:t>
      </w:r>
      <w:bookmarkEnd w:id="997"/>
      <w:bookmarkEnd w:id="998"/>
    </w:p>
    <w:p w14:paraId="628759C2" w14:textId="77777777" w:rsidR="00692DC8" w:rsidRPr="00692DC8" w:rsidRDefault="00692DC8" w:rsidP="00E3707A">
      <w:pPr>
        <w:pStyle w:val="Ttulo4"/>
        <w:spacing w:after="240"/>
        <w:rPr>
          <w:rFonts w:eastAsia="Times New Roman"/>
        </w:rPr>
      </w:pPr>
      <w:bookmarkStart w:id="999" w:name="_Toc14344989"/>
      <w:bookmarkStart w:id="1000" w:name="_Toc33601343"/>
      <w:bookmarkStart w:id="1001" w:name="_Toc82769062"/>
      <w:bookmarkStart w:id="1002" w:name="_Toc189804923"/>
      <w:r w:rsidRPr="00692DC8">
        <w:rPr>
          <w:rFonts w:eastAsia="Times New Roman"/>
        </w:rPr>
        <w:t>NOTA N° 7</w:t>
      </w:r>
      <w:bookmarkEnd w:id="999"/>
      <w:bookmarkEnd w:id="1000"/>
      <w:bookmarkEnd w:id="1001"/>
      <w:r w:rsidRPr="00692DC8">
        <w:rPr>
          <w:rFonts w:eastAsia="Times New Roman"/>
        </w:rPr>
        <w:t>2</w:t>
      </w:r>
      <w:bookmarkEnd w:id="1002"/>
    </w:p>
    <w:p w14:paraId="6181E0D4" w14:textId="77777777" w:rsidR="00396CB4" w:rsidRDefault="00692DC8" w:rsidP="00E3707A">
      <w:pPr>
        <w:spacing w:before="240" w:after="0"/>
        <w:rPr>
          <w:rFonts w:asciiTheme="minorHAnsi" w:hAnsiTheme="minorHAnsi"/>
          <w:sz w:val="22"/>
        </w:rPr>
      </w:pPr>
      <w:bookmarkStart w:id="1003" w:name="_Toc14344990"/>
      <w:bookmarkStart w:id="1004" w:name="_Toc33601344"/>
      <w:bookmarkStart w:id="1005" w:name="_Toc82769063"/>
      <w:r w:rsidRPr="00692DC8">
        <w:rPr>
          <w:rFonts w:eastAsia="Times New Roman"/>
        </w:rPr>
        <w:t>Transferencias corrientes</w:t>
      </w:r>
      <w:bookmarkEnd w:id="1003"/>
      <w:bookmarkEnd w:id="1004"/>
      <w:bookmarkEnd w:id="1005"/>
      <w:r w:rsidR="00495CDD">
        <w:rPr>
          <w:rFonts w:eastAsiaTheme="majorEastAsia" w:cstheme="majorBidi"/>
          <w:b/>
          <w:iCs/>
        </w:rPr>
        <w:fldChar w:fldCharType="begin"/>
      </w:r>
      <w:r w:rsidR="00495CDD">
        <w:instrText xml:space="preserve"> LINK </w:instrText>
      </w:r>
      <w:r w:rsidR="00756467">
        <w:instrText xml:space="preserve">Excel.SheetMacroEnabled.12 "C:\\Users\\gcordero\\Downloads\\Notas diciembre 2024\\Formato_Notas_EEFF_Vinculadas_2024\\Formato_Notas_EEFF_Vinculadas_2024\\15603_T04_2024_Anexo_Estado_Notas_Contables_Vinculadas.xlsm" NOTAS_POR_CUENTA!F407C1:F409C6 </w:instrText>
      </w:r>
      <w:r w:rsidR="00495CDD">
        <w:instrText xml:space="preserve">\a \f 4 \h </w:instrText>
      </w:r>
      <w:r w:rsidR="00495CDD">
        <w:fldChar w:fldCharType="separate"/>
      </w:r>
    </w:p>
    <w:tbl>
      <w:tblPr>
        <w:tblW w:w="9600" w:type="dxa"/>
        <w:tblCellMar>
          <w:left w:w="70" w:type="dxa"/>
          <w:right w:w="70" w:type="dxa"/>
        </w:tblCellMar>
        <w:tblLook w:val="04A0" w:firstRow="1" w:lastRow="0" w:firstColumn="1" w:lastColumn="0" w:noHBand="0" w:noVBand="1"/>
      </w:tblPr>
      <w:tblGrid>
        <w:gridCol w:w="1385"/>
        <w:gridCol w:w="2495"/>
        <w:gridCol w:w="500"/>
        <w:gridCol w:w="2100"/>
        <w:gridCol w:w="2100"/>
        <w:gridCol w:w="1020"/>
      </w:tblGrid>
      <w:tr w:rsidR="00396CB4" w:rsidRPr="00396CB4" w14:paraId="470D3ED9" w14:textId="77777777" w:rsidTr="00396CB4">
        <w:trPr>
          <w:divId w:val="1248685266"/>
          <w:trHeight w:val="330"/>
        </w:trPr>
        <w:tc>
          <w:tcPr>
            <w:tcW w:w="1385"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B02B309" w14:textId="014C2707" w:rsidR="00396CB4" w:rsidRPr="00396CB4" w:rsidRDefault="00396CB4" w:rsidP="00396CB4">
            <w:pP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2495"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19B4E7D"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E1EF2BF"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4533AFE"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80ADF31"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44212820"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0FC15755" w14:textId="77777777" w:rsidTr="00396CB4">
        <w:trPr>
          <w:divId w:val="1248685266"/>
          <w:trHeight w:val="330"/>
        </w:trPr>
        <w:tc>
          <w:tcPr>
            <w:tcW w:w="1385" w:type="dxa"/>
            <w:vMerge/>
            <w:tcBorders>
              <w:top w:val="single" w:sz="8" w:space="0" w:color="auto"/>
              <w:left w:val="single" w:sz="8" w:space="0" w:color="auto"/>
              <w:bottom w:val="single" w:sz="8" w:space="0" w:color="000000"/>
              <w:right w:val="single" w:sz="8" w:space="0" w:color="auto"/>
            </w:tcBorders>
            <w:vAlign w:val="center"/>
            <w:hideMark/>
          </w:tcPr>
          <w:p w14:paraId="6230E1E6"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495" w:type="dxa"/>
            <w:vMerge/>
            <w:tcBorders>
              <w:top w:val="single" w:sz="8" w:space="0" w:color="auto"/>
              <w:left w:val="single" w:sz="8" w:space="0" w:color="auto"/>
              <w:bottom w:val="single" w:sz="8" w:space="0" w:color="000000"/>
              <w:right w:val="single" w:sz="8" w:space="0" w:color="auto"/>
            </w:tcBorders>
            <w:vAlign w:val="center"/>
            <w:hideMark/>
          </w:tcPr>
          <w:p w14:paraId="085710F2"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0F31C5F8"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03847B76"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0C811278"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4EAE4CB3"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5E1907C6" w14:textId="77777777" w:rsidTr="00396CB4">
        <w:trPr>
          <w:divId w:val="1248685266"/>
          <w:trHeight w:val="330"/>
        </w:trPr>
        <w:tc>
          <w:tcPr>
            <w:tcW w:w="1385" w:type="dxa"/>
            <w:tcBorders>
              <w:top w:val="nil"/>
              <w:left w:val="single" w:sz="8" w:space="0" w:color="auto"/>
              <w:bottom w:val="single" w:sz="8" w:space="0" w:color="auto"/>
              <w:right w:val="single" w:sz="8" w:space="0" w:color="auto"/>
            </w:tcBorders>
            <w:shd w:val="clear" w:color="auto" w:fill="auto"/>
            <w:noWrap/>
            <w:vAlign w:val="center"/>
            <w:hideMark/>
          </w:tcPr>
          <w:p w14:paraId="0740055D"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5.4.1.</w:t>
            </w:r>
          </w:p>
        </w:tc>
        <w:tc>
          <w:tcPr>
            <w:tcW w:w="2495" w:type="dxa"/>
            <w:tcBorders>
              <w:top w:val="nil"/>
              <w:left w:val="nil"/>
              <w:bottom w:val="single" w:sz="8" w:space="0" w:color="auto"/>
              <w:right w:val="single" w:sz="8" w:space="0" w:color="auto"/>
            </w:tcBorders>
            <w:shd w:val="clear" w:color="auto" w:fill="auto"/>
            <w:vAlign w:val="center"/>
            <w:hideMark/>
          </w:tcPr>
          <w:p w14:paraId="3E1A7E14" w14:textId="77777777" w:rsidR="00396CB4" w:rsidRPr="00396CB4" w:rsidRDefault="00396CB4" w:rsidP="00396CB4">
            <w:pPr>
              <w:spacing w:after="0" w:line="240" w:lineRule="auto"/>
              <w:rPr>
                <w:rFonts w:eastAsia="Times New Roman" w:cs="Calibri"/>
                <w:b/>
                <w:bCs/>
                <w:color w:val="000000"/>
                <w:sz w:val="18"/>
                <w:szCs w:val="18"/>
                <w:lang w:eastAsia="es-CR"/>
              </w:rPr>
            </w:pPr>
            <w:r w:rsidRPr="00396CB4">
              <w:rPr>
                <w:rFonts w:eastAsia="Times New Roman" w:cs="Calibri"/>
                <w:b/>
                <w:bCs/>
                <w:color w:val="000000"/>
                <w:sz w:val="18"/>
                <w:szCs w:val="18"/>
                <w:lang w:eastAsia="es-CR"/>
              </w:rPr>
              <w:t>Transferencias corrientes</w:t>
            </w:r>
          </w:p>
        </w:tc>
        <w:tc>
          <w:tcPr>
            <w:tcW w:w="500" w:type="dxa"/>
            <w:tcBorders>
              <w:top w:val="nil"/>
              <w:left w:val="nil"/>
              <w:bottom w:val="single" w:sz="8" w:space="0" w:color="auto"/>
              <w:right w:val="single" w:sz="8" w:space="0" w:color="auto"/>
            </w:tcBorders>
            <w:shd w:val="clear" w:color="auto" w:fill="auto"/>
            <w:noWrap/>
            <w:vAlign w:val="center"/>
            <w:hideMark/>
          </w:tcPr>
          <w:p w14:paraId="19638F13"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72</w:t>
            </w:r>
          </w:p>
        </w:tc>
        <w:tc>
          <w:tcPr>
            <w:tcW w:w="2100" w:type="dxa"/>
            <w:tcBorders>
              <w:top w:val="nil"/>
              <w:left w:val="nil"/>
              <w:bottom w:val="single" w:sz="8" w:space="0" w:color="auto"/>
              <w:right w:val="single" w:sz="8" w:space="0" w:color="auto"/>
            </w:tcBorders>
            <w:shd w:val="clear" w:color="auto" w:fill="auto"/>
            <w:noWrap/>
            <w:vAlign w:val="center"/>
            <w:hideMark/>
          </w:tcPr>
          <w:p w14:paraId="1B747C29"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297 356,54 </w:t>
            </w:r>
          </w:p>
        </w:tc>
        <w:tc>
          <w:tcPr>
            <w:tcW w:w="2100" w:type="dxa"/>
            <w:tcBorders>
              <w:top w:val="nil"/>
              <w:left w:val="nil"/>
              <w:bottom w:val="single" w:sz="8" w:space="0" w:color="auto"/>
              <w:right w:val="single" w:sz="8" w:space="0" w:color="auto"/>
            </w:tcBorders>
            <w:shd w:val="clear" w:color="auto" w:fill="auto"/>
            <w:noWrap/>
            <w:vAlign w:val="center"/>
            <w:hideMark/>
          </w:tcPr>
          <w:p w14:paraId="5ECBE378"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143 539,90 </w:t>
            </w:r>
          </w:p>
        </w:tc>
        <w:tc>
          <w:tcPr>
            <w:tcW w:w="1020" w:type="dxa"/>
            <w:tcBorders>
              <w:top w:val="nil"/>
              <w:left w:val="nil"/>
              <w:bottom w:val="single" w:sz="8" w:space="0" w:color="auto"/>
              <w:right w:val="single" w:sz="8" w:space="0" w:color="auto"/>
            </w:tcBorders>
            <w:shd w:val="clear" w:color="auto" w:fill="auto"/>
            <w:noWrap/>
            <w:vAlign w:val="center"/>
            <w:hideMark/>
          </w:tcPr>
          <w:p w14:paraId="4EE263BC"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107,16%</w:t>
            </w:r>
          </w:p>
        </w:tc>
      </w:tr>
    </w:tbl>
    <w:p w14:paraId="5861231F" w14:textId="644E1428" w:rsidR="00E3707A" w:rsidRDefault="00495CDD" w:rsidP="00E3707A">
      <w:pPr>
        <w:spacing w:before="240" w:after="0"/>
        <w:rPr>
          <w:szCs w:val="24"/>
        </w:rPr>
      </w:pPr>
      <w:r>
        <w:rPr>
          <w:szCs w:val="24"/>
        </w:rPr>
        <w:fldChar w:fldCharType="end"/>
      </w:r>
      <w:bookmarkStart w:id="1006" w:name="_Hlk124010823"/>
      <w:r w:rsidR="00692DC8" w:rsidRPr="00692DC8">
        <w:rPr>
          <w:szCs w:val="24"/>
        </w:rPr>
        <w:t>Detalle:</w:t>
      </w:r>
    </w:p>
    <w:tbl>
      <w:tblPr>
        <w:tblW w:w="4380" w:type="dxa"/>
        <w:tblCellMar>
          <w:left w:w="70" w:type="dxa"/>
          <w:right w:w="70" w:type="dxa"/>
        </w:tblCellMar>
        <w:tblLook w:val="04A0" w:firstRow="1" w:lastRow="0" w:firstColumn="1" w:lastColumn="0" w:noHBand="0" w:noVBand="1"/>
      </w:tblPr>
      <w:tblGrid>
        <w:gridCol w:w="1240"/>
        <w:gridCol w:w="3140"/>
      </w:tblGrid>
      <w:tr w:rsidR="006D2D75" w:rsidRPr="006D2D75" w14:paraId="4C50F1F7" w14:textId="77777777" w:rsidTr="006D2D75">
        <w:trPr>
          <w:trHeight w:val="288"/>
        </w:trPr>
        <w:tc>
          <w:tcPr>
            <w:tcW w:w="1240" w:type="dxa"/>
            <w:tcBorders>
              <w:top w:val="single" w:sz="8" w:space="0" w:color="auto"/>
              <w:left w:val="single" w:sz="8" w:space="0" w:color="auto"/>
              <w:bottom w:val="nil"/>
              <w:right w:val="single" w:sz="8" w:space="0" w:color="auto"/>
            </w:tcBorders>
            <w:shd w:val="clear" w:color="000000" w:fill="366092"/>
            <w:noWrap/>
            <w:vAlign w:val="center"/>
            <w:hideMark/>
          </w:tcPr>
          <w:p w14:paraId="6926FD52" w14:textId="77777777" w:rsidR="006D2D75" w:rsidRPr="006D2D75" w:rsidRDefault="006D2D75" w:rsidP="006D2D75">
            <w:pPr>
              <w:spacing w:after="0" w:line="240" w:lineRule="auto"/>
              <w:rPr>
                <w:rFonts w:eastAsia="Times New Roman" w:cs="Calibri"/>
                <w:b/>
                <w:bCs/>
                <w:color w:val="FFFFFF"/>
                <w:sz w:val="18"/>
                <w:szCs w:val="18"/>
                <w:lang w:eastAsia="es-CR"/>
              </w:rPr>
            </w:pPr>
            <w:r w:rsidRPr="006D2D75">
              <w:rPr>
                <w:rFonts w:eastAsia="Times New Roman" w:cs="Calibri"/>
                <w:b/>
                <w:bCs/>
                <w:color w:val="FFFFFF"/>
                <w:sz w:val="18"/>
                <w:szCs w:val="18"/>
                <w:lang w:eastAsia="es-CR"/>
              </w:rPr>
              <w:t xml:space="preserve">Cuenta </w:t>
            </w:r>
          </w:p>
        </w:tc>
        <w:tc>
          <w:tcPr>
            <w:tcW w:w="3140" w:type="dxa"/>
            <w:tcBorders>
              <w:top w:val="single" w:sz="8" w:space="0" w:color="auto"/>
              <w:left w:val="nil"/>
              <w:bottom w:val="nil"/>
              <w:right w:val="single" w:sz="8" w:space="0" w:color="auto"/>
            </w:tcBorders>
            <w:shd w:val="clear" w:color="000000" w:fill="366092"/>
            <w:vAlign w:val="center"/>
            <w:hideMark/>
          </w:tcPr>
          <w:p w14:paraId="17D11CF7" w14:textId="77777777" w:rsidR="006D2D75" w:rsidRPr="006D2D75" w:rsidRDefault="006D2D75" w:rsidP="006D2D75">
            <w:pPr>
              <w:spacing w:after="0" w:line="240" w:lineRule="auto"/>
              <w:jc w:val="center"/>
              <w:rPr>
                <w:rFonts w:eastAsia="Times New Roman" w:cs="Calibri"/>
                <w:b/>
                <w:bCs/>
                <w:color w:val="FFFFFF"/>
                <w:sz w:val="18"/>
                <w:szCs w:val="18"/>
                <w:lang w:eastAsia="es-CR"/>
              </w:rPr>
            </w:pPr>
            <w:r w:rsidRPr="006D2D75">
              <w:rPr>
                <w:rFonts w:eastAsia="Times New Roman" w:cs="Calibri"/>
                <w:b/>
                <w:bCs/>
                <w:color w:val="FFFFFF"/>
                <w:sz w:val="18"/>
                <w:szCs w:val="18"/>
                <w:lang w:eastAsia="es-CR"/>
              </w:rPr>
              <w:t xml:space="preserve">Descripción </w:t>
            </w:r>
          </w:p>
        </w:tc>
      </w:tr>
      <w:tr w:rsidR="006D2D75" w:rsidRPr="006D2D75" w14:paraId="4FABCB94" w14:textId="77777777" w:rsidTr="006D2D75">
        <w:trPr>
          <w:trHeight w:val="54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585F8073" w14:textId="77777777" w:rsidR="006D2D75" w:rsidRPr="006D2D75" w:rsidRDefault="006D2D75" w:rsidP="006D2D75">
            <w:pPr>
              <w:spacing w:after="0" w:line="240" w:lineRule="auto"/>
              <w:rPr>
                <w:rFonts w:eastAsia="Times New Roman" w:cs="Calibri"/>
                <w:b/>
                <w:bCs/>
                <w:color w:val="000000"/>
                <w:sz w:val="18"/>
                <w:szCs w:val="18"/>
                <w:lang w:eastAsia="es-CR"/>
              </w:rPr>
            </w:pPr>
            <w:r w:rsidRPr="006D2D75">
              <w:rPr>
                <w:rFonts w:eastAsia="Calibri" w:cs="Times New Roman"/>
                <w:b/>
                <w:bCs/>
                <w:color w:val="000000"/>
                <w:sz w:val="18"/>
                <w:szCs w:val="18"/>
                <w:lang w:eastAsia="es-CR"/>
              </w:rPr>
              <w:t>5.4.1.02.</w:t>
            </w:r>
          </w:p>
        </w:tc>
        <w:tc>
          <w:tcPr>
            <w:tcW w:w="3140" w:type="dxa"/>
            <w:tcBorders>
              <w:top w:val="nil"/>
              <w:left w:val="nil"/>
              <w:bottom w:val="single" w:sz="8" w:space="0" w:color="auto"/>
              <w:right w:val="single" w:sz="8" w:space="0" w:color="auto"/>
            </w:tcBorders>
            <w:shd w:val="clear" w:color="auto" w:fill="auto"/>
            <w:vAlign w:val="center"/>
            <w:hideMark/>
          </w:tcPr>
          <w:p w14:paraId="62CF8EF2" w14:textId="77777777" w:rsidR="006D2D75" w:rsidRPr="006D2D75" w:rsidRDefault="006D2D75" w:rsidP="006D2D75">
            <w:pPr>
              <w:spacing w:after="0" w:line="240" w:lineRule="auto"/>
              <w:rPr>
                <w:rFonts w:eastAsia="Times New Roman" w:cs="Calibri"/>
                <w:b/>
                <w:bCs/>
                <w:color w:val="000000"/>
                <w:sz w:val="18"/>
                <w:szCs w:val="18"/>
                <w:lang w:eastAsia="es-CR"/>
              </w:rPr>
            </w:pPr>
            <w:r w:rsidRPr="006D2D75">
              <w:rPr>
                <w:rFonts w:eastAsia="Calibri" w:cs="Times New Roman"/>
                <w:b/>
                <w:bCs/>
                <w:color w:val="000000"/>
                <w:sz w:val="18"/>
                <w:szCs w:val="18"/>
                <w:lang w:eastAsia="es-CR"/>
              </w:rPr>
              <w:t>Transferencias corrientes del sector público interno</w:t>
            </w:r>
          </w:p>
        </w:tc>
      </w:tr>
    </w:tbl>
    <w:p w14:paraId="22682D75" w14:textId="6C573712" w:rsidR="006D2D75" w:rsidRDefault="006D2D75" w:rsidP="00E3707A">
      <w:pPr>
        <w:spacing w:before="240" w:after="0"/>
        <w:rPr>
          <w:szCs w:val="24"/>
        </w:rPr>
      </w:pPr>
    </w:p>
    <w:tbl>
      <w:tblPr>
        <w:tblW w:w="10020" w:type="dxa"/>
        <w:tblCellMar>
          <w:left w:w="70" w:type="dxa"/>
          <w:right w:w="70" w:type="dxa"/>
        </w:tblCellMar>
        <w:tblLook w:val="04A0" w:firstRow="1" w:lastRow="0" w:firstColumn="1" w:lastColumn="0" w:noHBand="0" w:noVBand="1"/>
      </w:tblPr>
      <w:tblGrid>
        <w:gridCol w:w="1000"/>
        <w:gridCol w:w="4320"/>
        <w:gridCol w:w="1140"/>
        <w:gridCol w:w="1360"/>
        <w:gridCol w:w="1340"/>
        <w:gridCol w:w="952"/>
      </w:tblGrid>
      <w:tr w:rsidR="00D74C5E" w:rsidRPr="00D74C5E" w14:paraId="6089611F" w14:textId="77777777" w:rsidTr="00D74C5E">
        <w:trPr>
          <w:trHeight w:val="555"/>
        </w:trPr>
        <w:tc>
          <w:tcPr>
            <w:tcW w:w="1000" w:type="dxa"/>
            <w:tcBorders>
              <w:top w:val="single" w:sz="8" w:space="0" w:color="auto"/>
              <w:left w:val="single" w:sz="8" w:space="0" w:color="auto"/>
              <w:bottom w:val="nil"/>
              <w:right w:val="single" w:sz="8" w:space="0" w:color="auto"/>
            </w:tcBorders>
            <w:shd w:val="clear" w:color="000000" w:fill="203764"/>
            <w:vAlign w:val="center"/>
            <w:hideMark/>
          </w:tcPr>
          <w:p w14:paraId="440382C4" w14:textId="77777777" w:rsidR="00D74C5E" w:rsidRPr="00D74C5E" w:rsidRDefault="00D74C5E" w:rsidP="00D74C5E">
            <w:pPr>
              <w:spacing w:after="0" w:line="240" w:lineRule="auto"/>
              <w:jc w:val="center"/>
              <w:rPr>
                <w:rFonts w:eastAsia="Times New Roman" w:cs="Calibri"/>
                <w:color w:val="FFFFFF"/>
                <w:sz w:val="18"/>
                <w:szCs w:val="18"/>
                <w:lang w:eastAsia="es-CR"/>
              </w:rPr>
            </w:pPr>
            <w:r w:rsidRPr="00D74C5E">
              <w:rPr>
                <w:rFonts w:eastAsia="Times New Roman" w:cs="Calibri"/>
                <w:color w:val="FFFFFF"/>
                <w:sz w:val="18"/>
                <w:szCs w:val="18"/>
                <w:lang w:eastAsia="es-CR"/>
              </w:rPr>
              <w:t>CUENTA</w:t>
            </w:r>
          </w:p>
        </w:tc>
        <w:tc>
          <w:tcPr>
            <w:tcW w:w="4320" w:type="dxa"/>
            <w:tcBorders>
              <w:top w:val="single" w:sz="8" w:space="0" w:color="auto"/>
              <w:left w:val="nil"/>
              <w:bottom w:val="nil"/>
              <w:right w:val="single" w:sz="8" w:space="0" w:color="auto"/>
            </w:tcBorders>
            <w:shd w:val="clear" w:color="000000" w:fill="203764"/>
            <w:vAlign w:val="center"/>
            <w:hideMark/>
          </w:tcPr>
          <w:p w14:paraId="55BC7B0F" w14:textId="77777777" w:rsidR="00D74C5E" w:rsidRPr="00D74C5E" w:rsidRDefault="00D74C5E" w:rsidP="00D74C5E">
            <w:pPr>
              <w:spacing w:after="0" w:line="240" w:lineRule="auto"/>
              <w:jc w:val="center"/>
              <w:rPr>
                <w:rFonts w:eastAsia="Times New Roman" w:cs="Calibri"/>
                <w:color w:val="FFFFFF"/>
                <w:sz w:val="18"/>
                <w:szCs w:val="18"/>
                <w:lang w:eastAsia="es-CR"/>
              </w:rPr>
            </w:pPr>
            <w:r w:rsidRPr="00D74C5E">
              <w:rPr>
                <w:rFonts w:eastAsia="Times New Roman" w:cs="Calibri"/>
                <w:color w:val="FFFFFF"/>
                <w:sz w:val="18"/>
                <w:szCs w:val="18"/>
                <w:lang w:eastAsia="es-CR"/>
              </w:rPr>
              <w:t>DESCRIPCIÓN</w:t>
            </w:r>
          </w:p>
        </w:tc>
        <w:tc>
          <w:tcPr>
            <w:tcW w:w="1140" w:type="dxa"/>
            <w:tcBorders>
              <w:top w:val="single" w:sz="8" w:space="0" w:color="auto"/>
              <w:left w:val="nil"/>
              <w:bottom w:val="nil"/>
              <w:right w:val="single" w:sz="8" w:space="0" w:color="auto"/>
            </w:tcBorders>
            <w:shd w:val="clear" w:color="000000" w:fill="203764"/>
            <w:vAlign w:val="center"/>
            <w:hideMark/>
          </w:tcPr>
          <w:p w14:paraId="3AC9D0D5" w14:textId="77777777" w:rsidR="00D74C5E" w:rsidRPr="00D74C5E" w:rsidRDefault="00D74C5E" w:rsidP="00D74C5E">
            <w:pPr>
              <w:spacing w:after="0" w:line="240" w:lineRule="auto"/>
              <w:jc w:val="center"/>
              <w:rPr>
                <w:rFonts w:eastAsia="Times New Roman" w:cs="Calibri"/>
                <w:color w:val="FFFFFF"/>
                <w:sz w:val="18"/>
                <w:szCs w:val="18"/>
                <w:lang w:eastAsia="es-CR"/>
              </w:rPr>
            </w:pPr>
            <w:r w:rsidRPr="00D74C5E">
              <w:rPr>
                <w:rFonts w:eastAsia="Times New Roman" w:cs="Calibri"/>
                <w:color w:val="FFFFFF"/>
                <w:sz w:val="18"/>
                <w:szCs w:val="18"/>
                <w:lang w:eastAsia="es-CR"/>
              </w:rPr>
              <w:t>SALDO ACTUAL</w:t>
            </w:r>
          </w:p>
        </w:tc>
        <w:tc>
          <w:tcPr>
            <w:tcW w:w="1360" w:type="dxa"/>
            <w:tcBorders>
              <w:top w:val="single" w:sz="8" w:space="0" w:color="auto"/>
              <w:left w:val="nil"/>
              <w:bottom w:val="nil"/>
              <w:right w:val="single" w:sz="8" w:space="0" w:color="auto"/>
            </w:tcBorders>
            <w:shd w:val="clear" w:color="000000" w:fill="203764"/>
            <w:vAlign w:val="center"/>
            <w:hideMark/>
          </w:tcPr>
          <w:p w14:paraId="6B5D41CF" w14:textId="77777777" w:rsidR="00D74C5E" w:rsidRPr="00D74C5E" w:rsidRDefault="00D74C5E" w:rsidP="00D74C5E">
            <w:pPr>
              <w:spacing w:after="0" w:line="240" w:lineRule="auto"/>
              <w:jc w:val="center"/>
              <w:rPr>
                <w:rFonts w:eastAsia="Times New Roman" w:cs="Calibri"/>
                <w:color w:val="FFFFFF"/>
                <w:sz w:val="18"/>
                <w:szCs w:val="18"/>
                <w:lang w:eastAsia="es-CR"/>
              </w:rPr>
            </w:pPr>
            <w:r w:rsidRPr="00D74C5E">
              <w:rPr>
                <w:rFonts w:eastAsia="Times New Roman" w:cs="Calibri"/>
                <w:color w:val="FFFFFF"/>
                <w:sz w:val="18"/>
                <w:szCs w:val="18"/>
                <w:lang w:eastAsia="es-CR"/>
              </w:rPr>
              <w:t>SALDO ANTERIOR</w:t>
            </w:r>
          </w:p>
        </w:tc>
        <w:tc>
          <w:tcPr>
            <w:tcW w:w="1340" w:type="dxa"/>
            <w:tcBorders>
              <w:top w:val="single" w:sz="8" w:space="0" w:color="auto"/>
              <w:left w:val="nil"/>
              <w:bottom w:val="nil"/>
              <w:right w:val="single" w:sz="8" w:space="0" w:color="auto"/>
            </w:tcBorders>
            <w:shd w:val="clear" w:color="000000" w:fill="203764"/>
            <w:vAlign w:val="center"/>
            <w:hideMark/>
          </w:tcPr>
          <w:p w14:paraId="73B29882" w14:textId="77777777" w:rsidR="00D74C5E" w:rsidRPr="00D74C5E" w:rsidRDefault="00D74C5E" w:rsidP="00D74C5E">
            <w:pPr>
              <w:spacing w:after="0" w:line="240" w:lineRule="auto"/>
              <w:jc w:val="center"/>
              <w:rPr>
                <w:rFonts w:eastAsia="Times New Roman" w:cs="Calibri"/>
                <w:color w:val="FFFFFF"/>
                <w:sz w:val="18"/>
                <w:szCs w:val="18"/>
                <w:lang w:eastAsia="es-CR"/>
              </w:rPr>
            </w:pPr>
            <w:r w:rsidRPr="00D74C5E">
              <w:rPr>
                <w:rFonts w:eastAsia="Times New Roman" w:cs="Calibri"/>
                <w:color w:val="FFFFFF"/>
                <w:sz w:val="18"/>
                <w:szCs w:val="18"/>
                <w:lang w:eastAsia="es-CR"/>
              </w:rPr>
              <w:t>VARIACIÓN ABSOLUTA</w:t>
            </w:r>
          </w:p>
        </w:tc>
        <w:tc>
          <w:tcPr>
            <w:tcW w:w="860" w:type="dxa"/>
            <w:tcBorders>
              <w:top w:val="single" w:sz="8" w:space="0" w:color="auto"/>
              <w:left w:val="nil"/>
              <w:bottom w:val="nil"/>
              <w:right w:val="single" w:sz="8" w:space="0" w:color="auto"/>
            </w:tcBorders>
            <w:shd w:val="clear" w:color="000000" w:fill="203764"/>
            <w:vAlign w:val="center"/>
            <w:hideMark/>
          </w:tcPr>
          <w:p w14:paraId="2591AC3D" w14:textId="77777777" w:rsidR="00D74C5E" w:rsidRPr="00D74C5E" w:rsidRDefault="00D74C5E" w:rsidP="00D74C5E">
            <w:pPr>
              <w:spacing w:after="0" w:line="240" w:lineRule="auto"/>
              <w:jc w:val="center"/>
              <w:rPr>
                <w:rFonts w:eastAsia="Times New Roman" w:cs="Calibri"/>
                <w:color w:val="FFFFFF"/>
                <w:sz w:val="18"/>
                <w:szCs w:val="18"/>
                <w:lang w:eastAsia="es-CR"/>
              </w:rPr>
            </w:pPr>
            <w:r w:rsidRPr="00D74C5E">
              <w:rPr>
                <w:rFonts w:eastAsia="Times New Roman" w:cs="Calibri"/>
                <w:color w:val="FFFFFF"/>
                <w:sz w:val="18"/>
                <w:szCs w:val="18"/>
                <w:lang w:eastAsia="es-CR"/>
              </w:rPr>
              <w:t>VARIACIÓN %</w:t>
            </w:r>
          </w:p>
        </w:tc>
      </w:tr>
      <w:tr w:rsidR="00D74C5E" w:rsidRPr="00D74C5E" w14:paraId="5988ECEF" w14:textId="77777777" w:rsidTr="00D74C5E">
        <w:trPr>
          <w:trHeight w:val="300"/>
        </w:trPr>
        <w:tc>
          <w:tcPr>
            <w:tcW w:w="1000" w:type="dxa"/>
            <w:tcBorders>
              <w:top w:val="single" w:sz="8" w:space="0" w:color="auto"/>
              <w:left w:val="single" w:sz="8" w:space="0" w:color="auto"/>
              <w:bottom w:val="nil"/>
              <w:right w:val="single" w:sz="8" w:space="0" w:color="auto"/>
            </w:tcBorders>
            <w:shd w:val="clear" w:color="auto" w:fill="auto"/>
            <w:noWrap/>
            <w:vAlign w:val="bottom"/>
            <w:hideMark/>
          </w:tcPr>
          <w:p w14:paraId="115FCE9C" w14:textId="77777777" w:rsidR="00D74C5E" w:rsidRPr="00D74C5E" w:rsidRDefault="00D74C5E" w:rsidP="00D74C5E">
            <w:pPr>
              <w:spacing w:after="0" w:line="240" w:lineRule="auto"/>
              <w:jc w:val="center"/>
              <w:rPr>
                <w:rFonts w:eastAsia="Times New Roman" w:cs="Calibri"/>
                <w:color w:val="000000"/>
                <w:sz w:val="20"/>
                <w:szCs w:val="20"/>
                <w:lang w:eastAsia="es-CR"/>
              </w:rPr>
            </w:pPr>
            <w:r w:rsidRPr="00D74C5E">
              <w:rPr>
                <w:rFonts w:eastAsia="Times New Roman" w:cs="Calibri"/>
                <w:color w:val="000000"/>
                <w:sz w:val="20"/>
                <w:szCs w:val="20"/>
                <w:lang w:eastAsia="es-CR"/>
              </w:rPr>
              <w:t>99999</w:t>
            </w:r>
          </w:p>
        </w:tc>
        <w:tc>
          <w:tcPr>
            <w:tcW w:w="4320" w:type="dxa"/>
            <w:tcBorders>
              <w:top w:val="single" w:sz="8" w:space="0" w:color="auto"/>
              <w:left w:val="nil"/>
              <w:bottom w:val="nil"/>
              <w:right w:val="single" w:sz="8" w:space="0" w:color="auto"/>
            </w:tcBorders>
            <w:shd w:val="clear" w:color="auto" w:fill="auto"/>
            <w:vAlign w:val="bottom"/>
            <w:hideMark/>
          </w:tcPr>
          <w:p w14:paraId="2386032D" w14:textId="77777777" w:rsidR="00D74C5E" w:rsidRPr="00D74C5E" w:rsidRDefault="00D74C5E" w:rsidP="00D74C5E">
            <w:pPr>
              <w:spacing w:after="0" w:line="240" w:lineRule="auto"/>
              <w:jc w:val="left"/>
              <w:rPr>
                <w:rFonts w:eastAsia="Times New Roman" w:cs="Calibri"/>
                <w:color w:val="000000"/>
                <w:sz w:val="20"/>
                <w:szCs w:val="20"/>
                <w:lang w:eastAsia="es-CR"/>
              </w:rPr>
            </w:pPr>
            <w:r w:rsidRPr="00D74C5E">
              <w:rPr>
                <w:rFonts w:eastAsia="Times New Roman" w:cs="Calibri"/>
                <w:color w:val="000000"/>
                <w:sz w:val="20"/>
                <w:szCs w:val="20"/>
                <w:lang w:eastAsia="es-CR"/>
              </w:rPr>
              <w:t>Pensiones y jubilaciones contributivas</w:t>
            </w:r>
          </w:p>
        </w:tc>
        <w:tc>
          <w:tcPr>
            <w:tcW w:w="1140" w:type="dxa"/>
            <w:tcBorders>
              <w:top w:val="single" w:sz="8" w:space="0" w:color="auto"/>
              <w:left w:val="nil"/>
              <w:bottom w:val="nil"/>
              <w:right w:val="nil"/>
            </w:tcBorders>
            <w:shd w:val="clear" w:color="auto" w:fill="auto"/>
            <w:noWrap/>
            <w:vAlign w:val="bottom"/>
            <w:hideMark/>
          </w:tcPr>
          <w:p w14:paraId="67349A48" w14:textId="77777777" w:rsidR="00D74C5E" w:rsidRPr="00D74C5E" w:rsidRDefault="00D74C5E" w:rsidP="00D74C5E">
            <w:pPr>
              <w:spacing w:after="0" w:line="240" w:lineRule="auto"/>
              <w:jc w:val="right"/>
              <w:rPr>
                <w:rFonts w:eastAsia="Times New Roman" w:cs="Calibri"/>
                <w:sz w:val="18"/>
                <w:szCs w:val="18"/>
                <w:lang w:eastAsia="es-CR"/>
              </w:rPr>
            </w:pPr>
            <w:r w:rsidRPr="00D74C5E">
              <w:rPr>
                <w:rFonts w:ascii="Arial" w:eastAsia="Times New Roman" w:hAnsi="Arial" w:cs="Arial"/>
                <w:sz w:val="18"/>
                <w:szCs w:val="18"/>
                <w:lang w:eastAsia="es-CR"/>
              </w:rPr>
              <w:t>₡</w:t>
            </w:r>
            <w:r w:rsidRPr="00D74C5E">
              <w:rPr>
                <w:rFonts w:eastAsia="Times New Roman" w:cs="Calibri"/>
                <w:sz w:val="18"/>
                <w:szCs w:val="18"/>
                <w:lang w:eastAsia="es-CR"/>
              </w:rPr>
              <w:t>10 731,45</w:t>
            </w:r>
          </w:p>
        </w:tc>
        <w:tc>
          <w:tcPr>
            <w:tcW w:w="1360" w:type="dxa"/>
            <w:tcBorders>
              <w:top w:val="single" w:sz="8" w:space="0" w:color="auto"/>
              <w:left w:val="single" w:sz="8" w:space="0" w:color="auto"/>
              <w:bottom w:val="nil"/>
              <w:right w:val="single" w:sz="8" w:space="0" w:color="auto"/>
            </w:tcBorders>
            <w:shd w:val="clear" w:color="auto" w:fill="auto"/>
            <w:noWrap/>
            <w:vAlign w:val="bottom"/>
            <w:hideMark/>
          </w:tcPr>
          <w:p w14:paraId="680F9A30" w14:textId="77777777" w:rsidR="00D74C5E" w:rsidRPr="00D74C5E" w:rsidRDefault="00D74C5E" w:rsidP="00D74C5E">
            <w:pPr>
              <w:spacing w:after="0" w:line="240" w:lineRule="auto"/>
              <w:jc w:val="right"/>
              <w:rPr>
                <w:rFonts w:eastAsia="Times New Roman" w:cs="Calibri"/>
                <w:sz w:val="18"/>
                <w:szCs w:val="18"/>
                <w:lang w:eastAsia="es-CR"/>
              </w:rPr>
            </w:pPr>
            <w:r w:rsidRPr="00D74C5E">
              <w:rPr>
                <w:rFonts w:ascii="Arial" w:eastAsia="Times New Roman" w:hAnsi="Arial" w:cs="Arial"/>
                <w:sz w:val="18"/>
                <w:szCs w:val="18"/>
                <w:lang w:eastAsia="es-CR"/>
              </w:rPr>
              <w:t>₡</w:t>
            </w:r>
            <w:r w:rsidRPr="00D74C5E">
              <w:rPr>
                <w:rFonts w:eastAsia="Times New Roman" w:cs="Calibri"/>
                <w:sz w:val="18"/>
                <w:szCs w:val="18"/>
                <w:lang w:eastAsia="es-CR"/>
              </w:rPr>
              <w:t>2 379,36</w:t>
            </w:r>
          </w:p>
        </w:tc>
        <w:tc>
          <w:tcPr>
            <w:tcW w:w="1340" w:type="dxa"/>
            <w:tcBorders>
              <w:top w:val="single" w:sz="8" w:space="0" w:color="auto"/>
              <w:left w:val="nil"/>
              <w:bottom w:val="nil"/>
              <w:right w:val="single" w:sz="8" w:space="0" w:color="auto"/>
            </w:tcBorders>
            <w:shd w:val="clear" w:color="auto" w:fill="auto"/>
            <w:noWrap/>
            <w:vAlign w:val="bottom"/>
            <w:hideMark/>
          </w:tcPr>
          <w:p w14:paraId="399B2211" w14:textId="77777777" w:rsidR="00D74C5E" w:rsidRPr="00D74C5E" w:rsidRDefault="00D74C5E" w:rsidP="00D74C5E">
            <w:pPr>
              <w:spacing w:after="0" w:line="240" w:lineRule="auto"/>
              <w:jc w:val="right"/>
              <w:rPr>
                <w:rFonts w:eastAsia="Times New Roman" w:cs="Calibri"/>
                <w:sz w:val="18"/>
                <w:szCs w:val="18"/>
                <w:lang w:eastAsia="es-CR"/>
              </w:rPr>
            </w:pPr>
            <w:r w:rsidRPr="00D74C5E">
              <w:rPr>
                <w:rFonts w:ascii="Arial" w:eastAsia="Times New Roman" w:hAnsi="Arial" w:cs="Arial"/>
                <w:sz w:val="18"/>
                <w:szCs w:val="18"/>
                <w:lang w:eastAsia="es-CR"/>
              </w:rPr>
              <w:t>₡</w:t>
            </w:r>
            <w:r w:rsidRPr="00D74C5E">
              <w:rPr>
                <w:rFonts w:eastAsia="Times New Roman" w:cs="Calibri"/>
                <w:sz w:val="18"/>
                <w:szCs w:val="18"/>
                <w:lang w:eastAsia="es-CR"/>
              </w:rPr>
              <w:t>8 352,09</w:t>
            </w:r>
          </w:p>
        </w:tc>
        <w:tc>
          <w:tcPr>
            <w:tcW w:w="860" w:type="dxa"/>
            <w:tcBorders>
              <w:top w:val="single" w:sz="8" w:space="0" w:color="auto"/>
              <w:left w:val="nil"/>
              <w:bottom w:val="nil"/>
              <w:right w:val="single" w:sz="8" w:space="0" w:color="auto"/>
            </w:tcBorders>
            <w:shd w:val="clear" w:color="auto" w:fill="auto"/>
            <w:noWrap/>
            <w:vAlign w:val="bottom"/>
            <w:hideMark/>
          </w:tcPr>
          <w:p w14:paraId="0F76BEF8" w14:textId="77777777" w:rsidR="00D74C5E" w:rsidRPr="00D74C5E" w:rsidRDefault="00D74C5E" w:rsidP="00D74C5E">
            <w:pPr>
              <w:spacing w:after="0" w:line="240" w:lineRule="auto"/>
              <w:jc w:val="right"/>
              <w:rPr>
                <w:rFonts w:eastAsia="Times New Roman" w:cs="Calibri"/>
                <w:color w:val="000000"/>
                <w:sz w:val="18"/>
                <w:szCs w:val="18"/>
                <w:lang w:eastAsia="es-CR"/>
              </w:rPr>
            </w:pPr>
            <w:r w:rsidRPr="00D74C5E">
              <w:rPr>
                <w:rFonts w:eastAsia="Times New Roman" w:cs="Calibri"/>
                <w:color w:val="000000"/>
                <w:sz w:val="18"/>
                <w:szCs w:val="18"/>
                <w:lang w:eastAsia="es-CR"/>
              </w:rPr>
              <w:t>351,02%</w:t>
            </w:r>
          </w:p>
        </w:tc>
      </w:tr>
      <w:tr w:rsidR="00D74C5E" w:rsidRPr="00D74C5E" w14:paraId="4F50E461" w14:textId="77777777" w:rsidTr="00D74C5E">
        <w:trPr>
          <w:trHeight w:val="300"/>
        </w:trPr>
        <w:tc>
          <w:tcPr>
            <w:tcW w:w="1000" w:type="dxa"/>
            <w:tcBorders>
              <w:top w:val="nil"/>
              <w:left w:val="single" w:sz="8" w:space="0" w:color="auto"/>
              <w:bottom w:val="nil"/>
              <w:right w:val="single" w:sz="8" w:space="0" w:color="auto"/>
            </w:tcBorders>
            <w:shd w:val="clear" w:color="auto" w:fill="auto"/>
            <w:noWrap/>
            <w:vAlign w:val="bottom"/>
            <w:hideMark/>
          </w:tcPr>
          <w:p w14:paraId="74F6798B" w14:textId="77777777" w:rsidR="00D74C5E" w:rsidRPr="00D74C5E" w:rsidRDefault="00D74C5E" w:rsidP="00D74C5E">
            <w:pPr>
              <w:spacing w:after="0" w:line="240" w:lineRule="auto"/>
              <w:jc w:val="center"/>
              <w:rPr>
                <w:rFonts w:eastAsia="Times New Roman" w:cs="Calibri"/>
                <w:color w:val="000000"/>
                <w:sz w:val="20"/>
                <w:szCs w:val="20"/>
                <w:lang w:eastAsia="es-CR"/>
              </w:rPr>
            </w:pPr>
            <w:r w:rsidRPr="00D74C5E">
              <w:rPr>
                <w:rFonts w:eastAsia="Times New Roman" w:cs="Calibri"/>
                <w:color w:val="000000"/>
                <w:sz w:val="20"/>
                <w:szCs w:val="20"/>
                <w:lang w:eastAsia="es-CR"/>
              </w:rPr>
              <w:t>99999</w:t>
            </w:r>
          </w:p>
        </w:tc>
        <w:tc>
          <w:tcPr>
            <w:tcW w:w="4320" w:type="dxa"/>
            <w:tcBorders>
              <w:top w:val="nil"/>
              <w:left w:val="nil"/>
              <w:bottom w:val="nil"/>
              <w:right w:val="single" w:sz="8" w:space="0" w:color="auto"/>
            </w:tcBorders>
            <w:shd w:val="clear" w:color="auto" w:fill="auto"/>
            <w:vAlign w:val="bottom"/>
            <w:hideMark/>
          </w:tcPr>
          <w:p w14:paraId="2EA1B8D7" w14:textId="77777777" w:rsidR="00D74C5E" w:rsidRPr="00D74C5E" w:rsidRDefault="00D74C5E" w:rsidP="00D74C5E">
            <w:pPr>
              <w:spacing w:after="0" w:line="240" w:lineRule="auto"/>
              <w:jc w:val="left"/>
              <w:rPr>
                <w:rFonts w:eastAsia="Times New Roman" w:cs="Calibri"/>
                <w:color w:val="000000"/>
                <w:sz w:val="20"/>
                <w:szCs w:val="20"/>
                <w:lang w:eastAsia="es-CR"/>
              </w:rPr>
            </w:pPr>
            <w:r w:rsidRPr="00D74C5E">
              <w:rPr>
                <w:rFonts w:eastAsia="Times New Roman" w:cs="Calibri"/>
                <w:color w:val="000000"/>
                <w:sz w:val="20"/>
                <w:szCs w:val="20"/>
                <w:lang w:eastAsia="es-CR"/>
              </w:rPr>
              <w:t>Otras prestaciones</w:t>
            </w:r>
          </w:p>
        </w:tc>
        <w:tc>
          <w:tcPr>
            <w:tcW w:w="1140" w:type="dxa"/>
            <w:tcBorders>
              <w:top w:val="nil"/>
              <w:left w:val="nil"/>
              <w:bottom w:val="nil"/>
              <w:right w:val="single" w:sz="8" w:space="0" w:color="auto"/>
            </w:tcBorders>
            <w:shd w:val="clear" w:color="auto" w:fill="auto"/>
            <w:noWrap/>
            <w:vAlign w:val="bottom"/>
            <w:hideMark/>
          </w:tcPr>
          <w:p w14:paraId="0D3CE6F3" w14:textId="77777777" w:rsidR="00D74C5E" w:rsidRPr="00D74C5E" w:rsidRDefault="00D74C5E" w:rsidP="00D74C5E">
            <w:pPr>
              <w:spacing w:after="0" w:line="240" w:lineRule="auto"/>
              <w:jc w:val="right"/>
              <w:rPr>
                <w:rFonts w:eastAsia="Times New Roman" w:cs="Calibri"/>
                <w:sz w:val="18"/>
                <w:szCs w:val="18"/>
                <w:lang w:eastAsia="es-CR"/>
              </w:rPr>
            </w:pPr>
            <w:r w:rsidRPr="00D74C5E">
              <w:rPr>
                <w:rFonts w:ascii="Arial" w:eastAsia="Times New Roman" w:hAnsi="Arial" w:cs="Arial"/>
                <w:sz w:val="18"/>
                <w:szCs w:val="18"/>
                <w:lang w:eastAsia="es-CR"/>
              </w:rPr>
              <w:t>₡</w:t>
            </w:r>
            <w:r w:rsidRPr="00D74C5E">
              <w:rPr>
                <w:rFonts w:eastAsia="Times New Roman" w:cs="Calibri"/>
                <w:sz w:val="18"/>
                <w:szCs w:val="18"/>
                <w:lang w:eastAsia="es-CR"/>
              </w:rPr>
              <w:t>6 498,74</w:t>
            </w:r>
          </w:p>
        </w:tc>
        <w:tc>
          <w:tcPr>
            <w:tcW w:w="1360" w:type="dxa"/>
            <w:tcBorders>
              <w:top w:val="nil"/>
              <w:left w:val="nil"/>
              <w:bottom w:val="nil"/>
              <w:right w:val="single" w:sz="8" w:space="0" w:color="auto"/>
            </w:tcBorders>
            <w:shd w:val="clear" w:color="auto" w:fill="auto"/>
            <w:noWrap/>
            <w:vAlign w:val="bottom"/>
            <w:hideMark/>
          </w:tcPr>
          <w:p w14:paraId="7474BFC2" w14:textId="77777777" w:rsidR="00D74C5E" w:rsidRPr="00D74C5E" w:rsidRDefault="00D74C5E" w:rsidP="00D74C5E">
            <w:pPr>
              <w:spacing w:after="0" w:line="240" w:lineRule="auto"/>
              <w:jc w:val="right"/>
              <w:rPr>
                <w:rFonts w:eastAsia="Times New Roman" w:cs="Calibri"/>
                <w:sz w:val="18"/>
                <w:szCs w:val="18"/>
                <w:lang w:eastAsia="es-CR"/>
              </w:rPr>
            </w:pPr>
            <w:r w:rsidRPr="00D74C5E">
              <w:rPr>
                <w:rFonts w:ascii="Arial" w:eastAsia="Times New Roman" w:hAnsi="Arial" w:cs="Arial"/>
                <w:sz w:val="18"/>
                <w:szCs w:val="18"/>
                <w:lang w:eastAsia="es-CR"/>
              </w:rPr>
              <w:t>₡</w:t>
            </w:r>
            <w:r w:rsidRPr="00D74C5E">
              <w:rPr>
                <w:rFonts w:eastAsia="Times New Roman" w:cs="Calibri"/>
                <w:sz w:val="18"/>
                <w:szCs w:val="18"/>
                <w:lang w:eastAsia="es-CR"/>
              </w:rPr>
              <w:t>5 109,10</w:t>
            </w:r>
          </w:p>
        </w:tc>
        <w:tc>
          <w:tcPr>
            <w:tcW w:w="1340" w:type="dxa"/>
            <w:tcBorders>
              <w:top w:val="nil"/>
              <w:left w:val="nil"/>
              <w:bottom w:val="nil"/>
              <w:right w:val="single" w:sz="8" w:space="0" w:color="auto"/>
            </w:tcBorders>
            <w:shd w:val="clear" w:color="000000" w:fill="FFFFFF"/>
            <w:noWrap/>
            <w:vAlign w:val="bottom"/>
            <w:hideMark/>
          </w:tcPr>
          <w:p w14:paraId="3DED5A41" w14:textId="77777777" w:rsidR="00D74C5E" w:rsidRPr="00D74C5E" w:rsidRDefault="00D74C5E" w:rsidP="00D74C5E">
            <w:pPr>
              <w:spacing w:after="0" w:line="240" w:lineRule="auto"/>
              <w:jc w:val="right"/>
              <w:rPr>
                <w:rFonts w:eastAsia="Times New Roman" w:cs="Calibri"/>
                <w:sz w:val="18"/>
                <w:szCs w:val="18"/>
                <w:lang w:eastAsia="es-CR"/>
              </w:rPr>
            </w:pPr>
            <w:r w:rsidRPr="00D74C5E">
              <w:rPr>
                <w:rFonts w:eastAsia="Times New Roman" w:cs="Calibri"/>
                <w:sz w:val="18"/>
                <w:szCs w:val="18"/>
                <w:lang w:eastAsia="es-CR"/>
              </w:rPr>
              <w:t>1 389,64</w:t>
            </w:r>
          </w:p>
        </w:tc>
        <w:tc>
          <w:tcPr>
            <w:tcW w:w="860" w:type="dxa"/>
            <w:tcBorders>
              <w:top w:val="nil"/>
              <w:left w:val="nil"/>
              <w:bottom w:val="nil"/>
              <w:right w:val="single" w:sz="8" w:space="0" w:color="auto"/>
            </w:tcBorders>
            <w:shd w:val="clear" w:color="auto" w:fill="auto"/>
            <w:noWrap/>
            <w:vAlign w:val="bottom"/>
            <w:hideMark/>
          </w:tcPr>
          <w:p w14:paraId="55AC554A" w14:textId="77777777" w:rsidR="00D74C5E" w:rsidRPr="00D74C5E" w:rsidRDefault="00D74C5E" w:rsidP="00D74C5E">
            <w:pPr>
              <w:spacing w:after="0" w:line="240" w:lineRule="auto"/>
              <w:jc w:val="right"/>
              <w:rPr>
                <w:rFonts w:eastAsia="Times New Roman" w:cs="Calibri"/>
                <w:color w:val="000000"/>
                <w:sz w:val="18"/>
                <w:szCs w:val="18"/>
                <w:lang w:eastAsia="es-CR"/>
              </w:rPr>
            </w:pPr>
            <w:r w:rsidRPr="00D74C5E">
              <w:rPr>
                <w:rFonts w:eastAsia="Times New Roman" w:cs="Calibri"/>
                <w:color w:val="000000"/>
                <w:sz w:val="18"/>
                <w:szCs w:val="18"/>
                <w:lang w:eastAsia="es-CR"/>
              </w:rPr>
              <w:t>27,20%</w:t>
            </w:r>
          </w:p>
        </w:tc>
      </w:tr>
      <w:tr w:rsidR="00D74C5E" w:rsidRPr="00D74C5E" w14:paraId="594A592C" w14:textId="77777777" w:rsidTr="00D74C5E">
        <w:trPr>
          <w:trHeight w:val="300"/>
        </w:trPr>
        <w:tc>
          <w:tcPr>
            <w:tcW w:w="1000" w:type="dxa"/>
            <w:tcBorders>
              <w:top w:val="nil"/>
              <w:left w:val="single" w:sz="8" w:space="0" w:color="auto"/>
              <w:bottom w:val="nil"/>
              <w:right w:val="single" w:sz="8" w:space="0" w:color="auto"/>
            </w:tcBorders>
            <w:shd w:val="clear" w:color="auto" w:fill="auto"/>
            <w:noWrap/>
            <w:vAlign w:val="bottom"/>
            <w:hideMark/>
          </w:tcPr>
          <w:p w14:paraId="6D5637AD" w14:textId="77777777" w:rsidR="00D74C5E" w:rsidRPr="00D74C5E" w:rsidRDefault="00D74C5E" w:rsidP="00D74C5E">
            <w:pPr>
              <w:spacing w:after="0" w:line="240" w:lineRule="auto"/>
              <w:jc w:val="center"/>
              <w:rPr>
                <w:rFonts w:eastAsia="Times New Roman" w:cs="Calibri"/>
                <w:color w:val="000000"/>
                <w:sz w:val="20"/>
                <w:szCs w:val="20"/>
                <w:lang w:eastAsia="es-CR"/>
              </w:rPr>
            </w:pPr>
            <w:bookmarkStart w:id="1007" w:name="_Hlk189126874"/>
            <w:r w:rsidRPr="00D74C5E">
              <w:rPr>
                <w:rFonts w:eastAsia="Times New Roman" w:cs="Calibri"/>
                <w:color w:val="000000"/>
                <w:sz w:val="20"/>
                <w:szCs w:val="20"/>
                <w:lang w:eastAsia="es-CR"/>
              </w:rPr>
              <w:t>99999</w:t>
            </w:r>
          </w:p>
        </w:tc>
        <w:tc>
          <w:tcPr>
            <w:tcW w:w="4320" w:type="dxa"/>
            <w:tcBorders>
              <w:top w:val="nil"/>
              <w:left w:val="nil"/>
              <w:bottom w:val="nil"/>
              <w:right w:val="single" w:sz="8" w:space="0" w:color="auto"/>
            </w:tcBorders>
            <w:shd w:val="clear" w:color="auto" w:fill="auto"/>
            <w:vAlign w:val="bottom"/>
            <w:hideMark/>
          </w:tcPr>
          <w:p w14:paraId="1FA2CAE8" w14:textId="77777777" w:rsidR="00D74C5E" w:rsidRPr="00D74C5E" w:rsidRDefault="00D74C5E" w:rsidP="00D74C5E">
            <w:pPr>
              <w:spacing w:after="0" w:line="240" w:lineRule="auto"/>
              <w:jc w:val="left"/>
              <w:rPr>
                <w:rFonts w:eastAsia="Times New Roman" w:cs="Calibri"/>
                <w:color w:val="000000"/>
                <w:sz w:val="20"/>
                <w:szCs w:val="20"/>
                <w:lang w:eastAsia="es-CR"/>
              </w:rPr>
            </w:pPr>
            <w:r w:rsidRPr="00D74C5E">
              <w:rPr>
                <w:rFonts w:eastAsia="Times New Roman" w:cs="Calibri"/>
                <w:color w:val="000000"/>
                <w:sz w:val="20"/>
                <w:szCs w:val="20"/>
                <w:lang w:eastAsia="es-CR"/>
              </w:rPr>
              <w:t>Otras transferencias corrientes a personas</w:t>
            </w:r>
          </w:p>
        </w:tc>
        <w:tc>
          <w:tcPr>
            <w:tcW w:w="1140" w:type="dxa"/>
            <w:tcBorders>
              <w:top w:val="nil"/>
              <w:left w:val="nil"/>
              <w:bottom w:val="nil"/>
              <w:right w:val="single" w:sz="8" w:space="0" w:color="auto"/>
            </w:tcBorders>
            <w:shd w:val="clear" w:color="auto" w:fill="auto"/>
            <w:noWrap/>
            <w:vAlign w:val="bottom"/>
            <w:hideMark/>
          </w:tcPr>
          <w:p w14:paraId="434EDEDA" w14:textId="77777777" w:rsidR="00D74C5E" w:rsidRPr="00D74C5E" w:rsidRDefault="00D74C5E" w:rsidP="00D74C5E">
            <w:pPr>
              <w:spacing w:after="0" w:line="240" w:lineRule="auto"/>
              <w:jc w:val="right"/>
              <w:rPr>
                <w:rFonts w:eastAsia="Times New Roman" w:cs="Calibri"/>
                <w:sz w:val="18"/>
                <w:szCs w:val="18"/>
                <w:lang w:eastAsia="es-CR"/>
              </w:rPr>
            </w:pPr>
            <w:r w:rsidRPr="00D74C5E">
              <w:rPr>
                <w:rFonts w:ascii="Arial" w:eastAsia="Times New Roman" w:hAnsi="Arial" w:cs="Arial"/>
                <w:sz w:val="18"/>
                <w:szCs w:val="18"/>
                <w:lang w:eastAsia="es-CR"/>
              </w:rPr>
              <w:t>₡</w:t>
            </w:r>
            <w:r w:rsidRPr="00D74C5E">
              <w:rPr>
                <w:rFonts w:eastAsia="Times New Roman" w:cs="Calibri"/>
                <w:sz w:val="18"/>
                <w:szCs w:val="18"/>
                <w:lang w:eastAsia="es-CR"/>
              </w:rPr>
              <w:t>105 220,99</w:t>
            </w:r>
          </w:p>
        </w:tc>
        <w:tc>
          <w:tcPr>
            <w:tcW w:w="1360" w:type="dxa"/>
            <w:tcBorders>
              <w:top w:val="nil"/>
              <w:left w:val="nil"/>
              <w:bottom w:val="nil"/>
              <w:right w:val="single" w:sz="8" w:space="0" w:color="auto"/>
            </w:tcBorders>
            <w:shd w:val="clear" w:color="auto" w:fill="auto"/>
            <w:noWrap/>
            <w:vAlign w:val="bottom"/>
            <w:hideMark/>
          </w:tcPr>
          <w:p w14:paraId="43C8305B" w14:textId="77777777" w:rsidR="00D74C5E" w:rsidRPr="00D74C5E" w:rsidRDefault="00D74C5E" w:rsidP="00D74C5E">
            <w:pPr>
              <w:spacing w:after="0" w:line="240" w:lineRule="auto"/>
              <w:jc w:val="right"/>
              <w:rPr>
                <w:rFonts w:eastAsia="Times New Roman" w:cs="Calibri"/>
                <w:sz w:val="18"/>
                <w:szCs w:val="18"/>
                <w:lang w:eastAsia="es-CR"/>
              </w:rPr>
            </w:pPr>
            <w:r w:rsidRPr="00D74C5E">
              <w:rPr>
                <w:rFonts w:ascii="Arial" w:eastAsia="Times New Roman" w:hAnsi="Arial" w:cs="Arial"/>
                <w:sz w:val="18"/>
                <w:szCs w:val="18"/>
                <w:lang w:eastAsia="es-CR"/>
              </w:rPr>
              <w:t>₡</w:t>
            </w:r>
            <w:r w:rsidRPr="00D74C5E">
              <w:rPr>
                <w:rFonts w:eastAsia="Times New Roman" w:cs="Calibri"/>
                <w:sz w:val="18"/>
                <w:szCs w:val="18"/>
                <w:lang w:eastAsia="es-CR"/>
              </w:rPr>
              <w:t>2 913,01</w:t>
            </w:r>
          </w:p>
        </w:tc>
        <w:tc>
          <w:tcPr>
            <w:tcW w:w="1340" w:type="dxa"/>
            <w:tcBorders>
              <w:top w:val="nil"/>
              <w:left w:val="nil"/>
              <w:bottom w:val="nil"/>
              <w:right w:val="single" w:sz="8" w:space="0" w:color="auto"/>
            </w:tcBorders>
            <w:shd w:val="clear" w:color="000000" w:fill="FFFFFF"/>
            <w:noWrap/>
            <w:vAlign w:val="bottom"/>
            <w:hideMark/>
          </w:tcPr>
          <w:p w14:paraId="71F3E0C2" w14:textId="77777777" w:rsidR="00D74C5E" w:rsidRPr="00D74C5E" w:rsidRDefault="00D74C5E" w:rsidP="00D74C5E">
            <w:pPr>
              <w:spacing w:after="0" w:line="240" w:lineRule="auto"/>
              <w:jc w:val="right"/>
              <w:rPr>
                <w:rFonts w:eastAsia="Times New Roman" w:cs="Calibri"/>
                <w:sz w:val="18"/>
                <w:szCs w:val="18"/>
                <w:lang w:eastAsia="es-CR"/>
              </w:rPr>
            </w:pPr>
            <w:r w:rsidRPr="00D74C5E">
              <w:rPr>
                <w:rFonts w:eastAsia="Times New Roman" w:cs="Calibri"/>
                <w:sz w:val="18"/>
                <w:szCs w:val="18"/>
                <w:lang w:eastAsia="es-CR"/>
              </w:rPr>
              <w:t>102 307,98</w:t>
            </w:r>
          </w:p>
        </w:tc>
        <w:tc>
          <w:tcPr>
            <w:tcW w:w="860" w:type="dxa"/>
            <w:tcBorders>
              <w:top w:val="nil"/>
              <w:left w:val="nil"/>
              <w:bottom w:val="nil"/>
              <w:right w:val="single" w:sz="8" w:space="0" w:color="auto"/>
            </w:tcBorders>
            <w:shd w:val="clear" w:color="auto" w:fill="auto"/>
            <w:noWrap/>
            <w:vAlign w:val="bottom"/>
            <w:hideMark/>
          </w:tcPr>
          <w:p w14:paraId="34025A2E" w14:textId="77777777" w:rsidR="00D74C5E" w:rsidRPr="00D74C5E" w:rsidRDefault="00D74C5E" w:rsidP="00D74C5E">
            <w:pPr>
              <w:spacing w:after="0" w:line="240" w:lineRule="auto"/>
              <w:jc w:val="right"/>
              <w:rPr>
                <w:rFonts w:eastAsia="Times New Roman" w:cs="Calibri"/>
                <w:color w:val="000000"/>
                <w:sz w:val="18"/>
                <w:szCs w:val="18"/>
                <w:lang w:eastAsia="es-CR"/>
              </w:rPr>
            </w:pPr>
            <w:r w:rsidRPr="00D74C5E">
              <w:rPr>
                <w:rFonts w:eastAsia="Times New Roman" w:cs="Calibri"/>
                <w:color w:val="000000"/>
                <w:sz w:val="18"/>
                <w:szCs w:val="18"/>
                <w:lang w:eastAsia="es-CR"/>
              </w:rPr>
              <w:t>3512,11%</w:t>
            </w:r>
          </w:p>
        </w:tc>
      </w:tr>
      <w:bookmarkEnd w:id="1007"/>
      <w:tr w:rsidR="00D74C5E" w:rsidRPr="00D74C5E" w14:paraId="0631EBB6" w14:textId="77777777" w:rsidTr="00D74C5E">
        <w:trPr>
          <w:trHeight w:val="300"/>
        </w:trPr>
        <w:tc>
          <w:tcPr>
            <w:tcW w:w="1000" w:type="dxa"/>
            <w:tcBorders>
              <w:top w:val="nil"/>
              <w:left w:val="single" w:sz="8" w:space="0" w:color="auto"/>
              <w:bottom w:val="nil"/>
              <w:right w:val="single" w:sz="8" w:space="0" w:color="auto"/>
            </w:tcBorders>
            <w:shd w:val="clear" w:color="auto" w:fill="auto"/>
            <w:noWrap/>
            <w:vAlign w:val="bottom"/>
            <w:hideMark/>
          </w:tcPr>
          <w:p w14:paraId="144BCB3F" w14:textId="77777777" w:rsidR="00D74C5E" w:rsidRPr="00D74C5E" w:rsidRDefault="00D74C5E" w:rsidP="00D74C5E">
            <w:pPr>
              <w:spacing w:after="0" w:line="240" w:lineRule="auto"/>
              <w:jc w:val="center"/>
              <w:rPr>
                <w:rFonts w:eastAsia="Times New Roman" w:cs="Calibri"/>
                <w:color w:val="000000"/>
                <w:sz w:val="20"/>
                <w:szCs w:val="20"/>
                <w:lang w:eastAsia="es-CR"/>
              </w:rPr>
            </w:pPr>
            <w:r w:rsidRPr="00D74C5E">
              <w:rPr>
                <w:rFonts w:eastAsia="Times New Roman" w:cs="Calibri"/>
                <w:color w:val="000000"/>
                <w:sz w:val="20"/>
                <w:szCs w:val="20"/>
                <w:lang w:eastAsia="es-CR"/>
              </w:rPr>
              <w:t>99999</w:t>
            </w:r>
          </w:p>
        </w:tc>
        <w:tc>
          <w:tcPr>
            <w:tcW w:w="4320" w:type="dxa"/>
            <w:tcBorders>
              <w:top w:val="nil"/>
              <w:left w:val="nil"/>
              <w:bottom w:val="nil"/>
              <w:right w:val="single" w:sz="8" w:space="0" w:color="auto"/>
            </w:tcBorders>
            <w:shd w:val="clear" w:color="auto" w:fill="auto"/>
            <w:vAlign w:val="bottom"/>
            <w:hideMark/>
          </w:tcPr>
          <w:p w14:paraId="3AC0F6B2" w14:textId="77777777" w:rsidR="00D74C5E" w:rsidRPr="00D74C5E" w:rsidRDefault="00D74C5E" w:rsidP="00D74C5E">
            <w:pPr>
              <w:spacing w:after="0" w:line="240" w:lineRule="auto"/>
              <w:jc w:val="left"/>
              <w:rPr>
                <w:rFonts w:eastAsia="Times New Roman" w:cs="Calibri"/>
                <w:color w:val="000000"/>
                <w:sz w:val="20"/>
                <w:szCs w:val="20"/>
                <w:lang w:eastAsia="es-CR"/>
              </w:rPr>
            </w:pPr>
            <w:r w:rsidRPr="00D74C5E">
              <w:rPr>
                <w:rFonts w:eastAsia="Times New Roman" w:cs="Calibri"/>
                <w:color w:val="000000"/>
                <w:sz w:val="20"/>
                <w:szCs w:val="20"/>
                <w:lang w:eastAsia="es-CR"/>
              </w:rPr>
              <w:t>Transferencias corrientes a asociaciones</w:t>
            </w:r>
          </w:p>
        </w:tc>
        <w:tc>
          <w:tcPr>
            <w:tcW w:w="1140" w:type="dxa"/>
            <w:tcBorders>
              <w:top w:val="nil"/>
              <w:left w:val="nil"/>
              <w:bottom w:val="nil"/>
              <w:right w:val="single" w:sz="8" w:space="0" w:color="auto"/>
            </w:tcBorders>
            <w:shd w:val="clear" w:color="auto" w:fill="auto"/>
            <w:noWrap/>
            <w:vAlign w:val="bottom"/>
            <w:hideMark/>
          </w:tcPr>
          <w:p w14:paraId="17C4D718" w14:textId="77777777" w:rsidR="00D74C5E" w:rsidRPr="00D74C5E" w:rsidRDefault="00D74C5E" w:rsidP="00D74C5E">
            <w:pPr>
              <w:spacing w:after="0" w:line="240" w:lineRule="auto"/>
              <w:jc w:val="right"/>
              <w:rPr>
                <w:rFonts w:eastAsia="Times New Roman" w:cs="Calibri"/>
                <w:sz w:val="18"/>
                <w:szCs w:val="18"/>
                <w:lang w:eastAsia="es-CR"/>
              </w:rPr>
            </w:pPr>
            <w:r w:rsidRPr="00D74C5E">
              <w:rPr>
                <w:rFonts w:ascii="Arial" w:eastAsia="Times New Roman" w:hAnsi="Arial" w:cs="Arial"/>
                <w:sz w:val="18"/>
                <w:szCs w:val="18"/>
                <w:lang w:eastAsia="es-CR"/>
              </w:rPr>
              <w:t>₡</w:t>
            </w:r>
            <w:r w:rsidRPr="00D74C5E">
              <w:rPr>
                <w:rFonts w:eastAsia="Times New Roman" w:cs="Calibri"/>
                <w:sz w:val="18"/>
                <w:szCs w:val="18"/>
                <w:lang w:eastAsia="es-CR"/>
              </w:rPr>
              <w:t>16 708,56</w:t>
            </w:r>
          </w:p>
        </w:tc>
        <w:tc>
          <w:tcPr>
            <w:tcW w:w="1360" w:type="dxa"/>
            <w:tcBorders>
              <w:top w:val="nil"/>
              <w:left w:val="nil"/>
              <w:bottom w:val="nil"/>
              <w:right w:val="single" w:sz="8" w:space="0" w:color="auto"/>
            </w:tcBorders>
            <w:shd w:val="clear" w:color="auto" w:fill="auto"/>
            <w:noWrap/>
            <w:vAlign w:val="bottom"/>
            <w:hideMark/>
          </w:tcPr>
          <w:p w14:paraId="757C71AE" w14:textId="77777777" w:rsidR="00D74C5E" w:rsidRPr="00D74C5E" w:rsidRDefault="00D74C5E" w:rsidP="00D74C5E">
            <w:pPr>
              <w:spacing w:after="0" w:line="240" w:lineRule="auto"/>
              <w:jc w:val="right"/>
              <w:rPr>
                <w:rFonts w:eastAsia="Times New Roman" w:cs="Calibri"/>
                <w:sz w:val="18"/>
                <w:szCs w:val="18"/>
                <w:lang w:eastAsia="es-CR"/>
              </w:rPr>
            </w:pPr>
            <w:r w:rsidRPr="00D74C5E">
              <w:rPr>
                <w:rFonts w:ascii="Arial" w:eastAsia="Times New Roman" w:hAnsi="Arial" w:cs="Arial"/>
                <w:sz w:val="18"/>
                <w:szCs w:val="18"/>
                <w:lang w:eastAsia="es-CR"/>
              </w:rPr>
              <w:t>₡</w:t>
            </w:r>
            <w:r w:rsidRPr="00D74C5E">
              <w:rPr>
                <w:rFonts w:eastAsia="Times New Roman" w:cs="Calibri"/>
                <w:sz w:val="18"/>
                <w:szCs w:val="18"/>
                <w:lang w:eastAsia="es-CR"/>
              </w:rPr>
              <w:t>0,00</w:t>
            </w:r>
          </w:p>
        </w:tc>
        <w:tc>
          <w:tcPr>
            <w:tcW w:w="1340" w:type="dxa"/>
            <w:tcBorders>
              <w:top w:val="nil"/>
              <w:left w:val="nil"/>
              <w:bottom w:val="nil"/>
              <w:right w:val="single" w:sz="8" w:space="0" w:color="auto"/>
            </w:tcBorders>
            <w:shd w:val="clear" w:color="000000" w:fill="FFFFFF"/>
            <w:noWrap/>
            <w:vAlign w:val="bottom"/>
            <w:hideMark/>
          </w:tcPr>
          <w:p w14:paraId="422228BB" w14:textId="77777777" w:rsidR="00D74C5E" w:rsidRPr="00D74C5E" w:rsidRDefault="00D74C5E" w:rsidP="00D74C5E">
            <w:pPr>
              <w:spacing w:after="0" w:line="240" w:lineRule="auto"/>
              <w:jc w:val="right"/>
              <w:rPr>
                <w:rFonts w:eastAsia="Times New Roman" w:cs="Calibri"/>
                <w:sz w:val="18"/>
                <w:szCs w:val="18"/>
                <w:lang w:eastAsia="es-CR"/>
              </w:rPr>
            </w:pPr>
            <w:bookmarkStart w:id="1008" w:name="_Hlk189126926"/>
            <w:r w:rsidRPr="00D74C5E">
              <w:rPr>
                <w:rFonts w:eastAsia="Times New Roman" w:cs="Calibri"/>
                <w:sz w:val="18"/>
                <w:szCs w:val="18"/>
                <w:lang w:eastAsia="es-CR"/>
              </w:rPr>
              <w:t>16 708,56</w:t>
            </w:r>
            <w:bookmarkEnd w:id="1008"/>
          </w:p>
        </w:tc>
        <w:tc>
          <w:tcPr>
            <w:tcW w:w="860" w:type="dxa"/>
            <w:tcBorders>
              <w:top w:val="nil"/>
              <w:left w:val="nil"/>
              <w:bottom w:val="nil"/>
              <w:right w:val="single" w:sz="8" w:space="0" w:color="auto"/>
            </w:tcBorders>
            <w:shd w:val="clear" w:color="auto" w:fill="auto"/>
            <w:noWrap/>
            <w:vAlign w:val="bottom"/>
            <w:hideMark/>
          </w:tcPr>
          <w:p w14:paraId="338165FA" w14:textId="77777777" w:rsidR="00D74C5E" w:rsidRPr="00D74C5E" w:rsidRDefault="00D74C5E" w:rsidP="00D74C5E">
            <w:pPr>
              <w:spacing w:after="0" w:line="240" w:lineRule="auto"/>
              <w:jc w:val="center"/>
              <w:rPr>
                <w:rFonts w:eastAsia="Times New Roman" w:cs="Calibri"/>
                <w:color w:val="000000"/>
                <w:sz w:val="18"/>
                <w:szCs w:val="18"/>
                <w:lang w:eastAsia="es-CR"/>
              </w:rPr>
            </w:pPr>
            <w:r w:rsidRPr="00D74C5E">
              <w:rPr>
                <w:rFonts w:eastAsia="Times New Roman" w:cs="Calibri"/>
                <w:color w:val="000000"/>
                <w:sz w:val="18"/>
                <w:szCs w:val="18"/>
                <w:lang w:eastAsia="es-CR"/>
              </w:rPr>
              <w:t>#¡DIV/0!</w:t>
            </w:r>
          </w:p>
        </w:tc>
      </w:tr>
      <w:tr w:rsidR="00D74C5E" w:rsidRPr="00D74C5E" w14:paraId="4A68DD14" w14:textId="77777777" w:rsidTr="00D74C5E">
        <w:trPr>
          <w:trHeight w:val="540"/>
        </w:trPr>
        <w:tc>
          <w:tcPr>
            <w:tcW w:w="1000" w:type="dxa"/>
            <w:tcBorders>
              <w:top w:val="nil"/>
              <w:left w:val="single" w:sz="8" w:space="0" w:color="auto"/>
              <w:bottom w:val="nil"/>
              <w:right w:val="single" w:sz="8" w:space="0" w:color="auto"/>
            </w:tcBorders>
            <w:shd w:val="clear" w:color="auto" w:fill="auto"/>
            <w:noWrap/>
            <w:vAlign w:val="bottom"/>
            <w:hideMark/>
          </w:tcPr>
          <w:p w14:paraId="442C47F5" w14:textId="77777777" w:rsidR="00D74C5E" w:rsidRPr="00D74C5E" w:rsidRDefault="00D74C5E" w:rsidP="00D74C5E">
            <w:pPr>
              <w:spacing w:after="0" w:line="240" w:lineRule="auto"/>
              <w:jc w:val="center"/>
              <w:rPr>
                <w:rFonts w:eastAsia="Times New Roman" w:cs="Calibri"/>
                <w:color w:val="000000"/>
                <w:sz w:val="20"/>
                <w:szCs w:val="20"/>
                <w:lang w:eastAsia="es-CR"/>
              </w:rPr>
            </w:pPr>
            <w:r w:rsidRPr="00D74C5E">
              <w:rPr>
                <w:rFonts w:eastAsia="Times New Roman" w:cs="Calibri"/>
                <w:color w:val="000000"/>
                <w:sz w:val="20"/>
                <w:szCs w:val="20"/>
                <w:lang w:eastAsia="es-CR"/>
              </w:rPr>
              <w:t>99999</w:t>
            </w:r>
          </w:p>
        </w:tc>
        <w:tc>
          <w:tcPr>
            <w:tcW w:w="4320" w:type="dxa"/>
            <w:tcBorders>
              <w:top w:val="nil"/>
              <w:left w:val="nil"/>
              <w:bottom w:val="nil"/>
              <w:right w:val="single" w:sz="8" w:space="0" w:color="auto"/>
            </w:tcBorders>
            <w:shd w:val="clear" w:color="auto" w:fill="auto"/>
            <w:vAlign w:val="bottom"/>
            <w:hideMark/>
          </w:tcPr>
          <w:p w14:paraId="71D16D99" w14:textId="77777777" w:rsidR="00D74C5E" w:rsidRPr="00D74C5E" w:rsidRDefault="00D74C5E" w:rsidP="00D74C5E">
            <w:pPr>
              <w:spacing w:after="0" w:line="240" w:lineRule="auto"/>
              <w:jc w:val="left"/>
              <w:rPr>
                <w:rFonts w:eastAsia="Times New Roman" w:cs="Calibri"/>
                <w:color w:val="000000"/>
                <w:sz w:val="20"/>
                <w:szCs w:val="20"/>
                <w:lang w:eastAsia="es-CR"/>
              </w:rPr>
            </w:pPr>
            <w:r w:rsidRPr="00D74C5E">
              <w:rPr>
                <w:rFonts w:eastAsia="Times New Roman" w:cs="Calibri"/>
                <w:color w:val="000000"/>
                <w:sz w:val="20"/>
                <w:szCs w:val="20"/>
                <w:lang w:eastAsia="es-CR"/>
              </w:rPr>
              <w:t>Transferencias corrientes a otras entidades privadas sin fines de lucro</w:t>
            </w:r>
          </w:p>
        </w:tc>
        <w:tc>
          <w:tcPr>
            <w:tcW w:w="1140" w:type="dxa"/>
            <w:tcBorders>
              <w:top w:val="nil"/>
              <w:left w:val="nil"/>
              <w:bottom w:val="nil"/>
              <w:right w:val="single" w:sz="8" w:space="0" w:color="auto"/>
            </w:tcBorders>
            <w:shd w:val="clear" w:color="auto" w:fill="auto"/>
            <w:noWrap/>
            <w:vAlign w:val="bottom"/>
            <w:hideMark/>
          </w:tcPr>
          <w:p w14:paraId="0A66807E" w14:textId="77777777" w:rsidR="00D74C5E" w:rsidRPr="00D74C5E" w:rsidRDefault="00D74C5E" w:rsidP="00D74C5E">
            <w:pPr>
              <w:spacing w:after="0" w:line="240" w:lineRule="auto"/>
              <w:jc w:val="right"/>
              <w:rPr>
                <w:rFonts w:eastAsia="Times New Roman" w:cs="Calibri"/>
                <w:sz w:val="18"/>
                <w:szCs w:val="18"/>
                <w:lang w:eastAsia="es-CR"/>
              </w:rPr>
            </w:pPr>
            <w:r w:rsidRPr="00D74C5E">
              <w:rPr>
                <w:rFonts w:ascii="Arial" w:eastAsia="Times New Roman" w:hAnsi="Arial" w:cs="Arial"/>
                <w:sz w:val="18"/>
                <w:szCs w:val="18"/>
                <w:lang w:eastAsia="es-CR"/>
              </w:rPr>
              <w:t>₡</w:t>
            </w:r>
            <w:r w:rsidRPr="00D74C5E">
              <w:rPr>
                <w:rFonts w:eastAsia="Times New Roman" w:cs="Calibri"/>
                <w:sz w:val="18"/>
                <w:szCs w:val="18"/>
                <w:lang w:eastAsia="es-CR"/>
              </w:rPr>
              <w:t>3 901,09</w:t>
            </w:r>
          </w:p>
        </w:tc>
        <w:tc>
          <w:tcPr>
            <w:tcW w:w="1360" w:type="dxa"/>
            <w:tcBorders>
              <w:top w:val="nil"/>
              <w:left w:val="nil"/>
              <w:bottom w:val="single" w:sz="8" w:space="0" w:color="auto"/>
              <w:right w:val="single" w:sz="8" w:space="0" w:color="auto"/>
            </w:tcBorders>
            <w:shd w:val="clear" w:color="auto" w:fill="auto"/>
            <w:noWrap/>
            <w:vAlign w:val="bottom"/>
            <w:hideMark/>
          </w:tcPr>
          <w:p w14:paraId="195C29A2" w14:textId="77777777" w:rsidR="00D74C5E" w:rsidRPr="00D74C5E" w:rsidRDefault="00D74C5E" w:rsidP="00D74C5E">
            <w:pPr>
              <w:spacing w:after="0" w:line="240" w:lineRule="auto"/>
              <w:jc w:val="right"/>
              <w:rPr>
                <w:rFonts w:eastAsia="Times New Roman" w:cs="Calibri"/>
                <w:sz w:val="18"/>
                <w:szCs w:val="18"/>
                <w:lang w:eastAsia="es-CR"/>
              </w:rPr>
            </w:pPr>
            <w:r w:rsidRPr="00D74C5E">
              <w:rPr>
                <w:rFonts w:ascii="Arial" w:eastAsia="Times New Roman" w:hAnsi="Arial" w:cs="Arial"/>
                <w:sz w:val="18"/>
                <w:szCs w:val="18"/>
                <w:lang w:eastAsia="es-CR"/>
              </w:rPr>
              <w:t>₡</w:t>
            </w:r>
            <w:r w:rsidRPr="00D74C5E">
              <w:rPr>
                <w:rFonts w:eastAsia="Times New Roman" w:cs="Calibri"/>
                <w:sz w:val="18"/>
                <w:szCs w:val="18"/>
                <w:lang w:eastAsia="es-CR"/>
              </w:rPr>
              <w:t>1 841,02</w:t>
            </w:r>
          </w:p>
        </w:tc>
        <w:tc>
          <w:tcPr>
            <w:tcW w:w="1340" w:type="dxa"/>
            <w:tcBorders>
              <w:top w:val="nil"/>
              <w:left w:val="nil"/>
              <w:bottom w:val="nil"/>
              <w:right w:val="single" w:sz="8" w:space="0" w:color="auto"/>
            </w:tcBorders>
            <w:shd w:val="clear" w:color="000000" w:fill="FFFFFF"/>
            <w:noWrap/>
            <w:vAlign w:val="bottom"/>
            <w:hideMark/>
          </w:tcPr>
          <w:p w14:paraId="7FB5E6BE" w14:textId="77777777" w:rsidR="00D74C5E" w:rsidRPr="00D74C5E" w:rsidRDefault="00D74C5E" w:rsidP="00D74C5E">
            <w:pPr>
              <w:spacing w:after="0" w:line="240" w:lineRule="auto"/>
              <w:jc w:val="right"/>
              <w:rPr>
                <w:rFonts w:eastAsia="Times New Roman" w:cs="Calibri"/>
                <w:sz w:val="18"/>
                <w:szCs w:val="18"/>
                <w:lang w:eastAsia="es-CR"/>
              </w:rPr>
            </w:pPr>
            <w:r w:rsidRPr="00D74C5E">
              <w:rPr>
                <w:rFonts w:eastAsia="Times New Roman" w:cs="Calibri"/>
                <w:sz w:val="18"/>
                <w:szCs w:val="18"/>
                <w:lang w:eastAsia="es-CR"/>
              </w:rPr>
              <w:t>2 060,06</w:t>
            </w:r>
          </w:p>
        </w:tc>
        <w:tc>
          <w:tcPr>
            <w:tcW w:w="860" w:type="dxa"/>
            <w:tcBorders>
              <w:top w:val="nil"/>
              <w:left w:val="nil"/>
              <w:bottom w:val="single" w:sz="8" w:space="0" w:color="auto"/>
              <w:right w:val="single" w:sz="8" w:space="0" w:color="auto"/>
            </w:tcBorders>
            <w:shd w:val="clear" w:color="auto" w:fill="auto"/>
            <w:noWrap/>
            <w:vAlign w:val="bottom"/>
            <w:hideMark/>
          </w:tcPr>
          <w:p w14:paraId="0061FE63" w14:textId="77777777" w:rsidR="00D74C5E" w:rsidRPr="00D74C5E" w:rsidRDefault="00D74C5E" w:rsidP="00D74C5E">
            <w:pPr>
              <w:spacing w:after="0" w:line="240" w:lineRule="auto"/>
              <w:jc w:val="right"/>
              <w:rPr>
                <w:rFonts w:eastAsia="Times New Roman" w:cs="Calibri"/>
                <w:color w:val="000000"/>
                <w:sz w:val="18"/>
                <w:szCs w:val="18"/>
                <w:lang w:eastAsia="es-CR"/>
              </w:rPr>
            </w:pPr>
            <w:r w:rsidRPr="00D74C5E">
              <w:rPr>
                <w:rFonts w:eastAsia="Times New Roman" w:cs="Calibri"/>
                <w:color w:val="000000"/>
                <w:sz w:val="18"/>
                <w:szCs w:val="18"/>
                <w:lang w:eastAsia="es-CR"/>
              </w:rPr>
              <w:t>111,90%</w:t>
            </w:r>
          </w:p>
        </w:tc>
      </w:tr>
      <w:tr w:rsidR="00D74C5E" w:rsidRPr="00D74C5E" w14:paraId="47E42EB7" w14:textId="77777777" w:rsidTr="00D74C5E">
        <w:trPr>
          <w:trHeight w:val="315"/>
        </w:trPr>
        <w:tc>
          <w:tcPr>
            <w:tcW w:w="1000" w:type="dxa"/>
            <w:tcBorders>
              <w:top w:val="single" w:sz="8" w:space="0" w:color="auto"/>
              <w:left w:val="single" w:sz="8" w:space="0" w:color="auto"/>
              <w:bottom w:val="single" w:sz="8" w:space="0" w:color="auto"/>
              <w:right w:val="nil"/>
            </w:tcBorders>
            <w:shd w:val="clear" w:color="auto" w:fill="auto"/>
            <w:noWrap/>
            <w:vAlign w:val="bottom"/>
            <w:hideMark/>
          </w:tcPr>
          <w:p w14:paraId="33F61C30" w14:textId="77777777" w:rsidR="00D74C5E" w:rsidRPr="00D74C5E" w:rsidRDefault="00D74C5E" w:rsidP="00D74C5E">
            <w:pPr>
              <w:spacing w:after="0" w:line="240" w:lineRule="auto"/>
              <w:jc w:val="left"/>
              <w:rPr>
                <w:rFonts w:ascii="Calibri" w:eastAsia="Times New Roman" w:hAnsi="Calibri" w:cs="Calibri"/>
                <w:b/>
                <w:bCs/>
                <w:color w:val="000000"/>
                <w:sz w:val="22"/>
                <w:lang w:eastAsia="es-CR"/>
              </w:rPr>
            </w:pPr>
            <w:r w:rsidRPr="00D74C5E">
              <w:rPr>
                <w:rFonts w:ascii="Calibri" w:eastAsia="Times New Roman" w:hAnsi="Calibri" w:cs="Calibri"/>
                <w:b/>
                <w:bCs/>
                <w:color w:val="000000"/>
                <w:sz w:val="22"/>
                <w:lang w:eastAsia="es-CR"/>
              </w:rPr>
              <w:t> </w:t>
            </w:r>
          </w:p>
        </w:tc>
        <w:tc>
          <w:tcPr>
            <w:tcW w:w="4320" w:type="dxa"/>
            <w:tcBorders>
              <w:top w:val="single" w:sz="8" w:space="0" w:color="auto"/>
              <w:left w:val="nil"/>
              <w:bottom w:val="single" w:sz="8" w:space="0" w:color="auto"/>
              <w:right w:val="single" w:sz="8" w:space="0" w:color="auto"/>
            </w:tcBorders>
            <w:shd w:val="clear" w:color="auto" w:fill="auto"/>
            <w:noWrap/>
            <w:vAlign w:val="bottom"/>
            <w:hideMark/>
          </w:tcPr>
          <w:p w14:paraId="03A43016" w14:textId="77777777" w:rsidR="00D74C5E" w:rsidRPr="00D74C5E" w:rsidRDefault="00D74C5E" w:rsidP="00D74C5E">
            <w:pPr>
              <w:spacing w:after="0" w:line="240" w:lineRule="auto"/>
              <w:jc w:val="center"/>
              <w:rPr>
                <w:rFonts w:eastAsia="Times New Roman" w:cs="Calibri"/>
                <w:b/>
                <w:bCs/>
                <w:color w:val="000000"/>
                <w:sz w:val="20"/>
                <w:szCs w:val="20"/>
                <w:lang w:eastAsia="es-CR"/>
              </w:rPr>
            </w:pPr>
            <w:r w:rsidRPr="00D74C5E">
              <w:rPr>
                <w:rFonts w:eastAsia="Times New Roman" w:cs="Calibri"/>
                <w:b/>
                <w:bCs/>
                <w:color w:val="000000"/>
                <w:sz w:val="20"/>
                <w:szCs w:val="20"/>
                <w:lang w:eastAsia="es-CR"/>
              </w:rPr>
              <w:t>SUBTOTALES</w:t>
            </w:r>
          </w:p>
        </w:tc>
        <w:tc>
          <w:tcPr>
            <w:tcW w:w="1140" w:type="dxa"/>
            <w:tcBorders>
              <w:top w:val="single" w:sz="8" w:space="0" w:color="auto"/>
              <w:left w:val="nil"/>
              <w:bottom w:val="single" w:sz="8" w:space="0" w:color="auto"/>
              <w:right w:val="single" w:sz="8" w:space="0" w:color="auto"/>
            </w:tcBorders>
            <w:shd w:val="clear" w:color="000000" w:fill="FFFFFF"/>
            <w:noWrap/>
            <w:vAlign w:val="bottom"/>
            <w:hideMark/>
          </w:tcPr>
          <w:p w14:paraId="4CD57CE1" w14:textId="77777777" w:rsidR="00D74C5E" w:rsidRPr="00D74C5E" w:rsidRDefault="00D74C5E" w:rsidP="00D74C5E">
            <w:pPr>
              <w:spacing w:after="0" w:line="240" w:lineRule="auto"/>
              <w:jc w:val="right"/>
              <w:rPr>
                <w:rFonts w:eastAsia="Times New Roman" w:cs="Calibri"/>
                <w:b/>
                <w:bCs/>
                <w:sz w:val="20"/>
                <w:szCs w:val="20"/>
                <w:lang w:eastAsia="es-CR"/>
              </w:rPr>
            </w:pPr>
            <w:r w:rsidRPr="00D74C5E">
              <w:rPr>
                <w:rFonts w:ascii="Arial" w:eastAsia="Times New Roman" w:hAnsi="Arial" w:cs="Arial"/>
                <w:b/>
                <w:bCs/>
                <w:sz w:val="20"/>
                <w:szCs w:val="20"/>
                <w:lang w:eastAsia="es-CR"/>
              </w:rPr>
              <w:t>₡</w:t>
            </w:r>
            <w:r w:rsidRPr="00D74C5E">
              <w:rPr>
                <w:rFonts w:eastAsia="Times New Roman" w:cs="Calibri"/>
                <w:b/>
                <w:bCs/>
                <w:sz w:val="20"/>
                <w:szCs w:val="20"/>
                <w:lang w:eastAsia="es-CR"/>
              </w:rPr>
              <w:t>143 060,83</w:t>
            </w:r>
          </w:p>
        </w:tc>
        <w:tc>
          <w:tcPr>
            <w:tcW w:w="1360" w:type="dxa"/>
            <w:tcBorders>
              <w:top w:val="nil"/>
              <w:left w:val="nil"/>
              <w:bottom w:val="single" w:sz="8" w:space="0" w:color="auto"/>
              <w:right w:val="single" w:sz="8" w:space="0" w:color="auto"/>
            </w:tcBorders>
            <w:shd w:val="clear" w:color="000000" w:fill="FFFFFF"/>
            <w:noWrap/>
            <w:vAlign w:val="bottom"/>
            <w:hideMark/>
          </w:tcPr>
          <w:p w14:paraId="3524A91E" w14:textId="77777777" w:rsidR="00D74C5E" w:rsidRPr="00D74C5E" w:rsidRDefault="00D74C5E" w:rsidP="00D74C5E">
            <w:pPr>
              <w:spacing w:after="0" w:line="240" w:lineRule="auto"/>
              <w:jc w:val="right"/>
              <w:rPr>
                <w:rFonts w:eastAsia="Times New Roman" w:cs="Calibri"/>
                <w:b/>
                <w:bCs/>
                <w:sz w:val="20"/>
                <w:szCs w:val="20"/>
                <w:lang w:eastAsia="es-CR"/>
              </w:rPr>
            </w:pPr>
            <w:r w:rsidRPr="00D74C5E">
              <w:rPr>
                <w:rFonts w:ascii="Arial" w:eastAsia="Times New Roman" w:hAnsi="Arial" w:cs="Arial"/>
                <w:b/>
                <w:bCs/>
                <w:sz w:val="20"/>
                <w:szCs w:val="20"/>
                <w:lang w:eastAsia="es-CR"/>
              </w:rPr>
              <w:t>₡</w:t>
            </w:r>
            <w:r w:rsidRPr="00D74C5E">
              <w:rPr>
                <w:rFonts w:eastAsia="Times New Roman" w:cs="Calibri"/>
                <w:b/>
                <w:bCs/>
                <w:sz w:val="20"/>
                <w:szCs w:val="20"/>
                <w:lang w:eastAsia="es-CR"/>
              </w:rPr>
              <w:t>12 242,49</w:t>
            </w:r>
          </w:p>
        </w:tc>
        <w:tc>
          <w:tcPr>
            <w:tcW w:w="1340" w:type="dxa"/>
            <w:tcBorders>
              <w:top w:val="single" w:sz="8" w:space="0" w:color="auto"/>
              <w:left w:val="nil"/>
              <w:bottom w:val="single" w:sz="8" w:space="0" w:color="auto"/>
              <w:right w:val="single" w:sz="8" w:space="0" w:color="auto"/>
            </w:tcBorders>
            <w:shd w:val="clear" w:color="000000" w:fill="FFFFFF"/>
            <w:noWrap/>
            <w:vAlign w:val="bottom"/>
            <w:hideMark/>
          </w:tcPr>
          <w:p w14:paraId="5A78B485" w14:textId="77777777" w:rsidR="00D74C5E" w:rsidRPr="00D74C5E" w:rsidRDefault="00D74C5E" w:rsidP="00D74C5E">
            <w:pPr>
              <w:spacing w:after="0" w:line="240" w:lineRule="auto"/>
              <w:jc w:val="right"/>
              <w:rPr>
                <w:rFonts w:eastAsia="Times New Roman" w:cs="Calibri"/>
                <w:b/>
                <w:bCs/>
                <w:sz w:val="20"/>
                <w:szCs w:val="20"/>
                <w:lang w:eastAsia="es-CR"/>
              </w:rPr>
            </w:pPr>
            <w:r w:rsidRPr="00D74C5E">
              <w:rPr>
                <w:rFonts w:ascii="Arial" w:eastAsia="Times New Roman" w:hAnsi="Arial" w:cs="Arial"/>
                <w:b/>
                <w:bCs/>
                <w:sz w:val="20"/>
                <w:szCs w:val="20"/>
                <w:lang w:eastAsia="es-CR"/>
              </w:rPr>
              <w:t>₡</w:t>
            </w:r>
            <w:r w:rsidRPr="00D74C5E">
              <w:rPr>
                <w:rFonts w:eastAsia="Times New Roman" w:cs="Calibri"/>
                <w:b/>
                <w:bCs/>
                <w:sz w:val="20"/>
                <w:szCs w:val="20"/>
                <w:lang w:eastAsia="es-CR"/>
              </w:rPr>
              <w:t>130 818,34</w:t>
            </w:r>
          </w:p>
        </w:tc>
        <w:tc>
          <w:tcPr>
            <w:tcW w:w="860" w:type="dxa"/>
            <w:tcBorders>
              <w:top w:val="nil"/>
              <w:left w:val="nil"/>
              <w:bottom w:val="single" w:sz="8" w:space="0" w:color="auto"/>
              <w:right w:val="single" w:sz="8" w:space="0" w:color="auto"/>
            </w:tcBorders>
            <w:shd w:val="clear" w:color="auto" w:fill="auto"/>
            <w:noWrap/>
            <w:vAlign w:val="bottom"/>
            <w:hideMark/>
          </w:tcPr>
          <w:p w14:paraId="63B23D3D" w14:textId="77777777" w:rsidR="00D74C5E" w:rsidRPr="00D74C5E" w:rsidRDefault="00D74C5E" w:rsidP="00D74C5E">
            <w:pPr>
              <w:spacing w:after="0" w:line="240" w:lineRule="auto"/>
              <w:jc w:val="right"/>
              <w:rPr>
                <w:rFonts w:eastAsia="Times New Roman" w:cs="Calibri"/>
                <w:b/>
                <w:bCs/>
                <w:color w:val="000000"/>
                <w:sz w:val="20"/>
                <w:szCs w:val="20"/>
                <w:lang w:eastAsia="es-CR"/>
              </w:rPr>
            </w:pPr>
            <w:r w:rsidRPr="00D74C5E">
              <w:rPr>
                <w:rFonts w:eastAsia="Times New Roman" w:cs="Calibri"/>
                <w:b/>
                <w:bCs/>
                <w:color w:val="000000"/>
                <w:sz w:val="20"/>
                <w:szCs w:val="20"/>
                <w:lang w:eastAsia="es-CR"/>
              </w:rPr>
              <w:t>1068,56%</w:t>
            </w:r>
          </w:p>
        </w:tc>
      </w:tr>
    </w:tbl>
    <w:p w14:paraId="70155446" w14:textId="77777777" w:rsidR="00D74C5E" w:rsidRDefault="00D74C5E" w:rsidP="00E3707A">
      <w:pPr>
        <w:spacing w:before="240" w:after="0"/>
        <w:rPr>
          <w:szCs w:val="24"/>
        </w:rPr>
      </w:pPr>
    </w:p>
    <w:tbl>
      <w:tblPr>
        <w:tblW w:w="10020" w:type="dxa"/>
        <w:tblCellMar>
          <w:left w:w="70" w:type="dxa"/>
          <w:right w:w="70" w:type="dxa"/>
        </w:tblCellMar>
        <w:tblLook w:val="04A0" w:firstRow="1" w:lastRow="0" w:firstColumn="1" w:lastColumn="0" w:noHBand="0" w:noVBand="1"/>
      </w:tblPr>
      <w:tblGrid>
        <w:gridCol w:w="998"/>
        <w:gridCol w:w="4329"/>
        <w:gridCol w:w="1139"/>
        <w:gridCol w:w="1357"/>
        <w:gridCol w:w="1337"/>
        <w:gridCol w:w="952"/>
      </w:tblGrid>
      <w:tr w:rsidR="00D74C5E" w:rsidRPr="00D74C5E" w14:paraId="400DE746" w14:textId="77777777" w:rsidTr="00D74C5E">
        <w:trPr>
          <w:trHeight w:val="555"/>
        </w:trPr>
        <w:tc>
          <w:tcPr>
            <w:tcW w:w="998" w:type="dxa"/>
            <w:tcBorders>
              <w:top w:val="single" w:sz="8" w:space="0" w:color="auto"/>
              <w:left w:val="single" w:sz="8" w:space="0" w:color="auto"/>
              <w:bottom w:val="nil"/>
              <w:right w:val="single" w:sz="8" w:space="0" w:color="auto"/>
            </w:tcBorders>
            <w:shd w:val="clear" w:color="000000" w:fill="203764"/>
            <w:vAlign w:val="center"/>
            <w:hideMark/>
          </w:tcPr>
          <w:p w14:paraId="70669A84" w14:textId="77777777" w:rsidR="00D74C5E" w:rsidRPr="00D74C5E" w:rsidRDefault="00D74C5E" w:rsidP="00D74C5E">
            <w:pPr>
              <w:spacing w:after="0" w:line="240" w:lineRule="auto"/>
              <w:jc w:val="center"/>
              <w:rPr>
                <w:rFonts w:eastAsia="Times New Roman" w:cs="Calibri"/>
                <w:color w:val="FFFFFF"/>
                <w:sz w:val="18"/>
                <w:szCs w:val="18"/>
                <w:lang w:eastAsia="es-CR"/>
              </w:rPr>
            </w:pPr>
            <w:r w:rsidRPr="00D74C5E">
              <w:rPr>
                <w:rFonts w:eastAsia="Times New Roman" w:cs="Calibri"/>
                <w:color w:val="FFFFFF"/>
                <w:sz w:val="18"/>
                <w:szCs w:val="18"/>
                <w:lang w:eastAsia="es-CR"/>
              </w:rPr>
              <w:t>CUENTA</w:t>
            </w:r>
          </w:p>
        </w:tc>
        <w:tc>
          <w:tcPr>
            <w:tcW w:w="4329" w:type="dxa"/>
            <w:tcBorders>
              <w:top w:val="single" w:sz="8" w:space="0" w:color="auto"/>
              <w:left w:val="nil"/>
              <w:bottom w:val="nil"/>
              <w:right w:val="single" w:sz="8" w:space="0" w:color="auto"/>
            </w:tcBorders>
            <w:shd w:val="clear" w:color="000000" w:fill="203764"/>
            <w:vAlign w:val="center"/>
            <w:hideMark/>
          </w:tcPr>
          <w:p w14:paraId="2B429F08" w14:textId="77777777" w:rsidR="00D74C5E" w:rsidRPr="00D74C5E" w:rsidRDefault="00D74C5E" w:rsidP="00D74C5E">
            <w:pPr>
              <w:spacing w:after="0" w:line="240" w:lineRule="auto"/>
              <w:jc w:val="center"/>
              <w:rPr>
                <w:rFonts w:eastAsia="Times New Roman" w:cs="Calibri"/>
                <w:color w:val="FFFFFF"/>
                <w:sz w:val="18"/>
                <w:szCs w:val="18"/>
                <w:lang w:eastAsia="es-CR"/>
              </w:rPr>
            </w:pPr>
            <w:r w:rsidRPr="00D74C5E">
              <w:rPr>
                <w:rFonts w:eastAsia="Times New Roman" w:cs="Calibri"/>
                <w:color w:val="FFFFFF"/>
                <w:sz w:val="18"/>
                <w:szCs w:val="18"/>
                <w:lang w:eastAsia="es-CR"/>
              </w:rPr>
              <w:t>DESCRIPCIÓN</w:t>
            </w:r>
          </w:p>
        </w:tc>
        <w:tc>
          <w:tcPr>
            <w:tcW w:w="1139" w:type="dxa"/>
            <w:tcBorders>
              <w:top w:val="single" w:sz="8" w:space="0" w:color="auto"/>
              <w:left w:val="nil"/>
              <w:bottom w:val="nil"/>
              <w:right w:val="single" w:sz="8" w:space="0" w:color="auto"/>
            </w:tcBorders>
            <w:shd w:val="clear" w:color="000000" w:fill="203764"/>
            <w:vAlign w:val="center"/>
            <w:hideMark/>
          </w:tcPr>
          <w:p w14:paraId="35DBD118" w14:textId="77777777" w:rsidR="00D74C5E" w:rsidRPr="00D74C5E" w:rsidRDefault="00D74C5E" w:rsidP="00D74C5E">
            <w:pPr>
              <w:spacing w:after="0" w:line="240" w:lineRule="auto"/>
              <w:jc w:val="center"/>
              <w:rPr>
                <w:rFonts w:eastAsia="Times New Roman" w:cs="Calibri"/>
                <w:color w:val="FFFFFF"/>
                <w:sz w:val="18"/>
                <w:szCs w:val="18"/>
                <w:lang w:eastAsia="es-CR"/>
              </w:rPr>
            </w:pPr>
            <w:r w:rsidRPr="00D74C5E">
              <w:rPr>
                <w:rFonts w:eastAsia="Times New Roman" w:cs="Calibri"/>
                <w:color w:val="FFFFFF"/>
                <w:sz w:val="18"/>
                <w:szCs w:val="18"/>
                <w:lang w:eastAsia="es-CR"/>
              </w:rPr>
              <w:t>SALDO ACTUAL</w:t>
            </w:r>
          </w:p>
        </w:tc>
        <w:tc>
          <w:tcPr>
            <w:tcW w:w="1357" w:type="dxa"/>
            <w:tcBorders>
              <w:top w:val="single" w:sz="8" w:space="0" w:color="auto"/>
              <w:left w:val="nil"/>
              <w:bottom w:val="nil"/>
              <w:right w:val="single" w:sz="8" w:space="0" w:color="auto"/>
            </w:tcBorders>
            <w:shd w:val="clear" w:color="000000" w:fill="203764"/>
            <w:vAlign w:val="center"/>
            <w:hideMark/>
          </w:tcPr>
          <w:p w14:paraId="4CF161BB" w14:textId="77777777" w:rsidR="00D74C5E" w:rsidRPr="00D74C5E" w:rsidRDefault="00D74C5E" w:rsidP="00D74C5E">
            <w:pPr>
              <w:spacing w:after="0" w:line="240" w:lineRule="auto"/>
              <w:jc w:val="center"/>
              <w:rPr>
                <w:rFonts w:eastAsia="Times New Roman" w:cs="Calibri"/>
                <w:color w:val="FFFFFF"/>
                <w:sz w:val="18"/>
                <w:szCs w:val="18"/>
                <w:lang w:eastAsia="es-CR"/>
              </w:rPr>
            </w:pPr>
            <w:r w:rsidRPr="00D74C5E">
              <w:rPr>
                <w:rFonts w:eastAsia="Times New Roman" w:cs="Calibri"/>
                <w:color w:val="FFFFFF"/>
                <w:sz w:val="18"/>
                <w:szCs w:val="18"/>
                <w:lang w:eastAsia="es-CR"/>
              </w:rPr>
              <w:t>SALDO ANTERIOR</w:t>
            </w:r>
          </w:p>
        </w:tc>
        <w:tc>
          <w:tcPr>
            <w:tcW w:w="1337" w:type="dxa"/>
            <w:tcBorders>
              <w:top w:val="single" w:sz="8" w:space="0" w:color="auto"/>
              <w:left w:val="nil"/>
              <w:bottom w:val="nil"/>
              <w:right w:val="single" w:sz="8" w:space="0" w:color="auto"/>
            </w:tcBorders>
            <w:shd w:val="clear" w:color="000000" w:fill="203764"/>
            <w:vAlign w:val="center"/>
            <w:hideMark/>
          </w:tcPr>
          <w:p w14:paraId="633F1EDE" w14:textId="77777777" w:rsidR="00D74C5E" w:rsidRPr="00D74C5E" w:rsidRDefault="00D74C5E" w:rsidP="00D74C5E">
            <w:pPr>
              <w:spacing w:after="0" w:line="240" w:lineRule="auto"/>
              <w:jc w:val="center"/>
              <w:rPr>
                <w:rFonts w:eastAsia="Times New Roman" w:cs="Calibri"/>
                <w:color w:val="FFFFFF"/>
                <w:sz w:val="18"/>
                <w:szCs w:val="18"/>
                <w:lang w:eastAsia="es-CR"/>
              </w:rPr>
            </w:pPr>
            <w:r w:rsidRPr="00D74C5E">
              <w:rPr>
                <w:rFonts w:eastAsia="Times New Roman" w:cs="Calibri"/>
                <w:color w:val="FFFFFF"/>
                <w:sz w:val="18"/>
                <w:szCs w:val="18"/>
                <w:lang w:eastAsia="es-CR"/>
              </w:rPr>
              <w:t>VARIACIÓN ABSOLUTA</w:t>
            </w:r>
          </w:p>
        </w:tc>
        <w:tc>
          <w:tcPr>
            <w:tcW w:w="860" w:type="dxa"/>
            <w:tcBorders>
              <w:top w:val="single" w:sz="8" w:space="0" w:color="auto"/>
              <w:left w:val="nil"/>
              <w:bottom w:val="nil"/>
              <w:right w:val="single" w:sz="8" w:space="0" w:color="auto"/>
            </w:tcBorders>
            <w:shd w:val="clear" w:color="000000" w:fill="203764"/>
            <w:vAlign w:val="center"/>
            <w:hideMark/>
          </w:tcPr>
          <w:p w14:paraId="079025FC" w14:textId="77777777" w:rsidR="00D74C5E" w:rsidRPr="00D74C5E" w:rsidRDefault="00D74C5E" w:rsidP="00D74C5E">
            <w:pPr>
              <w:spacing w:after="0" w:line="240" w:lineRule="auto"/>
              <w:jc w:val="center"/>
              <w:rPr>
                <w:rFonts w:eastAsia="Times New Roman" w:cs="Calibri"/>
                <w:color w:val="FFFFFF"/>
                <w:sz w:val="18"/>
                <w:szCs w:val="18"/>
                <w:lang w:eastAsia="es-CR"/>
              </w:rPr>
            </w:pPr>
            <w:r w:rsidRPr="00D74C5E">
              <w:rPr>
                <w:rFonts w:eastAsia="Times New Roman" w:cs="Calibri"/>
                <w:color w:val="FFFFFF"/>
                <w:sz w:val="18"/>
                <w:szCs w:val="18"/>
                <w:lang w:eastAsia="es-CR"/>
              </w:rPr>
              <w:t>VARIACIÓN %</w:t>
            </w:r>
          </w:p>
        </w:tc>
      </w:tr>
      <w:tr w:rsidR="00D74C5E" w:rsidRPr="00D74C5E" w14:paraId="76B22608" w14:textId="77777777" w:rsidTr="00D74C5E">
        <w:trPr>
          <w:trHeight w:val="300"/>
        </w:trPr>
        <w:tc>
          <w:tcPr>
            <w:tcW w:w="998" w:type="dxa"/>
            <w:tcBorders>
              <w:top w:val="single" w:sz="8" w:space="0" w:color="auto"/>
              <w:left w:val="single" w:sz="8" w:space="0" w:color="auto"/>
              <w:bottom w:val="nil"/>
              <w:right w:val="single" w:sz="8" w:space="0" w:color="auto"/>
            </w:tcBorders>
            <w:shd w:val="clear" w:color="auto" w:fill="auto"/>
            <w:noWrap/>
            <w:vAlign w:val="center"/>
            <w:hideMark/>
          </w:tcPr>
          <w:p w14:paraId="706E4124" w14:textId="77777777" w:rsidR="00D74C5E" w:rsidRPr="00D74C5E" w:rsidRDefault="00D74C5E" w:rsidP="00D74C5E">
            <w:pPr>
              <w:spacing w:after="0" w:line="240" w:lineRule="auto"/>
              <w:jc w:val="center"/>
              <w:rPr>
                <w:rFonts w:eastAsia="Times New Roman" w:cs="Calibri"/>
                <w:color w:val="000000"/>
                <w:sz w:val="18"/>
                <w:szCs w:val="18"/>
                <w:lang w:eastAsia="es-CR"/>
              </w:rPr>
            </w:pPr>
            <w:r w:rsidRPr="00D74C5E">
              <w:rPr>
                <w:rFonts w:eastAsia="Times New Roman" w:cs="Calibri"/>
                <w:color w:val="000000"/>
                <w:sz w:val="18"/>
                <w:szCs w:val="18"/>
                <w:lang w:eastAsia="es-CR"/>
              </w:rPr>
              <w:t> 11210</w:t>
            </w:r>
          </w:p>
        </w:tc>
        <w:tc>
          <w:tcPr>
            <w:tcW w:w="4329" w:type="dxa"/>
            <w:tcBorders>
              <w:top w:val="single" w:sz="8" w:space="0" w:color="auto"/>
              <w:left w:val="nil"/>
              <w:bottom w:val="nil"/>
              <w:right w:val="single" w:sz="8" w:space="0" w:color="auto"/>
            </w:tcBorders>
            <w:shd w:val="clear" w:color="auto" w:fill="auto"/>
            <w:vAlign w:val="center"/>
            <w:hideMark/>
          </w:tcPr>
          <w:p w14:paraId="50C604AD" w14:textId="77777777" w:rsidR="00D74C5E" w:rsidRPr="00D74C5E" w:rsidRDefault="00D74C5E" w:rsidP="00D74C5E">
            <w:pPr>
              <w:spacing w:after="0" w:line="240" w:lineRule="auto"/>
              <w:jc w:val="left"/>
              <w:rPr>
                <w:rFonts w:eastAsia="Times New Roman" w:cs="Calibri"/>
                <w:color w:val="000000"/>
                <w:sz w:val="18"/>
                <w:szCs w:val="18"/>
                <w:lang w:eastAsia="es-CR"/>
              </w:rPr>
            </w:pPr>
            <w:r w:rsidRPr="00D74C5E">
              <w:rPr>
                <w:rFonts w:eastAsia="Times New Roman" w:cs="Calibri"/>
                <w:color w:val="000000"/>
                <w:sz w:val="18"/>
                <w:szCs w:val="18"/>
                <w:lang w:eastAsia="es-CR"/>
              </w:rPr>
              <w:t>Ministerio de Educación Pública (MEP) </w:t>
            </w:r>
          </w:p>
        </w:tc>
        <w:tc>
          <w:tcPr>
            <w:tcW w:w="1139" w:type="dxa"/>
            <w:tcBorders>
              <w:top w:val="nil"/>
              <w:left w:val="nil"/>
              <w:bottom w:val="nil"/>
              <w:right w:val="nil"/>
            </w:tcBorders>
            <w:shd w:val="clear" w:color="auto" w:fill="auto"/>
            <w:noWrap/>
            <w:vAlign w:val="bottom"/>
            <w:hideMark/>
          </w:tcPr>
          <w:p w14:paraId="57AE51C3" w14:textId="77777777" w:rsidR="00D74C5E" w:rsidRPr="00D74C5E" w:rsidRDefault="00D74C5E" w:rsidP="00D74C5E">
            <w:pPr>
              <w:spacing w:after="0" w:line="240" w:lineRule="auto"/>
              <w:jc w:val="right"/>
              <w:rPr>
                <w:rFonts w:eastAsia="Times New Roman" w:cs="Calibri"/>
                <w:sz w:val="18"/>
                <w:szCs w:val="18"/>
                <w:lang w:eastAsia="es-CR"/>
              </w:rPr>
            </w:pPr>
            <w:r w:rsidRPr="00D74C5E">
              <w:rPr>
                <w:rFonts w:ascii="Arial" w:eastAsia="Times New Roman" w:hAnsi="Arial" w:cs="Arial"/>
                <w:sz w:val="18"/>
                <w:szCs w:val="18"/>
                <w:lang w:eastAsia="es-CR"/>
              </w:rPr>
              <w:t>₡</w:t>
            </w:r>
            <w:r w:rsidRPr="00D74C5E">
              <w:rPr>
                <w:rFonts w:eastAsia="Times New Roman" w:cs="Calibri"/>
                <w:sz w:val="18"/>
                <w:szCs w:val="18"/>
                <w:lang w:eastAsia="es-CR"/>
              </w:rPr>
              <w:t>2 880,97</w:t>
            </w:r>
          </w:p>
        </w:tc>
        <w:tc>
          <w:tcPr>
            <w:tcW w:w="1357" w:type="dxa"/>
            <w:tcBorders>
              <w:top w:val="single" w:sz="8" w:space="0" w:color="auto"/>
              <w:left w:val="single" w:sz="8" w:space="0" w:color="auto"/>
              <w:bottom w:val="nil"/>
              <w:right w:val="single" w:sz="8" w:space="0" w:color="auto"/>
            </w:tcBorders>
            <w:shd w:val="clear" w:color="auto" w:fill="auto"/>
            <w:noWrap/>
            <w:vAlign w:val="bottom"/>
            <w:hideMark/>
          </w:tcPr>
          <w:p w14:paraId="55839BC7" w14:textId="77777777" w:rsidR="00D74C5E" w:rsidRPr="00D74C5E" w:rsidRDefault="00D74C5E" w:rsidP="00D74C5E">
            <w:pPr>
              <w:spacing w:after="0" w:line="240" w:lineRule="auto"/>
              <w:jc w:val="right"/>
              <w:rPr>
                <w:rFonts w:eastAsia="Times New Roman" w:cs="Calibri"/>
                <w:sz w:val="18"/>
                <w:szCs w:val="18"/>
                <w:lang w:eastAsia="es-CR"/>
              </w:rPr>
            </w:pPr>
            <w:r w:rsidRPr="00D74C5E">
              <w:rPr>
                <w:rFonts w:ascii="Arial" w:eastAsia="Times New Roman" w:hAnsi="Arial" w:cs="Arial"/>
                <w:sz w:val="18"/>
                <w:szCs w:val="18"/>
                <w:lang w:eastAsia="es-CR"/>
              </w:rPr>
              <w:t>₡</w:t>
            </w:r>
            <w:r w:rsidRPr="00D74C5E">
              <w:rPr>
                <w:rFonts w:eastAsia="Times New Roman" w:cs="Calibri"/>
                <w:sz w:val="18"/>
                <w:szCs w:val="18"/>
                <w:lang w:eastAsia="es-CR"/>
              </w:rPr>
              <w:t>0,00</w:t>
            </w:r>
          </w:p>
        </w:tc>
        <w:tc>
          <w:tcPr>
            <w:tcW w:w="1337" w:type="dxa"/>
            <w:tcBorders>
              <w:top w:val="single" w:sz="8" w:space="0" w:color="auto"/>
              <w:left w:val="nil"/>
              <w:bottom w:val="nil"/>
              <w:right w:val="single" w:sz="8" w:space="0" w:color="auto"/>
            </w:tcBorders>
            <w:shd w:val="clear" w:color="auto" w:fill="auto"/>
            <w:noWrap/>
            <w:vAlign w:val="bottom"/>
            <w:hideMark/>
          </w:tcPr>
          <w:p w14:paraId="34FBF763" w14:textId="77777777" w:rsidR="00D74C5E" w:rsidRPr="00D74C5E" w:rsidRDefault="00D74C5E" w:rsidP="00D74C5E">
            <w:pPr>
              <w:spacing w:after="0" w:line="240" w:lineRule="auto"/>
              <w:jc w:val="right"/>
              <w:rPr>
                <w:rFonts w:eastAsia="Times New Roman" w:cs="Calibri"/>
                <w:color w:val="000000"/>
                <w:sz w:val="18"/>
                <w:szCs w:val="18"/>
                <w:lang w:eastAsia="es-CR"/>
              </w:rPr>
            </w:pPr>
            <w:r w:rsidRPr="00D74C5E">
              <w:rPr>
                <w:rFonts w:ascii="Arial" w:eastAsia="Times New Roman" w:hAnsi="Arial" w:cs="Arial"/>
                <w:color w:val="000000"/>
                <w:sz w:val="18"/>
                <w:szCs w:val="18"/>
                <w:lang w:eastAsia="es-CR"/>
              </w:rPr>
              <w:t>₡</w:t>
            </w:r>
            <w:r w:rsidRPr="00D74C5E">
              <w:rPr>
                <w:rFonts w:eastAsia="Times New Roman" w:cs="Calibri"/>
                <w:color w:val="000000"/>
                <w:sz w:val="18"/>
                <w:szCs w:val="18"/>
                <w:lang w:eastAsia="es-CR"/>
              </w:rPr>
              <w:t>2 880,97</w:t>
            </w:r>
          </w:p>
        </w:tc>
        <w:tc>
          <w:tcPr>
            <w:tcW w:w="860" w:type="dxa"/>
            <w:tcBorders>
              <w:top w:val="single" w:sz="8" w:space="0" w:color="auto"/>
              <w:left w:val="nil"/>
              <w:bottom w:val="nil"/>
              <w:right w:val="single" w:sz="8" w:space="0" w:color="auto"/>
            </w:tcBorders>
            <w:shd w:val="clear" w:color="auto" w:fill="auto"/>
            <w:noWrap/>
            <w:vAlign w:val="bottom"/>
            <w:hideMark/>
          </w:tcPr>
          <w:p w14:paraId="414E5F7D" w14:textId="77777777" w:rsidR="00D74C5E" w:rsidRPr="00D74C5E" w:rsidRDefault="00D74C5E" w:rsidP="00D74C5E">
            <w:pPr>
              <w:spacing w:after="0" w:line="240" w:lineRule="auto"/>
              <w:jc w:val="center"/>
              <w:rPr>
                <w:rFonts w:eastAsia="Times New Roman" w:cs="Calibri"/>
                <w:color w:val="000000"/>
                <w:sz w:val="18"/>
                <w:szCs w:val="18"/>
                <w:lang w:eastAsia="es-CR"/>
              </w:rPr>
            </w:pPr>
            <w:r w:rsidRPr="00D74C5E">
              <w:rPr>
                <w:rFonts w:eastAsia="Times New Roman" w:cs="Calibri"/>
                <w:color w:val="000000"/>
                <w:sz w:val="18"/>
                <w:szCs w:val="18"/>
                <w:lang w:eastAsia="es-CR"/>
              </w:rPr>
              <w:t>#¡DIV/0!</w:t>
            </w:r>
          </w:p>
        </w:tc>
      </w:tr>
      <w:tr w:rsidR="00D74C5E" w:rsidRPr="00D74C5E" w14:paraId="7018BA51" w14:textId="77777777" w:rsidTr="00D74C5E">
        <w:trPr>
          <w:trHeight w:val="300"/>
        </w:trPr>
        <w:tc>
          <w:tcPr>
            <w:tcW w:w="998" w:type="dxa"/>
            <w:tcBorders>
              <w:top w:val="nil"/>
              <w:left w:val="single" w:sz="8" w:space="0" w:color="auto"/>
              <w:bottom w:val="nil"/>
              <w:right w:val="single" w:sz="8" w:space="0" w:color="auto"/>
            </w:tcBorders>
            <w:shd w:val="clear" w:color="auto" w:fill="auto"/>
            <w:noWrap/>
            <w:vAlign w:val="center"/>
            <w:hideMark/>
          </w:tcPr>
          <w:p w14:paraId="2B6A0921" w14:textId="77777777" w:rsidR="00D74C5E" w:rsidRPr="00D74C5E" w:rsidRDefault="00D74C5E" w:rsidP="00D74C5E">
            <w:pPr>
              <w:spacing w:after="0" w:line="240" w:lineRule="auto"/>
              <w:jc w:val="center"/>
              <w:rPr>
                <w:rFonts w:eastAsia="Times New Roman" w:cs="Calibri"/>
                <w:color w:val="000000"/>
                <w:sz w:val="18"/>
                <w:szCs w:val="18"/>
                <w:lang w:eastAsia="es-CR"/>
              </w:rPr>
            </w:pPr>
            <w:r w:rsidRPr="00D74C5E">
              <w:rPr>
                <w:rFonts w:eastAsia="Times New Roman" w:cs="Calibri"/>
                <w:color w:val="000000"/>
                <w:sz w:val="18"/>
                <w:szCs w:val="18"/>
                <w:lang w:eastAsia="es-CR"/>
              </w:rPr>
              <w:t>11206</w:t>
            </w:r>
          </w:p>
        </w:tc>
        <w:tc>
          <w:tcPr>
            <w:tcW w:w="4329" w:type="dxa"/>
            <w:tcBorders>
              <w:top w:val="nil"/>
              <w:left w:val="nil"/>
              <w:bottom w:val="nil"/>
              <w:right w:val="single" w:sz="8" w:space="0" w:color="auto"/>
            </w:tcBorders>
            <w:shd w:val="clear" w:color="auto" w:fill="auto"/>
            <w:vAlign w:val="center"/>
            <w:hideMark/>
          </w:tcPr>
          <w:p w14:paraId="1DECF328" w14:textId="77777777" w:rsidR="00D74C5E" w:rsidRPr="00D74C5E" w:rsidRDefault="00D74C5E" w:rsidP="00D74C5E">
            <w:pPr>
              <w:spacing w:after="0" w:line="240" w:lineRule="auto"/>
              <w:jc w:val="left"/>
              <w:rPr>
                <w:rFonts w:eastAsia="Times New Roman" w:cs="Calibri"/>
                <w:color w:val="000000"/>
                <w:sz w:val="18"/>
                <w:szCs w:val="18"/>
                <w:lang w:eastAsia="es-CR"/>
              </w:rPr>
            </w:pPr>
            <w:r w:rsidRPr="00D74C5E">
              <w:rPr>
                <w:rFonts w:eastAsia="Times New Roman" w:cs="Calibri"/>
                <w:color w:val="000000"/>
                <w:sz w:val="18"/>
                <w:szCs w:val="18"/>
                <w:lang w:eastAsia="es-CR"/>
              </w:rPr>
              <w:t>Ministerio de Hacienda</w:t>
            </w:r>
          </w:p>
        </w:tc>
        <w:tc>
          <w:tcPr>
            <w:tcW w:w="1139" w:type="dxa"/>
            <w:tcBorders>
              <w:top w:val="nil"/>
              <w:left w:val="nil"/>
              <w:bottom w:val="nil"/>
              <w:right w:val="single" w:sz="8" w:space="0" w:color="auto"/>
            </w:tcBorders>
            <w:shd w:val="clear" w:color="auto" w:fill="auto"/>
            <w:noWrap/>
            <w:vAlign w:val="bottom"/>
            <w:hideMark/>
          </w:tcPr>
          <w:p w14:paraId="263919E7" w14:textId="77777777" w:rsidR="00D74C5E" w:rsidRPr="00D74C5E" w:rsidRDefault="00D74C5E" w:rsidP="00D74C5E">
            <w:pPr>
              <w:spacing w:after="0" w:line="240" w:lineRule="auto"/>
              <w:jc w:val="right"/>
              <w:rPr>
                <w:rFonts w:eastAsia="Times New Roman" w:cs="Calibri"/>
                <w:sz w:val="18"/>
                <w:szCs w:val="18"/>
                <w:lang w:eastAsia="es-CR"/>
              </w:rPr>
            </w:pPr>
            <w:r w:rsidRPr="00D74C5E">
              <w:rPr>
                <w:rFonts w:ascii="Arial" w:eastAsia="Times New Roman" w:hAnsi="Arial" w:cs="Arial"/>
                <w:sz w:val="18"/>
                <w:szCs w:val="18"/>
                <w:lang w:eastAsia="es-CR"/>
              </w:rPr>
              <w:t>₡</w:t>
            </w:r>
            <w:r w:rsidRPr="00D74C5E">
              <w:rPr>
                <w:rFonts w:eastAsia="Times New Roman" w:cs="Calibri"/>
                <w:sz w:val="18"/>
                <w:szCs w:val="18"/>
                <w:lang w:eastAsia="es-CR"/>
              </w:rPr>
              <w:t>6 152,07</w:t>
            </w:r>
          </w:p>
        </w:tc>
        <w:tc>
          <w:tcPr>
            <w:tcW w:w="1357" w:type="dxa"/>
            <w:tcBorders>
              <w:top w:val="nil"/>
              <w:left w:val="nil"/>
              <w:bottom w:val="nil"/>
              <w:right w:val="single" w:sz="8" w:space="0" w:color="auto"/>
            </w:tcBorders>
            <w:shd w:val="clear" w:color="auto" w:fill="auto"/>
            <w:noWrap/>
            <w:vAlign w:val="bottom"/>
            <w:hideMark/>
          </w:tcPr>
          <w:p w14:paraId="77A37A9F" w14:textId="77777777" w:rsidR="00D74C5E" w:rsidRPr="00D74C5E" w:rsidRDefault="00D74C5E" w:rsidP="00D74C5E">
            <w:pPr>
              <w:spacing w:after="0" w:line="240" w:lineRule="auto"/>
              <w:jc w:val="right"/>
              <w:rPr>
                <w:rFonts w:eastAsia="Times New Roman" w:cs="Calibri"/>
                <w:sz w:val="18"/>
                <w:szCs w:val="18"/>
                <w:lang w:eastAsia="es-CR"/>
              </w:rPr>
            </w:pPr>
            <w:r w:rsidRPr="00D74C5E">
              <w:rPr>
                <w:rFonts w:ascii="Arial" w:eastAsia="Times New Roman" w:hAnsi="Arial" w:cs="Arial"/>
                <w:sz w:val="18"/>
                <w:szCs w:val="18"/>
                <w:lang w:eastAsia="es-CR"/>
              </w:rPr>
              <w:t>₡</w:t>
            </w:r>
            <w:r w:rsidRPr="00D74C5E">
              <w:rPr>
                <w:rFonts w:eastAsia="Times New Roman" w:cs="Calibri"/>
                <w:sz w:val="18"/>
                <w:szCs w:val="18"/>
                <w:lang w:eastAsia="es-CR"/>
              </w:rPr>
              <w:t>5 638,14</w:t>
            </w:r>
          </w:p>
        </w:tc>
        <w:tc>
          <w:tcPr>
            <w:tcW w:w="1337" w:type="dxa"/>
            <w:tcBorders>
              <w:top w:val="nil"/>
              <w:left w:val="nil"/>
              <w:bottom w:val="nil"/>
              <w:right w:val="single" w:sz="8" w:space="0" w:color="auto"/>
            </w:tcBorders>
            <w:shd w:val="clear" w:color="auto" w:fill="auto"/>
            <w:noWrap/>
            <w:vAlign w:val="bottom"/>
            <w:hideMark/>
          </w:tcPr>
          <w:p w14:paraId="55A41F72" w14:textId="77777777" w:rsidR="00D74C5E" w:rsidRPr="00D74C5E" w:rsidRDefault="00D74C5E" w:rsidP="00D74C5E">
            <w:pPr>
              <w:spacing w:after="0" w:line="240" w:lineRule="auto"/>
              <w:jc w:val="right"/>
              <w:rPr>
                <w:rFonts w:eastAsia="Times New Roman" w:cs="Calibri"/>
                <w:color w:val="000000"/>
                <w:sz w:val="18"/>
                <w:szCs w:val="18"/>
                <w:lang w:eastAsia="es-CR"/>
              </w:rPr>
            </w:pPr>
            <w:r w:rsidRPr="00D74C5E">
              <w:rPr>
                <w:rFonts w:eastAsia="Times New Roman" w:cs="Calibri"/>
                <w:color w:val="000000"/>
                <w:sz w:val="18"/>
                <w:szCs w:val="18"/>
                <w:lang w:eastAsia="es-CR"/>
              </w:rPr>
              <w:t>513,93</w:t>
            </w:r>
          </w:p>
        </w:tc>
        <w:tc>
          <w:tcPr>
            <w:tcW w:w="860" w:type="dxa"/>
            <w:tcBorders>
              <w:top w:val="nil"/>
              <w:left w:val="nil"/>
              <w:bottom w:val="nil"/>
              <w:right w:val="single" w:sz="8" w:space="0" w:color="auto"/>
            </w:tcBorders>
            <w:shd w:val="clear" w:color="auto" w:fill="auto"/>
            <w:noWrap/>
            <w:vAlign w:val="bottom"/>
            <w:hideMark/>
          </w:tcPr>
          <w:p w14:paraId="145731A8" w14:textId="77777777" w:rsidR="00D74C5E" w:rsidRPr="00D74C5E" w:rsidRDefault="00D74C5E" w:rsidP="00D74C5E">
            <w:pPr>
              <w:spacing w:after="0" w:line="240" w:lineRule="auto"/>
              <w:jc w:val="right"/>
              <w:rPr>
                <w:rFonts w:eastAsia="Times New Roman" w:cs="Calibri"/>
                <w:color w:val="000000"/>
                <w:sz w:val="18"/>
                <w:szCs w:val="18"/>
                <w:lang w:eastAsia="es-CR"/>
              </w:rPr>
            </w:pPr>
            <w:r w:rsidRPr="00D74C5E">
              <w:rPr>
                <w:rFonts w:eastAsia="Times New Roman" w:cs="Calibri"/>
                <w:color w:val="000000"/>
                <w:sz w:val="18"/>
                <w:szCs w:val="18"/>
                <w:lang w:eastAsia="es-CR"/>
              </w:rPr>
              <w:t>9,12%</w:t>
            </w:r>
          </w:p>
        </w:tc>
      </w:tr>
      <w:tr w:rsidR="00D74C5E" w:rsidRPr="00D74C5E" w14:paraId="2F012333" w14:textId="77777777" w:rsidTr="00D74C5E">
        <w:trPr>
          <w:trHeight w:val="300"/>
        </w:trPr>
        <w:tc>
          <w:tcPr>
            <w:tcW w:w="998" w:type="dxa"/>
            <w:tcBorders>
              <w:top w:val="nil"/>
              <w:left w:val="single" w:sz="8" w:space="0" w:color="auto"/>
              <w:bottom w:val="nil"/>
              <w:right w:val="single" w:sz="8" w:space="0" w:color="auto"/>
            </w:tcBorders>
            <w:shd w:val="clear" w:color="auto" w:fill="auto"/>
            <w:noWrap/>
            <w:vAlign w:val="center"/>
            <w:hideMark/>
          </w:tcPr>
          <w:p w14:paraId="7FB0AFC8" w14:textId="77777777" w:rsidR="00D74C5E" w:rsidRPr="00D74C5E" w:rsidRDefault="00D74C5E" w:rsidP="00D74C5E">
            <w:pPr>
              <w:spacing w:after="0" w:line="240" w:lineRule="auto"/>
              <w:jc w:val="center"/>
              <w:rPr>
                <w:rFonts w:eastAsia="Times New Roman" w:cs="Calibri"/>
                <w:color w:val="000000"/>
                <w:sz w:val="18"/>
                <w:szCs w:val="18"/>
                <w:lang w:eastAsia="es-CR"/>
              </w:rPr>
            </w:pPr>
            <w:r w:rsidRPr="00D74C5E">
              <w:rPr>
                <w:rFonts w:eastAsia="Times New Roman" w:cs="Calibri"/>
                <w:color w:val="000000"/>
                <w:sz w:val="18"/>
                <w:szCs w:val="18"/>
                <w:lang w:eastAsia="es-CR"/>
              </w:rPr>
              <w:t>11219</w:t>
            </w:r>
          </w:p>
        </w:tc>
        <w:tc>
          <w:tcPr>
            <w:tcW w:w="4329" w:type="dxa"/>
            <w:tcBorders>
              <w:top w:val="nil"/>
              <w:left w:val="nil"/>
              <w:bottom w:val="nil"/>
              <w:right w:val="single" w:sz="8" w:space="0" w:color="auto"/>
            </w:tcBorders>
            <w:shd w:val="clear" w:color="auto" w:fill="auto"/>
            <w:noWrap/>
            <w:vAlign w:val="bottom"/>
            <w:hideMark/>
          </w:tcPr>
          <w:p w14:paraId="38547D53" w14:textId="77777777" w:rsidR="00D74C5E" w:rsidRPr="00D74C5E" w:rsidRDefault="00D74C5E" w:rsidP="00D74C5E">
            <w:pPr>
              <w:spacing w:after="0" w:line="240" w:lineRule="auto"/>
              <w:jc w:val="left"/>
              <w:rPr>
                <w:rFonts w:eastAsia="Times New Roman" w:cs="Calibri"/>
                <w:color w:val="000000"/>
                <w:sz w:val="18"/>
                <w:szCs w:val="18"/>
                <w:lang w:eastAsia="es-CR"/>
              </w:rPr>
            </w:pPr>
            <w:r w:rsidRPr="00D74C5E">
              <w:rPr>
                <w:rFonts w:eastAsia="Times New Roman" w:cs="Calibri"/>
                <w:color w:val="000000"/>
                <w:sz w:val="18"/>
                <w:szCs w:val="18"/>
                <w:lang w:eastAsia="es-CR"/>
              </w:rPr>
              <w:t>Ministerio de Ambiente, Energía y Telecomunicaciones (MINAET)</w:t>
            </w:r>
          </w:p>
        </w:tc>
        <w:tc>
          <w:tcPr>
            <w:tcW w:w="1139" w:type="dxa"/>
            <w:tcBorders>
              <w:top w:val="nil"/>
              <w:left w:val="nil"/>
              <w:bottom w:val="nil"/>
              <w:right w:val="single" w:sz="8" w:space="0" w:color="auto"/>
            </w:tcBorders>
            <w:shd w:val="clear" w:color="auto" w:fill="auto"/>
            <w:noWrap/>
            <w:vAlign w:val="bottom"/>
            <w:hideMark/>
          </w:tcPr>
          <w:p w14:paraId="1C58A1C3" w14:textId="77777777" w:rsidR="00D74C5E" w:rsidRPr="00D74C5E" w:rsidRDefault="00D74C5E" w:rsidP="00D74C5E">
            <w:pPr>
              <w:spacing w:after="0" w:line="240" w:lineRule="auto"/>
              <w:jc w:val="right"/>
              <w:rPr>
                <w:rFonts w:eastAsia="Times New Roman" w:cs="Calibri"/>
                <w:sz w:val="18"/>
                <w:szCs w:val="18"/>
                <w:lang w:eastAsia="es-CR"/>
              </w:rPr>
            </w:pPr>
            <w:r w:rsidRPr="00D74C5E">
              <w:rPr>
                <w:rFonts w:ascii="Arial" w:eastAsia="Times New Roman" w:hAnsi="Arial" w:cs="Arial"/>
                <w:sz w:val="18"/>
                <w:szCs w:val="18"/>
                <w:lang w:eastAsia="es-CR"/>
              </w:rPr>
              <w:t>₡</w:t>
            </w:r>
            <w:r w:rsidRPr="00D74C5E">
              <w:rPr>
                <w:rFonts w:eastAsia="Times New Roman" w:cs="Calibri"/>
                <w:sz w:val="18"/>
                <w:szCs w:val="18"/>
                <w:lang w:eastAsia="es-CR"/>
              </w:rPr>
              <w:t>3 520,29</w:t>
            </w:r>
          </w:p>
        </w:tc>
        <w:tc>
          <w:tcPr>
            <w:tcW w:w="1357" w:type="dxa"/>
            <w:tcBorders>
              <w:top w:val="nil"/>
              <w:left w:val="nil"/>
              <w:bottom w:val="nil"/>
              <w:right w:val="single" w:sz="8" w:space="0" w:color="auto"/>
            </w:tcBorders>
            <w:shd w:val="clear" w:color="auto" w:fill="auto"/>
            <w:noWrap/>
            <w:vAlign w:val="bottom"/>
            <w:hideMark/>
          </w:tcPr>
          <w:p w14:paraId="0F4269B2" w14:textId="77777777" w:rsidR="00D74C5E" w:rsidRPr="00D74C5E" w:rsidRDefault="00D74C5E" w:rsidP="00D74C5E">
            <w:pPr>
              <w:spacing w:after="0" w:line="240" w:lineRule="auto"/>
              <w:jc w:val="right"/>
              <w:rPr>
                <w:rFonts w:eastAsia="Times New Roman" w:cs="Calibri"/>
                <w:sz w:val="18"/>
                <w:szCs w:val="18"/>
                <w:lang w:eastAsia="es-CR"/>
              </w:rPr>
            </w:pPr>
            <w:r w:rsidRPr="00D74C5E">
              <w:rPr>
                <w:rFonts w:ascii="Arial" w:eastAsia="Times New Roman" w:hAnsi="Arial" w:cs="Arial"/>
                <w:sz w:val="18"/>
                <w:szCs w:val="18"/>
                <w:lang w:eastAsia="es-CR"/>
              </w:rPr>
              <w:t>₡</w:t>
            </w:r>
            <w:r w:rsidRPr="00D74C5E">
              <w:rPr>
                <w:rFonts w:eastAsia="Times New Roman" w:cs="Calibri"/>
                <w:sz w:val="18"/>
                <w:szCs w:val="18"/>
                <w:lang w:eastAsia="es-CR"/>
              </w:rPr>
              <w:t>3 144,27</w:t>
            </w:r>
          </w:p>
        </w:tc>
        <w:tc>
          <w:tcPr>
            <w:tcW w:w="1337" w:type="dxa"/>
            <w:tcBorders>
              <w:top w:val="nil"/>
              <w:left w:val="nil"/>
              <w:bottom w:val="nil"/>
              <w:right w:val="single" w:sz="8" w:space="0" w:color="auto"/>
            </w:tcBorders>
            <w:shd w:val="clear" w:color="auto" w:fill="auto"/>
            <w:noWrap/>
            <w:vAlign w:val="bottom"/>
            <w:hideMark/>
          </w:tcPr>
          <w:p w14:paraId="01DD7975" w14:textId="77777777" w:rsidR="00D74C5E" w:rsidRPr="00D74C5E" w:rsidRDefault="00D74C5E" w:rsidP="00D74C5E">
            <w:pPr>
              <w:spacing w:after="0" w:line="240" w:lineRule="auto"/>
              <w:jc w:val="right"/>
              <w:rPr>
                <w:rFonts w:eastAsia="Times New Roman" w:cs="Calibri"/>
                <w:color w:val="000000"/>
                <w:sz w:val="18"/>
                <w:szCs w:val="18"/>
                <w:lang w:eastAsia="es-CR"/>
              </w:rPr>
            </w:pPr>
            <w:r w:rsidRPr="00D74C5E">
              <w:rPr>
                <w:rFonts w:eastAsia="Times New Roman" w:cs="Calibri"/>
                <w:color w:val="000000"/>
                <w:sz w:val="18"/>
                <w:szCs w:val="18"/>
                <w:lang w:eastAsia="es-CR"/>
              </w:rPr>
              <w:t>376,01</w:t>
            </w:r>
          </w:p>
        </w:tc>
        <w:tc>
          <w:tcPr>
            <w:tcW w:w="860" w:type="dxa"/>
            <w:tcBorders>
              <w:top w:val="nil"/>
              <w:left w:val="nil"/>
              <w:bottom w:val="nil"/>
              <w:right w:val="single" w:sz="8" w:space="0" w:color="auto"/>
            </w:tcBorders>
            <w:shd w:val="clear" w:color="auto" w:fill="auto"/>
            <w:noWrap/>
            <w:vAlign w:val="bottom"/>
            <w:hideMark/>
          </w:tcPr>
          <w:p w14:paraId="28891BED" w14:textId="77777777" w:rsidR="00D74C5E" w:rsidRPr="00D74C5E" w:rsidRDefault="00D74C5E" w:rsidP="00D74C5E">
            <w:pPr>
              <w:spacing w:after="0" w:line="240" w:lineRule="auto"/>
              <w:jc w:val="right"/>
              <w:rPr>
                <w:rFonts w:eastAsia="Times New Roman" w:cs="Calibri"/>
                <w:color w:val="000000"/>
                <w:sz w:val="18"/>
                <w:szCs w:val="18"/>
                <w:lang w:eastAsia="es-CR"/>
              </w:rPr>
            </w:pPr>
            <w:r w:rsidRPr="00D74C5E">
              <w:rPr>
                <w:rFonts w:eastAsia="Times New Roman" w:cs="Calibri"/>
                <w:color w:val="000000"/>
                <w:sz w:val="18"/>
                <w:szCs w:val="18"/>
                <w:lang w:eastAsia="es-CR"/>
              </w:rPr>
              <w:t>11,96%</w:t>
            </w:r>
          </w:p>
        </w:tc>
      </w:tr>
      <w:tr w:rsidR="00D74C5E" w:rsidRPr="00D74C5E" w14:paraId="75D38C81" w14:textId="77777777" w:rsidTr="00D74C5E">
        <w:trPr>
          <w:trHeight w:val="540"/>
        </w:trPr>
        <w:tc>
          <w:tcPr>
            <w:tcW w:w="998" w:type="dxa"/>
            <w:tcBorders>
              <w:top w:val="nil"/>
              <w:left w:val="single" w:sz="8" w:space="0" w:color="auto"/>
              <w:bottom w:val="nil"/>
              <w:right w:val="single" w:sz="8" w:space="0" w:color="auto"/>
            </w:tcBorders>
            <w:shd w:val="clear" w:color="auto" w:fill="auto"/>
            <w:noWrap/>
            <w:vAlign w:val="center"/>
            <w:hideMark/>
          </w:tcPr>
          <w:p w14:paraId="59B02CAC" w14:textId="77777777" w:rsidR="00D74C5E" w:rsidRPr="00D74C5E" w:rsidRDefault="00D74C5E" w:rsidP="00D74C5E">
            <w:pPr>
              <w:spacing w:after="0" w:line="240" w:lineRule="auto"/>
              <w:jc w:val="center"/>
              <w:rPr>
                <w:rFonts w:eastAsia="Times New Roman" w:cs="Calibri"/>
                <w:color w:val="000000"/>
                <w:sz w:val="18"/>
                <w:szCs w:val="18"/>
                <w:lang w:eastAsia="es-CR"/>
              </w:rPr>
            </w:pPr>
            <w:r w:rsidRPr="00D74C5E">
              <w:rPr>
                <w:rFonts w:eastAsia="Times New Roman" w:cs="Calibri"/>
                <w:color w:val="000000"/>
                <w:sz w:val="18"/>
                <w:szCs w:val="18"/>
                <w:lang w:eastAsia="es-CR"/>
              </w:rPr>
              <w:t>12553</w:t>
            </w:r>
          </w:p>
        </w:tc>
        <w:tc>
          <w:tcPr>
            <w:tcW w:w="4329" w:type="dxa"/>
            <w:tcBorders>
              <w:top w:val="nil"/>
              <w:left w:val="nil"/>
              <w:bottom w:val="nil"/>
              <w:right w:val="single" w:sz="8" w:space="0" w:color="auto"/>
            </w:tcBorders>
            <w:shd w:val="clear" w:color="auto" w:fill="auto"/>
            <w:vAlign w:val="bottom"/>
            <w:hideMark/>
          </w:tcPr>
          <w:p w14:paraId="56AEB7D2" w14:textId="7A5F56D4" w:rsidR="00D74C5E" w:rsidRPr="00D74C5E" w:rsidRDefault="00D74C5E" w:rsidP="00D74C5E">
            <w:pPr>
              <w:spacing w:after="0" w:line="240" w:lineRule="auto"/>
              <w:jc w:val="left"/>
              <w:rPr>
                <w:rFonts w:eastAsia="Times New Roman" w:cs="Calibri"/>
                <w:color w:val="000000"/>
                <w:sz w:val="18"/>
                <w:szCs w:val="18"/>
                <w:lang w:eastAsia="es-CR"/>
              </w:rPr>
            </w:pPr>
            <w:r w:rsidRPr="00D74C5E">
              <w:rPr>
                <w:rFonts w:eastAsia="Times New Roman" w:cs="Calibri"/>
                <w:color w:val="000000"/>
                <w:sz w:val="18"/>
                <w:szCs w:val="18"/>
                <w:lang w:eastAsia="es-CR"/>
              </w:rPr>
              <w:t>Comisión Nacional para la Gestión de la Biodiversidad (CONAGEBIO)</w:t>
            </w:r>
          </w:p>
        </w:tc>
        <w:tc>
          <w:tcPr>
            <w:tcW w:w="1139" w:type="dxa"/>
            <w:tcBorders>
              <w:top w:val="nil"/>
              <w:left w:val="nil"/>
              <w:bottom w:val="nil"/>
              <w:right w:val="single" w:sz="8" w:space="0" w:color="auto"/>
            </w:tcBorders>
            <w:shd w:val="clear" w:color="auto" w:fill="auto"/>
            <w:noWrap/>
            <w:vAlign w:val="bottom"/>
            <w:hideMark/>
          </w:tcPr>
          <w:p w14:paraId="07CEDE5E" w14:textId="77777777" w:rsidR="00D74C5E" w:rsidRPr="00D74C5E" w:rsidRDefault="00D74C5E" w:rsidP="00D74C5E">
            <w:pPr>
              <w:spacing w:after="0" w:line="240" w:lineRule="auto"/>
              <w:jc w:val="right"/>
              <w:rPr>
                <w:rFonts w:eastAsia="Times New Roman" w:cs="Calibri"/>
                <w:sz w:val="18"/>
                <w:szCs w:val="18"/>
                <w:lang w:eastAsia="es-CR"/>
              </w:rPr>
            </w:pPr>
            <w:r w:rsidRPr="00D74C5E">
              <w:rPr>
                <w:rFonts w:ascii="Arial" w:eastAsia="Times New Roman" w:hAnsi="Arial" w:cs="Arial"/>
                <w:sz w:val="18"/>
                <w:szCs w:val="18"/>
                <w:lang w:eastAsia="es-CR"/>
              </w:rPr>
              <w:t>₡</w:t>
            </w:r>
            <w:r w:rsidRPr="00D74C5E">
              <w:rPr>
                <w:rFonts w:eastAsia="Times New Roman" w:cs="Calibri"/>
                <w:sz w:val="18"/>
                <w:szCs w:val="18"/>
                <w:lang w:eastAsia="es-CR"/>
              </w:rPr>
              <w:t>558,78</w:t>
            </w:r>
          </w:p>
        </w:tc>
        <w:tc>
          <w:tcPr>
            <w:tcW w:w="1357" w:type="dxa"/>
            <w:tcBorders>
              <w:top w:val="nil"/>
              <w:left w:val="nil"/>
              <w:bottom w:val="nil"/>
              <w:right w:val="single" w:sz="8" w:space="0" w:color="auto"/>
            </w:tcBorders>
            <w:shd w:val="clear" w:color="auto" w:fill="auto"/>
            <w:noWrap/>
            <w:vAlign w:val="bottom"/>
            <w:hideMark/>
          </w:tcPr>
          <w:p w14:paraId="26355EEB" w14:textId="77777777" w:rsidR="00D74C5E" w:rsidRPr="00D74C5E" w:rsidRDefault="00D74C5E" w:rsidP="00D74C5E">
            <w:pPr>
              <w:spacing w:after="0" w:line="240" w:lineRule="auto"/>
              <w:jc w:val="right"/>
              <w:rPr>
                <w:rFonts w:eastAsia="Times New Roman" w:cs="Calibri"/>
                <w:sz w:val="18"/>
                <w:szCs w:val="18"/>
                <w:lang w:eastAsia="es-CR"/>
              </w:rPr>
            </w:pPr>
            <w:r w:rsidRPr="00D74C5E">
              <w:rPr>
                <w:rFonts w:ascii="Arial" w:eastAsia="Times New Roman" w:hAnsi="Arial" w:cs="Arial"/>
                <w:sz w:val="18"/>
                <w:szCs w:val="18"/>
                <w:lang w:eastAsia="es-CR"/>
              </w:rPr>
              <w:t>₡</w:t>
            </w:r>
            <w:r w:rsidRPr="00D74C5E">
              <w:rPr>
                <w:rFonts w:eastAsia="Times New Roman" w:cs="Calibri"/>
                <w:sz w:val="18"/>
                <w:szCs w:val="18"/>
                <w:lang w:eastAsia="es-CR"/>
              </w:rPr>
              <w:t>499,09</w:t>
            </w:r>
          </w:p>
        </w:tc>
        <w:tc>
          <w:tcPr>
            <w:tcW w:w="1337" w:type="dxa"/>
            <w:tcBorders>
              <w:top w:val="nil"/>
              <w:left w:val="nil"/>
              <w:bottom w:val="nil"/>
              <w:right w:val="single" w:sz="8" w:space="0" w:color="auto"/>
            </w:tcBorders>
            <w:shd w:val="clear" w:color="auto" w:fill="auto"/>
            <w:noWrap/>
            <w:vAlign w:val="bottom"/>
            <w:hideMark/>
          </w:tcPr>
          <w:p w14:paraId="68871BA2" w14:textId="77777777" w:rsidR="00D74C5E" w:rsidRPr="00D74C5E" w:rsidRDefault="00D74C5E" w:rsidP="00D74C5E">
            <w:pPr>
              <w:spacing w:after="0" w:line="240" w:lineRule="auto"/>
              <w:jc w:val="right"/>
              <w:rPr>
                <w:rFonts w:eastAsia="Times New Roman" w:cs="Calibri"/>
                <w:color w:val="000000"/>
                <w:sz w:val="18"/>
                <w:szCs w:val="18"/>
                <w:lang w:eastAsia="es-CR"/>
              </w:rPr>
            </w:pPr>
            <w:r w:rsidRPr="00D74C5E">
              <w:rPr>
                <w:rFonts w:eastAsia="Times New Roman" w:cs="Calibri"/>
                <w:color w:val="000000"/>
                <w:sz w:val="18"/>
                <w:szCs w:val="18"/>
                <w:lang w:eastAsia="es-CR"/>
              </w:rPr>
              <w:t>59,68</w:t>
            </w:r>
          </w:p>
        </w:tc>
        <w:tc>
          <w:tcPr>
            <w:tcW w:w="860" w:type="dxa"/>
            <w:tcBorders>
              <w:top w:val="nil"/>
              <w:left w:val="nil"/>
              <w:bottom w:val="nil"/>
              <w:right w:val="single" w:sz="8" w:space="0" w:color="auto"/>
            </w:tcBorders>
            <w:shd w:val="clear" w:color="auto" w:fill="auto"/>
            <w:noWrap/>
            <w:vAlign w:val="bottom"/>
            <w:hideMark/>
          </w:tcPr>
          <w:p w14:paraId="223C13E2" w14:textId="77777777" w:rsidR="00D74C5E" w:rsidRPr="00D74C5E" w:rsidRDefault="00D74C5E" w:rsidP="00D74C5E">
            <w:pPr>
              <w:spacing w:after="0" w:line="240" w:lineRule="auto"/>
              <w:jc w:val="right"/>
              <w:rPr>
                <w:rFonts w:eastAsia="Times New Roman" w:cs="Calibri"/>
                <w:color w:val="000000"/>
                <w:sz w:val="18"/>
                <w:szCs w:val="18"/>
                <w:lang w:eastAsia="es-CR"/>
              </w:rPr>
            </w:pPr>
            <w:r w:rsidRPr="00D74C5E">
              <w:rPr>
                <w:rFonts w:eastAsia="Times New Roman" w:cs="Calibri"/>
                <w:color w:val="000000"/>
                <w:sz w:val="18"/>
                <w:szCs w:val="18"/>
                <w:lang w:eastAsia="es-CR"/>
              </w:rPr>
              <w:t>11,96%</w:t>
            </w:r>
          </w:p>
        </w:tc>
      </w:tr>
      <w:tr w:rsidR="00D74C5E" w:rsidRPr="00D74C5E" w14:paraId="42C86B18" w14:textId="77777777" w:rsidTr="00D74C5E">
        <w:trPr>
          <w:trHeight w:val="300"/>
        </w:trPr>
        <w:tc>
          <w:tcPr>
            <w:tcW w:w="998" w:type="dxa"/>
            <w:tcBorders>
              <w:top w:val="nil"/>
              <w:left w:val="single" w:sz="8" w:space="0" w:color="auto"/>
              <w:bottom w:val="nil"/>
              <w:right w:val="single" w:sz="8" w:space="0" w:color="auto"/>
            </w:tcBorders>
            <w:shd w:val="clear" w:color="auto" w:fill="auto"/>
            <w:noWrap/>
            <w:vAlign w:val="center"/>
            <w:hideMark/>
          </w:tcPr>
          <w:p w14:paraId="4FC23509" w14:textId="77777777" w:rsidR="00D74C5E" w:rsidRPr="00D74C5E" w:rsidRDefault="00D74C5E" w:rsidP="00D74C5E">
            <w:pPr>
              <w:spacing w:after="0" w:line="240" w:lineRule="auto"/>
              <w:jc w:val="center"/>
              <w:rPr>
                <w:rFonts w:eastAsia="Times New Roman" w:cs="Calibri"/>
                <w:color w:val="000000"/>
                <w:sz w:val="18"/>
                <w:szCs w:val="18"/>
                <w:lang w:eastAsia="es-CR"/>
              </w:rPr>
            </w:pPr>
            <w:r w:rsidRPr="00D74C5E">
              <w:rPr>
                <w:rFonts w:eastAsia="Times New Roman" w:cs="Calibri"/>
                <w:color w:val="000000"/>
                <w:sz w:val="18"/>
                <w:szCs w:val="18"/>
                <w:lang w:eastAsia="es-CR"/>
              </w:rPr>
              <w:lastRenderedPageBreak/>
              <w:t>12581</w:t>
            </w:r>
          </w:p>
        </w:tc>
        <w:tc>
          <w:tcPr>
            <w:tcW w:w="4329" w:type="dxa"/>
            <w:tcBorders>
              <w:top w:val="nil"/>
              <w:left w:val="nil"/>
              <w:bottom w:val="nil"/>
              <w:right w:val="single" w:sz="8" w:space="0" w:color="auto"/>
            </w:tcBorders>
            <w:shd w:val="clear" w:color="auto" w:fill="auto"/>
            <w:noWrap/>
            <w:vAlign w:val="bottom"/>
            <w:hideMark/>
          </w:tcPr>
          <w:p w14:paraId="687983FE" w14:textId="77777777" w:rsidR="00D74C5E" w:rsidRPr="00D74C5E" w:rsidRDefault="00D74C5E" w:rsidP="00D74C5E">
            <w:pPr>
              <w:spacing w:after="0" w:line="240" w:lineRule="auto"/>
              <w:jc w:val="left"/>
              <w:rPr>
                <w:rFonts w:eastAsia="Times New Roman" w:cs="Calibri"/>
                <w:color w:val="000000"/>
                <w:sz w:val="18"/>
                <w:szCs w:val="18"/>
                <w:lang w:eastAsia="es-CR"/>
              </w:rPr>
            </w:pPr>
            <w:r w:rsidRPr="00D74C5E">
              <w:rPr>
                <w:rFonts w:eastAsia="Times New Roman" w:cs="Calibri"/>
                <w:color w:val="000000"/>
                <w:sz w:val="18"/>
                <w:szCs w:val="18"/>
                <w:lang w:eastAsia="es-CR"/>
              </w:rPr>
              <w:t>Consejo Nacional de Personas con Discapacidad - CONAPDIS</w:t>
            </w:r>
          </w:p>
        </w:tc>
        <w:tc>
          <w:tcPr>
            <w:tcW w:w="1139" w:type="dxa"/>
            <w:tcBorders>
              <w:top w:val="nil"/>
              <w:left w:val="nil"/>
              <w:bottom w:val="nil"/>
              <w:right w:val="single" w:sz="8" w:space="0" w:color="auto"/>
            </w:tcBorders>
            <w:shd w:val="clear" w:color="auto" w:fill="auto"/>
            <w:noWrap/>
            <w:vAlign w:val="bottom"/>
            <w:hideMark/>
          </w:tcPr>
          <w:p w14:paraId="18C98C6E" w14:textId="77777777" w:rsidR="00D74C5E" w:rsidRPr="00D74C5E" w:rsidRDefault="00D74C5E" w:rsidP="00D74C5E">
            <w:pPr>
              <w:spacing w:after="0" w:line="240" w:lineRule="auto"/>
              <w:jc w:val="right"/>
              <w:rPr>
                <w:rFonts w:eastAsia="Times New Roman" w:cs="Calibri"/>
                <w:sz w:val="18"/>
                <w:szCs w:val="18"/>
                <w:lang w:eastAsia="es-CR"/>
              </w:rPr>
            </w:pPr>
            <w:r w:rsidRPr="00D74C5E">
              <w:rPr>
                <w:rFonts w:ascii="Arial" w:eastAsia="Times New Roman" w:hAnsi="Arial" w:cs="Arial"/>
                <w:sz w:val="18"/>
                <w:szCs w:val="18"/>
                <w:lang w:eastAsia="es-CR"/>
              </w:rPr>
              <w:t>₡</w:t>
            </w:r>
            <w:r w:rsidRPr="00D74C5E">
              <w:rPr>
                <w:rFonts w:eastAsia="Times New Roman" w:cs="Calibri"/>
                <w:sz w:val="18"/>
                <w:szCs w:val="18"/>
                <w:lang w:eastAsia="es-CR"/>
              </w:rPr>
              <w:t>8 271,56</w:t>
            </w:r>
          </w:p>
        </w:tc>
        <w:tc>
          <w:tcPr>
            <w:tcW w:w="1357" w:type="dxa"/>
            <w:tcBorders>
              <w:top w:val="nil"/>
              <w:left w:val="nil"/>
              <w:bottom w:val="nil"/>
              <w:right w:val="single" w:sz="8" w:space="0" w:color="auto"/>
            </w:tcBorders>
            <w:shd w:val="clear" w:color="auto" w:fill="auto"/>
            <w:noWrap/>
            <w:vAlign w:val="bottom"/>
            <w:hideMark/>
          </w:tcPr>
          <w:p w14:paraId="071D13AF" w14:textId="77777777" w:rsidR="00D74C5E" w:rsidRPr="00D74C5E" w:rsidRDefault="00D74C5E" w:rsidP="00D74C5E">
            <w:pPr>
              <w:spacing w:after="0" w:line="240" w:lineRule="auto"/>
              <w:jc w:val="right"/>
              <w:rPr>
                <w:rFonts w:eastAsia="Times New Roman" w:cs="Calibri"/>
                <w:sz w:val="18"/>
                <w:szCs w:val="18"/>
                <w:lang w:eastAsia="es-CR"/>
              </w:rPr>
            </w:pPr>
            <w:r w:rsidRPr="00D74C5E">
              <w:rPr>
                <w:rFonts w:ascii="Arial" w:eastAsia="Times New Roman" w:hAnsi="Arial" w:cs="Arial"/>
                <w:sz w:val="18"/>
                <w:szCs w:val="18"/>
                <w:lang w:eastAsia="es-CR"/>
              </w:rPr>
              <w:t>₡</w:t>
            </w:r>
            <w:r w:rsidRPr="00D74C5E">
              <w:rPr>
                <w:rFonts w:eastAsia="Times New Roman" w:cs="Calibri"/>
                <w:sz w:val="18"/>
                <w:szCs w:val="18"/>
                <w:lang w:eastAsia="es-CR"/>
              </w:rPr>
              <w:t>7 207,22</w:t>
            </w:r>
          </w:p>
        </w:tc>
        <w:tc>
          <w:tcPr>
            <w:tcW w:w="1337" w:type="dxa"/>
            <w:tcBorders>
              <w:top w:val="nil"/>
              <w:left w:val="nil"/>
              <w:bottom w:val="nil"/>
              <w:right w:val="single" w:sz="8" w:space="0" w:color="auto"/>
            </w:tcBorders>
            <w:shd w:val="clear" w:color="auto" w:fill="auto"/>
            <w:noWrap/>
            <w:vAlign w:val="bottom"/>
            <w:hideMark/>
          </w:tcPr>
          <w:p w14:paraId="0188CB23" w14:textId="77777777" w:rsidR="00D74C5E" w:rsidRPr="00D74C5E" w:rsidRDefault="00D74C5E" w:rsidP="00D74C5E">
            <w:pPr>
              <w:spacing w:after="0" w:line="240" w:lineRule="auto"/>
              <w:jc w:val="right"/>
              <w:rPr>
                <w:rFonts w:eastAsia="Times New Roman" w:cs="Calibri"/>
                <w:color w:val="000000"/>
                <w:sz w:val="18"/>
                <w:szCs w:val="18"/>
                <w:lang w:eastAsia="es-CR"/>
              </w:rPr>
            </w:pPr>
            <w:r w:rsidRPr="00D74C5E">
              <w:rPr>
                <w:rFonts w:eastAsia="Times New Roman" w:cs="Calibri"/>
                <w:color w:val="000000"/>
                <w:sz w:val="18"/>
                <w:szCs w:val="18"/>
                <w:lang w:eastAsia="es-CR"/>
              </w:rPr>
              <w:t>1 064,34</w:t>
            </w:r>
          </w:p>
        </w:tc>
        <w:tc>
          <w:tcPr>
            <w:tcW w:w="860" w:type="dxa"/>
            <w:tcBorders>
              <w:top w:val="nil"/>
              <w:left w:val="nil"/>
              <w:bottom w:val="nil"/>
              <w:right w:val="single" w:sz="8" w:space="0" w:color="auto"/>
            </w:tcBorders>
            <w:shd w:val="clear" w:color="auto" w:fill="auto"/>
            <w:noWrap/>
            <w:vAlign w:val="bottom"/>
            <w:hideMark/>
          </w:tcPr>
          <w:p w14:paraId="77E5B7C8" w14:textId="77777777" w:rsidR="00D74C5E" w:rsidRPr="00D74C5E" w:rsidRDefault="00D74C5E" w:rsidP="00D74C5E">
            <w:pPr>
              <w:spacing w:after="0" w:line="240" w:lineRule="auto"/>
              <w:jc w:val="right"/>
              <w:rPr>
                <w:rFonts w:eastAsia="Times New Roman" w:cs="Calibri"/>
                <w:color w:val="000000"/>
                <w:sz w:val="18"/>
                <w:szCs w:val="18"/>
                <w:lang w:eastAsia="es-CR"/>
              </w:rPr>
            </w:pPr>
            <w:r w:rsidRPr="00D74C5E">
              <w:rPr>
                <w:rFonts w:eastAsia="Times New Roman" w:cs="Calibri"/>
                <w:color w:val="000000"/>
                <w:sz w:val="18"/>
                <w:szCs w:val="18"/>
                <w:lang w:eastAsia="es-CR"/>
              </w:rPr>
              <w:t>14,77%</w:t>
            </w:r>
          </w:p>
        </w:tc>
      </w:tr>
      <w:tr w:rsidR="00D74C5E" w:rsidRPr="00D74C5E" w14:paraId="1674223D" w14:textId="77777777" w:rsidTr="00D74C5E">
        <w:trPr>
          <w:trHeight w:val="300"/>
        </w:trPr>
        <w:tc>
          <w:tcPr>
            <w:tcW w:w="998" w:type="dxa"/>
            <w:tcBorders>
              <w:top w:val="nil"/>
              <w:left w:val="single" w:sz="8" w:space="0" w:color="auto"/>
              <w:bottom w:val="nil"/>
              <w:right w:val="single" w:sz="8" w:space="0" w:color="auto"/>
            </w:tcBorders>
            <w:shd w:val="clear" w:color="auto" w:fill="auto"/>
            <w:noWrap/>
            <w:vAlign w:val="center"/>
            <w:hideMark/>
          </w:tcPr>
          <w:p w14:paraId="1DC14B44" w14:textId="77777777" w:rsidR="00D74C5E" w:rsidRPr="00D74C5E" w:rsidRDefault="00D74C5E" w:rsidP="00D74C5E">
            <w:pPr>
              <w:spacing w:after="0" w:line="240" w:lineRule="auto"/>
              <w:jc w:val="center"/>
              <w:rPr>
                <w:rFonts w:eastAsia="Times New Roman" w:cs="Calibri"/>
                <w:color w:val="000000"/>
                <w:sz w:val="18"/>
                <w:szCs w:val="18"/>
                <w:lang w:eastAsia="es-CR"/>
              </w:rPr>
            </w:pPr>
            <w:r w:rsidRPr="00D74C5E">
              <w:rPr>
                <w:rFonts w:eastAsia="Times New Roman" w:cs="Calibri"/>
                <w:color w:val="000000"/>
                <w:sz w:val="18"/>
                <w:szCs w:val="18"/>
                <w:lang w:eastAsia="es-CR"/>
              </w:rPr>
              <w:t>12784</w:t>
            </w:r>
          </w:p>
        </w:tc>
        <w:tc>
          <w:tcPr>
            <w:tcW w:w="4329" w:type="dxa"/>
            <w:tcBorders>
              <w:top w:val="nil"/>
              <w:left w:val="nil"/>
              <w:bottom w:val="nil"/>
              <w:right w:val="single" w:sz="8" w:space="0" w:color="auto"/>
            </w:tcBorders>
            <w:shd w:val="clear" w:color="auto" w:fill="auto"/>
            <w:vAlign w:val="center"/>
            <w:hideMark/>
          </w:tcPr>
          <w:p w14:paraId="1B71377D" w14:textId="77777777" w:rsidR="00D74C5E" w:rsidRPr="00D74C5E" w:rsidRDefault="00D74C5E" w:rsidP="00D74C5E">
            <w:pPr>
              <w:spacing w:after="0" w:line="240" w:lineRule="auto"/>
              <w:jc w:val="left"/>
              <w:rPr>
                <w:rFonts w:eastAsia="Times New Roman" w:cs="Calibri"/>
                <w:color w:val="000000"/>
                <w:sz w:val="18"/>
                <w:szCs w:val="18"/>
                <w:lang w:eastAsia="es-CR"/>
              </w:rPr>
            </w:pPr>
            <w:r w:rsidRPr="00D74C5E">
              <w:rPr>
                <w:rFonts w:eastAsia="Times New Roman" w:cs="Calibri"/>
                <w:color w:val="000000"/>
                <w:sz w:val="18"/>
                <w:szCs w:val="18"/>
                <w:lang w:eastAsia="es-CR"/>
              </w:rPr>
              <w:t>Junta Administrativa del Registro Nacional</w:t>
            </w:r>
          </w:p>
        </w:tc>
        <w:tc>
          <w:tcPr>
            <w:tcW w:w="1139" w:type="dxa"/>
            <w:tcBorders>
              <w:top w:val="nil"/>
              <w:left w:val="nil"/>
              <w:bottom w:val="nil"/>
              <w:right w:val="single" w:sz="8" w:space="0" w:color="auto"/>
            </w:tcBorders>
            <w:shd w:val="clear" w:color="auto" w:fill="auto"/>
            <w:noWrap/>
            <w:vAlign w:val="bottom"/>
            <w:hideMark/>
          </w:tcPr>
          <w:p w14:paraId="616A6A55" w14:textId="77777777" w:rsidR="00D74C5E" w:rsidRPr="00D74C5E" w:rsidRDefault="00D74C5E" w:rsidP="00D74C5E">
            <w:pPr>
              <w:spacing w:after="0" w:line="240" w:lineRule="auto"/>
              <w:jc w:val="right"/>
              <w:rPr>
                <w:rFonts w:eastAsia="Times New Roman" w:cs="Calibri"/>
                <w:sz w:val="18"/>
                <w:szCs w:val="18"/>
                <w:lang w:eastAsia="es-CR"/>
              </w:rPr>
            </w:pPr>
            <w:r w:rsidRPr="00D74C5E">
              <w:rPr>
                <w:rFonts w:ascii="Arial" w:eastAsia="Times New Roman" w:hAnsi="Arial" w:cs="Arial"/>
                <w:sz w:val="18"/>
                <w:szCs w:val="18"/>
                <w:lang w:eastAsia="es-CR"/>
              </w:rPr>
              <w:t>₡</w:t>
            </w:r>
            <w:r w:rsidRPr="00D74C5E">
              <w:rPr>
                <w:rFonts w:eastAsia="Times New Roman" w:cs="Calibri"/>
                <w:sz w:val="18"/>
                <w:szCs w:val="18"/>
                <w:lang w:eastAsia="es-CR"/>
              </w:rPr>
              <w:t>12 304,14</w:t>
            </w:r>
          </w:p>
        </w:tc>
        <w:tc>
          <w:tcPr>
            <w:tcW w:w="1357" w:type="dxa"/>
            <w:tcBorders>
              <w:top w:val="nil"/>
              <w:left w:val="nil"/>
              <w:bottom w:val="nil"/>
              <w:right w:val="single" w:sz="8" w:space="0" w:color="auto"/>
            </w:tcBorders>
            <w:shd w:val="clear" w:color="auto" w:fill="auto"/>
            <w:noWrap/>
            <w:vAlign w:val="bottom"/>
            <w:hideMark/>
          </w:tcPr>
          <w:p w14:paraId="4A7E3A5C" w14:textId="77777777" w:rsidR="00D74C5E" w:rsidRPr="00D74C5E" w:rsidRDefault="00D74C5E" w:rsidP="00D74C5E">
            <w:pPr>
              <w:spacing w:after="0" w:line="240" w:lineRule="auto"/>
              <w:jc w:val="right"/>
              <w:rPr>
                <w:rFonts w:eastAsia="Times New Roman" w:cs="Calibri"/>
                <w:sz w:val="18"/>
                <w:szCs w:val="18"/>
                <w:lang w:eastAsia="es-CR"/>
              </w:rPr>
            </w:pPr>
            <w:r w:rsidRPr="00D74C5E">
              <w:rPr>
                <w:rFonts w:ascii="Arial" w:eastAsia="Times New Roman" w:hAnsi="Arial" w:cs="Arial"/>
                <w:sz w:val="18"/>
                <w:szCs w:val="18"/>
                <w:lang w:eastAsia="es-CR"/>
              </w:rPr>
              <w:t>₡</w:t>
            </w:r>
            <w:r w:rsidRPr="00D74C5E">
              <w:rPr>
                <w:rFonts w:eastAsia="Times New Roman" w:cs="Calibri"/>
                <w:sz w:val="18"/>
                <w:szCs w:val="18"/>
                <w:lang w:eastAsia="es-CR"/>
              </w:rPr>
              <w:t>11 573,57</w:t>
            </w:r>
          </w:p>
        </w:tc>
        <w:tc>
          <w:tcPr>
            <w:tcW w:w="1337" w:type="dxa"/>
            <w:tcBorders>
              <w:top w:val="nil"/>
              <w:left w:val="nil"/>
              <w:bottom w:val="nil"/>
              <w:right w:val="single" w:sz="8" w:space="0" w:color="auto"/>
            </w:tcBorders>
            <w:shd w:val="clear" w:color="auto" w:fill="auto"/>
            <w:noWrap/>
            <w:vAlign w:val="bottom"/>
            <w:hideMark/>
          </w:tcPr>
          <w:p w14:paraId="6791C272" w14:textId="77777777" w:rsidR="00D74C5E" w:rsidRPr="00D74C5E" w:rsidRDefault="00D74C5E" w:rsidP="00D74C5E">
            <w:pPr>
              <w:spacing w:after="0" w:line="240" w:lineRule="auto"/>
              <w:jc w:val="right"/>
              <w:rPr>
                <w:rFonts w:eastAsia="Times New Roman" w:cs="Calibri"/>
                <w:color w:val="000000"/>
                <w:sz w:val="18"/>
                <w:szCs w:val="18"/>
                <w:lang w:eastAsia="es-CR"/>
              </w:rPr>
            </w:pPr>
            <w:r w:rsidRPr="00D74C5E">
              <w:rPr>
                <w:rFonts w:eastAsia="Times New Roman" w:cs="Calibri"/>
                <w:color w:val="000000"/>
                <w:sz w:val="18"/>
                <w:szCs w:val="18"/>
                <w:lang w:eastAsia="es-CR"/>
              </w:rPr>
              <w:t>730,57</w:t>
            </w:r>
          </w:p>
        </w:tc>
        <w:tc>
          <w:tcPr>
            <w:tcW w:w="860" w:type="dxa"/>
            <w:tcBorders>
              <w:top w:val="nil"/>
              <w:left w:val="nil"/>
              <w:bottom w:val="nil"/>
              <w:right w:val="single" w:sz="8" w:space="0" w:color="auto"/>
            </w:tcBorders>
            <w:shd w:val="clear" w:color="auto" w:fill="auto"/>
            <w:noWrap/>
            <w:vAlign w:val="bottom"/>
            <w:hideMark/>
          </w:tcPr>
          <w:p w14:paraId="5DDD8640" w14:textId="77777777" w:rsidR="00D74C5E" w:rsidRPr="00D74C5E" w:rsidRDefault="00D74C5E" w:rsidP="00D74C5E">
            <w:pPr>
              <w:spacing w:after="0" w:line="240" w:lineRule="auto"/>
              <w:jc w:val="right"/>
              <w:rPr>
                <w:rFonts w:eastAsia="Times New Roman" w:cs="Calibri"/>
                <w:color w:val="000000"/>
                <w:sz w:val="18"/>
                <w:szCs w:val="18"/>
                <w:lang w:eastAsia="es-CR"/>
              </w:rPr>
            </w:pPr>
            <w:r w:rsidRPr="00D74C5E">
              <w:rPr>
                <w:rFonts w:eastAsia="Times New Roman" w:cs="Calibri"/>
                <w:color w:val="000000"/>
                <w:sz w:val="18"/>
                <w:szCs w:val="18"/>
                <w:lang w:eastAsia="es-CR"/>
              </w:rPr>
              <w:t>6,31%</w:t>
            </w:r>
          </w:p>
        </w:tc>
      </w:tr>
      <w:tr w:rsidR="00D74C5E" w:rsidRPr="00D74C5E" w14:paraId="0B5D58FF" w14:textId="77777777" w:rsidTr="00D74C5E">
        <w:trPr>
          <w:trHeight w:val="300"/>
        </w:trPr>
        <w:tc>
          <w:tcPr>
            <w:tcW w:w="998" w:type="dxa"/>
            <w:tcBorders>
              <w:top w:val="nil"/>
              <w:left w:val="single" w:sz="8" w:space="0" w:color="auto"/>
              <w:bottom w:val="nil"/>
              <w:right w:val="single" w:sz="8" w:space="0" w:color="auto"/>
            </w:tcBorders>
            <w:shd w:val="clear" w:color="auto" w:fill="auto"/>
            <w:noWrap/>
            <w:vAlign w:val="bottom"/>
            <w:hideMark/>
          </w:tcPr>
          <w:p w14:paraId="0052419A" w14:textId="77777777" w:rsidR="00D74C5E" w:rsidRPr="00D74C5E" w:rsidRDefault="00D74C5E" w:rsidP="00D74C5E">
            <w:pPr>
              <w:spacing w:after="0" w:line="240" w:lineRule="auto"/>
              <w:jc w:val="center"/>
              <w:rPr>
                <w:rFonts w:eastAsia="Times New Roman" w:cs="Calibri"/>
                <w:color w:val="000000"/>
                <w:sz w:val="18"/>
                <w:szCs w:val="18"/>
                <w:lang w:eastAsia="es-CR"/>
              </w:rPr>
            </w:pPr>
            <w:r w:rsidRPr="00D74C5E">
              <w:rPr>
                <w:rFonts w:eastAsia="Times New Roman" w:cs="Calibri"/>
                <w:color w:val="000000"/>
                <w:sz w:val="18"/>
                <w:szCs w:val="18"/>
                <w:lang w:eastAsia="es-CR"/>
              </w:rPr>
              <w:t>14253</w:t>
            </w:r>
          </w:p>
        </w:tc>
        <w:tc>
          <w:tcPr>
            <w:tcW w:w="4329" w:type="dxa"/>
            <w:tcBorders>
              <w:top w:val="nil"/>
              <w:left w:val="nil"/>
              <w:bottom w:val="nil"/>
              <w:right w:val="single" w:sz="8" w:space="0" w:color="auto"/>
            </w:tcBorders>
            <w:shd w:val="clear" w:color="auto" w:fill="auto"/>
            <w:noWrap/>
            <w:vAlign w:val="bottom"/>
            <w:hideMark/>
          </w:tcPr>
          <w:p w14:paraId="6EAB5056" w14:textId="3EF2840E" w:rsidR="00D74C5E" w:rsidRPr="00D74C5E" w:rsidRDefault="00D74C5E" w:rsidP="00D74C5E">
            <w:pPr>
              <w:spacing w:after="0" w:line="240" w:lineRule="auto"/>
              <w:jc w:val="left"/>
              <w:rPr>
                <w:rFonts w:eastAsia="Times New Roman" w:cs="Calibri"/>
                <w:color w:val="000000"/>
                <w:sz w:val="18"/>
                <w:szCs w:val="18"/>
                <w:lang w:eastAsia="es-CR"/>
              </w:rPr>
            </w:pPr>
            <w:r w:rsidRPr="00D74C5E">
              <w:rPr>
                <w:rFonts w:eastAsia="Times New Roman" w:cs="Calibri"/>
                <w:color w:val="000000"/>
                <w:sz w:val="18"/>
                <w:szCs w:val="18"/>
                <w:lang w:eastAsia="es-CR"/>
              </w:rPr>
              <w:t>Juntas de Educación</w:t>
            </w:r>
          </w:p>
        </w:tc>
        <w:tc>
          <w:tcPr>
            <w:tcW w:w="1139" w:type="dxa"/>
            <w:tcBorders>
              <w:top w:val="nil"/>
              <w:left w:val="nil"/>
              <w:bottom w:val="nil"/>
              <w:right w:val="single" w:sz="8" w:space="0" w:color="auto"/>
            </w:tcBorders>
            <w:shd w:val="clear" w:color="auto" w:fill="auto"/>
            <w:noWrap/>
            <w:vAlign w:val="bottom"/>
            <w:hideMark/>
          </w:tcPr>
          <w:p w14:paraId="3D35F791" w14:textId="77777777" w:rsidR="00D74C5E" w:rsidRPr="00D74C5E" w:rsidRDefault="00D74C5E" w:rsidP="00D74C5E">
            <w:pPr>
              <w:spacing w:after="0" w:line="240" w:lineRule="auto"/>
              <w:jc w:val="right"/>
              <w:rPr>
                <w:rFonts w:eastAsia="Times New Roman" w:cs="Calibri"/>
                <w:sz w:val="18"/>
                <w:szCs w:val="18"/>
                <w:lang w:eastAsia="es-CR"/>
              </w:rPr>
            </w:pPr>
            <w:r w:rsidRPr="00D74C5E">
              <w:rPr>
                <w:rFonts w:ascii="Arial" w:eastAsia="Times New Roman" w:hAnsi="Arial" w:cs="Arial"/>
                <w:sz w:val="18"/>
                <w:szCs w:val="18"/>
                <w:lang w:eastAsia="es-CR"/>
              </w:rPr>
              <w:t>₡</w:t>
            </w:r>
            <w:r w:rsidRPr="00D74C5E">
              <w:rPr>
                <w:rFonts w:eastAsia="Times New Roman" w:cs="Calibri"/>
                <w:sz w:val="18"/>
                <w:szCs w:val="18"/>
                <w:lang w:eastAsia="es-CR"/>
              </w:rPr>
              <w:t>61 520,69</w:t>
            </w:r>
          </w:p>
        </w:tc>
        <w:tc>
          <w:tcPr>
            <w:tcW w:w="1357" w:type="dxa"/>
            <w:tcBorders>
              <w:top w:val="nil"/>
              <w:left w:val="nil"/>
              <w:bottom w:val="nil"/>
              <w:right w:val="single" w:sz="8" w:space="0" w:color="auto"/>
            </w:tcBorders>
            <w:shd w:val="clear" w:color="auto" w:fill="auto"/>
            <w:noWrap/>
            <w:vAlign w:val="bottom"/>
            <w:hideMark/>
          </w:tcPr>
          <w:p w14:paraId="5A67555C" w14:textId="77777777" w:rsidR="00D74C5E" w:rsidRPr="00D74C5E" w:rsidRDefault="00D74C5E" w:rsidP="00D74C5E">
            <w:pPr>
              <w:spacing w:after="0" w:line="240" w:lineRule="auto"/>
              <w:jc w:val="right"/>
              <w:rPr>
                <w:rFonts w:eastAsia="Times New Roman" w:cs="Calibri"/>
                <w:sz w:val="18"/>
                <w:szCs w:val="18"/>
                <w:lang w:eastAsia="es-CR"/>
              </w:rPr>
            </w:pPr>
            <w:r w:rsidRPr="00D74C5E">
              <w:rPr>
                <w:rFonts w:ascii="Arial" w:eastAsia="Times New Roman" w:hAnsi="Arial" w:cs="Arial"/>
                <w:sz w:val="18"/>
                <w:szCs w:val="18"/>
                <w:lang w:eastAsia="es-CR"/>
              </w:rPr>
              <w:t>₡</w:t>
            </w:r>
            <w:r w:rsidRPr="00D74C5E">
              <w:rPr>
                <w:rFonts w:eastAsia="Times New Roman" w:cs="Calibri"/>
                <w:sz w:val="18"/>
                <w:szCs w:val="18"/>
                <w:lang w:eastAsia="es-CR"/>
              </w:rPr>
              <w:t>56 381,41</w:t>
            </w:r>
          </w:p>
        </w:tc>
        <w:tc>
          <w:tcPr>
            <w:tcW w:w="1337" w:type="dxa"/>
            <w:tcBorders>
              <w:top w:val="nil"/>
              <w:left w:val="nil"/>
              <w:bottom w:val="nil"/>
              <w:right w:val="single" w:sz="8" w:space="0" w:color="auto"/>
            </w:tcBorders>
            <w:shd w:val="clear" w:color="auto" w:fill="auto"/>
            <w:noWrap/>
            <w:vAlign w:val="bottom"/>
            <w:hideMark/>
          </w:tcPr>
          <w:p w14:paraId="4942828A" w14:textId="77777777" w:rsidR="00D74C5E" w:rsidRPr="00D74C5E" w:rsidRDefault="00D74C5E" w:rsidP="00D74C5E">
            <w:pPr>
              <w:spacing w:after="0" w:line="240" w:lineRule="auto"/>
              <w:jc w:val="right"/>
              <w:rPr>
                <w:rFonts w:eastAsia="Times New Roman" w:cs="Calibri"/>
                <w:color w:val="000000"/>
                <w:sz w:val="18"/>
                <w:szCs w:val="18"/>
                <w:lang w:eastAsia="es-CR"/>
              </w:rPr>
            </w:pPr>
            <w:bookmarkStart w:id="1009" w:name="_Hlk189126979"/>
            <w:r w:rsidRPr="00D74C5E">
              <w:rPr>
                <w:rFonts w:eastAsia="Times New Roman" w:cs="Calibri"/>
                <w:color w:val="000000"/>
                <w:sz w:val="18"/>
                <w:szCs w:val="18"/>
                <w:lang w:eastAsia="es-CR"/>
              </w:rPr>
              <w:t>5 139,28</w:t>
            </w:r>
            <w:bookmarkEnd w:id="1009"/>
          </w:p>
        </w:tc>
        <w:tc>
          <w:tcPr>
            <w:tcW w:w="860" w:type="dxa"/>
            <w:tcBorders>
              <w:top w:val="nil"/>
              <w:left w:val="nil"/>
              <w:bottom w:val="nil"/>
              <w:right w:val="single" w:sz="8" w:space="0" w:color="auto"/>
            </w:tcBorders>
            <w:shd w:val="clear" w:color="auto" w:fill="auto"/>
            <w:noWrap/>
            <w:vAlign w:val="bottom"/>
            <w:hideMark/>
          </w:tcPr>
          <w:p w14:paraId="1796B2FD" w14:textId="77777777" w:rsidR="00D74C5E" w:rsidRPr="00D74C5E" w:rsidRDefault="00D74C5E" w:rsidP="00D74C5E">
            <w:pPr>
              <w:spacing w:after="0" w:line="240" w:lineRule="auto"/>
              <w:jc w:val="right"/>
              <w:rPr>
                <w:rFonts w:eastAsia="Times New Roman" w:cs="Calibri"/>
                <w:color w:val="000000"/>
                <w:sz w:val="18"/>
                <w:szCs w:val="18"/>
                <w:lang w:eastAsia="es-CR"/>
              </w:rPr>
            </w:pPr>
            <w:r w:rsidRPr="00D74C5E">
              <w:rPr>
                <w:rFonts w:eastAsia="Times New Roman" w:cs="Calibri"/>
                <w:color w:val="000000"/>
                <w:sz w:val="18"/>
                <w:szCs w:val="18"/>
                <w:lang w:eastAsia="es-CR"/>
              </w:rPr>
              <w:t>9,12%</w:t>
            </w:r>
          </w:p>
        </w:tc>
      </w:tr>
      <w:tr w:rsidR="00D74C5E" w:rsidRPr="00D74C5E" w14:paraId="620F263D" w14:textId="77777777" w:rsidTr="00D74C5E">
        <w:trPr>
          <w:trHeight w:val="300"/>
        </w:trPr>
        <w:tc>
          <w:tcPr>
            <w:tcW w:w="998" w:type="dxa"/>
            <w:tcBorders>
              <w:top w:val="nil"/>
              <w:left w:val="single" w:sz="8" w:space="0" w:color="auto"/>
              <w:bottom w:val="nil"/>
              <w:right w:val="single" w:sz="8" w:space="0" w:color="auto"/>
            </w:tcBorders>
            <w:shd w:val="clear" w:color="auto" w:fill="auto"/>
            <w:noWrap/>
            <w:vAlign w:val="center"/>
            <w:hideMark/>
          </w:tcPr>
          <w:p w14:paraId="172BF43F" w14:textId="77777777" w:rsidR="00D74C5E" w:rsidRPr="00D74C5E" w:rsidRDefault="00D74C5E" w:rsidP="00D74C5E">
            <w:pPr>
              <w:spacing w:after="0" w:line="240" w:lineRule="auto"/>
              <w:jc w:val="center"/>
              <w:rPr>
                <w:rFonts w:eastAsia="Times New Roman" w:cs="Calibri"/>
                <w:color w:val="000000"/>
                <w:sz w:val="18"/>
                <w:szCs w:val="18"/>
                <w:lang w:eastAsia="es-CR"/>
              </w:rPr>
            </w:pPr>
            <w:r w:rsidRPr="00D74C5E">
              <w:rPr>
                <w:rFonts w:eastAsia="Times New Roman" w:cs="Calibri"/>
                <w:color w:val="000000"/>
                <w:sz w:val="18"/>
                <w:szCs w:val="18"/>
                <w:lang w:eastAsia="es-CR"/>
              </w:rPr>
              <w:t>15910</w:t>
            </w:r>
          </w:p>
        </w:tc>
        <w:tc>
          <w:tcPr>
            <w:tcW w:w="4329" w:type="dxa"/>
            <w:tcBorders>
              <w:top w:val="nil"/>
              <w:left w:val="nil"/>
              <w:bottom w:val="nil"/>
              <w:right w:val="single" w:sz="8" w:space="0" w:color="auto"/>
            </w:tcBorders>
            <w:shd w:val="clear" w:color="auto" w:fill="auto"/>
            <w:noWrap/>
            <w:vAlign w:val="bottom"/>
            <w:hideMark/>
          </w:tcPr>
          <w:p w14:paraId="0C45E4EA" w14:textId="77777777" w:rsidR="00D74C5E" w:rsidRPr="00D74C5E" w:rsidRDefault="00D74C5E" w:rsidP="00D74C5E">
            <w:pPr>
              <w:spacing w:after="0" w:line="240" w:lineRule="auto"/>
              <w:jc w:val="left"/>
              <w:rPr>
                <w:rFonts w:eastAsia="Times New Roman" w:cs="Calibri"/>
                <w:color w:val="000000"/>
                <w:sz w:val="18"/>
                <w:szCs w:val="18"/>
                <w:lang w:eastAsia="es-CR"/>
              </w:rPr>
            </w:pPr>
            <w:r w:rsidRPr="00D74C5E">
              <w:rPr>
                <w:rFonts w:eastAsia="Times New Roman" w:cs="Calibri"/>
                <w:color w:val="000000"/>
                <w:sz w:val="18"/>
                <w:szCs w:val="18"/>
                <w:lang w:eastAsia="es-CR"/>
              </w:rPr>
              <w:t>Comités Cantonales de Deportes y Recreación</w:t>
            </w:r>
          </w:p>
        </w:tc>
        <w:tc>
          <w:tcPr>
            <w:tcW w:w="1139" w:type="dxa"/>
            <w:tcBorders>
              <w:top w:val="nil"/>
              <w:left w:val="nil"/>
              <w:bottom w:val="nil"/>
              <w:right w:val="single" w:sz="8" w:space="0" w:color="auto"/>
            </w:tcBorders>
            <w:shd w:val="clear" w:color="auto" w:fill="auto"/>
            <w:noWrap/>
            <w:vAlign w:val="bottom"/>
            <w:hideMark/>
          </w:tcPr>
          <w:p w14:paraId="706B982E" w14:textId="77777777" w:rsidR="00D74C5E" w:rsidRPr="00D74C5E" w:rsidRDefault="00D74C5E" w:rsidP="00D74C5E">
            <w:pPr>
              <w:spacing w:after="0" w:line="240" w:lineRule="auto"/>
              <w:jc w:val="right"/>
              <w:rPr>
                <w:rFonts w:eastAsia="Times New Roman" w:cs="Calibri"/>
                <w:sz w:val="18"/>
                <w:szCs w:val="18"/>
                <w:lang w:eastAsia="es-CR"/>
              </w:rPr>
            </w:pPr>
            <w:r w:rsidRPr="00D74C5E">
              <w:rPr>
                <w:rFonts w:ascii="Arial" w:eastAsia="Times New Roman" w:hAnsi="Arial" w:cs="Arial"/>
                <w:sz w:val="18"/>
                <w:szCs w:val="18"/>
                <w:lang w:eastAsia="es-CR"/>
              </w:rPr>
              <w:t>₡</w:t>
            </w:r>
            <w:r w:rsidRPr="00D74C5E">
              <w:rPr>
                <w:rFonts w:eastAsia="Times New Roman" w:cs="Calibri"/>
                <w:sz w:val="18"/>
                <w:szCs w:val="18"/>
                <w:lang w:eastAsia="es-CR"/>
              </w:rPr>
              <w:t>55 629,39</w:t>
            </w:r>
          </w:p>
        </w:tc>
        <w:tc>
          <w:tcPr>
            <w:tcW w:w="1357" w:type="dxa"/>
            <w:tcBorders>
              <w:top w:val="nil"/>
              <w:left w:val="nil"/>
              <w:bottom w:val="nil"/>
              <w:right w:val="single" w:sz="8" w:space="0" w:color="auto"/>
            </w:tcBorders>
            <w:shd w:val="clear" w:color="auto" w:fill="auto"/>
            <w:noWrap/>
            <w:vAlign w:val="bottom"/>
            <w:hideMark/>
          </w:tcPr>
          <w:p w14:paraId="6ABA1F3C" w14:textId="77777777" w:rsidR="00D74C5E" w:rsidRPr="00D74C5E" w:rsidRDefault="00D74C5E" w:rsidP="00D74C5E">
            <w:pPr>
              <w:spacing w:after="0" w:line="240" w:lineRule="auto"/>
              <w:jc w:val="right"/>
              <w:rPr>
                <w:rFonts w:eastAsia="Times New Roman" w:cs="Calibri"/>
                <w:sz w:val="18"/>
                <w:szCs w:val="18"/>
                <w:lang w:eastAsia="es-CR"/>
              </w:rPr>
            </w:pPr>
            <w:r w:rsidRPr="00D74C5E">
              <w:rPr>
                <w:rFonts w:ascii="Arial" w:eastAsia="Times New Roman" w:hAnsi="Arial" w:cs="Arial"/>
                <w:sz w:val="18"/>
                <w:szCs w:val="18"/>
                <w:lang w:eastAsia="es-CR"/>
              </w:rPr>
              <w:t>₡</w:t>
            </w:r>
            <w:r w:rsidRPr="00D74C5E">
              <w:rPr>
                <w:rFonts w:eastAsia="Times New Roman" w:cs="Calibri"/>
                <w:sz w:val="18"/>
                <w:szCs w:val="18"/>
                <w:lang w:eastAsia="es-CR"/>
              </w:rPr>
              <w:t>43 243,33</w:t>
            </w:r>
          </w:p>
        </w:tc>
        <w:tc>
          <w:tcPr>
            <w:tcW w:w="1337" w:type="dxa"/>
            <w:tcBorders>
              <w:top w:val="nil"/>
              <w:left w:val="nil"/>
              <w:bottom w:val="nil"/>
              <w:right w:val="single" w:sz="8" w:space="0" w:color="auto"/>
            </w:tcBorders>
            <w:shd w:val="clear" w:color="auto" w:fill="auto"/>
            <w:noWrap/>
            <w:vAlign w:val="bottom"/>
            <w:hideMark/>
          </w:tcPr>
          <w:p w14:paraId="014D2AD3" w14:textId="77777777" w:rsidR="00D74C5E" w:rsidRPr="00D74C5E" w:rsidRDefault="00D74C5E" w:rsidP="00D74C5E">
            <w:pPr>
              <w:spacing w:after="0" w:line="240" w:lineRule="auto"/>
              <w:jc w:val="right"/>
              <w:rPr>
                <w:rFonts w:eastAsia="Times New Roman" w:cs="Calibri"/>
                <w:color w:val="000000"/>
                <w:sz w:val="18"/>
                <w:szCs w:val="18"/>
                <w:lang w:eastAsia="es-CR"/>
              </w:rPr>
            </w:pPr>
            <w:r w:rsidRPr="00D74C5E">
              <w:rPr>
                <w:rFonts w:eastAsia="Times New Roman" w:cs="Calibri"/>
                <w:color w:val="000000"/>
                <w:sz w:val="18"/>
                <w:szCs w:val="18"/>
                <w:lang w:eastAsia="es-CR"/>
              </w:rPr>
              <w:t>12 386,06</w:t>
            </w:r>
          </w:p>
        </w:tc>
        <w:tc>
          <w:tcPr>
            <w:tcW w:w="860" w:type="dxa"/>
            <w:tcBorders>
              <w:top w:val="nil"/>
              <w:left w:val="nil"/>
              <w:bottom w:val="nil"/>
              <w:right w:val="single" w:sz="8" w:space="0" w:color="auto"/>
            </w:tcBorders>
            <w:shd w:val="clear" w:color="auto" w:fill="auto"/>
            <w:noWrap/>
            <w:vAlign w:val="bottom"/>
            <w:hideMark/>
          </w:tcPr>
          <w:p w14:paraId="087094F5" w14:textId="77777777" w:rsidR="00D74C5E" w:rsidRPr="00D74C5E" w:rsidRDefault="00D74C5E" w:rsidP="00D74C5E">
            <w:pPr>
              <w:spacing w:after="0" w:line="240" w:lineRule="auto"/>
              <w:jc w:val="right"/>
              <w:rPr>
                <w:rFonts w:eastAsia="Times New Roman" w:cs="Calibri"/>
                <w:color w:val="000000"/>
                <w:sz w:val="18"/>
                <w:szCs w:val="18"/>
                <w:lang w:eastAsia="es-CR"/>
              </w:rPr>
            </w:pPr>
            <w:r w:rsidRPr="00D74C5E">
              <w:rPr>
                <w:rFonts w:eastAsia="Times New Roman" w:cs="Calibri"/>
                <w:color w:val="000000"/>
                <w:sz w:val="18"/>
                <w:szCs w:val="18"/>
                <w:lang w:eastAsia="es-CR"/>
              </w:rPr>
              <w:t>28,64%</w:t>
            </w:r>
          </w:p>
        </w:tc>
      </w:tr>
      <w:tr w:rsidR="00D74C5E" w:rsidRPr="00D74C5E" w14:paraId="7A4A69F2" w14:textId="77777777" w:rsidTr="00D74C5E">
        <w:trPr>
          <w:trHeight w:val="315"/>
        </w:trPr>
        <w:tc>
          <w:tcPr>
            <w:tcW w:w="998" w:type="dxa"/>
            <w:tcBorders>
              <w:top w:val="nil"/>
              <w:left w:val="single" w:sz="8" w:space="0" w:color="auto"/>
              <w:bottom w:val="nil"/>
              <w:right w:val="single" w:sz="8" w:space="0" w:color="auto"/>
            </w:tcBorders>
            <w:shd w:val="clear" w:color="auto" w:fill="auto"/>
            <w:noWrap/>
            <w:vAlign w:val="center"/>
            <w:hideMark/>
          </w:tcPr>
          <w:p w14:paraId="7A3AD014" w14:textId="77777777" w:rsidR="00D74C5E" w:rsidRPr="00D74C5E" w:rsidRDefault="00D74C5E" w:rsidP="00D74C5E">
            <w:pPr>
              <w:spacing w:after="0" w:line="240" w:lineRule="auto"/>
              <w:jc w:val="center"/>
              <w:rPr>
                <w:rFonts w:eastAsia="Times New Roman" w:cs="Calibri"/>
                <w:color w:val="000000"/>
                <w:sz w:val="18"/>
                <w:szCs w:val="18"/>
                <w:lang w:eastAsia="es-CR"/>
              </w:rPr>
            </w:pPr>
            <w:r w:rsidRPr="00D74C5E">
              <w:rPr>
                <w:rFonts w:eastAsia="Times New Roman" w:cs="Calibri"/>
                <w:color w:val="000000"/>
                <w:sz w:val="18"/>
                <w:szCs w:val="18"/>
                <w:lang w:eastAsia="es-CR"/>
              </w:rPr>
              <w:t>15980</w:t>
            </w:r>
          </w:p>
        </w:tc>
        <w:tc>
          <w:tcPr>
            <w:tcW w:w="4329" w:type="dxa"/>
            <w:tcBorders>
              <w:top w:val="nil"/>
              <w:left w:val="nil"/>
              <w:bottom w:val="nil"/>
              <w:right w:val="single" w:sz="8" w:space="0" w:color="auto"/>
            </w:tcBorders>
            <w:shd w:val="clear" w:color="auto" w:fill="auto"/>
            <w:vAlign w:val="center"/>
            <w:hideMark/>
          </w:tcPr>
          <w:p w14:paraId="3D4D9696" w14:textId="77777777" w:rsidR="00D74C5E" w:rsidRPr="00D74C5E" w:rsidRDefault="00D74C5E" w:rsidP="00D74C5E">
            <w:pPr>
              <w:spacing w:after="0" w:line="240" w:lineRule="auto"/>
              <w:jc w:val="left"/>
              <w:rPr>
                <w:rFonts w:eastAsia="Times New Roman" w:cs="Calibri"/>
                <w:color w:val="000000"/>
                <w:sz w:val="18"/>
                <w:szCs w:val="18"/>
                <w:lang w:eastAsia="es-CR"/>
              </w:rPr>
            </w:pPr>
            <w:r w:rsidRPr="00D74C5E">
              <w:rPr>
                <w:rFonts w:eastAsia="Times New Roman" w:cs="Calibri"/>
                <w:color w:val="000000"/>
                <w:sz w:val="18"/>
                <w:szCs w:val="18"/>
                <w:lang w:eastAsia="es-CR"/>
              </w:rPr>
              <w:t>Unión Nacional de Gobiernos Locales</w:t>
            </w:r>
          </w:p>
        </w:tc>
        <w:tc>
          <w:tcPr>
            <w:tcW w:w="1139" w:type="dxa"/>
            <w:tcBorders>
              <w:top w:val="nil"/>
              <w:left w:val="nil"/>
              <w:bottom w:val="nil"/>
              <w:right w:val="single" w:sz="8" w:space="0" w:color="auto"/>
            </w:tcBorders>
            <w:shd w:val="clear" w:color="auto" w:fill="auto"/>
            <w:noWrap/>
            <w:vAlign w:val="bottom"/>
            <w:hideMark/>
          </w:tcPr>
          <w:p w14:paraId="6496D421" w14:textId="77777777" w:rsidR="00D74C5E" w:rsidRPr="00D74C5E" w:rsidRDefault="00D74C5E" w:rsidP="00D74C5E">
            <w:pPr>
              <w:spacing w:after="0" w:line="240" w:lineRule="auto"/>
              <w:jc w:val="right"/>
              <w:rPr>
                <w:rFonts w:eastAsia="Times New Roman" w:cs="Calibri"/>
                <w:sz w:val="18"/>
                <w:szCs w:val="18"/>
                <w:lang w:eastAsia="es-CR"/>
              </w:rPr>
            </w:pPr>
            <w:r w:rsidRPr="00D74C5E">
              <w:rPr>
                <w:rFonts w:ascii="Arial" w:eastAsia="Times New Roman" w:hAnsi="Arial" w:cs="Arial"/>
                <w:sz w:val="18"/>
                <w:szCs w:val="18"/>
                <w:lang w:eastAsia="es-CR"/>
              </w:rPr>
              <w:t>₡</w:t>
            </w:r>
            <w:r w:rsidRPr="00D74C5E">
              <w:rPr>
                <w:rFonts w:eastAsia="Times New Roman" w:cs="Calibri"/>
                <w:sz w:val="18"/>
                <w:szCs w:val="18"/>
                <w:lang w:eastAsia="es-CR"/>
              </w:rPr>
              <w:t>3 457,82</w:t>
            </w:r>
          </w:p>
        </w:tc>
        <w:tc>
          <w:tcPr>
            <w:tcW w:w="1357" w:type="dxa"/>
            <w:tcBorders>
              <w:top w:val="nil"/>
              <w:left w:val="nil"/>
              <w:bottom w:val="nil"/>
              <w:right w:val="single" w:sz="8" w:space="0" w:color="auto"/>
            </w:tcBorders>
            <w:shd w:val="clear" w:color="auto" w:fill="auto"/>
            <w:noWrap/>
            <w:vAlign w:val="bottom"/>
            <w:hideMark/>
          </w:tcPr>
          <w:p w14:paraId="0954D573" w14:textId="77777777" w:rsidR="00D74C5E" w:rsidRPr="00D74C5E" w:rsidRDefault="00D74C5E" w:rsidP="00D74C5E">
            <w:pPr>
              <w:spacing w:after="0" w:line="240" w:lineRule="auto"/>
              <w:jc w:val="right"/>
              <w:rPr>
                <w:rFonts w:eastAsia="Times New Roman" w:cs="Calibri"/>
                <w:sz w:val="18"/>
                <w:szCs w:val="18"/>
                <w:lang w:eastAsia="es-CR"/>
              </w:rPr>
            </w:pPr>
            <w:r w:rsidRPr="00D74C5E">
              <w:rPr>
                <w:rFonts w:ascii="Arial" w:eastAsia="Times New Roman" w:hAnsi="Arial" w:cs="Arial"/>
                <w:sz w:val="18"/>
                <w:szCs w:val="18"/>
                <w:lang w:eastAsia="es-CR"/>
              </w:rPr>
              <w:t>₡</w:t>
            </w:r>
            <w:r w:rsidRPr="00D74C5E">
              <w:rPr>
                <w:rFonts w:eastAsia="Times New Roman" w:cs="Calibri"/>
                <w:sz w:val="18"/>
                <w:szCs w:val="18"/>
                <w:lang w:eastAsia="es-CR"/>
              </w:rPr>
              <w:t>3 603,61</w:t>
            </w:r>
          </w:p>
        </w:tc>
        <w:tc>
          <w:tcPr>
            <w:tcW w:w="1337" w:type="dxa"/>
            <w:tcBorders>
              <w:top w:val="nil"/>
              <w:left w:val="nil"/>
              <w:bottom w:val="single" w:sz="8" w:space="0" w:color="auto"/>
              <w:right w:val="single" w:sz="8" w:space="0" w:color="auto"/>
            </w:tcBorders>
            <w:shd w:val="clear" w:color="auto" w:fill="auto"/>
            <w:noWrap/>
            <w:vAlign w:val="bottom"/>
            <w:hideMark/>
          </w:tcPr>
          <w:p w14:paraId="168D5FFE" w14:textId="77777777" w:rsidR="00D74C5E" w:rsidRPr="00D74C5E" w:rsidRDefault="00D74C5E" w:rsidP="00D74C5E">
            <w:pPr>
              <w:spacing w:after="0" w:line="240" w:lineRule="auto"/>
              <w:jc w:val="right"/>
              <w:rPr>
                <w:rFonts w:eastAsia="Times New Roman" w:cs="Calibri"/>
                <w:color w:val="000000"/>
                <w:sz w:val="18"/>
                <w:szCs w:val="18"/>
                <w:lang w:eastAsia="es-CR"/>
              </w:rPr>
            </w:pPr>
            <w:r w:rsidRPr="00D74C5E">
              <w:rPr>
                <w:rFonts w:eastAsia="Times New Roman" w:cs="Calibri"/>
                <w:color w:val="000000"/>
                <w:sz w:val="18"/>
                <w:szCs w:val="18"/>
                <w:lang w:eastAsia="es-CR"/>
              </w:rPr>
              <w:t>-145,79</w:t>
            </w:r>
          </w:p>
        </w:tc>
        <w:tc>
          <w:tcPr>
            <w:tcW w:w="860" w:type="dxa"/>
            <w:tcBorders>
              <w:top w:val="nil"/>
              <w:left w:val="nil"/>
              <w:bottom w:val="single" w:sz="8" w:space="0" w:color="auto"/>
              <w:right w:val="single" w:sz="8" w:space="0" w:color="auto"/>
            </w:tcBorders>
            <w:shd w:val="clear" w:color="auto" w:fill="auto"/>
            <w:noWrap/>
            <w:vAlign w:val="bottom"/>
            <w:hideMark/>
          </w:tcPr>
          <w:p w14:paraId="48A84420" w14:textId="77777777" w:rsidR="00D74C5E" w:rsidRPr="00D74C5E" w:rsidRDefault="00D74C5E" w:rsidP="00D74C5E">
            <w:pPr>
              <w:spacing w:after="0" w:line="240" w:lineRule="auto"/>
              <w:jc w:val="right"/>
              <w:rPr>
                <w:rFonts w:eastAsia="Times New Roman" w:cs="Calibri"/>
                <w:color w:val="000000"/>
                <w:sz w:val="18"/>
                <w:szCs w:val="18"/>
                <w:lang w:eastAsia="es-CR"/>
              </w:rPr>
            </w:pPr>
            <w:r w:rsidRPr="00D74C5E">
              <w:rPr>
                <w:rFonts w:eastAsia="Times New Roman" w:cs="Calibri"/>
                <w:color w:val="000000"/>
                <w:sz w:val="18"/>
                <w:szCs w:val="18"/>
                <w:lang w:eastAsia="es-CR"/>
              </w:rPr>
              <w:t>-4,05%</w:t>
            </w:r>
          </w:p>
        </w:tc>
      </w:tr>
      <w:tr w:rsidR="00D74C5E" w:rsidRPr="00D74C5E" w14:paraId="1EB0DF09" w14:textId="77777777" w:rsidTr="00D74C5E">
        <w:trPr>
          <w:trHeight w:val="315"/>
        </w:trPr>
        <w:tc>
          <w:tcPr>
            <w:tcW w:w="998" w:type="dxa"/>
            <w:tcBorders>
              <w:top w:val="single" w:sz="8" w:space="0" w:color="auto"/>
              <w:left w:val="single" w:sz="8" w:space="0" w:color="auto"/>
              <w:bottom w:val="single" w:sz="8" w:space="0" w:color="auto"/>
              <w:right w:val="nil"/>
            </w:tcBorders>
            <w:shd w:val="clear" w:color="auto" w:fill="auto"/>
            <w:noWrap/>
            <w:vAlign w:val="bottom"/>
            <w:hideMark/>
          </w:tcPr>
          <w:p w14:paraId="13CF5F74" w14:textId="77777777" w:rsidR="00D74C5E" w:rsidRPr="00D74C5E" w:rsidRDefault="00D74C5E" w:rsidP="00D74C5E">
            <w:pPr>
              <w:spacing w:after="0" w:line="240" w:lineRule="auto"/>
              <w:jc w:val="left"/>
              <w:rPr>
                <w:rFonts w:eastAsia="Times New Roman" w:cs="Calibri"/>
                <w:b/>
                <w:bCs/>
                <w:color w:val="000000"/>
                <w:sz w:val="18"/>
                <w:szCs w:val="18"/>
                <w:lang w:eastAsia="es-CR"/>
              </w:rPr>
            </w:pPr>
            <w:r w:rsidRPr="00D74C5E">
              <w:rPr>
                <w:rFonts w:eastAsia="Times New Roman" w:cs="Calibri"/>
                <w:b/>
                <w:bCs/>
                <w:color w:val="000000"/>
                <w:sz w:val="18"/>
                <w:szCs w:val="18"/>
                <w:lang w:eastAsia="es-CR"/>
              </w:rPr>
              <w:t> </w:t>
            </w:r>
          </w:p>
        </w:tc>
        <w:tc>
          <w:tcPr>
            <w:tcW w:w="4329" w:type="dxa"/>
            <w:tcBorders>
              <w:top w:val="single" w:sz="8" w:space="0" w:color="auto"/>
              <w:left w:val="nil"/>
              <w:bottom w:val="single" w:sz="8" w:space="0" w:color="auto"/>
              <w:right w:val="single" w:sz="8" w:space="0" w:color="auto"/>
            </w:tcBorders>
            <w:shd w:val="clear" w:color="auto" w:fill="auto"/>
            <w:noWrap/>
            <w:vAlign w:val="bottom"/>
            <w:hideMark/>
          </w:tcPr>
          <w:p w14:paraId="158DA668" w14:textId="77777777" w:rsidR="00D74C5E" w:rsidRPr="00D74C5E" w:rsidRDefault="00D74C5E" w:rsidP="00D74C5E">
            <w:pPr>
              <w:spacing w:after="0" w:line="240" w:lineRule="auto"/>
              <w:jc w:val="center"/>
              <w:rPr>
                <w:rFonts w:eastAsia="Times New Roman" w:cs="Calibri"/>
                <w:b/>
                <w:bCs/>
                <w:color w:val="000000"/>
                <w:sz w:val="18"/>
                <w:szCs w:val="18"/>
                <w:lang w:eastAsia="es-CR"/>
              </w:rPr>
            </w:pPr>
            <w:r w:rsidRPr="00D74C5E">
              <w:rPr>
                <w:rFonts w:eastAsia="Times New Roman" w:cs="Calibri"/>
                <w:b/>
                <w:bCs/>
                <w:color w:val="000000"/>
                <w:sz w:val="18"/>
                <w:szCs w:val="18"/>
                <w:lang w:eastAsia="es-CR"/>
              </w:rPr>
              <w:t>SUBTOTALES</w:t>
            </w:r>
          </w:p>
        </w:tc>
        <w:tc>
          <w:tcPr>
            <w:tcW w:w="1139" w:type="dxa"/>
            <w:tcBorders>
              <w:top w:val="single" w:sz="8" w:space="0" w:color="auto"/>
              <w:left w:val="nil"/>
              <w:bottom w:val="single" w:sz="8" w:space="0" w:color="auto"/>
              <w:right w:val="single" w:sz="8" w:space="0" w:color="auto"/>
            </w:tcBorders>
            <w:shd w:val="clear" w:color="auto" w:fill="auto"/>
            <w:noWrap/>
            <w:vAlign w:val="bottom"/>
            <w:hideMark/>
          </w:tcPr>
          <w:p w14:paraId="76359F45" w14:textId="77777777" w:rsidR="00D74C5E" w:rsidRPr="00D74C5E" w:rsidRDefault="00D74C5E" w:rsidP="00D74C5E">
            <w:pPr>
              <w:spacing w:after="0" w:line="240" w:lineRule="auto"/>
              <w:jc w:val="right"/>
              <w:rPr>
                <w:rFonts w:eastAsia="Times New Roman" w:cs="Calibri"/>
                <w:b/>
                <w:bCs/>
                <w:sz w:val="18"/>
                <w:szCs w:val="18"/>
                <w:lang w:eastAsia="es-CR"/>
              </w:rPr>
            </w:pPr>
            <w:r w:rsidRPr="00D74C5E">
              <w:rPr>
                <w:rFonts w:ascii="Arial" w:eastAsia="Times New Roman" w:hAnsi="Arial" w:cs="Arial"/>
                <w:b/>
                <w:bCs/>
                <w:sz w:val="18"/>
                <w:szCs w:val="18"/>
                <w:lang w:eastAsia="es-CR"/>
              </w:rPr>
              <w:t>₡</w:t>
            </w:r>
            <w:r w:rsidRPr="00D74C5E">
              <w:rPr>
                <w:rFonts w:eastAsia="Times New Roman" w:cs="Calibri"/>
                <w:b/>
                <w:bCs/>
                <w:sz w:val="18"/>
                <w:szCs w:val="18"/>
                <w:lang w:eastAsia="es-CR"/>
              </w:rPr>
              <w:t>154 295,71</w:t>
            </w:r>
          </w:p>
        </w:tc>
        <w:tc>
          <w:tcPr>
            <w:tcW w:w="1357" w:type="dxa"/>
            <w:tcBorders>
              <w:top w:val="single" w:sz="8" w:space="0" w:color="auto"/>
              <w:left w:val="nil"/>
              <w:bottom w:val="single" w:sz="8" w:space="0" w:color="auto"/>
              <w:right w:val="single" w:sz="8" w:space="0" w:color="auto"/>
            </w:tcBorders>
            <w:shd w:val="clear" w:color="auto" w:fill="auto"/>
            <w:noWrap/>
            <w:vAlign w:val="bottom"/>
            <w:hideMark/>
          </w:tcPr>
          <w:p w14:paraId="022C22D1" w14:textId="77777777" w:rsidR="00D74C5E" w:rsidRPr="00D74C5E" w:rsidRDefault="00D74C5E" w:rsidP="00D74C5E">
            <w:pPr>
              <w:spacing w:after="0" w:line="240" w:lineRule="auto"/>
              <w:jc w:val="right"/>
              <w:rPr>
                <w:rFonts w:eastAsia="Times New Roman" w:cs="Calibri"/>
                <w:b/>
                <w:bCs/>
                <w:sz w:val="18"/>
                <w:szCs w:val="18"/>
                <w:lang w:eastAsia="es-CR"/>
              </w:rPr>
            </w:pPr>
            <w:r w:rsidRPr="00D74C5E">
              <w:rPr>
                <w:rFonts w:ascii="Arial" w:eastAsia="Times New Roman" w:hAnsi="Arial" w:cs="Arial"/>
                <w:b/>
                <w:bCs/>
                <w:sz w:val="18"/>
                <w:szCs w:val="18"/>
                <w:lang w:eastAsia="es-CR"/>
              </w:rPr>
              <w:t>₡</w:t>
            </w:r>
            <w:r w:rsidRPr="00D74C5E">
              <w:rPr>
                <w:rFonts w:eastAsia="Times New Roman" w:cs="Calibri"/>
                <w:b/>
                <w:bCs/>
                <w:sz w:val="18"/>
                <w:szCs w:val="18"/>
                <w:lang w:eastAsia="es-CR"/>
              </w:rPr>
              <w:t>131 290,65</w:t>
            </w:r>
          </w:p>
        </w:tc>
        <w:tc>
          <w:tcPr>
            <w:tcW w:w="1337" w:type="dxa"/>
            <w:tcBorders>
              <w:top w:val="nil"/>
              <w:left w:val="nil"/>
              <w:bottom w:val="single" w:sz="8" w:space="0" w:color="auto"/>
              <w:right w:val="single" w:sz="8" w:space="0" w:color="auto"/>
            </w:tcBorders>
            <w:shd w:val="clear" w:color="auto" w:fill="auto"/>
            <w:noWrap/>
            <w:vAlign w:val="bottom"/>
            <w:hideMark/>
          </w:tcPr>
          <w:p w14:paraId="72404C11" w14:textId="77777777" w:rsidR="00D74C5E" w:rsidRPr="00D74C5E" w:rsidRDefault="00D74C5E" w:rsidP="00D74C5E">
            <w:pPr>
              <w:spacing w:after="0" w:line="240" w:lineRule="auto"/>
              <w:jc w:val="right"/>
              <w:rPr>
                <w:rFonts w:eastAsia="Times New Roman" w:cs="Calibri"/>
                <w:b/>
                <w:bCs/>
                <w:color w:val="000000"/>
                <w:sz w:val="18"/>
                <w:szCs w:val="18"/>
                <w:lang w:eastAsia="es-CR"/>
              </w:rPr>
            </w:pPr>
            <w:r w:rsidRPr="00D74C5E">
              <w:rPr>
                <w:rFonts w:ascii="Arial" w:eastAsia="Times New Roman" w:hAnsi="Arial" w:cs="Arial"/>
                <w:b/>
                <w:bCs/>
                <w:color w:val="000000"/>
                <w:sz w:val="18"/>
                <w:szCs w:val="18"/>
                <w:lang w:eastAsia="es-CR"/>
              </w:rPr>
              <w:t>₡</w:t>
            </w:r>
            <w:r w:rsidRPr="00D74C5E">
              <w:rPr>
                <w:rFonts w:eastAsia="Times New Roman" w:cs="Calibri"/>
                <w:b/>
                <w:bCs/>
                <w:color w:val="000000"/>
                <w:sz w:val="18"/>
                <w:szCs w:val="18"/>
                <w:lang w:eastAsia="es-CR"/>
              </w:rPr>
              <w:t>23 005,06</w:t>
            </w:r>
          </w:p>
        </w:tc>
        <w:tc>
          <w:tcPr>
            <w:tcW w:w="860" w:type="dxa"/>
            <w:tcBorders>
              <w:top w:val="nil"/>
              <w:left w:val="nil"/>
              <w:bottom w:val="single" w:sz="8" w:space="0" w:color="auto"/>
              <w:right w:val="single" w:sz="8" w:space="0" w:color="auto"/>
            </w:tcBorders>
            <w:shd w:val="clear" w:color="auto" w:fill="auto"/>
            <w:noWrap/>
            <w:vAlign w:val="bottom"/>
            <w:hideMark/>
          </w:tcPr>
          <w:p w14:paraId="27B32576" w14:textId="77777777" w:rsidR="00D74C5E" w:rsidRPr="00D74C5E" w:rsidRDefault="00D74C5E" w:rsidP="00D74C5E">
            <w:pPr>
              <w:spacing w:after="0" w:line="240" w:lineRule="auto"/>
              <w:jc w:val="right"/>
              <w:rPr>
                <w:rFonts w:eastAsia="Times New Roman" w:cs="Calibri"/>
                <w:b/>
                <w:bCs/>
                <w:color w:val="000000"/>
                <w:sz w:val="18"/>
                <w:szCs w:val="18"/>
                <w:lang w:eastAsia="es-CR"/>
              </w:rPr>
            </w:pPr>
            <w:r w:rsidRPr="00D74C5E">
              <w:rPr>
                <w:rFonts w:eastAsia="Times New Roman" w:cs="Calibri"/>
                <w:b/>
                <w:bCs/>
                <w:color w:val="000000"/>
                <w:sz w:val="18"/>
                <w:szCs w:val="18"/>
                <w:lang w:eastAsia="es-CR"/>
              </w:rPr>
              <w:t>17,52%</w:t>
            </w:r>
          </w:p>
        </w:tc>
      </w:tr>
      <w:tr w:rsidR="00D74C5E" w:rsidRPr="00D74C5E" w14:paraId="65BB39E0" w14:textId="77777777" w:rsidTr="00D74C5E">
        <w:trPr>
          <w:trHeight w:val="315"/>
        </w:trPr>
        <w:tc>
          <w:tcPr>
            <w:tcW w:w="998" w:type="dxa"/>
            <w:tcBorders>
              <w:top w:val="nil"/>
              <w:left w:val="single" w:sz="8" w:space="0" w:color="auto"/>
              <w:bottom w:val="single" w:sz="8" w:space="0" w:color="auto"/>
              <w:right w:val="nil"/>
            </w:tcBorders>
            <w:shd w:val="clear" w:color="auto" w:fill="auto"/>
            <w:noWrap/>
            <w:vAlign w:val="bottom"/>
            <w:hideMark/>
          </w:tcPr>
          <w:p w14:paraId="02691478" w14:textId="77777777" w:rsidR="00D74C5E" w:rsidRPr="00D74C5E" w:rsidRDefault="00D74C5E" w:rsidP="00D74C5E">
            <w:pPr>
              <w:spacing w:after="0" w:line="240" w:lineRule="auto"/>
              <w:jc w:val="left"/>
              <w:rPr>
                <w:rFonts w:ascii="Calibri" w:eastAsia="Times New Roman" w:hAnsi="Calibri" w:cs="Calibri"/>
                <w:color w:val="000000"/>
                <w:sz w:val="22"/>
                <w:lang w:eastAsia="es-CR"/>
              </w:rPr>
            </w:pPr>
            <w:r w:rsidRPr="00D74C5E">
              <w:rPr>
                <w:rFonts w:ascii="Calibri" w:eastAsia="Times New Roman" w:hAnsi="Calibri" w:cs="Calibri"/>
                <w:color w:val="000000"/>
                <w:sz w:val="22"/>
                <w:lang w:eastAsia="es-CR"/>
              </w:rPr>
              <w:t> </w:t>
            </w:r>
          </w:p>
        </w:tc>
        <w:tc>
          <w:tcPr>
            <w:tcW w:w="4329" w:type="dxa"/>
            <w:tcBorders>
              <w:top w:val="nil"/>
              <w:left w:val="nil"/>
              <w:bottom w:val="single" w:sz="8" w:space="0" w:color="auto"/>
              <w:right w:val="nil"/>
            </w:tcBorders>
            <w:shd w:val="clear" w:color="auto" w:fill="auto"/>
            <w:noWrap/>
            <w:vAlign w:val="bottom"/>
            <w:hideMark/>
          </w:tcPr>
          <w:p w14:paraId="1442FBEA" w14:textId="77777777" w:rsidR="00D74C5E" w:rsidRPr="00D74C5E" w:rsidRDefault="00D74C5E" w:rsidP="00D74C5E">
            <w:pPr>
              <w:spacing w:after="0" w:line="240" w:lineRule="auto"/>
              <w:jc w:val="center"/>
              <w:rPr>
                <w:rFonts w:eastAsia="Times New Roman" w:cs="Calibri"/>
                <w:b/>
                <w:bCs/>
                <w:color w:val="000000"/>
                <w:sz w:val="18"/>
                <w:szCs w:val="18"/>
                <w:lang w:eastAsia="es-CR"/>
              </w:rPr>
            </w:pPr>
            <w:r w:rsidRPr="00D74C5E">
              <w:rPr>
                <w:rFonts w:eastAsia="Times New Roman" w:cs="Calibri"/>
                <w:b/>
                <w:bCs/>
                <w:color w:val="000000"/>
                <w:sz w:val="18"/>
                <w:szCs w:val="18"/>
                <w:lang w:eastAsia="es-CR"/>
              </w:rPr>
              <w:t>TOTALES</w:t>
            </w:r>
          </w:p>
        </w:tc>
        <w:tc>
          <w:tcPr>
            <w:tcW w:w="1139" w:type="dxa"/>
            <w:tcBorders>
              <w:top w:val="nil"/>
              <w:left w:val="single" w:sz="8" w:space="0" w:color="auto"/>
              <w:bottom w:val="single" w:sz="8" w:space="0" w:color="auto"/>
              <w:right w:val="single" w:sz="8" w:space="0" w:color="auto"/>
            </w:tcBorders>
            <w:shd w:val="clear" w:color="auto" w:fill="auto"/>
            <w:noWrap/>
            <w:vAlign w:val="bottom"/>
            <w:hideMark/>
          </w:tcPr>
          <w:p w14:paraId="68C6FBF3" w14:textId="77777777" w:rsidR="00D74C5E" w:rsidRPr="00D74C5E" w:rsidRDefault="00D74C5E" w:rsidP="00D74C5E">
            <w:pPr>
              <w:spacing w:after="0" w:line="240" w:lineRule="auto"/>
              <w:jc w:val="right"/>
              <w:rPr>
                <w:rFonts w:eastAsia="Times New Roman" w:cs="Calibri"/>
                <w:b/>
                <w:bCs/>
                <w:color w:val="000000"/>
                <w:sz w:val="18"/>
                <w:szCs w:val="18"/>
                <w:lang w:eastAsia="es-CR"/>
              </w:rPr>
            </w:pPr>
            <w:r w:rsidRPr="00D74C5E">
              <w:rPr>
                <w:rFonts w:ascii="Arial" w:eastAsia="Times New Roman" w:hAnsi="Arial" w:cs="Arial"/>
                <w:b/>
                <w:bCs/>
                <w:color w:val="000000"/>
                <w:sz w:val="18"/>
                <w:szCs w:val="18"/>
                <w:lang w:eastAsia="es-CR"/>
              </w:rPr>
              <w:t>₡</w:t>
            </w:r>
            <w:r w:rsidRPr="00D74C5E">
              <w:rPr>
                <w:rFonts w:eastAsia="Times New Roman" w:cs="Calibri"/>
                <w:b/>
                <w:bCs/>
                <w:color w:val="000000"/>
                <w:sz w:val="18"/>
                <w:szCs w:val="18"/>
                <w:lang w:eastAsia="es-CR"/>
              </w:rPr>
              <w:t>297 356,54</w:t>
            </w:r>
          </w:p>
        </w:tc>
        <w:tc>
          <w:tcPr>
            <w:tcW w:w="1357" w:type="dxa"/>
            <w:tcBorders>
              <w:top w:val="nil"/>
              <w:left w:val="nil"/>
              <w:bottom w:val="single" w:sz="8" w:space="0" w:color="auto"/>
              <w:right w:val="single" w:sz="8" w:space="0" w:color="auto"/>
            </w:tcBorders>
            <w:shd w:val="clear" w:color="auto" w:fill="auto"/>
            <w:noWrap/>
            <w:vAlign w:val="bottom"/>
            <w:hideMark/>
          </w:tcPr>
          <w:p w14:paraId="34BC961C" w14:textId="77777777" w:rsidR="00D74C5E" w:rsidRPr="00D74C5E" w:rsidRDefault="00D74C5E" w:rsidP="00D74C5E">
            <w:pPr>
              <w:spacing w:after="0" w:line="240" w:lineRule="auto"/>
              <w:jc w:val="right"/>
              <w:rPr>
                <w:rFonts w:eastAsia="Times New Roman" w:cs="Calibri"/>
                <w:b/>
                <w:bCs/>
                <w:color w:val="000000"/>
                <w:sz w:val="18"/>
                <w:szCs w:val="18"/>
                <w:lang w:eastAsia="es-CR"/>
              </w:rPr>
            </w:pPr>
            <w:r w:rsidRPr="00D74C5E">
              <w:rPr>
                <w:rFonts w:ascii="Arial" w:eastAsia="Times New Roman" w:hAnsi="Arial" w:cs="Arial"/>
                <w:b/>
                <w:bCs/>
                <w:color w:val="000000"/>
                <w:sz w:val="18"/>
                <w:szCs w:val="18"/>
                <w:lang w:eastAsia="es-CR"/>
              </w:rPr>
              <w:t>₡</w:t>
            </w:r>
            <w:r w:rsidRPr="00D74C5E">
              <w:rPr>
                <w:rFonts w:eastAsia="Times New Roman" w:cs="Calibri"/>
                <w:b/>
                <w:bCs/>
                <w:color w:val="000000"/>
                <w:sz w:val="18"/>
                <w:szCs w:val="18"/>
                <w:lang w:eastAsia="es-CR"/>
              </w:rPr>
              <w:t>143 533,14</w:t>
            </w:r>
          </w:p>
        </w:tc>
        <w:tc>
          <w:tcPr>
            <w:tcW w:w="1337" w:type="dxa"/>
            <w:tcBorders>
              <w:top w:val="nil"/>
              <w:left w:val="nil"/>
              <w:bottom w:val="single" w:sz="8" w:space="0" w:color="auto"/>
              <w:right w:val="single" w:sz="8" w:space="0" w:color="auto"/>
            </w:tcBorders>
            <w:shd w:val="clear" w:color="auto" w:fill="auto"/>
            <w:noWrap/>
            <w:vAlign w:val="bottom"/>
            <w:hideMark/>
          </w:tcPr>
          <w:p w14:paraId="41D77B2D" w14:textId="77777777" w:rsidR="00D74C5E" w:rsidRPr="00D74C5E" w:rsidRDefault="00D74C5E" w:rsidP="00D74C5E">
            <w:pPr>
              <w:spacing w:after="0" w:line="240" w:lineRule="auto"/>
              <w:jc w:val="right"/>
              <w:rPr>
                <w:rFonts w:eastAsia="Times New Roman" w:cs="Calibri"/>
                <w:b/>
                <w:bCs/>
                <w:color w:val="000000"/>
                <w:sz w:val="18"/>
                <w:szCs w:val="18"/>
                <w:lang w:eastAsia="es-CR"/>
              </w:rPr>
            </w:pPr>
            <w:r w:rsidRPr="00D74C5E">
              <w:rPr>
                <w:rFonts w:ascii="Arial" w:eastAsia="Times New Roman" w:hAnsi="Arial" w:cs="Arial"/>
                <w:b/>
                <w:bCs/>
                <w:color w:val="000000"/>
                <w:sz w:val="18"/>
                <w:szCs w:val="18"/>
                <w:lang w:eastAsia="es-CR"/>
              </w:rPr>
              <w:t>₡</w:t>
            </w:r>
            <w:r w:rsidRPr="00D74C5E">
              <w:rPr>
                <w:rFonts w:eastAsia="Times New Roman" w:cs="Calibri"/>
                <w:b/>
                <w:bCs/>
                <w:color w:val="000000"/>
                <w:sz w:val="18"/>
                <w:szCs w:val="18"/>
                <w:lang w:eastAsia="es-CR"/>
              </w:rPr>
              <w:t>153 823,40</w:t>
            </w:r>
          </w:p>
        </w:tc>
        <w:tc>
          <w:tcPr>
            <w:tcW w:w="860" w:type="dxa"/>
            <w:tcBorders>
              <w:top w:val="nil"/>
              <w:left w:val="nil"/>
              <w:bottom w:val="single" w:sz="8" w:space="0" w:color="auto"/>
              <w:right w:val="single" w:sz="8" w:space="0" w:color="auto"/>
            </w:tcBorders>
            <w:shd w:val="clear" w:color="auto" w:fill="auto"/>
            <w:noWrap/>
            <w:vAlign w:val="bottom"/>
            <w:hideMark/>
          </w:tcPr>
          <w:p w14:paraId="029D405F" w14:textId="77777777" w:rsidR="00D74C5E" w:rsidRPr="00D74C5E" w:rsidRDefault="00D74C5E" w:rsidP="00D74C5E">
            <w:pPr>
              <w:spacing w:after="0" w:line="240" w:lineRule="auto"/>
              <w:jc w:val="right"/>
              <w:rPr>
                <w:rFonts w:eastAsia="Times New Roman" w:cs="Calibri"/>
                <w:b/>
                <w:bCs/>
                <w:color w:val="000000"/>
                <w:sz w:val="18"/>
                <w:szCs w:val="18"/>
                <w:lang w:eastAsia="es-CR"/>
              </w:rPr>
            </w:pPr>
            <w:r w:rsidRPr="00D74C5E">
              <w:rPr>
                <w:rFonts w:eastAsia="Times New Roman" w:cs="Calibri"/>
                <w:b/>
                <w:bCs/>
                <w:color w:val="000000"/>
                <w:sz w:val="18"/>
                <w:szCs w:val="18"/>
                <w:lang w:eastAsia="es-CR"/>
              </w:rPr>
              <w:t>107,17%</w:t>
            </w:r>
          </w:p>
        </w:tc>
      </w:tr>
    </w:tbl>
    <w:p w14:paraId="68E8A3D9" w14:textId="77777777" w:rsidR="002E7F68" w:rsidRDefault="002E7F68" w:rsidP="00E3707A">
      <w:pPr>
        <w:spacing w:before="240" w:after="0"/>
        <w:rPr>
          <w:szCs w:val="24"/>
        </w:rPr>
      </w:pPr>
    </w:p>
    <w:bookmarkEnd w:id="1006"/>
    <w:p w14:paraId="1D24DBAA" w14:textId="77777777" w:rsidR="00396CB4" w:rsidRPr="00396CB4" w:rsidRDefault="00692DC8" w:rsidP="00396CB4">
      <w:pPr>
        <w:spacing w:before="240"/>
        <w:rPr>
          <w:rFonts w:eastAsia="Calibri"/>
          <w:b/>
          <w:sz w:val="20"/>
          <w:szCs w:val="20"/>
          <w:lang w:eastAsia="es-CR"/>
        </w:rPr>
      </w:pPr>
      <w:r w:rsidRPr="00E3707A">
        <w:rPr>
          <w:rFonts w:eastAsia="Calibri"/>
          <w:b/>
          <w:lang w:val="es-ES"/>
        </w:rPr>
        <w:t xml:space="preserve">Revelación: </w:t>
      </w:r>
      <w:r w:rsidR="00760930">
        <w:rPr>
          <w:rFonts w:cs="Calibri"/>
          <w:color w:val="000000"/>
          <w:lang w:eastAsia="es-CR"/>
        </w:rPr>
        <w:fldChar w:fldCharType="begin"/>
      </w:r>
      <w:r w:rsidR="00760930">
        <w:rPr>
          <w:rFonts w:cs="Calibri"/>
          <w:color w:val="000000"/>
          <w:lang w:eastAsia="es-CR"/>
        </w:rPr>
        <w:instrText xml:space="preserve"> LINK </w:instrText>
      </w:r>
      <w:r w:rsidR="00756467">
        <w:rPr>
          <w:rFonts w:cs="Calibri"/>
          <w:color w:val="000000"/>
          <w:lang w:eastAsia="es-CR"/>
        </w:rPr>
        <w:instrText xml:space="preserve">Excel.SheetMacroEnabled.12 "C:\\Users\\gcordero\\Downloads\\Notas diciembre 2024\\Formato_Notas_EEFF_Vinculadas_2024\\Formato_Notas_EEFF_Vinculadas_2024\\15603_T04_2024_Anexo_Estado_Notas_Contables_Vinculadas.xlsm" NOTAS_POR_CUENTA!F409C8 </w:instrText>
      </w:r>
      <w:r w:rsidR="00760930">
        <w:rPr>
          <w:rFonts w:cs="Calibri"/>
          <w:color w:val="000000"/>
          <w:lang w:eastAsia="es-CR"/>
        </w:rPr>
        <w:instrText xml:space="preserve">\a \f 5 \h  \* MERGEFORMAT </w:instrText>
      </w:r>
      <w:r w:rsidR="00760930">
        <w:rPr>
          <w:rFonts w:cs="Calibri"/>
          <w:color w:val="000000"/>
          <w:lang w:eastAsia="es-CR"/>
        </w:rPr>
        <w:fldChar w:fldCharType="separate"/>
      </w:r>
    </w:p>
    <w:p w14:paraId="318ED297" w14:textId="77777777" w:rsidR="00396CB4" w:rsidRPr="00396CB4" w:rsidRDefault="00396CB4" w:rsidP="00396CB4">
      <w:pPr>
        <w:rPr>
          <w:rFonts w:cs="Calibri"/>
          <w:color w:val="000000"/>
          <w:lang w:eastAsia="es-CR"/>
        </w:rPr>
      </w:pPr>
      <w:r w:rsidRPr="00396CB4">
        <w:rPr>
          <w:rFonts w:cs="Calibri"/>
          <w:color w:val="000000"/>
          <w:lang w:eastAsia="es-CR"/>
        </w:rPr>
        <w:t>La cuenta Transferencias corrientes, representa el 5,65% del total del Gastos, que comparado al periodo anterior genera una variación absoluta de 153 816,65 que corresponde a un Aumento del 107,16% de recursos disponibles.</w:t>
      </w:r>
    </w:p>
    <w:p w14:paraId="19F163DF" w14:textId="1C33C30B" w:rsidR="00760930" w:rsidRDefault="00760930" w:rsidP="00E3707A">
      <w:pPr>
        <w:rPr>
          <w:rFonts w:eastAsia="Calibri"/>
        </w:rPr>
      </w:pPr>
      <w:r>
        <w:rPr>
          <w:rFonts w:cs="Calibri"/>
          <w:color w:val="000000"/>
          <w:lang w:eastAsia="es-CR"/>
        </w:rPr>
        <w:fldChar w:fldCharType="end"/>
      </w:r>
      <w:r w:rsidR="00692DC8" w:rsidRPr="00692DC8">
        <w:rPr>
          <w:rFonts w:eastAsia="Calibri"/>
          <w:highlight w:val="lightGray"/>
        </w:rPr>
        <w:t>Las variaciones de la cuenta son producto de (Indicar la razón de las variaciones de un periodo a otro):</w:t>
      </w:r>
      <w:r w:rsidR="00692DC8" w:rsidRPr="00692DC8">
        <w:rPr>
          <w:rFonts w:eastAsia="Calibri"/>
        </w:rPr>
        <w:t xml:space="preserve"> </w:t>
      </w:r>
    </w:p>
    <w:p w14:paraId="08CE387E" w14:textId="33861768" w:rsidR="002E7F68" w:rsidRDefault="002E7F68" w:rsidP="00D74C5E">
      <w:pPr>
        <w:spacing w:line="240" w:lineRule="auto"/>
        <w:rPr>
          <w:rFonts w:eastAsia="Calibri"/>
        </w:rPr>
      </w:pPr>
      <w:r>
        <w:t xml:space="preserve">En relación con la variación que representa un aumento de </w:t>
      </w:r>
      <w:r w:rsidRPr="00932650">
        <w:rPr>
          <w:rFonts w:ascii="Arial" w:hAnsi="Arial" w:cs="Arial"/>
        </w:rPr>
        <w:t>₡</w:t>
      </w:r>
      <w:r w:rsidR="00D74C5E">
        <w:t>153 823,40</w:t>
      </w:r>
      <w:r w:rsidRPr="00932650">
        <w:t xml:space="preserve"> miles </w:t>
      </w:r>
      <w:r>
        <w:t xml:space="preserve">en los detalles antes consignados se observan algunas variaciones positivas y negativas (aumentos y disminuciones). Al respecto, debe citarse que la variación se vio impactada principalmente por los aumentos de </w:t>
      </w:r>
      <w:r w:rsidRPr="00932650">
        <w:rPr>
          <w:rFonts w:ascii="Arial" w:hAnsi="Arial" w:cs="Arial"/>
        </w:rPr>
        <w:t>₡</w:t>
      </w:r>
      <w:r w:rsidR="00D74C5E" w:rsidRPr="00D74C5E">
        <w:t>102 307,98</w:t>
      </w:r>
      <w:r w:rsidR="00D74C5E">
        <w:t xml:space="preserve"> </w:t>
      </w:r>
      <w:r>
        <w:t>miles en “Otras Transferencias Corrientes a personas”,</w:t>
      </w:r>
      <w:r w:rsidR="00D74C5E">
        <w:t xml:space="preserve"> </w:t>
      </w:r>
      <w:r w:rsidRPr="00932650">
        <w:rPr>
          <w:rFonts w:ascii="Arial" w:hAnsi="Arial" w:cs="Arial"/>
        </w:rPr>
        <w:t>₡</w:t>
      </w:r>
      <w:r w:rsidR="00D74C5E" w:rsidRPr="00D74C5E">
        <w:t>16 708,56</w:t>
      </w:r>
      <w:r w:rsidR="00D74C5E">
        <w:t xml:space="preserve"> </w:t>
      </w:r>
      <w:r>
        <w:t xml:space="preserve">miles en </w:t>
      </w:r>
      <w:r w:rsidRPr="00932650">
        <w:t xml:space="preserve">Transferencias corrientes a asociaciones y de </w:t>
      </w:r>
      <w:r w:rsidRPr="00932650">
        <w:rPr>
          <w:rFonts w:ascii="Arial" w:hAnsi="Arial" w:cs="Arial"/>
        </w:rPr>
        <w:t>₡</w:t>
      </w:r>
      <w:r w:rsidR="00D74C5E" w:rsidRPr="00D74C5E">
        <w:t>5 139,28</w:t>
      </w:r>
      <w:r>
        <w:t xml:space="preserve"> miles en Transferencias a </w:t>
      </w:r>
      <w:r w:rsidRPr="00932650">
        <w:t>Juntas de Educación</w:t>
      </w:r>
      <w:r>
        <w:t>.</w:t>
      </w:r>
    </w:p>
    <w:p w14:paraId="464D88EE" w14:textId="77777777" w:rsidR="00D74C5E" w:rsidRPr="00D74C5E" w:rsidRDefault="00D74C5E" w:rsidP="00D74C5E">
      <w:pPr>
        <w:spacing w:line="240" w:lineRule="auto"/>
        <w:rPr>
          <w:rFonts w:eastAsia="Calibri"/>
        </w:rPr>
      </w:pPr>
    </w:p>
    <w:p w14:paraId="0EA5101B" w14:textId="77777777" w:rsidR="00692DC8" w:rsidRPr="00692DC8" w:rsidRDefault="00692DC8" w:rsidP="00E3707A">
      <w:pPr>
        <w:pStyle w:val="Ttulo4"/>
        <w:spacing w:after="240"/>
        <w:rPr>
          <w:rFonts w:eastAsia="Times New Roman"/>
        </w:rPr>
      </w:pPr>
      <w:bookmarkStart w:id="1010" w:name="_Toc14344994"/>
      <w:bookmarkStart w:id="1011" w:name="_Toc33601345"/>
      <w:bookmarkStart w:id="1012" w:name="_Toc82769064"/>
      <w:bookmarkStart w:id="1013" w:name="_Toc189804924"/>
      <w:r w:rsidRPr="00692DC8">
        <w:rPr>
          <w:rFonts w:eastAsia="Times New Roman"/>
        </w:rPr>
        <w:t>NOTA N° 7</w:t>
      </w:r>
      <w:bookmarkEnd w:id="1010"/>
      <w:bookmarkEnd w:id="1011"/>
      <w:bookmarkEnd w:id="1012"/>
      <w:r w:rsidRPr="00692DC8">
        <w:rPr>
          <w:rFonts w:eastAsia="Times New Roman"/>
        </w:rPr>
        <w:t>3</w:t>
      </w:r>
      <w:bookmarkEnd w:id="1013"/>
    </w:p>
    <w:p w14:paraId="1F13EA83" w14:textId="77777777" w:rsidR="00396CB4" w:rsidRDefault="00692DC8" w:rsidP="00383B8E">
      <w:pPr>
        <w:spacing w:before="240"/>
        <w:rPr>
          <w:rFonts w:asciiTheme="minorHAnsi" w:hAnsiTheme="minorHAnsi"/>
          <w:sz w:val="22"/>
        </w:rPr>
      </w:pPr>
      <w:bookmarkStart w:id="1014" w:name="_Toc14344995"/>
      <w:bookmarkStart w:id="1015" w:name="_Toc33601346"/>
      <w:bookmarkStart w:id="1016" w:name="_Toc82769065"/>
      <w:r w:rsidRPr="00692DC8">
        <w:rPr>
          <w:rFonts w:eastAsia="Times New Roman"/>
        </w:rPr>
        <w:t>Transferencias de capital</w:t>
      </w:r>
      <w:bookmarkStart w:id="1017" w:name="_Toc14344999"/>
      <w:bookmarkEnd w:id="1014"/>
      <w:bookmarkEnd w:id="1015"/>
      <w:bookmarkEnd w:id="1016"/>
      <w:r w:rsidR="00760930">
        <w:rPr>
          <w:rFonts w:eastAsiaTheme="majorEastAsia" w:cstheme="majorBidi"/>
          <w:b/>
          <w:iCs/>
        </w:rPr>
        <w:fldChar w:fldCharType="begin"/>
      </w:r>
      <w:r w:rsidR="00760930">
        <w:instrText xml:space="preserve"> LINK </w:instrText>
      </w:r>
      <w:r w:rsidR="00756467">
        <w:instrText xml:space="preserve">Excel.SheetMacroEnabled.12 "C:\\Users\\gcordero\\Downloads\\Notas diciembre 2024\\Formato_Notas_EEFF_Vinculadas_2024\\Formato_Notas_EEFF_Vinculadas_2024\\15603_T04_2024_Anexo_Estado_Notas_Contables_Vinculadas.xlsm" NOTAS_POR_CUENTA!F411C1:F413C6 </w:instrText>
      </w:r>
      <w:r w:rsidR="00760930">
        <w:instrText xml:space="preserve">\a \f 4 \h </w:instrText>
      </w:r>
      <w:r w:rsidR="00760930">
        <w:fldChar w:fldCharType="separate"/>
      </w:r>
    </w:p>
    <w:tbl>
      <w:tblPr>
        <w:tblW w:w="9600" w:type="dxa"/>
        <w:tblCellMar>
          <w:left w:w="70" w:type="dxa"/>
          <w:right w:w="70" w:type="dxa"/>
        </w:tblCellMar>
        <w:tblLook w:val="04A0" w:firstRow="1" w:lastRow="0" w:firstColumn="1" w:lastColumn="0" w:noHBand="0" w:noVBand="1"/>
      </w:tblPr>
      <w:tblGrid>
        <w:gridCol w:w="1322"/>
        <w:gridCol w:w="2558"/>
        <w:gridCol w:w="500"/>
        <w:gridCol w:w="2100"/>
        <w:gridCol w:w="2100"/>
        <w:gridCol w:w="1020"/>
      </w:tblGrid>
      <w:tr w:rsidR="00396CB4" w:rsidRPr="00396CB4" w14:paraId="1CCAC5B3" w14:textId="77777777" w:rsidTr="00396CB4">
        <w:trPr>
          <w:divId w:val="943002963"/>
          <w:trHeight w:val="330"/>
        </w:trPr>
        <w:tc>
          <w:tcPr>
            <w:tcW w:w="1322"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8488628" w14:textId="3D847F49" w:rsidR="00396CB4" w:rsidRPr="00396CB4" w:rsidRDefault="00396CB4" w:rsidP="00396CB4">
            <w:pP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2558"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14F7B96"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144CECE"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7BEA036"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71501B8"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5BEFE255"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303E96F8" w14:textId="77777777" w:rsidTr="00396CB4">
        <w:trPr>
          <w:divId w:val="943002963"/>
          <w:trHeight w:val="330"/>
        </w:trPr>
        <w:tc>
          <w:tcPr>
            <w:tcW w:w="1322" w:type="dxa"/>
            <w:vMerge/>
            <w:tcBorders>
              <w:top w:val="single" w:sz="8" w:space="0" w:color="auto"/>
              <w:left w:val="single" w:sz="8" w:space="0" w:color="auto"/>
              <w:bottom w:val="single" w:sz="8" w:space="0" w:color="000000"/>
              <w:right w:val="single" w:sz="8" w:space="0" w:color="auto"/>
            </w:tcBorders>
            <w:vAlign w:val="center"/>
            <w:hideMark/>
          </w:tcPr>
          <w:p w14:paraId="2A0F304E"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558" w:type="dxa"/>
            <w:vMerge/>
            <w:tcBorders>
              <w:top w:val="single" w:sz="8" w:space="0" w:color="auto"/>
              <w:left w:val="single" w:sz="8" w:space="0" w:color="auto"/>
              <w:bottom w:val="single" w:sz="8" w:space="0" w:color="000000"/>
              <w:right w:val="single" w:sz="8" w:space="0" w:color="auto"/>
            </w:tcBorders>
            <w:vAlign w:val="center"/>
            <w:hideMark/>
          </w:tcPr>
          <w:p w14:paraId="23BCF6BB"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235227F8"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21D42C3D"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63B1DD26"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397DF577"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66289261" w14:textId="77777777" w:rsidTr="00396CB4">
        <w:trPr>
          <w:divId w:val="943002963"/>
          <w:trHeight w:val="330"/>
        </w:trPr>
        <w:tc>
          <w:tcPr>
            <w:tcW w:w="1322" w:type="dxa"/>
            <w:tcBorders>
              <w:top w:val="nil"/>
              <w:left w:val="single" w:sz="8" w:space="0" w:color="auto"/>
              <w:bottom w:val="single" w:sz="8" w:space="0" w:color="auto"/>
              <w:right w:val="single" w:sz="8" w:space="0" w:color="auto"/>
            </w:tcBorders>
            <w:shd w:val="clear" w:color="auto" w:fill="auto"/>
            <w:noWrap/>
            <w:vAlign w:val="center"/>
            <w:hideMark/>
          </w:tcPr>
          <w:p w14:paraId="6C327F88"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5.4.2.</w:t>
            </w:r>
          </w:p>
        </w:tc>
        <w:tc>
          <w:tcPr>
            <w:tcW w:w="2558" w:type="dxa"/>
            <w:tcBorders>
              <w:top w:val="nil"/>
              <w:left w:val="nil"/>
              <w:bottom w:val="single" w:sz="8" w:space="0" w:color="auto"/>
              <w:right w:val="single" w:sz="8" w:space="0" w:color="auto"/>
            </w:tcBorders>
            <w:shd w:val="clear" w:color="auto" w:fill="auto"/>
            <w:vAlign w:val="center"/>
            <w:hideMark/>
          </w:tcPr>
          <w:p w14:paraId="685383A2" w14:textId="77777777" w:rsidR="00396CB4" w:rsidRPr="00396CB4" w:rsidRDefault="00396CB4" w:rsidP="00396CB4">
            <w:pPr>
              <w:spacing w:after="0" w:line="240" w:lineRule="auto"/>
              <w:rPr>
                <w:rFonts w:eastAsia="Times New Roman" w:cs="Calibri"/>
                <w:b/>
                <w:bCs/>
                <w:color w:val="000000"/>
                <w:sz w:val="18"/>
                <w:szCs w:val="18"/>
                <w:lang w:eastAsia="es-CR"/>
              </w:rPr>
            </w:pPr>
            <w:r w:rsidRPr="00396CB4">
              <w:rPr>
                <w:rFonts w:eastAsia="Times New Roman" w:cs="Calibri"/>
                <w:b/>
                <w:bCs/>
                <w:color w:val="000000"/>
                <w:sz w:val="18"/>
                <w:szCs w:val="18"/>
                <w:lang w:eastAsia="es-CR"/>
              </w:rPr>
              <w:t>Transferencias de capital</w:t>
            </w:r>
          </w:p>
        </w:tc>
        <w:tc>
          <w:tcPr>
            <w:tcW w:w="500" w:type="dxa"/>
            <w:tcBorders>
              <w:top w:val="nil"/>
              <w:left w:val="nil"/>
              <w:bottom w:val="single" w:sz="8" w:space="0" w:color="auto"/>
              <w:right w:val="single" w:sz="8" w:space="0" w:color="auto"/>
            </w:tcBorders>
            <w:shd w:val="clear" w:color="auto" w:fill="auto"/>
            <w:noWrap/>
            <w:vAlign w:val="center"/>
            <w:hideMark/>
          </w:tcPr>
          <w:p w14:paraId="66EDC82C"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73</w:t>
            </w:r>
          </w:p>
        </w:tc>
        <w:tc>
          <w:tcPr>
            <w:tcW w:w="2100" w:type="dxa"/>
            <w:tcBorders>
              <w:top w:val="nil"/>
              <w:left w:val="nil"/>
              <w:bottom w:val="single" w:sz="8" w:space="0" w:color="auto"/>
              <w:right w:val="single" w:sz="8" w:space="0" w:color="auto"/>
            </w:tcBorders>
            <w:shd w:val="clear" w:color="auto" w:fill="auto"/>
            <w:noWrap/>
            <w:vAlign w:val="center"/>
            <w:hideMark/>
          </w:tcPr>
          <w:p w14:paraId="4B253685"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2100" w:type="dxa"/>
            <w:tcBorders>
              <w:top w:val="nil"/>
              <w:left w:val="nil"/>
              <w:bottom w:val="single" w:sz="8" w:space="0" w:color="auto"/>
              <w:right w:val="single" w:sz="8" w:space="0" w:color="auto"/>
            </w:tcBorders>
            <w:shd w:val="clear" w:color="auto" w:fill="auto"/>
            <w:noWrap/>
            <w:vAlign w:val="center"/>
            <w:hideMark/>
          </w:tcPr>
          <w:p w14:paraId="6DA973CA"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1020" w:type="dxa"/>
            <w:tcBorders>
              <w:top w:val="nil"/>
              <w:left w:val="nil"/>
              <w:bottom w:val="single" w:sz="8" w:space="0" w:color="auto"/>
              <w:right w:val="single" w:sz="8" w:space="0" w:color="auto"/>
            </w:tcBorders>
            <w:shd w:val="clear" w:color="auto" w:fill="auto"/>
            <w:noWrap/>
            <w:vAlign w:val="center"/>
            <w:hideMark/>
          </w:tcPr>
          <w:p w14:paraId="18CC06AB"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0,00%</w:t>
            </w:r>
          </w:p>
        </w:tc>
      </w:tr>
    </w:tbl>
    <w:p w14:paraId="3F96A6E0" w14:textId="4CA81EDB" w:rsidR="00692DC8" w:rsidRPr="00692DC8" w:rsidRDefault="00760930" w:rsidP="00383B8E">
      <w:pPr>
        <w:spacing w:before="240"/>
        <w:rPr>
          <w:szCs w:val="24"/>
        </w:rPr>
      </w:pPr>
      <w:r>
        <w:rPr>
          <w:szCs w:val="24"/>
        </w:rPr>
        <w:fldChar w:fldCharType="end"/>
      </w:r>
      <w:bookmarkStart w:id="1018" w:name="_Hlk124012025"/>
      <w:r w:rsidR="00692DC8" w:rsidRPr="00692DC8">
        <w:rPr>
          <w:szCs w:val="24"/>
        </w:rPr>
        <w:t>Detalle:</w:t>
      </w:r>
    </w:p>
    <w:tbl>
      <w:tblPr>
        <w:tblW w:w="4380" w:type="dxa"/>
        <w:tblInd w:w="-10" w:type="dxa"/>
        <w:tblCellMar>
          <w:left w:w="70" w:type="dxa"/>
          <w:right w:w="70" w:type="dxa"/>
        </w:tblCellMar>
        <w:tblLook w:val="04A0" w:firstRow="1" w:lastRow="0" w:firstColumn="1" w:lastColumn="0" w:noHBand="0" w:noVBand="1"/>
      </w:tblPr>
      <w:tblGrid>
        <w:gridCol w:w="1240"/>
        <w:gridCol w:w="3140"/>
      </w:tblGrid>
      <w:tr w:rsidR="00760930" w:rsidRPr="00760930" w14:paraId="2A34E618" w14:textId="77777777" w:rsidTr="00760930">
        <w:trPr>
          <w:trHeight w:val="288"/>
        </w:trPr>
        <w:tc>
          <w:tcPr>
            <w:tcW w:w="1240" w:type="dxa"/>
            <w:tcBorders>
              <w:top w:val="single" w:sz="8" w:space="0" w:color="auto"/>
              <w:left w:val="single" w:sz="8" w:space="0" w:color="auto"/>
              <w:bottom w:val="nil"/>
              <w:right w:val="single" w:sz="8" w:space="0" w:color="auto"/>
            </w:tcBorders>
            <w:shd w:val="clear" w:color="000000" w:fill="366092"/>
            <w:noWrap/>
            <w:vAlign w:val="center"/>
            <w:hideMark/>
          </w:tcPr>
          <w:p w14:paraId="4FDDFD2B" w14:textId="77777777" w:rsidR="00760930" w:rsidRPr="00760930" w:rsidRDefault="00760930" w:rsidP="00760930">
            <w:pPr>
              <w:spacing w:after="0" w:line="240" w:lineRule="auto"/>
              <w:rPr>
                <w:rFonts w:eastAsia="Times New Roman" w:cs="Calibri"/>
                <w:b/>
                <w:bCs/>
                <w:color w:val="FFFFFF"/>
                <w:sz w:val="18"/>
                <w:szCs w:val="18"/>
                <w:lang w:eastAsia="es-CR"/>
              </w:rPr>
            </w:pPr>
            <w:r w:rsidRPr="00760930">
              <w:rPr>
                <w:rFonts w:eastAsia="Times New Roman" w:cs="Calibri"/>
                <w:b/>
                <w:bCs/>
                <w:color w:val="FFFFFF"/>
                <w:sz w:val="18"/>
                <w:szCs w:val="18"/>
                <w:lang w:eastAsia="es-CR"/>
              </w:rPr>
              <w:t xml:space="preserve">Cuenta </w:t>
            </w:r>
          </w:p>
        </w:tc>
        <w:tc>
          <w:tcPr>
            <w:tcW w:w="3140" w:type="dxa"/>
            <w:tcBorders>
              <w:top w:val="single" w:sz="8" w:space="0" w:color="auto"/>
              <w:left w:val="nil"/>
              <w:bottom w:val="nil"/>
              <w:right w:val="single" w:sz="8" w:space="0" w:color="auto"/>
            </w:tcBorders>
            <w:shd w:val="clear" w:color="000000" w:fill="366092"/>
            <w:vAlign w:val="center"/>
            <w:hideMark/>
          </w:tcPr>
          <w:p w14:paraId="12463390" w14:textId="77777777" w:rsidR="00760930" w:rsidRPr="00760930" w:rsidRDefault="00760930" w:rsidP="00760930">
            <w:pPr>
              <w:spacing w:after="0" w:line="240" w:lineRule="auto"/>
              <w:jc w:val="center"/>
              <w:rPr>
                <w:rFonts w:eastAsia="Times New Roman" w:cs="Calibri"/>
                <w:b/>
                <w:bCs/>
                <w:color w:val="FFFFFF"/>
                <w:sz w:val="18"/>
                <w:szCs w:val="18"/>
                <w:lang w:eastAsia="es-CR"/>
              </w:rPr>
            </w:pPr>
            <w:r w:rsidRPr="00760930">
              <w:rPr>
                <w:rFonts w:eastAsia="Times New Roman" w:cs="Calibri"/>
                <w:b/>
                <w:bCs/>
                <w:color w:val="FFFFFF"/>
                <w:sz w:val="18"/>
                <w:szCs w:val="18"/>
                <w:lang w:eastAsia="es-CR"/>
              </w:rPr>
              <w:t xml:space="preserve">Descripción </w:t>
            </w:r>
          </w:p>
        </w:tc>
      </w:tr>
      <w:tr w:rsidR="00760930" w:rsidRPr="00760930" w14:paraId="54F6849B" w14:textId="77777777" w:rsidTr="00CC051D">
        <w:trPr>
          <w:trHeight w:val="540"/>
        </w:trPr>
        <w:tc>
          <w:tcPr>
            <w:tcW w:w="1240" w:type="dxa"/>
            <w:tcBorders>
              <w:top w:val="nil"/>
              <w:left w:val="single" w:sz="8" w:space="0" w:color="auto"/>
              <w:bottom w:val="nil"/>
              <w:right w:val="single" w:sz="8" w:space="0" w:color="auto"/>
            </w:tcBorders>
            <w:shd w:val="clear" w:color="auto" w:fill="auto"/>
            <w:noWrap/>
            <w:vAlign w:val="center"/>
            <w:hideMark/>
          </w:tcPr>
          <w:p w14:paraId="4A6BE4D6" w14:textId="06CD7A9B" w:rsidR="00760930" w:rsidRPr="00760930" w:rsidRDefault="00E64D2A" w:rsidP="00760930">
            <w:pPr>
              <w:spacing w:after="0" w:line="240" w:lineRule="auto"/>
              <w:rPr>
                <w:rFonts w:eastAsia="Times New Roman" w:cs="Calibri"/>
                <w:b/>
                <w:bCs/>
                <w:color w:val="000000"/>
                <w:sz w:val="18"/>
                <w:szCs w:val="18"/>
                <w:lang w:eastAsia="es-CR"/>
              </w:rPr>
            </w:pPr>
            <w:r>
              <w:rPr>
                <w:rFonts w:eastAsia="Calibri" w:cs="Times New Roman"/>
                <w:b/>
                <w:bCs/>
                <w:color w:val="000000"/>
                <w:sz w:val="18"/>
                <w:szCs w:val="18"/>
                <w:lang w:eastAsia="es-CR"/>
              </w:rPr>
              <w:t>5</w:t>
            </w:r>
            <w:r w:rsidR="00760930" w:rsidRPr="00760930">
              <w:rPr>
                <w:rFonts w:eastAsia="Calibri" w:cs="Times New Roman"/>
                <w:b/>
                <w:bCs/>
                <w:color w:val="000000"/>
                <w:sz w:val="18"/>
                <w:szCs w:val="18"/>
                <w:lang w:eastAsia="es-CR"/>
              </w:rPr>
              <w:t>.</w:t>
            </w:r>
            <w:r>
              <w:rPr>
                <w:rFonts w:eastAsia="Calibri" w:cs="Times New Roman"/>
                <w:b/>
                <w:bCs/>
                <w:color w:val="000000"/>
                <w:sz w:val="18"/>
                <w:szCs w:val="18"/>
                <w:lang w:eastAsia="es-CR"/>
              </w:rPr>
              <w:t>4</w:t>
            </w:r>
            <w:r w:rsidR="00760930" w:rsidRPr="00760930">
              <w:rPr>
                <w:rFonts w:eastAsia="Calibri" w:cs="Times New Roman"/>
                <w:b/>
                <w:bCs/>
                <w:color w:val="000000"/>
                <w:sz w:val="18"/>
                <w:szCs w:val="18"/>
                <w:lang w:eastAsia="es-CR"/>
              </w:rPr>
              <w:t>.2.0</w:t>
            </w:r>
            <w:r>
              <w:rPr>
                <w:rFonts w:eastAsia="Calibri" w:cs="Times New Roman"/>
                <w:b/>
                <w:bCs/>
                <w:color w:val="000000"/>
                <w:sz w:val="18"/>
                <w:szCs w:val="18"/>
                <w:lang w:eastAsia="es-CR"/>
              </w:rPr>
              <w:t>2</w:t>
            </w:r>
            <w:r w:rsidR="00760930" w:rsidRPr="00760930">
              <w:rPr>
                <w:rFonts w:eastAsia="Calibri" w:cs="Times New Roman"/>
                <w:b/>
                <w:bCs/>
                <w:color w:val="000000"/>
                <w:sz w:val="18"/>
                <w:szCs w:val="18"/>
                <w:lang w:eastAsia="es-CR"/>
              </w:rPr>
              <w:t>.</w:t>
            </w:r>
          </w:p>
        </w:tc>
        <w:tc>
          <w:tcPr>
            <w:tcW w:w="3140" w:type="dxa"/>
            <w:tcBorders>
              <w:top w:val="nil"/>
              <w:left w:val="nil"/>
              <w:bottom w:val="nil"/>
              <w:right w:val="single" w:sz="8" w:space="0" w:color="auto"/>
            </w:tcBorders>
            <w:shd w:val="clear" w:color="auto" w:fill="auto"/>
            <w:vAlign w:val="center"/>
            <w:hideMark/>
          </w:tcPr>
          <w:p w14:paraId="2836AF79" w14:textId="77777777" w:rsidR="00760930" w:rsidRPr="00760930" w:rsidRDefault="00760930" w:rsidP="00760930">
            <w:pPr>
              <w:spacing w:after="0" w:line="240" w:lineRule="auto"/>
              <w:rPr>
                <w:rFonts w:eastAsia="Times New Roman" w:cs="Calibri"/>
                <w:b/>
                <w:bCs/>
                <w:color w:val="000000"/>
                <w:sz w:val="18"/>
                <w:szCs w:val="18"/>
                <w:lang w:eastAsia="es-CR"/>
              </w:rPr>
            </w:pPr>
            <w:r w:rsidRPr="00760930">
              <w:rPr>
                <w:rFonts w:eastAsia="Calibri" w:cs="Times New Roman"/>
                <w:b/>
                <w:bCs/>
                <w:color w:val="000000"/>
                <w:sz w:val="18"/>
                <w:szCs w:val="18"/>
                <w:lang w:eastAsia="es-CR"/>
              </w:rPr>
              <w:t>Transferencias de capital del sector privado interno</w:t>
            </w:r>
          </w:p>
        </w:tc>
      </w:tr>
      <w:tr w:rsidR="00CC051D" w:rsidRPr="00760930" w14:paraId="5A39DA29" w14:textId="77777777" w:rsidTr="00760930">
        <w:trPr>
          <w:trHeight w:val="540"/>
        </w:trPr>
        <w:tc>
          <w:tcPr>
            <w:tcW w:w="1240" w:type="dxa"/>
            <w:tcBorders>
              <w:top w:val="nil"/>
              <w:left w:val="single" w:sz="8" w:space="0" w:color="auto"/>
              <w:bottom w:val="single" w:sz="8" w:space="0" w:color="auto"/>
              <w:right w:val="single" w:sz="8" w:space="0" w:color="auto"/>
            </w:tcBorders>
            <w:shd w:val="clear" w:color="auto" w:fill="auto"/>
            <w:noWrap/>
            <w:vAlign w:val="center"/>
          </w:tcPr>
          <w:p w14:paraId="14092462" w14:textId="77777777" w:rsidR="00CC051D" w:rsidRDefault="00CC051D" w:rsidP="00760930">
            <w:pPr>
              <w:spacing w:after="0" w:line="240" w:lineRule="auto"/>
              <w:rPr>
                <w:rFonts w:eastAsia="Calibri" w:cs="Times New Roman"/>
                <w:b/>
                <w:bCs/>
                <w:color w:val="000000"/>
                <w:sz w:val="18"/>
                <w:szCs w:val="18"/>
                <w:lang w:eastAsia="es-CR"/>
              </w:rPr>
            </w:pPr>
          </w:p>
        </w:tc>
        <w:tc>
          <w:tcPr>
            <w:tcW w:w="3140" w:type="dxa"/>
            <w:tcBorders>
              <w:top w:val="nil"/>
              <w:left w:val="nil"/>
              <w:bottom w:val="single" w:sz="8" w:space="0" w:color="auto"/>
              <w:right w:val="single" w:sz="8" w:space="0" w:color="auto"/>
            </w:tcBorders>
            <w:shd w:val="clear" w:color="auto" w:fill="auto"/>
            <w:vAlign w:val="center"/>
          </w:tcPr>
          <w:p w14:paraId="3DC56ED6" w14:textId="77777777" w:rsidR="00CC051D" w:rsidRPr="00760930" w:rsidRDefault="00CC051D" w:rsidP="00760930">
            <w:pPr>
              <w:spacing w:after="0" w:line="240" w:lineRule="auto"/>
              <w:rPr>
                <w:rFonts w:eastAsia="Calibri" w:cs="Times New Roman"/>
                <w:b/>
                <w:bCs/>
                <w:color w:val="000000"/>
                <w:sz w:val="18"/>
                <w:szCs w:val="18"/>
                <w:lang w:eastAsia="es-CR"/>
              </w:rPr>
            </w:pPr>
          </w:p>
        </w:tc>
      </w:tr>
    </w:tbl>
    <w:p w14:paraId="4C290D37" w14:textId="7CA4814A" w:rsidR="00692DC8" w:rsidRDefault="00692DC8" w:rsidP="005515CA"/>
    <w:tbl>
      <w:tblPr>
        <w:tblW w:w="8040" w:type="dxa"/>
        <w:tblInd w:w="-10" w:type="dxa"/>
        <w:tblCellMar>
          <w:left w:w="70" w:type="dxa"/>
          <w:right w:w="70" w:type="dxa"/>
        </w:tblCellMar>
        <w:tblLook w:val="04A0" w:firstRow="1" w:lastRow="0" w:firstColumn="1" w:lastColumn="0" w:noHBand="0" w:noVBand="1"/>
      </w:tblPr>
      <w:tblGrid>
        <w:gridCol w:w="2680"/>
        <w:gridCol w:w="2680"/>
        <w:gridCol w:w="2680"/>
      </w:tblGrid>
      <w:tr w:rsidR="00E64D2A" w:rsidRPr="00E64D2A" w14:paraId="740DAD1A" w14:textId="77777777" w:rsidTr="00E64D2A">
        <w:trPr>
          <w:trHeight w:val="300"/>
        </w:trPr>
        <w:tc>
          <w:tcPr>
            <w:tcW w:w="2680" w:type="dxa"/>
            <w:tcBorders>
              <w:top w:val="single" w:sz="8" w:space="0" w:color="auto"/>
              <w:left w:val="single" w:sz="8" w:space="0" w:color="auto"/>
              <w:bottom w:val="single" w:sz="8" w:space="0" w:color="auto"/>
              <w:right w:val="nil"/>
            </w:tcBorders>
            <w:shd w:val="clear" w:color="000000" w:fill="365F91"/>
            <w:vAlign w:val="center"/>
            <w:hideMark/>
          </w:tcPr>
          <w:p w14:paraId="56CE5CF7" w14:textId="77777777" w:rsidR="00E64D2A" w:rsidRPr="00E64D2A" w:rsidRDefault="00E64D2A" w:rsidP="00E64D2A">
            <w:pPr>
              <w:spacing w:after="0" w:line="240" w:lineRule="auto"/>
              <w:jc w:val="center"/>
              <w:rPr>
                <w:rFonts w:eastAsia="Times New Roman" w:cs="Calibri"/>
                <w:color w:val="FFFFFF"/>
                <w:sz w:val="22"/>
                <w:lang w:eastAsia="es-CR"/>
              </w:rPr>
            </w:pPr>
            <w:r w:rsidRPr="00E64D2A">
              <w:rPr>
                <w:rFonts w:eastAsia="Times New Roman" w:cs="Calibri"/>
                <w:color w:val="FFFFFF"/>
                <w:sz w:val="22"/>
                <w:lang w:eastAsia="es-CR"/>
              </w:rPr>
              <w:lastRenderedPageBreak/>
              <w:t>CODIGO INSTITUCIONAL</w:t>
            </w:r>
          </w:p>
        </w:tc>
        <w:tc>
          <w:tcPr>
            <w:tcW w:w="2680" w:type="dxa"/>
            <w:tcBorders>
              <w:top w:val="single" w:sz="8" w:space="0" w:color="auto"/>
              <w:left w:val="single" w:sz="8" w:space="0" w:color="auto"/>
              <w:bottom w:val="single" w:sz="8" w:space="0" w:color="auto"/>
              <w:right w:val="single" w:sz="8" w:space="0" w:color="auto"/>
            </w:tcBorders>
            <w:shd w:val="clear" w:color="000000" w:fill="365F91"/>
            <w:vAlign w:val="center"/>
            <w:hideMark/>
          </w:tcPr>
          <w:p w14:paraId="45D15003" w14:textId="77777777" w:rsidR="00E64D2A" w:rsidRPr="00E64D2A" w:rsidRDefault="00E64D2A" w:rsidP="00E64D2A">
            <w:pPr>
              <w:spacing w:after="0" w:line="240" w:lineRule="auto"/>
              <w:jc w:val="center"/>
              <w:rPr>
                <w:rFonts w:eastAsia="Times New Roman" w:cs="Calibri"/>
                <w:color w:val="FFFFFF"/>
                <w:sz w:val="22"/>
                <w:lang w:eastAsia="es-CR"/>
              </w:rPr>
            </w:pPr>
            <w:r w:rsidRPr="00E64D2A">
              <w:rPr>
                <w:rFonts w:eastAsia="Times New Roman" w:cs="Calibri"/>
                <w:color w:val="FFFFFF"/>
                <w:sz w:val="22"/>
                <w:lang w:eastAsia="es-CR"/>
              </w:rPr>
              <w:t>NOMBRE ENTIDAD</w:t>
            </w:r>
          </w:p>
        </w:tc>
        <w:tc>
          <w:tcPr>
            <w:tcW w:w="2680" w:type="dxa"/>
            <w:tcBorders>
              <w:top w:val="single" w:sz="8" w:space="0" w:color="auto"/>
              <w:left w:val="nil"/>
              <w:bottom w:val="single" w:sz="8" w:space="0" w:color="auto"/>
              <w:right w:val="single" w:sz="8" w:space="0" w:color="auto"/>
            </w:tcBorders>
            <w:shd w:val="clear" w:color="000000" w:fill="365F91"/>
            <w:noWrap/>
            <w:vAlign w:val="center"/>
            <w:hideMark/>
          </w:tcPr>
          <w:p w14:paraId="09F76C98" w14:textId="77777777" w:rsidR="00E64D2A" w:rsidRPr="00E64D2A" w:rsidRDefault="00E64D2A" w:rsidP="00E64D2A">
            <w:pPr>
              <w:spacing w:after="0" w:line="240" w:lineRule="auto"/>
              <w:jc w:val="center"/>
              <w:rPr>
                <w:rFonts w:eastAsia="Times New Roman" w:cs="Calibri"/>
                <w:color w:val="FFFFFF"/>
                <w:sz w:val="22"/>
                <w:lang w:eastAsia="es-CR"/>
              </w:rPr>
            </w:pPr>
            <w:r w:rsidRPr="00E64D2A">
              <w:rPr>
                <w:rFonts w:eastAsia="Times New Roman" w:cs="Calibri"/>
                <w:color w:val="FFFFFF"/>
                <w:sz w:val="22"/>
                <w:lang w:eastAsia="es-CR"/>
              </w:rPr>
              <w:t>MONTO</w:t>
            </w:r>
          </w:p>
        </w:tc>
      </w:tr>
      <w:tr w:rsidR="00E64D2A" w:rsidRPr="00E64D2A" w14:paraId="4F693891" w14:textId="77777777" w:rsidTr="00E64D2A">
        <w:trPr>
          <w:trHeight w:val="324"/>
        </w:trPr>
        <w:tc>
          <w:tcPr>
            <w:tcW w:w="2680" w:type="dxa"/>
            <w:tcBorders>
              <w:top w:val="nil"/>
              <w:left w:val="single" w:sz="8" w:space="0" w:color="auto"/>
              <w:bottom w:val="single" w:sz="8" w:space="0" w:color="auto"/>
              <w:right w:val="single" w:sz="8" w:space="0" w:color="auto"/>
            </w:tcBorders>
            <w:shd w:val="clear" w:color="auto" w:fill="auto"/>
            <w:noWrap/>
            <w:vAlign w:val="center"/>
            <w:hideMark/>
          </w:tcPr>
          <w:p w14:paraId="4BB6ACE4" w14:textId="77777777" w:rsidR="00E64D2A" w:rsidRPr="00E64D2A" w:rsidRDefault="00E64D2A" w:rsidP="00E64D2A">
            <w:pPr>
              <w:spacing w:after="0" w:line="240" w:lineRule="auto"/>
              <w:rPr>
                <w:rFonts w:eastAsia="Times New Roman" w:cs="Calibri"/>
                <w:color w:val="000000"/>
                <w:sz w:val="20"/>
                <w:szCs w:val="20"/>
                <w:lang w:eastAsia="es-CR"/>
              </w:rPr>
            </w:pPr>
            <w:r w:rsidRPr="00E64D2A">
              <w:rPr>
                <w:rFonts w:eastAsia="Times New Roman" w:cs="Calibri"/>
                <w:color w:val="000000"/>
                <w:sz w:val="20"/>
                <w:szCs w:val="20"/>
                <w:lang w:eastAsia="es-CR"/>
              </w:rPr>
              <w:t> </w:t>
            </w:r>
          </w:p>
        </w:tc>
        <w:tc>
          <w:tcPr>
            <w:tcW w:w="2680" w:type="dxa"/>
            <w:tcBorders>
              <w:top w:val="nil"/>
              <w:left w:val="nil"/>
              <w:bottom w:val="single" w:sz="8" w:space="0" w:color="auto"/>
              <w:right w:val="single" w:sz="8" w:space="0" w:color="auto"/>
            </w:tcBorders>
            <w:shd w:val="clear" w:color="auto" w:fill="auto"/>
            <w:vAlign w:val="center"/>
            <w:hideMark/>
          </w:tcPr>
          <w:p w14:paraId="3A1376C7" w14:textId="77777777" w:rsidR="00E64D2A" w:rsidRPr="00E64D2A" w:rsidRDefault="00E64D2A" w:rsidP="00E64D2A">
            <w:pPr>
              <w:spacing w:after="0" w:line="240" w:lineRule="auto"/>
              <w:jc w:val="center"/>
              <w:rPr>
                <w:rFonts w:eastAsia="Times New Roman" w:cs="Calibri"/>
                <w:color w:val="000000"/>
                <w:szCs w:val="24"/>
                <w:lang w:eastAsia="es-CR"/>
              </w:rPr>
            </w:pPr>
            <w:r w:rsidRPr="00E64D2A">
              <w:rPr>
                <w:rFonts w:eastAsia="Times New Roman" w:cs="Calibri"/>
                <w:color w:val="000000"/>
                <w:szCs w:val="24"/>
                <w:lang w:eastAsia="es-CR"/>
              </w:rPr>
              <w:t> </w:t>
            </w:r>
          </w:p>
        </w:tc>
        <w:tc>
          <w:tcPr>
            <w:tcW w:w="2680" w:type="dxa"/>
            <w:tcBorders>
              <w:top w:val="nil"/>
              <w:left w:val="nil"/>
              <w:bottom w:val="single" w:sz="8" w:space="0" w:color="auto"/>
              <w:right w:val="single" w:sz="8" w:space="0" w:color="auto"/>
            </w:tcBorders>
            <w:shd w:val="clear" w:color="auto" w:fill="auto"/>
            <w:noWrap/>
            <w:vAlign w:val="center"/>
            <w:hideMark/>
          </w:tcPr>
          <w:p w14:paraId="17C082DE" w14:textId="77777777" w:rsidR="00E64D2A" w:rsidRPr="00E64D2A" w:rsidRDefault="00E64D2A" w:rsidP="00E64D2A">
            <w:pPr>
              <w:spacing w:after="0" w:line="240" w:lineRule="auto"/>
              <w:rPr>
                <w:rFonts w:eastAsia="Times New Roman" w:cs="Calibri"/>
                <w:color w:val="000000"/>
                <w:sz w:val="20"/>
                <w:szCs w:val="20"/>
                <w:lang w:eastAsia="es-CR"/>
              </w:rPr>
            </w:pPr>
            <w:r w:rsidRPr="00E64D2A">
              <w:rPr>
                <w:rFonts w:eastAsia="Times New Roman" w:cs="Calibri"/>
                <w:color w:val="000000"/>
                <w:sz w:val="20"/>
                <w:szCs w:val="20"/>
                <w:lang w:eastAsia="es-CR"/>
              </w:rPr>
              <w:t> </w:t>
            </w:r>
          </w:p>
        </w:tc>
      </w:tr>
      <w:tr w:rsidR="00E64D2A" w:rsidRPr="00E64D2A" w14:paraId="566974B5" w14:textId="77777777" w:rsidTr="00E64D2A">
        <w:trPr>
          <w:trHeight w:val="324"/>
        </w:trPr>
        <w:tc>
          <w:tcPr>
            <w:tcW w:w="2680" w:type="dxa"/>
            <w:tcBorders>
              <w:top w:val="nil"/>
              <w:left w:val="single" w:sz="8" w:space="0" w:color="auto"/>
              <w:bottom w:val="single" w:sz="8" w:space="0" w:color="auto"/>
              <w:right w:val="single" w:sz="8" w:space="0" w:color="auto"/>
            </w:tcBorders>
            <w:shd w:val="clear" w:color="auto" w:fill="auto"/>
            <w:noWrap/>
            <w:vAlign w:val="center"/>
            <w:hideMark/>
          </w:tcPr>
          <w:p w14:paraId="12ABFC2E" w14:textId="77777777" w:rsidR="00E64D2A" w:rsidRPr="00E64D2A" w:rsidRDefault="00E64D2A" w:rsidP="00E64D2A">
            <w:pPr>
              <w:spacing w:after="0" w:line="240" w:lineRule="auto"/>
              <w:rPr>
                <w:rFonts w:eastAsia="Times New Roman" w:cs="Calibri"/>
                <w:color w:val="000000"/>
                <w:sz w:val="20"/>
                <w:szCs w:val="20"/>
                <w:lang w:eastAsia="es-CR"/>
              </w:rPr>
            </w:pPr>
            <w:r w:rsidRPr="00E64D2A">
              <w:rPr>
                <w:rFonts w:eastAsia="Times New Roman" w:cs="Calibri"/>
                <w:color w:val="000000"/>
                <w:sz w:val="20"/>
                <w:szCs w:val="20"/>
                <w:lang w:eastAsia="es-CR"/>
              </w:rPr>
              <w:t> </w:t>
            </w:r>
          </w:p>
        </w:tc>
        <w:tc>
          <w:tcPr>
            <w:tcW w:w="2680" w:type="dxa"/>
            <w:tcBorders>
              <w:top w:val="nil"/>
              <w:left w:val="nil"/>
              <w:bottom w:val="single" w:sz="8" w:space="0" w:color="auto"/>
              <w:right w:val="single" w:sz="8" w:space="0" w:color="auto"/>
            </w:tcBorders>
            <w:shd w:val="clear" w:color="auto" w:fill="auto"/>
            <w:vAlign w:val="center"/>
            <w:hideMark/>
          </w:tcPr>
          <w:p w14:paraId="6AF61A98" w14:textId="77777777" w:rsidR="00E64D2A" w:rsidRPr="00E64D2A" w:rsidRDefault="00E64D2A" w:rsidP="00E64D2A">
            <w:pPr>
              <w:spacing w:after="0" w:line="240" w:lineRule="auto"/>
              <w:jc w:val="center"/>
              <w:rPr>
                <w:rFonts w:eastAsia="Times New Roman" w:cs="Calibri"/>
                <w:color w:val="000000"/>
                <w:szCs w:val="24"/>
                <w:lang w:eastAsia="es-CR"/>
              </w:rPr>
            </w:pPr>
            <w:r w:rsidRPr="00E64D2A">
              <w:rPr>
                <w:rFonts w:eastAsia="Times New Roman" w:cs="Calibri"/>
                <w:color w:val="000000"/>
                <w:szCs w:val="24"/>
                <w:lang w:eastAsia="es-CR"/>
              </w:rPr>
              <w:t> </w:t>
            </w:r>
          </w:p>
        </w:tc>
        <w:tc>
          <w:tcPr>
            <w:tcW w:w="2680" w:type="dxa"/>
            <w:tcBorders>
              <w:top w:val="nil"/>
              <w:left w:val="nil"/>
              <w:bottom w:val="single" w:sz="8" w:space="0" w:color="auto"/>
              <w:right w:val="single" w:sz="8" w:space="0" w:color="auto"/>
            </w:tcBorders>
            <w:shd w:val="clear" w:color="auto" w:fill="auto"/>
            <w:noWrap/>
            <w:vAlign w:val="center"/>
            <w:hideMark/>
          </w:tcPr>
          <w:p w14:paraId="7E6727A9" w14:textId="77777777" w:rsidR="00E64D2A" w:rsidRPr="00E64D2A" w:rsidRDefault="00E64D2A" w:rsidP="00E64D2A">
            <w:pPr>
              <w:spacing w:after="0" w:line="240" w:lineRule="auto"/>
              <w:rPr>
                <w:rFonts w:eastAsia="Times New Roman" w:cs="Calibri"/>
                <w:color w:val="000000"/>
                <w:sz w:val="20"/>
                <w:szCs w:val="20"/>
                <w:lang w:eastAsia="es-CR"/>
              </w:rPr>
            </w:pPr>
            <w:r w:rsidRPr="00E64D2A">
              <w:rPr>
                <w:rFonts w:eastAsia="Times New Roman" w:cs="Calibri"/>
                <w:color w:val="000000"/>
                <w:sz w:val="20"/>
                <w:szCs w:val="20"/>
                <w:lang w:eastAsia="es-CR"/>
              </w:rPr>
              <w:t> </w:t>
            </w:r>
          </w:p>
        </w:tc>
      </w:tr>
      <w:tr w:rsidR="00E64D2A" w:rsidRPr="00E64D2A" w14:paraId="2E617C1B" w14:textId="77777777" w:rsidTr="00E64D2A">
        <w:trPr>
          <w:trHeight w:val="324"/>
        </w:trPr>
        <w:tc>
          <w:tcPr>
            <w:tcW w:w="2680" w:type="dxa"/>
            <w:tcBorders>
              <w:top w:val="nil"/>
              <w:left w:val="single" w:sz="8" w:space="0" w:color="auto"/>
              <w:bottom w:val="single" w:sz="8" w:space="0" w:color="auto"/>
              <w:right w:val="single" w:sz="8" w:space="0" w:color="auto"/>
            </w:tcBorders>
            <w:shd w:val="clear" w:color="auto" w:fill="auto"/>
            <w:noWrap/>
            <w:vAlign w:val="center"/>
            <w:hideMark/>
          </w:tcPr>
          <w:p w14:paraId="26AF1667" w14:textId="77777777" w:rsidR="00E64D2A" w:rsidRPr="00E64D2A" w:rsidRDefault="00E64D2A" w:rsidP="00E64D2A">
            <w:pPr>
              <w:spacing w:after="0" w:line="240" w:lineRule="auto"/>
              <w:rPr>
                <w:rFonts w:eastAsia="Times New Roman" w:cs="Calibri"/>
                <w:color w:val="000000"/>
                <w:sz w:val="20"/>
                <w:szCs w:val="20"/>
                <w:lang w:eastAsia="es-CR"/>
              </w:rPr>
            </w:pPr>
            <w:r w:rsidRPr="00E64D2A">
              <w:rPr>
                <w:rFonts w:eastAsia="Times New Roman" w:cs="Calibri"/>
                <w:color w:val="000000"/>
                <w:sz w:val="20"/>
                <w:szCs w:val="20"/>
                <w:lang w:eastAsia="es-CR"/>
              </w:rPr>
              <w:t> </w:t>
            </w:r>
          </w:p>
        </w:tc>
        <w:tc>
          <w:tcPr>
            <w:tcW w:w="2680" w:type="dxa"/>
            <w:tcBorders>
              <w:top w:val="nil"/>
              <w:left w:val="nil"/>
              <w:bottom w:val="single" w:sz="8" w:space="0" w:color="auto"/>
              <w:right w:val="single" w:sz="8" w:space="0" w:color="auto"/>
            </w:tcBorders>
            <w:shd w:val="clear" w:color="auto" w:fill="auto"/>
            <w:vAlign w:val="center"/>
            <w:hideMark/>
          </w:tcPr>
          <w:p w14:paraId="25FB2E4F" w14:textId="77777777" w:rsidR="00E64D2A" w:rsidRPr="00E64D2A" w:rsidRDefault="00E64D2A" w:rsidP="00E64D2A">
            <w:pPr>
              <w:spacing w:after="0" w:line="240" w:lineRule="auto"/>
              <w:jc w:val="center"/>
              <w:rPr>
                <w:rFonts w:eastAsia="Times New Roman" w:cs="Calibri"/>
                <w:color w:val="000000"/>
                <w:szCs w:val="24"/>
                <w:lang w:eastAsia="es-CR"/>
              </w:rPr>
            </w:pPr>
            <w:r w:rsidRPr="00E64D2A">
              <w:rPr>
                <w:rFonts w:eastAsia="Times New Roman" w:cs="Calibri"/>
                <w:color w:val="000000"/>
                <w:szCs w:val="24"/>
                <w:lang w:eastAsia="es-CR"/>
              </w:rPr>
              <w:t> </w:t>
            </w:r>
          </w:p>
        </w:tc>
        <w:tc>
          <w:tcPr>
            <w:tcW w:w="2680" w:type="dxa"/>
            <w:tcBorders>
              <w:top w:val="nil"/>
              <w:left w:val="nil"/>
              <w:bottom w:val="single" w:sz="8" w:space="0" w:color="auto"/>
              <w:right w:val="single" w:sz="8" w:space="0" w:color="auto"/>
            </w:tcBorders>
            <w:shd w:val="clear" w:color="auto" w:fill="auto"/>
            <w:noWrap/>
            <w:vAlign w:val="center"/>
            <w:hideMark/>
          </w:tcPr>
          <w:p w14:paraId="302C4BB7" w14:textId="77777777" w:rsidR="00E64D2A" w:rsidRPr="00E64D2A" w:rsidRDefault="00E64D2A" w:rsidP="00E64D2A">
            <w:pPr>
              <w:spacing w:after="0" w:line="240" w:lineRule="auto"/>
              <w:rPr>
                <w:rFonts w:eastAsia="Times New Roman" w:cs="Calibri"/>
                <w:color w:val="000000"/>
                <w:sz w:val="20"/>
                <w:szCs w:val="20"/>
                <w:lang w:eastAsia="es-CR"/>
              </w:rPr>
            </w:pPr>
            <w:r w:rsidRPr="00E64D2A">
              <w:rPr>
                <w:rFonts w:eastAsia="Times New Roman" w:cs="Calibri"/>
                <w:color w:val="000000"/>
                <w:sz w:val="20"/>
                <w:szCs w:val="20"/>
                <w:lang w:eastAsia="es-CR"/>
              </w:rPr>
              <w:t> </w:t>
            </w:r>
          </w:p>
        </w:tc>
      </w:tr>
      <w:tr w:rsidR="00E64D2A" w:rsidRPr="00E64D2A" w14:paraId="0E946A00" w14:textId="77777777" w:rsidTr="00E64D2A">
        <w:trPr>
          <w:trHeight w:val="324"/>
        </w:trPr>
        <w:tc>
          <w:tcPr>
            <w:tcW w:w="2680" w:type="dxa"/>
            <w:tcBorders>
              <w:top w:val="nil"/>
              <w:left w:val="single" w:sz="8" w:space="0" w:color="auto"/>
              <w:bottom w:val="single" w:sz="8" w:space="0" w:color="auto"/>
              <w:right w:val="single" w:sz="8" w:space="0" w:color="auto"/>
            </w:tcBorders>
            <w:shd w:val="clear" w:color="auto" w:fill="auto"/>
            <w:noWrap/>
            <w:vAlign w:val="center"/>
            <w:hideMark/>
          </w:tcPr>
          <w:p w14:paraId="6CE2DC5E" w14:textId="77777777" w:rsidR="00E64D2A" w:rsidRPr="00E64D2A" w:rsidRDefault="00E64D2A" w:rsidP="00E64D2A">
            <w:pPr>
              <w:spacing w:after="0" w:line="240" w:lineRule="auto"/>
              <w:rPr>
                <w:rFonts w:eastAsia="Times New Roman" w:cs="Calibri"/>
                <w:color w:val="000000"/>
                <w:sz w:val="20"/>
                <w:szCs w:val="20"/>
                <w:lang w:eastAsia="es-CR"/>
              </w:rPr>
            </w:pPr>
            <w:r w:rsidRPr="00E64D2A">
              <w:rPr>
                <w:rFonts w:eastAsia="Times New Roman" w:cs="Calibri"/>
                <w:color w:val="000000"/>
                <w:sz w:val="20"/>
                <w:szCs w:val="20"/>
                <w:lang w:eastAsia="es-CR"/>
              </w:rPr>
              <w:t> </w:t>
            </w:r>
          </w:p>
        </w:tc>
        <w:tc>
          <w:tcPr>
            <w:tcW w:w="2680" w:type="dxa"/>
            <w:tcBorders>
              <w:top w:val="nil"/>
              <w:left w:val="nil"/>
              <w:bottom w:val="single" w:sz="8" w:space="0" w:color="auto"/>
              <w:right w:val="single" w:sz="8" w:space="0" w:color="auto"/>
            </w:tcBorders>
            <w:shd w:val="clear" w:color="auto" w:fill="auto"/>
            <w:vAlign w:val="center"/>
            <w:hideMark/>
          </w:tcPr>
          <w:p w14:paraId="562CE3B4" w14:textId="77777777" w:rsidR="00E64D2A" w:rsidRPr="00E64D2A" w:rsidRDefault="00E64D2A" w:rsidP="00E64D2A">
            <w:pPr>
              <w:spacing w:after="0" w:line="240" w:lineRule="auto"/>
              <w:jc w:val="center"/>
              <w:rPr>
                <w:rFonts w:eastAsia="Times New Roman" w:cs="Calibri"/>
                <w:color w:val="000000"/>
                <w:szCs w:val="24"/>
                <w:lang w:eastAsia="es-CR"/>
              </w:rPr>
            </w:pPr>
            <w:r w:rsidRPr="00E64D2A">
              <w:rPr>
                <w:rFonts w:eastAsia="Times New Roman" w:cs="Calibri"/>
                <w:color w:val="000000"/>
                <w:szCs w:val="24"/>
                <w:lang w:eastAsia="es-CR"/>
              </w:rPr>
              <w:t> </w:t>
            </w:r>
          </w:p>
        </w:tc>
        <w:tc>
          <w:tcPr>
            <w:tcW w:w="2680" w:type="dxa"/>
            <w:tcBorders>
              <w:top w:val="nil"/>
              <w:left w:val="nil"/>
              <w:bottom w:val="single" w:sz="8" w:space="0" w:color="auto"/>
              <w:right w:val="single" w:sz="8" w:space="0" w:color="auto"/>
            </w:tcBorders>
            <w:shd w:val="clear" w:color="auto" w:fill="auto"/>
            <w:noWrap/>
            <w:vAlign w:val="center"/>
            <w:hideMark/>
          </w:tcPr>
          <w:p w14:paraId="13285D6A" w14:textId="77777777" w:rsidR="00E64D2A" w:rsidRPr="00E64D2A" w:rsidRDefault="00E64D2A" w:rsidP="00E64D2A">
            <w:pPr>
              <w:spacing w:after="0" w:line="240" w:lineRule="auto"/>
              <w:rPr>
                <w:rFonts w:eastAsia="Times New Roman" w:cs="Calibri"/>
                <w:color w:val="000000"/>
                <w:sz w:val="20"/>
                <w:szCs w:val="20"/>
                <w:lang w:eastAsia="es-CR"/>
              </w:rPr>
            </w:pPr>
            <w:r w:rsidRPr="00E64D2A">
              <w:rPr>
                <w:rFonts w:eastAsia="Times New Roman" w:cs="Calibri"/>
                <w:color w:val="000000"/>
                <w:sz w:val="20"/>
                <w:szCs w:val="20"/>
                <w:lang w:eastAsia="es-CR"/>
              </w:rPr>
              <w:t> </w:t>
            </w:r>
          </w:p>
        </w:tc>
      </w:tr>
      <w:tr w:rsidR="00E64D2A" w:rsidRPr="00E64D2A" w14:paraId="0588E9C1" w14:textId="77777777" w:rsidTr="00E64D2A">
        <w:trPr>
          <w:trHeight w:val="324"/>
        </w:trPr>
        <w:tc>
          <w:tcPr>
            <w:tcW w:w="2680" w:type="dxa"/>
            <w:tcBorders>
              <w:top w:val="nil"/>
              <w:left w:val="single" w:sz="8" w:space="0" w:color="auto"/>
              <w:bottom w:val="single" w:sz="8" w:space="0" w:color="auto"/>
              <w:right w:val="single" w:sz="8" w:space="0" w:color="auto"/>
            </w:tcBorders>
            <w:shd w:val="clear" w:color="auto" w:fill="auto"/>
            <w:noWrap/>
            <w:vAlign w:val="center"/>
            <w:hideMark/>
          </w:tcPr>
          <w:p w14:paraId="6EB34835" w14:textId="77777777" w:rsidR="00E64D2A" w:rsidRPr="00E64D2A" w:rsidRDefault="00E64D2A" w:rsidP="00E64D2A">
            <w:pPr>
              <w:spacing w:after="0" w:line="240" w:lineRule="auto"/>
              <w:rPr>
                <w:rFonts w:eastAsia="Times New Roman" w:cs="Calibri"/>
                <w:color w:val="000000"/>
                <w:sz w:val="20"/>
                <w:szCs w:val="20"/>
                <w:lang w:eastAsia="es-CR"/>
              </w:rPr>
            </w:pPr>
            <w:r w:rsidRPr="00E64D2A">
              <w:rPr>
                <w:rFonts w:eastAsia="Times New Roman" w:cs="Calibri"/>
                <w:color w:val="000000"/>
                <w:sz w:val="20"/>
                <w:szCs w:val="20"/>
                <w:lang w:eastAsia="es-CR"/>
              </w:rPr>
              <w:t> </w:t>
            </w:r>
          </w:p>
        </w:tc>
        <w:tc>
          <w:tcPr>
            <w:tcW w:w="2680" w:type="dxa"/>
            <w:tcBorders>
              <w:top w:val="nil"/>
              <w:left w:val="nil"/>
              <w:bottom w:val="single" w:sz="8" w:space="0" w:color="auto"/>
              <w:right w:val="single" w:sz="8" w:space="0" w:color="auto"/>
            </w:tcBorders>
            <w:shd w:val="clear" w:color="auto" w:fill="auto"/>
            <w:vAlign w:val="center"/>
            <w:hideMark/>
          </w:tcPr>
          <w:p w14:paraId="6EE5FAA8" w14:textId="77777777" w:rsidR="00E64D2A" w:rsidRPr="00E64D2A" w:rsidRDefault="00E64D2A" w:rsidP="00E64D2A">
            <w:pPr>
              <w:spacing w:after="0" w:line="240" w:lineRule="auto"/>
              <w:jc w:val="center"/>
              <w:rPr>
                <w:rFonts w:eastAsia="Times New Roman" w:cs="Calibri"/>
                <w:color w:val="000000"/>
                <w:szCs w:val="24"/>
                <w:lang w:eastAsia="es-CR"/>
              </w:rPr>
            </w:pPr>
            <w:r w:rsidRPr="00E64D2A">
              <w:rPr>
                <w:rFonts w:eastAsia="Times New Roman" w:cs="Calibri"/>
                <w:color w:val="000000"/>
                <w:szCs w:val="24"/>
                <w:lang w:eastAsia="es-CR"/>
              </w:rPr>
              <w:t> </w:t>
            </w:r>
          </w:p>
        </w:tc>
        <w:tc>
          <w:tcPr>
            <w:tcW w:w="2680" w:type="dxa"/>
            <w:tcBorders>
              <w:top w:val="nil"/>
              <w:left w:val="nil"/>
              <w:bottom w:val="single" w:sz="8" w:space="0" w:color="auto"/>
              <w:right w:val="single" w:sz="8" w:space="0" w:color="auto"/>
            </w:tcBorders>
            <w:shd w:val="clear" w:color="auto" w:fill="auto"/>
            <w:noWrap/>
            <w:vAlign w:val="center"/>
            <w:hideMark/>
          </w:tcPr>
          <w:p w14:paraId="07CE0455" w14:textId="77777777" w:rsidR="00E64D2A" w:rsidRPr="00E64D2A" w:rsidRDefault="00E64D2A" w:rsidP="00E64D2A">
            <w:pPr>
              <w:spacing w:after="0" w:line="240" w:lineRule="auto"/>
              <w:rPr>
                <w:rFonts w:eastAsia="Times New Roman" w:cs="Calibri"/>
                <w:color w:val="000000"/>
                <w:sz w:val="20"/>
                <w:szCs w:val="20"/>
                <w:lang w:eastAsia="es-CR"/>
              </w:rPr>
            </w:pPr>
            <w:r w:rsidRPr="00E64D2A">
              <w:rPr>
                <w:rFonts w:eastAsia="Times New Roman" w:cs="Calibri"/>
                <w:color w:val="000000"/>
                <w:sz w:val="20"/>
                <w:szCs w:val="20"/>
                <w:lang w:eastAsia="es-CR"/>
              </w:rPr>
              <w:t> </w:t>
            </w:r>
          </w:p>
        </w:tc>
      </w:tr>
    </w:tbl>
    <w:bookmarkEnd w:id="1018"/>
    <w:p w14:paraId="40547554" w14:textId="77777777" w:rsidR="00396CB4" w:rsidRPr="00396CB4" w:rsidRDefault="00692DC8" w:rsidP="00396CB4">
      <w:pPr>
        <w:spacing w:before="240"/>
        <w:rPr>
          <w:rFonts w:eastAsia="Calibri"/>
          <w:b/>
          <w:sz w:val="20"/>
          <w:szCs w:val="20"/>
          <w:lang w:eastAsia="es-CR"/>
        </w:rPr>
      </w:pPr>
      <w:r w:rsidRPr="005515CA">
        <w:rPr>
          <w:rFonts w:eastAsia="Calibri"/>
          <w:b/>
          <w:lang w:val="es-ES"/>
        </w:rPr>
        <w:t xml:space="preserve">Revelación: </w:t>
      </w:r>
      <w:r w:rsidR="00E64D2A">
        <w:rPr>
          <w:rFonts w:cs="Calibri"/>
          <w:color w:val="000000"/>
          <w:lang w:eastAsia="es-CR"/>
        </w:rPr>
        <w:fldChar w:fldCharType="begin"/>
      </w:r>
      <w:r w:rsidR="00E64D2A">
        <w:rPr>
          <w:rFonts w:cs="Calibri"/>
          <w:color w:val="000000"/>
          <w:lang w:eastAsia="es-CR"/>
        </w:rPr>
        <w:instrText xml:space="preserve"> LINK </w:instrText>
      </w:r>
      <w:r w:rsidR="00756467">
        <w:rPr>
          <w:rFonts w:cs="Calibri"/>
          <w:color w:val="000000"/>
          <w:lang w:eastAsia="es-CR"/>
        </w:rPr>
        <w:instrText xml:space="preserve">Excel.SheetMacroEnabled.12 "C:\\Users\\gcordero\\Downloads\\Notas diciembre 2024\\Formato_Notas_EEFF_Vinculadas_2024\\Formato_Notas_EEFF_Vinculadas_2024\\15603_T04_2024_Anexo_Estado_Notas_Contables_Vinculadas.xlsm" NOTAS_POR_CUENTA!F413C8 </w:instrText>
      </w:r>
      <w:r w:rsidR="00E64D2A">
        <w:rPr>
          <w:rFonts w:cs="Calibri"/>
          <w:color w:val="000000"/>
          <w:lang w:eastAsia="es-CR"/>
        </w:rPr>
        <w:instrText xml:space="preserve">\a \f 5 \h  \* MERGEFORMAT </w:instrText>
      </w:r>
      <w:r w:rsidR="00E64D2A">
        <w:rPr>
          <w:rFonts w:cs="Calibri"/>
          <w:color w:val="000000"/>
          <w:lang w:eastAsia="es-CR"/>
        </w:rPr>
        <w:fldChar w:fldCharType="separate"/>
      </w:r>
    </w:p>
    <w:p w14:paraId="5C65071F" w14:textId="77777777" w:rsidR="00396CB4" w:rsidRPr="00396CB4" w:rsidRDefault="00396CB4" w:rsidP="00396CB4">
      <w:pPr>
        <w:rPr>
          <w:rFonts w:cs="Calibri"/>
          <w:color w:val="000000"/>
          <w:lang w:eastAsia="es-CR"/>
        </w:rPr>
      </w:pPr>
      <w:r w:rsidRPr="00396CB4">
        <w:rPr>
          <w:rFonts w:cs="Calibri"/>
          <w:color w:val="000000"/>
          <w:lang w:eastAsia="es-CR"/>
        </w:rPr>
        <w:t>La cuenta Transferencias de capital, representa el 0,00% del total del Gastos, que comparado al periodo anterior genera una variación absoluta de 0 000,00 que corresponde a un Aumento del 0,00% de recursos disponibles.</w:t>
      </w:r>
    </w:p>
    <w:p w14:paraId="1DCEEC07" w14:textId="2DAB9035" w:rsidR="00E64D2A" w:rsidRPr="00422EDF" w:rsidRDefault="00E64D2A" w:rsidP="005515CA">
      <w:pPr>
        <w:rPr>
          <w:rFonts w:eastAsiaTheme="minorEastAsia" w:cs="Arial Narrow"/>
          <w:color w:val="000000"/>
          <w:lang w:eastAsia="es-CR"/>
        </w:rPr>
      </w:pPr>
      <w:r>
        <w:rPr>
          <w:rFonts w:cs="Calibri"/>
          <w:color w:val="000000"/>
          <w:lang w:eastAsia="es-CR"/>
        </w:rPr>
        <w:fldChar w:fldCharType="end"/>
      </w:r>
      <w:r w:rsidR="00692DC8" w:rsidRPr="00692DC8">
        <w:rPr>
          <w:rFonts w:eastAsia="Calibri"/>
          <w:highlight w:val="lightGray"/>
        </w:rPr>
        <w:t>Las variaciones de la cuenta son producto de (Indicar la razón de las variaciones de un periodo a otro):</w:t>
      </w:r>
      <w:r w:rsidR="00692DC8" w:rsidRPr="00692DC8">
        <w:rPr>
          <w:rFonts w:eastAsia="Calibri"/>
        </w:rPr>
        <w:t xml:space="preserve"> </w:t>
      </w:r>
    </w:p>
    <w:p w14:paraId="121DD08F" w14:textId="77777777" w:rsidR="00567780" w:rsidRPr="00692DC8" w:rsidRDefault="00567780" w:rsidP="005515CA">
      <w:pPr>
        <w:rPr>
          <w:rFonts w:eastAsia="Calibri"/>
          <w:szCs w:val="24"/>
        </w:rPr>
      </w:pPr>
    </w:p>
    <w:p w14:paraId="15436B58" w14:textId="77777777" w:rsidR="00692DC8" w:rsidRPr="00692DC8" w:rsidRDefault="00692DC8" w:rsidP="005515CA">
      <w:pPr>
        <w:pStyle w:val="Ttulo3"/>
        <w:spacing w:after="240"/>
        <w:rPr>
          <w:rFonts w:eastAsia="Calibri"/>
          <w:lang w:eastAsia="es-CR"/>
        </w:rPr>
      </w:pPr>
      <w:bookmarkStart w:id="1019" w:name="_Toc82769066"/>
      <w:bookmarkStart w:id="1020" w:name="_Toc189804925"/>
      <w:r w:rsidRPr="00692DC8">
        <w:rPr>
          <w:rFonts w:eastAsia="Calibri"/>
          <w:lang w:eastAsia="es-CR"/>
        </w:rPr>
        <w:t>5.9 OTROS GASTOS</w:t>
      </w:r>
      <w:bookmarkEnd w:id="1019"/>
      <w:bookmarkEnd w:id="1020"/>
      <w:r w:rsidRPr="00692DC8">
        <w:rPr>
          <w:rFonts w:eastAsia="Calibri"/>
          <w:lang w:eastAsia="es-CR"/>
        </w:rPr>
        <w:t xml:space="preserve">   </w:t>
      </w:r>
      <w:bookmarkEnd w:id="1017"/>
    </w:p>
    <w:p w14:paraId="5679C18B" w14:textId="77777777" w:rsidR="00692DC8" w:rsidRPr="00692DC8" w:rsidRDefault="00692DC8" w:rsidP="005515CA">
      <w:pPr>
        <w:pStyle w:val="Ttulo4"/>
        <w:spacing w:after="240"/>
        <w:rPr>
          <w:rFonts w:eastAsia="Times New Roman"/>
        </w:rPr>
      </w:pPr>
      <w:bookmarkStart w:id="1021" w:name="_Toc14345000"/>
      <w:bookmarkStart w:id="1022" w:name="_Toc33601348"/>
      <w:bookmarkStart w:id="1023" w:name="_Toc82769067"/>
      <w:bookmarkStart w:id="1024" w:name="_Toc189804926"/>
      <w:r w:rsidRPr="00692DC8">
        <w:rPr>
          <w:rFonts w:eastAsia="Times New Roman"/>
        </w:rPr>
        <w:t>NOTA N° 7</w:t>
      </w:r>
      <w:bookmarkEnd w:id="1021"/>
      <w:bookmarkEnd w:id="1022"/>
      <w:bookmarkEnd w:id="1023"/>
      <w:r w:rsidRPr="00692DC8">
        <w:rPr>
          <w:rFonts w:eastAsia="Times New Roman"/>
        </w:rPr>
        <w:t>4</w:t>
      </w:r>
      <w:bookmarkEnd w:id="1024"/>
    </w:p>
    <w:p w14:paraId="5DAC6E2F" w14:textId="77777777" w:rsidR="00396CB4" w:rsidRDefault="00692DC8" w:rsidP="00F51D42">
      <w:pPr>
        <w:spacing w:before="240"/>
        <w:rPr>
          <w:rFonts w:asciiTheme="minorHAnsi" w:hAnsiTheme="minorHAnsi"/>
          <w:sz w:val="22"/>
        </w:rPr>
      </w:pPr>
      <w:bookmarkStart w:id="1025" w:name="_Toc14345001"/>
      <w:bookmarkStart w:id="1026" w:name="_Toc33601349"/>
      <w:bookmarkStart w:id="1027" w:name="_Toc82769068"/>
      <w:r w:rsidRPr="00692DC8">
        <w:rPr>
          <w:rFonts w:eastAsia="Times New Roman"/>
        </w:rPr>
        <w:t>Resultados negativos por tenencia y por exposición a la inflación</w:t>
      </w:r>
      <w:bookmarkStart w:id="1028" w:name="_Toc14345008"/>
      <w:bookmarkEnd w:id="1025"/>
      <w:bookmarkEnd w:id="1026"/>
      <w:bookmarkEnd w:id="1027"/>
      <w:r w:rsidR="00E64D2A">
        <w:rPr>
          <w:rFonts w:eastAsiaTheme="majorEastAsia" w:cstheme="majorBidi"/>
          <w:iCs/>
          <w:lang w:val="es-ES"/>
        </w:rPr>
        <w:fldChar w:fldCharType="begin"/>
      </w:r>
      <w:r w:rsidR="00E64D2A">
        <w:rPr>
          <w:lang w:val="es-ES"/>
        </w:rPr>
        <w:instrText xml:space="preserve"> LINK </w:instrText>
      </w:r>
      <w:r w:rsidR="00756467">
        <w:rPr>
          <w:lang w:val="es-ES"/>
        </w:rPr>
        <w:instrText xml:space="preserve">Excel.SheetMacroEnabled.12 "C:\\Users\\gcordero\\Downloads\\Notas diciembre 2024\\Formato_Notas_EEFF_Vinculadas_2024\\Formato_Notas_EEFF_Vinculadas_2024\\15603_T04_2024_Anexo_Estado_Notas_Contables_Vinculadas.xlsm" NOTAS_POR_CUENTA!F415C1:F417C6 </w:instrText>
      </w:r>
      <w:r w:rsidR="00E64D2A">
        <w:rPr>
          <w:lang w:val="es-ES"/>
        </w:rPr>
        <w:instrText xml:space="preserve">\a \f 4 \h </w:instrText>
      </w:r>
      <w:r w:rsidR="00E64D2A">
        <w:rPr>
          <w:b/>
          <w:lang w:val="es-ES"/>
        </w:rPr>
        <w:fldChar w:fldCharType="separate"/>
      </w:r>
    </w:p>
    <w:tbl>
      <w:tblPr>
        <w:tblW w:w="9600" w:type="dxa"/>
        <w:tblCellMar>
          <w:left w:w="70" w:type="dxa"/>
          <w:right w:w="70" w:type="dxa"/>
        </w:tblCellMar>
        <w:tblLook w:val="04A0" w:firstRow="1" w:lastRow="0" w:firstColumn="1" w:lastColumn="0" w:noHBand="0" w:noVBand="1"/>
      </w:tblPr>
      <w:tblGrid>
        <w:gridCol w:w="1243"/>
        <w:gridCol w:w="2637"/>
        <w:gridCol w:w="500"/>
        <w:gridCol w:w="2100"/>
        <w:gridCol w:w="2100"/>
        <w:gridCol w:w="1020"/>
      </w:tblGrid>
      <w:tr w:rsidR="00396CB4" w:rsidRPr="00396CB4" w14:paraId="717A2D6F" w14:textId="77777777" w:rsidTr="00396CB4">
        <w:trPr>
          <w:divId w:val="1197233919"/>
          <w:trHeight w:val="330"/>
        </w:trPr>
        <w:tc>
          <w:tcPr>
            <w:tcW w:w="1243"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3B346D2" w14:textId="5401A1E3" w:rsidR="00396CB4" w:rsidRPr="00396CB4" w:rsidRDefault="00396CB4" w:rsidP="00396CB4">
            <w:pP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2637"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FB0A9CC"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76EEA34"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51B805F"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B1867D2"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5253BCAD"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589B45AA" w14:textId="77777777" w:rsidTr="00396CB4">
        <w:trPr>
          <w:divId w:val="1197233919"/>
          <w:trHeight w:val="330"/>
        </w:trPr>
        <w:tc>
          <w:tcPr>
            <w:tcW w:w="1243" w:type="dxa"/>
            <w:vMerge/>
            <w:tcBorders>
              <w:top w:val="single" w:sz="8" w:space="0" w:color="auto"/>
              <w:left w:val="single" w:sz="8" w:space="0" w:color="auto"/>
              <w:bottom w:val="single" w:sz="8" w:space="0" w:color="000000"/>
              <w:right w:val="single" w:sz="8" w:space="0" w:color="auto"/>
            </w:tcBorders>
            <w:vAlign w:val="center"/>
            <w:hideMark/>
          </w:tcPr>
          <w:p w14:paraId="772DED70"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637" w:type="dxa"/>
            <w:vMerge/>
            <w:tcBorders>
              <w:top w:val="single" w:sz="8" w:space="0" w:color="auto"/>
              <w:left w:val="single" w:sz="8" w:space="0" w:color="auto"/>
              <w:bottom w:val="single" w:sz="8" w:space="0" w:color="000000"/>
              <w:right w:val="single" w:sz="8" w:space="0" w:color="auto"/>
            </w:tcBorders>
            <w:vAlign w:val="center"/>
            <w:hideMark/>
          </w:tcPr>
          <w:p w14:paraId="37FAD41B"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2CA7D15F"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3D1800E1"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5CE689A2"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133AFA26"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7C7C9F8B" w14:textId="77777777" w:rsidTr="00396CB4">
        <w:trPr>
          <w:divId w:val="1197233919"/>
          <w:trHeight w:val="555"/>
        </w:trPr>
        <w:tc>
          <w:tcPr>
            <w:tcW w:w="1243" w:type="dxa"/>
            <w:tcBorders>
              <w:top w:val="nil"/>
              <w:left w:val="single" w:sz="8" w:space="0" w:color="auto"/>
              <w:bottom w:val="single" w:sz="8" w:space="0" w:color="auto"/>
              <w:right w:val="single" w:sz="8" w:space="0" w:color="auto"/>
            </w:tcBorders>
            <w:shd w:val="clear" w:color="auto" w:fill="auto"/>
            <w:noWrap/>
            <w:vAlign w:val="center"/>
            <w:hideMark/>
          </w:tcPr>
          <w:p w14:paraId="57CC7DFF"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5.9.1.</w:t>
            </w:r>
          </w:p>
        </w:tc>
        <w:tc>
          <w:tcPr>
            <w:tcW w:w="2637" w:type="dxa"/>
            <w:tcBorders>
              <w:top w:val="nil"/>
              <w:left w:val="nil"/>
              <w:bottom w:val="single" w:sz="8" w:space="0" w:color="auto"/>
              <w:right w:val="single" w:sz="8" w:space="0" w:color="auto"/>
            </w:tcBorders>
            <w:shd w:val="clear" w:color="auto" w:fill="auto"/>
            <w:vAlign w:val="center"/>
            <w:hideMark/>
          </w:tcPr>
          <w:p w14:paraId="5B0A8769" w14:textId="77777777" w:rsidR="00396CB4" w:rsidRPr="00396CB4" w:rsidRDefault="00396CB4" w:rsidP="00396CB4">
            <w:pPr>
              <w:spacing w:after="0" w:line="240" w:lineRule="auto"/>
              <w:rPr>
                <w:rFonts w:eastAsia="Times New Roman" w:cs="Calibri"/>
                <w:b/>
                <w:bCs/>
                <w:color w:val="000000"/>
                <w:sz w:val="18"/>
                <w:szCs w:val="18"/>
                <w:lang w:eastAsia="es-CR"/>
              </w:rPr>
            </w:pPr>
            <w:r w:rsidRPr="00396CB4">
              <w:rPr>
                <w:rFonts w:eastAsia="Times New Roman" w:cs="Calibri"/>
                <w:b/>
                <w:bCs/>
                <w:color w:val="000000"/>
                <w:sz w:val="18"/>
                <w:szCs w:val="18"/>
                <w:lang w:eastAsia="es-CR"/>
              </w:rPr>
              <w:t>Resultados negativos por tenencia y por exposición a la inflación</w:t>
            </w:r>
          </w:p>
        </w:tc>
        <w:tc>
          <w:tcPr>
            <w:tcW w:w="500" w:type="dxa"/>
            <w:tcBorders>
              <w:top w:val="nil"/>
              <w:left w:val="nil"/>
              <w:bottom w:val="single" w:sz="8" w:space="0" w:color="auto"/>
              <w:right w:val="single" w:sz="8" w:space="0" w:color="auto"/>
            </w:tcBorders>
            <w:shd w:val="clear" w:color="auto" w:fill="auto"/>
            <w:noWrap/>
            <w:vAlign w:val="center"/>
            <w:hideMark/>
          </w:tcPr>
          <w:p w14:paraId="3DF9B6F0"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74</w:t>
            </w:r>
          </w:p>
        </w:tc>
        <w:tc>
          <w:tcPr>
            <w:tcW w:w="2100" w:type="dxa"/>
            <w:tcBorders>
              <w:top w:val="nil"/>
              <w:left w:val="nil"/>
              <w:bottom w:val="single" w:sz="8" w:space="0" w:color="auto"/>
              <w:right w:val="single" w:sz="8" w:space="0" w:color="auto"/>
            </w:tcBorders>
            <w:shd w:val="clear" w:color="auto" w:fill="auto"/>
            <w:noWrap/>
            <w:vAlign w:val="center"/>
            <w:hideMark/>
          </w:tcPr>
          <w:p w14:paraId="2FEBEF54"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2100" w:type="dxa"/>
            <w:tcBorders>
              <w:top w:val="nil"/>
              <w:left w:val="nil"/>
              <w:bottom w:val="single" w:sz="8" w:space="0" w:color="auto"/>
              <w:right w:val="single" w:sz="8" w:space="0" w:color="auto"/>
            </w:tcBorders>
            <w:shd w:val="clear" w:color="auto" w:fill="auto"/>
            <w:noWrap/>
            <w:vAlign w:val="center"/>
            <w:hideMark/>
          </w:tcPr>
          <w:p w14:paraId="094930B3"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9 715,94 </w:t>
            </w:r>
          </w:p>
        </w:tc>
        <w:tc>
          <w:tcPr>
            <w:tcW w:w="1020" w:type="dxa"/>
            <w:tcBorders>
              <w:top w:val="nil"/>
              <w:left w:val="nil"/>
              <w:bottom w:val="single" w:sz="8" w:space="0" w:color="auto"/>
              <w:right w:val="single" w:sz="8" w:space="0" w:color="auto"/>
            </w:tcBorders>
            <w:shd w:val="clear" w:color="auto" w:fill="auto"/>
            <w:noWrap/>
            <w:vAlign w:val="center"/>
            <w:hideMark/>
          </w:tcPr>
          <w:p w14:paraId="57DE0BEE"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-100,00%</w:t>
            </w:r>
          </w:p>
        </w:tc>
      </w:tr>
    </w:tbl>
    <w:p w14:paraId="7432360A" w14:textId="77777777" w:rsidR="00396CB4" w:rsidRPr="00396CB4" w:rsidRDefault="00E64D2A" w:rsidP="00396CB4">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756467">
        <w:rPr>
          <w:rFonts w:eastAsia="Times New Roman" w:cs="Calibri"/>
          <w:color w:val="000000"/>
          <w:lang w:eastAsia="es-CR"/>
        </w:rPr>
        <w:instrText xml:space="preserve">Excel.SheetMacroEnabled.12 "C:\\Users\\gcordero\\Downloads\\Notas diciembre 2024\\Formato_Notas_EEFF_Vinculadas_2024\\Formato_Notas_EEFF_Vinculadas_2024\\15603_T04_2024_Anexo_Estado_Notas_Contables_Vinculadas.xlsm" NOTAS_POR_CUENTA!F417C8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1550E0DA" w14:textId="77777777" w:rsidR="00396CB4" w:rsidRPr="00396CB4" w:rsidRDefault="00396CB4" w:rsidP="00396CB4">
      <w:pPr>
        <w:rPr>
          <w:rFonts w:eastAsia="Times New Roman" w:cs="Calibri"/>
          <w:color w:val="000000"/>
          <w:lang w:eastAsia="es-CR"/>
        </w:rPr>
      </w:pPr>
      <w:r w:rsidRPr="00396CB4">
        <w:rPr>
          <w:rFonts w:eastAsia="Times New Roman" w:cs="Calibri"/>
          <w:color w:val="000000"/>
          <w:lang w:eastAsia="es-CR"/>
        </w:rPr>
        <w:t>La cuenta Resultados negativos por tenencia y por exposición a la inflación, representa el 0,00% del total del Gastos, que comparado al periodo anterior genera una variación absoluta de -9 715,94 que corresponde a un Disminución del -100,00% de recursos disponibles.</w:t>
      </w:r>
    </w:p>
    <w:p w14:paraId="26A8057B" w14:textId="295DF53F" w:rsidR="00692DC8" w:rsidRDefault="00E64D2A" w:rsidP="005515CA">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bookmarkStart w:id="1029" w:name="_Toc33601350"/>
    </w:p>
    <w:p w14:paraId="7FB6BD78" w14:textId="77777777" w:rsidR="00CC051D" w:rsidRDefault="00CC051D" w:rsidP="005515CA"/>
    <w:p w14:paraId="7540DAD1" w14:textId="77777777" w:rsidR="00CC051D" w:rsidRDefault="00CC051D" w:rsidP="005515CA"/>
    <w:p w14:paraId="5CEAD0F4" w14:textId="77777777" w:rsidR="00CC051D" w:rsidRPr="00305662" w:rsidRDefault="00CC051D" w:rsidP="005515CA">
      <w:pPr>
        <w:rPr>
          <w:rFonts w:eastAsiaTheme="minorEastAsia" w:cs="Arial Narrow"/>
          <w:color w:val="000000"/>
          <w:lang w:eastAsia="es-CR"/>
        </w:rPr>
      </w:pPr>
    </w:p>
    <w:p w14:paraId="16E700F4" w14:textId="77777777" w:rsidR="00692DC8" w:rsidRPr="00692DC8" w:rsidRDefault="00692DC8" w:rsidP="005515CA">
      <w:pPr>
        <w:pStyle w:val="Ttulo4"/>
        <w:spacing w:after="240"/>
        <w:rPr>
          <w:rFonts w:eastAsia="Times New Roman"/>
        </w:rPr>
      </w:pPr>
      <w:bookmarkStart w:id="1030" w:name="_Toc82769069"/>
      <w:bookmarkStart w:id="1031" w:name="_Toc189804927"/>
      <w:r w:rsidRPr="00692DC8">
        <w:rPr>
          <w:rFonts w:eastAsia="Times New Roman"/>
        </w:rPr>
        <w:lastRenderedPageBreak/>
        <w:t>NOTA N° 7</w:t>
      </w:r>
      <w:bookmarkEnd w:id="1028"/>
      <w:bookmarkEnd w:id="1029"/>
      <w:bookmarkEnd w:id="1030"/>
      <w:r w:rsidRPr="00692DC8">
        <w:rPr>
          <w:rFonts w:eastAsia="Times New Roman"/>
        </w:rPr>
        <w:t>5</w:t>
      </w:r>
      <w:bookmarkEnd w:id="1031"/>
    </w:p>
    <w:p w14:paraId="402E98D3" w14:textId="77777777" w:rsidR="00396CB4" w:rsidRDefault="00692DC8" w:rsidP="00F51D42">
      <w:pPr>
        <w:spacing w:before="240"/>
        <w:rPr>
          <w:rFonts w:asciiTheme="minorHAnsi" w:hAnsiTheme="minorHAnsi"/>
          <w:sz w:val="22"/>
        </w:rPr>
      </w:pPr>
      <w:bookmarkStart w:id="1032" w:name="_Toc14345009"/>
      <w:bookmarkStart w:id="1033" w:name="_Toc33601351"/>
      <w:bookmarkStart w:id="1034" w:name="_Toc82769070"/>
      <w:r w:rsidRPr="00692DC8">
        <w:rPr>
          <w:rFonts w:eastAsia="Times New Roman"/>
        </w:rPr>
        <w:t>Resultados negativos de inversiones patrimoniales y participación de los intereses minoritarios</w:t>
      </w:r>
      <w:bookmarkStart w:id="1035" w:name="_Toc14345012"/>
      <w:bookmarkEnd w:id="1032"/>
      <w:bookmarkEnd w:id="1033"/>
      <w:bookmarkEnd w:id="1034"/>
      <w:r w:rsidR="00E64D2A">
        <w:rPr>
          <w:rFonts w:eastAsiaTheme="majorEastAsia" w:cstheme="majorBidi"/>
          <w:iCs/>
          <w:lang w:val="es-ES"/>
        </w:rPr>
        <w:fldChar w:fldCharType="begin"/>
      </w:r>
      <w:r w:rsidR="00E64D2A">
        <w:rPr>
          <w:lang w:val="es-ES"/>
        </w:rPr>
        <w:instrText xml:space="preserve"> LINK </w:instrText>
      </w:r>
      <w:r w:rsidR="00756467">
        <w:rPr>
          <w:lang w:val="es-ES"/>
        </w:rPr>
        <w:instrText xml:space="preserve">Excel.SheetMacroEnabled.12 "C:\\Users\\gcordero\\Downloads\\Notas diciembre 2024\\Formato_Notas_EEFF_Vinculadas_2024\\Formato_Notas_EEFF_Vinculadas_2024\\15603_T04_2024_Anexo_Estado_Notas_Contables_Vinculadas.xlsm" NOTAS_POR_CUENTA!F419C1:F421C6 </w:instrText>
      </w:r>
      <w:r w:rsidR="00E64D2A">
        <w:rPr>
          <w:lang w:val="es-ES"/>
        </w:rPr>
        <w:instrText xml:space="preserve">\a \f 4 \h </w:instrText>
      </w:r>
      <w:r w:rsidR="00E64D2A">
        <w:rPr>
          <w:b/>
          <w:lang w:val="es-ES"/>
        </w:rPr>
        <w:fldChar w:fldCharType="separate"/>
      </w:r>
    </w:p>
    <w:tbl>
      <w:tblPr>
        <w:tblW w:w="9600" w:type="dxa"/>
        <w:tblCellMar>
          <w:left w:w="70" w:type="dxa"/>
          <w:right w:w="70" w:type="dxa"/>
        </w:tblCellMar>
        <w:tblLook w:val="04A0" w:firstRow="1" w:lastRow="0" w:firstColumn="1" w:lastColumn="0" w:noHBand="0" w:noVBand="1"/>
      </w:tblPr>
      <w:tblGrid>
        <w:gridCol w:w="1538"/>
        <w:gridCol w:w="2342"/>
        <w:gridCol w:w="500"/>
        <w:gridCol w:w="2100"/>
        <w:gridCol w:w="2100"/>
        <w:gridCol w:w="1020"/>
      </w:tblGrid>
      <w:tr w:rsidR="00396CB4" w:rsidRPr="00396CB4" w14:paraId="0DEF8A56" w14:textId="77777777" w:rsidTr="00396CB4">
        <w:trPr>
          <w:divId w:val="1395423573"/>
          <w:trHeight w:val="330"/>
        </w:trPr>
        <w:tc>
          <w:tcPr>
            <w:tcW w:w="1538"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5A6B381" w14:textId="759715DC" w:rsidR="00396CB4" w:rsidRPr="00396CB4" w:rsidRDefault="00396CB4" w:rsidP="00396CB4">
            <w:pP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2342"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7414DFB"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F59622A"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3179FC8"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C5969D1"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5D3D2634"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131262BB" w14:textId="77777777" w:rsidTr="00396CB4">
        <w:trPr>
          <w:divId w:val="1395423573"/>
          <w:trHeight w:val="330"/>
        </w:trPr>
        <w:tc>
          <w:tcPr>
            <w:tcW w:w="1538" w:type="dxa"/>
            <w:vMerge/>
            <w:tcBorders>
              <w:top w:val="single" w:sz="8" w:space="0" w:color="auto"/>
              <w:left w:val="single" w:sz="8" w:space="0" w:color="auto"/>
              <w:bottom w:val="single" w:sz="8" w:space="0" w:color="000000"/>
              <w:right w:val="single" w:sz="8" w:space="0" w:color="auto"/>
            </w:tcBorders>
            <w:vAlign w:val="center"/>
            <w:hideMark/>
          </w:tcPr>
          <w:p w14:paraId="399AB8DE"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342" w:type="dxa"/>
            <w:vMerge/>
            <w:tcBorders>
              <w:top w:val="single" w:sz="8" w:space="0" w:color="auto"/>
              <w:left w:val="single" w:sz="8" w:space="0" w:color="auto"/>
              <w:bottom w:val="single" w:sz="8" w:space="0" w:color="000000"/>
              <w:right w:val="single" w:sz="8" w:space="0" w:color="auto"/>
            </w:tcBorders>
            <w:vAlign w:val="center"/>
            <w:hideMark/>
          </w:tcPr>
          <w:p w14:paraId="7FB2FC41"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10844121"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3CC337AD"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283BB387"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1563070E"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1B9671C3" w14:textId="77777777" w:rsidTr="00396CB4">
        <w:trPr>
          <w:divId w:val="1395423573"/>
          <w:trHeight w:val="825"/>
        </w:trPr>
        <w:tc>
          <w:tcPr>
            <w:tcW w:w="1538" w:type="dxa"/>
            <w:tcBorders>
              <w:top w:val="nil"/>
              <w:left w:val="single" w:sz="8" w:space="0" w:color="auto"/>
              <w:bottom w:val="single" w:sz="8" w:space="0" w:color="auto"/>
              <w:right w:val="single" w:sz="8" w:space="0" w:color="auto"/>
            </w:tcBorders>
            <w:shd w:val="clear" w:color="auto" w:fill="auto"/>
            <w:noWrap/>
            <w:vAlign w:val="center"/>
            <w:hideMark/>
          </w:tcPr>
          <w:p w14:paraId="43624DB7"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5.9.2.</w:t>
            </w:r>
          </w:p>
        </w:tc>
        <w:tc>
          <w:tcPr>
            <w:tcW w:w="2342" w:type="dxa"/>
            <w:tcBorders>
              <w:top w:val="nil"/>
              <w:left w:val="nil"/>
              <w:bottom w:val="single" w:sz="8" w:space="0" w:color="auto"/>
              <w:right w:val="single" w:sz="8" w:space="0" w:color="auto"/>
            </w:tcBorders>
            <w:shd w:val="clear" w:color="auto" w:fill="auto"/>
            <w:vAlign w:val="center"/>
            <w:hideMark/>
          </w:tcPr>
          <w:p w14:paraId="2D4C3EA6" w14:textId="77777777" w:rsidR="00396CB4" w:rsidRPr="00396CB4" w:rsidRDefault="00396CB4" w:rsidP="00396CB4">
            <w:pPr>
              <w:spacing w:after="0" w:line="240" w:lineRule="auto"/>
              <w:rPr>
                <w:rFonts w:eastAsia="Times New Roman" w:cs="Calibri"/>
                <w:b/>
                <w:bCs/>
                <w:color w:val="000000"/>
                <w:sz w:val="18"/>
                <w:szCs w:val="18"/>
                <w:lang w:eastAsia="es-CR"/>
              </w:rPr>
            </w:pPr>
            <w:r w:rsidRPr="00396CB4">
              <w:rPr>
                <w:rFonts w:eastAsia="Times New Roman" w:cs="Calibri"/>
                <w:b/>
                <w:bCs/>
                <w:color w:val="000000"/>
                <w:sz w:val="18"/>
                <w:szCs w:val="18"/>
                <w:lang w:eastAsia="es-CR"/>
              </w:rPr>
              <w:t>Resultados negativos de inversiones patrimoniales y participación de los intereses minoritarios</w:t>
            </w:r>
          </w:p>
        </w:tc>
        <w:tc>
          <w:tcPr>
            <w:tcW w:w="500" w:type="dxa"/>
            <w:tcBorders>
              <w:top w:val="nil"/>
              <w:left w:val="nil"/>
              <w:bottom w:val="single" w:sz="8" w:space="0" w:color="auto"/>
              <w:right w:val="single" w:sz="8" w:space="0" w:color="auto"/>
            </w:tcBorders>
            <w:shd w:val="clear" w:color="auto" w:fill="auto"/>
            <w:noWrap/>
            <w:vAlign w:val="center"/>
            <w:hideMark/>
          </w:tcPr>
          <w:p w14:paraId="610C1FA0"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75</w:t>
            </w:r>
          </w:p>
        </w:tc>
        <w:tc>
          <w:tcPr>
            <w:tcW w:w="2100" w:type="dxa"/>
            <w:tcBorders>
              <w:top w:val="nil"/>
              <w:left w:val="nil"/>
              <w:bottom w:val="single" w:sz="8" w:space="0" w:color="auto"/>
              <w:right w:val="single" w:sz="8" w:space="0" w:color="auto"/>
            </w:tcBorders>
            <w:shd w:val="clear" w:color="auto" w:fill="auto"/>
            <w:noWrap/>
            <w:vAlign w:val="center"/>
            <w:hideMark/>
          </w:tcPr>
          <w:p w14:paraId="2926153E"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2100" w:type="dxa"/>
            <w:tcBorders>
              <w:top w:val="nil"/>
              <w:left w:val="nil"/>
              <w:bottom w:val="single" w:sz="8" w:space="0" w:color="auto"/>
              <w:right w:val="single" w:sz="8" w:space="0" w:color="auto"/>
            </w:tcBorders>
            <w:shd w:val="clear" w:color="auto" w:fill="auto"/>
            <w:noWrap/>
            <w:vAlign w:val="center"/>
            <w:hideMark/>
          </w:tcPr>
          <w:p w14:paraId="3509B661"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1020" w:type="dxa"/>
            <w:tcBorders>
              <w:top w:val="nil"/>
              <w:left w:val="nil"/>
              <w:bottom w:val="single" w:sz="8" w:space="0" w:color="auto"/>
              <w:right w:val="single" w:sz="8" w:space="0" w:color="auto"/>
            </w:tcBorders>
            <w:shd w:val="clear" w:color="auto" w:fill="auto"/>
            <w:noWrap/>
            <w:vAlign w:val="center"/>
            <w:hideMark/>
          </w:tcPr>
          <w:p w14:paraId="50A66C52"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0,00%</w:t>
            </w:r>
          </w:p>
        </w:tc>
      </w:tr>
    </w:tbl>
    <w:p w14:paraId="0A60F9B8" w14:textId="77777777" w:rsidR="00396CB4" w:rsidRPr="00396CB4" w:rsidRDefault="00E64D2A" w:rsidP="00396CB4">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756467">
        <w:rPr>
          <w:rFonts w:eastAsia="Times New Roman" w:cs="Calibri"/>
          <w:color w:val="000000"/>
          <w:lang w:eastAsia="es-CR"/>
        </w:rPr>
        <w:instrText xml:space="preserve">Excel.SheetMacroEnabled.12 "C:\\Users\\gcordero\\Downloads\\Notas diciembre 2024\\Formato_Notas_EEFF_Vinculadas_2024\\Formato_Notas_EEFF_Vinculadas_2024\\15603_T04_2024_Anexo_Estado_Notas_Contables_Vinculadas.xlsm" NOTAS_POR_CUENTA!F421C8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47D22E08" w14:textId="77777777" w:rsidR="00396CB4" w:rsidRPr="00396CB4" w:rsidRDefault="00396CB4" w:rsidP="00396CB4">
      <w:pPr>
        <w:rPr>
          <w:rFonts w:eastAsia="Times New Roman" w:cs="Calibri"/>
          <w:color w:val="000000"/>
          <w:lang w:eastAsia="es-CR"/>
        </w:rPr>
      </w:pPr>
      <w:r w:rsidRPr="00396CB4">
        <w:rPr>
          <w:rFonts w:eastAsia="Times New Roman" w:cs="Calibri"/>
          <w:color w:val="000000"/>
          <w:lang w:eastAsia="es-CR"/>
        </w:rPr>
        <w:t>La cuenta Resultados negativos de inversiones patrimoniales y participación de los intereses minoritarios, representa el 0,00% del total del Gastos, que comparado al periodo anterior genera una variación absoluta de 0 000,00 que corresponde a un Aumento del 0,00% de recursos disponibles.</w:t>
      </w:r>
    </w:p>
    <w:p w14:paraId="5372D48A" w14:textId="2A168575" w:rsidR="00692DC8" w:rsidRPr="00692DC8" w:rsidRDefault="00E64D2A" w:rsidP="00E64D2A">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1F91FCCA" w14:textId="77777777" w:rsidR="00692DC8" w:rsidRPr="00692DC8" w:rsidRDefault="00692DC8" w:rsidP="005515CA">
      <w:bookmarkStart w:id="1036" w:name="_Toc33601352"/>
    </w:p>
    <w:p w14:paraId="3E9B88AE" w14:textId="77777777" w:rsidR="00692DC8" w:rsidRPr="00692DC8" w:rsidRDefault="00692DC8" w:rsidP="005515CA">
      <w:pPr>
        <w:pStyle w:val="Ttulo4"/>
        <w:spacing w:after="240"/>
        <w:rPr>
          <w:rFonts w:eastAsia="Times New Roman"/>
        </w:rPr>
      </w:pPr>
      <w:bookmarkStart w:id="1037" w:name="_Toc82769071"/>
      <w:bookmarkStart w:id="1038" w:name="_Toc189804928"/>
      <w:r w:rsidRPr="00692DC8">
        <w:rPr>
          <w:rFonts w:eastAsia="Times New Roman"/>
        </w:rPr>
        <w:t>NOTA N° 7</w:t>
      </w:r>
      <w:bookmarkEnd w:id="1035"/>
      <w:bookmarkEnd w:id="1036"/>
      <w:bookmarkEnd w:id="1037"/>
      <w:r w:rsidRPr="00692DC8">
        <w:rPr>
          <w:rFonts w:eastAsia="Times New Roman"/>
        </w:rPr>
        <w:t>6</w:t>
      </w:r>
      <w:bookmarkEnd w:id="1038"/>
    </w:p>
    <w:p w14:paraId="6198D883" w14:textId="77777777" w:rsidR="00396CB4" w:rsidRDefault="00692DC8" w:rsidP="00F51D42">
      <w:pPr>
        <w:spacing w:before="240"/>
        <w:rPr>
          <w:rFonts w:asciiTheme="minorHAnsi" w:hAnsiTheme="minorHAnsi"/>
          <w:sz w:val="22"/>
        </w:rPr>
      </w:pPr>
      <w:bookmarkStart w:id="1039" w:name="_Toc14345013"/>
      <w:bookmarkStart w:id="1040" w:name="_Toc33601353"/>
      <w:bookmarkStart w:id="1041" w:name="_Toc82769072"/>
      <w:r w:rsidRPr="00692DC8">
        <w:rPr>
          <w:rFonts w:eastAsia="Times New Roman"/>
        </w:rPr>
        <w:t>Otros gastos y resultados negativos</w:t>
      </w:r>
      <w:bookmarkEnd w:id="1039"/>
      <w:bookmarkEnd w:id="1040"/>
      <w:bookmarkEnd w:id="1041"/>
      <w:r w:rsidR="00E64D2A">
        <w:rPr>
          <w:rFonts w:eastAsiaTheme="majorEastAsia" w:cstheme="majorBidi"/>
          <w:iCs/>
          <w:lang w:val="es-ES"/>
        </w:rPr>
        <w:fldChar w:fldCharType="begin"/>
      </w:r>
      <w:r w:rsidR="00E64D2A">
        <w:rPr>
          <w:lang w:val="es-ES"/>
        </w:rPr>
        <w:instrText xml:space="preserve"> LINK </w:instrText>
      </w:r>
      <w:r w:rsidR="00756467">
        <w:rPr>
          <w:lang w:val="es-ES"/>
        </w:rPr>
        <w:instrText xml:space="preserve">Excel.SheetMacroEnabled.12 "C:\\Users\\gcordero\\Downloads\\Notas diciembre 2024\\Formato_Notas_EEFF_Vinculadas_2024\\Formato_Notas_EEFF_Vinculadas_2024\\15603_T04_2024_Anexo_Estado_Notas_Contables_Vinculadas.xlsm" NOTAS_POR_CUENTA!F423C1:F425C6 </w:instrText>
      </w:r>
      <w:r w:rsidR="00E64D2A">
        <w:rPr>
          <w:lang w:val="es-ES"/>
        </w:rPr>
        <w:instrText xml:space="preserve">\a \f 4 \h </w:instrText>
      </w:r>
      <w:r w:rsidR="00E64D2A">
        <w:rPr>
          <w:b/>
          <w:lang w:val="es-ES"/>
        </w:rPr>
        <w:fldChar w:fldCharType="separate"/>
      </w:r>
    </w:p>
    <w:tbl>
      <w:tblPr>
        <w:tblW w:w="9600" w:type="dxa"/>
        <w:tblCellMar>
          <w:left w:w="70" w:type="dxa"/>
          <w:right w:w="70" w:type="dxa"/>
        </w:tblCellMar>
        <w:tblLook w:val="04A0" w:firstRow="1" w:lastRow="0" w:firstColumn="1" w:lastColumn="0" w:noHBand="0" w:noVBand="1"/>
      </w:tblPr>
      <w:tblGrid>
        <w:gridCol w:w="1363"/>
        <w:gridCol w:w="2517"/>
        <w:gridCol w:w="500"/>
        <w:gridCol w:w="2100"/>
        <w:gridCol w:w="2100"/>
        <w:gridCol w:w="1020"/>
      </w:tblGrid>
      <w:tr w:rsidR="00396CB4" w:rsidRPr="00396CB4" w14:paraId="67EDAE5D" w14:textId="77777777" w:rsidTr="00396CB4">
        <w:trPr>
          <w:divId w:val="1418212491"/>
          <w:trHeight w:val="330"/>
        </w:trPr>
        <w:tc>
          <w:tcPr>
            <w:tcW w:w="1363"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DA5AD39" w14:textId="517DC91A" w:rsidR="00396CB4" w:rsidRPr="00396CB4" w:rsidRDefault="00396CB4" w:rsidP="00396CB4">
            <w:pP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Cuenta </w:t>
            </w:r>
          </w:p>
        </w:tc>
        <w:tc>
          <w:tcPr>
            <w:tcW w:w="2517"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7F339CD"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8FD3BFF"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5F38D43"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B7F2531"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57C2D18B"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1DEB07EE" w14:textId="77777777" w:rsidTr="00396CB4">
        <w:trPr>
          <w:divId w:val="1418212491"/>
          <w:trHeight w:val="330"/>
        </w:trPr>
        <w:tc>
          <w:tcPr>
            <w:tcW w:w="1363" w:type="dxa"/>
            <w:vMerge/>
            <w:tcBorders>
              <w:top w:val="single" w:sz="8" w:space="0" w:color="auto"/>
              <w:left w:val="single" w:sz="8" w:space="0" w:color="auto"/>
              <w:bottom w:val="single" w:sz="8" w:space="0" w:color="000000"/>
              <w:right w:val="single" w:sz="8" w:space="0" w:color="auto"/>
            </w:tcBorders>
            <w:vAlign w:val="center"/>
            <w:hideMark/>
          </w:tcPr>
          <w:p w14:paraId="24472311"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517" w:type="dxa"/>
            <w:vMerge/>
            <w:tcBorders>
              <w:top w:val="single" w:sz="8" w:space="0" w:color="auto"/>
              <w:left w:val="single" w:sz="8" w:space="0" w:color="auto"/>
              <w:bottom w:val="single" w:sz="8" w:space="0" w:color="000000"/>
              <w:right w:val="single" w:sz="8" w:space="0" w:color="auto"/>
            </w:tcBorders>
            <w:vAlign w:val="center"/>
            <w:hideMark/>
          </w:tcPr>
          <w:p w14:paraId="581911A0"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54C607C8"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4C2569A2"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52524DDB"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3A81BAE0"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2A9C83EC" w14:textId="77777777" w:rsidTr="00396CB4">
        <w:trPr>
          <w:divId w:val="1418212491"/>
          <w:trHeight w:val="330"/>
        </w:trPr>
        <w:tc>
          <w:tcPr>
            <w:tcW w:w="1363" w:type="dxa"/>
            <w:tcBorders>
              <w:top w:val="nil"/>
              <w:left w:val="single" w:sz="8" w:space="0" w:color="auto"/>
              <w:bottom w:val="single" w:sz="8" w:space="0" w:color="auto"/>
              <w:right w:val="single" w:sz="8" w:space="0" w:color="auto"/>
            </w:tcBorders>
            <w:shd w:val="clear" w:color="auto" w:fill="auto"/>
            <w:noWrap/>
            <w:vAlign w:val="center"/>
            <w:hideMark/>
          </w:tcPr>
          <w:p w14:paraId="5C9C0628" w14:textId="77777777" w:rsidR="00396CB4" w:rsidRPr="00396CB4" w:rsidRDefault="00396CB4" w:rsidP="00396CB4">
            <w:pPr>
              <w:spacing w:after="0" w:line="240" w:lineRule="auto"/>
              <w:jc w:val="left"/>
              <w:rPr>
                <w:rFonts w:eastAsia="Times New Roman" w:cs="Calibri"/>
                <w:b/>
                <w:bCs/>
                <w:color w:val="000000"/>
                <w:sz w:val="18"/>
                <w:szCs w:val="18"/>
                <w:lang w:eastAsia="es-CR"/>
              </w:rPr>
            </w:pPr>
            <w:r w:rsidRPr="00396CB4">
              <w:rPr>
                <w:rFonts w:eastAsia="Times New Roman" w:cs="Calibri"/>
                <w:b/>
                <w:bCs/>
                <w:color w:val="000000"/>
                <w:sz w:val="18"/>
                <w:szCs w:val="18"/>
                <w:lang w:eastAsia="es-CR"/>
              </w:rPr>
              <w:t>5.9.9.</w:t>
            </w:r>
          </w:p>
        </w:tc>
        <w:tc>
          <w:tcPr>
            <w:tcW w:w="2517" w:type="dxa"/>
            <w:tcBorders>
              <w:top w:val="nil"/>
              <w:left w:val="nil"/>
              <w:bottom w:val="single" w:sz="8" w:space="0" w:color="auto"/>
              <w:right w:val="single" w:sz="8" w:space="0" w:color="auto"/>
            </w:tcBorders>
            <w:shd w:val="clear" w:color="auto" w:fill="auto"/>
            <w:vAlign w:val="center"/>
            <w:hideMark/>
          </w:tcPr>
          <w:p w14:paraId="68A51E6C" w14:textId="77777777" w:rsidR="00396CB4" w:rsidRPr="00396CB4" w:rsidRDefault="00396CB4" w:rsidP="00396CB4">
            <w:pPr>
              <w:spacing w:after="0" w:line="240" w:lineRule="auto"/>
              <w:rPr>
                <w:rFonts w:eastAsia="Times New Roman" w:cs="Calibri"/>
                <w:b/>
                <w:bCs/>
                <w:color w:val="000000"/>
                <w:sz w:val="18"/>
                <w:szCs w:val="18"/>
                <w:lang w:eastAsia="es-CR"/>
              </w:rPr>
            </w:pPr>
            <w:r w:rsidRPr="00396CB4">
              <w:rPr>
                <w:rFonts w:eastAsia="Times New Roman" w:cs="Calibri"/>
                <w:b/>
                <w:bCs/>
                <w:color w:val="000000"/>
                <w:sz w:val="18"/>
                <w:szCs w:val="18"/>
                <w:lang w:eastAsia="es-CR"/>
              </w:rPr>
              <w:t>Otros gastos y resultados negativos</w:t>
            </w:r>
          </w:p>
        </w:tc>
        <w:tc>
          <w:tcPr>
            <w:tcW w:w="500" w:type="dxa"/>
            <w:tcBorders>
              <w:top w:val="nil"/>
              <w:left w:val="nil"/>
              <w:bottom w:val="single" w:sz="8" w:space="0" w:color="auto"/>
              <w:right w:val="single" w:sz="8" w:space="0" w:color="auto"/>
            </w:tcBorders>
            <w:shd w:val="clear" w:color="auto" w:fill="auto"/>
            <w:noWrap/>
            <w:vAlign w:val="center"/>
            <w:hideMark/>
          </w:tcPr>
          <w:p w14:paraId="218CF2AC"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76</w:t>
            </w:r>
          </w:p>
        </w:tc>
        <w:tc>
          <w:tcPr>
            <w:tcW w:w="2100" w:type="dxa"/>
            <w:tcBorders>
              <w:top w:val="nil"/>
              <w:left w:val="nil"/>
              <w:bottom w:val="single" w:sz="8" w:space="0" w:color="auto"/>
              <w:right w:val="single" w:sz="8" w:space="0" w:color="auto"/>
            </w:tcBorders>
            <w:shd w:val="clear" w:color="auto" w:fill="auto"/>
            <w:noWrap/>
            <w:vAlign w:val="center"/>
            <w:hideMark/>
          </w:tcPr>
          <w:p w14:paraId="3746775E"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1 156,92 </w:t>
            </w:r>
          </w:p>
        </w:tc>
        <w:tc>
          <w:tcPr>
            <w:tcW w:w="2100" w:type="dxa"/>
            <w:tcBorders>
              <w:top w:val="nil"/>
              <w:left w:val="nil"/>
              <w:bottom w:val="single" w:sz="8" w:space="0" w:color="auto"/>
              <w:right w:val="single" w:sz="8" w:space="0" w:color="auto"/>
            </w:tcBorders>
            <w:shd w:val="clear" w:color="auto" w:fill="auto"/>
            <w:noWrap/>
            <w:vAlign w:val="center"/>
            <w:hideMark/>
          </w:tcPr>
          <w:p w14:paraId="255E248C"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1 156,33 </w:t>
            </w:r>
          </w:p>
        </w:tc>
        <w:tc>
          <w:tcPr>
            <w:tcW w:w="1020" w:type="dxa"/>
            <w:tcBorders>
              <w:top w:val="nil"/>
              <w:left w:val="nil"/>
              <w:bottom w:val="single" w:sz="8" w:space="0" w:color="auto"/>
              <w:right w:val="single" w:sz="8" w:space="0" w:color="auto"/>
            </w:tcBorders>
            <w:shd w:val="clear" w:color="auto" w:fill="auto"/>
            <w:noWrap/>
            <w:vAlign w:val="center"/>
            <w:hideMark/>
          </w:tcPr>
          <w:p w14:paraId="27ACC8B5"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0,05%</w:t>
            </w:r>
          </w:p>
        </w:tc>
      </w:tr>
    </w:tbl>
    <w:p w14:paraId="4CD257AF" w14:textId="77777777" w:rsidR="00396CB4" w:rsidRPr="00396CB4" w:rsidRDefault="00E64D2A" w:rsidP="00396CB4">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sidR="00340465">
        <w:rPr>
          <w:rFonts w:eastAsia="Times New Roman" w:cs="Calibri"/>
          <w:color w:val="000000"/>
          <w:lang w:eastAsia="es-CR"/>
        </w:rPr>
        <w:fldChar w:fldCharType="begin"/>
      </w:r>
      <w:r w:rsidR="00340465">
        <w:rPr>
          <w:rFonts w:eastAsia="Times New Roman" w:cs="Calibri"/>
          <w:color w:val="000000"/>
          <w:lang w:eastAsia="es-CR"/>
        </w:rPr>
        <w:instrText xml:space="preserve"> LINK </w:instrText>
      </w:r>
      <w:r w:rsidR="00756467">
        <w:rPr>
          <w:rFonts w:eastAsia="Times New Roman" w:cs="Calibri"/>
          <w:color w:val="000000"/>
          <w:lang w:eastAsia="es-CR"/>
        </w:rPr>
        <w:instrText xml:space="preserve">Excel.SheetMacroEnabled.12 "C:\\Users\\gcordero\\Downloads\\Notas diciembre 2024\\Formato_Notas_EEFF_Vinculadas_2024\\Formato_Notas_EEFF_Vinculadas_2024\\15603_T04_2024_Anexo_Estado_Notas_Contables_Vinculadas.xlsm" NOTAS_POR_CUENTA!F425C8 </w:instrText>
      </w:r>
      <w:r w:rsidR="00340465">
        <w:rPr>
          <w:rFonts w:eastAsia="Times New Roman" w:cs="Calibri"/>
          <w:color w:val="000000"/>
          <w:lang w:eastAsia="es-CR"/>
        </w:rPr>
        <w:instrText xml:space="preserve">\a \f 5 \h  \* MERGEFORMAT </w:instrText>
      </w:r>
      <w:r w:rsidR="00340465">
        <w:rPr>
          <w:rFonts w:eastAsia="Times New Roman" w:cs="Calibri"/>
          <w:color w:val="000000"/>
          <w:lang w:eastAsia="es-CR"/>
        </w:rPr>
        <w:fldChar w:fldCharType="separate"/>
      </w:r>
    </w:p>
    <w:p w14:paraId="28DD75D3" w14:textId="77777777" w:rsidR="00396CB4" w:rsidRPr="00396CB4" w:rsidRDefault="00396CB4" w:rsidP="00396CB4">
      <w:pPr>
        <w:rPr>
          <w:rFonts w:eastAsia="Times New Roman" w:cs="Calibri"/>
          <w:color w:val="000000"/>
          <w:lang w:eastAsia="es-CR"/>
        </w:rPr>
      </w:pPr>
      <w:r w:rsidRPr="00396CB4">
        <w:rPr>
          <w:rFonts w:eastAsia="Times New Roman" w:cs="Calibri"/>
          <w:color w:val="000000"/>
          <w:lang w:eastAsia="es-CR"/>
        </w:rPr>
        <w:t>La cuenta Otros gastos y resultados negativos, representa el 0,02% del total del Gastos, que comparado al periodo anterior genera una variación absoluta de 0 000,59 que corresponde a un Aumento del 0,05% de recursos disponibles.</w:t>
      </w:r>
    </w:p>
    <w:p w14:paraId="49B45798" w14:textId="13236286" w:rsidR="00692DC8" w:rsidRPr="00692DC8" w:rsidRDefault="00340465" w:rsidP="00340465">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683666B6" w14:textId="77777777" w:rsidR="00692DC8" w:rsidRPr="00692DC8" w:rsidRDefault="00692DC8" w:rsidP="00B90E93"/>
    <w:p w14:paraId="0836EA12" w14:textId="4813A921" w:rsidR="00692DC8" w:rsidRPr="0068534F" w:rsidRDefault="00692DC8" w:rsidP="0068534F">
      <w:pPr>
        <w:pStyle w:val="Ttulo2"/>
        <w:spacing w:after="240"/>
        <w:jc w:val="center"/>
        <w:rPr>
          <w:rFonts w:eastAsia="Times New Roman"/>
          <w:b/>
        </w:rPr>
      </w:pPr>
      <w:bookmarkStart w:id="1042" w:name="_Toc33601354"/>
      <w:bookmarkStart w:id="1043" w:name="_Toc82769073"/>
      <w:bookmarkStart w:id="1044" w:name="_Toc189804929"/>
      <w:r w:rsidRPr="00B90E93">
        <w:rPr>
          <w:rFonts w:eastAsia="Times New Roman"/>
          <w:b/>
        </w:rPr>
        <w:lastRenderedPageBreak/>
        <w:t>NOTAS ESTADO DE FLUJO DE EFECTIVO</w:t>
      </w:r>
      <w:bookmarkEnd w:id="1042"/>
      <w:bookmarkEnd w:id="1043"/>
      <w:bookmarkEnd w:id="1044"/>
    </w:p>
    <w:p w14:paraId="3DBE6039" w14:textId="77777777" w:rsidR="00692DC8" w:rsidRPr="00692DC8" w:rsidRDefault="00692DC8" w:rsidP="0068534F">
      <w:pPr>
        <w:pStyle w:val="Ttulo4"/>
        <w:spacing w:after="240"/>
        <w:rPr>
          <w:rFonts w:eastAsia="Times New Roman"/>
          <w:bCs/>
          <w:color w:val="1F497D"/>
          <w:u w:val="single"/>
        </w:rPr>
      </w:pPr>
      <w:bookmarkStart w:id="1045" w:name="_Toc33601355"/>
      <w:bookmarkStart w:id="1046" w:name="_Toc82769074"/>
      <w:bookmarkStart w:id="1047" w:name="_Toc189804930"/>
      <w:r w:rsidRPr="00692DC8">
        <w:rPr>
          <w:rFonts w:eastAsia="Times New Roman"/>
          <w:lang w:eastAsia="es-CR"/>
        </w:rPr>
        <w:t>FLUJOS DE EFECTIVO DE LAS ACTIVIDADES DE OPERACIÓN</w:t>
      </w:r>
      <w:bookmarkEnd w:id="1045"/>
      <w:bookmarkEnd w:id="1046"/>
      <w:bookmarkEnd w:id="1047"/>
    </w:p>
    <w:p w14:paraId="4B7E4093" w14:textId="77777777" w:rsidR="00692DC8" w:rsidRPr="00692DC8" w:rsidRDefault="00692DC8" w:rsidP="0068534F">
      <w:pPr>
        <w:pStyle w:val="Ttulo4"/>
        <w:spacing w:after="240"/>
        <w:rPr>
          <w:rFonts w:eastAsia="Times New Roman" w:cs="Times New Roman"/>
          <w:bCs/>
        </w:rPr>
      </w:pPr>
      <w:bookmarkStart w:id="1048" w:name="_Toc33601356"/>
      <w:bookmarkStart w:id="1049" w:name="_Toc82769075"/>
      <w:bookmarkStart w:id="1050" w:name="_Toc189804931"/>
      <w:r w:rsidRPr="00692DC8">
        <w:rPr>
          <w:rFonts w:eastAsia="Times New Roman" w:cs="Times New Roman"/>
          <w:bCs/>
        </w:rPr>
        <w:t>NOTA N°7</w:t>
      </w:r>
      <w:bookmarkEnd w:id="1048"/>
      <w:bookmarkEnd w:id="1049"/>
      <w:r w:rsidRPr="00692DC8">
        <w:rPr>
          <w:rFonts w:eastAsia="Times New Roman" w:cs="Times New Roman"/>
          <w:bCs/>
        </w:rPr>
        <w:t>7</w:t>
      </w:r>
      <w:bookmarkEnd w:id="1050"/>
    </w:p>
    <w:p w14:paraId="23428814" w14:textId="77777777" w:rsidR="00396CB4" w:rsidRDefault="00692DC8" w:rsidP="007F611C">
      <w:pPr>
        <w:spacing w:before="240"/>
        <w:rPr>
          <w:rFonts w:asciiTheme="minorHAnsi" w:hAnsiTheme="minorHAnsi"/>
          <w:sz w:val="22"/>
        </w:rPr>
      </w:pPr>
      <w:bookmarkStart w:id="1051" w:name="_Toc33601357"/>
      <w:bookmarkStart w:id="1052" w:name="_Toc82769076"/>
      <w:r w:rsidRPr="00692DC8">
        <w:rPr>
          <w:rFonts w:eastAsia="Times New Roman" w:cs="Times New Roman"/>
          <w:bCs/>
        </w:rPr>
        <w:t>Cobros</w:t>
      </w:r>
      <w:bookmarkEnd w:id="1051"/>
      <w:bookmarkEnd w:id="1052"/>
      <w:r w:rsidR="007F611C">
        <w:rPr>
          <w:rFonts w:eastAsia="Times New Roman" w:cstheme="majorBidi"/>
          <w:b/>
          <w:iCs/>
          <w:lang w:eastAsia="es-CR"/>
        </w:rPr>
        <w:fldChar w:fldCharType="begin"/>
      </w:r>
      <w:r w:rsidR="007F611C">
        <w:rPr>
          <w:rFonts w:eastAsia="Times New Roman"/>
          <w:lang w:eastAsia="es-CR"/>
        </w:rPr>
        <w:instrText xml:space="preserve"> LINK </w:instrText>
      </w:r>
      <w:r w:rsidR="00756467">
        <w:rPr>
          <w:rFonts w:eastAsia="Times New Roman"/>
          <w:lang w:eastAsia="es-CR"/>
        </w:rPr>
        <w:instrText xml:space="preserve">Excel.SheetMacroEnabled.12 "C:\\Users\\gcordero\\Downloads\\Notas diciembre 2024\\Formato_Notas_EEFF_Vinculadas_2024\\Formato_Notas_EEFF_Vinculadas_2024\\15603_T04_2024_Anexo_Estado_Notas_Contables_Vinculadas.xlsm" NOTAS_POR_CUENTA!F432C2:F434C6 </w:instrText>
      </w:r>
      <w:r w:rsidR="007F611C">
        <w:rPr>
          <w:rFonts w:eastAsia="Times New Roman"/>
          <w:lang w:eastAsia="es-CR"/>
        </w:rPr>
        <w:instrText xml:space="preserve">\a \f 4 \h </w:instrText>
      </w:r>
      <w:r w:rsidR="007F611C">
        <w:rPr>
          <w:rFonts w:eastAsia="Times New Roman"/>
          <w:lang w:eastAsia="es-CR"/>
        </w:rPr>
        <w:fldChar w:fldCharType="separate"/>
      </w:r>
    </w:p>
    <w:p w14:paraId="3B489D26" w14:textId="77777777" w:rsidR="005730D4" w:rsidRDefault="007F611C" w:rsidP="007F611C">
      <w:pPr>
        <w:spacing w:before="240"/>
        <w:rPr>
          <w:rFonts w:eastAsia="Times New Roman" w:cs="Calibri"/>
          <w:color w:val="000000"/>
          <w:lang w:eastAsia="es-CR"/>
        </w:rPr>
      </w:pPr>
      <w:r>
        <w:rPr>
          <w:rFonts w:eastAsia="Times New Roman" w:cs="Calibri"/>
          <w:color w:val="000000"/>
          <w:lang w:eastAsia="es-CR"/>
        </w:rPr>
        <w:fldChar w:fldCharType="end"/>
      </w:r>
    </w:p>
    <w:tbl>
      <w:tblPr>
        <w:tblW w:w="8940" w:type="dxa"/>
        <w:tblCellMar>
          <w:left w:w="0" w:type="dxa"/>
          <w:right w:w="0" w:type="dxa"/>
        </w:tblCellMar>
        <w:tblLook w:val="04A0" w:firstRow="1" w:lastRow="0" w:firstColumn="1" w:lastColumn="0" w:noHBand="0" w:noVBand="1"/>
      </w:tblPr>
      <w:tblGrid>
        <w:gridCol w:w="3220"/>
        <w:gridCol w:w="500"/>
        <w:gridCol w:w="2100"/>
        <w:gridCol w:w="2100"/>
        <w:gridCol w:w="1020"/>
      </w:tblGrid>
      <w:tr w:rsidR="005730D4" w14:paraId="69BA4498" w14:textId="77777777" w:rsidTr="005730D4">
        <w:trPr>
          <w:trHeight w:val="330"/>
        </w:trPr>
        <w:tc>
          <w:tcPr>
            <w:tcW w:w="32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BC198B0" w14:textId="77777777" w:rsidR="005730D4" w:rsidRDefault="005730D4">
            <w:pPr>
              <w:spacing w:line="240" w:lineRule="auto"/>
              <w:rPr>
                <w:rFonts w:cs="Calibri"/>
                <w:b/>
                <w:bCs/>
                <w:color w:val="FFFFFF"/>
                <w:sz w:val="18"/>
                <w:szCs w:val="18"/>
              </w:rPr>
            </w:pPr>
            <w:r>
              <w:rPr>
                <w:rFonts w:cs="Calibri"/>
                <w:b/>
                <w:bCs/>
                <w:color w:val="FFFFFF"/>
                <w:sz w:val="18"/>
                <w:szCs w:val="18"/>
              </w:rPr>
              <w:t xml:space="preserve">Descripción </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D0B88A0" w14:textId="77777777" w:rsidR="005730D4" w:rsidRDefault="005730D4">
            <w:pPr>
              <w:jc w:val="center"/>
              <w:rPr>
                <w:rFonts w:cs="Calibri"/>
                <w:b/>
                <w:bCs/>
                <w:color w:val="FFFFFF"/>
                <w:sz w:val="18"/>
                <w:szCs w:val="18"/>
              </w:rPr>
            </w:pPr>
            <w:r>
              <w:rPr>
                <w:rFonts w:cs="Calibri"/>
                <w:b/>
                <w:bCs/>
                <w:color w:val="FFFFFF"/>
                <w:sz w:val="18"/>
                <w:szCs w:val="18"/>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E856985" w14:textId="77777777" w:rsidR="005730D4" w:rsidRDefault="005730D4">
            <w:pPr>
              <w:jc w:val="center"/>
              <w:rPr>
                <w:rFonts w:cs="Calibri"/>
                <w:b/>
                <w:bCs/>
                <w:color w:val="FFFFFF"/>
                <w:sz w:val="18"/>
                <w:szCs w:val="18"/>
              </w:rPr>
            </w:pPr>
            <w:r>
              <w:rPr>
                <w:rFonts w:cs="Calibri"/>
                <w:b/>
                <w:bCs/>
                <w:color w:val="FFFFFF"/>
                <w:sz w:val="18"/>
                <w:szCs w:val="18"/>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F2DF5D9" w14:textId="77777777" w:rsidR="005730D4" w:rsidRDefault="005730D4">
            <w:pPr>
              <w:jc w:val="center"/>
              <w:rPr>
                <w:rFonts w:cs="Calibri"/>
                <w:b/>
                <w:bCs/>
                <w:color w:val="FFFFFF"/>
                <w:sz w:val="18"/>
                <w:szCs w:val="18"/>
              </w:rPr>
            </w:pPr>
            <w:r>
              <w:rPr>
                <w:rFonts w:cs="Calibri"/>
                <w:b/>
                <w:bCs/>
                <w:color w:val="FFFFFF"/>
                <w:sz w:val="18"/>
                <w:szCs w:val="18"/>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413D5A34" w14:textId="77777777" w:rsidR="005730D4" w:rsidRDefault="005730D4">
            <w:pPr>
              <w:jc w:val="center"/>
              <w:rPr>
                <w:rFonts w:cs="Calibri"/>
                <w:b/>
                <w:bCs/>
                <w:color w:val="FFFFFF"/>
                <w:sz w:val="18"/>
                <w:szCs w:val="18"/>
              </w:rPr>
            </w:pPr>
            <w:r>
              <w:rPr>
                <w:rFonts w:cs="Calibri"/>
                <w:b/>
                <w:bCs/>
                <w:color w:val="FFFFFF"/>
                <w:sz w:val="18"/>
                <w:szCs w:val="18"/>
              </w:rPr>
              <w:t xml:space="preserve">Diferencia </w:t>
            </w:r>
          </w:p>
        </w:tc>
      </w:tr>
      <w:tr w:rsidR="005730D4" w14:paraId="1F06CB22" w14:textId="77777777" w:rsidTr="005730D4">
        <w:trPr>
          <w:trHeight w:val="33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9E674E7" w14:textId="77777777" w:rsidR="005730D4" w:rsidRDefault="005730D4">
            <w:pPr>
              <w:rPr>
                <w:rFonts w:cs="Calibri"/>
                <w:b/>
                <w:bCs/>
                <w:color w:val="FFFFFF"/>
                <w:sz w:val="18"/>
                <w:szCs w:val="18"/>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91F9B29" w14:textId="77777777" w:rsidR="005730D4" w:rsidRDefault="005730D4">
            <w:pPr>
              <w:rPr>
                <w:rFonts w:cs="Calibri"/>
                <w:b/>
                <w:bCs/>
                <w:color w:val="FFFFFF"/>
                <w:sz w:val="18"/>
                <w:szCs w:val="18"/>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C90342F" w14:textId="77777777" w:rsidR="005730D4" w:rsidRDefault="005730D4">
            <w:pPr>
              <w:rPr>
                <w:rFonts w:cs="Calibri"/>
                <w:b/>
                <w:bCs/>
                <w:color w:val="FFFFFF"/>
                <w:sz w:val="18"/>
                <w:szCs w:val="18"/>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32EC311" w14:textId="77777777" w:rsidR="005730D4" w:rsidRDefault="005730D4">
            <w:pPr>
              <w:rPr>
                <w:rFonts w:cs="Calibri"/>
                <w:b/>
                <w:bCs/>
                <w:color w:val="FFFFFF"/>
                <w:sz w:val="18"/>
                <w:szCs w:val="18"/>
              </w:rPr>
            </w:pPr>
          </w:p>
        </w:tc>
        <w:tc>
          <w:tcPr>
            <w:tcW w:w="0" w:type="auto"/>
            <w:tcBorders>
              <w:top w:val="nil"/>
              <w:left w:val="nil"/>
              <w:bottom w:val="single" w:sz="8" w:space="0" w:color="auto"/>
              <w:right w:val="single" w:sz="8" w:space="0" w:color="auto"/>
            </w:tcBorders>
            <w:shd w:val="clear" w:color="000000" w:fill="366092"/>
            <w:noWrap/>
            <w:vAlign w:val="center"/>
            <w:hideMark/>
          </w:tcPr>
          <w:p w14:paraId="13FE54C5" w14:textId="77777777" w:rsidR="005730D4" w:rsidRDefault="005730D4">
            <w:pPr>
              <w:jc w:val="center"/>
              <w:rPr>
                <w:rFonts w:cs="Calibri"/>
                <w:color w:val="FFFFFF"/>
                <w:sz w:val="18"/>
                <w:szCs w:val="18"/>
              </w:rPr>
            </w:pPr>
            <w:r>
              <w:rPr>
                <w:rFonts w:cs="Calibri"/>
                <w:color w:val="FFFFFF"/>
                <w:sz w:val="18"/>
                <w:szCs w:val="18"/>
              </w:rPr>
              <w:t>%</w:t>
            </w:r>
          </w:p>
        </w:tc>
      </w:tr>
      <w:tr w:rsidR="005730D4" w14:paraId="0B0B6B3B" w14:textId="77777777" w:rsidTr="005730D4">
        <w:trPr>
          <w:trHeight w:val="330"/>
        </w:trPr>
        <w:tc>
          <w:tcPr>
            <w:tcW w:w="3220" w:type="dxa"/>
            <w:tcBorders>
              <w:top w:val="nil"/>
              <w:left w:val="single" w:sz="8" w:space="0" w:color="auto"/>
              <w:bottom w:val="single" w:sz="8" w:space="0" w:color="auto"/>
              <w:right w:val="single" w:sz="8" w:space="0" w:color="auto"/>
            </w:tcBorders>
            <w:shd w:val="clear" w:color="auto" w:fill="auto"/>
            <w:vAlign w:val="center"/>
            <w:hideMark/>
          </w:tcPr>
          <w:p w14:paraId="62AB885A" w14:textId="77777777" w:rsidR="005730D4" w:rsidRDefault="005730D4">
            <w:pPr>
              <w:rPr>
                <w:rFonts w:cs="Calibri"/>
                <w:b/>
                <w:bCs/>
                <w:color w:val="000000"/>
                <w:sz w:val="18"/>
                <w:szCs w:val="18"/>
              </w:rPr>
            </w:pPr>
            <w:r>
              <w:rPr>
                <w:rFonts w:cs="Calibri"/>
                <w:b/>
                <w:bCs/>
                <w:color w:val="000000"/>
                <w:sz w:val="18"/>
                <w:szCs w:val="18"/>
              </w:rPr>
              <w:t>Cobros</w:t>
            </w:r>
          </w:p>
        </w:tc>
        <w:tc>
          <w:tcPr>
            <w:tcW w:w="0" w:type="auto"/>
            <w:tcBorders>
              <w:top w:val="nil"/>
              <w:left w:val="nil"/>
              <w:bottom w:val="single" w:sz="8" w:space="0" w:color="auto"/>
              <w:right w:val="single" w:sz="8" w:space="0" w:color="auto"/>
            </w:tcBorders>
            <w:shd w:val="clear" w:color="auto" w:fill="auto"/>
            <w:noWrap/>
            <w:vAlign w:val="center"/>
            <w:hideMark/>
          </w:tcPr>
          <w:p w14:paraId="699ADCF4" w14:textId="77777777" w:rsidR="005730D4" w:rsidRDefault="005730D4">
            <w:pPr>
              <w:jc w:val="center"/>
              <w:rPr>
                <w:rFonts w:cs="Calibri"/>
                <w:b/>
                <w:bCs/>
                <w:color w:val="000000"/>
                <w:sz w:val="18"/>
                <w:szCs w:val="18"/>
              </w:rPr>
            </w:pPr>
            <w:r>
              <w:rPr>
                <w:rFonts w:cs="Calibri"/>
                <w:b/>
                <w:bCs/>
                <w:color w:val="000000"/>
                <w:sz w:val="18"/>
                <w:szCs w:val="18"/>
              </w:rPr>
              <w:t>77</w:t>
            </w:r>
          </w:p>
        </w:tc>
        <w:tc>
          <w:tcPr>
            <w:tcW w:w="0" w:type="auto"/>
            <w:tcBorders>
              <w:top w:val="nil"/>
              <w:left w:val="nil"/>
              <w:bottom w:val="single" w:sz="8" w:space="0" w:color="auto"/>
              <w:right w:val="single" w:sz="8" w:space="0" w:color="auto"/>
            </w:tcBorders>
            <w:shd w:val="clear" w:color="auto" w:fill="auto"/>
            <w:noWrap/>
            <w:vAlign w:val="center"/>
            <w:hideMark/>
          </w:tcPr>
          <w:p w14:paraId="751B6AEF" w14:textId="77777777" w:rsidR="005730D4" w:rsidRDefault="005730D4">
            <w:pPr>
              <w:jc w:val="left"/>
              <w:rPr>
                <w:rFonts w:cs="Calibri"/>
                <w:b/>
                <w:bCs/>
                <w:color w:val="000000"/>
                <w:sz w:val="16"/>
                <w:szCs w:val="16"/>
              </w:rPr>
            </w:pPr>
            <w:r>
              <w:rPr>
                <w:rFonts w:cs="Calibri"/>
                <w:b/>
                <w:bCs/>
                <w:color w:val="000000"/>
                <w:sz w:val="16"/>
                <w:szCs w:val="16"/>
              </w:rPr>
              <w:t xml:space="preserve"> 5 605 726,55 </w:t>
            </w:r>
          </w:p>
        </w:tc>
        <w:tc>
          <w:tcPr>
            <w:tcW w:w="0" w:type="auto"/>
            <w:tcBorders>
              <w:top w:val="nil"/>
              <w:left w:val="nil"/>
              <w:bottom w:val="single" w:sz="8" w:space="0" w:color="auto"/>
              <w:right w:val="single" w:sz="8" w:space="0" w:color="auto"/>
            </w:tcBorders>
            <w:shd w:val="clear" w:color="auto" w:fill="auto"/>
            <w:noWrap/>
            <w:vAlign w:val="center"/>
            <w:hideMark/>
          </w:tcPr>
          <w:p w14:paraId="37E23B0D" w14:textId="77777777" w:rsidR="005730D4" w:rsidRDefault="005730D4">
            <w:pPr>
              <w:rPr>
                <w:rFonts w:cs="Calibri"/>
                <w:b/>
                <w:bCs/>
                <w:color w:val="000000"/>
                <w:sz w:val="16"/>
                <w:szCs w:val="16"/>
              </w:rPr>
            </w:pPr>
            <w:r>
              <w:rPr>
                <w:rFonts w:cs="Calibri"/>
                <w:b/>
                <w:bCs/>
                <w:color w:val="000000"/>
                <w:sz w:val="16"/>
                <w:szCs w:val="16"/>
              </w:rPr>
              <w:t xml:space="preserve"> 5 807 268,72 </w:t>
            </w:r>
          </w:p>
        </w:tc>
        <w:tc>
          <w:tcPr>
            <w:tcW w:w="0" w:type="auto"/>
            <w:tcBorders>
              <w:top w:val="nil"/>
              <w:left w:val="nil"/>
              <w:bottom w:val="single" w:sz="8" w:space="0" w:color="auto"/>
              <w:right w:val="single" w:sz="8" w:space="0" w:color="auto"/>
            </w:tcBorders>
            <w:shd w:val="clear" w:color="auto" w:fill="auto"/>
            <w:noWrap/>
            <w:vAlign w:val="center"/>
            <w:hideMark/>
          </w:tcPr>
          <w:p w14:paraId="7D002EAC" w14:textId="77777777" w:rsidR="005730D4" w:rsidRDefault="005730D4">
            <w:pPr>
              <w:jc w:val="right"/>
              <w:rPr>
                <w:rFonts w:cs="Calibri"/>
                <w:b/>
                <w:bCs/>
                <w:color w:val="000000"/>
                <w:sz w:val="18"/>
                <w:szCs w:val="18"/>
              </w:rPr>
            </w:pPr>
            <w:r>
              <w:rPr>
                <w:rFonts w:cs="Calibri"/>
                <w:b/>
                <w:bCs/>
                <w:color w:val="000000"/>
                <w:sz w:val="18"/>
                <w:szCs w:val="18"/>
              </w:rPr>
              <w:t>-3,47%</w:t>
            </w:r>
          </w:p>
        </w:tc>
      </w:tr>
    </w:tbl>
    <w:p w14:paraId="689B336D" w14:textId="501D7BE4" w:rsidR="00396CB4" w:rsidRPr="00396CB4" w:rsidRDefault="005730D4" w:rsidP="007F611C">
      <w:pPr>
        <w:spacing w:before="240"/>
        <w:rPr>
          <w:rFonts w:eastAsia="Times New Roman" w:cs="Calibri"/>
          <w:color w:val="000000"/>
          <w:lang w:eastAsia="es-CR"/>
        </w:rPr>
      </w:pPr>
      <w:r>
        <w:rPr>
          <w:rFonts w:eastAsia="Times New Roman" w:cs="Calibri"/>
          <w:color w:val="000000"/>
          <w:lang w:eastAsia="es-CR"/>
        </w:rPr>
        <w:t xml:space="preserve"> </w:t>
      </w:r>
      <w:r w:rsidR="007F611C">
        <w:rPr>
          <w:rFonts w:eastAsia="Times New Roman" w:cs="Calibri"/>
          <w:color w:val="000000"/>
          <w:lang w:eastAsia="es-CR"/>
        </w:rPr>
        <w:fldChar w:fldCharType="begin"/>
      </w:r>
      <w:r w:rsidR="007F611C">
        <w:rPr>
          <w:rFonts w:eastAsia="Times New Roman" w:cs="Calibri"/>
          <w:color w:val="000000"/>
          <w:lang w:eastAsia="es-CR"/>
        </w:rPr>
        <w:instrText xml:space="preserve"> LINK </w:instrText>
      </w:r>
      <w:r w:rsidR="00756467">
        <w:rPr>
          <w:rFonts w:eastAsia="Times New Roman" w:cs="Calibri"/>
          <w:color w:val="000000"/>
          <w:lang w:eastAsia="es-CR"/>
        </w:rPr>
        <w:instrText xml:space="preserve">Excel.SheetMacroEnabled.12 "C:\\Users\\gcordero\\Downloads\\Notas diciembre 2024\\Formato_Notas_EEFF_Vinculadas_2024\\Formato_Notas_EEFF_Vinculadas_2024\\15603_T04_2024_Anexo_Estado_Notas_Contables_Vinculadas.xlsm" NOTAS_POR_CUENTA!F434C8 </w:instrText>
      </w:r>
      <w:r w:rsidR="007F611C">
        <w:rPr>
          <w:rFonts w:eastAsia="Times New Roman" w:cs="Calibri"/>
          <w:color w:val="000000"/>
          <w:lang w:eastAsia="es-CR"/>
        </w:rPr>
        <w:instrText xml:space="preserve">\a \f 5 \h  \* MERGEFORMAT </w:instrText>
      </w:r>
      <w:r w:rsidR="007F611C">
        <w:rPr>
          <w:rFonts w:eastAsia="Times New Roman" w:cs="Calibri"/>
          <w:color w:val="000000"/>
          <w:lang w:eastAsia="es-CR"/>
        </w:rPr>
        <w:fldChar w:fldCharType="separate"/>
      </w:r>
    </w:p>
    <w:p w14:paraId="4856D0AA" w14:textId="5982964B" w:rsidR="00396CB4" w:rsidRPr="00396CB4" w:rsidRDefault="00396CB4" w:rsidP="00396CB4">
      <w:pPr>
        <w:spacing w:before="240"/>
        <w:rPr>
          <w:rFonts w:eastAsia="Times New Roman" w:cs="Calibri"/>
          <w:color w:val="000000"/>
          <w:lang w:eastAsia="es-CR"/>
        </w:rPr>
      </w:pPr>
      <w:r w:rsidRPr="00396CB4">
        <w:rPr>
          <w:rFonts w:eastAsia="Times New Roman" w:cs="Calibri"/>
          <w:color w:val="000000"/>
          <w:lang w:eastAsia="es-CR"/>
        </w:rPr>
        <w:t>Los Cobros de los Flujos de Efectivo de las Actividades de Operación, comparado al periodo anterior ge</w:t>
      </w:r>
      <w:r w:rsidR="007651FD">
        <w:rPr>
          <w:rFonts w:eastAsia="Times New Roman" w:cs="Calibri"/>
          <w:color w:val="000000"/>
          <w:lang w:eastAsia="es-CR"/>
        </w:rPr>
        <w:t>nera una variación absoluta de -201 542,17</w:t>
      </w:r>
      <w:r w:rsidR="005730D4">
        <w:rPr>
          <w:rFonts w:eastAsia="Times New Roman" w:cs="Calibri"/>
          <w:color w:val="000000"/>
          <w:lang w:eastAsia="es-CR"/>
        </w:rPr>
        <w:t xml:space="preserve"> que corresponde a una disminución</w:t>
      </w:r>
      <w:r w:rsidRPr="00396CB4">
        <w:rPr>
          <w:rFonts w:eastAsia="Times New Roman" w:cs="Calibri"/>
          <w:color w:val="000000"/>
          <w:lang w:eastAsia="es-CR"/>
        </w:rPr>
        <w:t xml:space="preserve"> del </w:t>
      </w:r>
      <w:r w:rsidR="005730D4">
        <w:rPr>
          <w:rFonts w:eastAsia="Times New Roman" w:cs="Calibri"/>
          <w:color w:val="000000"/>
          <w:lang w:eastAsia="es-CR"/>
        </w:rPr>
        <w:t>-3,47</w:t>
      </w:r>
      <w:r w:rsidRPr="00396CB4">
        <w:rPr>
          <w:rFonts w:eastAsia="Times New Roman" w:cs="Calibri"/>
          <w:color w:val="000000"/>
          <w:lang w:eastAsia="es-CR"/>
        </w:rPr>
        <w:t>% de recursos disponibles</w:t>
      </w:r>
      <w:r w:rsidRPr="00396CB4">
        <w:rPr>
          <w:rFonts w:asciiTheme="minorHAnsi" w:hAnsiTheme="minorHAnsi"/>
          <w:sz w:val="22"/>
        </w:rPr>
        <w:t>.</w:t>
      </w:r>
    </w:p>
    <w:p w14:paraId="5D3140BB" w14:textId="59EC7C6C" w:rsidR="00692DC8" w:rsidRPr="00692DC8" w:rsidRDefault="007F611C" w:rsidP="007F611C">
      <w:pPr>
        <w:spacing w:before="240"/>
        <w:rPr>
          <w:rFonts w:eastAsia="Times New Roman"/>
          <w:bCs/>
          <w:szCs w:val="24"/>
          <w:lang w:val="es-ES" w:eastAsia="es-ES"/>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76615D41" w14:textId="1DDE7BCB" w:rsidR="00BB627B" w:rsidRPr="002B5A34" w:rsidRDefault="00BB627B" w:rsidP="00BB627B">
      <w:pPr>
        <w:spacing w:before="120" w:after="120" w:line="240" w:lineRule="auto"/>
      </w:pPr>
      <w:r w:rsidRPr="00483662">
        <w:t xml:space="preserve">La diferencia de </w:t>
      </w:r>
      <w:r w:rsidRPr="00EF6BE9">
        <w:rPr>
          <w:rFonts w:ascii="Arial" w:hAnsi="Arial" w:cs="Arial"/>
        </w:rPr>
        <w:t>₡</w:t>
      </w:r>
      <w:r w:rsidR="00EF6BE9" w:rsidRPr="00EF6BE9">
        <w:rPr>
          <w:rFonts w:eastAsia="Times New Roman" w:cs="Calibri"/>
          <w:color w:val="000000"/>
          <w:lang w:eastAsia="es-CR"/>
        </w:rPr>
        <w:t>1</w:t>
      </w:r>
      <w:r w:rsidR="00EF6BE9">
        <w:rPr>
          <w:rFonts w:eastAsia="Times New Roman" w:cs="Calibri"/>
          <w:color w:val="000000"/>
          <w:lang w:eastAsia="es-CR"/>
        </w:rPr>
        <w:t>56 438,61</w:t>
      </w:r>
      <w:r w:rsidRPr="00483662">
        <w:rPr>
          <w:rFonts w:eastAsia="Times New Roman" w:cs="Calibri"/>
          <w:color w:val="000000"/>
          <w:lang w:eastAsia="es-CR"/>
        </w:rPr>
        <w:t xml:space="preserve"> </w:t>
      </w:r>
      <w:r w:rsidRPr="00483662">
        <w:t xml:space="preserve">miles se originan principalmente debido a que aumentaron los Cobros por ventas de inventarios, servicios derechos administrativos en </w:t>
      </w:r>
      <w:r w:rsidRPr="00483662">
        <w:rPr>
          <w:rFonts w:ascii="Arial" w:hAnsi="Arial" w:cs="Arial"/>
        </w:rPr>
        <w:t>₡</w:t>
      </w:r>
      <w:r w:rsidR="00053937">
        <w:t>583 291,63</w:t>
      </w:r>
      <w:r w:rsidRPr="00483662">
        <w:t xml:space="preserve"> miles y los Otros cobros por actividades de operación en </w:t>
      </w:r>
      <w:r w:rsidRPr="00483662">
        <w:rPr>
          <w:rFonts w:ascii="Arial" w:hAnsi="Arial" w:cs="Arial"/>
        </w:rPr>
        <w:t>₡</w:t>
      </w:r>
      <w:r w:rsidR="00053937">
        <w:t>93 206,12</w:t>
      </w:r>
      <w:r w:rsidRPr="00483662">
        <w:t xml:space="preserve"> miles, los Cobros por, por impuestos de </w:t>
      </w:r>
      <w:r w:rsidRPr="00483662">
        <w:rPr>
          <w:rFonts w:ascii="Arial" w:hAnsi="Arial" w:cs="Arial"/>
        </w:rPr>
        <w:t>₡</w:t>
      </w:r>
      <w:r w:rsidR="006B731F">
        <w:rPr>
          <w:rFonts w:ascii="Arial" w:hAnsi="Arial" w:cs="Arial"/>
        </w:rPr>
        <w:t>1 087 600,09</w:t>
      </w:r>
      <w:r w:rsidRPr="00483662">
        <w:t xml:space="preserve"> miles, los cobros por Transferencias por la suma de </w:t>
      </w:r>
      <w:r w:rsidRPr="00483662">
        <w:rPr>
          <w:rFonts w:ascii="Arial" w:hAnsi="Arial" w:cs="Arial"/>
        </w:rPr>
        <w:t>₡</w:t>
      </w:r>
      <w:r w:rsidR="006B731F">
        <w:rPr>
          <w:rFonts w:ascii="Arial" w:hAnsi="Arial" w:cs="Arial"/>
        </w:rPr>
        <w:t xml:space="preserve">3 778 419,54 </w:t>
      </w:r>
      <w:r w:rsidRPr="00483662">
        <w:t xml:space="preserve">miles; y disminuyeron los flujos de efectivo provenientes de: los Cobros por multas, sanciones, remates y confiscaciones de origen no tributario en </w:t>
      </w:r>
      <w:r w:rsidRPr="00483662">
        <w:rPr>
          <w:rFonts w:ascii="Arial" w:hAnsi="Arial" w:cs="Arial"/>
        </w:rPr>
        <w:t>₡</w:t>
      </w:r>
      <w:r w:rsidR="00EF6BE9">
        <w:t>4 035,65</w:t>
      </w:r>
      <w:r w:rsidRPr="00483662">
        <w:t xml:space="preserve"> miles, en el año 2024 con respecto al año 2023.</w:t>
      </w:r>
    </w:p>
    <w:p w14:paraId="16D4F319" w14:textId="77777777" w:rsidR="00692DC8" w:rsidRPr="00692DC8" w:rsidRDefault="00692DC8" w:rsidP="0068534F">
      <w:pPr>
        <w:rPr>
          <w:i/>
        </w:rPr>
      </w:pPr>
    </w:p>
    <w:p w14:paraId="027EBB23" w14:textId="77777777" w:rsidR="00692DC8" w:rsidRPr="00692DC8" w:rsidRDefault="00692DC8" w:rsidP="0068534F">
      <w:pPr>
        <w:pStyle w:val="Ttulo4"/>
        <w:spacing w:after="240"/>
        <w:rPr>
          <w:rFonts w:eastAsia="Times New Roman"/>
        </w:rPr>
      </w:pPr>
      <w:bookmarkStart w:id="1053" w:name="_Toc33601358"/>
      <w:bookmarkStart w:id="1054" w:name="_Toc82769077"/>
      <w:bookmarkStart w:id="1055" w:name="_Toc189804932"/>
      <w:r w:rsidRPr="00692DC8">
        <w:rPr>
          <w:rFonts w:eastAsia="Times New Roman"/>
        </w:rPr>
        <w:t>NOTA N°7</w:t>
      </w:r>
      <w:bookmarkEnd w:id="1053"/>
      <w:bookmarkEnd w:id="1054"/>
      <w:r w:rsidRPr="00692DC8">
        <w:rPr>
          <w:rFonts w:eastAsia="Times New Roman"/>
        </w:rPr>
        <w:t>8</w:t>
      </w:r>
      <w:bookmarkEnd w:id="1055"/>
    </w:p>
    <w:p w14:paraId="6F4DF928" w14:textId="7ADFD3D1" w:rsidR="005730D4" w:rsidRDefault="00692DC8" w:rsidP="007F611C">
      <w:pPr>
        <w:spacing w:before="240"/>
        <w:rPr>
          <w:rFonts w:eastAsia="Times New Roman" w:cs="Calibri"/>
          <w:color w:val="000000"/>
          <w:lang w:eastAsia="es-CR"/>
        </w:rPr>
      </w:pPr>
      <w:bookmarkStart w:id="1056" w:name="_Toc33601359"/>
      <w:bookmarkStart w:id="1057" w:name="_Toc82769078"/>
      <w:r w:rsidRPr="00692DC8">
        <w:rPr>
          <w:rFonts w:eastAsia="Times New Roman"/>
        </w:rPr>
        <w:t>Pagos</w:t>
      </w:r>
      <w:bookmarkEnd w:id="1056"/>
      <w:bookmarkEnd w:id="1057"/>
    </w:p>
    <w:tbl>
      <w:tblPr>
        <w:tblW w:w="8940" w:type="dxa"/>
        <w:tblCellMar>
          <w:left w:w="0" w:type="dxa"/>
          <w:right w:w="0" w:type="dxa"/>
        </w:tblCellMar>
        <w:tblLook w:val="04A0" w:firstRow="1" w:lastRow="0" w:firstColumn="1" w:lastColumn="0" w:noHBand="0" w:noVBand="1"/>
      </w:tblPr>
      <w:tblGrid>
        <w:gridCol w:w="3220"/>
        <w:gridCol w:w="500"/>
        <w:gridCol w:w="2100"/>
        <w:gridCol w:w="2100"/>
        <w:gridCol w:w="1020"/>
      </w:tblGrid>
      <w:tr w:rsidR="005730D4" w14:paraId="0098AA13" w14:textId="77777777" w:rsidTr="005730D4">
        <w:trPr>
          <w:trHeight w:val="330"/>
        </w:trPr>
        <w:tc>
          <w:tcPr>
            <w:tcW w:w="32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D5C62BA" w14:textId="77777777" w:rsidR="005730D4" w:rsidRDefault="005730D4">
            <w:pPr>
              <w:spacing w:line="240" w:lineRule="auto"/>
              <w:rPr>
                <w:rFonts w:cs="Calibri"/>
                <w:b/>
                <w:bCs/>
                <w:color w:val="FFFFFF"/>
                <w:sz w:val="18"/>
                <w:szCs w:val="18"/>
              </w:rPr>
            </w:pPr>
            <w:r>
              <w:rPr>
                <w:rFonts w:cs="Calibri"/>
                <w:b/>
                <w:bCs/>
                <w:color w:val="FFFFFF"/>
                <w:sz w:val="18"/>
                <w:szCs w:val="18"/>
              </w:rPr>
              <w:t xml:space="preserve">Descripción </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C444253" w14:textId="77777777" w:rsidR="005730D4" w:rsidRDefault="005730D4">
            <w:pPr>
              <w:jc w:val="center"/>
              <w:rPr>
                <w:rFonts w:cs="Calibri"/>
                <w:b/>
                <w:bCs/>
                <w:color w:val="FFFFFF"/>
                <w:sz w:val="18"/>
                <w:szCs w:val="18"/>
              </w:rPr>
            </w:pPr>
            <w:r>
              <w:rPr>
                <w:rFonts w:cs="Calibri"/>
                <w:b/>
                <w:bCs/>
                <w:color w:val="FFFFFF"/>
                <w:sz w:val="18"/>
                <w:szCs w:val="18"/>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1B1524D" w14:textId="77777777" w:rsidR="005730D4" w:rsidRDefault="005730D4">
            <w:pPr>
              <w:jc w:val="center"/>
              <w:rPr>
                <w:rFonts w:cs="Calibri"/>
                <w:b/>
                <w:bCs/>
                <w:color w:val="FFFFFF"/>
                <w:sz w:val="18"/>
                <w:szCs w:val="18"/>
              </w:rPr>
            </w:pPr>
            <w:r>
              <w:rPr>
                <w:rFonts w:cs="Calibri"/>
                <w:b/>
                <w:bCs/>
                <w:color w:val="FFFFFF"/>
                <w:sz w:val="18"/>
                <w:szCs w:val="18"/>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AAF4064" w14:textId="77777777" w:rsidR="005730D4" w:rsidRDefault="005730D4">
            <w:pPr>
              <w:jc w:val="center"/>
              <w:rPr>
                <w:rFonts w:cs="Calibri"/>
                <w:b/>
                <w:bCs/>
                <w:color w:val="FFFFFF"/>
                <w:sz w:val="18"/>
                <w:szCs w:val="18"/>
              </w:rPr>
            </w:pPr>
            <w:r>
              <w:rPr>
                <w:rFonts w:cs="Calibri"/>
                <w:b/>
                <w:bCs/>
                <w:color w:val="FFFFFF"/>
                <w:sz w:val="18"/>
                <w:szCs w:val="18"/>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60463629" w14:textId="77777777" w:rsidR="005730D4" w:rsidRDefault="005730D4">
            <w:pPr>
              <w:jc w:val="center"/>
              <w:rPr>
                <w:rFonts w:cs="Calibri"/>
                <w:b/>
                <w:bCs/>
                <w:color w:val="FFFFFF"/>
                <w:sz w:val="18"/>
                <w:szCs w:val="18"/>
              </w:rPr>
            </w:pPr>
            <w:r>
              <w:rPr>
                <w:rFonts w:cs="Calibri"/>
                <w:b/>
                <w:bCs/>
                <w:color w:val="FFFFFF"/>
                <w:sz w:val="18"/>
                <w:szCs w:val="18"/>
              </w:rPr>
              <w:t xml:space="preserve">Diferencia </w:t>
            </w:r>
          </w:p>
        </w:tc>
      </w:tr>
      <w:tr w:rsidR="005730D4" w14:paraId="0B614188" w14:textId="77777777" w:rsidTr="005730D4">
        <w:trPr>
          <w:trHeight w:val="33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BC152F2" w14:textId="77777777" w:rsidR="005730D4" w:rsidRDefault="005730D4">
            <w:pPr>
              <w:rPr>
                <w:rFonts w:cs="Calibri"/>
                <w:b/>
                <w:bCs/>
                <w:color w:val="FFFFFF"/>
                <w:sz w:val="18"/>
                <w:szCs w:val="18"/>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2980906" w14:textId="77777777" w:rsidR="005730D4" w:rsidRDefault="005730D4">
            <w:pPr>
              <w:rPr>
                <w:rFonts w:cs="Calibri"/>
                <w:b/>
                <w:bCs/>
                <w:color w:val="FFFFFF"/>
                <w:sz w:val="18"/>
                <w:szCs w:val="18"/>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D9EFAFA" w14:textId="77777777" w:rsidR="005730D4" w:rsidRDefault="005730D4">
            <w:pPr>
              <w:rPr>
                <w:rFonts w:cs="Calibri"/>
                <w:b/>
                <w:bCs/>
                <w:color w:val="FFFFFF"/>
                <w:sz w:val="18"/>
                <w:szCs w:val="18"/>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70F33D2" w14:textId="77777777" w:rsidR="005730D4" w:rsidRDefault="005730D4">
            <w:pPr>
              <w:rPr>
                <w:rFonts w:cs="Calibri"/>
                <w:b/>
                <w:bCs/>
                <w:color w:val="FFFFFF"/>
                <w:sz w:val="18"/>
                <w:szCs w:val="18"/>
              </w:rPr>
            </w:pPr>
          </w:p>
        </w:tc>
        <w:tc>
          <w:tcPr>
            <w:tcW w:w="0" w:type="auto"/>
            <w:tcBorders>
              <w:top w:val="nil"/>
              <w:left w:val="nil"/>
              <w:bottom w:val="single" w:sz="8" w:space="0" w:color="auto"/>
              <w:right w:val="single" w:sz="8" w:space="0" w:color="auto"/>
            </w:tcBorders>
            <w:shd w:val="clear" w:color="000000" w:fill="366092"/>
            <w:noWrap/>
            <w:vAlign w:val="center"/>
            <w:hideMark/>
          </w:tcPr>
          <w:p w14:paraId="5D43C173" w14:textId="77777777" w:rsidR="005730D4" w:rsidRDefault="005730D4">
            <w:pPr>
              <w:jc w:val="center"/>
              <w:rPr>
                <w:rFonts w:cs="Calibri"/>
                <w:color w:val="FFFFFF"/>
                <w:sz w:val="18"/>
                <w:szCs w:val="18"/>
              </w:rPr>
            </w:pPr>
            <w:r>
              <w:rPr>
                <w:rFonts w:cs="Calibri"/>
                <w:color w:val="FFFFFF"/>
                <w:sz w:val="18"/>
                <w:szCs w:val="18"/>
              </w:rPr>
              <w:t>%</w:t>
            </w:r>
          </w:p>
        </w:tc>
      </w:tr>
      <w:tr w:rsidR="005730D4" w14:paraId="22A8B86A" w14:textId="77777777" w:rsidTr="005730D4">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D1BAF56" w14:textId="77777777" w:rsidR="005730D4" w:rsidRDefault="005730D4">
            <w:pPr>
              <w:jc w:val="left"/>
              <w:rPr>
                <w:rFonts w:cs="Calibri"/>
                <w:b/>
                <w:bCs/>
                <w:color w:val="000000"/>
                <w:sz w:val="18"/>
                <w:szCs w:val="18"/>
              </w:rPr>
            </w:pPr>
            <w:r>
              <w:rPr>
                <w:rFonts w:cs="Calibri"/>
                <w:b/>
                <w:bCs/>
                <w:color w:val="000000"/>
                <w:sz w:val="18"/>
                <w:szCs w:val="18"/>
              </w:rPr>
              <w:t>Pagos</w:t>
            </w:r>
          </w:p>
        </w:tc>
        <w:tc>
          <w:tcPr>
            <w:tcW w:w="0" w:type="auto"/>
            <w:tcBorders>
              <w:top w:val="nil"/>
              <w:left w:val="nil"/>
              <w:bottom w:val="single" w:sz="8" w:space="0" w:color="auto"/>
              <w:right w:val="single" w:sz="8" w:space="0" w:color="auto"/>
            </w:tcBorders>
            <w:shd w:val="clear" w:color="auto" w:fill="auto"/>
            <w:noWrap/>
            <w:vAlign w:val="center"/>
            <w:hideMark/>
          </w:tcPr>
          <w:p w14:paraId="1A22412C" w14:textId="77777777" w:rsidR="005730D4" w:rsidRDefault="005730D4">
            <w:pPr>
              <w:jc w:val="center"/>
              <w:rPr>
                <w:rFonts w:cs="Calibri"/>
                <w:b/>
                <w:bCs/>
                <w:color w:val="000000"/>
                <w:sz w:val="18"/>
                <w:szCs w:val="18"/>
              </w:rPr>
            </w:pPr>
            <w:r>
              <w:rPr>
                <w:rFonts w:cs="Calibri"/>
                <w:b/>
                <w:bCs/>
                <w:color w:val="000000"/>
                <w:sz w:val="18"/>
                <w:szCs w:val="18"/>
              </w:rPr>
              <w:t>78</w:t>
            </w:r>
          </w:p>
        </w:tc>
        <w:tc>
          <w:tcPr>
            <w:tcW w:w="0" w:type="auto"/>
            <w:tcBorders>
              <w:top w:val="nil"/>
              <w:left w:val="nil"/>
              <w:bottom w:val="single" w:sz="8" w:space="0" w:color="auto"/>
              <w:right w:val="single" w:sz="8" w:space="0" w:color="auto"/>
            </w:tcBorders>
            <w:shd w:val="clear" w:color="auto" w:fill="auto"/>
            <w:noWrap/>
            <w:vAlign w:val="center"/>
            <w:hideMark/>
          </w:tcPr>
          <w:p w14:paraId="2F2B010A" w14:textId="77777777" w:rsidR="005730D4" w:rsidRDefault="005730D4">
            <w:pPr>
              <w:jc w:val="center"/>
              <w:rPr>
                <w:rFonts w:cs="Calibri"/>
                <w:b/>
                <w:bCs/>
                <w:color w:val="000000"/>
                <w:sz w:val="16"/>
                <w:szCs w:val="16"/>
              </w:rPr>
            </w:pPr>
            <w:r>
              <w:rPr>
                <w:rFonts w:cs="Calibri"/>
                <w:b/>
                <w:bCs/>
                <w:color w:val="000000"/>
                <w:sz w:val="16"/>
                <w:szCs w:val="16"/>
              </w:rPr>
              <w:t xml:space="preserve"> 4 908 733,18 </w:t>
            </w:r>
          </w:p>
        </w:tc>
        <w:tc>
          <w:tcPr>
            <w:tcW w:w="0" w:type="auto"/>
            <w:tcBorders>
              <w:top w:val="nil"/>
              <w:left w:val="nil"/>
              <w:bottom w:val="single" w:sz="8" w:space="0" w:color="auto"/>
              <w:right w:val="single" w:sz="8" w:space="0" w:color="auto"/>
            </w:tcBorders>
            <w:shd w:val="clear" w:color="auto" w:fill="auto"/>
            <w:noWrap/>
            <w:vAlign w:val="center"/>
            <w:hideMark/>
          </w:tcPr>
          <w:p w14:paraId="1FD39E1F" w14:textId="77777777" w:rsidR="005730D4" w:rsidRDefault="005730D4">
            <w:pPr>
              <w:jc w:val="center"/>
              <w:rPr>
                <w:rFonts w:cs="Calibri"/>
                <w:b/>
                <w:bCs/>
                <w:color w:val="000000"/>
                <w:sz w:val="16"/>
                <w:szCs w:val="16"/>
              </w:rPr>
            </w:pPr>
            <w:r>
              <w:rPr>
                <w:rFonts w:cs="Calibri"/>
                <w:b/>
                <w:bCs/>
                <w:color w:val="000000"/>
                <w:sz w:val="16"/>
                <w:szCs w:val="16"/>
              </w:rPr>
              <w:t xml:space="preserve"> 5 856 659,80 </w:t>
            </w:r>
          </w:p>
        </w:tc>
        <w:tc>
          <w:tcPr>
            <w:tcW w:w="0" w:type="auto"/>
            <w:tcBorders>
              <w:top w:val="nil"/>
              <w:left w:val="nil"/>
              <w:bottom w:val="single" w:sz="8" w:space="0" w:color="auto"/>
              <w:right w:val="single" w:sz="8" w:space="0" w:color="auto"/>
            </w:tcBorders>
            <w:shd w:val="clear" w:color="auto" w:fill="auto"/>
            <w:noWrap/>
            <w:vAlign w:val="center"/>
            <w:hideMark/>
          </w:tcPr>
          <w:p w14:paraId="1465DBAA" w14:textId="77777777" w:rsidR="005730D4" w:rsidRDefault="005730D4">
            <w:pPr>
              <w:jc w:val="center"/>
              <w:rPr>
                <w:rFonts w:cs="Calibri"/>
                <w:b/>
                <w:bCs/>
                <w:color w:val="000000"/>
                <w:sz w:val="18"/>
                <w:szCs w:val="18"/>
              </w:rPr>
            </w:pPr>
            <w:r>
              <w:rPr>
                <w:rFonts w:cs="Calibri"/>
                <w:b/>
                <w:bCs/>
                <w:color w:val="000000"/>
                <w:sz w:val="18"/>
                <w:szCs w:val="18"/>
              </w:rPr>
              <w:t>-16,19%</w:t>
            </w:r>
          </w:p>
        </w:tc>
      </w:tr>
    </w:tbl>
    <w:p w14:paraId="33620596" w14:textId="3DB78211" w:rsidR="00396CB4" w:rsidRPr="00396CB4" w:rsidRDefault="005730D4" w:rsidP="007F611C">
      <w:pPr>
        <w:spacing w:before="240"/>
        <w:rPr>
          <w:rFonts w:eastAsia="Times New Roman" w:cs="Calibri"/>
          <w:color w:val="000000"/>
          <w:lang w:eastAsia="es-CR"/>
        </w:rPr>
      </w:pPr>
      <w:r>
        <w:rPr>
          <w:rFonts w:eastAsia="Times New Roman" w:cs="Calibri"/>
          <w:color w:val="000000"/>
          <w:lang w:eastAsia="es-CR"/>
        </w:rPr>
        <w:lastRenderedPageBreak/>
        <w:t xml:space="preserve"> </w:t>
      </w:r>
      <w:r w:rsidR="007F611C">
        <w:rPr>
          <w:rFonts w:eastAsia="Times New Roman" w:cs="Calibri"/>
          <w:color w:val="000000"/>
          <w:lang w:eastAsia="es-CR"/>
        </w:rPr>
        <w:fldChar w:fldCharType="begin"/>
      </w:r>
      <w:r w:rsidR="007F611C">
        <w:rPr>
          <w:rFonts w:eastAsia="Times New Roman" w:cs="Calibri"/>
          <w:color w:val="000000"/>
          <w:lang w:eastAsia="es-CR"/>
        </w:rPr>
        <w:instrText xml:space="preserve"> LINK </w:instrText>
      </w:r>
      <w:r w:rsidR="00756467">
        <w:rPr>
          <w:rFonts w:eastAsia="Times New Roman" w:cs="Calibri"/>
          <w:color w:val="000000"/>
          <w:lang w:eastAsia="es-CR"/>
        </w:rPr>
        <w:instrText xml:space="preserve">Excel.SheetMacroEnabled.12 "C:\\Users\\gcordero\\Downloads\\Notas diciembre 2024\\Formato_Notas_EEFF_Vinculadas_2024\\Formato_Notas_EEFF_Vinculadas_2024\\15603_T04_2024_Anexo_Estado_Notas_Contables_Vinculadas.xlsm" NOTAS_POR_CUENTA!F438C8 </w:instrText>
      </w:r>
      <w:r w:rsidR="007F611C">
        <w:rPr>
          <w:rFonts w:eastAsia="Times New Roman" w:cs="Calibri"/>
          <w:color w:val="000000"/>
          <w:lang w:eastAsia="es-CR"/>
        </w:rPr>
        <w:instrText xml:space="preserve">\a \f 5 \h  \* MERGEFORMAT </w:instrText>
      </w:r>
      <w:r w:rsidR="007F611C">
        <w:rPr>
          <w:rFonts w:eastAsia="Times New Roman" w:cs="Calibri"/>
          <w:color w:val="000000"/>
          <w:lang w:eastAsia="es-CR"/>
        </w:rPr>
        <w:fldChar w:fldCharType="separate"/>
      </w:r>
    </w:p>
    <w:p w14:paraId="209ECD5A" w14:textId="32F4D232" w:rsidR="00396CB4" w:rsidRPr="00396CB4" w:rsidRDefault="00396CB4" w:rsidP="00396CB4">
      <w:pPr>
        <w:spacing w:before="240"/>
        <w:rPr>
          <w:rFonts w:eastAsia="Times New Roman" w:cs="Calibri"/>
          <w:color w:val="000000"/>
          <w:lang w:eastAsia="es-CR"/>
        </w:rPr>
      </w:pPr>
      <w:r w:rsidRPr="00396CB4">
        <w:rPr>
          <w:rFonts w:eastAsia="Times New Roman" w:cs="Calibri"/>
          <w:color w:val="000000"/>
          <w:lang w:eastAsia="es-CR"/>
        </w:rPr>
        <w:t xml:space="preserve">Los Pagos de los Flujos de Efectivo de las Actividades de Operación, comparado al periodo anterior genera una variación absoluta de </w:t>
      </w:r>
      <w:r w:rsidR="005730D4">
        <w:rPr>
          <w:rFonts w:eastAsia="Times New Roman" w:cs="Calibri"/>
          <w:color w:val="000000"/>
          <w:lang w:eastAsia="es-CR"/>
        </w:rPr>
        <w:t>-947</w:t>
      </w:r>
      <w:r w:rsidRPr="00396CB4">
        <w:rPr>
          <w:rFonts w:eastAsia="Times New Roman" w:cs="Calibri"/>
          <w:color w:val="000000"/>
          <w:lang w:eastAsia="es-CR"/>
        </w:rPr>
        <w:t xml:space="preserve"> </w:t>
      </w:r>
      <w:r w:rsidR="005730D4">
        <w:rPr>
          <w:rFonts w:eastAsia="Times New Roman" w:cs="Calibri"/>
          <w:color w:val="000000"/>
          <w:lang w:eastAsia="es-CR"/>
        </w:rPr>
        <w:t>926,62 que corresponde a una disminución del -16,19</w:t>
      </w:r>
      <w:r w:rsidRPr="00396CB4">
        <w:rPr>
          <w:rFonts w:eastAsia="Times New Roman" w:cs="Calibri"/>
          <w:color w:val="000000"/>
          <w:lang w:eastAsia="es-CR"/>
        </w:rPr>
        <w:t>% de recursos disponibles</w:t>
      </w:r>
      <w:r w:rsidRPr="00396CB4">
        <w:rPr>
          <w:rFonts w:asciiTheme="minorHAnsi" w:hAnsiTheme="minorHAnsi"/>
          <w:sz w:val="22"/>
        </w:rPr>
        <w:t>.</w:t>
      </w:r>
    </w:p>
    <w:p w14:paraId="1B128BE7" w14:textId="2C353FE9" w:rsidR="00692DC8" w:rsidRPr="00692DC8" w:rsidRDefault="007F611C" w:rsidP="007F611C">
      <w:pPr>
        <w:spacing w:before="240"/>
        <w:rPr>
          <w:rFonts w:eastAsia="Times New Roman"/>
          <w:bCs/>
          <w:szCs w:val="24"/>
          <w:lang w:val="es-ES" w:eastAsia="es-ES"/>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1279A2A5" w14:textId="430053A4" w:rsidR="00BB627B" w:rsidRPr="003D1F84" w:rsidRDefault="00540429" w:rsidP="00BB627B">
      <w:pPr>
        <w:spacing w:line="240" w:lineRule="auto"/>
      </w:pPr>
      <w:bookmarkStart w:id="1058" w:name="_Toc33601360"/>
      <w:bookmarkStart w:id="1059" w:name="_Toc82769079"/>
      <w:r w:rsidRPr="000B0DE2">
        <w:t xml:space="preserve">La variación de </w:t>
      </w:r>
      <w:r w:rsidR="00BB627B" w:rsidRPr="000B0DE2">
        <w:rPr>
          <w:rFonts w:ascii="Arial" w:hAnsi="Arial" w:cs="Arial"/>
        </w:rPr>
        <w:t>₡</w:t>
      </w:r>
      <w:r w:rsidRPr="000B0DE2">
        <w:rPr>
          <w:rFonts w:eastAsia="Times New Roman" w:cs="Calibri"/>
          <w:color w:val="000000"/>
          <w:lang w:eastAsia="es-CR"/>
        </w:rPr>
        <w:t>74 124,34</w:t>
      </w:r>
      <w:r w:rsidR="00BB627B" w:rsidRPr="000B0DE2">
        <w:rPr>
          <w:rFonts w:eastAsia="Times New Roman" w:cs="Calibri"/>
          <w:color w:val="000000"/>
          <w:lang w:eastAsia="es-CR"/>
        </w:rPr>
        <w:t xml:space="preserve"> </w:t>
      </w:r>
      <w:r w:rsidR="00BB627B" w:rsidRPr="000B0DE2">
        <w:t xml:space="preserve">miles se originan como producto de un efecto neto, ya que se presentaron incrementos en: Pagos por beneficios al personal, por </w:t>
      </w:r>
      <w:r w:rsidR="00BB627B" w:rsidRPr="000B0DE2">
        <w:rPr>
          <w:rFonts w:ascii="Arial" w:hAnsi="Arial" w:cs="Arial"/>
        </w:rPr>
        <w:t>₡</w:t>
      </w:r>
      <w:r w:rsidR="000B0DE2" w:rsidRPr="000B0DE2">
        <w:rPr>
          <w:rFonts w:cs="Arial"/>
        </w:rPr>
        <w:t>54 928,96</w:t>
      </w:r>
      <w:r w:rsidR="00BB627B" w:rsidRPr="000B0DE2">
        <w:rPr>
          <w:rFonts w:cs="Arial"/>
        </w:rPr>
        <w:t xml:space="preserve"> miles</w:t>
      </w:r>
      <w:r w:rsidR="000B0DE2" w:rsidRPr="000B0DE2">
        <w:rPr>
          <w:rFonts w:cs="Arial"/>
        </w:rPr>
        <w:t xml:space="preserve">, Pagos por otras transferencias por </w:t>
      </w:r>
      <w:r w:rsidR="000B0DE2" w:rsidRPr="000B0DE2">
        <w:rPr>
          <w:rFonts w:ascii="Arial" w:hAnsi="Arial" w:cs="Arial"/>
        </w:rPr>
        <w:t>₡</w:t>
      </w:r>
      <w:r w:rsidR="000B0DE2" w:rsidRPr="000B0DE2">
        <w:rPr>
          <w:rFonts w:cs="Arial"/>
        </w:rPr>
        <w:t xml:space="preserve">145 423,41 miles </w:t>
      </w:r>
      <w:r w:rsidR="00BB627B" w:rsidRPr="000B0DE2">
        <w:t xml:space="preserve">; </w:t>
      </w:r>
      <w:r w:rsidRPr="000B0DE2">
        <w:t>y una disminución en Pagos por prestaciones de la seguridad social y en Pagos por otras transferencias</w:t>
      </w:r>
      <w:r w:rsidR="00897B65" w:rsidRPr="000B0DE2">
        <w:t xml:space="preserve"> por -</w:t>
      </w:r>
      <w:r w:rsidR="00897B65" w:rsidRPr="000B0DE2">
        <w:rPr>
          <w:rFonts w:ascii="Arial" w:hAnsi="Arial" w:cs="Arial"/>
        </w:rPr>
        <w:t>₡4 458.69</w:t>
      </w:r>
      <w:r w:rsidR="000B0DE2" w:rsidRPr="000B0DE2">
        <w:rPr>
          <w:rFonts w:ascii="Arial" w:hAnsi="Arial" w:cs="Arial"/>
        </w:rPr>
        <w:t xml:space="preserve">; </w:t>
      </w:r>
      <w:r w:rsidR="000B0DE2" w:rsidRPr="000B0DE2">
        <w:t>en Pagos por servicios y adquisiciones de inventarios (incluye anticipos) en -</w:t>
      </w:r>
      <w:r w:rsidR="000B0DE2" w:rsidRPr="000B0DE2">
        <w:rPr>
          <w:rFonts w:ascii="Arial" w:hAnsi="Arial" w:cs="Arial"/>
        </w:rPr>
        <w:t>₡</w:t>
      </w:r>
      <w:r w:rsidR="000B0DE2" w:rsidRPr="000B0DE2">
        <w:rPr>
          <w:rFonts w:cs="Arial"/>
        </w:rPr>
        <w:t>1 042 488,74</w:t>
      </w:r>
      <w:r w:rsidR="000B0DE2" w:rsidRPr="000B0DE2">
        <w:t xml:space="preserve"> miles; y en Otros pagos por actividades de operación en -</w:t>
      </w:r>
      <w:r w:rsidR="000B0DE2" w:rsidRPr="000B0DE2">
        <w:rPr>
          <w:rFonts w:ascii="Arial" w:hAnsi="Arial" w:cs="Arial"/>
        </w:rPr>
        <w:t>₡</w:t>
      </w:r>
      <w:r w:rsidR="000B0DE2" w:rsidRPr="000B0DE2">
        <w:t>101 331,56 miles</w:t>
      </w:r>
      <w:r w:rsidR="008D4E6F">
        <w:t>.</w:t>
      </w:r>
    </w:p>
    <w:p w14:paraId="53D2D877" w14:textId="77777777" w:rsidR="00692DC8" w:rsidRPr="00692DC8" w:rsidRDefault="00692DC8" w:rsidP="0068534F">
      <w:pPr>
        <w:rPr>
          <w:lang w:eastAsia="es-CR"/>
        </w:rPr>
      </w:pPr>
    </w:p>
    <w:p w14:paraId="5AC73DC5" w14:textId="77777777" w:rsidR="00692DC8" w:rsidRPr="00692DC8" w:rsidRDefault="00692DC8" w:rsidP="0068534F">
      <w:pPr>
        <w:pStyle w:val="Ttulo4"/>
        <w:spacing w:after="240"/>
        <w:rPr>
          <w:rFonts w:eastAsia="Times New Roman"/>
          <w:lang w:eastAsia="es-CR"/>
        </w:rPr>
      </w:pPr>
      <w:bookmarkStart w:id="1060" w:name="_Toc189804933"/>
      <w:r w:rsidRPr="00692DC8">
        <w:rPr>
          <w:rFonts w:eastAsia="Times New Roman"/>
          <w:lang w:eastAsia="es-CR"/>
        </w:rPr>
        <w:t>FLUJOS DE EFECTIVO DE LAS ACTIVIDADES DE INVERSIÓN</w:t>
      </w:r>
      <w:bookmarkEnd w:id="1058"/>
      <w:bookmarkEnd w:id="1059"/>
      <w:bookmarkEnd w:id="1060"/>
    </w:p>
    <w:p w14:paraId="2899A807" w14:textId="77777777" w:rsidR="00692DC8" w:rsidRPr="00692DC8" w:rsidRDefault="00692DC8" w:rsidP="0068534F">
      <w:pPr>
        <w:pStyle w:val="Ttulo4"/>
        <w:spacing w:after="240"/>
        <w:rPr>
          <w:rFonts w:eastAsia="Times New Roman"/>
          <w:bCs/>
        </w:rPr>
      </w:pPr>
      <w:bookmarkStart w:id="1061" w:name="_Toc33601361"/>
      <w:bookmarkStart w:id="1062" w:name="_Toc82769080"/>
      <w:bookmarkStart w:id="1063" w:name="_Toc189804934"/>
      <w:r w:rsidRPr="00692DC8">
        <w:rPr>
          <w:rFonts w:eastAsia="Times New Roman"/>
          <w:bCs/>
        </w:rPr>
        <w:t>NOTA N°7</w:t>
      </w:r>
      <w:bookmarkEnd w:id="1061"/>
      <w:bookmarkEnd w:id="1062"/>
      <w:r w:rsidRPr="00692DC8">
        <w:rPr>
          <w:rFonts w:eastAsia="Times New Roman"/>
          <w:bCs/>
        </w:rPr>
        <w:t>9</w:t>
      </w:r>
      <w:bookmarkEnd w:id="1063"/>
    </w:p>
    <w:p w14:paraId="3727F769" w14:textId="77777777" w:rsidR="00396CB4" w:rsidRDefault="00692DC8" w:rsidP="00F51D42">
      <w:pPr>
        <w:spacing w:before="240"/>
        <w:rPr>
          <w:rFonts w:asciiTheme="minorHAnsi" w:hAnsiTheme="minorHAnsi"/>
          <w:sz w:val="22"/>
        </w:rPr>
      </w:pPr>
      <w:bookmarkStart w:id="1064" w:name="_Toc33601362"/>
      <w:bookmarkStart w:id="1065" w:name="_Toc82769081"/>
      <w:r w:rsidRPr="00692DC8">
        <w:rPr>
          <w:rFonts w:eastAsia="Times New Roman"/>
          <w:bCs/>
        </w:rPr>
        <w:t>Cobros</w:t>
      </w:r>
      <w:bookmarkEnd w:id="1064"/>
      <w:bookmarkEnd w:id="1065"/>
      <w:r w:rsidR="007F611C">
        <w:rPr>
          <w:rFonts w:eastAsia="Times New Roman" w:cstheme="majorBidi"/>
          <w:b/>
          <w:iCs/>
          <w:lang w:eastAsia="es-CR"/>
        </w:rPr>
        <w:fldChar w:fldCharType="begin"/>
      </w:r>
      <w:r w:rsidR="007F611C">
        <w:rPr>
          <w:rFonts w:eastAsia="Times New Roman"/>
          <w:lang w:eastAsia="es-CR"/>
        </w:rPr>
        <w:instrText xml:space="preserve"> LINK </w:instrText>
      </w:r>
      <w:r w:rsidR="00756467">
        <w:rPr>
          <w:rFonts w:eastAsia="Times New Roman"/>
          <w:lang w:eastAsia="es-CR"/>
        </w:rPr>
        <w:instrText xml:space="preserve">Excel.SheetMacroEnabled.12 "C:\\Users\\gcordero\\Downloads\\Notas diciembre 2024\\Formato_Notas_EEFF_Vinculadas_2024\\Formato_Notas_EEFF_Vinculadas_2024\\15603_T04_2024_Anexo_Estado_Notas_Contables_Vinculadas.xlsm" NOTAS_POR_CUENTA!F443C2:F445C6 </w:instrText>
      </w:r>
      <w:r w:rsidR="007F611C">
        <w:rPr>
          <w:rFonts w:eastAsia="Times New Roman"/>
          <w:lang w:eastAsia="es-CR"/>
        </w:rPr>
        <w:instrText xml:space="preserve">\a \f 4 \h </w:instrText>
      </w:r>
      <w:r w:rsidR="007F611C">
        <w:rPr>
          <w:rFonts w:eastAsia="Times New Roman"/>
          <w:lang w:eastAsia="es-CR"/>
        </w:rPr>
        <w:fldChar w:fldCharType="separate"/>
      </w:r>
    </w:p>
    <w:tbl>
      <w:tblPr>
        <w:tblW w:w="8940" w:type="dxa"/>
        <w:tblCellMar>
          <w:left w:w="70" w:type="dxa"/>
          <w:right w:w="70" w:type="dxa"/>
        </w:tblCellMar>
        <w:tblLook w:val="04A0" w:firstRow="1" w:lastRow="0" w:firstColumn="1" w:lastColumn="0" w:noHBand="0" w:noVBand="1"/>
      </w:tblPr>
      <w:tblGrid>
        <w:gridCol w:w="3220"/>
        <w:gridCol w:w="500"/>
        <w:gridCol w:w="2100"/>
        <w:gridCol w:w="2100"/>
        <w:gridCol w:w="1020"/>
      </w:tblGrid>
      <w:tr w:rsidR="00396CB4" w:rsidRPr="00396CB4" w14:paraId="6FD8359E" w14:textId="77777777" w:rsidTr="00396CB4">
        <w:trPr>
          <w:divId w:val="940995389"/>
          <w:trHeight w:val="330"/>
        </w:trPr>
        <w:tc>
          <w:tcPr>
            <w:tcW w:w="32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7077B5A" w14:textId="74B0A146" w:rsidR="00396CB4" w:rsidRPr="00396CB4" w:rsidRDefault="00396CB4" w:rsidP="00396CB4">
            <w:pP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Descripción </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513DF2D"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6656CA8"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C06426B"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472EF776"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6202469F" w14:textId="77777777" w:rsidTr="00396CB4">
        <w:trPr>
          <w:divId w:val="940995389"/>
          <w:trHeight w:val="330"/>
        </w:trPr>
        <w:tc>
          <w:tcPr>
            <w:tcW w:w="3220" w:type="dxa"/>
            <w:vMerge/>
            <w:tcBorders>
              <w:top w:val="single" w:sz="8" w:space="0" w:color="auto"/>
              <w:left w:val="single" w:sz="8" w:space="0" w:color="auto"/>
              <w:bottom w:val="single" w:sz="8" w:space="0" w:color="000000"/>
              <w:right w:val="single" w:sz="8" w:space="0" w:color="auto"/>
            </w:tcBorders>
            <w:vAlign w:val="center"/>
            <w:hideMark/>
          </w:tcPr>
          <w:p w14:paraId="548DE0BD"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61F393B1"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5875CFC1"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3AB012E1"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1020" w:type="dxa"/>
            <w:tcBorders>
              <w:top w:val="nil"/>
              <w:left w:val="nil"/>
              <w:bottom w:val="single" w:sz="8" w:space="0" w:color="auto"/>
              <w:right w:val="single" w:sz="8" w:space="0" w:color="auto"/>
            </w:tcBorders>
            <w:shd w:val="clear" w:color="000000" w:fill="366092"/>
            <w:noWrap/>
            <w:vAlign w:val="center"/>
            <w:hideMark/>
          </w:tcPr>
          <w:p w14:paraId="0FD10D92" w14:textId="77777777" w:rsidR="00396CB4" w:rsidRPr="00396CB4" w:rsidRDefault="00396CB4" w:rsidP="00396CB4">
            <w:pPr>
              <w:spacing w:after="0" w:line="240" w:lineRule="auto"/>
              <w:jc w:val="center"/>
              <w:rPr>
                <w:rFonts w:eastAsia="Times New Roman" w:cs="Calibri"/>
                <w:color w:val="FFFFFF"/>
                <w:sz w:val="18"/>
                <w:szCs w:val="18"/>
                <w:lang w:eastAsia="es-CR"/>
              </w:rPr>
            </w:pPr>
            <w:r w:rsidRPr="00396CB4">
              <w:rPr>
                <w:rFonts w:eastAsia="Times New Roman" w:cs="Calibri"/>
                <w:color w:val="FFFFFF"/>
                <w:sz w:val="18"/>
                <w:szCs w:val="18"/>
                <w:lang w:eastAsia="es-CR"/>
              </w:rPr>
              <w:t>%</w:t>
            </w:r>
          </w:p>
        </w:tc>
      </w:tr>
      <w:tr w:rsidR="00396CB4" w:rsidRPr="00396CB4" w14:paraId="5729ABCC" w14:textId="77777777" w:rsidTr="00396CB4">
        <w:trPr>
          <w:divId w:val="940995389"/>
          <w:trHeight w:val="330"/>
        </w:trPr>
        <w:tc>
          <w:tcPr>
            <w:tcW w:w="3220" w:type="dxa"/>
            <w:tcBorders>
              <w:top w:val="nil"/>
              <w:left w:val="single" w:sz="8" w:space="0" w:color="auto"/>
              <w:bottom w:val="single" w:sz="8" w:space="0" w:color="auto"/>
              <w:right w:val="single" w:sz="8" w:space="0" w:color="auto"/>
            </w:tcBorders>
            <w:shd w:val="clear" w:color="auto" w:fill="auto"/>
            <w:vAlign w:val="center"/>
            <w:hideMark/>
          </w:tcPr>
          <w:p w14:paraId="0C5C1E87" w14:textId="77777777" w:rsidR="00396CB4" w:rsidRPr="00396CB4" w:rsidRDefault="00396CB4" w:rsidP="00396CB4">
            <w:pPr>
              <w:spacing w:after="0" w:line="240" w:lineRule="auto"/>
              <w:rPr>
                <w:rFonts w:eastAsia="Times New Roman" w:cs="Calibri"/>
                <w:b/>
                <w:bCs/>
                <w:color w:val="000000"/>
                <w:sz w:val="18"/>
                <w:szCs w:val="18"/>
                <w:lang w:eastAsia="es-CR"/>
              </w:rPr>
            </w:pPr>
            <w:r w:rsidRPr="00396CB4">
              <w:rPr>
                <w:rFonts w:eastAsia="Times New Roman" w:cs="Calibri"/>
                <w:b/>
                <w:bCs/>
                <w:color w:val="000000"/>
                <w:sz w:val="18"/>
                <w:szCs w:val="18"/>
                <w:lang w:eastAsia="es-CR"/>
              </w:rPr>
              <w:t>Cobros</w:t>
            </w:r>
          </w:p>
        </w:tc>
        <w:tc>
          <w:tcPr>
            <w:tcW w:w="500" w:type="dxa"/>
            <w:tcBorders>
              <w:top w:val="nil"/>
              <w:left w:val="nil"/>
              <w:bottom w:val="single" w:sz="8" w:space="0" w:color="auto"/>
              <w:right w:val="single" w:sz="8" w:space="0" w:color="auto"/>
            </w:tcBorders>
            <w:shd w:val="clear" w:color="auto" w:fill="auto"/>
            <w:noWrap/>
            <w:vAlign w:val="center"/>
            <w:hideMark/>
          </w:tcPr>
          <w:p w14:paraId="450BCF93"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79</w:t>
            </w:r>
          </w:p>
        </w:tc>
        <w:tc>
          <w:tcPr>
            <w:tcW w:w="2100" w:type="dxa"/>
            <w:tcBorders>
              <w:top w:val="nil"/>
              <w:left w:val="nil"/>
              <w:bottom w:val="single" w:sz="8" w:space="0" w:color="auto"/>
              <w:right w:val="single" w:sz="8" w:space="0" w:color="auto"/>
            </w:tcBorders>
            <w:shd w:val="clear" w:color="auto" w:fill="auto"/>
            <w:noWrap/>
            <w:vAlign w:val="center"/>
            <w:hideMark/>
          </w:tcPr>
          <w:p w14:paraId="71270C85"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2100" w:type="dxa"/>
            <w:tcBorders>
              <w:top w:val="nil"/>
              <w:left w:val="nil"/>
              <w:bottom w:val="single" w:sz="8" w:space="0" w:color="auto"/>
              <w:right w:val="single" w:sz="8" w:space="0" w:color="auto"/>
            </w:tcBorders>
            <w:shd w:val="clear" w:color="auto" w:fill="auto"/>
            <w:noWrap/>
            <w:vAlign w:val="center"/>
            <w:hideMark/>
          </w:tcPr>
          <w:p w14:paraId="02184D85" w14:textId="77777777" w:rsidR="00396CB4" w:rsidRPr="00396CB4" w:rsidRDefault="00396CB4" w:rsidP="00396CB4">
            <w:pPr>
              <w:spacing w:after="0" w:line="240" w:lineRule="auto"/>
              <w:jc w:val="center"/>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   </w:t>
            </w:r>
          </w:p>
        </w:tc>
        <w:tc>
          <w:tcPr>
            <w:tcW w:w="1020" w:type="dxa"/>
            <w:tcBorders>
              <w:top w:val="nil"/>
              <w:left w:val="nil"/>
              <w:bottom w:val="single" w:sz="8" w:space="0" w:color="auto"/>
              <w:right w:val="single" w:sz="8" w:space="0" w:color="auto"/>
            </w:tcBorders>
            <w:shd w:val="clear" w:color="auto" w:fill="auto"/>
            <w:noWrap/>
            <w:vAlign w:val="center"/>
            <w:hideMark/>
          </w:tcPr>
          <w:p w14:paraId="79629CE3"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0,00%</w:t>
            </w:r>
          </w:p>
        </w:tc>
      </w:tr>
    </w:tbl>
    <w:p w14:paraId="033A6C46" w14:textId="77777777" w:rsidR="00396CB4" w:rsidRPr="00396CB4" w:rsidRDefault="007F611C" w:rsidP="00396CB4">
      <w:pPr>
        <w:spacing w:before="240"/>
        <w:rPr>
          <w:rFonts w:eastAsia="Times New Roman" w:cs="Calibri"/>
          <w:color w:val="000000"/>
          <w:lang w:eastAsia="es-CR"/>
        </w:rPr>
      </w:pPr>
      <w:r>
        <w:rPr>
          <w:rFonts w:eastAsia="Times New Roman" w:cs="Calibri"/>
          <w:color w:val="000000"/>
          <w:lang w:eastAsia="es-CR"/>
        </w:rPr>
        <w:fldChar w:fldCharType="end"/>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756467">
        <w:rPr>
          <w:rFonts w:eastAsia="Times New Roman" w:cs="Calibri"/>
          <w:color w:val="000000"/>
          <w:lang w:eastAsia="es-CR"/>
        </w:rPr>
        <w:instrText xml:space="preserve">Excel.SheetMacroEnabled.12 "C:\\Users\\gcordero\\Downloads\\Notas diciembre 2024\\Formato_Notas_EEFF_Vinculadas_2024\\Formato_Notas_EEFF_Vinculadas_2024\\15603_T04_2024_Anexo_Estado_Notas_Contables_Vinculadas.xlsm" NOTAS_POR_CUENTA!F445C8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1E734B43" w14:textId="77777777" w:rsidR="00396CB4" w:rsidRPr="00396CB4" w:rsidRDefault="00396CB4" w:rsidP="00396CB4">
      <w:pPr>
        <w:spacing w:before="240"/>
        <w:rPr>
          <w:rFonts w:eastAsia="Times New Roman" w:cs="Calibri"/>
          <w:color w:val="000000"/>
          <w:lang w:eastAsia="es-CR"/>
        </w:rPr>
      </w:pPr>
      <w:r w:rsidRPr="00396CB4">
        <w:rPr>
          <w:rFonts w:eastAsia="Times New Roman" w:cs="Calibri"/>
          <w:color w:val="000000"/>
          <w:lang w:eastAsia="es-CR"/>
        </w:rPr>
        <w:t>Los Cobros de los Flujos de Efectivo de las Actividades de Inversión, comparado al periodo anterior genera una variación absoluta de 0 000,00 que corresponde a un Aumento del 0,00% de recursos disponibles.</w:t>
      </w:r>
    </w:p>
    <w:p w14:paraId="727786A1" w14:textId="092F0E43" w:rsidR="00692DC8" w:rsidRPr="00692DC8" w:rsidRDefault="007F611C" w:rsidP="007F611C">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12F924BD" w14:textId="0E82EB3D" w:rsidR="00692DC8" w:rsidRDefault="00692DC8" w:rsidP="0037354C">
      <w:pPr>
        <w:rPr>
          <w:szCs w:val="24"/>
        </w:rPr>
      </w:pPr>
    </w:p>
    <w:p w14:paraId="4F874180" w14:textId="7E1E7D37" w:rsidR="006B6584" w:rsidRDefault="006B6584" w:rsidP="0037354C">
      <w:pPr>
        <w:rPr>
          <w:szCs w:val="24"/>
        </w:rPr>
      </w:pPr>
    </w:p>
    <w:p w14:paraId="72B69DF7" w14:textId="7B521F5E" w:rsidR="006B6584" w:rsidRDefault="006B6584" w:rsidP="0037354C">
      <w:pPr>
        <w:rPr>
          <w:szCs w:val="24"/>
        </w:rPr>
      </w:pPr>
    </w:p>
    <w:p w14:paraId="188A5FDF" w14:textId="77777777" w:rsidR="006B6584" w:rsidRPr="00692DC8" w:rsidRDefault="006B6584" w:rsidP="0037354C">
      <w:pPr>
        <w:rPr>
          <w:szCs w:val="24"/>
        </w:rPr>
      </w:pPr>
    </w:p>
    <w:p w14:paraId="7B032AEB" w14:textId="77777777" w:rsidR="00692DC8" w:rsidRPr="00692DC8" w:rsidRDefault="00692DC8" w:rsidP="0037354C">
      <w:pPr>
        <w:pStyle w:val="Ttulo4"/>
        <w:spacing w:after="240"/>
        <w:rPr>
          <w:rFonts w:eastAsia="Times New Roman"/>
        </w:rPr>
      </w:pPr>
      <w:bookmarkStart w:id="1066" w:name="_Toc33601363"/>
      <w:bookmarkStart w:id="1067" w:name="_Toc82769082"/>
      <w:bookmarkStart w:id="1068" w:name="_Toc189804935"/>
      <w:r w:rsidRPr="00692DC8">
        <w:rPr>
          <w:rFonts w:eastAsia="Times New Roman"/>
        </w:rPr>
        <w:lastRenderedPageBreak/>
        <w:t>NOTA N°</w:t>
      </w:r>
      <w:bookmarkEnd w:id="1066"/>
      <w:bookmarkEnd w:id="1067"/>
      <w:r w:rsidRPr="00692DC8">
        <w:rPr>
          <w:rFonts w:eastAsia="Times New Roman"/>
        </w:rPr>
        <w:t>80</w:t>
      </w:r>
      <w:bookmarkEnd w:id="1068"/>
    </w:p>
    <w:p w14:paraId="1A20E27F" w14:textId="77777777" w:rsidR="006B6584" w:rsidRDefault="00692DC8" w:rsidP="0037354C">
      <w:pPr>
        <w:spacing w:after="0"/>
        <w:rPr>
          <w:rFonts w:eastAsia="Times New Roman"/>
        </w:rPr>
      </w:pPr>
      <w:bookmarkStart w:id="1069" w:name="_Toc33601364"/>
      <w:bookmarkStart w:id="1070" w:name="_Toc82769083"/>
      <w:r w:rsidRPr="00692DC8">
        <w:rPr>
          <w:rFonts w:eastAsia="Times New Roman"/>
        </w:rPr>
        <w:t>Pagos</w:t>
      </w:r>
      <w:bookmarkEnd w:id="1069"/>
      <w:bookmarkEnd w:id="1070"/>
    </w:p>
    <w:tbl>
      <w:tblPr>
        <w:tblW w:w="8940" w:type="dxa"/>
        <w:tblCellMar>
          <w:left w:w="0" w:type="dxa"/>
          <w:right w:w="0" w:type="dxa"/>
        </w:tblCellMar>
        <w:tblLook w:val="04A0" w:firstRow="1" w:lastRow="0" w:firstColumn="1" w:lastColumn="0" w:noHBand="0" w:noVBand="1"/>
      </w:tblPr>
      <w:tblGrid>
        <w:gridCol w:w="3220"/>
        <w:gridCol w:w="500"/>
        <w:gridCol w:w="2100"/>
        <w:gridCol w:w="2100"/>
        <w:gridCol w:w="1020"/>
      </w:tblGrid>
      <w:tr w:rsidR="006B6584" w14:paraId="0D6BFFC9" w14:textId="77777777" w:rsidTr="006B6584">
        <w:trPr>
          <w:trHeight w:val="330"/>
        </w:trPr>
        <w:tc>
          <w:tcPr>
            <w:tcW w:w="32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381E43C" w14:textId="77777777" w:rsidR="006B6584" w:rsidRDefault="006B6584">
            <w:pPr>
              <w:spacing w:line="240" w:lineRule="auto"/>
              <w:rPr>
                <w:rFonts w:cs="Calibri"/>
                <w:b/>
                <w:bCs/>
                <w:color w:val="FFFFFF"/>
                <w:sz w:val="18"/>
                <w:szCs w:val="18"/>
              </w:rPr>
            </w:pPr>
            <w:r>
              <w:rPr>
                <w:rFonts w:cs="Calibri"/>
                <w:b/>
                <w:bCs/>
                <w:color w:val="FFFFFF"/>
                <w:sz w:val="18"/>
                <w:szCs w:val="18"/>
              </w:rPr>
              <w:t xml:space="preserve">Descripción </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91DAD10" w14:textId="77777777" w:rsidR="006B6584" w:rsidRDefault="006B6584">
            <w:pPr>
              <w:jc w:val="center"/>
              <w:rPr>
                <w:rFonts w:cs="Calibri"/>
                <w:b/>
                <w:bCs/>
                <w:color w:val="FFFFFF"/>
                <w:sz w:val="18"/>
                <w:szCs w:val="18"/>
              </w:rPr>
            </w:pPr>
            <w:r>
              <w:rPr>
                <w:rFonts w:cs="Calibri"/>
                <w:b/>
                <w:bCs/>
                <w:color w:val="FFFFFF"/>
                <w:sz w:val="18"/>
                <w:szCs w:val="18"/>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284FB6E" w14:textId="77777777" w:rsidR="006B6584" w:rsidRDefault="006B6584">
            <w:pPr>
              <w:jc w:val="center"/>
              <w:rPr>
                <w:rFonts w:cs="Calibri"/>
                <w:b/>
                <w:bCs/>
                <w:color w:val="FFFFFF"/>
                <w:sz w:val="18"/>
                <w:szCs w:val="18"/>
              </w:rPr>
            </w:pPr>
            <w:r>
              <w:rPr>
                <w:rFonts w:cs="Calibri"/>
                <w:b/>
                <w:bCs/>
                <w:color w:val="FFFFFF"/>
                <w:sz w:val="18"/>
                <w:szCs w:val="18"/>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2AE82C7" w14:textId="77777777" w:rsidR="006B6584" w:rsidRDefault="006B6584">
            <w:pPr>
              <w:jc w:val="center"/>
              <w:rPr>
                <w:rFonts w:cs="Calibri"/>
                <w:b/>
                <w:bCs/>
                <w:color w:val="FFFFFF"/>
                <w:sz w:val="18"/>
                <w:szCs w:val="18"/>
              </w:rPr>
            </w:pPr>
            <w:r>
              <w:rPr>
                <w:rFonts w:cs="Calibri"/>
                <w:b/>
                <w:bCs/>
                <w:color w:val="FFFFFF"/>
                <w:sz w:val="18"/>
                <w:szCs w:val="18"/>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0BDBE1A4" w14:textId="77777777" w:rsidR="006B6584" w:rsidRDefault="006B6584">
            <w:pPr>
              <w:jc w:val="center"/>
              <w:rPr>
                <w:rFonts w:cs="Calibri"/>
                <w:b/>
                <w:bCs/>
                <w:color w:val="FFFFFF"/>
                <w:sz w:val="18"/>
                <w:szCs w:val="18"/>
              </w:rPr>
            </w:pPr>
            <w:r>
              <w:rPr>
                <w:rFonts w:cs="Calibri"/>
                <w:b/>
                <w:bCs/>
                <w:color w:val="FFFFFF"/>
                <w:sz w:val="18"/>
                <w:szCs w:val="18"/>
              </w:rPr>
              <w:t xml:space="preserve">Diferencia </w:t>
            </w:r>
          </w:p>
        </w:tc>
      </w:tr>
      <w:tr w:rsidR="006B6584" w14:paraId="58C3013E" w14:textId="77777777" w:rsidTr="006B6584">
        <w:trPr>
          <w:trHeight w:val="33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3408622" w14:textId="77777777" w:rsidR="006B6584" w:rsidRDefault="006B6584">
            <w:pPr>
              <w:rPr>
                <w:rFonts w:cs="Calibri"/>
                <w:b/>
                <w:bCs/>
                <w:color w:val="FFFFFF"/>
                <w:sz w:val="18"/>
                <w:szCs w:val="18"/>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D667E19" w14:textId="77777777" w:rsidR="006B6584" w:rsidRDefault="006B6584">
            <w:pPr>
              <w:rPr>
                <w:rFonts w:cs="Calibri"/>
                <w:b/>
                <w:bCs/>
                <w:color w:val="FFFFFF"/>
                <w:sz w:val="18"/>
                <w:szCs w:val="18"/>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0006452" w14:textId="77777777" w:rsidR="006B6584" w:rsidRDefault="006B6584">
            <w:pPr>
              <w:rPr>
                <w:rFonts w:cs="Calibri"/>
                <w:b/>
                <w:bCs/>
                <w:color w:val="FFFFFF"/>
                <w:sz w:val="18"/>
                <w:szCs w:val="18"/>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A156318" w14:textId="77777777" w:rsidR="006B6584" w:rsidRDefault="006B6584">
            <w:pPr>
              <w:rPr>
                <w:rFonts w:cs="Calibri"/>
                <w:b/>
                <w:bCs/>
                <w:color w:val="FFFFFF"/>
                <w:sz w:val="18"/>
                <w:szCs w:val="18"/>
              </w:rPr>
            </w:pPr>
          </w:p>
        </w:tc>
        <w:tc>
          <w:tcPr>
            <w:tcW w:w="0" w:type="auto"/>
            <w:tcBorders>
              <w:top w:val="nil"/>
              <w:left w:val="nil"/>
              <w:bottom w:val="single" w:sz="8" w:space="0" w:color="auto"/>
              <w:right w:val="single" w:sz="8" w:space="0" w:color="auto"/>
            </w:tcBorders>
            <w:shd w:val="clear" w:color="000000" w:fill="366092"/>
            <w:noWrap/>
            <w:vAlign w:val="center"/>
            <w:hideMark/>
          </w:tcPr>
          <w:p w14:paraId="51879098" w14:textId="77777777" w:rsidR="006B6584" w:rsidRDefault="006B6584">
            <w:pPr>
              <w:jc w:val="center"/>
              <w:rPr>
                <w:rFonts w:cs="Calibri"/>
                <w:color w:val="FFFFFF"/>
                <w:sz w:val="18"/>
                <w:szCs w:val="18"/>
              </w:rPr>
            </w:pPr>
            <w:r>
              <w:rPr>
                <w:rFonts w:cs="Calibri"/>
                <w:color w:val="FFFFFF"/>
                <w:sz w:val="18"/>
                <w:szCs w:val="18"/>
              </w:rPr>
              <w:t>%</w:t>
            </w:r>
          </w:p>
        </w:tc>
      </w:tr>
      <w:tr w:rsidR="006B6584" w14:paraId="4505E413" w14:textId="77777777" w:rsidTr="006B6584">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C138230" w14:textId="77777777" w:rsidR="006B6584" w:rsidRDefault="006B6584">
            <w:pPr>
              <w:jc w:val="left"/>
              <w:rPr>
                <w:rFonts w:cs="Calibri"/>
                <w:b/>
                <w:bCs/>
                <w:color w:val="000000"/>
                <w:sz w:val="18"/>
                <w:szCs w:val="18"/>
              </w:rPr>
            </w:pPr>
            <w:r>
              <w:rPr>
                <w:rFonts w:cs="Calibri"/>
                <w:b/>
                <w:bCs/>
                <w:color w:val="000000"/>
                <w:sz w:val="18"/>
                <w:szCs w:val="18"/>
              </w:rPr>
              <w:t>Pagos</w:t>
            </w:r>
          </w:p>
        </w:tc>
        <w:tc>
          <w:tcPr>
            <w:tcW w:w="0" w:type="auto"/>
            <w:tcBorders>
              <w:top w:val="nil"/>
              <w:left w:val="nil"/>
              <w:bottom w:val="single" w:sz="8" w:space="0" w:color="auto"/>
              <w:right w:val="single" w:sz="8" w:space="0" w:color="auto"/>
            </w:tcBorders>
            <w:shd w:val="clear" w:color="auto" w:fill="auto"/>
            <w:noWrap/>
            <w:vAlign w:val="center"/>
            <w:hideMark/>
          </w:tcPr>
          <w:p w14:paraId="23763D09" w14:textId="77777777" w:rsidR="006B6584" w:rsidRDefault="006B6584">
            <w:pPr>
              <w:jc w:val="center"/>
              <w:rPr>
                <w:rFonts w:cs="Calibri"/>
                <w:b/>
                <w:bCs/>
                <w:color w:val="000000"/>
                <w:sz w:val="18"/>
                <w:szCs w:val="18"/>
              </w:rPr>
            </w:pPr>
            <w:r>
              <w:rPr>
                <w:rFonts w:cs="Calibri"/>
                <w:b/>
                <w:bCs/>
                <w:color w:val="000000"/>
                <w:sz w:val="18"/>
                <w:szCs w:val="18"/>
              </w:rPr>
              <w:t>80</w:t>
            </w:r>
          </w:p>
        </w:tc>
        <w:tc>
          <w:tcPr>
            <w:tcW w:w="0" w:type="auto"/>
            <w:tcBorders>
              <w:top w:val="nil"/>
              <w:left w:val="nil"/>
              <w:bottom w:val="single" w:sz="8" w:space="0" w:color="auto"/>
              <w:right w:val="single" w:sz="8" w:space="0" w:color="auto"/>
            </w:tcBorders>
            <w:shd w:val="clear" w:color="auto" w:fill="auto"/>
            <w:noWrap/>
            <w:vAlign w:val="center"/>
            <w:hideMark/>
          </w:tcPr>
          <w:p w14:paraId="0A1054B2" w14:textId="77777777" w:rsidR="006B6584" w:rsidRDefault="006B6584">
            <w:pPr>
              <w:jc w:val="center"/>
              <w:rPr>
                <w:rFonts w:cs="Calibri"/>
                <w:b/>
                <w:bCs/>
                <w:color w:val="000000"/>
                <w:sz w:val="16"/>
                <w:szCs w:val="16"/>
              </w:rPr>
            </w:pPr>
            <w:r>
              <w:rPr>
                <w:rFonts w:cs="Calibri"/>
                <w:b/>
                <w:bCs/>
                <w:color w:val="000000"/>
                <w:sz w:val="16"/>
                <w:szCs w:val="16"/>
              </w:rPr>
              <w:t xml:space="preserve"> 509 414,18 </w:t>
            </w:r>
          </w:p>
        </w:tc>
        <w:tc>
          <w:tcPr>
            <w:tcW w:w="0" w:type="auto"/>
            <w:tcBorders>
              <w:top w:val="nil"/>
              <w:left w:val="nil"/>
              <w:bottom w:val="single" w:sz="8" w:space="0" w:color="auto"/>
              <w:right w:val="single" w:sz="8" w:space="0" w:color="auto"/>
            </w:tcBorders>
            <w:shd w:val="clear" w:color="auto" w:fill="auto"/>
            <w:noWrap/>
            <w:vAlign w:val="center"/>
            <w:hideMark/>
          </w:tcPr>
          <w:p w14:paraId="2F8DDCA6" w14:textId="77777777" w:rsidR="006B6584" w:rsidRDefault="006B6584">
            <w:pPr>
              <w:jc w:val="center"/>
              <w:rPr>
                <w:rFonts w:cs="Calibri"/>
                <w:b/>
                <w:bCs/>
                <w:color w:val="000000"/>
                <w:sz w:val="16"/>
                <w:szCs w:val="16"/>
              </w:rPr>
            </w:pPr>
            <w:r>
              <w:rPr>
                <w:rFonts w:cs="Calibri"/>
                <w:b/>
                <w:bCs/>
                <w:color w:val="000000"/>
                <w:sz w:val="16"/>
                <w:szCs w:val="16"/>
              </w:rPr>
              <w:t xml:space="preserve"> 322 891,51 </w:t>
            </w:r>
          </w:p>
        </w:tc>
        <w:tc>
          <w:tcPr>
            <w:tcW w:w="0" w:type="auto"/>
            <w:tcBorders>
              <w:top w:val="nil"/>
              <w:left w:val="nil"/>
              <w:bottom w:val="single" w:sz="8" w:space="0" w:color="auto"/>
              <w:right w:val="single" w:sz="8" w:space="0" w:color="auto"/>
            </w:tcBorders>
            <w:shd w:val="clear" w:color="auto" w:fill="auto"/>
            <w:noWrap/>
            <w:vAlign w:val="center"/>
            <w:hideMark/>
          </w:tcPr>
          <w:p w14:paraId="705697AE" w14:textId="77777777" w:rsidR="006B6584" w:rsidRDefault="006B6584">
            <w:pPr>
              <w:jc w:val="center"/>
              <w:rPr>
                <w:rFonts w:cs="Calibri"/>
                <w:b/>
                <w:bCs/>
                <w:color w:val="000000"/>
                <w:sz w:val="18"/>
                <w:szCs w:val="18"/>
              </w:rPr>
            </w:pPr>
            <w:r>
              <w:rPr>
                <w:rFonts w:cs="Calibri"/>
                <w:b/>
                <w:bCs/>
                <w:color w:val="000000"/>
                <w:sz w:val="18"/>
                <w:szCs w:val="18"/>
              </w:rPr>
              <w:t>57,77%</w:t>
            </w:r>
          </w:p>
        </w:tc>
      </w:tr>
    </w:tbl>
    <w:p w14:paraId="1E87C063" w14:textId="0E0B7C1B" w:rsidR="00396CB4" w:rsidRDefault="006B6584" w:rsidP="0037354C">
      <w:pPr>
        <w:spacing w:after="0"/>
        <w:rPr>
          <w:rFonts w:asciiTheme="minorHAnsi" w:hAnsiTheme="minorHAnsi"/>
          <w:sz w:val="22"/>
        </w:rPr>
      </w:pPr>
      <w:r>
        <w:rPr>
          <w:rFonts w:eastAsia="Times New Roman" w:cstheme="majorBidi"/>
          <w:b/>
          <w:iCs/>
          <w:lang w:eastAsia="es-CR"/>
        </w:rPr>
        <w:t xml:space="preserve"> </w:t>
      </w:r>
      <w:r w:rsidR="007F611C">
        <w:rPr>
          <w:rFonts w:eastAsia="Times New Roman" w:cstheme="majorBidi"/>
          <w:b/>
          <w:iCs/>
          <w:lang w:eastAsia="es-CR"/>
        </w:rPr>
        <w:fldChar w:fldCharType="begin"/>
      </w:r>
      <w:r w:rsidR="007F611C">
        <w:rPr>
          <w:rFonts w:eastAsia="Times New Roman"/>
          <w:lang w:eastAsia="es-CR"/>
        </w:rPr>
        <w:instrText xml:space="preserve"> LINK </w:instrText>
      </w:r>
      <w:r w:rsidR="00756467">
        <w:rPr>
          <w:rFonts w:eastAsia="Times New Roman"/>
          <w:lang w:eastAsia="es-CR"/>
        </w:rPr>
        <w:instrText xml:space="preserve">Excel.SheetMacroEnabled.12 "C:\\Users\\gcordero\\Downloads\\Notas diciembre 2024\\Formato_Notas_EEFF_Vinculadas_2024\\Formato_Notas_EEFF_Vinculadas_2024\\15603_T04_2024_Anexo_Estado_Notas_Contables_Vinculadas.xlsm" NOTAS_POR_CUENTA!F447C2:F449C6 </w:instrText>
      </w:r>
      <w:r w:rsidR="007F611C">
        <w:rPr>
          <w:rFonts w:eastAsia="Times New Roman"/>
          <w:lang w:eastAsia="es-CR"/>
        </w:rPr>
        <w:instrText xml:space="preserve">\a \f 4 \h </w:instrText>
      </w:r>
      <w:r w:rsidR="007F611C">
        <w:rPr>
          <w:rFonts w:eastAsia="Times New Roman"/>
          <w:lang w:eastAsia="es-CR"/>
        </w:rPr>
        <w:fldChar w:fldCharType="separate"/>
      </w:r>
    </w:p>
    <w:p w14:paraId="311D753B" w14:textId="37A63736" w:rsidR="00396CB4" w:rsidRPr="00396CB4" w:rsidRDefault="007F611C" w:rsidP="00CC051D">
      <w:pPr>
        <w:spacing w:after="0"/>
        <w:rPr>
          <w:rFonts w:eastAsia="Times New Roman" w:cs="Calibri"/>
          <w:color w:val="000000"/>
          <w:lang w:eastAsia="es-CR"/>
        </w:rPr>
      </w:pPr>
      <w:r>
        <w:rPr>
          <w:rFonts w:eastAsia="Times New Roman" w:cs="Calibri"/>
          <w:color w:val="000000"/>
          <w:lang w:eastAsia="es-CR"/>
        </w:rPr>
        <w:fldChar w:fldCharType="end"/>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756467">
        <w:rPr>
          <w:rFonts w:eastAsia="Times New Roman" w:cs="Calibri"/>
          <w:color w:val="000000"/>
          <w:lang w:eastAsia="es-CR"/>
        </w:rPr>
        <w:instrText xml:space="preserve">Excel.SheetMacroEnabled.12 "C:\\Users\\gcordero\\Downloads\\Notas diciembre 2024\\Formato_Notas_EEFF_Vinculadas_2024\\Formato_Notas_EEFF_Vinculadas_2024\\15603_T04_2024_Anexo_Estado_Notas_Contables_Vinculadas.xlsm" NOTAS_POR_CUENTA!F449C8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r w:rsidR="00396CB4" w:rsidRPr="00396CB4">
        <w:rPr>
          <w:rFonts w:eastAsia="Times New Roman" w:cs="Calibri"/>
          <w:color w:val="000000"/>
          <w:lang w:eastAsia="es-CR"/>
        </w:rPr>
        <w:t>Los Pagos de los Flujos de Efectivo de las Actividades de Inversión, comparado al periodo anterior ge</w:t>
      </w:r>
      <w:r w:rsidR="006B6584">
        <w:rPr>
          <w:rFonts w:eastAsia="Times New Roman" w:cs="Calibri"/>
          <w:color w:val="000000"/>
          <w:lang w:eastAsia="es-CR"/>
        </w:rPr>
        <w:t>nera una variación absoluta de 186 522,67</w:t>
      </w:r>
      <w:r w:rsidR="00396CB4" w:rsidRPr="00396CB4">
        <w:rPr>
          <w:rFonts w:eastAsia="Times New Roman" w:cs="Calibri"/>
          <w:color w:val="000000"/>
          <w:lang w:eastAsia="es-CR"/>
        </w:rPr>
        <w:t xml:space="preserve"> que corresponde </w:t>
      </w:r>
      <w:r w:rsidR="006B6584">
        <w:rPr>
          <w:rFonts w:eastAsia="Times New Roman" w:cs="Calibri"/>
          <w:color w:val="000000"/>
          <w:lang w:eastAsia="es-CR"/>
        </w:rPr>
        <w:t>a un Aumento del 57,77</w:t>
      </w:r>
      <w:r w:rsidR="00396CB4" w:rsidRPr="00396CB4">
        <w:rPr>
          <w:rFonts w:eastAsia="Times New Roman" w:cs="Calibri"/>
          <w:color w:val="000000"/>
          <w:lang w:eastAsia="es-CR"/>
        </w:rPr>
        <w:t>% de recursos disponibles</w:t>
      </w:r>
      <w:r w:rsidR="00396CB4" w:rsidRPr="00396CB4">
        <w:rPr>
          <w:rFonts w:asciiTheme="minorHAnsi" w:hAnsiTheme="minorHAnsi"/>
          <w:sz w:val="22"/>
        </w:rPr>
        <w:t>.</w:t>
      </w:r>
    </w:p>
    <w:p w14:paraId="78CD1B0E" w14:textId="2A5C0111" w:rsidR="00692DC8" w:rsidRDefault="007F611C" w:rsidP="007F611C">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50C2AA0B" w14:textId="61948671" w:rsidR="00BB627B" w:rsidRDefault="00BB627B" w:rsidP="00BB627B">
      <w:pPr>
        <w:spacing w:after="0" w:line="240" w:lineRule="auto"/>
      </w:pPr>
      <w:r>
        <w:t xml:space="preserve">Como se puede observar la diferencia de se origina debido al aumento en los </w:t>
      </w:r>
      <w:r w:rsidRPr="00020244">
        <w:t>Pagos por adquisición de bienes distintos de inventarios</w:t>
      </w:r>
      <w:r>
        <w:t xml:space="preserve"> (activos de Propiedad, Planta y Equipo),</w:t>
      </w:r>
      <w:r w:rsidRPr="00020244">
        <w:t xml:space="preserve"> ya que, </w:t>
      </w:r>
      <w:r>
        <w:t xml:space="preserve">durante el periodo comprendido entre </w:t>
      </w:r>
      <w:r w:rsidRPr="00020244">
        <w:t xml:space="preserve">al </w:t>
      </w:r>
      <w:r w:rsidR="00796636">
        <w:t>31</w:t>
      </w:r>
      <w:r>
        <w:t xml:space="preserve"> de </w:t>
      </w:r>
      <w:r w:rsidR="00D64CF8">
        <w:t>diciembre</w:t>
      </w:r>
      <w:r w:rsidRPr="00020244">
        <w:t xml:space="preserve"> de </w:t>
      </w:r>
      <w:r>
        <w:t xml:space="preserve">2023 y el </w:t>
      </w:r>
      <w:r w:rsidR="00796636">
        <w:t>31</w:t>
      </w:r>
      <w:r>
        <w:t xml:space="preserve"> de </w:t>
      </w:r>
      <w:r w:rsidR="00D64CF8">
        <w:t>diciembre</w:t>
      </w:r>
      <w:r>
        <w:t xml:space="preserve"> de 2024,</w:t>
      </w:r>
      <w:r w:rsidRPr="00020244">
        <w:t xml:space="preserve"> se adquirieron bienes distintos de inventario </w:t>
      </w:r>
      <w:r>
        <w:t>p</w:t>
      </w:r>
      <w:r w:rsidRPr="00020244">
        <w:t>or un monto superior a</w:t>
      </w:r>
      <w:r>
        <w:t xml:space="preserve"> </w:t>
      </w:r>
      <w:r w:rsidRPr="00020244">
        <w:t>l</w:t>
      </w:r>
      <w:r>
        <w:t xml:space="preserve">os adquiridos al </w:t>
      </w:r>
      <w:r w:rsidR="00796636">
        <w:t>31</w:t>
      </w:r>
      <w:r>
        <w:t xml:space="preserve"> de </w:t>
      </w:r>
      <w:r w:rsidR="00D64CF8">
        <w:t>diciembre</w:t>
      </w:r>
      <w:r>
        <w:t xml:space="preserve"> de 2023</w:t>
      </w:r>
      <w:r w:rsidRPr="00020244">
        <w:t>.</w:t>
      </w:r>
      <w:r>
        <w:t xml:space="preserve"> </w:t>
      </w:r>
    </w:p>
    <w:p w14:paraId="26A1A3B2" w14:textId="77777777" w:rsidR="00BB627B" w:rsidRPr="00692DC8" w:rsidRDefault="00BB627B" w:rsidP="007F611C"/>
    <w:p w14:paraId="15B98DDC" w14:textId="77777777" w:rsidR="00692DC8" w:rsidRPr="00692DC8" w:rsidRDefault="00692DC8" w:rsidP="0037354C"/>
    <w:p w14:paraId="0A83F5A2" w14:textId="77777777" w:rsidR="00692DC8" w:rsidRPr="00692DC8" w:rsidRDefault="00692DC8" w:rsidP="0037354C">
      <w:pPr>
        <w:pStyle w:val="Ttulo4"/>
        <w:spacing w:after="240"/>
        <w:rPr>
          <w:rFonts w:eastAsia="Times New Roman"/>
          <w:lang w:eastAsia="es-CR"/>
        </w:rPr>
      </w:pPr>
      <w:bookmarkStart w:id="1071" w:name="_Toc33601365"/>
      <w:bookmarkStart w:id="1072" w:name="_Toc82769084"/>
      <w:bookmarkStart w:id="1073" w:name="_Toc189804936"/>
      <w:r w:rsidRPr="00692DC8">
        <w:rPr>
          <w:rFonts w:eastAsia="Times New Roman"/>
          <w:lang w:eastAsia="es-CR"/>
        </w:rPr>
        <w:t>FLUJOS DE EFECTIVO DE LAS ACTIVIDADES DE FINANCIACIÓN</w:t>
      </w:r>
      <w:bookmarkEnd w:id="1071"/>
      <w:bookmarkEnd w:id="1072"/>
      <w:bookmarkEnd w:id="1073"/>
    </w:p>
    <w:p w14:paraId="037310FC" w14:textId="77777777" w:rsidR="00692DC8" w:rsidRPr="00692DC8" w:rsidRDefault="00692DC8" w:rsidP="0037354C">
      <w:pPr>
        <w:pStyle w:val="Ttulo4"/>
        <w:spacing w:after="240"/>
        <w:rPr>
          <w:rFonts w:eastAsia="Times New Roman"/>
          <w:bCs/>
        </w:rPr>
      </w:pPr>
      <w:bookmarkStart w:id="1074" w:name="_Toc33601366"/>
      <w:bookmarkStart w:id="1075" w:name="_Toc82769085"/>
      <w:bookmarkStart w:id="1076" w:name="_Toc189804937"/>
      <w:r w:rsidRPr="00692DC8">
        <w:rPr>
          <w:rFonts w:eastAsia="Times New Roman"/>
          <w:bCs/>
        </w:rPr>
        <w:t>NOTA N°8</w:t>
      </w:r>
      <w:bookmarkEnd w:id="1074"/>
      <w:bookmarkEnd w:id="1075"/>
      <w:r w:rsidRPr="00692DC8">
        <w:rPr>
          <w:rFonts w:eastAsia="Times New Roman"/>
          <w:bCs/>
        </w:rPr>
        <w:t>1</w:t>
      </w:r>
      <w:bookmarkEnd w:id="1076"/>
    </w:p>
    <w:p w14:paraId="6BECDCD8" w14:textId="77777777" w:rsidR="006B6584" w:rsidRDefault="00692DC8" w:rsidP="00F51D42">
      <w:pPr>
        <w:spacing w:before="240"/>
        <w:rPr>
          <w:rFonts w:eastAsia="Times New Roman"/>
          <w:bCs/>
        </w:rPr>
      </w:pPr>
      <w:bookmarkStart w:id="1077" w:name="_Toc33601367"/>
      <w:bookmarkStart w:id="1078" w:name="_Toc82769086"/>
      <w:r w:rsidRPr="00692DC8">
        <w:rPr>
          <w:rFonts w:eastAsia="Times New Roman"/>
          <w:bCs/>
        </w:rPr>
        <w:t>Cobros</w:t>
      </w:r>
      <w:bookmarkEnd w:id="1077"/>
      <w:bookmarkEnd w:id="1078"/>
    </w:p>
    <w:tbl>
      <w:tblPr>
        <w:tblW w:w="8940" w:type="dxa"/>
        <w:tblCellMar>
          <w:left w:w="0" w:type="dxa"/>
          <w:right w:w="0" w:type="dxa"/>
        </w:tblCellMar>
        <w:tblLook w:val="04A0" w:firstRow="1" w:lastRow="0" w:firstColumn="1" w:lastColumn="0" w:noHBand="0" w:noVBand="1"/>
      </w:tblPr>
      <w:tblGrid>
        <w:gridCol w:w="3220"/>
        <w:gridCol w:w="500"/>
        <w:gridCol w:w="2100"/>
        <w:gridCol w:w="2100"/>
        <w:gridCol w:w="1020"/>
      </w:tblGrid>
      <w:tr w:rsidR="006B6584" w14:paraId="03D5C7A0" w14:textId="77777777" w:rsidTr="006B6584">
        <w:trPr>
          <w:trHeight w:val="330"/>
        </w:trPr>
        <w:tc>
          <w:tcPr>
            <w:tcW w:w="32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2CD34EB" w14:textId="77777777" w:rsidR="006B6584" w:rsidRDefault="006B6584">
            <w:pPr>
              <w:spacing w:line="240" w:lineRule="auto"/>
              <w:rPr>
                <w:rFonts w:cs="Calibri"/>
                <w:b/>
                <w:bCs/>
                <w:color w:val="FFFFFF"/>
                <w:sz w:val="18"/>
                <w:szCs w:val="18"/>
              </w:rPr>
            </w:pPr>
            <w:r>
              <w:rPr>
                <w:rFonts w:cs="Calibri"/>
                <w:b/>
                <w:bCs/>
                <w:color w:val="FFFFFF"/>
                <w:sz w:val="18"/>
                <w:szCs w:val="18"/>
              </w:rPr>
              <w:t xml:space="preserve">Descripción </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573EDDF" w14:textId="77777777" w:rsidR="006B6584" w:rsidRDefault="006B6584">
            <w:pPr>
              <w:jc w:val="center"/>
              <w:rPr>
                <w:rFonts w:cs="Calibri"/>
                <w:b/>
                <w:bCs/>
                <w:color w:val="FFFFFF"/>
                <w:sz w:val="18"/>
                <w:szCs w:val="18"/>
              </w:rPr>
            </w:pPr>
            <w:r>
              <w:rPr>
                <w:rFonts w:cs="Calibri"/>
                <w:b/>
                <w:bCs/>
                <w:color w:val="FFFFFF"/>
                <w:sz w:val="18"/>
                <w:szCs w:val="18"/>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B7936F6" w14:textId="77777777" w:rsidR="006B6584" w:rsidRDefault="006B6584">
            <w:pPr>
              <w:jc w:val="center"/>
              <w:rPr>
                <w:rFonts w:cs="Calibri"/>
                <w:b/>
                <w:bCs/>
                <w:color w:val="FFFFFF"/>
                <w:sz w:val="18"/>
                <w:szCs w:val="18"/>
              </w:rPr>
            </w:pPr>
            <w:r>
              <w:rPr>
                <w:rFonts w:cs="Calibri"/>
                <w:b/>
                <w:bCs/>
                <w:color w:val="FFFFFF"/>
                <w:sz w:val="18"/>
                <w:szCs w:val="18"/>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43E68FE" w14:textId="77777777" w:rsidR="006B6584" w:rsidRDefault="006B6584">
            <w:pPr>
              <w:jc w:val="center"/>
              <w:rPr>
                <w:rFonts w:cs="Calibri"/>
                <w:b/>
                <w:bCs/>
                <w:color w:val="FFFFFF"/>
                <w:sz w:val="18"/>
                <w:szCs w:val="18"/>
              </w:rPr>
            </w:pPr>
            <w:r>
              <w:rPr>
                <w:rFonts w:cs="Calibri"/>
                <w:b/>
                <w:bCs/>
                <w:color w:val="FFFFFF"/>
                <w:sz w:val="18"/>
                <w:szCs w:val="18"/>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694E81C8" w14:textId="77777777" w:rsidR="006B6584" w:rsidRDefault="006B6584">
            <w:pPr>
              <w:jc w:val="center"/>
              <w:rPr>
                <w:rFonts w:cs="Calibri"/>
                <w:b/>
                <w:bCs/>
                <w:color w:val="FFFFFF"/>
                <w:sz w:val="18"/>
                <w:szCs w:val="18"/>
              </w:rPr>
            </w:pPr>
            <w:r>
              <w:rPr>
                <w:rFonts w:cs="Calibri"/>
                <w:b/>
                <w:bCs/>
                <w:color w:val="FFFFFF"/>
                <w:sz w:val="18"/>
                <w:szCs w:val="18"/>
              </w:rPr>
              <w:t xml:space="preserve">Diferencia </w:t>
            </w:r>
          </w:p>
        </w:tc>
      </w:tr>
      <w:tr w:rsidR="006B6584" w14:paraId="5B5D0D62" w14:textId="77777777" w:rsidTr="006B6584">
        <w:trPr>
          <w:trHeight w:val="33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B58032B" w14:textId="77777777" w:rsidR="006B6584" w:rsidRDefault="006B6584">
            <w:pPr>
              <w:rPr>
                <w:rFonts w:cs="Calibri"/>
                <w:b/>
                <w:bCs/>
                <w:color w:val="FFFFFF"/>
                <w:sz w:val="18"/>
                <w:szCs w:val="18"/>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A7E4B62" w14:textId="77777777" w:rsidR="006B6584" w:rsidRDefault="006B6584">
            <w:pPr>
              <w:rPr>
                <w:rFonts w:cs="Calibri"/>
                <w:b/>
                <w:bCs/>
                <w:color w:val="FFFFFF"/>
                <w:sz w:val="18"/>
                <w:szCs w:val="18"/>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A1EC260" w14:textId="77777777" w:rsidR="006B6584" w:rsidRDefault="006B6584">
            <w:pPr>
              <w:rPr>
                <w:rFonts w:cs="Calibri"/>
                <w:b/>
                <w:bCs/>
                <w:color w:val="FFFFFF"/>
                <w:sz w:val="18"/>
                <w:szCs w:val="18"/>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9139333" w14:textId="77777777" w:rsidR="006B6584" w:rsidRDefault="006B6584">
            <w:pPr>
              <w:rPr>
                <w:rFonts w:cs="Calibri"/>
                <w:b/>
                <w:bCs/>
                <w:color w:val="FFFFFF"/>
                <w:sz w:val="18"/>
                <w:szCs w:val="18"/>
              </w:rPr>
            </w:pPr>
          </w:p>
        </w:tc>
        <w:tc>
          <w:tcPr>
            <w:tcW w:w="0" w:type="auto"/>
            <w:tcBorders>
              <w:top w:val="nil"/>
              <w:left w:val="nil"/>
              <w:bottom w:val="single" w:sz="8" w:space="0" w:color="auto"/>
              <w:right w:val="single" w:sz="8" w:space="0" w:color="auto"/>
            </w:tcBorders>
            <w:shd w:val="clear" w:color="000000" w:fill="366092"/>
            <w:noWrap/>
            <w:vAlign w:val="center"/>
            <w:hideMark/>
          </w:tcPr>
          <w:p w14:paraId="6F02D973" w14:textId="77777777" w:rsidR="006B6584" w:rsidRDefault="006B6584">
            <w:pPr>
              <w:jc w:val="center"/>
              <w:rPr>
                <w:rFonts w:cs="Calibri"/>
                <w:color w:val="FFFFFF"/>
                <w:sz w:val="18"/>
                <w:szCs w:val="18"/>
              </w:rPr>
            </w:pPr>
            <w:r>
              <w:rPr>
                <w:rFonts w:cs="Calibri"/>
                <w:color w:val="FFFFFF"/>
                <w:sz w:val="18"/>
                <w:szCs w:val="18"/>
              </w:rPr>
              <w:t>%</w:t>
            </w:r>
          </w:p>
        </w:tc>
      </w:tr>
      <w:tr w:rsidR="006B6584" w14:paraId="409EDC40" w14:textId="77777777" w:rsidTr="006B6584">
        <w:trPr>
          <w:trHeight w:val="330"/>
        </w:trPr>
        <w:tc>
          <w:tcPr>
            <w:tcW w:w="3220" w:type="dxa"/>
            <w:tcBorders>
              <w:top w:val="nil"/>
              <w:left w:val="single" w:sz="8" w:space="0" w:color="auto"/>
              <w:bottom w:val="single" w:sz="8" w:space="0" w:color="auto"/>
              <w:right w:val="single" w:sz="8" w:space="0" w:color="auto"/>
            </w:tcBorders>
            <w:shd w:val="clear" w:color="auto" w:fill="auto"/>
            <w:vAlign w:val="center"/>
            <w:hideMark/>
          </w:tcPr>
          <w:p w14:paraId="1BD74524" w14:textId="77777777" w:rsidR="006B6584" w:rsidRDefault="006B6584">
            <w:pPr>
              <w:rPr>
                <w:rFonts w:cs="Calibri"/>
                <w:b/>
                <w:bCs/>
                <w:color w:val="000000"/>
                <w:sz w:val="18"/>
                <w:szCs w:val="18"/>
              </w:rPr>
            </w:pPr>
            <w:r>
              <w:rPr>
                <w:rFonts w:cs="Calibri"/>
                <w:b/>
                <w:bCs/>
                <w:color w:val="000000"/>
                <w:sz w:val="18"/>
                <w:szCs w:val="18"/>
              </w:rPr>
              <w:t>Cobros</w:t>
            </w:r>
          </w:p>
        </w:tc>
        <w:tc>
          <w:tcPr>
            <w:tcW w:w="0" w:type="auto"/>
            <w:tcBorders>
              <w:top w:val="nil"/>
              <w:left w:val="nil"/>
              <w:bottom w:val="single" w:sz="8" w:space="0" w:color="auto"/>
              <w:right w:val="single" w:sz="8" w:space="0" w:color="auto"/>
            </w:tcBorders>
            <w:shd w:val="clear" w:color="auto" w:fill="auto"/>
            <w:noWrap/>
            <w:vAlign w:val="center"/>
            <w:hideMark/>
          </w:tcPr>
          <w:p w14:paraId="2C843612" w14:textId="77777777" w:rsidR="006B6584" w:rsidRDefault="006B6584">
            <w:pPr>
              <w:jc w:val="center"/>
              <w:rPr>
                <w:rFonts w:cs="Calibri"/>
                <w:b/>
                <w:bCs/>
                <w:color w:val="000000"/>
                <w:sz w:val="18"/>
                <w:szCs w:val="18"/>
              </w:rPr>
            </w:pPr>
            <w:r>
              <w:rPr>
                <w:rFonts w:cs="Calibri"/>
                <w:b/>
                <w:bCs/>
                <w:color w:val="000000"/>
                <w:sz w:val="18"/>
                <w:szCs w:val="18"/>
              </w:rPr>
              <w:t>81</w:t>
            </w:r>
          </w:p>
        </w:tc>
        <w:tc>
          <w:tcPr>
            <w:tcW w:w="0" w:type="auto"/>
            <w:tcBorders>
              <w:top w:val="nil"/>
              <w:left w:val="nil"/>
              <w:bottom w:val="single" w:sz="8" w:space="0" w:color="auto"/>
              <w:right w:val="single" w:sz="8" w:space="0" w:color="auto"/>
            </w:tcBorders>
            <w:shd w:val="clear" w:color="auto" w:fill="auto"/>
            <w:noWrap/>
            <w:vAlign w:val="center"/>
            <w:hideMark/>
          </w:tcPr>
          <w:p w14:paraId="671B08A9" w14:textId="77777777" w:rsidR="006B6584" w:rsidRDefault="006B6584">
            <w:pPr>
              <w:jc w:val="center"/>
              <w:rPr>
                <w:rFonts w:cs="Calibri"/>
                <w:b/>
                <w:bCs/>
                <w:color w:val="000000"/>
                <w:sz w:val="16"/>
                <w:szCs w:val="16"/>
              </w:rPr>
            </w:pPr>
            <w:r>
              <w:rPr>
                <w:rFonts w:cs="Calibri"/>
                <w:b/>
                <w:bCs/>
                <w:color w:val="000000"/>
                <w:sz w:val="16"/>
                <w:szCs w:val="16"/>
              </w:rPr>
              <w:t xml:space="preserve"> 1 023 072,24 </w:t>
            </w:r>
          </w:p>
        </w:tc>
        <w:tc>
          <w:tcPr>
            <w:tcW w:w="0" w:type="auto"/>
            <w:tcBorders>
              <w:top w:val="nil"/>
              <w:left w:val="nil"/>
              <w:bottom w:val="single" w:sz="8" w:space="0" w:color="auto"/>
              <w:right w:val="single" w:sz="8" w:space="0" w:color="auto"/>
            </w:tcBorders>
            <w:shd w:val="clear" w:color="auto" w:fill="auto"/>
            <w:noWrap/>
            <w:vAlign w:val="center"/>
            <w:hideMark/>
          </w:tcPr>
          <w:p w14:paraId="1328171C" w14:textId="77777777" w:rsidR="006B6584" w:rsidRDefault="006B6584">
            <w:pPr>
              <w:jc w:val="center"/>
              <w:rPr>
                <w:rFonts w:cs="Calibri"/>
                <w:b/>
                <w:bCs/>
                <w:color w:val="000000"/>
                <w:sz w:val="16"/>
                <w:szCs w:val="16"/>
              </w:rPr>
            </w:pPr>
            <w:r>
              <w:rPr>
                <w:rFonts w:cs="Calibri"/>
                <w:b/>
                <w:bCs/>
                <w:color w:val="000000"/>
                <w:sz w:val="16"/>
                <w:szCs w:val="16"/>
              </w:rPr>
              <w:t xml:space="preserve"> 203 701,81 </w:t>
            </w:r>
          </w:p>
        </w:tc>
        <w:tc>
          <w:tcPr>
            <w:tcW w:w="0" w:type="auto"/>
            <w:tcBorders>
              <w:top w:val="nil"/>
              <w:left w:val="nil"/>
              <w:bottom w:val="single" w:sz="8" w:space="0" w:color="auto"/>
              <w:right w:val="single" w:sz="8" w:space="0" w:color="auto"/>
            </w:tcBorders>
            <w:shd w:val="clear" w:color="auto" w:fill="auto"/>
            <w:noWrap/>
            <w:vAlign w:val="center"/>
            <w:hideMark/>
          </w:tcPr>
          <w:p w14:paraId="040B4D3D" w14:textId="77777777" w:rsidR="006B6584" w:rsidRDefault="006B6584">
            <w:pPr>
              <w:jc w:val="center"/>
              <w:rPr>
                <w:rFonts w:cs="Calibri"/>
                <w:b/>
                <w:bCs/>
                <w:color w:val="000000"/>
                <w:sz w:val="18"/>
                <w:szCs w:val="18"/>
              </w:rPr>
            </w:pPr>
            <w:r>
              <w:rPr>
                <w:rFonts w:cs="Calibri"/>
                <w:b/>
                <w:bCs/>
                <w:color w:val="000000"/>
                <w:sz w:val="18"/>
                <w:szCs w:val="18"/>
              </w:rPr>
              <w:t>402,24%</w:t>
            </w:r>
          </w:p>
        </w:tc>
      </w:tr>
    </w:tbl>
    <w:p w14:paraId="3CFD1709" w14:textId="4FCC1751" w:rsidR="00396CB4" w:rsidRPr="00396CB4" w:rsidRDefault="007F611C" w:rsidP="00396CB4">
      <w:pPr>
        <w:spacing w:before="240"/>
        <w:rPr>
          <w:rFonts w:eastAsia="Times New Roman" w:cs="Calibri"/>
          <w:color w:val="000000"/>
          <w:lang w:eastAsia="es-CR"/>
        </w:rPr>
      </w:pP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756467">
        <w:rPr>
          <w:rFonts w:eastAsia="Times New Roman" w:cs="Calibri"/>
          <w:color w:val="000000"/>
          <w:lang w:eastAsia="es-CR"/>
        </w:rPr>
        <w:instrText xml:space="preserve">Excel.SheetMacroEnabled.12 "C:\\Users\\gcordero\\Downloads\\Notas diciembre 2024\\Formato_Notas_EEFF_Vinculadas_2024\\Formato_Notas_EEFF_Vinculadas_2024\\15603_T04_2024_Anexo_Estado_Notas_Contables_Vinculadas.xlsm" NOTAS_POR_CUENTA!F456C8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3CA14B34" w14:textId="4951C1F3" w:rsidR="00396CB4" w:rsidRPr="00396CB4" w:rsidRDefault="00396CB4" w:rsidP="00396CB4">
      <w:pPr>
        <w:spacing w:before="240"/>
        <w:rPr>
          <w:rFonts w:eastAsia="Times New Roman" w:cs="Calibri"/>
          <w:color w:val="000000"/>
          <w:lang w:eastAsia="es-CR"/>
        </w:rPr>
      </w:pPr>
      <w:r w:rsidRPr="00396CB4">
        <w:rPr>
          <w:rFonts w:eastAsia="Times New Roman" w:cs="Calibri"/>
          <w:color w:val="000000"/>
          <w:lang w:eastAsia="es-CR"/>
        </w:rPr>
        <w:t>Los Cobros de los Flujos de Efectivo de las Actividades de Financiamiento, comparado al periodo anterior ge</w:t>
      </w:r>
      <w:r w:rsidR="006B6584">
        <w:rPr>
          <w:rFonts w:eastAsia="Times New Roman" w:cs="Calibri"/>
          <w:color w:val="000000"/>
          <w:lang w:eastAsia="es-CR"/>
        </w:rPr>
        <w:t>nera una variación absoluta de 819 370,43</w:t>
      </w:r>
      <w:r w:rsidRPr="00396CB4">
        <w:rPr>
          <w:rFonts w:eastAsia="Times New Roman" w:cs="Calibri"/>
          <w:color w:val="000000"/>
          <w:lang w:eastAsia="es-CR"/>
        </w:rPr>
        <w:t xml:space="preserve"> qu</w:t>
      </w:r>
      <w:r w:rsidR="006B6584">
        <w:rPr>
          <w:rFonts w:eastAsia="Times New Roman" w:cs="Calibri"/>
          <w:color w:val="000000"/>
          <w:lang w:eastAsia="es-CR"/>
        </w:rPr>
        <w:t>e corresponde a un Aumento del 402,24</w:t>
      </w:r>
      <w:r w:rsidRPr="00396CB4">
        <w:rPr>
          <w:rFonts w:eastAsia="Times New Roman" w:cs="Calibri"/>
          <w:color w:val="000000"/>
          <w:lang w:eastAsia="es-CR"/>
        </w:rPr>
        <w:t>% de recursos disponibles.</w:t>
      </w:r>
    </w:p>
    <w:p w14:paraId="4D8DD5BE" w14:textId="0296EEBA" w:rsidR="00692DC8" w:rsidRDefault="007F611C" w:rsidP="007F611C">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2C25A56C" w14:textId="67C062C0" w:rsidR="00BB627B" w:rsidRPr="00A91674" w:rsidRDefault="00BB627B" w:rsidP="00BB627B">
      <w:pPr>
        <w:spacing w:line="240" w:lineRule="auto"/>
      </w:pPr>
      <w:r>
        <w:lastRenderedPageBreak/>
        <w:t xml:space="preserve">Que al </w:t>
      </w:r>
      <w:r w:rsidR="00796636">
        <w:t>31</w:t>
      </w:r>
      <w:r>
        <w:t xml:space="preserve"> de </w:t>
      </w:r>
      <w:r w:rsidR="00D64CF8">
        <w:t>diciembre</w:t>
      </w:r>
      <w:r>
        <w:t xml:space="preserve"> de 2023 no se habían recibido desembolsos correspondientes al préstamo que la Municipalidad contrajo con el IFAM </w:t>
      </w:r>
      <w:r w:rsidRPr="00A91674">
        <w:rPr>
          <w:rFonts w:eastAsiaTheme="minorEastAsia" w:cs="Arial Narrow"/>
          <w:color w:val="000000"/>
          <w:lang w:eastAsia="es-CR"/>
        </w:rPr>
        <w:t>Nº 6-CVL-1457-0718 para el Mejoramiento de la Red Vial Cantonal y Compra de Maquinaría</w:t>
      </w:r>
      <w:r>
        <w:rPr>
          <w:rFonts w:eastAsiaTheme="minorEastAsia" w:cs="Arial Narrow"/>
          <w:color w:val="000000"/>
          <w:lang w:eastAsia="es-CR"/>
        </w:rPr>
        <w:t>,</w:t>
      </w:r>
      <w:r>
        <w:t xml:space="preserve"> mientras que al </w:t>
      </w:r>
      <w:r w:rsidR="00796636">
        <w:t>31</w:t>
      </w:r>
      <w:r>
        <w:t xml:space="preserve"> de </w:t>
      </w:r>
      <w:r w:rsidR="00D64CF8">
        <w:t>diciembre</w:t>
      </w:r>
      <w:r>
        <w:t xml:space="preserve"> de 2024 se han percibido recursos nuevos por el monto de la variación (</w:t>
      </w:r>
      <w:r w:rsidRPr="00524F36">
        <w:rPr>
          <w:rFonts w:ascii="Arial" w:hAnsi="Arial" w:cs="Arial"/>
        </w:rPr>
        <w:t>₡</w:t>
      </w:r>
      <w:r>
        <w:t>254 836,45 miles).</w:t>
      </w:r>
    </w:p>
    <w:p w14:paraId="218F703C" w14:textId="77777777" w:rsidR="00692DC8" w:rsidRDefault="00692DC8" w:rsidP="0037354C">
      <w:pPr>
        <w:rPr>
          <w:rFonts w:eastAsia="Times New Roman"/>
          <w:bCs/>
          <w:szCs w:val="24"/>
          <w:lang w:eastAsia="es-ES"/>
        </w:rPr>
      </w:pPr>
    </w:p>
    <w:p w14:paraId="7AC1B8AF" w14:textId="77777777" w:rsidR="00CC051D" w:rsidRPr="00692DC8" w:rsidRDefault="00CC051D" w:rsidP="0037354C">
      <w:pPr>
        <w:rPr>
          <w:rFonts w:eastAsia="Times New Roman"/>
          <w:bCs/>
          <w:szCs w:val="24"/>
          <w:lang w:eastAsia="es-ES"/>
        </w:rPr>
      </w:pPr>
    </w:p>
    <w:p w14:paraId="16D170B6" w14:textId="77777777" w:rsidR="00692DC8" w:rsidRPr="00692DC8" w:rsidRDefault="00692DC8" w:rsidP="0037354C">
      <w:pPr>
        <w:pStyle w:val="Ttulo4"/>
        <w:spacing w:after="240"/>
        <w:rPr>
          <w:rFonts w:eastAsia="Times New Roman"/>
        </w:rPr>
      </w:pPr>
      <w:bookmarkStart w:id="1079" w:name="_Toc33601368"/>
      <w:bookmarkStart w:id="1080" w:name="_Toc82769087"/>
      <w:bookmarkStart w:id="1081" w:name="_Toc189804938"/>
      <w:r w:rsidRPr="00692DC8">
        <w:rPr>
          <w:rFonts w:eastAsia="Times New Roman"/>
        </w:rPr>
        <w:t>NOTA N°8</w:t>
      </w:r>
      <w:bookmarkEnd w:id="1079"/>
      <w:bookmarkEnd w:id="1080"/>
      <w:r w:rsidRPr="00692DC8">
        <w:rPr>
          <w:rFonts w:eastAsia="Times New Roman"/>
        </w:rPr>
        <w:t>2</w:t>
      </w:r>
      <w:bookmarkEnd w:id="1081"/>
    </w:p>
    <w:p w14:paraId="4B6B0029" w14:textId="2D1EC005" w:rsidR="008D4E6F" w:rsidRDefault="00692DC8" w:rsidP="00396CB4">
      <w:pPr>
        <w:spacing w:before="240"/>
        <w:rPr>
          <w:rFonts w:eastAsia="Times New Roman" w:cs="Calibri"/>
          <w:color w:val="000000"/>
          <w:lang w:eastAsia="es-CR"/>
        </w:rPr>
      </w:pPr>
      <w:bookmarkStart w:id="1082" w:name="_Toc33601369"/>
      <w:bookmarkStart w:id="1083" w:name="_Toc82769088"/>
      <w:r w:rsidRPr="00692DC8">
        <w:rPr>
          <w:rFonts w:eastAsia="Times New Roman"/>
        </w:rPr>
        <w:t>Pagos</w:t>
      </w:r>
      <w:bookmarkEnd w:id="1082"/>
      <w:bookmarkEnd w:id="1083"/>
    </w:p>
    <w:tbl>
      <w:tblPr>
        <w:tblW w:w="8940" w:type="dxa"/>
        <w:tblCellMar>
          <w:left w:w="0" w:type="dxa"/>
          <w:right w:w="0" w:type="dxa"/>
        </w:tblCellMar>
        <w:tblLook w:val="04A0" w:firstRow="1" w:lastRow="0" w:firstColumn="1" w:lastColumn="0" w:noHBand="0" w:noVBand="1"/>
      </w:tblPr>
      <w:tblGrid>
        <w:gridCol w:w="3220"/>
        <w:gridCol w:w="500"/>
        <w:gridCol w:w="2100"/>
        <w:gridCol w:w="2100"/>
        <w:gridCol w:w="1020"/>
      </w:tblGrid>
      <w:tr w:rsidR="008D4E6F" w14:paraId="5C933A4C" w14:textId="77777777" w:rsidTr="008D4E6F">
        <w:trPr>
          <w:trHeight w:val="330"/>
        </w:trPr>
        <w:tc>
          <w:tcPr>
            <w:tcW w:w="32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2F1F8BD" w14:textId="77777777" w:rsidR="008D4E6F" w:rsidRDefault="008D4E6F">
            <w:pPr>
              <w:spacing w:line="240" w:lineRule="auto"/>
              <w:rPr>
                <w:rFonts w:cs="Calibri"/>
                <w:b/>
                <w:bCs/>
                <w:color w:val="FFFFFF"/>
                <w:sz w:val="18"/>
                <w:szCs w:val="18"/>
              </w:rPr>
            </w:pPr>
            <w:r>
              <w:rPr>
                <w:rFonts w:cs="Calibri"/>
                <w:b/>
                <w:bCs/>
                <w:color w:val="FFFFFF"/>
                <w:sz w:val="18"/>
                <w:szCs w:val="18"/>
              </w:rPr>
              <w:t xml:space="preserve">Descripción </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7E04E50" w14:textId="77777777" w:rsidR="008D4E6F" w:rsidRDefault="008D4E6F">
            <w:pPr>
              <w:jc w:val="center"/>
              <w:rPr>
                <w:rFonts w:cs="Calibri"/>
                <w:b/>
                <w:bCs/>
                <w:color w:val="FFFFFF"/>
                <w:sz w:val="18"/>
                <w:szCs w:val="18"/>
              </w:rPr>
            </w:pPr>
            <w:r>
              <w:rPr>
                <w:rFonts w:cs="Calibri"/>
                <w:b/>
                <w:bCs/>
                <w:color w:val="FFFFFF"/>
                <w:sz w:val="18"/>
                <w:szCs w:val="18"/>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329433A" w14:textId="77777777" w:rsidR="008D4E6F" w:rsidRDefault="008D4E6F">
            <w:pPr>
              <w:jc w:val="center"/>
              <w:rPr>
                <w:rFonts w:cs="Calibri"/>
                <w:b/>
                <w:bCs/>
                <w:color w:val="FFFFFF"/>
                <w:sz w:val="18"/>
                <w:szCs w:val="18"/>
              </w:rPr>
            </w:pPr>
            <w:r>
              <w:rPr>
                <w:rFonts w:cs="Calibri"/>
                <w:b/>
                <w:bCs/>
                <w:color w:val="FFFFFF"/>
                <w:sz w:val="18"/>
                <w:szCs w:val="18"/>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1050521" w14:textId="77777777" w:rsidR="008D4E6F" w:rsidRDefault="008D4E6F">
            <w:pPr>
              <w:jc w:val="center"/>
              <w:rPr>
                <w:rFonts w:cs="Calibri"/>
                <w:b/>
                <w:bCs/>
                <w:color w:val="FFFFFF"/>
                <w:sz w:val="18"/>
                <w:szCs w:val="18"/>
              </w:rPr>
            </w:pPr>
            <w:r>
              <w:rPr>
                <w:rFonts w:cs="Calibri"/>
                <w:b/>
                <w:bCs/>
                <w:color w:val="FFFFFF"/>
                <w:sz w:val="18"/>
                <w:szCs w:val="18"/>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08A27C9D" w14:textId="77777777" w:rsidR="008D4E6F" w:rsidRDefault="008D4E6F">
            <w:pPr>
              <w:jc w:val="center"/>
              <w:rPr>
                <w:rFonts w:cs="Calibri"/>
                <w:b/>
                <w:bCs/>
                <w:color w:val="FFFFFF"/>
                <w:sz w:val="18"/>
                <w:szCs w:val="18"/>
              </w:rPr>
            </w:pPr>
            <w:r>
              <w:rPr>
                <w:rFonts w:cs="Calibri"/>
                <w:b/>
                <w:bCs/>
                <w:color w:val="FFFFFF"/>
                <w:sz w:val="18"/>
                <w:szCs w:val="18"/>
              </w:rPr>
              <w:t xml:space="preserve">Diferencia </w:t>
            </w:r>
          </w:p>
        </w:tc>
      </w:tr>
      <w:tr w:rsidR="008D4E6F" w14:paraId="075801DE" w14:textId="77777777" w:rsidTr="008D4E6F">
        <w:trPr>
          <w:trHeight w:val="33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7305658" w14:textId="77777777" w:rsidR="008D4E6F" w:rsidRDefault="008D4E6F">
            <w:pPr>
              <w:rPr>
                <w:rFonts w:cs="Calibri"/>
                <w:b/>
                <w:bCs/>
                <w:color w:val="FFFFFF"/>
                <w:sz w:val="18"/>
                <w:szCs w:val="18"/>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46D348D" w14:textId="77777777" w:rsidR="008D4E6F" w:rsidRDefault="008D4E6F">
            <w:pPr>
              <w:rPr>
                <w:rFonts w:cs="Calibri"/>
                <w:b/>
                <w:bCs/>
                <w:color w:val="FFFFFF"/>
                <w:sz w:val="18"/>
                <w:szCs w:val="18"/>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C85E31B" w14:textId="77777777" w:rsidR="008D4E6F" w:rsidRDefault="008D4E6F">
            <w:pPr>
              <w:rPr>
                <w:rFonts w:cs="Calibri"/>
                <w:b/>
                <w:bCs/>
                <w:color w:val="FFFFFF"/>
                <w:sz w:val="18"/>
                <w:szCs w:val="18"/>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7667381" w14:textId="77777777" w:rsidR="008D4E6F" w:rsidRDefault="008D4E6F">
            <w:pPr>
              <w:rPr>
                <w:rFonts w:cs="Calibri"/>
                <w:b/>
                <w:bCs/>
                <w:color w:val="FFFFFF"/>
                <w:sz w:val="18"/>
                <w:szCs w:val="18"/>
              </w:rPr>
            </w:pPr>
          </w:p>
        </w:tc>
        <w:tc>
          <w:tcPr>
            <w:tcW w:w="0" w:type="auto"/>
            <w:tcBorders>
              <w:top w:val="nil"/>
              <w:left w:val="nil"/>
              <w:bottom w:val="single" w:sz="8" w:space="0" w:color="auto"/>
              <w:right w:val="single" w:sz="8" w:space="0" w:color="auto"/>
            </w:tcBorders>
            <w:shd w:val="clear" w:color="000000" w:fill="366092"/>
            <w:noWrap/>
            <w:vAlign w:val="center"/>
            <w:hideMark/>
          </w:tcPr>
          <w:p w14:paraId="5069D688" w14:textId="77777777" w:rsidR="008D4E6F" w:rsidRDefault="008D4E6F">
            <w:pPr>
              <w:jc w:val="center"/>
              <w:rPr>
                <w:rFonts w:cs="Calibri"/>
                <w:color w:val="FFFFFF"/>
                <w:sz w:val="18"/>
                <w:szCs w:val="18"/>
              </w:rPr>
            </w:pPr>
            <w:r>
              <w:rPr>
                <w:rFonts w:cs="Calibri"/>
                <w:color w:val="FFFFFF"/>
                <w:sz w:val="18"/>
                <w:szCs w:val="18"/>
              </w:rPr>
              <w:t>%</w:t>
            </w:r>
          </w:p>
        </w:tc>
      </w:tr>
      <w:tr w:rsidR="008D4E6F" w14:paraId="59FAE129" w14:textId="77777777" w:rsidTr="008D4E6F">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64C48AF" w14:textId="77777777" w:rsidR="008D4E6F" w:rsidRDefault="008D4E6F">
            <w:pPr>
              <w:jc w:val="left"/>
              <w:rPr>
                <w:rFonts w:cs="Calibri"/>
                <w:b/>
                <w:bCs/>
                <w:color w:val="000000"/>
                <w:sz w:val="18"/>
                <w:szCs w:val="18"/>
              </w:rPr>
            </w:pPr>
            <w:r>
              <w:rPr>
                <w:rFonts w:cs="Calibri"/>
                <w:b/>
                <w:bCs/>
                <w:color w:val="000000"/>
                <w:sz w:val="18"/>
                <w:szCs w:val="18"/>
              </w:rPr>
              <w:t>Pagos</w:t>
            </w:r>
          </w:p>
        </w:tc>
        <w:tc>
          <w:tcPr>
            <w:tcW w:w="0" w:type="auto"/>
            <w:tcBorders>
              <w:top w:val="nil"/>
              <w:left w:val="nil"/>
              <w:bottom w:val="single" w:sz="8" w:space="0" w:color="auto"/>
              <w:right w:val="single" w:sz="8" w:space="0" w:color="auto"/>
            </w:tcBorders>
            <w:shd w:val="clear" w:color="auto" w:fill="auto"/>
            <w:noWrap/>
            <w:vAlign w:val="center"/>
            <w:hideMark/>
          </w:tcPr>
          <w:p w14:paraId="478D53C4" w14:textId="77777777" w:rsidR="008D4E6F" w:rsidRDefault="008D4E6F">
            <w:pPr>
              <w:jc w:val="center"/>
              <w:rPr>
                <w:rFonts w:cs="Calibri"/>
                <w:b/>
                <w:bCs/>
                <w:color w:val="000000"/>
                <w:sz w:val="18"/>
                <w:szCs w:val="18"/>
              </w:rPr>
            </w:pPr>
            <w:r>
              <w:rPr>
                <w:rFonts w:cs="Calibri"/>
                <w:b/>
                <w:bCs/>
                <w:color w:val="000000"/>
                <w:sz w:val="18"/>
                <w:szCs w:val="18"/>
              </w:rPr>
              <w:t>82</w:t>
            </w:r>
          </w:p>
        </w:tc>
        <w:tc>
          <w:tcPr>
            <w:tcW w:w="0" w:type="auto"/>
            <w:tcBorders>
              <w:top w:val="nil"/>
              <w:left w:val="nil"/>
              <w:bottom w:val="single" w:sz="8" w:space="0" w:color="auto"/>
              <w:right w:val="single" w:sz="8" w:space="0" w:color="auto"/>
            </w:tcBorders>
            <w:shd w:val="clear" w:color="auto" w:fill="auto"/>
            <w:noWrap/>
            <w:vAlign w:val="center"/>
            <w:hideMark/>
          </w:tcPr>
          <w:p w14:paraId="13D35927" w14:textId="77777777" w:rsidR="008D4E6F" w:rsidRDefault="008D4E6F">
            <w:pPr>
              <w:jc w:val="center"/>
              <w:rPr>
                <w:rFonts w:cs="Calibri"/>
                <w:b/>
                <w:bCs/>
                <w:color w:val="000000"/>
                <w:sz w:val="16"/>
                <w:szCs w:val="16"/>
              </w:rPr>
            </w:pPr>
            <w:r>
              <w:rPr>
                <w:rFonts w:cs="Calibri"/>
                <w:b/>
                <w:bCs/>
                <w:color w:val="000000"/>
                <w:sz w:val="16"/>
                <w:szCs w:val="16"/>
              </w:rPr>
              <w:t xml:space="preserve"> 538 117,68 </w:t>
            </w:r>
          </w:p>
        </w:tc>
        <w:tc>
          <w:tcPr>
            <w:tcW w:w="0" w:type="auto"/>
            <w:tcBorders>
              <w:top w:val="nil"/>
              <w:left w:val="nil"/>
              <w:bottom w:val="single" w:sz="8" w:space="0" w:color="auto"/>
              <w:right w:val="single" w:sz="8" w:space="0" w:color="auto"/>
            </w:tcBorders>
            <w:shd w:val="clear" w:color="auto" w:fill="auto"/>
            <w:noWrap/>
            <w:vAlign w:val="center"/>
            <w:hideMark/>
          </w:tcPr>
          <w:p w14:paraId="2E0FE391" w14:textId="77777777" w:rsidR="008D4E6F" w:rsidRDefault="008D4E6F">
            <w:pPr>
              <w:jc w:val="center"/>
              <w:rPr>
                <w:rFonts w:cs="Calibri"/>
                <w:b/>
                <w:bCs/>
                <w:color w:val="000000"/>
                <w:sz w:val="16"/>
                <w:szCs w:val="16"/>
              </w:rPr>
            </w:pPr>
            <w:r>
              <w:rPr>
                <w:rFonts w:cs="Calibri"/>
                <w:b/>
                <w:bCs/>
                <w:color w:val="000000"/>
                <w:sz w:val="16"/>
                <w:szCs w:val="16"/>
              </w:rPr>
              <w:t xml:space="preserve"> 430 374,69 </w:t>
            </w:r>
          </w:p>
        </w:tc>
        <w:tc>
          <w:tcPr>
            <w:tcW w:w="0" w:type="auto"/>
            <w:tcBorders>
              <w:top w:val="nil"/>
              <w:left w:val="nil"/>
              <w:bottom w:val="single" w:sz="8" w:space="0" w:color="auto"/>
              <w:right w:val="single" w:sz="8" w:space="0" w:color="auto"/>
            </w:tcBorders>
            <w:shd w:val="clear" w:color="auto" w:fill="auto"/>
            <w:noWrap/>
            <w:vAlign w:val="center"/>
            <w:hideMark/>
          </w:tcPr>
          <w:p w14:paraId="329A0692" w14:textId="77777777" w:rsidR="008D4E6F" w:rsidRDefault="008D4E6F">
            <w:pPr>
              <w:jc w:val="center"/>
              <w:rPr>
                <w:rFonts w:cs="Calibri"/>
                <w:b/>
                <w:bCs/>
                <w:color w:val="000000"/>
                <w:sz w:val="18"/>
                <w:szCs w:val="18"/>
              </w:rPr>
            </w:pPr>
            <w:r>
              <w:rPr>
                <w:rFonts w:cs="Calibri"/>
                <w:b/>
                <w:bCs/>
                <w:color w:val="000000"/>
                <w:sz w:val="18"/>
                <w:szCs w:val="18"/>
              </w:rPr>
              <w:t>25,03%</w:t>
            </w:r>
          </w:p>
        </w:tc>
      </w:tr>
    </w:tbl>
    <w:p w14:paraId="6CD8E4FD" w14:textId="018B5A8E" w:rsidR="00396CB4" w:rsidRPr="00396CB4" w:rsidRDefault="00E50AC3" w:rsidP="00396CB4">
      <w:pPr>
        <w:spacing w:before="240"/>
        <w:rPr>
          <w:rFonts w:eastAsia="Times New Roman" w:cs="Calibri"/>
          <w:color w:val="000000"/>
          <w:lang w:eastAsia="es-CR"/>
        </w:rPr>
      </w:pP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756467">
        <w:rPr>
          <w:rFonts w:eastAsia="Times New Roman" w:cs="Calibri"/>
          <w:color w:val="000000"/>
          <w:lang w:eastAsia="es-CR"/>
        </w:rPr>
        <w:instrText xml:space="preserve">Excel.SheetMacroEnabled.12 "C:\\Users\\gcordero\\Downloads\\Notas diciembre 2024\\Formato_Notas_EEFF_Vinculadas_2024\\Formato_Notas_EEFF_Vinculadas_2024\\15603_T04_2024_Anexo_Estado_Notas_Contables_Vinculadas.xlsm" NOTAS_POR_CUENTA!F460C8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14F4A861" w14:textId="38C367F5" w:rsidR="00396CB4" w:rsidRPr="00396CB4" w:rsidRDefault="00396CB4" w:rsidP="00CC051D">
      <w:pPr>
        <w:spacing w:before="240" w:line="240" w:lineRule="auto"/>
        <w:rPr>
          <w:rFonts w:eastAsia="Times New Roman" w:cs="Calibri"/>
          <w:color w:val="000000"/>
          <w:lang w:eastAsia="es-CR"/>
        </w:rPr>
      </w:pPr>
      <w:r w:rsidRPr="00396CB4">
        <w:rPr>
          <w:rFonts w:eastAsia="Times New Roman" w:cs="Calibri"/>
          <w:color w:val="000000"/>
          <w:lang w:eastAsia="es-CR"/>
        </w:rPr>
        <w:t>Los Pagos de los Flujos de Efectivo de las Actividades de Financiamiento, comparado al periodo anterior ge</w:t>
      </w:r>
      <w:r w:rsidR="004A4EAD">
        <w:rPr>
          <w:rFonts w:eastAsia="Times New Roman" w:cs="Calibri"/>
          <w:color w:val="000000"/>
          <w:lang w:eastAsia="es-CR"/>
        </w:rPr>
        <w:t>nera una variación absoluta de 107 742,99</w:t>
      </w:r>
      <w:r w:rsidRPr="00396CB4">
        <w:rPr>
          <w:rFonts w:eastAsia="Times New Roman" w:cs="Calibri"/>
          <w:color w:val="000000"/>
          <w:lang w:eastAsia="es-CR"/>
        </w:rPr>
        <w:t xml:space="preserve"> qu</w:t>
      </w:r>
      <w:r w:rsidR="004A4EAD">
        <w:rPr>
          <w:rFonts w:eastAsia="Times New Roman" w:cs="Calibri"/>
          <w:color w:val="000000"/>
          <w:lang w:eastAsia="es-CR"/>
        </w:rPr>
        <w:t>e corresponde a un Aumento del 25,03</w:t>
      </w:r>
      <w:r w:rsidRPr="00396CB4">
        <w:rPr>
          <w:rFonts w:eastAsia="Times New Roman" w:cs="Calibri"/>
          <w:color w:val="000000"/>
          <w:lang w:eastAsia="es-CR"/>
        </w:rPr>
        <w:t>% de recursos disponibles.</w:t>
      </w:r>
    </w:p>
    <w:p w14:paraId="1C93969D" w14:textId="13206804" w:rsidR="00692DC8" w:rsidRPr="00692DC8" w:rsidRDefault="00E50AC3" w:rsidP="00E50AC3">
      <w:pPr>
        <w:rPr>
          <w:rFonts w:eastAsia="Times New Roman"/>
          <w:bCs/>
          <w:szCs w:val="24"/>
          <w:lang w:val="es-ES" w:eastAsia="es-ES"/>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5FECE647" w14:textId="77777777" w:rsidR="00BB627B" w:rsidRDefault="00BB627B" w:rsidP="00BB627B">
      <w:pPr>
        <w:spacing w:after="0" w:line="240" w:lineRule="auto"/>
        <w:rPr>
          <w:rFonts w:eastAsiaTheme="minorEastAsia" w:cs="Arial Narrow"/>
          <w:color w:val="000000"/>
          <w:lang w:eastAsia="es-CR"/>
        </w:rPr>
      </w:pPr>
      <w:r>
        <w:t xml:space="preserve">Los pagos por operaciones de financiamiento corresponden a la cancelación de cuotas sobre el crédito que mantiene la Municipalidad con el IFAM, según </w:t>
      </w:r>
      <w:r w:rsidRPr="00A91674">
        <w:rPr>
          <w:rFonts w:eastAsiaTheme="minorEastAsia" w:cs="Arial Narrow"/>
          <w:color w:val="000000"/>
          <w:lang w:eastAsia="es-CR"/>
        </w:rPr>
        <w:t>Contrato de Préstamo entre IFAM y La Municipalidad de Buenos Aires, Nº 6-CVL-1457-0718 para el Mejoramiento de la Red Vial Cantonal y Compra de Maquinaría</w:t>
      </w:r>
      <w:r>
        <w:rPr>
          <w:rFonts w:eastAsiaTheme="minorEastAsia" w:cs="Arial Narrow"/>
          <w:color w:val="000000"/>
          <w:lang w:eastAsia="es-CR"/>
        </w:rPr>
        <w:t>.</w:t>
      </w:r>
    </w:p>
    <w:p w14:paraId="1E4B2D47" w14:textId="77777777" w:rsidR="00BB627B" w:rsidRPr="00A91674" w:rsidRDefault="00BB627B" w:rsidP="00BB627B">
      <w:pPr>
        <w:spacing w:after="0" w:line="240" w:lineRule="auto"/>
      </w:pPr>
    </w:p>
    <w:p w14:paraId="4514BD75" w14:textId="11ED8D32" w:rsidR="00BB627B" w:rsidRPr="00B63913" w:rsidRDefault="00BB627B" w:rsidP="00BB627B">
      <w:pPr>
        <w:spacing w:after="0" w:line="240" w:lineRule="auto"/>
      </w:pPr>
      <w:r>
        <w:t xml:space="preserve">Como se puede observar en el Estado de Flujo de Efectivo la variación se origina como producto de una mayor salida de efectivo al </w:t>
      </w:r>
      <w:r w:rsidR="00796636">
        <w:t>31</w:t>
      </w:r>
      <w:r>
        <w:t xml:space="preserve"> de </w:t>
      </w:r>
      <w:r w:rsidR="00D64CF8">
        <w:t>diciembre</w:t>
      </w:r>
      <w:r>
        <w:t xml:space="preserve"> de 2024 que las salidas al </w:t>
      </w:r>
      <w:r w:rsidR="00796636">
        <w:t>31</w:t>
      </w:r>
      <w:r>
        <w:t xml:space="preserve"> de </w:t>
      </w:r>
      <w:r w:rsidR="00D64CF8">
        <w:t>diciembre</w:t>
      </w:r>
      <w:r>
        <w:t xml:space="preserve"> de 2023 en los saldos que conforman este apartado del estado, debido a la cancelación de amortizaciones por </w:t>
      </w:r>
      <w:r w:rsidRPr="004802BC">
        <w:rPr>
          <w:rFonts w:ascii="Arial" w:hAnsi="Arial" w:cs="Arial"/>
        </w:rPr>
        <w:t>₡</w:t>
      </w:r>
      <w:r w:rsidRPr="004802BC">
        <w:rPr>
          <w:rFonts w:cs="Arial"/>
        </w:rPr>
        <w:t xml:space="preserve">67 863,61 </w:t>
      </w:r>
      <w:r w:rsidRPr="004802BC">
        <w:t xml:space="preserve">miles más y en intereses del citado préstamo por </w:t>
      </w:r>
      <w:r w:rsidRPr="004802BC">
        <w:rPr>
          <w:rFonts w:ascii="Arial" w:hAnsi="Arial" w:cs="Arial"/>
        </w:rPr>
        <w:t>₡</w:t>
      </w:r>
      <w:r w:rsidRPr="004802BC">
        <w:t> 1 018,96 miles más</w:t>
      </w:r>
      <w:r>
        <w:t xml:space="preserve">. Ver al respecto lo comentado en las notas </w:t>
      </w:r>
      <w:proofErr w:type="spellStart"/>
      <w:r>
        <w:t>Nros</w:t>
      </w:r>
      <w:proofErr w:type="spellEnd"/>
      <w:r>
        <w:t xml:space="preserve">. 15, 20 y 67  </w:t>
      </w:r>
    </w:p>
    <w:p w14:paraId="2705D0F4" w14:textId="77777777" w:rsidR="00692DC8" w:rsidRDefault="00692DC8" w:rsidP="0037354C">
      <w:pPr>
        <w:rPr>
          <w:szCs w:val="24"/>
        </w:rPr>
      </w:pPr>
    </w:p>
    <w:p w14:paraId="54AB93F6" w14:textId="77777777" w:rsidR="003336A2" w:rsidRDefault="003336A2" w:rsidP="0037354C">
      <w:pPr>
        <w:rPr>
          <w:szCs w:val="24"/>
        </w:rPr>
      </w:pPr>
    </w:p>
    <w:p w14:paraId="31B69B7A" w14:textId="77777777" w:rsidR="003336A2" w:rsidRDefault="003336A2" w:rsidP="0037354C">
      <w:pPr>
        <w:rPr>
          <w:szCs w:val="24"/>
        </w:rPr>
      </w:pPr>
    </w:p>
    <w:p w14:paraId="07F01B7D" w14:textId="77777777" w:rsidR="003336A2" w:rsidRPr="00692DC8" w:rsidRDefault="003336A2" w:rsidP="0037354C">
      <w:pPr>
        <w:rPr>
          <w:szCs w:val="24"/>
        </w:rPr>
      </w:pPr>
    </w:p>
    <w:p w14:paraId="252DEF8B" w14:textId="77777777" w:rsidR="00692DC8" w:rsidRPr="00692DC8" w:rsidRDefault="00692DC8" w:rsidP="0037354C">
      <w:pPr>
        <w:pStyle w:val="Ttulo4"/>
        <w:spacing w:after="240"/>
        <w:rPr>
          <w:rFonts w:eastAsia="Times New Roman"/>
        </w:rPr>
      </w:pPr>
      <w:bookmarkStart w:id="1084" w:name="_Toc33601370"/>
      <w:bookmarkStart w:id="1085" w:name="_Toc82769089"/>
      <w:bookmarkStart w:id="1086" w:name="_Toc189804939"/>
      <w:r w:rsidRPr="00692DC8">
        <w:rPr>
          <w:rFonts w:eastAsia="Times New Roman"/>
        </w:rPr>
        <w:lastRenderedPageBreak/>
        <w:t>NOTA N°8</w:t>
      </w:r>
      <w:bookmarkEnd w:id="1084"/>
      <w:bookmarkEnd w:id="1085"/>
      <w:r w:rsidRPr="00692DC8">
        <w:rPr>
          <w:rFonts w:eastAsia="Times New Roman"/>
        </w:rPr>
        <w:t>3</w:t>
      </w:r>
      <w:bookmarkEnd w:id="1086"/>
    </w:p>
    <w:p w14:paraId="3D8F2C6A" w14:textId="77777777" w:rsidR="00396CB4" w:rsidRDefault="00692DC8" w:rsidP="00F51D42">
      <w:pPr>
        <w:spacing w:before="240"/>
        <w:rPr>
          <w:rFonts w:asciiTheme="minorHAnsi" w:hAnsiTheme="minorHAnsi"/>
          <w:sz w:val="22"/>
        </w:rPr>
      </w:pPr>
      <w:bookmarkStart w:id="1087" w:name="_Toc33601371"/>
      <w:bookmarkStart w:id="1088" w:name="_Toc82769090"/>
      <w:r w:rsidRPr="00692DC8">
        <w:rPr>
          <w:rFonts w:eastAsia="Times New Roman"/>
        </w:rPr>
        <w:t>Efectivo y equivalentes</w:t>
      </w:r>
      <w:bookmarkEnd w:id="1087"/>
      <w:bookmarkEnd w:id="1088"/>
      <w:r w:rsidR="00E50AC3">
        <w:rPr>
          <w:rFonts w:eastAsia="Times New Roman" w:cstheme="majorBidi"/>
          <w:b/>
          <w:iCs/>
          <w:lang w:eastAsia="es-CR"/>
        </w:rPr>
        <w:fldChar w:fldCharType="begin"/>
      </w:r>
      <w:r w:rsidR="00E50AC3">
        <w:rPr>
          <w:rFonts w:eastAsia="Times New Roman"/>
          <w:lang w:eastAsia="es-CR"/>
        </w:rPr>
        <w:instrText xml:space="preserve"> LINK </w:instrText>
      </w:r>
      <w:r w:rsidR="00756467">
        <w:rPr>
          <w:rFonts w:eastAsia="Times New Roman"/>
          <w:lang w:eastAsia="es-CR"/>
        </w:rPr>
        <w:instrText xml:space="preserve">Excel.SheetMacroEnabled.12 "C:\\Users\\gcordero\\Downloads\\Notas diciembre 2024\\Formato_Notas_EEFF_Vinculadas_2024\\Formato_Notas_EEFF_Vinculadas_2024\\15603_T04_2024_Anexo_Estado_Notas_Contables_Vinculadas.xlsm" NOTAS_POR_CUENTA!F462C2:F464C6 </w:instrText>
      </w:r>
      <w:r w:rsidR="00E50AC3">
        <w:rPr>
          <w:rFonts w:eastAsia="Times New Roman"/>
          <w:lang w:eastAsia="es-CR"/>
        </w:rPr>
        <w:instrText xml:space="preserve">\a \f 4 \h </w:instrText>
      </w:r>
      <w:r w:rsidR="00E50AC3">
        <w:rPr>
          <w:rFonts w:eastAsia="Times New Roman"/>
          <w:lang w:eastAsia="es-CR"/>
        </w:rPr>
        <w:fldChar w:fldCharType="separate"/>
      </w:r>
    </w:p>
    <w:p w14:paraId="1D1BAB97" w14:textId="77777777" w:rsidR="007651FD" w:rsidRDefault="00E50AC3" w:rsidP="00396CB4">
      <w:pPr>
        <w:spacing w:before="240"/>
        <w:rPr>
          <w:rFonts w:eastAsia="Times New Roman" w:cs="Calibri"/>
          <w:color w:val="000000"/>
          <w:lang w:eastAsia="es-CR"/>
        </w:rPr>
      </w:pPr>
      <w:r>
        <w:rPr>
          <w:rFonts w:eastAsia="Times New Roman" w:cs="Calibri"/>
          <w:color w:val="000000"/>
          <w:lang w:eastAsia="es-CR"/>
        </w:rPr>
        <w:fldChar w:fldCharType="end"/>
      </w:r>
    </w:p>
    <w:tbl>
      <w:tblPr>
        <w:tblW w:w="8940" w:type="dxa"/>
        <w:tblCellMar>
          <w:left w:w="0" w:type="dxa"/>
          <w:right w:w="0" w:type="dxa"/>
        </w:tblCellMar>
        <w:tblLook w:val="04A0" w:firstRow="1" w:lastRow="0" w:firstColumn="1" w:lastColumn="0" w:noHBand="0" w:noVBand="1"/>
      </w:tblPr>
      <w:tblGrid>
        <w:gridCol w:w="3220"/>
        <w:gridCol w:w="500"/>
        <w:gridCol w:w="2100"/>
        <w:gridCol w:w="2100"/>
        <w:gridCol w:w="1020"/>
      </w:tblGrid>
      <w:tr w:rsidR="007651FD" w14:paraId="135194DE" w14:textId="77777777" w:rsidTr="007651FD">
        <w:trPr>
          <w:trHeight w:val="330"/>
        </w:trPr>
        <w:tc>
          <w:tcPr>
            <w:tcW w:w="32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9928012" w14:textId="77777777" w:rsidR="007651FD" w:rsidRDefault="007651FD">
            <w:pPr>
              <w:spacing w:line="240" w:lineRule="auto"/>
              <w:rPr>
                <w:rFonts w:cs="Calibri"/>
                <w:b/>
                <w:bCs/>
                <w:color w:val="FFFFFF"/>
                <w:sz w:val="18"/>
                <w:szCs w:val="18"/>
              </w:rPr>
            </w:pPr>
            <w:r>
              <w:rPr>
                <w:rFonts w:cs="Calibri"/>
                <w:b/>
                <w:bCs/>
                <w:color w:val="FFFFFF"/>
                <w:sz w:val="18"/>
                <w:szCs w:val="18"/>
              </w:rPr>
              <w:t xml:space="preserve">Descripción </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447FF91" w14:textId="77777777" w:rsidR="007651FD" w:rsidRDefault="007651FD">
            <w:pPr>
              <w:jc w:val="center"/>
              <w:rPr>
                <w:rFonts w:cs="Calibri"/>
                <w:b/>
                <w:bCs/>
                <w:color w:val="FFFFFF"/>
                <w:sz w:val="18"/>
                <w:szCs w:val="18"/>
              </w:rPr>
            </w:pPr>
            <w:r>
              <w:rPr>
                <w:rFonts w:cs="Calibri"/>
                <w:b/>
                <w:bCs/>
                <w:color w:val="FFFFFF"/>
                <w:sz w:val="18"/>
                <w:szCs w:val="18"/>
              </w:rPr>
              <w:t>Nota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9242D07" w14:textId="77777777" w:rsidR="007651FD" w:rsidRDefault="007651FD">
            <w:pPr>
              <w:jc w:val="center"/>
              <w:rPr>
                <w:rFonts w:cs="Calibri"/>
                <w:b/>
                <w:bCs/>
                <w:color w:val="FFFFFF"/>
                <w:sz w:val="18"/>
                <w:szCs w:val="18"/>
              </w:rPr>
            </w:pPr>
            <w:r>
              <w:rPr>
                <w:rFonts w:cs="Calibri"/>
                <w:b/>
                <w:bCs/>
                <w:color w:val="FFFFFF"/>
                <w:sz w:val="18"/>
                <w:szCs w:val="18"/>
              </w:rPr>
              <w:t xml:space="preserve"> Periodo Actual </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BE026BA" w14:textId="77777777" w:rsidR="007651FD" w:rsidRDefault="007651FD">
            <w:pPr>
              <w:jc w:val="center"/>
              <w:rPr>
                <w:rFonts w:cs="Calibri"/>
                <w:b/>
                <w:bCs/>
                <w:color w:val="FFFFFF"/>
                <w:sz w:val="18"/>
                <w:szCs w:val="18"/>
              </w:rPr>
            </w:pPr>
            <w:r>
              <w:rPr>
                <w:rFonts w:cs="Calibri"/>
                <w:b/>
                <w:bCs/>
                <w:color w:val="FFFFFF"/>
                <w:sz w:val="18"/>
                <w:szCs w:val="18"/>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113AAED3" w14:textId="77777777" w:rsidR="007651FD" w:rsidRDefault="007651FD">
            <w:pPr>
              <w:jc w:val="center"/>
              <w:rPr>
                <w:rFonts w:cs="Calibri"/>
                <w:b/>
                <w:bCs/>
                <w:color w:val="FFFFFF"/>
                <w:sz w:val="18"/>
                <w:szCs w:val="18"/>
              </w:rPr>
            </w:pPr>
            <w:r>
              <w:rPr>
                <w:rFonts w:cs="Calibri"/>
                <w:b/>
                <w:bCs/>
                <w:color w:val="FFFFFF"/>
                <w:sz w:val="18"/>
                <w:szCs w:val="18"/>
              </w:rPr>
              <w:t xml:space="preserve">Diferencia </w:t>
            </w:r>
          </w:p>
        </w:tc>
      </w:tr>
      <w:tr w:rsidR="007651FD" w14:paraId="0E50BDBB" w14:textId="77777777" w:rsidTr="007651FD">
        <w:trPr>
          <w:trHeight w:val="33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BC8D5AD" w14:textId="77777777" w:rsidR="007651FD" w:rsidRDefault="007651FD">
            <w:pPr>
              <w:rPr>
                <w:rFonts w:cs="Calibri"/>
                <w:b/>
                <w:bCs/>
                <w:color w:val="FFFFFF"/>
                <w:sz w:val="18"/>
                <w:szCs w:val="18"/>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2BA1D33" w14:textId="77777777" w:rsidR="007651FD" w:rsidRDefault="007651FD">
            <w:pPr>
              <w:rPr>
                <w:rFonts w:cs="Calibri"/>
                <w:b/>
                <w:bCs/>
                <w:color w:val="FFFFFF"/>
                <w:sz w:val="18"/>
                <w:szCs w:val="18"/>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8FEEEB7" w14:textId="77777777" w:rsidR="007651FD" w:rsidRDefault="007651FD">
            <w:pPr>
              <w:rPr>
                <w:rFonts w:cs="Calibri"/>
                <w:b/>
                <w:bCs/>
                <w:color w:val="FFFFFF"/>
                <w:sz w:val="18"/>
                <w:szCs w:val="18"/>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718BD5E" w14:textId="77777777" w:rsidR="007651FD" w:rsidRDefault="007651FD">
            <w:pPr>
              <w:rPr>
                <w:rFonts w:cs="Calibri"/>
                <w:b/>
                <w:bCs/>
                <w:color w:val="FFFFFF"/>
                <w:sz w:val="18"/>
                <w:szCs w:val="18"/>
              </w:rPr>
            </w:pPr>
          </w:p>
        </w:tc>
        <w:tc>
          <w:tcPr>
            <w:tcW w:w="0" w:type="auto"/>
            <w:tcBorders>
              <w:top w:val="nil"/>
              <w:left w:val="nil"/>
              <w:bottom w:val="single" w:sz="8" w:space="0" w:color="auto"/>
              <w:right w:val="single" w:sz="8" w:space="0" w:color="auto"/>
            </w:tcBorders>
            <w:shd w:val="clear" w:color="000000" w:fill="366092"/>
            <w:noWrap/>
            <w:vAlign w:val="center"/>
            <w:hideMark/>
          </w:tcPr>
          <w:p w14:paraId="1B25A5A7" w14:textId="77777777" w:rsidR="007651FD" w:rsidRDefault="007651FD">
            <w:pPr>
              <w:jc w:val="center"/>
              <w:rPr>
                <w:rFonts w:cs="Calibri"/>
                <w:color w:val="FFFFFF"/>
                <w:sz w:val="18"/>
                <w:szCs w:val="18"/>
              </w:rPr>
            </w:pPr>
            <w:r>
              <w:rPr>
                <w:rFonts w:cs="Calibri"/>
                <w:color w:val="FFFFFF"/>
                <w:sz w:val="18"/>
                <w:szCs w:val="18"/>
              </w:rPr>
              <w:t>%</w:t>
            </w:r>
          </w:p>
        </w:tc>
      </w:tr>
      <w:tr w:rsidR="007651FD" w14:paraId="3F14F52A" w14:textId="77777777" w:rsidTr="007651FD">
        <w:trPr>
          <w:trHeight w:val="555"/>
        </w:trPr>
        <w:tc>
          <w:tcPr>
            <w:tcW w:w="3220" w:type="dxa"/>
            <w:tcBorders>
              <w:top w:val="nil"/>
              <w:left w:val="single" w:sz="8" w:space="0" w:color="auto"/>
              <w:bottom w:val="single" w:sz="8" w:space="0" w:color="auto"/>
              <w:right w:val="single" w:sz="8" w:space="0" w:color="auto"/>
            </w:tcBorders>
            <w:shd w:val="clear" w:color="auto" w:fill="auto"/>
            <w:vAlign w:val="center"/>
            <w:hideMark/>
          </w:tcPr>
          <w:p w14:paraId="4A8B5C0A" w14:textId="77777777" w:rsidR="007651FD" w:rsidRDefault="007651FD">
            <w:pPr>
              <w:rPr>
                <w:rFonts w:cs="Calibri"/>
                <w:b/>
                <w:bCs/>
                <w:color w:val="000000"/>
                <w:sz w:val="18"/>
                <w:szCs w:val="18"/>
              </w:rPr>
            </w:pPr>
            <w:r>
              <w:rPr>
                <w:rFonts w:cs="Calibri"/>
                <w:b/>
                <w:bCs/>
                <w:color w:val="000000"/>
                <w:sz w:val="18"/>
                <w:szCs w:val="18"/>
              </w:rPr>
              <w:t>Efectivo y equivalentes de efectivo al final del ejercicio</w:t>
            </w:r>
          </w:p>
        </w:tc>
        <w:tc>
          <w:tcPr>
            <w:tcW w:w="0" w:type="auto"/>
            <w:tcBorders>
              <w:top w:val="nil"/>
              <w:left w:val="nil"/>
              <w:bottom w:val="single" w:sz="8" w:space="0" w:color="auto"/>
              <w:right w:val="single" w:sz="8" w:space="0" w:color="auto"/>
            </w:tcBorders>
            <w:shd w:val="clear" w:color="auto" w:fill="auto"/>
            <w:noWrap/>
            <w:vAlign w:val="center"/>
            <w:hideMark/>
          </w:tcPr>
          <w:p w14:paraId="5F56D2CF" w14:textId="77777777" w:rsidR="007651FD" w:rsidRDefault="007651FD">
            <w:pPr>
              <w:jc w:val="center"/>
              <w:rPr>
                <w:rFonts w:cs="Calibri"/>
                <w:b/>
                <w:bCs/>
                <w:color w:val="000000"/>
                <w:sz w:val="18"/>
                <w:szCs w:val="18"/>
              </w:rPr>
            </w:pPr>
            <w:r>
              <w:rPr>
                <w:rFonts w:cs="Calibri"/>
                <w:b/>
                <w:bCs/>
                <w:color w:val="000000"/>
                <w:sz w:val="18"/>
                <w:szCs w:val="18"/>
              </w:rPr>
              <w:t>83</w:t>
            </w:r>
          </w:p>
        </w:tc>
        <w:tc>
          <w:tcPr>
            <w:tcW w:w="0" w:type="auto"/>
            <w:tcBorders>
              <w:top w:val="nil"/>
              <w:left w:val="nil"/>
              <w:bottom w:val="single" w:sz="8" w:space="0" w:color="auto"/>
              <w:right w:val="single" w:sz="8" w:space="0" w:color="auto"/>
            </w:tcBorders>
            <w:shd w:val="clear" w:color="auto" w:fill="auto"/>
            <w:noWrap/>
            <w:vAlign w:val="center"/>
            <w:hideMark/>
          </w:tcPr>
          <w:p w14:paraId="20E22D9C" w14:textId="77777777" w:rsidR="007651FD" w:rsidRDefault="007651FD">
            <w:pPr>
              <w:jc w:val="center"/>
              <w:rPr>
                <w:rFonts w:cs="Calibri"/>
                <w:b/>
                <w:bCs/>
                <w:color w:val="000000"/>
                <w:sz w:val="16"/>
                <w:szCs w:val="16"/>
              </w:rPr>
            </w:pPr>
            <w:r>
              <w:rPr>
                <w:rFonts w:cs="Calibri"/>
                <w:b/>
                <w:bCs/>
                <w:color w:val="000000"/>
                <w:sz w:val="16"/>
                <w:szCs w:val="16"/>
              </w:rPr>
              <w:t xml:space="preserve"> 2 779 345,66 </w:t>
            </w:r>
          </w:p>
        </w:tc>
        <w:tc>
          <w:tcPr>
            <w:tcW w:w="0" w:type="auto"/>
            <w:tcBorders>
              <w:top w:val="nil"/>
              <w:left w:val="nil"/>
              <w:bottom w:val="single" w:sz="8" w:space="0" w:color="auto"/>
              <w:right w:val="single" w:sz="8" w:space="0" w:color="auto"/>
            </w:tcBorders>
            <w:shd w:val="clear" w:color="auto" w:fill="auto"/>
            <w:noWrap/>
            <w:vAlign w:val="center"/>
            <w:hideMark/>
          </w:tcPr>
          <w:p w14:paraId="1FFC8E6B" w14:textId="77777777" w:rsidR="007651FD" w:rsidRDefault="007651FD">
            <w:pPr>
              <w:jc w:val="center"/>
              <w:rPr>
                <w:rFonts w:cs="Calibri"/>
                <w:b/>
                <w:bCs/>
                <w:color w:val="000000"/>
                <w:sz w:val="16"/>
                <w:szCs w:val="16"/>
              </w:rPr>
            </w:pPr>
            <w:r>
              <w:rPr>
                <w:rFonts w:cs="Calibri"/>
                <w:b/>
                <w:bCs/>
                <w:color w:val="000000"/>
                <w:sz w:val="16"/>
                <w:szCs w:val="16"/>
              </w:rPr>
              <w:t xml:space="preserve"> 2 106 811,91 </w:t>
            </w:r>
          </w:p>
        </w:tc>
        <w:tc>
          <w:tcPr>
            <w:tcW w:w="0" w:type="auto"/>
            <w:tcBorders>
              <w:top w:val="nil"/>
              <w:left w:val="nil"/>
              <w:bottom w:val="single" w:sz="8" w:space="0" w:color="auto"/>
              <w:right w:val="single" w:sz="8" w:space="0" w:color="auto"/>
            </w:tcBorders>
            <w:shd w:val="clear" w:color="auto" w:fill="auto"/>
            <w:noWrap/>
            <w:vAlign w:val="center"/>
            <w:hideMark/>
          </w:tcPr>
          <w:p w14:paraId="36F0630F" w14:textId="77777777" w:rsidR="007651FD" w:rsidRDefault="007651FD">
            <w:pPr>
              <w:jc w:val="center"/>
              <w:rPr>
                <w:rFonts w:cs="Calibri"/>
                <w:b/>
                <w:bCs/>
                <w:color w:val="000000"/>
                <w:sz w:val="18"/>
                <w:szCs w:val="18"/>
              </w:rPr>
            </w:pPr>
            <w:r>
              <w:rPr>
                <w:rFonts w:cs="Calibri"/>
                <w:b/>
                <w:bCs/>
                <w:color w:val="000000"/>
                <w:sz w:val="18"/>
                <w:szCs w:val="18"/>
              </w:rPr>
              <w:t>31,92%</w:t>
            </w:r>
          </w:p>
        </w:tc>
      </w:tr>
    </w:tbl>
    <w:p w14:paraId="3961B8D3" w14:textId="3D0FB087" w:rsidR="00396CB4" w:rsidRPr="00396CB4" w:rsidRDefault="00E50AC3" w:rsidP="00396CB4">
      <w:pPr>
        <w:spacing w:before="240"/>
        <w:rPr>
          <w:rFonts w:eastAsia="Times New Roman" w:cs="Calibri"/>
          <w:color w:val="000000"/>
          <w:lang w:eastAsia="es-CR"/>
        </w:rPr>
      </w:pP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756467">
        <w:rPr>
          <w:rFonts w:eastAsia="Times New Roman" w:cs="Calibri"/>
          <w:color w:val="000000"/>
          <w:lang w:eastAsia="es-CR"/>
        </w:rPr>
        <w:instrText xml:space="preserve">Excel.SheetMacroEnabled.12 "C:\\Users\\gcordero\\Downloads\\Notas diciembre 2024\\Formato_Notas_EEFF_Vinculadas_2024\\Formato_Notas_EEFF_Vinculadas_2024\\15603_T04_2024_Anexo_Estado_Notas_Contables_Vinculadas.xlsm" NOTAS_POR_CUENTA!F464C8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r w:rsidR="00396CB4" w:rsidRPr="00396CB4">
        <w:rPr>
          <w:rFonts w:eastAsia="Times New Roman" w:cs="Calibri"/>
          <w:color w:val="000000"/>
          <w:lang w:eastAsia="es-CR"/>
        </w:rPr>
        <w:t>La cuenta Efectivo y equivalentes de efectivo al final del ejercicio, comparado al periodo anterior ge</w:t>
      </w:r>
      <w:r w:rsidR="007651FD">
        <w:rPr>
          <w:rFonts w:eastAsia="Times New Roman" w:cs="Calibri"/>
          <w:color w:val="000000"/>
          <w:lang w:eastAsia="es-CR"/>
        </w:rPr>
        <w:t>nera una variación absoluta de 672 533,75</w:t>
      </w:r>
      <w:r w:rsidR="00396CB4" w:rsidRPr="00396CB4">
        <w:rPr>
          <w:rFonts w:eastAsia="Times New Roman" w:cs="Calibri"/>
          <w:color w:val="000000"/>
          <w:lang w:eastAsia="es-CR"/>
        </w:rPr>
        <w:t xml:space="preserve"> que cor</w:t>
      </w:r>
      <w:r w:rsidR="007651FD">
        <w:rPr>
          <w:rFonts w:eastAsia="Times New Roman" w:cs="Calibri"/>
          <w:color w:val="000000"/>
          <w:lang w:eastAsia="es-CR"/>
        </w:rPr>
        <w:t>responde a un Aumento del 31,92</w:t>
      </w:r>
      <w:r w:rsidR="00396CB4" w:rsidRPr="00396CB4">
        <w:rPr>
          <w:rFonts w:eastAsia="Times New Roman" w:cs="Calibri"/>
          <w:color w:val="000000"/>
          <w:lang w:eastAsia="es-CR"/>
        </w:rPr>
        <w:t>% de recursos disponibles.</w:t>
      </w:r>
    </w:p>
    <w:p w14:paraId="0573B76A" w14:textId="30C7FA49" w:rsidR="00692DC8" w:rsidRPr="00692DC8" w:rsidRDefault="00E50AC3" w:rsidP="00E50AC3">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0F553D2C" w14:textId="77777777" w:rsidR="00BB627B" w:rsidRDefault="00BB627B" w:rsidP="00BB627B">
      <w:pPr>
        <w:spacing w:after="0" w:line="240" w:lineRule="auto"/>
      </w:pPr>
      <w:r>
        <w:t>Al respecto ver lo consignado en la Nota No. 3 de este estado. Adicionalmente, debe indicarse que los recursos que mantiene la municipalidad en cuentas de bancos no están restringidos para su uso ni existe ningún gravamen sobre los mismos a excepción de los recursos depositados en la c</w:t>
      </w:r>
      <w:r w:rsidRPr="00430CD9">
        <w:t xml:space="preserve">uenta </w:t>
      </w:r>
      <w:r>
        <w:t xml:space="preserve">Nº </w:t>
      </w:r>
      <w:r w:rsidRPr="00430CD9">
        <w:t>1640-3</w:t>
      </w:r>
      <w:r>
        <w:t xml:space="preserve"> del</w:t>
      </w:r>
      <w:r w:rsidRPr="00430CD9">
        <w:t xml:space="preserve"> B.N.C.R. </w:t>
      </w:r>
      <w:r>
        <w:t xml:space="preserve">en cual se depositan los dineros percibidos por concepto de </w:t>
      </w:r>
      <w:r w:rsidRPr="00430CD9">
        <w:t>Garantías</w:t>
      </w:r>
      <w:r>
        <w:t>, los cuales deben ser devueltos posteriormente a las personas físicas o jurídicas que las rindieron. Asimismo, debe reiterarse, que los recursos depositados en los fondos de inversión en las sociedades de fondos de inversión del banco Nacional y Banco de Costa Rica, pueden ser utilizados por la Municipalidad en el momento que los requieran para lo cual se debe informar a la sociedad con 24 horas de anticipación.</w:t>
      </w:r>
    </w:p>
    <w:p w14:paraId="54186B2B" w14:textId="77777777" w:rsidR="00BB627B" w:rsidRDefault="00BB627B" w:rsidP="00BB627B">
      <w:pPr>
        <w:spacing w:after="0" w:line="240" w:lineRule="auto"/>
      </w:pPr>
    </w:p>
    <w:p w14:paraId="47D43493" w14:textId="77777777" w:rsidR="00BB627B" w:rsidRPr="00A91674" w:rsidRDefault="00BB627B" w:rsidP="00BB627B">
      <w:pPr>
        <w:spacing w:after="0" w:line="240" w:lineRule="auto"/>
      </w:pPr>
      <w:r>
        <w:t>Por otra parte, en relación con los recursos de la Caja Única del Estado, los mismos se los van transfiriendo a la Municipalidad con base en la programación previamente elaborada por el Ministerio y la Municipalidad.</w:t>
      </w:r>
    </w:p>
    <w:p w14:paraId="100959DA" w14:textId="77777777" w:rsidR="00692DC8" w:rsidRPr="00692DC8" w:rsidRDefault="00692DC8" w:rsidP="0037354C"/>
    <w:p w14:paraId="1D39CCCB" w14:textId="132A1C40" w:rsidR="00692DC8" w:rsidRPr="0037354C" w:rsidRDefault="00692DC8" w:rsidP="0037354C">
      <w:pPr>
        <w:pStyle w:val="Ttulo2"/>
        <w:jc w:val="center"/>
        <w:rPr>
          <w:rFonts w:eastAsia="Times New Roman"/>
          <w:b/>
        </w:rPr>
      </w:pPr>
      <w:bookmarkStart w:id="1089" w:name="_Toc33601372"/>
      <w:bookmarkStart w:id="1090" w:name="_Toc82769091"/>
      <w:bookmarkStart w:id="1091" w:name="_Toc189804940"/>
      <w:r w:rsidRPr="0037354C">
        <w:rPr>
          <w:rFonts w:eastAsia="Times New Roman"/>
          <w:b/>
        </w:rPr>
        <w:t>NOTAS DEL ESTADO DE CAMBIOS EN EL PATRIMONIO NETO</w:t>
      </w:r>
      <w:bookmarkEnd w:id="1089"/>
      <w:bookmarkEnd w:id="1090"/>
      <w:bookmarkEnd w:id="1091"/>
    </w:p>
    <w:p w14:paraId="4D725765" w14:textId="77777777" w:rsidR="00692DC8" w:rsidRPr="00692DC8" w:rsidRDefault="00692DC8" w:rsidP="0037354C">
      <w:pPr>
        <w:pStyle w:val="Ttulo4"/>
        <w:spacing w:after="240"/>
        <w:rPr>
          <w:rFonts w:eastAsia="Times New Roman"/>
        </w:rPr>
      </w:pPr>
      <w:bookmarkStart w:id="1092" w:name="_Toc33601373"/>
      <w:bookmarkStart w:id="1093" w:name="_Toc82769092"/>
      <w:bookmarkStart w:id="1094" w:name="_Toc189804941"/>
      <w:r w:rsidRPr="00692DC8">
        <w:rPr>
          <w:rFonts w:eastAsia="Times New Roman"/>
        </w:rPr>
        <w:t>NOTA N°8</w:t>
      </w:r>
      <w:bookmarkEnd w:id="1092"/>
      <w:bookmarkEnd w:id="1093"/>
      <w:r w:rsidRPr="00692DC8">
        <w:rPr>
          <w:rFonts w:eastAsia="Times New Roman"/>
        </w:rPr>
        <w:t>4</w:t>
      </w:r>
      <w:bookmarkEnd w:id="1094"/>
    </w:p>
    <w:p w14:paraId="346A501E" w14:textId="77777777" w:rsidR="00396CB4" w:rsidRDefault="00692DC8" w:rsidP="003A2AFF">
      <w:pPr>
        <w:spacing w:before="240"/>
        <w:rPr>
          <w:rFonts w:asciiTheme="minorHAnsi" w:hAnsiTheme="minorHAnsi"/>
          <w:sz w:val="22"/>
        </w:rPr>
      </w:pPr>
      <w:bookmarkStart w:id="1095" w:name="_Toc33601374"/>
      <w:bookmarkStart w:id="1096" w:name="_Toc82769093"/>
      <w:r w:rsidRPr="00692DC8">
        <w:rPr>
          <w:rFonts w:eastAsia="Times New Roman"/>
        </w:rPr>
        <w:t>Saldos del periodo</w:t>
      </w:r>
      <w:bookmarkEnd w:id="1095"/>
      <w:bookmarkEnd w:id="1096"/>
      <w:r w:rsidR="00E50AC3">
        <w:rPr>
          <w:rFonts w:eastAsiaTheme="majorEastAsia" w:cstheme="majorBidi"/>
          <w:b/>
          <w:iCs/>
          <w:lang w:eastAsia="es-CR"/>
        </w:rPr>
        <w:fldChar w:fldCharType="begin"/>
      </w:r>
      <w:r w:rsidR="00E50AC3">
        <w:rPr>
          <w:lang w:eastAsia="es-CR"/>
        </w:rPr>
        <w:instrText xml:space="preserve"> LINK </w:instrText>
      </w:r>
      <w:r w:rsidR="00756467">
        <w:rPr>
          <w:lang w:eastAsia="es-CR"/>
        </w:rPr>
        <w:instrText xml:space="preserve">Excel.SheetMacroEnabled.12 "C:\\Users\\gcordero\\Downloads\\Notas diciembre 2024\\Formato_Notas_EEFF_Vinculadas_2024\\Formato_Notas_EEFF_Vinculadas_2024\\15603_T04_2024_Anexo_Estado_Notas_Contables_Vinculadas.xlsm" NOTAS_POR_CUENTA!F469C2:F471C6 </w:instrText>
      </w:r>
      <w:r w:rsidR="00E50AC3">
        <w:rPr>
          <w:lang w:eastAsia="es-CR"/>
        </w:rPr>
        <w:instrText xml:space="preserve">\a \f 4 \h </w:instrText>
      </w:r>
      <w:r w:rsidR="00E50AC3">
        <w:rPr>
          <w:lang w:eastAsia="es-CR"/>
        </w:rPr>
        <w:fldChar w:fldCharType="separate"/>
      </w:r>
    </w:p>
    <w:tbl>
      <w:tblPr>
        <w:tblW w:w="8940" w:type="dxa"/>
        <w:tblCellMar>
          <w:left w:w="70" w:type="dxa"/>
          <w:right w:w="70" w:type="dxa"/>
        </w:tblCellMar>
        <w:tblLook w:val="04A0" w:firstRow="1" w:lastRow="0" w:firstColumn="1" w:lastColumn="0" w:noHBand="0" w:noVBand="1"/>
      </w:tblPr>
      <w:tblGrid>
        <w:gridCol w:w="3220"/>
        <w:gridCol w:w="500"/>
        <w:gridCol w:w="2100"/>
        <w:gridCol w:w="2100"/>
        <w:gridCol w:w="1020"/>
      </w:tblGrid>
      <w:tr w:rsidR="00396CB4" w:rsidRPr="00396CB4" w14:paraId="2F469F10" w14:textId="77777777" w:rsidTr="00396CB4">
        <w:trPr>
          <w:divId w:val="561864832"/>
          <w:trHeight w:val="330"/>
        </w:trPr>
        <w:tc>
          <w:tcPr>
            <w:tcW w:w="32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073EE16" w14:textId="7FF350A9" w:rsidR="00396CB4" w:rsidRPr="00396CB4" w:rsidRDefault="00396CB4" w:rsidP="00396CB4">
            <w:pP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Descripción </w:t>
            </w:r>
          </w:p>
        </w:tc>
        <w:tc>
          <w:tcPr>
            <w:tcW w:w="500" w:type="dxa"/>
            <w:tcBorders>
              <w:top w:val="single" w:sz="8" w:space="0" w:color="auto"/>
              <w:left w:val="nil"/>
              <w:bottom w:val="nil"/>
              <w:right w:val="single" w:sz="8" w:space="0" w:color="auto"/>
            </w:tcBorders>
            <w:shd w:val="clear" w:color="000000" w:fill="366092"/>
            <w:noWrap/>
            <w:vAlign w:val="center"/>
            <w:hideMark/>
          </w:tcPr>
          <w:p w14:paraId="6A818666"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Nota </w:t>
            </w:r>
          </w:p>
        </w:tc>
        <w:tc>
          <w:tcPr>
            <w:tcW w:w="2100" w:type="dxa"/>
            <w:tcBorders>
              <w:top w:val="single" w:sz="8" w:space="0" w:color="auto"/>
              <w:left w:val="nil"/>
              <w:bottom w:val="nil"/>
              <w:right w:val="single" w:sz="8" w:space="0" w:color="auto"/>
            </w:tcBorders>
            <w:shd w:val="clear" w:color="000000" w:fill="366092"/>
            <w:noWrap/>
            <w:vAlign w:val="center"/>
            <w:hideMark/>
          </w:tcPr>
          <w:p w14:paraId="060DF10B"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Actual </w:t>
            </w:r>
          </w:p>
        </w:tc>
        <w:tc>
          <w:tcPr>
            <w:tcW w:w="2100" w:type="dxa"/>
            <w:tcBorders>
              <w:top w:val="single" w:sz="8" w:space="0" w:color="auto"/>
              <w:left w:val="nil"/>
              <w:bottom w:val="nil"/>
              <w:right w:val="single" w:sz="8" w:space="0" w:color="auto"/>
            </w:tcBorders>
            <w:shd w:val="clear" w:color="000000" w:fill="366092"/>
            <w:noWrap/>
            <w:vAlign w:val="center"/>
            <w:hideMark/>
          </w:tcPr>
          <w:p w14:paraId="5FE4DB61"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 Periodo Anterior </w:t>
            </w:r>
          </w:p>
        </w:tc>
        <w:tc>
          <w:tcPr>
            <w:tcW w:w="1020" w:type="dxa"/>
            <w:tcBorders>
              <w:top w:val="single" w:sz="8" w:space="0" w:color="auto"/>
              <w:left w:val="nil"/>
              <w:bottom w:val="single" w:sz="8" w:space="0" w:color="auto"/>
              <w:right w:val="single" w:sz="8" w:space="0" w:color="auto"/>
            </w:tcBorders>
            <w:shd w:val="clear" w:color="000000" w:fill="366092"/>
            <w:noWrap/>
            <w:vAlign w:val="center"/>
            <w:hideMark/>
          </w:tcPr>
          <w:p w14:paraId="69C114C4"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xml:space="preserve">Diferencia </w:t>
            </w:r>
          </w:p>
        </w:tc>
      </w:tr>
      <w:tr w:rsidR="00396CB4" w:rsidRPr="00396CB4" w14:paraId="10D1F472" w14:textId="77777777" w:rsidTr="00396CB4">
        <w:trPr>
          <w:divId w:val="561864832"/>
          <w:trHeight w:val="330"/>
        </w:trPr>
        <w:tc>
          <w:tcPr>
            <w:tcW w:w="3220" w:type="dxa"/>
            <w:vMerge/>
            <w:tcBorders>
              <w:top w:val="single" w:sz="8" w:space="0" w:color="auto"/>
              <w:left w:val="single" w:sz="8" w:space="0" w:color="auto"/>
              <w:bottom w:val="single" w:sz="8" w:space="0" w:color="000000"/>
              <w:right w:val="single" w:sz="8" w:space="0" w:color="auto"/>
            </w:tcBorders>
            <w:vAlign w:val="center"/>
            <w:hideMark/>
          </w:tcPr>
          <w:p w14:paraId="4350E5F4" w14:textId="77777777" w:rsidR="00396CB4" w:rsidRPr="00396CB4" w:rsidRDefault="00396CB4" w:rsidP="00396CB4">
            <w:pPr>
              <w:spacing w:after="0" w:line="240" w:lineRule="auto"/>
              <w:jc w:val="left"/>
              <w:rPr>
                <w:rFonts w:eastAsia="Times New Roman" w:cs="Calibri"/>
                <w:b/>
                <w:bCs/>
                <w:color w:val="FFFFFF"/>
                <w:sz w:val="18"/>
                <w:szCs w:val="18"/>
                <w:lang w:eastAsia="es-CR"/>
              </w:rPr>
            </w:pPr>
          </w:p>
        </w:tc>
        <w:tc>
          <w:tcPr>
            <w:tcW w:w="500" w:type="dxa"/>
            <w:tcBorders>
              <w:top w:val="nil"/>
              <w:left w:val="nil"/>
              <w:bottom w:val="single" w:sz="8" w:space="0" w:color="auto"/>
              <w:right w:val="single" w:sz="8" w:space="0" w:color="auto"/>
            </w:tcBorders>
            <w:shd w:val="clear" w:color="000000" w:fill="366092"/>
            <w:noWrap/>
            <w:vAlign w:val="center"/>
            <w:hideMark/>
          </w:tcPr>
          <w:p w14:paraId="1192A3E0"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w:t>
            </w:r>
          </w:p>
        </w:tc>
        <w:tc>
          <w:tcPr>
            <w:tcW w:w="2100" w:type="dxa"/>
            <w:tcBorders>
              <w:top w:val="nil"/>
              <w:left w:val="nil"/>
              <w:bottom w:val="single" w:sz="8" w:space="0" w:color="auto"/>
              <w:right w:val="single" w:sz="8" w:space="0" w:color="auto"/>
            </w:tcBorders>
            <w:shd w:val="clear" w:color="000000" w:fill="366092"/>
            <w:noWrap/>
            <w:vAlign w:val="center"/>
            <w:hideMark/>
          </w:tcPr>
          <w:p w14:paraId="41A580DF"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w:t>
            </w:r>
          </w:p>
        </w:tc>
        <w:tc>
          <w:tcPr>
            <w:tcW w:w="2100" w:type="dxa"/>
            <w:tcBorders>
              <w:top w:val="nil"/>
              <w:left w:val="nil"/>
              <w:bottom w:val="single" w:sz="8" w:space="0" w:color="auto"/>
              <w:right w:val="single" w:sz="8" w:space="0" w:color="auto"/>
            </w:tcBorders>
            <w:shd w:val="clear" w:color="000000" w:fill="366092"/>
            <w:noWrap/>
            <w:vAlign w:val="center"/>
            <w:hideMark/>
          </w:tcPr>
          <w:p w14:paraId="054DC335"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 </w:t>
            </w:r>
          </w:p>
        </w:tc>
        <w:tc>
          <w:tcPr>
            <w:tcW w:w="1020" w:type="dxa"/>
            <w:tcBorders>
              <w:top w:val="nil"/>
              <w:left w:val="nil"/>
              <w:bottom w:val="single" w:sz="8" w:space="0" w:color="auto"/>
              <w:right w:val="single" w:sz="8" w:space="0" w:color="auto"/>
            </w:tcBorders>
            <w:shd w:val="clear" w:color="000000" w:fill="366092"/>
            <w:noWrap/>
            <w:vAlign w:val="center"/>
            <w:hideMark/>
          </w:tcPr>
          <w:p w14:paraId="134673B7" w14:textId="77777777" w:rsidR="00396CB4" w:rsidRPr="00396CB4" w:rsidRDefault="00396CB4" w:rsidP="00396CB4">
            <w:pPr>
              <w:spacing w:after="0" w:line="240" w:lineRule="auto"/>
              <w:jc w:val="center"/>
              <w:rPr>
                <w:rFonts w:eastAsia="Times New Roman" w:cs="Calibri"/>
                <w:b/>
                <w:bCs/>
                <w:color w:val="FFFFFF"/>
                <w:sz w:val="18"/>
                <w:szCs w:val="18"/>
                <w:lang w:eastAsia="es-CR"/>
              </w:rPr>
            </w:pPr>
            <w:r w:rsidRPr="00396CB4">
              <w:rPr>
                <w:rFonts w:eastAsia="Times New Roman" w:cs="Calibri"/>
                <w:b/>
                <w:bCs/>
                <w:color w:val="FFFFFF"/>
                <w:sz w:val="18"/>
                <w:szCs w:val="18"/>
                <w:lang w:eastAsia="es-CR"/>
              </w:rPr>
              <w:t>%</w:t>
            </w:r>
          </w:p>
        </w:tc>
      </w:tr>
      <w:tr w:rsidR="00396CB4" w:rsidRPr="00396CB4" w14:paraId="1FD9C1FA" w14:textId="77777777" w:rsidTr="00396CB4">
        <w:trPr>
          <w:divId w:val="561864832"/>
          <w:trHeight w:val="330"/>
        </w:trPr>
        <w:tc>
          <w:tcPr>
            <w:tcW w:w="3220" w:type="dxa"/>
            <w:tcBorders>
              <w:top w:val="nil"/>
              <w:left w:val="single" w:sz="8" w:space="0" w:color="auto"/>
              <w:bottom w:val="single" w:sz="8" w:space="0" w:color="auto"/>
              <w:right w:val="single" w:sz="8" w:space="0" w:color="auto"/>
            </w:tcBorders>
            <w:shd w:val="clear" w:color="auto" w:fill="auto"/>
            <w:vAlign w:val="center"/>
            <w:hideMark/>
          </w:tcPr>
          <w:p w14:paraId="619B7F65" w14:textId="77777777" w:rsidR="00396CB4" w:rsidRPr="00396CB4" w:rsidRDefault="00396CB4" w:rsidP="00396CB4">
            <w:pPr>
              <w:spacing w:after="0" w:line="240" w:lineRule="auto"/>
              <w:rPr>
                <w:rFonts w:eastAsia="Times New Roman" w:cs="Calibri"/>
                <w:b/>
                <w:bCs/>
                <w:color w:val="000000"/>
                <w:sz w:val="18"/>
                <w:szCs w:val="18"/>
                <w:lang w:eastAsia="es-CR"/>
              </w:rPr>
            </w:pPr>
            <w:r w:rsidRPr="00396CB4">
              <w:rPr>
                <w:rFonts w:eastAsia="Times New Roman" w:cs="Calibri"/>
                <w:b/>
                <w:bCs/>
                <w:color w:val="000000"/>
                <w:sz w:val="18"/>
                <w:szCs w:val="18"/>
                <w:lang w:eastAsia="es-CR"/>
              </w:rPr>
              <w:t>Saldos del período</w:t>
            </w:r>
          </w:p>
        </w:tc>
        <w:tc>
          <w:tcPr>
            <w:tcW w:w="500" w:type="dxa"/>
            <w:tcBorders>
              <w:top w:val="nil"/>
              <w:left w:val="nil"/>
              <w:bottom w:val="single" w:sz="8" w:space="0" w:color="auto"/>
              <w:right w:val="single" w:sz="8" w:space="0" w:color="auto"/>
            </w:tcBorders>
            <w:shd w:val="clear" w:color="auto" w:fill="auto"/>
            <w:noWrap/>
            <w:vAlign w:val="center"/>
            <w:hideMark/>
          </w:tcPr>
          <w:p w14:paraId="2573388F" w14:textId="77777777" w:rsidR="00396CB4" w:rsidRPr="00396CB4" w:rsidRDefault="00396CB4" w:rsidP="00396CB4">
            <w:pPr>
              <w:spacing w:after="0" w:line="240" w:lineRule="auto"/>
              <w:jc w:val="center"/>
              <w:rPr>
                <w:rFonts w:eastAsia="Times New Roman" w:cs="Calibri"/>
                <w:b/>
                <w:bCs/>
                <w:color w:val="000000"/>
                <w:sz w:val="18"/>
                <w:szCs w:val="18"/>
                <w:lang w:eastAsia="es-CR"/>
              </w:rPr>
            </w:pPr>
            <w:r w:rsidRPr="00396CB4">
              <w:rPr>
                <w:rFonts w:eastAsia="Times New Roman" w:cs="Calibri"/>
                <w:b/>
                <w:bCs/>
                <w:color w:val="000000"/>
                <w:sz w:val="18"/>
                <w:szCs w:val="18"/>
                <w:lang w:eastAsia="es-CR"/>
              </w:rPr>
              <w:t>84</w:t>
            </w:r>
          </w:p>
        </w:tc>
        <w:tc>
          <w:tcPr>
            <w:tcW w:w="2100" w:type="dxa"/>
            <w:tcBorders>
              <w:top w:val="nil"/>
              <w:left w:val="nil"/>
              <w:bottom w:val="single" w:sz="8" w:space="0" w:color="auto"/>
              <w:right w:val="single" w:sz="8" w:space="0" w:color="auto"/>
            </w:tcBorders>
            <w:shd w:val="clear" w:color="auto" w:fill="auto"/>
            <w:noWrap/>
            <w:vAlign w:val="center"/>
            <w:hideMark/>
          </w:tcPr>
          <w:p w14:paraId="504D8AE2" w14:textId="121A83E3" w:rsidR="00396CB4" w:rsidRPr="00396CB4" w:rsidRDefault="00396CB4" w:rsidP="00396CB4">
            <w:pPr>
              <w:spacing w:after="0" w:line="240" w:lineRule="auto"/>
              <w:jc w:val="left"/>
              <w:rPr>
                <w:rFonts w:eastAsia="Times New Roman" w:cs="Calibri"/>
                <w:b/>
                <w:bCs/>
                <w:color w:val="000000"/>
                <w:sz w:val="16"/>
                <w:szCs w:val="16"/>
                <w:lang w:eastAsia="es-CR"/>
              </w:rPr>
            </w:pPr>
            <w:r w:rsidRPr="00396CB4">
              <w:rPr>
                <w:rFonts w:eastAsia="Times New Roman" w:cs="Calibri"/>
                <w:b/>
                <w:bCs/>
                <w:color w:val="000000"/>
                <w:sz w:val="16"/>
                <w:szCs w:val="16"/>
                <w:lang w:eastAsia="es-CR"/>
              </w:rPr>
              <w:t xml:space="preserve"> 1</w:t>
            </w:r>
            <w:r w:rsidR="00617D22">
              <w:rPr>
                <w:rFonts w:eastAsia="Times New Roman" w:cs="Calibri"/>
                <w:b/>
                <w:bCs/>
                <w:color w:val="000000"/>
                <w:sz w:val="16"/>
                <w:szCs w:val="16"/>
                <w:lang w:eastAsia="es-CR"/>
              </w:rPr>
              <w:t>64 115 701,27</w:t>
            </w:r>
          </w:p>
        </w:tc>
        <w:tc>
          <w:tcPr>
            <w:tcW w:w="2100" w:type="dxa"/>
            <w:tcBorders>
              <w:top w:val="nil"/>
              <w:left w:val="nil"/>
              <w:bottom w:val="single" w:sz="8" w:space="0" w:color="auto"/>
              <w:right w:val="single" w:sz="8" w:space="0" w:color="auto"/>
            </w:tcBorders>
            <w:shd w:val="clear" w:color="auto" w:fill="auto"/>
            <w:noWrap/>
            <w:vAlign w:val="center"/>
            <w:hideMark/>
          </w:tcPr>
          <w:p w14:paraId="49D5DE23" w14:textId="23699929" w:rsidR="00396CB4" w:rsidRPr="00396CB4" w:rsidRDefault="00617D22" w:rsidP="00396CB4">
            <w:pPr>
              <w:spacing w:after="0" w:line="240" w:lineRule="auto"/>
              <w:jc w:val="left"/>
              <w:rPr>
                <w:rFonts w:eastAsia="Times New Roman" w:cs="Calibri"/>
                <w:b/>
                <w:bCs/>
                <w:color w:val="000000"/>
                <w:sz w:val="16"/>
                <w:szCs w:val="16"/>
                <w:lang w:eastAsia="es-CR"/>
              </w:rPr>
            </w:pPr>
            <w:r>
              <w:rPr>
                <w:rFonts w:eastAsia="Times New Roman" w:cs="Calibri"/>
                <w:b/>
                <w:bCs/>
                <w:color w:val="000000"/>
                <w:sz w:val="16"/>
                <w:szCs w:val="16"/>
                <w:lang w:eastAsia="es-CR"/>
              </w:rPr>
              <w:t>164 134 319,24</w:t>
            </w:r>
          </w:p>
        </w:tc>
        <w:tc>
          <w:tcPr>
            <w:tcW w:w="1020" w:type="dxa"/>
            <w:tcBorders>
              <w:top w:val="nil"/>
              <w:left w:val="nil"/>
              <w:bottom w:val="single" w:sz="8" w:space="0" w:color="auto"/>
              <w:right w:val="single" w:sz="8" w:space="0" w:color="auto"/>
            </w:tcBorders>
            <w:shd w:val="clear" w:color="auto" w:fill="auto"/>
            <w:noWrap/>
            <w:vAlign w:val="center"/>
            <w:hideMark/>
          </w:tcPr>
          <w:p w14:paraId="2CB7BCFB" w14:textId="77777777" w:rsidR="00396CB4" w:rsidRPr="00396CB4" w:rsidRDefault="00396CB4" w:rsidP="00396CB4">
            <w:pPr>
              <w:spacing w:after="0" w:line="240" w:lineRule="auto"/>
              <w:jc w:val="right"/>
              <w:rPr>
                <w:rFonts w:eastAsia="Times New Roman" w:cs="Calibri"/>
                <w:b/>
                <w:bCs/>
                <w:color w:val="000000"/>
                <w:sz w:val="18"/>
                <w:szCs w:val="18"/>
                <w:lang w:eastAsia="es-CR"/>
              </w:rPr>
            </w:pPr>
            <w:r w:rsidRPr="00396CB4">
              <w:rPr>
                <w:rFonts w:eastAsia="Times New Roman" w:cs="Calibri"/>
                <w:b/>
                <w:bCs/>
                <w:color w:val="000000"/>
                <w:sz w:val="18"/>
                <w:szCs w:val="18"/>
                <w:lang w:eastAsia="es-CR"/>
              </w:rPr>
              <w:t>0,32%</w:t>
            </w:r>
          </w:p>
        </w:tc>
      </w:tr>
    </w:tbl>
    <w:p w14:paraId="0A25F397" w14:textId="1DF3F3BA" w:rsidR="00396CB4" w:rsidRPr="00396CB4" w:rsidRDefault="00E50AC3" w:rsidP="00396CB4">
      <w:pPr>
        <w:spacing w:before="240"/>
        <w:rPr>
          <w:lang w:eastAsia="es-CR"/>
        </w:rPr>
      </w:pPr>
      <w:r>
        <w:rPr>
          <w:lang w:eastAsia="es-CR"/>
        </w:rPr>
        <w:lastRenderedPageBreak/>
        <w:fldChar w:fldCharType="end"/>
      </w:r>
      <w:r w:rsidR="003A2AFF">
        <w:rPr>
          <w:lang w:eastAsia="es-CR"/>
        </w:rPr>
        <w:fldChar w:fldCharType="begin"/>
      </w:r>
      <w:r w:rsidR="003A2AFF">
        <w:rPr>
          <w:lang w:eastAsia="es-CR"/>
        </w:rPr>
        <w:instrText xml:space="preserve"> LINK </w:instrText>
      </w:r>
      <w:r w:rsidR="00756467">
        <w:rPr>
          <w:lang w:eastAsia="es-CR"/>
        </w:rPr>
        <w:instrText xml:space="preserve">Excel.SheetMacroEnabled.12 "C:\\Users\\gcordero\\Downloads\\Notas diciembre 2024\\Formato_Notas_EEFF_Vinculadas_2024\\Formato_Notas_EEFF_Vinculadas_2024\\15603_T04_2024_Anexo_Estado_Notas_Contables_Vinculadas.xlsm" NOTAS_POR_CUENTA!F471C8 </w:instrText>
      </w:r>
      <w:r w:rsidR="003A2AFF">
        <w:rPr>
          <w:lang w:eastAsia="es-CR"/>
        </w:rPr>
        <w:instrText xml:space="preserve">\a \f 5 \h  \* MERGEFORMAT </w:instrText>
      </w:r>
      <w:r w:rsidR="003A2AFF">
        <w:rPr>
          <w:lang w:eastAsia="es-CR"/>
        </w:rPr>
        <w:fldChar w:fldCharType="separate"/>
      </w:r>
      <w:r w:rsidR="00396CB4" w:rsidRPr="0006425F">
        <w:rPr>
          <w:lang w:eastAsia="es-CR"/>
        </w:rPr>
        <w:t>En el Estado de Cambio al Patrimonio, el Saldo del</w:t>
      </w:r>
      <w:r w:rsidR="0006425F" w:rsidRPr="0006425F">
        <w:rPr>
          <w:lang w:eastAsia="es-CR"/>
        </w:rPr>
        <w:t xml:space="preserve"> periodo al 31 de diciembre 2024</w:t>
      </w:r>
      <w:r w:rsidR="00396CB4" w:rsidRPr="0006425F">
        <w:rPr>
          <w:lang w:eastAsia="es-CR"/>
        </w:rPr>
        <w:t xml:space="preserve">, comparado al periodo anterior genera una variación absoluta de </w:t>
      </w:r>
      <w:r w:rsidR="007651FD" w:rsidRPr="0006425F">
        <w:rPr>
          <w:lang w:eastAsia="es-CR"/>
        </w:rPr>
        <w:t>18 617,97</w:t>
      </w:r>
      <w:r w:rsidR="00396CB4" w:rsidRPr="0006425F">
        <w:rPr>
          <w:lang w:eastAsia="es-CR"/>
        </w:rPr>
        <w:t xml:space="preserve"> que corresponde a un Aumento del 0,32% de recursos disponibles.</w:t>
      </w:r>
    </w:p>
    <w:p w14:paraId="116346A2" w14:textId="3711D2F5" w:rsidR="00692DC8" w:rsidRDefault="003A2AFF" w:rsidP="003A2AFF">
      <w:pPr>
        <w:spacing w:before="240"/>
        <w:rPr>
          <w:rFonts w:eastAsia="Calibri" w:cs="Times New Roman"/>
        </w:rPr>
      </w:pPr>
      <w:r>
        <w:rPr>
          <w:lang w:eastAsia="es-CR"/>
        </w:rPr>
        <w:fldChar w:fldCharType="end"/>
      </w:r>
      <w:r w:rsidR="00692DC8" w:rsidRPr="00692DC8">
        <w:rPr>
          <w:rFonts w:eastAsia="Calibri" w:cs="Times New Roman"/>
          <w:highlight w:val="lightGray"/>
        </w:rPr>
        <w:t>Las variaciones de la cuenta son producto de (Indicar la razón de las variaciones de un periodo a otro):</w:t>
      </w:r>
      <w:r w:rsidR="00692DC8" w:rsidRPr="00692DC8">
        <w:rPr>
          <w:rFonts w:eastAsia="Calibri" w:cs="Times New Roman"/>
        </w:rPr>
        <w:t xml:space="preserve"> </w:t>
      </w:r>
    </w:p>
    <w:p w14:paraId="0F5F991E" w14:textId="77777777" w:rsidR="00BB627B" w:rsidRDefault="00BB627B" w:rsidP="00BB627B">
      <w:pPr>
        <w:spacing w:after="0" w:line="240" w:lineRule="auto"/>
        <w:rPr>
          <w:rFonts w:eastAsiaTheme="minorEastAsia" w:cs="Arial Narrow"/>
          <w:color w:val="000000"/>
          <w:lang w:eastAsia="es-CR"/>
        </w:rPr>
      </w:pPr>
      <w:r w:rsidRPr="00130FD6">
        <w:rPr>
          <w:rFonts w:eastAsia="Calibri"/>
        </w:rPr>
        <w:t xml:space="preserve">Que </w:t>
      </w:r>
      <w:r w:rsidRPr="00130FD6">
        <w:rPr>
          <w:rFonts w:eastAsiaTheme="minorEastAsia" w:cs="Arial Narrow"/>
          <w:color w:val="000000"/>
          <w:lang w:eastAsia="es-CR"/>
        </w:rPr>
        <w:t xml:space="preserve">fundamentalmente </w:t>
      </w:r>
      <w:r>
        <w:rPr>
          <w:rFonts w:eastAsiaTheme="minorEastAsia" w:cs="Arial Narrow"/>
          <w:color w:val="000000"/>
          <w:lang w:eastAsia="es-CR"/>
        </w:rPr>
        <w:t>a los resultados del periodo 2024 y a que se han realizado ajustes a algunos de los saldos de las cuentas, con el fin de que estos representen de una manera más razonable la situación financiera de la Municipalidad.</w:t>
      </w:r>
    </w:p>
    <w:p w14:paraId="6D110D0A" w14:textId="77777777" w:rsidR="00692DC8" w:rsidRPr="00692DC8" w:rsidRDefault="00692DC8" w:rsidP="0037354C">
      <w:pPr>
        <w:rPr>
          <w:rFonts w:eastAsia="Calibri" w:cs="Times New Roman"/>
          <w:szCs w:val="24"/>
        </w:rPr>
      </w:pPr>
    </w:p>
    <w:p w14:paraId="01448722" w14:textId="21EFE4C0" w:rsidR="00692DC8" w:rsidRPr="000748A5" w:rsidRDefault="00692DC8" w:rsidP="000748A5">
      <w:pPr>
        <w:pStyle w:val="Ttulo1"/>
        <w:spacing w:after="240"/>
        <w:rPr>
          <w:rFonts w:eastAsia="Times New Roman"/>
        </w:rPr>
      </w:pPr>
      <w:bookmarkStart w:id="1097" w:name="_Toc82769094"/>
      <w:bookmarkStart w:id="1098" w:name="_Toc189804942"/>
      <w:r w:rsidRPr="00692DC8">
        <w:rPr>
          <w:rFonts w:eastAsia="Times New Roman"/>
        </w:rPr>
        <w:t>NOTAS AL INFORME COMPARATIVO DE EJECUCIÓN PRESUPUESTARIA CON DEVENGADO DE CONTABILIDAD</w:t>
      </w:r>
      <w:bookmarkEnd w:id="1097"/>
      <w:bookmarkEnd w:id="1098"/>
    </w:p>
    <w:p w14:paraId="3D00D09C" w14:textId="77777777" w:rsidR="00692DC8" w:rsidRPr="00692DC8" w:rsidRDefault="00692DC8" w:rsidP="0027138C">
      <w:pPr>
        <w:rPr>
          <w:lang w:eastAsia="es-ES"/>
        </w:rPr>
      </w:pPr>
      <w:r w:rsidRPr="00692DC8">
        <w:rPr>
          <w:lang w:eastAsia="es-ES"/>
        </w:rPr>
        <w:t>A efectos de cumplir con la integración del presupuesto y contabilidad, deberá formularse y exponerse una conciliación entre los resultados contable y presupuestario.</w:t>
      </w:r>
    </w:p>
    <w:p w14:paraId="634FBF6C" w14:textId="77777777" w:rsidR="00692DC8" w:rsidRPr="00692DC8" w:rsidRDefault="00692DC8" w:rsidP="0027138C">
      <w:pPr>
        <w:jc w:val="center"/>
        <w:rPr>
          <w:rFonts w:eastAsia="Calibri" w:cs="Times New Roman"/>
          <w:noProof/>
        </w:rPr>
      </w:pPr>
      <w:r w:rsidRPr="00692DC8">
        <w:rPr>
          <w:rFonts w:eastAsia="Calibri" w:cs="Times New Roman"/>
          <w:noProof/>
          <w:lang w:eastAsia="es-CR"/>
        </w:rPr>
        <w:drawing>
          <wp:inline distT="0" distB="0" distL="0" distR="0" wp14:anchorId="575200AF" wp14:editId="7FF12F82">
            <wp:extent cx="4175760" cy="1074420"/>
            <wp:effectExtent l="0" t="0" r="0" b="0"/>
            <wp:docPr id="5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75760" cy="1074420"/>
                    </a:xfrm>
                    <a:prstGeom prst="rect">
                      <a:avLst/>
                    </a:prstGeom>
                    <a:noFill/>
                    <a:ln>
                      <a:noFill/>
                    </a:ln>
                  </pic:spPr>
                </pic:pic>
              </a:graphicData>
            </a:graphic>
          </wp:inline>
        </w:drawing>
      </w:r>
    </w:p>
    <w:p w14:paraId="1FBCD920" w14:textId="175F7B8D" w:rsidR="00692DC8" w:rsidRPr="001534E5" w:rsidRDefault="00692DC8" w:rsidP="001534E5">
      <w:pPr>
        <w:jc w:val="center"/>
        <w:rPr>
          <w:rFonts w:eastAsia="Times New Roman"/>
          <w:szCs w:val="24"/>
          <w:lang w:eastAsia="es-ES"/>
        </w:rPr>
      </w:pPr>
      <w:r w:rsidRPr="00692DC8">
        <w:rPr>
          <w:noProof/>
          <w:lang w:eastAsia="es-CR"/>
        </w:rPr>
        <w:drawing>
          <wp:inline distT="0" distB="0" distL="0" distR="0" wp14:anchorId="62B88AAE" wp14:editId="5CAD2A2C">
            <wp:extent cx="4152900" cy="1173480"/>
            <wp:effectExtent l="0" t="0" r="0" b="0"/>
            <wp:docPr id="5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152900" cy="1173480"/>
                    </a:xfrm>
                    <a:prstGeom prst="rect">
                      <a:avLst/>
                    </a:prstGeom>
                    <a:noFill/>
                    <a:ln>
                      <a:noFill/>
                    </a:ln>
                  </pic:spPr>
                </pic:pic>
              </a:graphicData>
            </a:graphic>
          </wp:inline>
        </w:drawing>
      </w:r>
    </w:p>
    <w:p w14:paraId="2AE2736C" w14:textId="77777777" w:rsidR="00692DC8" w:rsidRPr="00692DC8" w:rsidRDefault="00692DC8" w:rsidP="0027138C">
      <w:pPr>
        <w:pStyle w:val="Ttulo4"/>
        <w:spacing w:after="240"/>
        <w:rPr>
          <w:rFonts w:eastAsia="Times New Roman"/>
        </w:rPr>
      </w:pPr>
      <w:bookmarkStart w:id="1099" w:name="_Toc82769095"/>
      <w:bookmarkStart w:id="1100" w:name="_Toc189804943"/>
      <w:r w:rsidRPr="00692DC8">
        <w:rPr>
          <w:rFonts w:eastAsia="Times New Roman"/>
        </w:rPr>
        <w:t>NOTA N°8</w:t>
      </w:r>
      <w:bookmarkEnd w:id="1099"/>
      <w:r w:rsidRPr="00692DC8">
        <w:rPr>
          <w:rFonts w:eastAsia="Times New Roman"/>
        </w:rPr>
        <w:t>5</w:t>
      </w:r>
      <w:bookmarkEnd w:id="1100"/>
    </w:p>
    <w:p w14:paraId="4C72C50F" w14:textId="77777777" w:rsidR="00692DC8" w:rsidRPr="00305662" w:rsidRDefault="00692DC8" w:rsidP="00305662">
      <w:pPr>
        <w:rPr>
          <w:b/>
          <w:bCs/>
        </w:rPr>
      </w:pPr>
      <w:bookmarkStart w:id="1101" w:name="_Toc82769096"/>
      <w:r w:rsidRPr="00305662">
        <w:rPr>
          <w:b/>
          <w:bCs/>
        </w:rPr>
        <w:t>Diferencias presupuesto vs. contabilidad (Devengo)</w:t>
      </w:r>
      <w:bookmarkEnd w:id="1101"/>
    </w:p>
    <w:tbl>
      <w:tblPr>
        <w:tblW w:w="8993" w:type="dxa"/>
        <w:tblCellMar>
          <w:left w:w="70" w:type="dxa"/>
          <w:right w:w="70" w:type="dxa"/>
        </w:tblCellMar>
        <w:tblLook w:val="04A0" w:firstRow="1" w:lastRow="0" w:firstColumn="1" w:lastColumn="0" w:noHBand="0" w:noVBand="1"/>
      </w:tblPr>
      <w:tblGrid>
        <w:gridCol w:w="3954"/>
        <w:gridCol w:w="1418"/>
        <w:gridCol w:w="1217"/>
        <w:gridCol w:w="1202"/>
        <w:gridCol w:w="1202"/>
      </w:tblGrid>
      <w:tr w:rsidR="001F49A8" w:rsidRPr="001F49A8" w14:paraId="12C7B39A" w14:textId="77777777" w:rsidTr="001F49A8">
        <w:trPr>
          <w:trHeight w:val="454"/>
        </w:trPr>
        <w:tc>
          <w:tcPr>
            <w:tcW w:w="3954" w:type="dxa"/>
            <w:tcBorders>
              <w:top w:val="nil"/>
              <w:left w:val="single" w:sz="12" w:space="0" w:color="auto"/>
              <w:bottom w:val="nil"/>
              <w:right w:val="single" w:sz="12" w:space="0" w:color="auto"/>
            </w:tcBorders>
            <w:shd w:val="clear" w:color="000000" w:fill="002060"/>
            <w:noWrap/>
            <w:vAlign w:val="center"/>
            <w:hideMark/>
          </w:tcPr>
          <w:p w14:paraId="6ABEAE5B" w14:textId="77777777" w:rsidR="001F49A8" w:rsidRPr="001F49A8" w:rsidRDefault="001F49A8" w:rsidP="001F49A8">
            <w:pPr>
              <w:spacing w:after="0" w:line="240" w:lineRule="auto"/>
              <w:jc w:val="center"/>
              <w:rPr>
                <w:rFonts w:eastAsia="Times New Roman" w:cs="Calibri"/>
                <w:b/>
                <w:bCs/>
                <w:color w:val="FFFFFF"/>
                <w:sz w:val="20"/>
                <w:szCs w:val="20"/>
                <w:lang w:eastAsia="es-CR"/>
              </w:rPr>
            </w:pPr>
            <w:r w:rsidRPr="001F49A8">
              <w:rPr>
                <w:rFonts w:eastAsia="Times New Roman" w:cs="Calibri"/>
                <w:b/>
                <w:bCs/>
                <w:color w:val="FFFFFF"/>
                <w:sz w:val="20"/>
                <w:szCs w:val="20"/>
                <w:lang w:eastAsia="es-CR"/>
              </w:rPr>
              <w:t>Descripción</w:t>
            </w:r>
          </w:p>
        </w:tc>
        <w:tc>
          <w:tcPr>
            <w:tcW w:w="1418" w:type="dxa"/>
            <w:tcBorders>
              <w:top w:val="nil"/>
              <w:left w:val="nil"/>
              <w:bottom w:val="nil"/>
              <w:right w:val="single" w:sz="12" w:space="0" w:color="auto"/>
            </w:tcBorders>
            <w:shd w:val="clear" w:color="000000" w:fill="002060"/>
            <w:vAlign w:val="center"/>
            <w:hideMark/>
          </w:tcPr>
          <w:p w14:paraId="3033D84A" w14:textId="77777777" w:rsidR="001F49A8" w:rsidRPr="001F49A8" w:rsidRDefault="001F49A8" w:rsidP="001F49A8">
            <w:pPr>
              <w:spacing w:after="0" w:line="240" w:lineRule="auto"/>
              <w:jc w:val="center"/>
              <w:rPr>
                <w:rFonts w:eastAsia="Times New Roman" w:cs="Calibri"/>
                <w:b/>
                <w:bCs/>
                <w:color w:val="FFFFFF"/>
                <w:sz w:val="20"/>
                <w:szCs w:val="20"/>
                <w:lang w:eastAsia="es-CR"/>
              </w:rPr>
            </w:pPr>
            <w:r w:rsidRPr="001F49A8">
              <w:rPr>
                <w:rFonts w:eastAsia="Times New Roman" w:cs="Calibri"/>
                <w:b/>
                <w:bCs/>
                <w:color w:val="FFFFFF"/>
                <w:sz w:val="20"/>
                <w:szCs w:val="20"/>
                <w:lang w:eastAsia="es-CR"/>
              </w:rPr>
              <w:t>Saldo Año Actual</w:t>
            </w:r>
          </w:p>
        </w:tc>
        <w:tc>
          <w:tcPr>
            <w:tcW w:w="1217" w:type="dxa"/>
            <w:tcBorders>
              <w:top w:val="nil"/>
              <w:left w:val="nil"/>
              <w:bottom w:val="nil"/>
              <w:right w:val="single" w:sz="12" w:space="0" w:color="auto"/>
            </w:tcBorders>
            <w:shd w:val="clear" w:color="000000" w:fill="002060"/>
            <w:vAlign w:val="center"/>
            <w:hideMark/>
          </w:tcPr>
          <w:p w14:paraId="4FFD52B1" w14:textId="77777777" w:rsidR="001F49A8" w:rsidRPr="001F49A8" w:rsidRDefault="001F49A8" w:rsidP="001F49A8">
            <w:pPr>
              <w:spacing w:after="0" w:line="240" w:lineRule="auto"/>
              <w:jc w:val="center"/>
              <w:rPr>
                <w:rFonts w:eastAsia="Times New Roman" w:cs="Calibri"/>
                <w:b/>
                <w:bCs/>
                <w:color w:val="FFFFFF"/>
                <w:sz w:val="20"/>
                <w:szCs w:val="20"/>
                <w:lang w:eastAsia="es-CR"/>
              </w:rPr>
            </w:pPr>
            <w:r w:rsidRPr="001F49A8">
              <w:rPr>
                <w:rFonts w:eastAsia="Times New Roman" w:cs="Calibri"/>
                <w:b/>
                <w:bCs/>
                <w:color w:val="FFFFFF"/>
                <w:sz w:val="20"/>
                <w:szCs w:val="20"/>
                <w:lang w:eastAsia="es-CR"/>
              </w:rPr>
              <w:t>Saldo Año Anterior</w:t>
            </w:r>
          </w:p>
        </w:tc>
        <w:tc>
          <w:tcPr>
            <w:tcW w:w="1202" w:type="dxa"/>
            <w:tcBorders>
              <w:top w:val="nil"/>
              <w:left w:val="nil"/>
              <w:bottom w:val="nil"/>
              <w:right w:val="single" w:sz="12" w:space="0" w:color="auto"/>
            </w:tcBorders>
            <w:shd w:val="clear" w:color="000000" w:fill="002060"/>
            <w:vAlign w:val="center"/>
            <w:hideMark/>
          </w:tcPr>
          <w:p w14:paraId="445A38E7" w14:textId="77777777" w:rsidR="001F49A8" w:rsidRPr="001F49A8" w:rsidRDefault="001F49A8" w:rsidP="001F49A8">
            <w:pPr>
              <w:spacing w:after="0" w:line="240" w:lineRule="auto"/>
              <w:jc w:val="center"/>
              <w:rPr>
                <w:rFonts w:eastAsia="Times New Roman" w:cs="Calibri"/>
                <w:b/>
                <w:bCs/>
                <w:color w:val="FFFFFF"/>
                <w:sz w:val="20"/>
                <w:szCs w:val="20"/>
                <w:lang w:eastAsia="es-CR"/>
              </w:rPr>
            </w:pPr>
            <w:r w:rsidRPr="001F49A8">
              <w:rPr>
                <w:rFonts w:eastAsia="Times New Roman" w:cs="Calibri"/>
                <w:b/>
                <w:bCs/>
                <w:color w:val="FFFFFF"/>
                <w:sz w:val="20"/>
                <w:szCs w:val="20"/>
                <w:lang w:eastAsia="es-CR"/>
              </w:rPr>
              <w:t>Variación Absoluta</w:t>
            </w:r>
          </w:p>
        </w:tc>
        <w:tc>
          <w:tcPr>
            <w:tcW w:w="1202" w:type="dxa"/>
            <w:tcBorders>
              <w:top w:val="nil"/>
              <w:left w:val="nil"/>
              <w:bottom w:val="nil"/>
              <w:right w:val="single" w:sz="12" w:space="0" w:color="auto"/>
            </w:tcBorders>
            <w:shd w:val="clear" w:color="000000" w:fill="002060"/>
            <w:vAlign w:val="center"/>
            <w:hideMark/>
          </w:tcPr>
          <w:p w14:paraId="5445BF46" w14:textId="77777777" w:rsidR="001F49A8" w:rsidRPr="001F49A8" w:rsidRDefault="001F49A8" w:rsidP="001F49A8">
            <w:pPr>
              <w:spacing w:after="0" w:line="240" w:lineRule="auto"/>
              <w:jc w:val="center"/>
              <w:rPr>
                <w:rFonts w:eastAsia="Times New Roman" w:cs="Calibri"/>
                <w:b/>
                <w:bCs/>
                <w:color w:val="FFFFFF"/>
                <w:sz w:val="20"/>
                <w:szCs w:val="20"/>
                <w:lang w:eastAsia="es-CR"/>
              </w:rPr>
            </w:pPr>
            <w:r w:rsidRPr="001F49A8">
              <w:rPr>
                <w:rFonts w:eastAsia="Times New Roman" w:cs="Calibri"/>
                <w:b/>
                <w:bCs/>
                <w:color w:val="FFFFFF"/>
                <w:sz w:val="20"/>
                <w:szCs w:val="20"/>
                <w:lang w:eastAsia="es-CR"/>
              </w:rPr>
              <w:t>Variación %</w:t>
            </w:r>
          </w:p>
        </w:tc>
      </w:tr>
      <w:tr w:rsidR="001F49A8" w:rsidRPr="001F49A8" w14:paraId="404E7B3D" w14:textId="77777777" w:rsidTr="001F49A8">
        <w:trPr>
          <w:trHeight w:val="272"/>
        </w:trPr>
        <w:tc>
          <w:tcPr>
            <w:tcW w:w="395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241E640" w14:textId="77777777" w:rsidR="001F49A8" w:rsidRPr="001F49A8" w:rsidRDefault="001F49A8" w:rsidP="001F49A8">
            <w:pPr>
              <w:spacing w:after="0" w:line="240" w:lineRule="auto"/>
              <w:jc w:val="left"/>
              <w:rPr>
                <w:rFonts w:eastAsia="Times New Roman" w:cs="Calibri"/>
                <w:color w:val="000000"/>
                <w:sz w:val="20"/>
                <w:szCs w:val="20"/>
                <w:lang w:eastAsia="es-CR"/>
              </w:rPr>
            </w:pPr>
            <w:r w:rsidRPr="001F49A8">
              <w:rPr>
                <w:rFonts w:eastAsia="Times New Roman" w:cs="Calibri"/>
                <w:color w:val="000000"/>
                <w:sz w:val="20"/>
                <w:szCs w:val="20"/>
                <w:lang w:eastAsia="es-CR"/>
              </w:rPr>
              <w:t>SUPERAVIT/ DEFICIT CONTABILIDAD</w:t>
            </w:r>
          </w:p>
        </w:tc>
        <w:tc>
          <w:tcPr>
            <w:tcW w:w="1418" w:type="dxa"/>
            <w:tcBorders>
              <w:top w:val="single" w:sz="8" w:space="0" w:color="auto"/>
              <w:left w:val="nil"/>
              <w:bottom w:val="single" w:sz="8" w:space="0" w:color="auto"/>
              <w:right w:val="single" w:sz="8" w:space="0" w:color="auto"/>
            </w:tcBorders>
            <w:shd w:val="clear" w:color="auto" w:fill="auto"/>
            <w:noWrap/>
            <w:vAlign w:val="center"/>
            <w:hideMark/>
          </w:tcPr>
          <w:p w14:paraId="052AEDC9" w14:textId="77777777" w:rsidR="001F49A8" w:rsidRPr="001F49A8" w:rsidRDefault="001F49A8" w:rsidP="001F49A8">
            <w:pPr>
              <w:spacing w:after="0" w:line="240" w:lineRule="auto"/>
              <w:jc w:val="right"/>
              <w:rPr>
                <w:rFonts w:eastAsia="Times New Roman" w:cs="Calibri"/>
                <w:sz w:val="20"/>
                <w:szCs w:val="20"/>
                <w:lang w:eastAsia="es-CR"/>
              </w:rPr>
            </w:pPr>
            <w:r w:rsidRPr="001F49A8">
              <w:rPr>
                <w:rFonts w:ascii="Arial" w:eastAsia="Times New Roman" w:hAnsi="Arial" w:cs="Arial"/>
                <w:sz w:val="20"/>
                <w:szCs w:val="20"/>
                <w:lang w:eastAsia="es-CR"/>
              </w:rPr>
              <w:t>₡</w:t>
            </w:r>
            <w:r w:rsidRPr="001F49A8">
              <w:rPr>
                <w:rFonts w:eastAsia="Times New Roman" w:cs="Calibri"/>
                <w:sz w:val="20"/>
                <w:szCs w:val="20"/>
                <w:lang w:eastAsia="es-CR"/>
              </w:rPr>
              <w:t>542 577,72</w:t>
            </w:r>
          </w:p>
        </w:tc>
        <w:tc>
          <w:tcPr>
            <w:tcW w:w="1217" w:type="dxa"/>
            <w:tcBorders>
              <w:top w:val="single" w:sz="8" w:space="0" w:color="auto"/>
              <w:left w:val="nil"/>
              <w:bottom w:val="single" w:sz="8" w:space="0" w:color="auto"/>
              <w:right w:val="single" w:sz="8" w:space="0" w:color="auto"/>
            </w:tcBorders>
            <w:shd w:val="clear" w:color="auto" w:fill="auto"/>
            <w:noWrap/>
            <w:vAlign w:val="center"/>
            <w:hideMark/>
          </w:tcPr>
          <w:p w14:paraId="5AF0E4E6" w14:textId="77777777" w:rsidR="001F49A8" w:rsidRPr="001F49A8" w:rsidRDefault="001F49A8" w:rsidP="001F49A8">
            <w:pPr>
              <w:spacing w:after="0" w:line="240" w:lineRule="auto"/>
              <w:jc w:val="right"/>
              <w:rPr>
                <w:rFonts w:eastAsia="Times New Roman" w:cs="Calibri"/>
                <w:sz w:val="20"/>
                <w:szCs w:val="20"/>
                <w:lang w:eastAsia="es-CR"/>
              </w:rPr>
            </w:pPr>
            <w:r w:rsidRPr="001F49A8">
              <w:rPr>
                <w:rFonts w:eastAsia="Times New Roman" w:cs="Calibri"/>
                <w:sz w:val="20"/>
                <w:szCs w:val="20"/>
                <w:lang w:eastAsia="es-CR"/>
              </w:rPr>
              <w:t>-</w:t>
            </w:r>
            <w:r w:rsidRPr="001F49A8">
              <w:rPr>
                <w:rFonts w:ascii="Arial" w:eastAsia="Times New Roman" w:hAnsi="Arial" w:cs="Arial"/>
                <w:sz w:val="20"/>
                <w:szCs w:val="20"/>
                <w:lang w:eastAsia="es-CR"/>
              </w:rPr>
              <w:t>₡</w:t>
            </w:r>
            <w:r w:rsidRPr="001F49A8">
              <w:rPr>
                <w:rFonts w:eastAsia="Times New Roman" w:cs="Calibri"/>
                <w:sz w:val="20"/>
                <w:szCs w:val="20"/>
                <w:lang w:eastAsia="es-CR"/>
              </w:rPr>
              <w:t>143 497,32</w:t>
            </w:r>
          </w:p>
        </w:tc>
        <w:tc>
          <w:tcPr>
            <w:tcW w:w="1202" w:type="dxa"/>
            <w:tcBorders>
              <w:top w:val="single" w:sz="8" w:space="0" w:color="auto"/>
              <w:left w:val="nil"/>
              <w:bottom w:val="single" w:sz="8" w:space="0" w:color="auto"/>
              <w:right w:val="single" w:sz="8" w:space="0" w:color="auto"/>
            </w:tcBorders>
            <w:shd w:val="clear" w:color="auto" w:fill="auto"/>
            <w:noWrap/>
            <w:vAlign w:val="center"/>
            <w:hideMark/>
          </w:tcPr>
          <w:p w14:paraId="668A4430" w14:textId="77777777" w:rsidR="001F49A8" w:rsidRPr="001F49A8" w:rsidRDefault="001F49A8" w:rsidP="001F49A8">
            <w:pPr>
              <w:spacing w:after="0" w:line="240" w:lineRule="auto"/>
              <w:jc w:val="right"/>
              <w:rPr>
                <w:rFonts w:eastAsia="Times New Roman" w:cs="Calibri"/>
                <w:color w:val="000000"/>
                <w:sz w:val="20"/>
                <w:szCs w:val="20"/>
                <w:lang w:eastAsia="es-CR"/>
              </w:rPr>
            </w:pPr>
            <w:r w:rsidRPr="001F49A8">
              <w:rPr>
                <w:rFonts w:ascii="Arial" w:eastAsia="Times New Roman" w:hAnsi="Arial" w:cs="Arial"/>
                <w:color w:val="000000"/>
                <w:sz w:val="20"/>
                <w:szCs w:val="20"/>
                <w:lang w:eastAsia="es-CR"/>
              </w:rPr>
              <w:t>₡</w:t>
            </w:r>
            <w:r w:rsidRPr="001F49A8">
              <w:rPr>
                <w:rFonts w:eastAsia="Times New Roman" w:cs="Calibri"/>
                <w:color w:val="000000"/>
                <w:sz w:val="20"/>
                <w:szCs w:val="20"/>
                <w:lang w:eastAsia="es-CR"/>
              </w:rPr>
              <w:t>686 075,04</w:t>
            </w:r>
          </w:p>
        </w:tc>
        <w:tc>
          <w:tcPr>
            <w:tcW w:w="1202" w:type="dxa"/>
            <w:tcBorders>
              <w:top w:val="single" w:sz="8" w:space="0" w:color="auto"/>
              <w:left w:val="nil"/>
              <w:bottom w:val="single" w:sz="8" w:space="0" w:color="auto"/>
              <w:right w:val="single" w:sz="8" w:space="0" w:color="auto"/>
            </w:tcBorders>
            <w:shd w:val="clear" w:color="auto" w:fill="auto"/>
            <w:noWrap/>
            <w:vAlign w:val="center"/>
            <w:hideMark/>
          </w:tcPr>
          <w:p w14:paraId="6166D035" w14:textId="77777777" w:rsidR="001F49A8" w:rsidRPr="001F49A8" w:rsidRDefault="001F49A8" w:rsidP="001F49A8">
            <w:pPr>
              <w:spacing w:after="0" w:line="240" w:lineRule="auto"/>
              <w:jc w:val="right"/>
              <w:rPr>
                <w:rFonts w:eastAsia="Times New Roman" w:cs="Calibri"/>
                <w:color w:val="000000"/>
                <w:sz w:val="20"/>
                <w:szCs w:val="20"/>
                <w:lang w:eastAsia="es-CR"/>
              </w:rPr>
            </w:pPr>
            <w:r w:rsidRPr="001F49A8">
              <w:rPr>
                <w:rFonts w:eastAsia="Times New Roman" w:cs="Calibri"/>
                <w:color w:val="000000"/>
                <w:sz w:val="20"/>
                <w:szCs w:val="20"/>
                <w:lang w:eastAsia="es-CR"/>
              </w:rPr>
              <w:t>-478,11</w:t>
            </w:r>
          </w:p>
        </w:tc>
      </w:tr>
    </w:tbl>
    <w:p w14:paraId="11A1C833" w14:textId="054F505E" w:rsidR="00692DC8" w:rsidRDefault="00692DC8" w:rsidP="001534E5">
      <w:pPr>
        <w:spacing w:before="240"/>
      </w:pPr>
      <w:r w:rsidRPr="00692DC8">
        <w:t xml:space="preserve">El </w:t>
      </w:r>
      <w:r w:rsidRPr="00692DC8">
        <w:rPr>
          <w:highlight w:val="lightGray"/>
        </w:rPr>
        <w:t xml:space="preserve">Superávit/ Déficit </w:t>
      </w:r>
      <w:r w:rsidRPr="00692DC8">
        <w:t xml:space="preserve">Presupuestario, comparado al periodo anterior genera un </w:t>
      </w:r>
      <w:r w:rsidR="001F49A8">
        <w:t>aumento del 478.11</w:t>
      </w:r>
      <w:r w:rsidRPr="00692DC8">
        <w:t xml:space="preserve"> % de re</w:t>
      </w:r>
      <w:r w:rsidR="001F49A8">
        <w:t>cursos disponibles, producto de:</w:t>
      </w:r>
    </w:p>
    <w:p w14:paraId="1F0770C0" w14:textId="77777777" w:rsidR="00BB627B" w:rsidRPr="00A91674" w:rsidRDefault="00BB627B" w:rsidP="00BB627B">
      <w:pPr>
        <w:spacing w:after="0" w:line="240" w:lineRule="auto"/>
      </w:pPr>
      <w:r>
        <w:lastRenderedPageBreak/>
        <w:t>En relación con la información presupuestaria debe indicarse que a la fecha de cierre no se recibió la información pertinente de la Unidad de Municipalidad que tiene a cargo el control y registros presupuestarios lo imposibilitó realizar las revelaciones pertinentes sobre esta materia, así como las relacionadas con la NICSP 24 “</w:t>
      </w:r>
      <w:r w:rsidRPr="005B20F8">
        <w:t>PRESENTACIÓN DE INFORMACIÓN DEL PRESUPUESTO EN LOS ESTADOS FINANCIEROS</w:t>
      </w:r>
      <w:r>
        <w:t>”.</w:t>
      </w:r>
    </w:p>
    <w:p w14:paraId="7B7D3643" w14:textId="77777777" w:rsidR="00BB627B" w:rsidRDefault="00BB627B" w:rsidP="00BB627B">
      <w:pPr>
        <w:spacing w:after="0" w:line="240" w:lineRule="auto"/>
      </w:pPr>
    </w:p>
    <w:p w14:paraId="0D97913E" w14:textId="73D0B93C" w:rsidR="00BB627B" w:rsidRDefault="00BB627B" w:rsidP="00BB627B">
      <w:pPr>
        <w:spacing w:after="0" w:line="240" w:lineRule="auto"/>
      </w:pPr>
      <w:r w:rsidRPr="00460C5D">
        <w:t xml:space="preserve">El Superávit/ Déficit de Contabilidad, comparado con el del periodo anterior genera un Aumento de </w:t>
      </w:r>
      <w:r w:rsidRPr="00460C5D">
        <w:rPr>
          <w:rFonts w:ascii="Arial" w:hAnsi="Arial" w:cs="Arial"/>
        </w:rPr>
        <w:t>₡</w:t>
      </w:r>
      <w:r w:rsidR="001F49A8" w:rsidRPr="00460C5D">
        <w:t>68</w:t>
      </w:r>
      <w:r w:rsidRPr="00460C5D">
        <w:t>6</w:t>
      </w:r>
      <w:r w:rsidR="001F49A8" w:rsidRPr="00460C5D">
        <w:t> 075,04</w:t>
      </w:r>
      <w:r w:rsidRPr="00460C5D">
        <w:t xml:space="preserve"> miles, que correspond</w:t>
      </w:r>
      <w:r w:rsidR="001F49A8" w:rsidRPr="00460C5D">
        <w:t>e a una variación relativa de 478,11</w:t>
      </w:r>
      <w:r w:rsidRPr="00460C5D">
        <w:t xml:space="preserve">% de recursos disponibles, producto de que el total de los ingresos al </w:t>
      </w:r>
      <w:r w:rsidR="00796636" w:rsidRPr="00460C5D">
        <w:t>31</w:t>
      </w:r>
      <w:r w:rsidRPr="00460C5D">
        <w:t xml:space="preserve"> de </w:t>
      </w:r>
      <w:r w:rsidR="00D64CF8" w:rsidRPr="00460C5D">
        <w:t>diciembre</w:t>
      </w:r>
      <w:r w:rsidRPr="00460C5D">
        <w:t xml:space="preserve"> del 2024 (</w:t>
      </w:r>
      <w:r w:rsidRPr="00460C5D">
        <w:rPr>
          <w:rFonts w:ascii="Arial" w:hAnsi="Arial" w:cs="Arial"/>
        </w:rPr>
        <w:t>₡</w:t>
      </w:r>
      <w:r w:rsidR="001F49A8" w:rsidRPr="00460C5D">
        <w:rPr>
          <w:rFonts w:ascii="Arial" w:hAnsi="Arial" w:cs="Arial"/>
        </w:rPr>
        <w:t>5</w:t>
      </w:r>
      <w:r w:rsidR="001F49A8" w:rsidRPr="00460C5D">
        <w:t xml:space="preserve"> 805 141,11</w:t>
      </w:r>
      <w:r w:rsidRPr="00460C5D">
        <w:t xml:space="preserve"> miles) fue superior al total de ingresos del 2023 (</w:t>
      </w:r>
      <w:r w:rsidRPr="00460C5D">
        <w:rPr>
          <w:rFonts w:ascii="Arial" w:hAnsi="Arial" w:cs="Arial"/>
        </w:rPr>
        <w:t>₡</w:t>
      </w:r>
      <w:r w:rsidR="001F49A8" w:rsidRPr="00460C5D">
        <w:t>5 666 220,35</w:t>
      </w:r>
      <w:r w:rsidR="00460C5D" w:rsidRPr="00460C5D">
        <w:t xml:space="preserve"> miles) un 2,45</w:t>
      </w:r>
      <w:r w:rsidRPr="00460C5D">
        <w:t>%, (</w:t>
      </w:r>
      <w:r w:rsidRPr="00460C5D">
        <w:rPr>
          <w:rFonts w:ascii="Arial" w:hAnsi="Arial" w:cs="Arial"/>
        </w:rPr>
        <w:t>₡</w:t>
      </w:r>
      <w:r w:rsidR="00460C5D" w:rsidRPr="00460C5D">
        <w:rPr>
          <w:rFonts w:ascii="Arial" w:hAnsi="Arial" w:cs="Arial"/>
        </w:rPr>
        <w:t>138</w:t>
      </w:r>
      <w:r w:rsidR="00460C5D" w:rsidRPr="00460C5D">
        <w:t> 920,75</w:t>
      </w:r>
      <w:r w:rsidRPr="00460C5D">
        <w:t xml:space="preserve"> miles), el total de gastos al </w:t>
      </w:r>
      <w:r w:rsidR="00796636" w:rsidRPr="00460C5D">
        <w:t>31</w:t>
      </w:r>
      <w:r w:rsidRPr="00460C5D">
        <w:t xml:space="preserve"> de </w:t>
      </w:r>
      <w:r w:rsidR="00D64CF8" w:rsidRPr="00460C5D">
        <w:t>diciembre</w:t>
      </w:r>
      <w:r w:rsidR="00460C5D" w:rsidRPr="00460C5D">
        <w:t xml:space="preserve"> de 2024 (5 262 563,38 miles) fue un -478,11</w:t>
      </w:r>
      <w:r w:rsidRPr="00460C5D">
        <w:t>% (-</w:t>
      </w:r>
      <w:r w:rsidRPr="00460C5D">
        <w:rPr>
          <w:rFonts w:ascii="Arial" w:hAnsi="Arial" w:cs="Arial"/>
        </w:rPr>
        <w:t>₡</w:t>
      </w:r>
      <w:r w:rsidR="00460C5D" w:rsidRPr="00460C5D">
        <w:rPr>
          <w:rFonts w:ascii="Arial" w:hAnsi="Arial" w:cs="Arial"/>
        </w:rPr>
        <w:t>54</w:t>
      </w:r>
      <w:r w:rsidRPr="00460C5D">
        <w:rPr>
          <w:rFonts w:ascii="Arial" w:hAnsi="Arial" w:cs="Arial"/>
        </w:rPr>
        <w:t>7</w:t>
      </w:r>
      <w:r w:rsidR="00460C5D" w:rsidRPr="00460C5D">
        <w:t> 154,30</w:t>
      </w:r>
      <w:r w:rsidRPr="00460C5D">
        <w:t xml:space="preserve"> miles) inferior que el total del gasto al </w:t>
      </w:r>
      <w:r w:rsidR="00796636" w:rsidRPr="00460C5D">
        <w:t>31</w:t>
      </w:r>
      <w:r w:rsidRPr="00460C5D">
        <w:t xml:space="preserve"> de </w:t>
      </w:r>
      <w:r w:rsidR="00D64CF8" w:rsidRPr="00460C5D">
        <w:t>diciembre</w:t>
      </w:r>
      <w:r w:rsidRPr="00460C5D">
        <w:t xml:space="preserve"> del 2023 que ascendió a </w:t>
      </w:r>
      <w:r w:rsidRPr="00460C5D">
        <w:rPr>
          <w:rFonts w:ascii="Arial" w:hAnsi="Arial" w:cs="Arial"/>
        </w:rPr>
        <w:t>₡</w:t>
      </w:r>
      <w:r w:rsidR="00460C5D" w:rsidRPr="00460C5D">
        <w:t>5 809 717,68</w:t>
      </w:r>
      <w:r w:rsidRPr="00460C5D">
        <w:t xml:space="preserve"> miles. Es decir, la diferencia entre el total de gastos del 2023 y 2024, fue muy superior a la diferencia en el total de ingresos a ese mismo periodo.</w:t>
      </w:r>
    </w:p>
    <w:p w14:paraId="358B8F6A" w14:textId="77777777" w:rsidR="00305662" w:rsidRPr="0027138C" w:rsidRDefault="00305662" w:rsidP="0027138C"/>
    <w:p w14:paraId="24F0693E" w14:textId="77777777" w:rsidR="00692DC8" w:rsidRPr="00692DC8" w:rsidRDefault="00692DC8" w:rsidP="0027138C">
      <w:pPr>
        <w:rPr>
          <w:color w:val="000000"/>
          <w:lang w:val="es-ES" w:eastAsia="es-CR"/>
        </w:rPr>
      </w:pPr>
      <w:r w:rsidRPr="00692DC8">
        <w:rPr>
          <w:color w:val="000000"/>
          <w:lang w:val="es-ES" w:eastAsia="es-CR"/>
        </w:rPr>
        <w:t>Revelación para conciliar la Ejecución Presupuestaria con Contabilidad</w:t>
      </w:r>
    </w:p>
    <w:tbl>
      <w:tblPr>
        <w:tblW w:w="8967" w:type="dxa"/>
        <w:jc w:val="center"/>
        <w:tblCellMar>
          <w:left w:w="70" w:type="dxa"/>
          <w:right w:w="70" w:type="dxa"/>
        </w:tblCellMar>
        <w:tblLook w:val="04A0" w:firstRow="1" w:lastRow="0" w:firstColumn="1" w:lastColumn="0" w:noHBand="0" w:noVBand="1"/>
      </w:tblPr>
      <w:tblGrid>
        <w:gridCol w:w="1418"/>
        <w:gridCol w:w="2280"/>
        <w:gridCol w:w="1725"/>
        <w:gridCol w:w="1701"/>
        <w:gridCol w:w="1843"/>
      </w:tblGrid>
      <w:tr w:rsidR="00DB1680" w:rsidRPr="00DB1680" w14:paraId="72BC0B2B" w14:textId="77777777" w:rsidTr="00DB1680">
        <w:trPr>
          <w:trHeight w:val="324"/>
          <w:jc w:val="center"/>
        </w:trPr>
        <w:tc>
          <w:tcPr>
            <w:tcW w:w="1418" w:type="dxa"/>
            <w:tcBorders>
              <w:top w:val="single" w:sz="8" w:space="0" w:color="auto"/>
              <w:left w:val="single" w:sz="8" w:space="0" w:color="auto"/>
              <w:bottom w:val="single" w:sz="8" w:space="0" w:color="auto"/>
              <w:right w:val="single" w:sz="8" w:space="0" w:color="auto"/>
            </w:tcBorders>
            <w:shd w:val="clear" w:color="000000" w:fill="365F91"/>
            <w:noWrap/>
            <w:vAlign w:val="center"/>
            <w:hideMark/>
          </w:tcPr>
          <w:p w14:paraId="21FD3C0A" w14:textId="77777777" w:rsidR="00DB1680" w:rsidRPr="00DB1680" w:rsidRDefault="00DB1680" w:rsidP="00DB1680">
            <w:pPr>
              <w:spacing w:after="0" w:line="240" w:lineRule="auto"/>
              <w:jc w:val="center"/>
              <w:rPr>
                <w:rFonts w:eastAsia="Times New Roman" w:cs="Calibri"/>
                <w:color w:val="FFFFFF"/>
                <w:szCs w:val="24"/>
                <w:lang w:eastAsia="es-CR"/>
              </w:rPr>
            </w:pPr>
            <w:bookmarkStart w:id="1102" w:name="_Hlk124018645"/>
            <w:r w:rsidRPr="00DB1680">
              <w:rPr>
                <w:rFonts w:eastAsia="Times New Roman" w:cs="Calibri"/>
                <w:color w:val="FFFFFF"/>
                <w:szCs w:val="24"/>
                <w:lang w:eastAsia="es-CR"/>
              </w:rPr>
              <w:t>Cuenta</w:t>
            </w:r>
          </w:p>
        </w:tc>
        <w:tc>
          <w:tcPr>
            <w:tcW w:w="2280" w:type="dxa"/>
            <w:tcBorders>
              <w:top w:val="single" w:sz="8" w:space="0" w:color="auto"/>
              <w:left w:val="nil"/>
              <w:bottom w:val="single" w:sz="8" w:space="0" w:color="auto"/>
              <w:right w:val="single" w:sz="8" w:space="0" w:color="auto"/>
            </w:tcBorders>
            <w:shd w:val="clear" w:color="000000" w:fill="365F91"/>
            <w:noWrap/>
            <w:vAlign w:val="center"/>
            <w:hideMark/>
          </w:tcPr>
          <w:p w14:paraId="0AF51B49" w14:textId="77777777" w:rsidR="00DB1680" w:rsidRPr="00DB1680" w:rsidRDefault="00DB1680" w:rsidP="00DB1680">
            <w:pPr>
              <w:spacing w:after="0" w:line="240" w:lineRule="auto"/>
              <w:jc w:val="center"/>
              <w:rPr>
                <w:rFonts w:eastAsia="Times New Roman" w:cs="Calibri"/>
                <w:color w:val="FFFFFF"/>
                <w:szCs w:val="24"/>
                <w:lang w:eastAsia="es-CR"/>
              </w:rPr>
            </w:pPr>
            <w:r w:rsidRPr="00DB1680">
              <w:rPr>
                <w:rFonts w:eastAsia="Times New Roman" w:cs="Calibri"/>
                <w:color w:val="FFFFFF"/>
                <w:szCs w:val="24"/>
                <w:lang w:eastAsia="es-CR"/>
              </w:rPr>
              <w:t>Presupuesto</w:t>
            </w:r>
          </w:p>
        </w:tc>
        <w:tc>
          <w:tcPr>
            <w:tcW w:w="1725" w:type="dxa"/>
            <w:tcBorders>
              <w:top w:val="single" w:sz="8" w:space="0" w:color="auto"/>
              <w:left w:val="nil"/>
              <w:bottom w:val="single" w:sz="8" w:space="0" w:color="auto"/>
              <w:right w:val="single" w:sz="8" w:space="0" w:color="auto"/>
            </w:tcBorders>
            <w:shd w:val="clear" w:color="000000" w:fill="365F91"/>
            <w:noWrap/>
            <w:vAlign w:val="center"/>
            <w:hideMark/>
          </w:tcPr>
          <w:p w14:paraId="78247637" w14:textId="77777777" w:rsidR="00DB1680" w:rsidRPr="00DB1680" w:rsidRDefault="00DB1680" w:rsidP="00DB1680">
            <w:pPr>
              <w:spacing w:after="0" w:line="240" w:lineRule="auto"/>
              <w:jc w:val="center"/>
              <w:rPr>
                <w:rFonts w:eastAsia="Times New Roman" w:cs="Calibri"/>
                <w:color w:val="FFFFFF"/>
                <w:szCs w:val="24"/>
                <w:lang w:eastAsia="es-CR"/>
              </w:rPr>
            </w:pPr>
            <w:r w:rsidRPr="00DB1680">
              <w:rPr>
                <w:rFonts w:eastAsia="Times New Roman" w:cs="Calibri"/>
                <w:color w:val="FFFFFF"/>
                <w:szCs w:val="24"/>
                <w:lang w:eastAsia="es-CR"/>
              </w:rPr>
              <w:t>Devengo</w:t>
            </w:r>
          </w:p>
        </w:tc>
        <w:tc>
          <w:tcPr>
            <w:tcW w:w="1701" w:type="dxa"/>
            <w:tcBorders>
              <w:top w:val="single" w:sz="8" w:space="0" w:color="auto"/>
              <w:left w:val="nil"/>
              <w:bottom w:val="single" w:sz="8" w:space="0" w:color="auto"/>
              <w:right w:val="single" w:sz="8" w:space="0" w:color="auto"/>
            </w:tcBorders>
            <w:shd w:val="clear" w:color="000000" w:fill="365F91"/>
            <w:noWrap/>
            <w:vAlign w:val="center"/>
            <w:hideMark/>
          </w:tcPr>
          <w:p w14:paraId="29D80CC0" w14:textId="77777777" w:rsidR="00DB1680" w:rsidRPr="00DB1680" w:rsidRDefault="00DB1680" w:rsidP="00DB1680">
            <w:pPr>
              <w:spacing w:after="0" w:line="240" w:lineRule="auto"/>
              <w:jc w:val="center"/>
              <w:rPr>
                <w:rFonts w:eastAsia="Times New Roman" w:cs="Calibri"/>
                <w:color w:val="FFFFFF"/>
                <w:szCs w:val="24"/>
                <w:lang w:eastAsia="es-CR"/>
              </w:rPr>
            </w:pPr>
            <w:r w:rsidRPr="00DB1680">
              <w:rPr>
                <w:rFonts w:eastAsia="Times New Roman" w:cs="Calibri"/>
                <w:color w:val="FFFFFF"/>
                <w:szCs w:val="24"/>
                <w:lang w:eastAsia="es-CR"/>
              </w:rPr>
              <w:t>Diferencia</w:t>
            </w:r>
          </w:p>
        </w:tc>
        <w:tc>
          <w:tcPr>
            <w:tcW w:w="1843" w:type="dxa"/>
            <w:tcBorders>
              <w:top w:val="single" w:sz="8" w:space="0" w:color="auto"/>
              <w:left w:val="nil"/>
              <w:bottom w:val="single" w:sz="8" w:space="0" w:color="auto"/>
              <w:right w:val="single" w:sz="8" w:space="0" w:color="auto"/>
            </w:tcBorders>
            <w:shd w:val="clear" w:color="000000" w:fill="365F91"/>
            <w:vAlign w:val="center"/>
            <w:hideMark/>
          </w:tcPr>
          <w:p w14:paraId="606DE376" w14:textId="77777777" w:rsidR="00DB1680" w:rsidRPr="00DB1680" w:rsidRDefault="00DB1680" w:rsidP="00DB1680">
            <w:pPr>
              <w:spacing w:after="0" w:line="240" w:lineRule="auto"/>
              <w:jc w:val="center"/>
              <w:rPr>
                <w:rFonts w:eastAsia="Times New Roman" w:cs="Calibri"/>
                <w:color w:val="FFFFFF"/>
                <w:szCs w:val="24"/>
                <w:lang w:eastAsia="es-CR"/>
              </w:rPr>
            </w:pPr>
            <w:r w:rsidRPr="00DB1680">
              <w:rPr>
                <w:rFonts w:eastAsia="Times New Roman" w:cs="Calibri"/>
                <w:color w:val="FFFFFF"/>
                <w:szCs w:val="24"/>
                <w:lang w:eastAsia="es-CR"/>
              </w:rPr>
              <w:t>Justificación</w:t>
            </w:r>
          </w:p>
        </w:tc>
      </w:tr>
      <w:tr w:rsidR="00DB1680" w:rsidRPr="00DB1680" w14:paraId="278F93B5" w14:textId="77777777" w:rsidTr="00DB1680">
        <w:trPr>
          <w:trHeight w:val="324"/>
          <w:jc w:val="center"/>
        </w:trPr>
        <w:tc>
          <w:tcPr>
            <w:tcW w:w="1418" w:type="dxa"/>
            <w:tcBorders>
              <w:top w:val="nil"/>
              <w:left w:val="single" w:sz="8" w:space="0" w:color="auto"/>
              <w:bottom w:val="single" w:sz="8" w:space="0" w:color="auto"/>
              <w:right w:val="single" w:sz="8" w:space="0" w:color="auto"/>
            </w:tcBorders>
            <w:shd w:val="clear" w:color="auto" w:fill="auto"/>
            <w:noWrap/>
            <w:vAlign w:val="center"/>
            <w:hideMark/>
          </w:tcPr>
          <w:p w14:paraId="330560A4" w14:textId="77777777" w:rsidR="00DB1680" w:rsidRPr="00DB1680" w:rsidRDefault="00DB1680" w:rsidP="00DB1680">
            <w:pPr>
              <w:spacing w:after="0" w:line="240" w:lineRule="auto"/>
              <w:jc w:val="left"/>
              <w:rPr>
                <w:rFonts w:ascii="Calibri" w:eastAsia="Times New Roman" w:hAnsi="Calibri" w:cs="Calibri"/>
                <w:color w:val="000000"/>
                <w:sz w:val="22"/>
                <w:lang w:eastAsia="es-CR"/>
              </w:rPr>
            </w:pPr>
            <w:r w:rsidRPr="00DB1680">
              <w:rPr>
                <w:rFonts w:ascii="Calibri" w:eastAsia="Times New Roman" w:hAnsi="Calibri" w:cs="Calibri"/>
                <w:color w:val="000000"/>
                <w:sz w:val="22"/>
                <w:lang w:eastAsia="es-CR"/>
              </w:rPr>
              <w:t> </w:t>
            </w:r>
          </w:p>
        </w:tc>
        <w:tc>
          <w:tcPr>
            <w:tcW w:w="2280" w:type="dxa"/>
            <w:tcBorders>
              <w:top w:val="nil"/>
              <w:left w:val="nil"/>
              <w:bottom w:val="single" w:sz="8" w:space="0" w:color="auto"/>
              <w:right w:val="single" w:sz="8" w:space="0" w:color="auto"/>
            </w:tcBorders>
            <w:shd w:val="clear" w:color="auto" w:fill="auto"/>
            <w:noWrap/>
            <w:vAlign w:val="center"/>
            <w:hideMark/>
          </w:tcPr>
          <w:p w14:paraId="70593C55" w14:textId="77777777" w:rsidR="00DB1680" w:rsidRPr="00DB1680" w:rsidRDefault="00DB1680" w:rsidP="00DB1680">
            <w:pPr>
              <w:spacing w:after="0" w:line="240" w:lineRule="auto"/>
              <w:jc w:val="left"/>
              <w:rPr>
                <w:rFonts w:ascii="Calibri" w:eastAsia="Times New Roman" w:hAnsi="Calibri" w:cs="Calibri"/>
                <w:color w:val="000000"/>
                <w:sz w:val="22"/>
                <w:lang w:eastAsia="es-CR"/>
              </w:rPr>
            </w:pPr>
            <w:r w:rsidRPr="00DB1680">
              <w:rPr>
                <w:rFonts w:ascii="Calibri" w:eastAsia="Times New Roman" w:hAnsi="Calibri" w:cs="Calibri"/>
                <w:color w:val="000000"/>
                <w:sz w:val="22"/>
                <w:lang w:eastAsia="es-CR"/>
              </w:rPr>
              <w:t> </w:t>
            </w:r>
          </w:p>
        </w:tc>
        <w:tc>
          <w:tcPr>
            <w:tcW w:w="1725" w:type="dxa"/>
            <w:tcBorders>
              <w:top w:val="nil"/>
              <w:left w:val="nil"/>
              <w:bottom w:val="single" w:sz="8" w:space="0" w:color="auto"/>
              <w:right w:val="single" w:sz="8" w:space="0" w:color="auto"/>
            </w:tcBorders>
            <w:shd w:val="clear" w:color="auto" w:fill="auto"/>
            <w:noWrap/>
            <w:vAlign w:val="center"/>
            <w:hideMark/>
          </w:tcPr>
          <w:p w14:paraId="2A6C7108" w14:textId="77777777" w:rsidR="00DB1680" w:rsidRPr="00DB1680" w:rsidRDefault="00DB1680" w:rsidP="00DB1680">
            <w:pPr>
              <w:spacing w:after="0" w:line="240" w:lineRule="auto"/>
              <w:jc w:val="left"/>
              <w:rPr>
                <w:rFonts w:ascii="Calibri" w:eastAsia="Times New Roman" w:hAnsi="Calibri" w:cs="Calibri"/>
                <w:color w:val="000000"/>
                <w:sz w:val="22"/>
                <w:lang w:eastAsia="es-CR"/>
              </w:rPr>
            </w:pPr>
            <w:r w:rsidRPr="00DB1680">
              <w:rPr>
                <w:rFonts w:ascii="Calibri" w:eastAsia="Times New Roman" w:hAnsi="Calibri" w:cs="Calibri"/>
                <w:color w:val="000000"/>
                <w:sz w:val="22"/>
                <w:lang w:eastAsia="es-CR"/>
              </w:rPr>
              <w:t> </w:t>
            </w:r>
          </w:p>
        </w:tc>
        <w:tc>
          <w:tcPr>
            <w:tcW w:w="1701" w:type="dxa"/>
            <w:tcBorders>
              <w:top w:val="nil"/>
              <w:left w:val="nil"/>
              <w:bottom w:val="single" w:sz="8" w:space="0" w:color="auto"/>
              <w:right w:val="single" w:sz="8" w:space="0" w:color="auto"/>
            </w:tcBorders>
            <w:shd w:val="clear" w:color="auto" w:fill="auto"/>
            <w:noWrap/>
            <w:vAlign w:val="center"/>
            <w:hideMark/>
          </w:tcPr>
          <w:p w14:paraId="1D3905F7" w14:textId="77777777" w:rsidR="00DB1680" w:rsidRPr="00DB1680" w:rsidRDefault="00DB1680" w:rsidP="00DB1680">
            <w:pPr>
              <w:spacing w:after="0" w:line="240" w:lineRule="auto"/>
              <w:jc w:val="left"/>
              <w:rPr>
                <w:rFonts w:ascii="Calibri" w:eastAsia="Times New Roman" w:hAnsi="Calibri" w:cs="Calibri"/>
                <w:color w:val="000000"/>
                <w:sz w:val="22"/>
                <w:lang w:eastAsia="es-CR"/>
              </w:rPr>
            </w:pPr>
            <w:r w:rsidRPr="00DB1680">
              <w:rPr>
                <w:rFonts w:ascii="Calibri" w:eastAsia="Times New Roman" w:hAnsi="Calibri" w:cs="Calibri"/>
                <w:color w:val="000000"/>
                <w:sz w:val="22"/>
                <w:lang w:eastAsia="es-CR"/>
              </w:rPr>
              <w:t> </w:t>
            </w:r>
          </w:p>
        </w:tc>
        <w:tc>
          <w:tcPr>
            <w:tcW w:w="1843" w:type="dxa"/>
            <w:tcBorders>
              <w:top w:val="nil"/>
              <w:left w:val="nil"/>
              <w:bottom w:val="single" w:sz="8" w:space="0" w:color="auto"/>
              <w:right w:val="single" w:sz="8" w:space="0" w:color="auto"/>
            </w:tcBorders>
            <w:shd w:val="clear" w:color="auto" w:fill="auto"/>
            <w:vAlign w:val="center"/>
            <w:hideMark/>
          </w:tcPr>
          <w:p w14:paraId="2FA6A834" w14:textId="77777777" w:rsidR="00DB1680" w:rsidRPr="00DB1680" w:rsidRDefault="00DB1680" w:rsidP="00DB1680">
            <w:pPr>
              <w:spacing w:after="0" w:line="240" w:lineRule="auto"/>
              <w:rPr>
                <w:rFonts w:eastAsia="Times New Roman" w:cs="Calibri"/>
                <w:color w:val="000000"/>
                <w:szCs w:val="24"/>
                <w:lang w:eastAsia="es-CR"/>
              </w:rPr>
            </w:pPr>
            <w:r w:rsidRPr="00DB1680">
              <w:rPr>
                <w:rFonts w:eastAsia="Times New Roman" w:cs="Calibri"/>
                <w:color w:val="000000"/>
                <w:szCs w:val="24"/>
                <w:lang w:eastAsia="es-CR"/>
              </w:rPr>
              <w:t> </w:t>
            </w:r>
          </w:p>
        </w:tc>
      </w:tr>
      <w:tr w:rsidR="00DB1680" w:rsidRPr="00DB1680" w14:paraId="714722EA" w14:textId="77777777" w:rsidTr="00DB1680">
        <w:trPr>
          <w:trHeight w:val="324"/>
          <w:jc w:val="center"/>
        </w:trPr>
        <w:tc>
          <w:tcPr>
            <w:tcW w:w="1418" w:type="dxa"/>
            <w:tcBorders>
              <w:top w:val="nil"/>
              <w:left w:val="single" w:sz="8" w:space="0" w:color="auto"/>
              <w:bottom w:val="single" w:sz="8" w:space="0" w:color="auto"/>
              <w:right w:val="single" w:sz="8" w:space="0" w:color="auto"/>
            </w:tcBorders>
            <w:shd w:val="clear" w:color="auto" w:fill="auto"/>
            <w:noWrap/>
            <w:vAlign w:val="center"/>
            <w:hideMark/>
          </w:tcPr>
          <w:p w14:paraId="4A223ECD" w14:textId="77777777" w:rsidR="00DB1680" w:rsidRPr="00DB1680" w:rsidRDefault="00DB1680" w:rsidP="00DB1680">
            <w:pPr>
              <w:spacing w:after="0" w:line="240" w:lineRule="auto"/>
              <w:jc w:val="left"/>
              <w:rPr>
                <w:rFonts w:ascii="Calibri" w:eastAsia="Times New Roman" w:hAnsi="Calibri" w:cs="Calibri"/>
                <w:color w:val="000000"/>
                <w:sz w:val="22"/>
                <w:lang w:eastAsia="es-CR"/>
              </w:rPr>
            </w:pPr>
            <w:r w:rsidRPr="00DB1680">
              <w:rPr>
                <w:rFonts w:ascii="Calibri" w:eastAsia="Times New Roman" w:hAnsi="Calibri" w:cs="Calibri"/>
                <w:color w:val="000000"/>
                <w:sz w:val="22"/>
                <w:lang w:eastAsia="es-CR"/>
              </w:rPr>
              <w:t> </w:t>
            </w:r>
          </w:p>
        </w:tc>
        <w:tc>
          <w:tcPr>
            <w:tcW w:w="2280" w:type="dxa"/>
            <w:tcBorders>
              <w:top w:val="nil"/>
              <w:left w:val="nil"/>
              <w:bottom w:val="single" w:sz="8" w:space="0" w:color="auto"/>
              <w:right w:val="single" w:sz="8" w:space="0" w:color="auto"/>
            </w:tcBorders>
            <w:shd w:val="clear" w:color="auto" w:fill="auto"/>
            <w:noWrap/>
            <w:vAlign w:val="center"/>
            <w:hideMark/>
          </w:tcPr>
          <w:p w14:paraId="1ED01338" w14:textId="77777777" w:rsidR="00DB1680" w:rsidRPr="00DB1680" w:rsidRDefault="00DB1680" w:rsidP="00DB1680">
            <w:pPr>
              <w:spacing w:after="0" w:line="240" w:lineRule="auto"/>
              <w:jc w:val="left"/>
              <w:rPr>
                <w:rFonts w:ascii="Calibri" w:eastAsia="Times New Roman" w:hAnsi="Calibri" w:cs="Calibri"/>
                <w:color w:val="000000"/>
                <w:sz w:val="22"/>
                <w:lang w:eastAsia="es-CR"/>
              </w:rPr>
            </w:pPr>
            <w:r w:rsidRPr="00DB1680">
              <w:rPr>
                <w:rFonts w:ascii="Calibri" w:eastAsia="Times New Roman" w:hAnsi="Calibri" w:cs="Calibri"/>
                <w:color w:val="000000"/>
                <w:sz w:val="22"/>
                <w:lang w:eastAsia="es-CR"/>
              </w:rPr>
              <w:t> </w:t>
            </w:r>
          </w:p>
        </w:tc>
        <w:tc>
          <w:tcPr>
            <w:tcW w:w="1725" w:type="dxa"/>
            <w:tcBorders>
              <w:top w:val="nil"/>
              <w:left w:val="nil"/>
              <w:bottom w:val="single" w:sz="8" w:space="0" w:color="auto"/>
              <w:right w:val="single" w:sz="8" w:space="0" w:color="auto"/>
            </w:tcBorders>
            <w:shd w:val="clear" w:color="auto" w:fill="auto"/>
            <w:noWrap/>
            <w:vAlign w:val="center"/>
            <w:hideMark/>
          </w:tcPr>
          <w:p w14:paraId="2F7E0F88" w14:textId="77777777" w:rsidR="00DB1680" w:rsidRPr="00DB1680" w:rsidRDefault="00DB1680" w:rsidP="00DB1680">
            <w:pPr>
              <w:spacing w:after="0" w:line="240" w:lineRule="auto"/>
              <w:jc w:val="left"/>
              <w:rPr>
                <w:rFonts w:ascii="Calibri" w:eastAsia="Times New Roman" w:hAnsi="Calibri" w:cs="Calibri"/>
                <w:color w:val="000000"/>
                <w:sz w:val="22"/>
                <w:lang w:eastAsia="es-CR"/>
              </w:rPr>
            </w:pPr>
            <w:r w:rsidRPr="00DB1680">
              <w:rPr>
                <w:rFonts w:ascii="Calibri" w:eastAsia="Times New Roman" w:hAnsi="Calibri" w:cs="Calibri"/>
                <w:color w:val="000000"/>
                <w:sz w:val="22"/>
                <w:lang w:eastAsia="es-CR"/>
              </w:rPr>
              <w:t> </w:t>
            </w:r>
          </w:p>
        </w:tc>
        <w:tc>
          <w:tcPr>
            <w:tcW w:w="1701" w:type="dxa"/>
            <w:tcBorders>
              <w:top w:val="nil"/>
              <w:left w:val="nil"/>
              <w:bottom w:val="single" w:sz="8" w:space="0" w:color="auto"/>
              <w:right w:val="single" w:sz="8" w:space="0" w:color="auto"/>
            </w:tcBorders>
            <w:shd w:val="clear" w:color="auto" w:fill="auto"/>
            <w:noWrap/>
            <w:vAlign w:val="center"/>
            <w:hideMark/>
          </w:tcPr>
          <w:p w14:paraId="12269320" w14:textId="77777777" w:rsidR="00DB1680" w:rsidRPr="00DB1680" w:rsidRDefault="00DB1680" w:rsidP="00DB1680">
            <w:pPr>
              <w:spacing w:after="0" w:line="240" w:lineRule="auto"/>
              <w:jc w:val="left"/>
              <w:rPr>
                <w:rFonts w:ascii="Calibri" w:eastAsia="Times New Roman" w:hAnsi="Calibri" w:cs="Calibri"/>
                <w:color w:val="000000"/>
                <w:sz w:val="22"/>
                <w:lang w:eastAsia="es-CR"/>
              </w:rPr>
            </w:pPr>
            <w:r w:rsidRPr="00DB1680">
              <w:rPr>
                <w:rFonts w:ascii="Calibri" w:eastAsia="Times New Roman" w:hAnsi="Calibri" w:cs="Calibri"/>
                <w:color w:val="000000"/>
                <w:sz w:val="22"/>
                <w:lang w:eastAsia="es-CR"/>
              </w:rPr>
              <w:t> </w:t>
            </w:r>
          </w:p>
        </w:tc>
        <w:tc>
          <w:tcPr>
            <w:tcW w:w="1843" w:type="dxa"/>
            <w:tcBorders>
              <w:top w:val="nil"/>
              <w:left w:val="nil"/>
              <w:bottom w:val="single" w:sz="8" w:space="0" w:color="auto"/>
              <w:right w:val="single" w:sz="8" w:space="0" w:color="auto"/>
            </w:tcBorders>
            <w:shd w:val="clear" w:color="auto" w:fill="auto"/>
            <w:vAlign w:val="center"/>
            <w:hideMark/>
          </w:tcPr>
          <w:p w14:paraId="6CE6E75F" w14:textId="77777777" w:rsidR="00DB1680" w:rsidRPr="00DB1680" w:rsidRDefault="00DB1680" w:rsidP="00DB1680">
            <w:pPr>
              <w:spacing w:after="0" w:line="240" w:lineRule="auto"/>
              <w:jc w:val="center"/>
              <w:rPr>
                <w:rFonts w:eastAsia="Times New Roman" w:cs="Calibri"/>
                <w:color w:val="000000"/>
                <w:szCs w:val="24"/>
                <w:lang w:eastAsia="es-CR"/>
              </w:rPr>
            </w:pPr>
            <w:r w:rsidRPr="00DB1680">
              <w:rPr>
                <w:rFonts w:eastAsia="Times New Roman" w:cs="Calibri"/>
                <w:color w:val="000000"/>
                <w:szCs w:val="24"/>
                <w:lang w:eastAsia="es-CR"/>
              </w:rPr>
              <w:t> </w:t>
            </w:r>
          </w:p>
        </w:tc>
      </w:tr>
      <w:bookmarkEnd w:id="1102"/>
    </w:tbl>
    <w:p w14:paraId="13C53CEB" w14:textId="77777777" w:rsidR="00DB1680" w:rsidRPr="00692DC8" w:rsidRDefault="00DB1680" w:rsidP="0027138C"/>
    <w:p w14:paraId="0DFDECD1" w14:textId="2E21286E" w:rsidR="00692DC8" w:rsidRPr="0027138C" w:rsidRDefault="00692DC8" w:rsidP="0027138C">
      <w:pPr>
        <w:pStyle w:val="Ttulo2"/>
        <w:spacing w:after="240"/>
        <w:jc w:val="center"/>
        <w:rPr>
          <w:rFonts w:eastAsia="Times New Roman"/>
          <w:b/>
          <w:smallCaps/>
          <w:color w:val="1F497D"/>
          <w:u w:val="single"/>
        </w:rPr>
      </w:pPr>
      <w:bookmarkStart w:id="1103" w:name="_Toc82769097"/>
      <w:bookmarkStart w:id="1104" w:name="_Toc189804944"/>
      <w:r w:rsidRPr="0027138C">
        <w:rPr>
          <w:rFonts w:eastAsia="Times New Roman"/>
          <w:b/>
        </w:rPr>
        <w:t>NOTAS AL INFORME DEUDA PÚBLICA</w:t>
      </w:r>
      <w:bookmarkEnd w:id="1103"/>
      <w:bookmarkEnd w:id="1104"/>
    </w:p>
    <w:p w14:paraId="6172B988" w14:textId="77777777" w:rsidR="00692DC8" w:rsidRPr="002D1111" w:rsidRDefault="00692DC8" w:rsidP="002D1111">
      <w:pPr>
        <w:pStyle w:val="Ttulo4"/>
        <w:spacing w:after="240"/>
      </w:pPr>
      <w:bookmarkStart w:id="1105" w:name="_Toc82769098"/>
      <w:bookmarkStart w:id="1106" w:name="_Toc189804945"/>
      <w:r w:rsidRPr="002D1111">
        <w:t>NOTA N°8</w:t>
      </w:r>
      <w:bookmarkEnd w:id="1105"/>
      <w:r w:rsidRPr="002D1111">
        <w:t>6</w:t>
      </w:r>
      <w:bookmarkEnd w:id="1106"/>
    </w:p>
    <w:p w14:paraId="09448BAC" w14:textId="77777777" w:rsidR="00692DC8" w:rsidRPr="00305662" w:rsidRDefault="00692DC8" w:rsidP="00305662">
      <w:pPr>
        <w:rPr>
          <w:b/>
          <w:bCs/>
        </w:rPr>
      </w:pPr>
      <w:bookmarkStart w:id="1107" w:name="_Toc82769099"/>
      <w:r w:rsidRPr="00305662">
        <w:rPr>
          <w:b/>
          <w:bCs/>
        </w:rPr>
        <w:t>Saldo Deuda Pública</w:t>
      </w:r>
      <w:bookmarkEnd w:id="1107"/>
    </w:p>
    <w:tbl>
      <w:tblPr>
        <w:tblW w:w="9254" w:type="dxa"/>
        <w:tblInd w:w="-10" w:type="dxa"/>
        <w:tblCellMar>
          <w:left w:w="70" w:type="dxa"/>
          <w:right w:w="70" w:type="dxa"/>
        </w:tblCellMar>
        <w:tblLook w:val="04A0" w:firstRow="1" w:lastRow="0" w:firstColumn="1" w:lastColumn="0" w:noHBand="0" w:noVBand="1"/>
      </w:tblPr>
      <w:tblGrid>
        <w:gridCol w:w="3828"/>
        <w:gridCol w:w="2551"/>
        <w:gridCol w:w="1985"/>
        <w:gridCol w:w="890"/>
      </w:tblGrid>
      <w:tr w:rsidR="00DB1680" w:rsidRPr="00DB1680" w14:paraId="31C7416A" w14:textId="77777777" w:rsidTr="00DB1680">
        <w:trPr>
          <w:trHeight w:val="324"/>
        </w:trPr>
        <w:tc>
          <w:tcPr>
            <w:tcW w:w="3828" w:type="dxa"/>
            <w:tcBorders>
              <w:top w:val="single" w:sz="8" w:space="0" w:color="auto"/>
              <w:left w:val="single" w:sz="8" w:space="0" w:color="auto"/>
              <w:bottom w:val="single" w:sz="8" w:space="0" w:color="auto"/>
              <w:right w:val="single" w:sz="8" w:space="0" w:color="auto"/>
            </w:tcBorders>
            <w:shd w:val="clear" w:color="000000" w:fill="365F91"/>
            <w:noWrap/>
            <w:vAlign w:val="bottom"/>
            <w:hideMark/>
          </w:tcPr>
          <w:p w14:paraId="228B4A97" w14:textId="77777777" w:rsidR="00DB1680" w:rsidRPr="00DB1680" w:rsidRDefault="00DB1680" w:rsidP="00DB1680">
            <w:pPr>
              <w:spacing w:after="0" w:line="240" w:lineRule="auto"/>
              <w:jc w:val="left"/>
              <w:rPr>
                <w:rFonts w:ascii="Calibri" w:eastAsia="Times New Roman" w:hAnsi="Calibri" w:cs="Calibri"/>
                <w:color w:val="000000"/>
                <w:sz w:val="22"/>
                <w:lang w:eastAsia="es-CR"/>
              </w:rPr>
            </w:pPr>
            <w:bookmarkStart w:id="1108" w:name="_Hlk124018739"/>
            <w:r w:rsidRPr="00DB1680">
              <w:rPr>
                <w:rFonts w:ascii="Calibri" w:eastAsia="Times New Roman" w:hAnsi="Calibri" w:cs="Calibri"/>
                <w:color w:val="000000"/>
                <w:sz w:val="22"/>
                <w:lang w:eastAsia="es-CR"/>
              </w:rPr>
              <w:t> </w:t>
            </w:r>
          </w:p>
        </w:tc>
        <w:tc>
          <w:tcPr>
            <w:tcW w:w="4536" w:type="dxa"/>
            <w:gridSpan w:val="2"/>
            <w:tcBorders>
              <w:top w:val="single" w:sz="8" w:space="0" w:color="auto"/>
              <w:left w:val="nil"/>
              <w:bottom w:val="single" w:sz="8" w:space="0" w:color="auto"/>
              <w:right w:val="single" w:sz="8" w:space="0" w:color="000000"/>
            </w:tcBorders>
            <w:shd w:val="clear" w:color="000000" w:fill="365F91"/>
            <w:vAlign w:val="center"/>
            <w:hideMark/>
          </w:tcPr>
          <w:p w14:paraId="54B959A0" w14:textId="77777777" w:rsidR="00DB1680" w:rsidRPr="00DB1680" w:rsidRDefault="00DB1680" w:rsidP="00DB1680">
            <w:pPr>
              <w:spacing w:after="0" w:line="240" w:lineRule="auto"/>
              <w:jc w:val="center"/>
              <w:rPr>
                <w:rFonts w:eastAsia="Times New Roman" w:cs="Calibri"/>
                <w:color w:val="FFFFFF"/>
                <w:szCs w:val="24"/>
                <w:lang w:eastAsia="es-CR"/>
              </w:rPr>
            </w:pPr>
            <w:r w:rsidRPr="00DB1680">
              <w:rPr>
                <w:rFonts w:eastAsia="Times New Roman" w:cs="Calibri"/>
                <w:color w:val="FFFFFF"/>
                <w:szCs w:val="24"/>
                <w:lang w:val="es-ES" w:eastAsia="es-CR"/>
              </w:rPr>
              <w:t>SALDOS</w:t>
            </w:r>
          </w:p>
        </w:tc>
        <w:tc>
          <w:tcPr>
            <w:tcW w:w="890" w:type="dxa"/>
            <w:tcBorders>
              <w:top w:val="single" w:sz="8" w:space="0" w:color="auto"/>
              <w:left w:val="nil"/>
              <w:bottom w:val="single" w:sz="8" w:space="0" w:color="auto"/>
              <w:right w:val="single" w:sz="8" w:space="0" w:color="auto"/>
            </w:tcBorders>
            <w:shd w:val="clear" w:color="000000" w:fill="365F91"/>
            <w:vAlign w:val="center"/>
            <w:hideMark/>
          </w:tcPr>
          <w:p w14:paraId="65B026A4" w14:textId="77777777" w:rsidR="00DB1680" w:rsidRPr="00DB1680" w:rsidRDefault="00DB1680" w:rsidP="00DB1680">
            <w:pPr>
              <w:spacing w:after="0" w:line="240" w:lineRule="auto"/>
              <w:rPr>
                <w:rFonts w:eastAsia="Times New Roman" w:cs="Calibri"/>
                <w:color w:val="FFFFFF"/>
                <w:szCs w:val="24"/>
                <w:lang w:eastAsia="es-CR"/>
              </w:rPr>
            </w:pPr>
            <w:r w:rsidRPr="00DB1680">
              <w:rPr>
                <w:rFonts w:eastAsia="Times New Roman" w:cs="Calibri"/>
                <w:color w:val="FFFFFF"/>
                <w:szCs w:val="24"/>
                <w:lang w:val="es-ES" w:eastAsia="es-CR"/>
              </w:rPr>
              <w:t> </w:t>
            </w:r>
          </w:p>
        </w:tc>
      </w:tr>
      <w:tr w:rsidR="00DB1680" w:rsidRPr="00DB1680" w14:paraId="701F73A7" w14:textId="77777777" w:rsidTr="00DB1680">
        <w:trPr>
          <w:trHeight w:val="324"/>
        </w:trPr>
        <w:tc>
          <w:tcPr>
            <w:tcW w:w="3828" w:type="dxa"/>
            <w:tcBorders>
              <w:top w:val="nil"/>
              <w:left w:val="single" w:sz="8" w:space="0" w:color="auto"/>
              <w:bottom w:val="single" w:sz="8" w:space="0" w:color="auto"/>
              <w:right w:val="single" w:sz="8" w:space="0" w:color="auto"/>
            </w:tcBorders>
            <w:shd w:val="clear" w:color="000000" w:fill="365F91"/>
            <w:noWrap/>
            <w:vAlign w:val="center"/>
            <w:hideMark/>
          </w:tcPr>
          <w:p w14:paraId="44253F32" w14:textId="77777777" w:rsidR="00DB1680" w:rsidRPr="00DB1680" w:rsidRDefault="00DB1680" w:rsidP="00DB1680">
            <w:pPr>
              <w:spacing w:after="0" w:line="240" w:lineRule="auto"/>
              <w:jc w:val="center"/>
              <w:rPr>
                <w:rFonts w:eastAsia="Times New Roman" w:cs="Calibri"/>
                <w:color w:val="FFFFFF"/>
                <w:szCs w:val="24"/>
                <w:lang w:eastAsia="es-CR"/>
              </w:rPr>
            </w:pPr>
            <w:r w:rsidRPr="00DB1680">
              <w:rPr>
                <w:rFonts w:eastAsia="Times New Roman" w:cs="Calibri"/>
                <w:color w:val="FFFFFF"/>
                <w:szCs w:val="24"/>
                <w:lang w:val="es-ES" w:eastAsia="es-CR"/>
              </w:rPr>
              <w:t>RUBRO</w:t>
            </w:r>
          </w:p>
        </w:tc>
        <w:tc>
          <w:tcPr>
            <w:tcW w:w="2551" w:type="dxa"/>
            <w:tcBorders>
              <w:top w:val="nil"/>
              <w:left w:val="nil"/>
              <w:bottom w:val="single" w:sz="8" w:space="0" w:color="auto"/>
              <w:right w:val="single" w:sz="8" w:space="0" w:color="auto"/>
            </w:tcBorders>
            <w:shd w:val="clear" w:color="000000" w:fill="365F91"/>
            <w:noWrap/>
            <w:vAlign w:val="center"/>
            <w:hideMark/>
          </w:tcPr>
          <w:p w14:paraId="63F64A23" w14:textId="77777777" w:rsidR="00DB1680" w:rsidRPr="00DB1680" w:rsidRDefault="00DB1680" w:rsidP="00DB1680">
            <w:pPr>
              <w:spacing w:after="0" w:line="240" w:lineRule="auto"/>
              <w:jc w:val="center"/>
              <w:rPr>
                <w:rFonts w:eastAsia="Times New Roman" w:cs="Calibri"/>
                <w:color w:val="FFFFFF"/>
                <w:szCs w:val="24"/>
                <w:lang w:eastAsia="es-CR"/>
              </w:rPr>
            </w:pPr>
            <w:r w:rsidRPr="00DB1680">
              <w:rPr>
                <w:rFonts w:eastAsia="Times New Roman" w:cs="Calibri"/>
                <w:color w:val="FFFFFF"/>
                <w:szCs w:val="24"/>
                <w:lang w:val="es-ES" w:eastAsia="es-CR"/>
              </w:rPr>
              <w:t>Periodo Actual</w:t>
            </w:r>
          </w:p>
        </w:tc>
        <w:tc>
          <w:tcPr>
            <w:tcW w:w="1985" w:type="dxa"/>
            <w:tcBorders>
              <w:top w:val="nil"/>
              <w:left w:val="nil"/>
              <w:bottom w:val="single" w:sz="8" w:space="0" w:color="auto"/>
              <w:right w:val="single" w:sz="8" w:space="0" w:color="auto"/>
            </w:tcBorders>
            <w:shd w:val="clear" w:color="000000" w:fill="365F91"/>
            <w:noWrap/>
            <w:vAlign w:val="center"/>
            <w:hideMark/>
          </w:tcPr>
          <w:p w14:paraId="7A870CE8" w14:textId="77777777" w:rsidR="00DB1680" w:rsidRPr="00DB1680" w:rsidRDefault="00DB1680" w:rsidP="00DB1680">
            <w:pPr>
              <w:spacing w:after="0" w:line="240" w:lineRule="auto"/>
              <w:jc w:val="center"/>
              <w:rPr>
                <w:rFonts w:eastAsia="Times New Roman" w:cs="Calibri"/>
                <w:color w:val="FFFFFF"/>
                <w:szCs w:val="24"/>
                <w:lang w:eastAsia="es-CR"/>
              </w:rPr>
            </w:pPr>
            <w:r w:rsidRPr="00DB1680">
              <w:rPr>
                <w:rFonts w:eastAsia="Times New Roman" w:cs="Calibri"/>
                <w:color w:val="FFFFFF"/>
                <w:szCs w:val="24"/>
                <w:lang w:val="es-ES" w:eastAsia="es-CR"/>
              </w:rPr>
              <w:t>Periodo Anterior</w:t>
            </w:r>
          </w:p>
        </w:tc>
        <w:tc>
          <w:tcPr>
            <w:tcW w:w="890" w:type="dxa"/>
            <w:tcBorders>
              <w:top w:val="nil"/>
              <w:left w:val="nil"/>
              <w:bottom w:val="single" w:sz="8" w:space="0" w:color="auto"/>
              <w:right w:val="single" w:sz="8" w:space="0" w:color="auto"/>
            </w:tcBorders>
            <w:shd w:val="clear" w:color="000000" w:fill="365F91"/>
            <w:vAlign w:val="center"/>
            <w:hideMark/>
          </w:tcPr>
          <w:p w14:paraId="2A072B93" w14:textId="77777777" w:rsidR="00DB1680" w:rsidRPr="00DB1680" w:rsidRDefault="00DB1680" w:rsidP="00DB1680">
            <w:pPr>
              <w:spacing w:after="0" w:line="240" w:lineRule="auto"/>
              <w:jc w:val="center"/>
              <w:rPr>
                <w:rFonts w:eastAsia="Times New Roman" w:cs="Calibri"/>
                <w:color w:val="FFFFFF"/>
                <w:szCs w:val="24"/>
                <w:lang w:eastAsia="es-CR"/>
              </w:rPr>
            </w:pPr>
            <w:r w:rsidRPr="00DB1680">
              <w:rPr>
                <w:rFonts w:eastAsia="Times New Roman" w:cs="Calibri"/>
                <w:color w:val="FFFFFF"/>
                <w:szCs w:val="24"/>
                <w:lang w:val="es-ES" w:eastAsia="es-CR"/>
              </w:rPr>
              <w:t>%</w:t>
            </w:r>
          </w:p>
        </w:tc>
      </w:tr>
      <w:tr w:rsidR="00DB1680" w:rsidRPr="00DB1680" w14:paraId="3A0D2AAD" w14:textId="77777777" w:rsidTr="00DB1680">
        <w:trPr>
          <w:trHeight w:val="324"/>
        </w:trPr>
        <w:tc>
          <w:tcPr>
            <w:tcW w:w="3828" w:type="dxa"/>
            <w:tcBorders>
              <w:top w:val="nil"/>
              <w:left w:val="single" w:sz="8" w:space="0" w:color="auto"/>
              <w:bottom w:val="single" w:sz="8" w:space="0" w:color="auto"/>
              <w:right w:val="single" w:sz="8" w:space="0" w:color="auto"/>
            </w:tcBorders>
            <w:shd w:val="clear" w:color="auto" w:fill="auto"/>
            <w:noWrap/>
            <w:vAlign w:val="center"/>
            <w:hideMark/>
          </w:tcPr>
          <w:p w14:paraId="01A4B1ED" w14:textId="77777777" w:rsidR="00DB1680" w:rsidRPr="00DB1680" w:rsidRDefault="00DB1680" w:rsidP="00DB1680">
            <w:pPr>
              <w:spacing w:after="0" w:line="240" w:lineRule="auto"/>
              <w:rPr>
                <w:rFonts w:eastAsia="Times New Roman" w:cs="Calibri"/>
                <w:color w:val="000000"/>
                <w:szCs w:val="24"/>
                <w:lang w:eastAsia="es-CR"/>
              </w:rPr>
            </w:pPr>
            <w:r w:rsidRPr="00DB1680">
              <w:rPr>
                <w:rFonts w:eastAsia="Times New Roman" w:cs="Calibri"/>
                <w:color w:val="000000"/>
                <w:szCs w:val="24"/>
                <w:lang w:val="es-ES" w:eastAsia="es-CR"/>
              </w:rPr>
              <w:t>SALDO DE DEUDA PÚBLICA</w:t>
            </w:r>
          </w:p>
        </w:tc>
        <w:tc>
          <w:tcPr>
            <w:tcW w:w="2551" w:type="dxa"/>
            <w:tcBorders>
              <w:top w:val="nil"/>
              <w:left w:val="nil"/>
              <w:bottom w:val="single" w:sz="8" w:space="0" w:color="auto"/>
              <w:right w:val="single" w:sz="8" w:space="0" w:color="auto"/>
            </w:tcBorders>
            <w:shd w:val="clear" w:color="auto" w:fill="auto"/>
            <w:noWrap/>
            <w:vAlign w:val="center"/>
            <w:hideMark/>
          </w:tcPr>
          <w:p w14:paraId="264A8613" w14:textId="7BBF4DB3" w:rsidR="00DB1680" w:rsidRPr="00DB1680" w:rsidRDefault="00DB1680" w:rsidP="00DB1680">
            <w:pPr>
              <w:spacing w:after="0" w:line="240" w:lineRule="auto"/>
              <w:jc w:val="left"/>
              <w:rPr>
                <w:rFonts w:ascii="Calibri" w:eastAsia="Times New Roman" w:hAnsi="Calibri" w:cs="Calibri"/>
                <w:color w:val="000000"/>
                <w:sz w:val="22"/>
                <w:lang w:eastAsia="es-CR"/>
              </w:rPr>
            </w:pPr>
            <w:r w:rsidRPr="00DB1680">
              <w:rPr>
                <w:rFonts w:ascii="Calibri" w:eastAsia="Times New Roman" w:hAnsi="Calibri" w:cs="Calibri"/>
                <w:color w:val="000000"/>
                <w:sz w:val="22"/>
                <w:lang w:eastAsia="es-CR"/>
              </w:rPr>
              <w:t> </w:t>
            </w:r>
            <w:r w:rsidR="00460C5D">
              <w:rPr>
                <w:rFonts w:ascii="Calibri" w:eastAsia="Times New Roman" w:hAnsi="Calibri" w:cs="Calibri"/>
                <w:color w:val="000000"/>
                <w:sz w:val="22"/>
                <w:lang w:eastAsia="es-CR"/>
              </w:rPr>
              <w:t>2 115 032,77</w:t>
            </w:r>
          </w:p>
        </w:tc>
        <w:tc>
          <w:tcPr>
            <w:tcW w:w="1985" w:type="dxa"/>
            <w:tcBorders>
              <w:top w:val="nil"/>
              <w:left w:val="nil"/>
              <w:bottom w:val="single" w:sz="8" w:space="0" w:color="auto"/>
              <w:right w:val="single" w:sz="8" w:space="0" w:color="auto"/>
            </w:tcBorders>
            <w:shd w:val="clear" w:color="auto" w:fill="auto"/>
            <w:noWrap/>
            <w:vAlign w:val="center"/>
            <w:hideMark/>
          </w:tcPr>
          <w:p w14:paraId="14064A7E" w14:textId="07A1DC7E" w:rsidR="00DB1680" w:rsidRPr="00DB1680" w:rsidRDefault="00DB1680" w:rsidP="00DB1680">
            <w:pPr>
              <w:spacing w:after="0" w:line="240" w:lineRule="auto"/>
              <w:jc w:val="left"/>
              <w:rPr>
                <w:rFonts w:ascii="Calibri" w:eastAsia="Times New Roman" w:hAnsi="Calibri" w:cs="Calibri"/>
                <w:color w:val="000000"/>
                <w:sz w:val="22"/>
                <w:lang w:eastAsia="es-CR"/>
              </w:rPr>
            </w:pPr>
            <w:r w:rsidRPr="00DB1680">
              <w:rPr>
                <w:rFonts w:ascii="Calibri" w:eastAsia="Times New Roman" w:hAnsi="Calibri" w:cs="Calibri"/>
                <w:color w:val="000000"/>
                <w:sz w:val="22"/>
                <w:lang w:eastAsia="es-CR"/>
              </w:rPr>
              <w:t> </w:t>
            </w:r>
            <w:r w:rsidR="00460C5D">
              <w:rPr>
                <w:rFonts w:ascii="Calibri" w:eastAsia="Times New Roman" w:hAnsi="Calibri" w:cs="Calibri"/>
                <w:color w:val="000000"/>
                <w:sz w:val="22"/>
                <w:lang w:eastAsia="es-CR"/>
              </w:rPr>
              <w:t>1 319 224,69</w:t>
            </w:r>
          </w:p>
        </w:tc>
        <w:tc>
          <w:tcPr>
            <w:tcW w:w="890" w:type="dxa"/>
            <w:tcBorders>
              <w:top w:val="nil"/>
              <w:left w:val="nil"/>
              <w:bottom w:val="single" w:sz="8" w:space="0" w:color="auto"/>
              <w:right w:val="single" w:sz="8" w:space="0" w:color="auto"/>
            </w:tcBorders>
            <w:shd w:val="clear" w:color="auto" w:fill="auto"/>
            <w:vAlign w:val="center"/>
            <w:hideMark/>
          </w:tcPr>
          <w:p w14:paraId="50647C9B" w14:textId="4ABFB417" w:rsidR="00DB1680" w:rsidRPr="00DB1680" w:rsidRDefault="0086453C" w:rsidP="00DB1680">
            <w:pPr>
              <w:spacing w:after="0" w:line="240" w:lineRule="auto"/>
              <w:jc w:val="center"/>
              <w:rPr>
                <w:rFonts w:eastAsia="Times New Roman" w:cs="Calibri"/>
                <w:color w:val="000000"/>
                <w:szCs w:val="24"/>
                <w:lang w:eastAsia="es-CR"/>
              </w:rPr>
            </w:pPr>
            <w:r>
              <w:rPr>
                <w:rFonts w:eastAsia="Times New Roman" w:cs="Calibri"/>
                <w:color w:val="000000"/>
                <w:szCs w:val="24"/>
                <w:lang w:val="es-ES" w:eastAsia="es-CR"/>
              </w:rPr>
              <w:t>60,</w:t>
            </w:r>
            <w:r w:rsidR="00460C5D">
              <w:rPr>
                <w:rFonts w:eastAsia="Times New Roman" w:cs="Calibri"/>
                <w:color w:val="000000"/>
                <w:szCs w:val="24"/>
                <w:lang w:val="es-ES" w:eastAsia="es-CR"/>
              </w:rPr>
              <w:t>32</w:t>
            </w:r>
            <w:r w:rsidR="00DB1680" w:rsidRPr="00DB1680">
              <w:rPr>
                <w:rFonts w:eastAsia="Times New Roman" w:cs="Calibri"/>
                <w:color w:val="000000"/>
                <w:szCs w:val="24"/>
                <w:lang w:val="es-ES" w:eastAsia="es-CR"/>
              </w:rPr>
              <w:t> </w:t>
            </w:r>
          </w:p>
        </w:tc>
      </w:tr>
      <w:bookmarkEnd w:id="1108"/>
    </w:tbl>
    <w:p w14:paraId="2161A562" w14:textId="77777777" w:rsidR="001B5AAB" w:rsidRDefault="001B5AAB" w:rsidP="001B5AAB">
      <w:pPr>
        <w:spacing w:after="0" w:line="240" w:lineRule="auto"/>
      </w:pPr>
    </w:p>
    <w:p w14:paraId="7911CF2A" w14:textId="64B6941B" w:rsidR="001B5AAB" w:rsidRPr="0086453C" w:rsidRDefault="001B5AAB" w:rsidP="001B5AAB">
      <w:pPr>
        <w:spacing w:after="0" w:line="240" w:lineRule="auto"/>
      </w:pPr>
      <w:r w:rsidRPr="0086453C">
        <w:t xml:space="preserve">El Saldo de Deuda Pública, comparado al periodo anterior genera una Aumento absoluto de                 </w:t>
      </w:r>
      <w:r w:rsidRPr="0086453C">
        <w:rPr>
          <w:rFonts w:ascii="Arial" w:hAnsi="Arial" w:cs="Arial"/>
        </w:rPr>
        <w:t>₡</w:t>
      </w:r>
      <w:r w:rsidR="0086453C" w:rsidRPr="0086453C">
        <w:rPr>
          <w:rFonts w:ascii="Arial" w:hAnsi="Arial" w:cs="Arial"/>
        </w:rPr>
        <w:t>795</w:t>
      </w:r>
      <w:r w:rsidRPr="0086453C">
        <w:rPr>
          <w:rFonts w:ascii="Arial" w:hAnsi="Arial" w:cs="Arial"/>
        </w:rPr>
        <w:t xml:space="preserve"> </w:t>
      </w:r>
      <w:r w:rsidR="0086453C" w:rsidRPr="0086453C">
        <w:t>808,69 miles que representa el 60,32</w:t>
      </w:r>
      <w:r w:rsidRPr="0086453C">
        <w:t xml:space="preserve">% de recursos disponibles, producto de (Indicar la razón de las variaciones de un periodo a otro) los desembolsos recibidos y las amortizaciones realizadas en el periodo comprendido entre </w:t>
      </w:r>
      <w:r w:rsidR="00D64CF8" w:rsidRPr="0086453C">
        <w:t>diciembre</w:t>
      </w:r>
      <w:r w:rsidRPr="0086453C">
        <w:t xml:space="preserve"> 2023 y </w:t>
      </w:r>
      <w:r w:rsidR="00D64CF8" w:rsidRPr="0086453C">
        <w:t>diciembre</w:t>
      </w:r>
      <w:r w:rsidRPr="0086453C">
        <w:t xml:space="preserve"> 2024. Además, se efectuó un ajuste al saldo inicial del periodo por la suma de </w:t>
      </w:r>
      <w:r w:rsidRPr="0086453C">
        <w:rPr>
          <w:rFonts w:ascii="Arial" w:hAnsi="Arial" w:cs="Arial"/>
        </w:rPr>
        <w:t>₡</w:t>
      </w:r>
      <w:r w:rsidRPr="0086453C">
        <w:t>579,</w:t>
      </w:r>
      <w:r w:rsidR="00796636" w:rsidRPr="0086453C">
        <w:t>31</w:t>
      </w:r>
      <w:r w:rsidRPr="0086453C">
        <w:t xml:space="preserve"> miles, producto de una diferencia determinada en el proceso de conciliación con el IFAM.</w:t>
      </w:r>
      <w:r w:rsidRPr="0086453C">
        <w:rPr>
          <w:rFonts w:ascii="Arial" w:hAnsi="Arial" w:cs="Arial"/>
        </w:rPr>
        <w:t xml:space="preserve"> </w:t>
      </w:r>
    </w:p>
    <w:p w14:paraId="3B45825B" w14:textId="77777777" w:rsidR="001B5AAB" w:rsidRPr="0086453C" w:rsidRDefault="001B5AAB" w:rsidP="001B5AAB">
      <w:pPr>
        <w:rPr>
          <w:szCs w:val="24"/>
          <w:lang w:val="es-ES"/>
        </w:rPr>
      </w:pPr>
      <w:r w:rsidRPr="0086453C">
        <w:rPr>
          <w:szCs w:val="24"/>
          <w:lang w:val="es-ES"/>
        </w:rPr>
        <w:t>Fundamente los movimientos del periodo</w:t>
      </w:r>
    </w:p>
    <w:tbl>
      <w:tblPr>
        <w:tblW w:w="7231" w:type="dxa"/>
        <w:jc w:val="center"/>
        <w:tblCellMar>
          <w:left w:w="70" w:type="dxa"/>
          <w:right w:w="70" w:type="dxa"/>
        </w:tblCellMar>
        <w:tblLook w:val="04A0" w:firstRow="1" w:lastRow="0" w:firstColumn="1" w:lastColumn="0" w:noHBand="0" w:noVBand="1"/>
      </w:tblPr>
      <w:tblGrid>
        <w:gridCol w:w="1240"/>
        <w:gridCol w:w="2162"/>
        <w:gridCol w:w="1925"/>
        <w:gridCol w:w="1904"/>
      </w:tblGrid>
      <w:tr w:rsidR="001B5AAB" w:rsidRPr="00854795" w14:paraId="47B7F288" w14:textId="77777777" w:rsidTr="00756467">
        <w:trPr>
          <w:trHeight w:val="324"/>
          <w:jc w:val="center"/>
        </w:trPr>
        <w:tc>
          <w:tcPr>
            <w:tcW w:w="1240" w:type="dxa"/>
            <w:tcBorders>
              <w:top w:val="single" w:sz="8" w:space="0" w:color="auto"/>
              <w:left w:val="single" w:sz="8" w:space="0" w:color="auto"/>
              <w:bottom w:val="single" w:sz="8" w:space="0" w:color="auto"/>
              <w:right w:val="single" w:sz="8" w:space="0" w:color="auto"/>
            </w:tcBorders>
            <w:shd w:val="clear" w:color="000000" w:fill="365F91"/>
            <w:noWrap/>
            <w:vAlign w:val="center"/>
            <w:hideMark/>
          </w:tcPr>
          <w:p w14:paraId="74A6BFE3" w14:textId="77777777" w:rsidR="001B5AAB" w:rsidRPr="0086453C" w:rsidRDefault="001B5AAB" w:rsidP="00756467">
            <w:pPr>
              <w:spacing w:after="0" w:line="240" w:lineRule="auto"/>
              <w:jc w:val="center"/>
              <w:rPr>
                <w:rFonts w:eastAsia="Times New Roman" w:cs="Calibri"/>
                <w:color w:val="FFFFFF"/>
                <w:szCs w:val="24"/>
                <w:lang w:eastAsia="es-CR"/>
              </w:rPr>
            </w:pPr>
            <w:bookmarkStart w:id="1109" w:name="_Hlk124018835"/>
            <w:r w:rsidRPr="0086453C">
              <w:rPr>
                <w:rFonts w:eastAsia="Times New Roman" w:cs="Calibri"/>
                <w:color w:val="FFFFFF"/>
                <w:szCs w:val="24"/>
                <w:lang w:eastAsia="es-CR"/>
              </w:rPr>
              <w:t>Fecha</w:t>
            </w:r>
          </w:p>
        </w:tc>
        <w:tc>
          <w:tcPr>
            <w:tcW w:w="2162" w:type="dxa"/>
            <w:tcBorders>
              <w:top w:val="single" w:sz="8" w:space="0" w:color="auto"/>
              <w:left w:val="nil"/>
              <w:bottom w:val="single" w:sz="8" w:space="0" w:color="auto"/>
              <w:right w:val="single" w:sz="8" w:space="0" w:color="auto"/>
            </w:tcBorders>
            <w:shd w:val="clear" w:color="000000" w:fill="365F91"/>
            <w:noWrap/>
            <w:vAlign w:val="center"/>
            <w:hideMark/>
          </w:tcPr>
          <w:p w14:paraId="3C1C57B5" w14:textId="77777777" w:rsidR="001B5AAB" w:rsidRPr="0086453C" w:rsidRDefault="001B5AAB" w:rsidP="00756467">
            <w:pPr>
              <w:spacing w:after="0" w:line="240" w:lineRule="auto"/>
              <w:jc w:val="center"/>
              <w:rPr>
                <w:rFonts w:eastAsia="Times New Roman" w:cs="Calibri"/>
                <w:color w:val="FFFFFF"/>
                <w:szCs w:val="24"/>
                <w:lang w:eastAsia="es-CR"/>
              </w:rPr>
            </w:pPr>
            <w:r w:rsidRPr="0086453C">
              <w:rPr>
                <w:rFonts w:eastAsia="Times New Roman" w:cs="Calibri"/>
                <w:color w:val="FFFFFF"/>
                <w:szCs w:val="24"/>
                <w:lang w:eastAsia="es-CR"/>
              </w:rPr>
              <w:t>Incrementos</w:t>
            </w:r>
          </w:p>
        </w:tc>
        <w:tc>
          <w:tcPr>
            <w:tcW w:w="1925" w:type="dxa"/>
            <w:tcBorders>
              <w:top w:val="single" w:sz="8" w:space="0" w:color="auto"/>
              <w:left w:val="nil"/>
              <w:bottom w:val="single" w:sz="8" w:space="0" w:color="auto"/>
              <w:right w:val="single" w:sz="8" w:space="0" w:color="auto"/>
            </w:tcBorders>
            <w:shd w:val="clear" w:color="000000" w:fill="365F91"/>
            <w:noWrap/>
            <w:vAlign w:val="center"/>
            <w:hideMark/>
          </w:tcPr>
          <w:p w14:paraId="265D987E" w14:textId="77777777" w:rsidR="001B5AAB" w:rsidRPr="0086453C" w:rsidRDefault="001B5AAB" w:rsidP="00756467">
            <w:pPr>
              <w:spacing w:after="0" w:line="240" w:lineRule="auto"/>
              <w:jc w:val="center"/>
              <w:rPr>
                <w:rFonts w:eastAsia="Times New Roman" w:cs="Calibri"/>
                <w:color w:val="FFFFFF"/>
                <w:szCs w:val="24"/>
                <w:lang w:eastAsia="es-CR"/>
              </w:rPr>
            </w:pPr>
            <w:r w:rsidRPr="0086453C">
              <w:rPr>
                <w:rFonts w:eastAsia="Times New Roman" w:cs="Calibri"/>
                <w:color w:val="FFFFFF"/>
                <w:szCs w:val="24"/>
                <w:lang w:eastAsia="es-CR"/>
              </w:rPr>
              <w:t>Disminuciones</w:t>
            </w:r>
          </w:p>
        </w:tc>
        <w:tc>
          <w:tcPr>
            <w:tcW w:w="1904" w:type="dxa"/>
            <w:tcBorders>
              <w:top w:val="single" w:sz="8" w:space="0" w:color="auto"/>
              <w:left w:val="nil"/>
              <w:bottom w:val="single" w:sz="8" w:space="0" w:color="auto"/>
              <w:right w:val="single" w:sz="8" w:space="0" w:color="auto"/>
            </w:tcBorders>
            <w:shd w:val="clear" w:color="000000" w:fill="365F91"/>
            <w:noWrap/>
            <w:vAlign w:val="center"/>
            <w:hideMark/>
          </w:tcPr>
          <w:p w14:paraId="6FAFD62A" w14:textId="77777777" w:rsidR="001B5AAB" w:rsidRPr="0086453C" w:rsidRDefault="001B5AAB" w:rsidP="00756467">
            <w:pPr>
              <w:spacing w:after="0" w:line="240" w:lineRule="auto"/>
              <w:jc w:val="center"/>
              <w:rPr>
                <w:rFonts w:eastAsia="Times New Roman" w:cs="Calibri"/>
                <w:color w:val="FFFFFF"/>
                <w:szCs w:val="24"/>
                <w:lang w:eastAsia="es-CR"/>
              </w:rPr>
            </w:pPr>
            <w:r w:rsidRPr="0086453C">
              <w:rPr>
                <w:rFonts w:eastAsia="Times New Roman" w:cs="Calibri"/>
                <w:color w:val="FFFFFF"/>
                <w:szCs w:val="24"/>
                <w:lang w:eastAsia="es-CR"/>
              </w:rPr>
              <w:t>Fundamento</w:t>
            </w:r>
          </w:p>
        </w:tc>
      </w:tr>
      <w:tr w:rsidR="001B5AAB" w:rsidRPr="00854795" w14:paraId="4A483D3F" w14:textId="77777777" w:rsidTr="00756467">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76E02D2F" w14:textId="4B6A0AB9" w:rsidR="001B5AAB" w:rsidRPr="0086453C" w:rsidRDefault="001B5AAB" w:rsidP="00756467">
            <w:pPr>
              <w:spacing w:after="0" w:line="240" w:lineRule="auto"/>
              <w:jc w:val="left"/>
              <w:rPr>
                <w:rFonts w:ascii="Calibri" w:eastAsia="Times New Roman" w:hAnsi="Calibri" w:cs="Calibri"/>
                <w:color w:val="000000"/>
                <w:sz w:val="22"/>
                <w:lang w:eastAsia="es-CR"/>
              </w:rPr>
            </w:pPr>
            <w:r w:rsidRPr="0086453C">
              <w:rPr>
                <w:rFonts w:ascii="Calibri" w:eastAsia="Times New Roman" w:hAnsi="Calibri" w:cs="Calibri"/>
                <w:color w:val="000000"/>
                <w:sz w:val="22"/>
                <w:lang w:eastAsia="es-CR"/>
              </w:rPr>
              <w:t> </w:t>
            </w:r>
            <w:r w:rsidR="00D64CF8" w:rsidRPr="0086453C">
              <w:rPr>
                <w:rFonts w:ascii="Calibri" w:eastAsia="Times New Roman" w:hAnsi="Calibri" w:cs="Calibri"/>
                <w:color w:val="000000"/>
                <w:sz w:val="22"/>
                <w:lang w:eastAsia="es-CR"/>
              </w:rPr>
              <w:t>Diciembre</w:t>
            </w:r>
            <w:r w:rsidRPr="0086453C">
              <w:rPr>
                <w:rFonts w:ascii="Calibri" w:eastAsia="Times New Roman" w:hAnsi="Calibri" w:cs="Calibri"/>
                <w:color w:val="000000"/>
                <w:sz w:val="22"/>
                <w:lang w:eastAsia="es-CR"/>
              </w:rPr>
              <w:t xml:space="preserve"> 2024</w:t>
            </w:r>
          </w:p>
        </w:tc>
        <w:tc>
          <w:tcPr>
            <w:tcW w:w="2162" w:type="dxa"/>
            <w:tcBorders>
              <w:top w:val="nil"/>
              <w:left w:val="nil"/>
              <w:bottom w:val="single" w:sz="8" w:space="0" w:color="auto"/>
              <w:right w:val="single" w:sz="8" w:space="0" w:color="auto"/>
            </w:tcBorders>
            <w:shd w:val="clear" w:color="auto" w:fill="auto"/>
            <w:noWrap/>
            <w:vAlign w:val="center"/>
            <w:hideMark/>
          </w:tcPr>
          <w:p w14:paraId="113265DA" w14:textId="77777777" w:rsidR="001B5AAB" w:rsidRPr="0086453C" w:rsidRDefault="001B5AAB" w:rsidP="00756467">
            <w:pPr>
              <w:spacing w:after="0" w:line="240" w:lineRule="auto"/>
              <w:jc w:val="left"/>
              <w:rPr>
                <w:rFonts w:ascii="Calibri" w:eastAsia="Times New Roman" w:hAnsi="Calibri" w:cs="Calibri"/>
                <w:color w:val="000000"/>
                <w:sz w:val="22"/>
                <w:lang w:eastAsia="es-CR"/>
              </w:rPr>
            </w:pPr>
            <w:r w:rsidRPr="0086453C">
              <w:rPr>
                <w:rFonts w:ascii="Calibri" w:eastAsia="Times New Roman" w:hAnsi="Calibri" w:cs="Calibri"/>
                <w:color w:val="000000"/>
                <w:sz w:val="22"/>
                <w:lang w:eastAsia="es-CR"/>
              </w:rPr>
              <w:t> ¢255 415,75</w:t>
            </w:r>
          </w:p>
        </w:tc>
        <w:tc>
          <w:tcPr>
            <w:tcW w:w="1925" w:type="dxa"/>
            <w:tcBorders>
              <w:top w:val="nil"/>
              <w:left w:val="nil"/>
              <w:bottom w:val="single" w:sz="8" w:space="0" w:color="auto"/>
              <w:right w:val="single" w:sz="8" w:space="0" w:color="auto"/>
            </w:tcBorders>
            <w:shd w:val="clear" w:color="auto" w:fill="auto"/>
            <w:noWrap/>
            <w:vAlign w:val="center"/>
            <w:hideMark/>
          </w:tcPr>
          <w:p w14:paraId="557A26BF" w14:textId="77777777" w:rsidR="001B5AAB" w:rsidRPr="0086453C" w:rsidRDefault="001B5AAB" w:rsidP="00756467">
            <w:pPr>
              <w:spacing w:after="0" w:line="240" w:lineRule="auto"/>
              <w:jc w:val="left"/>
              <w:rPr>
                <w:rFonts w:ascii="Calibri" w:eastAsia="Times New Roman" w:hAnsi="Calibri" w:cs="Calibri"/>
                <w:color w:val="000000"/>
                <w:sz w:val="22"/>
                <w:lang w:eastAsia="es-CR"/>
              </w:rPr>
            </w:pPr>
            <w:r w:rsidRPr="0086453C">
              <w:rPr>
                <w:rFonts w:ascii="Calibri" w:eastAsia="Times New Roman" w:hAnsi="Calibri" w:cs="Calibri"/>
                <w:color w:val="000000"/>
                <w:sz w:val="22"/>
                <w:lang w:eastAsia="es-CR"/>
              </w:rPr>
              <w:t> </w:t>
            </w:r>
          </w:p>
        </w:tc>
        <w:tc>
          <w:tcPr>
            <w:tcW w:w="1904" w:type="dxa"/>
            <w:tcBorders>
              <w:top w:val="nil"/>
              <w:left w:val="nil"/>
              <w:bottom w:val="single" w:sz="8" w:space="0" w:color="auto"/>
              <w:right w:val="single" w:sz="8" w:space="0" w:color="auto"/>
            </w:tcBorders>
            <w:shd w:val="clear" w:color="auto" w:fill="auto"/>
            <w:noWrap/>
            <w:vAlign w:val="center"/>
            <w:hideMark/>
          </w:tcPr>
          <w:p w14:paraId="4A2D6353" w14:textId="6BA8835B" w:rsidR="001B5AAB" w:rsidRPr="0086453C" w:rsidRDefault="001B5AAB" w:rsidP="00756467">
            <w:pPr>
              <w:spacing w:after="0" w:line="240" w:lineRule="auto"/>
              <w:jc w:val="left"/>
              <w:rPr>
                <w:rFonts w:ascii="Calibri" w:eastAsia="Times New Roman" w:hAnsi="Calibri" w:cs="Calibri"/>
                <w:color w:val="000000"/>
                <w:sz w:val="22"/>
                <w:lang w:eastAsia="es-CR"/>
              </w:rPr>
            </w:pPr>
            <w:r w:rsidRPr="0086453C">
              <w:rPr>
                <w:rFonts w:ascii="Calibri" w:eastAsia="Times New Roman" w:hAnsi="Calibri" w:cs="Calibri"/>
                <w:color w:val="000000"/>
                <w:sz w:val="22"/>
                <w:lang w:eastAsia="es-CR"/>
              </w:rPr>
              <w:t> </w:t>
            </w:r>
            <w:r w:rsidR="003336A2" w:rsidRPr="0086453C">
              <w:rPr>
                <w:rFonts w:ascii="Calibri" w:eastAsia="Times New Roman" w:hAnsi="Calibri" w:cs="Calibri"/>
                <w:color w:val="000000"/>
                <w:sz w:val="22"/>
                <w:lang w:eastAsia="es-CR"/>
              </w:rPr>
              <w:t>Desembolso</w:t>
            </w:r>
          </w:p>
        </w:tc>
      </w:tr>
      <w:tr w:rsidR="001B5AAB" w:rsidRPr="00DB1680" w14:paraId="38A596D5" w14:textId="77777777" w:rsidTr="00756467">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50626869" w14:textId="73842790" w:rsidR="001B5AAB" w:rsidRPr="0086453C" w:rsidRDefault="001B5AAB" w:rsidP="00756467">
            <w:pPr>
              <w:spacing w:after="0" w:line="240" w:lineRule="auto"/>
              <w:jc w:val="left"/>
              <w:rPr>
                <w:rFonts w:ascii="Calibri" w:eastAsia="Times New Roman" w:hAnsi="Calibri" w:cs="Calibri"/>
                <w:color w:val="000000"/>
                <w:sz w:val="22"/>
                <w:lang w:eastAsia="es-CR"/>
              </w:rPr>
            </w:pPr>
            <w:r w:rsidRPr="0086453C">
              <w:rPr>
                <w:rFonts w:ascii="Calibri" w:eastAsia="Times New Roman" w:hAnsi="Calibri" w:cs="Calibri"/>
                <w:color w:val="000000"/>
                <w:sz w:val="22"/>
                <w:lang w:eastAsia="es-CR"/>
              </w:rPr>
              <w:lastRenderedPageBreak/>
              <w:t> </w:t>
            </w:r>
            <w:r w:rsidR="00D64CF8" w:rsidRPr="0086453C">
              <w:rPr>
                <w:rFonts w:ascii="Calibri" w:eastAsia="Times New Roman" w:hAnsi="Calibri" w:cs="Calibri"/>
                <w:color w:val="000000"/>
                <w:sz w:val="22"/>
                <w:lang w:eastAsia="es-CR"/>
              </w:rPr>
              <w:t>Diciembre</w:t>
            </w:r>
            <w:r w:rsidRPr="0086453C">
              <w:rPr>
                <w:rFonts w:ascii="Calibri" w:eastAsia="Times New Roman" w:hAnsi="Calibri" w:cs="Calibri"/>
                <w:color w:val="000000"/>
                <w:sz w:val="22"/>
                <w:lang w:eastAsia="es-CR"/>
              </w:rPr>
              <w:t xml:space="preserve"> 2024</w:t>
            </w:r>
          </w:p>
        </w:tc>
        <w:tc>
          <w:tcPr>
            <w:tcW w:w="2162" w:type="dxa"/>
            <w:tcBorders>
              <w:top w:val="nil"/>
              <w:left w:val="nil"/>
              <w:bottom w:val="single" w:sz="8" w:space="0" w:color="auto"/>
              <w:right w:val="single" w:sz="8" w:space="0" w:color="auto"/>
            </w:tcBorders>
            <w:shd w:val="clear" w:color="auto" w:fill="auto"/>
            <w:noWrap/>
            <w:vAlign w:val="center"/>
            <w:hideMark/>
          </w:tcPr>
          <w:p w14:paraId="6A4C6BC5" w14:textId="77777777" w:rsidR="001B5AAB" w:rsidRPr="0086453C" w:rsidRDefault="001B5AAB" w:rsidP="00756467">
            <w:pPr>
              <w:spacing w:after="0" w:line="240" w:lineRule="auto"/>
              <w:jc w:val="left"/>
              <w:rPr>
                <w:rFonts w:ascii="Calibri" w:eastAsia="Times New Roman" w:hAnsi="Calibri" w:cs="Calibri"/>
                <w:color w:val="000000"/>
                <w:sz w:val="22"/>
                <w:lang w:eastAsia="es-CR"/>
              </w:rPr>
            </w:pPr>
            <w:r w:rsidRPr="0086453C">
              <w:rPr>
                <w:rFonts w:ascii="Calibri" w:eastAsia="Times New Roman" w:hAnsi="Calibri" w:cs="Calibri"/>
                <w:color w:val="000000"/>
                <w:sz w:val="22"/>
                <w:lang w:eastAsia="es-CR"/>
              </w:rPr>
              <w:t> </w:t>
            </w:r>
          </w:p>
        </w:tc>
        <w:tc>
          <w:tcPr>
            <w:tcW w:w="1925" w:type="dxa"/>
            <w:tcBorders>
              <w:top w:val="nil"/>
              <w:left w:val="nil"/>
              <w:bottom w:val="single" w:sz="8" w:space="0" w:color="auto"/>
              <w:right w:val="single" w:sz="8" w:space="0" w:color="auto"/>
            </w:tcBorders>
            <w:shd w:val="clear" w:color="auto" w:fill="auto"/>
            <w:noWrap/>
            <w:vAlign w:val="center"/>
            <w:hideMark/>
          </w:tcPr>
          <w:p w14:paraId="10CF466D" w14:textId="17D10FF7" w:rsidR="001B5AAB" w:rsidRPr="0086453C" w:rsidRDefault="001B5AAB" w:rsidP="00756467">
            <w:pPr>
              <w:spacing w:after="0" w:line="240" w:lineRule="auto"/>
              <w:jc w:val="left"/>
              <w:rPr>
                <w:rFonts w:ascii="Calibri" w:eastAsia="Times New Roman" w:hAnsi="Calibri" w:cs="Calibri"/>
                <w:color w:val="000000"/>
                <w:sz w:val="22"/>
                <w:lang w:eastAsia="es-CR"/>
              </w:rPr>
            </w:pPr>
            <w:r w:rsidRPr="0086453C">
              <w:rPr>
                <w:rFonts w:ascii="Calibri" w:eastAsia="Times New Roman" w:hAnsi="Calibri" w:cs="Calibri"/>
                <w:color w:val="000000"/>
                <w:sz w:val="22"/>
                <w:lang w:eastAsia="es-CR"/>
              </w:rPr>
              <w:t> ¢</w:t>
            </w:r>
            <w:r w:rsidR="0086453C" w:rsidRPr="0086453C">
              <w:rPr>
                <w:rFonts w:ascii="Calibri" w:eastAsia="Times New Roman" w:hAnsi="Calibri" w:cs="Calibri"/>
                <w:color w:val="000000"/>
                <w:sz w:val="22"/>
                <w:lang w:eastAsia="es-CR"/>
              </w:rPr>
              <w:t>430 965,36</w:t>
            </w:r>
          </w:p>
        </w:tc>
        <w:tc>
          <w:tcPr>
            <w:tcW w:w="1904" w:type="dxa"/>
            <w:tcBorders>
              <w:top w:val="nil"/>
              <w:left w:val="nil"/>
              <w:bottom w:val="single" w:sz="8" w:space="0" w:color="auto"/>
              <w:right w:val="single" w:sz="8" w:space="0" w:color="auto"/>
            </w:tcBorders>
            <w:shd w:val="clear" w:color="auto" w:fill="auto"/>
            <w:noWrap/>
            <w:vAlign w:val="center"/>
            <w:hideMark/>
          </w:tcPr>
          <w:p w14:paraId="7ACD7F9D" w14:textId="77777777" w:rsidR="001B5AAB" w:rsidRPr="0086453C" w:rsidRDefault="001B5AAB" w:rsidP="00756467">
            <w:pPr>
              <w:spacing w:after="0" w:line="240" w:lineRule="auto"/>
              <w:jc w:val="left"/>
              <w:rPr>
                <w:rFonts w:ascii="Calibri" w:eastAsia="Times New Roman" w:hAnsi="Calibri" w:cs="Calibri"/>
                <w:color w:val="000000"/>
                <w:sz w:val="22"/>
                <w:lang w:eastAsia="es-CR"/>
              </w:rPr>
            </w:pPr>
            <w:r w:rsidRPr="0086453C">
              <w:rPr>
                <w:rFonts w:ascii="Calibri" w:eastAsia="Times New Roman" w:hAnsi="Calibri" w:cs="Calibri"/>
                <w:color w:val="000000"/>
                <w:sz w:val="22"/>
                <w:lang w:eastAsia="es-CR"/>
              </w:rPr>
              <w:t> Amortización</w:t>
            </w:r>
          </w:p>
        </w:tc>
      </w:tr>
      <w:bookmarkEnd w:id="1109"/>
    </w:tbl>
    <w:p w14:paraId="43983954" w14:textId="77777777" w:rsidR="001B5AAB" w:rsidRDefault="001B5AAB" w:rsidP="001B5AAB">
      <w:pPr>
        <w:autoSpaceDE w:val="0"/>
        <w:autoSpaceDN w:val="0"/>
        <w:adjustRightInd w:val="0"/>
        <w:spacing w:after="0"/>
        <w:rPr>
          <w:rFonts w:eastAsia="Calibri" w:cs="Times New Roman"/>
          <w:color w:val="000000"/>
          <w:sz w:val="22"/>
          <w:lang w:val="es-ES" w:eastAsia="es-CR"/>
        </w:rPr>
      </w:pPr>
    </w:p>
    <w:p w14:paraId="4367F10A" w14:textId="5D2E4043" w:rsidR="00692DC8" w:rsidRDefault="00692DC8" w:rsidP="00692DC8">
      <w:pPr>
        <w:autoSpaceDE w:val="0"/>
        <w:autoSpaceDN w:val="0"/>
        <w:adjustRightInd w:val="0"/>
        <w:spacing w:after="0"/>
        <w:rPr>
          <w:rFonts w:eastAsia="Calibri" w:cs="Times New Roman"/>
          <w:color w:val="000000"/>
          <w:sz w:val="22"/>
          <w:lang w:val="es-ES" w:eastAsia="es-CR"/>
        </w:rPr>
      </w:pPr>
    </w:p>
    <w:p w14:paraId="58C23C59" w14:textId="1CA8FB4C" w:rsidR="0027138C" w:rsidRPr="002D1111" w:rsidRDefault="0027138C" w:rsidP="002D1111">
      <w:pPr>
        <w:pStyle w:val="Ttulo2"/>
        <w:jc w:val="center"/>
        <w:rPr>
          <w:rFonts w:eastAsia="Calibri"/>
          <w:b/>
          <w:lang w:val="es-ES" w:eastAsia="es-CR"/>
        </w:rPr>
      </w:pPr>
      <w:bookmarkStart w:id="1110" w:name="_Toc189804946"/>
      <w:bookmarkStart w:id="1111" w:name="_Hlk124019059"/>
      <w:r w:rsidRPr="0027138C">
        <w:rPr>
          <w:rFonts w:eastAsia="Calibri"/>
          <w:b/>
          <w:lang w:val="es-ES" w:eastAsia="es-CR"/>
        </w:rPr>
        <w:t>NOTAS INFORME ESTADO DE SITUACION Y EVOLUCION DE BIENES NO CONCECIONADOS Y CONCESIONADOS</w:t>
      </w:r>
      <w:bookmarkEnd w:id="1110"/>
    </w:p>
    <w:p w14:paraId="608C89FE" w14:textId="77777777" w:rsidR="00DB1680" w:rsidRPr="00DB1680" w:rsidRDefault="00DB1680" w:rsidP="00DB1680">
      <w:pPr>
        <w:pStyle w:val="Ttulo4"/>
        <w:spacing w:after="240"/>
        <w:rPr>
          <w:rFonts w:eastAsia="Calibri"/>
        </w:rPr>
      </w:pPr>
      <w:bookmarkStart w:id="1112" w:name="_Toc189804947"/>
      <w:r w:rsidRPr="00DB1680">
        <w:rPr>
          <w:rFonts w:eastAsia="Calibri"/>
        </w:rPr>
        <w:t>NOTA N°87</w:t>
      </w:r>
      <w:bookmarkEnd w:id="1112"/>
    </w:p>
    <w:p w14:paraId="0B2D6A28" w14:textId="3E1DFAE6" w:rsidR="00DB1680" w:rsidRPr="00305662" w:rsidRDefault="00DB1680" w:rsidP="00305662">
      <w:pPr>
        <w:rPr>
          <w:b/>
          <w:bCs/>
        </w:rPr>
      </w:pPr>
      <w:r w:rsidRPr="00305662">
        <w:rPr>
          <w:b/>
          <w:bCs/>
        </w:rPr>
        <w:t>Evolución de Bienes</w:t>
      </w:r>
    </w:p>
    <w:p w14:paraId="1F2F2904" w14:textId="255A53C8" w:rsidR="00DB1680" w:rsidRDefault="00DB1680" w:rsidP="00DB1680">
      <w:pPr>
        <w:spacing w:before="240"/>
        <w:jc w:val="center"/>
        <w:rPr>
          <w:rFonts w:eastAsia="Calibri" w:cs="Times New Roman"/>
          <w:szCs w:val="24"/>
        </w:rPr>
      </w:pPr>
      <w:r w:rsidRPr="00692DC8">
        <w:rPr>
          <w:rFonts w:eastAsia="Calibri" w:cs="Times New Roman"/>
          <w:noProof/>
          <w:lang w:eastAsia="es-CR"/>
        </w:rPr>
        <w:drawing>
          <wp:inline distT="0" distB="0" distL="0" distR="0" wp14:anchorId="154CEFD5" wp14:editId="43997F7E">
            <wp:extent cx="4183380" cy="21793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83380" cy="2179320"/>
                    </a:xfrm>
                    <a:prstGeom prst="rect">
                      <a:avLst/>
                    </a:prstGeom>
                    <a:noFill/>
                    <a:ln>
                      <a:noFill/>
                    </a:ln>
                  </pic:spPr>
                </pic:pic>
              </a:graphicData>
            </a:graphic>
          </wp:inline>
        </w:drawing>
      </w:r>
    </w:p>
    <w:tbl>
      <w:tblPr>
        <w:tblW w:w="9395" w:type="dxa"/>
        <w:jc w:val="center"/>
        <w:tblCellMar>
          <w:left w:w="70" w:type="dxa"/>
          <w:right w:w="70" w:type="dxa"/>
        </w:tblCellMar>
        <w:tblLook w:val="04A0" w:firstRow="1" w:lastRow="0" w:firstColumn="1" w:lastColumn="0" w:noHBand="0" w:noVBand="1"/>
      </w:tblPr>
      <w:tblGrid>
        <w:gridCol w:w="4580"/>
        <w:gridCol w:w="2083"/>
        <w:gridCol w:w="1842"/>
        <w:gridCol w:w="890"/>
      </w:tblGrid>
      <w:tr w:rsidR="00DB1680" w:rsidRPr="00DB1680" w14:paraId="3B11E03D" w14:textId="77777777" w:rsidTr="00DB1680">
        <w:trPr>
          <w:trHeight w:val="324"/>
          <w:jc w:val="center"/>
        </w:trPr>
        <w:tc>
          <w:tcPr>
            <w:tcW w:w="4580" w:type="dxa"/>
            <w:tcBorders>
              <w:top w:val="single" w:sz="8" w:space="0" w:color="auto"/>
              <w:left w:val="single" w:sz="8" w:space="0" w:color="auto"/>
              <w:bottom w:val="single" w:sz="8" w:space="0" w:color="auto"/>
              <w:right w:val="single" w:sz="8" w:space="0" w:color="auto"/>
            </w:tcBorders>
            <w:shd w:val="clear" w:color="000000" w:fill="365F91"/>
            <w:noWrap/>
            <w:vAlign w:val="bottom"/>
            <w:hideMark/>
          </w:tcPr>
          <w:p w14:paraId="370BF6A2" w14:textId="77777777" w:rsidR="00DB1680" w:rsidRPr="00DB1680" w:rsidRDefault="00DB1680" w:rsidP="00DB1680">
            <w:pPr>
              <w:spacing w:after="0" w:line="240" w:lineRule="auto"/>
              <w:jc w:val="left"/>
              <w:rPr>
                <w:rFonts w:ascii="Calibri" w:eastAsia="Times New Roman" w:hAnsi="Calibri" w:cs="Calibri"/>
                <w:color w:val="000000"/>
                <w:sz w:val="22"/>
                <w:lang w:eastAsia="es-CR"/>
              </w:rPr>
            </w:pPr>
            <w:r w:rsidRPr="00DB1680">
              <w:rPr>
                <w:rFonts w:ascii="Calibri" w:eastAsia="Times New Roman" w:hAnsi="Calibri" w:cs="Calibri"/>
                <w:color w:val="000000"/>
                <w:sz w:val="22"/>
                <w:lang w:eastAsia="es-CR"/>
              </w:rPr>
              <w:t> </w:t>
            </w:r>
          </w:p>
        </w:tc>
        <w:tc>
          <w:tcPr>
            <w:tcW w:w="3925" w:type="dxa"/>
            <w:gridSpan w:val="2"/>
            <w:tcBorders>
              <w:top w:val="single" w:sz="8" w:space="0" w:color="auto"/>
              <w:left w:val="nil"/>
              <w:bottom w:val="single" w:sz="8" w:space="0" w:color="auto"/>
              <w:right w:val="single" w:sz="8" w:space="0" w:color="000000"/>
            </w:tcBorders>
            <w:shd w:val="clear" w:color="000000" w:fill="365F91"/>
            <w:vAlign w:val="center"/>
            <w:hideMark/>
          </w:tcPr>
          <w:p w14:paraId="61017C5E" w14:textId="77777777" w:rsidR="00DB1680" w:rsidRPr="00DB1680" w:rsidRDefault="00DB1680" w:rsidP="00DB1680">
            <w:pPr>
              <w:spacing w:after="0" w:line="240" w:lineRule="auto"/>
              <w:jc w:val="center"/>
              <w:rPr>
                <w:rFonts w:eastAsia="Times New Roman" w:cs="Calibri"/>
                <w:color w:val="FFFFFF"/>
                <w:szCs w:val="24"/>
                <w:lang w:eastAsia="es-CR"/>
              </w:rPr>
            </w:pPr>
            <w:r w:rsidRPr="00DB1680">
              <w:rPr>
                <w:rFonts w:eastAsia="Times New Roman" w:cs="Calibri"/>
                <w:color w:val="FFFFFF"/>
                <w:szCs w:val="24"/>
                <w:lang w:val="es-ES" w:eastAsia="es-CR"/>
              </w:rPr>
              <w:t>SALDOS</w:t>
            </w:r>
          </w:p>
        </w:tc>
        <w:tc>
          <w:tcPr>
            <w:tcW w:w="890" w:type="dxa"/>
            <w:tcBorders>
              <w:top w:val="single" w:sz="8" w:space="0" w:color="auto"/>
              <w:left w:val="nil"/>
              <w:bottom w:val="single" w:sz="8" w:space="0" w:color="auto"/>
              <w:right w:val="single" w:sz="8" w:space="0" w:color="auto"/>
            </w:tcBorders>
            <w:shd w:val="clear" w:color="000000" w:fill="365F91"/>
            <w:vAlign w:val="center"/>
            <w:hideMark/>
          </w:tcPr>
          <w:p w14:paraId="110D01FC" w14:textId="77777777" w:rsidR="00DB1680" w:rsidRPr="00DB1680" w:rsidRDefault="00DB1680" w:rsidP="00DB1680">
            <w:pPr>
              <w:spacing w:after="0" w:line="240" w:lineRule="auto"/>
              <w:rPr>
                <w:rFonts w:eastAsia="Times New Roman" w:cs="Calibri"/>
                <w:color w:val="FFFFFF"/>
                <w:szCs w:val="24"/>
                <w:lang w:eastAsia="es-CR"/>
              </w:rPr>
            </w:pPr>
            <w:r w:rsidRPr="00DB1680">
              <w:rPr>
                <w:rFonts w:eastAsia="Times New Roman" w:cs="Calibri"/>
                <w:color w:val="FFFFFF"/>
                <w:szCs w:val="24"/>
                <w:lang w:val="es-ES" w:eastAsia="es-CR"/>
              </w:rPr>
              <w:t> </w:t>
            </w:r>
          </w:p>
        </w:tc>
      </w:tr>
      <w:tr w:rsidR="00DB1680" w:rsidRPr="00DB1680" w14:paraId="5FC2404F" w14:textId="77777777" w:rsidTr="00DB1680">
        <w:trPr>
          <w:trHeight w:val="324"/>
          <w:jc w:val="center"/>
        </w:trPr>
        <w:tc>
          <w:tcPr>
            <w:tcW w:w="4580" w:type="dxa"/>
            <w:tcBorders>
              <w:top w:val="nil"/>
              <w:left w:val="single" w:sz="8" w:space="0" w:color="auto"/>
              <w:bottom w:val="single" w:sz="8" w:space="0" w:color="auto"/>
              <w:right w:val="single" w:sz="8" w:space="0" w:color="auto"/>
            </w:tcBorders>
            <w:shd w:val="clear" w:color="000000" w:fill="365F91"/>
            <w:noWrap/>
            <w:vAlign w:val="center"/>
            <w:hideMark/>
          </w:tcPr>
          <w:p w14:paraId="37D446C6" w14:textId="77777777" w:rsidR="00DB1680" w:rsidRPr="00DB1680" w:rsidRDefault="00DB1680" w:rsidP="00DB1680">
            <w:pPr>
              <w:spacing w:after="0" w:line="240" w:lineRule="auto"/>
              <w:jc w:val="center"/>
              <w:rPr>
                <w:rFonts w:eastAsia="Times New Roman" w:cs="Calibri"/>
                <w:color w:val="FFFFFF"/>
                <w:szCs w:val="24"/>
                <w:lang w:eastAsia="es-CR"/>
              </w:rPr>
            </w:pPr>
            <w:r w:rsidRPr="00DB1680">
              <w:rPr>
                <w:rFonts w:eastAsia="Times New Roman" w:cs="Calibri"/>
                <w:color w:val="FFFFFF"/>
                <w:szCs w:val="24"/>
                <w:lang w:val="es-ES" w:eastAsia="es-CR"/>
              </w:rPr>
              <w:t>RUBRO</w:t>
            </w:r>
          </w:p>
        </w:tc>
        <w:tc>
          <w:tcPr>
            <w:tcW w:w="2083" w:type="dxa"/>
            <w:tcBorders>
              <w:top w:val="nil"/>
              <w:left w:val="nil"/>
              <w:bottom w:val="single" w:sz="8" w:space="0" w:color="auto"/>
              <w:right w:val="single" w:sz="8" w:space="0" w:color="auto"/>
            </w:tcBorders>
            <w:shd w:val="clear" w:color="000000" w:fill="365F91"/>
            <w:noWrap/>
            <w:vAlign w:val="center"/>
            <w:hideMark/>
          </w:tcPr>
          <w:p w14:paraId="65ABDFC3" w14:textId="77777777" w:rsidR="00DB1680" w:rsidRPr="00DB1680" w:rsidRDefault="00DB1680" w:rsidP="00DB1680">
            <w:pPr>
              <w:spacing w:after="0" w:line="240" w:lineRule="auto"/>
              <w:jc w:val="center"/>
              <w:rPr>
                <w:rFonts w:eastAsia="Times New Roman" w:cs="Calibri"/>
                <w:color w:val="FFFFFF"/>
                <w:szCs w:val="24"/>
                <w:lang w:eastAsia="es-CR"/>
              </w:rPr>
            </w:pPr>
            <w:r w:rsidRPr="00DB1680">
              <w:rPr>
                <w:rFonts w:eastAsia="Times New Roman" w:cs="Calibri"/>
                <w:color w:val="FFFFFF"/>
                <w:szCs w:val="24"/>
                <w:lang w:val="es-ES" w:eastAsia="es-CR"/>
              </w:rPr>
              <w:t>Periodo Actual</w:t>
            </w:r>
          </w:p>
        </w:tc>
        <w:tc>
          <w:tcPr>
            <w:tcW w:w="1842" w:type="dxa"/>
            <w:tcBorders>
              <w:top w:val="nil"/>
              <w:left w:val="nil"/>
              <w:bottom w:val="single" w:sz="8" w:space="0" w:color="auto"/>
              <w:right w:val="single" w:sz="8" w:space="0" w:color="auto"/>
            </w:tcBorders>
            <w:shd w:val="clear" w:color="000000" w:fill="365F91"/>
            <w:noWrap/>
            <w:vAlign w:val="center"/>
            <w:hideMark/>
          </w:tcPr>
          <w:p w14:paraId="0DB420C6" w14:textId="77777777" w:rsidR="00DB1680" w:rsidRPr="00DB1680" w:rsidRDefault="00DB1680" w:rsidP="00DB1680">
            <w:pPr>
              <w:spacing w:after="0" w:line="240" w:lineRule="auto"/>
              <w:jc w:val="center"/>
              <w:rPr>
                <w:rFonts w:eastAsia="Times New Roman" w:cs="Calibri"/>
                <w:color w:val="FFFFFF"/>
                <w:szCs w:val="24"/>
                <w:lang w:eastAsia="es-CR"/>
              </w:rPr>
            </w:pPr>
            <w:r w:rsidRPr="00DB1680">
              <w:rPr>
                <w:rFonts w:eastAsia="Times New Roman" w:cs="Calibri"/>
                <w:color w:val="FFFFFF"/>
                <w:szCs w:val="24"/>
                <w:lang w:val="es-ES" w:eastAsia="es-CR"/>
              </w:rPr>
              <w:t>Periodo Anterior</w:t>
            </w:r>
          </w:p>
        </w:tc>
        <w:tc>
          <w:tcPr>
            <w:tcW w:w="890" w:type="dxa"/>
            <w:tcBorders>
              <w:top w:val="nil"/>
              <w:left w:val="nil"/>
              <w:bottom w:val="single" w:sz="8" w:space="0" w:color="auto"/>
              <w:right w:val="single" w:sz="8" w:space="0" w:color="auto"/>
            </w:tcBorders>
            <w:shd w:val="clear" w:color="000000" w:fill="365F91"/>
            <w:vAlign w:val="center"/>
            <w:hideMark/>
          </w:tcPr>
          <w:p w14:paraId="5259F2BE" w14:textId="77777777" w:rsidR="00DB1680" w:rsidRPr="00DB1680" w:rsidRDefault="00DB1680" w:rsidP="00DB1680">
            <w:pPr>
              <w:spacing w:after="0" w:line="240" w:lineRule="auto"/>
              <w:jc w:val="center"/>
              <w:rPr>
                <w:rFonts w:eastAsia="Times New Roman" w:cs="Calibri"/>
                <w:color w:val="FFFFFF"/>
                <w:szCs w:val="24"/>
                <w:lang w:eastAsia="es-CR"/>
              </w:rPr>
            </w:pPr>
            <w:r w:rsidRPr="00DB1680">
              <w:rPr>
                <w:rFonts w:eastAsia="Times New Roman" w:cs="Calibri"/>
                <w:color w:val="FFFFFF"/>
                <w:szCs w:val="24"/>
                <w:lang w:val="es-ES" w:eastAsia="es-CR"/>
              </w:rPr>
              <w:t>%</w:t>
            </w:r>
          </w:p>
        </w:tc>
      </w:tr>
      <w:tr w:rsidR="00DB1680" w:rsidRPr="00DB1680" w14:paraId="267C5F0B" w14:textId="77777777" w:rsidTr="00DB1680">
        <w:trPr>
          <w:trHeight w:val="324"/>
          <w:jc w:val="center"/>
        </w:trPr>
        <w:tc>
          <w:tcPr>
            <w:tcW w:w="4580" w:type="dxa"/>
            <w:tcBorders>
              <w:top w:val="nil"/>
              <w:left w:val="single" w:sz="8" w:space="0" w:color="auto"/>
              <w:bottom w:val="single" w:sz="8" w:space="0" w:color="auto"/>
              <w:right w:val="single" w:sz="8" w:space="0" w:color="auto"/>
            </w:tcBorders>
            <w:shd w:val="clear" w:color="auto" w:fill="auto"/>
            <w:noWrap/>
            <w:vAlign w:val="center"/>
            <w:hideMark/>
          </w:tcPr>
          <w:p w14:paraId="3A29F602" w14:textId="77777777" w:rsidR="00DB1680" w:rsidRPr="00DB1680" w:rsidRDefault="00DB1680" w:rsidP="00DB1680">
            <w:pPr>
              <w:spacing w:after="0" w:line="240" w:lineRule="auto"/>
              <w:rPr>
                <w:rFonts w:eastAsia="Times New Roman" w:cs="Calibri"/>
                <w:color w:val="000000"/>
                <w:szCs w:val="24"/>
                <w:lang w:eastAsia="es-CR"/>
              </w:rPr>
            </w:pPr>
            <w:r w:rsidRPr="00DB1680">
              <w:rPr>
                <w:rFonts w:eastAsia="Times New Roman" w:cs="Calibri"/>
                <w:color w:val="000000"/>
                <w:szCs w:val="24"/>
                <w:lang w:val="es-ES" w:eastAsia="es-CR"/>
              </w:rPr>
              <w:t>ACTIVOS GENERADORES DE EFECTIVO</w:t>
            </w:r>
          </w:p>
        </w:tc>
        <w:tc>
          <w:tcPr>
            <w:tcW w:w="2083" w:type="dxa"/>
            <w:tcBorders>
              <w:top w:val="nil"/>
              <w:left w:val="nil"/>
              <w:bottom w:val="single" w:sz="8" w:space="0" w:color="auto"/>
              <w:right w:val="single" w:sz="8" w:space="0" w:color="auto"/>
            </w:tcBorders>
            <w:shd w:val="clear" w:color="auto" w:fill="auto"/>
            <w:noWrap/>
            <w:vAlign w:val="center"/>
            <w:hideMark/>
          </w:tcPr>
          <w:p w14:paraId="76CF865C" w14:textId="77777777" w:rsidR="00DB1680" w:rsidRPr="00DB1680" w:rsidRDefault="00DB1680" w:rsidP="00DB1680">
            <w:pPr>
              <w:spacing w:after="0" w:line="240" w:lineRule="auto"/>
              <w:jc w:val="left"/>
              <w:rPr>
                <w:rFonts w:ascii="Calibri" w:eastAsia="Times New Roman" w:hAnsi="Calibri" w:cs="Calibri"/>
                <w:color w:val="000000"/>
                <w:sz w:val="22"/>
                <w:lang w:eastAsia="es-CR"/>
              </w:rPr>
            </w:pPr>
            <w:r w:rsidRPr="00DB1680">
              <w:rPr>
                <w:rFonts w:ascii="Calibri" w:eastAsia="Times New Roman" w:hAnsi="Calibri" w:cs="Calibri"/>
                <w:color w:val="000000"/>
                <w:sz w:val="22"/>
                <w:lang w:eastAsia="es-CR"/>
              </w:rPr>
              <w:t> </w:t>
            </w:r>
          </w:p>
        </w:tc>
        <w:tc>
          <w:tcPr>
            <w:tcW w:w="1842" w:type="dxa"/>
            <w:tcBorders>
              <w:top w:val="nil"/>
              <w:left w:val="nil"/>
              <w:bottom w:val="single" w:sz="8" w:space="0" w:color="auto"/>
              <w:right w:val="single" w:sz="8" w:space="0" w:color="auto"/>
            </w:tcBorders>
            <w:shd w:val="clear" w:color="auto" w:fill="auto"/>
            <w:noWrap/>
            <w:vAlign w:val="center"/>
            <w:hideMark/>
          </w:tcPr>
          <w:p w14:paraId="12627D3F" w14:textId="77777777" w:rsidR="00DB1680" w:rsidRPr="00DB1680" w:rsidRDefault="00DB1680" w:rsidP="00DB1680">
            <w:pPr>
              <w:spacing w:after="0" w:line="240" w:lineRule="auto"/>
              <w:jc w:val="left"/>
              <w:rPr>
                <w:rFonts w:ascii="Calibri" w:eastAsia="Times New Roman" w:hAnsi="Calibri" w:cs="Calibri"/>
                <w:color w:val="000000"/>
                <w:sz w:val="22"/>
                <w:lang w:eastAsia="es-CR"/>
              </w:rPr>
            </w:pPr>
            <w:r w:rsidRPr="00DB1680">
              <w:rPr>
                <w:rFonts w:ascii="Calibri" w:eastAsia="Times New Roman" w:hAnsi="Calibri" w:cs="Calibri"/>
                <w:color w:val="000000"/>
                <w:sz w:val="22"/>
                <w:lang w:eastAsia="es-CR"/>
              </w:rPr>
              <w:t> </w:t>
            </w:r>
          </w:p>
        </w:tc>
        <w:tc>
          <w:tcPr>
            <w:tcW w:w="890" w:type="dxa"/>
            <w:tcBorders>
              <w:top w:val="nil"/>
              <w:left w:val="nil"/>
              <w:bottom w:val="single" w:sz="8" w:space="0" w:color="auto"/>
              <w:right w:val="single" w:sz="8" w:space="0" w:color="auto"/>
            </w:tcBorders>
            <w:shd w:val="clear" w:color="auto" w:fill="auto"/>
            <w:vAlign w:val="center"/>
            <w:hideMark/>
          </w:tcPr>
          <w:p w14:paraId="676B9D3F" w14:textId="77777777" w:rsidR="00DB1680" w:rsidRPr="00DB1680" w:rsidRDefault="00DB1680" w:rsidP="00DB1680">
            <w:pPr>
              <w:spacing w:after="0" w:line="240" w:lineRule="auto"/>
              <w:jc w:val="center"/>
              <w:rPr>
                <w:rFonts w:eastAsia="Times New Roman" w:cs="Calibri"/>
                <w:color w:val="000000"/>
                <w:szCs w:val="24"/>
                <w:lang w:eastAsia="es-CR"/>
              </w:rPr>
            </w:pPr>
            <w:r w:rsidRPr="00DB1680">
              <w:rPr>
                <w:rFonts w:eastAsia="Times New Roman" w:cs="Calibri"/>
                <w:color w:val="000000"/>
                <w:szCs w:val="24"/>
                <w:lang w:val="es-ES" w:eastAsia="es-CR"/>
              </w:rPr>
              <w:t> </w:t>
            </w:r>
          </w:p>
        </w:tc>
      </w:tr>
      <w:tr w:rsidR="00DB1680" w:rsidRPr="00DB1680" w14:paraId="22B266F2" w14:textId="77777777" w:rsidTr="00DB1680">
        <w:trPr>
          <w:trHeight w:val="324"/>
          <w:jc w:val="center"/>
        </w:trPr>
        <w:tc>
          <w:tcPr>
            <w:tcW w:w="4580" w:type="dxa"/>
            <w:tcBorders>
              <w:top w:val="nil"/>
              <w:left w:val="single" w:sz="8" w:space="0" w:color="auto"/>
              <w:bottom w:val="single" w:sz="8" w:space="0" w:color="auto"/>
              <w:right w:val="single" w:sz="8" w:space="0" w:color="auto"/>
            </w:tcBorders>
            <w:shd w:val="clear" w:color="auto" w:fill="auto"/>
            <w:noWrap/>
            <w:vAlign w:val="center"/>
            <w:hideMark/>
          </w:tcPr>
          <w:p w14:paraId="0C56E4B8" w14:textId="77777777" w:rsidR="00DB1680" w:rsidRPr="00DB1680" w:rsidRDefault="00DB1680" w:rsidP="00DB1680">
            <w:pPr>
              <w:spacing w:after="0" w:line="240" w:lineRule="auto"/>
              <w:rPr>
                <w:rFonts w:eastAsia="Times New Roman" w:cs="Calibri"/>
                <w:color w:val="000000"/>
                <w:szCs w:val="24"/>
                <w:lang w:eastAsia="es-CR"/>
              </w:rPr>
            </w:pPr>
            <w:r w:rsidRPr="00DB1680">
              <w:rPr>
                <w:rFonts w:eastAsia="Times New Roman" w:cs="Calibri"/>
                <w:color w:val="000000"/>
                <w:szCs w:val="24"/>
                <w:lang w:val="es-ES" w:eastAsia="es-CR"/>
              </w:rPr>
              <w:t>ACTIVOS NO GENERADORES DE EFECTIVO</w:t>
            </w:r>
          </w:p>
        </w:tc>
        <w:tc>
          <w:tcPr>
            <w:tcW w:w="2083" w:type="dxa"/>
            <w:tcBorders>
              <w:top w:val="nil"/>
              <w:left w:val="nil"/>
              <w:bottom w:val="single" w:sz="8" w:space="0" w:color="auto"/>
              <w:right w:val="single" w:sz="8" w:space="0" w:color="auto"/>
            </w:tcBorders>
            <w:shd w:val="clear" w:color="auto" w:fill="auto"/>
            <w:noWrap/>
            <w:vAlign w:val="center"/>
            <w:hideMark/>
          </w:tcPr>
          <w:p w14:paraId="7C911166" w14:textId="77777777" w:rsidR="00DB1680" w:rsidRPr="00DB1680" w:rsidRDefault="00DB1680" w:rsidP="00DB1680">
            <w:pPr>
              <w:spacing w:after="0" w:line="240" w:lineRule="auto"/>
              <w:jc w:val="center"/>
              <w:rPr>
                <w:rFonts w:eastAsia="Times New Roman" w:cs="Calibri"/>
                <w:color w:val="000000"/>
                <w:szCs w:val="24"/>
                <w:lang w:eastAsia="es-CR"/>
              </w:rPr>
            </w:pPr>
            <w:r w:rsidRPr="00DB1680">
              <w:rPr>
                <w:rFonts w:eastAsia="Times New Roman" w:cs="Calibri"/>
                <w:color w:val="000000"/>
                <w:szCs w:val="24"/>
                <w:lang w:val="es-ES" w:eastAsia="es-CR"/>
              </w:rPr>
              <w:t> </w:t>
            </w:r>
          </w:p>
        </w:tc>
        <w:tc>
          <w:tcPr>
            <w:tcW w:w="1842" w:type="dxa"/>
            <w:tcBorders>
              <w:top w:val="nil"/>
              <w:left w:val="nil"/>
              <w:bottom w:val="single" w:sz="8" w:space="0" w:color="auto"/>
              <w:right w:val="single" w:sz="8" w:space="0" w:color="auto"/>
            </w:tcBorders>
            <w:shd w:val="clear" w:color="auto" w:fill="auto"/>
            <w:noWrap/>
            <w:vAlign w:val="center"/>
            <w:hideMark/>
          </w:tcPr>
          <w:p w14:paraId="64557CD9" w14:textId="77777777" w:rsidR="00DB1680" w:rsidRPr="00DB1680" w:rsidRDefault="00DB1680" w:rsidP="00DB1680">
            <w:pPr>
              <w:spacing w:after="0" w:line="240" w:lineRule="auto"/>
              <w:jc w:val="center"/>
              <w:rPr>
                <w:rFonts w:eastAsia="Times New Roman" w:cs="Calibri"/>
                <w:color w:val="000000"/>
                <w:szCs w:val="24"/>
                <w:lang w:eastAsia="es-CR"/>
              </w:rPr>
            </w:pPr>
            <w:r w:rsidRPr="00DB1680">
              <w:rPr>
                <w:rFonts w:eastAsia="Times New Roman" w:cs="Calibri"/>
                <w:color w:val="000000"/>
                <w:szCs w:val="24"/>
                <w:lang w:val="es-ES" w:eastAsia="es-CR"/>
              </w:rPr>
              <w:t> </w:t>
            </w:r>
          </w:p>
        </w:tc>
        <w:tc>
          <w:tcPr>
            <w:tcW w:w="890" w:type="dxa"/>
            <w:tcBorders>
              <w:top w:val="nil"/>
              <w:left w:val="nil"/>
              <w:bottom w:val="single" w:sz="8" w:space="0" w:color="auto"/>
              <w:right w:val="single" w:sz="8" w:space="0" w:color="auto"/>
            </w:tcBorders>
            <w:shd w:val="clear" w:color="auto" w:fill="auto"/>
            <w:vAlign w:val="center"/>
            <w:hideMark/>
          </w:tcPr>
          <w:p w14:paraId="3EA38858" w14:textId="77777777" w:rsidR="00DB1680" w:rsidRPr="00DB1680" w:rsidRDefault="00DB1680" w:rsidP="00DB1680">
            <w:pPr>
              <w:spacing w:after="0" w:line="240" w:lineRule="auto"/>
              <w:jc w:val="center"/>
              <w:rPr>
                <w:rFonts w:eastAsia="Times New Roman" w:cs="Calibri"/>
                <w:color w:val="000000"/>
                <w:szCs w:val="24"/>
                <w:lang w:eastAsia="es-CR"/>
              </w:rPr>
            </w:pPr>
            <w:r w:rsidRPr="00DB1680">
              <w:rPr>
                <w:rFonts w:eastAsia="Times New Roman" w:cs="Calibri"/>
                <w:color w:val="000000"/>
                <w:szCs w:val="24"/>
                <w:lang w:val="es-ES" w:eastAsia="es-CR"/>
              </w:rPr>
              <w:t> </w:t>
            </w:r>
          </w:p>
        </w:tc>
      </w:tr>
    </w:tbl>
    <w:p w14:paraId="787A27F5" w14:textId="43C19B4C" w:rsidR="0027138C" w:rsidRDefault="00692DC8" w:rsidP="0027138C">
      <w:pPr>
        <w:spacing w:before="240"/>
        <w:rPr>
          <w:rFonts w:eastAsia="Calibri" w:cs="Times New Roman"/>
          <w:szCs w:val="24"/>
        </w:rPr>
      </w:pPr>
      <w:r w:rsidRPr="00692DC8">
        <w:rPr>
          <w:rFonts w:eastAsia="Calibri" w:cs="Times New Roman"/>
          <w:szCs w:val="24"/>
        </w:rPr>
        <w:t xml:space="preserve">Los Activos Generadores de Efectivo, comparado al periodo anterior genera un </w:t>
      </w:r>
      <w:r w:rsidRPr="00692DC8">
        <w:rPr>
          <w:rFonts w:eastAsia="Calibri" w:cs="Times New Roman"/>
        </w:rPr>
        <w:t>(</w:t>
      </w:r>
      <w:r w:rsidRPr="00692DC8">
        <w:rPr>
          <w:rFonts w:eastAsia="Calibri" w:cs="Times New Roman"/>
          <w:highlight w:val="lightGray"/>
        </w:rPr>
        <w:t>indicar el aumento o disminución)</w:t>
      </w:r>
      <w:r w:rsidRPr="00692DC8">
        <w:rPr>
          <w:rFonts w:eastAsia="Calibri" w:cs="Times New Roman"/>
        </w:rPr>
        <w:t xml:space="preserve"> </w:t>
      </w:r>
      <w:r w:rsidRPr="00692DC8">
        <w:rPr>
          <w:rFonts w:eastAsia="Calibri" w:cs="Times New Roman"/>
          <w:szCs w:val="24"/>
        </w:rPr>
        <w:t xml:space="preserve">del </w:t>
      </w:r>
      <w:r w:rsidRPr="00692DC8">
        <w:rPr>
          <w:rFonts w:eastAsia="Calibri" w:cs="Times New Roman"/>
        </w:rPr>
        <w:t>(</w:t>
      </w:r>
      <w:r w:rsidRPr="00692DC8">
        <w:rPr>
          <w:rFonts w:eastAsia="Calibri" w:cs="Times New Roman"/>
          <w:highlight w:val="lightGray"/>
        </w:rPr>
        <w:t>indicar % variación relativa)</w:t>
      </w:r>
      <w:r w:rsidRPr="00692DC8">
        <w:rPr>
          <w:rFonts w:eastAsia="Calibri" w:cs="Times New Roman"/>
          <w:szCs w:val="24"/>
        </w:rPr>
        <w:t xml:space="preserve"> % de recursos disponibles, producto de </w:t>
      </w:r>
      <w:r w:rsidRPr="00692DC8">
        <w:rPr>
          <w:rFonts w:eastAsia="Calibri" w:cs="Times New Roman"/>
        </w:rPr>
        <w:t>(</w:t>
      </w:r>
      <w:r w:rsidRPr="00692DC8">
        <w:rPr>
          <w:rFonts w:eastAsia="Calibri" w:cs="Times New Roman"/>
          <w:highlight w:val="lightGray"/>
        </w:rPr>
        <w:t>Indicar la razón de las variaciones de un periodo a otro)</w:t>
      </w:r>
      <w:r w:rsidRPr="00692DC8">
        <w:rPr>
          <w:rFonts w:eastAsia="Calibri" w:cs="Times New Roman"/>
          <w:szCs w:val="24"/>
        </w:rPr>
        <w:t>.</w:t>
      </w:r>
    </w:p>
    <w:p w14:paraId="756F955D" w14:textId="77777777" w:rsidR="00DB1680" w:rsidRPr="0027138C" w:rsidRDefault="00DB1680" w:rsidP="0027138C">
      <w:pPr>
        <w:spacing w:before="240"/>
        <w:rPr>
          <w:rFonts w:eastAsia="Calibri" w:cs="Times New Roman"/>
          <w:szCs w:val="24"/>
        </w:rPr>
      </w:pPr>
    </w:p>
    <w:p w14:paraId="63CD8166" w14:textId="3AC42595" w:rsidR="00854795" w:rsidRPr="003336A2" w:rsidRDefault="00692DC8" w:rsidP="0027138C">
      <w:pPr>
        <w:rPr>
          <w:rFonts w:eastAsia="Calibri" w:cs="Times New Roman"/>
          <w:szCs w:val="24"/>
        </w:rPr>
      </w:pPr>
      <w:r w:rsidRPr="00692DC8">
        <w:rPr>
          <w:rFonts w:eastAsia="Calibri" w:cs="Times New Roman"/>
          <w:szCs w:val="24"/>
        </w:rPr>
        <w:t xml:space="preserve">Los Activos No Generadores de Efectivo, comparado al periodo anterior genera una variación absoluta de </w:t>
      </w:r>
      <w:r w:rsidRPr="00692DC8">
        <w:rPr>
          <w:rFonts w:eastAsia="Calibri" w:cs="Times New Roman"/>
        </w:rPr>
        <w:t>(</w:t>
      </w:r>
      <w:r w:rsidRPr="00692DC8">
        <w:rPr>
          <w:rFonts w:eastAsia="Calibri" w:cs="Times New Roman"/>
          <w:highlight w:val="lightGray"/>
        </w:rPr>
        <w:t>indicar monto de la variación</w:t>
      </w:r>
      <w:r w:rsidRPr="00692DC8">
        <w:rPr>
          <w:rFonts w:eastAsia="Calibri" w:cs="Times New Roman"/>
        </w:rPr>
        <w:t xml:space="preserve">) </w:t>
      </w:r>
      <w:r w:rsidRPr="00692DC8">
        <w:rPr>
          <w:rFonts w:eastAsia="Calibri" w:cs="Times New Roman"/>
          <w:szCs w:val="24"/>
        </w:rPr>
        <w:t xml:space="preserve">que corresponde a un </w:t>
      </w:r>
      <w:r w:rsidRPr="00692DC8">
        <w:rPr>
          <w:rFonts w:eastAsia="Calibri" w:cs="Times New Roman"/>
        </w:rPr>
        <w:t>(</w:t>
      </w:r>
      <w:r w:rsidRPr="00692DC8">
        <w:rPr>
          <w:rFonts w:eastAsia="Calibri" w:cs="Times New Roman"/>
          <w:highlight w:val="lightGray"/>
        </w:rPr>
        <w:t>indicar el aumento o disminución)</w:t>
      </w:r>
      <w:r w:rsidRPr="00692DC8">
        <w:rPr>
          <w:rFonts w:eastAsia="Calibri" w:cs="Times New Roman"/>
        </w:rPr>
        <w:t xml:space="preserve"> </w:t>
      </w:r>
      <w:r w:rsidRPr="00692DC8">
        <w:rPr>
          <w:rFonts w:eastAsia="Calibri" w:cs="Times New Roman"/>
          <w:szCs w:val="24"/>
        </w:rPr>
        <w:t xml:space="preserve">del </w:t>
      </w:r>
      <w:r w:rsidRPr="00692DC8">
        <w:rPr>
          <w:rFonts w:eastAsia="Calibri" w:cs="Times New Roman"/>
        </w:rPr>
        <w:t>(</w:t>
      </w:r>
      <w:r w:rsidRPr="00692DC8">
        <w:rPr>
          <w:rFonts w:eastAsia="Calibri" w:cs="Times New Roman"/>
          <w:highlight w:val="lightGray"/>
        </w:rPr>
        <w:t>indicar % variación relativa)</w:t>
      </w:r>
      <w:r w:rsidRPr="00692DC8">
        <w:rPr>
          <w:rFonts w:eastAsia="Calibri" w:cs="Times New Roman"/>
          <w:szCs w:val="24"/>
        </w:rPr>
        <w:t xml:space="preserve"> % de recursos disponibles, producto de </w:t>
      </w:r>
      <w:r w:rsidRPr="00692DC8">
        <w:rPr>
          <w:rFonts w:eastAsia="Calibri" w:cs="Times New Roman"/>
        </w:rPr>
        <w:t>(</w:t>
      </w:r>
      <w:r w:rsidRPr="00692DC8">
        <w:rPr>
          <w:rFonts w:eastAsia="Calibri" w:cs="Times New Roman"/>
          <w:highlight w:val="lightGray"/>
        </w:rPr>
        <w:t>Indicar la razón de las variaciones de un periodo a otro)</w:t>
      </w:r>
      <w:r w:rsidRPr="00692DC8">
        <w:rPr>
          <w:rFonts w:eastAsia="Calibri" w:cs="Times New Roman"/>
          <w:szCs w:val="24"/>
        </w:rPr>
        <w:t>.</w:t>
      </w:r>
      <w:bookmarkEnd w:id="1111"/>
    </w:p>
    <w:p w14:paraId="316510CC" w14:textId="65A93553" w:rsidR="00692DC8" w:rsidRDefault="00692DC8" w:rsidP="002D1111">
      <w:pPr>
        <w:pStyle w:val="Ttulo2"/>
        <w:jc w:val="center"/>
        <w:rPr>
          <w:rFonts w:eastAsia="Times New Roman"/>
          <w:b/>
        </w:rPr>
      </w:pPr>
      <w:bookmarkStart w:id="1113" w:name="_Toc82769103"/>
      <w:bookmarkStart w:id="1114" w:name="_Toc189804948"/>
      <w:r w:rsidRPr="0027138C">
        <w:rPr>
          <w:rFonts w:eastAsia="Times New Roman"/>
          <w:b/>
        </w:rPr>
        <w:lastRenderedPageBreak/>
        <w:t>NOTAS INFORME ESTADO POR SEGMENTOS</w:t>
      </w:r>
      <w:bookmarkEnd w:id="1113"/>
      <w:bookmarkEnd w:id="1114"/>
    </w:p>
    <w:p w14:paraId="276F934F" w14:textId="77777777" w:rsidR="002D1111" w:rsidRPr="002D1111" w:rsidRDefault="002D1111" w:rsidP="002D1111"/>
    <w:p w14:paraId="3F002219" w14:textId="229B4C32" w:rsidR="00692DC8" w:rsidRPr="002D1111" w:rsidRDefault="00692DC8" w:rsidP="002D1111">
      <w:pPr>
        <w:rPr>
          <w:rFonts w:eastAsia="Calibri" w:cs="Arial"/>
          <w:color w:val="000000"/>
        </w:rPr>
      </w:pPr>
      <w:r w:rsidRPr="00692DC8">
        <w:rPr>
          <w:lang w:eastAsia="es-ES"/>
        </w:rPr>
        <w:t>La información financiera por segmentos en Costa Rica se presentará con la clasificación de funciones establecida en el Clasificador Funcional del Gasto para el Sector Público Costarricense</w:t>
      </w:r>
      <w:r w:rsidRPr="00692DC8">
        <w:rPr>
          <w:rFonts w:eastAsia="Calibri" w:cs="Arial"/>
          <w:color w:val="000000"/>
        </w:rPr>
        <w:t>.</w:t>
      </w:r>
    </w:p>
    <w:p w14:paraId="563B2B0D" w14:textId="25622912" w:rsidR="00692DC8" w:rsidRPr="002D1111" w:rsidRDefault="00692DC8" w:rsidP="002D1111">
      <w:pPr>
        <w:autoSpaceDE w:val="0"/>
        <w:autoSpaceDN w:val="0"/>
        <w:adjustRightInd w:val="0"/>
        <w:spacing w:after="0"/>
        <w:jc w:val="center"/>
        <w:rPr>
          <w:rFonts w:eastAsia="Times New Roman" w:cs="Times New Roman"/>
          <w:bCs/>
          <w:color w:val="000000"/>
          <w:sz w:val="22"/>
          <w:lang w:val="es-MX" w:eastAsia="es-ES"/>
        </w:rPr>
      </w:pPr>
      <w:r w:rsidRPr="00692DC8">
        <w:rPr>
          <w:rFonts w:ascii="Times New Roman" w:eastAsia="Calibri" w:hAnsi="Times New Roman" w:cs="Times New Roman"/>
          <w:noProof/>
          <w:color w:val="000000"/>
          <w:szCs w:val="24"/>
          <w:lang w:eastAsia="es-CR"/>
        </w:rPr>
        <w:drawing>
          <wp:inline distT="0" distB="0" distL="0" distR="0" wp14:anchorId="06F11856" wp14:editId="6A3F3EC2">
            <wp:extent cx="4175760" cy="1859280"/>
            <wp:effectExtent l="0" t="0" r="0" b="0"/>
            <wp:docPr id="5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175760" cy="1859280"/>
                    </a:xfrm>
                    <a:prstGeom prst="rect">
                      <a:avLst/>
                    </a:prstGeom>
                    <a:noFill/>
                    <a:ln>
                      <a:noFill/>
                    </a:ln>
                  </pic:spPr>
                </pic:pic>
              </a:graphicData>
            </a:graphic>
          </wp:inline>
        </w:drawing>
      </w:r>
    </w:p>
    <w:p w14:paraId="36EF6E0A" w14:textId="77777777" w:rsidR="00692DC8" w:rsidRPr="00692DC8" w:rsidRDefault="00692DC8" w:rsidP="002D1111">
      <w:pPr>
        <w:rPr>
          <w:lang w:val="es-ES" w:eastAsia="es-CR"/>
        </w:rPr>
      </w:pPr>
      <w:r w:rsidRPr="00692DC8">
        <w:rPr>
          <w:b/>
          <w:lang w:val="es-ES" w:eastAsia="es-CR"/>
        </w:rPr>
        <w:t>Revelación</w:t>
      </w:r>
      <w:r w:rsidRPr="00692DC8">
        <w:rPr>
          <w:lang w:val="es-ES" w:eastAsia="es-CR"/>
        </w:rPr>
        <w:t xml:space="preserve">: </w:t>
      </w:r>
    </w:p>
    <w:p w14:paraId="1A5D37B9" w14:textId="77777777" w:rsidR="00692DC8" w:rsidRPr="00692DC8" w:rsidRDefault="00692DC8" w:rsidP="002D1111">
      <w:pPr>
        <w:rPr>
          <w:rFonts w:eastAsia="Calibri"/>
        </w:rPr>
      </w:pPr>
      <w:r w:rsidRPr="00692DC8">
        <w:rPr>
          <w:rFonts w:eastAsia="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52F6FA1" w14:textId="77777777" w:rsidR="00692DC8" w:rsidRPr="00692DC8" w:rsidRDefault="00692DC8" w:rsidP="002D1111">
      <w:pPr>
        <w:rPr>
          <w:lang w:val="es-MX" w:eastAsia="es-ES"/>
        </w:rPr>
      </w:pPr>
    </w:p>
    <w:p w14:paraId="07DA288B" w14:textId="3AC6F0B5" w:rsidR="00692DC8" w:rsidRDefault="00692DC8" w:rsidP="002D1111">
      <w:pPr>
        <w:rPr>
          <w:lang w:val="es-MX" w:eastAsia="es-ES"/>
        </w:rPr>
      </w:pPr>
    </w:p>
    <w:p w14:paraId="7D0D21B9" w14:textId="77777777" w:rsidR="002D1111" w:rsidRDefault="002D1111" w:rsidP="002D1111">
      <w:pPr>
        <w:rPr>
          <w:lang w:val="es-MX" w:eastAsia="es-ES"/>
        </w:rPr>
      </w:pPr>
    </w:p>
    <w:p w14:paraId="5F11D439" w14:textId="77777777" w:rsidR="00305662" w:rsidRDefault="00305662" w:rsidP="002D1111">
      <w:pPr>
        <w:rPr>
          <w:lang w:val="es-MX" w:eastAsia="es-ES"/>
        </w:rPr>
      </w:pPr>
    </w:p>
    <w:p w14:paraId="1CF449FC" w14:textId="77777777" w:rsidR="00305662" w:rsidRDefault="00305662" w:rsidP="002D1111">
      <w:pPr>
        <w:rPr>
          <w:lang w:val="es-MX" w:eastAsia="es-ES"/>
        </w:rPr>
      </w:pPr>
    </w:p>
    <w:p w14:paraId="0A76B90C" w14:textId="77777777" w:rsidR="00305662" w:rsidRDefault="00305662" w:rsidP="002D1111">
      <w:pPr>
        <w:rPr>
          <w:lang w:val="es-MX" w:eastAsia="es-ES"/>
        </w:rPr>
      </w:pPr>
    </w:p>
    <w:p w14:paraId="7D928AD4" w14:textId="77777777" w:rsidR="00305662" w:rsidRPr="00692DC8" w:rsidRDefault="00305662" w:rsidP="002D1111">
      <w:pPr>
        <w:rPr>
          <w:lang w:val="es-MX" w:eastAsia="es-ES"/>
        </w:rPr>
      </w:pPr>
    </w:p>
    <w:p w14:paraId="55AD7EB6" w14:textId="551E1476" w:rsidR="00224CE2" w:rsidRDefault="00224CE2" w:rsidP="00AB6161"/>
    <w:p w14:paraId="12165A7C" w14:textId="77777777" w:rsidR="001B5AAB" w:rsidRDefault="001B5AAB" w:rsidP="00AB6161"/>
    <w:p w14:paraId="49A2A4ED" w14:textId="77777777" w:rsidR="00224CE2" w:rsidRDefault="00224CE2" w:rsidP="00AB6161"/>
    <w:p w14:paraId="00E04C10" w14:textId="73931273" w:rsidR="00320ED0" w:rsidRPr="00BC7C5B" w:rsidRDefault="00320ED0" w:rsidP="00320ED0">
      <w:pPr>
        <w:pStyle w:val="Ttulo1"/>
        <w:rPr>
          <w:rFonts w:eastAsia="Times New Roman"/>
          <w:lang w:val="es-ES" w:eastAsia="es-ES"/>
        </w:rPr>
      </w:pPr>
      <w:bookmarkStart w:id="1115" w:name="_Toc189804949"/>
      <w:r w:rsidRPr="00BC7C5B">
        <w:rPr>
          <w:rFonts w:eastAsia="Times New Roman"/>
          <w:lang w:val="es-ES" w:eastAsia="es-ES"/>
        </w:rPr>
        <w:lastRenderedPageBreak/>
        <w:t xml:space="preserve">NOTAS </w:t>
      </w:r>
      <w:r w:rsidR="00A35777">
        <w:rPr>
          <w:rFonts w:eastAsia="Times New Roman"/>
          <w:lang w:val="es-ES" w:eastAsia="es-ES"/>
        </w:rPr>
        <w:t xml:space="preserve">CONTABLES </w:t>
      </w:r>
      <w:r w:rsidRPr="00BC7C5B">
        <w:rPr>
          <w:rFonts w:eastAsia="Times New Roman"/>
          <w:lang w:val="es-ES" w:eastAsia="es-ES"/>
        </w:rPr>
        <w:t>PARTICULARES</w:t>
      </w:r>
      <w:bookmarkEnd w:id="1115"/>
    </w:p>
    <w:p w14:paraId="5E7D85A5" w14:textId="77777777" w:rsidR="00A35777" w:rsidRDefault="00A35777" w:rsidP="00320ED0"/>
    <w:p w14:paraId="2BAF5078" w14:textId="271EAA71" w:rsidR="00320ED0" w:rsidRPr="004A3A42" w:rsidRDefault="00320ED0" w:rsidP="00320ED0">
      <w:pPr>
        <w:rPr>
          <w:rFonts w:cs="Arial"/>
          <w:b/>
          <w:bCs/>
        </w:rPr>
      </w:pPr>
      <w:r w:rsidRPr="00BC7C5B">
        <w:t xml:space="preserve">Para efectos de revelación, la entidad utilizara este espacio para referirse a señalar políticas particulares, transacciones y otros eventos que considere necesario para el complemento de la información contable al cierre </w:t>
      </w:r>
      <w:r>
        <w:t>del</w:t>
      </w:r>
      <w:r w:rsidRPr="00BC7C5B">
        <w:t xml:space="preserve"> periodo</w:t>
      </w:r>
      <w:r w:rsidR="00A35777">
        <w:rPr>
          <w:rFonts w:cs="Arial"/>
        </w:rPr>
        <w:t>.</w:t>
      </w:r>
    </w:p>
    <w:p w14:paraId="0896AEA3" w14:textId="77777777" w:rsidR="00A35777" w:rsidRDefault="00A35777" w:rsidP="00320ED0">
      <w:pPr>
        <w:rPr>
          <w:lang w:val="es-ES"/>
        </w:rPr>
      </w:pPr>
    </w:p>
    <w:p w14:paraId="040CA7F9" w14:textId="5DDED6EC" w:rsidR="00A35777" w:rsidRPr="00A35777" w:rsidRDefault="00A35777" w:rsidP="00A35777">
      <w:pPr>
        <w:pStyle w:val="Ttulo2"/>
        <w:jc w:val="center"/>
        <w:rPr>
          <w:rFonts w:eastAsia="Times New Roman"/>
          <w:b/>
          <w:bCs/>
          <w:u w:val="single"/>
          <w:lang w:val="es-ES" w:eastAsia="es-ES"/>
        </w:rPr>
      </w:pPr>
      <w:bookmarkStart w:id="1116" w:name="_Toc189804950"/>
      <w:r w:rsidRPr="00A35777">
        <w:rPr>
          <w:rFonts w:eastAsia="Times New Roman"/>
          <w:b/>
          <w:bCs/>
          <w:u w:val="single"/>
          <w:lang w:val="es-ES" w:eastAsia="es-ES"/>
        </w:rPr>
        <w:t>Entrega de Información</w:t>
      </w:r>
      <w:bookmarkEnd w:id="1116"/>
    </w:p>
    <w:p w14:paraId="47CFA57E" w14:textId="77777777" w:rsidR="00A35777" w:rsidRPr="00BC7C5B" w:rsidRDefault="00A35777" w:rsidP="00320ED0">
      <w:pPr>
        <w:rPr>
          <w:lang w:val="es-ES"/>
        </w:rPr>
      </w:pPr>
    </w:p>
    <w:p w14:paraId="146A6CE7" w14:textId="7B4845C1" w:rsidR="001B5AAB" w:rsidRDefault="001B5AAB" w:rsidP="001B5AAB">
      <w:r>
        <w:rPr>
          <w:lang w:val="es-ES"/>
        </w:rPr>
        <w:t xml:space="preserve">Nosotros, </w:t>
      </w:r>
      <w:r>
        <w:t xml:space="preserve">Ana Margoth Mora Navarro </w:t>
      </w:r>
      <w:r>
        <w:rPr>
          <w:lang w:val="es-ES"/>
        </w:rPr>
        <w:t xml:space="preserve">CÉDULA </w:t>
      </w:r>
      <w:r>
        <w:t>1-0820-0849</w:t>
      </w:r>
      <w:r>
        <w:rPr>
          <w:lang w:val="es-ES"/>
        </w:rPr>
        <w:t xml:space="preserve">, </w:t>
      </w:r>
      <w:r>
        <w:t>Representante Legal y Alcalde</w:t>
      </w:r>
      <w:r w:rsidR="00854795">
        <w:t>sa</w:t>
      </w:r>
      <w:r>
        <w:t xml:space="preserve"> de la Municipalidad de Buenos Aires</w:t>
      </w:r>
      <w:r>
        <w:rPr>
          <w:lang w:val="es-ES"/>
        </w:rPr>
        <w:t xml:space="preserve">, </w:t>
      </w:r>
      <w:r>
        <w:t xml:space="preserve">Gerardo Cordero Arguedas Contador Municipal CÉDULA 6-0253-0912, </w:t>
      </w:r>
      <w:r>
        <w:rPr>
          <w:lang w:val="es-ES"/>
        </w:rPr>
        <w:t xml:space="preserve">en condición de encargados y custodios de la información contable de esta institución, damos fe de que </w:t>
      </w:r>
      <w:r>
        <w:t>la preparación y presentación de los estados financieros, es o constancias e informes que se realizaron bajo los lineamientos, políticas y reglamentos establecidos por el ente regulador.</w:t>
      </w:r>
    </w:p>
    <w:p w14:paraId="2683950C" w14:textId="77777777" w:rsidR="00320ED0" w:rsidRDefault="00320ED0" w:rsidP="00320ED0">
      <w:pPr>
        <w:pStyle w:val="Default"/>
        <w:spacing w:line="360" w:lineRule="auto"/>
        <w:jc w:val="both"/>
        <w:rPr>
          <w:rFonts w:ascii="Arial Narrow" w:hAnsi="Arial Narrow"/>
        </w:rPr>
      </w:pPr>
    </w:p>
    <w:p w14:paraId="519DFA1B" w14:textId="77777777" w:rsidR="00854795" w:rsidRDefault="00854795" w:rsidP="00320ED0">
      <w:pPr>
        <w:pStyle w:val="Default"/>
        <w:spacing w:line="360" w:lineRule="auto"/>
        <w:jc w:val="both"/>
        <w:rPr>
          <w:rFonts w:ascii="Arial Narrow" w:hAnsi="Arial Narrow"/>
        </w:rPr>
      </w:pPr>
    </w:p>
    <w:p w14:paraId="31073447" w14:textId="77777777" w:rsidR="00854795" w:rsidRDefault="00854795" w:rsidP="00320ED0">
      <w:pPr>
        <w:pStyle w:val="Default"/>
        <w:spacing w:line="360" w:lineRule="auto"/>
        <w:jc w:val="both"/>
        <w:rPr>
          <w:rFonts w:ascii="Arial Narrow" w:hAnsi="Arial Narrow"/>
        </w:rPr>
      </w:pPr>
    </w:p>
    <w:p w14:paraId="083C5893" w14:textId="77777777" w:rsidR="00854795" w:rsidRPr="00BC7C5B" w:rsidRDefault="00854795" w:rsidP="00320ED0">
      <w:pPr>
        <w:pStyle w:val="Default"/>
        <w:spacing w:line="360" w:lineRule="auto"/>
        <w:jc w:val="both"/>
        <w:rPr>
          <w:rFonts w:ascii="Arial Narrow" w:hAnsi="Arial Narrow"/>
        </w:rPr>
      </w:pPr>
    </w:p>
    <w:tbl>
      <w:tblPr>
        <w:tblW w:w="0" w:type="auto"/>
        <w:tblLook w:val="04A0" w:firstRow="1" w:lastRow="0" w:firstColumn="1" w:lastColumn="0" w:noHBand="0" w:noVBand="1"/>
      </w:tblPr>
      <w:tblGrid>
        <w:gridCol w:w="2406"/>
        <w:gridCol w:w="2306"/>
        <w:gridCol w:w="1911"/>
        <w:gridCol w:w="2215"/>
      </w:tblGrid>
      <w:tr w:rsidR="005B4E0E" w:rsidRPr="00BC7C5B" w14:paraId="5EF95BF2" w14:textId="77777777" w:rsidTr="005B4E0E">
        <w:tc>
          <w:tcPr>
            <w:tcW w:w="2406" w:type="dxa"/>
            <w:tcBorders>
              <w:top w:val="nil"/>
              <w:left w:val="nil"/>
              <w:bottom w:val="single" w:sz="4" w:space="0" w:color="auto"/>
              <w:right w:val="nil"/>
            </w:tcBorders>
          </w:tcPr>
          <w:p w14:paraId="20F9A555" w14:textId="77777777" w:rsidR="005B4E0E" w:rsidRPr="00BC7C5B" w:rsidRDefault="005B4E0E" w:rsidP="006C575E">
            <w:pPr>
              <w:rPr>
                <w:lang w:val="es-ES"/>
              </w:rPr>
            </w:pPr>
          </w:p>
        </w:tc>
        <w:tc>
          <w:tcPr>
            <w:tcW w:w="2306" w:type="dxa"/>
            <w:tcBorders>
              <w:top w:val="nil"/>
              <w:left w:val="nil"/>
              <w:bottom w:val="single" w:sz="4" w:space="0" w:color="auto"/>
              <w:right w:val="nil"/>
            </w:tcBorders>
          </w:tcPr>
          <w:p w14:paraId="24487BA8" w14:textId="77777777" w:rsidR="005B4E0E" w:rsidRPr="00BC7C5B" w:rsidRDefault="005B4E0E" w:rsidP="006C575E">
            <w:pPr>
              <w:rPr>
                <w:lang w:val="es-ES"/>
              </w:rPr>
            </w:pPr>
          </w:p>
        </w:tc>
        <w:tc>
          <w:tcPr>
            <w:tcW w:w="1911" w:type="dxa"/>
            <w:tcBorders>
              <w:top w:val="nil"/>
              <w:left w:val="nil"/>
              <w:bottom w:val="single" w:sz="4" w:space="0" w:color="auto"/>
              <w:right w:val="nil"/>
            </w:tcBorders>
          </w:tcPr>
          <w:p w14:paraId="536BD419" w14:textId="77777777" w:rsidR="005B4E0E" w:rsidRPr="00BC7C5B" w:rsidRDefault="005B4E0E" w:rsidP="006C575E">
            <w:pPr>
              <w:rPr>
                <w:lang w:val="es-ES"/>
              </w:rPr>
            </w:pPr>
          </w:p>
        </w:tc>
        <w:tc>
          <w:tcPr>
            <w:tcW w:w="2215" w:type="dxa"/>
            <w:tcBorders>
              <w:top w:val="nil"/>
              <w:left w:val="nil"/>
              <w:bottom w:val="single" w:sz="4" w:space="0" w:color="auto"/>
              <w:right w:val="nil"/>
            </w:tcBorders>
          </w:tcPr>
          <w:p w14:paraId="0BBCA457" w14:textId="21FF1F98" w:rsidR="005B4E0E" w:rsidRPr="00BC7C5B" w:rsidRDefault="005B4E0E" w:rsidP="006C575E">
            <w:pPr>
              <w:rPr>
                <w:lang w:val="es-ES"/>
              </w:rPr>
            </w:pPr>
          </w:p>
        </w:tc>
      </w:tr>
      <w:tr w:rsidR="005B4E0E" w:rsidRPr="00BC7C5B" w14:paraId="5FB8F058" w14:textId="77777777" w:rsidTr="005B4E0E">
        <w:tc>
          <w:tcPr>
            <w:tcW w:w="2406" w:type="dxa"/>
            <w:tcBorders>
              <w:top w:val="single" w:sz="4" w:space="0" w:color="auto"/>
              <w:left w:val="nil"/>
              <w:bottom w:val="nil"/>
              <w:right w:val="nil"/>
            </w:tcBorders>
            <w:hideMark/>
          </w:tcPr>
          <w:p w14:paraId="1F49318D" w14:textId="77777777" w:rsidR="005B4E0E" w:rsidRPr="00BC7C5B" w:rsidRDefault="005B4E0E" w:rsidP="005B4E0E">
            <w:pPr>
              <w:jc w:val="center"/>
              <w:rPr>
                <w:lang w:val="es-ES"/>
              </w:rPr>
            </w:pPr>
            <w:r w:rsidRPr="00BC7C5B">
              <w:rPr>
                <w:lang w:val="es-ES"/>
              </w:rPr>
              <w:t>Nombre y firma</w:t>
            </w:r>
          </w:p>
        </w:tc>
        <w:tc>
          <w:tcPr>
            <w:tcW w:w="2306" w:type="dxa"/>
            <w:tcBorders>
              <w:top w:val="single" w:sz="4" w:space="0" w:color="auto"/>
              <w:left w:val="nil"/>
              <w:bottom w:val="nil"/>
              <w:right w:val="nil"/>
            </w:tcBorders>
            <w:hideMark/>
          </w:tcPr>
          <w:p w14:paraId="55FEB182" w14:textId="77777777" w:rsidR="005B4E0E" w:rsidRPr="00BC7C5B" w:rsidRDefault="005B4E0E" w:rsidP="005B4E0E">
            <w:pPr>
              <w:jc w:val="center"/>
              <w:rPr>
                <w:lang w:val="es-ES"/>
              </w:rPr>
            </w:pPr>
            <w:r w:rsidRPr="00BC7C5B">
              <w:rPr>
                <w:lang w:val="es-ES"/>
              </w:rPr>
              <w:t>Nombre y firma</w:t>
            </w:r>
          </w:p>
        </w:tc>
        <w:tc>
          <w:tcPr>
            <w:tcW w:w="1911" w:type="dxa"/>
            <w:tcBorders>
              <w:top w:val="single" w:sz="4" w:space="0" w:color="auto"/>
              <w:left w:val="nil"/>
              <w:bottom w:val="nil"/>
              <w:right w:val="nil"/>
            </w:tcBorders>
          </w:tcPr>
          <w:p w14:paraId="2E8494F1" w14:textId="71CBF778" w:rsidR="005B4E0E" w:rsidRPr="00BC7C5B" w:rsidRDefault="005B4E0E" w:rsidP="005B4E0E">
            <w:pPr>
              <w:jc w:val="center"/>
              <w:rPr>
                <w:lang w:val="es-ES"/>
              </w:rPr>
            </w:pPr>
            <w:r w:rsidRPr="00BC7C5B">
              <w:rPr>
                <w:lang w:val="es-ES"/>
              </w:rPr>
              <w:t>Nombre y firma</w:t>
            </w:r>
          </w:p>
        </w:tc>
        <w:tc>
          <w:tcPr>
            <w:tcW w:w="2215" w:type="dxa"/>
            <w:tcBorders>
              <w:top w:val="single" w:sz="4" w:space="0" w:color="auto"/>
              <w:left w:val="nil"/>
              <w:bottom w:val="nil"/>
              <w:right w:val="nil"/>
            </w:tcBorders>
            <w:hideMark/>
          </w:tcPr>
          <w:p w14:paraId="26ECA66A" w14:textId="6AB4A0AA" w:rsidR="005B4E0E" w:rsidRPr="00BC7C5B" w:rsidRDefault="005B4E0E" w:rsidP="005B4E0E">
            <w:pPr>
              <w:jc w:val="center"/>
              <w:rPr>
                <w:lang w:val="es-ES"/>
              </w:rPr>
            </w:pPr>
            <w:r w:rsidRPr="00BC7C5B">
              <w:rPr>
                <w:lang w:val="es-ES"/>
              </w:rPr>
              <w:t>Nombre y firma</w:t>
            </w:r>
          </w:p>
        </w:tc>
      </w:tr>
      <w:tr w:rsidR="005B4E0E" w:rsidRPr="00BC7C5B" w14:paraId="0D2BA352" w14:textId="77777777" w:rsidTr="005B4E0E">
        <w:tc>
          <w:tcPr>
            <w:tcW w:w="2406" w:type="dxa"/>
            <w:hideMark/>
          </w:tcPr>
          <w:p w14:paraId="54E956E1" w14:textId="77777777" w:rsidR="005B4E0E" w:rsidRPr="00BC7C5B" w:rsidRDefault="005B4E0E" w:rsidP="005B4E0E">
            <w:pPr>
              <w:jc w:val="center"/>
              <w:rPr>
                <w:lang w:val="es-ES"/>
              </w:rPr>
            </w:pPr>
            <w:r w:rsidRPr="00BC7C5B">
              <w:rPr>
                <w:lang w:val="es-ES"/>
              </w:rPr>
              <w:t>Representante Legal</w:t>
            </w:r>
          </w:p>
        </w:tc>
        <w:tc>
          <w:tcPr>
            <w:tcW w:w="2306" w:type="dxa"/>
            <w:hideMark/>
          </w:tcPr>
          <w:p w14:paraId="16B6D9B2" w14:textId="77777777" w:rsidR="005B4E0E" w:rsidRPr="00BC7C5B" w:rsidRDefault="005B4E0E" w:rsidP="005B4E0E">
            <w:pPr>
              <w:jc w:val="center"/>
              <w:rPr>
                <w:lang w:val="es-ES"/>
              </w:rPr>
            </w:pPr>
            <w:r w:rsidRPr="00BC7C5B">
              <w:rPr>
                <w:lang w:val="es-ES"/>
              </w:rPr>
              <w:t>Jerarca Institucional</w:t>
            </w:r>
          </w:p>
        </w:tc>
        <w:tc>
          <w:tcPr>
            <w:tcW w:w="1911" w:type="dxa"/>
          </w:tcPr>
          <w:p w14:paraId="11B8565A" w14:textId="06727D7D" w:rsidR="005B4E0E" w:rsidRPr="00BC7C5B" w:rsidRDefault="005B4E0E" w:rsidP="005B4E0E">
            <w:pPr>
              <w:jc w:val="center"/>
              <w:rPr>
                <w:lang w:val="es-ES"/>
              </w:rPr>
            </w:pPr>
            <w:r>
              <w:rPr>
                <w:lang w:val="es-ES"/>
              </w:rPr>
              <w:t>Director Financiero</w:t>
            </w:r>
          </w:p>
        </w:tc>
        <w:tc>
          <w:tcPr>
            <w:tcW w:w="2215" w:type="dxa"/>
            <w:hideMark/>
          </w:tcPr>
          <w:p w14:paraId="7FCA40FA" w14:textId="2F52ACB5" w:rsidR="005B4E0E" w:rsidRPr="00BC7C5B" w:rsidRDefault="005B4E0E" w:rsidP="005B4E0E">
            <w:pPr>
              <w:jc w:val="center"/>
              <w:rPr>
                <w:lang w:val="es-ES"/>
              </w:rPr>
            </w:pPr>
            <w:r w:rsidRPr="00BC7C5B">
              <w:rPr>
                <w:lang w:val="es-ES"/>
              </w:rPr>
              <w:t>Contador (a)</w:t>
            </w:r>
          </w:p>
        </w:tc>
      </w:tr>
    </w:tbl>
    <w:p w14:paraId="5E2534DD" w14:textId="77777777" w:rsidR="00320ED0" w:rsidRPr="00BC7C5B" w:rsidRDefault="00320ED0" w:rsidP="00320ED0">
      <w:pPr>
        <w:jc w:val="right"/>
        <w:rPr>
          <w:lang w:val="es-ES"/>
        </w:rPr>
      </w:pPr>
    </w:p>
    <w:p w14:paraId="5469E557" w14:textId="77777777" w:rsidR="00320ED0" w:rsidRPr="00BC7C5B" w:rsidRDefault="00320ED0" w:rsidP="00320ED0">
      <w:pPr>
        <w:jc w:val="center"/>
        <w:rPr>
          <w:lang w:val="es-ES"/>
        </w:rPr>
      </w:pPr>
      <w:r w:rsidRPr="00BC7C5B">
        <w:rPr>
          <w:noProof/>
          <w:lang w:eastAsia="es-CR"/>
        </w:rPr>
        <mc:AlternateContent>
          <mc:Choice Requires="wps">
            <w:drawing>
              <wp:anchor distT="0" distB="0" distL="114300" distR="114300" simplePos="0" relativeHeight="251659264" behindDoc="0" locked="0" layoutInCell="1" allowOverlap="1" wp14:anchorId="32153193" wp14:editId="721B9DC1">
                <wp:simplePos x="0" y="0"/>
                <wp:positionH relativeFrom="column">
                  <wp:posOffset>3185160</wp:posOffset>
                </wp:positionH>
                <wp:positionV relativeFrom="paragraph">
                  <wp:posOffset>57150</wp:posOffset>
                </wp:positionV>
                <wp:extent cx="1974215" cy="1126490"/>
                <wp:effectExtent l="7620" t="8255" r="8890" b="8255"/>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4215" cy="1126490"/>
                        </a:xfrm>
                        <a:prstGeom prst="rect">
                          <a:avLst/>
                        </a:prstGeom>
                        <a:solidFill>
                          <a:srgbClr val="FFFFFF"/>
                        </a:solidFill>
                        <a:ln w="12700">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715F3847" id="Rectangle 4" o:spid="_x0000_s1026" style="position:absolute;margin-left:250.8pt;margin-top:4.5pt;width:155.45pt;height:8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" strokeweight="1pt">
                <v:stroke dashstyle="dash"/>
                <v:shadow color="#868686"/>
              </v:rect>
            </w:pict>
          </mc:Fallback>
        </mc:AlternateContent>
      </w:r>
      <w:r w:rsidRPr="00BC7C5B">
        <w:rPr>
          <w:lang w:val="es-ES"/>
        </w:rPr>
        <w:t>Sello:</w:t>
      </w:r>
    </w:p>
    <w:p w14:paraId="7D901963" w14:textId="77777777" w:rsidR="00320ED0" w:rsidRPr="00BC7C5B" w:rsidRDefault="00320ED0" w:rsidP="00320ED0">
      <w:pPr>
        <w:autoSpaceDE w:val="0"/>
        <w:autoSpaceDN w:val="0"/>
        <w:adjustRightInd w:val="0"/>
        <w:ind w:right="-425"/>
        <w:rPr>
          <w:szCs w:val="24"/>
        </w:rPr>
      </w:pPr>
    </w:p>
    <w:p w14:paraId="1C2AE28E" w14:textId="287FEEA6" w:rsidR="00320ED0" w:rsidRDefault="00320ED0" w:rsidP="00320ED0">
      <w:pPr>
        <w:autoSpaceDE w:val="0"/>
        <w:autoSpaceDN w:val="0"/>
        <w:adjustRightInd w:val="0"/>
        <w:ind w:right="-425"/>
        <w:rPr>
          <w:szCs w:val="24"/>
        </w:rPr>
      </w:pPr>
    </w:p>
    <w:p w14:paraId="4EF321C2" w14:textId="6062E5F1" w:rsidR="00320ED0" w:rsidRDefault="00320ED0" w:rsidP="00320ED0">
      <w:pPr>
        <w:autoSpaceDE w:val="0"/>
        <w:autoSpaceDN w:val="0"/>
        <w:adjustRightInd w:val="0"/>
        <w:ind w:right="-425"/>
        <w:rPr>
          <w:szCs w:val="24"/>
        </w:rPr>
      </w:pPr>
    </w:p>
    <w:p w14:paraId="52D28449" w14:textId="77777777" w:rsidR="00854795" w:rsidRDefault="00854795" w:rsidP="00320ED0">
      <w:pPr>
        <w:autoSpaceDE w:val="0"/>
        <w:autoSpaceDN w:val="0"/>
        <w:adjustRightInd w:val="0"/>
        <w:ind w:right="-425"/>
        <w:rPr>
          <w:szCs w:val="24"/>
        </w:rPr>
      </w:pPr>
    </w:p>
    <w:p w14:paraId="03E31AA3" w14:textId="5443BCFF" w:rsidR="00320ED0" w:rsidRPr="00320ED0" w:rsidRDefault="00320ED0" w:rsidP="00320ED0">
      <w:pPr>
        <w:pStyle w:val="Ttulo1"/>
        <w:rPr>
          <w:lang w:val="es-ES"/>
        </w:rPr>
      </w:pPr>
      <w:bookmarkStart w:id="1117" w:name="_Anexos"/>
      <w:bookmarkStart w:id="1118" w:name="_Toc189804951"/>
      <w:bookmarkEnd w:id="1117"/>
      <w:r>
        <w:rPr>
          <w:lang w:val="es-ES"/>
        </w:rPr>
        <w:lastRenderedPageBreak/>
        <w:t>ANEXOS</w:t>
      </w:r>
      <w:bookmarkEnd w:id="1118"/>
    </w:p>
    <w:p w14:paraId="4328F021" w14:textId="17D52105" w:rsidR="0077456B" w:rsidRPr="00112C21" w:rsidRDefault="00320ED0" w:rsidP="00605786">
      <w:pPr>
        <w:spacing w:before="240"/>
      </w:pPr>
      <w:r w:rsidRPr="00FF7793">
        <w:rPr>
          <w:rFonts w:cs="Arial"/>
          <w:bCs/>
        </w:rPr>
        <w:t xml:space="preserve">Se deben copiar los cuadros de los Excel en formato imagen. </w:t>
      </w:r>
    </w:p>
    <w:p w14:paraId="37CE0F2A" w14:textId="43D9D99A" w:rsidR="0077456B" w:rsidRPr="00112C21" w:rsidRDefault="00112C21" w:rsidP="00112C21">
      <w:pPr>
        <w:pStyle w:val="Ttulo2"/>
        <w:rPr>
          <w:rFonts w:eastAsia="Times New Roman"/>
          <w:b/>
        </w:rPr>
      </w:pPr>
      <w:bookmarkStart w:id="1119" w:name="_Toc82769119"/>
      <w:bookmarkStart w:id="1120" w:name="_Toc189804952"/>
      <w:r w:rsidRPr="00112C21">
        <w:rPr>
          <w:rFonts w:eastAsia="Times New Roman"/>
          <w:b/>
        </w:rPr>
        <w:t>NICSP</w:t>
      </w:r>
      <w:bookmarkEnd w:id="1119"/>
      <w:bookmarkEnd w:id="1120"/>
    </w:p>
    <w:p w14:paraId="69D5FA78" w14:textId="49C9E7DA" w:rsidR="0077456B" w:rsidRPr="00112C21" w:rsidRDefault="00112C21" w:rsidP="00112C21">
      <w:pPr>
        <w:pStyle w:val="Ttulo3"/>
        <w:rPr>
          <w:rFonts w:eastAsia="Times New Roman"/>
          <w:color w:val="2F5496"/>
          <w:sz w:val="28"/>
          <w:szCs w:val="28"/>
          <w:lang w:eastAsia="es-CR"/>
        </w:rPr>
      </w:pPr>
      <w:bookmarkStart w:id="1121" w:name="_NICSP_13_Arrendamientos"/>
      <w:bookmarkStart w:id="1122" w:name="_Toc82769120"/>
      <w:bookmarkStart w:id="1123" w:name="_Toc189804953"/>
      <w:bookmarkEnd w:id="1121"/>
      <w:r w:rsidRPr="0077456B">
        <w:rPr>
          <w:rFonts w:eastAsia="Times New Roman"/>
          <w:lang w:eastAsia="es-CR"/>
        </w:rPr>
        <w:t>NICSP 13 ARRENDAMIENTOS</w:t>
      </w:r>
      <w:bookmarkEnd w:id="1122"/>
      <w:bookmarkEnd w:id="1123"/>
    </w:p>
    <w:p w14:paraId="50F6C28E" w14:textId="6530006B" w:rsidR="0077456B" w:rsidRPr="0077456B" w:rsidRDefault="00B22C61" w:rsidP="0077456B">
      <w:pPr>
        <w:rPr>
          <w:lang w:val="es-ES" w:eastAsia="es-CR"/>
        </w:rPr>
      </w:pPr>
      <w:r w:rsidRPr="00B22C61">
        <w:rPr>
          <w:noProof/>
          <w:lang w:eastAsia="es-CR"/>
        </w:rPr>
        <w:drawing>
          <wp:inline distT="0" distB="0" distL="0" distR="0" wp14:anchorId="72204B8B" wp14:editId="42893330">
            <wp:extent cx="6187800" cy="1285102"/>
            <wp:effectExtent l="0" t="0" r="381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350139" cy="1318817"/>
                    </a:xfrm>
                    <a:prstGeom prst="rect">
                      <a:avLst/>
                    </a:prstGeom>
                    <a:noFill/>
                    <a:ln>
                      <a:noFill/>
                    </a:ln>
                  </pic:spPr>
                </pic:pic>
              </a:graphicData>
            </a:graphic>
          </wp:inline>
        </w:drawing>
      </w:r>
    </w:p>
    <w:p w14:paraId="2592B02F" w14:textId="77777777" w:rsidR="0077456B" w:rsidRPr="0077456B" w:rsidRDefault="0077456B" w:rsidP="0077456B">
      <w:pPr>
        <w:rPr>
          <w:lang w:val="es-ES" w:eastAsia="es-CR"/>
        </w:rPr>
      </w:pPr>
    </w:p>
    <w:p w14:paraId="077DB273" w14:textId="77777777" w:rsidR="0077456B" w:rsidRPr="0077456B" w:rsidRDefault="0077456B" w:rsidP="0077456B">
      <w:pPr>
        <w:rPr>
          <w:lang w:val="es-ES" w:eastAsia="es-CR"/>
        </w:rPr>
      </w:pPr>
      <w:r w:rsidRPr="0077456B">
        <w:rPr>
          <w:noProof/>
          <w:lang w:eastAsia="es-CR"/>
        </w:rPr>
        <w:drawing>
          <wp:inline distT="0" distB="0" distL="0" distR="0" wp14:anchorId="7FE9818A" wp14:editId="3C1B8963">
            <wp:extent cx="6530340" cy="1363980"/>
            <wp:effectExtent l="0" t="0" r="0" b="0"/>
            <wp:docPr id="568" name="Imagen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530340" cy="1363980"/>
                    </a:xfrm>
                    <a:prstGeom prst="rect">
                      <a:avLst/>
                    </a:prstGeom>
                    <a:noFill/>
                    <a:ln>
                      <a:noFill/>
                    </a:ln>
                  </pic:spPr>
                </pic:pic>
              </a:graphicData>
            </a:graphic>
          </wp:inline>
        </w:drawing>
      </w:r>
    </w:p>
    <w:p w14:paraId="7C33A22B" w14:textId="77777777" w:rsidR="0077456B" w:rsidRPr="0077456B" w:rsidRDefault="0077456B" w:rsidP="0077456B">
      <w:pPr>
        <w:rPr>
          <w:lang w:val="es-ES" w:eastAsia="es-CR"/>
        </w:rPr>
      </w:pPr>
    </w:p>
    <w:p w14:paraId="51B716F9" w14:textId="6A8D59A5" w:rsidR="0077456B" w:rsidRPr="00112C21" w:rsidRDefault="0077456B" w:rsidP="0077456B">
      <w:pPr>
        <w:rPr>
          <w:szCs w:val="24"/>
        </w:rPr>
      </w:pPr>
      <w:r w:rsidRPr="0077456B">
        <w:rPr>
          <w:noProof/>
          <w:lang w:eastAsia="es-CR"/>
        </w:rPr>
        <w:drawing>
          <wp:inline distT="0" distB="0" distL="0" distR="0" wp14:anchorId="0772775B" wp14:editId="4D59901C">
            <wp:extent cx="6507480" cy="1363980"/>
            <wp:effectExtent l="0" t="0" r="0" b="0"/>
            <wp:docPr id="569" name="Imagen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507480" cy="1363980"/>
                    </a:xfrm>
                    <a:prstGeom prst="rect">
                      <a:avLst/>
                    </a:prstGeom>
                    <a:noFill/>
                    <a:ln>
                      <a:noFill/>
                    </a:ln>
                  </pic:spPr>
                </pic:pic>
              </a:graphicData>
            </a:graphic>
          </wp:inline>
        </w:drawing>
      </w:r>
    </w:p>
    <w:p w14:paraId="2CC81A91" w14:textId="1DF0B7CD" w:rsidR="0077456B" w:rsidRPr="00112C21" w:rsidRDefault="00112C21" w:rsidP="00112C21">
      <w:pPr>
        <w:pStyle w:val="Ttulo3"/>
        <w:rPr>
          <w:rFonts w:eastAsia="Times New Roman"/>
          <w:color w:val="2F5496"/>
          <w:sz w:val="28"/>
          <w:szCs w:val="28"/>
          <w:lang w:eastAsia="es-CR"/>
        </w:rPr>
      </w:pPr>
      <w:bookmarkStart w:id="1124" w:name="_NICSP_16-_Propiedades"/>
      <w:bookmarkStart w:id="1125" w:name="_Toc82769121"/>
      <w:bookmarkStart w:id="1126" w:name="_Toc189804954"/>
      <w:bookmarkEnd w:id="1124"/>
      <w:r w:rsidRPr="0077456B">
        <w:rPr>
          <w:rFonts w:eastAsia="Times New Roman"/>
          <w:lang w:eastAsia="es-CR"/>
        </w:rPr>
        <w:lastRenderedPageBreak/>
        <w:t>NICSP 16- PROPIEDADES DE INVERSIÓN</w:t>
      </w:r>
      <w:bookmarkEnd w:id="1125"/>
      <w:bookmarkEnd w:id="1126"/>
    </w:p>
    <w:p w14:paraId="4CDCD648" w14:textId="68C70835" w:rsidR="0077456B" w:rsidRDefault="0077456B" w:rsidP="0077456B">
      <w:pPr>
        <w:rPr>
          <w:lang w:val="es-ES" w:eastAsia="es-CR"/>
        </w:rPr>
      </w:pPr>
      <w:r w:rsidRPr="0077456B">
        <w:rPr>
          <w:noProof/>
          <w:lang w:eastAsia="es-CR"/>
        </w:rPr>
        <w:drawing>
          <wp:inline distT="0" distB="0" distL="0" distR="0" wp14:anchorId="7FFA68E5" wp14:editId="44971A85">
            <wp:extent cx="6545580" cy="1546860"/>
            <wp:effectExtent l="0" t="0" r="0" b="0"/>
            <wp:docPr id="570" name="Imagen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545580" cy="1546860"/>
                    </a:xfrm>
                    <a:prstGeom prst="rect">
                      <a:avLst/>
                    </a:prstGeom>
                    <a:noFill/>
                    <a:ln>
                      <a:noFill/>
                    </a:ln>
                  </pic:spPr>
                </pic:pic>
              </a:graphicData>
            </a:graphic>
          </wp:inline>
        </w:drawing>
      </w:r>
    </w:p>
    <w:p w14:paraId="3692D3C3" w14:textId="77777777" w:rsidR="00112C21" w:rsidRPr="0077456B" w:rsidRDefault="00112C21" w:rsidP="0077456B">
      <w:pPr>
        <w:rPr>
          <w:lang w:val="es-ES" w:eastAsia="es-CR"/>
        </w:rPr>
      </w:pPr>
    </w:p>
    <w:p w14:paraId="53598DC0" w14:textId="77777777" w:rsidR="005F3294" w:rsidRDefault="00112C21" w:rsidP="00112C21">
      <w:pPr>
        <w:pStyle w:val="Ttulo3"/>
        <w:rPr>
          <w:rFonts w:eastAsia="Times New Roman"/>
          <w:lang w:eastAsia="es-CR"/>
        </w:rPr>
      </w:pPr>
      <w:bookmarkStart w:id="1127" w:name="_NICSP_17-_Propiedad,"/>
      <w:bookmarkStart w:id="1128" w:name="_Toc82769122"/>
      <w:bookmarkStart w:id="1129" w:name="_Toc189804955"/>
      <w:bookmarkEnd w:id="1127"/>
      <w:r w:rsidRPr="0077456B">
        <w:rPr>
          <w:rFonts w:eastAsia="Times New Roman"/>
          <w:lang w:eastAsia="es-CR"/>
        </w:rPr>
        <w:t>NICSP 17- PROPIEDAD, PLANTA Y EQUIPO</w:t>
      </w:r>
      <w:bookmarkEnd w:id="1128"/>
      <w:bookmarkEnd w:id="1129"/>
    </w:p>
    <w:p w14:paraId="0054FCB9" w14:textId="5DB25E4E" w:rsidR="0077456B" w:rsidRPr="00112C21" w:rsidRDefault="005611B9" w:rsidP="00112C21">
      <w:pPr>
        <w:pStyle w:val="Ttulo3"/>
        <w:rPr>
          <w:rFonts w:eastAsia="Times New Roman"/>
          <w:color w:val="2F5496"/>
          <w:sz w:val="28"/>
          <w:szCs w:val="28"/>
          <w:lang w:eastAsia="es-CR"/>
        </w:rPr>
      </w:pPr>
      <w:bookmarkStart w:id="1130" w:name="_Toc189804956"/>
      <w:r w:rsidRPr="005611B9">
        <w:rPr>
          <w:noProof/>
          <w:lang w:eastAsia="es-CR"/>
        </w:rPr>
        <w:drawing>
          <wp:inline distT="0" distB="0" distL="0" distR="0" wp14:anchorId="165B85CB" wp14:editId="02FA89B8">
            <wp:extent cx="6522280" cy="1859796"/>
            <wp:effectExtent l="0" t="0" r="0" b="7620"/>
            <wp:docPr id="20981839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54669" cy="1869032"/>
                    </a:xfrm>
                    <a:prstGeom prst="rect">
                      <a:avLst/>
                    </a:prstGeom>
                    <a:noFill/>
                    <a:ln>
                      <a:noFill/>
                    </a:ln>
                  </pic:spPr>
                </pic:pic>
              </a:graphicData>
            </a:graphic>
          </wp:inline>
        </w:drawing>
      </w:r>
      <w:bookmarkEnd w:id="1130"/>
    </w:p>
    <w:p w14:paraId="576FE2E1" w14:textId="77777777" w:rsidR="0077456B" w:rsidRPr="0077456B" w:rsidRDefault="0077456B" w:rsidP="0077456B">
      <w:pPr>
        <w:rPr>
          <w:lang w:val="es-ES" w:eastAsia="es-CR"/>
        </w:rPr>
      </w:pPr>
      <w:r w:rsidRPr="0077456B">
        <w:rPr>
          <w:noProof/>
          <w:lang w:eastAsia="es-CR"/>
        </w:rPr>
        <w:drawing>
          <wp:inline distT="0" distB="0" distL="0" distR="0" wp14:anchorId="73E12792" wp14:editId="1FB80247">
            <wp:extent cx="6522720" cy="1722120"/>
            <wp:effectExtent l="0" t="0" r="0" b="0"/>
            <wp:docPr id="571" name="Imagen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522720" cy="1722120"/>
                    </a:xfrm>
                    <a:prstGeom prst="rect">
                      <a:avLst/>
                    </a:prstGeom>
                    <a:noFill/>
                    <a:ln>
                      <a:noFill/>
                    </a:ln>
                  </pic:spPr>
                </pic:pic>
              </a:graphicData>
            </a:graphic>
          </wp:inline>
        </w:drawing>
      </w:r>
    </w:p>
    <w:p w14:paraId="7A5FA8E1" w14:textId="77777777" w:rsidR="0077456B" w:rsidRPr="0077456B" w:rsidRDefault="0077456B" w:rsidP="0077456B">
      <w:pPr>
        <w:rPr>
          <w:lang w:val="es-ES" w:eastAsia="es-CR"/>
        </w:rPr>
      </w:pPr>
    </w:p>
    <w:p w14:paraId="42DEB17B" w14:textId="77777777" w:rsidR="0077456B" w:rsidRPr="0077456B" w:rsidRDefault="0077456B" w:rsidP="0077456B">
      <w:pPr>
        <w:rPr>
          <w:lang w:val="es-ES" w:eastAsia="es-CR"/>
        </w:rPr>
      </w:pPr>
      <w:r w:rsidRPr="0077456B">
        <w:rPr>
          <w:noProof/>
          <w:lang w:eastAsia="es-CR"/>
        </w:rPr>
        <w:lastRenderedPageBreak/>
        <w:drawing>
          <wp:inline distT="0" distB="0" distL="0" distR="0" wp14:anchorId="713C298B" wp14:editId="2C12ABD7">
            <wp:extent cx="6537960" cy="1691640"/>
            <wp:effectExtent l="0" t="0" r="0" b="0"/>
            <wp:docPr id="572" name="Imagen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537960" cy="1691640"/>
                    </a:xfrm>
                    <a:prstGeom prst="rect">
                      <a:avLst/>
                    </a:prstGeom>
                    <a:noFill/>
                    <a:ln>
                      <a:noFill/>
                    </a:ln>
                  </pic:spPr>
                </pic:pic>
              </a:graphicData>
            </a:graphic>
          </wp:inline>
        </w:drawing>
      </w:r>
    </w:p>
    <w:p w14:paraId="744B8B54" w14:textId="77777777" w:rsidR="0077456B" w:rsidRPr="0077456B" w:rsidRDefault="0077456B" w:rsidP="0077456B">
      <w:pPr>
        <w:rPr>
          <w:lang w:val="es-ES" w:eastAsia="es-CR"/>
        </w:rPr>
      </w:pPr>
    </w:p>
    <w:p w14:paraId="112D18F1" w14:textId="77777777" w:rsidR="0077456B" w:rsidRPr="0077456B" w:rsidRDefault="0077456B" w:rsidP="0077456B">
      <w:pPr>
        <w:rPr>
          <w:lang w:val="es-ES" w:eastAsia="es-CR"/>
        </w:rPr>
      </w:pPr>
      <w:r w:rsidRPr="0077456B">
        <w:rPr>
          <w:noProof/>
          <w:lang w:eastAsia="es-CR"/>
        </w:rPr>
        <w:drawing>
          <wp:inline distT="0" distB="0" distL="0" distR="0" wp14:anchorId="635711C6" wp14:editId="1E51BB63">
            <wp:extent cx="6545580" cy="1737360"/>
            <wp:effectExtent l="0" t="0" r="0" b="0"/>
            <wp:docPr id="573" name="Imagen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545580" cy="1737360"/>
                    </a:xfrm>
                    <a:prstGeom prst="rect">
                      <a:avLst/>
                    </a:prstGeom>
                    <a:noFill/>
                    <a:ln>
                      <a:noFill/>
                    </a:ln>
                  </pic:spPr>
                </pic:pic>
              </a:graphicData>
            </a:graphic>
          </wp:inline>
        </w:drawing>
      </w:r>
    </w:p>
    <w:p w14:paraId="0A22A01C" w14:textId="77777777" w:rsidR="0077456B" w:rsidRPr="0077456B" w:rsidRDefault="0077456B" w:rsidP="0077456B">
      <w:pPr>
        <w:rPr>
          <w:lang w:val="es-ES" w:eastAsia="es-CR"/>
        </w:rPr>
      </w:pPr>
    </w:p>
    <w:p w14:paraId="6D64FB61" w14:textId="77777777" w:rsidR="0077456B" w:rsidRPr="0077456B" w:rsidRDefault="0077456B" w:rsidP="0077456B">
      <w:pPr>
        <w:rPr>
          <w:lang w:val="es-ES" w:eastAsia="es-CR"/>
        </w:rPr>
      </w:pPr>
      <w:r w:rsidRPr="0077456B">
        <w:rPr>
          <w:noProof/>
          <w:lang w:eastAsia="es-CR"/>
        </w:rPr>
        <w:drawing>
          <wp:inline distT="0" distB="0" distL="0" distR="0" wp14:anchorId="408E925E" wp14:editId="3891EBFA">
            <wp:extent cx="6461760" cy="1668780"/>
            <wp:effectExtent l="0" t="0" r="0" b="0"/>
            <wp:docPr id="574" name="Imagen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461760" cy="1668780"/>
                    </a:xfrm>
                    <a:prstGeom prst="rect">
                      <a:avLst/>
                    </a:prstGeom>
                    <a:noFill/>
                    <a:ln>
                      <a:noFill/>
                    </a:ln>
                  </pic:spPr>
                </pic:pic>
              </a:graphicData>
            </a:graphic>
          </wp:inline>
        </w:drawing>
      </w:r>
    </w:p>
    <w:p w14:paraId="560CB4B1" w14:textId="77777777" w:rsidR="0077456B" w:rsidRPr="0077456B" w:rsidRDefault="0077456B" w:rsidP="0077456B">
      <w:pPr>
        <w:rPr>
          <w:lang w:val="es-ES" w:eastAsia="es-CR"/>
        </w:rPr>
      </w:pPr>
      <w:r w:rsidRPr="0077456B">
        <w:rPr>
          <w:noProof/>
          <w:lang w:eastAsia="es-CR"/>
        </w:rPr>
        <w:drawing>
          <wp:inline distT="0" distB="0" distL="0" distR="0" wp14:anchorId="5116A8C4" wp14:editId="6D5543F6">
            <wp:extent cx="6461760" cy="1714500"/>
            <wp:effectExtent l="0" t="0" r="0" b="0"/>
            <wp:docPr id="575" name="Imagen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461760" cy="1714500"/>
                    </a:xfrm>
                    <a:prstGeom prst="rect">
                      <a:avLst/>
                    </a:prstGeom>
                    <a:noFill/>
                    <a:ln>
                      <a:noFill/>
                    </a:ln>
                  </pic:spPr>
                </pic:pic>
              </a:graphicData>
            </a:graphic>
          </wp:inline>
        </w:drawing>
      </w:r>
    </w:p>
    <w:p w14:paraId="407CDF44" w14:textId="77777777" w:rsidR="0077456B" w:rsidRPr="0077456B" w:rsidRDefault="0077456B" w:rsidP="0077456B">
      <w:pPr>
        <w:rPr>
          <w:lang w:val="es-ES" w:eastAsia="es-CR"/>
        </w:rPr>
      </w:pPr>
    </w:p>
    <w:p w14:paraId="118DFBF0" w14:textId="77777777" w:rsidR="0077456B" w:rsidRPr="0077456B" w:rsidRDefault="0077456B" w:rsidP="0077456B">
      <w:pPr>
        <w:rPr>
          <w:lang w:val="es-ES" w:eastAsia="es-CR"/>
        </w:rPr>
      </w:pPr>
      <w:r w:rsidRPr="0077456B">
        <w:rPr>
          <w:noProof/>
          <w:lang w:eastAsia="es-CR"/>
        </w:rPr>
        <w:drawing>
          <wp:inline distT="0" distB="0" distL="0" distR="0" wp14:anchorId="7B1D2F9F" wp14:editId="29B8DF53">
            <wp:extent cx="6446520" cy="1699260"/>
            <wp:effectExtent l="0" t="0" r="0" b="0"/>
            <wp:docPr id="576" name="Imagen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446520" cy="1699260"/>
                    </a:xfrm>
                    <a:prstGeom prst="rect">
                      <a:avLst/>
                    </a:prstGeom>
                    <a:noFill/>
                    <a:ln>
                      <a:noFill/>
                    </a:ln>
                  </pic:spPr>
                </pic:pic>
              </a:graphicData>
            </a:graphic>
          </wp:inline>
        </w:drawing>
      </w:r>
    </w:p>
    <w:p w14:paraId="0F06DD90" w14:textId="77777777" w:rsidR="0077456B" w:rsidRPr="0077456B" w:rsidRDefault="0077456B" w:rsidP="0077456B">
      <w:pPr>
        <w:rPr>
          <w:lang w:val="es-ES" w:eastAsia="es-CR"/>
        </w:rPr>
      </w:pPr>
    </w:p>
    <w:p w14:paraId="0C9BC72A" w14:textId="630C655E" w:rsidR="0077456B" w:rsidRPr="0077456B" w:rsidRDefault="0077456B" w:rsidP="0077456B">
      <w:pPr>
        <w:rPr>
          <w:lang w:val="es-ES" w:eastAsia="es-CR"/>
        </w:rPr>
      </w:pPr>
      <w:r w:rsidRPr="0077456B">
        <w:rPr>
          <w:noProof/>
          <w:lang w:eastAsia="es-CR"/>
        </w:rPr>
        <w:drawing>
          <wp:inline distT="0" distB="0" distL="0" distR="0" wp14:anchorId="345C30AB" wp14:editId="4FC3EED4">
            <wp:extent cx="6469380" cy="1775460"/>
            <wp:effectExtent l="0" t="0" r="0" b="0"/>
            <wp:docPr id="577" name="Imagen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469380" cy="1775460"/>
                    </a:xfrm>
                    <a:prstGeom prst="rect">
                      <a:avLst/>
                    </a:prstGeom>
                    <a:noFill/>
                    <a:ln>
                      <a:noFill/>
                    </a:ln>
                  </pic:spPr>
                </pic:pic>
              </a:graphicData>
            </a:graphic>
          </wp:inline>
        </w:drawing>
      </w:r>
    </w:p>
    <w:p w14:paraId="22E3CFA5" w14:textId="77322C69" w:rsidR="0077456B" w:rsidRPr="00112C21" w:rsidRDefault="00112C21" w:rsidP="00112C21">
      <w:pPr>
        <w:pStyle w:val="Ttulo3"/>
        <w:rPr>
          <w:rFonts w:eastAsia="Times New Roman"/>
          <w:color w:val="2F5496"/>
          <w:sz w:val="28"/>
          <w:szCs w:val="28"/>
          <w:lang w:eastAsia="es-CR"/>
        </w:rPr>
      </w:pPr>
      <w:bookmarkStart w:id="1131" w:name="_NICSP_19-_Activos"/>
      <w:bookmarkStart w:id="1132" w:name="_Toc82769123"/>
      <w:bookmarkStart w:id="1133" w:name="_Toc189804957"/>
      <w:bookmarkEnd w:id="1131"/>
      <w:r w:rsidRPr="0077456B">
        <w:rPr>
          <w:rFonts w:eastAsia="Times New Roman"/>
          <w:lang w:eastAsia="es-CR"/>
        </w:rPr>
        <w:t>NICSP 19- ACTIVOS CONTINGENTES</w:t>
      </w:r>
      <w:bookmarkEnd w:id="1132"/>
      <w:bookmarkEnd w:id="1133"/>
    </w:p>
    <w:p w14:paraId="18A1B433" w14:textId="77777777" w:rsidR="0077456B" w:rsidRPr="0077456B" w:rsidRDefault="0077456B" w:rsidP="0077456B">
      <w:pPr>
        <w:rPr>
          <w:lang w:val="es-ES" w:eastAsia="es-CR"/>
        </w:rPr>
      </w:pPr>
      <w:r w:rsidRPr="0077456B">
        <w:rPr>
          <w:noProof/>
          <w:lang w:eastAsia="es-CR"/>
        </w:rPr>
        <w:drawing>
          <wp:inline distT="0" distB="0" distL="0" distR="0" wp14:anchorId="2AAE2BA2" wp14:editId="76CCBFEA">
            <wp:extent cx="6370320" cy="1592580"/>
            <wp:effectExtent l="0" t="0" r="0" b="0"/>
            <wp:docPr id="578" name="Imagen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370320" cy="1592580"/>
                    </a:xfrm>
                    <a:prstGeom prst="rect">
                      <a:avLst/>
                    </a:prstGeom>
                    <a:noFill/>
                    <a:ln>
                      <a:noFill/>
                    </a:ln>
                  </pic:spPr>
                </pic:pic>
              </a:graphicData>
            </a:graphic>
          </wp:inline>
        </w:drawing>
      </w:r>
    </w:p>
    <w:p w14:paraId="0E8AD867" w14:textId="77777777" w:rsidR="0077456B" w:rsidRPr="0077456B" w:rsidRDefault="0077456B" w:rsidP="0077456B">
      <w:pPr>
        <w:rPr>
          <w:lang w:val="es-ES" w:eastAsia="es-CR"/>
        </w:rPr>
      </w:pPr>
    </w:p>
    <w:p w14:paraId="7F9CB304" w14:textId="77777777" w:rsidR="0077456B" w:rsidRPr="0077456B" w:rsidRDefault="0077456B" w:rsidP="0077456B">
      <w:pPr>
        <w:rPr>
          <w:lang w:val="es-ES" w:eastAsia="es-CR"/>
        </w:rPr>
      </w:pPr>
      <w:r w:rsidRPr="0077456B">
        <w:rPr>
          <w:noProof/>
          <w:lang w:eastAsia="es-CR"/>
        </w:rPr>
        <w:lastRenderedPageBreak/>
        <w:drawing>
          <wp:inline distT="0" distB="0" distL="0" distR="0" wp14:anchorId="27EB5A96" wp14:editId="0AFEF999">
            <wp:extent cx="6484620" cy="1623060"/>
            <wp:effectExtent l="0" t="0" r="0" b="0"/>
            <wp:docPr id="579" name="Imagen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484620" cy="1623060"/>
                    </a:xfrm>
                    <a:prstGeom prst="rect">
                      <a:avLst/>
                    </a:prstGeom>
                    <a:noFill/>
                    <a:ln>
                      <a:noFill/>
                    </a:ln>
                  </pic:spPr>
                </pic:pic>
              </a:graphicData>
            </a:graphic>
          </wp:inline>
        </w:drawing>
      </w:r>
    </w:p>
    <w:p w14:paraId="398CAB39" w14:textId="77777777" w:rsidR="0077456B" w:rsidRPr="0077456B" w:rsidRDefault="0077456B" w:rsidP="0077456B">
      <w:pPr>
        <w:rPr>
          <w:lang w:val="es-ES" w:eastAsia="es-CR"/>
        </w:rPr>
      </w:pPr>
    </w:p>
    <w:p w14:paraId="64916C77" w14:textId="77777777" w:rsidR="0077456B" w:rsidRPr="0077456B" w:rsidRDefault="0077456B" w:rsidP="0077456B">
      <w:pPr>
        <w:rPr>
          <w:lang w:val="es-ES" w:eastAsia="es-CR"/>
        </w:rPr>
      </w:pPr>
      <w:r w:rsidRPr="0077456B">
        <w:rPr>
          <w:noProof/>
          <w:lang w:eastAsia="es-CR"/>
        </w:rPr>
        <w:drawing>
          <wp:inline distT="0" distB="0" distL="0" distR="0" wp14:anchorId="72BA1289" wp14:editId="6765F533">
            <wp:extent cx="6499860" cy="1668780"/>
            <wp:effectExtent l="0" t="0" r="0" b="0"/>
            <wp:docPr id="580" name="Imagen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499860" cy="1668780"/>
                    </a:xfrm>
                    <a:prstGeom prst="rect">
                      <a:avLst/>
                    </a:prstGeom>
                    <a:noFill/>
                    <a:ln>
                      <a:noFill/>
                    </a:ln>
                  </pic:spPr>
                </pic:pic>
              </a:graphicData>
            </a:graphic>
          </wp:inline>
        </w:drawing>
      </w:r>
    </w:p>
    <w:p w14:paraId="39FB0B5D" w14:textId="77777777" w:rsidR="0077456B" w:rsidRPr="0077456B" w:rsidRDefault="0077456B" w:rsidP="0077456B">
      <w:pPr>
        <w:rPr>
          <w:lang w:val="es-ES" w:eastAsia="es-CR"/>
        </w:rPr>
      </w:pPr>
    </w:p>
    <w:p w14:paraId="0D07EF03" w14:textId="550CE40B" w:rsidR="00112C21" w:rsidRPr="0077456B" w:rsidRDefault="0077456B" w:rsidP="0077456B">
      <w:pPr>
        <w:rPr>
          <w:lang w:val="es-ES" w:eastAsia="es-CR"/>
        </w:rPr>
      </w:pPr>
      <w:r w:rsidRPr="0077456B">
        <w:rPr>
          <w:noProof/>
          <w:lang w:eastAsia="es-CR"/>
        </w:rPr>
        <w:drawing>
          <wp:inline distT="0" distB="0" distL="0" distR="0" wp14:anchorId="4D7C80DD" wp14:editId="3C68883C">
            <wp:extent cx="6423660" cy="1600200"/>
            <wp:effectExtent l="0" t="0" r="0" b="0"/>
            <wp:docPr id="581" name="Imagen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423660" cy="1600200"/>
                    </a:xfrm>
                    <a:prstGeom prst="rect">
                      <a:avLst/>
                    </a:prstGeom>
                    <a:noFill/>
                    <a:ln>
                      <a:noFill/>
                    </a:ln>
                  </pic:spPr>
                </pic:pic>
              </a:graphicData>
            </a:graphic>
          </wp:inline>
        </w:drawing>
      </w:r>
    </w:p>
    <w:p w14:paraId="0014D48B" w14:textId="6037FB57" w:rsidR="0077456B" w:rsidRPr="00112C21" w:rsidRDefault="00112C21" w:rsidP="00112C21">
      <w:pPr>
        <w:pStyle w:val="Ttulo3"/>
        <w:rPr>
          <w:rFonts w:eastAsia="Times New Roman" w:cstheme="minorBidi"/>
          <w:color w:val="2F5496"/>
          <w:sz w:val="28"/>
          <w:szCs w:val="28"/>
          <w:lang w:eastAsia="es-CR"/>
        </w:rPr>
      </w:pPr>
      <w:bookmarkStart w:id="1134" w:name="_NICSP_19-_PASIVOS"/>
      <w:bookmarkStart w:id="1135" w:name="_Toc82769124"/>
      <w:bookmarkStart w:id="1136" w:name="_Toc189804958"/>
      <w:bookmarkEnd w:id="1134"/>
      <w:r w:rsidRPr="0077456B">
        <w:rPr>
          <w:rFonts w:eastAsia="Times New Roman"/>
          <w:lang w:eastAsia="es-CR"/>
        </w:rPr>
        <w:t>NICSP 19- PASIVOS CONTINGENTES</w:t>
      </w:r>
      <w:bookmarkEnd w:id="1135"/>
      <w:bookmarkEnd w:id="1136"/>
    </w:p>
    <w:p w14:paraId="3A2A9437" w14:textId="77777777" w:rsidR="0077456B" w:rsidRPr="0077456B" w:rsidRDefault="0077456B" w:rsidP="0077456B">
      <w:pPr>
        <w:rPr>
          <w:rFonts w:eastAsia="Times New Roman" w:cs="Calibri"/>
          <w:color w:val="1F3864"/>
          <w:sz w:val="26"/>
          <w:szCs w:val="26"/>
          <w:lang w:eastAsia="es-CR"/>
        </w:rPr>
      </w:pPr>
      <w:r w:rsidRPr="0077456B">
        <w:rPr>
          <w:rFonts w:eastAsia="Times New Roman" w:cs="Calibri"/>
          <w:noProof/>
          <w:color w:val="1F3864"/>
          <w:sz w:val="26"/>
          <w:szCs w:val="26"/>
          <w:lang w:eastAsia="es-CR"/>
        </w:rPr>
        <w:drawing>
          <wp:inline distT="0" distB="0" distL="0" distR="0" wp14:anchorId="113F397F" wp14:editId="418D6C7E">
            <wp:extent cx="6499860" cy="1600200"/>
            <wp:effectExtent l="0" t="0" r="0" b="0"/>
            <wp:docPr id="582" name="Imagen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499860" cy="1600200"/>
                    </a:xfrm>
                    <a:prstGeom prst="rect">
                      <a:avLst/>
                    </a:prstGeom>
                    <a:noFill/>
                    <a:ln>
                      <a:noFill/>
                    </a:ln>
                  </pic:spPr>
                </pic:pic>
              </a:graphicData>
            </a:graphic>
          </wp:inline>
        </w:drawing>
      </w:r>
    </w:p>
    <w:p w14:paraId="0E84D2E8" w14:textId="77777777" w:rsidR="0077456B" w:rsidRPr="0077456B" w:rsidRDefault="0077456B" w:rsidP="0077456B">
      <w:pPr>
        <w:rPr>
          <w:rFonts w:eastAsia="Times New Roman" w:cs="Calibri"/>
          <w:color w:val="1F3864"/>
          <w:sz w:val="26"/>
          <w:szCs w:val="26"/>
          <w:lang w:eastAsia="es-CR"/>
        </w:rPr>
      </w:pPr>
    </w:p>
    <w:p w14:paraId="189BD5FE" w14:textId="77777777" w:rsidR="0077456B" w:rsidRPr="0077456B" w:rsidRDefault="0077456B" w:rsidP="0077456B">
      <w:pPr>
        <w:rPr>
          <w:rFonts w:eastAsia="Times New Roman" w:cs="Calibri"/>
          <w:color w:val="1F3864"/>
          <w:sz w:val="26"/>
          <w:szCs w:val="26"/>
          <w:lang w:eastAsia="es-CR"/>
        </w:rPr>
      </w:pPr>
      <w:r w:rsidRPr="0077456B">
        <w:rPr>
          <w:rFonts w:eastAsia="Times New Roman" w:cs="Calibri"/>
          <w:noProof/>
          <w:color w:val="1F3864"/>
          <w:sz w:val="26"/>
          <w:szCs w:val="26"/>
          <w:lang w:eastAsia="es-CR"/>
        </w:rPr>
        <w:drawing>
          <wp:inline distT="0" distB="0" distL="0" distR="0" wp14:anchorId="6987EFD1" wp14:editId="1F082129">
            <wp:extent cx="6553200" cy="1607820"/>
            <wp:effectExtent l="0" t="0" r="0" b="0"/>
            <wp:docPr id="583" name="Imagen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553200" cy="1607820"/>
                    </a:xfrm>
                    <a:prstGeom prst="rect">
                      <a:avLst/>
                    </a:prstGeom>
                    <a:noFill/>
                    <a:ln>
                      <a:noFill/>
                    </a:ln>
                  </pic:spPr>
                </pic:pic>
              </a:graphicData>
            </a:graphic>
          </wp:inline>
        </w:drawing>
      </w:r>
    </w:p>
    <w:p w14:paraId="2D6D1E3B" w14:textId="77777777" w:rsidR="0077456B" w:rsidRPr="0077456B" w:rsidRDefault="0077456B" w:rsidP="0077456B">
      <w:pPr>
        <w:rPr>
          <w:rFonts w:eastAsia="Times New Roman" w:cs="Calibri"/>
          <w:color w:val="1F3864"/>
          <w:sz w:val="26"/>
          <w:szCs w:val="26"/>
          <w:lang w:eastAsia="es-CR"/>
        </w:rPr>
      </w:pPr>
    </w:p>
    <w:p w14:paraId="4E2D96AC" w14:textId="77777777" w:rsidR="0077456B" w:rsidRPr="0077456B" w:rsidRDefault="0077456B" w:rsidP="0077456B">
      <w:pPr>
        <w:rPr>
          <w:rFonts w:eastAsia="Times New Roman" w:cs="Calibri"/>
          <w:color w:val="1F3864"/>
          <w:sz w:val="26"/>
          <w:szCs w:val="26"/>
          <w:lang w:eastAsia="es-CR"/>
        </w:rPr>
      </w:pPr>
      <w:r w:rsidRPr="0077456B">
        <w:rPr>
          <w:rFonts w:eastAsia="Times New Roman" w:cs="Calibri"/>
          <w:noProof/>
          <w:color w:val="1F3864"/>
          <w:sz w:val="26"/>
          <w:szCs w:val="26"/>
          <w:lang w:eastAsia="es-CR"/>
        </w:rPr>
        <w:drawing>
          <wp:inline distT="0" distB="0" distL="0" distR="0" wp14:anchorId="15ECDB84" wp14:editId="3AAE2494">
            <wp:extent cx="6537960" cy="1531620"/>
            <wp:effectExtent l="0" t="0" r="0" b="0"/>
            <wp:docPr id="584" name="Imagen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537960" cy="1531620"/>
                    </a:xfrm>
                    <a:prstGeom prst="rect">
                      <a:avLst/>
                    </a:prstGeom>
                    <a:noFill/>
                    <a:ln>
                      <a:noFill/>
                    </a:ln>
                  </pic:spPr>
                </pic:pic>
              </a:graphicData>
            </a:graphic>
          </wp:inline>
        </w:drawing>
      </w:r>
    </w:p>
    <w:p w14:paraId="45FA2B23" w14:textId="77777777" w:rsidR="0077456B" w:rsidRPr="0077456B" w:rsidRDefault="0077456B" w:rsidP="0077456B">
      <w:pPr>
        <w:rPr>
          <w:rFonts w:eastAsia="Times New Roman" w:cs="Calibri"/>
          <w:color w:val="1F3864"/>
          <w:sz w:val="26"/>
          <w:szCs w:val="26"/>
          <w:lang w:eastAsia="es-CR"/>
        </w:rPr>
      </w:pPr>
    </w:p>
    <w:p w14:paraId="55DEC8C3" w14:textId="092C1B1D" w:rsidR="0077456B" w:rsidRPr="0077456B" w:rsidRDefault="0077456B" w:rsidP="0077456B">
      <w:pPr>
        <w:rPr>
          <w:rFonts w:eastAsia="Times New Roman" w:cs="Calibri"/>
          <w:color w:val="1F3864"/>
          <w:sz w:val="26"/>
          <w:szCs w:val="26"/>
          <w:lang w:eastAsia="es-CR"/>
        </w:rPr>
      </w:pPr>
      <w:r w:rsidRPr="0077456B">
        <w:rPr>
          <w:rFonts w:eastAsia="Times New Roman" w:cs="Calibri"/>
          <w:noProof/>
          <w:color w:val="1F3864"/>
          <w:sz w:val="26"/>
          <w:szCs w:val="26"/>
          <w:lang w:eastAsia="es-CR"/>
        </w:rPr>
        <w:drawing>
          <wp:inline distT="0" distB="0" distL="0" distR="0" wp14:anchorId="45BE227F" wp14:editId="2A3E4F16">
            <wp:extent cx="6515100" cy="1539240"/>
            <wp:effectExtent l="0" t="0" r="0" b="0"/>
            <wp:docPr id="585" name="Imagen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515100" cy="1539240"/>
                    </a:xfrm>
                    <a:prstGeom prst="rect">
                      <a:avLst/>
                    </a:prstGeom>
                    <a:noFill/>
                    <a:ln>
                      <a:noFill/>
                    </a:ln>
                  </pic:spPr>
                </pic:pic>
              </a:graphicData>
            </a:graphic>
          </wp:inline>
        </w:drawing>
      </w:r>
    </w:p>
    <w:p w14:paraId="57D65E0D" w14:textId="49C9756B" w:rsidR="0077456B" w:rsidRPr="00112C21" w:rsidRDefault="00112C21" w:rsidP="00112C21">
      <w:pPr>
        <w:pStyle w:val="Ttulo3"/>
        <w:rPr>
          <w:rFonts w:eastAsia="Times New Roman"/>
          <w:color w:val="2F5496"/>
          <w:sz w:val="28"/>
          <w:szCs w:val="28"/>
          <w:lang w:eastAsia="es-CR"/>
        </w:rPr>
      </w:pPr>
      <w:bookmarkStart w:id="1137" w:name="_NICSP_27-_Agricultura"/>
      <w:bookmarkStart w:id="1138" w:name="_Toc82769125"/>
      <w:bookmarkStart w:id="1139" w:name="_Toc189804959"/>
      <w:bookmarkEnd w:id="1137"/>
      <w:r w:rsidRPr="0077456B">
        <w:rPr>
          <w:rFonts w:eastAsia="Times New Roman"/>
          <w:lang w:eastAsia="es-CR"/>
        </w:rPr>
        <w:t>NICSP 27- AGRICULTURA</w:t>
      </w:r>
      <w:bookmarkEnd w:id="1138"/>
      <w:bookmarkEnd w:id="1139"/>
    </w:p>
    <w:p w14:paraId="0096F7EF" w14:textId="44DC844A" w:rsidR="0077456B" w:rsidRPr="0077456B" w:rsidRDefault="0077456B" w:rsidP="0077456B">
      <w:pPr>
        <w:rPr>
          <w:rFonts w:eastAsia="Times New Roman" w:cs="Calibri"/>
          <w:color w:val="1F3864"/>
          <w:sz w:val="26"/>
          <w:szCs w:val="26"/>
          <w:lang w:eastAsia="es-CR"/>
        </w:rPr>
      </w:pPr>
      <w:r w:rsidRPr="0077456B">
        <w:rPr>
          <w:rFonts w:eastAsia="Times New Roman" w:cs="Calibri"/>
          <w:noProof/>
          <w:color w:val="1F3864"/>
          <w:sz w:val="26"/>
          <w:szCs w:val="26"/>
          <w:lang w:eastAsia="es-CR"/>
        </w:rPr>
        <w:drawing>
          <wp:inline distT="0" distB="0" distL="0" distR="0" wp14:anchorId="336CB684" wp14:editId="6CA2B048">
            <wp:extent cx="4434840" cy="1158240"/>
            <wp:effectExtent l="0" t="0" r="0" b="0"/>
            <wp:docPr id="586" name="Imagen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434840" cy="1158240"/>
                    </a:xfrm>
                    <a:prstGeom prst="rect">
                      <a:avLst/>
                    </a:prstGeom>
                    <a:noFill/>
                    <a:ln>
                      <a:noFill/>
                    </a:ln>
                  </pic:spPr>
                </pic:pic>
              </a:graphicData>
            </a:graphic>
          </wp:inline>
        </w:drawing>
      </w:r>
    </w:p>
    <w:p w14:paraId="633EBE20" w14:textId="47D7FF56" w:rsidR="0077456B" w:rsidRPr="0077456B" w:rsidRDefault="0077456B" w:rsidP="0077456B">
      <w:pPr>
        <w:rPr>
          <w:rFonts w:eastAsia="Times New Roman" w:cs="Calibri"/>
          <w:color w:val="1F3864"/>
          <w:sz w:val="26"/>
          <w:szCs w:val="26"/>
          <w:lang w:eastAsia="es-CR"/>
        </w:rPr>
      </w:pPr>
      <w:r w:rsidRPr="0077456B">
        <w:rPr>
          <w:rFonts w:eastAsia="Times New Roman" w:cs="Calibri"/>
          <w:noProof/>
          <w:color w:val="1F3864"/>
          <w:sz w:val="26"/>
          <w:szCs w:val="26"/>
          <w:lang w:eastAsia="es-CR"/>
        </w:rPr>
        <w:lastRenderedPageBreak/>
        <w:drawing>
          <wp:inline distT="0" distB="0" distL="0" distR="0" wp14:anchorId="38519B30" wp14:editId="2DBB62F8">
            <wp:extent cx="4434840" cy="1158240"/>
            <wp:effectExtent l="0" t="0" r="0" b="0"/>
            <wp:docPr id="587" name="Imagen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434840" cy="1158240"/>
                    </a:xfrm>
                    <a:prstGeom prst="rect">
                      <a:avLst/>
                    </a:prstGeom>
                    <a:noFill/>
                    <a:ln>
                      <a:noFill/>
                    </a:ln>
                  </pic:spPr>
                </pic:pic>
              </a:graphicData>
            </a:graphic>
          </wp:inline>
        </w:drawing>
      </w:r>
    </w:p>
    <w:p w14:paraId="7910CC5B" w14:textId="77777777" w:rsidR="0077456B" w:rsidRPr="0077456B" w:rsidRDefault="0077456B" w:rsidP="0077456B">
      <w:pPr>
        <w:rPr>
          <w:rFonts w:eastAsia="Times New Roman" w:cs="Calibri"/>
          <w:color w:val="1F3864"/>
          <w:sz w:val="26"/>
          <w:szCs w:val="26"/>
          <w:lang w:eastAsia="es-CR"/>
        </w:rPr>
      </w:pPr>
      <w:r w:rsidRPr="0077456B">
        <w:rPr>
          <w:rFonts w:eastAsia="Times New Roman" w:cs="Calibri"/>
          <w:noProof/>
          <w:color w:val="1F3864"/>
          <w:sz w:val="26"/>
          <w:szCs w:val="26"/>
          <w:lang w:eastAsia="es-CR"/>
        </w:rPr>
        <w:drawing>
          <wp:inline distT="0" distB="0" distL="0" distR="0" wp14:anchorId="08D09877" wp14:editId="4575D4F0">
            <wp:extent cx="5059680" cy="1158240"/>
            <wp:effectExtent l="0" t="0" r="0" b="0"/>
            <wp:docPr id="588" name="Imagen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059680" cy="1158240"/>
                    </a:xfrm>
                    <a:prstGeom prst="rect">
                      <a:avLst/>
                    </a:prstGeom>
                    <a:noFill/>
                    <a:ln>
                      <a:noFill/>
                    </a:ln>
                  </pic:spPr>
                </pic:pic>
              </a:graphicData>
            </a:graphic>
          </wp:inline>
        </w:drawing>
      </w:r>
    </w:p>
    <w:p w14:paraId="68C60676" w14:textId="77777777" w:rsidR="00112C21" w:rsidRDefault="00112C21" w:rsidP="0077456B">
      <w:pPr>
        <w:rPr>
          <w:rFonts w:eastAsia="Times New Roman" w:cs="Calibri"/>
          <w:color w:val="1F3864"/>
          <w:sz w:val="26"/>
          <w:szCs w:val="26"/>
          <w:lang w:eastAsia="es-CR"/>
        </w:rPr>
      </w:pPr>
    </w:p>
    <w:p w14:paraId="4A848B19" w14:textId="77777777" w:rsidR="007A4C70" w:rsidRPr="0077456B" w:rsidRDefault="007A4C70" w:rsidP="0077456B">
      <w:pPr>
        <w:rPr>
          <w:rFonts w:eastAsia="Times New Roman" w:cs="Calibri"/>
          <w:color w:val="1F3864"/>
          <w:sz w:val="26"/>
          <w:szCs w:val="26"/>
          <w:lang w:eastAsia="es-CR"/>
        </w:rPr>
      </w:pPr>
    </w:p>
    <w:p w14:paraId="4A64E8BB" w14:textId="4EF68830" w:rsidR="0077456B" w:rsidRPr="00112C21" w:rsidRDefault="00112C21" w:rsidP="00112C21">
      <w:pPr>
        <w:pStyle w:val="Ttulo3"/>
        <w:rPr>
          <w:rFonts w:eastAsia="Times New Roman"/>
          <w:color w:val="2F5496"/>
          <w:sz w:val="28"/>
          <w:szCs w:val="28"/>
          <w:lang w:eastAsia="es-CR"/>
        </w:rPr>
      </w:pPr>
      <w:bookmarkStart w:id="1140" w:name="_NICSP_28-_29-"/>
      <w:bookmarkStart w:id="1141" w:name="_Toc82769126"/>
      <w:bookmarkStart w:id="1142" w:name="_Toc189804960"/>
      <w:bookmarkEnd w:id="1140"/>
      <w:r w:rsidRPr="0077456B">
        <w:rPr>
          <w:rFonts w:eastAsia="Times New Roman"/>
          <w:lang w:eastAsia="es-CR"/>
        </w:rPr>
        <w:t xml:space="preserve">NICSP 28- 29- </w:t>
      </w:r>
      <w:r w:rsidR="00796636">
        <w:rPr>
          <w:rFonts w:eastAsia="Times New Roman"/>
          <w:lang w:eastAsia="es-CR"/>
        </w:rPr>
        <w:t>3</w:t>
      </w:r>
      <w:bookmarkEnd w:id="1141"/>
      <w:r w:rsidR="00587609">
        <w:rPr>
          <w:rFonts w:eastAsia="Times New Roman"/>
          <w:lang w:eastAsia="es-CR"/>
        </w:rPr>
        <w:t>0</w:t>
      </w:r>
      <w:bookmarkEnd w:id="1142"/>
    </w:p>
    <w:p w14:paraId="09CDD20C" w14:textId="57C8ED89" w:rsidR="0077456B" w:rsidRPr="00112C21" w:rsidRDefault="0077456B" w:rsidP="0077456B">
      <w:r w:rsidRPr="0077456B">
        <w:rPr>
          <w:noProof/>
          <w:lang w:eastAsia="es-CR"/>
        </w:rPr>
        <w:drawing>
          <wp:inline distT="0" distB="0" distL="0" distR="0" wp14:anchorId="5476CE82" wp14:editId="6CDD2A77">
            <wp:extent cx="5615940" cy="1028700"/>
            <wp:effectExtent l="0" t="0" r="0" b="0"/>
            <wp:docPr id="589" name="Imagen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615940" cy="1028700"/>
                    </a:xfrm>
                    <a:prstGeom prst="rect">
                      <a:avLst/>
                    </a:prstGeom>
                    <a:noFill/>
                    <a:ln>
                      <a:noFill/>
                    </a:ln>
                  </pic:spPr>
                </pic:pic>
              </a:graphicData>
            </a:graphic>
          </wp:inline>
        </w:drawing>
      </w:r>
    </w:p>
    <w:p w14:paraId="3773FF62" w14:textId="3DBF8F3C" w:rsidR="0077456B" w:rsidRPr="00112C21" w:rsidRDefault="0077456B" w:rsidP="0077456B">
      <w:r w:rsidRPr="0077456B">
        <w:rPr>
          <w:noProof/>
          <w:lang w:eastAsia="es-CR"/>
        </w:rPr>
        <w:drawing>
          <wp:inline distT="0" distB="0" distL="0" distR="0" wp14:anchorId="7BB2FDE1" wp14:editId="1CC29B40">
            <wp:extent cx="5623560" cy="1127760"/>
            <wp:effectExtent l="0" t="0" r="0" b="0"/>
            <wp:docPr id="590" name="Imagen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623560" cy="1127760"/>
                    </a:xfrm>
                    <a:prstGeom prst="rect">
                      <a:avLst/>
                    </a:prstGeom>
                    <a:noFill/>
                    <a:ln>
                      <a:noFill/>
                    </a:ln>
                  </pic:spPr>
                </pic:pic>
              </a:graphicData>
            </a:graphic>
          </wp:inline>
        </w:drawing>
      </w:r>
    </w:p>
    <w:p w14:paraId="7632BA98" w14:textId="16B2F8F9" w:rsidR="0077456B" w:rsidRPr="00112C21" w:rsidRDefault="00112C21" w:rsidP="00112C21">
      <w:pPr>
        <w:pStyle w:val="Ttulo3"/>
        <w:rPr>
          <w:rFonts w:eastAsia="Times New Roman"/>
          <w:lang w:eastAsia="es-CR"/>
        </w:rPr>
      </w:pPr>
      <w:bookmarkStart w:id="1143" w:name="_Fideicomisos"/>
      <w:bookmarkStart w:id="1144" w:name="_Toc82769127"/>
      <w:bookmarkStart w:id="1145" w:name="_Toc189804961"/>
      <w:bookmarkEnd w:id="1143"/>
      <w:r w:rsidRPr="0077456B">
        <w:rPr>
          <w:rFonts w:eastAsia="Times New Roman"/>
          <w:lang w:eastAsia="es-CR"/>
        </w:rPr>
        <w:lastRenderedPageBreak/>
        <w:t>FIDEICOMISOS</w:t>
      </w:r>
      <w:bookmarkEnd w:id="1144"/>
      <w:bookmarkEnd w:id="1145"/>
    </w:p>
    <w:p w14:paraId="132D51EE" w14:textId="77777777" w:rsidR="0077456B" w:rsidRPr="0077456B" w:rsidRDefault="0077456B" w:rsidP="0077456B">
      <w:r w:rsidRPr="0077456B">
        <w:rPr>
          <w:noProof/>
          <w:lang w:eastAsia="es-CR"/>
        </w:rPr>
        <w:drawing>
          <wp:inline distT="0" distB="0" distL="0" distR="0" wp14:anchorId="70CA9920" wp14:editId="27614747">
            <wp:extent cx="4732020" cy="4373880"/>
            <wp:effectExtent l="0" t="0" r="0" b="0"/>
            <wp:docPr id="591" name="Imagen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732020" cy="4373880"/>
                    </a:xfrm>
                    <a:prstGeom prst="rect">
                      <a:avLst/>
                    </a:prstGeom>
                    <a:noFill/>
                    <a:ln>
                      <a:noFill/>
                    </a:ln>
                  </pic:spPr>
                </pic:pic>
              </a:graphicData>
            </a:graphic>
          </wp:inline>
        </w:drawing>
      </w:r>
    </w:p>
    <w:p w14:paraId="4CACE2EA" w14:textId="5E224BC5" w:rsidR="0077456B" w:rsidRDefault="0077456B" w:rsidP="0077456B">
      <w:pPr>
        <w:rPr>
          <w:lang w:eastAsia="es-CR"/>
        </w:rPr>
      </w:pPr>
    </w:p>
    <w:p w14:paraId="64C19C75" w14:textId="77777777" w:rsidR="00112C21" w:rsidRPr="0077456B" w:rsidRDefault="00112C21" w:rsidP="0077456B">
      <w:pPr>
        <w:rPr>
          <w:lang w:eastAsia="es-CR"/>
        </w:rPr>
      </w:pPr>
    </w:p>
    <w:p w14:paraId="726A67C5" w14:textId="77777777" w:rsidR="007A4C70" w:rsidRPr="00112C21" w:rsidRDefault="00112C21" w:rsidP="007A4C70">
      <w:pPr>
        <w:pStyle w:val="Ttulo3"/>
        <w:rPr>
          <w:rFonts w:eastAsia="Times New Roman"/>
          <w:lang w:eastAsia="es-CR"/>
        </w:rPr>
      </w:pPr>
      <w:bookmarkStart w:id="1146" w:name="_NICSP_31"/>
      <w:bookmarkStart w:id="1147" w:name="_Toc82769128"/>
      <w:bookmarkStart w:id="1148" w:name="_Toc189804962"/>
      <w:bookmarkEnd w:id="1146"/>
      <w:r w:rsidRPr="0077456B">
        <w:rPr>
          <w:rFonts w:eastAsia="Times New Roman"/>
          <w:lang w:eastAsia="es-CR"/>
        </w:rPr>
        <w:t>NICSP 31</w:t>
      </w:r>
      <w:bookmarkEnd w:id="1147"/>
      <w:r w:rsidRPr="0077456B">
        <w:rPr>
          <w:rFonts w:eastAsia="Times New Roman"/>
          <w:lang w:eastAsia="es-CR"/>
        </w:rPr>
        <w:t xml:space="preserve"> </w:t>
      </w:r>
      <w:bookmarkStart w:id="1149" w:name="_Toc181086056"/>
      <w:r w:rsidR="007A4C70" w:rsidRPr="0077456B">
        <w:rPr>
          <w:rFonts w:eastAsia="Times New Roman"/>
          <w:lang w:eastAsia="es-CR"/>
        </w:rPr>
        <w:t>NICSP 31</w:t>
      </w:r>
      <w:bookmarkEnd w:id="1149"/>
      <w:bookmarkEnd w:id="1148"/>
      <w:r w:rsidR="007A4C70" w:rsidRPr="0077456B">
        <w:rPr>
          <w:rFonts w:eastAsia="Times New Roman"/>
          <w:lang w:eastAsia="es-CR"/>
        </w:rPr>
        <w:t xml:space="preserve"> </w:t>
      </w:r>
    </w:p>
    <w:tbl>
      <w:tblPr>
        <w:tblW w:w="8931" w:type="dxa"/>
        <w:tblLook w:val="04A0" w:firstRow="1" w:lastRow="0" w:firstColumn="1" w:lastColumn="0" w:noHBand="0" w:noVBand="1"/>
      </w:tblPr>
      <w:tblGrid>
        <w:gridCol w:w="939"/>
        <w:gridCol w:w="1450"/>
        <w:gridCol w:w="1275"/>
        <w:gridCol w:w="2227"/>
        <w:gridCol w:w="1532"/>
        <w:gridCol w:w="1548"/>
      </w:tblGrid>
      <w:tr w:rsidR="007A4C70" w:rsidRPr="00D95A72" w14:paraId="0CA31454" w14:textId="77777777" w:rsidTr="00B4437E">
        <w:trPr>
          <w:trHeight w:val="505"/>
        </w:trPr>
        <w:tc>
          <w:tcPr>
            <w:tcW w:w="924" w:type="dxa"/>
            <w:tcBorders>
              <w:top w:val="single" w:sz="8" w:space="0" w:color="auto"/>
              <w:left w:val="nil"/>
              <w:bottom w:val="single" w:sz="4" w:space="0" w:color="auto"/>
              <w:right w:val="single" w:sz="8" w:space="0" w:color="auto"/>
            </w:tcBorders>
            <w:shd w:val="clear" w:color="000000" w:fill="17365D"/>
            <w:vAlign w:val="center"/>
            <w:hideMark/>
          </w:tcPr>
          <w:p w14:paraId="771BF496" w14:textId="77777777" w:rsidR="007A4C70" w:rsidRPr="00D95A72" w:rsidRDefault="007A4C70" w:rsidP="00A51EF0">
            <w:pPr>
              <w:spacing w:after="0" w:line="240" w:lineRule="auto"/>
              <w:jc w:val="center"/>
              <w:rPr>
                <w:rFonts w:eastAsia="Times New Roman" w:cs="Calibri"/>
                <w:color w:val="FFFFFF"/>
                <w:sz w:val="22"/>
                <w:lang w:val="en-US"/>
              </w:rPr>
            </w:pPr>
            <w:proofErr w:type="spellStart"/>
            <w:r w:rsidRPr="00D95A72">
              <w:rPr>
                <w:rFonts w:eastAsia="Times New Roman" w:cs="Calibri"/>
                <w:color w:val="FFFFFF"/>
                <w:sz w:val="22"/>
                <w:lang w:val="en-US"/>
              </w:rPr>
              <w:t>Cantidad</w:t>
            </w:r>
            <w:proofErr w:type="spellEnd"/>
          </w:p>
        </w:tc>
        <w:tc>
          <w:tcPr>
            <w:tcW w:w="1425" w:type="dxa"/>
            <w:tcBorders>
              <w:top w:val="single" w:sz="8" w:space="0" w:color="auto"/>
              <w:left w:val="nil"/>
              <w:bottom w:val="single" w:sz="4" w:space="0" w:color="auto"/>
              <w:right w:val="single" w:sz="8" w:space="0" w:color="auto"/>
            </w:tcBorders>
            <w:shd w:val="clear" w:color="000000" w:fill="1F3864"/>
            <w:vAlign w:val="center"/>
            <w:hideMark/>
          </w:tcPr>
          <w:p w14:paraId="068320CC" w14:textId="77777777" w:rsidR="007A4C70" w:rsidRPr="00D95A72" w:rsidRDefault="007A4C70" w:rsidP="00A51EF0">
            <w:pPr>
              <w:spacing w:after="0" w:line="240" w:lineRule="auto"/>
              <w:jc w:val="center"/>
              <w:rPr>
                <w:rFonts w:eastAsia="Times New Roman" w:cs="Calibri"/>
                <w:color w:val="FFFFFF"/>
                <w:sz w:val="22"/>
                <w:lang w:val="en-US"/>
              </w:rPr>
            </w:pPr>
            <w:r w:rsidRPr="00D95A72">
              <w:rPr>
                <w:rFonts w:eastAsia="Times New Roman" w:cs="Calibri"/>
                <w:color w:val="FFFFFF"/>
                <w:sz w:val="22"/>
                <w:lang w:val="en-US"/>
              </w:rPr>
              <w:t>No._</w:t>
            </w:r>
            <w:proofErr w:type="spellStart"/>
            <w:r w:rsidRPr="00D95A72">
              <w:rPr>
                <w:rFonts w:eastAsia="Times New Roman" w:cs="Calibri"/>
                <w:color w:val="FFFFFF"/>
                <w:sz w:val="22"/>
                <w:lang w:val="en-US"/>
              </w:rPr>
              <w:t>inscripción</w:t>
            </w:r>
            <w:proofErr w:type="spellEnd"/>
          </w:p>
        </w:tc>
        <w:tc>
          <w:tcPr>
            <w:tcW w:w="1275" w:type="dxa"/>
            <w:tcBorders>
              <w:top w:val="single" w:sz="8" w:space="0" w:color="auto"/>
              <w:left w:val="nil"/>
              <w:bottom w:val="single" w:sz="4" w:space="0" w:color="auto"/>
              <w:right w:val="single" w:sz="8" w:space="0" w:color="auto"/>
            </w:tcBorders>
            <w:shd w:val="clear" w:color="000000" w:fill="1F3864"/>
            <w:vAlign w:val="center"/>
            <w:hideMark/>
          </w:tcPr>
          <w:p w14:paraId="6F8DE0CA" w14:textId="77777777" w:rsidR="007A4C70" w:rsidRPr="00D95A72" w:rsidRDefault="007A4C70" w:rsidP="00A51EF0">
            <w:pPr>
              <w:spacing w:after="0" w:line="240" w:lineRule="auto"/>
              <w:jc w:val="center"/>
              <w:rPr>
                <w:rFonts w:eastAsia="Times New Roman" w:cs="Calibri"/>
                <w:color w:val="FFFFFF"/>
                <w:sz w:val="22"/>
                <w:lang w:val="en-US"/>
              </w:rPr>
            </w:pPr>
            <w:proofErr w:type="spellStart"/>
            <w:r w:rsidRPr="00D95A72">
              <w:rPr>
                <w:rFonts w:eastAsia="Times New Roman" w:cs="Calibri"/>
                <w:color w:val="FFFFFF"/>
                <w:sz w:val="22"/>
                <w:lang w:val="en-US"/>
              </w:rPr>
              <w:t>Ubicación</w:t>
            </w:r>
            <w:proofErr w:type="spellEnd"/>
          </w:p>
        </w:tc>
        <w:tc>
          <w:tcPr>
            <w:tcW w:w="2227" w:type="dxa"/>
            <w:tcBorders>
              <w:top w:val="single" w:sz="8" w:space="0" w:color="auto"/>
              <w:left w:val="nil"/>
              <w:bottom w:val="single" w:sz="4" w:space="0" w:color="auto"/>
              <w:right w:val="single" w:sz="8" w:space="0" w:color="auto"/>
            </w:tcBorders>
            <w:shd w:val="clear" w:color="000000" w:fill="1F3864"/>
            <w:vAlign w:val="center"/>
            <w:hideMark/>
          </w:tcPr>
          <w:p w14:paraId="30F58571" w14:textId="77777777" w:rsidR="007A4C70" w:rsidRPr="00D95A72" w:rsidRDefault="007A4C70" w:rsidP="00A51EF0">
            <w:pPr>
              <w:spacing w:after="0" w:line="240" w:lineRule="auto"/>
              <w:jc w:val="center"/>
              <w:rPr>
                <w:rFonts w:eastAsia="Times New Roman" w:cs="Calibri"/>
                <w:color w:val="FFFFFF"/>
                <w:sz w:val="22"/>
                <w:lang w:val="en-US"/>
              </w:rPr>
            </w:pPr>
            <w:proofErr w:type="spellStart"/>
            <w:r>
              <w:rPr>
                <w:rFonts w:eastAsia="Times New Roman" w:cs="Calibri"/>
                <w:color w:val="FFFFFF"/>
                <w:sz w:val="22"/>
                <w:lang w:val="en-US"/>
              </w:rPr>
              <w:t>Tipo</w:t>
            </w:r>
            <w:proofErr w:type="spellEnd"/>
            <w:r>
              <w:rPr>
                <w:rFonts w:eastAsia="Times New Roman" w:cs="Calibri"/>
                <w:color w:val="FFFFFF"/>
                <w:sz w:val="22"/>
                <w:lang w:val="en-US"/>
              </w:rPr>
              <w:t xml:space="preserve"> </w:t>
            </w:r>
            <w:proofErr w:type="spellStart"/>
            <w:r w:rsidRPr="00D95A72">
              <w:rPr>
                <w:rFonts w:eastAsia="Times New Roman" w:cs="Calibri"/>
                <w:color w:val="FFFFFF"/>
                <w:sz w:val="22"/>
                <w:lang w:val="en-US"/>
              </w:rPr>
              <w:t>Activo</w:t>
            </w:r>
            <w:proofErr w:type="spellEnd"/>
          </w:p>
        </w:tc>
        <w:tc>
          <w:tcPr>
            <w:tcW w:w="1532" w:type="dxa"/>
            <w:tcBorders>
              <w:top w:val="single" w:sz="8" w:space="0" w:color="auto"/>
              <w:left w:val="nil"/>
              <w:bottom w:val="single" w:sz="4" w:space="0" w:color="auto"/>
              <w:right w:val="single" w:sz="8" w:space="0" w:color="auto"/>
            </w:tcBorders>
            <w:shd w:val="clear" w:color="000000" w:fill="1F3864"/>
            <w:vAlign w:val="center"/>
            <w:hideMark/>
          </w:tcPr>
          <w:p w14:paraId="560D14CB" w14:textId="77777777" w:rsidR="007A4C70" w:rsidRPr="00D95A72" w:rsidRDefault="007A4C70" w:rsidP="00A51EF0">
            <w:pPr>
              <w:spacing w:after="0" w:line="240" w:lineRule="auto"/>
              <w:jc w:val="center"/>
              <w:rPr>
                <w:rFonts w:eastAsia="Times New Roman" w:cs="Calibri"/>
                <w:color w:val="FFFFFF"/>
                <w:sz w:val="22"/>
                <w:lang w:val="en-US"/>
              </w:rPr>
            </w:pPr>
            <w:proofErr w:type="spellStart"/>
            <w:r w:rsidRPr="00D95A72">
              <w:rPr>
                <w:rFonts w:eastAsia="Times New Roman" w:cs="Calibri"/>
                <w:color w:val="FFFFFF"/>
                <w:sz w:val="22"/>
                <w:lang w:val="en-US"/>
              </w:rPr>
              <w:t>Vida_Útil</w:t>
            </w:r>
            <w:proofErr w:type="spellEnd"/>
          </w:p>
        </w:tc>
        <w:tc>
          <w:tcPr>
            <w:tcW w:w="1548" w:type="dxa"/>
            <w:tcBorders>
              <w:top w:val="single" w:sz="8" w:space="0" w:color="auto"/>
              <w:left w:val="nil"/>
              <w:bottom w:val="single" w:sz="4" w:space="0" w:color="auto"/>
              <w:right w:val="single" w:sz="8" w:space="0" w:color="auto"/>
            </w:tcBorders>
            <w:shd w:val="clear" w:color="000000" w:fill="1F3864"/>
            <w:vAlign w:val="center"/>
            <w:hideMark/>
          </w:tcPr>
          <w:p w14:paraId="4EE39A4B" w14:textId="77777777" w:rsidR="007A4C70" w:rsidRPr="00D95A72" w:rsidRDefault="007A4C70" w:rsidP="00A51EF0">
            <w:pPr>
              <w:spacing w:after="0" w:line="240" w:lineRule="auto"/>
              <w:jc w:val="center"/>
              <w:rPr>
                <w:rFonts w:eastAsia="Times New Roman" w:cs="Calibri"/>
                <w:color w:val="FFFFFF"/>
                <w:sz w:val="22"/>
                <w:lang w:val="en-US"/>
              </w:rPr>
            </w:pPr>
            <w:proofErr w:type="spellStart"/>
            <w:r>
              <w:rPr>
                <w:rFonts w:eastAsia="Times New Roman" w:cs="Calibri"/>
                <w:color w:val="FFFFFF"/>
                <w:sz w:val="22"/>
                <w:lang w:val="en-US"/>
              </w:rPr>
              <w:t>Observaciones</w:t>
            </w:r>
            <w:proofErr w:type="spellEnd"/>
          </w:p>
        </w:tc>
      </w:tr>
      <w:tr w:rsidR="007A4C70" w:rsidRPr="00D95A72" w14:paraId="45E5A928" w14:textId="77777777" w:rsidTr="00B4437E">
        <w:trPr>
          <w:trHeight w:val="505"/>
        </w:trPr>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4F8F43" w14:textId="42645D4B" w:rsidR="007A4C70" w:rsidRPr="00D95A72" w:rsidRDefault="007A4C70" w:rsidP="00A51EF0">
            <w:pPr>
              <w:spacing w:after="0" w:line="240" w:lineRule="auto"/>
              <w:jc w:val="center"/>
              <w:rPr>
                <w:rFonts w:eastAsia="Times New Roman" w:cs="Calibri"/>
                <w:color w:val="000000"/>
                <w:sz w:val="22"/>
                <w:lang w:val="en-US"/>
              </w:rPr>
            </w:pPr>
            <w:r>
              <w:rPr>
                <w:rFonts w:eastAsia="Times New Roman" w:cs="Calibri"/>
                <w:color w:val="000000"/>
                <w:sz w:val="22"/>
                <w:lang w:val="en-US"/>
              </w:rPr>
              <w:t>1</w:t>
            </w:r>
          </w:p>
        </w:tc>
        <w:tc>
          <w:tcPr>
            <w:tcW w:w="1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37F8BE" w14:textId="77777777" w:rsidR="007A4C70" w:rsidRPr="00D95A72" w:rsidRDefault="007A4C70" w:rsidP="00A51EF0">
            <w:pPr>
              <w:spacing w:after="0" w:line="240" w:lineRule="auto"/>
              <w:jc w:val="center"/>
              <w:rPr>
                <w:rFonts w:eastAsia="Times New Roman" w:cs="Calibri"/>
                <w:color w:val="000000"/>
                <w:sz w:val="22"/>
                <w:lang w:val="en-US"/>
              </w:rPr>
            </w:pPr>
            <w:r>
              <w:rPr>
                <w:rFonts w:eastAsia="Times New Roman" w:cs="Calibri"/>
                <w:color w:val="000000"/>
                <w:sz w:val="22"/>
                <w:lang w:val="en-US"/>
              </w:rPr>
              <w:t>N/A</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E9771" w14:textId="77777777" w:rsidR="007A4C70" w:rsidRPr="00D95A72" w:rsidRDefault="007A4C70" w:rsidP="00A51EF0">
            <w:pPr>
              <w:spacing w:after="0" w:line="240" w:lineRule="auto"/>
              <w:jc w:val="center"/>
              <w:rPr>
                <w:rFonts w:eastAsia="Times New Roman" w:cs="Calibri"/>
                <w:color w:val="000000"/>
                <w:sz w:val="22"/>
                <w:lang w:val="en-US"/>
              </w:rPr>
            </w:pPr>
            <w:r w:rsidRPr="00D95A72">
              <w:rPr>
                <w:rFonts w:eastAsia="Times New Roman" w:cs="Calibri"/>
                <w:color w:val="000000"/>
                <w:sz w:val="22"/>
                <w:lang w:val="en-US"/>
              </w:rPr>
              <w:t>TIC</w:t>
            </w:r>
          </w:p>
        </w:tc>
        <w:tc>
          <w:tcPr>
            <w:tcW w:w="22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14C529" w14:textId="77777777" w:rsidR="007A4C70" w:rsidRPr="00D95A72" w:rsidRDefault="007A4C70" w:rsidP="00A51EF0">
            <w:pPr>
              <w:spacing w:after="0" w:line="240" w:lineRule="auto"/>
              <w:jc w:val="left"/>
              <w:rPr>
                <w:rFonts w:eastAsia="Times New Roman" w:cs="Calibri"/>
                <w:color w:val="000000"/>
                <w:sz w:val="22"/>
                <w:lang w:val="en-US"/>
              </w:rPr>
            </w:pPr>
            <w:r w:rsidRPr="00D95A72">
              <w:rPr>
                <w:rFonts w:eastAsia="Times New Roman" w:cs="Calibri"/>
                <w:color w:val="000000"/>
                <w:sz w:val="22"/>
                <w:lang w:val="en-US"/>
              </w:rPr>
              <w:t xml:space="preserve">Derechos de </w:t>
            </w:r>
            <w:proofErr w:type="spellStart"/>
            <w:r w:rsidRPr="00D95A72">
              <w:rPr>
                <w:rFonts w:eastAsia="Times New Roman" w:cs="Calibri"/>
                <w:color w:val="000000"/>
                <w:sz w:val="22"/>
                <w:lang w:val="en-US"/>
              </w:rPr>
              <w:t>Licencias</w:t>
            </w:r>
            <w:proofErr w:type="spellEnd"/>
          </w:p>
        </w:tc>
        <w:tc>
          <w:tcPr>
            <w:tcW w:w="1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DC7A13" w14:textId="77777777" w:rsidR="007A4C70" w:rsidRPr="00D95A72" w:rsidRDefault="007A4C70" w:rsidP="00A51EF0">
            <w:pPr>
              <w:spacing w:after="0" w:line="240" w:lineRule="auto"/>
              <w:jc w:val="left"/>
              <w:rPr>
                <w:rFonts w:eastAsia="Times New Roman" w:cs="Calibri"/>
                <w:color w:val="000000"/>
                <w:sz w:val="22"/>
                <w:lang w:val="en-US"/>
              </w:rPr>
            </w:pPr>
            <w:proofErr w:type="spellStart"/>
            <w:r w:rsidRPr="00D95A72">
              <w:rPr>
                <w:rFonts w:eastAsia="Times New Roman" w:cs="Calibri"/>
                <w:color w:val="000000"/>
                <w:sz w:val="22"/>
                <w:lang w:val="en-US"/>
              </w:rPr>
              <w:t>Indefinida</w:t>
            </w:r>
            <w:proofErr w:type="spellEnd"/>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443659" w14:textId="77777777" w:rsidR="007A4C70" w:rsidRPr="00D95A72" w:rsidRDefault="007A4C70" w:rsidP="00A51EF0">
            <w:pPr>
              <w:spacing w:after="0" w:line="240" w:lineRule="auto"/>
              <w:jc w:val="center"/>
              <w:rPr>
                <w:rFonts w:eastAsia="Times New Roman" w:cs="Calibri"/>
                <w:color w:val="000000"/>
                <w:sz w:val="22"/>
                <w:lang w:val="en-US"/>
              </w:rPr>
            </w:pPr>
          </w:p>
        </w:tc>
      </w:tr>
      <w:tr w:rsidR="007A4C70" w:rsidRPr="00D95A72" w14:paraId="7C11C232" w14:textId="77777777" w:rsidTr="00B4437E">
        <w:trPr>
          <w:trHeight w:val="505"/>
        </w:trPr>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21F1B7" w14:textId="1F5BCF61" w:rsidR="007A4C70" w:rsidRPr="00D95A72" w:rsidRDefault="007A4C70" w:rsidP="00A51EF0">
            <w:pPr>
              <w:spacing w:after="0" w:line="240" w:lineRule="auto"/>
              <w:jc w:val="center"/>
              <w:rPr>
                <w:rFonts w:eastAsia="Times New Roman" w:cs="Calibri"/>
                <w:color w:val="000000"/>
                <w:sz w:val="22"/>
                <w:lang w:val="en-US"/>
              </w:rPr>
            </w:pPr>
            <w:r>
              <w:rPr>
                <w:rFonts w:eastAsia="Times New Roman" w:cs="Calibri"/>
                <w:color w:val="000000"/>
                <w:sz w:val="22"/>
                <w:lang w:val="en-US"/>
              </w:rPr>
              <w:t>2</w:t>
            </w:r>
          </w:p>
        </w:tc>
        <w:tc>
          <w:tcPr>
            <w:tcW w:w="1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42EFA4" w14:textId="4188932B" w:rsidR="007A4C70" w:rsidRDefault="007A4C70" w:rsidP="00A51EF0">
            <w:pPr>
              <w:spacing w:after="0" w:line="240" w:lineRule="auto"/>
              <w:jc w:val="center"/>
              <w:rPr>
                <w:rFonts w:eastAsia="Times New Roman" w:cs="Calibri"/>
                <w:color w:val="000000"/>
                <w:sz w:val="22"/>
                <w:lang w:val="en-US"/>
              </w:rPr>
            </w:pPr>
            <w:r>
              <w:rPr>
                <w:rFonts w:eastAsia="Times New Roman" w:cs="Calibri"/>
                <w:color w:val="000000"/>
                <w:sz w:val="22"/>
                <w:lang w:val="en-US"/>
              </w:rPr>
              <w:t>N/A</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F051A7" w14:textId="77777777" w:rsidR="007A4C70" w:rsidRPr="00D95A72" w:rsidRDefault="007A4C70" w:rsidP="00A51EF0">
            <w:pPr>
              <w:spacing w:after="0" w:line="240" w:lineRule="auto"/>
              <w:jc w:val="center"/>
              <w:rPr>
                <w:rFonts w:eastAsia="Times New Roman" w:cs="Calibri"/>
                <w:color w:val="000000"/>
                <w:sz w:val="22"/>
                <w:lang w:val="en-US"/>
              </w:rPr>
            </w:pPr>
          </w:p>
        </w:tc>
        <w:tc>
          <w:tcPr>
            <w:tcW w:w="22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793CE0" w14:textId="3D6C46F3" w:rsidR="007A4C70" w:rsidRPr="00D95A72" w:rsidRDefault="007A4C70" w:rsidP="00A51EF0">
            <w:pPr>
              <w:spacing w:after="0" w:line="240" w:lineRule="auto"/>
              <w:jc w:val="left"/>
              <w:rPr>
                <w:rFonts w:eastAsia="Times New Roman" w:cs="Calibri"/>
                <w:color w:val="000000"/>
                <w:sz w:val="22"/>
                <w:lang w:val="en-US"/>
              </w:rPr>
            </w:pPr>
            <w:r>
              <w:rPr>
                <w:rFonts w:eastAsia="Times New Roman" w:cs="Calibri"/>
                <w:color w:val="000000"/>
                <w:sz w:val="22"/>
                <w:lang w:val="en-US"/>
              </w:rPr>
              <w:t>Publicidad</w:t>
            </w:r>
          </w:p>
        </w:tc>
        <w:tc>
          <w:tcPr>
            <w:tcW w:w="15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21229B" w14:textId="1640A0E0" w:rsidR="007A4C70" w:rsidRPr="00D95A72" w:rsidRDefault="007A4C70" w:rsidP="00A51EF0">
            <w:pPr>
              <w:spacing w:after="0" w:line="240" w:lineRule="auto"/>
              <w:jc w:val="left"/>
              <w:rPr>
                <w:rFonts w:eastAsia="Times New Roman" w:cs="Calibri"/>
                <w:color w:val="000000"/>
                <w:sz w:val="22"/>
                <w:lang w:val="en-US"/>
              </w:rPr>
            </w:pPr>
            <w:proofErr w:type="spellStart"/>
            <w:r w:rsidRPr="00D95A72">
              <w:rPr>
                <w:rFonts w:eastAsia="Times New Roman" w:cs="Calibri"/>
                <w:color w:val="000000"/>
                <w:sz w:val="22"/>
                <w:lang w:val="en-US"/>
              </w:rPr>
              <w:t>Indefinida</w:t>
            </w:r>
            <w:proofErr w:type="spellEnd"/>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398E38" w14:textId="77777777" w:rsidR="007A4C70" w:rsidRPr="00D95A72" w:rsidRDefault="007A4C70" w:rsidP="00A51EF0">
            <w:pPr>
              <w:spacing w:after="0" w:line="240" w:lineRule="auto"/>
              <w:jc w:val="center"/>
              <w:rPr>
                <w:rFonts w:eastAsia="Times New Roman" w:cs="Calibri"/>
                <w:color w:val="000000"/>
                <w:sz w:val="22"/>
                <w:lang w:val="en-US"/>
              </w:rPr>
            </w:pPr>
          </w:p>
        </w:tc>
      </w:tr>
    </w:tbl>
    <w:p w14:paraId="0C677054" w14:textId="16973F8C" w:rsidR="0077456B" w:rsidRPr="00112C21" w:rsidRDefault="0077456B" w:rsidP="00112C21">
      <w:pPr>
        <w:pStyle w:val="Ttulo3"/>
        <w:rPr>
          <w:rFonts w:eastAsia="Times New Roman"/>
          <w:lang w:eastAsia="es-CR"/>
        </w:rPr>
      </w:pPr>
    </w:p>
    <w:p w14:paraId="774CF32B" w14:textId="0EF20808" w:rsidR="0077456B" w:rsidRPr="0077456B" w:rsidRDefault="0077456B" w:rsidP="0077456B">
      <w:pPr>
        <w:rPr>
          <w:lang w:eastAsia="es-CR"/>
        </w:rPr>
      </w:pPr>
      <w:r w:rsidRPr="0077456B">
        <w:rPr>
          <w:noProof/>
          <w:lang w:eastAsia="es-CR"/>
        </w:rPr>
        <w:drawing>
          <wp:inline distT="0" distB="0" distL="0" distR="0" wp14:anchorId="59F842F0" wp14:editId="762ADB0B">
            <wp:extent cx="5608320" cy="784860"/>
            <wp:effectExtent l="0" t="0" r="0" b="0"/>
            <wp:docPr id="592" name="Imagen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608320" cy="784860"/>
                    </a:xfrm>
                    <a:prstGeom prst="rect">
                      <a:avLst/>
                    </a:prstGeom>
                    <a:noFill/>
                    <a:ln>
                      <a:noFill/>
                    </a:ln>
                  </pic:spPr>
                </pic:pic>
              </a:graphicData>
            </a:graphic>
          </wp:inline>
        </w:drawing>
      </w:r>
    </w:p>
    <w:p w14:paraId="36E1CC5A" w14:textId="77777777" w:rsidR="0077456B" w:rsidRPr="002007F6" w:rsidRDefault="0077456B" w:rsidP="00AB6161"/>
    <w:sectPr w:rsidR="0077456B" w:rsidRPr="002007F6">
      <w:footerReference w:type="default" r:id="rId9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0480F0" w14:textId="77777777" w:rsidR="00C53097" w:rsidRDefault="00C53097" w:rsidP="000522B4">
      <w:pPr>
        <w:spacing w:after="0" w:line="240" w:lineRule="auto"/>
      </w:pPr>
      <w:r>
        <w:separator/>
      </w:r>
    </w:p>
  </w:endnote>
  <w:endnote w:type="continuationSeparator" w:id="0">
    <w:p w14:paraId="2E4B718E" w14:textId="77777777" w:rsidR="00C53097" w:rsidRDefault="00C53097" w:rsidP="000522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HendersonSansW00-BasicLight">
    <w:altName w:val="Henderson Sans W"/>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3999245"/>
      <w:docPartObj>
        <w:docPartGallery w:val="Page Numbers (Bottom of Page)"/>
        <w:docPartUnique/>
      </w:docPartObj>
    </w:sdtPr>
    <w:sdtContent>
      <w:p w14:paraId="3C788DD5" w14:textId="3B307CBA" w:rsidR="00C53097" w:rsidRDefault="00C53097">
        <w:pPr>
          <w:pStyle w:val="Piedepgina"/>
          <w:jc w:val="right"/>
        </w:pPr>
        <w:r>
          <w:fldChar w:fldCharType="begin"/>
        </w:r>
        <w:r>
          <w:instrText>PAGE   \* MERGEFORMAT</w:instrText>
        </w:r>
        <w:r>
          <w:fldChar w:fldCharType="separate"/>
        </w:r>
        <w:r w:rsidR="00871BA4" w:rsidRPr="00871BA4">
          <w:rPr>
            <w:noProof/>
            <w:lang w:val="es-ES"/>
          </w:rPr>
          <w:t>80</w:t>
        </w:r>
        <w:r>
          <w:fldChar w:fldCharType="end"/>
        </w:r>
      </w:p>
    </w:sdtContent>
  </w:sdt>
  <w:p w14:paraId="36F29E95" w14:textId="77777777" w:rsidR="00C53097" w:rsidRDefault="00C5309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89CD6A" w14:textId="77777777" w:rsidR="00C53097" w:rsidRDefault="00C53097" w:rsidP="000522B4">
      <w:pPr>
        <w:spacing w:after="0" w:line="240" w:lineRule="auto"/>
      </w:pPr>
      <w:r>
        <w:separator/>
      </w:r>
    </w:p>
  </w:footnote>
  <w:footnote w:type="continuationSeparator" w:id="0">
    <w:p w14:paraId="3681AE85" w14:textId="77777777" w:rsidR="00C53097" w:rsidRDefault="00C53097" w:rsidP="000522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D0851F5"/>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62B969B"/>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1FF3DEC"/>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C8F7675"/>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FFFFFF81"/>
    <w:multiLevelType w:val="singleLevel"/>
    <w:tmpl w:val="EDF6784A"/>
    <w:lvl w:ilvl="0">
      <w:start w:val="1"/>
      <w:numFmt w:val="bullet"/>
      <w:pStyle w:val="Listaconvietas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3762FCBE"/>
    <w:lvl w:ilvl="0">
      <w:start w:val="1"/>
      <w:numFmt w:val="bullet"/>
      <w:pStyle w:val="Listaconvietas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3AF8B80E"/>
    <w:lvl w:ilvl="0">
      <w:start w:val="1"/>
      <w:numFmt w:val="bullet"/>
      <w:pStyle w:val="Listaconvietas2"/>
      <w:lvlText w:val=""/>
      <w:lvlJc w:val="left"/>
      <w:pPr>
        <w:tabs>
          <w:tab w:val="num" w:pos="643"/>
        </w:tabs>
        <w:ind w:left="643" w:hanging="360"/>
      </w:pPr>
      <w:rPr>
        <w:rFonts w:ascii="Symbol" w:hAnsi="Symbol" w:hint="default"/>
      </w:rPr>
    </w:lvl>
  </w:abstractNum>
  <w:abstractNum w:abstractNumId="7" w15:restartNumberingAfterBreak="0">
    <w:nsid w:val="00A313D8"/>
    <w:multiLevelType w:val="hybridMultilevel"/>
    <w:tmpl w:val="AA2A9440"/>
    <w:lvl w:ilvl="0" w:tplc="FFFFFFFF">
      <w:start w:val="1"/>
      <w:numFmt w:val="ideographDigital"/>
      <w:lvlText w:val=""/>
      <w:lvlJc w:val="left"/>
    </w:lvl>
    <w:lvl w:ilvl="1" w:tplc="04090017">
      <w:start w:val="1"/>
      <w:numFmt w:val="lowerLetter"/>
      <w:lvlText w:val="%2)"/>
      <w:lvlJc w:val="left"/>
      <w:pPr>
        <w:ind w:left="36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ED40B0"/>
    <w:multiLevelType w:val="hybridMultilevel"/>
    <w:tmpl w:val="230E568A"/>
    <w:lvl w:ilvl="0" w:tplc="C5FE3D1E">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08136183"/>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AF51632"/>
    <w:multiLevelType w:val="hybridMultilevel"/>
    <w:tmpl w:val="F490F09A"/>
    <w:lvl w:ilvl="0" w:tplc="D67E569C">
      <w:start w:val="1"/>
      <w:numFmt w:val="lowerLetter"/>
      <w:lvlText w:val="(%1)"/>
      <w:lvlJc w:val="left"/>
      <w:pPr>
        <w:ind w:left="720" w:hanging="360"/>
      </w:pPr>
      <w:rPr>
        <w:rFont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0B0A3122"/>
    <w:multiLevelType w:val="hybridMultilevel"/>
    <w:tmpl w:val="5DDA09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F1D113C"/>
    <w:multiLevelType w:val="hybridMultilevel"/>
    <w:tmpl w:val="0180D350"/>
    <w:lvl w:ilvl="0" w:tplc="140A0017">
      <w:start w:val="1"/>
      <w:numFmt w:val="lowerLetter"/>
      <w:lvlText w:val="%1)"/>
      <w:lvlJc w:val="left"/>
      <w:pPr>
        <w:ind w:left="720" w:hanging="360"/>
      </w:pPr>
      <w:rPr>
        <w:rFonts w:hint="default"/>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0FE8624F"/>
    <w:multiLevelType w:val="hybridMultilevel"/>
    <w:tmpl w:val="16B44D7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18A1ADB"/>
    <w:multiLevelType w:val="multilevel"/>
    <w:tmpl w:val="23CA65DC"/>
    <w:lvl w:ilvl="0">
      <w:start w:val="1"/>
      <w:numFmt w:val="decimal"/>
      <w:lvlText w:val="%1."/>
      <w:lvlJc w:val="left"/>
      <w:pPr>
        <w:ind w:left="720" w:hanging="360"/>
      </w:pPr>
      <w:rPr>
        <w:rFonts w:hint="default"/>
        <w:b/>
      </w:rPr>
    </w:lvl>
    <w:lvl w:ilvl="1">
      <w:start w:val="1"/>
      <w:numFmt w:val="decimal"/>
      <w:isLgl/>
      <w:lvlText w:val="%1.%2"/>
      <w:lvlJc w:val="left"/>
      <w:pPr>
        <w:ind w:left="792" w:hanging="432"/>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160E4CA9"/>
    <w:multiLevelType w:val="hybridMultilevel"/>
    <w:tmpl w:val="7EFE68D2"/>
    <w:lvl w:ilvl="0" w:tplc="F2CAEEBE">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F71799"/>
    <w:multiLevelType w:val="hybridMultilevel"/>
    <w:tmpl w:val="8692003C"/>
    <w:lvl w:ilvl="0" w:tplc="04090017">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1BF41310"/>
    <w:multiLevelType w:val="hybridMultilevel"/>
    <w:tmpl w:val="AC42E8E6"/>
    <w:lvl w:ilvl="0" w:tplc="A7A264C8">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209F1E46"/>
    <w:multiLevelType w:val="hybridMultilevel"/>
    <w:tmpl w:val="5BC8636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28225891"/>
    <w:multiLevelType w:val="hybridMultilevel"/>
    <w:tmpl w:val="D29C3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F423A3"/>
    <w:multiLevelType w:val="hybridMultilevel"/>
    <w:tmpl w:val="3118AB54"/>
    <w:lvl w:ilvl="0" w:tplc="FFFFFFFF">
      <w:start w:val="1"/>
      <w:numFmt w:val="ideographDigital"/>
      <w:lvlText w:val=""/>
      <w:lvlJc w:val="left"/>
    </w:lvl>
    <w:lvl w:ilvl="1" w:tplc="04090017">
      <w:start w:val="1"/>
      <w:numFmt w:val="lowerLetter"/>
      <w:lvlText w:val="%2)"/>
      <w:lvlJc w:val="left"/>
      <w:pPr>
        <w:ind w:left="36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2BE531C1"/>
    <w:multiLevelType w:val="hybridMultilevel"/>
    <w:tmpl w:val="F898A2C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2D64099F"/>
    <w:multiLevelType w:val="hybridMultilevel"/>
    <w:tmpl w:val="8F5EAF68"/>
    <w:lvl w:ilvl="0" w:tplc="04090017">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3" w15:restartNumberingAfterBreak="0">
    <w:nsid w:val="2D78003E"/>
    <w:multiLevelType w:val="hybridMultilevel"/>
    <w:tmpl w:val="BFE65CC8"/>
    <w:lvl w:ilvl="0" w:tplc="04090017">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30306BFB"/>
    <w:multiLevelType w:val="singleLevel"/>
    <w:tmpl w:val="0F94263C"/>
    <w:lvl w:ilvl="0">
      <w:start w:val="1"/>
      <w:numFmt w:val="bullet"/>
      <w:pStyle w:val="Listaconvietas5"/>
      <w:lvlText w:val=""/>
      <w:lvlJc w:val="left"/>
      <w:pPr>
        <w:tabs>
          <w:tab w:val="num" w:pos="757"/>
        </w:tabs>
        <w:ind w:left="737" w:hanging="340"/>
      </w:pPr>
      <w:rPr>
        <w:rFonts w:ascii="Monotype Sorts" w:hAnsi="Monotype Sorts" w:hint="default"/>
      </w:rPr>
    </w:lvl>
  </w:abstractNum>
  <w:abstractNum w:abstractNumId="25" w15:restartNumberingAfterBreak="0">
    <w:nsid w:val="31067B55"/>
    <w:multiLevelType w:val="hybridMultilevel"/>
    <w:tmpl w:val="95AC71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5233DE0"/>
    <w:multiLevelType w:val="hybridMultilevel"/>
    <w:tmpl w:val="6AC6B804"/>
    <w:lvl w:ilvl="0" w:tplc="04090017">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36D30C09"/>
    <w:multiLevelType w:val="hybridMultilevel"/>
    <w:tmpl w:val="87F4FF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AF3823C"/>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3D4D79DE"/>
    <w:multiLevelType w:val="hybridMultilevel"/>
    <w:tmpl w:val="2EAA7C60"/>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0" w15:restartNumberingAfterBreak="0">
    <w:nsid w:val="3EAB7377"/>
    <w:multiLevelType w:val="hybridMultilevel"/>
    <w:tmpl w:val="E592B436"/>
    <w:lvl w:ilvl="0" w:tplc="04090019">
      <w:start w:val="1"/>
      <w:numFmt w:val="lowerLetter"/>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2434579"/>
    <w:multiLevelType w:val="hybridMultilevel"/>
    <w:tmpl w:val="5748D028"/>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431F3EC2"/>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435E253B"/>
    <w:multiLevelType w:val="hybridMultilevel"/>
    <w:tmpl w:val="5BF8998E"/>
    <w:lvl w:ilvl="0" w:tplc="FFFFFFFF">
      <w:start w:val="1"/>
      <w:numFmt w:val="lowerLetter"/>
      <w:lvlText w:val="%1)"/>
      <w:lvlJc w:val="left"/>
      <w:pPr>
        <w:ind w:left="720" w:hanging="360"/>
      </w:pPr>
    </w:lvl>
    <w:lvl w:ilvl="1" w:tplc="04090017">
      <w:start w:val="1"/>
      <w:numFmt w:val="low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458A12E4"/>
    <w:multiLevelType w:val="hybridMultilevel"/>
    <w:tmpl w:val="B08ED42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6863A11"/>
    <w:multiLevelType w:val="hybridMultilevel"/>
    <w:tmpl w:val="13086F48"/>
    <w:lvl w:ilvl="0" w:tplc="082CEF4E">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6" w15:restartNumberingAfterBreak="0">
    <w:nsid w:val="47CF042E"/>
    <w:multiLevelType w:val="hybridMultilevel"/>
    <w:tmpl w:val="104EF16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FB111D8"/>
    <w:multiLevelType w:val="hybridMultilevel"/>
    <w:tmpl w:val="9C829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EC56A4E"/>
    <w:multiLevelType w:val="hybridMultilevel"/>
    <w:tmpl w:val="8012A048"/>
    <w:lvl w:ilvl="0" w:tplc="5C20D2B2">
      <w:start w:val="1"/>
      <w:numFmt w:val="lowerRoman"/>
      <w:lvlText w:val="(%1)"/>
      <w:lvlJc w:val="left"/>
      <w:pPr>
        <w:ind w:left="1440" w:hanging="72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39" w15:restartNumberingAfterBreak="0">
    <w:nsid w:val="60100F40"/>
    <w:multiLevelType w:val="hybridMultilevel"/>
    <w:tmpl w:val="9B06C06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2CC011A"/>
    <w:multiLevelType w:val="singleLevel"/>
    <w:tmpl w:val="CDE67EBC"/>
    <w:lvl w:ilvl="0">
      <w:start w:val="1"/>
      <w:numFmt w:val="bullet"/>
      <w:pStyle w:val="Listaconvietas"/>
      <w:lvlText w:val=""/>
      <w:lvlJc w:val="left"/>
      <w:pPr>
        <w:tabs>
          <w:tab w:val="num" w:pos="851"/>
        </w:tabs>
        <w:ind w:left="851" w:hanging="454"/>
      </w:pPr>
      <w:rPr>
        <w:rFonts w:ascii="Wingdings" w:hAnsi="Wingdings" w:hint="default"/>
      </w:rPr>
    </w:lvl>
  </w:abstractNum>
  <w:abstractNum w:abstractNumId="41" w15:restartNumberingAfterBreak="0">
    <w:nsid w:val="65413D6E"/>
    <w:multiLevelType w:val="hybridMultilevel"/>
    <w:tmpl w:val="797A9A7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2" w15:restartNumberingAfterBreak="0">
    <w:nsid w:val="6668779E"/>
    <w:multiLevelType w:val="hybridMultilevel"/>
    <w:tmpl w:val="0C5A16BE"/>
    <w:lvl w:ilvl="0" w:tplc="FFFFFFFF">
      <w:start w:val="1"/>
      <w:numFmt w:val="lowerRoman"/>
      <w:lvlText w:val="%1"/>
      <w:lvlJc w:val="left"/>
    </w:lvl>
    <w:lvl w:ilvl="1" w:tplc="082CEF4E">
      <w:start w:val="1"/>
      <w:numFmt w:val="upperRoman"/>
      <w:lvlText w:val="%2-"/>
      <w:lvlJc w:val="left"/>
      <w:pPr>
        <w:ind w:left="720" w:hanging="360"/>
      </w:pPr>
      <w:rPr>
        <w:rFonts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67586A2B"/>
    <w:multiLevelType w:val="hybridMultilevel"/>
    <w:tmpl w:val="DBE21FD8"/>
    <w:lvl w:ilvl="0" w:tplc="8754166E">
      <w:start w:val="1"/>
      <w:numFmt w:val="lowerRoman"/>
      <w:lvlText w:val="(%1)"/>
      <w:lvlJc w:val="left"/>
      <w:pPr>
        <w:ind w:left="2160" w:hanging="720"/>
      </w:pPr>
      <w:rPr>
        <w:rFonts w:hint="default"/>
      </w:rPr>
    </w:lvl>
    <w:lvl w:ilvl="1" w:tplc="140A0019" w:tentative="1">
      <w:start w:val="1"/>
      <w:numFmt w:val="lowerLetter"/>
      <w:lvlText w:val="%2."/>
      <w:lvlJc w:val="left"/>
      <w:pPr>
        <w:ind w:left="2520" w:hanging="360"/>
      </w:pPr>
    </w:lvl>
    <w:lvl w:ilvl="2" w:tplc="140A001B" w:tentative="1">
      <w:start w:val="1"/>
      <w:numFmt w:val="lowerRoman"/>
      <w:lvlText w:val="%3."/>
      <w:lvlJc w:val="right"/>
      <w:pPr>
        <w:ind w:left="3240" w:hanging="180"/>
      </w:pPr>
    </w:lvl>
    <w:lvl w:ilvl="3" w:tplc="140A000F" w:tentative="1">
      <w:start w:val="1"/>
      <w:numFmt w:val="decimal"/>
      <w:lvlText w:val="%4."/>
      <w:lvlJc w:val="left"/>
      <w:pPr>
        <w:ind w:left="3960" w:hanging="360"/>
      </w:pPr>
    </w:lvl>
    <w:lvl w:ilvl="4" w:tplc="140A0019" w:tentative="1">
      <w:start w:val="1"/>
      <w:numFmt w:val="lowerLetter"/>
      <w:lvlText w:val="%5."/>
      <w:lvlJc w:val="left"/>
      <w:pPr>
        <w:ind w:left="4680" w:hanging="360"/>
      </w:pPr>
    </w:lvl>
    <w:lvl w:ilvl="5" w:tplc="140A001B" w:tentative="1">
      <w:start w:val="1"/>
      <w:numFmt w:val="lowerRoman"/>
      <w:lvlText w:val="%6."/>
      <w:lvlJc w:val="right"/>
      <w:pPr>
        <w:ind w:left="5400" w:hanging="180"/>
      </w:pPr>
    </w:lvl>
    <w:lvl w:ilvl="6" w:tplc="140A000F" w:tentative="1">
      <w:start w:val="1"/>
      <w:numFmt w:val="decimal"/>
      <w:lvlText w:val="%7."/>
      <w:lvlJc w:val="left"/>
      <w:pPr>
        <w:ind w:left="6120" w:hanging="360"/>
      </w:pPr>
    </w:lvl>
    <w:lvl w:ilvl="7" w:tplc="140A0019" w:tentative="1">
      <w:start w:val="1"/>
      <w:numFmt w:val="lowerLetter"/>
      <w:lvlText w:val="%8."/>
      <w:lvlJc w:val="left"/>
      <w:pPr>
        <w:ind w:left="6840" w:hanging="360"/>
      </w:pPr>
    </w:lvl>
    <w:lvl w:ilvl="8" w:tplc="140A001B" w:tentative="1">
      <w:start w:val="1"/>
      <w:numFmt w:val="lowerRoman"/>
      <w:lvlText w:val="%9."/>
      <w:lvlJc w:val="right"/>
      <w:pPr>
        <w:ind w:left="7560" w:hanging="180"/>
      </w:pPr>
    </w:lvl>
  </w:abstractNum>
  <w:abstractNum w:abstractNumId="44" w15:restartNumberingAfterBreak="0">
    <w:nsid w:val="688D3A71"/>
    <w:multiLevelType w:val="hybridMultilevel"/>
    <w:tmpl w:val="5D04F1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B66E13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6CBE15AB"/>
    <w:multiLevelType w:val="multilevel"/>
    <w:tmpl w:val="5E24E64E"/>
    <w:lvl w:ilvl="0">
      <w:start w:val="1"/>
      <w:numFmt w:val="decimal"/>
      <w:pStyle w:val="NumberedParagraph-BulletelistLeft0Firstline0"/>
      <w:lvlText w:val="%1."/>
      <w:lvlJc w:val="right"/>
      <w:pPr>
        <w:tabs>
          <w:tab w:val="num" w:pos="720"/>
        </w:tabs>
        <w:ind w:left="720" w:hanging="360"/>
      </w:pPr>
      <w:rPr>
        <w:rFonts w:cs="Times New Roman" w:hint="default"/>
        <w:b w:val="0"/>
        <w:i w:val="0"/>
      </w:rPr>
    </w:lvl>
    <w:lvl w:ilvl="1">
      <w:start w:val="1"/>
      <w:numFmt w:val="lowerLetter"/>
      <w:lvlText w:val="(%2)"/>
      <w:lvlJc w:val="right"/>
      <w:pPr>
        <w:tabs>
          <w:tab w:val="num" w:pos="1325"/>
        </w:tabs>
        <w:ind w:left="1325" w:hanging="360"/>
      </w:pPr>
      <w:rPr>
        <w:rFonts w:cs="Times New Roman" w:hint="default"/>
        <w:b w:val="0"/>
      </w:rPr>
    </w:lvl>
    <w:lvl w:ilvl="2">
      <w:start w:val="1"/>
      <w:numFmt w:val="lowerRoman"/>
      <w:lvlText w:val="(%3)"/>
      <w:lvlJc w:val="right"/>
      <w:pPr>
        <w:tabs>
          <w:tab w:val="num" w:pos="1872"/>
        </w:tabs>
        <w:ind w:left="1872" w:hanging="360"/>
      </w:pPr>
      <w:rPr>
        <w:rFonts w:cs="Times New Roman" w:hint="default"/>
        <w:b w:val="0"/>
      </w:rPr>
    </w:lvl>
    <w:lvl w:ilvl="3">
      <w:start w:val="1"/>
      <w:numFmt w:val="decimal"/>
      <w:lvlText w:val="(%4)"/>
      <w:lvlJc w:val="left"/>
      <w:pPr>
        <w:tabs>
          <w:tab w:val="num" w:pos="2160"/>
        </w:tabs>
        <w:ind w:left="2160" w:hanging="360"/>
      </w:pPr>
      <w:rPr>
        <w:rFonts w:cs="Times New Roman" w:hint="default"/>
      </w:rPr>
    </w:lvl>
    <w:lvl w:ilvl="4">
      <w:start w:val="1"/>
      <w:numFmt w:val="lowerLetter"/>
      <w:lvlText w:val="(%5)"/>
      <w:lvlJc w:val="left"/>
      <w:pPr>
        <w:tabs>
          <w:tab w:val="num" w:pos="2520"/>
        </w:tabs>
        <w:ind w:left="2520" w:hanging="360"/>
      </w:pPr>
      <w:rPr>
        <w:rFonts w:cs="Times New Roman" w:hint="default"/>
      </w:rPr>
    </w:lvl>
    <w:lvl w:ilvl="5">
      <w:start w:val="1"/>
      <w:numFmt w:val="lowerRoman"/>
      <w:lvlText w:val="(%6)"/>
      <w:lvlJc w:val="left"/>
      <w:pPr>
        <w:tabs>
          <w:tab w:val="num" w:pos="2880"/>
        </w:tabs>
        <w:ind w:left="2880" w:hanging="360"/>
      </w:pPr>
      <w:rPr>
        <w:rFonts w:cs="Times New Roman" w:hint="default"/>
      </w:rPr>
    </w:lvl>
    <w:lvl w:ilvl="6">
      <w:start w:val="1"/>
      <w:numFmt w:val="decimal"/>
      <w:lvlText w:val="%7."/>
      <w:lvlJc w:val="left"/>
      <w:pPr>
        <w:tabs>
          <w:tab w:val="num" w:pos="3240"/>
        </w:tabs>
        <w:ind w:left="3240" w:hanging="360"/>
      </w:pPr>
      <w:rPr>
        <w:rFonts w:cs="Times New Roman" w:hint="default"/>
      </w:rPr>
    </w:lvl>
    <w:lvl w:ilvl="7">
      <w:start w:val="1"/>
      <w:numFmt w:val="lowerLetter"/>
      <w:lvlText w:val="%8."/>
      <w:lvlJc w:val="left"/>
      <w:pPr>
        <w:tabs>
          <w:tab w:val="num" w:pos="3600"/>
        </w:tabs>
        <w:ind w:left="3600" w:hanging="360"/>
      </w:pPr>
      <w:rPr>
        <w:rFonts w:cs="Times New Roman" w:hint="default"/>
      </w:rPr>
    </w:lvl>
    <w:lvl w:ilvl="8">
      <w:start w:val="1"/>
      <w:numFmt w:val="lowerRoman"/>
      <w:lvlText w:val="%9."/>
      <w:lvlJc w:val="left"/>
      <w:pPr>
        <w:tabs>
          <w:tab w:val="num" w:pos="3960"/>
        </w:tabs>
        <w:ind w:left="3960" w:hanging="360"/>
      </w:pPr>
      <w:rPr>
        <w:rFonts w:cs="Times New Roman" w:hint="default"/>
      </w:rPr>
    </w:lvl>
  </w:abstractNum>
  <w:abstractNum w:abstractNumId="47" w15:restartNumberingAfterBreak="0">
    <w:nsid w:val="6D692076"/>
    <w:multiLevelType w:val="hybridMultilevel"/>
    <w:tmpl w:val="7424017E"/>
    <w:lvl w:ilvl="0" w:tplc="5DACE608">
      <w:start w:val="1"/>
      <w:numFmt w:val="lowerRoman"/>
      <w:lvlText w:val="(%1)"/>
      <w:lvlJc w:val="left"/>
      <w:pPr>
        <w:ind w:left="2160" w:hanging="720"/>
      </w:pPr>
      <w:rPr>
        <w:rFonts w:hint="default"/>
      </w:rPr>
    </w:lvl>
    <w:lvl w:ilvl="1" w:tplc="140A0019" w:tentative="1">
      <w:start w:val="1"/>
      <w:numFmt w:val="lowerLetter"/>
      <w:lvlText w:val="%2."/>
      <w:lvlJc w:val="left"/>
      <w:pPr>
        <w:ind w:left="2520" w:hanging="360"/>
      </w:pPr>
    </w:lvl>
    <w:lvl w:ilvl="2" w:tplc="140A001B" w:tentative="1">
      <w:start w:val="1"/>
      <w:numFmt w:val="lowerRoman"/>
      <w:lvlText w:val="%3."/>
      <w:lvlJc w:val="right"/>
      <w:pPr>
        <w:ind w:left="3240" w:hanging="180"/>
      </w:pPr>
    </w:lvl>
    <w:lvl w:ilvl="3" w:tplc="140A000F" w:tentative="1">
      <w:start w:val="1"/>
      <w:numFmt w:val="decimal"/>
      <w:lvlText w:val="%4."/>
      <w:lvlJc w:val="left"/>
      <w:pPr>
        <w:ind w:left="3960" w:hanging="360"/>
      </w:pPr>
    </w:lvl>
    <w:lvl w:ilvl="4" w:tplc="140A0019" w:tentative="1">
      <w:start w:val="1"/>
      <w:numFmt w:val="lowerLetter"/>
      <w:lvlText w:val="%5."/>
      <w:lvlJc w:val="left"/>
      <w:pPr>
        <w:ind w:left="4680" w:hanging="360"/>
      </w:pPr>
    </w:lvl>
    <w:lvl w:ilvl="5" w:tplc="140A001B" w:tentative="1">
      <w:start w:val="1"/>
      <w:numFmt w:val="lowerRoman"/>
      <w:lvlText w:val="%6."/>
      <w:lvlJc w:val="right"/>
      <w:pPr>
        <w:ind w:left="5400" w:hanging="180"/>
      </w:pPr>
    </w:lvl>
    <w:lvl w:ilvl="6" w:tplc="140A000F" w:tentative="1">
      <w:start w:val="1"/>
      <w:numFmt w:val="decimal"/>
      <w:lvlText w:val="%7."/>
      <w:lvlJc w:val="left"/>
      <w:pPr>
        <w:ind w:left="6120" w:hanging="360"/>
      </w:pPr>
    </w:lvl>
    <w:lvl w:ilvl="7" w:tplc="140A0019" w:tentative="1">
      <w:start w:val="1"/>
      <w:numFmt w:val="lowerLetter"/>
      <w:lvlText w:val="%8."/>
      <w:lvlJc w:val="left"/>
      <w:pPr>
        <w:ind w:left="6840" w:hanging="360"/>
      </w:pPr>
    </w:lvl>
    <w:lvl w:ilvl="8" w:tplc="140A001B" w:tentative="1">
      <w:start w:val="1"/>
      <w:numFmt w:val="lowerRoman"/>
      <w:lvlText w:val="%9."/>
      <w:lvlJc w:val="right"/>
      <w:pPr>
        <w:ind w:left="7560" w:hanging="180"/>
      </w:pPr>
    </w:lvl>
  </w:abstractNum>
  <w:abstractNum w:abstractNumId="48" w15:restartNumberingAfterBreak="0">
    <w:nsid w:val="6EC72179"/>
    <w:multiLevelType w:val="hybridMultilevel"/>
    <w:tmpl w:val="3BF6B2FA"/>
    <w:lvl w:ilvl="0" w:tplc="0409001B">
      <w:start w:val="1"/>
      <w:numFmt w:val="lowerRoman"/>
      <w:lvlText w:val="%1."/>
      <w:lvlJc w:val="righ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9" w15:restartNumberingAfterBreak="0">
    <w:nsid w:val="6FA021A1"/>
    <w:multiLevelType w:val="hybridMultilevel"/>
    <w:tmpl w:val="A80A0F4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1B1623A"/>
    <w:multiLevelType w:val="hybridMultilevel"/>
    <w:tmpl w:val="3E0CD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1FB7180"/>
    <w:multiLevelType w:val="hybridMultilevel"/>
    <w:tmpl w:val="6AC815A4"/>
    <w:lvl w:ilvl="0" w:tplc="521C54FA">
      <w:start w:val="1"/>
      <w:numFmt w:val="lowerRoman"/>
      <w:lvlText w:val="(%1)"/>
      <w:lvlJc w:val="left"/>
      <w:pPr>
        <w:ind w:left="1440" w:hanging="72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52" w15:restartNumberingAfterBreak="0">
    <w:nsid w:val="732B1C64"/>
    <w:multiLevelType w:val="hybridMultilevel"/>
    <w:tmpl w:val="9802221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42BF089"/>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15:restartNumberingAfterBreak="0">
    <w:nsid w:val="75726E26"/>
    <w:multiLevelType w:val="hybridMultilevel"/>
    <w:tmpl w:val="F3243D6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7526221"/>
    <w:multiLevelType w:val="hybridMultilevel"/>
    <w:tmpl w:val="77323CAE"/>
    <w:lvl w:ilvl="0" w:tplc="FFFFFFFF">
      <w:start w:val="1"/>
      <w:numFmt w:val="lowerLetter"/>
      <w:lvlText w:val="%1)"/>
      <w:lvlJc w:val="left"/>
      <w:pPr>
        <w:ind w:left="720" w:hanging="360"/>
      </w:pPr>
      <w:rPr>
        <w:rFonts w:hint="default"/>
      </w:rPr>
    </w:lvl>
    <w:lvl w:ilvl="1" w:tplc="FFFFFFFF">
      <w:start w:val="1"/>
      <w:numFmt w:val="lowerLetter"/>
      <w:lvlText w:val="%2)"/>
      <w:lvlJc w:val="left"/>
      <w:pPr>
        <w:ind w:left="720" w:hanging="360"/>
      </w:pPr>
    </w:lvl>
    <w:lvl w:ilvl="2" w:tplc="04090017">
      <w:start w:val="1"/>
      <w:numFmt w:val="lowerLetter"/>
      <w:lvlText w:val="%3)"/>
      <w:lvlJc w:val="left"/>
      <w:pPr>
        <w:ind w:left="72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7757078B"/>
    <w:multiLevelType w:val="hybridMultilevel"/>
    <w:tmpl w:val="C0783EE6"/>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7" w15:restartNumberingAfterBreak="0">
    <w:nsid w:val="78675B66"/>
    <w:multiLevelType w:val="hybridMultilevel"/>
    <w:tmpl w:val="BB8A21B8"/>
    <w:lvl w:ilvl="0" w:tplc="140A0001">
      <w:start w:val="1"/>
      <w:numFmt w:val="bullet"/>
      <w:lvlText w:val=""/>
      <w:lvlJc w:val="left"/>
      <w:pPr>
        <w:ind w:left="720" w:hanging="360"/>
      </w:pPr>
      <w:rPr>
        <w:rFonts w:ascii="Symbol" w:hAnsi="Symbol" w:hint="default"/>
      </w:rPr>
    </w:lvl>
    <w:lvl w:ilvl="1" w:tplc="7DC8D136">
      <w:numFmt w:val="bullet"/>
      <w:lvlText w:val=""/>
      <w:lvlJc w:val="left"/>
      <w:pPr>
        <w:ind w:left="1440" w:hanging="360"/>
      </w:pPr>
      <w:rPr>
        <w:rFonts w:ascii="Arial Narrow" w:eastAsia="Calibri" w:hAnsi="Arial Narrow" w:cs="Times New Roman"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8" w15:restartNumberingAfterBreak="0">
    <w:nsid w:val="79BC6526"/>
    <w:multiLevelType w:val="multilevel"/>
    <w:tmpl w:val="DDDA977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7D893B9D"/>
    <w:multiLevelType w:val="hybridMultilevel"/>
    <w:tmpl w:val="D3D8C6F6"/>
    <w:lvl w:ilvl="0" w:tplc="FFFFFFFF">
      <w:start w:val="1"/>
      <w:numFmt w:val="lowerLetter"/>
      <w:lvlText w:val="%1)"/>
      <w:lvlJc w:val="left"/>
      <w:pPr>
        <w:ind w:left="720" w:hanging="360"/>
      </w:pPr>
      <w:rPr>
        <w:rFonts w:hint="default"/>
      </w:rPr>
    </w:lvl>
    <w:lvl w:ilvl="1" w:tplc="04090017">
      <w:start w:val="1"/>
      <w:numFmt w:val="lowerLetter"/>
      <w:lvlText w:val="%2)"/>
      <w:lvlJc w:val="left"/>
      <w:pPr>
        <w:ind w:left="720" w:hanging="360"/>
      </w:pPr>
    </w:lvl>
    <w:lvl w:ilvl="2" w:tplc="8874692C">
      <w:start w:val="1"/>
      <w:numFmt w:val="lowerLetter"/>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35"/>
  </w:num>
  <w:num w:numId="2">
    <w:abstractNumId w:val="31"/>
  </w:num>
  <w:num w:numId="3">
    <w:abstractNumId w:val="8"/>
  </w:num>
  <w:num w:numId="4">
    <w:abstractNumId w:val="56"/>
  </w:num>
  <w:num w:numId="5">
    <w:abstractNumId w:val="14"/>
  </w:num>
  <w:num w:numId="6">
    <w:abstractNumId w:val="12"/>
  </w:num>
  <w:num w:numId="7">
    <w:abstractNumId w:val="24"/>
  </w:num>
  <w:num w:numId="8">
    <w:abstractNumId w:val="40"/>
  </w:num>
  <w:num w:numId="9">
    <w:abstractNumId w:val="46"/>
    <w:lvlOverride w:ilvl="0">
      <w:lvl w:ilvl="0">
        <w:start w:val="1"/>
        <w:numFmt w:val="decimal"/>
        <w:pStyle w:val="NumberedParagraph-BulletelistLeft0Firstline0"/>
        <w:lvlText w:val="%1."/>
        <w:lvlJc w:val="right"/>
        <w:pPr>
          <w:tabs>
            <w:tab w:val="num" w:pos="720"/>
          </w:tabs>
          <w:ind w:left="720" w:hanging="360"/>
        </w:pPr>
        <w:rPr>
          <w:rFonts w:cs="Times New Roman" w:hint="default"/>
          <w:b w:val="0"/>
          <w:i w:val="0"/>
        </w:rPr>
      </w:lvl>
    </w:lvlOverride>
    <w:lvlOverride w:ilvl="1">
      <w:lvl w:ilvl="1">
        <w:start w:val="1"/>
        <w:numFmt w:val="lowerLetter"/>
        <w:lvlText w:val="(%2)"/>
        <w:lvlJc w:val="right"/>
        <w:pPr>
          <w:tabs>
            <w:tab w:val="num" w:pos="1325"/>
          </w:tabs>
          <w:ind w:left="1325" w:hanging="360"/>
        </w:pPr>
        <w:rPr>
          <w:rFonts w:cs="Times New Roman" w:hint="default"/>
          <w:b w:val="0"/>
          <w:i w:val="0"/>
        </w:rPr>
      </w:lvl>
    </w:lvlOverride>
    <w:lvlOverride w:ilvl="2">
      <w:lvl w:ilvl="2">
        <w:start w:val="1"/>
        <w:numFmt w:val="lowerRoman"/>
        <w:lvlText w:val="(%3)"/>
        <w:lvlJc w:val="right"/>
        <w:pPr>
          <w:tabs>
            <w:tab w:val="num" w:pos="1872"/>
          </w:tabs>
          <w:ind w:left="1872" w:hanging="360"/>
        </w:pPr>
        <w:rPr>
          <w:rFonts w:cs="Times New Roman" w:hint="default"/>
          <w:b/>
        </w:rPr>
      </w:lvl>
    </w:lvlOverride>
    <w:lvlOverride w:ilvl="3">
      <w:lvl w:ilvl="3">
        <w:start w:val="1"/>
        <w:numFmt w:val="decimal"/>
        <w:lvlText w:val="(%4)"/>
        <w:lvlJc w:val="left"/>
        <w:pPr>
          <w:tabs>
            <w:tab w:val="num" w:pos="2160"/>
          </w:tabs>
          <w:ind w:left="2160" w:hanging="360"/>
        </w:pPr>
        <w:rPr>
          <w:rFonts w:cs="Times New Roman" w:hint="default"/>
        </w:rPr>
      </w:lvl>
    </w:lvlOverride>
    <w:lvlOverride w:ilvl="4">
      <w:lvl w:ilvl="4">
        <w:start w:val="1"/>
        <w:numFmt w:val="lowerLetter"/>
        <w:lvlText w:val="(%5)"/>
        <w:lvlJc w:val="left"/>
        <w:pPr>
          <w:tabs>
            <w:tab w:val="num" w:pos="2520"/>
          </w:tabs>
          <w:ind w:left="2520" w:hanging="360"/>
        </w:pPr>
        <w:rPr>
          <w:rFonts w:cs="Times New Roman" w:hint="default"/>
        </w:rPr>
      </w:lvl>
    </w:lvlOverride>
    <w:lvlOverride w:ilvl="5">
      <w:lvl w:ilvl="5">
        <w:start w:val="1"/>
        <w:numFmt w:val="lowerRoman"/>
        <w:lvlText w:val="(%6)"/>
        <w:lvlJc w:val="left"/>
        <w:pPr>
          <w:tabs>
            <w:tab w:val="num" w:pos="2880"/>
          </w:tabs>
          <w:ind w:left="2880" w:hanging="360"/>
        </w:pPr>
        <w:rPr>
          <w:rFonts w:cs="Times New Roman" w:hint="default"/>
        </w:rPr>
      </w:lvl>
    </w:lvlOverride>
    <w:lvlOverride w:ilvl="6">
      <w:lvl w:ilvl="6">
        <w:start w:val="1"/>
        <w:numFmt w:val="decimal"/>
        <w:lvlText w:val="%7."/>
        <w:lvlJc w:val="left"/>
        <w:pPr>
          <w:tabs>
            <w:tab w:val="num" w:pos="3240"/>
          </w:tabs>
          <w:ind w:left="3240" w:hanging="360"/>
        </w:pPr>
        <w:rPr>
          <w:rFonts w:cs="Times New Roman" w:hint="default"/>
        </w:rPr>
      </w:lvl>
    </w:lvlOverride>
    <w:lvlOverride w:ilvl="7">
      <w:lvl w:ilvl="7">
        <w:start w:val="1"/>
        <w:numFmt w:val="lowerLetter"/>
        <w:lvlText w:val="%8."/>
        <w:lvlJc w:val="left"/>
        <w:pPr>
          <w:tabs>
            <w:tab w:val="num" w:pos="3600"/>
          </w:tabs>
          <w:ind w:left="3600" w:hanging="360"/>
        </w:pPr>
        <w:rPr>
          <w:rFonts w:cs="Times New Roman" w:hint="default"/>
        </w:rPr>
      </w:lvl>
    </w:lvlOverride>
    <w:lvlOverride w:ilvl="8">
      <w:lvl w:ilvl="8">
        <w:start w:val="1"/>
        <w:numFmt w:val="lowerRoman"/>
        <w:lvlText w:val="%9."/>
        <w:lvlJc w:val="left"/>
        <w:pPr>
          <w:tabs>
            <w:tab w:val="num" w:pos="3960"/>
          </w:tabs>
          <w:ind w:left="3960" w:hanging="360"/>
        </w:pPr>
        <w:rPr>
          <w:rFonts w:cs="Times New Roman" w:hint="default"/>
        </w:rPr>
      </w:lvl>
    </w:lvlOverride>
  </w:num>
  <w:num w:numId="10">
    <w:abstractNumId w:val="6"/>
  </w:num>
  <w:num w:numId="11">
    <w:abstractNumId w:val="5"/>
  </w:num>
  <w:num w:numId="12">
    <w:abstractNumId w:val="4"/>
  </w:num>
  <w:num w:numId="13">
    <w:abstractNumId w:val="41"/>
  </w:num>
  <w:num w:numId="14">
    <w:abstractNumId w:val="10"/>
  </w:num>
  <w:num w:numId="15">
    <w:abstractNumId w:val="47"/>
  </w:num>
  <w:num w:numId="16">
    <w:abstractNumId w:val="17"/>
  </w:num>
  <w:num w:numId="17">
    <w:abstractNumId w:val="43"/>
  </w:num>
  <w:num w:numId="18">
    <w:abstractNumId w:val="38"/>
  </w:num>
  <w:num w:numId="19">
    <w:abstractNumId w:val="51"/>
  </w:num>
  <w:num w:numId="20">
    <w:abstractNumId w:val="21"/>
  </w:num>
  <w:num w:numId="21">
    <w:abstractNumId w:val="57"/>
  </w:num>
  <w:num w:numId="22">
    <w:abstractNumId w:val="58"/>
  </w:num>
  <w:num w:numId="23">
    <w:abstractNumId w:val="15"/>
  </w:num>
  <w:num w:numId="24">
    <w:abstractNumId w:val="45"/>
  </w:num>
  <w:num w:numId="25">
    <w:abstractNumId w:val="9"/>
  </w:num>
  <w:num w:numId="26">
    <w:abstractNumId w:val="53"/>
  </w:num>
  <w:num w:numId="27">
    <w:abstractNumId w:val="36"/>
  </w:num>
  <w:num w:numId="28">
    <w:abstractNumId w:val="11"/>
  </w:num>
  <w:num w:numId="29">
    <w:abstractNumId w:val="44"/>
  </w:num>
  <w:num w:numId="30">
    <w:abstractNumId w:val="59"/>
  </w:num>
  <w:num w:numId="31">
    <w:abstractNumId w:val="52"/>
  </w:num>
  <w:num w:numId="32">
    <w:abstractNumId w:val="42"/>
  </w:num>
  <w:num w:numId="33">
    <w:abstractNumId w:val="3"/>
  </w:num>
  <w:num w:numId="34">
    <w:abstractNumId w:val="7"/>
  </w:num>
  <w:num w:numId="35">
    <w:abstractNumId w:val="16"/>
  </w:num>
  <w:num w:numId="36">
    <w:abstractNumId w:val="27"/>
  </w:num>
  <w:num w:numId="37">
    <w:abstractNumId w:val="33"/>
  </w:num>
  <w:num w:numId="38">
    <w:abstractNumId w:val="32"/>
  </w:num>
  <w:num w:numId="39">
    <w:abstractNumId w:val="28"/>
  </w:num>
  <w:num w:numId="40">
    <w:abstractNumId w:val="49"/>
  </w:num>
  <w:num w:numId="41">
    <w:abstractNumId w:val="26"/>
  </w:num>
  <w:num w:numId="42">
    <w:abstractNumId w:val="20"/>
  </w:num>
  <w:num w:numId="43">
    <w:abstractNumId w:val="0"/>
  </w:num>
  <w:num w:numId="44">
    <w:abstractNumId w:val="39"/>
  </w:num>
  <w:num w:numId="45">
    <w:abstractNumId w:val="54"/>
  </w:num>
  <w:num w:numId="46">
    <w:abstractNumId w:val="55"/>
  </w:num>
  <w:num w:numId="47">
    <w:abstractNumId w:val="34"/>
  </w:num>
  <w:num w:numId="48">
    <w:abstractNumId w:val="25"/>
  </w:num>
  <w:num w:numId="49">
    <w:abstractNumId w:val="23"/>
  </w:num>
  <w:num w:numId="50">
    <w:abstractNumId w:val="1"/>
  </w:num>
  <w:num w:numId="51">
    <w:abstractNumId w:val="2"/>
  </w:num>
  <w:num w:numId="52">
    <w:abstractNumId w:val="48"/>
  </w:num>
  <w:num w:numId="53">
    <w:abstractNumId w:val="13"/>
  </w:num>
  <w:num w:numId="54">
    <w:abstractNumId w:val="37"/>
  </w:num>
  <w:num w:numId="55">
    <w:abstractNumId w:val="19"/>
  </w:num>
  <w:num w:numId="56">
    <w:abstractNumId w:val="50"/>
  </w:num>
  <w:num w:numId="57">
    <w:abstractNumId w:val="29"/>
  </w:num>
  <w:num w:numId="58">
    <w:abstractNumId w:val="22"/>
  </w:num>
  <w:num w:numId="59">
    <w:abstractNumId w:val="18"/>
  </w:num>
  <w:num w:numId="60">
    <w:abstractNumId w:val="3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4B8A"/>
    <w:rsid w:val="00005B15"/>
    <w:rsid w:val="00006A63"/>
    <w:rsid w:val="00007370"/>
    <w:rsid w:val="00007A05"/>
    <w:rsid w:val="0001157F"/>
    <w:rsid w:val="00011BEE"/>
    <w:rsid w:val="00013032"/>
    <w:rsid w:val="00013AC5"/>
    <w:rsid w:val="00015AC7"/>
    <w:rsid w:val="00016C74"/>
    <w:rsid w:val="00024A42"/>
    <w:rsid w:val="00026021"/>
    <w:rsid w:val="000268D3"/>
    <w:rsid w:val="00031541"/>
    <w:rsid w:val="00036537"/>
    <w:rsid w:val="000368F0"/>
    <w:rsid w:val="00037ECC"/>
    <w:rsid w:val="0004142E"/>
    <w:rsid w:val="0004771E"/>
    <w:rsid w:val="000522B4"/>
    <w:rsid w:val="00053937"/>
    <w:rsid w:val="00061EFB"/>
    <w:rsid w:val="0006425F"/>
    <w:rsid w:val="000724B9"/>
    <w:rsid w:val="000748A5"/>
    <w:rsid w:val="00075AD1"/>
    <w:rsid w:val="000763A5"/>
    <w:rsid w:val="000809F4"/>
    <w:rsid w:val="00080C49"/>
    <w:rsid w:val="00083B82"/>
    <w:rsid w:val="00084E9C"/>
    <w:rsid w:val="0008638E"/>
    <w:rsid w:val="00090B00"/>
    <w:rsid w:val="000973E8"/>
    <w:rsid w:val="000B04D8"/>
    <w:rsid w:val="000B065E"/>
    <w:rsid w:val="000B0873"/>
    <w:rsid w:val="000B0DE2"/>
    <w:rsid w:val="000B404C"/>
    <w:rsid w:val="000C0028"/>
    <w:rsid w:val="000C3947"/>
    <w:rsid w:val="000C6268"/>
    <w:rsid w:val="000C6746"/>
    <w:rsid w:val="000D14F7"/>
    <w:rsid w:val="000D6BF7"/>
    <w:rsid w:val="000D7AC8"/>
    <w:rsid w:val="000E036F"/>
    <w:rsid w:val="000E540F"/>
    <w:rsid w:val="000E56D0"/>
    <w:rsid w:val="000F5ACF"/>
    <w:rsid w:val="00100EB9"/>
    <w:rsid w:val="001033AC"/>
    <w:rsid w:val="00104AD0"/>
    <w:rsid w:val="00105AFB"/>
    <w:rsid w:val="0010714E"/>
    <w:rsid w:val="00112C21"/>
    <w:rsid w:val="00112D21"/>
    <w:rsid w:val="0011353D"/>
    <w:rsid w:val="001138BB"/>
    <w:rsid w:val="00115045"/>
    <w:rsid w:val="0011777B"/>
    <w:rsid w:val="00122A67"/>
    <w:rsid w:val="00125A6A"/>
    <w:rsid w:val="0012607F"/>
    <w:rsid w:val="001261A4"/>
    <w:rsid w:val="00127099"/>
    <w:rsid w:val="00130141"/>
    <w:rsid w:val="00136480"/>
    <w:rsid w:val="00141D52"/>
    <w:rsid w:val="0014248C"/>
    <w:rsid w:val="00142555"/>
    <w:rsid w:val="00150775"/>
    <w:rsid w:val="00151BA7"/>
    <w:rsid w:val="0015268F"/>
    <w:rsid w:val="001534C5"/>
    <w:rsid w:val="001534E5"/>
    <w:rsid w:val="00153B97"/>
    <w:rsid w:val="00156556"/>
    <w:rsid w:val="00166613"/>
    <w:rsid w:val="001700B2"/>
    <w:rsid w:val="00171A58"/>
    <w:rsid w:val="0017410F"/>
    <w:rsid w:val="00174505"/>
    <w:rsid w:val="00181148"/>
    <w:rsid w:val="00186411"/>
    <w:rsid w:val="00190FB8"/>
    <w:rsid w:val="00194B8A"/>
    <w:rsid w:val="00194EB6"/>
    <w:rsid w:val="001955BB"/>
    <w:rsid w:val="001A03A9"/>
    <w:rsid w:val="001A11CE"/>
    <w:rsid w:val="001A22EC"/>
    <w:rsid w:val="001A4A3C"/>
    <w:rsid w:val="001A4EC0"/>
    <w:rsid w:val="001A58DA"/>
    <w:rsid w:val="001B5AAB"/>
    <w:rsid w:val="001C0B83"/>
    <w:rsid w:val="001C12E0"/>
    <w:rsid w:val="001C1401"/>
    <w:rsid w:val="001C7FD6"/>
    <w:rsid w:val="001D009B"/>
    <w:rsid w:val="001D0A81"/>
    <w:rsid w:val="001D30E4"/>
    <w:rsid w:val="001D4980"/>
    <w:rsid w:val="001E3EAE"/>
    <w:rsid w:val="001E78C3"/>
    <w:rsid w:val="001F1A9C"/>
    <w:rsid w:val="001F474F"/>
    <w:rsid w:val="001F49A8"/>
    <w:rsid w:val="001F4B1E"/>
    <w:rsid w:val="00200358"/>
    <w:rsid w:val="002007F6"/>
    <w:rsid w:val="0020221E"/>
    <w:rsid w:val="00207BB7"/>
    <w:rsid w:val="00210262"/>
    <w:rsid w:val="002108F5"/>
    <w:rsid w:val="0021402F"/>
    <w:rsid w:val="00217CA2"/>
    <w:rsid w:val="00222CE0"/>
    <w:rsid w:val="00223F69"/>
    <w:rsid w:val="00224CE2"/>
    <w:rsid w:val="002251F7"/>
    <w:rsid w:val="00225A39"/>
    <w:rsid w:val="00230464"/>
    <w:rsid w:val="00230A31"/>
    <w:rsid w:val="002320B2"/>
    <w:rsid w:val="002400CB"/>
    <w:rsid w:val="002407A4"/>
    <w:rsid w:val="002407B9"/>
    <w:rsid w:val="00245C1A"/>
    <w:rsid w:val="00251F8D"/>
    <w:rsid w:val="0025405A"/>
    <w:rsid w:val="00257A5D"/>
    <w:rsid w:val="00257FAA"/>
    <w:rsid w:val="002635DC"/>
    <w:rsid w:val="00264609"/>
    <w:rsid w:val="0027138C"/>
    <w:rsid w:val="0027605E"/>
    <w:rsid w:val="0028011F"/>
    <w:rsid w:val="0028613E"/>
    <w:rsid w:val="00287118"/>
    <w:rsid w:val="002924E7"/>
    <w:rsid w:val="0029366A"/>
    <w:rsid w:val="00293F0F"/>
    <w:rsid w:val="00294CCF"/>
    <w:rsid w:val="00295C0B"/>
    <w:rsid w:val="002962F2"/>
    <w:rsid w:val="002A0939"/>
    <w:rsid w:val="002A1533"/>
    <w:rsid w:val="002A2EE0"/>
    <w:rsid w:val="002A4922"/>
    <w:rsid w:val="002A5C54"/>
    <w:rsid w:val="002B2617"/>
    <w:rsid w:val="002B52D2"/>
    <w:rsid w:val="002C317C"/>
    <w:rsid w:val="002C4091"/>
    <w:rsid w:val="002C44AD"/>
    <w:rsid w:val="002C53FA"/>
    <w:rsid w:val="002D1111"/>
    <w:rsid w:val="002D5C33"/>
    <w:rsid w:val="002D733C"/>
    <w:rsid w:val="002E3B01"/>
    <w:rsid w:val="002E7F68"/>
    <w:rsid w:val="002F240A"/>
    <w:rsid w:val="002F2D1F"/>
    <w:rsid w:val="002F62C1"/>
    <w:rsid w:val="002F7400"/>
    <w:rsid w:val="002F7A9E"/>
    <w:rsid w:val="003037C1"/>
    <w:rsid w:val="00305662"/>
    <w:rsid w:val="003069AC"/>
    <w:rsid w:val="00310FEF"/>
    <w:rsid w:val="00311341"/>
    <w:rsid w:val="00311AE2"/>
    <w:rsid w:val="00313CC3"/>
    <w:rsid w:val="00314081"/>
    <w:rsid w:val="003163BA"/>
    <w:rsid w:val="00316E99"/>
    <w:rsid w:val="00320ED0"/>
    <w:rsid w:val="00322641"/>
    <w:rsid w:val="00326F34"/>
    <w:rsid w:val="00327647"/>
    <w:rsid w:val="0033030F"/>
    <w:rsid w:val="00330344"/>
    <w:rsid w:val="00331005"/>
    <w:rsid w:val="00332C30"/>
    <w:rsid w:val="003336A2"/>
    <w:rsid w:val="003339A5"/>
    <w:rsid w:val="003374C9"/>
    <w:rsid w:val="00337C1D"/>
    <w:rsid w:val="00340465"/>
    <w:rsid w:val="003421AB"/>
    <w:rsid w:val="0034405E"/>
    <w:rsid w:val="003441B0"/>
    <w:rsid w:val="0034451D"/>
    <w:rsid w:val="00345BF7"/>
    <w:rsid w:val="00345C93"/>
    <w:rsid w:val="00350595"/>
    <w:rsid w:val="003516A2"/>
    <w:rsid w:val="00370123"/>
    <w:rsid w:val="003729A6"/>
    <w:rsid w:val="003730A9"/>
    <w:rsid w:val="0037354C"/>
    <w:rsid w:val="00376092"/>
    <w:rsid w:val="00376D6E"/>
    <w:rsid w:val="00383B8E"/>
    <w:rsid w:val="00386000"/>
    <w:rsid w:val="00390266"/>
    <w:rsid w:val="00391C5F"/>
    <w:rsid w:val="00393127"/>
    <w:rsid w:val="00396CB4"/>
    <w:rsid w:val="00397B7C"/>
    <w:rsid w:val="00397F24"/>
    <w:rsid w:val="003A0771"/>
    <w:rsid w:val="003A2AFF"/>
    <w:rsid w:val="003A31CC"/>
    <w:rsid w:val="003A3E96"/>
    <w:rsid w:val="003A7552"/>
    <w:rsid w:val="003A77F3"/>
    <w:rsid w:val="003C0952"/>
    <w:rsid w:val="003C1D9A"/>
    <w:rsid w:val="003C5B31"/>
    <w:rsid w:val="003C722F"/>
    <w:rsid w:val="003D12E6"/>
    <w:rsid w:val="003E41F2"/>
    <w:rsid w:val="003E5A47"/>
    <w:rsid w:val="003E620A"/>
    <w:rsid w:val="003E6510"/>
    <w:rsid w:val="003E6ABE"/>
    <w:rsid w:val="003F141E"/>
    <w:rsid w:val="003F293B"/>
    <w:rsid w:val="0040253A"/>
    <w:rsid w:val="00403BC3"/>
    <w:rsid w:val="00405DBC"/>
    <w:rsid w:val="00407D18"/>
    <w:rsid w:val="00407F24"/>
    <w:rsid w:val="00410DF8"/>
    <w:rsid w:val="00415741"/>
    <w:rsid w:val="004200BF"/>
    <w:rsid w:val="00420A2E"/>
    <w:rsid w:val="00422EDF"/>
    <w:rsid w:val="00425BFD"/>
    <w:rsid w:val="00427680"/>
    <w:rsid w:val="004337DA"/>
    <w:rsid w:val="00445990"/>
    <w:rsid w:val="00446E8F"/>
    <w:rsid w:val="0045072A"/>
    <w:rsid w:val="004526F3"/>
    <w:rsid w:val="00460C5D"/>
    <w:rsid w:val="00464045"/>
    <w:rsid w:val="00464861"/>
    <w:rsid w:val="00467460"/>
    <w:rsid w:val="00470704"/>
    <w:rsid w:val="004732DF"/>
    <w:rsid w:val="00480252"/>
    <w:rsid w:val="004803ED"/>
    <w:rsid w:val="00482942"/>
    <w:rsid w:val="00484AB4"/>
    <w:rsid w:val="00486EC5"/>
    <w:rsid w:val="00492E8C"/>
    <w:rsid w:val="00495CDD"/>
    <w:rsid w:val="004A0F0D"/>
    <w:rsid w:val="004A14BB"/>
    <w:rsid w:val="004A20E4"/>
    <w:rsid w:val="004A4EAD"/>
    <w:rsid w:val="004A712C"/>
    <w:rsid w:val="004B07C3"/>
    <w:rsid w:val="004B38F9"/>
    <w:rsid w:val="004B7D88"/>
    <w:rsid w:val="004C33C5"/>
    <w:rsid w:val="004D00DB"/>
    <w:rsid w:val="004E2078"/>
    <w:rsid w:val="004E6884"/>
    <w:rsid w:val="004F0FD4"/>
    <w:rsid w:val="004F7368"/>
    <w:rsid w:val="004F7915"/>
    <w:rsid w:val="00500AC8"/>
    <w:rsid w:val="00500D34"/>
    <w:rsid w:val="005012F5"/>
    <w:rsid w:val="00504694"/>
    <w:rsid w:val="005052CB"/>
    <w:rsid w:val="00513175"/>
    <w:rsid w:val="00516659"/>
    <w:rsid w:val="00517087"/>
    <w:rsid w:val="0051719B"/>
    <w:rsid w:val="00517972"/>
    <w:rsid w:val="00520716"/>
    <w:rsid w:val="00520FC7"/>
    <w:rsid w:val="00521099"/>
    <w:rsid w:val="005352E5"/>
    <w:rsid w:val="00535A05"/>
    <w:rsid w:val="00540429"/>
    <w:rsid w:val="00544E9C"/>
    <w:rsid w:val="005515CA"/>
    <w:rsid w:val="00551C7D"/>
    <w:rsid w:val="0055236C"/>
    <w:rsid w:val="0055259B"/>
    <w:rsid w:val="00552BE3"/>
    <w:rsid w:val="00553A40"/>
    <w:rsid w:val="005552ED"/>
    <w:rsid w:val="0055610F"/>
    <w:rsid w:val="00556AFD"/>
    <w:rsid w:val="0055718E"/>
    <w:rsid w:val="00557C82"/>
    <w:rsid w:val="00557D93"/>
    <w:rsid w:val="005611B9"/>
    <w:rsid w:val="00567780"/>
    <w:rsid w:val="0057029C"/>
    <w:rsid w:val="005730D4"/>
    <w:rsid w:val="005743A1"/>
    <w:rsid w:val="00576461"/>
    <w:rsid w:val="00580072"/>
    <w:rsid w:val="00580A3A"/>
    <w:rsid w:val="005811CA"/>
    <w:rsid w:val="005823E7"/>
    <w:rsid w:val="00583DF7"/>
    <w:rsid w:val="00585796"/>
    <w:rsid w:val="005860E4"/>
    <w:rsid w:val="0058713A"/>
    <w:rsid w:val="00587609"/>
    <w:rsid w:val="005907C4"/>
    <w:rsid w:val="00591438"/>
    <w:rsid w:val="00592AF8"/>
    <w:rsid w:val="00593F90"/>
    <w:rsid w:val="005954F6"/>
    <w:rsid w:val="005A22AD"/>
    <w:rsid w:val="005A449D"/>
    <w:rsid w:val="005A6B5F"/>
    <w:rsid w:val="005A7535"/>
    <w:rsid w:val="005B02F5"/>
    <w:rsid w:val="005B18AF"/>
    <w:rsid w:val="005B31D3"/>
    <w:rsid w:val="005B4DCA"/>
    <w:rsid w:val="005B4E0E"/>
    <w:rsid w:val="005B579A"/>
    <w:rsid w:val="005C1F18"/>
    <w:rsid w:val="005C6064"/>
    <w:rsid w:val="005C62D5"/>
    <w:rsid w:val="005C6B34"/>
    <w:rsid w:val="005D1163"/>
    <w:rsid w:val="005D574A"/>
    <w:rsid w:val="005D6C42"/>
    <w:rsid w:val="005D7025"/>
    <w:rsid w:val="005D7680"/>
    <w:rsid w:val="005F1679"/>
    <w:rsid w:val="005F2549"/>
    <w:rsid w:val="005F2EC2"/>
    <w:rsid w:val="005F3294"/>
    <w:rsid w:val="005F4A6B"/>
    <w:rsid w:val="005F58F1"/>
    <w:rsid w:val="005F7730"/>
    <w:rsid w:val="00600489"/>
    <w:rsid w:val="006031F8"/>
    <w:rsid w:val="00603BC1"/>
    <w:rsid w:val="00603F14"/>
    <w:rsid w:val="00605786"/>
    <w:rsid w:val="00607C9E"/>
    <w:rsid w:val="00607DC9"/>
    <w:rsid w:val="00610772"/>
    <w:rsid w:val="00614393"/>
    <w:rsid w:val="006148F0"/>
    <w:rsid w:val="0061790F"/>
    <w:rsid w:val="00617D22"/>
    <w:rsid w:val="00623120"/>
    <w:rsid w:val="006245FF"/>
    <w:rsid w:val="006300EA"/>
    <w:rsid w:val="00640410"/>
    <w:rsid w:val="00641AF6"/>
    <w:rsid w:val="00641DCE"/>
    <w:rsid w:val="00642574"/>
    <w:rsid w:val="00643FE8"/>
    <w:rsid w:val="006448AF"/>
    <w:rsid w:val="00650352"/>
    <w:rsid w:val="006516A4"/>
    <w:rsid w:val="00653359"/>
    <w:rsid w:val="00653C92"/>
    <w:rsid w:val="006546ED"/>
    <w:rsid w:val="00654C21"/>
    <w:rsid w:val="00655369"/>
    <w:rsid w:val="006554F9"/>
    <w:rsid w:val="00661490"/>
    <w:rsid w:val="00661954"/>
    <w:rsid w:val="00661E2F"/>
    <w:rsid w:val="006674F8"/>
    <w:rsid w:val="006753AA"/>
    <w:rsid w:val="00675DAD"/>
    <w:rsid w:val="006777D1"/>
    <w:rsid w:val="00680DAC"/>
    <w:rsid w:val="00680E52"/>
    <w:rsid w:val="006842EF"/>
    <w:rsid w:val="00684B1D"/>
    <w:rsid w:val="0068534F"/>
    <w:rsid w:val="00685B86"/>
    <w:rsid w:val="00692DC8"/>
    <w:rsid w:val="00697FA2"/>
    <w:rsid w:val="006A5E3A"/>
    <w:rsid w:val="006B05A3"/>
    <w:rsid w:val="006B10AF"/>
    <w:rsid w:val="006B4F16"/>
    <w:rsid w:val="006B6584"/>
    <w:rsid w:val="006B6A3A"/>
    <w:rsid w:val="006B731F"/>
    <w:rsid w:val="006B75D2"/>
    <w:rsid w:val="006C0DEA"/>
    <w:rsid w:val="006C1A13"/>
    <w:rsid w:val="006C300D"/>
    <w:rsid w:val="006C507E"/>
    <w:rsid w:val="006C575E"/>
    <w:rsid w:val="006C732B"/>
    <w:rsid w:val="006D2D75"/>
    <w:rsid w:val="006D3C4F"/>
    <w:rsid w:val="006D3E99"/>
    <w:rsid w:val="006E066C"/>
    <w:rsid w:val="006E7602"/>
    <w:rsid w:val="006F14CC"/>
    <w:rsid w:val="00707625"/>
    <w:rsid w:val="007077A8"/>
    <w:rsid w:val="00711BE1"/>
    <w:rsid w:val="007137EE"/>
    <w:rsid w:val="00721CA9"/>
    <w:rsid w:val="00722868"/>
    <w:rsid w:val="0072294C"/>
    <w:rsid w:val="00723F55"/>
    <w:rsid w:val="0072437B"/>
    <w:rsid w:val="00731DCA"/>
    <w:rsid w:val="00733E60"/>
    <w:rsid w:val="00736E00"/>
    <w:rsid w:val="00737803"/>
    <w:rsid w:val="00741695"/>
    <w:rsid w:val="00741772"/>
    <w:rsid w:val="00743BFB"/>
    <w:rsid w:val="0074522C"/>
    <w:rsid w:val="00745266"/>
    <w:rsid w:val="007469D0"/>
    <w:rsid w:val="007473D3"/>
    <w:rsid w:val="00747D23"/>
    <w:rsid w:val="0075080A"/>
    <w:rsid w:val="007528B2"/>
    <w:rsid w:val="00752FA4"/>
    <w:rsid w:val="00756467"/>
    <w:rsid w:val="00756471"/>
    <w:rsid w:val="00756E35"/>
    <w:rsid w:val="00760930"/>
    <w:rsid w:val="007623F4"/>
    <w:rsid w:val="00763462"/>
    <w:rsid w:val="007651FD"/>
    <w:rsid w:val="0076730C"/>
    <w:rsid w:val="00767BBC"/>
    <w:rsid w:val="00772A67"/>
    <w:rsid w:val="00773A10"/>
    <w:rsid w:val="0077456B"/>
    <w:rsid w:val="00775C3F"/>
    <w:rsid w:val="007777CB"/>
    <w:rsid w:val="007843B9"/>
    <w:rsid w:val="007910C6"/>
    <w:rsid w:val="0079113A"/>
    <w:rsid w:val="00791EEB"/>
    <w:rsid w:val="007925D8"/>
    <w:rsid w:val="0079351F"/>
    <w:rsid w:val="00793A34"/>
    <w:rsid w:val="00793EA8"/>
    <w:rsid w:val="0079610C"/>
    <w:rsid w:val="00796636"/>
    <w:rsid w:val="007A0604"/>
    <w:rsid w:val="007A07EB"/>
    <w:rsid w:val="007A2EED"/>
    <w:rsid w:val="007A4C70"/>
    <w:rsid w:val="007A6212"/>
    <w:rsid w:val="007B0BB6"/>
    <w:rsid w:val="007B56BE"/>
    <w:rsid w:val="007C559B"/>
    <w:rsid w:val="007C5C80"/>
    <w:rsid w:val="007C6967"/>
    <w:rsid w:val="007D3A17"/>
    <w:rsid w:val="007D3DAB"/>
    <w:rsid w:val="007D3E93"/>
    <w:rsid w:val="007D492D"/>
    <w:rsid w:val="007D534C"/>
    <w:rsid w:val="007D62A5"/>
    <w:rsid w:val="007D6FBD"/>
    <w:rsid w:val="007E034F"/>
    <w:rsid w:val="007E10AA"/>
    <w:rsid w:val="007E1F55"/>
    <w:rsid w:val="007E32A7"/>
    <w:rsid w:val="007F098E"/>
    <w:rsid w:val="007F1543"/>
    <w:rsid w:val="007F4626"/>
    <w:rsid w:val="007F611C"/>
    <w:rsid w:val="008007FD"/>
    <w:rsid w:val="00801B52"/>
    <w:rsid w:val="00802DCC"/>
    <w:rsid w:val="00804A02"/>
    <w:rsid w:val="00805D3E"/>
    <w:rsid w:val="008075DC"/>
    <w:rsid w:val="00820992"/>
    <w:rsid w:val="00821232"/>
    <w:rsid w:val="00821CA9"/>
    <w:rsid w:val="00822997"/>
    <w:rsid w:val="0082749A"/>
    <w:rsid w:val="00844DFE"/>
    <w:rsid w:val="00846655"/>
    <w:rsid w:val="0085027D"/>
    <w:rsid w:val="00854795"/>
    <w:rsid w:val="00855904"/>
    <w:rsid w:val="008625BB"/>
    <w:rsid w:val="0086453C"/>
    <w:rsid w:val="008648FD"/>
    <w:rsid w:val="00864B5A"/>
    <w:rsid w:val="00870552"/>
    <w:rsid w:val="00871BA4"/>
    <w:rsid w:val="00872D55"/>
    <w:rsid w:val="00874E06"/>
    <w:rsid w:val="0088039A"/>
    <w:rsid w:val="00880E40"/>
    <w:rsid w:val="00883B1D"/>
    <w:rsid w:val="00885B32"/>
    <w:rsid w:val="00887FE2"/>
    <w:rsid w:val="00890C1D"/>
    <w:rsid w:val="00897B65"/>
    <w:rsid w:val="008A2CDE"/>
    <w:rsid w:val="008A3372"/>
    <w:rsid w:val="008B0B71"/>
    <w:rsid w:val="008C0483"/>
    <w:rsid w:val="008C4C09"/>
    <w:rsid w:val="008C75F9"/>
    <w:rsid w:val="008D4DBA"/>
    <w:rsid w:val="008D4E6F"/>
    <w:rsid w:val="008D70BB"/>
    <w:rsid w:val="008E15C6"/>
    <w:rsid w:val="008E6E54"/>
    <w:rsid w:val="008F0514"/>
    <w:rsid w:val="008F107F"/>
    <w:rsid w:val="008F225D"/>
    <w:rsid w:val="008F4061"/>
    <w:rsid w:val="00900BB0"/>
    <w:rsid w:val="009033A6"/>
    <w:rsid w:val="009036E6"/>
    <w:rsid w:val="00903FD8"/>
    <w:rsid w:val="00907579"/>
    <w:rsid w:val="009075D7"/>
    <w:rsid w:val="009131F0"/>
    <w:rsid w:val="0092145A"/>
    <w:rsid w:val="00926C7F"/>
    <w:rsid w:val="0093607C"/>
    <w:rsid w:val="00936294"/>
    <w:rsid w:val="009420FC"/>
    <w:rsid w:val="00942696"/>
    <w:rsid w:val="009512DC"/>
    <w:rsid w:val="00953B01"/>
    <w:rsid w:val="00962023"/>
    <w:rsid w:val="00966091"/>
    <w:rsid w:val="0096643F"/>
    <w:rsid w:val="00967C04"/>
    <w:rsid w:val="00974E15"/>
    <w:rsid w:val="00976677"/>
    <w:rsid w:val="00982242"/>
    <w:rsid w:val="00982595"/>
    <w:rsid w:val="00985D58"/>
    <w:rsid w:val="00986512"/>
    <w:rsid w:val="009929D4"/>
    <w:rsid w:val="009A4467"/>
    <w:rsid w:val="009A474F"/>
    <w:rsid w:val="009A7924"/>
    <w:rsid w:val="009B3929"/>
    <w:rsid w:val="009B7238"/>
    <w:rsid w:val="009C0453"/>
    <w:rsid w:val="009C276C"/>
    <w:rsid w:val="009C2A88"/>
    <w:rsid w:val="009C5E5F"/>
    <w:rsid w:val="009C78C0"/>
    <w:rsid w:val="009D16A1"/>
    <w:rsid w:val="009E105F"/>
    <w:rsid w:val="009E5623"/>
    <w:rsid w:val="009F43E5"/>
    <w:rsid w:val="009F6D30"/>
    <w:rsid w:val="00A027C4"/>
    <w:rsid w:val="00A04B50"/>
    <w:rsid w:val="00A054F8"/>
    <w:rsid w:val="00A17BB4"/>
    <w:rsid w:val="00A21787"/>
    <w:rsid w:val="00A266AB"/>
    <w:rsid w:val="00A26C62"/>
    <w:rsid w:val="00A3228B"/>
    <w:rsid w:val="00A329CC"/>
    <w:rsid w:val="00A35777"/>
    <w:rsid w:val="00A363C5"/>
    <w:rsid w:val="00A43C71"/>
    <w:rsid w:val="00A450FF"/>
    <w:rsid w:val="00A4521A"/>
    <w:rsid w:val="00A51EF0"/>
    <w:rsid w:val="00A54E87"/>
    <w:rsid w:val="00A6037A"/>
    <w:rsid w:val="00A606BF"/>
    <w:rsid w:val="00A649A4"/>
    <w:rsid w:val="00A70699"/>
    <w:rsid w:val="00A71C7B"/>
    <w:rsid w:val="00A731C2"/>
    <w:rsid w:val="00A777A9"/>
    <w:rsid w:val="00A829CE"/>
    <w:rsid w:val="00A85187"/>
    <w:rsid w:val="00A85B94"/>
    <w:rsid w:val="00A87AD8"/>
    <w:rsid w:val="00A90750"/>
    <w:rsid w:val="00A92C03"/>
    <w:rsid w:val="00AA098E"/>
    <w:rsid w:val="00AA142E"/>
    <w:rsid w:val="00AA2ABC"/>
    <w:rsid w:val="00AA3177"/>
    <w:rsid w:val="00AA4486"/>
    <w:rsid w:val="00AA6923"/>
    <w:rsid w:val="00AA7229"/>
    <w:rsid w:val="00AB4BF8"/>
    <w:rsid w:val="00AB6161"/>
    <w:rsid w:val="00AC3AF5"/>
    <w:rsid w:val="00AC4201"/>
    <w:rsid w:val="00AC449D"/>
    <w:rsid w:val="00AC508A"/>
    <w:rsid w:val="00AC66F9"/>
    <w:rsid w:val="00AC7165"/>
    <w:rsid w:val="00AD0E26"/>
    <w:rsid w:val="00AD32EB"/>
    <w:rsid w:val="00AD5ECB"/>
    <w:rsid w:val="00AD6E92"/>
    <w:rsid w:val="00AE31D6"/>
    <w:rsid w:val="00AE3C6B"/>
    <w:rsid w:val="00AE429F"/>
    <w:rsid w:val="00AF0556"/>
    <w:rsid w:val="00B021AB"/>
    <w:rsid w:val="00B02660"/>
    <w:rsid w:val="00B03685"/>
    <w:rsid w:val="00B159D3"/>
    <w:rsid w:val="00B2071E"/>
    <w:rsid w:val="00B21D69"/>
    <w:rsid w:val="00B22936"/>
    <w:rsid w:val="00B22C61"/>
    <w:rsid w:val="00B2692F"/>
    <w:rsid w:val="00B41E1D"/>
    <w:rsid w:val="00B4271E"/>
    <w:rsid w:val="00B4437E"/>
    <w:rsid w:val="00B449D6"/>
    <w:rsid w:val="00B45F50"/>
    <w:rsid w:val="00B46535"/>
    <w:rsid w:val="00B4693E"/>
    <w:rsid w:val="00B476B2"/>
    <w:rsid w:val="00B5023C"/>
    <w:rsid w:val="00B525AA"/>
    <w:rsid w:val="00B5286E"/>
    <w:rsid w:val="00B56130"/>
    <w:rsid w:val="00B61F5E"/>
    <w:rsid w:val="00B64257"/>
    <w:rsid w:val="00B65CDC"/>
    <w:rsid w:val="00B67FFA"/>
    <w:rsid w:val="00B70FD4"/>
    <w:rsid w:val="00B764FC"/>
    <w:rsid w:val="00B765D4"/>
    <w:rsid w:val="00B86404"/>
    <w:rsid w:val="00B8661C"/>
    <w:rsid w:val="00B90104"/>
    <w:rsid w:val="00B90E93"/>
    <w:rsid w:val="00B93E9B"/>
    <w:rsid w:val="00BA0FF2"/>
    <w:rsid w:val="00BB1AD7"/>
    <w:rsid w:val="00BB627B"/>
    <w:rsid w:val="00BB6A3C"/>
    <w:rsid w:val="00BB7124"/>
    <w:rsid w:val="00BC5B28"/>
    <w:rsid w:val="00BD3C24"/>
    <w:rsid w:val="00BD44F5"/>
    <w:rsid w:val="00BD703A"/>
    <w:rsid w:val="00BE5090"/>
    <w:rsid w:val="00BE6B44"/>
    <w:rsid w:val="00BF3CD7"/>
    <w:rsid w:val="00BF492D"/>
    <w:rsid w:val="00BF577C"/>
    <w:rsid w:val="00BF6D99"/>
    <w:rsid w:val="00C02C42"/>
    <w:rsid w:val="00C12034"/>
    <w:rsid w:val="00C12E51"/>
    <w:rsid w:val="00C133BE"/>
    <w:rsid w:val="00C14832"/>
    <w:rsid w:val="00C1575A"/>
    <w:rsid w:val="00C22481"/>
    <w:rsid w:val="00C231DF"/>
    <w:rsid w:val="00C3629E"/>
    <w:rsid w:val="00C41D44"/>
    <w:rsid w:val="00C45890"/>
    <w:rsid w:val="00C53097"/>
    <w:rsid w:val="00C5320A"/>
    <w:rsid w:val="00C5447D"/>
    <w:rsid w:val="00C55E05"/>
    <w:rsid w:val="00C60ED8"/>
    <w:rsid w:val="00C6101D"/>
    <w:rsid w:val="00C70D1B"/>
    <w:rsid w:val="00C72E25"/>
    <w:rsid w:val="00C7314F"/>
    <w:rsid w:val="00C7605D"/>
    <w:rsid w:val="00C77D21"/>
    <w:rsid w:val="00C80B16"/>
    <w:rsid w:val="00C81855"/>
    <w:rsid w:val="00C82A94"/>
    <w:rsid w:val="00C82B66"/>
    <w:rsid w:val="00C82F14"/>
    <w:rsid w:val="00C85556"/>
    <w:rsid w:val="00C8614A"/>
    <w:rsid w:val="00C90741"/>
    <w:rsid w:val="00C914DB"/>
    <w:rsid w:val="00C94496"/>
    <w:rsid w:val="00C9736F"/>
    <w:rsid w:val="00CB63E8"/>
    <w:rsid w:val="00CB6F05"/>
    <w:rsid w:val="00CB7521"/>
    <w:rsid w:val="00CC051D"/>
    <w:rsid w:val="00CC07E6"/>
    <w:rsid w:val="00CC2F42"/>
    <w:rsid w:val="00CC7149"/>
    <w:rsid w:val="00CD01C6"/>
    <w:rsid w:val="00CD0525"/>
    <w:rsid w:val="00CD1227"/>
    <w:rsid w:val="00CD3A05"/>
    <w:rsid w:val="00CD55E7"/>
    <w:rsid w:val="00CD6BB7"/>
    <w:rsid w:val="00CE347F"/>
    <w:rsid w:val="00CE551A"/>
    <w:rsid w:val="00CE5B37"/>
    <w:rsid w:val="00CF1073"/>
    <w:rsid w:val="00CF3B3C"/>
    <w:rsid w:val="00CF64F8"/>
    <w:rsid w:val="00D110AF"/>
    <w:rsid w:val="00D14ECC"/>
    <w:rsid w:val="00D169E3"/>
    <w:rsid w:val="00D16DB1"/>
    <w:rsid w:val="00D179FD"/>
    <w:rsid w:val="00D2007E"/>
    <w:rsid w:val="00D23206"/>
    <w:rsid w:val="00D33ADF"/>
    <w:rsid w:val="00D34864"/>
    <w:rsid w:val="00D4016B"/>
    <w:rsid w:val="00D4413F"/>
    <w:rsid w:val="00D45E38"/>
    <w:rsid w:val="00D50A89"/>
    <w:rsid w:val="00D5131A"/>
    <w:rsid w:val="00D5406E"/>
    <w:rsid w:val="00D55B86"/>
    <w:rsid w:val="00D57597"/>
    <w:rsid w:val="00D64CF8"/>
    <w:rsid w:val="00D67331"/>
    <w:rsid w:val="00D67986"/>
    <w:rsid w:val="00D74C5E"/>
    <w:rsid w:val="00D76F31"/>
    <w:rsid w:val="00D80076"/>
    <w:rsid w:val="00D82CF8"/>
    <w:rsid w:val="00D872EC"/>
    <w:rsid w:val="00D91089"/>
    <w:rsid w:val="00D93F47"/>
    <w:rsid w:val="00D94B22"/>
    <w:rsid w:val="00DA0791"/>
    <w:rsid w:val="00DA2C9A"/>
    <w:rsid w:val="00DA5031"/>
    <w:rsid w:val="00DA7AE9"/>
    <w:rsid w:val="00DB0059"/>
    <w:rsid w:val="00DB0279"/>
    <w:rsid w:val="00DB10F3"/>
    <w:rsid w:val="00DB1680"/>
    <w:rsid w:val="00DB7230"/>
    <w:rsid w:val="00DC1EA4"/>
    <w:rsid w:val="00DC6CF3"/>
    <w:rsid w:val="00DD250F"/>
    <w:rsid w:val="00DD459B"/>
    <w:rsid w:val="00DD6F8C"/>
    <w:rsid w:val="00DE143D"/>
    <w:rsid w:val="00DE2C82"/>
    <w:rsid w:val="00DE3D7E"/>
    <w:rsid w:val="00DE4D3E"/>
    <w:rsid w:val="00DE6494"/>
    <w:rsid w:val="00DE6F38"/>
    <w:rsid w:val="00DF1527"/>
    <w:rsid w:val="00DF24BE"/>
    <w:rsid w:val="00DF3355"/>
    <w:rsid w:val="00DF3AE8"/>
    <w:rsid w:val="00DF6466"/>
    <w:rsid w:val="00DF7432"/>
    <w:rsid w:val="00E01FC3"/>
    <w:rsid w:val="00E0274A"/>
    <w:rsid w:val="00E03810"/>
    <w:rsid w:val="00E03B9B"/>
    <w:rsid w:val="00E044CF"/>
    <w:rsid w:val="00E10611"/>
    <w:rsid w:val="00E128CA"/>
    <w:rsid w:val="00E1374A"/>
    <w:rsid w:val="00E13EE0"/>
    <w:rsid w:val="00E17429"/>
    <w:rsid w:val="00E20455"/>
    <w:rsid w:val="00E20A16"/>
    <w:rsid w:val="00E24A86"/>
    <w:rsid w:val="00E276CE"/>
    <w:rsid w:val="00E317BB"/>
    <w:rsid w:val="00E319B8"/>
    <w:rsid w:val="00E3289C"/>
    <w:rsid w:val="00E33A59"/>
    <w:rsid w:val="00E364AD"/>
    <w:rsid w:val="00E3707A"/>
    <w:rsid w:val="00E44897"/>
    <w:rsid w:val="00E45870"/>
    <w:rsid w:val="00E50AC3"/>
    <w:rsid w:val="00E54C34"/>
    <w:rsid w:val="00E5615E"/>
    <w:rsid w:val="00E6165A"/>
    <w:rsid w:val="00E64969"/>
    <w:rsid w:val="00E64D2A"/>
    <w:rsid w:val="00E66883"/>
    <w:rsid w:val="00E74BEF"/>
    <w:rsid w:val="00E75CD6"/>
    <w:rsid w:val="00E778C1"/>
    <w:rsid w:val="00E80180"/>
    <w:rsid w:val="00E91220"/>
    <w:rsid w:val="00E979FF"/>
    <w:rsid w:val="00EA0543"/>
    <w:rsid w:val="00EB098A"/>
    <w:rsid w:val="00EB09C1"/>
    <w:rsid w:val="00EB11D7"/>
    <w:rsid w:val="00EB4BB9"/>
    <w:rsid w:val="00EB6E2A"/>
    <w:rsid w:val="00EB791F"/>
    <w:rsid w:val="00EC10CC"/>
    <w:rsid w:val="00EC23A8"/>
    <w:rsid w:val="00EC2994"/>
    <w:rsid w:val="00EC6B89"/>
    <w:rsid w:val="00EC718B"/>
    <w:rsid w:val="00EC74C1"/>
    <w:rsid w:val="00EC7A41"/>
    <w:rsid w:val="00ED0775"/>
    <w:rsid w:val="00ED257C"/>
    <w:rsid w:val="00ED3C03"/>
    <w:rsid w:val="00EE0FAF"/>
    <w:rsid w:val="00EE2DD8"/>
    <w:rsid w:val="00EE344A"/>
    <w:rsid w:val="00EE66B3"/>
    <w:rsid w:val="00EE7445"/>
    <w:rsid w:val="00EF1198"/>
    <w:rsid w:val="00EF630D"/>
    <w:rsid w:val="00EF6BE9"/>
    <w:rsid w:val="00F000C2"/>
    <w:rsid w:val="00F009E4"/>
    <w:rsid w:val="00F00C06"/>
    <w:rsid w:val="00F023C8"/>
    <w:rsid w:val="00F03B75"/>
    <w:rsid w:val="00F05B94"/>
    <w:rsid w:val="00F06B1F"/>
    <w:rsid w:val="00F11F6C"/>
    <w:rsid w:val="00F15E94"/>
    <w:rsid w:val="00F21F36"/>
    <w:rsid w:val="00F22DBE"/>
    <w:rsid w:val="00F266E7"/>
    <w:rsid w:val="00F35854"/>
    <w:rsid w:val="00F45904"/>
    <w:rsid w:val="00F45A2B"/>
    <w:rsid w:val="00F47F86"/>
    <w:rsid w:val="00F50CDD"/>
    <w:rsid w:val="00F51D42"/>
    <w:rsid w:val="00F55EFA"/>
    <w:rsid w:val="00F56027"/>
    <w:rsid w:val="00F56236"/>
    <w:rsid w:val="00F56F0E"/>
    <w:rsid w:val="00F574FC"/>
    <w:rsid w:val="00F62790"/>
    <w:rsid w:val="00F66003"/>
    <w:rsid w:val="00F715A2"/>
    <w:rsid w:val="00F72D2B"/>
    <w:rsid w:val="00F747CE"/>
    <w:rsid w:val="00F75713"/>
    <w:rsid w:val="00F77F72"/>
    <w:rsid w:val="00F83CA0"/>
    <w:rsid w:val="00F850CF"/>
    <w:rsid w:val="00F85314"/>
    <w:rsid w:val="00F92099"/>
    <w:rsid w:val="00FA44A9"/>
    <w:rsid w:val="00FA59BD"/>
    <w:rsid w:val="00FA758D"/>
    <w:rsid w:val="00FA7F04"/>
    <w:rsid w:val="00FB0700"/>
    <w:rsid w:val="00FB0795"/>
    <w:rsid w:val="00FB0858"/>
    <w:rsid w:val="00FB0A6D"/>
    <w:rsid w:val="00FB34D9"/>
    <w:rsid w:val="00FC1503"/>
    <w:rsid w:val="00FC4E16"/>
    <w:rsid w:val="00FC6023"/>
    <w:rsid w:val="00FC6CDC"/>
    <w:rsid w:val="00FD01F3"/>
    <w:rsid w:val="00FD2C93"/>
    <w:rsid w:val="00FD461E"/>
    <w:rsid w:val="00FE4F6C"/>
    <w:rsid w:val="00FE51BD"/>
    <w:rsid w:val="00FE55A7"/>
    <w:rsid w:val="00FE6FCC"/>
    <w:rsid w:val="00FF36E9"/>
    <w:rsid w:val="00FF374B"/>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D57C43C"/>
  <w15:chartTrackingRefBased/>
  <w15:docId w15:val="{3934F7FD-7595-429C-B474-4C8034CC1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6677"/>
    <w:pPr>
      <w:spacing w:line="360" w:lineRule="auto"/>
      <w:jc w:val="both"/>
    </w:pPr>
    <w:rPr>
      <w:rFonts w:ascii="Arial Narrow" w:hAnsi="Arial Narrow"/>
      <w:sz w:val="24"/>
    </w:rPr>
  </w:style>
  <w:style w:type="paragraph" w:styleId="Ttulo1">
    <w:name w:val="heading 1"/>
    <w:basedOn w:val="Normal"/>
    <w:next w:val="Normal"/>
    <w:link w:val="Ttulo1Car"/>
    <w:uiPriority w:val="9"/>
    <w:qFormat/>
    <w:rsid w:val="00E778C1"/>
    <w:pPr>
      <w:keepNext/>
      <w:keepLines/>
      <w:spacing w:before="240" w:after="0"/>
      <w:jc w:val="center"/>
      <w:outlineLvl w:val="0"/>
    </w:pPr>
    <w:rPr>
      <w:rFonts w:eastAsiaTheme="majorEastAsia" w:cstheme="majorBidi"/>
      <w:b/>
      <w:color w:val="1F3864"/>
      <w:sz w:val="26"/>
      <w:szCs w:val="32"/>
      <w:u w:val="single"/>
    </w:rPr>
  </w:style>
  <w:style w:type="paragraph" w:styleId="Ttulo2">
    <w:name w:val="heading 2"/>
    <w:basedOn w:val="Normal"/>
    <w:next w:val="Normal"/>
    <w:link w:val="Ttulo2Car"/>
    <w:uiPriority w:val="9"/>
    <w:unhideWhenUsed/>
    <w:qFormat/>
    <w:rsid w:val="00E778C1"/>
    <w:pPr>
      <w:keepNext/>
      <w:keepLines/>
      <w:spacing w:before="40" w:after="0"/>
      <w:outlineLvl w:val="1"/>
    </w:pPr>
    <w:rPr>
      <w:rFonts w:eastAsiaTheme="majorEastAsia" w:cstheme="majorBidi"/>
      <w:color w:val="1F3864"/>
      <w:szCs w:val="26"/>
    </w:rPr>
  </w:style>
  <w:style w:type="paragraph" w:styleId="Ttulo3">
    <w:name w:val="heading 3"/>
    <w:basedOn w:val="Normal"/>
    <w:next w:val="Normal"/>
    <w:link w:val="Ttulo3Car"/>
    <w:uiPriority w:val="9"/>
    <w:unhideWhenUsed/>
    <w:qFormat/>
    <w:rsid w:val="00F266E7"/>
    <w:pPr>
      <w:keepNext/>
      <w:keepLines/>
      <w:spacing w:before="40" w:after="0"/>
      <w:outlineLvl w:val="2"/>
    </w:pPr>
    <w:rPr>
      <w:rFonts w:eastAsiaTheme="majorEastAsia" w:cstheme="majorBidi"/>
      <w:b/>
      <w:color w:val="1F3763" w:themeColor="accent1" w:themeShade="7F"/>
      <w:szCs w:val="24"/>
    </w:rPr>
  </w:style>
  <w:style w:type="paragraph" w:styleId="Ttulo4">
    <w:name w:val="heading 4"/>
    <w:basedOn w:val="Normal"/>
    <w:next w:val="Normal"/>
    <w:link w:val="Ttulo4Car"/>
    <w:uiPriority w:val="9"/>
    <w:unhideWhenUsed/>
    <w:qFormat/>
    <w:rsid w:val="002962F2"/>
    <w:pPr>
      <w:keepNext/>
      <w:keepLines/>
      <w:spacing w:before="40" w:after="0"/>
      <w:outlineLvl w:val="3"/>
    </w:pPr>
    <w:rPr>
      <w:rFonts w:eastAsiaTheme="majorEastAsia" w:cstheme="majorBidi"/>
      <w:b/>
      <w:iCs/>
    </w:rPr>
  </w:style>
  <w:style w:type="paragraph" w:styleId="Ttulo5">
    <w:name w:val="heading 5"/>
    <w:basedOn w:val="Normal"/>
    <w:next w:val="Normal"/>
    <w:link w:val="Ttulo5Car"/>
    <w:uiPriority w:val="9"/>
    <w:unhideWhenUsed/>
    <w:qFormat/>
    <w:rsid w:val="00692DC8"/>
    <w:pPr>
      <w:keepNext/>
      <w:keepLines/>
      <w:spacing w:before="120" w:after="0" w:line="259" w:lineRule="auto"/>
      <w:outlineLvl w:val="4"/>
    </w:pPr>
    <w:rPr>
      <w:rFonts w:ascii="Cambria" w:eastAsia="Times New Roman" w:hAnsi="Cambria" w:cs="Times New Roman"/>
      <w:i/>
      <w:iCs/>
      <w:caps/>
      <w:lang w:eastAsia="es-CR"/>
    </w:rPr>
  </w:style>
  <w:style w:type="paragraph" w:styleId="Ttulo6">
    <w:name w:val="heading 6"/>
    <w:basedOn w:val="Normal"/>
    <w:next w:val="Normal"/>
    <w:link w:val="Ttulo6Car"/>
    <w:uiPriority w:val="9"/>
    <w:unhideWhenUsed/>
    <w:qFormat/>
    <w:rsid w:val="00692DC8"/>
    <w:pPr>
      <w:keepNext/>
      <w:keepLines/>
      <w:spacing w:before="120" w:after="0" w:line="259" w:lineRule="auto"/>
      <w:outlineLvl w:val="5"/>
    </w:pPr>
    <w:rPr>
      <w:rFonts w:ascii="Cambria" w:eastAsia="Times New Roman" w:hAnsi="Cambria" w:cs="Times New Roman"/>
      <w:b/>
      <w:bCs/>
      <w:caps/>
      <w:color w:val="262626"/>
      <w:sz w:val="20"/>
      <w:szCs w:val="20"/>
      <w:lang w:eastAsia="es-CR"/>
    </w:rPr>
  </w:style>
  <w:style w:type="paragraph" w:styleId="Ttulo7">
    <w:name w:val="heading 7"/>
    <w:basedOn w:val="Normal"/>
    <w:next w:val="Normal"/>
    <w:link w:val="Ttulo7Car"/>
    <w:uiPriority w:val="9"/>
    <w:unhideWhenUsed/>
    <w:qFormat/>
    <w:rsid w:val="00692DC8"/>
    <w:pPr>
      <w:keepNext/>
      <w:keepLines/>
      <w:spacing w:before="120" w:after="0" w:line="259" w:lineRule="auto"/>
      <w:outlineLvl w:val="6"/>
    </w:pPr>
    <w:rPr>
      <w:rFonts w:ascii="Cambria" w:eastAsia="Times New Roman" w:hAnsi="Cambria" w:cs="Times New Roman"/>
      <w:b/>
      <w:bCs/>
      <w:i/>
      <w:iCs/>
      <w:caps/>
      <w:color w:val="262626"/>
      <w:sz w:val="20"/>
      <w:szCs w:val="20"/>
      <w:lang w:eastAsia="es-CR"/>
    </w:rPr>
  </w:style>
  <w:style w:type="paragraph" w:styleId="Ttulo8">
    <w:name w:val="heading 8"/>
    <w:basedOn w:val="Normal"/>
    <w:next w:val="Normal"/>
    <w:link w:val="Ttulo8Car"/>
    <w:uiPriority w:val="9"/>
    <w:unhideWhenUsed/>
    <w:qFormat/>
    <w:rsid w:val="00692DC8"/>
    <w:pPr>
      <w:keepNext/>
      <w:keepLines/>
      <w:spacing w:before="120" w:after="0" w:line="259" w:lineRule="auto"/>
      <w:outlineLvl w:val="7"/>
    </w:pPr>
    <w:rPr>
      <w:rFonts w:ascii="Cambria" w:eastAsia="Times New Roman" w:hAnsi="Cambria" w:cs="Times New Roman"/>
      <w:b/>
      <w:bCs/>
      <w:caps/>
      <w:color w:val="7F7F7F"/>
      <w:sz w:val="20"/>
      <w:szCs w:val="20"/>
      <w:lang w:eastAsia="es-CR"/>
    </w:rPr>
  </w:style>
  <w:style w:type="paragraph" w:styleId="Ttulo9">
    <w:name w:val="heading 9"/>
    <w:basedOn w:val="Normal"/>
    <w:next w:val="Normal"/>
    <w:link w:val="Ttulo9Car"/>
    <w:uiPriority w:val="9"/>
    <w:unhideWhenUsed/>
    <w:qFormat/>
    <w:rsid w:val="00692DC8"/>
    <w:pPr>
      <w:keepNext/>
      <w:keepLines/>
      <w:spacing w:before="120" w:after="0" w:line="259" w:lineRule="auto"/>
      <w:outlineLvl w:val="8"/>
    </w:pPr>
    <w:rPr>
      <w:rFonts w:ascii="Cambria" w:eastAsia="Times New Roman" w:hAnsi="Cambria" w:cs="Times New Roman"/>
      <w:b/>
      <w:bCs/>
      <w:i/>
      <w:iCs/>
      <w:caps/>
      <w:color w:val="7F7F7F"/>
      <w:sz w:val="20"/>
      <w:szCs w:val="20"/>
      <w:lang w:eastAsia="es-C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778C1"/>
    <w:rPr>
      <w:rFonts w:ascii="Arial Narrow" w:eastAsiaTheme="majorEastAsia" w:hAnsi="Arial Narrow" w:cstheme="majorBidi"/>
      <w:b/>
      <w:color w:val="1F3864"/>
      <w:sz w:val="26"/>
      <w:szCs w:val="32"/>
      <w:u w:val="single"/>
    </w:rPr>
  </w:style>
  <w:style w:type="character" w:customStyle="1" w:styleId="Ttulo2Car">
    <w:name w:val="Título 2 Car"/>
    <w:basedOn w:val="Fuentedeprrafopredeter"/>
    <w:link w:val="Ttulo2"/>
    <w:uiPriority w:val="9"/>
    <w:rsid w:val="00E778C1"/>
    <w:rPr>
      <w:rFonts w:ascii="Arial Narrow" w:eastAsiaTheme="majorEastAsia" w:hAnsi="Arial Narrow" w:cstheme="majorBidi"/>
      <w:color w:val="1F3864"/>
      <w:sz w:val="24"/>
      <w:szCs w:val="26"/>
    </w:rPr>
  </w:style>
  <w:style w:type="paragraph" w:styleId="Prrafodelista">
    <w:name w:val="List Paragraph"/>
    <w:aliases w:val="Bullet 1,Use Case List Paragraph,lp1,titulo 5"/>
    <w:basedOn w:val="Normal"/>
    <w:link w:val="PrrafodelistaCar"/>
    <w:uiPriority w:val="34"/>
    <w:qFormat/>
    <w:rsid w:val="00B4271E"/>
    <w:pPr>
      <w:ind w:left="720"/>
      <w:contextualSpacing/>
    </w:pPr>
  </w:style>
  <w:style w:type="character" w:customStyle="1" w:styleId="Ttulo3Car">
    <w:name w:val="Título 3 Car"/>
    <w:basedOn w:val="Fuentedeprrafopredeter"/>
    <w:link w:val="Ttulo3"/>
    <w:uiPriority w:val="9"/>
    <w:rsid w:val="00F266E7"/>
    <w:rPr>
      <w:rFonts w:ascii="Arial Narrow" w:eastAsiaTheme="majorEastAsia" w:hAnsi="Arial Narrow" w:cstheme="majorBidi"/>
      <w:b/>
      <w:color w:val="1F3763" w:themeColor="accent1" w:themeShade="7F"/>
      <w:sz w:val="24"/>
      <w:szCs w:val="24"/>
    </w:rPr>
  </w:style>
  <w:style w:type="paragraph" w:styleId="NormalWeb">
    <w:name w:val="Normal (Web)"/>
    <w:basedOn w:val="Normal"/>
    <w:uiPriority w:val="99"/>
    <w:unhideWhenUsed/>
    <w:rsid w:val="002962F2"/>
    <w:pPr>
      <w:spacing w:before="100" w:beforeAutospacing="1" w:after="100" w:afterAutospacing="1" w:line="240" w:lineRule="auto"/>
      <w:outlineLvl w:val="0"/>
    </w:pPr>
    <w:rPr>
      <w:rFonts w:ascii="Times New Roman" w:eastAsia="Times New Roman" w:hAnsi="Times New Roman" w:cs="Times New Roman"/>
      <w:szCs w:val="24"/>
      <w:lang w:eastAsia="es-CR"/>
    </w:rPr>
  </w:style>
  <w:style w:type="character" w:styleId="Hipervnculo">
    <w:name w:val="Hyperlink"/>
    <w:uiPriority w:val="99"/>
    <w:unhideWhenUsed/>
    <w:rsid w:val="002962F2"/>
    <w:rPr>
      <w:color w:val="0000FF"/>
      <w:u w:val="single"/>
    </w:rPr>
  </w:style>
  <w:style w:type="character" w:customStyle="1" w:styleId="Ttulo4Car">
    <w:name w:val="Título 4 Car"/>
    <w:basedOn w:val="Fuentedeprrafopredeter"/>
    <w:link w:val="Ttulo4"/>
    <w:uiPriority w:val="9"/>
    <w:rsid w:val="002962F2"/>
    <w:rPr>
      <w:rFonts w:ascii="Arial Narrow" w:eastAsiaTheme="majorEastAsia" w:hAnsi="Arial Narrow" w:cstheme="majorBidi"/>
      <w:b/>
      <w:iCs/>
      <w:sz w:val="24"/>
    </w:rPr>
  </w:style>
  <w:style w:type="character" w:customStyle="1" w:styleId="Mencinsinresolver1">
    <w:name w:val="Mención sin resolver1"/>
    <w:basedOn w:val="Fuentedeprrafopredeter"/>
    <w:uiPriority w:val="99"/>
    <w:semiHidden/>
    <w:unhideWhenUsed/>
    <w:rsid w:val="002962F2"/>
    <w:rPr>
      <w:color w:val="605E5C"/>
      <w:shd w:val="clear" w:color="auto" w:fill="E1DFDD"/>
    </w:rPr>
  </w:style>
  <w:style w:type="character" w:styleId="nfasis">
    <w:name w:val="Emphasis"/>
    <w:aliases w:val="Normativa"/>
    <w:basedOn w:val="Fuentedeprrafopredeter"/>
    <w:uiPriority w:val="20"/>
    <w:qFormat/>
    <w:rsid w:val="00D16DB1"/>
    <w:rPr>
      <w:rFonts w:ascii="Arial Narrow" w:hAnsi="Arial Narrow"/>
      <w:i/>
      <w:iCs/>
      <w:sz w:val="24"/>
    </w:rPr>
  </w:style>
  <w:style w:type="numbering" w:customStyle="1" w:styleId="Sinlista1">
    <w:name w:val="Sin lista1"/>
    <w:next w:val="Sinlista"/>
    <w:uiPriority w:val="99"/>
    <w:semiHidden/>
    <w:unhideWhenUsed/>
    <w:rsid w:val="00A649A4"/>
  </w:style>
  <w:style w:type="paragraph" w:customStyle="1" w:styleId="Default">
    <w:name w:val="Default"/>
    <w:rsid w:val="00A649A4"/>
    <w:pPr>
      <w:autoSpaceDE w:val="0"/>
      <w:autoSpaceDN w:val="0"/>
      <w:adjustRightInd w:val="0"/>
      <w:spacing w:after="0" w:line="240" w:lineRule="auto"/>
    </w:pPr>
    <w:rPr>
      <w:rFonts w:ascii="Times New Roman" w:eastAsia="Calibri" w:hAnsi="Times New Roman" w:cs="Times New Roman"/>
      <w:color w:val="000000"/>
      <w:sz w:val="24"/>
      <w:szCs w:val="24"/>
      <w:lang w:eastAsia="es-CR"/>
    </w:rPr>
  </w:style>
  <w:style w:type="character" w:customStyle="1" w:styleId="Ttulo5Car">
    <w:name w:val="Título 5 Car"/>
    <w:basedOn w:val="Fuentedeprrafopredeter"/>
    <w:link w:val="Ttulo5"/>
    <w:uiPriority w:val="9"/>
    <w:rsid w:val="00692DC8"/>
    <w:rPr>
      <w:rFonts w:ascii="Cambria" w:eastAsia="Times New Roman" w:hAnsi="Cambria" w:cs="Times New Roman"/>
      <w:i/>
      <w:iCs/>
      <w:caps/>
      <w:sz w:val="24"/>
      <w:lang w:eastAsia="es-CR"/>
    </w:rPr>
  </w:style>
  <w:style w:type="character" w:customStyle="1" w:styleId="Ttulo6Car">
    <w:name w:val="Título 6 Car"/>
    <w:basedOn w:val="Fuentedeprrafopredeter"/>
    <w:link w:val="Ttulo6"/>
    <w:uiPriority w:val="9"/>
    <w:rsid w:val="00692DC8"/>
    <w:rPr>
      <w:rFonts w:ascii="Cambria" w:eastAsia="Times New Roman" w:hAnsi="Cambria" w:cs="Times New Roman"/>
      <w:b/>
      <w:bCs/>
      <w:caps/>
      <w:color w:val="262626"/>
      <w:sz w:val="20"/>
      <w:szCs w:val="20"/>
      <w:lang w:eastAsia="es-CR"/>
    </w:rPr>
  </w:style>
  <w:style w:type="character" w:customStyle="1" w:styleId="Ttulo7Car">
    <w:name w:val="Título 7 Car"/>
    <w:basedOn w:val="Fuentedeprrafopredeter"/>
    <w:link w:val="Ttulo7"/>
    <w:uiPriority w:val="9"/>
    <w:rsid w:val="00692DC8"/>
    <w:rPr>
      <w:rFonts w:ascii="Cambria" w:eastAsia="Times New Roman" w:hAnsi="Cambria" w:cs="Times New Roman"/>
      <w:b/>
      <w:bCs/>
      <w:i/>
      <w:iCs/>
      <w:caps/>
      <w:color w:val="262626"/>
      <w:sz w:val="20"/>
      <w:szCs w:val="20"/>
      <w:lang w:eastAsia="es-CR"/>
    </w:rPr>
  </w:style>
  <w:style w:type="character" w:customStyle="1" w:styleId="Ttulo8Car">
    <w:name w:val="Título 8 Car"/>
    <w:basedOn w:val="Fuentedeprrafopredeter"/>
    <w:link w:val="Ttulo8"/>
    <w:uiPriority w:val="9"/>
    <w:rsid w:val="00692DC8"/>
    <w:rPr>
      <w:rFonts w:ascii="Cambria" w:eastAsia="Times New Roman" w:hAnsi="Cambria" w:cs="Times New Roman"/>
      <w:b/>
      <w:bCs/>
      <w:caps/>
      <w:color w:val="7F7F7F"/>
      <w:sz w:val="20"/>
      <w:szCs w:val="20"/>
      <w:lang w:eastAsia="es-CR"/>
    </w:rPr>
  </w:style>
  <w:style w:type="character" w:customStyle="1" w:styleId="Ttulo9Car">
    <w:name w:val="Título 9 Car"/>
    <w:basedOn w:val="Fuentedeprrafopredeter"/>
    <w:link w:val="Ttulo9"/>
    <w:uiPriority w:val="9"/>
    <w:rsid w:val="00692DC8"/>
    <w:rPr>
      <w:rFonts w:ascii="Cambria" w:eastAsia="Times New Roman" w:hAnsi="Cambria" w:cs="Times New Roman"/>
      <w:b/>
      <w:bCs/>
      <w:i/>
      <w:iCs/>
      <w:caps/>
      <w:color w:val="7F7F7F"/>
      <w:sz w:val="20"/>
      <w:szCs w:val="20"/>
      <w:lang w:eastAsia="es-CR"/>
    </w:rPr>
  </w:style>
  <w:style w:type="numbering" w:customStyle="1" w:styleId="Sinlista2">
    <w:name w:val="Sin lista2"/>
    <w:next w:val="Sinlista"/>
    <w:uiPriority w:val="99"/>
    <w:semiHidden/>
    <w:unhideWhenUsed/>
    <w:rsid w:val="00692DC8"/>
  </w:style>
  <w:style w:type="paragraph" w:styleId="Encabezado">
    <w:name w:val="header"/>
    <w:basedOn w:val="Normal"/>
    <w:link w:val="EncabezadoCar"/>
    <w:unhideWhenUsed/>
    <w:rsid w:val="00692DC8"/>
    <w:pPr>
      <w:tabs>
        <w:tab w:val="center" w:pos="4252"/>
        <w:tab w:val="right" w:pos="8504"/>
      </w:tabs>
      <w:spacing w:after="0" w:line="240" w:lineRule="auto"/>
      <w:outlineLvl w:val="0"/>
    </w:pPr>
    <w:rPr>
      <w:rFonts w:eastAsia="Calibri" w:cs="Times New Roman"/>
    </w:rPr>
  </w:style>
  <w:style w:type="character" w:customStyle="1" w:styleId="EncabezadoCar">
    <w:name w:val="Encabezado Car"/>
    <w:basedOn w:val="Fuentedeprrafopredeter"/>
    <w:link w:val="Encabezado"/>
    <w:rsid w:val="00692DC8"/>
    <w:rPr>
      <w:rFonts w:ascii="Arial Narrow" w:eastAsia="Calibri" w:hAnsi="Arial Narrow" w:cs="Times New Roman"/>
      <w:sz w:val="24"/>
    </w:rPr>
  </w:style>
  <w:style w:type="paragraph" w:styleId="Piedepgina">
    <w:name w:val="footer"/>
    <w:basedOn w:val="Normal"/>
    <w:link w:val="PiedepginaCar"/>
    <w:uiPriority w:val="99"/>
    <w:unhideWhenUsed/>
    <w:rsid w:val="00692DC8"/>
    <w:pPr>
      <w:tabs>
        <w:tab w:val="center" w:pos="4252"/>
        <w:tab w:val="right" w:pos="8504"/>
      </w:tabs>
      <w:spacing w:after="0" w:line="240" w:lineRule="auto"/>
      <w:outlineLvl w:val="0"/>
    </w:pPr>
    <w:rPr>
      <w:rFonts w:eastAsia="Calibri" w:cs="Times New Roman"/>
    </w:rPr>
  </w:style>
  <w:style w:type="character" w:customStyle="1" w:styleId="PiedepginaCar">
    <w:name w:val="Pie de página Car"/>
    <w:basedOn w:val="Fuentedeprrafopredeter"/>
    <w:link w:val="Piedepgina"/>
    <w:uiPriority w:val="99"/>
    <w:rsid w:val="00692DC8"/>
    <w:rPr>
      <w:rFonts w:ascii="Arial Narrow" w:eastAsia="Calibri" w:hAnsi="Arial Narrow" w:cs="Times New Roman"/>
      <w:sz w:val="24"/>
    </w:rPr>
  </w:style>
  <w:style w:type="character" w:customStyle="1" w:styleId="apple-converted-space">
    <w:name w:val="apple-converted-space"/>
    <w:rsid w:val="00692DC8"/>
  </w:style>
  <w:style w:type="paragraph" w:styleId="Textonotapie">
    <w:name w:val="footnote text"/>
    <w:aliases w:val="Footnote Text Char Char,Footnote Text Char,Footnote Text Char1,Footnote Text Char2,Footnote Text Char3,Footnote Text Char4,Footnote Text Char5,Footnote New"/>
    <w:basedOn w:val="Normal"/>
    <w:link w:val="TextonotapieCar"/>
    <w:uiPriority w:val="99"/>
    <w:semiHidden/>
    <w:rsid w:val="00692DC8"/>
    <w:pPr>
      <w:spacing w:after="0" w:line="240" w:lineRule="auto"/>
      <w:outlineLvl w:val="0"/>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ar,Footnote Text Char Car,Footnote Text Char1 Car,Footnote Text Char2 Car,Footnote Text Char3 Car,Footnote Text Char4 Car,Footnote Text Char5 Car,Footnote New Car"/>
    <w:basedOn w:val="Fuentedeprrafopredeter"/>
    <w:link w:val="Textonotapie"/>
    <w:uiPriority w:val="99"/>
    <w:semiHidden/>
    <w:rsid w:val="00692DC8"/>
    <w:rPr>
      <w:rFonts w:ascii="Times New Roman" w:eastAsia="Times New Roman" w:hAnsi="Times New Roman" w:cs="Times New Roman"/>
      <w:sz w:val="20"/>
      <w:szCs w:val="20"/>
      <w:lang w:val="es-ES" w:eastAsia="es-ES"/>
    </w:rPr>
  </w:style>
  <w:style w:type="character" w:styleId="Refdenotaalpie">
    <w:name w:val="footnote reference"/>
    <w:uiPriority w:val="99"/>
    <w:semiHidden/>
    <w:rsid w:val="00692DC8"/>
    <w:rPr>
      <w:vertAlign w:val="superscript"/>
    </w:rPr>
  </w:style>
  <w:style w:type="table" w:styleId="Tablaconcuadrcula">
    <w:name w:val="Table Grid"/>
    <w:basedOn w:val="Tablanormal"/>
    <w:uiPriority w:val="39"/>
    <w:rsid w:val="00692DC8"/>
    <w:pPr>
      <w:spacing w:after="0" w:line="240" w:lineRule="auto"/>
    </w:pPr>
    <w:rPr>
      <w:rFonts w:ascii="Calibri" w:eastAsia="Calibri" w:hAnsi="Calibri" w:cs="Times New Roman"/>
      <w:sz w:val="20"/>
      <w:szCs w:val="20"/>
      <w:lang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72437B"/>
    <w:rPr>
      <w:rFonts w:ascii="Arial Narrow" w:hAnsi="Arial Narrow"/>
      <w:i w:val="0"/>
      <w:iCs/>
      <w:color w:val="auto"/>
      <w:sz w:val="24"/>
    </w:rPr>
  </w:style>
  <w:style w:type="character" w:styleId="nfasisintenso">
    <w:name w:val="Intense Emphasis"/>
    <w:uiPriority w:val="21"/>
    <w:qFormat/>
    <w:rsid w:val="00692DC8"/>
    <w:rPr>
      <w:b/>
      <w:bCs/>
      <w:i/>
      <w:iCs/>
      <w:color w:val="4F81BD"/>
    </w:rPr>
  </w:style>
  <w:style w:type="paragraph" w:styleId="Textodeglobo">
    <w:name w:val="Balloon Text"/>
    <w:basedOn w:val="Normal"/>
    <w:link w:val="TextodegloboCar"/>
    <w:uiPriority w:val="99"/>
    <w:semiHidden/>
    <w:unhideWhenUsed/>
    <w:rsid w:val="00692DC8"/>
    <w:pPr>
      <w:spacing w:after="0" w:line="240" w:lineRule="auto"/>
      <w:outlineLvl w:val="0"/>
    </w:pPr>
    <w:rPr>
      <w:rFonts w:ascii="Tahoma" w:eastAsia="Calibri" w:hAnsi="Tahoma" w:cs="Tahoma"/>
      <w:sz w:val="16"/>
      <w:szCs w:val="16"/>
    </w:rPr>
  </w:style>
  <w:style w:type="character" w:customStyle="1" w:styleId="TextodegloboCar">
    <w:name w:val="Texto de globo Car"/>
    <w:basedOn w:val="Fuentedeprrafopredeter"/>
    <w:link w:val="Textodeglobo"/>
    <w:uiPriority w:val="99"/>
    <w:semiHidden/>
    <w:rsid w:val="00692DC8"/>
    <w:rPr>
      <w:rFonts w:ascii="Tahoma" w:eastAsia="Calibri" w:hAnsi="Tahoma" w:cs="Tahoma"/>
      <w:sz w:val="16"/>
      <w:szCs w:val="16"/>
    </w:rPr>
  </w:style>
  <w:style w:type="paragraph" w:customStyle="1" w:styleId="xl26">
    <w:name w:val="xl26"/>
    <w:basedOn w:val="Normal"/>
    <w:rsid w:val="00692DC8"/>
    <w:pPr>
      <w:pBdr>
        <w:left w:val="single" w:sz="4" w:space="0" w:color="auto"/>
        <w:right w:val="single" w:sz="4" w:space="0" w:color="auto"/>
      </w:pBdr>
      <w:spacing w:before="100" w:beforeAutospacing="1" w:after="100" w:afterAutospacing="1" w:line="240" w:lineRule="auto"/>
      <w:outlineLvl w:val="0"/>
    </w:pPr>
    <w:rPr>
      <w:rFonts w:ascii="Arial" w:eastAsia="Times New Roman" w:hAnsi="Arial" w:cs="Arial"/>
      <w:b/>
      <w:bCs/>
      <w:szCs w:val="24"/>
      <w:lang w:val="es-ES" w:eastAsia="es-ES"/>
    </w:rPr>
  </w:style>
  <w:style w:type="numbering" w:customStyle="1" w:styleId="Sinlista11">
    <w:name w:val="Sin lista11"/>
    <w:next w:val="Sinlista"/>
    <w:uiPriority w:val="99"/>
    <w:semiHidden/>
    <w:unhideWhenUsed/>
    <w:rsid w:val="00692DC8"/>
  </w:style>
  <w:style w:type="numbering" w:customStyle="1" w:styleId="Sinlista111">
    <w:name w:val="Sin lista111"/>
    <w:next w:val="Sinlista"/>
    <w:uiPriority w:val="99"/>
    <w:semiHidden/>
    <w:unhideWhenUsed/>
    <w:rsid w:val="00692DC8"/>
  </w:style>
  <w:style w:type="table" w:customStyle="1" w:styleId="Tabladecuadrcula2-nfasis31">
    <w:name w:val="Tabla de cuadrícula 2 - Énfasis 31"/>
    <w:basedOn w:val="Tablanormal"/>
    <w:uiPriority w:val="47"/>
    <w:rsid w:val="00692DC8"/>
    <w:pPr>
      <w:spacing w:after="0" w:line="240" w:lineRule="auto"/>
    </w:pPr>
    <w:rPr>
      <w:rFonts w:ascii="Calibri" w:eastAsia="Calibri" w:hAnsi="Calibri" w:cs="Times New Roman"/>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oncuadrcula1">
    <w:name w:val="Tabla con cuadrícula1"/>
    <w:basedOn w:val="Tablanormal"/>
    <w:next w:val="Tablaconcuadrcula"/>
    <w:uiPriority w:val="59"/>
    <w:rsid w:val="00692D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692DC8"/>
  </w:style>
  <w:style w:type="character" w:styleId="Refdecomentario">
    <w:name w:val="annotation reference"/>
    <w:uiPriority w:val="99"/>
    <w:semiHidden/>
    <w:unhideWhenUsed/>
    <w:rsid w:val="00692DC8"/>
    <w:rPr>
      <w:sz w:val="16"/>
      <w:szCs w:val="16"/>
    </w:rPr>
  </w:style>
  <w:style w:type="paragraph" w:styleId="Textocomentario">
    <w:name w:val="annotation text"/>
    <w:basedOn w:val="Normal"/>
    <w:link w:val="TextocomentarioCar"/>
    <w:uiPriority w:val="99"/>
    <w:unhideWhenUsed/>
    <w:rsid w:val="00692DC8"/>
    <w:pPr>
      <w:spacing w:after="0" w:line="240" w:lineRule="auto"/>
      <w:outlineLvl w:val="0"/>
    </w:pPr>
    <w:rPr>
      <w:rFonts w:eastAsia="Calibri" w:cs="Times New Roman"/>
      <w:sz w:val="20"/>
      <w:szCs w:val="20"/>
    </w:rPr>
  </w:style>
  <w:style w:type="character" w:customStyle="1" w:styleId="TextocomentarioCar">
    <w:name w:val="Texto comentario Car"/>
    <w:basedOn w:val="Fuentedeprrafopredeter"/>
    <w:link w:val="Textocomentario"/>
    <w:uiPriority w:val="99"/>
    <w:rsid w:val="00692DC8"/>
    <w:rPr>
      <w:rFonts w:ascii="Arial Narrow" w:eastAsia="Calibri" w:hAnsi="Arial Narrow"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692DC8"/>
    <w:rPr>
      <w:b/>
      <w:bCs/>
    </w:rPr>
  </w:style>
  <w:style w:type="character" w:customStyle="1" w:styleId="AsuntodelcomentarioCar">
    <w:name w:val="Asunto del comentario Car"/>
    <w:basedOn w:val="TextocomentarioCar"/>
    <w:link w:val="Asuntodelcomentario"/>
    <w:uiPriority w:val="99"/>
    <w:semiHidden/>
    <w:rsid w:val="00692DC8"/>
    <w:rPr>
      <w:rFonts w:ascii="Arial Narrow" w:eastAsia="Calibri" w:hAnsi="Arial Narrow" w:cs="Times New Roman"/>
      <w:b/>
      <w:bCs/>
      <w:sz w:val="20"/>
      <w:szCs w:val="20"/>
    </w:rPr>
  </w:style>
  <w:style w:type="paragraph" w:styleId="Textoindependiente2">
    <w:name w:val="Body Text 2"/>
    <w:basedOn w:val="Normal"/>
    <w:link w:val="Textoindependiente2Car"/>
    <w:unhideWhenUsed/>
    <w:rsid w:val="00692DC8"/>
    <w:pPr>
      <w:spacing w:after="120" w:line="480" w:lineRule="auto"/>
      <w:outlineLvl w:val="0"/>
    </w:pPr>
    <w:rPr>
      <w:rFonts w:eastAsia="Times New Roman" w:cs="Times New Roman"/>
      <w:lang w:val="es-ES"/>
    </w:rPr>
  </w:style>
  <w:style w:type="character" w:customStyle="1" w:styleId="Textoindependiente2Car">
    <w:name w:val="Texto independiente 2 Car"/>
    <w:basedOn w:val="Fuentedeprrafopredeter"/>
    <w:link w:val="Textoindependiente2"/>
    <w:rsid w:val="00692DC8"/>
    <w:rPr>
      <w:rFonts w:ascii="Arial Narrow" w:eastAsia="Times New Roman" w:hAnsi="Arial Narrow" w:cs="Times New Roman"/>
      <w:sz w:val="24"/>
      <w:lang w:val="es-ES"/>
    </w:rPr>
  </w:style>
  <w:style w:type="paragraph" w:styleId="Sangradetextonormal">
    <w:name w:val="Body Text Indent"/>
    <w:basedOn w:val="Normal"/>
    <w:link w:val="SangradetextonormalCar"/>
    <w:uiPriority w:val="99"/>
    <w:rsid w:val="00692DC8"/>
    <w:pPr>
      <w:spacing w:after="0" w:line="240" w:lineRule="auto"/>
      <w:ind w:left="360"/>
      <w:outlineLvl w:val="0"/>
    </w:pPr>
    <w:rPr>
      <w:rFonts w:ascii="Garamond" w:eastAsia="Times New Roman" w:hAnsi="Garamond" w:cs="Times New Roman"/>
      <w:szCs w:val="20"/>
      <w:lang w:eastAsia="es-ES"/>
    </w:rPr>
  </w:style>
  <w:style w:type="character" w:customStyle="1" w:styleId="SangradetextonormalCar">
    <w:name w:val="Sangría de texto normal Car"/>
    <w:basedOn w:val="Fuentedeprrafopredeter"/>
    <w:link w:val="Sangradetextonormal"/>
    <w:uiPriority w:val="99"/>
    <w:rsid w:val="00692DC8"/>
    <w:rPr>
      <w:rFonts w:ascii="Garamond" w:eastAsia="Times New Roman" w:hAnsi="Garamond" w:cs="Times New Roman"/>
      <w:sz w:val="24"/>
      <w:szCs w:val="20"/>
      <w:lang w:eastAsia="es-ES"/>
    </w:rPr>
  </w:style>
  <w:style w:type="paragraph" w:styleId="Textoindependiente">
    <w:name w:val="Body Text"/>
    <w:basedOn w:val="Normal"/>
    <w:link w:val="TextoindependienteCar"/>
    <w:uiPriority w:val="99"/>
    <w:unhideWhenUsed/>
    <w:rsid w:val="00692DC8"/>
    <w:pPr>
      <w:spacing w:after="120" w:line="259" w:lineRule="auto"/>
      <w:outlineLvl w:val="0"/>
    </w:pPr>
    <w:rPr>
      <w:rFonts w:eastAsia="Times New Roman" w:cs="Times New Roman"/>
      <w:lang w:eastAsia="es-CR"/>
    </w:rPr>
  </w:style>
  <w:style w:type="character" w:customStyle="1" w:styleId="TextoindependienteCar">
    <w:name w:val="Texto independiente Car"/>
    <w:basedOn w:val="Fuentedeprrafopredeter"/>
    <w:link w:val="Textoindependiente"/>
    <w:uiPriority w:val="99"/>
    <w:rsid w:val="00692DC8"/>
    <w:rPr>
      <w:rFonts w:ascii="Arial Narrow" w:eastAsia="Times New Roman" w:hAnsi="Arial Narrow" w:cs="Times New Roman"/>
      <w:sz w:val="24"/>
      <w:lang w:eastAsia="es-CR"/>
    </w:rPr>
  </w:style>
  <w:style w:type="paragraph" w:styleId="Ttulo">
    <w:name w:val="Title"/>
    <w:basedOn w:val="Normal"/>
    <w:next w:val="Normal"/>
    <w:link w:val="TtuloCar"/>
    <w:uiPriority w:val="10"/>
    <w:qFormat/>
    <w:rsid w:val="00692DC8"/>
    <w:pPr>
      <w:spacing w:after="0" w:line="240" w:lineRule="auto"/>
      <w:contextualSpacing/>
      <w:outlineLvl w:val="0"/>
    </w:pPr>
    <w:rPr>
      <w:rFonts w:ascii="Cambria" w:eastAsia="Times New Roman" w:hAnsi="Cambria" w:cs="Times New Roman"/>
      <w:caps/>
      <w:color w:val="404040"/>
      <w:spacing w:val="-10"/>
      <w:sz w:val="72"/>
      <w:szCs w:val="72"/>
      <w:lang w:eastAsia="es-CR"/>
    </w:rPr>
  </w:style>
  <w:style w:type="character" w:customStyle="1" w:styleId="TtuloCar">
    <w:name w:val="Título Car"/>
    <w:basedOn w:val="Fuentedeprrafopredeter"/>
    <w:link w:val="Ttulo"/>
    <w:uiPriority w:val="10"/>
    <w:rsid w:val="00692DC8"/>
    <w:rPr>
      <w:rFonts w:ascii="Cambria" w:eastAsia="Times New Roman" w:hAnsi="Cambria" w:cs="Times New Roman"/>
      <w:caps/>
      <w:color w:val="404040"/>
      <w:spacing w:val="-10"/>
      <w:sz w:val="72"/>
      <w:szCs w:val="72"/>
      <w:lang w:eastAsia="es-CR"/>
    </w:rPr>
  </w:style>
  <w:style w:type="paragraph" w:styleId="Listaconvietas5">
    <w:name w:val="List Bullet 5"/>
    <w:basedOn w:val="Normal"/>
    <w:autoRedefine/>
    <w:semiHidden/>
    <w:rsid w:val="00692DC8"/>
    <w:pPr>
      <w:numPr>
        <w:numId w:val="7"/>
      </w:numPr>
      <w:tabs>
        <w:tab w:val="clear" w:pos="757"/>
      </w:tabs>
      <w:spacing w:after="0" w:line="240" w:lineRule="auto"/>
      <w:ind w:left="1440" w:hanging="360"/>
      <w:outlineLvl w:val="0"/>
    </w:pPr>
    <w:rPr>
      <w:rFonts w:ascii="Times New Roman" w:eastAsia="Times New Roman" w:hAnsi="Times New Roman" w:cs="Times New Roman"/>
      <w:sz w:val="20"/>
      <w:szCs w:val="20"/>
      <w:lang w:eastAsia="es-ES"/>
    </w:rPr>
  </w:style>
  <w:style w:type="paragraph" w:styleId="Listaconvietas">
    <w:name w:val="List Bullet"/>
    <w:basedOn w:val="Normal"/>
    <w:autoRedefine/>
    <w:semiHidden/>
    <w:rsid w:val="00692DC8"/>
    <w:pPr>
      <w:numPr>
        <w:numId w:val="8"/>
      </w:numPr>
      <w:tabs>
        <w:tab w:val="clear" w:pos="851"/>
      </w:tabs>
      <w:spacing w:after="0" w:line="240" w:lineRule="auto"/>
      <w:ind w:left="720" w:hanging="360"/>
      <w:outlineLvl w:val="0"/>
    </w:pPr>
    <w:rPr>
      <w:rFonts w:ascii="Times New Roman" w:eastAsia="Times New Roman" w:hAnsi="Times New Roman" w:cs="Times New Roman"/>
      <w:sz w:val="20"/>
      <w:szCs w:val="20"/>
      <w:lang w:eastAsia="es-ES"/>
    </w:rPr>
  </w:style>
  <w:style w:type="paragraph" w:styleId="Mapadeldocumento">
    <w:name w:val="Document Map"/>
    <w:basedOn w:val="Normal"/>
    <w:link w:val="MapadeldocumentoCar"/>
    <w:semiHidden/>
    <w:rsid w:val="00692DC8"/>
    <w:pPr>
      <w:shd w:val="clear" w:color="auto" w:fill="000080"/>
      <w:spacing w:after="0" w:line="240" w:lineRule="auto"/>
      <w:outlineLvl w:val="0"/>
    </w:pPr>
    <w:rPr>
      <w:rFonts w:ascii="Tahoma" w:eastAsia="Times New Roman" w:hAnsi="Tahoma" w:cs="Times New Roman"/>
      <w:sz w:val="20"/>
      <w:szCs w:val="20"/>
      <w:lang w:eastAsia="es-ES"/>
    </w:rPr>
  </w:style>
  <w:style w:type="character" w:customStyle="1" w:styleId="MapadeldocumentoCar">
    <w:name w:val="Mapa del documento Car"/>
    <w:basedOn w:val="Fuentedeprrafopredeter"/>
    <w:link w:val="Mapadeldocumento"/>
    <w:semiHidden/>
    <w:rsid w:val="00692DC8"/>
    <w:rPr>
      <w:rFonts w:ascii="Tahoma" w:eastAsia="Times New Roman" w:hAnsi="Tahoma" w:cs="Times New Roman"/>
      <w:sz w:val="20"/>
      <w:szCs w:val="20"/>
      <w:shd w:val="clear" w:color="auto" w:fill="000080"/>
      <w:lang w:eastAsia="es-ES"/>
    </w:rPr>
  </w:style>
  <w:style w:type="paragraph" w:styleId="Sangra2detindependiente">
    <w:name w:val="Body Text Indent 2"/>
    <w:basedOn w:val="Normal"/>
    <w:link w:val="Sangra2detindependienteCar"/>
    <w:semiHidden/>
    <w:rsid w:val="00692DC8"/>
    <w:pPr>
      <w:spacing w:after="0" w:line="240" w:lineRule="auto"/>
      <w:ind w:firstLine="708"/>
      <w:outlineLvl w:val="0"/>
    </w:pPr>
    <w:rPr>
      <w:rFonts w:ascii="Garamond" w:eastAsia="Times New Roman" w:hAnsi="Garamond" w:cs="Times New Roman"/>
      <w:szCs w:val="20"/>
      <w:lang w:eastAsia="es-ES"/>
    </w:rPr>
  </w:style>
  <w:style w:type="character" w:customStyle="1" w:styleId="Sangra2detindependienteCar">
    <w:name w:val="Sangría 2 de t. independiente Car"/>
    <w:basedOn w:val="Fuentedeprrafopredeter"/>
    <w:link w:val="Sangra2detindependiente"/>
    <w:semiHidden/>
    <w:rsid w:val="00692DC8"/>
    <w:rPr>
      <w:rFonts w:ascii="Garamond" w:eastAsia="Times New Roman" w:hAnsi="Garamond" w:cs="Times New Roman"/>
      <w:sz w:val="24"/>
      <w:szCs w:val="20"/>
      <w:lang w:eastAsia="es-ES"/>
    </w:rPr>
  </w:style>
  <w:style w:type="paragraph" w:styleId="Sangra3detindependiente">
    <w:name w:val="Body Text Indent 3"/>
    <w:basedOn w:val="Normal"/>
    <w:link w:val="Sangra3detindependienteCar"/>
    <w:uiPriority w:val="99"/>
    <w:rsid w:val="00692DC8"/>
    <w:pPr>
      <w:spacing w:after="0" w:line="240" w:lineRule="auto"/>
      <w:ind w:left="360" w:firstLine="348"/>
      <w:outlineLvl w:val="0"/>
    </w:pPr>
    <w:rPr>
      <w:rFonts w:ascii="Garamond" w:eastAsia="Times New Roman" w:hAnsi="Garamond" w:cs="Times New Roman"/>
      <w:szCs w:val="20"/>
      <w:lang w:eastAsia="es-ES"/>
    </w:rPr>
  </w:style>
  <w:style w:type="character" w:customStyle="1" w:styleId="Sangra3detindependienteCar">
    <w:name w:val="Sangría 3 de t. independiente Car"/>
    <w:basedOn w:val="Fuentedeprrafopredeter"/>
    <w:link w:val="Sangra3detindependiente"/>
    <w:uiPriority w:val="99"/>
    <w:rsid w:val="00692DC8"/>
    <w:rPr>
      <w:rFonts w:ascii="Garamond" w:eastAsia="Times New Roman" w:hAnsi="Garamond" w:cs="Times New Roman"/>
      <w:sz w:val="24"/>
      <w:szCs w:val="20"/>
      <w:lang w:eastAsia="es-ES"/>
    </w:rPr>
  </w:style>
  <w:style w:type="paragraph" w:styleId="Subttulo">
    <w:name w:val="Subtitle"/>
    <w:basedOn w:val="Normal"/>
    <w:next w:val="Normal"/>
    <w:link w:val="SubttuloCar"/>
    <w:uiPriority w:val="11"/>
    <w:qFormat/>
    <w:rsid w:val="00692DC8"/>
    <w:pPr>
      <w:numPr>
        <w:ilvl w:val="1"/>
      </w:numPr>
      <w:spacing w:line="259" w:lineRule="auto"/>
      <w:outlineLvl w:val="0"/>
    </w:pPr>
    <w:rPr>
      <w:rFonts w:ascii="Cambria" w:eastAsia="Times New Roman" w:hAnsi="Cambria" w:cs="Times New Roman"/>
      <w:smallCaps/>
      <w:color w:val="595959"/>
      <w:sz w:val="28"/>
      <w:szCs w:val="28"/>
      <w:lang w:eastAsia="es-CR"/>
    </w:rPr>
  </w:style>
  <w:style w:type="character" w:customStyle="1" w:styleId="SubttuloCar">
    <w:name w:val="Subtítulo Car"/>
    <w:basedOn w:val="Fuentedeprrafopredeter"/>
    <w:link w:val="Subttulo"/>
    <w:uiPriority w:val="11"/>
    <w:rsid w:val="00692DC8"/>
    <w:rPr>
      <w:rFonts w:ascii="Cambria" w:eastAsia="Times New Roman" w:hAnsi="Cambria" w:cs="Times New Roman"/>
      <w:smallCaps/>
      <w:color w:val="595959"/>
      <w:sz w:val="28"/>
      <w:szCs w:val="28"/>
      <w:lang w:eastAsia="es-CR"/>
    </w:rPr>
  </w:style>
  <w:style w:type="paragraph" w:styleId="Textoindependiente3">
    <w:name w:val="Body Text 3"/>
    <w:basedOn w:val="Normal"/>
    <w:link w:val="Textoindependiente3Car"/>
    <w:uiPriority w:val="99"/>
    <w:rsid w:val="00692DC8"/>
    <w:pPr>
      <w:spacing w:after="0"/>
      <w:outlineLvl w:val="0"/>
    </w:pPr>
    <w:rPr>
      <w:rFonts w:ascii="Garamond" w:eastAsia="Times New Roman" w:hAnsi="Garamond" w:cs="Times New Roman"/>
      <w:b/>
      <w:i/>
      <w:sz w:val="20"/>
      <w:szCs w:val="20"/>
      <w:lang w:eastAsia="es-ES"/>
    </w:rPr>
  </w:style>
  <w:style w:type="character" w:customStyle="1" w:styleId="Textoindependiente3Car">
    <w:name w:val="Texto independiente 3 Car"/>
    <w:basedOn w:val="Fuentedeprrafopredeter"/>
    <w:link w:val="Textoindependiente3"/>
    <w:uiPriority w:val="99"/>
    <w:rsid w:val="00692DC8"/>
    <w:rPr>
      <w:rFonts w:ascii="Garamond" w:eastAsia="Times New Roman" w:hAnsi="Garamond" w:cs="Times New Roman"/>
      <w:b/>
      <w:i/>
      <w:sz w:val="20"/>
      <w:szCs w:val="20"/>
      <w:lang w:eastAsia="es-ES"/>
    </w:rPr>
  </w:style>
  <w:style w:type="paragraph" w:customStyle="1" w:styleId="TtulodeTDC">
    <w:name w:val="Título de TDC"/>
    <w:basedOn w:val="Ttulo1"/>
    <w:next w:val="Normal"/>
    <w:uiPriority w:val="39"/>
    <w:unhideWhenUsed/>
    <w:qFormat/>
    <w:rsid w:val="00692DC8"/>
    <w:pPr>
      <w:spacing w:before="400" w:after="40" w:line="240" w:lineRule="auto"/>
      <w:jc w:val="left"/>
      <w:outlineLvl w:val="9"/>
    </w:pPr>
    <w:rPr>
      <w:rFonts w:ascii="Cambria" w:eastAsia="Times New Roman" w:hAnsi="Cambria" w:cs="Times New Roman"/>
      <w:b w:val="0"/>
      <w:caps/>
      <w:color w:val="auto"/>
      <w:sz w:val="36"/>
      <w:szCs w:val="36"/>
      <w:u w:val="none"/>
      <w:lang w:eastAsia="es-CR"/>
    </w:rPr>
  </w:style>
  <w:style w:type="paragraph" w:styleId="TDC1">
    <w:name w:val="toc 1"/>
    <w:basedOn w:val="Normal"/>
    <w:next w:val="Normal"/>
    <w:autoRedefine/>
    <w:uiPriority w:val="39"/>
    <w:unhideWhenUsed/>
    <w:qFormat/>
    <w:rsid w:val="00692DC8"/>
    <w:pPr>
      <w:spacing w:before="360" w:after="0"/>
      <w:jc w:val="left"/>
    </w:pPr>
    <w:rPr>
      <w:rFonts w:asciiTheme="majorHAnsi" w:hAnsiTheme="majorHAnsi"/>
      <w:b/>
      <w:bCs/>
      <w:caps/>
      <w:szCs w:val="24"/>
    </w:rPr>
  </w:style>
  <w:style w:type="paragraph" w:styleId="TDC2">
    <w:name w:val="toc 2"/>
    <w:basedOn w:val="Normal"/>
    <w:next w:val="Normal"/>
    <w:autoRedefine/>
    <w:uiPriority w:val="39"/>
    <w:unhideWhenUsed/>
    <w:qFormat/>
    <w:rsid w:val="00692DC8"/>
    <w:pPr>
      <w:spacing w:before="240" w:after="0"/>
      <w:jc w:val="left"/>
    </w:pPr>
    <w:rPr>
      <w:rFonts w:asciiTheme="minorHAnsi" w:hAnsiTheme="minorHAnsi" w:cstheme="minorHAnsi"/>
      <w:b/>
      <w:bCs/>
      <w:sz w:val="20"/>
      <w:szCs w:val="20"/>
    </w:rPr>
  </w:style>
  <w:style w:type="paragraph" w:styleId="TDC3">
    <w:name w:val="toc 3"/>
    <w:basedOn w:val="Normal"/>
    <w:next w:val="Normal"/>
    <w:autoRedefine/>
    <w:uiPriority w:val="39"/>
    <w:unhideWhenUsed/>
    <w:qFormat/>
    <w:rsid w:val="00692DC8"/>
    <w:pPr>
      <w:spacing w:after="0"/>
      <w:ind w:left="240"/>
      <w:jc w:val="left"/>
    </w:pPr>
    <w:rPr>
      <w:rFonts w:asciiTheme="minorHAnsi" w:hAnsiTheme="minorHAnsi" w:cstheme="minorHAnsi"/>
      <w:sz w:val="20"/>
      <w:szCs w:val="20"/>
    </w:rPr>
  </w:style>
  <w:style w:type="paragraph" w:styleId="TDC4">
    <w:name w:val="toc 4"/>
    <w:basedOn w:val="Normal"/>
    <w:next w:val="Normal"/>
    <w:autoRedefine/>
    <w:uiPriority w:val="39"/>
    <w:unhideWhenUsed/>
    <w:rsid w:val="00692DC8"/>
    <w:pPr>
      <w:spacing w:after="0"/>
      <w:ind w:left="480"/>
      <w:jc w:val="left"/>
    </w:pPr>
    <w:rPr>
      <w:rFonts w:asciiTheme="minorHAnsi" w:hAnsiTheme="minorHAnsi" w:cstheme="minorHAnsi"/>
      <w:sz w:val="20"/>
      <w:szCs w:val="20"/>
    </w:rPr>
  </w:style>
  <w:style w:type="paragraph" w:styleId="TDC5">
    <w:name w:val="toc 5"/>
    <w:basedOn w:val="Normal"/>
    <w:next w:val="Normal"/>
    <w:autoRedefine/>
    <w:uiPriority w:val="39"/>
    <w:unhideWhenUsed/>
    <w:rsid w:val="00692DC8"/>
    <w:pPr>
      <w:spacing w:after="0"/>
      <w:ind w:left="720"/>
      <w:jc w:val="left"/>
    </w:pPr>
    <w:rPr>
      <w:rFonts w:asciiTheme="minorHAnsi" w:hAnsiTheme="minorHAnsi" w:cstheme="minorHAnsi"/>
      <w:sz w:val="20"/>
      <w:szCs w:val="20"/>
    </w:rPr>
  </w:style>
  <w:style w:type="paragraph" w:styleId="TDC6">
    <w:name w:val="toc 6"/>
    <w:basedOn w:val="Normal"/>
    <w:next w:val="Normal"/>
    <w:autoRedefine/>
    <w:uiPriority w:val="39"/>
    <w:unhideWhenUsed/>
    <w:rsid w:val="00692DC8"/>
    <w:pPr>
      <w:spacing w:after="0"/>
      <w:ind w:left="960"/>
      <w:jc w:val="left"/>
    </w:pPr>
    <w:rPr>
      <w:rFonts w:asciiTheme="minorHAnsi" w:hAnsiTheme="minorHAnsi" w:cstheme="minorHAnsi"/>
      <w:sz w:val="20"/>
      <w:szCs w:val="20"/>
    </w:rPr>
  </w:style>
  <w:style w:type="paragraph" w:styleId="TDC7">
    <w:name w:val="toc 7"/>
    <w:basedOn w:val="Normal"/>
    <w:next w:val="Normal"/>
    <w:autoRedefine/>
    <w:uiPriority w:val="39"/>
    <w:unhideWhenUsed/>
    <w:rsid w:val="00692DC8"/>
    <w:pPr>
      <w:spacing w:after="0"/>
      <w:ind w:left="1200"/>
      <w:jc w:val="left"/>
    </w:pPr>
    <w:rPr>
      <w:rFonts w:asciiTheme="minorHAnsi" w:hAnsiTheme="minorHAnsi" w:cstheme="minorHAnsi"/>
      <w:sz w:val="20"/>
      <w:szCs w:val="20"/>
    </w:rPr>
  </w:style>
  <w:style w:type="paragraph" w:styleId="TDC8">
    <w:name w:val="toc 8"/>
    <w:basedOn w:val="Normal"/>
    <w:next w:val="Normal"/>
    <w:autoRedefine/>
    <w:uiPriority w:val="39"/>
    <w:unhideWhenUsed/>
    <w:rsid w:val="00692DC8"/>
    <w:pPr>
      <w:spacing w:after="0"/>
      <w:ind w:left="1440"/>
      <w:jc w:val="left"/>
    </w:pPr>
    <w:rPr>
      <w:rFonts w:asciiTheme="minorHAnsi" w:hAnsiTheme="minorHAnsi" w:cstheme="minorHAnsi"/>
      <w:sz w:val="20"/>
      <w:szCs w:val="20"/>
    </w:rPr>
  </w:style>
  <w:style w:type="paragraph" w:styleId="TDC9">
    <w:name w:val="toc 9"/>
    <w:basedOn w:val="Normal"/>
    <w:next w:val="Normal"/>
    <w:autoRedefine/>
    <w:uiPriority w:val="39"/>
    <w:unhideWhenUsed/>
    <w:rsid w:val="00692DC8"/>
    <w:pPr>
      <w:spacing w:after="0"/>
      <w:ind w:left="1680"/>
      <w:jc w:val="left"/>
    </w:pPr>
    <w:rPr>
      <w:rFonts w:asciiTheme="minorHAnsi" w:hAnsiTheme="minorHAnsi" w:cstheme="minorHAnsi"/>
      <w:sz w:val="20"/>
      <w:szCs w:val="20"/>
    </w:rPr>
  </w:style>
  <w:style w:type="paragraph" w:customStyle="1" w:styleId="EmptyLayoutCell">
    <w:name w:val="EmptyLayoutCell"/>
    <w:basedOn w:val="Normal"/>
    <w:rsid w:val="00692DC8"/>
    <w:pPr>
      <w:spacing w:after="0" w:line="240" w:lineRule="auto"/>
      <w:outlineLvl w:val="0"/>
    </w:pPr>
    <w:rPr>
      <w:rFonts w:ascii="Times New Roman" w:eastAsia="Times New Roman" w:hAnsi="Times New Roman" w:cs="Times New Roman"/>
      <w:sz w:val="2"/>
      <w:szCs w:val="20"/>
      <w:lang w:val="en-US" w:eastAsia="es-CR"/>
    </w:rPr>
  </w:style>
  <w:style w:type="paragraph" w:customStyle="1" w:styleId="Epgrafe1">
    <w:name w:val="Epígrafe1"/>
    <w:basedOn w:val="Normal"/>
    <w:next w:val="Normal"/>
    <w:uiPriority w:val="35"/>
    <w:unhideWhenUsed/>
    <w:rsid w:val="00692DC8"/>
    <w:pPr>
      <w:spacing w:after="0" w:line="240" w:lineRule="auto"/>
      <w:outlineLvl w:val="0"/>
    </w:pPr>
    <w:rPr>
      <w:rFonts w:ascii="Times New Roman" w:eastAsia="Times New Roman" w:hAnsi="Times New Roman" w:cs="Times New Roman"/>
      <w:b/>
      <w:bCs/>
      <w:sz w:val="20"/>
      <w:szCs w:val="20"/>
      <w:lang w:eastAsia="es-ES"/>
    </w:rPr>
  </w:style>
  <w:style w:type="paragraph" w:customStyle="1" w:styleId="Noparagraphstyle">
    <w:name w:val="[No paragraph style]"/>
    <w:rsid w:val="00692DC8"/>
    <w:pPr>
      <w:widowControl w:val="0"/>
      <w:adjustRightInd w:val="0"/>
      <w:spacing w:line="288" w:lineRule="auto"/>
    </w:pPr>
    <w:rPr>
      <w:rFonts w:ascii="Times New Roman" w:eastAsia="Times New Roman" w:hAnsi="Times New Roman" w:cs="Times New Roman"/>
      <w:color w:val="000000"/>
      <w:sz w:val="24"/>
      <w:szCs w:val="24"/>
      <w:lang w:val="es-ES" w:eastAsia="es-ES"/>
    </w:rPr>
  </w:style>
  <w:style w:type="paragraph" w:styleId="Textonotaalfinal">
    <w:name w:val="endnote text"/>
    <w:basedOn w:val="Normal"/>
    <w:link w:val="TextonotaalfinalCar"/>
    <w:uiPriority w:val="99"/>
    <w:semiHidden/>
    <w:unhideWhenUsed/>
    <w:rsid w:val="00692DC8"/>
    <w:pPr>
      <w:spacing w:after="0" w:line="240" w:lineRule="auto"/>
      <w:outlineLvl w:val="0"/>
    </w:pPr>
    <w:rPr>
      <w:rFonts w:eastAsia="Times New Roman" w:cs="Times New Roman"/>
      <w:sz w:val="20"/>
      <w:szCs w:val="20"/>
      <w:lang w:eastAsia="es-CR"/>
    </w:rPr>
  </w:style>
  <w:style w:type="character" w:customStyle="1" w:styleId="TextonotaalfinalCar">
    <w:name w:val="Texto nota al final Car"/>
    <w:basedOn w:val="Fuentedeprrafopredeter"/>
    <w:link w:val="Textonotaalfinal"/>
    <w:uiPriority w:val="99"/>
    <w:semiHidden/>
    <w:rsid w:val="00692DC8"/>
    <w:rPr>
      <w:rFonts w:ascii="Arial Narrow" w:eastAsia="Times New Roman" w:hAnsi="Arial Narrow" w:cs="Times New Roman"/>
      <w:sz w:val="20"/>
      <w:szCs w:val="20"/>
      <w:lang w:eastAsia="es-CR"/>
    </w:rPr>
  </w:style>
  <w:style w:type="character" w:styleId="Refdenotaalfinal">
    <w:name w:val="endnote reference"/>
    <w:uiPriority w:val="99"/>
    <w:semiHidden/>
    <w:unhideWhenUsed/>
    <w:rsid w:val="00692DC8"/>
    <w:rPr>
      <w:vertAlign w:val="superscript"/>
    </w:rPr>
  </w:style>
  <w:style w:type="paragraph" w:customStyle="1" w:styleId="Epgrafe">
    <w:name w:val="Epígrafe"/>
    <w:basedOn w:val="Normal"/>
    <w:next w:val="Normal"/>
    <w:uiPriority w:val="35"/>
    <w:unhideWhenUsed/>
    <w:qFormat/>
    <w:rsid w:val="00692DC8"/>
    <w:pPr>
      <w:spacing w:line="240" w:lineRule="auto"/>
      <w:outlineLvl w:val="0"/>
    </w:pPr>
    <w:rPr>
      <w:rFonts w:eastAsia="Times New Roman" w:cs="Times New Roman"/>
      <w:b/>
      <w:bCs/>
      <w:smallCaps/>
      <w:color w:val="595959"/>
      <w:lang w:eastAsia="es-CR"/>
    </w:rPr>
  </w:style>
  <w:style w:type="character" w:styleId="Textoennegrita">
    <w:name w:val="Strong"/>
    <w:uiPriority w:val="22"/>
    <w:qFormat/>
    <w:rsid w:val="00692DC8"/>
    <w:rPr>
      <w:b/>
      <w:bCs/>
    </w:rPr>
  </w:style>
  <w:style w:type="paragraph" w:styleId="Sinespaciado">
    <w:name w:val="No Spacing"/>
    <w:link w:val="SinespaciadoCar"/>
    <w:uiPriority w:val="1"/>
    <w:qFormat/>
    <w:rsid w:val="00692DC8"/>
    <w:pPr>
      <w:spacing w:after="0" w:line="240" w:lineRule="auto"/>
    </w:pPr>
    <w:rPr>
      <w:rFonts w:ascii="Calibri" w:eastAsia="Times New Roman" w:hAnsi="Calibri" w:cs="Times New Roman"/>
      <w:lang w:eastAsia="es-CR"/>
    </w:rPr>
  </w:style>
  <w:style w:type="paragraph" w:styleId="Cita">
    <w:name w:val="Quote"/>
    <w:basedOn w:val="Normal"/>
    <w:next w:val="Normal"/>
    <w:link w:val="CitaCar"/>
    <w:uiPriority w:val="29"/>
    <w:qFormat/>
    <w:rsid w:val="00692DC8"/>
    <w:pPr>
      <w:spacing w:before="160" w:line="240" w:lineRule="auto"/>
      <w:ind w:left="720" w:right="720"/>
      <w:outlineLvl w:val="0"/>
    </w:pPr>
    <w:rPr>
      <w:rFonts w:ascii="Cambria" w:eastAsia="Times New Roman" w:hAnsi="Cambria" w:cs="Times New Roman"/>
      <w:sz w:val="25"/>
      <w:szCs w:val="25"/>
      <w:lang w:eastAsia="es-CR"/>
    </w:rPr>
  </w:style>
  <w:style w:type="character" w:customStyle="1" w:styleId="CitaCar">
    <w:name w:val="Cita Car"/>
    <w:basedOn w:val="Fuentedeprrafopredeter"/>
    <w:link w:val="Cita"/>
    <w:uiPriority w:val="29"/>
    <w:rsid w:val="00692DC8"/>
    <w:rPr>
      <w:rFonts w:ascii="Cambria" w:eastAsia="Times New Roman" w:hAnsi="Cambria" w:cs="Times New Roman"/>
      <w:sz w:val="25"/>
      <w:szCs w:val="25"/>
      <w:lang w:eastAsia="es-CR"/>
    </w:rPr>
  </w:style>
  <w:style w:type="paragraph" w:styleId="Citadestacada">
    <w:name w:val="Intense Quote"/>
    <w:basedOn w:val="Normal"/>
    <w:next w:val="Normal"/>
    <w:link w:val="CitadestacadaCar"/>
    <w:uiPriority w:val="30"/>
    <w:qFormat/>
    <w:rsid w:val="00692DC8"/>
    <w:pPr>
      <w:spacing w:before="280" w:after="280" w:line="240" w:lineRule="auto"/>
      <w:ind w:left="1080" w:right="1080"/>
      <w:jc w:val="center"/>
      <w:outlineLvl w:val="0"/>
    </w:pPr>
    <w:rPr>
      <w:rFonts w:eastAsia="Times New Roman" w:cs="Times New Roman"/>
      <w:color w:val="404040"/>
      <w:sz w:val="32"/>
      <w:szCs w:val="32"/>
      <w:lang w:eastAsia="es-CR"/>
    </w:rPr>
  </w:style>
  <w:style w:type="character" w:customStyle="1" w:styleId="CitadestacadaCar">
    <w:name w:val="Cita destacada Car"/>
    <w:basedOn w:val="Fuentedeprrafopredeter"/>
    <w:link w:val="Citadestacada"/>
    <w:uiPriority w:val="30"/>
    <w:rsid w:val="00692DC8"/>
    <w:rPr>
      <w:rFonts w:ascii="Arial Narrow" w:eastAsia="Times New Roman" w:hAnsi="Arial Narrow" w:cs="Times New Roman"/>
      <w:color w:val="404040"/>
      <w:sz w:val="32"/>
      <w:szCs w:val="32"/>
      <w:lang w:eastAsia="es-CR"/>
    </w:rPr>
  </w:style>
  <w:style w:type="character" w:styleId="Referenciasutil">
    <w:name w:val="Subtle Reference"/>
    <w:uiPriority w:val="31"/>
    <w:qFormat/>
    <w:rsid w:val="00692DC8"/>
    <w:rPr>
      <w:smallCaps/>
      <w:color w:val="404040"/>
      <w:u w:val="single" w:color="7F7F7F"/>
    </w:rPr>
  </w:style>
  <w:style w:type="character" w:styleId="Referenciaintensa">
    <w:name w:val="Intense Reference"/>
    <w:uiPriority w:val="32"/>
    <w:qFormat/>
    <w:rsid w:val="00692DC8"/>
    <w:rPr>
      <w:b/>
      <w:bCs/>
      <w:caps w:val="0"/>
      <w:smallCaps/>
      <w:color w:val="auto"/>
      <w:spacing w:val="3"/>
      <w:u w:val="single"/>
    </w:rPr>
  </w:style>
  <w:style w:type="character" w:styleId="Ttulodellibro">
    <w:name w:val="Book Title"/>
    <w:uiPriority w:val="33"/>
    <w:qFormat/>
    <w:rsid w:val="00692DC8"/>
    <w:rPr>
      <w:b/>
      <w:bCs/>
      <w:smallCaps/>
      <w:spacing w:val="7"/>
    </w:rPr>
  </w:style>
  <w:style w:type="paragraph" w:styleId="Revisin">
    <w:name w:val="Revision"/>
    <w:hidden/>
    <w:uiPriority w:val="99"/>
    <w:semiHidden/>
    <w:rsid w:val="00692DC8"/>
    <w:pPr>
      <w:spacing w:after="0" w:line="240" w:lineRule="auto"/>
    </w:pPr>
    <w:rPr>
      <w:rFonts w:ascii="Calibri" w:eastAsia="Times New Roman" w:hAnsi="Calibri" w:cs="Times New Roman"/>
      <w:lang w:eastAsia="es-CR"/>
    </w:rPr>
  </w:style>
  <w:style w:type="character" w:customStyle="1" w:styleId="PuestoCar">
    <w:name w:val="Puesto Car"/>
    <w:uiPriority w:val="10"/>
    <w:rsid w:val="00692DC8"/>
    <w:rPr>
      <w:rFonts w:ascii="Calibri Light" w:eastAsia="Times New Roman" w:hAnsi="Calibri Light" w:cs="Times New Roman"/>
      <w:b/>
      <w:bCs/>
      <w:kern w:val="28"/>
      <w:sz w:val="32"/>
      <w:szCs w:val="32"/>
      <w:lang w:val="es-CR" w:eastAsia="en-US"/>
    </w:rPr>
  </w:style>
  <w:style w:type="character" w:customStyle="1" w:styleId="PrrafodelistaCar">
    <w:name w:val="Párrafo de lista Car"/>
    <w:aliases w:val="Bullet 1 Car,Use Case List Paragraph Car,lp1 Car,titulo 5 Car"/>
    <w:link w:val="Prrafodelista"/>
    <w:uiPriority w:val="34"/>
    <w:locked/>
    <w:rsid w:val="00692DC8"/>
    <w:rPr>
      <w:rFonts w:ascii="Arial Narrow" w:hAnsi="Arial Narrow"/>
      <w:sz w:val="24"/>
    </w:rPr>
  </w:style>
  <w:style w:type="character" w:styleId="Nmerodelnea">
    <w:name w:val="line number"/>
    <w:uiPriority w:val="99"/>
    <w:semiHidden/>
    <w:unhideWhenUsed/>
    <w:rsid w:val="00692DC8"/>
  </w:style>
  <w:style w:type="paragraph" w:customStyle="1" w:styleId="Textonormal">
    <w:name w:val="Texto normal"/>
    <w:basedOn w:val="Normal"/>
    <w:rsid w:val="00692DC8"/>
    <w:pPr>
      <w:spacing w:after="220" w:line="288" w:lineRule="atLeast"/>
      <w:outlineLvl w:val="0"/>
    </w:pPr>
    <w:rPr>
      <w:rFonts w:ascii="Times New Roman" w:eastAsia="Times New Roman" w:hAnsi="Times New Roman" w:cs="Times New Roman"/>
      <w:sz w:val="20"/>
      <w:szCs w:val="20"/>
      <w:lang w:val="en-US"/>
    </w:rPr>
  </w:style>
  <w:style w:type="paragraph" w:customStyle="1" w:styleId="xl104">
    <w:name w:val="xl104"/>
    <w:basedOn w:val="Normal"/>
    <w:rsid w:val="00692DC8"/>
    <w:pPr>
      <w:spacing w:before="100" w:beforeAutospacing="1" w:after="100" w:afterAutospacing="1" w:line="240" w:lineRule="auto"/>
      <w:outlineLvl w:val="0"/>
    </w:pPr>
    <w:rPr>
      <w:rFonts w:ascii="Arial" w:eastAsia="Times New Roman" w:hAnsi="Arial" w:cs="Arial"/>
      <w:b/>
      <w:bCs/>
      <w:szCs w:val="24"/>
      <w:lang w:eastAsia="es-CR"/>
    </w:rPr>
  </w:style>
  <w:style w:type="paragraph" w:customStyle="1" w:styleId="xl105">
    <w:name w:val="xl105"/>
    <w:basedOn w:val="Normal"/>
    <w:rsid w:val="00692DC8"/>
    <w:pPr>
      <w:spacing w:before="100" w:beforeAutospacing="1" w:after="100" w:afterAutospacing="1" w:line="240" w:lineRule="auto"/>
      <w:outlineLvl w:val="0"/>
    </w:pPr>
    <w:rPr>
      <w:rFonts w:ascii="Arial" w:eastAsia="Times New Roman" w:hAnsi="Arial" w:cs="Arial"/>
      <w:b/>
      <w:bCs/>
      <w:szCs w:val="24"/>
      <w:lang w:eastAsia="es-CR"/>
    </w:rPr>
  </w:style>
  <w:style w:type="paragraph" w:customStyle="1" w:styleId="xl106">
    <w:name w:val="xl106"/>
    <w:basedOn w:val="Normal"/>
    <w:rsid w:val="00692DC8"/>
    <w:pPr>
      <w:spacing w:before="100" w:beforeAutospacing="1" w:after="100" w:afterAutospacing="1" w:line="240" w:lineRule="auto"/>
      <w:jc w:val="center"/>
      <w:outlineLvl w:val="0"/>
    </w:pPr>
    <w:rPr>
      <w:rFonts w:ascii="Times New Roman" w:eastAsia="Times New Roman" w:hAnsi="Times New Roman" w:cs="Times New Roman"/>
      <w:szCs w:val="24"/>
      <w:lang w:eastAsia="es-CR"/>
    </w:rPr>
  </w:style>
  <w:style w:type="paragraph" w:customStyle="1" w:styleId="xl107">
    <w:name w:val="xl107"/>
    <w:basedOn w:val="Normal"/>
    <w:rsid w:val="00692DC8"/>
    <w:pPr>
      <w:spacing w:before="100" w:beforeAutospacing="1" w:after="100" w:afterAutospacing="1" w:line="240" w:lineRule="auto"/>
      <w:jc w:val="center"/>
      <w:outlineLvl w:val="0"/>
    </w:pPr>
    <w:rPr>
      <w:rFonts w:ascii="Arial" w:eastAsia="Times New Roman" w:hAnsi="Arial" w:cs="Arial"/>
      <w:szCs w:val="24"/>
      <w:lang w:eastAsia="es-CR"/>
    </w:rPr>
  </w:style>
  <w:style w:type="paragraph" w:customStyle="1" w:styleId="xl108">
    <w:name w:val="xl108"/>
    <w:basedOn w:val="Normal"/>
    <w:rsid w:val="00692DC8"/>
    <w:pPr>
      <w:spacing w:before="100" w:beforeAutospacing="1" w:after="100" w:afterAutospacing="1" w:line="240" w:lineRule="auto"/>
      <w:outlineLvl w:val="0"/>
    </w:pPr>
    <w:rPr>
      <w:rFonts w:ascii="Arial" w:eastAsia="Times New Roman" w:hAnsi="Arial" w:cs="Arial"/>
      <w:i/>
      <w:iCs/>
      <w:sz w:val="16"/>
      <w:szCs w:val="16"/>
      <w:lang w:eastAsia="es-CR"/>
    </w:rPr>
  </w:style>
  <w:style w:type="paragraph" w:customStyle="1" w:styleId="xl109">
    <w:name w:val="xl109"/>
    <w:basedOn w:val="Normal"/>
    <w:rsid w:val="00692DC8"/>
    <w:pPr>
      <w:pBdr>
        <w:top w:val="single" w:sz="4" w:space="0" w:color="auto"/>
        <w:left w:val="single" w:sz="4" w:space="0" w:color="auto"/>
        <w:bottom w:val="single" w:sz="4" w:space="0" w:color="auto"/>
        <w:right w:val="single" w:sz="4" w:space="0" w:color="auto"/>
      </w:pBdr>
      <w:shd w:val="clear" w:color="000000" w:fill="366092"/>
      <w:spacing w:before="100" w:beforeAutospacing="1" w:after="100" w:afterAutospacing="1" w:line="240" w:lineRule="auto"/>
      <w:jc w:val="center"/>
      <w:outlineLvl w:val="0"/>
    </w:pPr>
    <w:rPr>
      <w:rFonts w:ascii="Arial" w:eastAsia="Times New Roman" w:hAnsi="Arial" w:cs="Arial"/>
      <w:b/>
      <w:bCs/>
      <w:color w:val="FFFFFF"/>
      <w:szCs w:val="24"/>
      <w:lang w:eastAsia="es-CR"/>
    </w:rPr>
  </w:style>
  <w:style w:type="paragraph" w:customStyle="1" w:styleId="xl110">
    <w:name w:val="xl110"/>
    <w:basedOn w:val="Normal"/>
    <w:rsid w:val="00692DC8"/>
    <w:pPr>
      <w:spacing w:before="100" w:beforeAutospacing="1" w:after="100" w:afterAutospacing="1" w:line="240" w:lineRule="auto"/>
      <w:jc w:val="center"/>
      <w:outlineLvl w:val="0"/>
    </w:pPr>
    <w:rPr>
      <w:rFonts w:ascii="Arial" w:eastAsia="Times New Roman" w:hAnsi="Arial" w:cs="Arial"/>
      <w:szCs w:val="24"/>
      <w:lang w:eastAsia="es-CR"/>
    </w:rPr>
  </w:style>
  <w:style w:type="paragraph" w:customStyle="1" w:styleId="xl112">
    <w:name w:val="xl112"/>
    <w:basedOn w:val="Normal"/>
    <w:rsid w:val="00692DC8"/>
    <w:pPr>
      <w:shd w:val="clear" w:color="000000" w:fill="366092"/>
      <w:spacing w:before="100" w:beforeAutospacing="1" w:after="100" w:afterAutospacing="1" w:line="240" w:lineRule="auto"/>
      <w:textAlignment w:val="top"/>
      <w:outlineLvl w:val="0"/>
    </w:pPr>
    <w:rPr>
      <w:rFonts w:ascii="Arial" w:eastAsia="Times New Roman" w:hAnsi="Arial" w:cs="Arial"/>
      <w:b/>
      <w:bCs/>
      <w:color w:val="FFFFFF"/>
      <w:szCs w:val="24"/>
      <w:u w:val="single"/>
      <w:lang w:eastAsia="es-CR"/>
    </w:rPr>
  </w:style>
  <w:style w:type="paragraph" w:customStyle="1" w:styleId="xl113">
    <w:name w:val="xl113"/>
    <w:basedOn w:val="Normal"/>
    <w:rsid w:val="00692DC8"/>
    <w:pPr>
      <w:shd w:val="clear" w:color="000000" w:fill="366092"/>
      <w:spacing w:before="100" w:beforeAutospacing="1" w:after="100" w:afterAutospacing="1" w:line="240" w:lineRule="auto"/>
      <w:textAlignment w:val="top"/>
      <w:outlineLvl w:val="0"/>
    </w:pPr>
    <w:rPr>
      <w:rFonts w:ascii="Arial" w:eastAsia="Times New Roman" w:hAnsi="Arial" w:cs="Arial"/>
      <w:b/>
      <w:bCs/>
      <w:color w:val="FFFFFF"/>
      <w:szCs w:val="24"/>
      <w:u w:val="single"/>
      <w:lang w:eastAsia="es-CR"/>
    </w:rPr>
  </w:style>
  <w:style w:type="paragraph" w:customStyle="1" w:styleId="xl114">
    <w:name w:val="xl114"/>
    <w:basedOn w:val="Normal"/>
    <w:rsid w:val="00692DC8"/>
    <w:pPr>
      <w:shd w:val="clear" w:color="000000" w:fill="366092"/>
      <w:spacing w:before="100" w:beforeAutospacing="1" w:after="100" w:afterAutospacing="1" w:line="240" w:lineRule="auto"/>
      <w:textAlignment w:val="top"/>
      <w:outlineLvl w:val="0"/>
    </w:pPr>
    <w:rPr>
      <w:rFonts w:ascii="Arial" w:eastAsia="Times New Roman" w:hAnsi="Arial" w:cs="Arial"/>
      <w:b/>
      <w:bCs/>
      <w:color w:val="FFFFFF"/>
      <w:szCs w:val="24"/>
      <w:lang w:eastAsia="es-CR"/>
    </w:rPr>
  </w:style>
  <w:style w:type="paragraph" w:customStyle="1" w:styleId="xl115">
    <w:name w:val="xl115"/>
    <w:basedOn w:val="Normal"/>
    <w:rsid w:val="00692DC8"/>
    <w:pPr>
      <w:shd w:val="clear" w:color="000000" w:fill="366092"/>
      <w:spacing w:before="100" w:beforeAutospacing="1" w:after="100" w:afterAutospacing="1" w:line="240" w:lineRule="auto"/>
      <w:textAlignment w:val="top"/>
      <w:outlineLvl w:val="0"/>
    </w:pPr>
    <w:rPr>
      <w:rFonts w:ascii="Arial" w:eastAsia="Times New Roman" w:hAnsi="Arial" w:cs="Arial"/>
      <w:b/>
      <w:bCs/>
      <w:color w:val="FFFFFF"/>
      <w:szCs w:val="24"/>
      <w:lang w:eastAsia="es-CR"/>
    </w:rPr>
  </w:style>
  <w:style w:type="paragraph" w:customStyle="1" w:styleId="xl116">
    <w:name w:val="xl116"/>
    <w:basedOn w:val="Normal"/>
    <w:rsid w:val="00692DC8"/>
    <w:pPr>
      <w:shd w:val="clear" w:color="000000" w:fill="B8CCE4"/>
      <w:spacing w:before="100" w:beforeAutospacing="1" w:after="100" w:afterAutospacing="1" w:line="240" w:lineRule="auto"/>
      <w:textAlignment w:val="top"/>
      <w:outlineLvl w:val="0"/>
    </w:pPr>
    <w:rPr>
      <w:rFonts w:ascii="Arial" w:eastAsia="Times New Roman" w:hAnsi="Arial" w:cs="Arial"/>
      <w:b/>
      <w:bCs/>
      <w:szCs w:val="24"/>
      <w:lang w:eastAsia="es-CR"/>
    </w:rPr>
  </w:style>
  <w:style w:type="paragraph" w:customStyle="1" w:styleId="xl117">
    <w:name w:val="xl117"/>
    <w:basedOn w:val="Normal"/>
    <w:rsid w:val="00692DC8"/>
    <w:pPr>
      <w:shd w:val="clear" w:color="000000" w:fill="B8CCE4"/>
      <w:spacing w:before="100" w:beforeAutospacing="1" w:after="100" w:afterAutospacing="1" w:line="240" w:lineRule="auto"/>
      <w:textAlignment w:val="top"/>
      <w:outlineLvl w:val="0"/>
    </w:pPr>
    <w:rPr>
      <w:rFonts w:ascii="Arial" w:eastAsia="Times New Roman" w:hAnsi="Arial" w:cs="Arial"/>
      <w:b/>
      <w:bCs/>
      <w:szCs w:val="24"/>
      <w:lang w:eastAsia="es-CR"/>
    </w:rPr>
  </w:style>
  <w:style w:type="paragraph" w:customStyle="1" w:styleId="xl118">
    <w:name w:val="xl118"/>
    <w:basedOn w:val="Normal"/>
    <w:rsid w:val="00692DC8"/>
    <w:pPr>
      <w:spacing w:before="100" w:beforeAutospacing="1" w:after="100" w:afterAutospacing="1" w:line="240" w:lineRule="auto"/>
      <w:jc w:val="center"/>
      <w:outlineLvl w:val="0"/>
    </w:pPr>
    <w:rPr>
      <w:rFonts w:ascii="Arial" w:eastAsia="Times New Roman" w:hAnsi="Arial" w:cs="Arial"/>
      <w:color w:val="000000"/>
      <w:szCs w:val="24"/>
      <w:lang w:eastAsia="es-CR"/>
    </w:rPr>
  </w:style>
  <w:style w:type="paragraph" w:customStyle="1" w:styleId="xl119">
    <w:name w:val="xl119"/>
    <w:basedOn w:val="Normal"/>
    <w:rsid w:val="00692DC8"/>
    <w:pPr>
      <w:spacing w:before="100" w:beforeAutospacing="1" w:after="100" w:afterAutospacing="1" w:line="240" w:lineRule="auto"/>
      <w:textAlignment w:val="top"/>
      <w:outlineLvl w:val="0"/>
    </w:pPr>
    <w:rPr>
      <w:rFonts w:ascii="Arial" w:eastAsia="Times New Roman" w:hAnsi="Arial" w:cs="Arial"/>
      <w:color w:val="000000"/>
      <w:sz w:val="16"/>
      <w:szCs w:val="16"/>
      <w:lang w:eastAsia="es-CR"/>
    </w:rPr>
  </w:style>
  <w:style w:type="paragraph" w:customStyle="1" w:styleId="xl120">
    <w:name w:val="xl120"/>
    <w:basedOn w:val="Normal"/>
    <w:rsid w:val="00692DC8"/>
    <w:pPr>
      <w:spacing w:before="100" w:beforeAutospacing="1" w:after="100" w:afterAutospacing="1" w:line="240" w:lineRule="auto"/>
      <w:textAlignment w:val="top"/>
      <w:outlineLvl w:val="0"/>
    </w:pPr>
    <w:rPr>
      <w:rFonts w:ascii="Arial" w:eastAsia="Times New Roman" w:hAnsi="Arial" w:cs="Arial"/>
      <w:color w:val="000000"/>
      <w:sz w:val="16"/>
      <w:szCs w:val="16"/>
      <w:lang w:eastAsia="es-CR"/>
    </w:rPr>
  </w:style>
  <w:style w:type="paragraph" w:customStyle="1" w:styleId="xl121">
    <w:name w:val="xl121"/>
    <w:basedOn w:val="Normal"/>
    <w:rsid w:val="00692DC8"/>
    <w:pPr>
      <w:spacing w:before="100" w:beforeAutospacing="1" w:after="100" w:afterAutospacing="1" w:line="240" w:lineRule="auto"/>
      <w:jc w:val="center"/>
      <w:outlineLvl w:val="0"/>
    </w:pPr>
    <w:rPr>
      <w:rFonts w:eastAsia="Times New Roman" w:cs="Times New Roman"/>
      <w:color w:val="000000"/>
      <w:szCs w:val="24"/>
      <w:lang w:eastAsia="es-CR"/>
    </w:rPr>
  </w:style>
  <w:style w:type="paragraph" w:customStyle="1" w:styleId="xl122">
    <w:name w:val="xl122"/>
    <w:basedOn w:val="Normal"/>
    <w:rsid w:val="00692DC8"/>
    <w:pPr>
      <w:spacing w:before="100" w:beforeAutospacing="1" w:after="100" w:afterAutospacing="1" w:line="240" w:lineRule="auto"/>
      <w:textAlignment w:val="top"/>
      <w:outlineLvl w:val="0"/>
    </w:pPr>
    <w:rPr>
      <w:rFonts w:ascii="Arial" w:eastAsia="Times New Roman" w:hAnsi="Arial" w:cs="Arial"/>
      <w:sz w:val="16"/>
      <w:szCs w:val="16"/>
      <w:lang w:eastAsia="es-CR"/>
    </w:rPr>
  </w:style>
  <w:style w:type="paragraph" w:customStyle="1" w:styleId="xl123">
    <w:name w:val="xl123"/>
    <w:basedOn w:val="Normal"/>
    <w:rsid w:val="00692DC8"/>
    <w:pPr>
      <w:spacing w:before="100" w:beforeAutospacing="1" w:after="100" w:afterAutospacing="1" w:line="240" w:lineRule="auto"/>
      <w:textAlignment w:val="top"/>
      <w:outlineLvl w:val="0"/>
    </w:pPr>
    <w:rPr>
      <w:rFonts w:ascii="Arial" w:eastAsia="Times New Roman" w:hAnsi="Arial" w:cs="Arial"/>
      <w:color w:val="000000"/>
      <w:lang w:eastAsia="es-CR"/>
    </w:rPr>
  </w:style>
  <w:style w:type="paragraph" w:customStyle="1" w:styleId="xl124">
    <w:name w:val="xl124"/>
    <w:basedOn w:val="Normal"/>
    <w:rsid w:val="00692DC8"/>
    <w:pPr>
      <w:shd w:val="clear" w:color="000000" w:fill="DCE6F1"/>
      <w:spacing w:before="100" w:beforeAutospacing="1" w:after="100" w:afterAutospacing="1" w:line="240" w:lineRule="auto"/>
      <w:textAlignment w:val="top"/>
      <w:outlineLvl w:val="0"/>
    </w:pPr>
    <w:rPr>
      <w:rFonts w:ascii="Arial" w:eastAsia="Times New Roman" w:hAnsi="Arial" w:cs="Arial"/>
      <w:b/>
      <w:bCs/>
      <w:szCs w:val="24"/>
      <w:lang w:eastAsia="es-CR"/>
    </w:rPr>
  </w:style>
  <w:style w:type="paragraph" w:customStyle="1" w:styleId="xl125">
    <w:name w:val="xl125"/>
    <w:basedOn w:val="Normal"/>
    <w:rsid w:val="00692DC8"/>
    <w:pPr>
      <w:shd w:val="clear" w:color="000000" w:fill="DCE6F1"/>
      <w:spacing w:before="100" w:beforeAutospacing="1" w:after="100" w:afterAutospacing="1" w:line="240" w:lineRule="auto"/>
      <w:jc w:val="center"/>
      <w:outlineLvl w:val="0"/>
    </w:pPr>
    <w:rPr>
      <w:rFonts w:eastAsia="Times New Roman" w:cs="Times New Roman"/>
      <w:color w:val="000000"/>
      <w:szCs w:val="24"/>
      <w:lang w:eastAsia="es-CR"/>
    </w:rPr>
  </w:style>
  <w:style w:type="paragraph" w:customStyle="1" w:styleId="xl126">
    <w:name w:val="xl126"/>
    <w:basedOn w:val="Normal"/>
    <w:rsid w:val="00692DC8"/>
    <w:pPr>
      <w:spacing w:before="100" w:beforeAutospacing="1" w:after="100" w:afterAutospacing="1" w:line="240" w:lineRule="auto"/>
      <w:textAlignment w:val="top"/>
      <w:outlineLvl w:val="0"/>
    </w:pPr>
    <w:rPr>
      <w:rFonts w:ascii="Arial" w:eastAsia="Times New Roman" w:hAnsi="Arial" w:cs="Arial"/>
      <w:color w:val="000000"/>
      <w:lang w:eastAsia="es-CR"/>
    </w:rPr>
  </w:style>
  <w:style w:type="paragraph" w:customStyle="1" w:styleId="xl127">
    <w:name w:val="xl127"/>
    <w:basedOn w:val="Normal"/>
    <w:rsid w:val="00692DC8"/>
    <w:pPr>
      <w:spacing w:before="100" w:beforeAutospacing="1" w:after="100" w:afterAutospacing="1" w:line="240" w:lineRule="auto"/>
      <w:textAlignment w:val="top"/>
      <w:outlineLvl w:val="0"/>
    </w:pPr>
    <w:rPr>
      <w:rFonts w:ascii="Arial" w:eastAsia="Times New Roman" w:hAnsi="Arial" w:cs="Arial"/>
      <w:color w:val="000000"/>
      <w:sz w:val="16"/>
      <w:szCs w:val="16"/>
      <w:lang w:eastAsia="es-CR"/>
    </w:rPr>
  </w:style>
  <w:style w:type="paragraph" w:customStyle="1" w:styleId="xl128">
    <w:name w:val="xl128"/>
    <w:basedOn w:val="Normal"/>
    <w:rsid w:val="00692DC8"/>
    <w:pPr>
      <w:spacing w:before="100" w:beforeAutospacing="1" w:after="100" w:afterAutospacing="1" w:line="240" w:lineRule="auto"/>
      <w:outlineLvl w:val="0"/>
    </w:pPr>
    <w:rPr>
      <w:rFonts w:ascii="Arial" w:eastAsia="Times New Roman" w:hAnsi="Arial" w:cs="Arial"/>
      <w:color w:val="000000"/>
      <w:lang w:eastAsia="es-CR"/>
    </w:rPr>
  </w:style>
  <w:style w:type="paragraph" w:customStyle="1" w:styleId="xl129">
    <w:name w:val="xl129"/>
    <w:basedOn w:val="Normal"/>
    <w:rsid w:val="00692DC8"/>
    <w:pPr>
      <w:shd w:val="clear" w:color="000000" w:fill="366092"/>
      <w:spacing w:before="100" w:beforeAutospacing="1" w:after="100" w:afterAutospacing="1" w:line="240" w:lineRule="auto"/>
      <w:textAlignment w:val="top"/>
      <w:outlineLvl w:val="0"/>
    </w:pPr>
    <w:rPr>
      <w:rFonts w:ascii="Arial" w:eastAsia="Times New Roman" w:hAnsi="Arial" w:cs="Arial"/>
      <w:b/>
      <w:bCs/>
      <w:color w:val="FFFFFF"/>
      <w:szCs w:val="24"/>
      <w:lang w:eastAsia="es-CR"/>
    </w:rPr>
  </w:style>
  <w:style w:type="paragraph" w:customStyle="1" w:styleId="xl130">
    <w:name w:val="xl130"/>
    <w:basedOn w:val="Normal"/>
    <w:rsid w:val="00692DC8"/>
    <w:pPr>
      <w:shd w:val="clear" w:color="000000" w:fill="366092"/>
      <w:spacing w:before="100" w:beforeAutospacing="1" w:after="100" w:afterAutospacing="1" w:line="240" w:lineRule="auto"/>
      <w:jc w:val="center"/>
      <w:outlineLvl w:val="0"/>
    </w:pPr>
    <w:rPr>
      <w:rFonts w:eastAsia="Times New Roman" w:cs="Times New Roman"/>
      <w:color w:val="FFFFFF"/>
      <w:lang w:eastAsia="es-CR"/>
    </w:rPr>
  </w:style>
  <w:style w:type="paragraph" w:customStyle="1" w:styleId="xl131">
    <w:name w:val="xl131"/>
    <w:basedOn w:val="Normal"/>
    <w:rsid w:val="00692DC8"/>
    <w:pPr>
      <w:shd w:val="clear" w:color="000000" w:fill="366092"/>
      <w:spacing w:before="100" w:beforeAutospacing="1" w:after="100" w:afterAutospacing="1" w:line="240" w:lineRule="auto"/>
      <w:outlineLvl w:val="0"/>
    </w:pPr>
    <w:rPr>
      <w:rFonts w:ascii="Arial" w:eastAsia="Times New Roman" w:hAnsi="Arial" w:cs="Arial"/>
      <w:color w:val="FFFFFF"/>
      <w:lang w:eastAsia="es-CR"/>
    </w:rPr>
  </w:style>
  <w:style w:type="paragraph" w:customStyle="1" w:styleId="xl132">
    <w:name w:val="xl132"/>
    <w:basedOn w:val="Normal"/>
    <w:rsid w:val="00692DC8"/>
    <w:pPr>
      <w:shd w:val="clear" w:color="000000" w:fill="366092"/>
      <w:spacing w:before="100" w:beforeAutospacing="1" w:after="100" w:afterAutospacing="1" w:line="240" w:lineRule="auto"/>
      <w:outlineLvl w:val="0"/>
    </w:pPr>
    <w:rPr>
      <w:rFonts w:ascii="Arial" w:eastAsia="Times New Roman" w:hAnsi="Arial" w:cs="Arial"/>
      <w:color w:val="FFFFFF"/>
      <w:lang w:eastAsia="es-CR"/>
    </w:rPr>
  </w:style>
  <w:style w:type="paragraph" w:customStyle="1" w:styleId="xl133">
    <w:name w:val="xl133"/>
    <w:basedOn w:val="Normal"/>
    <w:rsid w:val="00692DC8"/>
    <w:pPr>
      <w:pBdr>
        <w:top w:val="single" w:sz="4" w:space="0" w:color="auto"/>
        <w:left w:val="single" w:sz="4" w:space="0" w:color="auto"/>
        <w:bottom w:val="single" w:sz="4" w:space="0" w:color="auto"/>
        <w:right w:val="single" w:sz="4" w:space="0" w:color="auto"/>
      </w:pBdr>
      <w:shd w:val="clear" w:color="000000" w:fill="366092"/>
      <w:spacing w:before="100" w:beforeAutospacing="1" w:after="100" w:afterAutospacing="1" w:line="240" w:lineRule="auto"/>
      <w:jc w:val="center"/>
      <w:outlineLvl w:val="0"/>
    </w:pPr>
    <w:rPr>
      <w:rFonts w:ascii="Arial" w:eastAsia="Times New Roman" w:hAnsi="Arial" w:cs="Arial"/>
      <w:b/>
      <w:bCs/>
      <w:color w:val="FFFFFF"/>
      <w:szCs w:val="24"/>
      <w:lang w:eastAsia="es-CR"/>
    </w:rPr>
  </w:style>
  <w:style w:type="paragraph" w:customStyle="1" w:styleId="xl134">
    <w:name w:val="xl134"/>
    <w:basedOn w:val="Normal"/>
    <w:rsid w:val="00692DC8"/>
    <w:pPr>
      <w:spacing w:before="100" w:beforeAutospacing="1" w:after="100" w:afterAutospacing="1" w:line="240" w:lineRule="auto"/>
      <w:jc w:val="right"/>
      <w:outlineLvl w:val="0"/>
    </w:pPr>
    <w:rPr>
      <w:rFonts w:ascii="Arial" w:eastAsia="Times New Roman" w:hAnsi="Arial" w:cs="Arial"/>
      <w:szCs w:val="24"/>
      <w:lang w:eastAsia="es-CR"/>
    </w:rPr>
  </w:style>
  <w:style w:type="paragraph" w:customStyle="1" w:styleId="xl135">
    <w:name w:val="xl135"/>
    <w:basedOn w:val="Normal"/>
    <w:rsid w:val="00692D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outlineLvl w:val="0"/>
    </w:pPr>
    <w:rPr>
      <w:rFonts w:ascii="Arial" w:eastAsia="Times New Roman" w:hAnsi="Arial" w:cs="Arial"/>
      <w:szCs w:val="24"/>
      <w:lang w:eastAsia="es-CR"/>
    </w:rPr>
  </w:style>
  <w:style w:type="paragraph" w:customStyle="1" w:styleId="xl136">
    <w:name w:val="xl136"/>
    <w:basedOn w:val="Normal"/>
    <w:rsid w:val="00692D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outlineLvl w:val="0"/>
    </w:pPr>
    <w:rPr>
      <w:rFonts w:ascii="Times New Roman" w:eastAsia="Times New Roman" w:hAnsi="Times New Roman" w:cs="Times New Roman"/>
      <w:szCs w:val="24"/>
      <w:lang w:eastAsia="es-CR"/>
    </w:rPr>
  </w:style>
  <w:style w:type="paragraph" w:customStyle="1" w:styleId="xl137">
    <w:name w:val="xl137"/>
    <w:basedOn w:val="Normal"/>
    <w:rsid w:val="00692DC8"/>
    <w:pPr>
      <w:shd w:val="clear" w:color="000000" w:fill="DCE6F1"/>
      <w:spacing w:before="100" w:beforeAutospacing="1" w:after="100" w:afterAutospacing="1" w:line="240" w:lineRule="auto"/>
      <w:jc w:val="right"/>
      <w:outlineLvl w:val="0"/>
    </w:pPr>
    <w:rPr>
      <w:rFonts w:ascii="Arial" w:eastAsia="Times New Roman" w:hAnsi="Arial" w:cs="Arial"/>
      <w:b/>
      <w:bCs/>
      <w:lang w:eastAsia="es-CR"/>
    </w:rPr>
  </w:style>
  <w:style w:type="paragraph" w:customStyle="1" w:styleId="xl138">
    <w:name w:val="xl138"/>
    <w:basedOn w:val="Normal"/>
    <w:rsid w:val="00692DC8"/>
    <w:pPr>
      <w:shd w:val="clear" w:color="000000" w:fill="366092"/>
      <w:spacing w:before="100" w:beforeAutospacing="1" w:after="100" w:afterAutospacing="1" w:line="240" w:lineRule="auto"/>
      <w:jc w:val="right"/>
      <w:outlineLvl w:val="0"/>
    </w:pPr>
    <w:rPr>
      <w:rFonts w:ascii="Arial" w:eastAsia="Times New Roman" w:hAnsi="Arial" w:cs="Arial"/>
      <w:color w:val="FFFFFF"/>
      <w:lang w:eastAsia="es-CR"/>
    </w:rPr>
  </w:style>
  <w:style w:type="paragraph" w:customStyle="1" w:styleId="xl139">
    <w:name w:val="xl139"/>
    <w:basedOn w:val="Normal"/>
    <w:rsid w:val="00692DC8"/>
    <w:pPr>
      <w:spacing w:before="100" w:beforeAutospacing="1" w:after="100" w:afterAutospacing="1" w:line="240" w:lineRule="auto"/>
      <w:jc w:val="right"/>
      <w:outlineLvl w:val="0"/>
    </w:pPr>
    <w:rPr>
      <w:rFonts w:ascii="Times New Roman" w:eastAsia="Times New Roman" w:hAnsi="Times New Roman" w:cs="Times New Roman"/>
      <w:szCs w:val="24"/>
      <w:lang w:eastAsia="es-CR"/>
    </w:rPr>
  </w:style>
  <w:style w:type="paragraph" w:customStyle="1" w:styleId="xl140">
    <w:name w:val="xl140"/>
    <w:basedOn w:val="Normal"/>
    <w:rsid w:val="00692DC8"/>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right"/>
      <w:outlineLvl w:val="0"/>
    </w:pPr>
    <w:rPr>
      <w:rFonts w:ascii="Arial" w:eastAsia="Times New Roman" w:hAnsi="Arial" w:cs="Arial"/>
      <w:szCs w:val="24"/>
      <w:lang w:eastAsia="es-CR"/>
    </w:rPr>
  </w:style>
  <w:style w:type="paragraph" w:customStyle="1" w:styleId="xl141">
    <w:name w:val="xl141"/>
    <w:basedOn w:val="Normal"/>
    <w:rsid w:val="00692DC8"/>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right"/>
      <w:outlineLvl w:val="0"/>
    </w:pPr>
    <w:rPr>
      <w:rFonts w:ascii="Arial" w:eastAsia="Times New Roman" w:hAnsi="Arial" w:cs="Arial"/>
      <w:b/>
      <w:bCs/>
      <w:szCs w:val="24"/>
      <w:lang w:eastAsia="es-CR"/>
    </w:rPr>
  </w:style>
  <w:style w:type="paragraph" w:customStyle="1" w:styleId="xl142">
    <w:name w:val="xl142"/>
    <w:basedOn w:val="Normal"/>
    <w:rsid w:val="00692DC8"/>
    <w:pPr>
      <w:shd w:val="clear" w:color="000000" w:fill="366092"/>
      <w:spacing w:before="100" w:beforeAutospacing="1" w:after="100" w:afterAutospacing="1" w:line="240" w:lineRule="auto"/>
      <w:jc w:val="right"/>
      <w:outlineLvl w:val="0"/>
    </w:pPr>
    <w:rPr>
      <w:rFonts w:ascii="Arial" w:eastAsia="Times New Roman" w:hAnsi="Arial" w:cs="Arial"/>
      <w:b/>
      <w:bCs/>
      <w:color w:val="FFFFFF"/>
      <w:lang w:eastAsia="es-CR"/>
    </w:rPr>
  </w:style>
  <w:style w:type="paragraph" w:customStyle="1" w:styleId="xl143">
    <w:name w:val="xl143"/>
    <w:basedOn w:val="Normal"/>
    <w:rsid w:val="00692DC8"/>
    <w:pPr>
      <w:spacing w:before="100" w:beforeAutospacing="1" w:after="100" w:afterAutospacing="1" w:line="240" w:lineRule="auto"/>
      <w:jc w:val="center"/>
      <w:textAlignment w:val="center"/>
      <w:outlineLvl w:val="0"/>
    </w:pPr>
    <w:rPr>
      <w:rFonts w:ascii="Arial" w:eastAsia="Times New Roman" w:hAnsi="Arial" w:cs="Arial"/>
      <w:b/>
      <w:bCs/>
      <w:szCs w:val="24"/>
      <w:lang w:eastAsia="es-CR"/>
    </w:rPr>
  </w:style>
  <w:style w:type="paragraph" w:customStyle="1" w:styleId="xl144">
    <w:name w:val="xl144"/>
    <w:basedOn w:val="Normal"/>
    <w:rsid w:val="00692DC8"/>
    <w:pPr>
      <w:spacing w:before="100" w:beforeAutospacing="1" w:after="100" w:afterAutospacing="1" w:line="240" w:lineRule="auto"/>
      <w:jc w:val="right"/>
      <w:textAlignment w:val="center"/>
      <w:outlineLvl w:val="0"/>
    </w:pPr>
    <w:rPr>
      <w:rFonts w:ascii="Arial" w:eastAsia="Times New Roman" w:hAnsi="Arial" w:cs="Arial"/>
      <w:b/>
      <w:bCs/>
      <w:szCs w:val="24"/>
      <w:lang w:eastAsia="es-CR"/>
    </w:rPr>
  </w:style>
  <w:style w:type="paragraph" w:customStyle="1" w:styleId="xl145">
    <w:name w:val="xl145"/>
    <w:basedOn w:val="Normal"/>
    <w:rsid w:val="00692DC8"/>
    <w:pPr>
      <w:spacing w:before="100" w:beforeAutospacing="1" w:after="100" w:afterAutospacing="1" w:line="240" w:lineRule="auto"/>
      <w:jc w:val="center"/>
      <w:textAlignment w:val="center"/>
      <w:outlineLvl w:val="0"/>
    </w:pPr>
    <w:rPr>
      <w:rFonts w:ascii="Arial" w:eastAsia="Times New Roman" w:hAnsi="Arial" w:cs="Arial"/>
      <w:b/>
      <w:bCs/>
      <w:sz w:val="28"/>
      <w:szCs w:val="28"/>
      <w:lang w:eastAsia="es-CR"/>
    </w:rPr>
  </w:style>
  <w:style w:type="character" w:styleId="Hipervnculovisitado">
    <w:name w:val="FollowedHyperlink"/>
    <w:uiPriority w:val="99"/>
    <w:semiHidden/>
    <w:unhideWhenUsed/>
    <w:rsid w:val="00692DC8"/>
    <w:rPr>
      <w:color w:val="800080"/>
      <w:u w:val="single"/>
    </w:rPr>
  </w:style>
  <w:style w:type="paragraph" w:customStyle="1" w:styleId="xl66">
    <w:name w:val="xl66"/>
    <w:basedOn w:val="Normal"/>
    <w:rsid w:val="00692DC8"/>
    <w:pPr>
      <w:spacing w:before="100" w:beforeAutospacing="1" w:after="100" w:afterAutospacing="1" w:line="240" w:lineRule="auto"/>
      <w:outlineLvl w:val="0"/>
    </w:pPr>
    <w:rPr>
      <w:rFonts w:ascii="Times New Roman" w:eastAsia="Times New Roman" w:hAnsi="Times New Roman" w:cs="Times New Roman"/>
      <w:sz w:val="20"/>
      <w:szCs w:val="20"/>
      <w:lang w:val="es-ES" w:eastAsia="es-ES"/>
    </w:rPr>
  </w:style>
  <w:style w:type="paragraph" w:customStyle="1" w:styleId="xl67">
    <w:name w:val="xl67"/>
    <w:basedOn w:val="Normal"/>
    <w:rsid w:val="00692DC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outlineLvl w:val="0"/>
    </w:pPr>
    <w:rPr>
      <w:rFonts w:ascii="Arial" w:eastAsia="Times New Roman" w:hAnsi="Arial" w:cs="Arial"/>
      <w:sz w:val="20"/>
      <w:szCs w:val="20"/>
      <w:lang w:val="es-ES" w:eastAsia="es-ES"/>
    </w:rPr>
  </w:style>
  <w:style w:type="paragraph" w:customStyle="1" w:styleId="xl68">
    <w:name w:val="xl68"/>
    <w:basedOn w:val="Normal"/>
    <w:rsid w:val="00692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outlineLvl w:val="0"/>
    </w:pPr>
    <w:rPr>
      <w:rFonts w:ascii="Arial" w:eastAsia="Times New Roman" w:hAnsi="Arial" w:cs="Arial"/>
      <w:sz w:val="20"/>
      <w:szCs w:val="20"/>
      <w:lang w:val="es-ES" w:eastAsia="es-ES"/>
    </w:rPr>
  </w:style>
  <w:style w:type="paragraph" w:customStyle="1" w:styleId="xl69">
    <w:name w:val="xl69"/>
    <w:basedOn w:val="Normal"/>
    <w:rsid w:val="00692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outlineLvl w:val="0"/>
    </w:pPr>
    <w:rPr>
      <w:rFonts w:ascii="Arial" w:eastAsia="Times New Roman" w:hAnsi="Arial" w:cs="Arial"/>
      <w:sz w:val="20"/>
      <w:szCs w:val="20"/>
      <w:lang w:val="es-ES" w:eastAsia="es-ES"/>
    </w:rPr>
  </w:style>
  <w:style w:type="paragraph" w:customStyle="1" w:styleId="xl70">
    <w:name w:val="xl70"/>
    <w:basedOn w:val="Normal"/>
    <w:rsid w:val="00692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outlineLvl w:val="0"/>
    </w:pPr>
    <w:rPr>
      <w:rFonts w:ascii="Arial" w:eastAsia="Times New Roman" w:hAnsi="Arial" w:cs="Arial"/>
      <w:sz w:val="20"/>
      <w:szCs w:val="20"/>
      <w:lang w:val="es-ES" w:eastAsia="es-ES"/>
    </w:rPr>
  </w:style>
  <w:style w:type="paragraph" w:customStyle="1" w:styleId="xl71">
    <w:name w:val="xl71"/>
    <w:basedOn w:val="Normal"/>
    <w:rsid w:val="00692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outlineLvl w:val="0"/>
    </w:pPr>
    <w:rPr>
      <w:rFonts w:ascii="Arial" w:eastAsia="Times New Roman" w:hAnsi="Arial" w:cs="Arial"/>
      <w:sz w:val="20"/>
      <w:szCs w:val="20"/>
      <w:lang w:val="es-ES" w:eastAsia="es-ES"/>
    </w:rPr>
  </w:style>
  <w:style w:type="paragraph" w:customStyle="1" w:styleId="xl72">
    <w:name w:val="xl72"/>
    <w:basedOn w:val="Normal"/>
    <w:rsid w:val="00692DC8"/>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outlineLvl w:val="0"/>
    </w:pPr>
    <w:rPr>
      <w:rFonts w:ascii="Arial" w:eastAsia="Times New Roman" w:hAnsi="Arial" w:cs="Arial"/>
      <w:sz w:val="20"/>
      <w:szCs w:val="20"/>
      <w:lang w:val="es-ES" w:eastAsia="es-ES"/>
    </w:rPr>
  </w:style>
  <w:style w:type="paragraph" w:customStyle="1" w:styleId="xl73">
    <w:name w:val="xl73"/>
    <w:basedOn w:val="Normal"/>
    <w:rsid w:val="00692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outlineLvl w:val="0"/>
    </w:pPr>
    <w:rPr>
      <w:rFonts w:ascii="Arial" w:eastAsia="Times New Roman" w:hAnsi="Arial" w:cs="Arial"/>
      <w:color w:val="000000"/>
      <w:sz w:val="20"/>
      <w:szCs w:val="20"/>
      <w:lang w:val="es-ES" w:eastAsia="es-ES"/>
    </w:rPr>
  </w:style>
  <w:style w:type="paragraph" w:customStyle="1" w:styleId="xl74">
    <w:name w:val="xl74"/>
    <w:basedOn w:val="Normal"/>
    <w:rsid w:val="00692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outlineLvl w:val="0"/>
    </w:pPr>
    <w:rPr>
      <w:rFonts w:ascii="Arial" w:eastAsia="Times New Roman" w:hAnsi="Arial" w:cs="Arial"/>
      <w:color w:val="000000"/>
      <w:sz w:val="20"/>
      <w:szCs w:val="20"/>
      <w:lang w:val="es-ES" w:eastAsia="es-ES"/>
    </w:rPr>
  </w:style>
  <w:style w:type="paragraph" w:customStyle="1" w:styleId="xl75">
    <w:name w:val="xl75"/>
    <w:basedOn w:val="Normal"/>
    <w:rsid w:val="00692DC8"/>
    <w:pPr>
      <w:shd w:val="clear" w:color="000000" w:fill="FFFFFF"/>
      <w:spacing w:before="100" w:beforeAutospacing="1" w:after="100" w:afterAutospacing="1" w:line="240" w:lineRule="auto"/>
      <w:outlineLvl w:val="0"/>
    </w:pPr>
    <w:rPr>
      <w:rFonts w:ascii="Times New Roman" w:eastAsia="Times New Roman" w:hAnsi="Times New Roman" w:cs="Times New Roman"/>
      <w:sz w:val="20"/>
      <w:szCs w:val="20"/>
      <w:lang w:val="es-ES" w:eastAsia="es-ES"/>
    </w:rPr>
  </w:style>
  <w:style w:type="paragraph" w:customStyle="1" w:styleId="xl76">
    <w:name w:val="xl76"/>
    <w:basedOn w:val="Normal"/>
    <w:rsid w:val="00692DC8"/>
    <w:pPr>
      <w:shd w:val="clear" w:color="000000" w:fill="FFFFFF"/>
      <w:spacing w:before="100" w:beforeAutospacing="1" w:after="100" w:afterAutospacing="1" w:line="240" w:lineRule="auto"/>
      <w:outlineLvl w:val="0"/>
    </w:pPr>
    <w:rPr>
      <w:rFonts w:ascii="Arial" w:eastAsia="Times New Roman" w:hAnsi="Arial" w:cs="Arial"/>
      <w:sz w:val="20"/>
      <w:szCs w:val="20"/>
      <w:lang w:val="es-ES" w:eastAsia="es-ES"/>
    </w:rPr>
  </w:style>
  <w:style w:type="paragraph" w:customStyle="1" w:styleId="xl77">
    <w:name w:val="xl77"/>
    <w:basedOn w:val="Normal"/>
    <w:rsid w:val="00692DC8"/>
    <w:pPr>
      <w:shd w:val="clear" w:color="000000" w:fill="FFFFFF"/>
      <w:spacing w:before="100" w:beforeAutospacing="1" w:after="100" w:afterAutospacing="1" w:line="240" w:lineRule="auto"/>
      <w:outlineLvl w:val="0"/>
    </w:pPr>
    <w:rPr>
      <w:rFonts w:ascii="Arial" w:eastAsia="Times New Roman" w:hAnsi="Arial" w:cs="Arial"/>
      <w:sz w:val="20"/>
      <w:szCs w:val="20"/>
      <w:lang w:val="es-ES" w:eastAsia="es-ES"/>
    </w:rPr>
  </w:style>
  <w:style w:type="paragraph" w:customStyle="1" w:styleId="xl78">
    <w:name w:val="xl78"/>
    <w:basedOn w:val="Normal"/>
    <w:rsid w:val="00692DC8"/>
    <w:pPr>
      <w:shd w:val="clear" w:color="000000" w:fill="FFFFFF"/>
      <w:spacing w:before="100" w:beforeAutospacing="1" w:after="100" w:afterAutospacing="1" w:line="240" w:lineRule="auto"/>
      <w:jc w:val="center"/>
      <w:outlineLvl w:val="0"/>
    </w:pPr>
    <w:rPr>
      <w:rFonts w:ascii="Arial" w:eastAsia="Times New Roman" w:hAnsi="Arial" w:cs="Arial"/>
      <w:color w:val="000000"/>
      <w:sz w:val="20"/>
      <w:szCs w:val="20"/>
      <w:lang w:val="es-ES" w:eastAsia="es-ES"/>
    </w:rPr>
  </w:style>
  <w:style w:type="paragraph" w:customStyle="1" w:styleId="xl79">
    <w:name w:val="xl79"/>
    <w:basedOn w:val="Normal"/>
    <w:rsid w:val="00692DC8"/>
    <w:pPr>
      <w:shd w:val="clear" w:color="000000" w:fill="FFFFFF"/>
      <w:spacing w:before="100" w:beforeAutospacing="1" w:after="100" w:afterAutospacing="1" w:line="240" w:lineRule="auto"/>
      <w:jc w:val="center"/>
      <w:outlineLvl w:val="0"/>
    </w:pPr>
    <w:rPr>
      <w:rFonts w:ascii="Arial" w:eastAsia="Times New Roman" w:hAnsi="Arial" w:cs="Arial"/>
      <w:sz w:val="20"/>
      <w:szCs w:val="20"/>
      <w:lang w:val="es-ES" w:eastAsia="es-ES"/>
    </w:rPr>
  </w:style>
  <w:style w:type="paragraph" w:customStyle="1" w:styleId="xl80">
    <w:name w:val="xl80"/>
    <w:basedOn w:val="Normal"/>
    <w:rsid w:val="00692DC8"/>
    <w:pPr>
      <w:shd w:val="clear" w:color="000000" w:fill="FFFFFF"/>
      <w:spacing w:before="100" w:beforeAutospacing="1" w:after="100" w:afterAutospacing="1" w:line="240" w:lineRule="auto"/>
      <w:jc w:val="center"/>
      <w:outlineLvl w:val="0"/>
    </w:pPr>
    <w:rPr>
      <w:rFonts w:ascii="Arial" w:eastAsia="Times New Roman" w:hAnsi="Arial" w:cs="Arial"/>
      <w:sz w:val="20"/>
      <w:szCs w:val="20"/>
      <w:lang w:val="es-ES" w:eastAsia="es-ES"/>
    </w:rPr>
  </w:style>
  <w:style w:type="paragraph" w:customStyle="1" w:styleId="xl81">
    <w:name w:val="xl81"/>
    <w:basedOn w:val="Normal"/>
    <w:rsid w:val="00692DC8"/>
    <w:pPr>
      <w:shd w:val="clear" w:color="000000" w:fill="FFFFFF"/>
      <w:spacing w:before="100" w:beforeAutospacing="1" w:after="100" w:afterAutospacing="1" w:line="240" w:lineRule="auto"/>
      <w:jc w:val="right"/>
      <w:outlineLvl w:val="0"/>
    </w:pPr>
    <w:rPr>
      <w:rFonts w:ascii="Arial" w:eastAsia="Times New Roman" w:hAnsi="Arial" w:cs="Arial"/>
      <w:color w:val="000000"/>
      <w:sz w:val="20"/>
      <w:szCs w:val="20"/>
      <w:lang w:val="es-ES" w:eastAsia="es-ES"/>
    </w:rPr>
  </w:style>
  <w:style w:type="paragraph" w:customStyle="1" w:styleId="xl82">
    <w:name w:val="xl82"/>
    <w:basedOn w:val="Normal"/>
    <w:rsid w:val="00692DC8"/>
    <w:pPr>
      <w:shd w:val="clear" w:color="000000" w:fill="FFFFFF"/>
      <w:spacing w:before="100" w:beforeAutospacing="1" w:after="100" w:afterAutospacing="1" w:line="240" w:lineRule="auto"/>
      <w:outlineLvl w:val="0"/>
    </w:pPr>
    <w:rPr>
      <w:rFonts w:ascii="Arial" w:eastAsia="Times New Roman" w:hAnsi="Arial" w:cs="Arial"/>
      <w:sz w:val="20"/>
      <w:szCs w:val="20"/>
      <w:lang w:val="es-ES" w:eastAsia="es-ES"/>
    </w:rPr>
  </w:style>
  <w:style w:type="paragraph" w:customStyle="1" w:styleId="xl83">
    <w:name w:val="xl83"/>
    <w:basedOn w:val="Normal"/>
    <w:rsid w:val="00692DC8"/>
    <w:pPr>
      <w:pBdr>
        <w:top w:val="single" w:sz="8" w:space="0" w:color="auto"/>
        <w:left w:val="single" w:sz="8" w:space="0" w:color="auto"/>
        <w:bottom w:val="single" w:sz="8" w:space="0" w:color="auto"/>
        <w:right w:val="single" w:sz="4" w:space="0" w:color="auto"/>
      </w:pBdr>
      <w:shd w:val="clear" w:color="000000" w:fill="95B3D7"/>
      <w:spacing w:before="100" w:beforeAutospacing="1" w:after="100" w:afterAutospacing="1" w:line="240" w:lineRule="auto"/>
      <w:jc w:val="center"/>
      <w:outlineLvl w:val="0"/>
    </w:pPr>
    <w:rPr>
      <w:rFonts w:ascii="Arial" w:eastAsia="Times New Roman" w:hAnsi="Arial" w:cs="Arial"/>
      <w:b/>
      <w:bCs/>
      <w:color w:val="000000"/>
      <w:sz w:val="20"/>
      <w:szCs w:val="20"/>
      <w:lang w:val="es-ES" w:eastAsia="es-ES"/>
    </w:rPr>
  </w:style>
  <w:style w:type="paragraph" w:customStyle="1" w:styleId="xl84">
    <w:name w:val="xl84"/>
    <w:basedOn w:val="Normal"/>
    <w:rsid w:val="00692DC8"/>
    <w:pPr>
      <w:pBdr>
        <w:top w:val="single" w:sz="8" w:space="0" w:color="auto"/>
        <w:left w:val="single" w:sz="8" w:space="0" w:color="auto"/>
        <w:bottom w:val="single" w:sz="8" w:space="0" w:color="auto"/>
        <w:right w:val="single" w:sz="8" w:space="0" w:color="auto"/>
      </w:pBdr>
      <w:shd w:val="clear" w:color="000000" w:fill="95B3D7"/>
      <w:spacing w:before="100" w:beforeAutospacing="1" w:after="100" w:afterAutospacing="1" w:line="240" w:lineRule="auto"/>
      <w:jc w:val="center"/>
      <w:outlineLvl w:val="0"/>
    </w:pPr>
    <w:rPr>
      <w:rFonts w:ascii="Arial" w:eastAsia="Times New Roman" w:hAnsi="Arial" w:cs="Arial"/>
      <w:b/>
      <w:bCs/>
      <w:color w:val="000000"/>
      <w:sz w:val="20"/>
      <w:szCs w:val="20"/>
      <w:lang w:val="es-ES" w:eastAsia="es-ES"/>
    </w:rPr>
  </w:style>
  <w:style w:type="paragraph" w:customStyle="1" w:styleId="xl85">
    <w:name w:val="xl85"/>
    <w:basedOn w:val="Normal"/>
    <w:rsid w:val="00692DC8"/>
    <w:pPr>
      <w:shd w:val="clear" w:color="000000" w:fill="FFFFFF"/>
      <w:spacing w:before="100" w:beforeAutospacing="1" w:after="100" w:afterAutospacing="1" w:line="240" w:lineRule="auto"/>
      <w:jc w:val="center"/>
      <w:outlineLvl w:val="0"/>
    </w:pPr>
    <w:rPr>
      <w:rFonts w:ascii="Arial" w:eastAsia="Times New Roman" w:hAnsi="Arial" w:cs="Arial"/>
      <w:color w:val="000000"/>
      <w:sz w:val="20"/>
      <w:szCs w:val="20"/>
      <w:lang w:val="es-ES" w:eastAsia="es-ES"/>
    </w:rPr>
  </w:style>
  <w:style w:type="paragraph" w:customStyle="1" w:styleId="xl86">
    <w:name w:val="xl86"/>
    <w:basedOn w:val="Normal"/>
    <w:rsid w:val="00692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outlineLvl w:val="0"/>
    </w:pPr>
    <w:rPr>
      <w:rFonts w:ascii="Arial" w:eastAsia="Times New Roman" w:hAnsi="Arial" w:cs="Arial"/>
      <w:sz w:val="20"/>
      <w:szCs w:val="20"/>
      <w:lang w:val="es-ES" w:eastAsia="es-ES"/>
    </w:rPr>
  </w:style>
  <w:style w:type="paragraph" w:customStyle="1" w:styleId="xl87">
    <w:name w:val="xl87"/>
    <w:basedOn w:val="Normal"/>
    <w:rsid w:val="00692DC8"/>
    <w:pPr>
      <w:shd w:val="clear" w:color="000000" w:fill="FFFFFF"/>
      <w:spacing w:before="100" w:beforeAutospacing="1" w:after="100" w:afterAutospacing="1" w:line="240" w:lineRule="auto"/>
      <w:jc w:val="right"/>
      <w:outlineLvl w:val="0"/>
    </w:pPr>
    <w:rPr>
      <w:rFonts w:ascii="Arial" w:eastAsia="Times New Roman" w:hAnsi="Arial" w:cs="Arial"/>
      <w:sz w:val="20"/>
      <w:szCs w:val="20"/>
      <w:lang w:val="es-ES" w:eastAsia="es-ES"/>
    </w:rPr>
  </w:style>
  <w:style w:type="paragraph" w:customStyle="1" w:styleId="xl88">
    <w:name w:val="xl88"/>
    <w:basedOn w:val="Normal"/>
    <w:rsid w:val="00692DC8"/>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outlineLvl w:val="0"/>
    </w:pPr>
    <w:rPr>
      <w:rFonts w:ascii="Arial" w:eastAsia="Times New Roman" w:hAnsi="Arial" w:cs="Arial"/>
      <w:sz w:val="20"/>
      <w:szCs w:val="20"/>
      <w:lang w:val="es-ES" w:eastAsia="es-ES"/>
    </w:rPr>
  </w:style>
  <w:style w:type="paragraph" w:customStyle="1" w:styleId="xl89">
    <w:name w:val="xl89"/>
    <w:basedOn w:val="Normal"/>
    <w:rsid w:val="00692DC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outlineLvl w:val="0"/>
    </w:pPr>
    <w:rPr>
      <w:rFonts w:ascii="Arial" w:eastAsia="Times New Roman" w:hAnsi="Arial" w:cs="Arial"/>
      <w:sz w:val="20"/>
      <w:szCs w:val="20"/>
      <w:lang w:val="es-ES" w:eastAsia="es-ES"/>
    </w:rPr>
  </w:style>
  <w:style w:type="paragraph" w:customStyle="1" w:styleId="xl90">
    <w:name w:val="xl90"/>
    <w:basedOn w:val="Normal"/>
    <w:rsid w:val="00692DC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outlineLvl w:val="0"/>
    </w:pPr>
    <w:rPr>
      <w:rFonts w:ascii="Arial" w:eastAsia="Times New Roman" w:hAnsi="Arial" w:cs="Arial"/>
      <w:sz w:val="20"/>
      <w:szCs w:val="20"/>
      <w:lang w:val="es-ES" w:eastAsia="es-ES"/>
    </w:rPr>
  </w:style>
  <w:style w:type="paragraph" w:customStyle="1" w:styleId="xl91">
    <w:name w:val="xl91"/>
    <w:basedOn w:val="Normal"/>
    <w:rsid w:val="00692DC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outlineLvl w:val="0"/>
    </w:pPr>
    <w:rPr>
      <w:rFonts w:ascii="Arial" w:eastAsia="Times New Roman" w:hAnsi="Arial" w:cs="Arial"/>
      <w:color w:val="000000"/>
      <w:sz w:val="20"/>
      <w:szCs w:val="20"/>
      <w:lang w:val="es-ES" w:eastAsia="es-ES"/>
    </w:rPr>
  </w:style>
  <w:style w:type="paragraph" w:customStyle="1" w:styleId="xl92">
    <w:name w:val="xl92"/>
    <w:basedOn w:val="Normal"/>
    <w:rsid w:val="00692DC8"/>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outlineLvl w:val="0"/>
    </w:pPr>
    <w:rPr>
      <w:rFonts w:ascii="Arial" w:eastAsia="Times New Roman" w:hAnsi="Arial" w:cs="Arial"/>
      <w:sz w:val="20"/>
      <w:szCs w:val="20"/>
      <w:lang w:val="es-ES" w:eastAsia="es-ES"/>
    </w:rPr>
  </w:style>
  <w:style w:type="paragraph" w:customStyle="1" w:styleId="xl93">
    <w:name w:val="xl93"/>
    <w:basedOn w:val="Normal"/>
    <w:rsid w:val="00692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outlineLvl w:val="0"/>
    </w:pPr>
    <w:rPr>
      <w:rFonts w:ascii="Arial" w:eastAsia="Times New Roman" w:hAnsi="Arial" w:cs="Arial"/>
      <w:sz w:val="20"/>
      <w:szCs w:val="20"/>
      <w:lang w:val="es-ES" w:eastAsia="es-ES"/>
    </w:rPr>
  </w:style>
  <w:style w:type="paragraph" w:customStyle="1" w:styleId="xl94">
    <w:name w:val="xl94"/>
    <w:basedOn w:val="Normal"/>
    <w:rsid w:val="00692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outlineLvl w:val="0"/>
    </w:pPr>
    <w:rPr>
      <w:rFonts w:ascii="Arial" w:eastAsia="Times New Roman" w:hAnsi="Arial" w:cs="Arial"/>
      <w:sz w:val="20"/>
      <w:szCs w:val="20"/>
      <w:lang w:val="es-ES" w:eastAsia="es-ES"/>
    </w:rPr>
  </w:style>
  <w:style w:type="paragraph" w:customStyle="1" w:styleId="xl95">
    <w:name w:val="xl95"/>
    <w:basedOn w:val="Normal"/>
    <w:rsid w:val="00692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outlineLvl w:val="0"/>
    </w:pPr>
    <w:rPr>
      <w:rFonts w:ascii="Arial" w:eastAsia="Times New Roman" w:hAnsi="Arial" w:cs="Arial"/>
      <w:sz w:val="20"/>
      <w:szCs w:val="20"/>
      <w:lang w:val="es-ES" w:eastAsia="es-ES"/>
    </w:rPr>
  </w:style>
  <w:style w:type="paragraph" w:customStyle="1" w:styleId="xl96">
    <w:name w:val="xl96"/>
    <w:basedOn w:val="Normal"/>
    <w:rsid w:val="00692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outlineLvl w:val="0"/>
    </w:pPr>
    <w:rPr>
      <w:rFonts w:ascii="Arial" w:eastAsia="Times New Roman" w:hAnsi="Arial" w:cs="Arial"/>
      <w:sz w:val="20"/>
      <w:szCs w:val="20"/>
      <w:lang w:val="es-ES" w:eastAsia="es-ES"/>
    </w:rPr>
  </w:style>
  <w:style w:type="paragraph" w:customStyle="1" w:styleId="xl97">
    <w:name w:val="xl97"/>
    <w:basedOn w:val="Normal"/>
    <w:rsid w:val="00692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outlineLvl w:val="0"/>
    </w:pPr>
    <w:rPr>
      <w:rFonts w:ascii="Arial" w:eastAsia="Times New Roman" w:hAnsi="Arial" w:cs="Arial"/>
      <w:sz w:val="20"/>
      <w:szCs w:val="20"/>
      <w:lang w:val="es-ES" w:eastAsia="es-ES"/>
    </w:rPr>
  </w:style>
  <w:style w:type="paragraph" w:customStyle="1" w:styleId="xl98">
    <w:name w:val="xl98"/>
    <w:basedOn w:val="Normal"/>
    <w:rsid w:val="00692DC8"/>
    <w:pPr>
      <w:pBdr>
        <w:top w:val="single" w:sz="4" w:space="0" w:color="auto"/>
        <w:left w:val="single" w:sz="4" w:space="0" w:color="auto"/>
        <w:right w:val="single" w:sz="4" w:space="0" w:color="auto"/>
      </w:pBdr>
      <w:shd w:val="clear" w:color="000000" w:fill="FFFFFF"/>
      <w:spacing w:before="100" w:beforeAutospacing="1" w:after="100" w:afterAutospacing="1" w:line="240" w:lineRule="auto"/>
      <w:outlineLvl w:val="0"/>
    </w:pPr>
    <w:rPr>
      <w:rFonts w:ascii="Arial" w:eastAsia="Times New Roman" w:hAnsi="Arial" w:cs="Arial"/>
      <w:sz w:val="20"/>
      <w:szCs w:val="20"/>
      <w:lang w:val="es-ES" w:eastAsia="es-ES"/>
    </w:rPr>
  </w:style>
  <w:style w:type="paragraph" w:customStyle="1" w:styleId="xl99">
    <w:name w:val="xl99"/>
    <w:basedOn w:val="Normal"/>
    <w:rsid w:val="00692DC8"/>
    <w:pPr>
      <w:pBdr>
        <w:top w:val="single" w:sz="4" w:space="0" w:color="auto"/>
        <w:left w:val="single" w:sz="4" w:space="0" w:color="auto"/>
        <w:right w:val="single" w:sz="4" w:space="0" w:color="auto"/>
      </w:pBdr>
      <w:shd w:val="clear" w:color="000000" w:fill="FFFFFF"/>
      <w:spacing w:before="100" w:beforeAutospacing="1" w:after="100" w:afterAutospacing="1" w:line="240" w:lineRule="auto"/>
      <w:outlineLvl w:val="0"/>
    </w:pPr>
    <w:rPr>
      <w:rFonts w:ascii="Arial" w:eastAsia="Times New Roman" w:hAnsi="Arial" w:cs="Arial"/>
      <w:sz w:val="20"/>
      <w:szCs w:val="20"/>
      <w:lang w:val="es-ES" w:eastAsia="es-ES"/>
    </w:rPr>
  </w:style>
  <w:style w:type="paragraph" w:customStyle="1" w:styleId="xl100">
    <w:name w:val="xl100"/>
    <w:basedOn w:val="Normal"/>
    <w:rsid w:val="00692DC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outlineLvl w:val="0"/>
    </w:pPr>
    <w:rPr>
      <w:rFonts w:ascii="Arial" w:eastAsia="Times New Roman" w:hAnsi="Arial" w:cs="Arial"/>
      <w:sz w:val="20"/>
      <w:szCs w:val="20"/>
      <w:lang w:val="es-ES" w:eastAsia="es-ES"/>
    </w:rPr>
  </w:style>
  <w:style w:type="paragraph" w:customStyle="1" w:styleId="xl101">
    <w:name w:val="xl101"/>
    <w:basedOn w:val="Normal"/>
    <w:rsid w:val="00692DC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outlineLvl w:val="0"/>
    </w:pPr>
    <w:rPr>
      <w:rFonts w:ascii="Arial" w:eastAsia="Times New Roman" w:hAnsi="Arial" w:cs="Arial"/>
      <w:sz w:val="20"/>
      <w:szCs w:val="20"/>
      <w:lang w:val="es-ES" w:eastAsia="es-ES"/>
    </w:rPr>
  </w:style>
  <w:style w:type="paragraph" w:customStyle="1" w:styleId="xl102">
    <w:name w:val="xl102"/>
    <w:basedOn w:val="Normal"/>
    <w:rsid w:val="00692DC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outlineLvl w:val="0"/>
    </w:pPr>
    <w:rPr>
      <w:rFonts w:ascii="Arial" w:eastAsia="Times New Roman" w:hAnsi="Arial" w:cs="Arial"/>
      <w:sz w:val="20"/>
      <w:szCs w:val="20"/>
      <w:lang w:val="es-ES" w:eastAsia="es-ES"/>
    </w:rPr>
  </w:style>
  <w:style w:type="paragraph" w:customStyle="1" w:styleId="xl103">
    <w:name w:val="xl103"/>
    <w:basedOn w:val="Normal"/>
    <w:rsid w:val="00692DC8"/>
    <w:pPr>
      <w:pBdr>
        <w:top w:val="single" w:sz="8" w:space="0" w:color="auto"/>
        <w:left w:val="single" w:sz="8" w:space="0" w:color="auto"/>
        <w:bottom w:val="single" w:sz="8" w:space="0" w:color="auto"/>
      </w:pBdr>
      <w:shd w:val="clear" w:color="000000" w:fill="95B3D7"/>
      <w:spacing w:before="100" w:beforeAutospacing="1" w:after="100" w:afterAutospacing="1" w:line="240" w:lineRule="auto"/>
      <w:outlineLvl w:val="0"/>
    </w:pPr>
    <w:rPr>
      <w:rFonts w:ascii="Arial" w:eastAsia="Times New Roman" w:hAnsi="Arial" w:cs="Arial"/>
      <w:sz w:val="20"/>
      <w:szCs w:val="20"/>
      <w:lang w:val="es-ES" w:eastAsia="es-ES"/>
    </w:rPr>
  </w:style>
  <w:style w:type="paragraph" w:customStyle="1" w:styleId="xl111">
    <w:name w:val="xl111"/>
    <w:basedOn w:val="Normal"/>
    <w:rsid w:val="00692DC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outlineLvl w:val="0"/>
    </w:pPr>
    <w:rPr>
      <w:rFonts w:ascii="Arial" w:eastAsia="Times New Roman" w:hAnsi="Arial" w:cs="Arial"/>
      <w:color w:val="000000"/>
      <w:sz w:val="20"/>
      <w:szCs w:val="20"/>
      <w:lang w:val="es-ES" w:eastAsia="es-ES"/>
    </w:rPr>
  </w:style>
  <w:style w:type="paragraph" w:customStyle="1" w:styleId="xl146">
    <w:name w:val="xl146"/>
    <w:basedOn w:val="Normal"/>
    <w:rsid w:val="00692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outlineLvl w:val="0"/>
    </w:pPr>
    <w:rPr>
      <w:rFonts w:ascii="Arial" w:eastAsia="Times New Roman" w:hAnsi="Arial" w:cs="Arial"/>
      <w:color w:val="000000"/>
      <w:sz w:val="20"/>
      <w:szCs w:val="20"/>
      <w:lang w:val="es-ES" w:eastAsia="es-ES"/>
    </w:rPr>
  </w:style>
  <w:style w:type="paragraph" w:customStyle="1" w:styleId="xl147">
    <w:name w:val="xl147"/>
    <w:basedOn w:val="Normal"/>
    <w:rsid w:val="00692DC8"/>
    <w:pPr>
      <w:shd w:val="clear" w:color="000000" w:fill="FFFFFF"/>
      <w:spacing w:before="100" w:beforeAutospacing="1" w:after="100" w:afterAutospacing="1" w:line="240" w:lineRule="auto"/>
      <w:outlineLvl w:val="0"/>
    </w:pPr>
    <w:rPr>
      <w:rFonts w:ascii="Times New Roman" w:eastAsia="Times New Roman" w:hAnsi="Times New Roman" w:cs="Times New Roman"/>
      <w:sz w:val="20"/>
      <w:szCs w:val="20"/>
      <w:lang w:val="es-ES" w:eastAsia="es-ES"/>
    </w:rPr>
  </w:style>
  <w:style w:type="paragraph" w:customStyle="1" w:styleId="xl148">
    <w:name w:val="xl148"/>
    <w:basedOn w:val="Normal"/>
    <w:rsid w:val="00692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outlineLvl w:val="0"/>
    </w:pPr>
    <w:rPr>
      <w:rFonts w:ascii="Arial" w:eastAsia="Times New Roman" w:hAnsi="Arial" w:cs="Arial"/>
      <w:b/>
      <w:bCs/>
      <w:szCs w:val="24"/>
      <w:lang w:val="es-ES" w:eastAsia="es-ES"/>
    </w:rPr>
  </w:style>
  <w:style w:type="paragraph" w:customStyle="1" w:styleId="xl149">
    <w:name w:val="xl149"/>
    <w:basedOn w:val="Normal"/>
    <w:rsid w:val="00692DC8"/>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outlineLvl w:val="0"/>
    </w:pPr>
    <w:rPr>
      <w:rFonts w:ascii="Arial" w:eastAsia="Times New Roman" w:hAnsi="Arial" w:cs="Arial"/>
      <w:b/>
      <w:bCs/>
      <w:szCs w:val="24"/>
      <w:lang w:val="es-ES" w:eastAsia="es-ES"/>
    </w:rPr>
  </w:style>
  <w:style w:type="paragraph" w:customStyle="1" w:styleId="xl150">
    <w:name w:val="xl150"/>
    <w:basedOn w:val="Normal"/>
    <w:rsid w:val="00692DC8"/>
    <w:pPr>
      <w:spacing w:before="100" w:beforeAutospacing="1" w:after="100" w:afterAutospacing="1" w:line="240" w:lineRule="auto"/>
      <w:outlineLvl w:val="0"/>
    </w:pPr>
    <w:rPr>
      <w:rFonts w:ascii="Times New Roman" w:eastAsia="Times New Roman" w:hAnsi="Times New Roman" w:cs="Times New Roman"/>
      <w:sz w:val="20"/>
      <w:szCs w:val="20"/>
      <w:lang w:val="es-ES" w:eastAsia="es-ES"/>
    </w:rPr>
  </w:style>
  <w:style w:type="paragraph" w:customStyle="1" w:styleId="xl151">
    <w:name w:val="xl151"/>
    <w:basedOn w:val="Normal"/>
    <w:rsid w:val="00692DC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outlineLvl w:val="0"/>
    </w:pPr>
    <w:rPr>
      <w:rFonts w:ascii="Arial" w:eastAsia="Times New Roman" w:hAnsi="Arial" w:cs="Arial"/>
      <w:color w:val="000000"/>
      <w:sz w:val="16"/>
      <w:szCs w:val="16"/>
      <w:lang w:val="es-ES" w:eastAsia="es-ES"/>
    </w:rPr>
  </w:style>
  <w:style w:type="paragraph" w:customStyle="1" w:styleId="xl152">
    <w:name w:val="xl152"/>
    <w:basedOn w:val="Normal"/>
    <w:rsid w:val="00692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outlineLvl w:val="0"/>
    </w:pPr>
    <w:rPr>
      <w:rFonts w:ascii="Arial" w:eastAsia="Times New Roman" w:hAnsi="Arial" w:cs="Arial"/>
      <w:color w:val="000000"/>
      <w:sz w:val="16"/>
      <w:szCs w:val="16"/>
      <w:lang w:val="es-ES" w:eastAsia="es-ES"/>
    </w:rPr>
  </w:style>
  <w:style w:type="paragraph" w:customStyle="1" w:styleId="xl153">
    <w:name w:val="xl153"/>
    <w:basedOn w:val="Normal"/>
    <w:rsid w:val="00692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outlineLvl w:val="0"/>
    </w:pPr>
    <w:rPr>
      <w:rFonts w:ascii="Arial" w:eastAsia="Times New Roman" w:hAnsi="Arial" w:cs="Arial"/>
      <w:sz w:val="16"/>
      <w:szCs w:val="16"/>
      <w:lang w:val="es-ES" w:eastAsia="es-ES"/>
    </w:rPr>
  </w:style>
  <w:style w:type="paragraph" w:customStyle="1" w:styleId="xl154">
    <w:name w:val="xl154"/>
    <w:basedOn w:val="Normal"/>
    <w:rsid w:val="00692DC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outlineLvl w:val="0"/>
    </w:pPr>
    <w:rPr>
      <w:rFonts w:ascii="Arial" w:eastAsia="Times New Roman" w:hAnsi="Arial" w:cs="Arial"/>
      <w:sz w:val="16"/>
      <w:szCs w:val="16"/>
      <w:lang w:val="es-ES" w:eastAsia="es-ES"/>
    </w:rPr>
  </w:style>
  <w:style w:type="paragraph" w:customStyle="1" w:styleId="xl155">
    <w:name w:val="xl155"/>
    <w:basedOn w:val="Normal"/>
    <w:rsid w:val="00692DC8"/>
    <w:pPr>
      <w:pBdr>
        <w:top w:val="single" w:sz="8" w:space="0" w:color="auto"/>
        <w:left w:val="single" w:sz="8" w:space="0" w:color="auto"/>
        <w:bottom w:val="single" w:sz="8" w:space="0" w:color="auto"/>
      </w:pBdr>
      <w:shd w:val="clear" w:color="000000" w:fill="95B3D7"/>
      <w:spacing w:before="100" w:beforeAutospacing="1" w:after="100" w:afterAutospacing="1" w:line="240" w:lineRule="auto"/>
      <w:jc w:val="center"/>
      <w:outlineLvl w:val="0"/>
    </w:pPr>
    <w:rPr>
      <w:rFonts w:ascii="Arial" w:eastAsia="Times New Roman" w:hAnsi="Arial" w:cs="Arial"/>
      <w:b/>
      <w:bCs/>
      <w:color w:val="000000"/>
      <w:sz w:val="20"/>
      <w:szCs w:val="20"/>
      <w:lang w:val="es-ES" w:eastAsia="es-ES"/>
    </w:rPr>
  </w:style>
  <w:style w:type="paragraph" w:customStyle="1" w:styleId="xl156">
    <w:name w:val="xl156"/>
    <w:basedOn w:val="Normal"/>
    <w:rsid w:val="00692DC8"/>
    <w:pPr>
      <w:pBdr>
        <w:top w:val="single" w:sz="8" w:space="0" w:color="auto"/>
        <w:bottom w:val="single" w:sz="8" w:space="0" w:color="auto"/>
      </w:pBdr>
      <w:shd w:val="clear" w:color="000000" w:fill="95B3D7"/>
      <w:spacing w:before="100" w:beforeAutospacing="1" w:after="100" w:afterAutospacing="1" w:line="240" w:lineRule="auto"/>
      <w:jc w:val="center"/>
      <w:outlineLvl w:val="0"/>
    </w:pPr>
    <w:rPr>
      <w:rFonts w:ascii="Arial" w:eastAsia="Times New Roman" w:hAnsi="Arial" w:cs="Arial"/>
      <w:b/>
      <w:bCs/>
      <w:color w:val="000000"/>
      <w:sz w:val="20"/>
      <w:szCs w:val="20"/>
      <w:lang w:val="es-ES" w:eastAsia="es-ES"/>
    </w:rPr>
  </w:style>
  <w:style w:type="paragraph" w:customStyle="1" w:styleId="xl157">
    <w:name w:val="xl157"/>
    <w:basedOn w:val="Normal"/>
    <w:rsid w:val="00692DC8"/>
    <w:pPr>
      <w:pBdr>
        <w:top w:val="single" w:sz="8" w:space="0" w:color="auto"/>
        <w:bottom w:val="single" w:sz="8" w:space="0" w:color="auto"/>
        <w:right w:val="single" w:sz="8" w:space="0" w:color="auto"/>
      </w:pBdr>
      <w:shd w:val="clear" w:color="000000" w:fill="95B3D7"/>
      <w:spacing w:before="100" w:beforeAutospacing="1" w:after="100" w:afterAutospacing="1" w:line="240" w:lineRule="auto"/>
      <w:jc w:val="center"/>
      <w:outlineLvl w:val="0"/>
    </w:pPr>
    <w:rPr>
      <w:rFonts w:ascii="Arial" w:eastAsia="Times New Roman" w:hAnsi="Arial" w:cs="Arial"/>
      <w:b/>
      <w:bCs/>
      <w:color w:val="000000"/>
      <w:sz w:val="20"/>
      <w:szCs w:val="20"/>
      <w:lang w:val="es-ES" w:eastAsia="es-ES"/>
    </w:rPr>
  </w:style>
  <w:style w:type="paragraph" w:customStyle="1" w:styleId="xl158">
    <w:name w:val="xl158"/>
    <w:basedOn w:val="Normal"/>
    <w:rsid w:val="00692DC8"/>
    <w:pPr>
      <w:shd w:val="clear" w:color="000000" w:fill="FFFFFF"/>
      <w:spacing w:before="100" w:beforeAutospacing="1" w:after="100" w:afterAutospacing="1" w:line="240" w:lineRule="auto"/>
      <w:jc w:val="center"/>
      <w:outlineLvl w:val="0"/>
    </w:pPr>
    <w:rPr>
      <w:rFonts w:ascii="Arial" w:eastAsia="Times New Roman" w:hAnsi="Arial" w:cs="Arial"/>
      <w:b/>
      <w:bCs/>
      <w:color w:val="000000"/>
      <w:sz w:val="32"/>
      <w:szCs w:val="32"/>
      <w:lang w:val="es-ES" w:eastAsia="es-ES"/>
    </w:rPr>
  </w:style>
  <w:style w:type="paragraph" w:customStyle="1" w:styleId="xl159">
    <w:name w:val="xl159"/>
    <w:basedOn w:val="Normal"/>
    <w:rsid w:val="00692DC8"/>
    <w:pPr>
      <w:pBdr>
        <w:left w:val="single" w:sz="4" w:space="0" w:color="auto"/>
        <w:bottom w:val="single" w:sz="4" w:space="0" w:color="auto"/>
        <w:right w:val="single" w:sz="8" w:space="0" w:color="auto"/>
      </w:pBdr>
      <w:shd w:val="clear" w:color="000000" w:fill="F2F2F2"/>
      <w:spacing w:before="100" w:beforeAutospacing="1" w:after="100" w:afterAutospacing="1" w:line="240" w:lineRule="auto"/>
      <w:outlineLvl w:val="0"/>
    </w:pPr>
    <w:rPr>
      <w:rFonts w:ascii="Arial" w:eastAsia="Times New Roman" w:hAnsi="Arial" w:cs="Arial"/>
      <w:sz w:val="16"/>
      <w:szCs w:val="16"/>
      <w:lang w:val="es-ES" w:eastAsia="es-ES"/>
    </w:rPr>
  </w:style>
  <w:style w:type="paragraph" w:customStyle="1" w:styleId="xl160">
    <w:name w:val="xl160"/>
    <w:basedOn w:val="Normal"/>
    <w:rsid w:val="00692DC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outlineLvl w:val="0"/>
    </w:pPr>
    <w:rPr>
      <w:rFonts w:ascii="Arial" w:eastAsia="Times New Roman" w:hAnsi="Arial" w:cs="Arial"/>
      <w:color w:val="000000"/>
      <w:sz w:val="16"/>
      <w:szCs w:val="16"/>
      <w:lang w:val="es-ES" w:eastAsia="es-ES"/>
    </w:rPr>
  </w:style>
  <w:style w:type="paragraph" w:customStyle="1" w:styleId="xl161">
    <w:name w:val="xl161"/>
    <w:basedOn w:val="Normal"/>
    <w:rsid w:val="00692DC8"/>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line="240" w:lineRule="auto"/>
      <w:outlineLvl w:val="0"/>
    </w:pPr>
    <w:rPr>
      <w:rFonts w:ascii="Arial" w:eastAsia="Times New Roman" w:hAnsi="Arial" w:cs="Arial"/>
      <w:sz w:val="16"/>
      <w:szCs w:val="16"/>
      <w:lang w:val="es-ES" w:eastAsia="es-ES"/>
    </w:rPr>
  </w:style>
  <w:style w:type="paragraph" w:customStyle="1" w:styleId="xl162">
    <w:name w:val="xl162"/>
    <w:basedOn w:val="Normal"/>
    <w:rsid w:val="00692DC8"/>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outlineLvl w:val="0"/>
    </w:pPr>
    <w:rPr>
      <w:rFonts w:ascii="Arial" w:eastAsia="Times New Roman" w:hAnsi="Arial" w:cs="Arial"/>
      <w:sz w:val="16"/>
      <w:szCs w:val="16"/>
      <w:lang w:val="es-ES" w:eastAsia="es-ES"/>
    </w:rPr>
  </w:style>
  <w:style w:type="paragraph" w:customStyle="1" w:styleId="xl163">
    <w:name w:val="xl163"/>
    <w:basedOn w:val="Normal"/>
    <w:rsid w:val="00692DC8"/>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jc w:val="center"/>
      <w:outlineLvl w:val="0"/>
    </w:pPr>
    <w:rPr>
      <w:rFonts w:ascii="Arial" w:eastAsia="Times New Roman" w:hAnsi="Arial" w:cs="Arial"/>
      <w:color w:val="000000"/>
      <w:sz w:val="16"/>
      <w:szCs w:val="16"/>
      <w:lang w:val="es-ES" w:eastAsia="es-ES"/>
    </w:rPr>
  </w:style>
  <w:style w:type="paragraph" w:customStyle="1" w:styleId="xl164">
    <w:name w:val="xl164"/>
    <w:basedOn w:val="Normal"/>
    <w:rsid w:val="00692DC8"/>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jc w:val="center"/>
      <w:outlineLvl w:val="0"/>
    </w:pPr>
    <w:rPr>
      <w:rFonts w:ascii="Arial" w:eastAsia="Times New Roman" w:hAnsi="Arial" w:cs="Arial"/>
      <w:sz w:val="16"/>
      <w:szCs w:val="16"/>
      <w:lang w:val="es-ES" w:eastAsia="es-ES"/>
    </w:rPr>
  </w:style>
  <w:style w:type="paragraph" w:customStyle="1" w:styleId="xl165">
    <w:name w:val="xl165"/>
    <w:basedOn w:val="Normal"/>
    <w:rsid w:val="00692DC8"/>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jc w:val="center"/>
      <w:outlineLvl w:val="0"/>
    </w:pPr>
    <w:rPr>
      <w:rFonts w:ascii="Arial" w:eastAsia="Times New Roman" w:hAnsi="Arial" w:cs="Arial"/>
      <w:sz w:val="16"/>
      <w:szCs w:val="16"/>
      <w:lang w:val="es-ES" w:eastAsia="es-ES"/>
    </w:rPr>
  </w:style>
  <w:style w:type="paragraph" w:customStyle="1" w:styleId="xl166">
    <w:name w:val="xl166"/>
    <w:basedOn w:val="Normal"/>
    <w:rsid w:val="00692DC8"/>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jc w:val="right"/>
      <w:outlineLvl w:val="0"/>
    </w:pPr>
    <w:rPr>
      <w:rFonts w:ascii="Arial" w:eastAsia="Times New Roman" w:hAnsi="Arial" w:cs="Arial"/>
      <w:color w:val="000000"/>
      <w:sz w:val="16"/>
      <w:szCs w:val="16"/>
      <w:lang w:val="es-ES" w:eastAsia="es-ES"/>
    </w:rPr>
  </w:style>
  <w:style w:type="paragraph" w:customStyle="1" w:styleId="xl167">
    <w:name w:val="xl167"/>
    <w:basedOn w:val="Normal"/>
    <w:rsid w:val="00692DC8"/>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line="240" w:lineRule="auto"/>
      <w:outlineLvl w:val="0"/>
    </w:pPr>
    <w:rPr>
      <w:rFonts w:ascii="Arial" w:eastAsia="Times New Roman" w:hAnsi="Arial" w:cs="Arial"/>
      <w:sz w:val="16"/>
      <w:szCs w:val="16"/>
      <w:lang w:val="es-ES" w:eastAsia="es-ES"/>
    </w:rPr>
  </w:style>
  <w:style w:type="paragraph" w:customStyle="1" w:styleId="xl168">
    <w:name w:val="xl168"/>
    <w:basedOn w:val="Normal"/>
    <w:rsid w:val="00692DC8"/>
    <w:pPr>
      <w:shd w:val="clear" w:color="000000" w:fill="FFFFFF"/>
      <w:spacing w:before="100" w:beforeAutospacing="1" w:after="100" w:afterAutospacing="1" w:line="240" w:lineRule="auto"/>
      <w:jc w:val="center"/>
      <w:textAlignment w:val="center"/>
      <w:outlineLvl w:val="0"/>
    </w:pPr>
    <w:rPr>
      <w:rFonts w:ascii="Arial" w:eastAsia="Times New Roman" w:hAnsi="Arial" w:cs="Arial"/>
      <w:b/>
      <w:bCs/>
      <w:sz w:val="16"/>
      <w:szCs w:val="16"/>
      <w:lang w:val="es-ES" w:eastAsia="es-ES"/>
    </w:rPr>
  </w:style>
  <w:style w:type="paragraph" w:customStyle="1" w:styleId="xl169">
    <w:name w:val="xl169"/>
    <w:basedOn w:val="Normal"/>
    <w:rsid w:val="00692DC8"/>
    <w:pPr>
      <w:shd w:val="clear" w:color="000000" w:fill="FFFFFF"/>
      <w:spacing w:before="100" w:beforeAutospacing="1" w:after="100" w:afterAutospacing="1" w:line="240" w:lineRule="auto"/>
      <w:jc w:val="right"/>
      <w:textAlignment w:val="center"/>
      <w:outlineLvl w:val="0"/>
    </w:pPr>
    <w:rPr>
      <w:rFonts w:ascii="Arial" w:eastAsia="Times New Roman" w:hAnsi="Arial" w:cs="Arial"/>
      <w:b/>
      <w:bCs/>
      <w:sz w:val="16"/>
      <w:szCs w:val="16"/>
      <w:lang w:val="es-ES" w:eastAsia="es-ES"/>
    </w:rPr>
  </w:style>
  <w:style w:type="paragraph" w:customStyle="1" w:styleId="xl170">
    <w:name w:val="xl170"/>
    <w:basedOn w:val="Normal"/>
    <w:rsid w:val="00692DC8"/>
    <w:pPr>
      <w:pBdr>
        <w:top w:val="single" w:sz="8" w:space="0" w:color="auto"/>
        <w:left w:val="single" w:sz="8" w:space="0" w:color="auto"/>
        <w:bottom w:val="single" w:sz="4" w:space="0" w:color="auto"/>
        <w:right w:val="single" w:sz="4" w:space="0" w:color="auto"/>
      </w:pBdr>
      <w:spacing w:before="100" w:beforeAutospacing="1" w:after="100" w:afterAutospacing="1" w:line="240" w:lineRule="auto"/>
      <w:outlineLvl w:val="0"/>
    </w:pPr>
    <w:rPr>
      <w:rFonts w:ascii="Arial" w:eastAsia="Times New Roman" w:hAnsi="Arial" w:cs="Arial"/>
      <w:sz w:val="16"/>
      <w:szCs w:val="16"/>
      <w:lang w:val="es-ES" w:eastAsia="es-ES"/>
    </w:rPr>
  </w:style>
  <w:style w:type="paragraph" w:customStyle="1" w:styleId="xl171">
    <w:name w:val="xl171"/>
    <w:basedOn w:val="Normal"/>
    <w:rsid w:val="00692DC8"/>
    <w:pPr>
      <w:pBdr>
        <w:top w:val="single" w:sz="8" w:space="0" w:color="auto"/>
        <w:left w:val="single" w:sz="4" w:space="0" w:color="auto"/>
        <w:bottom w:val="single" w:sz="4" w:space="0" w:color="auto"/>
        <w:right w:val="single" w:sz="4" w:space="0" w:color="auto"/>
      </w:pBdr>
      <w:spacing w:before="100" w:beforeAutospacing="1" w:after="100" w:afterAutospacing="1" w:line="240" w:lineRule="auto"/>
      <w:outlineLvl w:val="0"/>
    </w:pPr>
    <w:rPr>
      <w:rFonts w:ascii="Arial" w:eastAsia="Times New Roman" w:hAnsi="Arial" w:cs="Arial"/>
      <w:sz w:val="16"/>
      <w:szCs w:val="16"/>
      <w:lang w:val="es-ES" w:eastAsia="es-ES"/>
    </w:rPr>
  </w:style>
  <w:style w:type="paragraph" w:customStyle="1" w:styleId="xl172">
    <w:name w:val="xl172"/>
    <w:basedOn w:val="Normal"/>
    <w:rsid w:val="00692DC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outlineLvl w:val="0"/>
    </w:pPr>
    <w:rPr>
      <w:rFonts w:ascii="Arial" w:eastAsia="Times New Roman" w:hAnsi="Arial" w:cs="Arial"/>
      <w:color w:val="000000"/>
      <w:sz w:val="16"/>
      <w:szCs w:val="16"/>
      <w:lang w:val="es-ES" w:eastAsia="es-ES"/>
    </w:rPr>
  </w:style>
  <w:style w:type="paragraph" w:customStyle="1" w:styleId="xl173">
    <w:name w:val="xl173"/>
    <w:basedOn w:val="Normal"/>
    <w:rsid w:val="00692DC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outlineLvl w:val="0"/>
    </w:pPr>
    <w:rPr>
      <w:rFonts w:ascii="Arial" w:eastAsia="Times New Roman" w:hAnsi="Arial" w:cs="Arial"/>
      <w:sz w:val="16"/>
      <w:szCs w:val="16"/>
      <w:lang w:val="es-ES" w:eastAsia="es-ES"/>
    </w:rPr>
  </w:style>
  <w:style w:type="paragraph" w:customStyle="1" w:styleId="xl174">
    <w:name w:val="xl174"/>
    <w:basedOn w:val="Normal"/>
    <w:rsid w:val="00692DC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outlineLvl w:val="0"/>
    </w:pPr>
    <w:rPr>
      <w:rFonts w:ascii="Arial" w:eastAsia="Times New Roman" w:hAnsi="Arial" w:cs="Arial"/>
      <w:color w:val="000000"/>
      <w:sz w:val="16"/>
      <w:szCs w:val="16"/>
      <w:lang w:val="es-ES" w:eastAsia="es-ES"/>
    </w:rPr>
  </w:style>
  <w:style w:type="paragraph" w:customStyle="1" w:styleId="xl175">
    <w:name w:val="xl175"/>
    <w:basedOn w:val="Normal"/>
    <w:rsid w:val="00692DC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outlineLvl w:val="0"/>
    </w:pPr>
    <w:rPr>
      <w:rFonts w:ascii="Arial" w:eastAsia="Times New Roman" w:hAnsi="Arial" w:cs="Arial"/>
      <w:sz w:val="16"/>
      <w:szCs w:val="16"/>
      <w:lang w:val="es-ES" w:eastAsia="es-ES"/>
    </w:rPr>
  </w:style>
  <w:style w:type="paragraph" w:customStyle="1" w:styleId="xl176">
    <w:name w:val="xl176"/>
    <w:basedOn w:val="Normal"/>
    <w:rsid w:val="00692DC8"/>
    <w:pPr>
      <w:pBdr>
        <w:top w:val="single" w:sz="8" w:space="0" w:color="auto"/>
        <w:left w:val="single" w:sz="4" w:space="0" w:color="auto"/>
        <w:bottom w:val="single" w:sz="4" w:space="0" w:color="auto"/>
        <w:right w:val="single" w:sz="8" w:space="0" w:color="auto"/>
      </w:pBdr>
      <w:spacing w:before="100" w:beforeAutospacing="1" w:after="100" w:afterAutospacing="1" w:line="240" w:lineRule="auto"/>
      <w:outlineLvl w:val="0"/>
    </w:pPr>
    <w:rPr>
      <w:rFonts w:ascii="Arial" w:eastAsia="Times New Roman" w:hAnsi="Arial" w:cs="Arial"/>
      <w:sz w:val="16"/>
      <w:szCs w:val="16"/>
      <w:lang w:val="es-ES" w:eastAsia="es-ES"/>
    </w:rPr>
  </w:style>
  <w:style w:type="paragraph" w:customStyle="1" w:styleId="xl177">
    <w:name w:val="xl177"/>
    <w:basedOn w:val="Normal"/>
    <w:rsid w:val="00692DC8"/>
    <w:pPr>
      <w:pBdr>
        <w:top w:val="single" w:sz="4" w:space="0" w:color="auto"/>
        <w:left w:val="single" w:sz="8" w:space="0" w:color="auto"/>
        <w:bottom w:val="single" w:sz="4" w:space="0" w:color="auto"/>
        <w:right w:val="single" w:sz="4" w:space="0" w:color="auto"/>
      </w:pBdr>
      <w:spacing w:before="100" w:beforeAutospacing="1" w:after="100" w:afterAutospacing="1" w:line="240" w:lineRule="auto"/>
      <w:outlineLvl w:val="0"/>
    </w:pPr>
    <w:rPr>
      <w:rFonts w:ascii="Arial" w:eastAsia="Times New Roman" w:hAnsi="Arial" w:cs="Arial"/>
      <w:sz w:val="16"/>
      <w:szCs w:val="16"/>
      <w:lang w:val="es-ES" w:eastAsia="es-ES"/>
    </w:rPr>
  </w:style>
  <w:style w:type="paragraph" w:customStyle="1" w:styleId="xl178">
    <w:name w:val="xl178"/>
    <w:basedOn w:val="Normal"/>
    <w:rsid w:val="00692D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outlineLvl w:val="0"/>
    </w:pPr>
    <w:rPr>
      <w:rFonts w:ascii="Arial" w:eastAsia="Times New Roman" w:hAnsi="Arial" w:cs="Arial"/>
      <w:sz w:val="16"/>
      <w:szCs w:val="16"/>
      <w:lang w:val="es-ES" w:eastAsia="es-ES"/>
    </w:rPr>
  </w:style>
  <w:style w:type="paragraph" w:customStyle="1" w:styleId="xl179">
    <w:name w:val="xl179"/>
    <w:basedOn w:val="Normal"/>
    <w:rsid w:val="00692D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outlineLvl w:val="0"/>
    </w:pPr>
    <w:rPr>
      <w:rFonts w:ascii="Arial" w:eastAsia="Times New Roman" w:hAnsi="Arial" w:cs="Arial"/>
      <w:color w:val="000000"/>
      <w:sz w:val="16"/>
      <w:szCs w:val="16"/>
      <w:lang w:val="es-ES" w:eastAsia="es-ES"/>
    </w:rPr>
  </w:style>
  <w:style w:type="paragraph" w:customStyle="1" w:styleId="xl180">
    <w:name w:val="xl180"/>
    <w:basedOn w:val="Normal"/>
    <w:rsid w:val="00692DC8"/>
    <w:pPr>
      <w:pBdr>
        <w:top w:val="single" w:sz="4" w:space="0" w:color="auto"/>
        <w:left w:val="single" w:sz="4" w:space="0" w:color="auto"/>
        <w:bottom w:val="single" w:sz="4" w:space="0" w:color="auto"/>
        <w:right w:val="single" w:sz="4" w:space="0" w:color="auto"/>
      </w:pBdr>
      <w:spacing w:before="100" w:beforeAutospacing="1" w:after="100" w:afterAutospacing="1" w:line="240" w:lineRule="auto"/>
      <w:outlineLvl w:val="0"/>
    </w:pPr>
    <w:rPr>
      <w:rFonts w:ascii="Arial" w:eastAsia="Times New Roman" w:hAnsi="Arial" w:cs="Arial"/>
      <w:sz w:val="16"/>
      <w:szCs w:val="16"/>
      <w:lang w:val="es-ES" w:eastAsia="es-ES"/>
    </w:rPr>
  </w:style>
  <w:style w:type="paragraph" w:customStyle="1" w:styleId="xl181">
    <w:name w:val="xl181"/>
    <w:basedOn w:val="Normal"/>
    <w:rsid w:val="00692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outlineLvl w:val="0"/>
    </w:pPr>
    <w:rPr>
      <w:rFonts w:ascii="Arial" w:eastAsia="Times New Roman" w:hAnsi="Arial" w:cs="Arial"/>
      <w:b/>
      <w:bCs/>
      <w:sz w:val="16"/>
      <w:szCs w:val="16"/>
      <w:lang w:val="es-ES" w:eastAsia="es-ES"/>
    </w:rPr>
  </w:style>
  <w:style w:type="paragraph" w:customStyle="1" w:styleId="xl182">
    <w:name w:val="xl182"/>
    <w:basedOn w:val="Normal"/>
    <w:rsid w:val="00692DC8"/>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outlineLvl w:val="0"/>
    </w:pPr>
    <w:rPr>
      <w:rFonts w:ascii="Arial" w:eastAsia="Times New Roman" w:hAnsi="Arial" w:cs="Arial"/>
      <w:b/>
      <w:bCs/>
      <w:sz w:val="16"/>
      <w:szCs w:val="16"/>
      <w:lang w:val="es-ES" w:eastAsia="es-ES"/>
    </w:rPr>
  </w:style>
  <w:style w:type="paragraph" w:customStyle="1" w:styleId="xl183">
    <w:name w:val="xl183"/>
    <w:basedOn w:val="Normal"/>
    <w:rsid w:val="00692DC8"/>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right"/>
      <w:textAlignment w:val="center"/>
      <w:outlineLvl w:val="0"/>
    </w:pPr>
    <w:rPr>
      <w:rFonts w:ascii="Arial" w:eastAsia="Times New Roman" w:hAnsi="Arial" w:cs="Arial"/>
      <w:b/>
      <w:bCs/>
      <w:sz w:val="16"/>
      <w:szCs w:val="16"/>
      <w:lang w:val="es-ES" w:eastAsia="es-ES"/>
    </w:rPr>
  </w:style>
  <w:style w:type="paragraph" w:customStyle="1" w:styleId="msonormal0">
    <w:name w:val="msonormal"/>
    <w:basedOn w:val="Normal"/>
    <w:rsid w:val="00692DC8"/>
    <w:pPr>
      <w:spacing w:before="100" w:beforeAutospacing="1" w:after="100" w:afterAutospacing="1" w:line="240" w:lineRule="auto"/>
      <w:outlineLvl w:val="0"/>
    </w:pPr>
    <w:rPr>
      <w:rFonts w:ascii="Times New Roman" w:eastAsia="Times New Roman" w:hAnsi="Times New Roman" w:cs="Times New Roman"/>
      <w:szCs w:val="24"/>
      <w:lang w:eastAsia="es-CR"/>
    </w:rPr>
  </w:style>
  <w:style w:type="paragraph" w:customStyle="1" w:styleId="font5">
    <w:name w:val="font5"/>
    <w:basedOn w:val="Normal"/>
    <w:rsid w:val="00692DC8"/>
    <w:pPr>
      <w:spacing w:before="100" w:beforeAutospacing="1" w:after="100" w:afterAutospacing="1" w:line="240" w:lineRule="auto"/>
      <w:outlineLvl w:val="0"/>
    </w:pPr>
    <w:rPr>
      <w:rFonts w:eastAsia="Times New Roman" w:cs="Times New Roman"/>
      <w:b/>
      <w:bCs/>
      <w:color w:val="000000"/>
      <w:sz w:val="28"/>
      <w:szCs w:val="28"/>
      <w:u w:val="single"/>
      <w:lang w:eastAsia="es-CR"/>
    </w:rPr>
  </w:style>
  <w:style w:type="paragraph" w:customStyle="1" w:styleId="font6">
    <w:name w:val="font6"/>
    <w:basedOn w:val="Normal"/>
    <w:rsid w:val="00692DC8"/>
    <w:pPr>
      <w:spacing w:before="100" w:beforeAutospacing="1" w:after="100" w:afterAutospacing="1" w:line="240" w:lineRule="auto"/>
      <w:outlineLvl w:val="0"/>
    </w:pPr>
    <w:rPr>
      <w:rFonts w:eastAsia="Times New Roman" w:cs="Times New Roman"/>
      <w:color w:val="000000"/>
      <w:sz w:val="28"/>
      <w:szCs w:val="28"/>
      <w:lang w:eastAsia="es-CR"/>
    </w:rPr>
  </w:style>
  <w:style w:type="paragraph" w:customStyle="1" w:styleId="font7">
    <w:name w:val="font7"/>
    <w:basedOn w:val="Normal"/>
    <w:rsid w:val="00692DC8"/>
    <w:pPr>
      <w:spacing w:before="100" w:beforeAutospacing="1" w:after="100" w:afterAutospacing="1" w:line="240" w:lineRule="auto"/>
      <w:outlineLvl w:val="0"/>
    </w:pPr>
    <w:rPr>
      <w:rFonts w:ascii="Tahoma" w:eastAsia="Times New Roman" w:hAnsi="Tahoma" w:cs="Tahoma"/>
      <w:b/>
      <w:bCs/>
      <w:color w:val="000000"/>
      <w:sz w:val="18"/>
      <w:szCs w:val="18"/>
      <w:lang w:eastAsia="es-CR"/>
    </w:rPr>
  </w:style>
  <w:style w:type="paragraph" w:customStyle="1" w:styleId="font8">
    <w:name w:val="font8"/>
    <w:basedOn w:val="Normal"/>
    <w:rsid w:val="00692DC8"/>
    <w:pPr>
      <w:spacing w:before="100" w:beforeAutospacing="1" w:after="100" w:afterAutospacing="1" w:line="240" w:lineRule="auto"/>
      <w:outlineLvl w:val="0"/>
    </w:pPr>
    <w:rPr>
      <w:rFonts w:ascii="Tahoma" w:eastAsia="Times New Roman" w:hAnsi="Tahoma" w:cs="Tahoma"/>
      <w:color w:val="000000"/>
      <w:sz w:val="18"/>
      <w:szCs w:val="18"/>
      <w:lang w:eastAsia="es-CR"/>
    </w:rPr>
  </w:style>
  <w:style w:type="paragraph" w:customStyle="1" w:styleId="font9">
    <w:name w:val="font9"/>
    <w:basedOn w:val="Normal"/>
    <w:rsid w:val="00692DC8"/>
    <w:pPr>
      <w:spacing w:before="100" w:beforeAutospacing="1" w:after="100" w:afterAutospacing="1" w:line="240" w:lineRule="auto"/>
      <w:outlineLvl w:val="0"/>
    </w:pPr>
    <w:rPr>
      <w:rFonts w:eastAsia="Times New Roman" w:cs="Times New Roman"/>
      <w:color w:val="000000"/>
      <w:sz w:val="28"/>
      <w:szCs w:val="28"/>
      <w:lang w:eastAsia="es-CR"/>
    </w:rPr>
  </w:style>
  <w:style w:type="paragraph" w:customStyle="1" w:styleId="xl184">
    <w:name w:val="xl184"/>
    <w:basedOn w:val="Normal"/>
    <w:rsid w:val="00692D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outlineLvl w:val="0"/>
    </w:pPr>
    <w:rPr>
      <w:rFonts w:ascii="Times New Roman" w:eastAsia="Times New Roman" w:hAnsi="Times New Roman" w:cs="Times New Roman"/>
      <w:b/>
      <w:bCs/>
      <w:szCs w:val="24"/>
      <w:lang w:eastAsia="es-CR"/>
    </w:rPr>
  </w:style>
  <w:style w:type="paragraph" w:customStyle="1" w:styleId="xl185">
    <w:name w:val="xl185"/>
    <w:basedOn w:val="Normal"/>
    <w:rsid w:val="00692DC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outlineLvl w:val="0"/>
    </w:pPr>
    <w:rPr>
      <w:rFonts w:ascii="Times New Roman" w:eastAsia="Times New Roman" w:hAnsi="Times New Roman" w:cs="Times New Roman"/>
      <w:szCs w:val="24"/>
      <w:lang w:eastAsia="es-CR"/>
    </w:rPr>
  </w:style>
  <w:style w:type="paragraph" w:customStyle="1" w:styleId="xl186">
    <w:name w:val="xl186"/>
    <w:basedOn w:val="Normal"/>
    <w:rsid w:val="00692DC8"/>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187">
    <w:name w:val="xl187"/>
    <w:basedOn w:val="Normal"/>
    <w:rsid w:val="00692DC8"/>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188">
    <w:name w:val="xl188"/>
    <w:basedOn w:val="Normal"/>
    <w:rsid w:val="00692DC8"/>
    <w:pPr>
      <w:pBdr>
        <w:left w:val="single" w:sz="8" w:space="0" w:color="auto"/>
        <w:bottom w:val="single" w:sz="4" w:space="0" w:color="auto"/>
      </w:pBdr>
      <w:shd w:val="clear" w:color="000000" w:fill="DAEEF3"/>
      <w:spacing w:before="100" w:beforeAutospacing="1" w:after="100" w:afterAutospacing="1" w:line="240" w:lineRule="auto"/>
      <w:textAlignment w:val="center"/>
      <w:outlineLvl w:val="0"/>
    </w:pPr>
    <w:rPr>
      <w:rFonts w:ascii="Times New Roman" w:eastAsia="Times New Roman" w:hAnsi="Times New Roman" w:cs="Times New Roman"/>
      <w:szCs w:val="24"/>
      <w:lang w:eastAsia="es-CR"/>
    </w:rPr>
  </w:style>
  <w:style w:type="paragraph" w:customStyle="1" w:styleId="xl189">
    <w:name w:val="xl189"/>
    <w:basedOn w:val="Normal"/>
    <w:rsid w:val="00692DC8"/>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190">
    <w:name w:val="xl190"/>
    <w:basedOn w:val="Normal"/>
    <w:rsid w:val="00692DC8"/>
    <w:pPr>
      <w:shd w:val="clear" w:color="000000" w:fill="FCD5B4"/>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191">
    <w:name w:val="xl191"/>
    <w:basedOn w:val="Normal"/>
    <w:rsid w:val="00692DC8"/>
    <w:pPr>
      <w:shd w:val="clear" w:color="000000" w:fill="DAEEF3"/>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192">
    <w:name w:val="xl192"/>
    <w:basedOn w:val="Normal"/>
    <w:rsid w:val="00692DC8"/>
    <w:pPr>
      <w:pBdr>
        <w:right w:val="single" w:sz="8" w:space="0" w:color="auto"/>
      </w:pBdr>
      <w:shd w:val="clear" w:color="000000" w:fill="BFBFBF"/>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193">
    <w:name w:val="xl193"/>
    <w:basedOn w:val="Normal"/>
    <w:rsid w:val="00692DC8"/>
    <w:pPr>
      <w:pBdr>
        <w:left w:val="single" w:sz="8" w:space="0" w:color="auto"/>
      </w:pBdr>
      <w:shd w:val="clear" w:color="000000" w:fill="FCD5B4"/>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194">
    <w:name w:val="xl194"/>
    <w:basedOn w:val="Normal"/>
    <w:rsid w:val="00692DC8"/>
    <w:pPr>
      <w:pBdr>
        <w:left w:val="single" w:sz="8" w:space="0" w:color="auto"/>
      </w:pBdr>
      <w:shd w:val="clear" w:color="000000" w:fill="BFBFBF"/>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195">
    <w:name w:val="xl195"/>
    <w:basedOn w:val="Normal"/>
    <w:rsid w:val="00692DC8"/>
    <w:pPr>
      <w:pBdr>
        <w:left w:val="single" w:sz="8" w:space="0" w:color="auto"/>
        <w:right w:val="single" w:sz="8" w:space="0" w:color="auto"/>
      </w:pBdr>
      <w:shd w:val="clear" w:color="000000" w:fill="FCD5B4"/>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196">
    <w:name w:val="xl196"/>
    <w:basedOn w:val="Normal"/>
    <w:rsid w:val="00692DC8"/>
    <w:pPr>
      <w:pBdr>
        <w:left w:val="single" w:sz="8" w:space="0" w:color="auto"/>
      </w:pBd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197">
    <w:name w:val="xl197"/>
    <w:basedOn w:val="Normal"/>
    <w:rsid w:val="00692DC8"/>
    <w:pP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198">
    <w:name w:val="xl198"/>
    <w:basedOn w:val="Normal"/>
    <w:rsid w:val="00692DC8"/>
    <w:pPr>
      <w:pBdr>
        <w:bottom w:val="single" w:sz="8" w:space="0" w:color="auto"/>
      </w:pBdr>
      <w:shd w:val="clear" w:color="000000" w:fill="FCD5B4"/>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199">
    <w:name w:val="xl199"/>
    <w:basedOn w:val="Normal"/>
    <w:rsid w:val="00692DC8"/>
    <w:pPr>
      <w:pBdr>
        <w:left w:val="single" w:sz="8" w:space="0" w:color="auto"/>
        <w:right w:val="single" w:sz="4" w:space="0" w:color="auto"/>
      </w:pBdr>
      <w:shd w:val="clear" w:color="000000" w:fill="BFBFBF"/>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00">
    <w:name w:val="xl200"/>
    <w:basedOn w:val="Normal"/>
    <w:rsid w:val="00692DC8"/>
    <w:pPr>
      <w:pBdr>
        <w:right w:val="single" w:sz="4" w:space="0" w:color="auto"/>
      </w:pBdr>
      <w:shd w:val="clear" w:color="000000" w:fill="BFBFBF"/>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01">
    <w:name w:val="xl201"/>
    <w:basedOn w:val="Normal"/>
    <w:rsid w:val="00692DC8"/>
    <w:pPr>
      <w:pBdr>
        <w:left w:val="single" w:sz="8" w:space="0" w:color="auto"/>
        <w:right w:val="single" w:sz="4" w:space="0" w:color="auto"/>
      </w:pBdr>
      <w:shd w:val="clear" w:color="000000" w:fill="FCD5B4"/>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02">
    <w:name w:val="xl202"/>
    <w:basedOn w:val="Normal"/>
    <w:rsid w:val="00692DC8"/>
    <w:pPr>
      <w:pBdr>
        <w:right w:val="single" w:sz="8" w:space="0" w:color="auto"/>
      </w:pBdr>
      <w:shd w:val="clear" w:color="000000" w:fill="FCD5B4"/>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03">
    <w:name w:val="xl203"/>
    <w:basedOn w:val="Normal"/>
    <w:rsid w:val="00692DC8"/>
    <w:pPr>
      <w:pBdr>
        <w:left w:val="single" w:sz="8" w:space="0" w:color="auto"/>
        <w:right w:val="single" w:sz="4" w:space="0" w:color="auto"/>
      </w:pBd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04">
    <w:name w:val="xl204"/>
    <w:basedOn w:val="Normal"/>
    <w:rsid w:val="00692DC8"/>
    <w:pP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05">
    <w:name w:val="xl205"/>
    <w:basedOn w:val="Normal"/>
    <w:rsid w:val="00692DC8"/>
    <w:pP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06">
    <w:name w:val="xl206"/>
    <w:basedOn w:val="Normal"/>
    <w:rsid w:val="00692DC8"/>
    <w:pPr>
      <w:pBdr>
        <w:bottom w:val="single" w:sz="8" w:space="0" w:color="auto"/>
      </w:pBd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07">
    <w:name w:val="xl207"/>
    <w:basedOn w:val="Normal"/>
    <w:rsid w:val="00692DC8"/>
    <w:pPr>
      <w:pBdr>
        <w:bottom w:val="single" w:sz="8" w:space="0" w:color="auto"/>
      </w:pBd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08">
    <w:name w:val="xl208"/>
    <w:basedOn w:val="Normal"/>
    <w:rsid w:val="00692DC8"/>
    <w:pPr>
      <w:pBdr>
        <w:bottom w:val="single" w:sz="8" w:space="0" w:color="auto"/>
      </w:pBd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09">
    <w:name w:val="xl209"/>
    <w:basedOn w:val="Normal"/>
    <w:rsid w:val="00692DC8"/>
    <w:pPr>
      <w:pBdr>
        <w:bottom w:val="single" w:sz="8" w:space="0" w:color="auto"/>
      </w:pBdr>
      <w:shd w:val="clear" w:color="000000" w:fill="DAEEF3"/>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10">
    <w:name w:val="xl210"/>
    <w:basedOn w:val="Normal"/>
    <w:rsid w:val="00692DC8"/>
    <w:pPr>
      <w:pBdr>
        <w:bottom w:val="single" w:sz="8" w:space="0" w:color="auto"/>
      </w:pBdr>
      <w:shd w:val="clear" w:color="000000" w:fill="BFBFBF"/>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11">
    <w:name w:val="xl211"/>
    <w:basedOn w:val="Normal"/>
    <w:rsid w:val="00692DC8"/>
    <w:pPr>
      <w:pBdr>
        <w:bottom w:val="single" w:sz="8" w:space="0" w:color="auto"/>
        <w:right w:val="single" w:sz="4" w:space="0" w:color="auto"/>
      </w:pBdr>
      <w:shd w:val="clear" w:color="000000" w:fill="BFBFBF"/>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12">
    <w:name w:val="xl212"/>
    <w:basedOn w:val="Normal"/>
    <w:rsid w:val="00692DC8"/>
    <w:pPr>
      <w:pBdr>
        <w:left w:val="single" w:sz="4" w:space="0" w:color="auto"/>
        <w:bottom w:val="single" w:sz="8" w:space="0" w:color="auto"/>
        <w:right w:val="single" w:sz="4" w:space="0" w:color="auto"/>
      </w:pBdr>
      <w:shd w:val="clear" w:color="000000" w:fill="BFBFBF"/>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13">
    <w:name w:val="xl213"/>
    <w:basedOn w:val="Normal"/>
    <w:rsid w:val="00692DC8"/>
    <w:pPr>
      <w:pBdr>
        <w:right w:val="single" w:sz="4" w:space="0" w:color="auto"/>
      </w:pBd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14">
    <w:name w:val="xl214"/>
    <w:basedOn w:val="Normal"/>
    <w:rsid w:val="00692DC8"/>
    <w:pPr>
      <w:pBdr>
        <w:left w:val="single" w:sz="4" w:space="0" w:color="auto"/>
        <w:right w:val="single" w:sz="4" w:space="0" w:color="auto"/>
      </w:pBdr>
      <w:shd w:val="clear" w:color="000000" w:fill="DAEEF3"/>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15">
    <w:name w:val="xl215"/>
    <w:basedOn w:val="Normal"/>
    <w:rsid w:val="00692DC8"/>
    <w:pPr>
      <w:pBdr>
        <w:left w:val="single" w:sz="4" w:space="0" w:color="auto"/>
        <w:right w:val="single" w:sz="4" w:space="0" w:color="auto"/>
      </w:pBdr>
      <w:shd w:val="clear" w:color="000000" w:fill="BFBFBF"/>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16">
    <w:name w:val="xl216"/>
    <w:basedOn w:val="Normal"/>
    <w:rsid w:val="00692DC8"/>
    <w:pPr>
      <w:pBdr>
        <w:right w:val="single" w:sz="4" w:space="0" w:color="auto"/>
      </w:pBdr>
      <w:shd w:val="clear" w:color="000000" w:fill="BFBFBF"/>
      <w:spacing w:before="100" w:beforeAutospacing="1" w:after="100" w:afterAutospacing="1" w:line="240" w:lineRule="auto"/>
      <w:jc w:val="center"/>
      <w:textAlignment w:val="center"/>
      <w:outlineLvl w:val="0"/>
    </w:pPr>
    <w:rPr>
      <w:rFonts w:ascii="Times New Roman" w:eastAsia="Times New Roman" w:hAnsi="Times New Roman" w:cs="Times New Roman"/>
      <w:sz w:val="28"/>
      <w:szCs w:val="28"/>
      <w:lang w:eastAsia="es-CR"/>
    </w:rPr>
  </w:style>
  <w:style w:type="paragraph" w:customStyle="1" w:styleId="xl217">
    <w:name w:val="xl217"/>
    <w:basedOn w:val="Normal"/>
    <w:rsid w:val="00692DC8"/>
    <w:pPr>
      <w:pBdr>
        <w:left w:val="single" w:sz="8" w:space="0" w:color="auto"/>
        <w:right w:val="single" w:sz="8" w:space="0" w:color="auto"/>
      </w:pBdr>
      <w:shd w:val="clear" w:color="000000" w:fill="DAEEF3"/>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18">
    <w:name w:val="xl218"/>
    <w:basedOn w:val="Normal"/>
    <w:rsid w:val="00692DC8"/>
    <w:pPr>
      <w:pBdr>
        <w:left w:val="single" w:sz="8" w:space="0" w:color="auto"/>
      </w:pBd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19">
    <w:name w:val="xl219"/>
    <w:basedOn w:val="Normal"/>
    <w:rsid w:val="00692DC8"/>
    <w:pP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20">
    <w:name w:val="xl220"/>
    <w:basedOn w:val="Normal"/>
    <w:rsid w:val="00692DC8"/>
    <w:pPr>
      <w:pBdr>
        <w:top w:val="single" w:sz="4" w:space="0" w:color="auto"/>
        <w:bottom w:val="single" w:sz="4" w:space="0" w:color="auto"/>
        <w:right w:val="single" w:sz="8" w:space="0" w:color="auto"/>
      </w:pBdr>
      <w:shd w:val="clear" w:color="000000" w:fill="BFBFBF"/>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21">
    <w:name w:val="xl221"/>
    <w:basedOn w:val="Normal"/>
    <w:rsid w:val="00692DC8"/>
    <w:pPr>
      <w:pBdr>
        <w:bottom w:val="single" w:sz="4" w:space="0" w:color="auto"/>
        <w:right w:val="single" w:sz="8" w:space="0" w:color="auto"/>
      </w:pBdr>
      <w:shd w:val="clear" w:color="000000" w:fill="BFBFBF"/>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22">
    <w:name w:val="xl222"/>
    <w:basedOn w:val="Normal"/>
    <w:rsid w:val="00692DC8"/>
    <w:pPr>
      <w:pBdr>
        <w:right w:val="single" w:sz="8" w:space="0" w:color="auto"/>
      </w:pBdr>
      <w:shd w:val="clear" w:color="000000" w:fill="BFBFBF"/>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23">
    <w:name w:val="xl223"/>
    <w:basedOn w:val="Normal"/>
    <w:rsid w:val="00692DC8"/>
    <w:pPr>
      <w:pBdr>
        <w:top w:val="single" w:sz="4" w:space="0" w:color="auto"/>
        <w:left w:val="single" w:sz="8" w:space="0" w:color="auto"/>
        <w:bottom w:val="single" w:sz="4" w:space="0" w:color="auto"/>
        <w:right w:val="single" w:sz="8" w:space="0" w:color="auto"/>
      </w:pBdr>
      <w:shd w:val="clear" w:color="000000" w:fill="FCD5B4"/>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24">
    <w:name w:val="xl224"/>
    <w:basedOn w:val="Normal"/>
    <w:rsid w:val="00692DC8"/>
    <w:pPr>
      <w:pBdr>
        <w:left w:val="single" w:sz="8" w:space="0" w:color="auto"/>
        <w:bottom w:val="single" w:sz="4" w:space="0" w:color="auto"/>
        <w:right w:val="single" w:sz="8" w:space="0" w:color="auto"/>
      </w:pBdr>
      <w:shd w:val="clear" w:color="000000" w:fill="FCD5B4"/>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25">
    <w:name w:val="xl225"/>
    <w:basedOn w:val="Normal"/>
    <w:rsid w:val="00692DC8"/>
    <w:pPr>
      <w:shd w:val="clear" w:color="000000" w:fill="FCD5B4"/>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26">
    <w:name w:val="xl226"/>
    <w:basedOn w:val="Normal"/>
    <w:rsid w:val="00692DC8"/>
    <w:pPr>
      <w:pBdr>
        <w:top w:val="single" w:sz="4" w:space="0" w:color="auto"/>
        <w:left w:val="single" w:sz="8" w:space="0" w:color="auto"/>
        <w:bottom w:val="single" w:sz="4" w:space="0" w:color="auto"/>
        <w:right w:val="single" w:sz="8" w:space="0" w:color="auto"/>
      </w:pBdr>
      <w:shd w:val="clear" w:color="000000" w:fill="FCD5B4"/>
      <w:spacing w:before="100" w:beforeAutospacing="1" w:after="100" w:afterAutospacing="1" w:line="240" w:lineRule="auto"/>
      <w:jc w:val="right"/>
      <w:textAlignment w:val="center"/>
      <w:outlineLvl w:val="0"/>
    </w:pPr>
    <w:rPr>
      <w:rFonts w:ascii="Times New Roman" w:eastAsia="Times New Roman" w:hAnsi="Times New Roman" w:cs="Times New Roman"/>
      <w:sz w:val="28"/>
      <w:szCs w:val="28"/>
      <w:lang w:eastAsia="es-CR"/>
    </w:rPr>
  </w:style>
  <w:style w:type="paragraph" w:customStyle="1" w:styleId="xl227">
    <w:name w:val="xl227"/>
    <w:basedOn w:val="Normal"/>
    <w:rsid w:val="00692DC8"/>
    <w:pPr>
      <w:shd w:val="clear" w:color="000000" w:fill="BFBFBF"/>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28">
    <w:name w:val="xl228"/>
    <w:basedOn w:val="Normal"/>
    <w:rsid w:val="00692DC8"/>
    <w:pPr>
      <w:pBdr>
        <w:left w:val="single" w:sz="8" w:space="0" w:color="auto"/>
      </w:pBdr>
      <w:shd w:val="clear" w:color="000000" w:fill="DAEEF3"/>
      <w:spacing w:before="100" w:beforeAutospacing="1" w:after="100" w:afterAutospacing="1" w:line="240" w:lineRule="auto"/>
      <w:textAlignment w:val="center"/>
      <w:outlineLvl w:val="0"/>
    </w:pPr>
    <w:rPr>
      <w:rFonts w:ascii="Times New Roman" w:eastAsia="Times New Roman" w:hAnsi="Times New Roman" w:cs="Times New Roman"/>
      <w:szCs w:val="24"/>
      <w:lang w:eastAsia="es-CR"/>
    </w:rPr>
  </w:style>
  <w:style w:type="paragraph" w:customStyle="1" w:styleId="xl229">
    <w:name w:val="xl229"/>
    <w:basedOn w:val="Normal"/>
    <w:rsid w:val="00692DC8"/>
    <w:pPr>
      <w:pBdr>
        <w:left w:val="single" w:sz="8" w:space="0" w:color="auto"/>
        <w:right w:val="single" w:sz="8" w:space="0" w:color="auto"/>
      </w:pBdr>
      <w:spacing w:before="100" w:beforeAutospacing="1" w:after="100" w:afterAutospacing="1" w:line="240" w:lineRule="auto"/>
      <w:textAlignment w:val="center"/>
      <w:outlineLvl w:val="0"/>
    </w:pPr>
    <w:rPr>
      <w:rFonts w:ascii="Times New Roman" w:eastAsia="Times New Roman" w:hAnsi="Times New Roman" w:cs="Times New Roman"/>
      <w:szCs w:val="24"/>
      <w:lang w:eastAsia="es-CR"/>
    </w:rPr>
  </w:style>
  <w:style w:type="paragraph" w:customStyle="1" w:styleId="xl230">
    <w:name w:val="xl230"/>
    <w:basedOn w:val="Normal"/>
    <w:rsid w:val="00692DC8"/>
    <w:pPr>
      <w:pBdr>
        <w:left w:val="single" w:sz="8" w:space="0" w:color="auto"/>
        <w:right w:val="single" w:sz="8" w:space="0" w:color="auto"/>
      </w:pBdr>
      <w:shd w:val="clear" w:color="000000" w:fill="FCD5B4"/>
      <w:spacing w:before="100" w:beforeAutospacing="1" w:after="100" w:afterAutospacing="1" w:line="240" w:lineRule="auto"/>
      <w:jc w:val="center"/>
      <w:textAlignment w:val="center"/>
      <w:outlineLvl w:val="0"/>
    </w:pPr>
    <w:rPr>
      <w:rFonts w:ascii="Times New Roman" w:eastAsia="Times New Roman" w:hAnsi="Times New Roman" w:cs="Times New Roman"/>
      <w:szCs w:val="24"/>
      <w:lang w:eastAsia="es-CR"/>
    </w:rPr>
  </w:style>
  <w:style w:type="paragraph" w:customStyle="1" w:styleId="xl231">
    <w:name w:val="xl231"/>
    <w:basedOn w:val="Normal"/>
    <w:rsid w:val="00692DC8"/>
    <w:pPr>
      <w:pBdr>
        <w:left w:val="single" w:sz="8" w:space="0" w:color="auto"/>
        <w:right w:val="single" w:sz="8" w:space="0" w:color="auto"/>
      </w:pBdr>
      <w:shd w:val="clear" w:color="000000" w:fill="BFBFBF"/>
      <w:spacing w:before="100" w:beforeAutospacing="1" w:after="100" w:afterAutospacing="1" w:line="240" w:lineRule="auto"/>
      <w:textAlignment w:val="center"/>
      <w:outlineLvl w:val="0"/>
    </w:pPr>
    <w:rPr>
      <w:rFonts w:ascii="Times New Roman" w:eastAsia="Times New Roman" w:hAnsi="Times New Roman" w:cs="Times New Roman"/>
      <w:szCs w:val="24"/>
      <w:lang w:eastAsia="es-CR"/>
    </w:rPr>
  </w:style>
  <w:style w:type="paragraph" w:customStyle="1" w:styleId="xl232">
    <w:name w:val="xl232"/>
    <w:basedOn w:val="Normal"/>
    <w:rsid w:val="00692DC8"/>
    <w:pPr>
      <w:pBdr>
        <w:top w:val="single" w:sz="4" w:space="0" w:color="auto"/>
        <w:left w:val="single" w:sz="4" w:space="0" w:color="auto"/>
        <w:bottom w:val="single" w:sz="4" w:space="0" w:color="auto"/>
        <w:right w:val="single" w:sz="4" w:space="0" w:color="auto"/>
      </w:pBdr>
      <w:spacing w:before="100" w:beforeAutospacing="1" w:after="100" w:afterAutospacing="1" w:line="240" w:lineRule="auto"/>
      <w:outlineLvl w:val="0"/>
    </w:pPr>
    <w:rPr>
      <w:rFonts w:ascii="Times New Roman" w:eastAsia="Times New Roman" w:hAnsi="Times New Roman" w:cs="Times New Roman"/>
      <w:szCs w:val="24"/>
      <w:lang w:eastAsia="es-CR"/>
    </w:rPr>
  </w:style>
  <w:style w:type="paragraph" w:customStyle="1" w:styleId="xl233">
    <w:name w:val="xl233"/>
    <w:basedOn w:val="Normal"/>
    <w:rsid w:val="00692DC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outlineLvl w:val="0"/>
    </w:pPr>
    <w:rPr>
      <w:rFonts w:ascii="Times New Roman" w:eastAsia="Times New Roman" w:hAnsi="Times New Roman" w:cs="Times New Roman"/>
      <w:szCs w:val="24"/>
      <w:lang w:eastAsia="es-CR"/>
    </w:rPr>
  </w:style>
  <w:style w:type="paragraph" w:customStyle="1" w:styleId="xl234">
    <w:name w:val="xl234"/>
    <w:basedOn w:val="Normal"/>
    <w:rsid w:val="00692DC8"/>
    <w:pPr>
      <w:pBdr>
        <w:top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outlineLvl w:val="0"/>
    </w:pPr>
    <w:rPr>
      <w:rFonts w:ascii="Times New Roman" w:eastAsia="Times New Roman" w:hAnsi="Times New Roman" w:cs="Times New Roman"/>
      <w:szCs w:val="24"/>
      <w:lang w:eastAsia="es-CR"/>
    </w:rPr>
  </w:style>
  <w:style w:type="paragraph" w:customStyle="1" w:styleId="xl235">
    <w:name w:val="xl235"/>
    <w:basedOn w:val="Normal"/>
    <w:rsid w:val="00692DC8"/>
    <w:pPr>
      <w:pBdr>
        <w:top w:val="single" w:sz="8" w:space="0" w:color="auto"/>
        <w:left w:val="single" w:sz="8" w:space="0" w:color="auto"/>
        <w:bottom w:val="single" w:sz="4" w:space="0" w:color="auto"/>
        <w:right w:val="single" w:sz="8" w:space="0" w:color="auto"/>
      </w:pBdr>
      <w:spacing w:before="100" w:beforeAutospacing="1" w:after="100" w:afterAutospacing="1" w:line="240" w:lineRule="auto"/>
      <w:outlineLvl w:val="0"/>
    </w:pPr>
    <w:rPr>
      <w:rFonts w:ascii="Times New Roman" w:eastAsia="Times New Roman" w:hAnsi="Times New Roman" w:cs="Times New Roman"/>
      <w:szCs w:val="24"/>
      <w:lang w:eastAsia="es-CR"/>
    </w:rPr>
  </w:style>
  <w:style w:type="paragraph" w:customStyle="1" w:styleId="xl236">
    <w:name w:val="xl236"/>
    <w:basedOn w:val="Normal"/>
    <w:rsid w:val="00692DC8"/>
    <w:pPr>
      <w:pBdr>
        <w:top w:val="single" w:sz="4" w:space="0" w:color="auto"/>
        <w:left w:val="single" w:sz="8" w:space="0" w:color="auto"/>
        <w:bottom w:val="single" w:sz="4" w:space="0" w:color="auto"/>
        <w:right w:val="single" w:sz="8" w:space="0" w:color="auto"/>
      </w:pBdr>
      <w:spacing w:before="100" w:beforeAutospacing="1" w:after="100" w:afterAutospacing="1" w:line="240" w:lineRule="auto"/>
      <w:outlineLvl w:val="0"/>
    </w:pPr>
    <w:rPr>
      <w:rFonts w:ascii="Times New Roman" w:eastAsia="Times New Roman" w:hAnsi="Times New Roman" w:cs="Times New Roman"/>
      <w:szCs w:val="24"/>
      <w:lang w:eastAsia="es-CR"/>
    </w:rPr>
  </w:style>
  <w:style w:type="paragraph" w:customStyle="1" w:styleId="xl237">
    <w:name w:val="xl237"/>
    <w:basedOn w:val="Normal"/>
    <w:rsid w:val="00692DC8"/>
    <w:pPr>
      <w:pBdr>
        <w:bottom w:val="single" w:sz="4" w:space="0" w:color="auto"/>
      </w:pBdr>
      <w:shd w:val="clear" w:color="000000" w:fill="DAEEF3"/>
      <w:spacing w:before="100" w:beforeAutospacing="1" w:after="100" w:afterAutospacing="1" w:line="240" w:lineRule="auto"/>
      <w:jc w:val="center"/>
      <w:textAlignment w:val="center"/>
      <w:outlineLvl w:val="0"/>
    </w:pPr>
    <w:rPr>
      <w:rFonts w:ascii="Times New Roman" w:eastAsia="Times New Roman" w:hAnsi="Times New Roman" w:cs="Times New Roman"/>
      <w:szCs w:val="24"/>
      <w:lang w:eastAsia="es-CR"/>
    </w:rPr>
  </w:style>
  <w:style w:type="paragraph" w:customStyle="1" w:styleId="xl238">
    <w:name w:val="xl238"/>
    <w:basedOn w:val="Normal"/>
    <w:rsid w:val="00692DC8"/>
    <w:pPr>
      <w:shd w:val="clear" w:color="000000" w:fill="DAEEF3"/>
      <w:spacing w:before="100" w:beforeAutospacing="1" w:after="100" w:afterAutospacing="1" w:line="240" w:lineRule="auto"/>
      <w:jc w:val="center"/>
      <w:textAlignment w:val="center"/>
      <w:outlineLvl w:val="0"/>
    </w:pPr>
    <w:rPr>
      <w:rFonts w:ascii="Times New Roman" w:eastAsia="Times New Roman" w:hAnsi="Times New Roman" w:cs="Times New Roman"/>
      <w:szCs w:val="24"/>
      <w:lang w:eastAsia="es-CR"/>
    </w:rPr>
  </w:style>
  <w:style w:type="paragraph" w:customStyle="1" w:styleId="xl239">
    <w:name w:val="xl239"/>
    <w:basedOn w:val="Normal"/>
    <w:rsid w:val="00692D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szCs w:val="24"/>
      <w:lang w:eastAsia="es-CR"/>
    </w:rPr>
  </w:style>
  <w:style w:type="paragraph" w:customStyle="1" w:styleId="xl240">
    <w:name w:val="xl240"/>
    <w:basedOn w:val="Normal"/>
    <w:rsid w:val="00692DC8"/>
    <w:pP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41">
    <w:name w:val="xl241"/>
    <w:basedOn w:val="Normal"/>
    <w:rsid w:val="00692DC8"/>
    <w:pPr>
      <w:pBdr>
        <w:top w:val="single" w:sz="4" w:space="0" w:color="auto"/>
        <w:left w:val="single" w:sz="8" w:space="0" w:color="auto"/>
        <w:right w:val="single" w:sz="8" w:space="0" w:color="auto"/>
      </w:pBdr>
      <w:spacing w:before="100" w:beforeAutospacing="1" w:after="100" w:afterAutospacing="1" w:line="240" w:lineRule="auto"/>
      <w:outlineLvl w:val="0"/>
    </w:pPr>
    <w:rPr>
      <w:rFonts w:ascii="Times New Roman" w:eastAsia="Times New Roman" w:hAnsi="Times New Roman" w:cs="Times New Roman"/>
      <w:szCs w:val="24"/>
      <w:lang w:eastAsia="es-CR"/>
    </w:rPr>
  </w:style>
  <w:style w:type="paragraph" w:customStyle="1" w:styleId="xl242">
    <w:name w:val="xl242"/>
    <w:basedOn w:val="Normal"/>
    <w:rsid w:val="00692DC8"/>
    <w:pPr>
      <w:pBdr>
        <w:top w:val="single" w:sz="4" w:space="0" w:color="auto"/>
        <w:right w:val="single" w:sz="4" w:space="0" w:color="auto"/>
      </w:pBdr>
      <w:shd w:val="clear" w:color="000000" w:fill="FCD5B4"/>
      <w:spacing w:before="100" w:beforeAutospacing="1" w:after="100" w:afterAutospacing="1" w:line="240" w:lineRule="auto"/>
      <w:jc w:val="center"/>
      <w:textAlignment w:val="center"/>
      <w:outlineLvl w:val="0"/>
    </w:pPr>
    <w:rPr>
      <w:rFonts w:ascii="Times New Roman" w:eastAsia="Times New Roman" w:hAnsi="Times New Roman" w:cs="Times New Roman"/>
      <w:szCs w:val="24"/>
      <w:lang w:eastAsia="es-CR"/>
    </w:rPr>
  </w:style>
  <w:style w:type="paragraph" w:customStyle="1" w:styleId="xl243">
    <w:name w:val="xl243"/>
    <w:basedOn w:val="Normal"/>
    <w:rsid w:val="00692DC8"/>
    <w:pPr>
      <w:pBdr>
        <w:top w:val="single" w:sz="4" w:space="0" w:color="auto"/>
        <w:left w:val="single" w:sz="4" w:space="0" w:color="auto"/>
        <w:right w:val="single" w:sz="4" w:space="0" w:color="auto"/>
      </w:pBdr>
      <w:spacing w:before="100" w:beforeAutospacing="1" w:after="100" w:afterAutospacing="1" w:line="240" w:lineRule="auto"/>
      <w:outlineLvl w:val="0"/>
    </w:pPr>
    <w:rPr>
      <w:rFonts w:ascii="Times New Roman" w:eastAsia="Times New Roman" w:hAnsi="Times New Roman" w:cs="Times New Roman"/>
      <w:szCs w:val="24"/>
      <w:lang w:eastAsia="es-CR"/>
    </w:rPr>
  </w:style>
  <w:style w:type="paragraph" w:customStyle="1" w:styleId="xl244">
    <w:name w:val="xl244"/>
    <w:basedOn w:val="Normal"/>
    <w:rsid w:val="00692DC8"/>
    <w:pPr>
      <w:pBdr>
        <w:top w:val="single" w:sz="4" w:space="0" w:color="auto"/>
        <w:left w:val="single" w:sz="4" w:space="0" w:color="auto"/>
        <w:right w:val="single" w:sz="4"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szCs w:val="24"/>
      <w:lang w:eastAsia="es-CR"/>
    </w:rPr>
  </w:style>
  <w:style w:type="paragraph" w:customStyle="1" w:styleId="xl245">
    <w:name w:val="xl245"/>
    <w:basedOn w:val="Normal"/>
    <w:rsid w:val="00692DC8"/>
    <w:pPr>
      <w:pBdr>
        <w:top w:val="single" w:sz="4" w:space="0" w:color="auto"/>
        <w:left w:val="single" w:sz="4" w:space="0" w:color="auto"/>
        <w:bottom w:val="single" w:sz="4" w:space="0" w:color="auto"/>
        <w:right w:val="single" w:sz="4" w:space="0" w:color="auto"/>
      </w:pBdr>
      <w:spacing w:before="100" w:beforeAutospacing="1" w:after="100" w:afterAutospacing="1" w:line="240" w:lineRule="auto"/>
      <w:outlineLvl w:val="0"/>
    </w:pPr>
    <w:rPr>
      <w:rFonts w:ascii="Arial" w:eastAsia="Times New Roman" w:hAnsi="Arial" w:cs="Arial"/>
      <w:color w:val="222222"/>
      <w:szCs w:val="24"/>
      <w:lang w:eastAsia="es-CR"/>
    </w:rPr>
  </w:style>
  <w:style w:type="paragraph" w:customStyle="1" w:styleId="xl246">
    <w:name w:val="xl246"/>
    <w:basedOn w:val="Normal"/>
    <w:rsid w:val="00692DC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outlineLvl w:val="0"/>
    </w:pPr>
    <w:rPr>
      <w:rFonts w:ascii="Times New Roman" w:eastAsia="Times New Roman" w:hAnsi="Times New Roman" w:cs="Times New Roman"/>
      <w:szCs w:val="24"/>
      <w:lang w:eastAsia="es-CR"/>
    </w:rPr>
  </w:style>
  <w:style w:type="paragraph" w:customStyle="1" w:styleId="xl247">
    <w:name w:val="xl247"/>
    <w:basedOn w:val="Normal"/>
    <w:rsid w:val="00692D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outlineLvl w:val="0"/>
    </w:pPr>
    <w:rPr>
      <w:rFonts w:ascii="Times New Roman" w:eastAsia="Times New Roman" w:hAnsi="Times New Roman" w:cs="Times New Roman"/>
      <w:szCs w:val="24"/>
      <w:lang w:eastAsia="es-CR"/>
    </w:rPr>
  </w:style>
  <w:style w:type="paragraph" w:customStyle="1" w:styleId="xl248">
    <w:name w:val="xl248"/>
    <w:basedOn w:val="Normal"/>
    <w:rsid w:val="00692D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center"/>
      <w:outlineLvl w:val="0"/>
    </w:pPr>
    <w:rPr>
      <w:rFonts w:ascii="Times New Roman" w:eastAsia="Times New Roman" w:hAnsi="Times New Roman" w:cs="Times New Roman"/>
      <w:szCs w:val="24"/>
      <w:lang w:eastAsia="es-CR"/>
    </w:rPr>
  </w:style>
  <w:style w:type="paragraph" w:customStyle="1" w:styleId="xl249">
    <w:name w:val="xl249"/>
    <w:basedOn w:val="Normal"/>
    <w:rsid w:val="00692DC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50">
    <w:name w:val="xl250"/>
    <w:basedOn w:val="Normal"/>
    <w:rsid w:val="00692DC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51">
    <w:name w:val="xl251"/>
    <w:basedOn w:val="Normal"/>
    <w:rsid w:val="00692D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52">
    <w:name w:val="xl252"/>
    <w:basedOn w:val="Normal"/>
    <w:rsid w:val="00692DC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53">
    <w:name w:val="xl253"/>
    <w:basedOn w:val="Normal"/>
    <w:rsid w:val="00692DC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54">
    <w:name w:val="xl254"/>
    <w:basedOn w:val="Normal"/>
    <w:rsid w:val="00692DC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55">
    <w:name w:val="xl255"/>
    <w:basedOn w:val="Normal"/>
    <w:rsid w:val="00692DC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56">
    <w:name w:val="xl256"/>
    <w:basedOn w:val="Normal"/>
    <w:rsid w:val="00692DC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57">
    <w:name w:val="xl257"/>
    <w:basedOn w:val="Normal"/>
    <w:rsid w:val="00692DC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outlineLvl w:val="0"/>
    </w:pPr>
    <w:rPr>
      <w:rFonts w:ascii="Times New Roman" w:eastAsia="Times New Roman" w:hAnsi="Times New Roman" w:cs="Times New Roman"/>
      <w:szCs w:val="24"/>
      <w:lang w:eastAsia="es-CR"/>
    </w:rPr>
  </w:style>
  <w:style w:type="paragraph" w:customStyle="1" w:styleId="xl258">
    <w:name w:val="xl258"/>
    <w:basedOn w:val="Normal"/>
    <w:rsid w:val="00692D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outlineLvl w:val="0"/>
    </w:pPr>
    <w:rPr>
      <w:rFonts w:ascii="Times New Roman" w:eastAsia="Times New Roman" w:hAnsi="Times New Roman" w:cs="Times New Roman"/>
      <w:sz w:val="28"/>
      <w:szCs w:val="28"/>
      <w:lang w:eastAsia="es-CR"/>
    </w:rPr>
  </w:style>
  <w:style w:type="paragraph" w:customStyle="1" w:styleId="xl259">
    <w:name w:val="xl259"/>
    <w:basedOn w:val="Normal"/>
    <w:rsid w:val="00692D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60">
    <w:name w:val="xl260"/>
    <w:basedOn w:val="Normal"/>
    <w:rsid w:val="00692DC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outlineLvl w:val="0"/>
    </w:pPr>
    <w:rPr>
      <w:rFonts w:ascii="Times New Roman" w:eastAsia="Times New Roman" w:hAnsi="Times New Roman" w:cs="Times New Roman"/>
      <w:szCs w:val="24"/>
      <w:lang w:eastAsia="es-CR"/>
    </w:rPr>
  </w:style>
  <w:style w:type="paragraph" w:customStyle="1" w:styleId="xl261">
    <w:name w:val="xl261"/>
    <w:basedOn w:val="Normal"/>
    <w:rsid w:val="00692DC8"/>
    <w:pPr>
      <w:pBdr>
        <w:top w:val="single" w:sz="4" w:space="0" w:color="auto"/>
        <w:left w:val="single" w:sz="4" w:space="0" w:color="auto"/>
        <w:right w:val="single" w:sz="4" w:space="0" w:color="auto"/>
      </w:pBdr>
      <w:spacing w:before="100" w:beforeAutospacing="1" w:after="100" w:afterAutospacing="1" w:line="240" w:lineRule="auto"/>
      <w:outlineLvl w:val="0"/>
    </w:pPr>
    <w:rPr>
      <w:rFonts w:ascii="Arial" w:eastAsia="Times New Roman" w:hAnsi="Arial" w:cs="Arial"/>
      <w:color w:val="222222"/>
      <w:szCs w:val="24"/>
      <w:lang w:eastAsia="es-CR"/>
    </w:rPr>
  </w:style>
  <w:style w:type="paragraph" w:customStyle="1" w:styleId="xl262">
    <w:name w:val="xl262"/>
    <w:basedOn w:val="Normal"/>
    <w:rsid w:val="00692DC8"/>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outlineLvl w:val="0"/>
    </w:pPr>
    <w:rPr>
      <w:rFonts w:ascii="Times New Roman" w:eastAsia="Times New Roman" w:hAnsi="Times New Roman" w:cs="Times New Roman"/>
      <w:szCs w:val="24"/>
      <w:lang w:eastAsia="es-CR"/>
    </w:rPr>
  </w:style>
  <w:style w:type="paragraph" w:customStyle="1" w:styleId="xl263">
    <w:name w:val="xl263"/>
    <w:basedOn w:val="Normal"/>
    <w:rsid w:val="00692DC8"/>
    <w:pPr>
      <w:pBdr>
        <w:top w:val="single" w:sz="4" w:space="0" w:color="auto"/>
        <w:left w:val="single" w:sz="4" w:space="0" w:color="auto"/>
        <w:right w:val="single" w:sz="4" w:space="0" w:color="auto"/>
      </w:pBdr>
      <w:spacing w:before="100" w:beforeAutospacing="1" w:after="100" w:afterAutospacing="1" w:line="240" w:lineRule="auto"/>
      <w:textAlignment w:val="center"/>
      <w:outlineLvl w:val="0"/>
    </w:pPr>
    <w:rPr>
      <w:rFonts w:ascii="Times New Roman" w:eastAsia="Times New Roman" w:hAnsi="Times New Roman" w:cs="Times New Roman"/>
      <w:szCs w:val="24"/>
      <w:lang w:eastAsia="es-CR"/>
    </w:rPr>
  </w:style>
  <w:style w:type="paragraph" w:customStyle="1" w:styleId="xl264">
    <w:name w:val="xl264"/>
    <w:basedOn w:val="Normal"/>
    <w:rsid w:val="00692DC8"/>
    <w:pPr>
      <w:pBdr>
        <w:top w:val="single" w:sz="4" w:space="0" w:color="auto"/>
        <w:left w:val="single" w:sz="4" w:space="0" w:color="auto"/>
        <w:right w:val="single" w:sz="4" w:space="0" w:color="auto"/>
      </w:pBdr>
      <w:shd w:val="clear" w:color="000000" w:fill="DCE6F1"/>
      <w:spacing w:before="100" w:beforeAutospacing="1" w:after="100" w:afterAutospacing="1" w:line="240" w:lineRule="auto"/>
      <w:textAlignment w:val="center"/>
      <w:outlineLvl w:val="0"/>
    </w:pPr>
    <w:rPr>
      <w:rFonts w:ascii="Times New Roman" w:eastAsia="Times New Roman" w:hAnsi="Times New Roman" w:cs="Times New Roman"/>
      <w:szCs w:val="24"/>
      <w:lang w:eastAsia="es-CR"/>
    </w:rPr>
  </w:style>
  <w:style w:type="paragraph" w:customStyle="1" w:styleId="xl265">
    <w:name w:val="xl265"/>
    <w:basedOn w:val="Normal"/>
    <w:rsid w:val="00692DC8"/>
    <w:pPr>
      <w:pBdr>
        <w:top w:val="single" w:sz="4" w:space="0" w:color="auto"/>
        <w:left w:val="single" w:sz="4" w:space="0" w:color="auto"/>
        <w:right w:val="single" w:sz="4" w:space="0" w:color="auto"/>
      </w:pBdr>
      <w:spacing w:before="100" w:beforeAutospacing="1" w:after="100" w:afterAutospacing="1" w:line="240" w:lineRule="auto"/>
      <w:jc w:val="right"/>
      <w:textAlignment w:val="center"/>
      <w:outlineLvl w:val="0"/>
    </w:pPr>
    <w:rPr>
      <w:rFonts w:ascii="Times New Roman" w:eastAsia="Times New Roman" w:hAnsi="Times New Roman" w:cs="Times New Roman"/>
      <w:sz w:val="28"/>
      <w:szCs w:val="28"/>
      <w:lang w:eastAsia="es-CR"/>
    </w:rPr>
  </w:style>
  <w:style w:type="paragraph" w:customStyle="1" w:styleId="xl266">
    <w:name w:val="xl266"/>
    <w:basedOn w:val="Normal"/>
    <w:rsid w:val="00692DC8"/>
    <w:pPr>
      <w:pBdr>
        <w:top w:val="single" w:sz="4" w:space="0" w:color="auto"/>
        <w:left w:val="single" w:sz="4" w:space="0" w:color="auto"/>
        <w:right w:val="single" w:sz="4" w:space="0" w:color="auto"/>
      </w:pBdr>
      <w:spacing w:before="100" w:beforeAutospacing="1" w:after="100" w:afterAutospacing="1" w:line="240" w:lineRule="auto"/>
      <w:jc w:val="right"/>
      <w:textAlignment w:val="center"/>
      <w:outlineLvl w:val="0"/>
    </w:pPr>
    <w:rPr>
      <w:rFonts w:ascii="Times New Roman" w:eastAsia="Times New Roman" w:hAnsi="Times New Roman" w:cs="Times New Roman"/>
      <w:sz w:val="28"/>
      <w:szCs w:val="28"/>
      <w:lang w:eastAsia="es-CR"/>
    </w:rPr>
  </w:style>
  <w:style w:type="paragraph" w:customStyle="1" w:styleId="xl267">
    <w:name w:val="xl267"/>
    <w:basedOn w:val="Normal"/>
    <w:rsid w:val="00692DC8"/>
    <w:pPr>
      <w:pBdr>
        <w:top w:val="single" w:sz="4" w:space="0" w:color="auto"/>
        <w:left w:val="single" w:sz="4" w:space="0" w:color="auto"/>
        <w:right w:val="single" w:sz="4"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68">
    <w:name w:val="xl268"/>
    <w:basedOn w:val="Normal"/>
    <w:rsid w:val="00692DC8"/>
    <w:pPr>
      <w:pBdr>
        <w:top w:val="single" w:sz="4" w:space="0" w:color="auto"/>
        <w:left w:val="single" w:sz="4" w:space="0" w:color="auto"/>
        <w:right w:val="single" w:sz="4"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sz w:val="28"/>
      <w:szCs w:val="28"/>
      <w:lang w:eastAsia="es-CR"/>
    </w:rPr>
  </w:style>
  <w:style w:type="paragraph" w:customStyle="1" w:styleId="xl269">
    <w:name w:val="xl269"/>
    <w:basedOn w:val="Normal"/>
    <w:rsid w:val="00692DC8"/>
    <w:pPr>
      <w:pBdr>
        <w:top w:val="single" w:sz="4" w:space="0" w:color="auto"/>
        <w:left w:val="single" w:sz="4" w:space="0" w:color="auto"/>
        <w:right w:val="single" w:sz="4" w:space="0" w:color="auto"/>
      </w:pBdr>
      <w:spacing w:before="100" w:beforeAutospacing="1" w:after="100" w:afterAutospacing="1" w:line="240" w:lineRule="auto"/>
      <w:jc w:val="right"/>
      <w:textAlignment w:val="center"/>
      <w:outlineLvl w:val="0"/>
    </w:pPr>
    <w:rPr>
      <w:rFonts w:ascii="Times New Roman" w:eastAsia="Times New Roman" w:hAnsi="Times New Roman" w:cs="Times New Roman"/>
      <w:sz w:val="28"/>
      <w:szCs w:val="28"/>
      <w:lang w:eastAsia="es-CR"/>
    </w:rPr>
  </w:style>
  <w:style w:type="paragraph" w:customStyle="1" w:styleId="xl270">
    <w:name w:val="xl270"/>
    <w:basedOn w:val="Normal"/>
    <w:rsid w:val="00692DC8"/>
    <w:pPr>
      <w:pBdr>
        <w:top w:val="single" w:sz="4" w:space="0" w:color="auto"/>
        <w:left w:val="single" w:sz="4" w:space="0" w:color="auto"/>
        <w:right w:val="single" w:sz="4" w:space="0" w:color="auto"/>
      </w:pBd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71">
    <w:name w:val="xl271"/>
    <w:basedOn w:val="Normal"/>
    <w:rsid w:val="00692DC8"/>
    <w:pPr>
      <w:pBdr>
        <w:top w:val="single" w:sz="8" w:space="0" w:color="auto"/>
        <w:right w:val="single" w:sz="8" w:space="0" w:color="auto"/>
      </w:pBd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72">
    <w:name w:val="xl272"/>
    <w:basedOn w:val="Normal"/>
    <w:rsid w:val="00692DC8"/>
    <w:pPr>
      <w:pBdr>
        <w:top w:val="single" w:sz="8" w:space="0" w:color="auto"/>
        <w:left w:val="single" w:sz="8" w:space="0" w:color="auto"/>
        <w:right w:val="single" w:sz="4" w:space="0" w:color="auto"/>
      </w:pBd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73">
    <w:name w:val="xl273"/>
    <w:basedOn w:val="Normal"/>
    <w:rsid w:val="00692DC8"/>
    <w:pPr>
      <w:pBdr>
        <w:top w:val="single" w:sz="8" w:space="0" w:color="auto"/>
        <w:right w:val="single" w:sz="4" w:space="0" w:color="auto"/>
      </w:pBd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74">
    <w:name w:val="xl274"/>
    <w:basedOn w:val="Normal"/>
    <w:rsid w:val="00692DC8"/>
    <w:pPr>
      <w:pBdr>
        <w:top w:val="single" w:sz="8" w:space="0" w:color="auto"/>
        <w:left w:val="single" w:sz="4" w:space="0" w:color="auto"/>
        <w:right w:val="single" w:sz="4" w:space="0" w:color="auto"/>
      </w:pBd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75">
    <w:name w:val="xl275"/>
    <w:basedOn w:val="Normal"/>
    <w:rsid w:val="00692D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szCs w:val="24"/>
      <w:lang w:eastAsia="es-CR"/>
    </w:rPr>
  </w:style>
  <w:style w:type="paragraph" w:customStyle="1" w:styleId="xl276">
    <w:name w:val="xl276"/>
    <w:basedOn w:val="Normal"/>
    <w:rsid w:val="00692DC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outlineLvl w:val="0"/>
    </w:pPr>
    <w:rPr>
      <w:rFonts w:ascii="Times New Roman" w:eastAsia="Times New Roman" w:hAnsi="Times New Roman" w:cs="Times New Roman"/>
      <w:szCs w:val="24"/>
      <w:lang w:eastAsia="es-CR"/>
    </w:rPr>
  </w:style>
  <w:style w:type="paragraph" w:customStyle="1" w:styleId="xl277">
    <w:name w:val="xl277"/>
    <w:basedOn w:val="Normal"/>
    <w:rsid w:val="00692DC8"/>
    <w:pPr>
      <w:spacing w:before="100" w:beforeAutospacing="1" w:after="100" w:afterAutospacing="1" w:line="240" w:lineRule="auto"/>
      <w:jc w:val="center"/>
      <w:outlineLvl w:val="0"/>
    </w:pPr>
    <w:rPr>
      <w:rFonts w:ascii="Times New Roman" w:eastAsia="Times New Roman" w:hAnsi="Times New Roman" w:cs="Times New Roman"/>
      <w:b/>
      <w:bCs/>
      <w:sz w:val="48"/>
      <w:szCs w:val="48"/>
      <w:lang w:eastAsia="es-CR"/>
    </w:rPr>
  </w:style>
  <w:style w:type="paragraph" w:customStyle="1" w:styleId="xl278">
    <w:name w:val="xl278"/>
    <w:basedOn w:val="Normal"/>
    <w:rsid w:val="00692DC8"/>
    <w:pPr>
      <w:pBdr>
        <w:top w:val="single" w:sz="8" w:space="0" w:color="auto"/>
        <w:left w:val="single" w:sz="8" w:space="0" w:color="auto"/>
        <w:right w:val="single" w:sz="8" w:space="0" w:color="auto"/>
      </w:pBdr>
      <w:shd w:val="clear" w:color="000000" w:fill="B8CCE4"/>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79">
    <w:name w:val="xl279"/>
    <w:basedOn w:val="Normal"/>
    <w:rsid w:val="00692DC8"/>
    <w:pPr>
      <w:pBdr>
        <w:left w:val="single" w:sz="8" w:space="0" w:color="auto"/>
        <w:right w:val="single" w:sz="8" w:space="0" w:color="auto"/>
      </w:pBdr>
      <w:shd w:val="clear" w:color="000000" w:fill="B8CCE4"/>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80">
    <w:name w:val="xl280"/>
    <w:basedOn w:val="Normal"/>
    <w:rsid w:val="00692DC8"/>
    <w:pPr>
      <w:pBdr>
        <w:left w:val="single" w:sz="8" w:space="0" w:color="auto"/>
        <w:bottom w:val="single" w:sz="8" w:space="0" w:color="auto"/>
        <w:right w:val="single" w:sz="8" w:space="0" w:color="auto"/>
      </w:pBdr>
      <w:shd w:val="clear" w:color="000000" w:fill="B8CCE4"/>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81">
    <w:name w:val="xl281"/>
    <w:basedOn w:val="Normal"/>
    <w:rsid w:val="00692DC8"/>
    <w:pPr>
      <w:pBdr>
        <w:top w:val="single" w:sz="8" w:space="0" w:color="auto"/>
        <w:left w:val="single" w:sz="8" w:space="0" w:color="auto"/>
        <w:bottom w:val="single" w:sz="8" w:space="0" w:color="auto"/>
      </w:pBdr>
      <w:shd w:val="clear" w:color="000000" w:fill="B8CCE4"/>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82">
    <w:name w:val="xl282"/>
    <w:basedOn w:val="Normal"/>
    <w:rsid w:val="00692DC8"/>
    <w:pPr>
      <w:pBdr>
        <w:top w:val="single" w:sz="8" w:space="0" w:color="auto"/>
        <w:bottom w:val="single" w:sz="8" w:space="0" w:color="auto"/>
      </w:pBdr>
      <w:shd w:val="clear" w:color="000000" w:fill="B8CCE4"/>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83">
    <w:name w:val="xl283"/>
    <w:basedOn w:val="Normal"/>
    <w:rsid w:val="00692DC8"/>
    <w:pPr>
      <w:pBdr>
        <w:top w:val="single" w:sz="8" w:space="0" w:color="auto"/>
      </w:pBdr>
      <w:shd w:val="clear" w:color="000000" w:fill="B8CCE4"/>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84">
    <w:name w:val="xl284"/>
    <w:basedOn w:val="Normal"/>
    <w:rsid w:val="00692DC8"/>
    <w:pPr>
      <w:pBdr>
        <w:top w:val="single" w:sz="8" w:space="0" w:color="auto"/>
        <w:right w:val="single" w:sz="8" w:space="0" w:color="auto"/>
      </w:pBdr>
      <w:shd w:val="clear" w:color="000000" w:fill="B8CCE4"/>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85">
    <w:name w:val="xl285"/>
    <w:basedOn w:val="Normal"/>
    <w:rsid w:val="00692DC8"/>
    <w:pPr>
      <w:pBdr>
        <w:top w:val="single" w:sz="8" w:space="0" w:color="auto"/>
        <w:left w:val="single" w:sz="8" w:space="0" w:color="auto"/>
      </w:pBdr>
      <w:shd w:val="clear" w:color="000000" w:fill="B8CCE4"/>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86">
    <w:name w:val="xl286"/>
    <w:basedOn w:val="Normal"/>
    <w:rsid w:val="00692DC8"/>
    <w:pPr>
      <w:pBdr>
        <w:top w:val="single" w:sz="8" w:space="0" w:color="auto"/>
      </w:pBdr>
      <w:shd w:val="clear" w:color="000000" w:fill="B8CCE4"/>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87">
    <w:name w:val="xl287"/>
    <w:basedOn w:val="Normal"/>
    <w:rsid w:val="00692DC8"/>
    <w:pPr>
      <w:pBdr>
        <w:top w:val="single" w:sz="8" w:space="0" w:color="auto"/>
        <w:right w:val="single" w:sz="8" w:space="0" w:color="auto"/>
      </w:pBdr>
      <w:shd w:val="clear" w:color="000000" w:fill="B8CCE4"/>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88">
    <w:name w:val="xl288"/>
    <w:basedOn w:val="Normal"/>
    <w:rsid w:val="00692DC8"/>
    <w:pPr>
      <w:pBdr>
        <w:top w:val="single" w:sz="8" w:space="0" w:color="auto"/>
        <w:left w:val="single" w:sz="8" w:space="0" w:color="auto"/>
        <w:bottom w:val="single" w:sz="8" w:space="0" w:color="auto"/>
      </w:pBdr>
      <w:shd w:val="clear" w:color="000000" w:fill="B8CCE4"/>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89">
    <w:name w:val="xl289"/>
    <w:basedOn w:val="Normal"/>
    <w:rsid w:val="00692DC8"/>
    <w:pPr>
      <w:pBdr>
        <w:top w:val="single" w:sz="8" w:space="0" w:color="auto"/>
        <w:bottom w:val="single" w:sz="8" w:space="0" w:color="auto"/>
      </w:pBdr>
      <w:shd w:val="clear" w:color="000000" w:fill="B8CCE4"/>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90">
    <w:name w:val="xl290"/>
    <w:basedOn w:val="Normal"/>
    <w:rsid w:val="00692DC8"/>
    <w:pPr>
      <w:pBdr>
        <w:top w:val="single" w:sz="8" w:space="0" w:color="auto"/>
        <w:left w:val="single" w:sz="8" w:space="0" w:color="auto"/>
        <w:right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91">
    <w:name w:val="xl291"/>
    <w:basedOn w:val="Normal"/>
    <w:rsid w:val="00692DC8"/>
    <w:pPr>
      <w:pBdr>
        <w:left w:val="single" w:sz="8" w:space="0" w:color="auto"/>
        <w:bottom w:val="single" w:sz="8" w:space="0" w:color="auto"/>
        <w:right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92">
    <w:name w:val="xl292"/>
    <w:basedOn w:val="Normal"/>
    <w:rsid w:val="00692DC8"/>
    <w:pPr>
      <w:pBdr>
        <w:top w:val="single" w:sz="8" w:space="0" w:color="auto"/>
        <w:left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93">
    <w:name w:val="xl293"/>
    <w:basedOn w:val="Normal"/>
    <w:rsid w:val="00692DC8"/>
    <w:pPr>
      <w:pBdr>
        <w:top w:val="single" w:sz="8" w:space="0" w:color="auto"/>
        <w:right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94">
    <w:name w:val="xl294"/>
    <w:basedOn w:val="Normal"/>
    <w:rsid w:val="00692DC8"/>
    <w:pPr>
      <w:pBdr>
        <w:bottom w:val="single" w:sz="8" w:space="0" w:color="auto"/>
        <w:right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95">
    <w:name w:val="xl295"/>
    <w:basedOn w:val="Normal"/>
    <w:rsid w:val="00692DC8"/>
    <w:pPr>
      <w:pBdr>
        <w:top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96">
    <w:name w:val="xl296"/>
    <w:basedOn w:val="Normal"/>
    <w:rsid w:val="00692DC8"/>
    <w:pPr>
      <w:pBdr>
        <w:bottom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97">
    <w:name w:val="xl297"/>
    <w:basedOn w:val="Normal"/>
    <w:rsid w:val="00692DC8"/>
    <w:pPr>
      <w:pBdr>
        <w:left w:val="single" w:sz="8" w:space="0" w:color="auto"/>
        <w:bottom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98">
    <w:name w:val="xl298"/>
    <w:basedOn w:val="Normal"/>
    <w:rsid w:val="00692DC8"/>
    <w:pPr>
      <w:pBdr>
        <w:top w:val="single" w:sz="8" w:space="0" w:color="auto"/>
        <w:left w:val="single" w:sz="8" w:space="0" w:color="auto"/>
        <w:right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99">
    <w:name w:val="xl299"/>
    <w:basedOn w:val="Normal"/>
    <w:rsid w:val="00692DC8"/>
    <w:pPr>
      <w:pBdr>
        <w:left w:val="single" w:sz="8" w:space="0" w:color="auto"/>
        <w:bottom w:val="single" w:sz="8" w:space="0" w:color="auto"/>
        <w:right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300">
    <w:name w:val="xl300"/>
    <w:basedOn w:val="Normal"/>
    <w:rsid w:val="00692DC8"/>
    <w:pPr>
      <w:pBdr>
        <w:top w:val="single" w:sz="8" w:space="0" w:color="auto"/>
        <w:left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301">
    <w:name w:val="xl301"/>
    <w:basedOn w:val="Normal"/>
    <w:rsid w:val="00692DC8"/>
    <w:pPr>
      <w:pBdr>
        <w:top w:val="single" w:sz="8" w:space="0" w:color="auto"/>
        <w:right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302">
    <w:name w:val="xl302"/>
    <w:basedOn w:val="Normal"/>
    <w:rsid w:val="00692DC8"/>
    <w:pPr>
      <w:pBdr>
        <w:top w:val="single" w:sz="8" w:space="0" w:color="auto"/>
        <w:bottom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303">
    <w:name w:val="xl303"/>
    <w:basedOn w:val="Normal"/>
    <w:rsid w:val="00692DC8"/>
    <w:pPr>
      <w:pBdr>
        <w:bottom w:val="single" w:sz="8" w:space="0" w:color="auto"/>
        <w:right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304">
    <w:name w:val="xl304"/>
    <w:basedOn w:val="Normal"/>
    <w:rsid w:val="00692DC8"/>
    <w:pPr>
      <w:pBdr>
        <w:top w:val="single" w:sz="8" w:space="0" w:color="auto"/>
        <w:left w:val="single" w:sz="8" w:space="0" w:color="auto"/>
        <w:bottom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305">
    <w:name w:val="xl305"/>
    <w:basedOn w:val="Normal"/>
    <w:rsid w:val="00692DC8"/>
    <w:pPr>
      <w:pBdr>
        <w:top w:val="single" w:sz="8" w:space="0" w:color="auto"/>
        <w:bottom w:val="single" w:sz="8" w:space="0" w:color="auto"/>
        <w:right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306">
    <w:name w:val="xl306"/>
    <w:basedOn w:val="Normal"/>
    <w:rsid w:val="00692DC8"/>
    <w:pPr>
      <w:pBdr>
        <w:top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307">
    <w:name w:val="xl307"/>
    <w:basedOn w:val="Normal"/>
    <w:rsid w:val="00692DC8"/>
    <w:pPr>
      <w:pBdr>
        <w:top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308">
    <w:name w:val="xl308"/>
    <w:basedOn w:val="Normal"/>
    <w:rsid w:val="00692DC8"/>
    <w:pPr>
      <w:pBdr>
        <w:top w:val="single" w:sz="8" w:space="0" w:color="auto"/>
        <w:left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NumberedParagraph-BulletelistLeft0Firstline0">
    <w:name w:val="Numbered Paragraph - Bullete list + Left:  0&quot; First line:  0&quot;"/>
    <w:basedOn w:val="Normal"/>
    <w:rsid w:val="00692DC8"/>
    <w:pPr>
      <w:numPr>
        <w:numId w:val="9"/>
      </w:numPr>
      <w:spacing w:before="120" w:after="0" w:line="240" w:lineRule="exact"/>
      <w:ind w:right="360"/>
      <w:outlineLvl w:val="0"/>
    </w:pPr>
    <w:rPr>
      <w:rFonts w:ascii="Times New Roman" w:eastAsia="Times New Roman" w:hAnsi="Times New Roman" w:cs="Times New Roman"/>
      <w:snapToGrid w:val="0"/>
      <w:sz w:val="20"/>
      <w:szCs w:val="20"/>
      <w:lang w:val="en-US" w:eastAsia="es-ES"/>
    </w:rPr>
  </w:style>
  <w:style w:type="table" w:customStyle="1" w:styleId="Tabladecuadrcula2-nfasis32">
    <w:name w:val="Tabla de cuadrícula 2 - Énfasis 32"/>
    <w:basedOn w:val="Tablanormal"/>
    <w:uiPriority w:val="47"/>
    <w:rsid w:val="00692DC8"/>
    <w:pPr>
      <w:spacing w:after="0" w:line="240" w:lineRule="auto"/>
    </w:pPr>
    <w:rPr>
      <w:rFonts w:ascii="Calibri" w:eastAsia="Calibri" w:hAnsi="Calibri" w:cs="Times New Roman"/>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2-nfasis33">
    <w:name w:val="Tabla de cuadrícula 2 - Énfasis 33"/>
    <w:basedOn w:val="Tablanormal"/>
    <w:uiPriority w:val="47"/>
    <w:rsid w:val="00692DC8"/>
    <w:pPr>
      <w:spacing w:after="0" w:line="240" w:lineRule="auto"/>
    </w:pPr>
    <w:rPr>
      <w:rFonts w:ascii="Calibri" w:eastAsia="Calibri" w:hAnsi="Calibri" w:cs="Times New Roman"/>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customStyle="1" w:styleId="xl63">
    <w:name w:val="xl63"/>
    <w:basedOn w:val="Normal"/>
    <w:rsid w:val="00692DC8"/>
    <w:pPr>
      <w:pBdr>
        <w:top w:val="single" w:sz="8" w:space="0" w:color="auto"/>
        <w:bottom w:val="single" w:sz="8" w:space="0" w:color="auto"/>
        <w:right w:val="single" w:sz="8" w:space="0" w:color="auto"/>
      </w:pBdr>
      <w:shd w:val="clear" w:color="000000" w:fill="365F91"/>
      <w:spacing w:before="100" w:beforeAutospacing="1" w:after="100" w:afterAutospacing="1" w:line="240" w:lineRule="auto"/>
      <w:jc w:val="center"/>
      <w:textAlignment w:val="center"/>
      <w:outlineLvl w:val="0"/>
    </w:pPr>
    <w:rPr>
      <w:rFonts w:eastAsia="Times New Roman" w:cs="Times New Roman"/>
      <w:color w:val="FFFFFF"/>
      <w:szCs w:val="24"/>
      <w:lang w:eastAsia="es-CR"/>
    </w:rPr>
  </w:style>
  <w:style w:type="paragraph" w:customStyle="1" w:styleId="xl64">
    <w:name w:val="xl64"/>
    <w:basedOn w:val="Normal"/>
    <w:rsid w:val="00692DC8"/>
    <w:pPr>
      <w:pBdr>
        <w:bottom w:val="single" w:sz="8" w:space="0" w:color="auto"/>
        <w:right w:val="single" w:sz="8" w:space="0" w:color="auto"/>
      </w:pBdr>
      <w:spacing w:before="100" w:beforeAutospacing="1" w:after="100" w:afterAutospacing="1" w:line="240" w:lineRule="auto"/>
      <w:textAlignment w:val="center"/>
      <w:outlineLvl w:val="0"/>
    </w:pPr>
    <w:rPr>
      <w:rFonts w:eastAsia="Times New Roman" w:cs="Times New Roman"/>
      <w:color w:val="000000"/>
      <w:szCs w:val="24"/>
      <w:lang w:eastAsia="es-CR"/>
    </w:rPr>
  </w:style>
  <w:style w:type="paragraph" w:customStyle="1" w:styleId="xl65">
    <w:name w:val="xl65"/>
    <w:basedOn w:val="Normal"/>
    <w:rsid w:val="00692DC8"/>
    <w:pPr>
      <w:pBdr>
        <w:left w:val="single" w:sz="8" w:space="0" w:color="auto"/>
        <w:bottom w:val="single" w:sz="8" w:space="0" w:color="auto"/>
        <w:right w:val="single" w:sz="8" w:space="0" w:color="auto"/>
      </w:pBdr>
      <w:spacing w:before="100" w:beforeAutospacing="1" w:after="100" w:afterAutospacing="1" w:line="240" w:lineRule="auto"/>
      <w:textAlignment w:val="center"/>
      <w:outlineLvl w:val="0"/>
    </w:pPr>
    <w:rPr>
      <w:rFonts w:eastAsia="Times New Roman" w:cs="Times New Roman"/>
      <w:color w:val="000000"/>
      <w:szCs w:val="24"/>
      <w:lang w:eastAsia="es-CR"/>
    </w:rPr>
  </w:style>
  <w:style w:type="table" w:customStyle="1" w:styleId="Tablaconcuadrcula2-nfasis31">
    <w:name w:val="Tabla con cuadrícula 2 - Énfasis 31"/>
    <w:basedOn w:val="Tablanormal"/>
    <w:uiPriority w:val="47"/>
    <w:rsid w:val="00692DC8"/>
    <w:pPr>
      <w:spacing w:after="0" w:line="240" w:lineRule="auto"/>
    </w:pPr>
    <w:rPr>
      <w:rFonts w:ascii="Calibri" w:eastAsia="Calibri" w:hAnsi="Calibri" w:cs="Times New Roman"/>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styleId="Lista">
    <w:name w:val="List"/>
    <w:basedOn w:val="Normal"/>
    <w:uiPriority w:val="99"/>
    <w:unhideWhenUsed/>
    <w:rsid w:val="00692DC8"/>
    <w:pPr>
      <w:spacing w:after="0" w:line="240" w:lineRule="auto"/>
      <w:ind w:left="283" w:hanging="283"/>
      <w:contextualSpacing/>
      <w:outlineLvl w:val="0"/>
    </w:pPr>
    <w:rPr>
      <w:rFonts w:eastAsia="Calibri" w:cs="Times New Roman"/>
    </w:rPr>
  </w:style>
  <w:style w:type="paragraph" w:styleId="Lista2">
    <w:name w:val="List 2"/>
    <w:basedOn w:val="Normal"/>
    <w:uiPriority w:val="99"/>
    <w:unhideWhenUsed/>
    <w:rsid w:val="00692DC8"/>
    <w:pPr>
      <w:spacing w:after="0" w:line="240" w:lineRule="auto"/>
      <w:ind w:left="566" w:hanging="283"/>
      <w:contextualSpacing/>
      <w:outlineLvl w:val="0"/>
    </w:pPr>
    <w:rPr>
      <w:rFonts w:eastAsia="Calibri" w:cs="Times New Roman"/>
    </w:rPr>
  </w:style>
  <w:style w:type="paragraph" w:styleId="Listaconvietas2">
    <w:name w:val="List Bullet 2"/>
    <w:basedOn w:val="Normal"/>
    <w:uiPriority w:val="99"/>
    <w:unhideWhenUsed/>
    <w:rsid w:val="00692DC8"/>
    <w:pPr>
      <w:numPr>
        <w:numId w:val="10"/>
      </w:numPr>
      <w:spacing w:after="0" w:line="240" w:lineRule="auto"/>
      <w:contextualSpacing/>
      <w:outlineLvl w:val="0"/>
    </w:pPr>
    <w:rPr>
      <w:rFonts w:eastAsia="Calibri" w:cs="Times New Roman"/>
    </w:rPr>
  </w:style>
  <w:style w:type="paragraph" w:styleId="Listaconvietas3">
    <w:name w:val="List Bullet 3"/>
    <w:basedOn w:val="Normal"/>
    <w:uiPriority w:val="99"/>
    <w:unhideWhenUsed/>
    <w:rsid w:val="00692DC8"/>
    <w:pPr>
      <w:numPr>
        <w:numId w:val="11"/>
      </w:numPr>
      <w:spacing w:after="0" w:line="240" w:lineRule="auto"/>
      <w:contextualSpacing/>
      <w:outlineLvl w:val="0"/>
    </w:pPr>
    <w:rPr>
      <w:rFonts w:eastAsia="Calibri" w:cs="Times New Roman"/>
    </w:rPr>
  </w:style>
  <w:style w:type="paragraph" w:styleId="Listaconvietas4">
    <w:name w:val="List Bullet 4"/>
    <w:basedOn w:val="Normal"/>
    <w:uiPriority w:val="99"/>
    <w:unhideWhenUsed/>
    <w:rsid w:val="00692DC8"/>
    <w:pPr>
      <w:numPr>
        <w:numId w:val="12"/>
      </w:numPr>
      <w:spacing w:after="0" w:line="240" w:lineRule="auto"/>
      <w:contextualSpacing/>
      <w:outlineLvl w:val="0"/>
    </w:pPr>
    <w:rPr>
      <w:rFonts w:eastAsia="Calibri" w:cs="Times New Roman"/>
    </w:rPr>
  </w:style>
  <w:style w:type="paragraph" w:styleId="Continuarlista3">
    <w:name w:val="List Continue 3"/>
    <w:basedOn w:val="Normal"/>
    <w:uiPriority w:val="99"/>
    <w:unhideWhenUsed/>
    <w:rsid w:val="00692DC8"/>
    <w:pPr>
      <w:spacing w:after="120" w:line="240" w:lineRule="auto"/>
      <w:ind w:left="849"/>
      <w:contextualSpacing/>
      <w:outlineLvl w:val="0"/>
    </w:pPr>
    <w:rPr>
      <w:rFonts w:eastAsia="Calibri" w:cs="Times New Roman"/>
    </w:rPr>
  </w:style>
  <w:style w:type="paragraph" w:customStyle="1" w:styleId="Direccininterior">
    <w:name w:val="Dirección interior"/>
    <w:basedOn w:val="Normal"/>
    <w:rsid w:val="00692DC8"/>
    <w:pPr>
      <w:spacing w:after="0" w:line="240" w:lineRule="auto"/>
      <w:outlineLvl w:val="0"/>
    </w:pPr>
    <w:rPr>
      <w:rFonts w:eastAsia="Calibri" w:cs="Times New Roman"/>
    </w:rPr>
  </w:style>
  <w:style w:type="paragraph" w:styleId="Textoindependienteprimerasangra2">
    <w:name w:val="Body Text First Indent 2"/>
    <w:basedOn w:val="Sangradetextonormal"/>
    <w:link w:val="Textoindependienteprimerasangra2Car"/>
    <w:uiPriority w:val="99"/>
    <w:unhideWhenUsed/>
    <w:rsid w:val="00692DC8"/>
    <w:pPr>
      <w:spacing w:after="200" w:line="276" w:lineRule="auto"/>
      <w:ind w:firstLine="360"/>
      <w:jc w:val="left"/>
    </w:pPr>
    <w:rPr>
      <w:rFonts w:ascii="Calibri" w:eastAsia="Calibri" w:hAnsi="Calibri"/>
      <w:sz w:val="22"/>
      <w:szCs w:val="22"/>
      <w:lang w:eastAsia="en-US"/>
    </w:rPr>
  </w:style>
  <w:style w:type="character" w:customStyle="1" w:styleId="Textoindependienteprimerasangra2Car">
    <w:name w:val="Texto independiente primera sangría 2 Car"/>
    <w:basedOn w:val="SangradetextonormalCar"/>
    <w:link w:val="Textoindependienteprimerasangra2"/>
    <w:uiPriority w:val="99"/>
    <w:rsid w:val="00692DC8"/>
    <w:rPr>
      <w:rFonts w:ascii="Calibri" w:eastAsia="Calibri" w:hAnsi="Calibri" w:cs="Times New Roman"/>
      <w:sz w:val="24"/>
      <w:szCs w:val="20"/>
      <w:lang w:eastAsia="es-ES"/>
    </w:rPr>
  </w:style>
  <w:style w:type="paragraph" w:customStyle="1" w:styleId="Nombredireccininterior">
    <w:name w:val="Nombre dirección interior"/>
    <w:basedOn w:val="Normal"/>
    <w:next w:val="Normal"/>
    <w:rsid w:val="00692DC8"/>
    <w:pPr>
      <w:spacing w:before="220" w:after="0" w:line="240" w:lineRule="atLeast"/>
      <w:outlineLvl w:val="0"/>
    </w:pPr>
    <w:rPr>
      <w:rFonts w:ascii="Arial" w:eastAsia="Batang" w:hAnsi="Arial" w:cs="Times New Roman"/>
      <w:kern w:val="18"/>
      <w:szCs w:val="20"/>
      <w:lang w:val="es-ES"/>
    </w:rPr>
  </w:style>
  <w:style w:type="table" w:customStyle="1" w:styleId="Tablaconcuadrcula11">
    <w:name w:val="Tabla con cuadrícula11"/>
    <w:basedOn w:val="Tablanormal"/>
    <w:next w:val="Tablaconcuadrcula"/>
    <w:uiPriority w:val="59"/>
    <w:rsid w:val="00692DC8"/>
    <w:pPr>
      <w:spacing w:after="0" w:line="240" w:lineRule="auto"/>
    </w:pPr>
    <w:rPr>
      <w:rFonts w:ascii="Calibri" w:eastAsia="Calibri" w:hAnsi="Calibri" w:cs="Times New Roman"/>
      <w:sz w:val="20"/>
      <w:szCs w:val="20"/>
      <w:lang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echa">
    <w:name w:val="Date"/>
    <w:basedOn w:val="Normal"/>
    <w:next w:val="Normal"/>
    <w:link w:val="FechaCar"/>
    <w:uiPriority w:val="99"/>
    <w:semiHidden/>
    <w:unhideWhenUsed/>
    <w:rsid w:val="00692DC8"/>
    <w:pPr>
      <w:spacing w:after="0" w:line="240" w:lineRule="auto"/>
      <w:outlineLvl w:val="0"/>
    </w:pPr>
    <w:rPr>
      <w:rFonts w:eastAsia="Calibri" w:cs="Times New Roman"/>
    </w:rPr>
  </w:style>
  <w:style w:type="character" w:customStyle="1" w:styleId="FechaCar">
    <w:name w:val="Fecha Car"/>
    <w:basedOn w:val="Fuentedeprrafopredeter"/>
    <w:link w:val="Fecha"/>
    <w:uiPriority w:val="99"/>
    <w:semiHidden/>
    <w:rsid w:val="00692DC8"/>
    <w:rPr>
      <w:rFonts w:ascii="Arial Narrow" w:eastAsia="Calibri" w:hAnsi="Arial Narrow" w:cs="Times New Roman"/>
      <w:sz w:val="24"/>
    </w:rPr>
  </w:style>
  <w:style w:type="table" w:styleId="Sombreadoclaro-nfasis4">
    <w:name w:val="Light Shading Accent 4"/>
    <w:basedOn w:val="Tablanormal"/>
    <w:uiPriority w:val="60"/>
    <w:rsid w:val="00692DC8"/>
    <w:pPr>
      <w:spacing w:after="0" w:line="240" w:lineRule="auto"/>
    </w:pPr>
    <w:rPr>
      <w:rFonts w:ascii="Calibri" w:eastAsia="Calibri" w:hAnsi="Calibri" w:cs="Times New Roman"/>
      <w:color w:val="5F497A"/>
      <w:sz w:val="20"/>
      <w:szCs w:val="20"/>
      <w:lang w:eastAsia="es-CR"/>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Tablanormal41">
    <w:name w:val="Tabla normal 41"/>
    <w:basedOn w:val="Tablanormal"/>
    <w:uiPriority w:val="44"/>
    <w:rsid w:val="00692DC8"/>
    <w:pPr>
      <w:spacing w:after="0" w:line="240" w:lineRule="auto"/>
    </w:pPr>
    <w:rPr>
      <w:rFonts w:ascii="Calibri" w:eastAsia="Calibri" w:hAnsi="Calibri" w:cs="Times New Roman"/>
      <w:sz w:val="20"/>
      <w:szCs w:val="20"/>
      <w:lang w:eastAsia="es-C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
    <w:name w:val="Tabla normal 11"/>
    <w:basedOn w:val="Tablanormal"/>
    <w:uiPriority w:val="41"/>
    <w:rsid w:val="00692DC8"/>
    <w:pPr>
      <w:spacing w:after="0" w:line="240" w:lineRule="auto"/>
    </w:pPr>
    <w:rPr>
      <w:rFonts w:ascii="Calibri" w:eastAsia="Calibri" w:hAnsi="Calibri" w:cs="Times New Roman"/>
      <w:sz w:val="20"/>
      <w:szCs w:val="20"/>
      <w:lang w:eastAsia="es-C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41">
    <w:name w:val="Tabla de cuadrícula 41"/>
    <w:basedOn w:val="Tablanormal"/>
    <w:uiPriority w:val="49"/>
    <w:rsid w:val="00692DC8"/>
    <w:pPr>
      <w:spacing w:after="0" w:line="240" w:lineRule="auto"/>
    </w:pPr>
    <w:rPr>
      <w:rFonts w:ascii="Calibri" w:eastAsia="Calibri" w:hAnsi="Calibri" w:cs="Times New Roman"/>
      <w:sz w:val="20"/>
      <w:szCs w:val="20"/>
      <w:lang w:eastAsia="es-C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nfasis61">
    <w:name w:val="Tabla de cuadrícula 4 - Énfasis 61"/>
    <w:basedOn w:val="Tablanormal"/>
    <w:uiPriority w:val="49"/>
    <w:rsid w:val="00692DC8"/>
    <w:pPr>
      <w:spacing w:after="0" w:line="240" w:lineRule="auto"/>
    </w:pPr>
    <w:rPr>
      <w:rFonts w:ascii="Calibri" w:eastAsia="Calibri" w:hAnsi="Calibri" w:cs="Times New Roman"/>
      <w:sz w:val="20"/>
      <w:szCs w:val="20"/>
      <w:lang w:eastAsia="es-C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11">
    <w:name w:val="Tabla de cuadrícula 4 - Énfasis 11"/>
    <w:basedOn w:val="Tablanormal"/>
    <w:uiPriority w:val="49"/>
    <w:rsid w:val="00692DC8"/>
    <w:pPr>
      <w:spacing w:after="0" w:line="240" w:lineRule="auto"/>
    </w:pPr>
    <w:rPr>
      <w:rFonts w:ascii="Calibri" w:eastAsia="Calibri" w:hAnsi="Calibri" w:cs="Times New Roman"/>
      <w:sz w:val="20"/>
      <w:szCs w:val="20"/>
      <w:lang w:eastAsia="es-C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2-nfasis41">
    <w:name w:val="Tabla de cuadrícula 2 - Énfasis 41"/>
    <w:basedOn w:val="Tablanormal"/>
    <w:uiPriority w:val="47"/>
    <w:rsid w:val="00692DC8"/>
    <w:pPr>
      <w:spacing w:after="0" w:line="240" w:lineRule="auto"/>
    </w:pPr>
    <w:rPr>
      <w:rFonts w:ascii="Calibri" w:eastAsia="Calibri" w:hAnsi="Calibri" w:cs="Times New Roman"/>
      <w:sz w:val="20"/>
      <w:szCs w:val="20"/>
      <w:lang w:eastAsia="es-CR"/>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adecuadrcula6concolores1">
    <w:name w:val="Tabla de cuadrícula 6 con colores1"/>
    <w:basedOn w:val="Tablanormal"/>
    <w:uiPriority w:val="51"/>
    <w:rsid w:val="00692DC8"/>
    <w:pPr>
      <w:spacing w:after="0" w:line="240" w:lineRule="auto"/>
    </w:pPr>
    <w:rPr>
      <w:rFonts w:ascii="Calibri" w:eastAsia="Calibri" w:hAnsi="Calibri" w:cs="Times New Roman"/>
      <w:color w:val="000000"/>
      <w:sz w:val="20"/>
      <w:szCs w:val="20"/>
      <w:lang w:eastAsia="es-C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6concolores-nfasis21">
    <w:name w:val="Tabla de cuadrícula 6 con colores - Énfasis 21"/>
    <w:basedOn w:val="Tablanormal"/>
    <w:uiPriority w:val="51"/>
    <w:rsid w:val="00692DC8"/>
    <w:pPr>
      <w:spacing w:after="0" w:line="240" w:lineRule="auto"/>
    </w:pPr>
    <w:rPr>
      <w:rFonts w:ascii="Calibri" w:eastAsia="Calibri" w:hAnsi="Calibri" w:cs="Times New Roman"/>
      <w:color w:val="C45911"/>
      <w:sz w:val="20"/>
      <w:szCs w:val="20"/>
      <w:lang w:eastAsia="es-C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6concolores-nfasis51">
    <w:name w:val="Tabla de cuadrícula 6 con colores - Énfasis 51"/>
    <w:basedOn w:val="Tablanormal"/>
    <w:uiPriority w:val="51"/>
    <w:rsid w:val="00692DC8"/>
    <w:pPr>
      <w:spacing w:after="0" w:line="240" w:lineRule="auto"/>
    </w:pPr>
    <w:rPr>
      <w:rFonts w:ascii="Calibri" w:eastAsia="Calibri" w:hAnsi="Calibri" w:cs="Times New Roman"/>
      <w:color w:val="2F5496"/>
      <w:sz w:val="20"/>
      <w:szCs w:val="20"/>
      <w:lang w:eastAsia="es-C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6concolores-nfasis11">
    <w:name w:val="Tabla de cuadrícula 6 con colores - Énfasis 11"/>
    <w:basedOn w:val="Tablanormal"/>
    <w:uiPriority w:val="51"/>
    <w:rsid w:val="00692DC8"/>
    <w:pPr>
      <w:spacing w:after="0" w:line="240" w:lineRule="auto"/>
    </w:pPr>
    <w:rPr>
      <w:rFonts w:ascii="Calibri" w:eastAsia="Calibri" w:hAnsi="Calibri" w:cs="Times New Roman"/>
      <w:color w:val="2E74B5"/>
      <w:sz w:val="20"/>
      <w:szCs w:val="20"/>
      <w:lang w:eastAsia="es-C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1clara-nfasis11">
    <w:name w:val="Tabla de cuadrícula 1 clara - Énfasis 11"/>
    <w:basedOn w:val="Tablanormal"/>
    <w:uiPriority w:val="46"/>
    <w:rsid w:val="00692DC8"/>
    <w:pPr>
      <w:spacing w:after="0" w:line="240" w:lineRule="auto"/>
    </w:pPr>
    <w:rPr>
      <w:rFonts w:ascii="Calibri" w:eastAsia="Calibri" w:hAnsi="Calibri" w:cs="Times New Roman"/>
      <w:sz w:val="20"/>
      <w:szCs w:val="20"/>
      <w:lang w:eastAsia="es-CR"/>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anormal31">
    <w:name w:val="Tabla normal 31"/>
    <w:basedOn w:val="Tablanormal"/>
    <w:uiPriority w:val="43"/>
    <w:rsid w:val="00692DC8"/>
    <w:pPr>
      <w:spacing w:after="0" w:line="240" w:lineRule="auto"/>
    </w:pPr>
    <w:rPr>
      <w:rFonts w:ascii="Calibri" w:eastAsia="Calibri" w:hAnsi="Calibri" w:cs="Times New Roman"/>
      <w:sz w:val="20"/>
      <w:szCs w:val="20"/>
      <w:lang w:eastAsia="es-CR"/>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Listaclara-nfasis1">
    <w:name w:val="Light List Accent 1"/>
    <w:basedOn w:val="Tablanormal"/>
    <w:uiPriority w:val="61"/>
    <w:rsid w:val="00692DC8"/>
    <w:pPr>
      <w:spacing w:after="0" w:line="240" w:lineRule="auto"/>
    </w:pPr>
    <w:rPr>
      <w:rFonts w:ascii="Calibri" w:eastAsia="Calibri" w:hAnsi="Calibri" w:cs="Times New Roman"/>
      <w:sz w:val="20"/>
      <w:szCs w:val="20"/>
      <w:lang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medio2-nfasis1">
    <w:name w:val="Medium Shading 2 Accent 1"/>
    <w:basedOn w:val="Tablanormal"/>
    <w:uiPriority w:val="64"/>
    <w:rsid w:val="00692DC8"/>
    <w:pPr>
      <w:spacing w:after="0" w:line="240" w:lineRule="auto"/>
    </w:pPr>
    <w:rPr>
      <w:rFonts w:ascii="Calibri" w:eastAsia="Calibri" w:hAnsi="Calibri" w:cs="Times New Roman"/>
      <w:sz w:val="20"/>
      <w:szCs w:val="20"/>
      <w:lang w:eastAsia="es-C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aelegante">
    <w:name w:val="Table Elegant"/>
    <w:basedOn w:val="Tablanormal"/>
    <w:rsid w:val="00692DC8"/>
    <w:pPr>
      <w:spacing w:after="0" w:line="240" w:lineRule="auto"/>
    </w:pPr>
    <w:rPr>
      <w:rFonts w:ascii="Times New Roman" w:eastAsia="Times New Roman" w:hAnsi="Times New Roman" w:cs="Times New Roman"/>
      <w:sz w:val="20"/>
      <w:szCs w:val="20"/>
      <w:lang w:val="es-ES" w:eastAsia="es-E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Textoindependienteprimerasangra">
    <w:name w:val="Body Text First Indent"/>
    <w:basedOn w:val="Textoindependiente"/>
    <w:link w:val="TextoindependienteprimerasangraCar"/>
    <w:rsid w:val="00692DC8"/>
    <w:pPr>
      <w:spacing w:after="0" w:line="240" w:lineRule="auto"/>
      <w:ind w:firstLine="360"/>
    </w:pPr>
    <w:rPr>
      <w:rFonts w:ascii="Times New Roman" w:hAnsi="Times New Roman"/>
      <w:szCs w:val="24"/>
      <w:lang w:val="es-ES" w:eastAsia="es-ES"/>
    </w:rPr>
  </w:style>
  <w:style w:type="character" w:customStyle="1" w:styleId="TextoindependienteprimerasangraCar">
    <w:name w:val="Texto independiente primera sangría Car"/>
    <w:basedOn w:val="TextoindependienteCar"/>
    <w:link w:val="Textoindependienteprimerasangra"/>
    <w:rsid w:val="00692DC8"/>
    <w:rPr>
      <w:rFonts w:ascii="Times New Roman" w:eastAsia="Times New Roman" w:hAnsi="Times New Roman" w:cs="Times New Roman"/>
      <w:sz w:val="24"/>
      <w:szCs w:val="24"/>
      <w:lang w:val="es-ES" w:eastAsia="es-ES"/>
    </w:rPr>
  </w:style>
  <w:style w:type="character" w:customStyle="1" w:styleId="SinespaciadoCar">
    <w:name w:val="Sin espaciado Car"/>
    <w:link w:val="Sinespaciado"/>
    <w:uiPriority w:val="1"/>
    <w:locked/>
    <w:rsid w:val="00692DC8"/>
    <w:rPr>
      <w:rFonts w:ascii="Calibri" w:eastAsia="Times New Roman" w:hAnsi="Calibri" w:cs="Times New Roman"/>
      <w:lang w:eastAsia="es-CR"/>
    </w:rPr>
  </w:style>
  <w:style w:type="paragraph" w:customStyle="1" w:styleId="Body">
    <w:name w:val="Body"/>
    <w:basedOn w:val="Normal"/>
    <w:rsid w:val="00692DC8"/>
    <w:pPr>
      <w:spacing w:after="0" w:line="240" w:lineRule="auto"/>
      <w:outlineLvl w:val="0"/>
    </w:pPr>
    <w:rPr>
      <w:rFonts w:eastAsia="Calibri" w:cs="Times New Roman"/>
      <w:color w:val="000000"/>
      <w:lang w:eastAsia="es-CR"/>
    </w:rPr>
  </w:style>
  <w:style w:type="paragraph" w:customStyle="1" w:styleId="Prrafodelista2">
    <w:name w:val="Párrafo de lista2"/>
    <w:basedOn w:val="Normal"/>
    <w:rsid w:val="00692DC8"/>
    <w:pPr>
      <w:autoSpaceDE w:val="0"/>
      <w:autoSpaceDN w:val="0"/>
      <w:spacing w:after="0" w:line="240" w:lineRule="auto"/>
      <w:ind w:left="708"/>
      <w:outlineLvl w:val="0"/>
    </w:pPr>
    <w:rPr>
      <w:rFonts w:eastAsia="Calibri" w:cs="Calibri"/>
      <w:szCs w:val="24"/>
      <w:lang w:val="es-ES" w:eastAsia="es-ES"/>
    </w:rPr>
  </w:style>
  <w:style w:type="paragraph" w:customStyle="1" w:styleId="Prrafodelista1">
    <w:name w:val="Párrafo de lista1"/>
    <w:basedOn w:val="Normal"/>
    <w:rsid w:val="00692DC8"/>
    <w:pPr>
      <w:autoSpaceDE w:val="0"/>
      <w:autoSpaceDN w:val="0"/>
      <w:spacing w:after="0" w:line="240" w:lineRule="auto"/>
      <w:ind w:left="720"/>
      <w:outlineLvl w:val="0"/>
    </w:pPr>
    <w:rPr>
      <w:rFonts w:eastAsia="Calibri" w:cs="Calibri"/>
      <w:szCs w:val="24"/>
      <w:lang w:val="es-ES" w:eastAsia="es-ES"/>
    </w:rPr>
  </w:style>
  <w:style w:type="paragraph" w:customStyle="1" w:styleId="Contenidodelatabla">
    <w:name w:val="Contenido de la tabla"/>
    <w:basedOn w:val="Normal"/>
    <w:rsid w:val="00692DC8"/>
    <w:pPr>
      <w:suppressLineNumbers/>
      <w:suppressAutoHyphens/>
      <w:spacing w:after="0" w:line="240" w:lineRule="auto"/>
      <w:outlineLvl w:val="0"/>
    </w:pPr>
    <w:rPr>
      <w:rFonts w:eastAsia="Calibri" w:cs="Times New Roman"/>
      <w:lang w:eastAsia="zh-CN"/>
    </w:rPr>
  </w:style>
  <w:style w:type="paragraph" w:customStyle="1" w:styleId="Estilo1">
    <w:name w:val="Estilo1"/>
    <w:basedOn w:val="Normal"/>
    <w:uiPriority w:val="99"/>
    <w:rsid w:val="00692DC8"/>
    <w:pPr>
      <w:spacing w:after="0" w:line="240" w:lineRule="auto"/>
      <w:outlineLvl w:val="0"/>
    </w:pPr>
    <w:rPr>
      <w:rFonts w:ascii="Arial" w:eastAsia="Times New Roman" w:hAnsi="Arial" w:cs="Arial"/>
      <w:szCs w:val="24"/>
      <w:lang w:val="es-AR" w:eastAsia="es-ES"/>
    </w:rPr>
  </w:style>
  <w:style w:type="numbering" w:customStyle="1" w:styleId="Sinlista21">
    <w:name w:val="Sin lista21"/>
    <w:next w:val="Sinlista"/>
    <w:uiPriority w:val="99"/>
    <w:semiHidden/>
    <w:unhideWhenUsed/>
    <w:rsid w:val="00692DC8"/>
  </w:style>
  <w:style w:type="numbering" w:customStyle="1" w:styleId="Sinlista12">
    <w:name w:val="Sin lista12"/>
    <w:next w:val="Sinlista"/>
    <w:uiPriority w:val="99"/>
    <w:semiHidden/>
    <w:unhideWhenUsed/>
    <w:rsid w:val="00692DC8"/>
  </w:style>
  <w:style w:type="table" w:customStyle="1" w:styleId="Tabladecuadrcula2-nfasis311">
    <w:name w:val="Tabla de cuadrícula 2 - Énfasis 311"/>
    <w:basedOn w:val="Tablanormal"/>
    <w:uiPriority w:val="47"/>
    <w:rsid w:val="00692DC8"/>
    <w:pPr>
      <w:spacing w:after="0" w:line="240" w:lineRule="auto"/>
    </w:pPr>
    <w:rPr>
      <w:rFonts w:ascii="Calibri" w:eastAsia="Calibri" w:hAnsi="Calibri" w:cs="Times New Roman"/>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oncuadrcula2">
    <w:name w:val="Tabla con cuadrícula2"/>
    <w:basedOn w:val="Tablanormal"/>
    <w:next w:val="Tablaconcuadrcula"/>
    <w:uiPriority w:val="59"/>
    <w:rsid w:val="00692D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semiHidden/>
    <w:unhideWhenUsed/>
    <w:rsid w:val="00692DC8"/>
  </w:style>
  <w:style w:type="table" w:customStyle="1" w:styleId="Tabladecuadrcula2-nfasis321">
    <w:name w:val="Tabla de cuadrícula 2 - Énfasis 321"/>
    <w:basedOn w:val="Tablanormal"/>
    <w:uiPriority w:val="47"/>
    <w:rsid w:val="00692DC8"/>
    <w:pPr>
      <w:spacing w:after="0" w:line="240" w:lineRule="auto"/>
    </w:pPr>
    <w:rPr>
      <w:rFonts w:ascii="Calibri" w:eastAsia="Calibri" w:hAnsi="Calibri" w:cs="Times New Roman"/>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2-nfasis331">
    <w:name w:val="Tabla de cuadrícula 2 - Énfasis 331"/>
    <w:basedOn w:val="Tablanormal"/>
    <w:uiPriority w:val="47"/>
    <w:rsid w:val="00692DC8"/>
    <w:pPr>
      <w:spacing w:after="0" w:line="240" w:lineRule="auto"/>
    </w:pPr>
    <w:rPr>
      <w:rFonts w:ascii="Calibri" w:eastAsia="Calibri" w:hAnsi="Calibri" w:cs="Times New Roman"/>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2Accent31">
    <w:name w:val="Grid Table 2 Accent 31"/>
    <w:basedOn w:val="Tablanormal"/>
    <w:uiPriority w:val="47"/>
    <w:rsid w:val="00692DC8"/>
    <w:pPr>
      <w:spacing w:after="0" w:line="240" w:lineRule="auto"/>
    </w:pPr>
    <w:rPr>
      <w:rFonts w:ascii="Calibri" w:eastAsia="Calibri" w:hAnsi="Calibri" w:cs="Times New Roman"/>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Sombreadoclaro-nfasis41">
    <w:name w:val="Sombreado claro - Énfasis 41"/>
    <w:basedOn w:val="Tablanormal"/>
    <w:next w:val="Sombreadoclaro-nfasis4"/>
    <w:uiPriority w:val="60"/>
    <w:rsid w:val="00692DC8"/>
    <w:pPr>
      <w:spacing w:after="0" w:line="240" w:lineRule="auto"/>
    </w:pPr>
    <w:rPr>
      <w:rFonts w:ascii="Calibri" w:eastAsia="Calibri" w:hAnsi="Calibri" w:cs="Times New Roman"/>
      <w:color w:val="5F497A"/>
      <w:sz w:val="20"/>
      <w:szCs w:val="20"/>
      <w:lang w:eastAsia="es-CR"/>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Tablanormal411">
    <w:name w:val="Tabla normal 411"/>
    <w:basedOn w:val="Tablanormal"/>
    <w:uiPriority w:val="44"/>
    <w:rsid w:val="00692DC8"/>
    <w:pPr>
      <w:spacing w:after="0" w:line="240" w:lineRule="auto"/>
    </w:pPr>
    <w:rPr>
      <w:rFonts w:ascii="Calibri" w:eastAsia="Calibri" w:hAnsi="Calibri" w:cs="Times New Roman"/>
      <w:sz w:val="20"/>
      <w:szCs w:val="20"/>
      <w:lang w:eastAsia="es-C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1">
    <w:name w:val="Tabla normal 111"/>
    <w:basedOn w:val="Tablanormal"/>
    <w:uiPriority w:val="41"/>
    <w:rsid w:val="00692DC8"/>
    <w:pPr>
      <w:spacing w:after="0" w:line="240" w:lineRule="auto"/>
    </w:pPr>
    <w:rPr>
      <w:rFonts w:ascii="Calibri" w:eastAsia="Calibri" w:hAnsi="Calibri" w:cs="Times New Roman"/>
      <w:sz w:val="20"/>
      <w:szCs w:val="20"/>
      <w:lang w:eastAsia="es-C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411">
    <w:name w:val="Tabla de cuadrícula 411"/>
    <w:basedOn w:val="Tablanormal"/>
    <w:uiPriority w:val="49"/>
    <w:rsid w:val="00692DC8"/>
    <w:pPr>
      <w:spacing w:after="0" w:line="240" w:lineRule="auto"/>
    </w:pPr>
    <w:rPr>
      <w:rFonts w:ascii="Calibri" w:eastAsia="Calibri" w:hAnsi="Calibri" w:cs="Times New Roman"/>
      <w:sz w:val="20"/>
      <w:szCs w:val="20"/>
      <w:lang w:eastAsia="es-C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nfasis611">
    <w:name w:val="Tabla de cuadrícula 4 - Énfasis 611"/>
    <w:basedOn w:val="Tablanormal"/>
    <w:uiPriority w:val="49"/>
    <w:rsid w:val="00692DC8"/>
    <w:pPr>
      <w:spacing w:after="0" w:line="240" w:lineRule="auto"/>
    </w:pPr>
    <w:rPr>
      <w:rFonts w:ascii="Calibri" w:eastAsia="Calibri" w:hAnsi="Calibri" w:cs="Times New Roman"/>
      <w:sz w:val="20"/>
      <w:szCs w:val="20"/>
      <w:lang w:eastAsia="es-C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111">
    <w:name w:val="Tabla de cuadrícula 4 - Énfasis 111"/>
    <w:basedOn w:val="Tablanormal"/>
    <w:uiPriority w:val="49"/>
    <w:rsid w:val="00692DC8"/>
    <w:pPr>
      <w:spacing w:after="0" w:line="240" w:lineRule="auto"/>
    </w:pPr>
    <w:rPr>
      <w:rFonts w:ascii="Calibri" w:eastAsia="Calibri" w:hAnsi="Calibri" w:cs="Times New Roman"/>
      <w:sz w:val="20"/>
      <w:szCs w:val="20"/>
      <w:lang w:eastAsia="es-C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2-nfasis411">
    <w:name w:val="Tabla de cuadrícula 2 - Énfasis 411"/>
    <w:basedOn w:val="Tablanormal"/>
    <w:uiPriority w:val="47"/>
    <w:rsid w:val="00692DC8"/>
    <w:pPr>
      <w:spacing w:after="0" w:line="240" w:lineRule="auto"/>
    </w:pPr>
    <w:rPr>
      <w:rFonts w:ascii="Calibri" w:eastAsia="Calibri" w:hAnsi="Calibri" w:cs="Times New Roman"/>
      <w:sz w:val="20"/>
      <w:szCs w:val="20"/>
      <w:lang w:eastAsia="es-CR"/>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adecuadrcula6concolores11">
    <w:name w:val="Tabla de cuadrícula 6 con colores11"/>
    <w:basedOn w:val="Tablanormal"/>
    <w:uiPriority w:val="51"/>
    <w:rsid w:val="00692DC8"/>
    <w:pPr>
      <w:spacing w:after="0" w:line="240" w:lineRule="auto"/>
    </w:pPr>
    <w:rPr>
      <w:rFonts w:ascii="Calibri" w:eastAsia="Calibri" w:hAnsi="Calibri" w:cs="Times New Roman"/>
      <w:color w:val="000000"/>
      <w:sz w:val="20"/>
      <w:szCs w:val="20"/>
      <w:lang w:eastAsia="es-C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6concolores-nfasis211">
    <w:name w:val="Tabla de cuadrícula 6 con colores - Énfasis 211"/>
    <w:basedOn w:val="Tablanormal"/>
    <w:uiPriority w:val="51"/>
    <w:rsid w:val="00692DC8"/>
    <w:pPr>
      <w:spacing w:after="0" w:line="240" w:lineRule="auto"/>
    </w:pPr>
    <w:rPr>
      <w:rFonts w:ascii="Calibri" w:eastAsia="Calibri" w:hAnsi="Calibri" w:cs="Times New Roman"/>
      <w:color w:val="C45911"/>
      <w:sz w:val="20"/>
      <w:szCs w:val="20"/>
      <w:lang w:eastAsia="es-C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6concolores-nfasis511">
    <w:name w:val="Tabla de cuadrícula 6 con colores - Énfasis 511"/>
    <w:basedOn w:val="Tablanormal"/>
    <w:uiPriority w:val="51"/>
    <w:rsid w:val="00692DC8"/>
    <w:pPr>
      <w:spacing w:after="0" w:line="240" w:lineRule="auto"/>
    </w:pPr>
    <w:rPr>
      <w:rFonts w:ascii="Calibri" w:eastAsia="Calibri" w:hAnsi="Calibri" w:cs="Times New Roman"/>
      <w:color w:val="2F5496"/>
      <w:sz w:val="20"/>
      <w:szCs w:val="20"/>
      <w:lang w:eastAsia="es-C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6concolores-nfasis111">
    <w:name w:val="Tabla de cuadrícula 6 con colores - Énfasis 111"/>
    <w:basedOn w:val="Tablanormal"/>
    <w:uiPriority w:val="51"/>
    <w:rsid w:val="00692DC8"/>
    <w:pPr>
      <w:spacing w:after="0" w:line="240" w:lineRule="auto"/>
    </w:pPr>
    <w:rPr>
      <w:rFonts w:ascii="Calibri" w:eastAsia="Calibri" w:hAnsi="Calibri" w:cs="Times New Roman"/>
      <w:color w:val="2E74B5"/>
      <w:sz w:val="20"/>
      <w:szCs w:val="20"/>
      <w:lang w:eastAsia="es-C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1clara-nfasis111">
    <w:name w:val="Tabla de cuadrícula 1 clara - Énfasis 111"/>
    <w:basedOn w:val="Tablanormal"/>
    <w:uiPriority w:val="46"/>
    <w:rsid w:val="00692DC8"/>
    <w:pPr>
      <w:spacing w:after="0" w:line="240" w:lineRule="auto"/>
    </w:pPr>
    <w:rPr>
      <w:rFonts w:ascii="Calibri" w:eastAsia="Calibri" w:hAnsi="Calibri" w:cs="Times New Roman"/>
      <w:sz w:val="20"/>
      <w:szCs w:val="20"/>
      <w:lang w:eastAsia="es-CR"/>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anormal311">
    <w:name w:val="Tabla normal 311"/>
    <w:basedOn w:val="Tablanormal"/>
    <w:uiPriority w:val="43"/>
    <w:rsid w:val="00692DC8"/>
    <w:pPr>
      <w:spacing w:after="0" w:line="240" w:lineRule="auto"/>
    </w:pPr>
    <w:rPr>
      <w:rFonts w:ascii="Calibri" w:eastAsia="Calibri" w:hAnsi="Calibri" w:cs="Times New Roman"/>
      <w:sz w:val="20"/>
      <w:szCs w:val="20"/>
      <w:lang w:eastAsia="es-CR"/>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Listaclara-nfasis11">
    <w:name w:val="Lista clara - Énfasis 11"/>
    <w:basedOn w:val="Tablanormal"/>
    <w:next w:val="Listaclara-nfasis1"/>
    <w:uiPriority w:val="61"/>
    <w:rsid w:val="00692DC8"/>
    <w:pPr>
      <w:spacing w:after="0" w:line="240" w:lineRule="auto"/>
    </w:pPr>
    <w:rPr>
      <w:rFonts w:ascii="Calibri" w:eastAsia="Calibri" w:hAnsi="Calibri" w:cs="Times New Roman"/>
      <w:sz w:val="20"/>
      <w:szCs w:val="20"/>
      <w:lang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anormal"/>
    <w:next w:val="Sombreadomedio2-nfasis1"/>
    <w:uiPriority w:val="64"/>
    <w:rsid w:val="00692DC8"/>
    <w:pPr>
      <w:spacing w:after="0" w:line="240" w:lineRule="auto"/>
    </w:pPr>
    <w:rPr>
      <w:rFonts w:ascii="Calibri" w:eastAsia="Calibri" w:hAnsi="Calibri" w:cs="Times New Roman"/>
      <w:sz w:val="20"/>
      <w:szCs w:val="20"/>
      <w:lang w:eastAsia="es-C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elegante1">
    <w:name w:val="Tabla elegante1"/>
    <w:basedOn w:val="Tablanormal"/>
    <w:next w:val="Tablaelegante"/>
    <w:rsid w:val="00692DC8"/>
    <w:pPr>
      <w:spacing w:after="0" w:line="240" w:lineRule="auto"/>
    </w:pPr>
    <w:rPr>
      <w:rFonts w:ascii="Times New Roman" w:eastAsia="Times New Roman" w:hAnsi="Times New Roman" w:cs="Times New Roman"/>
      <w:sz w:val="20"/>
      <w:szCs w:val="20"/>
      <w:lang w:val="es-ES" w:eastAsia="es-E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NormalWeb1">
    <w:name w:val="Normal (Web)1"/>
    <w:basedOn w:val="Normal"/>
    <w:rsid w:val="00692DC8"/>
    <w:pPr>
      <w:suppressAutoHyphens/>
      <w:spacing w:before="280" w:after="280" w:line="240" w:lineRule="auto"/>
      <w:outlineLvl w:val="0"/>
    </w:pPr>
    <w:rPr>
      <w:rFonts w:ascii="Times New Roman" w:eastAsia="Times New Roman" w:hAnsi="Times New Roman" w:cs="Times New Roman"/>
      <w:szCs w:val="24"/>
      <w:lang w:eastAsia="zh-CN"/>
    </w:rPr>
  </w:style>
  <w:style w:type="paragraph" w:customStyle="1" w:styleId="paragraph">
    <w:name w:val="paragraph"/>
    <w:basedOn w:val="Normal"/>
    <w:rsid w:val="00692DC8"/>
    <w:pPr>
      <w:spacing w:before="100" w:beforeAutospacing="1" w:after="100" w:afterAutospacing="1" w:line="240" w:lineRule="auto"/>
      <w:outlineLvl w:val="0"/>
    </w:pPr>
    <w:rPr>
      <w:rFonts w:ascii="Times New Roman" w:eastAsia="Times New Roman" w:hAnsi="Times New Roman" w:cs="Times New Roman"/>
      <w:szCs w:val="24"/>
      <w:lang w:eastAsia="es-CR"/>
    </w:rPr>
  </w:style>
  <w:style w:type="character" w:customStyle="1" w:styleId="normaltextrun">
    <w:name w:val="normaltextrun"/>
    <w:basedOn w:val="Fuentedeprrafopredeter"/>
    <w:rsid w:val="00692DC8"/>
  </w:style>
  <w:style w:type="character" w:customStyle="1" w:styleId="eop">
    <w:name w:val="eop"/>
    <w:basedOn w:val="Fuentedeprrafopredeter"/>
    <w:rsid w:val="00692DC8"/>
  </w:style>
  <w:style w:type="paragraph" w:customStyle="1" w:styleId="ui-chatitem">
    <w:name w:val="ui-chat__item"/>
    <w:basedOn w:val="Normal"/>
    <w:rsid w:val="00692DC8"/>
    <w:pPr>
      <w:spacing w:before="100" w:beforeAutospacing="1" w:after="100" w:afterAutospacing="1" w:line="240" w:lineRule="auto"/>
      <w:jc w:val="left"/>
    </w:pPr>
    <w:rPr>
      <w:rFonts w:ascii="Times New Roman" w:eastAsia="Times New Roman" w:hAnsi="Times New Roman" w:cs="Times New Roman"/>
      <w:szCs w:val="24"/>
      <w:lang w:eastAsia="es-CR"/>
    </w:rPr>
  </w:style>
  <w:style w:type="paragraph" w:styleId="TtuloTDC">
    <w:name w:val="TOC Heading"/>
    <w:basedOn w:val="Ttulo1"/>
    <w:next w:val="Normal"/>
    <w:uiPriority w:val="39"/>
    <w:unhideWhenUsed/>
    <w:qFormat/>
    <w:rsid w:val="00CF64F8"/>
    <w:pPr>
      <w:spacing w:line="259" w:lineRule="auto"/>
      <w:jc w:val="left"/>
      <w:outlineLvl w:val="9"/>
    </w:pPr>
    <w:rPr>
      <w:rFonts w:asciiTheme="majorHAnsi" w:hAnsiTheme="majorHAnsi"/>
      <w:b w:val="0"/>
      <w:color w:val="2F5496" w:themeColor="accent1" w:themeShade="BF"/>
      <w:sz w:val="32"/>
      <w:u w:val="none"/>
      <w:lang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041">
      <w:bodyDiv w:val="1"/>
      <w:marLeft w:val="0"/>
      <w:marRight w:val="0"/>
      <w:marTop w:val="0"/>
      <w:marBottom w:val="0"/>
      <w:divBdr>
        <w:top w:val="none" w:sz="0" w:space="0" w:color="auto"/>
        <w:left w:val="none" w:sz="0" w:space="0" w:color="auto"/>
        <w:bottom w:val="none" w:sz="0" w:space="0" w:color="auto"/>
        <w:right w:val="none" w:sz="0" w:space="0" w:color="auto"/>
      </w:divBdr>
    </w:div>
    <w:div w:id="131702">
      <w:bodyDiv w:val="1"/>
      <w:marLeft w:val="0"/>
      <w:marRight w:val="0"/>
      <w:marTop w:val="0"/>
      <w:marBottom w:val="0"/>
      <w:divBdr>
        <w:top w:val="none" w:sz="0" w:space="0" w:color="auto"/>
        <w:left w:val="none" w:sz="0" w:space="0" w:color="auto"/>
        <w:bottom w:val="none" w:sz="0" w:space="0" w:color="auto"/>
        <w:right w:val="none" w:sz="0" w:space="0" w:color="auto"/>
      </w:divBdr>
    </w:div>
    <w:div w:id="203515">
      <w:bodyDiv w:val="1"/>
      <w:marLeft w:val="0"/>
      <w:marRight w:val="0"/>
      <w:marTop w:val="0"/>
      <w:marBottom w:val="0"/>
      <w:divBdr>
        <w:top w:val="none" w:sz="0" w:space="0" w:color="auto"/>
        <w:left w:val="none" w:sz="0" w:space="0" w:color="auto"/>
        <w:bottom w:val="none" w:sz="0" w:space="0" w:color="auto"/>
        <w:right w:val="none" w:sz="0" w:space="0" w:color="auto"/>
      </w:divBdr>
    </w:div>
    <w:div w:id="354282">
      <w:bodyDiv w:val="1"/>
      <w:marLeft w:val="0"/>
      <w:marRight w:val="0"/>
      <w:marTop w:val="0"/>
      <w:marBottom w:val="0"/>
      <w:divBdr>
        <w:top w:val="none" w:sz="0" w:space="0" w:color="auto"/>
        <w:left w:val="none" w:sz="0" w:space="0" w:color="auto"/>
        <w:bottom w:val="none" w:sz="0" w:space="0" w:color="auto"/>
        <w:right w:val="none" w:sz="0" w:space="0" w:color="auto"/>
      </w:divBdr>
    </w:div>
    <w:div w:id="360237">
      <w:bodyDiv w:val="1"/>
      <w:marLeft w:val="0"/>
      <w:marRight w:val="0"/>
      <w:marTop w:val="0"/>
      <w:marBottom w:val="0"/>
      <w:divBdr>
        <w:top w:val="none" w:sz="0" w:space="0" w:color="auto"/>
        <w:left w:val="none" w:sz="0" w:space="0" w:color="auto"/>
        <w:bottom w:val="none" w:sz="0" w:space="0" w:color="auto"/>
        <w:right w:val="none" w:sz="0" w:space="0" w:color="auto"/>
      </w:divBdr>
    </w:div>
    <w:div w:id="401862">
      <w:bodyDiv w:val="1"/>
      <w:marLeft w:val="0"/>
      <w:marRight w:val="0"/>
      <w:marTop w:val="0"/>
      <w:marBottom w:val="0"/>
      <w:divBdr>
        <w:top w:val="none" w:sz="0" w:space="0" w:color="auto"/>
        <w:left w:val="none" w:sz="0" w:space="0" w:color="auto"/>
        <w:bottom w:val="none" w:sz="0" w:space="0" w:color="auto"/>
        <w:right w:val="none" w:sz="0" w:space="0" w:color="auto"/>
      </w:divBdr>
    </w:div>
    <w:div w:id="470208">
      <w:bodyDiv w:val="1"/>
      <w:marLeft w:val="0"/>
      <w:marRight w:val="0"/>
      <w:marTop w:val="0"/>
      <w:marBottom w:val="0"/>
      <w:divBdr>
        <w:top w:val="none" w:sz="0" w:space="0" w:color="auto"/>
        <w:left w:val="none" w:sz="0" w:space="0" w:color="auto"/>
        <w:bottom w:val="none" w:sz="0" w:space="0" w:color="auto"/>
        <w:right w:val="none" w:sz="0" w:space="0" w:color="auto"/>
      </w:divBdr>
    </w:div>
    <w:div w:id="548496">
      <w:bodyDiv w:val="1"/>
      <w:marLeft w:val="0"/>
      <w:marRight w:val="0"/>
      <w:marTop w:val="0"/>
      <w:marBottom w:val="0"/>
      <w:divBdr>
        <w:top w:val="none" w:sz="0" w:space="0" w:color="auto"/>
        <w:left w:val="none" w:sz="0" w:space="0" w:color="auto"/>
        <w:bottom w:val="none" w:sz="0" w:space="0" w:color="auto"/>
        <w:right w:val="none" w:sz="0" w:space="0" w:color="auto"/>
      </w:divBdr>
    </w:div>
    <w:div w:id="551401">
      <w:bodyDiv w:val="1"/>
      <w:marLeft w:val="0"/>
      <w:marRight w:val="0"/>
      <w:marTop w:val="0"/>
      <w:marBottom w:val="0"/>
      <w:divBdr>
        <w:top w:val="none" w:sz="0" w:space="0" w:color="auto"/>
        <w:left w:val="none" w:sz="0" w:space="0" w:color="auto"/>
        <w:bottom w:val="none" w:sz="0" w:space="0" w:color="auto"/>
        <w:right w:val="none" w:sz="0" w:space="0" w:color="auto"/>
      </w:divBdr>
    </w:div>
    <w:div w:id="620513">
      <w:bodyDiv w:val="1"/>
      <w:marLeft w:val="0"/>
      <w:marRight w:val="0"/>
      <w:marTop w:val="0"/>
      <w:marBottom w:val="0"/>
      <w:divBdr>
        <w:top w:val="none" w:sz="0" w:space="0" w:color="auto"/>
        <w:left w:val="none" w:sz="0" w:space="0" w:color="auto"/>
        <w:bottom w:val="none" w:sz="0" w:space="0" w:color="auto"/>
        <w:right w:val="none" w:sz="0" w:space="0" w:color="auto"/>
      </w:divBdr>
    </w:div>
    <w:div w:id="669060">
      <w:bodyDiv w:val="1"/>
      <w:marLeft w:val="0"/>
      <w:marRight w:val="0"/>
      <w:marTop w:val="0"/>
      <w:marBottom w:val="0"/>
      <w:divBdr>
        <w:top w:val="none" w:sz="0" w:space="0" w:color="auto"/>
        <w:left w:val="none" w:sz="0" w:space="0" w:color="auto"/>
        <w:bottom w:val="none" w:sz="0" w:space="0" w:color="auto"/>
        <w:right w:val="none" w:sz="0" w:space="0" w:color="auto"/>
      </w:divBdr>
    </w:div>
    <w:div w:id="744583">
      <w:bodyDiv w:val="1"/>
      <w:marLeft w:val="0"/>
      <w:marRight w:val="0"/>
      <w:marTop w:val="0"/>
      <w:marBottom w:val="0"/>
      <w:divBdr>
        <w:top w:val="none" w:sz="0" w:space="0" w:color="auto"/>
        <w:left w:val="none" w:sz="0" w:space="0" w:color="auto"/>
        <w:bottom w:val="none" w:sz="0" w:space="0" w:color="auto"/>
        <w:right w:val="none" w:sz="0" w:space="0" w:color="auto"/>
      </w:divBdr>
    </w:div>
    <w:div w:id="1009746">
      <w:bodyDiv w:val="1"/>
      <w:marLeft w:val="0"/>
      <w:marRight w:val="0"/>
      <w:marTop w:val="0"/>
      <w:marBottom w:val="0"/>
      <w:divBdr>
        <w:top w:val="none" w:sz="0" w:space="0" w:color="auto"/>
        <w:left w:val="none" w:sz="0" w:space="0" w:color="auto"/>
        <w:bottom w:val="none" w:sz="0" w:space="0" w:color="auto"/>
        <w:right w:val="none" w:sz="0" w:space="0" w:color="auto"/>
      </w:divBdr>
    </w:div>
    <w:div w:id="1056097">
      <w:bodyDiv w:val="1"/>
      <w:marLeft w:val="0"/>
      <w:marRight w:val="0"/>
      <w:marTop w:val="0"/>
      <w:marBottom w:val="0"/>
      <w:divBdr>
        <w:top w:val="none" w:sz="0" w:space="0" w:color="auto"/>
        <w:left w:val="none" w:sz="0" w:space="0" w:color="auto"/>
        <w:bottom w:val="none" w:sz="0" w:space="0" w:color="auto"/>
        <w:right w:val="none" w:sz="0" w:space="0" w:color="auto"/>
      </w:divBdr>
    </w:div>
    <w:div w:id="1127598">
      <w:bodyDiv w:val="1"/>
      <w:marLeft w:val="0"/>
      <w:marRight w:val="0"/>
      <w:marTop w:val="0"/>
      <w:marBottom w:val="0"/>
      <w:divBdr>
        <w:top w:val="none" w:sz="0" w:space="0" w:color="auto"/>
        <w:left w:val="none" w:sz="0" w:space="0" w:color="auto"/>
        <w:bottom w:val="none" w:sz="0" w:space="0" w:color="auto"/>
        <w:right w:val="none" w:sz="0" w:space="0" w:color="auto"/>
      </w:divBdr>
    </w:div>
    <w:div w:id="1129806">
      <w:bodyDiv w:val="1"/>
      <w:marLeft w:val="0"/>
      <w:marRight w:val="0"/>
      <w:marTop w:val="0"/>
      <w:marBottom w:val="0"/>
      <w:divBdr>
        <w:top w:val="none" w:sz="0" w:space="0" w:color="auto"/>
        <w:left w:val="none" w:sz="0" w:space="0" w:color="auto"/>
        <w:bottom w:val="none" w:sz="0" w:space="0" w:color="auto"/>
        <w:right w:val="none" w:sz="0" w:space="0" w:color="auto"/>
      </w:divBdr>
    </w:div>
    <w:div w:id="1133349">
      <w:bodyDiv w:val="1"/>
      <w:marLeft w:val="0"/>
      <w:marRight w:val="0"/>
      <w:marTop w:val="0"/>
      <w:marBottom w:val="0"/>
      <w:divBdr>
        <w:top w:val="none" w:sz="0" w:space="0" w:color="auto"/>
        <w:left w:val="none" w:sz="0" w:space="0" w:color="auto"/>
        <w:bottom w:val="none" w:sz="0" w:space="0" w:color="auto"/>
        <w:right w:val="none" w:sz="0" w:space="0" w:color="auto"/>
      </w:divBdr>
    </w:div>
    <w:div w:id="1200346">
      <w:bodyDiv w:val="1"/>
      <w:marLeft w:val="0"/>
      <w:marRight w:val="0"/>
      <w:marTop w:val="0"/>
      <w:marBottom w:val="0"/>
      <w:divBdr>
        <w:top w:val="none" w:sz="0" w:space="0" w:color="auto"/>
        <w:left w:val="none" w:sz="0" w:space="0" w:color="auto"/>
        <w:bottom w:val="none" w:sz="0" w:space="0" w:color="auto"/>
        <w:right w:val="none" w:sz="0" w:space="0" w:color="auto"/>
      </w:divBdr>
    </w:div>
    <w:div w:id="1322609">
      <w:bodyDiv w:val="1"/>
      <w:marLeft w:val="0"/>
      <w:marRight w:val="0"/>
      <w:marTop w:val="0"/>
      <w:marBottom w:val="0"/>
      <w:divBdr>
        <w:top w:val="none" w:sz="0" w:space="0" w:color="auto"/>
        <w:left w:val="none" w:sz="0" w:space="0" w:color="auto"/>
        <w:bottom w:val="none" w:sz="0" w:space="0" w:color="auto"/>
        <w:right w:val="none" w:sz="0" w:space="0" w:color="auto"/>
      </w:divBdr>
    </w:div>
    <w:div w:id="1324630">
      <w:bodyDiv w:val="1"/>
      <w:marLeft w:val="0"/>
      <w:marRight w:val="0"/>
      <w:marTop w:val="0"/>
      <w:marBottom w:val="0"/>
      <w:divBdr>
        <w:top w:val="none" w:sz="0" w:space="0" w:color="auto"/>
        <w:left w:val="none" w:sz="0" w:space="0" w:color="auto"/>
        <w:bottom w:val="none" w:sz="0" w:space="0" w:color="auto"/>
        <w:right w:val="none" w:sz="0" w:space="0" w:color="auto"/>
      </w:divBdr>
    </w:div>
    <w:div w:id="1325121">
      <w:bodyDiv w:val="1"/>
      <w:marLeft w:val="0"/>
      <w:marRight w:val="0"/>
      <w:marTop w:val="0"/>
      <w:marBottom w:val="0"/>
      <w:divBdr>
        <w:top w:val="none" w:sz="0" w:space="0" w:color="auto"/>
        <w:left w:val="none" w:sz="0" w:space="0" w:color="auto"/>
        <w:bottom w:val="none" w:sz="0" w:space="0" w:color="auto"/>
        <w:right w:val="none" w:sz="0" w:space="0" w:color="auto"/>
      </w:divBdr>
    </w:div>
    <w:div w:id="1398839">
      <w:bodyDiv w:val="1"/>
      <w:marLeft w:val="0"/>
      <w:marRight w:val="0"/>
      <w:marTop w:val="0"/>
      <w:marBottom w:val="0"/>
      <w:divBdr>
        <w:top w:val="none" w:sz="0" w:space="0" w:color="auto"/>
        <w:left w:val="none" w:sz="0" w:space="0" w:color="auto"/>
        <w:bottom w:val="none" w:sz="0" w:space="0" w:color="auto"/>
        <w:right w:val="none" w:sz="0" w:space="0" w:color="auto"/>
      </w:divBdr>
    </w:div>
    <w:div w:id="1587454">
      <w:bodyDiv w:val="1"/>
      <w:marLeft w:val="0"/>
      <w:marRight w:val="0"/>
      <w:marTop w:val="0"/>
      <w:marBottom w:val="0"/>
      <w:divBdr>
        <w:top w:val="none" w:sz="0" w:space="0" w:color="auto"/>
        <w:left w:val="none" w:sz="0" w:space="0" w:color="auto"/>
        <w:bottom w:val="none" w:sz="0" w:space="0" w:color="auto"/>
        <w:right w:val="none" w:sz="0" w:space="0" w:color="auto"/>
      </w:divBdr>
    </w:div>
    <w:div w:id="1707159">
      <w:bodyDiv w:val="1"/>
      <w:marLeft w:val="0"/>
      <w:marRight w:val="0"/>
      <w:marTop w:val="0"/>
      <w:marBottom w:val="0"/>
      <w:divBdr>
        <w:top w:val="none" w:sz="0" w:space="0" w:color="auto"/>
        <w:left w:val="none" w:sz="0" w:space="0" w:color="auto"/>
        <w:bottom w:val="none" w:sz="0" w:space="0" w:color="auto"/>
        <w:right w:val="none" w:sz="0" w:space="0" w:color="auto"/>
      </w:divBdr>
    </w:div>
    <w:div w:id="1862061">
      <w:bodyDiv w:val="1"/>
      <w:marLeft w:val="0"/>
      <w:marRight w:val="0"/>
      <w:marTop w:val="0"/>
      <w:marBottom w:val="0"/>
      <w:divBdr>
        <w:top w:val="none" w:sz="0" w:space="0" w:color="auto"/>
        <w:left w:val="none" w:sz="0" w:space="0" w:color="auto"/>
        <w:bottom w:val="none" w:sz="0" w:space="0" w:color="auto"/>
        <w:right w:val="none" w:sz="0" w:space="0" w:color="auto"/>
      </w:divBdr>
    </w:div>
    <w:div w:id="2171897">
      <w:bodyDiv w:val="1"/>
      <w:marLeft w:val="0"/>
      <w:marRight w:val="0"/>
      <w:marTop w:val="0"/>
      <w:marBottom w:val="0"/>
      <w:divBdr>
        <w:top w:val="none" w:sz="0" w:space="0" w:color="auto"/>
        <w:left w:val="none" w:sz="0" w:space="0" w:color="auto"/>
        <w:bottom w:val="none" w:sz="0" w:space="0" w:color="auto"/>
        <w:right w:val="none" w:sz="0" w:space="0" w:color="auto"/>
      </w:divBdr>
    </w:div>
    <w:div w:id="2175816">
      <w:bodyDiv w:val="1"/>
      <w:marLeft w:val="0"/>
      <w:marRight w:val="0"/>
      <w:marTop w:val="0"/>
      <w:marBottom w:val="0"/>
      <w:divBdr>
        <w:top w:val="none" w:sz="0" w:space="0" w:color="auto"/>
        <w:left w:val="none" w:sz="0" w:space="0" w:color="auto"/>
        <w:bottom w:val="none" w:sz="0" w:space="0" w:color="auto"/>
        <w:right w:val="none" w:sz="0" w:space="0" w:color="auto"/>
      </w:divBdr>
    </w:div>
    <w:div w:id="2242184">
      <w:bodyDiv w:val="1"/>
      <w:marLeft w:val="0"/>
      <w:marRight w:val="0"/>
      <w:marTop w:val="0"/>
      <w:marBottom w:val="0"/>
      <w:divBdr>
        <w:top w:val="none" w:sz="0" w:space="0" w:color="auto"/>
        <w:left w:val="none" w:sz="0" w:space="0" w:color="auto"/>
        <w:bottom w:val="none" w:sz="0" w:space="0" w:color="auto"/>
        <w:right w:val="none" w:sz="0" w:space="0" w:color="auto"/>
      </w:divBdr>
    </w:div>
    <w:div w:id="2244172">
      <w:bodyDiv w:val="1"/>
      <w:marLeft w:val="0"/>
      <w:marRight w:val="0"/>
      <w:marTop w:val="0"/>
      <w:marBottom w:val="0"/>
      <w:divBdr>
        <w:top w:val="none" w:sz="0" w:space="0" w:color="auto"/>
        <w:left w:val="none" w:sz="0" w:space="0" w:color="auto"/>
        <w:bottom w:val="none" w:sz="0" w:space="0" w:color="auto"/>
        <w:right w:val="none" w:sz="0" w:space="0" w:color="auto"/>
      </w:divBdr>
    </w:div>
    <w:div w:id="2248908">
      <w:bodyDiv w:val="1"/>
      <w:marLeft w:val="0"/>
      <w:marRight w:val="0"/>
      <w:marTop w:val="0"/>
      <w:marBottom w:val="0"/>
      <w:divBdr>
        <w:top w:val="none" w:sz="0" w:space="0" w:color="auto"/>
        <w:left w:val="none" w:sz="0" w:space="0" w:color="auto"/>
        <w:bottom w:val="none" w:sz="0" w:space="0" w:color="auto"/>
        <w:right w:val="none" w:sz="0" w:space="0" w:color="auto"/>
      </w:divBdr>
    </w:div>
    <w:div w:id="2322645">
      <w:bodyDiv w:val="1"/>
      <w:marLeft w:val="0"/>
      <w:marRight w:val="0"/>
      <w:marTop w:val="0"/>
      <w:marBottom w:val="0"/>
      <w:divBdr>
        <w:top w:val="none" w:sz="0" w:space="0" w:color="auto"/>
        <w:left w:val="none" w:sz="0" w:space="0" w:color="auto"/>
        <w:bottom w:val="none" w:sz="0" w:space="0" w:color="auto"/>
        <w:right w:val="none" w:sz="0" w:space="0" w:color="auto"/>
      </w:divBdr>
    </w:div>
    <w:div w:id="2362440">
      <w:bodyDiv w:val="1"/>
      <w:marLeft w:val="0"/>
      <w:marRight w:val="0"/>
      <w:marTop w:val="0"/>
      <w:marBottom w:val="0"/>
      <w:divBdr>
        <w:top w:val="none" w:sz="0" w:space="0" w:color="auto"/>
        <w:left w:val="none" w:sz="0" w:space="0" w:color="auto"/>
        <w:bottom w:val="none" w:sz="0" w:space="0" w:color="auto"/>
        <w:right w:val="none" w:sz="0" w:space="0" w:color="auto"/>
      </w:divBdr>
    </w:div>
    <w:div w:id="2437439">
      <w:bodyDiv w:val="1"/>
      <w:marLeft w:val="0"/>
      <w:marRight w:val="0"/>
      <w:marTop w:val="0"/>
      <w:marBottom w:val="0"/>
      <w:divBdr>
        <w:top w:val="none" w:sz="0" w:space="0" w:color="auto"/>
        <w:left w:val="none" w:sz="0" w:space="0" w:color="auto"/>
        <w:bottom w:val="none" w:sz="0" w:space="0" w:color="auto"/>
        <w:right w:val="none" w:sz="0" w:space="0" w:color="auto"/>
      </w:divBdr>
    </w:div>
    <w:div w:id="2443308">
      <w:bodyDiv w:val="1"/>
      <w:marLeft w:val="0"/>
      <w:marRight w:val="0"/>
      <w:marTop w:val="0"/>
      <w:marBottom w:val="0"/>
      <w:divBdr>
        <w:top w:val="none" w:sz="0" w:space="0" w:color="auto"/>
        <w:left w:val="none" w:sz="0" w:space="0" w:color="auto"/>
        <w:bottom w:val="none" w:sz="0" w:space="0" w:color="auto"/>
        <w:right w:val="none" w:sz="0" w:space="0" w:color="auto"/>
      </w:divBdr>
    </w:div>
    <w:div w:id="2629414">
      <w:bodyDiv w:val="1"/>
      <w:marLeft w:val="0"/>
      <w:marRight w:val="0"/>
      <w:marTop w:val="0"/>
      <w:marBottom w:val="0"/>
      <w:divBdr>
        <w:top w:val="none" w:sz="0" w:space="0" w:color="auto"/>
        <w:left w:val="none" w:sz="0" w:space="0" w:color="auto"/>
        <w:bottom w:val="none" w:sz="0" w:space="0" w:color="auto"/>
        <w:right w:val="none" w:sz="0" w:space="0" w:color="auto"/>
      </w:divBdr>
    </w:div>
    <w:div w:id="2632201">
      <w:bodyDiv w:val="1"/>
      <w:marLeft w:val="0"/>
      <w:marRight w:val="0"/>
      <w:marTop w:val="0"/>
      <w:marBottom w:val="0"/>
      <w:divBdr>
        <w:top w:val="none" w:sz="0" w:space="0" w:color="auto"/>
        <w:left w:val="none" w:sz="0" w:space="0" w:color="auto"/>
        <w:bottom w:val="none" w:sz="0" w:space="0" w:color="auto"/>
        <w:right w:val="none" w:sz="0" w:space="0" w:color="auto"/>
      </w:divBdr>
    </w:div>
    <w:div w:id="2753299">
      <w:bodyDiv w:val="1"/>
      <w:marLeft w:val="0"/>
      <w:marRight w:val="0"/>
      <w:marTop w:val="0"/>
      <w:marBottom w:val="0"/>
      <w:divBdr>
        <w:top w:val="none" w:sz="0" w:space="0" w:color="auto"/>
        <w:left w:val="none" w:sz="0" w:space="0" w:color="auto"/>
        <w:bottom w:val="none" w:sz="0" w:space="0" w:color="auto"/>
        <w:right w:val="none" w:sz="0" w:space="0" w:color="auto"/>
      </w:divBdr>
    </w:div>
    <w:div w:id="2829869">
      <w:bodyDiv w:val="1"/>
      <w:marLeft w:val="0"/>
      <w:marRight w:val="0"/>
      <w:marTop w:val="0"/>
      <w:marBottom w:val="0"/>
      <w:divBdr>
        <w:top w:val="none" w:sz="0" w:space="0" w:color="auto"/>
        <w:left w:val="none" w:sz="0" w:space="0" w:color="auto"/>
        <w:bottom w:val="none" w:sz="0" w:space="0" w:color="auto"/>
        <w:right w:val="none" w:sz="0" w:space="0" w:color="auto"/>
      </w:divBdr>
    </w:div>
    <w:div w:id="3172723">
      <w:bodyDiv w:val="1"/>
      <w:marLeft w:val="0"/>
      <w:marRight w:val="0"/>
      <w:marTop w:val="0"/>
      <w:marBottom w:val="0"/>
      <w:divBdr>
        <w:top w:val="none" w:sz="0" w:space="0" w:color="auto"/>
        <w:left w:val="none" w:sz="0" w:space="0" w:color="auto"/>
        <w:bottom w:val="none" w:sz="0" w:space="0" w:color="auto"/>
        <w:right w:val="none" w:sz="0" w:space="0" w:color="auto"/>
      </w:divBdr>
    </w:div>
    <w:div w:id="3631216">
      <w:bodyDiv w:val="1"/>
      <w:marLeft w:val="0"/>
      <w:marRight w:val="0"/>
      <w:marTop w:val="0"/>
      <w:marBottom w:val="0"/>
      <w:divBdr>
        <w:top w:val="none" w:sz="0" w:space="0" w:color="auto"/>
        <w:left w:val="none" w:sz="0" w:space="0" w:color="auto"/>
        <w:bottom w:val="none" w:sz="0" w:space="0" w:color="auto"/>
        <w:right w:val="none" w:sz="0" w:space="0" w:color="auto"/>
      </w:divBdr>
    </w:div>
    <w:div w:id="3632475">
      <w:bodyDiv w:val="1"/>
      <w:marLeft w:val="0"/>
      <w:marRight w:val="0"/>
      <w:marTop w:val="0"/>
      <w:marBottom w:val="0"/>
      <w:divBdr>
        <w:top w:val="none" w:sz="0" w:space="0" w:color="auto"/>
        <w:left w:val="none" w:sz="0" w:space="0" w:color="auto"/>
        <w:bottom w:val="none" w:sz="0" w:space="0" w:color="auto"/>
        <w:right w:val="none" w:sz="0" w:space="0" w:color="auto"/>
      </w:divBdr>
    </w:div>
    <w:div w:id="3635799">
      <w:bodyDiv w:val="1"/>
      <w:marLeft w:val="0"/>
      <w:marRight w:val="0"/>
      <w:marTop w:val="0"/>
      <w:marBottom w:val="0"/>
      <w:divBdr>
        <w:top w:val="none" w:sz="0" w:space="0" w:color="auto"/>
        <w:left w:val="none" w:sz="0" w:space="0" w:color="auto"/>
        <w:bottom w:val="none" w:sz="0" w:space="0" w:color="auto"/>
        <w:right w:val="none" w:sz="0" w:space="0" w:color="auto"/>
      </w:divBdr>
    </w:div>
    <w:div w:id="3675212">
      <w:bodyDiv w:val="1"/>
      <w:marLeft w:val="0"/>
      <w:marRight w:val="0"/>
      <w:marTop w:val="0"/>
      <w:marBottom w:val="0"/>
      <w:divBdr>
        <w:top w:val="none" w:sz="0" w:space="0" w:color="auto"/>
        <w:left w:val="none" w:sz="0" w:space="0" w:color="auto"/>
        <w:bottom w:val="none" w:sz="0" w:space="0" w:color="auto"/>
        <w:right w:val="none" w:sz="0" w:space="0" w:color="auto"/>
      </w:divBdr>
    </w:div>
    <w:div w:id="3679632">
      <w:bodyDiv w:val="1"/>
      <w:marLeft w:val="0"/>
      <w:marRight w:val="0"/>
      <w:marTop w:val="0"/>
      <w:marBottom w:val="0"/>
      <w:divBdr>
        <w:top w:val="none" w:sz="0" w:space="0" w:color="auto"/>
        <w:left w:val="none" w:sz="0" w:space="0" w:color="auto"/>
        <w:bottom w:val="none" w:sz="0" w:space="0" w:color="auto"/>
        <w:right w:val="none" w:sz="0" w:space="0" w:color="auto"/>
      </w:divBdr>
    </w:div>
    <w:div w:id="3896608">
      <w:bodyDiv w:val="1"/>
      <w:marLeft w:val="0"/>
      <w:marRight w:val="0"/>
      <w:marTop w:val="0"/>
      <w:marBottom w:val="0"/>
      <w:divBdr>
        <w:top w:val="none" w:sz="0" w:space="0" w:color="auto"/>
        <w:left w:val="none" w:sz="0" w:space="0" w:color="auto"/>
        <w:bottom w:val="none" w:sz="0" w:space="0" w:color="auto"/>
        <w:right w:val="none" w:sz="0" w:space="0" w:color="auto"/>
      </w:divBdr>
    </w:div>
    <w:div w:id="4064424">
      <w:bodyDiv w:val="1"/>
      <w:marLeft w:val="0"/>
      <w:marRight w:val="0"/>
      <w:marTop w:val="0"/>
      <w:marBottom w:val="0"/>
      <w:divBdr>
        <w:top w:val="none" w:sz="0" w:space="0" w:color="auto"/>
        <w:left w:val="none" w:sz="0" w:space="0" w:color="auto"/>
        <w:bottom w:val="none" w:sz="0" w:space="0" w:color="auto"/>
        <w:right w:val="none" w:sz="0" w:space="0" w:color="auto"/>
      </w:divBdr>
    </w:div>
    <w:div w:id="4136980">
      <w:bodyDiv w:val="1"/>
      <w:marLeft w:val="0"/>
      <w:marRight w:val="0"/>
      <w:marTop w:val="0"/>
      <w:marBottom w:val="0"/>
      <w:divBdr>
        <w:top w:val="none" w:sz="0" w:space="0" w:color="auto"/>
        <w:left w:val="none" w:sz="0" w:space="0" w:color="auto"/>
        <w:bottom w:val="none" w:sz="0" w:space="0" w:color="auto"/>
        <w:right w:val="none" w:sz="0" w:space="0" w:color="auto"/>
      </w:divBdr>
    </w:div>
    <w:div w:id="4284929">
      <w:bodyDiv w:val="1"/>
      <w:marLeft w:val="0"/>
      <w:marRight w:val="0"/>
      <w:marTop w:val="0"/>
      <w:marBottom w:val="0"/>
      <w:divBdr>
        <w:top w:val="none" w:sz="0" w:space="0" w:color="auto"/>
        <w:left w:val="none" w:sz="0" w:space="0" w:color="auto"/>
        <w:bottom w:val="none" w:sz="0" w:space="0" w:color="auto"/>
        <w:right w:val="none" w:sz="0" w:space="0" w:color="auto"/>
      </w:divBdr>
    </w:div>
    <w:div w:id="4291261">
      <w:bodyDiv w:val="1"/>
      <w:marLeft w:val="0"/>
      <w:marRight w:val="0"/>
      <w:marTop w:val="0"/>
      <w:marBottom w:val="0"/>
      <w:divBdr>
        <w:top w:val="none" w:sz="0" w:space="0" w:color="auto"/>
        <w:left w:val="none" w:sz="0" w:space="0" w:color="auto"/>
        <w:bottom w:val="none" w:sz="0" w:space="0" w:color="auto"/>
        <w:right w:val="none" w:sz="0" w:space="0" w:color="auto"/>
      </w:divBdr>
    </w:div>
    <w:div w:id="4477877">
      <w:bodyDiv w:val="1"/>
      <w:marLeft w:val="0"/>
      <w:marRight w:val="0"/>
      <w:marTop w:val="0"/>
      <w:marBottom w:val="0"/>
      <w:divBdr>
        <w:top w:val="none" w:sz="0" w:space="0" w:color="auto"/>
        <w:left w:val="none" w:sz="0" w:space="0" w:color="auto"/>
        <w:bottom w:val="none" w:sz="0" w:space="0" w:color="auto"/>
        <w:right w:val="none" w:sz="0" w:space="0" w:color="auto"/>
      </w:divBdr>
    </w:div>
    <w:div w:id="4676455">
      <w:bodyDiv w:val="1"/>
      <w:marLeft w:val="0"/>
      <w:marRight w:val="0"/>
      <w:marTop w:val="0"/>
      <w:marBottom w:val="0"/>
      <w:divBdr>
        <w:top w:val="none" w:sz="0" w:space="0" w:color="auto"/>
        <w:left w:val="none" w:sz="0" w:space="0" w:color="auto"/>
        <w:bottom w:val="none" w:sz="0" w:space="0" w:color="auto"/>
        <w:right w:val="none" w:sz="0" w:space="0" w:color="auto"/>
      </w:divBdr>
    </w:div>
    <w:div w:id="4745519">
      <w:bodyDiv w:val="1"/>
      <w:marLeft w:val="0"/>
      <w:marRight w:val="0"/>
      <w:marTop w:val="0"/>
      <w:marBottom w:val="0"/>
      <w:divBdr>
        <w:top w:val="none" w:sz="0" w:space="0" w:color="auto"/>
        <w:left w:val="none" w:sz="0" w:space="0" w:color="auto"/>
        <w:bottom w:val="none" w:sz="0" w:space="0" w:color="auto"/>
        <w:right w:val="none" w:sz="0" w:space="0" w:color="auto"/>
      </w:divBdr>
    </w:div>
    <w:div w:id="4748947">
      <w:bodyDiv w:val="1"/>
      <w:marLeft w:val="0"/>
      <w:marRight w:val="0"/>
      <w:marTop w:val="0"/>
      <w:marBottom w:val="0"/>
      <w:divBdr>
        <w:top w:val="none" w:sz="0" w:space="0" w:color="auto"/>
        <w:left w:val="none" w:sz="0" w:space="0" w:color="auto"/>
        <w:bottom w:val="none" w:sz="0" w:space="0" w:color="auto"/>
        <w:right w:val="none" w:sz="0" w:space="0" w:color="auto"/>
      </w:divBdr>
    </w:div>
    <w:div w:id="4749735">
      <w:bodyDiv w:val="1"/>
      <w:marLeft w:val="0"/>
      <w:marRight w:val="0"/>
      <w:marTop w:val="0"/>
      <w:marBottom w:val="0"/>
      <w:divBdr>
        <w:top w:val="none" w:sz="0" w:space="0" w:color="auto"/>
        <w:left w:val="none" w:sz="0" w:space="0" w:color="auto"/>
        <w:bottom w:val="none" w:sz="0" w:space="0" w:color="auto"/>
        <w:right w:val="none" w:sz="0" w:space="0" w:color="auto"/>
      </w:divBdr>
    </w:div>
    <w:div w:id="4941525">
      <w:bodyDiv w:val="1"/>
      <w:marLeft w:val="0"/>
      <w:marRight w:val="0"/>
      <w:marTop w:val="0"/>
      <w:marBottom w:val="0"/>
      <w:divBdr>
        <w:top w:val="none" w:sz="0" w:space="0" w:color="auto"/>
        <w:left w:val="none" w:sz="0" w:space="0" w:color="auto"/>
        <w:bottom w:val="none" w:sz="0" w:space="0" w:color="auto"/>
        <w:right w:val="none" w:sz="0" w:space="0" w:color="auto"/>
      </w:divBdr>
    </w:div>
    <w:div w:id="4947593">
      <w:bodyDiv w:val="1"/>
      <w:marLeft w:val="0"/>
      <w:marRight w:val="0"/>
      <w:marTop w:val="0"/>
      <w:marBottom w:val="0"/>
      <w:divBdr>
        <w:top w:val="none" w:sz="0" w:space="0" w:color="auto"/>
        <w:left w:val="none" w:sz="0" w:space="0" w:color="auto"/>
        <w:bottom w:val="none" w:sz="0" w:space="0" w:color="auto"/>
        <w:right w:val="none" w:sz="0" w:space="0" w:color="auto"/>
      </w:divBdr>
    </w:div>
    <w:div w:id="5133230">
      <w:bodyDiv w:val="1"/>
      <w:marLeft w:val="0"/>
      <w:marRight w:val="0"/>
      <w:marTop w:val="0"/>
      <w:marBottom w:val="0"/>
      <w:divBdr>
        <w:top w:val="none" w:sz="0" w:space="0" w:color="auto"/>
        <w:left w:val="none" w:sz="0" w:space="0" w:color="auto"/>
        <w:bottom w:val="none" w:sz="0" w:space="0" w:color="auto"/>
        <w:right w:val="none" w:sz="0" w:space="0" w:color="auto"/>
      </w:divBdr>
    </w:div>
    <w:div w:id="5208613">
      <w:bodyDiv w:val="1"/>
      <w:marLeft w:val="0"/>
      <w:marRight w:val="0"/>
      <w:marTop w:val="0"/>
      <w:marBottom w:val="0"/>
      <w:divBdr>
        <w:top w:val="none" w:sz="0" w:space="0" w:color="auto"/>
        <w:left w:val="none" w:sz="0" w:space="0" w:color="auto"/>
        <w:bottom w:val="none" w:sz="0" w:space="0" w:color="auto"/>
        <w:right w:val="none" w:sz="0" w:space="0" w:color="auto"/>
      </w:divBdr>
    </w:div>
    <w:div w:id="5594706">
      <w:bodyDiv w:val="1"/>
      <w:marLeft w:val="0"/>
      <w:marRight w:val="0"/>
      <w:marTop w:val="0"/>
      <w:marBottom w:val="0"/>
      <w:divBdr>
        <w:top w:val="none" w:sz="0" w:space="0" w:color="auto"/>
        <w:left w:val="none" w:sz="0" w:space="0" w:color="auto"/>
        <w:bottom w:val="none" w:sz="0" w:space="0" w:color="auto"/>
        <w:right w:val="none" w:sz="0" w:space="0" w:color="auto"/>
      </w:divBdr>
    </w:div>
    <w:div w:id="5596804">
      <w:bodyDiv w:val="1"/>
      <w:marLeft w:val="0"/>
      <w:marRight w:val="0"/>
      <w:marTop w:val="0"/>
      <w:marBottom w:val="0"/>
      <w:divBdr>
        <w:top w:val="none" w:sz="0" w:space="0" w:color="auto"/>
        <w:left w:val="none" w:sz="0" w:space="0" w:color="auto"/>
        <w:bottom w:val="none" w:sz="0" w:space="0" w:color="auto"/>
        <w:right w:val="none" w:sz="0" w:space="0" w:color="auto"/>
      </w:divBdr>
    </w:div>
    <w:div w:id="5641416">
      <w:bodyDiv w:val="1"/>
      <w:marLeft w:val="0"/>
      <w:marRight w:val="0"/>
      <w:marTop w:val="0"/>
      <w:marBottom w:val="0"/>
      <w:divBdr>
        <w:top w:val="none" w:sz="0" w:space="0" w:color="auto"/>
        <w:left w:val="none" w:sz="0" w:space="0" w:color="auto"/>
        <w:bottom w:val="none" w:sz="0" w:space="0" w:color="auto"/>
        <w:right w:val="none" w:sz="0" w:space="0" w:color="auto"/>
      </w:divBdr>
    </w:div>
    <w:div w:id="5714097">
      <w:bodyDiv w:val="1"/>
      <w:marLeft w:val="0"/>
      <w:marRight w:val="0"/>
      <w:marTop w:val="0"/>
      <w:marBottom w:val="0"/>
      <w:divBdr>
        <w:top w:val="none" w:sz="0" w:space="0" w:color="auto"/>
        <w:left w:val="none" w:sz="0" w:space="0" w:color="auto"/>
        <w:bottom w:val="none" w:sz="0" w:space="0" w:color="auto"/>
        <w:right w:val="none" w:sz="0" w:space="0" w:color="auto"/>
      </w:divBdr>
    </w:div>
    <w:div w:id="5864731">
      <w:bodyDiv w:val="1"/>
      <w:marLeft w:val="0"/>
      <w:marRight w:val="0"/>
      <w:marTop w:val="0"/>
      <w:marBottom w:val="0"/>
      <w:divBdr>
        <w:top w:val="none" w:sz="0" w:space="0" w:color="auto"/>
        <w:left w:val="none" w:sz="0" w:space="0" w:color="auto"/>
        <w:bottom w:val="none" w:sz="0" w:space="0" w:color="auto"/>
        <w:right w:val="none" w:sz="0" w:space="0" w:color="auto"/>
      </w:divBdr>
    </w:div>
    <w:div w:id="5907531">
      <w:bodyDiv w:val="1"/>
      <w:marLeft w:val="0"/>
      <w:marRight w:val="0"/>
      <w:marTop w:val="0"/>
      <w:marBottom w:val="0"/>
      <w:divBdr>
        <w:top w:val="none" w:sz="0" w:space="0" w:color="auto"/>
        <w:left w:val="none" w:sz="0" w:space="0" w:color="auto"/>
        <w:bottom w:val="none" w:sz="0" w:space="0" w:color="auto"/>
        <w:right w:val="none" w:sz="0" w:space="0" w:color="auto"/>
      </w:divBdr>
    </w:div>
    <w:div w:id="5912067">
      <w:bodyDiv w:val="1"/>
      <w:marLeft w:val="0"/>
      <w:marRight w:val="0"/>
      <w:marTop w:val="0"/>
      <w:marBottom w:val="0"/>
      <w:divBdr>
        <w:top w:val="none" w:sz="0" w:space="0" w:color="auto"/>
        <w:left w:val="none" w:sz="0" w:space="0" w:color="auto"/>
        <w:bottom w:val="none" w:sz="0" w:space="0" w:color="auto"/>
        <w:right w:val="none" w:sz="0" w:space="0" w:color="auto"/>
      </w:divBdr>
    </w:div>
    <w:div w:id="6059890">
      <w:bodyDiv w:val="1"/>
      <w:marLeft w:val="0"/>
      <w:marRight w:val="0"/>
      <w:marTop w:val="0"/>
      <w:marBottom w:val="0"/>
      <w:divBdr>
        <w:top w:val="none" w:sz="0" w:space="0" w:color="auto"/>
        <w:left w:val="none" w:sz="0" w:space="0" w:color="auto"/>
        <w:bottom w:val="none" w:sz="0" w:space="0" w:color="auto"/>
        <w:right w:val="none" w:sz="0" w:space="0" w:color="auto"/>
      </w:divBdr>
    </w:div>
    <w:div w:id="6106488">
      <w:bodyDiv w:val="1"/>
      <w:marLeft w:val="0"/>
      <w:marRight w:val="0"/>
      <w:marTop w:val="0"/>
      <w:marBottom w:val="0"/>
      <w:divBdr>
        <w:top w:val="none" w:sz="0" w:space="0" w:color="auto"/>
        <w:left w:val="none" w:sz="0" w:space="0" w:color="auto"/>
        <w:bottom w:val="none" w:sz="0" w:space="0" w:color="auto"/>
        <w:right w:val="none" w:sz="0" w:space="0" w:color="auto"/>
      </w:divBdr>
    </w:div>
    <w:div w:id="6253121">
      <w:bodyDiv w:val="1"/>
      <w:marLeft w:val="0"/>
      <w:marRight w:val="0"/>
      <w:marTop w:val="0"/>
      <w:marBottom w:val="0"/>
      <w:divBdr>
        <w:top w:val="none" w:sz="0" w:space="0" w:color="auto"/>
        <w:left w:val="none" w:sz="0" w:space="0" w:color="auto"/>
        <w:bottom w:val="none" w:sz="0" w:space="0" w:color="auto"/>
        <w:right w:val="none" w:sz="0" w:space="0" w:color="auto"/>
      </w:divBdr>
    </w:div>
    <w:div w:id="6257794">
      <w:bodyDiv w:val="1"/>
      <w:marLeft w:val="0"/>
      <w:marRight w:val="0"/>
      <w:marTop w:val="0"/>
      <w:marBottom w:val="0"/>
      <w:divBdr>
        <w:top w:val="none" w:sz="0" w:space="0" w:color="auto"/>
        <w:left w:val="none" w:sz="0" w:space="0" w:color="auto"/>
        <w:bottom w:val="none" w:sz="0" w:space="0" w:color="auto"/>
        <w:right w:val="none" w:sz="0" w:space="0" w:color="auto"/>
      </w:divBdr>
    </w:div>
    <w:div w:id="6441889">
      <w:bodyDiv w:val="1"/>
      <w:marLeft w:val="0"/>
      <w:marRight w:val="0"/>
      <w:marTop w:val="0"/>
      <w:marBottom w:val="0"/>
      <w:divBdr>
        <w:top w:val="none" w:sz="0" w:space="0" w:color="auto"/>
        <w:left w:val="none" w:sz="0" w:space="0" w:color="auto"/>
        <w:bottom w:val="none" w:sz="0" w:space="0" w:color="auto"/>
        <w:right w:val="none" w:sz="0" w:space="0" w:color="auto"/>
      </w:divBdr>
    </w:div>
    <w:div w:id="6442188">
      <w:bodyDiv w:val="1"/>
      <w:marLeft w:val="0"/>
      <w:marRight w:val="0"/>
      <w:marTop w:val="0"/>
      <w:marBottom w:val="0"/>
      <w:divBdr>
        <w:top w:val="none" w:sz="0" w:space="0" w:color="auto"/>
        <w:left w:val="none" w:sz="0" w:space="0" w:color="auto"/>
        <w:bottom w:val="none" w:sz="0" w:space="0" w:color="auto"/>
        <w:right w:val="none" w:sz="0" w:space="0" w:color="auto"/>
      </w:divBdr>
    </w:div>
    <w:div w:id="6489231">
      <w:bodyDiv w:val="1"/>
      <w:marLeft w:val="0"/>
      <w:marRight w:val="0"/>
      <w:marTop w:val="0"/>
      <w:marBottom w:val="0"/>
      <w:divBdr>
        <w:top w:val="none" w:sz="0" w:space="0" w:color="auto"/>
        <w:left w:val="none" w:sz="0" w:space="0" w:color="auto"/>
        <w:bottom w:val="none" w:sz="0" w:space="0" w:color="auto"/>
        <w:right w:val="none" w:sz="0" w:space="0" w:color="auto"/>
      </w:divBdr>
    </w:div>
    <w:div w:id="6559880">
      <w:bodyDiv w:val="1"/>
      <w:marLeft w:val="0"/>
      <w:marRight w:val="0"/>
      <w:marTop w:val="0"/>
      <w:marBottom w:val="0"/>
      <w:divBdr>
        <w:top w:val="none" w:sz="0" w:space="0" w:color="auto"/>
        <w:left w:val="none" w:sz="0" w:space="0" w:color="auto"/>
        <w:bottom w:val="none" w:sz="0" w:space="0" w:color="auto"/>
        <w:right w:val="none" w:sz="0" w:space="0" w:color="auto"/>
      </w:divBdr>
    </w:div>
    <w:div w:id="6641998">
      <w:bodyDiv w:val="1"/>
      <w:marLeft w:val="0"/>
      <w:marRight w:val="0"/>
      <w:marTop w:val="0"/>
      <w:marBottom w:val="0"/>
      <w:divBdr>
        <w:top w:val="none" w:sz="0" w:space="0" w:color="auto"/>
        <w:left w:val="none" w:sz="0" w:space="0" w:color="auto"/>
        <w:bottom w:val="none" w:sz="0" w:space="0" w:color="auto"/>
        <w:right w:val="none" w:sz="0" w:space="0" w:color="auto"/>
      </w:divBdr>
    </w:div>
    <w:div w:id="6685862">
      <w:bodyDiv w:val="1"/>
      <w:marLeft w:val="0"/>
      <w:marRight w:val="0"/>
      <w:marTop w:val="0"/>
      <w:marBottom w:val="0"/>
      <w:divBdr>
        <w:top w:val="none" w:sz="0" w:space="0" w:color="auto"/>
        <w:left w:val="none" w:sz="0" w:space="0" w:color="auto"/>
        <w:bottom w:val="none" w:sz="0" w:space="0" w:color="auto"/>
        <w:right w:val="none" w:sz="0" w:space="0" w:color="auto"/>
      </w:divBdr>
    </w:div>
    <w:div w:id="6712641">
      <w:bodyDiv w:val="1"/>
      <w:marLeft w:val="0"/>
      <w:marRight w:val="0"/>
      <w:marTop w:val="0"/>
      <w:marBottom w:val="0"/>
      <w:divBdr>
        <w:top w:val="none" w:sz="0" w:space="0" w:color="auto"/>
        <w:left w:val="none" w:sz="0" w:space="0" w:color="auto"/>
        <w:bottom w:val="none" w:sz="0" w:space="0" w:color="auto"/>
        <w:right w:val="none" w:sz="0" w:space="0" w:color="auto"/>
      </w:divBdr>
    </w:div>
    <w:div w:id="6717129">
      <w:bodyDiv w:val="1"/>
      <w:marLeft w:val="0"/>
      <w:marRight w:val="0"/>
      <w:marTop w:val="0"/>
      <w:marBottom w:val="0"/>
      <w:divBdr>
        <w:top w:val="none" w:sz="0" w:space="0" w:color="auto"/>
        <w:left w:val="none" w:sz="0" w:space="0" w:color="auto"/>
        <w:bottom w:val="none" w:sz="0" w:space="0" w:color="auto"/>
        <w:right w:val="none" w:sz="0" w:space="0" w:color="auto"/>
      </w:divBdr>
    </w:div>
    <w:div w:id="6754557">
      <w:bodyDiv w:val="1"/>
      <w:marLeft w:val="0"/>
      <w:marRight w:val="0"/>
      <w:marTop w:val="0"/>
      <w:marBottom w:val="0"/>
      <w:divBdr>
        <w:top w:val="none" w:sz="0" w:space="0" w:color="auto"/>
        <w:left w:val="none" w:sz="0" w:space="0" w:color="auto"/>
        <w:bottom w:val="none" w:sz="0" w:space="0" w:color="auto"/>
        <w:right w:val="none" w:sz="0" w:space="0" w:color="auto"/>
      </w:divBdr>
    </w:div>
    <w:div w:id="6908348">
      <w:bodyDiv w:val="1"/>
      <w:marLeft w:val="0"/>
      <w:marRight w:val="0"/>
      <w:marTop w:val="0"/>
      <w:marBottom w:val="0"/>
      <w:divBdr>
        <w:top w:val="none" w:sz="0" w:space="0" w:color="auto"/>
        <w:left w:val="none" w:sz="0" w:space="0" w:color="auto"/>
        <w:bottom w:val="none" w:sz="0" w:space="0" w:color="auto"/>
        <w:right w:val="none" w:sz="0" w:space="0" w:color="auto"/>
      </w:divBdr>
    </w:div>
    <w:div w:id="6910023">
      <w:bodyDiv w:val="1"/>
      <w:marLeft w:val="0"/>
      <w:marRight w:val="0"/>
      <w:marTop w:val="0"/>
      <w:marBottom w:val="0"/>
      <w:divBdr>
        <w:top w:val="none" w:sz="0" w:space="0" w:color="auto"/>
        <w:left w:val="none" w:sz="0" w:space="0" w:color="auto"/>
        <w:bottom w:val="none" w:sz="0" w:space="0" w:color="auto"/>
        <w:right w:val="none" w:sz="0" w:space="0" w:color="auto"/>
      </w:divBdr>
    </w:div>
    <w:div w:id="7026934">
      <w:bodyDiv w:val="1"/>
      <w:marLeft w:val="0"/>
      <w:marRight w:val="0"/>
      <w:marTop w:val="0"/>
      <w:marBottom w:val="0"/>
      <w:divBdr>
        <w:top w:val="none" w:sz="0" w:space="0" w:color="auto"/>
        <w:left w:val="none" w:sz="0" w:space="0" w:color="auto"/>
        <w:bottom w:val="none" w:sz="0" w:space="0" w:color="auto"/>
        <w:right w:val="none" w:sz="0" w:space="0" w:color="auto"/>
      </w:divBdr>
    </w:div>
    <w:div w:id="7029570">
      <w:bodyDiv w:val="1"/>
      <w:marLeft w:val="0"/>
      <w:marRight w:val="0"/>
      <w:marTop w:val="0"/>
      <w:marBottom w:val="0"/>
      <w:divBdr>
        <w:top w:val="none" w:sz="0" w:space="0" w:color="auto"/>
        <w:left w:val="none" w:sz="0" w:space="0" w:color="auto"/>
        <w:bottom w:val="none" w:sz="0" w:space="0" w:color="auto"/>
        <w:right w:val="none" w:sz="0" w:space="0" w:color="auto"/>
      </w:divBdr>
    </w:div>
    <w:div w:id="7103981">
      <w:bodyDiv w:val="1"/>
      <w:marLeft w:val="0"/>
      <w:marRight w:val="0"/>
      <w:marTop w:val="0"/>
      <w:marBottom w:val="0"/>
      <w:divBdr>
        <w:top w:val="none" w:sz="0" w:space="0" w:color="auto"/>
        <w:left w:val="none" w:sz="0" w:space="0" w:color="auto"/>
        <w:bottom w:val="none" w:sz="0" w:space="0" w:color="auto"/>
        <w:right w:val="none" w:sz="0" w:space="0" w:color="auto"/>
      </w:divBdr>
    </w:div>
    <w:div w:id="7215324">
      <w:bodyDiv w:val="1"/>
      <w:marLeft w:val="0"/>
      <w:marRight w:val="0"/>
      <w:marTop w:val="0"/>
      <w:marBottom w:val="0"/>
      <w:divBdr>
        <w:top w:val="none" w:sz="0" w:space="0" w:color="auto"/>
        <w:left w:val="none" w:sz="0" w:space="0" w:color="auto"/>
        <w:bottom w:val="none" w:sz="0" w:space="0" w:color="auto"/>
        <w:right w:val="none" w:sz="0" w:space="0" w:color="auto"/>
      </w:divBdr>
    </w:div>
    <w:div w:id="7220316">
      <w:bodyDiv w:val="1"/>
      <w:marLeft w:val="0"/>
      <w:marRight w:val="0"/>
      <w:marTop w:val="0"/>
      <w:marBottom w:val="0"/>
      <w:divBdr>
        <w:top w:val="none" w:sz="0" w:space="0" w:color="auto"/>
        <w:left w:val="none" w:sz="0" w:space="0" w:color="auto"/>
        <w:bottom w:val="none" w:sz="0" w:space="0" w:color="auto"/>
        <w:right w:val="none" w:sz="0" w:space="0" w:color="auto"/>
      </w:divBdr>
    </w:div>
    <w:div w:id="7221986">
      <w:bodyDiv w:val="1"/>
      <w:marLeft w:val="0"/>
      <w:marRight w:val="0"/>
      <w:marTop w:val="0"/>
      <w:marBottom w:val="0"/>
      <w:divBdr>
        <w:top w:val="none" w:sz="0" w:space="0" w:color="auto"/>
        <w:left w:val="none" w:sz="0" w:space="0" w:color="auto"/>
        <w:bottom w:val="none" w:sz="0" w:space="0" w:color="auto"/>
        <w:right w:val="none" w:sz="0" w:space="0" w:color="auto"/>
      </w:divBdr>
    </w:div>
    <w:div w:id="7224164">
      <w:bodyDiv w:val="1"/>
      <w:marLeft w:val="0"/>
      <w:marRight w:val="0"/>
      <w:marTop w:val="0"/>
      <w:marBottom w:val="0"/>
      <w:divBdr>
        <w:top w:val="none" w:sz="0" w:space="0" w:color="auto"/>
        <w:left w:val="none" w:sz="0" w:space="0" w:color="auto"/>
        <w:bottom w:val="none" w:sz="0" w:space="0" w:color="auto"/>
        <w:right w:val="none" w:sz="0" w:space="0" w:color="auto"/>
      </w:divBdr>
    </w:div>
    <w:div w:id="7291353">
      <w:bodyDiv w:val="1"/>
      <w:marLeft w:val="0"/>
      <w:marRight w:val="0"/>
      <w:marTop w:val="0"/>
      <w:marBottom w:val="0"/>
      <w:divBdr>
        <w:top w:val="none" w:sz="0" w:space="0" w:color="auto"/>
        <w:left w:val="none" w:sz="0" w:space="0" w:color="auto"/>
        <w:bottom w:val="none" w:sz="0" w:space="0" w:color="auto"/>
        <w:right w:val="none" w:sz="0" w:space="0" w:color="auto"/>
      </w:divBdr>
    </w:div>
    <w:div w:id="7371977">
      <w:bodyDiv w:val="1"/>
      <w:marLeft w:val="0"/>
      <w:marRight w:val="0"/>
      <w:marTop w:val="0"/>
      <w:marBottom w:val="0"/>
      <w:divBdr>
        <w:top w:val="none" w:sz="0" w:space="0" w:color="auto"/>
        <w:left w:val="none" w:sz="0" w:space="0" w:color="auto"/>
        <w:bottom w:val="none" w:sz="0" w:space="0" w:color="auto"/>
        <w:right w:val="none" w:sz="0" w:space="0" w:color="auto"/>
      </w:divBdr>
    </w:div>
    <w:div w:id="7560367">
      <w:bodyDiv w:val="1"/>
      <w:marLeft w:val="0"/>
      <w:marRight w:val="0"/>
      <w:marTop w:val="0"/>
      <w:marBottom w:val="0"/>
      <w:divBdr>
        <w:top w:val="none" w:sz="0" w:space="0" w:color="auto"/>
        <w:left w:val="none" w:sz="0" w:space="0" w:color="auto"/>
        <w:bottom w:val="none" w:sz="0" w:space="0" w:color="auto"/>
        <w:right w:val="none" w:sz="0" w:space="0" w:color="auto"/>
      </w:divBdr>
    </w:div>
    <w:div w:id="7608972">
      <w:bodyDiv w:val="1"/>
      <w:marLeft w:val="0"/>
      <w:marRight w:val="0"/>
      <w:marTop w:val="0"/>
      <w:marBottom w:val="0"/>
      <w:divBdr>
        <w:top w:val="none" w:sz="0" w:space="0" w:color="auto"/>
        <w:left w:val="none" w:sz="0" w:space="0" w:color="auto"/>
        <w:bottom w:val="none" w:sz="0" w:space="0" w:color="auto"/>
        <w:right w:val="none" w:sz="0" w:space="0" w:color="auto"/>
      </w:divBdr>
    </w:div>
    <w:div w:id="7680713">
      <w:bodyDiv w:val="1"/>
      <w:marLeft w:val="0"/>
      <w:marRight w:val="0"/>
      <w:marTop w:val="0"/>
      <w:marBottom w:val="0"/>
      <w:divBdr>
        <w:top w:val="none" w:sz="0" w:space="0" w:color="auto"/>
        <w:left w:val="none" w:sz="0" w:space="0" w:color="auto"/>
        <w:bottom w:val="none" w:sz="0" w:space="0" w:color="auto"/>
        <w:right w:val="none" w:sz="0" w:space="0" w:color="auto"/>
      </w:divBdr>
    </w:div>
    <w:div w:id="7681775">
      <w:bodyDiv w:val="1"/>
      <w:marLeft w:val="0"/>
      <w:marRight w:val="0"/>
      <w:marTop w:val="0"/>
      <w:marBottom w:val="0"/>
      <w:divBdr>
        <w:top w:val="none" w:sz="0" w:space="0" w:color="auto"/>
        <w:left w:val="none" w:sz="0" w:space="0" w:color="auto"/>
        <w:bottom w:val="none" w:sz="0" w:space="0" w:color="auto"/>
        <w:right w:val="none" w:sz="0" w:space="0" w:color="auto"/>
      </w:divBdr>
    </w:div>
    <w:div w:id="7685693">
      <w:bodyDiv w:val="1"/>
      <w:marLeft w:val="0"/>
      <w:marRight w:val="0"/>
      <w:marTop w:val="0"/>
      <w:marBottom w:val="0"/>
      <w:divBdr>
        <w:top w:val="none" w:sz="0" w:space="0" w:color="auto"/>
        <w:left w:val="none" w:sz="0" w:space="0" w:color="auto"/>
        <w:bottom w:val="none" w:sz="0" w:space="0" w:color="auto"/>
        <w:right w:val="none" w:sz="0" w:space="0" w:color="auto"/>
      </w:divBdr>
    </w:div>
    <w:div w:id="7801028">
      <w:bodyDiv w:val="1"/>
      <w:marLeft w:val="0"/>
      <w:marRight w:val="0"/>
      <w:marTop w:val="0"/>
      <w:marBottom w:val="0"/>
      <w:divBdr>
        <w:top w:val="none" w:sz="0" w:space="0" w:color="auto"/>
        <w:left w:val="none" w:sz="0" w:space="0" w:color="auto"/>
        <w:bottom w:val="none" w:sz="0" w:space="0" w:color="auto"/>
        <w:right w:val="none" w:sz="0" w:space="0" w:color="auto"/>
      </w:divBdr>
    </w:div>
    <w:div w:id="7828983">
      <w:bodyDiv w:val="1"/>
      <w:marLeft w:val="0"/>
      <w:marRight w:val="0"/>
      <w:marTop w:val="0"/>
      <w:marBottom w:val="0"/>
      <w:divBdr>
        <w:top w:val="none" w:sz="0" w:space="0" w:color="auto"/>
        <w:left w:val="none" w:sz="0" w:space="0" w:color="auto"/>
        <w:bottom w:val="none" w:sz="0" w:space="0" w:color="auto"/>
        <w:right w:val="none" w:sz="0" w:space="0" w:color="auto"/>
      </w:divBdr>
    </w:div>
    <w:div w:id="7945964">
      <w:bodyDiv w:val="1"/>
      <w:marLeft w:val="0"/>
      <w:marRight w:val="0"/>
      <w:marTop w:val="0"/>
      <w:marBottom w:val="0"/>
      <w:divBdr>
        <w:top w:val="none" w:sz="0" w:space="0" w:color="auto"/>
        <w:left w:val="none" w:sz="0" w:space="0" w:color="auto"/>
        <w:bottom w:val="none" w:sz="0" w:space="0" w:color="auto"/>
        <w:right w:val="none" w:sz="0" w:space="0" w:color="auto"/>
      </w:divBdr>
    </w:div>
    <w:div w:id="7949056">
      <w:bodyDiv w:val="1"/>
      <w:marLeft w:val="0"/>
      <w:marRight w:val="0"/>
      <w:marTop w:val="0"/>
      <w:marBottom w:val="0"/>
      <w:divBdr>
        <w:top w:val="none" w:sz="0" w:space="0" w:color="auto"/>
        <w:left w:val="none" w:sz="0" w:space="0" w:color="auto"/>
        <w:bottom w:val="none" w:sz="0" w:space="0" w:color="auto"/>
        <w:right w:val="none" w:sz="0" w:space="0" w:color="auto"/>
      </w:divBdr>
    </w:div>
    <w:div w:id="7950266">
      <w:bodyDiv w:val="1"/>
      <w:marLeft w:val="0"/>
      <w:marRight w:val="0"/>
      <w:marTop w:val="0"/>
      <w:marBottom w:val="0"/>
      <w:divBdr>
        <w:top w:val="none" w:sz="0" w:space="0" w:color="auto"/>
        <w:left w:val="none" w:sz="0" w:space="0" w:color="auto"/>
        <w:bottom w:val="none" w:sz="0" w:space="0" w:color="auto"/>
        <w:right w:val="none" w:sz="0" w:space="0" w:color="auto"/>
      </w:divBdr>
    </w:div>
    <w:div w:id="7950600">
      <w:bodyDiv w:val="1"/>
      <w:marLeft w:val="0"/>
      <w:marRight w:val="0"/>
      <w:marTop w:val="0"/>
      <w:marBottom w:val="0"/>
      <w:divBdr>
        <w:top w:val="none" w:sz="0" w:space="0" w:color="auto"/>
        <w:left w:val="none" w:sz="0" w:space="0" w:color="auto"/>
        <w:bottom w:val="none" w:sz="0" w:space="0" w:color="auto"/>
        <w:right w:val="none" w:sz="0" w:space="0" w:color="auto"/>
      </w:divBdr>
    </w:div>
    <w:div w:id="8028073">
      <w:bodyDiv w:val="1"/>
      <w:marLeft w:val="0"/>
      <w:marRight w:val="0"/>
      <w:marTop w:val="0"/>
      <w:marBottom w:val="0"/>
      <w:divBdr>
        <w:top w:val="none" w:sz="0" w:space="0" w:color="auto"/>
        <w:left w:val="none" w:sz="0" w:space="0" w:color="auto"/>
        <w:bottom w:val="none" w:sz="0" w:space="0" w:color="auto"/>
        <w:right w:val="none" w:sz="0" w:space="0" w:color="auto"/>
      </w:divBdr>
    </w:div>
    <w:div w:id="8065129">
      <w:bodyDiv w:val="1"/>
      <w:marLeft w:val="0"/>
      <w:marRight w:val="0"/>
      <w:marTop w:val="0"/>
      <w:marBottom w:val="0"/>
      <w:divBdr>
        <w:top w:val="none" w:sz="0" w:space="0" w:color="auto"/>
        <w:left w:val="none" w:sz="0" w:space="0" w:color="auto"/>
        <w:bottom w:val="none" w:sz="0" w:space="0" w:color="auto"/>
        <w:right w:val="none" w:sz="0" w:space="0" w:color="auto"/>
      </w:divBdr>
    </w:div>
    <w:div w:id="8068935">
      <w:bodyDiv w:val="1"/>
      <w:marLeft w:val="0"/>
      <w:marRight w:val="0"/>
      <w:marTop w:val="0"/>
      <w:marBottom w:val="0"/>
      <w:divBdr>
        <w:top w:val="none" w:sz="0" w:space="0" w:color="auto"/>
        <w:left w:val="none" w:sz="0" w:space="0" w:color="auto"/>
        <w:bottom w:val="none" w:sz="0" w:space="0" w:color="auto"/>
        <w:right w:val="none" w:sz="0" w:space="0" w:color="auto"/>
      </w:divBdr>
    </w:div>
    <w:div w:id="8336123">
      <w:bodyDiv w:val="1"/>
      <w:marLeft w:val="0"/>
      <w:marRight w:val="0"/>
      <w:marTop w:val="0"/>
      <w:marBottom w:val="0"/>
      <w:divBdr>
        <w:top w:val="none" w:sz="0" w:space="0" w:color="auto"/>
        <w:left w:val="none" w:sz="0" w:space="0" w:color="auto"/>
        <w:bottom w:val="none" w:sz="0" w:space="0" w:color="auto"/>
        <w:right w:val="none" w:sz="0" w:space="0" w:color="auto"/>
      </w:divBdr>
    </w:div>
    <w:div w:id="8340956">
      <w:bodyDiv w:val="1"/>
      <w:marLeft w:val="0"/>
      <w:marRight w:val="0"/>
      <w:marTop w:val="0"/>
      <w:marBottom w:val="0"/>
      <w:divBdr>
        <w:top w:val="none" w:sz="0" w:space="0" w:color="auto"/>
        <w:left w:val="none" w:sz="0" w:space="0" w:color="auto"/>
        <w:bottom w:val="none" w:sz="0" w:space="0" w:color="auto"/>
        <w:right w:val="none" w:sz="0" w:space="0" w:color="auto"/>
      </w:divBdr>
    </w:div>
    <w:div w:id="8459229">
      <w:bodyDiv w:val="1"/>
      <w:marLeft w:val="0"/>
      <w:marRight w:val="0"/>
      <w:marTop w:val="0"/>
      <w:marBottom w:val="0"/>
      <w:divBdr>
        <w:top w:val="none" w:sz="0" w:space="0" w:color="auto"/>
        <w:left w:val="none" w:sz="0" w:space="0" w:color="auto"/>
        <w:bottom w:val="none" w:sz="0" w:space="0" w:color="auto"/>
        <w:right w:val="none" w:sz="0" w:space="0" w:color="auto"/>
      </w:divBdr>
    </w:div>
    <w:div w:id="8605789">
      <w:bodyDiv w:val="1"/>
      <w:marLeft w:val="0"/>
      <w:marRight w:val="0"/>
      <w:marTop w:val="0"/>
      <w:marBottom w:val="0"/>
      <w:divBdr>
        <w:top w:val="none" w:sz="0" w:space="0" w:color="auto"/>
        <w:left w:val="none" w:sz="0" w:space="0" w:color="auto"/>
        <w:bottom w:val="none" w:sz="0" w:space="0" w:color="auto"/>
        <w:right w:val="none" w:sz="0" w:space="0" w:color="auto"/>
      </w:divBdr>
    </w:div>
    <w:div w:id="8606589">
      <w:bodyDiv w:val="1"/>
      <w:marLeft w:val="0"/>
      <w:marRight w:val="0"/>
      <w:marTop w:val="0"/>
      <w:marBottom w:val="0"/>
      <w:divBdr>
        <w:top w:val="none" w:sz="0" w:space="0" w:color="auto"/>
        <w:left w:val="none" w:sz="0" w:space="0" w:color="auto"/>
        <w:bottom w:val="none" w:sz="0" w:space="0" w:color="auto"/>
        <w:right w:val="none" w:sz="0" w:space="0" w:color="auto"/>
      </w:divBdr>
    </w:div>
    <w:div w:id="8681926">
      <w:bodyDiv w:val="1"/>
      <w:marLeft w:val="0"/>
      <w:marRight w:val="0"/>
      <w:marTop w:val="0"/>
      <w:marBottom w:val="0"/>
      <w:divBdr>
        <w:top w:val="none" w:sz="0" w:space="0" w:color="auto"/>
        <w:left w:val="none" w:sz="0" w:space="0" w:color="auto"/>
        <w:bottom w:val="none" w:sz="0" w:space="0" w:color="auto"/>
        <w:right w:val="none" w:sz="0" w:space="0" w:color="auto"/>
      </w:divBdr>
    </w:div>
    <w:div w:id="8794087">
      <w:bodyDiv w:val="1"/>
      <w:marLeft w:val="0"/>
      <w:marRight w:val="0"/>
      <w:marTop w:val="0"/>
      <w:marBottom w:val="0"/>
      <w:divBdr>
        <w:top w:val="none" w:sz="0" w:space="0" w:color="auto"/>
        <w:left w:val="none" w:sz="0" w:space="0" w:color="auto"/>
        <w:bottom w:val="none" w:sz="0" w:space="0" w:color="auto"/>
        <w:right w:val="none" w:sz="0" w:space="0" w:color="auto"/>
      </w:divBdr>
    </w:div>
    <w:div w:id="8876473">
      <w:bodyDiv w:val="1"/>
      <w:marLeft w:val="0"/>
      <w:marRight w:val="0"/>
      <w:marTop w:val="0"/>
      <w:marBottom w:val="0"/>
      <w:divBdr>
        <w:top w:val="none" w:sz="0" w:space="0" w:color="auto"/>
        <w:left w:val="none" w:sz="0" w:space="0" w:color="auto"/>
        <w:bottom w:val="none" w:sz="0" w:space="0" w:color="auto"/>
        <w:right w:val="none" w:sz="0" w:space="0" w:color="auto"/>
      </w:divBdr>
    </w:div>
    <w:div w:id="8877183">
      <w:bodyDiv w:val="1"/>
      <w:marLeft w:val="0"/>
      <w:marRight w:val="0"/>
      <w:marTop w:val="0"/>
      <w:marBottom w:val="0"/>
      <w:divBdr>
        <w:top w:val="none" w:sz="0" w:space="0" w:color="auto"/>
        <w:left w:val="none" w:sz="0" w:space="0" w:color="auto"/>
        <w:bottom w:val="none" w:sz="0" w:space="0" w:color="auto"/>
        <w:right w:val="none" w:sz="0" w:space="0" w:color="auto"/>
      </w:divBdr>
    </w:div>
    <w:div w:id="8913392">
      <w:bodyDiv w:val="1"/>
      <w:marLeft w:val="0"/>
      <w:marRight w:val="0"/>
      <w:marTop w:val="0"/>
      <w:marBottom w:val="0"/>
      <w:divBdr>
        <w:top w:val="none" w:sz="0" w:space="0" w:color="auto"/>
        <w:left w:val="none" w:sz="0" w:space="0" w:color="auto"/>
        <w:bottom w:val="none" w:sz="0" w:space="0" w:color="auto"/>
        <w:right w:val="none" w:sz="0" w:space="0" w:color="auto"/>
      </w:divBdr>
    </w:div>
    <w:div w:id="9064771">
      <w:bodyDiv w:val="1"/>
      <w:marLeft w:val="0"/>
      <w:marRight w:val="0"/>
      <w:marTop w:val="0"/>
      <w:marBottom w:val="0"/>
      <w:divBdr>
        <w:top w:val="none" w:sz="0" w:space="0" w:color="auto"/>
        <w:left w:val="none" w:sz="0" w:space="0" w:color="auto"/>
        <w:bottom w:val="none" w:sz="0" w:space="0" w:color="auto"/>
        <w:right w:val="none" w:sz="0" w:space="0" w:color="auto"/>
      </w:divBdr>
    </w:div>
    <w:div w:id="9067344">
      <w:bodyDiv w:val="1"/>
      <w:marLeft w:val="0"/>
      <w:marRight w:val="0"/>
      <w:marTop w:val="0"/>
      <w:marBottom w:val="0"/>
      <w:divBdr>
        <w:top w:val="none" w:sz="0" w:space="0" w:color="auto"/>
        <w:left w:val="none" w:sz="0" w:space="0" w:color="auto"/>
        <w:bottom w:val="none" w:sz="0" w:space="0" w:color="auto"/>
        <w:right w:val="none" w:sz="0" w:space="0" w:color="auto"/>
      </w:divBdr>
    </w:div>
    <w:div w:id="9071087">
      <w:bodyDiv w:val="1"/>
      <w:marLeft w:val="0"/>
      <w:marRight w:val="0"/>
      <w:marTop w:val="0"/>
      <w:marBottom w:val="0"/>
      <w:divBdr>
        <w:top w:val="none" w:sz="0" w:space="0" w:color="auto"/>
        <w:left w:val="none" w:sz="0" w:space="0" w:color="auto"/>
        <w:bottom w:val="none" w:sz="0" w:space="0" w:color="auto"/>
        <w:right w:val="none" w:sz="0" w:space="0" w:color="auto"/>
      </w:divBdr>
    </w:div>
    <w:div w:id="9113935">
      <w:bodyDiv w:val="1"/>
      <w:marLeft w:val="0"/>
      <w:marRight w:val="0"/>
      <w:marTop w:val="0"/>
      <w:marBottom w:val="0"/>
      <w:divBdr>
        <w:top w:val="none" w:sz="0" w:space="0" w:color="auto"/>
        <w:left w:val="none" w:sz="0" w:space="0" w:color="auto"/>
        <w:bottom w:val="none" w:sz="0" w:space="0" w:color="auto"/>
        <w:right w:val="none" w:sz="0" w:space="0" w:color="auto"/>
      </w:divBdr>
    </w:div>
    <w:div w:id="9138719">
      <w:bodyDiv w:val="1"/>
      <w:marLeft w:val="0"/>
      <w:marRight w:val="0"/>
      <w:marTop w:val="0"/>
      <w:marBottom w:val="0"/>
      <w:divBdr>
        <w:top w:val="none" w:sz="0" w:space="0" w:color="auto"/>
        <w:left w:val="none" w:sz="0" w:space="0" w:color="auto"/>
        <w:bottom w:val="none" w:sz="0" w:space="0" w:color="auto"/>
        <w:right w:val="none" w:sz="0" w:space="0" w:color="auto"/>
      </w:divBdr>
    </w:div>
    <w:div w:id="9140778">
      <w:bodyDiv w:val="1"/>
      <w:marLeft w:val="0"/>
      <w:marRight w:val="0"/>
      <w:marTop w:val="0"/>
      <w:marBottom w:val="0"/>
      <w:divBdr>
        <w:top w:val="none" w:sz="0" w:space="0" w:color="auto"/>
        <w:left w:val="none" w:sz="0" w:space="0" w:color="auto"/>
        <w:bottom w:val="none" w:sz="0" w:space="0" w:color="auto"/>
        <w:right w:val="none" w:sz="0" w:space="0" w:color="auto"/>
      </w:divBdr>
    </w:div>
    <w:div w:id="9258931">
      <w:bodyDiv w:val="1"/>
      <w:marLeft w:val="0"/>
      <w:marRight w:val="0"/>
      <w:marTop w:val="0"/>
      <w:marBottom w:val="0"/>
      <w:divBdr>
        <w:top w:val="none" w:sz="0" w:space="0" w:color="auto"/>
        <w:left w:val="none" w:sz="0" w:space="0" w:color="auto"/>
        <w:bottom w:val="none" w:sz="0" w:space="0" w:color="auto"/>
        <w:right w:val="none" w:sz="0" w:space="0" w:color="auto"/>
      </w:divBdr>
    </w:div>
    <w:div w:id="9263466">
      <w:bodyDiv w:val="1"/>
      <w:marLeft w:val="0"/>
      <w:marRight w:val="0"/>
      <w:marTop w:val="0"/>
      <w:marBottom w:val="0"/>
      <w:divBdr>
        <w:top w:val="none" w:sz="0" w:space="0" w:color="auto"/>
        <w:left w:val="none" w:sz="0" w:space="0" w:color="auto"/>
        <w:bottom w:val="none" w:sz="0" w:space="0" w:color="auto"/>
        <w:right w:val="none" w:sz="0" w:space="0" w:color="auto"/>
      </w:divBdr>
    </w:div>
    <w:div w:id="9331645">
      <w:bodyDiv w:val="1"/>
      <w:marLeft w:val="0"/>
      <w:marRight w:val="0"/>
      <w:marTop w:val="0"/>
      <w:marBottom w:val="0"/>
      <w:divBdr>
        <w:top w:val="none" w:sz="0" w:space="0" w:color="auto"/>
        <w:left w:val="none" w:sz="0" w:space="0" w:color="auto"/>
        <w:bottom w:val="none" w:sz="0" w:space="0" w:color="auto"/>
        <w:right w:val="none" w:sz="0" w:space="0" w:color="auto"/>
      </w:divBdr>
    </w:div>
    <w:div w:id="9337750">
      <w:bodyDiv w:val="1"/>
      <w:marLeft w:val="0"/>
      <w:marRight w:val="0"/>
      <w:marTop w:val="0"/>
      <w:marBottom w:val="0"/>
      <w:divBdr>
        <w:top w:val="none" w:sz="0" w:space="0" w:color="auto"/>
        <w:left w:val="none" w:sz="0" w:space="0" w:color="auto"/>
        <w:bottom w:val="none" w:sz="0" w:space="0" w:color="auto"/>
        <w:right w:val="none" w:sz="0" w:space="0" w:color="auto"/>
      </w:divBdr>
    </w:div>
    <w:div w:id="9454580">
      <w:bodyDiv w:val="1"/>
      <w:marLeft w:val="0"/>
      <w:marRight w:val="0"/>
      <w:marTop w:val="0"/>
      <w:marBottom w:val="0"/>
      <w:divBdr>
        <w:top w:val="none" w:sz="0" w:space="0" w:color="auto"/>
        <w:left w:val="none" w:sz="0" w:space="0" w:color="auto"/>
        <w:bottom w:val="none" w:sz="0" w:space="0" w:color="auto"/>
        <w:right w:val="none" w:sz="0" w:space="0" w:color="auto"/>
      </w:divBdr>
    </w:div>
    <w:div w:id="9650694">
      <w:bodyDiv w:val="1"/>
      <w:marLeft w:val="0"/>
      <w:marRight w:val="0"/>
      <w:marTop w:val="0"/>
      <w:marBottom w:val="0"/>
      <w:divBdr>
        <w:top w:val="none" w:sz="0" w:space="0" w:color="auto"/>
        <w:left w:val="none" w:sz="0" w:space="0" w:color="auto"/>
        <w:bottom w:val="none" w:sz="0" w:space="0" w:color="auto"/>
        <w:right w:val="none" w:sz="0" w:space="0" w:color="auto"/>
      </w:divBdr>
    </w:div>
    <w:div w:id="9651535">
      <w:bodyDiv w:val="1"/>
      <w:marLeft w:val="0"/>
      <w:marRight w:val="0"/>
      <w:marTop w:val="0"/>
      <w:marBottom w:val="0"/>
      <w:divBdr>
        <w:top w:val="none" w:sz="0" w:space="0" w:color="auto"/>
        <w:left w:val="none" w:sz="0" w:space="0" w:color="auto"/>
        <w:bottom w:val="none" w:sz="0" w:space="0" w:color="auto"/>
        <w:right w:val="none" w:sz="0" w:space="0" w:color="auto"/>
      </w:divBdr>
    </w:div>
    <w:div w:id="9651634">
      <w:bodyDiv w:val="1"/>
      <w:marLeft w:val="0"/>
      <w:marRight w:val="0"/>
      <w:marTop w:val="0"/>
      <w:marBottom w:val="0"/>
      <w:divBdr>
        <w:top w:val="none" w:sz="0" w:space="0" w:color="auto"/>
        <w:left w:val="none" w:sz="0" w:space="0" w:color="auto"/>
        <w:bottom w:val="none" w:sz="0" w:space="0" w:color="auto"/>
        <w:right w:val="none" w:sz="0" w:space="0" w:color="auto"/>
      </w:divBdr>
    </w:div>
    <w:div w:id="9768424">
      <w:bodyDiv w:val="1"/>
      <w:marLeft w:val="0"/>
      <w:marRight w:val="0"/>
      <w:marTop w:val="0"/>
      <w:marBottom w:val="0"/>
      <w:divBdr>
        <w:top w:val="none" w:sz="0" w:space="0" w:color="auto"/>
        <w:left w:val="none" w:sz="0" w:space="0" w:color="auto"/>
        <w:bottom w:val="none" w:sz="0" w:space="0" w:color="auto"/>
        <w:right w:val="none" w:sz="0" w:space="0" w:color="auto"/>
      </w:divBdr>
    </w:div>
    <w:div w:id="9845376">
      <w:bodyDiv w:val="1"/>
      <w:marLeft w:val="0"/>
      <w:marRight w:val="0"/>
      <w:marTop w:val="0"/>
      <w:marBottom w:val="0"/>
      <w:divBdr>
        <w:top w:val="none" w:sz="0" w:space="0" w:color="auto"/>
        <w:left w:val="none" w:sz="0" w:space="0" w:color="auto"/>
        <w:bottom w:val="none" w:sz="0" w:space="0" w:color="auto"/>
        <w:right w:val="none" w:sz="0" w:space="0" w:color="auto"/>
      </w:divBdr>
    </w:div>
    <w:div w:id="9913103">
      <w:bodyDiv w:val="1"/>
      <w:marLeft w:val="0"/>
      <w:marRight w:val="0"/>
      <w:marTop w:val="0"/>
      <w:marBottom w:val="0"/>
      <w:divBdr>
        <w:top w:val="none" w:sz="0" w:space="0" w:color="auto"/>
        <w:left w:val="none" w:sz="0" w:space="0" w:color="auto"/>
        <w:bottom w:val="none" w:sz="0" w:space="0" w:color="auto"/>
        <w:right w:val="none" w:sz="0" w:space="0" w:color="auto"/>
      </w:divBdr>
    </w:div>
    <w:div w:id="9917084">
      <w:bodyDiv w:val="1"/>
      <w:marLeft w:val="0"/>
      <w:marRight w:val="0"/>
      <w:marTop w:val="0"/>
      <w:marBottom w:val="0"/>
      <w:divBdr>
        <w:top w:val="none" w:sz="0" w:space="0" w:color="auto"/>
        <w:left w:val="none" w:sz="0" w:space="0" w:color="auto"/>
        <w:bottom w:val="none" w:sz="0" w:space="0" w:color="auto"/>
        <w:right w:val="none" w:sz="0" w:space="0" w:color="auto"/>
      </w:divBdr>
    </w:div>
    <w:div w:id="10183175">
      <w:bodyDiv w:val="1"/>
      <w:marLeft w:val="0"/>
      <w:marRight w:val="0"/>
      <w:marTop w:val="0"/>
      <w:marBottom w:val="0"/>
      <w:divBdr>
        <w:top w:val="none" w:sz="0" w:space="0" w:color="auto"/>
        <w:left w:val="none" w:sz="0" w:space="0" w:color="auto"/>
        <w:bottom w:val="none" w:sz="0" w:space="0" w:color="auto"/>
        <w:right w:val="none" w:sz="0" w:space="0" w:color="auto"/>
      </w:divBdr>
    </w:div>
    <w:div w:id="10184859">
      <w:bodyDiv w:val="1"/>
      <w:marLeft w:val="0"/>
      <w:marRight w:val="0"/>
      <w:marTop w:val="0"/>
      <w:marBottom w:val="0"/>
      <w:divBdr>
        <w:top w:val="none" w:sz="0" w:space="0" w:color="auto"/>
        <w:left w:val="none" w:sz="0" w:space="0" w:color="auto"/>
        <w:bottom w:val="none" w:sz="0" w:space="0" w:color="auto"/>
        <w:right w:val="none" w:sz="0" w:space="0" w:color="auto"/>
      </w:divBdr>
    </w:div>
    <w:div w:id="10231632">
      <w:bodyDiv w:val="1"/>
      <w:marLeft w:val="0"/>
      <w:marRight w:val="0"/>
      <w:marTop w:val="0"/>
      <w:marBottom w:val="0"/>
      <w:divBdr>
        <w:top w:val="none" w:sz="0" w:space="0" w:color="auto"/>
        <w:left w:val="none" w:sz="0" w:space="0" w:color="auto"/>
        <w:bottom w:val="none" w:sz="0" w:space="0" w:color="auto"/>
        <w:right w:val="none" w:sz="0" w:space="0" w:color="auto"/>
      </w:divBdr>
    </w:div>
    <w:div w:id="10373943">
      <w:bodyDiv w:val="1"/>
      <w:marLeft w:val="0"/>
      <w:marRight w:val="0"/>
      <w:marTop w:val="0"/>
      <w:marBottom w:val="0"/>
      <w:divBdr>
        <w:top w:val="none" w:sz="0" w:space="0" w:color="auto"/>
        <w:left w:val="none" w:sz="0" w:space="0" w:color="auto"/>
        <w:bottom w:val="none" w:sz="0" w:space="0" w:color="auto"/>
        <w:right w:val="none" w:sz="0" w:space="0" w:color="auto"/>
      </w:divBdr>
    </w:div>
    <w:div w:id="10382302">
      <w:bodyDiv w:val="1"/>
      <w:marLeft w:val="0"/>
      <w:marRight w:val="0"/>
      <w:marTop w:val="0"/>
      <w:marBottom w:val="0"/>
      <w:divBdr>
        <w:top w:val="none" w:sz="0" w:space="0" w:color="auto"/>
        <w:left w:val="none" w:sz="0" w:space="0" w:color="auto"/>
        <w:bottom w:val="none" w:sz="0" w:space="0" w:color="auto"/>
        <w:right w:val="none" w:sz="0" w:space="0" w:color="auto"/>
      </w:divBdr>
    </w:div>
    <w:div w:id="10421392">
      <w:bodyDiv w:val="1"/>
      <w:marLeft w:val="0"/>
      <w:marRight w:val="0"/>
      <w:marTop w:val="0"/>
      <w:marBottom w:val="0"/>
      <w:divBdr>
        <w:top w:val="none" w:sz="0" w:space="0" w:color="auto"/>
        <w:left w:val="none" w:sz="0" w:space="0" w:color="auto"/>
        <w:bottom w:val="none" w:sz="0" w:space="0" w:color="auto"/>
        <w:right w:val="none" w:sz="0" w:space="0" w:color="auto"/>
      </w:divBdr>
    </w:div>
    <w:div w:id="10493866">
      <w:bodyDiv w:val="1"/>
      <w:marLeft w:val="0"/>
      <w:marRight w:val="0"/>
      <w:marTop w:val="0"/>
      <w:marBottom w:val="0"/>
      <w:divBdr>
        <w:top w:val="none" w:sz="0" w:space="0" w:color="auto"/>
        <w:left w:val="none" w:sz="0" w:space="0" w:color="auto"/>
        <w:bottom w:val="none" w:sz="0" w:space="0" w:color="auto"/>
        <w:right w:val="none" w:sz="0" w:space="0" w:color="auto"/>
      </w:divBdr>
    </w:div>
    <w:div w:id="10495451">
      <w:bodyDiv w:val="1"/>
      <w:marLeft w:val="0"/>
      <w:marRight w:val="0"/>
      <w:marTop w:val="0"/>
      <w:marBottom w:val="0"/>
      <w:divBdr>
        <w:top w:val="none" w:sz="0" w:space="0" w:color="auto"/>
        <w:left w:val="none" w:sz="0" w:space="0" w:color="auto"/>
        <w:bottom w:val="none" w:sz="0" w:space="0" w:color="auto"/>
        <w:right w:val="none" w:sz="0" w:space="0" w:color="auto"/>
      </w:divBdr>
    </w:div>
    <w:div w:id="10567035">
      <w:bodyDiv w:val="1"/>
      <w:marLeft w:val="0"/>
      <w:marRight w:val="0"/>
      <w:marTop w:val="0"/>
      <w:marBottom w:val="0"/>
      <w:divBdr>
        <w:top w:val="none" w:sz="0" w:space="0" w:color="auto"/>
        <w:left w:val="none" w:sz="0" w:space="0" w:color="auto"/>
        <w:bottom w:val="none" w:sz="0" w:space="0" w:color="auto"/>
        <w:right w:val="none" w:sz="0" w:space="0" w:color="auto"/>
      </w:divBdr>
    </w:div>
    <w:div w:id="10643680">
      <w:bodyDiv w:val="1"/>
      <w:marLeft w:val="0"/>
      <w:marRight w:val="0"/>
      <w:marTop w:val="0"/>
      <w:marBottom w:val="0"/>
      <w:divBdr>
        <w:top w:val="none" w:sz="0" w:space="0" w:color="auto"/>
        <w:left w:val="none" w:sz="0" w:space="0" w:color="auto"/>
        <w:bottom w:val="none" w:sz="0" w:space="0" w:color="auto"/>
        <w:right w:val="none" w:sz="0" w:space="0" w:color="auto"/>
      </w:divBdr>
    </w:div>
    <w:div w:id="10766764">
      <w:bodyDiv w:val="1"/>
      <w:marLeft w:val="0"/>
      <w:marRight w:val="0"/>
      <w:marTop w:val="0"/>
      <w:marBottom w:val="0"/>
      <w:divBdr>
        <w:top w:val="none" w:sz="0" w:space="0" w:color="auto"/>
        <w:left w:val="none" w:sz="0" w:space="0" w:color="auto"/>
        <w:bottom w:val="none" w:sz="0" w:space="0" w:color="auto"/>
        <w:right w:val="none" w:sz="0" w:space="0" w:color="auto"/>
      </w:divBdr>
    </w:div>
    <w:div w:id="10883601">
      <w:bodyDiv w:val="1"/>
      <w:marLeft w:val="0"/>
      <w:marRight w:val="0"/>
      <w:marTop w:val="0"/>
      <w:marBottom w:val="0"/>
      <w:divBdr>
        <w:top w:val="none" w:sz="0" w:space="0" w:color="auto"/>
        <w:left w:val="none" w:sz="0" w:space="0" w:color="auto"/>
        <w:bottom w:val="none" w:sz="0" w:space="0" w:color="auto"/>
        <w:right w:val="none" w:sz="0" w:space="0" w:color="auto"/>
      </w:divBdr>
    </w:div>
    <w:div w:id="10954020">
      <w:bodyDiv w:val="1"/>
      <w:marLeft w:val="0"/>
      <w:marRight w:val="0"/>
      <w:marTop w:val="0"/>
      <w:marBottom w:val="0"/>
      <w:divBdr>
        <w:top w:val="none" w:sz="0" w:space="0" w:color="auto"/>
        <w:left w:val="none" w:sz="0" w:space="0" w:color="auto"/>
        <w:bottom w:val="none" w:sz="0" w:space="0" w:color="auto"/>
        <w:right w:val="none" w:sz="0" w:space="0" w:color="auto"/>
      </w:divBdr>
    </w:div>
    <w:div w:id="10957958">
      <w:bodyDiv w:val="1"/>
      <w:marLeft w:val="0"/>
      <w:marRight w:val="0"/>
      <w:marTop w:val="0"/>
      <w:marBottom w:val="0"/>
      <w:divBdr>
        <w:top w:val="none" w:sz="0" w:space="0" w:color="auto"/>
        <w:left w:val="none" w:sz="0" w:space="0" w:color="auto"/>
        <w:bottom w:val="none" w:sz="0" w:space="0" w:color="auto"/>
        <w:right w:val="none" w:sz="0" w:space="0" w:color="auto"/>
      </w:divBdr>
    </w:div>
    <w:div w:id="10959534">
      <w:bodyDiv w:val="1"/>
      <w:marLeft w:val="0"/>
      <w:marRight w:val="0"/>
      <w:marTop w:val="0"/>
      <w:marBottom w:val="0"/>
      <w:divBdr>
        <w:top w:val="none" w:sz="0" w:space="0" w:color="auto"/>
        <w:left w:val="none" w:sz="0" w:space="0" w:color="auto"/>
        <w:bottom w:val="none" w:sz="0" w:space="0" w:color="auto"/>
        <w:right w:val="none" w:sz="0" w:space="0" w:color="auto"/>
      </w:divBdr>
    </w:div>
    <w:div w:id="10961961">
      <w:bodyDiv w:val="1"/>
      <w:marLeft w:val="0"/>
      <w:marRight w:val="0"/>
      <w:marTop w:val="0"/>
      <w:marBottom w:val="0"/>
      <w:divBdr>
        <w:top w:val="none" w:sz="0" w:space="0" w:color="auto"/>
        <w:left w:val="none" w:sz="0" w:space="0" w:color="auto"/>
        <w:bottom w:val="none" w:sz="0" w:space="0" w:color="auto"/>
        <w:right w:val="none" w:sz="0" w:space="0" w:color="auto"/>
      </w:divBdr>
    </w:div>
    <w:div w:id="11033969">
      <w:bodyDiv w:val="1"/>
      <w:marLeft w:val="0"/>
      <w:marRight w:val="0"/>
      <w:marTop w:val="0"/>
      <w:marBottom w:val="0"/>
      <w:divBdr>
        <w:top w:val="none" w:sz="0" w:space="0" w:color="auto"/>
        <w:left w:val="none" w:sz="0" w:space="0" w:color="auto"/>
        <w:bottom w:val="none" w:sz="0" w:space="0" w:color="auto"/>
        <w:right w:val="none" w:sz="0" w:space="0" w:color="auto"/>
      </w:divBdr>
    </w:div>
    <w:div w:id="11227847">
      <w:bodyDiv w:val="1"/>
      <w:marLeft w:val="0"/>
      <w:marRight w:val="0"/>
      <w:marTop w:val="0"/>
      <w:marBottom w:val="0"/>
      <w:divBdr>
        <w:top w:val="none" w:sz="0" w:space="0" w:color="auto"/>
        <w:left w:val="none" w:sz="0" w:space="0" w:color="auto"/>
        <w:bottom w:val="none" w:sz="0" w:space="0" w:color="auto"/>
        <w:right w:val="none" w:sz="0" w:space="0" w:color="auto"/>
      </w:divBdr>
    </w:div>
    <w:div w:id="11229573">
      <w:bodyDiv w:val="1"/>
      <w:marLeft w:val="0"/>
      <w:marRight w:val="0"/>
      <w:marTop w:val="0"/>
      <w:marBottom w:val="0"/>
      <w:divBdr>
        <w:top w:val="none" w:sz="0" w:space="0" w:color="auto"/>
        <w:left w:val="none" w:sz="0" w:space="0" w:color="auto"/>
        <w:bottom w:val="none" w:sz="0" w:space="0" w:color="auto"/>
        <w:right w:val="none" w:sz="0" w:space="0" w:color="auto"/>
      </w:divBdr>
    </w:div>
    <w:div w:id="11496517">
      <w:bodyDiv w:val="1"/>
      <w:marLeft w:val="0"/>
      <w:marRight w:val="0"/>
      <w:marTop w:val="0"/>
      <w:marBottom w:val="0"/>
      <w:divBdr>
        <w:top w:val="none" w:sz="0" w:space="0" w:color="auto"/>
        <w:left w:val="none" w:sz="0" w:space="0" w:color="auto"/>
        <w:bottom w:val="none" w:sz="0" w:space="0" w:color="auto"/>
        <w:right w:val="none" w:sz="0" w:space="0" w:color="auto"/>
      </w:divBdr>
    </w:div>
    <w:div w:id="11537623">
      <w:bodyDiv w:val="1"/>
      <w:marLeft w:val="0"/>
      <w:marRight w:val="0"/>
      <w:marTop w:val="0"/>
      <w:marBottom w:val="0"/>
      <w:divBdr>
        <w:top w:val="none" w:sz="0" w:space="0" w:color="auto"/>
        <w:left w:val="none" w:sz="0" w:space="0" w:color="auto"/>
        <w:bottom w:val="none" w:sz="0" w:space="0" w:color="auto"/>
        <w:right w:val="none" w:sz="0" w:space="0" w:color="auto"/>
      </w:divBdr>
    </w:div>
    <w:div w:id="11617086">
      <w:bodyDiv w:val="1"/>
      <w:marLeft w:val="0"/>
      <w:marRight w:val="0"/>
      <w:marTop w:val="0"/>
      <w:marBottom w:val="0"/>
      <w:divBdr>
        <w:top w:val="none" w:sz="0" w:space="0" w:color="auto"/>
        <w:left w:val="none" w:sz="0" w:space="0" w:color="auto"/>
        <w:bottom w:val="none" w:sz="0" w:space="0" w:color="auto"/>
        <w:right w:val="none" w:sz="0" w:space="0" w:color="auto"/>
      </w:divBdr>
    </w:div>
    <w:div w:id="11763243">
      <w:bodyDiv w:val="1"/>
      <w:marLeft w:val="0"/>
      <w:marRight w:val="0"/>
      <w:marTop w:val="0"/>
      <w:marBottom w:val="0"/>
      <w:divBdr>
        <w:top w:val="none" w:sz="0" w:space="0" w:color="auto"/>
        <w:left w:val="none" w:sz="0" w:space="0" w:color="auto"/>
        <w:bottom w:val="none" w:sz="0" w:space="0" w:color="auto"/>
        <w:right w:val="none" w:sz="0" w:space="0" w:color="auto"/>
      </w:divBdr>
    </w:div>
    <w:div w:id="11802094">
      <w:bodyDiv w:val="1"/>
      <w:marLeft w:val="0"/>
      <w:marRight w:val="0"/>
      <w:marTop w:val="0"/>
      <w:marBottom w:val="0"/>
      <w:divBdr>
        <w:top w:val="none" w:sz="0" w:space="0" w:color="auto"/>
        <w:left w:val="none" w:sz="0" w:space="0" w:color="auto"/>
        <w:bottom w:val="none" w:sz="0" w:space="0" w:color="auto"/>
        <w:right w:val="none" w:sz="0" w:space="0" w:color="auto"/>
      </w:divBdr>
    </w:div>
    <w:div w:id="11804456">
      <w:bodyDiv w:val="1"/>
      <w:marLeft w:val="0"/>
      <w:marRight w:val="0"/>
      <w:marTop w:val="0"/>
      <w:marBottom w:val="0"/>
      <w:divBdr>
        <w:top w:val="none" w:sz="0" w:space="0" w:color="auto"/>
        <w:left w:val="none" w:sz="0" w:space="0" w:color="auto"/>
        <w:bottom w:val="none" w:sz="0" w:space="0" w:color="auto"/>
        <w:right w:val="none" w:sz="0" w:space="0" w:color="auto"/>
      </w:divBdr>
    </w:div>
    <w:div w:id="11808291">
      <w:bodyDiv w:val="1"/>
      <w:marLeft w:val="0"/>
      <w:marRight w:val="0"/>
      <w:marTop w:val="0"/>
      <w:marBottom w:val="0"/>
      <w:divBdr>
        <w:top w:val="none" w:sz="0" w:space="0" w:color="auto"/>
        <w:left w:val="none" w:sz="0" w:space="0" w:color="auto"/>
        <w:bottom w:val="none" w:sz="0" w:space="0" w:color="auto"/>
        <w:right w:val="none" w:sz="0" w:space="0" w:color="auto"/>
      </w:divBdr>
    </w:div>
    <w:div w:id="11956626">
      <w:bodyDiv w:val="1"/>
      <w:marLeft w:val="0"/>
      <w:marRight w:val="0"/>
      <w:marTop w:val="0"/>
      <w:marBottom w:val="0"/>
      <w:divBdr>
        <w:top w:val="none" w:sz="0" w:space="0" w:color="auto"/>
        <w:left w:val="none" w:sz="0" w:space="0" w:color="auto"/>
        <w:bottom w:val="none" w:sz="0" w:space="0" w:color="auto"/>
        <w:right w:val="none" w:sz="0" w:space="0" w:color="auto"/>
      </w:divBdr>
    </w:div>
    <w:div w:id="11995597">
      <w:bodyDiv w:val="1"/>
      <w:marLeft w:val="0"/>
      <w:marRight w:val="0"/>
      <w:marTop w:val="0"/>
      <w:marBottom w:val="0"/>
      <w:divBdr>
        <w:top w:val="none" w:sz="0" w:space="0" w:color="auto"/>
        <w:left w:val="none" w:sz="0" w:space="0" w:color="auto"/>
        <w:bottom w:val="none" w:sz="0" w:space="0" w:color="auto"/>
        <w:right w:val="none" w:sz="0" w:space="0" w:color="auto"/>
      </w:divBdr>
    </w:div>
    <w:div w:id="12003171">
      <w:bodyDiv w:val="1"/>
      <w:marLeft w:val="0"/>
      <w:marRight w:val="0"/>
      <w:marTop w:val="0"/>
      <w:marBottom w:val="0"/>
      <w:divBdr>
        <w:top w:val="none" w:sz="0" w:space="0" w:color="auto"/>
        <w:left w:val="none" w:sz="0" w:space="0" w:color="auto"/>
        <w:bottom w:val="none" w:sz="0" w:space="0" w:color="auto"/>
        <w:right w:val="none" w:sz="0" w:space="0" w:color="auto"/>
      </w:divBdr>
    </w:div>
    <w:div w:id="12152298">
      <w:bodyDiv w:val="1"/>
      <w:marLeft w:val="0"/>
      <w:marRight w:val="0"/>
      <w:marTop w:val="0"/>
      <w:marBottom w:val="0"/>
      <w:divBdr>
        <w:top w:val="none" w:sz="0" w:space="0" w:color="auto"/>
        <w:left w:val="none" w:sz="0" w:space="0" w:color="auto"/>
        <w:bottom w:val="none" w:sz="0" w:space="0" w:color="auto"/>
        <w:right w:val="none" w:sz="0" w:space="0" w:color="auto"/>
      </w:divBdr>
    </w:div>
    <w:div w:id="12191221">
      <w:bodyDiv w:val="1"/>
      <w:marLeft w:val="0"/>
      <w:marRight w:val="0"/>
      <w:marTop w:val="0"/>
      <w:marBottom w:val="0"/>
      <w:divBdr>
        <w:top w:val="none" w:sz="0" w:space="0" w:color="auto"/>
        <w:left w:val="none" w:sz="0" w:space="0" w:color="auto"/>
        <w:bottom w:val="none" w:sz="0" w:space="0" w:color="auto"/>
        <w:right w:val="none" w:sz="0" w:space="0" w:color="auto"/>
      </w:divBdr>
    </w:div>
    <w:div w:id="12196391">
      <w:bodyDiv w:val="1"/>
      <w:marLeft w:val="0"/>
      <w:marRight w:val="0"/>
      <w:marTop w:val="0"/>
      <w:marBottom w:val="0"/>
      <w:divBdr>
        <w:top w:val="none" w:sz="0" w:space="0" w:color="auto"/>
        <w:left w:val="none" w:sz="0" w:space="0" w:color="auto"/>
        <w:bottom w:val="none" w:sz="0" w:space="0" w:color="auto"/>
        <w:right w:val="none" w:sz="0" w:space="0" w:color="auto"/>
      </w:divBdr>
    </w:div>
    <w:div w:id="12221935">
      <w:bodyDiv w:val="1"/>
      <w:marLeft w:val="0"/>
      <w:marRight w:val="0"/>
      <w:marTop w:val="0"/>
      <w:marBottom w:val="0"/>
      <w:divBdr>
        <w:top w:val="none" w:sz="0" w:space="0" w:color="auto"/>
        <w:left w:val="none" w:sz="0" w:space="0" w:color="auto"/>
        <w:bottom w:val="none" w:sz="0" w:space="0" w:color="auto"/>
        <w:right w:val="none" w:sz="0" w:space="0" w:color="auto"/>
      </w:divBdr>
    </w:div>
    <w:div w:id="12343338">
      <w:bodyDiv w:val="1"/>
      <w:marLeft w:val="0"/>
      <w:marRight w:val="0"/>
      <w:marTop w:val="0"/>
      <w:marBottom w:val="0"/>
      <w:divBdr>
        <w:top w:val="none" w:sz="0" w:space="0" w:color="auto"/>
        <w:left w:val="none" w:sz="0" w:space="0" w:color="auto"/>
        <w:bottom w:val="none" w:sz="0" w:space="0" w:color="auto"/>
        <w:right w:val="none" w:sz="0" w:space="0" w:color="auto"/>
      </w:divBdr>
    </w:div>
    <w:div w:id="12345715">
      <w:bodyDiv w:val="1"/>
      <w:marLeft w:val="0"/>
      <w:marRight w:val="0"/>
      <w:marTop w:val="0"/>
      <w:marBottom w:val="0"/>
      <w:divBdr>
        <w:top w:val="none" w:sz="0" w:space="0" w:color="auto"/>
        <w:left w:val="none" w:sz="0" w:space="0" w:color="auto"/>
        <w:bottom w:val="none" w:sz="0" w:space="0" w:color="auto"/>
        <w:right w:val="none" w:sz="0" w:space="0" w:color="auto"/>
      </w:divBdr>
    </w:div>
    <w:div w:id="12416512">
      <w:bodyDiv w:val="1"/>
      <w:marLeft w:val="0"/>
      <w:marRight w:val="0"/>
      <w:marTop w:val="0"/>
      <w:marBottom w:val="0"/>
      <w:divBdr>
        <w:top w:val="none" w:sz="0" w:space="0" w:color="auto"/>
        <w:left w:val="none" w:sz="0" w:space="0" w:color="auto"/>
        <w:bottom w:val="none" w:sz="0" w:space="0" w:color="auto"/>
        <w:right w:val="none" w:sz="0" w:space="0" w:color="auto"/>
      </w:divBdr>
    </w:div>
    <w:div w:id="12417589">
      <w:bodyDiv w:val="1"/>
      <w:marLeft w:val="0"/>
      <w:marRight w:val="0"/>
      <w:marTop w:val="0"/>
      <w:marBottom w:val="0"/>
      <w:divBdr>
        <w:top w:val="none" w:sz="0" w:space="0" w:color="auto"/>
        <w:left w:val="none" w:sz="0" w:space="0" w:color="auto"/>
        <w:bottom w:val="none" w:sz="0" w:space="0" w:color="auto"/>
        <w:right w:val="none" w:sz="0" w:space="0" w:color="auto"/>
      </w:divBdr>
    </w:div>
    <w:div w:id="12533489">
      <w:bodyDiv w:val="1"/>
      <w:marLeft w:val="0"/>
      <w:marRight w:val="0"/>
      <w:marTop w:val="0"/>
      <w:marBottom w:val="0"/>
      <w:divBdr>
        <w:top w:val="none" w:sz="0" w:space="0" w:color="auto"/>
        <w:left w:val="none" w:sz="0" w:space="0" w:color="auto"/>
        <w:bottom w:val="none" w:sz="0" w:space="0" w:color="auto"/>
        <w:right w:val="none" w:sz="0" w:space="0" w:color="auto"/>
      </w:divBdr>
    </w:div>
    <w:div w:id="12657978">
      <w:bodyDiv w:val="1"/>
      <w:marLeft w:val="0"/>
      <w:marRight w:val="0"/>
      <w:marTop w:val="0"/>
      <w:marBottom w:val="0"/>
      <w:divBdr>
        <w:top w:val="none" w:sz="0" w:space="0" w:color="auto"/>
        <w:left w:val="none" w:sz="0" w:space="0" w:color="auto"/>
        <w:bottom w:val="none" w:sz="0" w:space="0" w:color="auto"/>
        <w:right w:val="none" w:sz="0" w:space="0" w:color="auto"/>
      </w:divBdr>
    </w:div>
    <w:div w:id="12727953">
      <w:bodyDiv w:val="1"/>
      <w:marLeft w:val="0"/>
      <w:marRight w:val="0"/>
      <w:marTop w:val="0"/>
      <w:marBottom w:val="0"/>
      <w:divBdr>
        <w:top w:val="none" w:sz="0" w:space="0" w:color="auto"/>
        <w:left w:val="none" w:sz="0" w:space="0" w:color="auto"/>
        <w:bottom w:val="none" w:sz="0" w:space="0" w:color="auto"/>
        <w:right w:val="none" w:sz="0" w:space="0" w:color="auto"/>
      </w:divBdr>
    </w:div>
    <w:div w:id="12847867">
      <w:bodyDiv w:val="1"/>
      <w:marLeft w:val="0"/>
      <w:marRight w:val="0"/>
      <w:marTop w:val="0"/>
      <w:marBottom w:val="0"/>
      <w:divBdr>
        <w:top w:val="none" w:sz="0" w:space="0" w:color="auto"/>
        <w:left w:val="none" w:sz="0" w:space="0" w:color="auto"/>
        <w:bottom w:val="none" w:sz="0" w:space="0" w:color="auto"/>
        <w:right w:val="none" w:sz="0" w:space="0" w:color="auto"/>
      </w:divBdr>
    </w:div>
    <w:div w:id="13112548">
      <w:bodyDiv w:val="1"/>
      <w:marLeft w:val="0"/>
      <w:marRight w:val="0"/>
      <w:marTop w:val="0"/>
      <w:marBottom w:val="0"/>
      <w:divBdr>
        <w:top w:val="none" w:sz="0" w:space="0" w:color="auto"/>
        <w:left w:val="none" w:sz="0" w:space="0" w:color="auto"/>
        <w:bottom w:val="none" w:sz="0" w:space="0" w:color="auto"/>
        <w:right w:val="none" w:sz="0" w:space="0" w:color="auto"/>
      </w:divBdr>
    </w:div>
    <w:div w:id="13120709">
      <w:bodyDiv w:val="1"/>
      <w:marLeft w:val="0"/>
      <w:marRight w:val="0"/>
      <w:marTop w:val="0"/>
      <w:marBottom w:val="0"/>
      <w:divBdr>
        <w:top w:val="none" w:sz="0" w:space="0" w:color="auto"/>
        <w:left w:val="none" w:sz="0" w:space="0" w:color="auto"/>
        <w:bottom w:val="none" w:sz="0" w:space="0" w:color="auto"/>
        <w:right w:val="none" w:sz="0" w:space="0" w:color="auto"/>
      </w:divBdr>
    </w:div>
    <w:div w:id="13263047">
      <w:bodyDiv w:val="1"/>
      <w:marLeft w:val="0"/>
      <w:marRight w:val="0"/>
      <w:marTop w:val="0"/>
      <w:marBottom w:val="0"/>
      <w:divBdr>
        <w:top w:val="none" w:sz="0" w:space="0" w:color="auto"/>
        <w:left w:val="none" w:sz="0" w:space="0" w:color="auto"/>
        <w:bottom w:val="none" w:sz="0" w:space="0" w:color="auto"/>
        <w:right w:val="none" w:sz="0" w:space="0" w:color="auto"/>
      </w:divBdr>
    </w:div>
    <w:div w:id="13310258">
      <w:bodyDiv w:val="1"/>
      <w:marLeft w:val="0"/>
      <w:marRight w:val="0"/>
      <w:marTop w:val="0"/>
      <w:marBottom w:val="0"/>
      <w:divBdr>
        <w:top w:val="none" w:sz="0" w:space="0" w:color="auto"/>
        <w:left w:val="none" w:sz="0" w:space="0" w:color="auto"/>
        <w:bottom w:val="none" w:sz="0" w:space="0" w:color="auto"/>
        <w:right w:val="none" w:sz="0" w:space="0" w:color="auto"/>
      </w:divBdr>
    </w:div>
    <w:div w:id="13384644">
      <w:bodyDiv w:val="1"/>
      <w:marLeft w:val="0"/>
      <w:marRight w:val="0"/>
      <w:marTop w:val="0"/>
      <w:marBottom w:val="0"/>
      <w:divBdr>
        <w:top w:val="none" w:sz="0" w:space="0" w:color="auto"/>
        <w:left w:val="none" w:sz="0" w:space="0" w:color="auto"/>
        <w:bottom w:val="none" w:sz="0" w:space="0" w:color="auto"/>
        <w:right w:val="none" w:sz="0" w:space="0" w:color="auto"/>
      </w:divBdr>
    </w:div>
    <w:div w:id="13458326">
      <w:bodyDiv w:val="1"/>
      <w:marLeft w:val="0"/>
      <w:marRight w:val="0"/>
      <w:marTop w:val="0"/>
      <w:marBottom w:val="0"/>
      <w:divBdr>
        <w:top w:val="none" w:sz="0" w:space="0" w:color="auto"/>
        <w:left w:val="none" w:sz="0" w:space="0" w:color="auto"/>
        <w:bottom w:val="none" w:sz="0" w:space="0" w:color="auto"/>
        <w:right w:val="none" w:sz="0" w:space="0" w:color="auto"/>
      </w:divBdr>
    </w:div>
    <w:div w:id="13461082">
      <w:bodyDiv w:val="1"/>
      <w:marLeft w:val="0"/>
      <w:marRight w:val="0"/>
      <w:marTop w:val="0"/>
      <w:marBottom w:val="0"/>
      <w:divBdr>
        <w:top w:val="none" w:sz="0" w:space="0" w:color="auto"/>
        <w:left w:val="none" w:sz="0" w:space="0" w:color="auto"/>
        <w:bottom w:val="none" w:sz="0" w:space="0" w:color="auto"/>
        <w:right w:val="none" w:sz="0" w:space="0" w:color="auto"/>
      </w:divBdr>
    </w:div>
    <w:div w:id="13578824">
      <w:bodyDiv w:val="1"/>
      <w:marLeft w:val="0"/>
      <w:marRight w:val="0"/>
      <w:marTop w:val="0"/>
      <w:marBottom w:val="0"/>
      <w:divBdr>
        <w:top w:val="none" w:sz="0" w:space="0" w:color="auto"/>
        <w:left w:val="none" w:sz="0" w:space="0" w:color="auto"/>
        <w:bottom w:val="none" w:sz="0" w:space="0" w:color="auto"/>
        <w:right w:val="none" w:sz="0" w:space="0" w:color="auto"/>
      </w:divBdr>
    </w:div>
    <w:div w:id="13658582">
      <w:bodyDiv w:val="1"/>
      <w:marLeft w:val="0"/>
      <w:marRight w:val="0"/>
      <w:marTop w:val="0"/>
      <w:marBottom w:val="0"/>
      <w:divBdr>
        <w:top w:val="none" w:sz="0" w:space="0" w:color="auto"/>
        <w:left w:val="none" w:sz="0" w:space="0" w:color="auto"/>
        <w:bottom w:val="none" w:sz="0" w:space="0" w:color="auto"/>
        <w:right w:val="none" w:sz="0" w:space="0" w:color="auto"/>
      </w:divBdr>
    </w:div>
    <w:div w:id="13726649">
      <w:bodyDiv w:val="1"/>
      <w:marLeft w:val="0"/>
      <w:marRight w:val="0"/>
      <w:marTop w:val="0"/>
      <w:marBottom w:val="0"/>
      <w:divBdr>
        <w:top w:val="none" w:sz="0" w:space="0" w:color="auto"/>
        <w:left w:val="none" w:sz="0" w:space="0" w:color="auto"/>
        <w:bottom w:val="none" w:sz="0" w:space="0" w:color="auto"/>
        <w:right w:val="none" w:sz="0" w:space="0" w:color="auto"/>
      </w:divBdr>
    </w:div>
    <w:div w:id="13772996">
      <w:bodyDiv w:val="1"/>
      <w:marLeft w:val="0"/>
      <w:marRight w:val="0"/>
      <w:marTop w:val="0"/>
      <w:marBottom w:val="0"/>
      <w:divBdr>
        <w:top w:val="none" w:sz="0" w:space="0" w:color="auto"/>
        <w:left w:val="none" w:sz="0" w:space="0" w:color="auto"/>
        <w:bottom w:val="none" w:sz="0" w:space="0" w:color="auto"/>
        <w:right w:val="none" w:sz="0" w:space="0" w:color="auto"/>
      </w:divBdr>
    </w:div>
    <w:div w:id="13920484">
      <w:bodyDiv w:val="1"/>
      <w:marLeft w:val="0"/>
      <w:marRight w:val="0"/>
      <w:marTop w:val="0"/>
      <w:marBottom w:val="0"/>
      <w:divBdr>
        <w:top w:val="none" w:sz="0" w:space="0" w:color="auto"/>
        <w:left w:val="none" w:sz="0" w:space="0" w:color="auto"/>
        <w:bottom w:val="none" w:sz="0" w:space="0" w:color="auto"/>
        <w:right w:val="none" w:sz="0" w:space="0" w:color="auto"/>
      </w:divBdr>
    </w:div>
    <w:div w:id="13924802">
      <w:bodyDiv w:val="1"/>
      <w:marLeft w:val="0"/>
      <w:marRight w:val="0"/>
      <w:marTop w:val="0"/>
      <w:marBottom w:val="0"/>
      <w:divBdr>
        <w:top w:val="none" w:sz="0" w:space="0" w:color="auto"/>
        <w:left w:val="none" w:sz="0" w:space="0" w:color="auto"/>
        <w:bottom w:val="none" w:sz="0" w:space="0" w:color="auto"/>
        <w:right w:val="none" w:sz="0" w:space="0" w:color="auto"/>
      </w:divBdr>
    </w:div>
    <w:div w:id="14045486">
      <w:bodyDiv w:val="1"/>
      <w:marLeft w:val="0"/>
      <w:marRight w:val="0"/>
      <w:marTop w:val="0"/>
      <w:marBottom w:val="0"/>
      <w:divBdr>
        <w:top w:val="none" w:sz="0" w:space="0" w:color="auto"/>
        <w:left w:val="none" w:sz="0" w:space="0" w:color="auto"/>
        <w:bottom w:val="none" w:sz="0" w:space="0" w:color="auto"/>
        <w:right w:val="none" w:sz="0" w:space="0" w:color="auto"/>
      </w:divBdr>
    </w:div>
    <w:div w:id="14307250">
      <w:bodyDiv w:val="1"/>
      <w:marLeft w:val="0"/>
      <w:marRight w:val="0"/>
      <w:marTop w:val="0"/>
      <w:marBottom w:val="0"/>
      <w:divBdr>
        <w:top w:val="none" w:sz="0" w:space="0" w:color="auto"/>
        <w:left w:val="none" w:sz="0" w:space="0" w:color="auto"/>
        <w:bottom w:val="none" w:sz="0" w:space="0" w:color="auto"/>
        <w:right w:val="none" w:sz="0" w:space="0" w:color="auto"/>
      </w:divBdr>
    </w:div>
    <w:div w:id="14308643">
      <w:bodyDiv w:val="1"/>
      <w:marLeft w:val="0"/>
      <w:marRight w:val="0"/>
      <w:marTop w:val="0"/>
      <w:marBottom w:val="0"/>
      <w:divBdr>
        <w:top w:val="none" w:sz="0" w:space="0" w:color="auto"/>
        <w:left w:val="none" w:sz="0" w:space="0" w:color="auto"/>
        <w:bottom w:val="none" w:sz="0" w:space="0" w:color="auto"/>
        <w:right w:val="none" w:sz="0" w:space="0" w:color="auto"/>
      </w:divBdr>
    </w:div>
    <w:div w:id="14380682">
      <w:bodyDiv w:val="1"/>
      <w:marLeft w:val="0"/>
      <w:marRight w:val="0"/>
      <w:marTop w:val="0"/>
      <w:marBottom w:val="0"/>
      <w:divBdr>
        <w:top w:val="none" w:sz="0" w:space="0" w:color="auto"/>
        <w:left w:val="none" w:sz="0" w:space="0" w:color="auto"/>
        <w:bottom w:val="none" w:sz="0" w:space="0" w:color="auto"/>
        <w:right w:val="none" w:sz="0" w:space="0" w:color="auto"/>
      </w:divBdr>
    </w:div>
    <w:div w:id="14498747">
      <w:bodyDiv w:val="1"/>
      <w:marLeft w:val="0"/>
      <w:marRight w:val="0"/>
      <w:marTop w:val="0"/>
      <w:marBottom w:val="0"/>
      <w:divBdr>
        <w:top w:val="none" w:sz="0" w:space="0" w:color="auto"/>
        <w:left w:val="none" w:sz="0" w:space="0" w:color="auto"/>
        <w:bottom w:val="none" w:sz="0" w:space="0" w:color="auto"/>
        <w:right w:val="none" w:sz="0" w:space="0" w:color="auto"/>
      </w:divBdr>
    </w:div>
    <w:div w:id="14499035">
      <w:bodyDiv w:val="1"/>
      <w:marLeft w:val="0"/>
      <w:marRight w:val="0"/>
      <w:marTop w:val="0"/>
      <w:marBottom w:val="0"/>
      <w:divBdr>
        <w:top w:val="none" w:sz="0" w:space="0" w:color="auto"/>
        <w:left w:val="none" w:sz="0" w:space="0" w:color="auto"/>
        <w:bottom w:val="none" w:sz="0" w:space="0" w:color="auto"/>
        <w:right w:val="none" w:sz="0" w:space="0" w:color="auto"/>
      </w:divBdr>
    </w:div>
    <w:div w:id="14692633">
      <w:bodyDiv w:val="1"/>
      <w:marLeft w:val="0"/>
      <w:marRight w:val="0"/>
      <w:marTop w:val="0"/>
      <w:marBottom w:val="0"/>
      <w:divBdr>
        <w:top w:val="none" w:sz="0" w:space="0" w:color="auto"/>
        <w:left w:val="none" w:sz="0" w:space="0" w:color="auto"/>
        <w:bottom w:val="none" w:sz="0" w:space="0" w:color="auto"/>
        <w:right w:val="none" w:sz="0" w:space="0" w:color="auto"/>
      </w:divBdr>
    </w:div>
    <w:div w:id="14885193">
      <w:bodyDiv w:val="1"/>
      <w:marLeft w:val="0"/>
      <w:marRight w:val="0"/>
      <w:marTop w:val="0"/>
      <w:marBottom w:val="0"/>
      <w:divBdr>
        <w:top w:val="none" w:sz="0" w:space="0" w:color="auto"/>
        <w:left w:val="none" w:sz="0" w:space="0" w:color="auto"/>
        <w:bottom w:val="none" w:sz="0" w:space="0" w:color="auto"/>
        <w:right w:val="none" w:sz="0" w:space="0" w:color="auto"/>
      </w:divBdr>
    </w:div>
    <w:div w:id="14892759">
      <w:bodyDiv w:val="1"/>
      <w:marLeft w:val="0"/>
      <w:marRight w:val="0"/>
      <w:marTop w:val="0"/>
      <w:marBottom w:val="0"/>
      <w:divBdr>
        <w:top w:val="none" w:sz="0" w:space="0" w:color="auto"/>
        <w:left w:val="none" w:sz="0" w:space="0" w:color="auto"/>
        <w:bottom w:val="none" w:sz="0" w:space="0" w:color="auto"/>
        <w:right w:val="none" w:sz="0" w:space="0" w:color="auto"/>
      </w:divBdr>
    </w:div>
    <w:div w:id="14969366">
      <w:bodyDiv w:val="1"/>
      <w:marLeft w:val="0"/>
      <w:marRight w:val="0"/>
      <w:marTop w:val="0"/>
      <w:marBottom w:val="0"/>
      <w:divBdr>
        <w:top w:val="none" w:sz="0" w:space="0" w:color="auto"/>
        <w:left w:val="none" w:sz="0" w:space="0" w:color="auto"/>
        <w:bottom w:val="none" w:sz="0" w:space="0" w:color="auto"/>
        <w:right w:val="none" w:sz="0" w:space="0" w:color="auto"/>
      </w:divBdr>
    </w:div>
    <w:div w:id="15039238">
      <w:bodyDiv w:val="1"/>
      <w:marLeft w:val="0"/>
      <w:marRight w:val="0"/>
      <w:marTop w:val="0"/>
      <w:marBottom w:val="0"/>
      <w:divBdr>
        <w:top w:val="none" w:sz="0" w:space="0" w:color="auto"/>
        <w:left w:val="none" w:sz="0" w:space="0" w:color="auto"/>
        <w:bottom w:val="none" w:sz="0" w:space="0" w:color="auto"/>
        <w:right w:val="none" w:sz="0" w:space="0" w:color="auto"/>
      </w:divBdr>
    </w:div>
    <w:div w:id="15080903">
      <w:bodyDiv w:val="1"/>
      <w:marLeft w:val="0"/>
      <w:marRight w:val="0"/>
      <w:marTop w:val="0"/>
      <w:marBottom w:val="0"/>
      <w:divBdr>
        <w:top w:val="none" w:sz="0" w:space="0" w:color="auto"/>
        <w:left w:val="none" w:sz="0" w:space="0" w:color="auto"/>
        <w:bottom w:val="none" w:sz="0" w:space="0" w:color="auto"/>
        <w:right w:val="none" w:sz="0" w:space="0" w:color="auto"/>
      </w:divBdr>
    </w:div>
    <w:div w:id="15085662">
      <w:bodyDiv w:val="1"/>
      <w:marLeft w:val="0"/>
      <w:marRight w:val="0"/>
      <w:marTop w:val="0"/>
      <w:marBottom w:val="0"/>
      <w:divBdr>
        <w:top w:val="none" w:sz="0" w:space="0" w:color="auto"/>
        <w:left w:val="none" w:sz="0" w:space="0" w:color="auto"/>
        <w:bottom w:val="none" w:sz="0" w:space="0" w:color="auto"/>
        <w:right w:val="none" w:sz="0" w:space="0" w:color="auto"/>
      </w:divBdr>
    </w:div>
    <w:div w:id="15158644">
      <w:bodyDiv w:val="1"/>
      <w:marLeft w:val="0"/>
      <w:marRight w:val="0"/>
      <w:marTop w:val="0"/>
      <w:marBottom w:val="0"/>
      <w:divBdr>
        <w:top w:val="none" w:sz="0" w:space="0" w:color="auto"/>
        <w:left w:val="none" w:sz="0" w:space="0" w:color="auto"/>
        <w:bottom w:val="none" w:sz="0" w:space="0" w:color="auto"/>
        <w:right w:val="none" w:sz="0" w:space="0" w:color="auto"/>
      </w:divBdr>
    </w:div>
    <w:div w:id="15160039">
      <w:bodyDiv w:val="1"/>
      <w:marLeft w:val="0"/>
      <w:marRight w:val="0"/>
      <w:marTop w:val="0"/>
      <w:marBottom w:val="0"/>
      <w:divBdr>
        <w:top w:val="none" w:sz="0" w:space="0" w:color="auto"/>
        <w:left w:val="none" w:sz="0" w:space="0" w:color="auto"/>
        <w:bottom w:val="none" w:sz="0" w:space="0" w:color="auto"/>
        <w:right w:val="none" w:sz="0" w:space="0" w:color="auto"/>
      </w:divBdr>
    </w:div>
    <w:div w:id="15160559">
      <w:bodyDiv w:val="1"/>
      <w:marLeft w:val="0"/>
      <w:marRight w:val="0"/>
      <w:marTop w:val="0"/>
      <w:marBottom w:val="0"/>
      <w:divBdr>
        <w:top w:val="none" w:sz="0" w:space="0" w:color="auto"/>
        <w:left w:val="none" w:sz="0" w:space="0" w:color="auto"/>
        <w:bottom w:val="none" w:sz="0" w:space="0" w:color="auto"/>
        <w:right w:val="none" w:sz="0" w:space="0" w:color="auto"/>
      </w:divBdr>
    </w:div>
    <w:div w:id="15232623">
      <w:bodyDiv w:val="1"/>
      <w:marLeft w:val="0"/>
      <w:marRight w:val="0"/>
      <w:marTop w:val="0"/>
      <w:marBottom w:val="0"/>
      <w:divBdr>
        <w:top w:val="none" w:sz="0" w:space="0" w:color="auto"/>
        <w:left w:val="none" w:sz="0" w:space="0" w:color="auto"/>
        <w:bottom w:val="none" w:sz="0" w:space="0" w:color="auto"/>
        <w:right w:val="none" w:sz="0" w:space="0" w:color="auto"/>
      </w:divBdr>
    </w:div>
    <w:div w:id="15350156">
      <w:bodyDiv w:val="1"/>
      <w:marLeft w:val="0"/>
      <w:marRight w:val="0"/>
      <w:marTop w:val="0"/>
      <w:marBottom w:val="0"/>
      <w:divBdr>
        <w:top w:val="none" w:sz="0" w:space="0" w:color="auto"/>
        <w:left w:val="none" w:sz="0" w:space="0" w:color="auto"/>
        <w:bottom w:val="none" w:sz="0" w:space="0" w:color="auto"/>
        <w:right w:val="none" w:sz="0" w:space="0" w:color="auto"/>
      </w:divBdr>
    </w:div>
    <w:div w:id="15355356">
      <w:bodyDiv w:val="1"/>
      <w:marLeft w:val="0"/>
      <w:marRight w:val="0"/>
      <w:marTop w:val="0"/>
      <w:marBottom w:val="0"/>
      <w:divBdr>
        <w:top w:val="none" w:sz="0" w:space="0" w:color="auto"/>
        <w:left w:val="none" w:sz="0" w:space="0" w:color="auto"/>
        <w:bottom w:val="none" w:sz="0" w:space="0" w:color="auto"/>
        <w:right w:val="none" w:sz="0" w:space="0" w:color="auto"/>
      </w:divBdr>
    </w:div>
    <w:div w:id="15424460">
      <w:bodyDiv w:val="1"/>
      <w:marLeft w:val="0"/>
      <w:marRight w:val="0"/>
      <w:marTop w:val="0"/>
      <w:marBottom w:val="0"/>
      <w:divBdr>
        <w:top w:val="none" w:sz="0" w:space="0" w:color="auto"/>
        <w:left w:val="none" w:sz="0" w:space="0" w:color="auto"/>
        <w:bottom w:val="none" w:sz="0" w:space="0" w:color="auto"/>
        <w:right w:val="none" w:sz="0" w:space="0" w:color="auto"/>
      </w:divBdr>
    </w:div>
    <w:div w:id="15429791">
      <w:bodyDiv w:val="1"/>
      <w:marLeft w:val="0"/>
      <w:marRight w:val="0"/>
      <w:marTop w:val="0"/>
      <w:marBottom w:val="0"/>
      <w:divBdr>
        <w:top w:val="none" w:sz="0" w:space="0" w:color="auto"/>
        <w:left w:val="none" w:sz="0" w:space="0" w:color="auto"/>
        <w:bottom w:val="none" w:sz="0" w:space="0" w:color="auto"/>
        <w:right w:val="none" w:sz="0" w:space="0" w:color="auto"/>
      </w:divBdr>
    </w:div>
    <w:div w:id="15466813">
      <w:bodyDiv w:val="1"/>
      <w:marLeft w:val="0"/>
      <w:marRight w:val="0"/>
      <w:marTop w:val="0"/>
      <w:marBottom w:val="0"/>
      <w:divBdr>
        <w:top w:val="none" w:sz="0" w:space="0" w:color="auto"/>
        <w:left w:val="none" w:sz="0" w:space="0" w:color="auto"/>
        <w:bottom w:val="none" w:sz="0" w:space="0" w:color="auto"/>
        <w:right w:val="none" w:sz="0" w:space="0" w:color="auto"/>
      </w:divBdr>
    </w:div>
    <w:div w:id="15472988">
      <w:bodyDiv w:val="1"/>
      <w:marLeft w:val="0"/>
      <w:marRight w:val="0"/>
      <w:marTop w:val="0"/>
      <w:marBottom w:val="0"/>
      <w:divBdr>
        <w:top w:val="none" w:sz="0" w:space="0" w:color="auto"/>
        <w:left w:val="none" w:sz="0" w:space="0" w:color="auto"/>
        <w:bottom w:val="none" w:sz="0" w:space="0" w:color="auto"/>
        <w:right w:val="none" w:sz="0" w:space="0" w:color="auto"/>
      </w:divBdr>
    </w:div>
    <w:div w:id="15498348">
      <w:bodyDiv w:val="1"/>
      <w:marLeft w:val="0"/>
      <w:marRight w:val="0"/>
      <w:marTop w:val="0"/>
      <w:marBottom w:val="0"/>
      <w:divBdr>
        <w:top w:val="none" w:sz="0" w:space="0" w:color="auto"/>
        <w:left w:val="none" w:sz="0" w:space="0" w:color="auto"/>
        <w:bottom w:val="none" w:sz="0" w:space="0" w:color="auto"/>
        <w:right w:val="none" w:sz="0" w:space="0" w:color="auto"/>
      </w:divBdr>
    </w:div>
    <w:div w:id="15542720">
      <w:bodyDiv w:val="1"/>
      <w:marLeft w:val="0"/>
      <w:marRight w:val="0"/>
      <w:marTop w:val="0"/>
      <w:marBottom w:val="0"/>
      <w:divBdr>
        <w:top w:val="none" w:sz="0" w:space="0" w:color="auto"/>
        <w:left w:val="none" w:sz="0" w:space="0" w:color="auto"/>
        <w:bottom w:val="none" w:sz="0" w:space="0" w:color="auto"/>
        <w:right w:val="none" w:sz="0" w:space="0" w:color="auto"/>
      </w:divBdr>
    </w:div>
    <w:div w:id="15622918">
      <w:bodyDiv w:val="1"/>
      <w:marLeft w:val="0"/>
      <w:marRight w:val="0"/>
      <w:marTop w:val="0"/>
      <w:marBottom w:val="0"/>
      <w:divBdr>
        <w:top w:val="none" w:sz="0" w:space="0" w:color="auto"/>
        <w:left w:val="none" w:sz="0" w:space="0" w:color="auto"/>
        <w:bottom w:val="none" w:sz="0" w:space="0" w:color="auto"/>
        <w:right w:val="none" w:sz="0" w:space="0" w:color="auto"/>
      </w:divBdr>
    </w:div>
    <w:div w:id="15693845">
      <w:bodyDiv w:val="1"/>
      <w:marLeft w:val="0"/>
      <w:marRight w:val="0"/>
      <w:marTop w:val="0"/>
      <w:marBottom w:val="0"/>
      <w:divBdr>
        <w:top w:val="none" w:sz="0" w:space="0" w:color="auto"/>
        <w:left w:val="none" w:sz="0" w:space="0" w:color="auto"/>
        <w:bottom w:val="none" w:sz="0" w:space="0" w:color="auto"/>
        <w:right w:val="none" w:sz="0" w:space="0" w:color="auto"/>
      </w:divBdr>
    </w:div>
    <w:div w:id="15734290">
      <w:bodyDiv w:val="1"/>
      <w:marLeft w:val="0"/>
      <w:marRight w:val="0"/>
      <w:marTop w:val="0"/>
      <w:marBottom w:val="0"/>
      <w:divBdr>
        <w:top w:val="none" w:sz="0" w:space="0" w:color="auto"/>
        <w:left w:val="none" w:sz="0" w:space="0" w:color="auto"/>
        <w:bottom w:val="none" w:sz="0" w:space="0" w:color="auto"/>
        <w:right w:val="none" w:sz="0" w:space="0" w:color="auto"/>
      </w:divBdr>
    </w:div>
    <w:div w:id="15739449">
      <w:bodyDiv w:val="1"/>
      <w:marLeft w:val="0"/>
      <w:marRight w:val="0"/>
      <w:marTop w:val="0"/>
      <w:marBottom w:val="0"/>
      <w:divBdr>
        <w:top w:val="none" w:sz="0" w:space="0" w:color="auto"/>
        <w:left w:val="none" w:sz="0" w:space="0" w:color="auto"/>
        <w:bottom w:val="none" w:sz="0" w:space="0" w:color="auto"/>
        <w:right w:val="none" w:sz="0" w:space="0" w:color="auto"/>
      </w:divBdr>
    </w:div>
    <w:div w:id="15812317">
      <w:bodyDiv w:val="1"/>
      <w:marLeft w:val="0"/>
      <w:marRight w:val="0"/>
      <w:marTop w:val="0"/>
      <w:marBottom w:val="0"/>
      <w:divBdr>
        <w:top w:val="none" w:sz="0" w:space="0" w:color="auto"/>
        <w:left w:val="none" w:sz="0" w:space="0" w:color="auto"/>
        <w:bottom w:val="none" w:sz="0" w:space="0" w:color="auto"/>
        <w:right w:val="none" w:sz="0" w:space="0" w:color="auto"/>
      </w:divBdr>
    </w:div>
    <w:div w:id="15890789">
      <w:bodyDiv w:val="1"/>
      <w:marLeft w:val="0"/>
      <w:marRight w:val="0"/>
      <w:marTop w:val="0"/>
      <w:marBottom w:val="0"/>
      <w:divBdr>
        <w:top w:val="none" w:sz="0" w:space="0" w:color="auto"/>
        <w:left w:val="none" w:sz="0" w:space="0" w:color="auto"/>
        <w:bottom w:val="none" w:sz="0" w:space="0" w:color="auto"/>
        <w:right w:val="none" w:sz="0" w:space="0" w:color="auto"/>
      </w:divBdr>
    </w:div>
    <w:div w:id="16003042">
      <w:bodyDiv w:val="1"/>
      <w:marLeft w:val="0"/>
      <w:marRight w:val="0"/>
      <w:marTop w:val="0"/>
      <w:marBottom w:val="0"/>
      <w:divBdr>
        <w:top w:val="none" w:sz="0" w:space="0" w:color="auto"/>
        <w:left w:val="none" w:sz="0" w:space="0" w:color="auto"/>
        <w:bottom w:val="none" w:sz="0" w:space="0" w:color="auto"/>
        <w:right w:val="none" w:sz="0" w:space="0" w:color="auto"/>
      </w:divBdr>
    </w:div>
    <w:div w:id="16006393">
      <w:bodyDiv w:val="1"/>
      <w:marLeft w:val="0"/>
      <w:marRight w:val="0"/>
      <w:marTop w:val="0"/>
      <w:marBottom w:val="0"/>
      <w:divBdr>
        <w:top w:val="none" w:sz="0" w:space="0" w:color="auto"/>
        <w:left w:val="none" w:sz="0" w:space="0" w:color="auto"/>
        <w:bottom w:val="none" w:sz="0" w:space="0" w:color="auto"/>
        <w:right w:val="none" w:sz="0" w:space="0" w:color="auto"/>
      </w:divBdr>
    </w:div>
    <w:div w:id="16011636">
      <w:bodyDiv w:val="1"/>
      <w:marLeft w:val="0"/>
      <w:marRight w:val="0"/>
      <w:marTop w:val="0"/>
      <w:marBottom w:val="0"/>
      <w:divBdr>
        <w:top w:val="none" w:sz="0" w:space="0" w:color="auto"/>
        <w:left w:val="none" w:sz="0" w:space="0" w:color="auto"/>
        <w:bottom w:val="none" w:sz="0" w:space="0" w:color="auto"/>
        <w:right w:val="none" w:sz="0" w:space="0" w:color="auto"/>
      </w:divBdr>
    </w:div>
    <w:div w:id="16081278">
      <w:bodyDiv w:val="1"/>
      <w:marLeft w:val="0"/>
      <w:marRight w:val="0"/>
      <w:marTop w:val="0"/>
      <w:marBottom w:val="0"/>
      <w:divBdr>
        <w:top w:val="none" w:sz="0" w:space="0" w:color="auto"/>
        <w:left w:val="none" w:sz="0" w:space="0" w:color="auto"/>
        <w:bottom w:val="none" w:sz="0" w:space="0" w:color="auto"/>
        <w:right w:val="none" w:sz="0" w:space="0" w:color="auto"/>
      </w:divBdr>
    </w:div>
    <w:div w:id="16082003">
      <w:bodyDiv w:val="1"/>
      <w:marLeft w:val="0"/>
      <w:marRight w:val="0"/>
      <w:marTop w:val="0"/>
      <w:marBottom w:val="0"/>
      <w:divBdr>
        <w:top w:val="none" w:sz="0" w:space="0" w:color="auto"/>
        <w:left w:val="none" w:sz="0" w:space="0" w:color="auto"/>
        <w:bottom w:val="none" w:sz="0" w:space="0" w:color="auto"/>
        <w:right w:val="none" w:sz="0" w:space="0" w:color="auto"/>
      </w:divBdr>
    </w:div>
    <w:div w:id="16280388">
      <w:bodyDiv w:val="1"/>
      <w:marLeft w:val="0"/>
      <w:marRight w:val="0"/>
      <w:marTop w:val="0"/>
      <w:marBottom w:val="0"/>
      <w:divBdr>
        <w:top w:val="none" w:sz="0" w:space="0" w:color="auto"/>
        <w:left w:val="none" w:sz="0" w:space="0" w:color="auto"/>
        <w:bottom w:val="none" w:sz="0" w:space="0" w:color="auto"/>
        <w:right w:val="none" w:sz="0" w:space="0" w:color="auto"/>
      </w:divBdr>
    </w:div>
    <w:div w:id="16389299">
      <w:bodyDiv w:val="1"/>
      <w:marLeft w:val="0"/>
      <w:marRight w:val="0"/>
      <w:marTop w:val="0"/>
      <w:marBottom w:val="0"/>
      <w:divBdr>
        <w:top w:val="none" w:sz="0" w:space="0" w:color="auto"/>
        <w:left w:val="none" w:sz="0" w:space="0" w:color="auto"/>
        <w:bottom w:val="none" w:sz="0" w:space="0" w:color="auto"/>
        <w:right w:val="none" w:sz="0" w:space="0" w:color="auto"/>
      </w:divBdr>
    </w:div>
    <w:div w:id="16393182">
      <w:bodyDiv w:val="1"/>
      <w:marLeft w:val="0"/>
      <w:marRight w:val="0"/>
      <w:marTop w:val="0"/>
      <w:marBottom w:val="0"/>
      <w:divBdr>
        <w:top w:val="none" w:sz="0" w:space="0" w:color="auto"/>
        <w:left w:val="none" w:sz="0" w:space="0" w:color="auto"/>
        <w:bottom w:val="none" w:sz="0" w:space="0" w:color="auto"/>
        <w:right w:val="none" w:sz="0" w:space="0" w:color="auto"/>
      </w:divBdr>
    </w:div>
    <w:div w:id="16540112">
      <w:bodyDiv w:val="1"/>
      <w:marLeft w:val="0"/>
      <w:marRight w:val="0"/>
      <w:marTop w:val="0"/>
      <w:marBottom w:val="0"/>
      <w:divBdr>
        <w:top w:val="none" w:sz="0" w:space="0" w:color="auto"/>
        <w:left w:val="none" w:sz="0" w:space="0" w:color="auto"/>
        <w:bottom w:val="none" w:sz="0" w:space="0" w:color="auto"/>
        <w:right w:val="none" w:sz="0" w:space="0" w:color="auto"/>
      </w:divBdr>
    </w:div>
    <w:div w:id="16542313">
      <w:bodyDiv w:val="1"/>
      <w:marLeft w:val="0"/>
      <w:marRight w:val="0"/>
      <w:marTop w:val="0"/>
      <w:marBottom w:val="0"/>
      <w:divBdr>
        <w:top w:val="none" w:sz="0" w:space="0" w:color="auto"/>
        <w:left w:val="none" w:sz="0" w:space="0" w:color="auto"/>
        <w:bottom w:val="none" w:sz="0" w:space="0" w:color="auto"/>
        <w:right w:val="none" w:sz="0" w:space="0" w:color="auto"/>
      </w:divBdr>
    </w:div>
    <w:div w:id="16659923">
      <w:bodyDiv w:val="1"/>
      <w:marLeft w:val="0"/>
      <w:marRight w:val="0"/>
      <w:marTop w:val="0"/>
      <w:marBottom w:val="0"/>
      <w:divBdr>
        <w:top w:val="none" w:sz="0" w:space="0" w:color="auto"/>
        <w:left w:val="none" w:sz="0" w:space="0" w:color="auto"/>
        <w:bottom w:val="none" w:sz="0" w:space="0" w:color="auto"/>
        <w:right w:val="none" w:sz="0" w:space="0" w:color="auto"/>
      </w:divBdr>
    </w:div>
    <w:div w:id="16736347">
      <w:bodyDiv w:val="1"/>
      <w:marLeft w:val="0"/>
      <w:marRight w:val="0"/>
      <w:marTop w:val="0"/>
      <w:marBottom w:val="0"/>
      <w:divBdr>
        <w:top w:val="none" w:sz="0" w:space="0" w:color="auto"/>
        <w:left w:val="none" w:sz="0" w:space="0" w:color="auto"/>
        <w:bottom w:val="none" w:sz="0" w:space="0" w:color="auto"/>
        <w:right w:val="none" w:sz="0" w:space="0" w:color="auto"/>
      </w:divBdr>
    </w:div>
    <w:div w:id="16739208">
      <w:bodyDiv w:val="1"/>
      <w:marLeft w:val="0"/>
      <w:marRight w:val="0"/>
      <w:marTop w:val="0"/>
      <w:marBottom w:val="0"/>
      <w:divBdr>
        <w:top w:val="none" w:sz="0" w:space="0" w:color="auto"/>
        <w:left w:val="none" w:sz="0" w:space="0" w:color="auto"/>
        <w:bottom w:val="none" w:sz="0" w:space="0" w:color="auto"/>
        <w:right w:val="none" w:sz="0" w:space="0" w:color="auto"/>
      </w:divBdr>
    </w:div>
    <w:div w:id="17003803">
      <w:bodyDiv w:val="1"/>
      <w:marLeft w:val="0"/>
      <w:marRight w:val="0"/>
      <w:marTop w:val="0"/>
      <w:marBottom w:val="0"/>
      <w:divBdr>
        <w:top w:val="none" w:sz="0" w:space="0" w:color="auto"/>
        <w:left w:val="none" w:sz="0" w:space="0" w:color="auto"/>
        <w:bottom w:val="none" w:sz="0" w:space="0" w:color="auto"/>
        <w:right w:val="none" w:sz="0" w:space="0" w:color="auto"/>
      </w:divBdr>
    </w:div>
    <w:div w:id="17004931">
      <w:bodyDiv w:val="1"/>
      <w:marLeft w:val="0"/>
      <w:marRight w:val="0"/>
      <w:marTop w:val="0"/>
      <w:marBottom w:val="0"/>
      <w:divBdr>
        <w:top w:val="none" w:sz="0" w:space="0" w:color="auto"/>
        <w:left w:val="none" w:sz="0" w:space="0" w:color="auto"/>
        <w:bottom w:val="none" w:sz="0" w:space="0" w:color="auto"/>
        <w:right w:val="none" w:sz="0" w:space="0" w:color="auto"/>
      </w:divBdr>
    </w:div>
    <w:div w:id="17005607">
      <w:bodyDiv w:val="1"/>
      <w:marLeft w:val="0"/>
      <w:marRight w:val="0"/>
      <w:marTop w:val="0"/>
      <w:marBottom w:val="0"/>
      <w:divBdr>
        <w:top w:val="none" w:sz="0" w:space="0" w:color="auto"/>
        <w:left w:val="none" w:sz="0" w:space="0" w:color="auto"/>
        <w:bottom w:val="none" w:sz="0" w:space="0" w:color="auto"/>
        <w:right w:val="none" w:sz="0" w:space="0" w:color="auto"/>
      </w:divBdr>
    </w:div>
    <w:div w:id="17047090">
      <w:bodyDiv w:val="1"/>
      <w:marLeft w:val="0"/>
      <w:marRight w:val="0"/>
      <w:marTop w:val="0"/>
      <w:marBottom w:val="0"/>
      <w:divBdr>
        <w:top w:val="none" w:sz="0" w:space="0" w:color="auto"/>
        <w:left w:val="none" w:sz="0" w:space="0" w:color="auto"/>
        <w:bottom w:val="none" w:sz="0" w:space="0" w:color="auto"/>
        <w:right w:val="none" w:sz="0" w:space="0" w:color="auto"/>
      </w:divBdr>
    </w:div>
    <w:div w:id="17048778">
      <w:bodyDiv w:val="1"/>
      <w:marLeft w:val="0"/>
      <w:marRight w:val="0"/>
      <w:marTop w:val="0"/>
      <w:marBottom w:val="0"/>
      <w:divBdr>
        <w:top w:val="none" w:sz="0" w:space="0" w:color="auto"/>
        <w:left w:val="none" w:sz="0" w:space="0" w:color="auto"/>
        <w:bottom w:val="none" w:sz="0" w:space="0" w:color="auto"/>
        <w:right w:val="none" w:sz="0" w:space="0" w:color="auto"/>
      </w:divBdr>
    </w:div>
    <w:div w:id="17119369">
      <w:bodyDiv w:val="1"/>
      <w:marLeft w:val="0"/>
      <w:marRight w:val="0"/>
      <w:marTop w:val="0"/>
      <w:marBottom w:val="0"/>
      <w:divBdr>
        <w:top w:val="none" w:sz="0" w:space="0" w:color="auto"/>
        <w:left w:val="none" w:sz="0" w:space="0" w:color="auto"/>
        <w:bottom w:val="none" w:sz="0" w:space="0" w:color="auto"/>
        <w:right w:val="none" w:sz="0" w:space="0" w:color="auto"/>
      </w:divBdr>
    </w:div>
    <w:div w:id="17242367">
      <w:bodyDiv w:val="1"/>
      <w:marLeft w:val="0"/>
      <w:marRight w:val="0"/>
      <w:marTop w:val="0"/>
      <w:marBottom w:val="0"/>
      <w:divBdr>
        <w:top w:val="none" w:sz="0" w:space="0" w:color="auto"/>
        <w:left w:val="none" w:sz="0" w:space="0" w:color="auto"/>
        <w:bottom w:val="none" w:sz="0" w:space="0" w:color="auto"/>
        <w:right w:val="none" w:sz="0" w:space="0" w:color="auto"/>
      </w:divBdr>
    </w:div>
    <w:div w:id="17243452">
      <w:bodyDiv w:val="1"/>
      <w:marLeft w:val="0"/>
      <w:marRight w:val="0"/>
      <w:marTop w:val="0"/>
      <w:marBottom w:val="0"/>
      <w:divBdr>
        <w:top w:val="none" w:sz="0" w:space="0" w:color="auto"/>
        <w:left w:val="none" w:sz="0" w:space="0" w:color="auto"/>
        <w:bottom w:val="none" w:sz="0" w:space="0" w:color="auto"/>
        <w:right w:val="none" w:sz="0" w:space="0" w:color="auto"/>
      </w:divBdr>
    </w:div>
    <w:div w:id="17583836">
      <w:bodyDiv w:val="1"/>
      <w:marLeft w:val="0"/>
      <w:marRight w:val="0"/>
      <w:marTop w:val="0"/>
      <w:marBottom w:val="0"/>
      <w:divBdr>
        <w:top w:val="none" w:sz="0" w:space="0" w:color="auto"/>
        <w:left w:val="none" w:sz="0" w:space="0" w:color="auto"/>
        <w:bottom w:val="none" w:sz="0" w:space="0" w:color="auto"/>
        <w:right w:val="none" w:sz="0" w:space="0" w:color="auto"/>
      </w:divBdr>
    </w:div>
    <w:div w:id="17700784">
      <w:bodyDiv w:val="1"/>
      <w:marLeft w:val="0"/>
      <w:marRight w:val="0"/>
      <w:marTop w:val="0"/>
      <w:marBottom w:val="0"/>
      <w:divBdr>
        <w:top w:val="none" w:sz="0" w:space="0" w:color="auto"/>
        <w:left w:val="none" w:sz="0" w:space="0" w:color="auto"/>
        <w:bottom w:val="none" w:sz="0" w:space="0" w:color="auto"/>
        <w:right w:val="none" w:sz="0" w:space="0" w:color="auto"/>
      </w:divBdr>
    </w:div>
    <w:div w:id="17703067">
      <w:bodyDiv w:val="1"/>
      <w:marLeft w:val="0"/>
      <w:marRight w:val="0"/>
      <w:marTop w:val="0"/>
      <w:marBottom w:val="0"/>
      <w:divBdr>
        <w:top w:val="none" w:sz="0" w:space="0" w:color="auto"/>
        <w:left w:val="none" w:sz="0" w:space="0" w:color="auto"/>
        <w:bottom w:val="none" w:sz="0" w:space="0" w:color="auto"/>
        <w:right w:val="none" w:sz="0" w:space="0" w:color="auto"/>
      </w:divBdr>
    </w:div>
    <w:div w:id="17706633">
      <w:bodyDiv w:val="1"/>
      <w:marLeft w:val="0"/>
      <w:marRight w:val="0"/>
      <w:marTop w:val="0"/>
      <w:marBottom w:val="0"/>
      <w:divBdr>
        <w:top w:val="none" w:sz="0" w:space="0" w:color="auto"/>
        <w:left w:val="none" w:sz="0" w:space="0" w:color="auto"/>
        <w:bottom w:val="none" w:sz="0" w:space="0" w:color="auto"/>
        <w:right w:val="none" w:sz="0" w:space="0" w:color="auto"/>
      </w:divBdr>
    </w:div>
    <w:div w:id="17776819">
      <w:bodyDiv w:val="1"/>
      <w:marLeft w:val="0"/>
      <w:marRight w:val="0"/>
      <w:marTop w:val="0"/>
      <w:marBottom w:val="0"/>
      <w:divBdr>
        <w:top w:val="none" w:sz="0" w:space="0" w:color="auto"/>
        <w:left w:val="none" w:sz="0" w:space="0" w:color="auto"/>
        <w:bottom w:val="none" w:sz="0" w:space="0" w:color="auto"/>
        <w:right w:val="none" w:sz="0" w:space="0" w:color="auto"/>
      </w:divBdr>
    </w:div>
    <w:div w:id="17780299">
      <w:bodyDiv w:val="1"/>
      <w:marLeft w:val="0"/>
      <w:marRight w:val="0"/>
      <w:marTop w:val="0"/>
      <w:marBottom w:val="0"/>
      <w:divBdr>
        <w:top w:val="none" w:sz="0" w:space="0" w:color="auto"/>
        <w:left w:val="none" w:sz="0" w:space="0" w:color="auto"/>
        <w:bottom w:val="none" w:sz="0" w:space="0" w:color="auto"/>
        <w:right w:val="none" w:sz="0" w:space="0" w:color="auto"/>
      </w:divBdr>
    </w:div>
    <w:div w:id="17896817">
      <w:bodyDiv w:val="1"/>
      <w:marLeft w:val="0"/>
      <w:marRight w:val="0"/>
      <w:marTop w:val="0"/>
      <w:marBottom w:val="0"/>
      <w:divBdr>
        <w:top w:val="none" w:sz="0" w:space="0" w:color="auto"/>
        <w:left w:val="none" w:sz="0" w:space="0" w:color="auto"/>
        <w:bottom w:val="none" w:sz="0" w:space="0" w:color="auto"/>
        <w:right w:val="none" w:sz="0" w:space="0" w:color="auto"/>
      </w:divBdr>
    </w:div>
    <w:div w:id="17977039">
      <w:bodyDiv w:val="1"/>
      <w:marLeft w:val="0"/>
      <w:marRight w:val="0"/>
      <w:marTop w:val="0"/>
      <w:marBottom w:val="0"/>
      <w:divBdr>
        <w:top w:val="none" w:sz="0" w:space="0" w:color="auto"/>
        <w:left w:val="none" w:sz="0" w:space="0" w:color="auto"/>
        <w:bottom w:val="none" w:sz="0" w:space="0" w:color="auto"/>
        <w:right w:val="none" w:sz="0" w:space="0" w:color="auto"/>
      </w:divBdr>
    </w:div>
    <w:div w:id="18091487">
      <w:bodyDiv w:val="1"/>
      <w:marLeft w:val="0"/>
      <w:marRight w:val="0"/>
      <w:marTop w:val="0"/>
      <w:marBottom w:val="0"/>
      <w:divBdr>
        <w:top w:val="none" w:sz="0" w:space="0" w:color="auto"/>
        <w:left w:val="none" w:sz="0" w:space="0" w:color="auto"/>
        <w:bottom w:val="none" w:sz="0" w:space="0" w:color="auto"/>
        <w:right w:val="none" w:sz="0" w:space="0" w:color="auto"/>
      </w:divBdr>
    </w:div>
    <w:div w:id="18118822">
      <w:bodyDiv w:val="1"/>
      <w:marLeft w:val="0"/>
      <w:marRight w:val="0"/>
      <w:marTop w:val="0"/>
      <w:marBottom w:val="0"/>
      <w:divBdr>
        <w:top w:val="none" w:sz="0" w:space="0" w:color="auto"/>
        <w:left w:val="none" w:sz="0" w:space="0" w:color="auto"/>
        <w:bottom w:val="none" w:sz="0" w:space="0" w:color="auto"/>
        <w:right w:val="none" w:sz="0" w:space="0" w:color="auto"/>
      </w:divBdr>
    </w:div>
    <w:div w:id="18161456">
      <w:bodyDiv w:val="1"/>
      <w:marLeft w:val="0"/>
      <w:marRight w:val="0"/>
      <w:marTop w:val="0"/>
      <w:marBottom w:val="0"/>
      <w:divBdr>
        <w:top w:val="none" w:sz="0" w:space="0" w:color="auto"/>
        <w:left w:val="none" w:sz="0" w:space="0" w:color="auto"/>
        <w:bottom w:val="none" w:sz="0" w:space="0" w:color="auto"/>
        <w:right w:val="none" w:sz="0" w:space="0" w:color="auto"/>
      </w:divBdr>
    </w:div>
    <w:div w:id="18165350">
      <w:bodyDiv w:val="1"/>
      <w:marLeft w:val="0"/>
      <w:marRight w:val="0"/>
      <w:marTop w:val="0"/>
      <w:marBottom w:val="0"/>
      <w:divBdr>
        <w:top w:val="none" w:sz="0" w:space="0" w:color="auto"/>
        <w:left w:val="none" w:sz="0" w:space="0" w:color="auto"/>
        <w:bottom w:val="none" w:sz="0" w:space="0" w:color="auto"/>
        <w:right w:val="none" w:sz="0" w:space="0" w:color="auto"/>
      </w:divBdr>
    </w:div>
    <w:div w:id="18168800">
      <w:bodyDiv w:val="1"/>
      <w:marLeft w:val="0"/>
      <w:marRight w:val="0"/>
      <w:marTop w:val="0"/>
      <w:marBottom w:val="0"/>
      <w:divBdr>
        <w:top w:val="none" w:sz="0" w:space="0" w:color="auto"/>
        <w:left w:val="none" w:sz="0" w:space="0" w:color="auto"/>
        <w:bottom w:val="none" w:sz="0" w:space="0" w:color="auto"/>
        <w:right w:val="none" w:sz="0" w:space="0" w:color="auto"/>
      </w:divBdr>
    </w:div>
    <w:div w:id="18169609">
      <w:bodyDiv w:val="1"/>
      <w:marLeft w:val="0"/>
      <w:marRight w:val="0"/>
      <w:marTop w:val="0"/>
      <w:marBottom w:val="0"/>
      <w:divBdr>
        <w:top w:val="none" w:sz="0" w:space="0" w:color="auto"/>
        <w:left w:val="none" w:sz="0" w:space="0" w:color="auto"/>
        <w:bottom w:val="none" w:sz="0" w:space="0" w:color="auto"/>
        <w:right w:val="none" w:sz="0" w:space="0" w:color="auto"/>
      </w:divBdr>
    </w:div>
    <w:div w:id="18237270">
      <w:bodyDiv w:val="1"/>
      <w:marLeft w:val="0"/>
      <w:marRight w:val="0"/>
      <w:marTop w:val="0"/>
      <w:marBottom w:val="0"/>
      <w:divBdr>
        <w:top w:val="none" w:sz="0" w:space="0" w:color="auto"/>
        <w:left w:val="none" w:sz="0" w:space="0" w:color="auto"/>
        <w:bottom w:val="none" w:sz="0" w:space="0" w:color="auto"/>
        <w:right w:val="none" w:sz="0" w:space="0" w:color="auto"/>
      </w:divBdr>
    </w:div>
    <w:div w:id="18241439">
      <w:bodyDiv w:val="1"/>
      <w:marLeft w:val="0"/>
      <w:marRight w:val="0"/>
      <w:marTop w:val="0"/>
      <w:marBottom w:val="0"/>
      <w:divBdr>
        <w:top w:val="none" w:sz="0" w:space="0" w:color="auto"/>
        <w:left w:val="none" w:sz="0" w:space="0" w:color="auto"/>
        <w:bottom w:val="none" w:sz="0" w:space="0" w:color="auto"/>
        <w:right w:val="none" w:sz="0" w:space="0" w:color="auto"/>
      </w:divBdr>
    </w:div>
    <w:div w:id="18241864">
      <w:bodyDiv w:val="1"/>
      <w:marLeft w:val="0"/>
      <w:marRight w:val="0"/>
      <w:marTop w:val="0"/>
      <w:marBottom w:val="0"/>
      <w:divBdr>
        <w:top w:val="none" w:sz="0" w:space="0" w:color="auto"/>
        <w:left w:val="none" w:sz="0" w:space="0" w:color="auto"/>
        <w:bottom w:val="none" w:sz="0" w:space="0" w:color="auto"/>
        <w:right w:val="none" w:sz="0" w:space="0" w:color="auto"/>
      </w:divBdr>
    </w:div>
    <w:div w:id="18242873">
      <w:bodyDiv w:val="1"/>
      <w:marLeft w:val="0"/>
      <w:marRight w:val="0"/>
      <w:marTop w:val="0"/>
      <w:marBottom w:val="0"/>
      <w:divBdr>
        <w:top w:val="none" w:sz="0" w:space="0" w:color="auto"/>
        <w:left w:val="none" w:sz="0" w:space="0" w:color="auto"/>
        <w:bottom w:val="none" w:sz="0" w:space="0" w:color="auto"/>
        <w:right w:val="none" w:sz="0" w:space="0" w:color="auto"/>
      </w:divBdr>
    </w:div>
    <w:div w:id="18315522">
      <w:bodyDiv w:val="1"/>
      <w:marLeft w:val="0"/>
      <w:marRight w:val="0"/>
      <w:marTop w:val="0"/>
      <w:marBottom w:val="0"/>
      <w:divBdr>
        <w:top w:val="none" w:sz="0" w:space="0" w:color="auto"/>
        <w:left w:val="none" w:sz="0" w:space="0" w:color="auto"/>
        <w:bottom w:val="none" w:sz="0" w:space="0" w:color="auto"/>
        <w:right w:val="none" w:sz="0" w:space="0" w:color="auto"/>
      </w:divBdr>
    </w:div>
    <w:div w:id="18355313">
      <w:bodyDiv w:val="1"/>
      <w:marLeft w:val="0"/>
      <w:marRight w:val="0"/>
      <w:marTop w:val="0"/>
      <w:marBottom w:val="0"/>
      <w:divBdr>
        <w:top w:val="none" w:sz="0" w:space="0" w:color="auto"/>
        <w:left w:val="none" w:sz="0" w:space="0" w:color="auto"/>
        <w:bottom w:val="none" w:sz="0" w:space="0" w:color="auto"/>
        <w:right w:val="none" w:sz="0" w:space="0" w:color="auto"/>
      </w:divBdr>
    </w:div>
    <w:div w:id="18625173">
      <w:bodyDiv w:val="1"/>
      <w:marLeft w:val="0"/>
      <w:marRight w:val="0"/>
      <w:marTop w:val="0"/>
      <w:marBottom w:val="0"/>
      <w:divBdr>
        <w:top w:val="none" w:sz="0" w:space="0" w:color="auto"/>
        <w:left w:val="none" w:sz="0" w:space="0" w:color="auto"/>
        <w:bottom w:val="none" w:sz="0" w:space="0" w:color="auto"/>
        <w:right w:val="none" w:sz="0" w:space="0" w:color="auto"/>
      </w:divBdr>
    </w:div>
    <w:div w:id="18820471">
      <w:bodyDiv w:val="1"/>
      <w:marLeft w:val="0"/>
      <w:marRight w:val="0"/>
      <w:marTop w:val="0"/>
      <w:marBottom w:val="0"/>
      <w:divBdr>
        <w:top w:val="none" w:sz="0" w:space="0" w:color="auto"/>
        <w:left w:val="none" w:sz="0" w:space="0" w:color="auto"/>
        <w:bottom w:val="none" w:sz="0" w:space="0" w:color="auto"/>
        <w:right w:val="none" w:sz="0" w:space="0" w:color="auto"/>
      </w:divBdr>
    </w:div>
    <w:div w:id="18825582">
      <w:bodyDiv w:val="1"/>
      <w:marLeft w:val="0"/>
      <w:marRight w:val="0"/>
      <w:marTop w:val="0"/>
      <w:marBottom w:val="0"/>
      <w:divBdr>
        <w:top w:val="none" w:sz="0" w:space="0" w:color="auto"/>
        <w:left w:val="none" w:sz="0" w:space="0" w:color="auto"/>
        <w:bottom w:val="none" w:sz="0" w:space="0" w:color="auto"/>
        <w:right w:val="none" w:sz="0" w:space="0" w:color="auto"/>
      </w:divBdr>
    </w:div>
    <w:div w:id="18967854">
      <w:bodyDiv w:val="1"/>
      <w:marLeft w:val="0"/>
      <w:marRight w:val="0"/>
      <w:marTop w:val="0"/>
      <w:marBottom w:val="0"/>
      <w:divBdr>
        <w:top w:val="none" w:sz="0" w:space="0" w:color="auto"/>
        <w:left w:val="none" w:sz="0" w:space="0" w:color="auto"/>
        <w:bottom w:val="none" w:sz="0" w:space="0" w:color="auto"/>
        <w:right w:val="none" w:sz="0" w:space="0" w:color="auto"/>
      </w:divBdr>
    </w:div>
    <w:div w:id="18971005">
      <w:bodyDiv w:val="1"/>
      <w:marLeft w:val="0"/>
      <w:marRight w:val="0"/>
      <w:marTop w:val="0"/>
      <w:marBottom w:val="0"/>
      <w:divBdr>
        <w:top w:val="none" w:sz="0" w:space="0" w:color="auto"/>
        <w:left w:val="none" w:sz="0" w:space="0" w:color="auto"/>
        <w:bottom w:val="none" w:sz="0" w:space="0" w:color="auto"/>
        <w:right w:val="none" w:sz="0" w:space="0" w:color="auto"/>
      </w:divBdr>
    </w:div>
    <w:div w:id="19011432">
      <w:bodyDiv w:val="1"/>
      <w:marLeft w:val="0"/>
      <w:marRight w:val="0"/>
      <w:marTop w:val="0"/>
      <w:marBottom w:val="0"/>
      <w:divBdr>
        <w:top w:val="none" w:sz="0" w:space="0" w:color="auto"/>
        <w:left w:val="none" w:sz="0" w:space="0" w:color="auto"/>
        <w:bottom w:val="none" w:sz="0" w:space="0" w:color="auto"/>
        <w:right w:val="none" w:sz="0" w:space="0" w:color="auto"/>
      </w:divBdr>
    </w:div>
    <w:div w:id="19014613">
      <w:bodyDiv w:val="1"/>
      <w:marLeft w:val="0"/>
      <w:marRight w:val="0"/>
      <w:marTop w:val="0"/>
      <w:marBottom w:val="0"/>
      <w:divBdr>
        <w:top w:val="none" w:sz="0" w:space="0" w:color="auto"/>
        <w:left w:val="none" w:sz="0" w:space="0" w:color="auto"/>
        <w:bottom w:val="none" w:sz="0" w:space="0" w:color="auto"/>
        <w:right w:val="none" w:sz="0" w:space="0" w:color="auto"/>
      </w:divBdr>
    </w:div>
    <w:div w:id="19094074">
      <w:bodyDiv w:val="1"/>
      <w:marLeft w:val="0"/>
      <w:marRight w:val="0"/>
      <w:marTop w:val="0"/>
      <w:marBottom w:val="0"/>
      <w:divBdr>
        <w:top w:val="none" w:sz="0" w:space="0" w:color="auto"/>
        <w:left w:val="none" w:sz="0" w:space="0" w:color="auto"/>
        <w:bottom w:val="none" w:sz="0" w:space="0" w:color="auto"/>
        <w:right w:val="none" w:sz="0" w:space="0" w:color="auto"/>
      </w:divBdr>
    </w:div>
    <w:div w:id="19137177">
      <w:bodyDiv w:val="1"/>
      <w:marLeft w:val="0"/>
      <w:marRight w:val="0"/>
      <w:marTop w:val="0"/>
      <w:marBottom w:val="0"/>
      <w:divBdr>
        <w:top w:val="none" w:sz="0" w:space="0" w:color="auto"/>
        <w:left w:val="none" w:sz="0" w:space="0" w:color="auto"/>
        <w:bottom w:val="none" w:sz="0" w:space="0" w:color="auto"/>
        <w:right w:val="none" w:sz="0" w:space="0" w:color="auto"/>
      </w:divBdr>
    </w:div>
    <w:div w:id="19162683">
      <w:bodyDiv w:val="1"/>
      <w:marLeft w:val="0"/>
      <w:marRight w:val="0"/>
      <w:marTop w:val="0"/>
      <w:marBottom w:val="0"/>
      <w:divBdr>
        <w:top w:val="none" w:sz="0" w:space="0" w:color="auto"/>
        <w:left w:val="none" w:sz="0" w:space="0" w:color="auto"/>
        <w:bottom w:val="none" w:sz="0" w:space="0" w:color="auto"/>
        <w:right w:val="none" w:sz="0" w:space="0" w:color="auto"/>
      </w:divBdr>
    </w:div>
    <w:div w:id="19169062">
      <w:bodyDiv w:val="1"/>
      <w:marLeft w:val="0"/>
      <w:marRight w:val="0"/>
      <w:marTop w:val="0"/>
      <w:marBottom w:val="0"/>
      <w:divBdr>
        <w:top w:val="none" w:sz="0" w:space="0" w:color="auto"/>
        <w:left w:val="none" w:sz="0" w:space="0" w:color="auto"/>
        <w:bottom w:val="none" w:sz="0" w:space="0" w:color="auto"/>
        <w:right w:val="none" w:sz="0" w:space="0" w:color="auto"/>
      </w:divBdr>
    </w:div>
    <w:div w:id="19359774">
      <w:bodyDiv w:val="1"/>
      <w:marLeft w:val="0"/>
      <w:marRight w:val="0"/>
      <w:marTop w:val="0"/>
      <w:marBottom w:val="0"/>
      <w:divBdr>
        <w:top w:val="none" w:sz="0" w:space="0" w:color="auto"/>
        <w:left w:val="none" w:sz="0" w:space="0" w:color="auto"/>
        <w:bottom w:val="none" w:sz="0" w:space="0" w:color="auto"/>
        <w:right w:val="none" w:sz="0" w:space="0" w:color="auto"/>
      </w:divBdr>
    </w:div>
    <w:div w:id="19362910">
      <w:bodyDiv w:val="1"/>
      <w:marLeft w:val="0"/>
      <w:marRight w:val="0"/>
      <w:marTop w:val="0"/>
      <w:marBottom w:val="0"/>
      <w:divBdr>
        <w:top w:val="none" w:sz="0" w:space="0" w:color="auto"/>
        <w:left w:val="none" w:sz="0" w:space="0" w:color="auto"/>
        <w:bottom w:val="none" w:sz="0" w:space="0" w:color="auto"/>
        <w:right w:val="none" w:sz="0" w:space="0" w:color="auto"/>
      </w:divBdr>
    </w:div>
    <w:div w:id="19429463">
      <w:bodyDiv w:val="1"/>
      <w:marLeft w:val="0"/>
      <w:marRight w:val="0"/>
      <w:marTop w:val="0"/>
      <w:marBottom w:val="0"/>
      <w:divBdr>
        <w:top w:val="none" w:sz="0" w:space="0" w:color="auto"/>
        <w:left w:val="none" w:sz="0" w:space="0" w:color="auto"/>
        <w:bottom w:val="none" w:sz="0" w:space="0" w:color="auto"/>
        <w:right w:val="none" w:sz="0" w:space="0" w:color="auto"/>
      </w:divBdr>
    </w:div>
    <w:div w:id="19624258">
      <w:bodyDiv w:val="1"/>
      <w:marLeft w:val="0"/>
      <w:marRight w:val="0"/>
      <w:marTop w:val="0"/>
      <w:marBottom w:val="0"/>
      <w:divBdr>
        <w:top w:val="none" w:sz="0" w:space="0" w:color="auto"/>
        <w:left w:val="none" w:sz="0" w:space="0" w:color="auto"/>
        <w:bottom w:val="none" w:sz="0" w:space="0" w:color="auto"/>
        <w:right w:val="none" w:sz="0" w:space="0" w:color="auto"/>
      </w:divBdr>
    </w:div>
    <w:div w:id="19935262">
      <w:bodyDiv w:val="1"/>
      <w:marLeft w:val="0"/>
      <w:marRight w:val="0"/>
      <w:marTop w:val="0"/>
      <w:marBottom w:val="0"/>
      <w:divBdr>
        <w:top w:val="none" w:sz="0" w:space="0" w:color="auto"/>
        <w:left w:val="none" w:sz="0" w:space="0" w:color="auto"/>
        <w:bottom w:val="none" w:sz="0" w:space="0" w:color="auto"/>
        <w:right w:val="none" w:sz="0" w:space="0" w:color="auto"/>
      </w:divBdr>
    </w:div>
    <w:div w:id="20056342">
      <w:bodyDiv w:val="1"/>
      <w:marLeft w:val="0"/>
      <w:marRight w:val="0"/>
      <w:marTop w:val="0"/>
      <w:marBottom w:val="0"/>
      <w:divBdr>
        <w:top w:val="none" w:sz="0" w:space="0" w:color="auto"/>
        <w:left w:val="none" w:sz="0" w:space="0" w:color="auto"/>
        <w:bottom w:val="none" w:sz="0" w:space="0" w:color="auto"/>
        <w:right w:val="none" w:sz="0" w:space="0" w:color="auto"/>
      </w:divBdr>
    </w:div>
    <w:div w:id="20061191">
      <w:bodyDiv w:val="1"/>
      <w:marLeft w:val="0"/>
      <w:marRight w:val="0"/>
      <w:marTop w:val="0"/>
      <w:marBottom w:val="0"/>
      <w:divBdr>
        <w:top w:val="none" w:sz="0" w:space="0" w:color="auto"/>
        <w:left w:val="none" w:sz="0" w:space="0" w:color="auto"/>
        <w:bottom w:val="none" w:sz="0" w:space="0" w:color="auto"/>
        <w:right w:val="none" w:sz="0" w:space="0" w:color="auto"/>
      </w:divBdr>
    </w:div>
    <w:div w:id="20127516">
      <w:bodyDiv w:val="1"/>
      <w:marLeft w:val="0"/>
      <w:marRight w:val="0"/>
      <w:marTop w:val="0"/>
      <w:marBottom w:val="0"/>
      <w:divBdr>
        <w:top w:val="none" w:sz="0" w:space="0" w:color="auto"/>
        <w:left w:val="none" w:sz="0" w:space="0" w:color="auto"/>
        <w:bottom w:val="none" w:sz="0" w:space="0" w:color="auto"/>
        <w:right w:val="none" w:sz="0" w:space="0" w:color="auto"/>
      </w:divBdr>
    </w:div>
    <w:div w:id="20207971">
      <w:bodyDiv w:val="1"/>
      <w:marLeft w:val="0"/>
      <w:marRight w:val="0"/>
      <w:marTop w:val="0"/>
      <w:marBottom w:val="0"/>
      <w:divBdr>
        <w:top w:val="none" w:sz="0" w:space="0" w:color="auto"/>
        <w:left w:val="none" w:sz="0" w:space="0" w:color="auto"/>
        <w:bottom w:val="none" w:sz="0" w:space="0" w:color="auto"/>
        <w:right w:val="none" w:sz="0" w:space="0" w:color="auto"/>
      </w:divBdr>
    </w:div>
    <w:div w:id="20403105">
      <w:bodyDiv w:val="1"/>
      <w:marLeft w:val="0"/>
      <w:marRight w:val="0"/>
      <w:marTop w:val="0"/>
      <w:marBottom w:val="0"/>
      <w:divBdr>
        <w:top w:val="none" w:sz="0" w:space="0" w:color="auto"/>
        <w:left w:val="none" w:sz="0" w:space="0" w:color="auto"/>
        <w:bottom w:val="none" w:sz="0" w:space="0" w:color="auto"/>
        <w:right w:val="none" w:sz="0" w:space="0" w:color="auto"/>
      </w:divBdr>
    </w:div>
    <w:div w:id="20404158">
      <w:bodyDiv w:val="1"/>
      <w:marLeft w:val="0"/>
      <w:marRight w:val="0"/>
      <w:marTop w:val="0"/>
      <w:marBottom w:val="0"/>
      <w:divBdr>
        <w:top w:val="none" w:sz="0" w:space="0" w:color="auto"/>
        <w:left w:val="none" w:sz="0" w:space="0" w:color="auto"/>
        <w:bottom w:val="none" w:sz="0" w:space="0" w:color="auto"/>
        <w:right w:val="none" w:sz="0" w:space="0" w:color="auto"/>
      </w:divBdr>
    </w:div>
    <w:div w:id="20591880">
      <w:bodyDiv w:val="1"/>
      <w:marLeft w:val="0"/>
      <w:marRight w:val="0"/>
      <w:marTop w:val="0"/>
      <w:marBottom w:val="0"/>
      <w:divBdr>
        <w:top w:val="none" w:sz="0" w:space="0" w:color="auto"/>
        <w:left w:val="none" w:sz="0" w:space="0" w:color="auto"/>
        <w:bottom w:val="none" w:sz="0" w:space="0" w:color="auto"/>
        <w:right w:val="none" w:sz="0" w:space="0" w:color="auto"/>
      </w:divBdr>
    </w:div>
    <w:div w:id="20673307">
      <w:bodyDiv w:val="1"/>
      <w:marLeft w:val="0"/>
      <w:marRight w:val="0"/>
      <w:marTop w:val="0"/>
      <w:marBottom w:val="0"/>
      <w:divBdr>
        <w:top w:val="none" w:sz="0" w:space="0" w:color="auto"/>
        <w:left w:val="none" w:sz="0" w:space="0" w:color="auto"/>
        <w:bottom w:val="none" w:sz="0" w:space="0" w:color="auto"/>
        <w:right w:val="none" w:sz="0" w:space="0" w:color="auto"/>
      </w:divBdr>
    </w:div>
    <w:div w:id="20859821">
      <w:bodyDiv w:val="1"/>
      <w:marLeft w:val="0"/>
      <w:marRight w:val="0"/>
      <w:marTop w:val="0"/>
      <w:marBottom w:val="0"/>
      <w:divBdr>
        <w:top w:val="none" w:sz="0" w:space="0" w:color="auto"/>
        <w:left w:val="none" w:sz="0" w:space="0" w:color="auto"/>
        <w:bottom w:val="none" w:sz="0" w:space="0" w:color="auto"/>
        <w:right w:val="none" w:sz="0" w:space="0" w:color="auto"/>
      </w:divBdr>
    </w:div>
    <w:div w:id="20976293">
      <w:bodyDiv w:val="1"/>
      <w:marLeft w:val="0"/>
      <w:marRight w:val="0"/>
      <w:marTop w:val="0"/>
      <w:marBottom w:val="0"/>
      <w:divBdr>
        <w:top w:val="none" w:sz="0" w:space="0" w:color="auto"/>
        <w:left w:val="none" w:sz="0" w:space="0" w:color="auto"/>
        <w:bottom w:val="none" w:sz="0" w:space="0" w:color="auto"/>
        <w:right w:val="none" w:sz="0" w:space="0" w:color="auto"/>
      </w:divBdr>
    </w:div>
    <w:div w:id="20979123">
      <w:bodyDiv w:val="1"/>
      <w:marLeft w:val="0"/>
      <w:marRight w:val="0"/>
      <w:marTop w:val="0"/>
      <w:marBottom w:val="0"/>
      <w:divBdr>
        <w:top w:val="none" w:sz="0" w:space="0" w:color="auto"/>
        <w:left w:val="none" w:sz="0" w:space="0" w:color="auto"/>
        <w:bottom w:val="none" w:sz="0" w:space="0" w:color="auto"/>
        <w:right w:val="none" w:sz="0" w:space="0" w:color="auto"/>
      </w:divBdr>
    </w:div>
    <w:div w:id="20982672">
      <w:bodyDiv w:val="1"/>
      <w:marLeft w:val="0"/>
      <w:marRight w:val="0"/>
      <w:marTop w:val="0"/>
      <w:marBottom w:val="0"/>
      <w:divBdr>
        <w:top w:val="none" w:sz="0" w:space="0" w:color="auto"/>
        <w:left w:val="none" w:sz="0" w:space="0" w:color="auto"/>
        <w:bottom w:val="none" w:sz="0" w:space="0" w:color="auto"/>
        <w:right w:val="none" w:sz="0" w:space="0" w:color="auto"/>
      </w:divBdr>
    </w:div>
    <w:div w:id="21053665">
      <w:bodyDiv w:val="1"/>
      <w:marLeft w:val="0"/>
      <w:marRight w:val="0"/>
      <w:marTop w:val="0"/>
      <w:marBottom w:val="0"/>
      <w:divBdr>
        <w:top w:val="none" w:sz="0" w:space="0" w:color="auto"/>
        <w:left w:val="none" w:sz="0" w:space="0" w:color="auto"/>
        <w:bottom w:val="none" w:sz="0" w:space="0" w:color="auto"/>
        <w:right w:val="none" w:sz="0" w:space="0" w:color="auto"/>
      </w:divBdr>
    </w:div>
    <w:div w:id="21059806">
      <w:bodyDiv w:val="1"/>
      <w:marLeft w:val="0"/>
      <w:marRight w:val="0"/>
      <w:marTop w:val="0"/>
      <w:marBottom w:val="0"/>
      <w:divBdr>
        <w:top w:val="none" w:sz="0" w:space="0" w:color="auto"/>
        <w:left w:val="none" w:sz="0" w:space="0" w:color="auto"/>
        <w:bottom w:val="none" w:sz="0" w:space="0" w:color="auto"/>
        <w:right w:val="none" w:sz="0" w:space="0" w:color="auto"/>
      </w:divBdr>
    </w:div>
    <w:div w:id="21133013">
      <w:bodyDiv w:val="1"/>
      <w:marLeft w:val="0"/>
      <w:marRight w:val="0"/>
      <w:marTop w:val="0"/>
      <w:marBottom w:val="0"/>
      <w:divBdr>
        <w:top w:val="none" w:sz="0" w:space="0" w:color="auto"/>
        <w:left w:val="none" w:sz="0" w:space="0" w:color="auto"/>
        <w:bottom w:val="none" w:sz="0" w:space="0" w:color="auto"/>
        <w:right w:val="none" w:sz="0" w:space="0" w:color="auto"/>
      </w:divBdr>
    </w:div>
    <w:div w:id="21134636">
      <w:bodyDiv w:val="1"/>
      <w:marLeft w:val="0"/>
      <w:marRight w:val="0"/>
      <w:marTop w:val="0"/>
      <w:marBottom w:val="0"/>
      <w:divBdr>
        <w:top w:val="none" w:sz="0" w:space="0" w:color="auto"/>
        <w:left w:val="none" w:sz="0" w:space="0" w:color="auto"/>
        <w:bottom w:val="none" w:sz="0" w:space="0" w:color="auto"/>
        <w:right w:val="none" w:sz="0" w:space="0" w:color="auto"/>
      </w:divBdr>
    </w:div>
    <w:div w:id="21252141">
      <w:bodyDiv w:val="1"/>
      <w:marLeft w:val="0"/>
      <w:marRight w:val="0"/>
      <w:marTop w:val="0"/>
      <w:marBottom w:val="0"/>
      <w:divBdr>
        <w:top w:val="none" w:sz="0" w:space="0" w:color="auto"/>
        <w:left w:val="none" w:sz="0" w:space="0" w:color="auto"/>
        <w:bottom w:val="none" w:sz="0" w:space="0" w:color="auto"/>
        <w:right w:val="none" w:sz="0" w:space="0" w:color="auto"/>
      </w:divBdr>
    </w:div>
    <w:div w:id="21252433">
      <w:bodyDiv w:val="1"/>
      <w:marLeft w:val="0"/>
      <w:marRight w:val="0"/>
      <w:marTop w:val="0"/>
      <w:marBottom w:val="0"/>
      <w:divBdr>
        <w:top w:val="none" w:sz="0" w:space="0" w:color="auto"/>
        <w:left w:val="none" w:sz="0" w:space="0" w:color="auto"/>
        <w:bottom w:val="none" w:sz="0" w:space="0" w:color="auto"/>
        <w:right w:val="none" w:sz="0" w:space="0" w:color="auto"/>
      </w:divBdr>
    </w:div>
    <w:div w:id="21328426">
      <w:bodyDiv w:val="1"/>
      <w:marLeft w:val="0"/>
      <w:marRight w:val="0"/>
      <w:marTop w:val="0"/>
      <w:marBottom w:val="0"/>
      <w:divBdr>
        <w:top w:val="none" w:sz="0" w:space="0" w:color="auto"/>
        <w:left w:val="none" w:sz="0" w:space="0" w:color="auto"/>
        <w:bottom w:val="none" w:sz="0" w:space="0" w:color="auto"/>
        <w:right w:val="none" w:sz="0" w:space="0" w:color="auto"/>
      </w:divBdr>
    </w:div>
    <w:div w:id="21366606">
      <w:bodyDiv w:val="1"/>
      <w:marLeft w:val="0"/>
      <w:marRight w:val="0"/>
      <w:marTop w:val="0"/>
      <w:marBottom w:val="0"/>
      <w:divBdr>
        <w:top w:val="none" w:sz="0" w:space="0" w:color="auto"/>
        <w:left w:val="none" w:sz="0" w:space="0" w:color="auto"/>
        <w:bottom w:val="none" w:sz="0" w:space="0" w:color="auto"/>
        <w:right w:val="none" w:sz="0" w:space="0" w:color="auto"/>
      </w:divBdr>
    </w:div>
    <w:div w:id="21562573">
      <w:bodyDiv w:val="1"/>
      <w:marLeft w:val="0"/>
      <w:marRight w:val="0"/>
      <w:marTop w:val="0"/>
      <w:marBottom w:val="0"/>
      <w:divBdr>
        <w:top w:val="none" w:sz="0" w:space="0" w:color="auto"/>
        <w:left w:val="none" w:sz="0" w:space="0" w:color="auto"/>
        <w:bottom w:val="none" w:sz="0" w:space="0" w:color="auto"/>
        <w:right w:val="none" w:sz="0" w:space="0" w:color="auto"/>
      </w:divBdr>
    </w:div>
    <w:div w:id="21590000">
      <w:bodyDiv w:val="1"/>
      <w:marLeft w:val="0"/>
      <w:marRight w:val="0"/>
      <w:marTop w:val="0"/>
      <w:marBottom w:val="0"/>
      <w:divBdr>
        <w:top w:val="none" w:sz="0" w:space="0" w:color="auto"/>
        <w:left w:val="none" w:sz="0" w:space="0" w:color="auto"/>
        <w:bottom w:val="none" w:sz="0" w:space="0" w:color="auto"/>
        <w:right w:val="none" w:sz="0" w:space="0" w:color="auto"/>
      </w:divBdr>
    </w:div>
    <w:div w:id="21590349">
      <w:bodyDiv w:val="1"/>
      <w:marLeft w:val="0"/>
      <w:marRight w:val="0"/>
      <w:marTop w:val="0"/>
      <w:marBottom w:val="0"/>
      <w:divBdr>
        <w:top w:val="none" w:sz="0" w:space="0" w:color="auto"/>
        <w:left w:val="none" w:sz="0" w:space="0" w:color="auto"/>
        <w:bottom w:val="none" w:sz="0" w:space="0" w:color="auto"/>
        <w:right w:val="none" w:sz="0" w:space="0" w:color="auto"/>
      </w:divBdr>
    </w:div>
    <w:div w:id="21631506">
      <w:bodyDiv w:val="1"/>
      <w:marLeft w:val="0"/>
      <w:marRight w:val="0"/>
      <w:marTop w:val="0"/>
      <w:marBottom w:val="0"/>
      <w:divBdr>
        <w:top w:val="none" w:sz="0" w:space="0" w:color="auto"/>
        <w:left w:val="none" w:sz="0" w:space="0" w:color="auto"/>
        <w:bottom w:val="none" w:sz="0" w:space="0" w:color="auto"/>
        <w:right w:val="none" w:sz="0" w:space="0" w:color="auto"/>
      </w:divBdr>
    </w:div>
    <w:div w:id="21706162">
      <w:bodyDiv w:val="1"/>
      <w:marLeft w:val="0"/>
      <w:marRight w:val="0"/>
      <w:marTop w:val="0"/>
      <w:marBottom w:val="0"/>
      <w:divBdr>
        <w:top w:val="none" w:sz="0" w:space="0" w:color="auto"/>
        <w:left w:val="none" w:sz="0" w:space="0" w:color="auto"/>
        <w:bottom w:val="none" w:sz="0" w:space="0" w:color="auto"/>
        <w:right w:val="none" w:sz="0" w:space="0" w:color="auto"/>
      </w:divBdr>
    </w:div>
    <w:div w:id="21706274">
      <w:bodyDiv w:val="1"/>
      <w:marLeft w:val="0"/>
      <w:marRight w:val="0"/>
      <w:marTop w:val="0"/>
      <w:marBottom w:val="0"/>
      <w:divBdr>
        <w:top w:val="none" w:sz="0" w:space="0" w:color="auto"/>
        <w:left w:val="none" w:sz="0" w:space="0" w:color="auto"/>
        <w:bottom w:val="none" w:sz="0" w:space="0" w:color="auto"/>
        <w:right w:val="none" w:sz="0" w:space="0" w:color="auto"/>
      </w:divBdr>
    </w:div>
    <w:div w:id="21710809">
      <w:bodyDiv w:val="1"/>
      <w:marLeft w:val="0"/>
      <w:marRight w:val="0"/>
      <w:marTop w:val="0"/>
      <w:marBottom w:val="0"/>
      <w:divBdr>
        <w:top w:val="none" w:sz="0" w:space="0" w:color="auto"/>
        <w:left w:val="none" w:sz="0" w:space="0" w:color="auto"/>
        <w:bottom w:val="none" w:sz="0" w:space="0" w:color="auto"/>
        <w:right w:val="none" w:sz="0" w:space="0" w:color="auto"/>
      </w:divBdr>
    </w:div>
    <w:div w:id="21758527">
      <w:bodyDiv w:val="1"/>
      <w:marLeft w:val="0"/>
      <w:marRight w:val="0"/>
      <w:marTop w:val="0"/>
      <w:marBottom w:val="0"/>
      <w:divBdr>
        <w:top w:val="none" w:sz="0" w:space="0" w:color="auto"/>
        <w:left w:val="none" w:sz="0" w:space="0" w:color="auto"/>
        <w:bottom w:val="none" w:sz="0" w:space="0" w:color="auto"/>
        <w:right w:val="none" w:sz="0" w:space="0" w:color="auto"/>
      </w:divBdr>
    </w:div>
    <w:div w:id="21785747">
      <w:bodyDiv w:val="1"/>
      <w:marLeft w:val="0"/>
      <w:marRight w:val="0"/>
      <w:marTop w:val="0"/>
      <w:marBottom w:val="0"/>
      <w:divBdr>
        <w:top w:val="none" w:sz="0" w:space="0" w:color="auto"/>
        <w:left w:val="none" w:sz="0" w:space="0" w:color="auto"/>
        <w:bottom w:val="none" w:sz="0" w:space="0" w:color="auto"/>
        <w:right w:val="none" w:sz="0" w:space="0" w:color="auto"/>
      </w:divBdr>
    </w:div>
    <w:div w:id="21825347">
      <w:bodyDiv w:val="1"/>
      <w:marLeft w:val="0"/>
      <w:marRight w:val="0"/>
      <w:marTop w:val="0"/>
      <w:marBottom w:val="0"/>
      <w:divBdr>
        <w:top w:val="none" w:sz="0" w:space="0" w:color="auto"/>
        <w:left w:val="none" w:sz="0" w:space="0" w:color="auto"/>
        <w:bottom w:val="none" w:sz="0" w:space="0" w:color="auto"/>
        <w:right w:val="none" w:sz="0" w:space="0" w:color="auto"/>
      </w:divBdr>
    </w:div>
    <w:div w:id="21826970">
      <w:bodyDiv w:val="1"/>
      <w:marLeft w:val="0"/>
      <w:marRight w:val="0"/>
      <w:marTop w:val="0"/>
      <w:marBottom w:val="0"/>
      <w:divBdr>
        <w:top w:val="none" w:sz="0" w:space="0" w:color="auto"/>
        <w:left w:val="none" w:sz="0" w:space="0" w:color="auto"/>
        <w:bottom w:val="none" w:sz="0" w:space="0" w:color="auto"/>
        <w:right w:val="none" w:sz="0" w:space="0" w:color="auto"/>
      </w:divBdr>
    </w:div>
    <w:div w:id="21976762">
      <w:bodyDiv w:val="1"/>
      <w:marLeft w:val="0"/>
      <w:marRight w:val="0"/>
      <w:marTop w:val="0"/>
      <w:marBottom w:val="0"/>
      <w:divBdr>
        <w:top w:val="none" w:sz="0" w:space="0" w:color="auto"/>
        <w:left w:val="none" w:sz="0" w:space="0" w:color="auto"/>
        <w:bottom w:val="none" w:sz="0" w:space="0" w:color="auto"/>
        <w:right w:val="none" w:sz="0" w:space="0" w:color="auto"/>
      </w:divBdr>
    </w:div>
    <w:div w:id="22021408">
      <w:bodyDiv w:val="1"/>
      <w:marLeft w:val="0"/>
      <w:marRight w:val="0"/>
      <w:marTop w:val="0"/>
      <w:marBottom w:val="0"/>
      <w:divBdr>
        <w:top w:val="none" w:sz="0" w:space="0" w:color="auto"/>
        <w:left w:val="none" w:sz="0" w:space="0" w:color="auto"/>
        <w:bottom w:val="none" w:sz="0" w:space="0" w:color="auto"/>
        <w:right w:val="none" w:sz="0" w:space="0" w:color="auto"/>
      </w:divBdr>
    </w:div>
    <w:div w:id="22097670">
      <w:bodyDiv w:val="1"/>
      <w:marLeft w:val="0"/>
      <w:marRight w:val="0"/>
      <w:marTop w:val="0"/>
      <w:marBottom w:val="0"/>
      <w:divBdr>
        <w:top w:val="none" w:sz="0" w:space="0" w:color="auto"/>
        <w:left w:val="none" w:sz="0" w:space="0" w:color="auto"/>
        <w:bottom w:val="none" w:sz="0" w:space="0" w:color="auto"/>
        <w:right w:val="none" w:sz="0" w:space="0" w:color="auto"/>
      </w:divBdr>
    </w:div>
    <w:div w:id="22099187">
      <w:bodyDiv w:val="1"/>
      <w:marLeft w:val="0"/>
      <w:marRight w:val="0"/>
      <w:marTop w:val="0"/>
      <w:marBottom w:val="0"/>
      <w:divBdr>
        <w:top w:val="none" w:sz="0" w:space="0" w:color="auto"/>
        <w:left w:val="none" w:sz="0" w:space="0" w:color="auto"/>
        <w:bottom w:val="none" w:sz="0" w:space="0" w:color="auto"/>
        <w:right w:val="none" w:sz="0" w:space="0" w:color="auto"/>
      </w:divBdr>
    </w:div>
    <w:div w:id="22099969">
      <w:bodyDiv w:val="1"/>
      <w:marLeft w:val="0"/>
      <w:marRight w:val="0"/>
      <w:marTop w:val="0"/>
      <w:marBottom w:val="0"/>
      <w:divBdr>
        <w:top w:val="none" w:sz="0" w:space="0" w:color="auto"/>
        <w:left w:val="none" w:sz="0" w:space="0" w:color="auto"/>
        <w:bottom w:val="none" w:sz="0" w:space="0" w:color="auto"/>
        <w:right w:val="none" w:sz="0" w:space="0" w:color="auto"/>
      </w:divBdr>
    </w:div>
    <w:div w:id="22174394">
      <w:bodyDiv w:val="1"/>
      <w:marLeft w:val="0"/>
      <w:marRight w:val="0"/>
      <w:marTop w:val="0"/>
      <w:marBottom w:val="0"/>
      <w:divBdr>
        <w:top w:val="none" w:sz="0" w:space="0" w:color="auto"/>
        <w:left w:val="none" w:sz="0" w:space="0" w:color="auto"/>
        <w:bottom w:val="none" w:sz="0" w:space="0" w:color="auto"/>
        <w:right w:val="none" w:sz="0" w:space="0" w:color="auto"/>
      </w:divBdr>
    </w:div>
    <w:div w:id="22245459">
      <w:bodyDiv w:val="1"/>
      <w:marLeft w:val="0"/>
      <w:marRight w:val="0"/>
      <w:marTop w:val="0"/>
      <w:marBottom w:val="0"/>
      <w:divBdr>
        <w:top w:val="none" w:sz="0" w:space="0" w:color="auto"/>
        <w:left w:val="none" w:sz="0" w:space="0" w:color="auto"/>
        <w:bottom w:val="none" w:sz="0" w:space="0" w:color="auto"/>
        <w:right w:val="none" w:sz="0" w:space="0" w:color="auto"/>
      </w:divBdr>
    </w:div>
    <w:div w:id="22293458">
      <w:bodyDiv w:val="1"/>
      <w:marLeft w:val="0"/>
      <w:marRight w:val="0"/>
      <w:marTop w:val="0"/>
      <w:marBottom w:val="0"/>
      <w:divBdr>
        <w:top w:val="none" w:sz="0" w:space="0" w:color="auto"/>
        <w:left w:val="none" w:sz="0" w:space="0" w:color="auto"/>
        <w:bottom w:val="none" w:sz="0" w:space="0" w:color="auto"/>
        <w:right w:val="none" w:sz="0" w:space="0" w:color="auto"/>
      </w:divBdr>
    </w:div>
    <w:div w:id="22367190">
      <w:bodyDiv w:val="1"/>
      <w:marLeft w:val="0"/>
      <w:marRight w:val="0"/>
      <w:marTop w:val="0"/>
      <w:marBottom w:val="0"/>
      <w:divBdr>
        <w:top w:val="none" w:sz="0" w:space="0" w:color="auto"/>
        <w:left w:val="none" w:sz="0" w:space="0" w:color="auto"/>
        <w:bottom w:val="none" w:sz="0" w:space="0" w:color="auto"/>
        <w:right w:val="none" w:sz="0" w:space="0" w:color="auto"/>
      </w:divBdr>
    </w:div>
    <w:div w:id="22368728">
      <w:bodyDiv w:val="1"/>
      <w:marLeft w:val="0"/>
      <w:marRight w:val="0"/>
      <w:marTop w:val="0"/>
      <w:marBottom w:val="0"/>
      <w:divBdr>
        <w:top w:val="none" w:sz="0" w:space="0" w:color="auto"/>
        <w:left w:val="none" w:sz="0" w:space="0" w:color="auto"/>
        <w:bottom w:val="none" w:sz="0" w:space="0" w:color="auto"/>
        <w:right w:val="none" w:sz="0" w:space="0" w:color="auto"/>
      </w:divBdr>
    </w:div>
    <w:div w:id="22439899">
      <w:bodyDiv w:val="1"/>
      <w:marLeft w:val="0"/>
      <w:marRight w:val="0"/>
      <w:marTop w:val="0"/>
      <w:marBottom w:val="0"/>
      <w:divBdr>
        <w:top w:val="none" w:sz="0" w:space="0" w:color="auto"/>
        <w:left w:val="none" w:sz="0" w:space="0" w:color="auto"/>
        <w:bottom w:val="none" w:sz="0" w:space="0" w:color="auto"/>
        <w:right w:val="none" w:sz="0" w:space="0" w:color="auto"/>
      </w:divBdr>
    </w:div>
    <w:div w:id="22441371">
      <w:bodyDiv w:val="1"/>
      <w:marLeft w:val="0"/>
      <w:marRight w:val="0"/>
      <w:marTop w:val="0"/>
      <w:marBottom w:val="0"/>
      <w:divBdr>
        <w:top w:val="none" w:sz="0" w:space="0" w:color="auto"/>
        <w:left w:val="none" w:sz="0" w:space="0" w:color="auto"/>
        <w:bottom w:val="none" w:sz="0" w:space="0" w:color="auto"/>
        <w:right w:val="none" w:sz="0" w:space="0" w:color="auto"/>
      </w:divBdr>
    </w:div>
    <w:div w:id="22556627">
      <w:bodyDiv w:val="1"/>
      <w:marLeft w:val="0"/>
      <w:marRight w:val="0"/>
      <w:marTop w:val="0"/>
      <w:marBottom w:val="0"/>
      <w:divBdr>
        <w:top w:val="none" w:sz="0" w:space="0" w:color="auto"/>
        <w:left w:val="none" w:sz="0" w:space="0" w:color="auto"/>
        <w:bottom w:val="none" w:sz="0" w:space="0" w:color="auto"/>
        <w:right w:val="none" w:sz="0" w:space="0" w:color="auto"/>
      </w:divBdr>
    </w:div>
    <w:div w:id="22635327">
      <w:bodyDiv w:val="1"/>
      <w:marLeft w:val="0"/>
      <w:marRight w:val="0"/>
      <w:marTop w:val="0"/>
      <w:marBottom w:val="0"/>
      <w:divBdr>
        <w:top w:val="none" w:sz="0" w:space="0" w:color="auto"/>
        <w:left w:val="none" w:sz="0" w:space="0" w:color="auto"/>
        <w:bottom w:val="none" w:sz="0" w:space="0" w:color="auto"/>
        <w:right w:val="none" w:sz="0" w:space="0" w:color="auto"/>
      </w:divBdr>
    </w:div>
    <w:div w:id="22636085">
      <w:bodyDiv w:val="1"/>
      <w:marLeft w:val="0"/>
      <w:marRight w:val="0"/>
      <w:marTop w:val="0"/>
      <w:marBottom w:val="0"/>
      <w:divBdr>
        <w:top w:val="none" w:sz="0" w:space="0" w:color="auto"/>
        <w:left w:val="none" w:sz="0" w:space="0" w:color="auto"/>
        <w:bottom w:val="none" w:sz="0" w:space="0" w:color="auto"/>
        <w:right w:val="none" w:sz="0" w:space="0" w:color="auto"/>
      </w:divBdr>
    </w:div>
    <w:div w:id="22639765">
      <w:bodyDiv w:val="1"/>
      <w:marLeft w:val="0"/>
      <w:marRight w:val="0"/>
      <w:marTop w:val="0"/>
      <w:marBottom w:val="0"/>
      <w:divBdr>
        <w:top w:val="none" w:sz="0" w:space="0" w:color="auto"/>
        <w:left w:val="none" w:sz="0" w:space="0" w:color="auto"/>
        <w:bottom w:val="none" w:sz="0" w:space="0" w:color="auto"/>
        <w:right w:val="none" w:sz="0" w:space="0" w:color="auto"/>
      </w:divBdr>
    </w:div>
    <w:div w:id="22682478">
      <w:bodyDiv w:val="1"/>
      <w:marLeft w:val="0"/>
      <w:marRight w:val="0"/>
      <w:marTop w:val="0"/>
      <w:marBottom w:val="0"/>
      <w:divBdr>
        <w:top w:val="none" w:sz="0" w:space="0" w:color="auto"/>
        <w:left w:val="none" w:sz="0" w:space="0" w:color="auto"/>
        <w:bottom w:val="none" w:sz="0" w:space="0" w:color="auto"/>
        <w:right w:val="none" w:sz="0" w:space="0" w:color="auto"/>
      </w:divBdr>
    </w:div>
    <w:div w:id="22748638">
      <w:bodyDiv w:val="1"/>
      <w:marLeft w:val="0"/>
      <w:marRight w:val="0"/>
      <w:marTop w:val="0"/>
      <w:marBottom w:val="0"/>
      <w:divBdr>
        <w:top w:val="none" w:sz="0" w:space="0" w:color="auto"/>
        <w:left w:val="none" w:sz="0" w:space="0" w:color="auto"/>
        <w:bottom w:val="none" w:sz="0" w:space="0" w:color="auto"/>
        <w:right w:val="none" w:sz="0" w:space="0" w:color="auto"/>
      </w:divBdr>
    </w:div>
    <w:div w:id="22826264">
      <w:bodyDiv w:val="1"/>
      <w:marLeft w:val="0"/>
      <w:marRight w:val="0"/>
      <w:marTop w:val="0"/>
      <w:marBottom w:val="0"/>
      <w:divBdr>
        <w:top w:val="none" w:sz="0" w:space="0" w:color="auto"/>
        <w:left w:val="none" w:sz="0" w:space="0" w:color="auto"/>
        <w:bottom w:val="none" w:sz="0" w:space="0" w:color="auto"/>
        <w:right w:val="none" w:sz="0" w:space="0" w:color="auto"/>
      </w:divBdr>
    </w:div>
    <w:div w:id="22827228">
      <w:bodyDiv w:val="1"/>
      <w:marLeft w:val="0"/>
      <w:marRight w:val="0"/>
      <w:marTop w:val="0"/>
      <w:marBottom w:val="0"/>
      <w:divBdr>
        <w:top w:val="none" w:sz="0" w:space="0" w:color="auto"/>
        <w:left w:val="none" w:sz="0" w:space="0" w:color="auto"/>
        <w:bottom w:val="none" w:sz="0" w:space="0" w:color="auto"/>
        <w:right w:val="none" w:sz="0" w:space="0" w:color="auto"/>
      </w:divBdr>
    </w:div>
    <w:div w:id="22899648">
      <w:bodyDiv w:val="1"/>
      <w:marLeft w:val="0"/>
      <w:marRight w:val="0"/>
      <w:marTop w:val="0"/>
      <w:marBottom w:val="0"/>
      <w:divBdr>
        <w:top w:val="none" w:sz="0" w:space="0" w:color="auto"/>
        <w:left w:val="none" w:sz="0" w:space="0" w:color="auto"/>
        <w:bottom w:val="none" w:sz="0" w:space="0" w:color="auto"/>
        <w:right w:val="none" w:sz="0" w:space="0" w:color="auto"/>
      </w:divBdr>
    </w:div>
    <w:div w:id="22902151">
      <w:bodyDiv w:val="1"/>
      <w:marLeft w:val="0"/>
      <w:marRight w:val="0"/>
      <w:marTop w:val="0"/>
      <w:marBottom w:val="0"/>
      <w:divBdr>
        <w:top w:val="none" w:sz="0" w:space="0" w:color="auto"/>
        <w:left w:val="none" w:sz="0" w:space="0" w:color="auto"/>
        <w:bottom w:val="none" w:sz="0" w:space="0" w:color="auto"/>
        <w:right w:val="none" w:sz="0" w:space="0" w:color="auto"/>
      </w:divBdr>
    </w:div>
    <w:div w:id="22947482">
      <w:bodyDiv w:val="1"/>
      <w:marLeft w:val="0"/>
      <w:marRight w:val="0"/>
      <w:marTop w:val="0"/>
      <w:marBottom w:val="0"/>
      <w:divBdr>
        <w:top w:val="none" w:sz="0" w:space="0" w:color="auto"/>
        <w:left w:val="none" w:sz="0" w:space="0" w:color="auto"/>
        <w:bottom w:val="none" w:sz="0" w:space="0" w:color="auto"/>
        <w:right w:val="none" w:sz="0" w:space="0" w:color="auto"/>
      </w:divBdr>
    </w:div>
    <w:div w:id="22950122">
      <w:bodyDiv w:val="1"/>
      <w:marLeft w:val="0"/>
      <w:marRight w:val="0"/>
      <w:marTop w:val="0"/>
      <w:marBottom w:val="0"/>
      <w:divBdr>
        <w:top w:val="none" w:sz="0" w:space="0" w:color="auto"/>
        <w:left w:val="none" w:sz="0" w:space="0" w:color="auto"/>
        <w:bottom w:val="none" w:sz="0" w:space="0" w:color="auto"/>
        <w:right w:val="none" w:sz="0" w:space="0" w:color="auto"/>
      </w:divBdr>
    </w:div>
    <w:div w:id="23098765">
      <w:bodyDiv w:val="1"/>
      <w:marLeft w:val="0"/>
      <w:marRight w:val="0"/>
      <w:marTop w:val="0"/>
      <w:marBottom w:val="0"/>
      <w:divBdr>
        <w:top w:val="none" w:sz="0" w:space="0" w:color="auto"/>
        <w:left w:val="none" w:sz="0" w:space="0" w:color="auto"/>
        <w:bottom w:val="none" w:sz="0" w:space="0" w:color="auto"/>
        <w:right w:val="none" w:sz="0" w:space="0" w:color="auto"/>
      </w:divBdr>
    </w:div>
    <w:div w:id="23141208">
      <w:bodyDiv w:val="1"/>
      <w:marLeft w:val="0"/>
      <w:marRight w:val="0"/>
      <w:marTop w:val="0"/>
      <w:marBottom w:val="0"/>
      <w:divBdr>
        <w:top w:val="none" w:sz="0" w:space="0" w:color="auto"/>
        <w:left w:val="none" w:sz="0" w:space="0" w:color="auto"/>
        <w:bottom w:val="none" w:sz="0" w:space="0" w:color="auto"/>
        <w:right w:val="none" w:sz="0" w:space="0" w:color="auto"/>
      </w:divBdr>
    </w:div>
    <w:div w:id="23211599">
      <w:bodyDiv w:val="1"/>
      <w:marLeft w:val="0"/>
      <w:marRight w:val="0"/>
      <w:marTop w:val="0"/>
      <w:marBottom w:val="0"/>
      <w:divBdr>
        <w:top w:val="none" w:sz="0" w:space="0" w:color="auto"/>
        <w:left w:val="none" w:sz="0" w:space="0" w:color="auto"/>
        <w:bottom w:val="none" w:sz="0" w:space="0" w:color="auto"/>
        <w:right w:val="none" w:sz="0" w:space="0" w:color="auto"/>
      </w:divBdr>
    </w:div>
    <w:div w:id="23219012">
      <w:bodyDiv w:val="1"/>
      <w:marLeft w:val="0"/>
      <w:marRight w:val="0"/>
      <w:marTop w:val="0"/>
      <w:marBottom w:val="0"/>
      <w:divBdr>
        <w:top w:val="none" w:sz="0" w:space="0" w:color="auto"/>
        <w:left w:val="none" w:sz="0" w:space="0" w:color="auto"/>
        <w:bottom w:val="none" w:sz="0" w:space="0" w:color="auto"/>
        <w:right w:val="none" w:sz="0" w:space="0" w:color="auto"/>
      </w:divBdr>
    </w:div>
    <w:div w:id="23219431">
      <w:bodyDiv w:val="1"/>
      <w:marLeft w:val="0"/>
      <w:marRight w:val="0"/>
      <w:marTop w:val="0"/>
      <w:marBottom w:val="0"/>
      <w:divBdr>
        <w:top w:val="none" w:sz="0" w:space="0" w:color="auto"/>
        <w:left w:val="none" w:sz="0" w:space="0" w:color="auto"/>
        <w:bottom w:val="none" w:sz="0" w:space="0" w:color="auto"/>
        <w:right w:val="none" w:sz="0" w:space="0" w:color="auto"/>
      </w:divBdr>
    </w:div>
    <w:div w:id="23288743">
      <w:bodyDiv w:val="1"/>
      <w:marLeft w:val="0"/>
      <w:marRight w:val="0"/>
      <w:marTop w:val="0"/>
      <w:marBottom w:val="0"/>
      <w:divBdr>
        <w:top w:val="none" w:sz="0" w:space="0" w:color="auto"/>
        <w:left w:val="none" w:sz="0" w:space="0" w:color="auto"/>
        <w:bottom w:val="none" w:sz="0" w:space="0" w:color="auto"/>
        <w:right w:val="none" w:sz="0" w:space="0" w:color="auto"/>
      </w:divBdr>
    </w:div>
    <w:div w:id="23411099">
      <w:bodyDiv w:val="1"/>
      <w:marLeft w:val="0"/>
      <w:marRight w:val="0"/>
      <w:marTop w:val="0"/>
      <w:marBottom w:val="0"/>
      <w:divBdr>
        <w:top w:val="none" w:sz="0" w:space="0" w:color="auto"/>
        <w:left w:val="none" w:sz="0" w:space="0" w:color="auto"/>
        <w:bottom w:val="none" w:sz="0" w:space="0" w:color="auto"/>
        <w:right w:val="none" w:sz="0" w:space="0" w:color="auto"/>
      </w:divBdr>
    </w:div>
    <w:div w:id="23558076">
      <w:bodyDiv w:val="1"/>
      <w:marLeft w:val="0"/>
      <w:marRight w:val="0"/>
      <w:marTop w:val="0"/>
      <w:marBottom w:val="0"/>
      <w:divBdr>
        <w:top w:val="none" w:sz="0" w:space="0" w:color="auto"/>
        <w:left w:val="none" w:sz="0" w:space="0" w:color="auto"/>
        <w:bottom w:val="none" w:sz="0" w:space="0" w:color="auto"/>
        <w:right w:val="none" w:sz="0" w:space="0" w:color="auto"/>
      </w:divBdr>
    </w:div>
    <w:div w:id="23558590">
      <w:bodyDiv w:val="1"/>
      <w:marLeft w:val="0"/>
      <w:marRight w:val="0"/>
      <w:marTop w:val="0"/>
      <w:marBottom w:val="0"/>
      <w:divBdr>
        <w:top w:val="none" w:sz="0" w:space="0" w:color="auto"/>
        <w:left w:val="none" w:sz="0" w:space="0" w:color="auto"/>
        <w:bottom w:val="none" w:sz="0" w:space="0" w:color="auto"/>
        <w:right w:val="none" w:sz="0" w:space="0" w:color="auto"/>
      </w:divBdr>
    </w:div>
    <w:div w:id="23604323">
      <w:bodyDiv w:val="1"/>
      <w:marLeft w:val="0"/>
      <w:marRight w:val="0"/>
      <w:marTop w:val="0"/>
      <w:marBottom w:val="0"/>
      <w:divBdr>
        <w:top w:val="none" w:sz="0" w:space="0" w:color="auto"/>
        <w:left w:val="none" w:sz="0" w:space="0" w:color="auto"/>
        <w:bottom w:val="none" w:sz="0" w:space="0" w:color="auto"/>
        <w:right w:val="none" w:sz="0" w:space="0" w:color="auto"/>
      </w:divBdr>
    </w:div>
    <w:div w:id="23748938">
      <w:bodyDiv w:val="1"/>
      <w:marLeft w:val="0"/>
      <w:marRight w:val="0"/>
      <w:marTop w:val="0"/>
      <w:marBottom w:val="0"/>
      <w:divBdr>
        <w:top w:val="none" w:sz="0" w:space="0" w:color="auto"/>
        <w:left w:val="none" w:sz="0" w:space="0" w:color="auto"/>
        <w:bottom w:val="none" w:sz="0" w:space="0" w:color="auto"/>
        <w:right w:val="none" w:sz="0" w:space="0" w:color="auto"/>
      </w:divBdr>
    </w:div>
    <w:div w:id="23750824">
      <w:bodyDiv w:val="1"/>
      <w:marLeft w:val="0"/>
      <w:marRight w:val="0"/>
      <w:marTop w:val="0"/>
      <w:marBottom w:val="0"/>
      <w:divBdr>
        <w:top w:val="none" w:sz="0" w:space="0" w:color="auto"/>
        <w:left w:val="none" w:sz="0" w:space="0" w:color="auto"/>
        <w:bottom w:val="none" w:sz="0" w:space="0" w:color="auto"/>
        <w:right w:val="none" w:sz="0" w:space="0" w:color="auto"/>
      </w:divBdr>
    </w:div>
    <w:div w:id="23798336">
      <w:bodyDiv w:val="1"/>
      <w:marLeft w:val="0"/>
      <w:marRight w:val="0"/>
      <w:marTop w:val="0"/>
      <w:marBottom w:val="0"/>
      <w:divBdr>
        <w:top w:val="none" w:sz="0" w:space="0" w:color="auto"/>
        <w:left w:val="none" w:sz="0" w:space="0" w:color="auto"/>
        <w:bottom w:val="none" w:sz="0" w:space="0" w:color="auto"/>
        <w:right w:val="none" w:sz="0" w:space="0" w:color="auto"/>
      </w:divBdr>
    </w:div>
    <w:div w:id="23991949">
      <w:bodyDiv w:val="1"/>
      <w:marLeft w:val="0"/>
      <w:marRight w:val="0"/>
      <w:marTop w:val="0"/>
      <w:marBottom w:val="0"/>
      <w:divBdr>
        <w:top w:val="none" w:sz="0" w:space="0" w:color="auto"/>
        <w:left w:val="none" w:sz="0" w:space="0" w:color="auto"/>
        <w:bottom w:val="none" w:sz="0" w:space="0" w:color="auto"/>
        <w:right w:val="none" w:sz="0" w:space="0" w:color="auto"/>
      </w:divBdr>
    </w:div>
    <w:div w:id="24140594">
      <w:bodyDiv w:val="1"/>
      <w:marLeft w:val="0"/>
      <w:marRight w:val="0"/>
      <w:marTop w:val="0"/>
      <w:marBottom w:val="0"/>
      <w:divBdr>
        <w:top w:val="none" w:sz="0" w:space="0" w:color="auto"/>
        <w:left w:val="none" w:sz="0" w:space="0" w:color="auto"/>
        <w:bottom w:val="none" w:sz="0" w:space="0" w:color="auto"/>
        <w:right w:val="none" w:sz="0" w:space="0" w:color="auto"/>
      </w:divBdr>
    </w:div>
    <w:div w:id="24183624">
      <w:bodyDiv w:val="1"/>
      <w:marLeft w:val="0"/>
      <w:marRight w:val="0"/>
      <w:marTop w:val="0"/>
      <w:marBottom w:val="0"/>
      <w:divBdr>
        <w:top w:val="none" w:sz="0" w:space="0" w:color="auto"/>
        <w:left w:val="none" w:sz="0" w:space="0" w:color="auto"/>
        <w:bottom w:val="none" w:sz="0" w:space="0" w:color="auto"/>
        <w:right w:val="none" w:sz="0" w:space="0" w:color="auto"/>
      </w:divBdr>
    </w:div>
    <w:div w:id="24185612">
      <w:bodyDiv w:val="1"/>
      <w:marLeft w:val="0"/>
      <w:marRight w:val="0"/>
      <w:marTop w:val="0"/>
      <w:marBottom w:val="0"/>
      <w:divBdr>
        <w:top w:val="none" w:sz="0" w:space="0" w:color="auto"/>
        <w:left w:val="none" w:sz="0" w:space="0" w:color="auto"/>
        <w:bottom w:val="none" w:sz="0" w:space="0" w:color="auto"/>
        <w:right w:val="none" w:sz="0" w:space="0" w:color="auto"/>
      </w:divBdr>
    </w:div>
    <w:div w:id="24186139">
      <w:bodyDiv w:val="1"/>
      <w:marLeft w:val="0"/>
      <w:marRight w:val="0"/>
      <w:marTop w:val="0"/>
      <w:marBottom w:val="0"/>
      <w:divBdr>
        <w:top w:val="none" w:sz="0" w:space="0" w:color="auto"/>
        <w:left w:val="none" w:sz="0" w:space="0" w:color="auto"/>
        <w:bottom w:val="none" w:sz="0" w:space="0" w:color="auto"/>
        <w:right w:val="none" w:sz="0" w:space="0" w:color="auto"/>
      </w:divBdr>
    </w:div>
    <w:div w:id="24331359">
      <w:bodyDiv w:val="1"/>
      <w:marLeft w:val="0"/>
      <w:marRight w:val="0"/>
      <w:marTop w:val="0"/>
      <w:marBottom w:val="0"/>
      <w:divBdr>
        <w:top w:val="none" w:sz="0" w:space="0" w:color="auto"/>
        <w:left w:val="none" w:sz="0" w:space="0" w:color="auto"/>
        <w:bottom w:val="none" w:sz="0" w:space="0" w:color="auto"/>
        <w:right w:val="none" w:sz="0" w:space="0" w:color="auto"/>
      </w:divBdr>
    </w:div>
    <w:div w:id="24332407">
      <w:bodyDiv w:val="1"/>
      <w:marLeft w:val="0"/>
      <w:marRight w:val="0"/>
      <w:marTop w:val="0"/>
      <w:marBottom w:val="0"/>
      <w:divBdr>
        <w:top w:val="none" w:sz="0" w:space="0" w:color="auto"/>
        <w:left w:val="none" w:sz="0" w:space="0" w:color="auto"/>
        <w:bottom w:val="none" w:sz="0" w:space="0" w:color="auto"/>
        <w:right w:val="none" w:sz="0" w:space="0" w:color="auto"/>
      </w:divBdr>
    </w:div>
    <w:div w:id="24521314">
      <w:bodyDiv w:val="1"/>
      <w:marLeft w:val="0"/>
      <w:marRight w:val="0"/>
      <w:marTop w:val="0"/>
      <w:marBottom w:val="0"/>
      <w:divBdr>
        <w:top w:val="none" w:sz="0" w:space="0" w:color="auto"/>
        <w:left w:val="none" w:sz="0" w:space="0" w:color="auto"/>
        <w:bottom w:val="none" w:sz="0" w:space="0" w:color="auto"/>
        <w:right w:val="none" w:sz="0" w:space="0" w:color="auto"/>
      </w:divBdr>
    </w:div>
    <w:div w:id="24528035">
      <w:bodyDiv w:val="1"/>
      <w:marLeft w:val="0"/>
      <w:marRight w:val="0"/>
      <w:marTop w:val="0"/>
      <w:marBottom w:val="0"/>
      <w:divBdr>
        <w:top w:val="none" w:sz="0" w:space="0" w:color="auto"/>
        <w:left w:val="none" w:sz="0" w:space="0" w:color="auto"/>
        <w:bottom w:val="none" w:sz="0" w:space="0" w:color="auto"/>
        <w:right w:val="none" w:sz="0" w:space="0" w:color="auto"/>
      </w:divBdr>
    </w:div>
    <w:div w:id="24596578">
      <w:bodyDiv w:val="1"/>
      <w:marLeft w:val="0"/>
      <w:marRight w:val="0"/>
      <w:marTop w:val="0"/>
      <w:marBottom w:val="0"/>
      <w:divBdr>
        <w:top w:val="none" w:sz="0" w:space="0" w:color="auto"/>
        <w:left w:val="none" w:sz="0" w:space="0" w:color="auto"/>
        <w:bottom w:val="none" w:sz="0" w:space="0" w:color="auto"/>
        <w:right w:val="none" w:sz="0" w:space="0" w:color="auto"/>
      </w:divBdr>
    </w:div>
    <w:div w:id="24601309">
      <w:bodyDiv w:val="1"/>
      <w:marLeft w:val="0"/>
      <w:marRight w:val="0"/>
      <w:marTop w:val="0"/>
      <w:marBottom w:val="0"/>
      <w:divBdr>
        <w:top w:val="none" w:sz="0" w:space="0" w:color="auto"/>
        <w:left w:val="none" w:sz="0" w:space="0" w:color="auto"/>
        <w:bottom w:val="none" w:sz="0" w:space="0" w:color="auto"/>
        <w:right w:val="none" w:sz="0" w:space="0" w:color="auto"/>
      </w:divBdr>
    </w:div>
    <w:div w:id="24719082">
      <w:bodyDiv w:val="1"/>
      <w:marLeft w:val="0"/>
      <w:marRight w:val="0"/>
      <w:marTop w:val="0"/>
      <w:marBottom w:val="0"/>
      <w:divBdr>
        <w:top w:val="none" w:sz="0" w:space="0" w:color="auto"/>
        <w:left w:val="none" w:sz="0" w:space="0" w:color="auto"/>
        <w:bottom w:val="none" w:sz="0" w:space="0" w:color="auto"/>
        <w:right w:val="none" w:sz="0" w:space="0" w:color="auto"/>
      </w:divBdr>
    </w:div>
    <w:div w:id="24839100">
      <w:bodyDiv w:val="1"/>
      <w:marLeft w:val="0"/>
      <w:marRight w:val="0"/>
      <w:marTop w:val="0"/>
      <w:marBottom w:val="0"/>
      <w:divBdr>
        <w:top w:val="none" w:sz="0" w:space="0" w:color="auto"/>
        <w:left w:val="none" w:sz="0" w:space="0" w:color="auto"/>
        <w:bottom w:val="none" w:sz="0" w:space="0" w:color="auto"/>
        <w:right w:val="none" w:sz="0" w:space="0" w:color="auto"/>
      </w:divBdr>
    </w:div>
    <w:div w:id="24909807">
      <w:bodyDiv w:val="1"/>
      <w:marLeft w:val="0"/>
      <w:marRight w:val="0"/>
      <w:marTop w:val="0"/>
      <w:marBottom w:val="0"/>
      <w:divBdr>
        <w:top w:val="none" w:sz="0" w:space="0" w:color="auto"/>
        <w:left w:val="none" w:sz="0" w:space="0" w:color="auto"/>
        <w:bottom w:val="none" w:sz="0" w:space="0" w:color="auto"/>
        <w:right w:val="none" w:sz="0" w:space="0" w:color="auto"/>
      </w:divBdr>
    </w:div>
    <w:div w:id="24914493">
      <w:bodyDiv w:val="1"/>
      <w:marLeft w:val="0"/>
      <w:marRight w:val="0"/>
      <w:marTop w:val="0"/>
      <w:marBottom w:val="0"/>
      <w:divBdr>
        <w:top w:val="none" w:sz="0" w:space="0" w:color="auto"/>
        <w:left w:val="none" w:sz="0" w:space="0" w:color="auto"/>
        <w:bottom w:val="none" w:sz="0" w:space="0" w:color="auto"/>
        <w:right w:val="none" w:sz="0" w:space="0" w:color="auto"/>
      </w:divBdr>
    </w:div>
    <w:div w:id="25101278">
      <w:bodyDiv w:val="1"/>
      <w:marLeft w:val="0"/>
      <w:marRight w:val="0"/>
      <w:marTop w:val="0"/>
      <w:marBottom w:val="0"/>
      <w:divBdr>
        <w:top w:val="none" w:sz="0" w:space="0" w:color="auto"/>
        <w:left w:val="none" w:sz="0" w:space="0" w:color="auto"/>
        <w:bottom w:val="none" w:sz="0" w:space="0" w:color="auto"/>
        <w:right w:val="none" w:sz="0" w:space="0" w:color="auto"/>
      </w:divBdr>
    </w:div>
    <w:div w:id="25102766">
      <w:bodyDiv w:val="1"/>
      <w:marLeft w:val="0"/>
      <w:marRight w:val="0"/>
      <w:marTop w:val="0"/>
      <w:marBottom w:val="0"/>
      <w:divBdr>
        <w:top w:val="none" w:sz="0" w:space="0" w:color="auto"/>
        <w:left w:val="none" w:sz="0" w:space="0" w:color="auto"/>
        <w:bottom w:val="none" w:sz="0" w:space="0" w:color="auto"/>
        <w:right w:val="none" w:sz="0" w:space="0" w:color="auto"/>
      </w:divBdr>
    </w:div>
    <w:div w:id="25182786">
      <w:bodyDiv w:val="1"/>
      <w:marLeft w:val="0"/>
      <w:marRight w:val="0"/>
      <w:marTop w:val="0"/>
      <w:marBottom w:val="0"/>
      <w:divBdr>
        <w:top w:val="none" w:sz="0" w:space="0" w:color="auto"/>
        <w:left w:val="none" w:sz="0" w:space="0" w:color="auto"/>
        <w:bottom w:val="none" w:sz="0" w:space="0" w:color="auto"/>
        <w:right w:val="none" w:sz="0" w:space="0" w:color="auto"/>
      </w:divBdr>
    </w:div>
    <w:div w:id="25255613">
      <w:bodyDiv w:val="1"/>
      <w:marLeft w:val="0"/>
      <w:marRight w:val="0"/>
      <w:marTop w:val="0"/>
      <w:marBottom w:val="0"/>
      <w:divBdr>
        <w:top w:val="none" w:sz="0" w:space="0" w:color="auto"/>
        <w:left w:val="none" w:sz="0" w:space="0" w:color="auto"/>
        <w:bottom w:val="none" w:sz="0" w:space="0" w:color="auto"/>
        <w:right w:val="none" w:sz="0" w:space="0" w:color="auto"/>
      </w:divBdr>
    </w:div>
    <w:div w:id="25258778">
      <w:bodyDiv w:val="1"/>
      <w:marLeft w:val="0"/>
      <w:marRight w:val="0"/>
      <w:marTop w:val="0"/>
      <w:marBottom w:val="0"/>
      <w:divBdr>
        <w:top w:val="none" w:sz="0" w:space="0" w:color="auto"/>
        <w:left w:val="none" w:sz="0" w:space="0" w:color="auto"/>
        <w:bottom w:val="none" w:sz="0" w:space="0" w:color="auto"/>
        <w:right w:val="none" w:sz="0" w:space="0" w:color="auto"/>
      </w:divBdr>
    </w:div>
    <w:div w:id="25297425">
      <w:bodyDiv w:val="1"/>
      <w:marLeft w:val="0"/>
      <w:marRight w:val="0"/>
      <w:marTop w:val="0"/>
      <w:marBottom w:val="0"/>
      <w:divBdr>
        <w:top w:val="none" w:sz="0" w:space="0" w:color="auto"/>
        <w:left w:val="none" w:sz="0" w:space="0" w:color="auto"/>
        <w:bottom w:val="none" w:sz="0" w:space="0" w:color="auto"/>
        <w:right w:val="none" w:sz="0" w:space="0" w:color="auto"/>
      </w:divBdr>
    </w:div>
    <w:div w:id="25446141">
      <w:bodyDiv w:val="1"/>
      <w:marLeft w:val="0"/>
      <w:marRight w:val="0"/>
      <w:marTop w:val="0"/>
      <w:marBottom w:val="0"/>
      <w:divBdr>
        <w:top w:val="none" w:sz="0" w:space="0" w:color="auto"/>
        <w:left w:val="none" w:sz="0" w:space="0" w:color="auto"/>
        <w:bottom w:val="none" w:sz="0" w:space="0" w:color="auto"/>
        <w:right w:val="none" w:sz="0" w:space="0" w:color="auto"/>
      </w:divBdr>
    </w:div>
    <w:div w:id="25521289">
      <w:bodyDiv w:val="1"/>
      <w:marLeft w:val="0"/>
      <w:marRight w:val="0"/>
      <w:marTop w:val="0"/>
      <w:marBottom w:val="0"/>
      <w:divBdr>
        <w:top w:val="none" w:sz="0" w:space="0" w:color="auto"/>
        <w:left w:val="none" w:sz="0" w:space="0" w:color="auto"/>
        <w:bottom w:val="none" w:sz="0" w:space="0" w:color="auto"/>
        <w:right w:val="none" w:sz="0" w:space="0" w:color="auto"/>
      </w:divBdr>
    </w:div>
    <w:div w:id="25524220">
      <w:bodyDiv w:val="1"/>
      <w:marLeft w:val="0"/>
      <w:marRight w:val="0"/>
      <w:marTop w:val="0"/>
      <w:marBottom w:val="0"/>
      <w:divBdr>
        <w:top w:val="none" w:sz="0" w:space="0" w:color="auto"/>
        <w:left w:val="none" w:sz="0" w:space="0" w:color="auto"/>
        <w:bottom w:val="none" w:sz="0" w:space="0" w:color="auto"/>
        <w:right w:val="none" w:sz="0" w:space="0" w:color="auto"/>
      </w:divBdr>
    </w:div>
    <w:div w:id="25525720">
      <w:bodyDiv w:val="1"/>
      <w:marLeft w:val="0"/>
      <w:marRight w:val="0"/>
      <w:marTop w:val="0"/>
      <w:marBottom w:val="0"/>
      <w:divBdr>
        <w:top w:val="none" w:sz="0" w:space="0" w:color="auto"/>
        <w:left w:val="none" w:sz="0" w:space="0" w:color="auto"/>
        <w:bottom w:val="none" w:sz="0" w:space="0" w:color="auto"/>
        <w:right w:val="none" w:sz="0" w:space="0" w:color="auto"/>
      </w:divBdr>
    </w:div>
    <w:div w:id="25717538">
      <w:bodyDiv w:val="1"/>
      <w:marLeft w:val="0"/>
      <w:marRight w:val="0"/>
      <w:marTop w:val="0"/>
      <w:marBottom w:val="0"/>
      <w:divBdr>
        <w:top w:val="none" w:sz="0" w:space="0" w:color="auto"/>
        <w:left w:val="none" w:sz="0" w:space="0" w:color="auto"/>
        <w:bottom w:val="none" w:sz="0" w:space="0" w:color="auto"/>
        <w:right w:val="none" w:sz="0" w:space="0" w:color="auto"/>
      </w:divBdr>
    </w:div>
    <w:div w:id="26031047">
      <w:bodyDiv w:val="1"/>
      <w:marLeft w:val="0"/>
      <w:marRight w:val="0"/>
      <w:marTop w:val="0"/>
      <w:marBottom w:val="0"/>
      <w:divBdr>
        <w:top w:val="none" w:sz="0" w:space="0" w:color="auto"/>
        <w:left w:val="none" w:sz="0" w:space="0" w:color="auto"/>
        <w:bottom w:val="none" w:sz="0" w:space="0" w:color="auto"/>
        <w:right w:val="none" w:sz="0" w:space="0" w:color="auto"/>
      </w:divBdr>
    </w:div>
    <w:div w:id="26032620">
      <w:bodyDiv w:val="1"/>
      <w:marLeft w:val="0"/>
      <w:marRight w:val="0"/>
      <w:marTop w:val="0"/>
      <w:marBottom w:val="0"/>
      <w:divBdr>
        <w:top w:val="none" w:sz="0" w:space="0" w:color="auto"/>
        <w:left w:val="none" w:sz="0" w:space="0" w:color="auto"/>
        <w:bottom w:val="none" w:sz="0" w:space="0" w:color="auto"/>
        <w:right w:val="none" w:sz="0" w:space="0" w:color="auto"/>
      </w:divBdr>
    </w:div>
    <w:div w:id="26032881">
      <w:bodyDiv w:val="1"/>
      <w:marLeft w:val="0"/>
      <w:marRight w:val="0"/>
      <w:marTop w:val="0"/>
      <w:marBottom w:val="0"/>
      <w:divBdr>
        <w:top w:val="none" w:sz="0" w:space="0" w:color="auto"/>
        <w:left w:val="none" w:sz="0" w:space="0" w:color="auto"/>
        <w:bottom w:val="none" w:sz="0" w:space="0" w:color="auto"/>
        <w:right w:val="none" w:sz="0" w:space="0" w:color="auto"/>
      </w:divBdr>
    </w:div>
    <w:div w:id="26101607">
      <w:bodyDiv w:val="1"/>
      <w:marLeft w:val="0"/>
      <w:marRight w:val="0"/>
      <w:marTop w:val="0"/>
      <w:marBottom w:val="0"/>
      <w:divBdr>
        <w:top w:val="none" w:sz="0" w:space="0" w:color="auto"/>
        <w:left w:val="none" w:sz="0" w:space="0" w:color="auto"/>
        <w:bottom w:val="none" w:sz="0" w:space="0" w:color="auto"/>
        <w:right w:val="none" w:sz="0" w:space="0" w:color="auto"/>
      </w:divBdr>
    </w:div>
    <w:div w:id="26151172">
      <w:bodyDiv w:val="1"/>
      <w:marLeft w:val="0"/>
      <w:marRight w:val="0"/>
      <w:marTop w:val="0"/>
      <w:marBottom w:val="0"/>
      <w:divBdr>
        <w:top w:val="none" w:sz="0" w:space="0" w:color="auto"/>
        <w:left w:val="none" w:sz="0" w:space="0" w:color="auto"/>
        <w:bottom w:val="none" w:sz="0" w:space="0" w:color="auto"/>
        <w:right w:val="none" w:sz="0" w:space="0" w:color="auto"/>
      </w:divBdr>
    </w:div>
    <w:div w:id="26218615">
      <w:bodyDiv w:val="1"/>
      <w:marLeft w:val="0"/>
      <w:marRight w:val="0"/>
      <w:marTop w:val="0"/>
      <w:marBottom w:val="0"/>
      <w:divBdr>
        <w:top w:val="none" w:sz="0" w:space="0" w:color="auto"/>
        <w:left w:val="none" w:sz="0" w:space="0" w:color="auto"/>
        <w:bottom w:val="none" w:sz="0" w:space="0" w:color="auto"/>
        <w:right w:val="none" w:sz="0" w:space="0" w:color="auto"/>
      </w:divBdr>
    </w:div>
    <w:div w:id="26225698">
      <w:bodyDiv w:val="1"/>
      <w:marLeft w:val="0"/>
      <w:marRight w:val="0"/>
      <w:marTop w:val="0"/>
      <w:marBottom w:val="0"/>
      <w:divBdr>
        <w:top w:val="none" w:sz="0" w:space="0" w:color="auto"/>
        <w:left w:val="none" w:sz="0" w:space="0" w:color="auto"/>
        <w:bottom w:val="none" w:sz="0" w:space="0" w:color="auto"/>
        <w:right w:val="none" w:sz="0" w:space="0" w:color="auto"/>
      </w:divBdr>
    </w:div>
    <w:div w:id="26373054">
      <w:bodyDiv w:val="1"/>
      <w:marLeft w:val="0"/>
      <w:marRight w:val="0"/>
      <w:marTop w:val="0"/>
      <w:marBottom w:val="0"/>
      <w:divBdr>
        <w:top w:val="none" w:sz="0" w:space="0" w:color="auto"/>
        <w:left w:val="none" w:sz="0" w:space="0" w:color="auto"/>
        <w:bottom w:val="none" w:sz="0" w:space="0" w:color="auto"/>
        <w:right w:val="none" w:sz="0" w:space="0" w:color="auto"/>
      </w:divBdr>
    </w:div>
    <w:div w:id="26412201">
      <w:bodyDiv w:val="1"/>
      <w:marLeft w:val="0"/>
      <w:marRight w:val="0"/>
      <w:marTop w:val="0"/>
      <w:marBottom w:val="0"/>
      <w:divBdr>
        <w:top w:val="none" w:sz="0" w:space="0" w:color="auto"/>
        <w:left w:val="none" w:sz="0" w:space="0" w:color="auto"/>
        <w:bottom w:val="none" w:sz="0" w:space="0" w:color="auto"/>
        <w:right w:val="none" w:sz="0" w:space="0" w:color="auto"/>
      </w:divBdr>
    </w:div>
    <w:div w:id="26415332">
      <w:bodyDiv w:val="1"/>
      <w:marLeft w:val="0"/>
      <w:marRight w:val="0"/>
      <w:marTop w:val="0"/>
      <w:marBottom w:val="0"/>
      <w:divBdr>
        <w:top w:val="none" w:sz="0" w:space="0" w:color="auto"/>
        <w:left w:val="none" w:sz="0" w:space="0" w:color="auto"/>
        <w:bottom w:val="none" w:sz="0" w:space="0" w:color="auto"/>
        <w:right w:val="none" w:sz="0" w:space="0" w:color="auto"/>
      </w:divBdr>
    </w:div>
    <w:div w:id="26495804">
      <w:bodyDiv w:val="1"/>
      <w:marLeft w:val="0"/>
      <w:marRight w:val="0"/>
      <w:marTop w:val="0"/>
      <w:marBottom w:val="0"/>
      <w:divBdr>
        <w:top w:val="none" w:sz="0" w:space="0" w:color="auto"/>
        <w:left w:val="none" w:sz="0" w:space="0" w:color="auto"/>
        <w:bottom w:val="none" w:sz="0" w:space="0" w:color="auto"/>
        <w:right w:val="none" w:sz="0" w:space="0" w:color="auto"/>
      </w:divBdr>
    </w:div>
    <w:div w:id="26563839">
      <w:bodyDiv w:val="1"/>
      <w:marLeft w:val="0"/>
      <w:marRight w:val="0"/>
      <w:marTop w:val="0"/>
      <w:marBottom w:val="0"/>
      <w:divBdr>
        <w:top w:val="none" w:sz="0" w:space="0" w:color="auto"/>
        <w:left w:val="none" w:sz="0" w:space="0" w:color="auto"/>
        <w:bottom w:val="none" w:sz="0" w:space="0" w:color="auto"/>
        <w:right w:val="none" w:sz="0" w:space="0" w:color="auto"/>
      </w:divBdr>
    </w:div>
    <w:div w:id="26610116">
      <w:bodyDiv w:val="1"/>
      <w:marLeft w:val="0"/>
      <w:marRight w:val="0"/>
      <w:marTop w:val="0"/>
      <w:marBottom w:val="0"/>
      <w:divBdr>
        <w:top w:val="none" w:sz="0" w:space="0" w:color="auto"/>
        <w:left w:val="none" w:sz="0" w:space="0" w:color="auto"/>
        <w:bottom w:val="none" w:sz="0" w:space="0" w:color="auto"/>
        <w:right w:val="none" w:sz="0" w:space="0" w:color="auto"/>
      </w:divBdr>
    </w:div>
    <w:div w:id="26757643">
      <w:bodyDiv w:val="1"/>
      <w:marLeft w:val="0"/>
      <w:marRight w:val="0"/>
      <w:marTop w:val="0"/>
      <w:marBottom w:val="0"/>
      <w:divBdr>
        <w:top w:val="none" w:sz="0" w:space="0" w:color="auto"/>
        <w:left w:val="none" w:sz="0" w:space="0" w:color="auto"/>
        <w:bottom w:val="none" w:sz="0" w:space="0" w:color="auto"/>
        <w:right w:val="none" w:sz="0" w:space="0" w:color="auto"/>
      </w:divBdr>
    </w:div>
    <w:div w:id="26763936">
      <w:bodyDiv w:val="1"/>
      <w:marLeft w:val="0"/>
      <w:marRight w:val="0"/>
      <w:marTop w:val="0"/>
      <w:marBottom w:val="0"/>
      <w:divBdr>
        <w:top w:val="none" w:sz="0" w:space="0" w:color="auto"/>
        <w:left w:val="none" w:sz="0" w:space="0" w:color="auto"/>
        <w:bottom w:val="none" w:sz="0" w:space="0" w:color="auto"/>
        <w:right w:val="none" w:sz="0" w:space="0" w:color="auto"/>
      </w:divBdr>
    </w:div>
    <w:div w:id="26874308">
      <w:bodyDiv w:val="1"/>
      <w:marLeft w:val="0"/>
      <w:marRight w:val="0"/>
      <w:marTop w:val="0"/>
      <w:marBottom w:val="0"/>
      <w:divBdr>
        <w:top w:val="none" w:sz="0" w:space="0" w:color="auto"/>
        <w:left w:val="none" w:sz="0" w:space="0" w:color="auto"/>
        <w:bottom w:val="none" w:sz="0" w:space="0" w:color="auto"/>
        <w:right w:val="none" w:sz="0" w:space="0" w:color="auto"/>
      </w:divBdr>
    </w:div>
    <w:div w:id="26952570">
      <w:bodyDiv w:val="1"/>
      <w:marLeft w:val="0"/>
      <w:marRight w:val="0"/>
      <w:marTop w:val="0"/>
      <w:marBottom w:val="0"/>
      <w:divBdr>
        <w:top w:val="none" w:sz="0" w:space="0" w:color="auto"/>
        <w:left w:val="none" w:sz="0" w:space="0" w:color="auto"/>
        <w:bottom w:val="none" w:sz="0" w:space="0" w:color="auto"/>
        <w:right w:val="none" w:sz="0" w:space="0" w:color="auto"/>
      </w:divBdr>
    </w:div>
    <w:div w:id="27026343">
      <w:bodyDiv w:val="1"/>
      <w:marLeft w:val="0"/>
      <w:marRight w:val="0"/>
      <w:marTop w:val="0"/>
      <w:marBottom w:val="0"/>
      <w:divBdr>
        <w:top w:val="none" w:sz="0" w:space="0" w:color="auto"/>
        <w:left w:val="none" w:sz="0" w:space="0" w:color="auto"/>
        <w:bottom w:val="none" w:sz="0" w:space="0" w:color="auto"/>
        <w:right w:val="none" w:sz="0" w:space="0" w:color="auto"/>
      </w:divBdr>
    </w:div>
    <w:div w:id="27072103">
      <w:bodyDiv w:val="1"/>
      <w:marLeft w:val="0"/>
      <w:marRight w:val="0"/>
      <w:marTop w:val="0"/>
      <w:marBottom w:val="0"/>
      <w:divBdr>
        <w:top w:val="none" w:sz="0" w:space="0" w:color="auto"/>
        <w:left w:val="none" w:sz="0" w:space="0" w:color="auto"/>
        <w:bottom w:val="none" w:sz="0" w:space="0" w:color="auto"/>
        <w:right w:val="none" w:sz="0" w:space="0" w:color="auto"/>
      </w:divBdr>
    </w:div>
    <w:div w:id="27145230">
      <w:bodyDiv w:val="1"/>
      <w:marLeft w:val="0"/>
      <w:marRight w:val="0"/>
      <w:marTop w:val="0"/>
      <w:marBottom w:val="0"/>
      <w:divBdr>
        <w:top w:val="none" w:sz="0" w:space="0" w:color="auto"/>
        <w:left w:val="none" w:sz="0" w:space="0" w:color="auto"/>
        <w:bottom w:val="none" w:sz="0" w:space="0" w:color="auto"/>
        <w:right w:val="none" w:sz="0" w:space="0" w:color="auto"/>
      </w:divBdr>
    </w:div>
    <w:div w:id="27226094">
      <w:bodyDiv w:val="1"/>
      <w:marLeft w:val="0"/>
      <w:marRight w:val="0"/>
      <w:marTop w:val="0"/>
      <w:marBottom w:val="0"/>
      <w:divBdr>
        <w:top w:val="none" w:sz="0" w:space="0" w:color="auto"/>
        <w:left w:val="none" w:sz="0" w:space="0" w:color="auto"/>
        <w:bottom w:val="none" w:sz="0" w:space="0" w:color="auto"/>
        <w:right w:val="none" w:sz="0" w:space="0" w:color="auto"/>
      </w:divBdr>
    </w:div>
    <w:div w:id="27263037">
      <w:bodyDiv w:val="1"/>
      <w:marLeft w:val="0"/>
      <w:marRight w:val="0"/>
      <w:marTop w:val="0"/>
      <w:marBottom w:val="0"/>
      <w:divBdr>
        <w:top w:val="none" w:sz="0" w:space="0" w:color="auto"/>
        <w:left w:val="none" w:sz="0" w:space="0" w:color="auto"/>
        <w:bottom w:val="none" w:sz="0" w:space="0" w:color="auto"/>
        <w:right w:val="none" w:sz="0" w:space="0" w:color="auto"/>
      </w:divBdr>
    </w:div>
    <w:div w:id="27413419">
      <w:bodyDiv w:val="1"/>
      <w:marLeft w:val="0"/>
      <w:marRight w:val="0"/>
      <w:marTop w:val="0"/>
      <w:marBottom w:val="0"/>
      <w:divBdr>
        <w:top w:val="none" w:sz="0" w:space="0" w:color="auto"/>
        <w:left w:val="none" w:sz="0" w:space="0" w:color="auto"/>
        <w:bottom w:val="none" w:sz="0" w:space="0" w:color="auto"/>
        <w:right w:val="none" w:sz="0" w:space="0" w:color="auto"/>
      </w:divBdr>
    </w:div>
    <w:div w:id="27488209">
      <w:bodyDiv w:val="1"/>
      <w:marLeft w:val="0"/>
      <w:marRight w:val="0"/>
      <w:marTop w:val="0"/>
      <w:marBottom w:val="0"/>
      <w:divBdr>
        <w:top w:val="none" w:sz="0" w:space="0" w:color="auto"/>
        <w:left w:val="none" w:sz="0" w:space="0" w:color="auto"/>
        <w:bottom w:val="none" w:sz="0" w:space="0" w:color="auto"/>
        <w:right w:val="none" w:sz="0" w:space="0" w:color="auto"/>
      </w:divBdr>
    </w:div>
    <w:div w:id="27490126">
      <w:bodyDiv w:val="1"/>
      <w:marLeft w:val="0"/>
      <w:marRight w:val="0"/>
      <w:marTop w:val="0"/>
      <w:marBottom w:val="0"/>
      <w:divBdr>
        <w:top w:val="none" w:sz="0" w:space="0" w:color="auto"/>
        <w:left w:val="none" w:sz="0" w:space="0" w:color="auto"/>
        <w:bottom w:val="none" w:sz="0" w:space="0" w:color="auto"/>
        <w:right w:val="none" w:sz="0" w:space="0" w:color="auto"/>
      </w:divBdr>
    </w:div>
    <w:div w:id="27491234">
      <w:bodyDiv w:val="1"/>
      <w:marLeft w:val="0"/>
      <w:marRight w:val="0"/>
      <w:marTop w:val="0"/>
      <w:marBottom w:val="0"/>
      <w:divBdr>
        <w:top w:val="none" w:sz="0" w:space="0" w:color="auto"/>
        <w:left w:val="none" w:sz="0" w:space="0" w:color="auto"/>
        <w:bottom w:val="none" w:sz="0" w:space="0" w:color="auto"/>
        <w:right w:val="none" w:sz="0" w:space="0" w:color="auto"/>
      </w:divBdr>
    </w:div>
    <w:div w:id="27535793">
      <w:bodyDiv w:val="1"/>
      <w:marLeft w:val="0"/>
      <w:marRight w:val="0"/>
      <w:marTop w:val="0"/>
      <w:marBottom w:val="0"/>
      <w:divBdr>
        <w:top w:val="none" w:sz="0" w:space="0" w:color="auto"/>
        <w:left w:val="none" w:sz="0" w:space="0" w:color="auto"/>
        <w:bottom w:val="none" w:sz="0" w:space="0" w:color="auto"/>
        <w:right w:val="none" w:sz="0" w:space="0" w:color="auto"/>
      </w:divBdr>
    </w:div>
    <w:div w:id="27723442">
      <w:bodyDiv w:val="1"/>
      <w:marLeft w:val="0"/>
      <w:marRight w:val="0"/>
      <w:marTop w:val="0"/>
      <w:marBottom w:val="0"/>
      <w:divBdr>
        <w:top w:val="none" w:sz="0" w:space="0" w:color="auto"/>
        <w:left w:val="none" w:sz="0" w:space="0" w:color="auto"/>
        <w:bottom w:val="none" w:sz="0" w:space="0" w:color="auto"/>
        <w:right w:val="none" w:sz="0" w:space="0" w:color="auto"/>
      </w:divBdr>
    </w:div>
    <w:div w:id="27800675">
      <w:bodyDiv w:val="1"/>
      <w:marLeft w:val="0"/>
      <w:marRight w:val="0"/>
      <w:marTop w:val="0"/>
      <w:marBottom w:val="0"/>
      <w:divBdr>
        <w:top w:val="none" w:sz="0" w:space="0" w:color="auto"/>
        <w:left w:val="none" w:sz="0" w:space="0" w:color="auto"/>
        <w:bottom w:val="none" w:sz="0" w:space="0" w:color="auto"/>
        <w:right w:val="none" w:sz="0" w:space="0" w:color="auto"/>
      </w:divBdr>
    </w:div>
    <w:div w:id="27948544">
      <w:bodyDiv w:val="1"/>
      <w:marLeft w:val="0"/>
      <w:marRight w:val="0"/>
      <w:marTop w:val="0"/>
      <w:marBottom w:val="0"/>
      <w:divBdr>
        <w:top w:val="none" w:sz="0" w:space="0" w:color="auto"/>
        <w:left w:val="none" w:sz="0" w:space="0" w:color="auto"/>
        <w:bottom w:val="none" w:sz="0" w:space="0" w:color="auto"/>
        <w:right w:val="none" w:sz="0" w:space="0" w:color="auto"/>
      </w:divBdr>
    </w:div>
    <w:div w:id="27948590">
      <w:bodyDiv w:val="1"/>
      <w:marLeft w:val="0"/>
      <w:marRight w:val="0"/>
      <w:marTop w:val="0"/>
      <w:marBottom w:val="0"/>
      <w:divBdr>
        <w:top w:val="none" w:sz="0" w:space="0" w:color="auto"/>
        <w:left w:val="none" w:sz="0" w:space="0" w:color="auto"/>
        <w:bottom w:val="none" w:sz="0" w:space="0" w:color="auto"/>
        <w:right w:val="none" w:sz="0" w:space="0" w:color="auto"/>
      </w:divBdr>
    </w:div>
    <w:div w:id="27949962">
      <w:bodyDiv w:val="1"/>
      <w:marLeft w:val="0"/>
      <w:marRight w:val="0"/>
      <w:marTop w:val="0"/>
      <w:marBottom w:val="0"/>
      <w:divBdr>
        <w:top w:val="none" w:sz="0" w:space="0" w:color="auto"/>
        <w:left w:val="none" w:sz="0" w:space="0" w:color="auto"/>
        <w:bottom w:val="none" w:sz="0" w:space="0" w:color="auto"/>
        <w:right w:val="none" w:sz="0" w:space="0" w:color="auto"/>
      </w:divBdr>
    </w:div>
    <w:div w:id="27996697">
      <w:bodyDiv w:val="1"/>
      <w:marLeft w:val="0"/>
      <w:marRight w:val="0"/>
      <w:marTop w:val="0"/>
      <w:marBottom w:val="0"/>
      <w:divBdr>
        <w:top w:val="none" w:sz="0" w:space="0" w:color="auto"/>
        <w:left w:val="none" w:sz="0" w:space="0" w:color="auto"/>
        <w:bottom w:val="none" w:sz="0" w:space="0" w:color="auto"/>
        <w:right w:val="none" w:sz="0" w:space="0" w:color="auto"/>
      </w:divBdr>
    </w:div>
    <w:div w:id="28066755">
      <w:bodyDiv w:val="1"/>
      <w:marLeft w:val="0"/>
      <w:marRight w:val="0"/>
      <w:marTop w:val="0"/>
      <w:marBottom w:val="0"/>
      <w:divBdr>
        <w:top w:val="none" w:sz="0" w:space="0" w:color="auto"/>
        <w:left w:val="none" w:sz="0" w:space="0" w:color="auto"/>
        <w:bottom w:val="none" w:sz="0" w:space="0" w:color="auto"/>
        <w:right w:val="none" w:sz="0" w:space="0" w:color="auto"/>
      </w:divBdr>
    </w:div>
    <w:div w:id="28259977">
      <w:bodyDiv w:val="1"/>
      <w:marLeft w:val="0"/>
      <w:marRight w:val="0"/>
      <w:marTop w:val="0"/>
      <w:marBottom w:val="0"/>
      <w:divBdr>
        <w:top w:val="none" w:sz="0" w:space="0" w:color="auto"/>
        <w:left w:val="none" w:sz="0" w:space="0" w:color="auto"/>
        <w:bottom w:val="none" w:sz="0" w:space="0" w:color="auto"/>
        <w:right w:val="none" w:sz="0" w:space="0" w:color="auto"/>
      </w:divBdr>
    </w:div>
    <w:div w:id="28452747">
      <w:bodyDiv w:val="1"/>
      <w:marLeft w:val="0"/>
      <w:marRight w:val="0"/>
      <w:marTop w:val="0"/>
      <w:marBottom w:val="0"/>
      <w:divBdr>
        <w:top w:val="none" w:sz="0" w:space="0" w:color="auto"/>
        <w:left w:val="none" w:sz="0" w:space="0" w:color="auto"/>
        <w:bottom w:val="none" w:sz="0" w:space="0" w:color="auto"/>
        <w:right w:val="none" w:sz="0" w:space="0" w:color="auto"/>
      </w:divBdr>
    </w:div>
    <w:div w:id="28722283">
      <w:bodyDiv w:val="1"/>
      <w:marLeft w:val="0"/>
      <w:marRight w:val="0"/>
      <w:marTop w:val="0"/>
      <w:marBottom w:val="0"/>
      <w:divBdr>
        <w:top w:val="none" w:sz="0" w:space="0" w:color="auto"/>
        <w:left w:val="none" w:sz="0" w:space="0" w:color="auto"/>
        <w:bottom w:val="none" w:sz="0" w:space="0" w:color="auto"/>
        <w:right w:val="none" w:sz="0" w:space="0" w:color="auto"/>
      </w:divBdr>
    </w:div>
    <w:div w:id="28725922">
      <w:bodyDiv w:val="1"/>
      <w:marLeft w:val="0"/>
      <w:marRight w:val="0"/>
      <w:marTop w:val="0"/>
      <w:marBottom w:val="0"/>
      <w:divBdr>
        <w:top w:val="none" w:sz="0" w:space="0" w:color="auto"/>
        <w:left w:val="none" w:sz="0" w:space="0" w:color="auto"/>
        <w:bottom w:val="none" w:sz="0" w:space="0" w:color="auto"/>
        <w:right w:val="none" w:sz="0" w:space="0" w:color="auto"/>
      </w:divBdr>
    </w:div>
    <w:div w:id="28772696">
      <w:bodyDiv w:val="1"/>
      <w:marLeft w:val="0"/>
      <w:marRight w:val="0"/>
      <w:marTop w:val="0"/>
      <w:marBottom w:val="0"/>
      <w:divBdr>
        <w:top w:val="none" w:sz="0" w:space="0" w:color="auto"/>
        <w:left w:val="none" w:sz="0" w:space="0" w:color="auto"/>
        <w:bottom w:val="none" w:sz="0" w:space="0" w:color="auto"/>
        <w:right w:val="none" w:sz="0" w:space="0" w:color="auto"/>
      </w:divBdr>
    </w:div>
    <w:div w:id="28841155">
      <w:bodyDiv w:val="1"/>
      <w:marLeft w:val="0"/>
      <w:marRight w:val="0"/>
      <w:marTop w:val="0"/>
      <w:marBottom w:val="0"/>
      <w:divBdr>
        <w:top w:val="none" w:sz="0" w:space="0" w:color="auto"/>
        <w:left w:val="none" w:sz="0" w:space="0" w:color="auto"/>
        <w:bottom w:val="none" w:sz="0" w:space="0" w:color="auto"/>
        <w:right w:val="none" w:sz="0" w:space="0" w:color="auto"/>
      </w:divBdr>
    </w:div>
    <w:div w:id="28916284">
      <w:bodyDiv w:val="1"/>
      <w:marLeft w:val="0"/>
      <w:marRight w:val="0"/>
      <w:marTop w:val="0"/>
      <w:marBottom w:val="0"/>
      <w:divBdr>
        <w:top w:val="none" w:sz="0" w:space="0" w:color="auto"/>
        <w:left w:val="none" w:sz="0" w:space="0" w:color="auto"/>
        <w:bottom w:val="none" w:sz="0" w:space="0" w:color="auto"/>
        <w:right w:val="none" w:sz="0" w:space="0" w:color="auto"/>
      </w:divBdr>
    </w:div>
    <w:div w:id="28991688">
      <w:bodyDiv w:val="1"/>
      <w:marLeft w:val="0"/>
      <w:marRight w:val="0"/>
      <w:marTop w:val="0"/>
      <w:marBottom w:val="0"/>
      <w:divBdr>
        <w:top w:val="none" w:sz="0" w:space="0" w:color="auto"/>
        <w:left w:val="none" w:sz="0" w:space="0" w:color="auto"/>
        <w:bottom w:val="none" w:sz="0" w:space="0" w:color="auto"/>
        <w:right w:val="none" w:sz="0" w:space="0" w:color="auto"/>
      </w:divBdr>
    </w:div>
    <w:div w:id="29034939">
      <w:bodyDiv w:val="1"/>
      <w:marLeft w:val="0"/>
      <w:marRight w:val="0"/>
      <w:marTop w:val="0"/>
      <w:marBottom w:val="0"/>
      <w:divBdr>
        <w:top w:val="none" w:sz="0" w:space="0" w:color="auto"/>
        <w:left w:val="none" w:sz="0" w:space="0" w:color="auto"/>
        <w:bottom w:val="none" w:sz="0" w:space="0" w:color="auto"/>
        <w:right w:val="none" w:sz="0" w:space="0" w:color="auto"/>
      </w:divBdr>
    </w:div>
    <w:div w:id="29039826">
      <w:bodyDiv w:val="1"/>
      <w:marLeft w:val="0"/>
      <w:marRight w:val="0"/>
      <w:marTop w:val="0"/>
      <w:marBottom w:val="0"/>
      <w:divBdr>
        <w:top w:val="none" w:sz="0" w:space="0" w:color="auto"/>
        <w:left w:val="none" w:sz="0" w:space="0" w:color="auto"/>
        <w:bottom w:val="none" w:sz="0" w:space="0" w:color="auto"/>
        <w:right w:val="none" w:sz="0" w:space="0" w:color="auto"/>
      </w:divBdr>
    </w:div>
    <w:div w:id="29112663">
      <w:bodyDiv w:val="1"/>
      <w:marLeft w:val="0"/>
      <w:marRight w:val="0"/>
      <w:marTop w:val="0"/>
      <w:marBottom w:val="0"/>
      <w:divBdr>
        <w:top w:val="none" w:sz="0" w:space="0" w:color="auto"/>
        <w:left w:val="none" w:sz="0" w:space="0" w:color="auto"/>
        <w:bottom w:val="none" w:sz="0" w:space="0" w:color="auto"/>
        <w:right w:val="none" w:sz="0" w:space="0" w:color="auto"/>
      </w:divBdr>
    </w:div>
    <w:div w:id="29114288">
      <w:bodyDiv w:val="1"/>
      <w:marLeft w:val="0"/>
      <w:marRight w:val="0"/>
      <w:marTop w:val="0"/>
      <w:marBottom w:val="0"/>
      <w:divBdr>
        <w:top w:val="none" w:sz="0" w:space="0" w:color="auto"/>
        <w:left w:val="none" w:sz="0" w:space="0" w:color="auto"/>
        <w:bottom w:val="none" w:sz="0" w:space="0" w:color="auto"/>
        <w:right w:val="none" w:sz="0" w:space="0" w:color="auto"/>
      </w:divBdr>
    </w:div>
    <w:div w:id="29116823">
      <w:bodyDiv w:val="1"/>
      <w:marLeft w:val="0"/>
      <w:marRight w:val="0"/>
      <w:marTop w:val="0"/>
      <w:marBottom w:val="0"/>
      <w:divBdr>
        <w:top w:val="none" w:sz="0" w:space="0" w:color="auto"/>
        <w:left w:val="none" w:sz="0" w:space="0" w:color="auto"/>
        <w:bottom w:val="none" w:sz="0" w:space="0" w:color="auto"/>
        <w:right w:val="none" w:sz="0" w:space="0" w:color="auto"/>
      </w:divBdr>
    </w:div>
    <w:div w:id="29186826">
      <w:bodyDiv w:val="1"/>
      <w:marLeft w:val="0"/>
      <w:marRight w:val="0"/>
      <w:marTop w:val="0"/>
      <w:marBottom w:val="0"/>
      <w:divBdr>
        <w:top w:val="none" w:sz="0" w:space="0" w:color="auto"/>
        <w:left w:val="none" w:sz="0" w:space="0" w:color="auto"/>
        <w:bottom w:val="none" w:sz="0" w:space="0" w:color="auto"/>
        <w:right w:val="none" w:sz="0" w:space="0" w:color="auto"/>
      </w:divBdr>
    </w:div>
    <w:div w:id="29307116">
      <w:bodyDiv w:val="1"/>
      <w:marLeft w:val="0"/>
      <w:marRight w:val="0"/>
      <w:marTop w:val="0"/>
      <w:marBottom w:val="0"/>
      <w:divBdr>
        <w:top w:val="none" w:sz="0" w:space="0" w:color="auto"/>
        <w:left w:val="none" w:sz="0" w:space="0" w:color="auto"/>
        <w:bottom w:val="none" w:sz="0" w:space="0" w:color="auto"/>
        <w:right w:val="none" w:sz="0" w:space="0" w:color="auto"/>
      </w:divBdr>
    </w:div>
    <w:div w:id="29500942">
      <w:bodyDiv w:val="1"/>
      <w:marLeft w:val="0"/>
      <w:marRight w:val="0"/>
      <w:marTop w:val="0"/>
      <w:marBottom w:val="0"/>
      <w:divBdr>
        <w:top w:val="none" w:sz="0" w:space="0" w:color="auto"/>
        <w:left w:val="none" w:sz="0" w:space="0" w:color="auto"/>
        <w:bottom w:val="none" w:sz="0" w:space="0" w:color="auto"/>
        <w:right w:val="none" w:sz="0" w:space="0" w:color="auto"/>
      </w:divBdr>
    </w:div>
    <w:div w:id="29646616">
      <w:bodyDiv w:val="1"/>
      <w:marLeft w:val="0"/>
      <w:marRight w:val="0"/>
      <w:marTop w:val="0"/>
      <w:marBottom w:val="0"/>
      <w:divBdr>
        <w:top w:val="none" w:sz="0" w:space="0" w:color="auto"/>
        <w:left w:val="none" w:sz="0" w:space="0" w:color="auto"/>
        <w:bottom w:val="none" w:sz="0" w:space="0" w:color="auto"/>
        <w:right w:val="none" w:sz="0" w:space="0" w:color="auto"/>
      </w:divBdr>
    </w:div>
    <w:div w:id="29888770">
      <w:bodyDiv w:val="1"/>
      <w:marLeft w:val="0"/>
      <w:marRight w:val="0"/>
      <w:marTop w:val="0"/>
      <w:marBottom w:val="0"/>
      <w:divBdr>
        <w:top w:val="none" w:sz="0" w:space="0" w:color="auto"/>
        <w:left w:val="none" w:sz="0" w:space="0" w:color="auto"/>
        <w:bottom w:val="none" w:sz="0" w:space="0" w:color="auto"/>
        <w:right w:val="none" w:sz="0" w:space="0" w:color="auto"/>
      </w:divBdr>
    </w:div>
    <w:div w:id="29915910">
      <w:bodyDiv w:val="1"/>
      <w:marLeft w:val="0"/>
      <w:marRight w:val="0"/>
      <w:marTop w:val="0"/>
      <w:marBottom w:val="0"/>
      <w:divBdr>
        <w:top w:val="none" w:sz="0" w:space="0" w:color="auto"/>
        <w:left w:val="none" w:sz="0" w:space="0" w:color="auto"/>
        <w:bottom w:val="none" w:sz="0" w:space="0" w:color="auto"/>
        <w:right w:val="none" w:sz="0" w:space="0" w:color="auto"/>
      </w:divBdr>
    </w:div>
    <w:div w:id="29959937">
      <w:bodyDiv w:val="1"/>
      <w:marLeft w:val="0"/>
      <w:marRight w:val="0"/>
      <w:marTop w:val="0"/>
      <w:marBottom w:val="0"/>
      <w:divBdr>
        <w:top w:val="none" w:sz="0" w:space="0" w:color="auto"/>
        <w:left w:val="none" w:sz="0" w:space="0" w:color="auto"/>
        <w:bottom w:val="none" w:sz="0" w:space="0" w:color="auto"/>
        <w:right w:val="none" w:sz="0" w:space="0" w:color="auto"/>
      </w:divBdr>
    </w:div>
    <w:div w:id="30154907">
      <w:bodyDiv w:val="1"/>
      <w:marLeft w:val="0"/>
      <w:marRight w:val="0"/>
      <w:marTop w:val="0"/>
      <w:marBottom w:val="0"/>
      <w:divBdr>
        <w:top w:val="none" w:sz="0" w:space="0" w:color="auto"/>
        <w:left w:val="none" w:sz="0" w:space="0" w:color="auto"/>
        <w:bottom w:val="none" w:sz="0" w:space="0" w:color="auto"/>
        <w:right w:val="none" w:sz="0" w:space="0" w:color="auto"/>
      </w:divBdr>
    </w:div>
    <w:div w:id="30230461">
      <w:bodyDiv w:val="1"/>
      <w:marLeft w:val="0"/>
      <w:marRight w:val="0"/>
      <w:marTop w:val="0"/>
      <w:marBottom w:val="0"/>
      <w:divBdr>
        <w:top w:val="none" w:sz="0" w:space="0" w:color="auto"/>
        <w:left w:val="none" w:sz="0" w:space="0" w:color="auto"/>
        <w:bottom w:val="none" w:sz="0" w:space="0" w:color="auto"/>
        <w:right w:val="none" w:sz="0" w:space="0" w:color="auto"/>
      </w:divBdr>
    </w:div>
    <w:div w:id="30305147">
      <w:bodyDiv w:val="1"/>
      <w:marLeft w:val="0"/>
      <w:marRight w:val="0"/>
      <w:marTop w:val="0"/>
      <w:marBottom w:val="0"/>
      <w:divBdr>
        <w:top w:val="none" w:sz="0" w:space="0" w:color="auto"/>
        <w:left w:val="none" w:sz="0" w:space="0" w:color="auto"/>
        <w:bottom w:val="none" w:sz="0" w:space="0" w:color="auto"/>
        <w:right w:val="none" w:sz="0" w:space="0" w:color="auto"/>
      </w:divBdr>
    </w:div>
    <w:div w:id="30343721">
      <w:bodyDiv w:val="1"/>
      <w:marLeft w:val="0"/>
      <w:marRight w:val="0"/>
      <w:marTop w:val="0"/>
      <w:marBottom w:val="0"/>
      <w:divBdr>
        <w:top w:val="none" w:sz="0" w:space="0" w:color="auto"/>
        <w:left w:val="none" w:sz="0" w:space="0" w:color="auto"/>
        <w:bottom w:val="none" w:sz="0" w:space="0" w:color="auto"/>
        <w:right w:val="none" w:sz="0" w:space="0" w:color="auto"/>
      </w:divBdr>
    </w:div>
    <w:div w:id="30349329">
      <w:bodyDiv w:val="1"/>
      <w:marLeft w:val="0"/>
      <w:marRight w:val="0"/>
      <w:marTop w:val="0"/>
      <w:marBottom w:val="0"/>
      <w:divBdr>
        <w:top w:val="none" w:sz="0" w:space="0" w:color="auto"/>
        <w:left w:val="none" w:sz="0" w:space="0" w:color="auto"/>
        <w:bottom w:val="none" w:sz="0" w:space="0" w:color="auto"/>
        <w:right w:val="none" w:sz="0" w:space="0" w:color="auto"/>
      </w:divBdr>
    </w:div>
    <w:div w:id="30418353">
      <w:bodyDiv w:val="1"/>
      <w:marLeft w:val="0"/>
      <w:marRight w:val="0"/>
      <w:marTop w:val="0"/>
      <w:marBottom w:val="0"/>
      <w:divBdr>
        <w:top w:val="none" w:sz="0" w:space="0" w:color="auto"/>
        <w:left w:val="none" w:sz="0" w:space="0" w:color="auto"/>
        <w:bottom w:val="none" w:sz="0" w:space="0" w:color="auto"/>
        <w:right w:val="none" w:sz="0" w:space="0" w:color="auto"/>
      </w:divBdr>
    </w:div>
    <w:div w:id="30426464">
      <w:bodyDiv w:val="1"/>
      <w:marLeft w:val="0"/>
      <w:marRight w:val="0"/>
      <w:marTop w:val="0"/>
      <w:marBottom w:val="0"/>
      <w:divBdr>
        <w:top w:val="none" w:sz="0" w:space="0" w:color="auto"/>
        <w:left w:val="none" w:sz="0" w:space="0" w:color="auto"/>
        <w:bottom w:val="none" w:sz="0" w:space="0" w:color="auto"/>
        <w:right w:val="none" w:sz="0" w:space="0" w:color="auto"/>
      </w:divBdr>
    </w:div>
    <w:div w:id="30542079">
      <w:bodyDiv w:val="1"/>
      <w:marLeft w:val="0"/>
      <w:marRight w:val="0"/>
      <w:marTop w:val="0"/>
      <w:marBottom w:val="0"/>
      <w:divBdr>
        <w:top w:val="none" w:sz="0" w:space="0" w:color="auto"/>
        <w:left w:val="none" w:sz="0" w:space="0" w:color="auto"/>
        <w:bottom w:val="none" w:sz="0" w:space="0" w:color="auto"/>
        <w:right w:val="none" w:sz="0" w:space="0" w:color="auto"/>
      </w:divBdr>
    </w:div>
    <w:div w:id="30543091">
      <w:bodyDiv w:val="1"/>
      <w:marLeft w:val="0"/>
      <w:marRight w:val="0"/>
      <w:marTop w:val="0"/>
      <w:marBottom w:val="0"/>
      <w:divBdr>
        <w:top w:val="none" w:sz="0" w:space="0" w:color="auto"/>
        <w:left w:val="none" w:sz="0" w:space="0" w:color="auto"/>
        <w:bottom w:val="none" w:sz="0" w:space="0" w:color="auto"/>
        <w:right w:val="none" w:sz="0" w:space="0" w:color="auto"/>
      </w:divBdr>
    </w:div>
    <w:div w:id="30615417">
      <w:bodyDiv w:val="1"/>
      <w:marLeft w:val="0"/>
      <w:marRight w:val="0"/>
      <w:marTop w:val="0"/>
      <w:marBottom w:val="0"/>
      <w:divBdr>
        <w:top w:val="none" w:sz="0" w:space="0" w:color="auto"/>
        <w:left w:val="none" w:sz="0" w:space="0" w:color="auto"/>
        <w:bottom w:val="none" w:sz="0" w:space="0" w:color="auto"/>
        <w:right w:val="none" w:sz="0" w:space="0" w:color="auto"/>
      </w:divBdr>
    </w:div>
    <w:div w:id="30693994">
      <w:bodyDiv w:val="1"/>
      <w:marLeft w:val="0"/>
      <w:marRight w:val="0"/>
      <w:marTop w:val="0"/>
      <w:marBottom w:val="0"/>
      <w:divBdr>
        <w:top w:val="none" w:sz="0" w:space="0" w:color="auto"/>
        <w:left w:val="none" w:sz="0" w:space="0" w:color="auto"/>
        <w:bottom w:val="none" w:sz="0" w:space="0" w:color="auto"/>
        <w:right w:val="none" w:sz="0" w:space="0" w:color="auto"/>
      </w:divBdr>
    </w:div>
    <w:div w:id="30807090">
      <w:bodyDiv w:val="1"/>
      <w:marLeft w:val="0"/>
      <w:marRight w:val="0"/>
      <w:marTop w:val="0"/>
      <w:marBottom w:val="0"/>
      <w:divBdr>
        <w:top w:val="none" w:sz="0" w:space="0" w:color="auto"/>
        <w:left w:val="none" w:sz="0" w:space="0" w:color="auto"/>
        <w:bottom w:val="none" w:sz="0" w:space="0" w:color="auto"/>
        <w:right w:val="none" w:sz="0" w:space="0" w:color="auto"/>
      </w:divBdr>
    </w:div>
    <w:div w:id="30885779">
      <w:bodyDiv w:val="1"/>
      <w:marLeft w:val="0"/>
      <w:marRight w:val="0"/>
      <w:marTop w:val="0"/>
      <w:marBottom w:val="0"/>
      <w:divBdr>
        <w:top w:val="none" w:sz="0" w:space="0" w:color="auto"/>
        <w:left w:val="none" w:sz="0" w:space="0" w:color="auto"/>
        <w:bottom w:val="none" w:sz="0" w:space="0" w:color="auto"/>
        <w:right w:val="none" w:sz="0" w:space="0" w:color="auto"/>
      </w:divBdr>
    </w:div>
    <w:div w:id="30956647">
      <w:bodyDiv w:val="1"/>
      <w:marLeft w:val="0"/>
      <w:marRight w:val="0"/>
      <w:marTop w:val="0"/>
      <w:marBottom w:val="0"/>
      <w:divBdr>
        <w:top w:val="none" w:sz="0" w:space="0" w:color="auto"/>
        <w:left w:val="none" w:sz="0" w:space="0" w:color="auto"/>
        <w:bottom w:val="none" w:sz="0" w:space="0" w:color="auto"/>
        <w:right w:val="none" w:sz="0" w:space="0" w:color="auto"/>
      </w:divBdr>
    </w:div>
    <w:div w:id="30956803">
      <w:bodyDiv w:val="1"/>
      <w:marLeft w:val="0"/>
      <w:marRight w:val="0"/>
      <w:marTop w:val="0"/>
      <w:marBottom w:val="0"/>
      <w:divBdr>
        <w:top w:val="none" w:sz="0" w:space="0" w:color="auto"/>
        <w:left w:val="none" w:sz="0" w:space="0" w:color="auto"/>
        <w:bottom w:val="none" w:sz="0" w:space="0" w:color="auto"/>
        <w:right w:val="none" w:sz="0" w:space="0" w:color="auto"/>
      </w:divBdr>
    </w:div>
    <w:div w:id="30999741">
      <w:bodyDiv w:val="1"/>
      <w:marLeft w:val="0"/>
      <w:marRight w:val="0"/>
      <w:marTop w:val="0"/>
      <w:marBottom w:val="0"/>
      <w:divBdr>
        <w:top w:val="none" w:sz="0" w:space="0" w:color="auto"/>
        <w:left w:val="none" w:sz="0" w:space="0" w:color="auto"/>
        <w:bottom w:val="none" w:sz="0" w:space="0" w:color="auto"/>
        <w:right w:val="none" w:sz="0" w:space="0" w:color="auto"/>
      </w:divBdr>
    </w:div>
    <w:div w:id="31003696">
      <w:bodyDiv w:val="1"/>
      <w:marLeft w:val="0"/>
      <w:marRight w:val="0"/>
      <w:marTop w:val="0"/>
      <w:marBottom w:val="0"/>
      <w:divBdr>
        <w:top w:val="none" w:sz="0" w:space="0" w:color="auto"/>
        <w:left w:val="none" w:sz="0" w:space="0" w:color="auto"/>
        <w:bottom w:val="none" w:sz="0" w:space="0" w:color="auto"/>
        <w:right w:val="none" w:sz="0" w:space="0" w:color="auto"/>
      </w:divBdr>
    </w:div>
    <w:div w:id="31006327">
      <w:bodyDiv w:val="1"/>
      <w:marLeft w:val="0"/>
      <w:marRight w:val="0"/>
      <w:marTop w:val="0"/>
      <w:marBottom w:val="0"/>
      <w:divBdr>
        <w:top w:val="none" w:sz="0" w:space="0" w:color="auto"/>
        <w:left w:val="none" w:sz="0" w:space="0" w:color="auto"/>
        <w:bottom w:val="none" w:sz="0" w:space="0" w:color="auto"/>
        <w:right w:val="none" w:sz="0" w:space="0" w:color="auto"/>
      </w:divBdr>
    </w:div>
    <w:div w:id="31075286">
      <w:bodyDiv w:val="1"/>
      <w:marLeft w:val="0"/>
      <w:marRight w:val="0"/>
      <w:marTop w:val="0"/>
      <w:marBottom w:val="0"/>
      <w:divBdr>
        <w:top w:val="none" w:sz="0" w:space="0" w:color="auto"/>
        <w:left w:val="none" w:sz="0" w:space="0" w:color="auto"/>
        <w:bottom w:val="none" w:sz="0" w:space="0" w:color="auto"/>
        <w:right w:val="none" w:sz="0" w:space="0" w:color="auto"/>
      </w:divBdr>
    </w:div>
    <w:div w:id="31076648">
      <w:bodyDiv w:val="1"/>
      <w:marLeft w:val="0"/>
      <w:marRight w:val="0"/>
      <w:marTop w:val="0"/>
      <w:marBottom w:val="0"/>
      <w:divBdr>
        <w:top w:val="none" w:sz="0" w:space="0" w:color="auto"/>
        <w:left w:val="none" w:sz="0" w:space="0" w:color="auto"/>
        <w:bottom w:val="none" w:sz="0" w:space="0" w:color="auto"/>
        <w:right w:val="none" w:sz="0" w:space="0" w:color="auto"/>
      </w:divBdr>
    </w:div>
    <w:div w:id="31152460">
      <w:bodyDiv w:val="1"/>
      <w:marLeft w:val="0"/>
      <w:marRight w:val="0"/>
      <w:marTop w:val="0"/>
      <w:marBottom w:val="0"/>
      <w:divBdr>
        <w:top w:val="none" w:sz="0" w:space="0" w:color="auto"/>
        <w:left w:val="none" w:sz="0" w:space="0" w:color="auto"/>
        <w:bottom w:val="none" w:sz="0" w:space="0" w:color="auto"/>
        <w:right w:val="none" w:sz="0" w:space="0" w:color="auto"/>
      </w:divBdr>
    </w:div>
    <w:div w:id="31153090">
      <w:bodyDiv w:val="1"/>
      <w:marLeft w:val="0"/>
      <w:marRight w:val="0"/>
      <w:marTop w:val="0"/>
      <w:marBottom w:val="0"/>
      <w:divBdr>
        <w:top w:val="none" w:sz="0" w:space="0" w:color="auto"/>
        <w:left w:val="none" w:sz="0" w:space="0" w:color="auto"/>
        <w:bottom w:val="none" w:sz="0" w:space="0" w:color="auto"/>
        <w:right w:val="none" w:sz="0" w:space="0" w:color="auto"/>
      </w:divBdr>
    </w:div>
    <w:div w:id="31195195">
      <w:bodyDiv w:val="1"/>
      <w:marLeft w:val="0"/>
      <w:marRight w:val="0"/>
      <w:marTop w:val="0"/>
      <w:marBottom w:val="0"/>
      <w:divBdr>
        <w:top w:val="none" w:sz="0" w:space="0" w:color="auto"/>
        <w:left w:val="none" w:sz="0" w:space="0" w:color="auto"/>
        <w:bottom w:val="none" w:sz="0" w:space="0" w:color="auto"/>
        <w:right w:val="none" w:sz="0" w:space="0" w:color="auto"/>
      </w:divBdr>
    </w:div>
    <w:div w:id="31266778">
      <w:bodyDiv w:val="1"/>
      <w:marLeft w:val="0"/>
      <w:marRight w:val="0"/>
      <w:marTop w:val="0"/>
      <w:marBottom w:val="0"/>
      <w:divBdr>
        <w:top w:val="none" w:sz="0" w:space="0" w:color="auto"/>
        <w:left w:val="none" w:sz="0" w:space="0" w:color="auto"/>
        <w:bottom w:val="none" w:sz="0" w:space="0" w:color="auto"/>
        <w:right w:val="none" w:sz="0" w:space="0" w:color="auto"/>
      </w:divBdr>
    </w:div>
    <w:div w:id="31267100">
      <w:bodyDiv w:val="1"/>
      <w:marLeft w:val="0"/>
      <w:marRight w:val="0"/>
      <w:marTop w:val="0"/>
      <w:marBottom w:val="0"/>
      <w:divBdr>
        <w:top w:val="none" w:sz="0" w:space="0" w:color="auto"/>
        <w:left w:val="none" w:sz="0" w:space="0" w:color="auto"/>
        <w:bottom w:val="none" w:sz="0" w:space="0" w:color="auto"/>
        <w:right w:val="none" w:sz="0" w:space="0" w:color="auto"/>
      </w:divBdr>
    </w:div>
    <w:div w:id="31273598">
      <w:bodyDiv w:val="1"/>
      <w:marLeft w:val="0"/>
      <w:marRight w:val="0"/>
      <w:marTop w:val="0"/>
      <w:marBottom w:val="0"/>
      <w:divBdr>
        <w:top w:val="none" w:sz="0" w:space="0" w:color="auto"/>
        <w:left w:val="none" w:sz="0" w:space="0" w:color="auto"/>
        <w:bottom w:val="none" w:sz="0" w:space="0" w:color="auto"/>
        <w:right w:val="none" w:sz="0" w:space="0" w:color="auto"/>
      </w:divBdr>
    </w:div>
    <w:div w:id="31276252">
      <w:bodyDiv w:val="1"/>
      <w:marLeft w:val="0"/>
      <w:marRight w:val="0"/>
      <w:marTop w:val="0"/>
      <w:marBottom w:val="0"/>
      <w:divBdr>
        <w:top w:val="none" w:sz="0" w:space="0" w:color="auto"/>
        <w:left w:val="none" w:sz="0" w:space="0" w:color="auto"/>
        <w:bottom w:val="none" w:sz="0" w:space="0" w:color="auto"/>
        <w:right w:val="none" w:sz="0" w:space="0" w:color="auto"/>
      </w:divBdr>
    </w:div>
    <w:div w:id="31343491">
      <w:bodyDiv w:val="1"/>
      <w:marLeft w:val="0"/>
      <w:marRight w:val="0"/>
      <w:marTop w:val="0"/>
      <w:marBottom w:val="0"/>
      <w:divBdr>
        <w:top w:val="none" w:sz="0" w:space="0" w:color="auto"/>
        <w:left w:val="none" w:sz="0" w:space="0" w:color="auto"/>
        <w:bottom w:val="none" w:sz="0" w:space="0" w:color="auto"/>
        <w:right w:val="none" w:sz="0" w:space="0" w:color="auto"/>
      </w:divBdr>
    </w:div>
    <w:div w:id="31345300">
      <w:bodyDiv w:val="1"/>
      <w:marLeft w:val="0"/>
      <w:marRight w:val="0"/>
      <w:marTop w:val="0"/>
      <w:marBottom w:val="0"/>
      <w:divBdr>
        <w:top w:val="none" w:sz="0" w:space="0" w:color="auto"/>
        <w:left w:val="none" w:sz="0" w:space="0" w:color="auto"/>
        <w:bottom w:val="none" w:sz="0" w:space="0" w:color="auto"/>
        <w:right w:val="none" w:sz="0" w:space="0" w:color="auto"/>
      </w:divBdr>
    </w:div>
    <w:div w:id="31348773">
      <w:bodyDiv w:val="1"/>
      <w:marLeft w:val="0"/>
      <w:marRight w:val="0"/>
      <w:marTop w:val="0"/>
      <w:marBottom w:val="0"/>
      <w:divBdr>
        <w:top w:val="none" w:sz="0" w:space="0" w:color="auto"/>
        <w:left w:val="none" w:sz="0" w:space="0" w:color="auto"/>
        <w:bottom w:val="none" w:sz="0" w:space="0" w:color="auto"/>
        <w:right w:val="none" w:sz="0" w:space="0" w:color="auto"/>
      </w:divBdr>
    </w:div>
    <w:div w:id="31350868">
      <w:bodyDiv w:val="1"/>
      <w:marLeft w:val="0"/>
      <w:marRight w:val="0"/>
      <w:marTop w:val="0"/>
      <w:marBottom w:val="0"/>
      <w:divBdr>
        <w:top w:val="none" w:sz="0" w:space="0" w:color="auto"/>
        <w:left w:val="none" w:sz="0" w:space="0" w:color="auto"/>
        <w:bottom w:val="none" w:sz="0" w:space="0" w:color="auto"/>
        <w:right w:val="none" w:sz="0" w:space="0" w:color="auto"/>
      </w:divBdr>
    </w:div>
    <w:div w:id="31465981">
      <w:bodyDiv w:val="1"/>
      <w:marLeft w:val="0"/>
      <w:marRight w:val="0"/>
      <w:marTop w:val="0"/>
      <w:marBottom w:val="0"/>
      <w:divBdr>
        <w:top w:val="none" w:sz="0" w:space="0" w:color="auto"/>
        <w:left w:val="none" w:sz="0" w:space="0" w:color="auto"/>
        <w:bottom w:val="none" w:sz="0" w:space="0" w:color="auto"/>
        <w:right w:val="none" w:sz="0" w:space="0" w:color="auto"/>
      </w:divBdr>
    </w:div>
    <w:div w:id="31468598">
      <w:bodyDiv w:val="1"/>
      <w:marLeft w:val="0"/>
      <w:marRight w:val="0"/>
      <w:marTop w:val="0"/>
      <w:marBottom w:val="0"/>
      <w:divBdr>
        <w:top w:val="none" w:sz="0" w:space="0" w:color="auto"/>
        <w:left w:val="none" w:sz="0" w:space="0" w:color="auto"/>
        <w:bottom w:val="none" w:sz="0" w:space="0" w:color="auto"/>
        <w:right w:val="none" w:sz="0" w:space="0" w:color="auto"/>
      </w:divBdr>
    </w:div>
    <w:div w:id="31469528">
      <w:bodyDiv w:val="1"/>
      <w:marLeft w:val="0"/>
      <w:marRight w:val="0"/>
      <w:marTop w:val="0"/>
      <w:marBottom w:val="0"/>
      <w:divBdr>
        <w:top w:val="none" w:sz="0" w:space="0" w:color="auto"/>
        <w:left w:val="none" w:sz="0" w:space="0" w:color="auto"/>
        <w:bottom w:val="none" w:sz="0" w:space="0" w:color="auto"/>
        <w:right w:val="none" w:sz="0" w:space="0" w:color="auto"/>
      </w:divBdr>
    </w:div>
    <w:div w:id="31662048">
      <w:bodyDiv w:val="1"/>
      <w:marLeft w:val="0"/>
      <w:marRight w:val="0"/>
      <w:marTop w:val="0"/>
      <w:marBottom w:val="0"/>
      <w:divBdr>
        <w:top w:val="none" w:sz="0" w:space="0" w:color="auto"/>
        <w:left w:val="none" w:sz="0" w:space="0" w:color="auto"/>
        <w:bottom w:val="none" w:sz="0" w:space="0" w:color="auto"/>
        <w:right w:val="none" w:sz="0" w:space="0" w:color="auto"/>
      </w:divBdr>
    </w:div>
    <w:div w:id="31662658">
      <w:bodyDiv w:val="1"/>
      <w:marLeft w:val="0"/>
      <w:marRight w:val="0"/>
      <w:marTop w:val="0"/>
      <w:marBottom w:val="0"/>
      <w:divBdr>
        <w:top w:val="none" w:sz="0" w:space="0" w:color="auto"/>
        <w:left w:val="none" w:sz="0" w:space="0" w:color="auto"/>
        <w:bottom w:val="none" w:sz="0" w:space="0" w:color="auto"/>
        <w:right w:val="none" w:sz="0" w:space="0" w:color="auto"/>
      </w:divBdr>
    </w:div>
    <w:div w:id="31880985">
      <w:bodyDiv w:val="1"/>
      <w:marLeft w:val="0"/>
      <w:marRight w:val="0"/>
      <w:marTop w:val="0"/>
      <w:marBottom w:val="0"/>
      <w:divBdr>
        <w:top w:val="none" w:sz="0" w:space="0" w:color="auto"/>
        <w:left w:val="none" w:sz="0" w:space="0" w:color="auto"/>
        <w:bottom w:val="none" w:sz="0" w:space="0" w:color="auto"/>
        <w:right w:val="none" w:sz="0" w:space="0" w:color="auto"/>
      </w:divBdr>
    </w:div>
    <w:div w:id="31922592">
      <w:bodyDiv w:val="1"/>
      <w:marLeft w:val="0"/>
      <w:marRight w:val="0"/>
      <w:marTop w:val="0"/>
      <w:marBottom w:val="0"/>
      <w:divBdr>
        <w:top w:val="none" w:sz="0" w:space="0" w:color="auto"/>
        <w:left w:val="none" w:sz="0" w:space="0" w:color="auto"/>
        <w:bottom w:val="none" w:sz="0" w:space="0" w:color="auto"/>
        <w:right w:val="none" w:sz="0" w:space="0" w:color="auto"/>
      </w:divBdr>
    </w:div>
    <w:div w:id="32006253">
      <w:bodyDiv w:val="1"/>
      <w:marLeft w:val="0"/>
      <w:marRight w:val="0"/>
      <w:marTop w:val="0"/>
      <w:marBottom w:val="0"/>
      <w:divBdr>
        <w:top w:val="none" w:sz="0" w:space="0" w:color="auto"/>
        <w:left w:val="none" w:sz="0" w:space="0" w:color="auto"/>
        <w:bottom w:val="none" w:sz="0" w:space="0" w:color="auto"/>
        <w:right w:val="none" w:sz="0" w:space="0" w:color="auto"/>
      </w:divBdr>
    </w:div>
    <w:div w:id="32077070">
      <w:bodyDiv w:val="1"/>
      <w:marLeft w:val="0"/>
      <w:marRight w:val="0"/>
      <w:marTop w:val="0"/>
      <w:marBottom w:val="0"/>
      <w:divBdr>
        <w:top w:val="none" w:sz="0" w:space="0" w:color="auto"/>
        <w:left w:val="none" w:sz="0" w:space="0" w:color="auto"/>
        <w:bottom w:val="none" w:sz="0" w:space="0" w:color="auto"/>
        <w:right w:val="none" w:sz="0" w:space="0" w:color="auto"/>
      </w:divBdr>
    </w:div>
    <w:div w:id="32123862">
      <w:bodyDiv w:val="1"/>
      <w:marLeft w:val="0"/>
      <w:marRight w:val="0"/>
      <w:marTop w:val="0"/>
      <w:marBottom w:val="0"/>
      <w:divBdr>
        <w:top w:val="none" w:sz="0" w:space="0" w:color="auto"/>
        <w:left w:val="none" w:sz="0" w:space="0" w:color="auto"/>
        <w:bottom w:val="none" w:sz="0" w:space="0" w:color="auto"/>
        <w:right w:val="none" w:sz="0" w:space="0" w:color="auto"/>
      </w:divBdr>
    </w:div>
    <w:div w:id="32192307">
      <w:bodyDiv w:val="1"/>
      <w:marLeft w:val="0"/>
      <w:marRight w:val="0"/>
      <w:marTop w:val="0"/>
      <w:marBottom w:val="0"/>
      <w:divBdr>
        <w:top w:val="none" w:sz="0" w:space="0" w:color="auto"/>
        <w:left w:val="none" w:sz="0" w:space="0" w:color="auto"/>
        <w:bottom w:val="none" w:sz="0" w:space="0" w:color="auto"/>
        <w:right w:val="none" w:sz="0" w:space="0" w:color="auto"/>
      </w:divBdr>
    </w:div>
    <w:div w:id="32192548">
      <w:bodyDiv w:val="1"/>
      <w:marLeft w:val="0"/>
      <w:marRight w:val="0"/>
      <w:marTop w:val="0"/>
      <w:marBottom w:val="0"/>
      <w:divBdr>
        <w:top w:val="none" w:sz="0" w:space="0" w:color="auto"/>
        <w:left w:val="none" w:sz="0" w:space="0" w:color="auto"/>
        <w:bottom w:val="none" w:sz="0" w:space="0" w:color="auto"/>
        <w:right w:val="none" w:sz="0" w:space="0" w:color="auto"/>
      </w:divBdr>
    </w:div>
    <w:div w:id="32511480">
      <w:bodyDiv w:val="1"/>
      <w:marLeft w:val="0"/>
      <w:marRight w:val="0"/>
      <w:marTop w:val="0"/>
      <w:marBottom w:val="0"/>
      <w:divBdr>
        <w:top w:val="none" w:sz="0" w:space="0" w:color="auto"/>
        <w:left w:val="none" w:sz="0" w:space="0" w:color="auto"/>
        <w:bottom w:val="none" w:sz="0" w:space="0" w:color="auto"/>
        <w:right w:val="none" w:sz="0" w:space="0" w:color="auto"/>
      </w:divBdr>
    </w:div>
    <w:div w:id="32577114">
      <w:bodyDiv w:val="1"/>
      <w:marLeft w:val="0"/>
      <w:marRight w:val="0"/>
      <w:marTop w:val="0"/>
      <w:marBottom w:val="0"/>
      <w:divBdr>
        <w:top w:val="none" w:sz="0" w:space="0" w:color="auto"/>
        <w:left w:val="none" w:sz="0" w:space="0" w:color="auto"/>
        <w:bottom w:val="none" w:sz="0" w:space="0" w:color="auto"/>
        <w:right w:val="none" w:sz="0" w:space="0" w:color="auto"/>
      </w:divBdr>
    </w:div>
    <w:div w:id="32655615">
      <w:bodyDiv w:val="1"/>
      <w:marLeft w:val="0"/>
      <w:marRight w:val="0"/>
      <w:marTop w:val="0"/>
      <w:marBottom w:val="0"/>
      <w:divBdr>
        <w:top w:val="none" w:sz="0" w:space="0" w:color="auto"/>
        <w:left w:val="none" w:sz="0" w:space="0" w:color="auto"/>
        <w:bottom w:val="none" w:sz="0" w:space="0" w:color="auto"/>
        <w:right w:val="none" w:sz="0" w:space="0" w:color="auto"/>
      </w:divBdr>
    </w:div>
    <w:div w:id="32704660">
      <w:bodyDiv w:val="1"/>
      <w:marLeft w:val="0"/>
      <w:marRight w:val="0"/>
      <w:marTop w:val="0"/>
      <w:marBottom w:val="0"/>
      <w:divBdr>
        <w:top w:val="none" w:sz="0" w:space="0" w:color="auto"/>
        <w:left w:val="none" w:sz="0" w:space="0" w:color="auto"/>
        <w:bottom w:val="none" w:sz="0" w:space="0" w:color="auto"/>
        <w:right w:val="none" w:sz="0" w:space="0" w:color="auto"/>
      </w:divBdr>
    </w:div>
    <w:div w:id="32771151">
      <w:bodyDiv w:val="1"/>
      <w:marLeft w:val="0"/>
      <w:marRight w:val="0"/>
      <w:marTop w:val="0"/>
      <w:marBottom w:val="0"/>
      <w:divBdr>
        <w:top w:val="none" w:sz="0" w:space="0" w:color="auto"/>
        <w:left w:val="none" w:sz="0" w:space="0" w:color="auto"/>
        <w:bottom w:val="none" w:sz="0" w:space="0" w:color="auto"/>
        <w:right w:val="none" w:sz="0" w:space="0" w:color="auto"/>
      </w:divBdr>
    </w:div>
    <w:div w:id="32775216">
      <w:bodyDiv w:val="1"/>
      <w:marLeft w:val="0"/>
      <w:marRight w:val="0"/>
      <w:marTop w:val="0"/>
      <w:marBottom w:val="0"/>
      <w:divBdr>
        <w:top w:val="none" w:sz="0" w:space="0" w:color="auto"/>
        <w:left w:val="none" w:sz="0" w:space="0" w:color="auto"/>
        <w:bottom w:val="none" w:sz="0" w:space="0" w:color="auto"/>
        <w:right w:val="none" w:sz="0" w:space="0" w:color="auto"/>
      </w:divBdr>
    </w:div>
    <w:div w:id="32777832">
      <w:bodyDiv w:val="1"/>
      <w:marLeft w:val="0"/>
      <w:marRight w:val="0"/>
      <w:marTop w:val="0"/>
      <w:marBottom w:val="0"/>
      <w:divBdr>
        <w:top w:val="none" w:sz="0" w:space="0" w:color="auto"/>
        <w:left w:val="none" w:sz="0" w:space="0" w:color="auto"/>
        <w:bottom w:val="none" w:sz="0" w:space="0" w:color="auto"/>
        <w:right w:val="none" w:sz="0" w:space="0" w:color="auto"/>
      </w:divBdr>
    </w:div>
    <w:div w:id="32848414">
      <w:bodyDiv w:val="1"/>
      <w:marLeft w:val="0"/>
      <w:marRight w:val="0"/>
      <w:marTop w:val="0"/>
      <w:marBottom w:val="0"/>
      <w:divBdr>
        <w:top w:val="none" w:sz="0" w:space="0" w:color="auto"/>
        <w:left w:val="none" w:sz="0" w:space="0" w:color="auto"/>
        <w:bottom w:val="none" w:sz="0" w:space="0" w:color="auto"/>
        <w:right w:val="none" w:sz="0" w:space="0" w:color="auto"/>
      </w:divBdr>
    </w:div>
    <w:div w:id="32965874">
      <w:bodyDiv w:val="1"/>
      <w:marLeft w:val="0"/>
      <w:marRight w:val="0"/>
      <w:marTop w:val="0"/>
      <w:marBottom w:val="0"/>
      <w:divBdr>
        <w:top w:val="none" w:sz="0" w:space="0" w:color="auto"/>
        <w:left w:val="none" w:sz="0" w:space="0" w:color="auto"/>
        <w:bottom w:val="none" w:sz="0" w:space="0" w:color="auto"/>
        <w:right w:val="none" w:sz="0" w:space="0" w:color="auto"/>
      </w:divBdr>
    </w:div>
    <w:div w:id="33039491">
      <w:bodyDiv w:val="1"/>
      <w:marLeft w:val="0"/>
      <w:marRight w:val="0"/>
      <w:marTop w:val="0"/>
      <w:marBottom w:val="0"/>
      <w:divBdr>
        <w:top w:val="none" w:sz="0" w:space="0" w:color="auto"/>
        <w:left w:val="none" w:sz="0" w:space="0" w:color="auto"/>
        <w:bottom w:val="none" w:sz="0" w:space="0" w:color="auto"/>
        <w:right w:val="none" w:sz="0" w:space="0" w:color="auto"/>
      </w:divBdr>
    </w:div>
    <w:div w:id="33039634">
      <w:bodyDiv w:val="1"/>
      <w:marLeft w:val="0"/>
      <w:marRight w:val="0"/>
      <w:marTop w:val="0"/>
      <w:marBottom w:val="0"/>
      <w:divBdr>
        <w:top w:val="none" w:sz="0" w:space="0" w:color="auto"/>
        <w:left w:val="none" w:sz="0" w:space="0" w:color="auto"/>
        <w:bottom w:val="none" w:sz="0" w:space="0" w:color="auto"/>
        <w:right w:val="none" w:sz="0" w:space="0" w:color="auto"/>
      </w:divBdr>
    </w:div>
    <w:div w:id="33041945">
      <w:bodyDiv w:val="1"/>
      <w:marLeft w:val="0"/>
      <w:marRight w:val="0"/>
      <w:marTop w:val="0"/>
      <w:marBottom w:val="0"/>
      <w:divBdr>
        <w:top w:val="none" w:sz="0" w:space="0" w:color="auto"/>
        <w:left w:val="none" w:sz="0" w:space="0" w:color="auto"/>
        <w:bottom w:val="none" w:sz="0" w:space="0" w:color="auto"/>
        <w:right w:val="none" w:sz="0" w:space="0" w:color="auto"/>
      </w:divBdr>
    </w:div>
    <w:div w:id="33047661">
      <w:bodyDiv w:val="1"/>
      <w:marLeft w:val="0"/>
      <w:marRight w:val="0"/>
      <w:marTop w:val="0"/>
      <w:marBottom w:val="0"/>
      <w:divBdr>
        <w:top w:val="none" w:sz="0" w:space="0" w:color="auto"/>
        <w:left w:val="none" w:sz="0" w:space="0" w:color="auto"/>
        <w:bottom w:val="none" w:sz="0" w:space="0" w:color="auto"/>
        <w:right w:val="none" w:sz="0" w:space="0" w:color="auto"/>
      </w:divBdr>
    </w:div>
    <w:div w:id="33115077">
      <w:bodyDiv w:val="1"/>
      <w:marLeft w:val="0"/>
      <w:marRight w:val="0"/>
      <w:marTop w:val="0"/>
      <w:marBottom w:val="0"/>
      <w:divBdr>
        <w:top w:val="none" w:sz="0" w:space="0" w:color="auto"/>
        <w:left w:val="none" w:sz="0" w:space="0" w:color="auto"/>
        <w:bottom w:val="none" w:sz="0" w:space="0" w:color="auto"/>
        <w:right w:val="none" w:sz="0" w:space="0" w:color="auto"/>
      </w:divBdr>
    </w:div>
    <w:div w:id="33383113">
      <w:bodyDiv w:val="1"/>
      <w:marLeft w:val="0"/>
      <w:marRight w:val="0"/>
      <w:marTop w:val="0"/>
      <w:marBottom w:val="0"/>
      <w:divBdr>
        <w:top w:val="none" w:sz="0" w:space="0" w:color="auto"/>
        <w:left w:val="none" w:sz="0" w:space="0" w:color="auto"/>
        <w:bottom w:val="none" w:sz="0" w:space="0" w:color="auto"/>
        <w:right w:val="none" w:sz="0" w:space="0" w:color="auto"/>
      </w:divBdr>
    </w:div>
    <w:div w:id="33385010">
      <w:bodyDiv w:val="1"/>
      <w:marLeft w:val="0"/>
      <w:marRight w:val="0"/>
      <w:marTop w:val="0"/>
      <w:marBottom w:val="0"/>
      <w:divBdr>
        <w:top w:val="none" w:sz="0" w:space="0" w:color="auto"/>
        <w:left w:val="none" w:sz="0" w:space="0" w:color="auto"/>
        <w:bottom w:val="none" w:sz="0" w:space="0" w:color="auto"/>
        <w:right w:val="none" w:sz="0" w:space="0" w:color="auto"/>
      </w:divBdr>
    </w:div>
    <w:div w:id="33386697">
      <w:bodyDiv w:val="1"/>
      <w:marLeft w:val="0"/>
      <w:marRight w:val="0"/>
      <w:marTop w:val="0"/>
      <w:marBottom w:val="0"/>
      <w:divBdr>
        <w:top w:val="none" w:sz="0" w:space="0" w:color="auto"/>
        <w:left w:val="none" w:sz="0" w:space="0" w:color="auto"/>
        <w:bottom w:val="none" w:sz="0" w:space="0" w:color="auto"/>
        <w:right w:val="none" w:sz="0" w:space="0" w:color="auto"/>
      </w:divBdr>
    </w:div>
    <w:div w:id="33427947">
      <w:bodyDiv w:val="1"/>
      <w:marLeft w:val="0"/>
      <w:marRight w:val="0"/>
      <w:marTop w:val="0"/>
      <w:marBottom w:val="0"/>
      <w:divBdr>
        <w:top w:val="none" w:sz="0" w:space="0" w:color="auto"/>
        <w:left w:val="none" w:sz="0" w:space="0" w:color="auto"/>
        <w:bottom w:val="none" w:sz="0" w:space="0" w:color="auto"/>
        <w:right w:val="none" w:sz="0" w:space="0" w:color="auto"/>
      </w:divBdr>
    </w:div>
    <w:div w:id="33430213">
      <w:bodyDiv w:val="1"/>
      <w:marLeft w:val="0"/>
      <w:marRight w:val="0"/>
      <w:marTop w:val="0"/>
      <w:marBottom w:val="0"/>
      <w:divBdr>
        <w:top w:val="none" w:sz="0" w:space="0" w:color="auto"/>
        <w:left w:val="none" w:sz="0" w:space="0" w:color="auto"/>
        <w:bottom w:val="none" w:sz="0" w:space="0" w:color="auto"/>
        <w:right w:val="none" w:sz="0" w:space="0" w:color="auto"/>
      </w:divBdr>
    </w:div>
    <w:div w:id="33506848">
      <w:bodyDiv w:val="1"/>
      <w:marLeft w:val="0"/>
      <w:marRight w:val="0"/>
      <w:marTop w:val="0"/>
      <w:marBottom w:val="0"/>
      <w:divBdr>
        <w:top w:val="none" w:sz="0" w:space="0" w:color="auto"/>
        <w:left w:val="none" w:sz="0" w:space="0" w:color="auto"/>
        <w:bottom w:val="none" w:sz="0" w:space="0" w:color="auto"/>
        <w:right w:val="none" w:sz="0" w:space="0" w:color="auto"/>
      </w:divBdr>
    </w:div>
    <w:div w:id="33507601">
      <w:bodyDiv w:val="1"/>
      <w:marLeft w:val="0"/>
      <w:marRight w:val="0"/>
      <w:marTop w:val="0"/>
      <w:marBottom w:val="0"/>
      <w:divBdr>
        <w:top w:val="none" w:sz="0" w:space="0" w:color="auto"/>
        <w:left w:val="none" w:sz="0" w:space="0" w:color="auto"/>
        <w:bottom w:val="none" w:sz="0" w:space="0" w:color="auto"/>
        <w:right w:val="none" w:sz="0" w:space="0" w:color="auto"/>
      </w:divBdr>
    </w:div>
    <w:div w:id="33620814">
      <w:bodyDiv w:val="1"/>
      <w:marLeft w:val="0"/>
      <w:marRight w:val="0"/>
      <w:marTop w:val="0"/>
      <w:marBottom w:val="0"/>
      <w:divBdr>
        <w:top w:val="none" w:sz="0" w:space="0" w:color="auto"/>
        <w:left w:val="none" w:sz="0" w:space="0" w:color="auto"/>
        <w:bottom w:val="none" w:sz="0" w:space="0" w:color="auto"/>
        <w:right w:val="none" w:sz="0" w:space="0" w:color="auto"/>
      </w:divBdr>
    </w:div>
    <w:div w:id="33625274">
      <w:bodyDiv w:val="1"/>
      <w:marLeft w:val="0"/>
      <w:marRight w:val="0"/>
      <w:marTop w:val="0"/>
      <w:marBottom w:val="0"/>
      <w:divBdr>
        <w:top w:val="none" w:sz="0" w:space="0" w:color="auto"/>
        <w:left w:val="none" w:sz="0" w:space="0" w:color="auto"/>
        <w:bottom w:val="none" w:sz="0" w:space="0" w:color="auto"/>
        <w:right w:val="none" w:sz="0" w:space="0" w:color="auto"/>
      </w:divBdr>
    </w:div>
    <w:div w:id="33889330">
      <w:bodyDiv w:val="1"/>
      <w:marLeft w:val="0"/>
      <w:marRight w:val="0"/>
      <w:marTop w:val="0"/>
      <w:marBottom w:val="0"/>
      <w:divBdr>
        <w:top w:val="none" w:sz="0" w:space="0" w:color="auto"/>
        <w:left w:val="none" w:sz="0" w:space="0" w:color="auto"/>
        <w:bottom w:val="none" w:sz="0" w:space="0" w:color="auto"/>
        <w:right w:val="none" w:sz="0" w:space="0" w:color="auto"/>
      </w:divBdr>
    </w:div>
    <w:div w:id="33966559">
      <w:bodyDiv w:val="1"/>
      <w:marLeft w:val="0"/>
      <w:marRight w:val="0"/>
      <w:marTop w:val="0"/>
      <w:marBottom w:val="0"/>
      <w:divBdr>
        <w:top w:val="none" w:sz="0" w:space="0" w:color="auto"/>
        <w:left w:val="none" w:sz="0" w:space="0" w:color="auto"/>
        <w:bottom w:val="none" w:sz="0" w:space="0" w:color="auto"/>
        <w:right w:val="none" w:sz="0" w:space="0" w:color="auto"/>
      </w:divBdr>
    </w:div>
    <w:div w:id="34236937">
      <w:bodyDiv w:val="1"/>
      <w:marLeft w:val="0"/>
      <w:marRight w:val="0"/>
      <w:marTop w:val="0"/>
      <w:marBottom w:val="0"/>
      <w:divBdr>
        <w:top w:val="none" w:sz="0" w:space="0" w:color="auto"/>
        <w:left w:val="none" w:sz="0" w:space="0" w:color="auto"/>
        <w:bottom w:val="none" w:sz="0" w:space="0" w:color="auto"/>
        <w:right w:val="none" w:sz="0" w:space="0" w:color="auto"/>
      </w:divBdr>
    </w:div>
    <w:div w:id="34353915">
      <w:bodyDiv w:val="1"/>
      <w:marLeft w:val="0"/>
      <w:marRight w:val="0"/>
      <w:marTop w:val="0"/>
      <w:marBottom w:val="0"/>
      <w:divBdr>
        <w:top w:val="none" w:sz="0" w:space="0" w:color="auto"/>
        <w:left w:val="none" w:sz="0" w:space="0" w:color="auto"/>
        <w:bottom w:val="none" w:sz="0" w:space="0" w:color="auto"/>
        <w:right w:val="none" w:sz="0" w:space="0" w:color="auto"/>
      </w:divBdr>
    </w:div>
    <w:div w:id="34430161">
      <w:bodyDiv w:val="1"/>
      <w:marLeft w:val="0"/>
      <w:marRight w:val="0"/>
      <w:marTop w:val="0"/>
      <w:marBottom w:val="0"/>
      <w:divBdr>
        <w:top w:val="none" w:sz="0" w:space="0" w:color="auto"/>
        <w:left w:val="none" w:sz="0" w:space="0" w:color="auto"/>
        <w:bottom w:val="none" w:sz="0" w:space="0" w:color="auto"/>
        <w:right w:val="none" w:sz="0" w:space="0" w:color="auto"/>
      </w:divBdr>
    </w:div>
    <w:div w:id="34433283">
      <w:bodyDiv w:val="1"/>
      <w:marLeft w:val="0"/>
      <w:marRight w:val="0"/>
      <w:marTop w:val="0"/>
      <w:marBottom w:val="0"/>
      <w:divBdr>
        <w:top w:val="none" w:sz="0" w:space="0" w:color="auto"/>
        <w:left w:val="none" w:sz="0" w:space="0" w:color="auto"/>
        <w:bottom w:val="none" w:sz="0" w:space="0" w:color="auto"/>
        <w:right w:val="none" w:sz="0" w:space="0" w:color="auto"/>
      </w:divBdr>
    </w:div>
    <w:div w:id="34472797">
      <w:bodyDiv w:val="1"/>
      <w:marLeft w:val="0"/>
      <w:marRight w:val="0"/>
      <w:marTop w:val="0"/>
      <w:marBottom w:val="0"/>
      <w:divBdr>
        <w:top w:val="none" w:sz="0" w:space="0" w:color="auto"/>
        <w:left w:val="none" w:sz="0" w:space="0" w:color="auto"/>
        <w:bottom w:val="none" w:sz="0" w:space="0" w:color="auto"/>
        <w:right w:val="none" w:sz="0" w:space="0" w:color="auto"/>
      </w:divBdr>
    </w:div>
    <w:div w:id="34500966">
      <w:bodyDiv w:val="1"/>
      <w:marLeft w:val="0"/>
      <w:marRight w:val="0"/>
      <w:marTop w:val="0"/>
      <w:marBottom w:val="0"/>
      <w:divBdr>
        <w:top w:val="none" w:sz="0" w:space="0" w:color="auto"/>
        <w:left w:val="none" w:sz="0" w:space="0" w:color="auto"/>
        <w:bottom w:val="none" w:sz="0" w:space="0" w:color="auto"/>
        <w:right w:val="none" w:sz="0" w:space="0" w:color="auto"/>
      </w:divBdr>
    </w:div>
    <w:div w:id="34502842">
      <w:bodyDiv w:val="1"/>
      <w:marLeft w:val="0"/>
      <w:marRight w:val="0"/>
      <w:marTop w:val="0"/>
      <w:marBottom w:val="0"/>
      <w:divBdr>
        <w:top w:val="none" w:sz="0" w:space="0" w:color="auto"/>
        <w:left w:val="none" w:sz="0" w:space="0" w:color="auto"/>
        <w:bottom w:val="none" w:sz="0" w:space="0" w:color="auto"/>
        <w:right w:val="none" w:sz="0" w:space="0" w:color="auto"/>
      </w:divBdr>
    </w:div>
    <w:div w:id="34504139">
      <w:bodyDiv w:val="1"/>
      <w:marLeft w:val="0"/>
      <w:marRight w:val="0"/>
      <w:marTop w:val="0"/>
      <w:marBottom w:val="0"/>
      <w:divBdr>
        <w:top w:val="none" w:sz="0" w:space="0" w:color="auto"/>
        <w:left w:val="none" w:sz="0" w:space="0" w:color="auto"/>
        <w:bottom w:val="none" w:sz="0" w:space="0" w:color="auto"/>
        <w:right w:val="none" w:sz="0" w:space="0" w:color="auto"/>
      </w:divBdr>
    </w:div>
    <w:div w:id="34544207">
      <w:bodyDiv w:val="1"/>
      <w:marLeft w:val="0"/>
      <w:marRight w:val="0"/>
      <w:marTop w:val="0"/>
      <w:marBottom w:val="0"/>
      <w:divBdr>
        <w:top w:val="none" w:sz="0" w:space="0" w:color="auto"/>
        <w:left w:val="none" w:sz="0" w:space="0" w:color="auto"/>
        <w:bottom w:val="none" w:sz="0" w:space="0" w:color="auto"/>
        <w:right w:val="none" w:sz="0" w:space="0" w:color="auto"/>
      </w:divBdr>
    </w:div>
    <w:div w:id="34669484">
      <w:bodyDiv w:val="1"/>
      <w:marLeft w:val="0"/>
      <w:marRight w:val="0"/>
      <w:marTop w:val="0"/>
      <w:marBottom w:val="0"/>
      <w:divBdr>
        <w:top w:val="none" w:sz="0" w:space="0" w:color="auto"/>
        <w:left w:val="none" w:sz="0" w:space="0" w:color="auto"/>
        <w:bottom w:val="none" w:sz="0" w:space="0" w:color="auto"/>
        <w:right w:val="none" w:sz="0" w:space="0" w:color="auto"/>
      </w:divBdr>
    </w:div>
    <w:div w:id="34694622">
      <w:bodyDiv w:val="1"/>
      <w:marLeft w:val="0"/>
      <w:marRight w:val="0"/>
      <w:marTop w:val="0"/>
      <w:marBottom w:val="0"/>
      <w:divBdr>
        <w:top w:val="none" w:sz="0" w:space="0" w:color="auto"/>
        <w:left w:val="none" w:sz="0" w:space="0" w:color="auto"/>
        <w:bottom w:val="none" w:sz="0" w:space="0" w:color="auto"/>
        <w:right w:val="none" w:sz="0" w:space="0" w:color="auto"/>
      </w:divBdr>
    </w:div>
    <w:div w:id="34737148">
      <w:bodyDiv w:val="1"/>
      <w:marLeft w:val="0"/>
      <w:marRight w:val="0"/>
      <w:marTop w:val="0"/>
      <w:marBottom w:val="0"/>
      <w:divBdr>
        <w:top w:val="none" w:sz="0" w:space="0" w:color="auto"/>
        <w:left w:val="none" w:sz="0" w:space="0" w:color="auto"/>
        <w:bottom w:val="none" w:sz="0" w:space="0" w:color="auto"/>
        <w:right w:val="none" w:sz="0" w:space="0" w:color="auto"/>
      </w:divBdr>
    </w:div>
    <w:div w:id="34743071">
      <w:bodyDiv w:val="1"/>
      <w:marLeft w:val="0"/>
      <w:marRight w:val="0"/>
      <w:marTop w:val="0"/>
      <w:marBottom w:val="0"/>
      <w:divBdr>
        <w:top w:val="none" w:sz="0" w:space="0" w:color="auto"/>
        <w:left w:val="none" w:sz="0" w:space="0" w:color="auto"/>
        <w:bottom w:val="none" w:sz="0" w:space="0" w:color="auto"/>
        <w:right w:val="none" w:sz="0" w:space="0" w:color="auto"/>
      </w:divBdr>
    </w:div>
    <w:div w:id="34890075">
      <w:bodyDiv w:val="1"/>
      <w:marLeft w:val="0"/>
      <w:marRight w:val="0"/>
      <w:marTop w:val="0"/>
      <w:marBottom w:val="0"/>
      <w:divBdr>
        <w:top w:val="none" w:sz="0" w:space="0" w:color="auto"/>
        <w:left w:val="none" w:sz="0" w:space="0" w:color="auto"/>
        <w:bottom w:val="none" w:sz="0" w:space="0" w:color="auto"/>
        <w:right w:val="none" w:sz="0" w:space="0" w:color="auto"/>
      </w:divBdr>
    </w:div>
    <w:div w:id="34934411">
      <w:bodyDiv w:val="1"/>
      <w:marLeft w:val="0"/>
      <w:marRight w:val="0"/>
      <w:marTop w:val="0"/>
      <w:marBottom w:val="0"/>
      <w:divBdr>
        <w:top w:val="none" w:sz="0" w:space="0" w:color="auto"/>
        <w:left w:val="none" w:sz="0" w:space="0" w:color="auto"/>
        <w:bottom w:val="none" w:sz="0" w:space="0" w:color="auto"/>
        <w:right w:val="none" w:sz="0" w:space="0" w:color="auto"/>
      </w:divBdr>
    </w:div>
    <w:div w:id="34936577">
      <w:bodyDiv w:val="1"/>
      <w:marLeft w:val="0"/>
      <w:marRight w:val="0"/>
      <w:marTop w:val="0"/>
      <w:marBottom w:val="0"/>
      <w:divBdr>
        <w:top w:val="none" w:sz="0" w:space="0" w:color="auto"/>
        <w:left w:val="none" w:sz="0" w:space="0" w:color="auto"/>
        <w:bottom w:val="none" w:sz="0" w:space="0" w:color="auto"/>
        <w:right w:val="none" w:sz="0" w:space="0" w:color="auto"/>
      </w:divBdr>
    </w:div>
    <w:div w:id="35129198">
      <w:bodyDiv w:val="1"/>
      <w:marLeft w:val="0"/>
      <w:marRight w:val="0"/>
      <w:marTop w:val="0"/>
      <w:marBottom w:val="0"/>
      <w:divBdr>
        <w:top w:val="none" w:sz="0" w:space="0" w:color="auto"/>
        <w:left w:val="none" w:sz="0" w:space="0" w:color="auto"/>
        <w:bottom w:val="none" w:sz="0" w:space="0" w:color="auto"/>
        <w:right w:val="none" w:sz="0" w:space="0" w:color="auto"/>
      </w:divBdr>
    </w:div>
    <w:div w:id="35203370">
      <w:bodyDiv w:val="1"/>
      <w:marLeft w:val="0"/>
      <w:marRight w:val="0"/>
      <w:marTop w:val="0"/>
      <w:marBottom w:val="0"/>
      <w:divBdr>
        <w:top w:val="none" w:sz="0" w:space="0" w:color="auto"/>
        <w:left w:val="none" w:sz="0" w:space="0" w:color="auto"/>
        <w:bottom w:val="none" w:sz="0" w:space="0" w:color="auto"/>
        <w:right w:val="none" w:sz="0" w:space="0" w:color="auto"/>
      </w:divBdr>
    </w:div>
    <w:div w:id="35275589">
      <w:bodyDiv w:val="1"/>
      <w:marLeft w:val="0"/>
      <w:marRight w:val="0"/>
      <w:marTop w:val="0"/>
      <w:marBottom w:val="0"/>
      <w:divBdr>
        <w:top w:val="none" w:sz="0" w:space="0" w:color="auto"/>
        <w:left w:val="none" w:sz="0" w:space="0" w:color="auto"/>
        <w:bottom w:val="none" w:sz="0" w:space="0" w:color="auto"/>
        <w:right w:val="none" w:sz="0" w:space="0" w:color="auto"/>
      </w:divBdr>
    </w:div>
    <w:div w:id="35276694">
      <w:bodyDiv w:val="1"/>
      <w:marLeft w:val="0"/>
      <w:marRight w:val="0"/>
      <w:marTop w:val="0"/>
      <w:marBottom w:val="0"/>
      <w:divBdr>
        <w:top w:val="none" w:sz="0" w:space="0" w:color="auto"/>
        <w:left w:val="none" w:sz="0" w:space="0" w:color="auto"/>
        <w:bottom w:val="none" w:sz="0" w:space="0" w:color="auto"/>
        <w:right w:val="none" w:sz="0" w:space="0" w:color="auto"/>
      </w:divBdr>
    </w:div>
    <w:div w:id="35354842">
      <w:bodyDiv w:val="1"/>
      <w:marLeft w:val="0"/>
      <w:marRight w:val="0"/>
      <w:marTop w:val="0"/>
      <w:marBottom w:val="0"/>
      <w:divBdr>
        <w:top w:val="none" w:sz="0" w:space="0" w:color="auto"/>
        <w:left w:val="none" w:sz="0" w:space="0" w:color="auto"/>
        <w:bottom w:val="none" w:sz="0" w:space="0" w:color="auto"/>
        <w:right w:val="none" w:sz="0" w:space="0" w:color="auto"/>
      </w:divBdr>
    </w:div>
    <w:div w:id="35468265">
      <w:bodyDiv w:val="1"/>
      <w:marLeft w:val="0"/>
      <w:marRight w:val="0"/>
      <w:marTop w:val="0"/>
      <w:marBottom w:val="0"/>
      <w:divBdr>
        <w:top w:val="none" w:sz="0" w:space="0" w:color="auto"/>
        <w:left w:val="none" w:sz="0" w:space="0" w:color="auto"/>
        <w:bottom w:val="none" w:sz="0" w:space="0" w:color="auto"/>
        <w:right w:val="none" w:sz="0" w:space="0" w:color="auto"/>
      </w:divBdr>
    </w:div>
    <w:div w:id="35545182">
      <w:bodyDiv w:val="1"/>
      <w:marLeft w:val="0"/>
      <w:marRight w:val="0"/>
      <w:marTop w:val="0"/>
      <w:marBottom w:val="0"/>
      <w:divBdr>
        <w:top w:val="none" w:sz="0" w:space="0" w:color="auto"/>
        <w:left w:val="none" w:sz="0" w:space="0" w:color="auto"/>
        <w:bottom w:val="none" w:sz="0" w:space="0" w:color="auto"/>
        <w:right w:val="none" w:sz="0" w:space="0" w:color="auto"/>
      </w:divBdr>
    </w:div>
    <w:div w:id="35550215">
      <w:bodyDiv w:val="1"/>
      <w:marLeft w:val="0"/>
      <w:marRight w:val="0"/>
      <w:marTop w:val="0"/>
      <w:marBottom w:val="0"/>
      <w:divBdr>
        <w:top w:val="none" w:sz="0" w:space="0" w:color="auto"/>
        <w:left w:val="none" w:sz="0" w:space="0" w:color="auto"/>
        <w:bottom w:val="none" w:sz="0" w:space="0" w:color="auto"/>
        <w:right w:val="none" w:sz="0" w:space="0" w:color="auto"/>
      </w:divBdr>
    </w:div>
    <w:div w:id="35551215">
      <w:bodyDiv w:val="1"/>
      <w:marLeft w:val="0"/>
      <w:marRight w:val="0"/>
      <w:marTop w:val="0"/>
      <w:marBottom w:val="0"/>
      <w:divBdr>
        <w:top w:val="none" w:sz="0" w:space="0" w:color="auto"/>
        <w:left w:val="none" w:sz="0" w:space="0" w:color="auto"/>
        <w:bottom w:val="none" w:sz="0" w:space="0" w:color="auto"/>
        <w:right w:val="none" w:sz="0" w:space="0" w:color="auto"/>
      </w:divBdr>
    </w:div>
    <w:div w:id="35783013">
      <w:bodyDiv w:val="1"/>
      <w:marLeft w:val="0"/>
      <w:marRight w:val="0"/>
      <w:marTop w:val="0"/>
      <w:marBottom w:val="0"/>
      <w:divBdr>
        <w:top w:val="none" w:sz="0" w:space="0" w:color="auto"/>
        <w:left w:val="none" w:sz="0" w:space="0" w:color="auto"/>
        <w:bottom w:val="none" w:sz="0" w:space="0" w:color="auto"/>
        <w:right w:val="none" w:sz="0" w:space="0" w:color="auto"/>
      </w:divBdr>
    </w:div>
    <w:div w:id="35784243">
      <w:bodyDiv w:val="1"/>
      <w:marLeft w:val="0"/>
      <w:marRight w:val="0"/>
      <w:marTop w:val="0"/>
      <w:marBottom w:val="0"/>
      <w:divBdr>
        <w:top w:val="none" w:sz="0" w:space="0" w:color="auto"/>
        <w:left w:val="none" w:sz="0" w:space="0" w:color="auto"/>
        <w:bottom w:val="none" w:sz="0" w:space="0" w:color="auto"/>
        <w:right w:val="none" w:sz="0" w:space="0" w:color="auto"/>
      </w:divBdr>
    </w:div>
    <w:div w:id="35787641">
      <w:bodyDiv w:val="1"/>
      <w:marLeft w:val="0"/>
      <w:marRight w:val="0"/>
      <w:marTop w:val="0"/>
      <w:marBottom w:val="0"/>
      <w:divBdr>
        <w:top w:val="none" w:sz="0" w:space="0" w:color="auto"/>
        <w:left w:val="none" w:sz="0" w:space="0" w:color="auto"/>
        <w:bottom w:val="none" w:sz="0" w:space="0" w:color="auto"/>
        <w:right w:val="none" w:sz="0" w:space="0" w:color="auto"/>
      </w:divBdr>
    </w:div>
    <w:div w:id="35812341">
      <w:bodyDiv w:val="1"/>
      <w:marLeft w:val="0"/>
      <w:marRight w:val="0"/>
      <w:marTop w:val="0"/>
      <w:marBottom w:val="0"/>
      <w:divBdr>
        <w:top w:val="none" w:sz="0" w:space="0" w:color="auto"/>
        <w:left w:val="none" w:sz="0" w:space="0" w:color="auto"/>
        <w:bottom w:val="none" w:sz="0" w:space="0" w:color="auto"/>
        <w:right w:val="none" w:sz="0" w:space="0" w:color="auto"/>
      </w:divBdr>
    </w:div>
    <w:div w:id="35854708">
      <w:bodyDiv w:val="1"/>
      <w:marLeft w:val="0"/>
      <w:marRight w:val="0"/>
      <w:marTop w:val="0"/>
      <w:marBottom w:val="0"/>
      <w:divBdr>
        <w:top w:val="none" w:sz="0" w:space="0" w:color="auto"/>
        <w:left w:val="none" w:sz="0" w:space="0" w:color="auto"/>
        <w:bottom w:val="none" w:sz="0" w:space="0" w:color="auto"/>
        <w:right w:val="none" w:sz="0" w:space="0" w:color="auto"/>
      </w:divBdr>
    </w:div>
    <w:div w:id="36127103">
      <w:bodyDiv w:val="1"/>
      <w:marLeft w:val="0"/>
      <w:marRight w:val="0"/>
      <w:marTop w:val="0"/>
      <w:marBottom w:val="0"/>
      <w:divBdr>
        <w:top w:val="none" w:sz="0" w:space="0" w:color="auto"/>
        <w:left w:val="none" w:sz="0" w:space="0" w:color="auto"/>
        <w:bottom w:val="none" w:sz="0" w:space="0" w:color="auto"/>
        <w:right w:val="none" w:sz="0" w:space="0" w:color="auto"/>
      </w:divBdr>
    </w:div>
    <w:div w:id="36392227">
      <w:bodyDiv w:val="1"/>
      <w:marLeft w:val="0"/>
      <w:marRight w:val="0"/>
      <w:marTop w:val="0"/>
      <w:marBottom w:val="0"/>
      <w:divBdr>
        <w:top w:val="none" w:sz="0" w:space="0" w:color="auto"/>
        <w:left w:val="none" w:sz="0" w:space="0" w:color="auto"/>
        <w:bottom w:val="none" w:sz="0" w:space="0" w:color="auto"/>
        <w:right w:val="none" w:sz="0" w:space="0" w:color="auto"/>
      </w:divBdr>
    </w:div>
    <w:div w:id="36397371">
      <w:bodyDiv w:val="1"/>
      <w:marLeft w:val="0"/>
      <w:marRight w:val="0"/>
      <w:marTop w:val="0"/>
      <w:marBottom w:val="0"/>
      <w:divBdr>
        <w:top w:val="none" w:sz="0" w:space="0" w:color="auto"/>
        <w:left w:val="none" w:sz="0" w:space="0" w:color="auto"/>
        <w:bottom w:val="none" w:sz="0" w:space="0" w:color="auto"/>
        <w:right w:val="none" w:sz="0" w:space="0" w:color="auto"/>
      </w:divBdr>
    </w:div>
    <w:div w:id="36439019">
      <w:bodyDiv w:val="1"/>
      <w:marLeft w:val="0"/>
      <w:marRight w:val="0"/>
      <w:marTop w:val="0"/>
      <w:marBottom w:val="0"/>
      <w:divBdr>
        <w:top w:val="none" w:sz="0" w:space="0" w:color="auto"/>
        <w:left w:val="none" w:sz="0" w:space="0" w:color="auto"/>
        <w:bottom w:val="none" w:sz="0" w:space="0" w:color="auto"/>
        <w:right w:val="none" w:sz="0" w:space="0" w:color="auto"/>
      </w:divBdr>
    </w:div>
    <w:div w:id="36441018">
      <w:bodyDiv w:val="1"/>
      <w:marLeft w:val="0"/>
      <w:marRight w:val="0"/>
      <w:marTop w:val="0"/>
      <w:marBottom w:val="0"/>
      <w:divBdr>
        <w:top w:val="none" w:sz="0" w:space="0" w:color="auto"/>
        <w:left w:val="none" w:sz="0" w:space="0" w:color="auto"/>
        <w:bottom w:val="none" w:sz="0" w:space="0" w:color="auto"/>
        <w:right w:val="none" w:sz="0" w:space="0" w:color="auto"/>
      </w:divBdr>
    </w:div>
    <w:div w:id="36467471">
      <w:bodyDiv w:val="1"/>
      <w:marLeft w:val="0"/>
      <w:marRight w:val="0"/>
      <w:marTop w:val="0"/>
      <w:marBottom w:val="0"/>
      <w:divBdr>
        <w:top w:val="none" w:sz="0" w:space="0" w:color="auto"/>
        <w:left w:val="none" w:sz="0" w:space="0" w:color="auto"/>
        <w:bottom w:val="none" w:sz="0" w:space="0" w:color="auto"/>
        <w:right w:val="none" w:sz="0" w:space="0" w:color="auto"/>
      </w:divBdr>
    </w:div>
    <w:div w:id="36467678">
      <w:bodyDiv w:val="1"/>
      <w:marLeft w:val="0"/>
      <w:marRight w:val="0"/>
      <w:marTop w:val="0"/>
      <w:marBottom w:val="0"/>
      <w:divBdr>
        <w:top w:val="none" w:sz="0" w:space="0" w:color="auto"/>
        <w:left w:val="none" w:sz="0" w:space="0" w:color="auto"/>
        <w:bottom w:val="none" w:sz="0" w:space="0" w:color="auto"/>
        <w:right w:val="none" w:sz="0" w:space="0" w:color="auto"/>
      </w:divBdr>
    </w:div>
    <w:div w:id="36588718">
      <w:bodyDiv w:val="1"/>
      <w:marLeft w:val="0"/>
      <w:marRight w:val="0"/>
      <w:marTop w:val="0"/>
      <w:marBottom w:val="0"/>
      <w:divBdr>
        <w:top w:val="none" w:sz="0" w:space="0" w:color="auto"/>
        <w:left w:val="none" w:sz="0" w:space="0" w:color="auto"/>
        <w:bottom w:val="none" w:sz="0" w:space="0" w:color="auto"/>
        <w:right w:val="none" w:sz="0" w:space="0" w:color="auto"/>
      </w:divBdr>
    </w:div>
    <w:div w:id="36783169">
      <w:bodyDiv w:val="1"/>
      <w:marLeft w:val="0"/>
      <w:marRight w:val="0"/>
      <w:marTop w:val="0"/>
      <w:marBottom w:val="0"/>
      <w:divBdr>
        <w:top w:val="none" w:sz="0" w:space="0" w:color="auto"/>
        <w:left w:val="none" w:sz="0" w:space="0" w:color="auto"/>
        <w:bottom w:val="none" w:sz="0" w:space="0" w:color="auto"/>
        <w:right w:val="none" w:sz="0" w:space="0" w:color="auto"/>
      </w:divBdr>
    </w:div>
    <w:div w:id="36898857">
      <w:bodyDiv w:val="1"/>
      <w:marLeft w:val="0"/>
      <w:marRight w:val="0"/>
      <w:marTop w:val="0"/>
      <w:marBottom w:val="0"/>
      <w:divBdr>
        <w:top w:val="none" w:sz="0" w:space="0" w:color="auto"/>
        <w:left w:val="none" w:sz="0" w:space="0" w:color="auto"/>
        <w:bottom w:val="none" w:sz="0" w:space="0" w:color="auto"/>
        <w:right w:val="none" w:sz="0" w:space="0" w:color="auto"/>
      </w:divBdr>
    </w:div>
    <w:div w:id="36971016">
      <w:bodyDiv w:val="1"/>
      <w:marLeft w:val="0"/>
      <w:marRight w:val="0"/>
      <w:marTop w:val="0"/>
      <w:marBottom w:val="0"/>
      <w:divBdr>
        <w:top w:val="none" w:sz="0" w:space="0" w:color="auto"/>
        <w:left w:val="none" w:sz="0" w:space="0" w:color="auto"/>
        <w:bottom w:val="none" w:sz="0" w:space="0" w:color="auto"/>
        <w:right w:val="none" w:sz="0" w:space="0" w:color="auto"/>
      </w:divBdr>
    </w:div>
    <w:div w:id="36977183">
      <w:bodyDiv w:val="1"/>
      <w:marLeft w:val="0"/>
      <w:marRight w:val="0"/>
      <w:marTop w:val="0"/>
      <w:marBottom w:val="0"/>
      <w:divBdr>
        <w:top w:val="none" w:sz="0" w:space="0" w:color="auto"/>
        <w:left w:val="none" w:sz="0" w:space="0" w:color="auto"/>
        <w:bottom w:val="none" w:sz="0" w:space="0" w:color="auto"/>
        <w:right w:val="none" w:sz="0" w:space="0" w:color="auto"/>
      </w:divBdr>
    </w:div>
    <w:div w:id="37049257">
      <w:bodyDiv w:val="1"/>
      <w:marLeft w:val="0"/>
      <w:marRight w:val="0"/>
      <w:marTop w:val="0"/>
      <w:marBottom w:val="0"/>
      <w:divBdr>
        <w:top w:val="none" w:sz="0" w:space="0" w:color="auto"/>
        <w:left w:val="none" w:sz="0" w:space="0" w:color="auto"/>
        <w:bottom w:val="none" w:sz="0" w:space="0" w:color="auto"/>
        <w:right w:val="none" w:sz="0" w:space="0" w:color="auto"/>
      </w:divBdr>
    </w:div>
    <w:div w:id="37165205">
      <w:bodyDiv w:val="1"/>
      <w:marLeft w:val="0"/>
      <w:marRight w:val="0"/>
      <w:marTop w:val="0"/>
      <w:marBottom w:val="0"/>
      <w:divBdr>
        <w:top w:val="none" w:sz="0" w:space="0" w:color="auto"/>
        <w:left w:val="none" w:sz="0" w:space="0" w:color="auto"/>
        <w:bottom w:val="none" w:sz="0" w:space="0" w:color="auto"/>
        <w:right w:val="none" w:sz="0" w:space="0" w:color="auto"/>
      </w:divBdr>
    </w:div>
    <w:div w:id="37315433">
      <w:bodyDiv w:val="1"/>
      <w:marLeft w:val="0"/>
      <w:marRight w:val="0"/>
      <w:marTop w:val="0"/>
      <w:marBottom w:val="0"/>
      <w:divBdr>
        <w:top w:val="none" w:sz="0" w:space="0" w:color="auto"/>
        <w:left w:val="none" w:sz="0" w:space="0" w:color="auto"/>
        <w:bottom w:val="none" w:sz="0" w:space="0" w:color="auto"/>
        <w:right w:val="none" w:sz="0" w:space="0" w:color="auto"/>
      </w:divBdr>
    </w:div>
    <w:div w:id="37317107">
      <w:bodyDiv w:val="1"/>
      <w:marLeft w:val="0"/>
      <w:marRight w:val="0"/>
      <w:marTop w:val="0"/>
      <w:marBottom w:val="0"/>
      <w:divBdr>
        <w:top w:val="none" w:sz="0" w:space="0" w:color="auto"/>
        <w:left w:val="none" w:sz="0" w:space="0" w:color="auto"/>
        <w:bottom w:val="none" w:sz="0" w:space="0" w:color="auto"/>
        <w:right w:val="none" w:sz="0" w:space="0" w:color="auto"/>
      </w:divBdr>
    </w:div>
    <w:div w:id="37318166">
      <w:bodyDiv w:val="1"/>
      <w:marLeft w:val="0"/>
      <w:marRight w:val="0"/>
      <w:marTop w:val="0"/>
      <w:marBottom w:val="0"/>
      <w:divBdr>
        <w:top w:val="none" w:sz="0" w:space="0" w:color="auto"/>
        <w:left w:val="none" w:sz="0" w:space="0" w:color="auto"/>
        <w:bottom w:val="none" w:sz="0" w:space="0" w:color="auto"/>
        <w:right w:val="none" w:sz="0" w:space="0" w:color="auto"/>
      </w:divBdr>
    </w:div>
    <w:div w:id="37513926">
      <w:bodyDiv w:val="1"/>
      <w:marLeft w:val="0"/>
      <w:marRight w:val="0"/>
      <w:marTop w:val="0"/>
      <w:marBottom w:val="0"/>
      <w:divBdr>
        <w:top w:val="none" w:sz="0" w:space="0" w:color="auto"/>
        <w:left w:val="none" w:sz="0" w:space="0" w:color="auto"/>
        <w:bottom w:val="none" w:sz="0" w:space="0" w:color="auto"/>
        <w:right w:val="none" w:sz="0" w:space="0" w:color="auto"/>
      </w:divBdr>
    </w:div>
    <w:div w:id="37626029">
      <w:bodyDiv w:val="1"/>
      <w:marLeft w:val="0"/>
      <w:marRight w:val="0"/>
      <w:marTop w:val="0"/>
      <w:marBottom w:val="0"/>
      <w:divBdr>
        <w:top w:val="none" w:sz="0" w:space="0" w:color="auto"/>
        <w:left w:val="none" w:sz="0" w:space="0" w:color="auto"/>
        <w:bottom w:val="none" w:sz="0" w:space="0" w:color="auto"/>
        <w:right w:val="none" w:sz="0" w:space="0" w:color="auto"/>
      </w:divBdr>
    </w:div>
    <w:div w:id="37706617">
      <w:bodyDiv w:val="1"/>
      <w:marLeft w:val="0"/>
      <w:marRight w:val="0"/>
      <w:marTop w:val="0"/>
      <w:marBottom w:val="0"/>
      <w:divBdr>
        <w:top w:val="none" w:sz="0" w:space="0" w:color="auto"/>
        <w:left w:val="none" w:sz="0" w:space="0" w:color="auto"/>
        <w:bottom w:val="none" w:sz="0" w:space="0" w:color="auto"/>
        <w:right w:val="none" w:sz="0" w:space="0" w:color="auto"/>
      </w:divBdr>
    </w:div>
    <w:div w:id="37780390">
      <w:bodyDiv w:val="1"/>
      <w:marLeft w:val="0"/>
      <w:marRight w:val="0"/>
      <w:marTop w:val="0"/>
      <w:marBottom w:val="0"/>
      <w:divBdr>
        <w:top w:val="none" w:sz="0" w:space="0" w:color="auto"/>
        <w:left w:val="none" w:sz="0" w:space="0" w:color="auto"/>
        <w:bottom w:val="none" w:sz="0" w:space="0" w:color="auto"/>
        <w:right w:val="none" w:sz="0" w:space="0" w:color="auto"/>
      </w:divBdr>
    </w:div>
    <w:div w:id="37780570">
      <w:bodyDiv w:val="1"/>
      <w:marLeft w:val="0"/>
      <w:marRight w:val="0"/>
      <w:marTop w:val="0"/>
      <w:marBottom w:val="0"/>
      <w:divBdr>
        <w:top w:val="none" w:sz="0" w:space="0" w:color="auto"/>
        <w:left w:val="none" w:sz="0" w:space="0" w:color="auto"/>
        <w:bottom w:val="none" w:sz="0" w:space="0" w:color="auto"/>
        <w:right w:val="none" w:sz="0" w:space="0" w:color="auto"/>
      </w:divBdr>
    </w:div>
    <w:div w:id="37897857">
      <w:bodyDiv w:val="1"/>
      <w:marLeft w:val="0"/>
      <w:marRight w:val="0"/>
      <w:marTop w:val="0"/>
      <w:marBottom w:val="0"/>
      <w:divBdr>
        <w:top w:val="none" w:sz="0" w:space="0" w:color="auto"/>
        <w:left w:val="none" w:sz="0" w:space="0" w:color="auto"/>
        <w:bottom w:val="none" w:sz="0" w:space="0" w:color="auto"/>
        <w:right w:val="none" w:sz="0" w:space="0" w:color="auto"/>
      </w:divBdr>
    </w:div>
    <w:div w:id="37946246">
      <w:bodyDiv w:val="1"/>
      <w:marLeft w:val="0"/>
      <w:marRight w:val="0"/>
      <w:marTop w:val="0"/>
      <w:marBottom w:val="0"/>
      <w:divBdr>
        <w:top w:val="none" w:sz="0" w:space="0" w:color="auto"/>
        <w:left w:val="none" w:sz="0" w:space="0" w:color="auto"/>
        <w:bottom w:val="none" w:sz="0" w:space="0" w:color="auto"/>
        <w:right w:val="none" w:sz="0" w:space="0" w:color="auto"/>
      </w:divBdr>
    </w:div>
    <w:div w:id="37976570">
      <w:bodyDiv w:val="1"/>
      <w:marLeft w:val="0"/>
      <w:marRight w:val="0"/>
      <w:marTop w:val="0"/>
      <w:marBottom w:val="0"/>
      <w:divBdr>
        <w:top w:val="none" w:sz="0" w:space="0" w:color="auto"/>
        <w:left w:val="none" w:sz="0" w:space="0" w:color="auto"/>
        <w:bottom w:val="none" w:sz="0" w:space="0" w:color="auto"/>
        <w:right w:val="none" w:sz="0" w:space="0" w:color="auto"/>
      </w:divBdr>
    </w:div>
    <w:div w:id="37977443">
      <w:bodyDiv w:val="1"/>
      <w:marLeft w:val="0"/>
      <w:marRight w:val="0"/>
      <w:marTop w:val="0"/>
      <w:marBottom w:val="0"/>
      <w:divBdr>
        <w:top w:val="none" w:sz="0" w:space="0" w:color="auto"/>
        <w:left w:val="none" w:sz="0" w:space="0" w:color="auto"/>
        <w:bottom w:val="none" w:sz="0" w:space="0" w:color="auto"/>
        <w:right w:val="none" w:sz="0" w:space="0" w:color="auto"/>
      </w:divBdr>
    </w:div>
    <w:div w:id="38022270">
      <w:bodyDiv w:val="1"/>
      <w:marLeft w:val="0"/>
      <w:marRight w:val="0"/>
      <w:marTop w:val="0"/>
      <w:marBottom w:val="0"/>
      <w:divBdr>
        <w:top w:val="none" w:sz="0" w:space="0" w:color="auto"/>
        <w:left w:val="none" w:sz="0" w:space="0" w:color="auto"/>
        <w:bottom w:val="none" w:sz="0" w:space="0" w:color="auto"/>
        <w:right w:val="none" w:sz="0" w:space="0" w:color="auto"/>
      </w:divBdr>
    </w:div>
    <w:div w:id="38238822">
      <w:bodyDiv w:val="1"/>
      <w:marLeft w:val="0"/>
      <w:marRight w:val="0"/>
      <w:marTop w:val="0"/>
      <w:marBottom w:val="0"/>
      <w:divBdr>
        <w:top w:val="none" w:sz="0" w:space="0" w:color="auto"/>
        <w:left w:val="none" w:sz="0" w:space="0" w:color="auto"/>
        <w:bottom w:val="none" w:sz="0" w:space="0" w:color="auto"/>
        <w:right w:val="none" w:sz="0" w:space="0" w:color="auto"/>
      </w:divBdr>
    </w:div>
    <w:div w:id="38358507">
      <w:bodyDiv w:val="1"/>
      <w:marLeft w:val="0"/>
      <w:marRight w:val="0"/>
      <w:marTop w:val="0"/>
      <w:marBottom w:val="0"/>
      <w:divBdr>
        <w:top w:val="none" w:sz="0" w:space="0" w:color="auto"/>
        <w:left w:val="none" w:sz="0" w:space="0" w:color="auto"/>
        <w:bottom w:val="none" w:sz="0" w:space="0" w:color="auto"/>
        <w:right w:val="none" w:sz="0" w:space="0" w:color="auto"/>
      </w:divBdr>
    </w:div>
    <w:div w:id="38363041">
      <w:bodyDiv w:val="1"/>
      <w:marLeft w:val="0"/>
      <w:marRight w:val="0"/>
      <w:marTop w:val="0"/>
      <w:marBottom w:val="0"/>
      <w:divBdr>
        <w:top w:val="none" w:sz="0" w:space="0" w:color="auto"/>
        <w:left w:val="none" w:sz="0" w:space="0" w:color="auto"/>
        <w:bottom w:val="none" w:sz="0" w:space="0" w:color="auto"/>
        <w:right w:val="none" w:sz="0" w:space="0" w:color="auto"/>
      </w:divBdr>
    </w:div>
    <w:div w:id="38408131">
      <w:bodyDiv w:val="1"/>
      <w:marLeft w:val="0"/>
      <w:marRight w:val="0"/>
      <w:marTop w:val="0"/>
      <w:marBottom w:val="0"/>
      <w:divBdr>
        <w:top w:val="none" w:sz="0" w:space="0" w:color="auto"/>
        <w:left w:val="none" w:sz="0" w:space="0" w:color="auto"/>
        <w:bottom w:val="none" w:sz="0" w:space="0" w:color="auto"/>
        <w:right w:val="none" w:sz="0" w:space="0" w:color="auto"/>
      </w:divBdr>
    </w:div>
    <w:div w:id="38480360">
      <w:bodyDiv w:val="1"/>
      <w:marLeft w:val="0"/>
      <w:marRight w:val="0"/>
      <w:marTop w:val="0"/>
      <w:marBottom w:val="0"/>
      <w:divBdr>
        <w:top w:val="none" w:sz="0" w:space="0" w:color="auto"/>
        <w:left w:val="none" w:sz="0" w:space="0" w:color="auto"/>
        <w:bottom w:val="none" w:sz="0" w:space="0" w:color="auto"/>
        <w:right w:val="none" w:sz="0" w:space="0" w:color="auto"/>
      </w:divBdr>
    </w:div>
    <w:div w:id="38554858">
      <w:bodyDiv w:val="1"/>
      <w:marLeft w:val="0"/>
      <w:marRight w:val="0"/>
      <w:marTop w:val="0"/>
      <w:marBottom w:val="0"/>
      <w:divBdr>
        <w:top w:val="none" w:sz="0" w:space="0" w:color="auto"/>
        <w:left w:val="none" w:sz="0" w:space="0" w:color="auto"/>
        <w:bottom w:val="none" w:sz="0" w:space="0" w:color="auto"/>
        <w:right w:val="none" w:sz="0" w:space="0" w:color="auto"/>
      </w:divBdr>
    </w:div>
    <w:div w:id="38555676">
      <w:bodyDiv w:val="1"/>
      <w:marLeft w:val="0"/>
      <w:marRight w:val="0"/>
      <w:marTop w:val="0"/>
      <w:marBottom w:val="0"/>
      <w:divBdr>
        <w:top w:val="none" w:sz="0" w:space="0" w:color="auto"/>
        <w:left w:val="none" w:sz="0" w:space="0" w:color="auto"/>
        <w:bottom w:val="none" w:sz="0" w:space="0" w:color="auto"/>
        <w:right w:val="none" w:sz="0" w:space="0" w:color="auto"/>
      </w:divBdr>
    </w:div>
    <w:div w:id="38558016">
      <w:bodyDiv w:val="1"/>
      <w:marLeft w:val="0"/>
      <w:marRight w:val="0"/>
      <w:marTop w:val="0"/>
      <w:marBottom w:val="0"/>
      <w:divBdr>
        <w:top w:val="none" w:sz="0" w:space="0" w:color="auto"/>
        <w:left w:val="none" w:sz="0" w:space="0" w:color="auto"/>
        <w:bottom w:val="none" w:sz="0" w:space="0" w:color="auto"/>
        <w:right w:val="none" w:sz="0" w:space="0" w:color="auto"/>
      </w:divBdr>
    </w:div>
    <w:div w:id="38668630">
      <w:bodyDiv w:val="1"/>
      <w:marLeft w:val="0"/>
      <w:marRight w:val="0"/>
      <w:marTop w:val="0"/>
      <w:marBottom w:val="0"/>
      <w:divBdr>
        <w:top w:val="none" w:sz="0" w:space="0" w:color="auto"/>
        <w:left w:val="none" w:sz="0" w:space="0" w:color="auto"/>
        <w:bottom w:val="none" w:sz="0" w:space="0" w:color="auto"/>
        <w:right w:val="none" w:sz="0" w:space="0" w:color="auto"/>
      </w:divBdr>
    </w:div>
    <w:div w:id="38673000">
      <w:bodyDiv w:val="1"/>
      <w:marLeft w:val="0"/>
      <w:marRight w:val="0"/>
      <w:marTop w:val="0"/>
      <w:marBottom w:val="0"/>
      <w:divBdr>
        <w:top w:val="none" w:sz="0" w:space="0" w:color="auto"/>
        <w:left w:val="none" w:sz="0" w:space="0" w:color="auto"/>
        <w:bottom w:val="none" w:sz="0" w:space="0" w:color="auto"/>
        <w:right w:val="none" w:sz="0" w:space="0" w:color="auto"/>
      </w:divBdr>
    </w:div>
    <w:div w:id="38751240">
      <w:bodyDiv w:val="1"/>
      <w:marLeft w:val="0"/>
      <w:marRight w:val="0"/>
      <w:marTop w:val="0"/>
      <w:marBottom w:val="0"/>
      <w:divBdr>
        <w:top w:val="none" w:sz="0" w:space="0" w:color="auto"/>
        <w:left w:val="none" w:sz="0" w:space="0" w:color="auto"/>
        <w:bottom w:val="none" w:sz="0" w:space="0" w:color="auto"/>
        <w:right w:val="none" w:sz="0" w:space="0" w:color="auto"/>
      </w:divBdr>
    </w:div>
    <w:div w:id="38866050">
      <w:bodyDiv w:val="1"/>
      <w:marLeft w:val="0"/>
      <w:marRight w:val="0"/>
      <w:marTop w:val="0"/>
      <w:marBottom w:val="0"/>
      <w:divBdr>
        <w:top w:val="none" w:sz="0" w:space="0" w:color="auto"/>
        <w:left w:val="none" w:sz="0" w:space="0" w:color="auto"/>
        <w:bottom w:val="none" w:sz="0" w:space="0" w:color="auto"/>
        <w:right w:val="none" w:sz="0" w:space="0" w:color="auto"/>
      </w:divBdr>
    </w:div>
    <w:div w:id="39063113">
      <w:bodyDiv w:val="1"/>
      <w:marLeft w:val="0"/>
      <w:marRight w:val="0"/>
      <w:marTop w:val="0"/>
      <w:marBottom w:val="0"/>
      <w:divBdr>
        <w:top w:val="none" w:sz="0" w:space="0" w:color="auto"/>
        <w:left w:val="none" w:sz="0" w:space="0" w:color="auto"/>
        <w:bottom w:val="none" w:sz="0" w:space="0" w:color="auto"/>
        <w:right w:val="none" w:sz="0" w:space="0" w:color="auto"/>
      </w:divBdr>
    </w:div>
    <w:div w:id="39089344">
      <w:bodyDiv w:val="1"/>
      <w:marLeft w:val="0"/>
      <w:marRight w:val="0"/>
      <w:marTop w:val="0"/>
      <w:marBottom w:val="0"/>
      <w:divBdr>
        <w:top w:val="none" w:sz="0" w:space="0" w:color="auto"/>
        <w:left w:val="none" w:sz="0" w:space="0" w:color="auto"/>
        <w:bottom w:val="none" w:sz="0" w:space="0" w:color="auto"/>
        <w:right w:val="none" w:sz="0" w:space="0" w:color="auto"/>
      </w:divBdr>
    </w:div>
    <w:div w:id="39208883">
      <w:bodyDiv w:val="1"/>
      <w:marLeft w:val="0"/>
      <w:marRight w:val="0"/>
      <w:marTop w:val="0"/>
      <w:marBottom w:val="0"/>
      <w:divBdr>
        <w:top w:val="none" w:sz="0" w:space="0" w:color="auto"/>
        <w:left w:val="none" w:sz="0" w:space="0" w:color="auto"/>
        <w:bottom w:val="none" w:sz="0" w:space="0" w:color="auto"/>
        <w:right w:val="none" w:sz="0" w:space="0" w:color="auto"/>
      </w:divBdr>
    </w:div>
    <w:div w:id="39284993">
      <w:bodyDiv w:val="1"/>
      <w:marLeft w:val="0"/>
      <w:marRight w:val="0"/>
      <w:marTop w:val="0"/>
      <w:marBottom w:val="0"/>
      <w:divBdr>
        <w:top w:val="none" w:sz="0" w:space="0" w:color="auto"/>
        <w:left w:val="none" w:sz="0" w:space="0" w:color="auto"/>
        <w:bottom w:val="none" w:sz="0" w:space="0" w:color="auto"/>
        <w:right w:val="none" w:sz="0" w:space="0" w:color="auto"/>
      </w:divBdr>
    </w:div>
    <w:div w:id="39331072">
      <w:bodyDiv w:val="1"/>
      <w:marLeft w:val="0"/>
      <w:marRight w:val="0"/>
      <w:marTop w:val="0"/>
      <w:marBottom w:val="0"/>
      <w:divBdr>
        <w:top w:val="none" w:sz="0" w:space="0" w:color="auto"/>
        <w:left w:val="none" w:sz="0" w:space="0" w:color="auto"/>
        <w:bottom w:val="none" w:sz="0" w:space="0" w:color="auto"/>
        <w:right w:val="none" w:sz="0" w:space="0" w:color="auto"/>
      </w:divBdr>
    </w:div>
    <w:div w:id="39398911">
      <w:bodyDiv w:val="1"/>
      <w:marLeft w:val="0"/>
      <w:marRight w:val="0"/>
      <w:marTop w:val="0"/>
      <w:marBottom w:val="0"/>
      <w:divBdr>
        <w:top w:val="none" w:sz="0" w:space="0" w:color="auto"/>
        <w:left w:val="none" w:sz="0" w:space="0" w:color="auto"/>
        <w:bottom w:val="none" w:sz="0" w:space="0" w:color="auto"/>
        <w:right w:val="none" w:sz="0" w:space="0" w:color="auto"/>
      </w:divBdr>
    </w:div>
    <w:div w:id="39403077">
      <w:bodyDiv w:val="1"/>
      <w:marLeft w:val="0"/>
      <w:marRight w:val="0"/>
      <w:marTop w:val="0"/>
      <w:marBottom w:val="0"/>
      <w:divBdr>
        <w:top w:val="none" w:sz="0" w:space="0" w:color="auto"/>
        <w:left w:val="none" w:sz="0" w:space="0" w:color="auto"/>
        <w:bottom w:val="none" w:sz="0" w:space="0" w:color="auto"/>
        <w:right w:val="none" w:sz="0" w:space="0" w:color="auto"/>
      </w:divBdr>
    </w:div>
    <w:div w:id="39406895">
      <w:bodyDiv w:val="1"/>
      <w:marLeft w:val="0"/>
      <w:marRight w:val="0"/>
      <w:marTop w:val="0"/>
      <w:marBottom w:val="0"/>
      <w:divBdr>
        <w:top w:val="none" w:sz="0" w:space="0" w:color="auto"/>
        <w:left w:val="none" w:sz="0" w:space="0" w:color="auto"/>
        <w:bottom w:val="none" w:sz="0" w:space="0" w:color="auto"/>
        <w:right w:val="none" w:sz="0" w:space="0" w:color="auto"/>
      </w:divBdr>
    </w:div>
    <w:div w:id="39480395">
      <w:bodyDiv w:val="1"/>
      <w:marLeft w:val="0"/>
      <w:marRight w:val="0"/>
      <w:marTop w:val="0"/>
      <w:marBottom w:val="0"/>
      <w:divBdr>
        <w:top w:val="none" w:sz="0" w:space="0" w:color="auto"/>
        <w:left w:val="none" w:sz="0" w:space="0" w:color="auto"/>
        <w:bottom w:val="none" w:sz="0" w:space="0" w:color="auto"/>
        <w:right w:val="none" w:sz="0" w:space="0" w:color="auto"/>
      </w:divBdr>
    </w:div>
    <w:div w:id="39480533">
      <w:bodyDiv w:val="1"/>
      <w:marLeft w:val="0"/>
      <w:marRight w:val="0"/>
      <w:marTop w:val="0"/>
      <w:marBottom w:val="0"/>
      <w:divBdr>
        <w:top w:val="none" w:sz="0" w:space="0" w:color="auto"/>
        <w:left w:val="none" w:sz="0" w:space="0" w:color="auto"/>
        <w:bottom w:val="none" w:sz="0" w:space="0" w:color="auto"/>
        <w:right w:val="none" w:sz="0" w:space="0" w:color="auto"/>
      </w:divBdr>
    </w:div>
    <w:div w:id="39715472">
      <w:bodyDiv w:val="1"/>
      <w:marLeft w:val="0"/>
      <w:marRight w:val="0"/>
      <w:marTop w:val="0"/>
      <w:marBottom w:val="0"/>
      <w:divBdr>
        <w:top w:val="none" w:sz="0" w:space="0" w:color="auto"/>
        <w:left w:val="none" w:sz="0" w:space="0" w:color="auto"/>
        <w:bottom w:val="none" w:sz="0" w:space="0" w:color="auto"/>
        <w:right w:val="none" w:sz="0" w:space="0" w:color="auto"/>
      </w:divBdr>
    </w:div>
    <w:div w:id="39744077">
      <w:bodyDiv w:val="1"/>
      <w:marLeft w:val="0"/>
      <w:marRight w:val="0"/>
      <w:marTop w:val="0"/>
      <w:marBottom w:val="0"/>
      <w:divBdr>
        <w:top w:val="none" w:sz="0" w:space="0" w:color="auto"/>
        <w:left w:val="none" w:sz="0" w:space="0" w:color="auto"/>
        <w:bottom w:val="none" w:sz="0" w:space="0" w:color="auto"/>
        <w:right w:val="none" w:sz="0" w:space="0" w:color="auto"/>
      </w:divBdr>
    </w:div>
    <w:div w:id="39792308">
      <w:bodyDiv w:val="1"/>
      <w:marLeft w:val="0"/>
      <w:marRight w:val="0"/>
      <w:marTop w:val="0"/>
      <w:marBottom w:val="0"/>
      <w:divBdr>
        <w:top w:val="none" w:sz="0" w:space="0" w:color="auto"/>
        <w:left w:val="none" w:sz="0" w:space="0" w:color="auto"/>
        <w:bottom w:val="none" w:sz="0" w:space="0" w:color="auto"/>
        <w:right w:val="none" w:sz="0" w:space="0" w:color="auto"/>
      </w:divBdr>
    </w:div>
    <w:div w:id="39793606">
      <w:bodyDiv w:val="1"/>
      <w:marLeft w:val="0"/>
      <w:marRight w:val="0"/>
      <w:marTop w:val="0"/>
      <w:marBottom w:val="0"/>
      <w:divBdr>
        <w:top w:val="none" w:sz="0" w:space="0" w:color="auto"/>
        <w:left w:val="none" w:sz="0" w:space="0" w:color="auto"/>
        <w:bottom w:val="none" w:sz="0" w:space="0" w:color="auto"/>
        <w:right w:val="none" w:sz="0" w:space="0" w:color="auto"/>
      </w:divBdr>
    </w:div>
    <w:div w:id="39860656">
      <w:bodyDiv w:val="1"/>
      <w:marLeft w:val="0"/>
      <w:marRight w:val="0"/>
      <w:marTop w:val="0"/>
      <w:marBottom w:val="0"/>
      <w:divBdr>
        <w:top w:val="none" w:sz="0" w:space="0" w:color="auto"/>
        <w:left w:val="none" w:sz="0" w:space="0" w:color="auto"/>
        <w:bottom w:val="none" w:sz="0" w:space="0" w:color="auto"/>
        <w:right w:val="none" w:sz="0" w:space="0" w:color="auto"/>
      </w:divBdr>
    </w:div>
    <w:div w:id="39864846">
      <w:bodyDiv w:val="1"/>
      <w:marLeft w:val="0"/>
      <w:marRight w:val="0"/>
      <w:marTop w:val="0"/>
      <w:marBottom w:val="0"/>
      <w:divBdr>
        <w:top w:val="none" w:sz="0" w:space="0" w:color="auto"/>
        <w:left w:val="none" w:sz="0" w:space="0" w:color="auto"/>
        <w:bottom w:val="none" w:sz="0" w:space="0" w:color="auto"/>
        <w:right w:val="none" w:sz="0" w:space="0" w:color="auto"/>
      </w:divBdr>
    </w:div>
    <w:div w:id="39912529">
      <w:bodyDiv w:val="1"/>
      <w:marLeft w:val="0"/>
      <w:marRight w:val="0"/>
      <w:marTop w:val="0"/>
      <w:marBottom w:val="0"/>
      <w:divBdr>
        <w:top w:val="none" w:sz="0" w:space="0" w:color="auto"/>
        <w:left w:val="none" w:sz="0" w:space="0" w:color="auto"/>
        <w:bottom w:val="none" w:sz="0" w:space="0" w:color="auto"/>
        <w:right w:val="none" w:sz="0" w:space="0" w:color="auto"/>
      </w:divBdr>
    </w:div>
    <w:div w:id="40061518">
      <w:bodyDiv w:val="1"/>
      <w:marLeft w:val="0"/>
      <w:marRight w:val="0"/>
      <w:marTop w:val="0"/>
      <w:marBottom w:val="0"/>
      <w:divBdr>
        <w:top w:val="none" w:sz="0" w:space="0" w:color="auto"/>
        <w:left w:val="none" w:sz="0" w:space="0" w:color="auto"/>
        <w:bottom w:val="none" w:sz="0" w:space="0" w:color="auto"/>
        <w:right w:val="none" w:sz="0" w:space="0" w:color="auto"/>
      </w:divBdr>
    </w:div>
    <w:div w:id="40177259">
      <w:bodyDiv w:val="1"/>
      <w:marLeft w:val="0"/>
      <w:marRight w:val="0"/>
      <w:marTop w:val="0"/>
      <w:marBottom w:val="0"/>
      <w:divBdr>
        <w:top w:val="none" w:sz="0" w:space="0" w:color="auto"/>
        <w:left w:val="none" w:sz="0" w:space="0" w:color="auto"/>
        <w:bottom w:val="none" w:sz="0" w:space="0" w:color="auto"/>
        <w:right w:val="none" w:sz="0" w:space="0" w:color="auto"/>
      </w:divBdr>
    </w:div>
    <w:div w:id="40181063">
      <w:bodyDiv w:val="1"/>
      <w:marLeft w:val="0"/>
      <w:marRight w:val="0"/>
      <w:marTop w:val="0"/>
      <w:marBottom w:val="0"/>
      <w:divBdr>
        <w:top w:val="none" w:sz="0" w:space="0" w:color="auto"/>
        <w:left w:val="none" w:sz="0" w:space="0" w:color="auto"/>
        <w:bottom w:val="none" w:sz="0" w:space="0" w:color="auto"/>
        <w:right w:val="none" w:sz="0" w:space="0" w:color="auto"/>
      </w:divBdr>
    </w:div>
    <w:div w:id="40254278">
      <w:bodyDiv w:val="1"/>
      <w:marLeft w:val="0"/>
      <w:marRight w:val="0"/>
      <w:marTop w:val="0"/>
      <w:marBottom w:val="0"/>
      <w:divBdr>
        <w:top w:val="none" w:sz="0" w:space="0" w:color="auto"/>
        <w:left w:val="none" w:sz="0" w:space="0" w:color="auto"/>
        <w:bottom w:val="none" w:sz="0" w:space="0" w:color="auto"/>
        <w:right w:val="none" w:sz="0" w:space="0" w:color="auto"/>
      </w:divBdr>
    </w:div>
    <w:div w:id="40370694">
      <w:bodyDiv w:val="1"/>
      <w:marLeft w:val="0"/>
      <w:marRight w:val="0"/>
      <w:marTop w:val="0"/>
      <w:marBottom w:val="0"/>
      <w:divBdr>
        <w:top w:val="none" w:sz="0" w:space="0" w:color="auto"/>
        <w:left w:val="none" w:sz="0" w:space="0" w:color="auto"/>
        <w:bottom w:val="none" w:sz="0" w:space="0" w:color="auto"/>
        <w:right w:val="none" w:sz="0" w:space="0" w:color="auto"/>
      </w:divBdr>
    </w:div>
    <w:div w:id="40440757">
      <w:bodyDiv w:val="1"/>
      <w:marLeft w:val="0"/>
      <w:marRight w:val="0"/>
      <w:marTop w:val="0"/>
      <w:marBottom w:val="0"/>
      <w:divBdr>
        <w:top w:val="none" w:sz="0" w:space="0" w:color="auto"/>
        <w:left w:val="none" w:sz="0" w:space="0" w:color="auto"/>
        <w:bottom w:val="none" w:sz="0" w:space="0" w:color="auto"/>
        <w:right w:val="none" w:sz="0" w:space="0" w:color="auto"/>
      </w:divBdr>
    </w:div>
    <w:div w:id="40718556">
      <w:bodyDiv w:val="1"/>
      <w:marLeft w:val="0"/>
      <w:marRight w:val="0"/>
      <w:marTop w:val="0"/>
      <w:marBottom w:val="0"/>
      <w:divBdr>
        <w:top w:val="none" w:sz="0" w:space="0" w:color="auto"/>
        <w:left w:val="none" w:sz="0" w:space="0" w:color="auto"/>
        <w:bottom w:val="none" w:sz="0" w:space="0" w:color="auto"/>
        <w:right w:val="none" w:sz="0" w:space="0" w:color="auto"/>
      </w:divBdr>
    </w:div>
    <w:div w:id="40793437">
      <w:bodyDiv w:val="1"/>
      <w:marLeft w:val="0"/>
      <w:marRight w:val="0"/>
      <w:marTop w:val="0"/>
      <w:marBottom w:val="0"/>
      <w:divBdr>
        <w:top w:val="none" w:sz="0" w:space="0" w:color="auto"/>
        <w:left w:val="none" w:sz="0" w:space="0" w:color="auto"/>
        <w:bottom w:val="none" w:sz="0" w:space="0" w:color="auto"/>
        <w:right w:val="none" w:sz="0" w:space="0" w:color="auto"/>
      </w:divBdr>
    </w:div>
    <w:div w:id="40905751">
      <w:bodyDiv w:val="1"/>
      <w:marLeft w:val="0"/>
      <w:marRight w:val="0"/>
      <w:marTop w:val="0"/>
      <w:marBottom w:val="0"/>
      <w:divBdr>
        <w:top w:val="none" w:sz="0" w:space="0" w:color="auto"/>
        <w:left w:val="none" w:sz="0" w:space="0" w:color="auto"/>
        <w:bottom w:val="none" w:sz="0" w:space="0" w:color="auto"/>
        <w:right w:val="none" w:sz="0" w:space="0" w:color="auto"/>
      </w:divBdr>
    </w:div>
    <w:div w:id="40908395">
      <w:bodyDiv w:val="1"/>
      <w:marLeft w:val="0"/>
      <w:marRight w:val="0"/>
      <w:marTop w:val="0"/>
      <w:marBottom w:val="0"/>
      <w:divBdr>
        <w:top w:val="none" w:sz="0" w:space="0" w:color="auto"/>
        <w:left w:val="none" w:sz="0" w:space="0" w:color="auto"/>
        <w:bottom w:val="none" w:sz="0" w:space="0" w:color="auto"/>
        <w:right w:val="none" w:sz="0" w:space="0" w:color="auto"/>
      </w:divBdr>
    </w:div>
    <w:div w:id="40909065">
      <w:bodyDiv w:val="1"/>
      <w:marLeft w:val="0"/>
      <w:marRight w:val="0"/>
      <w:marTop w:val="0"/>
      <w:marBottom w:val="0"/>
      <w:divBdr>
        <w:top w:val="none" w:sz="0" w:space="0" w:color="auto"/>
        <w:left w:val="none" w:sz="0" w:space="0" w:color="auto"/>
        <w:bottom w:val="none" w:sz="0" w:space="0" w:color="auto"/>
        <w:right w:val="none" w:sz="0" w:space="0" w:color="auto"/>
      </w:divBdr>
    </w:div>
    <w:div w:id="40985681">
      <w:bodyDiv w:val="1"/>
      <w:marLeft w:val="0"/>
      <w:marRight w:val="0"/>
      <w:marTop w:val="0"/>
      <w:marBottom w:val="0"/>
      <w:divBdr>
        <w:top w:val="none" w:sz="0" w:space="0" w:color="auto"/>
        <w:left w:val="none" w:sz="0" w:space="0" w:color="auto"/>
        <w:bottom w:val="none" w:sz="0" w:space="0" w:color="auto"/>
        <w:right w:val="none" w:sz="0" w:space="0" w:color="auto"/>
      </w:divBdr>
    </w:div>
    <w:div w:id="41029664">
      <w:bodyDiv w:val="1"/>
      <w:marLeft w:val="0"/>
      <w:marRight w:val="0"/>
      <w:marTop w:val="0"/>
      <w:marBottom w:val="0"/>
      <w:divBdr>
        <w:top w:val="none" w:sz="0" w:space="0" w:color="auto"/>
        <w:left w:val="none" w:sz="0" w:space="0" w:color="auto"/>
        <w:bottom w:val="none" w:sz="0" w:space="0" w:color="auto"/>
        <w:right w:val="none" w:sz="0" w:space="0" w:color="auto"/>
      </w:divBdr>
    </w:div>
    <w:div w:id="41098208">
      <w:bodyDiv w:val="1"/>
      <w:marLeft w:val="0"/>
      <w:marRight w:val="0"/>
      <w:marTop w:val="0"/>
      <w:marBottom w:val="0"/>
      <w:divBdr>
        <w:top w:val="none" w:sz="0" w:space="0" w:color="auto"/>
        <w:left w:val="none" w:sz="0" w:space="0" w:color="auto"/>
        <w:bottom w:val="none" w:sz="0" w:space="0" w:color="auto"/>
        <w:right w:val="none" w:sz="0" w:space="0" w:color="auto"/>
      </w:divBdr>
    </w:div>
    <w:div w:id="41098756">
      <w:bodyDiv w:val="1"/>
      <w:marLeft w:val="0"/>
      <w:marRight w:val="0"/>
      <w:marTop w:val="0"/>
      <w:marBottom w:val="0"/>
      <w:divBdr>
        <w:top w:val="none" w:sz="0" w:space="0" w:color="auto"/>
        <w:left w:val="none" w:sz="0" w:space="0" w:color="auto"/>
        <w:bottom w:val="none" w:sz="0" w:space="0" w:color="auto"/>
        <w:right w:val="none" w:sz="0" w:space="0" w:color="auto"/>
      </w:divBdr>
    </w:div>
    <w:div w:id="41179737">
      <w:bodyDiv w:val="1"/>
      <w:marLeft w:val="0"/>
      <w:marRight w:val="0"/>
      <w:marTop w:val="0"/>
      <w:marBottom w:val="0"/>
      <w:divBdr>
        <w:top w:val="none" w:sz="0" w:space="0" w:color="auto"/>
        <w:left w:val="none" w:sz="0" w:space="0" w:color="auto"/>
        <w:bottom w:val="none" w:sz="0" w:space="0" w:color="auto"/>
        <w:right w:val="none" w:sz="0" w:space="0" w:color="auto"/>
      </w:divBdr>
    </w:div>
    <w:div w:id="41640891">
      <w:bodyDiv w:val="1"/>
      <w:marLeft w:val="0"/>
      <w:marRight w:val="0"/>
      <w:marTop w:val="0"/>
      <w:marBottom w:val="0"/>
      <w:divBdr>
        <w:top w:val="none" w:sz="0" w:space="0" w:color="auto"/>
        <w:left w:val="none" w:sz="0" w:space="0" w:color="auto"/>
        <w:bottom w:val="none" w:sz="0" w:space="0" w:color="auto"/>
        <w:right w:val="none" w:sz="0" w:space="0" w:color="auto"/>
      </w:divBdr>
    </w:div>
    <w:div w:id="41755277">
      <w:bodyDiv w:val="1"/>
      <w:marLeft w:val="0"/>
      <w:marRight w:val="0"/>
      <w:marTop w:val="0"/>
      <w:marBottom w:val="0"/>
      <w:divBdr>
        <w:top w:val="none" w:sz="0" w:space="0" w:color="auto"/>
        <w:left w:val="none" w:sz="0" w:space="0" w:color="auto"/>
        <w:bottom w:val="none" w:sz="0" w:space="0" w:color="auto"/>
        <w:right w:val="none" w:sz="0" w:space="0" w:color="auto"/>
      </w:divBdr>
    </w:div>
    <w:div w:id="41834275">
      <w:bodyDiv w:val="1"/>
      <w:marLeft w:val="0"/>
      <w:marRight w:val="0"/>
      <w:marTop w:val="0"/>
      <w:marBottom w:val="0"/>
      <w:divBdr>
        <w:top w:val="none" w:sz="0" w:space="0" w:color="auto"/>
        <w:left w:val="none" w:sz="0" w:space="0" w:color="auto"/>
        <w:bottom w:val="none" w:sz="0" w:space="0" w:color="auto"/>
        <w:right w:val="none" w:sz="0" w:space="0" w:color="auto"/>
      </w:divBdr>
    </w:div>
    <w:div w:id="41908081">
      <w:bodyDiv w:val="1"/>
      <w:marLeft w:val="0"/>
      <w:marRight w:val="0"/>
      <w:marTop w:val="0"/>
      <w:marBottom w:val="0"/>
      <w:divBdr>
        <w:top w:val="none" w:sz="0" w:space="0" w:color="auto"/>
        <w:left w:val="none" w:sz="0" w:space="0" w:color="auto"/>
        <w:bottom w:val="none" w:sz="0" w:space="0" w:color="auto"/>
        <w:right w:val="none" w:sz="0" w:space="0" w:color="auto"/>
      </w:divBdr>
    </w:div>
    <w:div w:id="41951793">
      <w:bodyDiv w:val="1"/>
      <w:marLeft w:val="0"/>
      <w:marRight w:val="0"/>
      <w:marTop w:val="0"/>
      <w:marBottom w:val="0"/>
      <w:divBdr>
        <w:top w:val="none" w:sz="0" w:space="0" w:color="auto"/>
        <w:left w:val="none" w:sz="0" w:space="0" w:color="auto"/>
        <w:bottom w:val="none" w:sz="0" w:space="0" w:color="auto"/>
        <w:right w:val="none" w:sz="0" w:space="0" w:color="auto"/>
      </w:divBdr>
    </w:div>
    <w:div w:id="42023360">
      <w:bodyDiv w:val="1"/>
      <w:marLeft w:val="0"/>
      <w:marRight w:val="0"/>
      <w:marTop w:val="0"/>
      <w:marBottom w:val="0"/>
      <w:divBdr>
        <w:top w:val="none" w:sz="0" w:space="0" w:color="auto"/>
        <w:left w:val="none" w:sz="0" w:space="0" w:color="auto"/>
        <w:bottom w:val="none" w:sz="0" w:space="0" w:color="auto"/>
        <w:right w:val="none" w:sz="0" w:space="0" w:color="auto"/>
      </w:divBdr>
    </w:div>
    <w:div w:id="42217612">
      <w:bodyDiv w:val="1"/>
      <w:marLeft w:val="0"/>
      <w:marRight w:val="0"/>
      <w:marTop w:val="0"/>
      <w:marBottom w:val="0"/>
      <w:divBdr>
        <w:top w:val="none" w:sz="0" w:space="0" w:color="auto"/>
        <w:left w:val="none" w:sz="0" w:space="0" w:color="auto"/>
        <w:bottom w:val="none" w:sz="0" w:space="0" w:color="auto"/>
        <w:right w:val="none" w:sz="0" w:space="0" w:color="auto"/>
      </w:divBdr>
    </w:div>
    <w:div w:id="42290188">
      <w:bodyDiv w:val="1"/>
      <w:marLeft w:val="0"/>
      <w:marRight w:val="0"/>
      <w:marTop w:val="0"/>
      <w:marBottom w:val="0"/>
      <w:divBdr>
        <w:top w:val="none" w:sz="0" w:space="0" w:color="auto"/>
        <w:left w:val="none" w:sz="0" w:space="0" w:color="auto"/>
        <w:bottom w:val="none" w:sz="0" w:space="0" w:color="auto"/>
        <w:right w:val="none" w:sz="0" w:space="0" w:color="auto"/>
      </w:divBdr>
    </w:div>
    <w:div w:id="42296936">
      <w:bodyDiv w:val="1"/>
      <w:marLeft w:val="0"/>
      <w:marRight w:val="0"/>
      <w:marTop w:val="0"/>
      <w:marBottom w:val="0"/>
      <w:divBdr>
        <w:top w:val="none" w:sz="0" w:space="0" w:color="auto"/>
        <w:left w:val="none" w:sz="0" w:space="0" w:color="auto"/>
        <w:bottom w:val="none" w:sz="0" w:space="0" w:color="auto"/>
        <w:right w:val="none" w:sz="0" w:space="0" w:color="auto"/>
      </w:divBdr>
    </w:div>
    <w:div w:id="42602184">
      <w:bodyDiv w:val="1"/>
      <w:marLeft w:val="0"/>
      <w:marRight w:val="0"/>
      <w:marTop w:val="0"/>
      <w:marBottom w:val="0"/>
      <w:divBdr>
        <w:top w:val="none" w:sz="0" w:space="0" w:color="auto"/>
        <w:left w:val="none" w:sz="0" w:space="0" w:color="auto"/>
        <w:bottom w:val="none" w:sz="0" w:space="0" w:color="auto"/>
        <w:right w:val="none" w:sz="0" w:space="0" w:color="auto"/>
      </w:divBdr>
    </w:div>
    <w:div w:id="42603945">
      <w:bodyDiv w:val="1"/>
      <w:marLeft w:val="0"/>
      <w:marRight w:val="0"/>
      <w:marTop w:val="0"/>
      <w:marBottom w:val="0"/>
      <w:divBdr>
        <w:top w:val="none" w:sz="0" w:space="0" w:color="auto"/>
        <w:left w:val="none" w:sz="0" w:space="0" w:color="auto"/>
        <w:bottom w:val="none" w:sz="0" w:space="0" w:color="auto"/>
        <w:right w:val="none" w:sz="0" w:space="0" w:color="auto"/>
      </w:divBdr>
    </w:div>
    <w:div w:id="42683642">
      <w:bodyDiv w:val="1"/>
      <w:marLeft w:val="0"/>
      <w:marRight w:val="0"/>
      <w:marTop w:val="0"/>
      <w:marBottom w:val="0"/>
      <w:divBdr>
        <w:top w:val="none" w:sz="0" w:space="0" w:color="auto"/>
        <w:left w:val="none" w:sz="0" w:space="0" w:color="auto"/>
        <w:bottom w:val="none" w:sz="0" w:space="0" w:color="auto"/>
        <w:right w:val="none" w:sz="0" w:space="0" w:color="auto"/>
      </w:divBdr>
    </w:div>
    <w:div w:id="42684394">
      <w:bodyDiv w:val="1"/>
      <w:marLeft w:val="0"/>
      <w:marRight w:val="0"/>
      <w:marTop w:val="0"/>
      <w:marBottom w:val="0"/>
      <w:divBdr>
        <w:top w:val="none" w:sz="0" w:space="0" w:color="auto"/>
        <w:left w:val="none" w:sz="0" w:space="0" w:color="auto"/>
        <w:bottom w:val="none" w:sz="0" w:space="0" w:color="auto"/>
        <w:right w:val="none" w:sz="0" w:space="0" w:color="auto"/>
      </w:divBdr>
    </w:div>
    <w:div w:id="42750276">
      <w:bodyDiv w:val="1"/>
      <w:marLeft w:val="0"/>
      <w:marRight w:val="0"/>
      <w:marTop w:val="0"/>
      <w:marBottom w:val="0"/>
      <w:divBdr>
        <w:top w:val="none" w:sz="0" w:space="0" w:color="auto"/>
        <w:left w:val="none" w:sz="0" w:space="0" w:color="auto"/>
        <w:bottom w:val="none" w:sz="0" w:space="0" w:color="auto"/>
        <w:right w:val="none" w:sz="0" w:space="0" w:color="auto"/>
      </w:divBdr>
    </w:div>
    <w:div w:id="42754373">
      <w:bodyDiv w:val="1"/>
      <w:marLeft w:val="0"/>
      <w:marRight w:val="0"/>
      <w:marTop w:val="0"/>
      <w:marBottom w:val="0"/>
      <w:divBdr>
        <w:top w:val="none" w:sz="0" w:space="0" w:color="auto"/>
        <w:left w:val="none" w:sz="0" w:space="0" w:color="auto"/>
        <w:bottom w:val="none" w:sz="0" w:space="0" w:color="auto"/>
        <w:right w:val="none" w:sz="0" w:space="0" w:color="auto"/>
      </w:divBdr>
    </w:div>
    <w:div w:id="42799406">
      <w:bodyDiv w:val="1"/>
      <w:marLeft w:val="0"/>
      <w:marRight w:val="0"/>
      <w:marTop w:val="0"/>
      <w:marBottom w:val="0"/>
      <w:divBdr>
        <w:top w:val="none" w:sz="0" w:space="0" w:color="auto"/>
        <w:left w:val="none" w:sz="0" w:space="0" w:color="auto"/>
        <w:bottom w:val="none" w:sz="0" w:space="0" w:color="auto"/>
        <w:right w:val="none" w:sz="0" w:space="0" w:color="auto"/>
      </w:divBdr>
    </w:div>
    <w:div w:id="42869982">
      <w:bodyDiv w:val="1"/>
      <w:marLeft w:val="0"/>
      <w:marRight w:val="0"/>
      <w:marTop w:val="0"/>
      <w:marBottom w:val="0"/>
      <w:divBdr>
        <w:top w:val="none" w:sz="0" w:space="0" w:color="auto"/>
        <w:left w:val="none" w:sz="0" w:space="0" w:color="auto"/>
        <w:bottom w:val="none" w:sz="0" w:space="0" w:color="auto"/>
        <w:right w:val="none" w:sz="0" w:space="0" w:color="auto"/>
      </w:divBdr>
    </w:div>
    <w:div w:id="42875150">
      <w:bodyDiv w:val="1"/>
      <w:marLeft w:val="0"/>
      <w:marRight w:val="0"/>
      <w:marTop w:val="0"/>
      <w:marBottom w:val="0"/>
      <w:divBdr>
        <w:top w:val="none" w:sz="0" w:space="0" w:color="auto"/>
        <w:left w:val="none" w:sz="0" w:space="0" w:color="auto"/>
        <w:bottom w:val="none" w:sz="0" w:space="0" w:color="auto"/>
        <w:right w:val="none" w:sz="0" w:space="0" w:color="auto"/>
      </w:divBdr>
    </w:div>
    <w:div w:id="42946473">
      <w:bodyDiv w:val="1"/>
      <w:marLeft w:val="0"/>
      <w:marRight w:val="0"/>
      <w:marTop w:val="0"/>
      <w:marBottom w:val="0"/>
      <w:divBdr>
        <w:top w:val="none" w:sz="0" w:space="0" w:color="auto"/>
        <w:left w:val="none" w:sz="0" w:space="0" w:color="auto"/>
        <w:bottom w:val="none" w:sz="0" w:space="0" w:color="auto"/>
        <w:right w:val="none" w:sz="0" w:space="0" w:color="auto"/>
      </w:divBdr>
    </w:div>
    <w:div w:id="43061671">
      <w:bodyDiv w:val="1"/>
      <w:marLeft w:val="0"/>
      <w:marRight w:val="0"/>
      <w:marTop w:val="0"/>
      <w:marBottom w:val="0"/>
      <w:divBdr>
        <w:top w:val="none" w:sz="0" w:space="0" w:color="auto"/>
        <w:left w:val="none" w:sz="0" w:space="0" w:color="auto"/>
        <w:bottom w:val="none" w:sz="0" w:space="0" w:color="auto"/>
        <w:right w:val="none" w:sz="0" w:space="0" w:color="auto"/>
      </w:divBdr>
    </w:div>
    <w:div w:id="43062529">
      <w:bodyDiv w:val="1"/>
      <w:marLeft w:val="0"/>
      <w:marRight w:val="0"/>
      <w:marTop w:val="0"/>
      <w:marBottom w:val="0"/>
      <w:divBdr>
        <w:top w:val="none" w:sz="0" w:space="0" w:color="auto"/>
        <w:left w:val="none" w:sz="0" w:space="0" w:color="auto"/>
        <w:bottom w:val="none" w:sz="0" w:space="0" w:color="auto"/>
        <w:right w:val="none" w:sz="0" w:space="0" w:color="auto"/>
      </w:divBdr>
    </w:div>
    <w:div w:id="43144971">
      <w:bodyDiv w:val="1"/>
      <w:marLeft w:val="0"/>
      <w:marRight w:val="0"/>
      <w:marTop w:val="0"/>
      <w:marBottom w:val="0"/>
      <w:divBdr>
        <w:top w:val="none" w:sz="0" w:space="0" w:color="auto"/>
        <w:left w:val="none" w:sz="0" w:space="0" w:color="auto"/>
        <w:bottom w:val="none" w:sz="0" w:space="0" w:color="auto"/>
        <w:right w:val="none" w:sz="0" w:space="0" w:color="auto"/>
      </w:divBdr>
    </w:div>
    <w:div w:id="43255316">
      <w:bodyDiv w:val="1"/>
      <w:marLeft w:val="0"/>
      <w:marRight w:val="0"/>
      <w:marTop w:val="0"/>
      <w:marBottom w:val="0"/>
      <w:divBdr>
        <w:top w:val="none" w:sz="0" w:space="0" w:color="auto"/>
        <w:left w:val="none" w:sz="0" w:space="0" w:color="auto"/>
        <w:bottom w:val="none" w:sz="0" w:space="0" w:color="auto"/>
        <w:right w:val="none" w:sz="0" w:space="0" w:color="auto"/>
      </w:divBdr>
    </w:div>
    <w:div w:id="43263472">
      <w:bodyDiv w:val="1"/>
      <w:marLeft w:val="0"/>
      <w:marRight w:val="0"/>
      <w:marTop w:val="0"/>
      <w:marBottom w:val="0"/>
      <w:divBdr>
        <w:top w:val="none" w:sz="0" w:space="0" w:color="auto"/>
        <w:left w:val="none" w:sz="0" w:space="0" w:color="auto"/>
        <w:bottom w:val="none" w:sz="0" w:space="0" w:color="auto"/>
        <w:right w:val="none" w:sz="0" w:space="0" w:color="auto"/>
      </w:divBdr>
    </w:div>
    <w:div w:id="43405504">
      <w:bodyDiv w:val="1"/>
      <w:marLeft w:val="0"/>
      <w:marRight w:val="0"/>
      <w:marTop w:val="0"/>
      <w:marBottom w:val="0"/>
      <w:divBdr>
        <w:top w:val="none" w:sz="0" w:space="0" w:color="auto"/>
        <w:left w:val="none" w:sz="0" w:space="0" w:color="auto"/>
        <w:bottom w:val="none" w:sz="0" w:space="0" w:color="auto"/>
        <w:right w:val="none" w:sz="0" w:space="0" w:color="auto"/>
      </w:divBdr>
    </w:div>
    <w:div w:id="43408480">
      <w:bodyDiv w:val="1"/>
      <w:marLeft w:val="0"/>
      <w:marRight w:val="0"/>
      <w:marTop w:val="0"/>
      <w:marBottom w:val="0"/>
      <w:divBdr>
        <w:top w:val="none" w:sz="0" w:space="0" w:color="auto"/>
        <w:left w:val="none" w:sz="0" w:space="0" w:color="auto"/>
        <w:bottom w:val="none" w:sz="0" w:space="0" w:color="auto"/>
        <w:right w:val="none" w:sz="0" w:space="0" w:color="auto"/>
      </w:divBdr>
    </w:div>
    <w:div w:id="43452379">
      <w:bodyDiv w:val="1"/>
      <w:marLeft w:val="0"/>
      <w:marRight w:val="0"/>
      <w:marTop w:val="0"/>
      <w:marBottom w:val="0"/>
      <w:divBdr>
        <w:top w:val="none" w:sz="0" w:space="0" w:color="auto"/>
        <w:left w:val="none" w:sz="0" w:space="0" w:color="auto"/>
        <w:bottom w:val="none" w:sz="0" w:space="0" w:color="auto"/>
        <w:right w:val="none" w:sz="0" w:space="0" w:color="auto"/>
      </w:divBdr>
    </w:div>
    <w:div w:id="43453511">
      <w:bodyDiv w:val="1"/>
      <w:marLeft w:val="0"/>
      <w:marRight w:val="0"/>
      <w:marTop w:val="0"/>
      <w:marBottom w:val="0"/>
      <w:divBdr>
        <w:top w:val="none" w:sz="0" w:space="0" w:color="auto"/>
        <w:left w:val="none" w:sz="0" w:space="0" w:color="auto"/>
        <w:bottom w:val="none" w:sz="0" w:space="0" w:color="auto"/>
        <w:right w:val="none" w:sz="0" w:space="0" w:color="auto"/>
      </w:divBdr>
    </w:div>
    <w:div w:id="43457558">
      <w:bodyDiv w:val="1"/>
      <w:marLeft w:val="0"/>
      <w:marRight w:val="0"/>
      <w:marTop w:val="0"/>
      <w:marBottom w:val="0"/>
      <w:divBdr>
        <w:top w:val="none" w:sz="0" w:space="0" w:color="auto"/>
        <w:left w:val="none" w:sz="0" w:space="0" w:color="auto"/>
        <w:bottom w:val="none" w:sz="0" w:space="0" w:color="auto"/>
        <w:right w:val="none" w:sz="0" w:space="0" w:color="auto"/>
      </w:divBdr>
    </w:div>
    <w:div w:id="43529305">
      <w:bodyDiv w:val="1"/>
      <w:marLeft w:val="0"/>
      <w:marRight w:val="0"/>
      <w:marTop w:val="0"/>
      <w:marBottom w:val="0"/>
      <w:divBdr>
        <w:top w:val="none" w:sz="0" w:space="0" w:color="auto"/>
        <w:left w:val="none" w:sz="0" w:space="0" w:color="auto"/>
        <w:bottom w:val="none" w:sz="0" w:space="0" w:color="auto"/>
        <w:right w:val="none" w:sz="0" w:space="0" w:color="auto"/>
      </w:divBdr>
    </w:div>
    <w:div w:id="43607904">
      <w:bodyDiv w:val="1"/>
      <w:marLeft w:val="0"/>
      <w:marRight w:val="0"/>
      <w:marTop w:val="0"/>
      <w:marBottom w:val="0"/>
      <w:divBdr>
        <w:top w:val="none" w:sz="0" w:space="0" w:color="auto"/>
        <w:left w:val="none" w:sz="0" w:space="0" w:color="auto"/>
        <w:bottom w:val="none" w:sz="0" w:space="0" w:color="auto"/>
        <w:right w:val="none" w:sz="0" w:space="0" w:color="auto"/>
      </w:divBdr>
    </w:div>
    <w:div w:id="43676347">
      <w:bodyDiv w:val="1"/>
      <w:marLeft w:val="0"/>
      <w:marRight w:val="0"/>
      <w:marTop w:val="0"/>
      <w:marBottom w:val="0"/>
      <w:divBdr>
        <w:top w:val="none" w:sz="0" w:space="0" w:color="auto"/>
        <w:left w:val="none" w:sz="0" w:space="0" w:color="auto"/>
        <w:bottom w:val="none" w:sz="0" w:space="0" w:color="auto"/>
        <w:right w:val="none" w:sz="0" w:space="0" w:color="auto"/>
      </w:divBdr>
    </w:div>
    <w:div w:id="43720174">
      <w:bodyDiv w:val="1"/>
      <w:marLeft w:val="0"/>
      <w:marRight w:val="0"/>
      <w:marTop w:val="0"/>
      <w:marBottom w:val="0"/>
      <w:divBdr>
        <w:top w:val="none" w:sz="0" w:space="0" w:color="auto"/>
        <w:left w:val="none" w:sz="0" w:space="0" w:color="auto"/>
        <w:bottom w:val="none" w:sz="0" w:space="0" w:color="auto"/>
        <w:right w:val="none" w:sz="0" w:space="0" w:color="auto"/>
      </w:divBdr>
    </w:div>
    <w:div w:id="43800291">
      <w:bodyDiv w:val="1"/>
      <w:marLeft w:val="0"/>
      <w:marRight w:val="0"/>
      <w:marTop w:val="0"/>
      <w:marBottom w:val="0"/>
      <w:divBdr>
        <w:top w:val="none" w:sz="0" w:space="0" w:color="auto"/>
        <w:left w:val="none" w:sz="0" w:space="0" w:color="auto"/>
        <w:bottom w:val="none" w:sz="0" w:space="0" w:color="auto"/>
        <w:right w:val="none" w:sz="0" w:space="0" w:color="auto"/>
      </w:divBdr>
    </w:div>
    <w:div w:id="44187716">
      <w:bodyDiv w:val="1"/>
      <w:marLeft w:val="0"/>
      <w:marRight w:val="0"/>
      <w:marTop w:val="0"/>
      <w:marBottom w:val="0"/>
      <w:divBdr>
        <w:top w:val="none" w:sz="0" w:space="0" w:color="auto"/>
        <w:left w:val="none" w:sz="0" w:space="0" w:color="auto"/>
        <w:bottom w:val="none" w:sz="0" w:space="0" w:color="auto"/>
        <w:right w:val="none" w:sz="0" w:space="0" w:color="auto"/>
      </w:divBdr>
    </w:div>
    <w:div w:id="44254084">
      <w:bodyDiv w:val="1"/>
      <w:marLeft w:val="0"/>
      <w:marRight w:val="0"/>
      <w:marTop w:val="0"/>
      <w:marBottom w:val="0"/>
      <w:divBdr>
        <w:top w:val="none" w:sz="0" w:space="0" w:color="auto"/>
        <w:left w:val="none" w:sz="0" w:space="0" w:color="auto"/>
        <w:bottom w:val="none" w:sz="0" w:space="0" w:color="auto"/>
        <w:right w:val="none" w:sz="0" w:space="0" w:color="auto"/>
      </w:divBdr>
    </w:div>
    <w:div w:id="44377576">
      <w:bodyDiv w:val="1"/>
      <w:marLeft w:val="0"/>
      <w:marRight w:val="0"/>
      <w:marTop w:val="0"/>
      <w:marBottom w:val="0"/>
      <w:divBdr>
        <w:top w:val="none" w:sz="0" w:space="0" w:color="auto"/>
        <w:left w:val="none" w:sz="0" w:space="0" w:color="auto"/>
        <w:bottom w:val="none" w:sz="0" w:space="0" w:color="auto"/>
        <w:right w:val="none" w:sz="0" w:space="0" w:color="auto"/>
      </w:divBdr>
    </w:div>
    <w:div w:id="44565233">
      <w:bodyDiv w:val="1"/>
      <w:marLeft w:val="0"/>
      <w:marRight w:val="0"/>
      <w:marTop w:val="0"/>
      <w:marBottom w:val="0"/>
      <w:divBdr>
        <w:top w:val="none" w:sz="0" w:space="0" w:color="auto"/>
        <w:left w:val="none" w:sz="0" w:space="0" w:color="auto"/>
        <w:bottom w:val="none" w:sz="0" w:space="0" w:color="auto"/>
        <w:right w:val="none" w:sz="0" w:space="0" w:color="auto"/>
      </w:divBdr>
    </w:div>
    <w:div w:id="44571748">
      <w:bodyDiv w:val="1"/>
      <w:marLeft w:val="0"/>
      <w:marRight w:val="0"/>
      <w:marTop w:val="0"/>
      <w:marBottom w:val="0"/>
      <w:divBdr>
        <w:top w:val="none" w:sz="0" w:space="0" w:color="auto"/>
        <w:left w:val="none" w:sz="0" w:space="0" w:color="auto"/>
        <w:bottom w:val="none" w:sz="0" w:space="0" w:color="auto"/>
        <w:right w:val="none" w:sz="0" w:space="0" w:color="auto"/>
      </w:divBdr>
    </w:div>
    <w:div w:id="44571813">
      <w:bodyDiv w:val="1"/>
      <w:marLeft w:val="0"/>
      <w:marRight w:val="0"/>
      <w:marTop w:val="0"/>
      <w:marBottom w:val="0"/>
      <w:divBdr>
        <w:top w:val="none" w:sz="0" w:space="0" w:color="auto"/>
        <w:left w:val="none" w:sz="0" w:space="0" w:color="auto"/>
        <w:bottom w:val="none" w:sz="0" w:space="0" w:color="auto"/>
        <w:right w:val="none" w:sz="0" w:space="0" w:color="auto"/>
      </w:divBdr>
    </w:div>
    <w:div w:id="44573445">
      <w:bodyDiv w:val="1"/>
      <w:marLeft w:val="0"/>
      <w:marRight w:val="0"/>
      <w:marTop w:val="0"/>
      <w:marBottom w:val="0"/>
      <w:divBdr>
        <w:top w:val="none" w:sz="0" w:space="0" w:color="auto"/>
        <w:left w:val="none" w:sz="0" w:space="0" w:color="auto"/>
        <w:bottom w:val="none" w:sz="0" w:space="0" w:color="auto"/>
        <w:right w:val="none" w:sz="0" w:space="0" w:color="auto"/>
      </w:divBdr>
    </w:div>
    <w:div w:id="44766803">
      <w:bodyDiv w:val="1"/>
      <w:marLeft w:val="0"/>
      <w:marRight w:val="0"/>
      <w:marTop w:val="0"/>
      <w:marBottom w:val="0"/>
      <w:divBdr>
        <w:top w:val="none" w:sz="0" w:space="0" w:color="auto"/>
        <w:left w:val="none" w:sz="0" w:space="0" w:color="auto"/>
        <w:bottom w:val="none" w:sz="0" w:space="0" w:color="auto"/>
        <w:right w:val="none" w:sz="0" w:space="0" w:color="auto"/>
      </w:divBdr>
    </w:div>
    <w:div w:id="44840109">
      <w:bodyDiv w:val="1"/>
      <w:marLeft w:val="0"/>
      <w:marRight w:val="0"/>
      <w:marTop w:val="0"/>
      <w:marBottom w:val="0"/>
      <w:divBdr>
        <w:top w:val="none" w:sz="0" w:space="0" w:color="auto"/>
        <w:left w:val="none" w:sz="0" w:space="0" w:color="auto"/>
        <w:bottom w:val="none" w:sz="0" w:space="0" w:color="auto"/>
        <w:right w:val="none" w:sz="0" w:space="0" w:color="auto"/>
      </w:divBdr>
    </w:div>
    <w:div w:id="45027758">
      <w:bodyDiv w:val="1"/>
      <w:marLeft w:val="0"/>
      <w:marRight w:val="0"/>
      <w:marTop w:val="0"/>
      <w:marBottom w:val="0"/>
      <w:divBdr>
        <w:top w:val="none" w:sz="0" w:space="0" w:color="auto"/>
        <w:left w:val="none" w:sz="0" w:space="0" w:color="auto"/>
        <w:bottom w:val="none" w:sz="0" w:space="0" w:color="auto"/>
        <w:right w:val="none" w:sz="0" w:space="0" w:color="auto"/>
      </w:divBdr>
    </w:div>
    <w:div w:id="45111928">
      <w:bodyDiv w:val="1"/>
      <w:marLeft w:val="0"/>
      <w:marRight w:val="0"/>
      <w:marTop w:val="0"/>
      <w:marBottom w:val="0"/>
      <w:divBdr>
        <w:top w:val="none" w:sz="0" w:space="0" w:color="auto"/>
        <w:left w:val="none" w:sz="0" w:space="0" w:color="auto"/>
        <w:bottom w:val="none" w:sz="0" w:space="0" w:color="auto"/>
        <w:right w:val="none" w:sz="0" w:space="0" w:color="auto"/>
      </w:divBdr>
    </w:div>
    <w:div w:id="45185033">
      <w:bodyDiv w:val="1"/>
      <w:marLeft w:val="0"/>
      <w:marRight w:val="0"/>
      <w:marTop w:val="0"/>
      <w:marBottom w:val="0"/>
      <w:divBdr>
        <w:top w:val="none" w:sz="0" w:space="0" w:color="auto"/>
        <w:left w:val="none" w:sz="0" w:space="0" w:color="auto"/>
        <w:bottom w:val="none" w:sz="0" w:space="0" w:color="auto"/>
        <w:right w:val="none" w:sz="0" w:space="0" w:color="auto"/>
      </w:divBdr>
    </w:div>
    <w:div w:id="45227153">
      <w:bodyDiv w:val="1"/>
      <w:marLeft w:val="0"/>
      <w:marRight w:val="0"/>
      <w:marTop w:val="0"/>
      <w:marBottom w:val="0"/>
      <w:divBdr>
        <w:top w:val="none" w:sz="0" w:space="0" w:color="auto"/>
        <w:left w:val="none" w:sz="0" w:space="0" w:color="auto"/>
        <w:bottom w:val="none" w:sz="0" w:space="0" w:color="auto"/>
        <w:right w:val="none" w:sz="0" w:space="0" w:color="auto"/>
      </w:divBdr>
    </w:div>
    <w:div w:id="45373799">
      <w:bodyDiv w:val="1"/>
      <w:marLeft w:val="0"/>
      <w:marRight w:val="0"/>
      <w:marTop w:val="0"/>
      <w:marBottom w:val="0"/>
      <w:divBdr>
        <w:top w:val="none" w:sz="0" w:space="0" w:color="auto"/>
        <w:left w:val="none" w:sz="0" w:space="0" w:color="auto"/>
        <w:bottom w:val="none" w:sz="0" w:space="0" w:color="auto"/>
        <w:right w:val="none" w:sz="0" w:space="0" w:color="auto"/>
      </w:divBdr>
    </w:div>
    <w:div w:id="45421822">
      <w:bodyDiv w:val="1"/>
      <w:marLeft w:val="0"/>
      <w:marRight w:val="0"/>
      <w:marTop w:val="0"/>
      <w:marBottom w:val="0"/>
      <w:divBdr>
        <w:top w:val="none" w:sz="0" w:space="0" w:color="auto"/>
        <w:left w:val="none" w:sz="0" w:space="0" w:color="auto"/>
        <w:bottom w:val="none" w:sz="0" w:space="0" w:color="auto"/>
        <w:right w:val="none" w:sz="0" w:space="0" w:color="auto"/>
      </w:divBdr>
    </w:div>
    <w:div w:id="45489568">
      <w:bodyDiv w:val="1"/>
      <w:marLeft w:val="0"/>
      <w:marRight w:val="0"/>
      <w:marTop w:val="0"/>
      <w:marBottom w:val="0"/>
      <w:divBdr>
        <w:top w:val="none" w:sz="0" w:space="0" w:color="auto"/>
        <w:left w:val="none" w:sz="0" w:space="0" w:color="auto"/>
        <w:bottom w:val="none" w:sz="0" w:space="0" w:color="auto"/>
        <w:right w:val="none" w:sz="0" w:space="0" w:color="auto"/>
      </w:divBdr>
    </w:div>
    <w:div w:id="45498211">
      <w:bodyDiv w:val="1"/>
      <w:marLeft w:val="0"/>
      <w:marRight w:val="0"/>
      <w:marTop w:val="0"/>
      <w:marBottom w:val="0"/>
      <w:divBdr>
        <w:top w:val="none" w:sz="0" w:space="0" w:color="auto"/>
        <w:left w:val="none" w:sz="0" w:space="0" w:color="auto"/>
        <w:bottom w:val="none" w:sz="0" w:space="0" w:color="auto"/>
        <w:right w:val="none" w:sz="0" w:space="0" w:color="auto"/>
      </w:divBdr>
    </w:div>
    <w:div w:id="45574279">
      <w:bodyDiv w:val="1"/>
      <w:marLeft w:val="0"/>
      <w:marRight w:val="0"/>
      <w:marTop w:val="0"/>
      <w:marBottom w:val="0"/>
      <w:divBdr>
        <w:top w:val="none" w:sz="0" w:space="0" w:color="auto"/>
        <w:left w:val="none" w:sz="0" w:space="0" w:color="auto"/>
        <w:bottom w:val="none" w:sz="0" w:space="0" w:color="auto"/>
        <w:right w:val="none" w:sz="0" w:space="0" w:color="auto"/>
      </w:divBdr>
    </w:div>
    <w:div w:id="45763630">
      <w:bodyDiv w:val="1"/>
      <w:marLeft w:val="0"/>
      <w:marRight w:val="0"/>
      <w:marTop w:val="0"/>
      <w:marBottom w:val="0"/>
      <w:divBdr>
        <w:top w:val="none" w:sz="0" w:space="0" w:color="auto"/>
        <w:left w:val="none" w:sz="0" w:space="0" w:color="auto"/>
        <w:bottom w:val="none" w:sz="0" w:space="0" w:color="auto"/>
        <w:right w:val="none" w:sz="0" w:space="0" w:color="auto"/>
      </w:divBdr>
    </w:div>
    <w:div w:id="45837780">
      <w:bodyDiv w:val="1"/>
      <w:marLeft w:val="0"/>
      <w:marRight w:val="0"/>
      <w:marTop w:val="0"/>
      <w:marBottom w:val="0"/>
      <w:divBdr>
        <w:top w:val="none" w:sz="0" w:space="0" w:color="auto"/>
        <w:left w:val="none" w:sz="0" w:space="0" w:color="auto"/>
        <w:bottom w:val="none" w:sz="0" w:space="0" w:color="auto"/>
        <w:right w:val="none" w:sz="0" w:space="0" w:color="auto"/>
      </w:divBdr>
    </w:div>
    <w:div w:id="45837788">
      <w:bodyDiv w:val="1"/>
      <w:marLeft w:val="0"/>
      <w:marRight w:val="0"/>
      <w:marTop w:val="0"/>
      <w:marBottom w:val="0"/>
      <w:divBdr>
        <w:top w:val="none" w:sz="0" w:space="0" w:color="auto"/>
        <w:left w:val="none" w:sz="0" w:space="0" w:color="auto"/>
        <w:bottom w:val="none" w:sz="0" w:space="0" w:color="auto"/>
        <w:right w:val="none" w:sz="0" w:space="0" w:color="auto"/>
      </w:divBdr>
    </w:div>
    <w:div w:id="45839499">
      <w:bodyDiv w:val="1"/>
      <w:marLeft w:val="0"/>
      <w:marRight w:val="0"/>
      <w:marTop w:val="0"/>
      <w:marBottom w:val="0"/>
      <w:divBdr>
        <w:top w:val="none" w:sz="0" w:space="0" w:color="auto"/>
        <w:left w:val="none" w:sz="0" w:space="0" w:color="auto"/>
        <w:bottom w:val="none" w:sz="0" w:space="0" w:color="auto"/>
        <w:right w:val="none" w:sz="0" w:space="0" w:color="auto"/>
      </w:divBdr>
    </w:div>
    <w:div w:id="45953807">
      <w:bodyDiv w:val="1"/>
      <w:marLeft w:val="0"/>
      <w:marRight w:val="0"/>
      <w:marTop w:val="0"/>
      <w:marBottom w:val="0"/>
      <w:divBdr>
        <w:top w:val="none" w:sz="0" w:space="0" w:color="auto"/>
        <w:left w:val="none" w:sz="0" w:space="0" w:color="auto"/>
        <w:bottom w:val="none" w:sz="0" w:space="0" w:color="auto"/>
        <w:right w:val="none" w:sz="0" w:space="0" w:color="auto"/>
      </w:divBdr>
    </w:div>
    <w:div w:id="46078163">
      <w:bodyDiv w:val="1"/>
      <w:marLeft w:val="0"/>
      <w:marRight w:val="0"/>
      <w:marTop w:val="0"/>
      <w:marBottom w:val="0"/>
      <w:divBdr>
        <w:top w:val="none" w:sz="0" w:space="0" w:color="auto"/>
        <w:left w:val="none" w:sz="0" w:space="0" w:color="auto"/>
        <w:bottom w:val="none" w:sz="0" w:space="0" w:color="auto"/>
        <w:right w:val="none" w:sz="0" w:space="0" w:color="auto"/>
      </w:divBdr>
    </w:div>
    <w:div w:id="46154131">
      <w:bodyDiv w:val="1"/>
      <w:marLeft w:val="0"/>
      <w:marRight w:val="0"/>
      <w:marTop w:val="0"/>
      <w:marBottom w:val="0"/>
      <w:divBdr>
        <w:top w:val="none" w:sz="0" w:space="0" w:color="auto"/>
        <w:left w:val="none" w:sz="0" w:space="0" w:color="auto"/>
        <w:bottom w:val="none" w:sz="0" w:space="0" w:color="auto"/>
        <w:right w:val="none" w:sz="0" w:space="0" w:color="auto"/>
      </w:divBdr>
    </w:div>
    <w:div w:id="46340483">
      <w:bodyDiv w:val="1"/>
      <w:marLeft w:val="0"/>
      <w:marRight w:val="0"/>
      <w:marTop w:val="0"/>
      <w:marBottom w:val="0"/>
      <w:divBdr>
        <w:top w:val="none" w:sz="0" w:space="0" w:color="auto"/>
        <w:left w:val="none" w:sz="0" w:space="0" w:color="auto"/>
        <w:bottom w:val="none" w:sz="0" w:space="0" w:color="auto"/>
        <w:right w:val="none" w:sz="0" w:space="0" w:color="auto"/>
      </w:divBdr>
    </w:div>
    <w:div w:id="46344648">
      <w:bodyDiv w:val="1"/>
      <w:marLeft w:val="0"/>
      <w:marRight w:val="0"/>
      <w:marTop w:val="0"/>
      <w:marBottom w:val="0"/>
      <w:divBdr>
        <w:top w:val="none" w:sz="0" w:space="0" w:color="auto"/>
        <w:left w:val="none" w:sz="0" w:space="0" w:color="auto"/>
        <w:bottom w:val="none" w:sz="0" w:space="0" w:color="auto"/>
        <w:right w:val="none" w:sz="0" w:space="0" w:color="auto"/>
      </w:divBdr>
    </w:div>
    <w:div w:id="46491879">
      <w:bodyDiv w:val="1"/>
      <w:marLeft w:val="0"/>
      <w:marRight w:val="0"/>
      <w:marTop w:val="0"/>
      <w:marBottom w:val="0"/>
      <w:divBdr>
        <w:top w:val="none" w:sz="0" w:space="0" w:color="auto"/>
        <w:left w:val="none" w:sz="0" w:space="0" w:color="auto"/>
        <w:bottom w:val="none" w:sz="0" w:space="0" w:color="auto"/>
        <w:right w:val="none" w:sz="0" w:space="0" w:color="auto"/>
      </w:divBdr>
    </w:div>
    <w:div w:id="46496278">
      <w:bodyDiv w:val="1"/>
      <w:marLeft w:val="0"/>
      <w:marRight w:val="0"/>
      <w:marTop w:val="0"/>
      <w:marBottom w:val="0"/>
      <w:divBdr>
        <w:top w:val="none" w:sz="0" w:space="0" w:color="auto"/>
        <w:left w:val="none" w:sz="0" w:space="0" w:color="auto"/>
        <w:bottom w:val="none" w:sz="0" w:space="0" w:color="auto"/>
        <w:right w:val="none" w:sz="0" w:space="0" w:color="auto"/>
      </w:divBdr>
    </w:div>
    <w:div w:id="46534133">
      <w:bodyDiv w:val="1"/>
      <w:marLeft w:val="0"/>
      <w:marRight w:val="0"/>
      <w:marTop w:val="0"/>
      <w:marBottom w:val="0"/>
      <w:divBdr>
        <w:top w:val="none" w:sz="0" w:space="0" w:color="auto"/>
        <w:left w:val="none" w:sz="0" w:space="0" w:color="auto"/>
        <w:bottom w:val="none" w:sz="0" w:space="0" w:color="auto"/>
        <w:right w:val="none" w:sz="0" w:space="0" w:color="auto"/>
      </w:divBdr>
    </w:div>
    <w:div w:id="46538831">
      <w:bodyDiv w:val="1"/>
      <w:marLeft w:val="0"/>
      <w:marRight w:val="0"/>
      <w:marTop w:val="0"/>
      <w:marBottom w:val="0"/>
      <w:divBdr>
        <w:top w:val="none" w:sz="0" w:space="0" w:color="auto"/>
        <w:left w:val="none" w:sz="0" w:space="0" w:color="auto"/>
        <w:bottom w:val="none" w:sz="0" w:space="0" w:color="auto"/>
        <w:right w:val="none" w:sz="0" w:space="0" w:color="auto"/>
      </w:divBdr>
    </w:div>
    <w:div w:id="46607739">
      <w:bodyDiv w:val="1"/>
      <w:marLeft w:val="0"/>
      <w:marRight w:val="0"/>
      <w:marTop w:val="0"/>
      <w:marBottom w:val="0"/>
      <w:divBdr>
        <w:top w:val="none" w:sz="0" w:space="0" w:color="auto"/>
        <w:left w:val="none" w:sz="0" w:space="0" w:color="auto"/>
        <w:bottom w:val="none" w:sz="0" w:space="0" w:color="auto"/>
        <w:right w:val="none" w:sz="0" w:space="0" w:color="auto"/>
      </w:divBdr>
    </w:div>
    <w:div w:id="46616043">
      <w:bodyDiv w:val="1"/>
      <w:marLeft w:val="0"/>
      <w:marRight w:val="0"/>
      <w:marTop w:val="0"/>
      <w:marBottom w:val="0"/>
      <w:divBdr>
        <w:top w:val="none" w:sz="0" w:space="0" w:color="auto"/>
        <w:left w:val="none" w:sz="0" w:space="0" w:color="auto"/>
        <w:bottom w:val="none" w:sz="0" w:space="0" w:color="auto"/>
        <w:right w:val="none" w:sz="0" w:space="0" w:color="auto"/>
      </w:divBdr>
    </w:div>
    <w:div w:id="46877616">
      <w:bodyDiv w:val="1"/>
      <w:marLeft w:val="0"/>
      <w:marRight w:val="0"/>
      <w:marTop w:val="0"/>
      <w:marBottom w:val="0"/>
      <w:divBdr>
        <w:top w:val="none" w:sz="0" w:space="0" w:color="auto"/>
        <w:left w:val="none" w:sz="0" w:space="0" w:color="auto"/>
        <w:bottom w:val="none" w:sz="0" w:space="0" w:color="auto"/>
        <w:right w:val="none" w:sz="0" w:space="0" w:color="auto"/>
      </w:divBdr>
    </w:div>
    <w:div w:id="46883651">
      <w:bodyDiv w:val="1"/>
      <w:marLeft w:val="0"/>
      <w:marRight w:val="0"/>
      <w:marTop w:val="0"/>
      <w:marBottom w:val="0"/>
      <w:divBdr>
        <w:top w:val="none" w:sz="0" w:space="0" w:color="auto"/>
        <w:left w:val="none" w:sz="0" w:space="0" w:color="auto"/>
        <w:bottom w:val="none" w:sz="0" w:space="0" w:color="auto"/>
        <w:right w:val="none" w:sz="0" w:space="0" w:color="auto"/>
      </w:divBdr>
    </w:div>
    <w:div w:id="47069130">
      <w:bodyDiv w:val="1"/>
      <w:marLeft w:val="0"/>
      <w:marRight w:val="0"/>
      <w:marTop w:val="0"/>
      <w:marBottom w:val="0"/>
      <w:divBdr>
        <w:top w:val="none" w:sz="0" w:space="0" w:color="auto"/>
        <w:left w:val="none" w:sz="0" w:space="0" w:color="auto"/>
        <w:bottom w:val="none" w:sz="0" w:space="0" w:color="auto"/>
        <w:right w:val="none" w:sz="0" w:space="0" w:color="auto"/>
      </w:divBdr>
    </w:div>
    <w:div w:id="47075507">
      <w:bodyDiv w:val="1"/>
      <w:marLeft w:val="0"/>
      <w:marRight w:val="0"/>
      <w:marTop w:val="0"/>
      <w:marBottom w:val="0"/>
      <w:divBdr>
        <w:top w:val="none" w:sz="0" w:space="0" w:color="auto"/>
        <w:left w:val="none" w:sz="0" w:space="0" w:color="auto"/>
        <w:bottom w:val="none" w:sz="0" w:space="0" w:color="auto"/>
        <w:right w:val="none" w:sz="0" w:space="0" w:color="auto"/>
      </w:divBdr>
    </w:div>
    <w:div w:id="47075728">
      <w:bodyDiv w:val="1"/>
      <w:marLeft w:val="0"/>
      <w:marRight w:val="0"/>
      <w:marTop w:val="0"/>
      <w:marBottom w:val="0"/>
      <w:divBdr>
        <w:top w:val="none" w:sz="0" w:space="0" w:color="auto"/>
        <w:left w:val="none" w:sz="0" w:space="0" w:color="auto"/>
        <w:bottom w:val="none" w:sz="0" w:space="0" w:color="auto"/>
        <w:right w:val="none" w:sz="0" w:space="0" w:color="auto"/>
      </w:divBdr>
    </w:div>
    <w:div w:id="47076491">
      <w:bodyDiv w:val="1"/>
      <w:marLeft w:val="0"/>
      <w:marRight w:val="0"/>
      <w:marTop w:val="0"/>
      <w:marBottom w:val="0"/>
      <w:divBdr>
        <w:top w:val="none" w:sz="0" w:space="0" w:color="auto"/>
        <w:left w:val="none" w:sz="0" w:space="0" w:color="auto"/>
        <w:bottom w:val="none" w:sz="0" w:space="0" w:color="auto"/>
        <w:right w:val="none" w:sz="0" w:space="0" w:color="auto"/>
      </w:divBdr>
    </w:div>
    <w:div w:id="47076969">
      <w:bodyDiv w:val="1"/>
      <w:marLeft w:val="0"/>
      <w:marRight w:val="0"/>
      <w:marTop w:val="0"/>
      <w:marBottom w:val="0"/>
      <w:divBdr>
        <w:top w:val="none" w:sz="0" w:space="0" w:color="auto"/>
        <w:left w:val="none" w:sz="0" w:space="0" w:color="auto"/>
        <w:bottom w:val="none" w:sz="0" w:space="0" w:color="auto"/>
        <w:right w:val="none" w:sz="0" w:space="0" w:color="auto"/>
      </w:divBdr>
    </w:div>
    <w:div w:id="47188573">
      <w:bodyDiv w:val="1"/>
      <w:marLeft w:val="0"/>
      <w:marRight w:val="0"/>
      <w:marTop w:val="0"/>
      <w:marBottom w:val="0"/>
      <w:divBdr>
        <w:top w:val="none" w:sz="0" w:space="0" w:color="auto"/>
        <w:left w:val="none" w:sz="0" w:space="0" w:color="auto"/>
        <w:bottom w:val="none" w:sz="0" w:space="0" w:color="auto"/>
        <w:right w:val="none" w:sz="0" w:space="0" w:color="auto"/>
      </w:divBdr>
    </w:div>
    <w:div w:id="47190237">
      <w:bodyDiv w:val="1"/>
      <w:marLeft w:val="0"/>
      <w:marRight w:val="0"/>
      <w:marTop w:val="0"/>
      <w:marBottom w:val="0"/>
      <w:divBdr>
        <w:top w:val="none" w:sz="0" w:space="0" w:color="auto"/>
        <w:left w:val="none" w:sz="0" w:space="0" w:color="auto"/>
        <w:bottom w:val="none" w:sz="0" w:space="0" w:color="auto"/>
        <w:right w:val="none" w:sz="0" w:space="0" w:color="auto"/>
      </w:divBdr>
    </w:div>
    <w:div w:id="47191861">
      <w:bodyDiv w:val="1"/>
      <w:marLeft w:val="0"/>
      <w:marRight w:val="0"/>
      <w:marTop w:val="0"/>
      <w:marBottom w:val="0"/>
      <w:divBdr>
        <w:top w:val="none" w:sz="0" w:space="0" w:color="auto"/>
        <w:left w:val="none" w:sz="0" w:space="0" w:color="auto"/>
        <w:bottom w:val="none" w:sz="0" w:space="0" w:color="auto"/>
        <w:right w:val="none" w:sz="0" w:space="0" w:color="auto"/>
      </w:divBdr>
    </w:div>
    <w:div w:id="47337564">
      <w:bodyDiv w:val="1"/>
      <w:marLeft w:val="0"/>
      <w:marRight w:val="0"/>
      <w:marTop w:val="0"/>
      <w:marBottom w:val="0"/>
      <w:divBdr>
        <w:top w:val="none" w:sz="0" w:space="0" w:color="auto"/>
        <w:left w:val="none" w:sz="0" w:space="0" w:color="auto"/>
        <w:bottom w:val="none" w:sz="0" w:space="0" w:color="auto"/>
        <w:right w:val="none" w:sz="0" w:space="0" w:color="auto"/>
      </w:divBdr>
    </w:div>
    <w:div w:id="47341048">
      <w:bodyDiv w:val="1"/>
      <w:marLeft w:val="0"/>
      <w:marRight w:val="0"/>
      <w:marTop w:val="0"/>
      <w:marBottom w:val="0"/>
      <w:divBdr>
        <w:top w:val="none" w:sz="0" w:space="0" w:color="auto"/>
        <w:left w:val="none" w:sz="0" w:space="0" w:color="auto"/>
        <w:bottom w:val="none" w:sz="0" w:space="0" w:color="auto"/>
        <w:right w:val="none" w:sz="0" w:space="0" w:color="auto"/>
      </w:divBdr>
    </w:div>
    <w:div w:id="47414311">
      <w:bodyDiv w:val="1"/>
      <w:marLeft w:val="0"/>
      <w:marRight w:val="0"/>
      <w:marTop w:val="0"/>
      <w:marBottom w:val="0"/>
      <w:divBdr>
        <w:top w:val="none" w:sz="0" w:space="0" w:color="auto"/>
        <w:left w:val="none" w:sz="0" w:space="0" w:color="auto"/>
        <w:bottom w:val="none" w:sz="0" w:space="0" w:color="auto"/>
        <w:right w:val="none" w:sz="0" w:space="0" w:color="auto"/>
      </w:divBdr>
    </w:div>
    <w:div w:id="47459546">
      <w:bodyDiv w:val="1"/>
      <w:marLeft w:val="0"/>
      <w:marRight w:val="0"/>
      <w:marTop w:val="0"/>
      <w:marBottom w:val="0"/>
      <w:divBdr>
        <w:top w:val="none" w:sz="0" w:space="0" w:color="auto"/>
        <w:left w:val="none" w:sz="0" w:space="0" w:color="auto"/>
        <w:bottom w:val="none" w:sz="0" w:space="0" w:color="auto"/>
        <w:right w:val="none" w:sz="0" w:space="0" w:color="auto"/>
      </w:divBdr>
    </w:div>
    <w:div w:id="47461778">
      <w:bodyDiv w:val="1"/>
      <w:marLeft w:val="0"/>
      <w:marRight w:val="0"/>
      <w:marTop w:val="0"/>
      <w:marBottom w:val="0"/>
      <w:divBdr>
        <w:top w:val="none" w:sz="0" w:space="0" w:color="auto"/>
        <w:left w:val="none" w:sz="0" w:space="0" w:color="auto"/>
        <w:bottom w:val="none" w:sz="0" w:space="0" w:color="auto"/>
        <w:right w:val="none" w:sz="0" w:space="0" w:color="auto"/>
      </w:divBdr>
    </w:div>
    <w:div w:id="47463873">
      <w:bodyDiv w:val="1"/>
      <w:marLeft w:val="0"/>
      <w:marRight w:val="0"/>
      <w:marTop w:val="0"/>
      <w:marBottom w:val="0"/>
      <w:divBdr>
        <w:top w:val="none" w:sz="0" w:space="0" w:color="auto"/>
        <w:left w:val="none" w:sz="0" w:space="0" w:color="auto"/>
        <w:bottom w:val="none" w:sz="0" w:space="0" w:color="auto"/>
        <w:right w:val="none" w:sz="0" w:space="0" w:color="auto"/>
      </w:divBdr>
    </w:div>
    <w:div w:id="47607210">
      <w:bodyDiv w:val="1"/>
      <w:marLeft w:val="0"/>
      <w:marRight w:val="0"/>
      <w:marTop w:val="0"/>
      <w:marBottom w:val="0"/>
      <w:divBdr>
        <w:top w:val="none" w:sz="0" w:space="0" w:color="auto"/>
        <w:left w:val="none" w:sz="0" w:space="0" w:color="auto"/>
        <w:bottom w:val="none" w:sz="0" w:space="0" w:color="auto"/>
        <w:right w:val="none" w:sz="0" w:space="0" w:color="auto"/>
      </w:divBdr>
    </w:div>
    <w:div w:id="47648993">
      <w:bodyDiv w:val="1"/>
      <w:marLeft w:val="0"/>
      <w:marRight w:val="0"/>
      <w:marTop w:val="0"/>
      <w:marBottom w:val="0"/>
      <w:divBdr>
        <w:top w:val="none" w:sz="0" w:space="0" w:color="auto"/>
        <w:left w:val="none" w:sz="0" w:space="0" w:color="auto"/>
        <w:bottom w:val="none" w:sz="0" w:space="0" w:color="auto"/>
        <w:right w:val="none" w:sz="0" w:space="0" w:color="auto"/>
      </w:divBdr>
    </w:div>
    <w:div w:id="47655820">
      <w:bodyDiv w:val="1"/>
      <w:marLeft w:val="0"/>
      <w:marRight w:val="0"/>
      <w:marTop w:val="0"/>
      <w:marBottom w:val="0"/>
      <w:divBdr>
        <w:top w:val="none" w:sz="0" w:space="0" w:color="auto"/>
        <w:left w:val="none" w:sz="0" w:space="0" w:color="auto"/>
        <w:bottom w:val="none" w:sz="0" w:space="0" w:color="auto"/>
        <w:right w:val="none" w:sz="0" w:space="0" w:color="auto"/>
      </w:divBdr>
    </w:div>
    <w:div w:id="47657233">
      <w:bodyDiv w:val="1"/>
      <w:marLeft w:val="0"/>
      <w:marRight w:val="0"/>
      <w:marTop w:val="0"/>
      <w:marBottom w:val="0"/>
      <w:divBdr>
        <w:top w:val="none" w:sz="0" w:space="0" w:color="auto"/>
        <w:left w:val="none" w:sz="0" w:space="0" w:color="auto"/>
        <w:bottom w:val="none" w:sz="0" w:space="0" w:color="auto"/>
        <w:right w:val="none" w:sz="0" w:space="0" w:color="auto"/>
      </w:divBdr>
    </w:div>
    <w:div w:id="47992927">
      <w:bodyDiv w:val="1"/>
      <w:marLeft w:val="0"/>
      <w:marRight w:val="0"/>
      <w:marTop w:val="0"/>
      <w:marBottom w:val="0"/>
      <w:divBdr>
        <w:top w:val="none" w:sz="0" w:space="0" w:color="auto"/>
        <w:left w:val="none" w:sz="0" w:space="0" w:color="auto"/>
        <w:bottom w:val="none" w:sz="0" w:space="0" w:color="auto"/>
        <w:right w:val="none" w:sz="0" w:space="0" w:color="auto"/>
      </w:divBdr>
    </w:div>
    <w:div w:id="47995945">
      <w:bodyDiv w:val="1"/>
      <w:marLeft w:val="0"/>
      <w:marRight w:val="0"/>
      <w:marTop w:val="0"/>
      <w:marBottom w:val="0"/>
      <w:divBdr>
        <w:top w:val="none" w:sz="0" w:space="0" w:color="auto"/>
        <w:left w:val="none" w:sz="0" w:space="0" w:color="auto"/>
        <w:bottom w:val="none" w:sz="0" w:space="0" w:color="auto"/>
        <w:right w:val="none" w:sz="0" w:space="0" w:color="auto"/>
      </w:divBdr>
    </w:div>
    <w:div w:id="47997520">
      <w:bodyDiv w:val="1"/>
      <w:marLeft w:val="0"/>
      <w:marRight w:val="0"/>
      <w:marTop w:val="0"/>
      <w:marBottom w:val="0"/>
      <w:divBdr>
        <w:top w:val="none" w:sz="0" w:space="0" w:color="auto"/>
        <w:left w:val="none" w:sz="0" w:space="0" w:color="auto"/>
        <w:bottom w:val="none" w:sz="0" w:space="0" w:color="auto"/>
        <w:right w:val="none" w:sz="0" w:space="0" w:color="auto"/>
      </w:divBdr>
    </w:div>
    <w:div w:id="48002038">
      <w:bodyDiv w:val="1"/>
      <w:marLeft w:val="0"/>
      <w:marRight w:val="0"/>
      <w:marTop w:val="0"/>
      <w:marBottom w:val="0"/>
      <w:divBdr>
        <w:top w:val="none" w:sz="0" w:space="0" w:color="auto"/>
        <w:left w:val="none" w:sz="0" w:space="0" w:color="auto"/>
        <w:bottom w:val="none" w:sz="0" w:space="0" w:color="auto"/>
        <w:right w:val="none" w:sz="0" w:space="0" w:color="auto"/>
      </w:divBdr>
    </w:div>
    <w:div w:id="48388446">
      <w:bodyDiv w:val="1"/>
      <w:marLeft w:val="0"/>
      <w:marRight w:val="0"/>
      <w:marTop w:val="0"/>
      <w:marBottom w:val="0"/>
      <w:divBdr>
        <w:top w:val="none" w:sz="0" w:space="0" w:color="auto"/>
        <w:left w:val="none" w:sz="0" w:space="0" w:color="auto"/>
        <w:bottom w:val="none" w:sz="0" w:space="0" w:color="auto"/>
        <w:right w:val="none" w:sz="0" w:space="0" w:color="auto"/>
      </w:divBdr>
    </w:div>
    <w:div w:id="48501794">
      <w:bodyDiv w:val="1"/>
      <w:marLeft w:val="0"/>
      <w:marRight w:val="0"/>
      <w:marTop w:val="0"/>
      <w:marBottom w:val="0"/>
      <w:divBdr>
        <w:top w:val="none" w:sz="0" w:space="0" w:color="auto"/>
        <w:left w:val="none" w:sz="0" w:space="0" w:color="auto"/>
        <w:bottom w:val="none" w:sz="0" w:space="0" w:color="auto"/>
        <w:right w:val="none" w:sz="0" w:space="0" w:color="auto"/>
      </w:divBdr>
    </w:div>
    <w:div w:id="48581822">
      <w:bodyDiv w:val="1"/>
      <w:marLeft w:val="0"/>
      <w:marRight w:val="0"/>
      <w:marTop w:val="0"/>
      <w:marBottom w:val="0"/>
      <w:divBdr>
        <w:top w:val="none" w:sz="0" w:space="0" w:color="auto"/>
        <w:left w:val="none" w:sz="0" w:space="0" w:color="auto"/>
        <w:bottom w:val="none" w:sz="0" w:space="0" w:color="auto"/>
        <w:right w:val="none" w:sz="0" w:space="0" w:color="auto"/>
      </w:divBdr>
    </w:div>
    <w:div w:id="48722970">
      <w:bodyDiv w:val="1"/>
      <w:marLeft w:val="0"/>
      <w:marRight w:val="0"/>
      <w:marTop w:val="0"/>
      <w:marBottom w:val="0"/>
      <w:divBdr>
        <w:top w:val="none" w:sz="0" w:space="0" w:color="auto"/>
        <w:left w:val="none" w:sz="0" w:space="0" w:color="auto"/>
        <w:bottom w:val="none" w:sz="0" w:space="0" w:color="auto"/>
        <w:right w:val="none" w:sz="0" w:space="0" w:color="auto"/>
      </w:divBdr>
    </w:div>
    <w:div w:id="48723183">
      <w:bodyDiv w:val="1"/>
      <w:marLeft w:val="0"/>
      <w:marRight w:val="0"/>
      <w:marTop w:val="0"/>
      <w:marBottom w:val="0"/>
      <w:divBdr>
        <w:top w:val="none" w:sz="0" w:space="0" w:color="auto"/>
        <w:left w:val="none" w:sz="0" w:space="0" w:color="auto"/>
        <w:bottom w:val="none" w:sz="0" w:space="0" w:color="auto"/>
        <w:right w:val="none" w:sz="0" w:space="0" w:color="auto"/>
      </w:divBdr>
    </w:div>
    <w:div w:id="48766859">
      <w:bodyDiv w:val="1"/>
      <w:marLeft w:val="0"/>
      <w:marRight w:val="0"/>
      <w:marTop w:val="0"/>
      <w:marBottom w:val="0"/>
      <w:divBdr>
        <w:top w:val="none" w:sz="0" w:space="0" w:color="auto"/>
        <w:left w:val="none" w:sz="0" w:space="0" w:color="auto"/>
        <w:bottom w:val="none" w:sz="0" w:space="0" w:color="auto"/>
        <w:right w:val="none" w:sz="0" w:space="0" w:color="auto"/>
      </w:divBdr>
    </w:div>
    <w:div w:id="48772315">
      <w:bodyDiv w:val="1"/>
      <w:marLeft w:val="0"/>
      <w:marRight w:val="0"/>
      <w:marTop w:val="0"/>
      <w:marBottom w:val="0"/>
      <w:divBdr>
        <w:top w:val="none" w:sz="0" w:space="0" w:color="auto"/>
        <w:left w:val="none" w:sz="0" w:space="0" w:color="auto"/>
        <w:bottom w:val="none" w:sz="0" w:space="0" w:color="auto"/>
        <w:right w:val="none" w:sz="0" w:space="0" w:color="auto"/>
      </w:divBdr>
    </w:div>
    <w:div w:id="48847332">
      <w:bodyDiv w:val="1"/>
      <w:marLeft w:val="0"/>
      <w:marRight w:val="0"/>
      <w:marTop w:val="0"/>
      <w:marBottom w:val="0"/>
      <w:divBdr>
        <w:top w:val="none" w:sz="0" w:space="0" w:color="auto"/>
        <w:left w:val="none" w:sz="0" w:space="0" w:color="auto"/>
        <w:bottom w:val="none" w:sz="0" w:space="0" w:color="auto"/>
        <w:right w:val="none" w:sz="0" w:space="0" w:color="auto"/>
      </w:divBdr>
    </w:div>
    <w:div w:id="48849222">
      <w:bodyDiv w:val="1"/>
      <w:marLeft w:val="0"/>
      <w:marRight w:val="0"/>
      <w:marTop w:val="0"/>
      <w:marBottom w:val="0"/>
      <w:divBdr>
        <w:top w:val="none" w:sz="0" w:space="0" w:color="auto"/>
        <w:left w:val="none" w:sz="0" w:space="0" w:color="auto"/>
        <w:bottom w:val="none" w:sz="0" w:space="0" w:color="auto"/>
        <w:right w:val="none" w:sz="0" w:space="0" w:color="auto"/>
      </w:divBdr>
    </w:div>
    <w:div w:id="49034940">
      <w:bodyDiv w:val="1"/>
      <w:marLeft w:val="0"/>
      <w:marRight w:val="0"/>
      <w:marTop w:val="0"/>
      <w:marBottom w:val="0"/>
      <w:divBdr>
        <w:top w:val="none" w:sz="0" w:space="0" w:color="auto"/>
        <w:left w:val="none" w:sz="0" w:space="0" w:color="auto"/>
        <w:bottom w:val="none" w:sz="0" w:space="0" w:color="auto"/>
        <w:right w:val="none" w:sz="0" w:space="0" w:color="auto"/>
      </w:divBdr>
    </w:div>
    <w:div w:id="49039713">
      <w:bodyDiv w:val="1"/>
      <w:marLeft w:val="0"/>
      <w:marRight w:val="0"/>
      <w:marTop w:val="0"/>
      <w:marBottom w:val="0"/>
      <w:divBdr>
        <w:top w:val="none" w:sz="0" w:space="0" w:color="auto"/>
        <w:left w:val="none" w:sz="0" w:space="0" w:color="auto"/>
        <w:bottom w:val="none" w:sz="0" w:space="0" w:color="auto"/>
        <w:right w:val="none" w:sz="0" w:space="0" w:color="auto"/>
      </w:divBdr>
    </w:div>
    <w:div w:id="49118813">
      <w:bodyDiv w:val="1"/>
      <w:marLeft w:val="0"/>
      <w:marRight w:val="0"/>
      <w:marTop w:val="0"/>
      <w:marBottom w:val="0"/>
      <w:divBdr>
        <w:top w:val="none" w:sz="0" w:space="0" w:color="auto"/>
        <w:left w:val="none" w:sz="0" w:space="0" w:color="auto"/>
        <w:bottom w:val="none" w:sz="0" w:space="0" w:color="auto"/>
        <w:right w:val="none" w:sz="0" w:space="0" w:color="auto"/>
      </w:divBdr>
    </w:div>
    <w:div w:id="49158518">
      <w:bodyDiv w:val="1"/>
      <w:marLeft w:val="0"/>
      <w:marRight w:val="0"/>
      <w:marTop w:val="0"/>
      <w:marBottom w:val="0"/>
      <w:divBdr>
        <w:top w:val="none" w:sz="0" w:space="0" w:color="auto"/>
        <w:left w:val="none" w:sz="0" w:space="0" w:color="auto"/>
        <w:bottom w:val="none" w:sz="0" w:space="0" w:color="auto"/>
        <w:right w:val="none" w:sz="0" w:space="0" w:color="auto"/>
      </w:divBdr>
    </w:div>
    <w:div w:id="49237064">
      <w:bodyDiv w:val="1"/>
      <w:marLeft w:val="0"/>
      <w:marRight w:val="0"/>
      <w:marTop w:val="0"/>
      <w:marBottom w:val="0"/>
      <w:divBdr>
        <w:top w:val="none" w:sz="0" w:space="0" w:color="auto"/>
        <w:left w:val="none" w:sz="0" w:space="0" w:color="auto"/>
        <w:bottom w:val="none" w:sz="0" w:space="0" w:color="auto"/>
        <w:right w:val="none" w:sz="0" w:space="0" w:color="auto"/>
      </w:divBdr>
    </w:div>
    <w:div w:id="49302980">
      <w:bodyDiv w:val="1"/>
      <w:marLeft w:val="0"/>
      <w:marRight w:val="0"/>
      <w:marTop w:val="0"/>
      <w:marBottom w:val="0"/>
      <w:divBdr>
        <w:top w:val="none" w:sz="0" w:space="0" w:color="auto"/>
        <w:left w:val="none" w:sz="0" w:space="0" w:color="auto"/>
        <w:bottom w:val="none" w:sz="0" w:space="0" w:color="auto"/>
        <w:right w:val="none" w:sz="0" w:space="0" w:color="auto"/>
      </w:divBdr>
    </w:div>
    <w:div w:id="49306367">
      <w:bodyDiv w:val="1"/>
      <w:marLeft w:val="0"/>
      <w:marRight w:val="0"/>
      <w:marTop w:val="0"/>
      <w:marBottom w:val="0"/>
      <w:divBdr>
        <w:top w:val="none" w:sz="0" w:space="0" w:color="auto"/>
        <w:left w:val="none" w:sz="0" w:space="0" w:color="auto"/>
        <w:bottom w:val="none" w:sz="0" w:space="0" w:color="auto"/>
        <w:right w:val="none" w:sz="0" w:space="0" w:color="auto"/>
      </w:divBdr>
    </w:div>
    <w:div w:id="49308831">
      <w:bodyDiv w:val="1"/>
      <w:marLeft w:val="0"/>
      <w:marRight w:val="0"/>
      <w:marTop w:val="0"/>
      <w:marBottom w:val="0"/>
      <w:divBdr>
        <w:top w:val="none" w:sz="0" w:space="0" w:color="auto"/>
        <w:left w:val="none" w:sz="0" w:space="0" w:color="auto"/>
        <w:bottom w:val="none" w:sz="0" w:space="0" w:color="auto"/>
        <w:right w:val="none" w:sz="0" w:space="0" w:color="auto"/>
      </w:divBdr>
    </w:div>
    <w:div w:id="49426849">
      <w:bodyDiv w:val="1"/>
      <w:marLeft w:val="0"/>
      <w:marRight w:val="0"/>
      <w:marTop w:val="0"/>
      <w:marBottom w:val="0"/>
      <w:divBdr>
        <w:top w:val="none" w:sz="0" w:space="0" w:color="auto"/>
        <w:left w:val="none" w:sz="0" w:space="0" w:color="auto"/>
        <w:bottom w:val="none" w:sz="0" w:space="0" w:color="auto"/>
        <w:right w:val="none" w:sz="0" w:space="0" w:color="auto"/>
      </w:divBdr>
    </w:div>
    <w:div w:id="49501687">
      <w:bodyDiv w:val="1"/>
      <w:marLeft w:val="0"/>
      <w:marRight w:val="0"/>
      <w:marTop w:val="0"/>
      <w:marBottom w:val="0"/>
      <w:divBdr>
        <w:top w:val="none" w:sz="0" w:space="0" w:color="auto"/>
        <w:left w:val="none" w:sz="0" w:space="0" w:color="auto"/>
        <w:bottom w:val="none" w:sz="0" w:space="0" w:color="auto"/>
        <w:right w:val="none" w:sz="0" w:space="0" w:color="auto"/>
      </w:divBdr>
    </w:div>
    <w:div w:id="49571846">
      <w:bodyDiv w:val="1"/>
      <w:marLeft w:val="0"/>
      <w:marRight w:val="0"/>
      <w:marTop w:val="0"/>
      <w:marBottom w:val="0"/>
      <w:divBdr>
        <w:top w:val="none" w:sz="0" w:space="0" w:color="auto"/>
        <w:left w:val="none" w:sz="0" w:space="0" w:color="auto"/>
        <w:bottom w:val="none" w:sz="0" w:space="0" w:color="auto"/>
        <w:right w:val="none" w:sz="0" w:space="0" w:color="auto"/>
      </w:divBdr>
    </w:div>
    <w:div w:id="49576568">
      <w:bodyDiv w:val="1"/>
      <w:marLeft w:val="0"/>
      <w:marRight w:val="0"/>
      <w:marTop w:val="0"/>
      <w:marBottom w:val="0"/>
      <w:divBdr>
        <w:top w:val="none" w:sz="0" w:space="0" w:color="auto"/>
        <w:left w:val="none" w:sz="0" w:space="0" w:color="auto"/>
        <w:bottom w:val="none" w:sz="0" w:space="0" w:color="auto"/>
        <w:right w:val="none" w:sz="0" w:space="0" w:color="auto"/>
      </w:divBdr>
    </w:div>
    <w:div w:id="49769048">
      <w:bodyDiv w:val="1"/>
      <w:marLeft w:val="0"/>
      <w:marRight w:val="0"/>
      <w:marTop w:val="0"/>
      <w:marBottom w:val="0"/>
      <w:divBdr>
        <w:top w:val="none" w:sz="0" w:space="0" w:color="auto"/>
        <w:left w:val="none" w:sz="0" w:space="0" w:color="auto"/>
        <w:bottom w:val="none" w:sz="0" w:space="0" w:color="auto"/>
        <w:right w:val="none" w:sz="0" w:space="0" w:color="auto"/>
      </w:divBdr>
    </w:div>
    <w:div w:id="49769188">
      <w:bodyDiv w:val="1"/>
      <w:marLeft w:val="0"/>
      <w:marRight w:val="0"/>
      <w:marTop w:val="0"/>
      <w:marBottom w:val="0"/>
      <w:divBdr>
        <w:top w:val="none" w:sz="0" w:space="0" w:color="auto"/>
        <w:left w:val="none" w:sz="0" w:space="0" w:color="auto"/>
        <w:bottom w:val="none" w:sz="0" w:space="0" w:color="auto"/>
        <w:right w:val="none" w:sz="0" w:space="0" w:color="auto"/>
      </w:divBdr>
    </w:div>
    <w:div w:id="49773040">
      <w:bodyDiv w:val="1"/>
      <w:marLeft w:val="0"/>
      <w:marRight w:val="0"/>
      <w:marTop w:val="0"/>
      <w:marBottom w:val="0"/>
      <w:divBdr>
        <w:top w:val="none" w:sz="0" w:space="0" w:color="auto"/>
        <w:left w:val="none" w:sz="0" w:space="0" w:color="auto"/>
        <w:bottom w:val="none" w:sz="0" w:space="0" w:color="auto"/>
        <w:right w:val="none" w:sz="0" w:space="0" w:color="auto"/>
      </w:divBdr>
    </w:div>
    <w:div w:id="49811326">
      <w:bodyDiv w:val="1"/>
      <w:marLeft w:val="0"/>
      <w:marRight w:val="0"/>
      <w:marTop w:val="0"/>
      <w:marBottom w:val="0"/>
      <w:divBdr>
        <w:top w:val="none" w:sz="0" w:space="0" w:color="auto"/>
        <w:left w:val="none" w:sz="0" w:space="0" w:color="auto"/>
        <w:bottom w:val="none" w:sz="0" w:space="0" w:color="auto"/>
        <w:right w:val="none" w:sz="0" w:space="0" w:color="auto"/>
      </w:divBdr>
    </w:div>
    <w:div w:id="49816166">
      <w:bodyDiv w:val="1"/>
      <w:marLeft w:val="0"/>
      <w:marRight w:val="0"/>
      <w:marTop w:val="0"/>
      <w:marBottom w:val="0"/>
      <w:divBdr>
        <w:top w:val="none" w:sz="0" w:space="0" w:color="auto"/>
        <w:left w:val="none" w:sz="0" w:space="0" w:color="auto"/>
        <w:bottom w:val="none" w:sz="0" w:space="0" w:color="auto"/>
        <w:right w:val="none" w:sz="0" w:space="0" w:color="auto"/>
      </w:divBdr>
    </w:div>
    <w:div w:id="49960242">
      <w:bodyDiv w:val="1"/>
      <w:marLeft w:val="0"/>
      <w:marRight w:val="0"/>
      <w:marTop w:val="0"/>
      <w:marBottom w:val="0"/>
      <w:divBdr>
        <w:top w:val="none" w:sz="0" w:space="0" w:color="auto"/>
        <w:left w:val="none" w:sz="0" w:space="0" w:color="auto"/>
        <w:bottom w:val="none" w:sz="0" w:space="0" w:color="auto"/>
        <w:right w:val="none" w:sz="0" w:space="0" w:color="auto"/>
      </w:divBdr>
    </w:div>
    <w:div w:id="50009649">
      <w:bodyDiv w:val="1"/>
      <w:marLeft w:val="0"/>
      <w:marRight w:val="0"/>
      <w:marTop w:val="0"/>
      <w:marBottom w:val="0"/>
      <w:divBdr>
        <w:top w:val="none" w:sz="0" w:space="0" w:color="auto"/>
        <w:left w:val="none" w:sz="0" w:space="0" w:color="auto"/>
        <w:bottom w:val="none" w:sz="0" w:space="0" w:color="auto"/>
        <w:right w:val="none" w:sz="0" w:space="0" w:color="auto"/>
      </w:divBdr>
    </w:div>
    <w:div w:id="50080287">
      <w:bodyDiv w:val="1"/>
      <w:marLeft w:val="0"/>
      <w:marRight w:val="0"/>
      <w:marTop w:val="0"/>
      <w:marBottom w:val="0"/>
      <w:divBdr>
        <w:top w:val="none" w:sz="0" w:space="0" w:color="auto"/>
        <w:left w:val="none" w:sz="0" w:space="0" w:color="auto"/>
        <w:bottom w:val="none" w:sz="0" w:space="0" w:color="auto"/>
        <w:right w:val="none" w:sz="0" w:space="0" w:color="auto"/>
      </w:divBdr>
    </w:div>
    <w:div w:id="50157222">
      <w:bodyDiv w:val="1"/>
      <w:marLeft w:val="0"/>
      <w:marRight w:val="0"/>
      <w:marTop w:val="0"/>
      <w:marBottom w:val="0"/>
      <w:divBdr>
        <w:top w:val="none" w:sz="0" w:space="0" w:color="auto"/>
        <w:left w:val="none" w:sz="0" w:space="0" w:color="auto"/>
        <w:bottom w:val="none" w:sz="0" w:space="0" w:color="auto"/>
        <w:right w:val="none" w:sz="0" w:space="0" w:color="auto"/>
      </w:divBdr>
    </w:div>
    <w:div w:id="50161102">
      <w:bodyDiv w:val="1"/>
      <w:marLeft w:val="0"/>
      <w:marRight w:val="0"/>
      <w:marTop w:val="0"/>
      <w:marBottom w:val="0"/>
      <w:divBdr>
        <w:top w:val="none" w:sz="0" w:space="0" w:color="auto"/>
        <w:left w:val="none" w:sz="0" w:space="0" w:color="auto"/>
        <w:bottom w:val="none" w:sz="0" w:space="0" w:color="auto"/>
        <w:right w:val="none" w:sz="0" w:space="0" w:color="auto"/>
      </w:divBdr>
    </w:div>
    <w:div w:id="50351008">
      <w:bodyDiv w:val="1"/>
      <w:marLeft w:val="0"/>
      <w:marRight w:val="0"/>
      <w:marTop w:val="0"/>
      <w:marBottom w:val="0"/>
      <w:divBdr>
        <w:top w:val="none" w:sz="0" w:space="0" w:color="auto"/>
        <w:left w:val="none" w:sz="0" w:space="0" w:color="auto"/>
        <w:bottom w:val="none" w:sz="0" w:space="0" w:color="auto"/>
        <w:right w:val="none" w:sz="0" w:space="0" w:color="auto"/>
      </w:divBdr>
    </w:div>
    <w:div w:id="50427118">
      <w:bodyDiv w:val="1"/>
      <w:marLeft w:val="0"/>
      <w:marRight w:val="0"/>
      <w:marTop w:val="0"/>
      <w:marBottom w:val="0"/>
      <w:divBdr>
        <w:top w:val="none" w:sz="0" w:space="0" w:color="auto"/>
        <w:left w:val="none" w:sz="0" w:space="0" w:color="auto"/>
        <w:bottom w:val="none" w:sz="0" w:space="0" w:color="auto"/>
        <w:right w:val="none" w:sz="0" w:space="0" w:color="auto"/>
      </w:divBdr>
    </w:div>
    <w:div w:id="50427574">
      <w:bodyDiv w:val="1"/>
      <w:marLeft w:val="0"/>
      <w:marRight w:val="0"/>
      <w:marTop w:val="0"/>
      <w:marBottom w:val="0"/>
      <w:divBdr>
        <w:top w:val="none" w:sz="0" w:space="0" w:color="auto"/>
        <w:left w:val="none" w:sz="0" w:space="0" w:color="auto"/>
        <w:bottom w:val="none" w:sz="0" w:space="0" w:color="auto"/>
        <w:right w:val="none" w:sz="0" w:space="0" w:color="auto"/>
      </w:divBdr>
    </w:div>
    <w:div w:id="50688728">
      <w:bodyDiv w:val="1"/>
      <w:marLeft w:val="0"/>
      <w:marRight w:val="0"/>
      <w:marTop w:val="0"/>
      <w:marBottom w:val="0"/>
      <w:divBdr>
        <w:top w:val="none" w:sz="0" w:space="0" w:color="auto"/>
        <w:left w:val="none" w:sz="0" w:space="0" w:color="auto"/>
        <w:bottom w:val="none" w:sz="0" w:space="0" w:color="auto"/>
        <w:right w:val="none" w:sz="0" w:space="0" w:color="auto"/>
      </w:divBdr>
    </w:div>
    <w:div w:id="51083204">
      <w:bodyDiv w:val="1"/>
      <w:marLeft w:val="0"/>
      <w:marRight w:val="0"/>
      <w:marTop w:val="0"/>
      <w:marBottom w:val="0"/>
      <w:divBdr>
        <w:top w:val="none" w:sz="0" w:space="0" w:color="auto"/>
        <w:left w:val="none" w:sz="0" w:space="0" w:color="auto"/>
        <w:bottom w:val="none" w:sz="0" w:space="0" w:color="auto"/>
        <w:right w:val="none" w:sz="0" w:space="0" w:color="auto"/>
      </w:divBdr>
    </w:div>
    <w:div w:id="51083311">
      <w:bodyDiv w:val="1"/>
      <w:marLeft w:val="0"/>
      <w:marRight w:val="0"/>
      <w:marTop w:val="0"/>
      <w:marBottom w:val="0"/>
      <w:divBdr>
        <w:top w:val="none" w:sz="0" w:space="0" w:color="auto"/>
        <w:left w:val="none" w:sz="0" w:space="0" w:color="auto"/>
        <w:bottom w:val="none" w:sz="0" w:space="0" w:color="auto"/>
        <w:right w:val="none" w:sz="0" w:space="0" w:color="auto"/>
      </w:divBdr>
    </w:div>
    <w:div w:id="51121174">
      <w:bodyDiv w:val="1"/>
      <w:marLeft w:val="0"/>
      <w:marRight w:val="0"/>
      <w:marTop w:val="0"/>
      <w:marBottom w:val="0"/>
      <w:divBdr>
        <w:top w:val="none" w:sz="0" w:space="0" w:color="auto"/>
        <w:left w:val="none" w:sz="0" w:space="0" w:color="auto"/>
        <w:bottom w:val="none" w:sz="0" w:space="0" w:color="auto"/>
        <w:right w:val="none" w:sz="0" w:space="0" w:color="auto"/>
      </w:divBdr>
    </w:div>
    <w:div w:id="51317682">
      <w:bodyDiv w:val="1"/>
      <w:marLeft w:val="0"/>
      <w:marRight w:val="0"/>
      <w:marTop w:val="0"/>
      <w:marBottom w:val="0"/>
      <w:divBdr>
        <w:top w:val="none" w:sz="0" w:space="0" w:color="auto"/>
        <w:left w:val="none" w:sz="0" w:space="0" w:color="auto"/>
        <w:bottom w:val="none" w:sz="0" w:space="0" w:color="auto"/>
        <w:right w:val="none" w:sz="0" w:space="0" w:color="auto"/>
      </w:divBdr>
    </w:div>
    <w:div w:id="51463720">
      <w:bodyDiv w:val="1"/>
      <w:marLeft w:val="0"/>
      <w:marRight w:val="0"/>
      <w:marTop w:val="0"/>
      <w:marBottom w:val="0"/>
      <w:divBdr>
        <w:top w:val="none" w:sz="0" w:space="0" w:color="auto"/>
        <w:left w:val="none" w:sz="0" w:space="0" w:color="auto"/>
        <w:bottom w:val="none" w:sz="0" w:space="0" w:color="auto"/>
        <w:right w:val="none" w:sz="0" w:space="0" w:color="auto"/>
      </w:divBdr>
    </w:div>
    <w:div w:id="51464020">
      <w:bodyDiv w:val="1"/>
      <w:marLeft w:val="0"/>
      <w:marRight w:val="0"/>
      <w:marTop w:val="0"/>
      <w:marBottom w:val="0"/>
      <w:divBdr>
        <w:top w:val="none" w:sz="0" w:space="0" w:color="auto"/>
        <w:left w:val="none" w:sz="0" w:space="0" w:color="auto"/>
        <w:bottom w:val="none" w:sz="0" w:space="0" w:color="auto"/>
        <w:right w:val="none" w:sz="0" w:space="0" w:color="auto"/>
      </w:divBdr>
    </w:div>
    <w:div w:id="51661492">
      <w:bodyDiv w:val="1"/>
      <w:marLeft w:val="0"/>
      <w:marRight w:val="0"/>
      <w:marTop w:val="0"/>
      <w:marBottom w:val="0"/>
      <w:divBdr>
        <w:top w:val="none" w:sz="0" w:space="0" w:color="auto"/>
        <w:left w:val="none" w:sz="0" w:space="0" w:color="auto"/>
        <w:bottom w:val="none" w:sz="0" w:space="0" w:color="auto"/>
        <w:right w:val="none" w:sz="0" w:space="0" w:color="auto"/>
      </w:divBdr>
    </w:div>
    <w:div w:id="51780046">
      <w:bodyDiv w:val="1"/>
      <w:marLeft w:val="0"/>
      <w:marRight w:val="0"/>
      <w:marTop w:val="0"/>
      <w:marBottom w:val="0"/>
      <w:divBdr>
        <w:top w:val="none" w:sz="0" w:space="0" w:color="auto"/>
        <w:left w:val="none" w:sz="0" w:space="0" w:color="auto"/>
        <w:bottom w:val="none" w:sz="0" w:space="0" w:color="auto"/>
        <w:right w:val="none" w:sz="0" w:space="0" w:color="auto"/>
      </w:divBdr>
    </w:div>
    <w:div w:id="51848676">
      <w:bodyDiv w:val="1"/>
      <w:marLeft w:val="0"/>
      <w:marRight w:val="0"/>
      <w:marTop w:val="0"/>
      <w:marBottom w:val="0"/>
      <w:divBdr>
        <w:top w:val="none" w:sz="0" w:space="0" w:color="auto"/>
        <w:left w:val="none" w:sz="0" w:space="0" w:color="auto"/>
        <w:bottom w:val="none" w:sz="0" w:space="0" w:color="auto"/>
        <w:right w:val="none" w:sz="0" w:space="0" w:color="auto"/>
      </w:divBdr>
    </w:div>
    <w:div w:id="51853810">
      <w:bodyDiv w:val="1"/>
      <w:marLeft w:val="0"/>
      <w:marRight w:val="0"/>
      <w:marTop w:val="0"/>
      <w:marBottom w:val="0"/>
      <w:divBdr>
        <w:top w:val="none" w:sz="0" w:space="0" w:color="auto"/>
        <w:left w:val="none" w:sz="0" w:space="0" w:color="auto"/>
        <w:bottom w:val="none" w:sz="0" w:space="0" w:color="auto"/>
        <w:right w:val="none" w:sz="0" w:space="0" w:color="auto"/>
      </w:divBdr>
    </w:div>
    <w:div w:id="52042798">
      <w:bodyDiv w:val="1"/>
      <w:marLeft w:val="0"/>
      <w:marRight w:val="0"/>
      <w:marTop w:val="0"/>
      <w:marBottom w:val="0"/>
      <w:divBdr>
        <w:top w:val="none" w:sz="0" w:space="0" w:color="auto"/>
        <w:left w:val="none" w:sz="0" w:space="0" w:color="auto"/>
        <w:bottom w:val="none" w:sz="0" w:space="0" w:color="auto"/>
        <w:right w:val="none" w:sz="0" w:space="0" w:color="auto"/>
      </w:divBdr>
    </w:div>
    <w:div w:id="52048148">
      <w:bodyDiv w:val="1"/>
      <w:marLeft w:val="0"/>
      <w:marRight w:val="0"/>
      <w:marTop w:val="0"/>
      <w:marBottom w:val="0"/>
      <w:divBdr>
        <w:top w:val="none" w:sz="0" w:space="0" w:color="auto"/>
        <w:left w:val="none" w:sz="0" w:space="0" w:color="auto"/>
        <w:bottom w:val="none" w:sz="0" w:space="0" w:color="auto"/>
        <w:right w:val="none" w:sz="0" w:space="0" w:color="auto"/>
      </w:divBdr>
    </w:div>
    <w:div w:id="52117814">
      <w:bodyDiv w:val="1"/>
      <w:marLeft w:val="0"/>
      <w:marRight w:val="0"/>
      <w:marTop w:val="0"/>
      <w:marBottom w:val="0"/>
      <w:divBdr>
        <w:top w:val="none" w:sz="0" w:space="0" w:color="auto"/>
        <w:left w:val="none" w:sz="0" w:space="0" w:color="auto"/>
        <w:bottom w:val="none" w:sz="0" w:space="0" w:color="auto"/>
        <w:right w:val="none" w:sz="0" w:space="0" w:color="auto"/>
      </w:divBdr>
    </w:div>
    <w:div w:id="52121634">
      <w:bodyDiv w:val="1"/>
      <w:marLeft w:val="0"/>
      <w:marRight w:val="0"/>
      <w:marTop w:val="0"/>
      <w:marBottom w:val="0"/>
      <w:divBdr>
        <w:top w:val="none" w:sz="0" w:space="0" w:color="auto"/>
        <w:left w:val="none" w:sz="0" w:space="0" w:color="auto"/>
        <w:bottom w:val="none" w:sz="0" w:space="0" w:color="auto"/>
        <w:right w:val="none" w:sz="0" w:space="0" w:color="auto"/>
      </w:divBdr>
    </w:div>
    <w:div w:id="52195178">
      <w:bodyDiv w:val="1"/>
      <w:marLeft w:val="0"/>
      <w:marRight w:val="0"/>
      <w:marTop w:val="0"/>
      <w:marBottom w:val="0"/>
      <w:divBdr>
        <w:top w:val="none" w:sz="0" w:space="0" w:color="auto"/>
        <w:left w:val="none" w:sz="0" w:space="0" w:color="auto"/>
        <w:bottom w:val="none" w:sz="0" w:space="0" w:color="auto"/>
        <w:right w:val="none" w:sz="0" w:space="0" w:color="auto"/>
      </w:divBdr>
    </w:div>
    <w:div w:id="52511747">
      <w:bodyDiv w:val="1"/>
      <w:marLeft w:val="0"/>
      <w:marRight w:val="0"/>
      <w:marTop w:val="0"/>
      <w:marBottom w:val="0"/>
      <w:divBdr>
        <w:top w:val="none" w:sz="0" w:space="0" w:color="auto"/>
        <w:left w:val="none" w:sz="0" w:space="0" w:color="auto"/>
        <w:bottom w:val="none" w:sz="0" w:space="0" w:color="auto"/>
        <w:right w:val="none" w:sz="0" w:space="0" w:color="auto"/>
      </w:divBdr>
    </w:div>
    <w:div w:id="52588281">
      <w:bodyDiv w:val="1"/>
      <w:marLeft w:val="0"/>
      <w:marRight w:val="0"/>
      <w:marTop w:val="0"/>
      <w:marBottom w:val="0"/>
      <w:divBdr>
        <w:top w:val="none" w:sz="0" w:space="0" w:color="auto"/>
        <w:left w:val="none" w:sz="0" w:space="0" w:color="auto"/>
        <w:bottom w:val="none" w:sz="0" w:space="0" w:color="auto"/>
        <w:right w:val="none" w:sz="0" w:space="0" w:color="auto"/>
      </w:divBdr>
    </w:div>
    <w:div w:id="52626603">
      <w:bodyDiv w:val="1"/>
      <w:marLeft w:val="0"/>
      <w:marRight w:val="0"/>
      <w:marTop w:val="0"/>
      <w:marBottom w:val="0"/>
      <w:divBdr>
        <w:top w:val="none" w:sz="0" w:space="0" w:color="auto"/>
        <w:left w:val="none" w:sz="0" w:space="0" w:color="auto"/>
        <w:bottom w:val="none" w:sz="0" w:space="0" w:color="auto"/>
        <w:right w:val="none" w:sz="0" w:space="0" w:color="auto"/>
      </w:divBdr>
    </w:div>
    <w:div w:id="52657555">
      <w:bodyDiv w:val="1"/>
      <w:marLeft w:val="0"/>
      <w:marRight w:val="0"/>
      <w:marTop w:val="0"/>
      <w:marBottom w:val="0"/>
      <w:divBdr>
        <w:top w:val="none" w:sz="0" w:space="0" w:color="auto"/>
        <w:left w:val="none" w:sz="0" w:space="0" w:color="auto"/>
        <w:bottom w:val="none" w:sz="0" w:space="0" w:color="auto"/>
        <w:right w:val="none" w:sz="0" w:space="0" w:color="auto"/>
      </w:divBdr>
    </w:div>
    <w:div w:id="52700908">
      <w:bodyDiv w:val="1"/>
      <w:marLeft w:val="0"/>
      <w:marRight w:val="0"/>
      <w:marTop w:val="0"/>
      <w:marBottom w:val="0"/>
      <w:divBdr>
        <w:top w:val="none" w:sz="0" w:space="0" w:color="auto"/>
        <w:left w:val="none" w:sz="0" w:space="0" w:color="auto"/>
        <w:bottom w:val="none" w:sz="0" w:space="0" w:color="auto"/>
        <w:right w:val="none" w:sz="0" w:space="0" w:color="auto"/>
      </w:divBdr>
    </w:div>
    <w:div w:id="52851593">
      <w:bodyDiv w:val="1"/>
      <w:marLeft w:val="0"/>
      <w:marRight w:val="0"/>
      <w:marTop w:val="0"/>
      <w:marBottom w:val="0"/>
      <w:divBdr>
        <w:top w:val="none" w:sz="0" w:space="0" w:color="auto"/>
        <w:left w:val="none" w:sz="0" w:space="0" w:color="auto"/>
        <w:bottom w:val="none" w:sz="0" w:space="0" w:color="auto"/>
        <w:right w:val="none" w:sz="0" w:space="0" w:color="auto"/>
      </w:divBdr>
    </w:div>
    <w:div w:id="52969686">
      <w:bodyDiv w:val="1"/>
      <w:marLeft w:val="0"/>
      <w:marRight w:val="0"/>
      <w:marTop w:val="0"/>
      <w:marBottom w:val="0"/>
      <w:divBdr>
        <w:top w:val="none" w:sz="0" w:space="0" w:color="auto"/>
        <w:left w:val="none" w:sz="0" w:space="0" w:color="auto"/>
        <w:bottom w:val="none" w:sz="0" w:space="0" w:color="auto"/>
        <w:right w:val="none" w:sz="0" w:space="0" w:color="auto"/>
      </w:divBdr>
    </w:div>
    <w:div w:id="52971224">
      <w:bodyDiv w:val="1"/>
      <w:marLeft w:val="0"/>
      <w:marRight w:val="0"/>
      <w:marTop w:val="0"/>
      <w:marBottom w:val="0"/>
      <w:divBdr>
        <w:top w:val="none" w:sz="0" w:space="0" w:color="auto"/>
        <w:left w:val="none" w:sz="0" w:space="0" w:color="auto"/>
        <w:bottom w:val="none" w:sz="0" w:space="0" w:color="auto"/>
        <w:right w:val="none" w:sz="0" w:space="0" w:color="auto"/>
      </w:divBdr>
    </w:div>
    <w:div w:id="53084628">
      <w:bodyDiv w:val="1"/>
      <w:marLeft w:val="0"/>
      <w:marRight w:val="0"/>
      <w:marTop w:val="0"/>
      <w:marBottom w:val="0"/>
      <w:divBdr>
        <w:top w:val="none" w:sz="0" w:space="0" w:color="auto"/>
        <w:left w:val="none" w:sz="0" w:space="0" w:color="auto"/>
        <w:bottom w:val="none" w:sz="0" w:space="0" w:color="auto"/>
        <w:right w:val="none" w:sz="0" w:space="0" w:color="auto"/>
      </w:divBdr>
    </w:div>
    <w:div w:id="53085945">
      <w:bodyDiv w:val="1"/>
      <w:marLeft w:val="0"/>
      <w:marRight w:val="0"/>
      <w:marTop w:val="0"/>
      <w:marBottom w:val="0"/>
      <w:divBdr>
        <w:top w:val="none" w:sz="0" w:space="0" w:color="auto"/>
        <w:left w:val="none" w:sz="0" w:space="0" w:color="auto"/>
        <w:bottom w:val="none" w:sz="0" w:space="0" w:color="auto"/>
        <w:right w:val="none" w:sz="0" w:space="0" w:color="auto"/>
      </w:divBdr>
    </w:div>
    <w:div w:id="53165229">
      <w:bodyDiv w:val="1"/>
      <w:marLeft w:val="0"/>
      <w:marRight w:val="0"/>
      <w:marTop w:val="0"/>
      <w:marBottom w:val="0"/>
      <w:divBdr>
        <w:top w:val="none" w:sz="0" w:space="0" w:color="auto"/>
        <w:left w:val="none" w:sz="0" w:space="0" w:color="auto"/>
        <w:bottom w:val="none" w:sz="0" w:space="0" w:color="auto"/>
        <w:right w:val="none" w:sz="0" w:space="0" w:color="auto"/>
      </w:divBdr>
    </w:div>
    <w:div w:id="53241216">
      <w:bodyDiv w:val="1"/>
      <w:marLeft w:val="0"/>
      <w:marRight w:val="0"/>
      <w:marTop w:val="0"/>
      <w:marBottom w:val="0"/>
      <w:divBdr>
        <w:top w:val="none" w:sz="0" w:space="0" w:color="auto"/>
        <w:left w:val="none" w:sz="0" w:space="0" w:color="auto"/>
        <w:bottom w:val="none" w:sz="0" w:space="0" w:color="auto"/>
        <w:right w:val="none" w:sz="0" w:space="0" w:color="auto"/>
      </w:divBdr>
    </w:div>
    <w:div w:id="53244040">
      <w:bodyDiv w:val="1"/>
      <w:marLeft w:val="0"/>
      <w:marRight w:val="0"/>
      <w:marTop w:val="0"/>
      <w:marBottom w:val="0"/>
      <w:divBdr>
        <w:top w:val="none" w:sz="0" w:space="0" w:color="auto"/>
        <w:left w:val="none" w:sz="0" w:space="0" w:color="auto"/>
        <w:bottom w:val="none" w:sz="0" w:space="0" w:color="auto"/>
        <w:right w:val="none" w:sz="0" w:space="0" w:color="auto"/>
      </w:divBdr>
    </w:div>
    <w:div w:id="53354441">
      <w:bodyDiv w:val="1"/>
      <w:marLeft w:val="0"/>
      <w:marRight w:val="0"/>
      <w:marTop w:val="0"/>
      <w:marBottom w:val="0"/>
      <w:divBdr>
        <w:top w:val="none" w:sz="0" w:space="0" w:color="auto"/>
        <w:left w:val="none" w:sz="0" w:space="0" w:color="auto"/>
        <w:bottom w:val="none" w:sz="0" w:space="0" w:color="auto"/>
        <w:right w:val="none" w:sz="0" w:space="0" w:color="auto"/>
      </w:divBdr>
    </w:div>
    <w:div w:id="53507448">
      <w:bodyDiv w:val="1"/>
      <w:marLeft w:val="0"/>
      <w:marRight w:val="0"/>
      <w:marTop w:val="0"/>
      <w:marBottom w:val="0"/>
      <w:divBdr>
        <w:top w:val="none" w:sz="0" w:space="0" w:color="auto"/>
        <w:left w:val="none" w:sz="0" w:space="0" w:color="auto"/>
        <w:bottom w:val="none" w:sz="0" w:space="0" w:color="auto"/>
        <w:right w:val="none" w:sz="0" w:space="0" w:color="auto"/>
      </w:divBdr>
    </w:div>
    <w:div w:id="53625829">
      <w:bodyDiv w:val="1"/>
      <w:marLeft w:val="0"/>
      <w:marRight w:val="0"/>
      <w:marTop w:val="0"/>
      <w:marBottom w:val="0"/>
      <w:divBdr>
        <w:top w:val="none" w:sz="0" w:space="0" w:color="auto"/>
        <w:left w:val="none" w:sz="0" w:space="0" w:color="auto"/>
        <w:bottom w:val="none" w:sz="0" w:space="0" w:color="auto"/>
        <w:right w:val="none" w:sz="0" w:space="0" w:color="auto"/>
      </w:divBdr>
    </w:div>
    <w:div w:id="53702341">
      <w:bodyDiv w:val="1"/>
      <w:marLeft w:val="0"/>
      <w:marRight w:val="0"/>
      <w:marTop w:val="0"/>
      <w:marBottom w:val="0"/>
      <w:divBdr>
        <w:top w:val="none" w:sz="0" w:space="0" w:color="auto"/>
        <w:left w:val="none" w:sz="0" w:space="0" w:color="auto"/>
        <w:bottom w:val="none" w:sz="0" w:space="0" w:color="auto"/>
        <w:right w:val="none" w:sz="0" w:space="0" w:color="auto"/>
      </w:divBdr>
    </w:div>
    <w:div w:id="53742972">
      <w:bodyDiv w:val="1"/>
      <w:marLeft w:val="0"/>
      <w:marRight w:val="0"/>
      <w:marTop w:val="0"/>
      <w:marBottom w:val="0"/>
      <w:divBdr>
        <w:top w:val="none" w:sz="0" w:space="0" w:color="auto"/>
        <w:left w:val="none" w:sz="0" w:space="0" w:color="auto"/>
        <w:bottom w:val="none" w:sz="0" w:space="0" w:color="auto"/>
        <w:right w:val="none" w:sz="0" w:space="0" w:color="auto"/>
      </w:divBdr>
    </w:div>
    <w:div w:id="53822680">
      <w:bodyDiv w:val="1"/>
      <w:marLeft w:val="0"/>
      <w:marRight w:val="0"/>
      <w:marTop w:val="0"/>
      <w:marBottom w:val="0"/>
      <w:divBdr>
        <w:top w:val="none" w:sz="0" w:space="0" w:color="auto"/>
        <w:left w:val="none" w:sz="0" w:space="0" w:color="auto"/>
        <w:bottom w:val="none" w:sz="0" w:space="0" w:color="auto"/>
        <w:right w:val="none" w:sz="0" w:space="0" w:color="auto"/>
      </w:divBdr>
    </w:div>
    <w:div w:id="53822967">
      <w:bodyDiv w:val="1"/>
      <w:marLeft w:val="0"/>
      <w:marRight w:val="0"/>
      <w:marTop w:val="0"/>
      <w:marBottom w:val="0"/>
      <w:divBdr>
        <w:top w:val="none" w:sz="0" w:space="0" w:color="auto"/>
        <w:left w:val="none" w:sz="0" w:space="0" w:color="auto"/>
        <w:bottom w:val="none" w:sz="0" w:space="0" w:color="auto"/>
        <w:right w:val="none" w:sz="0" w:space="0" w:color="auto"/>
      </w:divBdr>
    </w:div>
    <w:div w:id="53896519">
      <w:bodyDiv w:val="1"/>
      <w:marLeft w:val="0"/>
      <w:marRight w:val="0"/>
      <w:marTop w:val="0"/>
      <w:marBottom w:val="0"/>
      <w:divBdr>
        <w:top w:val="none" w:sz="0" w:space="0" w:color="auto"/>
        <w:left w:val="none" w:sz="0" w:space="0" w:color="auto"/>
        <w:bottom w:val="none" w:sz="0" w:space="0" w:color="auto"/>
        <w:right w:val="none" w:sz="0" w:space="0" w:color="auto"/>
      </w:divBdr>
    </w:div>
    <w:div w:id="53939981">
      <w:bodyDiv w:val="1"/>
      <w:marLeft w:val="0"/>
      <w:marRight w:val="0"/>
      <w:marTop w:val="0"/>
      <w:marBottom w:val="0"/>
      <w:divBdr>
        <w:top w:val="none" w:sz="0" w:space="0" w:color="auto"/>
        <w:left w:val="none" w:sz="0" w:space="0" w:color="auto"/>
        <w:bottom w:val="none" w:sz="0" w:space="0" w:color="auto"/>
        <w:right w:val="none" w:sz="0" w:space="0" w:color="auto"/>
      </w:divBdr>
    </w:div>
    <w:div w:id="54008172">
      <w:bodyDiv w:val="1"/>
      <w:marLeft w:val="0"/>
      <w:marRight w:val="0"/>
      <w:marTop w:val="0"/>
      <w:marBottom w:val="0"/>
      <w:divBdr>
        <w:top w:val="none" w:sz="0" w:space="0" w:color="auto"/>
        <w:left w:val="none" w:sz="0" w:space="0" w:color="auto"/>
        <w:bottom w:val="none" w:sz="0" w:space="0" w:color="auto"/>
        <w:right w:val="none" w:sz="0" w:space="0" w:color="auto"/>
      </w:divBdr>
    </w:div>
    <w:div w:id="54015048">
      <w:bodyDiv w:val="1"/>
      <w:marLeft w:val="0"/>
      <w:marRight w:val="0"/>
      <w:marTop w:val="0"/>
      <w:marBottom w:val="0"/>
      <w:divBdr>
        <w:top w:val="none" w:sz="0" w:space="0" w:color="auto"/>
        <w:left w:val="none" w:sz="0" w:space="0" w:color="auto"/>
        <w:bottom w:val="none" w:sz="0" w:space="0" w:color="auto"/>
        <w:right w:val="none" w:sz="0" w:space="0" w:color="auto"/>
      </w:divBdr>
    </w:div>
    <w:div w:id="54280102">
      <w:bodyDiv w:val="1"/>
      <w:marLeft w:val="0"/>
      <w:marRight w:val="0"/>
      <w:marTop w:val="0"/>
      <w:marBottom w:val="0"/>
      <w:divBdr>
        <w:top w:val="none" w:sz="0" w:space="0" w:color="auto"/>
        <w:left w:val="none" w:sz="0" w:space="0" w:color="auto"/>
        <w:bottom w:val="none" w:sz="0" w:space="0" w:color="auto"/>
        <w:right w:val="none" w:sz="0" w:space="0" w:color="auto"/>
      </w:divBdr>
    </w:div>
    <w:div w:id="54285356">
      <w:bodyDiv w:val="1"/>
      <w:marLeft w:val="0"/>
      <w:marRight w:val="0"/>
      <w:marTop w:val="0"/>
      <w:marBottom w:val="0"/>
      <w:divBdr>
        <w:top w:val="none" w:sz="0" w:space="0" w:color="auto"/>
        <w:left w:val="none" w:sz="0" w:space="0" w:color="auto"/>
        <w:bottom w:val="none" w:sz="0" w:space="0" w:color="auto"/>
        <w:right w:val="none" w:sz="0" w:space="0" w:color="auto"/>
      </w:divBdr>
    </w:div>
    <w:div w:id="54545240">
      <w:bodyDiv w:val="1"/>
      <w:marLeft w:val="0"/>
      <w:marRight w:val="0"/>
      <w:marTop w:val="0"/>
      <w:marBottom w:val="0"/>
      <w:divBdr>
        <w:top w:val="none" w:sz="0" w:space="0" w:color="auto"/>
        <w:left w:val="none" w:sz="0" w:space="0" w:color="auto"/>
        <w:bottom w:val="none" w:sz="0" w:space="0" w:color="auto"/>
        <w:right w:val="none" w:sz="0" w:space="0" w:color="auto"/>
      </w:divBdr>
    </w:div>
    <w:div w:id="54596685">
      <w:bodyDiv w:val="1"/>
      <w:marLeft w:val="0"/>
      <w:marRight w:val="0"/>
      <w:marTop w:val="0"/>
      <w:marBottom w:val="0"/>
      <w:divBdr>
        <w:top w:val="none" w:sz="0" w:space="0" w:color="auto"/>
        <w:left w:val="none" w:sz="0" w:space="0" w:color="auto"/>
        <w:bottom w:val="none" w:sz="0" w:space="0" w:color="auto"/>
        <w:right w:val="none" w:sz="0" w:space="0" w:color="auto"/>
      </w:divBdr>
    </w:div>
    <w:div w:id="54818179">
      <w:bodyDiv w:val="1"/>
      <w:marLeft w:val="0"/>
      <w:marRight w:val="0"/>
      <w:marTop w:val="0"/>
      <w:marBottom w:val="0"/>
      <w:divBdr>
        <w:top w:val="none" w:sz="0" w:space="0" w:color="auto"/>
        <w:left w:val="none" w:sz="0" w:space="0" w:color="auto"/>
        <w:bottom w:val="none" w:sz="0" w:space="0" w:color="auto"/>
        <w:right w:val="none" w:sz="0" w:space="0" w:color="auto"/>
      </w:divBdr>
    </w:div>
    <w:div w:id="54819037">
      <w:bodyDiv w:val="1"/>
      <w:marLeft w:val="0"/>
      <w:marRight w:val="0"/>
      <w:marTop w:val="0"/>
      <w:marBottom w:val="0"/>
      <w:divBdr>
        <w:top w:val="none" w:sz="0" w:space="0" w:color="auto"/>
        <w:left w:val="none" w:sz="0" w:space="0" w:color="auto"/>
        <w:bottom w:val="none" w:sz="0" w:space="0" w:color="auto"/>
        <w:right w:val="none" w:sz="0" w:space="0" w:color="auto"/>
      </w:divBdr>
    </w:div>
    <w:div w:id="54937447">
      <w:bodyDiv w:val="1"/>
      <w:marLeft w:val="0"/>
      <w:marRight w:val="0"/>
      <w:marTop w:val="0"/>
      <w:marBottom w:val="0"/>
      <w:divBdr>
        <w:top w:val="none" w:sz="0" w:space="0" w:color="auto"/>
        <w:left w:val="none" w:sz="0" w:space="0" w:color="auto"/>
        <w:bottom w:val="none" w:sz="0" w:space="0" w:color="auto"/>
        <w:right w:val="none" w:sz="0" w:space="0" w:color="auto"/>
      </w:divBdr>
    </w:div>
    <w:div w:id="55013480">
      <w:bodyDiv w:val="1"/>
      <w:marLeft w:val="0"/>
      <w:marRight w:val="0"/>
      <w:marTop w:val="0"/>
      <w:marBottom w:val="0"/>
      <w:divBdr>
        <w:top w:val="none" w:sz="0" w:space="0" w:color="auto"/>
        <w:left w:val="none" w:sz="0" w:space="0" w:color="auto"/>
        <w:bottom w:val="none" w:sz="0" w:space="0" w:color="auto"/>
        <w:right w:val="none" w:sz="0" w:space="0" w:color="auto"/>
      </w:divBdr>
    </w:div>
    <w:div w:id="55015767">
      <w:bodyDiv w:val="1"/>
      <w:marLeft w:val="0"/>
      <w:marRight w:val="0"/>
      <w:marTop w:val="0"/>
      <w:marBottom w:val="0"/>
      <w:divBdr>
        <w:top w:val="none" w:sz="0" w:space="0" w:color="auto"/>
        <w:left w:val="none" w:sz="0" w:space="0" w:color="auto"/>
        <w:bottom w:val="none" w:sz="0" w:space="0" w:color="auto"/>
        <w:right w:val="none" w:sz="0" w:space="0" w:color="auto"/>
      </w:divBdr>
    </w:div>
    <w:div w:id="55050456">
      <w:bodyDiv w:val="1"/>
      <w:marLeft w:val="0"/>
      <w:marRight w:val="0"/>
      <w:marTop w:val="0"/>
      <w:marBottom w:val="0"/>
      <w:divBdr>
        <w:top w:val="none" w:sz="0" w:space="0" w:color="auto"/>
        <w:left w:val="none" w:sz="0" w:space="0" w:color="auto"/>
        <w:bottom w:val="none" w:sz="0" w:space="0" w:color="auto"/>
        <w:right w:val="none" w:sz="0" w:space="0" w:color="auto"/>
      </w:divBdr>
    </w:div>
    <w:div w:id="55131643">
      <w:bodyDiv w:val="1"/>
      <w:marLeft w:val="0"/>
      <w:marRight w:val="0"/>
      <w:marTop w:val="0"/>
      <w:marBottom w:val="0"/>
      <w:divBdr>
        <w:top w:val="none" w:sz="0" w:space="0" w:color="auto"/>
        <w:left w:val="none" w:sz="0" w:space="0" w:color="auto"/>
        <w:bottom w:val="none" w:sz="0" w:space="0" w:color="auto"/>
        <w:right w:val="none" w:sz="0" w:space="0" w:color="auto"/>
      </w:divBdr>
    </w:div>
    <w:div w:id="55251656">
      <w:bodyDiv w:val="1"/>
      <w:marLeft w:val="0"/>
      <w:marRight w:val="0"/>
      <w:marTop w:val="0"/>
      <w:marBottom w:val="0"/>
      <w:divBdr>
        <w:top w:val="none" w:sz="0" w:space="0" w:color="auto"/>
        <w:left w:val="none" w:sz="0" w:space="0" w:color="auto"/>
        <w:bottom w:val="none" w:sz="0" w:space="0" w:color="auto"/>
        <w:right w:val="none" w:sz="0" w:space="0" w:color="auto"/>
      </w:divBdr>
    </w:div>
    <w:div w:id="55277603">
      <w:bodyDiv w:val="1"/>
      <w:marLeft w:val="0"/>
      <w:marRight w:val="0"/>
      <w:marTop w:val="0"/>
      <w:marBottom w:val="0"/>
      <w:divBdr>
        <w:top w:val="none" w:sz="0" w:space="0" w:color="auto"/>
        <w:left w:val="none" w:sz="0" w:space="0" w:color="auto"/>
        <w:bottom w:val="none" w:sz="0" w:space="0" w:color="auto"/>
        <w:right w:val="none" w:sz="0" w:space="0" w:color="auto"/>
      </w:divBdr>
    </w:div>
    <w:div w:id="55319569">
      <w:bodyDiv w:val="1"/>
      <w:marLeft w:val="0"/>
      <w:marRight w:val="0"/>
      <w:marTop w:val="0"/>
      <w:marBottom w:val="0"/>
      <w:divBdr>
        <w:top w:val="none" w:sz="0" w:space="0" w:color="auto"/>
        <w:left w:val="none" w:sz="0" w:space="0" w:color="auto"/>
        <w:bottom w:val="none" w:sz="0" w:space="0" w:color="auto"/>
        <w:right w:val="none" w:sz="0" w:space="0" w:color="auto"/>
      </w:divBdr>
    </w:div>
    <w:div w:id="55323023">
      <w:bodyDiv w:val="1"/>
      <w:marLeft w:val="0"/>
      <w:marRight w:val="0"/>
      <w:marTop w:val="0"/>
      <w:marBottom w:val="0"/>
      <w:divBdr>
        <w:top w:val="none" w:sz="0" w:space="0" w:color="auto"/>
        <w:left w:val="none" w:sz="0" w:space="0" w:color="auto"/>
        <w:bottom w:val="none" w:sz="0" w:space="0" w:color="auto"/>
        <w:right w:val="none" w:sz="0" w:space="0" w:color="auto"/>
      </w:divBdr>
    </w:div>
    <w:div w:id="55470007">
      <w:bodyDiv w:val="1"/>
      <w:marLeft w:val="0"/>
      <w:marRight w:val="0"/>
      <w:marTop w:val="0"/>
      <w:marBottom w:val="0"/>
      <w:divBdr>
        <w:top w:val="none" w:sz="0" w:space="0" w:color="auto"/>
        <w:left w:val="none" w:sz="0" w:space="0" w:color="auto"/>
        <w:bottom w:val="none" w:sz="0" w:space="0" w:color="auto"/>
        <w:right w:val="none" w:sz="0" w:space="0" w:color="auto"/>
      </w:divBdr>
    </w:div>
    <w:div w:id="55737830">
      <w:bodyDiv w:val="1"/>
      <w:marLeft w:val="0"/>
      <w:marRight w:val="0"/>
      <w:marTop w:val="0"/>
      <w:marBottom w:val="0"/>
      <w:divBdr>
        <w:top w:val="none" w:sz="0" w:space="0" w:color="auto"/>
        <w:left w:val="none" w:sz="0" w:space="0" w:color="auto"/>
        <w:bottom w:val="none" w:sz="0" w:space="0" w:color="auto"/>
        <w:right w:val="none" w:sz="0" w:space="0" w:color="auto"/>
      </w:divBdr>
    </w:div>
    <w:div w:id="55783192">
      <w:bodyDiv w:val="1"/>
      <w:marLeft w:val="0"/>
      <w:marRight w:val="0"/>
      <w:marTop w:val="0"/>
      <w:marBottom w:val="0"/>
      <w:divBdr>
        <w:top w:val="none" w:sz="0" w:space="0" w:color="auto"/>
        <w:left w:val="none" w:sz="0" w:space="0" w:color="auto"/>
        <w:bottom w:val="none" w:sz="0" w:space="0" w:color="auto"/>
        <w:right w:val="none" w:sz="0" w:space="0" w:color="auto"/>
      </w:divBdr>
    </w:div>
    <w:div w:id="55860134">
      <w:bodyDiv w:val="1"/>
      <w:marLeft w:val="0"/>
      <w:marRight w:val="0"/>
      <w:marTop w:val="0"/>
      <w:marBottom w:val="0"/>
      <w:divBdr>
        <w:top w:val="none" w:sz="0" w:space="0" w:color="auto"/>
        <w:left w:val="none" w:sz="0" w:space="0" w:color="auto"/>
        <w:bottom w:val="none" w:sz="0" w:space="0" w:color="auto"/>
        <w:right w:val="none" w:sz="0" w:space="0" w:color="auto"/>
      </w:divBdr>
    </w:div>
    <w:div w:id="55862440">
      <w:bodyDiv w:val="1"/>
      <w:marLeft w:val="0"/>
      <w:marRight w:val="0"/>
      <w:marTop w:val="0"/>
      <w:marBottom w:val="0"/>
      <w:divBdr>
        <w:top w:val="none" w:sz="0" w:space="0" w:color="auto"/>
        <w:left w:val="none" w:sz="0" w:space="0" w:color="auto"/>
        <w:bottom w:val="none" w:sz="0" w:space="0" w:color="auto"/>
        <w:right w:val="none" w:sz="0" w:space="0" w:color="auto"/>
      </w:divBdr>
    </w:div>
    <w:div w:id="55865303">
      <w:bodyDiv w:val="1"/>
      <w:marLeft w:val="0"/>
      <w:marRight w:val="0"/>
      <w:marTop w:val="0"/>
      <w:marBottom w:val="0"/>
      <w:divBdr>
        <w:top w:val="none" w:sz="0" w:space="0" w:color="auto"/>
        <w:left w:val="none" w:sz="0" w:space="0" w:color="auto"/>
        <w:bottom w:val="none" w:sz="0" w:space="0" w:color="auto"/>
        <w:right w:val="none" w:sz="0" w:space="0" w:color="auto"/>
      </w:divBdr>
    </w:div>
    <w:div w:id="55905180">
      <w:bodyDiv w:val="1"/>
      <w:marLeft w:val="0"/>
      <w:marRight w:val="0"/>
      <w:marTop w:val="0"/>
      <w:marBottom w:val="0"/>
      <w:divBdr>
        <w:top w:val="none" w:sz="0" w:space="0" w:color="auto"/>
        <w:left w:val="none" w:sz="0" w:space="0" w:color="auto"/>
        <w:bottom w:val="none" w:sz="0" w:space="0" w:color="auto"/>
        <w:right w:val="none" w:sz="0" w:space="0" w:color="auto"/>
      </w:divBdr>
    </w:div>
    <w:div w:id="55973534">
      <w:bodyDiv w:val="1"/>
      <w:marLeft w:val="0"/>
      <w:marRight w:val="0"/>
      <w:marTop w:val="0"/>
      <w:marBottom w:val="0"/>
      <w:divBdr>
        <w:top w:val="none" w:sz="0" w:space="0" w:color="auto"/>
        <w:left w:val="none" w:sz="0" w:space="0" w:color="auto"/>
        <w:bottom w:val="none" w:sz="0" w:space="0" w:color="auto"/>
        <w:right w:val="none" w:sz="0" w:space="0" w:color="auto"/>
      </w:divBdr>
    </w:div>
    <w:div w:id="56051425">
      <w:bodyDiv w:val="1"/>
      <w:marLeft w:val="0"/>
      <w:marRight w:val="0"/>
      <w:marTop w:val="0"/>
      <w:marBottom w:val="0"/>
      <w:divBdr>
        <w:top w:val="none" w:sz="0" w:space="0" w:color="auto"/>
        <w:left w:val="none" w:sz="0" w:space="0" w:color="auto"/>
        <w:bottom w:val="none" w:sz="0" w:space="0" w:color="auto"/>
        <w:right w:val="none" w:sz="0" w:space="0" w:color="auto"/>
      </w:divBdr>
    </w:div>
    <w:div w:id="56055882">
      <w:bodyDiv w:val="1"/>
      <w:marLeft w:val="0"/>
      <w:marRight w:val="0"/>
      <w:marTop w:val="0"/>
      <w:marBottom w:val="0"/>
      <w:divBdr>
        <w:top w:val="none" w:sz="0" w:space="0" w:color="auto"/>
        <w:left w:val="none" w:sz="0" w:space="0" w:color="auto"/>
        <w:bottom w:val="none" w:sz="0" w:space="0" w:color="auto"/>
        <w:right w:val="none" w:sz="0" w:space="0" w:color="auto"/>
      </w:divBdr>
    </w:div>
    <w:div w:id="56169848">
      <w:bodyDiv w:val="1"/>
      <w:marLeft w:val="0"/>
      <w:marRight w:val="0"/>
      <w:marTop w:val="0"/>
      <w:marBottom w:val="0"/>
      <w:divBdr>
        <w:top w:val="none" w:sz="0" w:space="0" w:color="auto"/>
        <w:left w:val="none" w:sz="0" w:space="0" w:color="auto"/>
        <w:bottom w:val="none" w:sz="0" w:space="0" w:color="auto"/>
        <w:right w:val="none" w:sz="0" w:space="0" w:color="auto"/>
      </w:divBdr>
    </w:div>
    <w:div w:id="56173510">
      <w:bodyDiv w:val="1"/>
      <w:marLeft w:val="0"/>
      <w:marRight w:val="0"/>
      <w:marTop w:val="0"/>
      <w:marBottom w:val="0"/>
      <w:divBdr>
        <w:top w:val="none" w:sz="0" w:space="0" w:color="auto"/>
        <w:left w:val="none" w:sz="0" w:space="0" w:color="auto"/>
        <w:bottom w:val="none" w:sz="0" w:space="0" w:color="auto"/>
        <w:right w:val="none" w:sz="0" w:space="0" w:color="auto"/>
      </w:divBdr>
    </w:div>
    <w:div w:id="56443322">
      <w:bodyDiv w:val="1"/>
      <w:marLeft w:val="0"/>
      <w:marRight w:val="0"/>
      <w:marTop w:val="0"/>
      <w:marBottom w:val="0"/>
      <w:divBdr>
        <w:top w:val="none" w:sz="0" w:space="0" w:color="auto"/>
        <w:left w:val="none" w:sz="0" w:space="0" w:color="auto"/>
        <w:bottom w:val="none" w:sz="0" w:space="0" w:color="auto"/>
        <w:right w:val="none" w:sz="0" w:space="0" w:color="auto"/>
      </w:divBdr>
    </w:div>
    <w:div w:id="56511939">
      <w:bodyDiv w:val="1"/>
      <w:marLeft w:val="0"/>
      <w:marRight w:val="0"/>
      <w:marTop w:val="0"/>
      <w:marBottom w:val="0"/>
      <w:divBdr>
        <w:top w:val="none" w:sz="0" w:space="0" w:color="auto"/>
        <w:left w:val="none" w:sz="0" w:space="0" w:color="auto"/>
        <w:bottom w:val="none" w:sz="0" w:space="0" w:color="auto"/>
        <w:right w:val="none" w:sz="0" w:space="0" w:color="auto"/>
      </w:divBdr>
    </w:div>
    <w:div w:id="56586252">
      <w:bodyDiv w:val="1"/>
      <w:marLeft w:val="0"/>
      <w:marRight w:val="0"/>
      <w:marTop w:val="0"/>
      <w:marBottom w:val="0"/>
      <w:divBdr>
        <w:top w:val="none" w:sz="0" w:space="0" w:color="auto"/>
        <w:left w:val="none" w:sz="0" w:space="0" w:color="auto"/>
        <w:bottom w:val="none" w:sz="0" w:space="0" w:color="auto"/>
        <w:right w:val="none" w:sz="0" w:space="0" w:color="auto"/>
      </w:divBdr>
    </w:div>
    <w:div w:id="56586832">
      <w:bodyDiv w:val="1"/>
      <w:marLeft w:val="0"/>
      <w:marRight w:val="0"/>
      <w:marTop w:val="0"/>
      <w:marBottom w:val="0"/>
      <w:divBdr>
        <w:top w:val="none" w:sz="0" w:space="0" w:color="auto"/>
        <w:left w:val="none" w:sz="0" w:space="0" w:color="auto"/>
        <w:bottom w:val="none" w:sz="0" w:space="0" w:color="auto"/>
        <w:right w:val="none" w:sz="0" w:space="0" w:color="auto"/>
      </w:divBdr>
    </w:div>
    <w:div w:id="56631849">
      <w:bodyDiv w:val="1"/>
      <w:marLeft w:val="0"/>
      <w:marRight w:val="0"/>
      <w:marTop w:val="0"/>
      <w:marBottom w:val="0"/>
      <w:divBdr>
        <w:top w:val="none" w:sz="0" w:space="0" w:color="auto"/>
        <w:left w:val="none" w:sz="0" w:space="0" w:color="auto"/>
        <w:bottom w:val="none" w:sz="0" w:space="0" w:color="auto"/>
        <w:right w:val="none" w:sz="0" w:space="0" w:color="auto"/>
      </w:divBdr>
    </w:div>
    <w:div w:id="56705908">
      <w:bodyDiv w:val="1"/>
      <w:marLeft w:val="0"/>
      <w:marRight w:val="0"/>
      <w:marTop w:val="0"/>
      <w:marBottom w:val="0"/>
      <w:divBdr>
        <w:top w:val="none" w:sz="0" w:space="0" w:color="auto"/>
        <w:left w:val="none" w:sz="0" w:space="0" w:color="auto"/>
        <w:bottom w:val="none" w:sz="0" w:space="0" w:color="auto"/>
        <w:right w:val="none" w:sz="0" w:space="0" w:color="auto"/>
      </w:divBdr>
    </w:div>
    <w:div w:id="56709732">
      <w:bodyDiv w:val="1"/>
      <w:marLeft w:val="0"/>
      <w:marRight w:val="0"/>
      <w:marTop w:val="0"/>
      <w:marBottom w:val="0"/>
      <w:divBdr>
        <w:top w:val="none" w:sz="0" w:space="0" w:color="auto"/>
        <w:left w:val="none" w:sz="0" w:space="0" w:color="auto"/>
        <w:bottom w:val="none" w:sz="0" w:space="0" w:color="auto"/>
        <w:right w:val="none" w:sz="0" w:space="0" w:color="auto"/>
      </w:divBdr>
    </w:div>
    <w:div w:id="56711517">
      <w:bodyDiv w:val="1"/>
      <w:marLeft w:val="0"/>
      <w:marRight w:val="0"/>
      <w:marTop w:val="0"/>
      <w:marBottom w:val="0"/>
      <w:divBdr>
        <w:top w:val="none" w:sz="0" w:space="0" w:color="auto"/>
        <w:left w:val="none" w:sz="0" w:space="0" w:color="auto"/>
        <w:bottom w:val="none" w:sz="0" w:space="0" w:color="auto"/>
        <w:right w:val="none" w:sz="0" w:space="0" w:color="auto"/>
      </w:divBdr>
    </w:div>
    <w:div w:id="57091071">
      <w:bodyDiv w:val="1"/>
      <w:marLeft w:val="0"/>
      <w:marRight w:val="0"/>
      <w:marTop w:val="0"/>
      <w:marBottom w:val="0"/>
      <w:divBdr>
        <w:top w:val="none" w:sz="0" w:space="0" w:color="auto"/>
        <w:left w:val="none" w:sz="0" w:space="0" w:color="auto"/>
        <w:bottom w:val="none" w:sz="0" w:space="0" w:color="auto"/>
        <w:right w:val="none" w:sz="0" w:space="0" w:color="auto"/>
      </w:divBdr>
    </w:div>
    <w:div w:id="57479014">
      <w:bodyDiv w:val="1"/>
      <w:marLeft w:val="0"/>
      <w:marRight w:val="0"/>
      <w:marTop w:val="0"/>
      <w:marBottom w:val="0"/>
      <w:divBdr>
        <w:top w:val="none" w:sz="0" w:space="0" w:color="auto"/>
        <w:left w:val="none" w:sz="0" w:space="0" w:color="auto"/>
        <w:bottom w:val="none" w:sz="0" w:space="0" w:color="auto"/>
        <w:right w:val="none" w:sz="0" w:space="0" w:color="auto"/>
      </w:divBdr>
    </w:div>
    <w:div w:id="57482467">
      <w:bodyDiv w:val="1"/>
      <w:marLeft w:val="0"/>
      <w:marRight w:val="0"/>
      <w:marTop w:val="0"/>
      <w:marBottom w:val="0"/>
      <w:divBdr>
        <w:top w:val="none" w:sz="0" w:space="0" w:color="auto"/>
        <w:left w:val="none" w:sz="0" w:space="0" w:color="auto"/>
        <w:bottom w:val="none" w:sz="0" w:space="0" w:color="auto"/>
        <w:right w:val="none" w:sz="0" w:space="0" w:color="auto"/>
      </w:divBdr>
    </w:div>
    <w:div w:id="57557763">
      <w:bodyDiv w:val="1"/>
      <w:marLeft w:val="0"/>
      <w:marRight w:val="0"/>
      <w:marTop w:val="0"/>
      <w:marBottom w:val="0"/>
      <w:divBdr>
        <w:top w:val="none" w:sz="0" w:space="0" w:color="auto"/>
        <w:left w:val="none" w:sz="0" w:space="0" w:color="auto"/>
        <w:bottom w:val="none" w:sz="0" w:space="0" w:color="auto"/>
        <w:right w:val="none" w:sz="0" w:space="0" w:color="auto"/>
      </w:divBdr>
    </w:div>
    <w:div w:id="57559242">
      <w:bodyDiv w:val="1"/>
      <w:marLeft w:val="0"/>
      <w:marRight w:val="0"/>
      <w:marTop w:val="0"/>
      <w:marBottom w:val="0"/>
      <w:divBdr>
        <w:top w:val="none" w:sz="0" w:space="0" w:color="auto"/>
        <w:left w:val="none" w:sz="0" w:space="0" w:color="auto"/>
        <w:bottom w:val="none" w:sz="0" w:space="0" w:color="auto"/>
        <w:right w:val="none" w:sz="0" w:space="0" w:color="auto"/>
      </w:divBdr>
    </w:div>
    <w:div w:id="57674585">
      <w:bodyDiv w:val="1"/>
      <w:marLeft w:val="0"/>
      <w:marRight w:val="0"/>
      <w:marTop w:val="0"/>
      <w:marBottom w:val="0"/>
      <w:divBdr>
        <w:top w:val="none" w:sz="0" w:space="0" w:color="auto"/>
        <w:left w:val="none" w:sz="0" w:space="0" w:color="auto"/>
        <w:bottom w:val="none" w:sz="0" w:space="0" w:color="auto"/>
        <w:right w:val="none" w:sz="0" w:space="0" w:color="auto"/>
      </w:divBdr>
    </w:div>
    <w:div w:id="57746824">
      <w:bodyDiv w:val="1"/>
      <w:marLeft w:val="0"/>
      <w:marRight w:val="0"/>
      <w:marTop w:val="0"/>
      <w:marBottom w:val="0"/>
      <w:divBdr>
        <w:top w:val="none" w:sz="0" w:space="0" w:color="auto"/>
        <w:left w:val="none" w:sz="0" w:space="0" w:color="auto"/>
        <w:bottom w:val="none" w:sz="0" w:space="0" w:color="auto"/>
        <w:right w:val="none" w:sz="0" w:space="0" w:color="auto"/>
      </w:divBdr>
    </w:div>
    <w:div w:id="57749970">
      <w:bodyDiv w:val="1"/>
      <w:marLeft w:val="0"/>
      <w:marRight w:val="0"/>
      <w:marTop w:val="0"/>
      <w:marBottom w:val="0"/>
      <w:divBdr>
        <w:top w:val="none" w:sz="0" w:space="0" w:color="auto"/>
        <w:left w:val="none" w:sz="0" w:space="0" w:color="auto"/>
        <w:bottom w:val="none" w:sz="0" w:space="0" w:color="auto"/>
        <w:right w:val="none" w:sz="0" w:space="0" w:color="auto"/>
      </w:divBdr>
    </w:div>
    <w:div w:id="57753257">
      <w:bodyDiv w:val="1"/>
      <w:marLeft w:val="0"/>
      <w:marRight w:val="0"/>
      <w:marTop w:val="0"/>
      <w:marBottom w:val="0"/>
      <w:divBdr>
        <w:top w:val="none" w:sz="0" w:space="0" w:color="auto"/>
        <w:left w:val="none" w:sz="0" w:space="0" w:color="auto"/>
        <w:bottom w:val="none" w:sz="0" w:space="0" w:color="auto"/>
        <w:right w:val="none" w:sz="0" w:space="0" w:color="auto"/>
      </w:divBdr>
    </w:div>
    <w:div w:id="57821698">
      <w:bodyDiv w:val="1"/>
      <w:marLeft w:val="0"/>
      <w:marRight w:val="0"/>
      <w:marTop w:val="0"/>
      <w:marBottom w:val="0"/>
      <w:divBdr>
        <w:top w:val="none" w:sz="0" w:space="0" w:color="auto"/>
        <w:left w:val="none" w:sz="0" w:space="0" w:color="auto"/>
        <w:bottom w:val="none" w:sz="0" w:space="0" w:color="auto"/>
        <w:right w:val="none" w:sz="0" w:space="0" w:color="auto"/>
      </w:divBdr>
    </w:div>
    <w:div w:id="58016080">
      <w:bodyDiv w:val="1"/>
      <w:marLeft w:val="0"/>
      <w:marRight w:val="0"/>
      <w:marTop w:val="0"/>
      <w:marBottom w:val="0"/>
      <w:divBdr>
        <w:top w:val="none" w:sz="0" w:space="0" w:color="auto"/>
        <w:left w:val="none" w:sz="0" w:space="0" w:color="auto"/>
        <w:bottom w:val="none" w:sz="0" w:space="0" w:color="auto"/>
        <w:right w:val="none" w:sz="0" w:space="0" w:color="auto"/>
      </w:divBdr>
    </w:div>
    <w:div w:id="58022286">
      <w:bodyDiv w:val="1"/>
      <w:marLeft w:val="0"/>
      <w:marRight w:val="0"/>
      <w:marTop w:val="0"/>
      <w:marBottom w:val="0"/>
      <w:divBdr>
        <w:top w:val="none" w:sz="0" w:space="0" w:color="auto"/>
        <w:left w:val="none" w:sz="0" w:space="0" w:color="auto"/>
        <w:bottom w:val="none" w:sz="0" w:space="0" w:color="auto"/>
        <w:right w:val="none" w:sz="0" w:space="0" w:color="auto"/>
      </w:divBdr>
    </w:div>
    <w:div w:id="58023493">
      <w:bodyDiv w:val="1"/>
      <w:marLeft w:val="0"/>
      <w:marRight w:val="0"/>
      <w:marTop w:val="0"/>
      <w:marBottom w:val="0"/>
      <w:divBdr>
        <w:top w:val="none" w:sz="0" w:space="0" w:color="auto"/>
        <w:left w:val="none" w:sz="0" w:space="0" w:color="auto"/>
        <w:bottom w:val="none" w:sz="0" w:space="0" w:color="auto"/>
        <w:right w:val="none" w:sz="0" w:space="0" w:color="auto"/>
      </w:divBdr>
    </w:div>
    <w:div w:id="58215266">
      <w:bodyDiv w:val="1"/>
      <w:marLeft w:val="0"/>
      <w:marRight w:val="0"/>
      <w:marTop w:val="0"/>
      <w:marBottom w:val="0"/>
      <w:divBdr>
        <w:top w:val="none" w:sz="0" w:space="0" w:color="auto"/>
        <w:left w:val="none" w:sz="0" w:space="0" w:color="auto"/>
        <w:bottom w:val="none" w:sz="0" w:space="0" w:color="auto"/>
        <w:right w:val="none" w:sz="0" w:space="0" w:color="auto"/>
      </w:divBdr>
    </w:div>
    <w:div w:id="58286589">
      <w:bodyDiv w:val="1"/>
      <w:marLeft w:val="0"/>
      <w:marRight w:val="0"/>
      <w:marTop w:val="0"/>
      <w:marBottom w:val="0"/>
      <w:divBdr>
        <w:top w:val="none" w:sz="0" w:space="0" w:color="auto"/>
        <w:left w:val="none" w:sz="0" w:space="0" w:color="auto"/>
        <w:bottom w:val="none" w:sz="0" w:space="0" w:color="auto"/>
        <w:right w:val="none" w:sz="0" w:space="0" w:color="auto"/>
      </w:divBdr>
    </w:div>
    <w:div w:id="58328302">
      <w:bodyDiv w:val="1"/>
      <w:marLeft w:val="0"/>
      <w:marRight w:val="0"/>
      <w:marTop w:val="0"/>
      <w:marBottom w:val="0"/>
      <w:divBdr>
        <w:top w:val="none" w:sz="0" w:space="0" w:color="auto"/>
        <w:left w:val="none" w:sz="0" w:space="0" w:color="auto"/>
        <w:bottom w:val="none" w:sz="0" w:space="0" w:color="auto"/>
        <w:right w:val="none" w:sz="0" w:space="0" w:color="auto"/>
      </w:divBdr>
    </w:div>
    <w:div w:id="58526069">
      <w:bodyDiv w:val="1"/>
      <w:marLeft w:val="0"/>
      <w:marRight w:val="0"/>
      <w:marTop w:val="0"/>
      <w:marBottom w:val="0"/>
      <w:divBdr>
        <w:top w:val="none" w:sz="0" w:space="0" w:color="auto"/>
        <w:left w:val="none" w:sz="0" w:space="0" w:color="auto"/>
        <w:bottom w:val="none" w:sz="0" w:space="0" w:color="auto"/>
        <w:right w:val="none" w:sz="0" w:space="0" w:color="auto"/>
      </w:divBdr>
    </w:div>
    <w:div w:id="58595964">
      <w:bodyDiv w:val="1"/>
      <w:marLeft w:val="0"/>
      <w:marRight w:val="0"/>
      <w:marTop w:val="0"/>
      <w:marBottom w:val="0"/>
      <w:divBdr>
        <w:top w:val="none" w:sz="0" w:space="0" w:color="auto"/>
        <w:left w:val="none" w:sz="0" w:space="0" w:color="auto"/>
        <w:bottom w:val="none" w:sz="0" w:space="0" w:color="auto"/>
        <w:right w:val="none" w:sz="0" w:space="0" w:color="auto"/>
      </w:divBdr>
    </w:div>
    <w:div w:id="58679368">
      <w:bodyDiv w:val="1"/>
      <w:marLeft w:val="0"/>
      <w:marRight w:val="0"/>
      <w:marTop w:val="0"/>
      <w:marBottom w:val="0"/>
      <w:divBdr>
        <w:top w:val="none" w:sz="0" w:space="0" w:color="auto"/>
        <w:left w:val="none" w:sz="0" w:space="0" w:color="auto"/>
        <w:bottom w:val="none" w:sz="0" w:space="0" w:color="auto"/>
        <w:right w:val="none" w:sz="0" w:space="0" w:color="auto"/>
      </w:divBdr>
    </w:div>
    <w:div w:id="58788351">
      <w:bodyDiv w:val="1"/>
      <w:marLeft w:val="0"/>
      <w:marRight w:val="0"/>
      <w:marTop w:val="0"/>
      <w:marBottom w:val="0"/>
      <w:divBdr>
        <w:top w:val="none" w:sz="0" w:space="0" w:color="auto"/>
        <w:left w:val="none" w:sz="0" w:space="0" w:color="auto"/>
        <w:bottom w:val="none" w:sz="0" w:space="0" w:color="auto"/>
        <w:right w:val="none" w:sz="0" w:space="0" w:color="auto"/>
      </w:divBdr>
    </w:div>
    <w:div w:id="58789138">
      <w:bodyDiv w:val="1"/>
      <w:marLeft w:val="0"/>
      <w:marRight w:val="0"/>
      <w:marTop w:val="0"/>
      <w:marBottom w:val="0"/>
      <w:divBdr>
        <w:top w:val="none" w:sz="0" w:space="0" w:color="auto"/>
        <w:left w:val="none" w:sz="0" w:space="0" w:color="auto"/>
        <w:bottom w:val="none" w:sz="0" w:space="0" w:color="auto"/>
        <w:right w:val="none" w:sz="0" w:space="0" w:color="auto"/>
      </w:divBdr>
    </w:div>
    <w:div w:id="58795155">
      <w:bodyDiv w:val="1"/>
      <w:marLeft w:val="0"/>
      <w:marRight w:val="0"/>
      <w:marTop w:val="0"/>
      <w:marBottom w:val="0"/>
      <w:divBdr>
        <w:top w:val="none" w:sz="0" w:space="0" w:color="auto"/>
        <w:left w:val="none" w:sz="0" w:space="0" w:color="auto"/>
        <w:bottom w:val="none" w:sz="0" w:space="0" w:color="auto"/>
        <w:right w:val="none" w:sz="0" w:space="0" w:color="auto"/>
      </w:divBdr>
    </w:div>
    <w:div w:id="58863212">
      <w:bodyDiv w:val="1"/>
      <w:marLeft w:val="0"/>
      <w:marRight w:val="0"/>
      <w:marTop w:val="0"/>
      <w:marBottom w:val="0"/>
      <w:divBdr>
        <w:top w:val="none" w:sz="0" w:space="0" w:color="auto"/>
        <w:left w:val="none" w:sz="0" w:space="0" w:color="auto"/>
        <w:bottom w:val="none" w:sz="0" w:space="0" w:color="auto"/>
        <w:right w:val="none" w:sz="0" w:space="0" w:color="auto"/>
      </w:divBdr>
    </w:div>
    <w:div w:id="58864515">
      <w:bodyDiv w:val="1"/>
      <w:marLeft w:val="0"/>
      <w:marRight w:val="0"/>
      <w:marTop w:val="0"/>
      <w:marBottom w:val="0"/>
      <w:divBdr>
        <w:top w:val="none" w:sz="0" w:space="0" w:color="auto"/>
        <w:left w:val="none" w:sz="0" w:space="0" w:color="auto"/>
        <w:bottom w:val="none" w:sz="0" w:space="0" w:color="auto"/>
        <w:right w:val="none" w:sz="0" w:space="0" w:color="auto"/>
      </w:divBdr>
    </w:div>
    <w:div w:id="59058287">
      <w:bodyDiv w:val="1"/>
      <w:marLeft w:val="0"/>
      <w:marRight w:val="0"/>
      <w:marTop w:val="0"/>
      <w:marBottom w:val="0"/>
      <w:divBdr>
        <w:top w:val="none" w:sz="0" w:space="0" w:color="auto"/>
        <w:left w:val="none" w:sz="0" w:space="0" w:color="auto"/>
        <w:bottom w:val="none" w:sz="0" w:space="0" w:color="auto"/>
        <w:right w:val="none" w:sz="0" w:space="0" w:color="auto"/>
      </w:divBdr>
    </w:div>
    <w:div w:id="59136617">
      <w:bodyDiv w:val="1"/>
      <w:marLeft w:val="0"/>
      <w:marRight w:val="0"/>
      <w:marTop w:val="0"/>
      <w:marBottom w:val="0"/>
      <w:divBdr>
        <w:top w:val="none" w:sz="0" w:space="0" w:color="auto"/>
        <w:left w:val="none" w:sz="0" w:space="0" w:color="auto"/>
        <w:bottom w:val="none" w:sz="0" w:space="0" w:color="auto"/>
        <w:right w:val="none" w:sz="0" w:space="0" w:color="auto"/>
      </w:divBdr>
    </w:div>
    <w:div w:id="59179978">
      <w:bodyDiv w:val="1"/>
      <w:marLeft w:val="0"/>
      <w:marRight w:val="0"/>
      <w:marTop w:val="0"/>
      <w:marBottom w:val="0"/>
      <w:divBdr>
        <w:top w:val="none" w:sz="0" w:space="0" w:color="auto"/>
        <w:left w:val="none" w:sz="0" w:space="0" w:color="auto"/>
        <w:bottom w:val="none" w:sz="0" w:space="0" w:color="auto"/>
        <w:right w:val="none" w:sz="0" w:space="0" w:color="auto"/>
      </w:divBdr>
    </w:div>
    <w:div w:id="59328857">
      <w:bodyDiv w:val="1"/>
      <w:marLeft w:val="0"/>
      <w:marRight w:val="0"/>
      <w:marTop w:val="0"/>
      <w:marBottom w:val="0"/>
      <w:divBdr>
        <w:top w:val="none" w:sz="0" w:space="0" w:color="auto"/>
        <w:left w:val="none" w:sz="0" w:space="0" w:color="auto"/>
        <w:bottom w:val="none" w:sz="0" w:space="0" w:color="auto"/>
        <w:right w:val="none" w:sz="0" w:space="0" w:color="auto"/>
      </w:divBdr>
    </w:div>
    <w:div w:id="59445580">
      <w:bodyDiv w:val="1"/>
      <w:marLeft w:val="0"/>
      <w:marRight w:val="0"/>
      <w:marTop w:val="0"/>
      <w:marBottom w:val="0"/>
      <w:divBdr>
        <w:top w:val="none" w:sz="0" w:space="0" w:color="auto"/>
        <w:left w:val="none" w:sz="0" w:space="0" w:color="auto"/>
        <w:bottom w:val="none" w:sz="0" w:space="0" w:color="auto"/>
        <w:right w:val="none" w:sz="0" w:space="0" w:color="auto"/>
      </w:divBdr>
    </w:div>
    <w:div w:id="59446703">
      <w:bodyDiv w:val="1"/>
      <w:marLeft w:val="0"/>
      <w:marRight w:val="0"/>
      <w:marTop w:val="0"/>
      <w:marBottom w:val="0"/>
      <w:divBdr>
        <w:top w:val="none" w:sz="0" w:space="0" w:color="auto"/>
        <w:left w:val="none" w:sz="0" w:space="0" w:color="auto"/>
        <w:bottom w:val="none" w:sz="0" w:space="0" w:color="auto"/>
        <w:right w:val="none" w:sz="0" w:space="0" w:color="auto"/>
      </w:divBdr>
    </w:div>
    <w:div w:id="59639754">
      <w:bodyDiv w:val="1"/>
      <w:marLeft w:val="0"/>
      <w:marRight w:val="0"/>
      <w:marTop w:val="0"/>
      <w:marBottom w:val="0"/>
      <w:divBdr>
        <w:top w:val="none" w:sz="0" w:space="0" w:color="auto"/>
        <w:left w:val="none" w:sz="0" w:space="0" w:color="auto"/>
        <w:bottom w:val="none" w:sz="0" w:space="0" w:color="auto"/>
        <w:right w:val="none" w:sz="0" w:space="0" w:color="auto"/>
      </w:divBdr>
    </w:div>
    <w:div w:id="59642553">
      <w:bodyDiv w:val="1"/>
      <w:marLeft w:val="0"/>
      <w:marRight w:val="0"/>
      <w:marTop w:val="0"/>
      <w:marBottom w:val="0"/>
      <w:divBdr>
        <w:top w:val="none" w:sz="0" w:space="0" w:color="auto"/>
        <w:left w:val="none" w:sz="0" w:space="0" w:color="auto"/>
        <w:bottom w:val="none" w:sz="0" w:space="0" w:color="auto"/>
        <w:right w:val="none" w:sz="0" w:space="0" w:color="auto"/>
      </w:divBdr>
    </w:div>
    <w:div w:id="59790001">
      <w:bodyDiv w:val="1"/>
      <w:marLeft w:val="0"/>
      <w:marRight w:val="0"/>
      <w:marTop w:val="0"/>
      <w:marBottom w:val="0"/>
      <w:divBdr>
        <w:top w:val="none" w:sz="0" w:space="0" w:color="auto"/>
        <w:left w:val="none" w:sz="0" w:space="0" w:color="auto"/>
        <w:bottom w:val="none" w:sz="0" w:space="0" w:color="auto"/>
        <w:right w:val="none" w:sz="0" w:space="0" w:color="auto"/>
      </w:divBdr>
    </w:div>
    <w:div w:id="59906663">
      <w:bodyDiv w:val="1"/>
      <w:marLeft w:val="0"/>
      <w:marRight w:val="0"/>
      <w:marTop w:val="0"/>
      <w:marBottom w:val="0"/>
      <w:divBdr>
        <w:top w:val="none" w:sz="0" w:space="0" w:color="auto"/>
        <w:left w:val="none" w:sz="0" w:space="0" w:color="auto"/>
        <w:bottom w:val="none" w:sz="0" w:space="0" w:color="auto"/>
        <w:right w:val="none" w:sz="0" w:space="0" w:color="auto"/>
      </w:divBdr>
    </w:div>
    <w:div w:id="59910340">
      <w:bodyDiv w:val="1"/>
      <w:marLeft w:val="0"/>
      <w:marRight w:val="0"/>
      <w:marTop w:val="0"/>
      <w:marBottom w:val="0"/>
      <w:divBdr>
        <w:top w:val="none" w:sz="0" w:space="0" w:color="auto"/>
        <w:left w:val="none" w:sz="0" w:space="0" w:color="auto"/>
        <w:bottom w:val="none" w:sz="0" w:space="0" w:color="auto"/>
        <w:right w:val="none" w:sz="0" w:space="0" w:color="auto"/>
      </w:divBdr>
    </w:div>
    <w:div w:id="59912557">
      <w:bodyDiv w:val="1"/>
      <w:marLeft w:val="0"/>
      <w:marRight w:val="0"/>
      <w:marTop w:val="0"/>
      <w:marBottom w:val="0"/>
      <w:divBdr>
        <w:top w:val="none" w:sz="0" w:space="0" w:color="auto"/>
        <w:left w:val="none" w:sz="0" w:space="0" w:color="auto"/>
        <w:bottom w:val="none" w:sz="0" w:space="0" w:color="auto"/>
        <w:right w:val="none" w:sz="0" w:space="0" w:color="auto"/>
      </w:divBdr>
    </w:div>
    <w:div w:id="59914577">
      <w:bodyDiv w:val="1"/>
      <w:marLeft w:val="0"/>
      <w:marRight w:val="0"/>
      <w:marTop w:val="0"/>
      <w:marBottom w:val="0"/>
      <w:divBdr>
        <w:top w:val="none" w:sz="0" w:space="0" w:color="auto"/>
        <w:left w:val="none" w:sz="0" w:space="0" w:color="auto"/>
        <w:bottom w:val="none" w:sz="0" w:space="0" w:color="auto"/>
        <w:right w:val="none" w:sz="0" w:space="0" w:color="auto"/>
      </w:divBdr>
    </w:div>
    <w:div w:id="60179401">
      <w:bodyDiv w:val="1"/>
      <w:marLeft w:val="0"/>
      <w:marRight w:val="0"/>
      <w:marTop w:val="0"/>
      <w:marBottom w:val="0"/>
      <w:divBdr>
        <w:top w:val="none" w:sz="0" w:space="0" w:color="auto"/>
        <w:left w:val="none" w:sz="0" w:space="0" w:color="auto"/>
        <w:bottom w:val="none" w:sz="0" w:space="0" w:color="auto"/>
        <w:right w:val="none" w:sz="0" w:space="0" w:color="auto"/>
      </w:divBdr>
    </w:div>
    <w:div w:id="60324821">
      <w:bodyDiv w:val="1"/>
      <w:marLeft w:val="0"/>
      <w:marRight w:val="0"/>
      <w:marTop w:val="0"/>
      <w:marBottom w:val="0"/>
      <w:divBdr>
        <w:top w:val="none" w:sz="0" w:space="0" w:color="auto"/>
        <w:left w:val="none" w:sz="0" w:space="0" w:color="auto"/>
        <w:bottom w:val="none" w:sz="0" w:space="0" w:color="auto"/>
        <w:right w:val="none" w:sz="0" w:space="0" w:color="auto"/>
      </w:divBdr>
    </w:div>
    <w:div w:id="60369618">
      <w:bodyDiv w:val="1"/>
      <w:marLeft w:val="0"/>
      <w:marRight w:val="0"/>
      <w:marTop w:val="0"/>
      <w:marBottom w:val="0"/>
      <w:divBdr>
        <w:top w:val="none" w:sz="0" w:space="0" w:color="auto"/>
        <w:left w:val="none" w:sz="0" w:space="0" w:color="auto"/>
        <w:bottom w:val="none" w:sz="0" w:space="0" w:color="auto"/>
        <w:right w:val="none" w:sz="0" w:space="0" w:color="auto"/>
      </w:divBdr>
    </w:div>
    <w:div w:id="60446232">
      <w:bodyDiv w:val="1"/>
      <w:marLeft w:val="0"/>
      <w:marRight w:val="0"/>
      <w:marTop w:val="0"/>
      <w:marBottom w:val="0"/>
      <w:divBdr>
        <w:top w:val="none" w:sz="0" w:space="0" w:color="auto"/>
        <w:left w:val="none" w:sz="0" w:space="0" w:color="auto"/>
        <w:bottom w:val="none" w:sz="0" w:space="0" w:color="auto"/>
        <w:right w:val="none" w:sz="0" w:space="0" w:color="auto"/>
      </w:divBdr>
    </w:div>
    <w:div w:id="60451737">
      <w:bodyDiv w:val="1"/>
      <w:marLeft w:val="0"/>
      <w:marRight w:val="0"/>
      <w:marTop w:val="0"/>
      <w:marBottom w:val="0"/>
      <w:divBdr>
        <w:top w:val="none" w:sz="0" w:space="0" w:color="auto"/>
        <w:left w:val="none" w:sz="0" w:space="0" w:color="auto"/>
        <w:bottom w:val="none" w:sz="0" w:space="0" w:color="auto"/>
        <w:right w:val="none" w:sz="0" w:space="0" w:color="auto"/>
      </w:divBdr>
    </w:div>
    <w:div w:id="60564662">
      <w:bodyDiv w:val="1"/>
      <w:marLeft w:val="0"/>
      <w:marRight w:val="0"/>
      <w:marTop w:val="0"/>
      <w:marBottom w:val="0"/>
      <w:divBdr>
        <w:top w:val="none" w:sz="0" w:space="0" w:color="auto"/>
        <w:left w:val="none" w:sz="0" w:space="0" w:color="auto"/>
        <w:bottom w:val="none" w:sz="0" w:space="0" w:color="auto"/>
        <w:right w:val="none" w:sz="0" w:space="0" w:color="auto"/>
      </w:divBdr>
    </w:div>
    <w:div w:id="60569638">
      <w:bodyDiv w:val="1"/>
      <w:marLeft w:val="0"/>
      <w:marRight w:val="0"/>
      <w:marTop w:val="0"/>
      <w:marBottom w:val="0"/>
      <w:divBdr>
        <w:top w:val="none" w:sz="0" w:space="0" w:color="auto"/>
        <w:left w:val="none" w:sz="0" w:space="0" w:color="auto"/>
        <w:bottom w:val="none" w:sz="0" w:space="0" w:color="auto"/>
        <w:right w:val="none" w:sz="0" w:space="0" w:color="auto"/>
      </w:divBdr>
    </w:div>
    <w:div w:id="60638630">
      <w:bodyDiv w:val="1"/>
      <w:marLeft w:val="0"/>
      <w:marRight w:val="0"/>
      <w:marTop w:val="0"/>
      <w:marBottom w:val="0"/>
      <w:divBdr>
        <w:top w:val="none" w:sz="0" w:space="0" w:color="auto"/>
        <w:left w:val="none" w:sz="0" w:space="0" w:color="auto"/>
        <w:bottom w:val="none" w:sz="0" w:space="0" w:color="auto"/>
        <w:right w:val="none" w:sz="0" w:space="0" w:color="auto"/>
      </w:divBdr>
    </w:div>
    <w:div w:id="60717337">
      <w:bodyDiv w:val="1"/>
      <w:marLeft w:val="0"/>
      <w:marRight w:val="0"/>
      <w:marTop w:val="0"/>
      <w:marBottom w:val="0"/>
      <w:divBdr>
        <w:top w:val="none" w:sz="0" w:space="0" w:color="auto"/>
        <w:left w:val="none" w:sz="0" w:space="0" w:color="auto"/>
        <w:bottom w:val="none" w:sz="0" w:space="0" w:color="auto"/>
        <w:right w:val="none" w:sz="0" w:space="0" w:color="auto"/>
      </w:divBdr>
    </w:div>
    <w:div w:id="60830261">
      <w:bodyDiv w:val="1"/>
      <w:marLeft w:val="0"/>
      <w:marRight w:val="0"/>
      <w:marTop w:val="0"/>
      <w:marBottom w:val="0"/>
      <w:divBdr>
        <w:top w:val="none" w:sz="0" w:space="0" w:color="auto"/>
        <w:left w:val="none" w:sz="0" w:space="0" w:color="auto"/>
        <w:bottom w:val="none" w:sz="0" w:space="0" w:color="auto"/>
        <w:right w:val="none" w:sz="0" w:space="0" w:color="auto"/>
      </w:divBdr>
    </w:div>
    <w:div w:id="60909878">
      <w:bodyDiv w:val="1"/>
      <w:marLeft w:val="0"/>
      <w:marRight w:val="0"/>
      <w:marTop w:val="0"/>
      <w:marBottom w:val="0"/>
      <w:divBdr>
        <w:top w:val="none" w:sz="0" w:space="0" w:color="auto"/>
        <w:left w:val="none" w:sz="0" w:space="0" w:color="auto"/>
        <w:bottom w:val="none" w:sz="0" w:space="0" w:color="auto"/>
        <w:right w:val="none" w:sz="0" w:space="0" w:color="auto"/>
      </w:divBdr>
    </w:div>
    <w:div w:id="60954660">
      <w:bodyDiv w:val="1"/>
      <w:marLeft w:val="0"/>
      <w:marRight w:val="0"/>
      <w:marTop w:val="0"/>
      <w:marBottom w:val="0"/>
      <w:divBdr>
        <w:top w:val="none" w:sz="0" w:space="0" w:color="auto"/>
        <w:left w:val="none" w:sz="0" w:space="0" w:color="auto"/>
        <w:bottom w:val="none" w:sz="0" w:space="0" w:color="auto"/>
        <w:right w:val="none" w:sz="0" w:space="0" w:color="auto"/>
      </w:divBdr>
    </w:div>
    <w:div w:id="61032058">
      <w:bodyDiv w:val="1"/>
      <w:marLeft w:val="0"/>
      <w:marRight w:val="0"/>
      <w:marTop w:val="0"/>
      <w:marBottom w:val="0"/>
      <w:divBdr>
        <w:top w:val="none" w:sz="0" w:space="0" w:color="auto"/>
        <w:left w:val="none" w:sz="0" w:space="0" w:color="auto"/>
        <w:bottom w:val="none" w:sz="0" w:space="0" w:color="auto"/>
        <w:right w:val="none" w:sz="0" w:space="0" w:color="auto"/>
      </w:divBdr>
    </w:div>
    <w:div w:id="61149296">
      <w:bodyDiv w:val="1"/>
      <w:marLeft w:val="0"/>
      <w:marRight w:val="0"/>
      <w:marTop w:val="0"/>
      <w:marBottom w:val="0"/>
      <w:divBdr>
        <w:top w:val="none" w:sz="0" w:space="0" w:color="auto"/>
        <w:left w:val="none" w:sz="0" w:space="0" w:color="auto"/>
        <w:bottom w:val="none" w:sz="0" w:space="0" w:color="auto"/>
        <w:right w:val="none" w:sz="0" w:space="0" w:color="auto"/>
      </w:divBdr>
    </w:div>
    <w:div w:id="61173673">
      <w:bodyDiv w:val="1"/>
      <w:marLeft w:val="0"/>
      <w:marRight w:val="0"/>
      <w:marTop w:val="0"/>
      <w:marBottom w:val="0"/>
      <w:divBdr>
        <w:top w:val="none" w:sz="0" w:space="0" w:color="auto"/>
        <w:left w:val="none" w:sz="0" w:space="0" w:color="auto"/>
        <w:bottom w:val="none" w:sz="0" w:space="0" w:color="auto"/>
        <w:right w:val="none" w:sz="0" w:space="0" w:color="auto"/>
      </w:divBdr>
    </w:div>
    <w:div w:id="61300000">
      <w:bodyDiv w:val="1"/>
      <w:marLeft w:val="0"/>
      <w:marRight w:val="0"/>
      <w:marTop w:val="0"/>
      <w:marBottom w:val="0"/>
      <w:divBdr>
        <w:top w:val="none" w:sz="0" w:space="0" w:color="auto"/>
        <w:left w:val="none" w:sz="0" w:space="0" w:color="auto"/>
        <w:bottom w:val="none" w:sz="0" w:space="0" w:color="auto"/>
        <w:right w:val="none" w:sz="0" w:space="0" w:color="auto"/>
      </w:divBdr>
    </w:div>
    <w:div w:id="61300223">
      <w:bodyDiv w:val="1"/>
      <w:marLeft w:val="0"/>
      <w:marRight w:val="0"/>
      <w:marTop w:val="0"/>
      <w:marBottom w:val="0"/>
      <w:divBdr>
        <w:top w:val="none" w:sz="0" w:space="0" w:color="auto"/>
        <w:left w:val="none" w:sz="0" w:space="0" w:color="auto"/>
        <w:bottom w:val="none" w:sz="0" w:space="0" w:color="auto"/>
        <w:right w:val="none" w:sz="0" w:space="0" w:color="auto"/>
      </w:divBdr>
    </w:div>
    <w:div w:id="61300701">
      <w:bodyDiv w:val="1"/>
      <w:marLeft w:val="0"/>
      <w:marRight w:val="0"/>
      <w:marTop w:val="0"/>
      <w:marBottom w:val="0"/>
      <w:divBdr>
        <w:top w:val="none" w:sz="0" w:space="0" w:color="auto"/>
        <w:left w:val="none" w:sz="0" w:space="0" w:color="auto"/>
        <w:bottom w:val="none" w:sz="0" w:space="0" w:color="auto"/>
        <w:right w:val="none" w:sz="0" w:space="0" w:color="auto"/>
      </w:divBdr>
    </w:div>
    <w:div w:id="61342873">
      <w:bodyDiv w:val="1"/>
      <w:marLeft w:val="0"/>
      <w:marRight w:val="0"/>
      <w:marTop w:val="0"/>
      <w:marBottom w:val="0"/>
      <w:divBdr>
        <w:top w:val="none" w:sz="0" w:space="0" w:color="auto"/>
        <w:left w:val="none" w:sz="0" w:space="0" w:color="auto"/>
        <w:bottom w:val="none" w:sz="0" w:space="0" w:color="auto"/>
        <w:right w:val="none" w:sz="0" w:space="0" w:color="auto"/>
      </w:divBdr>
    </w:div>
    <w:div w:id="61409394">
      <w:bodyDiv w:val="1"/>
      <w:marLeft w:val="0"/>
      <w:marRight w:val="0"/>
      <w:marTop w:val="0"/>
      <w:marBottom w:val="0"/>
      <w:divBdr>
        <w:top w:val="none" w:sz="0" w:space="0" w:color="auto"/>
        <w:left w:val="none" w:sz="0" w:space="0" w:color="auto"/>
        <w:bottom w:val="none" w:sz="0" w:space="0" w:color="auto"/>
        <w:right w:val="none" w:sz="0" w:space="0" w:color="auto"/>
      </w:divBdr>
    </w:div>
    <w:div w:id="61486791">
      <w:bodyDiv w:val="1"/>
      <w:marLeft w:val="0"/>
      <w:marRight w:val="0"/>
      <w:marTop w:val="0"/>
      <w:marBottom w:val="0"/>
      <w:divBdr>
        <w:top w:val="none" w:sz="0" w:space="0" w:color="auto"/>
        <w:left w:val="none" w:sz="0" w:space="0" w:color="auto"/>
        <w:bottom w:val="none" w:sz="0" w:space="0" w:color="auto"/>
        <w:right w:val="none" w:sz="0" w:space="0" w:color="auto"/>
      </w:divBdr>
    </w:div>
    <w:div w:id="61562262">
      <w:bodyDiv w:val="1"/>
      <w:marLeft w:val="0"/>
      <w:marRight w:val="0"/>
      <w:marTop w:val="0"/>
      <w:marBottom w:val="0"/>
      <w:divBdr>
        <w:top w:val="none" w:sz="0" w:space="0" w:color="auto"/>
        <w:left w:val="none" w:sz="0" w:space="0" w:color="auto"/>
        <w:bottom w:val="none" w:sz="0" w:space="0" w:color="auto"/>
        <w:right w:val="none" w:sz="0" w:space="0" w:color="auto"/>
      </w:divBdr>
    </w:div>
    <w:div w:id="61567584">
      <w:bodyDiv w:val="1"/>
      <w:marLeft w:val="0"/>
      <w:marRight w:val="0"/>
      <w:marTop w:val="0"/>
      <w:marBottom w:val="0"/>
      <w:divBdr>
        <w:top w:val="none" w:sz="0" w:space="0" w:color="auto"/>
        <w:left w:val="none" w:sz="0" w:space="0" w:color="auto"/>
        <w:bottom w:val="none" w:sz="0" w:space="0" w:color="auto"/>
        <w:right w:val="none" w:sz="0" w:space="0" w:color="auto"/>
      </w:divBdr>
    </w:div>
    <w:div w:id="61568815">
      <w:bodyDiv w:val="1"/>
      <w:marLeft w:val="0"/>
      <w:marRight w:val="0"/>
      <w:marTop w:val="0"/>
      <w:marBottom w:val="0"/>
      <w:divBdr>
        <w:top w:val="none" w:sz="0" w:space="0" w:color="auto"/>
        <w:left w:val="none" w:sz="0" w:space="0" w:color="auto"/>
        <w:bottom w:val="none" w:sz="0" w:space="0" w:color="auto"/>
        <w:right w:val="none" w:sz="0" w:space="0" w:color="auto"/>
      </w:divBdr>
    </w:div>
    <w:div w:id="61607195">
      <w:bodyDiv w:val="1"/>
      <w:marLeft w:val="0"/>
      <w:marRight w:val="0"/>
      <w:marTop w:val="0"/>
      <w:marBottom w:val="0"/>
      <w:divBdr>
        <w:top w:val="none" w:sz="0" w:space="0" w:color="auto"/>
        <w:left w:val="none" w:sz="0" w:space="0" w:color="auto"/>
        <w:bottom w:val="none" w:sz="0" w:space="0" w:color="auto"/>
        <w:right w:val="none" w:sz="0" w:space="0" w:color="auto"/>
      </w:divBdr>
    </w:div>
    <w:div w:id="61607305">
      <w:bodyDiv w:val="1"/>
      <w:marLeft w:val="0"/>
      <w:marRight w:val="0"/>
      <w:marTop w:val="0"/>
      <w:marBottom w:val="0"/>
      <w:divBdr>
        <w:top w:val="none" w:sz="0" w:space="0" w:color="auto"/>
        <w:left w:val="none" w:sz="0" w:space="0" w:color="auto"/>
        <w:bottom w:val="none" w:sz="0" w:space="0" w:color="auto"/>
        <w:right w:val="none" w:sz="0" w:space="0" w:color="auto"/>
      </w:divBdr>
    </w:div>
    <w:div w:id="61681185">
      <w:bodyDiv w:val="1"/>
      <w:marLeft w:val="0"/>
      <w:marRight w:val="0"/>
      <w:marTop w:val="0"/>
      <w:marBottom w:val="0"/>
      <w:divBdr>
        <w:top w:val="none" w:sz="0" w:space="0" w:color="auto"/>
        <w:left w:val="none" w:sz="0" w:space="0" w:color="auto"/>
        <w:bottom w:val="none" w:sz="0" w:space="0" w:color="auto"/>
        <w:right w:val="none" w:sz="0" w:space="0" w:color="auto"/>
      </w:divBdr>
    </w:div>
    <w:div w:id="61684080">
      <w:bodyDiv w:val="1"/>
      <w:marLeft w:val="0"/>
      <w:marRight w:val="0"/>
      <w:marTop w:val="0"/>
      <w:marBottom w:val="0"/>
      <w:divBdr>
        <w:top w:val="none" w:sz="0" w:space="0" w:color="auto"/>
        <w:left w:val="none" w:sz="0" w:space="0" w:color="auto"/>
        <w:bottom w:val="none" w:sz="0" w:space="0" w:color="auto"/>
        <w:right w:val="none" w:sz="0" w:space="0" w:color="auto"/>
      </w:divBdr>
    </w:div>
    <w:div w:id="61829525">
      <w:bodyDiv w:val="1"/>
      <w:marLeft w:val="0"/>
      <w:marRight w:val="0"/>
      <w:marTop w:val="0"/>
      <w:marBottom w:val="0"/>
      <w:divBdr>
        <w:top w:val="none" w:sz="0" w:space="0" w:color="auto"/>
        <w:left w:val="none" w:sz="0" w:space="0" w:color="auto"/>
        <w:bottom w:val="none" w:sz="0" w:space="0" w:color="auto"/>
        <w:right w:val="none" w:sz="0" w:space="0" w:color="auto"/>
      </w:divBdr>
    </w:div>
    <w:div w:id="62021695">
      <w:bodyDiv w:val="1"/>
      <w:marLeft w:val="0"/>
      <w:marRight w:val="0"/>
      <w:marTop w:val="0"/>
      <w:marBottom w:val="0"/>
      <w:divBdr>
        <w:top w:val="none" w:sz="0" w:space="0" w:color="auto"/>
        <w:left w:val="none" w:sz="0" w:space="0" w:color="auto"/>
        <w:bottom w:val="none" w:sz="0" w:space="0" w:color="auto"/>
        <w:right w:val="none" w:sz="0" w:space="0" w:color="auto"/>
      </w:divBdr>
    </w:div>
    <w:div w:id="62064939">
      <w:bodyDiv w:val="1"/>
      <w:marLeft w:val="0"/>
      <w:marRight w:val="0"/>
      <w:marTop w:val="0"/>
      <w:marBottom w:val="0"/>
      <w:divBdr>
        <w:top w:val="none" w:sz="0" w:space="0" w:color="auto"/>
        <w:left w:val="none" w:sz="0" w:space="0" w:color="auto"/>
        <w:bottom w:val="none" w:sz="0" w:space="0" w:color="auto"/>
        <w:right w:val="none" w:sz="0" w:space="0" w:color="auto"/>
      </w:divBdr>
    </w:div>
    <w:div w:id="62147164">
      <w:bodyDiv w:val="1"/>
      <w:marLeft w:val="0"/>
      <w:marRight w:val="0"/>
      <w:marTop w:val="0"/>
      <w:marBottom w:val="0"/>
      <w:divBdr>
        <w:top w:val="none" w:sz="0" w:space="0" w:color="auto"/>
        <w:left w:val="none" w:sz="0" w:space="0" w:color="auto"/>
        <w:bottom w:val="none" w:sz="0" w:space="0" w:color="auto"/>
        <w:right w:val="none" w:sz="0" w:space="0" w:color="auto"/>
      </w:divBdr>
    </w:div>
    <w:div w:id="62149218">
      <w:bodyDiv w:val="1"/>
      <w:marLeft w:val="0"/>
      <w:marRight w:val="0"/>
      <w:marTop w:val="0"/>
      <w:marBottom w:val="0"/>
      <w:divBdr>
        <w:top w:val="none" w:sz="0" w:space="0" w:color="auto"/>
        <w:left w:val="none" w:sz="0" w:space="0" w:color="auto"/>
        <w:bottom w:val="none" w:sz="0" w:space="0" w:color="auto"/>
        <w:right w:val="none" w:sz="0" w:space="0" w:color="auto"/>
      </w:divBdr>
    </w:div>
    <w:div w:id="62339471">
      <w:bodyDiv w:val="1"/>
      <w:marLeft w:val="0"/>
      <w:marRight w:val="0"/>
      <w:marTop w:val="0"/>
      <w:marBottom w:val="0"/>
      <w:divBdr>
        <w:top w:val="none" w:sz="0" w:space="0" w:color="auto"/>
        <w:left w:val="none" w:sz="0" w:space="0" w:color="auto"/>
        <w:bottom w:val="none" w:sz="0" w:space="0" w:color="auto"/>
        <w:right w:val="none" w:sz="0" w:space="0" w:color="auto"/>
      </w:divBdr>
    </w:div>
    <w:div w:id="62340357">
      <w:bodyDiv w:val="1"/>
      <w:marLeft w:val="0"/>
      <w:marRight w:val="0"/>
      <w:marTop w:val="0"/>
      <w:marBottom w:val="0"/>
      <w:divBdr>
        <w:top w:val="none" w:sz="0" w:space="0" w:color="auto"/>
        <w:left w:val="none" w:sz="0" w:space="0" w:color="auto"/>
        <w:bottom w:val="none" w:sz="0" w:space="0" w:color="auto"/>
        <w:right w:val="none" w:sz="0" w:space="0" w:color="auto"/>
      </w:divBdr>
    </w:div>
    <w:div w:id="62532757">
      <w:bodyDiv w:val="1"/>
      <w:marLeft w:val="0"/>
      <w:marRight w:val="0"/>
      <w:marTop w:val="0"/>
      <w:marBottom w:val="0"/>
      <w:divBdr>
        <w:top w:val="none" w:sz="0" w:space="0" w:color="auto"/>
        <w:left w:val="none" w:sz="0" w:space="0" w:color="auto"/>
        <w:bottom w:val="none" w:sz="0" w:space="0" w:color="auto"/>
        <w:right w:val="none" w:sz="0" w:space="0" w:color="auto"/>
      </w:divBdr>
    </w:div>
    <w:div w:id="62800354">
      <w:bodyDiv w:val="1"/>
      <w:marLeft w:val="0"/>
      <w:marRight w:val="0"/>
      <w:marTop w:val="0"/>
      <w:marBottom w:val="0"/>
      <w:divBdr>
        <w:top w:val="none" w:sz="0" w:space="0" w:color="auto"/>
        <w:left w:val="none" w:sz="0" w:space="0" w:color="auto"/>
        <w:bottom w:val="none" w:sz="0" w:space="0" w:color="auto"/>
        <w:right w:val="none" w:sz="0" w:space="0" w:color="auto"/>
      </w:divBdr>
    </w:div>
    <w:div w:id="62876662">
      <w:bodyDiv w:val="1"/>
      <w:marLeft w:val="0"/>
      <w:marRight w:val="0"/>
      <w:marTop w:val="0"/>
      <w:marBottom w:val="0"/>
      <w:divBdr>
        <w:top w:val="none" w:sz="0" w:space="0" w:color="auto"/>
        <w:left w:val="none" w:sz="0" w:space="0" w:color="auto"/>
        <w:bottom w:val="none" w:sz="0" w:space="0" w:color="auto"/>
        <w:right w:val="none" w:sz="0" w:space="0" w:color="auto"/>
      </w:divBdr>
    </w:div>
    <w:div w:id="62921202">
      <w:bodyDiv w:val="1"/>
      <w:marLeft w:val="0"/>
      <w:marRight w:val="0"/>
      <w:marTop w:val="0"/>
      <w:marBottom w:val="0"/>
      <w:divBdr>
        <w:top w:val="none" w:sz="0" w:space="0" w:color="auto"/>
        <w:left w:val="none" w:sz="0" w:space="0" w:color="auto"/>
        <w:bottom w:val="none" w:sz="0" w:space="0" w:color="auto"/>
        <w:right w:val="none" w:sz="0" w:space="0" w:color="auto"/>
      </w:divBdr>
    </w:div>
    <w:div w:id="63453255">
      <w:bodyDiv w:val="1"/>
      <w:marLeft w:val="0"/>
      <w:marRight w:val="0"/>
      <w:marTop w:val="0"/>
      <w:marBottom w:val="0"/>
      <w:divBdr>
        <w:top w:val="none" w:sz="0" w:space="0" w:color="auto"/>
        <w:left w:val="none" w:sz="0" w:space="0" w:color="auto"/>
        <w:bottom w:val="none" w:sz="0" w:space="0" w:color="auto"/>
        <w:right w:val="none" w:sz="0" w:space="0" w:color="auto"/>
      </w:divBdr>
    </w:div>
    <w:div w:id="63602546">
      <w:bodyDiv w:val="1"/>
      <w:marLeft w:val="0"/>
      <w:marRight w:val="0"/>
      <w:marTop w:val="0"/>
      <w:marBottom w:val="0"/>
      <w:divBdr>
        <w:top w:val="none" w:sz="0" w:space="0" w:color="auto"/>
        <w:left w:val="none" w:sz="0" w:space="0" w:color="auto"/>
        <w:bottom w:val="none" w:sz="0" w:space="0" w:color="auto"/>
        <w:right w:val="none" w:sz="0" w:space="0" w:color="auto"/>
      </w:divBdr>
    </w:div>
    <w:div w:id="63646312">
      <w:bodyDiv w:val="1"/>
      <w:marLeft w:val="0"/>
      <w:marRight w:val="0"/>
      <w:marTop w:val="0"/>
      <w:marBottom w:val="0"/>
      <w:divBdr>
        <w:top w:val="none" w:sz="0" w:space="0" w:color="auto"/>
        <w:left w:val="none" w:sz="0" w:space="0" w:color="auto"/>
        <w:bottom w:val="none" w:sz="0" w:space="0" w:color="auto"/>
        <w:right w:val="none" w:sz="0" w:space="0" w:color="auto"/>
      </w:divBdr>
    </w:div>
    <w:div w:id="63646502">
      <w:bodyDiv w:val="1"/>
      <w:marLeft w:val="0"/>
      <w:marRight w:val="0"/>
      <w:marTop w:val="0"/>
      <w:marBottom w:val="0"/>
      <w:divBdr>
        <w:top w:val="none" w:sz="0" w:space="0" w:color="auto"/>
        <w:left w:val="none" w:sz="0" w:space="0" w:color="auto"/>
        <w:bottom w:val="none" w:sz="0" w:space="0" w:color="auto"/>
        <w:right w:val="none" w:sz="0" w:space="0" w:color="auto"/>
      </w:divBdr>
    </w:div>
    <w:div w:id="63652742">
      <w:bodyDiv w:val="1"/>
      <w:marLeft w:val="0"/>
      <w:marRight w:val="0"/>
      <w:marTop w:val="0"/>
      <w:marBottom w:val="0"/>
      <w:divBdr>
        <w:top w:val="none" w:sz="0" w:space="0" w:color="auto"/>
        <w:left w:val="none" w:sz="0" w:space="0" w:color="auto"/>
        <w:bottom w:val="none" w:sz="0" w:space="0" w:color="auto"/>
        <w:right w:val="none" w:sz="0" w:space="0" w:color="auto"/>
      </w:divBdr>
    </w:div>
    <w:div w:id="63836869">
      <w:bodyDiv w:val="1"/>
      <w:marLeft w:val="0"/>
      <w:marRight w:val="0"/>
      <w:marTop w:val="0"/>
      <w:marBottom w:val="0"/>
      <w:divBdr>
        <w:top w:val="none" w:sz="0" w:space="0" w:color="auto"/>
        <w:left w:val="none" w:sz="0" w:space="0" w:color="auto"/>
        <w:bottom w:val="none" w:sz="0" w:space="0" w:color="auto"/>
        <w:right w:val="none" w:sz="0" w:space="0" w:color="auto"/>
      </w:divBdr>
    </w:div>
    <w:div w:id="63841507">
      <w:bodyDiv w:val="1"/>
      <w:marLeft w:val="0"/>
      <w:marRight w:val="0"/>
      <w:marTop w:val="0"/>
      <w:marBottom w:val="0"/>
      <w:divBdr>
        <w:top w:val="none" w:sz="0" w:space="0" w:color="auto"/>
        <w:left w:val="none" w:sz="0" w:space="0" w:color="auto"/>
        <w:bottom w:val="none" w:sz="0" w:space="0" w:color="auto"/>
        <w:right w:val="none" w:sz="0" w:space="0" w:color="auto"/>
      </w:divBdr>
    </w:div>
    <w:div w:id="63843415">
      <w:bodyDiv w:val="1"/>
      <w:marLeft w:val="0"/>
      <w:marRight w:val="0"/>
      <w:marTop w:val="0"/>
      <w:marBottom w:val="0"/>
      <w:divBdr>
        <w:top w:val="none" w:sz="0" w:space="0" w:color="auto"/>
        <w:left w:val="none" w:sz="0" w:space="0" w:color="auto"/>
        <w:bottom w:val="none" w:sz="0" w:space="0" w:color="auto"/>
        <w:right w:val="none" w:sz="0" w:space="0" w:color="auto"/>
      </w:divBdr>
    </w:div>
    <w:div w:id="63913456">
      <w:bodyDiv w:val="1"/>
      <w:marLeft w:val="0"/>
      <w:marRight w:val="0"/>
      <w:marTop w:val="0"/>
      <w:marBottom w:val="0"/>
      <w:divBdr>
        <w:top w:val="none" w:sz="0" w:space="0" w:color="auto"/>
        <w:left w:val="none" w:sz="0" w:space="0" w:color="auto"/>
        <w:bottom w:val="none" w:sz="0" w:space="0" w:color="auto"/>
        <w:right w:val="none" w:sz="0" w:space="0" w:color="auto"/>
      </w:divBdr>
    </w:div>
    <w:div w:id="63918926">
      <w:bodyDiv w:val="1"/>
      <w:marLeft w:val="0"/>
      <w:marRight w:val="0"/>
      <w:marTop w:val="0"/>
      <w:marBottom w:val="0"/>
      <w:divBdr>
        <w:top w:val="none" w:sz="0" w:space="0" w:color="auto"/>
        <w:left w:val="none" w:sz="0" w:space="0" w:color="auto"/>
        <w:bottom w:val="none" w:sz="0" w:space="0" w:color="auto"/>
        <w:right w:val="none" w:sz="0" w:space="0" w:color="auto"/>
      </w:divBdr>
    </w:div>
    <w:div w:id="63989929">
      <w:bodyDiv w:val="1"/>
      <w:marLeft w:val="0"/>
      <w:marRight w:val="0"/>
      <w:marTop w:val="0"/>
      <w:marBottom w:val="0"/>
      <w:divBdr>
        <w:top w:val="none" w:sz="0" w:space="0" w:color="auto"/>
        <w:left w:val="none" w:sz="0" w:space="0" w:color="auto"/>
        <w:bottom w:val="none" w:sz="0" w:space="0" w:color="auto"/>
        <w:right w:val="none" w:sz="0" w:space="0" w:color="auto"/>
      </w:divBdr>
    </w:div>
    <w:div w:id="64186323">
      <w:bodyDiv w:val="1"/>
      <w:marLeft w:val="0"/>
      <w:marRight w:val="0"/>
      <w:marTop w:val="0"/>
      <w:marBottom w:val="0"/>
      <w:divBdr>
        <w:top w:val="none" w:sz="0" w:space="0" w:color="auto"/>
        <w:left w:val="none" w:sz="0" w:space="0" w:color="auto"/>
        <w:bottom w:val="none" w:sz="0" w:space="0" w:color="auto"/>
        <w:right w:val="none" w:sz="0" w:space="0" w:color="auto"/>
      </w:divBdr>
    </w:div>
    <w:div w:id="64300779">
      <w:bodyDiv w:val="1"/>
      <w:marLeft w:val="0"/>
      <w:marRight w:val="0"/>
      <w:marTop w:val="0"/>
      <w:marBottom w:val="0"/>
      <w:divBdr>
        <w:top w:val="none" w:sz="0" w:space="0" w:color="auto"/>
        <w:left w:val="none" w:sz="0" w:space="0" w:color="auto"/>
        <w:bottom w:val="none" w:sz="0" w:space="0" w:color="auto"/>
        <w:right w:val="none" w:sz="0" w:space="0" w:color="auto"/>
      </w:divBdr>
    </w:div>
    <w:div w:id="64306867">
      <w:bodyDiv w:val="1"/>
      <w:marLeft w:val="0"/>
      <w:marRight w:val="0"/>
      <w:marTop w:val="0"/>
      <w:marBottom w:val="0"/>
      <w:divBdr>
        <w:top w:val="none" w:sz="0" w:space="0" w:color="auto"/>
        <w:left w:val="none" w:sz="0" w:space="0" w:color="auto"/>
        <w:bottom w:val="none" w:sz="0" w:space="0" w:color="auto"/>
        <w:right w:val="none" w:sz="0" w:space="0" w:color="auto"/>
      </w:divBdr>
    </w:div>
    <w:div w:id="64378791">
      <w:bodyDiv w:val="1"/>
      <w:marLeft w:val="0"/>
      <w:marRight w:val="0"/>
      <w:marTop w:val="0"/>
      <w:marBottom w:val="0"/>
      <w:divBdr>
        <w:top w:val="none" w:sz="0" w:space="0" w:color="auto"/>
        <w:left w:val="none" w:sz="0" w:space="0" w:color="auto"/>
        <w:bottom w:val="none" w:sz="0" w:space="0" w:color="auto"/>
        <w:right w:val="none" w:sz="0" w:space="0" w:color="auto"/>
      </w:divBdr>
    </w:div>
    <w:div w:id="64378978">
      <w:bodyDiv w:val="1"/>
      <w:marLeft w:val="0"/>
      <w:marRight w:val="0"/>
      <w:marTop w:val="0"/>
      <w:marBottom w:val="0"/>
      <w:divBdr>
        <w:top w:val="none" w:sz="0" w:space="0" w:color="auto"/>
        <w:left w:val="none" w:sz="0" w:space="0" w:color="auto"/>
        <w:bottom w:val="none" w:sz="0" w:space="0" w:color="auto"/>
        <w:right w:val="none" w:sz="0" w:space="0" w:color="auto"/>
      </w:divBdr>
    </w:div>
    <w:div w:id="64379265">
      <w:bodyDiv w:val="1"/>
      <w:marLeft w:val="0"/>
      <w:marRight w:val="0"/>
      <w:marTop w:val="0"/>
      <w:marBottom w:val="0"/>
      <w:divBdr>
        <w:top w:val="none" w:sz="0" w:space="0" w:color="auto"/>
        <w:left w:val="none" w:sz="0" w:space="0" w:color="auto"/>
        <w:bottom w:val="none" w:sz="0" w:space="0" w:color="auto"/>
        <w:right w:val="none" w:sz="0" w:space="0" w:color="auto"/>
      </w:divBdr>
    </w:div>
    <w:div w:id="64450088">
      <w:bodyDiv w:val="1"/>
      <w:marLeft w:val="0"/>
      <w:marRight w:val="0"/>
      <w:marTop w:val="0"/>
      <w:marBottom w:val="0"/>
      <w:divBdr>
        <w:top w:val="none" w:sz="0" w:space="0" w:color="auto"/>
        <w:left w:val="none" w:sz="0" w:space="0" w:color="auto"/>
        <w:bottom w:val="none" w:sz="0" w:space="0" w:color="auto"/>
        <w:right w:val="none" w:sz="0" w:space="0" w:color="auto"/>
      </w:divBdr>
    </w:div>
    <w:div w:id="64573251">
      <w:bodyDiv w:val="1"/>
      <w:marLeft w:val="0"/>
      <w:marRight w:val="0"/>
      <w:marTop w:val="0"/>
      <w:marBottom w:val="0"/>
      <w:divBdr>
        <w:top w:val="none" w:sz="0" w:space="0" w:color="auto"/>
        <w:left w:val="none" w:sz="0" w:space="0" w:color="auto"/>
        <w:bottom w:val="none" w:sz="0" w:space="0" w:color="auto"/>
        <w:right w:val="none" w:sz="0" w:space="0" w:color="auto"/>
      </w:divBdr>
    </w:div>
    <w:div w:id="64643610">
      <w:bodyDiv w:val="1"/>
      <w:marLeft w:val="0"/>
      <w:marRight w:val="0"/>
      <w:marTop w:val="0"/>
      <w:marBottom w:val="0"/>
      <w:divBdr>
        <w:top w:val="none" w:sz="0" w:space="0" w:color="auto"/>
        <w:left w:val="none" w:sz="0" w:space="0" w:color="auto"/>
        <w:bottom w:val="none" w:sz="0" w:space="0" w:color="auto"/>
        <w:right w:val="none" w:sz="0" w:space="0" w:color="auto"/>
      </w:divBdr>
    </w:div>
    <w:div w:id="64648355">
      <w:bodyDiv w:val="1"/>
      <w:marLeft w:val="0"/>
      <w:marRight w:val="0"/>
      <w:marTop w:val="0"/>
      <w:marBottom w:val="0"/>
      <w:divBdr>
        <w:top w:val="none" w:sz="0" w:space="0" w:color="auto"/>
        <w:left w:val="none" w:sz="0" w:space="0" w:color="auto"/>
        <w:bottom w:val="none" w:sz="0" w:space="0" w:color="auto"/>
        <w:right w:val="none" w:sz="0" w:space="0" w:color="auto"/>
      </w:divBdr>
    </w:div>
    <w:div w:id="64689566">
      <w:bodyDiv w:val="1"/>
      <w:marLeft w:val="0"/>
      <w:marRight w:val="0"/>
      <w:marTop w:val="0"/>
      <w:marBottom w:val="0"/>
      <w:divBdr>
        <w:top w:val="none" w:sz="0" w:space="0" w:color="auto"/>
        <w:left w:val="none" w:sz="0" w:space="0" w:color="auto"/>
        <w:bottom w:val="none" w:sz="0" w:space="0" w:color="auto"/>
        <w:right w:val="none" w:sz="0" w:space="0" w:color="auto"/>
      </w:divBdr>
    </w:div>
    <w:div w:id="64693882">
      <w:bodyDiv w:val="1"/>
      <w:marLeft w:val="0"/>
      <w:marRight w:val="0"/>
      <w:marTop w:val="0"/>
      <w:marBottom w:val="0"/>
      <w:divBdr>
        <w:top w:val="none" w:sz="0" w:space="0" w:color="auto"/>
        <w:left w:val="none" w:sz="0" w:space="0" w:color="auto"/>
        <w:bottom w:val="none" w:sz="0" w:space="0" w:color="auto"/>
        <w:right w:val="none" w:sz="0" w:space="0" w:color="auto"/>
      </w:divBdr>
    </w:div>
    <w:div w:id="64769745">
      <w:bodyDiv w:val="1"/>
      <w:marLeft w:val="0"/>
      <w:marRight w:val="0"/>
      <w:marTop w:val="0"/>
      <w:marBottom w:val="0"/>
      <w:divBdr>
        <w:top w:val="none" w:sz="0" w:space="0" w:color="auto"/>
        <w:left w:val="none" w:sz="0" w:space="0" w:color="auto"/>
        <w:bottom w:val="none" w:sz="0" w:space="0" w:color="auto"/>
        <w:right w:val="none" w:sz="0" w:space="0" w:color="auto"/>
      </w:divBdr>
    </w:div>
    <w:div w:id="64837439">
      <w:bodyDiv w:val="1"/>
      <w:marLeft w:val="0"/>
      <w:marRight w:val="0"/>
      <w:marTop w:val="0"/>
      <w:marBottom w:val="0"/>
      <w:divBdr>
        <w:top w:val="none" w:sz="0" w:space="0" w:color="auto"/>
        <w:left w:val="none" w:sz="0" w:space="0" w:color="auto"/>
        <w:bottom w:val="none" w:sz="0" w:space="0" w:color="auto"/>
        <w:right w:val="none" w:sz="0" w:space="0" w:color="auto"/>
      </w:divBdr>
    </w:div>
    <w:div w:id="64887618">
      <w:bodyDiv w:val="1"/>
      <w:marLeft w:val="0"/>
      <w:marRight w:val="0"/>
      <w:marTop w:val="0"/>
      <w:marBottom w:val="0"/>
      <w:divBdr>
        <w:top w:val="none" w:sz="0" w:space="0" w:color="auto"/>
        <w:left w:val="none" w:sz="0" w:space="0" w:color="auto"/>
        <w:bottom w:val="none" w:sz="0" w:space="0" w:color="auto"/>
        <w:right w:val="none" w:sz="0" w:space="0" w:color="auto"/>
      </w:divBdr>
    </w:div>
    <w:div w:id="64912774">
      <w:bodyDiv w:val="1"/>
      <w:marLeft w:val="0"/>
      <w:marRight w:val="0"/>
      <w:marTop w:val="0"/>
      <w:marBottom w:val="0"/>
      <w:divBdr>
        <w:top w:val="none" w:sz="0" w:space="0" w:color="auto"/>
        <w:left w:val="none" w:sz="0" w:space="0" w:color="auto"/>
        <w:bottom w:val="none" w:sz="0" w:space="0" w:color="auto"/>
        <w:right w:val="none" w:sz="0" w:space="0" w:color="auto"/>
      </w:divBdr>
    </w:div>
    <w:div w:id="64954885">
      <w:bodyDiv w:val="1"/>
      <w:marLeft w:val="0"/>
      <w:marRight w:val="0"/>
      <w:marTop w:val="0"/>
      <w:marBottom w:val="0"/>
      <w:divBdr>
        <w:top w:val="none" w:sz="0" w:space="0" w:color="auto"/>
        <w:left w:val="none" w:sz="0" w:space="0" w:color="auto"/>
        <w:bottom w:val="none" w:sz="0" w:space="0" w:color="auto"/>
        <w:right w:val="none" w:sz="0" w:space="0" w:color="auto"/>
      </w:divBdr>
    </w:div>
    <w:div w:id="65148067">
      <w:bodyDiv w:val="1"/>
      <w:marLeft w:val="0"/>
      <w:marRight w:val="0"/>
      <w:marTop w:val="0"/>
      <w:marBottom w:val="0"/>
      <w:divBdr>
        <w:top w:val="none" w:sz="0" w:space="0" w:color="auto"/>
        <w:left w:val="none" w:sz="0" w:space="0" w:color="auto"/>
        <w:bottom w:val="none" w:sz="0" w:space="0" w:color="auto"/>
        <w:right w:val="none" w:sz="0" w:space="0" w:color="auto"/>
      </w:divBdr>
    </w:div>
    <w:div w:id="65155679">
      <w:bodyDiv w:val="1"/>
      <w:marLeft w:val="0"/>
      <w:marRight w:val="0"/>
      <w:marTop w:val="0"/>
      <w:marBottom w:val="0"/>
      <w:divBdr>
        <w:top w:val="none" w:sz="0" w:space="0" w:color="auto"/>
        <w:left w:val="none" w:sz="0" w:space="0" w:color="auto"/>
        <w:bottom w:val="none" w:sz="0" w:space="0" w:color="auto"/>
        <w:right w:val="none" w:sz="0" w:space="0" w:color="auto"/>
      </w:divBdr>
    </w:div>
    <w:div w:id="65230765">
      <w:bodyDiv w:val="1"/>
      <w:marLeft w:val="0"/>
      <w:marRight w:val="0"/>
      <w:marTop w:val="0"/>
      <w:marBottom w:val="0"/>
      <w:divBdr>
        <w:top w:val="none" w:sz="0" w:space="0" w:color="auto"/>
        <w:left w:val="none" w:sz="0" w:space="0" w:color="auto"/>
        <w:bottom w:val="none" w:sz="0" w:space="0" w:color="auto"/>
        <w:right w:val="none" w:sz="0" w:space="0" w:color="auto"/>
      </w:divBdr>
    </w:div>
    <w:div w:id="65302029">
      <w:bodyDiv w:val="1"/>
      <w:marLeft w:val="0"/>
      <w:marRight w:val="0"/>
      <w:marTop w:val="0"/>
      <w:marBottom w:val="0"/>
      <w:divBdr>
        <w:top w:val="none" w:sz="0" w:space="0" w:color="auto"/>
        <w:left w:val="none" w:sz="0" w:space="0" w:color="auto"/>
        <w:bottom w:val="none" w:sz="0" w:space="0" w:color="auto"/>
        <w:right w:val="none" w:sz="0" w:space="0" w:color="auto"/>
      </w:divBdr>
    </w:div>
    <w:div w:id="65423024">
      <w:bodyDiv w:val="1"/>
      <w:marLeft w:val="0"/>
      <w:marRight w:val="0"/>
      <w:marTop w:val="0"/>
      <w:marBottom w:val="0"/>
      <w:divBdr>
        <w:top w:val="none" w:sz="0" w:space="0" w:color="auto"/>
        <w:left w:val="none" w:sz="0" w:space="0" w:color="auto"/>
        <w:bottom w:val="none" w:sz="0" w:space="0" w:color="auto"/>
        <w:right w:val="none" w:sz="0" w:space="0" w:color="auto"/>
      </w:divBdr>
    </w:div>
    <w:div w:id="65492373">
      <w:bodyDiv w:val="1"/>
      <w:marLeft w:val="0"/>
      <w:marRight w:val="0"/>
      <w:marTop w:val="0"/>
      <w:marBottom w:val="0"/>
      <w:divBdr>
        <w:top w:val="none" w:sz="0" w:space="0" w:color="auto"/>
        <w:left w:val="none" w:sz="0" w:space="0" w:color="auto"/>
        <w:bottom w:val="none" w:sz="0" w:space="0" w:color="auto"/>
        <w:right w:val="none" w:sz="0" w:space="0" w:color="auto"/>
      </w:divBdr>
    </w:div>
    <w:div w:id="65538166">
      <w:bodyDiv w:val="1"/>
      <w:marLeft w:val="0"/>
      <w:marRight w:val="0"/>
      <w:marTop w:val="0"/>
      <w:marBottom w:val="0"/>
      <w:divBdr>
        <w:top w:val="none" w:sz="0" w:space="0" w:color="auto"/>
        <w:left w:val="none" w:sz="0" w:space="0" w:color="auto"/>
        <w:bottom w:val="none" w:sz="0" w:space="0" w:color="auto"/>
        <w:right w:val="none" w:sz="0" w:space="0" w:color="auto"/>
      </w:divBdr>
    </w:div>
    <w:div w:id="65539810">
      <w:bodyDiv w:val="1"/>
      <w:marLeft w:val="0"/>
      <w:marRight w:val="0"/>
      <w:marTop w:val="0"/>
      <w:marBottom w:val="0"/>
      <w:divBdr>
        <w:top w:val="none" w:sz="0" w:space="0" w:color="auto"/>
        <w:left w:val="none" w:sz="0" w:space="0" w:color="auto"/>
        <w:bottom w:val="none" w:sz="0" w:space="0" w:color="auto"/>
        <w:right w:val="none" w:sz="0" w:space="0" w:color="auto"/>
      </w:divBdr>
    </w:div>
    <w:div w:id="65542185">
      <w:bodyDiv w:val="1"/>
      <w:marLeft w:val="0"/>
      <w:marRight w:val="0"/>
      <w:marTop w:val="0"/>
      <w:marBottom w:val="0"/>
      <w:divBdr>
        <w:top w:val="none" w:sz="0" w:space="0" w:color="auto"/>
        <w:left w:val="none" w:sz="0" w:space="0" w:color="auto"/>
        <w:bottom w:val="none" w:sz="0" w:space="0" w:color="auto"/>
        <w:right w:val="none" w:sz="0" w:space="0" w:color="auto"/>
      </w:divBdr>
    </w:div>
    <w:div w:id="65542445">
      <w:bodyDiv w:val="1"/>
      <w:marLeft w:val="0"/>
      <w:marRight w:val="0"/>
      <w:marTop w:val="0"/>
      <w:marBottom w:val="0"/>
      <w:divBdr>
        <w:top w:val="none" w:sz="0" w:space="0" w:color="auto"/>
        <w:left w:val="none" w:sz="0" w:space="0" w:color="auto"/>
        <w:bottom w:val="none" w:sz="0" w:space="0" w:color="auto"/>
        <w:right w:val="none" w:sz="0" w:space="0" w:color="auto"/>
      </w:divBdr>
    </w:div>
    <w:div w:id="65694204">
      <w:bodyDiv w:val="1"/>
      <w:marLeft w:val="0"/>
      <w:marRight w:val="0"/>
      <w:marTop w:val="0"/>
      <w:marBottom w:val="0"/>
      <w:divBdr>
        <w:top w:val="none" w:sz="0" w:space="0" w:color="auto"/>
        <w:left w:val="none" w:sz="0" w:space="0" w:color="auto"/>
        <w:bottom w:val="none" w:sz="0" w:space="0" w:color="auto"/>
        <w:right w:val="none" w:sz="0" w:space="0" w:color="auto"/>
      </w:divBdr>
    </w:div>
    <w:div w:id="65733057">
      <w:bodyDiv w:val="1"/>
      <w:marLeft w:val="0"/>
      <w:marRight w:val="0"/>
      <w:marTop w:val="0"/>
      <w:marBottom w:val="0"/>
      <w:divBdr>
        <w:top w:val="none" w:sz="0" w:space="0" w:color="auto"/>
        <w:left w:val="none" w:sz="0" w:space="0" w:color="auto"/>
        <w:bottom w:val="none" w:sz="0" w:space="0" w:color="auto"/>
        <w:right w:val="none" w:sz="0" w:space="0" w:color="auto"/>
      </w:divBdr>
    </w:div>
    <w:div w:id="65954365">
      <w:bodyDiv w:val="1"/>
      <w:marLeft w:val="0"/>
      <w:marRight w:val="0"/>
      <w:marTop w:val="0"/>
      <w:marBottom w:val="0"/>
      <w:divBdr>
        <w:top w:val="none" w:sz="0" w:space="0" w:color="auto"/>
        <w:left w:val="none" w:sz="0" w:space="0" w:color="auto"/>
        <w:bottom w:val="none" w:sz="0" w:space="0" w:color="auto"/>
        <w:right w:val="none" w:sz="0" w:space="0" w:color="auto"/>
      </w:divBdr>
    </w:div>
    <w:div w:id="66072530">
      <w:bodyDiv w:val="1"/>
      <w:marLeft w:val="0"/>
      <w:marRight w:val="0"/>
      <w:marTop w:val="0"/>
      <w:marBottom w:val="0"/>
      <w:divBdr>
        <w:top w:val="none" w:sz="0" w:space="0" w:color="auto"/>
        <w:left w:val="none" w:sz="0" w:space="0" w:color="auto"/>
        <w:bottom w:val="none" w:sz="0" w:space="0" w:color="auto"/>
        <w:right w:val="none" w:sz="0" w:space="0" w:color="auto"/>
      </w:divBdr>
    </w:div>
    <w:div w:id="66074903">
      <w:bodyDiv w:val="1"/>
      <w:marLeft w:val="0"/>
      <w:marRight w:val="0"/>
      <w:marTop w:val="0"/>
      <w:marBottom w:val="0"/>
      <w:divBdr>
        <w:top w:val="none" w:sz="0" w:space="0" w:color="auto"/>
        <w:left w:val="none" w:sz="0" w:space="0" w:color="auto"/>
        <w:bottom w:val="none" w:sz="0" w:space="0" w:color="auto"/>
        <w:right w:val="none" w:sz="0" w:space="0" w:color="auto"/>
      </w:divBdr>
    </w:div>
    <w:div w:id="66223075">
      <w:bodyDiv w:val="1"/>
      <w:marLeft w:val="0"/>
      <w:marRight w:val="0"/>
      <w:marTop w:val="0"/>
      <w:marBottom w:val="0"/>
      <w:divBdr>
        <w:top w:val="none" w:sz="0" w:space="0" w:color="auto"/>
        <w:left w:val="none" w:sz="0" w:space="0" w:color="auto"/>
        <w:bottom w:val="none" w:sz="0" w:space="0" w:color="auto"/>
        <w:right w:val="none" w:sz="0" w:space="0" w:color="auto"/>
      </w:divBdr>
    </w:div>
    <w:div w:id="66266979">
      <w:bodyDiv w:val="1"/>
      <w:marLeft w:val="0"/>
      <w:marRight w:val="0"/>
      <w:marTop w:val="0"/>
      <w:marBottom w:val="0"/>
      <w:divBdr>
        <w:top w:val="none" w:sz="0" w:space="0" w:color="auto"/>
        <w:left w:val="none" w:sz="0" w:space="0" w:color="auto"/>
        <w:bottom w:val="none" w:sz="0" w:space="0" w:color="auto"/>
        <w:right w:val="none" w:sz="0" w:space="0" w:color="auto"/>
      </w:divBdr>
    </w:div>
    <w:div w:id="66270742">
      <w:bodyDiv w:val="1"/>
      <w:marLeft w:val="0"/>
      <w:marRight w:val="0"/>
      <w:marTop w:val="0"/>
      <w:marBottom w:val="0"/>
      <w:divBdr>
        <w:top w:val="none" w:sz="0" w:space="0" w:color="auto"/>
        <w:left w:val="none" w:sz="0" w:space="0" w:color="auto"/>
        <w:bottom w:val="none" w:sz="0" w:space="0" w:color="auto"/>
        <w:right w:val="none" w:sz="0" w:space="0" w:color="auto"/>
      </w:divBdr>
    </w:div>
    <w:div w:id="66391777">
      <w:bodyDiv w:val="1"/>
      <w:marLeft w:val="0"/>
      <w:marRight w:val="0"/>
      <w:marTop w:val="0"/>
      <w:marBottom w:val="0"/>
      <w:divBdr>
        <w:top w:val="none" w:sz="0" w:space="0" w:color="auto"/>
        <w:left w:val="none" w:sz="0" w:space="0" w:color="auto"/>
        <w:bottom w:val="none" w:sz="0" w:space="0" w:color="auto"/>
        <w:right w:val="none" w:sz="0" w:space="0" w:color="auto"/>
      </w:divBdr>
    </w:div>
    <w:div w:id="66462109">
      <w:bodyDiv w:val="1"/>
      <w:marLeft w:val="0"/>
      <w:marRight w:val="0"/>
      <w:marTop w:val="0"/>
      <w:marBottom w:val="0"/>
      <w:divBdr>
        <w:top w:val="none" w:sz="0" w:space="0" w:color="auto"/>
        <w:left w:val="none" w:sz="0" w:space="0" w:color="auto"/>
        <w:bottom w:val="none" w:sz="0" w:space="0" w:color="auto"/>
        <w:right w:val="none" w:sz="0" w:space="0" w:color="auto"/>
      </w:divBdr>
    </w:div>
    <w:div w:id="66732555">
      <w:bodyDiv w:val="1"/>
      <w:marLeft w:val="0"/>
      <w:marRight w:val="0"/>
      <w:marTop w:val="0"/>
      <w:marBottom w:val="0"/>
      <w:divBdr>
        <w:top w:val="none" w:sz="0" w:space="0" w:color="auto"/>
        <w:left w:val="none" w:sz="0" w:space="0" w:color="auto"/>
        <w:bottom w:val="none" w:sz="0" w:space="0" w:color="auto"/>
        <w:right w:val="none" w:sz="0" w:space="0" w:color="auto"/>
      </w:divBdr>
    </w:div>
    <w:div w:id="66802636">
      <w:bodyDiv w:val="1"/>
      <w:marLeft w:val="0"/>
      <w:marRight w:val="0"/>
      <w:marTop w:val="0"/>
      <w:marBottom w:val="0"/>
      <w:divBdr>
        <w:top w:val="none" w:sz="0" w:space="0" w:color="auto"/>
        <w:left w:val="none" w:sz="0" w:space="0" w:color="auto"/>
        <w:bottom w:val="none" w:sz="0" w:space="0" w:color="auto"/>
        <w:right w:val="none" w:sz="0" w:space="0" w:color="auto"/>
      </w:divBdr>
    </w:div>
    <w:div w:id="66807083">
      <w:bodyDiv w:val="1"/>
      <w:marLeft w:val="0"/>
      <w:marRight w:val="0"/>
      <w:marTop w:val="0"/>
      <w:marBottom w:val="0"/>
      <w:divBdr>
        <w:top w:val="none" w:sz="0" w:space="0" w:color="auto"/>
        <w:left w:val="none" w:sz="0" w:space="0" w:color="auto"/>
        <w:bottom w:val="none" w:sz="0" w:space="0" w:color="auto"/>
        <w:right w:val="none" w:sz="0" w:space="0" w:color="auto"/>
      </w:divBdr>
    </w:div>
    <w:div w:id="66878878">
      <w:bodyDiv w:val="1"/>
      <w:marLeft w:val="0"/>
      <w:marRight w:val="0"/>
      <w:marTop w:val="0"/>
      <w:marBottom w:val="0"/>
      <w:divBdr>
        <w:top w:val="none" w:sz="0" w:space="0" w:color="auto"/>
        <w:left w:val="none" w:sz="0" w:space="0" w:color="auto"/>
        <w:bottom w:val="none" w:sz="0" w:space="0" w:color="auto"/>
        <w:right w:val="none" w:sz="0" w:space="0" w:color="auto"/>
      </w:divBdr>
    </w:div>
    <w:div w:id="67000764">
      <w:bodyDiv w:val="1"/>
      <w:marLeft w:val="0"/>
      <w:marRight w:val="0"/>
      <w:marTop w:val="0"/>
      <w:marBottom w:val="0"/>
      <w:divBdr>
        <w:top w:val="none" w:sz="0" w:space="0" w:color="auto"/>
        <w:left w:val="none" w:sz="0" w:space="0" w:color="auto"/>
        <w:bottom w:val="none" w:sz="0" w:space="0" w:color="auto"/>
        <w:right w:val="none" w:sz="0" w:space="0" w:color="auto"/>
      </w:divBdr>
    </w:div>
    <w:div w:id="67044384">
      <w:bodyDiv w:val="1"/>
      <w:marLeft w:val="0"/>
      <w:marRight w:val="0"/>
      <w:marTop w:val="0"/>
      <w:marBottom w:val="0"/>
      <w:divBdr>
        <w:top w:val="none" w:sz="0" w:space="0" w:color="auto"/>
        <w:left w:val="none" w:sz="0" w:space="0" w:color="auto"/>
        <w:bottom w:val="none" w:sz="0" w:space="0" w:color="auto"/>
        <w:right w:val="none" w:sz="0" w:space="0" w:color="auto"/>
      </w:divBdr>
    </w:div>
    <w:div w:id="67045255">
      <w:bodyDiv w:val="1"/>
      <w:marLeft w:val="0"/>
      <w:marRight w:val="0"/>
      <w:marTop w:val="0"/>
      <w:marBottom w:val="0"/>
      <w:divBdr>
        <w:top w:val="none" w:sz="0" w:space="0" w:color="auto"/>
        <w:left w:val="none" w:sz="0" w:space="0" w:color="auto"/>
        <w:bottom w:val="none" w:sz="0" w:space="0" w:color="auto"/>
        <w:right w:val="none" w:sz="0" w:space="0" w:color="auto"/>
      </w:divBdr>
    </w:div>
    <w:div w:id="67191679">
      <w:bodyDiv w:val="1"/>
      <w:marLeft w:val="0"/>
      <w:marRight w:val="0"/>
      <w:marTop w:val="0"/>
      <w:marBottom w:val="0"/>
      <w:divBdr>
        <w:top w:val="none" w:sz="0" w:space="0" w:color="auto"/>
        <w:left w:val="none" w:sz="0" w:space="0" w:color="auto"/>
        <w:bottom w:val="none" w:sz="0" w:space="0" w:color="auto"/>
        <w:right w:val="none" w:sz="0" w:space="0" w:color="auto"/>
      </w:divBdr>
    </w:div>
    <w:div w:id="67271474">
      <w:bodyDiv w:val="1"/>
      <w:marLeft w:val="0"/>
      <w:marRight w:val="0"/>
      <w:marTop w:val="0"/>
      <w:marBottom w:val="0"/>
      <w:divBdr>
        <w:top w:val="none" w:sz="0" w:space="0" w:color="auto"/>
        <w:left w:val="none" w:sz="0" w:space="0" w:color="auto"/>
        <w:bottom w:val="none" w:sz="0" w:space="0" w:color="auto"/>
        <w:right w:val="none" w:sz="0" w:space="0" w:color="auto"/>
      </w:divBdr>
    </w:div>
    <w:div w:id="67310884">
      <w:bodyDiv w:val="1"/>
      <w:marLeft w:val="0"/>
      <w:marRight w:val="0"/>
      <w:marTop w:val="0"/>
      <w:marBottom w:val="0"/>
      <w:divBdr>
        <w:top w:val="none" w:sz="0" w:space="0" w:color="auto"/>
        <w:left w:val="none" w:sz="0" w:space="0" w:color="auto"/>
        <w:bottom w:val="none" w:sz="0" w:space="0" w:color="auto"/>
        <w:right w:val="none" w:sz="0" w:space="0" w:color="auto"/>
      </w:divBdr>
    </w:div>
    <w:div w:id="67457306">
      <w:bodyDiv w:val="1"/>
      <w:marLeft w:val="0"/>
      <w:marRight w:val="0"/>
      <w:marTop w:val="0"/>
      <w:marBottom w:val="0"/>
      <w:divBdr>
        <w:top w:val="none" w:sz="0" w:space="0" w:color="auto"/>
        <w:left w:val="none" w:sz="0" w:space="0" w:color="auto"/>
        <w:bottom w:val="none" w:sz="0" w:space="0" w:color="auto"/>
        <w:right w:val="none" w:sz="0" w:space="0" w:color="auto"/>
      </w:divBdr>
    </w:div>
    <w:div w:id="67461704">
      <w:bodyDiv w:val="1"/>
      <w:marLeft w:val="0"/>
      <w:marRight w:val="0"/>
      <w:marTop w:val="0"/>
      <w:marBottom w:val="0"/>
      <w:divBdr>
        <w:top w:val="none" w:sz="0" w:space="0" w:color="auto"/>
        <w:left w:val="none" w:sz="0" w:space="0" w:color="auto"/>
        <w:bottom w:val="none" w:sz="0" w:space="0" w:color="auto"/>
        <w:right w:val="none" w:sz="0" w:space="0" w:color="auto"/>
      </w:divBdr>
    </w:div>
    <w:div w:id="67462766">
      <w:bodyDiv w:val="1"/>
      <w:marLeft w:val="0"/>
      <w:marRight w:val="0"/>
      <w:marTop w:val="0"/>
      <w:marBottom w:val="0"/>
      <w:divBdr>
        <w:top w:val="none" w:sz="0" w:space="0" w:color="auto"/>
        <w:left w:val="none" w:sz="0" w:space="0" w:color="auto"/>
        <w:bottom w:val="none" w:sz="0" w:space="0" w:color="auto"/>
        <w:right w:val="none" w:sz="0" w:space="0" w:color="auto"/>
      </w:divBdr>
    </w:div>
    <w:div w:id="67466358">
      <w:bodyDiv w:val="1"/>
      <w:marLeft w:val="0"/>
      <w:marRight w:val="0"/>
      <w:marTop w:val="0"/>
      <w:marBottom w:val="0"/>
      <w:divBdr>
        <w:top w:val="none" w:sz="0" w:space="0" w:color="auto"/>
        <w:left w:val="none" w:sz="0" w:space="0" w:color="auto"/>
        <w:bottom w:val="none" w:sz="0" w:space="0" w:color="auto"/>
        <w:right w:val="none" w:sz="0" w:space="0" w:color="auto"/>
      </w:divBdr>
    </w:div>
    <w:div w:id="67652480">
      <w:bodyDiv w:val="1"/>
      <w:marLeft w:val="0"/>
      <w:marRight w:val="0"/>
      <w:marTop w:val="0"/>
      <w:marBottom w:val="0"/>
      <w:divBdr>
        <w:top w:val="none" w:sz="0" w:space="0" w:color="auto"/>
        <w:left w:val="none" w:sz="0" w:space="0" w:color="auto"/>
        <w:bottom w:val="none" w:sz="0" w:space="0" w:color="auto"/>
        <w:right w:val="none" w:sz="0" w:space="0" w:color="auto"/>
      </w:divBdr>
    </w:div>
    <w:div w:id="67844732">
      <w:bodyDiv w:val="1"/>
      <w:marLeft w:val="0"/>
      <w:marRight w:val="0"/>
      <w:marTop w:val="0"/>
      <w:marBottom w:val="0"/>
      <w:divBdr>
        <w:top w:val="none" w:sz="0" w:space="0" w:color="auto"/>
        <w:left w:val="none" w:sz="0" w:space="0" w:color="auto"/>
        <w:bottom w:val="none" w:sz="0" w:space="0" w:color="auto"/>
        <w:right w:val="none" w:sz="0" w:space="0" w:color="auto"/>
      </w:divBdr>
    </w:div>
    <w:div w:id="67850025">
      <w:bodyDiv w:val="1"/>
      <w:marLeft w:val="0"/>
      <w:marRight w:val="0"/>
      <w:marTop w:val="0"/>
      <w:marBottom w:val="0"/>
      <w:divBdr>
        <w:top w:val="none" w:sz="0" w:space="0" w:color="auto"/>
        <w:left w:val="none" w:sz="0" w:space="0" w:color="auto"/>
        <w:bottom w:val="none" w:sz="0" w:space="0" w:color="auto"/>
        <w:right w:val="none" w:sz="0" w:space="0" w:color="auto"/>
      </w:divBdr>
    </w:div>
    <w:div w:id="67919984">
      <w:bodyDiv w:val="1"/>
      <w:marLeft w:val="0"/>
      <w:marRight w:val="0"/>
      <w:marTop w:val="0"/>
      <w:marBottom w:val="0"/>
      <w:divBdr>
        <w:top w:val="none" w:sz="0" w:space="0" w:color="auto"/>
        <w:left w:val="none" w:sz="0" w:space="0" w:color="auto"/>
        <w:bottom w:val="none" w:sz="0" w:space="0" w:color="auto"/>
        <w:right w:val="none" w:sz="0" w:space="0" w:color="auto"/>
      </w:divBdr>
    </w:div>
    <w:div w:id="67966770">
      <w:bodyDiv w:val="1"/>
      <w:marLeft w:val="0"/>
      <w:marRight w:val="0"/>
      <w:marTop w:val="0"/>
      <w:marBottom w:val="0"/>
      <w:divBdr>
        <w:top w:val="none" w:sz="0" w:space="0" w:color="auto"/>
        <w:left w:val="none" w:sz="0" w:space="0" w:color="auto"/>
        <w:bottom w:val="none" w:sz="0" w:space="0" w:color="auto"/>
        <w:right w:val="none" w:sz="0" w:space="0" w:color="auto"/>
      </w:divBdr>
    </w:div>
    <w:div w:id="67971164">
      <w:bodyDiv w:val="1"/>
      <w:marLeft w:val="0"/>
      <w:marRight w:val="0"/>
      <w:marTop w:val="0"/>
      <w:marBottom w:val="0"/>
      <w:divBdr>
        <w:top w:val="none" w:sz="0" w:space="0" w:color="auto"/>
        <w:left w:val="none" w:sz="0" w:space="0" w:color="auto"/>
        <w:bottom w:val="none" w:sz="0" w:space="0" w:color="auto"/>
        <w:right w:val="none" w:sz="0" w:space="0" w:color="auto"/>
      </w:divBdr>
    </w:div>
    <w:div w:id="68043911">
      <w:bodyDiv w:val="1"/>
      <w:marLeft w:val="0"/>
      <w:marRight w:val="0"/>
      <w:marTop w:val="0"/>
      <w:marBottom w:val="0"/>
      <w:divBdr>
        <w:top w:val="none" w:sz="0" w:space="0" w:color="auto"/>
        <w:left w:val="none" w:sz="0" w:space="0" w:color="auto"/>
        <w:bottom w:val="none" w:sz="0" w:space="0" w:color="auto"/>
        <w:right w:val="none" w:sz="0" w:space="0" w:color="auto"/>
      </w:divBdr>
    </w:div>
    <w:div w:id="68121467">
      <w:bodyDiv w:val="1"/>
      <w:marLeft w:val="0"/>
      <w:marRight w:val="0"/>
      <w:marTop w:val="0"/>
      <w:marBottom w:val="0"/>
      <w:divBdr>
        <w:top w:val="none" w:sz="0" w:space="0" w:color="auto"/>
        <w:left w:val="none" w:sz="0" w:space="0" w:color="auto"/>
        <w:bottom w:val="none" w:sz="0" w:space="0" w:color="auto"/>
        <w:right w:val="none" w:sz="0" w:space="0" w:color="auto"/>
      </w:divBdr>
    </w:div>
    <w:div w:id="68187995">
      <w:bodyDiv w:val="1"/>
      <w:marLeft w:val="0"/>
      <w:marRight w:val="0"/>
      <w:marTop w:val="0"/>
      <w:marBottom w:val="0"/>
      <w:divBdr>
        <w:top w:val="none" w:sz="0" w:space="0" w:color="auto"/>
        <w:left w:val="none" w:sz="0" w:space="0" w:color="auto"/>
        <w:bottom w:val="none" w:sz="0" w:space="0" w:color="auto"/>
        <w:right w:val="none" w:sz="0" w:space="0" w:color="auto"/>
      </w:divBdr>
    </w:div>
    <w:div w:id="68582230">
      <w:bodyDiv w:val="1"/>
      <w:marLeft w:val="0"/>
      <w:marRight w:val="0"/>
      <w:marTop w:val="0"/>
      <w:marBottom w:val="0"/>
      <w:divBdr>
        <w:top w:val="none" w:sz="0" w:space="0" w:color="auto"/>
        <w:left w:val="none" w:sz="0" w:space="0" w:color="auto"/>
        <w:bottom w:val="none" w:sz="0" w:space="0" w:color="auto"/>
        <w:right w:val="none" w:sz="0" w:space="0" w:color="auto"/>
      </w:divBdr>
    </w:div>
    <w:div w:id="68583121">
      <w:bodyDiv w:val="1"/>
      <w:marLeft w:val="0"/>
      <w:marRight w:val="0"/>
      <w:marTop w:val="0"/>
      <w:marBottom w:val="0"/>
      <w:divBdr>
        <w:top w:val="none" w:sz="0" w:space="0" w:color="auto"/>
        <w:left w:val="none" w:sz="0" w:space="0" w:color="auto"/>
        <w:bottom w:val="none" w:sz="0" w:space="0" w:color="auto"/>
        <w:right w:val="none" w:sz="0" w:space="0" w:color="auto"/>
      </w:divBdr>
    </w:div>
    <w:div w:id="68620152">
      <w:bodyDiv w:val="1"/>
      <w:marLeft w:val="0"/>
      <w:marRight w:val="0"/>
      <w:marTop w:val="0"/>
      <w:marBottom w:val="0"/>
      <w:divBdr>
        <w:top w:val="none" w:sz="0" w:space="0" w:color="auto"/>
        <w:left w:val="none" w:sz="0" w:space="0" w:color="auto"/>
        <w:bottom w:val="none" w:sz="0" w:space="0" w:color="auto"/>
        <w:right w:val="none" w:sz="0" w:space="0" w:color="auto"/>
      </w:divBdr>
    </w:div>
    <w:div w:id="68622113">
      <w:bodyDiv w:val="1"/>
      <w:marLeft w:val="0"/>
      <w:marRight w:val="0"/>
      <w:marTop w:val="0"/>
      <w:marBottom w:val="0"/>
      <w:divBdr>
        <w:top w:val="none" w:sz="0" w:space="0" w:color="auto"/>
        <w:left w:val="none" w:sz="0" w:space="0" w:color="auto"/>
        <w:bottom w:val="none" w:sz="0" w:space="0" w:color="auto"/>
        <w:right w:val="none" w:sz="0" w:space="0" w:color="auto"/>
      </w:divBdr>
    </w:div>
    <w:div w:id="68768035">
      <w:bodyDiv w:val="1"/>
      <w:marLeft w:val="0"/>
      <w:marRight w:val="0"/>
      <w:marTop w:val="0"/>
      <w:marBottom w:val="0"/>
      <w:divBdr>
        <w:top w:val="none" w:sz="0" w:space="0" w:color="auto"/>
        <w:left w:val="none" w:sz="0" w:space="0" w:color="auto"/>
        <w:bottom w:val="none" w:sz="0" w:space="0" w:color="auto"/>
        <w:right w:val="none" w:sz="0" w:space="0" w:color="auto"/>
      </w:divBdr>
    </w:div>
    <w:div w:id="68774004">
      <w:bodyDiv w:val="1"/>
      <w:marLeft w:val="0"/>
      <w:marRight w:val="0"/>
      <w:marTop w:val="0"/>
      <w:marBottom w:val="0"/>
      <w:divBdr>
        <w:top w:val="none" w:sz="0" w:space="0" w:color="auto"/>
        <w:left w:val="none" w:sz="0" w:space="0" w:color="auto"/>
        <w:bottom w:val="none" w:sz="0" w:space="0" w:color="auto"/>
        <w:right w:val="none" w:sz="0" w:space="0" w:color="auto"/>
      </w:divBdr>
    </w:div>
    <w:div w:id="68961491">
      <w:bodyDiv w:val="1"/>
      <w:marLeft w:val="0"/>
      <w:marRight w:val="0"/>
      <w:marTop w:val="0"/>
      <w:marBottom w:val="0"/>
      <w:divBdr>
        <w:top w:val="none" w:sz="0" w:space="0" w:color="auto"/>
        <w:left w:val="none" w:sz="0" w:space="0" w:color="auto"/>
        <w:bottom w:val="none" w:sz="0" w:space="0" w:color="auto"/>
        <w:right w:val="none" w:sz="0" w:space="0" w:color="auto"/>
      </w:divBdr>
    </w:div>
    <w:div w:id="68962755">
      <w:bodyDiv w:val="1"/>
      <w:marLeft w:val="0"/>
      <w:marRight w:val="0"/>
      <w:marTop w:val="0"/>
      <w:marBottom w:val="0"/>
      <w:divBdr>
        <w:top w:val="none" w:sz="0" w:space="0" w:color="auto"/>
        <w:left w:val="none" w:sz="0" w:space="0" w:color="auto"/>
        <w:bottom w:val="none" w:sz="0" w:space="0" w:color="auto"/>
        <w:right w:val="none" w:sz="0" w:space="0" w:color="auto"/>
      </w:divBdr>
    </w:div>
    <w:div w:id="69010225">
      <w:bodyDiv w:val="1"/>
      <w:marLeft w:val="0"/>
      <w:marRight w:val="0"/>
      <w:marTop w:val="0"/>
      <w:marBottom w:val="0"/>
      <w:divBdr>
        <w:top w:val="none" w:sz="0" w:space="0" w:color="auto"/>
        <w:left w:val="none" w:sz="0" w:space="0" w:color="auto"/>
        <w:bottom w:val="none" w:sz="0" w:space="0" w:color="auto"/>
        <w:right w:val="none" w:sz="0" w:space="0" w:color="auto"/>
      </w:divBdr>
    </w:div>
    <w:div w:id="69039280">
      <w:bodyDiv w:val="1"/>
      <w:marLeft w:val="0"/>
      <w:marRight w:val="0"/>
      <w:marTop w:val="0"/>
      <w:marBottom w:val="0"/>
      <w:divBdr>
        <w:top w:val="none" w:sz="0" w:space="0" w:color="auto"/>
        <w:left w:val="none" w:sz="0" w:space="0" w:color="auto"/>
        <w:bottom w:val="none" w:sz="0" w:space="0" w:color="auto"/>
        <w:right w:val="none" w:sz="0" w:space="0" w:color="auto"/>
      </w:divBdr>
    </w:div>
    <w:div w:id="69234322">
      <w:bodyDiv w:val="1"/>
      <w:marLeft w:val="0"/>
      <w:marRight w:val="0"/>
      <w:marTop w:val="0"/>
      <w:marBottom w:val="0"/>
      <w:divBdr>
        <w:top w:val="none" w:sz="0" w:space="0" w:color="auto"/>
        <w:left w:val="none" w:sz="0" w:space="0" w:color="auto"/>
        <w:bottom w:val="none" w:sz="0" w:space="0" w:color="auto"/>
        <w:right w:val="none" w:sz="0" w:space="0" w:color="auto"/>
      </w:divBdr>
    </w:div>
    <w:div w:id="69237842">
      <w:bodyDiv w:val="1"/>
      <w:marLeft w:val="0"/>
      <w:marRight w:val="0"/>
      <w:marTop w:val="0"/>
      <w:marBottom w:val="0"/>
      <w:divBdr>
        <w:top w:val="none" w:sz="0" w:space="0" w:color="auto"/>
        <w:left w:val="none" w:sz="0" w:space="0" w:color="auto"/>
        <w:bottom w:val="none" w:sz="0" w:space="0" w:color="auto"/>
        <w:right w:val="none" w:sz="0" w:space="0" w:color="auto"/>
      </w:divBdr>
    </w:div>
    <w:div w:id="69274269">
      <w:bodyDiv w:val="1"/>
      <w:marLeft w:val="0"/>
      <w:marRight w:val="0"/>
      <w:marTop w:val="0"/>
      <w:marBottom w:val="0"/>
      <w:divBdr>
        <w:top w:val="none" w:sz="0" w:space="0" w:color="auto"/>
        <w:left w:val="none" w:sz="0" w:space="0" w:color="auto"/>
        <w:bottom w:val="none" w:sz="0" w:space="0" w:color="auto"/>
        <w:right w:val="none" w:sz="0" w:space="0" w:color="auto"/>
      </w:divBdr>
    </w:div>
    <w:div w:id="69432253">
      <w:bodyDiv w:val="1"/>
      <w:marLeft w:val="0"/>
      <w:marRight w:val="0"/>
      <w:marTop w:val="0"/>
      <w:marBottom w:val="0"/>
      <w:divBdr>
        <w:top w:val="none" w:sz="0" w:space="0" w:color="auto"/>
        <w:left w:val="none" w:sz="0" w:space="0" w:color="auto"/>
        <w:bottom w:val="none" w:sz="0" w:space="0" w:color="auto"/>
        <w:right w:val="none" w:sz="0" w:space="0" w:color="auto"/>
      </w:divBdr>
    </w:div>
    <w:div w:id="69550015">
      <w:bodyDiv w:val="1"/>
      <w:marLeft w:val="0"/>
      <w:marRight w:val="0"/>
      <w:marTop w:val="0"/>
      <w:marBottom w:val="0"/>
      <w:divBdr>
        <w:top w:val="none" w:sz="0" w:space="0" w:color="auto"/>
        <w:left w:val="none" w:sz="0" w:space="0" w:color="auto"/>
        <w:bottom w:val="none" w:sz="0" w:space="0" w:color="auto"/>
        <w:right w:val="none" w:sz="0" w:space="0" w:color="auto"/>
      </w:divBdr>
    </w:div>
    <w:div w:id="69621664">
      <w:bodyDiv w:val="1"/>
      <w:marLeft w:val="0"/>
      <w:marRight w:val="0"/>
      <w:marTop w:val="0"/>
      <w:marBottom w:val="0"/>
      <w:divBdr>
        <w:top w:val="none" w:sz="0" w:space="0" w:color="auto"/>
        <w:left w:val="none" w:sz="0" w:space="0" w:color="auto"/>
        <w:bottom w:val="none" w:sz="0" w:space="0" w:color="auto"/>
        <w:right w:val="none" w:sz="0" w:space="0" w:color="auto"/>
      </w:divBdr>
    </w:div>
    <w:div w:id="69693678">
      <w:bodyDiv w:val="1"/>
      <w:marLeft w:val="0"/>
      <w:marRight w:val="0"/>
      <w:marTop w:val="0"/>
      <w:marBottom w:val="0"/>
      <w:divBdr>
        <w:top w:val="none" w:sz="0" w:space="0" w:color="auto"/>
        <w:left w:val="none" w:sz="0" w:space="0" w:color="auto"/>
        <w:bottom w:val="none" w:sz="0" w:space="0" w:color="auto"/>
        <w:right w:val="none" w:sz="0" w:space="0" w:color="auto"/>
      </w:divBdr>
    </w:div>
    <w:div w:id="69890662">
      <w:bodyDiv w:val="1"/>
      <w:marLeft w:val="0"/>
      <w:marRight w:val="0"/>
      <w:marTop w:val="0"/>
      <w:marBottom w:val="0"/>
      <w:divBdr>
        <w:top w:val="none" w:sz="0" w:space="0" w:color="auto"/>
        <w:left w:val="none" w:sz="0" w:space="0" w:color="auto"/>
        <w:bottom w:val="none" w:sz="0" w:space="0" w:color="auto"/>
        <w:right w:val="none" w:sz="0" w:space="0" w:color="auto"/>
      </w:divBdr>
    </w:div>
    <w:div w:id="69929863">
      <w:bodyDiv w:val="1"/>
      <w:marLeft w:val="0"/>
      <w:marRight w:val="0"/>
      <w:marTop w:val="0"/>
      <w:marBottom w:val="0"/>
      <w:divBdr>
        <w:top w:val="none" w:sz="0" w:space="0" w:color="auto"/>
        <w:left w:val="none" w:sz="0" w:space="0" w:color="auto"/>
        <w:bottom w:val="none" w:sz="0" w:space="0" w:color="auto"/>
        <w:right w:val="none" w:sz="0" w:space="0" w:color="auto"/>
      </w:divBdr>
    </w:div>
    <w:div w:id="70012130">
      <w:bodyDiv w:val="1"/>
      <w:marLeft w:val="0"/>
      <w:marRight w:val="0"/>
      <w:marTop w:val="0"/>
      <w:marBottom w:val="0"/>
      <w:divBdr>
        <w:top w:val="none" w:sz="0" w:space="0" w:color="auto"/>
        <w:left w:val="none" w:sz="0" w:space="0" w:color="auto"/>
        <w:bottom w:val="none" w:sz="0" w:space="0" w:color="auto"/>
        <w:right w:val="none" w:sz="0" w:space="0" w:color="auto"/>
      </w:divBdr>
    </w:div>
    <w:div w:id="70079980">
      <w:bodyDiv w:val="1"/>
      <w:marLeft w:val="0"/>
      <w:marRight w:val="0"/>
      <w:marTop w:val="0"/>
      <w:marBottom w:val="0"/>
      <w:divBdr>
        <w:top w:val="none" w:sz="0" w:space="0" w:color="auto"/>
        <w:left w:val="none" w:sz="0" w:space="0" w:color="auto"/>
        <w:bottom w:val="none" w:sz="0" w:space="0" w:color="auto"/>
        <w:right w:val="none" w:sz="0" w:space="0" w:color="auto"/>
      </w:divBdr>
    </w:div>
    <w:div w:id="70086950">
      <w:bodyDiv w:val="1"/>
      <w:marLeft w:val="0"/>
      <w:marRight w:val="0"/>
      <w:marTop w:val="0"/>
      <w:marBottom w:val="0"/>
      <w:divBdr>
        <w:top w:val="none" w:sz="0" w:space="0" w:color="auto"/>
        <w:left w:val="none" w:sz="0" w:space="0" w:color="auto"/>
        <w:bottom w:val="none" w:sz="0" w:space="0" w:color="auto"/>
        <w:right w:val="none" w:sz="0" w:space="0" w:color="auto"/>
      </w:divBdr>
    </w:div>
    <w:div w:id="70127272">
      <w:bodyDiv w:val="1"/>
      <w:marLeft w:val="0"/>
      <w:marRight w:val="0"/>
      <w:marTop w:val="0"/>
      <w:marBottom w:val="0"/>
      <w:divBdr>
        <w:top w:val="none" w:sz="0" w:space="0" w:color="auto"/>
        <w:left w:val="none" w:sz="0" w:space="0" w:color="auto"/>
        <w:bottom w:val="none" w:sz="0" w:space="0" w:color="auto"/>
        <w:right w:val="none" w:sz="0" w:space="0" w:color="auto"/>
      </w:divBdr>
    </w:div>
    <w:div w:id="70273672">
      <w:bodyDiv w:val="1"/>
      <w:marLeft w:val="0"/>
      <w:marRight w:val="0"/>
      <w:marTop w:val="0"/>
      <w:marBottom w:val="0"/>
      <w:divBdr>
        <w:top w:val="none" w:sz="0" w:space="0" w:color="auto"/>
        <w:left w:val="none" w:sz="0" w:space="0" w:color="auto"/>
        <w:bottom w:val="none" w:sz="0" w:space="0" w:color="auto"/>
        <w:right w:val="none" w:sz="0" w:space="0" w:color="auto"/>
      </w:divBdr>
    </w:div>
    <w:div w:id="70395729">
      <w:bodyDiv w:val="1"/>
      <w:marLeft w:val="0"/>
      <w:marRight w:val="0"/>
      <w:marTop w:val="0"/>
      <w:marBottom w:val="0"/>
      <w:divBdr>
        <w:top w:val="none" w:sz="0" w:space="0" w:color="auto"/>
        <w:left w:val="none" w:sz="0" w:space="0" w:color="auto"/>
        <w:bottom w:val="none" w:sz="0" w:space="0" w:color="auto"/>
        <w:right w:val="none" w:sz="0" w:space="0" w:color="auto"/>
      </w:divBdr>
    </w:div>
    <w:div w:id="70466078">
      <w:bodyDiv w:val="1"/>
      <w:marLeft w:val="0"/>
      <w:marRight w:val="0"/>
      <w:marTop w:val="0"/>
      <w:marBottom w:val="0"/>
      <w:divBdr>
        <w:top w:val="none" w:sz="0" w:space="0" w:color="auto"/>
        <w:left w:val="none" w:sz="0" w:space="0" w:color="auto"/>
        <w:bottom w:val="none" w:sz="0" w:space="0" w:color="auto"/>
        <w:right w:val="none" w:sz="0" w:space="0" w:color="auto"/>
      </w:divBdr>
    </w:div>
    <w:div w:id="70544366">
      <w:bodyDiv w:val="1"/>
      <w:marLeft w:val="0"/>
      <w:marRight w:val="0"/>
      <w:marTop w:val="0"/>
      <w:marBottom w:val="0"/>
      <w:divBdr>
        <w:top w:val="none" w:sz="0" w:space="0" w:color="auto"/>
        <w:left w:val="none" w:sz="0" w:space="0" w:color="auto"/>
        <w:bottom w:val="none" w:sz="0" w:space="0" w:color="auto"/>
        <w:right w:val="none" w:sz="0" w:space="0" w:color="auto"/>
      </w:divBdr>
    </w:div>
    <w:div w:id="70584835">
      <w:bodyDiv w:val="1"/>
      <w:marLeft w:val="0"/>
      <w:marRight w:val="0"/>
      <w:marTop w:val="0"/>
      <w:marBottom w:val="0"/>
      <w:divBdr>
        <w:top w:val="none" w:sz="0" w:space="0" w:color="auto"/>
        <w:left w:val="none" w:sz="0" w:space="0" w:color="auto"/>
        <w:bottom w:val="none" w:sz="0" w:space="0" w:color="auto"/>
        <w:right w:val="none" w:sz="0" w:space="0" w:color="auto"/>
      </w:divBdr>
    </w:div>
    <w:div w:id="70590724">
      <w:bodyDiv w:val="1"/>
      <w:marLeft w:val="0"/>
      <w:marRight w:val="0"/>
      <w:marTop w:val="0"/>
      <w:marBottom w:val="0"/>
      <w:divBdr>
        <w:top w:val="none" w:sz="0" w:space="0" w:color="auto"/>
        <w:left w:val="none" w:sz="0" w:space="0" w:color="auto"/>
        <w:bottom w:val="none" w:sz="0" w:space="0" w:color="auto"/>
        <w:right w:val="none" w:sz="0" w:space="0" w:color="auto"/>
      </w:divBdr>
    </w:div>
    <w:div w:id="70664830">
      <w:bodyDiv w:val="1"/>
      <w:marLeft w:val="0"/>
      <w:marRight w:val="0"/>
      <w:marTop w:val="0"/>
      <w:marBottom w:val="0"/>
      <w:divBdr>
        <w:top w:val="none" w:sz="0" w:space="0" w:color="auto"/>
        <w:left w:val="none" w:sz="0" w:space="0" w:color="auto"/>
        <w:bottom w:val="none" w:sz="0" w:space="0" w:color="auto"/>
        <w:right w:val="none" w:sz="0" w:space="0" w:color="auto"/>
      </w:divBdr>
    </w:div>
    <w:div w:id="70667208">
      <w:bodyDiv w:val="1"/>
      <w:marLeft w:val="0"/>
      <w:marRight w:val="0"/>
      <w:marTop w:val="0"/>
      <w:marBottom w:val="0"/>
      <w:divBdr>
        <w:top w:val="none" w:sz="0" w:space="0" w:color="auto"/>
        <w:left w:val="none" w:sz="0" w:space="0" w:color="auto"/>
        <w:bottom w:val="none" w:sz="0" w:space="0" w:color="auto"/>
        <w:right w:val="none" w:sz="0" w:space="0" w:color="auto"/>
      </w:divBdr>
    </w:div>
    <w:div w:id="70928287">
      <w:bodyDiv w:val="1"/>
      <w:marLeft w:val="0"/>
      <w:marRight w:val="0"/>
      <w:marTop w:val="0"/>
      <w:marBottom w:val="0"/>
      <w:divBdr>
        <w:top w:val="none" w:sz="0" w:space="0" w:color="auto"/>
        <w:left w:val="none" w:sz="0" w:space="0" w:color="auto"/>
        <w:bottom w:val="none" w:sz="0" w:space="0" w:color="auto"/>
        <w:right w:val="none" w:sz="0" w:space="0" w:color="auto"/>
      </w:divBdr>
    </w:div>
    <w:div w:id="71199415">
      <w:bodyDiv w:val="1"/>
      <w:marLeft w:val="0"/>
      <w:marRight w:val="0"/>
      <w:marTop w:val="0"/>
      <w:marBottom w:val="0"/>
      <w:divBdr>
        <w:top w:val="none" w:sz="0" w:space="0" w:color="auto"/>
        <w:left w:val="none" w:sz="0" w:space="0" w:color="auto"/>
        <w:bottom w:val="none" w:sz="0" w:space="0" w:color="auto"/>
        <w:right w:val="none" w:sz="0" w:space="0" w:color="auto"/>
      </w:divBdr>
    </w:div>
    <w:div w:id="71514281">
      <w:bodyDiv w:val="1"/>
      <w:marLeft w:val="0"/>
      <w:marRight w:val="0"/>
      <w:marTop w:val="0"/>
      <w:marBottom w:val="0"/>
      <w:divBdr>
        <w:top w:val="none" w:sz="0" w:space="0" w:color="auto"/>
        <w:left w:val="none" w:sz="0" w:space="0" w:color="auto"/>
        <w:bottom w:val="none" w:sz="0" w:space="0" w:color="auto"/>
        <w:right w:val="none" w:sz="0" w:space="0" w:color="auto"/>
      </w:divBdr>
    </w:div>
    <w:div w:id="71582847">
      <w:bodyDiv w:val="1"/>
      <w:marLeft w:val="0"/>
      <w:marRight w:val="0"/>
      <w:marTop w:val="0"/>
      <w:marBottom w:val="0"/>
      <w:divBdr>
        <w:top w:val="none" w:sz="0" w:space="0" w:color="auto"/>
        <w:left w:val="none" w:sz="0" w:space="0" w:color="auto"/>
        <w:bottom w:val="none" w:sz="0" w:space="0" w:color="auto"/>
        <w:right w:val="none" w:sz="0" w:space="0" w:color="auto"/>
      </w:divBdr>
    </w:div>
    <w:div w:id="71582903">
      <w:bodyDiv w:val="1"/>
      <w:marLeft w:val="0"/>
      <w:marRight w:val="0"/>
      <w:marTop w:val="0"/>
      <w:marBottom w:val="0"/>
      <w:divBdr>
        <w:top w:val="none" w:sz="0" w:space="0" w:color="auto"/>
        <w:left w:val="none" w:sz="0" w:space="0" w:color="auto"/>
        <w:bottom w:val="none" w:sz="0" w:space="0" w:color="auto"/>
        <w:right w:val="none" w:sz="0" w:space="0" w:color="auto"/>
      </w:divBdr>
    </w:div>
    <w:div w:id="71706535">
      <w:bodyDiv w:val="1"/>
      <w:marLeft w:val="0"/>
      <w:marRight w:val="0"/>
      <w:marTop w:val="0"/>
      <w:marBottom w:val="0"/>
      <w:divBdr>
        <w:top w:val="none" w:sz="0" w:space="0" w:color="auto"/>
        <w:left w:val="none" w:sz="0" w:space="0" w:color="auto"/>
        <w:bottom w:val="none" w:sz="0" w:space="0" w:color="auto"/>
        <w:right w:val="none" w:sz="0" w:space="0" w:color="auto"/>
      </w:divBdr>
    </w:div>
    <w:div w:id="71851609">
      <w:bodyDiv w:val="1"/>
      <w:marLeft w:val="0"/>
      <w:marRight w:val="0"/>
      <w:marTop w:val="0"/>
      <w:marBottom w:val="0"/>
      <w:divBdr>
        <w:top w:val="none" w:sz="0" w:space="0" w:color="auto"/>
        <w:left w:val="none" w:sz="0" w:space="0" w:color="auto"/>
        <w:bottom w:val="none" w:sz="0" w:space="0" w:color="auto"/>
        <w:right w:val="none" w:sz="0" w:space="0" w:color="auto"/>
      </w:divBdr>
    </w:div>
    <w:div w:id="71971413">
      <w:bodyDiv w:val="1"/>
      <w:marLeft w:val="0"/>
      <w:marRight w:val="0"/>
      <w:marTop w:val="0"/>
      <w:marBottom w:val="0"/>
      <w:divBdr>
        <w:top w:val="none" w:sz="0" w:space="0" w:color="auto"/>
        <w:left w:val="none" w:sz="0" w:space="0" w:color="auto"/>
        <w:bottom w:val="none" w:sz="0" w:space="0" w:color="auto"/>
        <w:right w:val="none" w:sz="0" w:space="0" w:color="auto"/>
      </w:divBdr>
    </w:div>
    <w:div w:id="72052055">
      <w:bodyDiv w:val="1"/>
      <w:marLeft w:val="0"/>
      <w:marRight w:val="0"/>
      <w:marTop w:val="0"/>
      <w:marBottom w:val="0"/>
      <w:divBdr>
        <w:top w:val="none" w:sz="0" w:space="0" w:color="auto"/>
        <w:left w:val="none" w:sz="0" w:space="0" w:color="auto"/>
        <w:bottom w:val="none" w:sz="0" w:space="0" w:color="auto"/>
        <w:right w:val="none" w:sz="0" w:space="0" w:color="auto"/>
      </w:divBdr>
    </w:div>
    <w:div w:id="72053387">
      <w:bodyDiv w:val="1"/>
      <w:marLeft w:val="0"/>
      <w:marRight w:val="0"/>
      <w:marTop w:val="0"/>
      <w:marBottom w:val="0"/>
      <w:divBdr>
        <w:top w:val="none" w:sz="0" w:space="0" w:color="auto"/>
        <w:left w:val="none" w:sz="0" w:space="0" w:color="auto"/>
        <w:bottom w:val="none" w:sz="0" w:space="0" w:color="auto"/>
        <w:right w:val="none" w:sz="0" w:space="0" w:color="auto"/>
      </w:divBdr>
    </w:div>
    <w:div w:id="72162530">
      <w:bodyDiv w:val="1"/>
      <w:marLeft w:val="0"/>
      <w:marRight w:val="0"/>
      <w:marTop w:val="0"/>
      <w:marBottom w:val="0"/>
      <w:divBdr>
        <w:top w:val="none" w:sz="0" w:space="0" w:color="auto"/>
        <w:left w:val="none" w:sz="0" w:space="0" w:color="auto"/>
        <w:bottom w:val="none" w:sz="0" w:space="0" w:color="auto"/>
        <w:right w:val="none" w:sz="0" w:space="0" w:color="auto"/>
      </w:divBdr>
    </w:div>
    <w:div w:id="72318527">
      <w:bodyDiv w:val="1"/>
      <w:marLeft w:val="0"/>
      <w:marRight w:val="0"/>
      <w:marTop w:val="0"/>
      <w:marBottom w:val="0"/>
      <w:divBdr>
        <w:top w:val="none" w:sz="0" w:space="0" w:color="auto"/>
        <w:left w:val="none" w:sz="0" w:space="0" w:color="auto"/>
        <w:bottom w:val="none" w:sz="0" w:space="0" w:color="auto"/>
        <w:right w:val="none" w:sz="0" w:space="0" w:color="auto"/>
      </w:divBdr>
    </w:div>
    <w:div w:id="72318609">
      <w:bodyDiv w:val="1"/>
      <w:marLeft w:val="0"/>
      <w:marRight w:val="0"/>
      <w:marTop w:val="0"/>
      <w:marBottom w:val="0"/>
      <w:divBdr>
        <w:top w:val="none" w:sz="0" w:space="0" w:color="auto"/>
        <w:left w:val="none" w:sz="0" w:space="0" w:color="auto"/>
        <w:bottom w:val="none" w:sz="0" w:space="0" w:color="auto"/>
        <w:right w:val="none" w:sz="0" w:space="0" w:color="auto"/>
      </w:divBdr>
    </w:div>
    <w:div w:id="72355422">
      <w:bodyDiv w:val="1"/>
      <w:marLeft w:val="0"/>
      <w:marRight w:val="0"/>
      <w:marTop w:val="0"/>
      <w:marBottom w:val="0"/>
      <w:divBdr>
        <w:top w:val="none" w:sz="0" w:space="0" w:color="auto"/>
        <w:left w:val="none" w:sz="0" w:space="0" w:color="auto"/>
        <w:bottom w:val="none" w:sz="0" w:space="0" w:color="auto"/>
        <w:right w:val="none" w:sz="0" w:space="0" w:color="auto"/>
      </w:divBdr>
    </w:div>
    <w:div w:id="72359042">
      <w:bodyDiv w:val="1"/>
      <w:marLeft w:val="0"/>
      <w:marRight w:val="0"/>
      <w:marTop w:val="0"/>
      <w:marBottom w:val="0"/>
      <w:divBdr>
        <w:top w:val="none" w:sz="0" w:space="0" w:color="auto"/>
        <w:left w:val="none" w:sz="0" w:space="0" w:color="auto"/>
        <w:bottom w:val="none" w:sz="0" w:space="0" w:color="auto"/>
        <w:right w:val="none" w:sz="0" w:space="0" w:color="auto"/>
      </w:divBdr>
    </w:div>
    <w:div w:id="72364506">
      <w:bodyDiv w:val="1"/>
      <w:marLeft w:val="0"/>
      <w:marRight w:val="0"/>
      <w:marTop w:val="0"/>
      <w:marBottom w:val="0"/>
      <w:divBdr>
        <w:top w:val="none" w:sz="0" w:space="0" w:color="auto"/>
        <w:left w:val="none" w:sz="0" w:space="0" w:color="auto"/>
        <w:bottom w:val="none" w:sz="0" w:space="0" w:color="auto"/>
        <w:right w:val="none" w:sz="0" w:space="0" w:color="auto"/>
      </w:divBdr>
    </w:div>
    <w:div w:id="72435116">
      <w:bodyDiv w:val="1"/>
      <w:marLeft w:val="0"/>
      <w:marRight w:val="0"/>
      <w:marTop w:val="0"/>
      <w:marBottom w:val="0"/>
      <w:divBdr>
        <w:top w:val="none" w:sz="0" w:space="0" w:color="auto"/>
        <w:left w:val="none" w:sz="0" w:space="0" w:color="auto"/>
        <w:bottom w:val="none" w:sz="0" w:space="0" w:color="auto"/>
        <w:right w:val="none" w:sz="0" w:space="0" w:color="auto"/>
      </w:divBdr>
    </w:div>
    <w:div w:id="72625490">
      <w:bodyDiv w:val="1"/>
      <w:marLeft w:val="0"/>
      <w:marRight w:val="0"/>
      <w:marTop w:val="0"/>
      <w:marBottom w:val="0"/>
      <w:divBdr>
        <w:top w:val="none" w:sz="0" w:space="0" w:color="auto"/>
        <w:left w:val="none" w:sz="0" w:space="0" w:color="auto"/>
        <w:bottom w:val="none" w:sz="0" w:space="0" w:color="auto"/>
        <w:right w:val="none" w:sz="0" w:space="0" w:color="auto"/>
      </w:divBdr>
    </w:div>
    <w:div w:id="72703984">
      <w:bodyDiv w:val="1"/>
      <w:marLeft w:val="0"/>
      <w:marRight w:val="0"/>
      <w:marTop w:val="0"/>
      <w:marBottom w:val="0"/>
      <w:divBdr>
        <w:top w:val="none" w:sz="0" w:space="0" w:color="auto"/>
        <w:left w:val="none" w:sz="0" w:space="0" w:color="auto"/>
        <w:bottom w:val="none" w:sz="0" w:space="0" w:color="auto"/>
        <w:right w:val="none" w:sz="0" w:space="0" w:color="auto"/>
      </w:divBdr>
    </w:div>
    <w:div w:id="72775560">
      <w:bodyDiv w:val="1"/>
      <w:marLeft w:val="0"/>
      <w:marRight w:val="0"/>
      <w:marTop w:val="0"/>
      <w:marBottom w:val="0"/>
      <w:divBdr>
        <w:top w:val="none" w:sz="0" w:space="0" w:color="auto"/>
        <w:left w:val="none" w:sz="0" w:space="0" w:color="auto"/>
        <w:bottom w:val="none" w:sz="0" w:space="0" w:color="auto"/>
        <w:right w:val="none" w:sz="0" w:space="0" w:color="auto"/>
      </w:divBdr>
    </w:div>
    <w:div w:id="72823092">
      <w:bodyDiv w:val="1"/>
      <w:marLeft w:val="0"/>
      <w:marRight w:val="0"/>
      <w:marTop w:val="0"/>
      <w:marBottom w:val="0"/>
      <w:divBdr>
        <w:top w:val="none" w:sz="0" w:space="0" w:color="auto"/>
        <w:left w:val="none" w:sz="0" w:space="0" w:color="auto"/>
        <w:bottom w:val="none" w:sz="0" w:space="0" w:color="auto"/>
        <w:right w:val="none" w:sz="0" w:space="0" w:color="auto"/>
      </w:divBdr>
    </w:div>
    <w:div w:id="72900557">
      <w:bodyDiv w:val="1"/>
      <w:marLeft w:val="0"/>
      <w:marRight w:val="0"/>
      <w:marTop w:val="0"/>
      <w:marBottom w:val="0"/>
      <w:divBdr>
        <w:top w:val="none" w:sz="0" w:space="0" w:color="auto"/>
        <w:left w:val="none" w:sz="0" w:space="0" w:color="auto"/>
        <w:bottom w:val="none" w:sz="0" w:space="0" w:color="auto"/>
        <w:right w:val="none" w:sz="0" w:space="0" w:color="auto"/>
      </w:divBdr>
    </w:div>
    <w:div w:id="72974223">
      <w:bodyDiv w:val="1"/>
      <w:marLeft w:val="0"/>
      <w:marRight w:val="0"/>
      <w:marTop w:val="0"/>
      <w:marBottom w:val="0"/>
      <w:divBdr>
        <w:top w:val="none" w:sz="0" w:space="0" w:color="auto"/>
        <w:left w:val="none" w:sz="0" w:space="0" w:color="auto"/>
        <w:bottom w:val="none" w:sz="0" w:space="0" w:color="auto"/>
        <w:right w:val="none" w:sz="0" w:space="0" w:color="auto"/>
      </w:divBdr>
    </w:div>
    <w:div w:id="73019277">
      <w:bodyDiv w:val="1"/>
      <w:marLeft w:val="0"/>
      <w:marRight w:val="0"/>
      <w:marTop w:val="0"/>
      <w:marBottom w:val="0"/>
      <w:divBdr>
        <w:top w:val="none" w:sz="0" w:space="0" w:color="auto"/>
        <w:left w:val="none" w:sz="0" w:space="0" w:color="auto"/>
        <w:bottom w:val="none" w:sz="0" w:space="0" w:color="auto"/>
        <w:right w:val="none" w:sz="0" w:space="0" w:color="auto"/>
      </w:divBdr>
    </w:div>
    <w:div w:id="73086401">
      <w:bodyDiv w:val="1"/>
      <w:marLeft w:val="0"/>
      <w:marRight w:val="0"/>
      <w:marTop w:val="0"/>
      <w:marBottom w:val="0"/>
      <w:divBdr>
        <w:top w:val="none" w:sz="0" w:space="0" w:color="auto"/>
        <w:left w:val="none" w:sz="0" w:space="0" w:color="auto"/>
        <w:bottom w:val="none" w:sz="0" w:space="0" w:color="auto"/>
        <w:right w:val="none" w:sz="0" w:space="0" w:color="auto"/>
      </w:divBdr>
    </w:div>
    <w:div w:id="73165453">
      <w:bodyDiv w:val="1"/>
      <w:marLeft w:val="0"/>
      <w:marRight w:val="0"/>
      <w:marTop w:val="0"/>
      <w:marBottom w:val="0"/>
      <w:divBdr>
        <w:top w:val="none" w:sz="0" w:space="0" w:color="auto"/>
        <w:left w:val="none" w:sz="0" w:space="0" w:color="auto"/>
        <w:bottom w:val="none" w:sz="0" w:space="0" w:color="auto"/>
        <w:right w:val="none" w:sz="0" w:space="0" w:color="auto"/>
      </w:divBdr>
    </w:div>
    <w:div w:id="73168962">
      <w:bodyDiv w:val="1"/>
      <w:marLeft w:val="0"/>
      <w:marRight w:val="0"/>
      <w:marTop w:val="0"/>
      <w:marBottom w:val="0"/>
      <w:divBdr>
        <w:top w:val="none" w:sz="0" w:space="0" w:color="auto"/>
        <w:left w:val="none" w:sz="0" w:space="0" w:color="auto"/>
        <w:bottom w:val="none" w:sz="0" w:space="0" w:color="auto"/>
        <w:right w:val="none" w:sz="0" w:space="0" w:color="auto"/>
      </w:divBdr>
    </w:div>
    <w:div w:id="73170575">
      <w:bodyDiv w:val="1"/>
      <w:marLeft w:val="0"/>
      <w:marRight w:val="0"/>
      <w:marTop w:val="0"/>
      <w:marBottom w:val="0"/>
      <w:divBdr>
        <w:top w:val="none" w:sz="0" w:space="0" w:color="auto"/>
        <w:left w:val="none" w:sz="0" w:space="0" w:color="auto"/>
        <w:bottom w:val="none" w:sz="0" w:space="0" w:color="auto"/>
        <w:right w:val="none" w:sz="0" w:space="0" w:color="auto"/>
      </w:divBdr>
    </w:div>
    <w:div w:id="73209506">
      <w:bodyDiv w:val="1"/>
      <w:marLeft w:val="0"/>
      <w:marRight w:val="0"/>
      <w:marTop w:val="0"/>
      <w:marBottom w:val="0"/>
      <w:divBdr>
        <w:top w:val="none" w:sz="0" w:space="0" w:color="auto"/>
        <w:left w:val="none" w:sz="0" w:space="0" w:color="auto"/>
        <w:bottom w:val="none" w:sz="0" w:space="0" w:color="auto"/>
        <w:right w:val="none" w:sz="0" w:space="0" w:color="auto"/>
      </w:divBdr>
    </w:div>
    <w:div w:id="73280320">
      <w:bodyDiv w:val="1"/>
      <w:marLeft w:val="0"/>
      <w:marRight w:val="0"/>
      <w:marTop w:val="0"/>
      <w:marBottom w:val="0"/>
      <w:divBdr>
        <w:top w:val="none" w:sz="0" w:space="0" w:color="auto"/>
        <w:left w:val="none" w:sz="0" w:space="0" w:color="auto"/>
        <w:bottom w:val="none" w:sz="0" w:space="0" w:color="auto"/>
        <w:right w:val="none" w:sz="0" w:space="0" w:color="auto"/>
      </w:divBdr>
    </w:div>
    <w:div w:id="73430440">
      <w:bodyDiv w:val="1"/>
      <w:marLeft w:val="0"/>
      <w:marRight w:val="0"/>
      <w:marTop w:val="0"/>
      <w:marBottom w:val="0"/>
      <w:divBdr>
        <w:top w:val="none" w:sz="0" w:space="0" w:color="auto"/>
        <w:left w:val="none" w:sz="0" w:space="0" w:color="auto"/>
        <w:bottom w:val="none" w:sz="0" w:space="0" w:color="auto"/>
        <w:right w:val="none" w:sz="0" w:space="0" w:color="auto"/>
      </w:divBdr>
    </w:div>
    <w:div w:id="73474224">
      <w:bodyDiv w:val="1"/>
      <w:marLeft w:val="0"/>
      <w:marRight w:val="0"/>
      <w:marTop w:val="0"/>
      <w:marBottom w:val="0"/>
      <w:divBdr>
        <w:top w:val="none" w:sz="0" w:space="0" w:color="auto"/>
        <w:left w:val="none" w:sz="0" w:space="0" w:color="auto"/>
        <w:bottom w:val="none" w:sz="0" w:space="0" w:color="auto"/>
        <w:right w:val="none" w:sz="0" w:space="0" w:color="auto"/>
      </w:divBdr>
    </w:div>
    <w:div w:id="73476554">
      <w:bodyDiv w:val="1"/>
      <w:marLeft w:val="0"/>
      <w:marRight w:val="0"/>
      <w:marTop w:val="0"/>
      <w:marBottom w:val="0"/>
      <w:divBdr>
        <w:top w:val="none" w:sz="0" w:space="0" w:color="auto"/>
        <w:left w:val="none" w:sz="0" w:space="0" w:color="auto"/>
        <w:bottom w:val="none" w:sz="0" w:space="0" w:color="auto"/>
        <w:right w:val="none" w:sz="0" w:space="0" w:color="auto"/>
      </w:divBdr>
    </w:div>
    <w:div w:id="73476906">
      <w:bodyDiv w:val="1"/>
      <w:marLeft w:val="0"/>
      <w:marRight w:val="0"/>
      <w:marTop w:val="0"/>
      <w:marBottom w:val="0"/>
      <w:divBdr>
        <w:top w:val="none" w:sz="0" w:space="0" w:color="auto"/>
        <w:left w:val="none" w:sz="0" w:space="0" w:color="auto"/>
        <w:bottom w:val="none" w:sz="0" w:space="0" w:color="auto"/>
        <w:right w:val="none" w:sz="0" w:space="0" w:color="auto"/>
      </w:divBdr>
    </w:div>
    <w:div w:id="73548876">
      <w:bodyDiv w:val="1"/>
      <w:marLeft w:val="0"/>
      <w:marRight w:val="0"/>
      <w:marTop w:val="0"/>
      <w:marBottom w:val="0"/>
      <w:divBdr>
        <w:top w:val="none" w:sz="0" w:space="0" w:color="auto"/>
        <w:left w:val="none" w:sz="0" w:space="0" w:color="auto"/>
        <w:bottom w:val="none" w:sz="0" w:space="0" w:color="auto"/>
        <w:right w:val="none" w:sz="0" w:space="0" w:color="auto"/>
      </w:divBdr>
    </w:div>
    <w:div w:id="73552662">
      <w:bodyDiv w:val="1"/>
      <w:marLeft w:val="0"/>
      <w:marRight w:val="0"/>
      <w:marTop w:val="0"/>
      <w:marBottom w:val="0"/>
      <w:divBdr>
        <w:top w:val="none" w:sz="0" w:space="0" w:color="auto"/>
        <w:left w:val="none" w:sz="0" w:space="0" w:color="auto"/>
        <w:bottom w:val="none" w:sz="0" w:space="0" w:color="auto"/>
        <w:right w:val="none" w:sz="0" w:space="0" w:color="auto"/>
      </w:divBdr>
    </w:div>
    <w:div w:id="73553055">
      <w:bodyDiv w:val="1"/>
      <w:marLeft w:val="0"/>
      <w:marRight w:val="0"/>
      <w:marTop w:val="0"/>
      <w:marBottom w:val="0"/>
      <w:divBdr>
        <w:top w:val="none" w:sz="0" w:space="0" w:color="auto"/>
        <w:left w:val="none" w:sz="0" w:space="0" w:color="auto"/>
        <w:bottom w:val="none" w:sz="0" w:space="0" w:color="auto"/>
        <w:right w:val="none" w:sz="0" w:space="0" w:color="auto"/>
      </w:divBdr>
    </w:div>
    <w:div w:id="73599773">
      <w:bodyDiv w:val="1"/>
      <w:marLeft w:val="0"/>
      <w:marRight w:val="0"/>
      <w:marTop w:val="0"/>
      <w:marBottom w:val="0"/>
      <w:divBdr>
        <w:top w:val="none" w:sz="0" w:space="0" w:color="auto"/>
        <w:left w:val="none" w:sz="0" w:space="0" w:color="auto"/>
        <w:bottom w:val="none" w:sz="0" w:space="0" w:color="auto"/>
        <w:right w:val="none" w:sz="0" w:space="0" w:color="auto"/>
      </w:divBdr>
    </w:div>
    <w:div w:id="73671502">
      <w:bodyDiv w:val="1"/>
      <w:marLeft w:val="0"/>
      <w:marRight w:val="0"/>
      <w:marTop w:val="0"/>
      <w:marBottom w:val="0"/>
      <w:divBdr>
        <w:top w:val="none" w:sz="0" w:space="0" w:color="auto"/>
        <w:left w:val="none" w:sz="0" w:space="0" w:color="auto"/>
        <w:bottom w:val="none" w:sz="0" w:space="0" w:color="auto"/>
        <w:right w:val="none" w:sz="0" w:space="0" w:color="auto"/>
      </w:divBdr>
    </w:div>
    <w:div w:id="73672784">
      <w:bodyDiv w:val="1"/>
      <w:marLeft w:val="0"/>
      <w:marRight w:val="0"/>
      <w:marTop w:val="0"/>
      <w:marBottom w:val="0"/>
      <w:divBdr>
        <w:top w:val="none" w:sz="0" w:space="0" w:color="auto"/>
        <w:left w:val="none" w:sz="0" w:space="0" w:color="auto"/>
        <w:bottom w:val="none" w:sz="0" w:space="0" w:color="auto"/>
        <w:right w:val="none" w:sz="0" w:space="0" w:color="auto"/>
      </w:divBdr>
    </w:div>
    <w:div w:id="73825891">
      <w:bodyDiv w:val="1"/>
      <w:marLeft w:val="0"/>
      <w:marRight w:val="0"/>
      <w:marTop w:val="0"/>
      <w:marBottom w:val="0"/>
      <w:divBdr>
        <w:top w:val="none" w:sz="0" w:space="0" w:color="auto"/>
        <w:left w:val="none" w:sz="0" w:space="0" w:color="auto"/>
        <w:bottom w:val="none" w:sz="0" w:space="0" w:color="auto"/>
        <w:right w:val="none" w:sz="0" w:space="0" w:color="auto"/>
      </w:divBdr>
    </w:div>
    <w:div w:id="73859912">
      <w:bodyDiv w:val="1"/>
      <w:marLeft w:val="0"/>
      <w:marRight w:val="0"/>
      <w:marTop w:val="0"/>
      <w:marBottom w:val="0"/>
      <w:divBdr>
        <w:top w:val="none" w:sz="0" w:space="0" w:color="auto"/>
        <w:left w:val="none" w:sz="0" w:space="0" w:color="auto"/>
        <w:bottom w:val="none" w:sz="0" w:space="0" w:color="auto"/>
        <w:right w:val="none" w:sz="0" w:space="0" w:color="auto"/>
      </w:divBdr>
    </w:div>
    <w:div w:id="73863559">
      <w:bodyDiv w:val="1"/>
      <w:marLeft w:val="0"/>
      <w:marRight w:val="0"/>
      <w:marTop w:val="0"/>
      <w:marBottom w:val="0"/>
      <w:divBdr>
        <w:top w:val="none" w:sz="0" w:space="0" w:color="auto"/>
        <w:left w:val="none" w:sz="0" w:space="0" w:color="auto"/>
        <w:bottom w:val="none" w:sz="0" w:space="0" w:color="auto"/>
        <w:right w:val="none" w:sz="0" w:space="0" w:color="auto"/>
      </w:divBdr>
    </w:div>
    <w:div w:id="73935876">
      <w:bodyDiv w:val="1"/>
      <w:marLeft w:val="0"/>
      <w:marRight w:val="0"/>
      <w:marTop w:val="0"/>
      <w:marBottom w:val="0"/>
      <w:divBdr>
        <w:top w:val="none" w:sz="0" w:space="0" w:color="auto"/>
        <w:left w:val="none" w:sz="0" w:space="0" w:color="auto"/>
        <w:bottom w:val="none" w:sz="0" w:space="0" w:color="auto"/>
        <w:right w:val="none" w:sz="0" w:space="0" w:color="auto"/>
      </w:divBdr>
    </w:div>
    <w:div w:id="73939881">
      <w:bodyDiv w:val="1"/>
      <w:marLeft w:val="0"/>
      <w:marRight w:val="0"/>
      <w:marTop w:val="0"/>
      <w:marBottom w:val="0"/>
      <w:divBdr>
        <w:top w:val="none" w:sz="0" w:space="0" w:color="auto"/>
        <w:left w:val="none" w:sz="0" w:space="0" w:color="auto"/>
        <w:bottom w:val="none" w:sz="0" w:space="0" w:color="auto"/>
        <w:right w:val="none" w:sz="0" w:space="0" w:color="auto"/>
      </w:divBdr>
    </w:div>
    <w:div w:id="74130920">
      <w:bodyDiv w:val="1"/>
      <w:marLeft w:val="0"/>
      <w:marRight w:val="0"/>
      <w:marTop w:val="0"/>
      <w:marBottom w:val="0"/>
      <w:divBdr>
        <w:top w:val="none" w:sz="0" w:space="0" w:color="auto"/>
        <w:left w:val="none" w:sz="0" w:space="0" w:color="auto"/>
        <w:bottom w:val="none" w:sz="0" w:space="0" w:color="auto"/>
        <w:right w:val="none" w:sz="0" w:space="0" w:color="auto"/>
      </w:divBdr>
    </w:div>
    <w:div w:id="74282864">
      <w:bodyDiv w:val="1"/>
      <w:marLeft w:val="0"/>
      <w:marRight w:val="0"/>
      <w:marTop w:val="0"/>
      <w:marBottom w:val="0"/>
      <w:divBdr>
        <w:top w:val="none" w:sz="0" w:space="0" w:color="auto"/>
        <w:left w:val="none" w:sz="0" w:space="0" w:color="auto"/>
        <w:bottom w:val="none" w:sz="0" w:space="0" w:color="auto"/>
        <w:right w:val="none" w:sz="0" w:space="0" w:color="auto"/>
      </w:divBdr>
    </w:div>
    <w:div w:id="74283865">
      <w:bodyDiv w:val="1"/>
      <w:marLeft w:val="0"/>
      <w:marRight w:val="0"/>
      <w:marTop w:val="0"/>
      <w:marBottom w:val="0"/>
      <w:divBdr>
        <w:top w:val="none" w:sz="0" w:space="0" w:color="auto"/>
        <w:left w:val="none" w:sz="0" w:space="0" w:color="auto"/>
        <w:bottom w:val="none" w:sz="0" w:space="0" w:color="auto"/>
        <w:right w:val="none" w:sz="0" w:space="0" w:color="auto"/>
      </w:divBdr>
    </w:div>
    <w:div w:id="74326629">
      <w:bodyDiv w:val="1"/>
      <w:marLeft w:val="0"/>
      <w:marRight w:val="0"/>
      <w:marTop w:val="0"/>
      <w:marBottom w:val="0"/>
      <w:divBdr>
        <w:top w:val="none" w:sz="0" w:space="0" w:color="auto"/>
        <w:left w:val="none" w:sz="0" w:space="0" w:color="auto"/>
        <w:bottom w:val="none" w:sz="0" w:space="0" w:color="auto"/>
        <w:right w:val="none" w:sz="0" w:space="0" w:color="auto"/>
      </w:divBdr>
    </w:div>
    <w:div w:id="74476174">
      <w:bodyDiv w:val="1"/>
      <w:marLeft w:val="0"/>
      <w:marRight w:val="0"/>
      <w:marTop w:val="0"/>
      <w:marBottom w:val="0"/>
      <w:divBdr>
        <w:top w:val="none" w:sz="0" w:space="0" w:color="auto"/>
        <w:left w:val="none" w:sz="0" w:space="0" w:color="auto"/>
        <w:bottom w:val="none" w:sz="0" w:space="0" w:color="auto"/>
        <w:right w:val="none" w:sz="0" w:space="0" w:color="auto"/>
      </w:divBdr>
    </w:div>
    <w:div w:id="74520746">
      <w:bodyDiv w:val="1"/>
      <w:marLeft w:val="0"/>
      <w:marRight w:val="0"/>
      <w:marTop w:val="0"/>
      <w:marBottom w:val="0"/>
      <w:divBdr>
        <w:top w:val="none" w:sz="0" w:space="0" w:color="auto"/>
        <w:left w:val="none" w:sz="0" w:space="0" w:color="auto"/>
        <w:bottom w:val="none" w:sz="0" w:space="0" w:color="auto"/>
        <w:right w:val="none" w:sz="0" w:space="0" w:color="auto"/>
      </w:divBdr>
    </w:div>
    <w:div w:id="74594492">
      <w:bodyDiv w:val="1"/>
      <w:marLeft w:val="0"/>
      <w:marRight w:val="0"/>
      <w:marTop w:val="0"/>
      <w:marBottom w:val="0"/>
      <w:divBdr>
        <w:top w:val="none" w:sz="0" w:space="0" w:color="auto"/>
        <w:left w:val="none" w:sz="0" w:space="0" w:color="auto"/>
        <w:bottom w:val="none" w:sz="0" w:space="0" w:color="auto"/>
        <w:right w:val="none" w:sz="0" w:space="0" w:color="auto"/>
      </w:divBdr>
    </w:div>
    <w:div w:id="74596868">
      <w:bodyDiv w:val="1"/>
      <w:marLeft w:val="0"/>
      <w:marRight w:val="0"/>
      <w:marTop w:val="0"/>
      <w:marBottom w:val="0"/>
      <w:divBdr>
        <w:top w:val="none" w:sz="0" w:space="0" w:color="auto"/>
        <w:left w:val="none" w:sz="0" w:space="0" w:color="auto"/>
        <w:bottom w:val="none" w:sz="0" w:space="0" w:color="auto"/>
        <w:right w:val="none" w:sz="0" w:space="0" w:color="auto"/>
      </w:divBdr>
    </w:div>
    <w:div w:id="74713871">
      <w:bodyDiv w:val="1"/>
      <w:marLeft w:val="0"/>
      <w:marRight w:val="0"/>
      <w:marTop w:val="0"/>
      <w:marBottom w:val="0"/>
      <w:divBdr>
        <w:top w:val="none" w:sz="0" w:space="0" w:color="auto"/>
        <w:left w:val="none" w:sz="0" w:space="0" w:color="auto"/>
        <w:bottom w:val="none" w:sz="0" w:space="0" w:color="auto"/>
        <w:right w:val="none" w:sz="0" w:space="0" w:color="auto"/>
      </w:divBdr>
    </w:div>
    <w:div w:id="74743127">
      <w:bodyDiv w:val="1"/>
      <w:marLeft w:val="0"/>
      <w:marRight w:val="0"/>
      <w:marTop w:val="0"/>
      <w:marBottom w:val="0"/>
      <w:divBdr>
        <w:top w:val="none" w:sz="0" w:space="0" w:color="auto"/>
        <w:left w:val="none" w:sz="0" w:space="0" w:color="auto"/>
        <w:bottom w:val="none" w:sz="0" w:space="0" w:color="auto"/>
        <w:right w:val="none" w:sz="0" w:space="0" w:color="auto"/>
      </w:divBdr>
    </w:div>
    <w:div w:id="75057292">
      <w:bodyDiv w:val="1"/>
      <w:marLeft w:val="0"/>
      <w:marRight w:val="0"/>
      <w:marTop w:val="0"/>
      <w:marBottom w:val="0"/>
      <w:divBdr>
        <w:top w:val="none" w:sz="0" w:space="0" w:color="auto"/>
        <w:left w:val="none" w:sz="0" w:space="0" w:color="auto"/>
        <w:bottom w:val="none" w:sz="0" w:space="0" w:color="auto"/>
        <w:right w:val="none" w:sz="0" w:space="0" w:color="auto"/>
      </w:divBdr>
    </w:div>
    <w:div w:id="75059302">
      <w:bodyDiv w:val="1"/>
      <w:marLeft w:val="0"/>
      <w:marRight w:val="0"/>
      <w:marTop w:val="0"/>
      <w:marBottom w:val="0"/>
      <w:divBdr>
        <w:top w:val="none" w:sz="0" w:space="0" w:color="auto"/>
        <w:left w:val="none" w:sz="0" w:space="0" w:color="auto"/>
        <w:bottom w:val="none" w:sz="0" w:space="0" w:color="auto"/>
        <w:right w:val="none" w:sz="0" w:space="0" w:color="auto"/>
      </w:divBdr>
    </w:div>
    <w:div w:id="75130728">
      <w:bodyDiv w:val="1"/>
      <w:marLeft w:val="0"/>
      <w:marRight w:val="0"/>
      <w:marTop w:val="0"/>
      <w:marBottom w:val="0"/>
      <w:divBdr>
        <w:top w:val="none" w:sz="0" w:space="0" w:color="auto"/>
        <w:left w:val="none" w:sz="0" w:space="0" w:color="auto"/>
        <w:bottom w:val="none" w:sz="0" w:space="0" w:color="auto"/>
        <w:right w:val="none" w:sz="0" w:space="0" w:color="auto"/>
      </w:divBdr>
    </w:div>
    <w:div w:id="75178136">
      <w:bodyDiv w:val="1"/>
      <w:marLeft w:val="0"/>
      <w:marRight w:val="0"/>
      <w:marTop w:val="0"/>
      <w:marBottom w:val="0"/>
      <w:divBdr>
        <w:top w:val="none" w:sz="0" w:space="0" w:color="auto"/>
        <w:left w:val="none" w:sz="0" w:space="0" w:color="auto"/>
        <w:bottom w:val="none" w:sz="0" w:space="0" w:color="auto"/>
        <w:right w:val="none" w:sz="0" w:space="0" w:color="auto"/>
      </w:divBdr>
    </w:div>
    <w:div w:id="75249249">
      <w:bodyDiv w:val="1"/>
      <w:marLeft w:val="0"/>
      <w:marRight w:val="0"/>
      <w:marTop w:val="0"/>
      <w:marBottom w:val="0"/>
      <w:divBdr>
        <w:top w:val="none" w:sz="0" w:space="0" w:color="auto"/>
        <w:left w:val="none" w:sz="0" w:space="0" w:color="auto"/>
        <w:bottom w:val="none" w:sz="0" w:space="0" w:color="auto"/>
        <w:right w:val="none" w:sz="0" w:space="0" w:color="auto"/>
      </w:divBdr>
    </w:div>
    <w:div w:id="75370781">
      <w:bodyDiv w:val="1"/>
      <w:marLeft w:val="0"/>
      <w:marRight w:val="0"/>
      <w:marTop w:val="0"/>
      <w:marBottom w:val="0"/>
      <w:divBdr>
        <w:top w:val="none" w:sz="0" w:space="0" w:color="auto"/>
        <w:left w:val="none" w:sz="0" w:space="0" w:color="auto"/>
        <w:bottom w:val="none" w:sz="0" w:space="0" w:color="auto"/>
        <w:right w:val="none" w:sz="0" w:space="0" w:color="auto"/>
      </w:divBdr>
    </w:div>
    <w:div w:id="75447528">
      <w:bodyDiv w:val="1"/>
      <w:marLeft w:val="0"/>
      <w:marRight w:val="0"/>
      <w:marTop w:val="0"/>
      <w:marBottom w:val="0"/>
      <w:divBdr>
        <w:top w:val="none" w:sz="0" w:space="0" w:color="auto"/>
        <w:left w:val="none" w:sz="0" w:space="0" w:color="auto"/>
        <w:bottom w:val="none" w:sz="0" w:space="0" w:color="auto"/>
        <w:right w:val="none" w:sz="0" w:space="0" w:color="auto"/>
      </w:divBdr>
    </w:div>
    <w:div w:id="75564703">
      <w:bodyDiv w:val="1"/>
      <w:marLeft w:val="0"/>
      <w:marRight w:val="0"/>
      <w:marTop w:val="0"/>
      <w:marBottom w:val="0"/>
      <w:divBdr>
        <w:top w:val="none" w:sz="0" w:space="0" w:color="auto"/>
        <w:left w:val="none" w:sz="0" w:space="0" w:color="auto"/>
        <w:bottom w:val="none" w:sz="0" w:space="0" w:color="auto"/>
        <w:right w:val="none" w:sz="0" w:space="0" w:color="auto"/>
      </w:divBdr>
    </w:div>
    <w:div w:id="75592777">
      <w:bodyDiv w:val="1"/>
      <w:marLeft w:val="0"/>
      <w:marRight w:val="0"/>
      <w:marTop w:val="0"/>
      <w:marBottom w:val="0"/>
      <w:divBdr>
        <w:top w:val="none" w:sz="0" w:space="0" w:color="auto"/>
        <w:left w:val="none" w:sz="0" w:space="0" w:color="auto"/>
        <w:bottom w:val="none" w:sz="0" w:space="0" w:color="auto"/>
        <w:right w:val="none" w:sz="0" w:space="0" w:color="auto"/>
      </w:divBdr>
    </w:div>
    <w:div w:id="75593852">
      <w:bodyDiv w:val="1"/>
      <w:marLeft w:val="0"/>
      <w:marRight w:val="0"/>
      <w:marTop w:val="0"/>
      <w:marBottom w:val="0"/>
      <w:divBdr>
        <w:top w:val="none" w:sz="0" w:space="0" w:color="auto"/>
        <w:left w:val="none" w:sz="0" w:space="0" w:color="auto"/>
        <w:bottom w:val="none" w:sz="0" w:space="0" w:color="auto"/>
        <w:right w:val="none" w:sz="0" w:space="0" w:color="auto"/>
      </w:divBdr>
    </w:div>
    <w:div w:id="75636222">
      <w:bodyDiv w:val="1"/>
      <w:marLeft w:val="0"/>
      <w:marRight w:val="0"/>
      <w:marTop w:val="0"/>
      <w:marBottom w:val="0"/>
      <w:divBdr>
        <w:top w:val="none" w:sz="0" w:space="0" w:color="auto"/>
        <w:left w:val="none" w:sz="0" w:space="0" w:color="auto"/>
        <w:bottom w:val="none" w:sz="0" w:space="0" w:color="auto"/>
        <w:right w:val="none" w:sz="0" w:space="0" w:color="auto"/>
      </w:divBdr>
    </w:div>
    <w:div w:id="75784294">
      <w:bodyDiv w:val="1"/>
      <w:marLeft w:val="0"/>
      <w:marRight w:val="0"/>
      <w:marTop w:val="0"/>
      <w:marBottom w:val="0"/>
      <w:divBdr>
        <w:top w:val="none" w:sz="0" w:space="0" w:color="auto"/>
        <w:left w:val="none" w:sz="0" w:space="0" w:color="auto"/>
        <w:bottom w:val="none" w:sz="0" w:space="0" w:color="auto"/>
        <w:right w:val="none" w:sz="0" w:space="0" w:color="auto"/>
      </w:divBdr>
    </w:div>
    <w:div w:id="75857601">
      <w:bodyDiv w:val="1"/>
      <w:marLeft w:val="0"/>
      <w:marRight w:val="0"/>
      <w:marTop w:val="0"/>
      <w:marBottom w:val="0"/>
      <w:divBdr>
        <w:top w:val="none" w:sz="0" w:space="0" w:color="auto"/>
        <w:left w:val="none" w:sz="0" w:space="0" w:color="auto"/>
        <w:bottom w:val="none" w:sz="0" w:space="0" w:color="auto"/>
        <w:right w:val="none" w:sz="0" w:space="0" w:color="auto"/>
      </w:divBdr>
    </w:div>
    <w:div w:id="75902946">
      <w:bodyDiv w:val="1"/>
      <w:marLeft w:val="0"/>
      <w:marRight w:val="0"/>
      <w:marTop w:val="0"/>
      <w:marBottom w:val="0"/>
      <w:divBdr>
        <w:top w:val="none" w:sz="0" w:space="0" w:color="auto"/>
        <w:left w:val="none" w:sz="0" w:space="0" w:color="auto"/>
        <w:bottom w:val="none" w:sz="0" w:space="0" w:color="auto"/>
        <w:right w:val="none" w:sz="0" w:space="0" w:color="auto"/>
      </w:divBdr>
    </w:div>
    <w:div w:id="75905085">
      <w:bodyDiv w:val="1"/>
      <w:marLeft w:val="0"/>
      <w:marRight w:val="0"/>
      <w:marTop w:val="0"/>
      <w:marBottom w:val="0"/>
      <w:divBdr>
        <w:top w:val="none" w:sz="0" w:space="0" w:color="auto"/>
        <w:left w:val="none" w:sz="0" w:space="0" w:color="auto"/>
        <w:bottom w:val="none" w:sz="0" w:space="0" w:color="auto"/>
        <w:right w:val="none" w:sz="0" w:space="0" w:color="auto"/>
      </w:divBdr>
    </w:div>
    <w:div w:id="75977919">
      <w:bodyDiv w:val="1"/>
      <w:marLeft w:val="0"/>
      <w:marRight w:val="0"/>
      <w:marTop w:val="0"/>
      <w:marBottom w:val="0"/>
      <w:divBdr>
        <w:top w:val="none" w:sz="0" w:space="0" w:color="auto"/>
        <w:left w:val="none" w:sz="0" w:space="0" w:color="auto"/>
        <w:bottom w:val="none" w:sz="0" w:space="0" w:color="auto"/>
        <w:right w:val="none" w:sz="0" w:space="0" w:color="auto"/>
      </w:divBdr>
    </w:div>
    <w:div w:id="76051724">
      <w:bodyDiv w:val="1"/>
      <w:marLeft w:val="0"/>
      <w:marRight w:val="0"/>
      <w:marTop w:val="0"/>
      <w:marBottom w:val="0"/>
      <w:divBdr>
        <w:top w:val="none" w:sz="0" w:space="0" w:color="auto"/>
        <w:left w:val="none" w:sz="0" w:space="0" w:color="auto"/>
        <w:bottom w:val="none" w:sz="0" w:space="0" w:color="auto"/>
        <w:right w:val="none" w:sz="0" w:space="0" w:color="auto"/>
      </w:divBdr>
    </w:div>
    <w:div w:id="76096048">
      <w:bodyDiv w:val="1"/>
      <w:marLeft w:val="0"/>
      <w:marRight w:val="0"/>
      <w:marTop w:val="0"/>
      <w:marBottom w:val="0"/>
      <w:divBdr>
        <w:top w:val="none" w:sz="0" w:space="0" w:color="auto"/>
        <w:left w:val="none" w:sz="0" w:space="0" w:color="auto"/>
        <w:bottom w:val="none" w:sz="0" w:space="0" w:color="auto"/>
        <w:right w:val="none" w:sz="0" w:space="0" w:color="auto"/>
      </w:divBdr>
    </w:div>
    <w:div w:id="76096468">
      <w:bodyDiv w:val="1"/>
      <w:marLeft w:val="0"/>
      <w:marRight w:val="0"/>
      <w:marTop w:val="0"/>
      <w:marBottom w:val="0"/>
      <w:divBdr>
        <w:top w:val="none" w:sz="0" w:space="0" w:color="auto"/>
        <w:left w:val="none" w:sz="0" w:space="0" w:color="auto"/>
        <w:bottom w:val="none" w:sz="0" w:space="0" w:color="auto"/>
        <w:right w:val="none" w:sz="0" w:space="0" w:color="auto"/>
      </w:divBdr>
    </w:div>
    <w:div w:id="76099565">
      <w:bodyDiv w:val="1"/>
      <w:marLeft w:val="0"/>
      <w:marRight w:val="0"/>
      <w:marTop w:val="0"/>
      <w:marBottom w:val="0"/>
      <w:divBdr>
        <w:top w:val="none" w:sz="0" w:space="0" w:color="auto"/>
        <w:left w:val="none" w:sz="0" w:space="0" w:color="auto"/>
        <w:bottom w:val="none" w:sz="0" w:space="0" w:color="auto"/>
        <w:right w:val="none" w:sz="0" w:space="0" w:color="auto"/>
      </w:divBdr>
    </w:div>
    <w:div w:id="76102532">
      <w:bodyDiv w:val="1"/>
      <w:marLeft w:val="0"/>
      <w:marRight w:val="0"/>
      <w:marTop w:val="0"/>
      <w:marBottom w:val="0"/>
      <w:divBdr>
        <w:top w:val="none" w:sz="0" w:space="0" w:color="auto"/>
        <w:left w:val="none" w:sz="0" w:space="0" w:color="auto"/>
        <w:bottom w:val="none" w:sz="0" w:space="0" w:color="auto"/>
        <w:right w:val="none" w:sz="0" w:space="0" w:color="auto"/>
      </w:divBdr>
    </w:div>
    <w:div w:id="76169641">
      <w:bodyDiv w:val="1"/>
      <w:marLeft w:val="0"/>
      <w:marRight w:val="0"/>
      <w:marTop w:val="0"/>
      <w:marBottom w:val="0"/>
      <w:divBdr>
        <w:top w:val="none" w:sz="0" w:space="0" w:color="auto"/>
        <w:left w:val="none" w:sz="0" w:space="0" w:color="auto"/>
        <w:bottom w:val="none" w:sz="0" w:space="0" w:color="auto"/>
        <w:right w:val="none" w:sz="0" w:space="0" w:color="auto"/>
      </w:divBdr>
    </w:div>
    <w:div w:id="76177478">
      <w:bodyDiv w:val="1"/>
      <w:marLeft w:val="0"/>
      <w:marRight w:val="0"/>
      <w:marTop w:val="0"/>
      <w:marBottom w:val="0"/>
      <w:divBdr>
        <w:top w:val="none" w:sz="0" w:space="0" w:color="auto"/>
        <w:left w:val="none" w:sz="0" w:space="0" w:color="auto"/>
        <w:bottom w:val="none" w:sz="0" w:space="0" w:color="auto"/>
        <w:right w:val="none" w:sz="0" w:space="0" w:color="auto"/>
      </w:divBdr>
    </w:div>
    <w:div w:id="76365746">
      <w:bodyDiv w:val="1"/>
      <w:marLeft w:val="0"/>
      <w:marRight w:val="0"/>
      <w:marTop w:val="0"/>
      <w:marBottom w:val="0"/>
      <w:divBdr>
        <w:top w:val="none" w:sz="0" w:space="0" w:color="auto"/>
        <w:left w:val="none" w:sz="0" w:space="0" w:color="auto"/>
        <w:bottom w:val="none" w:sz="0" w:space="0" w:color="auto"/>
        <w:right w:val="none" w:sz="0" w:space="0" w:color="auto"/>
      </w:divBdr>
    </w:div>
    <w:div w:id="76439860">
      <w:bodyDiv w:val="1"/>
      <w:marLeft w:val="0"/>
      <w:marRight w:val="0"/>
      <w:marTop w:val="0"/>
      <w:marBottom w:val="0"/>
      <w:divBdr>
        <w:top w:val="none" w:sz="0" w:space="0" w:color="auto"/>
        <w:left w:val="none" w:sz="0" w:space="0" w:color="auto"/>
        <w:bottom w:val="none" w:sz="0" w:space="0" w:color="auto"/>
        <w:right w:val="none" w:sz="0" w:space="0" w:color="auto"/>
      </w:divBdr>
    </w:div>
    <w:div w:id="76441430">
      <w:bodyDiv w:val="1"/>
      <w:marLeft w:val="0"/>
      <w:marRight w:val="0"/>
      <w:marTop w:val="0"/>
      <w:marBottom w:val="0"/>
      <w:divBdr>
        <w:top w:val="none" w:sz="0" w:space="0" w:color="auto"/>
        <w:left w:val="none" w:sz="0" w:space="0" w:color="auto"/>
        <w:bottom w:val="none" w:sz="0" w:space="0" w:color="auto"/>
        <w:right w:val="none" w:sz="0" w:space="0" w:color="auto"/>
      </w:divBdr>
    </w:div>
    <w:div w:id="76444215">
      <w:bodyDiv w:val="1"/>
      <w:marLeft w:val="0"/>
      <w:marRight w:val="0"/>
      <w:marTop w:val="0"/>
      <w:marBottom w:val="0"/>
      <w:divBdr>
        <w:top w:val="none" w:sz="0" w:space="0" w:color="auto"/>
        <w:left w:val="none" w:sz="0" w:space="0" w:color="auto"/>
        <w:bottom w:val="none" w:sz="0" w:space="0" w:color="auto"/>
        <w:right w:val="none" w:sz="0" w:space="0" w:color="auto"/>
      </w:divBdr>
    </w:div>
    <w:div w:id="76444487">
      <w:bodyDiv w:val="1"/>
      <w:marLeft w:val="0"/>
      <w:marRight w:val="0"/>
      <w:marTop w:val="0"/>
      <w:marBottom w:val="0"/>
      <w:divBdr>
        <w:top w:val="none" w:sz="0" w:space="0" w:color="auto"/>
        <w:left w:val="none" w:sz="0" w:space="0" w:color="auto"/>
        <w:bottom w:val="none" w:sz="0" w:space="0" w:color="auto"/>
        <w:right w:val="none" w:sz="0" w:space="0" w:color="auto"/>
      </w:divBdr>
    </w:div>
    <w:div w:id="76445225">
      <w:bodyDiv w:val="1"/>
      <w:marLeft w:val="0"/>
      <w:marRight w:val="0"/>
      <w:marTop w:val="0"/>
      <w:marBottom w:val="0"/>
      <w:divBdr>
        <w:top w:val="none" w:sz="0" w:space="0" w:color="auto"/>
        <w:left w:val="none" w:sz="0" w:space="0" w:color="auto"/>
        <w:bottom w:val="none" w:sz="0" w:space="0" w:color="auto"/>
        <w:right w:val="none" w:sz="0" w:space="0" w:color="auto"/>
      </w:divBdr>
    </w:div>
    <w:div w:id="76446950">
      <w:bodyDiv w:val="1"/>
      <w:marLeft w:val="0"/>
      <w:marRight w:val="0"/>
      <w:marTop w:val="0"/>
      <w:marBottom w:val="0"/>
      <w:divBdr>
        <w:top w:val="none" w:sz="0" w:space="0" w:color="auto"/>
        <w:left w:val="none" w:sz="0" w:space="0" w:color="auto"/>
        <w:bottom w:val="none" w:sz="0" w:space="0" w:color="auto"/>
        <w:right w:val="none" w:sz="0" w:space="0" w:color="auto"/>
      </w:divBdr>
    </w:div>
    <w:div w:id="76480525">
      <w:bodyDiv w:val="1"/>
      <w:marLeft w:val="0"/>
      <w:marRight w:val="0"/>
      <w:marTop w:val="0"/>
      <w:marBottom w:val="0"/>
      <w:divBdr>
        <w:top w:val="none" w:sz="0" w:space="0" w:color="auto"/>
        <w:left w:val="none" w:sz="0" w:space="0" w:color="auto"/>
        <w:bottom w:val="none" w:sz="0" w:space="0" w:color="auto"/>
        <w:right w:val="none" w:sz="0" w:space="0" w:color="auto"/>
      </w:divBdr>
    </w:div>
    <w:div w:id="76486109">
      <w:bodyDiv w:val="1"/>
      <w:marLeft w:val="0"/>
      <w:marRight w:val="0"/>
      <w:marTop w:val="0"/>
      <w:marBottom w:val="0"/>
      <w:divBdr>
        <w:top w:val="none" w:sz="0" w:space="0" w:color="auto"/>
        <w:left w:val="none" w:sz="0" w:space="0" w:color="auto"/>
        <w:bottom w:val="none" w:sz="0" w:space="0" w:color="auto"/>
        <w:right w:val="none" w:sz="0" w:space="0" w:color="auto"/>
      </w:divBdr>
    </w:div>
    <w:div w:id="76487562">
      <w:bodyDiv w:val="1"/>
      <w:marLeft w:val="0"/>
      <w:marRight w:val="0"/>
      <w:marTop w:val="0"/>
      <w:marBottom w:val="0"/>
      <w:divBdr>
        <w:top w:val="none" w:sz="0" w:space="0" w:color="auto"/>
        <w:left w:val="none" w:sz="0" w:space="0" w:color="auto"/>
        <w:bottom w:val="none" w:sz="0" w:space="0" w:color="auto"/>
        <w:right w:val="none" w:sz="0" w:space="0" w:color="auto"/>
      </w:divBdr>
    </w:div>
    <w:div w:id="76631629">
      <w:bodyDiv w:val="1"/>
      <w:marLeft w:val="0"/>
      <w:marRight w:val="0"/>
      <w:marTop w:val="0"/>
      <w:marBottom w:val="0"/>
      <w:divBdr>
        <w:top w:val="none" w:sz="0" w:space="0" w:color="auto"/>
        <w:left w:val="none" w:sz="0" w:space="0" w:color="auto"/>
        <w:bottom w:val="none" w:sz="0" w:space="0" w:color="auto"/>
        <w:right w:val="none" w:sz="0" w:space="0" w:color="auto"/>
      </w:divBdr>
    </w:div>
    <w:div w:id="76677657">
      <w:bodyDiv w:val="1"/>
      <w:marLeft w:val="0"/>
      <w:marRight w:val="0"/>
      <w:marTop w:val="0"/>
      <w:marBottom w:val="0"/>
      <w:divBdr>
        <w:top w:val="none" w:sz="0" w:space="0" w:color="auto"/>
        <w:left w:val="none" w:sz="0" w:space="0" w:color="auto"/>
        <w:bottom w:val="none" w:sz="0" w:space="0" w:color="auto"/>
        <w:right w:val="none" w:sz="0" w:space="0" w:color="auto"/>
      </w:divBdr>
    </w:div>
    <w:div w:id="76749437">
      <w:bodyDiv w:val="1"/>
      <w:marLeft w:val="0"/>
      <w:marRight w:val="0"/>
      <w:marTop w:val="0"/>
      <w:marBottom w:val="0"/>
      <w:divBdr>
        <w:top w:val="none" w:sz="0" w:space="0" w:color="auto"/>
        <w:left w:val="none" w:sz="0" w:space="0" w:color="auto"/>
        <w:bottom w:val="none" w:sz="0" w:space="0" w:color="auto"/>
        <w:right w:val="none" w:sz="0" w:space="0" w:color="auto"/>
      </w:divBdr>
    </w:div>
    <w:div w:id="76757048">
      <w:bodyDiv w:val="1"/>
      <w:marLeft w:val="0"/>
      <w:marRight w:val="0"/>
      <w:marTop w:val="0"/>
      <w:marBottom w:val="0"/>
      <w:divBdr>
        <w:top w:val="none" w:sz="0" w:space="0" w:color="auto"/>
        <w:left w:val="none" w:sz="0" w:space="0" w:color="auto"/>
        <w:bottom w:val="none" w:sz="0" w:space="0" w:color="auto"/>
        <w:right w:val="none" w:sz="0" w:space="0" w:color="auto"/>
      </w:divBdr>
    </w:div>
    <w:div w:id="76903883">
      <w:bodyDiv w:val="1"/>
      <w:marLeft w:val="0"/>
      <w:marRight w:val="0"/>
      <w:marTop w:val="0"/>
      <w:marBottom w:val="0"/>
      <w:divBdr>
        <w:top w:val="none" w:sz="0" w:space="0" w:color="auto"/>
        <w:left w:val="none" w:sz="0" w:space="0" w:color="auto"/>
        <w:bottom w:val="none" w:sz="0" w:space="0" w:color="auto"/>
        <w:right w:val="none" w:sz="0" w:space="0" w:color="auto"/>
      </w:divBdr>
    </w:div>
    <w:div w:id="76942173">
      <w:bodyDiv w:val="1"/>
      <w:marLeft w:val="0"/>
      <w:marRight w:val="0"/>
      <w:marTop w:val="0"/>
      <w:marBottom w:val="0"/>
      <w:divBdr>
        <w:top w:val="none" w:sz="0" w:space="0" w:color="auto"/>
        <w:left w:val="none" w:sz="0" w:space="0" w:color="auto"/>
        <w:bottom w:val="none" w:sz="0" w:space="0" w:color="auto"/>
        <w:right w:val="none" w:sz="0" w:space="0" w:color="auto"/>
      </w:divBdr>
    </w:div>
    <w:div w:id="76944453">
      <w:bodyDiv w:val="1"/>
      <w:marLeft w:val="0"/>
      <w:marRight w:val="0"/>
      <w:marTop w:val="0"/>
      <w:marBottom w:val="0"/>
      <w:divBdr>
        <w:top w:val="none" w:sz="0" w:space="0" w:color="auto"/>
        <w:left w:val="none" w:sz="0" w:space="0" w:color="auto"/>
        <w:bottom w:val="none" w:sz="0" w:space="0" w:color="auto"/>
        <w:right w:val="none" w:sz="0" w:space="0" w:color="auto"/>
      </w:divBdr>
    </w:div>
    <w:div w:id="76949597">
      <w:bodyDiv w:val="1"/>
      <w:marLeft w:val="0"/>
      <w:marRight w:val="0"/>
      <w:marTop w:val="0"/>
      <w:marBottom w:val="0"/>
      <w:divBdr>
        <w:top w:val="none" w:sz="0" w:space="0" w:color="auto"/>
        <w:left w:val="none" w:sz="0" w:space="0" w:color="auto"/>
        <w:bottom w:val="none" w:sz="0" w:space="0" w:color="auto"/>
        <w:right w:val="none" w:sz="0" w:space="0" w:color="auto"/>
      </w:divBdr>
    </w:div>
    <w:div w:id="76951595">
      <w:bodyDiv w:val="1"/>
      <w:marLeft w:val="0"/>
      <w:marRight w:val="0"/>
      <w:marTop w:val="0"/>
      <w:marBottom w:val="0"/>
      <w:divBdr>
        <w:top w:val="none" w:sz="0" w:space="0" w:color="auto"/>
        <w:left w:val="none" w:sz="0" w:space="0" w:color="auto"/>
        <w:bottom w:val="none" w:sz="0" w:space="0" w:color="auto"/>
        <w:right w:val="none" w:sz="0" w:space="0" w:color="auto"/>
      </w:divBdr>
    </w:div>
    <w:div w:id="77018905">
      <w:bodyDiv w:val="1"/>
      <w:marLeft w:val="0"/>
      <w:marRight w:val="0"/>
      <w:marTop w:val="0"/>
      <w:marBottom w:val="0"/>
      <w:divBdr>
        <w:top w:val="none" w:sz="0" w:space="0" w:color="auto"/>
        <w:left w:val="none" w:sz="0" w:space="0" w:color="auto"/>
        <w:bottom w:val="none" w:sz="0" w:space="0" w:color="auto"/>
        <w:right w:val="none" w:sz="0" w:space="0" w:color="auto"/>
      </w:divBdr>
    </w:div>
    <w:div w:id="77025614">
      <w:bodyDiv w:val="1"/>
      <w:marLeft w:val="0"/>
      <w:marRight w:val="0"/>
      <w:marTop w:val="0"/>
      <w:marBottom w:val="0"/>
      <w:divBdr>
        <w:top w:val="none" w:sz="0" w:space="0" w:color="auto"/>
        <w:left w:val="none" w:sz="0" w:space="0" w:color="auto"/>
        <w:bottom w:val="none" w:sz="0" w:space="0" w:color="auto"/>
        <w:right w:val="none" w:sz="0" w:space="0" w:color="auto"/>
      </w:divBdr>
    </w:div>
    <w:div w:id="77094612">
      <w:bodyDiv w:val="1"/>
      <w:marLeft w:val="0"/>
      <w:marRight w:val="0"/>
      <w:marTop w:val="0"/>
      <w:marBottom w:val="0"/>
      <w:divBdr>
        <w:top w:val="none" w:sz="0" w:space="0" w:color="auto"/>
        <w:left w:val="none" w:sz="0" w:space="0" w:color="auto"/>
        <w:bottom w:val="none" w:sz="0" w:space="0" w:color="auto"/>
        <w:right w:val="none" w:sz="0" w:space="0" w:color="auto"/>
      </w:divBdr>
    </w:div>
    <w:div w:id="77213889">
      <w:bodyDiv w:val="1"/>
      <w:marLeft w:val="0"/>
      <w:marRight w:val="0"/>
      <w:marTop w:val="0"/>
      <w:marBottom w:val="0"/>
      <w:divBdr>
        <w:top w:val="none" w:sz="0" w:space="0" w:color="auto"/>
        <w:left w:val="none" w:sz="0" w:space="0" w:color="auto"/>
        <w:bottom w:val="none" w:sz="0" w:space="0" w:color="auto"/>
        <w:right w:val="none" w:sz="0" w:space="0" w:color="auto"/>
      </w:divBdr>
    </w:div>
    <w:div w:id="77217383">
      <w:bodyDiv w:val="1"/>
      <w:marLeft w:val="0"/>
      <w:marRight w:val="0"/>
      <w:marTop w:val="0"/>
      <w:marBottom w:val="0"/>
      <w:divBdr>
        <w:top w:val="none" w:sz="0" w:space="0" w:color="auto"/>
        <w:left w:val="none" w:sz="0" w:space="0" w:color="auto"/>
        <w:bottom w:val="none" w:sz="0" w:space="0" w:color="auto"/>
        <w:right w:val="none" w:sz="0" w:space="0" w:color="auto"/>
      </w:divBdr>
    </w:div>
    <w:div w:id="77218431">
      <w:bodyDiv w:val="1"/>
      <w:marLeft w:val="0"/>
      <w:marRight w:val="0"/>
      <w:marTop w:val="0"/>
      <w:marBottom w:val="0"/>
      <w:divBdr>
        <w:top w:val="none" w:sz="0" w:space="0" w:color="auto"/>
        <w:left w:val="none" w:sz="0" w:space="0" w:color="auto"/>
        <w:bottom w:val="none" w:sz="0" w:space="0" w:color="auto"/>
        <w:right w:val="none" w:sz="0" w:space="0" w:color="auto"/>
      </w:divBdr>
    </w:div>
    <w:div w:id="77219011">
      <w:bodyDiv w:val="1"/>
      <w:marLeft w:val="0"/>
      <w:marRight w:val="0"/>
      <w:marTop w:val="0"/>
      <w:marBottom w:val="0"/>
      <w:divBdr>
        <w:top w:val="none" w:sz="0" w:space="0" w:color="auto"/>
        <w:left w:val="none" w:sz="0" w:space="0" w:color="auto"/>
        <w:bottom w:val="none" w:sz="0" w:space="0" w:color="auto"/>
        <w:right w:val="none" w:sz="0" w:space="0" w:color="auto"/>
      </w:divBdr>
    </w:div>
    <w:div w:id="77289754">
      <w:bodyDiv w:val="1"/>
      <w:marLeft w:val="0"/>
      <w:marRight w:val="0"/>
      <w:marTop w:val="0"/>
      <w:marBottom w:val="0"/>
      <w:divBdr>
        <w:top w:val="none" w:sz="0" w:space="0" w:color="auto"/>
        <w:left w:val="none" w:sz="0" w:space="0" w:color="auto"/>
        <w:bottom w:val="none" w:sz="0" w:space="0" w:color="auto"/>
        <w:right w:val="none" w:sz="0" w:space="0" w:color="auto"/>
      </w:divBdr>
    </w:div>
    <w:div w:id="77294657">
      <w:bodyDiv w:val="1"/>
      <w:marLeft w:val="0"/>
      <w:marRight w:val="0"/>
      <w:marTop w:val="0"/>
      <w:marBottom w:val="0"/>
      <w:divBdr>
        <w:top w:val="none" w:sz="0" w:space="0" w:color="auto"/>
        <w:left w:val="none" w:sz="0" w:space="0" w:color="auto"/>
        <w:bottom w:val="none" w:sz="0" w:space="0" w:color="auto"/>
        <w:right w:val="none" w:sz="0" w:space="0" w:color="auto"/>
      </w:divBdr>
    </w:div>
    <w:div w:id="77333872">
      <w:bodyDiv w:val="1"/>
      <w:marLeft w:val="0"/>
      <w:marRight w:val="0"/>
      <w:marTop w:val="0"/>
      <w:marBottom w:val="0"/>
      <w:divBdr>
        <w:top w:val="none" w:sz="0" w:space="0" w:color="auto"/>
        <w:left w:val="none" w:sz="0" w:space="0" w:color="auto"/>
        <w:bottom w:val="none" w:sz="0" w:space="0" w:color="auto"/>
        <w:right w:val="none" w:sz="0" w:space="0" w:color="auto"/>
      </w:divBdr>
    </w:div>
    <w:div w:id="77404509">
      <w:bodyDiv w:val="1"/>
      <w:marLeft w:val="0"/>
      <w:marRight w:val="0"/>
      <w:marTop w:val="0"/>
      <w:marBottom w:val="0"/>
      <w:divBdr>
        <w:top w:val="none" w:sz="0" w:space="0" w:color="auto"/>
        <w:left w:val="none" w:sz="0" w:space="0" w:color="auto"/>
        <w:bottom w:val="none" w:sz="0" w:space="0" w:color="auto"/>
        <w:right w:val="none" w:sz="0" w:space="0" w:color="auto"/>
      </w:divBdr>
    </w:div>
    <w:div w:id="77598700">
      <w:bodyDiv w:val="1"/>
      <w:marLeft w:val="0"/>
      <w:marRight w:val="0"/>
      <w:marTop w:val="0"/>
      <w:marBottom w:val="0"/>
      <w:divBdr>
        <w:top w:val="none" w:sz="0" w:space="0" w:color="auto"/>
        <w:left w:val="none" w:sz="0" w:space="0" w:color="auto"/>
        <w:bottom w:val="none" w:sz="0" w:space="0" w:color="auto"/>
        <w:right w:val="none" w:sz="0" w:space="0" w:color="auto"/>
      </w:divBdr>
    </w:div>
    <w:div w:id="77601553">
      <w:bodyDiv w:val="1"/>
      <w:marLeft w:val="0"/>
      <w:marRight w:val="0"/>
      <w:marTop w:val="0"/>
      <w:marBottom w:val="0"/>
      <w:divBdr>
        <w:top w:val="none" w:sz="0" w:space="0" w:color="auto"/>
        <w:left w:val="none" w:sz="0" w:space="0" w:color="auto"/>
        <w:bottom w:val="none" w:sz="0" w:space="0" w:color="auto"/>
        <w:right w:val="none" w:sz="0" w:space="0" w:color="auto"/>
      </w:divBdr>
    </w:div>
    <w:div w:id="77606934">
      <w:bodyDiv w:val="1"/>
      <w:marLeft w:val="0"/>
      <w:marRight w:val="0"/>
      <w:marTop w:val="0"/>
      <w:marBottom w:val="0"/>
      <w:divBdr>
        <w:top w:val="none" w:sz="0" w:space="0" w:color="auto"/>
        <w:left w:val="none" w:sz="0" w:space="0" w:color="auto"/>
        <w:bottom w:val="none" w:sz="0" w:space="0" w:color="auto"/>
        <w:right w:val="none" w:sz="0" w:space="0" w:color="auto"/>
      </w:divBdr>
    </w:div>
    <w:div w:id="77794371">
      <w:bodyDiv w:val="1"/>
      <w:marLeft w:val="0"/>
      <w:marRight w:val="0"/>
      <w:marTop w:val="0"/>
      <w:marBottom w:val="0"/>
      <w:divBdr>
        <w:top w:val="none" w:sz="0" w:space="0" w:color="auto"/>
        <w:left w:val="none" w:sz="0" w:space="0" w:color="auto"/>
        <w:bottom w:val="none" w:sz="0" w:space="0" w:color="auto"/>
        <w:right w:val="none" w:sz="0" w:space="0" w:color="auto"/>
      </w:divBdr>
    </w:div>
    <w:div w:id="77868293">
      <w:bodyDiv w:val="1"/>
      <w:marLeft w:val="0"/>
      <w:marRight w:val="0"/>
      <w:marTop w:val="0"/>
      <w:marBottom w:val="0"/>
      <w:divBdr>
        <w:top w:val="none" w:sz="0" w:space="0" w:color="auto"/>
        <w:left w:val="none" w:sz="0" w:space="0" w:color="auto"/>
        <w:bottom w:val="none" w:sz="0" w:space="0" w:color="auto"/>
        <w:right w:val="none" w:sz="0" w:space="0" w:color="auto"/>
      </w:divBdr>
    </w:div>
    <w:div w:id="77868556">
      <w:bodyDiv w:val="1"/>
      <w:marLeft w:val="0"/>
      <w:marRight w:val="0"/>
      <w:marTop w:val="0"/>
      <w:marBottom w:val="0"/>
      <w:divBdr>
        <w:top w:val="none" w:sz="0" w:space="0" w:color="auto"/>
        <w:left w:val="none" w:sz="0" w:space="0" w:color="auto"/>
        <w:bottom w:val="none" w:sz="0" w:space="0" w:color="auto"/>
        <w:right w:val="none" w:sz="0" w:space="0" w:color="auto"/>
      </w:divBdr>
    </w:div>
    <w:div w:id="77945394">
      <w:bodyDiv w:val="1"/>
      <w:marLeft w:val="0"/>
      <w:marRight w:val="0"/>
      <w:marTop w:val="0"/>
      <w:marBottom w:val="0"/>
      <w:divBdr>
        <w:top w:val="none" w:sz="0" w:space="0" w:color="auto"/>
        <w:left w:val="none" w:sz="0" w:space="0" w:color="auto"/>
        <w:bottom w:val="none" w:sz="0" w:space="0" w:color="auto"/>
        <w:right w:val="none" w:sz="0" w:space="0" w:color="auto"/>
      </w:divBdr>
    </w:div>
    <w:div w:id="77945458">
      <w:bodyDiv w:val="1"/>
      <w:marLeft w:val="0"/>
      <w:marRight w:val="0"/>
      <w:marTop w:val="0"/>
      <w:marBottom w:val="0"/>
      <w:divBdr>
        <w:top w:val="none" w:sz="0" w:space="0" w:color="auto"/>
        <w:left w:val="none" w:sz="0" w:space="0" w:color="auto"/>
        <w:bottom w:val="none" w:sz="0" w:space="0" w:color="auto"/>
        <w:right w:val="none" w:sz="0" w:space="0" w:color="auto"/>
      </w:divBdr>
    </w:div>
    <w:div w:id="77945578">
      <w:bodyDiv w:val="1"/>
      <w:marLeft w:val="0"/>
      <w:marRight w:val="0"/>
      <w:marTop w:val="0"/>
      <w:marBottom w:val="0"/>
      <w:divBdr>
        <w:top w:val="none" w:sz="0" w:space="0" w:color="auto"/>
        <w:left w:val="none" w:sz="0" w:space="0" w:color="auto"/>
        <w:bottom w:val="none" w:sz="0" w:space="0" w:color="auto"/>
        <w:right w:val="none" w:sz="0" w:space="0" w:color="auto"/>
      </w:divBdr>
    </w:div>
    <w:div w:id="77947691">
      <w:bodyDiv w:val="1"/>
      <w:marLeft w:val="0"/>
      <w:marRight w:val="0"/>
      <w:marTop w:val="0"/>
      <w:marBottom w:val="0"/>
      <w:divBdr>
        <w:top w:val="none" w:sz="0" w:space="0" w:color="auto"/>
        <w:left w:val="none" w:sz="0" w:space="0" w:color="auto"/>
        <w:bottom w:val="none" w:sz="0" w:space="0" w:color="auto"/>
        <w:right w:val="none" w:sz="0" w:space="0" w:color="auto"/>
      </w:divBdr>
    </w:div>
    <w:div w:id="77949202">
      <w:bodyDiv w:val="1"/>
      <w:marLeft w:val="0"/>
      <w:marRight w:val="0"/>
      <w:marTop w:val="0"/>
      <w:marBottom w:val="0"/>
      <w:divBdr>
        <w:top w:val="none" w:sz="0" w:space="0" w:color="auto"/>
        <w:left w:val="none" w:sz="0" w:space="0" w:color="auto"/>
        <w:bottom w:val="none" w:sz="0" w:space="0" w:color="auto"/>
        <w:right w:val="none" w:sz="0" w:space="0" w:color="auto"/>
      </w:divBdr>
    </w:div>
    <w:div w:id="78062894">
      <w:bodyDiv w:val="1"/>
      <w:marLeft w:val="0"/>
      <w:marRight w:val="0"/>
      <w:marTop w:val="0"/>
      <w:marBottom w:val="0"/>
      <w:divBdr>
        <w:top w:val="none" w:sz="0" w:space="0" w:color="auto"/>
        <w:left w:val="none" w:sz="0" w:space="0" w:color="auto"/>
        <w:bottom w:val="none" w:sz="0" w:space="0" w:color="auto"/>
        <w:right w:val="none" w:sz="0" w:space="0" w:color="auto"/>
      </w:divBdr>
    </w:div>
    <w:div w:id="78066822">
      <w:bodyDiv w:val="1"/>
      <w:marLeft w:val="0"/>
      <w:marRight w:val="0"/>
      <w:marTop w:val="0"/>
      <w:marBottom w:val="0"/>
      <w:divBdr>
        <w:top w:val="none" w:sz="0" w:space="0" w:color="auto"/>
        <w:left w:val="none" w:sz="0" w:space="0" w:color="auto"/>
        <w:bottom w:val="none" w:sz="0" w:space="0" w:color="auto"/>
        <w:right w:val="none" w:sz="0" w:space="0" w:color="auto"/>
      </w:divBdr>
    </w:div>
    <w:div w:id="78137447">
      <w:bodyDiv w:val="1"/>
      <w:marLeft w:val="0"/>
      <w:marRight w:val="0"/>
      <w:marTop w:val="0"/>
      <w:marBottom w:val="0"/>
      <w:divBdr>
        <w:top w:val="none" w:sz="0" w:space="0" w:color="auto"/>
        <w:left w:val="none" w:sz="0" w:space="0" w:color="auto"/>
        <w:bottom w:val="none" w:sz="0" w:space="0" w:color="auto"/>
        <w:right w:val="none" w:sz="0" w:space="0" w:color="auto"/>
      </w:divBdr>
    </w:div>
    <w:div w:id="78140229">
      <w:bodyDiv w:val="1"/>
      <w:marLeft w:val="0"/>
      <w:marRight w:val="0"/>
      <w:marTop w:val="0"/>
      <w:marBottom w:val="0"/>
      <w:divBdr>
        <w:top w:val="none" w:sz="0" w:space="0" w:color="auto"/>
        <w:left w:val="none" w:sz="0" w:space="0" w:color="auto"/>
        <w:bottom w:val="none" w:sz="0" w:space="0" w:color="auto"/>
        <w:right w:val="none" w:sz="0" w:space="0" w:color="auto"/>
      </w:divBdr>
    </w:div>
    <w:div w:id="78213802">
      <w:bodyDiv w:val="1"/>
      <w:marLeft w:val="0"/>
      <w:marRight w:val="0"/>
      <w:marTop w:val="0"/>
      <w:marBottom w:val="0"/>
      <w:divBdr>
        <w:top w:val="none" w:sz="0" w:space="0" w:color="auto"/>
        <w:left w:val="none" w:sz="0" w:space="0" w:color="auto"/>
        <w:bottom w:val="none" w:sz="0" w:space="0" w:color="auto"/>
        <w:right w:val="none" w:sz="0" w:space="0" w:color="auto"/>
      </w:divBdr>
    </w:div>
    <w:div w:id="78214759">
      <w:bodyDiv w:val="1"/>
      <w:marLeft w:val="0"/>
      <w:marRight w:val="0"/>
      <w:marTop w:val="0"/>
      <w:marBottom w:val="0"/>
      <w:divBdr>
        <w:top w:val="none" w:sz="0" w:space="0" w:color="auto"/>
        <w:left w:val="none" w:sz="0" w:space="0" w:color="auto"/>
        <w:bottom w:val="none" w:sz="0" w:space="0" w:color="auto"/>
        <w:right w:val="none" w:sz="0" w:space="0" w:color="auto"/>
      </w:divBdr>
    </w:div>
    <w:div w:id="78406572">
      <w:bodyDiv w:val="1"/>
      <w:marLeft w:val="0"/>
      <w:marRight w:val="0"/>
      <w:marTop w:val="0"/>
      <w:marBottom w:val="0"/>
      <w:divBdr>
        <w:top w:val="none" w:sz="0" w:space="0" w:color="auto"/>
        <w:left w:val="none" w:sz="0" w:space="0" w:color="auto"/>
        <w:bottom w:val="none" w:sz="0" w:space="0" w:color="auto"/>
        <w:right w:val="none" w:sz="0" w:space="0" w:color="auto"/>
      </w:divBdr>
    </w:div>
    <w:div w:id="78714900">
      <w:bodyDiv w:val="1"/>
      <w:marLeft w:val="0"/>
      <w:marRight w:val="0"/>
      <w:marTop w:val="0"/>
      <w:marBottom w:val="0"/>
      <w:divBdr>
        <w:top w:val="none" w:sz="0" w:space="0" w:color="auto"/>
        <w:left w:val="none" w:sz="0" w:space="0" w:color="auto"/>
        <w:bottom w:val="none" w:sz="0" w:space="0" w:color="auto"/>
        <w:right w:val="none" w:sz="0" w:space="0" w:color="auto"/>
      </w:divBdr>
    </w:div>
    <w:div w:id="78715312">
      <w:bodyDiv w:val="1"/>
      <w:marLeft w:val="0"/>
      <w:marRight w:val="0"/>
      <w:marTop w:val="0"/>
      <w:marBottom w:val="0"/>
      <w:divBdr>
        <w:top w:val="none" w:sz="0" w:space="0" w:color="auto"/>
        <w:left w:val="none" w:sz="0" w:space="0" w:color="auto"/>
        <w:bottom w:val="none" w:sz="0" w:space="0" w:color="auto"/>
        <w:right w:val="none" w:sz="0" w:space="0" w:color="auto"/>
      </w:divBdr>
    </w:div>
    <w:div w:id="78717445">
      <w:bodyDiv w:val="1"/>
      <w:marLeft w:val="0"/>
      <w:marRight w:val="0"/>
      <w:marTop w:val="0"/>
      <w:marBottom w:val="0"/>
      <w:divBdr>
        <w:top w:val="none" w:sz="0" w:space="0" w:color="auto"/>
        <w:left w:val="none" w:sz="0" w:space="0" w:color="auto"/>
        <w:bottom w:val="none" w:sz="0" w:space="0" w:color="auto"/>
        <w:right w:val="none" w:sz="0" w:space="0" w:color="auto"/>
      </w:divBdr>
    </w:div>
    <w:div w:id="78722651">
      <w:bodyDiv w:val="1"/>
      <w:marLeft w:val="0"/>
      <w:marRight w:val="0"/>
      <w:marTop w:val="0"/>
      <w:marBottom w:val="0"/>
      <w:divBdr>
        <w:top w:val="none" w:sz="0" w:space="0" w:color="auto"/>
        <w:left w:val="none" w:sz="0" w:space="0" w:color="auto"/>
        <w:bottom w:val="none" w:sz="0" w:space="0" w:color="auto"/>
        <w:right w:val="none" w:sz="0" w:space="0" w:color="auto"/>
      </w:divBdr>
    </w:div>
    <w:div w:id="78908881">
      <w:bodyDiv w:val="1"/>
      <w:marLeft w:val="0"/>
      <w:marRight w:val="0"/>
      <w:marTop w:val="0"/>
      <w:marBottom w:val="0"/>
      <w:divBdr>
        <w:top w:val="none" w:sz="0" w:space="0" w:color="auto"/>
        <w:left w:val="none" w:sz="0" w:space="0" w:color="auto"/>
        <w:bottom w:val="none" w:sz="0" w:space="0" w:color="auto"/>
        <w:right w:val="none" w:sz="0" w:space="0" w:color="auto"/>
      </w:divBdr>
    </w:div>
    <w:div w:id="78912533">
      <w:bodyDiv w:val="1"/>
      <w:marLeft w:val="0"/>
      <w:marRight w:val="0"/>
      <w:marTop w:val="0"/>
      <w:marBottom w:val="0"/>
      <w:divBdr>
        <w:top w:val="none" w:sz="0" w:space="0" w:color="auto"/>
        <w:left w:val="none" w:sz="0" w:space="0" w:color="auto"/>
        <w:bottom w:val="none" w:sz="0" w:space="0" w:color="auto"/>
        <w:right w:val="none" w:sz="0" w:space="0" w:color="auto"/>
      </w:divBdr>
    </w:div>
    <w:div w:id="78914829">
      <w:bodyDiv w:val="1"/>
      <w:marLeft w:val="0"/>
      <w:marRight w:val="0"/>
      <w:marTop w:val="0"/>
      <w:marBottom w:val="0"/>
      <w:divBdr>
        <w:top w:val="none" w:sz="0" w:space="0" w:color="auto"/>
        <w:left w:val="none" w:sz="0" w:space="0" w:color="auto"/>
        <w:bottom w:val="none" w:sz="0" w:space="0" w:color="auto"/>
        <w:right w:val="none" w:sz="0" w:space="0" w:color="auto"/>
      </w:divBdr>
    </w:div>
    <w:div w:id="78986022">
      <w:bodyDiv w:val="1"/>
      <w:marLeft w:val="0"/>
      <w:marRight w:val="0"/>
      <w:marTop w:val="0"/>
      <w:marBottom w:val="0"/>
      <w:divBdr>
        <w:top w:val="none" w:sz="0" w:space="0" w:color="auto"/>
        <w:left w:val="none" w:sz="0" w:space="0" w:color="auto"/>
        <w:bottom w:val="none" w:sz="0" w:space="0" w:color="auto"/>
        <w:right w:val="none" w:sz="0" w:space="0" w:color="auto"/>
      </w:divBdr>
    </w:div>
    <w:div w:id="78986192">
      <w:bodyDiv w:val="1"/>
      <w:marLeft w:val="0"/>
      <w:marRight w:val="0"/>
      <w:marTop w:val="0"/>
      <w:marBottom w:val="0"/>
      <w:divBdr>
        <w:top w:val="none" w:sz="0" w:space="0" w:color="auto"/>
        <w:left w:val="none" w:sz="0" w:space="0" w:color="auto"/>
        <w:bottom w:val="none" w:sz="0" w:space="0" w:color="auto"/>
        <w:right w:val="none" w:sz="0" w:space="0" w:color="auto"/>
      </w:divBdr>
    </w:div>
    <w:div w:id="78991528">
      <w:bodyDiv w:val="1"/>
      <w:marLeft w:val="0"/>
      <w:marRight w:val="0"/>
      <w:marTop w:val="0"/>
      <w:marBottom w:val="0"/>
      <w:divBdr>
        <w:top w:val="none" w:sz="0" w:space="0" w:color="auto"/>
        <w:left w:val="none" w:sz="0" w:space="0" w:color="auto"/>
        <w:bottom w:val="none" w:sz="0" w:space="0" w:color="auto"/>
        <w:right w:val="none" w:sz="0" w:space="0" w:color="auto"/>
      </w:divBdr>
    </w:div>
    <w:div w:id="79059343">
      <w:bodyDiv w:val="1"/>
      <w:marLeft w:val="0"/>
      <w:marRight w:val="0"/>
      <w:marTop w:val="0"/>
      <w:marBottom w:val="0"/>
      <w:divBdr>
        <w:top w:val="none" w:sz="0" w:space="0" w:color="auto"/>
        <w:left w:val="none" w:sz="0" w:space="0" w:color="auto"/>
        <w:bottom w:val="none" w:sz="0" w:space="0" w:color="auto"/>
        <w:right w:val="none" w:sz="0" w:space="0" w:color="auto"/>
      </w:divBdr>
    </w:div>
    <w:div w:id="79065751">
      <w:bodyDiv w:val="1"/>
      <w:marLeft w:val="0"/>
      <w:marRight w:val="0"/>
      <w:marTop w:val="0"/>
      <w:marBottom w:val="0"/>
      <w:divBdr>
        <w:top w:val="none" w:sz="0" w:space="0" w:color="auto"/>
        <w:left w:val="none" w:sz="0" w:space="0" w:color="auto"/>
        <w:bottom w:val="none" w:sz="0" w:space="0" w:color="auto"/>
        <w:right w:val="none" w:sz="0" w:space="0" w:color="auto"/>
      </w:divBdr>
    </w:div>
    <w:div w:id="79257143">
      <w:bodyDiv w:val="1"/>
      <w:marLeft w:val="0"/>
      <w:marRight w:val="0"/>
      <w:marTop w:val="0"/>
      <w:marBottom w:val="0"/>
      <w:divBdr>
        <w:top w:val="none" w:sz="0" w:space="0" w:color="auto"/>
        <w:left w:val="none" w:sz="0" w:space="0" w:color="auto"/>
        <w:bottom w:val="none" w:sz="0" w:space="0" w:color="auto"/>
        <w:right w:val="none" w:sz="0" w:space="0" w:color="auto"/>
      </w:divBdr>
    </w:div>
    <w:div w:id="79373638">
      <w:bodyDiv w:val="1"/>
      <w:marLeft w:val="0"/>
      <w:marRight w:val="0"/>
      <w:marTop w:val="0"/>
      <w:marBottom w:val="0"/>
      <w:divBdr>
        <w:top w:val="none" w:sz="0" w:space="0" w:color="auto"/>
        <w:left w:val="none" w:sz="0" w:space="0" w:color="auto"/>
        <w:bottom w:val="none" w:sz="0" w:space="0" w:color="auto"/>
        <w:right w:val="none" w:sz="0" w:space="0" w:color="auto"/>
      </w:divBdr>
    </w:div>
    <w:div w:id="79379386">
      <w:bodyDiv w:val="1"/>
      <w:marLeft w:val="0"/>
      <w:marRight w:val="0"/>
      <w:marTop w:val="0"/>
      <w:marBottom w:val="0"/>
      <w:divBdr>
        <w:top w:val="none" w:sz="0" w:space="0" w:color="auto"/>
        <w:left w:val="none" w:sz="0" w:space="0" w:color="auto"/>
        <w:bottom w:val="none" w:sz="0" w:space="0" w:color="auto"/>
        <w:right w:val="none" w:sz="0" w:space="0" w:color="auto"/>
      </w:divBdr>
    </w:div>
    <w:div w:id="79446104">
      <w:bodyDiv w:val="1"/>
      <w:marLeft w:val="0"/>
      <w:marRight w:val="0"/>
      <w:marTop w:val="0"/>
      <w:marBottom w:val="0"/>
      <w:divBdr>
        <w:top w:val="none" w:sz="0" w:space="0" w:color="auto"/>
        <w:left w:val="none" w:sz="0" w:space="0" w:color="auto"/>
        <w:bottom w:val="none" w:sz="0" w:space="0" w:color="auto"/>
        <w:right w:val="none" w:sz="0" w:space="0" w:color="auto"/>
      </w:divBdr>
    </w:div>
    <w:div w:id="79447068">
      <w:bodyDiv w:val="1"/>
      <w:marLeft w:val="0"/>
      <w:marRight w:val="0"/>
      <w:marTop w:val="0"/>
      <w:marBottom w:val="0"/>
      <w:divBdr>
        <w:top w:val="none" w:sz="0" w:space="0" w:color="auto"/>
        <w:left w:val="none" w:sz="0" w:space="0" w:color="auto"/>
        <w:bottom w:val="none" w:sz="0" w:space="0" w:color="auto"/>
        <w:right w:val="none" w:sz="0" w:space="0" w:color="auto"/>
      </w:divBdr>
    </w:div>
    <w:div w:id="79714057">
      <w:bodyDiv w:val="1"/>
      <w:marLeft w:val="0"/>
      <w:marRight w:val="0"/>
      <w:marTop w:val="0"/>
      <w:marBottom w:val="0"/>
      <w:divBdr>
        <w:top w:val="none" w:sz="0" w:space="0" w:color="auto"/>
        <w:left w:val="none" w:sz="0" w:space="0" w:color="auto"/>
        <w:bottom w:val="none" w:sz="0" w:space="0" w:color="auto"/>
        <w:right w:val="none" w:sz="0" w:space="0" w:color="auto"/>
      </w:divBdr>
    </w:div>
    <w:div w:id="79757338">
      <w:bodyDiv w:val="1"/>
      <w:marLeft w:val="0"/>
      <w:marRight w:val="0"/>
      <w:marTop w:val="0"/>
      <w:marBottom w:val="0"/>
      <w:divBdr>
        <w:top w:val="none" w:sz="0" w:space="0" w:color="auto"/>
        <w:left w:val="none" w:sz="0" w:space="0" w:color="auto"/>
        <w:bottom w:val="none" w:sz="0" w:space="0" w:color="auto"/>
        <w:right w:val="none" w:sz="0" w:space="0" w:color="auto"/>
      </w:divBdr>
    </w:div>
    <w:div w:id="79764139">
      <w:bodyDiv w:val="1"/>
      <w:marLeft w:val="0"/>
      <w:marRight w:val="0"/>
      <w:marTop w:val="0"/>
      <w:marBottom w:val="0"/>
      <w:divBdr>
        <w:top w:val="none" w:sz="0" w:space="0" w:color="auto"/>
        <w:left w:val="none" w:sz="0" w:space="0" w:color="auto"/>
        <w:bottom w:val="none" w:sz="0" w:space="0" w:color="auto"/>
        <w:right w:val="none" w:sz="0" w:space="0" w:color="auto"/>
      </w:divBdr>
    </w:div>
    <w:div w:id="79914058">
      <w:bodyDiv w:val="1"/>
      <w:marLeft w:val="0"/>
      <w:marRight w:val="0"/>
      <w:marTop w:val="0"/>
      <w:marBottom w:val="0"/>
      <w:divBdr>
        <w:top w:val="none" w:sz="0" w:space="0" w:color="auto"/>
        <w:left w:val="none" w:sz="0" w:space="0" w:color="auto"/>
        <w:bottom w:val="none" w:sz="0" w:space="0" w:color="auto"/>
        <w:right w:val="none" w:sz="0" w:space="0" w:color="auto"/>
      </w:divBdr>
    </w:div>
    <w:div w:id="79958682">
      <w:bodyDiv w:val="1"/>
      <w:marLeft w:val="0"/>
      <w:marRight w:val="0"/>
      <w:marTop w:val="0"/>
      <w:marBottom w:val="0"/>
      <w:divBdr>
        <w:top w:val="none" w:sz="0" w:space="0" w:color="auto"/>
        <w:left w:val="none" w:sz="0" w:space="0" w:color="auto"/>
        <w:bottom w:val="none" w:sz="0" w:space="0" w:color="auto"/>
        <w:right w:val="none" w:sz="0" w:space="0" w:color="auto"/>
      </w:divBdr>
    </w:div>
    <w:div w:id="79983776">
      <w:bodyDiv w:val="1"/>
      <w:marLeft w:val="0"/>
      <w:marRight w:val="0"/>
      <w:marTop w:val="0"/>
      <w:marBottom w:val="0"/>
      <w:divBdr>
        <w:top w:val="none" w:sz="0" w:space="0" w:color="auto"/>
        <w:left w:val="none" w:sz="0" w:space="0" w:color="auto"/>
        <w:bottom w:val="none" w:sz="0" w:space="0" w:color="auto"/>
        <w:right w:val="none" w:sz="0" w:space="0" w:color="auto"/>
      </w:divBdr>
    </w:div>
    <w:div w:id="80028867">
      <w:bodyDiv w:val="1"/>
      <w:marLeft w:val="0"/>
      <w:marRight w:val="0"/>
      <w:marTop w:val="0"/>
      <w:marBottom w:val="0"/>
      <w:divBdr>
        <w:top w:val="none" w:sz="0" w:space="0" w:color="auto"/>
        <w:left w:val="none" w:sz="0" w:space="0" w:color="auto"/>
        <w:bottom w:val="none" w:sz="0" w:space="0" w:color="auto"/>
        <w:right w:val="none" w:sz="0" w:space="0" w:color="auto"/>
      </w:divBdr>
    </w:div>
    <w:div w:id="80029359">
      <w:bodyDiv w:val="1"/>
      <w:marLeft w:val="0"/>
      <w:marRight w:val="0"/>
      <w:marTop w:val="0"/>
      <w:marBottom w:val="0"/>
      <w:divBdr>
        <w:top w:val="none" w:sz="0" w:space="0" w:color="auto"/>
        <w:left w:val="none" w:sz="0" w:space="0" w:color="auto"/>
        <w:bottom w:val="none" w:sz="0" w:space="0" w:color="auto"/>
        <w:right w:val="none" w:sz="0" w:space="0" w:color="auto"/>
      </w:divBdr>
    </w:div>
    <w:div w:id="80029793">
      <w:bodyDiv w:val="1"/>
      <w:marLeft w:val="0"/>
      <w:marRight w:val="0"/>
      <w:marTop w:val="0"/>
      <w:marBottom w:val="0"/>
      <w:divBdr>
        <w:top w:val="none" w:sz="0" w:space="0" w:color="auto"/>
        <w:left w:val="none" w:sz="0" w:space="0" w:color="auto"/>
        <w:bottom w:val="none" w:sz="0" w:space="0" w:color="auto"/>
        <w:right w:val="none" w:sz="0" w:space="0" w:color="auto"/>
      </w:divBdr>
    </w:div>
    <w:div w:id="80108213">
      <w:bodyDiv w:val="1"/>
      <w:marLeft w:val="0"/>
      <w:marRight w:val="0"/>
      <w:marTop w:val="0"/>
      <w:marBottom w:val="0"/>
      <w:divBdr>
        <w:top w:val="none" w:sz="0" w:space="0" w:color="auto"/>
        <w:left w:val="none" w:sz="0" w:space="0" w:color="auto"/>
        <w:bottom w:val="none" w:sz="0" w:space="0" w:color="auto"/>
        <w:right w:val="none" w:sz="0" w:space="0" w:color="auto"/>
      </w:divBdr>
    </w:div>
    <w:div w:id="80221433">
      <w:bodyDiv w:val="1"/>
      <w:marLeft w:val="0"/>
      <w:marRight w:val="0"/>
      <w:marTop w:val="0"/>
      <w:marBottom w:val="0"/>
      <w:divBdr>
        <w:top w:val="none" w:sz="0" w:space="0" w:color="auto"/>
        <w:left w:val="none" w:sz="0" w:space="0" w:color="auto"/>
        <w:bottom w:val="none" w:sz="0" w:space="0" w:color="auto"/>
        <w:right w:val="none" w:sz="0" w:space="0" w:color="auto"/>
      </w:divBdr>
    </w:div>
    <w:div w:id="80301299">
      <w:bodyDiv w:val="1"/>
      <w:marLeft w:val="0"/>
      <w:marRight w:val="0"/>
      <w:marTop w:val="0"/>
      <w:marBottom w:val="0"/>
      <w:divBdr>
        <w:top w:val="none" w:sz="0" w:space="0" w:color="auto"/>
        <w:left w:val="none" w:sz="0" w:space="0" w:color="auto"/>
        <w:bottom w:val="none" w:sz="0" w:space="0" w:color="auto"/>
        <w:right w:val="none" w:sz="0" w:space="0" w:color="auto"/>
      </w:divBdr>
    </w:div>
    <w:div w:id="80414016">
      <w:bodyDiv w:val="1"/>
      <w:marLeft w:val="0"/>
      <w:marRight w:val="0"/>
      <w:marTop w:val="0"/>
      <w:marBottom w:val="0"/>
      <w:divBdr>
        <w:top w:val="none" w:sz="0" w:space="0" w:color="auto"/>
        <w:left w:val="none" w:sz="0" w:space="0" w:color="auto"/>
        <w:bottom w:val="none" w:sz="0" w:space="0" w:color="auto"/>
        <w:right w:val="none" w:sz="0" w:space="0" w:color="auto"/>
      </w:divBdr>
    </w:div>
    <w:div w:id="80416547">
      <w:bodyDiv w:val="1"/>
      <w:marLeft w:val="0"/>
      <w:marRight w:val="0"/>
      <w:marTop w:val="0"/>
      <w:marBottom w:val="0"/>
      <w:divBdr>
        <w:top w:val="none" w:sz="0" w:space="0" w:color="auto"/>
        <w:left w:val="none" w:sz="0" w:space="0" w:color="auto"/>
        <w:bottom w:val="none" w:sz="0" w:space="0" w:color="auto"/>
        <w:right w:val="none" w:sz="0" w:space="0" w:color="auto"/>
      </w:divBdr>
    </w:div>
    <w:div w:id="80417490">
      <w:bodyDiv w:val="1"/>
      <w:marLeft w:val="0"/>
      <w:marRight w:val="0"/>
      <w:marTop w:val="0"/>
      <w:marBottom w:val="0"/>
      <w:divBdr>
        <w:top w:val="none" w:sz="0" w:space="0" w:color="auto"/>
        <w:left w:val="none" w:sz="0" w:space="0" w:color="auto"/>
        <w:bottom w:val="none" w:sz="0" w:space="0" w:color="auto"/>
        <w:right w:val="none" w:sz="0" w:space="0" w:color="auto"/>
      </w:divBdr>
    </w:div>
    <w:div w:id="80490034">
      <w:bodyDiv w:val="1"/>
      <w:marLeft w:val="0"/>
      <w:marRight w:val="0"/>
      <w:marTop w:val="0"/>
      <w:marBottom w:val="0"/>
      <w:divBdr>
        <w:top w:val="none" w:sz="0" w:space="0" w:color="auto"/>
        <w:left w:val="none" w:sz="0" w:space="0" w:color="auto"/>
        <w:bottom w:val="none" w:sz="0" w:space="0" w:color="auto"/>
        <w:right w:val="none" w:sz="0" w:space="0" w:color="auto"/>
      </w:divBdr>
    </w:div>
    <w:div w:id="80568059">
      <w:bodyDiv w:val="1"/>
      <w:marLeft w:val="0"/>
      <w:marRight w:val="0"/>
      <w:marTop w:val="0"/>
      <w:marBottom w:val="0"/>
      <w:divBdr>
        <w:top w:val="none" w:sz="0" w:space="0" w:color="auto"/>
        <w:left w:val="none" w:sz="0" w:space="0" w:color="auto"/>
        <w:bottom w:val="none" w:sz="0" w:space="0" w:color="auto"/>
        <w:right w:val="none" w:sz="0" w:space="0" w:color="auto"/>
      </w:divBdr>
    </w:div>
    <w:div w:id="80688582">
      <w:bodyDiv w:val="1"/>
      <w:marLeft w:val="0"/>
      <w:marRight w:val="0"/>
      <w:marTop w:val="0"/>
      <w:marBottom w:val="0"/>
      <w:divBdr>
        <w:top w:val="none" w:sz="0" w:space="0" w:color="auto"/>
        <w:left w:val="none" w:sz="0" w:space="0" w:color="auto"/>
        <w:bottom w:val="none" w:sz="0" w:space="0" w:color="auto"/>
        <w:right w:val="none" w:sz="0" w:space="0" w:color="auto"/>
      </w:divBdr>
    </w:div>
    <w:div w:id="80758312">
      <w:bodyDiv w:val="1"/>
      <w:marLeft w:val="0"/>
      <w:marRight w:val="0"/>
      <w:marTop w:val="0"/>
      <w:marBottom w:val="0"/>
      <w:divBdr>
        <w:top w:val="none" w:sz="0" w:space="0" w:color="auto"/>
        <w:left w:val="none" w:sz="0" w:space="0" w:color="auto"/>
        <w:bottom w:val="none" w:sz="0" w:space="0" w:color="auto"/>
        <w:right w:val="none" w:sz="0" w:space="0" w:color="auto"/>
      </w:divBdr>
    </w:div>
    <w:div w:id="80764563">
      <w:bodyDiv w:val="1"/>
      <w:marLeft w:val="0"/>
      <w:marRight w:val="0"/>
      <w:marTop w:val="0"/>
      <w:marBottom w:val="0"/>
      <w:divBdr>
        <w:top w:val="none" w:sz="0" w:space="0" w:color="auto"/>
        <w:left w:val="none" w:sz="0" w:space="0" w:color="auto"/>
        <w:bottom w:val="none" w:sz="0" w:space="0" w:color="auto"/>
        <w:right w:val="none" w:sz="0" w:space="0" w:color="auto"/>
      </w:divBdr>
    </w:div>
    <w:div w:id="80806980">
      <w:bodyDiv w:val="1"/>
      <w:marLeft w:val="0"/>
      <w:marRight w:val="0"/>
      <w:marTop w:val="0"/>
      <w:marBottom w:val="0"/>
      <w:divBdr>
        <w:top w:val="none" w:sz="0" w:space="0" w:color="auto"/>
        <w:left w:val="none" w:sz="0" w:space="0" w:color="auto"/>
        <w:bottom w:val="none" w:sz="0" w:space="0" w:color="auto"/>
        <w:right w:val="none" w:sz="0" w:space="0" w:color="auto"/>
      </w:divBdr>
    </w:div>
    <w:div w:id="80807708">
      <w:bodyDiv w:val="1"/>
      <w:marLeft w:val="0"/>
      <w:marRight w:val="0"/>
      <w:marTop w:val="0"/>
      <w:marBottom w:val="0"/>
      <w:divBdr>
        <w:top w:val="none" w:sz="0" w:space="0" w:color="auto"/>
        <w:left w:val="none" w:sz="0" w:space="0" w:color="auto"/>
        <w:bottom w:val="none" w:sz="0" w:space="0" w:color="auto"/>
        <w:right w:val="none" w:sz="0" w:space="0" w:color="auto"/>
      </w:divBdr>
    </w:div>
    <w:div w:id="80876640">
      <w:bodyDiv w:val="1"/>
      <w:marLeft w:val="0"/>
      <w:marRight w:val="0"/>
      <w:marTop w:val="0"/>
      <w:marBottom w:val="0"/>
      <w:divBdr>
        <w:top w:val="none" w:sz="0" w:space="0" w:color="auto"/>
        <w:left w:val="none" w:sz="0" w:space="0" w:color="auto"/>
        <w:bottom w:val="none" w:sz="0" w:space="0" w:color="auto"/>
        <w:right w:val="none" w:sz="0" w:space="0" w:color="auto"/>
      </w:divBdr>
    </w:div>
    <w:div w:id="80877185">
      <w:bodyDiv w:val="1"/>
      <w:marLeft w:val="0"/>
      <w:marRight w:val="0"/>
      <w:marTop w:val="0"/>
      <w:marBottom w:val="0"/>
      <w:divBdr>
        <w:top w:val="none" w:sz="0" w:space="0" w:color="auto"/>
        <w:left w:val="none" w:sz="0" w:space="0" w:color="auto"/>
        <w:bottom w:val="none" w:sz="0" w:space="0" w:color="auto"/>
        <w:right w:val="none" w:sz="0" w:space="0" w:color="auto"/>
      </w:divBdr>
    </w:div>
    <w:div w:id="80879745">
      <w:bodyDiv w:val="1"/>
      <w:marLeft w:val="0"/>
      <w:marRight w:val="0"/>
      <w:marTop w:val="0"/>
      <w:marBottom w:val="0"/>
      <w:divBdr>
        <w:top w:val="none" w:sz="0" w:space="0" w:color="auto"/>
        <w:left w:val="none" w:sz="0" w:space="0" w:color="auto"/>
        <w:bottom w:val="none" w:sz="0" w:space="0" w:color="auto"/>
        <w:right w:val="none" w:sz="0" w:space="0" w:color="auto"/>
      </w:divBdr>
    </w:div>
    <w:div w:id="81029527">
      <w:bodyDiv w:val="1"/>
      <w:marLeft w:val="0"/>
      <w:marRight w:val="0"/>
      <w:marTop w:val="0"/>
      <w:marBottom w:val="0"/>
      <w:divBdr>
        <w:top w:val="none" w:sz="0" w:space="0" w:color="auto"/>
        <w:left w:val="none" w:sz="0" w:space="0" w:color="auto"/>
        <w:bottom w:val="none" w:sz="0" w:space="0" w:color="auto"/>
        <w:right w:val="none" w:sz="0" w:space="0" w:color="auto"/>
      </w:divBdr>
    </w:div>
    <w:div w:id="81294485">
      <w:bodyDiv w:val="1"/>
      <w:marLeft w:val="0"/>
      <w:marRight w:val="0"/>
      <w:marTop w:val="0"/>
      <w:marBottom w:val="0"/>
      <w:divBdr>
        <w:top w:val="none" w:sz="0" w:space="0" w:color="auto"/>
        <w:left w:val="none" w:sz="0" w:space="0" w:color="auto"/>
        <w:bottom w:val="none" w:sz="0" w:space="0" w:color="auto"/>
        <w:right w:val="none" w:sz="0" w:space="0" w:color="auto"/>
      </w:divBdr>
    </w:div>
    <w:div w:id="81336175">
      <w:bodyDiv w:val="1"/>
      <w:marLeft w:val="0"/>
      <w:marRight w:val="0"/>
      <w:marTop w:val="0"/>
      <w:marBottom w:val="0"/>
      <w:divBdr>
        <w:top w:val="none" w:sz="0" w:space="0" w:color="auto"/>
        <w:left w:val="none" w:sz="0" w:space="0" w:color="auto"/>
        <w:bottom w:val="none" w:sz="0" w:space="0" w:color="auto"/>
        <w:right w:val="none" w:sz="0" w:space="0" w:color="auto"/>
      </w:divBdr>
    </w:div>
    <w:div w:id="81416559">
      <w:bodyDiv w:val="1"/>
      <w:marLeft w:val="0"/>
      <w:marRight w:val="0"/>
      <w:marTop w:val="0"/>
      <w:marBottom w:val="0"/>
      <w:divBdr>
        <w:top w:val="none" w:sz="0" w:space="0" w:color="auto"/>
        <w:left w:val="none" w:sz="0" w:space="0" w:color="auto"/>
        <w:bottom w:val="none" w:sz="0" w:space="0" w:color="auto"/>
        <w:right w:val="none" w:sz="0" w:space="0" w:color="auto"/>
      </w:divBdr>
    </w:div>
    <w:div w:id="81420623">
      <w:bodyDiv w:val="1"/>
      <w:marLeft w:val="0"/>
      <w:marRight w:val="0"/>
      <w:marTop w:val="0"/>
      <w:marBottom w:val="0"/>
      <w:divBdr>
        <w:top w:val="none" w:sz="0" w:space="0" w:color="auto"/>
        <w:left w:val="none" w:sz="0" w:space="0" w:color="auto"/>
        <w:bottom w:val="none" w:sz="0" w:space="0" w:color="auto"/>
        <w:right w:val="none" w:sz="0" w:space="0" w:color="auto"/>
      </w:divBdr>
    </w:div>
    <w:div w:id="81491576">
      <w:bodyDiv w:val="1"/>
      <w:marLeft w:val="0"/>
      <w:marRight w:val="0"/>
      <w:marTop w:val="0"/>
      <w:marBottom w:val="0"/>
      <w:divBdr>
        <w:top w:val="none" w:sz="0" w:space="0" w:color="auto"/>
        <w:left w:val="none" w:sz="0" w:space="0" w:color="auto"/>
        <w:bottom w:val="none" w:sz="0" w:space="0" w:color="auto"/>
        <w:right w:val="none" w:sz="0" w:space="0" w:color="auto"/>
      </w:divBdr>
    </w:div>
    <w:div w:id="81531330">
      <w:bodyDiv w:val="1"/>
      <w:marLeft w:val="0"/>
      <w:marRight w:val="0"/>
      <w:marTop w:val="0"/>
      <w:marBottom w:val="0"/>
      <w:divBdr>
        <w:top w:val="none" w:sz="0" w:space="0" w:color="auto"/>
        <w:left w:val="none" w:sz="0" w:space="0" w:color="auto"/>
        <w:bottom w:val="none" w:sz="0" w:space="0" w:color="auto"/>
        <w:right w:val="none" w:sz="0" w:space="0" w:color="auto"/>
      </w:divBdr>
    </w:div>
    <w:div w:id="81683734">
      <w:bodyDiv w:val="1"/>
      <w:marLeft w:val="0"/>
      <w:marRight w:val="0"/>
      <w:marTop w:val="0"/>
      <w:marBottom w:val="0"/>
      <w:divBdr>
        <w:top w:val="none" w:sz="0" w:space="0" w:color="auto"/>
        <w:left w:val="none" w:sz="0" w:space="0" w:color="auto"/>
        <w:bottom w:val="none" w:sz="0" w:space="0" w:color="auto"/>
        <w:right w:val="none" w:sz="0" w:space="0" w:color="auto"/>
      </w:divBdr>
    </w:div>
    <w:div w:id="81684014">
      <w:bodyDiv w:val="1"/>
      <w:marLeft w:val="0"/>
      <w:marRight w:val="0"/>
      <w:marTop w:val="0"/>
      <w:marBottom w:val="0"/>
      <w:divBdr>
        <w:top w:val="none" w:sz="0" w:space="0" w:color="auto"/>
        <w:left w:val="none" w:sz="0" w:space="0" w:color="auto"/>
        <w:bottom w:val="none" w:sz="0" w:space="0" w:color="auto"/>
        <w:right w:val="none" w:sz="0" w:space="0" w:color="auto"/>
      </w:divBdr>
    </w:div>
    <w:div w:id="81686653">
      <w:bodyDiv w:val="1"/>
      <w:marLeft w:val="0"/>
      <w:marRight w:val="0"/>
      <w:marTop w:val="0"/>
      <w:marBottom w:val="0"/>
      <w:divBdr>
        <w:top w:val="none" w:sz="0" w:space="0" w:color="auto"/>
        <w:left w:val="none" w:sz="0" w:space="0" w:color="auto"/>
        <w:bottom w:val="none" w:sz="0" w:space="0" w:color="auto"/>
        <w:right w:val="none" w:sz="0" w:space="0" w:color="auto"/>
      </w:divBdr>
    </w:div>
    <w:div w:id="81729056">
      <w:bodyDiv w:val="1"/>
      <w:marLeft w:val="0"/>
      <w:marRight w:val="0"/>
      <w:marTop w:val="0"/>
      <w:marBottom w:val="0"/>
      <w:divBdr>
        <w:top w:val="none" w:sz="0" w:space="0" w:color="auto"/>
        <w:left w:val="none" w:sz="0" w:space="0" w:color="auto"/>
        <w:bottom w:val="none" w:sz="0" w:space="0" w:color="auto"/>
        <w:right w:val="none" w:sz="0" w:space="0" w:color="auto"/>
      </w:divBdr>
    </w:div>
    <w:div w:id="81729421">
      <w:bodyDiv w:val="1"/>
      <w:marLeft w:val="0"/>
      <w:marRight w:val="0"/>
      <w:marTop w:val="0"/>
      <w:marBottom w:val="0"/>
      <w:divBdr>
        <w:top w:val="none" w:sz="0" w:space="0" w:color="auto"/>
        <w:left w:val="none" w:sz="0" w:space="0" w:color="auto"/>
        <w:bottom w:val="none" w:sz="0" w:space="0" w:color="auto"/>
        <w:right w:val="none" w:sz="0" w:space="0" w:color="auto"/>
      </w:divBdr>
    </w:div>
    <w:div w:id="81731790">
      <w:bodyDiv w:val="1"/>
      <w:marLeft w:val="0"/>
      <w:marRight w:val="0"/>
      <w:marTop w:val="0"/>
      <w:marBottom w:val="0"/>
      <w:divBdr>
        <w:top w:val="none" w:sz="0" w:space="0" w:color="auto"/>
        <w:left w:val="none" w:sz="0" w:space="0" w:color="auto"/>
        <w:bottom w:val="none" w:sz="0" w:space="0" w:color="auto"/>
        <w:right w:val="none" w:sz="0" w:space="0" w:color="auto"/>
      </w:divBdr>
    </w:div>
    <w:div w:id="81800081">
      <w:bodyDiv w:val="1"/>
      <w:marLeft w:val="0"/>
      <w:marRight w:val="0"/>
      <w:marTop w:val="0"/>
      <w:marBottom w:val="0"/>
      <w:divBdr>
        <w:top w:val="none" w:sz="0" w:space="0" w:color="auto"/>
        <w:left w:val="none" w:sz="0" w:space="0" w:color="auto"/>
        <w:bottom w:val="none" w:sz="0" w:space="0" w:color="auto"/>
        <w:right w:val="none" w:sz="0" w:space="0" w:color="auto"/>
      </w:divBdr>
    </w:div>
    <w:div w:id="81875178">
      <w:bodyDiv w:val="1"/>
      <w:marLeft w:val="0"/>
      <w:marRight w:val="0"/>
      <w:marTop w:val="0"/>
      <w:marBottom w:val="0"/>
      <w:divBdr>
        <w:top w:val="none" w:sz="0" w:space="0" w:color="auto"/>
        <w:left w:val="none" w:sz="0" w:space="0" w:color="auto"/>
        <w:bottom w:val="none" w:sz="0" w:space="0" w:color="auto"/>
        <w:right w:val="none" w:sz="0" w:space="0" w:color="auto"/>
      </w:divBdr>
    </w:div>
    <w:div w:id="81922854">
      <w:bodyDiv w:val="1"/>
      <w:marLeft w:val="0"/>
      <w:marRight w:val="0"/>
      <w:marTop w:val="0"/>
      <w:marBottom w:val="0"/>
      <w:divBdr>
        <w:top w:val="none" w:sz="0" w:space="0" w:color="auto"/>
        <w:left w:val="none" w:sz="0" w:space="0" w:color="auto"/>
        <w:bottom w:val="none" w:sz="0" w:space="0" w:color="auto"/>
        <w:right w:val="none" w:sz="0" w:space="0" w:color="auto"/>
      </w:divBdr>
    </w:div>
    <w:div w:id="81991852">
      <w:bodyDiv w:val="1"/>
      <w:marLeft w:val="0"/>
      <w:marRight w:val="0"/>
      <w:marTop w:val="0"/>
      <w:marBottom w:val="0"/>
      <w:divBdr>
        <w:top w:val="none" w:sz="0" w:space="0" w:color="auto"/>
        <w:left w:val="none" w:sz="0" w:space="0" w:color="auto"/>
        <w:bottom w:val="none" w:sz="0" w:space="0" w:color="auto"/>
        <w:right w:val="none" w:sz="0" w:space="0" w:color="auto"/>
      </w:divBdr>
    </w:div>
    <w:div w:id="81995323">
      <w:bodyDiv w:val="1"/>
      <w:marLeft w:val="0"/>
      <w:marRight w:val="0"/>
      <w:marTop w:val="0"/>
      <w:marBottom w:val="0"/>
      <w:divBdr>
        <w:top w:val="none" w:sz="0" w:space="0" w:color="auto"/>
        <w:left w:val="none" w:sz="0" w:space="0" w:color="auto"/>
        <w:bottom w:val="none" w:sz="0" w:space="0" w:color="auto"/>
        <w:right w:val="none" w:sz="0" w:space="0" w:color="auto"/>
      </w:divBdr>
    </w:div>
    <w:div w:id="81995356">
      <w:bodyDiv w:val="1"/>
      <w:marLeft w:val="0"/>
      <w:marRight w:val="0"/>
      <w:marTop w:val="0"/>
      <w:marBottom w:val="0"/>
      <w:divBdr>
        <w:top w:val="none" w:sz="0" w:space="0" w:color="auto"/>
        <w:left w:val="none" w:sz="0" w:space="0" w:color="auto"/>
        <w:bottom w:val="none" w:sz="0" w:space="0" w:color="auto"/>
        <w:right w:val="none" w:sz="0" w:space="0" w:color="auto"/>
      </w:divBdr>
    </w:div>
    <w:div w:id="81996706">
      <w:bodyDiv w:val="1"/>
      <w:marLeft w:val="0"/>
      <w:marRight w:val="0"/>
      <w:marTop w:val="0"/>
      <w:marBottom w:val="0"/>
      <w:divBdr>
        <w:top w:val="none" w:sz="0" w:space="0" w:color="auto"/>
        <w:left w:val="none" w:sz="0" w:space="0" w:color="auto"/>
        <w:bottom w:val="none" w:sz="0" w:space="0" w:color="auto"/>
        <w:right w:val="none" w:sz="0" w:space="0" w:color="auto"/>
      </w:divBdr>
    </w:div>
    <w:div w:id="82116622">
      <w:bodyDiv w:val="1"/>
      <w:marLeft w:val="0"/>
      <w:marRight w:val="0"/>
      <w:marTop w:val="0"/>
      <w:marBottom w:val="0"/>
      <w:divBdr>
        <w:top w:val="none" w:sz="0" w:space="0" w:color="auto"/>
        <w:left w:val="none" w:sz="0" w:space="0" w:color="auto"/>
        <w:bottom w:val="none" w:sz="0" w:space="0" w:color="auto"/>
        <w:right w:val="none" w:sz="0" w:space="0" w:color="auto"/>
      </w:divBdr>
    </w:div>
    <w:div w:id="82116664">
      <w:bodyDiv w:val="1"/>
      <w:marLeft w:val="0"/>
      <w:marRight w:val="0"/>
      <w:marTop w:val="0"/>
      <w:marBottom w:val="0"/>
      <w:divBdr>
        <w:top w:val="none" w:sz="0" w:space="0" w:color="auto"/>
        <w:left w:val="none" w:sz="0" w:space="0" w:color="auto"/>
        <w:bottom w:val="none" w:sz="0" w:space="0" w:color="auto"/>
        <w:right w:val="none" w:sz="0" w:space="0" w:color="auto"/>
      </w:divBdr>
    </w:div>
    <w:div w:id="82141885">
      <w:bodyDiv w:val="1"/>
      <w:marLeft w:val="0"/>
      <w:marRight w:val="0"/>
      <w:marTop w:val="0"/>
      <w:marBottom w:val="0"/>
      <w:divBdr>
        <w:top w:val="none" w:sz="0" w:space="0" w:color="auto"/>
        <w:left w:val="none" w:sz="0" w:space="0" w:color="auto"/>
        <w:bottom w:val="none" w:sz="0" w:space="0" w:color="auto"/>
        <w:right w:val="none" w:sz="0" w:space="0" w:color="auto"/>
      </w:divBdr>
    </w:div>
    <w:div w:id="82141934">
      <w:bodyDiv w:val="1"/>
      <w:marLeft w:val="0"/>
      <w:marRight w:val="0"/>
      <w:marTop w:val="0"/>
      <w:marBottom w:val="0"/>
      <w:divBdr>
        <w:top w:val="none" w:sz="0" w:space="0" w:color="auto"/>
        <w:left w:val="none" w:sz="0" w:space="0" w:color="auto"/>
        <w:bottom w:val="none" w:sz="0" w:space="0" w:color="auto"/>
        <w:right w:val="none" w:sz="0" w:space="0" w:color="auto"/>
      </w:divBdr>
    </w:div>
    <w:div w:id="82268163">
      <w:bodyDiv w:val="1"/>
      <w:marLeft w:val="0"/>
      <w:marRight w:val="0"/>
      <w:marTop w:val="0"/>
      <w:marBottom w:val="0"/>
      <w:divBdr>
        <w:top w:val="none" w:sz="0" w:space="0" w:color="auto"/>
        <w:left w:val="none" w:sz="0" w:space="0" w:color="auto"/>
        <w:bottom w:val="none" w:sz="0" w:space="0" w:color="auto"/>
        <w:right w:val="none" w:sz="0" w:space="0" w:color="auto"/>
      </w:divBdr>
    </w:div>
    <w:div w:id="82728813">
      <w:bodyDiv w:val="1"/>
      <w:marLeft w:val="0"/>
      <w:marRight w:val="0"/>
      <w:marTop w:val="0"/>
      <w:marBottom w:val="0"/>
      <w:divBdr>
        <w:top w:val="none" w:sz="0" w:space="0" w:color="auto"/>
        <w:left w:val="none" w:sz="0" w:space="0" w:color="auto"/>
        <w:bottom w:val="none" w:sz="0" w:space="0" w:color="auto"/>
        <w:right w:val="none" w:sz="0" w:space="0" w:color="auto"/>
      </w:divBdr>
    </w:div>
    <w:div w:id="82729212">
      <w:bodyDiv w:val="1"/>
      <w:marLeft w:val="0"/>
      <w:marRight w:val="0"/>
      <w:marTop w:val="0"/>
      <w:marBottom w:val="0"/>
      <w:divBdr>
        <w:top w:val="none" w:sz="0" w:space="0" w:color="auto"/>
        <w:left w:val="none" w:sz="0" w:space="0" w:color="auto"/>
        <w:bottom w:val="none" w:sz="0" w:space="0" w:color="auto"/>
        <w:right w:val="none" w:sz="0" w:space="0" w:color="auto"/>
      </w:divBdr>
    </w:div>
    <w:div w:id="82803539">
      <w:bodyDiv w:val="1"/>
      <w:marLeft w:val="0"/>
      <w:marRight w:val="0"/>
      <w:marTop w:val="0"/>
      <w:marBottom w:val="0"/>
      <w:divBdr>
        <w:top w:val="none" w:sz="0" w:space="0" w:color="auto"/>
        <w:left w:val="none" w:sz="0" w:space="0" w:color="auto"/>
        <w:bottom w:val="none" w:sz="0" w:space="0" w:color="auto"/>
        <w:right w:val="none" w:sz="0" w:space="0" w:color="auto"/>
      </w:divBdr>
    </w:div>
    <w:div w:id="82920635">
      <w:bodyDiv w:val="1"/>
      <w:marLeft w:val="0"/>
      <w:marRight w:val="0"/>
      <w:marTop w:val="0"/>
      <w:marBottom w:val="0"/>
      <w:divBdr>
        <w:top w:val="none" w:sz="0" w:space="0" w:color="auto"/>
        <w:left w:val="none" w:sz="0" w:space="0" w:color="auto"/>
        <w:bottom w:val="none" w:sz="0" w:space="0" w:color="auto"/>
        <w:right w:val="none" w:sz="0" w:space="0" w:color="auto"/>
      </w:divBdr>
    </w:div>
    <w:div w:id="82922494">
      <w:bodyDiv w:val="1"/>
      <w:marLeft w:val="0"/>
      <w:marRight w:val="0"/>
      <w:marTop w:val="0"/>
      <w:marBottom w:val="0"/>
      <w:divBdr>
        <w:top w:val="none" w:sz="0" w:space="0" w:color="auto"/>
        <w:left w:val="none" w:sz="0" w:space="0" w:color="auto"/>
        <w:bottom w:val="none" w:sz="0" w:space="0" w:color="auto"/>
        <w:right w:val="none" w:sz="0" w:space="0" w:color="auto"/>
      </w:divBdr>
    </w:div>
    <w:div w:id="82991997">
      <w:bodyDiv w:val="1"/>
      <w:marLeft w:val="0"/>
      <w:marRight w:val="0"/>
      <w:marTop w:val="0"/>
      <w:marBottom w:val="0"/>
      <w:divBdr>
        <w:top w:val="none" w:sz="0" w:space="0" w:color="auto"/>
        <w:left w:val="none" w:sz="0" w:space="0" w:color="auto"/>
        <w:bottom w:val="none" w:sz="0" w:space="0" w:color="auto"/>
        <w:right w:val="none" w:sz="0" w:space="0" w:color="auto"/>
      </w:divBdr>
    </w:div>
    <w:div w:id="83108748">
      <w:bodyDiv w:val="1"/>
      <w:marLeft w:val="0"/>
      <w:marRight w:val="0"/>
      <w:marTop w:val="0"/>
      <w:marBottom w:val="0"/>
      <w:divBdr>
        <w:top w:val="none" w:sz="0" w:space="0" w:color="auto"/>
        <w:left w:val="none" w:sz="0" w:space="0" w:color="auto"/>
        <w:bottom w:val="none" w:sz="0" w:space="0" w:color="auto"/>
        <w:right w:val="none" w:sz="0" w:space="0" w:color="auto"/>
      </w:divBdr>
    </w:div>
    <w:div w:id="83190367">
      <w:bodyDiv w:val="1"/>
      <w:marLeft w:val="0"/>
      <w:marRight w:val="0"/>
      <w:marTop w:val="0"/>
      <w:marBottom w:val="0"/>
      <w:divBdr>
        <w:top w:val="none" w:sz="0" w:space="0" w:color="auto"/>
        <w:left w:val="none" w:sz="0" w:space="0" w:color="auto"/>
        <w:bottom w:val="none" w:sz="0" w:space="0" w:color="auto"/>
        <w:right w:val="none" w:sz="0" w:space="0" w:color="auto"/>
      </w:divBdr>
    </w:div>
    <w:div w:id="83233198">
      <w:bodyDiv w:val="1"/>
      <w:marLeft w:val="0"/>
      <w:marRight w:val="0"/>
      <w:marTop w:val="0"/>
      <w:marBottom w:val="0"/>
      <w:divBdr>
        <w:top w:val="none" w:sz="0" w:space="0" w:color="auto"/>
        <w:left w:val="none" w:sz="0" w:space="0" w:color="auto"/>
        <w:bottom w:val="none" w:sz="0" w:space="0" w:color="auto"/>
        <w:right w:val="none" w:sz="0" w:space="0" w:color="auto"/>
      </w:divBdr>
    </w:div>
    <w:div w:id="83261865">
      <w:bodyDiv w:val="1"/>
      <w:marLeft w:val="0"/>
      <w:marRight w:val="0"/>
      <w:marTop w:val="0"/>
      <w:marBottom w:val="0"/>
      <w:divBdr>
        <w:top w:val="none" w:sz="0" w:space="0" w:color="auto"/>
        <w:left w:val="none" w:sz="0" w:space="0" w:color="auto"/>
        <w:bottom w:val="none" w:sz="0" w:space="0" w:color="auto"/>
        <w:right w:val="none" w:sz="0" w:space="0" w:color="auto"/>
      </w:divBdr>
    </w:div>
    <w:div w:id="83301961">
      <w:bodyDiv w:val="1"/>
      <w:marLeft w:val="0"/>
      <w:marRight w:val="0"/>
      <w:marTop w:val="0"/>
      <w:marBottom w:val="0"/>
      <w:divBdr>
        <w:top w:val="none" w:sz="0" w:space="0" w:color="auto"/>
        <w:left w:val="none" w:sz="0" w:space="0" w:color="auto"/>
        <w:bottom w:val="none" w:sz="0" w:space="0" w:color="auto"/>
        <w:right w:val="none" w:sz="0" w:space="0" w:color="auto"/>
      </w:divBdr>
    </w:div>
    <w:div w:id="83303513">
      <w:bodyDiv w:val="1"/>
      <w:marLeft w:val="0"/>
      <w:marRight w:val="0"/>
      <w:marTop w:val="0"/>
      <w:marBottom w:val="0"/>
      <w:divBdr>
        <w:top w:val="none" w:sz="0" w:space="0" w:color="auto"/>
        <w:left w:val="none" w:sz="0" w:space="0" w:color="auto"/>
        <w:bottom w:val="none" w:sz="0" w:space="0" w:color="auto"/>
        <w:right w:val="none" w:sz="0" w:space="0" w:color="auto"/>
      </w:divBdr>
    </w:div>
    <w:div w:id="83382848">
      <w:bodyDiv w:val="1"/>
      <w:marLeft w:val="0"/>
      <w:marRight w:val="0"/>
      <w:marTop w:val="0"/>
      <w:marBottom w:val="0"/>
      <w:divBdr>
        <w:top w:val="none" w:sz="0" w:space="0" w:color="auto"/>
        <w:left w:val="none" w:sz="0" w:space="0" w:color="auto"/>
        <w:bottom w:val="none" w:sz="0" w:space="0" w:color="auto"/>
        <w:right w:val="none" w:sz="0" w:space="0" w:color="auto"/>
      </w:divBdr>
    </w:div>
    <w:div w:id="83383101">
      <w:bodyDiv w:val="1"/>
      <w:marLeft w:val="0"/>
      <w:marRight w:val="0"/>
      <w:marTop w:val="0"/>
      <w:marBottom w:val="0"/>
      <w:divBdr>
        <w:top w:val="none" w:sz="0" w:space="0" w:color="auto"/>
        <w:left w:val="none" w:sz="0" w:space="0" w:color="auto"/>
        <w:bottom w:val="none" w:sz="0" w:space="0" w:color="auto"/>
        <w:right w:val="none" w:sz="0" w:space="0" w:color="auto"/>
      </w:divBdr>
    </w:div>
    <w:div w:id="83574278">
      <w:bodyDiv w:val="1"/>
      <w:marLeft w:val="0"/>
      <w:marRight w:val="0"/>
      <w:marTop w:val="0"/>
      <w:marBottom w:val="0"/>
      <w:divBdr>
        <w:top w:val="none" w:sz="0" w:space="0" w:color="auto"/>
        <w:left w:val="none" w:sz="0" w:space="0" w:color="auto"/>
        <w:bottom w:val="none" w:sz="0" w:space="0" w:color="auto"/>
        <w:right w:val="none" w:sz="0" w:space="0" w:color="auto"/>
      </w:divBdr>
    </w:div>
    <w:div w:id="83579698">
      <w:bodyDiv w:val="1"/>
      <w:marLeft w:val="0"/>
      <w:marRight w:val="0"/>
      <w:marTop w:val="0"/>
      <w:marBottom w:val="0"/>
      <w:divBdr>
        <w:top w:val="none" w:sz="0" w:space="0" w:color="auto"/>
        <w:left w:val="none" w:sz="0" w:space="0" w:color="auto"/>
        <w:bottom w:val="none" w:sz="0" w:space="0" w:color="auto"/>
        <w:right w:val="none" w:sz="0" w:space="0" w:color="auto"/>
      </w:divBdr>
    </w:div>
    <w:div w:id="83647677">
      <w:bodyDiv w:val="1"/>
      <w:marLeft w:val="0"/>
      <w:marRight w:val="0"/>
      <w:marTop w:val="0"/>
      <w:marBottom w:val="0"/>
      <w:divBdr>
        <w:top w:val="none" w:sz="0" w:space="0" w:color="auto"/>
        <w:left w:val="none" w:sz="0" w:space="0" w:color="auto"/>
        <w:bottom w:val="none" w:sz="0" w:space="0" w:color="auto"/>
        <w:right w:val="none" w:sz="0" w:space="0" w:color="auto"/>
      </w:divBdr>
    </w:div>
    <w:div w:id="83653372">
      <w:bodyDiv w:val="1"/>
      <w:marLeft w:val="0"/>
      <w:marRight w:val="0"/>
      <w:marTop w:val="0"/>
      <w:marBottom w:val="0"/>
      <w:divBdr>
        <w:top w:val="none" w:sz="0" w:space="0" w:color="auto"/>
        <w:left w:val="none" w:sz="0" w:space="0" w:color="auto"/>
        <w:bottom w:val="none" w:sz="0" w:space="0" w:color="auto"/>
        <w:right w:val="none" w:sz="0" w:space="0" w:color="auto"/>
      </w:divBdr>
    </w:div>
    <w:div w:id="83694583">
      <w:bodyDiv w:val="1"/>
      <w:marLeft w:val="0"/>
      <w:marRight w:val="0"/>
      <w:marTop w:val="0"/>
      <w:marBottom w:val="0"/>
      <w:divBdr>
        <w:top w:val="none" w:sz="0" w:space="0" w:color="auto"/>
        <w:left w:val="none" w:sz="0" w:space="0" w:color="auto"/>
        <w:bottom w:val="none" w:sz="0" w:space="0" w:color="auto"/>
        <w:right w:val="none" w:sz="0" w:space="0" w:color="auto"/>
      </w:divBdr>
    </w:div>
    <w:div w:id="83697753">
      <w:bodyDiv w:val="1"/>
      <w:marLeft w:val="0"/>
      <w:marRight w:val="0"/>
      <w:marTop w:val="0"/>
      <w:marBottom w:val="0"/>
      <w:divBdr>
        <w:top w:val="none" w:sz="0" w:space="0" w:color="auto"/>
        <w:left w:val="none" w:sz="0" w:space="0" w:color="auto"/>
        <w:bottom w:val="none" w:sz="0" w:space="0" w:color="auto"/>
        <w:right w:val="none" w:sz="0" w:space="0" w:color="auto"/>
      </w:divBdr>
    </w:div>
    <w:div w:id="83767475">
      <w:bodyDiv w:val="1"/>
      <w:marLeft w:val="0"/>
      <w:marRight w:val="0"/>
      <w:marTop w:val="0"/>
      <w:marBottom w:val="0"/>
      <w:divBdr>
        <w:top w:val="none" w:sz="0" w:space="0" w:color="auto"/>
        <w:left w:val="none" w:sz="0" w:space="0" w:color="auto"/>
        <w:bottom w:val="none" w:sz="0" w:space="0" w:color="auto"/>
        <w:right w:val="none" w:sz="0" w:space="0" w:color="auto"/>
      </w:divBdr>
    </w:div>
    <w:div w:id="83915309">
      <w:bodyDiv w:val="1"/>
      <w:marLeft w:val="0"/>
      <w:marRight w:val="0"/>
      <w:marTop w:val="0"/>
      <w:marBottom w:val="0"/>
      <w:divBdr>
        <w:top w:val="none" w:sz="0" w:space="0" w:color="auto"/>
        <w:left w:val="none" w:sz="0" w:space="0" w:color="auto"/>
        <w:bottom w:val="none" w:sz="0" w:space="0" w:color="auto"/>
        <w:right w:val="none" w:sz="0" w:space="0" w:color="auto"/>
      </w:divBdr>
    </w:div>
    <w:div w:id="83961621">
      <w:bodyDiv w:val="1"/>
      <w:marLeft w:val="0"/>
      <w:marRight w:val="0"/>
      <w:marTop w:val="0"/>
      <w:marBottom w:val="0"/>
      <w:divBdr>
        <w:top w:val="none" w:sz="0" w:space="0" w:color="auto"/>
        <w:left w:val="none" w:sz="0" w:space="0" w:color="auto"/>
        <w:bottom w:val="none" w:sz="0" w:space="0" w:color="auto"/>
        <w:right w:val="none" w:sz="0" w:space="0" w:color="auto"/>
      </w:divBdr>
    </w:div>
    <w:div w:id="83963064">
      <w:bodyDiv w:val="1"/>
      <w:marLeft w:val="0"/>
      <w:marRight w:val="0"/>
      <w:marTop w:val="0"/>
      <w:marBottom w:val="0"/>
      <w:divBdr>
        <w:top w:val="none" w:sz="0" w:space="0" w:color="auto"/>
        <w:left w:val="none" w:sz="0" w:space="0" w:color="auto"/>
        <w:bottom w:val="none" w:sz="0" w:space="0" w:color="auto"/>
        <w:right w:val="none" w:sz="0" w:space="0" w:color="auto"/>
      </w:divBdr>
    </w:div>
    <w:div w:id="84114955">
      <w:bodyDiv w:val="1"/>
      <w:marLeft w:val="0"/>
      <w:marRight w:val="0"/>
      <w:marTop w:val="0"/>
      <w:marBottom w:val="0"/>
      <w:divBdr>
        <w:top w:val="none" w:sz="0" w:space="0" w:color="auto"/>
        <w:left w:val="none" w:sz="0" w:space="0" w:color="auto"/>
        <w:bottom w:val="none" w:sz="0" w:space="0" w:color="auto"/>
        <w:right w:val="none" w:sz="0" w:space="0" w:color="auto"/>
      </w:divBdr>
    </w:div>
    <w:div w:id="84304082">
      <w:bodyDiv w:val="1"/>
      <w:marLeft w:val="0"/>
      <w:marRight w:val="0"/>
      <w:marTop w:val="0"/>
      <w:marBottom w:val="0"/>
      <w:divBdr>
        <w:top w:val="none" w:sz="0" w:space="0" w:color="auto"/>
        <w:left w:val="none" w:sz="0" w:space="0" w:color="auto"/>
        <w:bottom w:val="none" w:sz="0" w:space="0" w:color="auto"/>
        <w:right w:val="none" w:sz="0" w:space="0" w:color="auto"/>
      </w:divBdr>
    </w:div>
    <w:div w:id="84424883">
      <w:bodyDiv w:val="1"/>
      <w:marLeft w:val="0"/>
      <w:marRight w:val="0"/>
      <w:marTop w:val="0"/>
      <w:marBottom w:val="0"/>
      <w:divBdr>
        <w:top w:val="none" w:sz="0" w:space="0" w:color="auto"/>
        <w:left w:val="none" w:sz="0" w:space="0" w:color="auto"/>
        <w:bottom w:val="none" w:sz="0" w:space="0" w:color="auto"/>
        <w:right w:val="none" w:sz="0" w:space="0" w:color="auto"/>
      </w:divBdr>
    </w:div>
    <w:div w:id="84425898">
      <w:bodyDiv w:val="1"/>
      <w:marLeft w:val="0"/>
      <w:marRight w:val="0"/>
      <w:marTop w:val="0"/>
      <w:marBottom w:val="0"/>
      <w:divBdr>
        <w:top w:val="none" w:sz="0" w:space="0" w:color="auto"/>
        <w:left w:val="none" w:sz="0" w:space="0" w:color="auto"/>
        <w:bottom w:val="none" w:sz="0" w:space="0" w:color="auto"/>
        <w:right w:val="none" w:sz="0" w:space="0" w:color="auto"/>
      </w:divBdr>
    </w:div>
    <w:div w:id="84500568">
      <w:bodyDiv w:val="1"/>
      <w:marLeft w:val="0"/>
      <w:marRight w:val="0"/>
      <w:marTop w:val="0"/>
      <w:marBottom w:val="0"/>
      <w:divBdr>
        <w:top w:val="none" w:sz="0" w:space="0" w:color="auto"/>
        <w:left w:val="none" w:sz="0" w:space="0" w:color="auto"/>
        <w:bottom w:val="none" w:sz="0" w:space="0" w:color="auto"/>
        <w:right w:val="none" w:sz="0" w:space="0" w:color="auto"/>
      </w:divBdr>
    </w:div>
    <w:div w:id="84616929">
      <w:bodyDiv w:val="1"/>
      <w:marLeft w:val="0"/>
      <w:marRight w:val="0"/>
      <w:marTop w:val="0"/>
      <w:marBottom w:val="0"/>
      <w:divBdr>
        <w:top w:val="none" w:sz="0" w:space="0" w:color="auto"/>
        <w:left w:val="none" w:sz="0" w:space="0" w:color="auto"/>
        <w:bottom w:val="none" w:sz="0" w:space="0" w:color="auto"/>
        <w:right w:val="none" w:sz="0" w:space="0" w:color="auto"/>
      </w:divBdr>
    </w:div>
    <w:div w:id="84882386">
      <w:bodyDiv w:val="1"/>
      <w:marLeft w:val="0"/>
      <w:marRight w:val="0"/>
      <w:marTop w:val="0"/>
      <w:marBottom w:val="0"/>
      <w:divBdr>
        <w:top w:val="none" w:sz="0" w:space="0" w:color="auto"/>
        <w:left w:val="none" w:sz="0" w:space="0" w:color="auto"/>
        <w:bottom w:val="none" w:sz="0" w:space="0" w:color="auto"/>
        <w:right w:val="none" w:sz="0" w:space="0" w:color="auto"/>
      </w:divBdr>
    </w:div>
    <w:div w:id="84886434">
      <w:bodyDiv w:val="1"/>
      <w:marLeft w:val="0"/>
      <w:marRight w:val="0"/>
      <w:marTop w:val="0"/>
      <w:marBottom w:val="0"/>
      <w:divBdr>
        <w:top w:val="none" w:sz="0" w:space="0" w:color="auto"/>
        <w:left w:val="none" w:sz="0" w:space="0" w:color="auto"/>
        <w:bottom w:val="none" w:sz="0" w:space="0" w:color="auto"/>
        <w:right w:val="none" w:sz="0" w:space="0" w:color="auto"/>
      </w:divBdr>
    </w:div>
    <w:div w:id="84962516">
      <w:bodyDiv w:val="1"/>
      <w:marLeft w:val="0"/>
      <w:marRight w:val="0"/>
      <w:marTop w:val="0"/>
      <w:marBottom w:val="0"/>
      <w:divBdr>
        <w:top w:val="none" w:sz="0" w:space="0" w:color="auto"/>
        <w:left w:val="none" w:sz="0" w:space="0" w:color="auto"/>
        <w:bottom w:val="none" w:sz="0" w:space="0" w:color="auto"/>
        <w:right w:val="none" w:sz="0" w:space="0" w:color="auto"/>
      </w:divBdr>
    </w:div>
    <w:div w:id="84964766">
      <w:bodyDiv w:val="1"/>
      <w:marLeft w:val="0"/>
      <w:marRight w:val="0"/>
      <w:marTop w:val="0"/>
      <w:marBottom w:val="0"/>
      <w:divBdr>
        <w:top w:val="none" w:sz="0" w:space="0" w:color="auto"/>
        <w:left w:val="none" w:sz="0" w:space="0" w:color="auto"/>
        <w:bottom w:val="none" w:sz="0" w:space="0" w:color="auto"/>
        <w:right w:val="none" w:sz="0" w:space="0" w:color="auto"/>
      </w:divBdr>
    </w:div>
    <w:div w:id="85002347">
      <w:bodyDiv w:val="1"/>
      <w:marLeft w:val="0"/>
      <w:marRight w:val="0"/>
      <w:marTop w:val="0"/>
      <w:marBottom w:val="0"/>
      <w:divBdr>
        <w:top w:val="none" w:sz="0" w:space="0" w:color="auto"/>
        <w:left w:val="none" w:sz="0" w:space="0" w:color="auto"/>
        <w:bottom w:val="none" w:sz="0" w:space="0" w:color="auto"/>
        <w:right w:val="none" w:sz="0" w:space="0" w:color="auto"/>
      </w:divBdr>
    </w:div>
    <w:div w:id="85007032">
      <w:bodyDiv w:val="1"/>
      <w:marLeft w:val="0"/>
      <w:marRight w:val="0"/>
      <w:marTop w:val="0"/>
      <w:marBottom w:val="0"/>
      <w:divBdr>
        <w:top w:val="none" w:sz="0" w:space="0" w:color="auto"/>
        <w:left w:val="none" w:sz="0" w:space="0" w:color="auto"/>
        <w:bottom w:val="none" w:sz="0" w:space="0" w:color="auto"/>
        <w:right w:val="none" w:sz="0" w:space="0" w:color="auto"/>
      </w:divBdr>
    </w:div>
    <w:div w:id="85031634">
      <w:bodyDiv w:val="1"/>
      <w:marLeft w:val="0"/>
      <w:marRight w:val="0"/>
      <w:marTop w:val="0"/>
      <w:marBottom w:val="0"/>
      <w:divBdr>
        <w:top w:val="none" w:sz="0" w:space="0" w:color="auto"/>
        <w:left w:val="none" w:sz="0" w:space="0" w:color="auto"/>
        <w:bottom w:val="none" w:sz="0" w:space="0" w:color="auto"/>
        <w:right w:val="none" w:sz="0" w:space="0" w:color="auto"/>
      </w:divBdr>
    </w:div>
    <w:div w:id="85080559">
      <w:bodyDiv w:val="1"/>
      <w:marLeft w:val="0"/>
      <w:marRight w:val="0"/>
      <w:marTop w:val="0"/>
      <w:marBottom w:val="0"/>
      <w:divBdr>
        <w:top w:val="none" w:sz="0" w:space="0" w:color="auto"/>
        <w:left w:val="none" w:sz="0" w:space="0" w:color="auto"/>
        <w:bottom w:val="none" w:sz="0" w:space="0" w:color="auto"/>
        <w:right w:val="none" w:sz="0" w:space="0" w:color="auto"/>
      </w:divBdr>
    </w:div>
    <w:div w:id="85156553">
      <w:bodyDiv w:val="1"/>
      <w:marLeft w:val="0"/>
      <w:marRight w:val="0"/>
      <w:marTop w:val="0"/>
      <w:marBottom w:val="0"/>
      <w:divBdr>
        <w:top w:val="none" w:sz="0" w:space="0" w:color="auto"/>
        <w:left w:val="none" w:sz="0" w:space="0" w:color="auto"/>
        <w:bottom w:val="none" w:sz="0" w:space="0" w:color="auto"/>
        <w:right w:val="none" w:sz="0" w:space="0" w:color="auto"/>
      </w:divBdr>
    </w:div>
    <w:div w:id="85274739">
      <w:bodyDiv w:val="1"/>
      <w:marLeft w:val="0"/>
      <w:marRight w:val="0"/>
      <w:marTop w:val="0"/>
      <w:marBottom w:val="0"/>
      <w:divBdr>
        <w:top w:val="none" w:sz="0" w:space="0" w:color="auto"/>
        <w:left w:val="none" w:sz="0" w:space="0" w:color="auto"/>
        <w:bottom w:val="none" w:sz="0" w:space="0" w:color="auto"/>
        <w:right w:val="none" w:sz="0" w:space="0" w:color="auto"/>
      </w:divBdr>
    </w:div>
    <w:div w:id="85347424">
      <w:bodyDiv w:val="1"/>
      <w:marLeft w:val="0"/>
      <w:marRight w:val="0"/>
      <w:marTop w:val="0"/>
      <w:marBottom w:val="0"/>
      <w:divBdr>
        <w:top w:val="none" w:sz="0" w:space="0" w:color="auto"/>
        <w:left w:val="none" w:sz="0" w:space="0" w:color="auto"/>
        <w:bottom w:val="none" w:sz="0" w:space="0" w:color="auto"/>
        <w:right w:val="none" w:sz="0" w:space="0" w:color="auto"/>
      </w:divBdr>
    </w:div>
    <w:div w:id="85421879">
      <w:bodyDiv w:val="1"/>
      <w:marLeft w:val="0"/>
      <w:marRight w:val="0"/>
      <w:marTop w:val="0"/>
      <w:marBottom w:val="0"/>
      <w:divBdr>
        <w:top w:val="none" w:sz="0" w:space="0" w:color="auto"/>
        <w:left w:val="none" w:sz="0" w:space="0" w:color="auto"/>
        <w:bottom w:val="none" w:sz="0" w:space="0" w:color="auto"/>
        <w:right w:val="none" w:sz="0" w:space="0" w:color="auto"/>
      </w:divBdr>
    </w:div>
    <w:div w:id="85423497">
      <w:bodyDiv w:val="1"/>
      <w:marLeft w:val="0"/>
      <w:marRight w:val="0"/>
      <w:marTop w:val="0"/>
      <w:marBottom w:val="0"/>
      <w:divBdr>
        <w:top w:val="none" w:sz="0" w:space="0" w:color="auto"/>
        <w:left w:val="none" w:sz="0" w:space="0" w:color="auto"/>
        <w:bottom w:val="none" w:sz="0" w:space="0" w:color="auto"/>
        <w:right w:val="none" w:sz="0" w:space="0" w:color="auto"/>
      </w:divBdr>
    </w:div>
    <w:div w:id="85657476">
      <w:bodyDiv w:val="1"/>
      <w:marLeft w:val="0"/>
      <w:marRight w:val="0"/>
      <w:marTop w:val="0"/>
      <w:marBottom w:val="0"/>
      <w:divBdr>
        <w:top w:val="none" w:sz="0" w:space="0" w:color="auto"/>
        <w:left w:val="none" w:sz="0" w:space="0" w:color="auto"/>
        <w:bottom w:val="none" w:sz="0" w:space="0" w:color="auto"/>
        <w:right w:val="none" w:sz="0" w:space="0" w:color="auto"/>
      </w:divBdr>
    </w:div>
    <w:div w:id="85807382">
      <w:bodyDiv w:val="1"/>
      <w:marLeft w:val="0"/>
      <w:marRight w:val="0"/>
      <w:marTop w:val="0"/>
      <w:marBottom w:val="0"/>
      <w:divBdr>
        <w:top w:val="none" w:sz="0" w:space="0" w:color="auto"/>
        <w:left w:val="none" w:sz="0" w:space="0" w:color="auto"/>
        <w:bottom w:val="none" w:sz="0" w:space="0" w:color="auto"/>
        <w:right w:val="none" w:sz="0" w:space="0" w:color="auto"/>
      </w:divBdr>
    </w:div>
    <w:div w:id="85810286">
      <w:bodyDiv w:val="1"/>
      <w:marLeft w:val="0"/>
      <w:marRight w:val="0"/>
      <w:marTop w:val="0"/>
      <w:marBottom w:val="0"/>
      <w:divBdr>
        <w:top w:val="none" w:sz="0" w:space="0" w:color="auto"/>
        <w:left w:val="none" w:sz="0" w:space="0" w:color="auto"/>
        <w:bottom w:val="none" w:sz="0" w:space="0" w:color="auto"/>
        <w:right w:val="none" w:sz="0" w:space="0" w:color="auto"/>
      </w:divBdr>
    </w:div>
    <w:div w:id="86048980">
      <w:bodyDiv w:val="1"/>
      <w:marLeft w:val="0"/>
      <w:marRight w:val="0"/>
      <w:marTop w:val="0"/>
      <w:marBottom w:val="0"/>
      <w:divBdr>
        <w:top w:val="none" w:sz="0" w:space="0" w:color="auto"/>
        <w:left w:val="none" w:sz="0" w:space="0" w:color="auto"/>
        <w:bottom w:val="none" w:sz="0" w:space="0" w:color="auto"/>
        <w:right w:val="none" w:sz="0" w:space="0" w:color="auto"/>
      </w:divBdr>
    </w:div>
    <w:div w:id="86121032">
      <w:bodyDiv w:val="1"/>
      <w:marLeft w:val="0"/>
      <w:marRight w:val="0"/>
      <w:marTop w:val="0"/>
      <w:marBottom w:val="0"/>
      <w:divBdr>
        <w:top w:val="none" w:sz="0" w:space="0" w:color="auto"/>
        <w:left w:val="none" w:sz="0" w:space="0" w:color="auto"/>
        <w:bottom w:val="none" w:sz="0" w:space="0" w:color="auto"/>
        <w:right w:val="none" w:sz="0" w:space="0" w:color="auto"/>
      </w:divBdr>
    </w:div>
    <w:div w:id="86123141">
      <w:bodyDiv w:val="1"/>
      <w:marLeft w:val="0"/>
      <w:marRight w:val="0"/>
      <w:marTop w:val="0"/>
      <w:marBottom w:val="0"/>
      <w:divBdr>
        <w:top w:val="none" w:sz="0" w:space="0" w:color="auto"/>
        <w:left w:val="none" w:sz="0" w:space="0" w:color="auto"/>
        <w:bottom w:val="none" w:sz="0" w:space="0" w:color="auto"/>
        <w:right w:val="none" w:sz="0" w:space="0" w:color="auto"/>
      </w:divBdr>
    </w:div>
    <w:div w:id="86192697">
      <w:bodyDiv w:val="1"/>
      <w:marLeft w:val="0"/>
      <w:marRight w:val="0"/>
      <w:marTop w:val="0"/>
      <w:marBottom w:val="0"/>
      <w:divBdr>
        <w:top w:val="none" w:sz="0" w:space="0" w:color="auto"/>
        <w:left w:val="none" w:sz="0" w:space="0" w:color="auto"/>
        <w:bottom w:val="none" w:sz="0" w:space="0" w:color="auto"/>
        <w:right w:val="none" w:sz="0" w:space="0" w:color="auto"/>
      </w:divBdr>
    </w:div>
    <w:div w:id="86273438">
      <w:bodyDiv w:val="1"/>
      <w:marLeft w:val="0"/>
      <w:marRight w:val="0"/>
      <w:marTop w:val="0"/>
      <w:marBottom w:val="0"/>
      <w:divBdr>
        <w:top w:val="none" w:sz="0" w:space="0" w:color="auto"/>
        <w:left w:val="none" w:sz="0" w:space="0" w:color="auto"/>
        <w:bottom w:val="none" w:sz="0" w:space="0" w:color="auto"/>
        <w:right w:val="none" w:sz="0" w:space="0" w:color="auto"/>
      </w:divBdr>
    </w:div>
    <w:div w:id="86274149">
      <w:bodyDiv w:val="1"/>
      <w:marLeft w:val="0"/>
      <w:marRight w:val="0"/>
      <w:marTop w:val="0"/>
      <w:marBottom w:val="0"/>
      <w:divBdr>
        <w:top w:val="none" w:sz="0" w:space="0" w:color="auto"/>
        <w:left w:val="none" w:sz="0" w:space="0" w:color="auto"/>
        <w:bottom w:val="none" w:sz="0" w:space="0" w:color="auto"/>
        <w:right w:val="none" w:sz="0" w:space="0" w:color="auto"/>
      </w:divBdr>
    </w:div>
    <w:div w:id="86316759">
      <w:bodyDiv w:val="1"/>
      <w:marLeft w:val="0"/>
      <w:marRight w:val="0"/>
      <w:marTop w:val="0"/>
      <w:marBottom w:val="0"/>
      <w:divBdr>
        <w:top w:val="none" w:sz="0" w:space="0" w:color="auto"/>
        <w:left w:val="none" w:sz="0" w:space="0" w:color="auto"/>
        <w:bottom w:val="none" w:sz="0" w:space="0" w:color="auto"/>
        <w:right w:val="none" w:sz="0" w:space="0" w:color="auto"/>
      </w:divBdr>
    </w:div>
    <w:div w:id="86317872">
      <w:bodyDiv w:val="1"/>
      <w:marLeft w:val="0"/>
      <w:marRight w:val="0"/>
      <w:marTop w:val="0"/>
      <w:marBottom w:val="0"/>
      <w:divBdr>
        <w:top w:val="none" w:sz="0" w:space="0" w:color="auto"/>
        <w:left w:val="none" w:sz="0" w:space="0" w:color="auto"/>
        <w:bottom w:val="none" w:sz="0" w:space="0" w:color="auto"/>
        <w:right w:val="none" w:sz="0" w:space="0" w:color="auto"/>
      </w:divBdr>
    </w:div>
    <w:div w:id="86509491">
      <w:bodyDiv w:val="1"/>
      <w:marLeft w:val="0"/>
      <w:marRight w:val="0"/>
      <w:marTop w:val="0"/>
      <w:marBottom w:val="0"/>
      <w:divBdr>
        <w:top w:val="none" w:sz="0" w:space="0" w:color="auto"/>
        <w:left w:val="none" w:sz="0" w:space="0" w:color="auto"/>
        <w:bottom w:val="none" w:sz="0" w:space="0" w:color="auto"/>
        <w:right w:val="none" w:sz="0" w:space="0" w:color="auto"/>
      </w:divBdr>
    </w:div>
    <w:div w:id="86656166">
      <w:bodyDiv w:val="1"/>
      <w:marLeft w:val="0"/>
      <w:marRight w:val="0"/>
      <w:marTop w:val="0"/>
      <w:marBottom w:val="0"/>
      <w:divBdr>
        <w:top w:val="none" w:sz="0" w:space="0" w:color="auto"/>
        <w:left w:val="none" w:sz="0" w:space="0" w:color="auto"/>
        <w:bottom w:val="none" w:sz="0" w:space="0" w:color="auto"/>
        <w:right w:val="none" w:sz="0" w:space="0" w:color="auto"/>
      </w:divBdr>
    </w:div>
    <w:div w:id="86731767">
      <w:bodyDiv w:val="1"/>
      <w:marLeft w:val="0"/>
      <w:marRight w:val="0"/>
      <w:marTop w:val="0"/>
      <w:marBottom w:val="0"/>
      <w:divBdr>
        <w:top w:val="none" w:sz="0" w:space="0" w:color="auto"/>
        <w:left w:val="none" w:sz="0" w:space="0" w:color="auto"/>
        <w:bottom w:val="none" w:sz="0" w:space="0" w:color="auto"/>
        <w:right w:val="none" w:sz="0" w:space="0" w:color="auto"/>
      </w:divBdr>
    </w:div>
    <w:div w:id="86734219">
      <w:bodyDiv w:val="1"/>
      <w:marLeft w:val="0"/>
      <w:marRight w:val="0"/>
      <w:marTop w:val="0"/>
      <w:marBottom w:val="0"/>
      <w:divBdr>
        <w:top w:val="none" w:sz="0" w:space="0" w:color="auto"/>
        <w:left w:val="none" w:sz="0" w:space="0" w:color="auto"/>
        <w:bottom w:val="none" w:sz="0" w:space="0" w:color="auto"/>
        <w:right w:val="none" w:sz="0" w:space="0" w:color="auto"/>
      </w:divBdr>
    </w:div>
    <w:div w:id="86777618">
      <w:bodyDiv w:val="1"/>
      <w:marLeft w:val="0"/>
      <w:marRight w:val="0"/>
      <w:marTop w:val="0"/>
      <w:marBottom w:val="0"/>
      <w:divBdr>
        <w:top w:val="none" w:sz="0" w:space="0" w:color="auto"/>
        <w:left w:val="none" w:sz="0" w:space="0" w:color="auto"/>
        <w:bottom w:val="none" w:sz="0" w:space="0" w:color="auto"/>
        <w:right w:val="none" w:sz="0" w:space="0" w:color="auto"/>
      </w:divBdr>
    </w:div>
    <w:div w:id="86779236">
      <w:bodyDiv w:val="1"/>
      <w:marLeft w:val="0"/>
      <w:marRight w:val="0"/>
      <w:marTop w:val="0"/>
      <w:marBottom w:val="0"/>
      <w:divBdr>
        <w:top w:val="none" w:sz="0" w:space="0" w:color="auto"/>
        <w:left w:val="none" w:sz="0" w:space="0" w:color="auto"/>
        <w:bottom w:val="none" w:sz="0" w:space="0" w:color="auto"/>
        <w:right w:val="none" w:sz="0" w:space="0" w:color="auto"/>
      </w:divBdr>
    </w:div>
    <w:div w:id="86779368">
      <w:bodyDiv w:val="1"/>
      <w:marLeft w:val="0"/>
      <w:marRight w:val="0"/>
      <w:marTop w:val="0"/>
      <w:marBottom w:val="0"/>
      <w:divBdr>
        <w:top w:val="none" w:sz="0" w:space="0" w:color="auto"/>
        <w:left w:val="none" w:sz="0" w:space="0" w:color="auto"/>
        <w:bottom w:val="none" w:sz="0" w:space="0" w:color="auto"/>
        <w:right w:val="none" w:sz="0" w:space="0" w:color="auto"/>
      </w:divBdr>
    </w:div>
    <w:div w:id="86847586">
      <w:bodyDiv w:val="1"/>
      <w:marLeft w:val="0"/>
      <w:marRight w:val="0"/>
      <w:marTop w:val="0"/>
      <w:marBottom w:val="0"/>
      <w:divBdr>
        <w:top w:val="none" w:sz="0" w:space="0" w:color="auto"/>
        <w:left w:val="none" w:sz="0" w:space="0" w:color="auto"/>
        <w:bottom w:val="none" w:sz="0" w:space="0" w:color="auto"/>
        <w:right w:val="none" w:sz="0" w:space="0" w:color="auto"/>
      </w:divBdr>
    </w:div>
    <w:div w:id="86848218">
      <w:bodyDiv w:val="1"/>
      <w:marLeft w:val="0"/>
      <w:marRight w:val="0"/>
      <w:marTop w:val="0"/>
      <w:marBottom w:val="0"/>
      <w:divBdr>
        <w:top w:val="none" w:sz="0" w:space="0" w:color="auto"/>
        <w:left w:val="none" w:sz="0" w:space="0" w:color="auto"/>
        <w:bottom w:val="none" w:sz="0" w:space="0" w:color="auto"/>
        <w:right w:val="none" w:sz="0" w:space="0" w:color="auto"/>
      </w:divBdr>
    </w:div>
    <w:div w:id="86922935">
      <w:bodyDiv w:val="1"/>
      <w:marLeft w:val="0"/>
      <w:marRight w:val="0"/>
      <w:marTop w:val="0"/>
      <w:marBottom w:val="0"/>
      <w:divBdr>
        <w:top w:val="none" w:sz="0" w:space="0" w:color="auto"/>
        <w:left w:val="none" w:sz="0" w:space="0" w:color="auto"/>
        <w:bottom w:val="none" w:sz="0" w:space="0" w:color="auto"/>
        <w:right w:val="none" w:sz="0" w:space="0" w:color="auto"/>
      </w:divBdr>
    </w:div>
    <w:div w:id="86971740">
      <w:bodyDiv w:val="1"/>
      <w:marLeft w:val="0"/>
      <w:marRight w:val="0"/>
      <w:marTop w:val="0"/>
      <w:marBottom w:val="0"/>
      <w:divBdr>
        <w:top w:val="none" w:sz="0" w:space="0" w:color="auto"/>
        <w:left w:val="none" w:sz="0" w:space="0" w:color="auto"/>
        <w:bottom w:val="none" w:sz="0" w:space="0" w:color="auto"/>
        <w:right w:val="none" w:sz="0" w:space="0" w:color="auto"/>
      </w:divBdr>
    </w:div>
    <w:div w:id="86971743">
      <w:bodyDiv w:val="1"/>
      <w:marLeft w:val="0"/>
      <w:marRight w:val="0"/>
      <w:marTop w:val="0"/>
      <w:marBottom w:val="0"/>
      <w:divBdr>
        <w:top w:val="none" w:sz="0" w:space="0" w:color="auto"/>
        <w:left w:val="none" w:sz="0" w:space="0" w:color="auto"/>
        <w:bottom w:val="none" w:sz="0" w:space="0" w:color="auto"/>
        <w:right w:val="none" w:sz="0" w:space="0" w:color="auto"/>
      </w:divBdr>
    </w:div>
    <w:div w:id="86972767">
      <w:bodyDiv w:val="1"/>
      <w:marLeft w:val="0"/>
      <w:marRight w:val="0"/>
      <w:marTop w:val="0"/>
      <w:marBottom w:val="0"/>
      <w:divBdr>
        <w:top w:val="none" w:sz="0" w:space="0" w:color="auto"/>
        <w:left w:val="none" w:sz="0" w:space="0" w:color="auto"/>
        <w:bottom w:val="none" w:sz="0" w:space="0" w:color="auto"/>
        <w:right w:val="none" w:sz="0" w:space="0" w:color="auto"/>
      </w:divBdr>
    </w:div>
    <w:div w:id="87043902">
      <w:bodyDiv w:val="1"/>
      <w:marLeft w:val="0"/>
      <w:marRight w:val="0"/>
      <w:marTop w:val="0"/>
      <w:marBottom w:val="0"/>
      <w:divBdr>
        <w:top w:val="none" w:sz="0" w:space="0" w:color="auto"/>
        <w:left w:val="none" w:sz="0" w:space="0" w:color="auto"/>
        <w:bottom w:val="none" w:sz="0" w:space="0" w:color="auto"/>
        <w:right w:val="none" w:sz="0" w:space="0" w:color="auto"/>
      </w:divBdr>
    </w:div>
    <w:div w:id="87193643">
      <w:bodyDiv w:val="1"/>
      <w:marLeft w:val="0"/>
      <w:marRight w:val="0"/>
      <w:marTop w:val="0"/>
      <w:marBottom w:val="0"/>
      <w:divBdr>
        <w:top w:val="none" w:sz="0" w:space="0" w:color="auto"/>
        <w:left w:val="none" w:sz="0" w:space="0" w:color="auto"/>
        <w:bottom w:val="none" w:sz="0" w:space="0" w:color="auto"/>
        <w:right w:val="none" w:sz="0" w:space="0" w:color="auto"/>
      </w:divBdr>
    </w:div>
    <w:div w:id="87237451">
      <w:bodyDiv w:val="1"/>
      <w:marLeft w:val="0"/>
      <w:marRight w:val="0"/>
      <w:marTop w:val="0"/>
      <w:marBottom w:val="0"/>
      <w:divBdr>
        <w:top w:val="none" w:sz="0" w:space="0" w:color="auto"/>
        <w:left w:val="none" w:sz="0" w:space="0" w:color="auto"/>
        <w:bottom w:val="none" w:sz="0" w:space="0" w:color="auto"/>
        <w:right w:val="none" w:sz="0" w:space="0" w:color="auto"/>
      </w:divBdr>
    </w:div>
    <w:div w:id="87316329">
      <w:bodyDiv w:val="1"/>
      <w:marLeft w:val="0"/>
      <w:marRight w:val="0"/>
      <w:marTop w:val="0"/>
      <w:marBottom w:val="0"/>
      <w:divBdr>
        <w:top w:val="none" w:sz="0" w:space="0" w:color="auto"/>
        <w:left w:val="none" w:sz="0" w:space="0" w:color="auto"/>
        <w:bottom w:val="none" w:sz="0" w:space="0" w:color="auto"/>
        <w:right w:val="none" w:sz="0" w:space="0" w:color="auto"/>
      </w:divBdr>
    </w:div>
    <w:div w:id="87389649">
      <w:bodyDiv w:val="1"/>
      <w:marLeft w:val="0"/>
      <w:marRight w:val="0"/>
      <w:marTop w:val="0"/>
      <w:marBottom w:val="0"/>
      <w:divBdr>
        <w:top w:val="none" w:sz="0" w:space="0" w:color="auto"/>
        <w:left w:val="none" w:sz="0" w:space="0" w:color="auto"/>
        <w:bottom w:val="none" w:sz="0" w:space="0" w:color="auto"/>
        <w:right w:val="none" w:sz="0" w:space="0" w:color="auto"/>
      </w:divBdr>
    </w:div>
    <w:div w:id="87426524">
      <w:bodyDiv w:val="1"/>
      <w:marLeft w:val="0"/>
      <w:marRight w:val="0"/>
      <w:marTop w:val="0"/>
      <w:marBottom w:val="0"/>
      <w:divBdr>
        <w:top w:val="none" w:sz="0" w:space="0" w:color="auto"/>
        <w:left w:val="none" w:sz="0" w:space="0" w:color="auto"/>
        <w:bottom w:val="none" w:sz="0" w:space="0" w:color="auto"/>
        <w:right w:val="none" w:sz="0" w:space="0" w:color="auto"/>
      </w:divBdr>
    </w:div>
    <w:div w:id="87430768">
      <w:bodyDiv w:val="1"/>
      <w:marLeft w:val="0"/>
      <w:marRight w:val="0"/>
      <w:marTop w:val="0"/>
      <w:marBottom w:val="0"/>
      <w:divBdr>
        <w:top w:val="none" w:sz="0" w:space="0" w:color="auto"/>
        <w:left w:val="none" w:sz="0" w:space="0" w:color="auto"/>
        <w:bottom w:val="none" w:sz="0" w:space="0" w:color="auto"/>
        <w:right w:val="none" w:sz="0" w:space="0" w:color="auto"/>
      </w:divBdr>
    </w:div>
    <w:div w:id="87622261">
      <w:bodyDiv w:val="1"/>
      <w:marLeft w:val="0"/>
      <w:marRight w:val="0"/>
      <w:marTop w:val="0"/>
      <w:marBottom w:val="0"/>
      <w:divBdr>
        <w:top w:val="none" w:sz="0" w:space="0" w:color="auto"/>
        <w:left w:val="none" w:sz="0" w:space="0" w:color="auto"/>
        <w:bottom w:val="none" w:sz="0" w:space="0" w:color="auto"/>
        <w:right w:val="none" w:sz="0" w:space="0" w:color="auto"/>
      </w:divBdr>
    </w:div>
    <w:div w:id="87701969">
      <w:bodyDiv w:val="1"/>
      <w:marLeft w:val="0"/>
      <w:marRight w:val="0"/>
      <w:marTop w:val="0"/>
      <w:marBottom w:val="0"/>
      <w:divBdr>
        <w:top w:val="none" w:sz="0" w:space="0" w:color="auto"/>
        <w:left w:val="none" w:sz="0" w:space="0" w:color="auto"/>
        <w:bottom w:val="none" w:sz="0" w:space="0" w:color="auto"/>
        <w:right w:val="none" w:sz="0" w:space="0" w:color="auto"/>
      </w:divBdr>
    </w:div>
    <w:div w:id="87704227">
      <w:bodyDiv w:val="1"/>
      <w:marLeft w:val="0"/>
      <w:marRight w:val="0"/>
      <w:marTop w:val="0"/>
      <w:marBottom w:val="0"/>
      <w:divBdr>
        <w:top w:val="none" w:sz="0" w:space="0" w:color="auto"/>
        <w:left w:val="none" w:sz="0" w:space="0" w:color="auto"/>
        <w:bottom w:val="none" w:sz="0" w:space="0" w:color="auto"/>
        <w:right w:val="none" w:sz="0" w:space="0" w:color="auto"/>
      </w:divBdr>
    </w:div>
    <w:div w:id="87774313">
      <w:bodyDiv w:val="1"/>
      <w:marLeft w:val="0"/>
      <w:marRight w:val="0"/>
      <w:marTop w:val="0"/>
      <w:marBottom w:val="0"/>
      <w:divBdr>
        <w:top w:val="none" w:sz="0" w:space="0" w:color="auto"/>
        <w:left w:val="none" w:sz="0" w:space="0" w:color="auto"/>
        <w:bottom w:val="none" w:sz="0" w:space="0" w:color="auto"/>
        <w:right w:val="none" w:sz="0" w:space="0" w:color="auto"/>
      </w:divBdr>
    </w:div>
    <w:div w:id="87774585">
      <w:bodyDiv w:val="1"/>
      <w:marLeft w:val="0"/>
      <w:marRight w:val="0"/>
      <w:marTop w:val="0"/>
      <w:marBottom w:val="0"/>
      <w:divBdr>
        <w:top w:val="none" w:sz="0" w:space="0" w:color="auto"/>
        <w:left w:val="none" w:sz="0" w:space="0" w:color="auto"/>
        <w:bottom w:val="none" w:sz="0" w:space="0" w:color="auto"/>
        <w:right w:val="none" w:sz="0" w:space="0" w:color="auto"/>
      </w:divBdr>
    </w:div>
    <w:div w:id="87775024">
      <w:bodyDiv w:val="1"/>
      <w:marLeft w:val="0"/>
      <w:marRight w:val="0"/>
      <w:marTop w:val="0"/>
      <w:marBottom w:val="0"/>
      <w:divBdr>
        <w:top w:val="none" w:sz="0" w:space="0" w:color="auto"/>
        <w:left w:val="none" w:sz="0" w:space="0" w:color="auto"/>
        <w:bottom w:val="none" w:sz="0" w:space="0" w:color="auto"/>
        <w:right w:val="none" w:sz="0" w:space="0" w:color="auto"/>
      </w:divBdr>
    </w:div>
    <w:div w:id="87822167">
      <w:bodyDiv w:val="1"/>
      <w:marLeft w:val="0"/>
      <w:marRight w:val="0"/>
      <w:marTop w:val="0"/>
      <w:marBottom w:val="0"/>
      <w:divBdr>
        <w:top w:val="none" w:sz="0" w:space="0" w:color="auto"/>
        <w:left w:val="none" w:sz="0" w:space="0" w:color="auto"/>
        <w:bottom w:val="none" w:sz="0" w:space="0" w:color="auto"/>
        <w:right w:val="none" w:sz="0" w:space="0" w:color="auto"/>
      </w:divBdr>
    </w:div>
    <w:div w:id="87973469">
      <w:bodyDiv w:val="1"/>
      <w:marLeft w:val="0"/>
      <w:marRight w:val="0"/>
      <w:marTop w:val="0"/>
      <w:marBottom w:val="0"/>
      <w:divBdr>
        <w:top w:val="none" w:sz="0" w:space="0" w:color="auto"/>
        <w:left w:val="none" w:sz="0" w:space="0" w:color="auto"/>
        <w:bottom w:val="none" w:sz="0" w:space="0" w:color="auto"/>
        <w:right w:val="none" w:sz="0" w:space="0" w:color="auto"/>
      </w:divBdr>
    </w:div>
    <w:div w:id="88043623">
      <w:bodyDiv w:val="1"/>
      <w:marLeft w:val="0"/>
      <w:marRight w:val="0"/>
      <w:marTop w:val="0"/>
      <w:marBottom w:val="0"/>
      <w:divBdr>
        <w:top w:val="none" w:sz="0" w:space="0" w:color="auto"/>
        <w:left w:val="none" w:sz="0" w:space="0" w:color="auto"/>
        <w:bottom w:val="none" w:sz="0" w:space="0" w:color="auto"/>
        <w:right w:val="none" w:sz="0" w:space="0" w:color="auto"/>
      </w:divBdr>
    </w:div>
    <w:div w:id="88088115">
      <w:bodyDiv w:val="1"/>
      <w:marLeft w:val="0"/>
      <w:marRight w:val="0"/>
      <w:marTop w:val="0"/>
      <w:marBottom w:val="0"/>
      <w:divBdr>
        <w:top w:val="none" w:sz="0" w:space="0" w:color="auto"/>
        <w:left w:val="none" w:sz="0" w:space="0" w:color="auto"/>
        <w:bottom w:val="none" w:sz="0" w:space="0" w:color="auto"/>
        <w:right w:val="none" w:sz="0" w:space="0" w:color="auto"/>
      </w:divBdr>
    </w:div>
    <w:div w:id="88284614">
      <w:bodyDiv w:val="1"/>
      <w:marLeft w:val="0"/>
      <w:marRight w:val="0"/>
      <w:marTop w:val="0"/>
      <w:marBottom w:val="0"/>
      <w:divBdr>
        <w:top w:val="none" w:sz="0" w:space="0" w:color="auto"/>
        <w:left w:val="none" w:sz="0" w:space="0" w:color="auto"/>
        <w:bottom w:val="none" w:sz="0" w:space="0" w:color="auto"/>
        <w:right w:val="none" w:sz="0" w:space="0" w:color="auto"/>
      </w:divBdr>
    </w:div>
    <w:div w:id="88433224">
      <w:bodyDiv w:val="1"/>
      <w:marLeft w:val="0"/>
      <w:marRight w:val="0"/>
      <w:marTop w:val="0"/>
      <w:marBottom w:val="0"/>
      <w:divBdr>
        <w:top w:val="none" w:sz="0" w:space="0" w:color="auto"/>
        <w:left w:val="none" w:sz="0" w:space="0" w:color="auto"/>
        <w:bottom w:val="none" w:sz="0" w:space="0" w:color="auto"/>
        <w:right w:val="none" w:sz="0" w:space="0" w:color="auto"/>
      </w:divBdr>
    </w:div>
    <w:div w:id="88474265">
      <w:bodyDiv w:val="1"/>
      <w:marLeft w:val="0"/>
      <w:marRight w:val="0"/>
      <w:marTop w:val="0"/>
      <w:marBottom w:val="0"/>
      <w:divBdr>
        <w:top w:val="none" w:sz="0" w:space="0" w:color="auto"/>
        <w:left w:val="none" w:sz="0" w:space="0" w:color="auto"/>
        <w:bottom w:val="none" w:sz="0" w:space="0" w:color="auto"/>
        <w:right w:val="none" w:sz="0" w:space="0" w:color="auto"/>
      </w:divBdr>
    </w:div>
    <w:div w:id="88475371">
      <w:bodyDiv w:val="1"/>
      <w:marLeft w:val="0"/>
      <w:marRight w:val="0"/>
      <w:marTop w:val="0"/>
      <w:marBottom w:val="0"/>
      <w:divBdr>
        <w:top w:val="none" w:sz="0" w:space="0" w:color="auto"/>
        <w:left w:val="none" w:sz="0" w:space="0" w:color="auto"/>
        <w:bottom w:val="none" w:sz="0" w:space="0" w:color="auto"/>
        <w:right w:val="none" w:sz="0" w:space="0" w:color="auto"/>
      </w:divBdr>
    </w:div>
    <w:div w:id="88544153">
      <w:bodyDiv w:val="1"/>
      <w:marLeft w:val="0"/>
      <w:marRight w:val="0"/>
      <w:marTop w:val="0"/>
      <w:marBottom w:val="0"/>
      <w:divBdr>
        <w:top w:val="none" w:sz="0" w:space="0" w:color="auto"/>
        <w:left w:val="none" w:sz="0" w:space="0" w:color="auto"/>
        <w:bottom w:val="none" w:sz="0" w:space="0" w:color="auto"/>
        <w:right w:val="none" w:sz="0" w:space="0" w:color="auto"/>
      </w:divBdr>
    </w:div>
    <w:div w:id="88695767">
      <w:bodyDiv w:val="1"/>
      <w:marLeft w:val="0"/>
      <w:marRight w:val="0"/>
      <w:marTop w:val="0"/>
      <w:marBottom w:val="0"/>
      <w:divBdr>
        <w:top w:val="none" w:sz="0" w:space="0" w:color="auto"/>
        <w:left w:val="none" w:sz="0" w:space="0" w:color="auto"/>
        <w:bottom w:val="none" w:sz="0" w:space="0" w:color="auto"/>
        <w:right w:val="none" w:sz="0" w:space="0" w:color="auto"/>
      </w:divBdr>
    </w:div>
    <w:div w:id="88699559">
      <w:bodyDiv w:val="1"/>
      <w:marLeft w:val="0"/>
      <w:marRight w:val="0"/>
      <w:marTop w:val="0"/>
      <w:marBottom w:val="0"/>
      <w:divBdr>
        <w:top w:val="none" w:sz="0" w:space="0" w:color="auto"/>
        <w:left w:val="none" w:sz="0" w:space="0" w:color="auto"/>
        <w:bottom w:val="none" w:sz="0" w:space="0" w:color="auto"/>
        <w:right w:val="none" w:sz="0" w:space="0" w:color="auto"/>
      </w:divBdr>
    </w:div>
    <w:div w:id="88700547">
      <w:bodyDiv w:val="1"/>
      <w:marLeft w:val="0"/>
      <w:marRight w:val="0"/>
      <w:marTop w:val="0"/>
      <w:marBottom w:val="0"/>
      <w:divBdr>
        <w:top w:val="none" w:sz="0" w:space="0" w:color="auto"/>
        <w:left w:val="none" w:sz="0" w:space="0" w:color="auto"/>
        <w:bottom w:val="none" w:sz="0" w:space="0" w:color="auto"/>
        <w:right w:val="none" w:sz="0" w:space="0" w:color="auto"/>
      </w:divBdr>
    </w:div>
    <w:div w:id="88817823">
      <w:bodyDiv w:val="1"/>
      <w:marLeft w:val="0"/>
      <w:marRight w:val="0"/>
      <w:marTop w:val="0"/>
      <w:marBottom w:val="0"/>
      <w:divBdr>
        <w:top w:val="none" w:sz="0" w:space="0" w:color="auto"/>
        <w:left w:val="none" w:sz="0" w:space="0" w:color="auto"/>
        <w:bottom w:val="none" w:sz="0" w:space="0" w:color="auto"/>
        <w:right w:val="none" w:sz="0" w:space="0" w:color="auto"/>
      </w:divBdr>
    </w:div>
    <w:div w:id="88891483">
      <w:bodyDiv w:val="1"/>
      <w:marLeft w:val="0"/>
      <w:marRight w:val="0"/>
      <w:marTop w:val="0"/>
      <w:marBottom w:val="0"/>
      <w:divBdr>
        <w:top w:val="none" w:sz="0" w:space="0" w:color="auto"/>
        <w:left w:val="none" w:sz="0" w:space="0" w:color="auto"/>
        <w:bottom w:val="none" w:sz="0" w:space="0" w:color="auto"/>
        <w:right w:val="none" w:sz="0" w:space="0" w:color="auto"/>
      </w:divBdr>
    </w:div>
    <w:div w:id="88896307">
      <w:bodyDiv w:val="1"/>
      <w:marLeft w:val="0"/>
      <w:marRight w:val="0"/>
      <w:marTop w:val="0"/>
      <w:marBottom w:val="0"/>
      <w:divBdr>
        <w:top w:val="none" w:sz="0" w:space="0" w:color="auto"/>
        <w:left w:val="none" w:sz="0" w:space="0" w:color="auto"/>
        <w:bottom w:val="none" w:sz="0" w:space="0" w:color="auto"/>
        <w:right w:val="none" w:sz="0" w:space="0" w:color="auto"/>
      </w:divBdr>
    </w:div>
    <w:div w:id="89008677">
      <w:bodyDiv w:val="1"/>
      <w:marLeft w:val="0"/>
      <w:marRight w:val="0"/>
      <w:marTop w:val="0"/>
      <w:marBottom w:val="0"/>
      <w:divBdr>
        <w:top w:val="none" w:sz="0" w:space="0" w:color="auto"/>
        <w:left w:val="none" w:sz="0" w:space="0" w:color="auto"/>
        <w:bottom w:val="none" w:sz="0" w:space="0" w:color="auto"/>
        <w:right w:val="none" w:sz="0" w:space="0" w:color="auto"/>
      </w:divBdr>
    </w:div>
    <w:div w:id="89013864">
      <w:bodyDiv w:val="1"/>
      <w:marLeft w:val="0"/>
      <w:marRight w:val="0"/>
      <w:marTop w:val="0"/>
      <w:marBottom w:val="0"/>
      <w:divBdr>
        <w:top w:val="none" w:sz="0" w:space="0" w:color="auto"/>
        <w:left w:val="none" w:sz="0" w:space="0" w:color="auto"/>
        <w:bottom w:val="none" w:sz="0" w:space="0" w:color="auto"/>
        <w:right w:val="none" w:sz="0" w:space="0" w:color="auto"/>
      </w:divBdr>
    </w:div>
    <w:div w:id="89015178">
      <w:bodyDiv w:val="1"/>
      <w:marLeft w:val="0"/>
      <w:marRight w:val="0"/>
      <w:marTop w:val="0"/>
      <w:marBottom w:val="0"/>
      <w:divBdr>
        <w:top w:val="none" w:sz="0" w:space="0" w:color="auto"/>
        <w:left w:val="none" w:sz="0" w:space="0" w:color="auto"/>
        <w:bottom w:val="none" w:sz="0" w:space="0" w:color="auto"/>
        <w:right w:val="none" w:sz="0" w:space="0" w:color="auto"/>
      </w:divBdr>
    </w:div>
    <w:div w:id="89129473">
      <w:bodyDiv w:val="1"/>
      <w:marLeft w:val="0"/>
      <w:marRight w:val="0"/>
      <w:marTop w:val="0"/>
      <w:marBottom w:val="0"/>
      <w:divBdr>
        <w:top w:val="none" w:sz="0" w:space="0" w:color="auto"/>
        <w:left w:val="none" w:sz="0" w:space="0" w:color="auto"/>
        <w:bottom w:val="none" w:sz="0" w:space="0" w:color="auto"/>
        <w:right w:val="none" w:sz="0" w:space="0" w:color="auto"/>
      </w:divBdr>
    </w:div>
    <w:div w:id="89157927">
      <w:bodyDiv w:val="1"/>
      <w:marLeft w:val="0"/>
      <w:marRight w:val="0"/>
      <w:marTop w:val="0"/>
      <w:marBottom w:val="0"/>
      <w:divBdr>
        <w:top w:val="none" w:sz="0" w:space="0" w:color="auto"/>
        <w:left w:val="none" w:sz="0" w:space="0" w:color="auto"/>
        <w:bottom w:val="none" w:sz="0" w:space="0" w:color="auto"/>
        <w:right w:val="none" w:sz="0" w:space="0" w:color="auto"/>
      </w:divBdr>
    </w:div>
    <w:div w:id="89202783">
      <w:bodyDiv w:val="1"/>
      <w:marLeft w:val="0"/>
      <w:marRight w:val="0"/>
      <w:marTop w:val="0"/>
      <w:marBottom w:val="0"/>
      <w:divBdr>
        <w:top w:val="none" w:sz="0" w:space="0" w:color="auto"/>
        <w:left w:val="none" w:sz="0" w:space="0" w:color="auto"/>
        <w:bottom w:val="none" w:sz="0" w:space="0" w:color="auto"/>
        <w:right w:val="none" w:sz="0" w:space="0" w:color="auto"/>
      </w:divBdr>
    </w:div>
    <w:div w:id="89350575">
      <w:bodyDiv w:val="1"/>
      <w:marLeft w:val="0"/>
      <w:marRight w:val="0"/>
      <w:marTop w:val="0"/>
      <w:marBottom w:val="0"/>
      <w:divBdr>
        <w:top w:val="none" w:sz="0" w:space="0" w:color="auto"/>
        <w:left w:val="none" w:sz="0" w:space="0" w:color="auto"/>
        <w:bottom w:val="none" w:sz="0" w:space="0" w:color="auto"/>
        <w:right w:val="none" w:sz="0" w:space="0" w:color="auto"/>
      </w:divBdr>
    </w:div>
    <w:div w:id="89352995">
      <w:bodyDiv w:val="1"/>
      <w:marLeft w:val="0"/>
      <w:marRight w:val="0"/>
      <w:marTop w:val="0"/>
      <w:marBottom w:val="0"/>
      <w:divBdr>
        <w:top w:val="none" w:sz="0" w:space="0" w:color="auto"/>
        <w:left w:val="none" w:sz="0" w:space="0" w:color="auto"/>
        <w:bottom w:val="none" w:sz="0" w:space="0" w:color="auto"/>
        <w:right w:val="none" w:sz="0" w:space="0" w:color="auto"/>
      </w:divBdr>
    </w:div>
    <w:div w:id="89392933">
      <w:bodyDiv w:val="1"/>
      <w:marLeft w:val="0"/>
      <w:marRight w:val="0"/>
      <w:marTop w:val="0"/>
      <w:marBottom w:val="0"/>
      <w:divBdr>
        <w:top w:val="none" w:sz="0" w:space="0" w:color="auto"/>
        <w:left w:val="none" w:sz="0" w:space="0" w:color="auto"/>
        <w:bottom w:val="none" w:sz="0" w:space="0" w:color="auto"/>
        <w:right w:val="none" w:sz="0" w:space="0" w:color="auto"/>
      </w:divBdr>
    </w:div>
    <w:div w:id="89588557">
      <w:bodyDiv w:val="1"/>
      <w:marLeft w:val="0"/>
      <w:marRight w:val="0"/>
      <w:marTop w:val="0"/>
      <w:marBottom w:val="0"/>
      <w:divBdr>
        <w:top w:val="none" w:sz="0" w:space="0" w:color="auto"/>
        <w:left w:val="none" w:sz="0" w:space="0" w:color="auto"/>
        <w:bottom w:val="none" w:sz="0" w:space="0" w:color="auto"/>
        <w:right w:val="none" w:sz="0" w:space="0" w:color="auto"/>
      </w:divBdr>
    </w:div>
    <w:div w:id="89591477">
      <w:bodyDiv w:val="1"/>
      <w:marLeft w:val="0"/>
      <w:marRight w:val="0"/>
      <w:marTop w:val="0"/>
      <w:marBottom w:val="0"/>
      <w:divBdr>
        <w:top w:val="none" w:sz="0" w:space="0" w:color="auto"/>
        <w:left w:val="none" w:sz="0" w:space="0" w:color="auto"/>
        <w:bottom w:val="none" w:sz="0" w:space="0" w:color="auto"/>
        <w:right w:val="none" w:sz="0" w:space="0" w:color="auto"/>
      </w:divBdr>
    </w:div>
    <w:div w:id="89593337">
      <w:bodyDiv w:val="1"/>
      <w:marLeft w:val="0"/>
      <w:marRight w:val="0"/>
      <w:marTop w:val="0"/>
      <w:marBottom w:val="0"/>
      <w:divBdr>
        <w:top w:val="none" w:sz="0" w:space="0" w:color="auto"/>
        <w:left w:val="none" w:sz="0" w:space="0" w:color="auto"/>
        <w:bottom w:val="none" w:sz="0" w:space="0" w:color="auto"/>
        <w:right w:val="none" w:sz="0" w:space="0" w:color="auto"/>
      </w:divBdr>
    </w:div>
    <w:div w:id="89594293">
      <w:bodyDiv w:val="1"/>
      <w:marLeft w:val="0"/>
      <w:marRight w:val="0"/>
      <w:marTop w:val="0"/>
      <w:marBottom w:val="0"/>
      <w:divBdr>
        <w:top w:val="none" w:sz="0" w:space="0" w:color="auto"/>
        <w:left w:val="none" w:sz="0" w:space="0" w:color="auto"/>
        <w:bottom w:val="none" w:sz="0" w:space="0" w:color="auto"/>
        <w:right w:val="none" w:sz="0" w:space="0" w:color="auto"/>
      </w:divBdr>
    </w:div>
    <w:div w:id="89741796">
      <w:bodyDiv w:val="1"/>
      <w:marLeft w:val="0"/>
      <w:marRight w:val="0"/>
      <w:marTop w:val="0"/>
      <w:marBottom w:val="0"/>
      <w:divBdr>
        <w:top w:val="none" w:sz="0" w:space="0" w:color="auto"/>
        <w:left w:val="none" w:sz="0" w:space="0" w:color="auto"/>
        <w:bottom w:val="none" w:sz="0" w:space="0" w:color="auto"/>
        <w:right w:val="none" w:sz="0" w:space="0" w:color="auto"/>
      </w:divBdr>
    </w:div>
    <w:div w:id="89743399">
      <w:bodyDiv w:val="1"/>
      <w:marLeft w:val="0"/>
      <w:marRight w:val="0"/>
      <w:marTop w:val="0"/>
      <w:marBottom w:val="0"/>
      <w:divBdr>
        <w:top w:val="none" w:sz="0" w:space="0" w:color="auto"/>
        <w:left w:val="none" w:sz="0" w:space="0" w:color="auto"/>
        <w:bottom w:val="none" w:sz="0" w:space="0" w:color="auto"/>
        <w:right w:val="none" w:sz="0" w:space="0" w:color="auto"/>
      </w:divBdr>
    </w:div>
    <w:div w:id="89814853">
      <w:bodyDiv w:val="1"/>
      <w:marLeft w:val="0"/>
      <w:marRight w:val="0"/>
      <w:marTop w:val="0"/>
      <w:marBottom w:val="0"/>
      <w:divBdr>
        <w:top w:val="none" w:sz="0" w:space="0" w:color="auto"/>
        <w:left w:val="none" w:sz="0" w:space="0" w:color="auto"/>
        <w:bottom w:val="none" w:sz="0" w:space="0" w:color="auto"/>
        <w:right w:val="none" w:sz="0" w:space="0" w:color="auto"/>
      </w:divBdr>
    </w:div>
    <w:div w:id="89862683">
      <w:bodyDiv w:val="1"/>
      <w:marLeft w:val="0"/>
      <w:marRight w:val="0"/>
      <w:marTop w:val="0"/>
      <w:marBottom w:val="0"/>
      <w:divBdr>
        <w:top w:val="none" w:sz="0" w:space="0" w:color="auto"/>
        <w:left w:val="none" w:sz="0" w:space="0" w:color="auto"/>
        <w:bottom w:val="none" w:sz="0" w:space="0" w:color="auto"/>
        <w:right w:val="none" w:sz="0" w:space="0" w:color="auto"/>
      </w:divBdr>
    </w:div>
    <w:div w:id="90048165">
      <w:bodyDiv w:val="1"/>
      <w:marLeft w:val="0"/>
      <w:marRight w:val="0"/>
      <w:marTop w:val="0"/>
      <w:marBottom w:val="0"/>
      <w:divBdr>
        <w:top w:val="none" w:sz="0" w:space="0" w:color="auto"/>
        <w:left w:val="none" w:sz="0" w:space="0" w:color="auto"/>
        <w:bottom w:val="none" w:sz="0" w:space="0" w:color="auto"/>
        <w:right w:val="none" w:sz="0" w:space="0" w:color="auto"/>
      </w:divBdr>
    </w:div>
    <w:div w:id="90055491">
      <w:bodyDiv w:val="1"/>
      <w:marLeft w:val="0"/>
      <w:marRight w:val="0"/>
      <w:marTop w:val="0"/>
      <w:marBottom w:val="0"/>
      <w:divBdr>
        <w:top w:val="none" w:sz="0" w:space="0" w:color="auto"/>
        <w:left w:val="none" w:sz="0" w:space="0" w:color="auto"/>
        <w:bottom w:val="none" w:sz="0" w:space="0" w:color="auto"/>
        <w:right w:val="none" w:sz="0" w:space="0" w:color="auto"/>
      </w:divBdr>
    </w:div>
    <w:div w:id="90124672">
      <w:bodyDiv w:val="1"/>
      <w:marLeft w:val="0"/>
      <w:marRight w:val="0"/>
      <w:marTop w:val="0"/>
      <w:marBottom w:val="0"/>
      <w:divBdr>
        <w:top w:val="none" w:sz="0" w:space="0" w:color="auto"/>
        <w:left w:val="none" w:sz="0" w:space="0" w:color="auto"/>
        <w:bottom w:val="none" w:sz="0" w:space="0" w:color="auto"/>
        <w:right w:val="none" w:sz="0" w:space="0" w:color="auto"/>
      </w:divBdr>
    </w:div>
    <w:div w:id="90124878">
      <w:bodyDiv w:val="1"/>
      <w:marLeft w:val="0"/>
      <w:marRight w:val="0"/>
      <w:marTop w:val="0"/>
      <w:marBottom w:val="0"/>
      <w:divBdr>
        <w:top w:val="none" w:sz="0" w:space="0" w:color="auto"/>
        <w:left w:val="none" w:sz="0" w:space="0" w:color="auto"/>
        <w:bottom w:val="none" w:sz="0" w:space="0" w:color="auto"/>
        <w:right w:val="none" w:sz="0" w:space="0" w:color="auto"/>
      </w:divBdr>
    </w:div>
    <w:div w:id="90128638">
      <w:bodyDiv w:val="1"/>
      <w:marLeft w:val="0"/>
      <w:marRight w:val="0"/>
      <w:marTop w:val="0"/>
      <w:marBottom w:val="0"/>
      <w:divBdr>
        <w:top w:val="none" w:sz="0" w:space="0" w:color="auto"/>
        <w:left w:val="none" w:sz="0" w:space="0" w:color="auto"/>
        <w:bottom w:val="none" w:sz="0" w:space="0" w:color="auto"/>
        <w:right w:val="none" w:sz="0" w:space="0" w:color="auto"/>
      </w:divBdr>
    </w:div>
    <w:div w:id="90200461">
      <w:bodyDiv w:val="1"/>
      <w:marLeft w:val="0"/>
      <w:marRight w:val="0"/>
      <w:marTop w:val="0"/>
      <w:marBottom w:val="0"/>
      <w:divBdr>
        <w:top w:val="none" w:sz="0" w:space="0" w:color="auto"/>
        <w:left w:val="none" w:sz="0" w:space="0" w:color="auto"/>
        <w:bottom w:val="none" w:sz="0" w:space="0" w:color="auto"/>
        <w:right w:val="none" w:sz="0" w:space="0" w:color="auto"/>
      </w:divBdr>
    </w:div>
    <w:div w:id="90201559">
      <w:bodyDiv w:val="1"/>
      <w:marLeft w:val="0"/>
      <w:marRight w:val="0"/>
      <w:marTop w:val="0"/>
      <w:marBottom w:val="0"/>
      <w:divBdr>
        <w:top w:val="none" w:sz="0" w:space="0" w:color="auto"/>
        <w:left w:val="none" w:sz="0" w:space="0" w:color="auto"/>
        <w:bottom w:val="none" w:sz="0" w:space="0" w:color="auto"/>
        <w:right w:val="none" w:sz="0" w:space="0" w:color="auto"/>
      </w:divBdr>
    </w:div>
    <w:div w:id="90244257">
      <w:bodyDiv w:val="1"/>
      <w:marLeft w:val="0"/>
      <w:marRight w:val="0"/>
      <w:marTop w:val="0"/>
      <w:marBottom w:val="0"/>
      <w:divBdr>
        <w:top w:val="none" w:sz="0" w:space="0" w:color="auto"/>
        <w:left w:val="none" w:sz="0" w:space="0" w:color="auto"/>
        <w:bottom w:val="none" w:sz="0" w:space="0" w:color="auto"/>
        <w:right w:val="none" w:sz="0" w:space="0" w:color="auto"/>
      </w:divBdr>
    </w:div>
    <w:div w:id="90246413">
      <w:bodyDiv w:val="1"/>
      <w:marLeft w:val="0"/>
      <w:marRight w:val="0"/>
      <w:marTop w:val="0"/>
      <w:marBottom w:val="0"/>
      <w:divBdr>
        <w:top w:val="none" w:sz="0" w:space="0" w:color="auto"/>
        <w:left w:val="none" w:sz="0" w:space="0" w:color="auto"/>
        <w:bottom w:val="none" w:sz="0" w:space="0" w:color="auto"/>
        <w:right w:val="none" w:sz="0" w:space="0" w:color="auto"/>
      </w:divBdr>
    </w:div>
    <w:div w:id="90274814">
      <w:bodyDiv w:val="1"/>
      <w:marLeft w:val="0"/>
      <w:marRight w:val="0"/>
      <w:marTop w:val="0"/>
      <w:marBottom w:val="0"/>
      <w:divBdr>
        <w:top w:val="none" w:sz="0" w:space="0" w:color="auto"/>
        <w:left w:val="none" w:sz="0" w:space="0" w:color="auto"/>
        <w:bottom w:val="none" w:sz="0" w:space="0" w:color="auto"/>
        <w:right w:val="none" w:sz="0" w:space="0" w:color="auto"/>
      </w:divBdr>
    </w:div>
    <w:div w:id="90321631">
      <w:bodyDiv w:val="1"/>
      <w:marLeft w:val="0"/>
      <w:marRight w:val="0"/>
      <w:marTop w:val="0"/>
      <w:marBottom w:val="0"/>
      <w:divBdr>
        <w:top w:val="none" w:sz="0" w:space="0" w:color="auto"/>
        <w:left w:val="none" w:sz="0" w:space="0" w:color="auto"/>
        <w:bottom w:val="none" w:sz="0" w:space="0" w:color="auto"/>
        <w:right w:val="none" w:sz="0" w:space="0" w:color="auto"/>
      </w:divBdr>
    </w:div>
    <w:div w:id="90397894">
      <w:bodyDiv w:val="1"/>
      <w:marLeft w:val="0"/>
      <w:marRight w:val="0"/>
      <w:marTop w:val="0"/>
      <w:marBottom w:val="0"/>
      <w:divBdr>
        <w:top w:val="none" w:sz="0" w:space="0" w:color="auto"/>
        <w:left w:val="none" w:sz="0" w:space="0" w:color="auto"/>
        <w:bottom w:val="none" w:sz="0" w:space="0" w:color="auto"/>
        <w:right w:val="none" w:sz="0" w:space="0" w:color="auto"/>
      </w:divBdr>
    </w:div>
    <w:div w:id="90398268">
      <w:bodyDiv w:val="1"/>
      <w:marLeft w:val="0"/>
      <w:marRight w:val="0"/>
      <w:marTop w:val="0"/>
      <w:marBottom w:val="0"/>
      <w:divBdr>
        <w:top w:val="none" w:sz="0" w:space="0" w:color="auto"/>
        <w:left w:val="none" w:sz="0" w:space="0" w:color="auto"/>
        <w:bottom w:val="none" w:sz="0" w:space="0" w:color="auto"/>
        <w:right w:val="none" w:sz="0" w:space="0" w:color="auto"/>
      </w:divBdr>
    </w:div>
    <w:div w:id="90466992">
      <w:bodyDiv w:val="1"/>
      <w:marLeft w:val="0"/>
      <w:marRight w:val="0"/>
      <w:marTop w:val="0"/>
      <w:marBottom w:val="0"/>
      <w:divBdr>
        <w:top w:val="none" w:sz="0" w:space="0" w:color="auto"/>
        <w:left w:val="none" w:sz="0" w:space="0" w:color="auto"/>
        <w:bottom w:val="none" w:sz="0" w:space="0" w:color="auto"/>
        <w:right w:val="none" w:sz="0" w:space="0" w:color="auto"/>
      </w:divBdr>
    </w:div>
    <w:div w:id="90470698">
      <w:bodyDiv w:val="1"/>
      <w:marLeft w:val="0"/>
      <w:marRight w:val="0"/>
      <w:marTop w:val="0"/>
      <w:marBottom w:val="0"/>
      <w:divBdr>
        <w:top w:val="none" w:sz="0" w:space="0" w:color="auto"/>
        <w:left w:val="none" w:sz="0" w:space="0" w:color="auto"/>
        <w:bottom w:val="none" w:sz="0" w:space="0" w:color="auto"/>
        <w:right w:val="none" w:sz="0" w:space="0" w:color="auto"/>
      </w:divBdr>
    </w:div>
    <w:div w:id="90511395">
      <w:bodyDiv w:val="1"/>
      <w:marLeft w:val="0"/>
      <w:marRight w:val="0"/>
      <w:marTop w:val="0"/>
      <w:marBottom w:val="0"/>
      <w:divBdr>
        <w:top w:val="none" w:sz="0" w:space="0" w:color="auto"/>
        <w:left w:val="none" w:sz="0" w:space="0" w:color="auto"/>
        <w:bottom w:val="none" w:sz="0" w:space="0" w:color="auto"/>
        <w:right w:val="none" w:sz="0" w:space="0" w:color="auto"/>
      </w:divBdr>
    </w:div>
    <w:div w:id="90517644">
      <w:bodyDiv w:val="1"/>
      <w:marLeft w:val="0"/>
      <w:marRight w:val="0"/>
      <w:marTop w:val="0"/>
      <w:marBottom w:val="0"/>
      <w:divBdr>
        <w:top w:val="none" w:sz="0" w:space="0" w:color="auto"/>
        <w:left w:val="none" w:sz="0" w:space="0" w:color="auto"/>
        <w:bottom w:val="none" w:sz="0" w:space="0" w:color="auto"/>
        <w:right w:val="none" w:sz="0" w:space="0" w:color="auto"/>
      </w:divBdr>
    </w:div>
    <w:div w:id="90665964">
      <w:bodyDiv w:val="1"/>
      <w:marLeft w:val="0"/>
      <w:marRight w:val="0"/>
      <w:marTop w:val="0"/>
      <w:marBottom w:val="0"/>
      <w:divBdr>
        <w:top w:val="none" w:sz="0" w:space="0" w:color="auto"/>
        <w:left w:val="none" w:sz="0" w:space="0" w:color="auto"/>
        <w:bottom w:val="none" w:sz="0" w:space="0" w:color="auto"/>
        <w:right w:val="none" w:sz="0" w:space="0" w:color="auto"/>
      </w:divBdr>
    </w:div>
    <w:div w:id="90708223">
      <w:bodyDiv w:val="1"/>
      <w:marLeft w:val="0"/>
      <w:marRight w:val="0"/>
      <w:marTop w:val="0"/>
      <w:marBottom w:val="0"/>
      <w:divBdr>
        <w:top w:val="none" w:sz="0" w:space="0" w:color="auto"/>
        <w:left w:val="none" w:sz="0" w:space="0" w:color="auto"/>
        <w:bottom w:val="none" w:sz="0" w:space="0" w:color="auto"/>
        <w:right w:val="none" w:sz="0" w:space="0" w:color="auto"/>
      </w:divBdr>
    </w:div>
    <w:div w:id="90709692">
      <w:bodyDiv w:val="1"/>
      <w:marLeft w:val="0"/>
      <w:marRight w:val="0"/>
      <w:marTop w:val="0"/>
      <w:marBottom w:val="0"/>
      <w:divBdr>
        <w:top w:val="none" w:sz="0" w:space="0" w:color="auto"/>
        <w:left w:val="none" w:sz="0" w:space="0" w:color="auto"/>
        <w:bottom w:val="none" w:sz="0" w:space="0" w:color="auto"/>
        <w:right w:val="none" w:sz="0" w:space="0" w:color="auto"/>
      </w:divBdr>
    </w:div>
    <w:div w:id="90899505">
      <w:bodyDiv w:val="1"/>
      <w:marLeft w:val="0"/>
      <w:marRight w:val="0"/>
      <w:marTop w:val="0"/>
      <w:marBottom w:val="0"/>
      <w:divBdr>
        <w:top w:val="none" w:sz="0" w:space="0" w:color="auto"/>
        <w:left w:val="none" w:sz="0" w:space="0" w:color="auto"/>
        <w:bottom w:val="none" w:sz="0" w:space="0" w:color="auto"/>
        <w:right w:val="none" w:sz="0" w:space="0" w:color="auto"/>
      </w:divBdr>
    </w:div>
    <w:div w:id="90900480">
      <w:bodyDiv w:val="1"/>
      <w:marLeft w:val="0"/>
      <w:marRight w:val="0"/>
      <w:marTop w:val="0"/>
      <w:marBottom w:val="0"/>
      <w:divBdr>
        <w:top w:val="none" w:sz="0" w:space="0" w:color="auto"/>
        <w:left w:val="none" w:sz="0" w:space="0" w:color="auto"/>
        <w:bottom w:val="none" w:sz="0" w:space="0" w:color="auto"/>
        <w:right w:val="none" w:sz="0" w:space="0" w:color="auto"/>
      </w:divBdr>
    </w:div>
    <w:div w:id="90904663">
      <w:bodyDiv w:val="1"/>
      <w:marLeft w:val="0"/>
      <w:marRight w:val="0"/>
      <w:marTop w:val="0"/>
      <w:marBottom w:val="0"/>
      <w:divBdr>
        <w:top w:val="none" w:sz="0" w:space="0" w:color="auto"/>
        <w:left w:val="none" w:sz="0" w:space="0" w:color="auto"/>
        <w:bottom w:val="none" w:sz="0" w:space="0" w:color="auto"/>
        <w:right w:val="none" w:sz="0" w:space="0" w:color="auto"/>
      </w:divBdr>
    </w:div>
    <w:div w:id="91123161">
      <w:bodyDiv w:val="1"/>
      <w:marLeft w:val="0"/>
      <w:marRight w:val="0"/>
      <w:marTop w:val="0"/>
      <w:marBottom w:val="0"/>
      <w:divBdr>
        <w:top w:val="none" w:sz="0" w:space="0" w:color="auto"/>
        <w:left w:val="none" w:sz="0" w:space="0" w:color="auto"/>
        <w:bottom w:val="none" w:sz="0" w:space="0" w:color="auto"/>
        <w:right w:val="none" w:sz="0" w:space="0" w:color="auto"/>
      </w:divBdr>
    </w:div>
    <w:div w:id="91123543">
      <w:bodyDiv w:val="1"/>
      <w:marLeft w:val="0"/>
      <w:marRight w:val="0"/>
      <w:marTop w:val="0"/>
      <w:marBottom w:val="0"/>
      <w:divBdr>
        <w:top w:val="none" w:sz="0" w:space="0" w:color="auto"/>
        <w:left w:val="none" w:sz="0" w:space="0" w:color="auto"/>
        <w:bottom w:val="none" w:sz="0" w:space="0" w:color="auto"/>
        <w:right w:val="none" w:sz="0" w:space="0" w:color="auto"/>
      </w:divBdr>
    </w:div>
    <w:div w:id="91124587">
      <w:bodyDiv w:val="1"/>
      <w:marLeft w:val="0"/>
      <w:marRight w:val="0"/>
      <w:marTop w:val="0"/>
      <w:marBottom w:val="0"/>
      <w:divBdr>
        <w:top w:val="none" w:sz="0" w:space="0" w:color="auto"/>
        <w:left w:val="none" w:sz="0" w:space="0" w:color="auto"/>
        <w:bottom w:val="none" w:sz="0" w:space="0" w:color="auto"/>
        <w:right w:val="none" w:sz="0" w:space="0" w:color="auto"/>
      </w:divBdr>
    </w:div>
    <w:div w:id="91127641">
      <w:bodyDiv w:val="1"/>
      <w:marLeft w:val="0"/>
      <w:marRight w:val="0"/>
      <w:marTop w:val="0"/>
      <w:marBottom w:val="0"/>
      <w:divBdr>
        <w:top w:val="none" w:sz="0" w:space="0" w:color="auto"/>
        <w:left w:val="none" w:sz="0" w:space="0" w:color="auto"/>
        <w:bottom w:val="none" w:sz="0" w:space="0" w:color="auto"/>
        <w:right w:val="none" w:sz="0" w:space="0" w:color="auto"/>
      </w:divBdr>
    </w:div>
    <w:div w:id="91169846">
      <w:bodyDiv w:val="1"/>
      <w:marLeft w:val="0"/>
      <w:marRight w:val="0"/>
      <w:marTop w:val="0"/>
      <w:marBottom w:val="0"/>
      <w:divBdr>
        <w:top w:val="none" w:sz="0" w:space="0" w:color="auto"/>
        <w:left w:val="none" w:sz="0" w:space="0" w:color="auto"/>
        <w:bottom w:val="none" w:sz="0" w:space="0" w:color="auto"/>
        <w:right w:val="none" w:sz="0" w:space="0" w:color="auto"/>
      </w:divBdr>
    </w:div>
    <w:div w:id="91359831">
      <w:bodyDiv w:val="1"/>
      <w:marLeft w:val="0"/>
      <w:marRight w:val="0"/>
      <w:marTop w:val="0"/>
      <w:marBottom w:val="0"/>
      <w:divBdr>
        <w:top w:val="none" w:sz="0" w:space="0" w:color="auto"/>
        <w:left w:val="none" w:sz="0" w:space="0" w:color="auto"/>
        <w:bottom w:val="none" w:sz="0" w:space="0" w:color="auto"/>
        <w:right w:val="none" w:sz="0" w:space="0" w:color="auto"/>
      </w:divBdr>
    </w:div>
    <w:div w:id="91436930">
      <w:bodyDiv w:val="1"/>
      <w:marLeft w:val="0"/>
      <w:marRight w:val="0"/>
      <w:marTop w:val="0"/>
      <w:marBottom w:val="0"/>
      <w:divBdr>
        <w:top w:val="none" w:sz="0" w:space="0" w:color="auto"/>
        <w:left w:val="none" w:sz="0" w:space="0" w:color="auto"/>
        <w:bottom w:val="none" w:sz="0" w:space="0" w:color="auto"/>
        <w:right w:val="none" w:sz="0" w:space="0" w:color="auto"/>
      </w:divBdr>
    </w:div>
    <w:div w:id="91442693">
      <w:bodyDiv w:val="1"/>
      <w:marLeft w:val="0"/>
      <w:marRight w:val="0"/>
      <w:marTop w:val="0"/>
      <w:marBottom w:val="0"/>
      <w:divBdr>
        <w:top w:val="none" w:sz="0" w:space="0" w:color="auto"/>
        <w:left w:val="none" w:sz="0" w:space="0" w:color="auto"/>
        <w:bottom w:val="none" w:sz="0" w:space="0" w:color="auto"/>
        <w:right w:val="none" w:sz="0" w:space="0" w:color="auto"/>
      </w:divBdr>
    </w:div>
    <w:div w:id="91515022">
      <w:bodyDiv w:val="1"/>
      <w:marLeft w:val="0"/>
      <w:marRight w:val="0"/>
      <w:marTop w:val="0"/>
      <w:marBottom w:val="0"/>
      <w:divBdr>
        <w:top w:val="none" w:sz="0" w:space="0" w:color="auto"/>
        <w:left w:val="none" w:sz="0" w:space="0" w:color="auto"/>
        <w:bottom w:val="none" w:sz="0" w:space="0" w:color="auto"/>
        <w:right w:val="none" w:sz="0" w:space="0" w:color="auto"/>
      </w:divBdr>
    </w:div>
    <w:div w:id="91516747">
      <w:bodyDiv w:val="1"/>
      <w:marLeft w:val="0"/>
      <w:marRight w:val="0"/>
      <w:marTop w:val="0"/>
      <w:marBottom w:val="0"/>
      <w:divBdr>
        <w:top w:val="none" w:sz="0" w:space="0" w:color="auto"/>
        <w:left w:val="none" w:sz="0" w:space="0" w:color="auto"/>
        <w:bottom w:val="none" w:sz="0" w:space="0" w:color="auto"/>
        <w:right w:val="none" w:sz="0" w:space="0" w:color="auto"/>
      </w:divBdr>
    </w:div>
    <w:div w:id="91558343">
      <w:bodyDiv w:val="1"/>
      <w:marLeft w:val="0"/>
      <w:marRight w:val="0"/>
      <w:marTop w:val="0"/>
      <w:marBottom w:val="0"/>
      <w:divBdr>
        <w:top w:val="none" w:sz="0" w:space="0" w:color="auto"/>
        <w:left w:val="none" w:sz="0" w:space="0" w:color="auto"/>
        <w:bottom w:val="none" w:sz="0" w:space="0" w:color="auto"/>
        <w:right w:val="none" w:sz="0" w:space="0" w:color="auto"/>
      </w:divBdr>
    </w:div>
    <w:div w:id="91706467">
      <w:bodyDiv w:val="1"/>
      <w:marLeft w:val="0"/>
      <w:marRight w:val="0"/>
      <w:marTop w:val="0"/>
      <w:marBottom w:val="0"/>
      <w:divBdr>
        <w:top w:val="none" w:sz="0" w:space="0" w:color="auto"/>
        <w:left w:val="none" w:sz="0" w:space="0" w:color="auto"/>
        <w:bottom w:val="none" w:sz="0" w:space="0" w:color="auto"/>
        <w:right w:val="none" w:sz="0" w:space="0" w:color="auto"/>
      </w:divBdr>
    </w:div>
    <w:div w:id="91975144">
      <w:bodyDiv w:val="1"/>
      <w:marLeft w:val="0"/>
      <w:marRight w:val="0"/>
      <w:marTop w:val="0"/>
      <w:marBottom w:val="0"/>
      <w:divBdr>
        <w:top w:val="none" w:sz="0" w:space="0" w:color="auto"/>
        <w:left w:val="none" w:sz="0" w:space="0" w:color="auto"/>
        <w:bottom w:val="none" w:sz="0" w:space="0" w:color="auto"/>
        <w:right w:val="none" w:sz="0" w:space="0" w:color="auto"/>
      </w:divBdr>
    </w:div>
    <w:div w:id="91979735">
      <w:bodyDiv w:val="1"/>
      <w:marLeft w:val="0"/>
      <w:marRight w:val="0"/>
      <w:marTop w:val="0"/>
      <w:marBottom w:val="0"/>
      <w:divBdr>
        <w:top w:val="none" w:sz="0" w:space="0" w:color="auto"/>
        <w:left w:val="none" w:sz="0" w:space="0" w:color="auto"/>
        <w:bottom w:val="none" w:sz="0" w:space="0" w:color="auto"/>
        <w:right w:val="none" w:sz="0" w:space="0" w:color="auto"/>
      </w:divBdr>
    </w:div>
    <w:div w:id="92014849">
      <w:bodyDiv w:val="1"/>
      <w:marLeft w:val="0"/>
      <w:marRight w:val="0"/>
      <w:marTop w:val="0"/>
      <w:marBottom w:val="0"/>
      <w:divBdr>
        <w:top w:val="none" w:sz="0" w:space="0" w:color="auto"/>
        <w:left w:val="none" w:sz="0" w:space="0" w:color="auto"/>
        <w:bottom w:val="none" w:sz="0" w:space="0" w:color="auto"/>
        <w:right w:val="none" w:sz="0" w:space="0" w:color="auto"/>
      </w:divBdr>
    </w:div>
    <w:div w:id="92022827">
      <w:bodyDiv w:val="1"/>
      <w:marLeft w:val="0"/>
      <w:marRight w:val="0"/>
      <w:marTop w:val="0"/>
      <w:marBottom w:val="0"/>
      <w:divBdr>
        <w:top w:val="none" w:sz="0" w:space="0" w:color="auto"/>
        <w:left w:val="none" w:sz="0" w:space="0" w:color="auto"/>
        <w:bottom w:val="none" w:sz="0" w:space="0" w:color="auto"/>
        <w:right w:val="none" w:sz="0" w:space="0" w:color="auto"/>
      </w:divBdr>
    </w:div>
    <w:div w:id="92091249">
      <w:bodyDiv w:val="1"/>
      <w:marLeft w:val="0"/>
      <w:marRight w:val="0"/>
      <w:marTop w:val="0"/>
      <w:marBottom w:val="0"/>
      <w:divBdr>
        <w:top w:val="none" w:sz="0" w:space="0" w:color="auto"/>
        <w:left w:val="none" w:sz="0" w:space="0" w:color="auto"/>
        <w:bottom w:val="none" w:sz="0" w:space="0" w:color="auto"/>
        <w:right w:val="none" w:sz="0" w:space="0" w:color="auto"/>
      </w:divBdr>
    </w:div>
    <w:div w:id="92091548">
      <w:bodyDiv w:val="1"/>
      <w:marLeft w:val="0"/>
      <w:marRight w:val="0"/>
      <w:marTop w:val="0"/>
      <w:marBottom w:val="0"/>
      <w:divBdr>
        <w:top w:val="none" w:sz="0" w:space="0" w:color="auto"/>
        <w:left w:val="none" w:sz="0" w:space="0" w:color="auto"/>
        <w:bottom w:val="none" w:sz="0" w:space="0" w:color="auto"/>
        <w:right w:val="none" w:sz="0" w:space="0" w:color="auto"/>
      </w:divBdr>
    </w:div>
    <w:div w:id="92164337">
      <w:bodyDiv w:val="1"/>
      <w:marLeft w:val="0"/>
      <w:marRight w:val="0"/>
      <w:marTop w:val="0"/>
      <w:marBottom w:val="0"/>
      <w:divBdr>
        <w:top w:val="none" w:sz="0" w:space="0" w:color="auto"/>
        <w:left w:val="none" w:sz="0" w:space="0" w:color="auto"/>
        <w:bottom w:val="none" w:sz="0" w:space="0" w:color="auto"/>
        <w:right w:val="none" w:sz="0" w:space="0" w:color="auto"/>
      </w:divBdr>
    </w:div>
    <w:div w:id="92167708">
      <w:bodyDiv w:val="1"/>
      <w:marLeft w:val="0"/>
      <w:marRight w:val="0"/>
      <w:marTop w:val="0"/>
      <w:marBottom w:val="0"/>
      <w:divBdr>
        <w:top w:val="none" w:sz="0" w:space="0" w:color="auto"/>
        <w:left w:val="none" w:sz="0" w:space="0" w:color="auto"/>
        <w:bottom w:val="none" w:sz="0" w:space="0" w:color="auto"/>
        <w:right w:val="none" w:sz="0" w:space="0" w:color="auto"/>
      </w:divBdr>
    </w:div>
    <w:div w:id="92210212">
      <w:bodyDiv w:val="1"/>
      <w:marLeft w:val="0"/>
      <w:marRight w:val="0"/>
      <w:marTop w:val="0"/>
      <w:marBottom w:val="0"/>
      <w:divBdr>
        <w:top w:val="none" w:sz="0" w:space="0" w:color="auto"/>
        <w:left w:val="none" w:sz="0" w:space="0" w:color="auto"/>
        <w:bottom w:val="none" w:sz="0" w:space="0" w:color="auto"/>
        <w:right w:val="none" w:sz="0" w:space="0" w:color="auto"/>
      </w:divBdr>
    </w:div>
    <w:div w:id="92288037">
      <w:bodyDiv w:val="1"/>
      <w:marLeft w:val="0"/>
      <w:marRight w:val="0"/>
      <w:marTop w:val="0"/>
      <w:marBottom w:val="0"/>
      <w:divBdr>
        <w:top w:val="none" w:sz="0" w:space="0" w:color="auto"/>
        <w:left w:val="none" w:sz="0" w:space="0" w:color="auto"/>
        <w:bottom w:val="none" w:sz="0" w:space="0" w:color="auto"/>
        <w:right w:val="none" w:sz="0" w:space="0" w:color="auto"/>
      </w:divBdr>
    </w:div>
    <w:div w:id="92363406">
      <w:bodyDiv w:val="1"/>
      <w:marLeft w:val="0"/>
      <w:marRight w:val="0"/>
      <w:marTop w:val="0"/>
      <w:marBottom w:val="0"/>
      <w:divBdr>
        <w:top w:val="none" w:sz="0" w:space="0" w:color="auto"/>
        <w:left w:val="none" w:sz="0" w:space="0" w:color="auto"/>
        <w:bottom w:val="none" w:sz="0" w:space="0" w:color="auto"/>
        <w:right w:val="none" w:sz="0" w:space="0" w:color="auto"/>
      </w:divBdr>
    </w:div>
    <w:div w:id="92484631">
      <w:bodyDiv w:val="1"/>
      <w:marLeft w:val="0"/>
      <w:marRight w:val="0"/>
      <w:marTop w:val="0"/>
      <w:marBottom w:val="0"/>
      <w:divBdr>
        <w:top w:val="none" w:sz="0" w:space="0" w:color="auto"/>
        <w:left w:val="none" w:sz="0" w:space="0" w:color="auto"/>
        <w:bottom w:val="none" w:sz="0" w:space="0" w:color="auto"/>
        <w:right w:val="none" w:sz="0" w:space="0" w:color="auto"/>
      </w:divBdr>
    </w:div>
    <w:div w:id="92555596">
      <w:bodyDiv w:val="1"/>
      <w:marLeft w:val="0"/>
      <w:marRight w:val="0"/>
      <w:marTop w:val="0"/>
      <w:marBottom w:val="0"/>
      <w:divBdr>
        <w:top w:val="none" w:sz="0" w:space="0" w:color="auto"/>
        <w:left w:val="none" w:sz="0" w:space="0" w:color="auto"/>
        <w:bottom w:val="none" w:sz="0" w:space="0" w:color="auto"/>
        <w:right w:val="none" w:sz="0" w:space="0" w:color="auto"/>
      </w:divBdr>
    </w:div>
    <w:div w:id="92674460">
      <w:bodyDiv w:val="1"/>
      <w:marLeft w:val="0"/>
      <w:marRight w:val="0"/>
      <w:marTop w:val="0"/>
      <w:marBottom w:val="0"/>
      <w:divBdr>
        <w:top w:val="none" w:sz="0" w:space="0" w:color="auto"/>
        <w:left w:val="none" w:sz="0" w:space="0" w:color="auto"/>
        <w:bottom w:val="none" w:sz="0" w:space="0" w:color="auto"/>
        <w:right w:val="none" w:sz="0" w:space="0" w:color="auto"/>
      </w:divBdr>
    </w:div>
    <w:div w:id="92826688">
      <w:bodyDiv w:val="1"/>
      <w:marLeft w:val="0"/>
      <w:marRight w:val="0"/>
      <w:marTop w:val="0"/>
      <w:marBottom w:val="0"/>
      <w:divBdr>
        <w:top w:val="none" w:sz="0" w:space="0" w:color="auto"/>
        <w:left w:val="none" w:sz="0" w:space="0" w:color="auto"/>
        <w:bottom w:val="none" w:sz="0" w:space="0" w:color="auto"/>
        <w:right w:val="none" w:sz="0" w:space="0" w:color="auto"/>
      </w:divBdr>
    </w:div>
    <w:div w:id="93063895">
      <w:bodyDiv w:val="1"/>
      <w:marLeft w:val="0"/>
      <w:marRight w:val="0"/>
      <w:marTop w:val="0"/>
      <w:marBottom w:val="0"/>
      <w:divBdr>
        <w:top w:val="none" w:sz="0" w:space="0" w:color="auto"/>
        <w:left w:val="none" w:sz="0" w:space="0" w:color="auto"/>
        <w:bottom w:val="none" w:sz="0" w:space="0" w:color="auto"/>
        <w:right w:val="none" w:sz="0" w:space="0" w:color="auto"/>
      </w:divBdr>
    </w:div>
    <w:div w:id="93093527">
      <w:bodyDiv w:val="1"/>
      <w:marLeft w:val="0"/>
      <w:marRight w:val="0"/>
      <w:marTop w:val="0"/>
      <w:marBottom w:val="0"/>
      <w:divBdr>
        <w:top w:val="none" w:sz="0" w:space="0" w:color="auto"/>
        <w:left w:val="none" w:sz="0" w:space="0" w:color="auto"/>
        <w:bottom w:val="none" w:sz="0" w:space="0" w:color="auto"/>
        <w:right w:val="none" w:sz="0" w:space="0" w:color="auto"/>
      </w:divBdr>
    </w:div>
    <w:div w:id="93208117">
      <w:bodyDiv w:val="1"/>
      <w:marLeft w:val="0"/>
      <w:marRight w:val="0"/>
      <w:marTop w:val="0"/>
      <w:marBottom w:val="0"/>
      <w:divBdr>
        <w:top w:val="none" w:sz="0" w:space="0" w:color="auto"/>
        <w:left w:val="none" w:sz="0" w:space="0" w:color="auto"/>
        <w:bottom w:val="none" w:sz="0" w:space="0" w:color="auto"/>
        <w:right w:val="none" w:sz="0" w:space="0" w:color="auto"/>
      </w:divBdr>
    </w:div>
    <w:div w:id="93481367">
      <w:bodyDiv w:val="1"/>
      <w:marLeft w:val="0"/>
      <w:marRight w:val="0"/>
      <w:marTop w:val="0"/>
      <w:marBottom w:val="0"/>
      <w:divBdr>
        <w:top w:val="none" w:sz="0" w:space="0" w:color="auto"/>
        <w:left w:val="none" w:sz="0" w:space="0" w:color="auto"/>
        <w:bottom w:val="none" w:sz="0" w:space="0" w:color="auto"/>
        <w:right w:val="none" w:sz="0" w:space="0" w:color="auto"/>
      </w:divBdr>
    </w:div>
    <w:div w:id="93482790">
      <w:bodyDiv w:val="1"/>
      <w:marLeft w:val="0"/>
      <w:marRight w:val="0"/>
      <w:marTop w:val="0"/>
      <w:marBottom w:val="0"/>
      <w:divBdr>
        <w:top w:val="none" w:sz="0" w:space="0" w:color="auto"/>
        <w:left w:val="none" w:sz="0" w:space="0" w:color="auto"/>
        <w:bottom w:val="none" w:sz="0" w:space="0" w:color="auto"/>
        <w:right w:val="none" w:sz="0" w:space="0" w:color="auto"/>
      </w:divBdr>
    </w:div>
    <w:div w:id="93483838">
      <w:bodyDiv w:val="1"/>
      <w:marLeft w:val="0"/>
      <w:marRight w:val="0"/>
      <w:marTop w:val="0"/>
      <w:marBottom w:val="0"/>
      <w:divBdr>
        <w:top w:val="none" w:sz="0" w:space="0" w:color="auto"/>
        <w:left w:val="none" w:sz="0" w:space="0" w:color="auto"/>
        <w:bottom w:val="none" w:sz="0" w:space="0" w:color="auto"/>
        <w:right w:val="none" w:sz="0" w:space="0" w:color="auto"/>
      </w:divBdr>
    </w:div>
    <w:div w:id="93594223">
      <w:bodyDiv w:val="1"/>
      <w:marLeft w:val="0"/>
      <w:marRight w:val="0"/>
      <w:marTop w:val="0"/>
      <w:marBottom w:val="0"/>
      <w:divBdr>
        <w:top w:val="none" w:sz="0" w:space="0" w:color="auto"/>
        <w:left w:val="none" w:sz="0" w:space="0" w:color="auto"/>
        <w:bottom w:val="none" w:sz="0" w:space="0" w:color="auto"/>
        <w:right w:val="none" w:sz="0" w:space="0" w:color="auto"/>
      </w:divBdr>
    </w:div>
    <w:div w:id="93675255">
      <w:bodyDiv w:val="1"/>
      <w:marLeft w:val="0"/>
      <w:marRight w:val="0"/>
      <w:marTop w:val="0"/>
      <w:marBottom w:val="0"/>
      <w:divBdr>
        <w:top w:val="none" w:sz="0" w:space="0" w:color="auto"/>
        <w:left w:val="none" w:sz="0" w:space="0" w:color="auto"/>
        <w:bottom w:val="none" w:sz="0" w:space="0" w:color="auto"/>
        <w:right w:val="none" w:sz="0" w:space="0" w:color="auto"/>
      </w:divBdr>
    </w:div>
    <w:div w:id="93677470">
      <w:bodyDiv w:val="1"/>
      <w:marLeft w:val="0"/>
      <w:marRight w:val="0"/>
      <w:marTop w:val="0"/>
      <w:marBottom w:val="0"/>
      <w:divBdr>
        <w:top w:val="none" w:sz="0" w:space="0" w:color="auto"/>
        <w:left w:val="none" w:sz="0" w:space="0" w:color="auto"/>
        <w:bottom w:val="none" w:sz="0" w:space="0" w:color="auto"/>
        <w:right w:val="none" w:sz="0" w:space="0" w:color="auto"/>
      </w:divBdr>
    </w:div>
    <w:div w:id="93913112">
      <w:bodyDiv w:val="1"/>
      <w:marLeft w:val="0"/>
      <w:marRight w:val="0"/>
      <w:marTop w:val="0"/>
      <w:marBottom w:val="0"/>
      <w:divBdr>
        <w:top w:val="none" w:sz="0" w:space="0" w:color="auto"/>
        <w:left w:val="none" w:sz="0" w:space="0" w:color="auto"/>
        <w:bottom w:val="none" w:sz="0" w:space="0" w:color="auto"/>
        <w:right w:val="none" w:sz="0" w:space="0" w:color="auto"/>
      </w:divBdr>
    </w:div>
    <w:div w:id="93979422">
      <w:bodyDiv w:val="1"/>
      <w:marLeft w:val="0"/>
      <w:marRight w:val="0"/>
      <w:marTop w:val="0"/>
      <w:marBottom w:val="0"/>
      <w:divBdr>
        <w:top w:val="none" w:sz="0" w:space="0" w:color="auto"/>
        <w:left w:val="none" w:sz="0" w:space="0" w:color="auto"/>
        <w:bottom w:val="none" w:sz="0" w:space="0" w:color="auto"/>
        <w:right w:val="none" w:sz="0" w:space="0" w:color="auto"/>
      </w:divBdr>
    </w:div>
    <w:div w:id="94060809">
      <w:bodyDiv w:val="1"/>
      <w:marLeft w:val="0"/>
      <w:marRight w:val="0"/>
      <w:marTop w:val="0"/>
      <w:marBottom w:val="0"/>
      <w:divBdr>
        <w:top w:val="none" w:sz="0" w:space="0" w:color="auto"/>
        <w:left w:val="none" w:sz="0" w:space="0" w:color="auto"/>
        <w:bottom w:val="none" w:sz="0" w:space="0" w:color="auto"/>
        <w:right w:val="none" w:sz="0" w:space="0" w:color="auto"/>
      </w:divBdr>
    </w:div>
    <w:div w:id="94063781">
      <w:bodyDiv w:val="1"/>
      <w:marLeft w:val="0"/>
      <w:marRight w:val="0"/>
      <w:marTop w:val="0"/>
      <w:marBottom w:val="0"/>
      <w:divBdr>
        <w:top w:val="none" w:sz="0" w:space="0" w:color="auto"/>
        <w:left w:val="none" w:sz="0" w:space="0" w:color="auto"/>
        <w:bottom w:val="none" w:sz="0" w:space="0" w:color="auto"/>
        <w:right w:val="none" w:sz="0" w:space="0" w:color="auto"/>
      </w:divBdr>
    </w:div>
    <w:div w:id="94179074">
      <w:bodyDiv w:val="1"/>
      <w:marLeft w:val="0"/>
      <w:marRight w:val="0"/>
      <w:marTop w:val="0"/>
      <w:marBottom w:val="0"/>
      <w:divBdr>
        <w:top w:val="none" w:sz="0" w:space="0" w:color="auto"/>
        <w:left w:val="none" w:sz="0" w:space="0" w:color="auto"/>
        <w:bottom w:val="none" w:sz="0" w:space="0" w:color="auto"/>
        <w:right w:val="none" w:sz="0" w:space="0" w:color="auto"/>
      </w:divBdr>
    </w:div>
    <w:div w:id="94332198">
      <w:bodyDiv w:val="1"/>
      <w:marLeft w:val="0"/>
      <w:marRight w:val="0"/>
      <w:marTop w:val="0"/>
      <w:marBottom w:val="0"/>
      <w:divBdr>
        <w:top w:val="none" w:sz="0" w:space="0" w:color="auto"/>
        <w:left w:val="none" w:sz="0" w:space="0" w:color="auto"/>
        <w:bottom w:val="none" w:sz="0" w:space="0" w:color="auto"/>
        <w:right w:val="none" w:sz="0" w:space="0" w:color="auto"/>
      </w:divBdr>
    </w:div>
    <w:div w:id="94374719">
      <w:bodyDiv w:val="1"/>
      <w:marLeft w:val="0"/>
      <w:marRight w:val="0"/>
      <w:marTop w:val="0"/>
      <w:marBottom w:val="0"/>
      <w:divBdr>
        <w:top w:val="none" w:sz="0" w:space="0" w:color="auto"/>
        <w:left w:val="none" w:sz="0" w:space="0" w:color="auto"/>
        <w:bottom w:val="none" w:sz="0" w:space="0" w:color="auto"/>
        <w:right w:val="none" w:sz="0" w:space="0" w:color="auto"/>
      </w:divBdr>
    </w:div>
    <w:div w:id="94446563">
      <w:bodyDiv w:val="1"/>
      <w:marLeft w:val="0"/>
      <w:marRight w:val="0"/>
      <w:marTop w:val="0"/>
      <w:marBottom w:val="0"/>
      <w:divBdr>
        <w:top w:val="none" w:sz="0" w:space="0" w:color="auto"/>
        <w:left w:val="none" w:sz="0" w:space="0" w:color="auto"/>
        <w:bottom w:val="none" w:sz="0" w:space="0" w:color="auto"/>
        <w:right w:val="none" w:sz="0" w:space="0" w:color="auto"/>
      </w:divBdr>
    </w:div>
    <w:div w:id="94448520">
      <w:bodyDiv w:val="1"/>
      <w:marLeft w:val="0"/>
      <w:marRight w:val="0"/>
      <w:marTop w:val="0"/>
      <w:marBottom w:val="0"/>
      <w:divBdr>
        <w:top w:val="none" w:sz="0" w:space="0" w:color="auto"/>
        <w:left w:val="none" w:sz="0" w:space="0" w:color="auto"/>
        <w:bottom w:val="none" w:sz="0" w:space="0" w:color="auto"/>
        <w:right w:val="none" w:sz="0" w:space="0" w:color="auto"/>
      </w:divBdr>
    </w:div>
    <w:div w:id="94450318">
      <w:bodyDiv w:val="1"/>
      <w:marLeft w:val="0"/>
      <w:marRight w:val="0"/>
      <w:marTop w:val="0"/>
      <w:marBottom w:val="0"/>
      <w:divBdr>
        <w:top w:val="none" w:sz="0" w:space="0" w:color="auto"/>
        <w:left w:val="none" w:sz="0" w:space="0" w:color="auto"/>
        <w:bottom w:val="none" w:sz="0" w:space="0" w:color="auto"/>
        <w:right w:val="none" w:sz="0" w:space="0" w:color="auto"/>
      </w:divBdr>
    </w:div>
    <w:div w:id="94521040">
      <w:bodyDiv w:val="1"/>
      <w:marLeft w:val="0"/>
      <w:marRight w:val="0"/>
      <w:marTop w:val="0"/>
      <w:marBottom w:val="0"/>
      <w:divBdr>
        <w:top w:val="none" w:sz="0" w:space="0" w:color="auto"/>
        <w:left w:val="none" w:sz="0" w:space="0" w:color="auto"/>
        <w:bottom w:val="none" w:sz="0" w:space="0" w:color="auto"/>
        <w:right w:val="none" w:sz="0" w:space="0" w:color="auto"/>
      </w:divBdr>
    </w:div>
    <w:div w:id="94525500">
      <w:bodyDiv w:val="1"/>
      <w:marLeft w:val="0"/>
      <w:marRight w:val="0"/>
      <w:marTop w:val="0"/>
      <w:marBottom w:val="0"/>
      <w:divBdr>
        <w:top w:val="none" w:sz="0" w:space="0" w:color="auto"/>
        <w:left w:val="none" w:sz="0" w:space="0" w:color="auto"/>
        <w:bottom w:val="none" w:sz="0" w:space="0" w:color="auto"/>
        <w:right w:val="none" w:sz="0" w:space="0" w:color="auto"/>
      </w:divBdr>
    </w:div>
    <w:div w:id="94597177">
      <w:bodyDiv w:val="1"/>
      <w:marLeft w:val="0"/>
      <w:marRight w:val="0"/>
      <w:marTop w:val="0"/>
      <w:marBottom w:val="0"/>
      <w:divBdr>
        <w:top w:val="none" w:sz="0" w:space="0" w:color="auto"/>
        <w:left w:val="none" w:sz="0" w:space="0" w:color="auto"/>
        <w:bottom w:val="none" w:sz="0" w:space="0" w:color="auto"/>
        <w:right w:val="none" w:sz="0" w:space="0" w:color="auto"/>
      </w:divBdr>
    </w:div>
    <w:div w:id="94710762">
      <w:bodyDiv w:val="1"/>
      <w:marLeft w:val="0"/>
      <w:marRight w:val="0"/>
      <w:marTop w:val="0"/>
      <w:marBottom w:val="0"/>
      <w:divBdr>
        <w:top w:val="none" w:sz="0" w:space="0" w:color="auto"/>
        <w:left w:val="none" w:sz="0" w:space="0" w:color="auto"/>
        <w:bottom w:val="none" w:sz="0" w:space="0" w:color="auto"/>
        <w:right w:val="none" w:sz="0" w:space="0" w:color="auto"/>
      </w:divBdr>
    </w:div>
    <w:div w:id="94716356">
      <w:bodyDiv w:val="1"/>
      <w:marLeft w:val="0"/>
      <w:marRight w:val="0"/>
      <w:marTop w:val="0"/>
      <w:marBottom w:val="0"/>
      <w:divBdr>
        <w:top w:val="none" w:sz="0" w:space="0" w:color="auto"/>
        <w:left w:val="none" w:sz="0" w:space="0" w:color="auto"/>
        <w:bottom w:val="none" w:sz="0" w:space="0" w:color="auto"/>
        <w:right w:val="none" w:sz="0" w:space="0" w:color="auto"/>
      </w:divBdr>
    </w:div>
    <w:div w:id="94790328">
      <w:bodyDiv w:val="1"/>
      <w:marLeft w:val="0"/>
      <w:marRight w:val="0"/>
      <w:marTop w:val="0"/>
      <w:marBottom w:val="0"/>
      <w:divBdr>
        <w:top w:val="none" w:sz="0" w:space="0" w:color="auto"/>
        <w:left w:val="none" w:sz="0" w:space="0" w:color="auto"/>
        <w:bottom w:val="none" w:sz="0" w:space="0" w:color="auto"/>
        <w:right w:val="none" w:sz="0" w:space="0" w:color="auto"/>
      </w:divBdr>
    </w:div>
    <w:div w:id="94985825">
      <w:bodyDiv w:val="1"/>
      <w:marLeft w:val="0"/>
      <w:marRight w:val="0"/>
      <w:marTop w:val="0"/>
      <w:marBottom w:val="0"/>
      <w:divBdr>
        <w:top w:val="none" w:sz="0" w:space="0" w:color="auto"/>
        <w:left w:val="none" w:sz="0" w:space="0" w:color="auto"/>
        <w:bottom w:val="none" w:sz="0" w:space="0" w:color="auto"/>
        <w:right w:val="none" w:sz="0" w:space="0" w:color="auto"/>
      </w:divBdr>
    </w:div>
    <w:div w:id="95103122">
      <w:bodyDiv w:val="1"/>
      <w:marLeft w:val="0"/>
      <w:marRight w:val="0"/>
      <w:marTop w:val="0"/>
      <w:marBottom w:val="0"/>
      <w:divBdr>
        <w:top w:val="none" w:sz="0" w:space="0" w:color="auto"/>
        <w:left w:val="none" w:sz="0" w:space="0" w:color="auto"/>
        <w:bottom w:val="none" w:sz="0" w:space="0" w:color="auto"/>
        <w:right w:val="none" w:sz="0" w:space="0" w:color="auto"/>
      </w:divBdr>
    </w:div>
    <w:div w:id="95177856">
      <w:bodyDiv w:val="1"/>
      <w:marLeft w:val="0"/>
      <w:marRight w:val="0"/>
      <w:marTop w:val="0"/>
      <w:marBottom w:val="0"/>
      <w:divBdr>
        <w:top w:val="none" w:sz="0" w:space="0" w:color="auto"/>
        <w:left w:val="none" w:sz="0" w:space="0" w:color="auto"/>
        <w:bottom w:val="none" w:sz="0" w:space="0" w:color="auto"/>
        <w:right w:val="none" w:sz="0" w:space="0" w:color="auto"/>
      </w:divBdr>
    </w:div>
    <w:div w:id="95178469">
      <w:bodyDiv w:val="1"/>
      <w:marLeft w:val="0"/>
      <w:marRight w:val="0"/>
      <w:marTop w:val="0"/>
      <w:marBottom w:val="0"/>
      <w:divBdr>
        <w:top w:val="none" w:sz="0" w:space="0" w:color="auto"/>
        <w:left w:val="none" w:sz="0" w:space="0" w:color="auto"/>
        <w:bottom w:val="none" w:sz="0" w:space="0" w:color="auto"/>
        <w:right w:val="none" w:sz="0" w:space="0" w:color="auto"/>
      </w:divBdr>
    </w:div>
    <w:div w:id="95179900">
      <w:bodyDiv w:val="1"/>
      <w:marLeft w:val="0"/>
      <w:marRight w:val="0"/>
      <w:marTop w:val="0"/>
      <w:marBottom w:val="0"/>
      <w:divBdr>
        <w:top w:val="none" w:sz="0" w:space="0" w:color="auto"/>
        <w:left w:val="none" w:sz="0" w:space="0" w:color="auto"/>
        <w:bottom w:val="none" w:sz="0" w:space="0" w:color="auto"/>
        <w:right w:val="none" w:sz="0" w:space="0" w:color="auto"/>
      </w:divBdr>
    </w:div>
    <w:div w:id="95247679">
      <w:bodyDiv w:val="1"/>
      <w:marLeft w:val="0"/>
      <w:marRight w:val="0"/>
      <w:marTop w:val="0"/>
      <w:marBottom w:val="0"/>
      <w:divBdr>
        <w:top w:val="none" w:sz="0" w:space="0" w:color="auto"/>
        <w:left w:val="none" w:sz="0" w:space="0" w:color="auto"/>
        <w:bottom w:val="none" w:sz="0" w:space="0" w:color="auto"/>
        <w:right w:val="none" w:sz="0" w:space="0" w:color="auto"/>
      </w:divBdr>
    </w:div>
    <w:div w:id="95290378">
      <w:bodyDiv w:val="1"/>
      <w:marLeft w:val="0"/>
      <w:marRight w:val="0"/>
      <w:marTop w:val="0"/>
      <w:marBottom w:val="0"/>
      <w:divBdr>
        <w:top w:val="none" w:sz="0" w:space="0" w:color="auto"/>
        <w:left w:val="none" w:sz="0" w:space="0" w:color="auto"/>
        <w:bottom w:val="none" w:sz="0" w:space="0" w:color="auto"/>
        <w:right w:val="none" w:sz="0" w:space="0" w:color="auto"/>
      </w:divBdr>
    </w:div>
    <w:div w:id="95488597">
      <w:bodyDiv w:val="1"/>
      <w:marLeft w:val="0"/>
      <w:marRight w:val="0"/>
      <w:marTop w:val="0"/>
      <w:marBottom w:val="0"/>
      <w:divBdr>
        <w:top w:val="none" w:sz="0" w:space="0" w:color="auto"/>
        <w:left w:val="none" w:sz="0" w:space="0" w:color="auto"/>
        <w:bottom w:val="none" w:sz="0" w:space="0" w:color="auto"/>
        <w:right w:val="none" w:sz="0" w:space="0" w:color="auto"/>
      </w:divBdr>
    </w:div>
    <w:div w:id="95490953">
      <w:bodyDiv w:val="1"/>
      <w:marLeft w:val="0"/>
      <w:marRight w:val="0"/>
      <w:marTop w:val="0"/>
      <w:marBottom w:val="0"/>
      <w:divBdr>
        <w:top w:val="none" w:sz="0" w:space="0" w:color="auto"/>
        <w:left w:val="none" w:sz="0" w:space="0" w:color="auto"/>
        <w:bottom w:val="none" w:sz="0" w:space="0" w:color="auto"/>
        <w:right w:val="none" w:sz="0" w:space="0" w:color="auto"/>
      </w:divBdr>
    </w:div>
    <w:div w:id="95634053">
      <w:bodyDiv w:val="1"/>
      <w:marLeft w:val="0"/>
      <w:marRight w:val="0"/>
      <w:marTop w:val="0"/>
      <w:marBottom w:val="0"/>
      <w:divBdr>
        <w:top w:val="none" w:sz="0" w:space="0" w:color="auto"/>
        <w:left w:val="none" w:sz="0" w:space="0" w:color="auto"/>
        <w:bottom w:val="none" w:sz="0" w:space="0" w:color="auto"/>
        <w:right w:val="none" w:sz="0" w:space="0" w:color="auto"/>
      </w:divBdr>
    </w:div>
    <w:div w:id="95642775">
      <w:bodyDiv w:val="1"/>
      <w:marLeft w:val="0"/>
      <w:marRight w:val="0"/>
      <w:marTop w:val="0"/>
      <w:marBottom w:val="0"/>
      <w:divBdr>
        <w:top w:val="none" w:sz="0" w:space="0" w:color="auto"/>
        <w:left w:val="none" w:sz="0" w:space="0" w:color="auto"/>
        <w:bottom w:val="none" w:sz="0" w:space="0" w:color="auto"/>
        <w:right w:val="none" w:sz="0" w:space="0" w:color="auto"/>
      </w:divBdr>
    </w:div>
    <w:div w:id="95832664">
      <w:bodyDiv w:val="1"/>
      <w:marLeft w:val="0"/>
      <w:marRight w:val="0"/>
      <w:marTop w:val="0"/>
      <w:marBottom w:val="0"/>
      <w:divBdr>
        <w:top w:val="none" w:sz="0" w:space="0" w:color="auto"/>
        <w:left w:val="none" w:sz="0" w:space="0" w:color="auto"/>
        <w:bottom w:val="none" w:sz="0" w:space="0" w:color="auto"/>
        <w:right w:val="none" w:sz="0" w:space="0" w:color="auto"/>
      </w:divBdr>
    </w:div>
    <w:div w:id="95907195">
      <w:bodyDiv w:val="1"/>
      <w:marLeft w:val="0"/>
      <w:marRight w:val="0"/>
      <w:marTop w:val="0"/>
      <w:marBottom w:val="0"/>
      <w:divBdr>
        <w:top w:val="none" w:sz="0" w:space="0" w:color="auto"/>
        <w:left w:val="none" w:sz="0" w:space="0" w:color="auto"/>
        <w:bottom w:val="none" w:sz="0" w:space="0" w:color="auto"/>
        <w:right w:val="none" w:sz="0" w:space="0" w:color="auto"/>
      </w:divBdr>
    </w:div>
    <w:div w:id="95910955">
      <w:bodyDiv w:val="1"/>
      <w:marLeft w:val="0"/>
      <w:marRight w:val="0"/>
      <w:marTop w:val="0"/>
      <w:marBottom w:val="0"/>
      <w:divBdr>
        <w:top w:val="none" w:sz="0" w:space="0" w:color="auto"/>
        <w:left w:val="none" w:sz="0" w:space="0" w:color="auto"/>
        <w:bottom w:val="none" w:sz="0" w:space="0" w:color="auto"/>
        <w:right w:val="none" w:sz="0" w:space="0" w:color="auto"/>
      </w:divBdr>
    </w:div>
    <w:div w:id="96026170">
      <w:bodyDiv w:val="1"/>
      <w:marLeft w:val="0"/>
      <w:marRight w:val="0"/>
      <w:marTop w:val="0"/>
      <w:marBottom w:val="0"/>
      <w:divBdr>
        <w:top w:val="none" w:sz="0" w:space="0" w:color="auto"/>
        <w:left w:val="none" w:sz="0" w:space="0" w:color="auto"/>
        <w:bottom w:val="none" w:sz="0" w:space="0" w:color="auto"/>
        <w:right w:val="none" w:sz="0" w:space="0" w:color="auto"/>
      </w:divBdr>
    </w:div>
    <w:div w:id="96098458">
      <w:bodyDiv w:val="1"/>
      <w:marLeft w:val="0"/>
      <w:marRight w:val="0"/>
      <w:marTop w:val="0"/>
      <w:marBottom w:val="0"/>
      <w:divBdr>
        <w:top w:val="none" w:sz="0" w:space="0" w:color="auto"/>
        <w:left w:val="none" w:sz="0" w:space="0" w:color="auto"/>
        <w:bottom w:val="none" w:sz="0" w:space="0" w:color="auto"/>
        <w:right w:val="none" w:sz="0" w:space="0" w:color="auto"/>
      </w:divBdr>
    </w:div>
    <w:div w:id="96172010">
      <w:bodyDiv w:val="1"/>
      <w:marLeft w:val="0"/>
      <w:marRight w:val="0"/>
      <w:marTop w:val="0"/>
      <w:marBottom w:val="0"/>
      <w:divBdr>
        <w:top w:val="none" w:sz="0" w:space="0" w:color="auto"/>
        <w:left w:val="none" w:sz="0" w:space="0" w:color="auto"/>
        <w:bottom w:val="none" w:sz="0" w:space="0" w:color="auto"/>
        <w:right w:val="none" w:sz="0" w:space="0" w:color="auto"/>
      </w:divBdr>
    </w:div>
    <w:div w:id="96221852">
      <w:bodyDiv w:val="1"/>
      <w:marLeft w:val="0"/>
      <w:marRight w:val="0"/>
      <w:marTop w:val="0"/>
      <w:marBottom w:val="0"/>
      <w:divBdr>
        <w:top w:val="none" w:sz="0" w:space="0" w:color="auto"/>
        <w:left w:val="none" w:sz="0" w:space="0" w:color="auto"/>
        <w:bottom w:val="none" w:sz="0" w:space="0" w:color="auto"/>
        <w:right w:val="none" w:sz="0" w:space="0" w:color="auto"/>
      </w:divBdr>
    </w:div>
    <w:div w:id="96292909">
      <w:bodyDiv w:val="1"/>
      <w:marLeft w:val="0"/>
      <w:marRight w:val="0"/>
      <w:marTop w:val="0"/>
      <w:marBottom w:val="0"/>
      <w:divBdr>
        <w:top w:val="none" w:sz="0" w:space="0" w:color="auto"/>
        <w:left w:val="none" w:sz="0" w:space="0" w:color="auto"/>
        <w:bottom w:val="none" w:sz="0" w:space="0" w:color="auto"/>
        <w:right w:val="none" w:sz="0" w:space="0" w:color="auto"/>
      </w:divBdr>
    </w:div>
    <w:div w:id="96295787">
      <w:bodyDiv w:val="1"/>
      <w:marLeft w:val="0"/>
      <w:marRight w:val="0"/>
      <w:marTop w:val="0"/>
      <w:marBottom w:val="0"/>
      <w:divBdr>
        <w:top w:val="none" w:sz="0" w:space="0" w:color="auto"/>
        <w:left w:val="none" w:sz="0" w:space="0" w:color="auto"/>
        <w:bottom w:val="none" w:sz="0" w:space="0" w:color="auto"/>
        <w:right w:val="none" w:sz="0" w:space="0" w:color="auto"/>
      </w:divBdr>
    </w:div>
    <w:div w:id="96415231">
      <w:bodyDiv w:val="1"/>
      <w:marLeft w:val="0"/>
      <w:marRight w:val="0"/>
      <w:marTop w:val="0"/>
      <w:marBottom w:val="0"/>
      <w:divBdr>
        <w:top w:val="none" w:sz="0" w:space="0" w:color="auto"/>
        <w:left w:val="none" w:sz="0" w:space="0" w:color="auto"/>
        <w:bottom w:val="none" w:sz="0" w:space="0" w:color="auto"/>
        <w:right w:val="none" w:sz="0" w:space="0" w:color="auto"/>
      </w:divBdr>
    </w:div>
    <w:div w:id="96415750">
      <w:bodyDiv w:val="1"/>
      <w:marLeft w:val="0"/>
      <w:marRight w:val="0"/>
      <w:marTop w:val="0"/>
      <w:marBottom w:val="0"/>
      <w:divBdr>
        <w:top w:val="none" w:sz="0" w:space="0" w:color="auto"/>
        <w:left w:val="none" w:sz="0" w:space="0" w:color="auto"/>
        <w:bottom w:val="none" w:sz="0" w:space="0" w:color="auto"/>
        <w:right w:val="none" w:sz="0" w:space="0" w:color="auto"/>
      </w:divBdr>
    </w:div>
    <w:div w:id="96491434">
      <w:bodyDiv w:val="1"/>
      <w:marLeft w:val="0"/>
      <w:marRight w:val="0"/>
      <w:marTop w:val="0"/>
      <w:marBottom w:val="0"/>
      <w:divBdr>
        <w:top w:val="none" w:sz="0" w:space="0" w:color="auto"/>
        <w:left w:val="none" w:sz="0" w:space="0" w:color="auto"/>
        <w:bottom w:val="none" w:sz="0" w:space="0" w:color="auto"/>
        <w:right w:val="none" w:sz="0" w:space="0" w:color="auto"/>
      </w:divBdr>
    </w:div>
    <w:div w:id="96603039">
      <w:bodyDiv w:val="1"/>
      <w:marLeft w:val="0"/>
      <w:marRight w:val="0"/>
      <w:marTop w:val="0"/>
      <w:marBottom w:val="0"/>
      <w:divBdr>
        <w:top w:val="none" w:sz="0" w:space="0" w:color="auto"/>
        <w:left w:val="none" w:sz="0" w:space="0" w:color="auto"/>
        <w:bottom w:val="none" w:sz="0" w:space="0" w:color="auto"/>
        <w:right w:val="none" w:sz="0" w:space="0" w:color="auto"/>
      </w:divBdr>
    </w:div>
    <w:div w:id="96605780">
      <w:bodyDiv w:val="1"/>
      <w:marLeft w:val="0"/>
      <w:marRight w:val="0"/>
      <w:marTop w:val="0"/>
      <w:marBottom w:val="0"/>
      <w:divBdr>
        <w:top w:val="none" w:sz="0" w:space="0" w:color="auto"/>
        <w:left w:val="none" w:sz="0" w:space="0" w:color="auto"/>
        <w:bottom w:val="none" w:sz="0" w:space="0" w:color="auto"/>
        <w:right w:val="none" w:sz="0" w:space="0" w:color="auto"/>
      </w:divBdr>
    </w:div>
    <w:div w:id="96681744">
      <w:bodyDiv w:val="1"/>
      <w:marLeft w:val="0"/>
      <w:marRight w:val="0"/>
      <w:marTop w:val="0"/>
      <w:marBottom w:val="0"/>
      <w:divBdr>
        <w:top w:val="none" w:sz="0" w:space="0" w:color="auto"/>
        <w:left w:val="none" w:sz="0" w:space="0" w:color="auto"/>
        <w:bottom w:val="none" w:sz="0" w:space="0" w:color="auto"/>
        <w:right w:val="none" w:sz="0" w:space="0" w:color="auto"/>
      </w:divBdr>
    </w:div>
    <w:div w:id="96797248">
      <w:bodyDiv w:val="1"/>
      <w:marLeft w:val="0"/>
      <w:marRight w:val="0"/>
      <w:marTop w:val="0"/>
      <w:marBottom w:val="0"/>
      <w:divBdr>
        <w:top w:val="none" w:sz="0" w:space="0" w:color="auto"/>
        <w:left w:val="none" w:sz="0" w:space="0" w:color="auto"/>
        <w:bottom w:val="none" w:sz="0" w:space="0" w:color="auto"/>
        <w:right w:val="none" w:sz="0" w:space="0" w:color="auto"/>
      </w:divBdr>
    </w:div>
    <w:div w:id="96801567">
      <w:bodyDiv w:val="1"/>
      <w:marLeft w:val="0"/>
      <w:marRight w:val="0"/>
      <w:marTop w:val="0"/>
      <w:marBottom w:val="0"/>
      <w:divBdr>
        <w:top w:val="none" w:sz="0" w:space="0" w:color="auto"/>
        <w:left w:val="none" w:sz="0" w:space="0" w:color="auto"/>
        <w:bottom w:val="none" w:sz="0" w:space="0" w:color="auto"/>
        <w:right w:val="none" w:sz="0" w:space="0" w:color="auto"/>
      </w:divBdr>
    </w:div>
    <w:div w:id="96802670">
      <w:bodyDiv w:val="1"/>
      <w:marLeft w:val="0"/>
      <w:marRight w:val="0"/>
      <w:marTop w:val="0"/>
      <w:marBottom w:val="0"/>
      <w:divBdr>
        <w:top w:val="none" w:sz="0" w:space="0" w:color="auto"/>
        <w:left w:val="none" w:sz="0" w:space="0" w:color="auto"/>
        <w:bottom w:val="none" w:sz="0" w:space="0" w:color="auto"/>
        <w:right w:val="none" w:sz="0" w:space="0" w:color="auto"/>
      </w:divBdr>
    </w:div>
    <w:div w:id="96874973">
      <w:bodyDiv w:val="1"/>
      <w:marLeft w:val="0"/>
      <w:marRight w:val="0"/>
      <w:marTop w:val="0"/>
      <w:marBottom w:val="0"/>
      <w:divBdr>
        <w:top w:val="none" w:sz="0" w:space="0" w:color="auto"/>
        <w:left w:val="none" w:sz="0" w:space="0" w:color="auto"/>
        <w:bottom w:val="none" w:sz="0" w:space="0" w:color="auto"/>
        <w:right w:val="none" w:sz="0" w:space="0" w:color="auto"/>
      </w:divBdr>
    </w:div>
    <w:div w:id="96950970">
      <w:bodyDiv w:val="1"/>
      <w:marLeft w:val="0"/>
      <w:marRight w:val="0"/>
      <w:marTop w:val="0"/>
      <w:marBottom w:val="0"/>
      <w:divBdr>
        <w:top w:val="none" w:sz="0" w:space="0" w:color="auto"/>
        <w:left w:val="none" w:sz="0" w:space="0" w:color="auto"/>
        <w:bottom w:val="none" w:sz="0" w:space="0" w:color="auto"/>
        <w:right w:val="none" w:sz="0" w:space="0" w:color="auto"/>
      </w:divBdr>
    </w:div>
    <w:div w:id="96995604">
      <w:bodyDiv w:val="1"/>
      <w:marLeft w:val="0"/>
      <w:marRight w:val="0"/>
      <w:marTop w:val="0"/>
      <w:marBottom w:val="0"/>
      <w:divBdr>
        <w:top w:val="none" w:sz="0" w:space="0" w:color="auto"/>
        <w:left w:val="none" w:sz="0" w:space="0" w:color="auto"/>
        <w:bottom w:val="none" w:sz="0" w:space="0" w:color="auto"/>
        <w:right w:val="none" w:sz="0" w:space="0" w:color="auto"/>
      </w:divBdr>
    </w:div>
    <w:div w:id="97066084">
      <w:bodyDiv w:val="1"/>
      <w:marLeft w:val="0"/>
      <w:marRight w:val="0"/>
      <w:marTop w:val="0"/>
      <w:marBottom w:val="0"/>
      <w:divBdr>
        <w:top w:val="none" w:sz="0" w:space="0" w:color="auto"/>
        <w:left w:val="none" w:sz="0" w:space="0" w:color="auto"/>
        <w:bottom w:val="none" w:sz="0" w:space="0" w:color="auto"/>
        <w:right w:val="none" w:sz="0" w:space="0" w:color="auto"/>
      </w:divBdr>
    </w:div>
    <w:div w:id="97139576">
      <w:bodyDiv w:val="1"/>
      <w:marLeft w:val="0"/>
      <w:marRight w:val="0"/>
      <w:marTop w:val="0"/>
      <w:marBottom w:val="0"/>
      <w:divBdr>
        <w:top w:val="none" w:sz="0" w:space="0" w:color="auto"/>
        <w:left w:val="none" w:sz="0" w:space="0" w:color="auto"/>
        <w:bottom w:val="none" w:sz="0" w:space="0" w:color="auto"/>
        <w:right w:val="none" w:sz="0" w:space="0" w:color="auto"/>
      </w:divBdr>
    </w:div>
    <w:div w:id="97141765">
      <w:bodyDiv w:val="1"/>
      <w:marLeft w:val="0"/>
      <w:marRight w:val="0"/>
      <w:marTop w:val="0"/>
      <w:marBottom w:val="0"/>
      <w:divBdr>
        <w:top w:val="none" w:sz="0" w:space="0" w:color="auto"/>
        <w:left w:val="none" w:sz="0" w:space="0" w:color="auto"/>
        <w:bottom w:val="none" w:sz="0" w:space="0" w:color="auto"/>
        <w:right w:val="none" w:sz="0" w:space="0" w:color="auto"/>
      </w:divBdr>
    </w:div>
    <w:div w:id="97256246">
      <w:bodyDiv w:val="1"/>
      <w:marLeft w:val="0"/>
      <w:marRight w:val="0"/>
      <w:marTop w:val="0"/>
      <w:marBottom w:val="0"/>
      <w:divBdr>
        <w:top w:val="none" w:sz="0" w:space="0" w:color="auto"/>
        <w:left w:val="none" w:sz="0" w:space="0" w:color="auto"/>
        <w:bottom w:val="none" w:sz="0" w:space="0" w:color="auto"/>
        <w:right w:val="none" w:sz="0" w:space="0" w:color="auto"/>
      </w:divBdr>
    </w:div>
    <w:div w:id="97258358">
      <w:bodyDiv w:val="1"/>
      <w:marLeft w:val="0"/>
      <w:marRight w:val="0"/>
      <w:marTop w:val="0"/>
      <w:marBottom w:val="0"/>
      <w:divBdr>
        <w:top w:val="none" w:sz="0" w:space="0" w:color="auto"/>
        <w:left w:val="none" w:sz="0" w:space="0" w:color="auto"/>
        <w:bottom w:val="none" w:sz="0" w:space="0" w:color="auto"/>
        <w:right w:val="none" w:sz="0" w:space="0" w:color="auto"/>
      </w:divBdr>
    </w:div>
    <w:div w:id="97262489">
      <w:bodyDiv w:val="1"/>
      <w:marLeft w:val="0"/>
      <w:marRight w:val="0"/>
      <w:marTop w:val="0"/>
      <w:marBottom w:val="0"/>
      <w:divBdr>
        <w:top w:val="none" w:sz="0" w:space="0" w:color="auto"/>
        <w:left w:val="none" w:sz="0" w:space="0" w:color="auto"/>
        <w:bottom w:val="none" w:sz="0" w:space="0" w:color="auto"/>
        <w:right w:val="none" w:sz="0" w:space="0" w:color="auto"/>
      </w:divBdr>
    </w:div>
    <w:div w:id="97264184">
      <w:bodyDiv w:val="1"/>
      <w:marLeft w:val="0"/>
      <w:marRight w:val="0"/>
      <w:marTop w:val="0"/>
      <w:marBottom w:val="0"/>
      <w:divBdr>
        <w:top w:val="none" w:sz="0" w:space="0" w:color="auto"/>
        <w:left w:val="none" w:sz="0" w:space="0" w:color="auto"/>
        <w:bottom w:val="none" w:sz="0" w:space="0" w:color="auto"/>
        <w:right w:val="none" w:sz="0" w:space="0" w:color="auto"/>
      </w:divBdr>
    </w:div>
    <w:div w:id="97264828">
      <w:bodyDiv w:val="1"/>
      <w:marLeft w:val="0"/>
      <w:marRight w:val="0"/>
      <w:marTop w:val="0"/>
      <w:marBottom w:val="0"/>
      <w:divBdr>
        <w:top w:val="none" w:sz="0" w:space="0" w:color="auto"/>
        <w:left w:val="none" w:sz="0" w:space="0" w:color="auto"/>
        <w:bottom w:val="none" w:sz="0" w:space="0" w:color="auto"/>
        <w:right w:val="none" w:sz="0" w:space="0" w:color="auto"/>
      </w:divBdr>
    </w:div>
    <w:div w:id="97340305">
      <w:bodyDiv w:val="1"/>
      <w:marLeft w:val="0"/>
      <w:marRight w:val="0"/>
      <w:marTop w:val="0"/>
      <w:marBottom w:val="0"/>
      <w:divBdr>
        <w:top w:val="none" w:sz="0" w:space="0" w:color="auto"/>
        <w:left w:val="none" w:sz="0" w:space="0" w:color="auto"/>
        <w:bottom w:val="none" w:sz="0" w:space="0" w:color="auto"/>
        <w:right w:val="none" w:sz="0" w:space="0" w:color="auto"/>
      </w:divBdr>
    </w:div>
    <w:div w:id="97407722">
      <w:bodyDiv w:val="1"/>
      <w:marLeft w:val="0"/>
      <w:marRight w:val="0"/>
      <w:marTop w:val="0"/>
      <w:marBottom w:val="0"/>
      <w:divBdr>
        <w:top w:val="none" w:sz="0" w:space="0" w:color="auto"/>
        <w:left w:val="none" w:sz="0" w:space="0" w:color="auto"/>
        <w:bottom w:val="none" w:sz="0" w:space="0" w:color="auto"/>
        <w:right w:val="none" w:sz="0" w:space="0" w:color="auto"/>
      </w:divBdr>
    </w:div>
    <w:div w:id="97452397">
      <w:bodyDiv w:val="1"/>
      <w:marLeft w:val="0"/>
      <w:marRight w:val="0"/>
      <w:marTop w:val="0"/>
      <w:marBottom w:val="0"/>
      <w:divBdr>
        <w:top w:val="none" w:sz="0" w:space="0" w:color="auto"/>
        <w:left w:val="none" w:sz="0" w:space="0" w:color="auto"/>
        <w:bottom w:val="none" w:sz="0" w:space="0" w:color="auto"/>
        <w:right w:val="none" w:sz="0" w:space="0" w:color="auto"/>
      </w:divBdr>
    </w:div>
    <w:div w:id="97456278">
      <w:bodyDiv w:val="1"/>
      <w:marLeft w:val="0"/>
      <w:marRight w:val="0"/>
      <w:marTop w:val="0"/>
      <w:marBottom w:val="0"/>
      <w:divBdr>
        <w:top w:val="none" w:sz="0" w:space="0" w:color="auto"/>
        <w:left w:val="none" w:sz="0" w:space="0" w:color="auto"/>
        <w:bottom w:val="none" w:sz="0" w:space="0" w:color="auto"/>
        <w:right w:val="none" w:sz="0" w:space="0" w:color="auto"/>
      </w:divBdr>
    </w:div>
    <w:div w:id="97457466">
      <w:bodyDiv w:val="1"/>
      <w:marLeft w:val="0"/>
      <w:marRight w:val="0"/>
      <w:marTop w:val="0"/>
      <w:marBottom w:val="0"/>
      <w:divBdr>
        <w:top w:val="none" w:sz="0" w:space="0" w:color="auto"/>
        <w:left w:val="none" w:sz="0" w:space="0" w:color="auto"/>
        <w:bottom w:val="none" w:sz="0" w:space="0" w:color="auto"/>
        <w:right w:val="none" w:sz="0" w:space="0" w:color="auto"/>
      </w:divBdr>
    </w:div>
    <w:div w:id="97721468">
      <w:bodyDiv w:val="1"/>
      <w:marLeft w:val="0"/>
      <w:marRight w:val="0"/>
      <w:marTop w:val="0"/>
      <w:marBottom w:val="0"/>
      <w:divBdr>
        <w:top w:val="none" w:sz="0" w:space="0" w:color="auto"/>
        <w:left w:val="none" w:sz="0" w:space="0" w:color="auto"/>
        <w:bottom w:val="none" w:sz="0" w:space="0" w:color="auto"/>
        <w:right w:val="none" w:sz="0" w:space="0" w:color="auto"/>
      </w:divBdr>
    </w:div>
    <w:div w:id="97911684">
      <w:bodyDiv w:val="1"/>
      <w:marLeft w:val="0"/>
      <w:marRight w:val="0"/>
      <w:marTop w:val="0"/>
      <w:marBottom w:val="0"/>
      <w:divBdr>
        <w:top w:val="none" w:sz="0" w:space="0" w:color="auto"/>
        <w:left w:val="none" w:sz="0" w:space="0" w:color="auto"/>
        <w:bottom w:val="none" w:sz="0" w:space="0" w:color="auto"/>
        <w:right w:val="none" w:sz="0" w:space="0" w:color="auto"/>
      </w:divBdr>
    </w:div>
    <w:div w:id="98062490">
      <w:bodyDiv w:val="1"/>
      <w:marLeft w:val="0"/>
      <w:marRight w:val="0"/>
      <w:marTop w:val="0"/>
      <w:marBottom w:val="0"/>
      <w:divBdr>
        <w:top w:val="none" w:sz="0" w:space="0" w:color="auto"/>
        <w:left w:val="none" w:sz="0" w:space="0" w:color="auto"/>
        <w:bottom w:val="none" w:sz="0" w:space="0" w:color="auto"/>
        <w:right w:val="none" w:sz="0" w:space="0" w:color="auto"/>
      </w:divBdr>
    </w:div>
    <w:div w:id="98068324">
      <w:bodyDiv w:val="1"/>
      <w:marLeft w:val="0"/>
      <w:marRight w:val="0"/>
      <w:marTop w:val="0"/>
      <w:marBottom w:val="0"/>
      <w:divBdr>
        <w:top w:val="none" w:sz="0" w:space="0" w:color="auto"/>
        <w:left w:val="none" w:sz="0" w:space="0" w:color="auto"/>
        <w:bottom w:val="none" w:sz="0" w:space="0" w:color="auto"/>
        <w:right w:val="none" w:sz="0" w:space="0" w:color="auto"/>
      </w:divBdr>
    </w:div>
    <w:div w:id="98107606">
      <w:bodyDiv w:val="1"/>
      <w:marLeft w:val="0"/>
      <w:marRight w:val="0"/>
      <w:marTop w:val="0"/>
      <w:marBottom w:val="0"/>
      <w:divBdr>
        <w:top w:val="none" w:sz="0" w:space="0" w:color="auto"/>
        <w:left w:val="none" w:sz="0" w:space="0" w:color="auto"/>
        <w:bottom w:val="none" w:sz="0" w:space="0" w:color="auto"/>
        <w:right w:val="none" w:sz="0" w:space="0" w:color="auto"/>
      </w:divBdr>
    </w:div>
    <w:div w:id="98110890">
      <w:bodyDiv w:val="1"/>
      <w:marLeft w:val="0"/>
      <w:marRight w:val="0"/>
      <w:marTop w:val="0"/>
      <w:marBottom w:val="0"/>
      <w:divBdr>
        <w:top w:val="none" w:sz="0" w:space="0" w:color="auto"/>
        <w:left w:val="none" w:sz="0" w:space="0" w:color="auto"/>
        <w:bottom w:val="none" w:sz="0" w:space="0" w:color="auto"/>
        <w:right w:val="none" w:sz="0" w:space="0" w:color="auto"/>
      </w:divBdr>
    </w:div>
    <w:div w:id="98111133">
      <w:bodyDiv w:val="1"/>
      <w:marLeft w:val="0"/>
      <w:marRight w:val="0"/>
      <w:marTop w:val="0"/>
      <w:marBottom w:val="0"/>
      <w:divBdr>
        <w:top w:val="none" w:sz="0" w:space="0" w:color="auto"/>
        <w:left w:val="none" w:sz="0" w:space="0" w:color="auto"/>
        <w:bottom w:val="none" w:sz="0" w:space="0" w:color="auto"/>
        <w:right w:val="none" w:sz="0" w:space="0" w:color="auto"/>
      </w:divBdr>
    </w:div>
    <w:div w:id="98378394">
      <w:bodyDiv w:val="1"/>
      <w:marLeft w:val="0"/>
      <w:marRight w:val="0"/>
      <w:marTop w:val="0"/>
      <w:marBottom w:val="0"/>
      <w:divBdr>
        <w:top w:val="none" w:sz="0" w:space="0" w:color="auto"/>
        <w:left w:val="none" w:sz="0" w:space="0" w:color="auto"/>
        <w:bottom w:val="none" w:sz="0" w:space="0" w:color="auto"/>
        <w:right w:val="none" w:sz="0" w:space="0" w:color="auto"/>
      </w:divBdr>
    </w:div>
    <w:div w:id="98451510">
      <w:bodyDiv w:val="1"/>
      <w:marLeft w:val="0"/>
      <w:marRight w:val="0"/>
      <w:marTop w:val="0"/>
      <w:marBottom w:val="0"/>
      <w:divBdr>
        <w:top w:val="none" w:sz="0" w:space="0" w:color="auto"/>
        <w:left w:val="none" w:sz="0" w:space="0" w:color="auto"/>
        <w:bottom w:val="none" w:sz="0" w:space="0" w:color="auto"/>
        <w:right w:val="none" w:sz="0" w:space="0" w:color="auto"/>
      </w:divBdr>
    </w:div>
    <w:div w:id="98455590">
      <w:bodyDiv w:val="1"/>
      <w:marLeft w:val="0"/>
      <w:marRight w:val="0"/>
      <w:marTop w:val="0"/>
      <w:marBottom w:val="0"/>
      <w:divBdr>
        <w:top w:val="none" w:sz="0" w:space="0" w:color="auto"/>
        <w:left w:val="none" w:sz="0" w:space="0" w:color="auto"/>
        <w:bottom w:val="none" w:sz="0" w:space="0" w:color="auto"/>
        <w:right w:val="none" w:sz="0" w:space="0" w:color="auto"/>
      </w:divBdr>
    </w:div>
    <w:div w:id="98456712">
      <w:bodyDiv w:val="1"/>
      <w:marLeft w:val="0"/>
      <w:marRight w:val="0"/>
      <w:marTop w:val="0"/>
      <w:marBottom w:val="0"/>
      <w:divBdr>
        <w:top w:val="none" w:sz="0" w:space="0" w:color="auto"/>
        <w:left w:val="none" w:sz="0" w:space="0" w:color="auto"/>
        <w:bottom w:val="none" w:sz="0" w:space="0" w:color="auto"/>
        <w:right w:val="none" w:sz="0" w:space="0" w:color="auto"/>
      </w:divBdr>
    </w:div>
    <w:div w:id="98525600">
      <w:bodyDiv w:val="1"/>
      <w:marLeft w:val="0"/>
      <w:marRight w:val="0"/>
      <w:marTop w:val="0"/>
      <w:marBottom w:val="0"/>
      <w:divBdr>
        <w:top w:val="none" w:sz="0" w:space="0" w:color="auto"/>
        <w:left w:val="none" w:sz="0" w:space="0" w:color="auto"/>
        <w:bottom w:val="none" w:sz="0" w:space="0" w:color="auto"/>
        <w:right w:val="none" w:sz="0" w:space="0" w:color="auto"/>
      </w:divBdr>
    </w:div>
    <w:div w:id="98532387">
      <w:bodyDiv w:val="1"/>
      <w:marLeft w:val="0"/>
      <w:marRight w:val="0"/>
      <w:marTop w:val="0"/>
      <w:marBottom w:val="0"/>
      <w:divBdr>
        <w:top w:val="none" w:sz="0" w:space="0" w:color="auto"/>
        <w:left w:val="none" w:sz="0" w:space="0" w:color="auto"/>
        <w:bottom w:val="none" w:sz="0" w:space="0" w:color="auto"/>
        <w:right w:val="none" w:sz="0" w:space="0" w:color="auto"/>
      </w:divBdr>
    </w:div>
    <w:div w:id="98644785">
      <w:bodyDiv w:val="1"/>
      <w:marLeft w:val="0"/>
      <w:marRight w:val="0"/>
      <w:marTop w:val="0"/>
      <w:marBottom w:val="0"/>
      <w:divBdr>
        <w:top w:val="none" w:sz="0" w:space="0" w:color="auto"/>
        <w:left w:val="none" w:sz="0" w:space="0" w:color="auto"/>
        <w:bottom w:val="none" w:sz="0" w:space="0" w:color="auto"/>
        <w:right w:val="none" w:sz="0" w:space="0" w:color="auto"/>
      </w:divBdr>
    </w:div>
    <w:div w:id="98722238">
      <w:bodyDiv w:val="1"/>
      <w:marLeft w:val="0"/>
      <w:marRight w:val="0"/>
      <w:marTop w:val="0"/>
      <w:marBottom w:val="0"/>
      <w:divBdr>
        <w:top w:val="none" w:sz="0" w:space="0" w:color="auto"/>
        <w:left w:val="none" w:sz="0" w:space="0" w:color="auto"/>
        <w:bottom w:val="none" w:sz="0" w:space="0" w:color="auto"/>
        <w:right w:val="none" w:sz="0" w:space="0" w:color="auto"/>
      </w:divBdr>
    </w:div>
    <w:div w:id="98723691">
      <w:bodyDiv w:val="1"/>
      <w:marLeft w:val="0"/>
      <w:marRight w:val="0"/>
      <w:marTop w:val="0"/>
      <w:marBottom w:val="0"/>
      <w:divBdr>
        <w:top w:val="none" w:sz="0" w:space="0" w:color="auto"/>
        <w:left w:val="none" w:sz="0" w:space="0" w:color="auto"/>
        <w:bottom w:val="none" w:sz="0" w:space="0" w:color="auto"/>
        <w:right w:val="none" w:sz="0" w:space="0" w:color="auto"/>
      </w:divBdr>
    </w:div>
    <w:div w:id="98725595">
      <w:bodyDiv w:val="1"/>
      <w:marLeft w:val="0"/>
      <w:marRight w:val="0"/>
      <w:marTop w:val="0"/>
      <w:marBottom w:val="0"/>
      <w:divBdr>
        <w:top w:val="none" w:sz="0" w:space="0" w:color="auto"/>
        <w:left w:val="none" w:sz="0" w:space="0" w:color="auto"/>
        <w:bottom w:val="none" w:sz="0" w:space="0" w:color="auto"/>
        <w:right w:val="none" w:sz="0" w:space="0" w:color="auto"/>
      </w:divBdr>
    </w:div>
    <w:div w:id="98837811">
      <w:bodyDiv w:val="1"/>
      <w:marLeft w:val="0"/>
      <w:marRight w:val="0"/>
      <w:marTop w:val="0"/>
      <w:marBottom w:val="0"/>
      <w:divBdr>
        <w:top w:val="none" w:sz="0" w:space="0" w:color="auto"/>
        <w:left w:val="none" w:sz="0" w:space="0" w:color="auto"/>
        <w:bottom w:val="none" w:sz="0" w:space="0" w:color="auto"/>
        <w:right w:val="none" w:sz="0" w:space="0" w:color="auto"/>
      </w:divBdr>
    </w:div>
    <w:div w:id="98919509">
      <w:bodyDiv w:val="1"/>
      <w:marLeft w:val="0"/>
      <w:marRight w:val="0"/>
      <w:marTop w:val="0"/>
      <w:marBottom w:val="0"/>
      <w:divBdr>
        <w:top w:val="none" w:sz="0" w:space="0" w:color="auto"/>
        <w:left w:val="none" w:sz="0" w:space="0" w:color="auto"/>
        <w:bottom w:val="none" w:sz="0" w:space="0" w:color="auto"/>
        <w:right w:val="none" w:sz="0" w:space="0" w:color="auto"/>
      </w:divBdr>
    </w:div>
    <w:div w:id="98987721">
      <w:bodyDiv w:val="1"/>
      <w:marLeft w:val="0"/>
      <w:marRight w:val="0"/>
      <w:marTop w:val="0"/>
      <w:marBottom w:val="0"/>
      <w:divBdr>
        <w:top w:val="none" w:sz="0" w:space="0" w:color="auto"/>
        <w:left w:val="none" w:sz="0" w:space="0" w:color="auto"/>
        <w:bottom w:val="none" w:sz="0" w:space="0" w:color="auto"/>
        <w:right w:val="none" w:sz="0" w:space="0" w:color="auto"/>
      </w:divBdr>
    </w:div>
    <w:div w:id="99182943">
      <w:bodyDiv w:val="1"/>
      <w:marLeft w:val="0"/>
      <w:marRight w:val="0"/>
      <w:marTop w:val="0"/>
      <w:marBottom w:val="0"/>
      <w:divBdr>
        <w:top w:val="none" w:sz="0" w:space="0" w:color="auto"/>
        <w:left w:val="none" w:sz="0" w:space="0" w:color="auto"/>
        <w:bottom w:val="none" w:sz="0" w:space="0" w:color="auto"/>
        <w:right w:val="none" w:sz="0" w:space="0" w:color="auto"/>
      </w:divBdr>
    </w:div>
    <w:div w:id="99372114">
      <w:bodyDiv w:val="1"/>
      <w:marLeft w:val="0"/>
      <w:marRight w:val="0"/>
      <w:marTop w:val="0"/>
      <w:marBottom w:val="0"/>
      <w:divBdr>
        <w:top w:val="none" w:sz="0" w:space="0" w:color="auto"/>
        <w:left w:val="none" w:sz="0" w:space="0" w:color="auto"/>
        <w:bottom w:val="none" w:sz="0" w:space="0" w:color="auto"/>
        <w:right w:val="none" w:sz="0" w:space="0" w:color="auto"/>
      </w:divBdr>
    </w:div>
    <w:div w:id="99496709">
      <w:bodyDiv w:val="1"/>
      <w:marLeft w:val="0"/>
      <w:marRight w:val="0"/>
      <w:marTop w:val="0"/>
      <w:marBottom w:val="0"/>
      <w:divBdr>
        <w:top w:val="none" w:sz="0" w:space="0" w:color="auto"/>
        <w:left w:val="none" w:sz="0" w:space="0" w:color="auto"/>
        <w:bottom w:val="none" w:sz="0" w:space="0" w:color="auto"/>
        <w:right w:val="none" w:sz="0" w:space="0" w:color="auto"/>
      </w:divBdr>
    </w:div>
    <w:div w:id="99497894">
      <w:bodyDiv w:val="1"/>
      <w:marLeft w:val="0"/>
      <w:marRight w:val="0"/>
      <w:marTop w:val="0"/>
      <w:marBottom w:val="0"/>
      <w:divBdr>
        <w:top w:val="none" w:sz="0" w:space="0" w:color="auto"/>
        <w:left w:val="none" w:sz="0" w:space="0" w:color="auto"/>
        <w:bottom w:val="none" w:sz="0" w:space="0" w:color="auto"/>
        <w:right w:val="none" w:sz="0" w:space="0" w:color="auto"/>
      </w:divBdr>
    </w:div>
    <w:div w:id="99570145">
      <w:bodyDiv w:val="1"/>
      <w:marLeft w:val="0"/>
      <w:marRight w:val="0"/>
      <w:marTop w:val="0"/>
      <w:marBottom w:val="0"/>
      <w:divBdr>
        <w:top w:val="none" w:sz="0" w:space="0" w:color="auto"/>
        <w:left w:val="none" w:sz="0" w:space="0" w:color="auto"/>
        <w:bottom w:val="none" w:sz="0" w:space="0" w:color="auto"/>
        <w:right w:val="none" w:sz="0" w:space="0" w:color="auto"/>
      </w:divBdr>
    </w:div>
    <w:div w:id="99572848">
      <w:bodyDiv w:val="1"/>
      <w:marLeft w:val="0"/>
      <w:marRight w:val="0"/>
      <w:marTop w:val="0"/>
      <w:marBottom w:val="0"/>
      <w:divBdr>
        <w:top w:val="none" w:sz="0" w:space="0" w:color="auto"/>
        <w:left w:val="none" w:sz="0" w:space="0" w:color="auto"/>
        <w:bottom w:val="none" w:sz="0" w:space="0" w:color="auto"/>
        <w:right w:val="none" w:sz="0" w:space="0" w:color="auto"/>
      </w:divBdr>
    </w:div>
    <w:div w:id="99573405">
      <w:bodyDiv w:val="1"/>
      <w:marLeft w:val="0"/>
      <w:marRight w:val="0"/>
      <w:marTop w:val="0"/>
      <w:marBottom w:val="0"/>
      <w:divBdr>
        <w:top w:val="none" w:sz="0" w:space="0" w:color="auto"/>
        <w:left w:val="none" w:sz="0" w:space="0" w:color="auto"/>
        <w:bottom w:val="none" w:sz="0" w:space="0" w:color="auto"/>
        <w:right w:val="none" w:sz="0" w:space="0" w:color="auto"/>
      </w:divBdr>
    </w:div>
    <w:div w:id="99683379">
      <w:bodyDiv w:val="1"/>
      <w:marLeft w:val="0"/>
      <w:marRight w:val="0"/>
      <w:marTop w:val="0"/>
      <w:marBottom w:val="0"/>
      <w:divBdr>
        <w:top w:val="none" w:sz="0" w:space="0" w:color="auto"/>
        <w:left w:val="none" w:sz="0" w:space="0" w:color="auto"/>
        <w:bottom w:val="none" w:sz="0" w:space="0" w:color="auto"/>
        <w:right w:val="none" w:sz="0" w:space="0" w:color="auto"/>
      </w:divBdr>
    </w:div>
    <w:div w:id="99762649">
      <w:bodyDiv w:val="1"/>
      <w:marLeft w:val="0"/>
      <w:marRight w:val="0"/>
      <w:marTop w:val="0"/>
      <w:marBottom w:val="0"/>
      <w:divBdr>
        <w:top w:val="none" w:sz="0" w:space="0" w:color="auto"/>
        <w:left w:val="none" w:sz="0" w:space="0" w:color="auto"/>
        <w:bottom w:val="none" w:sz="0" w:space="0" w:color="auto"/>
        <w:right w:val="none" w:sz="0" w:space="0" w:color="auto"/>
      </w:divBdr>
    </w:div>
    <w:div w:id="99878389">
      <w:bodyDiv w:val="1"/>
      <w:marLeft w:val="0"/>
      <w:marRight w:val="0"/>
      <w:marTop w:val="0"/>
      <w:marBottom w:val="0"/>
      <w:divBdr>
        <w:top w:val="none" w:sz="0" w:space="0" w:color="auto"/>
        <w:left w:val="none" w:sz="0" w:space="0" w:color="auto"/>
        <w:bottom w:val="none" w:sz="0" w:space="0" w:color="auto"/>
        <w:right w:val="none" w:sz="0" w:space="0" w:color="auto"/>
      </w:divBdr>
    </w:div>
    <w:div w:id="99956755">
      <w:bodyDiv w:val="1"/>
      <w:marLeft w:val="0"/>
      <w:marRight w:val="0"/>
      <w:marTop w:val="0"/>
      <w:marBottom w:val="0"/>
      <w:divBdr>
        <w:top w:val="none" w:sz="0" w:space="0" w:color="auto"/>
        <w:left w:val="none" w:sz="0" w:space="0" w:color="auto"/>
        <w:bottom w:val="none" w:sz="0" w:space="0" w:color="auto"/>
        <w:right w:val="none" w:sz="0" w:space="0" w:color="auto"/>
      </w:divBdr>
    </w:div>
    <w:div w:id="99961406">
      <w:bodyDiv w:val="1"/>
      <w:marLeft w:val="0"/>
      <w:marRight w:val="0"/>
      <w:marTop w:val="0"/>
      <w:marBottom w:val="0"/>
      <w:divBdr>
        <w:top w:val="none" w:sz="0" w:space="0" w:color="auto"/>
        <w:left w:val="none" w:sz="0" w:space="0" w:color="auto"/>
        <w:bottom w:val="none" w:sz="0" w:space="0" w:color="auto"/>
        <w:right w:val="none" w:sz="0" w:space="0" w:color="auto"/>
      </w:divBdr>
    </w:div>
    <w:div w:id="100033137">
      <w:bodyDiv w:val="1"/>
      <w:marLeft w:val="0"/>
      <w:marRight w:val="0"/>
      <w:marTop w:val="0"/>
      <w:marBottom w:val="0"/>
      <w:divBdr>
        <w:top w:val="none" w:sz="0" w:space="0" w:color="auto"/>
        <w:left w:val="none" w:sz="0" w:space="0" w:color="auto"/>
        <w:bottom w:val="none" w:sz="0" w:space="0" w:color="auto"/>
        <w:right w:val="none" w:sz="0" w:space="0" w:color="auto"/>
      </w:divBdr>
    </w:div>
    <w:div w:id="100150235">
      <w:bodyDiv w:val="1"/>
      <w:marLeft w:val="0"/>
      <w:marRight w:val="0"/>
      <w:marTop w:val="0"/>
      <w:marBottom w:val="0"/>
      <w:divBdr>
        <w:top w:val="none" w:sz="0" w:space="0" w:color="auto"/>
        <w:left w:val="none" w:sz="0" w:space="0" w:color="auto"/>
        <w:bottom w:val="none" w:sz="0" w:space="0" w:color="auto"/>
        <w:right w:val="none" w:sz="0" w:space="0" w:color="auto"/>
      </w:divBdr>
    </w:div>
    <w:div w:id="100419266">
      <w:bodyDiv w:val="1"/>
      <w:marLeft w:val="0"/>
      <w:marRight w:val="0"/>
      <w:marTop w:val="0"/>
      <w:marBottom w:val="0"/>
      <w:divBdr>
        <w:top w:val="none" w:sz="0" w:space="0" w:color="auto"/>
        <w:left w:val="none" w:sz="0" w:space="0" w:color="auto"/>
        <w:bottom w:val="none" w:sz="0" w:space="0" w:color="auto"/>
        <w:right w:val="none" w:sz="0" w:space="0" w:color="auto"/>
      </w:divBdr>
    </w:div>
    <w:div w:id="100498939">
      <w:bodyDiv w:val="1"/>
      <w:marLeft w:val="0"/>
      <w:marRight w:val="0"/>
      <w:marTop w:val="0"/>
      <w:marBottom w:val="0"/>
      <w:divBdr>
        <w:top w:val="none" w:sz="0" w:space="0" w:color="auto"/>
        <w:left w:val="none" w:sz="0" w:space="0" w:color="auto"/>
        <w:bottom w:val="none" w:sz="0" w:space="0" w:color="auto"/>
        <w:right w:val="none" w:sz="0" w:space="0" w:color="auto"/>
      </w:divBdr>
    </w:div>
    <w:div w:id="100534765">
      <w:bodyDiv w:val="1"/>
      <w:marLeft w:val="0"/>
      <w:marRight w:val="0"/>
      <w:marTop w:val="0"/>
      <w:marBottom w:val="0"/>
      <w:divBdr>
        <w:top w:val="none" w:sz="0" w:space="0" w:color="auto"/>
        <w:left w:val="none" w:sz="0" w:space="0" w:color="auto"/>
        <w:bottom w:val="none" w:sz="0" w:space="0" w:color="auto"/>
        <w:right w:val="none" w:sz="0" w:space="0" w:color="auto"/>
      </w:divBdr>
    </w:div>
    <w:div w:id="100536143">
      <w:bodyDiv w:val="1"/>
      <w:marLeft w:val="0"/>
      <w:marRight w:val="0"/>
      <w:marTop w:val="0"/>
      <w:marBottom w:val="0"/>
      <w:divBdr>
        <w:top w:val="none" w:sz="0" w:space="0" w:color="auto"/>
        <w:left w:val="none" w:sz="0" w:space="0" w:color="auto"/>
        <w:bottom w:val="none" w:sz="0" w:space="0" w:color="auto"/>
        <w:right w:val="none" w:sz="0" w:space="0" w:color="auto"/>
      </w:divBdr>
    </w:div>
    <w:div w:id="100539161">
      <w:bodyDiv w:val="1"/>
      <w:marLeft w:val="0"/>
      <w:marRight w:val="0"/>
      <w:marTop w:val="0"/>
      <w:marBottom w:val="0"/>
      <w:divBdr>
        <w:top w:val="none" w:sz="0" w:space="0" w:color="auto"/>
        <w:left w:val="none" w:sz="0" w:space="0" w:color="auto"/>
        <w:bottom w:val="none" w:sz="0" w:space="0" w:color="auto"/>
        <w:right w:val="none" w:sz="0" w:space="0" w:color="auto"/>
      </w:divBdr>
    </w:div>
    <w:div w:id="100608254">
      <w:bodyDiv w:val="1"/>
      <w:marLeft w:val="0"/>
      <w:marRight w:val="0"/>
      <w:marTop w:val="0"/>
      <w:marBottom w:val="0"/>
      <w:divBdr>
        <w:top w:val="none" w:sz="0" w:space="0" w:color="auto"/>
        <w:left w:val="none" w:sz="0" w:space="0" w:color="auto"/>
        <w:bottom w:val="none" w:sz="0" w:space="0" w:color="auto"/>
        <w:right w:val="none" w:sz="0" w:space="0" w:color="auto"/>
      </w:divBdr>
    </w:div>
    <w:div w:id="100613561">
      <w:bodyDiv w:val="1"/>
      <w:marLeft w:val="0"/>
      <w:marRight w:val="0"/>
      <w:marTop w:val="0"/>
      <w:marBottom w:val="0"/>
      <w:divBdr>
        <w:top w:val="none" w:sz="0" w:space="0" w:color="auto"/>
        <w:left w:val="none" w:sz="0" w:space="0" w:color="auto"/>
        <w:bottom w:val="none" w:sz="0" w:space="0" w:color="auto"/>
        <w:right w:val="none" w:sz="0" w:space="0" w:color="auto"/>
      </w:divBdr>
    </w:div>
    <w:div w:id="100801592">
      <w:bodyDiv w:val="1"/>
      <w:marLeft w:val="0"/>
      <w:marRight w:val="0"/>
      <w:marTop w:val="0"/>
      <w:marBottom w:val="0"/>
      <w:divBdr>
        <w:top w:val="none" w:sz="0" w:space="0" w:color="auto"/>
        <w:left w:val="none" w:sz="0" w:space="0" w:color="auto"/>
        <w:bottom w:val="none" w:sz="0" w:space="0" w:color="auto"/>
        <w:right w:val="none" w:sz="0" w:space="0" w:color="auto"/>
      </w:divBdr>
    </w:div>
    <w:div w:id="100803418">
      <w:bodyDiv w:val="1"/>
      <w:marLeft w:val="0"/>
      <w:marRight w:val="0"/>
      <w:marTop w:val="0"/>
      <w:marBottom w:val="0"/>
      <w:divBdr>
        <w:top w:val="none" w:sz="0" w:space="0" w:color="auto"/>
        <w:left w:val="none" w:sz="0" w:space="0" w:color="auto"/>
        <w:bottom w:val="none" w:sz="0" w:space="0" w:color="auto"/>
        <w:right w:val="none" w:sz="0" w:space="0" w:color="auto"/>
      </w:divBdr>
    </w:div>
    <w:div w:id="100808929">
      <w:bodyDiv w:val="1"/>
      <w:marLeft w:val="0"/>
      <w:marRight w:val="0"/>
      <w:marTop w:val="0"/>
      <w:marBottom w:val="0"/>
      <w:divBdr>
        <w:top w:val="none" w:sz="0" w:space="0" w:color="auto"/>
        <w:left w:val="none" w:sz="0" w:space="0" w:color="auto"/>
        <w:bottom w:val="none" w:sz="0" w:space="0" w:color="auto"/>
        <w:right w:val="none" w:sz="0" w:space="0" w:color="auto"/>
      </w:divBdr>
    </w:div>
    <w:div w:id="100993867">
      <w:bodyDiv w:val="1"/>
      <w:marLeft w:val="0"/>
      <w:marRight w:val="0"/>
      <w:marTop w:val="0"/>
      <w:marBottom w:val="0"/>
      <w:divBdr>
        <w:top w:val="none" w:sz="0" w:space="0" w:color="auto"/>
        <w:left w:val="none" w:sz="0" w:space="0" w:color="auto"/>
        <w:bottom w:val="none" w:sz="0" w:space="0" w:color="auto"/>
        <w:right w:val="none" w:sz="0" w:space="0" w:color="auto"/>
      </w:divBdr>
    </w:div>
    <w:div w:id="100997488">
      <w:bodyDiv w:val="1"/>
      <w:marLeft w:val="0"/>
      <w:marRight w:val="0"/>
      <w:marTop w:val="0"/>
      <w:marBottom w:val="0"/>
      <w:divBdr>
        <w:top w:val="none" w:sz="0" w:space="0" w:color="auto"/>
        <w:left w:val="none" w:sz="0" w:space="0" w:color="auto"/>
        <w:bottom w:val="none" w:sz="0" w:space="0" w:color="auto"/>
        <w:right w:val="none" w:sz="0" w:space="0" w:color="auto"/>
      </w:divBdr>
    </w:div>
    <w:div w:id="101069293">
      <w:bodyDiv w:val="1"/>
      <w:marLeft w:val="0"/>
      <w:marRight w:val="0"/>
      <w:marTop w:val="0"/>
      <w:marBottom w:val="0"/>
      <w:divBdr>
        <w:top w:val="none" w:sz="0" w:space="0" w:color="auto"/>
        <w:left w:val="none" w:sz="0" w:space="0" w:color="auto"/>
        <w:bottom w:val="none" w:sz="0" w:space="0" w:color="auto"/>
        <w:right w:val="none" w:sz="0" w:space="0" w:color="auto"/>
      </w:divBdr>
    </w:div>
    <w:div w:id="101070270">
      <w:bodyDiv w:val="1"/>
      <w:marLeft w:val="0"/>
      <w:marRight w:val="0"/>
      <w:marTop w:val="0"/>
      <w:marBottom w:val="0"/>
      <w:divBdr>
        <w:top w:val="none" w:sz="0" w:space="0" w:color="auto"/>
        <w:left w:val="none" w:sz="0" w:space="0" w:color="auto"/>
        <w:bottom w:val="none" w:sz="0" w:space="0" w:color="auto"/>
        <w:right w:val="none" w:sz="0" w:space="0" w:color="auto"/>
      </w:divBdr>
    </w:div>
    <w:div w:id="101145476">
      <w:bodyDiv w:val="1"/>
      <w:marLeft w:val="0"/>
      <w:marRight w:val="0"/>
      <w:marTop w:val="0"/>
      <w:marBottom w:val="0"/>
      <w:divBdr>
        <w:top w:val="none" w:sz="0" w:space="0" w:color="auto"/>
        <w:left w:val="none" w:sz="0" w:space="0" w:color="auto"/>
        <w:bottom w:val="none" w:sz="0" w:space="0" w:color="auto"/>
        <w:right w:val="none" w:sz="0" w:space="0" w:color="auto"/>
      </w:divBdr>
    </w:div>
    <w:div w:id="101148277">
      <w:bodyDiv w:val="1"/>
      <w:marLeft w:val="0"/>
      <w:marRight w:val="0"/>
      <w:marTop w:val="0"/>
      <w:marBottom w:val="0"/>
      <w:divBdr>
        <w:top w:val="none" w:sz="0" w:space="0" w:color="auto"/>
        <w:left w:val="none" w:sz="0" w:space="0" w:color="auto"/>
        <w:bottom w:val="none" w:sz="0" w:space="0" w:color="auto"/>
        <w:right w:val="none" w:sz="0" w:space="0" w:color="auto"/>
      </w:divBdr>
    </w:div>
    <w:div w:id="101153057">
      <w:bodyDiv w:val="1"/>
      <w:marLeft w:val="0"/>
      <w:marRight w:val="0"/>
      <w:marTop w:val="0"/>
      <w:marBottom w:val="0"/>
      <w:divBdr>
        <w:top w:val="none" w:sz="0" w:space="0" w:color="auto"/>
        <w:left w:val="none" w:sz="0" w:space="0" w:color="auto"/>
        <w:bottom w:val="none" w:sz="0" w:space="0" w:color="auto"/>
        <w:right w:val="none" w:sz="0" w:space="0" w:color="auto"/>
      </w:divBdr>
    </w:div>
    <w:div w:id="101388749">
      <w:bodyDiv w:val="1"/>
      <w:marLeft w:val="0"/>
      <w:marRight w:val="0"/>
      <w:marTop w:val="0"/>
      <w:marBottom w:val="0"/>
      <w:divBdr>
        <w:top w:val="none" w:sz="0" w:space="0" w:color="auto"/>
        <w:left w:val="none" w:sz="0" w:space="0" w:color="auto"/>
        <w:bottom w:val="none" w:sz="0" w:space="0" w:color="auto"/>
        <w:right w:val="none" w:sz="0" w:space="0" w:color="auto"/>
      </w:divBdr>
    </w:div>
    <w:div w:id="101531411">
      <w:bodyDiv w:val="1"/>
      <w:marLeft w:val="0"/>
      <w:marRight w:val="0"/>
      <w:marTop w:val="0"/>
      <w:marBottom w:val="0"/>
      <w:divBdr>
        <w:top w:val="none" w:sz="0" w:space="0" w:color="auto"/>
        <w:left w:val="none" w:sz="0" w:space="0" w:color="auto"/>
        <w:bottom w:val="none" w:sz="0" w:space="0" w:color="auto"/>
        <w:right w:val="none" w:sz="0" w:space="0" w:color="auto"/>
      </w:divBdr>
    </w:div>
    <w:div w:id="101583163">
      <w:bodyDiv w:val="1"/>
      <w:marLeft w:val="0"/>
      <w:marRight w:val="0"/>
      <w:marTop w:val="0"/>
      <w:marBottom w:val="0"/>
      <w:divBdr>
        <w:top w:val="none" w:sz="0" w:space="0" w:color="auto"/>
        <w:left w:val="none" w:sz="0" w:space="0" w:color="auto"/>
        <w:bottom w:val="none" w:sz="0" w:space="0" w:color="auto"/>
        <w:right w:val="none" w:sz="0" w:space="0" w:color="auto"/>
      </w:divBdr>
    </w:div>
    <w:div w:id="101611525">
      <w:bodyDiv w:val="1"/>
      <w:marLeft w:val="0"/>
      <w:marRight w:val="0"/>
      <w:marTop w:val="0"/>
      <w:marBottom w:val="0"/>
      <w:divBdr>
        <w:top w:val="none" w:sz="0" w:space="0" w:color="auto"/>
        <w:left w:val="none" w:sz="0" w:space="0" w:color="auto"/>
        <w:bottom w:val="none" w:sz="0" w:space="0" w:color="auto"/>
        <w:right w:val="none" w:sz="0" w:space="0" w:color="auto"/>
      </w:divBdr>
    </w:div>
    <w:div w:id="101650763">
      <w:bodyDiv w:val="1"/>
      <w:marLeft w:val="0"/>
      <w:marRight w:val="0"/>
      <w:marTop w:val="0"/>
      <w:marBottom w:val="0"/>
      <w:divBdr>
        <w:top w:val="none" w:sz="0" w:space="0" w:color="auto"/>
        <w:left w:val="none" w:sz="0" w:space="0" w:color="auto"/>
        <w:bottom w:val="none" w:sz="0" w:space="0" w:color="auto"/>
        <w:right w:val="none" w:sz="0" w:space="0" w:color="auto"/>
      </w:divBdr>
    </w:div>
    <w:div w:id="101651946">
      <w:bodyDiv w:val="1"/>
      <w:marLeft w:val="0"/>
      <w:marRight w:val="0"/>
      <w:marTop w:val="0"/>
      <w:marBottom w:val="0"/>
      <w:divBdr>
        <w:top w:val="none" w:sz="0" w:space="0" w:color="auto"/>
        <w:left w:val="none" w:sz="0" w:space="0" w:color="auto"/>
        <w:bottom w:val="none" w:sz="0" w:space="0" w:color="auto"/>
        <w:right w:val="none" w:sz="0" w:space="0" w:color="auto"/>
      </w:divBdr>
    </w:div>
    <w:div w:id="101657687">
      <w:bodyDiv w:val="1"/>
      <w:marLeft w:val="0"/>
      <w:marRight w:val="0"/>
      <w:marTop w:val="0"/>
      <w:marBottom w:val="0"/>
      <w:divBdr>
        <w:top w:val="none" w:sz="0" w:space="0" w:color="auto"/>
        <w:left w:val="none" w:sz="0" w:space="0" w:color="auto"/>
        <w:bottom w:val="none" w:sz="0" w:space="0" w:color="auto"/>
        <w:right w:val="none" w:sz="0" w:space="0" w:color="auto"/>
      </w:divBdr>
    </w:div>
    <w:div w:id="101726159">
      <w:bodyDiv w:val="1"/>
      <w:marLeft w:val="0"/>
      <w:marRight w:val="0"/>
      <w:marTop w:val="0"/>
      <w:marBottom w:val="0"/>
      <w:divBdr>
        <w:top w:val="none" w:sz="0" w:space="0" w:color="auto"/>
        <w:left w:val="none" w:sz="0" w:space="0" w:color="auto"/>
        <w:bottom w:val="none" w:sz="0" w:space="0" w:color="auto"/>
        <w:right w:val="none" w:sz="0" w:space="0" w:color="auto"/>
      </w:divBdr>
    </w:div>
    <w:div w:id="101994744">
      <w:bodyDiv w:val="1"/>
      <w:marLeft w:val="0"/>
      <w:marRight w:val="0"/>
      <w:marTop w:val="0"/>
      <w:marBottom w:val="0"/>
      <w:divBdr>
        <w:top w:val="none" w:sz="0" w:space="0" w:color="auto"/>
        <w:left w:val="none" w:sz="0" w:space="0" w:color="auto"/>
        <w:bottom w:val="none" w:sz="0" w:space="0" w:color="auto"/>
        <w:right w:val="none" w:sz="0" w:space="0" w:color="auto"/>
      </w:divBdr>
    </w:div>
    <w:div w:id="101996903">
      <w:bodyDiv w:val="1"/>
      <w:marLeft w:val="0"/>
      <w:marRight w:val="0"/>
      <w:marTop w:val="0"/>
      <w:marBottom w:val="0"/>
      <w:divBdr>
        <w:top w:val="none" w:sz="0" w:space="0" w:color="auto"/>
        <w:left w:val="none" w:sz="0" w:space="0" w:color="auto"/>
        <w:bottom w:val="none" w:sz="0" w:space="0" w:color="auto"/>
        <w:right w:val="none" w:sz="0" w:space="0" w:color="auto"/>
      </w:divBdr>
    </w:div>
    <w:div w:id="102001222">
      <w:bodyDiv w:val="1"/>
      <w:marLeft w:val="0"/>
      <w:marRight w:val="0"/>
      <w:marTop w:val="0"/>
      <w:marBottom w:val="0"/>
      <w:divBdr>
        <w:top w:val="none" w:sz="0" w:space="0" w:color="auto"/>
        <w:left w:val="none" w:sz="0" w:space="0" w:color="auto"/>
        <w:bottom w:val="none" w:sz="0" w:space="0" w:color="auto"/>
        <w:right w:val="none" w:sz="0" w:space="0" w:color="auto"/>
      </w:divBdr>
    </w:div>
    <w:div w:id="102071891">
      <w:bodyDiv w:val="1"/>
      <w:marLeft w:val="0"/>
      <w:marRight w:val="0"/>
      <w:marTop w:val="0"/>
      <w:marBottom w:val="0"/>
      <w:divBdr>
        <w:top w:val="none" w:sz="0" w:space="0" w:color="auto"/>
        <w:left w:val="none" w:sz="0" w:space="0" w:color="auto"/>
        <w:bottom w:val="none" w:sz="0" w:space="0" w:color="auto"/>
        <w:right w:val="none" w:sz="0" w:space="0" w:color="auto"/>
      </w:divBdr>
    </w:div>
    <w:div w:id="102113122">
      <w:bodyDiv w:val="1"/>
      <w:marLeft w:val="0"/>
      <w:marRight w:val="0"/>
      <w:marTop w:val="0"/>
      <w:marBottom w:val="0"/>
      <w:divBdr>
        <w:top w:val="none" w:sz="0" w:space="0" w:color="auto"/>
        <w:left w:val="none" w:sz="0" w:space="0" w:color="auto"/>
        <w:bottom w:val="none" w:sz="0" w:space="0" w:color="auto"/>
        <w:right w:val="none" w:sz="0" w:space="0" w:color="auto"/>
      </w:divBdr>
    </w:div>
    <w:div w:id="102120229">
      <w:bodyDiv w:val="1"/>
      <w:marLeft w:val="0"/>
      <w:marRight w:val="0"/>
      <w:marTop w:val="0"/>
      <w:marBottom w:val="0"/>
      <w:divBdr>
        <w:top w:val="none" w:sz="0" w:space="0" w:color="auto"/>
        <w:left w:val="none" w:sz="0" w:space="0" w:color="auto"/>
        <w:bottom w:val="none" w:sz="0" w:space="0" w:color="auto"/>
        <w:right w:val="none" w:sz="0" w:space="0" w:color="auto"/>
      </w:divBdr>
    </w:div>
    <w:div w:id="102186447">
      <w:bodyDiv w:val="1"/>
      <w:marLeft w:val="0"/>
      <w:marRight w:val="0"/>
      <w:marTop w:val="0"/>
      <w:marBottom w:val="0"/>
      <w:divBdr>
        <w:top w:val="none" w:sz="0" w:space="0" w:color="auto"/>
        <w:left w:val="none" w:sz="0" w:space="0" w:color="auto"/>
        <w:bottom w:val="none" w:sz="0" w:space="0" w:color="auto"/>
        <w:right w:val="none" w:sz="0" w:space="0" w:color="auto"/>
      </w:divBdr>
    </w:div>
    <w:div w:id="102189754">
      <w:bodyDiv w:val="1"/>
      <w:marLeft w:val="0"/>
      <w:marRight w:val="0"/>
      <w:marTop w:val="0"/>
      <w:marBottom w:val="0"/>
      <w:divBdr>
        <w:top w:val="none" w:sz="0" w:space="0" w:color="auto"/>
        <w:left w:val="none" w:sz="0" w:space="0" w:color="auto"/>
        <w:bottom w:val="none" w:sz="0" w:space="0" w:color="auto"/>
        <w:right w:val="none" w:sz="0" w:space="0" w:color="auto"/>
      </w:divBdr>
    </w:div>
    <w:div w:id="102195183">
      <w:bodyDiv w:val="1"/>
      <w:marLeft w:val="0"/>
      <w:marRight w:val="0"/>
      <w:marTop w:val="0"/>
      <w:marBottom w:val="0"/>
      <w:divBdr>
        <w:top w:val="none" w:sz="0" w:space="0" w:color="auto"/>
        <w:left w:val="none" w:sz="0" w:space="0" w:color="auto"/>
        <w:bottom w:val="none" w:sz="0" w:space="0" w:color="auto"/>
        <w:right w:val="none" w:sz="0" w:space="0" w:color="auto"/>
      </w:divBdr>
    </w:div>
    <w:div w:id="102504584">
      <w:bodyDiv w:val="1"/>
      <w:marLeft w:val="0"/>
      <w:marRight w:val="0"/>
      <w:marTop w:val="0"/>
      <w:marBottom w:val="0"/>
      <w:divBdr>
        <w:top w:val="none" w:sz="0" w:space="0" w:color="auto"/>
        <w:left w:val="none" w:sz="0" w:space="0" w:color="auto"/>
        <w:bottom w:val="none" w:sz="0" w:space="0" w:color="auto"/>
        <w:right w:val="none" w:sz="0" w:space="0" w:color="auto"/>
      </w:divBdr>
    </w:div>
    <w:div w:id="102698856">
      <w:bodyDiv w:val="1"/>
      <w:marLeft w:val="0"/>
      <w:marRight w:val="0"/>
      <w:marTop w:val="0"/>
      <w:marBottom w:val="0"/>
      <w:divBdr>
        <w:top w:val="none" w:sz="0" w:space="0" w:color="auto"/>
        <w:left w:val="none" w:sz="0" w:space="0" w:color="auto"/>
        <w:bottom w:val="none" w:sz="0" w:space="0" w:color="auto"/>
        <w:right w:val="none" w:sz="0" w:space="0" w:color="auto"/>
      </w:divBdr>
    </w:div>
    <w:div w:id="102845990">
      <w:bodyDiv w:val="1"/>
      <w:marLeft w:val="0"/>
      <w:marRight w:val="0"/>
      <w:marTop w:val="0"/>
      <w:marBottom w:val="0"/>
      <w:divBdr>
        <w:top w:val="none" w:sz="0" w:space="0" w:color="auto"/>
        <w:left w:val="none" w:sz="0" w:space="0" w:color="auto"/>
        <w:bottom w:val="none" w:sz="0" w:space="0" w:color="auto"/>
        <w:right w:val="none" w:sz="0" w:space="0" w:color="auto"/>
      </w:divBdr>
    </w:div>
    <w:div w:id="102849579">
      <w:bodyDiv w:val="1"/>
      <w:marLeft w:val="0"/>
      <w:marRight w:val="0"/>
      <w:marTop w:val="0"/>
      <w:marBottom w:val="0"/>
      <w:divBdr>
        <w:top w:val="none" w:sz="0" w:space="0" w:color="auto"/>
        <w:left w:val="none" w:sz="0" w:space="0" w:color="auto"/>
        <w:bottom w:val="none" w:sz="0" w:space="0" w:color="auto"/>
        <w:right w:val="none" w:sz="0" w:space="0" w:color="auto"/>
      </w:divBdr>
    </w:div>
    <w:div w:id="102850564">
      <w:bodyDiv w:val="1"/>
      <w:marLeft w:val="0"/>
      <w:marRight w:val="0"/>
      <w:marTop w:val="0"/>
      <w:marBottom w:val="0"/>
      <w:divBdr>
        <w:top w:val="none" w:sz="0" w:space="0" w:color="auto"/>
        <w:left w:val="none" w:sz="0" w:space="0" w:color="auto"/>
        <w:bottom w:val="none" w:sz="0" w:space="0" w:color="auto"/>
        <w:right w:val="none" w:sz="0" w:space="0" w:color="auto"/>
      </w:divBdr>
    </w:div>
    <w:div w:id="102919167">
      <w:bodyDiv w:val="1"/>
      <w:marLeft w:val="0"/>
      <w:marRight w:val="0"/>
      <w:marTop w:val="0"/>
      <w:marBottom w:val="0"/>
      <w:divBdr>
        <w:top w:val="none" w:sz="0" w:space="0" w:color="auto"/>
        <w:left w:val="none" w:sz="0" w:space="0" w:color="auto"/>
        <w:bottom w:val="none" w:sz="0" w:space="0" w:color="auto"/>
        <w:right w:val="none" w:sz="0" w:space="0" w:color="auto"/>
      </w:divBdr>
    </w:div>
    <w:div w:id="102924238">
      <w:bodyDiv w:val="1"/>
      <w:marLeft w:val="0"/>
      <w:marRight w:val="0"/>
      <w:marTop w:val="0"/>
      <w:marBottom w:val="0"/>
      <w:divBdr>
        <w:top w:val="none" w:sz="0" w:space="0" w:color="auto"/>
        <w:left w:val="none" w:sz="0" w:space="0" w:color="auto"/>
        <w:bottom w:val="none" w:sz="0" w:space="0" w:color="auto"/>
        <w:right w:val="none" w:sz="0" w:space="0" w:color="auto"/>
      </w:divBdr>
    </w:div>
    <w:div w:id="103230657">
      <w:bodyDiv w:val="1"/>
      <w:marLeft w:val="0"/>
      <w:marRight w:val="0"/>
      <w:marTop w:val="0"/>
      <w:marBottom w:val="0"/>
      <w:divBdr>
        <w:top w:val="none" w:sz="0" w:space="0" w:color="auto"/>
        <w:left w:val="none" w:sz="0" w:space="0" w:color="auto"/>
        <w:bottom w:val="none" w:sz="0" w:space="0" w:color="auto"/>
        <w:right w:val="none" w:sz="0" w:space="0" w:color="auto"/>
      </w:divBdr>
    </w:div>
    <w:div w:id="103306677">
      <w:bodyDiv w:val="1"/>
      <w:marLeft w:val="0"/>
      <w:marRight w:val="0"/>
      <w:marTop w:val="0"/>
      <w:marBottom w:val="0"/>
      <w:divBdr>
        <w:top w:val="none" w:sz="0" w:space="0" w:color="auto"/>
        <w:left w:val="none" w:sz="0" w:space="0" w:color="auto"/>
        <w:bottom w:val="none" w:sz="0" w:space="0" w:color="auto"/>
        <w:right w:val="none" w:sz="0" w:space="0" w:color="auto"/>
      </w:divBdr>
    </w:div>
    <w:div w:id="103381420">
      <w:bodyDiv w:val="1"/>
      <w:marLeft w:val="0"/>
      <w:marRight w:val="0"/>
      <w:marTop w:val="0"/>
      <w:marBottom w:val="0"/>
      <w:divBdr>
        <w:top w:val="none" w:sz="0" w:space="0" w:color="auto"/>
        <w:left w:val="none" w:sz="0" w:space="0" w:color="auto"/>
        <w:bottom w:val="none" w:sz="0" w:space="0" w:color="auto"/>
        <w:right w:val="none" w:sz="0" w:space="0" w:color="auto"/>
      </w:divBdr>
    </w:div>
    <w:div w:id="103576626">
      <w:bodyDiv w:val="1"/>
      <w:marLeft w:val="0"/>
      <w:marRight w:val="0"/>
      <w:marTop w:val="0"/>
      <w:marBottom w:val="0"/>
      <w:divBdr>
        <w:top w:val="none" w:sz="0" w:space="0" w:color="auto"/>
        <w:left w:val="none" w:sz="0" w:space="0" w:color="auto"/>
        <w:bottom w:val="none" w:sz="0" w:space="0" w:color="auto"/>
        <w:right w:val="none" w:sz="0" w:space="0" w:color="auto"/>
      </w:divBdr>
    </w:div>
    <w:div w:id="103891171">
      <w:bodyDiv w:val="1"/>
      <w:marLeft w:val="0"/>
      <w:marRight w:val="0"/>
      <w:marTop w:val="0"/>
      <w:marBottom w:val="0"/>
      <w:divBdr>
        <w:top w:val="none" w:sz="0" w:space="0" w:color="auto"/>
        <w:left w:val="none" w:sz="0" w:space="0" w:color="auto"/>
        <w:bottom w:val="none" w:sz="0" w:space="0" w:color="auto"/>
        <w:right w:val="none" w:sz="0" w:space="0" w:color="auto"/>
      </w:divBdr>
    </w:div>
    <w:div w:id="103963228">
      <w:bodyDiv w:val="1"/>
      <w:marLeft w:val="0"/>
      <w:marRight w:val="0"/>
      <w:marTop w:val="0"/>
      <w:marBottom w:val="0"/>
      <w:divBdr>
        <w:top w:val="none" w:sz="0" w:space="0" w:color="auto"/>
        <w:left w:val="none" w:sz="0" w:space="0" w:color="auto"/>
        <w:bottom w:val="none" w:sz="0" w:space="0" w:color="auto"/>
        <w:right w:val="none" w:sz="0" w:space="0" w:color="auto"/>
      </w:divBdr>
    </w:div>
    <w:div w:id="104080205">
      <w:bodyDiv w:val="1"/>
      <w:marLeft w:val="0"/>
      <w:marRight w:val="0"/>
      <w:marTop w:val="0"/>
      <w:marBottom w:val="0"/>
      <w:divBdr>
        <w:top w:val="none" w:sz="0" w:space="0" w:color="auto"/>
        <w:left w:val="none" w:sz="0" w:space="0" w:color="auto"/>
        <w:bottom w:val="none" w:sz="0" w:space="0" w:color="auto"/>
        <w:right w:val="none" w:sz="0" w:space="0" w:color="auto"/>
      </w:divBdr>
    </w:div>
    <w:div w:id="104271103">
      <w:bodyDiv w:val="1"/>
      <w:marLeft w:val="0"/>
      <w:marRight w:val="0"/>
      <w:marTop w:val="0"/>
      <w:marBottom w:val="0"/>
      <w:divBdr>
        <w:top w:val="none" w:sz="0" w:space="0" w:color="auto"/>
        <w:left w:val="none" w:sz="0" w:space="0" w:color="auto"/>
        <w:bottom w:val="none" w:sz="0" w:space="0" w:color="auto"/>
        <w:right w:val="none" w:sz="0" w:space="0" w:color="auto"/>
      </w:divBdr>
    </w:div>
    <w:div w:id="104275393">
      <w:bodyDiv w:val="1"/>
      <w:marLeft w:val="0"/>
      <w:marRight w:val="0"/>
      <w:marTop w:val="0"/>
      <w:marBottom w:val="0"/>
      <w:divBdr>
        <w:top w:val="none" w:sz="0" w:space="0" w:color="auto"/>
        <w:left w:val="none" w:sz="0" w:space="0" w:color="auto"/>
        <w:bottom w:val="none" w:sz="0" w:space="0" w:color="auto"/>
        <w:right w:val="none" w:sz="0" w:space="0" w:color="auto"/>
      </w:divBdr>
    </w:div>
    <w:div w:id="104276268">
      <w:bodyDiv w:val="1"/>
      <w:marLeft w:val="0"/>
      <w:marRight w:val="0"/>
      <w:marTop w:val="0"/>
      <w:marBottom w:val="0"/>
      <w:divBdr>
        <w:top w:val="none" w:sz="0" w:space="0" w:color="auto"/>
        <w:left w:val="none" w:sz="0" w:space="0" w:color="auto"/>
        <w:bottom w:val="none" w:sz="0" w:space="0" w:color="auto"/>
        <w:right w:val="none" w:sz="0" w:space="0" w:color="auto"/>
      </w:divBdr>
    </w:div>
    <w:div w:id="104346340">
      <w:bodyDiv w:val="1"/>
      <w:marLeft w:val="0"/>
      <w:marRight w:val="0"/>
      <w:marTop w:val="0"/>
      <w:marBottom w:val="0"/>
      <w:divBdr>
        <w:top w:val="none" w:sz="0" w:space="0" w:color="auto"/>
        <w:left w:val="none" w:sz="0" w:space="0" w:color="auto"/>
        <w:bottom w:val="none" w:sz="0" w:space="0" w:color="auto"/>
        <w:right w:val="none" w:sz="0" w:space="0" w:color="auto"/>
      </w:divBdr>
    </w:div>
    <w:div w:id="104544914">
      <w:bodyDiv w:val="1"/>
      <w:marLeft w:val="0"/>
      <w:marRight w:val="0"/>
      <w:marTop w:val="0"/>
      <w:marBottom w:val="0"/>
      <w:divBdr>
        <w:top w:val="none" w:sz="0" w:space="0" w:color="auto"/>
        <w:left w:val="none" w:sz="0" w:space="0" w:color="auto"/>
        <w:bottom w:val="none" w:sz="0" w:space="0" w:color="auto"/>
        <w:right w:val="none" w:sz="0" w:space="0" w:color="auto"/>
      </w:divBdr>
    </w:div>
    <w:div w:id="104623639">
      <w:bodyDiv w:val="1"/>
      <w:marLeft w:val="0"/>
      <w:marRight w:val="0"/>
      <w:marTop w:val="0"/>
      <w:marBottom w:val="0"/>
      <w:divBdr>
        <w:top w:val="none" w:sz="0" w:space="0" w:color="auto"/>
        <w:left w:val="none" w:sz="0" w:space="0" w:color="auto"/>
        <w:bottom w:val="none" w:sz="0" w:space="0" w:color="auto"/>
        <w:right w:val="none" w:sz="0" w:space="0" w:color="auto"/>
      </w:divBdr>
    </w:div>
    <w:div w:id="104739287">
      <w:bodyDiv w:val="1"/>
      <w:marLeft w:val="0"/>
      <w:marRight w:val="0"/>
      <w:marTop w:val="0"/>
      <w:marBottom w:val="0"/>
      <w:divBdr>
        <w:top w:val="none" w:sz="0" w:space="0" w:color="auto"/>
        <w:left w:val="none" w:sz="0" w:space="0" w:color="auto"/>
        <w:bottom w:val="none" w:sz="0" w:space="0" w:color="auto"/>
        <w:right w:val="none" w:sz="0" w:space="0" w:color="auto"/>
      </w:divBdr>
    </w:div>
    <w:div w:id="104858482">
      <w:bodyDiv w:val="1"/>
      <w:marLeft w:val="0"/>
      <w:marRight w:val="0"/>
      <w:marTop w:val="0"/>
      <w:marBottom w:val="0"/>
      <w:divBdr>
        <w:top w:val="none" w:sz="0" w:space="0" w:color="auto"/>
        <w:left w:val="none" w:sz="0" w:space="0" w:color="auto"/>
        <w:bottom w:val="none" w:sz="0" w:space="0" w:color="auto"/>
        <w:right w:val="none" w:sz="0" w:space="0" w:color="auto"/>
      </w:divBdr>
    </w:div>
    <w:div w:id="104888612">
      <w:bodyDiv w:val="1"/>
      <w:marLeft w:val="0"/>
      <w:marRight w:val="0"/>
      <w:marTop w:val="0"/>
      <w:marBottom w:val="0"/>
      <w:divBdr>
        <w:top w:val="none" w:sz="0" w:space="0" w:color="auto"/>
        <w:left w:val="none" w:sz="0" w:space="0" w:color="auto"/>
        <w:bottom w:val="none" w:sz="0" w:space="0" w:color="auto"/>
        <w:right w:val="none" w:sz="0" w:space="0" w:color="auto"/>
      </w:divBdr>
    </w:div>
    <w:div w:id="104932186">
      <w:bodyDiv w:val="1"/>
      <w:marLeft w:val="0"/>
      <w:marRight w:val="0"/>
      <w:marTop w:val="0"/>
      <w:marBottom w:val="0"/>
      <w:divBdr>
        <w:top w:val="none" w:sz="0" w:space="0" w:color="auto"/>
        <w:left w:val="none" w:sz="0" w:space="0" w:color="auto"/>
        <w:bottom w:val="none" w:sz="0" w:space="0" w:color="auto"/>
        <w:right w:val="none" w:sz="0" w:space="0" w:color="auto"/>
      </w:divBdr>
    </w:div>
    <w:div w:id="105001775">
      <w:bodyDiv w:val="1"/>
      <w:marLeft w:val="0"/>
      <w:marRight w:val="0"/>
      <w:marTop w:val="0"/>
      <w:marBottom w:val="0"/>
      <w:divBdr>
        <w:top w:val="none" w:sz="0" w:space="0" w:color="auto"/>
        <w:left w:val="none" w:sz="0" w:space="0" w:color="auto"/>
        <w:bottom w:val="none" w:sz="0" w:space="0" w:color="auto"/>
        <w:right w:val="none" w:sz="0" w:space="0" w:color="auto"/>
      </w:divBdr>
    </w:div>
    <w:div w:id="105001796">
      <w:bodyDiv w:val="1"/>
      <w:marLeft w:val="0"/>
      <w:marRight w:val="0"/>
      <w:marTop w:val="0"/>
      <w:marBottom w:val="0"/>
      <w:divBdr>
        <w:top w:val="none" w:sz="0" w:space="0" w:color="auto"/>
        <w:left w:val="none" w:sz="0" w:space="0" w:color="auto"/>
        <w:bottom w:val="none" w:sz="0" w:space="0" w:color="auto"/>
        <w:right w:val="none" w:sz="0" w:space="0" w:color="auto"/>
      </w:divBdr>
    </w:div>
    <w:div w:id="105003831">
      <w:bodyDiv w:val="1"/>
      <w:marLeft w:val="0"/>
      <w:marRight w:val="0"/>
      <w:marTop w:val="0"/>
      <w:marBottom w:val="0"/>
      <w:divBdr>
        <w:top w:val="none" w:sz="0" w:space="0" w:color="auto"/>
        <w:left w:val="none" w:sz="0" w:space="0" w:color="auto"/>
        <w:bottom w:val="none" w:sz="0" w:space="0" w:color="auto"/>
        <w:right w:val="none" w:sz="0" w:space="0" w:color="auto"/>
      </w:divBdr>
    </w:div>
    <w:div w:id="105084453">
      <w:bodyDiv w:val="1"/>
      <w:marLeft w:val="0"/>
      <w:marRight w:val="0"/>
      <w:marTop w:val="0"/>
      <w:marBottom w:val="0"/>
      <w:divBdr>
        <w:top w:val="none" w:sz="0" w:space="0" w:color="auto"/>
        <w:left w:val="none" w:sz="0" w:space="0" w:color="auto"/>
        <w:bottom w:val="none" w:sz="0" w:space="0" w:color="auto"/>
        <w:right w:val="none" w:sz="0" w:space="0" w:color="auto"/>
      </w:divBdr>
    </w:div>
    <w:div w:id="105151640">
      <w:bodyDiv w:val="1"/>
      <w:marLeft w:val="0"/>
      <w:marRight w:val="0"/>
      <w:marTop w:val="0"/>
      <w:marBottom w:val="0"/>
      <w:divBdr>
        <w:top w:val="none" w:sz="0" w:space="0" w:color="auto"/>
        <w:left w:val="none" w:sz="0" w:space="0" w:color="auto"/>
        <w:bottom w:val="none" w:sz="0" w:space="0" w:color="auto"/>
        <w:right w:val="none" w:sz="0" w:space="0" w:color="auto"/>
      </w:divBdr>
    </w:div>
    <w:div w:id="105271245">
      <w:bodyDiv w:val="1"/>
      <w:marLeft w:val="0"/>
      <w:marRight w:val="0"/>
      <w:marTop w:val="0"/>
      <w:marBottom w:val="0"/>
      <w:divBdr>
        <w:top w:val="none" w:sz="0" w:space="0" w:color="auto"/>
        <w:left w:val="none" w:sz="0" w:space="0" w:color="auto"/>
        <w:bottom w:val="none" w:sz="0" w:space="0" w:color="auto"/>
        <w:right w:val="none" w:sz="0" w:space="0" w:color="auto"/>
      </w:divBdr>
    </w:div>
    <w:div w:id="105273160">
      <w:bodyDiv w:val="1"/>
      <w:marLeft w:val="0"/>
      <w:marRight w:val="0"/>
      <w:marTop w:val="0"/>
      <w:marBottom w:val="0"/>
      <w:divBdr>
        <w:top w:val="none" w:sz="0" w:space="0" w:color="auto"/>
        <w:left w:val="none" w:sz="0" w:space="0" w:color="auto"/>
        <w:bottom w:val="none" w:sz="0" w:space="0" w:color="auto"/>
        <w:right w:val="none" w:sz="0" w:space="0" w:color="auto"/>
      </w:divBdr>
    </w:div>
    <w:div w:id="105318793">
      <w:bodyDiv w:val="1"/>
      <w:marLeft w:val="0"/>
      <w:marRight w:val="0"/>
      <w:marTop w:val="0"/>
      <w:marBottom w:val="0"/>
      <w:divBdr>
        <w:top w:val="none" w:sz="0" w:space="0" w:color="auto"/>
        <w:left w:val="none" w:sz="0" w:space="0" w:color="auto"/>
        <w:bottom w:val="none" w:sz="0" w:space="0" w:color="auto"/>
        <w:right w:val="none" w:sz="0" w:space="0" w:color="auto"/>
      </w:divBdr>
    </w:div>
    <w:div w:id="105391947">
      <w:bodyDiv w:val="1"/>
      <w:marLeft w:val="0"/>
      <w:marRight w:val="0"/>
      <w:marTop w:val="0"/>
      <w:marBottom w:val="0"/>
      <w:divBdr>
        <w:top w:val="none" w:sz="0" w:space="0" w:color="auto"/>
        <w:left w:val="none" w:sz="0" w:space="0" w:color="auto"/>
        <w:bottom w:val="none" w:sz="0" w:space="0" w:color="auto"/>
        <w:right w:val="none" w:sz="0" w:space="0" w:color="auto"/>
      </w:divBdr>
    </w:div>
    <w:div w:id="105464135">
      <w:bodyDiv w:val="1"/>
      <w:marLeft w:val="0"/>
      <w:marRight w:val="0"/>
      <w:marTop w:val="0"/>
      <w:marBottom w:val="0"/>
      <w:divBdr>
        <w:top w:val="none" w:sz="0" w:space="0" w:color="auto"/>
        <w:left w:val="none" w:sz="0" w:space="0" w:color="auto"/>
        <w:bottom w:val="none" w:sz="0" w:space="0" w:color="auto"/>
        <w:right w:val="none" w:sz="0" w:space="0" w:color="auto"/>
      </w:divBdr>
    </w:div>
    <w:div w:id="105590411">
      <w:bodyDiv w:val="1"/>
      <w:marLeft w:val="0"/>
      <w:marRight w:val="0"/>
      <w:marTop w:val="0"/>
      <w:marBottom w:val="0"/>
      <w:divBdr>
        <w:top w:val="none" w:sz="0" w:space="0" w:color="auto"/>
        <w:left w:val="none" w:sz="0" w:space="0" w:color="auto"/>
        <w:bottom w:val="none" w:sz="0" w:space="0" w:color="auto"/>
        <w:right w:val="none" w:sz="0" w:space="0" w:color="auto"/>
      </w:divBdr>
    </w:div>
    <w:div w:id="105657896">
      <w:bodyDiv w:val="1"/>
      <w:marLeft w:val="0"/>
      <w:marRight w:val="0"/>
      <w:marTop w:val="0"/>
      <w:marBottom w:val="0"/>
      <w:divBdr>
        <w:top w:val="none" w:sz="0" w:space="0" w:color="auto"/>
        <w:left w:val="none" w:sz="0" w:space="0" w:color="auto"/>
        <w:bottom w:val="none" w:sz="0" w:space="0" w:color="auto"/>
        <w:right w:val="none" w:sz="0" w:space="0" w:color="auto"/>
      </w:divBdr>
    </w:div>
    <w:div w:id="105734525">
      <w:bodyDiv w:val="1"/>
      <w:marLeft w:val="0"/>
      <w:marRight w:val="0"/>
      <w:marTop w:val="0"/>
      <w:marBottom w:val="0"/>
      <w:divBdr>
        <w:top w:val="none" w:sz="0" w:space="0" w:color="auto"/>
        <w:left w:val="none" w:sz="0" w:space="0" w:color="auto"/>
        <w:bottom w:val="none" w:sz="0" w:space="0" w:color="auto"/>
        <w:right w:val="none" w:sz="0" w:space="0" w:color="auto"/>
      </w:divBdr>
    </w:div>
    <w:div w:id="105778913">
      <w:bodyDiv w:val="1"/>
      <w:marLeft w:val="0"/>
      <w:marRight w:val="0"/>
      <w:marTop w:val="0"/>
      <w:marBottom w:val="0"/>
      <w:divBdr>
        <w:top w:val="none" w:sz="0" w:space="0" w:color="auto"/>
        <w:left w:val="none" w:sz="0" w:space="0" w:color="auto"/>
        <w:bottom w:val="none" w:sz="0" w:space="0" w:color="auto"/>
        <w:right w:val="none" w:sz="0" w:space="0" w:color="auto"/>
      </w:divBdr>
    </w:div>
    <w:div w:id="106048722">
      <w:bodyDiv w:val="1"/>
      <w:marLeft w:val="0"/>
      <w:marRight w:val="0"/>
      <w:marTop w:val="0"/>
      <w:marBottom w:val="0"/>
      <w:divBdr>
        <w:top w:val="none" w:sz="0" w:space="0" w:color="auto"/>
        <w:left w:val="none" w:sz="0" w:space="0" w:color="auto"/>
        <w:bottom w:val="none" w:sz="0" w:space="0" w:color="auto"/>
        <w:right w:val="none" w:sz="0" w:space="0" w:color="auto"/>
      </w:divBdr>
    </w:div>
    <w:div w:id="106168709">
      <w:bodyDiv w:val="1"/>
      <w:marLeft w:val="0"/>
      <w:marRight w:val="0"/>
      <w:marTop w:val="0"/>
      <w:marBottom w:val="0"/>
      <w:divBdr>
        <w:top w:val="none" w:sz="0" w:space="0" w:color="auto"/>
        <w:left w:val="none" w:sz="0" w:space="0" w:color="auto"/>
        <w:bottom w:val="none" w:sz="0" w:space="0" w:color="auto"/>
        <w:right w:val="none" w:sz="0" w:space="0" w:color="auto"/>
      </w:divBdr>
    </w:div>
    <w:div w:id="106242146">
      <w:bodyDiv w:val="1"/>
      <w:marLeft w:val="0"/>
      <w:marRight w:val="0"/>
      <w:marTop w:val="0"/>
      <w:marBottom w:val="0"/>
      <w:divBdr>
        <w:top w:val="none" w:sz="0" w:space="0" w:color="auto"/>
        <w:left w:val="none" w:sz="0" w:space="0" w:color="auto"/>
        <w:bottom w:val="none" w:sz="0" w:space="0" w:color="auto"/>
        <w:right w:val="none" w:sz="0" w:space="0" w:color="auto"/>
      </w:divBdr>
    </w:div>
    <w:div w:id="106312697">
      <w:bodyDiv w:val="1"/>
      <w:marLeft w:val="0"/>
      <w:marRight w:val="0"/>
      <w:marTop w:val="0"/>
      <w:marBottom w:val="0"/>
      <w:divBdr>
        <w:top w:val="none" w:sz="0" w:space="0" w:color="auto"/>
        <w:left w:val="none" w:sz="0" w:space="0" w:color="auto"/>
        <w:bottom w:val="none" w:sz="0" w:space="0" w:color="auto"/>
        <w:right w:val="none" w:sz="0" w:space="0" w:color="auto"/>
      </w:divBdr>
    </w:div>
    <w:div w:id="106319078">
      <w:bodyDiv w:val="1"/>
      <w:marLeft w:val="0"/>
      <w:marRight w:val="0"/>
      <w:marTop w:val="0"/>
      <w:marBottom w:val="0"/>
      <w:divBdr>
        <w:top w:val="none" w:sz="0" w:space="0" w:color="auto"/>
        <w:left w:val="none" w:sz="0" w:space="0" w:color="auto"/>
        <w:bottom w:val="none" w:sz="0" w:space="0" w:color="auto"/>
        <w:right w:val="none" w:sz="0" w:space="0" w:color="auto"/>
      </w:divBdr>
    </w:div>
    <w:div w:id="106388638">
      <w:bodyDiv w:val="1"/>
      <w:marLeft w:val="0"/>
      <w:marRight w:val="0"/>
      <w:marTop w:val="0"/>
      <w:marBottom w:val="0"/>
      <w:divBdr>
        <w:top w:val="none" w:sz="0" w:space="0" w:color="auto"/>
        <w:left w:val="none" w:sz="0" w:space="0" w:color="auto"/>
        <w:bottom w:val="none" w:sz="0" w:space="0" w:color="auto"/>
        <w:right w:val="none" w:sz="0" w:space="0" w:color="auto"/>
      </w:divBdr>
    </w:div>
    <w:div w:id="106389413">
      <w:bodyDiv w:val="1"/>
      <w:marLeft w:val="0"/>
      <w:marRight w:val="0"/>
      <w:marTop w:val="0"/>
      <w:marBottom w:val="0"/>
      <w:divBdr>
        <w:top w:val="none" w:sz="0" w:space="0" w:color="auto"/>
        <w:left w:val="none" w:sz="0" w:space="0" w:color="auto"/>
        <w:bottom w:val="none" w:sz="0" w:space="0" w:color="auto"/>
        <w:right w:val="none" w:sz="0" w:space="0" w:color="auto"/>
      </w:divBdr>
    </w:div>
    <w:div w:id="106580304">
      <w:bodyDiv w:val="1"/>
      <w:marLeft w:val="0"/>
      <w:marRight w:val="0"/>
      <w:marTop w:val="0"/>
      <w:marBottom w:val="0"/>
      <w:divBdr>
        <w:top w:val="none" w:sz="0" w:space="0" w:color="auto"/>
        <w:left w:val="none" w:sz="0" w:space="0" w:color="auto"/>
        <w:bottom w:val="none" w:sz="0" w:space="0" w:color="auto"/>
        <w:right w:val="none" w:sz="0" w:space="0" w:color="auto"/>
      </w:divBdr>
    </w:div>
    <w:div w:id="106782616">
      <w:bodyDiv w:val="1"/>
      <w:marLeft w:val="0"/>
      <w:marRight w:val="0"/>
      <w:marTop w:val="0"/>
      <w:marBottom w:val="0"/>
      <w:divBdr>
        <w:top w:val="none" w:sz="0" w:space="0" w:color="auto"/>
        <w:left w:val="none" w:sz="0" w:space="0" w:color="auto"/>
        <w:bottom w:val="none" w:sz="0" w:space="0" w:color="auto"/>
        <w:right w:val="none" w:sz="0" w:space="0" w:color="auto"/>
      </w:divBdr>
    </w:div>
    <w:div w:id="106825343">
      <w:bodyDiv w:val="1"/>
      <w:marLeft w:val="0"/>
      <w:marRight w:val="0"/>
      <w:marTop w:val="0"/>
      <w:marBottom w:val="0"/>
      <w:divBdr>
        <w:top w:val="none" w:sz="0" w:space="0" w:color="auto"/>
        <w:left w:val="none" w:sz="0" w:space="0" w:color="auto"/>
        <w:bottom w:val="none" w:sz="0" w:space="0" w:color="auto"/>
        <w:right w:val="none" w:sz="0" w:space="0" w:color="auto"/>
      </w:divBdr>
    </w:div>
    <w:div w:id="106854201">
      <w:bodyDiv w:val="1"/>
      <w:marLeft w:val="0"/>
      <w:marRight w:val="0"/>
      <w:marTop w:val="0"/>
      <w:marBottom w:val="0"/>
      <w:divBdr>
        <w:top w:val="none" w:sz="0" w:space="0" w:color="auto"/>
        <w:left w:val="none" w:sz="0" w:space="0" w:color="auto"/>
        <w:bottom w:val="none" w:sz="0" w:space="0" w:color="auto"/>
        <w:right w:val="none" w:sz="0" w:space="0" w:color="auto"/>
      </w:divBdr>
    </w:div>
    <w:div w:id="106855254">
      <w:bodyDiv w:val="1"/>
      <w:marLeft w:val="0"/>
      <w:marRight w:val="0"/>
      <w:marTop w:val="0"/>
      <w:marBottom w:val="0"/>
      <w:divBdr>
        <w:top w:val="none" w:sz="0" w:space="0" w:color="auto"/>
        <w:left w:val="none" w:sz="0" w:space="0" w:color="auto"/>
        <w:bottom w:val="none" w:sz="0" w:space="0" w:color="auto"/>
        <w:right w:val="none" w:sz="0" w:space="0" w:color="auto"/>
      </w:divBdr>
    </w:div>
    <w:div w:id="106896818">
      <w:bodyDiv w:val="1"/>
      <w:marLeft w:val="0"/>
      <w:marRight w:val="0"/>
      <w:marTop w:val="0"/>
      <w:marBottom w:val="0"/>
      <w:divBdr>
        <w:top w:val="none" w:sz="0" w:space="0" w:color="auto"/>
        <w:left w:val="none" w:sz="0" w:space="0" w:color="auto"/>
        <w:bottom w:val="none" w:sz="0" w:space="0" w:color="auto"/>
        <w:right w:val="none" w:sz="0" w:space="0" w:color="auto"/>
      </w:divBdr>
    </w:div>
    <w:div w:id="106975147">
      <w:bodyDiv w:val="1"/>
      <w:marLeft w:val="0"/>
      <w:marRight w:val="0"/>
      <w:marTop w:val="0"/>
      <w:marBottom w:val="0"/>
      <w:divBdr>
        <w:top w:val="none" w:sz="0" w:space="0" w:color="auto"/>
        <w:left w:val="none" w:sz="0" w:space="0" w:color="auto"/>
        <w:bottom w:val="none" w:sz="0" w:space="0" w:color="auto"/>
        <w:right w:val="none" w:sz="0" w:space="0" w:color="auto"/>
      </w:divBdr>
    </w:div>
    <w:div w:id="107047861">
      <w:bodyDiv w:val="1"/>
      <w:marLeft w:val="0"/>
      <w:marRight w:val="0"/>
      <w:marTop w:val="0"/>
      <w:marBottom w:val="0"/>
      <w:divBdr>
        <w:top w:val="none" w:sz="0" w:space="0" w:color="auto"/>
        <w:left w:val="none" w:sz="0" w:space="0" w:color="auto"/>
        <w:bottom w:val="none" w:sz="0" w:space="0" w:color="auto"/>
        <w:right w:val="none" w:sz="0" w:space="0" w:color="auto"/>
      </w:divBdr>
    </w:div>
    <w:div w:id="107047895">
      <w:bodyDiv w:val="1"/>
      <w:marLeft w:val="0"/>
      <w:marRight w:val="0"/>
      <w:marTop w:val="0"/>
      <w:marBottom w:val="0"/>
      <w:divBdr>
        <w:top w:val="none" w:sz="0" w:space="0" w:color="auto"/>
        <w:left w:val="none" w:sz="0" w:space="0" w:color="auto"/>
        <w:bottom w:val="none" w:sz="0" w:space="0" w:color="auto"/>
        <w:right w:val="none" w:sz="0" w:space="0" w:color="auto"/>
      </w:divBdr>
    </w:div>
    <w:div w:id="107165045">
      <w:bodyDiv w:val="1"/>
      <w:marLeft w:val="0"/>
      <w:marRight w:val="0"/>
      <w:marTop w:val="0"/>
      <w:marBottom w:val="0"/>
      <w:divBdr>
        <w:top w:val="none" w:sz="0" w:space="0" w:color="auto"/>
        <w:left w:val="none" w:sz="0" w:space="0" w:color="auto"/>
        <w:bottom w:val="none" w:sz="0" w:space="0" w:color="auto"/>
        <w:right w:val="none" w:sz="0" w:space="0" w:color="auto"/>
      </w:divBdr>
    </w:div>
    <w:div w:id="107285694">
      <w:bodyDiv w:val="1"/>
      <w:marLeft w:val="0"/>
      <w:marRight w:val="0"/>
      <w:marTop w:val="0"/>
      <w:marBottom w:val="0"/>
      <w:divBdr>
        <w:top w:val="none" w:sz="0" w:space="0" w:color="auto"/>
        <w:left w:val="none" w:sz="0" w:space="0" w:color="auto"/>
        <w:bottom w:val="none" w:sz="0" w:space="0" w:color="auto"/>
        <w:right w:val="none" w:sz="0" w:space="0" w:color="auto"/>
      </w:divBdr>
    </w:div>
    <w:div w:id="107362550">
      <w:bodyDiv w:val="1"/>
      <w:marLeft w:val="0"/>
      <w:marRight w:val="0"/>
      <w:marTop w:val="0"/>
      <w:marBottom w:val="0"/>
      <w:divBdr>
        <w:top w:val="none" w:sz="0" w:space="0" w:color="auto"/>
        <w:left w:val="none" w:sz="0" w:space="0" w:color="auto"/>
        <w:bottom w:val="none" w:sz="0" w:space="0" w:color="auto"/>
        <w:right w:val="none" w:sz="0" w:space="0" w:color="auto"/>
      </w:divBdr>
    </w:div>
    <w:div w:id="107625293">
      <w:bodyDiv w:val="1"/>
      <w:marLeft w:val="0"/>
      <w:marRight w:val="0"/>
      <w:marTop w:val="0"/>
      <w:marBottom w:val="0"/>
      <w:divBdr>
        <w:top w:val="none" w:sz="0" w:space="0" w:color="auto"/>
        <w:left w:val="none" w:sz="0" w:space="0" w:color="auto"/>
        <w:bottom w:val="none" w:sz="0" w:space="0" w:color="auto"/>
        <w:right w:val="none" w:sz="0" w:space="0" w:color="auto"/>
      </w:divBdr>
    </w:div>
    <w:div w:id="107702295">
      <w:bodyDiv w:val="1"/>
      <w:marLeft w:val="0"/>
      <w:marRight w:val="0"/>
      <w:marTop w:val="0"/>
      <w:marBottom w:val="0"/>
      <w:divBdr>
        <w:top w:val="none" w:sz="0" w:space="0" w:color="auto"/>
        <w:left w:val="none" w:sz="0" w:space="0" w:color="auto"/>
        <w:bottom w:val="none" w:sz="0" w:space="0" w:color="auto"/>
        <w:right w:val="none" w:sz="0" w:space="0" w:color="auto"/>
      </w:divBdr>
    </w:div>
    <w:div w:id="107704014">
      <w:bodyDiv w:val="1"/>
      <w:marLeft w:val="0"/>
      <w:marRight w:val="0"/>
      <w:marTop w:val="0"/>
      <w:marBottom w:val="0"/>
      <w:divBdr>
        <w:top w:val="none" w:sz="0" w:space="0" w:color="auto"/>
        <w:left w:val="none" w:sz="0" w:space="0" w:color="auto"/>
        <w:bottom w:val="none" w:sz="0" w:space="0" w:color="auto"/>
        <w:right w:val="none" w:sz="0" w:space="0" w:color="auto"/>
      </w:divBdr>
    </w:div>
    <w:div w:id="107704471">
      <w:bodyDiv w:val="1"/>
      <w:marLeft w:val="0"/>
      <w:marRight w:val="0"/>
      <w:marTop w:val="0"/>
      <w:marBottom w:val="0"/>
      <w:divBdr>
        <w:top w:val="none" w:sz="0" w:space="0" w:color="auto"/>
        <w:left w:val="none" w:sz="0" w:space="0" w:color="auto"/>
        <w:bottom w:val="none" w:sz="0" w:space="0" w:color="auto"/>
        <w:right w:val="none" w:sz="0" w:space="0" w:color="auto"/>
      </w:divBdr>
    </w:div>
    <w:div w:id="107706760">
      <w:bodyDiv w:val="1"/>
      <w:marLeft w:val="0"/>
      <w:marRight w:val="0"/>
      <w:marTop w:val="0"/>
      <w:marBottom w:val="0"/>
      <w:divBdr>
        <w:top w:val="none" w:sz="0" w:space="0" w:color="auto"/>
        <w:left w:val="none" w:sz="0" w:space="0" w:color="auto"/>
        <w:bottom w:val="none" w:sz="0" w:space="0" w:color="auto"/>
        <w:right w:val="none" w:sz="0" w:space="0" w:color="auto"/>
      </w:divBdr>
    </w:div>
    <w:div w:id="107898449">
      <w:bodyDiv w:val="1"/>
      <w:marLeft w:val="0"/>
      <w:marRight w:val="0"/>
      <w:marTop w:val="0"/>
      <w:marBottom w:val="0"/>
      <w:divBdr>
        <w:top w:val="none" w:sz="0" w:space="0" w:color="auto"/>
        <w:left w:val="none" w:sz="0" w:space="0" w:color="auto"/>
        <w:bottom w:val="none" w:sz="0" w:space="0" w:color="auto"/>
        <w:right w:val="none" w:sz="0" w:space="0" w:color="auto"/>
      </w:divBdr>
    </w:div>
    <w:div w:id="108551145">
      <w:bodyDiv w:val="1"/>
      <w:marLeft w:val="0"/>
      <w:marRight w:val="0"/>
      <w:marTop w:val="0"/>
      <w:marBottom w:val="0"/>
      <w:divBdr>
        <w:top w:val="none" w:sz="0" w:space="0" w:color="auto"/>
        <w:left w:val="none" w:sz="0" w:space="0" w:color="auto"/>
        <w:bottom w:val="none" w:sz="0" w:space="0" w:color="auto"/>
        <w:right w:val="none" w:sz="0" w:space="0" w:color="auto"/>
      </w:divBdr>
    </w:div>
    <w:div w:id="108747896">
      <w:bodyDiv w:val="1"/>
      <w:marLeft w:val="0"/>
      <w:marRight w:val="0"/>
      <w:marTop w:val="0"/>
      <w:marBottom w:val="0"/>
      <w:divBdr>
        <w:top w:val="none" w:sz="0" w:space="0" w:color="auto"/>
        <w:left w:val="none" w:sz="0" w:space="0" w:color="auto"/>
        <w:bottom w:val="none" w:sz="0" w:space="0" w:color="auto"/>
        <w:right w:val="none" w:sz="0" w:space="0" w:color="auto"/>
      </w:divBdr>
    </w:div>
    <w:div w:id="108814421">
      <w:bodyDiv w:val="1"/>
      <w:marLeft w:val="0"/>
      <w:marRight w:val="0"/>
      <w:marTop w:val="0"/>
      <w:marBottom w:val="0"/>
      <w:divBdr>
        <w:top w:val="none" w:sz="0" w:space="0" w:color="auto"/>
        <w:left w:val="none" w:sz="0" w:space="0" w:color="auto"/>
        <w:bottom w:val="none" w:sz="0" w:space="0" w:color="auto"/>
        <w:right w:val="none" w:sz="0" w:space="0" w:color="auto"/>
      </w:divBdr>
    </w:div>
    <w:div w:id="108935941">
      <w:bodyDiv w:val="1"/>
      <w:marLeft w:val="0"/>
      <w:marRight w:val="0"/>
      <w:marTop w:val="0"/>
      <w:marBottom w:val="0"/>
      <w:divBdr>
        <w:top w:val="none" w:sz="0" w:space="0" w:color="auto"/>
        <w:left w:val="none" w:sz="0" w:space="0" w:color="auto"/>
        <w:bottom w:val="none" w:sz="0" w:space="0" w:color="auto"/>
        <w:right w:val="none" w:sz="0" w:space="0" w:color="auto"/>
      </w:divBdr>
    </w:div>
    <w:div w:id="109250465">
      <w:bodyDiv w:val="1"/>
      <w:marLeft w:val="0"/>
      <w:marRight w:val="0"/>
      <w:marTop w:val="0"/>
      <w:marBottom w:val="0"/>
      <w:divBdr>
        <w:top w:val="none" w:sz="0" w:space="0" w:color="auto"/>
        <w:left w:val="none" w:sz="0" w:space="0" w:color="auto"/>
        <w:bottom w:val="none" w:sz="0" w:space="0" w:color="auto"/>
        <w:right w:val="none" w:sz="0" w:space="0" w:color="auto"/>
      </w:divBdr>
    </w:div>
    <w:div w:id="109279076">
      <w:bodyDiv w:val="1"/>
      <w:marLeft w:val="0"/>
      <w:marRight w:val="0"/>
      <w:marTop w:val="0"/>
      <w:marBottom w:val="0"/>
      <w:divBdr>
        <w:top w:val="none" w:sz="0" w:space="0" w:color="auto"/>
        <w:left w:val="none" w:sz="0" w:space="0" w:color="auto"/>
        <w:bottom w:val="none" w:sz="0" w:space="0" w:color="auto"/>
        <w:right w:val="none" w:sz="0" w:space="0" w:color="auto"/>
      </w:divBdr>
    </w:div>
    <w:div w:id="109280598">
      <w:bodyDiv w:val="1"/>
      <w:marLeft w:val="0"/>
      <w:marRight w:val="0"/>
      <w:marTop w:val="0"/>
      <w:marBottom w:val="0"/>
      <w:divBdr>
        <w:top w:val="none" w:sz="0" w:space="0" w:color="auto"/>
        <w:left w:val="none" w:sz="0" w:space="0" w:color="auto"/>
        <w:bottom w:val="none" w:sz="0" w:space="0" w:color="auto"/>
        <w:right w:val="none" w:sz="0" w:space="0" w:color="auto"/>
      </w:divBdr>
    </w:div>
    <w:div w:id="109323371">
      <w:bodyDiv w:val="1"/>
      <w:marLeft w:val="0"/>
      <w:marRight w:val="0"/>
      <w:marTop w:val="0"/>
      <w:marBottom w:val="0"/>
      <w:divBdr>
        <w:top w:val="none" w:sz="0" w:space="0" w:color="auto"/>
        <w:left w:val="none" w:sz="0" w:space="0" w:color="auto"/>
        <w:bottom w:val="none" w:sz="0" w:space="0" w:color="auto"/>
        <w:right w:val="none" w:sz="0" w:space="0" w:color="auto"/>
      </w:divBdr>
    </w:div>
    <w:div w:id="109395750">
      <w:bodyDiv w:val="1"/>
      <w:marLeft w:val="0"/>
      <w:marRight w:val="0"/>
      <w:marTop w:val="0"/>
      <w:marBottom w:val="0"/>
      <w:divBdr>
        <w:top w:val="none" w:sz="0" w:space="0" w:color="auto"/>
        <w:left w:val="none" w:sz="0" w:space="0" w:color="auto"/>
        <w:bottom w:val="none" w:sz="0" w:space="0" w:color="auto"/>
        <w:right w:val="none" w:sz="0" w:space="0" w:color="auto"/>
      </w:divBdr>
    </w:div>
    <w:div w:id="109399576">
      <w:bodyDiv w:val="1"/>
      <w:marLeft w:val="0"/>
      <w:marRight w:val="0"/>
      <w:marTop w:val="0"/>
      <w:marBottom w:val="0"/>
      <w:divBdr>
        <w:top w:val="none" w:sz="0" w:space="0" w:color="auto"/>
        <w:left w:val="none" w:sz="0" w:space="0" w:color="auto"/>
        <w:bottom w:val="none" w:sz="0" w:space="0" w:color="auto"/>
        <w:right w:val="none" w:sz="0" w:space="0" w:color="auto"/>
      </w:divBdr>
    </w:div>
    <w:div w:id="109474540">
      <w:bodyDiv w:val="1"/>
      <w:marLeft w:val="0"/>
      <w:marRight w:val="0"/>
      <w:marTop w:val="0"/>
      <w:marBottom w:val="0"/>
      <w:divBdr>
        <w:top w:val="none" w:sz="0" w:space="0" w:color="auto"/>
        <w:left w:val="none" w:sz="0" w:space="0" w:color="auto"/>
        <w:bottom w:val="none" w:sz="0" w:space="0" w:color="auto"/>
        <w:right w:val="none" w:sz="0" w:space="0" w:color="auto"/>
      </w:divBdr>
    </w:div>
    <w:div w:id="109597095">
      <w:bodyDiv w:val="1"/>
      <w:marLeft w:val="0"/>
      <w:marRight w:val="0"/>
      <w:marTop w:val="0"/>
      <w:marBottom w:val="0"/>
      <w:divBdr>
        <w:top w:val="none" w:sz="0" w:space="0" w:color="auto"/>
        <w:left w:val="none" w:sz="0" w:space="0" w:color="auto"/>
        <w:bottom w:val="none" w:sz="0" w:space="0" w:color="auto"/>
        <w:right w:val="none" w:sz="0" w:space="0" w:color="auto"/>
      </w:divBdr>
    </w:div>
    <w:div w:id="109707796">
      <w:bodyDiv w:val="1"/>
      <w:marLeft w:val="0"/>
      <w:marRight w:val="0"/>
      <w:marTop w:val="0"/>
      <w:marBottom w:val="0"/>
      <w:divBdr>
        <w:top w:val="none" w:sz="0" w:space="0" w:color="auto"/>
        <w:left w:val="none" w:sz="0" w:space="0" w:color="auto"/>
        <w:bottom w:val="none" w:sz="0" w:space="0" w:color="auto"/>
        <w:right w:val="none" w:sz="0" w:space="0" w:color="auto"/>
      </w:divBdr>
    </w:div>
    <w:div w:id="109856363">
      <w:bodyDiv w:val="1"/>
      <w:marLeft w:val="0"/>
      <w:marRight w:val="0"/>
      <w:marTop w:val="0"/>
      <w:marBottom w:val="0"/>
      <w:divBdr>
        <w:top w:val="none" w:sz="0" w:space="0" w:color="auto"/>
        <w:left w:val="none" w:sz="0" w:space="0" w:color="auto"/>
        <w:bottom w:val="none" w:sz="0" w:space="0" w:color="auto"/>
        <w:right w:val="none" w:sz="0" w:space="0" w:color="auto"/>
      </w:divBdr>
    </w:div>
    <w:div w:id="109863332">
      <w:bodyDiv w:val="1"/>
      <w:marLeft w:val="0"/>
      <w:marRight w:val="0"/>
      <w:marTop w:val="0"/>
      <w:marBottom w:val="0"/>
      <w:divBdr>
        <w:top w:val="none" w:sz="0" w:space="0" w:color="auto"/>
        <w:left w:val="none" w:sz="0" w:space="0" w:color="auto"/>
        <w:bottom w:val="none" w:sz="0" w:space="0" w:color="auto"/>
        <w:right w:val="none" w:sz="0" w:space="0" w:color="auto"/>
      </w:divBdr>
    </w:div>
    <w:div w:id="109904555">
      <w:bodyDiv w:val="1"/>
      <w:marLeft w:val="0"/>
      <w:marRight w:val="0"/>
      <w:marTop w:val="0"/>
      <w:marBottom w:val="0"/>
      <w:divBdr>
        <w:top w:val="none" w:sz="0" w:space="0" w:color="auto"/>
        <w:left w:val="none" w:sz="0" w:space="0" w:color="auto"/>
        <w:bottom w:val="none" w:sz="0" w:space="0" w:color="auto"/>
        <w:right w:val="none" w:sz="0" w:space="0" w:color="auto"/>
      </w:divBdr>
    </w:div>
    <w:div w:id="110049967">
      <w:bodyDiv w:val="1"/>
      <w:marLeft w:val="0"/>
      <w:marRight w:val="0"/>
      <w:marTop w:val="0"/>
      <w:marBottom w:val="0"/>
      <w:divBdr>
        <w:top w:val="none" w:sz="0" w:space="0" w:color="auto"/>
        <w:left w:val="none" w:sz="0" w:space="0" w:color="auto"/>
        <w:bottom w:val="none" w:sz="0" w:space="0" w:color="auto"/>
        <w:right w:val="none" w:sz="0" w:space="0" w:color="auto"/>
      </w:divBdr>
    </w:div>
    <w:div w:id="110176147">
      <w:bodyDiv w:val="1"/>
      <w:marLeft w:val="0"/>
      <w:marRight w:val="0"/>
      <w:marTop w:val="0"/>
      <w:marBottom w:val="0"/>
      <w:divBdr>
        <w:top w:val="none" w:sz="0" w:space="0" w:color="auto"/>
        <w:left w:val="none" w:sz="0" w:space="0" w:color="auto"/>
        <w:bottom w:val="none" w:sz="0" w:space="0" w:color="auto"/>
        <w:right w:val="none" w:sz="0" w:space="0" w:color="auto"/>
      </w:divBdr>
    </w:div>
    <w:div w:id="110327689">
      <w:bodyDiv w:val="1"/>
      <w:marLeft w:val="0"/>
      <w:marRight w:val="0"/>
      <w:marTop w:val="0"/>
      <w:marBottom w:val="0"/>
      <w:divBdr>
        <w:top w:val="none" w:sz="0" w:space="0" w:color="auto"/>
        <w:left w:val="none" w:sz="0" w:space="0" w:color="auto"/>
        <w:bottom w:val="none" w:sz="0" w:space="0" w:color="auto"/>
        <w:right w:val="none" w:sz="0" w:space="0" w:color="auto"/>
      </w:divBdr>
    </w:div>
    <w:div w:id="110367949">
      <w:bodyDiv w:val="1"/>
      <w:marLeft w:val="0"/>
      <w:marRight w:val="0"/>
      <w:marTop w:val="0"/>
      <w:marBottom w:val="0"/>
      <w:divBdr>
        <w:top w:val="none" w:sz="0" w:space="0" w:color="auto"/>
        <w:left w:val="none" w:sz="0" w:space="0" w:color="auto"/>
        <w:bottom w:val="none" w:sz="0" w:space="0" w:color="auto"/>
        <w:right w:val="none" w:sz="0" w:space="0" w:color="auto"/>
      </w:divBdr>
    </w:div>
    <w:div w:id="110436603">
      <w:bodyDiv w:val="1"/>
      <w:marLeft w:val="0"/>
      <w:marRight w:val="0"/>
      <w:marTop w:val="0"/>
      <w:marBottom w:val="0"/>
      <w:divBdr>
        <w:top w:val="none" w:sz="0" w:space="0" w:color="auto"/>
        <w:left w:val="none" w:sz="0" w:space="0" w:color="auto"/>
        <w:bottom w:val="none" w:sz="0" w:space="0" w:color="auto"/>
        <w:right w:val="none" w:sz="0" w:space="0" w:color="auto"/>
      </w:divBdr>
    </w:div>
    <w:div w:id="110518533">
      <w:bodyDiv w:val="1"/>
      <w:marLeft w:val="0"/>
      <w:marRight w:val="0"/>
      <w:marTop w:val="0"/>
      <w:marBottom w:val="0"/>
      <w:divBdr>
        <w:top w:val="none" w:sz="0" w:space="0" w:color="auto"/>
        <w:left w:val="none" w:sz="0" w:space="0" w:color="auto"/>
        <w:bottom w:val="none" w:sz="0" w:space="0" w:color="auto"/>
        <w:right w:val="none" w:sz="0" w:space="0" w:color="auto"/>
      </w:divBdr>
    </w:div>
    <w:div w:id="110561710">
      <w:bodyDiv w:val="1"/>
      <w:marLeft w:val="0"/>
      <w:marRight w:val="0"/>
      <w:marTop w:val="0"/>
      <w:marBottom w:val="0"/>
      <w:divBdr>
        <w:top w:val="none" w:sz="0" w:space="0" w:color="auto"/>
        <w:left w:val="none" w:sz="0" w:space="0" w:color="auto"/>
        <w:bottom w:val="none" w:sz="0" w:space="0" w:color="auto"/>
        <w:right w:val="none" w:sz="0" w:space="0" w:color="auto"/>
      </w:divBdr>
    </w:div>
    <w:div w:id="110587589">
      <w:bodyDiv w:val="1"/>
      <w:marLeft w:val="0"/>
      <w:marRight w:val="0"/>
      <w:marTop w:val="0"/>
      <w:marBottom w:val="0"/>
      <w:divBdr>
        <w:top w:val="none" w:sz="0" w:space="0" w:color="auto"/>
        <w:left w:val="none" w:sz="0" w:space="0" w:color="auto"/>
        <w:bottom w:val="none" w:sz="0" w:space="0" w:color="auto"/>
        <w:right w:val="none" w:sz="0" w:space="0" w:color="auto"/>
      </w:divBdr>
    </w:div>
    <w:div w:id="110714144">
      <w:bodyDiv w:val="1"/>
      <w:marLeft w:val="0"/>
      <w:marRight w:val="0"/>
      <w:marTop w:val="0"/>
      <w:marBottom w:val="0"/>
      <w:divBdr>
        <w:top w:val="none" w:sz="0" w:space="0" w:color="auto"/>
        <w:left w:val="none" w:sz="0" w:space="0" w:color="auto"/>
        <w:bottom w:val="none" w:sz="0" w:space="0" w:color="auto"/>
        <w:right w:val="none" w:sz="0" w:space="0" w:color="auto"/>
      </w:divBdr>
    </w:div>
    <w:div w:id="111172565">
      <w:bodyDiv w:val="1"/>
      <w:marLeft w:val="0"/>
      <w:marRight w:val="0"/>
      <w:marTop w:val="0"/>
      <w:marBottom w:val="0"/>
      <w:divBdr>
        <w:top w:val="none" w:sz="0" w:space="0" w:color="auto"/>
        <w:left w:val="none" w:sz="0" w:space="0" w:color="auto"/>
        <w:bottom w:val="none" w:sz="0" w:space="0" w:color="auto"/>
        <w:right w:val="none" w:sz="0" w:space="0" w:color="auto"/>
      </w:divBdr>
    </w:div>
    <w:div w:id="111245438">
      <w:bodyDiv w:val="1"/>
      <w:marLeft w:val="0"/>
      <w:marRight w:val="0"/>
      <w:marTop w:val="0"/>
      <w:marBottom w:val="0"/>
      <w:divBdr>
        <w:top w:val="none" w:sz="0" w:space="0" w:color="auto"/>
        <w:left w:val="none" w:sz="0" w:space="0" w:color="auto"/>
        <w:bottom w:val="none" w:sz="0" w:space="0" w:color="auto"/>
        <w:right w:val="none" w:sz="0" w:space="0" w:color="auto"/>
      </w:divBdr>
    </w:div>
    <w:div w:id="111289429">
      <w:bodyDiv w:val="1"/>
      <w:marLeft w:val="0"/>
      <w:marRight w:val="0"/>
      <w:marTop w:val="0"/>
      <w:marBottom w:val="0"/>
      <w:divBdr>
        <w:top w:val="none" w:sz="0" w:space="0" w:color="auto"/>
        <w:left w:val="none" w:sz="0" w:space="0" w:color="auto"/>
        <w:bottom w:val="none" w:sz="0" w:space="0" w:color="auto"/>
        <w:right w:val="none" w:sz="0" w:space="0" w:color="auto"/>
      </w:divBdr>
    </w:div>
    <w:div w:id="111365117">
      <w:bodyDiv w:val="1"/>
      <w:marLeft w:val="0"/>
      <w:marRight w:val="0"/>
      <w:marTop w:val="0"/>
      <w:marBottom w:val="0"/>
      <w:divBdr>
        <w:top w:val="none" w:sz="0" w:space="0" w:color="auto"/>
        <w:left w:val="none" w:sz="0" w:space="0" w:color="auto"/>
        <w:bottom w:val="none" w:sz="0" w:space="0" w:color="auto"/>
        <w:right w:val="none" w:sz="0" w:space="0" w:color="auto"/>
      </w:divBdr>
    </w:div>
    <w:div w:id="111747705">
      <w:bodyDiv w:val="1"/>
      <w:marLeft w:val="0"/>
      <w:marRight w:val="0"/>
      <w:marTop w:val="0"/>
      <w:marBottom w:val="0"/>
      <w:divBdr>
        <w:top w:val="none" w:sz="0" w:space="0" w:color="auto"/>
        <w:left w:val="none" w:sz="0" w:space="0" w:color="auto"/>
        <w:bottom w:val="none" w:sz="0" w:space="0" w:color="auto"/>
        <w:right w:val="none" w:sz="0" w:space="0" w:color="auto"/>
      </w:divBdr>
    </w:div>
    <w:div w:id="111830526">
      <w:bodyDiv w:val="1"/>
      <w:marLeft w:val="0"/>
      <w:marRight w:val="0"/>
      <w:marTop w:val="0"/>
      <w:marBottom w:val="0"/>
      <w:divBdr>
        <w:top w:val="none" w:sz="0" w:space="0" w:color="auto"/>
        <w:left w:val="none" w:sz="0" w:space="0" w:color="auto"/>
        <w:bottom w:val="none" w:sz="0" w:space="0" w:color="auto"/>
        <w:right w:val="none" w:sz="0" w:space="0" w:color="auto"/>
      </w:divBdr>
    </w:div>
    <w:div w:id="111872089">
      <w:bodyDiv w:val="1"/>
      <w:marLeft w:val="0"/>
      <w:marRight w:val="0"/>
      <w:marTop w:val="0"/>
      <w:marBottom w:val="0"/>
      <w:divBdr>
        <w:top w:val="none" w:sz="0" w:space="0" w:color="auto"/>
        <w:left w:val="none" w:sz="0" w:space="0" w:color="auto"/>
        <w:bottom w:val="none" w:sz="0" w:space="0" w:color="auto"/>
        <w:right w:val="none" w:sz="0" w:space="0" w:color="auto"/>
      </w:divBdr>
    </w:div>
    <w:div w:id="111873965">
      <w:bodyDiv w:val="1"/>
      <w:marLeft w:val="0"/>
      <w:marRight w:val="0"/>
      <w:marTop w:val="0"/>
      <w:marBottom w:val="0"/>
      <w:divBdr>
        <w:top w:val="none" w:sz="0" w:space="0" w:color="auto"/>
        <w:left w:val="none" w:sz="0" w:space="0" w:color="auto"/>
        <w:bottom w:val="none" w:sz="0" w:space="0" w:color="auto"/>
        <w:right w:val="none" w:sz="0" w:space="0" w:color="auto"/>
      </w:divBdr>
    </w:div>
    <w:div w:id="111948444">
      <w:bodyDiv w:val="1"/>
      <w:marLeft w:val="0"/>
      <w:marRight w:val="0"/>
      <w:marTop w:val="0"/>
      <w:marBottom w:val="0"/>
      <w:divBdr>
        <w:top w:val="none" w:sz="0" w:space="0" w:color="auto"/>
        <w:left w:val="none" w:sz="0" w:space="0" w:color="auto"/>
        <w:bottom w:val="none" w:sz="0" w:space="0" w:color="auto"/>
        <w:right w:val="none" w:sz="0" w:space="0" w:color="auto"/>
      </w:divBdr>
    </w:div>
    <w:div w:id="111949110">
      <w:bodyDiv w:val="1"/>
      <w:marLeft w:val="0"/>
      <w:marRight w:val="0"/>
      <w:marTop w:val="0"/>
      <w:marBottom w:val="0"/>
      <w:divBdr>
        <w:top w:val="none" w:sz="0" w:space="0" w:color="auto"/>
        <w:left w:val="none" w:sz="0" w:space="0" w:color="auto"/>
        <w:bottom w:val="none" w:sz="0" w:space="0" w:color="auto"/>
        <w:right w:val="none" w:sz="0" w:space="0" w:color="auto"/>
      </w:divBdr>
    </w:div>
    <w:div w:id="112066656">
      <w:bodyDiv w:val="1"/>
      <w:marLeft w:val="0"/>
      <w:marRight w:val="0"/>
      <w:marTop w:val="0"/>
      <w:marBottom w:val="0"/>
      <w:divBdr>
        <w:top w:val="none" w:sz="0" w:space="0" w:color="auto"/>
        <w:left w:val="none" w:sz="0" w:space="0" w:color="auto"/>
        <w:bottom w:val="none" w:sz="0" w:space="0" w:color="auto"/>
        <w:right w:val="none" w:sz="0" w:space="0" w:color="auto"/>
      </w:divBdr>
    </w:div>
    <w:div w:id="112093499">
      <w:bodyDiv w:val="1"/>
      <w:marLeft w:val="0"/>
      <w:marRight w:val="0"/>
      <w:marTop w:val="0"/>
      <w:marBottom w:val="0"/>
      <w:divBdr>
        <w:top w:val="none" w:sz="0" w:space="0" w:color="auto"/>
        <w:left w:val="none" w:sz="0" w:space="0" w:color="auto"/>
        <w:bottom w:val="none" w:sz="0" w:space="0" w:color="auto"/>
        <w:right w:val="none" w:sz="0" w:space="0" w:color="auto"/>
      </w:divBdr>
    </w:div>
    <w:div w:id="112097260">
      <w:bodyDiv w:val="1"/>
      <w:marLeft w:val="0"/>
      <w:marRight w:val="0"/>
      <w:marTop w:val="0"/>
      <w:marBottom w:val="0"/>
      <w:divBdr>
        <w:top w:val="none" w:sz="0" w:space="0" w:color="auto"/>
        <w:left w:val="none" w:sz="0" w:space="0" w:color="auto"/>
        <w:bottom w:val="none" w:sz="0" w:space="0" w:color="auto"/>
        <w:right w:val="none" w:sz="0" w:space="0" w:color="auto"/>
      </w:divBdr>
    </w:div>
    <w:div w:id="112329649">
      <w:bodyDiv w:val="1"/>
      <w:marLeft w:val="0"/>
      <w:marRight w:val="0"/>
      <w:marTop w:val="0"/>
      <w:marBottom w:val="0"/>
      <w:divBdr>
        <w:top w:val="none" w:sz="0" w:space="0" w:color="auto"/>
        <w:left w:val="none" w:sz="0" w:space="0" w:color="auto"/>
        <w:bottom w:val="none" w:sz="0" w:space="0" w:color="auto"/>
        <w:right w:val="none" w:sz="0" w:space="0" w:color="auto"/>
      </w:divBdr>
    </w:div>
    <w:div w:id="112526468">
      <w:bodyDiv w:val="1"/>
      <w:marLeft w:val="0"/>
      <w:marRight w:val="0"/>
      <w:marTop w:val="0"/>
      <w:marBottom w:val="0"/>
      <w:divBdr>
        <w:top w:val="none" w:sz="0" w:space="0" w:color="auto"/>
        <w:left w:val="none" w:sz="0" w:space="0" w:color="auto"/>
        <w:bottom w:val="none" w:sz="0" w:space="0" w:color="auto"/>
        <w:right w:val="none" w:sz="0" w:space="0" w:color="auto"/>
      </w:divBdr>
    </w:div>
    <w:div w:id="112552824">
      <w:bodyDiv w:val="1"/>
      <w:marLeft w:val="0"/>
      <w:marRight w:val="0"/>
      <w:marTop w:val="0"/>
      <w:marBottom w:val="0"/>
      <w:divBdr>
        <w:top w:val="none" w:sz="0" w:space="0" w:color="auto"/>
        <w:left w:val="none" w:sz="0" w:space="0" w:color="auto"/>
        <w:bottom w:val="none" w:sz="0" w:space="0" w:color="auto"/>
        <w:right w:val="none" w:sz="0" w:space="0" w:color="auto"/>
      </w:divBdr>
    </w:div>
    <w:div w:id="112597342">
      <w:bodyDiv w:val="1"/>
      <w:marLeft w:val="0"/>
      <w:marRight w:val="0"/>
      <w:marTop w:val="0"/>
      <w:marBottom w:val="0"/>
      <w:divBdr>
        <w:top w:val="none" w:sz="0" w:space="0" w:color="auto"/>
        <w:left w:val="none" w:sz="0" w:space="0" w:color="auto"/>
        <w:bottom w:val="none" w:sz="0" w:space="0" w:color="auto"/>
        <w:right w:val="none" w:sz="0" w:space="0" w:color="auto"/>
      </w:divBdr>
    </w:div>
    <w:div w:id="112599105">
      <w:bodyDiv w:val="1"/>
      <w:marLeft w:val="0"/>
      <w:marRight w:val="0"/>
      <w:marTop w:val="0"/>
      <w:marBottom w:val="0"/>
      <w:divBdr>
        <w:top w:val="none" w:sz="0" w:space="0" w:color="auto"/>
        <w:left w:val="none" w:sz="0" w:space="0" w:color="auto"/>
        <w:bottom w:val="none" w:sz="0" w:space="0" w:color="auto"/>
        <w:right w:val="none" w:sz="0" w:space="0" w:color="auto"/>
      </w:divBdr>
    </w:div>
    <w:div w:id="112671739">
      <w:bodyDiv w:val="1"/>
      <w:marLeft w:val="0"/>
      <w:marRight w:val="0"/>
      <w:marTop w:val="0"/>
      <w:marBottom w:val="0"/>
      <w:divBdr>
        <w:top w:val="none" w:sz="0" w:space="0" w:color="auto"/>
        <w:left w:val="none" w:sz="0" w:space="0" w:color="auto"/>
        <w:bottom w:val="none" w:sz="0" w:space="0" w:color="auto"/>
        <w:right w:val="none" w:sz="0" w:space="0" w:color="auto"/>
      </w:divBdr>
    </w:div>
    <w:div w:id="112679031">
      <w:bodyDiv w:val="1"/>
      <w:marLeft w:val="0"/>
      <w:marRight w:val="0"/>
      <w:marTop w:val="0"/>
      <w:marBottom w:val="0"/>
      <w:divBdr>
        <w:top w:val="none" w:sz="0" w:space="0" w:color="auto"/>
        <w:left w:val="none" w:sz="0" w:space="0" w:color="auto"/>
        <w:bottom w:val="none" w:sz="0" w:space="0" w:color="auto"/>
        <w:right w:val="none" w:sz="0" w:space="0" w:color="auto"/>
      </w:divBdr>
    </w:div>
    <w:div w:id="112680401">
      <w:bodyDiv w:val="1"/>
      <w:marLeft w:val="0"/>
      <w:marRight w:val="0"/>
      <w:marTop w:val="0"/>
      <w:marBottom w:val="0"/>
      <w:divBdr>
        <w:top w:val="none" w:sz="0" w:space="0" w:color="auto"/>
        <w:left w:val="none" w:sz="0" w:space="0" w:color="auto"/>
        <w:bottom w:val="none" w:sz="0" w:space="0" w:color="auto"/>
        <w:right w:val="none" w:sz="0" w:space="0" w:color="auto"/>
      </w:divBdr>
    </w:div>
    <w:div w:id="112747024">
      <w:bodyDiv w:val="1"/>
      <w:marLeft w:val="0"/>
      <w:marRight w:val="0"/>
      <w:marTop w:val="0"/>
      <w:marBottom w:val="0"/>
      <w:divBdr>
        <w:top w:val="none" w:sz="0" w:space="0" w:color="auto"/>
        <w:left w:val="none" w:sz="0" w:space="0" w:color="auto"/>
        <w:bottom w:val="none" w:sz="0" w:space="0" w:color="auto"/>
        <w:right w:val="none" w:sz="0" w:space="0" w:color="auto"/>
      </w:divBdr>
    </w:div>
    <w:div w:id="112865773">
      <w:bodyDiv w:val="1"/>
      <w:marLeft w:val="0"/>
      <w:marRight w:val="0"/>
      <w:marTop w:val="0"/>
      <w:marBottom w:val="0"/>
      <w:divBdr>
        <w:top w:val="none" w:sz="0" w:space="0" w:color="auto"/>
        <w:left w:val="none" w:sz="0" w:space="0" w:color="auto"/>
        <w:bottom w:val="none" w:sz="0" w:space="0" w:color="auto"/>
        <w:right w:val="none" w:sz="0" w:space="0" w:color="auto"/>
      </w:divBdr>
    </w:div>
    <w:div w:id="112949071">
      <w:bodyDiv w:val="1"/>
      <w:marLeft w:val="0"/>
      <w:marRight w:val="0"/>
      <w:marTop w:val="0"/>
      <w:marBottom w:val="0"/>
      <w:divBdr>
        <w:top w:val="none" w:sz="0" w:space="0" w:color="auto"/>
        <w:left w:val="none" w:sz="0" w:space="0" w:color="auto"/>
        <w:bottom w:val="none" w:sz="0" w:space="0" w:color="auto"/>
        <w:right w:val="none" w:sz="0" w:space="0" w:color="auto"/>
      </w:divBdr>
    </w:div>
    <w:div w:id="113061255">
      <w:bodyDiv w:val="1"/>
      <w:marLeft w:val="0"/>
      <w:marRight w:val="0"/>
      <w:marTop w:val="0"/>
      <w:marBottom w:val="0"/>
      <w:divBdr>
        <w:top w:val="none" w:sz="0" w:space="0" w:color="auto"/>
        <w:left w:val="none" w:sz="0" w:space="0" w:color="auto"/>
        <w:bottom w:val="none" w:sz="0" w:space="0" w:color="auto"/>
        <w:right w:val="none" w:sz="0" w:space="0" w:color="auto"/>
      </w:divBdr>
    </w:div>
    <w:div w:id="113138145">
      <w:bodyDiv w:val="1"/>
      <w:marLeft w:val="0"/>
      <w:marRight w:val="0"/>
      <w:marTop w:val="0"/>
      <w:marBottom w:val="0"/>
      <w:divBdr>
        <w:top w:val="none" w:sz="0" w:space="0" w:color="auto"/>
        <w:left w:val="none" w:sz="0" w:space="0" w:color="auto"/>
        <w:bottom w:val="none" w:sz="0" w:space="0" w:color="auto"/>
        <w:right w:val="none" w:sz="0" w:space="0" w:color="auto"/>
      </w:divBdr>
    </w:div>
    <w:div w:id="113326680">
      <w:bodyDiv w:val="1"/>
      <w:marLeft w:val="0"/>
      <w:marRight w:val="0"/>
      <w:marTop w:val="0"/>
      <w:marBottom w:val="0"/>
      <w:divBdr>
        <w:top w:val="none" w:sz="0" w:space="0" w:color="auto"/>
        <w:left w:val="none" w:sz="0" w:space="0" w:color="auto"/>
        <w:bottom w:val="none" w:sz="0" w:space="0" w:color="auto"/>
        <w:right w:val="none" w:sz="0" w:space="0" w:color="auto"/>
      </w:divBdr>
    </w:div>
    <w:div w:id="113330496">
      <w:bodyDiv w:val="1"/>
      <w:marLeft w:val="0"/>
      <w:marRight w:val="0"/>
      <w:marTop w:val="0"/>
      <w:marBottom w:val="0"/>
      <w:divBdr>
        <w:top w:val="none" w:sz="0" w:space="0" w:color="auto"/>
        <w:left w:val="none" w:sz="0" w:space="0" w:color="auto"/>
        <w:bottom w:val="none" w:sz="0" w:space="0" w:color="auto"/>
        <w:right w:val="none" w:sz="0" w:space="0" w:color="auto"/>
      </w:divBdr>
    </w:div>
    <w:div w:id="113332064">
      <w:bodyDiv w:val="1"/>
      <w:marLeft w:val="0"/>
      <w:marRight w:val="0"/>
      <w:marTop w:val="0"/>
      <w:marBottom w:val="0"/>
      <w:divBdr>
        <w:top w:val="none" w:sz="0" w:space="0" w:color="auto"/>
        <w:left w:val="none" w:sz="0" w:space="0" w:color="auto"/>
        <w:bottom w:val="none" w:sz="0" w:space="0" w:color="auto"/>
        <w:right w:val="none" w:sz="0" w:space="0" w:color="auto"/>
      </w:divBdr>
    </w:div>
    <w:div w:id="113791425">
      <w:bodyDiv w:val="1"/>
      <w:marLeft w:val="0"/>
      <w:marRight w:val="0"/>
      <w:marTop w:val="0"/>
      <w:marBottom w:val="0"/>
      <w:divBdr>
        <w:top w:val="none" w:sz="0" w:space="0" w:color="auto"/>
        <w:left w:val="none" w:sz="0" w:space="0" w:color="auto"/>
        <w:bottom w:val="none" w:sz="0" w:space="0" w:color="auto"/>
        <w:right w:val="none" w:sz="0" w:space="0" w:color="auto"/>
      </w:divBdr>
    </w:div>
    <w:div w:id="113795317">
      <w:bodyDiv w:val="1"/>
      <w:marLeft w:val="0"/>
      <w:marRight w:val="0"/>
      <w:marTop w:val="0"/>
      <w:marBottom w:val="0"/>
      <w:divBdr>
        <w:top w:val="none" w:sz="0" w:space="0" w:color="auto"/>
        <w:left w:val="none" w:sz="0" w:space="0" w:color="auto"/>
        <w:bottom w:val="none" w:sz="0" w:space="0" w:color="auto"/>
        <w:right w:val="none" w:sz="0" w:space="0" w:color="auto"/>
      </w:divBdr>
    </w:div>
    <w:div w:id="113797096">
      <w:bodyDiv w:val="1"/>
      <w:marLeft w:val="0"/>
      <w:marRight w:val="0"/>
      <w:marTop w:val="0"/>
      <w:marBottom w:val="0"/>
      <w:divBdr>
        <w:top w:val="none" w:sz="0" w:space="0" w:color="auto"/>
        <w:left w:val="none" w:sz="0" w:space="0" w:color="auto"/>
        <w:bottom w:val="none" w:sz="0" w:space="0" w:color="auto"/>
        <w:right w:val="none" w:sz="0" w:space="0" w:color="auto"/>
      </w:divBdr>
    </w:div>
    <w:div w:id="113836349">
      <w:bodyDiv w:val="1"/>
      <w:marLeft w:val="0"/>
      <w:marRight w:val="0"/>
      <w:marTop w:val="0"/>
      <w:marBottom w:val="0"/>
      <w:divBdr>
        <w:top w:val="none" w:sz="0" w:space="0" w:color="auto"/>
        <w:left w:val="none" w:sz="0" w:space="0" w:color="auto"/>
        <w:bottom w:val="none" w:sz="0" w:space="0" w:color="auto"/>
        <w:right w:val="none" w:sz="0" w:space="0" w:color="auto"/>
      </w:divBdr>
    </w:div>
    <w:div w:id="113915000">
      <w:bodyDiv w:val="1"/>
      <w:marLeft w:val="0"/>
      <w:marRight w:val="0"/>
      <w:marTop w:val="0"/>
      <w:marBottom w:val="0"/>
      <w:divBdr>
        <w:top w:val="none" w:sz="0" w:space="0" w:color="auto"/>
        <w:left w:val="none" w:sz="0" w:space="0" w:color="auto"/>
        <w:bottom w:val="none" w:sz="0" w:space="0" w:color="auto"/>
        <w:right w:val="none" w:sz="0" w:space="0" w:color="auto"/>
      </w:divBdr>
    </w:div>
    <w:div w:id="113984639">
      <w:bodyDiv w:val="1"/>
      <w:marLeft w:val="0"/>
      <w:marRight w:val="0"/>
      <w:marTop w:val="0"/>
      <w:marBottom w:val="0"/>
      <w:divBdr>
        <w:top w:val="none" w:sz="0" w:space="0" w:color="auto"/>
        <w:left w:val="none" w:sz="0" w:space="0" w:color="auto"/>
        <w:bottom w:val="none" w:sz="0" w:space="0" w:color="auto"/>
        <w:right w:val="none" w:sz="0" w:space="0" w:color="auto"/>
      </w:divBdr>
    </w:div>
    <w:div w:id="114056980">
      <w:bodyDiv w:val="1"/>
      <w:marLeft w:val="0"/>
      <w:marRight w:val="0"/>
      <w:marTop w:val="0"/>
      <w:marBottom w:val="0"/>
      <w:divBdr>
        <w:top w:val="none" w:sz="0" w:space="0" w:color="auto"/>
        <w:left w:val="none" w:sz="0" w:space="0" w:color="auto"/>
        <w:bottom w:val="none" w:sz="0" w:space="0" w:color="auto"/>
        <w:right w:val="none" w:sz="0" w:space="0" w:color="auto"/>
      </w:divBdr>
    </w:div>
    <w:div w:id="114108895">
      <w:bodyDiv w:val="1"/>
      <w:marLeft w:val="0"/>
      <w:marRight w:val="0"/>
      <w:marTop w:val="0"/>
      <w:marBottom w:val="0"/>
      <w:divBdr>
        <w:top w:val="none" w:sz="0" w:space="0" w:color="auto"/>
        <w:left w:val="none" w:sz="0" w:space="0" w:color="auto"/>
        <w:bottom w:val="none" w:sz="0" w:space="0" w:color="auto"/>
        <w:right w:val="none" w:sz="0" w:space="0" w:color="auto"/>
      </w:divBdr>
    </w:div>
    <w:div w:id="114250057">
      <w:bodyDiv w:val="1"/>
      <w:marLeft w:val="0"/>
      <w:marRight w:val="0"/>
      <w:marTop w:val="0"/>
      <w:marBottom w:val="0"/>
      <w:divBdr>
        <w:top w:val="none" w:sz="0" w:space="0" w:color="auto"/>
        <w:left w:val="none" w:sz="0" w:space="0" w:color="auto"/>
        <w:bottom w:val="none" w:sz="0" w:space="0" w:color="auto"/>
        <w:right w:val="none" w:sz="0" w:space="0" w:color="auto"/>
      </w:divBdr>
    </w:div>
    <w:div w:id="114253590">
      <w:bodyDiv w:val="1"/>
      <w:marLeft w:val="0"/>
      <w:marRight w:val="0"/>
      <w:marTop w:val="0"/>
      <w:marBottom w:val="0"/>
      <w:divBdr>
        <w:top w:val="none" w:sz="0" w:space="0" w:color="auto"/>
        <w:left w:val="none" w:sz="0" w:space="0" w:color="auto"/>
        <w:bottom w:val="none" w:sz="0" w:space="0" w:color="auto"/>
        <w:right w:val="none" w:sz="0" w:space="0" w:color="auto"/>
      </w:divBdr>
    </w:div>
    <w:div w:id="114254124">
      <w:bodyDiv w:val="1"/>
      <w:marLeft w:val="0"/>
      <w:marRight w:val="0"/>
      <w:marTop w:val="0"/>
      <w:marBottom w:val="0"/>
      <w:divBdr>
        <w:top w:val="none" w:sz="0" w:space="0" w:color="auto"/>
        <w:left w:val="none" w:sz="0" w:space="0" w:color="auto"/>
        <w:bottom w:val="none" w:sz="0" w:space="0" w:color="auto"/>
        <w:right w:val="none" w:sz="0" w:space="0" w:color="auto"/>
      </w:divBdr>
    </w:div>
    <w:div w:id="114294958">
      <w:bodyDiv w:val="1"/>
      <w:marLeft w:val="0"/>
      <w:marRight w:val="0"/>
      <w:marTop w:val="0"/>
      <w:marBottom w:val="0"/>
      <w:divBdr>
        <w:top w:val="none" w:sz="0" w:space="0" w:color="auto"/>
        <w:left w:val="none" w:sz="0" w:space="0" w:color="auto"/>
        <w:bottom w:val="none" w:sz="0" w:space="0" w:color="auto"/>
        <w:right w:val="none" w:sz="0" w:space="0" w:color="auto"/>
      </w:divBdr>
    </w:div>
    <w:div w:id="114299223">
      <w:bodyDiv w:val="1"/>
      <w:marLeft w:val="0"/>
      <w:marRight w:val="0"/>
      <w:marTop w:val="0"/>
      <w:marBottom w:val="0"/>
      <w:divBdr>
        <w:top w:val="none" w:sz="0" w:space="0" w:color="auto"/>
        <w:left w:val="none" w:sz="0" w:space="0" w:color="auto"/>
        <w:bottom w:val="none" w:sz="0" w:space="0" w:color="auto"/>
        <w:right w:val="none" w:sz="0" w:space="0" w:color="auto"/>
      </w:divBdr>
    </w:div>
    <w:div w:id="114326288">
      <w:bodyDiv w:val="1"/>
      <w:marLeft w:val="0"/>
      <w:marRight w:val="0"/>
      <w:marTop w:val="0"/>
      <w:marBottom w:val="0"/>
      <w:divBdr>
        <w:top w:val="none" w:sz="0" w:space="0" w:color="auto"/>
        <w:left w:val="none" w:sz="0" w:space="0" w:color="auto"/>
        <w:bottom w:val="none" w:sz="0" w:space="0" w:color="auto"/>
        <w:right w:val="none" w:sz="0" w:space="0" w:color="auto"/>
      </w:divBdr>
    </w:div>
    <w:div w:id="114326565">
      <w:bodyDiv w:val="1"/>
      <w:marLeft w:val="0"/>
      <w:marRight w:val="0"/>
      <w:marTop w:val="0"/>
      <w:marBottom w:val="0"/>
      <w:divBdr>
        <w:top w:val="none" w:sz="0" w:space="0" w:color="auto"/>
        <w:left w:val="none" w:sz="0" w:space="0" w:color="auto"/>
        <w:bottom w:val="none" w:sz="0" w:space="0" w:color="auto"/>
        <w:right w:val="none" w:sz="0" w:space="0" w:color="auto"/>
      </w:divBdr>
    </w:div>
    <w:div w:id="114368979">
      <w:bodyDiv w:val="1"/>
      <w:marLeft w:val="0"/>
      <w:marRight w:val="0"/>
      <w:marTop w:val="0"/>
      <w:marBottom w:val="0"/>
      <w:divBdr>
        <w:top w:val="none" w:sz="0" w:space="0" w:color="auto"/>
        <w:left w:val="none" w:sz="0" w:space="0" w:color="auto"/>
        <w:bottom w:val="none" w:sz="0" w:space="0" w:color="auto"/>
        <w:right w:val="none" w:sz="0" w:space="0" w:color="auto"/>
      </w:divBdr>
    </w:div>
    <w:div w:id="114375355">
      <w:bodyDiv w:val="1"/>
      <w:marLeft w:val="0"/>
      <w:marRight w:val="0"/>
      <w:marTop w:val="0"/>
      <w:marBottom w:val="0"/>
      <w:divBdr>
        <w:top w:val="none" w:sz="0" w:space="0" w:color="auto"/>
        <w:left w:val="none" w:sz="0" w:space="0" w:color="auto"/>
        <w:bottom w:val="none" w:sz="0" w:space="0" w:color="auto"/>
        <w:right w:val="none" w:sz="0" w:space="0" w:color="auto"/>
      </w:divBdr>
    </w:div>
    <w:div w:id="114375604">
      <w:bodyDiv w:val="1"/>
      <w:marLeft w:val="0"/>
      <w:marRight w:val="0"/>
      <w:marTop w:val="0"/>
      <w:marBottom w:val="0"/>
      <w:divBdr>
        <w:top w:val="none" w:sz="0" w:space="0" w:color="auto"/>
        <w:left w:val="none" w:sz="0" w:space="0" w:color="auto"/>
        <w:bottom w:val="none" w:sz="0" w:space="0" w:color="auto"/>
        <w:right w:val="none" w:sz="0" w:space="0" w:color="auto"/>
      </w:divBdr>
    </w:div>
    <w:div w:id="114562640">
      <w:bodyDiv w:val="1"/>
      <w:marLeft w:val="0"/>
      <w:marRight w:val="0"/>
      <w:marTop w:val="0"/>
      <w:marBottom w:val="0"/>
      <w:divBdr>
        <w:top w:val="none" w:sz="0" w:space="0" w:color="auto"/>
        <w:left w:val="none" w:sz="0" w:space="0" w:color="auto"/>
        <w:bottom w:val="none" w:sz="0" w:space="0" w:color="auto"/>
        <w:right w:val="none" w:sz="0" w:space="0" w:color="auto"/>
      </w:divBdr>
    </w:div>
    <w:div w:id="114570826">
      <w:bodyDiv w:val="1"/>
      <w:marLeft w:val="0"/>
      <w:marRight w:val="0"/>
      <w:marTop w:val="0"/>
      <w:marBottom w:val="0"/>
      <w:divBdr>
        <w:top w:val="none" w:sz="0" w:space="0" w:color="auto"/>
        <w:left w:val="none" w:sz="0" w:space="0" w:color="auto"/>
        <w:bottom w:val="none" w:sz="0" w:space="0" w:color="auto"/>
        <w:right w:val="none" w:sz="0" w:space="0" w:color="auto"/>
      </w:divBdr>
    </w:div>
    <w:div w:id="114637370">
      <w:bodyDiv w:val="1"/>
      <w:marLeft w:val="0"/>
      <w:marRight w:val="0"/>
      <w:marTop w:val="0"/>
      <w:marBottom w:val="0"/>
      <w:divBdr>
        <w:top w:val="none" w:sz="0" w:space="0" w:color="auto"/>
        <w:left w:val="none" w:sz="0" w:space="0" w:color="auto"/>
        <w:bottom w:val="none" w:sz="0" w:space="0" w:color="auto"/>
        <w:right w:val="none" w:sz="0" w:space="0" w:color="auto"/>
      </w:divBdr>
    </w:div>
    <w:div w:id="114716679">
      <w:bodyDiv w:val="1"/>
      <w:marLeft w:val="0"/>
      <w:marRight w:val="0"/>
      <w:marTop w:val="0"/>
      <w:marBottom w:val="0"/>
      <w:divBdr>
        <w:top w:val="none" w:sz="0" w:space="0" w:color="auto"/>
        <w:left w:val="none" w:sz="0" w:space="0" w:color="auto"/>
        <w:bottom w:val="none" w:sz="0" w:space="0" w:color="auto"/>
        <w:right w:val="none" w:sz="0" w:space="0" w:color="auto"/>
      </w:divBdr>
    </w:div>
    <w:div w:id="114763249">
      <w:bodyDiv w:val="1"/>
      <w:marLeft w:val="0"/>
      <w:marRight w:val="0"/>
      <w:marTop w:val="0"/>
      <w:marBottom w:val="0"/>
      <w:divBdr>
        <w:top w:val="none" w:sz="0" w:space="0" w:color="auto"/>
        <w:left w:val="none" w:sz="0" w:space="0" w:color="auto"/>
        <w:bottom w:val="none" w:sz="0" w:space="0" w:color="auto"/>
        <w:right w:val="none" w:sz="0" w:space="0" w:color="auto"/>
      </w:divBdr>
    </w:div>
    <w:div w:id="114835343">
      <w:bodyDiv w:val="1"/>
      <w:marLeft w:val="0"/>
      <w:marRight w:val="0"/>
      <w:marTop w:val="0"/>
      <w:marBottom w:val="0"/>
      <w:divBdr>
        <w:top w:val="none" w:sz="0" w:space="0" w:color="auto"/>
        <w:left w:val="none" w:sz="0" w:space="0" w:color="auto"/>
        <w:bottom w:val="none" w:sz="0" w:space="0" w:color="auto"/>
        <w:right w:val="none" w:sz="0" w:space="0" w:color="auto"/>
      </w:divBdr>
    </w:div>
    <w:div w:id="115025500">
      <w:bodyDiv w:val="1"/>
      <w:marLeft w:val="0"/>
      <w:marRight w:val="0"/>
      <w:marTop w:val="0"/>
      <w:marBottom w:val="0"/>
      <w:divBdr>
        <w:top w:val="none" w:sz="0" w:space="0" w:color="auto"/>
        <w:left w:val="none" w:sz="0" w:space="0" w:color="auto"/>
        <w:bottom w:val="none" w:sz="0" w:space="0" w:color="auto"/>
        <w:right w:val="none" w:sz="0" w:space="0" w:color="auto"/>
      </w:divBdr>
    </w:div>
    <w:div w:id="115027179">
      <w:bodyDiv w:val="1"/>
      <w:marLeft w:val="0"/>
      <w:marRight w:val="0"/>
      <w:marTop w:val="0"/>
      <w:marBottom w:val="0"/>
      <w:divBdr>
        <w:top w:val="none" w:sz="0" w:space="0" w:color="auto"/>
        <w:left w:val="none" w:sz="0" w:space="0" w:color="auto"/>
        <w:bottom w:val="none" w:sz="0" w:space="0" w:color="auto"/>
        <w:right w:val="none" w:sz="0" w:space="0" w:color="auto"/>
      </w:divBdr>
    </w:div>
    <w:div w:id="115099735">
      <w:bodyDiv w:val="1"/>
      <w:marLeft w:val="0"/>
      <w:marRight w:val="0"/>
      <w:marTop w:val="0"/>
      <w:marBottom w:val="0"/>
      <w:divBdr>
        <w:top w:val="none" w:sz="0" w:space="0" w:color="auto"/>
        <w:left w:val="none" w:sz="0" w:space="0" w:color="auto"/>
        <w:bottom w:val="none" w:sz="0" w:space="0" w:color="auto"/>
        <w:right w:val="none" w:sz="0" w:space="0" w:color="auto"/>
      </w:divBdr>
    </w:div>
    <w:div w:id="115147801">
      <w:bodyDiv w:val="1"/>
      <w:marLeft w:val="0"/>
      <w:marRight w:val="0"/>
      <w:marTop w:val="0"/>
      <w:marBottom w:val="0"/>
      <w:divBdr>
        <w:top w:val="none" w:sz="0" w:space="0" w:color="auto"/>
        <w:left w:val="none" w:sz="0" w:space="0" w:color="auto"/>
        <w:bottom w:val="none" w:sz="0" w:space="0" w:color="auto"/>
        <w:right w:val="none" w:sz="0" w:space="0" w:color="auto"/>
      </w:divBdr>
    </w:div>
    <w:div w:id="115176719">
      <w:bodyDiv w:val="1"/>
      <w:marLeft w:val="0"/>
      <w:marRight w:val="0"/>
      <w:marTop w:val="0"/>
      <w:marBottom w:val="0"/>
      <w:divBdr>
        <w:top w:val="none" w:sz="0" w:space="0" w:color="auto"/>
        <w:left w:val="none" w:sz="0" w:space="0" w:color="auto"/>
        <w:bottom w:val="none" w:sz="0" w:space="0" w:color="auto"/>
        <w:right w:val="none" w:sz="0" w:space="0" w:color="auto"/>
      </w:divBdr>
    </w:div>
    <w:div w:id="115224633">
      <w:bodyDiv w:val="1"/>
      <w:marLeft w:val="0"/>
      <w:marRight w:val="0"/>
      <w:marTop w:val="0"/>
      <w:marBottom w:val="0"/>
      <w:divBdr>
        <w:top w:val="none" w:sz="0" w:space="0" w:color="auto"/>
        <w:left w:val="none" w:sz="0" w:space="0" w:color="auto"/>
        <w:bottom w:val="none" w:sz="0" w:space="0" w:color="auto"/>
        <w:right w:val="none" w:sz="0" w:space="0" w:color="auto"/>
      </w:divBdr>
    </w:div>
    <w:div w:id="115294204">
      <w:bodyDiv w:val="1"/>
      <w:marLeft w:val="0"/>
      <w:marRight w:val="0"/>
      <w:marTop w:val="0"/>
      <w:marBottom w:val="0"/>
      <w:divBdr>
        <w:top w:val="none" w:sz="0" w:space="0" w:color="auto"/>
        <w:left w:val="none" w:sz="0" w:space="0" w:color="auto"/>
        <w:bottom w:val="none" w:sz="0" w:space="0" w:color="auto"/>
        <w:right w:val="none" w:sz="0" w:space="0" w:color="auto"/>
      </w:divBdr>
    </w:div>
    <w:div w:id="115295778">
      <w:bodyDiv w:val="1"/>
      <w:marLeft w:val="0"/>
      <w:marRight w:val="0"/>
      <w:marTop w:val="0"/>
      <w:marBottom w:val="0"/>
      <w:divBdr>
        <w:top w:val="none" w:sz="0" w:space="0" w:color="auto"/>
        <w:left w:val="none" w:sz="0" w:space="0" w:color="auto"/>
        <w:bottom w:val="none" w:sz="0" w:space="0" w:color="auto"/>
        <w:right w:val="none" w:sz="0" w:space="0" w:color="auto"/>
      </w:divBdr>
    </w:div>
    <w:div w:id="115368563">
      <w:bodyDiv w:val="1"/>
      <w:marLeft w:val="0"/>
      <w:marRight w:val="0"/>
      <w:marTop w:val="0"/>
      <w:marBottom w:val="0"/>
      <w:divBdr>
        <w:top w:val="none" w:sz="0" w:space="0" w:color="auto"/>
        <w:left w:val="none" w:sz="0" w:space="0" w:color="auto"/>
        <w:bottom w:val="none" w:sz="0" w:space="0" w:color="auto"/>
        <w:right w:val="none" w:sz="0" w:space="0" w:color="auto"/>
      </w:divBdr>
    </w:div>
    <w:div w:id="115373765">
      <w:bodyDiv w:val="1"/>
      <w:marLeft w:val="0"/>
      <w:marRight w:val="0"/>
      <w:marTop w:val="0"/>
      <w:marBottom w:val="0"/>
      <w:divBdr>
        <w:top w:val="none" w:sz="0" w:space="0" w:color="auto"/>
        <w:left w:val="none" w:sz="0" w:space="0" w:color="auto"/>
        <w:bottom w:val="none" w:sz="0" w:space="0" w:color="auto"/>
        <w:right w:val="none" w:sz="0" w:space="0" w:color="auto"/>
      </w:divBdr>
    </w:div>
    <w:div w:id="115608570">
      <w:bodyDiv w:val="1"/>
      <w:marLeft w:val="0"/>
      <w:marRight w:val="0"/>
      <w:marTop w:val="0"/>
      <w:marBottom w:val="0"/>
      <w:divBdr>
        <w:top w:val="none" w:sz="0" w:space="0" w:color="auto"/>
        <w:left w:val="none" w:sz="0" w:space="0" w:color="auto"/>
        <w:bottom w:val="none" w:sz="0" w:space="0" w:color="auto"/>
        <w:right w:val="none" w:sz="0" w:space="0" w:color="auto"/>
      </w:divBdr>
    </w:div>
    <w:div w:id="115756485">
      <w:bodyDiv w:val="1"/>
      <w:marLeft w:val="0"/>
      <w:marRight w:val="0"/>
      <w:marTop w:val="0"/>
      <w:marBottom w:val="0"/>
      <w:divBdr>
        <w:top w:val="none" w:sz="0" w:space="0" w:color="auto"/>
        <w:left w:val="none" w:sz="0" w:space="0" w:color="auto"/>
        <w:bottom w:val="none" w:sz="0" w:space="0" w:color="auto"/>
        <w:right w:val="none" w:sz="0" w:space="0" w:color="auto"/>
      </w:divBdr>
    </w:div>
    <w:div w:id="115872267">
      <w:bodyDiv w:val="1"/>
      <w:marLeft w:val="0"/>
      <w:marRight w:val="0"/>
      <w:marTop w:val="0"/>
      <w:marBottom w:val="0"/>
      <w:divBdr>
        <w:top w:val="none" w:sz="0" w:space="0" w:color="auto"/>
        <w:left w:val="none" w:sz="0" w:space="0" w:color="auto"/>
        <w:bottom w:val="none" w:sz="0" w:space="0" w:color="auto"/>
        <w:right w:val="none" w:sz="0" w:space="0" w:color="auto"/>
      </w:divBdr>
    </w:div>
    <w:div w:id="115948659">
      <w:bodyDiv w:val="1"/>
      <w:marLeft w:val="0"/>
      <w:marRight w:val="0"/>
      <w:marTop w:val="0"/>
      <w:marBottom w:val="0"/>
      <w:divBdr>
        <w:top w:val="none" w:sz="0" w:space="0" w:color="auto"/>
        <w:left w:val="none" w:sz="0" w:space="0" w:color="auto"/>
        <w:bottom w:val="none" w:sz="0" w:space="0" w:color="auto"/>
        <w:right w:val="none" w:sz="0" w:space="0" w:color="auto"/>
      </w:divBdr>
    </w:div>
    <w:div w:id="115956556">
      <w:bodyDiv w:val="1"/>
      <w:marLeft w:val="0"/>
      <w:marRight w:val="0"/>
      <w:marTop w:val="0"/>
      <w:marBottom w:val="0"/>
      <w:divBdr>
        <w:top w:val="none" w:sz="0" w:space="0" w:color="auto"/>
        <w:left w:val="none" w:sz="0" w:space="0" w:color="auto"/>
        <w:bottom w:val="none" w:sz="0" w:space="0" w:color="auto"/>
        <w:right w:val="none" w:sz="0" w:space="0" w:color="auto"/>
      </w:divBdr>
    </w:div>
    <w:div w:id="116023336">
      <w:bodyDiv w:val="1"/>
      <w:marLeft w:val="0"/>
      <w:marRight w:val="0"/>
      <w:marTop w:val="0"/>
      <w:marBottom w:val="0"/>
      <w:divBdr>
        <w:top w:val="none" w:sz="0" w:space="0" w:color="auto"/>
        <w:left w:val="none" w:sz="0" w:space="0" w:color="auto"/>
        <w:bottom w:val="none" w:sz="0" w:space="0" w:color="auto"/>
        <w:right w:val="none" w:sz="0" w:space="0" w:color="auto"/>
      </w:divBdr>
    </w:div>
    <w:div w:id="116025121">
      <w:bodyDiv w:val="1"/>
      <w:marLeft w:val="0"/>
      <w:marRight w:val="0"/>
      <w:marTop w:val="0"/>
      <w:marBottom w:val="0"/>
      <w:divBdr>
        <w:top w:val="none" w:sz="0" w:space="0" w:color="auto"/>
        <w:left w:val="none" w:sz="0" w:space="0" w:color="auto"/>
        <w:bottom w:val="none" w:sz="0" w:space="0" w:color="auto"/>
        <w:right w:val="none" w:sz="0" w:space="0" w:color="auto"/>
      </w:divBdr>
    </w:div>
    <w:div w:id="116065051">
      <w:bodyDiv w:val="1"/>
      <w:marLeft w:val="0"/>
      <w:marRight w:val="0"/>
      <w:marTop w:val="0"/>
      <w:marBottom w:val="0"/>
      <w:divBdr>
        <w:top w:val="none" w:sz="0" w:space="0" w:color="auto"/>
        <w:left w:val="none" w:sz="0" w:space="0" w:color="auto"/>
        <w:bottom w:val="none" w:sz="0" w:space="0" w:color="auto"/>
        <w:right w:val="none" w:sz="0" w:space="0" w:color="auto"/>
      </w:divBdr>
    </w:div>
    <w:div w:id="116142214">
      <w:bodyDiv w:val="1"/>
      <w:marLeft w:val="0"/>
      <w:marRight w:val="0"/>
      <w:marTop w:val="0"/>
      <w:marBottom w:val="0"/>
      <w:divBdr>
        <w:top w:val="none" w:sz="0" w:space="0" w:color="auto"/>
        <w:left w:val="none" w:sz="0" w:space="0" w:color="auto"/>
        <w:bottom w:val="none" w:sz="0" w:space="0" w:color="auto"/>
        <w:right w:val="none" w:sz="0" w:space="0" w:color="auto"/>
      </w:divBdr>
    </w:div>
    <w:div w:id="116341007">
      <w:bodyDiv w:val="1"/>
      <w:marLeft w:val="0"/>
      <w:marRight w:val="0"/>
      <w:marTop w:val="0"/>
      <w:marBottom w:val="0"/>
      <w:divBdr>
        <w:top w:val="none" w:sz="0" w:space="0" w:color="auto"/>
        <w:left w:val="none" w:sz="0" w:space="0" w:color="auto"/>
        <w:bottom w:val="none" w:sz="0" w:space="0" w:color="auto"/>
        <w:right w:val="none" w:sz="0" w:space="0" w:color="auto"/>
      </w:divBdr>
    </w:div>
    <w:div w:id="116341558">
      <w:bodyDiv w:val="1"/>
      <w:marLeft w:val="0"/>
      <w:marRight w:val="0"/>
      <w:marTop w:val="0"/>
      <w:marBottom w:val="0"/>
      <w:divBdr>
        <w:top w:val="none" w:sz="0" w:space="0" w:color="auto"/>
        <w:left w:val="none" w:sz="0" w:space="0" w:color="auto"/>
        <w:bottom w:val="none" w:sz="0" w:space="0" w:color="auto"/>
        <w:right w:val="none" w:sz="0" w:space="0" w:color="auto"/>
      </w:divBdr>
    </w:div>
    <w:div w:id="116413468">
      <w:bodyDiv w:val="1"/>
      <w:marLeft w:val="0"/>
      <w:marRight w:val="0"/>
      <w:marTop w:val="0"/>
      <w:marBottom w:val="0"/>
      <w:divBdr>
        <w:top w:val="none" w:sz="0" w:space="0" w:color="auto"/>
        <w:left w:val="none" w:sz="0" w:space="0" w:color="auto"/>
        <w:bottom w:val="none" w:sz="0" w:space="0" w:color="auto"/>
        <w:right w:val="none" w:sz="0" w:space="0" w:color="auto"/>
      </w:divBdr>
    </w:div>
    <w:div w:id="117071053">
      <w:bodyDiv w:val="1"/>
      <w:marLeft w:val="0"/>
      <w:marRight w:val="0"/>
      <w:marTop w:val="0"/>
      <w:marBottom w:val="0"/>
      <w:divBdr>
        <w:top w:val="none" w:sz="0" w:space="0" w:color="auto"/>
        <w:left w:val="none" w:sz="0" w:space="0" w:color="auto"/>
        <w:bottom w:val="none" w:sz="0" w:space="0" w:color="auto"/>
        <w:right w:val="none" w:sz="0" w:space="0" w:color="auto"/>
      </w:divBdr>
    </w:div>
    <w:div w:id="117183094">
      <w:bodyDiv w:val="1"/>
      <w:marLeft w:val="0"/>
      <w:marRight w:val="0"/>
      <w:marTop w:val="0"/>
      <w:marBottom w:val="0"/>
      <w:divBdr>
        <w:top w:val="none" w:sz="0" w:space="0" w:color="auto"/>
        <w:left w:val="none" w:sz="0" w:space="0" w:color="auto"/>
        <w:bottom w:val="none" w:sz="0" w:space="0" w:color="auto"/>
        <w:right w:val="none" w:sz="0" w:space="0" w:color="auto"/>
      </w:divBdr>
    </w:div>
    <w:div w:id="117190689">
      <w:bodyDiv w:val="1"/>
      <w:marLeft w:val="0"/>
      <w:marRight w:val="0"/>
      <w:marTop w:val="0"/>
      <w:marBottom w:val="0"/>
      <w:divBdr>
        <w:top w:val="none" w:sz="0" w:space="0" w:color="auto"/>
        <w:left w:val="none" w:sz="0" w:space="0" w:color="auto"/>
        <w:bottom w:val="none" w:sz="0" w:space="0" w:color="auto"/>
        <w:right w:val="none" w:sz="0" w:space="0" w:color="auto"/>
      </w:divBdr>
    </w:div>
    <w:div w:id="117264824">
      <w:bodyDiv w:val="1"/>
      <w:marLeft w:val="0"/>
      <w:marRight w:val="0"/>
      <w:marTop w:val="0"/>
      <w:marBottom w:val="0"/>
      <w:divBdr>
        <w:top w:val="none" w:sz="0" w:space="0" w:color="auto"/>
        <w:left w:val="none" w:sz="0" w:space="0" w:color="auto"/>
        <w:bottom w:val="none" w:sz="0" w:space="0" w:color="auto"/>
        <w:right w:val="none" w:sz="0" w:space="0" w:color="auto"/>
      </w:divBdr>
    </w:div>
    <w:div w:id="117340479">
      <w:bodyDiv w:val="1"/>
      <w:marLeft w:val="0"/>
      <w:marRight w:val="0"/>
      <w:marTop w:val="0"/>
      <w:marBottom w:val="0"/>
      <w:divBdr>
        <w:top w:val="none" w:sz="0" w:space="0" w:color="auto"/>
        <w:left w:val="none" w:sz="0" w:space="0" w:color="auto"/>
        <w:bottom w:val="none" w:sz="0" w:space="0" w:color="auto"/>
        <w:right w:val="none" w:sz="0" w:space="0" w:color="auto"/>
      </w:divBdr>
    </w:div>
    <w:div w:id="117454242">
      <w:bodyDiv w:val="1"/>
      <w:marLeft w:val="0"/>
      <w:marRight w:val="0"/>
      <w:marTop w:val="0"/>
      <w:marBottom w:val="0"/>
      <w:divBdr>
        <w:top w:val="none" w:sz="0" w:space="0" w:color="auto"/>
        <w:left w:val="none" w:sz="0" w:space="0" w:color="auto"/>
        <w:bottom w:val="none" w:sz="0" w:space="0" w:color="auto"/>
        <w:right w:val="none" w:sz="0" w:space="0" w:color="auto"/>
      </w:divBdr>
    </w:div>
    <w:div w:id="117528294">
      <w:bodyDiv w:val="1"/>
      <w:marLeft w:val="0"/>
      <w:marRight w:val="0"/>
      <w:marTop w:val="0"/>
      <w:marBottom w:val="0"/>
      <w:divBdr>
        <w:top w:val="none" w:sz="0" w:space="0" w:color="auto"/>
        <w:left w:val="none" w:sz="0" w:space="0" w:color="auto"/>
        <w:bottom w:val="none" w:sz="0" w:space="0" w:color="auto"/>
        <w:right w:val="none" w:sz="0" w:space="0" w:color="auto"/>
      </w:divBdr>
    </w:div>
    <w:div w:id="117574608">
      <w:bodyDiv w:val="1"/>
      <w:marLeft w:val="0"/>
      <w:marRight w:val="0"/>
      <w:marTop w:val="0"/>
      <w:marBottom w:val="0"/>
      <w:divBdr>
        <w:top w:val="none" w:sz="0" w:space="0" w:color="auto"/>
        <w:left w:val="none" w:sz="0" w:space="0" w:color="auto"/>
        <w:bottom w:val="none" w:sz="0" w:space="0" w:color="auto"/>
        <w:right w:val="none" w:sz="0" w:space="0" w:color="auto"/>
      </w:divBdr>
    </w:div>
    <w:div w:id="117575672">
      <w:bodyDiv w:val="1"/>
      <w:marLeft w:val="0"/>
      <w:marRight w:val="0"/>
      <w:marTop w:val="0"/>
      <w:marBottom w:val="0"/>
      <w:divBdr>
        <w:top w:val="none" w:sz="0" w:space="0" w:color="auto"/>
        <w:left w:val="none" w:sz="0" w:space="0" w:color="auto"/>
        <w:bottom w:val="none" w:sz="0" w:space="0" w:color="auto"/>
        <w:right w:val="none" w:sz="0" w:space="0" w:color="auto"/>
      </w:divBdr>
    </w:div>
    <w:div w:id="117575877">
      <w:bodyDiv w:val="1"/>
      <w:marLeft w:val="0"/>
      <w:marRight w:val="0"/>
      <w:marTop w:val="0"/>
      <w:marBottom w:val="0"/>
      <w:divBdr>
        <w:top w:val="none" w:sz="0" w:space="0" w:color="auto"/>
        <w:left w:val="none" w:sz="0" w:space="0" w:color="auto"/>
        <w:bottom w:val="none" w:sz="0" w:space="0" w:color="auto"/>
        <w:right w:val="none" w:sz="0" w:space="0" w:color="auto"/>
      </w:divBdr>
    </w:div>
    <w:div w:id="117727041">
      <w:bodyDiv w:val="1"/>
      <w:marLeft w:val="0"/>
      <w:marRight w:val="0"/>
      <w:marTop w:val="0"/>
      <w:marBottom w:val="0"/>
      <w:divBdr>
        <w:top w:val="none" w:sz="0" w:space="0" w:color="auto"/>
        <w:left w:val="none" w:sz="0" w:space="0" w:color="auto"/>
        <w:bottom w:val="none" w:sz="0" w:space="0" w:color="auto"/>
        <w:right w:val="none" w:sz="0" w:space="0" w:color="auto"/>
      </w:divBdr>
    </w:div>
    <w:div w:id="117799709">
      <w:bodyDiv w:val="1"/>
      <w:marLeft w:val="0"/>
      <w:marRight w:val="0"/>
      <w:marTop w:val="0"/>
      <w:marBottom w:val="0"/>
      <w:divBdr>
        <w:top w:val="none" w:sz="0" w:space="0" w:color="auto"/>
        <w:left w:val="none" w:sz="0" w:space="0" w:color="auto"/>
        <w:bottom w:val="none" w:sz="0" w:space="0" w:color="auto"/>
        <w:right w:val="none" w:sz="0" w:space="0" w:color="auto"/>
      </w:divBdr>
    </w:div>
    <w:div w:id="117913704">
      <w:bodyDiv w:val="1"/>
      <w:marLeft w:val="0"/>
      <w:marRight w:val="0"/>
      <w:marTop w:val="0"/>
      <w:marBottom w:val="0"/>
      <w:divBdr>
        <w:top w:val="none" w:sz="0" w:space="0" w:color="auto"/>
        <w:left w:val="none" w:sz="0" w:space="0" w:color="auto"/>
        <w:bottom w:val="none" w:sz="0" w:space="0" w:color="auto"/>
        <w:right w:val="none" w:sz="0" w:space="0" w:color="auto"/>
      </w:divBdr>
    </w:div>
    <w:div w:id="117921573">
      <w:bodyDiv w:val="1"/>
      <w:marLeft w:val="0"/>
      <w:marRight w:val="0"/>
      <w:marTop w:val="0"/>
      <w:marBottom w:val="0"/>
      <w:divBdr>
        <w:top w:val="none" w:sz="0" w:space="0" w:color="auto"/>
        <w:left w:val="none" w:sz="0" w:space="0" w:color="auto"/>
        <w:bottom w:val="none" w:sz="0" w:space="0" w:color="auto"/>
        <w:right w:val="none" w:sz="0" w:space="0" w:color="auto"/>
      </w:divBdr>
    </w:div>
    <w:div w:id="117991072">
      <w:bodyDiv w:val="1"/>
      <w:marLeft w:val="0"/>
      <w:marRight w:val="0"/>
      <w:marTop w:val="0"/>
      <w:marBottom w:val="0"/>
      <w:divBdr>
        <w:top w:val="none" w:sz="0" w:space="0" w:color="auto"/>
        <w:left w:val="none" w:sz="0" w:space="0" w:color="auto"/>
        <w:bottom w:val="none" w:sz="0" w:space="0" w:color="auto"/>
        <w:right w:val="none" w:sz="0" w:space="0" w:color="auto"/>
      </w:divBdr>
    </w:div>
    <w:div w:id="117992082">
      <w:bodyDiv w:val="1"/>
      <w:marLeft w:val="0"/>
      <w:marRight w:val="0"/>
      <w:marTop w:val="0"/>
      <w:marBottom w:val="0"/>
      <w:divBdr>
        <w:top w:val="none" w:sz="0" w:space="0" w:color="auto"/>
        <w:left w:val="none" w:sz="0" w:space="0" w:color="auto"/>
        <w:bottom w:val="none" w:sz="0" w:space="0" w:color="auto"/>
        <w:right w:val="none" w:sz="0" w:space="0" w:color="auto"/>
      </w:divBdr>
    </w:div>
    <w:div w:id="117993634">
      <w:bodyDiv w:val="1"/>
      <w:marLeft w:val="0"/>
      <w:marRight w:val="0"/>
      <w:marTop w:val="0"/>
      <w:marBottom w:val="0"/>
      <w:divBdr>
        <w:top w:val="none" w:sz="0" w:space="0" w:color="auto"/>
        <w:left w:val="none" w:sz="0" w:space="0" w:color="auto"/>
        <w:bottom w:val="none" w:sz="0" w:space="0" w:color="auto"/>
        <w:right w:val="none" w:sz="0" w:space="0" w:color="auto"/>
      </w:divBdr>
    </w:div>
    <w:div w:id="118109116">
      <w:bodyDiv w:val="1"/>
      <w:marLeft w:val="0"/>
      <w:marRight w:val="0"/>
      <w:marTop w:val="0"/>
      <w:marBottom w:val="0"/>
      <w:divBdr>
        <w:top w:val="none" w:sz="0" w:space="0" w:color="auto"/>
        <w:left w:val="none" w:sz="0" w:space="0" w:color="auto"/>
        <w:bottom w:val="none" w:sz="0" w:space="0" w:color="auto"/>
        <w:right w:val="none" w:sz="0" w:space="0" w:color="auto"/>
      </w:divBdr>
    </w:div>
    <w:div w:id="118189079">
      <w:bodyDiv w:val="1"/>
      <w:marLeft w:val="0"/>
      <w:marRight w:val="0"/>
      <w:marTop w:val="0"/>
      <w:marBottom w:val="0"/>
      <w:divBdr>
        <w:top w:val="none" w:sz="0" w:space="0" w:color="auto"/>
        <w:left w:val="none" w:sz="0" w:space="0" w:color="auto"/>
        <w:bottom w:val="none" w:sz="0" w:space="0" w:color="auto"/>
        <w:right w:val="none" w:sz="0" w:space="0" w:color="auto"/>
      </w:divBdr>
    </w:div>
    <w:div w:id="118378200">
      <w:bodyDiv w:val="1"/>
      <w:marLeft w:val="0"/>
      <w:marRight w:val="0"/>
      <w:marTop w:val="0"/>
      <w:marBottom w:val="0"/>
      <w:divBdr>
        <w:top w:val="none" w:sz="0" w:space="0" w:color="auto"/>
        <w:left w:val="none" w:sz="0" w:space="0" w:color="auto"/>
        <w:bottom w:val="none" w:sz="0" w:space="0" w:color="auto"/>
        <w:right w:val="none" w:sz="0" w:space="0" w:color="auto"/>
      </w:divBdr>
    </w:div>
    <w:div w:id="118381125">
      <w:bodyDiv w:val="1"/>
      <w:marLeft w:val="0"/>
      <w:marRight w:val="0"/>
      <w:marTop w:val="0"/>
      <w:marBottom w:val="0"/>
      <w:divBdr>
        <w:top w:val="none" w:sz="0" w:space="0" w:color="auto"/>
        <w:left w:val="none" w:sz="0" w:space="0" w:color="auto"/>
        <w:bottom w:val="none" w:sz="0" w:space="0" w:color="auto"/>
        <w:right w:val="none" w:sz="0" w:space="0" w:color="auto"/>
      </w:divBdr>
    </w:div>
    <w:div w:id="118494804">
      <w:bodyDiv w:val="1"/>
      <w:marLeft w:val="0"/>
      <w:marRight w:val="0"/>
      <w:marTop w:val="0"/>
      <w:marBottom w:val="0"/>
      <w:divBdr>
        <w:top w:val="none" w:sz="0" w:space="0" w:color="auto"/>
        <w:left w:val="none" w:sz="0" w:space="0" w:color="auto"/>
        <w:bottom w:val="none" w:sz="0" w:space="0" w:color="auto"/>
        <w:right w:val="none" w:sz="0" w:space="0" w:color="auto"/>
      </w:divBdr>
    </w:div>
    <w:div w:id="118502082">
      <w:bodyDiv w:val="1"/>
      <w:marLeft w:val="0"/>
      <w:marRight w:val="0"/>
      <w:marTop w:val="0"/>
      <w:marBottom w:val="0"/>
      <w:divBdr>
        <w:top w:val="none" w:sz="0" w:space="0" w:color="auto"/>
        <w:left w:val="none" w:sz="0" w:space="0" w:color="auto"/>
        <w:bottom w:val="none" w:sz="0" w:space="0" w:color="auto"/>
        <w:right w:val="none" w:sz="0" w:space="0" w:color="auto"/>
      </w:divBdr>
    </w:div>
    <w:div w:id="118620301">
      <w:bodyDiv w:val="1"/>
      <w:marLeft w:val="0"/>
      <w:marRight w:val="0"/>
      <w:marTop w:val="0"/>
      <w:marBottom w:val="0"/>
      <w:divBdr>
        <w:top w:val="none" w:sz="0" w:space="0" w:color="auto"/>
        <w:left w:val="none" w:sz="0" w:space="0" w:color="auto"/>
        <w:bottom w:val="none" w:sz="0" w:space="0" w:color="auto"/>
        <w:right w:val="none" w:sz="0" w:space="0" w:color="auto"/>
      </w:divBdr>
    </w:div>
    <w:div w:id="118648471">
      <w:bodyDiv w:val="1"/>
      <w:marLeft w:val="0"/>
      <w:marRight w:val="0"/>
      <w:marTop w:val="0"/>
      <w:marBottom w:val="0"/>
      <w:divBdr>
        <w:top w:val="none" w:sz="0" w:space="0" w:color="auto"/>
        <w:left w:val="none" w:sz="0" w:space="0" w:color="auto"/>
        <w:bottom w:val="none" w:sz="0" w:space="0" w:color="auto"/>
        <w:right w:val="none" w:sz="0" w:space="0" w:color="auto"/>
      </w:divBdr>
    </w:div>
    <w:div w:id="118652121">
      <w:bodyDiv w:val="1"/>
      <w:marLeft w:val="0"/>
      <w:marRight w:val="0"/>
      <w:marTop w:val="0"/>
      <w:marBottom w:val="0"/>
      <w:divBdr>
        <w:top w:val="none" w:sz="0" w:space="0" w:color="auto"/>
        <w:left w:val="none" w:sz="0" w:space="0" w:color="auto"/>
        <w:bottom w:val="none" w:sz="0" w:space="0" w:color="auto"/>
        <w:right w:val="none" w:sz="0" w:space="0" w:color="auto"/>
      </w:divBdr>
    </w:div>
    <w:div w:id="118914349">
      <w:bodyDiv w:val="1"/>
      <w:marLeft w:val="0"/>
      <w:marRight w:val="0"/>
      <w:marTop w:val="0"/>
      <w:marBottom w:val="0"/>
      <w:divBdr>
        <w:top w:val="none" w:sz="0" w:space="0" w:color="auto"/>
        <w:left w:val="none" w:sz="0" w:space="0" w:color="auto"/>
        <w:bottom w:val="none" w:sz="0" w:space="0" w:color="auto"/>
        <w:right w:val="none" w:sz="0" w:space="0" w:color="auto"/>
      </w:divBdr>
    </w:div>
    <w:div w:id="119030614">
      <w:bodyDiv w:val="1"/>
      <w:marLeft w:val="0"/>
      <w:marRight w:val="0"/>
      <w:marTop w:val="0"/>
      <w:marBottom w:val="0"/>
      <w:divBdr>
        <w:top w:val="none" w:sz="0" w:space="0" w:color="auto"/>
        <w:left w:val="none" w:sz="0" w:space="0" w:color="auto"/>
        <w:bottom w:val="none" w:sz="0" w:space="0" w:color="auto"/>
        <w:right w:val="none" w:sz="0" w:space="0" w:color="auto"/>
      </w:divBdr>
    </w:div>
    <w:div w:id="119109553">
      <w:bodyDiv w:val="1"/>
      <w:marLeft w:val="0"/>
      <w:marRight w:val="0"/>
      <w:marTop w:val="0"/>
      <w:marBottom w:val="0"/>
      <w:divBdr>
        <w:top w:val="none" w:sz="0" w:space="0" w:color="auto"/>
        <w:left w:val="none" w:sz="0" w:space="0" w:color="auto"/>
        <w:bottom w:val="none" w:sz="0" w:space="0" w:color="auto"/>
        <w:right w:val="none" w:sz="0" w:space="0" w:color="auto"/>
      </w:divBdr>
    </w:div>
    <w:div w:id="119152994">
      <w:bodyDiv w:val="1"/>
      <w:marLeft w:val="0"/>
      <w:marRight w:val="0"/>
      <w:marTop w:val="0"/>
      <w:marBottom w:val="0"/>
      <w:divBdr>
        <w:top w:val="none" w:sz="0" w:space="0" w:color="auto"/>
        <w:left w:val="none" w:sz="0" w:space="0" w:color="auto"/>
        <w:bottom w:val="none" w:sz="0" w:space="0" w:color="auto"/>
        <w:right w:val="none" w:sz="0" w:space="0" w:color="auto"/>
      </w:divBdr>
    </w:div>
    <w:div w:id="119157737">
      <w:bodyDiv w:val="1"/>
      <w:marLeft w:val="0"/>
      <w:marRight w:val="0"/>
      <w:marTop w:val="0"/>
      <w:marBottom w:val="0"/>
      <w:divBdr>
        <w:top w:val="none" w:sz="0" w:space="0" w:color="auto"/>
        <w:left w:val="none" w:sz="0" w:space="0" w:color="auto"/>
        <w:bottom w:val="none" w:sz="0" w:space="0" w:color="auto"/>
        <w:right w:val="none" w:sz="0" w:space="0" w:color="auto"/>
      </w:divBdr>
    </w:div>
    <w:div w:id="119226030">
      <w:bodyDiv w:val="1"/>
      <w:marLeft w:val="0"/>
      <w:marRight w:val="0"/>
      <w:marTop w:val="0"/>
      <w:marBottom w:val="0"/>
      <w:divBdr>
        <w:top w:val="none" w:sz="0" w:space="0" w:color="auto"/>
        <w:left w:val="none" w:sz="0" w:space="0" w:color="auto"/>
        <w:bottom w:val="none" w:sz="0" w:space="0" w:color="auto"/>
        <w:right w:val="none" w:sz="0" w:space="0" w:color="auto"/>
      </w:divBdr>
    </w:div>
    <w:div w:id="119300605">
      <w:bodyDiv w:val="1"/>
      <w:marLeft w:val="0"/>
      <w:marRight w:val="0"/>
      <w:marTop w:val="0"/>
      <w:marBottom w:val="0"/>
      <w:divBdr>
        <w:top w:val="none" w:sz="0" w:space="0" w:color="auto"/>
        <w:left w:val="none" w:sz="0" w:space="0" w:color="auto"/>
        <w:bottom w:val="none" w:sz="0" w:space="0" w:color="auto"/>
        <w:right w:val="none" w:sz="0" w:space="0" w:color="auto"/>
      </w:divBdr>
    </w:div>
    <w:div w:id="119301796">
      <w:bodyDiv w:val="1"/>
      <w:marLeft w:val="0"/>
      <w:marRight w:val="0"/>
      <w:marTop w:val="0"/>
      <w:marBottom w:val="0"/>
      <w:divBdr>
        <w:top w:val="none" w:sz="0" w:space="0" w:color="auto"/>
        <w:left w:val="none" w:sz="0" w:space="0" w:color="auto"/>
        <w:bottom w:val="none" w:sz="0" w:space="0" w:color="auto"/>
        <w:right w:val="none" w:sz="0" w:space="0" w:color="auto"/>
      </w:divBdr>
    </w:div>
    <w:div w:id="119303824">
      <w:bodyDiv w:val="1"/>
      <w:marLeft w:val="0"/>
      <w:marRight w:val="0"/>
      <w:marTop w:val="0"/>
      <w:marBottom w:val="0"/>
      <w:divBdr>
        <w:top w:val="none" w:sz="0" w:space="0" w:color="auto"/>
        <w:left w:val="none" w:sz="0" w:space="0" w:color="auto"/>
        <w:bottom w:val="none" w:sz="0" w:space="0" w:color="auto"/>
        <w:right w:val="none" w:sz="0" w:space="0" w:color="auto"/>
      </w:divBdr>
    </w:div>
    <w:div w:id="119416914">
      <w:bodyDiv w:val="1"/>
      <w:marLeft w:val="0"/>
      <w:marRight w:val="0"/>
      <w:marTop w:val="0"/>
      <w:marBottom w:val="0"/>
      <w:divBdr>
        <w:top w:val="none" w:sz="0" w:space="0" w:color="auto"/>
        <w:left w:val="none" w:sz="0" w:space="0" w:color="auto"/>
        <w:bottom w:val="none" w:sz="0" w:space="0" w:color="auto"/>
        <w:right w:val="none" w:sz="0" w:space="0" w:color="auto"/>
      </w:divBdr>
    </w:div>
    <w:div w:id="119419977">
      <w:bodyDiv w:val="1"/>
      <w:marLeft w:val="0"/>
      <w:marRight w:val="0"/>
      <w:marTop w:val="0"/>
      <w:marBottom w:val="0"/>
      <w:divBdr>
        <w:top w:val="none" w:sz="0" w:space="0" w:color="auto"/>
        <w:left w:val="none" w:sz="0" w:space="0" w:color="auto"/>
        <w:bottom w:val="none" w:sz="0" w:space="0" w:color="auto"/>
        <w:right w:val="none" w:sz="0" w:space="0" w:color="auto"/>
      </w:divBdr>
    </w:div>
    <w:div w:id="119422325">
      <w:bodyDiv w:val="1"/>
      <w:marLeft w:val="0"/>
      <w:marRight w:val="0"/>
      <w:marTop w:val="0"/>
      <w:marBottom w:val="0"/>
      <w:divBdr>
        <w:top w:val="none" w:sz="0" w:space="0" w:color="auto"/>
        <w:left w:val="none" w:sz="0" w:space="0" w:color="auto"/>
        <w:bottom w:val="none" w:sz="0" w:space="0" w:color="auto"/>
        <w:right w:val="none" w:sz="0" w:space="0" w:color="auto"/>
      </w:divBdr>
    </w:div>
    <w:div w:id="119494100">
      <w:bodyDiv w:val="1"/>
      <w:marLeft w:val="0"/>
      <w:marRight w:val="0"/>
      <w:marTop w:val="0"/>
      <w:marBottom w:val="0"/>
      <w:divBdr>
        <w:top w:val="none" w:sz="0" w:space="0" w:color="auto"/>
        <w:left w:val="none" w:sz="0" w:space="0" w:color="auto"/>
        <w:bottom w:val="none" w:sz="0" w:space="0" w:color="auto"/>
        <w:right w:val="none" w:sz="0" w:space="0" w:color="auto"/>
      </w:divBdr>
    </w:div>
    <w:div w:id="119496525">
      <w:bodyDiv w:val="1"/>
      <w:marLeft w:val="0"/>
      <w:marRight w:val="0"/>
      <w:marTop w:val="0"/>
      <w:marBottom w:val="0"/>
      <w:divBdr>
        <w:top w:val="none" w:sz="0" w:space="0" w:color="auto"/>
        <w:left w:val="none" w:sz="0" w:space="0" w:color="auto"/>
        <w:bottom w:val="none" w:sz="0" w:space="0" w:color="auto"/>
        <w:right w:val="none" w:sz="0" w:space="0" w:color="auto"/>
      </w:divBdr>
    </w:div>
    <w:div w:id="119498421">
      <w:bodyDiv w:val="1"/>
      <w:marLeft w:val="0"/>
      <w:marRight w:val="0"/>
      <w:marTop w:val="0"/>
      <w:marBottom w:val="0"/>
      <w:divBdr>
        <w:top w:val="none" w:sz="0" w:space="0" w:color="auto"/>
        <w:left w:val="none" w:sz="0" w:space="0" w:color="auto"/>
        <w:bottom w:val="none" w:sz="0" w:space="0" w:color="auto"/>
        <w:right w:val="none" w:sz="0" w:space="0" w:color="auto"/>
      </w:divBdr>
    </w:div>
    <w:div w:id="119501478">
      <w:bodyDiv w:val="1"/>
      <w:marLeft w:val="0"/>
      <w:marRight w:val="0"/>
      <w:marTop w:val="0"/>
      <w:marBottom w:val="0"/>
      <w:divBdr>
        <w:top w:val="none" w:sz="0" w:space="0" w:color="auto"/>
        <w:left w:val="none" w:sz="0" w:space="0" w:color="auto"/>
        <w:bottom w:val="none" w:sz="0" w:space="0" w:color="auto"/>
        <w:right w:val="none" w:sz="0" w:space="0" w:color="auto"/>
      </w:divBdr>
    </w:div>
    <w:div w:id="119567752">
      <w:bodyDiv w:val="1"/>
      <w:marLeft w:val="0"/>
      <w:marRight w:val="0"/>
      <w:marTop w:val="0"/>
      <w:marBottom w:val="0"/>
      <w:divBdr>
        <w:top w:val="none" w:sz="0" w:space="0" w:color="auto"/>
        <w:left w:val="none" w:sz="0" w:space="0" w:color="auto"/>
        <w:bottom w:val="none" w:sz="0" w:space="0" w:color="auto"/>
        <w:right w:val="none" w:sz="0" w:space="0" w:color="auto"/>
      </w:divBdr>
    </w:div>
    <w:div w:id="119737667">
      <w:bodyDiv w:val="1"/>
      <w:marLeft w:val="0"/>
      <w:marRight w:val="0"/>
      <w:marTop w:val="0"/>
      <w:marBottom w:val="0"/>
      <w:divBdr>
        <w:top w:val="none" w:sz="0" w:space="0" w:color="auto"/>
        <w:left w:val="none" w:sz="0" w:space="0" w:color="auto"/>
        <w:bottom w:val="none" w:sz="0" w:space="0" w:color="auto"/>
        <w:right w:val="none" w:sz="0" w:space="0" w:color="auto"/>
      </w:divBdr>
    </w:div>
    <w:div w:id="119961003">
      <w:bodyDiv w:val="1"/>
      <w:marLeft w:val="0"/>
      <w:marRight w:val="0"/>
      <w:marTop w:val="0"/>
      <w:marBottom w:val="0"/>
      <w:divBdr>
        <w:top w:val="none" w:sz="0" w:space="0" w:color="auto"/>
        <w:left w:val="none" w:sz="0" w:space="0" w:color="auto"/>
        <w:bottom w:val="none" w:sz="0" w:space="0" w:color="auto"/>
        <w:right w:val="none" w:sz="0" w:space="0" w:color="auto"/>
      </w:divBdr>
    </w:div>
    <w:div w:id="120002844">
      <w:bodyDiv w:val="1"/>
      <w:marLeft w:val="0"/>
      <w:marRight w:val="0"/>
      <w:marTop w:val="0"/>
      <w:marBottom w:val="0"/>
      <w:divBdr>
        <w:top w:val="none" w:sz="0" w:space="0" w:color="auto"/>
        <w:left w:val="none" w:sz="0" w:space="0" w:color="auto"/>
        <w:bottom w:val="none" w:sz="0" w:space="0" w:color="auto"/>
        <w:right w:val="none" w:sz="0" w:space="0" w:color="auto"/>
      </w:divBdr>
    </w:div>
    <w:div w:id="120149734">
      <w:bodyDiv w:val="1"/>
      <w:marLeft w:val="0"/>
      <w:marRight w:val="0"/>
      <w:marTop w:val="0"/>
      <w:marBottom w:val="0"/>
      <w:divBdr>
        <w:top w:val="none" w:sz="0" w:space="0" w:color="auto"/>
        <w:left w:val="none" w:sz="0" w:space="0" w:color="auto"/>
        <w:bottom w:val="none" w:sz="0" w:space="0" w:color="auto"/>
        <w:right w:val="none" w:sz="0" w:space="0" w:color="auto"/>
      </w:divBdr>
    </w:div>
    <w:div w:id="120151649">
      <w:bodyDiv w:val="1"/>
      <w:marLeft w:val="0"/>
      <w:marRight w:val="0"/>
      <w:marTop w:val="0"/>
      <w:marBottom w:val="0"/>
      <w:divBdr>
        <w:top w:val="none" w:sz="0" w:space="0" w:color="auto"/>
        <w:left w:val="none" w:sz="0" w:space="0" w:color="auto"/>
        <w:bottom w:val="none" w:sz="0" w:space="0" w:color="auto"/>
        <w:right w:val="none" w:sz="0" w:space="0" w:color="auto"/>
      </w:divBdr>
    </w:div>
    <w:div w:id="120340669">
      <w:bodyDiv w:val="1"/>
      <w:marLeft w:val="0"/>
      <w:marRight w:val="0"/>
      <w:marTop w:val="0"/>
      <w:marBottom w:val="0"/>
      <w:divBdr>
        <w:top w:val="none" w:sz="0" w:space="0" w:color="auto"/>
        <w:left w:val="none" w:sz="0" w:space="0" w:color="auto"/>
        <w:bottom w:val="none" w:sz="0" w:space="0" w:color="auto"/>
        <w:right w:val="none" w:sz="0" w:space="0" w:color="auto"/>
      </w:divBdr>
    </w:div>
    <w:div w:id="120349745">
      <w:bodyDiv w:val="1"/>
      <w:marLeft w:val="0"/>
      <w:marRight w:val="0"/>
      <w:marTop w:val="0"/>
      <w:marBottom w:val="0"/>
      <w:divBdr>
        <w:top w:val="none" w:sz="0" w:space="0" w:color="auto"/>
        <w:left w:val="none" w:sz="0" w:space="0" w:color="auto"/>
        <w:bottom w:val="none" w:sz="0" w:space="0" w:color="auto"/>
        <w:right w:val="none" w:sz="0" w:space="0" w:color="auto"/>
      </w:divBdr>
    </w:div>
    <w:div w:id="120540814">
      <w:bodyDiv w:val="1"/>
      <w:marLeft w:val="0"/>
      <w:marRight w:val="0"/>
      <w:marTop w:val="0"/>
      <w:marBottom w:val="0"/>
      <w:divBdr>
        <w:top w:val="none" w:sz="0" w:space="0" w:color="auto"/>
        <w:left w:val="none" w:sz="0" w:space="0" w:color="auto"/>
        <w:bottom w:val="none" w:sz="0" w:space="0" w:color="auto"/>
        <w:right w:val="none" w:sz="0" w:space="0" w:color="auto"/>
      </w:divBdr>
    </w:div>
    <w:div w:id="120614076">
      <w:bodyDiv w:val="1"/>
      <w:marLeft w:val="0"/>
      <w:marRight w:val="0"/>
      <w:marTop w:val="0"/>
      <w:marBottom w:val="0"/>
      <w:divBdr>
        <w:top w:val="none" w:sz="0" w:space="0" w:color="auto"/>
        <w:left w:val="none" w:sz="0" w:space="0" w:color="auto"/>
        <w:bottom w:val="none" w:sz="0" w:space="0" w:color="auto"/>
        <w:right w:val="none" w:sz="0" w:space="0" w:color="auto"/>
      </w:divBdr>
    </w:div>
    <w:div w:id="120728214">
      <w:bodyDiv w:val="1"/>
      <w:marLeft w:val="0"/>
      <w:marRight w:val="0"/>
      <w:marTop w:val="0"/>
      <w:marBottom w:val="0"/>
      <w:divBdr>
        <w:top w:val="none" w:sz="0" w:space="0" w:color="auto"/>
        <w:left w:val="none" w:sz="0" w:space="0" w:color="auto"/>
        <w:bottom w:val="none" w:sz="0" w:space="0" w:color="auto"/>
        <w:right w:val="none" w:sz="0" w:space="0" w:color="auto"/>
      </w:divBdr>
    </w:div>
    <w:div w:id="120736536">
      <w:bodyDiv w:val="1"/>
      <w:marLeft w:val="0"/>
      <w:marRight w:val="0"/>
      <w:marTop w:val="0"/>
      <w:marBottom w:val="0"/>
      <w:divBdr>
        <w:top w:val="none" w:sz="0" w:space="0" w:color="auto"/>
        <w:left w:val="none" w:sz="0" w:space="0" w:color="auto"/>
        <w:bottom w:val="none" w:sz="0" w:space="0" w:color="auto"/>
        <w:right w:val="none" w:sz="0" w:space="0" w:color="auto"/>
      </w:divBdr>
    </w:div>
    <w:div w:id="120804118">
      <w:bodyDiv w:val="1"/>
      <w:marLeft w:val="0"/>
      <w:marRight w:val="0"/>
      <w:marTop w:val="0"/>
      <w:marBottom w:val="0"/>
      <w:divBdr>
        <w:top w:val="none" w:sz="0" w:space="0" w:color="auto"/>
        <w:left w:val="none" w:sz="0" w:space="0" w:color="auto"/>
        <w:bottom w:val="none" w:sz="0" w:space="0" w:color="auto"/>
        <w:right w:val="none" w:sz="0" w:space="0" w:color="auto"/>
      </w:divBdr>
    </w:div>
    <w:div w:id="120806439">
      <w:bodyDiv w:val="1"/>
      <w:marLeft w:val="0"/>
      <w:marRight w:val="0"/>
      <w:marTop w:val="0"/>
      <w:marBottom w:val="0"/>
      <w:divBdr>
        <w:top w:val="none" w:sz="0" w:space="0" w:color="auto"/>
        <w:left w:val="none" w:sz="0" w:space="0" w:color="auto"/>
        <w:bottom w:val="none" w:sz="0" w:space="0" w:color="auto"/>
        <w:right w:val="none" w:sz="0" w:space="0" w:color="auto"/>
      </w:divBdr>
    </w:div>
    <w:div w:id="121002713">
      <w:bodyDiv w:val="1"/>
      <w:marLeft w:val="0"/>
      <w:marRight w:val="0"/>
      <w:marTop w:val="0"/>
      <w:marBottom w:val="0"/>
      <w:divBdr>
        <w:top w:val="none" w:sz="0" w:space="0" w:color="auto"/>
        <w:left w:val="none" w:sz="0" w:space="0" w:color="auto"/>
        <w:bottom w:val="none" w:sz="0" w:space="0" w:color="auto"/>
        <w:right w:val="none" w:sz="0" w:space="0" w:color="auto"/>
      </w:divBdr>
    </w:div>
    <w:div w:id="121075706">
      <w:bodyDiv w:val="1"/>
      <w:marLeft w:val="0"/>
      <w:marRight w:val="0"/>
      <w:marTop w:val="0"/>
      <w:marBottom w:val="0"/>
      <w:divBdr>
        <w:top w:val="none" w:sz="0" w:space="0" w:color="auto"/>
        <w:left w:val="none" w:sz="0" w:space="0" w:color="auto"/>
        <w:bottom w:val="none" w:sz="0" w:space="0" w:color="auto"/>
        <w:right w:val="none" w:sz="0" w:space="0" w:color="auto"/>
      </w:divBdr>
    </w:div>
    <w:div w:id="121118795">
      <w:bodyDiv w:val="1"/>
      <w:marLeft w:val="0"/>
      <w:marRight w:val="0"/>
      <w:marTop w:val="0"/>
      <w:marBottom w:val="0"/>
      <w:divBdr>
        <w:top w:val="none" w:sz="0" w:space="0" w:color="auto"/>
        <w:left w:val="none" w:sz="0" w:space="0" w:color="auto"/>
        <w:bottom w:val="none" w:sz="0" w:space="0" w:color="auto"/>
        <w:right w:val="none" w:sz="0" w:space="0" w:color="auto"/>
      </w:divBdr>
    </w:div>
    <w:div w:id="121189364">
      <w:bodyDiv w:val="1"/>
      <w:marLeft w:val="0"/>
      <w:marRight w:val="0"/>
      <w:marTop w:val="0"/>
      <w:marBottom w:val="0"/>
      <w:divBdr>
        <w:top w:val="none" w:sz="0" w:space="0" w:color="auto"/>
        <w:left w:val="none" w:sz="0" w:space="0" w:color="auto"/>
        <w:bottom w:val="none" w:sz="0" w:space="0" w:color="auto"/>
        <w:right w:val="none" w:sz="0" w:space="0" w:color="auto"/>
      </w:divBdr>
    </w:div>
    <w:div w:id="121193615">
      <w:bodyDiv w:val="1"/>
      <w:marLeft w:val="0"/>
      <w:marRight w:val="0"/>
      <w:marTop w:val="0"/>
      <w:marBottom w:val="0"/>
      <w:divBdr>
        <w:top w:val="none" w:sz="0" w:space="0" w:color="auto"/>
        <w:left w:val="none" w:sz="0" w:space="0" w:color="auto"/>
        <w:bottom w:val="none" w:sz="0" w:space="0" w:color="auto"/>
        <w:right w:val="none" w:sz="0" w:space="0" w:color="auto"/>
      </w:divBdr>
    </w:div>
    <w:div w:id="121266654">
      <w:bodyDiv w:val="1"/>
      <w:marLeft w:val="0"/>
      <w:marRight w:val="0"/>
      <w:marTop w:val="0"/>
      <w:marBottom w:val="0"/>
      <w:divBdr>
        <w:top w:val="none" w:sz="0" w:space="0" w:color="auto"/>
        <w:left w:val="none" w:sz="0" w:space="0" w:color="auto"/>
        <w:bottom w:val="none" w:sz="0" w:space="0" w:color="auto"/>
        <w:right w:val="none" w:sz="0" w:space="0" w:color="auto"/>
      </w:divBdr>
    </w:div>
    <w:div w:id="121312790">
      <w:bodyDiv w:val="1"/>
      <w:marLeft w:val="0"/>
      <w:marRight w:val="0"/>
      <w:marTop w:val="0"/>
      <w:marBottom w:val="0"/>
      <w:divBdr>
        <w:top w:val="none" w:sz="0" w:space="0" w:color="auto"/>
        <w:left w:val="none" w:sz="0" w:space="0" w:color="auto"/>
        <w:bottom w:val="none" w:sz="0" w:space="0" w:color="auto"/>
        <w:right w:val="none" w:sz="0" w:space="0" w:color="auto"/>
      </w:divBdr>
    </w:div>
    <w:div w:id="121313475">
      <w:bodyDiv w:val="1"/>
      <w:marLeft w:val="0"/>
      <w:marRight w:val="0"/>
      <w:marTop w:val="0"/>
      <w:marBottom w:val="0"/>
      <w:divBdr>
        <w:top w:val="none" w:sz="0" w:space="0" w:color="auto"/>
        <w:left w:val="none" w:sz="0" w:space="0" w:color="auto"/>
        <w:bottom w:val="none" w:sz="0" w:space="0" w:color="auto"/>
        <w:right w:val="none" w:sz="0" w:space="0" w:color="auto"/>
      </w:divBdr>
    </w:div>
    <w:div w:id="121385177">
      <w:bodyDiv w:val="1"/>
      <w:marLeft w:val="0"/>
      <w:marRight w:val="0"/>
      <w:marTop w:val="0"/>
      <w:marBottom w:val="0"/>
      <w:divBdr>
        <w:top w:val="none" w:sz="0" w:space="0" w:color="auto"/>
        <w:left w:val="none" w:sz="0" w:space="0" w:color="auto"/>
        <w:bottom w:val="none" w:sz="0" w:space="0" w:color="auto"/>
        <w:right w:val="none" w:sz="0" w:space="0" w:color="auto"/>
      </w:divBdr>
    </w:div>
    <w:div w:id="121389194">
      <w:bodyDiv w:val="1"/>
      <w:marLeft w:val="0"/>
      <w:marRight w:val="0"/>
      <w:marTop w:val="0"/>
      <w:marBottom w:val="0"/>
      <w:divBdr>
        <w:top w:val="none" w:sz="0" w:space="0" w:color="auto"/>
        <w:left w:val="none" w:sz="0" w:space="0" w:color="auto"/>
        <w:bottom w:val="none" w:sz="0" w:space="0" w:color="auto"/>
        <w:right w:val="none" w:sz="0" w:space="0" w:color="auto"/>
      </w:divBdr>
    </w:div>
    <w:div w:id="121389466">
      <w:bodyDiv w:val="1"/>
      <w:marLeft w:val="0"/>
      <w:marRight w:val="0"/>
      <w:marTop w:val="0"/>
      <w:marBottom w:val="0"/>
      <w:divBdr>
        <w:top w:val="none" w:sz="0" w:space="0" w:color="auto"/>
        <w:left w:val="none" w:sz="0" w:space="0" w:color="auto"/>
        <w:bottom w:val="none" w:sz="0" w:space="0" w:color="auto"/>
        <w:right w:val="none" w:sz="0" w:space="0" w:color="auto"/>
      </w:divBdr>
    </w:div>
    <w:div w:id="121533397">
      <w:bodyDiv w:val="1"/>
      <w:marLeft w:val="0"/>
      <w:marRight w:val="0"/>
      <w:marTop w:val="0"/>
      <w:marBottom w:val="0"/>
      <w:divBdr>
        <w:top w:val="none" w:sz="0" w:space="0" w:color="auto"/>
        <w:left w:val="none" w:sz="0" w:space="0" w:color="auto"/>
        <w:bottom w:val="none" w:sz="0" w:space="0" w:color="auto"/>
        <w:right w:val="none" w:sz="0" w:space="0" w:color="auto"/>
      </w:divBdr>
    </w:div>
    <w:div w:id="121658847">
      <w:bodyDiv w:val="1"/>
      <w:marLeft w:val="0"/>
      <w:marRight w:val="0"/>
      <w:marTop w:val="0"/>
      <w:marBottom w:val="0"/>
      <w:divBdr>
        <w:top w:val="none" w:sz="0" w:space="0" w:color="auto"/>
        <w:left w:val="none" w:sz="0" w:space="0" w:color="auto"/>
        <w:bottom w:val="none" w:sz="0" w:space="0" w:color="auto"/>
        <w:right w:val="none" w:sz="0" w:space="0" w:color="auto"/>
      </w:divBdr>
    </w:div>
    <w:div w:id="121728722">
      <w:bodyDiv w:val="1"/>
      <w:marLeft w:val="0"/>
      <w:marRight w:val="0"/>
      <w:marTop w:val="0"/>
      <w:marBottom w:val="0"/>
      <w:divBdr>
        <w:top w:val="none" w:sz="0" w:space="0" w:color="auto"/>
        <w:left w:val="none" w:sz="0" w:space="0" w:color="auto"/>
        <w:bottom w:val="none" w:sz="0" w:space="0" w:color="auto"/>
        <w:right w:val="none" w:sz="0" w:space="0" w:color="auto"/>
      </w:divBdr>
    </w:div>
    <w:div w:id="121771797">
      <w:bodyDiv w:val="1"/>
      <w:marLeft w:val="0"/>
      <w:marRight w:val="0"/>
      <w:marTop w:val="0"/>
      <w:marBottom w:val="0"/>
      <w:divBdr>
        <w:top w:val="none" w:sz="0" w:space="0" w:color="auto"/>
        <w:left w:val="none" w:sz="0" w:space="0" w:color="auto"/>
        <w:bottom w:val="none" w:sz="0" w:space="0" w:color="auto"/>
        <w:right w:val="none" w:sz="0" w:space="0" w:color="auto"/>
      </w:divBdr>
    </w:div>
    <w:div w:id="121776009">
      <w:bodyDiv w:val="1"/>
      <w:marLeft w:val="0"/>
      <w:marRight w:val="0"/>
      <w:marTop w:val="0"/>
      <w:marBottom w:val="0"/>
      <w:divBdr>
        <w:top w:val="none" w:sz="0" w:space="0" w:color="auto"/>
        <w:left w:val="none" w:sz="0" w:space="0" w:color="auto"/>
        <w:bottom w:val="none" w:sz="0" w:space="0" w:color="auto"/>
        <w:right w:val="none" w:sz="0" w:space="0" w:color="auto"/>
      </w:divBdr>
    </w:div>
    <w:div w:id="121777386">
      <w:bodyDiv w:val="1"/>
      <w:marLeft w:val="0"/>
      <w:marRight w:val="0"/>
      <w:marTop w:val="0"/>
      <w:marBottom w:val="0"/>
      <w:divBdr>
        <w:top w:val="none" w:sz="0" w:space="0" w:color="auto"/>
        <w:left w:val="none" w:sz="0" w:space="0" w:color="auto"/>
        <w:bottom w:val="none" w:sz="0" w:space="0" w:color="auto"/>
        <w:right w:val="none" w:sz="0" w:space="0" w:color="auto"/>
      </w:divBdr>
    </w:div>
    <w:div w:id="121846177">
      <w:bodyDiv w:val="1"/>
      <w:marLeft w:val="0"/>
      <w:marRight w:val="0"/>
      <w:marTop w:val="0"/>
      <w:marBottom w:val="0"/>
      <w:divBdr>
        <w:top w:val="none" w:sz="0" w:space="0" w:color="auto"/>
        <w:left w:val="none" w:sz="0" w:space="0" w:color="auto"/>
        <w:bottom w:val="none" w:sz="0" w:space="0" w:color="auto"/>
        <w:right w:val="none" w:sz="0" w:space="0" w:color="auto"/>
      </w:divBdr>
    </w:div>
    <w:div w:id="121846678">
      <w:bodyDiv w:val="1"/>
      <w:marLeft w:val="0"/>
      <w:marRight w:val="0"/>
      <w:marTop w:val="0"/>
      <w:marBottom w:val="0"/>
      <w:divBdr>
        <w:top w:val="none" w:sz="0" w:space="0" w:color="auto"/>
        <w:left w:val="none" w:sz="0" w:space="0" w:color="auto"/>
        <w:bottom w:val="none" w:sz="0" w:space="0" w:color="auto"/>
        <w:right w:val="none" w:sz="0" w:space="0" w:color="auto"/>
      </w:divBdr>
    </w:div>
    <w:div w:id="121847632">
      <w:bodyDiv w:val="1"/>
      <w:marLeft w:val="0"/>
      <w:marRight w:val="0"/>
      <w:marTop w:val="0"/>
      <w:marBottom w:val="0"/>
      <w:divBdr>
        <w:top w:val="none" w:sz="0" w:space="0" w:color="auto"/>
        <w:left w:val="none" w:sz="0" w:space="0" w:color="auto"/>
        <w:bottom w:val="none" w:sz="0" w:space="0" w:color="auto"/>
        <w:right w:val="none" w:sz="0" w:space="0" w:color="auto"/>
      </w:divBdr>
    </w:div>
    <w:div w:id="121965732">
      <w:bodyDiv w:val="1"/>
      <w:marLeft w:val="0"/>
      <w:marRight w:val="0"/>
      <w:marTop w:val="0"/>
      <w:marBottom w:val="0"/>
      <w:divBdr>
        <w:top w:val="none" w:sz="0" w:space="0" w:color="auto"/>
        <w:left w:val="none" w:sz="0" w:space="0" w:color="auto"/>
        <w:bottom w:val="none" w:sz="0" w:space="0" w:color="auto"/>
        <w:right w:val="none" w:sz="0" w:space="0" w:color="auto"/>
      </w:divBdr>
    </w:div>
    <w:div w:id="122039648">
      <w:bodyDiv w:val="1"/>
      <w:marLeft w:val="0"/>
      <w:marRight w:val="0"/>
      <w:marTop w:val="0"/>
      <w:marBottom w:val="0"/>
      <w:divBdr>
        <w:top w:val="none" w:sz="0" w:space="0" w:color="auto"/>
        <w:left w:val="none" w:sz="0" w:space="0" w:color="auto"/>
        <w:bottom w:val="none" w:sz="0" w:space="0" w:color="auto"/>
        <w:right w:val="none" w:sz="0" w:space="0" w:color="auto"/>
      </w:divBdr>
    </w:div>
    <w:div w:id="122043653">
      <w:bodyDiv w:val="1"/>
      <w:marLeft w:val="0"/>
      <w:marRight w:val="0"/>
      <w:marTop w:val="0"/>
      <w:marBottom w:val="0"/>
      <w:divBdr>
        <w:top w:val="none" w:sz="0" w:space="0" w:color="auto"/>
        <w:left w:val="none" w:sz="0" w:space="0" w:color="auto"/>
        <w:bottom w:val="none" w:sz="0" w:space="0" w:color="auto"/>
        <w:right w:val="none" w:sz="0" w:space="0" w:color="auto"/>
      </w:divBdr>
    </w:div>
    <w:div w:id="122045859">
      <w:bodyDiv w:val="1"/>
      <w:marLeft w:val="0"/>
      <w:marRight w:val="0"/>
      <w:marTop w:val="0"/>
      <w:marBottom w:val="0"/>
      <w:divBdr>
        <w:top w:val="none" w:sz="0" w:space="0" w:color="auto"/>
        <w:left w:val="none" w:sz="0" w:space="0" w:color="auto"/>
        <w:bottom w:val="none" w:sz="0" w:space="0" w:color="auto"/>
        <w:right w:val="none" w:sz="0" w:space="0" w:color="auto"/>
      </w:divBdr>
    </w:div>
    <w:div w:id="122235945">
      <w:bodyDiv w:val="1"/>
      <w:marLeft w:val="0"/>
      <w:marRight w:val="0"/>
      <w:marTop w:val="0"/>
      <w:marBottom w:val="0"/>
      <w:divBdr>
        <w:top w:val="none" w:sz="0" w:space="0" w:color="auto"/>
        <w:left w:val="none" w:sz="0" w:space="0" w:color="auto"/>
        <w:bottom w:val="none" w:sz="0" w:space="0" w:color="auto"/>
        <w:right w:val="none" w:sz="0" w:space="0" w:color="auto"/>
      </w:divBdr>
    </w:div>
    <w:div w:id="122499684">
      <w:bodyDiv w:val="1"/>
      <w:marLeft w:val="0"/>
      <w:marRight w:val="0"/>
      <w:marTop w:val="0"/>
      <w:marBottom w:val="0"/>
      <w:divBdr>
        <w:top w:val="none" w:sz="0" w:space="0" w:color="auto"/>
        <w:left w:val="none" w:sz="0" w:space="0" w:color="auto"/>
        <w:bottom w:val="none" w:sz="0" w:space="0" w:color="auto"/>
        <w:right w:val="none" w:sz="0" w:space="0" w:color="auto"/>
      </w:divBdr>
    </w:div>
    <w:div w:id="122584626">
      <w:bodyDiv w:val="1"/>
      <w:marLeft w:val="0"/>
      <w:marRight w:val="0"/>
      <w:marTop w:val="0"/>
      <w:marBottom w:val="0"/>
      <w:divBdr>
        <w:top w:val="none" w:sz="0" w:space="0" w:color="auto"/>
        <w:left w:val="none" w:sz="0" w:space="0" w:color="auto"/>
        <w:bottom w:val="none" w:sz="0" w:space="0" w:color="auto"/>
        <w:right w:val="none" w:sz="0" w:space="0" w:color="auto"/>
      </w:divBdr>
    </w:div>
    <w:div w:id="122774781">
      <w:bodyDiv w:val="1"/>
      <w:marLeft w:val="0"/>
      <w:marRight w:val="0"/>
      <w:marTop w:val="0"/>
      <w:marBottom w:val="0"/>
      <w:divBdr>
        <w:top w:val="none" w:sz="0" w:space="0" w:color="auto"/>
        <w:left w:val="none" w:sz="0" w:space="0" w:color="auto"/>
        <w:bottom w:val="none" w:sz="0" w:space="0" w:color="auto"/>
        <w:right w:val="none" w:sz="0" w:space="0" w:color="auto"/>
      </w:divBdr>
    </w:div>
    <w:div w:id="122815334">
      <w:bodyDiv w:val="1"/>
      <w:marLeft w:val="0"/>
      <w:marRight w:val="0"/>
      <w:marTop w:val="0"/>
      <w:marBottom w:val="0"/>
      <w:divBdr>
        <w:top w:val="none" w:sz="0" w:space="0" w:color="auto"/>
        <w:left w:val="none" w:sz="0" w:space="0" w:color="auto"/>
        <w:bottom w:val="none" w:sz="0" w:space="0" w:color="auto"/>
        <w:right w:val="none" w:sz="0" w:space="0" w:color="auto"/>
      </w:divBdr>
    </w:div>
    <w:div w:id="122820523">
      <w:bodyDiv w:val="1"/>
      <w:marLeft w:val="0"/>
      <w:marRight w:val="0"/>
      <w:marTop w:val="0"/>
      <w:marBottom w:val="0"/>
      <w:divBdr>
        <w:top w:val="none" w:sz="0" w:space="0" w:color="auto"/>
        <w:left w:val="none" w:sz="0" w:space="0" w:color="auto"/>
        <w:bottom w:val="none" w:sz="0" w:space="0" w:color="auto"/>
        <w:right w:val="none" w:sz="0" w:space="0" w:color="auto"/>
      </w:divBdr>
    </w:div>
    <w:div w:id="122962039">
      <w:bodyDiv w:val="1"/>
      <w:marLeft w:val="0"/>
      <w:marRight w:val="0"/>
      <w:marTop w:val="0"/>
      <w:marBottom w:val="0"/>
      <w:divBdr>
        <w:top w:val="none" w:sz="0" w:space="0" w:color="auto"/>
        <w:left w:val="none" w:sz="0" w:space="0" w:color="auto"/>
        <w:bottom w:val="none" w:sz="0" w:space="0" w:color="auto"/>
        <w:right w:val="none" w:sz="0" w:space="0" w:color="auto"/>
      </w:divBdr>
    </w:div>
    <w:div w:id="122963051">
      <w:bodyDiv w:val="1"/>
      <w:marLeft w:val="0"/>
      <w:marRight w:val="0"/>
      <w:marTop w:val="0"/>
      <w:marBottom w:val="0"/>
      <w:divBdr>
        <w:top w:val="none" w:sz="0" w:space="0" w:color="auto"/>
        <w:left w:val="none" w:sz="0" w:space="0" w:color="auto"/>
        <w:bottom w:val="none" w:sz="0" w:space="0" w:color="auto"/>
        <w:right w:val="none" w:sz="0" w:space="0" w:color="auto"/>
      </w:divBdr>
    </w:div>
    <w:div w:id="122968439">
      <w:bodyDiv w:val="1"/>
      <w:marLeft w:val="0"/>
      <w:marRight w:val="0"/>
      <w:marTop w:val="0"/>
      <w:marBottom w:val="0"/>
      <w:divBdr>
        <w:top w:val="none" w:sz="0" w:space="0" w:color="auto"/>
        <w:left w:val="none" w:sz="0" w:space="0" w:color="auto"/>
        <w:bottom w:val="none" w:sz="0" w:space="0" w:color="auto"/>
        <w:right w:val="none" w:sz="0" w:space="0" w:color="auto"/>
      </w:divBdr>
    </w:div>
    <w:div w:id="123038835">
      <w:bodyDiv w:val="1"/>
      <w:marLeft w:val="0"/>
      <w:marRight w:val="0"/>
      <w:marTop w:val="0"/>
      <w:marBottom w:val="0"/>
      <w:divBdr>
        <w:top w:val="none" w:sz="0" w:space="0" w:color="auto"/>
        <w:left w:val="none" w:sz="0" w:space="0" w:color="auto"/>
        <w:bottom w:val="none" w:sz="0" w:space="0" w:color="auto"/>
        <w:right w:val="none" w:sz="0" w:space="0" w:color="auto"/>
      </w:divBdr>
    </w:div>
    <w:div w:id="123081960">
      <w:bodyDiv w:val="1"/>
      <w:marLeft w:val="0"/>
      <w:marRight w:val="0"/>
      <w:marTop w:val="0"/>
      <w:marBottom w:val="0"/>
      <w:divBdr>
        <w:top w:val="none" w:sz="0" w:space="0" w:color="auto"/>
        <w:left w:val="none" w:sz="0" w:space="0" w:color="auto"/>
        <w:bottom w:val="none" w:sz="0" w:space="0" w:color="auto"/>
        <w:right w:val="none" w:sz="0" w:space="0" w:color="auto"/>
      </w:divBdr>
    </w:div>
    <w:div w:id="123233229">
      <w:bodyDiv w:val="1"/>
      <w:marLeft w:val="0"/>
      <w:marRight w:val="0"/>
      <w:marTop w:val="0"/>
      <w:marBottom w:val="0"/>
      <w:divBdr>
        <w:top w:val="none" w:sz="0" w:space="0" w:color="auto"/>
        <w:left w:val="none" w:sz="0" w:space="0" w:color="auto"/>
        <w:bottom w:val="none" w:sz="0" w:space="0" w:color="auto"/>
        <w:right w:val="none" w:sz="0" w:space="0" w:color="auto"/>
      </w:divBdr>
    </w:div>
    <w:div w:id="123234672">
      <w:bodyDiv w:val="1"/>
      <w:marLeft w:val="0"/>
      <w:marRight w:val="0"/>
      <w:marTop w:val="0"/>
      <w:marBottom w:val="0"/>
      <w:divBdr>
        <w:top w:val="none" w:sz="0" w:space="0" w:color="auto"/>
        <w:left w:val="none" w:sz="0" w:space="0" w:color="auto"/>
        <w:bottom w:val="none" w:sz="0" w:space="0" w:color="auto"/>
        <w:right w:val="none" w:sz="0" w:space="0" w:color="auto"/>
      </w:divBdr>
    </w:div>
    <w:div w:id="123235683">
      <w:bodyDiv w:val="1"/>
      <w:marLeft w:val="0"/>
      <w:marRight w:val="0"/>
      <w:marTop w:val="0"/>
      <w:marBottom w:val="0"/>
      <w:divBdr>
        <w:top w:val="none" w:sz="0" w:space="0" w:color="auto"/>
        <w:left w:val="none" w:sz="0" w:space="0" w:color="auto"/>
        <w:bottom w:val="none" w:sz="0" w:space="0" w:color="auto"/>
        <w:right w:val="none" w:sz="0" w:space="0" w:color="auto"/>
      </w:divBdr>
    </w:div>
    <w:div w:id="123305898">
      <w:bodyDiv w:val="1"/>
      <w:marLeft w:val="0"/>
      <w:marRight w:val="0"/>
      <w:marTop w:val="0"/>
      <w:marBottom w:val="0"/>
      <w:divBdr>
        <w:top w:val="none" w:sz="0" w:space="0" w:color="auto"/>
        <w:left w:val="none" w:sz="0" w:space="0" w:color="auto"/>
        <w:bottom w:val="none" w:sz="0" w:space="0" w:color="auto"/>
        <w:right w:val="none" w:sz="0" w:space="0" w:color="auto"/>
      </w:divBdr>
    </w:div>
    <w:div w:id="123352796">
      <w:bodyDiv w:val="1"/>
      <w:marLeft w:val="0"/>
      <w:marRight w:val="0"/>
      <w:marTop w:val="0"/>
      <w:marBottom w:val="0"/>
      <w:divBdr>
        <w:top w:val="none" w:sz="0" w:space="0" w:color="auto"/>
        <w:left w:val="none" w:sz="0" w:space="0" w:color="auto"/>
        <w:bottom w:val="none" w:sz="0" w:space="0" w:color="auto"/>
        <w:right w:val="none" w:sz="0" w:space="0" w:color="auto"/>
      </w:divBdr>
    </w:div>
    <w:div w:id="123475318">
      <w:bodyDiv w:val="1"/>
      <w:marLeft w:val="0"/>
      <w:marRight w:val="0"/>
      <w:marTop w:val="0"/>
      <w:marBottom w:val="0"/>
      <w:divBdr>
        <w:top w:val="none" w:sz="0" w:space="0" w:color="auto"/>
        <w:left w:val="none" w:sz="0" w:space="0" w:color="auto"/>
        <w:bottom w:val="none" w:sz="0" w:space="0" w:color="auto"/>
        <w:right w:val="none" w:sz="0" w:space="0" w:color="auto"/>
      </w:divBdr>
    </w:div>
    <w:div w:id="123618487">
      <w:bodyDiv w:val="1"/>
      <w:marLeft w:val="0"/>
      <w:marRight w:val="0"/>
      <w:marTop w:val="0"/>
      <w:marBottom w:val="0"/>
      <w:divBdr>
        <w:top w:val="none" w:sz="0" w:space="0" w:color="auto"/>
        <w:left w:val="none" w:sz="0" w:space="0" w:color="auto"/>
        <w:bottom w:val="none" w:sz="0" w:space="0" w:color="auto"/>
        <w:right w:val="none" w:sz="0" w:space="0" w:color="auto"/>
      </w:divBdr>
    </w:div>
    <w:div w:id="123693318">
      <w:bodyDiv w:val="1"/>
      <w:marLeft w:val="0"/>
      <w:marRight w:val="0"/>
      <w:marTop w:val="0"/>
      <w:marBottom w:val="0"/>
      <w:divBdr>
        <w:top w:val="none" w:sz="0" w:space="0" w:color="auto"/>
        <w:left w:val="none" w:sz="0" w:space="0" w:color="auto"/>
        <w:bottom w:val="none" w:sz="0" w:space="0" w:color="auto"/>
        <w:right w:val="none" w:sz="0" w:space="0" w:color="auto"/>
      </w:divBdr>
    </w:div>
    <w:div w:id="123740518">
      <w:bodyDiv w:val="1"/>
      <w:marLeft w:val="0"/>
      <w:marRight w:val="0"/>
      <w:marTop w:val="0"/>
      <w:marBottom w:val="0"/>
      <w:divBdr>
        <w:top w:val="none" w:sz="0" w:space="0" w:color="auto"/>
        <w:left w:val="none" w:sz="0" w:space="0" w:color="auto"/>
        <w:bottom w:val="none" w:sz="0" w:space="0" w:color="auto"/>
        <w:right w:val="none" w:sz="0" w:space="0" w:color="auto"/>
      </w:divBdr>
    </w:div>
    <w:div w:id="123887043">
      <w:bodyDiv w:val="1"/>
      <w:marLeft w:val="0"/>
      <w:marRight w:val="0"/>
      <w:marTop w:val="0"/>
      <w:marBottom w:val="0"/>
      <w:divBdr>
        <w:top w:val="none" w:sz="0" w:space="0" w:color="auto"/>
        <w:left w:val="none" w:sz="0" w:space="0" w:color="auto"/>
        <w:bottom w:val="none" w:sz="0" w:space="0" w:color="auto"/>
        <w:right w:val="none" w:sz="0" w:space="0" w:color="auto"/>
      </w:divBdr>
    </w:div>
    <w:div w:id="123934184">
      <w:bodyDiv w:val="1"/>
      <w:marLeft w:val="0"/>
      <w:marRight w:val="0"/>
      <w:marTop w:val="0"/>
      <w:marBottom w:val="0"/>
      <w:divBdr>
        <w:top w:val="none" w:sz="0" w:space="0" w:color="auto"/>
        <w:left w:val="none" w:sz="0" w:space="0" w:color="auto"/>
        <w:bottom w:val="none" w:sz="0" w:space="0" w:color="auto"/>
        <w:right w:val="none" w:sz="0" w:space="0" w:color="auto"/>
      </w:divBdr>
    </w:div>
    <w:div w:id="123937184">
      <w:bodyDiv w:val="1"/>
      <w:marLeft w:val="0"/>
      <w:marRight w:val="0"/>
      <w:marTop w:val="0"/>
      <w:marBottom w:val="0"/>
      <w:divBdr>
        <w:top w:val="none" w:sz="0" w:space="0" w:color="auto"/>
        <w:left w:val="none" w:sz="0" w:space="0" w:color="auto"/>
        <w:bottom w:val="none" w:sz="0" w:space="0" w:color="auto"/>
        <w:right w:val="none" w:sz="0" w:space="0" w:color="auto"/>
      </w:divBdr>
    </w:div>
    <w:div w:id="124087855">
      <w:bodyDiv w:val="1"/>
      <w:marLeft w:val="0"/>
      <w:marRight w:val="0"/>
      <w:marTop w:val="0"/>
      <w:marBottom w:val="0"/>
      <w:divBdr>
        <w:top w:val="none" w:sz="0" w:space="0" w:color="auto"/>
        <w:left w:val="none" w:sz="0" w:space="0" w:color="auto"/>
        <w:bottom w:val="none" w:sz="0" w:space="0" w:color="auto"/>
        <w:right w:val="none" w:sz="0" w:space="0" w:color="auto"/>
      </w:divBdr>
    </w:div>
    <w:div w:id="124199994">
      <w:bodyDiv w:val="1"/>
      <w:marLeft w:val="0"/>
      <w:marRight w:val="0"/>
      <w:marTop w:val="0"/>
      <w:marBottom w:val="0"/>
      <w:divBdr>
        <w:top w:val="none" w:sz="0" w:space="0" w:color="auto"/>
        <w:left w:val="none" w:sz="0" w:space="0" w:color="auto"/>
        <w:bottom w:val="none" w:sz="0" w:space="0" w:color="auto"/>
        <w:right w:val="none" w:sz="0" w:space="0" w:color="auto"/>
      </w:divBdr>
    </w:div>
    <w:div w:id="124278803">
      <w:bodyDiv w:val="1"/>
      <w:marLeft w:val="0"/>
      <w:marRight w:val="0"/>
      <w:marTop w:val="0"/>
      <w:marBottom w:val="0"/>
      <w:divBdr>
        <w:top w:val="none" w:sz="0" w:space="0" w:color="auto"/>
        <w:left w:val="none" w:sz="0" w:space="0" w:color="auto"/>
        <w:bottom w:val="none" w:sz="0" w:space="0" w:color="auto"/>
        <w:right w:val="none" w:sz="0" w:space="0" w:color="auto"/>
      </w:divBdr>
    </w:div>
    <w:div w:id="124347531">
      <w:bodyDiv w:val="1"/>
      <w:marLeft w:val="0"/>
      <w:marRight w:val="0"/>
      <w:marTop w:val="0"/>
      <w:marBottom w:val="0"/>
      <w:divBdr>
        <w:top w:val="none" w:sz="0" w:space="0" w:color="auto"/>
        <w:left w:val="none" w:sz="0" w:space="0" w:color="auto"/>
        <w:bottom w:val="none" w:sz="0" w:space="0" w:color="auto"/>
        <w:right w:val="none" w:sz="0" w:space="0" w:color="auto"/>
      </w:divBdr>
    </w:div>
    <w:div w:id="124349106">
      <w:bodyDiv w:val="1"/>
      <w:marLeft w:val="0"/>
      <w:marRight w:val="0"/>
      <w:marTop w:val="0"/>
      <w:marBottom w:val="0"/>
      <w:divBdr>
        <w:top w:val="none" w:sz="0" w:space="0" w:color="auto"/>
        <w:left w:val="none" w:sz="0" w:space="0" w:color="auto"/>
        <w:bottom w:val="none" w:sz="0" w:space="0" w:color="auto"/>
        <w:right w:val="none" w:sz="0" w:space="0" w:color="auto"/>
      </w:divBdr>
    </w:div>
    <w:div w:id="124544459">
      <w:bodyDiv w:val="1"/>
      <w:marLeft w:val="0"/>
      <w:marRight w:val="0"/>
      <w:marTop w:val="0"/>
      <w:marBottom w:val="0"/>
      <w:divBdr>
        <w:top w:val="none" w:sz="0" w:space="0" w:color="auto"/>
        <w:left w:val="none" w:sz="0" w:space="0" w:color="auto"/>
        <w:bottom w:val="none" w:sz="0" w:space="0" w:color="auto"/>
        <w:right w:val="none" w:sz="0" w:space="0" w:color="auto"/>
      </w:divBdr>
    </w:div>
    <w:div w:id="124592168">
      <w:bodyDiv w:val="1"/>
      <w:marLeft w:val="0"/>
      <w:marRight w:val="0"/>
      <w:marTop w:val="0"/>
      <w:marBottom w:val="0"/>
      <w:divBdr>
        <w:top w:val="none" w:sz="0" w:space="0" w:color="auto"/>
        <w:left w:val="none" w:sz="0" w:space="0" w:color="auto"/>
        <w:bottom w:val="none" w:sz="0" w:space="0" w:color="auto"/>
        <w:right w:val="none" w:sz="0" w:space="0" w:color="auto"/>
      </w:divBdr>
    </w:div>
    <w:div w:id="124592707">
      <w:bodyDiv w:val="1"/>
      <w:marLeft w:val="0"/>
      <w:marRight w:val="0"/>
      <w:marTop w:val="0"/>
      <w:marBottom w:val="0"/>
      <w:divBdr>
        <w:top w:val="none" w:sz="0" w:space="0" w:color="auto"/>
        <w:left w:val="none" w:sz="0" w:space="0" w:color="auto"/>
        <w:bottom w:val="none" w:sz="0" w:space="0" w:color="auto"/>
        <w:right w:val="none" w:sz="0" w:space="0" w:color="auto"/>
      </w:divBdr>
    </w:div>
    <w:div w:id="124735831">
      <w:bodyDiv w:val="1"/>
      <w:marLeft w:val="0"/>
      <w:marRight w:val="0"/>
      <w:marTop w:val="0"/>
      <w:marBottom w:val="0"/>
      <w:divBdr>
        <w:top w:val="none" w:sz="0" w:space="0" w:color="auto"/>
        <w:left w:val="none" w:sz="0" w:space="0" w:color="auto"/>
        <w:bottom w:val="none" w:sz="0" w:space="0" w:color="auto"/>
        <w:right w:val="none" w:sz="0" w:space="0" w:color="auto"/>
      </w:divBdr>
    </w:div>
    <w:div w:id="124858896">
      <w:bodyDiv w:val="1"/>
      <w:marLeft w:val="0"/>
      <w:marRight w:val="0"/>
      <w:marTop w:val="0"/>
      <w:marBottom w:val="0"/>
      <w:divBdr>
        <w:top w:val="none" w:sz="0" w:space="0" w:color="auto"/>
        <w:left w:val="none" w:sz="0" w:space="0" w:color="auto"/>
        <w:bottom w:val="none" w:sz="0" w:space="0" w:color="auto"/>
        <w:right w:val="none" w:sz="0" w:space="0" w:color="auto"/>
      </w:divBdr>
    </w:div>
    <w:div w:id="125051760">
      <w:bodyDiv w:val="1"/>
      <w:marLeft w:val="0"/>
      <w:marRight w:val="0"/>
      <w:marTop w:val="0"/>
      <w:marBottom w:val="0"/>
      <w:divBdr>
        <w:top w:val="none" w:sz="0" w:space="0" w:color="auto"/>
        <w:left w:val="none" w:sz="0" w:space="0" w:color="auto"/>
        <w:bottom w:val="none" w:sz="0" w:space="0" w:color="auto"/>
        <w:right w:val="none" w:sz="0" w:space="0" w:color="auto"/>
      </w:divBdr>
    </w:div>
    <w:div w:id="125196428">
      <w:bodyDiv w:val="1"/>
      <w:marLeft w:val="0"/>
      <w:marRight w:val="0"/>
      <w:marTop w:val="0"/>
      <w:marBottom w:val="0"/>
      <w:divBdr>
        <w:top w:val="none" w:sz="0" w:space="0" w:color="auto"/>
        <w:left w:val="none" w:sz="0" w:space="0" w:color="auto"/>
        <w:bottom w:val="none" w:sz="0" w:space="0" w:color="auto"/>
        <w:right w:val="none" w:sz="0" w:space="0" w:color="auto"/>
      </w:divBdr>
    </w:div>
    <w:div w:id="125240804">
      <w:bodyDiv w:val="1"/>
      <w:marLeft w:val="0"/>
      <w:marRight w:val="0"/>
      <w:marTop w:val="0"/>
      <w:marBottom w:val="0"/>
      <w:divBdr>
        <w:top w:val="none" w:sz="0" w:space="0" w:color="auto"/>
        <w:left w:val="none" w:sz="0" w:space="0" w:color="auto"/>
        <w:bottom w:val="none" w:sz="0" w:space="0" w:color="auto"/>
        <w:right w:val="none" w:sz="0" w:space="0" w:color="auto"/>
      </w:divBdr>
    </w:div>
    <w:div w:id="125509262">
      <w:bodyDiv w:val="1"/>
      <w:marLeft w:val="0"/>
      <w:marRight w:val="0"/>
      <w:marTop w:val="0"/>
      <w:marBottom w:val="0"/>
      <w:divBdr>
        <w:top w:val="none" w:sz="0" w:space="0" w:color="auto"/>
        <w:left w:val="none" w:sz="0" w:space="0" w:color="auto"/>
        <w:bottom w:val="none" w:sz="0" w:space="0" w:color="auto"/>
        <w:right w:val="none" w:sz="0" w:space="0" w:color="auto"/>
      </w:divBdr>
    </w:div>
    <w:div w:id="125510278">
      <w:bodyDiv w:val="1"/>
      <w:marLeft w:val="0"/>
      <w:marRight w:val="0"/>
      <w:marTop w:val="0"/>
      <w:marBottom w:val="0"/>
      <w:divBdr>
        <w:top w:val="none" w:sz="0" w:space="0" w:color="auto"/>
        <w:left w:val="none" w:sz="0" w:space="0" w:color="auto"/>
        <w:bottom w:val="none" w:sz="0" w:space="0" w:color="auto"/>
        <w:right w:val="none" w:sz="0" w:space="0" w:color="auto"/>
      </w:divBdr>
    </w:div>
    <w:div w:id="125663152">
      <w:bodyDiv w:val="1"/>
      <w:marLeft w:val="0"/>
      <w:marRight w:val="0"/>
      <w:marTop w:val="0"/>
      <w:marBottom w:val="0"/>
      <w:divBdr>
        <w:top w:val="none" w:sz="0" w:space="0" w:color="auto"/>
        <w:left w:val="none" w:sz="0" w:space="0" w:color="auto"/>
        <w:bottom w:val="none" w:sz="0" w:space="0" w:color="auto"/>
        <w:right w:val="none" w:sz="0" w:space="0" w:color="auto"/>
      </w:divBdr>
    </w:div>
    <w:div w:id="125663328">
      <w:bodyDiv w:val="1"/>
      <w:marLeft w:val="0"/>
      <w:marRight w:val="0"/>
      <w:marTop w:val="0"/>
      <w:marBottom w:val="0"/>
      <w:divBdr>
        <w:top w:val="none" w:sz="0" w:space="0" w:color="auto"/>
        <w:left w:val="none" w:sz="0" w:space="0" w:color="auto"/>
        <w:bottom w:val="none" w:sz="0" w:space="0" w:color="auto"/>
        <w:right w:val="none" w:sz="0" w:space="0" w:color="auto"/>
      </w:divBdr>
    </w:div>
    <w:div w:id="125701258">
      <w:bodyDiv w:val="1"/>
      <w:marLeft w:val="0"/>
      <w:marRight w:val="0"/>
      <w:marTop w:val="0"/>
      <w:marBottom w:val="0"/>
      <w:divBdr>
        <w:top w:val="none" w:sz="0" w:space="0" w:color="auto"/>
        <w:left w:val="none" w:sz="0" w:space="0" w:color="auto"/>
        <w:bottom w:val="none" w:sz="0" w:space="0" w:color="auto"/>
        <w:right w:val="none" w:sz="0" w:space="0" w:color="auto"/>
      </w:divBdr>
    </w:div>
    <w:div w:id="125703748">
      <w:bodyDiv w:val="1"/>
      <w:marLeft w:val="0"/>
      <w:marRight w:val="0"/>
      <w:marTop w:val="0"/>
      <w:marBottom w:val="0"/>
      <w:divBdr>
        <w:top w:val="none" w:sz="0" w:space="0" w:color="auto"/>
        <w:left w:val="none" w:sz="0" w:space="0" w:color="auto"/>
        <w:bottom w:val="none" w:sz="0" w:space="0" w:color="auto"/>
        <w:right w:val="none" w:sz="0" w:space="0" w:color="auto"/>
      </w:divBdr>
    </w:div>
    <w:div w:id="125783880">
      <w:bodyDiv w:val="1"/>
      <w:marLeft w:val="0"/>
      <w:marRight w:val="0"/>
      <w:marTop w:val="0"/>
      <w:marBottom w:val="0"/>
      <w:divBdr>
        <w:top w:val="none" w:sz="0" w:space="0" w:color="auto"/>
        <w:left w:val="none" w:sz="0" w:space="0" w:color="auto"/>
        <w:bottom w:val="none" w:sz="0" w:space="0" w:color="auto"/>
        <w:right w:val="none" w:sz="0" w:space="0" w:color="auto"/>
      </w:divBdr>
    </w:div>
    <w:div w:id="125899471">
      <w:bodyDiv w:val="1"/>
      <w:marLeft w:val="0"/>
      <w:marRight w:val="0"/>
      <w:marTop w:val="0"/>
      <w:marBottom w:val="0"/>
      <w:divBdr>
        <w:top w:val="none" w:sz="0" w:space="0" w:color="auto"/>
        <w:left w:val="none" w:sz="0" w:space="0" w:color="auto"/>
        <w:bottom w:val="none" w:sz="0" w:space="0" w:color="auto"/>
        <w:right w:val="none" w:sz="0" w:space="0" w:color="auto"/>
      </w:divBdr>
    </w:div>
    <w:div w:id="125927251">
      <w:bodyDiv w:val="1"/>
      <w:marLeft w:val="0"/>
      <w:marRight w:val="0"/>
      <w:marTop w:val="0"/>
      <w:marBottom w:val="0"/>
      <w:divBdr>
        <w:top w:val="none" w:sz="0" w:space="0" w:color="auto"/>
        <w:left w:val="none" w:sz="0" w:space="0" w:color="auto"/>
        <w:bottom w:val="none" w:sz="0" w:space="0" w:color="auto"/>
        <w:right w:val="none" w:sz="0" w:space="0" w:color="auto"/>
      </w:divBdr>
    </w:div>
    <w:div w:id="125978650">
      <w:bodyDiv w:val="1"/>
      <w:marLeft w:val="0"/>
      <w:marRight w:val="0"/>
      <w:marTop w:val="0"/>
      <w:marBottom w:val="0"/>
      <w:divBdr>
        <w:top w:val="none" w:sz="0" w:space="0" w:color="auto"/>
        <w:left w:val="none" w:sz="0" w:space="0" w:color="auto"/>
        <w:bottom w:val="none" w:sz="0" w:space="0" w:color="auto"/>
        <w:right w:val="none" w:sz="0" w:space="0" w:color="auto"/>
      </w:divBdr>
    </w:div>
    <w:div w:id="126242463">
      <w:bodyDiv w:val="1"/>
      <w:marLeft w:val="0"/>
      <w:marRight w:val="0"/>
      <w:marTop w:val="0"/>
      <w:marBottom w:val="0"/>
      <w:divBdr>
        <w:top w:val="none" w:sz="0" w:space="0" w:color="auto"/>
        <w:left w:val="none" w:sz="0" w:space="0" w:color="auto"/>
        <w:bottom w:val="none" w:sz="0" w:space="0" w:color="auto"/>
        <w:right w:val="none" w:sz="0" w:space="0" w:color="auto"/>
      </w:divBdr>
    </w:div>
    <w:div w:id="126433410">
      <w:bodyDiv w:val="1"/>
      <w:marLeft w:val="0"/>
      <w:marRight w:val="0"/>
      <w:marTop w:val="0"/>
      <w:marBottom w:val="0"/>
      <w:divBdr>
        <w:top w:val="none" w:sz="0" w:space="0" w:color="auto"/>
        <w:left w:val="none" w:sz="0" w:space="0" w:color="auto"/>
        <w:bottom w:val="none" w:sz="0" w:space="0" w:color="auto"/>
        <w:right w:val="none" w:sz="0" w:space="0" w:color="auto"/>
      </w:divBdr>
    </w:div>
    <w:div w:id="126625964">
      <w:bodyDiv w:val="1"/>
      <w:marLeft w:val="0"/>
      <w:marRight w:val="0"/>
      <w:marTop w:val="0"/>
      <w:marBottom w:val="0"/>
      <w:divBdr>
        <w:top w:val="none" w:sz="0" w:space="0" w:color="auto"/>
        <w:left w:val="none" w:sz="0" w:space="0" w:color="auto"/>
        <w:bottom w:val="none" w:sz="0" w:space="0" w:color="auto"/>
        <w:right w:val="none" w:sz="0" w:space="0" w:color="auto"/>
      </w:divBdr>
    </w:div>
    <w:div w:id="126749895">
      <w:bodyDiv w:val="1"/>
      <w:marLeft w:val="0"/>
      <w:marRight w:val="0"/>
      <w:marTop w:val="0"/>
      <w:marBottom w:val="0"/>
      <w:divBdr>
        <w:top w:val="none" w:sz="0" w:space="0" w:color="auto"/>
        <w:left w:val="none" w:sz="0" w:space="0" w:color="auto"/>
        <w:bottom w:val="none" w:sz="0" w:space="0" w:color="auto"/>
        <w:right w:val="none" w:sz="0" w:space="0" w:color="auto"/>
      </w:divBdr>
    </w:div>
    <w:div w:id="126777030">
      <w:bodyDiv w:val="1"/>
      <w:marLeft w:val="0"/>
      <w:marRight w:val="0"/>
      <w:marTop w:val="0"/>
      <w:marBottom w:val="0"/>
      <w:divBdr>
        <w:top w:val="none" w:sz="0" w:space="0" w:color="auto"/>
        <w:left w:val="none" w:sz="0" w:space="0" w:color="auto"/>
        <w:bottom w:val="none" w:sz="0" w:space="0" w:color="auto"/>
        <w:right w:val="none" w:sz="0" w:space="0" w:color="auto"/>
      </w:divBdr>
    </w:div>
    <w:div w:id="126898604">
      <w:bodyDiv w:val="1"/>
      <w:marLeft w:val="0"/>
      <w:marRight w:val="0"/>
      <w:marTop w:val="0"/>
      <w:marBottom w:val="0"/>
      <w:divBdr>
        <w:top w:val="none" w:sz="0" w:space="0" w:color="auto"/>
        <w:left w:val="none" w:sz="0" w:space="0" w:color="auto"/>
        <w:bottom w:val="none" w:sz="0" w:space="0" w:color="auto"/>
        <w:right w:val="none" w:sz="0" w:space="0" w:color="auto"/>
      </w:divBdr>
    </w:div>
    <w:div w:id="126944280">
      <w:bodyDiv w:val="1"/>
      <w:marLeft w:val="0"/>
      <w:marRight w:val="0"/>
      <w:marTop w:val="0"/>
      <w:marBottom w:val="0"/>
      <w:divBdr>
        <w:top w:val="none" w:sz="0" w:space="0" w:color="auto"/>
        <w:left w:val="none" w:sz="0" w:space="0" w:color="auto"/>
        <w:bottom w:val="none" w:sz="0" w:space="0" w:color="auto"/>
        <w:right w:val="none" w:sz="0" w:space="0" w:color="auto"/>
      </w:divBdr>
    </w:div>
    <w:div w:id="126970678">
      <w:bodyDiv w:val="1"/>
      <w:marLeft w:val="0"/>
      <w:marRight w:val="0"/>
      <w:marTop w:val="0"/>
      <w:marBottom w:val="0"/>
      <w:divBdr>
        <w:top w:val="none" w:sz="0" w:space="0" w:color="auto"/>
        <w:left w:val="none" w:sz="0" w:space="0" w:color="auto"/>
        <w:bottom w:val="none" w:sz="0" w:space="0" w:color="auto"/>
        <w:right w:val="none" w:sz="0" w:space="0" w:color="auto"/>
      </w:divBdr>
    </w:div>
    <w:div w:id="127163285">
      <w:bodyDiv w:val="1"/>
      <w:marLeft w:val="0"/>
      <w:marRight w:val="0"/>
      <w:marTop w:val="0"/>
      <w:marBottom w:val="0"/>
      <w:divBdr>
        <w:top w:val="none" w:sz="0" w:space="0" w:color="auto"/>
        <w:left w:val="none" w:sz="0" w:space="0" w:color="auto"/>
        <w:bottom w:val="none" w:sz="0" w:space="0" w:color="auto"/>
        <w:right w:val="none" w:sz="0" w:space="0" w:color="auto"/>
      </w:divBdr>
    </w:div>
    <w:div w:id="127166981">
      <w:bodyDiv w:val="1"/>
      <w:marLeft w:val="0"/>
      <w:marRight w:val="0"/>
      <w:marTop w:val="0"/>
      <w:marBottom w:val="0"/>
      <w:divBdr>
        <w:top w:val="none" w:sz="0" w:space="0" w:color="auto"/>
        <w:left w:val="none" w:sz="0" w:space="0" w:color="auto"/>
        <w:bottom w:val="none" w:sz="0" w:space="0" w:color="auto"/>
        <w:right w:val="none" w:sz="0" w:space="0" w:color="auto"/>
      </w:divBdr>
    </w:div>
    <w:div w:id="127212011">
      <w:bodyDiv w:val="1"/>
      <w:marLeft w:val="0"/>
      <w:marRight w:val="0"/>
      <w:marTop w:val="0"/>
      <w:marBottom w:val="0"/>
      <w:divBdr>
        <w:top w:val="none" w:sz="0" w:space="0" w:color="auto"/>
        <w:left w:val="none" w:sz="0" w:space="0" w:color="auto"/>
        <w:bottom w:val="none" w:sz="0" w:space="0" w:color="auto"/>
        <w:right w:val="none" w:sz="0" w:space="0" w:color="auto"/>
      </w:divBdr>
    </w:div>
    <w:div w:id="127355239">
      <w:bodyDiv w:val="1"/>
      <w:marLeft w:val="0"/>
      <w:marRight w:val="0"/>
      <w:marTop w:val="0"/>
      <w:marBottom w:val="0"/>
      <w:divBdr>
        <w:top w:val="none" w:sz="0" w:space="0" w:color="auto"/>
        <w:left w:val="none" w:sz="0" w:space="0" w:color="auto"/>
        <w:bottom w:val="none" w:sz="0" w:space="0" w:color="auto"/>
        <w:right w:val="none" w:sz="0" w:space="0" w:color="auto"/>
      </w:divBdr>
    </w:div>
    <w:div w:id="127432122">
      <w:bodyDiv w:val="1"/>
      <w:marLeft w:val="0"/>
      <w:marRight w:val="0"/>
      <w:marTop w:val="0"/>
      <w:marBottom w:val="0"/>
      <w:divBdr>
        <w:top w:val="none" w:sz="0" w:space="0" w:color="auto"/>
        <w:left w:val="none" w:sz="0" w:space="0" w:color="auto"/>
        <w:bottom w:val="none" w:sz="0" w:space="0" w:color="auto"/>
        <w:right w:val="none" w:sz="0" w:space="0" w:color="auto"/>
      </w:divBdr>
    </w:div>
    <w:div w:id="127554408">
      <w:bodyDiv w:val="1"/>
      <w:marLeft w:val="0"/>
      <w:marRight w:val="0"/>
      <w:marTop w:val="0"/>
      <w:marBottom w:val="0"/>
      <w:divBdr>
        <w:top w:val="none" w:sz="0" w:space="0" w:color="auto"/>
        <w:left w:val="none" w:sz="0" w:space="0" w:color="auto"/>
        <w:bottom w:val="none" w:sz="0" w:space="0" w:color="auto"/>
        <w:right w:val="none" w:sz="0" w:space="0" w:color="auto"/>
      </w:divBdr>
    </w:div>
    <w:div w:id="127598714">
      <w:bodyDiv w:val="1"/>
      <w:marLeft w:val="0"/>
      <w:marRight w:val="0"/>
      <w:marTop w:val="0"/>
      <w:marBottom w:val="0"/>
      <w:divBdr>
        <w:top w:val="none" w:sz="0" w:space="0" w:color="auto"/>
        <w:left w:val="none" w:sz="0" w:space="0" w:color="auto"/>
        <w:bottom w:val="none" w:sz="0" w:space="0" w:color="auto"/>
        <w:right w:val="none" w:sz="0" w:space="0" w:color="auto"/>
      </w:divBdr>
    </w:div>
    <w:div w:id="127674771">
      <w:bodyDiv w:val="1"/>
      <w:marLeft w:val="0"/>
      <w:marRight w:val="0"/>
      <w:marTop w:val="0"/>
      <w:marBottom w:val="0"/>
      <w:divBdr>
        <w:top w:val="none" w:sz="0" w:space="0" w:color="auto"/>
        <w:left w:val="none" w:sz="0" w:space="0" w:color="auto"/>
        <w:bottom w:val="none" w:sz="0" w:space="0" w:color="auto"/>
        <w:right w:val="none" w:sz="0" w:space="0" w:color="auto"/>
      </w:divBdr>
    </w:div>
    <w:div w:id="127825148">
      <w:bodyDiv w:val="1"/>
      <w:marLeft w:val="0"/>
      <w:marRight w:val="0"/>
      <w:marTop w:val="0"/>
      <w:marBottom w:val="0"/>
      <w:divBdr>
        <w:top w:val="none" w:sz="0" w:space="0" w:color="auto"/>
        <w:left w:val="none" w:sz="0" w:space="0" w:color="auto"/>
        <w:bottom w:val="none" w:sz="0" w:space="0" w:color="auto"/>
        <w:right w:val="none" w:sz="0" w:space="0" w:color="auto"/>
      </w:divBdr>
    </w:div>
    <w:div w:id="127826521">
      <w:bodyDiv w:val="1"/>
      <w:marLeft w:val="0"/>
      <w:marRight w:val="0"/>
      <w:marTop w:val="0"/>
      <w:marBottom w:val="0"/>
      <w:divBdr>
        <w:top w:val="none" w:sz="0" w:space="0" w:color="auto"/>
        <w:left w:val="none" w:sz="0" w:space="0" w:color="auto"/>
        <w:bottom w:val="none" w:sz="0" w:space="0" w:color="auto"/>
        <w:right w:val="none" w:sz="0" w:space="0" w:color="auto"/>
      </w:divBdr>
    </w:div>
    <w:div w:id="128213052">
      <w:bodyDiv w:val="1"/>
      <w:marLeft w:val="0"/>
      <w:marRight w:val="0"/>
      <w:marTop w:val="0"/>
      <w:marBottom w:val="0"/>
      <w:divBdr>
        <w:top w:val="none" w:sz="0" w:space="0" w:color="auto"/>
        <w:left w:val="none" w:sz="0" w:space="0" w:color="auto"/>
        <w:bottom w:val="none" w:sz="0" w:space="0" w:color="auto"/>
        <w:right w:val="none" w:sz="0" w:space="0" w:color="auto"/>
      </w:divBdr>
    </w:div>
    <w:div w:id="128399605">
      <w:bodyDiv w:val="1"/>
      <w:marLeft w:val="0"/>
      <w:marRight w:val="0"/>
      <w:marTop w:val="0"/>
      <w:marBottom w:val="0"/>
      <w:divBdr>
        <w:top w:val="none" w:sz="0" w:space="0" w:color="auto"/>
        <w:left w:val="none" w:sz="0" w:space="0" w:color="auto"/>
        <w:bottom w:val="none" w:sz="0" w:space="0" w:color="auto"/>
        <w:right w:val="none" w:sz="0" w:space="0" w:color="auto"/>
      </w:divBdr>
    </w:div>
    <w:div w:id="128666910">
      <w:bodyDiv w:val="1"/>
      <w:marLeft w:val="0"/>
      <w:marRight w:val="0"/>
      <w:marTop w:val="0"/>
      <w:marBottom w:val="0"/>
      <w:divBdr>
        <w:top w:val="none" w:sz="0" w:space="0" w:color="auto"/>
        <w:left w:val="none" w:sz="0" w:space="0" w:color="auto"/>
        <w:bottom w:val="none" w:sz="0" w:space="0" w:color="auto"/>
        <w:right w:val="none" w:sz="0" w:space="0" w:color="auto"/>
      </w:divBdr>
    </w:div>
    <w:div w:id="128674047">
      <w:bodyDiv w:val="1"/>
      <w:marLeft w:val="0"/>
      <w:marRight w:val="0"/>
      <w:marTop w:val="0"/>
      <w:marBottom w:val="0"/>
      <w:divBdr>
        <w:top w:val="none" w:sz="0" w:space="0" w:color="auto"/>
        <w:left w:val="none" w:sz="0" w:space="0" w:color="auto"/>
        <w:bottom w:val="none" w:sz="0" w:space="0" w:color="auto"/>
        <w:right w:val="none" w:sz="0" w:space="0" w:color="auto"/>
      </w:divBdr>
    </w:div>
    <w:div w:id="128712785">
      <w:bodyDiv w:val="1"/>
      <w:marLeft w:val="0"/>
      <w:marRight w:val="0"/>
      <w:marTop w:val="0"/>
      <w:marBottom w:val="0"/>
      <w:divBdr>
        <w:top w:val="none" w:sz="0" w:space="0" w:color="auto"/>
        <w:left w:val="none" w:sz="0" w:space="0" w:color="auto"/>
        <w:bottom w:val="none" w:sz="0" w:space="0" w:color="auto"/>
        <w:right w:val="none" w:sz="0" w:space="0" w:color="auto"/>
      </w:divBdr>
    </w:div>
    <w:div w:id="128743152">
      <w:bodyDiv w:val="1"/>
      <w:marLeft w:val="0"/>
      <w:marRight w:val="0"/>
      <w:marTop w:val="0"/>
      <w:marBottom w:val="0"/>
      <w:divBdr>
        <w:top w:val="none" w:sz="0" w:space="0" w:color="auto"/>
        <w:left w:val="none" w:sz="0" w:space="0" w:color="auto"/>
        <w:bottom w:val="none" w:sz="0" w:space="0" w:color="auto"/>
        <w:right w:val="none" w:sz="0" w:space="0" w:color="auto"/>
      </w:divBdr>
    </w:div>
    <w:div w:id="128790449">
      <w:bodyDiv w:val="1"/>
      <w:marLeft w:val="0"/>
      <w:marRight w:val="0"/>
      <w:marTop w:val="0"/>
      <w:marBottom w:val="0"/>
      <w:divBdr>
        <w:top w:val="none" w:sz="0" w:space="0" w:color="auto"/>
        <w:left w:val="none" w:sz="0" w:space="0" w:color="auto"/>
        <w:bottom w:val="none" w:sz="0" w:space="0" w:color="auto"/>
        <w:right w:val="none" w:sz="0" w:space="0" w:color="auto"/>
      </w:divBdr>
    </w:div>
    <w:div w:id="128865462">
      <w:bodyDiv w:val="1"/>
      <w:marLeft w:val="0"/>
      <w:marRight w:val="0"/>
      <w:marTop w:val="0"/>
      <w:marBottom w:val="0"/>
      <w:divBdr>
        <w:top w:val="none" w:sz="0" w:space="0" w:color="auto"/>
        <w:left w:val="none" w:sz="0" w:space="0" w:color="auto"/>
        <w:bottom w:val="none" w:sz="0" w:space="0" w:color="auto"/>
        <w:right w:val="none" w:sz="0" w:space="0" w:color="auto"/>
      </w:divBdr>
    </w:div>
    <w:div w:id="128941659">
      <w:bodyDiv w:val="1"/>
      <w:marLeft w:val="0"/>
      <w:marRight w:val="0"/>
      <w:marTop w:val="0"/>
      <w:marBottom w:val="0"/>
      <w:divBdr>
        <w:top w:val="none" w:sz="0" w:space="0" w:color="auto"/>
        <w:left w:val="none" w:sz="0" w:space="0" w:color="auto"/>
        <w:bottom w:val="none" w:sz="0" w:space="0" w:color="auto"/>
        <w:right w:val="none" w:sz="0" w:space="0" w:color="auto"/>
      </w:divBdr>
    </w:div>
    <w:div w:id="129127834">
      <w:bodyDiv w:val="1"/>
      <w:marLeft w:val="0"/>
      <w:marRight w:val="0"/>
      <w:marTop w:val="0"/>
      <w:marBottom w:val="0"/>
      <w:divBdr>
        <w:top w:val="none" w:sz="0" w:space="0" w:color="auto"/>
        <w:left w:val="none" w:sz="0" w:space="0" w:color="auto"/>
        <w:bottom w:val="none" w:sz="0" w:space="0" w:color="auto"/>
        <w:right w:val="none" w:sz="0" w:space="0" w:color="auto"/>
      </w:divBdr>
    </w:div>
    <w:div w:id="129129252">
      <w:bodyDiv w:val="1"/>
      <w:marLeft w:val="0"/>
      <w:marRight w:val="0"/>
      <w:marTop w:val="0"/>
      <w:marBottom w:val="0"/>
      <w:divBdr>
        <w:top w:val="none" w:sz="0" w:space="0" w:color="auto"/>
        <w:left w:val="none" w:sz="0" w:space="0" w:color="auto"/>
        <w:bottom w:val="none" w:sz="0" w:space="0" w:color="auto"/>
        <w:right w:val="none" w:sz="0" w:space="0" w:color="auto"/>
      </w:divBdr>
    </w:div>
    <w:div w:id="129135958">
      <w:bodyDiv w:val="1"/>
      <w:marLeft w:val="0"/>
      <w:marRight w:val="0"/>
      <w:marTop w:val="0"/>
      <w:marBottom w:val="0"/>
      <w:divBdr>
        <w:top w:val="none" w:sz="0" w:space="0" w:color="auto"/>
        <w:left w:val="none" w:sz="0" w:space="0" w:color="auto"/>
        <w:bottom w:val="none" w:sz="0" w:space="0" w:color="auto"/>
        <w:right w:val="none" w:sz="0" w:space="0" w:color="auto"/>
      </w:divBdr>
    </w:div>
    <w:div w:id="129176487">
      <w:bodyDiv w:val="1"/>
      <w:marLeft w:val="0"/>
      <w:marRight w:val="0"/>
      <w:marTop w:val="0"/>
      <w:marBottom w:val="0"/>
      <w:divBdr>
        <w:top w:val="none" w:sz="0" w:space="0" w:color="auto"/>
        <w:left w:val="none" w:sz="0" w:space="0" w:color="auto"/>
        <w:bottom w:val="none" w:sz="0" w:space="0" w:color="auto"/>
        <w:right w:val="none" w:sz="0" w:space="0" w:color="auto"/>
      </w:divBdr>
    </w:div>
    <w:div w:id="129178795">
      <w:bodyDiv w:val="1"/>
      <w:marLeft w:val="0"/>
      <w:marRight w:val="0"/>
      <w:marTop w:val="0"/>
      <w:marBottom w:val="0"/>
      <w:divBdr>
        <w:top w:val="none" w:sz="0" w:space="0" w:color="auto"/>
        <w:left w:val="none" w:sz="0" w:space="0" w:color="auto"/>
        <w:bottom w:val="none" w:sz="0" w:space="0" w:color="auto"/>
        <w:right w:val="none" w:sz="0" w:space="0" w:color="auto"/>
      </w:divBdr>
    </w:div>
    <w:div w:id="129246523">
      <w:bodyDiv w:val="1"/>
      <w:marLeft w:val="0"/>
      <w:marRight w:val="0"/>
      <w:marTop w:val="0"/>
      <w:marBottom w:val="0"/>
      <w:divBdr>
        <w:top w:val="none" w:sz="0" w:space="0" w:color="auto"/>
        <w:left w:val="none" w:sz="0" w:space="0" w:color="auto"/>
        <w:bottom w:val="none" w:sz="0" w:space="0" w:color="auto"/>
        <w:right w:val="none" w:sz="0" w:space="0" w:color="auto"/>
      </w:divBdr>
    </w:div>
    <w:div w:id="129322088">
      <w:bodyDiv w:val="1"/>
      <w:marLeft w:val="0"/>
      <w:marRight w:val="0"/>
      <w:marTop w:val="0"/>
      <w:marBottom w:val="0"/>
      <w:divBdr>
        <w:top w:val="none" w:sz="0" w:space="0" w:color="auto"/>
        <w:left w:val="none" w:sz="0" w:space="0" w:color="auto"/>
        <w:bottom w:val="none" w:sz="0" w:space="0" w:color="auto"/>
        <w:right w:val="none" w:sz="0" w:space="0" w:color="auto"/>
      </w:divBdr>
    </w:div>
    <w:div w:id="129590342">
      <w:bodyDiv w:val="1"/>
      <w:marLeft w:val="0"/>
      <w:marRight w:val="0"/>
      <w:marTop w:val="0"/>
      <w:marBottom w:val="0"/>
      <w:divBdr>
        <w:top w:val="none" w:sz="0" w:space="0" w:color="auto"/>
        <w:left w:val="none" w:sz="0" w:space="0" w:color="auto"/>
        <w:bottom w:val="none" w:sz="0" w:space="0" w:color="auto"/>
        <w:right w:val="none" w:sz="0" w:space="0" w:color="auto"/>
      </w:divBdr>
    </w:div>
    <w:div w:id="129633230">
      <w:bodyDiv w:val="1"/>
      <w:marLeft w:val="0"/>
      <w:marRight w:val="0"/>
      <w:marTop w:val="0"/>
      <w:marBottom w:val="0"/>
      <w:divBdr>
        <w:top w:val="none" w:sz="0" w:space="0" w:color="auto"/>
        <w:left w:val="none" w:sz="0" w:space="0" w:color="auto"/>
        <w:bottom w:val="none" w:sz="0" w:space="0" w:color="auto"/>
        <w:right w:val="none" w:sz="0" w:space="0" w:color="auto"/>
      </w:divBdr>
    </w:div>
    <w:div w:id="129717091">
      <w:bodyDiv w:val="1"/>
      <w:marLeft w:val="0"/>
      <w:marRight w:val="0"/>
      <w:marTop w:val="0"/>
      <w:marBottom w:val="0"/>
      <w:divBdr>
        <w:top w:val="none" w:sz="0" w:space="0" w:color="auto"/>
        <w:left w:val="none" w:sz="0" w:space="0" w:color="auto"/>
        <w:bottom w:val="none" w:sz="0" w:space="0" w:color="auto"/>
        <w:right w:val="none" w:sz="0" w:space="0" w:color="auto"/>
      </w:divBdr>
    </w:div>
    <w:div w:id="129792439">
      <w:bodyDiv w:val="1"/>
      <w:marLeft w:val="0"/>
      <w:marRight w:val="0"/>
      <w:marTop w:val="0"/>
      <w:marBottom w:val="0"/>
      <w:divBdr>
        <w:top w:val="none" w:sz="0" w:space="0" w:color="auto"/>
        <w:left w:val="none" w:sz="0" w:space="0" w:color="auto"/>
        <w:bottom w:val="none" w:sz="0" w:space="0" w:color="auto"/>
        <w:right w:val="none" w:sz="0" w:space="0" w:color="auto"/>
      </w:divBdr>
    </w:div>
    <w:div w:id="129833087">
      <w:bodyDiv w:val="1"/>
      <w:marLeft w:val="0"/>
      <w:marRight w:val="0"/>
      <w:marTop w:val="0"/>
      <w:marBottom w:val="0"/>
      <w:divBdr>
        <w:top w:val="none" w:sz="0" w:space="0" w:color="auto"/>
        <w:left w:val="none" w:sz="0" w:space="0" w:color="auto"/>
        <w:bottom w:val="none" w:sz="0" w:space="0" w:color="auto"/>
        <w:right w:val="none" w:sz="0" w:space="0" w:color="auto"/>
      </w:divBdr>
    </w:div>
    <w:div w:id="129833363">
      <w:bodyDiv w:val="1"/>
      <w:marLeft w:val="0"/>
      <w:marRight w:val="0"/>
      <w:marTop w:val="0"/>
      <w:marBottom w:val="0"/>
      <w:divBdr>
        <w:top w:val="none" w:sz="0" w:space="0" w:color="auto"/>
        <w:left w:val="none" w:sz="0" w:space="0" w:color="auto"/>
        <w:bottom w:val="none" w:sz="0" w:space="0" w:color="auto"/>
        <w:right w:val="none" w:sz="0" w:space="0" w:color="auto"/>
      </w:divBdr>
    </w:div>
    <w:div w:id="129981046">
      <w:bodyDiv w:val="1"/>
      <w:marLeft w:val="0"/>
      <w:marRight w:val="0"/>
      <w:marTop w:val="0"/>
      <w:marBottom w:val="0"/>
      <w:divBdr>
        <w:top w:val="none" w:sz="0" w:space="0" w:color="auto"/>
        <w:left w:val="none" w:sz="0" w:space="0" w:color="auto"/>
        <w:bottom w:val="none" w:sz="0" w:space="0" w:color="auto"/>
        <w:right w:val="none" w:sz="0" w:space="0" w:color="auto"/>
      </w:divBdr>
    </w:div>
    <w:div w:id="129983105">
      <w:bodyDiv w:val="1"/>
      <w:marLeft w:val="0"/>
      <w:marRight w:val="0"/>
      <w:marTop w:val="0"/>
      <w:marBottom w:val="0"/>
      <w:divBdr>
        <w:top w:val="none" w:sz="0" w:space="0" w:color="auto"/>
        <w:left w:val="none" w:sz="0" w:space="0" w:color="auto"/>
        <w:bottom w:val="none" w:sz="0" w:space="0" w:color="auto"/>
        <w:right w:val="none" w:sz="0" w:space="0" w:color="auto"/>
      </w:divBdr>
    </w:div>
    <w:div w:id="130024830">
      <w:bodyDiv w:val="1"/>
      <w:marLeft w:val="0"/>
      <w:marRight w:val="0"/>
      <w:marTop w:val="0"/>
      <w:marBottom w:val="0"/>
      <w:divBdr>
        <w:top w:val="none" w:sz="0" w:space="0" w:color="auto"/>
        <w:left w:val="none" w:sz="0" w:space="0" w:color="auto"/>
        <w:bottom w:val="none" w:sz="0" w:space="0" w:color="auto"/>
        <w:right w:val="none" w:sz="0" w:space="0" w:color="auto"/>
      </w:divBdr>
    </w:div>
    <w:div w:id="130094434">
      <w:bodyDiv w:val="1"/>
      <w:marLeft w:val="0"/>
      <w:marRight w:val="0"/>
      <w:marTop w:val="0"/>
      <w:marBottom w:val="0"/>
      <w:divBdr>
        <w:top w:val="none" w:sz="0" w:space="0" w:color="auto"/>
        <w:left w:val="none" w:sz="0" w:space="0" w:color="auto"/>
        <w:bottom w:val="none" w:sz="0" w:space="0" w:color="auto"/>
        <w:right w:val="none" w:sz="0" w:space="0" w:color="auto"/>
      </w:divBdr>
    </w:div>
    <w:div w:id="130098588">
      <w:bodyDiv w:val="1"/>
      <w:marLeft w:val="0"/>
      <w:marRight w:val="0"/>
      <w:marTop w:val="0"/>
      <w:marBottom w:val="0"/>
      <w:divBdr>
        <w:top w:val="none" w:sz="0" w:space="0" w:color="auto"/>
        <w:left w:val="none" w:sz="0" w:space="0" w:color="auto"/>
        <w:bottom w:val="none" w:sz="0" w:space="0" w:color="auto"/>
        <w:right w:val="none" w:sz="0" w:space="0" w:color="auto"/>
      </w:divBdr>
    </w:div>
    <w:div w:id="130221760">
      <w:bodyDiv w:val="1"/>
      <w:marLeft w:val="0"/>
      <w:marRight w:val="0"/>
      <w:marTop w:val="0"/>
      <w:marBottom w:val="0"/>
      <w:divBdr>
        <w:top w:val="none" w:sz="0" w:space="0" w:color="auto"/>
        <w:left w:val="none" w:sz="0" w:space="0" w:color="auto"/>
        <w:bottom w:val="none" w:sz="0" w:space="0" w:color="auto"/>
        <w:right w:val="none" w:sz="0" w:space="0" w:color="auto"/>
      </w:divBdr>
    </w:div>
    <w:div w:id="130295169">
      <w:bodyDiv w:val="1"/>
      <w:marLeft w:val="0"/>
      <w:marRight w:val="0"/>
      <w:marTop w:val="0"/>
      <w:marBottom w:val="0"/>
      <w:divBdr>
        <w:top w:val="none" w:sz="0" w:space="0" w:color="auto"/>
        <w:left w:val="none" w:sz="0" w:space="0" w:color="auto"/>
        <w:bottom w:val="none" w:sz="0" w:space="0" w:color="auto"/>
        <w:right w:val="none" w:sz="0" w:space="0" w:color="auto"/>
      </w:divBdr>
    </w:div>
    <w:div w:id="130445153">
      <w:bodyDiv w:val="1"/>
      <w:marLeft w:val="0"/>
      <w:marRight w:val="0"/>
      <w:marTop w:val="0"/>
      <w:marBottom w:val="0"/>
      <w:divBdr>
        <w:top w:val="none" w:sz="0" w:space="0" w:color="auto"/>
        <w:left w:val="none" w:sz="0" w:space="0" w:color="auto"/>
        <w:bottom w:val="none" w:sz="0" w:space="0" w:color="auto"/>
        <w:right w:val="none" w:sz="0" w:space="0" w:color="auto"/>
      </w:divBdr>
    </w:div>
    <w:div w:id="130561984">
      <w:bodyDiv w:val="1"/>
      <w:marLeft w:val="0"/>
      <w:marRight w:val="0"/>
      <w:marTop w:val="0"/>
      <w:marBottom w:val="0"/>
      <w:divBdr>
        <w:top w:val="none" w:sz="0" w:space="0" w:color="auto"/>
        <w:left w:val="none" w:sz="0" w:space="0" w:color="auto"/>
        <w:bottom w:val="none" w:sz="0" w:space="0" w:color="auto"/>
        <w:right w:val="none" w:sz="0" w:space="0" w:color="auto"/>
      </w:divBdr>
    </w:div>
    <w:div w:id="130564605">
      <w:bodyDiv w:val="1"/>
      <w:marLeft w:val="0"/>
      <w:marRight w:val="0"/>
      <w:marTop w:val="0"/>
      <w:marBottom w:val="0"/>
      <w:divBdr>
        <w:top w:val="none" w:sz="0" w:space="0" w:color="auto"/>
        <w:left w:val="none" w:sz="0" w:space="0" w:color="auto"/>
        <w:bottom w:val="none" w:sz="0" w:space="0" w:color="auto"/>
        <w:right w:val="none" w:sz="0" w:space="0" w:color="auto"/>
      </w:divBdr>
    </w:div>
    <w:div w:id="130634149">
      <w:bodyDiv w:val="1"/>
      <w:marLeft w:val="0"/>
      <w:marRight w:val="0"/>
      <w:marTop w:val="0"/>
      <w:marBottom w:val="0"/>
      <w:divBdr>
        <w:top w:val="none" w:sz="0" w:space="0" w:color="auto"/>
        <w:left w:val="none" w:sz="0" w:space="0" w:color="auto"/>
        <w:bottom w:val="none" w:sz="0" w:space="0" w:color="auto"/>
        <w:right w:val="none" w:sz="0" w:space="0" w:color="auto"/>
      </w:divBdr>
    </w:div>
    <w:div w:id="130679969">
      <w:bodyDiv w:val="1"/>
      <w:marLeft w:val="0"/>
      <w:marRight w:val="0"/>
      <w:marTop w:val="0"/>
      <w:marBottom w:val="0"/>
      <w:divBdr>
        <w:top w:val="none" w:sz="0" w:space="0" w:color="auto"/>
        <w:left w:val="none" w:sz="0" w:space="0" w:color="auto"/>
        <w:bottom w:val="none" w:sz="0" w:space="0" w:color="auto"/>
        <w:right w:val="none" w:sz="0" w:space="0" w:color="auto"/>
      </w:divBdr>
    </w:div>
    <w:div w:id="130901945">
      <w:bodyDiv w:val="1"/>
      <w:marLeft w:val="0"/>
      <w:marRight w:val="0"/>
      <w:marTop w:val="0"/>
      <w:marBottom w:val="0"/>
      <w:divBdr>
        <w:top w:val="none" w:sz="0" w:space="0" w:color="auto"/>
        <w:left w:val="none" w:sz="0" w:space="0" w:color="auto"/>
        <w:bottom w:val="none" w:sz="0" w:space="0" w:color="auto"/>
        <w:right w:val="none" w:sz="0" w:space="0" w:color="auto"/>
      </w:divBdr>
    </w:div>
    <w:div w:id="130945771">
      <w:bodyDiv w:val="1"/>
      <w:marLeft w:val="0"/>
      <w:marRight w:val="0"/>
      <w:marTop w:val="0"/>
      <w:marBottom w:val="0"/>
      <w:divBdr>
        <w:top w:val="none" w:sz="0" w:space="0" w:color="auto"/>
        <w:left w:val="none" w:sz="0" w:space="0" w:color="auto"/>
        <w:bottom w:val="none" w:sz="0" w:space="0" w:color="auto"/>
        <w:right w:val="none" w:sz="0" w:space="0" w:color="auto"/>
      </w:divBdr>
    </w:div>
    <w:div w:id="131025697">
      <w:bodyDiv w:val="1"/>
      <w:marLeft w:val="0"/>
      <w:marRight w:val="0"/>
      <w:marTop w:val="0"/>
      <w:marBottom w:val="0"/>
      <w:divBdr>
        <w:top w:val="none" w:sz="0" w:space="0" w:color="auto"/>
        <w:left w:val="none" w:sz="0" w:space="0" w:color="auto"/>
        <w:bottom w:val="none" w:sz="0" w:space="0" w:color="auto"/>
        <w:right w:val="none" w:sz="0" w:space="0" w:color="auto"/>
      </w:divBdr>
    </w:div>
    <w:div w:id="131025763">
      <w:bodyDiv w:val="1"/>
      <w:marLeft w:val="0"/>
      <w:marRight w:val="0"/>
      <w:marTop w:val="0"/>
      <w:marBottom w:val="0"/>
      <w:divBdr>
        <w:top w:val="none" w:sz="0" w:space="0" w:color="auto"/>
        <w:left w:val="none" w:sz="0" w:space="0" w:color="auto"/>
        <w:bottom w:val="none" w:sz="0" w:space="0" w:color="auto"/>
        <w:right w:val="none" w:sz="0" w:space="0" w:color="auto"/>
      </w:divBdr>
    </w:div>
    <w:div w:id="131094040">
      <w:bodyDiv w:val="1"/>
      <w:marLeft w:val="0"/>
      <w:marRight w:val="0"/>
      <w:marTop w:val="0"/>
      <w:marBottom w:val="0"/>
      <w:divBdr>
        <w:top w:val="none" w:sz="0" w:space="0" w:color="auto"/>
        <w:left w:val="none" w:sz="0" w:space="0" w:color="auto"/>
        <w:bottom w:val="none" w:sz="0" w:space="0" w:color="auto"/>
        <w:right w:val="none" w:sz="0" w:space="0" w:color="auto"/>
      </w:divBdr>
    </w:div>
    <w:div w:id="131139766">
      <w:bodyDiv w:val="1"/>
      <w:marLeft w:val="0"/>
      <w:marRight w:val="0"/>
      <w:marTop w:val="0"/>
      <w:marBottom w:val="0"/>
      <w:divBdr>
        <w:top w:val="none" w:sz="0" w:space="0" w:color="auto"/>
        <w:left w:val="none" w:sz="0" w:space="0" w:color="auto"/>
        <w:bottom w:val="none" w:sz="0" w:space="0" w:color="auto"/>
        <w:right w:val="none" w:sz="0" w:space="0" w:color="auto"/>
      </w:divBdr>
    </w:div>
    <w:div w:id="131288216">
      <w:bodyDiv w:val="1"/>
      <w:marLeft w:val="0"/>
      <w:marRight w:val="0"/>
      <w:marTop w:val="0"/>
      <w:marBottom w:val="0"/>
      <w:divBdr>
        <w:top w:val="none" w:sz="0" w:space="0" w:color="auto"/>
        <w:left w:val="none" w:sz="0" w:space="0" w:color="auto"/>
        <w:bottom w:val="none" w:sz="0" w:space="0" w:color="auto"/>
        <w:right w:val="none" w:sz="0" w:space="0" w:color="auto"/>
      </w:divBdr>
    </w:div>
    <w:div w:id="131480723">
      <w:bodyDiv w:val="1"/>
      <w:marLeft w:val="0"/>
      <w:marRight w:val="0"/>
      <w:marTop w:val="0"/>
      <w:marBottom w:val="0"/>
      <w:divBdr>
        <w:top w:val="none" w:sz="0" w:space="0" w:color="auto"/>
        <w:left w:val="none" w:sz="0" w:space="0" w:color="auto"/>
        <w:bottom w:val="none" w:sz="0" w:space="0" w:color="auto"/>
        <w:right w:val="none" w:sz="0" w:space="0" w:color="auto"/>
      </w:divBdr>
    </w:div>
    <w:div w:id="131673953">
      <w:bodyDiv w:val="1"/>
      <w:marLeft w:val="0"/>
      <w:marRight w:val="0"/>
      <w:marTop w:val="0"/>
      <w:marBottom w:val="0"/>
      <w:divBdr>
        <w:top w:val="none" w:sz="0" w:space="0" w:color="auto"/>
        <w:left w:val="none" w:sz="0" w:space="0" w:color="auto"/>
        <w:bottom w:val="none" w:sz="0" w:space="0" w:color="auto"/>
        <w:right w:val="none" w:sz="0" w:space="0" w:color="auto"/>
      </w:divBdr>
    </w:div>
    <w:div w:id="131872176">
      <w:bodyDiv w:val="1"/>
      <w:marLeft w:val="0"/>
      <w:marRight w:val="0"/>
      <w:marTop w:val="0"/>
      <w:marBottom w:val="0"/>
      <w:divBdr>
        <w:top w:val="none" w:sz="0" w:space="0" w:color="auto"/>
        <w:left w:val="none" w:sz="0" w:space="0" w:color="auto"/>
        <w:bottom w:val="none" w:sz="0" w:space="0" w:color="auto"/>
        <w:right w:val="none" w:sz="0" w:space="0" w:color="auto"/>
      </w:divBdr>
    </w:div>
    <w:div w:id="131943534">
      <w:bodyDiv w:val="1"/>
      <w:marLeft w:val="0"/>
      <w:marRight w:val="0"/>
      <w:marTop w:val="0"/>
      <w:marBottom w:val="0"/>
      <w:divBdr>
        <w:top w:val="none" w:sz="0" w:space="0" w:color="auto"/>
        <w:left w:val="none" w:sz="0" w:space="0" w:color="auto"/>
        <w:bottom w:val="none" w:sz="0" w:space="0" w:color="auto"/>
        <w:right w:val="none" w:sz="0" w:space="0" w:color="auto"/>
      </w:divBdr>
    </w:div>
    <w:div w:id="131994152">
      <w:bodyDiv w:val="1"/>
      <w:marLeft w:val="0"/>
      <w:marRight w:val="0"/>
      <w:marTop w:val="0"/>
      <w:marBottom w:val="0"/>
      <w:divBdr>
        <w:top w:val="none" w:sz="0" w:space="0" w:color="auto"/>
        <w:left w:val="none" w:sz="0" w:space="0" w:color="auto"/>
        <w:bottom w:val="none" w:sz="0" w:space="0" w:color="auto"/>
        <w:right w:val="none" w:sz="0" w:space="0" w:color="auto"/>
      </w:divBdr>
    </w:div>
    <w:div w:id="132138722">
      <w:bodyDiv w:val="1"/>
      <w:marLeft w:val="0"/>
      <w:marRight w:val="0"/>
      <w:marTop w:val="0"/>
      <w:marBottom w:val="0"/>
      <w:divBdr>
        <w:top w:val="none" w:sz="0" w:space="0" w:color="auto"/>
        <w:left w:val="none" w:sz="0" w:space="0" w:color="auto"/>
        <w:bottom w:val="none" w:sz="0" w:space="0" w:color="auto"/>
        <w:right w:val="none" w:sz="0" w:space="0" w:color="auto"/>
      </w:divBdr>
    </w:div>
    <w:div w:id="132213901">
      <w:bodyDiv w:val="1"/>
      <w:marLeft w:val="0"/>
      <w:marRight w:val="0"/>
      <w:marTop w:val="0"/>
      <w:marBottom w:val="0"/>
      <w:divBdr>
        <w:top w:val="none" w:sz="0" w:space="0" w:color="auto"/>
        <w:left w:val="none" w:sz="0" w:space="0" w:color="auto"/>
        <w:bottom w:val="none" w:sz="0" w:space="0" w:color="auto"/>
        <w:right w:val="none" w:sz="0" w:space="0" w:color="auto"/>
      </w:divBdr>
    </w:div>
    <w:div w:id="132261925">
      <w:bodyDiv w:val="1"/>
      <w:marLeft w:val="0"/>
      <w:marRight w:val="0"/>
      <w:marTop w:val="0"/>
      <w:marBottom w:val="0"/>
      <w:divBdr>
        <w:top w:val="none" w:sz="0" w:space="0" w:color="auto"/>
        <w:left w:val="none" w:sz="0" w:space="0" w:color="auto"/>
        <w:bottom w:val="none" w:sz="0" w:space="0" w:color="auto"/>
        <w:right w:val="none" w:sz="0" w:space="0" w:color="auto"/>
      </w:divBdr>
    </w:div>
    <w:div w:id="132331343">
      <w:bodyDiv w:val="1"/>
      <w:marLeft w:val="0"/>
      <w:marRight w:val="0"/>
      <w:marTop w:val="0"/>
      <w:marBottom w:val="0"/>
      <w:divBdr>
        <w:top w:val="none" w:sz="0" w:space="0" w:color="auto"/>
        <w:left w:val="none" w:sz="0" w:space="0" w:color="auto"/>
        <w:bottom w:val="none" w:sz="0" w:space="0" w:color="auto"/>
        <w:right w:val="none" w:sz="0" w:space="0" w:color="auto"/>
      </w:divBdr>
    </w:div>
    <w:div w:id="132332645">
      <w:bodyDiv w:val="1"/>
      <w:marLeft w:val="0"/>
      <w:marRight w:val="0"/>
      <w:marTop w:val="0"/>
      <w:marBottom w:val="0"/>
      <w:divBdr>
        <w:top w:val="none" w:sz="0" w:space="0" w:color="auto"/>
        <w:left w:val="none" w:sz="0" w:space="0" w:color="auto"/>
        <w:bottom w:val="none" w:sz="0" w:space="0" w:color="auto"/>
        <w:right w:val="none" w:sz="0" w:space="0" w:color="auto"/>
      </w:divBdr>
    </w:div>
    <w:div w:id="132406318">
      <w:bodyDiv w:val="1"/>
      <w:marLeft w:val="0"/>
      <w:marRight w:val="0"/>
      <w:marTop w:val="0"/>
      <w:marBottom w:val="0"/>
      <w:divBdr>
        <w:top w:val="none" w:sz="0" w:space="0" w:color="auto"/>
        <w:left w:val="none" w:sz="0" w:space="0" w:color="auto"/>
        <w:bottom w:val="none" w:sz="0" w:space="0" w:color="auto"/>
        <w:right w:val="none" w:sz="0" w:space="0" w:color="auto"/>
      </w:divBdr>
    </w:div>
    <w:div w:id="132406850">
      <w:bodyDiv w:val="1"/>
      <w:marLeft w:val="0"/>
      <w:marRight w:val="0"/>
      <w:marTop w:val="0"/>
      <w:marBottom w:val="0"/>
      <w:divBdr>
        <w:top w:val="none" w:sz="0" w:space="0" w:color="auto"/>
        <w:left w:val="none" w:sz="0" w:space="0" w:color="auto"/>
        <w:bottom w:val="none" w:sz="0" w:space="0" w:color="auto"/>
        <w:right w:val="none" w:sz="0" w:space="0" w:color="auto"/>
      </w:divBdr>
    </w:div>
    <w:div w:id="132411383">
      <w:bodyDiv w:val="1"/>
      <w:marLeft w:val="0"/>
      <w:marRight w:val="0"/>
      <w:marTop w:val="0"/>
      <w:marBottom w:val="0"/>
      <w:divBdr>
        <w:top w:val="none" w:sz="0" w:space="0" w:color="auto"/>
        <w:left w:val="none" w:sz="0" w:space="0" w:color="auto"/>
        <w:bottom w:val="none" w:sz="0" w:space="0" w:color="auto"/>
        <w:right w:val="none" w:sz="0" w:space="0" w:color="auto"/>
      </w:divBdr>
    </w:div>
    <w:div w:id="132412193">
      <w:bodyDiv w:val="1"/>
      <w:marLeft w:val="0"/>
      <w:marRight w:val="0"/>
      <w:marTop w:val="0"/>
      <w:marBottom w:val="0"/>
      <w:divBdr>
        <w:top w:val="none" w:sz="0" w:space="0" w:color="auto"/>
        <w:left w:val="none" w:sz="0" w:space="0" w:color="auto"/>
        <w:bottom w:val="none" w:sz="0" w:space="0" w:color="auto"/>
        <w:right w:val="none" w:sz="0" w:space="0" w:color="auto"/>
      </w:divBdr>
    </w:div>
    <w:div w:id="132451393">
      <w:bodyDiv w:val="1"/>
      <w:marLeft w:val="0"/>
      <w:marRight w:val="0"/>
      <w:marTop w:val="0"/>
      <w:marBottom w:val="0"/>
      <w:divBdr>
        <w:top w:val="none" w:sz="0" w:space="0" w:color="auto"/>
        <w:left w:val="none" w:sz="0" w:space="0" w:color="auto"/>
        <w:bottom w:val="none" w:sz="0" w:space="0" w:color="auto"/>
        <w:right w:val="none" w:sz="0" w:space="0" w:color="auto"/>
      </w:divBdr>
    </w:div>
    <w:div w:id="132525499">
      <w:bodyDiv w:val="1"/>
      <w:marLeft w:val="0"/>
      <w:marRight w:val="0"/>
      <w:marTop w:val="0"/>
      <w:marBottom w:val="0"/>
      <w:divBdr>
        <w:top w:val="none" w:sz="0" w:space="0" w:color="auto"/>
        <w:left w:val="none" w:sz="0" w:space="0" w:color="auto"/>
        <w:bottom w:val="none" w:sz="0" w:space="0" w:color="auto"/>
        <w:right w:val="none" w:sz="0" w:space="0" w:color="auto"/>
      </w:divBdr>
    </w:div>
    <w:div w:id="132530503">
      <w:bodyDiv w:val="1"/>
      <w:marLeft w:val="0"/>
      <w:marRight w:val="0"/>
      <w:marTop w:val="0"/>
      <w:marBottom w:val="0"/>
      <w:divBdr>
        <w:top w:val="none" w:sz="0" w:space="0" w:color="auto"/>
        <w:left w:val="none" w:sz="0" w:space="0" w:color="auto"/>
        <w:bottom w:val="none" w:sz="0" w:space="0" w:color="auto"/>
        <w:right w:val="none" w:sz="0" w:space="0" w:color="auto"/>
      </w:divBdr>
    </w:div>
    <w:div w:id="132598064">
      <w:bodyDiv w:val="1"/>
      <w:marLeft w:val="0"/>
      <w:marRight w:val="0"/>
      <w:marTop w:val="0"/>
      <w:marBottom w:val="0"/>
      <w:divBdr>
        <w:top w:val="none" w:sz="0" w:space="0" w:color="auto"/>
        <w:left w:val="none" w:sz="0" w:space="0" w:color="auto"/>
        <w:bottom w:val="none" w:sz="0" w:space="0" w:color="auto"/>
        <w:right w:val="none" w:sz="0" w:space="0" w:color="auto"/>
      </w:divBdr>
    </w:div>
    <w:div w:id="132674982">
      <w:bodyDiv w:val="1"/>
      <w:marLeft w:val="0"/>
      <w:marRight w:val="0"/>
      <w:marTop w:val="0"/>
      <w:marBottom w:val="0"/>
      <w:divBdr>
        <w:top w:val="none" w:sz="0" w:space="0" w:color="auto"/>
        <w:left w:val="none" w:sz="0" w:space="0" w:color="auto"/>
        <w:bottom w:val="none" w:sz="0" w:space="0" w:color="auto"/>
        <w:right w:val="none" w:sz="0" w:space="0" w:color="auto"/>
      </w:divBdr>
    </w:div>
    <w:div w:id="132721851">
      <w:bodyDiv w:val="1"/>
      <w:marLeft w:val="0"/>
      <w:marRight w:val="0"/>
      <w:marTop w:val="0"/>
      <w:marBottom w:val="0"/>
      <w:divBdr>
        <w:top w:val="none" w:sz="0" w:space="0" w:color="auto"/>
        <w:left w:val="none" w:sz="0" w:space="0" w:color="auto"/>
        <w:bottom w:val="none" w:sz="0" w:space="0" w:color="auto"/>
        <w:right w:val="none" w:sz="0" w:space="0" w:color="auto"/>
      </w:divBdr>
    </w:div>
    <w:div w:id="132870610">
      <w:bodyDiv w:val="1"/>
      <w:marLeft w:val="0"/>
      <w:marRight w:val="0"/>
      <w:marTop w:val="0"/>
      <w:marBottom w:val="0"/>
      <w:divBdr>
        <w:top w:val="none" w:sz="0" w:space="0" w:color="auto"/>
        <w:left w:val="none" w:sz="0" w:space="0" w:color="auto"/>
        <w:bottom w:val="none" w:sz="0" w:space="0" w:color="auto"/>
        <w:right w:val="none" w:sz="0" w:space="0" w:color="auto"/>
      </w:divBdr>
    </w:div>
    <w:div w:id="132916182">
      <w:bodyDiv w:val="1"/>
      <w:marLeft w:val="0"/>
      <w:marRight w:val="0"/>
      <w:marTop w:val="0"/>
      <w:marBottom w:val="0"/>
      <w:divBdr>
        <w:top w:val="none" w:sz="0" w:space="0" w:color="auto"/>
        <w:left w:val="none" w:sz="0" w:space="0" w:color="auto"/>
        <w:bottom w:val="none" w:sz="0" w:space="0" w:color="auto"/>
        <w:right w:val="none" w:sz="0" w:space="0" w:color="auto"/>
      </w:divBdr>
    </w:div>
    <w:div w:id="133253114">
      <w:bodyDiv w:val="1"/>
      <w:marLeft w:val="0"/>
      <w:marRight w:val="0"/>
      <w:marTop w:val="0"/>
      <w:marBottom w:val="0"/>
      <w:divBdr>
        <w:top w:val="none" w:sz="0" w:space="0" w:color="auto"/>
        <w:left w:val="none" w:sz="0" w:space="0" w:color="auto"/>
        <w:bottom w:val="none" w:sz="0" w:space="0" w:color="auto"/>
        <w:right w:val="none" w:sz="0" w:space="0" w:color="auto"/>
      </w:divBdr>
    </w:div>
    <w:div w:id="133253526">
      <w:bodyDiv w:val="1"/>
      <w:marLeft w:val="0"/>
      <w:marRight w:val="0"/>
      <w:marTop w:val="0"/>
      <w:marBottom w:val="0"/>
      <w:divBdr>
        <w:top w:val="none" w:sz="0" w:space="0" w:color="auto"/>
        <w:left w:val="none" w:sz="0" w:space="0" w:color="auto"/>
        <w:bottom w:val="none" w:sz="0" w:space="0" w:color="auto"/>
        <w:right w:val="none" w:sz="0" w:space="0" w:color="auto"/>
      </w:divBdr>
    </w:div>
    <w:div w:id="133259407">
      <w:bodyDiv w:val="1"/>
      <w:marLeft w:val="0"/>
      <w:marRight w:val="0"/>
      <w:marTop w:val="0"/>
      <w:marBottom w:val="0"/>
      <w:divBdr>
        <w:top w:val="none" w:sz="0" w:space="0" w:color="auto"/>
        <w:left w:val="none" w:sz="0" w:space="0" w:color="auto"/>
        <w:bottom w:val="none" w:sz="0" w:space="0" w:color="auto"/>
        <w:right w:val="none" w:sz="0" w:space="0" w:color="auto"/>
      </w:divBdr>
    </w:div>
    <w:div w:id="133379889">
      <w:bodyDiv w:val="1"/>
      <w:marLeft w:val="0"/>
      <w:marRight w:val="0"/>
      <w:marTop w:val="0"/>
      <w:marBottom w:val="0"/>
      <w:divBdr>
        <w:top w:val="none" w:sz="0" w:space="0" w:color="auto"/>
        <w:left w:val="none" w:sz="0" w:space="0" w:color="auto"/>
        <w:bottom w:val="none" w:sz="0" w:space="0" w:color="auto"/>
        <w:right w:val="none" w:sz="0" w:space="0" w:color="auto"/>
      </w:divBdr>
    </w:div>
    <w:div w:id="133454582">
      <w:bodyDiv w:val="1"/>
      <w:marLeft w:val="0"/>
      <w:marRight w:val="0"/>
      <w:marTop w:val="0"/>
      <w:marBottom w:val="0"/>
      <w:divBdr>
        <w:top w:val="none" w:sz="0" w:space="0" w:color="auto"/>
        <w:left w:val="none" w:sz="0" w:space="0" w:color="auto"/>
        <w:bottom w:val="none" w:sz="0" w:space="0" w:color="auto"/>
        <w:right w:val="none" w:sz="0" w:space="0" w:color="auto"/>
      </w:divBdr>
    </w:div>
    <w:div w:id="133525796">
      <w:bodyDiv w:val="1"/>
      <w:marLeft w:val="0"/>
      <w:marRight w:val="0"/>
      <w:marTop w:val="0"/>
      <w:marBottom w:val="0"/>
      <w:divBdr>
        <w:top w:val="none" w:sz="0" w:space="0" w:color="auto"/>
        <w:left w:val="none" w:sz="0" w:space="0" w:color="auto"/>
        <w:bottom w:val="none" w:sz="0" w:space="0" w:color="auto"/>
        <w:right w:val="none" w:sz="0" w:space="0" w:color="auto"/>
      </w:divBdr>
    </w:div>
    <w:div w:id="133527696">
      <w:bodyDiv w:val="1"/>
      <w:marLeft w:val="0"/>
      <w:marRight w:val="0"/>
      <w:marTop w:val="0"/>
      <w:marBottom w:val="0"/>
      <w:divBdr>
        <w:top w:val="none" w:sz="0" w:space="0" w:color="auto"/>
        <w:left w:val="none" w:sz="0" w:space="0" w:color="auto"/>
        <w:bottom w:val="none" w:sz="0" w:space="0" w:color="auto"/>
        <w:right w:val="none" w:sz="0" w:space="0" w:color="auto"/>
      </w:divBdr>
    </w:div>
    <w:div w:id="133568011">
      <w:bodyDiv w:val="1"/>
      <w:marLeft w:val="0"/>
      <w:marRight w:val="0"/>
      <w:marTop w:val="0"/>
      <w:marBottom w:val="0"/>
      <w:divBdr>
        <w:top w:val="none" w:sz="0" w:space="0" w:color="auto"/>
        <w:left w:val="none" w:sz="0" w:space="0" w:color="auto"/>
        <w:bottom w:val="none" w:sz="0" w:space="0" w:color="auto"/>
        <w:right w:val="none" w:sz="0" w:space="0" w:color="auto"/>
      </w:divBdr>
    </w:div>
    <w:div w:id="133569041">
      <w:bodyDiv w:val="1"/>
      <w:marLeft w:val="0"/>
      <w:marRight w:val="0"/>
      <w:marTop w:val="0"/>
      <w:marBottom w:val="0"/>
      <w:divBdr>
        <w:top w:val="none" w:sz="0" w:space="0" w:color="auto"/>
        <w:left w:val="none" w:sz="0" w:space="0" w:color="auto"/>
        <w:bottom w:val="none" w:sz="0" w:space="0" w:color="auto"/>
        <w:right w:val="none" w:sz="0" w:space="0" w:color="auto"/>
      </w:divBdr>
    </w:div>
    <w:div w:id="133569045">
      <w:bodyDiv w:val="1"/>
      <w:marLeft w:val="0"/>
      <w:marRight w:val="0"/>
      <w:marTop w:val="0"/>
      <w:marBottom w:val="0"/>
      <w:divBdr>
        <w:top w:val="none" w:sz="0" w:space="0" w:color="auto"/>
        <w:left w:val="none" w:sz="0" w:space="0" w:color="auto"/>
        <w:bottom w:val="none" w:sz="0" w:space="0" w:color="auto"/>
        <w:right w:val="none" w:sz="0" w:space="0" w:color="auto"/>
      </w:divBdr>
    </w:div>
    <w:div w:id="133648290">
      <w:bodyDiv w:val="1"/>
      <w:marLeft w:val="0"/>
      <w:marRight w:val="0"/>
      <w:marTop w:val="0"/>
      <w:marBottom w:val="0"/>
      <w:divBdr>
        <w:top w:val="none" w:sz="0" w:space="0" w:color="auto"/>
        <w:left w:val="none" w:sz="0" w:space="0" w:color="auto"/>
        <w:bottom w:val="none" w:sz="0" w:space="0" w:color="auto"/>
        <w:right w:val="none" w:sz="0" w:space="0" w:color="auto"/>
      </w:divBdr>
    </w:div>
    <w:div w:id="133763646">
      <w:bodyDiv w:val="1"/>
      <w:marLeft w:val="0"/>
      <w:marRight w:val="0"/>
      <w:marTop w:val="0"/>
      <w:marBottom w:val="0"/>
      <w:divBdr>
        <w:top w:val="none" w:sz="0" w:space="0" w:color="auto"/>
        <w:left w:val="none" w:sz="0" w:space="0" w:color="auto"/>
        <w:bottom w:val="none" w:sz="0" w:space="0" w:color="auto"/>
        <w:right w:val="none" w:sz="0" w:space="0" w:color="auto"/>
      </w:divBdr>
    </w:div>
    <w:div w:id="133837036">
      <w:bodyDiv w:val="1"/>
      <w:marLeft w:val="0"/>
      <w:marRight w:val="0"/>
      <w:marTop w:val="0"/>
      <w:marBottom w:val="0"/>
      <w:divBdr>
        <w:top w:val="none" w:sz="0" w:space="0" w:color="auto"/>
        <w:left w:val="none" w:sz="0" w:space="0" w:color="auto"/>
        <w:bottom w:val="none" w:sz="0" w:space="0" w:color="auto"/>
        <w:right w:val="none" w:sz="0" w:space="0" w:color="auto"/>
      </w:divBdr>
    </w:div>
    <w:div w:id="133841908">
      <w:bodyDiv w:val="1"/>
      <w:marLeft w:val="0"/>
      <w:marRight w:val="0"/>
      <w:marTop w:val="0"/>
      <w:marBottom w:val="0"/>
      <w:divBdr>
        <w:top w:val="none" w:sz="0" w:space="0" w:color="auto"/>
        <w:left w:val="none" w:sz="0" w:space="0" w:color="auto"/>
        <w:bottom w:val="none" w:sz="0" w:space="0" w:color="auto"/>
        <w:right w:val="none" w:sz="0" w:space="0" w:color="auto"/>
      </w:divBdr>
    </w:div>
    <w:div w:id="133915831">
      <w:bodyDiv w:val="1"/>
      <w:marLeft w:val="0"/>
      <w:marRight w:val="0"/>
      <w:marTop w:val="0"/>
      <w:marBottom w:val="0"/>
      <w:divBdr>
        <w:top w:val="none" w:sz="0" w:space="0" w:color="auto"/>
        <w:left w:val="none" w:sz="0" w:space="0" w:color="auto"/>
        <w:bottom w:val="none" w:sz="0" w:space="0" w:color="auto"/>
        <w:right w:val="none" w:sz="0" w:space="0" w:color="auto"/>
      </w:divBdr>
    </w:div>
    <w:div w:id="134180996">
      <w:bodyDiv w:val="1"/>
      <w:marLeft w:val="0"/>
      <w:marRight w:val="0"/>
      <w:marTop w:val="0"/>
      <w:marBottom w:val="0"/>
      <w:divBdr>
        <w:top w:val="none" w:sz="0" w:space="0" w:color="auto"/>
        <w:left w:val="none" w:sz="0" w:space="0" w:color="auto"/>
        <w:bottom w:val="none" w:sz="0" w:space="0" w:color="auto"/>
        <w:right w:val="none" w:sz="0" w:space="0" w:color="auto"/>
      </w:divBdr>
    </w:div>
    <w:div w:id="134220578">
      <w:bodyDiv w:val="1"/>
      <w:marLeft w:val="0"/>
      <w:marRight w:val="0"/>
      <w:marTop w:val="0"/>
      <w:marBottom w:val="0"/>
      <w:divBdr>
        <w:top w:val="none" w:sz="0" w:space="0" w:color="auto"/>
        <w:left w:val="none" w:sz="0" w:space="0" w:color="auto"/>
        <w:bottom w:val="none" w:sz="0" w:space="0" w:color="auto"/>
        <w:right w:val="none" w:sz="0" w:space="0" w:color="auto"/>
      </w:divBdr>
    </w:div>
    <w:div w:id="134370782">
      <w:bodyDiv w:val="1"/>
      <w:marLeft w:val="0"/>
      <w:marRight w:val="0"/>
      <w:marTop w:val="0"/>
      <w:marBottom w:val="0"/>
      <w:divBdr>
        <w:top w:val="none" w:sz="0" w:space="0" w:color="auto"/>
        <w:left w:val="none" w:sz="0" w:space="0" w:color="auto"/>
        <w:bottom w:val="none" w:sz="0" w:space="0" w:color="auto"/>
        <w:right w:val="none" w:sz="0" w:space="0" w:color="auto"/>
      </w:divBdr>
    </w:div>
    <w:div w:id="134373298">
      <w:bodyDiv w:val="1"/>
      <w:marLeft w:val="0"/>
      <w:marRight w:val="0"/>
      <w:marTop w:val="0"/>
      <w:marBottom w:val="0"/>
      <w:divBdr>
        <w:top w:val="none" w:sz="0" w:space="0" w:color="auto"/>
        <w:left w:val="none" w:sz="0" w:space="0" w:color="auto"/>
        <w:bottom w:val="none" w:sz="0" w:space="0" w:color="auto"/>
        <w:right w:val="none" w:sz="0" w:space="0" w:color="auto"/>
      </w:divBdr>
    </w:div>
    <w:div w:id="134488439">
      <w:bodyDiv w:val="1"/>
      <w:marLeft w:val="0"/>
      <w:marRight w:val="0"/>
      <w:marTop w:val="0"/>
      <w:marBottom w:val="0"/>
      <w:divBdr>
        <w:top w:val="none" w:sz="0" w:space="0" w:color="auto"/>
        <w:left w:val="none" w:sz="0" w:space="0" w:color="auto"/>
        <w:bottom w:val="none" w:sz="0" w:space="0" w:color="auto"/>
        <w:right w:val="none" w:sz="0" w:space="0" w:color="auto"/>
      </w:divBdr>
    </w:div>
    <w:div w:id="134496227">
      <w:bodyDiv w:val="1"/>
      <w:marLeft w:val="0"/>
      <w:marRight w:val="0"/>
      <w:marTop w:val="0"/>
      <w:marBottom w:val="0"/>
      <w:divBdr>
        <w:top w:val="none" w:sz="0" w:space="0" w:color="auto"/>
        <w:left w:val="none" w:sz="0" w:space="0" w:color="auto"/>
        <w:bottom w:val="none" w:sz="0" w:space="0" w:color="auto"/>
        <w:right w:val="none" w:sz="0" w:space="0" w:color="auto"/>
      </w:divBdr>
    </w:div>
    <w:div w:id="134682129">
      <w:bodyDiv w:val="1"/>
      <w:marLeft w:val="0"/>
      <w:marRight w:val="0"/>
      <w:marTop w:val="0"/>
      <w:marBottom w:val="0"/>
      <w:divBdr>
        <w:top w:val="none" w:sz="0" w:space="0" w:color="auto"/>
        <w:left w:val="none" w:sz="0" w:space="0" w:color="auto"/>
        <w:bottom w:val="none" w:sz="0" w:space="0" w:color="auto"/>
        <w:right w:val="none" w:sz="0" w:space="0" w:color="auto"/>
      </w:divBdr>
    </w:div>
    <w:div w:id="134879768">
      <w:bodyDiv w:val="1"/>
      <w:marLeft w:val="0"/>
      <w:marRight w:val="0"/>
      <w:marTop w:val="0"/>
      <w:marBottom w:val="0"/>
      <w:divBdr>
        <w:top w:val="none" w:sz="0" w:space="0" w:color="auto"/>
        <w:left w:val="none" w:sz="0" w:space="0" w:color="auto"/>
        <w:bottom w:val="none" w:sz="0" w:space="0" w:color="auto"/>
        <w:right w:val="none" w:sz="0" w:space="0" w:color="auto"/>
      </w:divBdr>
    </w:div>
    <w:div w:id="134882082">
      <w:bodyDiv w:val="1"/>
      <w:marLeft w:val="0"/>
      <w:marRight w:val="0"/>
      <w:marTop w:val="0"/>
      <w:marBottom w:val="0"/>
      <w:divBdr>
        <w:top w:val="none" w:sz="0" w:space="0" w:color="auto"/>
        <w:left w:val="none" w:sz="0" w:space="0" w:color="auto"/>
        <w:bottom w:val="none" w:sz="0" w:space="0" w:color="auto"/>
        <w:right w:val="none" w:sz="0" w:space="0" w:color="auto"/>
      </w:divBdr>
    </w:div>
    <w:div w:id="134957691">
      <w:bodyDiv w:val="1"/>
      <w:marLeft w:val="0"/>
      <w:marRight w:val="0"/>
      <w:marTop w:val="0"/>
      <w:marBottom w:val="0"/>
      <w:divBdr>
        <w:top w:val="none" w:sz="0" w:space="0" w:color="auto"/>
        <w:left w:val="none" w:sz="0" w:space="0" w:color="auto"/>
        <w:bottom w:val="none" w:sz="0" w:space="0" w:color="auto"/>
        <w:right w:val="none" w:sz="0" w:space="0" w:color="auto"/>
      </w:divBdr>
    </w:div>
    <w:div w:id="135029993">
      <w:bodyDiv w:val="1"/>
      <w:marLeft w:val="0"/>
      <w:marRight w:val="0"/>
      <w:marTop w:val="0"/>
      <w:marBottom w:val="0"/>
      <w:divBdr>
        <w:top w:val="none" w:sz="0" w:space="0" w:color="auto"/>
        <w:left w:val="none" w:sz="0" w:space="0" w:color="auto"/>
        <w:bottom w:val="none" w:sz="0" w:space="0" w:color="auto"/>
        <w:right w:val="none" w:sz="0" w:space="0" w:color="auto"/>
      </w:divBdr>
    </w:div>
    <w:div w:id="135419436">
      <w:bodyDiv w:val="1"/>
      <w:marLeft w:val="0"/>
      <w:marRight w:val="0"/>
      <w:marTop w:val="0"/>
      <w:marBottom w:val="0"/>
      <w:divBdr>
        <w:top w:val="none" w:sz="0" w:space="0" w:color="auto"/>
        <w:left w:val="none" w:sz="0" w:space="0" w:color="auto"/>
        <w:bottom w:val="none" w:sz="0" w:space="0" w:color="auto"/>
        <w:right w:val="none" w:sz="0" w:space="0" w:color="auto"/>
      </w:divBdr>
    </w:div>
    <w:div w:id="135419993">
      <w:bodyDiv w:val="1"/>
      <w:marLeft w:val="0"/>
      <w:marRight w:val="0"/>
      <w:marTop w:val="0"/>
      <w:marBottom w:val="0"/>
      <w:divBdr>
        <w:top w:val="none" w:sz="0" w:space="0" w:color="auto"/>
        <w:left w:val="none" w:sz="0" w:space="0" w:color="auto"/>
        <w:bottom w:val="none" w:sz="0" w:space="0" w:color="auto"/>
        <w:right w:val="none" w:sz="0" w:space="0" w:color="auto"/>
      </w:divBdr>
    </w:div>
    <w:div w:id="135491566">
      <w:bodyDiv w:val="1"/>
      <w:marLeft w:val="0"/>
      <w:marRight w:val="0"/>
      <w:marTop w:val="0"/>
      <w:marBottom w:val="0"/>
      <w:divBdr>
        <w:top w:val="none" w:sz="0" w:space="0" w:color="auto"/>
        <w:left w:val="none" w:sz="0" w:space="0" w:color="auto"/>
        <w:bottom w:val="none" w:sz="0" w:space="0" w:color="auto"/>
        <w:right w:val="none" w:sz="0" w:space="0" w:color="auto"/>
      </w:divBdr>
    </w:div>
    <w:div w:id="135607901">
      <w:bodyDiv w:val="1"/>
      <w:marLeft w:val="0"/>
      <w:marRight w:val="0"/>
      <w:marTop w:val="0"/>
      <w:marBottom w:val="0"/>
      <w:divBdr>
        <w:top w:val="none" w:sz="0" w:space="0" w:color="auto"/>
        <w:left w:val="none" w:sz="0" w:space="0" w:color="auto"/>
        <w:bottom w:val="none" w:sz="0" w:space="0" w:color="auto"/>
        <w:right w:val="none" w:sz="0" w:space="0" w:color="auto"/>
      </w:divBdr>
    </w:div>
    <w:div w:id="135613127">
      <w:bodyDiv w:val="1"/>
      <w:marLeft w:val="0"/>
      <w:marRight w:val="0"/>
      <w:marTop w:val="0"/>
      <w:marBottom w:val="0"/>
      <w:divBdr>
        <w:top w:val="none" w:sz="0" w:space="0" w:color="auto"/>
        <w:left w:val="none" w:sz="0" w:space="0" w:color="auto"/>
        <w:bottom w:val="none" w:sz="0" w:space="0" w:color="auto"/>
        <w:right w:val="none" w:sz="0" w:space="0" w:color="auto"/>
      </w:divBdr>
    </w:div>
    <w:div w:id="135683792">
      <w:bodyDiv w:val="1"/>
      <w:marLeft w:val="0"/>
      <w:marRight w:val="0"/>
      <w:marTop w:val="0"/>
      <w:marBottom w:val="0"/>
      <w:divBdr>
        <w:top w:val="none" w:sz="0" w:space="0" w:color="auto"/>
        <w:left w:val="none" w:sz="0" w:space="0" w:color="auto"/>
        <w:bottom w:val="none" w:sz="0" w:space="0" w:color="auto"/>
        <w:right w:val="none" w:sz="0" w:space="0" w:color="auto"/>
      </w:divBdr>
    </w:div>
    <w:div w:id="135685929">
      <w:bodyDiv w:val="1"/>
      <w:marLeft w:val="0"/>
      <w:marRight w:val="0"/>
      <w:marTop w:val="0"/>
      <w:marBottom w:val="0"/>
      <w:divBdr>
        <w:top w:val="none" w:sz="0" w:space="0" w:color="auto"/>
        <w:left w:val="none" w:sz="0" w:space="0" w:color="auto"/>
        <w:bottom w:val="none" w:sz="0" w:space="0" w:color="auto"/>
        <w:right w:val="none" w:sz="0" w:space="0" w:color="auto"/>
      </w:divBdr>
    </w:div>
    <w:div w:id="135801694">
      <w:bodyDiv w:val="1"/>
      <w:marLeft w:val="0"/>
      <w:marRight w:val="0"/>
      <w:marTop w:val="0"/>
      <w:marBottom w:val="0"/>
      <w:divBdr>
        <w:top w:val="none" w:sz="0" w:space="0" w:color="auto"/>
        <w:left w:val="none" w:sz="0" w:space="0" w:color="auto"/>
        <w:bottom w:val="none" w:sz="0" w:space="0" w:color="auto"/>
        <w:right w:val="none" w:sz="0" w:space="0" w:color="auto"/>
      </w:divBdr>
    </w:div>
    <w:div w:id="135873978">
      <w:bodyDiv w:val="1"/>
      <w:marLeft w:val="0"/>
      <w:marRight w:val="0"/>
      <w:marTop w:val="0"/>
      <w:marBottom w:val="0"/>
      <w:divBdr>
        <w:top w:val="none" w:sz="0" w:space="0" w:color="auto"/>
        <w:left w:val="none" w:sz="0" w:space="0" w:color="auto"/>
        <w:bottom w:val="none" w:sz="0" w:space="0" w:color="auto"/>
        <w:right w:val="none" w:sz="0" w:space="0" w:color="auto"/>
      </w:divBdr>
    </w:div>
    <w:div w:id="135994983">
      <w:bodyDiv w:val="1"/>
      <w:marLeft w:val="0"/>
      <w:marRight w:val="0"/>
      <w:marTop w:val="0"/>
      <w:marBottom w:val="0"/>
      <w:divBdr>
        <w:top w:val="none" w:sz="0" w:space="0" w:color="auto"/>
        <w:left w:val="none" w:sz="0" w:space="0" w:color="auto"/>
        <w:bottom w:val="none" w:sz="0" w:space="0" w:color="auto"/>
        <w:right w:val="none" w:sz="0" w:space="0" w:color="auto"/>
      </w:divBdr>
    </w:div>
    <w:div w:id="136069507">
      <w:bodyDiv w:val="1"/>
      <w:marLeft w:val="0"/>
      <w:marRight w:val="0"/>
      <w:marTop w:val="0"/>
      <w:marBottom w:val="0"/>
      <w:divBdr>
        <w:top w:val="none" w:sz="0" w:space="0" w:color="auto"/>
        <w:left w:val="none" w:sz="0" w:space="0" w:color="auto"/>
        <w:bottom w:val="none" w:sz="0" w:space="0" w:color="auto"/>
        <w:right w:val="none" w:sz="0" w:space="0" w:color="auto"/>
      </w:divBdr>
    </w:div>
    <w:div w:id="136142953">
      <w:bodyDiv w:val="1"/>
      <w:marLeft w:val="0"/>
      <w:marRight w:val="0"/>
      <w:marTop w:val="0"/>
      <w:marBottom w:val="0"/>
      <w:divBdr>
        <w:top w:val="none" w:sz="0" w:space="0" w:color="auto"/>
        <w:left w:val="none" w:sz="0" w:space="0" w:color="auto"/>
        <w:bottom w:val="none" w:sz="0" w:space="0" w:color="auto"/>
        <w:right w:val="none" w:sz="0" w:space="0" w:color="auto"/>
      </w:divBdr>
    </w:div>
    <w:div w:id="136150609">
      <w:bodyDiv w:val="1"/>
      <w:marLeft w:val="0"/>
      <w:marRight w:val="0"/>
      <w:marTop w:val="0"/>
      <w:marBottom w:val="0"/>
      <w:divBdr>
        <w:top w:val="none" w:sz="0" w:space="0" w:color="auto"/>
        <w:left w:val="none" w:sz="0" w:space="0" w:color="auto"/>
        <w:bottom w:val="none" w:sz="0" w:space="0" w:color="auto"/>
        <w:right w:val="none" w:sz="0" w:space="0" w:color="auto"/>
      </w:divBdr>
    </w:div>
    <w:div w:id="136260343">
      <w:bodyDiv w:val="1"/>
      <w:marLeft w:val="0"/>
      <w:marRight w:val="0"/>
      <w:marTop w:val="0"/>
      <w:marBottom w:val="0"/>
      <w:divBdr>
        <w:top w:val="none" w:sz="0" w:space="0" w:color="auto"/>
        <w:left w:val="none" w:sz="0" w:space="0" w:color="auto"/>
        <w:bottom w:val="none" w:sz="0" w:space="0" w:color="auto"/>
        <w:right w:val="none" w:sz="0" w:space="0" w:color="auto"/>
      </w:divBdr>
    </w:div>
    <w:div w:id="136380816">
      <w:bodyDiv w:val="1"/>
      <w:marLeft w:val="0"/>
      <w:marRight w:val="0"/>
      <w:marTop w:val="0"/>
      <w:marBottom w:val="0"/>
      <w:divBdr>
        <w:top w:val="none" w:sz="0" w:space="0" w:color="auto"/>
        <w:left w:val="none" w:sz="0" w:space="0" w:color="auto"/>
        <w:bottom w:val="none" w:sz="0" w:space="0" w:color="auto"/>
        <w:right w:val="none" w:sz="0" w:space="0" w:color="auto"/>
      </w:divBdr>
    </w:div>
    <w:div w:id="136387536">
      <w:bodyDiv w:val="1"/>
      <w:marLeft w:val="0"/>
      <w:marRight w:val="0"/>
      <w:marTop w:val="0"/>
      <w:marBottom w:val="0"/>
      <w:divBdr>
        <w:top w:val="none" w:sz="0" w:space="0" w:color="auto"/>
        <w:left w:val="none" w:sz="0" w:space="0" w:color="auto"/>
        <w:bottom w:val="none" w:sz="0" w:space="0" w:color="auto"/>
        <w:right w:val="none" w:sz="0" w:space="0" w:color="auto"/>
      </w:divBdr>
    </w:div>
    <w:div w:id="136412286">
      <w:bodyDiv w:val="1"/>
      <w:marLeft w:val="0"/>
      <w:marRight w:val="0"/>
      <w:marTop w:val="0"/>
      <w:marBottom w:val="0"/>
      <w:divBdr>
        <w:top w:val="none" w:sz="0" w:space="0" w:color="auto"/>
        <w:left w:val="none" w:sz="0" w:space="0" w:color="auto"/>
        <w:bottom w:val="none" w:sz="0" w:space="0" w:color="auto"/>
        <w:right w:val="none" w:sz="0" w:space="0" w:color="auto"/>
      </w:divBdr>
    </w:div>
    <w:div w:id="136577998">
      <w:bodyDiv w:val="1"/>
      <w:marLeft w:val="0"/>
      <w:marRight w:val="0"/>
      <w:marTop w:val="0"/>
      <w:marBottom w:val="0"/>
      <w:divBdr>
        <w:top w:val="none" w:sz="0" w:space="0" w:color="auto"/>
        <w:left w:val="none" w:sz="0" w:space="0" w:color="auto"/>
        <w:bottom w:val="none" w:sz="0" w:space="0" w:color="auto"/>
        <w:right w:val="none" w:sz="0" w:space="0" w:color="auto"/>
      </w:divBdr>
    </w:div>
    <w:div w:id="136607508">
      <w:bodyDiv w:val="1"/>
      <w:marLeft w:val="0"/>
      <w:marRight w:val="0"/>
      <w:marTop w:val="0"/>
      <w:marBottom w:val="0"/>
      <w:divBdr>
        <w:top w:val="none" w:sz="0" w:space="0" w:color="auto"/>
        <w:left w:val="none" w:sz="0" w:space="0" w:color="auto"/>
        <w:bottom w:val="none" w:sz="0" w:space="0" w:color="auto"/>
        <w:right w:val="none" w:sz="0" w:space="0" w:color="auto"/>
      </w:divBdr>
    </w:div>
    <w:div w:id="136724815">
      <w:bodyDiv w:val="1"/>
      <w:marLeft w:val="0"/>
      <w:marRight w:val="0"/>
      <w:marTop w:val="0"/>
      <w:marBottom w:val="0"/>
      <w:divBdr>
        <w:top w:val="none" w:sz="0" w:space="0" w:color="auto"/>
        <w:left w:val="none" w:sz="0" w:space="0" w:color="auto"/>
        <w:bottom w:val="none" w:sz="0" w:space="0" w:color="auto"/>
        <w:right w:val="none" w:sz="0" w:space="0" w:color="auto"/>
      </w:divBdr>
    </w:div>
    <w:div w:id="136729161">
      <w:bodyDiv w:val="1"/>
      <w:marLeft w:val="0"/>
      <w:marRight w:val="0"/>
      <w:marTop w:val="0"/>
      <w:marBottom w:val="0"/>
      <w:divBdr>
        <w:top w:val="none" w:sz="0" w:space="0" w:color="auto"/>
        <w:left w:val="none" w:sz="0" w:space="0" w:color="auto"/>
        <w:bottom w:val="none" w:sz="0" w:space="0" w:color="auto"/>
        <w:right w:val="none" w:sz="0" w:space="0" w:color="auto"/>
      </w:divBdr>
    </w:div>
    <w:div w:id="136799954">
      <w:bodyDiv w:val="1"/>
      <w:marLeft w:val="0"/>
      <w:marRight w:val="0"/>
      <w:marTop w:val="0"/>
      <w:marBottom w:val="0"/>
      <w:divBdr>
        <w:top w:val="none" w:sz="0" w:space="0" w:color="auto"/>
        <w:left w:val="none" w:sz="0" w:space="0" w:color="auto"/>
        <w:bottom w:val="none" w:sz="0" w:space="0" w:color="auto"/>
        <w:right w:val="none" w:sz="0" w:space="0" w:color="auto"/>
      </w:divBdr>
    </w:div>
    <w:div w:id="136993268">
      <w:bodyDiv w:val="1"/>
      <w:marLeft w:val="0"/>
      <w:marRight w:val="0"/>
      <w:marTop w:val="0"/>
      <w:marBottom w:val="0"/>
      <w:divBdr>
        <w:top w:val="none" w:sz="0" w:space="0" w:color="auto"/>
        <w:left w:val="none" w:sz="0" w:space="0" w:color="auto"/>
        <w:bottom w:val="none" w:sz="0" w:space="0" w:color="auto"/>
        <w:right w:val="none" w:sz="0" w:space="0" w:color="auto"/>
      </w:divBdr>
    </w:div>
    <w:div w:id="136998241">
      <w:bodyDiv w:val="1"/>
      <w:marLeft w:val="0"/>
      <w:marRight w:val="0"/>
      <w:marTop w:val="0"/>
      <w:marBottom w:val="0"/>
      <w:divBdr>
        <w:top w:val="none" w:sz="0" w:space="0" w:color="auto"/>
        <w:left w:val="none" w:sz="0" w:space="0" w:color="auto"/>
        <w:bottom w:val="none" w:sz="0" w:space="0" w:color="auto"/>
        <w:right w:val="none" w:sz="0" w:space="0" w:color="auto"/>
      </w:divBdr>
    </w:div>
    <w:div w:id="137038998">
      <w:bodyDiv w:val="1"/>
      <w:marLeft w:val="0"/>
      <w:marRight w:val="0"/>
      <w:marTop w:val="0"/>
      <w:marBottom w:val="0"/>
      <w:divBdr>
        <w:top w:val="none" w:sz="0" w:space="0" w:color="auto"/>
        <w:left w:val="none" w:sz="0" w:space="0" w:color="auto"/>
        <w:bottom w:val="none" w:sz="0" w:space="0" w:color="auto"/>
        <w:right w:val="none" w:sz="0" w:space="0" w:color="auto"/>
      </w:divBdr>
    </w:div>
    <w:div w:id="137187643">
      <w:bodyDiv w:val="1"/>
      <w:marLeft w:val="0"/>
      <w:marRight w:val="0"/>
      <w:marTop w:val="0"/>
      <w:marBottom w:val="0"/>
      <w:divBdr>
        <w:top w:val="none" w:sz="0" w:space="0" w:color="auto"/>
        <w:left w:val="none" w:sz="0" w:space="0" w:color="auto"/>
        <w:bottom w:val="none" w:sz="0" w:space="0" w:color="auto"/>
        <w:right w:val="none" w:sz="0" w:space="0" w:color="auto"/>
      </w:divBdr>
    </w:div>
    <w:div w:id="137453423">
      <w:bodyDiv w:val="1"/>
      <w:marLeft w:val="0"/>
      <w:marRight w:val="0"/>
      <w:marTop w:val="0"/>
      <w:marBottom w:val="0"/>
      <w:divBdr>
        <w:top w:val="none" w:sz="0" w:space="0" w:color="auto"/>
        <w:left w:val="none" w:sz="0" w:space="0" w:color="auto"/>
        <w:bottom w:val="none" w:sz="0" w:space="0" w:color="auto"/>
        <w:right w:val="none" w:sz="0" w:space="0" w:color="auto"/>
      </w:divBdr>
    </w:div>
    <w:div w:id="137458275">
      <w:bodyDiv w:val="1"/>
      <w:marLeft w:val="0"/>
      <w:marRight w:val="0"/>
      <w:marTop w:val="0"/>
      <w:marBottom w:val="0"/>
      <w:divBdr>
        <w:top w:val="none" w:sz="0" w:space="0" w:color="auto"/>
        <w:left w:val="none" w:sz="0" w:space="0" w:color="auto"/>
        <w:bottom w:val="none" w:sz="0" w:space="0" w:color="auto"/>
        <w:right w:val="none" w:sz="0" w:space="0" w:color="auto"/>
      </w:divBdr>
    </w:div>
    <w:div w:id="137460897">
      <w:bodyDiv w:val="1"/>
      <w:marLeft w:val="0"/>
      <w:marRight w:val="0"/>
      <w:marTop w:val="0"/>
      <w:marBottom w:val="0"/>
      <w:divBdr>
        <w:top w:val="none" w:sz="0" w:space="0" w:color="auto"/>
        <w:left w:val="none" w:sz="0" w:space="0" w:color="auto"/>
        <w:bottom w:val="none" w:sz="0" w:space="0" w:color="auto"/>
        <w:right w:val="none" w:sz="0" w:space="0" w:color="auto"/>
      </w:divBdr>
    </w:div>
    <w:div w:id="137500162">
      <w:bodyDiv w:val="1"/>
      <w:marLeft w:val="0"/>
      <w:marRight w:val="0"/>
      <w:marTop w:val="0"/>
      <w:marBottom w:val="0"/>
      <w:divBdr>
        <w:top w:val="none" w:sz="0" w:space="0" w:color="auto"/>
        <w:left w:val="none" w:sz="0" w:space="0" w:color="auto"/>
        <w:bottom w:val="none" w:sz="0" w:space="0" w:color="auto"/>
        <w:right w:val="none" w:sz="0" w:space="0" w:color="auto"/>
      </w:divBdr>
    </w:div>
    <w:div w:id="137576198">
      <w:bodyDiv w:val="1"/>
      <w:marLeft w:val="0"/>
      <w:marRight w:val="0"/>
      <w:marTop w:val="0"/>
      <w:marBottom w:val="0"/>
      <w:divBdr>
        <w:top w:val="none" w:sz="0" w:space="0" w:color="auto"/>
        <w:left w:val="none" w:sz="0" w:space="0" w:color="auto"/>
        <w:bottom w:val="none" w:sz="0" w:space="0" w:color="auto"/>
        <w:right w:val="none" w:sz="0" w:space="0" w:color="auto"/>
      </w:divBdr>
    </w:div>
    <w:div w:id="137576714">
      <w:bodyDiv w:val="1"/>
      <w:marLeft w:val="0"/>
      <w:marRight w:val="0"/>
      <w:marTop w:val="0"/>
      <w:marBottom w:val="0"/>
      <w:divBdr>
        <w:top w:val="none" w:sz="0" w:space="0" w:color="auto"/>
        <w:left w:val="none" w:sz="0" w:space="0" w:color="auto"/>
        <w:bottom w:val="none" w:sz="0" w:space="0" w:color="auto"/>
        <w:right w:val="none" w:sz="0" w:space="0" w:color="auto"/>
      </w:divBdr>
    </w:div>
    <w:div w:id="137693048">
      <w:bodyDiv w:val="1"/>
      <w:marLeft w:val="0"/>
      <w:marRight w:val="0"/>
      <w:marTop w:val="0"/>
      <w:marBottom w:val="0"/>
      <w:divBdr>
        <w:top w:val="none" w:sz="0" w:space="0" w:color="auto"/>
        <w:left w:val="none" w:sz="0" w:space="0" w:color="auto"/>
        <w:bottom w:val="none" w:sz="0" w:space="0" w:color="auto"/>
        <w:right w:val="none" w:sz="0" w:space="0" w:color="auto"/>
      </w:divBdr>
    </w:div>
    <w:div w:id="137693085">
      <w:bodyDiv w:val="1"/>
      <w:marLeft w:val="0"/>
      <w:marRight w:val="0"/>
      <w:marTop w:val="0"/>
      <w:marBottom w:val="0"/>
      <w:divBdr>
        <w:top w:val="none" w:sz="0" w:space="0" w:color="auto"/>
        <w:left w:val="none" w:sz="0" w:space="0" w:color="auto"/>
        <w:bottom w:val="none" w:sz="0" w:space="0" w:color="auto"/>
        <w:right w:val="none" w:sz="0" w:space="0" w:color="auto"/>
      </w:divBdr>
    </w:div>
    <w:div w:id="137722272">
      <w:bodyDiv w:val="1"/>
      <w:marLeft w:val="0"/>
      <w:marRight w:val="0"/>
      <w:marTop w:val="0"/>
      <w:marBottom w:val="0"/>
      <w:divBdr>
        <w:top w:val="none" w:sz="0" w:space="0" w:color="auto"/>
        <w:left w:val="none" w:sz="0" w:space="0" w:color="auto"/>
        <w:bottom w:val="none" w:sz="0" w:space="0" w:color="auto"/>
        <w:right w:val="none" w:sz="0" w:space="0" w:color="auto"/>
      </w:divBdr>
    </w:div>
    <w:div w:id="137769403">
      <w:bodyDiv w:val="1"/>
      <w:marLeft w:val="0"/>
      <w:marRight w:val="0"/>
      <w:marTop w:val="0"/>
      <w:marBottom w:val="0"/>
      <w:divBdr>
        <w:top w:val="none" w:sz="0" w:space="0" w:color="auto"/>
        <w:left w:val="none" w:sz="0" w:space="0" w:color="auto"/>
        <w:bottom w:val="none" w:sz="0" w:space="0" w:color="auto"/>
        <w:right w:val="none" w:sz="0" w:space="0" w:color="auto"/>
      </w:divBdr>
    </w:div>
    <w:div w:id="138033317">
      <w:bodyDiv w:val="1"/>
      <w:marLeft w:val="0"/>
      <w:marRight w:val="0"/>
      <w:marTop w:val="0"/>
      <w:marBottom w:val="0"/>
      <w:divBdr>
        <w:top w:val="none" w:sz="0" w:space="0" w:color="auto"/>
        <w:left w:val="none" w:sz="0" w:space="0" w:color="auto"/>
        <w:bottom w:val="none" w:sz="0" w:space="0" w:color="auto"/>
        <w:right w:val="none" w:sz="0" w:space="0" w:color="auto"/>
      </w:divBdr>
    </w:div>
    <w:div w:id="138041182">
      <w:bodyDiv w:val="1"/>
      <w:marLeft w:val="0"/>
      <w:marRight w:val="0"/>
      <w:marTop w:val="0"/>
      <w:marBottom w:val="0"/>
      <w:divBdr>
        <w:top w:val="none" w:sz="0" w:space="0" w:color="auto"/>
        <w:left w:val="none" w:sz="0" w:space="0" w:color="auto"/>
        <w:bottom w:val="none" w:sz="0" w:space="0" w:color="auto"/>
        <w:right w:val="none" w:sz="0" w:space="0" w:color="auto"/>
      </w:divBdr>
    </w:div>
    <w:div w:id="138110735">
      <w:bodyDiv w:val="1"/>
      <w:marLeft w:val="0"/>
      <w:marRight w:val="0"/>
      <w:marTop w:val="0"/>
      <w:marBottom w:val="0"/>
      <w:divBdr>
        <w:top w:val="none" w:sz="0" w:space="0" w:color="auto"/>
        <w:left w:val="none" w:sz="0" w:space="0" w:color="auto"/>
        <w:bottom w:val="none" w:sz="0" w:space="0" w:color="auto"/>
        <w:right w:val="none" w:sz="0" w:space="0" w:color="auto"/>
      </w:divBdr>
    </w:div>
    <w:div w:id="138153078">
      <w:bodyDiv w:val="1"/>
      <w:marLeft w:val="0"/>
      <w:marRight w:val="0"/>
      <w:marTop w:val="0"/>
      <w:marBottom w:val="0"/>
      <w:divBdr>
        <w:top w:val="none" w:sz="0" w:space="0" w:color="auto"/>
        <w:left w:val="none" w:sz="0" w:space="0" w:color="auto"/>
        <w:bottom w:val="none" w:sz="0" w:space="0" w:color="auto"/>
        <w:right w:val="none" w:sz="0" w:space="0" w:color="auto"/>
      </w:divBdr>
    </w:div>
    <w:div w:id="138301462">
      <w:bodyDiv w:val="1"/>
      <w:marLeft w:val="0"/>
      <w:marRight w:val="0"/>
      <w:marTop w:val="0"/>
      <w:marBottom w:val="0"/>
      <w:divBdr>
        <w:top w:val="none" w:sz="0" w:space="0" w:color="auto"/>
        <w:left w:val="none" w:sz="0" w:space="0" w:color="auto"/>
        <w:bottom w:val="none" w:sz="0" w:space="0" w:color="auto"/>
        <w:right w:val="none" w:sz="0" w:space="0" w:color="auto"/>
      </w:divBdr>
    </w:div>
    <w:div w:id="138303231">
      <w:bodyDiv w:val="1"/>
      <w:marLeft w:val="0"/>
      <w:marRight w:val="0"/>
      <w:marTop w:val="0"/>
      <w:marBottom w:val="0"/>
      <w:divBdr>
        <w:top w:val="none" w:sz="0" w:space="0" w:color="auto"/>
        <w:left w:val="none" w:sz="0" w:space="0" w:color="auto"/>
        <w:bottom w:val="none" w:sz="0" w:space="0" w:color="auto"/>
        <w:right w:val="none" w:sz="0" w:space="0" w:color="auto"/>
      </w:divBdr>
    </w:div>
    <w:div w:id="138303496">
      <w:bodyDiv w:val="1"/>
      <w:marLeft w:val="0"/>
      <w:marRight w:val="0"/>
      <w:marTop w:val="0"/>
      <w:marBottom w:val="0"/>
      <w:divBdr>
        <w:top w:val="none" w:sz="0" w:space="0" w:color="auto"/>
        <w:left w:val="none" w:sz="0" w:space="0" w:color="auto"/>
        <w:bottom w:val="none" w:sz="0" w:space="0" w:color="auto"/>
        <w:right w:val="none" w:sz="0" w:space="0" w:color="auto"/>
      </w:divBdr>
    </w:div>
    <w:div w:id="138304781">
      <w:bodyDiv w:val="1"/>
      <w:marLeft w:val="0"/>
      <w:marRight w:val="0"/>
      <w:marTop w:val="0"/>
      <w:marBottom w:val="0"/>
      <w:divBdr>
        <w:top w:val="none" w:sz="0" w:space="0" w:color="auto"/>
        <w:left w:val="none" w:sz="0" w:space="0" w:color="auto"/>
        <w:bottom w:val="none" w:sz="0" w:space="0" w:color="auto"/>
        <w:right w:val="none" w:sz="0" w:space="0" w:color="auto"/>
      </w:divBdr>
    </w:div>
    <w:div w:id="138422700">
      <w:bodyDiv w:val="1"/>
      <w:marLeft w:val="0"/>
      <w:marRight w:val="0"/>
      <w:marTop w:val="0"/>
      <w:marBottom w:val="0"/>
      <w:divBdr>
        <w:top w:val="none" w:sz="0" w:space="0" w:color="auto"/>
        <w:left w:val="none" w:sz="0" w:space="0" w:color="auto"/>
        <w:bottom w:val="none" w:sz="0" w:space="0" w:color="auto"/>
        <w:right w:val="none" w:sz="0" w:space="0" w:color="auto"/>
      </w:divBdr>
    </w:div>
    <w:div w:id="138500696">
      <w:bodyDiv w:val="1"/>
      <w:marLeft w:val="0"/>
      <w:marRight w:val="0"/>
      <w:marTop w:val="0"/>
      <w:marBottom w:val="0"/>
      <w:divBdr>
        <w:top w:val="none" w:sz="0" w:space="0" w:color="auto"/>
        <w:left w:val="none" w:sz="0" w:space="0" w:color="auto"/>
        <w:bottom w:val="none" w:sz="0" w:space="0" w:color="auto"/>
        <w:right w:val="none" w:sz="0" w:space="0" w:color="auto"/>
      </w:divBdr>
    </w:div>
    <w:div w:id="138571257">
      <w:bodyDiv w:val="1"/>
      <w:marLeft w:val="0"/>
      <w:marRight w:val="0"/>
      <w:marTop w:val="0"/>
      <w:marBottom w:val="0"/>
      <w:divBdr>
        <w:top w:val="none" w:sz="0" w:space="0" w:color="auto"/>
        <w:left w:val="none" w:sz="0" w:space="0" w:color="auto"/>
        <w:bottom w:val="none" w:sz="0" w:space="0" w:color="auto"/>
        <w:right w:val="none" w:sz="0" w:space="0" w:color="auto"/>
      </w:divBdr>
    </w:div>
    <w:div w:id="138574643">
      <w:bodyDiv w:val="1"/>
      <w:marLeft w:val="0"/>
      <w:marRight w:val="0"/>
      <w:marTop w:val="0"/>
      <w:marBottom w:val="0"/>
      <w:divBdr>
        <w:top w:val="none" w:sz="0" w:space="0" w:color="auto"/>
        <w:left w:val="none" w:sz="0" w:space="0" w:color="auto"/>
        <w:bottom w:val="none" w:sz="0" w:space="0" w:color="auto"/>
        <w:right w:val="none" w:sz="0" w:space="0" w:color="auto"/>
      </w:divBdr>
    </w:div>
    <w:div w:id="138772116">
      <w:bodyDiv w:val="1"/>
      <w:marLeft w:val="0"/>
      <w:marRight w:val="0"/>
      <w:marTop w:val="0"/>
      <w:marBottom w:val="0"/>
      <w:divBdr>
        <w:top w:val="none" w:sz="0" w:space="0" w:color="auto"/>
        <w:left w:val="none" w:sz="0" w:space="0" w:color="auto"/>
        <w:bottom w:val="none" w:sz="0" w:space="0" w:color="auto"/>
        <w:right w:val="none" w:sz="0" w:space="0" w:color="auto"/>
      </w:divBdr>
    </w:div>
    <w:div w:id="138882265">
      <w:bodyDiv w:val="1"/>
      <w:marLeft w:val="0"/>
      <w:marRight w:val="0"/>
      <w:marTop w:val="0"/>
      <w:marBottom w:val="0"/>
      <w:divBdr>
        <w:top w:val="none" w:sz="0" w:space="0" w:color="auto"/>
        <w:left w:val="none" w:sz="0" w:space="0" w:color="auto"/>
        <w:bottom w:val="none" w:sz="0" w:space="0" w:color="auto"/>
        <w:right w:val="none" w:sz="0" w:space="0" w:color="auto"/>
      </w:divBdr>
    </w:div>
    <w:div w:id="138884028">
      <w:bodyDiv w:val="1"/>
      <w:marLeft w:val="0"/>
      <w:marRight w:val="0"/>
      <w:marTop w:val="0"/>
      <w:marBottom w:val="0"/>
      <w:divBdr>
        <w:top w:val="none" w:sz="0" w:space="0" w:color="auto"/>
        <w:left w:val="none" w:sz="0" w:space="0" w:color="auto"/>
        <w:bottom w:val="none" w:sz="0" w:space="0" w:color="auto"/>
        <w:right w:val="none" w:sz="0" w:space="0" w:color="auto"/>
      </w:divBdr>
    </w:div>
    <w:div w:id="138888233">
      <w:bodyDiv w:val="1"/>
      <w:marLeft w:val="0"/>
      <w:marRight w:val="0"/>
      <w:marTop w:val="0"/>
      <w:marBottom w:val="0"/>
      <w:divBdr>
        <w:top w:val="none" w:sz="0" w:space="0" w:color="auto"/>
        <w:left w:val="none" w:sz="0" w:space="0" w:color="auto"/>
        <w:bottom w:val="none" w:sz="0" w:space="0" w:color="auto"/>
        <w:right w:val="none" w:sz="0" w:space="0" w:color="auto"/>
      </w:divBdr>
    </w:div>
    <w:div w:id="139002612">
      <w:bodyDiv w:val="1"/>
      <w:marLeft w:val="0"/>
      <w:marRight w:val="0"/>
      <w:marTop w:val="0"/>
      <w:marBottom w:val="0"/>
      <w:divBdr>
        <w:top w:val="none" w:sz="0" w:space="0" w:color="auto"/>
        <w:left w:val="none" w:sz="0" w:space="0" w:color="auto"/>
        <w:bottom w:val="none" w:sz="0" w:space="0" w:color="auto"/>
        <w:right w:val="none" w:sz="0" w:space="0" w:color="auto"/>
      </w:divBdr>
    </w:div>
    <w:div w:id="139079799">
      <w:bodyDiv w:val="1"/>
      <w:marLeft w:val="0"/>
      <w:marRight w:val="0"/>
      <w:marTop w:val="0"/>
      <w:marBottom w:val="0"/>
      <w:divBdr>
        <w:top w:val="none" w:sz="0" w:space="0" w:color="auto"/>
        <w:left w:val="none" w:sz="0" w:space="0" w:color="auto"/>
        <w:bottom w:val="none" w:sz="0" w:space="0" w:color="auto"/>
        <w:right w:val="none" w:sz="0" w:space="0" w:color="auto"/>
      </w:divBdr>
    </w:div>
    <w:div w:id="139150214">
      <w:bodyDiv w:val="1"/>
      <w:marLeft w:val="0"/>
      <w:marRight w:val="0"/>
      <w:marTop w:val="0"/>
      <w:marBottom w:val="0"/>
      <w:divBdr>
        <w:top w:val="none" w:sz="0" w:space="0" w:color="auto"/>
        <w:left w:val="none" w:sz="0" w:space="0" w:color="auto"/>
        <w:bottom w:val="none" w:sz="0" w:space="0" w:color="auto"/>
        <w:right w:val="none" w:sz="0" w:space="0" w:color="auto"/>
      </w:divBdr>
    </w:div>
    <w:div w:id="139269261">
      <w:bodyDiv w:val="1"/>
      <w:marLeft w:val="0"/>
      <w:marRight w:val="0"/>
      <w:marTop w:val="0"/>
      <w:marBottom w:val="0"/>
      <w:divBdr>
        <w:top w:val="none" w:sz="0" w:space="0" w:color="auto"/>
        <w:left w:val="none" w:sz="0" w:space="0" w:color="auto"/>
        <w:bottom w:val="none" w:sz="0" w:space="0" w:color="auto"/>
        <w:right w:val="none" w:sz="0" w:space="0" w:color="auto"/>
      </w:divBdr>
    </w:div>
    <w:div w:id="139272090">
      <w:bodyDiv w:val="1"/>
      <w:marLeft w:val="0"/>
      <w:marRight w:val="0"/>
      <w:marTop w:val="0"/>
      <w:marBottom w:val="0"/>
      <w:divBdr>
        <w:top w:val="none" w:sz="0" w:space="0" w:color="auto"/>
        <w:left w:val="none" w:sz="0" w:space="0" w:color="auto"/>
        <w:bottom w:val="none" w:sz="0" w:space="0" w:color="auto"/>
        <w:right w:val="none" w:sz="0" w:space="0" w:color="auto"/>
      </w:divBdr>
    </w:div>
    <w:div w:id="139275069">
      <w:bodyDiv w:val="1"/>
      <w:marLeft w:val="0"/>
      <w:marRight w:val="0"/>
      <w:marTop w:val="0"/>
      <w:marBottom w:val="0"/>
      <w:divBdr>
        <w:top w:val="none" w:sz="0" w:space="0" w:color="auto"/>
        <w:left w:val="none" w:sz="0" w:space="0" w:color="auto"/>
        <w:bottom w:val="none" w:sz="0" w:space="0" w:color="auto"/>
        <w:right w:val="none" w:sz="0" w:space="0" w:color="auto"/>
      </w:divBdr>
    </w:div>
    <w:div w:id="139467647">
      <w:bodyDiv w:val="1"/>
      <w:marLeft w:val="0"/>
      <w:marRight w:val="0"/>
      <w:marTop w:val="0"/>
      <w:marBottom w:val="0"/>
      <w:divBdr>
        <w:top w:val="none" w:sz="0" w:space="0" w:color="auto"/>
        <w:left w:val="none" w:sz="0" w:space="0" w:color="auto"/>
        <w:bottom w:val="none" w:sz="0" w:space="0" w:color="auto"/>
        <w:right w:val="none" w:sz="0" w:space="0" w:color="auto"/>
      </w:divBdr>
    </w:div>
    <w:div w:id="139738182">
      <w:bodyDiv w:val="1"/>
      <w:marLeft w:val="0"/>
      <w:marRight w:val="0"/>
      <w:marTop w:val="0"/>
      <w:marBottom w:val="0"/>
      <w:divBdr>
        <w:top w:val="none" w:sz="0" w:space="0" w:color="auto"/>
        <w:left w:val="none" w:sz="0" w:space="0" w:color="auto"/>
        <w:bottom w:val="none" w:sz="0" w:space="0" w:color="auto"/>
        <w:right w:val="none" w:sz="0" w:space="0" w:color="auto"/>
      </w:divBdr>
    </w:div>
    <w:div w:id="139814351">
      <w:bodyDiv w:val="1"/>
      <w:marLeft w:val="0"/>
      <w:marRight w:val="0"/>
      <w:marTop w:val="0"/>
      <w:marBottom w:val="0"/>
      <w:divBdr>
        <w:top w:val="none" w:sz="0" w:space="0" w:color="auto"/>
        <w:left w:val="none" w:sz="0" w:space="0" w:color="auto"/>
        <w:bottom w:val="none" w:sz="0" w:space="0" w:color="auto"/>
        <w:right w:val="none" w:sz="0" w:space="0" w:color="auto"/>
      </w:divBdr>
    </w:div>
    <w:div w:id="139856333">
      <w:bodyDiv w:val="1"/>
      <w:marLeft w:val="0"/>
      <w:marRight w:val="0"/>
      <w:marTop w:val="0"/>
      <w:marBottom w:val="0"/>
      <w:divBdr>
        <w:top w:val="none" w:sz="0" w:space="0" w:color="auto"/>
        <w:left w:val="none" w:sz="0" w:space="0" w:color="auto"/>
        <w:bottom w:val="none" w:sz="0" w:space="0" w:color="auto"/>
        <w:right w:val="none" w:sz="0" w:space="0" w:color="auto"/>
      </w:divBdr>
    </w:div>
    <w:div w:id="139924089">
      <w:bodyDiv w:val="1"/>
      <w:marLeft w:val="0"/>
      <w:marRight w:val="0"/>
      <w:marTop w:val="0"/>
      <w:marBottom w:val="0"/>
      <w:divBdr>
        <w:top w:val="none" w:sz="0" w:space="0" w:color="auto"/>
        <w:left w:val="none" w:sz="0" w:space="0" w:color="auto"/>
        <w:bottom w:val="none" w:sz="0" w:space="0" w:color="auto"/>
        <w:right w:val="none" w:sz="0" w:space="0" w:color="auto"/>
      </w:divBdr>
    </w:div>
    <w:div w:id="140000200">
      <w:bodyDiv w:val="1"/>
      <w:marLeft w:val="0"/>
      <w:marRight w:val="0"/>
      <w:marTop w:val="0"/>
      <w:marBottom w:val="0"/>
      <w:divBdr>
        <w:top w:val="none" w:sz="0" w:space="0" w:color="auto"/>
        <w:left w:val="none" w:sz="0" w:space="0" w:color="auto"/>
        <w:bottom w:val="none" w:sz="0" w:space="0" w:color="auto"/>
        <w:right w:val="none" w:sz="0" w:space="0" w:color="auto"/>
      </w:divBdr>
    </w:div>
    <w:div w:id="140008278">
      <w:bodyDiv w:val="1"/>
      <w:marLeft w:val="0"/>
      <w:marRight w:val="0"/>
      <w:marTop w:val="0"/>
      <w:marBottom w:val="0"/>
      <w:divBdr>
        <w:top w:val="none" w:sz="0" w:space="0" w:color="auto"/>
        <w:left w:val="none" w:sz="0" w:space="0" w:color="auto"/>
        <w:bottom w:val="none" w:sz="0" w:space="0" w:color="auto"/>
        <w:right w:val="none" w:sz="0" w:space="0" w:color="auto"/>
      </w:divBdr>
    </w:div>
    <w:div w:id="140118072">
      <w:bodyDiv w:val="1"/>
      <w:marLeft w:val="0"/>
      <w:marRight w:val="0"/>
      <w:marTop w:val="0"/>
      <w:marBottom w:val="0"/>
      <w:divBdr>
        <w:top w:val="none" w:sz="0" w:space="0" w:color="auto"/>
        <w:left w:val="none" w:sz="0" w:space="0" w:color="auto"/>
        <w:bottom w:val="none" w:sz="0" w:space="0" w:color="auto"/>
        <w:right w:val="none" w:sz="0" w:space="0" w:color="auto"/>
      </w:divBdr>
    </w:div>
    <w:div w:id="140193945">
      <w:bodyDiv w:val="1"/>
      <w:marLeft w:val="0"/>
      <w:marRight w:val="0"/>
      <w:marTop w:val="0"/>
      <w:marBottom w:val="0"/>
      <w:divBdr>
        <w:top w:val="none" w:sz="0" w:space="0" w:color="auto"/>
        <w:left w:val="none" w:sz="0" w:space="0" w:color="auto"/>
        <w:bottom w:val="none" w:sz="0" w:space="0" w:color="auto"/>
        <w:right w:val="none" w:sz="0" w:space="0" w:color="auto"/>
      </w:divBdr>
    </w:div>
    <w:div w:id="140194125">
      <w:bodyDiv w:val="1"/>
      <w:marLeft w:val="0"/>
      <w:marRight w:val="0"/>
      <w:marTop w:val="0"/>
      <w:marBottom w:val="0"/>
      <w:divBdr>
        <w:top w:val="none" w:sz="0" w:space="0" w:color="auto"/>
        <w:left w:val="none" w:sz="0" w:space="0" w:color="auto"/>
        <w:bottom w:val="none" w:sz="0" w:space="0" w:color="auto"/>
        <w:right w:val="none" w:sz="0" w:space="0" w:color="auto"/>
      </w:divBdr>
    </w:div>
    <w:div w:id="140387761">
      <w:bodyDiv w:val="1"/>
      <w:marLeft w:val="0"/>
      <w:marRight w:val="0"/>
      <w:marTop w:val="0"/>
      <w:marBottom w:val="0"/>
      <w:divBdr>
        <w:top w:val="none" w:sz="0" w:space="0" w:color="auto"/>
        <w:left w:val="none" w:sz="0" w:space="0" w:color="auto"/>
        <w:bottom w:val="none" w:sz="0" w:space="0" w:color="auto"/>
        <w:right w:val="none" w:sz="0" w:space="0" w:color="auto"/>
      </w:divBdr>
    </w:div>
    <w:div w:id="140389821">
      <w:bodyDiv w:val="1"/>
      <w:marLeft w:val="0"/>
      <w:marRight w:val="0"/>
      <w:marTop w:val="0"/>
      <w:marBottom w:val="0"/>
      <w:divBdr>
        <w:top w:val="none" w:sz="0" w:space="0" w:color="auto"/>
        <w:left w:val="none" w:sz="0" w:space="0" w:color="auto"/>
        <w:bottom w:val="none" w:sz="0" w:space="0" w:color="auto"/>
        <w:right w:val="none" w:sz="0" w:space="0" w:color="auto"/>
      </w:divBdr>
    </w:div>
    <w:div w:id="140537980">
      <w:bodyDiv w:val="1"/>
      <w:marLeft w:val="0"/>
      <w:marRight w:val="0"/>
      <w:marTop w:val="0"/>
      <w:marBottom w:val="0"/>
      <w:divBdr>
        <w:top w:val="none" w:sz="0" w:space="0" w:color="auto"/>
        <w:left w:val="none" w:sz="0" w:space="0" w:color="auto"/>
        <w:bottom w:val="none" w:sz="0" w:space="0" w:color="auto"/>
        <w:right w:val="none" w:sz="0" w:space="0" w:color="auto"/>
      </w:divBdr>
    </w:div>
    <w:div w:id="140657858">
      <w:bodyDiv w:val="1"/>
      <w:marLeft w:val="0"/>
      <w:marRight w:val="0"/>
      <w:marTop w:val="0"/>
      <w:marBottom w:val="0"/>
      <w:divBdr>
        <w:top w:val="none" w:sz="0" w:space="0" w:color="auto"/>
        <w:left w:val="none" w:sz="0" w:space="0" w:color="auto"/>
        <w:bottom w:val="none" w:sz="0" w:space="0" w:color="auto"/>
        <w:right w:val="none" w:sz="0" w:space="0" w:color="auto"/>
      </w:divBdr>
    </w:div>
    <w:div w:id="140729680">
      <w:bodyDiv w:val="1"/>
      <w:marLeft w:val="0"/>
      <w:marRight w:val="0"/>
      <w:marTop w:val="0"/>
      <w:marBottom w:val="0"/>
      <w:divBdr>
        <w:top w:val="none" w:sz="0" w:space="0" w:color="auto"/>
        <w:left w:val="none" w:sz="0" w:space="0" w:color="auto"/>
        <w:bottom w:val="none" w:sz="0" w:space="0" w:color="auto"/>
        <w:right w:val="none" w:sz="0" w:space="0" w:color="auto"/>
      </w:divBdr>
    </w:div>
    <w:div w:id="140733674">
      <w:bodyDiv w:val="1"/>
      <w:marLeft w:val="0"/>
      <w:marRight w:val="0"/>
      <w:marTop w:val="0"/>
      <w:marBottom w:val="0"/>
      <w:divBdr>
        <w:top w:val="none" w:sz="0" w:space="0" w:color="auto"/>
        <w:left w:val="none" w:sz="0" w:space="0" w:color="auto"/>
        <w:bottom w:val="none" w:sz="0" w:space="0" w:color="auto"/>
        <w:right w:val="none" w:sz="0" w:space="0" w:color="auto"/>
      </w:divBdr>
    </w:div>
    <w:div w:id="140734049">
      <w:bodyDiv w:val="1"/>
      <w:marLeft w:val="0"/>
      <w:marRight w:val="0"/>
      <w:marTop w:val="0"/>
      <w:marBottom w:val="0"/>
      <w:divBdr>
        <w:top w:val="none" w:sz="0" w:space="0" w:color="auto"/>
        <w:left w:val="none" w:sz="0" w:space="0" w:color="auto"/>
        <w:bottom w:val="none" w:sz="0" w:space="0" w:color="auto"/>
        <w:right w:val="none" w:sz="0" w:space="0" w:color="auto"/>
      </w:divBdr>
    </w:div>
    <w:div w:id="140734195">
      <w:bodyDiv w:val="1"/>
      <w:marLeft w:val="0"/>
      <w:marRight w:val="0"/>
      <w:marTop w:val="0"/>
      <w:marBottom w:val="0"/>
      <w:divBdr>
        <w:top w:val="none" w:sz="0" w:space="0" w:color="auto"/>
        <w:left w:val="none" w:sz="0" w:space="0" w:color="auto"/>
        <w:bottom w:val="none" w:sz="0" w:space="0" w:color="auto"/>
        <w:right w:val="none" w:sz="0" w:space="0" w:color="auto"/>
      </w:divBdr>
    </w:div>
    <w:div w:id="140737851">
      <w:bodyDiv w:val="1"/>
      <w:marLeft w:val="0"/>
      <w:marRight w:val="0"/>
      <w:marTop w:val="0"/>
      <w:marBottom w:val="0"/>
      <w:divBdr>
        <w:top w:val="none" w:sz="0" w:space="0" w:color="auto"/>
        <w:left w:val="none" w:sz="0" w:space="0" w:color="auto"/>
        <w:bottom w:val="none" w:sz="0" w:space="0" w:color="auto"/>
        <w:right w:val="none" w:sz="0" w:space="0" w:color="auto"/>
      </w:divBdr>
    </w:div>
    <w:div w:id="140776735">
      <w:bodyDiv w:val="1"/>
      <w:marLeft w:val="0"/>
      <w:marRight w:val="0"/>
      <w:marTop w:val="0"/>
      <w:marBottom w:val="0"/>
      <w:divBdr>
        <w:top w:val="none" w:sz="0" w:space="0" w:color="auto"/>
        <w:left w:val="none" w:sz="0" w:space="0" w:color="auto"/>
        <w:bottom w:val="none" w:sz="0" w:space="0" w:color="auto"/>
        <w:right w:val="none" w:sz="0" w:space="0" w:color="auto"/>
      </w:divBdr>
    </w:div>
    <w:div w:id="140778824">
      <w:bodyDiv w:val="1"/>
      <w:marLeft w:val="0"/>
      <w:marRight w:val="0"/>
      <w:marTop w:val="0"/>
      <w:marBottom w:val="0"/>
      <w:divBdr>
        <w:top w:val="none" w:sz="0" w:space="0" w:color="auto"/>
        <w:left w:val="none" w:sz="0" w:space="0" w:color="auto"/>
        <w:bottom w:val="none" w:sz="0" w:space="0" w:color="auto"/>
        <w:right w:val="none" w:sz="0" w:space="0" w:color="auto"/>
      </w:divBdr>
    </w:div>
    <w:div w:id="140854827">
      <w:bodyDiv w:val="1"/>
      <w:marLeft w:val="0"/>
      <w:marRight w:val="0"/>
      <w:marTop w:val="0"/>
      <w:marBottom w:val="0"/>
      <w:divBdr>
        <w:top w:val="none" w:sz="0" w:space="0" w:color="auto"/>
        <w:left w:val="none" w:sz="0" w:space="0" w:color="auto"/>
        <w:bottom w:val="none" w:sz="0" w:space="0" w:color="auto"/>
        <w:right w:val="none" w:sz="0" w:space="0" w:color="auto"/>
      </w:divBdr>
    </w:div>
    <w:div w:id="140968725">
      <w:bodyDiv w:val="1"/>
      <w:marLeft w:val="0"/>
      <w:marRight w:val="0"/>
      <w:marTop w:val="0"/>
      <w:marBottom w:val="0"/>
      <w:divBdr>
        <w:top w:val="none" w:sz="0" w:space="0" w:color="auto"/>
        <w:left w:val="none" w:sz="0" w:space="0" w:color="auto"/>
        <w:bottom w:val="none" w:sz="0" w:space="0" w:color="auto"/>
        <w:right w:val="none" w:sz="0" w:space="0" w:color="auto"/>
      </w:divBdr>
    </w:div>
    <w:div w:id="141045502">
      <w:bodyDiv w:val="1"/>
      <w:marLeft w:val="0"/>
      <w:marRight w:val="0"/>
      <w:marTop w:val="0"/>
      <w:marBottom w:val="0"/>
      <w:divBdr>
        <w:top w:val="none" w:sz="0" w:space="0" w:color="auto"/>
        <w:left w:val="none" w:sz="0" w:space="0" w:color="auto"/>
        <w:bottom w:val="none" w:sz="0" w:space="0" w:color="auto"/>
        <w:right w:val="none" w:sz="0" w:space="0" w:color="auto"/>
      </w:divBdr>
    </w:div>
    <w:div w:id="141193622">
      <w:bodyDiv w:val="1"/>
      <w:marLeft w:val="0"/>
      <w:marRight w:val="0"/>
      <w:marTop w:val="0"/>
      <w:marBottom w:val="0"/>
      <w:divBdr>
        <w:top w:val="none" w:sz="0" w:space="0" w:color="auto"/>
        <w:left w:val="none" w:sz="0" w:space="0" w:color="auto"/>
        <w:bottom w:val="none" w:sz="0" w:space="0" w:color="auto"/>
        <w:right w:val="none" w:sz="0" w:space="0" w:color="auto"/>
      </w:divBdr>
    </w:div>
    <w:div w:id="141195318">
      <w:bodyDiv w:val="1"/>
      <w:marLeft w:val="0"/>
      <w:marRight w:val="0"/>
      <w:marTop w:val="0"/>
      <w:marBottom w:val="0"/>
      <w:divBdr>
        <w:top w:val="none" w:sz="0" w:space="0" w:color="auto"/>
        <w:left w:val="none" w:sz="0" w:space="0" w:color="auto"/>
        <w:bottom w:val="none" w:sz="0" w:space="0" w:color="auto"/>
        <w:right w:val="none" w:sz="0" w:space="0" w:color="auto"/>
      </w:divBdr>
    </w:div>
    <w:div w:id="141196041">
      <w:bodyDiv w:val="1"/>
      <w:marLeft w:val="0"/>
      <w:marRight w:val="0"/>
      <w:marTop w:val="0"/>
      <w:marBottom w:val="0"/>
      <w:divBdr>
        <w:top w:val="none" w:sz="0" w:space="0" w:color="auto"/>
        <w:left w:val="none" w:sz="0" w:space="0" w:color="auto"/>
        <w:bottom w:val="none" w:sz="0" w:space="0" w:color="auto"/>
        <w:right w:val="none" w:sz="0" w:space="0" w:color="auto"/>
      </w:divBdr>
    </w:div>
    <w:div w:id="141312530">
      <w:bodyDiv w:val="1"/>
      <w:marLeft w:val="0"/>
      <w:marRight w:val="0"/>
      <w:marTop w:val="0"/>
      <w:marBottom w:val="0"/>
      <w:divBdr>
        <w:top w:val="none" w:sz="0" w:space="0" w:color="auto"/>
        <w:left w:val="none" w:sz="0" w:space="0" w:color="auto"/>
        <w:bottom w:val="none" w:sz="0" w:space="0" w:color="auto"/>
        <w:right w:val="none" w:sz="0" w:space="0" w:color="auto"/>
      </w:divBdr>
    </w:div>
    <w:div w:id="141387814">
      <w:bodyDiv w:val="1"/>
      <w:marLeft w:val="0"/>
      <w:marRight w:val="0"/>
      <w:marTop w:val="0"/>
      <w:marBottom w:val="0"/>
      <w:divBdr>
        <w:top w:val="none" w:sz="0" w:space="0" w:color="auto"/>
        <w:left w:val="none" w:sz="0" w:space="0" w:color="auto"/>
        <w:bottom w:val="none" w:sz="0" w:space="0" w:color="auto"/>
        <w:right w:val="none" w:sz="0" w:space="0" w:color="auto"/>
      </w:divBdr>
    </w:div>
    <w:div w:id="141391318">
      <w:bodyDiv w:val="1"/>
      <w:marLeft w:val="0"/>
      <w:marRight w:val="0"/>
      <w:marTop w:val="0"/>
      <w:marBottom w:val="0"/>
      <w:divBdr>
        <w:top w:val="none" w:sz="0" w:space="0" w:color="auto"/>
        <w:left w:val="none" w:sz="0" w:space="0" w:color="auto"/>
        <w:bottom w:val="none" w:sz="0" w:space="0" w:color="auto"/>
        <w:right w:val="none" w:sz="0" w:space="0" w:color="auto"/>
      </w:divBdr>
    </w:div>
    <w:div w:id="141393148">
      <w:bodyDiv w:val="1"/>
      <w:marLeft w:val="0"/>
      <w:marRight w:val="0"/>
      <w:marTop w:val="0"/>
      <w:marBottom w:val="0"/>
      <w:divBdr>
        <w:top w:val="none" w:sz="0" w:space="0" w:color="auto"/>
        <w:left w:val="none" w:sz="0" w:space="0" w:color="auto"/>
        <w:bottom w:val="none" w:sz="0" w:space="0" w:color="auto"/>
        <w:right w:val="none" w:sz="0" w:space="0" w:color="auto"/>
      </w:divBdr>
    </w:div>
    <w:div w:id="141503250">
      <w:bodyDiv w:val="1"/>
      <w:marLeft w:val="0"/>
      <w:marRight w:val="0"/>
      <w:marTop w:val="0"/>
      <w:marBottom w:val="0"/>
      <w:divBdr>
        <w:top w:val="none" w:sz="0" w:space="0" w:color="auto"/>
        <w:left w:val="none" w:sz="0" w:space="0" w:color="auto"/>
        <w:bottom w:val="none" w:sz="0" w:space="0" w:color="auto"/>
        <w:right w:val="none" w:sz="0" w:space="0" w:color="auto"/>
      </w:divBdr>
    </w:div>
    <w:div w:id="141578687">
      <w:bodyDiv w:val="1"/>
      <w:marLeft w:val="0"/>
      <w:marRight w:val="0"/>
      <w:marTop w:val="0"/>
      <w:marBottom w:val="0"/>
      <w:divBdr>
        <w:top w:val="none" w:sz="0" w:space="0" w:color="auto"/>
        <w:left w:val="none" w:sz="0" w:space="0" w:color="auto"/>
        <w:bottom w:val="none" w:sz="0" w:space="0" w:color="auto"/>
        <w:right w:val="none" w:sz="0" w:space="0" w:color="auto"/>
      </w:divBdr>
    </w:div>
    <w:div w:id="141623503">
      <w:bodyDiv w:val="1"/>
      <w:marLeft w:val="0"/>
      <w:marRight w:val="0"/>
      <w:marTop w:val="0"/>
      <w:marBottom w:val="0"/>
      <w:divBdr>
        <w:top w:val="none" w:sz="0" w:space="0" w:color="auto"/>
        <w:left w:val="none" w:sz="0" w:space="0" w:color="auto"/>
        <w:bottom w:val="none" w:sz="0" w:space="0" w:color="auto"/>
        <w:right w:val="none" w:sz="0" w:space="0" w:color="auto"/>
      </w:divBdr>
    </w:div>
    <w:div w:id="141624694">
      <w:bodyDiv w:val="1"/>
      <w:marLeft w:val="0"/>
      <w:marRight w:val="0"/>
      <w:marTop w:val="0"/>
      <w:marBottom w:val="0"/>
      <w:divBdr>
        <w:top w:val="none" w:sz="0" w:space="0" w:color="auto"/>
        <w:left w:val="none" w:sz="0" w:space="0" w:color="auto"/>
        <w:bottom w:val="none" w:sz="0" w:space="0" w:color="auto"/>
        <w:right w:val="none" w:sz="0" w:space="0" w:color="auto"/>
      </w:divBdr>
    </w:div>
    <w:div w:id="141627682">
      <w:bodyDiv w:val="1"/>
      <w:marLeft w:val="0"/>
      <w:marRight w:val="0"/>
      <w:marTop w:val="0"/>
      <w:marBottom w:val="0"/>
      <w:divBdr>
        <w:top w:val="none" w:sz="0" w:space="0" w:color="auto"/>
        <w:left w:val="none" w:sz="0" w:space="0" w:color="auto"/>
        <w:bottom w:val="none" w:sz="0" w:space="0" w:color="auto"/>
        <w:right w:val="none" w:sz="0" w:space="0" w:color="auto"/>
      </w:divBdr>
    </w:div>
    <w:div w:id="141696693">
      <w:bodyDiv w:val="1"/>
      <w:marLeft w:val="0"/>
      <w:marRight w:val="0"/>
      <w:marTop w:val="0"/>
      <w:marBottom w:val="0"/>
      <w:divBdr>
        <w:top w:val="none" w:sz="0" w:space="0" w:color="auto"/>
        <w:left w:val="none" w:sz="0" w:space="0" w:color="auto"/>
        <w:bottom w:val="none" w:sz="0" w:space="0" w:color="auto"/>
        <w:right w:val="none" w:sz="0" w:space="0" w:color="auto"/>
      </w:divBdr>
    </w:div>
    <w:div w:id="141848426">
      <w:bodyDiv w:val="1"/>
      <w:marLeft w:val="0"/>
      <w:marRight w:val="0"/>
      <w:marTop w:val="0"/>
      <w:marBottom w:val="0"/>
      <w:divBdr>
        <w:top w:val="none" w:sz="0" w:space="0" w:color="auto"/>
        <w:left w:val="none" w:sz="0" w:space="0" w:color="auto"/>
        <w:bottom w:val="none" w:sz="0" w:space="0" w:color="auto"/>
        <w:right w:val="none" w:sz="0" w:space="0" w:color="auto"/>
      </w:divBdr>
    </w:div>
    <w:div w:id="141895033">
      <w:bodyDiv w:val="1"/>
      <w:marLeft w:val="0"/>
      <w:marRight w:val="0"/>
      <w:marTop w:val="0"/>
      <w:marBottom w:val="0"/>
      <w:divBdr>
        <w:top w:val="none" w:sz="0" w:space="0" w:color="auto"/>
        <w:left w:val="none" w:sz="0" w:space="0" w:color="auto"/>
        <w:bottom w:val="none" w:sz="0" w:space="0" w:color="auto"/>
        <w:right w:val="none" w:sz="0" w:space="0" w:color="auto"/>
      </w:divBdr>
    </w:div>
    <w:div w:id="142041251">
      <w:bodyDiv w:val="1"/>
      <w:marLeft w:val="0"/>
      <w:marRight w:val="0"/>
      <w:marTop w:val="0"/>
      <w:marBottom w:val="0"/>
      <w:divBdr>
        <w:top w:val="none" w:sz="0" w:space="0" w:color="auto"/>
        <w:left w:val="none" w:sz="0" w:space="0" w:color="auto"/>
        <w:bottom w:val="none" w:sz="0" w:space="0" w:color="auto"/>
        <w:right w:val="none" w:sz="0" w:space="0" w:color="auto"/>
      </w:divBdr>
    </w:div>
    <w:div w:id="142042996">
      <w:bodyDiv w:val="1"/>
      <w:marLeft w:val="0"/>
      <w:marRight w:val="0"/>
      <w:marTop w:val="0"/>
      <w:marBottom w:val="0"/>
      <w:divBdr>
        <w:top w:val="none" w:sz="0" w:space="0" w:color="auto"/>
        <w:left w:val="none" w:sz="0" w:space="0" w:color="auto"/>
        <w:bottom w:val="none" w:sz="0" w:space="0" w:color="auto"/>
        <w:right w:val="none" w:sz="0" w:space="0" w:color="auto"/>
      </w:divBdr>
    </w:div>
    <w:div w:id="142086006">
      <w:bodyDiv w:val="1"/>
      <w:marLeft w:val="0"/>
      <w:marRight w:val="0"/>
      <w:marTop w:val="0"/>
      <w:marBottom w:val="0"/>
      <w:divBdr>
        <w:top w:val="none" w:sz="0" w:space="0" w:color="auto"/>
        <w:left w:val="none" w:sz="0" w:space="0" w:color="auto"/>
        <w:bottom w:val="none" w:sz="0" w:space="0" w:color="auto"/>
        <w:right w:val="none" w:sz="0" w:space="0" w:color="auto"/>
      </w:divBdr>
    </w:div>
    <w:div w:id="142160686">
      <w:bodyDiv w:val="1"/>
      <w:marLeft w:val="0"/>
      <w:marRight w:val="0"/>
      <w:marTop w:val="0"/>
      <w:marBottom w:val="0"/>
      <w:divBdr>
        <w:top w:val="none" w:sz="0" w:space="0" w:color="auto"/>
        <w:left w:val="none" w:sz="0" w:space="0" w:color="auto"/>
        <w:bottom w:val="none" w:sz="0" w:space="0" w:color="auto"/>
        <w:right w:val="none" w:sz="0" w:space="0" w:color="auto"/>
      </w:divBdr>
    </w:div>
    <w:div w:id="142236690">
      <w:bodyDiv w:val="1"/>
      <w:marLeft w:val="0"/>
      <w:marRight w:val="0"/>
      <w:marTop w:val="0"/>
      <w:marBottom w:val="0"/>
      <w:divBdr>
        <w:top w:val="none" w:sz="0" w:space="0" w:color="auto"/>
        <w:left w:val="none" w:sz="0" w:space="0" w:color="auto"/>
        <w:bottom w:val="none" w:sz="0" w:space="0" w:color="auto"/>
        <w:right w:val="none" w:sz="0" w:space="0" w:color="auto"/>
      </w:divBdr>
    </w:div>
    <w:div w:id="142284386">
      <w:bodyDiv w:val="1"/>
      <w:marLeft w:val="0"/>
      <w:marRight w:val="0"/>
      <w:marTop w:val="0"/>
      <w:marBottom w:val="0"/>
      <w:divBdr>
        <w:top w:val="none" w:sz="0" w:space="0" w:color="auto"/>
        <w:left w:val="none" w:sz="0" w:space="0" w:color="auto"/>
        <w:bottom w:val="none" w:sz="0" w:space="0" w:color="auto"/>
        <w:right w:val="none" w:sz="0" w:space="0" w:color="auto"/>
      </w:divBdr>
    </w:div>
    <w:div w:id="142285251">
      <w:bodyDiv w:val="1"/>
      <w:marLeft w:val="0"/>
      <w:marRight w:val="0"/>
      <w:marTop w:val="0"/>
      <w:marBottom w:val="0"/>
      <w:divBdr>
        <w:top w:val="none" w:sz="0" w:space="0" w:color="auto"/>
        <w:left w:val="none" w:sz="0" w:space="0" w:color="auto"/>
        <w:bottom w:val="none" w:sz="0" w:space="0" w:color="auto"/>
        <w:right w:val="none" w:sz="0" w:space="0" w:color="auto"/>
      </w:divBdr>
    </w:div>
    <w:div w:id="142431742">
      <w:bodyDiv w:val="1"/>
      <w:marLeft w:val="0"/>
      <w:marRight w:val="0"/>
      <w:marTop w:val="0"/>
      <w:marBottom w:val="0"/>
      <w:divBdr>
        <w:top w:val="none" w:sz="0" w:space="0" w:color="auto"/>
        <w:left w:val="none" w:sz="0" w:space="0" w:color="auto"/>
        <w:bottom w:val="none" w:sz="0" w:space="0" w:color="auto"/>
        <w:right w:val="none" w:sz="0" w:space="0" w:color="auto"/>
      </w:divBdr>
    </w:div>
    <w:div w:id="142503927">
      <w:bodyDiv w:val="1"/>
      <w:marLeft w:val="0"/>
      <w:marRight w:val="0"/>
      <w:marTop w:val="0"/>
      <w:marBottom w:val="0"/>
      <w:divBdr>
        <w:top w:val="none" w:sz="0" w:space="0" w:color="auto"/>
        <w:left w:val="none" w:sz="0" w:space="0" w:color="auto"/>
        <w:bottom w:val="none" w:sz="0" w:space="0" w:color="auto"/>
        <w:right w:val="none" w:sz="0" w:space="0" w:color="auto"/>
      </w:divBdr>
    </w:div>
    <w:div w:id="142619804">
      <w:bodyDiv w:val="1"/>
      <w:marLeft w:val="0"/>
      <w:marRight w:val="0"/>
      <w:marTop w:val="0"/>
      <w:marBottom w:val="0"/>
      <w:divBdr>
        <w:top w:val="none" w:sz="0" w:space="0" w:color="auto"/>
        <w:left w:val="none" w:sz="0" w:space="0" w:color="auto"/>
        <w:bottom w:val="none" w:sz="0" w:space="0" w:color="auto"/>
        <w:right w:val="none" w:sz="0" w:space="0" w:color="auto"/>
      </w:divBdr>
    </w:div>
    <w:div w:id="142620187">
      <w:bodyDiv w:val="1"/>
      <w:marLeft w:val="0"/>
      <w:marRight w:val="0"/>
      <w:marTop w:val="0"/>
      <w:marBottom w:val="0"/>
      <w:divBdr>
        <w:top w:val="none" w:sz="0" w:space="0" w:color="auto"/>
        <w:left w:val="none" w:sz="0" w:space="0" w:color="auto"/>
        <w:bottom w:val="none" w:sz="0" w:space="0" w:color="auto"/>
        <w:right w:val="none" w:sz="0" w:space="0" w:color="auto"/>
      </w:divBdr>
    </w:div>
    <w:div w:id="142699832">
      <w:bodyDiv w:val="1"/>
      <w:marLeft w:val="0"/>
      <w:marRight w:val="0"/>
      <w:marTop w:val="0"/>
      <w:marBottom w:val="0"/>
      <w:divBdr>
        <w:top w:val="none" w:sz="0" w:space="0" w:color="auto"/>
        <w:left w:val="none" w:sz="0" w:space="0" w:color="auto"/>
        <w:bottom w:val="none" w:sz="0" w:space="0" w:color="auto"/>
        <w:right w:val="none" w:sz="0" w:space="0" w:color="auto"/>
      </w:divBdr>
    </w:div>
    <w:div w:id="142741094">
      <w:bodyDiv w:val="1"/>
      <w:marLeft w:val="0"/>
      <w:marRight w:val="0"/>
      <w:marTop w:val="0"/>
      <w:marBottom w:val="0"/>
      <w:divBdr>
        <w:top w:val="none" w:sz="0" w:space="0" w:color="auto"/>
        <w:left w:val="none" w:sz="0" w:space="0" w:color="auto"/>
        <w:bottom w:val="none" w:sz="0" w:space="0" w:color="auto"/>
        <w:right w:val="none" w:sz="0" w:space="0" w:color="auto"/>
      </w:divBdr>
    </w:div>
    <w:div w:id="142744442">
      <w:bodyDiv w:val="1"/>
      <w:marLeft w:val="0"/>
      <w:marRight w:val="0"/>
      <w:marTop w:val="0"/>
      <w:marBottom w:val="0"/>
      <w:divBdr>
        <w:top w:val="none" w:sz="0" w:space="0" w:color="auto"/>
        <w:left w:val="none" w:sz="0" w:space="0" w:color="auto"/>
        <w:bottom w:val="none" w:sz="0" w:space="0" w:color="auto"/>
        <w:right w:val="none" w:sz="0" w:space="0" w:color="auto"/>
      </w:divBdr>
    </w:div>
    <w:div w:id="142745732">
      <w:bodyDiv w:val="1"/>
      <w:marLeft w:val="0"/>
      <w:marRight w:val="0"/>
      <w:marTop w:val="0"/>
      <w:marBottom w:val="0"/>
      <w:divBdr>
        <w:top w:val="none" w:sz="0" w:space="0" w:color="auto"/>
        <w:left w:val="none" w:sz="0" w:space="0" w:color="auto"/>
        <w:bottom w:val="none" w:sz="0" w:space="0" w:color="auto"/>
        <w:right w:val="none" w:sz="0" w:space="0" w:color="auto"/>
      </w:divBdr>
    </w:div>
    <w:div w:id="142896002">
      <w:bodyDiv w:val="1"/>
      <w:marLeft w:val="0"/>
      <w:marRight w:val="0"/>
      <w:marTop w:val="0"/>
      <w:marBottom w:val="0"/>
      <w:divBdr>
        <w:top w:val="none" w:sz="0" w:space="0" w:color="auto"/>
        <w:left w:val="none" w:sz="0" w:space="0" w:color="auto"/>
        <w:bottom w:val="none" w:sz="0" w:space="0" w:color="auto"/>
        <w:right w:val="none" w:sz="0" w:space="0" w:color="auto"/>
      </w:divBdr>
    </w:div>
    <w:div w:id="143011298">
      <w:bodyDiv w:val="1"/>
      <w:marLeft w:val="0"/>
      <w:marRight w:val="0"/>
      <w:marTop w:val="0"/>
      <w:marBottom w:val="0"/>
      <w:divBdr>
        <w:top w:val="none" w:sz="0" w:space="0" w:color="auto"/>
        <w:left w:val="none" w:sz="0" w:space="0" w:color="auto"/>
        <w:bottom w:val="none" w:sz="0" w:space="0" w:color="auto"/>
        <w:right w:val="none" w:sz="0" w:space="0" w:color="auto"/>
      </w:divBdr>
    </w:div>
    <w:div w:id="143091415">
      <w:bodyDiv w:val="1"/>
      <w:marLeft w:val="0"/>
      <w:marRight w:val="0"/>
      <w:marTop w:val="0"/>
      <w:marBottom w:val="0"/>
      <w:divBdr>
        <w:top w:val="none" w:sz="0" w:space="0" w:color="auto"/>
        <w:left w:val="none" w:sz="0" w:space="0" w:color="auto"/>
        <w:bottom w:val="none" w:sz="0" w:space="0" w:color="auto"/>
        <w:right w:val="none" w:sz="0" w:space="0" w:color="auto"/>
      </w:divBdr>
    </w:div>
    <w:div w:id="143160031">
      <w:bodyDiv w:val="1"/>
      <w:marLeft w:val="0"/>
      <w:marRight w:val="0"/>
      <w:marTop w:val="0"/>
      <w:marBottom w:val="0"/>
      <w:divBdr>
        <w:top w:val="none" w:sz="0" w:space="0" w:color="auto"/>
        <w:left w:val="none" w:sz="0" w:space="0" w:color="auto"/>
        <w:bottom w:val="none" w:sz="0" w:space="0" w:color="auto"/>
        <w:right w:val="none" w:sz="0" w:space="0" w:color="auto"/>
      </w:divBdr>
    </w:div>
    <w:div w:id="143161618">
      <w:bodyDiv w:val="1"/>
      <w:marLeft w:val="0"/>
      <w:marRight w:val="0"/>
      <w:marTop w:val="0"/>
      <w:marBottom w:val="0"/>
      <w:divBdr>
        <w:top w:val="none" w:sz="0" w:space="0" w:color="auto"/>
        <w:left w:val="none" w:sz="0" w:space="0" w:color="auto"/>
        <w:bottom w:val="none" w:sz="0" w:space="0" w:color="auto"/>
        <w:right w:val="none" w:sz="0" w:space="0" w:color="auto"/>
      </w:divBdr>
    </w:div>
    <w:div w:id="143162900">
      <w:bodyDiv w:val="1"/>
      <w:marLeft w:val="0"/>
      <w:marRight w:val="0"/>
      <w:marTop w:val="0"/>
      <w:marBottom w:val="0"/>
      <w:divBdr>
        <w:top w:val="none" w:sz="0" w:space="0" w:color="auto"/>
        <w:left w:val="none" w:sz="0" w:space="0" w:color="auto"/>
        <w:bottom w:val="none" w:sz="0" w:space="0" w:color="auto"/>
        <w:right w:val="none" w:sz="0" w:space="0" w:color="auto"/>
      </w:divBdr>
    </w:div>
    <w:div w:id="143208937">
      <w:bodyDiv w:val="1"/>
      <w:marLeft w:val="0"/>
      <w:marRight w:val="0"/>
      <w:marTop w:val="0"/>
      <w:marBottom w:val="0"/>
      <w:divBdr>
        <w:top w:val="none" w:sz="0" w:space="0" w:color="auto"/>
        <w:left w:val="none" w:sz="0" w:space="0" w:color="auto"/>
        <w:bottom w:val="none" w:sz="0" w:space="0" w:color="auto"/>
        <w:right w:val="none" w:sz="0" w:space="0" w:color="auto"/>
      </w:divBdr>
    </w:div>
    <w:div w:id="143354899">
      <w:bodyDiv w:val="1"/>
      <w:marLeft w:val="0"/>
      <w:marRight w:val="0"/>
      <w:marTop w:val="0"/>
      <w:marBottom w:val="0"/>
      <w:divBdr>
        <w:top w:val="none" w:sz="0" w:space="0" w:color="auto"/>
        <w:left w:val="none" w:sz="0" w:space="0" w:color="auto"/>
        <w:bottom w:val="none" w:sz="0" w:space="0" w:color="auto"/>
        <w:right w:val="none" w:sz="0" w:space="0" w:color="auto"/>
      </w:divBdr>
    </w:div>
    <w:div w:id="143468500">
      <w:bodyDiv w:val="1"/>
      <w:marLeft w:val="0"/>
      <w:marRight w:val="0"/>
      <w:marTop w:val="0"/>
      <w:marBottom w:val="0"/>
      <w:divBdr>
        <w:top w:val="none" w:sz="0" w:space="0" w:color="auto"/>
        <w:left w:val="none" w:sz="0" w:space="0" w:color="auto"/>
        <w:bottom w:val="none" w:sz="0" w:space="0" w:color="auto"/>
        <w:right w:val="none" w:sz="0" w:space="0" w:color="auto"/>
      </w:divBdr>
    </w:div>
    <w:div w:id="143473247">
      <w:bodyDiv w:val="1"/>
      <w:marLeft w:val="0"/>
      <w:marRight w:val="0"/>
      <w:marTop w:val="0"/>
      <w:marBottom w:val="0"/>
      <w:divBdr>
        <w:top w:val="none" w:sz="0" w:space="0" w:color="auto"/>
        <w:left w:val="none" w:sz="0" w:space="0" w:color="auto"/>
        <w:bottom w:val="none" w:sz="0" w:space="0" w:color="auto"/>
        <w:right w:val="none" w:sz="0" w:space="0" w:color="auto"/>
      </w:divBdr>
    </w:div>
    <w:div w:id="143545179">
      <w:bodyDiv w:val="1"/>
      <w:marLeft w:val="0"/>
      <w:marRight w:val="0"/>
      <w:marTop w:val="0"/>
      <w:marBottom w:val="0"/>
      <w:divBdr>
        <w:top w:val="none" w:sz="0" w:space="0" w:color="auto"/>
        <w:left w:val="none" w:sz="0" w:space="0" w:color="auto"/>
        <w:bottom w:val="none" w:sz="0" w:space="0" w:color="auto"/>
        <w:right w:val="none" w:sz="0" w:space="0" w:color="auto"/>
      </w:divBdr>
    </w:div>
    <w:div w:id="143545994">
      <w:bodyDiv w:val="1"/>
      <w:marLeft w:val="0"/>
      <w:marRight w:val="0"/>
      <w:marTop w:val="0"/>
      <w:marBottom w:val="0"/>
      <w:divBdr>
        <w:top w:val="none" w:sz="0" w:space="0" w:color="auto"/>
        <w:left w:val="none" w:sz="0" w:space="0" w:color="auto"/>
        <w:bottom w:val="none" w:sz="0" w:space="0" w:color="auto"/>
        <w:right w:val="none" w:sz="0" w:space="0" w:color="auto"/>
      </w:divBdr>
    </w:div>
    <w:div w:id="143551042">
      <w:bodyDiv w:val="1"/>
      <w:marLeft w:val="0"/>
      <w:marRight w:val="0"/>
      <w:marTop w:val="0"/>
      <w:marBottom w:val="0"/>
      <w:divBdr>
        <w:top w:val="none" w:sz="0" w:space="0" w:color="auto"/>
        <w:left w:val="none" w:sz="0" w:space="0" w:color="auto"/>
        <w:bottom w:val="none" w:sz="0" w:space="0" w:color="auto"/>
        <w:right w:val="none" w:sz="0" w:space="0" w:color="auto"/>
      </w:divBdr>
    </w:div>
    <w:div w:id="143620128">
      <w:bodyDiv w:val="1"/>
      <w:marLeft w:val="0"/>
      <w:marRight w:val="0"/>
      <w:marTop w:val="0"/>
      <w:marBottom w:val="0"/>
      <w:divBdr>
        <w:top w:val="none" w:sz="0" w:space="0" w:color="auto"/>
        <w:left w:val="none" w:sz="0" w:space="0" w:color="auto"/>
        <w:bottom w:val="none" w:sz="0" w:space="0" w:color="auto"/>
        <w:right w:val="none" w:sz="0" w:space="0" w:color="auto"/>
      </w:divBdr>
    </w:div>
    <w:div w:id="143665447">
      <w:bodyDiv w:val="1"/>
      <w:marLeft w:val="0"/>
      <w:marRight w:val="0"/>
      <w:marTop w:val="0"/>
      <w:marBottom w:val="0"/>
      <w:divBdr>
        <w:top w:val="none" w:sz="0" w:space="0" w:color="auto"/>
        <w:left w:val="none" w:sz="0" w:space="0" w:color="auto"/>
        <w:bottom w:val="none" w:sz="0" w:space="0" w:color="auto"/>
        <w:right w:val="none" w:sz="0" w:space="0" w:color="auto"/>
      </w:divBdr>
    </w:div>
    <w:div w:id="143737209">
      <w:bodyDiv w:val="1"/>
      <w:marLeft w:val="0"/>
      <w:marRight w:val="0"/>
      <w:marTop w:val="0"/>
      <w:marBottom w:val="0"/>
      <w:divBdr>
        <w:top w:val="none" w:sz="0" w:space="0" w:color="auto"/>
        <w:left w:val="none" w:sz="0" w:space="0" w:color="auto"/>
        <w:bottom w:val="none" w:sz="0" w:space="0" w:color="auto"/>
        <w:right w:val="none" w:sz="0" w:space="0" w:color="auto"/>
      </w:divBdr>
    </w:div>
    <w:div w:id="143816860">
      <w:bodyDiv w:val="1"/>
      <w:marLeft w:val="0"/>
      <w:marRight w:val="0"/>
      <w:marTop w:val="0"/>
      <w:marBottom w:val="0"/>
      <w:divBdr>
        <w:top w:val="none" w:sz="0" w:space="0" w:color="auto"/>
        <w:left w:val="none" w:sz="0" w:space="0" w:color="auto"/>
        <w:bottom w:val="none" w:sz="0" w:space="0" w:color="auto"/>
        <w:right w:val="none" w:sz="0" w:space="0" w:color="auto"/>
      </w:divBdr>
    </w:div>
    <w:div w:id="143818041">
      <w:bodyDiv w:val="1"/>
      <w:marLeft w:val="0"/>
      <w:marRight w:val="0"/>
      <w:marTop w:val="0"/>
      <w:marBottom w:val="0"/>
      <w:divBdr>
        <w:top w:val="none" w:sz="0" w:space="0" w:color="auto"/>
        <w:left w:val="none" w:sz="0" w:space="0" w:color="auto"/>
        <w:bottom w:val="none" w:sz="0" w:space="0" w:color="auto"/>
        <w:right w:val="none" w:sz="0" w:space="0" w:color="auto"/>
      </w:divBdr>
    </w:div>
    <w:div w:id="144014652">
      <w:bodyDiv w:val="1"/>
      <w:marLeft w:val="0"/>
      <w:marRight w:val="0"/>
      <w:marTop w:val="0"/>
      <w:marBottom w:val="0"/>
      <w:divBdr>
        <w:top w:val="none" w:sz="0" w:space="0" w:color="auto"/>
        <w:left w:val="none" w:sz="0" w:space="0" w:color="auto"/>
        <w:bottom w:val="none" w:sz="0" w:space="0" w:color="auto"/>
        <w:right w:val="none" w:sz="0" w:space="0" w:color="auto"/>
      </w:divBdr>
    </w:div>
    <w:div w:id="144051437">
      <w:bodyDiv w:val="1"/>
      <w:marLeft w:val="0"/>
      <w:marRight w:val="0"/>
      <w:marTop w:val="0"/>
      <w:marBottom w:val="0"/>
      <w:divBdr>
        <w:top w:val="none" w:sz="0" w:space="0" w:color="auto"/>
        <w:left w:val="none" w:sz="0" w:space="0" w:color="auto"/>
        <w:bottom w:val="none" w:sz="0" w:space="0" w:color="auto"/>
        <w:right w:val="none" w:sz="0" w:space="0" w:color="auto"/>
      </w:divBdr>
    </w:div>
    <w:div w:id="144133278">
      <w:bodyDiv w:val="1"/>
      <w:marLeft w:val="0"/>
      <w:marRight w:val="0"/>
      <w:marTop w:val="0"/>
      <w:marBottom w:val="0"/>
      <w:divBdr>
        <w:top w:val="none" w:sz="0" w:space="0" w:color="auto"/>
        <w:left w:val="none" w:sz="0" w:space="0" w:color="auto"/>
        <w:bottom w:val="none" w:sz="0" w:space="0" w:color="auto"/>
        <w:right w:val="none" w:sz="0" w:space="0" w:color="auto"/>
      </w:divBdr>
    </w:div>
    <w:div w:id="144245813">
      <w:bodyDiv w:val="1"/>
      <w:marLeft w:val="0"/>
      <w:marRight w:val="0"/>
      <w:marTop w:val="0"/>
      <w:marBottom w:val="0"/>
      <w:divBdr>
        <w:top w:val="none" w:sz="0" w:space="0" w:color="auto"/>
        <w:left w:val="none" w:sz="0" w:space="0" w:color="auto"/>
        <w:bottom w:val="none" w:sz="0" w:space="0" w:color="auto"/>
        <w:right w:val="none" w:sz="0" w:space="0" w:color="auto"/>
      </w:divBdr>
    </w:div>
    <w:div w:id="144249362">
      <w:bodyDiv w:val="1"/>
      <w:marLeft w:val="0"/>
      <w:marRight w:val="0"/>
      <w:marTop w:val="0"/>
      <w:marBottom w:val="0"/>
      <w:divBdr>
        <w:top w:val="none" w:sz="0" w:space="0" w:color="auto"/>
        <w:left w:val="none" w:sz="0" w:space="0" w:color="auto"/>
        <w:bottom w:val="none" w:sz="0" w:space="0" w:color="auto"/>
        <w:right w:val="none" w:sz="0" w:space="0" w:color="auto"/>
      </w:divBdr>
    </w:div>
    <w:div w:id="144275600">
      <w:bodyDiv w:val="1"/>
      <w:marLeft w:val="0"/>
      <w:marRight w:val="0"/>
      <w:marTop w:val="0"/>
      <w:marBottom w:val="0"/>
      <w:divBdr>
        <w:top w:val="none" w:sz="0" w:space="0" w:color="auto"/>
        <w:left w:val="none" w:sz="0" w:space="0" w:color="auto"/>
        <w:bottom w:val="none" w:sz="0" w:space="0" w:color="auto"/>
        <w:right w:val="none" w:sz="0" w:space="0" w:color="auto"/>
      </w:divBdr>
    </w:div>
    <w:div w:id="144320011">
      <w:bodyDiv w:val="1"/>
      <w:marLeft w:val="0"/>
      <w:marRight w:val="0"/>
      <w:marTop w:val="0"/>
      <w:marBottom w:val="0"/>
      <w:divBdr>
        <w:top w:val="none" w:sz="0" w:space="0" w:color="auto"/>
        <w:left w:val="none" w:sz="0" w:space="0" w:color="auto"/>
        <w:bottom w:val="none" w:sz="0" w:space="0" w:color="auto"/>
        <w:right w:val="none" w:sz="0" w:space="0" w:color="auto"/>
      </w:divBdr>
    </w:div>
    <w:div w:id="144322071">
      <w:bodyDiv w:val="1"/>
      <w:marLeft w:val="0"/>
      <w:marRight w:val="0"/>
      <w:marTop w:val="0"/>
      <w:marBottom w:val="0"/>
      <w:divBdr>
        <w:top w:val="none" w:sz="0" w:space="0" w:color="auto"/>
        <w:left w:val="none" w:sz="0" w:space="0" w:color="auto"/>
        <w:bottom w:val="none" w:sz="0" w:space="0" w:color="auto"/>
        <w:right w:val="none" w:sz="0" w:space="0" w:color="auto"/>
      </w:divBdr>
    </w:div>
    <w:div w:id="144325694">
      <w:bodyDiv w:val="1"/>
      <w:marLeft w:val="0"/>
      <w:marRight w:val="0"/>
      <w:marTop w:val="0"/>
      <w:marBottom w:val="0"/>
      <w:divBdr>
        <w:top w:val="none" w:sz="0" w:space="0" w:color="auto"/>
        <w:left w:val="none" w:sz="0" w:space="0" w:color="auto"/>
        <w:bottom w:val="none" w:sz="0" w:space="0" w:color="auto"/>
        <w:right w:val="none" w:sz="0" w:space="0" w:color="auto"/>
      </w:divBdr>
    </w:div>
    <w:div w:id="144394484">
      <w:bodyDiv w:val="1"/>
      <w:marLeft w:val="0"/>
      <w:marRight w:val="0"/>
      <w:marTop w:val="0"/>
      <w:marBottom w:val="0"/>
      <w:divBdr>
        <w:top w:val="none" w:sz="0" w:space="0" w:color="auto"/>
        <w:left w:val="none" w:sz="0" w:space="0" w:color="auto"/>
        <w:bottom w:val="none" w:sz="0" w:space="0" w:color="auto"/>
        <w:right w:val="none" w:sz="0" w:space="0" w:color="auto"/>
      </w:divBdr>
    </w:div>
    <w:div w:id="144394773">
      <w:bodyDiv w:val="1"/>
      <w:marLeft w:val="0"/>
      <w:marRight w:val="0"/>
      <w:marTop w:val="0"/>
      <w:marBottom w:val="0"/>
      <w:divBdr>
        <w:top w:val="none" w:sz="0" w:space="0" w:color="auto"/>
        <w:left w:val="none" w:sz="0" w:space="0" w:color="auto"/>
        <w:bottom w:val="none" w:sz="0" w:space="0" w:color="auto"/>
        <w:right w:val="none" w:sz="0" w:space="0" w:color="auto"/>
      </w:divBdr>
    </w:div>
    <w:div w:id="144471453">
      <w:bodyDiv w:val="1"/>
      <w:marLeft w:val="0"/>
      <w:marRight w:val="0"/>
      <w:marTop w:val="0"/>
      <w:marBottom w:val="0"/>
      <w:divBdr>
        <w:top w:val="none" w:sz="0" w:space="0" w:color="auto"/>
        <w:left w:val="none" w:sz="0" w:space="0" w:color="auto"/>
        <w:bottom w:val="none" w:sz="0" w:space="0" w:color="auto"/>
        <w:right w:val="none" w:sz="0" w:space="0" w:color="auto"/>
      </w:divBdr>
    </w:div>
    <w:div w:id="144512059">
      <w:bodyDiv w:val="1"/>
      <w:marLeft w:val="0"/>
      <w:marRight w:val="0"/>
      <w:marTop w:val="0"/>
      <w:marBottom w:val="0"/>
      <w:divBdr>
        <w:top w:val="none" w:sz="0" w:space="0" w:color="auto"/>
        <w:left w:val="none" w:sz="0" w:space="0" w:color="auto"/>
        <w:bottom w:val="none" w:sz="0" w:space="0" w:color="auto"/>
        <w:right w:val="none" w:sz="0" w:space="0" w:color="auto"/>
      </w:divBdr>
    </w:div>
    <w:div w:id="144588455">
      <w:bodyDiv w:val="1"/>
      <w:marLeft w:val="0"/>
      <w:marRight w:val="0"/>
      <w:marTop w:val="0"/>
      <w:marBottom w:val="0"/>
      <w:divBdr>
        <w:top w:val="none" w:sz="0" w:space="0" w:color="auto"/>
        <w:left w:val="none" w:sz="0" w:space="0" w:color="auto"/>
        <w:bottom w:val="none" w:sz="0" w:space="0" w:color="auto"/>
        <w:right w:val="none" w:sz="0" w:space="0" w:color="auto"/>
      </w:divBdr>
    </w:div>
    <w:div w:id="144594165">
      <w:bodyDiv w:val="1"/>
      <w:marLeft w:val="0"/>
      <w:marRight w:val="0"/>
      <w:marTop w:val="0"/>
      <w:marBottom w:val="0"/>
      <w:divBdr>
        <w:top w:val="none" w:sz="0" w:space="0" w:color="auto"/>
        <w:left w:val="none" w:sz="0" w:space="0" w:color="auto"/>
        <w:bottom w:val="none" w:sz="0" w:space="0" w:color="auto"/>
        <w:right w:val="none" w:sz="0" w:space="0" w:color="auto"/>
      </w:divBdr>
    </w:div>
    <w:div w:id="144779378">
      <w:bodyDiv w:val="1"/>
      <w:marLeft w:val="0"/>
      <w:marRight w:val="0"/>
      <w:marTop w:val="0"/>
      <w:marBottom w:val="0"/>
      <w:divBdr>
        <w:top w:val="none" w:sz="0" w:space="0" w:color="auto"/>
        <w:left w:val="none" w:sz="0" w:space="0" w:color="auto"/>
        <w:bottom w:val="none" w:sz="0" w:space="0" w:color="auto"/>
        <w:right w:val="none" w:sz="0" w:space="0" w:color="auto"/>
      </w:divBdr>
    </w:div>
    <w:div w:id="144977096">
      <w:bodyDiv w:val="1"/>
      <w:marLeft w:val="0"/>
      <w:marRight w:val="0"/>
      <w:marTop w:val="0"/>
      <w:marBottom w:val="0"/>
      <w:divBdr>
        <w:top w:val="none" w:sz="0" w:space="0" w:color="auto"/>
        <w:left w:val="none" w:sz="0" w:space="0" w:color="auto"/>
        <w:bottom w:val="none" w:sz="0" w:space="0" w:color="auto"/>
        <w:right w:val="none" w:sz="0" w:space="0" w:color="auto"/>
      </w:divBdr>
    </w:div>
    <w:div w:id="144979449">
      <w:bodyDiv w:val="1"/>
      <w:marLeft w:val="0"/>
      <w:marRight w:val="0"/>
      <w:marTop w:val="0"/>
      <w:marBottom w:val="0"/>
      <w:divBdr>
        <w:top w:val="none" w:sz="0" w:space="0" w:color="auto"/>
        <w:left w:val="none" w:sz="0" w:space="0" w:color="auto"/>
        <w:bottom w:val="none" w:sz="0" w:space="0" w:color="auto"/>
        <w:right w:val="none" w:sz="0" w:space="0" w:color="auto"/>
      </w:divBdr>
    </w:div>
    <w:div w:id="145050298">
      <w:bodyDiv w:val="1"/>
      <w:marLeft w:val="0"/>
      <w:marRight w:val="0"/>
      <w:marTop w:val="0"/>
      <w:marBottom w:val="0"/>
      <w:divBdr>
        <w:top w:val="none" w:sz="0" w:space="0" w:color="auto"/>
        <w:left w:val="none" w:sz="0" w:space="0" w:color="auto"/>
        <w:bottom w:val="none" w:sz="0" w:space="0" w:color="auto"/>
        <w:right w:val="none" w:sz="0" w:space="0" w:color="auto"/>
      </w:divBdr>
    </w:div>
    <w:div w:id="145170320">
      <w:bodyDiv w:val="1"/>
      <w:marLeft w:val="0"/>
      <w:marRight w:val="0"/>
      <w:marTop w:val="0"/>
      <w:marBottom w:val="0"/>
      <w:divBdr>
        <w:top w:val="none" w:sz="0" w:space="0" w:color="auto"/>
        <w:left w:val="none" w:sz="0" w:space="0" w:color="auto"/>
        <w:bottom w:val="none" w:sz="0" w:space="0" w:color="auto"/>
        <w:right w:val="none" w:sz="0" w:space="0" w:color="auto"/>
      </w:divBdr>
    </w:div>
    <w:div w:id="145362153">
      <w:bodyDiv w:val="1"/>
      <w:marLeft w:val="0"/>
      <w:marRight w:val="0"/>
      <w:marTop w:val="0"/>
      <w:marBottom w:val="0"/>
      <w:divBdr>
        <w:top w:val="none" w:sz="0" w:space="0" w:color="auto"/>
        <w:left w:val="none" w:sz="0" w:space="0" w:color="auto"/>
        <w:bottom w:val="none" w:sz="0" w:space="0" w:color="auto"/>
        <w:right w:val="none" w:sz="0" w:space="0" w:color="auto"/>
      </w:divBdr>
    </w:div>
    <w:div w:id="145364998">
      <w:bodyDiv w:val="1"/>
      <w:marLeft w:val="0"/>
      <w:marRight w:val="0"/>
      <w:marTop w:val="0"/>
      <w:marBottom w:val="0"/>
      <w:divBdr>
        <w:top w:val="none" w:sz="0" w:space="0" w:color="auto"/>
        <w:left w:val="none" w:sz="0" w:space="0" w:color="auto"/>
        <w:bottom w:val="none" w:sz="0" w:space="0" w:color="auto"/>
        <w:right w:val="none" w:sz="0" w:space="0" w:color="auto"/>
      </w:divBdr>
    </w:div>
    <w:div w:id="145557239">
      <w:bodyDiv w:val="1"/>
      <w:marLeft w:val="0"/>
      <w:marRight w:val="0"/>
      <w:marTop w:val="0"/>
      <w:marBottom w:val="0"/>
      <w:divBdr>
        <w:top w:val="none" w:sz="0" w:space="0" w:color="auto"/>
        <w:left w:val="none" w:sz="0" w:space="0" w:color="auto"/>
        <w:bottom w:val="none" w:sz="0" w:space="0" w:color="auto"/>
        <w:right w:val="none" w:sz="0" w:space="0" w:color="auto"/>
      </w:divBdr>
    </w:div>
    <w:div w:id="145710487">
      <w:bodyDiv w:val="1"/>
      <w:marLeft w:val="0"/>
      <w:marRight w:val="0"/>
      <w:marTop w:val="0"/>
      <w:marBottom w:val="0"/>
      <w:divBdr>
        <w:top w:val="none" w:sz="0" w:space="0" w:color="auto"/>
        <w:left w:val="none" w:sz="0" w:space="0" w:color="auto"/>
        <w:bottom w:val="none" w:sz="0" w:space="0" w:color="auto"/>
        <w:right w:val="none" w:sz="0" w:space="0" w:color="auto"/>
      </w:divBdr>
    </w:div>
    <w:div w:id="145827813">
      <w:bodyDiv w:val="1"/>
      <w:marLeft w:val="0"/>
      <w:marRight w:val="0"/>
      <w:marTop w:val="0"/>
      <w:marBottom w:val="0"/>
      <w:divBdr>
        <w:top w:val="none" w:sz="0" w:space="0" w:color="auto"/>
        <w:left w:val="none" w:sz="0" w:space="0" w:color="auto"/>
        <w:bottom w:val="none" w:sz="0" w:space="0" w:color="auto"/>
        <w:right w:val="none" w:sz="0" w:space="0" w:color="auto"/>
      </w:divBdr>
    </w:div>
    <w:div w:id="145829039">
      <w:bodyDiv w:val="1"/>
      <w:marLeft w:val="0"/>
      <w:marRight w:val="0"/>
      <w:marTop w:val="0"/>
      <w:marBottom w:val="0"/>
      <w:divBdr>
        <w:top w:val="none" w:sz="0" w:space="0" w:color="auto"/>
        <w:left w:val="none" w:sz="0" w:space="0" w:color="auto"/>
        <w:bottom w:val="none" w:sz="0" w:space="0" w:color="auto"/>
        <w:right w:val="none" w:sz="0" w:space="0" w:color="auto"/>
      </w:divBdr>
    </w:div>
    <w:div w:id="146022033">
      <w:bodyDiv w:val="1"/>
      <w:marLeft w:val="0"/>
      <w:marRight w:val="0"/>
      <w:marTop w:val="0"/>
      <w:marBottom w:val="0"/>
      <w:divBdr>
        <w:top w:val="none" w:sz="0" w:space="0" w:color="auto"/>
        <w:left w:val="none" w:sz="0" w:space="0" w:color="auto"/>
        <w:bottom w:val="none" w:sz="0" w:space="0" w:color="auto"/>
        <w:right w:val="none" w:sz="0" w:space="0" w:color="auto"/>
      </w:divBdr>
    </w:div>
    <w:div w:id="146090324">
      <w:bodyDiv w:val="1"/>
      <w:marLeft w:val="0"/>
      <w:marRight w:val="0"/>
      <w:marTop w:val="0"/>
      <w:marBottom w:val="0"/>
      <w:divBdr>
        <w:top w:val="none" w:sz="0" w:space="0" w:color="auto"/>
        <w:left w:val="none" w:sz="0" w:space="0" w:color="auto"/>
        <w:bottom w:val="none" w:sz="0" w:space="0" w:color="auto"/>
        <w:right w:val="none" w:sz="0" w:space="0" w:color="auto"/>
      </w:divBdr>
    </w:div>
    <w:div w:id="146090672">
      <w:bodyDiv w:val="1"/>
      <w:marLeft w:val="0"/>
      <w:marRight w:val="0"/>
      <w:marTop w:val="0"/>
      <w:marBottom w:val="0"/>
      <w:divBdr>
        <w:top w:val="none" w:sz="0" w:space="0" w:color="auto"/>
        <w:left w:val="none" w:sz="0" w:space="0" w:color="auto"/>
        <w:bottom w:val="none" w:sz="0" w:space="0" w:color="auto"/>
        <w:right w:val="none" w:sz="0" w:space="0" w:color="auto"/>
      </w:divBdr>
    </w:div>
    <w:div w:id="146090954">
      <w:bodyDiv w:val="1"/>
      <w:marLeft w:val="0"/>
      <w:marRight w:val="0"/>
      <w:marTop w:val="0"/>
      <w:marBottom w:val="0"/>
      <w:divBdr>
        <w:top w:val="none" w:sz="0" w:space="0" w:color="auto"/>
        <w:left w:val="none" w:sz="0" w:space="0" w:color="auto"/>
        <w:bottom w:val="none" w:sz="0" w:space="0" w:color="auto"/>
        <w:right w:val="none" w:sz="0" w:space="0" w:color="auto"/>
      </w:divBdr>
    </w:div>
    <w:div w:id="146094386">
      <w:bodyDiv w:val="1"/>
      <w:marLeft w:val="0"/>
      <w:marRight w:val="0"/>
      <w:marTop w:val="0"/>
      <w:marBottom w:val="0"/>
      <w:divBdr>
        <w:top w:val="none" w:sz="0" w:space="0" w:color="auto"/>
        <w:left w:val="none" w:sz="0" w:space="0" w:color="auto"/>
        <w:bottom w:val="none" w:sz="0" w:space="0" w:color="auto"/>
        <w:right w:val="none" w:sz="0" w:space="0" w:color="auto"/>
      </w:divBdr>
    </w:div>
    <w:div w:id="146095267">
      <w:bodyDiv w:val="1"/>
      <w:marLeft w:val="0"/>
      <w:marRight w:val="0"/>
      <w:marTop w:val="0"/>
      <w:marBottom w:val="0"/>
      <w:divBdr>
        <w:top w:val="none" w:sz="0" w:space="0" w:color="auto"/>
        <w:left w:val="none" w:sz="0" w:space="0" w:color="auto"/>
        <w:bottom w:val="none" w:sz="0" w:space="0" w:color="auto"/>
        <w:right w:val="none" w:sz="0" w:space="0" w:color="auto"/>
      </w:divBdr>
    </w:div>
    <w:div w:id="146169170">
      <w:bodyDiv w:val="1"/>
      <w:marLeft w:val="0"/>
      <w:marRight w:val="0"/>
      <w:marTop w:val="0"/>
      <w:marBottom w:val="0"/>
      <w:divBdr>
        <w:top w:val="none" w:sz="0" w:space="0" w:color="auto"/>
        <w:left w:val="none" w:sz="0" w:space="0" w:color="auto"/>
        <w:bottom w:val="none" w:sz="0" w:space="0" w:color="auto"/>
        <w:right w:val="none" w:sz="0" w:space="0" w:color="auto"/>
      </w:divBdr>
    </w:div>
    <w:div w:id="146212970">
      <w:bodyDiv w:val="1"/>
      <w:marLeft w:val="0"/>
      <w:marRight w:val="0"/>
      <w:marTop w:val="0"/>
      <w:marBottom w:val="0"/>
      <w:divBdr>
        <w:top w:val="none" w:sz="0" w:space="0" w:color="auto"/>
        <w:left w:val="none" w:sz="0" w:space="0" w:color="auto"/>
        <w:bottom w:val="none" w:sz="0" w:space="0" w:color="auto"/>
        <w:right w:val="none" w:sz="0" w:space="0" w:color="auto"/>
      </w:divBdr>
    </w:div>
    <w:div w:id="146213116">
      <w:bodyDiv w:val="1"/>
      <w:marLeft w:val="0"/>
      <w:marRight w:val="0"/>
      <w:marTop w:val="0"/>
      <w:marBottom w:val="0"/>
      <w:divBdr>
        <w:top w:val="none" w:sz="0" w:space="0" w:color="auto"/>
        <w:left w:val="none" w:sz="0" w:space="0" w:color="auto"/>
        <w:bottom w:val="none" w:sz="0" w:space="0" w:color="auto"/>
        <w:right w:val="none" w:sz="0" w:space="0" w:color="auto"/>
      </w:divBdr>
    </w:div>
    <w:div w:id="146216285">
      <w:bodyDiv w:val="1"/>
      <w:marLeft w:val="0"/>
      <w:marRight w:val="0"/>
      <w:marTop w:val="0"/>
      <w:marBottom w:val="0"/>
      <w:divBdr>
        <w:top w:val="none" w:sz="0" w:space="0" w:color="auto"/>
        <w:left w:val="none" w:sz="0" w:space="0" w:color="auto"/>
        <w:bottom w:val="none" w:sz="0" w:space="0" w:color="auto"/>
        <w:right w:val="none" w:sz="0" w:space="0" w:color="auto"/>
      </w:divBdr>
    </w:div>
    <w:div w:id="146286965">
      <w:bodyDiv w:val="1"/>
      <w:marLeft w:val="0"/>
      <w:marRight w:val="0"/>
      <w:marTop w:val="0"/>
      <w:marBottom w:val="0"/>
      <w:divBdr>
        <w:top w:val="none" w:sz="0" w:space="0" w:color="auto"/>
        <w:left w:val="none" w:sz="0" w:space="0" w:color="auto"/>
        <w:bottom w:val="none" w:sz="0" w:space="0" w:color="auto"/>
        <w:right w:val="none" w:sz="0" w:space="0" w:color="auto"/>
      </w:divBdr>
    </w:div>
    <w:div w:id="146289842">
      <w:bodyDiv w:val="1"/>
      <w:marLeft w:val="0"/>
      <w:marRight w:val="0"/>
      <w:marTop w:val="0"/>
      <w:marBottom w:val="0"/>
      <w:divBdr>
        <w:top w:val="none" w:sz="0" w:space="0" w:color="auto"/>
        <w:left w:val="none" w:sz="0" w:space="0" w:color="auto"/>
        <w:bottom w:val="none" w:sz="0" w:space="0" w:color="auto"/>
        <w:right w:val="none" w:sz="0" w:space="0" w:color="auto"/>
      </w:divBdr>
    </w:div>
    <w:div w:id="146436896">
      <w:bodyDiv w:val="1"/>
      <w:marLeft w:val="0"/>
      <w:marRight w:val="0"/>
      <w:marTop w:val="0"/>
      <w:marBottom w:val="0"/>
      <w:divBdr>
        <w:top w:val="none" w:sz="0" w:space="0" w:color="auto"/>
        <w:left w:val="none" w:sz="0" w:space="0" w:color="auto"/>
        <w:bottom w:val="none" w:sz="0" w:space="0" w:color="auto"/>
        <w:right w:val="none" w:sz="0" w:space="0" w:color="auto"/>
      </w:divBdr>
    </w:div>
    <w:div w:id="146672632">
      <w:bodyDiv w:val="1"/>
      <w:marLeft w:val="0"/>
      <w:marRight w:val="0"/>
      <w:marTop w:val="0"/>
      <w:marBottom w:val="0"/>
      <w:divBdr>
        <w:top w:val="none" w:sz="0" w:space="0" w:color="auto"/>
        <w:left w:val="none" w:sz="0" w:space="0" w:color="auto"/>
        <w:bottom w:val="none" w:sz="0" w:space="0" w:color="auto"/>
        <w:right w:val="none" w:sz="0" w:space="0" w:color="auto"/>
      </w:divBdr>
    </w:div>
    <w:div w:id="146871781">
      <w:bodyDiv w:val="1"/>
      <w:marLeft w:val="0"/>
      <w:marRight w:val="0"/>
      <w:marTop w:val="0"/>
      <w:marBottom w:val="0"/>
      <w:divBdr>
        <w:top w:val="none" w:sz="0" w:space="0" w:color="auto"/>
        <w:left w:val="none" w:sz="0" w:space="0" w:color="auto"/>
        <w:bottom w:val="none" w:sz="0" w:space="0" w:color="auto"/>
        <w:right w:val="none" w:sz="0" w:space="0" w:color="auto"/>
      </w:divBdr>
    </w:div>
    <w:div w:id="146897680">
      <w:bodyDiv w:val="1"/>
      <w:marLeft w:val="0"/>
      <w:marRight w:val="0"/>
      <w:marTop w:val="0"/>
      <w:marBottom w:val="0"/>
      <w:divBdr>
        <w:top w:val="none" w:sz="0" w:space="0" w:color="auto"/>
        <w:left w:val="none" w:sz="0" w:space="0" w:color="auto"/>
        <w:bottom w:val="none" w:sz="0" w:space="0" w:color="auto"/>
        <w:right w:val="none" w:sz="0" w:space="0" w:color="auto"/>
      </w:divBdr>
    </w:div>
    <w:div w:id="146897799">
      <w:bodyDiv w:val="1"/>
      <w:marLeft w:val="0"/>
      <w:marRight w:val="0"/>
      <w:marTop w:val="0"/>
      <w:marBottom w:val="0"/>
      <w:divBdr>
        <w:top w:val="none" w:sz="0" w:space="0" w:color="auto"/>
        <w:left w:val="none" w:sz="0" w:space="0" w:color="auto"/>
        <w:bottom w:val="none" w:sz="0" w:space="0" w:color="auto"/>
        <w:right w:val="none" w:sz="0" w:space="0" w:color="auto"/>
      </w:divBdr>
    </w:div>
    <w:div w:id="146898931">
      <w:bodyDiv w:val="1"/>
      <w:marLeft w:val="0"/>
      <w:marRight w:val="0"/>
      <w:marTop w:val="0"/>
      <w:marBottom w:val="0"/>
      <w:divBdr>
        <w:top w:val="none" w:sz="0" w:space="0" w:color="auto"/>
        <w:left w:val="none" w:sz="0" w:space="0" w:color="auto"/>
        <w:bottom w:val="none" w:sz="0" w:space="0" w:color="auto"/>
        <w:right w:val="none" w:sz="0" w:space="0" w:color="auto"/>
      </w:divBdr>
    </w:div>
    <w:div w:id="147017805">
      <w:bodyDiv w:val="1"/>
      <w:marLeft w:val="0"/>
      <w:marRight w:val="0"/>
      <w:marTop w:val="0"/>
      <w:marBottom w:val="0"/>
      <w:divBdr>
        <w:top w:val="none" w:sz="0" w:space="0" w:color="auto"/>
        <w:left w:val="none" w:sz="0" w:space="0" w:color="auto"/>
        <w:bottom w:val="none" w:sz="0" w:space="0" w:color="auto"/>
        <w:right w:val="none" w:sz="0" w:space="0" w:color="auto"/>
      </w:divBdr>
    </w:div>
    <w:div w:id="147020027">
      <w:bodyDiv w:val="1"/>
      <w:marLeft w:val="0"/>
      <w:marRight w:val="0"/>
      <w:marTop w:val="0"/>
      <w:marBottom w:val="0"/>
      <w:divBdr>
        <w:top w:val="none" w:sz="0" w:space="0" w:color="auto"/>
        <w:left w:val="none" w:sz="0" w:space="0" w:color="auto"/>
        <w:bottom w:val="none" w:sz="0" w:space="0" w:color="auto"/>
        <w:right w:val="none" w:sz="0" w:space="0" w:color="auto"/>
      </w:divBdr>
    </w:div>
    <w:div w:id="147094608">
      <w:bodyDiv w:val="1"/>
      <w:marLeft w:val="0"/>
      <w:marRight w:val="0"/>
      <w:marTop w:val="0"/>
      <w:marBottom w:val="0"/>
      <w:divBdr>
        <w:top w:val="none" w:sz="0" w:space="0" w:color="auto"/>
        <w:left w:val="none" w:sz="0" w:space="0" w:color="auto"/>
        <w:bottom w:val="none" w:sz="0" w:space="0" w:color="auto"/>
        <w:right w:val="none" w:sz="0" w:space="0" w:color="auto"/>
      </w:divBdr>
    </w:div>
    <w:div w:id="147138545">
      <w:bodyDiv w:val="1"/>
      <w:marLeft w:val="0"/>
      <w:marRight w:val="0"/>
      <w:marTop w:val="0"/>
      <w:marBottom w:val="0"/>
      <w:divBdr>
        <w:top w:val="none" w:sz="0" w:space="0" w:color="auto"/>
        <w:left w:val="none" w:sz="0" w:space="0" w:color="auto"/>
        <w:bottom w:val="none" w:sz="0" w:space="0" w:color="auto"/>
        <w:right w:val="none" w:sz="0" w:space="0" w:color="auto"/>
      </w:divBdr>
    </w:div>
    <w:div w:id="147139184">
      <w:bodyDiv w:val="1"/>
      <w:marLeft w:val="0"/>
      <w:marRight w:val="0"/>
      <w:marTop w:val="0"/>
      <w:marBottom w:val="0"/>
      <w:divBdr>
        <w:top w:val="none" w:sz="0" w:space="0" w:color="auto"/>
        <w:left w:val="none" w:sz="0" w:space="0" w:color="auto"/>
        <w:bottom w:val="none" w:sz="0" w:space="0" w:color="auto"/>
        <w:right w:val="none" w:sz="0" w:space="0" w:color="auto"/>
      </w:divBdr>
    </w:div>
    <w:div w:id="147289981">
      <w:bodyDiv w:val="1"/>
      <w:marLeft w:val="0"/>
      <w:marRight w:val="0"/>
      <w:marTop w:val="0"/>
      <w:marBottom w:val="0"/>
      <w:divBdr>
        <w:top w:val="none" w:sz="0" w:space="0" w:color="auto"/>
        <w:left w:val="none" w:sz="0" w:space="0" w:color="auto"/>
        <w:bottom w:val="none" w:sz="0" w:space="0" w:color="auto"/>
        <w:right w:val="none" w:sz="0" w:space="0" w:color="auto"/>
      </w:divBdr>
    </w:div>
    <w:div w:id="147290678">
      <w:bodyDiv w:val="1"/>
      <w:marLeft w:val="0"/>
      <w:marRight w:val="0"/>
      <w:marTop w:val="0"/>
      <w:marBottom w:val="0"/>
      <w:divBdr>
        <w:top w:val="none" w:sz="0" w:space="0" w:color="auto"/>
        <w:left w:val="none" w:sz="0" w:space="0" w:color="auto"/>
        <w:bottom w:val="none" w:sz="0" w:space="0" w:color="auto"/>
        <w:right w:val="none" w:sz="0" w:space="0" w:color="auto"/>
      </w:divBdr>
    </w:div>
    <w:div w:id="147401037">
      <w:bodyDiv w:val="1"/>
      <w:marLeft w:val="0"/>
      <w:marRight w:val="0"/>
      <w:marTop w:val="0"/>
      <w:marBottom w:val="0"/>
      <w:divBdr>
        <w:top w:val="none" w:sz="0" w:space="0" w:color="auto"/>
        <w:left w:val="none" w:sz="0" w:space="0" w:color="auto"/>
        <w:bottom w:val="none" w:sz="0" w:space="0" w:color="auto"/>
        <w:right w:val="none" w:sz="0" w:space="0" w:color="auto"/>
      </w:divBdr>
    </w:div>
    <w:div w:id="147402032">
      <w:bodyDiv w:val="1"/>
      <w:marLeft w:val="0"/>
      <w:marRight w:val="0"/>
      <w:marTop w:val="0"/>
      <w:marBottom w:val="0"/>
      <w:divBdr>
        <w:top w:val="none" w:sz="0" w:space="0" w:color="auto"/>
        <w:left w:val="none" w:sz="0" w:space="0" w:color="auto"/>
        <w:bottom w:val="none" w:sz="0" w:space="0" w:color="auto"/>
        <w:right w:val="none" w:sz="0" w:space="0" w:color="auto"/>
      </w:divBdr>
    </w:div>
    <w:div w:id="147481065">
      <w:bodyDiv w:val="1"/>
      <w:marLeft w:val="0"/>
      <w:marRight w:val="0"/>
      <w:marTop w:val="0"/>
      <w:marBottom w:val="0"/>
      <w:divBdr>
        <w:top w:val="none" w:sz="0" w:space="0" w:color="auto"/>
        <w:left w:val="none" w:sz="0" w:space="0" w:color="auto"/>
        <w:bottom w:val="none" w:sz="0" w:space="0" w:color="auto"/>
        <w:right w:val="none" w:sz="0" w:space="0" w:color="auto"/>
      </w:divBdr>
    </w:div>
    <w:div w:id="147522416">
      <w:bodyDiv w:val="1"/>
      <w:marLeft w:val="0"/>
      <w:marRight w:val="0"/>
      <w:marTop w:val="0"/>
      <w:marBottom w:val="0"/>
      <w:divBdr>
        <w:top w:val="none" w:sz="0" w:space="0" w:color="auto"/>
        <w:left w:val="none" w:sz="0" w:space="0" w:color="auto"/>
        <w:bottom w:val="none" w:sz="0" w:space="0" w:color="auto"/>
        <w:right w:val="none" w:sz="0" w:space="0" w:color="auto"/>
      </w:divBdr>
    </w:div>
    <w:div w:id="147550674">
      <w:bodyDiv w:val="1"/>
      <w:marLeft w:val="0"/>
      <w:marRight w:val="0"/>
      <w:marTop w:val="0"/>
      <w:marBottom w:val="0"/>
      <w:divBdr>
        <w:top w:val="none" w:sz="0" w:space="0" w:color="auto"/>
        <w:left w:val="none" w:sz="0" w:space="0" w:color="auto"/>
        <w:bottom w:val="none" w:sz="0" w:space="0" w:color="auto"/>
        <w:right w:val="none" w:sz="0" w:space="0" w:color="auto"/>
      </w:divBdr>
    </w:div>
    <w:div w:id="147550909">
      <w:bodyDiv w:val="1"/>
      <w:marLeft w:val="0"/>
      <w:marRight w:val="0"/>
      <w:marTop w:val="0"/>
      <w:marBottom w:val="0"/>
      <w:divBdr>
        <w:top w:val="none" w:sz="0" w:space="0" w:color="auto"/>
        <w:left w:val="none" w:sz="0" w:space="0" w:color="auto"/>
        <w:bottom w:val="none" w:sz="0" w:space="0" w:color="auto"/>
        <w:right w:val="none" w:sz="0" w:space="0" w:color="auto"/>
      </w:divBdr>
    </w:div>
    <w:div w:id="147601367">
      <w:bodyDiv w:val="1"/>
      <w:marLeft w:val="0"/>
      <w:marRight w:val="0"/>
      <w:marTop w:val="0"/>
      <w:marBottom w:val="0"/>
      <w:divBdr>
        <w:top w:val="none" w:sz="0" w:space="0" w:color="auto"/>
        <w:left w:val="none" w:sz="0" w:space="0" w:color="auto"/>
        <w:bottom w:val="none" w:sz="0" w:space="0" w:color="auto"/>
        <w:right w:val="none" w:sz="0" w:space="0" w:color="auto"/>
      </w:divBdr>
    </w:div>
    <w:div w:id="147719971">
      <w:bodyDiv w:val="1"/>
      <w:marLeft w:val="0"/>
      <w:marRight w:val="0"/>
      <w:marTop w:val="0"/>
      <w:marBottom w:val="0"/>
      <w:divBdr>
        <w:top w:val="none" w:sz="0" w:space="0" w:color="auto"/>
        <w:left w:val="none" w:sz="0" w:space="0" w:color="auto"/>
        <w:bottom w:val="none" w:sz="0" w:space="0" w:color="auto"/>
        <w:right w:val="none" w:sz="0" w:space="0" w:color="auto"/>
      </w:divBdr>
    </w:div>
    <w:div w:id="147866101">
      <w:bodyDiv w:val="1"/>
      <w:marLeft w:val="0"/>
      <w:marRight w:val="0"/>
      <w:marTop w:val="0"/>
      <w:marBottom w:val="0"/>
      <w:divBdr>
        <w:top w:val="none" w:sz="0" w:space="0" w:color="auto"/>
        <w:left w:val="none" w:sz="0" w:space="0" w:color="auto"/>
        <w:bottom w:val="none" w:sz="0" w:space="0" w:color="auto"/>
        <w:right w:val="none" w:sz="0" w:space="0" w:color="auto"/>
      </w:divBdr>
    </w:div>
    <w:div w:id="147985167">
      <w:bodyDiv w:val="1"/>
      <w:marLeft w:val="0"/>
      <w:marRight w:val="0"/>
      <w:marTop w:val="0"/>
      <w:marBottom w:val="0"/>
      <w:divBdr>
        <w:top w:val="none" w:sz="0" w:space="0" w:color="auto"/>
        <w:left w:val="none" w:sz="0" w:space="0" w:color="auto"/>
        <w:bottom w:val="none" w:sz="0" w:space="0" w:color="auto"/>
        <w:right w:val="none" w:sz="0" w:space="0" w:color="auto"/>
      </w:divBdr>
    </w:div>
    <w:div w:id="147988797">
      <w:bodyDiv w:val="1"/>
      <w:marLeft w:val="0"/>
      <w:marRight w:val="0"/>
      <w:marTop w:val="0"/>
      <w:marBottom w:val="0"/>
      <w:divBdr>
        <w:top w:val="none" w:sz="0" w:space="0" w:color="auto"/>
        <w:left w:val="none" w:sz="0" w:space="0" w:color="auto"/>
        <w:bottom w:val="none" w:sz="0" w:space="0" w:color="auto"/>
        <w:right w:val="none" w:sz="0" w:space="0" w:color="auto"/>
      </w:divBdr>
    </w:div>
    <w:div w:id="148057856">
      <w:bodyDiv w:val="1"/>
      <w:marLeft w:val="0"/>
      <w:marRight w:val="0"/>
      <w:marTop w:val="0"/>
      <w:marBottom w:val="0"/>
      <w:divBdr>
        <w:top w:val="none" w:sz="0" w:space="0" w:color="auto"/>
        <w:left w:val="none" w:sz="0" w:space="0" w:color="auto"/>
        <w:bottom w:val="none" w:sz="0" w:space="0" w:color="auto"/>
        <w:right w:val="none" w:sz="0" w:space="0" w:color="auto"/>
      </w:divBdr>
    </w:div>
    <w:div w:id="148061597">
      <w:bodyDiv w:val="1"/>
      <w:marLeft w:val="0"/>
      <w:marRight w:val="0"/>
      <w:marTop w:val="0"/>
      <w:marBottom w:val="0"/>
      <w:divBdr>
        <w:top w:val="none" w:sz="0" w:space="0" w:color="auto"/>
        <w:left w:val="none" w:sz="0" w:space="0" w:color="auto"/>
        <w:bottom w:val="none" w:sz="0" w:space="0" w:color="auto"/>
        <w:right w:val="none" w:sz="0" w:space="0" w:color="auto"/>
      </w:divBdr>
    </w:div>
    <w:div w:id="148138772">
      <w:bodyDiv w:val="1"/>
      <w:marLeft w:val="0"/>
      <w:marRight w:val="0"/>
      <w:marTop w:val="0"/>
      <w:marBottom w:val="0"/>
      <w:divBdr>
        <w:top w:val="none" w:sz="0" w:space="0" w:color="auto"/>
        <w:left w:val="none" w:sz="0" w:space="0" w:color="auto"/>
        <w:bottom w:val="none" w:sz="0" w:space="0" w:color="auto"/>
        <w:right w:val="none" w:sz="0" w:space="0" w:color="auto"/>
      </w:divBdr>
    </w:div>
    <w:div w:id="148179689">
      <w:bodyDiv w:val="1"/>
      <w:marLeft w:val="0"/>
      <w:marRight w:val="0"/>
      <w:marTop w:val="0"/>
      <w:marBottom w:val="0"/>
      <w:divBdr>
        <w:top w:val="none" w:sz="0" w:space="0" w:color="auto"/>
        <w:left w:val="none" w:sz="0" w:space="0" w:color="auto"/>
        <w:bottom w:val="none" w:sz="0" w:space="0" w:color="auto"/>
        <w:right w:val="none" w:sz="0" w:space="0" w:color="auto"/>
      </w:divBdr>
    </w:div>
    <w:div w:id="148180402">
      <w:bodyDiv w:val="1"/>
      <w:marLeft w:val="0"/>
      <w:marRight w:val="0"/>
      <w:marTop w:val="0"/>
      <w:marBottom w:val="0"/>
      <w:divBdr>
        <w:top w:val="none" w:sz="0" w:space="0" w:color="auto"/>
        <w:left w:val="none" w:sz="0" w:space="0" w:color="auto"/>
        <w:bottom w:val="none" w:sz="0" w:space="0" w:color="auto"/>
        <w:right w:val="none" w:sz="0" w:space="0" w:color="auto"/>
      </w:divBdr>
    </w:div>
    <w:div w:id="148257898">
      <w:bodyDiv w:val="1"/>
      <w:marLeft w:val="0"/>
      <w:marRight w:val="0"/>
      <w:marTop w:val="0"/>
      <w:marBottom w:val="0"/>
      <w:divBdr>
        <w:top w:val="none" w:sz="0" w:space="0" w:color="auto"/>
        <w:left w:val="none" w:sz="0" w:space="0" w:color="auto"/>
        <w:bottom w:val="none" w:sz="0" w:space="0" w:color="auto"/>
        <w:right w:val="none" w:sz="0" w:space="0" w:color="auto"/>
      </w:divBdr>
    </w:div>
    <w:div w:id="148326788">
      <w:bodyDiv w:val="1"/>
      <w:marLeft w:val="0"/>
      <w:marRight w:val="0"/>
      <w:marTop w:val="0"/>
      <w:marBottom w:val="0"/>
      <w:divBdr>
        <w:top w:val="none" w:sz="0" w:space="0" w:color="auto"/>
        <w:left w:val="none" w:sz="0" w:space="0" w:color="auto"/>
        <w:bottom w:val="none" w:sz="0" w:space="0" w:color="auto"/>
        <w:right w:val="none" w:sz="0" w:space="0" w:color="auto"/>
      </w:divBdr>
    </w:div>
    <w:div w:id="148331982">
      <w:bodyDiv w:val="1"/>
      <w:marLeft w:val="0"/>
      <w:marRight w:val="0"/>
      <w:marTop w:val="0"/>
      <w:marBottom w:val="0"/>
      <w:divBdr>
        <w:top w:val="none" w:sz="0" w:space="0" w:color="auto"/>
        <w:left w:val="none" w:sz="0" w:space="0" w:color="auto"/>
        <w:bottom w:val="none" w:sz="0" w:space="0" w:color="auto"/>
        <w:right w:val="none" w:sz="0" w:space="0" w:color="auto"/>
      </w:divBdr>
    </w:div>
    <w:div w:id="148374623">
      <w:bodyDiv w:val="1"/>
      <w:marLeft w:val="0"/>
      <w:marRight w:val="0"/>
      <w:marTop w:val="0"/>
      <w:marBottom w:val="0"/>
      <w:divBdr>
        <w:top w:val="none" w:sz="0" w:space="0" w:color="auto"/>
        <w:left w:val="none" w:sz="0" w:space="0" w:color="auto"/>
        <w:bottom w:val="none" w:sz="0" w:space="0" w:color="auto"/>
        <w:right w:val="none" w:sz="0" w:space="0" w:color="auto"/>
      </w:divBdr>
    </w:div>
    <w:div w:id="148636174">
      <w:bodyDiv w:val="1"/>
      <w:marLeft w:val="0"/>
      <w:marRight w:val="0"/>
      <w:marTop w:val="0"/>
      <w:marBottom w:val="0"/>
      <w:divBdr>
        <w:top w:val="none" w:sz="0" w:space="0" w:color="auto"/>
        <w:left w:val="none" w:sz="0" w:space="0" w:color="auto"/>
        <w:bottom w:val="none" w:sz="0" w:space="0" w:color="auto"/>
        <w:right w:val="none" w:sz="0" w:space="0" w:color="auto"/>
      </w:divBdr>
    </w:div>
    <w:div w:id="148715125">
      <w:bodyDiv w:val="1"/>
      <w:marLeft w:val="0"/>
      <w:marRight w:val="0"/>
      <w:marTop w:val="0"/>
      <w:marBottom w:val="0"/>
      <w:divBdr>
        <w:top w:val="none" w:sz="0" w:space="0" w:color="auto"/>
        <w:left w:val="none" w:sz="0" w:space="0" w:color="auto"/>
        <w:bottom w:val="none" w:sz="0" w:space="0" w:color="auto"/>
        <w:right w:val="none" w:sz="0" w:space="0" w:color="auto"/>
      </w:divBdr>
    </w:div>
    <w:div w:id="148834303">
      <w:bodyDiv w:val="1"/>
      <w:marLeft w:val="0"/>
      <w:marRight w:val="0"/>
      <w:marTop w:val="0"/>
      <w:marBottom w:val="0"/>
      <w:divBdr>
        <w:top w:val="none" w:sz="0" w:space="0" w:color="auto"/>
        <w:left w:val="none" w:sz="0" w:space="0" w:color="auto"/>
        <w:bottom w:val="none" w:sz="0" w:space="0" w:color="auto"/>
        <w:right w:val="none" w:sz="0" w:space="0" w:color="auto"/>
      </w:divBdr>
    </w:div>
    <w:div w:id="148982411">
      <w:bodyDiv w:val="1"/>
      <w:marLeft w:val="0"/>
      <w:marRight w:val="0"/>
      <w:marTop w:val="0"/>
      <w:marBottom w:val="0"/>
      <w:divBdr>
        <w:top w:val="none" w:sz="0" w:space="0" w:color="auto"/>
        <w:left w:val="none" w:sz="0" w:space="0" w:color="auto"/>
        <w:bottom w:val="none" w:sz="0" w:space="0" w:color="auto"/>
        <w:right w:val="none" w:sz="0" w:space="0" w:color="auto"/>
      </w:divBdr>
    </w:div>
    <w:div w:id="149104323">
      <w:bodyDiv w:val="1"/>
      <w:marLeft w:val="0"/>
      <w:marRight w:val="0"/>
      <w:marTop w:val="0"/>
      <w:marBottom w:val="0"/>
      <w:divBdr>
        <w:top w:val="none" w:sz="0" w:space="0" w:color="auto"/>
        <w:left w:val="none" w:sz="0" w:space="0" w:color="auto"/>
        <w:bottom w:val="none" w:sz="0" w:space="0" w:color="auto"/>
        <w:right w:val="none" w:sz="0" w:space="0" w:color="auto"/>
      </w:divBdr>
    </w:div>
    <w:div w:id="149175587">
      <w:bodyDiv w:val="1"/>
      <w:marLeft w:val="0"/>
      <w:marRight w:val="0"/>
      <w:marTop w:val="0"/>
      <w:marBottom w:val="0"/>
      <w:divBdr>
        <w:top w:val="none" w:sz="0" w:space="0" w:color="auto"/>
        <w:left w:val="none" w:sz="0" w:space="0" w:color="auto"/>
        <w:bottom w:val="none" w:sz="0" w:space="0" w:color="auto"/>
        <w:right w:val="none" w:sz="0" w:space="0" w:color="auto"/>
      </w:divBdr>
    </w:div>
    <w:div w:id="149250461">
      <w:bodyDiv w:val="1"/>
      <w:marLeft w:val="0"/>
      <w:marRight w:val="0"/>
      <w:marTop w:val="0"/>
      <w:marBottom w:val="0"/>
      <w:divBdr>
        <w:top w:val="none" w:sz="0" w:space="0" w:color="auto"/>
        <w:left w:val="none" w:sz="0" w:space="0" w:color="auto"/>
        <w:bottom w:val="none" w:sz="0" w:space="0" w:color="auto"/>
        <w:right w:val="none" w:sz="0" w:space="0" w:color="auto"/>
      </w:divBdr>
    </w:div>
    <w:div w:id="149255482">
      <w:bodyDiv w:val="1"/>
      <w:marLeft w:val="0"/>
      <w:marRight w:val="0"/>
      <w:marTop w:val="0"/>
      <w:marBottom w:val="0"/>
      <w:divBdr>
        <w:top w:val="none" w:sz="0" w:space="0" w:color="auto"/>
        <w:left w:val="none" w:sz="0" w:space="0" w:color="auto"/>
        <w:bottom w:val="none" w:sz="0" w:space="0" w:color="auto"/>
        <w:right w:val="none" w:sz="0" w:space="0" w:color="auto"/>
      </w:divBdr>
    </w:div>
    <w:div w:id="149441411">
      <w:bodyDiv w:val="1"/>
      <w:marLeft w:val="0"/>
      <w:marRight w:val="0"/>
      <w:marTop w:val="0"/>
      <w:marBottom w:val="0"/>
      <w:divBdr>
        <w:top w:val="none" w:sz="0" w:space="0" w:color="auto"/>
        <w:left w:val="none" w:sz="0" w:space="0" w:color="auto"/>
        <w:bottom w:val="none" w:sz="0" w:space="0" w:color="auto"/>
        <w:right w:val="none" w:sz="0" w:space="0" w:color="auto"/>
      </w:divBdr>
    </w:div>
    <w:div w:id="149444634">
      <w:bodyDiv w:val="1"/>
      <w:marLeft w:val="0"/>
      <w:marRight w:val="0"/>
      <w:marTop w:val="0"/>
      <w:marBottom w:val="0"/>
      <w:divBdr>
        <w:top w:val="none" w:sz="0" w:space="0" w:color="auto"/>
        <w:left w:val="none" w:sz="0" w:space="0" w:color="auto"/>
        <w:bottom w:val="none" w:sz="0" w:space="0" w:color="auto"/>
        <w:right w:val="none" w:sz="0" w:space="0" w:color="auto"/>
      </w:divBdr>
    </w:div>
    <w:div w:id="149491052">
      <w:bodyDiv w:val="1"/>
      <w:marLeft w:val="0"/>
      <w:marRight w:val="0"/>
      <w:marTop w:val="0"/>
      <w:marBottom w:val="0"/>
      <w:divBdr>
        <w:top w:val="none" w:sz="0" w:space="0" w:color="auto"/>
        <w:left w:val="none" w:sz="0" w:space="0" w:color="auto"/>
        <w:bottom w:val="none" w:sz="0" w:space="0" w:color="auto"/>
        <w:right w:val="none" w:sz="0" w:space="0" w:color="auto"/>
      </w:divBdr>
    </w:div>
    <w:div w:id="149643194">
      <w:bodyDiv w:val="1"/>
      <w:marLeft w:val="0"/>
      <w:marRight w:val="0"/>
      <w:marTop w:val="0"/>
      <w:marBottom w:val="0"/>
      <w:divBdr>
        <w:top w:val="none" w:sz="0" w:space="0" w:color="auto"/>
        <w:left w:val="none" w:sz="0" w:space="0" w:color="auto"/>
        <w:bottom w:val="none" w:sz="0" w:space="0" w:color="auto"/>
        <w:right w:val="none" w:sz="0" w:space="0" w:color="auto"/>
      </w:divBdr>
    </w:div>
    <w:div w:id="149714163">
      <w:bodyDiv w:val="1"/>
      <w:marLeft w:val="0"/>
      <w:marRight w:val="0"/>
      <w:marTop w:val="0"/>
      <w:marBottom w:val="0"/>
      <w:divBdr>
        <w:top w:val="none" w:sz="0" w:space="0" w:color="auto"/>
        <w:left w:val="none" w:sz="0" w:space="0" w:color="auto"/>
        <w:bottom w:val="none" w:sz="0" w:space="0" w:color="auto"/>
        <w:right w:val="none" w:sz="0" w:space="0" w:color="auto"/>
      </w:divBdr>
    </w:div>
    <w:div w:id="149947369">
      <w:bodyDiv w:val="1"/>
      <w:marLeft w:val="0"/>
      <w:marRight w:val="0"/>
      <w:marTop w:val="0"/>
      <w:marBottom w:val="0"/>
      <w:divBdr>
        <w:top w:val="none" w:sz="0" w:space="0" w:color="auto"/>
        <w:left w:val="none" w:sz="0" w:space="0" w:color="auto"/>
        <w:bottom w:val="none" w:sz="0" w:space="0" w:color="auto"/>
        <w:right w:val="none" w:sz="0" w:space="0" w:color="auto"/>
      </w:divBdr>
    </w:div>
    <w:div w:id="150021456">
      <w:bodyDiv w:val="1"/>
      <w:marLeft w:val="0"/>
      <w:marRight w:val="0"/>
      <w:marTop w:val="0"/>
      <w:marBottom w:val="0"/>
      <w:divBdr>
        <w:top w:val="none" w:sz="0" w:space="0" w:color="auto"/>
        <w:left w:val="none" w:sz="0" w:space="0" w:color="auto"/>
        <w:bottom w:val="none" w:sz="0" w:space="0" w:color="auto"/>
        <w:right w:val="none" w:sz="0" w:space="0" w:color="auto"/>
      </w:divBdr>
    </w:div>
    <w:div w:id="150022910">
      <w:bodyDiv w:val="1"/>
      <w:marLeft w:val="0"/>
      <w:marRight w:val="0"/>
      <w:marTop w:val="0"/>
      <w:marBottom w:val="0"/>
      <w:divBdr>
        <w:top w:val="none" w:sz="0" w:space="0" w:color="auto"/>
        <w:left w:val="none" w:sz="0" w:space="0" w:color="auto"/>
        <w:bottom w:val="none" w:sz="0" w:space="0" w:color="auto"/>
        <w:right w:val="none" w:sz="0" w:space="0" w:color="auto"/>
      </w:divBdr>
    </w:div>
    <w:div w:id="150101600">
      <w:bodyDiv w:val="1"/>
      <w:marLeft w:val="0"/>
      <w:marRight w:val="0"/>
      <w:marTop w:val="0"/>
      <w:marBottom w:val="0"/>
      <w:divBdr>
        <w:top w:val="none" w:sz="0" w:space="0" w:color="auto"/>
        <w:left w:val="none" w:sz="0" w:space="0" w:color="auto"/>
        <w:bottom w:val="none" w:sz="0" w:space="0" w:color="auto"/>
        <w:right w:val="none" w:sz="0" w:space="0" w:color="auto"/>
      </w:divBdr>
    </w:div>
    <w:div w:id="150145123">
      <w:bodyDiv w:val="1"/>
      <w:marLeft w:val="0"/>
      <w:marRight w:val="0"/>
      <w:marTop w:val="0"/>
      <w:marBottom w:val="0"/>
      <w:divBdr>
        <w:top w:val="none" w:sz="0" w:space="0" w:color="auto"/>
        <w:left w:val="none" w:sz="0" w:space="0" w:color="auto"/>
        <w:bottom w:val="none" w:sz="0" w:space="0" w:color="auto"/>
        <w:right w:val="none" w:sz="0" w:space="0" w:color="auto"/>
      </w:divBdr>
    </w:div>
    <w:div w:id="150146029">
      <w:bodyDiv w:val="1"/>
      <w:marLeft w:val="0"/>
      <w:marRight w:val="0"/>
      <w:marTop w:val="0"/>
      <w:marBottom w:val="0"/>
      <w:divBdr>
        <w:top w:val="none" w:sz="0" w:space="0" w:color="auto"/>
        <w:left w:val="none" w:sz="0" w:space="0" w:color="auto"/>
        <w:bottom w:val="none" w:sz="0" w:space="0" w:color="auto"/>
        <w:right w:val="none" w:sz="0" w:space="0" w:color="auto"/>
      </w:divBdr>
    </w:div>
    <w:div w:id="150172354">
      <w:bodyDiv w:val="1"/>
      <w:marLeft w:val="0"/>
      <w:marRight w:val="0"/>
      <w:marTop w:val="0"/>
      <w:marBottom w:val="0"/>
      <w:divBdr>
        <w:top w:val="none" w:sz="0" w:space="0" w:color="auto"/>
        <w:left w:val="none" w:sz="0" w:space="0" w:color="auto"/>
        <w:bottom w:val="none" w:sz="0" w:space="0" w:color="auto"/>
        <w:right w:val="none" w:sz="0" w:space="0" w:color="auto"/>
      </w:divBdr>
    </w:div>
    <w:div w:id="150222060">
      <w:bodyDiv w:val="1"/>
      <w:marLeft w:val="0"/>
      <w:marRight w:val="0"/>
      <w:marTop w:val="0"/>
      <w:marBottom w:val="0"/>
      <w:divBdr>
        <w:top w:val="none" w:sz="0" w:space="0" w:color="auto"/>
        <w:left w:val="none" w:sz="0" w:space="0" w:color="auto"/>
        <w:bottom w:val="none" w:sz="0" w:space="0" w:color="auto"/>
        <w:right w:val="none" w:sz="0" w:space="0" w:color="auto"/>
      </w:divBdr>
    </w:div>
    <w:div w:id="150369495">
      <w:bodyDiv w:val="1"/>
      <w:marLeft w:val="0"/>
      <w:marRight w:val="0"/>
      <w:marTop w:val="0"/>
      <w:marBottom w:val="0"/>
      <w:divBdr>
        <w:top w:val="none" w:sz="0" w:space="0" w:color="auto"/>
        <w:left w:val="none" w:sz="0" w:space="0" w:color="auto"/>
        <w:bottom w:val="none" w:sz="0" w:space="0" w:color="auto"/>
        <w:right w:val="none" w:sz="0" w:space="0" w:color="auto"/>
      </w:divBdr>
    </w:div>
    <w:div w:id="150409384">
      <w:bodyDiv w:val="1"/>
      <w:marLeft w:val="0"/>
      <w:marRight w:val="0"/>
      <w:marTop w:val="0"/>
      <w:marBottom w:val="0"/>
      <w:divBdr>
        <w:top w:val="none" w:sz="0" w:space="0" w:color="auto"/>
        <w:left w:val="none" w:sz="0" w:space="0" w:color="auto"/>
        <w:bottom w:val="none" w:sz="0" w:space="0" w:color="auto"/>
        <w:right w:val="none" w:sz="0" w:space="0" w:color="auto"/>
      </w:divBdr>
    </w:div>
    <w:div w:id="150560095">
      <w:bodyDiv w:val="1"/>
      <w:marLeft w:val="0"/>
      <w:marRight w:val="0"/>
      <w:marTop w:val="0"/>
      <w:marBottom w:val="0"/>
      <w:divBdr>
        <w:top w:val="none" w:sz="0" w:space="0" w:color="auto"/>
        <w:left w:val="none" w:sz="0" w:space="0" w:color="auto"/>
        <w:bottom w:val="none" w:sz="0" w:space="0" w:color="auto"/>
        <w:right w:val="none" w:sz="0" w:space="0" w:color="auto"/>
      </w:divBdr>
    </w:div>
    <w:div w:id="150566091">
      <w:bodyDiv w:val="1"/>
      <w:marLeft w:val="0"/>
      <w:marRight w:val="0"/>
      <w:marTop w:val="0"/>
      <w:marBottom w:val="0"/>
      <w:divBdr>
        <w:top w:val="none" w:sz="0" w:space="0" w:color="auto"/>
        <w:left w:val="none" w:sz="0" w:space="0" w:color="auto"/>
        <w:bottom w:val="none" w:sz="0" w:space="0" w:color="auto"/>
        <w:right w:val="none" w:sz="0" w:space="0" w:color="auto"/>
      </w:divBdr>
    </w:div>
    <w:div w:id="150566399">
      <w:bodyDiv w:val="1"/>
      <w:marLeft w:val="0"/>
      <w:marRight w:val="0"/>
      <w:marTop w:val="0"/>
      <w:marBottom w:val="0"/>
      <w:divBdr>
        <w:top w:val="none" w:sz="0" w:space="0" w:color="auto"/>
        <w:left w:val="none" w:sz="0" w:space="0" w:color="auto"/>
        <w:bottom w:val="none" w:sz="0" w:space="0" w:color="auto"/>
        <w:right w:val="none" w:sz="0" w:space="0" w:color="auto"/>
      </w:divBdr>
    </w:div>
    <w:div w:id="150609685">
      <w:bodyDiv w:val="1"/>
      <w:marLeft w:val="0"/>
      <w:marRight w:val="0"/>
      <w:marTop w:val="0"/>
      <w:marBottom w:val="0"/>
      <w:divBdr>
        <w:top w:val="none" w:sz="0" w:space="0" w:color="auto"/>
        <w:left w:val="none" w:sz="0" w:space="0" w:color="auto"/>
        <w:bottom w:val="none" w:sz="0" w:space="0" w:color="auto"/>
        <w:right w:val="none" w:sz="0" w:space="0" w:color="auto"/>
      </w:divBdr>
    </w:div>
    <w:div w:id="150754521">
      <w:bodyDiv w:val="1"/>
      <w:marLeft w:val="0"/>
      <w:marRight w:val="0"/>
      <w:marTop w:val="0"/>
      <w:marBottom w:val="0"/>
      <w:divBdr>
        <w:top w:val="none" w:sz="0" w:space="0" w:color="auto"/>
        <w:left w:val="none" w:sz="0" w:space="0" w:color="auto"/>
        <w:bottom w:val="none" w:sz="0" w:space="0" w:color="auto"/>
        <w:right w:val="none" w:sz="0" w:space="0" w:color="auto"/>
      </w:divBdr>
    </w:div>
    <w:div w:id="150798390">
      <w:bodyDiv w:val="1"/>
      <w:marLeft w:val="0"/>
      <w:marRight w:val="0"/>
      <w:marTop w:val="0"/>
      <w:marBottom w:val="0"/>
      <w:divBdr>
        <w:top w:val="none" w:sz="0" w:space="0" w:color="auto"/>
        <w:left w:val="none" w:sz="0" w:space="0" w:color="auto"/>
        <w:bottom w:val="none" w:sz="0" w:space="0" w:color="auto"/>
        <w:right w:val="none" w:sz="0" w:space="0" w:color="auto"/>
      </w:divBdr>
    </w:div>
    <w:div w:id="150828654">
      <w:bodyDiv w:val="1"/>
      <w:marLeft w:val="0"/>
      <w:marRight w:val="0"/>
      <w:marTop w:val="0"/>
      <w:marBottom w:val="0"/>
      <w:divBdr>
        <w:top w:val="none" w:sz="0" w:space="0" w:color="auto"/>
        <w:left w:val="none" w:sz="0" w:space="0" w:color="auto"/>
        <w:bottom w:val="none" w:sz="0" w:space="0" w:color="auto"/>
        <w:right w:val="none" w:sz="0" w:space="0" w:color="auto"/>
      </w:divBdr>
    </w:div>
    <w:div w:id="150829532">
      <w:bodyDiv w:val="1"/>
      <w:marLeft w:val="0"/>
      <w:marRight w:val="0"/>
      <w:marTop w:val="0"/>
      <w:marBottom w:val="0"/>
      <w:divBdr>
        <w:top w:val="none" w:sz="0" w:space="0" w:color="auto"/>
        <w:left w:val="none" w:sz="0" w:space="0" w:color="auto"/>
        <w:bottom w:val="none" w:sz="0" w:space="0" w:color="auto"/>
        <w:right w:val="none" w:sz="0" w:space="0" w:color="auto"/>
      </w:divBdr>
    </w:div>
    <w:div w:id="150878931">
      <w:bodyDiv w:val="1"/>
      <w:marLeft w:val="0"/>
      <w:marRight w:val="0"/>
      <w:marTop w:val="0"/>
      <w:marBottom w:val="0"/>
      <w:divBdr>
        <w:top w:val="none" w:sz="0" w:space="0" w:color="auto"/>
        <w:left w:val="none" w:sz="0" w:space="0" w:color="auto"/>
        <w:bottom w:val="none" w:sz="0" w:space="0" w:color="auto"/>
        <w:right w:val="none" w:sz="0" w:space="0" w:color="auto"/>
      </w:divBdr>
    </w:div>
    <w:div w:id="150948806">
      <w:bodyDiv w:val="1"/>
      <w:marLeft w:val="0"/>
      <w:marRight w:val="0"/>
      <w:marTop w:val="0"/>
      <w:marBottom w:val="0"/>
      <w:divBdr>
        <w:top w:val="none" w:sz="0" w:space="0" w:color="auto"/>
        <w:left w:val="none" w:sz="0" w:space="0" w:color="auto"/>
        <w:bottom w:val="none" w:sz="0" w:space="0" w:color="auto"/>
        <w:right w:val="none" w:sz="0" w:space="0" w:color="auto"/>
      </w:divBdr>
    </w:div>
    <w:div w:id="151026027">
      <w:bodyDiv w:val="1"/>
      <w:marLeft w:val="0"/>
      <w:marRight w:val="0"/>
      <w:marTop w:val="0"/>
      <w:marBottom w:val="0"/>
      <w:divBdr>
        <w:top w:val="none" w:sz="0" w:space="0" w:color="auto"/>
        <w:left w:val="none" w:sz="0" w:space="0" w:color="auto"/>
        <w:bottom w:val="none" w:sz="0" w:space="0" w:color="auto"/>
        <w:right w:val="none" w:sz="0" w:space="0" w:color="auto"/>
      </w:divBdr>
    </w:div>
    <w:div w:id="151143720">
      <w:bodyDiv w:val="1"/>
      <w:marLeft w:val="0"/>
      <w:marRight w:val="0"/>
      <w:marTop w:val="0"/>
      <w:marBottom w:val="0"/>
      <w:divBdr>
        <w:top w:val="none" w:sz="0" w:space="0" w:color="auto"/>
        <w:left w:val="none" w:sz="0" w:space="0" w:color="auto"/>
        <w:bottom w:val="none" w:sz="0" w:space="0" w:color="auto"/>
        <w:right w:val="none" w:sz="0" w:space="0" w:color="auto"/>
      </w:divBdr>
    </w:div>
    <w:div w:id="151263154">
      <w:bodyDiv w:val="1"/>
      <w:marLeft w:val="0"/>
      <w:marRight w:val="0"/>
      <w:marTop w:val="0"/>
      <w:marBottom w:val="0"/>
      <w:divBdr>
        <w:top w:val="none" w:sz="0" w:space="0" w:color="auto"/>
        <w:left w:val="none" w:sz="0" w:space="0" w:color="auto"/>
        <w:bottom w:val="none" w:sz="0" w:space="0" w:color="auto"/>
        <w:right w:val="none" w:sz="0" w:space="0" w:color="auto"/>
      </w:divBdr>
    </w:div>
    <w:div w:id="151332815">
      <w:bodyDiv w:val="1"/>
      <w:marLeft w:val="0"/>
      <w:marRight w:val="0"/>
      <w:marTop w:val="0"/>
      <w:marBottom w:val="0"/>
      <w:divBdr>
        <w:top w:val="none" w:sz="0" w:space="0" w:color="auto"/>
        <w:left w:val="none" w:sz="0" w:space="0" w:color="auto"/>
        <w:bottom w:val="none" w:sz="0" w:space="0" w:color="auto"/>
        <w:right w:val="none" w:sz="0" w:space="0" w:color="auto"/>
      </w:divBdr>
    </w:div>
    <w:div w:id="151530672">
      <w:bodyDiv w:val="1"/>
      <w:marLeft w:val="0"/>
      <w:marRight w:val="0"/>
      <w:marTop w:val="0"/>
      <w:marBottom w:val="0"/>
      <w:divBdr>
        <w:top w:val="none" w:sz="0" w:space="0" w:color="auto"/>
        <w:left w:val="none" w:sz="0" w:space="0" w:color="auto"/>
        <w:bottom w:val="none" w:sz="0" w:space="0" w:color="auto"/>
        <w:right w:val="none" w:sz="0" w:space="0" w:color="auto"/>
      </w:divBdr>
    </w:div>
    <w:div w:id="151601358">
      <w:bodyDiv w:val="1"/>
      <w:marLeft w:val="0"/>
      <w:marRight w:val="0"/>
      <w:marTop w:val="0"/>
      <w:marBottom w:val="0"/>
      <w:divBdr>
        <w:top w:val="none" w:sz="0" w:space="0" w:color="auto"/>
        <w:left w:val="none" w:sz="0" w:space="0" w:color="auto"/>
        <w:bottom w:val="none" w:sz="0" w:space="0" w:color="auto"/>
        <w:right w:val="none" w:sz="0" w:space="0" w:color="auto"/>
      </w:divBdr>
    </w:div>
    <w:div w:id="151718214">
      <w:bodyDiv w:val="1"/>
      <w:marLeft w:val="0"/>
      <w:marRight w:val="0"/>
      <w:marTop w:val="0"/>
      <w:marBottom w:val="0"/>
      <w:divBdr>
        <w:top w:val="none" w:sz="0" w:space="0" w:color="auto"/>
        <w:left w:val="none" w:sz="0" w:space="0" w:color="auto"/>
        <w:bottom w:val="none" w:sz="0" w:space="0" w:color="auto"/>
        <w:right w:val="none" w:sz="0" w:space="0" w:color="auto"/>
      </w:divBdr>
    </w:div>
    <w:div w:id="151801301">
      <w:bodyDiv w:val="1"/>
      <w:marLeft w:val="0"/>
      <w:marRight w:val="0"/>
      <w:marTop w:val="0"/>
      <w:marBottom w:val="0"/>
      <w:divBdr>
        <w:top w:val="none" w:sz="0" w:space="0" w:color="auto"/>
        <w:left w:val="none" w:sz="0" w:space="0" w:color="auto"/>
        <w:bottom w:val="none" w:sz="0" w:space="0" w:color="auto"/>
        <w:right w:val="none" w:sz="0" w:space="0" w:color="auto"/>
      </w:divBdr>
    </w:div>
    <w:div w:id="151801816">
      <w:bodyDiv w:val="1"/>
      <w:marLeft w:val="0"/>
      <w:marRight w:val="0"/>
      <w:marTop w:val="0"/>
      <w:marBottom w:val="0"/>
      <w:divBdr>
        <w:top w:val="none" w:sz="0" w:space="0" w:color="auto"/>
        <w:left w:val="none" w:sz="0" w:space="0" w:color="auto"/>
        <w:bottom w:val="none" w:sz="0" w:space="0" w:color="auto"/>
        <w:right w:val="none" w:sz="0" w:space="0" w:color="auto"/>
      </w:divBdr>
    </w:div>
    <w:div w:id="151915547">
      <w:bodyDiv w:val="1"/>
      <w:marLeft w:val="0"/>
      <w:marRight w:val="0"/>
      <w:marTop w:val="0"/>
      <w:marBottom w:val="0"/>
      <w:divBdr>
        <w:top w:val="none" w:sz="0" w:space="0" w:color="auto"/>
        <w:left w:val="none" w:sz="0" w:space="0" w:color="auto"/>
        <w:bottom w:val="none" w:sz="0" w:space="0" w:color="auto"/>
        <w:right w:val="none" w:sz="0" w:space="0" w:color="auto"/>
      </w:divBdr>
    </w:div>
    <w:div w:id="151921111">
      <w:bodyDiv w:val="1"/>
      <w:marLeft w:val="0"/>
      <w:marRight w:val="0"/>
      <w:marTop w:val="0"/>
      <w:marBottom w:val="0"/>
      <w:divBdr>
        <w:top w:val="none" w:sz="0" w:space="0" w:color="auto"/>
        <w:left w:val="none" w:sz="0" w:space="0" w:color="auto"/>
        <w:bottom w:val="none" w:sz="0" w:space="0" w:color="auto"/>
        <w:right w:val="none" w:sz="0" w:space="0" w:color="auto"/>
      </w:divBdr>
    </w:div>
    <w:div w:id="151994457">
      <w:bodyDiv w:val="1"/>
      <w:marLeft w:val="0"/>
      <w:marRight w:val="0"/>
      <w:marTop w:val="0"/>
      <w:marBottom w:val="0"/>
      <w:divBdr>
        <w:top w:val="none" w:sz="0" w:space="0" w:color="auto"/>
        <w:left w:val="none" w:sz="0" w:space="0" w:color="auto"/>
        <w:bottom w:val="none" w:sz="0" w:space="0" w:color="auto"/>
        <w:right w:val="none" w:sz="0" w:space="0" w:color="auto"/>
      </w:divBdr>
    </w:div>
    <w:div w:id="152069373">
      <w:bodyDiv w:val="1"/>
      <w:marLeft w:val="0"/>
      <w:marRight w:val="0"/>
      <w:marTop w:val="0"/>
      <w:marBottom w:val="0"/>
      <w:divBdr>
        <w:top w:val="none" w:sz="0" w:space="0" w:color="auto"/>
        <w:left w:val="none" w:sz="0" w:space="0" w:color="auto"/>
        <w:bottom w:val="none" w:sz="0" w:space="0" w:color="auto"/>
        <w:right w:val="none" w:sz="0" w:space="0" w:color="auto"/>
      </w:divBdr>
    </w:div>
    <w:div w:id="152185086">
      <w:bodyDiv w:val="1"/>
      <w:marLeft w:val="0"/>
      <w:marRight w:val="0"/>
      <w:marTop w:val="0"/>
      <w:marBottom w:val="0"/>
      <w:divBdr>
        <w:top w:val="none" w:sz="0" w:space="0" w:color="auto"/>
        <w:left w:val="none" w:sz="0" w:space="0" w:color="auto"/>
        <w:bottom w:val="none" w:sz="0" w:space="0" w:color="auto"/>
        <w:right w:val="none" w:sz="0" w:space="0" w:color="auto"/>
      </w:divBdr>
    </w:div>
    <w:div w:id="152332481">
      <w:bodyDiv w:val="1"/>
      <w:marLeft w:val="0"/>
      <w:marRight w:val="0"/>
      <w:marTop w:val="0"/>
      <w:marBottom w:val="0"/>
      <w:divBdr>
        <w:top w:val="none" w:sz="0" w:space="0" w:color="auto"/>
        <w:left w:val="none" w:sz="0" w:space="0" w:color="auto"/>
        <w:bottom w:val="none" w:sz="0" w:space="0" w:color="auto"/>
        <w:right w:val="none" w:sz="0" w:space="0" w:color="auto"/>
      </w:divBdr>
    </w:div>
    <w:div w:id="152379288">
      <w:bodyDiv w:val="1"/>
      <w:marLeft w:val="0"/>
      <w:marRight w:val="0"/>
      <w:marTop w:val="0"/>
      <w:marBottom w:val="0"/>
      <w:divBdr>
        <w:top w:val="none" w:sz="0" w:space="0" w:color="auto"/>
        <w:left w:val="none" w:sz="0" w:space="0" w:color="auto"/>
        <w:bottom w:val="none" w:sz="0" w:space="0" w:color="auto"/>
        <w:right w:val="none" w:sz="0" w:space="0" w:color="auto"/>
      </w:divBdr>
    </w:div>
    <w:div w:id="152454916">
      <w:bodyDiv w:val="1"/>
      <w:marLeft w:val="0"/>
      <w:marRight w:val="0"/>
      <w:marTop w:val="0"/>
      <w:marBottom w:val="0"/>
      <w:divBdr>
        <w:top w:val="none" w:sz="0" w:space="0" w:color="auto"/>
        <w:left w:val="none" w:sz="0" w:space="0" w:color="auto"/>
        <w:bottom w:val="none" w:sz="0" w:space="0" w:color="auto"/>
        <w:right w:val="none" w:sz="0" w:space="0" w:color="auto"/>
      </w:divBdr>
    </w:div>
    <w:div w:id="152455795">
      <w:bodyDiv w:val="1"/>
      <w:marLeft w:val="0"/>
      <w:marRight w:val="0"/>
      <w:marTop w:val="0"/>
      <w:marBottom w:val="0"/>
      <w:divBdr>
        <w:top w:val="none" w:sz="0" w:space="0" w:color="auto"/>
        <w:left w:val="none" w:sz="0" w:space="0" w:color="auto"/>
        <w:bottom w:val="none" w:sz="0" w:space="0" w:color="auto"/>
        <w:right w:val="none" w:sz="0" w:space="0" w:color="auto"/>
      </w:divBdr>
    </w:div>
    <w:div w:id="152458078">
      <w:bodyDiv w:val="1"/>
      <w:marLeft w:val="0"/>
      <w:marRight w:val="0"/>
      <w:marTop w:val="0"/>
      <w:marBottom w:val="0"/>
      <w:divBdr>
        <w:top w:val="none" w:sz="0" w:space="0" w:color="auto"/>
        <w:left w:val="none" w:sz="0" w:space="0" w:color="auto"/>
        <w:bottom w:val="none" w:sz="0" w:space="0" w:color="auto"/>
        <w:right w:val="none" w:sz="0" w:space="0" w:color="auto"/>
      </w:divBdr>
    </w:div>
    <w:div w:id="152525759">
      <w:bodyDiv w:val="1"/>
      <w:marLeft w:val="0"/>
      <w:marRight w:val="0"/>
      <w:marTop w:val="0"/>
      <w:marBottom w:val="0"/>
      <w:divBdr>
        <w:top w:val="none" w:sz="0" w:space="0" w:color="auto"/>
        <w:left w:val="none" w:sz="0" w:space="0" w:color="auto"/>
        <w:bottom w:val="none" w:sz="0" w:space="0" w:color="auto"/>
        <w:right w:val="none" w:sz="0" w:space="0" w:color="auto"/>
      </w:divBdr>
    </w:div>
    <w:div w:id="152527000">
      <w:bodyDiv w:val="1"/>
      <w:marLeft w:val="0"/>
      <w:marRight w:val="0"/>
      <w:marTop w:val="0"/>
      <w:marBottom w:val="0"/>
      <w:divBdr>
        <w:top w:val="none" w:sz="0" w:space="0" w:color="auto"/>
        <w:left w:val="none" w:sz="0" w:space="0" w:color="auto"/>
        <w:bottom w:val="none" w:sz="0" w:space="0" w:color="auto"/>
        <w:right w:val="none" w:sz="0" w:space="0" w:color="auto"/>
      </w:divBdr>
    </w:div>
    <w:div w:id="152528143">
      <w:bodyDiv w:val="1"/>
      <w:marLeft w:val="0"/>
      <w:marRight w:val="0"/>
      <w:marTop w:val="0"/>
      <w:marBottom w:val="0"/>
      <w:divBdr>
        <w:top w:val="none" w:sz="0" w:space="0" w:color="auto"/>
        <w:left w:val="none" w:sz="0" w:space="0" w:color="auto"/>
        <w:bottom w:val="none" w:sz="0" w:space="0" w:color="auto"/>
        <w:right w:val="none" w:sz="0" w:space="0" w:color="auto"/>
      </w:divBdr>
    </w:div>
    <w:div w:id="152533235">
      <w:bodyDiv w:val="1"/>
      <w:marLeft w:val="0"/>
      <w:marRight w:val="0"/>
      <w:marTop w:val="0"/>
      <w:marBottom w:val="0"/>
      <w:divBdr>
        <w:top w:val="none" w:sz="0" w:space="0" w:color="auto"/>
        <w:left w:val="none" w:sz="0" w:space="0" w:color="auto"/>
        <w:bottom w:val="none" w:sz="0" w:space="0" w:color="auto"/>
        <w:right w:val="none" w:sz="0" w:space="0" w:color="auto"/>
      </w:divBdr>
    </w:div>
    <w:div w:id="152569587">
      <w:bodyDiv w:val="1"/>
      <w:marLeft w:val="0"/>
      <w:marRight w:val="0"/>
      <w:marTop w:val="0"/>
      <w:marBottom w:val="0"/>
      <w:divBdr>
        <w:top w:val="none" w:sz="0" w:space="0" w:color="auto"/>
        <w:left w:val="none" w:sz="0" w:space="0" w:color="auto"/>
        <w:bottom w:val="none" w:sz="0" w:space="0" w:color="auto"/>
        <w:right w:val="none" w:sz="0" w:space="0" w:color="auto"/>
      </w:divBdr>
    </w:div>
    <w:div w:id="152569821">
      <w:bodyDiv w:val="1"/>
      <w:marLeft w:val="0"/>
      <w:marRight w:val="0"/>
      <w:marTop w:val="0"/>
      <w:marBottom w:val="0"/>
      <w:divBdr>
        <w:top w:val="none" w:sz="0" w:space="0" w:color="auto"/>
        <w:left w:val="none" w:sz="0" w:space="0" w:color="auto"/>
        <w:bottom w:val="none" w:sz="0" w:space="0" w:color="auto"/>
        <w:right w:val="none" w:sz="0" w:space="0" w:color="auto"/>
      </w:divBdr>
    </w:div>
    <w:div w:id="152720998">
      <w:bodyDiv w:val="1"/>
      <w:marLeft w:val="0"/>
      <w:marRight w:val="0"/>
      <w:marTop w:val="0"/>
      <w:marBottom w:val="0"/>
      <w:divBdr>
        <w:top w:val="none" w:sz="0" w:space="0" w:color="auto"/>
        <w:left w:val="none" w:sz="0" w:space="0" w:color="auto"/>
        <w:bottom w:val="none" w:sz="0" w:space="0" w:color="auto"/>
        <w:right w:val="none" w:sz="0" w:space="0" w:color="auto"/>
      </w:divBdr>
    </w:div>
    <w:div w:id="152767465">
      <w:bodyDiv w:val="1"/>
      <w:marLeft w:val="0"/>
      <w:marRight w:val="0"/>
      <w:marTop w:val="0"/>
      <w:marBottom w:val="0"/>
      <w:divBdr>
        <w:top w:val="none" w:sz="0" w:space="0" w:color="auto"/>
        <w:left w:val="none" w:sz="0" w:space="0" w:color="auto"/>
        <w:bottom w:val="none" w:sz="0" w:space="0" w:color="auto"/>
        <w:right w:val="none" w:sz="0" w:space="0" w:color="auto"/>
      </w:divBdr>
    </w:div>
    <w:div w:id="152839430">
      <w:bodyDiv w:val="1"/>
      <w:marLeft w:val="0"/>
      <w:marRight w:val="0"/>
      <w:marTop w:val="0"/>
      <w:marBottom w:val="0"/>
      <w:divBdr>
        <w:top w:val="none" w:sz="0" w:space="0" w:color="auto"/>
        <w:left w:val="none" w:sz="0" w:space="0" w:color="auto"/>
        <w:bottom w:val="none" w:sz="0" w:space="0" w:color="auto"/>
        <w:right w:val="none" w:sz="0" w:space="0" w:color="auto"/>
      </w:divBdr>
    </w:div>
    <w:div w:id="152842313">
      <w:bodyDiv w:val="1"/>
      <w:marLeft w:val="0"/>
      <w:marRight w:val="0"/>
      <w:marTop w:val="0"/>
      <w:marBottom w:val="0"/>
      <w:divBdr>
        <w:top w:val="none" w:sz="0" w:space="0" w:color="auto"/>
        <w:left w:val="none" w:sz="0" w:space="0" w:color="auto"/>
        <w:bottom w:val="none" w:sz="0" w:space="0" w:color="auto"/>
        <w:right w:val="none" w:sz="0" w:space="0" w:color="auto"/>
      </w:divBdr>
    </w:div>
    <w:div w:id="152913418">
      <w:bodyDiv w:val="1"/>
      <w:marLeft w:val="0"/>
      <w:marRight w:val="0"/>
      <w:marTop w:val="0"/>
      <w:marBottom w:val="0"/>
      <w:divBdr>
        <w:top w:val="none" w:sz="0" w:space="0" w:color="auto"/>
        <w:left w:val="none" w:sz="0" w:space="0" w:color="auto"/>
        <w:bottom w:val="none" w:sz="0" w:space="0" w:color="auto"/>
        <w:right w:val="none" w:sz="0" w:space="0" w:color="auto"/>
      </w:divBdr>
    </w:div>
    <w:div w:id="152914364">
      <w:bodyDiv w:val="1"/>
      <w:marLeft w:val="0"/>
      <w:marRight w:val="0"/>
      <w:marTop w:val="0"/>
      <w:marBottom w:val="0"/>
      <w:divBdr>
        <w:top w:val="none" w:sz="0" w:space="0" w:color="auto"/>
        <w:left w:val="none" w:sz="0" w:space="0" w:color="auto"/>
        <w:bottom w:val="none" w:sz="0" w:space="0" w:color="auto"/>
        <w:right w:val="none" w:sz="0" w:space="0" w:color="auto"/>
      </w:divBdr>
    </w:div>
    <w:div w:id="152917283">
      <w:bodyDiv w:val="1"/>
      <w:marLeft w:val="0"/>
      <w:marRight w:val="0"/>
      <w:marTop w:val="0"/>
      <w:marBottom w:val="0"/>
      <w:divBdr>
        <w:top w:val="none" w:sz="0" w:space="0" w:color="auto"/>
        <w:left w:val="none" w:sz="0" w:space="0" w:color="auto"/>
        <w:bottom w:val="none" w:sz="0" w:space="0" w:color="auto"/>
        <w:right w:val="none" w:sz="0" w:space="0" w:color="auto"/>
      </w:divBdr>
    </w:div>
    <w:div w:id="152962824">
      <w:bodyDiv w:val="1"/>
      <w:marLeft w:val="0"/>
      <w:marRight w:val="0"/>
      <w:marTop w:val="0"/>
      <w:marBottom w:val="0"/>
      <w:divBdr>
        <w:top w:val="none" w:sz="0" w:space="0" w:color="auto"/>
        <w:left w:val="none" w:sz="0" w:space="0" w:color="auto"/>
        <w:bottom w:val="none" w:sz="0" w:space="0" w:color="auto"/>
        <w:right w:val="none" w:sz="0" w:space="0" w:color="auto"/>
      </w:divBdr>
    </w:div>
    <w:div w:id="152992477">
      <w:bodyDiv w:val="1"/>
      <w:marLeft w:val="0"/>
      <w:marRight w:val="0"/>
      <w:marTop w:val="0"/>
      <w:marBottom w:val="0"/>
      <w:divBdr>
        <w:top w:val="none" w:sz="0" w:space="0" w:color="auto"/>
        <w:left w:val="none" w:sz="0" w:space="0" w:color="auto"/>
        <w:bottom w:val="none" w:sz="0" w:space="0" w:color="auto"/>
        <w:right w:val="none" w:sz="0" w:space="0" w:color="auto"/>
      </w:divBdr>
    </w:div>
    <w:div w:id="153105784">
      <w:bodyDiv w:val="1"/>
      <w:marLeft w:val="0"/>
      <w:marRight w:val="0"/>
      <w:marTop w:val="0"/>
      <w:marBottom w:val="0"/>
      <w:divBdr>
        <w:top w:val="none" w:sz="0" w:space="0" w:color="auto"/>
        <w:left w:val="none" w:sz="0" w:space="0" w:color="auto"/>
        <w:bottom w:val="none" w:sz="0" w:space="0" w:color="auto"/>
        <w:right w:val="none" w:sz="0" w:space="0" w:color="auto"/>
      </w:divBdr>
    </w:div>
    <w:div w:id="153181401">
      <w:bodyDiv w:val="1"/>
      <w:marLeft w:val="0"/>
      <w:marRight w:val="0"/>
      <w:marTop w:val="0"/>
      <w:marBottom w:val="0"/>
      <w:divBdr>
        <w:top w:val="none" w:sz="0" w:space="0" w:color="auto"/>
        <w:left w:val="none" w:sz="0" w:space="0" w:color="auto"/>
        <w:bottom w:val="none" w:sz="0" w:space="0" w:color="auto"/>
        <w:right w:val="none" w:sz="0" w:space="0" w:color="auto"/>
      </w:divBdr>
    </w:div>
    <w:div w:id="153299134">
      <w:bodyDiv w:val="1"/>
      <w:marLeft w:val="0"/>
      <w:marRight w:val="0"/>
      <w:marTop w:val="0"/>
      <w:marBottom w:val="0"/>
      <w:divBdr>
        <w:top w:val="none" w:sz="0" w:space="0" w:color="auto"/>
        <w:left w:val="none" w:sz="0" w:space="0" w:color="auto"/>
        <w:bottom w:val="none" w:sz="0" w:space="0" w:color="auto"/>
        <w:right w:val="none" w:sz="0" w:space="0" w:color="auto"/>
      </w:divBdr>
    </w:div>
    <w:div w:id="153375669">
      <w:bodyDiv w:val="1"/>
      <w:marLeft w:val="0"/>
      <w:marRight w:val="0"/>
      <w:marTop w:val="0"/>
      <w:marBottom w:val="0"/>
      <w:divBdr>
        <w:top w:val="none" w:sz="0" w:space="0" w:color="auto"/>
        <w:left w:val="none" w:sz="0" w:space="0" w:color="auto"/>
        <w:bottom w:val="none" w:sz="0" w:space="0" w:color="auto"/>
        <w:right w:val="none" w:sz="0" w:space="0" w:color="auto"/>
      </w:divBdr>
    </w:div>
    <w:div w:id="153495834">
      <w:bodyDiv w:val="1"/>
      <w:marLeft w:val="0"/>
      <w:marRight w:val="0"/>
      <w:marTop w:val="0"/>
      <w:marBottom w:val="0"/>
      <w:divBdr>
        <w:top w:val="none" w:sz="0" w:space="0" w:color="auto"/>
        <w:left w:val="none" w:sz="0" w:space="0" w:color="auto"/>
        <w:bottom w:val="none" w:sz="0" w:space="0" w:color="auto"/>
        <w:right w:val="none" w:sz="0" w:space="0" w:color="auto"/>
      </w:divBdr>
    </w:div>
    <w:div w:id="153575281">
      <w:bodyDiv w:val="1"/>
      <w:marLeft w:val="0"/>
      <w:marRight w:val="0"/>
      <w:marTop w:val="0"/>
      <w:marBottom w:val="0"/>
      <w:divBdr>
        <w:top w:val="none" w:sz="0" w:space="0" w:color="auto"/>
        <w:left w:val="none" w:sz="0" w:space="0" w:color="auto"/>
        <w:bottom w:val="none" w:sz="0" w:space="0" w:color="auto"/>
        <w:right w:val="none" w:sz="0" w:space="0" w:color="auto"/>
      </w:divBdr>
    </w:div>
    <w:div w:id="153684628">
      <w:bodyDiv w:val="1"/>
      <w:marLeft w:val="0"/>
      <w:marRight w:val="0"/>
      <w:marTop w:val="0"/>
      <w:marBottom w:val="0"/>
      <w:divBdr>
        <w:top w:val="none" w:sz="0" w:space="0" w:color="auto"/>
        <w:left w:val="none" w:sz="0" w:space="0" w:color="auto"/>
        <w:bottom w:val="none" w:sz="0" w:space="0" w:color="auto"/>
        <w:right w:val="none" w:sz="0" w:space="0" w:color="auto"/>
      </w:divBdr>
    </w:div>
    <w:div w:id="153689236">
      <w:bodyDiv w:val="1"/>
      <w:marLeft w:val="0"/>
      <w:marRight w:val="0"/>
      <w:marTop w:val="0"/>
      <w:marBottom w:val="0"/>
      <w:divBdr>
        <w:top w:val="none" w:sz="0" w:space="0" w:color="auto"/>
        <w:left w:val="none" w:sz="0" w:space="0" w:color="auto"/>
        <w:bottom w:val="none" w:sz="0" w:space="0" w:color="auto"/>
        <w:right w:val="none" w:sz="0" w:space="0" w:color="auto"/>
      </w:divBdr>
    </w:div>
    <w:div w:id="153836133">
      <w:bodyDiv w:val="1"/>
      <w:marLeft w:val="0"/>
      <w:marRight w:val="0"/>
      <w:marTop w:val="0"/>
      <w:marBottom w:val="0"/>
      <w:divBdr>
        <w:top w:val="none" w:sz="0" w:space="0" w:color="auto"/>
        <w:left w:val="none" w:sz="0" w:space="0" w:color="auto"/>
        <w:bottom w:val="none" w:sz="0" w:space="0" w:color="auto"/>
        <w:right w:val="none" w:sz="0" w:space="0" w:color="auto"/>
      </w:divBdr>
    </w:div>
    <w:div w:id="154106116">
      <w:bodyDiv w:val="1"/>
      <w:marLeft w:val="0"/>
      <w:marRight w:val="0"/>
      <w:marTop w:val="0"/>
      <w:marBottom w:val="0"/>
      <w:divBdr>
        <w:top w:val="none" w:sz="0" w:space="0" w:color="auto"/>
        <w:left w:val="none" w:sz="0" w:space="0" w:color="auto"/>
        <w:bottom w:val="none" w:sz="0" w:space="0" w:color="auto"/>
        <w:right w:val="none" w:sz="0" w:space="0" w:color="auto"/>
      </w:divBdr>
    </w:div>
    <w:div w:id="154153973">
      <w:bodyDiv w:val="1"/>
      <w:marLeft w:val="0"/>
      <w:marRight w:val="0"/>
      <w:marTop w:val="0"/>
      <w:marBottom w:val="0"/>
      <w:divBdr>
        <w:top w:val="none" w:sz="0" w:space="0" w:color="auto"/>
        <w:left w:val="none" w:sz="0" w:space="0" w:color="auto"/>
        <w:bottom w:val="none" w:sz="0" w:space="0" w:color="auto"/>
        <w:right w:val="none" w:sz="0" w:space="0" w:color="auto"/>
      </w:divBdr>
    </w:div>
    <w:div w:id="154226490">
      <w:bodyDiv w:val="1"/>
      <w:marLeft w:val="0"/>
      <w:marRight w:val="0"/>
      <w:marTop w:val="0"/>
      <w:marBottom w:val="0"/>
      <w:divBdr>
        <w:top w:val="none" w:sz="0" w:space="0" w:color="auto"/>
        <w:left w:val="none" w:sz="0" w:space="0" w:color="auto"/>
        <w:bottom w:val="none" w:sz="0" w:space="0" w:color="auto"/>
        <w:right w:val="none" w:sz="0" w:space="0" w:color="auto"/>
      </w:divBdr>
    </w:div>
    <w:div w:id="154230859">
      <w:bodyDiv w:val="1"/>
      <w:marLeft w:val="0"/>
      <w:marRight w:val="0"/>
      <w:marTop w:val="0"/>
      <w:marBottom w:val="0"/>
      <w:divBdr>
        <w:top w:val="none" w:sz="0" w:space="0" w:color="auto"/>
        <w:left w:val="none" w:sz="0" w:space="0" w:color="auto"/>
        <w:bottom w:val="none" w:sz="0" w:space="0" w:color="auto"/>
        <w:right w:val="none" w:sz="0" w:space="0" w:color="auto"/>
      </w:divBdr>
    </w:div>
    <w:div w:id="154300615">
      <w:bodyDiv w:val="1"/>
      <w:marLeft w:val="0"/>
      <w:marRight w:val="0"/>
      <w:marTop w:val="0"/>
      <w:marBottom w:val="0"/>
      <w:divBdr>
        <w:top w:val="none" w:sz="0" w:space="0" w:color="auto"/>
        <w:left w:val="none" w:sz="0" w:space="0" w:color="auto"/>
        <w:bottom w:val="none" w:sz="0" w:space="0" w:color="auto"/>
        <w:right w:val="none" w:sz="0" w:space="0" w:color="auto"/>
      </w:divBdr>
    </w:div>
    <w:div w:id="154341613">
      <w:bodyDiv w:val="1"/>
      <w:marLeft w:val="0"/>
      <w:marRight w:val="0"/>
      <w:marTop w:val="0"/>
      <w:marBottom w:val="0"/>
      <w:divBdr>
        <w:top w:val="none" w:sz="0" w:space="0" w:color="auto"/>
        <w:left w:val="none" w:sz="0" w:space="0" w:color="auto"/>
        <w:bottom w:val="none" w:sz="0" w:space="0" w:color="auto"/>
        <w:right w:val="none" w:sz="0" w:space="0" w:color="auto"/>
      </w:divBdr>
    </w:div>
    <w:div w:id="154414619">
      <w:bodyDiv w:val="1"/>
      <w:marLeft w:val="0"/>
      <w:marRight w:val="0"/>
      <w:marTop w:val="0"/>
      <w:marBottom w:val="0"/>
      <w:divBdr>
        <w:top w:val="none" w:sz="0" w:space="0" w:color="auto"/>
        <w:left w:val="none" w:sz="0" w:space="0" w:color="auto"/>
        <w:bottom w:val="none" w:sz="0" w:space="0" w:color="auto"/>
        <w:right w:val="none" w:sz="0" w:space="0" w:color="auto"/>
      </w:divBdr>
    </w:div>
    <w:div w:id="154876488">
      <w:bodyDiv w:val="1"/>
      <w:marLeft w:val="0"/>
      <w:marRight w:val="0"/>
      <w:marTop w:val="0"/>
      <w:marBottom w:val="0"/>
      <w:divBdr>
        <w:top w:val="none" w:sz="0" w:space="0" w:color="auto"/>
        <w:left w:val="none" w:sz="0" w:space="0" w:color="auto"/>
        <w:bottom w:val="none" w:sz="0" w:space="0" w:color="auto"/>
        <w:right w:val="none" w:sz="0" w:space="0" w:color="auto"/>
      </w:divBdr>
    </w:div>
    <w:div w:id="154882506">
      <w:bodyDiv w:val="1"/>
      <w:marLeft w:val="0"/>
      <w:marRight w:val="0"/>
      <w:marTop w:val="0"/>
      <w:marBottom w:val="0"/>
      <w:divBdr>
        <w:top w:val="none" w:sz="0" w:space="0" w:color="auto"/>
        <w:left w:val="none" w:sz="0" w:space="0" w:color="auto"/>
        <w:bottom w:val="none" w:sz="0" w:space="0" w:color="auto"/>
        <w:right w:val="none" w:sz="0" w:space="0" w:color="auto"/>
      </w:divBdr>
    </w:div>
    <w:div w:id="154958612">
      <w:bodyDiv w:val="1"/>
      <w:marLeft w:val="0"/>
      <w:marRight w:val="0"/>
      <w:marTop w:val="0"/>
      <w:marBottom w:val="0"/>
      <w:divBdr>
        <w:top w:val="none" w:sz="0" w:space="0" w:color="auto"/>
        <w:left w:val="none" w:sz="0" w:space="0" w:color="auto"/>
        <w:bottom w:val="none" w:sz="0" w:space="0" w:color="auto"/>
        <w:right w:val="none" w:sz="0" w:space="0" w:color="auto"/>
      </w:divBdr>
    </w:div>
    <w:div w:id="154995222">
      <w:bodyDiv w:val="1"/>
      <w:marLeft w:val="0"/>
      <w:marRight w:val="0"/>
      <w:marTop w:val="0"/>
      <w:marBottom w:val="0"/>
      <w:divBdr>
        <w:top w:val="none" w:sz="0" w:space="0" w:color="auto"/>
        <w:left w:val="none" w:sz="0" w:space="0" w:color="auto"/>
        <w:bottom w:val="none" w:sz="0" w:space="0" w:color="auto"/>
        <w:right w:val="none" w:sz="0" w:space="0" w:color="auto"/>
      </w:divBdr>
    </w:div>
    <w:div w:id="155153248">
      <w:bodyDiv w:val="1"/>
      <w:marLeft w:val="0"/>
      <w:marRight w:val="0"/>
      <w:marTop w:val="0"/>
      <w:marBottom w:val="0"/>
      <w:divBdr>
        <w:top w:val="none" w:sz="0" w:space="0" w:color="auto"/>
        <w:left w:val="none" w:sz="0" w:space="0" w:color="auto"/>
        <w:bottom w:val="none" w:sz="0" w:space="0" w:color="auto"/>
        <w:right w:val="none" w:sz="0" w:space="0" w:color="auto"/>
      </w:divBdr>
    </w:div>
    <w:div w:id="155189790">
      <w:bodyDiv w:val="1"/>
      <w:marLeft w:val="0"/>
      <w:marRight w:val="0"/>
      <w:marTop w:val="0"/>
      <w:marBottom w:val="0"/>
      <w:divBdr>
        <w:top w:val="none" w:sz="0" w:space="0" w:color="auto"/>
        <w:left w:val="none" w:sz="0" w:space="0" w:color="auto"/>
        <w:bottom w:val="none" w:sz="0" w:space="0" w:color="auto"/>
        <w:right w:val="none" w:sz="0" w:space="0" w:color="auto"/>
      </w:divBdr>
    </w:div>
    <w:div w:id="155193812">
      <w:bodyDiv w:val="1"/>
      <w:marLeft w:val="0"/>
      <w:marRight w:val="0"/>
      <w:marTop w:val="0"/>
      <w:marBottom w:val="0"/>
      <w:divBdr>
        <w:top w:val="none" w:sz="0" w:space="0" w:color="auto"/>
        <w:left w:val="none" w:sz="0" w:space="0" w:color="auto"/>
        <w:bottom w:val="none" w:sz="0" w:space="0" w:color="auto"/>
        <w:right w:val="none" w:sz="0" w:space="0" w:color="auto"/>
      </w:divBdr>
    </w:div>
    <w:div w:id="155196624">
      <w:bodyDiv w:val="1"/>
      <w:marLeft w:val="0"/>
      <w:marRight w:val="0"/>
      <w:marTop w:val="0"/>
      <w:marBottom w:val="0"/>
      <w:divBdr>
        <w:top w:val="none" w:sz="0" w:space="0" w:color="auto"/>
        <w:left w:val="none" w:sz="0" w:space="0" w:color="auto"/>
        <w:bottom w:val="none" w:sz="0" w:space="0" w:color="auto"/>
        <w:right w:val="none" w:sz="0" w:space="0" w:color="auto"/>
      </w:divBdr>
    </w:div>
    <w:div w:id="155342397">
      <w:bodyDiv w:val="1"/>
      <w:marLeft w:val="0"/>
      <w:marRight w:val="0"/>
      <w:marTop w:val="0"/>
      <w:marBottom w:val="0"/>
      <w:divBdr>
        <w:top w:val="none" w:sz="0" w:space="0" w:color="auto"/>
        <w:left w:val="none" w:sz="0" w:space="0" w:color="auto"/>
        <w:bottom w:val="none" w:sz="0" w:space="0" w:color="auto"/>
        <w:right w:val="none" w:sz="0" w:space="0" w:color="auto"/>
      </w:divBdr>
    </w:div>
    <w:div w:id="155463356">
      <w:bodyDiv w:val="1"/>
      <w:marLeft w:val="0"/>
      <w:marRight w:val="0"/>
      <w:marTop w:val="0"/>
      <w:marBottom w:val="0"/>
      <w:divBdr>
        <w:top w:val="none" w:sz="0" w:space="0" w:color="auto"/>
        <w:left w:val="none" w:sz="0" w:space="0" w:color="auto"/>
        <w:bottom w:val="none" w:sz="0" w:space="0" w:color="auto"/>
        <w:right w:val="none" w:sz="0" w:space="0" w:color="auto"/>
      </w:divBdr>
    </w:div>
    <w:div w:id="155533084">
      <w:bodyDiv w:val="1"/>
      <w:marLeft w:val="0"/>
      <w:marRight w:val="0"/>
      <w:marTop w:val="0"/>
      <w:marBottom w:val="0"/>
      <w:divBdr>
        <w:top w:val="none" w:sz="0" w:space="0" w:color="auto"/>
        <w:left w:val="none" w:sz="0" w:space="0" w:color="auto"/>
        <w:bottom w:val="none" w:sz="0" w:space="0" w:color="auto"/>
        <w:right w:val="none" w:sz="0" w:space="0" w:color="auto"/>
      </w:divBdr>
    </w:div>
    <w:div w:id="155733824">
      <w:bodyDiv w:val="1"/>
      <w:marLeft w:val="0"/>
      <w:marRight w:val="0"/>
      <w:marTop w:val="0"/>
      <w:marBottom w:val="0"/>
      <w:divBdr>
        <w:top w:val="none" w:sz="0" w:space="0" w:color="auto"/>
        <w:left w:val="none" w:sz="0" w:space="0" w:color="auto"/>
        <w:bottom w:val="none" w:sz="0" w:space="0" w:color="auto"/>
        <w:right w:val="none" w:sz="0" w:space="0" w:color="auto"/>
      </w:divBdr>
    </w:div>
    <w:div w:id="155801866">
      <w:bodyDiv w:val="1"/>
      <w:marLeft w:val="0"/>
      <w:marRight w:val="0"/>
      <w:marTop w:val="0"/>
      <w:marBottom w:val="0"/>
      <w:divBdr>
        <w:top w:val="none" w:sz="0" w:space="0" w:color="auto"/>
        <w:left w:val="none" w:sz="0" w:space="0" w:color="auto"/>
        <w:bottom w:val="none" w:sz="0" w:space="0" w:color="auto"/>
        <w:right w:val="none" w:sz="0" w:space="0" w:color="auto"/>
      </w:divBdr>
    </w:div>
    <w:div w:id="155920746">
      <w:bodyDiv w:val="1"/>
      <w:marLeft w:val="0"/>
      <w:marRight w:val="0"/>
      <w:marTop w:val="0"/>
      <w:marBottom w:val="0"/>
      <w:divBdr>
        <w:top w:val="none" w:sz="0" w:space="0" w:color="auto"/>
        <w:left w:val="none" w:sz="0" w:space="0" w:color="auto"/>
        <w:bottom w:val="none" w:sz="0" w:space="0" w:color="auto"/>
        <w:right w:val="none" w:sz="0" w:space="0" w:color="auto"/>
      </w:divBdr>
    </w:div>
    <w:div w:id="155921935">
      <w:bodyDiv w:val="1"/>
      <w:marLeft w:val="0"/>
      <w:marRight w:val="0"/>
      <w:marTop w:val="0"/>
      <w:marBottom w:val="0"/>
      <w:divBdr>
        <w:top w:val="none" w:sz="0" w:space="0" w:color="auto"/>
        <w:left w:val="none" w:sz="0" w:space="0" w:color="auto"/>
        <w:bottom w:val="none" w:sz="0" w:space="0" w:color="auto"/>
        <w:right w:val="none" w:sz="0" w:space="0" w:color="auto"/>
      </w:divBdr>
    </w:div>
    <w:div w:id="155996850">
      <w:bodyDiv w:val="1"/>
      <w:marLeft w:val="0"/>
      <w:marRight w:val="0"/>
      <w:marTop w:val="0"/>
      <w:marBottom w:val="0"/>
      <w:divBdr>
        <w:top w:val="none" w:sz="0" w:space="0" w:color="auto"/>
        <w:left w:val="none" w:sz="0" w:space="0" w:color="auto"/>
        <w:bottom w:val="none" w:sz="0" w:space="0" w:color="auto"/>
        <w:right w:val="none" w:sz="0" w:space="0" w:color="auto"/>
      </w:divBdr>
    </w:div>
    <w:div w:id="155999346">
      <w:bodyDiv w:val="1"/>
      <w:marLeft w:val="0"/>
      <w:marRight w:val="0"/>
      <w:marTop w:val="0"/>
      <w:marBottom w:val="0"/>
      <w:divBdr>
        <w:top w:val="none" w:sz="0" w:space="0" w:color="auto"/>
        <w:left w:val="none" w:sz="0" w:space="0" w:color="auto"/>
        <w:bottom w:val="none" w:sz="0" w:space="0" w:color="auto"/>
        <w:right w:val="none" w:sz="0" w:space="0" w:color="auto"/>
      </w:divBdr>
    </w:div>
    <w:div w:id="156120798">
      <w:bodyDiv w:val="1"/>
      <w:marLeft w:val="0"/>
      <w:marRight w:val="0"/>
      <w:marTop w:val="0"/>
      <w:marBottom w:val="0"/>
      <w:divBdr>
        <w:top w:val="none" w:sz="0" w:space="0" w:color="auto"/>
        <w:left w:val="none" w:sz="0" w:space="0" w:color="auto"/>
        <w:bottom w:val="none" w:sz="0" w:space="0" w:color="auto"/>
        <w:right w:val="none" w:sz="0" w:space="0" w:color="auto"/>
      </w:divBdr>
    </w:div>
    <w:div w:id="156191242">
      <w:bodyDiv w:val="1"/>
      <w:marLeft w:val="0"/>
      <w:marRight w:val="0"/>
      <w:marTop w:val="0"/>
      <w:marBottom w:val="0"/>
      <w:divBdr>
        <w:top w:val="none" w:sz="0" w:space="0" w:color="auto"/>
        <w:left w:val="none" w:sz="0" w:space="0" w:color="auto"/>
        <w:bottom w:val="none" w:sz="0" w:space="0" w:color="auto"/>
        <w:right w:val="none" w:sz="0" w:space="0" w:color="auto"/>
      </w:divBdr>
    </w:div>
    <w:div w:id="156387793">
      <w:bodyDiv w:val="1"/>
      <w:marLeft w:val="0"/>
      <w:marRight w:val="0"/>
      <w:marTop w:val="0"/>
      <w:marBottom w:val="0"/>
      <w:divBdr>
        <w:top w:val="none" w:sz="0" w:space="0" w:color="auto"/>
        <w:left w:val="none" w:sz="0" w:space="0" w:color="auto"/>
        <w:bottom w:val="none" w:sz="0" w:space="0" w:color="auto"/>
        <w:right w:val="none" w:sz="0" w:space="0" w:color="auto"/>
      </w:divBdr>
    </w:div>
    <w:div w:id="156389566">
      <w:bodyDiv w:val="1"/>
      <w:marLeft w:val="0"/>
      <w:marRight w:val="0"/>
      <w:marTop w:val="0"/>
      <w:marBottom w:val="0"/>
      <w:divBdr>
        <w:top w:val="none" w:sz="0" w:space="0" w:color="auto"/>
        <w:left w:val="none" w:sz="0" w:space="0" w:color="auto"/>
        <w:bottom w:val="none" w:sz="0" w:space="0" w:color="auto"/>
        <w:right w:val="none" w:sz="0" w:space="0" w:color="auto"/>
      </w:divBdr>
    </w:div>
    <w:div w:id="156502477">
      <w:bodyDiv w:val="1"/>
      <w:marLeft w:val="0"/>
      <w:marRight w:val="0"/>
      <w:marTop w:val="0"/>
      <w:marBottom w:val="0"/>
      <w:divBdr>
        <w:top w:val="none" w:sz="0" w:space="0" w:color="auto"/>
        <w:left w:val="none" w:sz="0" w:space="0" w:color="auto"/>
        <w:bottom w:val="none" w:sz="0" w:space="0" w:color="auto"/>
        <w:right w:val="none" w:sz="0" w:space="0" w:color="auto"/>
      </w:divBdr>
    </w:div>
    <w:div w:id="156502799">
      <w:bodyDiv w:val="1"/>
      <w:marLeft w:val="0"/>
      <w:marRight w:val="0"/>
      <w:marTop w:val="0"/>
      <w:marBottom w:val="0"/>
      <w:divBdr>
        <w:top w:val="none" w:sz="0" w:space="0" w:color="auto"/>
        <w:left w:val="none" w:sz="0" w:space="0" w:color="auto"/>
        <w:bottom w:val="none" w:sz="0" w:space="0" w:color="auto"/>
        <w:right w:val="none" w:sz="0" w:space="0" w:color="auto"/>
      </w:divBdr>
    </w:div>
    <w:div w:id="156503246">
      <w:bodyDiv w:val="1"/>
      <w:marLeft w:val="0"/>
      <w:marRight w:val="0"/>
      <w:marTop w:val="0"/>
      <w:marBottom w:val="0"/>
      <w:divBdr>
        <w:top w:val="none" w:sz="0" w:space="0" w:color="auto"/>
        <w:left w:val="none" w:sz="0" w:space="0" w:color="auto"/>
        <w:bottom w:val="none" w:sz="0" w:space="0" w:color="auto"/>
        <w:right w:val="none" w:sz="0" w:space="0" w:color="auto"/>
      </w:divBdr>
    </w:div>
    <w:div w:id="156700538">
      <w:bodyDiv w:val="1"/>
      <w:marLeft w:val="0"/>
      <w:marRight w:val="0"/>
      <w:marTop w:val="0"/>
      <w:marBottom w:val="0"/>
      <w:divBdr>
        <w:top w:val="none" w:sz="0" w:space="0" w:color="auto"/>
        <w:left w:val="none" w:sz="0" w:space="0" w:color="auto"/>
        <w:bottom w:val="none" w:sz="0" w:space="0" w:color="auto"/>
        <w:right w:val="none" w:sz="0" w:space="0" w:color="auto"/>
      </w:divBdr>
    </w:div>
    <w:div w:id="156701289">
      <w:bodyDiv w:val="1"/>
      <w:marLeft w:val="0"/>
      <w:marRight w:val="0"/>
      <w:marTop w:val="0"/>
      <w:marBottom w:val="0"/>
      <w:divBdr>
        <w:top w:val="none" w:sz="0" w:space="0" w:color="auto"/>
        <w:left w:val="none" w:sz="0" w:space="0" w:color="auto"/>
        <w:bottom w:val="none" w:sz="0" w:space="0" w:color="auto"/>
        <w:right w:val="none" w:sz="0" w:space="0" w:color="auto"/>
      </w:divBdr>
    </w:div>
    <w:div w:id="156771108">
      <w:bodyDiv w:val="1"/>
      <w:marLeft w:val="0"/>
      <w:marRight w:val="0"/>
      <w:marTop w:val="0"/>
      <w:marBottom w:val="0"/>
      <w:divBdr>
        <w:top w:val="none" w:sz="0" w:space="0" w:color="auto"/>
        <w:left w:val="none" w:sz="0" w:space="0" w:color="auto"/>
        <w:bottom w:val="none" w:sz="0" w:space="0" w:color="auto"/>
        <w:right w:val="none" w:sz="0" w:space="0" w:color="auto"/>
      </w:divBdr>
    </w:div>
    <w:div w:id="156920926">
      <w:bodyDiv w:val="1"/>
      <w:marLeft w:val="0"/>
      <w:marRight w:val="0"/>
      <w:marTop w:val="0"/>
      <w:marBottom w:val="0"/>
      <w:divBdr>
        <w:top w:val="none" w:sz="0" w:space="0" w:color="auto"/>
        <w:left w:val="none" w:sz="0" w:space="0" w:color="auto"/>
        <w:bottom w:val="none" w:sz="0" w:space="0" w:color="auto"/>
        <w:right w:val="none" w:sz="0" w:space="0" w:color="auto"/>
      </w:divBdr>
    </w:div>
    <w:div w:id="156967277">
      <w:bodyDiv w:val="1"/>
      <w:marLeft w:val="0"/>
      <w:marRight w:val="0"/>
      <w:marTop w:val="0"/>
      <w:marBottom w:val="0"/>
      <w:divBdr>
        <w:top w:val="none" w:sz="0" w:space="0" w:color="auto"/>
        <w:left w:val="none" w:sz="0" w:space="0" w:color="auto"/>
        <w:bottom w:val="none" w:sz="0" w:space="0" w:color="auto"/>
        <w:right w:val="none" w:sz="0" w:space="0" w:color="auto"/>
      </w:divBdr>
    </w:div>
    <w:div w:id="157113087">
      <w:bodyDiv w:val="1"/>
      <w:marLeft w:val="0"/>
      <w:marRight w:val="0"/>
      <w:marTop w:val="0"/>
      <w:marBottom w:val="0"/>
      <w:divBdr>
        <w:top w:val="none" w:sz="0" w:space="0" w:color="auto"/>
        <w:left w:val="none" w:sz="0" w:space="0" w:color="auto"/>
        <w:bottom w:val="none" w:sz="0" w:space="0" w:color="auto"/>
        <w:right w:val="none" w:sz="0" w:space="0" w:color="auto"/>
      </w:divBdr>
    </w:div>
    <w:div w:id="157156980">
      <w:bodyDiv w:val="1"/>
      <w:marLeft w:val="0"/>
      <w:marRight w:val="0"/>
      <w:marTop w:val="0"/>
      <w:marBottom w:val="0"/>
      <w:divBdr>
        <w:top w:val="none" w:sz="0" w:space="0" w:color="auto"/>
        <w:left w:val="none" w:sz="0" w:space="0" w:color="auto"/>
        <w:bottom w:val="none" w:sz="0" w:space="0" w:color="auto"/>
        <w:right w:val="none" w:sz="0" w:space="0" w:color="auto"/>
      </w:divBdr>
    </w:div>
    <w:div w:id="157237034">
      <w:bodyDiv w:val="1"/>
      <w:marLeft w:val="0"/>
      <w:marRight w:val="0"/>
      <w:marTop w:val="0"/>
      <w:marBottom w:val="0"/>
      <w:divBdr>
        <w:top w:val="none" w:sz="0" w:space="0" w:color="auto"/>
        <w:left w:val="none" w:sz="0" w:space="0" w:color="auto"/>
        <w:bottom w:val="none" w:sz="0" w:space="0" w:color="auto"/>
        <w:right w:val="none" w:sz="0" w:space="0" w:color="auto"/>
      </w:divBdr>
    </w:div>
    <w:div w:id="157310556">
      <w:bodyDiv w:val="1"/>
      <w:marLeft w:val="0"/>
      <w:marRight w:val="0"/>
      <w:marTop w:val="0"/>
      <w:marBottom w:val="0"/>
      <w:divBdr>
        <w:top w:val="none" w:sz="0" w:space="0" w:color="auto"/>
        <w:left w:val="none" w:sz="0" w:space="0" w:color="auto"/>
        <w:bottom w:val="none" w:sz="0" w:space="0" w:color="auto"/>
        <w:right w:val="none" w:sz="0" w:space="0" w:color="auto"/>
      </w:divBdr>
    </w:div>
    <w:div w:id="157311772">
      <w:bodyDiv w:val="1"/>
      <w:marLeft w:val="0"/>
      <w:marRight w:val="0"/>
      <w:marTop w:val="0"/>
      <w:marBottom w:val="0"/>
      <w:divBdr>
        <w:top w:val="none" w:sz="0" w:space="0" w:color="auto"/>
        <w:left w:val="none" w:sz="0" w:space="0" w:color="auto"/>
        <w:bottom w:val="none" w:sz="0" w:space="0" w:color="auto"/>
        <w:right w:val="none" w:sz="0" w:space="0" w:color="auto"/>
      </w:divBdr>
    </w:div>
    <w:div w:id="157355362">
      <w:bodyDiv w:val="1"/>
      <w:marLeft w:val="0"/>
      <w:marRight w:val="0"/>
      <w:marTop w:val="0"/>
      <w:marBottom w:val="0"/>
      <w:divBdr>
        <w:top w:val="none" w:sz="0" w:space="0" w:color="auto"/>
        <w:left w:val="none" w:sz="0" w:space="0" w:color="auto"/>
        <w:bottom w:val="none" w:sz="0" w:space="0" w:color="auto"/>
        <w:right w:val="none" w:sz="0" w:space="0" w:color="auto"/>
      </w:divBdr>
    </w:div>
    <w:div w:id="157381319">
      <w:bodyDiv w:val="1"/>
      <w:marLeft w:val="0"/>
      <w:marRight w:val="0"/>
      <w:marTop w:val="0"/>
      <w:marBottom w:val="0"/>
      <w:divBdr>
        <w:top w:val="none" w:sz="0" w:space="0" w:color="auto"/>
        <w:left w:val="none" w:sz="0" w:space="0" w:color="auto"/>
        <w:bottom w:val="none" w:sz="0" w:space="0" w:color="auto"/>
        <w:right w:val="none" w:sz="0" w:space="0" w:color="auto"/>
      </w:divBdr>
    </w:div>
    <w:div w:id="157422754">
      <w:bodyDiv w:val="1"/>
      <w:marLeft w:val="0"/>
      <w:marRight w:val="0"/>
      <w:marTop w:val="0"/>
      <w:marBottom w:val="0"/>
      <w:divBdr>
        <w:top w:val="none" w:sz="0" w:space="0" w:color="auto"/>
        <w:left w:val="none" w:sz="0" w:space="0" w:color="auto"/>
        <w:bottom w:val="none" w:sz="0" w:space="0" w:color="auto"/>
        <w:right w:val="none" w:sz="0" w:space="0" w:color="auto"/>
      </w:divBdr>
    </w:div>
    <w:div w:id="157579067">
      <w:bodyDiv w:val="1"/>
      <w:marLeft w:val="0"/>
      <w:marRight w:val="0"/>
      <w:marTop w:val="0"/>
      <w:marBottom w:val="0"/>
      <w:divBdr>
        <w:top w:val="none" w:sz="0" w:space="0" w:color="auto"/>
        <w:left w:val="none" w:sz="0" w:space="0" w:color="auto"/>
        <w:bottom w:val="none" w:sz="0" w:space="0" w:color="auto"/>
        <w:right w:val="none" w:sz="0" w:space="0" w:color="auto"/>
      </w:divBdr>
    </w:div>
    <w:div w:id="157622533">
      <w:bodyDiv w:val="1"/>
      <w:marLeft w:val="0"/>
      <w:marRight w:val="0"/>
      <w:marTop w:val="0"/>
      <w:marBottom w:val="0"/>
      <w:divBdr>
        <w:top w:val="none" w:sz="0" w:space="0" w:color="auto"/>
        <w:left w:val="none" w:sz="0" w:space="0" w:color="auto"/>
        <w:bottom w:val="none" w:sz="0" w:space="0" w:color="auto"/>
        <w:right w:val="none" w:sz="0" w:space="0" w:color="auto"/>
      </w:divBdr>
    </w:div>
    <w:div w:id="157693714">
      <w:bodyDiv w:val="1"/>
      <w:marLeft w:val="0"/>
      <w:marRight w:val="0"/>
      <w:marTop w:val="0"/>
      <w:marBottom w:val="0"/>
      <w:divBdr>
        <w:top w:val="none" w:sz="0" w:space="0" w:color="auto"/>
        <w:left w:val="none" w:sz="0" w:space="0" w:color="auto"/>
        <w:bottom w:val="none" w:sz="0" w:space="0" w:color="auto"/>
        <w:right w:val="none" w:sz="0" w:space="0" w:color="auto"/>
      </w:divBdr>
    </w:div>
    <w:div w:id="157892554">
      <w:bodyDiv w:val="1"/>
      <w:marLeft w:val="0"/>
      <w:marRight w:val="0"/>
      <w:marTop w:val="0"/>
      <w:marBottom w:val="0"/>
      <w:divBdr>
        <w:top w:val="none" w:sz="0" w:space="0" w:color="auto"/>
        <w:left w:val="none" w:sz="0" w:space="0" w:color="auto"/>
        <w:bottom w:val="none" w:sz="0" w:space="0" w:color="auto"/>
        <w:right w:val="none" w:sz="0" w:space="0" w:color="auto"/>
      </w:divBdr>
    </w:div>
    <w:div w:id="157962911">
      <w:bodyDiv w:val="1"/>
      <w:marLeft w:val="0"/>
      <w:marRight w:val="0"/>
      <w:marTop w:val="0"/>
      <w:marBottom w:val="0"/>
      <w:divBdr>
        <w:top w:val="none" w:sz="0" w:space="0" w:color="auto"/>
        <w:left w:val="none" w:sz="0" w:space="0" w:color="auto"/>
        <w:bottom w:val="none" w:sz="0" w:space="0" w:color="auto"/>
        <w:right w:val="none" w:sz="0" w:space="0" w:color="auto"/>
      </w:divBdr>
    </w:div>
    <w:div w:id="157963662">
      <w:bodyDiv w:val="1"/>
      <w:marLeft w:val="0"/>
      <w:marRight w:val="0"/>
      <w:marTop w:val="0"/>
      <w:marBottom w:val="0"/>
      <w:divBdr>
        <w:top w:val="none" w:sz="0" w:space="0" w:color="auto"/>
        <w:left w:val="none" w:sz="0" w:space="0" w:color="auto"/>
        <w:bottom w:val="none" w:sz="0" w:space="0" w:color="auto"/>
        <w:right w:val="none" w:sz="0" w:space="0" w:color="auto"/>
      </w:divBdr>
    </w:div>
    <w:div w:id="157967383">
      <w:bodyDiv w:val="1"/>
      <w:marLeft w:val="0"/>
      <w:marRight w:val="0"/>
      <w:marTop w:val="0"/>
      <w:marBottom w:val="0"/>
      <w:divBdr>
        <w:top w:val="none" w:sz="0" w:space="0" w:color="auto"/>
        <w:left w:val="none" w:sz="0" w:space="0" w:color="auto"/>
        <w:bottom w:val="none" w:sz="0" w:space="0" w:color="auto"/>
        <w:right w:val="none" w:sz="0" w:space="0" w:color="auto"/>
      </w:divBdr>
    </w:div>
    <w:div w:id="158009663">
      <w:bodyDiv w:val="1"/>
      <w:marLeft w:val="0"/>
      <w:marRight w:val="0"/>
      <w:marTop w:val="0"/>
      <w:marBottom w:val="0"/>
      <w:divBdr>
        <w:top w:val="none" w:sz="0" w:space="0" w:color="auto"/>
        <w:left w:val="none" w:sz="0" w:space="0" w:color="auto"/>
        <w:bottom w:val="none" w:sz="0" w:space="0" w:color="auto"/>
        <w:right w:val="none" w:sz="0" w:space="0" w:color="auto"/>
      </w:divBdr>
    </w:div>
    <w:div w:id="158011204">
      <w:bodyDiv w:val="1"/>
      <w:marLeft w:val="0"/>
      <w:marRight w:val="0"/>
      <w:marTop w:val="0"/>
      <w:marBottom w:val="0"/>
      <w:divBdr>
        <w:top w:val="none" w:sz="0" w:space="0" w:color="auto"/>
        <w:left w:val="none" w:sz="0" w:space="0" w:color="auto"/>
        <w:bottom w:val="none" w:sz="0" w:space="0" w:color="auto"/>
        <w:right w:val="none" w:sz="0" w:space="0" w:color="auto"/>
      </w:divBdr>
    </w:div>
    <w:div w:id="158081948">
      <w:bodyDiv w:val="1"/>
      <w:marLeft w:val="0"/>
      <w:marRight w:val="0"/>
      <w:marTop w:val="0"/>
      <w:marBottom w:val="0"/>
      <w:divBdr>
        <w:top w:val="none" w:sz="0" w:space="0" w:color="auto"/>
        <w:left w:val="none" w:sz="0" w:space="0" w:color="auto"/>
        <w:bottom w:val="none" w:sz="0" w:space="0" w:color="auto"/>
        <w:right w:val="none" w:sz="0" w:space="0" w:color="auto"/>
      </w:divBdr>
    </w:div>
    <w:div w:id="158082655">
      <w:bodyDiv w:val="1"/>
      <w:marLeft w:val="0"/>
      <w:marRight w:val="0"/>
      <w:marTop w:val="0"/>
      <w:marBottom w:val="0"/>
      <w:divBdr>
        <w:top w:val="none" w:sz="0" w:space="0" w:color="auto"/>
        <w:left w:val="none" w:sz="0" w:space="0" w:color="auto"/>
        <w:bottom w:val="none" w:sz="0" w:space="0" w:color="auto"/>
        <w:right w:val="none" w:sz="0" w:space="0" w:color="auto"/>
      </w:divBdr>
    </w:div>
    <w:div w:id="158084668">
      <w:bodyDiv w:val="1"/>
      <w:marLeft w:val="0"/>
      <w:marRight w:val="0"/>
      <w:marTop w:val="0"/>
      <w:marBottom w:val="0"/>
      <w:divBdr>
        <w:top w:val="none" w:sz="0" w:space="0" w:color="auto"/>
        <w:left w:val="none" w:sz="0" w:space="0" w:color="auto"/>
        <w:bottom w:val="none" w:sz="0" w:space="0" w:color="auto"/>
        <w:right w:val="none" w:sz="0" w:space="0" w:color="auto"/>
      </w:divBdr>
    </w:div>
    <w:div w:id="158158698">
      <w:bodyDiv w:val="1"/>
      <w:marLeft w:val="0"/>
      <w:marRight w:val="0"/>
      <w:marTop w:val="0"/>
      <w:marBottom w:val="0"/>
      <w:divBdr>
        <w:top w:val="none" w:sz="0" w:space="0" w:color="auto"/>
        <w:left w:val="none" w:sz="0" w:space="0" w:color="auto"/>
        <w:bottom w:val="none" w:sz="0" w:space="0" w:color="auto"/>
        <w:right w:val="none" w:sz="0" w:space="0" w:color="auto"/>
      </w:divBdr>
    </w:div>
    <w:div w:id="158160264">
      <w:bodyDiv w:val="1"/>
      <w:marLeft w:val="0"/>
      <w:marRight w:val="0"/>
      <w:marTop w:val="0"/>
      <w:marBottom w:val="0"/>
      <w:divBdr>
        <w:top w:val="none" w:sz="0" w:space="0" w:color="auto"/>
        <w:left w:val="none" w:sz="0" w:space="0" w:color="auto"/>
        <w:bottom w:val="none" w:sz="0" w:space="0" w:color="auto"/>
        <w:right w:val="none" w:sz="0" w:space="0" w:color="auto"/>
      </w:divBdr>
    </w:div>
    <w:div w:id="158235796">
      <w:bodyDiv w:val="1"/>
      <w:marLeft w:val="0"/>
      <w:marRight w:val="0"/>
      <w:marTop w:val="0"/>
      <w:marBottom w:val="0"/>
      <w:divBdr>
        <w:top w:val="none" w:sz="0" w:space="0" w:color="auto"/>
        <w:left w:val="none" w:sz="0" w:space="0" w:color="auto"/>
        <w:bottom w:val="none" w:sz="0" w:space="0" w:color="auto"/>
        <w:right w:val="none" w:sz="0" w:space="0" w:color="auto"/>
      </w:divBdr>
    </w:div>
    <w:div w:id="158430052">
      <w:bodyDiv w:val="1"/>
      <w:marLeft w:val="0"/>
      <w:marRight w:val="0"/>
      <w:marTop w:val="0"/>
      <w:marBottom w:val="0"/>
      <w:divBdr>
        <w:top w:val="none" w:sz="0" w:space="0" w:color="auto"/>
        <w:left w:val="none" w:sz="0" w:space="0" w:color="auto"/>
        <w:bottom w:val="none" w:sz="0" w:space="0" w:color="auto"/>
        <w:right w:val="none" w:sz="0" w:space="0" w:color="auto"/>
      </w:divBdr>
    </w:div>
    <w:div w:id="158468795">
      <w:bodyDiv w:val="1"/>
      <w:marLeft w:val="0"/>
      <w:marRight w:val="0"/>
      <w:marTop w:val="0"/>
      <w:marBottom w:val="0"/>
      <w:divBdr>
        <w:top w:val="none" w:sz="0" w:space="0" w:color="auto"/>
        <w:left w:val="none" w:sz="0" w:space="0" w:color="auto"/>
        <w:bottom w:val="none" w:sz="0" w:space="0" w:color="auto"/>
        <w:right w:val="none" w:sz="0" w:space="0" w:color="auto"/>
      </w:divBdr>
    </w:div>
    <w:div w:id="158541523">
      <w:bodyDiv w:val="1"/>
      <w:marLeft w:val="0"/>
      <w:marRight w:val="0"/>
      <w:marTop w:val="0"/>
      <w:marBottom w:val="0"/>
      <w:divBdr>
        <w:top w:val="none" w:sz="0" w:space="0" w:color="auto"/>
        <w:left w:val="none" w:sz="0" w:space="0" w:color="auto"/>
        <w:bottom w:val="none" w:sz="0" w:space="0" w:color="auto"/>
        <w:right w:val="none" w:sz="0" w:space="0" w:color="auto"/>
      </w:divBdr>
    </w:div>
    <w:div w:id="158547336">
      <w:bodyDiv w:val="1"/>
      <w:marLeft w:val="0"/>
      <w:marRight w:val="0"/>
      <w:marTop w:val="0"/>
      <w:marBottom w:val="0"/>
      <w:divBdr>
        <w:top w:val="none" w:sz="0" w:space="0" w:color="auto"/>
        <w:left w:val="none" w:sz="0" w:space="0" w:color="auto"/>
        <w:bottom w:val="none" w:sz="0" w:space="0" w:color="auto"/>
        <w:right w:val="none" w:sz="0" w:space="0" w:color="auto"/>
      </w:divBdr>
    </w:div>
    <w:div w:id="158621887">
      <w:bodyDiv w:val="1"/>
      <w:marLeft w:val="0"/>
      <w:marRight w:val="0"/>
      <w:marTop w:val="0"/>
      <w:marBottom w:val="0"/>
      <w:divBdr>
        <w:top w:val="none" w:sz="0" w:space="0" w:color="auto"/>
        <w:left w:val="none" w:sz="0" w:space="0" w:color="auto"/>
        <w:bottom w:val="none" w:sz="0" w:space="0" w:color="auto"/>
        <w:right w:val="none" w:sz="0" w:space="0" w:color="auto"/>
      </w:divBdr>
    </w:div>
    <w:div w:id="158663682">
      <w:bodyDiv w:val="1"/>
      <w:marLeft w:val="0"/>
      <w:marRight w:val="0"/>
      <w:marTop w:val="0"/>
      <w:marBottom w:val="0"/>
      <w:divBdr>
        <w:top w:val="none" w:sz="0" w:space="0" w:color="auto"/>
        <w:left w:val="none" w:sz="0" w:space="0" w:color="auto"/>
        <w:bottom w:val="none" w:sz="0" w:space="0" w:color="auto"/>
        <w:right w:val="none" w:sz="0" w:space="0" w:color="auto"/>
      </w:divBdr>
    </w:div>
    <w:div w:id="158742457">
      <w:bodyDiv w:val="1"/>
      <w:marLeft w:val="0"/>
      <w:marRight w:val="0"/>
      <w:marTop w:val="0"/>
      <w:marBottom w:val="0"/>
      <w:divBdr>
        <w:top w:val="none" w:sz="0" w:space="0" w:color="auto"/>
        <w:left w:val="none" w:sz="0" w:space="0" w:color="auto"/>
        <w:bottom w:val="none" w:sz="0" w:space="0" w:color="auto"/>
        <w:right w:val="none" w:sz="0" w:space="0" w:color="auto"/>
      </w:divBdr>
    </w:div>
    <w:div w:id="158926202">
      <w:bodyDiv w:val="1"/>
      <w:marLeft w:val="0"/>
      <w:marRight w:val="0"/>
      <w:marTop w:val="0"/>
      <w:marBottom w:val="0"/>
      <w:divBdr>
        <w:top w:val="none" w:sz="0" w:space="0" w:color="auto"/>
        <w:left w:val="none" w:sz="0" w:space="0" w:color="auto"/>
        <w:bottom w:val="none" w:sz="0" w:space="0" w:color="auto"/>
        <w:right w:val="none" w:sz="0" w:space="0" w:color="auto"/>
      </w:divBdr>
    </w:div>
    <w:div w:id="159003809">
      <w:bodyDiv w:val="1"/>
      <w:marLeft w:val="0"/>
      <w:marRight w:val="0"/>
      <w:marTop w:val="0"/>
      <w:marBottom w:val="0"/>
      <w:divBdr>
        <w:top w:val="none" w:sz="0" w:space="0" w:color="auto"/>
        <w:left w:val="none" w:sz="0" w:space="0" w:color="auto"/>
        <w:bottom w:val="none" w:sz="0" w:space="0" w:color="auto"/>
        <w:right w:val="none" w:sz="0" w:space="0" w:color="auto"/>
      </w:divBdr>
    </w:div>
    <w:div w:id="159086359">
      <w:bodyDiv w:val="1"/>
      <w:marLeft w:val="0"/>
      <w:marRight w:val="0"/>
      <w:marTop w:val="0"/>
      <w:marBottom w:val="0"/>
      <w:divBdr>
        <w:top w:val="none" w:sz="0" w:space="0" w:color="auto"/>
        <w:left w:val="none" w:sz="0" w:space="0" w:color="auto"/>
        <w:bottom w:val="none" w:sz="0" w:space="0" w:color="auto"/>
        <w:right w:val="none" w:sz="0" w:space="0" w:color="auto"/>
      </w:divBdr>
    </w:div>
    <w:div w:id="159127763">
      <w:bodyDiv w:val="1"/>
      <w:marLeft w:val="0"/>
      <w:marRight w:val="0"/>
      <w:marTop w:val="0"/>
      <w:marBottom w:val="0"/>
      <w:divBdr>
        <w:top w:val="none" w:sz="0" w:space="0" w:color="auto"/>
        <w:left w:val="none" w:sz="0" w:space="0" w:color="auto"/>
        <w:bottom w:val="none" w:sz="0" w:space="0" w:color="auto"/>
        <w:right w:val="none" w:sz="0" w:space="0" w:color="auto"/>
      </w:divBdr>
    </w:div>
    <w:div w:id="159153450">
      <w:bodyDiv w:val="1"/>
      <w:marLeft w:val="0"/>
      <w:marRight w:val="0"/>
      <w:marTop w:val="0"/>
      <w:marBottom w:val="0"/>
      <w:divBdr>
        <w:top w:val="none" w:sz="0" w:space="0" w:color="auto"/>
        <w:left w:val="none" w:sz="0" w:space="0" w:color="auto"/>
        <w:bottom w:val="none" w:sz="0" w:space="0" w:color="auto"/>
        <w:right w:val="none" w:sz="0" w:space="0" w:color="auto"/>
      </w:divBdr>
    </w:div>
    <w:div w:id="159318053">
      <w:bodyDiv w:val="1"/>
      <w:marLeft w:val="0"/>
      <w:marRight w:val="0"/>
      <w:marTop w:val="0"/>
      <w:marBottom w:val="0"/>
      <w:divBdr>
        <w:top w:val="none" w:sz="0" w:space="0" w:color="auto"/>
        <w:left w:val="none" w:sz="0" w:space="0" w:color="auto"/>
        <w:bottom w:val="none" w:sz="0" w:space="0" w:color="auto"/>
        <w:right w:val="none" w:sz="0" w:space="0" w:color="auto"/>
      </w:divBdr>
    </w:div>
    <w:div w:id="159393015">
      <w:bodyDiv w:val="1"/>
      <w:marLeft w:val="0"/>
      <w:marRight w:val="0"/>
      <w:marTop w:val="0"/>
      <w:marBottom w:val="0"/>
      <w:divBdr>
        <w:top w:val="none" w:sz="0" w:space="0" w:color="auto"/>
        <w:left w:val="none" w:sz="0" w:space="0" w:color="auto"/>
        <w:bottom w:val="none" w:sz="0" w:space="0" w:color="auto"/>
        <w:right w:val="none" w:sz="0" w:space="0" w:color="auto"/>
      </w:divBdr>
    </w:div>
    <w:div w:id="159470506">
      <w:bodyDiv w:val="1"/>
      <w:marLeft w:val="0"/>
      <w:marRight w:val="0"/>
      <w:marTop w:val="0"/>
      <w:marBottom w:val="0"/>
      <w:divBdr>
        <w:top w:val="none" w:sz="0" w:space="0" w:color="auto"/>
        <w:left w:val="none" w:sz="0" w:space="0" w:color="auto"/>
        <w:bottom w:val="none" w:sz="0" w:space="0" w:color="auto"/>
        <w:right w:val="none" w:sz="0" w:space="0" w:color="auto"/>
      </w:divBdr>
    </w:div>
    <w:div w:id="159539756">
      <w:bodyDiv w:val="1"/>
      <w:marLeft w:val="0"/>
      <w:marRight w:val="0"/>
      <w:marTop w:val="0"/>
      <w:marBottom w:val="0"/>
      <w:divBdr>
        <w:top w:val="none" w:sz="0" w:space="0" w:color="auto"/>
        <w:left w:val="none" w:sz="0" w:space="0" w:color="auto"/>
        <w:bottom w:val="none" w:sz="0" w:space="0" w:color="auto"/>
        <w:right w:val="none" w:sz="0" w:space="0" w:color="auto"/>
      </w:divBdr>
    </w:div>
    <w:div w:id="159662739">
      <w:bodyDiv w:val="1"/>
      <w:marLeft w:val="0"/>
      <w:marRight w:val="0"/>
      <w:marTop w:val="0"/>
      <w:marBottom w:val="0"/>
      <w:divBdr>
        <w:top w:val="none" w:sz="0" w:space="0" w:color="auto"/>
        <w:left w:val="none" w:sz="0" w:space="0" w:color="auto"/>
        <w:bottom w:val="none" w:sz="0" w:space="0" w:color="auto"/>
        <w:right w:val="none" w:sz="0" w:space="0" w:color="auto"/>
      </w:divBdr>
    </w:div>
    <w:div w:id="159664421">
      <w:bodyDiv w:val="1"/>
      <w:marLeft w:val="0"/>
      <w:marRight w:val="0"/>
      <w:marTop w:val="0"/>
      <w:marBottom w:val="0"/>
      <w:divBdr>
        <w:top w:val="none" w:sz="0" w:space="0" w:color="auto"/>
        <w:left w:val="none" w:sz="0" w:space="0" w:color="auto"/>
        <w:bottom w:val="none" w:sz="0" w:space="0" w:color="auto"/>
        <w:right w:val="none" w:sz="0" w:space="0" w:color="auto"/>
      </w:divBdr>
    </w:div>
    <w:div w:id="159780918">
      <w:bodyDiv w:val="1"/>
      <w:marLeft w:val="0"/>
      <w:marRight w:val="0"/>
      <w:marTop w:val="0"/>
      <w:marBottom w:val="0"/>
      <w:divBdr>
        <w:top w:val="none" w:sz="0" w:space="0" w:color="auto"/>
        <w:left w:val="none" w:sz="0" w:space="0" w:color="auto"/>
        <w:bottom w:val="none" w:sz="0" w:space="0" w:color="auto"/>
        <w:right w:val="none" w:sz="0" w:space="0" w:color="auto"/>
      </w:divBdr>
    </w:div>
    <w:div w:id="159784246">
      <w:bodyDiv w:val="1"/>
      <w:marLeft w:val="0"/>
      <w:marRight w:val="0"/>
      <w:marTop w:val="0"/>
      <w:marBottom w:val="0"/>
      <w:divBdr>
        <w:top w:val="none" w:sz="0" w:space="0" w:color="auto"/>
        <w:left w:val="none" w:sz="0" w:space="0" w:color="auto"/>
        <w:bottom w:val="none" w:sz="0" w:space="0" w:color="auto"/>
        <w:right w:val="none" w:sz="0" w:space="0" w:color="auto"/>
      </w:divBdr>
    </w:div>
    <w:div w:id="159808609">
      <w:bodyDiv w:val="1"/>
      <w:marLeft w:val="0"/>
      <w:marRight w:val="0"/>
      <w:marTop w:val="0"/>
      <w:marBottom w:val="0"/>
      <w:divBdr>
        <w:top w:val="none" w:sz="0" w:space="0" w:color="auto"/>
        <w:left w:val="none" w:sz="0" w:space="0" w:color="auto"/>
        <w:bottom w:val="none" w:sz="0" w:space="0" w:color="auto"/>
        <w:right w:val="none" w:sz="0" w:space="0" w:color="auto"/>
      </w:divBdr>
    </w:div>
    <w:div w:id="159976046">
      <w:bodyDiv w:val="1"/>
      <w:marLeft w:val="0"/>
      <w:marRight w:val="0"/>
      <w:marTop w:val="0"/>
      <w:marBottom w:val="0"/>
      <w:divBdr>
        <w:top w:val="none" w:sz="0" w:space="0" w:color="auto"/>
        <w:left w:val="none" w:sz="0" w:space="0" w:color="auto"/>
        <w:bottom w:val="none" w:sz="0" w:space="0" w:color="auto"/>
        <w:right w:val="none" w:sz="0" w:space="0" w:color="auto"/>
      </w:divBdr>
    </w:div>
    <w:div w:id="160043645">
      <w:bodyDiv w:val="1"/>
      <w:marLeft w:val="0"/>
      <w:marRight w:val="0"/>
      <w:marTop w:val="0"/>
      <w:marBottom w:val="0"/>
      <w:divBdr>
        <w:top w:val="none" w:sz="0" w:space="0" w:color="auto"/>
        <w:left w:val="none" w:sz="0" w:space="0" w:color="auto"/>
        <w:bottom w:val="none" w:sz="0" w:space="0" w:color="auto"/>
        <w:right w:val="none" w:sz="0" w:space="0" w:color="auto"/>
      </w:divBdr>
    </w:div>
    <w:div w:id="160124079">
      <w:bodyDiv w:val="1"/>
      <w:marLeft w:val="0"/>
      <w:marRight w:val="0"/>
      <w:marTop w:val="0"/>
      <w:marBottom w:val="0"/>
      <w:divBdr>
        <w:top w:val="none" w:sz="0" w:space="0" w:color="auto"/>
        <w:left w:val="none" w:sz="0" w:space="0" w:color="auto"/>
        <w:bottom w:val="none" w:sz="0" w:space="0" w:color="auto"/>
        <w:right w:val="none" w:sz="0" w:space="0" w:color="auto"/>
      </w:divBdr>
    </w:div>
    <w:div w:id="160194839">
      <w:bodyDiv w:val="1"/>
      <w:marLeft w:val="0"/>
      <w:marRight w:val="0"/>
      <w:marTop w:val="0"/>
      <w:marBottom w:val="0"/>
      <w:divBdr>
        <w:top w:val="none" w:sz="0" w:space="0" w:color="auto"/>
        <w:left w:val="none" w:sz="0" w:space="0" w:color="auto"/>
        <w:bottom w:val="none" w:sz="0" w:space="0" w:color="auto"/>
        <w:right w:val="none" w:sz="0" w:space="0" w:color="auto"/>
      </w:divBdr>
    </w:div>
    <w:div w:id="160195741">
      <w:bodyDiv w:val="1"/>
      <w:marLeft w:val="0"/>
      <w:marRight w:val="0"/>
      <w:marTop w:val="0"/>
      <w:marBottom w:val="0"/>
      <w:divBdr>
        <w:top w:val="none" w:sz="0" w:space="0" w:color="auto"/>
        <w:left w:val="none" w:sz="0" w:space="0" w:color="auto"/>
        <w:bottom w:val="none" w:sz="0" w:space="0" w:color="auto"/>
        <w:right w:val="none" w:sz="0" w:space="0" w:color="auto"/>
      </w:divBdr>
    </w:div>
    <w:div w:id="160198686">
      <w:bodyDiv w:val="1"/>
      <w:marLeft w:val="0"/>
      <w:marRight w:val="0"/>
      <w:marTop w:val="0"/>
      <w:marBottom w:val="0"/>
      <w:divBdr>
        <w:top w:val="none" w:sz="0" w:space="0" w:color="auto"/>
        <w:left w:val="none" w:sz="0" w:space="0" w:color="auto"/>
        <w:bottom w:val="none" w:sz="0" w:space="0" w:color="auto"/>
        <w:right w:val="none" w:sz="0" w:space="0" w:color="auto"/>
      </w:divBdr>
    </w:div>
    <w:div w:id="160198779">
      <w:bodyDiv w:val="1"/>
      <w:marLeft w:val="0"/>
      <w:marRight w:val="0"/>
      <w:marTop w:val="0"/>
      <w:marBottom w:val="0"/>
      <w:divBdr>
        <w:top w:val="none" w:sz="0" w:space="0" w:color="auto"/>
        <w:left w:val="none" w:sz="0" w:space="0" w:color="auto"/>
        <w:bottom w:val="none" w:sz="0" w:space="0" w:color="auto"/>
        <w:right w:val="none" w:sz="0" w:space="0" w:color="auto"/>
      </w:divBdr>
    </w:div>
    <w:div w:id="160200433">
      <w:bodyDiv w:val="1"/>
      <w:marLeft w:val="0"/>
      <w:marRight w:val="0"/>
      <w:marTop w:val="0"/>
      <w:marBottom w:val="0"/>
      <w:divBdr>
        <w:top w:val="none" w:sz="0" w:space="0" w:color="auto"/>
        <w:left w:val="none" w:sz="0" w:space="0" w:color="auto"/>
        <w:bottom w:val="none" w:sz="0" w:space="0" w:color="auto"/>
        <w:right w:val="none" w:sz="0" w:space="0" w:color="auto"/>
      </w:divBdr>
    </w:div>
    <w:div w:id="160238486">
      <w:bodyDiv w:val="1"/>
      <w:marLeft w:val="0"/>
      <w:marRight w:val="0"/>
      <w:marTop w:val="0"/>
      <w:marBottom w:val="0"/>
      <w:divBdr>
        <w:top w:val="none" w:sz="0" w:space="0" w:color="auto"/>
        <w:left w:val="none" w:sz="0" w:space="0" w:color="auto"/>
        <w:bottom w:val="none" w:sz="0" w:space="0" w:color="auto"/>
        <w:right w:val="none" w:sz="0" w:space="0" w:color="auto"/>
      </w:divBdr>
    </w:div>
    <w:div w:id="160312114">
      <w:bodyDiv w:val="1"/>
      <w:marLeft w:val="0"/>
      <w:marRight w:val="0"/>
      <w:marTop w:val="0"/>
      <w:marBottom w:val="0"/>
      <w:divBdr>
        <w:top w:val="none" w:sz="0" w:space="0" w:color="auto"/>
        <w:left w:val="none" w:sz="0" w:space="0" w:color="auto"/>
        <w:bottom w:val="none" w:sz="0" w:space="0" w:color="auto"/>
        <w:right w:val="none" w:sz="0" w:space="0" w:color="auto"/>
      </w:divBdr>
    </w:div>
    <w:div w:id="160390896">
      <w:bodyDiv w:val="1"/>
      <w:marLeft w:val="0"/>
      <w:marRight w:val="0"/>
      <w:marTop w:val="0"/>
      <w:marBottom w:val="0"/>
      <w:divBdr>
        <w:top w:val="none" w:sz="0" w:space="0" w:color="auto"/>
        <w:left w:val="none" w:sz="0" w:space="0" w:color="auto"/>
        <w:bottom w:val="none" w:sz="0" w:space="0" w:color="auto"/>
        <w:right w:val="none" w:sz="0" w:space="0" w:color="auto"/>
      </w:divBdr>
    </w:div>
    <w:div w:id="160586315">
      <w:bodyDiv w:val="1"/>
      <w:marLeft w:val="0"/>
      <w:marRight w:val="0"/>
      <w:marTop w:val="0"/>
      <w:marBottom w:val="0"/>
      <w:divBdr>
        <w:top w:val="none" w:sz="0" w:space="0" w:color="auto"/>
        <w:left w:val="none" w:sz="0" w:space="0" w:color="auto"/>
        <w:bottom w:val="none" w:sz="0" w:space="0" w:color="auto"/>
        <w:right w:val="none" w:sz="0" w:space="0" w:color="auto"/>
      </w:divBdr>
    </w:div>
    <w:div w:id="160656195">
      <w:bodyDiv w:val="1"/>
      <w:marLeft w:val="0"/>
      <w:marRight w:val="0"/>
      <w:marTop w:val="0"/>
      <w:marBottom w:val="0"/>
      <w:divBdr>
        <w:top w:val="none" w:sz="0" w:space="0" w:color="auto"/>
        <w:left w:val="none" w:sz="0" w:space="0" w:color="auto"/>
        <w:bottom w:val="none" w:sz="0" w:space="0" w:color="auto"/>
        <w:right w:val="none" w:sz="0" w:space="0" w:color="auto"/>
      </w:divBdr>
    </w:div>
    <w:div w:id="160775146">
      <w:bodyDiv w:val="1"/>
      <w:marLeft w:val="0"/>
      <w:marRight w:val="0"/>
      <w:marTop w:val="0"/>
      <w:marBottom w:val="0"/>
      <w:divBdr>
        <w:top w:val="none" w:sz="0" w:space="0" w:color="auto"/>
        <w:left w:val="none" w:sz="0" w:space="0" w:color="auto"/>
        <w:bottom w:val="none" w:sz="0" w:space="0" w:color="auto"/>
        <w:right w:val="none" w:sz="0" w:space="0" w:color="auto"/>
      </w:divBdr>
    </w:div>
    <w:div w:id="160780059">
      <w:bodyDiv w:val="1"/>
      <w:marLeft w:val="0"/>
      <w:marRight w:val="0"/>
      <w:marTop w:val="0"/>
      <w:marBottom w:val="0"/>
      <w:divBdr>
        <w:top w:val="none" w:sz="0" w:space="0" w:color="auto"/>
        <w:left w:val="none" w:sz="0" w:space="0" w:color="auto"/>
        <w:bottom w:val="none" w:sz="0" w:space="0" w:color="auto"/>
        <w:right w:val="none" w:sz="0" w:space="0" w:color="auto"/>
      </w:divBdr>
    </w:div>
    <w:div w:id="160781281">
      <w:bodyDiv w:val="1"/>
      <w:marLeft w:val="0"/>
      <w:marRight w:val="0"/>
      <w:marTop w:val="0"/>
      <w:marBottom w:val="0"/>
      <w:divBdr>
        <w:top w:val="none" w:sz="0" w:space="0" w:color="auto"/>
        <w:left w:val="none" w:sz="0" w:space="0" w:color="auto"/>
        <w:bottom w:val="none" w:sz="0" w:space="0" w:color="auto"/>
        <w:right w:val="none" w:sz="0" w:space="0" w:color="auto"/>
      </w:divBdr>
    </w:div>
    <w:div w:id="161092813">
      <w:bodyDiv w:val="1"/>
      <w:marLeft w:val="0"/>
      <w:marRight w:val="0"/>
      <w:marTop w:val="0"/>
      <w:marBottom w:val="0"/>
      <w:divBdr>
        <w:top w:val="none" w:sz="0" w:space="0" w:color="auto"/>
        <w:left w:val="none" w:sz="0" w:space="0" w:color="auto"/>
        <w:bottom w:val="none" w:sz="0" w:space="0" w:color="auto"/>
        <w:right w:val="none" w:sz="0" w:space="0" w:color="auto"/>
      </w:divBdr>
    </w:div>
    <w:div w:id="161162351">
      <w:bodyDiv w:val="1"/>
      <w:marLeft w:val="0"/>
      <w:marRight w:val="0"/>
      <w:marTop w:val="0"/>
      <w:marBottom w:val="0"/>
      <w:divBdr>
        <w:top w:val="none" w:sz="0" w:space="0" w:color="auto"/>
        <w:left w:val="none" w:sz="0" w:space="0" w:color="auto"/>
        <w:bottom w:val="none" w:sz="0" w:space="0" w:color="auto"/>
        <w:right w:val="none" w:sz="0" w:space="0" w:color="auto"/>
      </w:divBdr>
    </w:div>
    <w:div w:id="161162506">
      <w:bodyDiv w:val="1"/>
      <w:marLeft w:val="0"/>
      <w:marRight w:val="0"/>
      <w:marTop w:val="0"/>
      <w:marBottom w:val="0"/>
      <w:divBdr>
        <w:top w:val="none" w:sz="0" w:space="0" w:color="auto"/>
        <w:left w:val="none" w:sz="0" w:space="0" w:color="auto"/>
        <w:bottom w:val="none" w:sz="0" w:space="0" w:color="auto"/>
        <w:right w:val="none" w:sz="0" w:space="0" w:color="auto"/>
      </w:divBdr>
    </w:div>
    <w:div w:id="161168493">
      <w:bodyDiv w:val="1"/>
      <w:marLeft w:val="0"/>
      <w:marRight w:val="0"/>
      <w:marTop w:val="0"/>
      <w:marBottom w:val="0"/>
      <w:divBdr>
        <w:top w:val="none" w:sz="0" w:space="0" w:color="auto"/>
        <w:left w:val="none" w:sz="0" w:space="0" w:color="auto"/>
        <w:bottom w:val="none" w:sz="0" w:space="0" w:color="auto"/>
        <w:right w:val="none" w:sz="0" w:space="0" w:color="auto"/>
      </w:divBdr>
    </w:div>
    <w:div w:id="161169766">
      <w:bodyDiv w:val="1"/>
      <w:marLeft w:val="0"/>
      <w:marRight w:val="0"/>
      <w:marTop w:val="0"/>
      <w:marBottom w:val="0"/>
      <w:divBdr>
        <w:top w:val="none" w:sz="0" w:space="0" w:color="auto"/>
        <w:left w:val="none" w:sz="0" w:space="0" w:color="auto"/>
        <w:bottom w:val="none" w:sz="0" w:space="0" w:color="auto"/>
        <w:right w:val="none" w:sz="0" w:space="0" w:color="auto"/>
      </w:divBdr>
    </w:div>
    <w:div w:id="161242632">
      <w:bodyDiv w:val="1"/>
      <w:marLeft w:val="0"/>
      <w:marRight w:val="0"/>
      <w:marTop w:val="0"/>
      <w:marBottom w:val="0"/>
      <w:divBdr>
        <w:top w:val="none" w:sz="0" w:space="0" w:color="auto"/>
        <w:left w:val="none" w:sz="0" w:space="0" w:color="auto"/>
        <w:bottom w:val="none" w:sz="0" w:space="0" w:color="auto"/>
        <w:right w:val="none" w:sz="0" w:space="0" w:color="auto"/>
      </w:divBdr>
    </w:div>
    <w:div w:id="161313551">
      <w:bodyDiv w:val="1"/>
      <w:marLeft w:val="0"/>
      <w:marRight w:val="0"/>
      <w:marTop w:val="0"/>
      <w:marBottom w:val="0"/>
      <w:divBdr>
        <w:top w:val="none" w:sz="0" w:space="0" w:color="auto"/>
        <w:left w:val="none" w:sz="0" w:space="0" w:color="auto"/>
        <w:bottom w:val="none" w:sz="0" w:space="0" w:color="auto"/>
        <w:right w:val="none" w:sz="0" w:space="0" w:color="auto"/>
      </w:divBdr>
    </w:div>
    <w:div w:id="161360410">
      <w:bodyDiv w:val="1"/>
      <w:marLeft w:val="0"/>
      <w:marRight w:val="0"/>
      <w:marTop w:val="0"/>
      <w:marBottom w:val="0"/>
      <w:divBdr>
        <w:top w:val="none" w:sz="0" w:space="0" w:color="auto"/>
        <w:left w:val="none" w:sz="0" w:space="0" w:color="auto"/>
        <w:bottom w:val="none" w:sz="0" w:space="0" w:color="auto"/>
        <w:right w:val="none" w:sz="0" w:space="0" w:color="auto"/>
      </w:divBdr>
    </w:div>
    <w:div w:id="161623834">
      <w:bodyDiv w:val="1"/>
      <w:marLeft w:val="0"/>
      <w:marRight w:val="0"/>
      <w:marTop w:val="0"/>
      <w:marBottom w:val="0"/>
      <w:divBdr>
        <w:top w:val="none" w:sz="0" w:space="0" w:color="auto"/>
        <w:left w:val="none" w:sz="0" w:space="0" w:color="auto"/>
        <w:bottom w:val="none" w:sz="0" w:space="0" w:color="auto"/>
        <w:right w:val="none" w:sz="0" w:space="0" w:color="auto"/>
      </w:divBdr>
    </w:div>
    <w:div w:id="161747113">
      <w:bodyDiv w:val="1"/>
      <w:marLeft w:val="0"/>
      <w:marRight w:val="0"/>
      <w:marTop w:val="0"/>
      <w:marBottom w:val="0"/>
      <w:divBdr>
        <w:top w:val="none" w:sz="0" w:space="0" w:color="auto"/>
        <w:left w:val="none" w:sz="0" w:space="0" w:color="auto"/>
        <w:bottom w:val="none" w:sz="0" w:space="0" w:color="auto"/>
        <w:right w:val="none" w:sz="0" w:space="0" w:color="auto"/>
      </w:divBdr>
    </w:div>
    <w:div w:id="161817674">
      <w:bodyDiv w:val="1"/>
      <w:marLeft w:val="0"/>
      <w:marRight w:val="0"/>
      <w:marTop w:val="0"/>
      <w:marBottom w:val="0"/>
      <w:divBdr>
        <w:top w:val="none" w:sz="0" w:space="0" w:color="auto"/>
        <w:left w:val="none" w:sz="0" w:space="0" w:color="auto"/>
        <w:bottom w:val="none" w:sz="0" w:space="0" w:color="auto"/>
        <w:right w:val="none" w:sz="0" w:space="0" w:color="auto"/>
      </w:divBdr>
    </w:div>
    <w:div w:id="161894419">
      <w:bodyDiv w:val="1"/>
      <w:marLeft w:val="0"/>
      <w:marRight w:val="0"/>
      <w:marTop w:val="0"/>
      <w:marBottom w:val="0"/>
      <w:divBdr>
        <w:top w:val="none" w:sz="0" w:space="0" w:color="auto"/>
        <w:left w:val="none" w:sz="0" w:space="0" w:color="auto"/>
        <w:bottom w:val="none" w:sz="0" w:space="0" w:color="auto"/>
        <w:right w:val="none" w:sz="0" w:space="0" w:color="auto"/>
      </w:divBdr>
    </w:div>
    <w:div w:id="161941158">
      <w:bodyDiv w:val="1"/>
      <w:marLeft w:val="0"/>
      <w:marRight w:val="0"/>
      <w:marTop w:val="0"/>
      <w:marBottom w:val="0"/>
      <w:divBdr>
        <w:top w:val="none" w:sz="0" w:space="0" w:color="auto"/>
        <w:left w:val="none" w:sz="0" w:space="0" w:color="auto"/>
        <w:bottom w:val="none" w:sz="0" w:space="0" w:color="auto"/>
        <w:right w:val="none" w:sz="0" w:space="0" w:color="auto"/>
      </w:divBdr>
    </w:div>
    <w:div w:id="162013260">
      <w:bodyDiv w:val="1"/>
      <w:marLeft w:val="0"/>
      <w:marRight w:val="0"/>
      <w:marTop w:val="0"/>
      <w:marBottom w:val="0"/>
      <w:divBdr>
        <w:top w:val="none" w:sz="0" w:space="0" w:color="auto"/>
        <w:left w:val="none" w:sz="0" w:space="0" w:color="auto"/>
        <w:bottom w:val="none" w:sz="0" w:space="0" w:color="auto"/>
        <w:right w:val="none" w:sz="0" w:space="0" w:color="auto"/>
      </w:divBdr>
    </w:div>
    <w:div w:id="162163937">
      <w:bodyDiv w:val="1"/>
      <w:marLeft w:val="0"/>
      <w:marRight w:val="0"/>
      <w:marTop w:val="0"/>
      <w:marBottom w:val="0"/>
      <w:divBdr>
        <w:top w:val="none" w:sz="0" w:space="0" w:color="auto"/>
        <w:left w:val="none" w:sz="0" w:space="0" w:color="auto"/>
        <w:bottom w:val="none" w:sz="0" w:space="0" w:color="auto"/>
        <w:right w:val="none" w:sz="0" w:space="0" w:color="auto"/>
      </w:divBdr>
    </w:div>
    <w:div w:id="162209545">
      <w:bodyDiv w:val="1"/>
      <w:marLeft w:val="0"/>
      <w:marRight w:val="0"/>
      <w:marTop w:val="0"/>
      <w:marBottom w:val="0"/>
      <w:divBdr>
        <w:top w:val="none" w:sz="0" w:space="0" w:color="auto"/>
        <w:left w:val="none" w:sz="0" w:space="0" w:color="auto"/>
        <w:bottom w:val="none" w:sz="0" w:space="0" w:color="auto"/>
        <w:right w:val="none" w:sz="0" w:space="0" w:color="auto"/>
      </w:divBdr>
    </w:div>
    <w:div w:id="162285579">
      <w:bodyDiv w:val="1"/>
      <w:marLeft w:val="0"/>
      <w:marRight w:val="0"/>
      <w:marTop w:val="0"/>
      <w:marBottom w:val="0"/>
      <w:divBdr>
        <w:top w:val="none" w:sz="0" w:space="0" w:color="auto"/>
        <w:left w:val="none" w:sz="0" w:space="0" w:color="auto"/>
        <w:bottom w:val="none" w:sz="0" w:space="0" w:color="auto"/>
        <w:right w:val="none" w:sz="0" w:space="0" w:color="auto"/>
      </w:divBdr>
    </w:div>
    <w:div w:id="162353334">
      <w:bodyDiv w:val="1"/>
      <w:marLeft w:val="0"/>
      <w:marRight w:val="0"/>
      <w:marTop w:val="0"/>
      <w:marBottom w:val="0"/>
      <w:divBdr>
        <w:top w:val="none" w:sz="0" w:space="0" w:color="auto"/>
        <w:left w:val="none" w:sz="0" w:space="0" w:color="auto"/>
        <w:bottom w:val="none" w:sz="0" w:space="0" w:color="auto"/>
        <w:right w:val="none" w:sz="0" w:space="0" w:color="auto"/>
      </w:divBdr>
    </w:div>
    <w:div w:id="162355676">
      <w:bodyDiv w:val="1"/>
      <w:marLeft w:val="0"/>
      <w:marRight w:val="0"/>
      <w:marTop w:val="0"/>
      <w:marBottom w:val="0"/>
      <w:divBdr>
        <w:top w:val="none" w:sz="0" w:space="0" w:color="auto"/>
        <w:left w:val="none" w:sz="0" w:space="0" w:color="auto"/>
        <w:bottom w:val="none" w:sz="0" w:space="0" w:color="auto"/>
        <w:right w:val="none" w:sz="0" w:space="0" w:color="auto"/>
      </w:divBdr>
    </w:div>
    <w:div w:id="162360629">
      <w:bodyDiv w:val="1"/>
      <w:marLeft w:val="0"/>
      <w:marRight w:val="0"/>
      <w:marTop w:val="0"/>
      <w:marBottom w:val="0"/>
      <w:divBdr>
        <w:top w:val="none" w:sz="0" w:space="0" w:color="auto"/>
        <w:left w:val="none" w:sz="0" w:space="0" w:color="auto"/>
        <w:bottom w:val="none" w:sz="0" w:space="0" w:color="auto"/>
        <w:right w:val="none" w:sz="0" w:space="0" w:color="auto"/>
      </w:divBdr>
    </w:div>
    <w:div w:id="162360964">
      <w:bodyDiv w:val="1"/>
      <w:marLeft w:val="0"/>
      <w:marRight w:val="0"/>
      <w:marTop w:val="0"/>
      <w:marBottom w:val="0"/>
      <w:divBdr>
        <w:top w:val="none" w:sz="0" w:space="0" w:color="auto"/>
        <w:left w:val="none" w:sz="0" w:space="0" w:color="auto"/>
        <w:bottom w:val="none" w:sz="0" w:space="0" w:color="auto"/>
        <w:right w:val="none" w:sz="0" w:space="0" w:color="auto"/>
      </w:divBdr>
    </w:div>
    <w:div w:id="162551839">
      <w:bodyDiv w:val="1"/>
      <w:marLeft w:val="0"/>
      <w:marRight w:val="0"/>
      <w:marTop w:val="0"/>
      <w:marBottom w:val="0"/>
      <w:divBdr>
        <w:top w:val="none" w:sz="0" w:space="0" w:color="auto"/>
        <w:left w:val="none" w:sz="0" w:space="0" w:color="auto"/>
        <w:bottom w:val="none" w:sz="0" w:space="0" w:color="auto"/>
        <w:right w:val="none" w:sz="0" w:space="0" w:color="auto"/>
      </w:divBdr>
    </w:div>
    <w:div w:id="162626227">
      <w:bodyDiv w:val="1"/>
      <w:marLeft w:val="0"/>
      <w:marRight w:val="0"/>
      <w:marTop w:val="0"/>
      <w:marBottom w:val="0"/>
      <w:divBdr>
        <w:top w:val="none" w:sz="0" w:space="0" w:color="auto"/>
        <w:left w:val="none" w:sz="0" w:space="0" w:color="auto"/>
        <w:bottom w:val="none" w:sz="0" w:space="0" w:color="auto"/>
        <w:right w:val="none" w:sz="0" w:space="0" w:color="auto"/>
      </w:divBdr>
    </w:div>
    <w:div w:id="162739774">
      <w:bodyDiv w:val="1"/>
      <w:marLeft w:val="0"/>
      <w:marRight w:val="0"/>
      <w:marTop w:val="0"/>
      <w:marBottom w:val="0"/>
      <w:divBdr>
        <w:top w:val="none" w:sz="0" w:space="0" w:color="auto"/>
        <w:left w:val="none" w:sz="0" w:space="0" w:color="auto"/>
        <w:bottom w:val="none" w:sz="0" w:space="0" w:color="auto"/>
        <w:right w:val="none" w:sz="0" w:space="0" w:color="auto"/>
      </w:divBdr>
    </w:div>
    <w:div w:id="162864480">
      <w:bodyDiv w:val="1"/>
      <w:marLeft w:val="0"/>
      <w:marRight w:val="0"/>
      <w:marTop w:val="0"/>
      <w:marBottom w:val="0"/>
      <w:divBdr>
        <w:top w:val="none" w:sz="0" w:space="0" w:color="auto"/>
        <w:left w:val="none" w:sz="0" w:space="0" w:color="auto"/>
        <w:bottom w:val="none" w:sz="0" w:space="0" w:color="auto"/>
        <w:right w:val="none" w:sz="0" w:space="0" w:color="auto"/>
      </w:divBdr>
    </w:div>
    <w:div w:id="162865044">
      <w:bodyDiv w:val="1"/>
      <w:marLeft w:val="0"/>
      <w:marRight w:val="0"/>
      <w:marTop w:val="0"/>
      <w:marBottom w:val="0"/>
      <w:divBdr>
        <w:top w:val="none" w:sz="0" w:space="0" w:color="auto"/>
        <w:left w:val="none" w:sz="0" w:space="0" w:color="auto"/>
        <w:bottom w:val="none" w:sz="0" w:space="0" w:color="auto"/>
        <w:right w:val="none" w:sz="0" w:space="0" w:color="auto"/>
      </w:divBdr>
    </w:div>
    <w:div w:id="162941759">
      <w:bodyDiv w:val="1"/>
      <w:marLeft w:val="0"/>
      <w:marRight w:val="0"/>
      <w:marTop w:val="0"/>
      <w:marBottom w:val="0"/>
      <w:divBdr>
        <w:top w:val="none" w:sz="0" w:space="0" w:color="auto"/>
        <w:left w:val="none" w:sz="0" w:space="0" w:color="auto"/>
        <w:bottom w:val="none" w:sz="0" w:space="0" w:color="auto"/>
        <w:right w:val="none" w:sz="0" w:space="0" w:color="auto"/>
      </w:divBdr>
    </w:div>
    <w:div w:id="163012072">
      <w:bodyDiv w:val="1"/>
      <w:marLeft w:val="0"/>
      <w:marRight w:val="0"/>
      <w:marTop w:val="0"/>
      <w:marBottom w:val="0"/>
      <w:divBdr>
        <w:top w:val="none" w:sz="0" w:space="0" w:color="auto"/>
        <w:left w:val="none" w:sz="0" w:space="0" w:color="auto"/>
        <w:bottom w:val="none" w:sz="0" w:space="0" w:color="auto"/>
        <w:right w:val="none" w:sz="0" w:space="0" w:color="auto"/>
      </w:divBdr>
    </w:div>
    <w:div w:id="163130961">
      <w:bodyDiv w:val="1"/>
      <w:marLeft w:val="0"/>
      <w:marRight w:val="0"/>
      <w:marTop w:val="0"/>
      <w:marBottom w:val="0"/>
      <w:divBdr>
        <w:top w:val="none" w:sz="0" w:space="0" w:color="auto"/>
        <w:left w:val="none" w:sz="0" w:space="0" w:color="auto"/>
        <w:bottom w:val="none" w:sz="0" w:space="0" w:color="auto"/>
        <w:right w:val="none" w:sz="0" w:space="0" w:color="auto"/>
      </w:divBdr>
    </w:div>
    <w:div w:id="163278929">
      <w:bodyDiv w:val="1"/>
      <w:marLeft w:val="0"/>
      <w:marRight w:val="0"/>
      <w:marTop w:val="0"/>
      <w:marBottom w:val="0"/>
      <w:divBdr>
        <w:top w:val="none" w:sz="0" w:space="0" w:color="auto"/>
        <w:left w:val="none" w:sz="0" w:space="0" w:color="auto"/>
        <w:bottom w:val="none" w:sz="0" w:space="0" w:color="auto"/>
        <w:right w:val="none" w:sz="0" w:space="0" w:color="auto"/>
      </w:divBdr>
    </w:div>
    <w:div w:id="163279255">
      <w:bodyDiv w:val="1"/>
      <w:marLeft w:val="0"/>
      <w:marRight w:val="0"/>
      <w:marTop w:val="0"/>
      <w:marBottom w:val="0"/>
      <w:divBdr>
        <w:top w:val="none" w:sz="0" w:space="0" w:color="auto"/>
        <w:left w:val="none" w:sz="0" w:space="0" w:color="auto"/>
        <w:bottom w:val="none" w:sz="0" w:space="0" w:color="auto"/>
        <w:right w:val="none" w:sz="0" w:space="0" w:color="auto"/>
      </w:divBdr>
    </w:div>
    <w:div w:id="163280473">
      <w:bodyDiv w:val="1"/>
      <w:marLeft w:val="0"/>
      <w:marRight w:val="0"/>
      <w:marTop w:val="0"/>
      <w:marBottom w:val="0"/>
      <w:divBdr>
        <w:top w:val="none" w:sz="0" w:space="0" w:color="auto"/>
        <w:left w:val="none" w:sz="0" w:space="0" w:color="auto"/>
        <w:bottom w:val="none" w:sz="0" w:space="0" w:color="auto"/>
        <w:right w:val="none" w:sz="0" w:space="0" w:color="auto"/>
      </w:divBdr>
    </w:div>
    <w:div w:id="163320732">
      <w:bodyDiv w:val="1"/>
      <w:marLeft w:val="0"/>
      <w:marRight w:val="0"/>
      <w:marTop w:val="0"/>
      <w:marBottom w:val="0"/>
      <w:divBdr>
        <w:top w:val="none" w:sz="0" w:space="0" w:color="auto"/>
        <w:left w:val="none" w:sz="0" w:space="0" w:color="auto"/>
        <w:bottom w:val="none" w:sz="0" w:space="0" w:color="auto"/>
        <w:right w:val="none" w:sz="0" w:space="0" w:color="auto"/>
      </w:divBdr>
    </w:div>
    <w:div w:id="163322229">
      <w:bodyDiv w:val="1"/>
      <w:marLeft w:val="0"/>
      <w:marRight w:val="0"/>
      <w:marTop w:val="0"/>
      <w:marBottom w:val="0"/>
      <w:divBdr>
        <w:top w:val="none" w:sz="0" w:space="0" w:color="auto"/>
        <w:left w:val="none" w:sz="0" w:space="0" w:color="auto"/>
        <w:bottom w:val="none" w:sz="0" w:space="0" w:color="auto"/>
        <w:right w:val="none" w:sz="0" w:space="0" w:color="auto"/>
      </w:divBdr>
    </w:div>
    <w:div w:id="163472300">
      <w:bodyDiv w:val="1"/>
      <w:marLeft w:val="0"/>
      <w:marRight w:val="0"/>
      <w:marTop w:val="0"/>
      <w:marBottom w:val="0"/>
      <w:divBdr>
        <w:top w:val="none" w:sz="0" w:space="0" w:color="auto"/>
        <w:left w:val="none" w:sz="0" w:space="0" w:color="auto"/>
        <w:bottom w:val="none" w:sz="0" w:space="0" w:color="auto"/>
        <w:right w:val="none" w:sz="0" w:space="0" w:color="auto"/>
      </w:divBdr>
    </w:div>
    <w:div w:id="163667304">
      <w:bodyDiv w:val="1"/>
      <w:marLeft w:val="0"/>
      <w:marRight w:val="0"/>
      <w:marTop w:val="0"/>
      <w:marBottom w:val="0"/>
      <w:divBdr>
        <w:top w:val="none" w:sz="0" w:space="0" w:color="auto"/>
        <w:left w:val="none" w:sz="0" w:space="0" w:color="auto"/>
        <w:bottom w:val="none" w:sz="0" w:space="0" w:color="auto"/>
        <w:right w:val="none" w:sz="0" w:space="0" w:color="auto"/>
      </w:divBdr>
    </w:div>
    <w:div w:id="163671752">
      <w:bodyDiv w:val="1"/>
      <w:marLeft w:val="0"/>
      <w:marRight w:val="0"/>
      <w:marTop w:val="0"/>
      <w:marBottom w:val="0"/>
      <w:divBdr>
        <w:top w:val="none" w:sz="0" w:space="0" w:color="auto"/>
        <w:left w:val="none" w:sz="0" w:space="0" w:color="auto"/>
        <w:bottom w:val="none" w:sz="0" w:space="0" w:color="auto"/>
        <w:right w:val="none" w:sz="0" w:space="0" w:color="auto"/>
      </w:divBdr>
    </w:div>
    <w:div w:id="163785080">
      <w:bodyDiv w:val="1"/>
      <w:marLeft w:val="0"/>
      <w:marRight w:val="0"/>
      <w:marTop w:val="0"/>
      <w:marBottom w:val="0"/>
      <w:divBdr>
        <w:top w:val="none" w:sz="0" w:space="0" w:color="auto"/>
        <w:left w:val="none" w:sz="0" w:space="0" w:color="auto"/>
        <w:bottom w:val="none" w:sz="0" w:space="0" w:color="auto"/>
        <w:right w:val="none" w:sz="0" w:space="0" w:color="auto"/>
      </w:divBdr>
    </w:div>
    <w:div w:id="163863942">
      <w:bodyDiv w:val="1"/>
      <w:marLeft w:val="0"/>
      <w:marRight w:val="0"/>
      <w:marTop w:val="0"/>
      <w:marBottom w:val="0"/>
      <w:divBdr>
        <w:top w:val="none" w:sz="0" w:space="0" w:color="auto"/>
        <w:left w:val="none" w:sz="0" w:space="0" w:color="auto"/>
        <w:bottom w:val="none" w:sz="0" w:space="0" w:color="auto"/>
        <w:right w:val="none" w:sz="0" w:space="0" w:color="auto"/>
      </w:divBdr>
    </w:div>
    <w:div w:id="164058588">
      <w:bodyDiv w:val="1"/>
      <w:marLeft w:val="0"/>
      <w:marRight w:val="0"/>
      <w:marTop w:val="0"/>
      <w:marBottom w:val="0"/>
      <w:divBdr>
        <w:top w:val="none" w:sz="0" w:space="0" w:color="auto"/>
        <w:left w:val="none" w:sz="0" w:space="0" w:color="auto"/>
        <w:bottom w:val="none" w:sz="0" w:space="0" w:color="auto"/>
        <w:right w:val="none" w:sz="0" w:space="0" w:color="auto"/>
      </w:divBdr>
    </w:div>
    <w:div w:id="164059353">
      <w:bodyDiv w:val="1"/>
      <w:marLeft w:val="0"/>
      <w:marRight w:val="0"/>
      <w:marTop w:val="0"/>
      <w:marBottom w:val="0"/>
      <w:divBdr>
        <w:top w:val="none" w:sz="0" w:space="0" w:color="auto"/>
        <w:left w:val="none" w:sz="0" w:space="0" w:color="auto"/>
        <w:bottom w:val="none" w:sz="0" w:space="0" w:color="auto"/>
        <w:right w:val="none" w:sz="0" w:space="0" w:color="auto"/>
      </w:divBdr>
    </w:div>
    <w:div w:id="164168417">
      <w:bodyDiv w:val="1"/>
      <w:marLeft w:val="0"/>
      <w:marRight w:val="0"/>
      <w:marTop w:val="0"/>
      <w:marBottom w:val="0"/>
      <w:divBdr>
        <w:top w:val="none" w:sz="0" w:space="0" w:color="auto"/>
        <w:left w:val="none" w:sz="0" w:space="0" w:color="auto"/>
        <w:bottom w:val="none" w:sz="0" w:space="0" w:color="auto"/>
        <w:right w:val="none" w:sz="0" w:space="0" w:color="auto"/>
      </w:divBdr>
    </w:div>
    <w:div w:id="164364403">
      <w:bodyDiv w:val="1"/>
      <w:marLeft w:val="0"/>
      <w:marRight w:val="0"/>
      <w:marTop w:val="0"/>
      <w:marBottom w:val="0"/>
      <w:divBdr>
        <w:top w:val="none" w:sz="0" w:space="0" w:color="auto"/>
        <w:left w:val="none" w:sz="0" w:space="0" w:color="auto"/>
        <w:bottom w:val="none" w:sz="0" w:space="0" w:color="auto"/>
        <w:right w:val="none" w:sz="0" w:space="0" w:color="auto"/>
      </w:divBdr>
    </w:div>
    <w:div w:id="164365556">
      <w:bodyDiv w:val="1"/>
      <w:marLeft w:val="0"/>
      <w:marRight w:val="0"/>
      <w:marTop w:val="0"/>
      <w:marBottom w:val="0"/>
      <w:divBdr>
        <w:top w:val="none" w:sz="0" w:space="0" w:color="auto"/>
        <w:left w:val="none" w:sz="0" w:space="0" w:color="auto"/>
        <w:bottom w:val="none" w:sz="0" w:space="0" w:color="auto"/>
        <w:right w:val="none" w:sz="0" w:space="0" w:color="auto"/>
      </w:divBdr>
    </w:div>
    <w:div w:id="164367995">
      <w:bodyDiv w:val="1"/>
      <w:marLeft w:val="0"/>
      <w:marRight w:val="0"/>
      <w:marTop w:val="0"/>
      <w:marBottom w:val="0"/>
      <w:divBdr>
        <w:top w:val="none" w:sz="0" w:space="0" w:color="auto"/>
        <w:left w:val="none" w:sz="0" w:space="0" w:color="auto"/>
        <w:bottom w:val="none" w:sz="0" w:space="0" w:color="auto"/>
        <w:right w:val="none" w:sz="0" w:space="0" w:color="auto"/>
      </w:divBdr>
    </w:div>
    <w:div w:id="164370843">
      <w:bodyDiv w:val="1"/>
      <w:marLeft w:val="0"/>
      <w:marRight w:val="0"/>
      <w:marTop w:val="0"/>
      <w:marBottom w:val="0"/>
      <w:divBdr>
        <w:top w:val="none" w:sz="0" w:space="0" w:color="auto"/>
        <w:left w:val="none" w:sz="0" w:space="0" w:color="auto"/>
        <w:bottom w:val="none" w:sz="0" w:space="0" w:color="auto"/>
        <w:right w:val="none" w:sz="0" w:space="0" w:color="auto"/>
      </w:divBdr>
    </w:div>
    <w:div w:id="164515521">
      <w:bodyDiv w:val="1"/>
      <w:marLeft w:val="0"/>
      <w:marRight w:val="0"/>
      <w:marTop w:val="0"/>
      <w:marBottom w:val="0"/>
      <w:divBdr>
        <w:top w:val="none" w:sz="0" w:space="0" w:color="auto"/>
        <w:left w:val="none" w:sz="0" w:space="0" w:color="auto"/>
        <w:bottom w:val="none" w:sz="0" w:space="0" w:color="auto"/>
        <w:right w:val="none" w:sz="0" w:space="0" w:color="auto"/>
      </w:divBdr>
    </w:div>
    <w:div w:id="164589652">
      <w:bodyDiv w:val="1"/>
      <w:marLeft w:val="0"/>
      <w:marRight w:val="0"/>
      <w:marTop w:val="0"/>
      <w:marBottom w:val="0"/>
      <w:divBdr>
        <w:top w:val="none" w:sz="0" w:space="0" w:color="auto"/>
        <w:left w:val="none" w:sz="0" w:space="0" w:color="auto"/>
        <w:bottom w:val="none" w:sz="0" w:space="0" w:color="auto"/>
        <w:right w:val="none" w:sz="0" w:space="0" w:color="auto"/>
      </w:divBdr>
    </w:div>
    <w:div w:id="164591491">
      <w:bodyDiv w:val="1"/>
      <w:marLeft w:val="0"/>
      <w:marRight w:val="0"/>
      <w:marTop w:val="0"/>
      <w:marBottom w:val="0"/>
      <w:divBdr>
        <w:top w:val="none" w:sz="0" w:space="0" w:color="auto"/>
        <w:left w:val="none" w:sz="0" w:space="0" w:color="auto"/>
        <w:bottom w:val="none" w:sz="0" w:space="0" w:color="auto"/>
        <w:right w:val="none" w:sz="0" w:space="0" w:color="auto"/>
      </w:divBdr>
    </w:div>
    <w:div w:id="164592621">
      <w:bodyDiv w:val="1"/>
      <w:marLeft w:val="0"/>
      <w:marRight w:val="0"/>
      <w:marTop w:val="0"/>
      <w:marBottom w:val="0"/>
      <w:divBdr>
        <w:top w:val="none" w:sz="0" w:space="0" w:color="auto"/>
        <w:left w:val="none" w:sz="0" w:space="0" w:color="auto"/>
        <w:bottom w:val="none" w:sz="0" w:space="0" w:color="auto"/>
        <w:right w:val="none" w:sz="0" w:space="0" w:color="auto"/>
      </w:divBdr>
    </w:div>
    <w:div w:id="164637953">
      <w:bodyDiv w:val="1"/>
      <w:marLeft w:val="0"/>
      <w:marRight w:val="0"/>
      <w:marTop w:val="0"/>
      <w:marBottom w:val="0"/>
      <w:divBdr>
        <w:top w:val="none" w:sz="0" w:space="0" w:color="auto"/>
        <w:left w:val="none" w:sz="0" w:space="0" w:color="auto"/>
        <w:bottom w:val="none" w:sz="0" w:space="0" w:color="auto"/>
        <w:right w:val="none" w:sz="0" w:space="0" w:color="auto"/>
      </w:divBdr>
    </w:div>
    <w:div w:id="164788780">
      <w:bodyDiv w:val="1"/>
      <w:marLeft w:val="0"/>
      <w:marRight w:val="0"/>
      <w:marTop w:val="0"/>
      <w:marBottom w:val="0"/>
      <w:divBdr>
        <w:top w:val="none" w:sz="0" w:space="0" w:color="auto"/>
        <w:left w:val="none" w:sz="0" w:space="0" w:color="auto"/>
        <w:bottom w:val="none" w:sz="0" w:space="0" w:color="auto"/>
        <w:right w:val="none" w:sz="0" w:space="0" w:color="auto"/>
      </w:divBdr>
    </w:div>
    <w:div w:id="164826392">
      <w:bodyDiv w:val="1"/>
      <w:marLeft w:val="0"/>
      <w:marRight w:val="0"/>
      <w:marTop w:val="0"/>
      <w:marBottom w:val="0"/>
      <w:divBdr>
        <w:top w:val="none" w:sz="0" w:space="0" w:color="auto"/>
        <w:left w:val="none" w:sz="0" w:space="0" w:color="auto"/>
        <w:bottom w:val="none" w:sz="0" w:space="0" w:color="auto"/>
        <w:right w:val="none" w:sz="0" w:space="0" w:color="auto"/>
      </w:divBdr>
    </w:div>
    <w:div w:id="164907673">
      <w:bodyDiv w:val="1"/>
      <w:marLeft w:val="0"/>
      <w:marRight w:val="0"/>
      <w:marTop w:val="0"/>
      <w:marBottom w:val="0"/>
      <w:divBdr>
        <w:top w:val="none" w:sz="0" w:space="0" w:color="auto"/>
        <w:left w:val="none" w:sz="0" w:space="0" w:color="auto"/>
        <w:bottom w:val="none" w:sz="0" w:space="0" w:color="auto"/>
        <w:right w:val="none" w:sz="0" w:space="0" w:color="auto"/>
      </w:divBdr>
    </w:div>
    <w:div w:id="164907832">
      <w:bodyDiv w:val="1"/>
      <w:marLeft w:val="0"/>
      <w:marRight w:val="0"/>
      <w:marTop w:val="0"/>
      <w:marBottom w:val="0"/>
      <w:divBdr>
        <w:top w:val="none" w:sz="0" w:space="0" w:color="auto"/>
        <w:left w:val="none" w:sz="0" w:space="0" w:color="auto"/>
        <w:bottom w:val="none" w:sz="0" w:space="0" w:color="auto"/>
        <w:right w:val="none" w:sz="0" w:space="0" w:color="auto"/>
      </w:divBdr>
    </w:div>
    <w:div w:id="164975235">
      <w:bodyDiv w:val="1"/>
      <w:marLeft w:val="0"/>
      <w:marRight w:val="0"/>
      <w:marTop w:val="0"/>
      <w:marBottom w:val="0"/>
      <w:divBdr>
        <w:top w:val="none" w:sz="0" w:space="0" w:color="auto"/>
        <w:left w:val="none" w:sz="0" w:space="0" w:color="auto"/>
        <w:bottom w:val="none" w:sz="0" w:space="0" w:color="auto"/>
        <w:right w:val="none" w:sz="0" w:space="0" w:color="auto"/>
      </w:divBdr>
    </w:div>
    <w:div w:id="164977128">
      <w:bodyDiv w:val="1"/>
      <w:marLeft w:val="0"/>
      <w:marRight w:val="0"/>
      <w:marTop w:val="0"/>
      <w:marBottom w:val="0"/>
      <w:divBdr>
        <w:top w:val="none" w:sz="0" w:space="0" w:color="auto"/>
        <w:left w:val="none" w:sz="0" w:space="0" w:color="auto"/>
        <w:bottom w:val="none" w:sz="0" w:space="0" w:color="auto"/>
        <w:right w:val="none" w:sz="0" w:space="0" w:color="auto"/>
      </w:divBdr>
    </w:div>
    <w:div w:id="164983002">
      <w:bodyDiv w:val="1"/>
      <w:marLeft w:val="0"/>
      <w:marRight w:val="0"/>
      <w:marTop w:val="0"/>
      <w:marBottom w:val="0"/>
      <w:divBdr>
        <w:top w:val="none" w:sz="0" w:space="0" w:color="auto"/>
        <w:left w:val="none" w:sz="0" w:space="0" w:color="auto"/>
        <w:bottom w:val="none" w:sz="0" w:space="0" w:color="auto"/>
        <w:right w:val="none" w:sz="0" w:space="0" w:color="auto"/>
      </w:divBdr>
    </w:div>
    <w:div w:id="165216847">
      <w:bodyDiv w:val="1"/>
      <w:marLeft w:val="0"/>
      <w:marRight w:val="0"/>
      <w:marTop w:val="0"/>
      <w:marBottom w:val="0"/>
      <w:divBdr>
        <w:top w:val="none" w:sz="0" w:space="0" w:color="auto"/>
        <w:left w:val="none" w:sz="0" w:space="0" w:color="auto"/>
        <w:bottom w:val="none" w:sz="0" w:space="0" w:color="auto"/>
        <w:right w:val="none" w:sz="0" w:space="0" w:color="auto"/>
      </w:divBdr>
    </w:div>
    <w:div w:id="165364072">
      <w:bodyDiv w:val="1"/>
      <w:marLeft w:val="0"/>
      <w:marRight w:val="0"/>
      <w:marTop w:val="0"/>
      <w:marBottom w:val="0"/>
      <w:divBdr>
        <w:top w:val="none" w:sz="0" w:space="0" w:color="auto"/>
        <w:left w:val="none" w:sz="0" w:space="0" w:color="auto"/>
        <w:bottom w:val="none" w:sz="0" w:space="0" w:color="auto"/>
        <w:right w:val="none" w:sz="0" w:space="0" w:color="auto"/>
      </w:divBdr>
    </w:div>
    <w:div w:id="165438418">
      <w:bodyDiv w:val="1"/>
      <w:marLeft w:val="0"/>
      <w:marRight w:val="0"/>
      <w:marTop w:val="0"/>
      <w:marBottom w:val="0"/>
      <w:divBdr>
        <w:top w:val="none" w:sz="0" w:space="0" w:color="auto"/>
        <w:left w:val="none" w:sz="0" w:space="0" w:color="auto"/>
        <w:bottom w:val="none" w:sz="0" w:space="0" w:color="auto"/>
        <w:right w:val="none" w:sz="0" w:space="0" w:color="auto"/>
      </w:divBdr>
    </w:div>
    <w:div w:id="165440030">
      <w:bodyDiv w:val="1"/>
      <w:marLeft w:val="0"/>
      <w:marRight w:val="0"/>
      <w:marTop w:val="0"/>
      <w:marBottom w:val="0"/>
      <w:divBdr>
        <w:top w:val="none" w:sz="0" w:space="0" w:color="auto"/>
        <w:left w:val="none" w:sz="0" w:space="0" w:color="auto"/>
        <w:bottom w:val="none" w:sz="0" w:space="0" w:color="auto"/>
        <w:right w:val="none" w:sz="0" w:space="0" w:color="auto"/>
      </w:divBdr>
    </w:div>
    <w:div w:id="165555143">
      <w:bodyDiv w:val="1"/>
      <w:marLeft w:val="0"/>
      <w:marRight w:val="0"/>
      <w:marTop w:val="0"/>
      <w:marBottom w:val="0"/>
      <w:divBdr>
        <w:top w:val="none" w:sz="0" w:space="0" w:color="auto"/>
        <w:left w:val="none" w:sz="0" w:space="0" w:color="auto"/>
        <w:bottom w:val="none" w:sz="0" w:space="0" w:color="auto"/>
        <w:right w:val="none" w:sz="0" w:space="0" w:color="auto"/>
      </w:divBdr>
    </w:div>
    <w:div w:id="165561912">
      <w:bodyDiv w:val="1"/>
      <w:marLeft w:val="0"/>
      <w:marRight w:val="0"/>
      <w:marTop w:val="0"/>
      <w:marBottom w:val="0"/>
      <w:divBdr>
        <w:top w:val="none" w:sz="0" w:space="0" w:color="auto"/>
        <w:left w:val="none" w:sz="0" w:space="0" w:color="auto"/>
        <w:bottom w:val="none" w:sz="0" w:space="0" w:color="auto"/>
        <w:right w:val="none" w:sz="0" w:space="0" w:color="auto"/>
      </w:divBdr>
    </w:div>
    <w:div w:id="165634084">
      <w:bodyDiv w:val="1"/>
      <w:marLeft w:val="0"/>
      <w:marRight w:val="0"/>
      <w:marTop w:val="0"/>
      <w:marBottom w:val="0"/>
      <w:divBdr>
        <w:top w:val="none" w:sz="0" w:space="0" w:color="auto"/>
        <w:left w:val="none" w:sz="0" w:space="0" w:color="auto"/>
        <w:bottom w:val="none" w:sz="0" w:space="0" w:color="auto"/>
        <w:right w:val="none" w:sz="0" w:space="0" w:color="auto"/>
      </w:divBdr>
    </w:div>
    <w:div w:id="165636249">
      <w:bodyDiv w:val="1"/>
      <w:marLeft w:val="0"/>
      <w:marRight w:val="0"/>
      <w:marTop w:val="0"/>
      <w:marBottom w:val="0"/>
      <w:divBdr>
        <w:top w:val="none" w:sz="0" w:space="0" w:color="auto"/>
        <w:left w:val="none" w:sz="0" w:space="0" w:color="auto"/>
        <w:bottom w:val="none" w:sz="0" w:space="0" w:color="auto"/>
        <w:right w:val="none" w:sz="0" w:space="0" w:color="auto"/>
      </w:divBdr>
    </w:div>
    <w:div w:id="165748637">
      <w:bodyDiv w:val="1"/>
      <w:marLeft w:val="0"/>
      <w:marRight w:val="0"/>
      <w:marTop w:val="0"/>
      <w:marBottom w:val="0"/>
      <w:divBdr>
        <w:top w:val="none" w:sz="0" w:space="0" w:color="auto"/>
        <w:left w:val="none" w:sz="0" w:space="0" w:color="auto"/>
        <w:bottom w:val="none" w:sz="0" w:space="0" w:color="auto"/>
        <w:right w:val="none" w:sz="0" w:space="0" w:color="auto"/>
      </w:divBdr>
    </w:div>
    <w:div w:id="165750606">
      <w:bodyDiv w:val="1"/>
      <w:marLeft w:val="0"/>
      <w:marRight w:val="0"/>
      <w:marTop w:val="0"/>
      <w:marBottom w:val="0"/>
      <w:divBdr>
        <w:top w:val="none" w:sz="0" w:space="0" w:color="auto"/>
        <w:left w:val="none" w:sz="0" w:space="0" w:color="auto"/>
        <w:bottom w:val="none" w:sz="0" w:space="0" w:color="auto"/>
        <w:right w:val="none" w:sz="0" w:space="0" w:color="auto"/>
      </w:divBdr>
    </w:div>
    <w:div w:id="165750836">
      <w:bodyDiv w:val="1"/>
      <w:marLeft w:val="0"/>
      <w:marRight w:val="0"/>
      <w:marTop w:val="0"/>
      <w:marBottom w:val="0"/>
      <w:divBdr>
        <w:top w:val="none" w:sz="0" w:space="0" w:color="auto"/>
        <w:left w:val="none" w:sz="0" w:space="0" w:color="auto"/>
        <w:bottom w:val="none" w:sz="0" w:space="0" w:color="auto"/>
        <w:right w:val="none" w:sz="0" w:space="0" w:color="auto"/>
      </w:divBdr>
    </w:div>
    <w:div w:id="165752817">
      <w:bodyDiv w:val="1"/>
      <w:marLeft w:val="0"/>
      <w:marRight w:val="0"/>
      <w:marTop w:val="0"/>
      <w:marBottom w:val="0"/>
      <w:divBdr>
        <w:top w:val="none" w:sz="0" w:space="0" w:color="auto"/>
        <w:left w:val="none" w:sz="0" w:space="0" w:color="auto"/>
        <w:bottom w:val="none" w:sz="0" w:space="0" w:color="auto"/>
        <w:right w:val="none" w:sz="0" w:space="0" w:color="auto"/>
      </w:divBdr>
    </w:div>
    <w:div w:id="165829961">
      <w:bodyDiv w:val="1"/>
      <w:marLeft w:val="0"/>
      <w:marRight w:val="0"/>
      <w:marTop w:val="0"/>
      <w:marBottom w:val="0"/>
      <w:divBdr>
        <w:top w:val="none" w:sz="0" w:space="0" w:color="auto"/>
        <w:left w:val="none" w:sz="0" w:space="0" w:color="auto"/>
        <w:bottom w:val="none" w:sz="0" w:space="0" w:color="auto"/>
        <w:right w:val="none" w:sz="0" w:space="0" w:color="auto"/>
      </w:divBdr>
    </w:div>
    <w:div w:id="165903203">
      <w:bodyDiv w:val="1"/>
      <w:marLeft w:val="0"/>
      <w:marRight w:val="0"/>
      <w:marTop w:val="0"/>
      <w:marBottom w:val="0"/>
      <w:divBdr>
        <w:top w:val="none" w:sz="0" w:space="0" w:color="auto"/>
        <w:left w:val="none" w:sz="0" w:space="0" w:color="auto"/>
        <w:bottom w:val="none" w:sz="0" w:space="0" w:color="auto"/>
        <w:right w:val="none" w:sz="0" w:space="0" w:color="auto"/>
      </w:divBdr>
    </w:div>
    <w:div w:id="165903484">
      <w:bodyDiv w:val="1"/>
      <w:marLeft w:val="0"/>
      <w:marRight w:val="0"/>
      <w:marTop w:val="0"/>
      <w:marBottom w:val="0"/>
      <w:divBdr>
        <w:top w:val="none" w:sz="0" w:space="0" w:color="auto"/>
        <w:left w:val="none" w:sz="0" w:space="0" w:color="auto"/>
        <w:bottom w:val="none" w:sz="0" w:space="0" w:color="auto"/>
        <w:right w:val="none" w:sz="0" w:space="0" w:color="auto"/>
      </w:divBdr>
    </w:div>
    <w:div w:id="166016236">
      <w:bodyDiv w:val="1"/>
      <w:marLeft w:val="0"/>
      <w:marRight w:val="0"/>
      <w:marTop w:val="0"/>
      <w:marBottom w:val="0"/>
      <w:divBdr>
        <w:top w:val="none" w:sz="0" w:space="0" w:color="auto"/>
        <w:left w:val="none" w:sz="0" w:space="0" w:color="auto"/>
        <w:bottom w:val="none" w:sz="0" w:space="0" w:color="auto"/>
        <w:right w:val="none" w:sz="0" w:space="0" w:color="auto"/>
      </w:divBdr>
    </w:div>
    <w:div w:id="166024796">
      <w:bodyDiv w:val="1"/>
      <w:marLeft w:val="0"/>
      <w:marRight w:val="0"/>
      <w:marTop w:val="0"/>
      <w:marBottom w:val="0"/>
      <w:divBdr>
        <w:top w:val="none" w:sz="0" w:space="0" w:color="auto"/>
        <w:left w:val="none" w:sz="0" w:space="0" w:color="auto"/>
        <w:bottom w:val="none" w:sz="0" w:space="0" w:color="auto"/>
        <w:right w:val="none" w:sz="0" w:space="0" w:color="auto"/>
      </w:divBdr>
    </w:div>
    <w:div w:id="166210487">
      <w:bodyDiv w:val="1"/>
      <w:marLeft w:val="0"/>
      <w:marRight w:val="0"/>
      <w:marTop w:val="0"/>
      <w:marBottom w:val="0"/>
      <w:divBdr>
        <w:top w:val="none" w:sz="0" w:space="0" w:color="auto"/>
        <w:left w:val="none" w:sz="0" w:space="0" w:color="auto"/>
        <w:bottom w:val="none" w:sz="0" w:space="0" w:color="auto"/>
        <w:right w:val="none" w:sz="0" w:space="0" w:color="auto"/>
      </w:divBdr>
    </w:div>
    <w:div w:id="166215737">
      <w:bodyDiv w:val="1"/>
      <w:marLeft w:val="0"/>
      <w:marRight w:val="0"/>
      <w:marTop w:val="0"/>
      <w:marBottom w:val="0"/>
      <w:divBdr>
        <w:top w:val="none" w:sz="0" w:space="0" w:color="auto"/>
        <w:left w:val="none" w:sz="0" w:space="0" w:color="auto"/>
        <w:bottom w:val="none" w:sz="0" w:space="0" w:color="auto"/>
        <w:right w:val="none" w:sz="0" w:space="0" w:color="auto"/>
      </w:divBdr>
    </w:div>
    <w:div w:id="166216935">
      <w:bodyDiv w:val="1"/>
      <w:marLeft w:val="0"/>
      <w:marRight w:val="0"/>
      <w:marTop w:val="0"/>
      <w:marBottom w:val="0"/>
      <w:divBdr>
        <w:top w:val="none" w:sz="0" w:space="0" w:color="auto"/>
        <w:left w:val="none" w:sz="0" w:space="0" w:color="auto"/>
        <w:bottom w:val="none" w:sz="0" w:space="0" w:color="auto"/>
        <w:right w:val="none" w:sz="0" w:space="0" w:color="auto"/>
      </w:divBdr>
    </w:div>
    <w:div w:id="166291800">
      <w:bodyDiv w:val="1"/>
      <w:marLeft w:val="0"/>
      <w:marRight w:val="0"/>
      <w:marTop w:val="0"/>
      <w:marBottom w:val="0"/>
      <w:divBdr>
        <w:top w:val="none" w:sz="0" w:space="0" w:color="auto"/>
        <w:left w:val="none" w:sz="0" w:space="0" w:color="auto"/>
        <w:bottom w:val="none" w:sz="0" w:space="0" w:color="auto"/>
        <w:right w:val="none" w:sz="0" w:space="0" w:color="auto"/>
      </w:divBdr>
    </w:div>
    <w:div w:id="166330604">
      <w:bodyDiv w:val="1"/>
      <w:marLeft w:val="0"/>
      <w:marRight w:val="0"/>
      <w:marTop w:val="0"/>
      <w:marBottom w:val="0"/>
      <w:divBdr>
        <w:top w:val="none" w:sz="0" w:space="0" w:color="auto"/>
        <w:left w:val="none" w:sz="0" w:space="0" w:color="auto"/>
        <w:bottom w:val="none" w:sz="0" w:space="0" w:color="auto"/>
        <w:right w:val="none" w:sz="0" w:space="0" w:color="auto"/>
      </w:divBdr>
    </w:div>
    <w:div w:id="166333012">
      <w:bodyDiv w:val="1"/>
      <w:marLeft w:val="0"/>
      <w:marRight w:val="0"/>
      <w:marTop w:val="0"/>
      <w:marBottom w:val="0"/>
      <w:divBdr>
        <w:top w:val="none" w:sz="0" w:space="0" w:color="auto"/>
        <w:left w:val="none" w:sz="0" w:space="0" w:color="auto"/>
        <w:bottom w:val="none" w:sz="0" w:space="0" w:color="auto"/>
        <w:right w:val="none" w:sz="0" w:space="0" w:color="auto"/>
      </w:divBdr>
    </w:div>
    <w:div w:id="166403136">
      <w:bodyDiv w:val="1"/>
      <w:marLeft w:val="0"/>
      <w:marRight w:val="0"/>
      <w:marTop w:val="0"/>
      <w:marBottom w:val="0"/>
      <w:divBdr>
        <w:top w:val="none" w:sz="0" w:space="0" w:color="auto"/>
        <w:left w:val="none" w:sz="0" w:space="0" w:color="auto"/>
        <w:bottom w:val="none" w:sz="0" w:space="0" w:color="auto"/>
        <w:right w:val="none" w:sz="0" w:space="0" w:color="auto"/>
      </w:divBdr>
    </w:div>
    <w:div w:id="166478200">
      <w:bodyDiv w:val="1"/>
      <w:marLeft w:val="0"/>
      <w:marRight w:val="0"/>
      <w:marTop w:val="0"/>
      <w:marBottom w:val="0"/>
      <w:divBdr>
        <w:top w:val="none" w:sz="0" w:space="0" w:color="auto"/>
        <w:left w:val="none" w:sz="0" w:space="0" w:color="auto"/>
        <w:bottom w:val="none" w:sz="0" w:space="0" w:color="auto"/>
        <w:right w:val="none" w:sz="0" w:space="0" w:color="auto"/>
      </w:divBdr>
    </w:div>
    <w:div w:id="166479471">
      <w:bodyDiv w:val="1"/>
      <w:marLeft w:val="0"/>
      <w:marRight w:val="0"/>
      <w:marTop w:val="0"/>
      <w:marBottom w:val="0"/>
      <w:divBdr>
        <w:top w:val="none" w:sz="0" w:space="0" w:color="auto"/>
        <w:left w:val="none" w:sz="0" w:space="0" w:color="auto"/>
        <w:bottom w:val="none" w:sz="0" w:space="0" w:color="auto"/>
        <w:right w:val="none" w:sz="0" w:space="0" w:color="auto"/>
      </w:divBdr>
    </w:div>
    <w:div w:id="166485277">
      <w:bodyDiv w:val="1"/>
      <w:marLeft w:val="0"/>
      <w:marRight w:val="0"/>
      <w:marTop w:val="0"/>
      <w:marBottom w:val="0"/>
      <w:divBdr>
        <w:top w:val="none" w:sz="0" w:space="0" w:color="auto"/>
        <w:left w:val="none" w:sz="0" w:space="0" w:color="auto"/>
        <w:bottom w:val="none" w:sz="0" w:space="0" w:color="auto"/>
        <w:right w:val="none" w:sz="0" w:space="0" w:color="auto"/>
      </w:divBdr>
    </w:div>
    <w:div w:id="166553406">
      <w:bodyDiv w:val="1"/>
      <w:marLeft w:val="0"/>
      <w:marRight w:val="0"/>
      <w:marTop w:val="0"/>
      <w:marBottom w:val="0"/>
      <w:divBdr>
        <w:top w:val="none" w:sz="0" w:space="0" w:color="auto"/>
        <w:left w:val="none" w:sz="0" w:space="0" w:color="auto"/>
        <w:bottom w:val="none" w:sz="0" w:space="0" w:color="auto"/>
        <w:right w:val="none" w:sz="0" w:space="0" w:color="auto"/>
      </w:divBdr>
    </w:div>
    <w:div w:id="166554659">
      <w:bodyDiv w:val="1"/>
      <w:marLeft w:val="0"/>
      <w:marRight w:val="0"/>
      <w:marTop w:val="0"/>
      <w:marBottom w:val="0"/>
      <w:divBdr>
        <w:top w:val="none" w:sz="0" w:space="0" w:color="auto"/>
        <w:left w:val="none" w:sz="0" w:space="0" w:color="auto"/>
        <w:bottom w:val="none" w:sz="0" w:space="0" w:color="auto"/>
        <w:right w:val="none" w:sz="0" w:space="0" w:color="auto"/>
      </w:divBdr>
    </w:div>
    <w:div w:id="166789583">
      <w:bodyDiv w:val="1"/>
      <w:marLeft w:val="0"/>
      <w:marRight w:val="0"/>
      <w:marTop w:val="0"/>
      <w:marBottom w:val="0"/>
      <w:divBdr>
        <w:top w:val="none" w:sz="0" w:space="0" w:color="auto"/>
        <w:left w:val="none" w:sz="0" w:space="0" w:color="auto"/>
        <w:bottom w:val="none" w:sz="0" w:space="0" w:color="auto"/>
        <w:right w:val="none" w:sz="0" w:space="0" w:color="auto"/>
      </w:divBdr>
    </w:div>
    <w:div w:id="166795685">
      <w:bodyDiv w:val="1"/>
      <w:marLeft w:val="0"/>
      <w:marRight w:val="0"/>
      <w:marTop w:val="0"/>
      <w:marBottom w:val="0"/>
      <w:divBdr>
        <w:top w:val="none" w:sz="0" w:space="0" w:color="auto"/>
        <w:left w:val="none" w:sz="0" w:space="0" w:color="auto"/>
        <w:bottom w:val="none" w:sz="0" w:space="0" w:color="auto"/>
        <w:right w:val="none" w:sz="0" w:space="0" w:color="auto"/>
      </w:divBdr>
    </w:div>
    <w:div w:id="166865389">
      <w:bodyDiv w:val="1"/>
      <w:marLeft w:val="0"/>
      <w:marRight w:val="0"/>
      <w:marTop w:val="0"/>
      <w:marBottom w:val="0"/>
      <w:divBdr>
        <w:top w:val="none" w:sz="0" w:space="0" w:color="auto"/>
        <w:left w:val="none" w:sz="0" w:space="0" w:color="auto"/>
        <w:bottom w:val="none" w:sz="0" w:space="0" w:color="auto"/>
        <w:right w:val="none" w:sz="0" w:space="0" w:color="auto"/>
      </w:divBdr>
    </w:div>
    <w:div w:id="166992121">
      <w:bodyDiv w:val="1"/>
      <w:marLeft w:val="0"/>
      <w:marRight w:val="0"/>
      <w:marTop w:val="0"/>
      <w:marBottom w:val="0"/>
      <w:divBdr>
        <w:top w:val="none" w:sz="0" w:space="0" w:color="auto"/>
        <w:left w:val="none" w:sz="0" w:space="0" w:color="auto"/>
        <w:bottom w:val="none" w:sz="0" w:space="0" w:color="auto"/>
        <w:right w:val="none" w:sz="0" w:space="0" w:color="auto"/>
      </w:divBdr>
    </w:div>
    <w:div w:id="167017997">
      <w:bodyDiv w:val="1"/>
      <w:marLeft w:val="0"/>
      <w:marRight w:val="0"/>
      <w:marTop w:val="0"/>
      <w:marBottom w:val="0"/>
      <w:divBdr>
        <w:top w:val="none" w:sz="0" w:space="0" w:color="auto"/>
        <w:left w:val="none" w:sz="0" w:space="0" w:color="auto"/>
        <w:bottom w:val="none" w:sz="0" w:space="0" w:color="auto"/>
        <w:right w:val="none" w:sz="0" w:space="0" w:color="auto"/>
      </w:divBdr>
    </w:div>
    <w:div w:id="167062612">
      <w:bodyDiv w:val="1"/>
      <w:marLeft w:val="0"/>
      <w:marRight w:val="0"/>
      <w:marTop w:val="0"/>
      <w:marBottom w:val="0"/>
      <w:divBdr>
        <w:top w:val="none" w:sz="0" w:space="0" w:color="auto"/>
        <w:left w:val="none" w:sz="0" w:space="0" w:color="auto"/>
        <w:bottom w:val="none" w:sz="0" w:space="0" w:color="auto"/>
        <w:right w:val="none" w:sz="0" w:space="0" w:color="auto"/>
      </w:divBdr>
    </w:div>
    <w:div w:id="167139029">
      <w:bodyDiv w:val="1"/>
      <w:marLeft w:val="0"/>
      <w:marRight w:val="0"/>
      <w:marTop w:val="0"/>
      <w:marBottom w:val="0"/>
      <w:divBdr>
        <w:top w:val="none" w:sz="0" w:space="0" w:color="auto"/>
        <w:left w:val="none" w:sz="0" w:space="0" w:color="auto"/>
        <w:bottom w:val="none" w:sz="0" w:space="0" w:color="auto"/>
        <w:right w:val="none" w:sz="0" w:space="0" w:color="auto"/>
      </w:divBdr>
    </w:div>
    <w:div w:id="167212565">
      <w:bodyDiv w:val="1"/>
      <w:marLeft w:val="0"/>
      <w:marRight w:val="0"/>
      <w:marTop w:val="0"/>
      <w:marBottom w:val="0"/>
      <w:divBdr>
        <w:top w:val="none" w:sz="0" w:space="0" w:color="auto"/>
        <w:left w:val="none" w:sz="0" w:space="0" w:color="auto"/>
        <w:bottom w:val="none" w:sz="0" w:space="0" w:color="auto"/>
        <w:right w:val="none" w:sz="0" w:space="0" w:color="auto"/>
      </w:divBdr>
    </w:div>
    <w:div w:id="167251845">
      <w:bodyDiv w:val="1"/>
      <w:marLeft w:val="0"/>
      <w:marRight w:val="0"/>
      <w:marTop w:val="0"/>
      <w:marBottom w:val="0"/>
      <w:divBdr>
        <w:top w:val="none" w:sz="0" w:space="0" w:color="auto"/>
        <w:left w:val="none" w:sz="0" w:space="0" w:color="auto"/>
        <w:bottom w:val="none" w:sz="0" w:space="0" w:color="auto"/>
        <w:right w:val="none" w:sz="0" w:space="0" w:color="auto"/>
      </w:divBdr>
    </w:div>
    <w:div w:id="167257834">
      <w:bodyDiv w:val="1"/>
      <w:marLeft w:val="0"/>
      <w:marRight w:val="0"/>
      <w:marTop w:val="0"/>
      <w:marBottom w:val="0"/>
      <w:divBdr>
        <w:top w:val="none" w:sz="0" w:space="0" w:color="auto"/>
        <w:left w:val="none" w:sz="0" w:space="0" w:color="auto"/>
        <w:bottom w:val="none" w:sz="0" w:space="0" w:color="auto"/>
        <w:right w:val="none" w:sz="0" w:space="0" w:color="auto"/>
      </w:divBdr>
    </w:div>
    <w:div w:id="167335910">
      <w:bodyDiv w:val="1"/>
      <w:marLeft w:val="0"/>
      <w:marRight w:val="0"/>
      <w:marTop w:val="0"/>
      <w:marBottom w:val="0"/>
      <w:divBdr>
        <w:top w:val="none" w:sz="0" w:space="0" w:color="auto"/>
        <w:left w:val="none" w:sz="0" w:space="0" w:color="auto"/>
        <w:bottom w:val="none" w:sz="0" w:space="0" w:color="auto"/>
        <w:right w:val="none" w:sz="0" w:space="0" w:color="auto"/>
      </w:divBdr>
    </w:div>
    <w:div w:id="167451386">
      <w:bodyDiv w:val="1"/>
      <w:marLeft w:val="0"/>
      <w:marRight w:val="0"/>
      <w:marTop w:val="0"/>
      <w:marBottom w:val="0"/>
      <w:divBdr>
        <w:top w:val="none" w:sz="0" w:space="0" w:color="auto"/>
        <w:left w:val="none" w:sz="0" w:space="0" w:color="auto"/>
        <w:bottom w:val="none" w:sz="0" w:space="0" w:color="auto"/>
        <w:right w:val="none" w:sz="0" w:space="0" w:color="auto"/>
      </w:divBdr>
    </w:div>
    <w:div w:id="167526495">
      <w:bodyDiv w:val="1"/>
      <w:marLeft w:val="0"/>
      <w:marRight w:val="0"/>
      <w:marTop w:val="0"/>
      <w:marBottom w:val="0"/>
      <w:divBdr>
        <w:top w:val="none" w:sz="0" w:space="0" w:color="auto"/>
        <w:left w:val="none" w:sz="0" w:space="0" w:color="auto"/>
        <w:bottom w:val="none" w:sz="0" w:space="0" w:color="auto"/>
        <w:right w:val="none" w:sz="0" w:space="0" w:color="auto"/>
      </w:divBdr>
    </w:div>
    <w:div w:id="167598169">
      <w:bodyDiv w:val="1"/>
      <w:marLeft w:val="0"/>
      <w:marRight w:val="0"/>
      <w:marTop w:val="0"/>
      <w:marBottom w:val="0"/>
      <w:divBdr>
        <w:top w:val="none" w:sz="0" w:space="0" w:color="auto"/>
        <w:left w:val="none" w:sz="0" w:space="0" w:color="auto"/>
        <w:bottom w:val="none" w:sz="0" w:space="0" w:color="auto"/>
        <w:right w:val="none" w:sz="0" w:space="0" w:color="auto"/>
      </w:divBdr>
    </w:div>
    <w:div w:id="167794218">
      <w:bodyDiv w:val="1"/>
      <w:marLeft w:val="0"/>
      <w:marRight w:val="0"/>
      <w:marTop w:val="0"/>
      <w:marBottom w:val="0"/>
      <w:divBdr>
        <w:top w:val="none" w:sz="0" w:space="0" w:color="auto"/>
        <w:left w:val="none" w:sz="0" w:space="0" w:color="auto"/>
        <w:bottom w:val="none" w:sz="0" w:space="0" w:color="auto"/>
        <w:right w:val="none" w:sz="0" w:space="0" w:color="auto"/>
      </w:divBdr>
    </w:div>
    <w:div w:id="167795538">
      <w:bodyDiv w:val="1"/>
      <w:marLeft w:val="0"/>
      <w:marRight w:val="0"/>
      <w:marTop w:val="0"/>
      <w:marBottom w:val="0"/>
      <w:divBdr>
        <w:top w:val="none" w:sz="0" w:space="0" w:color="auto"/>
        <w:left w:val="none" w:sz="0" w:space="0" w:color="auto"/>
        <w:bottom w:val="none" w:sz="0" w:space="0" w:color="auto"/>
        <w:right w:val="none" w:sz="0" w:space="0" w:color="auto"/>
      </w:divBdr>
    </w:div>
    <w:div w:id="167909659">
      <w:bodyDiv w:val="1"/>
      <w:marLeft w:val="0"/>
      <w:marRight w:val="0"/>
      <w:marTop w:val="0"/>
      <w:marBottom w:val="0"/>
      <w:divBdr>
        <w:top w:val="none" w:sz="0" w:space="0" w:color="auto"/>
        <w:left w:val="none" w:sz="0" w:space="0" w:color="auto"/>
        <w:bottom w:val="none" w:sz="0" w:space="0" w:color="auto"/>
        <w:right w:val="none" w:sz="0" w:space="0" w:color="auto"/>
      </w:divBdr>
    </w:div>
    <w:div w:id="167981942">
      <w:bodyDiv w:val="1"/>
      <w:marLeft w:val="0"/>
      <w:marRight w:val="0"/>
      <w:marTop w:val="0"/>
      <w:marBottom w:val="0"/>
      <w:divBdr>
        <w:top w:val="none" w:sz="0" w:space="0" w:color="auto"/>
        <w:left w:val="none" w:sz="0" w:space="0" w:color="auto"/>
        <w:bottom w:val="none" w:sz="0" w:space="0" w:color="auto"/>
        <w:right w:val="none" w:sz="0" w:space="0" w:color="auto"/>
      </w:divBdr>
    </w:div>
    <w:div w:id="168059284">
      <w:bodyDiv w:val="1"/>
      <w:marLeft w:val="0"/>
      <w:marRight w:val="0"/>
      <w:marTop w:val="0"/>
      <w:marBottom w:val="0"/>
      <w:divBdr>
        <w:top w:val="none" w:sz="0" w:space="0" w:color="auto"/>
        <w:left w:val="none" w:sz="0" w:space="0" w:color="auto"/>
        <w:bottom w:val="none" w:sz="0" w:space="0" w:color="auto"/>
        <w:right w:val="none" w:sz="0" w:space="0" w:color="auto"/>
      </w:divBdr>
    </w:div>
    <w:div w:id="168064428">
      <w:bodyDiv w:val="1"/>
      <w:marLeft w:val="0"/>
      <w:marRight w:val="0"/>
      <w:marTop w:val="0"/>
      <w:marBottom w:val="0"/>
      <w:divBdr>
        <w:top w:val="none" w:sz="0" w:space="0" w:color="auto"/>
        <w:left w:val="none" w:sz="0" w:space="0" w:color="auto"/>
        <w:bottom w:val="none" w:sz="0" w:space="0" w:color="auto"/>
        <w:right w:val="none" w:sz="0" w:space="0" w:color="auto"/>
      </w:divBdr>
    </w:div>
    <w:div w:id="168101023">
      <w:bodyDiv w:val="1"/>
      <w:marLeft w:val="0"/>
      <w:marRight w:val="0"/>
      <w:marTop w:val="0"/>
      <w:marBottom w:val="0"/>
      <w:divBdr>
        <w:top w:val="none" w:sz="0" w:space="0" w:color="auto"/>
        <w:left w:val="none" w:sz="0" w:space="0" w:color="auto"/>
        <w:bottom w:val="none" w:sz="0" w:space="0" w:color="auto"/>
        <w:right w:val="none" w:sz="0" w:space="0" w:color="auto"/>
      </w:divBdr>
    </w:div>
    <w:div w:id="168106624">
      <w:bodyDiv w:val="1"/>
      <w:marLeft w:val="0"/>
      <w:marRight w:val="0"/>
      <w:marTop w:val="0"/>
      <w:marBottom w:val="0"/>
      <w:divBdr>
        <w:top w:val="none" w:sz="0" w:space="0" w:color="auto"/>
        <w:left w:val="none" w:sz="0" w:space="0" w:color="auto"/>
        <w:bottom w:val="none" w:sz="0" w:space="0" w:color="auto"/>
        <w:right w:val="none" w:sz="0" w:space="0" w:color="auto"/>
      </w:divBdr>
    </w:div>
    <w:div w:id="168176023">
      <w:bodyDiv w:val="1"/>
      <w:marLeft w:val="0"/>
      <w:marRight w:val="0"/>
      <w:marTop w:val="0"/>
      <w:marBottom w:val="0"/>
      <w:divBdr>
        <w:top w:val="none" w:sz="0" w:space="0" w:color="auto"/>
        <w:left w:val="none" w:sz="0" w:space="0" w:color="auto"/>
        <w:bottom w:val="none" w:sz="0" w:space="0" w:color="auto"/>
        <w:right w:val="none" w:sz="0" w:space="0" w:color="auto"/>
      </w:divBdr>
    </w:div>
    <w:div w:id="168182627">
      <w:bodyDiv w:val="1"/>
      <w:marLeft w:val="0"/>
      <w:marRight w:val="0"/>
      <w:marTop w:val="0"/>
      <w:marBottom w:val="0"/>
      <w:divBdr>
        <w:top w:val="none" w:sz="0" w:space="0" w:color="auto"/>
        <w:left w:val="none" w:sz="0" w:space="0" w:color="auto"/>
        <w:bottom w:val="none" w:sz="0" w:space="0" w:color="auto"/>
        <w:right w:val="none" w:sz="0" w:space="0" w:color="auto"/>
      </w:divBdr>
    </w:div>
    <w:div w:id="168252251">
      <w:bodyDiv w:val="1"/>
      <w:marLeft w:val="0"/>
      <w:marRight w:val="0"/>
      <w:marTop w:val="0"/>
      <w:marBottom w:val="0"/>
      <w:divBdr>
        <w:top w:val="none" w:sz="0" w:space="0" w:color="auto"/>
        <w:left w:val="none" w:sz="0" w:space="0" w:color="auto"/>
        <w:bottom w:val="none" w:sz="0" w:space="0" w:color="auto"/>
        <w:right w:val="none" w:sz="0" w:space="0" w:color="auto"/>
      </w:divBdr>
    </w:div>
    <w:div w:id="168257115">
      <w:bodyDiv w:val="1"/>
      <w:marLeft w:val="0"/>
      <w:marRight w:val="0"/>
      <w:marTop w:val="0"/>
      <w:marBottom w:val="0"/>
      <w:divBdr>
        <w:top w:val="none" w:sz="0" w:space="0" w:color="auto"/>
        <w:left w:val="none" w:sz="0" w:space="0" w:color="auto"/>
        <w:bottom w:val="none" w:sz="0" w:space="0" w:color="auto"/>
        <w:right w:val="none" w:sz="0" w:space="0" w:color="auto"/>
      </w:divBdr>
    </w:div>
    <w:div w:id="168327751">
      <w:bodyDiv w:val="1"/>
      <w:marLeft w:val="0"/>
      <w:marRight w:val="0"/>
      <w:marTop w:val="0"/>
      <w:marBottom w:val="0"/>
      <w:divBdr>
        <w:top w:val="none" w:sz="0" w:space="0" w:color="auto"/>
        <w:left w:val="none" w:sz="0" w:space="0" w:color="auto"/>
        <w:bottom w:val="none" w:sz="0" w:space="0" w:color="auto"/>
        <w:right w:val="none" w:sz="0" w:space="0" w:color="auto"/>
      </w:divBdr>
    </w:div>
    <w:div w:id="168328043">
      <w:bodyDiv w:val="1"/>
      <w:marLeft w:val="0"/>
      <w:marRight w:val="0"/>
      <w:marTop w:val="0"/>
      <w:marBottom w:val="0"/>
      <w:divBdr>
        <w:top w:val="none" w:sz="0" w:space="0" w:color="auto"/>
        <w:left w:val="none" w:sz="0" w:space="0" w:color="auto"/>
        <w:bottom w:val="none" w:sz="0" w:space="0" w:color="auto"/>
        <w:right w:val="none" w:sz="0" w:space="0" w:color="auto"/>
      </w:divBdr>
    </w:div>
    <w:div w:id="168369812">
      <w:bodyDiv w:val="1"/>
      <w:marLeft w:val="0"/>
      <w:marRight w:val="0"/>
      <w:marTop w:val="0"/>
      <w:marBottom w:val="0"/>
      <w:divBdr>
        <w:top w:val="none" w:sz="0" w:space="0" w:color="auto"/>
        <w:left w:val="none" w:sz="0" w:space="0" w:color="auto"/>
        <w:bottom w:val="none" w:sz="0" w:space="0" w:color="auto"/>
        <w:right w:val="none" w:sz="0" w:space="0" w:color="auto"/>
      </w:divBdr>
    </w:div>
    <w:div w:id="168449248">
      <w:bodyDiv w:val="1"/>
      <w:marLeft w:val="0"/>
      <w:marRight w:val="0"/>
      <w:marTop w:val="0"/>
      <w:marBottom w:val="0"/>
      <w:divBdr>
        <w:top w:val="none" w:sz="0" w:space="0" w:color="auto"/>
        <w:left w:val="none" w:sz="0" w:space="0" w:color="auto"/>
        <w:bottom w:val="none" w:sz="0" w:space="0" w:color="auto"/>
        <w:right w:val="none" w:sz="0" w:space="0" w:color="auto"/>
      </w:divBdr>
    </w:div>
    <w:div w:id="168449962">
      <w:bodyDiv w:val="1"/>
      <w:marLeft w:val="0"/>
      <w:marRight w:val="0"/>
      <w:marTop w:val="0"/>
      <w:marBottom w:val="0"/>
      <w:divBdr>
        <w:top w:val="none" w:sz="0" w:space="0" w:color="auto"/>
        <w:left w:val="none" w:sz="0" w:space="0" w:color="auto"/>
        <w:bottom w:val="none" w:sz="0" w:space="0" w:color="auto"/>
        <w:right w:val="none" w:sz="0" w:space="0" w:color="auto"/>
      </w:divBdr>
    </w:div>
    <w:div w:id="168523824">
      <w:bodyDiv w:val="1"/>
      <w:marLeft w:val="0"/>
      <w:marRight w:val="0"/>
      <w:marTop w:val="0"/>
      <w:marBottom w:val="0"/>
      <w:divBdr>
        <w:top w:val="none" w:sz="0" w:space="0" w:color="auto"/>
        <w:left w:val="none" w:sz="0" w:space="0" w:color="auto"/>
        <w:bottom w:val="none" w:sz="0" w:space="0" w:color="auto"/>
        <w:right w:val="none" w:sz="0" w:space="0" w:color="auto"/>
      </w:divBdr>
    </w:div>
    <w:div w:id="168569031">
      <w:bodyDiv w:val="1"/>
      <w:marLeft w:val="0"/>
      <w:marRight w:val="0"/>
      <w:marTop w:val="0"/>
      <w:marBottom w:val="0"/>
      <w:divBdr>
        <w:top w:val="none" w:sz="0" w:space="0" w:color="auto"/>
        <w:left w:val="none" w:sz="0" w:space="0" w:color="auto"/>
        <w:bottom w:val="none" w:sz="0" w:space="0" w:color="auto"/>
        <w:right w:val="none" w:sz="0" w:space="0" w:color="auto"/>
      </w:divBdr>
    </w:div>
    <w:div w:id="168715896">
      <w:bodyDiv w:val="1"/>
      <w:marLeft w:val="0"/>
      <w:marRight w:val="0"/>
      <w:marTop w:val="0"/>
      <w:marBottom w:val="0"/>
      <w:divBdr>
        <w:top w:val="none" w:sz="0" w:space="0" w:color="auto"/>
        <w:left w:val="none" w:sz="0" w:space="0" w:color="auto"/>
        <w:bottom w:val="none" w:sz="0" w:space="0" w:color="auto"/>
        <w:right w:val="none" w:sz="0" w:space="0" w:color="auto"/>
      </w:divBdr>
    </w:div>
    <w:div w:id="168909785">
      <w:bodyDiv w:val="1"/>
      <w:marLeft w:val="0"/>
      <w:marRight w:val="0"/>
      <w:marTop w:val="0"/>
      <w:marBottom w:val="0"/>
      <w:divBdr>
        <w:top w:val="none" w:sz="0" w:space="0" w:color="auto"/>
        <w:left w:val="none" w:sz="0" w:space="0" w:color="auto"/>
        <w:bottom w:val="none" w:sz="0" w:space="0" w:color="auto"/>
        <w:right w:val="none" w:sz="0" w:space="0" w:color="auto"/>
      </w:divBdr>
    </w:div>
    <w:div w:id="168914011">
      <w:bodyDiv w:val="1"/>
      <w:marLeft w:val="0"/>
      <w:marRight w:val="0"/>
      <w:marTop w:val="0"/>
      <w:marBottom w:val="0"/>
      <w:divBdr>
        <w:top w:val="none" w:sz="0" w:space="0" w:color="auto"/>
        <w:left w:val="none" w:sz="0" w:space="0" w:color="auto"/>
        <w:bottom w:val="none" w:sz="0" w:space="0" w:color="auto"/>
        <w:right w:val="none" w:sz="0" w:space="0" w:color="auto"/>
      </w:divBdr>
    </w:div>
    <w:div w:id="169029358">
      <w:bodyDiv w:val="1"/>
      <w:marLeft w:val="0"/>
      <w:marRight w:val="0"/>
      <w:marTop w:val="0"/>
      <w:marBottom w:val="0"/>
      <w:divBdr>
        <w:top w:val="none" w:sz="0" w:space="0" w:color="auto"/>
        <w:left w:val="none" w:sz="0" w:space="0" w:color="auto"/>
        <w:bottom w:val="none" w:sz="0" w:space="0" w:color="auto"/>
        <w:right w:val="none" w:sz="0" w:space="0" w:color="auto"/>
      </w:divBdr>
    </w:div>
    <w:div w:id="169031490">
      <w:bodyDiv w:val="1"/>
      <w:marLeft w:val="0"/>
      <w:marRight w:val="0"/>
      <w:marTop w:val="0"/>
      <w:marBottom w:val="0"/>
      <w:divBdr>
        <w:top w:val="none" w:sz="0" w:space="0" w:color="auto"/>
        <w:left w:val="none" w:sz="0" w:space="0" w:color="auto"/>
        <w:bottom w:val="none" w:sz="0" w:space="0" w:color="auto"/>
        <w:right w:val="none" w:sz="0" w:space="0" w:color="auto"/>
      </w:divBdr>
    </w:div>
    <w:div w:id="169178066">
      <w:bodyDiv w:val="1"/>
      <w:marLeft w:val="0"/>
      <w:marRight w:val="0"/>
      <w:marTop w:val="0"/>
      <w:marBottom w:val="0"/>
      <w:divBdr>
        <w:top w:val="none" w:sz="0" w:space="0" w:color="auto"/>
        <w:left w:val="none" w:sz="0" w:space="0" w:color="auto"/>
        <w:bottom w:val="none" w:sz="0" w:space="0" w:color="auto"/>
        <w:right w:val="none" w:sz="0" w:space="0" w:color="auto"/>
      </w:divBdr>
    </w:div>
    <w:div w:id="169373687">
      <w:bodyDiv w:val="1"/>
      <w:marLeft w:val="0"/>
      <w:marRight w:val="0"/>
      <w:marTop w:val="0"/>
      <w:marBottom w:val="0"/>
      <w:divBdr>
        <w:top w:val="none" w:sz="0" w:space="0" w:color="auto"/>
        <w:left w:val="none" w:sz="0" w:space="0" w:color="auto"/>
        <w:bottom w:val="none" w:sz="0" w:space="0" w:color="auto"/>
        <w:right w:val="none" w:sz="0" w:space="0" w:color="auto"/>
      </w:divBdr>
    </w:div>
    <w:div w:id="169412676">
      <w:bodyDiv w:val="1"/>
      <w:marLeft w:val="0"/>
      <w:marRight w:val="0"/>
      <w:marTop w:val="0"/>
      <w:marBottom w:val="0"/>
      <w:divBdr>
        <w:top w:val="none" w:sz="0" w:space="0" w:color="auto"/>
        <w:left w:val="none" w:sz="0" w:space="0" w:color="auto"/>
        <w:bottom w:val="none" w:sz="0" w:space="0" w:color="auto"/>
        <w:right w:val="none" w:sz="0" w:space="0" w:color="auto"/>
      </w:divBdr>
    </w:div>
    <w:div w:id="169565138">
      <w:bodyDiv w:val="1"/>
      <w:marLeft w:val="0"/>
      <w:marRight w:val="0"/>
      <w:marTop w:val="0"/>
      <w:marBottom w:val="0"/>
      <w:divBdr>
        <w:top w:val="none" w:sz="0" w:space="0" w:color="auto"/>
        <w:left w:val="none" w:sz="0" w:space="0" w:color="auto"/>
        <w:bottom w:val="none" w:sz="0" w:space="0" w:color="auto"/>
        <w:right w:val="none" w:sz="0" w:space="0" w:color="auto"/>
      </w:divBdr>
    </w:div>
    <w:div w:id="169567632">
      <w:bodyDiv w:val="1"/>
      <w:marLeft w:val="0"/>
      <w:marRight w:val="0"/>
      <w:marTop w:val="0"/>
      <w:marBottom w:val="0"/>
      <w:divBdr>
        <w:top w:val="none" w:sz="0" w:space="0" w:color="auto"/>
        <w:left w:val="none" w:sz="0" w:space="0" w:color="auto"/>
        <w:bottom w:val="none" w:sz="0" w:space="0" w:color="auto"/>
        <w:right w:val="none" w:sz="0" w:space="0" w:color="auto"/>
      </w:divBdr>
    </w:div>
    <w:div w:id="169608178">
      <w:bodyDiv w:val="1"/>
      <w:marLeft w:val="0"/>
      <w:marRight w:val="0"/>
      <w:marTop w:val="0"/>
      <w:marBottom w:val="0"/>
      <w:divBdr>
        <w:top w:val="none" w:sz="0" w:space="0" w:color="auto"/>
        <w:left w:val="none" w:sz="0" w:space="0" w:color="auto"/>
        <w:bottom w:val="none" w:sz="0" w:space="0" w:color="auto"/>
        <w:right w:val="none" w:sz="0" w:space="0" w:color="auto"/>
      </w:divBdr>
    </w:div>
    <w:div w:id="169610575">
      <w:bodyDiv w:val="1"/>
      <w:marLeft w:val="0"/>
      <w:marRight w:val="0"/>
      <w:marTop w:val="0"/>
      <w:marBottom w:val="0"/>
      <w:divBdr>
        <w:top w:val="none" w:sz="0" w:space="0" w:color="auto"/>
        <w:left w:val="none" w:sz="0" w:space="0" w:color="auto"/>
        <w:bottom w:val="none" w:sz="0" w:space="0" w:color="auto"/>
        <w:right w:val="none" w:sz="0" w:space="0" w:color="auto"/>
      </w:divBdr>
    </w:div>
    <w:div w:id="169636871">
      <w:bodyDiv w:val="1"/>
      <w:marLeft w:val="0"/>
      <w:marRight w:val="0"/>
      <w:marTop w:val="0"/>
      <w:marBottom w:val="0"/>
      <w:divBdr>
        <w:top w:val="none" w:sz="0" w:space="0" w:color="auto"/>
        <w:left w:val="none" w:sz="0" w:space="0" w:color="auto"/>
        <w:bottom w:val="none" w:sz="0" w:space="0" w:color="auto"/>
        <w:right w:val="none" w:sz="0" w:space="0" w:color="auto"/>
      </w:divBdr>
    </w:div>
    <w:div w:id="169805768">
      <w:bodyDiv w:val="1"/>
      <w:marLeft w:val="0"/>
      <w:marRight w:val="0"/>
      <w:marTop w:val="0"/>
      <w:marBottom w:val="0"/>
      <w:divBdr>
        <w:top w:val="none" w:sz="0" w:space="0" w:color="auto"/>
        <w:left w:val="none" w:sz="0" w:space="0" w:color="auto"/>
        <w:bottom w:val="none" w:sz="0" w:space="0" w:color="auto"/>
        <w:right w:val="none" w:sz="0" w:space="0" w:color="auto"/>
      </w:divBdr>
    </w:div>
    <w:div w:id="169834797">
      <w:bodyDiv w:val="1"/>
      <w:marLeft w:val="0"/>
      <w:marRight w:val="0"/>
      <w:marTop w:val="0"/>
      <w:marBottom w:val="0"/>
      <w:divBdr>
        <w:top w:val="none" w:sz="0" w:space="0" w:color="auto"/>
        <w:left w:val="none" w:sz="0" w:space="0" w:color="auto"/>
        <w:bottom w:val="none" w:sz="0" w:space="0" w:color="auto"/>
        <w:right w:val="none" w:sz="0" w:space="0" w:color="auto"/>
      </w:divBdr>
    </w:div>
    <w:div w:id="170142772">
      <w:bodyDiv w:val="1"/>
      <w:marLeft w:val="0"/>
      <w:marRight w:val="0"/>
      <w:marTop w:val="0"/>
      <w:marBottom w:val="0"/>
      <w:divBdr>
        <w:top w:val="none" w:sz="0" w:space="0" w:color="auto"/>
        <w:left w:val="none" w:sz="0" w:space="0" w:color="auto"/>
        <w:bottom w:val="none" w:sz="0" w:space="0" w:color="auto"/>
        <w:right w:val="none" w:sz="0" w:space="0" w:color="auto"/>
      </w:divBdr>
    </w:div>
    <w:div w:id="170264538">
      <w:bodyDiv w:val="1"/>
      <w:marLeft w:val="0"/>
      <w:marRight w:val="0"/>
      <w:marTop w:val="0"/>
      <w:marBottom w:val="0"/>
      <w:divBdr>
        <w:top w:val="none" w:sz="0" w:space="0" w:color="auto"/>
        <w:left w:val="none" w:sz="0" w:space="0" w:color="auto"/>
        <w:bottom w:val="none" w:sz="0" w:space="0" w:color="auto"/>
        <w:right w:val="none" w:sz="0" w:space="0" w:color="auto"/>
      </w:divBdr>
    </w:div>
    <w:div w:id="170415219">
      <w:bodyDiv w:val="1"/>
      <w:marLeft w:val="0"/>
      <w:marRight w:val="0"/>
      <w:marTop w:val="0"/>
      <w:marBottom w:val="0"/>
      <w:divBdr>
        <w:top w:val="none" w:sz="0" w:space="0" w:color="auto"/>
        <w:left w:val="none" w:sz="0" w:space="0" w:color="auto"/>
        <w:bottom w:val="none" w:sz="0" w:space="0" w:color="auto"/>
        <w:right w:val="none" w:sz="0" w:space="0" w:color="auto"/>
      </w:divBdr>
    </w:div>
    <w:div w:id="170527625">
      <w:bodyDiv w:val="1"/>
      <w:marLeft w:val="0"/>
      <w:marRight w:val="0"/>
      <w:marTop w:val="0"/>
      <w:marBottom w:val="0"/>
      <w:divBdr>
        <w:top w:val="none" w:sz="0" w:space="0" w:color="auto"/>
        <w:left w:val="none" w:sz="0" w:space="0" w:color="auto"/>
        <w:bottom w:val="none" w:sz="0" w:space="0" w:color="auto"/>
        <w:right w:val="none" w:sz="0" w:space="0" w:color="auto"/>
      </w:divBdr>
    </w:div>
    <w:div w:id="170534508">
      <w:bodyDiv w:val="1"/>
      <w:marLeft w:val="0"/>
      <w:marRight w:val="0"/>
      <w:marTop w:val="0"/>
      <w:marBottom w:val="0"/>
      <w:divBdr>
        <w:top w:val="none" w:sz="0" w:space="0" w:color="auto"/>
        <w:left w:val="none" w:sz="0" w:space="0" w:color="auto"/>
        <w:bottom w:val="none" w:sz="0" w:space="0" w:color="auto"/>
        <w:right w:val="none" w:sz="0" w:space="0" w:color="auto"/>
      </w:divBdr>
    </w:div>
    <w:div w:id="170682131">
      <w:bodyDiv w:val="1"/>
      <w:marLeft w:val="0"/>
      <w:marRight w:val="0"/>
      <w:marTop w:val="0"/>
      <w:marBottom w:val="0"/>
      <w:divBdr>
        <w:top w:val="none" w:sz="0" w:space="0" w:color="auto"/>
        <w:left w:val="none" w:sz="0" w:space="0" w:color="auto"/>
        <w:bottom w:val="none" w:sz="0" w:space="0" w:color="auto"/>
        <w:right w:val="none" w:sz="0" w:space="0" w:color="auto"/>
      </w:divBdr>
    </w:div>
    <w:div w:id="170686034">
      <w:bodyDiv w:val="1"/>
      <w:marLeft w:val="0"/>
      <w:marRight w:val="0"/>
      <w:marTop w:val="0"/>
      <w:marBottom w:val="0"/>
      <w:divBdr>
        <w:top w:val="none" w:sz="0" w:space="0" w:color="auto"/>
        <w:left w:val="none" w:sz="0" w:space="0" w:color="auto"/>
        <w:bottom w:val="none" w:sz="0" w:space="0" w:color="auto"/>
        <w:right w:val="none" w:sz="0" w:space="0" w:color="auto"/>
      </w:divBdr>
    </w:div>
    <w:div w:id="170800045">
      <w:bodyDiv w:val="1"/>
      <w:marLeft w:val="0"/>
      <w:marRight w:val="0"/>
      <w:marTop w:val="0"/>
      <w:marBottom w:val="0"/>
      <w:divBdr>
        <w:top w:val="none" w:sz="0" w:space="0" w:color="auto"/>
        <w:left w:val="none" w:sz="0" w:space="0" w:color="auto"/>
        <w:bottom w:val="none" w:sz="0" w:space="0" w:color="auto"/>
        <w:right w:val="none" w:sz="0" w:space="0" w:color="auto"/>
      </w:divBdr>
    </w:div>
    <w:div w:id="170801664">
      <w:bodyDiv w:val="1"/>
      <w:marLeft w:val="0"/>
      <w:marRight w:val="0"/>
      <w:marTop w:val="0"/>
      <w:marBottom w:val="0"/>
      <w:divBdr>
        <w:top w:val="none" w:sz="0" w:space="0" w:color="auto"/>
        <w:left w:val="none" w:sz="0" w:space="0" w:color="auto"/>
        <w:bottom w:val="none" w:sz="0" w:space="0" w:color="auto"/>
        <w:right w:val="none" w:sz="0" w:space="0" w:color="auto"/>
      </w:divBdr>
    </w:div>
    <w:div w:id="170873060">
      <w:bodyDiv w:val="1"/>
      <w:marLeft w:val="0"/>
      <w:marRight w:val="0"/>
      <w:marTop w:val="0"/>
      <w:marBottom w:val="0"/>
      <w:divBdr>
        <w:top w:val="none" w:sz="0" w:space="0" w:color="auto"/>
        <w:left w:val="none" w:sz="0" w:space="0" w:color="auto"/>
        <w:bottom w:val="none" w:sz="0" w:space="0" w:color="auto"/>
        <w:right w:val="none" w:sz="0" w:space="0" w:color="auto"/>
      </w:divBdr>
    </w:div>
    <w:div w:id="170918997">
      <w:bodyDiv w:val="1"/>
      <w:marLeft w:val="0"/>
      <w:marRight w:val="0"/>
      <w:marTop w:val="0"/>
      <w:marBottom w:val="0"/>
      <w:divBdr>
        <w:top w:val="none" w:sz="0" w:space="0" w:color="auto"/>
        <w:left w:val="none" w:sz="0" w:space="0" w:color="auto"/>
        <w:bottom w:val="none" w:sz="0" w:space="0" w:color="auto"/>
        <w:right w:val="none" w:sz="0" w:space="0" w:color="auto"/>
      </w:divBdr>
    </w:div>
    <w:div w:id="170998723">
      <w:bodyDiv w:val="1"/>
      <w:marLeft w:val="0"/>
      <w:marRight w:val="0"/>
      <w:marTop w:val="0"/>
      <w:marBottom w:val="0"/>
      <w:divBdr>
        <w:top w:val="none" w:sz="0" w:space="0" w:color="auto"/>
        <w:left w:val="none" w:sz="0" w:space="0" w:color="auto"/>
        <w:bottom w:val="none" w:sz="0" w:space="0" w:color="auto"/>
        <w:right w:val="none" w:sz="0" w:space="0" w:color="auto"/>
      </w:divBdr>
    </w:div>
    <w:div w:id="171115282">
      <w:bodyDiv w:val="1"/>
      <w:marLeft w:val="0"/>
      <w:marRight w:val="0"/>
      <w:marTop w:val="0"/>
      <w:marBottom w:val="0"/>
      <w:divBdr>
        <w:top w:val="none" w:sz="0" w:space="0" w:color="auto"/>
        <w:left w:val="none" w:sz="0" w:space="0" w:color="auto"/>
        <w:bottom w:val="none" w:sz="0" w:space="0" w:color="auto"/>
        <w:right w:val="none" w:sz="0" w:space="0" w:color="auto"/>
      </w:divBdr>
    </w:div>
    <w:div w:id="171146495">
      <w:bodyDiv w:val="1"/>
      <w:marLeft w:val="0"/>
      <w:marRight w:val="0"/>
      <w:marTop w:val="0"/>
      <w:marBottom w:val="0"/>
      <w:divBdr>
        <w:top w:val="none" w:sz="0" w:space="0" w:color="auto"/>
        <w:left w:val="none" w:sz="0" w:space="0" w:color="auto"/>
        <w:bottom w:val="none" w:sz="0" w:space="0" w:color="auto"/>
        <w:right w:val="none" w:sz="0" w:space="0" w:color="auto"/>
      </w:divBdr>
    </w:div>
    <w:div w:id="171185153">
      <w:bodyDiv w:val="1"/>
      <w:marLeft w:val="0"/>
      <w:marRight w:val="0"/>
      <w:marTop w:val="0"/>
      <w:marBottom w:val="0"/>
      <w:divBdr>
        <w:top w:val="none" w:sz="0" w:space="0" w:color="auto"/>
        <w:left w:val="none" w:sz="0" w:space="0" w:color="auto"/>
        <w:bottom w:val="none" w:sz="0" w:space="0" w:color="auto"/>
        <w:right w:val="none" w:sz="0" w:space="0" w:color="auto"/>
      </w:divBdr>
    </w:div>
    <w:div w:id="171187920">
      <w:bodyDiv w:val="1"/>
      <w:marLeft w:val="0"/>
      <w:marRight w:val="0"/>
      <w:marTop w:val="0"/>
      <w:marBottom w:val="0"/>
      <w:divBdr>
        <w:top w:val="none" w:sz="0" w:space="0" w:color="auto"/>
        <w:left w:val="none" w:sz="0" w:space="0" w:color="auto"/>
        <w:bottom w:val="none" w:sz="0" w:space="0" w:color="auto"/>
        <w:right w:val="none" w:sz="0" w:space="0" w:color="auto"/>
      </w:divBdr>
    </w:div>
    <w:div w:id="171653870">
      <w:bodyDiv w:val="1"/>
      <w:marLeft w:val="0"/>
      <w:marRight w:val="0"/>
      <w:marTop w:val="0"/>
      <w:marBottom w:val="0"/>
      <w:divBdr>
        <w:top w:val="none" w:sz="0" w:space="0" w:color="auto"/>
        <w:left w:val="none" w:sz="0" w:space="0" w:color="auto"/>
        <w:bottom w:val="none" w:sz="0" w:space="0" w:color="auto"/>
        <w:right w:val="none" w:sz="0" w:space="0" w:color="auto"/>
      </w:divBdr>
    </w:div>
    <w:div w:id="171770626">
      <w:bodyDiv w:val="1"/>
      <w:marLeft w:val="0"/>
      <w:marRight w:val="0"/>
      <w:marTop w:val="0"/>
      <w:marBottom w:val="0"/>
      <w:divBdr>
        <w:top w:val="none" w:sz="0" w:space="0" w:color="auto"/>
        <w:left w:val="none" w:sz="0" w:space="0" w:color="auto"/>
        <w:bottom w:val="none" w:sz="0" w:space="0" w:color="auto"/>
        <w:right w:val="none" w:sz="0" w:space="0" w:color="auto"/>
      </w:divBdr>
    </w:div>
    <w:div w:id="171842256">
      <w:bodyDiv w:val="1"/>
      <w:marLeft w:val="0"/>
      <w:marRight w:val="0"/>
      <w:marTop w:val="0"/>
      <w:marBottom w:val="0"/>
      <w:divBdr>
        <w:top w:val="none" w:sz="0" w:space="0" w:color="auto"/>
        <w:left w:val="none" w:sz="0" w:space="0" w:color="auto"/>
        <w:bottom w:val="none" w:sz="0" w:space="0" w:color="auto"/>
        <w:right w:val="none" w:sz="0" w:space="0" w:color="auto"/>
      </w:divBdr>
    </w:div>
    <w:div w:id="171843654">
      <w:bodyDiv w:val="1"/>
      <w:marLeft w:val="0"/>
      <w:marRight w:val="0"/>
      <w:marTop w:val="0"/>
      <w:marBottom w:val="0"/>
      <w:divBdr>
        <w:top w:val="none" w:sz="0" w:space="0" w:color="auto"/>
        <w:left w:val="none" w:sz="0" w:space="0" w:color="auto"/>
        <w:bottom w:val="none" w:sz="0" w:space="0" w:color="auto"/>
        <w:right w:val="none" w:sz="0" w:space="0" w:color="auto"/>
      </w:divBdr>
    </w:div>
    <w:div w:id="172064577">
      <w:bodyDiv w:val="1"/>
      <w:marLeft w:val="0"/>
      <w:marRight w:val="0"/>
      <w:marTop w:val="0"/>
      <w:marBottom w:val="0"/>
      <w:divBdr>
        <w:top w:val="none" w:sz="0" w:space="0" w:color="auto"/>
        <w:left w:val="none" w:sz="0" w:space="0" w:color="auto"/>
        <w:bottom w:val="none" w:sz="0" w:space="0" w:color="auto"/>
        <w:right w:val="none" w:sz="0" w:space="0" w:color="auto"/>
      </w:divBdr>
    </w:div>
    <w:div w:id="172110891">
      <w:bodyDiv w:val="1"/>
      <w:marLeft w:val="0"/>
      <w:marRight w:val="0"/>
      <w:marTop w:val="0"/>
      <w:marBottom w:val="0"/>
      <w:divBdr>
        <w:top w:val="none" w:sz="0" w:space="0" w:color="auto"/>
        <w:left w:val="none" w:sz="0" w:space="0" w:color="auto"/>
        <w:bottom w:val="none" w:sz="0" w:space="0" w:color="auto"/>
        <w:right w:val="none" w:sz="0" w:space="0" w:color="auto"/>
      </w:divBdr>
    </w:div>
    <w:div w:id="172183227">
      <w:bodyDiv w:val="1"/>
      <w:marLeft w:val="0"/>
      <w:marRight w:val="0"/>
      <w:marTop w:val="0"/>
      <w:marBottom w:val="0"/>
      <w:divBdr>
        <w:top w:val="none" w:sz="0" w:space="0" w:color="auto"/>
        <w:left w:val="none" w:sz="0" w:space="0" w:color="auto"/>
        <w:bottom w:val="none" w:sz="0" w:space="0" w:color="auto"/>
        <w:right w:val="none" w:sz="0" w:space="0" w:color="auto"/>
      </w:divBdr>
    </w:div>
    <w:div w:id="172183248">
      <w:bodyDiv w:val="1"/>
      <w:marLeft w:val="0"/>
      <w:marRight w:val="0"/>
      <w:marTop w:val="0"/>
      <w:marBottom w:val="0"/>
      <w:divBdr>
        <w:top w:val="none" w:sz="0" w:space="0" w:color="auto"/>
        <w:left w:val="none" w:sz="0" w:space="0" w:color="auto"/>
        <w:bottom w:val="none" w:sz="0" w:space="0" w:color="auto"/>
        <w:right w:val="none" w:sz="0" w:space="0" w:color="auto"/>
      </w:divBdr>
    </w:div>
    <w:div w:id="172456059">
      <w:bodyDiv w:val="1"/>
      <w:marLeft w:val="0"/>
      <w:marRight w:val="0"/>
      <w:marTop w:val="0"/>
      <w:marBottom w:val="0"/>
      <w:divBdr>
        <w:top w:val="none" w:sz="0" w:space="0" w:color="auto"/>
        <w:left w:val="none" w:sz="0" w:space="0" w:color="auto"/>
        <w:bottom w:val="none" w:sz="0" w:space="0" w:color="auto"/>
        <w:right w:val="none" w:sz="0" w:space="0" w:color="auto"/>
      </w:divBdr>
    </w:div>
    <w:div w:id="172495481">
      <w:bodyDiv w:val="1"/>
      <w:marLeft w:val="0"/>
      <w:marRight w:val="0"/>
      <w:marTop w:val="0"/>
      <w:marBottom w:val="0"/>
      <w:divBdr>
        <w:top w:val="none" w:sz="0" w:space="0" w:color="auto"/>
        <w:left w:val="none" w:sz="0" w:space="0" w:color="auto"/>
        <w:bottom w:val="none" w:sz="0" w:space="0" w:color="auto"/>
        <w:right w:val="none" w:sz="0" w:space="0" w:color="auto"/>
      </w:divBdr>
    </w:div>
    <w:div w:id="172652255">
      <w:bodyDiv w:val="1"/>
      <w:marLeft w:val="0"/>
      <w:marRight w:val="0"/>
      <w:marTop w:val="0"/>
      <w:marBottom w:val="0"/>
      <w:divBdr>
        <w:top w:val="none" w:sz="0" w:space="0" w:color="auto"/>
        <w:left w:val="none" w:sz="0" w:space="0" w:color="auto"/>
        <w:bottom w:val="none" w:sz="0" w:space="0" w:color="auto"/>
        <w:right w:val="none" w:sz="0" w:space="0" w:color="auto"/>
      </w:divBdr>
    </w:div>
    <w:div w:id="172693938">
      <w:bodyDiv w:val="1"/>
      <w:marLeft w:val="0"/>
      <w:marRight w:val="0"/>
      <w:marTop w:val="0"/>
      <w:marBottom w:val="0"/>
      <w:divBdr>
        <w:top w:val="none" w:sz="0" w:space="0" w:color="auto"/>
        <w:left w:val="none" w:sz="0" w:space="0" w:color="auto"/>
        <w:bottom w:val="none" w:sz="0" w:space="0" w:color="auto"/>
        <w:right w:val="none" w:sz="0" w:space="0" w:color="auto"/>
      </w:divBdr>
    </w:div>
    <w:div w:id="172694940">
      <w:bodyDiv w:val="1"/>
      <w:marLeft w:val="0"/>
      <w:marRight w:val="0"/>
      <w:marTop w:val="0"/>
      <w:marBottom w:val="0"/>
      <w:divBdr>
        <w:top w:val="none" w:sz="0" w:space="0" w:color="auto"/>
        <w:left w:val="none" w:sz="0" w:space="0" w:color="auto"/>
        <w:bottom w:val="none" w:sz="0" w:space="0" w:color="auto"/>
        <w:right w:val="none" w:sz="0" w:space="0" w:color="auto"/>
      </w:divBdr>
    </w:div>
    <w:div w:id="172764638">
      <w:bodyDiv w:val="1"/>
      <w:marLeft w:val="0"/>
      <w:marRight w:val="0"/>
      <w:marTop w:val="0"/>
      <w:marBottom w:val="0"/>
      <w:divBdr>
        <w:top w:val="none" w:sz="0" w:space="0" w:color="auto"/>
        <w:left w:val="none" w:sz="0" w:space="0" w:color="auto"/>
        <w:bottom w:val="none" w:sz="0" w:space="0" w:color="auto"/>
        <w:right w:val="none" w:sz="0" w:space="0" w:color="auto"/>
      </w:divBdr>
    </w:div>
    <w:div w:id="172837663">
      <w:bodyDiv w:val="1"/>
      <w:marLeft w:val="0"/>
      <w:marRight w:val="0"/>
      <w:marTop w:val="0"/>
      <w:marBottom w:val="0"/>
      <w:divBdr>
        <w:top w:val="none" w:sz="0" w:space="0" w:color="auto"/>
        <w:left w:val="none" w:sz="0" w:space="0" w:color="auto"/>
        <w:bottom w:val="none" w:sz="0" w:space="0" w:color="auto"/>
        <w:right w:val="none" w:sz="0" w:space="0" w:color="auto"/>
      </w:divBdr>
    </w:div>
    <w:div w:id="172839185">
      <w:bodyDiv w:val="1"/>
      <w:marLeft w:val="0"/>
      <w:marRight w:val="0"/>
      <w:marTop w:val="0"/>
      <w:marBottom w:val="0"/>
      <w:divBdr>
        <w:top w:val="none" w:sz="0" w:space="0" w:color="auto"/>
        <w:left w:val="none" w:sz="0" w:space="0" w:color="auto"/>
        <w:bottom w:val="none" w:sz="0" w:space="0" w:color="auto"/>
        <w:right w:val="none" w:sz="0" w:space="0" w:color="auto"/>
      </w:divBdr>
    </w:div>
    <w:div w:id="172839315">
      <w:bodyDiv w:val="1"/>
      <w:marLeft w:val="0"/>
      <w:marRight w:val="0"/>
      <w:marTop w:val="0"/>
      <w:marBottom w:val="0"/>
      <w:divBdr>
        <w:top w:val="none" w:sz="0" w:space="0" w:color="auto"/>
        <w:left w:val="none" w:sz="0" w:space="0" w:color="auto"/>
        <w:bottom w:val="none" w:sz="0" w:space="0" w:color="auto"/>
        <w:right w:val="none" w:sz="0" w:space="0" w:color="auto"/>
      </w:divBdr>
    </w:div>
    <w:div w:id="172845945">
      <w:bodyDiv w:val="1"/>
      <w:marLeft w:val="0"/>
      <w:marRight w:val="0"/>
      <w:marTop w:val="0"/>
      <w:marBottom w:val="0"/>
      <w:divBdr>
        <w:top w:val="none" w:sz="0" w:space="0" w:color="auto"/>
        <w:left w:val="none" w:sz="0" w:space="0" w:color="auto"/>
        <w:bottom w:val="none" w:sz="0" w:space="0" w:color="auto"/>
        <w:right w:val="none" w:sz="0" w:space="0" w:color="auto"/>
      </w:divBdr>
    </w:div>
    <w:div w:id="173035305">
      <w:bodyDiv w:val="1"/>
      <w:marLeft w:val="0"/>
      <w:marRight w:val="0"/>
      <w:marTop w:val="0"/>
      <w:marBottom w:val="0"/>
      <w:divBdr>
        <w:top w:val="none" w:sz="0" w:space="0" w:color="auto"/>
        <w:left w:val="none" w:sz="0" w:space="0" w:color="auto"/>
        <w:bottom w:val="none" w:sz="0" w:space="0" w:color="auto"/>
        <w:right w:val="none" w:sz="0" w:space="0" w:color="auto"/>
      </w:divBdr>
    </w:div>
    <w:div w:id="173038104">
      <w:bodyDiv w:val="1"/>
      <w:marLeft w:val="0"/>
      <w:marRight w:val="0"/>
      <w:marTop w:val="0"/>
      <w:marBottom w:val="0"/>
      <w:divBdr>
        <w:top w:val="none" w:sz="0" w:space="0" w:color="auto"/>
        <w:left w:val="none" w:sz="0" w:space="0" w:color="auto"/>
        <w:bottom w:val="none" w:sz="0" w:space="0" w:color="auto"/>
        <w:right w:val="none" w:sz="0" w:space="0" w:color="auto"/>
      </w:divBdr>
    </w:div>
    <w:div w:id="173154634">
      <w:bodyDiv w:val="1"/>
      <w:marLeft w:val="0"/>
      <w:marRight w:val="0"/>
      <w:marTop w:val="0"/>
      <w:marBottom w:val="0"/>
      <w:divBdr>
        <w:top w:val="none" w:sz="0" w:space="0" w:color="auto"/>
        <w:left w:val="none" w:sz="0" w:space="0" w:color="auto"/>
        <w:bottom w:val="none" w:sz="0" w:space="0" w:color="auto"/>
        <w:right w:val="none" w:sz="0" w:space="0" w:color="auto"/>
      </w:divBdr>
    </w:div>
    <w:div w:id="173154812">
      <w:bodyDiv w:val="1"/>
      <w:marLeft w:val="0"/>
      <w:marRight w:val="0"/>
      <w:marTop w:val="0"/>
      <w:marBottom w:val="0"/>
      <w:divBdr>
        <w:top w:val="none" w:sz="0" w:space="0" w:color="auto"/>
        <w:left w:val="none" w:sz="0" w:space="0" w:color="auto"/>
        <w:bottom w:val="none" w:sz="0" w:space="0" w:color="auto"/>
        <w:right w:val="none" w:sz="0" w:space="0" w:color="auto"/>
      </w:divBdr>
    </w:div>
    <w:div w:id="173227958">
      <w:bodyDiv w:val="1"/>
      <w:marLeft w:val="0"/>
      <w:marRight w:val="0"/>
      <w:marTop w:val="0"/>
      <w:marBottom w:val="0"/>
      <w:divBdr>
        <w:top w:val="none" w:sz="0" w:space="0" w:color="auto"/>
        <w:left w:val="none" w:sz="0" w:space="0" w:color="auto"/>
        <w:bottom w:val="none" w:sz="0" w:space="0" w:color="auto"/>
        <w:right w:val="none" w:sz="0" w:space="0" w:color="auto"/>
      </w:divBdr>
    </w:div>
    <w:div w:id="173422216">
      <w:bodyDiv w:val="1"/>
      <w:marLeft w:val="0"/>
      <w:marRight w:val="0"/>
      <w:marTop w:val="0"/>
      <w:marBottom w:val="0"/>
      <w:divBdr>
        <w:top w:val="none" w:sz="0" w:space="0" w:color="auto"/>
        <w:left w:val="none" w:sz="0" w:space="0" w:color="auto"/>
        <w:bottom w:val="none" w:sz="0" w:space="0" w:color="auto"/>
        <w:right w:val="none" w:sz="0" w:space="0" w:color="auto"/>
      </w:divBdr>
    </w:div>
    <w:div w:id="173426996">
      <w:bodyDiv w:val="1"/>
      <w:marLeft w:val="0"/>
      <w:marRight w:val="0"/>
      <w:marTop w:val="0"/>
      <w:marBottom w:val="0"/>
      <w:divBdr>
        <w:top w:val="none" w:sz="0" w:space="0" w:color="auto"/>
        <w:left w:val="none" w:sz="0" w:space="0" w:color="auto"/>
        <w:bottom w:val="none" w:sz="0" w:space="0" w:color="auto"/>
        <w:right w:val="none" w:sz="0" w:space="0" w:color="auto"/>
      </w:divBdr>
    </w:div>
    <w:div w:id="173499431">
      <w:bodyDiv w:val="1"/>
      <w:marLeft w:val="0"/>
      <w:marRight w:val="0"/>
      <w:marTop w:val="0"/>
      <w:marBottom w:val="0"/>
      <w:divBdr>
        <w:top w:val="none" w:sz="0" w:space="0" w:color="auto"/>
        <w:left w:val="none" w:sz="0" w:space="0" w:color="auto"/>
        <w:bottom w:val="none" w:sz="0" w:space="0" w:color="auto"/>
        <w:right w:val="none" w:sz="0" w:space="0" w:color="auto"/>
      </w:divBdr>
    </w:div>
    <w:div w:id="173540726">
      <w:bodyDiv w:val="1"/>
      <w:marLeft w:val="0"/>
      <w:marRight w:val="0"/>
      <w:marTop w:val="0"/>
      <w:marBottom w:val="0"/>
      <w:divBdr>
        <w:top w:val="none" w:sz="0" w:space="0" w:color="auto"/>
        <w:left w:val="none" w:sz="0" w:space="0" w:color="auto"/>
        <w:bottom w:val="none" w:sz="0" w:space="0" w:color="auto"/>
        <w:right w:val="none" w:sz="0" w:space="0" w:color="auto"/>
      </w:divBdr>
    </w:div>
    <w:div w:id="173571029">
      <w:bodyDiv w:val="1"/>
      <w:marLeft w:val="0"/>
      <w:marRight w:val="0"/>
      <w:marTop w:val="0"/>
      <w:marBottom w:val="0"/>
      <w:divBdr>
        <w:top w:val="none" w:sz="0" w:space="0" w:color="auto"/>
        <w:left w:val="none" w:sz="0" w:space="0" w:color="auto"/>
        <w:bottom w:val="none" w:sz="0" w:space="0" w:color="auto"/>
        <w:right w:val="none" w:sz="0" w:space="0" w:color="auto"/>
      </w:divBdr>
    </w:div>
    <w:div w:id="173619511">
      <w:bodyDiv w:val="1"/>
      <w:marLeft w:val="0"/>
      <w:marRight w:val="0"/>
      <w:marTop w:val="0"/>
      <w:marBottom w:val="0"/>
      <w:divBdr>
        <w:top w:val="none" w:sz="0" w:space="0" w:color="auto"/>
        <w:left w:val="none" w:sz="0" w:space="0" w:color="auto"/>
        <w:bottom w:val="none" w:sz="0" w:space="0" w:color="auto"/>
        <w:right w:val="none" w:sz="0" w:space="0" w:color="auto"/>
      </w:divBdr>
    </w:div>
    <w:div w:id="173767984">
      <w:bodyDiv w:val="1"/>
      <w:marLeft w:val="0"/>
      <w:marRight w:val="0"/>
      <w:marTop w:val="0"/>
      <w:marBottom w:val="0"/>
      <w:divBdr>
        <w:top w:val="none" w:sz="0" w:space="0" w:color="auto"/>
        <w:left w:val="none" w:sz="0" w:space="0" w:color="auto"/>
        <w:bottom w:val="none" w:sz="0" w:space="0" w:color="auto"/>
        <w:right w:val="none" w:sz="0" w:space="0" w:color="auto"/>
      </w:divBdr>
    </w:div>
    <w:div w:id="173882962">
      <w:bodyDiv w:val="1"/>
      <w:marLeft w:val="0"/>
      <w:marRight w:val="0"/>
      <w:marTop w:val="0"/>
      <w:marBottom w:val="0"/>
      <w:divBdr>
        <w:top w:val="none" w:sz="0" w:space="0" w:color="auto"/>
        <w:left w:val="none" w:sz="0" w:space="0" w:color="auto"/>
        <w:bottom w:val="none" w:sz="0" w:space="0" w:color="auto"/>
        <w:right w:val="none" w:sz="0" w:space="0" w:color="auto"/>
      </w:divBdr>
    </w:div>
    <w:div w:id="173956434">
      <w:bodyDiv w:val="1"/>
      <w:marLeft w:val="0"/>
      <w:marRight w:val="0"/>
      <w:marTop w:val="0"/>
      <w:marBottom w:val="0"/>
      <w:divBdr>
        <w:top w:val="none" w:sz="0" w:space="0" w:color="auto"/>
        <w:left w:val="none" w:sz="0" w:space="0" w:color="auto"/>
        <w:bottom w:val="none" w:sz="0" w:space="0" w:color="auto"/>
        <w:right w:val="none" w:sz="0" w:space="0" w:color="auto"/>
      </w:divBdr>
    </w:div>
    <w:div w:id="174153892">
      <w:bodyDiv w:val="1"/>
      <w:marLeft w:val="0"/>
      <w:marRight w:val="0"/>
      <w:marTop w:val="0"/>
      <w:marBottom w:val="0"/>
      <w:divBdr>
        <w:top w:val="none" w:sz="0" w:space="0" w:color="auto"/>
        <w:left w:val="none" w:sz="0" w:space="0" w:color="auto"/>
        <w:bottom w:val="none" w:sz="0" w:space="0" w:color="auto"/>
        <w:right w:val="none" w:sz="0" w:space="0" w:color="auto"/>
      </w:divBdr>
    </w:div>
    <w:div w:id="174157298">
      <w:bodyDiv w:val="1"/>
      <w:marLeft w:val="0"/>
      <w:marRight w:val="0"/>
      <w:marTop w:val="0"/>
      <w:marBottom w:val="0"/>
      <w:divBdr>
        <w:top w:val="none" w:sz="0" w:space="0" w:color="auto"/>
        <w:left w:val="none" w:sz="0" w:space="0" w:color="auto"/>
        <w:bottom w:val="none" w:sz="0" w:space="0" w:color="auto"/>
        <w:right w:val="none" w:sz="0" w:space="0" w:color="auto"/>
      </w:divBdr>
    </w:div>
    <w:div w:id="174198145">
      <w:bodyDiv w:val="1"/>
      <w:marLeft w:val="0"/>
      <w:marRight w:val="0"/>
      <w:marTop w:val="0"/>
      <w:marBottom w:val="0"/>
      <w:divBdr>
        <w:top w:val="none" w:sz="0" w:space="0" w:color="auto"/>
        <w:left w:val="none" w:sz="0" w:space="0" w:color="auto"/>
        <w:bottom w:val="none" w:sz="0" w:space="0" w:color="auto"/>
        <w:right w:val="none" w:sz="0" w:space="0" w:color="auto"/>
      </w:divBdr>
    </w:div>
    <w:div w:id="174198810">
      <w:bodyDiv w:val="1"/>
      <w:marLeft w:val="0"/>
      <w:marRight w:val="0"/>
      <w:marTop w:val="0"/>
      <w:marBottom w:val="0"/>
      <w:divBdr>
        <w:top w:val="none" w:sz="0" w:space="0" w:color="auto"/>
        <w:left w:val="none" w:sz="0" w:space="0" w:color="auto"/>
        <w:bottom w:val="none" w:sz="0" w:space="0" w:color="auto"/>
        <w:right w:val="none" w:sz="0" w:space="0" w:color="auto"/>
      </w:divBdr>
    </w:div>
    <w:div w:id="174272058">
      <w:bodyDiv w:val="1"/>
      <w:marLeft w:val="0"/>
      <w:marRight w:val="0"/>
      <w:marTop w:val="0"/>
      <w:marBottom w:val="0"/>
      <w:divBdr>
        <w:top w:val="none" w:sz="0" w:space="0" w:color="auto"/>
        <w:left w:val="none" w:sz="0" w:space="0" w:color="auto"/>
        <w:bottom w:val="none" w:sz="0" w:space="0" w:color="auto"/>
        <w:right w:val="none" w:sz="0" w:space="0" w:color="auto"/>
      </w:divBdr>
    </w:div>
    <w:div w:id="174344011">
      <w:bodyDiv w:val="1"/>
      <w:marLeft w:val="0"/>
      <w:marRight w:val="0"/>
      <w:marTop w:val="0"/>
      <w:marBottom w:val="0"/>
      <w:divBdr>
        <w:top w:val="none" w:sz="0" w:space="0" w:color="auto"/>
        <w:left w:val="none" w:sz="0" w:space="0" w:color="auto"/>
        <w:bottom w:val="none" w:sz="0" w:space="0" w:color="auto"/>
        <w:right w:val="none" w:sz="0" w:space="0" w:color="auto"/>
      </w:divBdr>
    </w:div>
    <w:div w:id="174344576">
      <w:bodyDiv w:val="1"/>
      <w:marLeft w:val="0"/>
      <w:marRight w:val="0"/>
      <w:marTop w:val="0"/>
      <w:marBottom w:val="0"/>
      <w:divBdr>
        <w:top w:val="none" w:sz="0" w:space="0" w:color="auto"/>
        <w:left w:val="none" w:sz="0" w:space="0" w:color="auto"/>
        <w:bottom w:val="none" w:sz="0" w:space="0" w:color="auto"/>
        <w:right w:val="none" w:sz="0" w:space="0" w:color="auto"/>
      </w:divBdr>
    </w:div>
    <w:div w:id="174419854">
      <w:bodyDiv w:val="1"/>
      <w:marLeft w:val="0"/>
      <w:marRight w:val="0"/>
      <w:marTop w:val="0"/>
      <w:marBottom w:val="0"/>
      <w:divBdr>
        <w:top w:val="none" w:sz="0" w:space="0" w:color="auto"/>
        <w:left w:val="none" w:sz="0" w:space="0" w:color="auto"/>
        <w:bottom w:val="none" w:sz="0" w:space="0" w:color="auto"/>
        <w:right w:val="none" w:sz="0" w:space="0" w:color="auto"/>
      </w:divBdr>
    </w:div>
    <w:div w:id="174459574">
      <w:bodyDiv w:val="1"/>
      <w:marLeft w:val="0"/>
      <w:marRight w:val="0"/>
      <w:marTop w:val="0"/>
      <w:marBottom w:val="0"/>
      <w:divBdr>
        <w:top w:val="none" w:sz="0" w:space="0" w:color="auto"/>
        <w:left w:val="none" w:sz="0" w:space="0" w:color="auto"/>
        <w:bottom w:val="none" w:sz="0" w:space="0" w:color="auto"/>
        <w:right w:val="none" w:sz="0" w:space="0" w:color="auto"/>
      </w:divBdr>
    </w:div>
    <w:div w:id="174464289">
      <w:bodyDiv w:val="1"/>
      <w:marLeft w:val="0"/>
      <w:marRight w:val="0"/>
      <w:marTop w:val="0"/>
      <w:marBottom w:val="0"/>
      <w:divBdr>
        <w:top w:val="none" w:sz="0" w:space="0" w:color="auto"/>
        <w:left w:val="none" w:sz="0" w:space="0" w:color="auto"/>
        <w:bottom w:val="none" w:sz="0" w:space="0" w:color="auto"/>
        <w:right w:val="none" w:sz="0" w:space="0" w:color="auto"/>
      </w:divBdr>
    </w:div>
    <w:div w:id="174619079">
      <w:bodyDiv w:val="1"/>
      <w:marLeft w:val="0"/>
      <w:marRight w:val="0"/>
      <w:marTop w:val="0"/>
      <w:marBottom w:val="0"/>
      <w:divBdr>
        <w:top w:val="none" w:sz="0" w:space="0" w:color="auto"/>
        <w:left w:val="none" w:sz="0" w:space="0" w:color="auto"/>
        <w:bottom w:val="none" w:sz="0" w:space="0" w:color="auto"/>
        <w:right w:val="none" w:sz="0" w:space="0" w:color="auto"/>
      </w:divBdr>
    </w:div>
    <w:div w:id="174660115">
      <w:bodyDiv w:val="1"/>
      <w:marLeft w:val="0"/>
      <w:marRight w:val="0"/>
      <w:marTop w:val="0"/>
      <w:marBottom w:val="0"/>
      <w:divBdr>
        <w:top w:val="none" w:sz="0" w:space="0" w:color="auto"/>
        <w:left w:val="none" w:sz="0" w:space="0" w:color="auto"/>
        <w:bottom w:val="none" w:sz="0" w:space="0" w:color="auto"/>
        <w:right w:val="none" w:sz="0" w:space="0" w:color="auto"/>
      </w:divBdr>
    </w:div>
    <w:div w:id="174660948">
      <w:bodyDiv w:val="1"/>
      <w:marLeft w:val="0"/>
      <w:marRight w:val="0"/>
      <w:marTop w:val="0"/>
      <w:marBottom w:val="0"/>
      <w:divBdr>
        <w:top w:val="none" w:sz="0" w:space="0" w:color="auto"/>
        <w:left w:val="none" w:sz="0" w:space="0" w:color="auto"/>
        <w:bottom w:val="none" w:sz="0" w:space="0" w:color="auto"/>
        <w:right w:val="none" w:sz="0" w:space="0" w:color="auto"/>
      </w:divBdr>
    </w:div>
    <w:div w:id="174734926">
      <w:bodyDiv w:val="1"/>
      <w:marLeft w:val="0"/>
      <w:marRight w:val="0"/>
      <w:marTop w:val="0"/>
      <w:marBottom w:val="0"/>
      <w:divBdr>
        <w:top w:val="none" w:sz="0" w:space="0" w:color="auto"/>
        <w:left w:val="none" w:sz="0" w:space="0" w:color="auto"/>
        <w:bottom w:val="none" w:sz="0" w:space="0" w:color="auto"/>
        <w:right w:val="none" w:sz="0" w:space="0" w:color="auto"/>
      </w:divBdr>
    </w:div>
    <w:div w:id="174852039">
      <w:bodyDiv w:val="1"/>
      <w:marLeft w:val="0"/>
      <w:marRight w:val="0"/>
      <w:marTop w:val="0"/>
      <w:marBottom w:val="0"/>
      <w:divBdr>
        <w:top w:val="none" w:sz="0" w:space="0" w:color="auto"/>
        <w:left w:val="none" w:sz="0" w:space="0" w:color="auto"/>
        <w:bottom w:val="none" w:sz="0" w:space="0" w:color="auto"/>
        <w:right w:val="none" w:sz="0" w:space="0" w:color="auto"/>
      </w:divBdr>
    </w:div>
    <w:div w:id="174878808">
      <w:bodyDiv w:val="1"/>
      <w:marLeft w:val="0"/>
      <w:marRight w:val="0"/>
      <w:marTop w:val="0"/>
      <w:marBottom w:val="0"/>
      <w:divBdr>
        <w:top w:val="none" w:sz="0" w:space="0" w:color="auto"/>
        <w:left w:val="none" w:sz="0" w:space="0" w:color="auto"/>
        <w:bottom w:val="none" w:sz="0" w:space="0" w:color="auto"/>
        <w:right w:val="none" w:sz="0" w:space="0" w:color="auto"/>
      </w:divBdr>
    </w:div>
    <w:div w:id="174921746">
      <w:bodyDiv w:val="1"/>
      <w:marLeft w:val="0"/>
      <w:marRight w:val="0"/>
      <w:marTop w:val="0"/>
      <w:marBottom w:val="0"/>
      <w:divBdr>
        <w:top w:val="none" w:sz="0" w:space="0" w:color="auto"/>
        <w:left w:val="none" w:sz="0" w:space="0" w:color="auto"/>
        <w:bottom w:val="none" w:sz="0" w:space="0" w:color="auto"/>
        <w:right w:val="none" w:sz="0" w:space="0" w:color="auto"/>
      </w:divBdr>
    </w:div>
    <w:div w:id="174922054">
      <w:bodyDiv w:val="1"/>
      <w:marLeft w:val="0"/>
      <w:marRight w:val="0"/>
      <w:marTop w:val="0"/>
      <w:marBottom w:val="0"/>
      <w:divBdr>
        <w:top w:val="none" w:sz="0" w:space="0" w:color="auto"/>
        <w:left w:val="none" w:sz="0" w:space="0" w:color="auto"/>
        <w:bottom w:val="none" w:sz="0" w:space="0" w:color="auto"/>
        <w:right w:val="none" w:sz="0" w:space="0" w:color="auto"/>
      </w:divBdr>
    </w:div>
    <w:div w:id="174923233">
      <w:bodyDiv w:val="1"/>
      <w:marLeft w:val="0"/>
      <w:marRight w:val="0"/>
      <w:marTop w:val="0"/>
      <w:marBottom w:val="0"/>
      <w:divBdr>
        <w:top w:val="none" w:sz="0" w:space="0" w:color="auto"/>
        <w:left w:val="none" w:sz="0" w:space="0" w:color="auto"/>
        <w:bottom w:val="none" w:sz="0" w:space="0" w:color="auto"/>
        <w:right w:val="none" w:sz="0" w:space="0" w:color="auto"/>
      </w:divBdr>
    </w:div>
    <w:div w:id="174926640">
      <w:bodyDiv w:val="1"/>
      <w:marLeft w:val="0"/>
      <w:marRight w:val="0"/>
      <w:marTop w:val="0"/>
      <w:marBottom w:val="0"/>
      <w:divBdr>
        <w:top w:val="none" w:sz="0" w:space="0" w:color="auto"/>
        <w:left w:val="none" w:sz="0" w:space="0" w:color="auto"/>
        <w:bottom w:val="none" w:sz="0" w:space="0" w:color="auto"/>
        <w:right w:val="none" w:sz="0" w:space="0" w:color="auto"/>
      </w:divBdr>
    </w:div>
    <w:div w:id="175002303">
      <w:bodyDiv w:val="1"/>
      <w:marLeft w:val="0"/>
      <w:marRight w:val="0"/>
      <w:marTop w:val="0"/>
      <w:marBottom w:val="0"/>
      <w:divBdr>
        <w:top w:val="none" w:sz="0" w:space="0" w:color="auto"/>
        <w:left w:val="none" w:sz="0" w:space="0" w:color="auto"/>
        <w:bottom w:val="none" w:sz="0" w:space="0" w:color="auto"/>
        <w:right w:val="none" w:sz="0" w:space="0" w:color="auto"/>
      </w:divBdr>
    </w:div>
    <w:div w:id="175073255">
      <w:bodyDiv w:val="1"/>
      <w:marLeft w:val="0"/>
      <w:marRight w:val="0"/>
      <w:marTop w:val="0"/>
      <w:marBottom w:val="0"/>
      <w:divBdr>
        <w:top w:val="none" w:sz="0" w:space="0" w:color="auto"/>
        <w:left w:val="none" w:sz="0" w:space="0" w:color="auto"/>
        <w:bottom w:val="none" w:sz="0" w:space="0" w:color="auto"/>
        <w:right w:val="none" w:sz="0" w:space="0" w:color="auto"/>
      </w:divBdr>
    </w:div>
    <w:div w:id="175075471">
      <w:bodyDiv w:val="1"/>
      <w:marLeft w:val="0"/>
      <w:marRight w:val="0"/>
      <w:marTop w:val="0"/>
      <w:marBottom w:val="0"/>
      <w:divBdr>
        <w:top w:val="none" w:sz="0" w:space="0" w:color="auto"/>
        <w:left w:val="none" w:sz="0" w:space="0" w:color="auto"/>
        <w:bottom w:val="none" w:sz="0" w:space="0" w:color="auto"/>
        <w:right w:val="none" w:sz="0" w:space="0" w:color="auto"/>
      </w:divBdr>
    </w:div>
    <w:div w:id="175119661">
      <w:bodyDiv w:val="1"/>
      <w:marLeft w:val="0"/>
      <w:marRight w:val="0"/>
      <w:marTop w:val="0"/>
      <w:marBottom w:val="0"/>
      <w:divBdr>
        <w:top w:val="none" w:sz="0" w:space="0" w:color="auto"/>
        <w:left w:val="none" w:sz="0" w:space="0" w:color="auto"/>
        <w:bottom w:val="none" w:sz="0" w:space="0" w:color="auto"/>
        <w:right w:val="none" w:sz="0" w:space="0" w:color="auto"/>
      </w:divBdr>
    </w:div>
    <w:div w:id="175123629">
      <w:bodyDiv w:val="1"/>
      <w:marLeft w:val="0"/>
      <w:marRight w:val="0"/>
      <w:marTop w:val="0"/>
      <w:marBottom w:val="0"/>
      <w:divBdr>
        <w:top w:val="none" w:sz="0" w:space="0" w:color="auto"/>
        <w:left w:val="none" w:sz="0" w:space="0" w:color="auto"/>
        <w:bottom w:val="none" w:sz="0" w:space="0" w:color="auto"/>
        <w:right w:val="none" w:sz="0" w:space="0" w:color="auto"/>
      </w:divBdr>
    </w:div>
    <w:div w:id="175190348">
      <w:bodyDiv w:val="1"/>
      <w:marLeft w:val="0"/>
      <w:marRight w:val="0"/>
      <w:marTop w:val="0"/>
      <w:marBottom w:val="0"/>
      <w:divBdr>
        <w:top w:val="none" w:sz="0" w:space="0" w:color="auto"/>
        <w:left w:val="none" w:sz="0" w:space="0" w:color="auto"/>
        <w:bottom w:val="none" w:sz="0" w:space="0" w:color="auto"/>
        <w:right w:val="none" w:sz="0" w:space="0" w:color="auto"/>
      </w:divBdr>
    </w:div>
    <w:div w:id="175191211">
      <w:bodyDiv w:val="1"/>
      <w:marLeft w:val="0"/>
      <w:marRight w:val="0"/>
      <w:marTop w:val="0"/>
      <w:marBottom w:val="0"/>
      <w:divBdr>
        <w:top w:val="none" w:sz="0" w:space="0" w:color="auto"/>
        <w:left w:val="none" w:sz="0" w:space="0" w:color="auto"/>
        <w:bottom w:val="none" w:sz="0" w:space="0" w:color="auto"/>
        <w:right w:val="none" w:sz="0" w:space="0" w:color="auto"/>
      </w:divBdr>
    </w:div>
    <w:div w:id="175198049">
      <w:bodyDiv w:val="1"/>
      <w:marLeft w:val="0"/>
      <w:marRight w:val="0"/>
      <w:marTop w:val="0"/>
      <w:marBottom w:val="0"/>
      <w:divBdr>
        <w:top w:val="none" w:sz="0" w:space="0" w:color="auto"/>
        <w:left w:val="none" w:sz="0" w:space="0" w:color="auto"/>
        <w:bottom w:val="none" w:sz="0" w:space="0" w:color="auto"/>
        <w:right w:val="none" w:sz="0" w:space="0" w:color="auto"/>
      </w:divBdr>
    </w:div>
    <w:div w:id="175272610">
      <w:bodyDiv w:val="1"/>
      <w:marLeft w:val="0"/>
      <w:marRight w:val="0"/>
      <w:marTop w:val="0"/>
      <w:marBottom w:val="0"/>
      <w:divBdr>
        <w:top w:val="none" w:sz="0" w:space="0" w:color="auto"/>
        <w:left w:val="none" w:sz="0" w:space="0" w:color="auto"/>
        <w:bottom w:val="none" w:sz="0" w:space="0" w:color="auto"/>
        <w:right w:val="none" w:sz="0" w:space="0" w:color="auto"/>
      </w:divBdr>
    </w:div>
    <w:div w:id="175468150">
      <w:bodyDiv w:val="1"/>
      <w:marLeft w:val="0"/>
      <w:marRight w:val="0"/>
      <w:marTop w:val="0"/>
      <w:marBottom w:val="0"/>
      <w:divBdr>
        <w:top w:val="none" w:sz="0" w:space="0" w:color="auto"/>
        <w:left w:val="none" w:sz="0" w:space="0" w:color="auto"/>
        <w:bottom w:val="none" w:sz="0" w:space="0" w:color="auto"/>
        <w:right w:val="none" w:sz="0" w:space="0" w:color="auto"/>
      </w:divBdr>
    </w:div>
    <w:div w:id="175510295">
      <w:bodyDiv w:val="1"/>
      <w:marLeft w:val="0"/>
      <w:marRight w:val="0"/>
      <w:marTop w:val="0"/>
      <w:marBottom w:val="0"/>
      <w:divBdr>
        <w:top w:val="none" w:sz="0" w:space="0" w:color="auto"/>
        <w:left w:val="none" w:sz="0" w:space="0" w:color="auto"/>
        <w:bottom w:val="none" w:sz="0" w:space="0" w:color="auto"/>
        <w:right w:val="none" w:sz="0" w:space="0" w:color="auto"/>
      </w:divBdr>
    </w:div>
    <w:div w:id="175580370">
      <w:bodyDiv w:val="1"/>
      <w:marLeft w:val="0"/>
      <w:marRight w:val="0"/>
      <w:marTop w:val="0"/>
      <w:marBottom w:val="0"/>
      <w:divBdr>
        <w:top w:val="none" w:sz="0" w:space="0" w:color="auto"/>
        <w:left w:val="none" w:sz="0" w:space="0" w:color="auto"/>
        <w:bottom w:val="none" w:sz="0" w:space="0" w:color="auto"/>
        <w:right w:val="none" w:sz="0" w:space="0" w:color="auto"/>
      </w:divBdr>
    </w:div>
    <w:div w:id="175656965">
      <w:bodyDiv w:val="1"/>
      <w:marLeft w:val="0"/>
      <w:marRight w:val="0"/>
      <w:marTop w:val="0"/>
      <w:marBottom w:val="0"/>
      <w:divBdr>
        <w:top w:val="none" w:sz="0" w:space="0" w:color="auto"/>
        <w:left w:val="none" w:sz="0" w:space="0" w:color="auto"/>
        <w:bottom w:val="none" w:sz="0" w:space="0" w:color="auto"/>
        <w:right w:val="none" w:sz="0" w:space="0" w:color="auto"/>
      </w:divBdr>
    </w:div>
    <w:div w:id="175703305">
      <w:bodyDiv w:val="1"/>
      <w:marLeft w:val="0"/>
      <w:marRight w:val="0"/>
      <w:marTop w:val="0"/>
      <w:marBottom w:val="0"/>
      <w:divBdr>
        <w:top w:val="none" w:sz="0" w:space="0" w:color="auto"/>
        <w:left w:val="none" w:sz="0" w:space="0" w:color="auto"/>
        <w:bottom w:val="none" w:sz="0" w:space="0" w:color="auto"/>
        <w:right w:val="none" w:sz="0" w:space="0" w:color="auto"/>
      </w:divBdr>
    </w:div>
    <w:div w:id="175733259">
      <w:bodyDiv w:val="1"/>
      <w:marLeft w:val="0"/>
      <w:marRight w:val="0"/>
      <w:marTop w:val="0"/>
      <w:marBottom w:val="0"/>
      <w:divBdr>
        <w:top w:val="none" w:sz="0" w:space="0" w:color="auto"/>
        <w:left w:val="none" w:sz="0" w:space="0" w:color="auto"/>
        <w:bottom w:val="none" w:sz="0" w:space="0" w:color="auto"/>
        <w:right w:val="none" w:sz="0" w:space="0" w:color="auto"/>
      </w:divBdr>
    </w:div>
    <w:div w:id="175733348">
      <w:bodyDiv w:val="1"/>
      <w:marLeft w:val="0"/>
      <w:marRight w:val="0"/>
      <w:marTop w:val="0"/>
      <w:marBottom w:val="0"/>
      <w:divBdr>
        <w:top w:val="none" w:sz="0" w:space="0" w:color="auto"/>
        <w:left w:val="none" w:sz="0" w:space="0" w:color="auto"/>
        <w:bottom w:val="none" w:sz="0" w:space="0" w:color="auto"/>
        <w:right w:val="none" w:sz="0" w:space="0" w:color="auto"/>
      </w:divBdr>
    </w:div>
    <w:div w:id="175770215">
      <w:bodyDiv w:val="1"/>
      <w:marLeft w:val="0"/>
      <w:marRight w:val="0"/>
      <w:marTop w:val="0"/>
      <w:marBottom w:val="0"/>
      <w:divBdr>
        <w:top w:val="none" w:sz="0" w:space="0" w:color="auto"/>
        <w:left w:val="none" w:sz="0" w:space="0" w:color="auto"/>
        <w:bottom w:val="none" w:sz="0" w:space="0" w:color="auto"/>
        <w:right w:val="none" w:sz="0" w:space="0" w:color="auto"/>
      </w:divBdr>
    </w:div>
    <w:div w:id="175777340">
      <w:bodyDiv w:val="1"/>
      <w:marLeft w:val="0"/>
      <w:marRight w:val="0"/>
      <w:marTop w:val="0"/>
      <w:marBottom w:val="0"/>
      <w:divBdr>
        <w:top w:val="none" w:sz="0" w:space="0" w:color="auto"/>
        <w:left w:val="none" w:sz="0" w:space="0" w:color="auto"/>
        <w:bottom w:val="none" w:sz="0" w:space="0" w:color="auto"/>
        <w:right w:val="none" w:sz="0" w:space="0" w:color="auto"/>
      </w:divBdr>
    </w:div>
    <w:div w:id="175847194">
      <w:bodyDiv w:val="1"/>
      <w:marLeft w:val="0"/>
      <w:marRight w:val="0"/>
      <w:marTop w:val="0"/>
      <w:marBottom w:val="0"/>
      <w:divBdr>
        <w:top w:val="none" w:sz="0" w:space="0" w:color="auto"/>
        <w:left w:val="none" w:sz="0" w:space="0" w:color="auto"/>
        <w:bottom w:val="none" w:sz="0" w:space="0" w:color="auto"/>
        <w:right w:val="none" w:sz="0" w:space="0" w:color="auto"/>
      </w:divBdr>
    </w:div>
    <w:div w:id="175850684">
      <w:bodyDiv w:val="1"/>
      <w:marLeft w:val="0"/>
      <w:marRight w:val="0"/>
      <w:marTop w:val="0"/>
      <w:marBottom w:val="0"/>
      <w:divBdr>
        <w:top w:val="none" w:sz="0" w:space="0" w:color="auto"/>
        <w:left w:val="none" w:sz="0" w:space="0" w:color="auto"/>
        <w:bottom w:val="none" w:sz="0" w:space="0" w:color="auto"/>
        <w:right w:val="none" w:sz="0" w:space="0" w:color="auto"/>
      </w:divBdr>
    </w:div>
    <w:div w:id="175966106">
      <w:bodyDiv w:val="1"/>
      <w:marLeft w:val="0"/>
      <w:marRight w:val="0"/>
      <w:marTop w:val="0"/>
      <w:marBottom w:val="0"/>
      <w:divBdr>
        <w:top w:val="none" w:sz="0" w:space="0" w:color="auto"/>
        <w:left w:val="none" w:sz="0" w:space="0" w:color="auto"/>
        <w:bottom w:val="none" w:sz="0" w:space="0" w:color="auto"/>
        <w:right w:val="none" w:sz="0" w:space="0" w:color="auto"/>
      </w:divBdr>
    </w:div>
    <w:div w:id="176040472">
      <w:bodyDiv w:val="1"/>
      <w:marLeft w:val="0"/>
      <w:marRight w:val="0"/>
      <w:marTop w:val="0"/>
      <w:marBottom w:val="0"/>
      <w:divBdr>
        <w:top w:val="none" w:sz="0" w:space="0" w:color="auto"/>
        <w:left w:val="none" w:sz="0" w:space="0" w:color="auto"/>
        <w:bottom w:val="none" w:sz="0" w:space="0" w:color="auto"/>
        <w:right w:val="none" w:sz="0" w:space="0" w:color="auto"/>
      </w:divBdr>
    </w:div>
    <w:div w:id="176044280">
      <w:bodyDiv w:val="1"/>
      <w:marLeft w:val="0"/>
      <w:marRight w:val="0"/>
      <w:marTop w:val="0"/>
      <w:marBottom w:val="0"/>
      <w:divBdr>
        <w:top w:val="none" w:sz="0" w:space="0" w:color="auto"/>
        <w:left w:val="none" w:sz="0" w:space="0" w:color="auto"/>
        <w:bottom w:val="none" w:sz="0" w:space="0" w:color="auto"/>
        <w:right w:val="none" w:sz="0" w:space="0" w:color="auto"/>
      </w:divBdr>
    </w:div>
    <w:div w:id="176115237">
      <w:bodyDiv w:val="1"/>
      <w:marLeft w:val="0"/>
      <w:marRight w:val="0"/>
      <w:marTop w:val="0"/>
      <w:marBottom w:val="0"/>
      <w:divBdr>
        <w:top w:val="none" w:sz="0" w:space="0" w:color="auto"/>
        <w:left w:val="none" w:sz="0" w:space="0" w:color="auto"/>
        <w:bottom w:val="none" w:sz="0" w:space="0" w:color="auto"/>
        <w:right w:val="none" w:sz="0" w:space="0" w:color="auto"/>
      </w:divBdr>
    </w:div>
    <w:div w:id="176121018">
      <w:bodyDiv w:val="1"/>
      <w:marLeft w:val="0"/>
      <w:marRight w:val="0"/>
      <w:marTop w:val="0"/>
      <w:marBottom w:val="0"/>
      <w:divBdr>
        <w:top w:val="none" w:sz="0" w:space="0" w:color="auto"/>
        <w:left w:val="none" w:sz="0" w:space="0" w:color="auto"/>
        <w:bottom w:val="none" w:sz="0" w:space="0" w:color="auto"/>
        <w:right w:val="none" w:sz="0" w:space="0" w:color="auto"/>
      </w:divBdr>
    </w:div>
    <w:div w:id="176236695">
      <w:bodyDiv w:val="1"/>
      <w:marLeft w:val="0"/>
      <w:marRight w:val="0"/>
      <w:marTop w:val="0"/>
      <w:marBottom w:val="0"/>
      <w:divBdr>
        <w:top w:val="none" w:sz="0" w:space="0" w:color="auto"/>
        <w:left w:val="none" w:sz="0" w:space="0" w:color="auto"/>
        <w:bottom w:val="none" w:sz="0" w:space="0" w:color="auto"/>
        <w:right w:val="none" w:sz="0" w:space="0" w:color="auto"/>
      </w:divBdr>
    </w:div>
    <w:div w:id="176308148">
      <w:bodyDiv w:val="1"/>
      <w:marLeft w:val="0"/>
      <w:marRight w:val="0"/>
      <w:marTop w:val="0"/>
      <w:marBottom w:val="0"/>
      <w:divBdr>
        <w:top w:val="none" w:sz="0" w:space="0" w:color="auto"/>
        <w:left w:val="none" w:sz="0" w:space="0" w:color="auto"/>
        <w:bottom w:val="none" w:sz="0" w:space="0" w:color="auto"/>
        <w:right w:val="none" w:sz="0" w:space="0" w:color="auto"/>
      </w:divBdr>
    </w:div>
    <w:div w:id="176310320">
      <w:bodyDiv w:val="1"/>
      <w:marLeft w:val="0"/>
      <w:marRight w:val="0"/>
      <w:marTop w:val="0"/>
      <w:marBottom w:val="0"/>
      <w:divBdr>
        <w:top w:val="none" w:sz="0" w:space="0" w:color="auto"/>
        <w:left w:val="none" w:sz="0" w:space="0" w:color="auto"/>
        <w:bottom w:val="none" w:sz="0" w:space="0" w:color="auto"/>
        <w:right w:val="none" w:sz="0" w:space="0" w:color="auto"/>
      </w:divBdr>
    </w:div>
    <w:div w:id="176316856">
      <w:bodyDiv w:val="1"/>
      <w:marLeft w:val="0"/>
      <w:marRight w:val="0"/>
      <w:marTop w:val="0"/>
      <w:marBottom w:val="0"/>
      <w:divBdr>
        <w:top w:val="none" w:sz="0" w:space="0" w:color="auto"/>
        <w:left w:val="none" w:sz="0" w:space="0" w:color="auto"/>
        <w:bottom w:val="none" w:sz="0" w:space="0" w:color="auto"/>
        <w:right w:val="none" w:sz="0" w:space="0" w:color="auto"/>
      </w:divBdr>
    </w:div>
    <w:div w:id="176383681">
      <w:bodyDiv w:val="1"/>
      <w:marLeft w:val="0"/>
      <w:marRight w:val="0"/>
      <w:marTop w:val="0"/>
      <w:marBottom w:val="0"/>
      <w:divBdr>
        <w:top w:val="none" w:sz="0" w:space="0" w:color="auto"/>
        <w:left w:val="none" w:sz="0" w:space="0" w:color="auto"/>
        <w:bottom w:val="none" w:sz="0" w:space="0" w:color="auto"/>
        <w:right w:val="none" w:sz="0" w:space="0" w:color="auto"/>
      </w:divBdr>
    </w:div>
    <w:div w:id="176386989">
      <w:bodyDiv w:val="1"/>
      <w:marLeft w:val="0"/>
      <w:marRight w:val="0"/>
      <w:marTop w:val="0"/>
      <w:marBottom w:val="0"/>
      <w:divBdr>
        <w:top w:val="none" w:sz="0" w:space="0" w:color="auto"/>
        <w:left w:val="none" w:sz="0" w:space="0" w:color="auto"/>
        <w:bottom w:val="none" w:sz="0" w:space="0" w:color="auto"/>
        <w:right w:val="none" w:sz="0" w:space="0" w:color="auto"/>
      </w:divBdr>
    </w:div>
    <w:div w:id="176387199">
      <w:bodyDiv w:val="1"/>
      <w:marLeft w:val="0"/>
      <w:marRight w:val="0"/>
      <w:marTop w:val="0"/>
      <w:marBottom w:val="0"/>
      <w:divBdr>
        <w:top w:val="none" w:sz="0" w:space="0" w:color="auto"/>
        <w:left w:val="none" w:sz="0" w:space="0" w:color="auto"/>
        <w:bottom w:val="none" w:sz="0" w:space="0" w:color="auto"/>
        <w:right w:val="none" w:sz="0" w:space="0" w:color="auto"/>
      </w:divBdr>
    </w:div>
    <w:div w:id="176430776">
      <w:bodyDiv w:val="1"/>
      <w:marLeft w:val="0"/>
      <w:marRight w:val="0"/>
      <w:marTop w:val="0"/>
      <w:marBottom w:val="0"/>
      <w:divBdr>
        <w:top w:val="none" w:sz="0" w:space="0" w:color="auto"/>
        <w:left w:val="none" w:sz="0" w:space="0" w:color="auto"/>
        <w:bottom w:val="none" w:sz="0" w:space="0" w:color="auto"/>
        <w:right w:val="none" w:sz="0" w:space="0" w:color="auto"/>
      </w:divBdr>
    </w:div>
    <w:div w:id="176505465">
      <w:bodyDiv w:val="1"/>
      <w:marLeft w:val="0"/>
      <w:marRight w:val="0"/>
      <w:marTop w:val="0"/>
      <w:marBottom w:val="0"/>
      <w:divBdr>
        <w:top w:val="none" w:sz="0" w:space="0" w:color="auto"/>
        <w:left w:val="none" w:sz="0" w:space="0" w:color="auto"/>
        <w:bottom w:val="none" w:sz="0" w:space="0" w:color="auto"/>
        <w:right w:val="none" w:sz="0" w:space="0" w:color="auto"/>
      </w:divBdr>
    </w:div>
    <w:div w:id="176622416">
      <w:bodyDiv w:val="1"/>
      <w:marLeft w:val="0"/>
      <w:marRight w:val="0"/>
      <w:marTop w:val="0"/>
      <w:marBottom w:val="0"/>
      <w:divBdr>
        <w:top w:val="none" w:sz="0" w:space="0" w:color="auto"/>
        <w:left w:val="none" w:sz="0" w:space="0" w:color="auto"/>
        <w:bottom w:val="none" w:sz="0" w:space="0" w:color="auto"/>
        <w:right w:val="none" w:sz="0" w:space="0" w:color="auto"/>
      </w:divBdr>
    </w:div>
    <w:div w:id="176623041">
      <w:bodyDiv w:val="1"/>
      <w:marLeft w:val="0"/>
      <w:marRight w:val="0"/>
      <w:marTop w:val="0"/>
      <w:marBottom w:val="0"/>
      <w:divBdr>
        <w:top w:val="none" w:sz="0" w:space="0" w:color="auto"/>
        <w:left w:val="none" w:sz="0" w:space="0" w:color="auto"/>
        <w:bottom w:val="none" w:sz="0" w:space="0" w:color="auto"/>
        <w:right w:val="none" w:sz="0" w:space="0" w:color="auto"/>
      </w:divBdr>
    </w:div>
    <w:div w:id="176696264">
      <w:bodyDiv w:val="1"/>
      <w:marLeft w:val="0"/>
      <w:marRight w:val="0"/>
      <w:marTop w:val="0"/>
      <w:marBottom w:val="0"/>
      <w:divBdr>
        <w:top w:val="none" w:sz="0" w:space="0" w:color="auto"/>
        <w:left w:val="none" w:sz="0" w:space="0" w:color="auto"/>
        <w:bottom w:val="none" w:sz="0" w:space="0" w:color="auto"/>
        <w:right w:val="none" w:sz="0" w:space="0" w:color="auto"/>
      </w:divBdr>
    </w:div>
    <w:div w:id="176773072">
      <w:bodyDiv w:val="1"/>
      <w:marLeft w:val="0"/>
      <w:marRight w:val="0"/>
      <w:marTop w:val="0"/>
      <w:marBottom w:val="0"/>
      <w:divBdr>
        <w:top w:val="none" w:sz="0" w:space="0" w:color="auto"/>
        <w:left w:val="none" w:sz="0" w:space="0" w:color="auto"/>
        <w:bottom w:val="none" w:sz="0" w:space="0" w:color="auto"/>
        <w:right w:val="none" w:sz="0" w:space="0" w:color="auto"/>
      </w:divBdr>
    </w:div>
    <w:div w:id="176890629">
      <w:bodyDiv w:val="1"/>
      <w:marLeft w:val="0"/>
      <w:marRight w:val="0"/>
      <w:marTop w:val="0"/>
      <w:marBottom w:val="0"/>
      <w:divBdr>
        <w:top w:val="none" w:sz="0" w:space="0" w:color="auto"/>
        <w:left w:val="none" w:sz="0" w:space="0" w:color="auto"/>
        <w:bottom w:val="none" w:sz="0" w:space="0" w:color="auto"/>
        <w:right w:val="none" w:sz="0" w:space="0" w:color="auto"/>
      </w:divBdr>
    </w:div>
    <w:div w:id="177040829">
      <w:bodyDiv w:val="1"/>
      <w:marLeft w:val="0"/>
      <w:marRight w:val="0"/>
      <w:marTop w:val="0"/>
      <w:marBottom w:val="0"/>
      <w:divBdr>
        <w:top w:val="none" w:sz="0" w:space="0" w:color="auto"/>
        <w:left w:val="none" w:sz="0" w:space="0" w:color="auto"/>
        <w:bottom w:val="none" w:sz="0" w:space="0" w:color="auto"/>
        <w:right w:val="none" w:sz="0" w:space="0" w:color="auto"/>
      </w:divBdr>
    </w:div>
    <w:div w:id="177231089">
      <w:bodyDiv w:val="1"/>
      <w:marLeft w:val="0"/>
      <w:marRight w:val="0"/>
      <w:marTop w:val="0"/>
      <w:marBottom w:val="0"/>
      <w:divBdr>
        <w:top w:val="none" w:sz="0" w:space="0" w:color="auto"/>
        <w:left w:val="none" w:sz="0" w:space="0" w:color="auto"/>
        <w:bottom w:val="none" w:sz="0" w:space="0" w:color="auto"/>
        <w:right w:val="none" w:sz="0" w:space="0" w:color="auto"/>
      </w:divBdr>
    </w:div>
    <w:div w:id="177239516">
      <w:bodyDiv w:val="1"/>
      <w:marLeft w:val="0"/>
      <w:marRight w:val="0"/>
      <w:marTop w:val="0"/>
      <w:marBottom w:val="0"/>
      <w:divBdr>
        <w:top w:val="none" w:sz="0" w:space="0" w:color="auto"/>
        <w:left w:val="none" w:sz="0" w:space="0" w:color="auto"/>
        <w:bottom w:val="none" w:sz="0" w:space="0" w:color="auto"/>
        <w:right w:val="none" w:sz="0" w:space="0" w:color="auto"/>
      </w:divBdr>
    </w:div>
    <w:div w:id="177282437">
      <w:bodyDiv w:val="1"/>
      <w:marLeft w:val="0"/>
      <w:marRight w:val="0"/>
      <w:marTop w:val="0"/>
      <w:marBottom w:val="0"/>
      <w:divBdr>
        <w:top w:val="none" w:sz="0" w:space="0" w:color="auto"/>
        <w:left w:val="none" w:sz="0" w:space="0" w:color="auto"/>
        <w:bottom w:val="none" w:sz="0" w:space="0" w:color="auto"/>
        <w:right w:val="none" w:sz="0" w:space="0" w:color="auto"/>
      </w:divBdr>
    </w:div>
    <w:div w:id="177430128">
      <w:bodyDiv w:val="1"/>
      <w:marLeft w:val="0"/>
      <w:marRight w:val="0"/>
      <w:marTop w:val="0"/>
      <w:marBottom w:val="0"/>
      <w:divBdr>
        <w:top w:val="none" w:sz="0" w:space="0" w:color="auto"/>
        <w:left w:val="none" w:sz="0" w:space="0" w:color="auto"/>
        <w:bottom w:val="none" w:sz="0" w:space="0" w:color="auto"/>
        <w:right w:val="none" w:sz="0" w:space="0" w:color="auto"/>
      </w:divBdr>
    </w:div>
    <w:div w:id="177430869">
      <w:bodyDiv w:val="1"/>
      <w:marLeft w:val="0"/>
      <w:marRight w:val="0"/>
      <w:marTop w:val="0"/>
      <w:marBottom w:val="0"/>
      <w:divBdr>
        <w:top w:val="none" w:sz="0" w:space="0" w:color="auto"/>
        <w:left w:val="none" w:sz="0" w:space="0" w:color="auto"/>
        <w:bottom w:val="none" w:sz="0" w:space="0" w:color="auto"/>
        <w:right w:val="none" w:sz="0" w:space="0" w:color="auto"/>
      </w:divBdr>
    </w:div>
    <w:div w:id="177500489">
      <w:bodyDiv w:val="1"/>
      <w:marLeft w:val="0"/>
      <w:marRight w:val="0"/>
      <w:marTop w:val="0"/>
      <w:marBottom w:val="0"/>
      <w:divBdr>
        <w:top w:val="none" w:sz="0" w:space="0" w:color="auto"/>
        <w:left w:val="none" w:sz="0" w:space="0" w:color="auto"/>
        <w:bottom w:val="none" w:sz="0" w:space="0" w:color="auto"/>
        <w:right w:val="none" w:sz="0" w:space="0" w:color="auto"/>
      </w:divBdr>
    </w:div>
    <w:div w:id="177542559">
      <w:bodyDiv w:val="1"/>
      <w:marLeft w:val="0"/>
      <w:marRight w:val="0"/>
      <w:marTop w:val="0"/>
      <w:marBottom w:val="0"/>
      <w:divBdr>
        <w:top w:val="none" w:sz="0" w:space="0" w:color="auto"/>
        <w:left w:val="none" w:sz="0" w:space="0" w:color="auto"/>
        <w:bottom w:val="none" w:sz="0" w:space="0" w:color="auto"/>
        <w:right w:val="none" w:sz="0" w:space="0" w:color="auto"/>
      </w:divBdr>
    </w:div>
    <w:div w:id="177545528">
      <w:bodyDiv w:val="1"/>
      <w:marLeft w:val="0"/>
      <w:marRight w:val="0"/>
      <w:marTop w:val="0"/>
      <w:marBottom w:val="0"/>
      <w:divBdr>
        <w:top w:val="none" w:sz="0" w:space="0" w:color="auto"/>
        <w:left w:val="none" w:sz="0" w:space="0" w:color="auto"/>
        <w:bottom w:val="none" w:sz="0" w:space="0" w:color="auto"/>
        <w:right w:val="none" w:sz="0" w:space="0" w:color="auto"/>
      </w:divBdr>
    </w:div>
    <w:div w:id="177737603">
      <w:bodyDiv w:val="1"/>
      <w:marLeft w:val="0"/>
      <w:marRight w:val="0"/>
      <w:marTop w:val="0"/>
      <w:marBottom w:val="0"/>
      <w:divBdr>
        <w:top w:val="none" w:sz="0" w:space="0" w:color="auto"/>
        <w:left w:val="none" w:sz="0" w:space="0" w:color="auto"/>
        <w:bottom w:val="none" w:sz="0" w:space="0" w:color="auto"/>
        <w:right w:val="none" w:sz="0" w:space="0" w:color="auto"/>
      </w:divBdr>
    </w:div>
    <w:div w:id="177811740">
      <w:bodyDiv w:val="1"/>
      <w:marLeft w:val="0"/>
      <w:marRight w:val="0"/>
      <w:marTop w:val="0"/>
      <w:marBottom w:val="0"/>
      <w:divBdr>
        <w:top w:val="none" w:sz="0" w:space="0" w:color="auto"/>
        <w:left w:val="none" w:sz="0" w:space="0" w:color="auto"/>
        <w:bottom w:val="none" w:sz="0" w:space="0" w:color="auto"/>
        <w:right w:val="none" w:sz="0" w:space="0" w:color="auto"/>
      </w:divBdr>
    </w:div>
    <w:div w:id="177932629">
      <w:bodyDiv w:val="1"/>
      <w:marLeft w:val="0"/>
      <w:marRight w:val="0"/>
      <w:marTop w:val="0"/>
      <w:marBottom w:val="0"/>
      <w:divBdr>
        <w:top w:val="none" w:sz="0" w:space="0" w:color="auto"/>
        <w:left w:val="none" w:sz="0" w:space="0" w:color="auto"/>
        <w:bottom w:val="none" w:sz="0" w:space="0" w:color="auto"/>
        <w:right w:val="none" w:sz="0" w:space="0" w:color="auto"/>
      </w:divBdr>
    </w:div>
    <w:div w:id="177932995">
      <w:bodyDiv w:val="1"/>
      <w:marLeft w:val="0"/>
      <w:marRight w:val="0"/>
      <w:marTop w:val="0"/>
      <w:marBottom w:val="0"/>
      <w:divBdr>
        <w:top w:val="none" w:sz="0" w:space="0" w:color="auto"/>
        <w:left w:val="none" w:sz="0" w:space="0" w:color="auto"/>
        <w:bottom w:val="none" w:sz="0" w:space="0" w:color="auto"/>
        <w:right w:val="none" w:sz="0" w:space="0" w:color="auto"/>
      </w:divBdr>
    </w:div>
    <w:div w:id="177935835">
      <w:bodyDiv w:val="1"/>
      <w:marLeft w:val="0"/>
      <w:marRight w:val="0"/>
      <w:marTop w:val="0"/>
      <w:marBottom w:val="0"/>
      <w:divBdr>
        <w:top w:val="none" w:sz="0" w:space="0" w:color="auto"/>
        <w:left w:val="none" w:sz="0" w:space="0" w:color="auto"/>
        <w:bottom w:val="none" w:sz="0" w:space="0" w:color="auto"/>
        <w:right w:val="none" w:sz="0" w:space="0" w:color="auto"/>
      </w:divBdr>
    </w:div>
    <w:div w:id="178088619">
      <w:bodyDiv w:val="1"/>
      <w:marLeft w:val="0"/>
      <w:marRight w:val="0"/>
      <w:marTop w:val="0"/>
      <w:marBottom w:val="0"/>
      <w:divBdr>
        <w:top w:val="none" w:sz="0" w:space="0" w:color="auto"/>
        <w:left w:val="none" w:sz="0" w:space="0" w:color="auto"/>
        <w:bottom w:val="none" w:sz="0" w:space="0" w:color="auto"/>
        <w:right w:val="none" w:sz="0" w:space="0" w:color="auto"/>
      </w:divBdr>
    </w:div>
    <w:div w:id="178199420">
      <w:bodyDiv w:val="1"/>
      <w:marLeft w:val="0"/>
      <w:marRight w:val="0"/>
      <w:marTop w:val="0"/>
      <w:marBottom w:val="0"/>
      <w:divBdr>
        <w:top w:val="none" w:sz="0" w:space="0" w:color="auto"/>
        <w:left w:val="none" w:sz="0" w:space="0" w:color="auto"/>
        <w:bottom w:val="none" w:sz="0" w:space="0" w:color="auto"/>
        <w:right w:val="none" w:sz="0" w:space="0" w:color="auto"/>
      </w:divBdr>
    </w:div>
    <w:div w:id="178355866">
      <w:bodyDiv w:val="1"/>
      <w:marLeft w:val="0"/>
      <w:marRight w:val="0"/>
      <w:marTop w:val="0"/>
      <w:marBottom w:val="0"/>
      <w:divBdr>
        <w:top w:val="none" w:sz="0" w:space="0" w:color="auto"/>
        <w:left w:val="none" w:sz="0" w:space="0" w:color="auto"/>
        <w:bottom w:val="none" w:sz="0" w:space="0" w:color="auto"/>
        <w:right w:val="none" w:sz="0" w:space="0" w:color="auto"/>
      </w:divBdr>
    </w:div>
    <w:div w:id="178399297">
      <w:bodyDiv w:val="1"/>
      <w:marLeft w:val="0"/>
      <w:marRight w:val="0"/>
      <w:marTop w:val="0"/>
      <w:marBottom w:val="0"/>
      <w:divBdr>
        <w:top w:val="none" w:sz="0" w:space="0" w:color="auto"/>
        <w:left w:val="none" w:sz="0" w:space="0" w:color="auto"/>
        <w:bottom w:val="none" w:sz="0" w:space="0" w:color="auto"/>
        <w:right w:val="none" w:sz="0" w:space="0" w:color="auto"/>
      </w:divBdr>
    </w:div>
    <w:div w:id="178399935">
      <w:bodyDiv w:val="1"/>
      <w:marLeft w:val="0"/>
      <w:marRight w:val="0"/>
      <w:marTop w:val="0"/>
      <w:marBottom w:val="0"/>
      <w:divBdr>
        <w:top w:val="none" w:sz="0" w:space="0" w:color="auto"/>
        <w:left w:val="none" w:sz="0" w:space="0" w:color="auto"/>
        <w:bottom w:val="none" w:sz="0" w:space="0" w:color="auto"/>
        <w:right w:val="none" w:sz="0" w:space="0" w:color="auto"/>
      </w:divBdr>
    </w:div>
    <w:div w:id="178548298">
      <w:bodyDiv w:val="1"/>
      <w:marLeft w:val="0"/>
      <w:marRight w:val="0"/>
      <w:marTop w:val="0"/>
      <w:marBottom w:val="0"/>
      <w:divBdr>
        <w:top w:val="none" w:sz="0" w:space="0" w:color="auto"/>
        <w:left w:val="none" w:sz="0" w:space="0" w:color="auto"/>
        <w:bottom w:val="none" w:sz="0" w:space="0" w:color="auto"/>
        <w:right w:val="none" w:sz="0" w:space="0" w:color="auto"/>
      </w:divBdr>
    </w:div>
    <w:div w:id="178617210">
      <w:bodyDiv w:val="1"/>
      <w:marLeft w:val="0"/>
      <w:marRight w:val="0"/>
      <w:marTop w:val="0"/>
      <w:marBottom w:val="0"/>
      <w:divBdr>
        <w:top w:val="none" w:sz="0" w:space="0" w:color="auto"/>
        <w:left w:val="none" w:sz="0" w:space="0" w:color="auto"/>
        <w:bottom w:val="none" w:sz="0" w:space="0" w:color="auto"/>
        <w:right w:val="none" w:sz="0" w:space="0" w:color="auto"/>
      </w:divBdr>
    </w:div>
    <w:div w:id="178742022">
      <w:bodyDiv w:val="1"/>
      <w:marLeft w:val="0"/>
      <w:marRight w:val="0"/>
      <w:marTop w:val="0"/>
      <w:marBottom w:val="0"/>
      <w:divBdr>
        <w:top w:val="none" w:sz="0" w:space="0" w:color="auto"/>
        <w:left w:val="none" w:sz="0" w:space="0" w:color="auto"/>
        <w:bottom w:val="none" w:sz="0" w:space="0" w:color="auto"/>
        <w:right w:val="none" w:sz="0" w:space="0" w:color="auto"/>
      </w:divBdr>
    </w:div>
    <w:div w:id="178857095">
      <w:bodyDiv w:val="1"/>
      <w:marLeft w:val="0"/>
      <w:marRight w:val="0"/>
      <w:marTop w:val="0"/>
      <w:marBottom w:val="0"/>
      <w:divBdr>
        <w:top w:val="none" w:sz="0" w:space="0" w:color="auto"/>
        <w:left w:val="none" w:sz="0" w:space="0" w:color="auto"/>
        <w:bottom w:val="none" w:sz="0" w:space="0" w:color="auto"/>
        <w:right w:val="none" w:sz="0" w:space="0" w:color="auto"/>
      </w:divBdr>
    </w:div>
    <w:div w:id="178861495">
      <w:bodyDiv w:val="1"/>
      <w:marLeft w:val="0"/>
      <w:marRight w:val="0"/>
      <w:marTop w:val="0"/>
      <w:marBottom w:val="0"/>
      <w:divBdr>
        <w:top w:val="none" w:sz="0" w:space="0" w:color="auto"/>
        <w:left w:val="none" w:sz="0" w:space="0" w:color="auto"/>
        <w:bottom w:val="none" w:sz="0" w:space="0" w:color="auto"/>
        <w:right w:val="none" w:sz="0" w:space="0" w:color="auto"/>
      </w:divBdr>
    </w:div>
    <w:div w:id="178935290">
      <w:bodyDiv w:val="1"/>
      <w:marLeft w:val="0"/>
      <w:marRight w:val="0"/>
      <w:marTop w:val="0"/>
      <w:marBottom w:val="0"/>
      <w:divBdr>
        <w:top w:val="none" w:sz="0" w:space="0" w:color="auto"/>
        <w:left w:val="none" w:sz="0" w:space="0" w:color="auto"/>
        <w:bottom w:val="none" w:sz="0" w:space="0" w:color="auto"/>
        <w:right w:val="none" w:sz="0" w:space="0" w:color="auto"/>
      </w:divBdr>
    </w:div>
    <w:div w:id="179009819">
      <w:bodyDiv w:val="1"/>
      <w:marLeft w:val="0"/>
      <w:marRight w:val="0"/>
      <w:marTop w:val="0"/>
      <w:marBottom w:val="0"/>
      <w:divBdr>
        <w:top w:val="none" w:sz="0" w:space="0" w:color="auto"/>
        <w:left w:val="none" w:sz="0" w:space="0" w:color="auto"/>
        <w:bottom w:val="none" w:sz="0" w:space="0" w:color="auto"/>
        <w:right w:val="none" w:sz="0" w:space="0" w:color="auto"/>
      </w:divBdr>
    </w:div>
    <w:div w:id="179128842">
      <w:bodyDiv w:val="1"/>
      <w:marLeft w:val="0"/>
      <w:marRight w:val="0"/>
      <w:marTop w:val="0"/>
      <w:marBottom w:val="0"/>
      <w:divBdr>
        <w:top w:val="none" w:sz="0" w:space="0" w:color="auto"/>
        <w:left w:val="none" w:sz="0" w:space="0" w:color="auto"/>
        <w:bottom w:val="none" w:sz="0" w:space="0" w:color="auto"/>
        <w:right w:val="none" w:sz="0" w:space="0" w:color="auto"/>
      </w:divBdr>
    </w:div>
    <w:div w:id="179201793">
      <w:bodyDiv w:val="1"/>
      <w:marLeft w:val="0"/>
      <w:marRight w:val="0"/>
      <w:marTop w:val="0"/>
      <w:marBottom w:val="0"/>
      <w:divBdr>
        <w:top w:val="none" w:sz="0" w:space="0" w:color="auto"/>
        <w:left w:val="none" w:sz="0" w:space="0" w:color="auto"/>
        <w:bottom w:val="none" w:sz="0" w:space="0" w:color="auto"/>
        <w:right w:val="none" w:sz="0" w:space="0" w:color="auto"/>
      </w:divBdr>
    </w:div>
    <w:div w:id="179203683">
      <w:bodyDiv w:val="1"/>
      <w:marLeft w:val="0"/>
      <w:marRight w:val="0"/>
      <w:marTop w:val="0"/>
      <w:marBottom w:val="0"/>
      <w:divBdr>
        <w:top w:val="none" w:sz="0" w:space="0" w:color="auto"/>
        <w:left w:val="none" w:sz="0" w:space="0" w:color="auto"/>
        <w:bottom w:val="none" w:sz="0" w:space="0" w:color="auto"/>
        <w:right w:val="none" w:sz="0" w:space="0" w:color="auto"/>
      </w:divBdr>
    </w:div>
    <w:div w:id="179393473">
      <w:bodyDiv w:val="1"/>
      <w:marLeft w:val="0"/>
      <w:marRight w:val="0"/>
      <w:marTop w:val="0"/>
      <w:marBottom w:val="0"/>
      <w:divBdr>
        <w:top w:val="none" w:sz="0" w:space="0" w:color="auto"/>
        <w:left w:val="none" w:sz="0" w:space="0" w:color="auto"/>
        <w:bottom w:val="none" w:sz="0" w:space="0" w:color="auto"/>
        <w:right w:val="none" w:sz="0" w:space="0" w:color="auto"/>
      </w:divBdr>
    </w:div>
    <w:div w:id="179438315">
      <w:bodyDiv w:val="1"/>
      <w:marLeft w:val="0"/>
      <w:marRight w:val="0"/>
      <w:marTop w:val="0"/>
      <w:marBottom w:val="0"/>
      <w:divBdr>
        <w:top w:val="none" w:sz="0" w:space="0" w:color="auto"/>
        <w:left w:val="none" w:sz="0" w:space="0" w:color="auto"/>
        <w:bottom w:val="none" w:sz="0" w:space="0" w:color="auto"/>
        <w:right w:val="none" w:sz="0" w:space="0" w:color="auto"/>
      </w:divBdr>
    </w:div>
    <w:div w:id="179510982">
      <w:bodyDiv w:val="1"/>
      <w:marLeft w:val="0"/>
      <w:marRight w:val="0"/>
      <w:marTop w:val="0"/>
      <w:marBottom w:val="0"/>
      <w:divBdr>
        <w:top w:val="none" w:sz="0" w:space="0" w:color="auto"/>
        <w:left w:val="none" w:sz="0" w:space="0" w:color="auto"/>
        <w:bottom w:val="none" w:sz="0" w:space="0" w:color="auto"/>
        <w:right w:val="none" w:sz="0" w:space="0" w:color="auto"/>
      </w:divBdr>
    </w:div>
    <w:div w:id="179662558">
      <w:bodyDiv w:val="1"/>
      <w:marLeft w:val="0"/>
      <w:marRight w:val="0"/>
      <w:marTop w:val="0"/>
      <w:marBottom w:val="0"/>
      <w:divBdr>
        <w:top w:val="none" w:sz="0" w:space="0" w:color="auto"/>
        <w:left w:val="none" w:sz="0" w:space="0" w:color="auto"/>
        <w:bottom w:val="none" w:sz="0" w:space="0" w:color="auto"/>
        <w:right w:val="none" w:sz="0" w:space="0" w:color="auto"/>
      </w:divBdr>
    </w:div>
    <w:div w:id="179706692">
      <w:bodyDiv w:val="1"/>
      <w:marLeft w:val="0"/>
      <w:marRight w:val="0"/>
      <w:marTop w:val="0"/>
      <w:marBottom w:val="0"/>
      <w:divBdr>
        <w:top w:val="none" w:sz="0" w:space="0" w:color="auto"/>
        <w:left w:val="none" w:sz="0" w:space="0" w:color="auto"/>
        <w:bottom w:val="none" w:sz="0" w:space="0" w:color="auto"/>
        <w:right w:val="none" w:sz="0" w:space="0" w:color="auto"/>
      </w:divBdr>
    </w:div>
    <w:div w:id="179778467">
      <w:bodyDiv w:val="1"/>
      <w:marLeft w:val="0"/>
      <w:marRight w:val="0"/>
      <w:marTop w:val="0"/>
      <w:marBottom w:val="0"/>
      <w:divBdr>
        <w:top w:val="none" w:sz="0" w:space="0" w:color="auto"/>
        <w:left w:val="none" w:sz="0" w:space="0" w:color="auto"/>
        <w:bottom w:val="none" w:sz="0" w:space="0" w:color="auto"/>
        <w:right w:val="none" w:sz="0" w:space="0" w:color="auto"/>
      </w:divBdr>
    </w:div>
    <w:div w:id="179778695">
      <w:bodyDiv w:val="1"/>
      <w:marLeft w:val="0"/>
      <w:marRight w:val="0"/>
      <w:marTop w:val="0"/>
      <w:marBottom w:val="0"/>
      <w:divBdr>
        <w:top w:val="none" w:sz="0" w:space="0" w:color="auto"/>
        <w:left w:val="none" w:sz="0" w:space="0" w:color="auto"/>
        <w:bottom w:val="none" w:sz="0" w:space="0" w:color="auto"/>
        <w:right w:val="none" w:sz="0" w:space="0" w:color="auto"/>
      </w:divBdr>
    </w:div>
    <w:div w:id="179897277">
      <w:bodyDiv w:val="1"/>
      <w:marLeft w:val="0"/>
      <w:marRight w:val="0"/>
      <w:marTop w:val="0"/>
      <w:marBottom w:val="0"/>
      <w:divBdr>
        <w:top w:val="none" w:sz="0" w:space="0" w:color="auto"/>
        <w:left w:val="none" w:sz="0" w:space="0" w:color="auto"/>
        <w:bottom w:val="none" w:sz="0" w:space="0" w:color="auto"/>
        <w:right w:val="none" w:sz="0" w:space="0" w:color="auto"/>
      </w:divBdr>
    </w:div>
    <w:div w:id="179972556">
      <w:bodyDiv w:val="1"/>
      <w:marLeft w:val="0"/>
      <w:marRight w:val="0"/>
      <w:marTop w:val="0"/>
      <w:marBottom w:val="0"/>
      <w:divBdr>
        <w:top w:val="none" w:sz="0" w:space="0" w:color="auto"/>
        <w:left w:val="none" w:sz="0" w:space="0" w:color="auto"/>
        <w:bottom w:val="none" w:sz="0" w:space="0" w:color="auto"/>
        <w:right w:val="none" w:sz="0" w:space="0" w:color="auto"/>
      </w:divBdr>
    </w:div>
    <w:div w:id="180045669">
      <w:bodyDiv w:val="1"/>
      <w:marLeft w:val="0"/>
      <w:marRight w:val="0"/>
      <w:marTop w:val="0"/>
      <w:marBottom w:val="0"/>
      <w:divBdr>
        <w:top w:val="none" w:sz="0" w:space="0" w:color="auto"/>
        <w:left w:val="none" w:sz="0" w:space="0" w:color="auto"/>
        <w:bottom w:val="none" w:sz="0" w:space="0" w:color="auto"/>
        <w:right w:val="none" w:sz="0" w:space="0" w:color="auto"/>
      </w:divBdr>
    </w:div>
    <w:div w:id="180049044">
      <w:bodyDiv w:val="1"/>
      <w:marLeft w:val="0"/>
      <w:marRight w:val="0"/>
      <w:marTop w:val="0"/>
      <w:marBottom w:val="0"/>
      <w:divBdr>
        <w:top w:val="none" w:sz="0" w:space="0" w:color="auto"/>
        <w:left w:val="none" w:sz="0" w:space="0" w:color="auto"/>
        <w:bottom w:val="none" w:sz="0" w:space="0" w:color="auto"/>
        <w:right w:val="none" w:sz="0" w:space="0" w:color="auto"/>
      </w:divBdr>
    </w:div>
    <w:div w:id="180093158">
      <w:bodyDiv w:val="1"/>
      <w:marLeft w:val="0"/>
      <w:marRight w:val="0"/>
      <w:marTop w:val="0"/>
      <w:marBottom w:val="0"/>
      <w:divBdr>
        <w:top w:val="none" w:sz="0" w:space="0" w:color="auto"/>
        <w:left w:val="none" w:sz="0" w:space="0" w:color="auto"/>
        <w:bottom w:val="none" w:sz="0" w:space="0" w:color="auto"/>
        <w:right w:val="none" w:sz="0" w:space="0" w:color="auto"/>
      </w:divBdr>
    </w:div>
    <w:div w:id="180165831">
      <w:bodyDiv w:val="1"/>
      <w:marLeft w:val="0"/>
      <w:marRight w:val="0"/>
      <w:marTop w:val="0"/>
      <w:marBottom w:val="0"/>
      <w:divBdr>
        <w:top w:val="none" w:sz="0" w:space="0" w:color="auto"/>
        <w:left w:val="none" w:sz="0" w:space="0" w:color="auto"/>
        <w:bottom w:val="none" w:sz="0" w:space="0" w:color="auto"/>
        <w:right w:val="none" w:sz="0" w:space="0" w:color="auto"/>
      </w:divBdr>
    </w:div>
    <w:div w:id="180167238">
      <w:bodyDiv w:val="1"/>
      <w:marLeft w:val="0"/>
      <w:marRight w:val="0"/>
      <w:marTop w:val="0"/>
      <w:marBottom w:val="0"/>
      <w:divBdr>
        <w:top w:val="none" w:sz="0" w:space="0" w:color="auto"/>
        <w:left w:val="none" w:sz="0" w:space="0" w:color="auto"/>
        <w:bottom w:val="none" w:sz="0" w:space="0" w:color="auto"/>
        <w:right w:val="none" w:sz="0" w:space="0" w:color="auto"/>
      </w:divBdr>
    </w:div>
    <w:div w:id="180239119">
      <w:bodyDiv w:val="1"/>
      <w:marLeft w:val="0"/>
      <w:marRight w:val="0"/>
      <w:marTop w:val="0"/>
      <w:marBottom w:val="0"/>
      <w:divBdr>
        <w:top w:val="none" w:sz="0" w:space="0" w:color="auto"/>
        <w:left w:val="none" w:sz="0" w:space="0" w:color="auto"/>
        <w:bottom w:val="none" w:sz="0" w:space="0" w:color="auto"/>
        <w:right w:val="none" w:sz="0" w:space="0" w:color="auto"/>
      </w:divBdr>
    </w:div>
    <w:div w:id="180435166">
      <w:bodyDiv w:val="1"/>
      <w:marLeft w:val="0"/>
      <w:marRight w:val="0"/>
      <w:marTop w:val="0"/>
      <w:marBottom w:val="0"/>
      <w:divBdr>
        <w:top w:val="none" w:sz="0" w:space="0" w:color="auto"/>
        <w:left w:val="none" w:sz="0" w:space="0" w:color="auto"/>
        <w:bottom w:val="none" w:sz="0" w:space="0" w:color="auto"/>
        <w:right w:val="none" w:sz="0" w:space="0" w:color="auto"/>
      </w:divBdr>
    </w:div>
    <w:div w:id="180441519">
      <w:bodyDiv w:val="1"/>
      <w:marLeft w:val="0"/>
      <w:marRight w:val="0"/>
      <w:marTop w:val="0"/>
      <w:marBottom w:val="0"/>
      <w:divBdr>
        <w:top w:val="none" w:sz="0" w:space="0" w:color="auto"/>
        <w:left w:val="none" w:sz="0" w:space="0" w:color="auto"/>
        <w:bottom w:val="none" w:sz="0" w:space="0" w:color="auto"/>
        <w:right w:val="none" w:sz="0" w:space="0" w:color="auto"/>
      </w:divBdr>
    </w:div>
    <w:div w:id="180628638">
      <w:bodyDiv w:val="1"/>
      <w:marLeft w:val="0"/>
      <w:marRight w:val="0"/>
      <w:marTop w:val="0"/>
      <w:marBottom w:val="0"/>
      <w:divBdr>
        <w:top w:val="none" w:sz="0" w:space="0" w:color="auto"/>
        <w:left w:val="none" w:sz="0" w:space="0" w:color="auto"/>
        <w:bottom w:val="none" w:sz="0" w:space="0" w:color="auto"/>
        <w:right w:val="none" w:sz="0" w:space="0" w:color="auto"/>
      </w:divBdr>
    </w:div>
    <w:div w:id="180633940">
      <w:bodyDiv w:val="1"/>
      <w:marLeft w:val="0"/>
      <w:marRight w:val="0"/>
      <w:marTop w:val="0"/>
      <w:marBottom w:val="0"/>
      <w:divBdr>
        <w:top w:val="none" w:sz="0" w:space="0" w:color="auto"/>
        <w:left w:val="none" w:sz="0" w:space="0" w:color="auto"/>
        <w:bottom w:val="none" w:sz="0" w:space="0" w:color="auto"/>
        <w:right w:val="none" w:sz="0" w:space="0" w:color="auto"/>
      </w:divBdr>
    </w:div>
    <w:div w:id="180752885">
      <w:bodyDiv w:val="1"/>
      <w:marLeft w:val="0"/>
      <w:marRight w:val="0"/>
      <w:marTop w:val="0"/>
      <w:marBottom w:val="0"/>
      <w:divBdr>
        <w:top w:val="none" w:sz="0" w:space="0" w:color="auto"/>
        <w:left w:val="none" w:sz="0" w:space="0" w:color="auto"/>
        <w:bottom w:val="none" w:sz="0" w:space="0" w:color="auto"/>
        <w:right w:val="none" w:sz="0" w:space="0" w:color="auto"/>
      </w:divBdr>
    </w:div>
    <w:div w:id="180824853">
      <w:bodyDiv w:val="1"/>
      <w:marLeft w:val="0"/>
      <w:marRight w:val="0"/>
      <w:marTop w:val="0"/>
      <w:marBottom w:val="0"/>
      <w:divBdr>
        <w:top w:val="none" w:sz="0" w:space="0" w:color="auto"/>
        <w:left w:val="none" w:sz="0" w:space="0" w:color="auto"/>
        <w:bottom w:val="none" w:sz="0" w:space="0" w:color="auto"/>
        <w:right w:val="none" w:sz="0" w:space="0" w:color="auto"/>
      </w:divBdr>
    </w:div>
    <w:div w:id="180975318">
      <w:bodyDiv w:val="1"/>
      <w:marLeft w:val="0"/>
      <w:marRight w:val="0"/>
      <w:marTop w:val="0"/>
      <w:marBottom w:val="0"/>
      <w:divBdr>
        <w:top w:val="none" w:sz="0" w:space="0" w:color="auto"/>
        <w:left w:val="none" w:sz="0" w:space="0" w:color="auto"/>
        <w:bottom w:val="none" w:sz="0" w:space="0" w:color="auto"/>
        <w:right w:val="none" w:sz="0" w:space="0" w:color="auto"/>
      </w:divBdr>
    </w:div>
    <w:div w:id="181016106">
      <w:bodyDiv w:val="1"/>
      <w:marLeft w:val="0"/>
      <w:marRight w:val="0"/>
      <w:marTop w:val="0"/>
      <w:marBottom w:val="0"/>
      <w:divBdr>
        <w:top w:val="none" w:sz="0" w:space="0" w:color="auto"/>
        <w:left w:val="none" w:sz="0" w:space="0" w:color="auto"/>
        <w:bottom w:val="none" w:sz="0" w:space="0" w:color="auto"/>
        <w:right w:val="none" w:sz="0" w:space="0" w:color="auto"/>
      </w:divBdr>
    </w:div>
    <w:div w:id="181018315">
      <w:bodyDiv w:val="1"/>
      <w:marLeft w:val="0"/>
      <w:marRight w:val="0"/>
      <w:marTop w:val="0"/>
      <w:marBottom w:val="0"/>
      <w:divBdr>
        <w:top w:val="none" w:sz="0" w:space="0" w:color="auto"/>
        <w:left w:val="none" w:sz="0" w:space="0" w:color="auto"/>
        <w:bottom w:val="none" w:sz="0" w:space="0" w:color="auto"/>
        <w:right w:val="none" w:sz="0" w:space="0" w:color="auto"/>
      </w:divBdr>
    </w:div>
    <w:div w:id="181018804">
      <w:bodyDiv w:val="1"/>
      <w:marLeft w:val="0"/>
      <w:marRight w:val="0"/>
      <w:marTop w:val="0"/>
      <w:marBottom w:val="0"/>
      <w:divBdr>
        <w:top w:val="none" w:sz="0" w:space="0" w:color="auto"/>
        <w:left w:val="none" w:sz="0" w:space="0" w:color="auto"/>
        <w:bottom w:val="none" w:sz="0" w:space="0" w:color="auto"/>
        <w:right w:val="none" w:sz="0" w:space="0" w:color="auto"/>
      </w:divBdr>
    </w:div>
    <w:div w:id="181096311">
      <w:bodyDiv w:val="1"/>
      <w:marLeft w:val="0"/>
      <w:marRight w:val="0"/>
      <w:marTop w:val="0"/>
      <w:marBottom w:val="0"/>
      <w:divBdr>
        <w:top w:val="none" w:sz="0" w:space="0" w:color="auto"/>
        <w:left w:val="none" w:sz="0" w:space="0" w:color="auto"/>
        <w:bottom w:val="none" w:sz="0" w:space="0" w:color="auto"/>
        <w:right w:val="none" w:sz="0" w:space="0" w:color="auto"/>
      </w:divBdr>
    </w:div>
    <w:div w:id="181165502">
      <w:bodyDiv w:val="1"/>
      <w:marLeft w:val="0"/>
      <w:marRight w:val="0"/>
      <w:marTop w:val="0"/>
      <w:marBottom w:val="0"/>
      <w:divBdr>
        <w:top w:val="none" w:sz="0" w:space="0" w:color="auto"/>
        <w:left w:val="none" w:sz="0" w:space="0" w:color="auto"/>
        <w:bottom w:val="none" w:sz="0" w:space="0" w:color="auto"/>
        <w:right w:val="none" w:sz="0" w:space="0" w:color="auto"/>
      </w:divBdr>
    </w:div>
    <w:div w:id="181168683">
      <w:bodyDiv w:val="1"/>
      <w:marLeft w:val="0"/>
      <w:marRight w:val="0"/>
      <w:marTop w:val="0"/>
      <w:marBottom w:val="0"/>
      <w:divBdr>
        <w:top w:val="none" w:sz="0" w:space="0" w:color="auto"/>
        <w:left w:val="none" w:sz="0" w:space="0" w:color="auto"/>
        <w:bottom w:val="none" w:sz="0" w:space="0" w:color="auto"/>
        <w:right w:val="none" w:sz="0" w:space="0" w:color="auto"/>
      </w:divBdr>
    </w:div>
    <w:div w:id="181214059">
      <w:bodyDiv w:val="1"/>
      <w:marLeft w:val="0"/>
      <w:marRight w:val="0"/>
      <w:marTop w:val="0"/>
      <w:marBottom w:val="0"/>
      <w:divBdr>
        <w:top w:val="none" w:sz="0" w:space="0" w:color="auto"/>
        <w:left w:val="none" w:sz="0" w:space="0" w:color="auto"/>
        <w:bottom w:val="none" w:sz="0" w:space="0" w:color="auto"/>
        <w:right w:val="none" w:sz="0" w:space="0" w:color="auto"/>
      </w:divBdr>
    </w:div>
    <w:div w:id="181214974">
      <w:bodyDiv w:val="1"/>
      <w:marLeft w:val="0"/>
      <w:marRight w:val="0"/>
      <w:marTop w:val="0"/>
      <w:marBottom w:val="0"/>
      <w:divBdr>
        <w:top w:val="none" w:sz="0" w:space="0" w:color="auto"/>
        <w:left w:val="none" w:sz="0" w:space="0" w:color="auto"/>
        <w:bottom w:val="none" w:sz="0" w:space="0" w:color="auto"/>
        <w:right w:val="none" w:sz="0" w:space="0" w:color="auto"/>
      </w:divBdr>
    </w:div>
    <w:div w:id="181284046">
      <w:bodyDiv w:val="1"/>
      <w:marLeft w:val="0"/>
      <w:marRight w:val="0"/>
      <w:marTop w:val="0"/>
      <w:marBottom w:val="0"/>
      <w:divBdr>
        <w:top w:val="none" w:sz="0" w:space="0" w:color="auto"/>
        <w:left w:val="none" w:sz="0" w:space="0" w:color="auto"/>
        <w:bottom w:val="none" w:sz="0" w:space="0" w:color="auto"/>
        <w:right w:val="none" w:sz="0" w:space="0" w:color="auto"/>
      </w:divBdr>
    </w:div>
    <w:div w:id="181362059">
      <w:bodyDiv w:val="1"/>
      <w:marLeft w:val="0"/>
      <w:marRight w:val="0"/>
      <w:marTop w:val="0"/>
      <w:marBottom w:val="0"/>
      <w:divBdr>
        <w:top w:val="none" w:sz="0" w:space="0" w:color="auto"/>
        <w:left w:val="none" w:sz="0" w:space="0" w:color="auto"/>
        <w:bottom w:val="none" w:sz="0" w:space="0" w:color="auto"/>
        <w:right w:val="none" w:sz="0" w:space="0" w:color="auto"/>
      </w:divBdr>
    </w:div>
    <w:div w:id="181431460">
      <w:bodyDiv w:val="1"/>
      <w:marLeft w:val="0"/>
      <w:marRight w:val="0"/>
      <w:marTop w:val="0"/>
      <w:marBottom w:val="0"/>
      <w:divBdr>
        <w:top w:val="none" w:sz="0" w:space="0" w:color="auto"/>
        <w:left w:val="none" w:sz="0" w:space="0" w:color="auto"/>
        <w:bottom w:val="none" w:sz="0" w:space="0" w:color="auto"/>
        <w:right w:val="none" w:sz="0" w:space="0" w:color="auto"/>
      </w:divBdr>
    </w:div>
    <w:div w:id="181433164">
      <w:bodyDiv w:val="1"/>
      <w:marLeft w:val="0"/>
      <w:marRight w:val="0"/>
      <w:marTop w:val="0"/>
      <w:marBottom w:val="0"/>
      <w:divBdr>
        <w:top w:val="none" w:sz="0" w:space="0" w:color="auto"/>
        <w:left w:val="none" w:sz="0" w:space="0" w:color="auto"/>
        <w:bottom w:val="none" w:sz="0" w:space="0" w:color="auto"/>
        <w:right w:val="none" w:sz="0" w:space="0" w:color="auto"/>
      </w:divBdr>
    </w:div>
    <w:div w:id="181479020">
      <w:bodyDiv w:val="1"/>
      <w:marLeft w:val="0"/>
      <w:marRight w:val="0"/>
      <w:marTop w:val="0"/>
      <w:marBottom w:val="0"/>
      <w:divBdr>
        <w:top w:val="none" w:sz="0" w:space="0" w:color="auto"/>
        <w:left w:val="none" w:sz="0" w:space="0" w:color="auto"/>
        <w:bottom w:val="none" w:sz="0" w:space="0" w:color="auto"/>
        <w:right w:val="none" w:sz="0" w:space="0" w:color="auto"/>
      </w:divBdr>
    </w:div>
    <w:div w:id="181481804">
      <w:bodyDiv w:val="1"/>
      <w:marLeft w:val="0"/>
      <w:marRight w:val="0"/>
      <w:marTop w:val="0"/>
      <w:marBottom w:val="0"/>
      <w:divBdr>
        <w:top w:val="none" w:sz="0" w:space="0" w:color="auto"/>
        <w:left w:val="none" w:sz="0" w:space="0" w:color="auto"/>
        <w:bottom w:val="none" w:sz="0" w:space="0" w:color="auto"/>
        <w:right w:val="none" w:sz="0" w:space="0" w:color="auto"/>
      </w:divBdr>
    </w:div>
    <w:div w:id="181556569">
      <w:bodyDiv w:val="1"/>
      <w:marLeft w:val="0"/>
      <w:marRight w:val="0"/>
      <w:marTop w:val="0"/>
      <w:marBottom w:val="0"/>
      <w:divBdr>
        <w:top w:val="none" w:sz="0" w:space="0" w:color="auto"/>
        <w:left w:val="none" w:sz="0" w:space="0" w:color="auto"/>
        <w:bottom w:val="none" w:sz="0" w:space="0" w:color="auto"/>
        <w:right w:val="none" w:sz="0" w:space="0" w:color="auto"/>
      </w:divBdr>
    </w:div>
    <w:div w:id="181632537">
      <w:bodyDiv w:val="1"/>
      <w:marLeft w:val="0"/>
      <w:marRight w:val="0"/>
      <w:marTop w:val="0"/>
      <w:marBottom w:val="0"/>
      <w:divBdr>
        <w:top w:val="none" w:sz="0" w:space="0" w:color="auto"/>
        <w:left w:val="none" w:sz="0" w:space="0" w:color="auto"/>
        <w:bottom w:val="none" w:sz="0" w:space="0" w:color="auto"/>
        <w:right w:val="none" w:sz="0" w:space="0" w:color="auto"/>
      </w:divBdr>
    </w:div>
    <w:div w:id="181668370">
      <w:bodyDiv w:val="1"/>
      <w:marLeft w:val="0"/>
      <w:marRight w:val="0"/>
      <w:marTop w:val="0"/>
      <w:marBottom w:val="0"/>
      <w:divBdr>
        <w:top w:val="none" w:sz="0" w:space="0" w:color="auto"/>
        <w:left w:val="none" w:sz="0" w:space="0" w:color="auto"/>
        <w:bottom w:val="none" w:sz="0" w:space="0" w:color="auto"/>
        <w:right w:val="none" w:sz="0" w:space="0" w:color="auto"/>
      </w:divBdr>
    </w:div>
    <w:div w:id="181672581">
      <w:bodyDiv w:val="1"/>
      <w:marLeft w:val="0"/>
      <w:marRight w:val="0"/>
      <w:marTop w:val="0"/>
      <w:marBottom w:val="0"/>
      <w:divBdr>
        <w:top w:val="none" w:sz="0" w:space="0" w:color="auto"/>
        <w:left w:val="none" w:sz="0" w:space="0" w:color="auto"/>
        <w:bottom w:val="none" w:sz="0" w:space="0" w:color="auto"/>
        <w:right w:val="none" w:sz="0" w:space="0" w:color="auto"/>
      </w:divBdr>
    </w:div>
    <w:div w:id="181673171">
      <w:bodyDiv w:val="1"/>
      <w:marLeft w:val="0"/>
      <w:marRight w:val="0"/>
      <w:marTop w:val="0"/>
      <w:marBottom w:val="0"/>
      <w:divBdr>
        <w:top w:val="none" w:sz="0" w:space="0" w:color="auto"/>
        <w:left w:val="none" w:sz="0" w:space="0" w:color="auto"/>
        <w:bottom w:val="none" w:sz="0" w:space="0" w:color="auto"/>
        <w:right w:val="none" w:sz="0" w:space="0" w:color="auto"/>
      </w:divBdr>
    </w:div>
    <w:div w:id="181673540">
      <w:bodyDiv w:val="1"/>
      <w:marLeft w:val="0"/>
      <w:marRight w:val="0"/>
      <w:marTop w:val="0"/>
      <w:marBottom w:val="0"/>
      <w:divBdr>
        <w:top w:val="none" w:sz="0" w:space="0" w:color="auto"/>
        <w:left w:val="none" w:sz="0" w:space="0" w:color="auto"/>
        <w:bottom w:val="none" w:sz="0" w:space="0" w:color="auto"/>
        <w:right w:val="none" w:sz="0" w:space="0" w:color="auto"/>
      </w:divBdr>
    </w:div>
    <w:div w:id="181823381">
      <w:bodyDiv w:val="1"/>
      <w:marLeft w:val="0"/>
      <w:marRight w:val="0"/>
      <w:marTop w:val="0"/>
      <w:marBottom w:val="0"/>
      <w:divBdr>
        <w:top w:val="none" w:sz="0" w:space="0" w:color="auto"/>
        <w:left w:val="none" w:sz="0" w:space="0" w:color="auto"/>
        <w:bottom w:val="none" w:sz="0" w:space="0" w:color="auto"/>
        <w:right w:val="none" w:sz="0" w:space="0" w:color="auto"/>
      </w:divBdr>
    </w:div>
    <w:div w:id="181938388">
      <w:bodyDiv w:val="1"/>
      <w:marLeft w:val="0"/>
      <w:marRight w:val="0"/>
      <w:marTop w:val="0"/>
      <w:marBottom w:val="0"/>
      <w:divBdr>
        <w:top w:val="none" w:sz="0" w:space="0" w:color="auto"/>
        <w:left w:val="none" w:sz="0" w:space="0" w:color="auto"/>
        <w:bottom w:val="none" w:sz="0" w:space="0" w:color="auto"/>
        <w:right w:val="none" w:sz="0" w:space="0" w:color="auto"/>
      </w:divBdr>
    </w:div>
    <w:div w:id="182062912">
      <w:bodyDiv w:val="1"/>
      <w:marLeft w:val="0"/>
      <w:marRight w:val="0"/>
      <w:marTop w:val="0"/>
      <w:marBottom w:val="0"/>
      <w:divBdr>
        <w:top w:val="none" w:sz="0" w:space="0" w:color="auto"/>
        <w:left w:val="none" w:sz="0" w:space="0" w:color="auto"/>
        <w:bottom w:val="none" w:sz="0" w:space="0" w:color="auto"/>
        <w:right w:val="none" w:sz="0" w:space="0" w:color="auto"/>
      </w:divBdr>
    </w:div>
    <w:div w:id="182090146">
      <w:bodyDiv w:val="1"/>
      <w:marLeft w:val="0"/>
      <w:marRight w:val="0"/>
      <w:marTop w:val="0"/>
      <w:marBottom w:val="0"/>
      <w:divBdr>
        <w:top w:val="none" w:sz="0" w:space="0" w:color="auto"/>
        <w:left w:val="none" w:sz="0" w:space="0" w:color="auto"/>
        <w:bottom w:val="none" w:sz="0" w:space="0" w:color="auto"/>
        <w:right w:val="none" w:sz="0" w:space="0" w:color="auto"/>
      </w:divBdr>
    </w:div>
    <w:div w:id="182134164">
      <w:bodyDiv w:val="1"/>
      <w:marLeft w:val="0"/>
      <w:marRight w:val="0"/>
      <w:marTop w:val="0"/>
      <w:marBottom w:val="0"/>
      <w:divBdr>
        <w:top w:val="none" w:sz="0" w:space="0" w:color="auto"/>
        <w:left w:val="none" w:sz="0" w:space="0" w:color="auto"/>
        <w:bottom w:val="none" w:sz="0" w:space="0" w:color="auto"/>
        <w:right w:val="none" w:sz="0" w:space="0" w:color="auto"/>
      </w:divBdr>
    </w:div>
    <w:div w:id="182137674">
      <w:bodyDiv w:val="1"/>
      <w:marLeft w:val="0"/>
      <w:marRight w:val="0"/>
      <w:marTop w:val="0"/>
      <w:marBottom w:val="0"/>
      <w:divBdr>
        <w:top w:val="none" w:sz="0" w:space="0" w:color="auto"/>
        <w:left w:val="none" w:sz="0" w:space="0" w:color="auto"/>
        <w:bottom w:val="none" w:sz="0" w:space="0" w:color="auto"/>
        <w:right w:val="none" w:sz="0" w:space="0" w:color="auto"/>
      </w:divBdr>
    </w:div>
    <w:div w:id="182205455">
      <w:bodyDiv w:val="1"/>
      <w:marLeft w:val="0"/>
      <w:marRight w:val="0"/>
      <w:marTop w:val="0"/>
      <w:marBottom w:val="0"/>
      <w:divBdr>
        <w:top w:val="none" w:sz="0" w:space="0" w:color="auto"/>
        <w:left w:val="none" w:sz="0" w:space="0" w:color="auto"/>
        <w:bottom w:val="none" w:sz="0" w:space="0" w:color="auto"/>
        <w:right w:val="none" w:sz="0" w:space="0" w:color="auto"/>
      </w:divBdr>
    </w:div>
    <w:div w:id="182207079">
      <w:bodyDiv w:val="1"/>
      <w:marLeft w:val="0"/>
      <w:marRight w:val="0"/>
      <w:marTop w:val="0"/>
      <w:marBottom w:val="0"/>
      <w:divBdr>
        <w:top w:val="none" w:sz="0" w:space="0" w:color="auto"/>
        <w:left w:val="none" w:sz="0" w:space="0" w:color="auto"/>
        <w:bottom w:val="none" w:sz="0" w:space="0" w:color="auto"/>
        <w:right w:val="none" w:sz="0" w:space="0" w:color="auto"/>
      </w:divBdr>
    </w:div>
    <w:div w:id="182327128">
      <w:bodyDiv w:val="1"/>
      <w:marLeft w:val="0"/>
      <w:marRight w:val="0"/>
      <w:marTop w:val="0"/>
      <w:marBottom w:val="0"/>
      <w:divBdr>
        <w:top w:val="none" w:sz="0" w:space="0" w:color="auto"/>
        <w:left w:val="none" w:sz="0" w:space="0" w:color="auto"/>
        <w:bottom w:val="none" w:sz="0" w:space="0" w:color="auto"/>
        <w:right w:val="none" w:sz="0" w:space="0" w:color="auto"/>
      </w:divBdr>
    </w:div>
    <w:div w:id="182327368">
      <w:bodyDiv w:val="1"/>
      <w:marLeft w:val="0"/>
      <w:marRight w:val="0"/>
      <w:marTop w:val="0"/>
      <w:marBottom w:val="0"/>
      <w:divBdr>
        <w:top w:val="none" w:sz="0" w:space="0" w:color="auto"/>
        <w:left w:val="none" w:sz="0" w:space="0" w:color="auto"/>
        <w:bottom w:val="none" w:sz="0" w:space="0" w:color="auto"/>
        <w:right w:val="none" w:sz="0" w:space="0" w:color="auto"/>
      </w:divBdr>
    </w:div>
    <w:div w:id="182399824">
      <w:bodyDiv w:val="1"/>
      <w:marLeft w:val="0"/>
      <w:marRight w:val="0"/>
      <w:marTop w:val="0"/>
      <w:marBottom w:val="0"/>
      <w:divBdr>
        <w:top w:val="none" w:sz="0" w:space="0" w:color="auto"/>
        <w:left w:val="none" w:sz="0" w:space="0" w:color="auto"/>
        <w:bottom w:val="none" w:sz="0" w:space="0" w:color="auto"/>
        <w:right w:val="none" w:sz="0" w:space="0" w:color="auto"/>
      </w:divBdr>
    </w:div>
    <w:div w:id="182400663">
      <w:bodyDiv w:val="1"/>
      <w:marLeft w:val="0"/>
      <w:marRight w:val="0"/>
      <w:marTop w:val="0"/>
      <w:marBottom w:val="0"/>
      <w:divBdr>
        <w:top w:val="none" w:sz="0" w:space="0" w:color="auto"/>
        <w:left w:val="none" w:sz="0" w:space="0" w:color="auto"/>
        <w:bottom w:val="none" w:sz="0" w:space="0" w:color="auto"/>
        <w:right w:val="none" w:sz="0" w:space="0" w:color="auto"/>
      </w:divBdr>
    </w:div>
    <w:div w:id="182479175">
      <w:bodyDiv w:val="1"/>
      <w:marLeft w:val="0"/>
      <w:marRight w:val="0"/>
      <w:marTop w:val="0"/>
      <w:marBottom w:val="0"/>
      <w:divBdr>
        <w:top w:val="none" w:sz="0" w:space="0" w:color="auto"/>
        <w:left w:val="none" w:sz="0" w:space="0" w:color="auto"/>
        <w:bottom w:val="none" w:sz="0" w:space="0" w:color="auto"/>
        <w:right w:val="none" w:sz="0" w:space="0" w:color="auto"/>
      </w:divBdr>
    </w:div>
    <w:div w:id="182517921">
      <w:bodyDiv w:val="1"/>
      <w:marLeft w:val="0"/>
      <w:marRight w:val="0"/>
      <w:marTop w:val="0"/>
      <w:marBottom w:val="0"/>
      <w:divBdr>
        <w:top w:val="none" w:sz="0" w:space="0" w:color="auto"/>
        <w:left w:val="none" w:sz="0" w:space="0" w:color="auto"/>
        <w:bottom w:val="none" w:sz="0" w:space="0" w:color="auto"/>
        <w:right w:val="none" w:sz="0" w:space="0" w:color="auto"/>
      </w:divBdr>
    </w:div>
    <w:div w:id="182791646">
      <w:bodyDiv w:val="1"/>
      <w:marLeft w:val="0"/>
      <w:marRight w:val="0"/>
      <w:marTop w:val="0"/>
      <w:marBottom w:val="0"/>
      <w:divBdr>
        <w:top w:val="none" w:sz="0" w:space="0" w:color="auto"/>
        <w:left w:val="none" w:sz="0" w:space="0" w:color="auto"/>
        <w:bottom w:val="none" w:sz="0" w:space="0" w:color="auto"/>
        <w:right w:val="none" w:sz="0" w:space="0" w:color="auto"/>
      </w:divBdr>
    </w:div>
    <w:div w:id="182860332">
      <w:bodyDiv w:val="1"/>
      <w:marLeft w:val="0"/>
      <w:marRight w:val="0"/>
      <w:marTop w:val="0"/>
      <w:marBottom w:val="0"/>
      <w:divBdr>
        <w:top w:val="none" w:sz="0" w:space="0" w:color="auto"/>
        <w:left w:val="none" w:sz="0" w:space="0" w:color="auto"/>
        <w:bottom w:val="none" w:sz="0" w:space="0" w:color="auto"/>
        <w:right w:val="none" w:sz="0" w:space="0" w:color="auto"/>
      </w:divBdr>
    </w:div>
    <w:div w:id="182863324">
      <w:bodyDiv w:val="1"/>
      <w:marLeft w:val="0"/>
      <w:marRight w:val="0"/>
      <w:marTop w:val="0"/>
      <w:marBottom w:val="0"/>
      <w:divBdr>
        <w:top w:val="none" w:sz="0" w:space="0" w:color="auto"/>
        <w:left w:val="none" w:sz="0" w:space="0" w:color="auto"/>
        <w:bottom w:val="none" w:sz="0" w:space="0" w:color="auto"/>
        <w:right w:val="none" w:sz="0" w:space="0" w:color="auto"/>
      </w:divBdr>
    </w:div>
    <w:div w:id="183053826">
      <w:bodyDiv w:val="1"/>
      <w:marLeft w:val="0"/>
      <w:marRight w:val="0"/>
      <w:marTop w:val="0"/>
      <w:marBottom w:val="0"/>
      <w:divBdr>
        <w:top w:val="none" w:sz="0" w:space="0" w:color="auto"/>
        <w:left w:val="none" w:sz="0" w:space="0" w:color="auto"/>
        <w:bottom w:val="none" w:sz="0" w:space="0" w:color="auto"/>
        <w:right w:val="none" w:sz="0" w:space="0" w:color="auto"/>
      </w:divBdr>
    </w:div>
    <w:div w:id="183056982">
      <w:bodyDiv w:val="1"/>
      <w:marLeft w:val="0"/>
      <w:marRight w:val="0"/>
      <w:marTop w:val="0"/>
      <w:marBottom w:val="0"/>
      <w:divBdr>
        <w:top w:val="none" w:sz="0" w:space="0" w:color="auto"/>
        <w:left w:val="none" w:sz="0" w:space="0" w:color="auto"/>
        <w:bottom w:val="none" w:sz="0" w:space="0" w:color="auto"/>
        <w:right w:val="none" w:sz="0" w:space="0" w:color="auto"/>
      </w:divBdr>
    </w:div>
    <w:div w:id="183446707">
      <w:bodyDiv w:val="1"/>
      <w:marLeft w:val="0"/>
      <w:marRight w:val="0"/>
      <w:marTop w:val="0"/>
      <w:marBottom w:val="0"/>
      <w:divBdr>
        <w:top w:val="none" w:sz="0" w:space="0" w:color="auto"/>
        <w:left w:val="none" w:sz="0" w:space="0" w:color="auto"/>
        <w:bottom w:val="none" w:sz="0" w:space="0" w:color="auto"/>
        <w:right w:val="none" w:sz="0" w:space="0" w:color="auto"/>
      </w:divBdr>
    </w:div>
    <w:div w:id="183523547">
      <w:bodyDiv w:val="1"/>
      <w:marLeft w:val="0"/>
      <w:marRight w:val="0"/>
      <w:marTop w:val="0"/>
      <w:marBottom w:val="0"/>
      <w:divBdr>
        <w:top w:val="none" w:sz="0" w:space="0" w:color="auto"/>
        <w:left w:val="none" w:sz="0" w:space="0" w:color="auto"/>
        <w:bottom w:val="none" w:sz="0" w:space="0" w:color="auto"/>
        <w:right w:val="none" w:sz="0" w:space="0" w:color="auto"/>
      </w:divBdr>
    </w:div>
    <w:div w:id="183641719">
      <w:bodyDiv w:val="1"/>
      <w:marLeft w:val="0"/>
      <w:marRight w:val="0"/>
      <w:marTop w:val="0"/>
      <w:marBottom w:val="0"/>
      <w:divBdr>
        <w:top w:val="none" w:sz="0" w:space="0" w:color="auto"/>
        <w:left w:val="none" w:sz="0" w:space="0" w:color="auto"/>
        <w:bottom w:val="none" w:sz="0" w:space="0" w:color="auto"/>
        <w:right w:val="none" w:sz="0" w:space="0" w:color="auto"/>
      </w:divBdr>
    </w:div>
    <w:div w:id="183716879">
      <w:bodyDiv w:val="1"/>
      <w:marLeft w:val="0"/>
      <w:marRight w:val="0"/>
      <w:marTop w:val="0"/>
      <w:marBottom w:val="0"/>
      <w:divBdr>
        <w:top w:val="none" w:sz="0" w:space="0" w:color="auto"/>
        <w:left w:val="none" w:sz="0" w:space="0" w:color="auto"/>
        <w:bottom w:val="none" w:sz="0" w:space="0" w:color="auto"/>
        <w:right w:val="none" w:sz="0" w:space="0" w:color="auto"/>
      </w:divBdr>
    </w:div>
    <w:div w:id="183787908">
      <w:bodyDiv w:val="1"/>
      <w:marLeft w:val="0"/>
      <w:marRight w:val="0"/>
      <w:marTop w:val="0"/>
      <w:marBottom w:val="0"/>
      <w:divBdr>
        <w:top w:val="none" w:sz="0" w:space="0" w:color="auto"/>
        <w:left w:val="none" w:sz="0" w:space="0" w:color="auto"/>
        <w:bottom w:val="none" w:sz="0" w:space="0" w:color="auto"/>
        <w:right w:val="none" w:sz="0" w:space="0" w:color="auto"/>
      </w:divBdr>
    </w:div>
    <w:div w:id="183828914">
      <w:bodyDiv w:val="1"/>
      <w:marLeft w:val="0"/>
      <w:marRight w:val="0"/>
      <w:marTop w:val="0"/>
      <w:marBottom w:val="0"/>
      <w:divBdr>
        <w:top w:val="none" w:sz="0" w:space="0" w:color="auto"/>
        <w:left w:val="none" w:sz="0" w:space="0" w:color="auto"/>
        <w:bottom w:val="none" w:sz="0" w:space="0" w:color="auto"/>
        <w:right w:val="none" w:sz="0" w:space="0" w:color="auto"/>
      </w:divBdr>
    </w:div>
    <w:div w:id="183860751">
      <w:bodyDiv w:val="1"/>
      <w:marLeft w:val="0"/>
      <w:marRight w:val="0"/>
      <w:marTop w:val="0"/>
      <w:marBottom w:val="0"/>
      <w:divBdr>
        <w:top w:val="none" w:sz="0" w:space="0" w:color="auto"/>
        <w:left w:val="none" w:sz="0" w:space="0" w:color="auto"/>
        <w:bottom w:val="none" w:sz="0" w:space="0" w:color="auto"/>
        <w:right w:val="none" w:sz="0" w:space="0" w:color="auto"/>
      </w:divBdr>
    </w:div>
    <w:div w:id="183908261">
      <w:bodyDiv w:val="1"/>
      <w:marLeft w:val="0"/>
      <w:marRight w:val="0"/>
      <w:marTop w:val="0"/>
      <w:marBottom w:val="0"/>
      <w:divBdr>
        <w:top w:val="none" w:sz="0" w:space="0" w:color="auto"/>
        <w:left w:val="none" w:sz="0" w:space="0" w:color="auto"/>
        <w:bottom w:val="none" w:sz="0" w:space="0" w:color="auto"/>
        <w:right w:val="none" w:sz="0" w:space="0" w:color="auto"/>
      </w:divBdr>
    </w:div>
    <w:div w:id="184179483">
      <w:bodyDiv w:val="1"/>
      <w:marLeft w:val="0"/>
      <w:marRight w:val="0"/>
      <w:marTop w:val="0"/>
      <w:marBottom w:val="0"/>
      <w:divBdr>
        <w:top w:val="none" w:sz="0" w:space="0" w:color="auto"/>
        <w:left w:val="none" w:sz="0" w:space="0" w:color="auto"/>
        <w:bottom w:val="none" w:sz="0" w:space="0" w:color="auto"/>
        <w:right w:val="none" w:sz="0" w:space="0" w:color="auto"/>
      </w:divBdr>
    </w:div>
    <w:div w:id="184222437">
      <w:bodyDiv w:val="1"/>
      <w:marLeft w:val="0"/>
      <w:marRight w:val="0"/>
      <w:marTop w:val="0"/>
      <w:marBottom w:val="0"/>
      <w:divBdr>
        <w:top w:val="none" w:sz="0" w:space="0" w:color="auto"/>
        <w:left w:val="none" w:sz="0" w:space="0" w:color="auto"/>
        <w:bottom w:val="none" w:sz="0" w:space="0" w:color="auto"/>
        <w:right w:val="none" w:sz="0" w:space="0" w:color="auto"/>
      </w:divBdr>
    </w:div>
    <w:div w:id="184248192">
      <w:bodyDiv w:val="1"/>
      <w:marLeft w:val="0"/>
      <w:marRight w:val="0"/>
      <w:marTop w:val="0"/>
      <w:marBottom w:val="0"/>
      <w:divBdr>
        <w:top w:val="none" w:sz="0" w:space="0" w:color="auto"/>
        <w:left w:val="none" w:sz="0" w:space="0" w:color="auto"/>
        <w:bottom w:val="none" w:sz="0" w:space="0" w:color="auto"/>
        <w:right w:val="none" w:sz="0" w:space="0" w:color="auto"/>
      </w:divBdr>
    </w:div>
    <w:div w:id="184248649">
      <w:bodyDiv w:val="1"/>
      <w:marLeft w:val="0"/>
      <w:marRight w:val="0"/>
      <w:marTop w:val="0"/>
      <w:marBottom w:val="0"/>
      <w:divBdr>
        <w:top w:val="none" w:sz="0" w:space="0" w:color="auto"/>
        <w:left w:val="none" w:sz="0" w:space="0" w:color="auto"/>
        <w:bottom w:val="none" w:sz="0" w:space="0" w:color="auto"/>
        <w:right w:val="none" w:sz="0" w:space="0" w:color="auto"/>
      </w:divBdr>
    </w:div>
    <w:div w:id="184248658">
      <w:bodyDiv w:val="1"/>
      <w:marLeft w:val="0"/>
      <w:marRight w:val="0"/>
      <w:marTop w:val="0"/>
      <w:marBottom w:val="0"/>
      <w:divBdr>
        <w:top w:val="none" w:sz="0" w:space="0" w:color="auto"/>
        <w:left w:val="none" w:sz="0" w:space="0" w:color="auto"/>
        <w:bottom w:val="none" w:sz="0" w:space="0" w:color="auto"/>
        <w:right w:val="none" w:sz="0" w:space="0" w:color="auto"/>
      </w:divBdr>
    </w:div>
    <w:div w:id="184365554">
      <w:bodyDiv w:val="1"/>
      <w:marLeft w:val="0"/>
      <w:marRight w:val="0"/>
      <w:marTop w:val="0"/>
      <w:marBottom w:val="0"/>
      <w:divBdr>
        <w:top w:val="none" w:sz="0" w:space="0" w:color="auto"/>
        <w:left w:val="none" w:sz="0" w:space="0" w:color="auto"/>
        <w:bottom w:val="none" w:sz="0" w:space="0" w:color="auto"/>
        <w:right w:val="none" w:sz="0" w:space="0" w:color="auto"/>
      </w:divBdr>
    </w:div>
    <w:div w:id="184447320">
      <w:bodyDiv w:val="1"/>
      <w:marLeft w:val="0"/>
      <w:marRight w:val="0"/>
      <w:marTop w:val="0"/>
      <w:marBottom w:val="0"/>
      <w:divBdr>
        <w:top w:val="none" w:sz="0" w:space="0" w:color="auto"/>
        <w:left w:val="none" w:sz="0" w:space="0" w:color="auto"/>
        <w:bottom w:val="none" w:sz="0" w:space="0" w:color="auto"/>
        <w:right w:val="none" w:sz="0" w:space="0" w:color="auto"/>
      </w:divBdr>
    </w:div>
    <w:div w:id="184559654">
      <w:bodyDiv w:val="1"/>
      <w:marLeft w:val="0"/>
      <w:marRight w:val="0"/>
      <w:marTop w:val="0"/>
      <w:marBottom w:val="0"/>
      <w:divBdr>
        <w:top w:val="none" w:sz="0" w:space="0" w:color="auto"/>
        <w:left w:val="none" w:sz="0" w:space="0" w:color="auto"/>
        <w:bottom w:val="none" w:sz="0" w:space="0" w:color="auto"/>
        <w:right w:val="none" w:sz="0" w:space="0" w:color="auto"/>
      </w:divBdr>
    </w:div>
    <w:div w:id="184832812">
      <w:bodyDiv w:val="1"/>
      <w:marLeft w:val="0"/>
      <w:marRight w:val="0"/>
      <w:marTop w:val="0"/>
      <w:marBottom w:val="0"/>
      <w:divBdr>
        <w:top w:val="none" w:sz="0" w:space="0" w:color="auto"/>
        <w:left w:val="none" w:sz="0" w:space="0" w:color="auto"/>
        <w:bottom w:val="none" w:sz="0" w:space="0" w:color="auto"/>
        <w:right w:val="none" w:sz="0" w:space="0" w:color="auto"/>
      </w:divBdr>
    </w:div>
    <w:div w:id="184877192">
      <w:bodyDiv w:val="1"/>
      <w:marLeft w:val="0"/>
      <w:marRight w:val="0"/>
      <w:marTop w:val="0"/>
      <w:marBottom w:val="0"/>
      <w:divBdr>
        <w:top w:val="none" w:sz="0" w:space="0" w:color="auto"/>
        <w:left w:val="none" w:sz="0" w:space="0" w:color="auto"/>
        <w:bottom w:val="none" w:sz="0" w:space="0" w:color="auto"/>
        <w:right w:val="none" w:sz="0" w:space="0" w:color="auto"/>
      </w:divBdr>
    </w:div>
    <w:div w:id="184903964">
      <w:bodyDiv w:val="1"/>
      <w:marLeft w:val="0"/>
      <w:marRight w:val="0"/>
      <w:marTop w:val="0"/>
      <w:marBottom w:val="0"/>
      <w:divBdr>
        <w:top w:val="none" w:sz="0" w:space="0" w:color="auto"/>
        <w:left w:val="none" w:sz="0" w:space="0" w:color="auto"/>
        <w:bottom w:val="none" w:sz="0" w:space="0" w:color="auto"/>
        <w:right w:val="none" w:sz="0" w:space="0" w:color="auto"/>
      </w:divBdr>
    </w:div>
    <w:div w:id="184908640">
      <w:bodyDiv w:val="1"/>
      <w:marLeft w:val="0"/>
      <w:marRight w:val="0"/>
      <w:marTop w:val="0"/>
      <w:marBottom w:val="0"/>
      <w:divBdr>
        <w:top w:val="none" w:sz="0" w:space="0" w:color="auto"/>
        <w:left w:val="none" w:sz="0" w:space="0" w:color="auto"/>
        <w:bottom w:val="none" w:sz="0" w:space="0" w:color="auto"/>
        <w:right w:val="none" w:sz="0" w:space="0" w:color="auto"/>
      </w:divBdr>
    </w:div>
    <w:div w:id="185094760">
      <w:bodyDiv w:val="1"/>
      <w:marLeft w:val="0"/>
      <w:marRight w:val="0"/>
      <w:marTop w:val="0"/>
      <w:marBottom w:val="0"/>
      <w:divBdr>
        <w:top w:val="none" w:sz="0" w:space="0" w:color="auto"/>
        <w:left w:val="none" w:sz="0" w:space="0" w:color="auto"/>
        <w:bottom w:val="none" w:sz="0" w:space="0" w:color="auto"/>
        <w:right w:val="none" w:sz="0" w:space="0" w:color="auto"/>
      </w:divBdr>
    </w:div>
    <w:div w:id="185171489">
      <w:bodyDiv w:val="1"/>
      <w:marLeft w:val="0"/>
      <w:marRight w:val="0"/>
      <w:marTop w:val="0"/>
      <w:marBottom w:val="0"/>
      <w:divBdr>
        <w:top w:val="none" w:sz="0" w:space="0" w:color="auto"/>
        <w:left w:val="none" w:sz="0" w:space="0" w:color="auto"/>
        <w:bottom w:val="none" w:sz="0" w:space="0" w:color="auto"/>
        <w:right w:val="none" w:sz="0" w:space="0" w:color="auto"/>
      </w:divBdr>
    </w:div>
    <w:div w:id="185291269">
      <w:bodyDiv w:val="1"/>
      <w:marLeft w:val="0"/>
      <w:marRight w:val="0"/>
      <w:marTop w:val="0"/>
      <w:marBottom w:val="0"/>
      <w:divBdr>
        <w:top w:val="none" w:sz="0" w:space="0" w:color="auto"/>
        <w:left w:val="none" w:sz="0" w:space="0" w:color="auto"/>
        <w:bottom w:val="none" w:sz="0" w:space="0" w:color="auto"/>
        <w:right w:val="none" w:sz="0" w:space="0" w:color="auto"/>
      </w:divBdr>
    </w:div>
    <w:div w:id="185337810">
      <w:bodyDiv w:val="1"/>
      <w:marLeft w:val="0"/>
      <w:marRight w:val="0"/>
      <w:marTop w:val="0"/>
      <w:marBottom w:val="0"/>
      <w:divBdr>
        <w:top w:val="none" w:sz="0" w:space="0" w:color="auto"/>
        <w:left w:val="none" w:sz="0" w:space="0" w:color="auto"/>
        <w:bottom w:val="none" w:sz="0" w:space="0" w:color="auto"/>
        <w:right w:val="none" w:sz="0" w:space="0" w:color="auto"/>
      </w:divBdr>
    </w:div>
    <w:div w:id="185364966">
      <w:bodyDiv w:val="1"/>
      <w:marLeft w:val="0"/>
      <w:marRight w:val="0"/>
      <w:marTop w:val="0"/>
      <w:marBottom w:val="0"/>
      <w:divBdr>
        <w:top w:val="none" w:sz="0" w:space="0" w:color="auto"/>
        <w:left w:val="none" w:sz="0" w:space="0" w:color="auto"/>
        <w:bottom w:val="none" w:sz="0" w:space="0" w:color="auto"/>
        <w:right w:val="none" w:sz="0" w:space="0" w:color="auto"/>
      </w:divBdr>
    </w:div>
    <w:div w:id="185406875">
      <w:bodyDiv w:val="1"/>
      <w:marLeft w:val="0"/>
      <w:marRight w:val="0"/>
      <w:marTop w:val="0"/>
      <w:marBottom w:val="0"/>
      <w:divBdr>
        <w:top w:val="none" w:sz="0" w:space="0" w:color="auto"/>
        <w:left w:val="none" w:sz="0" w:space="0" w:color="auto"/>
        <w:bottom w:val="none" w:sz="0" w:space="0" w:color="auto"/>
        <w:right w:val="none" w:sz="0" w:space="0" w:color="auto"/>
      </w:divBdr>
    </w:div>
    <w:div w:id="185408120">
      <w:bodyDiv w:val="1"/>
      <w:marLeft w:val="0"/>
      <w:marRight w:val="0"/>
      <w:marTop w:val="0"/>
      <w:marBottom w:val="0"/>
      <w:divBdr>
        <w:top w:val="none" w:sz="0" w:space="0" w:color="auto"/>
        <w:left w:val="none" w:sz="0" w:space="0" w:color="auto"/>
        <w:bottom w:val="none" w:sz="0" w:space="0" w:color="auto"/>
        <w:right w:val="none" w:sz="0" w:space="0" w:color="auto"/>
      </w:divBdr>
    </w:div>
    <w:div w:id="185482093">
      <w:bodyDiv w:val="1"/>
      <w:marLeft w:val="0"/>
      <w:marRight w:val="0"/>
      <w:marTop w:val="0"/>
      <w:marBottom w:val="0"/>
      <w:divBdr>
        <w:top w:val="none" w:sz="0" w:space="0" w:color="auto"/>
        <w:left w:val="none" w:sz="0" w:space="0" w:color="auto"/>
        <w:bottom w:val="none" w:sz="0" w:space="0" w:color="auto"/>
        <w:right w:val="none" w:sz="0" w:space="0" w:color="auto"/>
      </w:divBdr>
    </w:div>
    <w:div w:id="185484898">
      <w:bodyDiv w:val="1"/>
      <w:marLeft w:val="0"/>
      <w:marRight w:val="0"/>
      <w:marTop w:val="0"/>
      <w:marBottom w:val="0"/>
      <w:divBdr>
        <w:top w:val="none" w:sz="0" w:space="0" w:color="auto"/>
        <w:left w:val="none" w:sz="0" w:space="0" w:color="auto"/>
        <w:bottom w:val="none" w:sz="0" w:space="0" w:color="auto"/>
        <w:right w:val="none" w:sz="0" w:space="0" w:color="auto"/>
      </w:divBdr>
    </w:div>
    <w:div w:id="185681004">
      <w:bodyDiv w:val="1"/>
      <w:marLeft w:val="0"/>
      <w:marRight w:val="0"/>
      <w:marTop w:val="0"/>
      <w:marBottom w:val="0"/>
      <w:divBdr>
        <w:top w:val="none" w:sz="0" w:space="0" w:color="auto"/>
        <w:left w:val="none" w:sz="0" w:space="0" w:color="auto"/>
        <w:bottom w:val="none" w:sz="0" w:space="0" w:color="auto"/>
        <w:right w:val="none" w:sz="0" w:space="0" w:color="auto"/>
      </w:divBdr>
    </w:div>
    <w:div w:id="185825708">
      <w:bodyDiv w:val="1"/>
      <w:marLeft w:val="0"/>
      <w:marRight w:val="0"/>
      <w:marTop w:val="0"/>
      <w:marBottom w:val="0"/>
      <w:divBdr>
        <w:top w:val="none" w:sz="0" w:space="0" w:color="auto"/>
        <w:left w:val="none" w:sz="0" w:space="0" w:color="auto"/>
        <w:bottom w:val="none" w:sz="0" w:space="0" w:color="auto"/>
        <w:right w:val="none" w:sz="0" w:space="0" w:color="auto"/>
      </w:divBdr>
    </w:div>
    <w:div w:id="185946632">
      <w:bodyDiv w:val="1"/>
      <w:marLeft w:val="0"/>
      <w:marRight w:val="0"/>
      <w:marTop w:val="0"/>
      <w:marBottom w:val="0"/>
      <w:divBdr>
        <w:top w:val="none" w:sz="0" w:space="0" w:color="auto"/>
        <w:left w:val="none" w:sz="0" w:space="0" w:color="auto"/>
        <w:bottom w:val="none" w:sz="0" w:space="0" w:color="auto"/>
        <w:right w:val="none" w:sz="0" w:space="0" w:color="auto"/>
      </w:divBdr>
    </w:div>
    <w:div w:id="186018926">
      <w:bodyDiv w:val="1"/>
      <w:marLeft w:val="0"/>
      <w:marRight w:val="0"/>
      <w:marTop w:val="0"/>
      <w:marBottom w:val="0"/>
      <w:divBdr>
        <w:top w:val="none" w:sz="0" w:space="0" w:color="auto"/>
        <w:left w:val="none" w:sz="0" w:space="0" w:color="auto"/>
        <w:bottom w:val="none" w:sz="0" w:space="0" w:color="auto"/>
        <w:right w:val="none" w:sz="0" w:space="0" w:color="auto"/>
      </w:divBdr>
    </w:div>
    <w:div w:id="186022122">
      <w:bodyDiv w:val="1"/>
      <w:marLeft w:val="0"/>
      <w:marRight w:val="0"/>
      <w:marTop w:val="0"/>
      <w:marBottom w:val="0"/>
      <w:divBdr>
        <w:top w:val="none" w:sz="0" w:space="0" w:color="auto"/>
        <w:left w:val="none" w:sz="0" w:space="0" w:color="auto"/>
        <w:bottom w:val="none" w:sz="0" w:space="0" w:color="auto"/>
        <w:right w:val="none" w:sz="0" w:space="0" w:color="auto"/>
      </w:divBdr>
    </w:div>
    <w:div w:id="186068708">
      <w:bodyDiv w:val="1"/>
      <w:marLeft w:val="0"/>
      <w:marRight w:val="0"/>
      <w:marTop w:val="0"/>
      <w:marBottom w:val="0"/>
      <w:divBdr>
        <w:top w:val="none" w:sz="0" w:space="0" w:color="auto"/>
        <w:left w:val="none" w:sz="0" w:space="0" w:color="auto"/>
        <w:bottom w:val="none" w:sz="0" w:space="0" w:color="auto"/>
        <w:right w:val="none" w:sz="0" w:space="0" w:color="auto"/>
      </w:divBdr>
    </w:div>
    <w:div w:id="186144836">
      <w:bodyDiv w:val="1"/>
      <w:marLeft w:val="0"/>
      <w:marRight w:val="0"/>
      <w:marTop w:val="0"/>
      <w:marBottom w:val="0"/>
      <w:divBdr>
        <w:top w:val="none" w:sz="0" w:space="0" w:color="auto"/>
        <w:left w:val="none" w:sz="0" w:space="0" w:color="auto"/>
        <w:bottom w:val="none" w:sz="0" w:space="0" w:color="auto"/>
        <w:right w:val="none" w:sz="0" w:space="0" w:color="auto"/>
      </w:divBdr>
    </w:div>
    <w:div w:id="186330299">
      <w:bodyDiv w:val="1"/>
      <w:marLeft w:val="0"/>
      <w:marRight w:val="0"/>
      <w:marTop w:val="0"/>
      <w:marBottom w:val="0"/>
      <w:divBdr>
        <w:top w:val="none" w:sz="0" w:space="0" w:color="auto"/>
        <w:left w:val="none" w:sz="0" w:space="0" w:color="auto"/>
        <w:bottom w:val="none" w:sz="0" w:space="0" w:color="auto"/>
        <w:right w:val="none" w:sz="0" w:space="0" w:color="auto"/>
      </w:divBdr>
    </w:div>
    <w:div w:id="186404989">
      <w:bodyDiv w:val="1"/>
      <w:marLeft w:val="0"/>
      <w:marRight w:val="0"/>
      <w:marTop w:val="0"/>
      <w:marBottom w:val="0"/>
      <w:divBdr>
        <w:top w:val="none" w:sz="0" w:space="0" w:color="auto"/>
        <w:left w:val="none" w:sz="0" w:space="0" w:color="auto"/>
        <w:bottom w:val="none" w:sz="0" w:space="0" w:color="auto"/>
        <w:right w:val="none" w:sz="0" w:space="0" w:color="auto"/>
      </w:divBdr>
    </w:div>
    <w:div w:id="186523110">
      <w:bodyDiv w:val="1"/>
      <w:marLeft w:val="0"/>
      <w:marRight w:val="0"/>
      <w:marTop w:val="0"/>
      <w:marBottom w:val="0"/>
      <w:divBdr>
        <w:top w:val="none" w:sz="0" w:space="0" w:color="auto"/>
        <w:left w:val="none" w:sz="0" w:space="0" w:color="auto"/>
        <w:bottom w:val="none" w:sz="0" w:space="0" w:color="auto"/>
        <w:right w:val="none" w:sz="0" w:space="0" w:color="auto"/>
      </w:divBdr>
    </w:div>
    <w:div w:id="186527367">
      <w:bodyDiv w:val="1"/>
      <w:marLeft w:val="0"/>
      <w:marRight w:val="0"/>
      <w:marTop w:val="0"/>
      <w:marBottom w:val="0"/>
      <w:divBdr>
        <w:top w:val="none" w:sz="0" w:space="0" w:color="auto"/>
        <w:left w:val="none" w:sz="0" w:space="0" w:color="auto"/>
        <w:bottom w:val="none" w:sz="0" w:space="0" w:color="auto"/>
        <w:right w:val="none" w:sz="0" w:space="0" w:color="auto"/>
      </w:divBdr>
    </w:div>
    <w:div w:id="186531997">
      <w:bodyDiv w:val="1"/>
      <w:marLeft w:val="0"/>
      <w:marRight w:val="0"/>
      <w:marTop w:val="0"/>
      <w:marBottom w:val="0"/>
      <w:divBdr>
        <w:top w:val="none" w:sz="0" w:space="0" w:color="auto"/>
        <w:left w:val="none" w:sz="0" w:space="0" w:color="auto"/>
        <w:bottom w:val="none" w:sz="0" w:space="0" w:color="auto"/>
        <w:right w:val="none" w:sz="0" w:space="0" w:color="auto"/>
      </w:divBdr>
    </w:div>
    <w:div w:id="186603941">
      <w:bodyDiv w:val="1"/>
      <w:marLeft w:val="0"/>
      <w:marRight w:val="0"/>
      <w:marTop w:val="0"/>
      <w:marBottom w:val="0"/>
      <w:divBdr>
        <w:top w:val="none" w:sz="0" w:space="0" w:color="auto"/>
        <w:left w:val="none" w:sz="0" w:space="0" w:color="auto"/>
        <w:bottom w:val="none" w:sz="0" w:space="0" w:color="auto"/>
        <w:right w:val="none" w:sz="0" w:space="0" w:color="auto"/>
      </w:divBdr>
    </w:div>
    <w:div w:id="186647144">
      <w:bodyDiv w:val="1"/>
      <w:marLeft w:val="0"/>
      <w:marRight w:val="0"/>
      <w:marTop w:val="0"/>
      <w:marBottom w:val="0"/>
      <w:divBdr>
        <w:top w:val="none" w:sz="0" w:space="0" w:color="auto"/>
        <w:left w:val="none" w:sz="0" w:space="0" w:color="auto"/>
        <w:bottom w:val="none" w:sz="0" w:space="0" w:color="auto"/>
        <w:right w:val="none" w:sz="0" w:space="0" w:color="auto"/>
      </w:divBdr>
    </w:div>
    <w:div w:id="187062275">
      <w:bodyDiv w:val="1"/>
      <w:marLeft w:val="0"/>
      <w:marRight w:val="0"/>
      <w:marTop w:val="0"/>
      <w:marBottom w:val="0"/>
      <w:divBdr>
        <w:top w:val="none" w:sz="0" w:space="0" w:color="auto"/>
        <w:left w:val="none" w:sz="0" w:space="0" w:color="auto"/>
        <w:bottom w:val="none" w:sz="0" w:space="0" w:color="auto"/>
        <w:right w:val="none" w:sz="0" w:space="0" w:color="auto"/>
      </w:divBdr>
    </w:div>
    <w:div w:id="187067565">
      <w:bodyDiv w:val="1"/>
      <w:marLeft w:val="0"/>
      <w:marRight w:val="0"/>
      <w:marTop w:val="0"/>
      <w:marBottom w:val="0"/>
      <w:divBdr>
        <w:top w:val="none" w:sz="0" w:space="0" w:color="auto"/>
        <w:left w:val="none" w:sz="0" w:space="0" w:color="auto"/>
        <w:bottom w:val="none" w:sz="0" w:space="0" w:color="auto"/>
        <w:right w:val="none" w:sz="0" w:space="0" w:color="auto"/>
      </w:divBdr>
    </w:div>
    <w:div w:id="187183534">
      <w:bodyDiv w:val="1"/>
      <w:marLeft w:val="0"/>
      <w:marRight w:val="0"/>
      <w:marTop w:val="0"/>
      <w:marBottom w:val="0"/>
      <w:divBdr>
        <w:top w:val="none" w:sz="0" w:space="0" w:color="auto"/>
        <w:left w:val="none" w:sz="0" w:space="0" w:color="auto"/>
        <w:bottom w:val="none" w:sz="0" w:space="0" w:color="auto"/>
        <w:right w:val="none" w:sz="0" w:space="0" w:color="auto"/>
      </w:divBdr>
    </w:div>
    <w:div w:id="187186277">
      <w:bodyDiv w:val="1"/>
      <w:marLeft w:val="0"/>
      <w:marRight w:val="0"/>
      <w:marTop w:val="0"/>
      <w:marBottom w:val="0"/>
      <w:divBdr>
        <w:top w:val="none" w:sz="0" w:space="0" w:color="auto"/>
        <w:left w:val="none" w:sz="0" w:space="0" w:color="auto"/>
        <w:bottom w:val="none" w:sz="0" w:space="0" w:color="auto"/>
        <w:right w:val="none" w:sz="0" w:space="0" w:color="auto"/>
      </w:divBdr>
    </w:div>
    <w:div w:id="187379338">
      <w:bodyDiv w:val="1"/>
      <w:marLeft w:val="0"/>
      <w:marRight w:val="0"/>
      <w:marTop w:val="0"/>
      <w:marBottom w:val="0"/>
      <w:divBdr>
        <w:top w:val="none" w:sz="0" w:space="0" w:color="auto"/>
        <w:left w:val="none" w:sz="0" w:space="0" w:color="auto"/>
        <w:bottom w:val="none" w:sz="0" w:space="0" w:color="auto"/>
        <w:right w:val="none" w:sz="0" w:space="0" w:color="auto"/>
      </w:divBdr>
    </w:div>
    <w:div w:id="187452889">
      <w:bodyDiv w:val="1"/>
      <w:marLeft w:val="0"/>
      <w:marRight w:val="0"/>
      <w:marTop w:val="0"/>
      <w:marBottom w:val="0"/>
      <w:divBdr>
        <w:top w:val="none" w:sz="0" w:space="0" w:color="auto"/>
        <w:left w:val="none" w:sz="0" w:space="0" w:color="auto"/>
        <w:bottom w:val="none" w:sz="0" w:space="0" w:color="auto"/>
        <w:right w:val="none" w:sz="0" w:space="0" w:color="auto"/>
      </w:divBdr>
    </w:div>
    <w:div w:id="187454541">
      <w:bodyDiv w:val="1"/>
      <w:marLeft w:val="0"/>
      <w:marRight w:val="0"/>
      <w:marTop w:val="0"/>
      <w:marBottom w:val="0"/>
      <w:divBdr>
        <w:top w:val="none" w:sz="0" w:space="0" w:color="auto"/>
        <w:left w:val="none" w:sz="0" w:space="0" w:color="auto"/>
        <w:bottom w:val="none" w:sz="0" w:space="0" w:color="auto"/>
        <w:right w:val="none" w:sz="0" w:space="0" w:color="auto"/>
      </w:divBdr>
    </w:div>
    <w:div w:id="187456209">
      <w:bodyDiv w:val="1"/>
      <w:marLeft w:val="0"/>
      <w:marRight w:val="0"/>
      <w:marTop w:val="0"/>
      <w:marBottom w:val="0"/>
      <w:divBdr>
        <w:top w:val="none" w:sz="0" w:space="0" w:color="auto"/>
        <w:left w:val="none" w:sz="0" w:space="0" w:color="auto"/>
        <w:bottom w:val="none" w:sz="0" w:space="0" w:color="auto"/>
        <w:right w:val="none" w:sz="0" w:space="0" w:color="auto"/>
      </w:divBdr>
    </w:div>
    <w:div w:id="187527129">
      <w:bodyDiv w:val="1"/>
      <w:marLeft w:val="0"/>
      <w:marRight w:val="0"/>
      <w:marTop w:val="0"/>
      <w:marBottom w:val="0"/>
      <w:divBdr>
        <w:top w:val="none" w:sz="0" w:space="0" w:color="auto"/>
        <w:left w:val="none" w:sz="0" w:space="0" w:color="auto"/>
        <w:bottom w:val="none" w:sz="0" w:space="0" w:color="auto"/>
        <w:right w:val="none" w:sz="0" w:space="0" w:color="auto"/>
      </w:divBdr>
    </w:div>
    <w:div w:id="187530250">
      <w:bodyDiv w:val="1"/>
      <w:marLeft w:val="0"/>
      <w:marRight w:val="0"/>
      <w:marTop w:val="0"/>
      <w:marBottom w:val="0"/>
      <w:divBdr>
        <w:top w:val="none" w:sz="0" w:space="0" w:color="auto"/>
        <w:left w:val="none" w:sz="0" w:space="0" w:color="auto"/>
        <w:bottom w:val="none" w:sz="0" w:space="0" w:color="auto"/>
        <w:right w:val="none" w:sz="0" w:space="0" w:color="auto"/>
      </w:divBdr>
    </w:div>
    <w:div w:id="187641490">
      <w:bodyDiv w:val="1"/>
      <w:marLeft w:val="0"/>
      <w:marRight w:val="0"/>
      <w:marTop w:val="0"/>
      <w:marBottom w:val="0"/>
      <w:divBdr>
        <w:top w:val="none" w:sz="0" w:space="0" w:color="auto"/>
        <w:left w:val="none" w:sz="0" w:space="0" w:color="auto"/>
        <w:bottom w:val="none" w:sz="0" w:space="0" w:color="auto"/>
        <w:right w:val="none" w:sz="0" w:space="0" w:color="auto"/>
      </w:divBdr>
    </w:div>
    <w:div w:id="187646607">
      <w:bodyDiv w:val="1"/>
      <w:marLeft w:val="0"/>
      <w:marRight w:val="0"/>
      <w:marTop w:val="0"/>
      <w:marBottom w:val="0"/>
      <w:divBdr>
        <w:top w:val="none" w:sz="0" w:space="0" w:color="auto"/>
        <w:left w:val="none" w:sz="0" w:space="0" w:color="auto"/>
        <w:bottom w:val="none" w:sz="0" w:space="0" w:color="auto"/>
        <w:right w:val="none" w:sz="0" w:space="0" w:color="auto"/>
      </w:divBdr>
    </w:div>
    <w:div w:id="187915931">
      <w:bodyDiv w:val="1"/>
      <w:marLeft w:val="0"/>
      <w:marRight w:val="0"/>
      <w:marTop w:val="0"/>
      <w:marBottom w:val="0"/>
      <w:divBdr>
        <w:top w:val="none" w:sz="0" w:space="0" w:color="auto"/>
        <w:left w:val="none" w:sz="0" w:space="0" w:color="auto"/>
        <w:bottom w:val="none" w:sz="0" w:space="0" w:color="auto"/>
        <w:right w:val="none" w:sz="0" w:space="0" w:color="auto"/>
      </w:divBdr>
    </w:div>
    <w:div w:id="187917156">
      <w:bodyDiv w:val="1"/>
      <w:marLeft w:val="0"/>
      <w:marRight w:val="0"/>
      <w:marTop w:val="0"/>
      <w:marBottom w:val="0"/>
      <w:divBdr>
        <w:top w:val="none" w:sz="0" w:space="0" w:color="auto"/>
        <w:left w:val="none" w:sz="0" w:space="0" w:color="auto"/>
        <w:bottom w:val="none" w:sz="0" w:space="0" w:color="auto"/>
        <w:right w:val="none" w:sz="0" w:space="0" w:color="auto"/>
      </w:divBdr>
    </w:div>
    <w:div w:id="187958377">
      <w:bodyDiv w:val="1"/>
      <w:marLeft w:val="0"/>
      <w:marRight w:val="0"/>
      <w:marTop w:val="0"/>
      <w:marBottom w:val="0"/>
      <w:divBdr>
        <w:top w:val="none" w:sz="0" w:space="0" w:color="auto"/>
        <w:left w:val="none" w:sz="0" w:space="0" w:color="auto"/>
        <w:bottom w:val="none" w:sz="0" w:space="0" w:color="auto"/>
        <w:right w:val="none" w:sz="0" w:space="0" w:color="auto"/>
      </w:divBdr>
    </w:div>
    <w:div w:id="187987548">
      <w:bodyDiv w:val="1"/>
      <w:marLeft w:val="0"/>
      <w:marRight w:val="0"/>
      <w:marTop w:val="0"/>
      <w:marBottom w:val="0"/>
      <w:divBdr>
        <w:top w:val="none" w:sz="0" w:space="0" w:color="auto"/>
        <w:left w:val="none" w:sz="0" w:space="0" w:color="auto"/>
        <w:bottom w:val="none" w:sz="0" w:space="0" w:color="auto"/>
        <w:right w:val="none" w:sz="0" w:space="0" w:color="auto"/>
      </w:divBdr>
    </w:div>
    <w:div w:id="188027475">
      <w:bodyDiv w:val="1"/>
      <w:marLeft w:val="0"/>
      <w:marRight w:val="0"/>
      <w:marTop w:val="0"/>
      <w:marBottom w:val="0"/>
      <w:divBdr>
        <w:top w:val="none" w:sz="0" w:space="0" w:color="auto"/>
        <w:left w:val="none" w:sz="0" w:space="0" w:color="auto"/>
        <w:bottom w:val="none" w:sz="0" w:space="0" w:color="auto"/>
        <w:right w:val="none" w:sz="0" w:space="0" w:color="auto"/>
      </w:divBdr>
    </w:div>
    <w:div w:id="188105918">
      <w:bodyDiv w:val="1"/>
      <w:marLeft w:val="0"/>
      <w:marRight w:val="0"/>
      <w:marTop w:val="0"/>
      <w:marBottom w:val="0"/>
      <w:divBdr>
        <w:top w:val="none" w:sz="0" w:space="0" w:color="auto"/>
        <w:left w:val="none" w:sz="0" w:space="0" w:color="auto"/>
        <w:bottom w:val="none" w:sz="0" w:space="0" w:color="auto"/>
        <w:right w:val="none" w:sz="0" w:space="0" w:color="auto"/>
      </w:divBdr>
    </w:div>
    <w:div w:id="188224421">
      <w:bodyDiv w:val="1"/>
      <w:marLeft w:val="0"/>
      <w:marRight w:val="0"/>
      <w:marTop w:val="0"/>
      <w:marBottom w:val="0"/>
      <w:divBdr>
        <w:top w:val="none" w:sz="0" w:space="0" w:color="auto"/>
        <w:left w:val="none" w:sz="0" w:space="0" w:color="auto"/>
        <w:bottom w:val="none" w:sz="0" w:space="0" w:color="auto"/>
        <w:right w:val="none" w:sz="0" w:space="0" w:color="auto"/>
      </w:divBdr>
    </w:div>
    <w:div w:id="188225489">
      <w:bodyDiv w:val="1"/>
      <w:marLeft w:val="0"/>
      <w:marRight w:val="0"/>
      <w:marTop w:val="0"/>
      <w:marBottom w:val="0"/>
      <w:divBdr>
        <w:top w:val="none" w:sz="0" w:space="0" w:color="auto"/>
        <w:left w:val="none" w:sz="0" w:space="0" w:color="auto"/>
        <w:bottom w:val="none" w:sz="0" w:space="0" w:color="auto"/>
        <w:right w:val="none" w:sz="0" w:space="0" w:color="auto"/>
      </w:divBdr>
    </w:div>
    <w:div w:id="188420632">
      <w:bodyDiv w:val="1"/>
      <w:marLeft w:val="0"/>
      <w:marRight w:val="0"/>
      <w:marTop w:val="0"/>
      <w:marBottom w:val="0"/>
      <w:divBdr>
        <w:top w:val="none" w:sz="0" w:space="0" w:color="auto"/>
        <w:left w:val="none" w:sz="0" w:space="0" w:color="auto"/>
        <w:bottom w:val="none" w:sz="0" w:space="0" w:color="auto"/>
        <w:right w:val="none" w:sz="0" w:space="0" w:color="auto"/>
      </w:divBdr>
    </w:div>
    <w:div w:id="188489825">
      <w:bodyDiv w:val="1"/>
      <w:marLeft w:val="0"/>
      <w:marRight w:val="0"/>
      <w:marTop w:val="0"/>
      <w:marBottom w:val="0"/>
      <w:divBdr>
        <w:top w:val="none" w:sz="0" w:space="0" w:color="auto"/>
        <w:left w:val="none" w:sz="0" w:space="0" w:color="auto"/>
        <w:bottom w:val="none" w:sz="0" w:space="0" w:color="auto"/>
        <w:right w:val="none" w:sz="0" w:space="0" w:color="auto"/>
      </w:divBdr>
    </w:div>
    <w:div w:id="188566666">
      <w:bodyDiv w:val="1"/>
      <w:marLeft w:val="0"/>
      <w:marRight w:val="0"/>
      <w:marTop w:val="0"/>
      <w:marBottom w:val="0"/>
      <w:divBdr>
        <w:top w:val="none" w:sz="0" w:space="0" w:color="auto"/>
        <w:left w:val="none" w:sz="0" w:space="0" w:color="auto"/>
        <w:bottom w:val="none" w:sz="0" w:space="0" w:color="auto"/>
        <w:right w:val="none" w:sz="0" w:space="0" w:color="auto"/>
      </w:divBdr>
    </w:div>
    <w:div w:id="188568071">
      <w:bodyDiv w:val="1"/>
      <w:marLeft w:val="0"/>
      <w:marRight w:val="0"/>
      <w:marTop w:val="0"/>
      <w:marBottom w:val="0"/>
      <w:divBdr>
        <w:top w:val="none" w:sz="0" w:space="0" w:color="auto"/>
        <w:left w:val="none" w:sz="0" w:space="0" w:color="auto"/>
        <w:bottom w:val="none" w:sz="0" w:space="0" w:color="auto"/>
        <w:right w:val="none" w:sz="0" w:space="0" w:color="auto"/>
      </w:divBdr>
    </w:div>
    <w:div w:id="188570167">
      <w:bodyDiv w:val="1"/>
      <w:marLeft w:val="0"/>
      <w:marRight w:val="0"/>
      <w:marTop w:val="0"/>
      <w:marBottom w:val="0"/>
      <w:divBdr>
        <w:top w:val="none" w:sz="0" w:space="0" w:color="auto"/>
        <w:left w:val="none" w:sz="0" w:space="0" w:color="auto"/>
        <w:bottom w:val="none" w:sz="0" w:space="0" w:color="auto"/>
        <w:right w:val="none" w:sz="0" w:space="0" w:color="auto"/>
      </w:divBdr>
    </w:div>
    <w:div w:id="188757413">
      <w:bodyDiv w:val="1"/>
      <w:marLeft w:val="0"/>
      <w:marRight w:val="0"/>
      <w:marTop w:val="0"/>
      <w:marBottom w:val="0"/>
      <w:divBdr>
        <w:top w:val="none" w:sz="0" w:space="0" w:color="auto"/>
        <w:left w:val="none" w:sz="0" w:space="0" w:color="auto"/>
        <w:bottom w:val="none" w:sz="0" w:space="0" w:color="auto"/>
        <w:right w:val="none" w:sz="0" w:space="0" w:color="auto"/>
      </w:divBdr>
    </w:div>
    <w:div w:id="188958633">
      <w:bodyDiv w:val="1"/>
      <w:marLeft w:val="0"/>
      <w:marRight w:val="0"/>
      <w:marTop w:val="0"/>
      <w:marBottom w:val="0"/>
      <w:divBdr>
        <w:top w:val="none" w:sz="0" w:space="0" w:color="auto"/>
        <w:left w:val="none" w:sz="0" w:space="0" w:color="auto"/>
        <w:bottom w:val="none" w:sz="0" w:space="0" w:color="auto"/>
        <w:right w:val="none" w:sz="0" w:space="0" w:color="auto"/>
      </w:divBdr>
    </w:div>
    <w:div w:id="189034439">
      <w:bodyDiv w:val="1"/>
      <w:marLeft w:val="0"/>
      <w:marRight w:val="0"/>
      <w:marTop w:val="0"/>
      <w:marBottom w:val="0"/>
      <w:divBdr>
        <w:top w:val="none" w:sz="0" w:space="0" w:color="auto"/>
        <w:left w:val="none" w:sz="0" w:space="0" w:color="auto"/>
        <w:bottom w:val="none" w:sz="0" w:space="0" w:color="auto"/>
        <w:right w:val="none" w:sz="0" w:space="0" w:color="auto"/>
      </w:divBdr>
    </w:div>
    <w:div w:id="189219214">
      <w:bodyDiv w:val="1"/>
      <w:marLeft w:val="0"/>
      <w:marRight w:val="0"/>
      <w:marTop w:val="0"/>
      <w:marBottom w:val="0"/>
      <w:divBdr>
        <w:top w:val="none" w:sz="0" w:space="0" w:color="auto"/>
        <w:left w:val="none" w:sz="0" w:space="0" w:color="auto"/>
        <w:bottom w:val="none" w:sz="0" w:space="0" w:color="auto"/>
        <w:right w:val="none" w:sz="0" w:space="0" w:color="auto"/>
      </w:divBdr>
    </w:div>
    <w:div w:id="189299232">
      <w:bodyDiv w:val="1"/>
      <w:marLeft w:val="0"/>
      <w:marRight w:val="0"/>
      <w:marTop w:val="0"/>
      <w:marBottom w:val="0"/>
      <w:divBdr>
        <w:top w:val="none" w:sz="0" w:space="0" w:color="auto"/>
        <w:left w:val="none" w:sz="0" w:space="0" w:color="auto"/>
        <w:bottom w:val="none" w:sz="0" w:space="0" w:color="auto"/>
        <w:right w:val="none" w:sz="0" w:space="0" w:color="auto"/>
      </w:divBdr>
    </w:div>
    <w:div w:id="189413662">
      <w:bodyDiv w:val="1"/>
      <w:marLeft w:val="0"/>
      <w:marRight w:val="0"/>
      <w:marTop w:val="0"/>
      <w:marBottom w:val="0"/>
      <w:divBdr>
        <w:top w:val="none" w:sz="0" w:space="0" w:color="auto"/>
        <w:left w:val="none" w:sz="0" w:space="0" w:color="auto"/>
        <w:bottom w:val="none" w:sz="0" w:space="0" w:color="auto"/>
        <w:right w:val="none" w:sz="0" w:space="0" w:color="auto"/>
      </w:divBdr>
    </w:div>
    <w:div w:id="189415996">
      <w:bodyDiv w:val="1"/>
      <w:marLeft w:val="0"/>
      <w:marRight w:val="0"/>
      <w:marTop w:val="0"/>
      <w:marBottom w:val="0"/>
      <w:divBdr>
        <w:top w:val="none" w:sz="0" w:space="0" w:color="auto"/>
        <w:left w:val="none" w:sz="0" w:space="0" w:color="auto"/>
        <w:bottom w:val="none" w:sz="0" w:space="0" w:color="auto"/>
        <w:right w:val="none" w:sz="0" w:space="0" w:color="auto"/>
      </w:divBdr>
    </w:div>
    <w:div w:id="189419192">
      <w:bodyDiv w:val="1"/>
      <w:marLeft w:val="0"/>
      <w:marRight w:val="0"/>
      <w:marTop w:val="0"/>
      <w:marBottom w:val="0"/>
      <w:divBdr>
        <w:top w:val="none" w:sz="0" w:space="0" w:color="auto"/>
        <w:left w:val="none" w:sz="0" w:space="0" w:color="auto"/>
        <w:bottom w:val="none" w:sz="0" w:space="0" w:color="auto"/>
        <w:right w:val="none" w:sz="0" w:space="0" w:color="auto"/>
      </w:divBdr>
    </w:div>
    <w:div w:id="189420691">
      <w:bodyDiv w:val="1"/>
      <w:marLeft w:val="0"/>
      <w:marRight w:val="0"/>
      <w:marTop w:val="0"/>
      <w:marBottom w:val="0"/>
      <w:divBdr>
        <w:top w:val="none" w:sz="0" w:space="0" w:color="auto"/>
        <w:left w:val="none" w:sz="0" w:space="0" w:color="auto"/>
        <w:bottom w:val="none" w:sz="0" w:space="0" w:color="auto"/>
        <w:right w:val="none" w:sz="0" w:space="0" w:color="auto"/>
      </w:divBdr>
    </w:div>
    <w:div w:id="189491571">
      <w:bodyDiv w:val="1"/>
      <w:marLeft w:val="0"/>
      <w:marRight w:val="0"/>
      <w:marTop w:val="0"/>
      <w:marBottom w:val="0"/>
      <w:divBdr>
        <w:top w:val="none" w:sz="0" w:space="0" w:color="auto"/>
        <w:left w:val="none" w:sz="0" w:space="0" w:color="auto"/>
        <w:bottom w:val="none" w:sz="0" w:space="0" w:color="auto"/>
        <w:right w:val="none" w:sz="0" w:space="0" w:color="auto"/>
      </w:divBdr>
    </w:div>
    <w:div w:id="189539392">
      <w:bodyDiv w:val="1"/>
      <w:marLeft w:val="0"/>
      <w:marRight w:val="0"/>
      <w:marTop w:val="0"/>
      <w:marBottom w:val="0"/>
      <w:divBdr>
        <w:top w:val="none" w:sz="0" w:space="0" w:color="auto"/>
        <w:left w:val="none" w:sz="0" w:space="0" w:color="auto"/>
        <w:bottom w:val="none" w:sz="0" w:space="0" w:color="auto"/>
        <w:right w:val="none" w:sz="0" w:space="0" w:color="auto"/>
      </w:divBdr>
    </w:div>
    <w:div w:id="189606307">
      <w:bodyDiv w:val="1"/>
      <w:marLeft w:val="0"/>
      <w:marRight w:val="0"/>
      <w:marTop w:val="0"/>
      <w:marBottom w:val="0"/>
      <w:divBdr>
        <w:top w:val="none" w:sz="0" w:space="0" w:color="auto"/>
        <w:left w:val="none" w:sz="0" w:space="0" w:color="auto"/>
        <w:bottom w:val="none" w:sz="0" w:space="0" w:color="auto"/>
        <w:right w:val="none" w:sz="0" w:space="0" w:color="auto"/>
      </w:divBdr>
    </w:div>
    <w:div w:id="189611922">
      <w:bodyDiv w:val="1"/>
      <w:marLeft w:val="0"/>
      <w:marRight w:val="0"/>
      <w:marTop w:val="0"/>
      <w:marBottom w:val="0"/>
      <w:divBdr>
        <w:top w:val="none" w:sz="0" w:space="0" w:color="auto"/>
        <w:left w:val="none" w:sz="0" w:space="0" w:color="auto"/>
        <w:bottom w:val="none" w:sz="0" w:space="0" w:color="auto"/>
        <w:right w:val="none" w:sz="0" w:space="0" w:color="auto"/>
      </w:divBdr>
    </w:div>
    <w:div w:id="189758750">
      <w:bodyDiv w:val="1"/>
      <w:marLeft w:val="0"/>
      <w:marRight w:val="0"/>
      <w:marTop w:val="0"/>
      <w:marBottom w:val="0"/>
      <w:divBdr>
        <w:top w:val="none" w:sz="0" w:space="0" w:color="auto"/>
        <w:left w:val="none" w:sz="0" w:space="0" w:color="auto"/>
        <w:bottom w:val="none" w:sz="0" w:space="0" w:color="auto"/>
        <w:right w:val="none" w:sz="0" w:space="0" w:color="auto"/>
      </w:divBdr>
    </w:div>
    <w:div w:id="189806483">
      <w:bodyDiv w:val="1"/>
      <w:marLeft w:val="0"/>
      <w:marRight w:val="0"/>
      <w:marTop w:val="0"/>
      <w:marBottom w:val="0"/>
      <w:divBdr>
        <w:top w:val="none" w:sz="0" w:space="0" w:color="auto"/>
        <w:left w:val="none" w:sz="0" w:space="0" w:color="auto"/>
        <w:bottom w:val="none" w:sz="0" w:space="0" w:color="auto"/>
        <w:right w:val="none" w:sz="0" w:space="0" w:color="auto"/>
      </w:divBdr>
    </w:div>
    <w:div w:id="189993309">
      <w:bodyDiv w:val="1"/>
      <w:marLeft w:val="0"/>
      <w:marRight w:val="0"/>
      <w:marTop w:val="0"/>
      <w:marBottom w:val="0"/>
      <w:divBdr>
        <w:top w:val="none" w:sz="0" w:space="0" w:color="auto"/>
        <w:left w:val="none" w:sz="0" w:space="0" w:color="auto"/>
        <w:bottom w:val="none" w:sz="0" w:space="0" w:color="auto"/>
        <w:right w:val="none" w:sz="0" w:space="0" w:color="auto"/>
      </w:divBdr>
    </w:div>
    <w:div w:id="189997973">
      <w:bodyDiv w:val="1"/>
      <w:marLeft w:val="0"/>
      <w:marRight w:val="0"/>
      <w:marTop w:val="0"/>
      <w:marBottom w:val="0"/>
      <w:divBdr>
        <w:top w:val="none" w:sz="0" w:space="0" w:color="auto"/>
        <w:left w:val="none" w:sz="0" w:space="0" w:color="auto"/>
        <w:bottom w:val="none" w:sz="0" w:space="0" w:color="auto"/>
        <w:right w:val="none" w:sz="0" w:space="0" w:color="auto"/>
      </w:divBdr>
    </w:div>
    <w:div w:id="189999796">
      <w:bodyDiv w:val="1"/>
      <w:marLeft w:val="0"/>
      <w:marRight w:val="0"/>
      <w:marTop w:val="0"/>
      <w:marBottom w:val="0"/>
      <w:divBdr>
        <w:top w:val="none" w:sz="0" w:space="0" w:color="auto"/>
        <w:left w:val="none" w:sz="0" w:space="0" w:color="auto"/>
        <w:bottom w:val="none" w:sz="0" w:space="0" w:color="auto"/>
        <w:right w:val="none" w:sz="0" w:space="0" w:color="auto"/>
      </w:divBdr>
    </w:div>
    <w:div w:id="190068005">
      <w:bodyDiv w:val="1"/>
      <w:marLeft w:val="0"/>
      <w:marRight w:val="0"/>
      <w:marTop w:val="0"/>
      <w:marBottom w:val="0"/>
      <w:divBdr>
        <w:top w:val="none" w:sz="0" w:space="0" w:color="auto"/>
        <w:left w:val="none" w:sz="0" w:space="0" w:color="auto"/>
        <w:bottom w:val="none" w:sz="0" w:space="0" w:color="auto"/>
        <w:right w:val="none" w:sz="0" w:space="0" w:color="auto"/>
      </w:divBdr>
    </w:div>
    <w:div w:id="190073327">
      <w:bodyDiv w:val="1"/>
      <w:marLeft w:val="0"/>
      <w:marRight w:val="0"/>
      <w:marTop w:val="0"/>
      <w:marBottom w:val="0"/>
      <w:divBdr>
        <w:top w:val="none" w:sz="0" w:space="0" w:color="auto"/>
        <w:left w:val="none" w:sz="0" w:space="0" w:color="auto"/>
        <w:bottom w:val="none" w:sz="0" w:space="0" w:color="auto"/>
        <w:right w:val="none" w:sz="0" w:space="0" w:color="auto"/>
      </w:divBdr>
    </w:div>
    <w:div w:id="190145602">
      <w:bodyDiv w:val="1"/>
      <w:marLeft w:val="0"/>
      <w:marRight w:val="0"/>
      <w:marTop w:val="0"/>
      <w:marBottom w:val="0"/>
      <w:divBdr>
        <w:top w:val="none" w:sz="0" w:space="0" w:color="auto"/>
        <w:left w:val="none" w:sz="0" w:space="0" w:color="auto"/>
        <w:bottom w:val="none" w:sz="0" w:space="0" w:color="auto"/>
        <w:right w:val="none" w:sz="0" w:space="0" w:color="auto"/>
      </w:divBdr>
    </w:div>
    <w:div w:id="190191206">
      <w:bodyDiv w:val="1"/>
      <w:marLeft w:val="0"/>
      <w:marRight w:val="0"/>
      <w:marTop w:val="0"/>
      <w:marBottom w:val="0"/>
      <w:divBdr>
        <w:top w:val="none" w:sz="0" w:space="0" w:color="auto"/>
        <w:left w:val="none" w:sz="0" w:space="0" w:color="auto"/>
        <w:bottom w:val="none" w:sz="0" w:space="0" w:color="auto"/>
        <w:right w:val="none" w:sz="0" w:space="0" w:color="auto"/>
      </w:divBdr>
    </w:div>
    <w:div w:id="190193391">
      <w:bodyDiv w:val="1"/>
      <w:marLeft w:val="0"/>
      <w:marRight w:val="0"/>
      <w:marTop w:val="0"/>
      <w:marBottom w:val="0"/>
      <w:divBdr>
        <w:top w:val="none" w:sz="0" w:space="0" w:color="auto"/>
        <w:left w:val="none" w:sz="0" w:space="0" w:color="auto"/>
        <w:bottom w:val="none" w:sz="0" w:space="0" w:color="auto"/>
        <w:right w:val="none" w:sz="0" w:space="0" w:color="auto"/>
      </w:divBdr>
    </w:div>
    <w:div w:id="190195451">
      <w:bodyDiv w:val="1"/>
      <w:marLeft w:val="0"/>
      <w:marRight w:val="0"/>
      <w:marTop w:val="0"/>
      <w:marBottom w:val="0"/>
      <w:divBdr>
        <w:top w:val="none" w:sz="0" w:space="0" w:color="auto"/>
        <w:left w:val="none" w:sz="0" w:space="0" w:color="auto"/>
        <w:bottom w:val="none" w:sz="0" w:space="0" w:color="auto"/>
        <w:right w:val="none" w:sz="0" w:space="0" w:color="auto"/>
      </w:divBdr>
    </w:div>
    <w:div w:id="190269390">
      <w:bodyDiv w:val="1"/>
      <w:marLeft w:val="0"/>
      <w:marRight w:val="0"/>
      <w:marTop w:val="0"/>
      <w:marBottom w:val="0"/>
      <w:divBdr>
        <w:top w:val="none" w:sz="0" w:space="0" w:color="auto"/>
        <w:left w:val="none" w:sz="0" w:space="0" w:color="auto"/>
        <w:bottom w:val="none" w:sz="0" w:space="0" w:color="auto"/>
        <w:right w:val="none" w:sz="0" w:space="0" w:color="auto"/>
      </w:divBdr>
    </w:div>
    <w:div w:id="190338387">
      <w:bodyDiv w:val="1"/>
      <w:marLeft w:val="0"/>
      <w:marRight w:val="0"/>
      <w:marTop w:val="0"/>
      <w:marBottom w:val="0"/>
      <w:divBdr>
        <w:top w:val="none" w:sz="0" w:space="0" w:color="auto"/>
        <w:left w:val="none" w:sz="0" w:space="0" w:color="auto"/>
        <w:bottom w:val="none" w:sz="0" w:space="0" w:color="auto"/>
        <w:right w:val="none" w:sz="0" w:space="0" w:color="auto"/>
      </w:divBdr>
    </w:div>
    <w:div w:id="190343323">
      <w:bodyDiv w:val="1"/>
      <w:marLeft w:val="0"/>
      <w:marRight w:val="0"/>
      <w:marTop w:val="0"/>
      <w:marBottom w:val="0"/>
      <w:divBdr>
        <w:top w:val="none" w:sz="0" w:space="0" w:color="auto"/>
        <w:left w:val="none" w:sz="0" w:space="0" w:color="auto"/>
        <w:bottom w:val="none" w:sz="0" w:space="0" w:color="auto"/>
        <w:right w:val="none" w:sz="0" w:space="0" w:color="auto"/>
      </w:divBdr>
    </w:div>
    <w:div w:id="190344333">
      <w:bodyDiv w:val="1"/>
      <w:marLeft w:val="0"/>
      <w:marRight w:val="0"/>
      <w:marTop w:val="0"/>
      <w:marBottom w:val="0"/>
      <w:divBdr>
        <w:top w:val="none" w:sz="0" w:space="0" w:color="auto"/>
        <w:left w:val="none" w:sz="0" w:space="0" w:color="auto"/>
        <w:bottom w:val="none" w:sz="0" w:space="0" w:color="auto"/>
        <w:right w:val="none" w:sz="0" w:space="0" w:color="auto"/>
      </w:divBdr>
    </w:div>
    <w:div w:id="190345490">
      <w:bodyDiv w:val="1"/>
      <w:marLeft w:val="0"/>
      <w:marRight w:val="0"/>
      <w:marTop w:val="0"/>
      <w:marBottom w:val="0"/>
      <w:divBdr>
        <w:top w:val="none" w:sz="0" w:space="0" w:color="auto"/>
        <w:left w:val="none" w:sz="0" w:space="0" w:color="auto"/>
        <w:bottom w:val="none" w:sz="0" w:space="0" w:color="auto"/>
        <w:right w:val="none" w:sz="0" w:space="0" w:color="auto"/>
      </w:divBdr>
    </w:div>
    <w:div w:id="190412489">
      <w:bodyDiv w:val="1"/>
      <w:marLeft w:val="0"/>
      <w:marRight w:val="0"/>
      <w:marTop w:val="0"/>
      <w:marBottom w:val="0"/>
      <w:divBdr>
        <w:top w:val="none" w:sz="0" w:space="0" w:color="auto"/>
        <w:left w:val="none" w:sz="0" w:space="0" w:color="auto"/>
        <w:bottom w:val="none" w:sz="0" w:space="0" w:color="auto"/>
        <w:right w:val="none" w:sz="0" w:space="0" w:color="auto"/>
      </w:divBdr>
    </w:div>
    <w:div w:id="190454570">
      <w:bodyDiv w:val="1"/>
      <w:marLeft w:val="0"/>
      <w:marRight w:val="0"/>
      <w:marTop w:val="0"/>
      <w:marBottom w:val="0"/>
      <w:divBdr>
        <w:top w:val="none" w:sz="0" w:space="0" w:color="auto"/>
        <w:left w:val="none" w:sz="0" w:space="0" w:color="auto"/>
        <w:bottom w:val="none" w:sz="0" w:space="0" w:color="auto"/>
        <w:right w:val="none" w:sz="0" w:space="0" w:color="auto"/>
      </w:divBdr>
    </w:div>
    <w:div w:id="190457902">
      <w:bodyDiv w:val="1"/>
      <w:marLeft w:val="0"/>
      <w:marRight w:val="0"/>
      <w:marTop w:val="0"/>
      <w:marBottom w:val="0"/>
      <w:divBdr>
        <w:top w:val="none" w:sz="0" w:space="0" w:color="auto"/>
        <w:left w:val="none" w:sz="0" w:space="0" w:color="auto"/>
        <w:bottom w:val="none" w:sz="0" w:space="0" w:color="auto"/>
        <w:right w:val="none" w:sz="0" w:space="0" w:color="auto"/>
      </w:divBdr>
    </w:div>
    <w:div w:id="190459102">
      <w:bodyDiv w:val="1"/>
      <w:marLeft w:val="0"/>
      <w:marRight w:val="0"/>
      <w:marTop w:val="0"/>
      <w:marBottom w:val="0"/>
      <w:divBdr>
        <w:top w:val="none" w:sz="0" w:space="0" w:color="auto"/>
        <w:left w:val="none" w:sz="0" w:space="0" w:color="auto"/>
        <w:bottom w:val="none" w:sz="0" w:space="0" w:color="auto"/>
        <w:right w:val="none" w:sz="0" w:space="0" w:color="auto"/>
      </w:divBdr>
    </w:div>
    <w:div w:id="190539190">
      <w:bodyDiv w:val="1"/>
      <w:marLeft w:val="0"/>
      <w:marRight w:val="0"/>
      <w:marTop w:val="0"/>
      <w:marBottom w:val="0"/>
      <w:divBdr>
        <w:top w:val="none" w:sz="0" w:space="0" w:color="auto"/>
        <w:left w:val="none" w:sz="0" w:space="0" w:color="auto"/>
        <w:bottom w:val="none" w:sz="0" w:space="0" w:color="auto"/>
        <w:right w:val="none" w:sz="0" w:space="0" w:color="auto"/>
      </w:divBdr>
    </w:div>
    <w:div w:id="190580183">
      <w:bodyDiv w:val="1"/>
      <w:marLeft w:val="0"/>
      <w:marRight w:val="0"/>
      <w:marTop w:val="0"/>
      <w:marBottom w:val="0"/>
      <w:divBdr>
        <w:top w:val="none" w:sz="0" w:space="0" w:color="auto"/>
        <w:left w:val="none" w:sz="0" w:space="0" w:color="auto"/>
        <w:bottom w:val="none" w:sz="0" w:space="0" w:color="auto"/>
        <w:right w:val="none" w:sz="0" w:space="0" w:color="auto"/>
      </w:divBdr>
    </w:div>
    <w:div w:id="190607585">
      <w:bodyDiv w:val="1"/>
      <w:marLeft w:val="0"/>
      <w:marRight w:val="0"/>
      <w:marTop w:val="0"/>
      <w:marBottom w:val="0"/>
      <w:divBdr>
        <w:top w:val="none" w:sz="0" w:space="0" w:color="auto"/>
        <w:left w:val="none" w:sz="0" w:space="0" w:color="auto"/>
        <w:bottom w:val="none" w:sz="0" w:space="0" w:color="auto"/>
        <w:right w:val="none" w:sz="0" w:space="0" w:color="auto"/>
      </w:divBdr>
    </w:div>
    <w:div w:id="190804955">
      <w:bodyDiv w:val="1"/>
      <w:marLeft w:val="0"/>
      <w:marRight w:val="0"/>
      <w:marTop w:val="0"/>
      <w:marBottom w:val="0"/>
      <w:divBdr>
        <w:top w:val="none" w:sz="0" w:space="0" w:color="auto"/>
        <w:left w:val="none" w:sz="0" w:space="0" w:color="auto"/>
        <w:bottom w:val="none" w:sz="0" w:space="0" w:color="auto"/>
        <w:right w:val="none" w:sz="0" w:space="0" w:color="auto"/>
      </w:divBdr>
    </w:div>
    <w:div w:id="190842491">
      <w:bodyDiv w:val="1"/>
      <w:marLeft w:val="0"/>
      <w:marRight w:val="0"/>
      <w:marTop w:val="0"/>
      <w:marBottom w:val="0"/>
      <w:divBdr>
        <w:top w:val="none" w:sz="0" w:space="0" w:color="auto"/>
        <w:left w:val="none" w:sz="0" w:space="0" w:color="auto"/>
        <w:bottom w:val="none" w:sz="0" w:space="0" w:color="auto"/>
        <w:right w:val="none" w:sz="0" w:space="0" w:color="auto"/>
      </w:divBdr>
    </w:div>
    <w:div w:id="190849292">
      <w:bodyDiv w:val="1"/>
      <w:marLeft w:val="0"/>
      <w:marRight w:val="0"/>
      <w:marTop w:val="0"/>
      <w:marBottom w:val="0"/>
      <w:divBdr>
        <w:top w:val="none" w:sz="0" w:space="0" w:color="auto"/>
        <w:left w:val="none" w:sz="0" w:space="0" w:color="auto"/>
        <w:bottom w:val="none" w:sz="0" w:space="0" w:color="auto"/>
        <w:right w:val="none" w:sz="0" w:space="0" w:color="auto"/>
      </w:divBdr>
    </w:div>
    <w:div w:id="190996118">
      <w:bodyDiv w:val="1"/>
      <w:marLeft w:val="0"/>
      <w:marRight w:val="0"/>
      <w:marTop w:val="0"/>
      <w:marBottom w:val="0"/>
      <w:divBdr>
        <w:top w:val="none" w:sz="0" w:space="0" w:color="auto"/>
        <w:left w:val="none" w:sz="0" w:space="0" w:color="auto"/>
        <w:bottom w:val="none" w:sz="0" w:space="0" w:color="auto"/>
        <w:right w:val="none" w:sz="0" w:space="0" w:color="auto"/>
      </w:divBdr>
    </w:div>
    <w:div w:id="191111743">
      <w:bodyDiv w:val="1"/>
      <w:marLeft w:val="0"/>
      <w:marRight w:val="0"/>
      <w:marTop w:val="0"/>
      <w:marBottom w:val="0"/>
      <w:divBdr>
        <w:top w:val="none" w:sz="0" w:space="0" w:color="auto"/>
        <w:left w:val="none" w:sz="0" w:space="0" w:color="auto"/>
        <w:bottom w:val="none" w:sz="0" w:space="0" w:color="auto"/>
        <w:right w:val="none" w:sz="0" w:space="0" w:color="auto"/>
      </w:divBdr>
    </w:div>
    <w:div w:id="191265311">
      <w:bodyDiv w:val="1"/>
      <w:marLeft w:val="0"/>
      <w:marRight w:val="0"/>
      <w:marTop w:val="0"/>
      <w:marBottom w:val="0"/>
      <w:divBdr>
        <w:top w:val="none" w:sz="0" w:space="0" w:color="auto"/>
        <w:left w:val="none" w:sz="0" w:space="0" w:color="auto"/>
        <w:bottom w:val="none" w:sz="0" w:space="0" w:color="auto"/>
        <w:right w:val="none" w:sz="0" w:space="0" w:color="auto"/>
      </w:divBdr>
    </w:div>
    <w:div w:id="191305448">
      <w:bodyDiv w:val="1"/>
      <w:marLeft w:val="0"/>
      <w:marRight w:val="0"/>
      <w:marTop w:val="0"/>
      <w:marBottom w:val="0"/>
      <w:divBdr>
        <w:top w:val="none" w:sz="0" w:space="0" w:color="auto"/>
        <w:left w:val="none" w:sz="0" w:space="0" w:color="auto"/>
        <w:bottom w:val="none" w:sz="0" w:space="0" w:color="auto"/>
        <w:right w:val="none" w:sz="0" w:space="0" w:color="auto"/>
      </w:divBdr>
    </w:div>
    <w:div w:id="191309777">
      <w:bodyDiv w:val="1"/>
      <w:marLeft w:val="0"/>
      <w:marRight w:val="0"/>
      <w:marTop w:val="0"/>
      <w:marBottom w:val="0"/>
      <w:divBdr>
        <w:top w:val="none" w:sz="0" w:space="0" w:color="auto"/>
        <w:left w:val="none" w:sz="0" w:space="0" w:color="auto"/>
        <w:bottom w:val="none" w:sz="0" w:space="0" w:color="auto"/>
        <w:right w:val="none" w:sz="0" w:space="0" w:color="auto"/>
      </w:divBdr>
    </w:div>
    <w:div w:id="191385663">
      <w:bodyDiv w:val="1"/>
      <w:marLeft w:val="0"/>
      <w:marRight w:val="0"/>
      <w:marTop w:val="0"/>
      <w:marBottom w:val="0"/>
      <w:divBdr>
        <w:top w:val="none" w:sz="0" w:space="0" w:color="auto"/>
        <w:left w:val="none" w:sz="0" w:space="0" w:color="auto"/>
        <w:bottom w:val="none" w:sz="0" w:space="0" w:color="auto"/>
        <w:right w:val="none" w:sz="0" w:space="0" w:color="auto"/>
      </w:divBdr>
    </w:div>
    <w:div w:id="191456366">
      <w:bodyDiv w:val="1"/>
      <w:marLeft w:val="0"/>
      <w:marRight w:val="0"/>
      <w:marTop w:val="0"/>
      <w:marBottom w:val="0"/>
      <w:divBdr>
        <w:top w:val="none" w:sz="0" w:space="0" w:color="auto"/>
        <w:left w:val="none" w:sz="0" w:space="0" w:color="auto"/>
        <w:bottom w:val="none" w:sz="0" w:space="0" w:color="auto"/>
        <w:right w:val="none" w:sz="0" w:space="0" w:color="auto"/>
      </w:divBdr>
    </w:div>
    <w:div w:id="191575821">
      <w:bodyDiv w:val="1"/>
      <w:marLeft w:val="0"/>
      <w:marRight w:val="0"/>
      <w:marTop w:val="0"/>
      <w:marBottom w:val="0"/>
      <w:divBdr>
        <w:top w:val="none" w:sz="0" w:space="0" w:color="auto"/>
        <w:left w:val="none" w:sz="0" w:space="0" w:color="auto"/>
        <w:bottom w:val="none" w:sz="0" w:space="0" w:color="auto"/>
        <w:right w:val="none" w:sz="0" w:space="0" w:color="auto"/>
      </w:divBdr>
    </w:div>
    <w:div w:id="191652106">
      <w:bodyDiv w:val="1"/>
      <w:marLeft w:val="0"/>
      <w:marRight w:val="0"/>
      <w:marTop w:val="0"/>
      <w:marBottom w:val="0"/>
      <w:divBdr>
        <w:top w:val="none" w:sz="0" w:space="0" w:color="auto"/>
        <w:left w:val="none" w:sz="0" w:space="0" w:color="auto"/>
        <w:bottom w:val="none" w:sz="0" w:space="0" w:color="auto"/>
        <w:right w:val="none" w:sz="0" w:space="0" w:color="auto"/>
      </w:divBdr>
    </w:div>
    <w:div w:id="191652487">
      <w:bodyDiv w:val="1"/>
      <w:marLeft w:val="0"/>
      <w:marRight w:val="0"/>
      <w:marTop w:val="0"/>
      <w:marBottom w:val="0"/>
      <w:divBdr>
        <w:top w:val="none" w:sz="0" w:space="0" w:color="auto"/>
        <w:left w:val="none" w:sz="0" w:space="0" w:color="auto"/>
        <w:bottom w:val="none" w:sz="0" w:space="0" w:color="auto"/>
        <w:right w:val="none" w:sz="0" w:space="0" w:color="auto"/>
      </w:divBdr>
    </w:div>
    <w:div w:id="191771463">
      <w:bodyDiv w:val="1"/>
      <w:marLeft w:val="0"/>
      <w:marRight w:val="0"/>
      <w:marTop w:val="0"/>
      <w:marBottom w:val="0"/>
      <w:divBdr>
        <w:top w:val="none" w:sz="0" w:space="0" w:color="auto"/>
        <w:left w:val="none" w:sz="0" w:space="0" w:color="auto"/>
        <w:bottom w:val="none" w:sz="0" w:space="0" w:color="auto"/>
        <w:right w:val="none" w:sz="0" w:space="0" w:color="auto"/>
      </w:divBdr>
    </w:div>
    <w:div w:id="191842878">
      <w:bodyDiv w:val="1"/>
      <w:marLeft w:val="0"/>
      <w:marRight w:val="0"/>
      <w:marTop w:val="0"/>
      <w:marBottom w:val="0"/>
      <w:divBdr>
        <w:top w:val="none" w:sz="0" w:space="0" w:color="auto"/>
        <w:left w:val="none" w:sz="0" w:space="0" w:color="auto"/>
        <w:bottom w:val="none" w:sz="0" w:space="0" w:color="auto"/>
        <w:right w:val="none" w:sz="0" w:space="0" w:color="auto"/>
      </w:divBdr>
    </w:div>
    <w:div w:id="192109869">
      <w:bodyDiv w:val="1"/>
      <w:marLeft w:val="0"/>
      <w:marRight w:val="0"/>
      <w:marTop w:val="0"/>
      <w:marBottom w:val="0"/>
      <w:divBdr>
        <w:top w:val="none" w:sz="0" w:space="0" w:color="auto"/>
        <w:left w:val="none" w:sz="0" w:space="0" w:color="auto"/>
        <w:bottom w:val="none" w:sz="0" w:space="0" w:color="auto"/>
        <w:right w:val="none" w:sz="0" w:space="0" w:color="auto"/>
      </w:divBdr>
    </w:div>
    <w:div w:id="192152853">
      <w:bodyDiv w:val="1"/>
      <w:marLeft w:val="0"/>
      <w:marRight w:val="0"/>
      <w:marTop w:val="0"/>
      <w:marBottom w:val="0"/>
      <w:divBdr>
        <w:top w:val="none" w:sz="0" w:space="0" w:color="auto"/>
        <w:left w:val="none" w:sz="0" w:space="0" w:color="auto"/>
        <w:bottom w:val="none" w:sz="0" w:space="0" w:color="auto"/>
        <w:right w:val="none" w:sz="0" w:space="0" w:color="auto"/>
      </w:divBdr>
    </w:div>
    <w:div w:id="192309668">
      <w:bodyDiv w:val="1"/>
      <w:marLeft w:val="0"/>
      <w:marRight w:val="0"/>
      <w:marTop w:val="0"/>
      <w:marBottom w:val="0"/>
      <w:divBdr>
        <w:top w:val="none" w:sz="0" w:space="0" w:color="auto"/>
        <w:left w:val="none" w:sz="0" w:space="0" w:color="auto"/>
        <w:bottom w:val="none" w:sz="0" w:space="0" w:color="auto"/>
        <w:right w:val="none" w:sz="0" w:space="0" w:color="auto"/>
      </w:divBdr>
    </w:div>
    <w:div w:id="192501375">
      <w:bodyDiv w:val="1"/>
      <w:marLeft w:val="0"/>
      <w:marRight w:val="0"/>
      <w:marTop w:val="0"/>
      <w:marBottom w:val="0"/>
      <w:divBdr>
        <w:top w:val="none" w:sz="0" w:space="0" w:color="auto"/>
        <w:left w:val="none" w:sz="0" w:space="0" w:color="auto"/>
        <w:bottom w:val="none" w:sz="0" w:space="0" w:color="auto"/>
        <w:right w:val="none" w:sz="0" w:space="0" w:color="auto"/>
      </w:divBdr>
    </w:div>
    <w:div w:id="192576555">
      <w:bodyDiv w:val="1"/>
      <w:marLeft w:val="0"/>
      <w:marRight w:val="0"/>
      <w:marTop w:val="0"/>
      <w:marBottom w:val="0"/>
      <w:divBdr>
        <w:top w:val="none" w:sz="0" w:space="0" w:color="auto"/>
        <w:left w:val="none" w:sz="0" w:space="0" w:color="auto"/>
        <w:bottom w:val="none" w:sz="0" w:space="0" w:color="auto"/>
        <w:right w:val="none" w:sz="0" w:space="0" w:color="auto"/>
      </w:divBdr>
    </w:div>
    <w:div w:id="192622230">
      <w:bodyDiv w:val="1"/>
      <w:marLeft w:val="0"/>
      <w:marRight w:val="0"/>
      <w:marTop w:val="0"/>
      <w:marBottom w:val="0"/>
      <w:divBdr>
        <w:top w:val="none" w:sz="0" w:space="0" w:color="auto"/>
        <w:left w:val="none" w:sz="0" w:space="0" w:color="auto"/>
        <w:bottom w:val="none" w:sz="0" w:space="0" w:color="auto"/>
        <w:right w:val="none" w:sz="0" w:space="0" w:color="auto"/>
      </w:divBdr>
    </w:div>
    <w:div w:id="192694485">
      <w:bodyDiv w:val="1"/>
      <w:marLeft w:val="0"/>
      <w:marRight w:val="0"/>
      <w:marTop w:val="0"/>
      <w:marBottom w:val="0"/>
      <w:divBdr>
        <w:top w:val="none" w:sz="0" w:space="0" w:color="auto"/>
        <w:left w:val="none" w:sz="0" w:space="0" w:color="auto"/>
        <w:bottom w:val="none" w:sz="0" w:space="0" w:color="auto"/>
        <w:right w:val="none" w:sz="0" w:space="0" w:color="auto"/>
      </w:divBdr>
    </w:div>
    <w:div w:id="192694698">
      <w:bodyDiv w:val="1"/>
      <w:marLeft w:val="0"/>
      <w:marRight w:val="0"/>
      <w:marTop w:val="0"/>
      <w:marBottom w:val="0"/>
      <w:divBdr>
        <w:top w:val="none" w:sz="0" w:space="0" w:color="auto"/>
        <w:left w:val="none" w:sz="0" w:space="0" w:color="auto"/>
        <w:bottom w:val="none" w:sz="0" w:space="0" w:color="auto"/>
        <w:right w:val="none" w:sz="0" w:space="0" w:color="auto"/>
      </w:divBdr>
    </w:div>
    <w:div w:id="192810013">
      <w:bodyDiv w:val="1"/>
      <w:marLeft w:val="0"/>
      <w:marRight w:val="0"/>
      <w:marTop w:val="0"/>
      <w:marBottom w:val="0"/>
      <w:divBdr>
        <w:top w:val="none" w:sz="0" w:space="0" w:color="auto"/>
        <w:left w:val="none" w:sz="0" w:space="0" w:color="auto"/>
        <w:bottom w:val="none" w:sz="0" w:space="0" w:color="auto"/>
        <w:right w:val="none" w:sz="0" w:space="0" w:color="auto"/>
      </w:divBdr>
    </w:div>
    <w:div w:id="193003696">
      <w:bodyDiv w:val="1"/>
      <w:marLeft w:val="0"/>
      <w:marRight w:val="0"/>
      <w:marTop w:val="0"/>
      <w:marBottom w:val="0"/>
      <w:divBdr>
        <w:top w:val="none" w:sz="0" w:space="0" w:color="auto"/>
        <w:left w:val="none" w:sz="0" w:space="0" w:color="auto"/>
        <w:bottom w:val="none" w:sz="0" w:space="0" w:color="auto"/>
        <w:right w:val="none" w:sz="0" w:space="0" w:color="auto"/>
      </w:divBdr>
    </w:div>
    <w:div w:id="193008968">
      <w:bodyDiv w:val="1"/>
      <w:marLeft w:val="0"/>
      <w:marRight w:val="0"/>
      <w:marTop w:val="0"/>
      <w:marBottom w:val="0"/>
      <w:divBdr>
        <w:top w:val="none" w:sz="0" w:space="0" w:color="auto"/>
        <w:left w:val="none" w:sz="0" w:space="0" w:color="auto"/>
        <w:bottom w:val="none" w:sz="0" w:space="0" w:color="auto"/>
        <w:right w:val="none" w:sz="0" w:space="0" w:color="auto"/>
      </w:divBdr>
    </w:div>
    <w:div w:id="193033378">
      <w:bodyDiv w:val="1"/>
      <w:marLeft w:val="0"/>
      <w:marRight w:val="0"/>
      <w:marTop w:val="0"/>
      <w:marBottom w:val="0"/>
      <w:divBdr>
        <w:top w:val="none" w:sz="0" w:space="0" w:color="auto"/>
        <w:left w:val="none" w:sz="0" w:space="0" w:color="auto"/>
        <w:bottom w:val="none" w:sz="0" w:space="0" w:color="auto"/>
        <w:right w:val="none" w:sz="0" w:space="0" w:color="auto"/>
      </w:divBdr>
    </w:div>
    <w:div w:id="193154838">
      <w:bodyDiv w:val="1"/>
      <w:marLeft w:val="0"/>
      <w:marRight w:val="0"/>
      <w:marTop w:val="0"/>
      <w:marBottom w:val="0"/>
      <w:divBdr>
        <w:top w:val="none" w:sz="0" w:space="0" w:color="auto"/>
        <w:left w:val="none" w:sz="0" w:space="0" w:color="auto"/>
        <w:bottom w:val="none" w:sz="0" w:space="0" w:color="auto"/>
        <w:right w:val="none" w:sz="0" w:space="0" w:color="auto"/>
      </w:divBdr>
    </w:div>
    <w:div w:id="193227302">
      <w:bodyDiv w:val="1"/>
      <w:marLeft w:val="0"/>
      <w:marRight w:val="0"/>
      <w:marTop w:val="0"/>
      <w:marBottom w:val="0"/>
      <w:divBdr>
        <w:top w:val="none" w:sz="0" w:space="0" w:color="auto"/>
        <w:left w:val="none" w:sz="0" w:space="0" w:color="auto"/>
        <w:bottom w:val="none" w:sz="0" w:space="0" w:color="auto"/>
        <w:right w:val="none" w:sz="0" w:space="0" w:color="auto"/>
      </w:divBdr>
    </w:div>
    <w:div w:id="193228921">
      <w:bodyDiv w:val="1"/>
      <w:marLeft w:val="0"/>
      <w:marRight w:val="0"/>
      <w:marTop w:val="0"/>
      <w:marBottom w:val="0"/>
      <w:divBdr>
        <w:top w:val="none" w:sz="0" w:space="0" w:color="auto"/>
        <w:left w:val="none" w:sz="0" w:space="0" w:color="auto"/>
        <w:bottom w:val="none" w:sz="0" w:space="0" w:color="auto"/>
        <w:right w:val="none" w:sz="0" w:space="0" w:color="auto"/>
      </w:divBdr>
    </w:div>
    <w:div w:id="193276954">
      <w:bodyDiv w:val="1"/>
      <w:marLeft w:val="0"/>
      <w:marRight w:val="0"/>
      <w:marTop w:val="0"/>
      <w:marBottom w:val="0"/>
      <w:divBdr>
        <w:top w:val="none" w:sz="0" w:space="0" w:color="auto"/>
        <w:left w:val="none" w:sz="0" w:space="0" w:color="auto"/>
        <w:bottom w:val="none" w:sz="0" w:space="0" w:color="auto"/>
        <w:right w:val="none" w:sz="0" w:space="0" w:color="auto"/>
      </w:divBdr>
    </w:div>
    <w:div w:id="193350289">
      <w:bodyDiv w:val="1"/>
      <w:marLeft w:val="0"/>
      <w:marRight w:val="0"/>
      <w:marTop w:val="0"/>
      <w:marBottom w:val="0"/>
      <w:divBdr>
        <w:top w:val="none" w:sz="0" w:space="0" w:color="auto"/>
        <w:left w:val="none" w:sz="0" w:space="0" w:color="auto"/>
        <w:bottom w:val="none" w:sz="0" w:space="0" w:color="auto"/>
        <w:right w:val="none" w:sz="0" w:space="0" w:color="auto"/>
      </w:divBdr>
    </w:div>
    <w:div w:id="193420189">
      <w:bodyDiv w:val="1"/>
      <w:marLeft w:val="0"/>
      <w:marRight w:val="0"/>
      <w:marTop w:val="0"/>
      <w:marBottom w:val="0"/>
      <w:divBdr>
        <w:top w:val="none" w:sz="0" w:space="0" w:color="auto"/>
        <w:left w:val="none" w:sz="0" w:space="0" w:color="auto"/>
        <w:bottom w:val="none" w:sz="0" w:space="0" w:color="auto"/>
        <w:right w:val="none" w:sz="0" w:space="0" w:color="auto"/>
      </w:divBdr>
    </w:div>
    <w:div w:id="193425547">
      <w:bodyDiv w:val="1"/>
      <w:marLeft w:val="0"/>
      <w:marRight w:val="0"/>
      <w:marTop w:val="0"/>
      <w:marBottom w:val="0"/>
      <w:divBdr>
        <w:top w:val="none" w:sz="0" w:space="0" w:color="auto"/>
        <w:left w:val="none" w:sz="0" w:space="0" w:color="auto"/>
        <w:bottom w:val="none" w:sz="0" w:space="0" w:color="auto"/>
        <w:right w:val="none" w:sz="0" w:space="0" w:color="auto"/>
      </w:divBdr>
    </w:div>
    <w:div w:id="193537749">
      <w:bodyDiv w:val="1"/>
      <w:marLeft w:val="0"/>
      <w:marRight w:val="0"/>
      <w:marTop w:val="0"/>
      <w:marBottom w:val="0"/>
      <w:divBdr>
        <w:top w:val="none" w:sz="0" w:space="0" w:color="auto"/>
        <w:left w:val="none" w:sz="0" w:space="0" w:color="auto"/>
        <w:bottom w:val="none" w:sz="0" w:space="0" w:color="auto"/>
        <w:right w:val="none" w:sz="0" w:space="0" w:color="auto"/>
      </w:divBdr>
    </w:div>
    <w:div w:id="193689079">
      <w:bodyDiv w:val="1"/>
      <w:marLeft w:val="0"/>
      <w:marRight w:val="0"/>
      <w:marTop w:val="0"/>
      <w:marBottom w:val="0"/>
      <w:divBdr>
        <w:top w:val="none" w:sz="0" w:space="0" w:color="auto"/>
        <w:left w:val="none" w:sz="0" w:space="0" w:color="auto"/>
        <w:bottom w:val="none" w:sz="0" w:space="0" w:color="auto"/>
        <w:right w:val="none" w:sz="0" w:space="0" w:color="auto"/>
      </w:divBdr>
    </w:div>
    <w:div w:id="193886638">
      <w:bodyDiv w:val="1"/>
      <w:marLeft w:val="0"/>
      <w:marRight w:val="0"/>
      <w:marTop w:val="0"/>
      <w:marBottom w:val="0"/>
      <w:divBdr>
        <w:top w:val="none" w:sz="0" w:space="0" w:color="auto"/>
        <w:left w:val="none" w:sz="0" w:space="0" w:color="auto"/>
        <w:bottom w:val="none" w:sz="0" w:space="0" w:color="auto"/>
        <w:right w:val="none" w:sz="0" w:space="0" w:color="auto"/>
      </w:divBdr>
    </w:div>
    <w:div w:id="193927718">
      <w:bodyDiv w:val="1"/>
      <w:marLeft w:val="0"/>
      <w:marRight w:val="0"/>
      <w:marTop w:val="0"/>
      <w:marBottom w:val="0"/>
      <w:divBdr>
        <w:top w:val="none" w:sz="0" w:space="0" w:color="auto"/>
        <w:left w:val="none" w:sz="0" w:space="0" w:color="auto"/>
        <w:bottom w:val="none" w:sz="0" w:space="0" w:color="auto"/>
        <w:right w:val="none" w:sz="0" w:space="0" w:color="auto"/>
      </w:divBdr>
    </w:div>
    <w:div w:id="193933775">
      <w:bodyDiv w:val="1"/>
      <w:marLeft w:val="0"/>
      <w:marRight w:val="0"/>
      <w:marTop w:val="0"/>
      <w:marBottom w:val="0"/>
      <w:divBdr>
        <w:top w:val="none" w:sz="0" w:space="0" w:color="auto"/>
        <w:left w:val="none" w:sz="0" w:space="0" w:color="auto"/>
        <w:bottom w:val="none" w:sz="0" w:space="0" w:color="auto"/>
        <w:right w:val="none" w:sz="0" w:space="0" w:color="auto"/>
      </w:divBdr>
    </w:div>
    <w:div w:id="194000480">
      <w:bodyDiv w:val="1"/>
      <w:marLeft w:val="0"/>
      <w:marRight w:val="0"/>
      <w:marTop w:val="0"/>
      <w:marBottom w:val="0"/>
      <w:divBdr>
        <w:top w:val="none" w:sz="0" w:space="0" w:color="auto"/>
        <w:left w:val="none" w:sz="0" w:space="0" w:color="auto"/>
        <w:bottom w:val="none" w:sz="0" w:space="0" w:color="auto"/>
        <w:right w:val="none" w:sz="0" w:space="0" w:color="auto"/>
      </w:divBdr>
    </w:div>
    <w:div w:id="194001259">
      <w:bodyDiv w:val="1"/>
      <w:marLeft w:val="0"/>
      <w:marRight w:val="0"/>
      <w:marTop w:val="0"/>
      <w:marBottom w:val="0"/>
      <w:divBdr>
        <w:top w:val="none" w:sz="0" w:space="0" w:color="auto"/>
        <w:left w:val="none" w:sz="0" w:space="0" w:color="auto"/>
        <w:bottom w:val="none" w:sz="0" w:space="0" w:color="auto"/>
        <w:right w:val="none" w:sz="0" w:space="0" w:color="auto"/>
      </w:divBdr>
    </w:div>
    <w:div w:id="194201366">
      <w:bodyDiv w:val="1"/>
      <w:marLeft w:val="0"/>
      <w:marRight w:val="0"/>
      <w:marTop w:val="0"/>
      <w:marBottom w:val="0"/>
      <w:divBdr>
        <w:top w:val="none" w:sz="0" w:space="0" w:color="auto"/>
        <w:left w:val="none" w:sz="0" w:space="0" w:color="auto"/>
        <w:bottom w:val="none" w:sz="0" w:space="0" w:color="auto"/>
        <w:right w:val="none" w:sz="0" w:space="0" w:color="auto"/>
      </w:divBdr>
    </w:div>
    <w:div w:id="194276762">
      <w:bodyDiv w:val="1"/>
      <w:marLeft w:val="0"/>
      <w:marRight w:val="0"/>
      <w:marTop w:val="0"/>
      <w:marBottom w:val="0"/>
      <w:divBdr>
        <w:top w:val="none" w:sz="0" w:space="0" w:color="auto"/>
        <w:left w:val="none" w:sz="0" w:space="0" w:color="auto"/>
        <w:bottom w:val="none" w:sz="0" w:space="0" w:color="auto"/>
        <w:right w:val="none" w:sz="0" w:space="0" w:color="auto"/>
      </w:divBdr>
    </w:div>
    <w:div w:id="194390605">
      <w:bodyDiv w:val="1"/>
      <w:marLeft w:val="0"/>
      <w:marRight w:val="0"/>
      <w:marTop w:val="0"/>
      <w:marBottom w:val="0"/>
      <w:divBdr>
        <w:top w:val="none" w:sz="0" w:space="0" w:color="auto"/>
        <w:left w:val="none" w:sz="0" w:space="0" w:color="auto"/>
        <w:bottom w:val="none" w:sz="0" w:space="0" w:color="auto"/>
        <w:right w:val="none" w:sz="0" w:space="0" w:color="auto"/>
      </w:divBdr>
    </w:div>
    <w:div w:id="194462346">
      <w:bodyDiv w:val="1"/>
      <w:marLeft w:val="0"/>
      <w:marRight w:val="0"/>
      <w:marTop w:val="0"/>
      <w:marBottom w:val="0"/>
      <w:divBdr>
        <w:top w:val="none" w:sz="0" w:space="0" w:color="auto"/>
        <w:left w:val="none" w:sz="0" w:space="0" w:color="auto"/>
        <w:bottom w:val="none" w:sz="0" w:space="0" w:color="auto"/>
        <w:right w:val="none" w:sz="0" w:space="0" w:color="auto"/>
      </w:divBdr>
    </w:div>
    <w:div w:id="194539748">
      <w:bodyDiv w:val="1"/>
      <w:marLeft w:val="0"/>
      <w:marRight w:val="0"/>
      <w:marTop w:val="0"/>
      <w:marBottom w:val="0"/>
      <w:divBdr>
        <w:top w:val="none" w:sz="0" w:space="0" w:color="auto"/>
        <w:left w:val="none" w:sz="0" w:space="0" w:color="auto"/>
        <w:bottom w:val="none" w:sz="0" w:space="0" w:color="auto"/>
        <w:right w:val="none" w:sz="0" w:space="0" w:color="auto"/>
      </w:divBdr>
    </w:div>
    <w:div w:id="194732323">
      <w:bodyDiv w:val="1"/>
      <w:marLeft w:val="0"/>
      <w:marRight w:val="0"/>
      <w:marTop w:val="0"/>
      <w:marBottom w:val="0"/>
      <w:divBdr>
        <w:top w:val="none" w:sz="0" w:space="0" w:color="auto"/>
        <w:left w:val="none" w:sz="0" w:space="0" w:color="auto"/>
        <w:bottom w:val="none" w:sz="0" w:space="0" w:color="auto"/>
        <w:right w:val="none" w:sz="0" w:space="0" w:color="auto"/>
      </w:divBdr>
    </w:div>
    <w:div w:id="194773381">
      <w:bodyDiv w:val="1"/>
      <w:marLeft w:val="0"/>
      <w:marRight w:val="0"/>
      <w:marTop w:val="0"/>
      <w:marBottom w:val="0"/>
      <w:divBdr>
        <w:top w:val="none" w:sz="0" w:space="0" w:color="auto"/>
        <w:left w:val="none" w:sz="0" w:space="0" w:color="auto"/>
        <w:bottom w:val="none" w:sz="0" w:space="0" w:color="auto"/>
        <w:right w:val="none" w:sz="0" w:space="0" w:color="auto"/>
      </w:divBdr>
    </w:div>
    <w:div w:id="194774173">
      <w:bodyDiv w:val="1"/>
      <w:marLeft w:val="0"/>
      <w:marRight w:val="0"/>
      <w:marTop w:val="0"/>
      <w:marBottom w:val="0"/>
      <w:divBdr>
        <w:top w:val="none" w:sz="0" w:space="0" w:color="auto"/>
        <w:left w:val="none" w:sz="0" w:space="0" w:color="auto"/>
        <w:bottom w:val="none" w:sz="0" w:space="0" w:color="auto"/>
        <w:right w:val="none" w:sz="0" w:space="0" w:color="auto"/>
      </w:divBdr>
    </w:div>
    <w:div w:id="195050486">
      <w:bodyDiv w:val="1"/>
      <w:marLeft w:val="0"/>
      <w:marRight w:val="0"/>
      <w:marTop w:val="0"/>
      <w:marBottom w:val="0"/>
      <w:divBdr>
        <w:top w:val="none" w:sz="0" w:space="0" w:color="auto"/>
        <w:left w:val="none" w:sz="0" w:space="0" w:color="auto"/>
        <w:bottom w:val="none" w:sz="0" w:space="0" w:color="auto"/>
        <w:right w:val="none" w:sz="0" w:space="0" w:color="auto"/>
      </w:divBdr>
    </w:div>
    <w:div w:id="195238871">
      <w:bodyDiv w:val="1"/>
      <w:marLeft w:val="0"/>
      <w:marRight w:val="0"/>
      <w:marTop w:val="0"/>
      <w:marBottom w:val="0"/>
      <w:divBdr>
        <w:top w:val="none" w:sz="0" w:space="0" w:color="auto"/>
        <w:left w:val="none" w:sz="0" w:space="0" w:color="auto"/>
        <w:bottom w:val="none" w:sz="0" w:space="0" w:color="auto"/>
        <w:right w:val="none" w:sz="0" w:space="0" w:color="auto"/>
      </w:divBdr>
    </w:div>
    <w:div w:id="195240474">
      <w:bodyDiv w:val="1"/>
      <w:marLeft w:val="0"/>
      <w:marRight w:val="0"/>
      <w:marTop w:val="0"/>
      <w:marBottom w:val="0"/>
      <w:divBdr>
        <w:top w:val="none" w:sz="0" w:space="0" w:color="auto"/>
        <w:left w:val="none" w:sz="0" w:space="0" w:color="auto"/>
        <w:bottom w:val="none" w:sz="0" w:space="0" w:color="auto"/>
        <w:right w:val="none" w:sz="0" w:space="0" w:color="auto"/>
      </w:divBdr>
    </w:div>
    <w:div w:id="195318239">
      <w:bodyDiv w:val="1"/>
      <w:marLeft w:val="0"/>
      <w:marRight w:val="0"/>
      <w:marTop w:val="0"/>
      <w:marBottom w:val="0"/>
      <w:divBdr>
        <w:top w:val="none" w:sz="0" w:space="0" w:color="auto"/>
        <w:left w:val="none" w:sz="0" w:space="0" w:color="auto"/>
        <w:bottom w:val="none" w:sz="0" w:space="0" w:color="auto"/>
        <w:right w:val="none" w:sz="0" w:space="0" w:color="auto"/>
      </w:divBdr>
    </w:div>
    <w:div w:id="195386904">
      <w:bodyDiv w:val="1"/>
      <w:marLeft w:val="0"/>
      <w:marRight w:val="0"/>
      <w:marTop w:val="0"/>
      <w:marBottom w:val="0"/>
      <w:divBdr>
        <w:top w:val="none" w:sz="0" w:space="0" w:color="auto"/>
        <w:left w:val="none" w:sz="0" w:space="0" w:color="auto"/>
        <w:bottom w:val="none" w:sz="0" w:space="0" w:color="auto"/>
        <w:right w:val="none" w:sz="0" w:space="0" w:color="auto"/>
      </w:divBdr>
    </w:div>
    <w:div w:id="195510124">
      <w:bodyDiv w:val="1"/>
      <w:marLeft w:val="0"/>
      <w:marRight w:val="0"/>
      <w:marTop w:val="0"/>
      <w:marBottom w:val="0"/>
      <w:divBdr>
        <w:top w:val="none" w:sz="0" w:space="0" w:color="auto"/>
        <w:left w:val="none" w:sz="0" w:space="0" w:color="auto"/>
        <w:bottom w:val="none" w:sz="0" w:space="0" w:color="auto"/>
        <w:right w:val="none" w:sz="0" w:space="0" w:color="auto"/>
      </w:divBdr>
    </w:div>
    <w:div w:id="195587531">
      <w:bodyDiv w:val="1"/>
      <w:marLeft w:val="0"/>
      <w:marRight w:val="0"/>
      <w:marTop w:val="0"/>
      <w:marBottom w:val="0"/>
      <w:divBdr>
        <w:top w:val="none" w:sz="0" w:space="0" w:color="auto"/>
        <w:left w:val="none" w:sz="0" w:space="0" w:color="auto"/>
        <w:bottom w:val="none" w:sz="0" w:space="0" w:color="auto"/>
        <w:right w:val="none" w:sz="0" w:space="0" w:color="auto"/>
      </w:divBdr>
    </w:div>
    <w:div w:id="195625582">
      <w:bodyDiv w:val="1"/>
      <w:marLeft w:val="0"/>
      <w:marRight w:val="0"/>
      <w:marTop w:val="0"/>
      <w:marBottom w:val="0"/>
      <w:divBdr>
        <w:top w:val="none" w:sz="0" w:space="0" w:color="auto"/>
        <w:left w:val="none" w:sz="0" w:space="0" w:color="auto"/>
        <w:bottom w:val="none" w:sz="0" w:space="0" w:color="auto"/>
        <w:right w:val="none" w:sz="0" w:space="0" w:color="auto"/>
      </w:divBdr>
    </w:div>
    <w:div w:id="195702316">
      <w:bodyDiv w:val="1"/>
      <w:marLeft w:val="0"/>
      <w:marRight w:val="0"/>
      <w:marTop w:val="0"/>
      <w:marBottom w:val="0"/>
      <w:divBdr>
        <w:top w:val="none" w:sz="0" w:space="0" w:color="auto"/>
        <w:left w:val="none" w:sz="0" w:space="0" w:color="auto"/>
        <w:bottom w:val="none" w:sz="0" w:space="0" w:color="auto"/>
        <w:right w:val="none" w:sz="0" w:space="0" w:color="auto"/>
      </w:divBdr>
    </w:div>
    <w:div w:id="195777011">
      <w:bodyDiv w:val="1"/>
      <w:marLeft w:val="0"/>
      <w:marRight w:val="0"/>
      <w:marTop w:val="0"/>
      <w:marBottom w:val="0"/>
      <w:divBdr>
        <w:top w:val="none" w:sz="0" w:space="0" w:color="auto"/>
        <w:left w:val="none" w:sz="0" w:space="0" w:color="auto"/>
        <w:bottom w:val="none" w:sz="0" w:space="0" w:color="auto"/>
        <w:right w:val="none" w:sz="0" w:space="0" w:color="auto"/>
      </w:divBdr>
    </w:div>
    <w:div w:id="195848999">
      <w:bodyDiv w:val="1"/>
      <w:marLeft w:val="0"/>
      <w:marRight w:val="0"/>
      <w:marTop w:val="0"/>
      <w:marBottom w:val="0"/>
      <w:divBdr>
        <w:top w:val="none" w:sz="0" w:space="0" w:color="auto"/>
        <w:left w:val="none" w:sz="0" w:space="0" w:color="auto"/>
        <w:bottom w:val="none" w:sz="0" w:space="0" w:color="auto"/>
        <w:right w:val="none" w:sz="0" w:space="0" w:color="auto"/>
      </w:divBdr>
    </w:div>
    <w:div w:id="196044705">
      <w:bodyDiv w:val="1"/>
      <w:marLeft w:val="0"/>
      <w:marRight w:val="0"/>
      <w:marTop w:val="0"/>
      <w:marBottom w:val="0"/>
      <w:divBdr>
        <w:top w:val="none" w:sz="0" w:space="0" w:color="auto"/>
        <w:left w:val="none" w:sz="0" w:space="0" w:color="auto"/>
        <w:bottom w:val="none" w:sz="0" w:space="0" w:color="auto"/>
        <w:right w:val="none" w:sz="0" w:space="0" w:color="auto"/>
      </w:divBdr>
    </w:div>
    <w:div w:id="196048602">
      <w:bodyDiv w:val="1"/>
      <w:marLeft w:val="0"/>
      <w:marRight w:val="0"/>
      <w:marTop w:val="0"/>
      <w:marBottom w:val="0"/>
      <w:divBdr>
        <w:top w:val="none" w:sz="0" w:space="0" w:color="auto"/>
        <w:left w:val="none" w:sz="0" w:space="0" w:color="auto"/>
        <w:bottom w:val="none" w:sz="0" w:space="0" w:color="auto"/>
        <w:right w:val="none" w:sz="0" w:space="0" w:color="auto"/>
      </w:divBdr>
    </w:div>
    <w:div w:id="196085097">
      <w:bodyDiv w:val="1"/>
      <w:marLeft w:val="0"/>
      <w:marRight w:val="0"/>
      <w:marTop w:val="0"/>
      <w:marBottom w:val="0"/>
      <w:divBdr>
        <w:top w:val="none" w:sz="0" w:space="0" w:color="auto"/>
        <w:left w:val="none" w:sz="0" w:space="0" w:color="auto"/>
        <w:bottom w:val="none" w:sz="0" w:space="0" w:color="auto"/>
        <w:right w:val="none" w:sz="0" w:space="0" w:color="auto"/>
      </w:divBdr>
    </w:div>
    <w:div w:id="196164256">
      <w:bodyDiv w:val="1"/>
      <w:marLeft w:val="0"/>
      <w:marRight w:val="0"/>
      <w:marTop w:val="0"/>
      <w:marBottom w:val="0"/>
      <w:divBdr>
        <w:top w:val="none" w:sz="0" w:space="0" w:color="auto"/>
        <w:left w:val="none" w:sz="0" w:space="0" w:color="auto"/>
        <w:bottom w:val="none" w:sz="0" w:space="0" w:color="auto"/>
        <w:right w:val="none" w:sz="0" w:space="0" w:color="auto"/>
      </w:divBdr>
    </w:div>
    <w:div w:id="196237456">
      <w:bodyDiv w:val="1"/>
      <w:marLeft w:val="0"/>
      <w:marRight w:val="0"/>
      <w:marTop w:val="0"/>
      <w:marBottom w:val="0"/>
      <w:divBdr>
        <w:top w:val="none" w:sz="0" w:space="0" w:color="auto"/>
        <w:left w:val="none" w:sz="0" w:space="0" w:color="auto"/>
        <w:bottom w:val="none" w:sz="0" w:space="0" w:color="auto"/>
        <w:right w:val="none" w:sz="0" w:space="0" w:color="auto"/>
      </w:divBdr>
    </w:div>
    <w:div w:id="196242659">
      <w:bodyDiv w:val="1"/>
      <w:marLeft w:val="0"/>
      <w:marRight w:val="0"/>
      <w:marTop w:val="0"/>
      <w:marBottom w:val="0"/>
      <w:divBdr>
        <w:top w:val="none" w:sz="0" w:space="0" w:color="auto"/>
        <w:left w:val="none" w:sz="0" w:space="0" w:color="auto"/>
        <w:bottom w:val="none" w:sz="0" w:space="0" w:color="auto"/>
        <w:right w:val="none" w:sz="0" w:space="0" w:color="auto"/>
      </w:divBdr>
    </w:div>
    <w:div w:id="196361012">
      <w:bodyDiv w:val="1"/>
      <w:marLeft w:val="0"/>
      <w:marRight w:val="0"/>
      <w:marTop w:val="0"/>
      <w:marBottom w:val="0"/>
      <w:divBdr>
        <w:top w:val="none" w:sz="0" w:space="0" w:color="auto"/>
        <w:left w:val="none" w:sz="0" w:space="0" w:color="auto"/>
        <w:bottom w:val="none" w:sz="0" w:space="0" w:color="auto"/>
        <w:right w:val="none" w:sz="0" w:space="0" w:color="auto"/>
      </w:divBdr>
    </w:div>
    <w:div w:id="196436636">
      <w:bodyDiv w:val="1"/>
      <w:marLeft w:val="0"/>
      <w:marRight w:val="0"/>
      <w:marTop w:val="0"/>
      <w:marBottom w:val="0"/>
      <w:divBdr>
        <w:top w:val="none" w:sz="0" w:space="0" w:color="auto"/>
        <w:left w:val="none" w:sz="0" w:space="0" w:color="auto"/>
        <w:bottom w:val="none" w:sz="0" w:space="0" w:color="auto"/>
        <w:right w:val="none" w:sz="0" w:space="0" w:color="auto"/>
      </w:divBdr>
    </w:div>
    <w:div w:id="196507581">
      <w:bodyDiv w:val="1"/>
      <w:marLeft w:val="0"/>
      <w:marRight w:val="0"/>
      <w:marTop w:val="0"/>
      <w:marBottom w:val="0"/>
      <w:divBdr>
        <w:top w:val="none" w:sz="0" w:space="0" w:color="auto"/>
        <w:left w:val="none" w:sz="0" w:space="0" w:color="auto"/>
        <w:bottom w:val="none" w:sz="0" w:space="0" w:color="auto"/>
        <w:right w:val="none" w:sz="0" w:space="0" w:color="auto"/>
      </w:divBdr>
    </w:div>
    <w:div w:id="196550426">
      <w:bodyDiv w:val="1"/>
      <w:marLeft w:val="0"/>
      <w:marRight w:val="0"/>
      <w:marTop w:val="0"/>
      <w:marBottom w:val="0"/>
      <w:divBdr>
        <w:top w:val="none" w:sz="0" w:space="0" w:color="auto"/>
        <w:left w:val="none" w:sz="0" w:space="0" w:color="auto"/>
        <w:bottom w:val="none" w:sz="0" w:space="0" w:color="auto"/>
        <w:right w:val="none" w:sz="0" w:space="0" w:color="auto"/>
      </w:divBdr>
    </w:div>
    <w:div w:id="196628572">
      <w:bodyDiv w:val="1"/>
      <w:marLeft w:val="0"/>
      <w:marRight w:val="0"/>
      <w:marTop w:val="0"/>
      <w:marBottom w:val="0"/>
      <w:divBdr>
        <w:top w:val="none" w:sz="0" w:space="0" w:color="auto"/>
        <w:left w:val="none" w:sz="0" w:space="0" w:color="auto"/>
        <w:bottom w:val="none" w:sz="0" w:space="0" w:color="auto"/>
        <w:right w:val="none" w:sz="0" w:space="0" w:color="auto"/>
      </w:divBdr>
    </w:div>
    <w:div w:id="196699803">
      <w:bodyDiv w:val="1"/>
      <w:marLeft w:val="0"/>
      <w:marRight w:val="0"/>
      <w:marTop w:val="0"/>
      <w:marBottom w:val="0"/>
      <w:divBdr>
        <w:top w:val="none" w:sz="0" w:space="0" w:color="auto"/>
        <w:left w:val="none" w:sz="0" w:space="0" w:color="auto"/>
        <w:bottom w:val="none" w:sz="0" w:space="0" w:color="auto"/>
        <w:right w:val="none" w:sz="0" w:space="0" w:color="auto"/>
      </w:divBdr>
    </w:div>
    <w:div w:id="196704454">
      <w:bodyDiv w:val="1"/>
      <w:marLeft w:val="0"/>
      <w:marRight w:val="0"/>
      <w:marTop w:val="0"/>
      <w:marBottom w:val="0"/>
      <w:divBdr>
        <w:top w:val="none" w:sz="0" w:space="0" w:color="auto"/>
        <w:left w:val="none" w:sz="0" w:space="0" w:color="auto"/>
        <w:bottom w:val="none" w:sz="0" w:space="0" w:color="auto"/>
        <w:right w:val="none" w:sz="0" w:space="0" w:color="auto"/>
      </w:divBdr>
    </w:div>
    <w:div w:id="196746066">
      <w:bodyDiv w:val="1"/>
      <w:marLeft w:val="0"/>
      <w:marRight w:val="0"/>
      <w:marTop w:val="0"/>
      <w:marBottom w:val="0"/>
      <w:divBdr>
        <w:top w:val="none" w:sz="0" w:space="0" w:color="auto"/>
        <w:left w:val="none" w:sz="0" w:space="0" w:color="auto"/>
        <w:bottom w:val="none" w:sz="0" w:space="0" w:color="auto"/>
        <w:right w:val="none" w:sz="0" w:space="0" w:color="auto"/>
      </w:divBdr>
    </w:div>
    <w:div w:id="196747104">
      <w:bodyDiv w:val="1"/>
      <w:marLeft w:val="0"/>
      <w:marRight w:val="0"/>
      <w:marTop w:val="0"/>
      <w:marBottom w:val="0"/>
      <w:divBdr>
        <w:top w:val="none" w:sz="0" w:space="0" w:color="auto"/>
        <w:left w:val="none" w:sz="0" w:space="0" w:color="auto"/>
        <w:bottom w:val="none" w:sz="0" w:space="0" w:color="auto"/>
        <w:right w:val="none" w:sz="0" w:space="0" w:color="auto"/>
      </w:divBdr>
    </w:div>
    <w:div w:id="196816780">
      <w:bodyDiv w:val="1"/>
      <w:marLeft w:val="0"/>
      <w:marRight w:val="0"/>
      <w:marTop w:val="0"/>
      <w:marBottom w:val="0"/>
      <w:divBdr>
        <w:top w:val="none" w:sz="0" w:space="0" w:color="auto"/>
        <w:left w:val="none" w:sz="0" w:space="0" w:color="auto"/>
        <w:bottom w:val="none" w:sz="0" w:space="0" w:color="auto"/>
        <w:right w:val="none" w:sz="0" w:space="0" w:color="auto"/>
      </w:divBdr>
    </w:div>
    <w:div w:id="196822987">
      <w:bodyDiv w:val="1"/>
      <w:marLeft w:val="0"/>
      <w:marRight w:val="0"/>
      <w:marTop w:val="0"/>
      <w:marBottom w:val="0"/>
      <w:divBdr>
        <w:top w:val="none" w:sz="0" w:space="0" w:color="auto"/>
        <w:left w:val="none" w:sz="0" w:space="0" w:color="auto"/>
        <w:bottom w:val="none" w:sz="0" w:space="0" w:color="auto"/>
        <w:right w:val="none" w:sz="0" w:space="0" w:color="auto"/>
      </w:divBdr>
    </w:div>
    <w:div w:id="196891773">
      <w:bodyDiv w:val="1"/>
      <w:marLeft w:val="0"/>
      <w:marRight w:val="0"/>
      <w:marTop w:val="0"/>
      <w:marBottom w:val="0"/>
      <w:divBdr>
        <w:top w:val="none" w:sz="0" w:space="0" w:color="auto"/>
        <w:left w:val="none" w:sz="0" w:space="0" w:color="auto"/>
        <w:bottom w:val="none" w:sz="0" w:space="0" w:color="auto"/>
        <w:right w:val="none" w:sz="0" w:space="0" w:color="auto"/>
      </w:divBdr>
    </w:div>
    <w:div w:id="196893912">
      <w:bodyDiv w:val="1"/>
      <w:marLeft w:val="0"/>
      <w:marRight w:val="0"/>
      <w:marTop w:val="0"/>
      <w:marBottom w:val="0"/>
      <w:divBdr>
        <w:top w:val="none" w:sz="0" w:space="0" w:color="auto"/>
        <w:left w:val="none" w:sz="0" w:space="0" w:color="auto"/>
        <w:bottom w:val="none" w:sz="0" w:space="0" w:color="auto"/>
        <w:right w:val="none" w:sz="0" w:space="0" w:color="auto"/>
      </w:divBdr>
    </w:div>
    <w:div w:id="196897471">
      <w:bodyDiv w:val="1"/>
      <w:marLeft w:val="0"/>
      <w:marRight w:val="0"/>
      <w:marTop w:val="0"/>
      <w:marBottom w:val="0"/>
      <w:divBdr>
        <w:top w:val="none" w:sz="0" w:space="0" w:color="auto"/>
        <w:left w:val="none" w:sz="0" w:space="0" w:color="auto"/>
        <w:bottom w:val="none" w:sz="0" w:space="0" w:color="auto"/>
        <w:right w:val="none" w:sz="0" w:space="0" w:color="auto"/>
      </w:divBdr>
    </w:div>
    <w:div w:id="196965199">
      <w:bodyDiv w:val="1"/>
      <w:marLeft w:val="0"/>
      <w:marRight w:val="0"/>
      <w:marTop w:val="0"/>
      <w:marBottom w:val="0"/>
      <w:divBdr>
        <w:top w:val="none" w:sz="0" w:space="0" w:color="auto"/>
        <w:left w:val="none" w:sz="0" w:space="0" w:color="auto"/>
        <w:bottom w:val="none" w:sz="0" w:space="0" w:color="auto"/>
        <w:right w:val="none" w:sz="0" w:space="0" w:color="auto"/>
      </w:divBdr>
    </w:div>
    <w:div w:id="196966812">
      <w:bodyDiv w:val="1"/>
      <w:marLeft w:val="0"/>
      <w:marRight w:val="0"/>
      <w:marTop w:val="0"/>
      <w:marBottom w:val="0"/>
      <w:divBdr>
        <w:top w:val="none" w:sz="0" w:space="0" w:color="auto"/>
        <w:left w:val="none" w:sz="0" w:space="0" w:color="auto"/>
        <w:bottom w:val="none" w:sz="0" w:space="0" w:color="auto"/>
        <w:right w:val="none" w:sz="0" w:space="0" w:color="auto"/>
      </w:divBdr>
    </w:div>
    <w:div w:id="197009321">
      <w:bodyDiv w:val="1"/>
      <w:marLeft w:val="0"/>
      <w:marRight w:val="0"/>
      <w:marTop w:val="0"/>
      <w:marBottom w:val="0"/>
      <w:divBdr>
        <w:top w:val="none" w:sz="0" w:space="0" w:color="auto"/>
        <w:left w:val="none" w:sz="0" w:space="0" w:color="auto"/>
        <w:bottom w:val="none" w:sz="0" w:space="0" w:color="auto"/>
        <w:right w:val="none" w:sz="0" w:space="0" w:color="auto"/>
      </w:divBdr>
    </w:div>
    <w:div w:id="197086090">
      <w:bodyDiv w:val="1"/>
      <w:marLeft w:val="0"/>
      <w:marRight w:val="0"/>
      <w:marTop w:val="0"/>
      <w:marBottom w:val="0"/>
      <w:divBdr>
        <w:top w:val="none" w:sz="0" w:space="0" w:color="auto"/>
        <w:left w:val="none" w:sz="0" w:space="0" w:color="auto"/>
        <w:bottom w:val="none" w:sz="0" w:space="0" w:color="auto"/>
        <w:right w:val="none" w:sz="0" w:space="0" w:color="auto"/>
      </w:divBdr>
    </w:div>
    <w:div w:id="197134673">
      <w:bodyDiv w:val="1"/>
      <w:marLeft w:val="0"/>
      <w:marRight w:val="0"/>
      <w:marTop w:val="0"/>
      <w:marBottom w:val="0"/>
      <w:divBdr>
        <w:top w:val="none" w:sz="0" w:space="0" w:color="auto"/>
        <w:left w:val="none" w:sz="0" w:space="0" w:color="auto"/>
        <w:bottom w:val="none" w:sz="0" w:space="0" w:color="auto"/>
        <w:right w:val="none" w:sz="0" w:space="0" w:color="auto"/>
      </w:divBdr>
    </w:div>
    <w:div w:id="197206756">
      <w:bodyDiv w:val="1"/>
      <w:marLeft w:val="0"/>
      <w:marRight w:val="0"/>
      <w:marTop w:val="0"/>
      <w:marBottom w:val="0"/>
      <w:divBdr>
        <w:top w:val="none" w:sz="0" w:space="0" w:color="auto"/>
        <w:left w:val="none" w:sz="0" w:space="0" w:color="auto"/>
        <w:bottom w:val="none" w:sz="0" w:space="0" w:color="auto"/>
        <w:right w:val="none" w:sz="0" w:space="0" w:color="auto"/>
      </w:divBdr>
    </w:div>
    <w:div w:id="197209780">
      <w:bodyDiv w:val="1"/>
      <w:marLeft w:val="0"/>
      <w:marRight w:val="0"/>
      <w:marTop w:val="0"/>
      <w:marBottom w:val="0"/>
      <w:divBdr>
        <w:top w:val="none" w:sz="0" w:space="0" w:color="auto"/>
        <w:left w:val="none" w:sz="0" w:space="0" w:color="auto"/>
        <w:bottom w:val="none" w:sz="0" w:space="0" w:color="auto"/>
        <w:right w:val="none" w:sz="0" w:space="0" w:color="auto"/>
      </w:divBdr>
    </w:div>
    <w:div w:id="197353103">
      <w:bodyDiv w:val="1"/>
      <w:marLeft w:val="0"/>
      <w:marRight w:val="0"/>
      <w:marTop w:val="0"/>
      <w:marBottom w:val="0"/>
      <w:divBdr>
        <w:top w:val="none" w:sz="0" w:space="0" w:color="auto"/>
        <w:left w:val="none" w:sz="0" w:space="0" w:color="auto"/>
        <w:bottom w:val="none" w:sz="0" w:space="0" w:color="auto"/>
        <w:right w:val="none" w:sz="0" w:space="0" w:color="auto"/>
      </w:divBdr>
    </w:div>
    <w:div w:id="197355464">
      <w:bodyDiv w:val="1"/>
      <w:marLeft w:val="0"/>
      <w:marRight w:val="0"/>
      <w:marTop w:val="0"/>
      <w:marBottom w:val="0"/>
      <w:divBdr>
        <w:top w:val="none" w:sz="0" w:space="0" w:color="auto"/>
        <w:left w:val="none" w:sz="0" w:space="0" w:color="auto"/>
        <w:bottom w:val="none" w:sz="0" w:space="0" w:color="auto"/>
        <w:right w:val="none" w:sz="0" w:space="0" w:color="auto"/>
      </w:divBdr>
    </w:div>
    <w:div w:id="197395680">
      <w:bodyDiv w:val="1"/>
      <w:marLeft w:val="0"/>
      <w:marRight w:val="0"/>
      <w:marTop w:val="0"/>
      <w:marBottom w:val="0"/>
      <w:divBdr>
        <w:top w:val="none" w:sz="0" w:space="0" w:color="auto"/>
        <w:left w:val="none" w:sz="0" w:space="0" w:color="auto"/>
        <w:bottom w:val="none" w:sz="0" w:space="0" w:color="auto"/>
        <w:right w:val="none" w:sz="0" w:space="0" w:color="auto"/>
      </w:divBdr>
    </w:div>
    <w:div w:id="197402086">
      <w:bodyDiv w:val="1"/>
      <w:marLeft w:val="0"/>
      <w:marRight w:val="0"/>
      <w:marTop w:val="0"/>
      <w:marBottom w:val="0"/>
      <w:divBdr>
        <w:top w:val="none" w:sz="0" w:space="0" w:color="auto"/>
        <w:left w:val="none" w:sz="0" w:space="0" w:color="auto"/>
        <w:bottom w:val="none" w:sz="0" w:space="0" w:color="auto"/>
        <w:right w:val="none" w:sz="0" w:space="0" w:color="auto"/>
      </w:divBdr>
    </w:div>
    <w:div w:id="197591744">
      <w:bodyDiv w:val="1"/>
      <w:marLeft w:val="0"/>
      <w:marRight w:val="0"/>
      <w:marTop w:val="0"/>
      <w:marBottom w:val="0"/>
      <w:divBdr>
        <w:top w:val="none" w:sz="0" w:space="0" w:color="auto"/>
        <w:left w:val="none" w:sz="0" w:space="0" w:color="auto"/>
        <w:bottom w:val="none" w:sz="0" w:space="0" w:color="auto"/>
        <w:right w:val="none" w:sz="0" w:space="0" w:color="auto"/>
      </w:divBdr>
    </w:div>
    <w:div w:id="197663503">
      <w:bodyDiv w:val="1"/>
      <w:marLeft w:val="0"/>
      <w:marRight w:val="0"/>
      <w:marTop w:val="0"/>
      <w:marBottom w:val="0"/>
      <w:divBdr>
        <w:top w:val="none" w:sz="0" w:space="0" w:color="auto"/>
        <w:left w:val="none" w:sz="0" w:space="0" w:color="auto"/>
        <w:bottom w:val="none" w:sz="0" w:space="0" w:color="auto"/>
        <w:right w:val="none" w:sz="0" w:space="0" w:color="auto"/>
      </w:divBdr>
    </w:div>
    <w:div w:id="197863204">
      <w:bodyDiv w:val="1"/>
      <w:marLeft w:val="0"/>
      <w:marRight w:val="0"/>
      <w:marTop w:val="0"/>
      <w:marBottom w:val="0"/>
      <w:divBdr>
        <w:top w:val="none" w:sz="0" w:space="0" w:color="auto"/>
        <w:left w:val="none" w:sz="0" w:space="0" w:color="auto"/>
        <w:bottom w:val="none" w:sz="0" w:space="0" w:color="auto"/>
        <w:right w:val="none" w:sz="0" w:space="0" w:color="auto"/>
      </w:divBdr>
    </w:div>
    <w:div w:id="197940577">
      <w:bodyDiv w:val="1"/>
      <w:marLeft w:val="0"/>
      <w:marRight w:val="0"/>
      <w:marTop w:val="0"/>
      <w:marBottom w:val="0"/>
      <w:divBdr>
        <w:top w:val="none" w:sz="0" w:space="0" w:color="auto"/>
        <w:left w:val="none" w:sz="0" w:space="0" w:color="auto"/>
        <w:bottom w:val="none" w:sz="0" w:space="0" w:color="auto"/>
        <w:right w:val="none" w:sz="0" w:space="0" w:color="auto"/>
      </w:divBdr>
    </w:div>
    <w:div w:id="198008419">
      <w:bodyDiv w:val="1"/>
      <w:marLeft w:val="0"/>
      <w:marRight w:val="0"/>
      <w:marTop w:val="0"/>
      <w:marBottom w:val="0"/>
      <w:divBdr>
        <w:top w:val="none" w:sz="0" w:space="0" w:color="auto"/>
        <w:left w:val="none" w:sz="0" w:space="0" w:color="auto"/>
        <w:bottom w:val="none" w:sz="0" w:space="0" w:color="auto"/>
        <w:right w:val="none" w:sz="0" w:space="0" w:color="auto"/>
      </w:divBdr>
    </w:div>
    <w:div w:id="198050073">
      <w:bodyDiv w:val="1"/>
      <w:marLeft w:val="0"/>
      <w:marRight w:val="0"/>
      <w:marTop w:val="0"/>
      <w:marBottom w:val="0"/>
      <w:divBdr>
        <w:top w:val="none" w:sz="0" w:space="0" w:color="auto"/>
        <w:left w:val="none" w:sz="0" w:space="0" w:color="auto"/>
        <w:bottom w:val="none" w:sz="0" w:space="0" w:color="auto"/>
        <w:right w:val="none" w:sz="0" w:space="0" w:color="auto"/>
      </w:divBdr>
    </w:div>
    <w:div w:id="198321008">
      <w:bodyDiv w:val="1"/>
      <w:marLeft w:val="0"/>
      <w:marRight w:val="0"/>
      <w:marTop w:val="0"/>
      <w:marBottom w:val="0"/>
      <w:divBdr>
        <w:top w:val="none" w:sz="0" w:space="0" w:color="auto"/>
        <w:left w:val="none" w:sz="0" w:space="0" w:color="auto"/>
        <w:bottom w:val="none" w:sz="0" w:space="0" w:color="auto"/>
        <w:right w:val="none" w:sz="0" w:space="0" w:color="auto"/>
      </w:divBdr>
    </w:div>
    <w:div w:id="198323132">
      <w:bodyDiv w:val="1"/>
      <w:marLeft w:val="0"/>
      <w:marRight w:val="0"/>
      <w:marTop w:val="0"/>
      <w:marBottom w:val="0"/>
      <w:divBdr>
        <w:top w:val="none" w:sz="0" w:space="0" w:color="auto"/>
        <w:left w:val="none" w:sz="0" w:space="0" w:color="auto"/>
        <w:bottom w:val="none" w:sz="0" w:space="0" w:color="auto"/>
        <w:right w:val="none" w:sz="0" w:space="0" w:color="auto"/>
      </w:divBdr>
    </w:div>
    <w:div w:id="198325327">
      <w:bodyDiv w:val="1"/>
      <w:marLeft w:val="0"/>
      <w:marRight w:val="0"/>
      <w:marTop w:val="0"/>
      <w:marBottom w:val="0"/>
      <w:divBdr>
        <w:top w:val="none" w:sz="0" w:space="0" w:color="auto"/>
        <w:left w:val="none" w:sz="0" w:space="0" w:color="auto"/>
        <w:bottom w:val="none" w:sz="0" w:space="0" w:color="auto"/>
        <w:right w:val="none" w:sz="0" w:space="0" w:color="auto"/>
      </w:divBdr>
    </w:div>
    <w:div w:id="198443324">
      <w:bodyDiv w:val="1"/>
      <w:marLeft w:val="0"/>
      <w:marRight w:val="0"/>
      <w:marTop w:val="0"/>
      <w:marBottom w:val="0"/>
      <w:divBdr>
        <w:top w:val="none" w:sz="0" w:space="0" w:color="auto"/>
        <w:left w:val="none" w:sz="0" w:space="0" w:color="auto"/>
        <w:bottom w:val="none" w:sz="0" w:space="0" w:color="auto"/>
        <w:right w:val="none" w:sz="0" w:space="0" w:color="auto"/>
      </w:divBdr>
    </w:div>
    <w:div w:id="198783201">
      <w:bodyDiv w:val="1"/>
      <w:marLeft w:val="0"/>
      <w:marRight w:val="0"/>
      <w:marTop w:val="0"/>
      <w:marBottom w:val="0"/>
      <w:divBdr>
        <w:top w:val="none" w:sz="0" w:space="0" w:color="auto"/>
        <w:left w:val="none" w:sz="0" w:space="0" w:color="auto"/>
        <w:bottom w:val="none" w:sz="0" w:space="0" w:color="auto"/>
        <w:right w:val="none" w:sz="0" w:space="0" w:color="auto"/>
      </w:divBdr>
    </w:div>
    <w:div w:id="199057426">
      <w:bodyDiv w:val="1"/>
      <w:marLeft w:val="0"/>
      <w:marRight w:val="0"/>
      <w:marTop w:val="0"/>
      <w:marBottom w:val="0"/>
      <w:divBdr>
        <w:top w:val="none" w:sz="0" w:space="0" w:color="auto"/>
        <w:left w:val="none" w:sz="0" w:space="0" w:color="auto"/>
        <w:bottom w:val="none" w:sz="0" w:space="0" w:color="auto"/>
        <w:right w:val="none" w:sz="0" w:space="0" w:color="auto"/>
      </w:divBdr>
    </w:div>
    <w:div w:id="199130968">
      <w:bodyDiv w:val="1"/>
      <w:marLeft w:val="0"/>
      <w:marRight w:val="0"/>
      <w:marTop w:val="0"/>
      <w:marBottom w:val="0"/>
      <w:divBdr>
        <w:top w:val="none" w:sz="0" w:space="0" w:color="auto"/>
        <w:left w:val="none" w:sz="0" w:space="0" w:color="auto"/>
        <w:bottom w:val="none" w:sz="0" w:space="0" w:color="auto"/>
        <w:right w:val="none" w:sz="0" w:space="0" w:color="auto"/>
      </w:divBdr>
    </w:div>
    <w:div w:id="199167380">
      <w:bodyDiv w:val="1"/>
      <w:marLeft w:val="0"/>
      <w:marRight w:val="0"/>
      <w:marTop w:val="0"/>
      <w:marBottom w:val="0"/>
      <w:divBdr>
        <w:top w:val="none" w:sz="0" w:space="0" w:color="auto"/>
        <w:left w:val="none" w:sz="0" w:space="0" w:color="auto"/>
        <w:bottom w:val="none" w:sz="0" w:space="0" w:color="auto"/>
        <w:right w:val="none" w:sz="0" w:space="0" w:color="auto"/>
      </w:divBdr>
    </w:div>
    <w:div w:id="199321832">
      <w:bodyDiv w:val="1"/>
      <w:marLeft w:val="0"/>
      <w:marRight w:val="0"/>
      <w:marTop w:val="0"/>
      <w:marBottom w:val="0"/>
      <w:divBdr>
        <w:top w:val="none" w:sz="0" w:space="0" w:color="auto"/>
        <w:left w:val="none" w:sz="0" w:space="0" w:color="auto"/>
        <w:bottom w:val="none" w:sz="0" w:space="0" w:color="auto"/>
        <w:right w:val="none" w:sz="0" w:space="0" w:color="auto"/>
      </w:divBdr>
    </w:div>
    <w:div w:id="199436287">
      <w:bodyDiv w:val="1"/>
      <w:marLeft w:val="0"/>
      <w:marRight w:val="0"/>
      <w:marTop w:val="0"/>
      <w:marBottom w:val="0"/>
      <w:divBdr>
        <w:top w:val="none" w:sz="0" w:space="0" w:color="auto"/>
        <w:left w:val="none" w:sz="0" w:space="0" w:color="auto"/>
        <w:bottom w:val="none" w:sz="0" w:space="0" w:color="auto"/>
        <w:right w:val="none" w:sz="0" w:space="0" w:color="auto"/>
      </w:divBdr>
    </w:div>
    <w:div w:id="199439754">
      <w:bodyDiv w:val="1"/>
      <w:marLeft w:val="0"/>
      <w:marRight w:val="0"/>
      <w:marTop w:val="0"/>
      <w:marBottom w:val="0"/>
      <w:divBdr>
        <w:top w:val="none" w:sz="0" w:space="0" w:color="auto"/>
        <w:left w:val="none" w:sz="0" w:space="0" w:color="auto"/>
        <w:bottom w:val="none" w:sz="0" w:space="0" w:color="auto"/>
        <w:right w:val="none" w:sz="0" w:space="0" w:color="auto"/>
      </w:divBdr>
    </w:div>
    <w:div w:id="199511730">
      <w:bodyDiv w:val="1"/>
      <w:marLeft w:val="0"/>
      <w:marRight w:val="0"/>
      <w:marTop w:val="0"/>
      <w:marBottom w:val="0"/>
      <w:divBdr>
        <w:top w:val="none" w:sz="0" w:space="0" w:color="auto"/>
        <w:left w:val="none" w:sz="0" w:space="0" w:color="auto"/>
        <w:bottom w:val="none" w:sz="0" w:space="0" w:color="auto"/>
        <w:right w:val="none" w:sz="0" w:space="0" w:color="auto"/>
      </w:divBdr>
    </w:div>
    <w:div w:id="199822068">
      <w:bodyDiv w:val="1"/>
      <w:marLeft w:val="0"/>
      <w:marRight w:val="0"/>
      <w:marTop w:val="0"/>
      <w:marBottom w:val="0"/>
      <w:divBdr>
        <w:top w:val="none" w:sz="0" w:space="0" w:color="auto"/>
        <w:left w:val="none" w:sz="0" w:space="0" w:color="auto"/>
        <w:bottom w:val="none" w:sz="0" w:space="0" w:color="auto"/>
        <w:right w:val="none" w:sz="0" w:space="0" w:color="auto"/>
      </w:divBdr>
    </w:div>
    <w:div w:id="199827774">
      <w:bodyDiv w:val="1"/>
      <w:marLeft w:val="0"/>
      <w:marRight w:val="0"/>
      <w:marTop w:val="0"/>
      <w:marBottom w:val="0"/>
      <w:divBdr>
        <w:top w:val="none" w:sz="0" w:space="0" w:color="auto"/>
        <w:left w:val="none" w:sz="0" w:space="0" w:color="auto"/>
        <w:bottom w:val="none" w:sz="0" w:space="0" w:color="auto"/>
        <w:right w:val="none" w:sz="0" w:space="0" w:color="auto"/>
      </w:divBdr>
    </w:div>
    <w:div w:id="199828149">
      <w:bodyDiv w:val="1"/>
      <w:marLeft w:val="0"/>
      <w:marRight w:val="0"/>
      <w:marTop w:val="0"/>
      <w:marBottom w:val="0"/>
      <w:divBdr>
        <w:top w:val="none" w:sz="0" w:space="0" w:color="auto"/>
        <w:left w:val="none" w:sz="0" w:space="0" w:color="auto"/>
        <w:bottom w:val="none" w:sz="0" w:space="0" w:color="auto"/>
        <w:right w:val="none" w:sz="0" w:space="0" w:color="auto"/>
      </w:divBdr>
    </w:div>
    <w:div w:id="199898691">
      <w:bodyDiv w:val="1"/>
      <w:marLeft w:val="0"/>
      <w:marRight w:val="0"/>
      <w:marTop w:val="0"/>
      <w:marBottom w:val="0"/>
      <w:divBdr>
        <w:top w:val="none" w:sz="0" w:space="0" w:color="auto"/>
        <w:left w:val="none" w:sz="0" w:space="0" w:color="auto"/>
        <w:bottom w:val="none" w:sz="0" w:space="0" w:color="auto"/>
        <w:right w:val="none" w:sz="0" w:space="0" w:color="auto"/>
      </w:divBdr>
    </w:div>
    <w:div w:id="200091311">
      <w:bodyDiv w:val="1"/>
      <w:marLeft w:val="0"/>
      <w:marRight w:val="0"/>
      <w:marTop w:val="0"/>
      <w:marBottom w:val="0"/>
      <w:divBdr>
        <w:top w:val="none" w:sz="0" w:space="0" w:color="auto"/>
        <w:left w:val="none" w:sz="0" w:space="0" w:color="auto"/>
        <w:bottom w:val="none" w:sz="0" w:space="0" w:color="auto"/>
        <w:right w:val="none" w:sz="0" w:space="0" w:color="auto"/>
      </w:divBdr>
    </w:div>
    <w:div w:id="200169574">
      <w:bodyDiv w:val="1"/>
      <w:marLeft w:val="0"/>
      <w:marRight w:val="0"/>
      <w:marTop w:val="0"/>
      <w:marBottom w:val="0"/>
      <w:divBdr>
        <w:top w:val="none" w:sz="0" w:space="0" w:color="auto"/>
        <w:left w:val="none" w:sz="0" w:space="0" w:color="auto"/>
        <w:bottom w:val="none" w:sz="0" w:space="0" w:color="auto"/>
        <w:right w:val="none" w:sz="0" w:space="0" w:color="auto"/>
      </w:divBdr>
    </w:div>
    <w:div w:id="200291239">
      <w:bodyDiv w:val="1"/>
      <w:marLeft w:val="0"/>
      <w:marRight w:val="0"/>
      <w:marTop w:val="0"/>
      <w:marBottom w:val="0"/>
      <w:divBdr>
        <w:top w:val="none" w:sz="0" w:space="0" w:color="auto"/>
        <w:left w:val="none" w:sz="0" w:space="0" w:color="auto"/>
        <w:bottom w:val="none" w:sz="0" w:space="0" w:color="auto"/>
        <w:right w:val="none" w:sz="0" w:space="0" w:color="auto"/>
      </w:divBdr>
    </w:div>
    <w:div w:id="200360945">
      <w:bodyDiv w:val="1"/>
      <w:marLeft w:val="0"/>
      <w:marRight w:val="0"/>
      <w:marTop w:val="0"/>
      <w:marBottom w:val="0"/>
      <w:divBdr>
        <w:top w:val="none" w:sz="0" w:space="0" w:color="auto"/>
        <w:left w:val="none" w:sz="0" w:space="0" w:color="auto"/>
        <w:bottom w:val="none" w:sz="0" w:space="0" w:color="auto"/>
        <w:right w:val="none" w:sz="0" w:space="0" w:color="auto"/>
      </w:divBdr>
    </w:div>
    <w:div w:id="200365609">
      <w:bodyDiv w:val="1"/>
      <w:marLeft w:val="0"/>
      <w:marRight w:val="0"/>
      <w:marTop w:val="0"/>
      <w:marBottom w:val="0"/>
      <w:divBdr>
        <w:top w:val="none" w:sz="0" w:space="0" w:color="auto"/>
        <w:left w:val="none" w:sz="0" w:space="0" w:color="auto"/>
        <w:bottom w:val="none" w:sz="0" w:space="0" w:color="auto"/>
        <w:right w:val="none" w:sz="0" w:space="0" w:color="auto"/>
      </w:divBdr>
    </w:div>
    <w:div w:id="200366594">
      <w:bodyDiv w:val="1"/>
      <w:marLeft w:val="0"/>
      <w:marRight w:val="0"/>
      <w:marTop w:val="0"/>
      <w:marBottom w:val="0"/>
      <w:divBdr>
        <w:top w:val="none" w:sz="0" w:space="0" w:color="auto"/>
        <w:left w:val="none" w:sz="0" w:space="0" w:color="auto"/>
        <w:bottom w:val="none" w:sz="0" w:space="0" w:color="auto"/>
        <w:right w:val="none" w:sz="0" w:space="0" w:color="auto"/>
      </w:divBdr>
    </w:div>
    <w:div w:id="200436603">
      <w:bodyDiv w:val="1"/>
      <w:marLeft w:val="0"/>
      <w:marRight w:val="0"/>
      <w:marTop w:val="0"/>
      <w:marBottom w:val="0"/>
      <w:divBdr>
        <w:top w:val="none" w:sz="0" w:space="0" w:color="auto"/>
        <w:left w:val="none" w:sz="0" w:space="0" w:color="auto"/>
        <w:bottom w:val="none" w:sz="0" w:space="0" w:color="auto"/>
        <w:right w:val="none" w:sz="0" w:space="0" w:color="auto"/>
      </w:divBdr>
    </w:div>
    <w:div w:id="200480483">
      <w:bodyDiv w:val="1"/>
      <w:marLeft w:val="0"/>
      <w:marRight w:val="0"/>
      <w:marTop w:val="0"/>
      <w:marBottom w:val="0"/>
      <w:divBdr>
        <w:top w:val="none" w:sz="0" w:space="0" w:color="auto"/>
        <w:left w:val="none" w:sz="0" w:space="0" w:color="auto"/>
        <w:bottom w:val="none" w:sz="0" w:space="0" w:color="auto"/>
        <w:right w:val="none" w:sz="0" w:space="0" w:color="auto"/>
      </w:divBdr>
    </w:div>
    <w:div w:id="200483093">
      <w:bodyDiv w:val="1"/>
      <w:marLeft w:val="0"/>
      <w:marRight w:val="0"/>
      <w:marTop w:val="0"/>
      <w:marBottom w:val="0"/>
      <w:divBdr>
        <w:top w:val="none" w:sz="0" w:space="0" w:color="auto"/>
        <w:left w:val="none" w:sz="0" w:space="0" w:color="auto"/>
        <w:bottom w:val="none" w:sz="0" w:space="0" w:color="auto"/>
        <w:right w:val="none" w:sz="0" w:space="0" w:color="auto"/>
      </w:divBdr>
    </w:div>
    <w:div w:id="200555534">
      <w:bodyDiv w:val="1"/>
      <w:marLeft w:val="0"/>
      <w:marRight w:val="0"/>
      <w:marTop w:val="0"/>
      <w:marBottom w:val="0"/>
      <w:divBdr>
        <w:top w:val="none" w:sz="0" w:space="0" w:color="auto"/>
        <w:left w:val="none" w:sz="0" w:space="0" w:color="auto"/>
        <w:bottom w:val="none" w:sz="0" w:space="0" w:color="auto"/>
        <w:right w:val="none" w:sz="0" w:space="0" w:color="auto"/>
      </w:divBdr>
    </w:div>
    <w:div w:id="200633176">
      <w:bodyDiv w:val="1"/>
      <w:marLeft w:val="0"/>
      <w:marRight w:val="0"/>
      <w:marTop w:val="0"/>
      <w:marBottom w:val="0"/>
      <w:divBdr>
        <w:top w:val="none" w:sz="0" w:space="0" w:color="auto"/>
        <w:left w:val="none" w:sz="0" w:space="0" w:color="auto"/>
        <w:bottom w:val="none" w:sz="0" w:space="0" w:color="auto"/>
        <w:right w:val="none" w:sz="0" w:space="0" w:color="auto"/>
      </w:divBdr>
    </w:div>
    <w:div w:id="200671852">
      <w:bodyDiv w:val="1"/>
      <w:marLeft w:val="0"/>
      <w:marRight w:val="0"/>
      <w:marTop w:val="0"/>
      <w:marBottom w:val="0"/>
      <w:divBdr>
        <w:top w:val="none" w:sz="0" w:space="0" w:color="auto"/>
        <w:left w:val="none" w:sz="0" w:space="0" w:color="auto"/>
        <w:bottom w:val="none" w:sz="0" w:space="0" w:color="auto"/>
        <w:right w:val="none" w:sz="0" w:space="0" w:color="auto"/>
      </w:divBdr>
    </w:div>
    <w:div w:id="200749687">
      <w:bodyDiv w:val="1"/>
      <w:marLeft w:val="0"/>
      <w:marRight w:val="0"/>
      <w:marTop w:val="0"/>
      <w:marBottom w:val="0"/>
      <w:divBdr>
        <w:top w:val="none" w:sz="0" w:space="0" w:color="auto"/>
        <w:left w:val="none" w:sz="0" w:space="0" w:color="auto"/>
        <w:bottom w:val="none" w:sz="0" w:space="0" w:color="auto"/>
        <w:right w:val="none" w:sz="0" w:space="0" w:color="auto"/>
      </w:divBdr>
    </w:div>
    <w:div w:id="200896835">
      <w:bodyDiv w:val="1"/>
      <w:marLeft w:val="0"/>
      <w:marRight w:val="0"/>
      <w:marTop w:val="0"/>
      <w:marBottom w:val="0"/>
      <w:divBdr>
        <w:top w:val="none" w:sz="0" w:space="0" w:color="auto"/>
        <w:left w:val="none" w:sz="0" w:space="0" w:color="auto"/>
        <w:bottom w:val="none" w:sz="0" w:space="0" w:color="auto"/>
        <w:right w:val="none" w:sz="0" w:space="0" w:color="auto"/>
      </w:divBdr>
    </w:div>
    <w:div w:id="200943538">
      <w:bodyDiv w:val="1"/>
      <w:marLeft w:val="0"/>
      <w:marRight w:val="0"/>
      <w:marTop w:val="0"/>
      <w:marBottom w:val="0"/>
      <w:divBdr>
        <w:top w:val="none" w:sz="0" w:space="0" w:color="auto"/>
        <w:left w:val="none" w:sz="0" w:space="0" w:color="auto"/>
        <w:bottom w:val="none" w:sz="0" w:space="0" w:color="auto"/>
        <w:right w:val="none" w:sz="0" w:space="0" w:color="auto"/>
      </w:divBdr>
    </w:div>
    <w:div w:id="201137373">
      <w:bodyDiv w:val="1"/>
      <w:marLeft w:val="0"/>
      <w:marRight w:val="0"/>
      <w:marTop w:val="0"/>
      <w:marBottom w:val="0"/>
      <w:divBdr>
        <w:top w:val="none" w:sz="0" w:space="0" w:color="auto"/>
        <w:left w:val="none" w:sz="0" w:space="0" w:color="auto"/>
        <w:bottom w:val="none" w:sz="0" w:space="0" w:color="auto"/>
        <w:right w:val="none" w:sz="0" w:space="0" w:color="auto"/>
      </w:divBdr>
    </w:div>
    <w:div w:id="201138524">
      <w:bodyDiv w:val="1"/>
      <w:marLeft w:val="0"/>
      <w:marRight w:val="0"/>
      <w:marTop w:val="0"/>
      <w:marBottom w:val="0"/>
      <w:divBdr>
        <w:top w:val="none" w:sz="0" w:space="0" w:color="auto"/>
        <w:left w:val="none" w:sz="0" w:space="0" w:color="auto"/>
        <w:bottom w:val="none" w:sz="0" w:space="0" w:color="auto"/>
        <w:right w:val="none" w:sz="0" w:space="0" w:color="auto"/>
      </w:divBdr>
    </w:div>
    <w:div w:id="201140989">
      <w:bodyDiv w:val="1"/>
      <w:marLeft w:val="0"/>
      <w:marRight w:val="0"/>
      <w:marTop w:val="0"/>
      <w:marBottom w:val="0"/>
      <w:divBdr>
        <w:top w:val="none" w:sz="0" w:space="0" w:color="auto"/>
        <w:left w:val="none" w:sz="0" w:space="0" w:color="auto"/>
        <w:bottom w:val="none" w:sz="0" w:space="0" w:color="auto"/>
        <w:right w:val="none" w:sz="0" w:space="0" w:color="auto"/>
      </w:divBdr>
    </w:div>
    <w:div w:id="201405653">
      <w:bodyDiv w:val="1"/>
      <w:marLeft w:val="0"/>
      <w:marRight w:val="0"/>
      <w:marTop w:val="0"/>
      <w:marBottom w:val="0"/>
      <w:divBdr>
        <w:top w:val="none" w:sz="0" w:space="0" w:color="auto"/>
        <w:left w:val="none" w:sz="0" w:space="0" w:color="auto"/>
        <w:bottom w:val="none" w:sz="0" w:space="0" w:color="auto"/>
        <w:right w:val="none" w:sz="0" w:space="0" w:color="auto"/>
      </w:divBdr>
    </w:div>
    <w:div w:id="201525622">
      <w:bodyDiv w:val="1"/>
      <w:marLeft w:val="0"/>
      <w:marRight w:val="0"/>
      <w:marTop w:val="0"/>
      <w:marBottom w:val="0"/>
      <w:divBdr>
        <w:top w:val="none" w:sz="0" w:space="0" w:color="auto"/>
        <w:left w:val="none" w:sz="0" w:space="0" w:color="auto"/>
        <w:bottom w:val="none" w:sz="0" w:space="0" w:color="auto"/>
        <w:right w:val="none" w:sz="0" w:space="0" w:color="auto"/>
      </w:divBdr>
    </w:div>
    <w:div w:id="201601603">
      <w:bodyDiv w:val="1"/>
      <w:marLeft w:val="0"/>
      <w:marRight w:val="0"/>
      <w:marTop w:val="0"/>
      <w:marBottom w:val="0"/>
      <w:divBdr>
        <w:top w:val="none" w:sz="0" w:space="0" w:color="auto"/>
        <w:left w:val="none" w:sz="0" w:space="0" w:color="auto"/>
        <w:bottom w:val="none" w:sz="0" w:space="0" w:color="auto"/>
        <w:right w:val="none" w:sz="0" w:space="0" w:color="auto"/>
      </w:divBdr>
    </w:div>
    <w:div w:id="201752221">
      <w:bodyDiv w:val="1"/>
      <w:marLeft w:val="0"/>
      <w:marRight w:val="0"/>
      <w:marTop w:val="0"/>
      <w:marBottom w:val="0"/>
      <w:divBdr>
        <w:top w:val="none" w:sz="0" w:space="0" w:color="auto"/>
        <w:left w:val="none" w:sz="0" w:space="0" w:color="auto"/>
        <w:bottom w:val="none" w:sz="0" w:space="0" w:color="auto"/>
        <w:right w:val="none" w:sz="0" w:space="0" w:color="auto"/>
      </w:divBdr>
    </w:div>
    <w:div w:id="201863931">
      <w:bodyDiv w:val="1"/>
      <w:marLeft w:val="0"/>
      <w:marRight w:val="0"/>
      <w:marTop w:val="0"/>
      <w:marBottom w:val="0"/>
      <w:divBdr>
        <w:top w:val="none" w:sz="0" w:space="0" w:color="auto"/>
        <w:left w:val="none" w:sz="0" w:space="0" w:color="auto"/>
        <w:bottom w:val="none" w:sz="0" w:space="0" w:color="auto"/>
        <w:right w:val="none" w:sz="0" w:space="0" w:color="auto"/>
      </w:divBdr>
    </w:div>
    <w:div w:id="202057622">
      <w:bodyDiv w:val="1"/>
      <w:marLeft w:val="0"/>
      <w:marRight w:val="0"/>
      <w:marTop w:val="0"/>
      <w:marBottom w:val="0"/>
      <w:divBdr>
        <w:top w:val="none" w:sz="0" w:space="0" w:color="auto"/>
        <w:left w:val="none" w:sz="0" w:space="0" w:color="auto"/>
        <w:bottom w:val="none" w:sz="0" w:space="0" w:color="auto"/>
        <w:right w:val="none" w:sz="0" w:space="0" w:color="auto"/>
      </w:divBdr>
    </w:div>
    <w:div w:id="202179959">
      <w:bodyDiv w:val="1"/>
      <w:marLeft w:val="0"/>
      <w:marRight w:val="0"/>
      <w:marTop w:val="0"/>
      <w:marBottom w:val="0"/>
      <w:divBdr>
        <w:top w:val="none" w:sz="0" w:space="0" w:color="auto"/>
        <w:left w:val="none" w:sz="0" w:space="0" w:color="auto"/>
        <w:bottom w:val="none" w:sz="0" w:space="0" w:color="auto"/>
        <w:right w:val="none" w:sz="0" w:space="0" w:color="auto"/>
      </w:divBdr>
    </w:div>
    <w:div w:id="202256131">
      <w:bodyDiv w:val="1"/>
      <w:marLeft w:val="0"/>
      <w:marRight w:val="0"/>
      <w:marTop w:val="0"/>
      <w:marBottom w:val="0"/>
      <w:divBdr>
        <w:top w:val="none" w:sz="0" w:space="0" w:color="auto"/>
        <w:left w:val="none" w:sz="0" w:space="0" w:color="auto"/>
        <w:bottom w:val="none" w:sz="0" w:space="0" w:color="auto"/>
        <w:right w:val="none" w:sz="0" w:space="0" w:color="auto"/>
      </w:divBdr>
    </w:div>
    <w:div w:id="202333315">
      <w:bodyDiv w:val="1"/>
      <w:marLeft w:val="0"/>
      <w:marRight w:val="0"/>
      <w:marTop w:val="0"/>
      <w:marBottom w:val="0"/>
      <w:divBdr>
        <w:top w:val="none" w:sz="0" w:space="0" w:color="auto"/>
        <w:left w:val="none" w:sz="0" w:space="0" w:color="auto"/>
        <w:bottom w:val="none" w:sz="0" w:space="0" w:color="auto"/>
        <w:right w:val="none" w:sz="0" w:space="0" w:color="auto"/>
      </w:divBdr>
    </w:div>
    <w:div w:id="202445574">
      <w:bodyDiv w:val="1"/>
      <w:marLeft w:val="0"/>
      <w:marRight w:val="0"/>
      <w:marTop w:val="0"/>
      <w:marBottom w:val="0"/>
      <w:divBdr>
        <w:top w:val="none" w:sz="0" w:space="0" w:color="auto"/>
        <w:left w:val="none" w:sz="0" w:space="0" w:color="auto"/>
        <w:bottom w:val="none" w:sz="0" w:space="0" w:color="auto"/>
        <w:right w:val="none" w:sz="0" w:space="0" w:color="auto"/>
      </w:divBdr>
    </w:div>
    <w:div w:id="202720833">
      <w:bodyDiv w:val="1"/>
      <w:marLeft w:val="0"/>
      <w:marRight w:val="0"/>
      <w:marTop w:val="0"/>
      <w:marBottom w:val="0"/>
      <w:divBdr>
        <w:top w:val="none" w:sz="0" w:space="0" w:color="auto"/>
        <w:left w:val="none" w:sz="0" w:space="0" w:color="auto"/>
        <w:bottom w:val="none" w:sz="0" w:space="0" w:color="auto"/>
        <w:right w:val="none" w:sz="0" w:space="0" w:color="auto"/>
      </w:divBdr>
    </w:div>
    <w:div w:id="202788216">
      <w:bodyDiv w:val="1"/>
      <w:marLeft w:val="0"/>
      <w:marRight w:val="0"/>
      <w:marTop w:val="0"/>
      <w:marBottom w:val="0"/>
      <w:divBdr>
        <w:top w:val="none" w:sz="0" w:space="0" w:color="auto"/>
        <w:left w:val="none" w:sz="0" w:space="0" w:color="auto"/>
        <w:bottom w:val="none" w:sz="0" w:space="0" w:color="auto"/>
        <w:right w:val="none" w:sz="0" w:space="0" w:color="auto"/>
      </w:divBdr>
    </w:div>
    <w:div w:id="202912732">
      <w:bodyDiv w:val="1"/>
      <w:marLeft w:val="0"/>
      <w:marRight w:val="0"/>
      <w:marTop w:val="0"/>
      <w:marBottom w:val="0"/>
      <w:divBdr>
        <w:top w:val="none" w:sz="0" w:space="0" w:color="auto"/>
        <w:left w:val="none" w:sz="0" w:space="0" w:color="auto"/>
        <w:bottom w:val="none" w:sz="0" w:space="0" w:color="auto"/>
        <w:right w:val="none" w:sz="0" w:space="0" w:color="auto"/>
      </w:divBdr>
    </w:div>
    <w:div w:id="203056752">
      <w:bodyDiv w:val="1"/>
      <w:marLeft w:val="0"/>
      <w:marRight w:val="0"/>
      <w:marTop w:val="0"/>
      <w:marBottom w:val="0"/>
      <w:divBdr>
        <w:top w:val="none" w:sz="0" w:space="0" w:color="auto"/>
        <w:left w:val="none" w:sz="0" w:space="0" w:color="auto"/>
        <w:bottom w:val="none" w:sz="0" w:space="0" w:color="auto"/>
        <w:right w:val="none" w:sz="0" w:space="0" w:color="auto"/>
      </w:divBdr>
    </w:div>
    <w:div w:id="203098850">
      <w:bodyDiv w:val="1"/>
      <w:marLeft w:val="0"/>
      <w:marRight w:val="0"/>
      <w:marTop w:val="0"/>
      <w:marBottom w:val="0"/>
      <w:divBdr>
        <w:top w:val="none" w:sz="0" w:space="0" w:color="auto"/>
        <w:left w:val="none" w:sz="0" w:space="0" w:color="auto"/>
        <w:bottom w:val="none" w:sz="0" w:space="0" w:color="auto"/>
        <w:right w:val="none" w:sz="0" w:space="0" w:color="auto"/>
      </w:divBdr>
    </w:div>
    <w:div w:id="203100521">
      <w:bodyDiv w:val="1"/>
      <w:marLeft w:val="0"/>
      <w:marRight w:val="0"/>
      <w:marTop w:val="0"/>
      <w:marBottom w:val="0"/>
      <w:divBdr>
        <w:top w:val="none" w:sz="0" w:space="0" w:color="auto"/>
        <w:left w:val="none" w:sz="0" w:space="0" w:color="auto"/>
        <w:bottom w:val="none" w:sz="0" w:space="0" w:color="auto"/>
        <w:right w:val="none" w:sz="0" w:space="0" w:color="auto"/>
      </w:divBdr>
    </w:div>
    <w:div w:id="203179050">
      <w:bodyDiv w:val="1"/>
      <w:marLeft w:val="0"/>
      <w:marRight w:val="0"/>
      <w:marTop w:val="0"/>
      <w:marBottom w:val="0"/>
      <w:divBdr>
        <w:top w:val="none" w:sz="0" w:space="0" w:color="auto"/>
        <w:left w:val="none" w:sz="0" w:space="0" w:color="auto"/>
        <w:bottom w:val="none" w:sz="0" w:space="0" w:color="auto"/>
        <w:right w:val="none" w:sz="0" w:space="0" w:color="auto"/>
      </w:divBdr>
    </w:div>
    <w:div w:id="203374086">
      <w:bodyDiv w:val="1"/>
      <w:marLeft w:val="0"/>
      <w:marRight w:val="0"/>
      <w:marTop w:val="0"/>
      <w:marBottom w:val="0"/>
      <w:divBdr>
        <w:top w:val="none" w:sz="0" w:space="0" w:color="auto"/>
        <w:left w:val="none" w:sz="0" w:space="0" w:color="auto"/>
        <w:bottom w:val="none" w:sz="0" w:space="0" w:color="auto"/>
        <w:right w:val="none" w:sz="0" w:space="0" w:color="auto"/>
      </w:divBdr>
    </w:div>
    <w:div w:id="203636244">
      <w:bodyDiv w:val="1"/>
      <w:marLeft w:val="0"/>
      <w:marRight w:val="0"/>
      <w:marTop w:val="0"/>
      <w:marBottom w:val="0"/>
      <w:divBdr>
        <w:top w:val="none" w:sz="0" w:space="0" w:color="auto"/>
        <w:left w:val="none" w:sz="0" w:space="0" w:color="auto"/>
        <w:bottom w:val="none" w:sz="0" w:space="0" w:color="auto"/>
        <w:right w:val="none" w:sz="0" w:space="0" w:color="auto"/>
      </w:divBdr>
    </w:div>
    <w:div w:id="203636727">
      <w:bodyDiv w:val="1"/>
      <w:marLeft w:val="0"/>
      <w:marRight w:val="0"/>
      <w:marTop w:val="0"/>
      <w:marBottom w:val="0"/>
      <w:divBdr>
        <w:top w:val="none" w:sz="0" w:space="0" w:color="auto"/>
        <w:left w:val="none" w:sz="0" w:space="0" w:color="auto"/>
        <w:bottom w:val="none" w:sz="0" w:space="0" w:color="auto"/>
        <w:right w:val="none" w:sz="0" w:space="0" w:color="auto"/>
      </w:divBdr>
    </w:div>
    <w:div w:id="203638991">
      <w:bodyDiv w:val="1"/>
      <w:marLeft w:val="0"/>
      <w:marRight w:val="0"/>
      <w:marTop w:val="0"/>
      <w:marBottom w:val="0"/>
      <w:divBdr>
        <w:top w:val="none" w:sz="0" w:space="0" w:color="auto"/>
        <w:left w:val="none" w:sz="0" w:space="0" w:color="auto"/>
        <w:bottom w:val="none" w:sz="0" w:space="0" w:color="auto"/>
        <w:right w:val="none" w:sz="0" w:space="0" w:color="auto"/>
      </w:divBdr>
    </w:div>
    <w:div w:id="203641066">
      <w:bodyDiv w:val="1"/>
      <w:marLeft w:val="0"/>
      <w:marRight w:val="0"/>
      <w:marTop w:val="0"/>
      <w:marBottom w:val="0"/>
      <w:divBdr>
        <w:top w:val="none" w:sz="0" w:space="0" w:color="auto"/>
        <w:left w:val="none" w:sz="0" w:space="0" w:color="auto"/>
        <w:bottom w:val="none" w:sz="0" w:space="0" w:color="auto"/>
        <w:right w:val="none" w:sz="0" w:space="0" w:color="auto"/>
      </w:divBdr>
    </w:div>
    <w:div w:id="203710506">
      <w:bodyDiv w:val="1"/>
      <w:marLeft w:val="0"/>
      <w:marRight w:val="0"/>
      <w:marTop w:val="0"/>
      <w:marBottom w:val="0"/>
      <w:divBdr>
        <w:top w:val="none" w:sz="0" w:space="0" w:color="auto"/>
        <w:left w:val="none" w:sz="0" w:space="0" w:color="auto"/>
        <w:bottom w:val="none" w:sz="0" w:space="0" w:color="auto"/>
        <w:right w:val="none" w:sz="0" w:space="0" w:color="auto"/>
      </w:divBdr>
    </w:div>
    <w:div w:id="203713053">
      <w:bodyDiv w:val="1"/>
      <w:marLeft w:val="0"/>
      <w:marRight w:val="0"/>
      <w:marTop w:val="0"/>
      <w:marBottom w:val="0"/>
      <w:divBdr>
        <w:top w:val="none" w:sz="0" w:space="0" w:color="auto"/>
        <w:left w:val="none" w:sz="0" w:space="0" w:color="auto"/>
        <w:bottom w:val="none" w:sz="0" w:space="0" w:color="auto"/>
        <w:right w:val="none" w:sz="0" w:space="0" w:color="auto"/>
      </w:divBdr>
    </w:div>
    <w:div w:id="203755812">
      <w:bodyDiv w:val="1"/>
      <w:marLeft w:val="0"/>
      <w:marRight w:val="0"/>
      <w:marTop w:val="0"/>
      <w:marBottom w:val="0"/>
      <w:divBdr>
        <w:top w:val="none" w:sz="0" w:space="0" w:color="auto"/>
        <w:left w:val="none" w:sz="0" w:space="0" w:color="auto"/>
        <w:bottom w:val="none" w:sz="0" w:space="0" w:color="auto"/>
        <w:right w:val="none" w:sz="0" w:space="0" w:color="auto"/>
      </w:divBdr>
    </w:div>
    <w:div w:id="203829436">
      <w:bodyDiv w:val="1"/>
      <w:marLeft w:val="0"/>
      <w:marRight w:val="0"/>
      <w:marTop w:val="0"/>
      <w:marBottom w:val="0"/>
      <w:divBdr>
        <w:top w:val="none" w:sz="0" w:space="0" w:color="auto"/>
        <w:left w:val="none" w:sz="0" w:space="0" w:color="auto"/>
        <w:bottom w:val="none" w:sz="0" w:space="0" w:color="auto"/>
        <w:right w:val="none" w:sz="0" w:space="0" w:color="auto"/>
      </w:divBdr>
    </w:div>
    <w:div w:id="203907958">
      <w:bodyDiv w:val="1"/>
      <w:marLeft w:val="0"/>
      <w:marRight w:val="0"/>
      <w:marTop w:val="0"/>
      <w:marBottom w:val="0"/>
      <w:divBdr>
        <w:top w:val="none" w:sz="0" w:space="0" w:color="auto"/>
        <w:left w:val="none" w:sz="0" w:space="0" w:color="auto"/>
        <w:bottom w:val="none" w:sz="0" w:space="0" w:color="auto"/>
        <w:right w:val="none" w:sz="0" w:space="0" w:color="auto"/>
      </w:divBdr>
    </w:div>
    <w:div w:id="203912476">
      <w:bodyDiv w:val="1"/>
      <w:marLeft w:val="0"/>
      <w:marRight w:val="0"/>
      <w:marTop w:val="0"/>
      <w:marBottom w:val="0"/>
      <w:divBdr>
        <w:top w:val="none" w:sz="0" w:space="0" w:color="auto"/>
        <w:left w:val="none" w:sz="0" w:space="0" w:color="auto"/>
        <w:bottom w:val="none" w:sz="0" w:space="0" w:color="auto"/>
        <w:right w:val="none" w:sz="0" w:space="0" w:color="auto"/>
      </w:divBdr>
    </w:div>
    <w:div w:id="203912620">
      <w:bodyDiv w:val="1"/>
      <w:marLeft w:val="0"/>
      <w:marRight w:val="0"/>
      <w:marTop w:val="0"/>
      <w:marBottom w:val="0"/>
      <w:divBdr>
        <w:top w:val="none" w:sz="0" w:space="0" w:color="auto"/>
        <w:left w:val="none" w:sz="0" w:space="0" w:color="auto"/>
        <w:bottom w:val="none" w:sz="0" w:space="0" w:color="auto"/>
        <w:right w:val="none" w:sz="0" w:space="0" w:color="auto"/>
      </w:divBdr>
    </w:div>
    <w:div w:id="204026880">
      <w:bodyDiv w:val="1"/>
      <w:marLeft w:val="0"/>
      <w:marRight w:val="0"/>
      <w:marTop w:val="0"/>
      <w:marBottom w:val="0"/>
      <w:divBdr>
        <w:top w:val="none" w:sz="0" w:space="0" w:color="auto"/>
        <w:left w:val="none" w:sz="0" w:space="0" w:color="auto"/>
        <w:bottom w:val="none" w:sz="0" w:space="0" w:color="auto"/>
        <w:right w:val="none" w:sz="0" w:space="0" w:color="auto"/>
      </w:divBdr>
    </w:div>
    <w:div w:id="204027454">
      <w:bodyDiv w:val="1"/>
      <w:marLeft w:val="0"/>
      <w:marRight w:val="0"/>
      <w:marTop w:val="0"/>
      <w:marBottom w:val="0"/>
      <w:divBdr>
        <w:top w:val="none" w:sz="0" w:space="0" w:color="auto"/>
        <w:left w:val="none" w:sz="0" w:space="0" w:color="auto"/>
        <w:bottom w:val="none" w:sz="0" w:space="0" w:color="auto"/>
        <w:right w:val="none" w:sz="0" w:space="0" w:color="auto"/>
      </w:divBdr>
    </w:div>
    <w:div w:id="204031030">
      <w:bodyDiv w:val="1"/>
      <w:marLeft w:val="0"/>
      <w:marRight w:val="0"/>
      <w:marTop w:val="0"/>
      <w:marBottom w:val="0"/>
      <w:divBdr>
        <w:top w:val="none" w:sz="0" w:space="0" w:color="auto"/>
        <w:left w:val="none" w:sz="0" w:space="0" w:color="auto"/>
        <w:bottom w:val="none" w:sz="0" w:space="0" w:color="auto"/>
        <w:right w:val="none" w:sz="0" w:space="0" w:color="auto"/>
      </w:divBdr>
    </w:div>
    <w:div w:id="204100209">
      <w:bodyDiv w:val="1"/>
      <w:marLeft w:val="0"/>
      <w:marRight w:val="0"/>
      <w:marTop w:val="0"/>
      <w:marBottom w:val="0"/>
      <w:divBdr>
        <w:top w:val="none" w:sz="0" w:space="0" w:color="auto"/>
        <w:left w:val="none" w:sz="0" w:space="0" w:color="auto"/>
        <w:bottom w:val="none" w:sz="0" w:space="0" w:color="auto"/>
        <w:right w:val="none" w:sz="0" w:space="0" w:color="auto"/>
      </w:divBdr>
    </w:div>
    <w:div w:id="204101541">
      <w:bodyDiv w:val="1"/>
      <w:marLeft w:val="0"/>
      <w:marRight w:val="0"/>
      <w:marTop w:val="0"/>
      <w:marBottom w:val="0"/>
      <w:divBdr>
        <w:top w:val="none" w:sz="0" w:space="0" w:color="auto"/>
        <w:left w:val="none" w:sz="0" w:space="0" w:color="auto"/>
        <w:bottom w:val="none" w:sz="0" w:space="0" w:color="auto"/>
        <w:right w:val="none" w:sz="0" w:space="0" w:color="auto"/>
      </w:divBdr>
    </w:div>
    <w:div w:id="204146213">
      <w:bodyDiv w:val="1"/>
      <w:marLeft w:val="0"/>
      <w:marRight w:val="0"/>
      <w:marTop w:val="0"/>
      <w:marBottom w:val="0"/>
      <w:divBdr>
        <w:top w:val="none" w:sz="0" w:space="0" w:color="auto"/>
        <w:left w:val="none" w:sz="0" w:space="0" w:color="auto"/>
        <w:bottom w:val="none" w:sz="0" w:space="0" w:color="auto"/>
        <w:right w:val="none" w:sz="0" w:space="0" w:color="auto"/>
      </w:divBdr>
    </w:div>
    <w:div w:id="204147297">
      <w:bodyDiv w:val="1"/>
      <w:marLeft w:val="0"/>
      <w:marRight w:val="0"/>
      <w:marTop w:val="0"/>
      <w:marBottom w:val="0"/>
      <w:divBdr>
        <w:top w:val="none" w:sz="0" w:space="0" w:color="auto"/>
        <w:left w:val="none" w:sz="0" w:space="0" w:color="auto"/>
        <w:bottom w:val="none" w:sz="0" w:space="0" w:color="auto"/>
        <w:right w:val="none" w:sz="0" w:space="0" w:color="auto"/>
      </w:divBdr>
    </w:div>
    <w:div w:id="204216403">
      <w:bodyDiv w:val="1"/>
      <w:marLeft w:val="0"/>
      <w:marRight w:val="0"/>
      <w:marTop w:val="0"/>
      <w:marBottom w:val="0"/>
      <w:divBdr>
        <w:top w:val="none" w:sz="0" w:space="0" w:color="auto"/>
        <w:left w:val="none" w:sz="0" w:space="0" w:color="auto"/>
        <w:bottom w:val="none" w:sz="0" w:space="0" w:color="auto"/>
        <w:right w:val="none" w:sz="0" w:space="0" w:color="auto"/>
      </w:divBdr>
    </w:div>
    <w:div w:id="204222628">
      <w:bodyDiv w:val="1"/>
      <w:marLeft w:val="0"/>
      <w:marRight w:val="0"/>
      <w:marTop w:val="0"/>
      <w:marBottom w:val="0"/>
      <w:divBdr>
        <w:top w:val="none" w:sz="0" w:space="0" w:color="auto"/>
        <w:left w:val="none" w:sz="0" w:space="0" w:color="auto"/>
        <w:bottom w:val="none" w:sz="0" w:space="0" w:color="auto"/>
        <w:right w:val="none" w:sz="0" w:space="0" w:color="auto"/>
      </w:divBdr>
    </w:div>
    <w:div w:id="204223506">
      <w:bodyDiv w:val="1"/>
      <w:marLeft w:val="0"/>
      <w:marRight w:val="0"/>
      <w:marTop w:val="0"/>
      <w:marBottom w:val="0"/>
      <w:divBdr>
        <w:top w:val="none" w:sz="0" w:space="0" w:color="auto"/>
        <w:left w:val="none" w:sz="0" w:space="0" w:color="auto"/>
        <w:bottom w:val="none" w:sz="0" w:space="0" w:color="auto"/>
        <w:right w:val="none" w:sz="0" w:space="0" w:color="auto"/>
      </w:divBdr>
    </w:div>
    <w:div w:id="204293953">
      <w:bodyDiv w:val="1"/>
      <w:marLeft w:val="0"/>
      <w:marRight w:val="0"/>
      <w:marTop w:val="0"/>
      <w:marBottom w:val="0"/>
      <w:divBdr>
        <w:top w:val="none" w:sz="0" w:space="0" w:color="auto"/>
        <w:left w:val="none" w:sz="0" w:space="0" w:color="auto"/>
        <w:bottom w:val="none" w:sz="0" w:space="0" w:color="auto"/>
        <w:right w:val="none" w:sz="0" w:space="0" w:color="auto"/>
      </w:divBdr>
    </w:div>
    <w:div w:id="204415311">
      <w:bodyDiv w:val="1"/>
      <w:marLeft w:val="0"/>
      <w:marRight w:val="0"/>
      <w:marTop w:val="0"/>
      <w:marBottom w:val="0"/>
      <w:divBdr>
        <w:top w:val="none" w:sz="0" w:space="0" w:color="auto"/>
        <w:left w:val="none" w:sz="0" w:space="0" w:color="auto"/>
        <w:bottom w:val="none" w:sz="0" w:space="0" w:color="auto"/>
        <w:right w:val="none" w:sz="0" w:space="0" w:color="auto"/>
      </w:divBdr>
    </w:div>
    <w:div w:id="204484494">
      <w:bodyDiv w:val="1"/>
      <w:marLeft w:val="0"/>
      <w:marRight w:val="0"/>
      <w:marTop w:val="0"/>
      <w:marBottom w:val="0"/>
      <w:divBdr>
        <w:top w:val="none" w:sz="0" w:space="0" w:color="auto"/>
        <w:left w:val="none" w:sz="0" w:space="0" w:color="auto"/>
        <w:bottom w:val="none" w:sz="0" w:space="0" w:color="auto"/>
        <w:right w:val="none" w:sz="0" w:space="0" w:color="auto"/>
      </w:divBdr>
    </w:div>
    <w:div w:id="204486211">
      <w:bodyDiv w:val="1"/>
      <w:marLeft w:val="0"/>
      <w:marRight w:val="0"/>
      <w:marTop w:val="0"/>
      <w:marBottom w:val="0"/>
      <w:divBdr>
        <w:top w:val="none" w:sz="0" w:space="0" w:color="auto"/>
        <w:left w:val="none" w:sz="0" w:space="0" w:color="auto"/>
        <w:bottom w:val="none" w:sz="0" w:space="0" w:color="auto"/>
        <w:right w:val="none" w:sz="0" w:space="0" w:color="auto"/>
      </w:divBdr>
    </w:div>
    <w:div w:id="204605311">
      <w:bodyDiv w:val="1"/>
      <w:marLeft w:val="0"/>
      <w:marRight w:val="0"/>
      <w:marTop w:val="0"/>
      <w:marBottom w:val="0"/>
      <w:divBdr>
        <w:top w:val="none" w:sz="0" w:space="0" w:color="auto"/>
        <w:left w:val="none" w:sz="0" w:space="0" w:color="auto"/>
        <w:bottom w:val="none" w:sz="0" w:space="0" w:color="auto"/>
        <w:right w:val="none" w:sz="0" w:space="0" w:color="auto"/>
      </w:divBdr>
    </w:div>
    <w:div w:id="204609331">
      <w:bodyDiv w:val="1"/>
      <w:marLeft w:val="0"/>
      <w:marRight w:val="0"/>
      <w:marTop w:val="0"/>
      <w:marBottom w:val="0"/>
      <w:divBdr>
        <w:top w:val="none" w:sz="0" w:space="0" w:color="auto"/>
        <w:left w:val="none" w:sz="0" w:space="0" w:color="auto"/>
        <w:bottom w:val="none" w:sz="0" w:space="0" w:color="auto"/>
        <w:right w:val="none" w:sz="0" w:space="0" w:color="auto"/>
      </w:divBdr>
    </w:div>
    <w:div w:id="204755811">
      <w:bodyDiv w:val="1"/>
      <w:marLeft w:val="0"/>
      <w:marRight w:val="0"/>
      <w:marTop w:val="0"/>
      <w:marBottom w:val="0"/>
      <w:divBdr>
        <w:top w:val="none" w:sz="0" w:space="0" w:color="auto"/>
        <w:left w:val="none" w:sz="0" w:space="0" w:color="auto"/>
        <w:bottom w:val="none" w:sz="0" w:space="0" w:color="auto"/>
        <w:right w:val="none" w:sz="0" w:space="0" w:color="auto"/>
      </w:divBdr>
    </w:div>
    <w:div w:id="204829701">
      <w:bodyDiv w:val="1"/>
      <w:marLeft w:val="0"/>
      <w:marRight w:val="0"/>
      <w:marTop w:val="0"/>
      <w:marBottom w:val="0"/>
      <w:divBdr>
        <w:top w:val="none" w:sz="0" w:space="0" w:color="auto"/>
        <w:left w:val="none" w:sz="0" w:space="0" w:color="auto"/>
        <w:bottom w:val="none" w:sz="0" w:space="0" w:color="auto"/>
        <w:right w:val="none" w:sz="0" w:space="0" w:color="auto"/>
      </w:divBdr>
    </w:div>
    <w:div w:id="205029267">
      <w:bodyDiv w:val="1"/>
      <w:marLeft w:val="0"/>
      <w:marRight w:val="0"/>
      <w:marTop w:val="0"/>
      <w:marBottom w:val="0"/>
      <w:divBdr>
        <w:top w:val="none" w:sz="0" w:space="0" w:color="auto"/>
        <w:left w:val="none" w:sz="0" w:space="0" w:color="auto"/>
        <w:bottom w:val="none" w:sz="0" w:space="0" w:color="auto"/>
        <w:right w:val="none" w:sz="0" w:space="0" w:color="auto"/>
      </w:divBdr>
    </w:div>
    <w:div w:id="205140669">
      <w:bodyDiv w:val="1"/>
      <w:marLeft w:val="0"/>
      <w:marRight w:val="0"/>
      <w:marTop w:val="0"/>
      <w:marBottom w:val="0"/>
      <w:divBdr>
        <w:top w:val="none" w:sz="0" w:space="0" w:color="auto"/>
        <w:left w:val="none" w:sz="0" w:space="0" w:color="auto"/>
        <w:bottom w:val="none" w:sz="0" w:space="0" w:color="auto"/>
        <w:right w:val="none" w:sz="0" w:space="0" w:color="auto"/>
      </w:divBdr>
    </w:div>
    <w:div w:id="205220320">
      <w:bodyDiv w:val="1"/>
      <w:marLeft w:val="0"/>
      <w:marRight w:val="0"/>
      <w:marTop w:val="0"/>
      <w:marBottom w:val="0"/>
      <w:divBdr>
        <w:top w:val="none" w:sz="0" w:space="0" w:color="auto"/>
        <w:left w:val="none" w:sz="0" w:space="0" w:color="auto"/>
        <w:bottom w:val="none" w:sz="0" w:space="0" w:color="auto"/>
        <w:right w:val="none" w:sz="0" w:space="0" w:color="auto"/>
      </w:divBdr>
    </w:div>
    <w:div w:id="205290505">
      <w:bodyDiv w:val="1"/>
      <w:marLeft w:val="0"/>
      <w:marRight w:val="0"/>
      <w:marTop w:val="0"/>
      <w:marBottom w:val="0"/>
      <w:divBdr>
        <w:top w:val="none" w:sz="0" w:space="0" w:color="auto"/>
        <w:left w:val="none" w:sz="0" w:space="0" w:color="auto"/>
        <w:bottom w:val="none" w:sz="0" w:space="0" w:color="auto"/>
        <w:right w:val="none" w:sz="0" w:space="0" w:color="auto"/>
      </w:divBdr>
    </w:div>
    <w:div w:id="205416240">
      <w:bodyDiv w:val="1"/>
      <w:marLeft w:val="0"/>
      <w:marRight w:val="0"/>
      <w:marTop w:val="0"/>
      <w:marBottom w:val="0"/>
      <w:divBdr>
        <w:top w:val="none" w:sz="0" w:space="0" w:color="auto"/>
        <w:left w:val="none" w:sz="0" w:space="0" w:color="auto"/>
        <w:bottom w:val="none" w:sz="0" w:space="0" w:color="auto"/>
        <w:right w:val="none" w:sz="0" w:space="0" w:color="auto"/>
      </w:divBdr>
    </w:div>
    <w:div w:id="205456937">
      <w:bodyDiv w:val="1"/>
      <w:marLeft w:val="0"/>
      <w:marRight w:val="0"/>
      <w:marTop w:val="0"/>
      <w:marBottom w:val="0"/>
      <w:divBdr>
        <w:top w:val="none" w:sz="0" w:space="0" w:color="auto"/>
        <w:left w:val="none" w:sz="0" w:space="0" w:color="auto"/>
        <w:bottom w:val="none" w:sz="0" w:space="0" w:color="auto"/>
        <w:right w:val="none" w:sz="0" w:space="0" w:color="auto"/>
      </w:divBdr>
    </w:div>
    <w:div w:id="205458223">
      <w:bodyDiv w:val="1"/>
      <w:marLeft w:val="0"/>
      <w:marRight w:val="0"/>
      <w:marTop w:val="0"/>
      <w:marBottom w:val="0"/>
      <w:divBdr>
        <w:top w:val="none" w:sz="0" w:space="0" w:color="auto"/>
        <w:left w:val="none" w:sz="0" w:space="0" w:color="auto"/>
        <w:bottom w:val="none" w:sz="0" w:space="0" w:color="auto"/>
        <w:right w:val="none" w:sz="0" w:space="0" w:color="auto"/>
      </w:divBdr>
    </w:div>
    <w:div w:id="205482909">
      <w:bodyDiv w:val="1"/>
      <w:marLeft w:val="0"/>
      <w:marRight w:val="0"/>
      <w:marTop w:val="0"/>
      <w:marBottom w:val="0"/>
      <w:divBdr>
        <w:top w:val="none" w:sz="0" w:space="0" w:color="auto"/>
        <w:left w:val="none" w:sz="0" w:space="0" w:color="auto"/>
        <w:bottom w:val="none" w:sz="0" w:space="0" w:color="auto"/>
        <w:right w:val="none" w:sz="0" w:space="0" w:color="auto"/>
      </w:divBdr>
    </w:div>
    <w:div w:id="205530035">
      <w:bodyDiv w:val="1"/>
      <w:marLeft w:val="0"/>
      <w:marRight w:val="0"/>
      <w:marTop w:val="0"/>
      <w:marBottom w:val="0"/>
      <w:divBdr>
        <w:top w:val="none" w:sz="0" w:space="0" w:color="auto"/>
        <w:left w:val="none" w:sz="0" w:space="0" w:color="auto"/>
        <w:bottom w:val="none" w:sz="0" w:space="0" w:color="auto"/>
        <w:right w:val="none" w:sz="0" w:space="0" w:color="auto"/>
      </w:divBdr>
    </w:div>
    <w:div w:id="205604590">
      <w:bodyDiv w:val="1"/>
      <w:marLeft w:val="0"/>
      <w:marRight w:val="0"/>
      <w:marTop w:val="0"/>
      <w:marBottom w:val="0"/>
      <w:divBdr>
        <w:top w:val="none" w:sz="0" w:space="0" w:color="auto"/>
        <w:left w:val="none" w:sz="0" w:space="0" w:color="auto"/>
        <w:bottom w:val="none" w:sz="0" w:space="0" w:color="auto"/>
        <w:right w:val="none" w:sz="0" w:space="0" w:color="auto"/>
      </w:divBdr>
    </w:div>
    <w:div w:id="205606188">
      <w:bodyDiv w:val="1"/>
      <w:marLeft w:val="0"/>
      <w:marRight w:val="0"/>
      <w:marTop w:val="0"/>
      <w:marBottom w:val="0"/>
      <w:divBdr>
        <w:top w:val="none" w:sz="0" w:space="0" w:color="auto"/>
        <w:left w:val="none" w:sz="0" w:space="0" w:color="auto"/>
        <w:bottom w:val="none" w:sz="0" w:space="0" w:color="auto"/>
        <w:right w:val="none" w:sz="0" w:space="0" w:color="auto"/>
      </w:divBdr>
    </w:div>
    <w:div w:id="205794476">
      <w:bodyDiv w:val="1"/>
      <w:marLeft w:val="0"/>
      <w:marRight w:val="0"/>
      <w:marTop w:val="0"/>
      <w:marBottom w:val="0"/>
      <w:divBdr>
        <w:top w:val="none" w:sz="0" w:space="0" w:color="auto"/>
        <w:left w:val="none" w:sz="0" w:space="0" w:color="auto"/>
        <w:bottom w:val="none" w:sz="0" w:space="0" w:color="auto"/>
        <w:right w:val="none" w:sz="0" w:space="0" w:color="auto"/>
      </w:divBdr>
    </w:div>
    <w:div w:id="205795148">
      <w:bodyDiv w:val="1"/>
      <w:marLeft w:val="0"/>
      <w:marRight w:val="0"/>
      <w:marTop w:val="0"/>
      <w:marBottom w:val="0"/>
      <w:divBdr>
        <w:top w:val="none" w:sz="0" w:space="0" w:color="auto"/>
        <w:left w:val="none" w:sz="0" w:space="0" w:color="auto"/>
        <w:bottom w:val="none" w:sz="0" w:space="0" w:color="auto"/>
        <w:right w:val="none" w:sz="0" w:space="0" w:color="auto"/>
      </w:divBdr>
    </w:div>
    <w:div w:id="205874919">
      <w:bodyDiv w:val="1"/>
      <w:marLeft w:val="0"/>
      <w:marRight w:val="0"/>
      <w:marTop w:val="0"/>
      <w:marBottom w:val="0"/>
      <w:divBdr>
        <w:top w:val="none" w:sz="0" w:space="0" w:color="auto"/>
        <w:left w:val="none" w:sz="0" w:space="0" w:color="auto"/>
        <w:bottom w:val="none" w:sz="0" w:space="0" w:color="auto"/>
        <w:right w:val="none" w:sz="0" w:space="0" w:color="auto"/>
      </w:divBdr>
    </w:div>
    <w:div w:id="206071384">
      <w:bodyDiv w:val="1"/>
      <w:marLeft w:val="0"/>
      <w:marRight w:val="0"/>
      <w:marTop w:val="0"/>
      <w:marBottom w:val="0"/>
      <w:divBdr>
        <w:top w:val="none" w:sz="0" w:space="0" w:color="auto"/>
        <w:left w:val="none" w:sz="0" w:space="0" w:color="auto"/>
        <w:bottom w:val="none" w:sz="0" w:space="0" w:color="auto"/>
        <w:right w:val="none" w:sz="0" w:space="0" w:color="auto"/>
      </w:divBdr>
    </w:div>
    <w:div w:id="206185787">
      <w:bodyDiv w:val="1"/>
      <w:marLeft w:val="0"/>
      <w:marRight w:val="0"/>
      <w:marTop w:val="0"/>
      <w:marBottom w:val="0"/>
      <w:divBdr>
        <w:top w:val="none" w:sz="0" w:space="0" w:color="auto"/>
        <w:left w:val="none" w:sz="0" w:space="0" w:color="auto"/>
        <w:bottom w:val="none" w:sz="0" w:space="0" w:color="auto"/>
        <w:right w:val="none" w:sz="0" w:space="0" w:color="auto"/>
      </w:divBdr>
    </w:div>
    <w:div w:id="206262268">
      <w:bodyDiv w:val="1"/>
      <w:marLeft w:val="0"/>
      <w:marRight w:val="0"/>
      <w:marTop w:val="0"/>
      <w:marBottom w:val="0"/>
      <w:divBdr>
        <w:top w:val="none" w:sz="0" w:space="0" w:color="auto"/>
        <w:left w:val="none" w:sz="0" w:space="0" w:color="auto"/>
        <w:bottom w:val="none" w:sz="0" w:space="0" w:color="auto"/>
        <w:right w:val="none" w:sz="0" w:space="0" w:color="auto"/>
      </w:divBdr>
    </w:div>
    <w:div w:id="206376108">
      <w:bodyDiv w:val="1"/>
      <w:marLeft w:val="0"/>
      <w:marRight w:val="0"/>
      <w:marTop w:val="0"/>
      <w:marBottom w:val="0"/>
      <w:divBdr>
        <w:top w:val="none" w:sz="0" w:space="0" w:color="auto"/>
        <w:left w:val="none" w:sz="0" w:space="0" w:color="auto"/>
        <w:bottom w:val="none" w:sz="0" w:space="0" w:color="auto"/>
        <w:right w:val="none" w:sz="0" w:space="0" w:color="auto"/>
      </w:divBdr>
    </w:div>
    <w:div w:id="206377374">
      <w:bodyDiv w:val="1"/>
      <w:marLeft w:val="0"/>
      <w:marRight w:val="0"/>
      <w:marTop w:val="0"/>
      <w:marBottom w:val="0"/>
      <w:divBdr>
        <w:top w:val="none" w:sz="0" w:space="0" w:color="auto"/>
        <w:left w:val="none" w:sz="0" w:space="0" w:color="auto"/>
        <w:bottom w:val="none" w:sz="0" w:space="0" w:color="auto"/>
        <w:right w:val="none" w:sz="0" w:space="0" w:color="auto"/>
      </w:divBdr>
    </w:div>
    <w:div w:id="206456313">
      <w:bodyDiv w:val="1"/>
      <w:marLeft w:val="0"/>
      <w:marRight w:val="0"/>
      <w:marTop w:val="0"/>
      <w:marBottom w:val="0"/>
      <w:divBdr>
        <w:top w:val="none" w:sz="0" w:space="0" w:color="auto"/>
        <w:left w:val="none" w:sz="0" w:space="0" w:color="auto"/>
        <w:bottom w:val="none" w:sz="0" w:space="0" w:color="auto"/>
        <w:right w:val="none" w:sz="0" w:space="0" w:color="auto"/>
      </w:divBdr>
    </w:div>
    <w:div w:id="206573850">
      <w:bodyDiv w:val="1"/>
      <w:marLeft w:val="0"/>
      <w:marRight w:val="0"/>
      <w:marTop w:val="0"/>
      <w:marBottom w:val="0"/>
      <w:divBdr>
        <w:top w:val="none" w:sz="0" w:space="0" w:color="auto"/>
        <w:left w:val="none" w:sz="0" w:space="0" w:color="auto"/>
        <w:bottom w:val="none" w:sz="0" w:space="0" w:color="auto"/>
        <w:right w:val="none" w:sz="0" w:space="0" w:color="auto"/>
      </w:divBdr>
    </w:div>
    <w:div w:id="206766887">
      <w:bodyDiv w:val="1"/>
      <w:marLeft w:val="0"/>
      <w:marRight w:val="0"/>
      <w:marTop w:val="0"/>
      <w:marBottom w:val="0"/>
      <w:divBdr>
        <w:top w:val="none" w:sz="0" w:space="0" w:color="auto"/>
        <w:left w:val="none" w:sz="0" w:space="0" w:color="auto"/>
        <w:bottom w:val="none" w:sz="0" w:space="0" w:color="auto"/>
        <w:right w:val="none" w:sz="0" w:space="0" w:color="auto"/>
      </w:divBdr>
    </w:div>
    <w:div w:id="206836174">
      <w:bodyDiv w:val="1"/>
      <w:marLeft w:val="0"/>
      <w:marRight w:val="0"/>
      <w:marTop w:val="0"/>
      <w:marBottom w:val="0"/>
      <w:divBdr>
        <w:top w:val="none" w:sz="0" w:space="0" w:color="auto"/>
        <w:left w:val="none" w:sz="0" w:space="0" w:color="auto"/>
        <w:bottom w:val="none" w:sz="0" w:space="0" w:color="auto"/>
        <w:right w:val="none" w:sz="0" w:space="0" w:color="auto"/>
      </w:divBdr>
    </w:div>
    <w:div w:id="206837899">
      <w:bodyDiv w:val="1"/>
      <w:marLeft w:val="0"/>
      <w:marRight w:val="0"/>
      <w:marTop w:val="0"/>
      <w:marBottom w:val="0"/>
      <w:divBdr>
        <w:top w:val="none" w:sz="0" w:space="0" w:color="auto"/>
        <w:left w:val="none" w:sz="0" w:space="0" w:color="auto"/>
        <w:bottom w:val="none" w:sz="0" w:space="0" w:color="auto"/>
        <w:right w:val="none" w:sz="0" w:space="0" w:color="auto"/>
      </w:divBdr>
    </w:div>
    <w:div w:id="206838970">
      <w:bodyDiv w:val="1"/>
      <w:marLeft w:val="0"/>
      <w:marRight w:val="0"/>
      <w:marTop w:val="0"/>
      <w:marBottom w:val="0"/>
      <w:divBdr>
        <w:top w:val="none" w:sz="0" w:space="0" w:color="auto"/>
        <w:left w:val="none" w:sz="0" w:space="0" w:color="auto"/>
        <w:bottom w:val="none" w:sz="0" w:space="0" w:color="auto"/>
        <w:right w:val="none" w:sz="0" w:space="0" w:color="auto"/>
      </w:divBdr>
    </w:div>
    <w:div w:id="206841176">
      <w:bodyDiv w:val="1"/>
      <w:marLeft w:val="0"/>
      <w:marRight w:val="0"/>
      <w:marTop w:val="0"/>
      <w:marBottom w:val="0"/>
      <w:divBdr>
        <w:top w:val="none" w:sz="0" w:space="0" w:color="auto"/>
        <w:left w:val="none" w:sz="0" w:space="0" w:color="auto"/>
        <w:bottom w:val="none" w:sz="0" w:space="0" w:color="auto"/>
        <w:right w:val="none" w:sz="0" w:space="0" w:color="auto"/>
      </w:divBdr>
    </w:div>
    <w:div w:id="206844978">
      <w:bodyDiv w:val="1"/>
      <w:marLeft w:val="0"/>
      <w:marRight w:val="0"/>
      <w:marTop w:val="0"/>
      <w:marBottom w:val="0"/>
      <w:divBdr>
        <w:top w:val="none" w:sz="0" w:space="0" w:color="auto"/>
        <w:left w:val="none" w:sz="0" w:space="0" w:color="auto"/>
        <w:bottom w:val="none" w:sz="0" w:space="0" w:color="auto"/>
        <w:right w:val="none" w:sz="0" w:space="0" w:color="auto"/>
      </w:divBdr>
    </w:div>
    <w:div w:id="206915077">
      <w:bodyDiv w:val="1"/>
      <w:marLeft w:val="0"/>
      <w:marRight w:val="0"/>
      <w:marTop w:val="0"/>
      <w:marBottom w:val="0"/>
      <w:divBdr>
        <w:top w:val="none" w:sz="0" w:space="0" w:color="auto"/>
        <w:left w:val="none" w:sz="0" w:space="0" w:color="auto"/>
        <w:bottom w:val="none" w:sz="0" w:space="0" w:color="auto"/>
        <w:right w:val="none" w:sz="0" w:space="0" w:color="auto"/>
      </w:divBdr>
    </w:div>
    <w:div w:id="206920679">
      <w:bodyDiv w:val="1"/>
      <w:marLeft w:val="0"/>
      <w:marRight w:val="0"/>
      <w:marTop w:val="0"/>
      <w:marBottom w:val="0"/>
      <w:divBdr>
        <w:top w:val="none" w:sz="0" w:space="0" w:color="auto"/>
        <w:left w:val="none" w:sz="0" w:space="0" w:color="auto"/>
        <w:bottom w:val="none" w:sz="0" w:space="0" w:color="auto"/>
        <w:right w:val="none" w:sz="0" w:space="0" w:color="auto"/>
      </w:divBdr>
    </w:div>
    <w:div w:id="206993910">
      <w:bodyDiv w:val="1"/>
      <w:marLeft w:val="0"/>
      <w:marRight w:val="0"/>
      <w:marTop w:val="0"/>
      <w:marBottom w:val="0"/>
      <w:divBdr>
        <w:top w:val="none" w:sz="0" w:space="0" w:color="auto"/>
        <w:left w:val="none" w:sz="0" w:space="0" w:color="auto"/>
        <w:bottom w:val="none" w:sz="0" w:space="0" w:color="auto"/>
        <w:right w:val="none" w:sz="0" w:space="0" w:color="auto"/>
      </w:divBdr>
    </w:div>
    <w:div w:id="207105263">
      <w:bodyDiv w:val="1"/>
      <w:marLeft w:val="0"/>
      <w:marRight w:val="0"/>
      <w:marTop w:val="0"/>
      <w:marBottom w:val="0"/>
      <w:divBdr>
        <w:top w:val="none" w:sz="0" w:space="0" w:color="auto"/>
        <w:left w:val="none" w:sz="0" w:space="0" w:color="auto"/>
        <w:bottom w:val="none" w:sz="0" w:space="0" w:color="auto"/>
        <w:right w:val="none" w:sz="0" w:space="0" w:color="auto"/>
      </w:divBdr>
    </w:div>
    <w:div w:id="207109531">
      <w:bodyDiv w:val="1"/>
      <w:marLeft w:val="0"/>
      <w:marRight w:val="0"/>
      <w:marTop w:val="0"/>
      <w:marBottom w:val="0"/>
      <w:divBdr>
        <w:top w:val="none" w:sz="0" w:space="0" w:color="auto"/>
        <w:left w:val="none" w:sz="0" w:space="0" w:color="auto"/>
        <w:bottom w:val="none" w:sz="0" w:space="0" w:color="auto"/>
        <w:right w:val="none" w:sz="0" w:space="0" w:color="auto"/>
      </w:divBdr>
    </w:div>
    <w:div w:id="207113472">
      <w:bodyDiv w:val="1"/>
      <w:marLeft w:val="0"/>
      <w:marRight w:val="0"/>
      <w:marTop w:val="0"/>
      <w:marBottom w:val="0"/>
      <w:divBdr>
        <w:top w:val="none" w:sz="0" w:space="0" w:color="auto"/>
        <w:left w:val="none" w:sz="0" w:space="0" w:color="auto"/>
        <w:bottom w:val="none" w:sz="0" w:space="0" w:color="auto"/>
        <w:right w:val="none" w:sz="0" w:space="0" w:color="auto"/>
      </w:divBdr>
    </w:div>
    <w:div w:id="207187285">
      <w:bodyDiv w:val="1"/>
      <w:marLeft w:val="0"/>
      <w:marRight w:val="0"/>
      <w:marTop w:val="0"/>
      <w:marBottom w:val="0"/>
      <w:divBdr>
        <w:top w:val="none" w:sz="0" w:space="0" w:color="auto"/>
        <w:left w:val="none" w:sz="0" w:space="0" w:color="auto"/>
        <w:bottom w:val="none" w:sz="0" w:space="0" w:color="auto"/>
        <w:right w:val="none" w:sz="0" w:space="0" w:color="auto"/>
      </w:divBdr>
    </w:div>
    <w:div w:id="207225361">
      <w:bodyDiv w:val="1"/>
      <w:marLeft w:val="0"/>
      <w:marRight w:val="0"/>
      <w:marTop w:val="0"/>
      <w:marBottom w:val="0"/>
      <w:divBdr>
        <w:top w:val="none" w:sz="0" w:space="0" w:color="auto"/>
        <w:left w:val="none" w:sz="0" w:space="0" w:color="auto"/>
        <w:bottom w:val="none" w:sz="0" w:space="0" w:color="auto"/>
        <w:right w:val="none" w:sz="0" w:space="0" w:color="auto"/>
      </w:divBdr>
    </w:div>
    <w:div w:id="207227367">
      <w:bodyDiv w:val="1"/>
      <w:marLeft w:val="0"/>
      <w:marRight w:val="0"/>
      <w:marTop w:val="0"/>
      <w:marBottom w:val="0"/>
      <w:divBdr>
        <w:top w:val="none" w:sz="0" w:space="0" w:color="auto"/>
        <w:left w:val="none" w:sz="0" w:space="0" w:color="auto"/>
        <w:bottom w:val="none" w:sz="0" w:space="0" w:color="auto"/>
        <w:right w:val="none" w:sz="0" w:space="0" w:color="auto"/>
      </w:divBdr>
    </w:div>
    <w:div w:id="207299199">
      <w:bodyDiv w:val="1"/>
      <w:marLeft w:val="0"/>
      <w:marRight w:val="0"/>
      <w:marTop w:val="0"/>
      <w:marBottom w:val="0"/>
      <w:divBdr>
        <w:top w:val="none" w:sz="0" w:space="0" w:color="auto"/>
        <w:left w:val="none" w:sz="0" w:space="0" w:color="auto"/>
        <w:bottom w:val="none" w:sz="0" w:space="0" w:color="auto"/>
        <w:right w:val="none" w:sz="0" w:space="0" w:color="auto"/>
      </w:divBdr>
    </w:div>
    <w:div w:id="207302810">
      <w:bodyDiv w:val="1"/>
      <w:marLeft w:val="0"/>
      <w:marRight w:val="0"/>
      <w:marTop w:val="0"/>
      <w:marBottom w:val="0"/>
      <w:divBdr>
        <w:top w:val="none" w:sz="0" w:space="0" w:color="auto"/>
        <w:left w:val="none" w:sz="0" w:space="0" w:color="auto"/>
        <w:bottom w:val="none" w:sz="0" w:space="0" w:color="auto"/>
        <w:right w:val="none" w:sz="0" w:space="0" w:color="auto"/>
      </w:divBdr>
    </w:div>
    <w:div w:id="207306437">
      <w:bodyDiv w:val="1"/>
      <w:marLeft w:val="0"/>
      <w:marRight w:val="0"/>
      <w:marTop w:val="0"/>
      <w:marBottom w:val="0"/>
      <w:divBdr>
        <w:top w:val="none" w:sz="0" w:space="0" w:color="auto"/>
        <w:left w:val="none" w:sz="0" w:space="0" w:color="auto"/>
        <w:bottom w:val="none" w:sz="0" w:space="0" w:color="auto"/>
        <w:right w:val="none" w:sz="0" w:space="0" w:color="auto"/>
      </w:divBdr>
    </w:div>
    <w:div w:id="207424120">
      <w:bodyDiv w:val="1"/>
      <w:marLeft w:val="0"/>
      <w:marRight w:val="0"/>
      <w:marTop w:val="0"/>
      <w:marBottom w:val="0"/>
      <w:divBdr>
        <w:top w:val="none" w:sz="0" w:space="0" w:color="auto"/>
        <w:left w:val="none" w:sz="0" w:space="0" w:color="auto"/>
        <w:bottom w:val="none" w:sz="0" w:space="0" w:color="auto"/>
        <w:right w:val="none" w:sz="0" w:space="0" w:color="auto"/>
      </w:divBdr>
    </w:div>
    <w:div w:id="207570623">
      <w:bodyDiv w:val="1"/>
      <w:marLeft w:val="0"/>
      <w:marRight w:val="0"/>
      <w:marTop w:val="0"/>
      <w:marBottom w:val="0"/>
      <w:divBdr>
        <w:top w:val="none" w:sz="0" w:space="0" w:color="auto"/>
        <w:left w:val="none" w:sz="0" w:space="0" w:color="auto"/>
        <w:bottom w:val="none" w:sz="0" w:space="0" w:color="auto"/>
        <w:right w:val="none" w:sz="0" w:space="0" w:color="auto"/>
      </w:divBdr>
    </w:div>
    <w:div w:id="207573852">
      <w:bodyDiv w:val="1"/>
      <w:marLeft w:val="0"/>
      <w:marRight w:val="0"/>
      <w:marTop w:val="0"/>
      <w:marBottom w:val="0"/>
      <w:divBdr>
        <w:top w:val="none" w:sz="0" w:space="0" w:color="auto"/>
        <w:left w:val="none" w:sz="0" w:space="0" w:color="auto"/>
        <w:bottom w:val="none" w:sz="0" w:space="0" w:color="auto"/>
        <w:right w:val="none" w:sz="0" w:space="0" w:color="auto"/>
      </w:divBdr>
    </w:div>
    <w:div w:id="207650388">
      <w:bodyDiv w:val="1"/>
      <w:marLeft w:val="0"/>
      <w:marRight w:val="0"/>
      <w:marTop w:val="0"/>
      <w:marBottom w:val="0"/>
      <w:divBdr>
        <w:top w:val="none" w:sz="0" w:space="0" w:color="auto"/>
        <w:left w:val="none" w:sz="0" w:space="0" w:color="auto"/>
        <w:bottom w:val="none" w:sz="0" w:space="0" w:color="auto"/>
        <w:right w:val="none" w:sz="0" w:space="0" w:color="auto"/>
      </w:divBdr>
    </w:div>
    <w:div w:id="207689796">
      <w:bodyDiv w:val="1"/>
      <w:marLeft w:val="0"/>
      <w:marRight w:val="0"/>
      <w:marTop w:val="0"/>
      <w:marBottom w:val="0"/>
      <w:divBdr>
        <w:top w:val="none" w:sz="0" w:space="0" w:color="auto"/>
        <w:left w:val="none" w:sz="0" w:space="0" w:color="auto"/>
        <w:bottom w:val="none" w:sz="0" w:space="0" w:color="auto"/>
        <w:right w:val="none" w:sz="0" w:space="0" w:color="auto"/>
      </w:divBdr>
    </w:div>
    <w:div w:id="207691441">
      <w:bodyDiv w:val="1"/>
      <w:marLeft w:val="0"/>
      <w:marRight w:val="0"/>
      <w:marTop w:val="0"/>
      <w:marBottom w:val="0"/>
      <w:divBdr>
        <w:top w:val="none" w:sz="0" w:space="0" w:color="auto"/>
        <w:left w:val="none" w:sz="0" w:space="0" w:color="auto"/>
        <w:bottom w:val="none" w:sz="0" w:space="0" w:color="auto"/>
        <w:right w:val="none" w:sz="0" w:space="0" w:color="auto"/>
      </w:divBdr>
    </w:div>
    <w:div w:id="207694279">
      <w:bodyDiv w:val="1"/>
      <w:marLeft w:val="0"/>
      <w:marRight w:val="0"/>
      <w:marTop w:val="0"/>
      <w:marBottom w:val="0"/>
      <w:divBdr>
        <w:top w:val="none" w:sz="0" w:space="0" w:color="auto"/>
        <w:left w:val="none" w:sz="0" w:space="0" w:color="auto"/>
        <w:bottom w:val="none" w:sz="0" w:space="0" w:color="auto"/>
        <w:right w:val="none" w:sz="0" w:space="0" w:color="auto"/>
      </w:divBdr>
    </w:div>
    <w:div w:id="207766009">
      <w:bodyDiv w:val="1"/>
      <w:marLeft w:val="0"/>
      <w:marRight w:val="0"/>
      <w:marTop w:val="0"/>
      <w:marBottom w:val="0"/>
      <w:divBdr>
        <w:top w:val="none" w:sz="0" w:space="0" w:color="auto"/>
        <w:left w:val="none" w:sz="0" w:space="0" w:color="auto"/>
        <w:bottom w:val="none" w:sz="0" w:space="0" w:color="auto"/>
        <w:right w:val="none" w:sz="0" w:space="0" w:color="auto"/>
      </w:divBdr>
    </w:div>
    <w:div w:id="207961474">
      <w:bodyDiv w:val="1"/>
      <w:marLeft w:val="0"/>
      <w:marRight w:val="0"/>
      <w:marTop w:val="0"/>
      <w:marBottom w:val="0"/>
      <w:divBdr>
        <w:top w:val="none" w:sz="0" w:space="0" w:color="auto"/>
        <w:left w:val="none" w:sz="0" w:space="0" w:color="auto"/>
        <w:bottom w:val="none" w:sz="0" w:space="0" w:color="auto"/>
        <w:right w:val="none" w:sz="0" w:space="0" w:color="auto"/>
      </w:divBdr>
    </w:div>
    <w:div w:id="208036625">
      <w:bodyDiv w:val="1"/>
      <w:marLeft w:val="0"/>
      <w:marRight w:val="0"/>
      <w:marTop w:val="0"/>
      <w:marBottom w:val="0"/>
      <w:divBdr>
        <w:top w:val="none" w:sz="0" w:space="0" w:color="auto"/>
        <w:left w:val="none" w:sz="0" w:space="0" w:color="auto"/>
        <w:bottom w:val="none" w:sz="0" w:space="0" w:color="auto"/>
        <w:right w:val="none" w:sz="0" w:space="0" w:color="auto"/>
      </w:divBdr>
    </w:div>
    <w:div w:id="208225008">
      <w:bodyDiv w:val="1"/>
      <w:marLeft w:val="0"/>
      <w:marRight w:val="0"/>
      <w:marTop w:val="0"/>
      <w:marBottom w:val="0"/>
      <w:divBdr>
        <w:top w:val="none" w:sz="0" w:space="0" w:color="auto"/>
        <w:left w:val="none" w:sz="0" w:space="0" w:color="auto"/>
        <w:bottom w:val="none" w:sz="0" w:space="0" w:color="auto"/>
        <w:right w:val="none" w:sz="0" w:space="0" w:color="auto"/>
      </w:divBdr>
    </w:div>
    <w:div w:id="208341345">
      <w:bodyDiv w:val="1"/>
      <w:marLeft w:val="0"/>
      <w:marRight w:val="0"/>
      <w:marTop w:val="0"/>
      <w:marBottom w:val="0"/>
      <w:divBdr>
        <w:top w:val="none" w:sz="0" w:space="0" w:color="auto"/>
        <w:left w:val="none" w:sz="0" w:space="0" w:color="auto"/>
        <w:bottom w:val="none" w:sz="0" w:space="0" w:color="auto"/>
        <w:right w:val="none" w:sz="0" w:space="0" w:color="auto"/>
      </w:divBdr>
    </w:div>
    <w:div w:id="208343854">
      <w:bodyDiv w:val="1"/>
      <w:marLeft w:val="0"/>
      <w:marRight w:val="0"/>
      <w:marTop w:val="0"/>
      <w:marBottom w:val="0"/>
      <w:divBdr>
        <w:top w:val="none" w:sz="0" w:space="0" w:color="auto"/>
        <w:left w:val="none" w:sz="0" w:space="0" w:color="auto"/>
        <w:bottom w:val="none" w:sz="0" w:space="0" w:color="auto"/>
        <w:right w:val="none" w:sz="0" w:space="0" w:color="auto"/>
      </w:divBdr>
    </w:div>
    <w:div w:id="208419499">
      <w:bodyDiv w:val="1"/>
      <w:marLeft w:val="0"/>
      <w:marRight w:val="0"/>
      <w:marTop w:val="0"/>
      <w:marBottom w:val="0"/>
      <w:divBdr>
        <w:top w:val="none" w:sz="0" w:space="0" w:color="auto"/>
        <w:left w:val="none" w:sz="0" w:space="0" w:color="auto"/>
        <w:bottom w:val="none" w:sz="0" w:space="0" w:color="auto"/>
        <w:right w:val="none" w:sz="0" w:space="0" w:color="auto"/>
      </w:divBdr>
    </w:div>
    <w:div w:id="208536403">
      <w:bodyDiv w:val="1"/>
      <w:marLeft w:val="0"/>
      <w:marRight w:val="0"/>
      <w:marTop w:val="0"/>
      <w:marBottom w:val="0"/>
      <w:divBdr>
        <w:top w:val="none" w:sz="0" w:space="0" w:color="auto"/>
        <w:left w:val="none" w:sz="0" w:space="0" w:color="auto"/>
        <w:bottom w:val="none" w:sz="0" w:space="0" w:color="auto"/>
        <w:right w:val="none" w:sz="0" w:space="0" w:color="auto"/>
      </w:divBdr>
    </w:div>
    <w:div w:id="208537352">
      <w:bodyDiv w:val="1"/>
      <w:marLeft w:val="0"/>
      <w:marRight w:val="0"/>
      <w:marTop w:val="0"/>
      <w:marBottom w:val="0"/>
      <w:divBdr>
        <w:top w:val="none" w:sz="0" w:space="0" w:color="auto"/>
        <w:left w:val="none" w:sz="0" w:space="0" w:color="auto"/>
        <w:bottom w:val="none" w:sz="0" w:space="0" w:color="auto"/>
        <w:right w:val="none" w:sz="0" w:space="0" w:color="auto"/>
      </w:divBdr>
    </w:div>
    <w:div w:id="208540904">
      <w:bodyDiv w:val="1"/>
      <w:marLeft w:val="0"/>
      <w:marRight w:val="0"/>
      <w:marTop w:val="0"/>
      <w:marBottom w:val="0"/>
      <w:divBdr>
        <w:top w:val="none" w:sz="0" w:space="0" w:color="auto"/>
        <w:left w:val="none" w:sz="0" w:space="0" w:color="auto"/>
        <w:bottom w:val="none" w:sz="0" w:space="0" w:color="auto"/>
        <w:right w:val="none" w:sz="0" w:space="0" w:color="auto"/>
      </w:divBdr>
    </w:div>
    <w:div w:id="208567201">
      <w:bodyDiv w:val="1"/>
      <w:marLeft w:val="0"/>
      <w:marRight w:val="0"/>
      <w:marTop w:val="0"/>
      <w:marBottom w:val="0"/>
      <w:divBdr>
        <w:top w:val="none" w:sz="0" w:space="0" w:color="auto"/>
        <w:left w:val="none" w:sz="0" w:space="0" w:color="auto"/>
        <w:bottom w:val="none" w:sz="0" w:space="0" w:color="auto"/>
        <w:right w:val="none" w:sz="0" w:space="0" w:color="auto"/>
      </w:divBdr>
    </w:div>
    <w:div w:id="208691482">
      <w:bodyDiv w:val="1"/>
      <w:marLeft w:val="0"/>
      <w:marRight w:val="0"/>
      <w:marTop w:val="0"/>
      <w:marBottom w:val="0"/>
      <w:divBdr>
        <w:top w:val="none" w:sz="0" w:space="0" w:color="auto"/>
        <w:left w:val="none" w:sz="0" w:space="0" w:color="auto"/>
        <w:bottom w:val="none" w:sz="0" w:space="0" w:color="auto"/>
        <w:right w:val="none" w:sz="0" w:space="0" w:color="auto"/>
      </w:divBdr>
    </w:div>
    <w:div w:id="208762469">
      <w:bodyDiv w:val="1"/>
      <w:marLeft w:val="0"/>
      <w:marRight w:val="0"/>
      <w:marTop w:val="0"/>
      <w:marBottom w:val="0"/>
      <w:divBdr>
        <w:top w:val="none" w:sz="0" w:space="0" w:color="auto"/>
        <w:left w:val="none" w:sz="0" w:space="0" w:color="auto"/>
        <w:bottom w:val="none" w:sz="0" w:space="0" w:color="auto"/>
        <w:right w:val="none" w:sz="0" w:space="0" w:color="auto"/>
      </w:divBdr>
    </w:div>
    <w:div w:id="208763405">
      <w:bodyDiv w:val="1"/>
      <w:marLeft w:val="0"/>
      <w:marRight w:val="0"/>
      <w:marTop w:val="0"/>
      <w:marBottom w:val="0"/>
      <w:divBdr>
        <w:top w:val="none" w:sz="0" w:space="0" w:color="auto"/>
        <w:left w:val="none" w:sz="0" w:space="0" w:color="auto"/>
        <w:bottom w:val="none" w:sz="0" w:space="0" w:color="auto"/>
        <w:right w:val="none" w:sz="0" w:space="0" w:color="auto"/>
      </w:divBdr>
    </w:div>
    <w:div w:id="208884960">
      <w:bodyDiv w:val="1"/>
      <w:marLeft w:val="0"/>
      <w:marRight w:val="0"/>
      <w:marTop w:val="0"/>
      <w:marBottom w:val="0"/>
      <w:divBdr>
        <w:top w:val="none" w:sz="0" w:space="0" w:color="auto"/>
        <w:left w:val="none" w:sz="0" w:space="0" w:color="auto"/>
        <w:bottom w:val="none" w:sz="0" w:space="0" w:color="auto"/>
        <w:right w:val="none" w:sz="0" w:space="0" w:color="auto"/>
      </w:divBdr>
    </w:div>
    <w:div w:id="208960287">
      <w:bodyDiv w:val="1"/>
      <w:marLeft w:val="0"/>
      <w:marRight w:val="0"/>
      <w:marTop w:val="0"/>
      <w:marBottom w:val="0"/>
      <w:divBdr>
        <w:top w:val="none" w:sz="0" w:space="0" w:color="auto"/>
        <w:left w:val="none" w:sz="0" w:space="0" w:color="auto"/>
        <w:bottom w:val="none" w:sz="0" w:space="0" w:color="auto"/>
        <w:right w:val="none" w:sz="0" w:space="0" w:color="auto"/>
      </w:divBdr>
    </w:div>
    <w:div w:id="208998256">
      <w:bodyDiv w:val="1"/>
      <w:marLeft w:val="0"/>
      <w:marRight w:val="0"/>
      <w:marTop w:val="0"/>
      <w:marBottom w:val="0"/>
      <w:divBdr>
        <w:top w:val="none" w:sz="0" w:space="0" w:color="auto"/>
        <w:left w:val="none" w:sz="0" w:space="0" w:color="auto"/>
        <w:bottom w:val="none" w:sz="0" w:space="0" w:color="auto"/>
        <w:right w:val="none" w:sz="0" w:space="0" w:color="auto"/>
      </w:divBdr>
    </w:div>
    <w:div w:id="209147176">
      <w:bodyDiv w:val="1"/>
      <w:marLeft w:val="0"/>
      <w:marRight w:val="0"/>
      <w:marTop w:val="0"/>
      <w:marBottom w:val="0"/>
      <w:divBdr>
        <w:top w:val="none" w:sz="0" w:space="0" w:color="auto"/>
        <w:left w:val="none" w:sz="0" w:space="0" w:color="auto"/>
        <w:bottom w:val="none" w:sz="0" w:space="0" w:color="auto"/>
        <w:right w:val="none" w:sz="0" w:space="0" w:color="auto"/>
      </w:divBdr>
    </w:div>
    <w:div w:id="209341520">
      <w:bodyDiv w:val="1"/>
      <w:marLeft w:val="0"/>
      <w:marRight w:val="0"/>
      <w:marTop w:val="0"/>
      <w:marBottom w:val="0"/>
      <w:divBdr>
        <w:top w:val="none" w:sz="0" w:space="0" w:color="auto"/>
        <w:left w:val="none" w:sz="0" w:space="0" w:color="auto"/>
        <w:bottom w:val="none" w:sz="0" w:space="0" w:color="auto"/>
        <w:right w:val="none" w:sz="0" w:space="0" w:color="auto"/>
      </w:divBdr>
    </w:div>
    <w:div w:id="209387717">
      <w:bodyDiv w:val="1"/>
      <w:marLeft w:val="0"/>
      <w:marRight w:val="0"/>
      <w:marTop w:val="0"/>
      <w:marBottom w:val="0"/>
      <w:divBdr>
        <w:top w:val="none" w:sz="0" w:space="0" w:color="auto"/>
        <w:left w:val="none" w:sz="0" w:space="0" w:color="auto"/>
        <w:bottom w:val="none" w:sz="0" w:space="0" w:color="auto"/>
        <w:right w:val="none" w:sz="0" w:space="0" w:color="auto"/>
      </w:divBdr>
    </w:div>
    <w:div w:id="209388025">
      <w:bodyDiv w:val="1"/>
      <w:marLeft w:val="0"/>
      <w:marRight w:val="0"/>
      <w:marTop w:val="0"/>
      <w:marBottom w:val="0"/>
      <w:divBdr>
        <w:top w:val="none" w:sz="0" w:space="0" w:color="auto"/>
        <w:left w:val="none" w:sz="0" w:space="0" w:color="auto"/>
        <w:bottom w:val="none" w:sz="0" w:space="0" w:color="auto"/>
        <w:right w:val="none" w:sz="0" w:space="0" w:color="auto"/>
      </w:divBdr>
    </w:div>
    <w:div w:id="209415164">
      <w:bodyDiv w:val="1"/>
      <w:marLeft w:val="0"/>
      <w:marRight w:val="0"/>
      <w:marTop w:val="0"/>
      <w:marBottom w:val="0"/>
      <w:divBdr>
        <w:top w:val="none" w:sz="0" w:space="0" w:color="auto"/>
        <w:left w:val="none" w:sz="0" w:space="0" w:color="auto"/>
        <w:bottom w:val="none" w:sz="0" w:space="0" w:color="auto"/>
        <w:right w:val="none" w:sz="0" w:space="0" w:color="auto"/>
      </w:divBdr>
    </w:div>
    <w:div w:id="209462409">
      <w:bodyDiv w:val="1"/>
      <w:marLeft w:val="0"/>
      <w:marRight w:val="0"/>
      <w:marTop w:val="0"/>
      <w:marBottom w:val="0"/>
      <w:divBdr>
        <w:top w:val="none" w:sz="0" w:space="0" w:color="auto"/>
        <w:left w:val="none" w:sz="0" w:space="0" w:color="auto"/>
        <w:bottom w:val="none" w:sz="0" w:space="0" w:color="auto"/>
        <w:right w:val="none" w:sz="0" w:space="0" w:color="auto"/>
      </w:divBdr>
    </w:div>
    <w:div w:id="209611228">
      <w:bodyDiv w:val="1"/>
      <w:marLeft w:val="0"/>
      <w:marRight w:val="0"/>
      <w:marTop w:val="0"/>
      <w:marBottom w:val="0"/>
      <w:divBdr>
        <w:top w:val="none" w:sz="0" w:space="0" w:color="auto"/>
        <w:left w:val="none" w:sz="0" w:space="0" w:color="auto"/>
        <w:bottom w:val="none" w:sz="0" w:space="0" w:color="auto"/>
        <w:right w:val="none" w:sz="0" w:space="0" w:color="auto"/>
      </w:divBdr>
    </w:div>
    <w:div w:id="209729123">
      <w:bodyDiv w:val="1"/>
      <w:marLeft w:val="0"/>
      <w:marRight w:val="0"/>
      <w:marTop w:val="0"/>
      <w:marBottom w:val="0"/>
      <w:divBdr>
        <w:top w:val="none" w:sz="0" w:space="0" w:color="auto"/>
        <w:left w:val="none" w:sz="0" w:space="0" w:color="auto"/>
        <w:bottom w:val="none" w:sz="0" w:space="0" w:color="auto"/>
        <w:right w:val="none" w:sz="0" w:space="0" w:color="auto"/>
      </w:divBdr>
    </w:div>
    <w:div w:id="209805563">
      <w:bodyDiv w:val="1"/>
      <w:marLeft w:val="0"/>
      <w:marRight w:val="0"/>
      <w:marTop w:val="0"/>
      <w:marBottom w:val="0"/>
      <w:divBdr>
        <w:top w:val="none" w:sz="0" w:space="0" w:color="auto"/>
        <w:left w:val="none" w:sz="0" w:space="0" w:color="auto"/>
        <w:bottom w:val="none" w:sz="0" w:space="0" w:color="auto"/>
        <w:right w:val="none" w:sz="0" w:space="0" w:color="auto"/>
      </w:divBdr>
    </w:div>
    <w:div w:id="209810472">
      <w:bodyDiv w:val="1"/>
      <w:marLeft w:val="0"/>
      <w:marRight w:val="0"/>
      <w:marTop w:val="0"/>
      <w:marBottom w:val="0"/>
      <w:divBdr>
        <w:top w:val="none" w:sz="0" w:space="0" w:color="auto"/>
        <w:left w:val="none" w:sz="0" w:space="0" w:color="auto"/>
        <w:bottom w:val="none" w:sz="0" w:space="0" w:color="auto"/>
        <w:right w:val="none" w:sz="0" w:space="0" w:color="auto"/>
      </w:divBdr>
    </w:div>
    <w:div w:id="209850408">
      <w:bodyDiv w:val="1"/>
      <w:marLeft w:val="0"/>
      <w:marRight w:val="0"/>
      <w:marTop w:val="0"/>
      <w:marBottom w:val="0"/>
      <w:divBdr>
        <w:top w:val="none" w:sz="0" w:space="0" w:color="auto"/>
        <w:left w:val="none" w:sz="0" w:space="0" w:color="auto"/>
        <w:bottom w:val="none" w:sz="0" w:space="0" w:color="auto"/>
        <w:right w:val="none" w:sz="0" w:space="0" w:color="auto"/>
      </w:divBdr>
    </w:div>
    <w:div w:id="209926349">
      <w:bodyDiv w:val="1"/>
      <w:marLeft w:val="0"/>
      <w:marRight w:val="0"/>
      <w:marTop w:val="0"/>
      <w:marBottom w:val="0"/>
      <w:divBdr>
        <w:top w:val="none" w:sz="0" w:space="0" w:color="auto"/>
        <w:left w:val="none" w:sz="0" w:space="0" w:color="auto"/>
        <w:bottom w:val="none" w:sz="0" w:space="0" w:color="auto"/>
        <w:right w:val="none" w:sz="0" w:space="0" w:color="auto"/>
      </w:divBdr>
    </w:div>
    <w:div w:id="209926405">
      <w:bodyDiv w:val="1"/>
      <w:marLeft w:val="0"/>
      <w:marRight w:val="0"/>
      <w:marTop w:val="0"/>
      <w:marBottom w:val="0"/>
      <w:divBdr>
        <w:top w:val="none" w:sz="0" w:space="0" w:color="auto"/>
        <w:left w:val="none" w:sz="0" w:space="0" w:color="auto"/>
        <w:bottom w:val="none" w:sz="0" w:space="0" w:color="auto"/>
        <w:right w:val="none" w:sz="0" w:space="0" w:color="auto"/>
      </w:divBdr>
    </w:div>
    <w:div w:id="210003823">
      <w:bodyDiv w:val="1"/>
      <w:marLeft w:val="0"/>
      <w:marRight w:val="0"/>
      <w:marTop w:val="0"/>
      <w:marBottom w:val="0"/>
      <w:divBdr>
        <w:top w:val="none" w:sz="0" w:space="0" w:color="auto"/>
        <w:left w:val="none" w:sz="0" w:space="0" w:color="auto"/>
        <w:bottom w:val="none" w:sz="0" w:space="0" w:color="auto"/>
        <w:right w:val="none" w:sz="0" w:space="0" w:color="auto"/>
      </w:divBdr>
    </w:div>
    <w:div w:id="210045759">
      <w:bodyDiv w:val="1"/>
      <w:marLeft w:val="0"/>
      <w:marRight w:val="0"/>
      <w:marTop w:val="0"/>
      <w:marBottom w:val="0"/>
      <w:divBdr>
        <w:top w:val="none" w:sz="0" w:space="0" w:color="auto"/>
        <w:left w:val="none" w:sz="0" w:space="0" w:color="auto"/>
        <w:bottom w:val="none" w:sz="0" w:space="0" w:color="auto"/>
        <w:right w:val="none" w:sz="0" w:space="0" w:color="auto"/>
      </w:divBdr>
    </w:div>
    <w:div w:id="210112630">
      <w:bodyDiv w:val="1"/>
      <w:marLeft w:val="0"/>
      <w:marRight w:val="0"/>
      <w:marTop w:val="0"/>
      <w:marBottom w:val="0"/>
      <w:divBdr>
        <w:top w:val="none" w:sz="0" w:space="0" w:color="auto"/>
        <w:left w:val="none" w:sz="0" w:space="0" w:color="auto"/>
        <w:bottom w:val="none" w:sz="0" w:space="0" w:color="auto"/>
        <w:right w:val="none" w:sz="0" w:space="0" w:color="auto"/>
      </w:divBdr>
    </w:div>
    <w:div w:id="210190710">
      <w:bodyDiv w:val="1"/>
      <w:marLeft w:val="0"/>
      <w:marRight w:val="0"/>
      <w:marTop w:val="0"/>
      <w:marBottom w:val="0"/>
      <w:divBdr>
        <w:top w:val="none" w:sz="0" w:space="0" w:color="auto"/>
        <w:left w:val="none" w:sz="0" w:space="0" w:color="auto"/>
        <w:bottom w:val="none" w:sz="0" w:space="0" w:color="auto"/>
        <w:right w:val="none" w:sz="0" w:space="0" w:color="auto"/>
      </w:divBdr>
    </w:div>
    <w:div w:id="210193255">
      <w:bodyDiv w:val="1"/>
      <w:marLeft w:val="0"/>
      <w:marRight w:val="0"/>
      <w:marTop w:val="0"/>
      <w:marBottom w:val="0"/>
      <w:divBdr>
        <w:top w:val="none" w:sz="0" w:space="0" w:color="auto"/>
        <w:left w:val="none" w:sz="0" w:space="0" w:color="auto"/>
        <w:bottom w:val="none" w:sz="0" w:space="0" w:color="auto"/>
        <w:right w:val="none" w:sz="0" w:space="0" w:color="auto"/>
      </w:divBdr>
    </w:div>
    <w:div w:id="210385867">
      <w:bodyDiv w:val="1"/>
      <w:marLeft w:val="0"/>
      <w:marRight w:val="0"/>
      <w:marTop w:val="0"/>
      <w:marBottom w:val="0"/>
      <w:divBdr>
        <w:top w:val="none" w:sz="0" w:space="0" w:color="auto"/>
        <w:left w:val="none" w:sz="0" w:space="0" w:color="auto"/>
        <w:bottom w:val="none" w:sz="0" w:space="0" w:color="auto"/>
        <w:right w:val="none" w:sz="0" w:space="0" w:color="auto"/>
      </w:divBdr>
    </w:div>
    <w:div w:id="210386233">
      <w:bodyDiv w:val="1"/>
      <w:marLeft w:val="0"/>
      <w:marRight w:val="0"/>
      <w:marTop w:val="0"/>
      <w:marBottom w:val="0"/>
      <w:divBdr>
        <w:top w:val="none" w:sz="0" w:space="0" w:color="auto"/>
        <w:left w:val="none" w:sz="0" w:space="0" w:color="auto"/>
        <w:bottom w:val="none" w:sz="0" w:space="0" w:color="auto"/>
        <w:right w:val="none" w:sz="0" w:space="0" w:color="auto"/>
      </w:divBdr>
    </w:div>
    <w:div w:id="210386564">
      <w:bodyDiv w:val="1"/>
      <w:marLeft w:val="0"/>
      <w:marRight w:val="0"/>
      <w:marTop w:val="0"/>
      <w:marBottom w:val="0"/>
      <w:divBdr>
        <w:top w:val="none" w:sz="0" w:space="0" w:color="auto"/>
        <w:left w:val="none" w:sz="0" w:space="0" w:color="auto"/>
        <w:bottom w:val="none" w:sz="0" w:space="0" w:color="auto"/>
        <w:right w:val="none" w:sz="0" w:space="0" w:color="auto"/>
      </w:divBdr>
    </w:div>
    <w:div w:id="210457511">
      <w:bodyDiv w:val="1"/>
      <w:marLeft w:val="0"/>
      <w:marRight w:val="0"/>
      <w:marTop w:val="0"/>
      <w:marBottom w:val="0"/>
      <w:divBdr>
        <w:top w:val="none" w:sz="0" w:space="0" w:color="auto"/>
        <w:left w:val="none" w:sz="0" w:space="0" w:color="auto"/>
        <w:bottom w:val="none" w:sz="0" w:space="0" w:color="auto"/>
        <w:right w:val="none" w:sz="0" w:space="0" w:color="auto"/>
      </w:divBdr>
    </w:div>
    <w:div w:id="210504932">
      <w:bodyDiv w:val="1"/>
      <w:marLeft w:val="0"/>
      <w:marRight w:val="0"/>
      <w:marTop w:val="0"/>
      <w:marBottom w:val="0"/>
      <w:divBdr>
        <w:top w:val="none" w:sz="0" w:space="0" w:color="auto"/>
        <w:left w:val="none" w:sz="0" w:space="0" w:color="auto"/>
        <w:bottom w:val="none" w:sz="0" w:space="0" w:color="auto"/>
        <w:right w:val="none" w:sz="0" w:space="0" w:color="auto"/>
      </w:divBdr>
    </w:div>
    <w:div w:id="210532088">
      <w:bodyDiv w:val="1"/>
      <w:marLeft w:val="0"/>
      <w:marRight w:val="0"/>
      <w:marTop w:val="0"/>
      <w:marBottom w:val="0"/>
      <w:divBdr>
        <w:top w:val="none" w:sz="0" w:space="0" w:color="auto"/>
        <w:left w:val="none" w:sz="0" w:space="0" w:color="auto"/>
        <w:bottom w:val="none" w:sz="0" w:space="0" w:color="auto"/>
        <w:right w:val="none" w:sz="0" w:space="0" w:color="auto"/>
      </w:divBdr>
    </w:div>
    <w:div w:id="210725726">
      <w:bodyDiv w:val="1"/>
      <w:marLeft w:val="0"/>
      <w:marRight w:val="0"/>
      <w:marTop w:val="0"/>
      <w:marBottom w:val="0"/>
      <w:divBdr>
        <w:top w:val="none" w:sz="0" w:space="0" w:color="auto"/>
        <w:left w:val="none" w:sz="0" w:space="0" w:color="auto"/>
        <w:bottom w:val="none" w:sz="0" w:space="0" w:color="auto"/>
        <w:right w:val="none" w:sz="0" w:space="0" w:color="auto"/>
      </w:divBdr>
    </w:div>
    <w:div w:id="210726382">
      <w:bodyDiv w:val="1"/>
      <w:marLeft w:val="0"/>
      <w:marRight w:val="0"/>
      <w:marTop w:val="0"/>
      <w:marBottom w:val="0"/>
      <w:divBdr>
        <w:top w:val="none" w:sz="0" w:space="0" w:color="auto"/>
        <w:left w:val="none" w:sz="0" w:space="0" w:color="auto"/>
        <w:bottom w:val="none" w:sz="0" w:space="0" w:color="auto"/>
        <w:right w:val="none" w:sz="0" w:space="0" w:color="auto"/>
      </w:divBdr>
    </w:div>
    <w:div w:id="210773876">
      <w:bodyDiv w:val="1"/>
      <w:marLeft w:val="0"/>
      <w:marRight w:val="0"/>
      <w:marTop w:val="0"/>
      <w:marBottom w:val="0"/>
      <w:divBdr>
        <w:top w:val="none" w:sz="0" w:space="0" w:color="auto"/>
        <w:left w:val="none" w:sz="0" w:space="0" w:color="auto"/>
        <w:bottom w:val="none" w:sz="0" w:space="0" w:color="auto"/>
        <w:right w:val="none" w:sz="0" w:space="0" w:color="auto"/>
      </w:divBdr>
    </w:div>
    <w:div w:id="211038547">
      <w:bodyDiv w:val="1"/>
      <w:marLeft w:val="0"/>
      <w:marRight w:val="0"/>
      <w:marTop w:val="0"/>
      <w:marBottom w:val="0"/>
      <w:divBdr>
        <w:top w:val="none" w:sz="0" w:space="0" w:color="auto"/>
        <w:left w:val="none" w:sz="0" w:space="0" w:color="auto"/>
        <w:bottom w:val="none" w:sz="0" w:space="0" w:color="auto"/>
        <w:right w:val="none" w:sz="0" w:space="0" w:color="auto"/>
      </w:divBdr>
    </w:div>
    <w:div w:id="211046052">
      <w:bodyDiv w:val="1"/>
      <w:marLeft w:val="0"/>
      <w:marRight w:val="0"/>
      <w:marTop w:val="0"/>
      <w:marBottom w:val="0"/>
      <w:divBdr>
        <w:top w:val="none" w:sz="0" w:space="0" w:color="auto"/>
        <w:left w:val="none" w:sz="0" w:space="0" w:color="auto"/>
        <w:bottom w:val="none" w:sz="0" w:space="0" w:color="auto"/>
        <w:right w:val="none" w:sz="0" w:space="0" w:color="auto"/>
      </w:divBdr>
    </w:div>
    <w:div w:id="211232302">
      <w:bodyDiv w:val="1"/>
      <w:marLeft w:val="0"/>
      <w:marRight w:val="0"/>
      <w:marTop w:val="0"/>
      <w:marBottom w:val="0"/>
      <w:divBdr>
        <w:top w:val="none" w:sz="0" w:space="0" w:color="auto"/>
        <w:left w:val="none" w:sz="0" w:space="0" w:color="auto"/>
        <w:bottom w:val="none" w:sz="0" w:space="0" w:color="auto"/>
        <w:right w:val="none" w:sz="0" w:space="0" w:color="auto"/>
      </w:divBdr>
    </w:div>
    <w:div w:id="211355064">
      <w:bodyDiv w:val="1"/>
      <w:marLeft w:val="0"/>
      <w:marRight w:val="0"/>
      <w:marTop w:val="0"/>
      <w:marBottom w:val="0"/>
      <w:divBdr>
        <w:top w:val="none" w:sz="0" w:space="0" w:color="auto"/>
        <w:left w:val="none" w:sz="0" w:space="0" w:color="auto"/>
        <w:bottom w:val="none" w:sz="0" w:space="0" w:color="auto"/>
        <w:right w:val="none" w:sz="0" w:space="0" w:color="auto"/>
      </w:divBdr>
    </w:div>
    <w:div w:id="211356885">
      <w:bodyDiv w:val="1"/>
      <w:marLeft w:val="0"/>
      <w:marRight w:val="0"/>
      <w:marTop w:val="0"/>
      <w:marBottom w:val="0"/>
      <w:divBdr>
        <w:top w:val="none" w:sz="0" w:space="0" w:color="auto"/>
        <w:left w:val="none" w:sz="0" w:space="0" w:color="auto"/>
        <w:bottom w:val="none" w:sz="0" w:space="0" w:color="auto"/>
        <w:right w:val="none" w:sz="0" w:space="0" w:color="auto"/>
      </w:divBdr>
    </w:div>
    <w:div w:id="211382322">
      <w:bodyDiv w:val="1"/>
      <w:marLeft w:val="0"/>
      <w:marRight w:val="0"/>
      <w:marTop w:val="0"/>
      <w:marBottom w:val="0"/>
      <w:divBdr>
        <w:top w:val="none" w:sz="0" w:space="0" w:color="auto"/>
        <w:left w:val="none" w:sz="0" w:space="0" w:color="auto"/>
        <w:bottom w:val="none" w:sz="0" w:space="0" w:color="auto"/>
        <w:right w:val="none" w:sz="0" w:space="0" w:color="auto"/>
      </w:divBdr>
    </w:div>
    <w:div w:id="211574787">
      <w:bodyDiv w:val="1"/>
      <w:marLeft w:val="0"/>
      <w:marRight w:val="0"/>
      <w:marTop w:val="0"/>
      <w:marBottom w:val="0"/>
      <w:divBdr>
        <w:top w:val="none" w:sz="0" w:space="0" w:color="auto"/>
        <w:left w:val="none" w:sz="0" w:space="0" w:color="auto"/>
        <w:bottom w:val="none" w:sz="0" w:space="0" w:color="auto"/>
        <w:right w:val="none" w:sz="0" w:space="0" w:color="auto"/>
      </w:divBdr>
    </w:div>
    <w:div w:id="211578032">
      <w:bodyDiv w:val="1"/>
      <w:marLeft w:val="0"/>
      <w:marRight w:val="0"/>
      <w:marTop w:val="0"/>
      <w:marBottom w:val="0"/>
      <w:divBdr>
        <w:top w:val="none" w:sz="0" w:space="0" w:color="auto"/>
        <w:left w:val="none" w:sz="0" w:space="0" w:color="auto"/>
        <w:bottom w:val="none" w:sz="0" w:space="0" w:color="auto"/>
        <w:right w:val="none" w:sz="0" w:space="0" w:color="auto"/>
      </w:divBdr>
    </w:div>
    <w:div w:id="211579005">
      <w:bodyDiv w:val="1"/>
      <w:marLeft w:val="0"/>
      <w:marRight w:val="0"/>
      <w:marTop w:val="0"/>
      <w:marBottom w:val="0"/>
      <w:divBdr>
        <w:top w:val="none" w:sz="0" w:space="0" w:color="auto"/>
        <w:left w:val="none" w:sz="0" w:space="0" w:color="auto"/>
        <w:bottom w:val="none" w:sz="0" w:space="0" w:color="auto"/>
        <w:right w:val="none" w:sz="0" w:space="0" w:color="auto"/>
      </w:divBdr>
    </w:div>
    <w:div w:id="211623609">
      <w:bodyDiv w:val="1"/>
      <w:marLeft w:val="0"/>
      <w:marRight w:val="0"/>
      <w:marTop w:val="0"/>
      <w:marBottom w:val="0"/>
      <w:divBdr>
        <w:top w:val="none" w:sz="0" w:space="0" w:color="auto"/>
        <w:left w:val="none" w:sz="0" w:space="0" w:color="auto"/>
        <w:bottom w:val="none" w:sz="0" w:space="0" w:color="auto"/>
        <w:right w:val="none" w:sz="0" w:space="0" w:color="auto"/>
      </w:divBdr>
    </w:div>
    <w:div w:id="211692459">
      <w:bodyDiv w:val="1"/>
      <w:marLeft w:val="0"/>
      <w:marRight w:val="0"/>
      <w:marTop w:val="0"/>
      <w:marBottom w:val="0"/>
      <w:divBdr>
        <w:top w:val="none" w:sz="0" w:space="0" w:color="auto"/>
        <w:left w:val="none" w:sz="0" w:space="0" w:color="auto"/>
        <w:bottom w:val="none" w:sz="0" w:space="0" w:color="auto"/>
        <w:right w:val="none" w:sz="0" w:space="0" w:color="auto"/>
      </w:divBdr>
    </w:div>
    <w:div w:id="211694721">
      <w:bodyDiv w:val="1"/>
      <w:marLeft w:val="0"/>
      <w:marRight w:val="0"/>
      <w:marTop w:val="0"/>
      <w:marBottom w:val="0"/>
      <w:divBdr>
        <w:top w:val="none" w:sz="0" w:space="0" w:color="auto"/>
        <w:left w:val="none" w:sz="0" w:space="0" w:color="auto"/>
        <w:bottom w:val="none" w:sz="0" w:space="0" w:color="auto"/>
        <w:right w:val="none" w:sz="0" w:space="0" w:color="auto"/>
      </w:divBdr>
    </w:div>
    <w:div w:id="211697858">
      <w:bodyDiv w:val="1"/>
      <w:marLeft w:val="0"/>
      <w:marRight w:val="0"/>
      <w:marTop w:val="0"/>
      <w:marBottom w:val="0"/>
      <w:divBdr>
        <w:top w:val="none" w:sz="0" w:space="0" w:color="auto"/>
        <w:left w:val="none" w:sz="0" w:space="0" w:color="auto"/>
        <w:bottom w:val="none" w:sz="0" w:space="0" w:color="auto"/>
        <w:right w:val="none" w:sz="0" w:space="0" w:color="auto"/>
      </w:divBdr>
    </w:div>
    <w:div w:id="211816645">
      <w:bodyDiv w:val="1"/>
      <w:marLeft w:val="0"/>
      <w:marRight w:val="0"/>
      <w:marTop w:val="0"/>
      <w:marBottom w:val="0"/>
      <w:divBdr>
        <w:top w:val="none" w:sz="0" w:space="0" w:color="auto"/>
        <w:left w:val="none" w:sz="0" w:space="0" w:color="auto"/>
        <w:bottom w:val="none" w:sz="0" w:space="0" w:color="auto"/>
        <w:right w:val="none" w:sz="0" w:space="0" w:color="auto"/>
      </w:divBdr>
    </w:div>
    <w:div w:id="211892857">
      <w:bodyDiv w:val="1"/>
      <w:marLeft w:val="0"/>
      <w:marRight w:val="0"/>
      <w:marTop w:val="0"/>
      <w:marBottom w:val="0"/>
      <w:divBdr>
        <w:top w:val="none" w:sz="0" w:space="0" w:color="auto"/>
        <w:left w:val="none" w:sz="0" w:space="0" w:color="auto"/>
        <w:bottom w:val="none" w:sz="0" w:space="0" w:color="auto"/>
        <w:right w:val="none" w:sz="0" w:space="0" w:color="auto"/>
      </w:divBdr>
    </w:div>
    <w:div w:id="211963304">
      <w:bodyDiv w:val="1"/>
      <w:marLeft w:val="0"/>
      <w:marRight w:val="0"/>
      <w:marTop w:val="0"/>
      <w:marBottom w:val="0"/>
      <w:divBdr>
        <w:top w:val="none" w:sz="0" w:space="0" w:color="auto"/>
        <w:left w:val="none" w:sz="0" w:space="0" w:color="auto"/>
        <w:bottom w:val="none" w:sz="0" w:space="0" w:color="auto"/>
        <w:right w:val="none" w:sz="0" w:space="0" w:color="auto"/>
      </w:divBdr>
    </w:div>
    <w:div w:id="211968628">
      <w:bodyDiv w:val="1"/>
      <w:marLeft w:val="0"/>
      <w:marRight w:val="0"/>
      <w:marTop w:val="0"/>
      <w:marBottom w:val="0"/>
      <w:divBdr>
        <w:top w:val="none" w:sz="0" w:space="0" w:color="auto"/>
        <w:left w:val="none" w:sz="0" w:space="0" w:color="auto"/>
        <w:bottom w:val="none" w:sz="0" w:space="0" w:color="auto"/>
        <w:right w:val="none" w:sz="0" w:space="0" w:color="auto"/>
      </w:divBdr>
    </w:div>
    <w:div w:id="212079290">
      <w:bodyDiv w:val="1"/>
      <w:marLeft w:val="0"/>
      <w:marRight w:val="0"/>
      <w:marTop w:val="0"/>
      <w:marBottom w:val="0"/>
      <w:divBdr>
        <w:top w:val="none" w:sz="0" w:space="0" w:color="auto"/>
        <w:left w:val="none" w:sz="0" w:space="0" w:color="auto"/>
        <w:bottom w:val="none" w:sz="0" w:space="0" w:color="auto"/>
        <w:right w:val="none" w:sz="0" w:space="0" w:color="auto"/>
      </w:divBdr>
    </w:div>
    <w:div w:id="212080218">
      <w:bodyDiv w:val="1"/>
      <w:marLeft w:val="0"/>
      <w:marRight w:val="0"/>
      <w:marTop w:val="0"/>
      <w:marBottom w:val="0"/>
      <w:divBdr>
        <w:top w:val="none" w:sz="0" w:space="0" w:color="auto"/>
        <w:left w:val="none" w:sz="0" w:space="0" w:color="auto"/>
        <w:bottom w:val="none" w:sz="0" w:space="0" w:color="auto"/>
        <w:right w:val="none" w:sz="0" w:space="0" w:color="auto"/>
      </w:divBdr>
    </w:div>
    <w:div w:id="212083052">
      <w:bodyDiv w:val="1"/>
      <w:marLeft w:val="0"/>
      <w:marRight w:val="0"/>
      <w:marTop w:val="0"/>
      <w:marBottom w:val="0"/>
      <w:divBdr>
        <w:top w:val="none" w:sz="0" w:space="0" w:color="auto"/>
        <w:left w:val="none" w:sz="0" w:space="0" w:color="auto"/>
        <w:bottom w:val="none" w:sz="0" w:space="0" w:color="auto"/>
        <w:right w:val="none" w:sz="0" w:space="0" w:color="auto"/>
      </w:divBdr>
    </w:div>
    <w:div w:id="212084285">
      <w:bodyDiv w:val="1"/>
      <w:marLeft w:val="0"/>
      <w:marRight w:val="0"/>
      <w:marTop w:val="0"/>
      <w:marBottom w:val="0"/>
      <w:divBdr>
        <w:top w:val="none" w:sz="0" w:space="0" w:color="auto"/>
        <w:left w:val="none" w:sz="0" w:space="0" w:color="auto"/>
        <w:bottom w:val="none" w:sz="0" w:space="0" w:color="auto"/>
        <w:right w:val="none" w:sz="0" w:space="0" w:color="auto"/>
      </w:divBdr>
    </w:div>
    <w:div w:id="212160908">
      <w:bodyDiv w:val="1"/>
      <w:marLeft w:val="0"/>
      <w:marRight w:val="0"/>
      <w:marTop w:val="0"/>
      <w:marBottom w:val="0"/>
      <w:divBdr>
        <w:top w:val="none" w:sz="0" w:space="0" w:color="auto"/>
        <w:left w:val="none" w:sz="0" w:space="0" w:color="auto"/>
        <w:bottom w:val="none" w:sz="0" w:space="0" w:color="auto"/>
        <w:right w:val="none" w:sz="0" w:space="0" w:color="auto"/>
      </w:divBdr>
    </w:div>
    <w:div w:id="212162514">
      <w:bodyDiv w:val="1"/>
      <w:marLeft w:val="0"/>
      <w:marRight w:val="0"/>
      <w:marTop w:val="0"/>
      <w:marBottom w:val="0"/>
      <w:divBdr>
        <w:top w:val="none" w:sz="0" w:space="0" w:color="auto"/>
        <w:left w:val="none" w:sz="0" w:space="0" w:color="auto"/>
        <w:bottom w:val="none" w:sz="0" w:space="0" w:color="auto"/>
        <w:right w:val="none" w:sz="0" w:space="0" w:color="auto"/>
      </w:divBdr>
    </w:div>
    <w:div w:id="212162811">
      <w:bodyDiv w:val="1"/>
      <w:marLeft w:val="0"/>
      <w:marRight w:val="0"/>
      <w:marTop w:val="0"/>
      <w:marBottom w:val="0"/>
      <w:divBdr>
        <w:top w:val="none" w:sz="0" w:space="0" w:color="auto"/>
        <w:left w:val="none" w:sz="0" w:space="0" w:color="auto"/>
        <w:bottom w:val="none" w:sz="0" w:space="0" w:color="auto"/>
        <w:right w:val="none" w:sz="0" w:space="0" w:color="auto"/>
      </w:divBdr>
    </w:div>
    <w:div w:id="212236378">
      <w:bodyDiv w:val="1"/>
      <w:marLeft w:val="0"/>
      <w:marRight w:val="0"/>
      <w:marTop w:val="0"/>
      <w:marBottom w:val="0"/>
      <w:divBdr>
        <w:top w:val="none" w:sz="0" w:space="0" w:color="auto"/>
        <w:left w:val="none" w:sz="0" w:space="0" w:color="auto"/>
        <w:bottom w:val="none" w:sz="0" w:space="0" w:color="auto"/>
        <w:right w:val="none" w:sz="0" w:space="0" w:color="auto"/>
      </w:divBdr>
    </w:div>
    <w:div w:id="212273057">
      <w:bodyDiv w:val="1"/>
      <w:marLeft w:val="0"/>
      <w:marRight w:val="0"/>
      <w:marTop w:val="0"/>
      <w:marBottom w:val="0"/>
      <w:divBdr>
        <w:top w:val="none" w:sz="0" w:space="0" w:color="auto"/>
        <w:left w:val="none" w:sz="0" w:space="0" w:color="auto"/>
        <w:bottom w:val="none" w:sz="0" w:space="0" w:color="auto"/>
        <w:right w:val="none" w:sz="0" w:space="0" w:color="auto"/>
      </w:divBdr>
    </w:div>
    <w:div w:id="212275460">
      <w:bodyDiv w:val="1"/>
      <w:marLeft w:val="0"/>
      <w:marRight w:val="0"/>
      <w:marTop w:val="0"/>
      <w:marBottom w:val="0"/>
      <w:divBdr>
        <w:top w:val="none" w:sz="0" w:space="0" w:color="auto"/>
        <w:left w:val="none" w:sz="0" w:space="0" w:color="auto"/>
        <w:bottom w:val="none" w:sz="0" w:space="0" w:color="auto"/>
        <w:right w:val="none" w:sz="0" w:space="0" w:color="auto"/>
      </w:divBdr>
    </w:div>
    <w:div w:id="212355883">
      <w:bodyDiv w:val="1"/>
      <w:marLeft w:val="0"/>
      <w:marRight w:val="0"/>
      <w:marTop w:val="0"/>
      <w:marBottom w:val="0"/>
      <w:divBdr>
        <w:top w:val="none" w:sz="0" w:space="0" w:color="auto"/>
        <w:left w:val="none" w:sz="0" w:space="0" w:color="auto"/>
        <w:bottom w:val="none" w:sz="0" w:space="0" w:color="auto"/>
        <w:right w:val="none" w:sz="0" w:space="0" w:color="auto"/>
      </w:divBdr>
    </w:div>
    <w:div w:id="212425946">
      <w:bodyDiv w:val="1"/>
      <w:marLeft w:val="0"/>
      <w:marRight w:val="0"/>
      <w:marTop w:val="0"/>
      <w:marBottom w:val="0"/>
      <w:divBdr>
        <w:top w:val="none" w:sz="0" w:space="0" w:color="auto"/>
        <w:left w:val="none" w:sz="0" w:space="0" w:color="auto"/>
        <w:bottom w:val="none" w:sz="0" w:space="0" w:color="auto"/>
        <w:right w:val="none" w:sz="0" w:space="0" w:color="auto"/>
      </w:divBdr>
    </w:div>
    <w:div w:id="212426828">
      <w:bodyDiv w:val="1"/>
      <w:marLeft w:val="0"/>
      <w:marRight w:val="0"/>
      <w:marTop w:val="0"/>
      <w:marBottom w:val="0"/>
      <w:divBdr>
        <w:top w:val="none" w:sz="0" w:space="0" w:color="auto"/>
        <w:left w:val="none" w:sz="0" w:space="0" w:color="auto"/>
        <w:bottom w:val="none" w:sz="0" w:space="0" w:color="auto"/>
        <w:right w:val="none" w:sz="0" w:space="0" w:color="auto"/>
      </w:divBdr>
    </w:div>
    <w:div w:id="212499056">
      <w:bodyDiv w:val="1"/>
      <w:marLeft w:val="0"/>
      <w:marRight w:val="0"/>
      <w:marTop w:val="0"/>
      <w:marBottom w:val="0"/>
      <w:divBdr>
        <w:top w:val="none" w:sz="0" w:space="0" w:color="auto"/>
        <w:left w:val="none" w:sz="0" w:space="0" w:color="auto"/>
        <w:bottom w:val="none" w:sz="0" w:space="0" w:color="auto"/>
        <w:right w:val="none" w:sz="0" w:space="0" w:color="auto"/>
      </w:divBdr>
    </w:div>
    <w:div w:id="212549270">
      <w:bodyDiv w:val="1"/>
      <w:marLeft w:val="0"/>
      <w:marRight w:val="0"/>
      <w:marTop w:val="0"/>
      <w:marBottom w:val="0"/>
      <w:divBdr>
        <w:top w:val="none" w:sz="0" w:space="0" w:color="auto"/>
        <w:left w:val="none" w:sz="0" w:space="0" w:color="auto"/>
        <w:bottom w:val="none" w:sz="0" w:space="0" w:color="auto"/>
        <w:right w:val="none" w:sz="0" w:space="0" w:color="auto"/>
      </w:divBdr>
    </w:div>
    <w:div w:id="212691567">
      <w:bodyDiv w:val="1"/>
      <w:marLeft w:val="0"/>
      <w:marRight w:val="0"/>
      <w:marTop w:val="0"/>
      <w:marBottom w:val="0"/>
      <w:divBdr>
        <w:top w:val="none" w:sz="0" w:space="0" w:color="auto"/>
        <w:left w:val="none" w:sz="0" w:space="0" w:color="auto"/>
        <w:bottom w:val="none" w:sz="0" w:space="0" w:color="auto"/>
        <w:right w:val="none" w:sz="0" w:space="0" w:color="auto"/>
      </w:divBdr>
    </w:div>
    <w:div w:id="212691815">
      <w:bodyDiv w:val="1"/>
      <w:marLeft w:val="0"/>
      <w:marRight w:val="0"/>
      <w:marTop w:val="0"/>
      <w:marBottom w:val="0"/>
      <w:divBdr>
        <w:top w:val="none" w:sz="0" w:space="0" w:color="auto"/>
        <w:left w:val="none" w:sz="0" w:space="0" w:color="auto"/>
        <w:bottom w:val="none" w:sz="0" w:space="0" w:color="auto"/>
        <w:right w:val="none" w:sz="0" w:space="0" w:color="auto"/>
      </w:divBdr>
    </w:div>
    <w:div w:id="212889022">
      <w:bodyDiv w:val="1"/>
      <w:marLeft w:val="0"/>
      <w:marRight w:val="0"/>
      <w:marTop w:val="0"/>
      <w:marBottom w:val="0"/>
      <w:divBdr>
        <w:top w:val="none" w:sz="0" w:space="0" w:color="auto"/>
        <w:left w:val="none" w:sz="0" w:space="0" w:color="auto"/>
        <w:bottom w:val="none" w:sz="0" w:space="0" w:color="auto"/>
        <w:right w:val="none" w:sz="0" w:space="0" w:color="auto"/>
      </w:divBdr>
    </w:div>
    <w:div w:id="212931487">
      <w:bodyDiv w:val="1"/>
      <w:marLeft w:val="0"/>
      <w:marRight w:val="0"/>
      <w:marTop w:val="0"/>
      <w:marBottom w:val="0"/>
      <w:divBdr>
        <w:top w:val="none" w:sz="0" w:space="0" w:color="auto"/>
        <w:left w:val="none" w:sz="0" w:space="0" w:color="auto"/>
        <w:bottom w:val="none" w:sz="0" w:space="0" w:color="auto"/>
        <w:right w:val="none" w:sz="0" w:space="0" w:color="auto"/>
      </w:divBdr>
    </w:div>
    <w:div w:id="212932278">
      <w:bodyDiv w:val="1"/>
      <w:marLeft w:val="0"/>
      <w:marRight w:val="0"/>
      <w:marTop w:val="0"/>
      <w:marBottom w:val="0"/>
      <w:divBdr>
        <w:top w:val="none" w:sz="0" w:space="0" w:color="auto"/>
        <w:left w:val="none" w:sz="0" w:space="0" w:color="auto"/>
        <w:bottom w:val="none" w:sz="0" w:space="0" w:color="auto"/>
        <w:right w:val="none" w:sz="0" w:space="0" w:color="auto"/>
      </w:divBdr>
    </w:div>
    <w:div w:id="213006920">
      <w:bodyDiv w:val="1"/>
      <w:marLeft w:val="0"/>
      <w:marRight w:val="0"/>
      <w:marTop w:val="0"/>
      <w:marBottom w:val="0"/>
      <w:divBdr>
        <w:top w:val="none" w:sz="0" w:space="0" w:color="auto"/>
        <w:left w:val="none" w:sz="0" w:space="0" w:color="auto"/>
        <w:bottom w:val="none" w:sz="0" w:space="0" w:color="auto"/>
        <w:right w:val="none" w:sz="0" w:space="0" w:color="auto"/>
      </w:divBdr>
    </w:div>
    <w:div w:id="213084428">
      <w:bodyDiv w:val="1"/>
      <w:marLeft w:val="0"/>
      <w:marRight w:val="0"/>
      <w:marTop w:val="0"/>
      <w:marBottom w:val="0"/>
      <w:divBdr>
        <w:top w:val="none" w:sz="0" w:space="0" w:color="auto"/>
        <w:left w:val="none" w:sz="0" w:space="0" w:color="auto"/>
        <w:bottom w:val="none" w:sz="0" w:space="0" w:color="auto"/>
        <w:right w:val="none" w:sz="0" w:space="0" w:color="auto"/>
      </w:divBdr>
    </w:div>
    <w:div w:id="213128042">
      <w:bodyDiv w:val="1"/>
      <w:marLeft w:val="0"/>
      <w:marRight w:val="0"/>
      <w:marTop w:val="0"/>
      <w:marBottom w:val="0"/>
      <w:divBdr>
        <w:top w:val="none" w:sz="0" w:space="0" w:color="auto"/>
        <w:left w:val="none" w:sz="0" w:space="0" w:color="auto"/>
        <w:bottom w:val="none" w:sz="0" w:space="0" w:color="auto"/>
        <w:right w:val="none" w:sz="0" w:space="0" w:color="auto"/>
      </w:divBdr>
    </w:div>
    <w:div w:id="213391875">
      <w:bodyDiv w:val="1"/>
      <w:marLeft w:val="0"/>
      <w:marRight w:val="0"/>
      <w:marTop w:val="0"/>
      <w:marBottom w:val="0"/>
      <w:divBdr>
        <w:top w:val="none" w:sz="0" w:space="0" w:color="auto"/>
        <w:left w:val="none" w:sz="0" w:space="0" w:color="auto"/>
        <w:bottom w:val="none" w:sz="0" w:space="0" w:color="auto"/>
        <w:right w:val="none" w:sz="0" w:space="0" w:color="auto"/>
      </w:divBdr>
    </w:div>
    <w:div w:id="213392820">
      <w:bodyDiv w:val="1"/>
      <w:marLeft w:val="0"/>
      <w:marRight w:val="0"/>
      <w:marTop w:val="0"/>
      <w:marBottom w:val="0"/>
      <w:divBdr>
        <w:top w:val="none" w:sz="0" w:space="0" w:color="auto"/>
        <w:left w:val="none" w:sz="0" w:space="0" w:color="auto"/>
        <w:bottom w:val="none" w:sz="0" w:space="0" w:color="auto"/>
        <w:right w:val="none" w:sz="0" w:space="0" w:color="auto"/>
      </w:divBdr>
    </w:div>
    <w:div w:id="213548117">
      <w:bodyDiv w:val="1"/>
      <w:marLeft w:val="0"/>
      <w:marRight w:val="0"/>
      <w:marTop w:val="0"/>
      <w:marBottom w:val="0"/>
      <w:divBdr>
        <w:top w:val="none" w:sz="0" w:space="0" w:color="auto"/>
        <w:left w:val="none" w:sz="0" w:space="0" w:color="auto"/>
        <w:bottom w:val="none" w:sz="0" w:space="0" w:color="auto"/>
        <w:right w:val="none" w:sz="0" w:space="0" w:color="auto"/>
      </w:divBdr>
    </w:div>
    <w:div w:id="213586671">
      <w:bodyDiv w:val="1"/>
      <w:marLeft w:val="0"/>
      <w:marRight w:val="0"/>
      <w:marTop w:val="0"/>
      <w:marBottom w:val="0"/>
      <w:divBdr>
        <w:top w:val="none" w:sz="0" w:space="0" w:color="auto"/>
        <w:left w:val="none" w:sz="0" w:space="0" w:color="auto"/>
        <w:bottom w:val="none" w:sz="0" w:space="0" w:color="auto"/>
        <w:right w:val="none" w:sz="0" w:space="0" w:color="auto"/>
      </w:divBdr>
    </w:div>
    <w:div w:id="213780896">
      <w:bodyDiv w:val="1"/>
      <w:marLeft w:val="0"/>
      <w:marRight w:val="0"/>
      <w:marTop w:val="0"/>
      <w:marBottom w:val="0"/>
      <w:divBdr>
        <w:top w:val="none" w:sz="0" w:space="0" w:color="auto"/>
        <w:left w:val="none" w:sz="0" w:space="0" w:color="auto"/>
        <w:bottom w:val="none" w:sz="0" w:space="0" w:color="auto"/>
        <w:right w:val="none" w:sz="0" w:space="0" w:color="auto"/>
      </w:divBdr>
    </w:div>
    <w:div w:id="213852957">
      <w:bodyDiv w:val="1"/>
      <w:marLeft w:val="0"/>
      <w:marRight w:val="0"/>
      <w:marTop w:val="0"/>
      <w:marBottom w:val="0"/>
      <w:divBdr>
        <w:top w:val="none" w:sz="0" w:space="0" w:color="auto"/>
        <w:left w:val="none" w:sz="0" w:space="0" w:color="auto"/>
        <w:bottom w:val="none" w:sz="0" w:space="0" w:color="auto"/>
        <w:right w:val="none" w:sz="0" w:space="0" w:color="auto"/>
      </w:divBdr>
    </w:div>
    <w:div w:id="213859914">
      <w:bodyDiv w:val="1"/>
      <w:marLeft w:val="0"/>
      <w:marRight w:val="0"/>
      <w:marTop w:val="0"/>
      <w:marBottom w:val="0"/>
      <w:divBdr>
        <w:top w:val="none" w:sz="0" w:space="0" w:color="auto"/>
        <w:left w:val="none" w:sz="0" w:space="0" w:color="auto"/>
        <w:bottom w:val="none" w:sz="0" w:space="0" w:color="auto"/>
        <w:right w:val="none" w:sz="0" w:space="0" w:color="auto"/>
      </w:divBdr>
    </w:div>
    <w:div w:id="213976781">
      <w:bodyDiv w:val="1"/>
      <w:marLeft w:val="0"/>
      <w:marRight w:val="0"/>
      <w:marTop w:val="0"/>
      <w:marBottom w:val="0"/>
      <w:divBdr>
        <w:top w:val="none" w:sz="0" w:space="0" w:color="auto"/>
        <w:left w:val="none" w:sz="0" w:space="0" w:color="auto"/>
        <w:bottom w:val="none" w:sz="0" w:space="0" w:color="auto"/>
        <w:right w:val="none" w:sz="0" w:space="0" w:color="auto"/>
      </w:divBdr>
    </w:div>
    <w:div w:id="214050687">
      <w:bodyDiv w:val="1"/>
      <w:marLeft w:val="0"/>
      <w:marRight w:val="0"/>
      <w:marTop w:val="0"/>
      <w:marBottom w:val="0"/>
      <w:divBdr>
        <w:top w:val="none" w:sz="0" w:space="0" w:color="auto"/>
        <w:left w:val="none" w:sz="0" w:space="0" w:color="auto"/>
        <w:bottom w:val="none" w:sz="0" w:space="0" w:color="auto"/>
        <w:right w:val="none" w:sz="0" w:space="0" w:color="auto"/>
      </w:divBdr>
    </w:div>
    <w:div w:id="214121344">
      <w:bodyDiv w:val="1"/>
      <w:marLeft w:val="0"/>
      <w:marRight w:val="0"/>
      <w:marTop w:val="0"/>
      <w:marBottom w:val="0"/>
      <w:divBdr>
        <w:top w:val="none" w:sz="0" w:space="0" w:color="auto"/>
        <w:left w:val="none" w:sz="0" w:space="0" w:color="auto"/>
        <w:bottom w:val="none" w:sz="0" w:space="0" w:color="auto"/>
        <w:right w:val="none" w:sz="0" w:space="0" w:color="auto"/>
      </w:divBdr>
    </w:div>
    <w:div w:id="214238750">
      <w:bodyDiv w:val="1"/>
      <w:marLeft w:val="0"/>
      <w:marRight w:val="0"/>
      <w:marTop w:val="0"/>
      <w:marBottom w:val="0"/>
      <w:divBdr>
        <w:top w:val="none" w:sz="0" w:space="0" w:color="auto"/>
        <w:left w:val="none" w:sz="0" w:space="0" w:color="auto"/>
        <w:bottom w:val="none" w:sz="0" w:space="0" w:color="auto"/>
        <w:right w:val="none" w:sz="0" w:space="0" w:color="auto"/>
      </w:divBdr>
    </w:div>
    <w:div w:id="214238763">
      <w:bodyDiv w:val="1"/>
      <w:marLeft w:val="0"/>
      <w:marRight w:val="0"/>
      <w:marTop w:val="0"/>
      <w:marBottom w:val="0"/>
      <w:divBdr>
        <w:top w:val="none" w:sz="0" w:space="0" w:color="auto"/>
        <w:left w:val="none" w:sz="0" w:space="0" w:color="auto"/>
        <w:bottom w:val="none" w:sz="0" w:space="0" w:color="auto"/>
        <w:right w:val="none" w:sz="0" w:space="0" w:color="auto"/>
      </w:divBdr>
    </w:div>
    <w:div w:id="214389159">
      <w:bodyDiv w:val="1"/>
      <w:marLeft w:val="0"/>
      <w:marRight w:val="0"/>
      <w:marTop w:val="0"/>
      <w:marBottom w:val="0"/>
      <w:divBdr>
        <w:top w:val="none" w:sz="0" w:space="0" w:color="auto"/>
        <w:left w:val="none" w:sz="0" w:space="0" w:color="auto"/>
        <w:bottom w:val="none" w:sz="0" w:space="0" w:color="auto"/>
        <w:right w:val="none" w:sz="0" w:space="0" w:color="auto"/>
      </w:divBdr>
    </w:div>
    <w:div w:id="214435343">
      <w:bodyDiv w:val="1"/>
      <w:marLeft w:val="0"/>
      <w:marRight w:val="0"/>
      <w:marTop w:val="0"/>
      <w:marBottom w:val="0"/>
      <w:divBdr>
        <w:top w:val="none" w:sz="0" w:space="0" w:color="auto"/>
        <w:left w:val="none" w:sz="0" w:space="0" w:color="auto"/>
        <w:bottom w:val="none" w:sz="0" w:space="0" w:color="auto"/>
        <w:right w:val="none" w:sz="0" w:space="0" w:color="auto"/>
      </w:divBdr>
    </w:div>
    <w:div w:id="214438889">
      <w:bodyDiv w:val="1"/>
      <w:marLeft w:val="0"/>
      <w:marRight w:val="0"/>
      <w:marTop w:val="0"/>
      <w:marBottom w:val="0"/>
      <w:divBdr>
        <w:top w:val="none" w:sz="0" w:space="0" w:color="auto"/>
        <w:left w:val="none" w:sz="0" w:space="0" w:color="auto"/>
        <w:bottom w:val="none" w:sz="0" w:space="0" w:color="auto"/>
        <w:right w:val="none" w:sz="0" w:space="0" w:color="auto"/>
      </w:divBdr>
    </w:div>
    <w:div w:id="214587209">
      <w:bodyDiv w:val="1"/>
      <w:marLeft w:val="0"/>
      <w:marRight w:val="0"/>
      <w:marTop w:val="0"/>
      <w:marBottom w:val="0"/>
      <w:divBdr>
        <w:top w:val="none" w:sz="0" w:space="0" w:color="auto"/>
        <w:left w:val="none" w:sz="0" w:space="0" w:color="auto"/>
        <w:bottom w:val="none" w:sz="0" w:space="0" w:color="auto"/>
        <w:right w:val="none" w:sz="0" w:space="0" w:color="auto"/>
      </w:divBdr>
    </w:div>
    <w:div w:id="214656972">
      <w:bodyDiv w:val="1"/>
      <w:marLeft w:val="0"/>
      <w:marRight w:val="0"/>
      <w:marTop w:val="0"/>
      <w:marBottom w:val="0"/>
      <w:divBdr>
        <w:top w:val="none" w:sz="0" w:space="0" w:color="auto"/>
        <w:left w:val="none" w:sz="0" w:space="0" w:color="auto"/>
        <w:bottom w:val="none" w:sz="0" w:space="0" w:color="auto"/>
        <w:right w:val="none" w:sz="0" w:space="0" w:color="auto"/>
      </w:divBdr>
    </w:div>
    <w:div w:id="214778377">
      <w:bodyDiv w:val="1"/>
      <w:marLeft w:val="0"/>
      <w:marRight w:val="0"/>
      <w:marTop w:val="0"/>
      <w:marBottom w:val="0"/>
      <w:divBdr>
        <w:top w:val="none" w:sz="0" w:space="0" w:color="auto"/>
        <w:left w:val="none" w:sz="0" w:space="0" w:color="auto"/>
        <w:bottom w:val="none" w:sz="0" w:space="0" w:color="auto"/>
        <w:right w:val="none" w:sz="0" w:space="0" w:color="auto"/>
      </w:divBdr>
    </w:div>
    <w:div w:id="214780994">
      <w:bodyDiv w:val="1"/>
      <w:marLeft w:val="0"/>
      <w:marRight w:val="0"/>
      <w:marTop w:val="0"/>
      <w:marBottom w:val="0"/>
      <w:divBdr>
        <w:top w:val="none" w:sz="0" w:space="0" w:color="auto"/>
        <w:left w:val="none" w:sz="0" w:space="0" w:color="auto"/>
        <w:bottom w:val="none" w:sz="0" w:space="0" w:color="auto"/>
        <w:right w:val="none" w:sz="0" w:space="0" w:color="auto"/>
      </w:divBdr>
    </w:div>
    <w:div w:id="214851075">
      <w:bodyDiv w:val="1"/>
      <w:marLeft w:val="0"/>
      <w:marRight w:val="0"/>
      <w:marTop w:val="0"/>
      <w:marBottom w:val="0"/>
      <w:divBdr>
        <w:top w:val="none" w:sz="0" w:space="0" w:color="auto"/>
        <w:left w:val="none" w:sz="0" w:space="0" w:color="auto"/>
        <w:bottom w:val="none" w:sz="0" w:space="0" w:color="auto"/>
        <w:right w:val="none" w:sz="0" w:space="0" w:color="auto"/>
      </w:divBdr>
    </w:div>
    <w:div w:id="214851693">
      <w:bodyDiv w:val="1"/>
      <w:marLeft w:val="0"/>
      <w:marRight w:val="0"/>
      <w:marTop w:val="0"/>
      <w:marBottom w:val="0"/>
      <w:divBdr>
        <w:top w:val="none" w:sz="0" w:space="0" w:color="auto"/>
        <w:left w:val="none" w:sz="0" w:space="0" w:color="auto"/>
        <w:bottom w:val="none" w:sz="0" w:space="0" w:color="auto"/>
        <w:right w:val="none" w:sz="0" w:space="0" w:color="auto"/>
      </w:divBdr>
    </w:div>
    <w:div w:id="214854792">
      <w:bodyDiv w:val="1"/>
      <w:marLeft w:val="0"/>
      <w:marRight w:val="0"/>
      <w:marTop w:val="0"/>
      <w:marBottom w:val="0"/>
      <w:divBdr>
        <w:top w:val="none" w:sz="0" w:space="0" w:color="auto"/>
        <w:left w:val="none" w:sz="0" w:space="0" w:color="auto"/>
        <w:bottom w:val="none" w:sz="0" w:space="0" w:color="auto"/>
        <w:right w:val="none" w:sz="0" w:space="0" w:color="auto"/>
      </w:divBdr>
    </w:div>
    <w:div w:id="214894195">
      <w:bodyDiv w:val="1"/>
      <w:marLeft w:val="0"/>
      <w:marRight w:val="0"/>
      <w:marTop w:val="0"/>
      <w:marBottom w:val="0"/>
      <w:divBdr>
        <w:top w:val="none" w:sz="0" w:space="0" w:color="auto"/>
        <w:left w:val="none" w:sz="0" w:space="0" w:color="auto"/>
        <w:bottom w:val="none" w:sz="0" w:space="0" w:color="auto"/>
        <w:right w:val="none" w:sz="0" w:space="0" w:color="auto"/>
      </w:divBdr>
    </w:div>
    <w:div w:id="214896528">
      <w:bodyDiv w:val="1"/>
      <w:marLeft w:val="0"/>
      <w:marRight w:val="0"/>
      <w:marTop w:val="0"/>
      <w:marBottom w:val="0"/>
      <w:divBdr>
        <w:top w:val="none" w:sz="0" w:space="0" w:color="auto"/>
        <w:left w:val="none" w:sz="0" w:space="0" w:color="auto"/>
        <w:bottom w:val="none" w:sz="0" w:space="0" w:color="auto"/>
        <w:right w:val="none" w:sz="0" w:space="0" w:color="auto"/>
      </w:divBdr>
    </w:div>
    <w:div w:id="215166930">
      <w:bodyDiv w:val="1"/>
      <w:marLeft w:val="0"/>
      <w:marRight w:val="0"/>
      <w:marTop w:val="0"/>
      <w:marBottom w:val="0"/>
      <w:divBdr>
        <w:top w:val="none" w:sz="0" w:space="0" w:color="auto"/>
        <w:left w:val="none" w:sz="0" w:space="0" w:color="auto"/>
        <w:bottom w:val="none" w:sz="0" w:space="0" w:color="auto"/>
        <w:right w:val="none" w:sz="0" w:space="0" w:color="auto"/>
      </w:divBdr>
    </w:div>
    <w:div w:id="215237447">
      <w:bodyDiv w:val="1"/>
      <w:marLeft w:val="0"/>
      <w:marRight w:val="0"/>
      <w:marTop w:val="0"/>
      <w:marBottom w:val="0"/>
      <w:divBdr>
        <w:top w:val="none" w:sz="0" w:space="0" w:color="auto"/>
        <w:left w:val="none" w:sz="0" w:space="0" w:color="auto"/>
        <w:bottom w:val="none" w:sz="0" w:space="0" w:color="auto"/>
        <w:right w:val="none" w:sz="0" w:space="0" w:color="auto"/>
      </w:divBdr>
    </w:div>
    <w:div w:id="215286751">
      <w:bodyDiv w:val="1"/>
      <w:marLeft w:val="0"/>
      <w:marRight w:val="0"/>
      <w:marTop w:val="0"/>
      <w:marBottom w:val="0"/>
      <w:divBdr>
        <w:top w:val="none" w:sz="0" w:space="0" w:color="auto"/>
        <w:left w:val="none" w:sz="0" w:space="0" w:color="auto"/>
        <w:bottom w:val="none" w:sz="0" w:space="0" w:color="auto"/>
        <w:right w:val="none" w:sz="0" w:space="0" w:color="auto"/>
      </w:divBdr>
    </w:div>
    <w:div w:id="215510835">
      <w:bodyDiv w:val="1"/>
      <w:marLeft w:val="0"/>
      <w:marRight w:val="0"/>
      <w:marTop w:val="0"/>
      <w:marBottom w:val="0"/>
      <w:divBdr>
        <w:top w:val="none" w:sz="0" w:space="0" w:color="auto"/>
        <w:left w:val="none" w:sz="0" w:space="0" w:color="auto"/>
        <w:bottom w:val="none" w:sz="0" w:space="0" w:color="auto"/>
        <w:right w:val="none" w:sz="0" w:space="0" w:color="auto"/>
      </w:divBdr>
    </w:div>
    <w:div w:id="215623958">
      <w:bodyDiv w:val="1"/>
      <w:marLeft w:val="0"/>
      <w:marRight w:val="0"/>
      <w:marTop w:val="0"/>
      <w:marBottom w:val="0"/>
      <w:divBdr>
        <w:top w:val="none" w:sz="0" w:space="0" w:color="auto"/>
        <w:left w:val="none" w:sz="0" w:space="0" w:color="auto"/>
        <w:bottom w:val="none" w:sz="0" w:space="0" w:color="auto"/>
        <w:right w:val="none" w:sz="0" w:space="0" w:color="auto"/>
      </w:divBdr>
    </w:div>
    <w:div w:id="215625891">
      <w:bodyDiv w:val="1"/>
      <w:marLeft w:val="0"/>
      <w:marRight w:val="0"/>
      <w:marTop w:val="0"/>
      <w:marBottom w:val="0"/>
      <w:divBdr>
        <w:top w:val="none" w:sz="0" w:space="0" w:color="auto"/>
        <w:left w:val="none" w:sz="0" w:space="0" w:color="auto"/>
        <w:bottom w:val="none" w:sz="0" w:space="0" w:color="auto"/>
        <w:right w:val="none" w:sz="0" w:space="0" w:color="auto"/>
      </w:divBdr>
    </w:div>
    <w:div w:id="215632259">
      <w:bodyDiv w:val="1"/>
      <w:marLeft w:val="0"/>
      <w:marRight w:val="0"/>
      <w:marTop w:val="0"/>
      <w:marBottom w:val="0"/>
      <w:divBdr>
        <w:top w:val="none" w:sz="0" w:space="0" w:color="auto"/>
        <w:left w:val="none" w:sz="0" w:space="0" w:color="auto"/>
        <w:bottom w:val="none" w:sz="0" w:space="0" w:color="auto"/>
        <w:right w:val="none" w:sz="0" w:space="0" w:color="auto"/>
      </w:divBdr>
    </w:div>
    <w:div w:id="215819818">
      <w:bodyDiv w:val="1"/>
      <w:marLeft w:val="0"/>
      <w:marRight w:val="0"/>
      <w:marTop w:val="0"/>
      <w:marBottom w:val="0"/>
      <w:divBdr>
        <w:top w:val="none" w:sz="0" w:space="0" w:color="auto"/>
        <w:left w:val="none" w:sz="0" w:space="0" w:color="auto"/>
        <w:bottom w:val="none" w:sz="0" w:space="0" w:color="auto"/>
        <w:right w:val="none" w:sz="0" w:space="0" w:color="auto"/>
      </w:divBdr>
    </w:div>
    <w:div w:id="215820455">
      <w:bodyDiv w:val="1"/>
      <w:marLeft w:val="0"/>
      <w:marRight w:val="0"/>
      <w:marTop w:val="0"/>
      <w:marBottom w:val="0"/>
      <w:divBdr>
        <w:top w:val="none" w:sz="0" w:space="0" w:color="auto"/>
        <w:left w:val="none" w:sz="0" w:space="0" w:color="auto"/>
        <w:bottom w:val="none" w:sz="0" w:space="0" w:color="auto"/>
        <w:right w:val="none" w:sz="0" w:space="0" w:color="auto"/>
      </w:divBdr>
    </w:div>
    <w:div w:id="215820713">
      <w:bodyDiv w:val="1"/>
      <w:marLeft w:val="0"/>
      <w:marRight w:val="0"/>
      <w:marTop w:val="0"/>
      <w:marBottom w:val="0"/>
      <w:divBdr>
        <w:top w:val="none" w:sz="0" w:space="0" w:color="auto"/>
        <w:left w:val="none" w:sz="0" w:space="0" w:color="auto"/>
        <w:bottom w:val="none" w:sz="0" w:space="0" w:color="auto"/>
        <w:right w:val="none" w:sz="0" w:space="0" w:color="auto"/>
      </w:divBdr>
    </w:div>
    <w:div w:id="215892773">
      <w:bodyDiv w:val="1"/>
      <w:marLeft w:val="0"/>
      <w:marRight w:val="0"/>
      <w:marTop w:val="0"/>
      <w:marBottom w:val="0"/>
      <w:divBdr>
        <w:top w:val="none" w:sz="0" w:space="0" w:color="auto"/>
        <w:left w:val="none" w:sz="0" w:space="0" w:color="auto"/>
        <w:bottom w:val="none" w:sz="0" w:space="0" w:color="auto"/>
        <w:right w:val="none" w:sz="0" w:space="0" w:color="auto"/>
      </w:divBdr>
    </w:div>
    <w:div w:id="215893855">
      <w:bodyDiv w:val="1"/>
      <w:marLeft w:val="0"/>
      <w:marRight w:val="0"/>
      <w:marTop w:val="0"/>
      <w:marBottom w:val="0"/>
      <w:divBdr>
        <w:top w:val="none" w:sz="0" w:space="0" w:color="auto"/>
        <w:left w:val="none" w:sz="0" w:space="0" w:color="auto"/>
        <w:bottom w:val="none" w:sz="0" w:space="0" w:color="auto"/>
        <w:right w:val="none" w:sz="0" w:space="0" w:color="auto"/>
      </w:divBdr>
    </w:div>
    <w:div w:id="216019122">
      <w:bodyDiv w:val="1"/>
      <w:marLeft w:val="0"/>
      <w:marRight w:val="0"/>
      <w:marTop w:val="0"/>
      <w:marBottom w:val="0"/>
      <w:divBdr>
        <w:top w:val="none" w:sz="0" w:space="0" w:color="auto"/>
        <w:left w:val="none" w:sz="0" w:space="0" w:color="auto"/>
        <w:bottom w:val="none" w:sz="0" w:space="0" w:color="auto"/>
        <w:right w:val="none" w:sz="0" w:space="0" w:color="auto"/>
      </w:divBdr>
    </w:div>
    <w:div w:id="216283741">
      <w:bodyDiv w:val="1"/>
      <w:marLeft w:val="0"/>
      <w:marRight w:val="0"/>
      <w:marTop w:val="0"/>
      <w:marBottom w:val="0"/>
      <w:divBdr>
        <w:top w:val="none" w:sz="0" w:space="0" w:color="auto"/>
        <w:left w:val="none" w:sz="0" w:space="0" w:color="auto"/>
        <w:bottom w:val="none" w:sz="0" w:space="0" w:color="auto"/>
        <w:right w:val="none" w:sz="0" w:space="0" w:color="auto"/>
      </w:divBdr>
    </w:div>
    <w:div w:id="216284156">
      <w:bodyDiv w:val="1"/>
      <w:marLeft w:val="0"/>
      <w:marRight w:val="0"/>
      <w:marTop w:val="0"/>
      <w:marBottom w:val="0"/>
      <w:divBdr>
        <w:top w:val="none" w:sz="0" w:space="0" w:color="auto"/>
        <w:left w:val="none" w:sz="0" w:space="0" w:color="auto"/>
        <w:bottom w:val="none" w:sz="0" w:space="0" w:color="auto"/>
        <w:right w:val="none" w:sz="0" w:space="0" w:color="auto"/>
      </w:divBdr>
    </w:div>
    <w:div w:id="216354094">
      <w:bodyDiv w:val="1"/>
      <w:marLeft w:val="0"/>
      <w:marRight w:val="0"/>
      <w:marTop w:val="0"/>
      <w:marBottom w:val="0"/>
      <w:divBdr>
        <w:top w:val="none" w:sz="0" w:space="0" w:color="auto"/>
        <w:left w:val="none" w:sz="0" w:space="0" w:color="auto"/>
        <w:bottom w:val="none" w:sz="0" w:space="0" w:color="auto"/>
        <w:right w:val="none" w:sz="0" w:space="0" w:color="auto"/>
      </w:divBdr>
    </w:div>
    <w:div w:id="216474942">
      <w:bodyDiv w:val="1"/>
      <w:marLeft w:val="0"/>
      <w:marRight w:val="0"/>
      <w:marTop w:val="0"/>
      <w:marBottom w:val="0"/>
      <w:divBdr>
        <w:top w:val="none" w:sz="0" w:space="0" w:color="auto"/>
        <w:left w:val="none" w:sz="0" w:space="0" w:color="auto"/>
        <w:bottom w:val="none" w:sz="0" w:space="0" w:color="auto"/>
        <w:right w:val="none" w:sz="0" w:space="0" w:color="auto"/>
      </w:divBdr>
    </w:div>
    <w:div w:id="216549935">
      <w:bodyDiv w:val="1"/>
      <w:marLeft w:val="0"/>
      <w:marRight w:val="0"/>
      <w:marTop w:val="0"/>
      <w:marBottom w:val="0"/>
      <w:divBdr>
        <w:top w:val="none" w:sz="0" w:space="0" w:color="auto"/>
        <w:left w:val="none" w:sz="0" w:space="0" w:color="auto"/>
        <w:bottom w:val="none" w:sz="0" w:space="0" w:color="auto"/>
        <w:right w:val="none" w:sz="0" w:space="0" w:color="auto"/>
      </w:divBdr>
    </w:div>
    <w:div w:id="216556029">
      <w:bodyDiv w:val="1"/>
      <w:marLeft w:val="0"/>
      <w:marRight w:val="0"/>
      <w:marTop w:val="0"/>
      <w:marBottom w:val="0"/>
      <w:divBdr>
        <w:top w:val="none" w:sz="0" w:space="0" w:color="auto"/>
        <w:left w:val="none" w:sz="0" w:space="0" w:color="auto"/>
        <w:bottom w:val="none" w:sz="0" w:space="0" w:color="auto"/>
        <w:right w:val="none" w:sz="0" w:space="0" w:color="auto"/>
      </w:divBdr>
    </w:div>
    <w:div w:id="216623308">
      <w:bodyDiv w:val="1"/>
      <w:marLeft w:val="0"/>
      <w:marRight w:val="0"/>
      <w:marTop w:val="0"/>
      <w:marBottom w:val="0"/>
      <w:divBdr>
        <w:top w:val="none" w:sz="0" w:space="0" w:color="auto"/>
        <w:left w:val="none" w:sz="0" w:space="0" w:color="auto"/>
        <w:bottom w:val="none" w:sz="0" w:space="0" w:color="auto"/>
        <w:right w:val="none" w:sz="0" w:space="0" w:color="auto"/>
      </w:divBdr>
    </w:div>
    <w:div w:id="216626582">
      <w:bodyDiv w:val="1"/>
      <w:marLeft w:val="0"/>
      <w:marRight w:val="0"/>
      <w:marTop w:val="0"/>
      <w:marBottom w:val="0"/>
      <w:divBdr>
        <w:top w:val="none" w:sz="0" w:space="0" w:color="auto"/>
        <w:left w:val="none" w:sz="0" w:space="0" w:color="auto"/>
        <w:bottom w:val="none" w:sz="0" w:space="0" w:color="auto"/>
        <w:right w:val="none" w:sz="0" w:space="0" w:color="auto"/>
      </w:divBdr>
    </w:div>
    <w:div w:id="216674655">
      <w:bodyDiv w:val="1"/>
      <w:marLeft w:val="0"/>
      <w:marRight w:val="0"/>
      <w:marTop w:val="0"/>
      <w:marBottom w:val="0"/>
      <w:divBdr>
        <w:top w:val="none" w:sz="0" w:space="0" w:color="auto"/>
        <w:left w:val="none" w:sz="0" w:space="0" w:color="auto"/>
        <w:bottom w:val="none" w:sz="0" w:space="0" w:color="auto"/>
        <w:right w:val="none" w:sz="0" w:space="0" w:color="auto"/>
      </w:divBdr>
    </w:div>
    <w:div w:id="216745381">
      <w:bodyDiv w:val="1"/>
      <w:marLeft w:val="0"/>
      <w:marRight w:val="0"/>
      <w:marTop w:val="0"/>
      <w:marBottom w:val="0"/>
      <w:divBdr>
        <w:top w:val="none" w:sz="0" w:space="0" w:color="auto"/>
        <w:left w:val="none" w:sz="0" w:space="0" w:color="auto"/>
        <w:bottom w:val="none" w:sz="0" w:space="0" w:color="auto"/>
        <w:right w:val="none" w:sz="0" w:space="0" w:color="auto"/>
      </w:divBdr>
    </w:div>
    <w:div w:id="216817199">
      <w:bodyDiv w:val="1"/>
      <w:marLeft w:val="0"/>
      <w:marRight w:val="0"/>
      <w:marTop w:val="0"/>
      <w:marBottom w:val="0"/>
      <w:divBdr>
        <w:top w:val="none" w:sz="0" w:space="0" w:color="auto"/>
        <w:left w:val="none" w:sz="0" w:space="0" w:color="auto"/>
        <w:bottom w:val="none" w:sz="0" w:space="0" w:color="auto"/>
        <w:right w:val="none" w:sz="0" w:space="0" w:color="auto"/>
      </w:divBdr>
    </w:div>
    <w:div w:id="217013739">
      <w:bodyDiv w:val="1"/>
      <w:marLeft w:val="0"/>
      <w:marRight w:val="0"/>
      <w:marTop w:val="0"/>
      <w:marBottom w:val="0"/>
      <w:divBdr>
        <w:top w:val="none" w:sz="0" w:space="0" w:color="auto"/>
        <w:left w:val="none" w:sz="0" w:space="0" w:color="auto"/>
        <w:bottom w:val="none" w:sz="0" w:space="0" w:color="auto"/>
        <w:right w:val="none" w:sz="0" w:space="0" w:color="auto"/>
      </w:divBdr>
    </w:div>
    <w:div w:id="217058721">
      <w:bodyDiv w:val="1"/>
      <w:marLeft w:val="0"/>
      <w:marRight w:val="0"/>
      <w:marTop w:val="0"/>
      <w:marBottom w:val="0"/>
      <w:divBdr>
        <w:top w:val="none" w:sz="0" w:space="0" w:color="auto"/>
        <w:left w:val="none" w:sz="0" w:space="0" w:color="auto"/>
        <w:bottom w:val="none" w:sz="0" w:space="0" w:color="auto"/>
        <w:right w:val="none" w:sz="0" w:space="0" w:color="auto"/>
      </w:divBdr>
    </w:div>
    <w:div w:id="217059945">
      <w:bodyDiv w:val="1"/>
      <w:marLeft w:val="0"/>
      <w:marRight w:val="0"/>
      <w:marTop w:val="0"/>
      <w:marBottom w:val="0"/>
      <w:divBdr>
        <w:top w:val="none" w:sz="0" w:space="0" w:color="auto"/>
        <w:left w:val="none" w:sz="0" w:space="0" w:color="auto"/>
        <w:bottom w:val="none" w:sz="0" w:space="0" w:color="auto"/>
        <w:right w:val="none" w:sz="0" w:space="0" w:color="auto"/>
      </w:divBdr>
    </w:div>
    <w:div w:id="217087634">
      <w:bodyDiv w:val="1"/>
      <w:marLeft w:val="0"/>
      <w:marRight w:val="0"/>
      <w:marTop w:val="0"/>
      <w:marBottom w:val="0"/>
      <w:divBdr>
        <w:top w:val="none" w:sz="0" w:space="0" w:color="auto"/>
        <w:left w:val="none" w:sz="0" w:space="0" w:color="auto"/>
        <w:bottom w:val="none" w:sz="0" w:space="0" w:color="auto"/>
        <w:right w:val="none" w:sz="0" w:space="0" w:color="auto"/>
      </w:divBdr>
    </w:div>
    <w:div w:id="217134289">
      <w:bodyDiv w:val="1"/>
      <w:marLeft w:val="0"/>
      <w:marRight w:val="0"/>
      <w:marTop w:val="0"/>
      <w:marBottom w:val="0"/>
      <w:divBdr>
        <w:top w:val="none" w:sz="0" w:space="0" w:color="auto"/>
        <w:left w:val="none" w:sz="0" w:space="0" w:color="auto"/>
        <w:bottom w:val="none" w:sz="0" w:space="0" w:color="auto"/>
        <w:right w:val="none" w:sz="0" w:space="0" w:color="auto"/>
      </w:divBdr>
    </w:div>
    <w:div w:id="217203895">
      <w:bodyDiv w:val="1"/>
      <w:marLeft w:val="0"/>
      <w:marRight w:val="0"/>
      <w:marTop w:val="0"/>
      <w:marBottom w:val="0"/>
      <w:divBdr>
        <w:top w:val="none" w:sz="0" w:space="0" w:color="auto"/>
        <w:left w:val="none" w:sz="0" w:space="0" w:color="auto"/>
        <w:bottom w:val="none" w:sz="0" w:space="0" w:color="auto"/>
        <w:right w:val="none" w:sz="0" w:space="0" w:color="auto"/>
      </w:divBdr>
    </w:div>
    <w:div w:id="217205250">
      <w:bodyDiv w:val="1"/>
      <w:marLeft w:val="0"/>
      <w:marRight w:val="0"/>
      <w:marTop w:val="0"/>
      <w:marBottom w:val="0"/>
      <w:divBdr>
        <w:top w:val="none" w:sz="0" w:space="0" w:color="auto"/>
        <w:left w:val="none" w:sz="0" w:space="0" w:color="auto"/>
        <w:bottom w:val="none" w:sz="0" w:space="0" w:color="auto"/>
        <w:right w:val="none" w:sz="0" w:space="0" w:color="auto"/>
      </w:divBdr>
    </w:div>
    <w:div w:id="217320792">
      <w:bodyDiv w:val="1"/>
      <w:marLeft w:val="0"/>
      <w:marRight w:val="0"/>
      <w:marTop w:val="0"/>
      <w:marBottom w:val="0"/>
      <w:divBdr>
        <w:top w:val="none" w:sz="0" w:space="0" w:color="auto"/>
        <w:left w:val="none" w:sz="0" w:space="0" w:color="auto"/>
        <w:bottom w:val="none" w:sz="0" w:space="0" w:color="auto"/>
        <w:right w:val="none" w:sz="0" w:space="0" w:color="auto"/>
      </w:divBdr>
    </w:div>
    <w:div w:id="217403315">
      <w:bodyDiv w:val="1"/>
      <w:marLeft w:val="0"/>
      <w:marRight w:val="0"/>
      <w:marTop w:val="0"/>
      <w:marBottom w:val="0"/>
      <w:divBdr>
        <w:top w:val="none" w:sz="0" w:space="0" w:color="auto"/>
        <w:left w:val="none" w:sz="0" w:space="0" w:color="auto"/>
        <w:bottom w:val="none" w:sz="0" w:space="0" w:color="auto"/>
        <w:right w:val="none" w:sz="0" w:space="0" w:color="auto"/>
      </w:divBdr>
    </w:div>
    <w:div w:id="217593814">
      <w:bodyDiv w:val="1"/>
      <w:marLeft w:val="0"/>
      <w:marRight w:val="0"/>
      <w:marTop w:val="0"/>
      <w:marBottom w:val="0"/>
      <w:divBdr>
        <w:top w:val="none" w:sz="0" w:space="0" w:color="auto"/>
        <w:left w:val="none" w:sz="0" w:space="0" w:color="auto"/>
        <w:bottom w:val="none" w:sz="0" w:space="0" w:color="auto"/>
        <w:right w:val="none" w:sz="0" w:space="0" w:color="auto"/>
      </w:divBdr>
    </w:div>
    <w:div w:id="217862935">
      <w:bodyDiv w:val="1"/>
      <w:marLeft w:val="0"/>
      <w:marRight w:val="0"/>
      <w:marTop w:val="0"/>
      <w:marBottom w:val="0"/>
      <w:divBdr>
        <w:top w:val="none" w:sz="0" w:space="0" w:color="auto"/>
        <w:left w:val="none" w:sz="0" w:space="0" w:color="auto"/>
        <w:bottom w:val="none" w:sz="0" w:space="0" w:color="auto"/>
        <w:right w:val="none" w:sz="0" w:space="0" w:color="auto"/>
      </w:divBdr>
    </w:div>
    <w:div w:id="217982413">
      <w:bodyDiv w:val="1"/>
      <w:marLeft w:val="0"/>
      <w:marRight w:val="0"/>
      <w:marTop w:val="0"/>
      <w:marBottom w:val="0"/>
      <w:divBdr>
        <w:top w:val="none" w:sz="0" w:space="0" w:color="auto"/>
        <w:left w:val="none" w:sz="0" w:space="0" w:color="auto"/>
        <w:bottom w:val="none" w:sz="0" w:space="0" w:color="auto"/>
        <w:right w:val="none" w:sz="0" w:space="0" w:color="auto"/>
      </w:divBdr>
    </w:div>
    <w:div w:id="218134614">
      <w:bodyDiv w:val="1"/>
      <w:marLeft w:val="0"/>
      <w:marRight w:val="0"/>
      <w:marTop w:val="0"/>
      <w:marBottom w:val="0"/>
      <w:divBdr>
        <w:top w:val="none" w:sz="0" w:space="0" w:color="auto"/>
        <w:left w:val="none" w:sz="0" w:space="0" w:color="auto"/>
        <w:bottom w:val="none" w:sz="0" w:space="0" w:color="auto"/>
        <w:right w:val="none" w:sz="0" w:space="0" w:color="auto"/>
      </w:divBdr>
    </w:div>
    <w:div w:id="218173721">
      <w:bodyDiv w:val="1"/>
      <w:marLeft w:val="0"/>
      <w:marRight w:val="0"/>
      <w:marTop w:val="0"/>
      <w:marBottom w:val="0"/>
      <w:divBdr>
        <w:top w:val="none" w:sz="0" w:space="0" w:color="auto"/>
        <w:left w:val="none" w:sz="0" w:space="0" w:color="auto"/>
        <w:bottom w:val="none" w:sz="0" w:space="0" w:color="auto"/>
        <w:right w:val="none" w:sz="0" w:space="0" w:color="auto"/>
      </w:divBdr>
    </w:div>
    <w:div w:id="218323647">
      <w:bodyDiv w:val="1"/>
      <w:marLeft w:val="0"/>
      <w:marRight w:val="0"/>
      <w:marTop w:val="0"/>
      <w:marBottom w:val="0"/>
      <w:divBdr>
        <w:top w:val="none" w:sz="0" w:space="0" w:color="auto"/>
        <w:left w:val="none" w:sz="0" w:space="0" w:color="auto"/>
        <w:bottom w:val="none" w:sz="0" w:space="0" w:color="auto"/>
        <w:right w:val="none" w:sz="0" w:space="0" w:color="auto"/>
      </w:divBdr>
    </w:div>
    <w:div w:id="218325903">
      <w:bodyDiv w:val="1"/>
      <w:marLeft w:val="0"/>
      <w:marRight w:val="0"/>
      <w:marTop w:val="0"/>
      <w:marBottom w:val="0"/>
      <w:divBdr>
        <w:top w:val="none" w:sz="0" w:space="0" w:color="auto"/>
        <w:left w:val="none" w:sz="0" w:space="0" w:color="auto"/>
        <w:bottom w:val="none" w:sz="0" w:space="0" w:color="auto"/>
        <w:right w:val="none" w:sz="0" w:space="0" w:color="auto"/>
      </w:divBdr>
    </w:div>
    <w:div w:id="218370302">
      <w:bodyDiv w:val="1"/>
      <w:marLeft w:val="0"/>
      <w:marRight w:val="0"/>
      <w:marTop w:val="0"/>
      <w:marBottom w:val="0"/>
      <w:divBdr>
        <w:top w:val="none" w:sz="0" w:space="0" w:color="auto"/>
        <w:left w:val="none" w:sz="0" w:space="0" w:color="auto"/>
        <w:bottom w:val="none" w:sz="0" w:space="0" w:color="auto"/>
        <w:right w:val="none" w:sz="0" w:space="0" w:color="auto"/>
      </w:divBdr>
    </w:div>
    <w:div w:id="218438847">
      <w:bodyDiv w:val="1"/>
      <w:marLeft w:val="0"/>
      <w:marRight w:val="0"/>
      <w:marTop w:val="0"/>
      <w:marBottom w:val="0"/>
      <w:divBdr>
        <w:top w:val="none" w:sz="0" w:space="0" w:color="auto"/>
        <w:left w:val="none" w:sz="0" w:space="0" w:color="auto"/>
        <w:bottom w:val="none" w:sz="0" w:space="0" w:color="auto"/>
        <w:right w:val="none" w:sz="0" w:space="0" w:color="auto"/>
      </w:divBdr>
    </w:div>
    <w:div w:id="218788465">
      <w:bodyDiv w:val="1"/>
      <w:marLeft w:val="0"/>
      <w:marRight w:val="0"/>
      <w:marTop w:val="0"/>
      <w:marBottom w:val="0"/>
      <w:divBdr>
        <w:top w:val="none" w:sz="0" w:space="0" w:color="auto"/>
        <w:left w:val="none" w:sz="0" w:space="0" w:color="auto"/>
        <w:bottom w:val="none" w:sz="0" w:space="0" w:color="auto"/>
        <w:right w:val="none" w:sz="0" w:space="0" w:color="auto"/>
      </w:divBdr>
    </w:div>
    <w:div w:id="218831902">
      <w:bodyDiv w:val="1"/>
      <w:marLeft w:val="0"/>
      <w:marRight w:val="0"/>
      <w:marTop w:val="0"/>
      <w:marBottom w:val="0"/>
      <w:divBdr>
        <w:top w:val="none" w:sz="0" w:space="0" w:color="auto"/>
        <w:left w:val="none" w:sz="0" w:space="0" w:color="auto"/>
        <w:bottom w:val="none" w:sz="0" w:space="0" w:color="auto"/>
        <w:right w:val="none" w:sz="0" w:space="0" w:color="auto"/>
      </w:divBdr>
    </w:div>
    <w:div w:id="219050385">
      <w:bodyDiv w:val="1"/>
      <w:marLeft w:val="0"/>
      <w:marRight w:val="0"/>
      <w:marTop w:val="0"/>
      <w:marBottom w:val="0"/>
      <w:divBdr>
        <w:top w:val="none" w:sz="0" w:space="0" w:color="auto"/>
        <w:left w:val="none" w:sz="0" w:space="0" w:color="auto"/>
        <w:bottom w:val="none" w:sz="0" w:space="0" w:color="auto"/>
        <w:right w:val="none" w:sz="0" w:space="0" w:color="auto"/>
      </w:divBdr>
    </w:div>
    <w:div w:id="219249887">
      <w:bodyDiv w:val="1"/>
      <w:marLeft w:val="0"/>
      <w:marRight w:val="0"/>
      <w:marTop w:val="0"/>
      <w:marBottom w:val="0"/>
      <w:divBdr>
        <w:top w:val="none" w:sz="0" w:space="0" w:color="auto"/>
        <w:left w:val="none" w:sz="0" w:space="0" w:color="auto"/>
        <w:bottom w:val="none" w:sz="0" w:space="0" w:color="auto"/>
        <w:right w:val="none" w:sz="0" w:space="0" w:color="auto"/>
      </w:divBdr>
    </w:div>
    <w:div w:id="219291284">
      <w:bodyDiv w:val="1"/>
      <w:marLeft w:val="0"/>
      <w:marRight w:val="0"/>
      <w:marTop w:val="0"/>
      <w:marBottom w:val="0"/>
      <w:divBdr>
        <w:top w:val="none" w:sz="0" w:space="0" w:color="auto"/>
        <w:left w:val="none" w:sz="0" w:space="0" w:color="auto"/>
        <w:bottom w:val="none" w:sz="0" w:space="0" w:color="auto"/>
        <w:right w:val="none" w:sz="0" w:space="0" w:color="auto"/>
      </w:divBdr>
    </w:div>
    <w:div w:id="219442208">
      <w:bodyDiv w:val="1"/>
      <w:marLeft w:val="0"/>
      <w:marRight w:val="0"/>
      <w:marTop w:val="0"/>
      <w:marBottom w:val="0"/>
      <w:divBdr>
        <w:top w:val="none" w:sz="0" w:space="0" w:color="auto"/>
        <w:left w:val="none" w:sz="0" w:space="0" w:color="auto"/>
        <w:bottom w:val="none" w:sz="0" w:space="0" w:color="auto"/>
        <w:right w:val="none" w:sz="0" w:space="0" w:color="auto"/>
      </w:divBdr>
    </w:div>
    <w:div w:id="219560529">
      <w:bodyDiv w:val="1"/>
      <w:marLeft w:val="0"/>
      <w:marRight w:val="0"/>
      <w:marTop w:val="0"/>
      <w:marBottom w:val="0"/>
      <w:divBdr>
        <w:top w:val="none" w:sz="0" w:space="0" w:color="auto"/>
        <w:left w:val="none" w:sz="0" w:space="0" w:color="auto"/>
        <w:bottom w:val="none" w:sz="0" w:space="0" w:color="auto"/>
        <w:right w:val="none" w:sz="0" w:space="0" w:color="auto"/>
      </w:divBdr>
    </w:div>
    <w:div w:id="219562571">
      <w:bodyDiv w:val="1"/>
      <w:marLeft w:val="0"/>
      <w:marRight w:val="0"/>
      <w:marTop w:val="0"/>
      <w:marBottom w:val="0"/>
      <w:divBdr>
        <w:top w:val="none" w:sz="0" w:space="0" w:color="auto"/>
        <w:left w:val="none" w:sz="0" w:space="0" w:color="auto"/>
        <w:bottom w:val="none" w:sz="0" w:space="0" w:color="auto"/>
        <w:right w:val="none" w:sz="0" w:space="0" w:color="auto"/>
      </w:divBdr>
    </w:div>
    <w:div w:id="219637697">
      <w:bodyDiv w:val="1"/>
      <w:marLeft w:val="0"/>
      <w:marRight w:val="0"/>
      <w:marTop w:val="0"/>
      <w:marBottom w:val="0"/>
      <w:divBdr>
        <w:top w:val="none" w:sz="0" w:space="0" w:color="auto"/>
        <w:left w:val="none" w:sz="0" w:space="0" w:color="auto"/>
        <w:bottom w:val="none" w:sz="0" w:space="0" w:color="auto"/>
        <w:right w:val="none" w:sz="0" w:space="0" w:color="auto"/>
      </w:divBdr>
    </w:div>
    <w:div w:id="219680107">
      <w:bodyDiv w:val="1"/>
      <w:marLeft w:val="0"/>
      <w:marRight w:val="0"/>
      <w:marTop w:val="0"/>
      <w:marBottom w:val="0"/>
      <w:divBdr>
        <w:top w:val="none" w:sz="0" w:space="0" w:color="auto"/>
        <w:left w:val="none" w:sz="0" w:space="0" w:color="auto"/>
        <w:bottom w:val="none" w:sz="0" w:space="0" w:color="auto"/>
        <w:right w:val="none" w:sz="0" w:space="0" w:color="auto"/>
      </w:divBdr>
    </w:div>
    <w:div w:id="219707131">
      <w:bodyDiv w:val="1"/>
      <w:marLeft w:val="0"/>
      <w:marRight w:val="0"/>
      <w:marTop w:val="0"/>
      <w:marBottom w:val="0"/>
      <w:divBdr>
        <w:top w:val="none" w:sz="0" w:space="0" w:color="auto"/>
        <w:left w:val="none" w:sz="0" w:space="0" w:color="auto"/>
        <w:bottom w:val="none" w:sz="0" w:space="0" w:color="auto"/>
        <w:right w:val="none" w:sz="0" w:space="0" w:color="auto"/>
      </w:divBdr>
    </w:div>
    <w:div w:id="219707246">
      <w:bodyDiv w:val="1"/>
      <w:marLeft w:val="0"/>
      <w:marRight w:val="0"/>
      <w:marTop w:val="0"/>
      <w:marBottom w:val="0"/>
      <w:divBdr>
        <w:top w:val="none" w:sz="0" w:space="0" w:color="auto"/>
        <w:left w:val="none" w:sz="0" w:space="0" w:color="auto"/>
        <w:bottom w:val="none" w:sz="0" w:space="0" w:color="auto"/>
        <w:right w:val="none" w:sz="0" w:space="0" w:color="auto"/>
      </w:divBdr>
    </w:div>
    <w:div w:id="219751038">
      <w:bodyDiv w:val="1"/>
      <w:marLeft w:val="0"/>
      <w:marRight w:val="0"/>
      <w:marTop w:val="0"/>
      <w:marBottom w:val="0"/>
      <w:divBdr>
        <w:top w:val="none" w:sz="0" w:space="0" w:color="auto"/>
        <w:left w:val="none" w:sz="0" w:space="0" w:color="auto"/>
        <w:bottom w:val="none" w:sz="0" w:space="0" w:color="auto"/>
        <w:right w:val="none" w:sz="0" w:space="0" w:color="auto"/>
      </w:divBdr>
    </w:div>
    <w:div w:id="219751761">
      <w:bodyDiv w:val="1"/>
      <w:marLeft w:val="0"/>
      <w:marRight w:val="0"/>
      <w:marTop w:val="0"/>
      <w:marBottom w:val="0"/>
      <w:divBdr>
        <w:top w:val="none" w:sz="0" w:space="0" w:color="auto"/>
        <w:left w:val="none" w:sz="0" w:space="0" w:color="auto"/>
        <w:bottom w:val="none" w:sz="0" w:space="0" w:color="auto"/>
        <w:right w:val="none" w:sz="0" w:space="0" w:color="auto"/>
      </w:divBdr>
    </w:div>
    <w:div w:id="219751980">
      <w:bodyDiv w:val="1"/>
      <w:marLeft w:val="0"/>
      <w:marRight w:val="0"/>
      <w:marTop w:val="0"/>
      <w:marBottom w:val="0"/>
      <w:divBdr>
        <w:top w:val="none" w:sz="0" w:space="0" w:color="auto"/>
        <w:left w:val="none" w:sz="0" w:space="0" w:color="auto"/>
        <w:bottom w:val="none" w:sz="0" w:space="0" w:color="auto"/>
        <w:right w:val="none" w:sz="0" w:space="0" w:color="auto"/>
      </w:divBdr>
    </w:div>
    <w:div w:id="219941464">
      <w:bodyDiv w:val="1"/>
      <w:marLeft w:val="0"/>
      <w:marRight w:val="0"/>
      <w:marTop w:val="0"/>
      <w:marBottom w:val="0"/>
      <w:divBdr>
        <w:top w:val="none" w:sz="0" w:space="0" w:color="auto"/>
        <w:left w:val="none" w:sz="0" w:space="0" w:color="auto"/>
        <w:bottom w:val="none" w:sz="0" w:space="0" w:color="auto"/>
        <w:right w:val="none" w:sz="0" w:space="0" w:color="auto"/>
      </w:divBdr>
    </w:div>
    <w:div w:id="219942685">
      <w:bodyDiv w:val="1"/>
      <w:marLeft w:val="0"/>
      <w:marRight w:val="0"/>
      <w:marTop w:val="0"/>
      <w:marBottom w:val="0"/>
      <w:divBdr>
        <w:top w:val="none" w:sz="0" w:space="0" w:color="auto"/>
        <w:left w:val="none" w:sz="0" w:space="0" w:color="auto"/>
        <w:bottom w:val="none" w:sz="0" w:space="0" w:color="auto"/>
        <w:right w:val="none" w:sz="0" w:space="0" w:color="auto"/>
      </w:divBdr>
    </w:div>
    <w:div w:id="220093248">
      <w:bodyDiv w:val="1"/>
      <w:marLeft w:val="0"/>
      <w:marRight w:val="0"/>
      <w:marTop w:val="0"/>
      <w:marBottom w:val="0"/>
      <w:divBdr>
        <w:top w:val="none" w:sz="0" w:space="0" w:color="auto"/>
        <w:left w:val="none" w:sz="0" w:space="0" w:color="auto"/>
        <w:bottom w:val="none" w:sz="0" w:space="0" w:color="auto"/>
        <w:right w:val="none" w:sz="0" w:space="0" w:color="auto"/>
      </w:divBdr>
    </w:div>
    <w:div w:id="220093493">
      <w:bodyDiv w:val="1"/>
      <w:marLeft w:val="0"/>
      <w:marRight w:val="0"/>
      <w:marTop w:val="0"/>
      <w:marBottom w:val="0"/>
      <w:divBdr>
        <w:top w:val="none" w:sz="0" w:space="0" w:color="auto"/>
        <w:left w:val="none" w:sz="0" w:space="0" w:color="auto"/>
        <w:bottom w:val="none" w:sz="0" w:space="0" w:color="auto"/>
        <w:right w:val="none" w:sz="0" w:space="0" w:color="auto"/>
      </w:divBdr>
    </w:div>
    <w:div w:id="220215216">
      <w:bodyDiv w:val="1"/>
      <w:marLeft w:val="0"/>
      <w:marRight w:val="0"/>
      <w:marTop w:val="0"/>
      <w:marBottom w:val="0"/>
      <w:divBdr>
        <w:top w:val="none" w:sz="0" w:space="0" w:color="auto"/>
        <w:left w:val="none" w:sz="0" w:space="0" w:color="auto"/>
        <w:bottom w:val="none" w:sz="0" w:space="0" w:color="auto"/>
        <w:right w:val="none" w:sz="0" w:space="0" w:color="auto"/>
      </w:divBdr>
    </w:div>
    <w:div w:id="220218042">
      <w:bodyDiv w:val="1"/>
      <w:marLeft w:val="0"/>
      <w:marRight w:val="0"/>
      <w:marTop w:val="0"/>
      <w:marBottom w:val="0"/>
      <w:divBdr>
        <w:top w:val="none" w:sz="0" w:space="0" w:color="auto"/>
        <w:left w:val="none" w:sz="0" w:space="0" w:color="auto"/>
        <w:bottom w:val="none" w:sz="0" w:space="0" w:color="auto"/>
        <w:right w:val="none" w:sz="0" w:space="0" w:color="auto"/>
      </w:divBdr>
    </w:div>
    <w:div w:id="220364732">
      <w:bodyDiv w:val="1"/>
      <w:marLeft w:val="0"/>
      <w:marRight w:val="0"/>
      <w:marTop w:val="0"/>
      <w:marBottom w:val="0"/>
      <w:divBdr>
        <w:top w:val="none" w:sz="0" w:space="0" w:color="auto"/>
        <w:left w:val="none" w:sz="0" w:space="0" w:color="auto"/>
        <w:bottom w:val="none" w:sz="0" w:space="0" w:color="auto"/>
        <w:right w:val="none" w:sz="0" w:space="0" w:color="auto"/>
      </w:divBdr>
    </w:div>
    <w:div w:id="220406546">
      <w:bodyDiv w:val="1"/>
      <w:marLeft w:val="0"/>
      <w:marRight w:val="0"/>
      <w:marTop w:val="0"/>
      <w:marBottom w:val="0"/>
      <w:divBdr>
        <w:top w:val="none" w:sz="0" w:space="0" w:color="auto"/>
        <w:left w:val="none" w:sz="0" w:space="0" w:color="auto"/>
        <w:bottom w:val="none" w:sz="0" w:space="0" w:color="auto"/>
        <w:right w:val="none" w:sz="0" w:space="0" w:color="auto"/>
      </w:divBdr>
    </w:div>
    <w:div w:id="220406703">
      <w:bodyDiv w:val="1"/>
      <w:marLeft w:val="0"/>
      <w:marRight w:val="0"/>
      <w:marTop w:val="0"/>
      <w:marBottom w:val="0"/>
      <w:divBdr>
        <w:top w:val="none" w:sz="0" w:space="0" w:color="auto"/>
        <w:left w:val="none" w:sz="0" w:space="0" w:color="auto"/>
        <w:bottom w:val="none" w:sz="0" w:space="0" w:color="auto"/>
        <w:right w:val="none" w:sz="0" w:space="0" w:color="auto"/>
      </w:divBdr>
    </w:div>
    <w:div w:id="220407114">
      <w:bodyDiv w:val="1"/>
      <w:marLeft w:val="0"/>
      <w:marRight w:val="0"/>
      <w:marTop w:val="0"/>
      <w:marBottom w:val="0"/>
      <w:divBdr>
        <w:top w:val="none" w:sz="0" w:space="0" w:color="auto"/>
        <w:left w:val="none" w:sz="0" w:space="0" w:color="auto"/>
        <w:bottom w:val="none" w:sz="0" w:space="0" w:color="auto"/>
        <w:right w:val="none" w:sz="0" w:space="0" w:color="auto"/>
      </w:divBdr>
    </w:div>
    <w:div w:id="220483894">
      <w:bodyDiv w:val="1"/>
      <w:marLeft w:val="0"/>
      <w:marRight w:val="0"/>
      <w:marTop w:val="0"/>
      <w:marBottom w:val="0"/>
      <w:divBdr>
        <w:top w:val="none" w:sz="0" w:space="0" w:color="auto"/>
        <w:left w:val="none" w:sz="0" w:space="0" w:color="auto"/>
        <w:bottom w:val="none" w:sz="0" w:space="0" w:color="auto"/>
        <w:right w:val="none" w:sz="0" w:space="0" w:color="auto"/>
      </w:divBdr>
    </w:div>
    <w:div w:id="220559020">
      <w:bodyDiv w:val="1"/>
      <w:marLeft w:val="0"/>
      <w:marRight w:val="0"/>
      <w:marTop w:val="0"/>
      <w:marBottom w:val="0"/>
      <w:divBdr>
        <w:top w:val="none" w:sz="0" w:space="0" w:color="auto"/>
        <w:left w:val="none" w:sz="0" w:space="0" w:color="auto"/>
        <w:bottom w:val="none" w:sz="0" w:space="0" w:color="auto"/>
        <w:right w:val="none" w:sz="0" w:space="0" w:color="auto"/>
      </w:divBdr>
    </w:div>
    <w:div w:id="220601901">
      <w:bodyDiv w:val="1"/>
      <w:marLeft w:val="0"/>
      <w:marRight w:val="0"/>
      <w:marTop w:val="0"/>
      <w:marBottom w:val="0"/>
      <w:divBdr>
        <w:top w:val="none" w:sz="0" w:space="0" w:color="auto"/>
        <w:left w:val="none" w:sz="0" w:space="0" w:color="auto"/>
        <w:bottom w:val="none" w:sz="0" w:space="0" w:color="auto"/>
        <w:right w:val="none" w:sz="0" w:space="0" w:color="auto"/>
      </w:divBdr>
    </w:div>
    <w:div w:id="220603026">
      <w:bodyDiv w:val="1"/>
      <w:marLeft w:val="0"/>
      <w:marRight w:val="0"/>
      <w:marTop w:val="0"/>
      <w:marBottom w:val="0"/>
      <w:divBdr>
        <w:top w:val="none" w:sz="0" w:space="0" w:color="auto"/>
        <w:left w:val="none" w:sz="0" w:space="0" w:color="auto"/>
        <w:bottom w:val="none" w:sz="0" w:space="0" w:color="auto"/>
        <w:right w:val="none" w:sz="0" w:space="0" w:color="auto"/>
      </w:divBdr>
    </w:div>
    <w:div w:id="220674850">
      <w:bodyDiv w:val="1"/>
      <w:marLeft w:val="0"/>
      <w:marRight w:val="0"/>
      <w:marTop w:val="0"/>
      <w:marBottom w:val="0"/>
      <w:divBdr>
        <w:top w:val="none" w:sz="0" w:space="0" w:color="auto"/>
        <w:left w:val="none" w:sz="0" w:space="0" w:color="auto"/>
        <w:bottom w:val="none" w:sz="0" w:space="0" w:color="auto"/>
        <w:right w:val="none" w:sz="0" w:space="0" w:color="auto"/>
      </w:divBdr>
    </w:div>
    <w:div w:id="220751344">
      <w:bodyDiv w:val="1"/>
      <w:marLeft w:val="0"/>
      <w:marRight w:val="0"/>
      <w:marTop w:val="0"/>
      <w:marBottom w:val="0"/>
      <w:divBdr>
        <w:top w:val="none" w:sz="0" w:space="0" w:color="auto"/>
        <w:left w:val="none" w:sz="0" w:space="0" w:color="auto"/>
        <w:bottom w:val="none" w:sz="0" w:space="0" w:color="auto"/>
        <w:right w:val="none" w:sz="0" w:space="0" w:color="auto"/>
      </w:divBdr>
    </w:div>
    <w:div w:id="220792787">
      <w:bodyDiv w:val="1"/>
      <w:marLeft w:val="0"/>
      <w:marRight w:val="0"/>
      <w:marTop w:val="0"/>
      <w:marBottom w:val="0"/>
      <w:divBdr>
        <w:top w:val="none" w:sz="0" w:space="0" w:color="auto"/>
        <w:left w:val="none" w:sz="0" w:space="0" w:color="auto"/>
        <w:bottom w:val="none" w:sz="0" w:space="0" w:color="auto"/>
        <w:right w:val="none" w:sz="0" w:space="0" w:color="auto"/>
      </w:divBdr>
    </w:div>
    <w:div w:id="221060402">
      <w:bodyDiv w:val="1"/>
      <w:marLeft w:val="0"/>
      <w:marRight w:val="0"/>
      <w:marTop w:val="0"/>
      <w:marBottom w:val="0"/>
      <w:divBdr>
        <w:top w:val="none" w:sz="0" w:space="0" w:color="auto"/>
        <w:left w:val="none" w:sz="0" w:space="0" w:color="auto"/>
        <w:bottom w:val="none" w:sz="0" w:space="0" w:color="auto"/>
        <w:right w:val="none" w:sz="0" w:space="0" w:color="auto"/>
      </w:divBdr>
    </w:div>
    <w:div w:id="221066275">
      <w:bodyDiv w:val="1"/>
      <w:marLeft w:val="0"/>
      <w:marRight w:val="0"/>
      <w:marTop w:val="0"/>
      <w:marBottom w:val="0"/>
      <w:divBdr>
        <w:top w:val="none" w:sz="0" w:space="0" w:color="auto"/>
        <w:left w:val="none" w:sz="0" w:space="0" w:color="auto"/>
        <w:bottom w:val="none" w:sz="0" w:space="0" w:color="auto"/>
        <w:right w:val="none" w:sz="0" w:space="0" w:color="auto"/>
      </w:divBdr>
    </w:div>
    <w:div w:id="221066603">
      <w:bodyDiv w:val="1"/>
      <w:marLeft w:val="0"/>
      <w:marRight w:val="0"/>
      <w:marTop w:val="0"/>
      <w:marBottom w:val="0"/>
      <w:divBdr>
        <w:top w:val="none" w:sz="0" w:space="0" w:color="auto"/>
        <w:left w:val="none" w:sz="0" w:space="0" w:color="auto"/>
        <w:bottom w:val="none" w:sz="0" w:space="0" w:color="auto"/>
        <w:right w:val="none" w:sz="0" w:space="0" w:color="auto"/>
      </w:divBdr>
    </w:div>
    <w:div w:id="221256194">
      <w:bodyDiv w:val="1"/>
      <w:marLeft w:val="0"/>
      <w:marRight w:val="0"/>
      <w:marTop w:val="0"/>
      <w:marBottom w:val="0"/>
      <w:divBdr>
        <w:top w:val="none" w:sz="0" w:space="0" w:color="auto"/>
        <w:left w:val="none" w:sz="0" w:space="0" w:color="auto"/>
        <w:bottom w:val="none" w:sz="0" w:space="0" w:color="auto"/>
        <w:right w:val="none" w:sz="0" w:space="0" w:color="auto"/>
      </w:divBdr>
    </w:div>
    <w:div w:id="221257209">
      <w:bodyDiv w:val="1"/>
      <w:marLeft w:val="0"/>
      <w:marRight w:val="0"/>
      <w:marTop w:val="0"/>
      <w:marBottom w:val="0"/>
      <w:divBdr>
        <w:top w:val="none" w:sz="0" w:space="0" w:color="auto"/>
        <w:left w:val="none" w:sz="0" w:space="0" w:color="auto"/>
        <w:bottom w:val="none" w:sz="0" w:space="0" w:color="auto"/>
        <w:right w:val="none" w:sz="0" w:space="0" w:color="auto"/>
      </w:divBdr>
    </w:div>
    <w:div w:id="221448828">
      <w:bodyDiv w:val="1"/>
      <w:marLeft w:val="0"/>
      <w:marRight w:val="0"/>
      <w:marTop w:val="0"/>
      <w:marBottom w:val="0"/>
      <w:divBdr>
        <w:top w:val="none" w:sz="0" w:space="0" w:color="auto"/>
        <w:left w:val="none" w:sz="0" w:space="0" w:color="auto"/>
        <w:bottom w:val="none" w:sz="0" w:space="0" w:color="auto"/>
        <w:right w:val="none" w:sz="0" w:space="0" w:color="auto"/>
      </w:divBdr>
    </w:div>
    <w:div w:id="221528993">
      <w:bodyDiv w:val="1"/>
      <w:marLeft w:val="0"/>
      <w:marRight w:val="0"/>
      <w:marTop w:val="0"/>
      <w:marBottom w:val="0"/>
      <w:divBdr>
        <w:top w:val="none" w:sz="0" w:space="0" w:color="auto"/>
        <w:left w:val="none" w:sz="0" w:space="0" w:color="auto"/>
        <w:bottom w:val="none" w:sz="0" w:space="0" w:color="auto"/>
        <w:right w:val="none" w:sz="0" w:space="0" w:color="auto"/>
      </w:divBdr>
    </w:div>
    <w:div w:id="221647090">
      <w:bodyDiv w:val="1"/>
      <w:marLeft w:val="0"/>
      <w:marRight w:val="0"/>
      <w:marTop w:val="0"/>
      <w:marBottom w:val="0"/>
      <w:divBdr>
        <w:top w:val="none" w:sz="0" w:space="0" w:color="auto"/>
        <w:left w:val="none" w:sz="0" w:space="0" w:color="auto"/>
        <w:bottom w:val="none" w:sz="0" w:space="0" w:color="auto"/>
        <w:right w:val="none" w:sz="0" w:space="0" w:color="auto"/>
      </w:divBdr>
    </w:div>
    <w:div w:id="221673140">
      <w:bodyDiv w:val="1"/>
      <w:marLeft w:val="0"/>
      <w:marRight w:val="0"/>
      <w:marTop w:val="0"/>
      <w:marBottom w:val="0"/>
      <w:divBdr>
        <w:top w:val="none" w:sz="0" w:space="0" w:color="auto"/>
        <w:left w:val="none" w:sz="0" w:space="0" w:color="auto"/>
        <w:bottom w:val="none" w:sz="0" w:space="0" w:color="auto"/>
        <w:right w:val="none" w:sz="0" w:space="0" w:color="auto"/>
      </w:divBdr>
    </w:div>
    <w:div w:id="221719522">
      <w:bodyDiv w:val="1"/>
      <w:marLeft w:val="0"/>
      <w:marRight w:val="0"/>
      <w:marTop w:val="0"/>
      <w:marBottom w:val="0"/>
      <w:divBdr>
        <w:top w:val="none" w:sz="0" w:space="0" w:color="auto"/>
        <w:left w:val="none" w:sz="0" w:space="0" w:color="auto"/>
        <w:bottom w:val="none" w:sz="0" w:space="0" w:color="auto"/>
        <w:right w:val="none" w:sz="0" w:space="0" w:color="auto"/>
      </w:divBdr>
    </w:div>
    <w:div w:id="221790218">
      <w:bodyDiv w:val="1"/>
      <w:marLeft w:val="0"/>
      <w:marRight w:val="0"/>
      <w:marTop w:val="0"/>
      <w:marBottom w:val="0"/>
      <w:divBdr>
        <w:top w:val="none" w:sz="0" w:space="0" w:color="auto"/>
        <w:left w:val="none" w:sz="0" w:space="0" w:color="auto"/>
        <w:bottom w:val="none" w:sz="0" w:space="0" w:color="auto"/>
        <w:right w:val="none" w:sz="0" w:space="0" w:color="auto"/>
      </w:divBdr>
    </w:div>
    <w:div w:id="221865097">
      <w:bodyDiv w:val="1"/>
      <w:marLeft w:val="0"/>
      <w:marRight w:val="0"/>
      <w:marTop w:val="0"/>
      <w:marBottom w:val="0"/>
      <w:divBdr>
        <w:top w:val="none" w:sz="0" w:space="0" w:color="auto"/>
        <w:left w:val="none" w:sz="0" w:space="0" w:color="auto"/>
        <w:bottom w:val="none" w:sz="0" w:space="0" w:color="auto"/>
        <w:right w:val="none" w:sz="0" w:space="0" w:color="auto"/>
      </w:divBdr>
    </w:div>
    <w:div w:id="221865972">
      <w:bodyDiv w:val="1"/>
      <w:marLeft w:val="0"/>
      <w:marRight w:val="0"/>
      <w:marTop w:val="0"/>
      <w:marBottom w:val="0"/>
      <w:divBdr>
        <w:top w:val="none" w:sz="0" w:space="0" w:color="auto"/>
        <w:left w:val="none" w:sz="0" w:space="0" w:color="auto"/>
        <w:bottom w:val="none" w:sz="0" w:space="0" w:color="auto"/>
        <w:right w:val="none" w:sz="0" w:space="0" w:color="auto"/>
      </w:divBdr>
    </w:div>
    <w:div w:id="221985520">
      <w:bodyDiv w:val="1"/>
      <w:marLeft w:val="0"/>
      <w:marRight w:val="0"/>
      <w:marTop w:val="0"/>
      <w:marBottom w:val="0"/>
      <w:divBdr>
        <w:top w:val="none" w:sz="0" w:space="0" w:color="auto"/>
        <w:left w:val="none" w:sz="0" w:space="0" w:color="auto"/>
        <w:bottom w:val="none" w:sz="0" w:space="0" w:color="auto"/>
        <w:right w:val="none" w:sz="0" w:space="0" w:color="auto"/>
      </w:divBdr>
    </w:div>
    <w:div w:id="222065249">
      <w:bodyDiv w:val="1"/>
      <w:marLeft w:val="0"/>
      <w:marRight w:val="0"/>
      <w:marTop w:val="0"/>
      <w:marBottom w:val="0"/>
      <w:divBdr>
        <w:top w:val="none" w:sz="0" w:space="0" w:color="auto"/>
        <w:left w:val="none" w:sz="0" w:space="0" w:color="auto"/>
        <w:bottom w:val="none" w:sz="0" w:space="0" w:color="auto"/>
        <w:right w:val="none" w:sz="0" w:space="0" w:color="auto"/>
      </w:divBdr>
    </w:div>
    <w:div w:id="222108880">
      <w:bodyDiv w:val="1"/>
      <w:marLeft w:val="0"/>
      <w:marRight w:val="0"/>
      <w:marTop w:val="0"/>
      <w:marBottom w:val="0"/>
      <w:divBdr>
        <w:top w:val="none" w:sz="0" w:space="0" w:color="auto"/>
        <w:left w:val="none" w:sz="0" w:space="0" w:color="auto"/>
        <w:bottom w:val="none" w:sz="0" w:space="0" w:color="auto"/>
        <w:right w:val="none" w:sz="0" w:space="0" w:color="auto"/>
      </w:divBdr>
    </w:div>
    <w:div w:id="222181306">
      <w:bodyDiv w:val="1"/>
      <w:marLeft w:val="0"/>
      <w:marRight w:val="0"/>
      <w:marTop w:val="0"/>
      <w:marBottom w:val="0"/>
      <w:divBdr>
        <w:top w:val="none" w:sz="0" w:space="0" w:color="auto"/>
        <w:left w:val="none" w:sz="0" w:space="0" w:color="auto"/>
        <w:bottom w:val="none" w:sz="0" w:space="0" w:color="auto"/>
        <w:right w:val="none" w:sz="0" w:space="0" w:color="auto"/>
      </w:divBdr>
    </w:div>
    <w:div w:id="222260448">
      <w:bodyDiv w:val="1"/>
      <w:marLeft w:val="0"/>
      <w:marRight w:val="0"/>
      <w:marTop w:val="0"/>
      <w:marBottom w:val="0"/>
      <w:divBdr>
        <w:top w:val="none" w:sz="0" w:space="0" w:color="auto"/>
        <w:left w:val="none" w:sz="0" w:space="0" w:color="auto"/>
        <w:bottom w:val="none" w:sz="0" w:space="0" w:color="auto"/>
        <w:right w:val="none" w:sz="0" w:space="0" w:color="auto"/>
      </w:divBdr>
    </w:div>
    <w:div w:id="222330245">
      <w:bodyDiv w:val="1"/>
      <w:marLeft w:val="0"/>
      <w:marRight w:val="0"/>
      <w:marTop w:val="0"/>
      <w:marBottom w:val="0"/>
      <w:divBdr>
        <w:top w:val="none" w:sz="0" w:space="0" w:color="auto"/>
        <w:left w:val="none" w:sz="0" w:space="0" w:color="auto"/>
        <w:bottom w:val="none" w:sz="0" w:space="0" w:color="auto"/>
        <w:right w:val="none" w:sz="0" w:space="0" w:color="auto"/>
      </w:divBdr>
    </w:div>
    <w:div w:id="222378234">
      <w:bodyDiv w:val="1"/>
      <w:marLeft w:val="0"/>
      <w:marRight w:val="0"/>
      <w:marTop w:val="0"/>
      <w:marBottom w:val="0"/>
      <w:divBdr>
        <w:top w:val="none" w:sz="0" w:space="0" w:color="auto"/>
        <w:left w:val="none" w:sz="0" w:space="0" w:color="auto"/>
        <w:bottom w:val="none" w:sz="0" w:space="0" w:color="auto"/>
        <w:right w:val="none" w:sz="0" w:space="0" w:color="auto"/>
      </w:divBdr>
    </w:div>
    <w:div w:id="222839189">
      <w:bodyDiv w:val="1"/>
      <w:marLeft w:val="0"/>
      <w:marRight w:val="0"/>
      <w:marTop w:val="0"/>
      <w:marBottom w:val="0"/>
      <w:divBdr>
        <w:top w:val="none" w:sz="0" w:space="0" w:color="auto"/>
        <w:left w:val="none" w:sz="0" w:space="0" w:color="auto"/>
        <w:bottom w:val="none" w:sz="0" w:space="0" w:color="auto"/>
        <w:right w:val="none" w:sz="0" w:space="0" w:color="auto"/>
      </w:divBdr>
    </w:div>
    <w:div w:id="223177910">
      <w:bodyDiv w:val="1"/>
      <w:marLeft w:val="0"/>
      <w:marRight w:val="0"/>
      <w:marTop w:val="0"/>
      <w:marBottom w:val="0"/>
      <w:divBdr>
        <w:top w:val="none" w:sz="0" w:space="0" w:color="auto"/>
        <w:left w:val="none" w:sz="0" w:space="0" w:color="auto"/>
        <w:bottom w:val="none" w:sz="0" w:space="0" w:color="auto"/>
        <w:right w:val="none" w:sz="0" w:space="0" w:color="auto"/>
      </w:divBdr>
    </w:div>
    <w:div w:id="223294394">
      <w:bodyDiv w:val="1"/>
      <w:marLeft w:val="0"/>
      <w:marRight w:val="0"/>
      <w:marTop w:val="0"/>
      <w:marBottom w:val="0"/>
      <w:divBdr>
        <w:top w:val="none" w:sz="0" w:space="0" w:color="auto"/>
        <w:left w:val="none" w:sz="0" w:space="0" w:color="auto"/>
        <w:bottom w:val="none" w:sz="0" w:space="0" w:color="auto"/>
        <w:right w:val="none" w:sz="0" w:space="0" w:color="auto"/>
      </w:divBdr>
    </w:div>
    <w:div w:id="223487277">
      <w:bodyDiv w:val="1"/>
      <w:marLeft w:val="0"/>
      <w:marRight w:val="0"/>
      <w:marTop w:val="0"/>
      <w:marBottom w:val="0"/>
      <w:divBdr>
        <w:top w:val="none" w:sz="0" w:space="0" w:color="auto"/>
        <w:left w:val="none" w:sz="0" w:space="0" w:color="auto"/>
        <w:bottom w:val="none" w:sz="0" w:space="0" w:color="auto"/>
        <w:right w:val="none" w:sz="0" w:space="0" w:color="auto"/>
      </w:divBdr>
    </w:div>
    <w:div w:id="223682456">
      <w:bodyDiv w:val="1"/>
      <w:marLeft w:val="0"/>
      <w:marRight w:val="0"/>
      <w:marTop w:val="0"/>
      <w:marBottom w:val="0"/>
      <w:divBdr>
        <w:top w:val="none" w:sz="0" w:space="0" w:color="auto"/>
        <w:left w:val="none" w:sz="0" w:space="0" w:color="auto"/>
        <w:bottom w:val="none" w:sz="0" w:space="0" w:color="auto"/>
        <w:right w:val="none" w:sz="0" w:space="0" w:color="auto"/>
      </w:divBdr>
    </w:div>
    <w:div w:id="223683580">
      <w:bodyDiv w:val="1"/>
      <w:marLeft w:val="0"/>
      <w:marRight w:val="0"/>
      <w:marTop w:val="0"/>
      <w:marBottom w:val="0"/>
      <w:divBdr>
        <w:top w:val="none" w:sz="0" w:space="0" w:color="auto"/>
        <w:left w:val="none" w:sz="0" w:space="0" w:color="auto"/>
        <w:bottom w:val="none" w:sz="0" w:space="0" w:color="auto"/>
        <w:right w:val="none" w:sz="0" w:space="0" w:color="auto"/>
      </w:divBdr>
    </w:div>
    <w:div w:id="223832188">
      <w:bodyDiv w:val="1"/>
      <w:marLeft w:val="0"/>
      <w:marRight w:val="0"/>
      <w:marTop w:val="0"/>
      <w:marBottom w:val="0"/>
      <w:divBdr>
        <w:top w:val="none" w:sz="0" w:space="0" w:color="auto"/>
        <w:left w:val="none" w:sz="0" w:space="0" w:color="auto"/>
        <w:bottom w:val="none" w:sz="0" w:space="0" w:color="auto"/>
        <w:right w:val="none" w:sz="0" w:space="0" w:color="auto"/>
      </w:divBdr>
    </w:div>
    <w:div w:id="223834952">
      <w:bodyDiv w:val="1"/>
      <w:marLeft w:val="0"/>
      <w:marRight w:val="0"/>
      <w:marTop w:val="0"/>
      <w:marBottom w:val="0"/>
      <w:divBdr>
        <w:top w:val="none" w:sz="0" w:space="0" w:color="auto"/>
        <w:left w:val="none" w:sz="0" w:space="0" w:color="auto"/>
        <w:bottom w:val="none" w:sz="0" w:space="0" w:color="auto"/>
        <w:right w:val="none" w:sz="0" w:space="0" w:color="auto"/>
      </w:divBdr>
    </w:div>
    <w:div w:id="223837916">
      <w:bodyDiv w:val="1"/>
      <w:marLeft w:val="0"/>
      <w:marRight w:val="0"/>
      <w:marTop w:val="0"/>
      <w:marBottom w:val="0"/>
      <w:divBdr>
        <w:top w:val="none" w:sz="0" w:space="0" w:color="auto"/>
        <w:left w:val="none" w:sz="0" w:space="0" w:color="auto"/>
        <w:bottom w:val="none" w:sz="0" w:space="0" w:color="auto"/>
        <w:right w:val="none" w:sz="0" w:space="0" w:color="auto"/>
      </w:divBdr>
    </w:div>
    <w:div w:id="223876910">
      <w:bodyDiv w:val="1"/>
      <w:marLeft w:val="0"/>
      <w:marRight w:val="0"/>
      <w:marTop w:val="0"/>
      <w:marBottom w:val="0"/>
      <w:divBdr>
        <w:top w:val="none" w:sz="0" w:space="0" w:color="auto"/>
        <w:left w:val="none" w:sz="0" w:space="0" w:color="auto"/>
        <w:bottom w:val="none" w:sz="0" w:space="0" w:color="auto"/>
        <w:right w:val="none" w:sz="0" w:space="0" w:color="auto"/>
      </w:divBdr>
    </w:div>
    <w:div w:id="223878233">
      <w:bodyDiv w:val="1"/>
      <w:marLeft w:val="0"/>
      <w:marRight w:val="0"/>
      <w:marTop w:val="0"/>
      <w:marBottom w:val="0"/>
      <w:divBdr>
        <w:top w:val="none" w:sz="0" w:space="0" w:color="auto"/>
        <w:left w:val="none" w:sz="0" w:space="0" w:color="auto"/>
        <w:bottom w:val="none" w:sz="0" w:space="0" w:color="auto"/>
        <w:right w:val="none" w:sz="0" w:space="0" w:color="auto"/>
      </w:divBdr>
    </w:div>
    <w:div w:id="223951070">
      <w:bodyDiv w:val="1"/>
      <w:marLeft w:val="0"/>
      <w:marRight w:val="0"/>
      <w:marTop w:val="0"/>
      <w:marBottom w:val="0"/>
      <w:divBdr>
        <w:top w:val="none" w:sz="0" w:space="0" w:color="auto"/>
        <w:left w:val="none" w:sz="0" w:space="0" w:color="auto"/>
        <w:bottom w:val="none" w:sz="0" w:space="0" w:color="auto"/>
        <w:right w:val="none" w:sz="0" w:space="0" w:color="auto"/>
      </w:divBdr>
    </w:div>
    <w:div w:id="223951555">
      <w:bodyDiv w:val="1"/>
      <w:marLeft w:val="0"/>
      <w:marRight w:val="0"/>
      <w:marTop w:val="0"/>
      <w:marBottom w:val="0"/>
      <w:divBdr>
        <w:top w:val="none" w:sz="0" w:space="0" w:color="auto"/>
        <w:left w:val="none" w:sz="0" w:space="0" w:color="auto"/>
        <w:bottom w:val="none" w:sz="0" w:space="0" w:color="auto"/>
        <w:right w:val="none" w:sz="0" w:space="0" w:color="auto"/>
      </w:divBdr>
    </w:div>
    <w:div w:id="224224884">
      <w:bodyDiv w:val="1"/>
      <w:marLeft w:val="0"/>
      <w:marRight w:val="0"/>
      <w:marTop w:val="0"/>
      <w:marBottom w:val="0"/>
      <w:divBdr>
        <w:top w:val="none" w:sz="0" w:space="0" w:color="auto"/>
        <w:left w:val="none" w:sz="0" w:space="0" w:color="auto"/>
        <w:bottom w:val="none" w:sz="0" w:space="0" w:color="auto"/>
        <w:right w:val="none" w:sz="0" w:space="0" w:color="auto"/>
      </w:divBdr>
    </w:div>
    <w:div w:id="224267857">
      <w:bodyDiv w:val="1"/>
      <w:marLeft w:val="0"/>
      <w:marRight w:val="0"/>
      <w:marTop w:val="0"/>
      <w:marBottom w:val="0"/>
      <w:divBdr>
        <w:top w:val="none" w:sz="0" w:space="0" w:color="auto"/>
        <w:left w:val="none" w:sz="0" w:space="0" w:color="auto"/>
        <w:bottom w:val="none" w:sz="0" w:space="0" w:color="auto"/>
        <w:right w:val="none" w:sz="0" w:space="0" w:color="auto"/>
      </w:divBdr>
    </w:div>
    <w:div w:id="224335387">
      <w:bodyDiv w:val="1"/>
      <w:marLeft w:val="0"/>
      <w:marRight w:val="0"/>
      <w:marTop w:val="0"/>
      <w:marBottom w:val="0"/>
      <w:divBdr>
        <w:top w:val="none" w:sz="0" w:space="0" w:color="auto"/>
        <w:left w:val="none" w:sz="0" w:space="0" w:color="auto"/>
        <w:bottom w:val="none" w:sz="0" w:space="0" w:color="auto"/>
        <w:right w:val="none" w:sz="0" w:space="0" w:color="auto"/>
      </w:divBdr>
    </w:div>
    <w:div w:id="224337713">
      <w:bodyDiv w:val="1"/>
      <w:marLeft w:val="0"/>
      <w:marRight w:val="0"/>
      <w:marTop w:val="0"/>
      <w:marBottom w:val="0"/>
      <w:divBdr>
        <w:top w:val="none" w:sz="0" w:space="0" w:color="auto"/>
        <w:left w:val="none" w:sz="0" w:space="0" w:color="auto"/>
        <w:bottom w:val="none" w:sz="0" w:space="0" w:color="auto"/>
        <w:right w:val="none" w:sz="0" w:space="0" w:color="auto"/>
      </w:divBdr>
    </w:div>
    <w:div w:id="224416268">
      <w:bodyDiv w:val="1"/>
      <w:marLeft w:val="0"/>
      <w:marRight w:val="0"/>
      <w:marTop w:val="0"/>
      <w:marBottom w:val="0"/>
      <w:divBdr>
        <w:top w:val="none" w:sz="0" w:space="0" w:color="auto"/>
        <w:left w:val="none" w:sz="0" w:space="0" w:color="auto"/>
        <w:bottom w:val="none" w:sz="0" w:space="0" w:color="auto"/>
        <w:right w:val="none" w:sz="0" w:space="0" w:color="auto"/>
      </w:divBdr>
    </w:div>
    <w:div w:id="224488035">
      <w:bodyDiv w:val="1"/>
      <w:marLeft w:val="0"/>
      <w:marRight w:val="0"/>
      <w:marTop w:val="0"/>
      <w:marBottom w:val="0"/>
      <w:divBdr>
        <w:top w:val="none" w:sz="0" w:space="0" w:color="auto"/>
        <w:left w:val="none" w:sz="0" w:space="0" w:color="auto"/>
        <w:bottom w:val="none" w:sz="0" w:space="0" w:color="auto"/>
        <w:right w:val="none" w:sz="0" w:space="0" w:color="auto"/>
      </w:divBdr>
    </w:div>
    <w:div w:id="224608162">
      <w:bodyDiv w:val="1"/>
      <w:marLeft w:val="0"/>
      <w:marRight w:val="0"/>
      <w:marTop w:val="0"/>
      <w:marBottom w:val="0"/>
      <w:divBdr>
        <w:top w:val="none" w:sz="0" w:space="0" w:color="auto"/>
        <w:left w:val="none" w:sz="0" w:space="0" w:color="auto"/>
        <w:bottom w:val="none" w:sz="0" w:space="0" w:color="auto"/>
        <w:right w:val="none" w:sz="0" w:space="0" w:color="auto"/>
      </w:divBdr>
    </w:div>
    <w:div w:id="224797239">
      <w:bodyDiv w:val="1"/>
      <w:marLeft w:val="0"/>
      <w:marRight w:val="0"/>
      <w:marTop w:val="0"/>
      <w:marBottom w:val="0"/>
      <w:divBdr>
        <w:top w:val="none" w:sz="0" w:space="0" w:color="auto"/>
        <w:left w:val="none" w:sz="0" w:space="0" w:color="auto"/>
        <w:bottom w:val="none" w:sz="0" w:space="0" w:color="auto"/>
        <w:right w:val="none" w:sz="0" w:space="0" w:color="auto"/>
      </w:divBdr>
    </w:div>
    <w:div w:id="224800315">
      <w:bodyDiv w:val="1"/>
      <w:marLeft w:val="0"/>
      <w:marRight w:val="0"/>
      <w:marTop w:val="0"/>
      <w:marBottom w:val="0"/>
      <w:divBdr>
        <w:top w:val="none" w:sz="0" w:space="0" w:color="auto"/>
        <w:left w:val="none" w:sz="0" w:space="0" w:color="auto"/>
        <w:bottom w:val="none" w:sz="0" w:space="0" w:color="auto"/>
        <w:right w:val="none" w:sz="0" w:space="0" w:color="auto"/>
      </w:divBdr>
    </w:div>
    <w:div w:id="224804869">
      <w:bodyDiv w:val="1"/>
      <w:marLeft w:val="0"/>
      <w:marRight w:val="0"/>
      <w:marTop w:val="0"/>
      <w:marBottom w:val="0"/>
      <w:divBdr>
        <w:top w:val="none" w:sz="0" w:space="0" w:color="auto"/>
        <w:left w:val="none" w:sz="0" w:space="0" w:color="auto"/>
        <w:bottom w:val="none" w:sz="0" w:space="0" w:color="auto"/>
        <w:right w:val="none" w:sz="0" w:space="0" w:color="auto"/>
      </w:divBdr>
    </w:div>
    <w:div w:id="224877673">
      <w:bodyDiv w:val="1"/>
      <w:marLeft w:val="0"/>
      <w:marRight w:val="0"/>
      <w:marTop w:val="0"/>
      <w:marBottom w:val="0"/>
      <w:divBdr>
        <w:top w:val="none" w:sz="0" w:space="0" w:color="auto"/>
        <w:left w:val="none" w:sz="0" w:space="0" w:color="auto"/>
        <w:bottom w:val="none" w:sz="0" w:space="0" w:color="auto"/>
        <w:right w:val="none" w:sz="0" w:space="0" w:color="auto"/>
      </w:divBdr>
    </w:div>
    <w:div w:id="224948815">
      <w:bodyDiv w:val="1"/>
      <w:marLeft w:val="0"/>
      <w:marRight w:val="0"/>
      <w:marTop w:val="0"/>
      <w:marBottom w:val="0"/>
      <w:divBdr>
        <w:top w:val="none" w:sz="0" w:space="0" w:color="auto"/>
        <w:left w:val="none" w:sz="0" w:space="0" w:color="auto"/>
        <w:bottom w:val="none" w:sz="0" w:space="0" w:color="auto"/>
        <w:right w:val="none" w:sz="0" w:space="0" w:color="auto"/>
      </w:divBdr>
    </w:div>
    <w:div w:id="224992433">
      <w:bodyDiv w:val="1"/>
      <w:marLeft w:val="0"/>
      <w:marRight w:val="0"/>
      <w:marTop w:val="0"/>
      <w:marBottom w:val="0"/>
      <w:divBdr>
        <w:top w:val="none" w:sz="0" w:space="0" w:color="auto"/>
        <w:left w:val="none" w:sz="0" w:space="0" w:color="auto"/>
        <w:bottom w:val="none" w:sz="0" w:space="0" w:color="auto"/>
        <w:right w:val="none" w:sz="0" w:space="0" w:color="auto"/>
      </w:divBdr>
    </w:div>
    <w:div w:id="224998966">
      <w:bodyDiv w:val="1"/>
      <w:marLeft w:val="0"/>
      <w:marRight w:val="0"/>
      <w:marTop w:val="0"/>
      <w:marBottom w:val="0"/>
      <w:divBdr>
        <w:top w:val="none" w:sz="0" w:space="0" w:color="auto"/>
        <w:left w:val="none" w:sz="0" w:space="0" w:color="auto"/>
        <w:bottom w:val="none" w:sz="0" w:space="0" w:color="auto"/>
        <w:right w:val="none" w:sz="0" w:space="0" w:color="auto"/>
      </w:divBdr>
    </w:div>
    <w:div w:id="225065692">
      <w:bodyDiv w:val="1"/>
      <w:marLeft w:val="0"/>
      <w:marRight w:val="0"/>
      <w:marTop w:val="0"/>
      <w:marBottom w:val="0"/>
      <w:divBdr>
        <w:top w:val="none" w:sz="0" w:space="0" w:color="auto"/>
        <w:left w:val="none" w:sz="0" w:space="0" w:color="auto"/>
        <w:bottom w:val="none" w:sz="0" w:space="0" w:color="auto"/>
        <w:right w:val="none" w:sz="0" w:space="0" w:color="auto"/>
      </w:divBdr>
    </w:div>
    <w:div w:id="225117976">
      <w:bodyDiv w:val="1"/>
      <w:marLeft w:val="0"/>
      <w:marRight w:val="0"/>
      <w:marTop w:val="0"/>
      <w:marBottom w:val="0"/>
      <w:divBdr>
        <w:top w:val="none" w:sz="0" w:space="0" w:color="auto"/>
        <w:left w:val="none" w:sz="0" w:space="0" w:color="auto"/>
        <w:bottom w:val="none" w:sz="0" w:space="0" w:color="auto"/>
        <w:right w:val="none" w:sz="0" w:space="0" w:color="auto"/>
      </w:divBdr>
    </w:div>
    <w:div w:id="225262312">
      <w:bodyDiv w:val="1"/>
      <w:marLeft w:val="0"/>
      <w:marRight w:val="0"/>
      <w:marTop w:val="0"/>
      <w:marBottom w:val="0"/>
      <w:divBdr>
        <w:top w:val="none" w:sz="0" w:space="0" w:color="auto"/>
        <w:left w:val="none" w:sz="0" w:space="0" w:color="auto"/>
        <w:bottom w:val="none" w:sz="0" w:space="0" w:color="auto"/>
        <w:right w:val="none" w:sz="0" w:space="0" w:color="auto"/>
      </w:divBdr>
    </w:div>
    <w:div w:id="225343262">
      <w:bodyDiv w:val="1"/>
      <w:marLeft w:val="0"/>
      <w:marRight w:val="0"/>
      <w:marTop w:val="0"/>
      <w:marBottom w:val="0"/>
      <w:divBdr>
        <w:top w:val="none" w:sz="0" w:space="0" w:color="auto"/>
        <w:left w:val="none" w:sz="0" w:space="0" w:color="auto"/>
        <w:bottom w:val="none" w:sz="0" w:space="0" w:color="auto"/>
        <w:right w:val="none" w:sz="0" w:space="0" w:color="auto"/>
      </w:divBdr>
    </w:div>
    <w:div w:id="225381522">
      <w:bodyDiv w:val="1"/>
      <w:marLeft w:val="0"/>
      <w:marRight w:val="0"/>
      <w:marTop w:val="0"/>
      <w:marBottom w:val="0"/>
      <w:divBdr>
        <w:top w:val="none" w:sz="0" w:space="0" w:color="auto"/>
        <w:left w:val="none" w:sz="0" w:space="0" w:color="auto"/>
        <w:bottom w:val="none" w:sz="0" w:space="0" w:color="auto"/>
        <w:right w:val="none" w:sz="0" w:space="0" w:color="auto"/>
      </w:divBdr>
    </w:div>
    <w:div w:id="225577127">
      <w:bodyDiv w:val="1"/>
      <w:marLeft w:val="0"/>
      <w:marRight w:val="0"/>
      <w:marTop w:val="0"/>
      <w:marBottom w:val="0"/>
      <w:divBdr>
        <w:top w:val="none" w:sz="0" w:space="0" w:color="auto"/>
        <w:left w:val="none" w:sz="0" w:space="0" w:color="auto"/>
        <w:bottom w:val="none" w:sz="0" w:space="0" w:color="auto"/>
        <w:right w:val="none" w:sz="0" w:space="0" w:color="auto"/>
      </w:divBdr>
    </w:div>
    <w:div w:id="225577727">
      <w:bodyDiv w:val="1"/>
      <w:marLeft w:val="0"/>
      <w:marRight w:val="0"/>
      <w:marTop w:val="0"/>
      <w:marBottom w:val="0"/>
      <w:divBdr>
        <w:top w:val="none" w:sz="0" w:space="0" w:color="auto"/>
        <w:left w:val="none" w:sz="0" w:space="0" w:color="auto"/>
        <w:bottom w:val="none" w:sz="0" w:space="0" w:color="auto"/>
        <w:right w:val="none" w:sz="0" w:space="0" w:color="auto"/>
      </w:divBdr>
    </w:div>
    <w:div w:id="225605483">
      <w:bodyDiv w:val="1"/>
      <w:marLeft w:val="0"/>
      <w:marRight w:val="0"/>
      <w:marTop w:val="0"/>
      <w:marBottom w:val="0"/>
      <w:divBdr>
        <w:top w:val="none" w:sz="0" w:space="0" w:color="auto"/>
        <w:left w:val="none" w:sz="0" w:space="0" w:color="auto"/>
        <w:bottom w:val="none" w:sz="0" w:space="0" w:color="auto"/>
        <w:right w:val="none" w:sz="0" w:space="0" w:color="auto"/>
      </w:divBdr>
    </w:div>
    <w:div w:id="225796767">
      <w:bodyDiv w:val="1"/>
      <w:marLeft w:val="0"/>
      <w:marRight w:val="0"/>
      <w:marTop w:val="0"/>
      <w:marBottom w:val="0"/>
      <w:divBdr>
        <w:top w:val="none" w:sz="0" w:space="0" w:color="auto"/>
        <w:left w:val="none" w:sz="0" w:space="0" w:color="auto"/>
        <w:bottom w:val="none" w:sz="0" w:space="0" w:color="auto"/>
        <w:right w:val="none" w:sz="0" w:space="0" w:color="auto"/>
      </w:divBdr>
    </w:div>
    <w:div w:id="225842274">
      <w:bodyDiv w:val="1"/>
      <w:marLeft w:val="0"/>
      <w:marRight w:val="0"/>
      <w:marTop w:val="0"/>
      <w:marBottom w:val="0"/>
      <w:divBdr>
        <w:top w:val="none" w:sz="0" w:space="0" w:color="auto"/>
        <w:left w:val="none" w:sz="0" w:space="0" w:color="auto"/>
        <w:bottom w:val="none" w:sz="0" w:space="0" w:color="auto"/>
        <w:right w:val="none" w:sz="0" w:space="0" w:color="auto"/>
      </w:divBdr>
    </w:div>
    <w:div w:id="225920845">
      <w:bodyDiv w:val="1"/>
      <w:marLeft w:val="0"/>
      <w:marRight w:val="0"/>
      <w:marTop w:val="0"/>
      <w:marBottom w:val="0"/>
      <w:divBdr>
        <w:top w:val="none" w:sz="0" w:space="0" w:color="auto"/>
        <w:left w:val="none" w:sz="0" w:space="0" w:color="auto"/>
        <w:bottom w:val="none" w:sz="0" w:space="0" w:color="auto"/>
        <w:right w:val="none" w:sz="0" w:space="0" w:color="auto"/>
      </w:divBdr>
    </w:div>
    <w:div w:id="226066287">
      <w:bodyDiv w:val="1"/>
      <w:marLeft w:val="0"/>
      <w:marRight w:val="0"/>
      <w:marTop w:val="0"/>
      <w:marBottom w:val="0"/>
      <w:divBdr>
        <w:top w:val="none" w:sz="0" w:space="0" w:color="auto"/>
        <w:left w:val="none" w:sz="0" w:space="0" w:color="auto"/>
        <w:bottom w:val="none" w:sz="0" w:space="0" w:color="auto"/>
        <w:right w:val="none" w:sz="0" w:space="0" w:color="auto"/>
      </w:divBdr>
    </w:div>
    <w:div w:id="226109466">
      <w:bodyDiv w:val="1"/>
      <w:marLeft w:val="0"/>
      <w:marRight w:val="0"/>
      <w:marTop w:val="0"/>
      <w:marBottom w:val="0"/>
      <w:divBdr>
        <w:top w:val="none" w:sz="0" w:space="0" w:color="auto"/>
        <w:left w:val="none" w:sz="0" w:space="0" w:color="auto"/>
        <w:bottom w:val="none" w:sz="0" w:space="0" w:color="auto"/>
        <w:right w:val="none" w:sz="0" w:space="0" w:color="auto"/>
      </w:divBdr>
    </w:div>
    <w:div w:id="226187879">
      <w:bodyDiv w:val="1"/>
      <w:marLeft w:val="0"/>
      <w:marRight w:val="0"/>
      <w:marTop w:val="0"/>
      <w:marBottom w:val="0"/>
      <w:divBdr>
        <w:top w:val="none" w:sz="0" w:space="0" w:color="auto"/>
        <w:left w:val="none" w:sz="0" w:space="0" w:color="auto"/>
        <w:bottom w:val="none" w:sz="0" w:space="0" w:color="auto"/>
        <w:right w:val="none" w:sz="0" w:space="0" w:color="auto"/>
      </w:divBdr>
    </w:div>
    <w:div w:id="226191582">
      <w:bodyDiv w:val="1"/>
      <w:marLeft w:val="0"/>
      <w:marRight w:val="0"/>
      <w:marTop w:val="0"/>
      <w:marBottom w:val="0"/>
      <w:divBdr>
        <w:top w:val="none" w:sz="0" w:space="0" w:color="auto"/>
        <w:left w:val="none" w:sz="0" w:space="0" w:color="auto"/>
        <w:bottom w:val="none" w:sz="0" w:space="0" w:color="auto"/>
        <w:right w:val="none" w:sz="0" w:space="0" w:color="auto"/>
      </w:divBdr>
    </w:div>
    <w:div w:id="226231408">
      <w:bodyDiv w:val="1"/>
      <w:marLeft w:val="0"/>
      <w:marRight w:val="0"/>
      <w:marTop w:val="0"/>
      <w:marBottom w:val="0"/>
      <w:divBdr>
        <w:top w:val="none" w:sz="0" w:space="0" w:color="auto"/>
        <w:left w:val="none" w:sz="0" w:space="0" w:color="auto"/>
        <w:bottom w:val="none" w:sz="0" w:space="0" w:color="auto"/>
        <w:right w:val="none" w:sz="0" w:space="0" w:color="auto"/>
      </w:divBdr>
    </w:div>
    <w:div w:id="226307586">
      <w:bodyDiv w:val="1"/>
      <w:marLeft w:val="0"/>
      <w:marRight w:val="0"/>
      <w:marTop w:val="0"/>
      <w:marBottom w:val="0"/>
      <w:divBdr>
        <w:top w:val="none" w:sz="0" w:space="0" w:color="auto"/>
        <w:left w:val="none" w:sz="0" w:space="0" w:color="auto"/>
        <w:bottom w:val="none" w:sz="0" w:space="0" w:color="auto"/>
        <w:right w:val="none" w:sz="0" w:space="0" w:color="auto"/>
      </w:divBdr>
    </w:div>
    <w:div w:id="226308649">
      <w:bodyDiv w:val="1"/>
      <w:marLeft w:val="0"/>
      <w:marRight w:val="0"/>
      <w:marTop w:val="0"/>
      <w:marBottom w:val="0"/>
      <w:divBdr>
        <w:top w:val="none" w:sz="0" w:space="0" w:color="auto"/>
        <w:left w:val="none" w:sz="0" w:space="0" w:color="auto"/>
        <w:bottom w:val="none" w:sz="0" w:space="0" w:color="auto"/>
        <w:right w:val="none" w:sz="0" w:space="0" w:color="auto"/>
      </w:divBdr>
    </w:div>
    <w:div w:id="226309454">
      <w:bodyDiv w:val="1"/>
      <w:marLeft w:val="0"/>
      <w:marRight w:val="0"/>
      <w:marTop w:val="0"/>
      <w:marBottom w:val="0"/>
      <w:divBdr>
        <w:top w:val="none" w:sz="0" w:space="0" w:color="auto"/>
        <w:left w:val="none" w:sz="0" w:space="0" w:color="auto"/>
        <w:bottom w:val="none" w:sz="0" w:space="0" w:color="auto"/>
        <w:right w:val="none" w:sz="0" w:space="0" w:color="auto"/>
      </w:divBdr>
    </w:div>
    <w:div w:id="226378598">
      <w:bodyDiv w:val="1"/>
      <w:marLeft w:val="0"/>
      <w:marRight w:val="0"/>
      <w:marTop w:val="0"/>
      <w:marBottom w:val="0"/>
      <w:divBdr>
        <w:top w:val="none" w:sz="0" w:space="0" w:color="auto"/>
        <w:left w:val="none" w:sz="0" w:space="0" w:color="auto"/>
        <w:bottom w:val="none" w:sz="0" w:space="0" w:color="auto"/>
        <w:right w:val="none" w:sz="0" w:space="0" w:color="auto"/>
      </w:divBdr>
    </w:div>
    <w:div w:id="226385659">
      <w:bodyDiv w:val="1"/>
      <w:marLeft w:val="0"/>
      <w:marRight w:val="0"/>
      <w:marTop w:val="0"/>
      <w:marBottom w:val="0"/>
      <w:divBdr>
        <w:top w:val="none" w:sz="0" w:space="0" w:color="auto"/>
        <w:left w:val="none" w:sz="0" w:space="0" w:color="auto"/>
        <w:bottom w:val="none" w:sz="0" w:space="0" w:color="auto"/>
        <w:right w:val="none" w:sz="0" w:space="0" w:color="auto"/>
      </w:divBdr>
    </w:div>
    <w:div w:id="226455515">
      <w:bodyDiv w:val="1"/>
      <w:marLeft w:val="0"/>
      <w:marRight w:val="0"/>
      <w:marTop w:val="0"/>
      <w:marBottom w:val="0"/>
      <w:divBdr>
        <w:top w:val="none" w:sz="0" w:space="0" w:color="auto"/>
        <w:left w:val="none" w:sz="0" w:space="0" w:color="auto"/>
        <w:bottom w:val="none" w:sz="0" w:space="0" w:color="auto"/>
        <w:right w:val="none" w:sz="0" w:space="0" w:color="auto"/>
      </w:divBdr>
    </w:div>
    <w:div w:id="226457925">
      <w:bodyDiv w:val="1"/>
      <w:marLeft w:val="0"/>
      <w:marRight w:val="0"/>
      <w:marTop w:val="0"/>
      <w:marBottom w:val="0"/>
      <w:divBdr>
        <w:top w:val="none" w:sz="0" w:space="0" w:color="auto"/>
        <w:left w:val="none" w:sz="0" w:space="0" w:color="auto"/>
        <w:bottom w:val="none" w:sz="0" w:space="0" w:color="auto"/>
        <w:right w:val="none" w:sz="0" w:space="0" w:color="auto"/>
      </w:divBdr>
    </w:div>
    <w:div w:id="226652320">
      <w:bodyDiv w:val="1"/>
      <w:marLeft w:val="0"/>
      <w:marRight w:val="0"/>
      <w:marTop w:val="0"/>
      <w:marBottom w:val="0"/>
      <w:divBdr>
        <w:top w:val="none" w:sz="0" w:space="0" w:color="auto"/>
        <w:left w:val="none" w:sz="0" w:space="0" w:color="auto"/>
        <w:bottom w:val="none" w:sz="0" w:space="0" w:color="auto"/>
        <w:right w:val="none" w:sz="0" w:space="0" w:color="auto"/>
      </w:divBdr>
    </w:div>
    <w:div w:id="226766619">
      <w:bodyDiv w:val="1"/>
      <w:marLeft w:val="0"/>
      <w:marRight w:val="0"/>
      <w:marTop w:val="0"/>
      <w:marBottom w:val="0"/>
      <w:divBdr>
        <w:top w:val="none" w:sz="0" w:space="0" w:color="auto"/>
        <w:left w:val="none" w:sz="0" w:space="0" w:color="auto"/>
        <w:bottom w:val="none" w:sz="0" w:space="0" w:color="auto"/>
        <w:right w:val="none" w:sz="0" w:space="0" w:color="auto"/>
      </w:divBdr>
    </w:div>
    <w:div w:id="226916883">
      <w:bodyDiv w:val="1"/>
      <w:marLeft w:val="0"/>
      <w:marRight w:val="0"/>
      <w:marTop w:val="0"/>
      <w:marBottom w:val="0"/>
      <w:divBdr>
        <w:top w:val="none" w:sz="0" w:space="0" w:color="auto"/>
        <w:left w:val="none" w:sz="0" w:space="0" w:color="auto"/>
        <w:bottom w:val="none" w:sz="0" w:space="0" w:color="auto"/>
        <w:right w:val="none" w:sz="0" w:space="0" w:color="auto"/>
      </w:divBdr>
    </w:div>
    <w:div w:id="226959572">
      <w:bodyDiv w:val="1"/>
      <w:marLeft w:val="0"/>
      <w:marRight w:val="0"/>
      <w:marTop w:val="0"/>
      <w:marBottom w:val="0"/>
      <w:divBdr>
        <w:top w:val="none" w:sz="0" w:space="0" w:color="auto"/>
        <w:left w:val="none" w:sz="0" w:space="0" w:color="auto"/>
        <w:bottom w:val="none" w:sz="0" w:space="0" w:color="auto"/>
        <w:right w:val="none" w:sz="0" w:space="0" w:color="auto"/>
      </w:divBdr>
    </w:div>
    <w:div w:id="227040070">
      <w:bodyDiv w:val="1"/>
      <w:marLeft w:val="0"/>
      <w:marRight w:val="0"/>
      <w:marTop w:val="0"/>
      <w:marBottom w:val="0"/>
      <w:divBdr>
        <w:top w:val="none" w:sz="0" w:space="0" w:color="auto"/>
        <w:left w:val="none" w:sz="0" w:space="0" w:color="auto"/>
        <w:bottom w:val="none" w:sz="0" w:space="0" w:color="auto"/>
        <w:right w:val="none" w:sz="0" w:space="0" w:color="auto"/>
      </w:divBdr>
    </w:div>
    <w:div w:id="227083037">
      <w:bodyDiv w:val="1"/>
      <w:marLeft w:val="0"/>
      <w:marRight w:val="0"/>
      <w:marTop w:val="0"/>
      <w:marBottom w:val="0"/>
      <w:divBdr>
        <w:top w:val="none" w:sz="0" w:space="0" w:color="auto"/>
        <w:left w:val="none" w:sz="0" w:space="0" w:color="auto"/>
        <w:bottom w:val="none" w:sz="0" w:space="0" w:color="auto"/>
        <w:right w:val="none" w:sz="0" w:space="0" w:color="auto"/>
      </w:divBdr>
    </w:div>
    <w:div w:id="227303427">
      <w:bodyDiv w:val="1"/>
      <w:marLeft w:val="0"/>
      <w:marRight w:val="0"/>
      <w:marTop w:val="0"/>
      <w:marBottom w:val="0"/>
      <w:divBdr>
        <w:top w:val="none" w:sz="0" w:space="0" w:color="auto"/>
        <w:left w:val="none" w:sz="0" w:space="0" w:color="auto"/>
        <w:bottom w:val="none" w:sz="0" w:space="0" w:color="auto"/>
        <w:right w:val="none" w:sz="0" w:space="0" w:color="auto"/>
      </w:divBdr>
    </w:div>
    <w:div w:id="227303633">
      <w:bodyDiv w:val="1"/>
      <w:marLeft w:val="0"/>
      <w:marRight w:val="0"/>
      <w:marTop w:val="0"/>
      <w:marBottom w:val="0"/>
      <w:divBdr>
        <w:top w:val="none" w:sz="0" w:space="0" w:color="auto"/>
        <w:left w:val="none" w:sz="0" w:space="0" w:color="auto"/>
        <w:bottom w:val="none" w:sz="0" w:space="0" w:color="auto"/>
        <w:right w:val="none" w:sz="0" w:space="0" w:color="auto"/>
      </w:divBdr>
    </w:div>
    <w:div w:id="227495572">
      <w:bodyDiv w:val="1"/>
      <w:marLeft w:val="0"/>
      <w:marRight w:val="0"/>
      <w:marTop w:val="0"/>
      <w:marBottom w:val="0"/>
      <w:divBdr>
        <w:top w:val="none" w:sz="0" w:space="0" w:color="auto"/>
        <w:left w:val="none" w:sz="0" w:space="0" w:color="auto"/>
        <w:bottom w:val="none" w:sz="0" w:space="0" w:color="auto"/>
        <w:right w:val="none" w:sz="0" w:space="0" w:color="auto"/>
      </w:divBdr>
    </w:div>
    <w:div w:id="227694404">
      <w:bodyDiv w:val="1"/>
      <w:marLeft w:val="0"/>
      <w:marRight w:val="0"/>
      <w:marTop w:val="0"/>
      <w:marBottom w:val="0"/>
      <w:divBdr>
        <w:top w:val="none" w:sz="0" w:space="0" w:color="auto"/>
        <w:left w:val="none" w:sz="0" w:space="0" w:color="auto"/>
        <w:bottom w:val="none" w:sz="0" w:space="0" w:color="auto"/>
        <w:right w:val="none" w:sz="0" w:space="0" w:color="auto"/>
      </w:divBdr>
    </w:div>
    <w:div w:id="227766956">
      <w:bodyDiv w:val="1"/>
      <w:marLeft w:val="0"/>
      <w:marRight w:val="0"/>
      <w:marTop w:val="0"/>
      <w:marBottom w:val="0"/>
      <w:divBdr>
        <w:top w:val="none" w:sz="0" w:space="0" w:color="auto"/>
        <w:left w:val="none" w:sz="0" w:space="0" w:color="auto"/>
        <w:bottom w:val="none" w:sz="0" w:space="0" w:color="auto"/>
        <w:right w:val="none" w:sz="0" w:space="0" w:color="auto"/>
      </w:divBdr>
    </w:div>
    <w:div w:id="227767781">
      <w:bodyDiv w:val="1"/>
      <w:marLeft w:val="0"/>
      <w:marRight w:val="0"/>
      <w:marTop w:val="0"/>
      <w:marBottom w:val="0"/>
      <w:divBdr>
        <w:top w:val="none" w:sz="0" w:space="0" w:color="auto"/>
        <w:left w:val="none" w:sz="0" w:space="0" w:color="auto"/>
        <w:bottom w:val="none" w:sz="0" w:space="0" w:color="auto"/>
        <w:right w:val="none" w:sz="0" w:space="0" w:color="auto"/>
      </w:divBdr>
    </w:div>
    <w:div w:id="227882028">
      <w:bodyDiv w:val="1"/>
      <w:marLeft w:val="0"/>
      <w:marRight w:val="0"/>
      <w:marTop w:val="0"/>
      <w:marBottom w:val="0"/>
      <w:divBdr>
        <w:top w:val="none" w:sz="0" w:space="0" w:color="auto"/>
        <w:left w:val="none" w:sz="0" w:space="0" w:color="auto"/>
        <w:bottom w:val="none" w:sz="0" w:space="0" w:color="auto"/>
        <w:right w:val="none" w:sz="0" w:space="0" w:color="auto"/>
      </w:divBdr>
    </w:div>
    <w:div w:id="228003324">
      <w:bodyDiv w:val="1"/>
      <w:marLeft w:val="0"/>
      <w:marRight w:val="0"/>
      <w:marTop w:val="0"/>
      <w:marBottom w:val="0"/>
      <w:divBdr>
        <w:top w:val="none" w:sz="0" w:space="0" w:color="auto"/>
        <w:left w:val="none" w:sz="0" w:space="0" w:color="auto"/>
        <w:bottom w:val="none" w:sz="0" w:space="0" w:color="auto"/>
        <w:right w:val="none" w:sz="0" w:space="0" w:color="auto"/>
      </w:divBdr>
    </w:div>
    <w:div w:id="228151499">
      <w:bodyDiv w:val="1"/>
      <w:marLeft w:val="0"/>
      <w:marRight w:val="0"/>
      <w:marTop w:val="0"/>
      <w:marBottom w:val="0"/>
      <w:divBdr>
        <w:top w:val="none" w:sz="0" w:space="0" w:color="auto"/>
        <w:left w:val="none" w:sz="0" w:space="0" w:color="auto"/>
        <w:bottom w:val="none" w:sz="0" w:space="0" w:color="auto"/>
        <w:right w:val="none" w:sz="0" w:space="0" w:color="auto"/>
      </w:divBdr>
    </w:div>
    <w:div w:id="228197646">
      <w:bodyDiv w:val="1"/>
      <w:marLeft w:val="0"/>
      <w:marRight w:val="0"/>
      <w:marTop w:val="0"/>
      <w:marBottom w:val="0"/>
      <w:divBdr>
        <w:top w:val="none" w:sz="0" w:space="0" w:color="auto"/>
        <w:left w:val="none" w:sz="0" w:space="0" w:color="auto"/>
        <w:bottom w:val="none" w:sz="0" w:space="0" w:color="auto"/>
        <w:right w:val="none" w:sz="0" w:space="0" w:color="auto"/>
      </w:divBdr>
    </w:div>
    <w:div w:id="228342424">
      <w:bodyDiv w:val="1"/>
      <w:marLeft w:val="0"/>
      <w:marRight w:val="0"/>
      <w:marTop w:val="0"/>
      <w:marBottom w:val="0"/>
      <w:divBdr>
        <w:top w:val="none" w:sz="0" w:space="0" w:color="auto"/>
        <w:left w:val="none" w:sz="0" w:space="0" w:color="auto"/>
        <w:bottom w:val="none" w:sz="0" w:space="0" w:color="auto"/>
        <w:right w:val="none" w:sz="0" w:space="0" w:color="auto"/>
      </w:divBdr>
    </w:div>
    <w:div w:id="228349656">
      <w:bodyDiv w:val="1"/>
      <w:marLeft w:val="0"/>
      <w:marRight w:val="0"/>
      <w:marTop w:val="0"/>
      <w:marBottom w:val="0"/>
      <w:divBdr>
        <w:top w:val="none" w:sz="0" w:space="0" w:color="auto"/>
        <w:left w:val="none" w:sz="0" w:space="0" w:color="auto"/>
        <w:bottom w:val="none" w:sz="0" w:space="0" w:color="auto"/>
        <w:right w:val="none" w:sz="0" w:space="0" w:color="auto"/>
      </w:divBdr>
    </w:div>
    <w:div w:id="228350312">
      <w:bodyDiv w:val="1"/>
      <w:marLeft w:val="0"/>
      <w:marRight w:val="0"/>
      <w:marTop w:val="0"/>
      <w:marBottom w:val="0"/>
      <w:divBdr>
        <w:top w:val="none" w:sz="0" w:space="0" w:color="auto"/>
        <w:left w:val="none" w:sz="0" w:space="0" w:color="auto"/>
        <w:bottom w:val="none" w:sz="0" w:space="0" w:color="auto"/>
        <w:right w:val="none" w:sz="0" w:space="0" w:color="auto"/>
      </w:divBdr>
    </w:div>
    <w:div w:id="228418009">
      <w:bodyDiv w:val="1"/>
      <w:marLeft w:val="0"/>
      <w:marRight w:val="0"/>
      <w:marTop w:val="0"/>
      <w:marBottom w:val="0"/>
      <w:divBdr>
        <w:top w:val="none" w:sz="0" w:space="0" w:color="auto"/>
        <w:left w:val="none" w:sz="0" w:space="0" w:color="auto"/>
        <w:bottom w:val="none" w:sz="0" w:space="0" w:color="auto"/>
        <w:right w:val="none" w:sz="0" w:space="0" w:color="auto"/>
      </w:divBdr>
    </w:div>
    <w:div w:id="228425431">
      <w:bodyDiv w:val="1"/>
      <w:marLeft w:val="0"/>
      <w:marRight w:val="0"/>
      <w:marTop w:val="0"/>
      <w:marBottom w:val="0"/>
      <w:divBdr>
        <w:top w:val="none" w:sz="0" w:space="0" w:color="auto"/>
        <w:left w:val="none" w:sz="0" w:space="0" w:color="auto"/>
        <w:bottom w:val="none" w:sz="0" w:space="0" w:color="auto"/>
        <w:right w:val="none" w:sz="0" w:space="0" w:color="auto"/>
      </w:divBdr>
    </w:div>
    <w:div w:id="228539172">
      <w:bodyDiv w:val="1"/>
      <w:marLeft w:val="0"/>
      <w:marRight w:val="0"/>
      <w:marTop w:val="0"/>
      <w:marBottom w:val="0"/>
      <w:divBdr>
        <w:top w:val="none" w:sz="0" w:space="0" w:color="auto"/>
        <w:left w:val="none" w:sz="0" w:space="0" w:color="auto"/>
        <w:bottom w:val="none" w:sz="0" w:space="0" w:color="auto"/>
        <w:right w:val="none" w:sz="0" w:space="0" w:color="auto"/>
      </w:divBdr>
    </w:div>
    <w:div w:id="228614919">
      <w:bodyDiv w:val="1"/>
      <w:marLeft w:val="0"/>
      <w:marRight w:val="0"/>
      <w:marTop w:val="0"/>
      <w:marBottom w:val="0"/>
      <w:divBdr>
        <w:top w:val="none" w:sz="0" w:space="0" w:color="auto"/>
        <w:left w:val="none" w:sz="0" w:space="0" w:color="auto"/>
        <w:bottom w:val="none" w:sz="0" w:space="0" w:color="auto"/>
        <w:right w:val="none" w:sz="0" w:space="0" w:color="auto"/>
      </w:divBdr>
    </w:div>
    <w:div w:id="228662019">
      <w:bodyDiv w:val="1"/>
      <w:marLeft w:val="0"/>
      <w:marRight w:val="0"/>
      <w:marTop w:val="0"/>
      <w:marBottom w:val="0"/>
      <w:divBdr>
        <w:top w:val="none" w:sz="0" w:space="0" w:color="auto"/>
        <w:left w:val="none" w:sz="0" w:space="0" w:color="auto"/>
        <w:bottom w:val="none" w:sz="0" w:space="0" w:color="auto"/>
        <w:right w:val="none" w:sz="0" w:space="0" w:color="auto"/>
      </w:divBdr>
    </w:div>
    <w:div w:id="228805824">
      <w:bodyDiv w:val="1"/>
      <w:marLeft w:val="0"/>
      <w:marRight w:val="0"/>
      <w:marTop w:val="0"/>
      <w:marBottom w:val="0"/>
      <w:divBdr>
        <w:top w:val="none" w:sz="0" w:space="0" w:color="auto"/>
        <w:left w:val="none" w:sz="0" w:space="0" w:color="auto"/>
        <w:bottom w:val="none" w:sz="0" w:space="0" w:color="auto"/>
        <w:right w:val="none" w:sz="0" w:space="0" w:color="auto"/>
      </w:divBdr>
    </w:div>
    <w:div w:id="228854802">
      <w:bodyDiv w:val="1"/>
      <w:marLeft w:val="0"/>
      <w:marRight w:val="0"/>
      <w:marTop w:val="0"/>
      <w:marBottom w:val="0"/>
      <w:divBdr>
        <w:top w:val="none" w:sz="0" w:space="0" w:color="auto"/>
        <w:left w:val="none" w:sz="0" w:space="0" w:color="auto"/>
        <w:bottom w:val="none" w:sz="0" w:space="0" w:color="auto"/>
        <w:right w:val="none" w:sz="0" w:space="0" w:color="auto"/>
      </w:divBdr>
    </w:div>
    <w:div w:id="228880105">
      <w:bodyDiv w:val="1"/>
      <w:marLeft w:val="0"/>
      <w:marRight w:val="0"/>
      <w:marTop w:val="0"/>
      <w:marBottom w:val="0"/>
      <w:divBdr>
        <w:top w:val="none" w:sz="0" w:space="0" w:color="auto"/>
        <w:left w:val="none" w:sz="0" w:space="0" w:color="auto"/>
        <w:bottom w:val="none" w:sz="0" w:space="0" w:color="auto"/>
        <w:right w:val="none" w:sz="0" w:space="0" w:color="auto"/>
      </w:divBdr>
    </w:div>
    <w:div w:id="228922887">
      <w:bodyDiv w:val="1"/>
      <w:marLeft w:val="0"/>
      <w:marRight w:val="0"/>
      <w:marTop w:val="0"/>
      <w:marBottom w:val="0"/>
      <w:divBdr>
        <w:top w:val="none" w:sz="0" w:space="0" w:color="auto"/>
        <w:left w:val="none" w:sz="0" w:space="0" w:color="auto"/>
        <w:bottom w:val="none" w:sz="0" w:space="0" w:color="auto"/>
        <w:right w:val="none" w:sz="0" w:space="0" w:color="auto"/>
      </w:divBdr>
    </w:div>
    <w:div w:id="229004862">
      <w:bodyDiv w:val="1"/>
      <w:marLeft w:val="0"/>
      <w:marRight w:val="0"/>
      <w:marTop w:val="0"/>
      <w:marBottom w:val="0"/>
      <w:divBdr>
        <w:top w:val="none" w:sz="0" w:space="0" w:color="auto"/>
        <w:left w:val="none" w:sz="0" w:space="0" w:color="auto"/>
        <w:bottom w:val="none" w:sz="0" w:space="0" w:color="auto"/>
        <w:right w:val="none" w:sz="0" w:space="0" w:color="auto"/>
      </w:divBdr>
    </w:div>
    <w:div w:id="229048802">
      <w:bodyDiv w:val="1"/>
      <w:marLeft w:val="0"/>
      <w:marRight w:val="0"/>
      <w:marTop w:val="0"/>
      <w:marBottom w:val="0"/>
      <w:divBdr>
        <w:top w:val="none" w:sz="0" w:space="0" w:color="auto"/>
        <w:left w:val="none" w:sz="0" w:space="0" w:color="auto"/>
        <w:bottom w:val="none" w:sz="0" w:space="0" w:color="auto"/>
        <w:right w:val="none" w:sz="0" w:space="0" w:color="auto"/>
      </w:divBdr>
    </w:div>
    <w:div w:id="229115469">
      <w:bodyDiv w:val="1"/>
      <w:marLeft w:val="0"/>
      <w:marRight w:val="0"/>
      <w:marTop w:val="0"/>
      <w:marBottom w:val="0"/>
      <w:divBdr>
        <w:top w:val="none" w:sz="0" w:space="0" w:color="auto"/>
        <w:left w:val="none" w:sz="0" w:space="0" w:color="auto"/>
        <w:bottom w:val="none" w:sz="0" w:space="0" w:color="auto"/>
        <w:right w:val="none" w:sz="0" w:space="0" w:color="auto"/>
      </w:divBdr>
    </w:div>
    <w:div w:id="229196284">
      <w:bodyDiv w:val="1"/>
      <w:marLeft w:val="0"/>
      <w:marRight w:val="0"/>
      <w:marTop w:val="0"/>
      <w:marBottom w:val="0"/>
      <w:divBdr>
        <w:top w:val="none" w:sz="0" w:space="0" w:color="auto"/>
        <w:left w:val="none" w:sz="0" w:space="0" w:color="auto"/>
        <w:bottom w:val="none" w:sz="0" w:space="0" w:color="auto"/>
        <w:right w:val="none" w:sz="0" w:space="0" w:color="auto"/>
      </w:divBdr>
    </w:div>
    <w:div w:id="229273255">
      <w:bodyDiv w:val="1"/>
      <w:marLeft w:val="0"/>
      <w:marRight w:val="0"/>
      <w:marTop w:val="0"/>
      <w:marBottom w:val="0"/>
      <w:divBdr>
        <w:top w:val="none" w:sz="0" w:space="0" w:color="auto"/>
        <w:left w:val="none" w:sz="0" w:space="0" w:color="auto"/>
        <w:bottom w:val="none" w:sz="0" w:space="0" w:color="auto"/>
        <w:right w:val="none" w:sz="0" w:space="0" w:color="auto"/>
      </w:divBdr>
    </w:div>
    <w:div w:id="229393329">
      <w:bodyDiv w:val="1"/>
      <w:marLeft w:val="0"/>
      <w:marRight w:val="0"/>
      <w:marTop w:val="0"/>
      <w:marBottom w:val="0"/>
      <w:divBdr>
        <w:top w:val="none" w:sz="0" w:space="0" w:color="auto"/>
        <w:left w:val="none" w:sz="0" w:space="0" w:color="auto"/>
        <w:bottom w:val="none" w:sz="0" w:space="0" w:color="auto"/>
        <w:right w:val="none" w:sz="0" w:space="0" w:color="auto"/>
      </w:divBdr>
    </w:div>
    <w:div w:id="229508549">
      <w:bodyDiv w:val="1"/>
      <w:marLeft w:val="0"/>
      <w:marRight w:val="0"/>
      <w:marTop w:val="0"/>
      <w:marBottom w:val="0"/>
      <w:divBdr>
        <w:top w:val="none" w:sz="0" w:space="0" w:color="auto"/>
        <w:left w:val="none" w:sz="0" w:space="0" w:color="auto"/>
        <w:bottom w:val="none" w:sz="0" w:space="0" w:color="auto"/>
        <w:right w:val="none" w:sz="0" w:space="0" w:color="auto"/>
      </w:divBdr>
    </w:div>
    <w:div w:id="229579425">
      <w:bodyDiv w:val="1"/>
      <w:marLeft w:val="0"/>
      <w:marRight w:val="0"/>
      <w:marTop w:val="0"/>
      <w:marBottom w:val="0"/>
      <w:divBdr>
        <w:top w:val="none" w:sz="0" w:space="0" w:color="auto"/>
        <w:left w:val="none" w:sz="0" w:space="0" w:color="auto"/>
        <w:bottom w:val="none" w:sz="0" w:space="0" w:color="auto"/>
        <w:right w:val="none" w:sz="0" w:space="0" w:color="auto"/>
      </w:divBdr>
    </w:div>
    <w:div w:id="229584116">
      <w:bodyDiv w:val="1"/>
      <w:marLeft w:val="0"/>
      <w:marRight w:val="0"/>
      <w:marTop w:val="0"/>
      <w:marBottom w:val="0"/>
      <w:divBdr>
        <w:top w:val="none" w:sz="0" w:space="0" w:color="auto"/>
        <w:left w:val="none" w:sz="0" w:space="0" w:color="auto"/>
        <w:bottom w:val="none" w:sz="0" w:space="0" w:color="auto"/>
        <w:right w:val="none" w:sz="0" w:space="0" w:color="auto"/>
      </w:divBdr>
    </w:div>
    <w:div w:id="229770516">
      <w:bodyDiv w:val="1"/>
      <w:marLeft w:val="0"/>
      <w:marRight w:val="0"/>
      <w:marTop w:val="0"/>
      <w:marBottom w:val="0"/>
      <w:divBdr>
        <w:top w:val="none" w:sz="0" w:space="0" w:color="auto"/>
        <w:left w:val="none" w:sz="0" w:space="0" w:color="auto"/>
        <w:bottom w:val="none" w:sz="0" w:space="0" w:color="auto"/>
        <w:right w:val="none" w:sz="0" w:space="0" w:color="auto"/>
      </w:divBdr>
    </w:div>
    <w:div w:id="229774073">
      <w:bodyDiv w:val="1"/>
      <w:marLeft w:val="0"/>
      <w:marRight w:val="0"/>
      <w:marTop w:val="0"/>
      <w:marBottom w:val="0"/>
      <w:divBdr>
        <w:top w:val="none" w:sz="0" w:space="0" w:color="auto"/>
        <w:left w:val="none" w:sz="0" w:space="0" w:color="auto"/>
        <w:bottom w:val="none" w:sz="0" w:space="0" w:color="auto"/>
        <w:right w:val="none" w:sz="0" w:space="0" w:color="auto"/>
      </w:divBdr>
    </w:div>
    <w:div w:id="230047726">
      <w:bodyDiv w:val="1"/>
      <w:marLeft w:val="0"/>
      <w:marRight w:val="0"/>
      <w:marTop w:val="0"/>
      <w:marBottom w:val="0"/>
      <w:divBdr>
        <w:top w:val="none" w:sz="0" w:space="0" w:color="auto"/>
        <w:left w:val="none" w:sz="0" w:space="0" w:color="auto"/>
        <w:bottom w:val="none" w:sz="0" w:space="0" w:color="auto"/>
        <w:right w:val="none" w:sz="0" w:space="0" w:color="auto"/>
      </w:divBdr>
    </w:div>
    <w:div w:id="230121891">
      <w:bodyDiv w:val="1"/>
      <w:marLeft w:val="0"/>
      <w:marRight w:val="0"/>
      <w:marTop w:val="0"/>
      <w:marBottom w:val="0"/>
      <w:divBdr>
        <w:top w:val="none" w:sz="0" w:space="0" w:color="auto"/>
        <w:left w:val="none" w:sz="0" w:space="0" w:color="auto"/>
        <w:bottom w:val="none" w:sz="0" w:space="0" w:color="auto"/>
        <w:right w:val="none" w:sz="0" w:space="0" w:color="auto"/>
      </w:divBdr>
    </w:div>
    <w:div w:id="230122142">
      <w:bodyDiv w:val="1"/>
      <w:marLeft w:val="0"/>
      <w:marRight w:val="0"/>
      <w:marTop w:val="0"/>
      <w:marBottom w:val="0"/>
      <w:divBdr>
        <w:top w:val="none" w:sz="0" w:space="0" w:color="auto"/>
        <w:left w:val="none" w:sz="0" w:space="0" w:color="auto"/>
        <w:bottom w:val="none" w:sz="0" w:space="0" w:color="auto"/>
        <w:right w:val="none" w:sz="0" w:space="0" w:color="auto"/>
      </w:divBdr>
    </w:div>
    <w:div w:id="230383148">
      <w:bodyDiv w:val="1"/>
      <w:marLeft w:val="0"/>
      <w:marRight w:val="0"/>
      <w:marTop w:val="0"/>
      <w:marBottom w:val="0"/>
      <w:divBdr>
        <w:top w:val="none" w:sz="0" w:space="0" w:color="auto"/>
        <w:left w:val="none" w:sz="0" w:space="0" w:color="auto"/>
        <w:bottom w:val="none" w:sz="0" w:space="0" w:color="auto"/>
        <w:right w:val="none" w:sz="0" w:space="0" w:color="auto"/>
      </w:divBdr>
    </w:div>
    <w:div w:id="230383534">
      <w:bodyDiv w:val="1"/>
      <w:marLeft w:val="0"/>
      <w:marRight w:val="0"/>
      <w:marTop w:val="0"/>
      <w:marBottom w:val="0"/>
      <w:divBdr>
        <w:top w:val="none" w:sz="0" w:space="0" w:color="auto"/>
        <w:left w:val="none" w:sz="0" w:space="0" w:color="auto"/>
        <w:bottom w:val="none" w:sz="0" w:space="0" w:color="auto"/>
        <w:right w:val="none" w:sz="0" w:space="0" w:color="auto"/>
      </w:divBdr>
    </w:div>
    <w:div w:id="230435285">
      <w:bodyDiv w:val="1"/>
      <w:marLeft w:val="0"/>
      <w:marRight w:val="0"/>
      <w:marTop w:val="0"/>
      <w:marBottom w:val="0"/>
      <w:divBdr>
        <w:top w:val="none" w:sz="0" w:space="0" w:color="auto"/>
        <w:left w:val="none" w:sz="0" w:space="0" w:color="auto"/>
        <w:bottom w:val="none" w:sz="0" w:space="0" w:color="auto"/>
        <w:right w:val="none" w:sz="0" w:space="0" w:color="auto"/>
      </w:divBdr>
    </w:div>
    <w:div w:id="230502924">
      <w:bodyDiv w:val="1"/>
      <w:marLeft w:val="0"/>
      <w:marRight w:val="0"/>
      <w:marTop w:val="0"/>
      <w:marBottom w:val="0"/>
      <w:divBdr>
        <w:top w:val="none" w:sz="0" w:space="0" w:color="auto"/>
        <w:left w:val="none" w:sz="0" w:space="0" w:color="auto"/>
        <w:bottom w:val="none" w:sz="0" w:space="0" w:color="auto"/>
        <w:right w:val="none" w:sz="0" w:space="0" w:color="auto"/>
      </w:divBdr>
    </w:div>
    <w:div w:id="230509553">
      <w:bodyDiv w:val="1"/>
      <w:marLeft w:val="0"/>
      <w:marRight w:val="0"/>
      <w:marTop w:val="0"/>
      <w:marBottom w:val="0"/>
      <w:divBdr>
        <w:top w:val="none" w:sz="0" w:space="0" w:color="auto"/>
        <w:left w:val="none" w:sz="0" w:space="0" w:color="auto"/>
        <w:bottom w:val="none" w:sz="0" w:space="0" w:color="auto"/>
        <w:right w:val="none" w:sz="0" w:space="0" w:color="auto"/>
      </w:divBdr>
    </w:div>
    <w:div w:id="230510059">
      <w:bodyDiv w:val="1"/>
      <w:marLeft w:val="0"/>
      <w:marRight w:val="0"/>
      <w:marTop w:val="0"/>
      <w:marBottom w:val="0"/>
      <w:divBdr>
        <w:top w:val="none" w:sz="0" w:space="0" w:color="auto"/>
        <w:left w:val="none" w:sz="0" w:space="0" w:color="auto"/>
        <w:bottom w:val="none" w:sz="0" w:space="0" w:color="auto"/>
        <w:right w:val="none" w:sz="0" w:space="0" w:color="auto"/>
      </w:divBdr>
    </w:div>
    <w:div w:id="230577318">
      <w:bodyDiv w:val="1"/>
      <w:marLeft w:val="0"/>
      <w:marRight w:val="0"/>
      <w:marTop w:val="0"/>
      <w:marBottom w:val="0"/>
      <w:divBdr>
        <w:top w:val="none" w:sz="0" w:space="0" w:color="auto"/>
        <w:left w:val="none" w:sz="0" w:space="0" w:color="auto"/>
        <w:bottom w:val="none" w:sz="0" w:space="0" w:color="auto"/>
        <w:right w:val="none" w:sz="0" w:space="0" w:color="auto"/>
      </w:divBdr>
    </w:div>
    <w:div w:id="230702728">
      <w:bodyDiv w:val="1"/>
      <w:marLeft w:val="0"/>
      <w:marRight w:val="0"/>
      <w:marTop w:val="0"/>
      <w:marBottom w:val="0"/>
      <w:divBdr>
        <w:top w:val="none" w:sz="0" w:space="0" w:color="auto"/>
        <w:left w:val="none" w:sz="0" w:space="0" w:color="auto"/>
        <w:bottom w:val="none" w:sz="0" w:space="0" w:color="auto"/>
        <w:right w:val="none" w:sz="0" w:space="0" w:color="auto"/>
      </w:divBdr>
    </w:div>
    <w:div w:id="230778395">
      <w:bodyDiv w:val="1"/>
      <w:marLeft w:val="0"/>
      <w:marRight w:val="0"/>
      <w:marTop w:val="0"/>
      <w:marBottom w:val="0"/>
      <w:divBdr>
        <w:top w:val="none" w:sz="0" w:space="0" w:color="auto"/>
        <w:left w:val="none" w:sz="0" w:space="0" w:color="auto"/>
        <w:bottom w:val="none" w:sz="0" w:space="0" w:color="auto"/>
        <w:right w:val="none" w:sz="0" w:space="0" w:color="auto"/>
      </w:divBdr>
    </w:div>
    <w:div w:id="230779229">
      <w:bodyDiv w:val="1"/>
      <w:marLeft w:val="0"/>
      <w:marRight w:val="0"/>
      <w:marTop w:val="0"/>
      <w:marBottom w:val="0"/>
      <w:divBdr>
        <w:top w:val="none" w:sz="0" w:space="0" w:color="auto"/>
        <w:left w:val="none" w:sz="0" w:space="0" w:color="auto"/>
        <w:bottom w:val="none" w:sz="0" w:space="0" w:color="auto"/>
        <w:right w:val="none" w:sz="0" w:space="0" w:color="auto"/>
      </w:divBdr>
    </w:div>
    <w:div w:id="230969261">
      <w:bodyDiv w:val="1"/>
      <w:marLeft w:val="0"/>
      <w:marRight w:val="0"/>
      <w:marTop w:val="0"/>
      <w:marBottom w:val="0"/>
      <w:divBdr>
        <w:top w:val="none" w:sz="0" w:space="0" w:color="auto"/>
        <w:left w:val="none" w:sz="0" w:space="0" w:color="auto"/>
        <w:bottom w:val="none" w:sz="0" w:space="0" w:color="auto"/>
        <w:right w:val="none" w:sz="0" w:space="0" w:color="auto"/>
      </w:divBdr>
    </w:div>
    <w:div w:id="230969999">
      <w:bodyDiv w:val="1"/>
      <w:marLeft w:val="0"/>
      <w:marRight w:val="0"/>
      <w:marTop w:val="0"/>
      <w:marBottom w:val="0"/>
      <w:divBdr>
        <w:top w:val="none" w:sz="0" w:space="0" w:color="auto"/>
        <w:left w:val="none" w:sz="0" w:space="0" w:color="auto"/>
        <w:bottom w:val="none" w:sz="0" w:space="0" w:color="auto"/>
        <w:right w:val="none" w:sz="0" w:space="0" w:color="auto"/>
      </w:divBdr>
    </w:div>
    <w:div w:id="231084644">
      <w:bodyDiv w:val="1"/>
      <w:marLeft w:val="0"/>
      <w:marRight w:val="0"/>
      <w:marTop w:val="0"/>
      <w:marBottom w:val="0"/>
      <w:divBdr>
        <w:top w:val="none" w:sz="0" w:space="0" w:color="auto"/>
        <w:left w:val="none" w:sz="0" w:space="0" w:color="auto"/>
        <w:bottom w:val="none" w:sz="0" w:space="0" w:color="auto"/>
        <w:right w:val="none" w:sz="0" w:space="0" w:color="auto"/>
      </w:divBdr>
    </w:div>
    <w:div w:id="231163005">
      <w:bodyDiv w:val="1"/>
      <w:marLeft w:val="0"/>
      <w:marRight w:val="0"/>
      <w:marTop w:val="0"/>
      <w:marBottom w:val="0"/>
      <w:divBdr>
        <w:top w:val="none" w:sz="0" w:space="0" w:color="auto"/>
        <w:left w:val="none" w:sz="0" w:space="0" w:color="auto"/>
        <w:bottom w:val="none" w:sz="0" w:space="0" w:color="auto"/>
        <w:right w:val="none" w:sz="0" w:space="0" w:color="auto"/>
      </w:divBdr>
    </w:div>
    <w:div w:id="231233537">
      <w:bodyDiv w:val="1"/>
      <w:marLeft w:val="0"/>
      <w:marRight w:val="0"/>
      <w:marTop w:val="0"/>
      <w:marBottom w:val="0"/>
      <w:divBdr>
        <w:top w:val="none" w:sz="0" w:space="0" w:color="auto"/>
        <w:left w:val="none" w:sz="0" w:space="0" w:color="auto"/>
        <w:bottom w:val="none" w:sz="0" w:space="0" w:color="auto"/>
        <w:right w:val="none" w:sz="0" w:space="0" w:color="auto"/>
      </w:divBdr>
    </w:div>
    <w:div w:id="231278705">
      <w:bodyDiv w:val="1"/>
      <w:marLeft w:val="0"/>
      <w:marRight w:val="0"/>
      <w:marTop w:val="0"/>
      <w:marBottom w:val="0"/>
      <w:divBdr>
        <w:top w:val="none" w:sz="0" w:space="0" w:color="auto"/>
        <w:left w:val="none" w:sz="0" w:space="0" w:color="auto"/>
        <w:bottom w:val="none" w:sz="0" w:space="0" w:color="auto"/>
        <w:right w:val="none" w:sz="0" w:space="0" w:color="auto"/>
      </w:divBdr>
    </w:div>
    <w:div w:id="231307574">
      <w:bodyDiv w:val="1"/>
      <w:marLeft w:val="0"/>
      <w:marRight w:val="0"/>
      <w:marTop w:val="0"/>
      <w:marBottom w:val="0"/>
      <w:divBdr>
        <w:top w:val="none" w:sz="0" w:space="0" w:color="auto"/>
        <w:left w:val="none" w:sz="0" w:space="0" w:color="auto"/>
        <w:bottom w:val="none" w:sz="0" w:space="0" w:color="auto"/>
        <w:right w:val="none" w:sz="0" w:space="0" w:color="auto"/>
      </w:divBdr>
    </w:div>
    <w:div w:id="231502500">
      <w:bodyDiv w:val="1"/>
      <w:marLeft w:val="0"/>
      <w:marRight w:val="0"/>
      <w:marTop w:val="0"/>
      <w:marBottom w:val="0"/>
      <w:divBdr>
        <w:top w:val="none" w:sz="0" w:space="0" w:color="auto"/>
        <w:left w:val="none" w:sz="0" w:space="0" w:color="auto"/>
        <w:bottom w:val="none" w:sz="0" w:space="0" w:color="auto"/>
        <w:right w:val="none" w:sz="0" w:space="0" w:color="auto"/>
      </w:divBdr>
    </w:div>
    <w:div w:id="231626636">
      <w:bodyDiv w:val="1"/>
      <w:marLeft w:val="0"/>
      <w:marRight w:val="0"/>
      <w:marTop w:val="0"/>
      <w:marBottom w:val="0"/>
      <w:divBdr>
        <w:top w:val="none" w:sz="0" w:space="0" w:color="auto"/>
        <w:left w:val="none" w:sz="0" w:space="0" w:color="auto"/>
        <w:bottom w:val="none" w:sz="0" w:space="0" w:color="auto"/>
        <w:right w:val="none" w:sz="0" w:space="0" w:color="auto"/>
      </w:divBdr>
    </w:div>
    <w:div w:id="231701360">
      <w:bodyDiv w:val="1"/>
      <w:marLeft w:val="0"/>
      <w:marRight w:val="0"/>
      <w:marTop w:val="0"/>
      <w:marBottom w:val="0"/>
      <w:divBdr>
        <w:top w:val="none" w:sz="0" w:space="0" w:color="auto"/>
        <w:left w:val="none" w:sz="0" w:space="0" w:color="auto"/>
        <w:bottom w:val="none" w:sz="0" w:space="0" w:color="auto"/>
        <w:right w:val="none" w:sz="0" w:space="0" w:color="auto"/>
      </w:divBdr>
    </w:div>
    <w:div w:id="231739160">
      <w:bodyDiv w:val="1"/>
      <w:marLeft w:val="0"/>
      <w:marRight w:val="0"/>
      <w:marTop w:val="0"/>
      <w:marBottom w:val="0"/>
      <w:divBdr>
        <w:top w:val="none" w:sz="0" w:space="0" w:color="auto"/>
        <w:left w:val="none" w:sz="0" w:space="0" w:color="auto"/>
        <w:bottom w:val="none" w:sz="0" w:space="0" w:color="auto"/>
        <w:right w:val="none" w:sz="0" w:space="0" w:color="auto"/>
      </w:divBdr>
    </w:div>
    <w:div w:id="232009412">
      <w:bodyDiv w:val="1"/>
      <w:marLeft w:val="0"/>
      <w:marRight w:val="0"/>
      <w:marTop w:val="0"/>
      <w:marBottom w:val="0"/>
      <w:divBdr>
        <w:top w:val="none" w:sz="0" w:space="0" w:color="auto"/>
        <w:left w:val="none" w:sz="0" w:space="0" w:color="auto"/>
        <w:bottom w:val="none" w:sz="0" w:space="0" w:color="auto"/>
        <w:right w:val="none" w:sz="0" w:space="0" w:color="auto"/>
      </w:divBdr>
    </w:div>
    <w:div w:id="232083073">
      <w:bodyDiv w:val="1"/>
      <w:marLeft w:val="0"/>
      <w:marRight w:val="0"/>
      <w:marTop w:val="0"/>
      <w:marBottom w:val="0"/>
      <w:divBdr>
        <w:top w:val="none" w:sz="0" w:space="0" w:color="auto"/>
        <w:left w:val="none" w:sz="0" w:space="0" w:color="auto"/>
        <w:bottom w:val="none" w:sz="0" w:space="0" w:color="auto"/>
        <w:right w:val="none" w:sz="0" w:space="0" w:color="auto"/>
      </w:divBdr>
    </w:div>
    <w:div w:id="232155958">
      <w:bodyDiv w:val="1"/>
      <w:marLeft w:val="0"/>
      <w:marRight w:val="0"/>
      <w:marTop w:val="0"/>
      <w:marBottom w:val="0"/>
      <w:divBdr>
        <w:top w:val="none" w:sz="0" w:space="0" w:color="auto"/>
        <w:left w:val="none" w:sz="0" w:space="0" w:color="auto"/>
        <w:bottom w:val="none" w:sz="0" w:space="0" w:color="auto"/>
        <w:right w:val="none" w:sz="0" w:space="0" w:color="auto"/>
      </w:divBdr>
    </w:div>
    <w:div w:id="232159474">
      <w:bodyDiv w:val="1"/>
      <w:marLeft w:val="0"/>
      <w:marRight w:val="0"/>
      <w:marTop w:val="0"/>
      <w:marBottom w:val="0"/>
      <w:divBdr>
        <w:top w:val="none" w:sz="0" w:space="0" w:color="auto"/>
        <w:left w:val="none" w:sz="0" w:space="0" w:color="auto"/>
        <w:bottom w:val="none" w:sz="0" w:space="0" w:color="auto"/>
        <w:right w:val="none" w:sz="0" w:space="0" w:color="auto"/>
      </w:divBdr>
    </w:div>
    <w:div w:id="232206415">
      <w:bodyDiv w:val="1"/>
      <w:marLeft w:val="0"/>
      <w:marRight w:val="0"/>
      <w:marTop w:val="0"/>
      <w:marBottom w:val="0"/>
      <w:divBdr>
        <w:top w:val="none" w:sz="0" w:space="0" w:color="auto"/>
        <w:left w:val="none" w:sz="0" w:space="0" w:color="auto"/>
        <w:bottom w:val="none" w:sz="0" w:space="0" w:color="auto"/>
        <w:right w:val="none" w:sz="0" w:space="0" w:color="auto"/>
      </w:divBdr>
    </w:div>
    <w:div w:id="232279326">
      <w:bodyDiv w:val="1"/>
      <w:marLeft w:val="0"/>
      <w:marRight w:val="0"/>
      <w:marTop w:val="0"/>
      <w:marBottom w:val="0"/>
      <w:divBdr>
        <w:top w:val="none" w:sz="0" w:space="0" w:color="auto"/>
        <w:left w:val="none" w:sz="0" w:space="0" w:color="auto"/>
        <w:bottom w:val="none" w:sz="0" w:space="0" w:color="auto"/>
        <w:right w:val="none" w:sz="0" w:space="0" w:color="auto"/>
      </w:divBdr>
    </w:div>
    <w:div w:id="232357649">
      <w:bodyDiv w:val="1"/>
      <w:marLeft w:val="0"/>
      <w:marRight w:val="0"/>
      <w:marTop w:val="0"/>
      <w:marBottom w:val="0"/>
      <w:divBdr>
        <w:top w:val="none" w:sz="0" w:space="0" w:color="auto"/>
        <w:left w:val="none" w:sz="0" w:space="0" w:color="auto"/>
        <w:bottom w:val="none" w:sz="0" w:space="0" w:color="auto"/>
        <w:right w:val="none" w:sz="0" w:space="0" w:color="auto"/>
      </w:divBdr>
    </w:div>
    <w:div w:id="232399147">
      <w:bodyDiv w:val="1"/>
      <w:marLeft w:val="0"/>
      <w:marRight w:val="0"/>
      <w:marTop w:val="0"/>
      <w:marBottom w:val="0"/>
      <w:divBdr>
        <w:top w:val="none" w:sz="0" w:space="0" w:color="auto"/>
        <w:left w:val="none" w:sz="0" w:space="0" w:color="auto"/>
        <w:bottom w:val="none" w:sz="0" w:space="0" w:color="auto"/>
        <w:right w:val="none" w:sz="0" w:space="0" w:color="auto"/>
      </w:divBdr>
    </w:div>
    <w:div w:id="232592977">
      <w:bodyDiv w:val="1"/>
      <w:marLeft w:val="0"/>
      <w:marRight w:val="0"/>
      <w:marTop w:val="0"/>
      <w:marBottom w:val="0"/>
      <w:divBdr>
        <w:top w:val="none" w:sz="0" w:space="0" w:color="auto"/>
        <w:left w:val="none" w:sz="0" w:space="0" w:color="auto"/>
        <w:bottom w:val="none" w:sz="0" w:space="0" w:color="auto"/>
        <w:right w:val="none" w:sz="0" w:space="0" w:color="auto"/>
      </w:divBdr>
    </w:div>
    <w:div w:id="232593534">
      <w:bodyDiv w:val="1"/>
      <w:marLeft w:val="0"/>
      <w:marRight w:val="0"/>
      <w:marTop w:val="0"/>
      <w:marBottom w:val="0"/>
      <w:divBdr>
        <w:top w:val="none" w:sz="0" w:space="0" w:color="auto"/>
        <w:left w:val="none" w:sz="0" w:space="0" w:color="auto"/>
        <w:bottom w:val="none" w:sz="0" w:space="0" w:color="auto"/>
        <w:right w:val="none" w:sz="0" w:space="0" w:color="auto"/>
      </w:divBdr>
    </w:div>
    <w:div w:id="232593970">
      <w:bodyDiv w:val="1"/>
      <w:marLeft w:val="0"/>
      <w:marRight w:val="0"/>
      <w:marTop w:val="0"/>
      <w:marBottom w:val="0"/>
      <w:divBdr>
        <w:top w:val="none" w:sz="0" w:space="0" w:color="auto"/>
        <w:left w:val="none" w:sz="0" w:space="0" w:color="auto"/>
        <w:bottom w:val="none" w:sz="0" w:space="0" w:color="auto"/>
        <w:right w:val="none" w:sz="0" w:space="0" w:color="auto"/>
      </w:divBdr>
    </w:div>
    <w:div w:id="232594290">
      <w:bodyDiv w:val="1"/>
      <w:marLeft w:val="0"/>
      <w:marRight w:val="0"/>
      <w:marTop w:val="0"/>
      <w:marBottom w:val="0"/>
      <w:divBdr>
        <w:top w:val="none" w:sz="0" w:space="0" w:color="auto"/>
        <w:left w:val="none" w:sz="0" w:space="0" w:color="auto"/>
        <w:bottom w:val="none" w:sz="0" w:space="0" w:color="auto"/>
        <w:right w:val="none" w:sz="0" w:space="0" w:color="auto"/>
      </w:divBdr>
    </w:div>
    <w:div w:id="232662316">
      <w:bodyDiv w:val="1"/>
      <w:marLeft w:val="0"/>
      <w:marRight w:val="0"/>
      <w:marTop w:val="0"/>
      <w:marBottom w:val="0"/>
      <w:divBdr>
        <w:top w:val="none" w:sz="0" w:space="0" w:color="auto"/>
        <w:left w:val="none" w:sz="0" w:space="0" w:color="auto"/>
        <w:bottom w:val="none" w:sz="0" w:space="0" w:color="auto"/>
        <w:right w:val="none" w:sz="0" w:space="0" w:color="auto"/>
      </w:divBdr>
    </w:div>
    <w:div w:id="232665520">
      <w:bodyDiv w:val="1"/>
      <w:marLeft w:val="0"/>
      <w:marRight w:val="0"/>
      <w:marTop w:val="0"/>
      <w:marBottom w:val="0"/>
      <w:divBdr>
        <w:top w:val="none" w:sz="0" w:space="0" w:color="auto"/>
        <w:left w:val="none" w:sz="0" w:space="0" w:color="auto"/>
        <w:bottom w:val="none" w:sz="0" w:space="0" w:color="auto"/>
        <w:right w:val="none" w:sz="0" w:space="0" w:color="auto"/>
      </w:divBdr>
    </w:div>
    <w:div w:id="232742623">
      <w:bodyDiv w:val="1"/>
      <w:marLeft w:val="0"/>
      <w:marRight w:val="0"/>
      <w:marTop w:val="0"/>
      <w:marBottom w:val="0"/>
      <w:divBdr>
        <w:top w:val="none" w:sz="0" w:space="0" w:color="auto"/>
        <w:left w:val="none" w:sz="0" w:space="0" w:color="auto"/>
        <w:bottom w:val="none" w:sz="0" w:space="0" w:color="auto"/>
        <w:right w:val="none" w:sz="0" w:space="0" w:color="auto"/>
      </w:divBdr>
    </w:div>
    <w:div w:id="232812992">
      <w:bodyDiv w:val="1"/>
      <w:marLeft w:val="0"/>
      <w:marRight w:val="0"/>
      <w:marTop w:val="0"/>
      <w:marBottom w:val="0"/>
      <w:divBdr>
        <w:top w:val="none" w:sz="0" w:space="0" w:color="auto"/>
        <w:left w:val="none" w:sz="0" w:space="0" w:color="auto"/>
        <w:bottom w:val="none" w:sz="0" w:space="0" w:color="auto"/>
        <w:right w:val="none" w:sz="0" w:space="0" w:color="auto"/>
      </w:divBdr>
    </w:div>
    <w:div w:id="232814037">
      <w:bodyDiv w:val="1"/>
      <w:marLeft w:val="0"/>
      <w:marRight w:val="0"/>
      <w:marTop w:val="0"/>
      <w:marBottom w:val="0"/>
      <w:divBdr>
        <w:top w:val="none" w:sz="0" w:space="0" w:color="auto"/>
        <w:left w:val="none" w:sz="0" w:space="0" w:color="auto"/>
        <w:bottom w:val="none" w:sz="0" w:space="0" w:color="auto"/>
        <w:right w:val="none" w:sz="0" w:space="0" w:color="auto"/>
      </w:divBdr>
    </w:div>
    <w:div w:id="232857512">
      <w:bodyDiv w:val="1"/>
      <w:marLeft w:val="0"/>
      <w:marRight w:val="0"/>
      <w:marTop w:val="0"/>
      <w:marBottom w:val="0"/>
      <w:divBdr>
        <w:top w:val="none" w:sz="0" w:space="0" w:color="auto"/>
        <w:left w:val="none" w:sz="0" w:space="0" w:color="auto"/>
        <w:bottom w:val="none" w:sz="0" w:space="0" w:color="auto"/>
        <w:right w:val="none" w:sz="0" w:space="0" w:color="auto"/>
      </w:divBdr>
    </w:div>
    <w:div w:id="233006533">
      <w:bodyDiv w:val="1"/>
      <w:marLeft w:val="0"/>
      <w:marRight w:val="0"/>
      <w:marTop w:val="0"/>
      <w:marBottom w:val="0"/>
      <w:divBdr>
        <w:top w:val="none" w:sz="0" w:space="0" w:color="auto"/>
        <w:left w:val="none" w:sz="0" w:space="0" w:color="auto"/>
        <w:bottom w:val="none" w:sz="0" w:space="0" w:color="auto"/>
        <w:right w:val="none" w:sz="0" w:space="0" w:color="auto"/>
      </w:divBdr>
    </w:div>
    <w:div w:id="233046819">
      <w:bodyDiv w:val="1"/>
      <w:marLeft w:val="0"/>
      <w:marRight w:val="0"/>
      <w:marTop w:val="0"/>
      <w:marBottom w:val="0"/>
      <w:divBdr>
        <w:top w:val="none" w:sz="0" w:space="0" w:color="auto"/>
        <w:left w:val="none" w:sz="0" w:space="0" w:color="auto"/>
        <w:bottom w:val="none" w:sz="0" w:space="0" w:color="auto"/>
        <w:right w:val="none" w:sz="0" w:space="0" w:color="auto"/>
      </w:divBdr>
    </w:div>
    <w:div w:id="233126391">
      <w:bodyDiv w:val="1"/>
      <w:marLeft w:val="0"/>
      <w:marRight w:val="0"/>
      <w:marTop w:val="0"/>
      <w:marBottom w:val="0"/>
      <w:divBdr>
        <w:top w:val="none" w:sz="0" w:space="0" w:color="auto"/>
        <w:left w:val="none" w:sz="0" w:space="0" w:color="auto"/>
        <w:bottom w:val="none" w:sz="0" w:space="0" w:color="auto"/>
        <w:right w:val="none" w:sz="0" w:space="0" w:color="auto"/>
      </w:divBdr>
    </w:div>
    <w:div w:id="233130342">
      <w:bodyDiv w:val="1"/>
      <w:marLeft w:val="0"/>
      <w:marRight w:val="0"/>
      <w:marTop w:val="0"/>
      <w:marBottom w:val="0"/>
      <w:divBdr>
        <w:top w:val="none" w:sz="0" w:space="0" w:color="auto"/>
        <w:left w:val="none" w:sz="0" w:space="0" w:color="auto"/>
        <w:bottom w:val="none" w:sz="0" w:space="0" w:color="auto"/>
        <w:right w:val="none" w:sz="0" w:space="0" w:color="auto"/>
      </w:divBdr>
    </w:div>
    <w:div w:id="233203334">
      <w:bodyDiv w:val="1"/>
      <w:marLeft w:val="0"/>
      <w:marRight w:val="0"/>
      <w:marTop w:val="0"/>
      <w:marBottom w:val="0"/>
      <w:divBdr>
        <w:top w:val="none" w:sz="0" w:space="0" w:color="auto"/>
        <w:left w:val="none" w:sz="0" w:space="0" w:color="auto"/>
        <w:bottom w:val="none" w:sz="0" w:space="0" w:color="auto"/>
        <w:right w:val="none" w:sz="0" w:space="0" w:color="auto"/>
      </w:divBdr>
    </w:div>
    <w:div w:id="233246022">
      <w:bodyDiv w:val="1"/>
      <w:marLeft w:val="0"/>
      <w:marRight w:val="0"/>
      <w:marTop w:val="0"/>
      <w:marBottom w:val="0"/>
      <w:divBdr>
        <w:top w:val="none" w:sz="0" w:space="0" w:color="auto"/>
        <w:left w:val="none" w:sz="0" w:space="0" w:color="auto"/>
        <w:bottom w:val="none" w:sz="0" w:space="0" w:color="auto"/>
        <w:right w:val="none" w:sz="0" w:space="0" w:color="auto"/>
      </w:divBdr>
    </w:div>
    <w:div w:id="233318352">
      <w:bodyDiv w:val="1"/>
      <w:marLeft w:val="0"/>
      <w:marRight w:val="0"/>
      <w:marTop w:val="0"/>
      <w:marBottom w:val="0"/>
      <w:divBdr>
        <w:top w:val="none" w:sz="0" w:space="0" w:color="auto"/>
        <w:left w:val="none" w:sz="0" w:space="0" w:color="auto"/>
        <w:bottom w:val="none" w:sz="0" w:space="0" w:color="auto"/>
        <w:right w:val="none" w:sz="0" w:space="0" w:color="auto"/>
      </w:divBdr>
    </w:div>
    <w:div w:id="233397591">
      <w:bodyDiv w:val="1"/>
      <w:marLeft w:val="0"/>
      <w:marRight w:val="0"/>
      <w:marTop w:val="0"/>
      <w:marBottom w:val="0"/>
      <w:divBdr>
        <w:top w:val="none" w:sz="0" w:space="0" w:color="auto"/>
        <w:left w:val="none" w:sz="0" w:space="0" w:color="auto"/>
        <w:bottom w:val="none" w:sz="0" w:space="0" w:color="auto"/>
        <w:right w:val="none" w:sz="0" w:space="0" w:color="auto"/>
      </w:divBdr>
    </w:div>
    <w:div w:id="233470611">
      <w:bodyDiv w:val="1"/>
      <w:marLeft w:val="0"/>
      <w:marRight w:val="0"/>
      <w:marTop w:val="0"/>
      <w:marBottom w:val="0"/>
      <w:divBdr>
        <w:top w:val="none" w:sz="0" w:space="0" w:color="auto"/>
        <w:left w:val="none" w:sz="0" w:space="0" w:color="auto"/>
        <w:bottom w:val="none" w:sz="0" w:space="0" w:color="auto"/>
        <w:right w:val="none" w:sz="0" w:space="0" w:color="auto"/>
      </w:divBdr>
    </w:div>
    <w:div w:id="233584220">
      <w:bodyDiv w:val="1"/>
      <w:marLeft w:val="0"/>
      <w:marRight w:val="0"/>
      <w:marTop w:val="0"/>
      <w:marBottom w:val="0"/>
      <w:divBdr>
        <w:top w:val="none" w:sz="0" w:space="0" w:color="auto"/>
        <w:left w:val="none" w:sz="0" w:space="0" w:color="auto"/>
        <w:bottom w:val="none" w:sz="0" w:space="0" w:color="auto"/>
        <w:right w:val="none" w:sz="0" w:space="0" w:color="auto"/>
      </w:divBdr>
    </w:div>
    <w:div w:id="233584649">
      <w:bodyDiv w:val="1"/>
      <w:marLeft w:val="0"/>
      <w:marRight w:val="0"/>
      <w:marTop w:val="0"/>
      <w:marBottom w:val="0"/>
      <w:divBdr>
        <w:top w:val="none" w:sz="0" w:space="0" w:color="auto"/>
        <w:left w:val="none" w:sz="0" w:space="0" w:color="auto"/>
        <w:bottom w:val="none" w:sz="0" w:space="0" w:color="auto"/>
        <w:right w:val="none" w:sz="0" w:space="0" w:color="auto"/>
      </w:divBdr>
    </w:div>
    <w:div w:id="233593661">
      <w:bodyDiv w:val="1"/>
      <w:marLeft w:val="0"/>
      <w:marRight w:val="0"/>
      <w:marTop w:val="0"/>
      <w:marBottom w:val="0"/>
      <w:divBdr>
        <w:top w:val="none" w:sz="0" w:space="0" w:color="auto"/>
        <w:left w:val="none" w:sz="0" w:space="0" w:color="auto"/>
        <w:bottom w:val="none" w:sz="0" w:space="0" w:color="auto"/>
        <w:right w:val="none" w:sz="0" w:space="0" w:color="auto"/>
      </w:divBdr>
    </w:div>
    <w:div w:id="233662348">
      <w:bodyDiv w:val="1"/>
      <w:marLeft w:val="0"/>
      <w:marRight w:val="0"/>
      <w:marTop w:val="0"/>
      <w:marBottom w:val="0"/>
      <w:divBdr>
        <w:top w:val="none" w:sz="0" w:space="0" w:color="auto"/>
        <w:left w:val="none" w:sz="0" w:space="0" w:color="auto"/>
        <w:bottom w:val="none" w:sz="0" w:space="0" w:color="auto"/>
        <w:right w:val="none" w:sz="0" w:space="0" w:color="auto"/>
      </w:divBdr>
    </w:div>
    <w:div w:id="233710860">
      <w:bodyDiv w:val="1"/>
      <w:marLeft w:val="0"/>
      <w:marRight w:val="0"/>
      <w:marTop w:val="0"/>
      <w:marBottom w:val="0"/>
      <w:divBdr>
        <w:top w:val="none" w:sz="0" w:space="0" w:color="auto"/>
        <w:left w:val="none" w:sz="0" w:space="0" w:color="auto"/>
        <w:bottom w:val="none" w:sz="0" w:space="0" w:color="auto"/>
        <w:right w:val="none" w:sz="0" w:space="0" w:color="auto"/>
      </w:divBdr>
    </w:div>
    <w:div w:id="233785347">
      <w:bodyDiv w:val="1"/>
      <w:marLeft w:val="0"/>
      <w:marRight w:val="0"/>
      <w:marTop w:val="0"/>
      <w:marBottom w:val="0"/>
      <w:divBdr>
        <w:top w:val="none" w:sz="0" w:space="0" w:color="auto"/>
        <w:left w:val="none" w:sz="0" w:space="0" w:color="auto"/>
        <w:bottom w:val="none" w:sz="0" w:space="0" w:color="auto"/>
        <w:right w:val="none" w:sz="0" w:space="0" w:color="auto"/>
      </w:divBdr>
    </w:div>
    <w:div w:id="233975379">
      <w:bodyDiv w:val="1"/>
      <w:marLeft w:val="0"/>
      <w:marRight w:val="0"/>
      <w:marTop w:val="0"/>
      <w:marBottom w:val="0"/>
      <w:divBdr>
        <w:top w:val="none" w:sz="0" w:space="0" w:color="auto"/>
        <w:left w:val="none" w:sz="0" w:space="0" w:color="auto"/>
        <w:bottom w:val="none" w:sz="0" w:space="0" w:color="auto"/>
        <w:right w:val="none" w:sz="0" w:space="0" w:color="auto"/>
      </w:divBdr>
    </w:div>
    <w:div w:id="233975909">
      <w:bodyDiv w:val="1"/>
      <w:marLeft w:val="0"/>
      <w:marRight w:val="0"/>
      <w:marTop w:val="0"/>
      <w:marBottom w:val="0"/>
      <w:divBdr>
        <w:top w:val="none" w:sz="0" w:space="0" w:color="auto"/>
        <w:left w:val="none" w:sz="0" w:space="0" w:color="auto"/>
        <w:bottom w:val="none" w:sz="0" w:space="0" w:color="auto"/>
        <w:right w:val="none" w:sz="0" w:space="0" w:color="auto"/>
      </w:divBdr>
    </w:div>
    <w:div w:id="234046797">
      <w:bodyDiv w:val="1"/>
      <w:marLeft w:val="0"/>
      <w:marRight w:val="0"/>
      <w:marTop w:val="0"/>
      <w:marBottom w:val="0"/>
      <w:divBdr>
        <w:top w:val="none" w:sz="0" w:space="0" w:color="auto"/>
        <w:left w:val="none" w:sz="0" w:space="0" w:color="auto"/>
        <w:bottom w:val="none" w:sz="0" w:space="0" w:color="auto"/>
        <w:right w:val="none" w:sz="0" w:space="0" w:color="auto"/>
      </w:divBdr>
    </w:div>
    <w:div w:id="234046960">
      <w:bodyDiv w:val="1"/>
      <w:marLeft w:val="0"/>
      <w:marRight w:val="0"/>
      <w:marTop w:val="0"/>
      <w:marBottom w:val="0"/>
      <w:divBdr>
        <w:top w:val="none" w:sz="0" w:space="0" w:color="auto"/>
        <w:left w:val="none" w:sz="0" w:space="0" w:color="auto"/>
        <w:bottom w:val="none" w:sz="0" w:space="0" w:color="auto"/>
        <w:right w:val="none" w:sz="0" w:space="0" w:color="auto"/>
      </w:divBdr>
    </w:div>
    <w:div w:id="234096417">
      <w:bodyDiv w:val="1"/>
      <w:marLeft w:val="0"/>
      <w:marRight w:val="0"/>
      <w:marTop w:val="0"/>
      <w:marBottom w:val="0"/>
      <w:divBdr>
        <w:top w:val="none" w:sz="0" w:space="0" w:color="auto"/>
        <w:left w:val="none" w:sz="0" w:space="0" w:color="auto"/>
        <w:bottom w:val="none" w:sz="0" w:space="0" w:color="auto"/>
        <w:right w:val="none" w:sz="0" w:space="0" w:color="auto"/>
      </w:divBdr>
    </w:div>
    <w:div w:id="234243102">
      <w:bodyDiv w:val="1"/>
      <w:marLeft w:val="0"/>
      <w:marRight w:val="0"/>
      <w:marTop w:val="0"/>
      <w:marBottom w:val="0"/>
      <w:divBdr>
        <w:top w:val="none" w:sz="0" w:space="0" w:color="auto"/>
        <w:left w:val="none" w:sz="0" w:space="0" w:color="auto"/>
        <w:bottom w:val="none" w:sz="0" w:space="0" w:color="auto"/>
        <w:right w:val="none" w:sz="0" w:space="0" w:color="auto"/>
      </w:divBdr>
    </w:div>
    <w:div w:id="234245235">
      <w:bodyDiv w:val="1"/>
      <w:marLeft w:val="0"/>
      <w:marRight w:val="0"/>
      <w:marTop w:val="0"/>
      <w:marBottom w:val="0"/>
      <w:divBdr>
        <w:top w:val="none" w:sz="0" w:space="0" w:color="auto"/>
        <w:left w:val="none" w:sz="0" w:space="0" w:color="auto"/>
        <w:bottom w:val="none" w:sz="0" w:space="0" w:color="auto"/>
        <w:right w:val="none" w:sz="0" w:space="0" w:color="auto"/>
      </w:divBdr>
    </w:div>
    <w:div w:id="234319423">
      <w:bodyDiv w:val="1"/>
      <w:marLeft w:val="0"/>
      <w:marRight w:val="0"/>
      <w:marTop w:val="0"/>
      <w:marBottom w:val="0"/>
      <w:divBdr>
        <w:top w:val="none" w:sz="0" w:space="0" w:color="auto"/>
        <w:left w:val="none" w:sz="0" w:space="0" w:color="auto"/>
        <w:bottom w:val="none" w:sz="0" w:space="0" w:color="auto"/>
        <w:right w:val="none" w:sz="0" w:space="0" w:color="auto"/>
      </w:divBdr>
    </w:div>
    <w:div w:id="234514003">
      <w:bodyDiv w:val="1"/>
      <w:marLeft w:val="0"/>
      <w:marRight w:val="0"/>
      <w:marTop w:val="0"/>
      <w:marBottom w:val="0"/>
      <w:divBdr>
        <w:top w:val="none" w:sz="0" w:space="0" w:color="auto"/>
        <w:left w:val="none" w:sz="0" w:space="0" w:color="auto"/>
        <w:bottom w:val="none" w:sz="0" w:space="0" w:color="auto"/>
        <w:right w:val="none" w:sz="0" w:space="0" w:color="auto"/>
      </w:divBdr>
    </w:div>
    <w:div w:id="234630987">
      <w:bodyDiv w:val="1"/>
      <w:marLeft w:val="0"/>
      <w:marRight w:val="0"/>
      <w:marTop w:val="0"/>
      <w:marBottom w:val="0"/>
      <w:divBdr>
        <w:top w:val="none" w:sz="0" w:space="0" w:color="auto"/>
        <w:left w:val="none" w:sz="0" w:space="0" w:color="auto"/>
        <w:bottom w:val="none" w:sz="0" w:space="0" w:color="auto"/>
        <w:right w:val="none" w:sz="0" w:space="0" w:color="auto"/>
      </w:divBdr>
    </w:div>
    <w:div w:id="234635600">
      <w:bodyDiv w:val="1"/>
      <w:marLeft w:val="0"/>
      <w:marRight w:val="0"/>
      <w:marTop w:val="0"/>
      <w:marBottom w:val="0"/>
      <w:divBdr>
        <w:top w:val="none" w:sz="0" w:space="0" w:color="auto"/>
        <w:left w:val="none" w:sz="0" w:space="0" w:color="auto"/>
        <w:bottom w:val="none" w:sz="0" w:space="0" w:color="auto"/>
        <w:right w:val="none" w:sz="0" w:space="0" w:color="auto"/>
      </w:divBdr>
    </w:div>
    <w:div w:id="234946881">
      <w:bodyDiv w:val="1"/>
      <w:marLeft w:val="0"/>
      <w:marRight w:val="0"/>
      <w:marTop w:val="0"/>
      <w:marBottom w:val="0"/>
      <w:divBdr>
        <w:top w:val="none" w:sz="0" w:space="0" w:color="auto"/>
        <w:left w:val="none" w:sz="0" w:space="0" w:color="auto"/>
        <w:bottom w:val="none" w:sz="0" w:space="0" w:color="auto"/>
        <w:right w:val="none" w:sz="0" w:space="0" w:color="auto"/>
      </w:divBdr>
    </w:div>
    <w:div w:id="235015620">
      <w:bodyDiv w:val="1"/>
      <w:marLeft w:val="0"/>
      <w:marRight w:val="0"/>
      <w:marTop w:val="0"/>
      <w:marBottom w:val="0"/>
      <w:divBdr>
        <w:top w:val="none" w:sz="0" w:space="0" w:color="auto"/>
        <w:left w:val="none" w:sz="0" w:space="0" w:color="auto"/>
        <w:bottom w:val="none" w:sz="0" w:space="0" w:color="auto"/>
        <w:right w:val="none" w:sz="0" w:space="0" w:color="auto"/>
      </w:divBdr>
    </w:div>
    <w:div w:id="235095984">
      <w:bodyDiv w:val="1"/>
      <w:marLeft w:val="0"/>
      <w:marRight w:val="0"/>
      <w:marTop w:val="0"/>
      <w:marBottom w:val="0"/>
      <w:divBdr>
        <w:top w:val="none" w:sz="0" w:space="0" w:color="auto"/>
        <w:left w:val="none" w:sz="0" w:space="0" w:color="auto"/>
        <w:bottom w:val="none" w:sz="0" w:space="0" w:color="auto"/>
        <w:right w:val="none" w:sz="0" w:space="0" w:color="auto"/>
      </w:divBdr>
    </w:div>
    <w:div w:id="235240215">
      <w:bodyDiv w:val="1"/>
      <w:marLeft w:val="0"/>
      <w:marRight w:val="0"/>
      <w:marTop w:val="0"/>
      <w:marBottom w:val="0"/>
      <w:divBdr>
        <w:top w:val="none" w:sz="0" w:space="0" w:color="auto"/>
        <w:left w:val="none" w:sz="0" w:space="0" w:color="auto"/>
        <w:bottom w:val="none" w:sz="0" w:space="0" w:color="auto"/>
        <w:right w:val="none" w:sz="0" w:space="0" w:color="auto"/>
      </w:divBdr>
    </w:div>
    <w:div w:id="235281551">
      <w:bodyDiv w:val="1"/>
      <w:marLeft w:val="0"/>
      <w:marRight w:val="0"/>
      <w:marTop w:val="0"/>
      <w:marBottom w:val="0"/>
      <w:divBdr>
        <w:top w:val="none" w:sz="0" w:space="0" w:color="auto"/>
        <w:left w:val="none" w:sz="0" w:space="0" w:color="auto"/>
        <w:bottom w:val="none" w:sz="0" w:space="0" w:color="auto"/>
        <w:right w:val="none" w:sz="0" w:space="0" w:color="auto"/>
      </w:divBdr>
    </w:div>
    <w:div w:id="235365733">
      <w:bodyDiv w:val="1"/>
      <w:marLeft w:val="0"/>
      <w:marRight w:val="0"/>
      <w:marTop w:val="0"/>
      <w:marBottom w:val="0"/>
      <w:divBdr>
        <w:top w:val="none" w:sz="0" w:space="0" w:color="auto"/>
        <w:left w:val="none" w:sz="0" w:space="0" w:color="auto"/>
        <w:bottom w:val="none" w:sz="0" w:space="0" w:color="auto"/>
        <w:right w:val="none" w:sz="0" w:space="0" w:color="auto"/>
      </w:divBdr>
    </w:div>
    <w:div w:id="235435022">
      <w:bodyDiv w:val="1"/>
      <w:marLeft w:val="0"/>
      <w:marRight w:val="0"/>
      <w:marTop w:val="0"/>
      <w:marBottom w:val="0"/>
      <w:divBdr>
        <w:top w:val="none" w:sz="0" w:space="0" w:color="auto"/>
        <w:left w:val="none" w:sz="0" w:space="0" w:color="auto"/>
        <w:bottom w:val="none" w:sz="0" w:space="0" w:color="auto"/>
        <w:right w:val="none" w:sz="0" w:space="0" w:color="auto"/>
      </w:divBdr>
    </w:div>
    <w:div w:id="235555121">
      <w:bodyDiv w:val="1"/>
      <w:marLeft w:val="0"/>
      <w:marRight w:val="0"/>
      <w:marTop w:val="0"/>
      <w:marBottom w:val="0"/>
      <w:divBdr>
        <w:top w:val="none" w:sz="0" w:space="0" w:color="auto"/>
        <w:left w:val="none" w:sz="0" w:space="0" w:color="auto"/>
        <w:bottom w:val="none" w:sz="0" w:space="0" w:color="auto"/>
        <w:right w:val="none" w:sz="0" w:space="0" w:color="auto"/>
      </w:divBdr>
    </w:div>
    <w:div w:id="235629853">
      <w:bodyDiv w:val="1"/>
      <w:marLeft w:val="0"/>
      <w:marRight w:val="0"/>
      <w:marTop w:val="0"/>
      <w:marBottom w:val="0"/>
      <w:divBdr>
        <w:top w:val="none" w:sz="0" w:space="0" w:color="auto"/>
        <w:left w:val="none" w:sz="0" w:space="0" w:color="auto"/>
        <w:bottom w:val="none" w:sz="0" w:space="0" w:color="auto"/>
        <w:right w:val="none" w:sz="0" w:space="0" w:color="auto"/>
      </w:divBdr>
    </w:div>
    <w:div w:id="235822123">
      <w:bodyDiv w:val="1"/>
      <w:marLeft w:val="0"/>
      <w:marRight w:val="0"/>
      <w:marTop w:val="0"/>
      <w:marBottom w:val="0"/>
      <w:divBdr>
        <w:top w:val="none" w:sz="0" w:space="0" w:color="auto"/>
        <w:left w:val="none" w:sz="0" w:space="0" w:color="auto"/>
        <w:bottom w:val="none" w:sz="0" w:space="0" w:color="auto"/>
        <w:right w:val="none" w:sz="0" w:space="0" w:color="auto"/>
      </w:divBdr>
    </w:div>
    <w:div w:id="235826042">
      <w:bodyDiv w:val="1"/>
      <w:marLeft w:val="0"/>
      <w:marRight w:val="0"/>
      <w:marTop w:val="0"/>
      <w:marBottom w:val="0"/>
      <w:divBdr>
        <w:top w:val="none" w:sz="0" w:space="0" w:color="auto"/>
        <w:left w:val="none" w:sz="0" w:space="0" w:color="auto"/>
        <w:bottom w:val="none" w:sz="0" w:space="0" w:color="auto"/>
        <w:right w:val="none" w:sz="0" w:space="0" w:color="auto"/>
      </w:divBdr>
    </w:div>
    <w:div w:id="235942306">
      <w:bodyDiv w:val="1"/>
      <w:marLeft w:val="0"/>
      <w:marRight w:val="0"/>
      <w:marTop w:val="0"/>
      <w:marBottom w:val="0"/>
      <w:divBdr>
        <w:top w:val="none" w:sz="0" w:space="0" w:color="auto"/>
        <w:left w:val="none" w:sz="0" w:space="0" w:color="auto"/>
        <w:bottom w:val="none" w:sz="0" w:space="0" w:color="auto"/>
        <w:right w:val="none" w:sz="0" w:space="0" w:color="auto"/>
      </w:divBdr>
    </w:div>
    <w:div w:id="236213984">
      <w:bodyDiv w:val="1"/>
      <w:marLeft w:val="0"/>
      <w:marRight w:val="0"/>
      <w:marTop w:val="0"/>
      <w:marBottom w:val="0"/>
      <w:divBdr>
        <w:top w:val="none" w:sz="0" w:space="0" w:color="auto"/>
        <w:left w:val="none" w:sz="0" w:space="0" w:color="auto"/>
        <w:bottom w:val="none" w:sz="0" w:space="0" w:color="auto"/>
        <w:right w:val="none" w:sz="0" w:space="0" w:color="auto"/>
      </w:divBdr>
    </w:div>
    <w:div w:id="236289420">
      <w:bodyDiv w:val="1"/>
      <w:marLeft w:val="0"/>
      <w:marRight w:val="0"/>
      <w:marTop w:val="0"/>
      <w:marBottom w:val="0"/>
      <w:divBdr>
        <w:top w:val="none" w:sz="0" w:space="0" w:color="auto"/>
        <w:left w:val="none" w:sz="0" w:space="0" w:color="auto"/>
        <w:bottom w:val="none" w:sz="0" w:space="0" w:color="auto"/>
        <w:right w:val="none" w:sz="0" w:space="0" w:color="auto"/>
      </w:divBdr>
    </w:div>
    <w:div w:id="236329991">
      <w:bodyDiv w:val="1"/>
      <w:marLeft w:val="0"/>
      <w:marRight w:val="0"/>
      <w:marTop w:val="0"/>
      <w:marBottom w:val="0"/>
      <w:divBdr>
        <w:top w:val="none" w:sz="0" w:space="0" w:color="auto"/>
        <w:left w:val="none" w:sz="0" w:space="0" w:color="auto"/>
        <w:bottom w:val="none" w:sz="0" w:space="0" w:color="auto"/>
        <w:right w:val="none" w:sz="0" w:space="0" w:color="auto"/>
      </w:divBdr>
    </w:div>
    <w:div w:id="236405855">
      <w:bodyDiv w:val="1"/>
      <w:marLeft w:val="0"/>
      <w:marRight w:val="0"/>
      <w:marTop w:val="0"/>
      <w:marBottom w:val="0"/>
      <w:divBdr>
        <w:top w:val="none" w:sz="0" w:space="0" w:color="auto"/>
        <w:left w:val="none" w:sz="0" w:space="0" w:color="auto"/>
        <w:bottom w:val="none" w:sz="0" w:space="0" w:color="auto"/>
        <w:right w:val="none" w:sz="0" w:space="0" w:color="auto"/>
      </w:divBdr>
    </w:div>
    <w:div w:id="236523177">
      <w:bodyDiv w:val="1"/>
      <w:marLeft w:val="0"/>
      <w:marRight w:val="0"/>
      <w:marTop w:val="0"/>
      <w:marBottom w:val="0"/>
      <w:divBdr>
        <w:top w:val="none" w:sz="0" w:space="0" w:color="auto"/>
        <w:left w:val="none" w:sz="0" w:space="0" w:color="auto"/>
        <w:bottom w:val="none" w:sz="0" w:space="0" w:color="auto"/>
        <w:right w:val="none" w:sz="0" w:space="0" w:color="auto"/>
      </w:divBdr>
    </w:div>
    <w:div w:id="236524620">
      <w:bodyDiv w:val="1"/>
      <w:marLeft w:val="0"/>
      <w:marRight w:val="0"/>
      <w:marTop w:val="0"/>
      <w:marBottom w:val="0"/>
      <w:divBdr>
        <w:top w:val="none" w:sz="0" w:space="0" w:color="auto"/>
        <w:left w:val="none" w:sz="0" w:space="0" w:color="auto"/>
        <w:bottom w:val="none" w:sz="0" w:space="0" w:color="auto"/>
        <w:right w:val="none" w:sz="0" w:space="0" w:color="auto"/>
      </w:divBdr>
    </w:div>
    <w:div w:id="236592657">
      <w:bodyDiv w:val="1"/>
      <w:marLeft w:val="0"/>
      <w:marRight w:val="0"/>
      <w:marTop w:val="0"/>
      <w:marBottom w:val="0"/>
      <w:divBdr>
        <w:top w:val="none" w:sz="0" w:space="0" w:color="auto"/>
        <w:left w:val="none" w:sz="0" w:space="0" w:color="auto"/>
        <w:bottom w:val="none" w:sz="0" w:space="0" w:color="auto"/>
        <w:right w:val="none" w:sz="0" w:space="0" w:color="auto"/>
      </w:divBdr>
    </w:div>
    <w:div w:id="236672045">
      <w:bodyDiv w:val="1"/>
      <w:marLeft w:val="0"/>
      <w:marRight w:val="0"/>
      <w:marTop w:val="0"/>
      <w:marBottom w:val="0"/>
      <w:divBdr>
        <w:top w:val="none" w:sz="0" w:space="0" w:color="auto"/>
        <w:left w:val="none" w:sz="0" w:space="0" w:color="auto"/>
        <w:bottom w:val="none" w:sz="0" w:space="0" w:color="auto"/>
        <w:right w:val="none" w:sz="0" w:space="0" w:color="auto"/>
      </w:divBdr>
    </w:div>
    <w:div w:id="236674062">
      <w:bodyDiv w:val="1"/>
      <w:marLeft w:val="0"/>
      <w:marRight w:val="0"/>
      <w:marTop w:val="0"/>
      <w:marBottom w:val="0"/>
      <w:divBdr>
        <w:top w:val="none" w:sz="0" w:space="0" w:color="auto"/>
        <w:left w:val="none" w:sz="0" w:space="0" w:color="auto"/>
        <w:bottom w:val="none" w:sz="0" w:space="0" w:color="auto"/>
        <w:right w:val="none" w:sz="0" w:space="0" w:color="auto"/>
      </w:divBdr>
    </w:div>
    <w:div w:id="236675356">
      <w:bodyDiv w:val="1"/>
      <w:marLeft w:val="0"/>
      <w:marRight w:val="0"/>
      <w:marTop w:val="0"/>
      <w:marBottom w:val="0"/>
      <w:divBdr>
        <w:top w:val="none" w:sz="0" w:space="0" w:color="auto"/>
        <w:left w:val="none" w:sz="0" w:space="0" w:color="auto"/>
        <w:bottom w:val="none" w:sz="0" w:space="0" w:color="auto"/>
        <w:right w:val="none" w:sz="0" w:space="0" w:color="auto"/>
      </w:divBdr>
    </w:div>
    <w:div w:id="236742934">
      <w:bodyDiv w:val="1"/>
      <w:marLeft w:val="0"/>
      <w:marRight w:val="0"/>
      <w:marTop w:val="0"/>
      <w:marBottom w:val="0"/>
      <w:divBdr>
        <w:top w:val="none" w:sz="0" w:space="0" w:color="auto"/>
        <w:left w:val="none" w:sz="0" w:space="0" w:color="auto"/>
        <w:bottom w:val="none" w:sz="0" w:space="0" w:color="auto"/>
        <w:right w:val="none" w:sz="0" w:space="0" w:color="auto"/>
      </w:divBdr>
    </w:div>
    <w:div w:id="236743290">
      <w:bodyDiv w:val="1"/>
      <w:marLeft w:val="0"/>
      <w:marRight w:val="0"/>
      <w:marTop w:val="0"/>
      <w:marBottom w:val="0"/>
      <w:divBdr>
        <w:top w:val="none" w:sz="0" w:space="0" w:color="auto"/>
        <w:left w:val="none" w:sz="0" w:space="0" w:color="auto"/>
        <w:bottom w:val="none" w:sz="0" w:space="0" w:color="auto"/>
        <w:right w:val="none" w:sz="0" w:space="0" w:color="auto"/>
      </w:divBdr>
    </w:div>
    <w:div w:id="236744897">
      <w:bodyDiv w:val="1"/>
      <w:marLeft w:val="0"/>
      <w:marRight w:val="0"/>
      <w:marTop w:val="0"/>
      <w:marBottom w:val="0"/>
      <w:divBdr>
        <w:top w:val="none" w:sz="0" w:space="0" w:color="auto"/>
        <w:left w:val="none" w:sz="0" w:space="0" w:color="auto"/>
        <w:bottom w:val="none" w:sz="0" w:space="0" w:color="auto"/>
        <w:right w:val="none" w:sz="0" w:space="0" w:color="auto"/>
      </w:divBdr>
    </w:div>
    <w:div w:id="236785998">
      <w:bodyDiv w:val="1"/>
      <w:marLeft w:val="0"/>
      <w:marRight w:val="0"/>
      <w:marTop w:val="0"/>
      <w:marBottom w:val="0"/>
      <w:divBdr>
        <w:top w:val="none" w:sz="0" w:space="0" w:color="auto"/>
        <w:left w:val="none" w:sz="0" w:space="0" w:color="auto"/>
        <w:bottom w:val="none" w:sz="0" w:space="0" w:color="auto"/>
        <w:right w:val="none" w:sz="0" w:space="0" w:color="auto"/>
      </w:divBdr>
    </w:div>
    <w:div w:id="236788662">
      <w:bodyDiv w:val="1"/>
      <w:marLeft w:val="0"/>
      <w:marRight w:val="0"/>
      <w:marTop w:val="0"/>
      <w:marBottom w:val="0"/>
      <w:divBdr>
        <w:top w:val="none" w:sz="0" w:space="0" w:color="auto"/>
        <w:left w:val="none" w:sz="0" w:space="0" w:color="auto"/>
        <w:bottom w:val="none" w:sz="0" w:space="0" w:color="auto"/>
        <w:right w:val="none" w:sz="0" w:space="0" w:color="auto"/>
      </w:divBdr>
    </w:div>
    <w:div w:id="236791773">
      <w:bodyDiv w:val="1"/>
      <w:marLeft w:val="0"/>
      <w:marRight w:val="0"/>
      <w:marTop w:val="0"/>
      <w:marBottom w:val="0"/>
      <w:divBdr>
        <w:top w:val="none" w:sz="0" w:space="0" w:color="auto"/>
        <w:left w:val="none" w:sz="0" w:space="0" w:color="auto"/>
        <w:bottom w:val="none" w:sz="0" w:space="0" w:color="auto"/>
        <w:right w:val="none" w:sz="0" w:space="0" w:color="auto"/>
      </w:divBdr>
    </w:div>
    <w:div w:id="236862422">
      <w:bodyDiv w:val="1"/>
      <w:marLeft w:val="0"/>
      <w:marRight w:val="0"/>
      <w:marTop w:val="0"/>
      <w:marBottom w:val="0"/>
      <w:divBdr>
        <w:top w:val="none" w:sz="0" w:space="0" w:color="auto"/>
        <w:left w:val="none" w:sz="0" w:space="0" w:color="auto"/>
        <w:bottom w:val="none" w:sz="0" w:space="0" w:color="auto"/>
        <w:right w:val="none" w:sz="0" w:space="0" w:color="auto"/>
      </w:divBdr>
    </w:div>
    <w:div w:id="236866635">
      <w:bodyDiv w:val="1"/>
      <w:marLeft w:val="0"/>
      <w:marRight w:val="0"/>
      <w:marTop w:val="0"/>
      <w:marBottom w:val="0"/>
      <w:divBdr>
        <w:top w:val="none" w:sz="0" w:space="0" w:color="auto"/>
        <w:left w:val="none" w:sz="0" w:space="0" w:color="auto"/>
        <w:bottom w:val="none" w:sz="0" w:space="0" w:color="auto"/>
        <w:right w:val="none" w:sz="0" w:space="0" w:color="auto"/>
      </w:divBdr>
    </w:div>
    <w:div w:id="237178461">
      <w:bodyDiv w:val="1"/>
      <w:marLeft w:val="0"/>
      <w:marRight w:val="0"/>
      <w:marTop w:val="0"/>
      <w:marBottom w:val="0"/>
      <w:divBdr>
        <w:top w:val="none" w:sz="0" w:space="0" w:color="auto"/>
        <w:left w:val="none" w:sz="0" w:space="0" w:color="auto"/>
        <w:bottom w:val="none" w:sz="0" w:space="0" w:color="auto"/>
        <w:right w:val="none" w:sz="0" w:space="0" w:color="auto"/>
      </w:divBdr>
    </w:div>
    <w:div w:id="237180390">
      <w:bodyDiv w:val="1"/>
      <w:marLeft w:val="0"/>
      <w:marRight w:val="0"/>
      <w:marTop w:val="0"/>
      <w:marBottom w:val="0"/>
      <w:divBdr>
        <w:top w:val="none" w:sz="0" w:space="0" w:color="auto"/>
        <w:left w:val="none" w:sz="0" w:space="0" w:color="auto"/>
        <w:bottom w:val="none" w:sz="0" w:space="0" w:color="auto"/>
        <w:right w:val="none" w:sz="0" w:space="0" w:color="auto"/>
      </w:divBdr>
    </w:div>
    <w:div w:id="237446769">
      <w:bodyDiv w:val="1"/>
      <w:marLeft w:val="0"/>
      <w:marRight w:val="0"/>
      <w:marTop w:val="0"/>
      <w:marBottom w:val="0"/>
      <w:divBdr>
        <w:top w:val="none" w:sz="0" w:space="0" w:color="auto"/>
        <w:left w:val="none" w:sz="0" w:space="0" w:color="auto"/>
        <w:bottom w:val="none" w:sz="0" w:space="0" w:color="auto"/>
        <w:right w:val="none" w:sz="0" w:space="0" w:color="auto"/>
      </w:divBdr>
    </w:div>
    <w:div w:id="237447694">
      <w:bodyDiv w:val="1"/>
      <w:marLeft w:val="0"/>
      <w:marRight w:val="0"/>
      <w:marTop w:val="0"/>
      <w:marBottom w:val="0"/>
      <w:divBdr>
        <w:top w:val="none" w:sz="0" w:space="0" w:color="auto"/>
        <w:left w:val="none" w:sz="0" w:space="0" w:color="auto"/>
        <w:bottom w:val="none" w:sz="0" w:space="0" w:color="auto"/>
        <w:right w:val="none" w:sz="0" w:space="0" w:color="auto"/>
      </w:divBdr>
    </w:div>
    <w:div w:id="237516668">
      <w:bodyDiv w:val="1"/>
      <w:marLeft w:val="0"/>
      <w:marRight w:val="0"/>
      <w:marTop w:val="0"/>
      <w:marBottom w:val="0"/>
      <w:divBdr>
        <w:top w:val="none" w:sz="0" w:space="0" w:color="auto"/>
        <w:left w:val="none" w:sz="0" w:space="0" w:color="auto"/>
        <w:bottom w:val="none" w:sz="0" w:space="0" w:color="auto"/>
        <w:right w:val="none" w:sz="0" w:space="0" w:color="auto"/>
      </w:divBdr>
    </w:div>
    <w:div w:id="237712755">
      <w:bodyDiv w:val="1"/>
      <w:marLeft w:val="0"/>
      <w:marRight w:val="0"/>
      <w:marTop w:val="0"/>
      <w:marBottom w:val="0"/>
      <w:divBdr>
        <w:top w:val="none" w:sz="0" w:space="0" w:color="auto"/>
        <w:left w:val="none" w:sz="0" w:space="0" w:color="auto"/>
        <w:bottom w:val="none" w:sz="0" w:space="0" w:color="auto"/>
        <w:right w:val="none" w:sz="0" w:space="0" w:color="auto"/>
      </w:divBdr>
    </w:div>
    <w:div w:id="237791549">
      <w:bodyDiv w:val="1"/>
      <w:marLeft w:val="0"/>
      <w:marRight w:val="0"/>
      <w:marTop w:val="0"/>
      <w:marBottom w:val="0"/>
      <w:divBdr>
        <w:top w:val="none" w:sz="0" w:space="0" w:color="auto"/>
        <w:left w:val="none" w:sz="0" w:space="0" w:color="auto"/>
        <w:bottom w:val="none" w:sz="0" w:space="0" w:color="auto"/>
        <w:right w:val="none" w:sz="0" w:space="0" w:color="auto"/>
      </w:divBdr>
    </w:div>
    <w:div w:id="237860493">
      <w:bodyDiv w:val="1"/>
      <w:marLeft w:val="0"/>
      <w:marRight w:val="0"/>
      <w:marTop w:val="0"/>
      <w:marBottom w:val="0"/>
      <w:divBdr>
        <w:top w:val="none" w:sz="0" w:space="0" w:color="auto"/>
        <w:left w:val="none" w:sz="0" w:space="0" w:color="auto"/>
        <w:bottom w:val="none" w:sz="0" w:space="0" w:color="auto"/>
        <w:right w:val="none" w:sz="0" w:space="0" w:color="auto"/>
      </w:divBdr>
    </w:div>
    <w:div w:id="237909992">
      <w:bodyDiv w:val="1"/>
      <w:marLeft w:val="0"/>
      <w:marRight w:val="0"/>
      <w:marTop w:val="0"/>
      <w:marBottom w:val="0"/>
      <w:divBdr>
        <w:top w:val="none" w:sz="0" w:space="0" w:color="auto"/>
        <w:left w:val="none" w:sz="0" w:space="0" w:color="auto"/>
        <w:bottom w:val="none" w:sz="0" w:space="0" w:color="auto"/>
        <w:right w:val="none" w:sz="0" w:space="0" w:color="auto"/>
      </w:divBdr>
    </w:div>
    <w:div w:id="237978079">
      <w:bodyDiv w:val="1"/>
      <w:marLeft w:val="0"/>
      <w:marRight w:val="0"/>
      <w:marTop w:val="0"/>
      <w:marBottom w:val="0"/>
      <w:divBdr>
        <w:top w:val="none" w:sz="0" w:space="0" w:color="auto"/>
        <w:left w:val="none" w:sz="0" w:space="0" w:color="auto"/>
        <w:bottom w:val="none" w:sz="0" w:space="0" w:color="auto"/>
        <w:right w:val="none" w:sz="0" w:space="0" w:color="auto"/>
      </w:divBdr>
    </w:div>
    <w:div w:id="237979829">
      <w:bodyDiv w:val="1"/>
      <w:marLeft w:val="0"/>
      <w:marRight w:val="0"/>
      <w:marTop w:val="0"/>
      <w:marBottom w:val="0"/>
      <w:divBdr>
        <w:top w:val="none" w:sz="0" w:space="0" w:color="auto"/>
        <w:left w:val="none" w:sz="0" w:space="0" w:color="auto"/>
        <w:bottom w:val="none" w:sz="0" w:space="0" w:color="auto"/>
        <w:right w:val="none" w:sz="0" w:space="0" w:color="auto"/>
      </w:divBdr>
    </w:div>
    <w:div w:id="237983745">
      <w:bodyDiv w:val="1"/>
      <w:marLeft w:val="0"/>
      <w:marRight w:val="0"/>
      <w:marTop w:val="0"/>
      <w:marBottom w:val="0"/>
      <w:divBdr>
        <w:top w:val="none" w:sz="0" w:space="0" w:color="auto"/>
        <w:left w:val="none" w:sz="0" w:space="0" w:color="auto"/>
        <w:bottom w:val="none" w:sz="0" w:space="0" w:color="auto"/>
        <w:right w:val="none" w:sz="0" w:space="0" w:color="auto"/>
      </w:divBdr>
    </w:div>
    <w:div w:id="238055914">
      <w:bodyDiv w:val="1"/>
      <w:marLeft w:val="0"/>
      <w:marRight w:val="0"/>
      <w:marTop w:val="0"/>
      <w:marBottom w:val="0"/>
      <w:divBdr>
        <w:top w:val="none" w:sz="0" w:space="0" w:color="auto"/>
        <w:left w:val="none" w:sz="0" w:space="0" w:color="auto"/>
        <w:bottom w:val="none" w:sz="0" w:space="0" w:color="auto"/>
        <w:right w:val="none" w:sz="0" w:space="0" w:color="auto"/>
      </w:divBdr>
    </w:div>
    <w:div w:id="238104778">
      <w:bodyDiv w:val="1"/>
      <w:marLeft w:val="0"/>
      <w:marRight w:val="0"/>
      <w:marTop w:val="0"/>
      <w:marBottom w:val="0"/>
      <w:divBdr>
        <w:top w:val="none" w:sz="0" w:space="0" w:color="auto"/>
        <w:left w:val="none" w:sz="0" w:space="0" w:color="auto"/>
        <w:bottom w:val="none" w:sz="0" w:space="0" w:color="auto"/>
        <w:right w:val="none" w:sz="0" w:space="0" w:color="auto"/>
      </w:divBdr>
    </w:div>
    <w:div w:id="238173354">
      <w:bodyDiv w:val="1"/>
      <w:marLeft w:val="0"/>
      <w:marRight w:val="0"/>
      <w:marTop w:val="0"/>
      <w:marBottom w:val="0"/>
      <w:divBdr>
        <w:top w:val="none" w:sz="0" w:space="0" w:color="auto"/>
        <w:left w:val="none" w:sz="0" w:space="0" w:color="auto"/>
        <w:bottom w:val="none" w:sz="0" w:space="0" w:color="auto"/>
        <w:right w:val="none" w:sz="0" w:space="0" w:color="auto"/>
      </w:divBdr>
    </w:div>
    <w:div w:id="238173372">
      <w:bodyDiv w:val="1"/>
      <w:marLeft w:val="0"/>
      <w:marRight w:val="0"/>
      <w:marTop w:val="0"/>
      <w:marBottom w:val="0"/>
      <w:divBdr>
        <w:top w:val="none" w:sz="0" w:space="0" w:color="auto"/>
        <w:left w:val="none" w:sz="0" w:space="0" w:color="auto"/>
        <w:bottom w:val="none" w:sz="0" w:space="0" w:color="auto"/>
        <w:right w:val="none" w:sz="0" w:space="0" w:color="auto"/>
      </w:divBdr>
    </w:div>
    <w:div w:id="238179840">
      <w:bodyDiv w:val="1"/>
      <w:marLeft w:val="0"/>
      <w:marRight w:val="0"/>
      <w:marTop w:val="0"/>
      <w:marBottom w:val="0"/>
      <w:divBdr>
        <w:top w:val="none" w:sz="0" w:space="0" w:color="auto"/>
        <w:left w:val="none" w:sz="0" w:space="0" w:color="auto"/>
        <w:bottom w:val="none" w:sz="0" w:space="0" w:color="auto"/>
        <w:right w:val="none" w:sz="0" w:space="0" w:color="auto"/>
      </w:divBdr>
    </w:div>
    <w:div w:id="238289586">
      <w:bodyDiv w:val="1"/>
      <w:marLeft w:val="0"/>
      <w:marRight w:val="0"/>
      <w:marTop w:val="0"/>
      <w:marBottom w:val="0"/>
      <w:divBdr>
        <w:top w:val="none" w:sz="0" w:space="0" w:color="auto"/>
        <w:left w:val="none" w:sz="0" w:space="0" w:color="auto"/>
        <w:bottom w:val="none" w:sz="0" w:space="0" w:color="auto"/>
        <w:right w:val="none" w:sz="0" w:space="0" w:color="auto"/>
      </w:divBdr>
    </w:div>
    <w:div w:id="238296000">
      <w:bodyDiv w:val="1"/>
      <w:marLeft w:val="0"/>
      <w:marRight w:val="0"/>
      <w:marTop w:val="0"/>
      <w:marBottom w:val="0"/>
      <w:divBdr>
        <w:top w:val="none" w:sz="0" w:space="0" w:color="auto"/>
        <w:left w:val="none" w:sz="0" w:space="0" w:color="auto"/>
        <w:bottom w:val="none" w:sz="0" w:space="0" w:color="auto"/>
        <w:right w:val="none" w:sz="0" w:space="0" w:color="auto"/>
      </w:divBdr>
    </w:div>
    <w:div w:id="238296049">
      <w:bodyDiv w:val="1"/>
      <w:marLeft w:val="0"/>
      <w:marRight w:val="0"/>
      <w:marTop w:val="0"/>
      <w:marBottom w:val="0"/>
      <w:divBdr>
        <w:top w:val="none" w:sz="0" w:space="0" w:color="auto"/>
        <w:left w:val="none" w:sz="0" w:space="0" w:color="auto"/>
        <w:bottom w:val="none" w:sz="0" w:space="0" w:color="auto"/>
        <w:right w:val="none" w:sz="0" w:space="0" w:color="auto"/>
      </w:divBdr>
    </w:div>
    <w:div w:id="238367716">
      <w:bodyDiv w:val="1"/>
      <w:marLeft w:val="0"/>
      <w:marRight w:val="0"/>
      <w:marTop w:val="0"/>
      <w:marBottom w:val="0"/>
      <w:divBdr>
        <w:top w:val="none" w:sz="0" w:space="0" w:color="auto"/>
        <w:left w:val="none" w:sz="0" w:space="0" w:color="auto"/>
        <w:bottom w:val="none" w:sz="0" w:space="0" w:color="auto"/>
        <w:right w:val="none" w:sz="0" w:space="0" w:color="auto"/>
      </w:divBdr>
    </w:div>
    <w:div w:id="238369817">
      <w:bodyDiv w:val="1"/>
      <w:marLeft w:val="0"/>
      <w:marRight w:val="0"/>
      <w:marTop w:val="0"/>
      <w:marBottom w:val="0"/>
      <w:divBdr>
        <w:top w:val="none" w:sz="0" w:space="0" w:color="auto"/>
        <w:left w:val="none" w:sz="0" w:space="0" w:color="auto"/>
        <w:bottom w:val="none" w:sz="0" w:space="0" w:color="auto"/>
        <w:right w:val="none" w:sz="0" w:space="0" w:color="auto"/>
      </w:divBdr>
    </w:div>
    <w:div w:id="238636626">
      <w:bodyDiv w:val="1"/>
      <w:marLeft w:val="0"/>
      <w:marRight w:val="0"/>
      <w:marTop w:val="0"/>
      <w:marBottom w:val="0"/>
      <w:divBdr>
        <w:top w:val="none" w:sz="0" w:space="0" w:color="auto"/>
        <w:left w:val="none" w:sz="0" w:space="0" w:color="auto"/>
        <w:bottom w:val="none" w:sz="0" w:space="0" w:color="auto"/>
        <w:right w:val="none" w:sz="0" w:space="0" w:color="auto"/>
      </w:divBdr>
    </w:div>
    <w:div w:id="238684673">
      <w:bodyDiv w:val="1"/>
      <w:marLeft w:val="0"/>
      <w:marRight w:val="0"/>
      <w:marTop w:val="0"/>
      <w:marBottom w:val="0"/>
      <w:divBdr>
        <w:top w:val="none" w:sz="0" w:space="0" w:color="auto"/>
        <w:left w:val="none" w:sz="0" w:space="0" w:color="auto"/>
        <w:bottom w:val="none" w:sz="0" w:space="0" w:color="auto"/>
        <w:right w:val="none" w:sz="0" w:space="0" w:color="auto"/>
      </w:divBdr>
    </w:div>
    <w:div w:id="238756263">
      <w:bodyDiv w:val="1"/>
      <w:marLeft w:val="0"/>
      <w:marRight w:val="0"/>
      <w:marTop w:val="0"/>
      <w:marBottom w:val="0"/>
      <w:divBdr>
        <w:top w:val="none" w:sz="0" w:space="0" w:color="auto"/>
        <w:left w:val="none" w:sz="0" w:space="0" w:color="auto"/>
        <w:bottom w:val="none" w:sz="0" w:space="0" w:color="auto"/>
        <w:right w:val="none" w:sz="0" w:space="0" w:color="auto"/>
      </w:divBdr>
    </w:div>
    <w:div w:id="238828835">
      <w:bodyDiv w:val="1"/>
      <w:marLeft w:val="0"/>
      <w:marRight w:val="0"/>
      <w:marTop w:val="0"/>
      <w:marBottom w:val="0"/>
      <w:divBdr>
        <w:top w:val="none" w:sz="0" w:space="0" w:color="auto"/>
        <w:left w:val="none" w:sz="0" w:space="0" w:color="auto"/>
        <w:bottom w:val="none" w:sz="0" w:space="0" w:color="auto"/>
        <w:right w:val="none" w:sz="0" w:space="0" w:color="auto"/>
      </w:divBdr>
    </w:div>
    <w:div w:id="238835755">
      <w:bodyDiv w:val="1"/>
      <w:marLeft w:val="0"/>
      <w:marRight w:val="0"/>
      <w:marTop w:val="0"/>
      <w:marBottom w:val="0"/>
      <w:divBdr>
        <w:top w:val="none" w:sz="0" w:space="0" w:color="auto"/>
        <w:left w:val="none" w:sz="0" w:space="0" w:color="auto"/>
        <w:bottom w:val="none" w:sz="0" w:space="0" w:color="auto"/>
        <w:right w:val="none" w:sz="0" w:space="0" w:color="auto"/>
      </w:divBdr>
    </w:div>
    <w:div w:id="238835850">
      <w:bodyDiv w:val="1"/>
      <w:marLeft w:val="0"/>
      <w:marRight w:val="0"/>
      <w:marTop w:val="0"/>
      <w:marBottom w:val="0"/>
      <w:divBdr>
        <w:top w:val="none" w:sz="0" w:space="0" w:color="auto"/>
        <w:left w:val="none" w:sz="0" w:space="0" w:color="auto"/>
        <w:bottom w:val="none" w:sz="0" w:space="0" w:color="auto"/>
        <w:right w:val="none" w:sz="0" w:space="0" w:color="auto"/>
      </w:divBdr>
    </w:div>
    <w:div w:id="239143991">
      <w:bodyDiv w:val="1"/>
      <w:marLeft w:val="0"/>
      <w:marRight w:val="0"/>
      <w:marTop w:val="0"/>
      <w:marBottom w:val="0"/>
      <w:divBdr>
        <w:top w:val="none" w:sz="0" w:space="0" w:color="auto"/>
        <w:left w:val="none" w:sz="0" w:space="0" w:color="auto"/>
        <w:bottom w:val="none" w:sz="0" w:space="0" w:color="auto"/>
        <w:right w:val="none" w:sz="0" w:space="0" w:color="auto"/>
      </w:divBdr>
    </w:div>
    <w:div w:id="239219173">
      <w:bodyDiv w:val="1"/>
      <w:marLeft w:val="0"/>
      <w:marRight w:val="0"/>
      <w:marTop w:val="0"/>
      <w:marBottom w:val="0"/>
      <w:divBdr>
        <w:top w:val="none" w:sz="0" w:space="0" w:color="auto"/>
        <w:left w:val="none" w:sz="0" w:space="0" w:color="auto"/>
        <w:bottom w:val="none" w:sz="0" w:space="0" w:color="auto"/>
        <w:right w:val="none" w:sz="0" w:space="0" w:color="auto"/>
      </w:divBdr>
    </w:div>
    <w:div w:id="239363763">
      <w:bodyDiv w:val="1"/>
      <w:marLeft w:val="0"/>
      <w:marRight w:val="0"/>
      <w:marTop w:val="0"/>
      <w:marBottom w:val="0"/>
      <w:divBdr>
        <w:top w:val="none" w:sz="0" w:space="0" w:color="auto"/>
        <w:left w:val="none" w:sz="0" w:space="0" w:color="auto"/>
        <w:bottom w:val="none" w:sz="0" w:space="0" w:color="auto"/>
        <w:right w:val="none" w:sz="0" w:space="0" w:color="auto"/>
      </w:divBdr>
    </w:div>
    <w:div w:id="239367205">
      <w:bodyDiv w:val="1"/>
      <w:marLeft w:val="0"/>
      <w:marRight w:val="0"/>
      <w:marTop w:val="0"/>
      <w:marBottom w:val="0"/>
      <w:divBdr>
        <w:top w:val="none" w:sz="0" w:space="0" w:color="auto"/>
        <w:left w:val="none" w:sz="0" w:space="0" w:color="auto"/>
        <w:bottom w:val="none" w:sz="0" w:space="0" w:color="auto"/>
        <w:right w:val="none" w:sz="0" w:space="0" w:color="auto"/>
      </w:divBdr>
    </w:div>
    <w:div w:id="239487081">
      <w:bodyDiv w:val="1"/>
      <w:marLeft w:val="0"/>
      <w:marRight w:val="0"/>
      <w:marTop w:val="0"/>
      <w:marBottom w:val="0"/>
      <w:divBdr>
        <w:top w:val="none" w:sz="0" w:space="0" w:color="auto"/>
        <w:left w:val="none" w:sz="0" w:space="0" w:color="auto"/>
        <w:bottom w:val="none" w:sz="0" w:space="0" w:color="auto"/>
        <w:right w:val="none" w:sz="0" w:space="0" w:color="auto"/>
      </w:divBdr>
    </w:div>
    <w:div w:id="239564353">
      <w:bodyDiv w:val="1"/>
      <w:marLeft w:val="0"/>
      <w:marRight w:val="0"/>
      <w:marTop w:val="0"/>
      <w:marBottom w:val="0"/>
      <w:divBdr>
        <w:top w:val="none" w:sz="0" w:space="0" w:color="auto"/>
        <w:left w:val="none" w:sz="0" w:space="0" w:color="auto"/>
        <w:bottom w:val="none" w:sz="0" w:space="0" w:color="auto"/>
        <w:right w:val="none" w:sz="0" w:space="0" w:color="auto"/>
      </w:divBdr>
    </w:div>
    <w:div w:id="239602142">
      <w:bodyDiv w:val="1"/>
      <w:marLeft w:val="0"/>
      <w:marRight w:val="0"/>
      <w:marTop w:val="0"/>
      <w:marBottom w:val="0"/>
      <w:divBdr>
        <w:top w:val="none" w:sz="0" w:space="0" w:color="auto"/>
        <w:left w:val="none" w:sz="0" w:space="0" w:color="auto"/>
        <w:bottom w:val="none" w:sz="0" w:space="0" w:color="auto"/>
        <w:right w:val="none" w:sz="0" w:space="0" w:color="auto"/>
      </w:divBdr>
    </w:div>
    <w:div w:id="239603291">
      <w:bodyDiv w:val="1"/>
      <w:marLeft w:val="0"/>
      <w:marRight w:val="0"/>
      <w:marTop w:val="0"/>
      <w:marBottom w:val="0"/>
      <w:divBdr>
        <w:top w:val="none" w:sz="0" w:space="0" w:color="auto"/>
        <w:left w:val="none" w:sz="0" w:space="0" w:color="auto"/>
        <w:bottom w:val="none" w:sz="0" w:space="0" w:color="auto"/>
        <w:right w:val="none" w:sz="0" w:space="0" w:color="auto"/>
      </w:divBdr>
    </w:div>
    <w:div w:id="239754545">
      <w:bodyDiv w:val="1"/>
      <w:marLeft w:val="0"/>
      <w:marRight w:val="0"/>
      <w:marTop w:val="0"/>
      <w:marBottom w:val="0"/>
      <w:divBdr>
        <w:top w:val="none" w:sz="0" w:space="0" w:color="auto"/>
        <w:left w:val="none" w:sz="0" w:space="0" w:color="auto"/>
        <w:bottom w:val="none" w:sz="0" w:space="0" w:color="auto"/>
        <w:right w:val="none" w:sz="0" w:space="0" w:color="auto"/>
      </w:divBdr>
    </w:div>
    <w:div w:id="239951155">
      <w:bodyDiv w:val="1"/>
      <w:marLeft w:val="0"/>
      <w:marRight w:val="0"/>
      <w:marTop w:val="0"/>
      <w:marBottom w:val="0"/>
      <w:divBdr>
        <w:top w:val="none" w:sz="0" w:space="0" w:color="auto"/>
        <w:left w:val="none" w:sz="0" w:space="0" w:color="auto"/>
        <w:bottom w:val="none" w:sz="0" w:space="0" w:color="auto"/>
        <w:right w:val="none" w:sz="0" w:space="0" w:color="auto"/>
      </w:divBdr>
    </w:div>
    <w:div w:id="239951511">
      <w:bodyDiv w:val="1"/>
      <w:marLeft w:val="0"/>
      <w:marRight w:val="0"/>
      <w:marTop w:val="0"/>
      <w:marBottom w:val="0"/>
      <w:divBdr>
        <w:top w:val="none" w:sz="0" w:space="0" w:color="auto"/>
        <w:left w:val="none" w:sz="0" w:space="0" w:color="auto"/>
        <w:bottom w:val="none" w:sz="0" w:space="0" w:color="auto"/>
        <w:right w:val="none" w:sz="0" w:space="0" w:color="auto"/>
      </w:divBdr>
    </w:div>
    <w:div w:id="239952265">
      <w:bodyDiv w:val="1"/>
      <w:marLeft w:val="0"/>
      <w:marRight w:val="0"/>
      <w:marTop w:val="0"/>
      <w:marBottom w:val="0"/>
      <w:divBdr>
        <w:top w:val="none" w:sz="0" w:space="0" w:color="auto"/>
        <w:left w:val="none" w:sz="0" w:space="0" w:color="auto"/>
        <w:bottom w:val="none" w:sz="0" w:space="0" w:color="auto"/>
        <w:right w:val="none" w:sz="0" w:space="0" w:color="auto"/>
      </w:divBdr>
    </w:div>
    <w:div w:id="240020622">
      <w:bodyDiv w:val="1"/>
      <w:marLeft w:val="0"/>
      <w:marRight w:val="0"/>
      <w:marTop w:val="0"/>
      <w:marBottom w:val="0"/>
      <w:divBdr>
        <w:top w:val="none" w:sz="0" w:space="0" w:color="auto"/>
        <w:left w:val="none" w:sz="0" w:space="0" w:color="auto"/>
        <w:bottom w:val="none" w:sz="0" w:space="0" w:color="auto"/>
        <w:right w:val="none" w:sz="0" w:space="0" w:color="auto"/>
      </w:divBdr>
    </w:div>
    <w:div w:id="240062249">
      <w:bodyDiv w:val="1"/>
      <w:marLeft w:val="0"/>
      <w:marRight w:val="0"/>
      <w:marTop w:val="0"/>
      <w:marBottom w:val="0"/>
      <w:divBdr>
        <w:top w:val="none" w:sz="0" w:space="0" w:color="auto"/>
        <w:left w:val="none" w:sz="0" w:space="0" w:color="auto"/>
        <w:bottom w:val="none" w:sz="0" w:space="0" w:color="auto"/>
        <w:right w:val="none" w:sz="0" w:space="0" w:color="auto"/>
      </w:divBdr>
    </w:div>
    <w:div w:id="240064849">
      <w:bodyDiv w:val="1"/>
      <w:marLeft w:val="0"/>
      <w:marRight w:val="0"/>
      <w:marTop w:val="0"/>
      <w:marBottom w:val="0"/>
      <w:divBdr>
        <w:top w:val="none" w:sz="0" w:space="0" w:color="auto"/>
        <w:left w:val="none" w:sz="0" w:space="0" w:color="auto"/>
        <w:bottom w:val="none" w:sz="0" w:space="0" w:color="auto"/>
        <w:right w:val="none" w:sz="0" w:space="0" w:color="auto"/>
      </w:divBdr>
    </w:div>
    <w:div w:id="240139748">
      <w:bodyDiv w:val="1"/>
      <w:marLeft w:val="0"/>
      <w:marRight w:val="0"/>
      <w:marTop w:val="0"/>
      <w:marBottom w:val="0"/>
      <w:divBdr>
        <w:top w:val="none" w:sz="0" w:space="0" w:color="auto"/>
        <w:left w:val="none" w:sz="0" w:space="0" w:color="auto"/>
        <w:bottom w:val="none" w:sz="0" w:space="0" w:color="auto"/>
        <w:right w:val="none" w:sz="0" w:space="0" w:color="auto"/>
      </w:divBdr>
    </w:div>
    <w:div w:id="240258772">
      <w:bodyDiv w:val="1"/>
      <w:marLeft w:val="0"/>
      <w:marRight w:val="0"/>
      <w:marTop w:val="0"/>
      <w:marBottom w:val="0"/>
      <w:divBdr>
        <w:top w:val="none" w:sz="0" w:space="0" w:color="auto"/>
        <w:left w:val="none" w:sz="0" w:space="0" w:color="auto"/>
        <w:bottom w:val="none" w:sz="0" w:space="0" w:color="auto"/>
        <w:right w:val="none" w:sz="0" w:space="0" w:color="auto"/>
      </w:divBdr>
    </w:div>
    <w:div w:id="240408960">
      <w:bodyDiv w:val="1"/>
      <w:marLeft w:val="0"/>
      <w:marRight w:val="0"/>
      <w:marTop w:val="0"/>
      <w:marBottom w:val="0"/>
      <w:divBdr>
        <w:top w:val="none" w:sz="0" w:space="0" w:color="auto"/>
        <w:left w:val="none" w:sz="0" w:space="0" w:color="auto"/>
        <w:bottom w:val="none" w:sz="0" w:space="0" w:color="auto"/>
        <w:right w:val="none" w:sz="0" w:space="0" w:color="auto"/>
      </w:divBdr>
    </w:div>
    <w:div w:id="240412088">
      <w:bodyDiv w:val="1"/>
      <w:marLeft w:val="0"/>
      <w:marRight w:val="0"/>
      <w:marTop w:val="0"/>
      <w:marBottom w:val="0"/>
      <w:divBdr>
        <w:top w:val="none" w:sz="0" w:space="0" w:color="auto"/>
        <w:left w:val="none" w:sz="0" w:space="0" w:color="auto"/>
        <w:bottom w:val="none" w:sz="0" w:space="0" w:color="auto"/>
        <w:right w:val="none" w:sz="0" w:space="0" w:color="auto"/>
      </w:divBdr>
    </w:div>
    <w:div w:id="240454526">
      <w:bodyDiv w:val="1"/>
      <w:marLeft w:val="0"/>
      <w:marRight w:val="0"/>
      <w:marTop w:val="0"/>
      <w:marBottom w:val="0"/>
      <w:divBdr>
        <w:top w:val="none" w:sz="0" w:space="0" w:color="auto"/>
        <w:left w:val="none" w:sz="0" w:space="0" w:color="auto"/>
        <w:bottom w:val="none" w:sz="0" w:space="0" w:color="auto"/>
        <w:right w:val="none" w:sz="0" w:space="0" w:color="auto"/>
      </w:divBdr>
    </w:div>
    <w:div w:id="240603739">
      <w:bodyDiv w:val="1"/>
      <w:marLeft w:val="0"/>
      <w:marRight w:val="0"/>
      <w:marTop w:val="0"/>
      <w:marBottom w:val="0"/>
      <w:divBdr>
        <w:top w:val="none" w:sz="0" w:space="0" w:color="auto"/>
        <w:left w:val="none" w:sz="0" w:space="0" w:color="auto"/>
        <w:bottom w:val="none" w:sz="0" w:space="0" w:color="auto"/>
        <w:right w:val="none" w:sz="0" w:space="0" w:color="auto"/>
      </w:divBdr>
    </w:div>
    <w:div w:id="240603807">
      <w:bodyDiv w:val="1"/>
      <w:marLeft w:val="0"/>
      <w:marRight w:val="0"/>
      <w:marTop w:val="0"/>
      <w:marBottom w:val="0"/>
      <w:divBdr>
        <w:top w:val="none" w:sz="0" w:space="0" w:color="auto"/>
        <w:left w:val="none" w:sz="0" w:space="0" w:color="auto"/>
        <w:bottom w:val="none" w:sz="0" w:space="0" w:color="auto"/>
        <w:right w:val="none" w:sz="0" w:space="0" w:color="auto"/>
      </w:divBdr>
    </w:div>
    <w:div w:id="240606334">
      <w:bodyDiv w:val="1"/>
      <w:marLeft w:val="0"/>
      <w:marRight w:val="0"/>
      <w:marTop w:val="0"/>
      <w:marBottom w:val="0"/>
      <w:divBdr>
        <w:top w:val="none" w:sz="0" w:space="0" w:color="auto"/>
        <w:left w:val="none" w:sz="0" w:space="0" w:color="auto"/>
        <w:bottom w:val="none" w:sz="0" w:space="0" w:color="auto"/>
        <w:right w:val="none" w:sz="0" w:space="0" w:color="auto"/>
      </w:divBdr>
    </w:div>
    <w:div w:id="240608366">
      <w:bodyDiv w:val="1"/>
      <w:marLeft w:val="0"/>
      <w:marRight w:val="0"/>
      <w:marTop w:val="0"/>
      <w:marBottom w:val="0"/>
      <w:divBdr>
        <w:top w:val="none" w:sz="0" w:space="0" w:color="auto"/>
        <w:left w:val="none" w:sz="0" w:space="0" w:color="auto"/>
        <w:bottom w:val="none" w:sz="0" w:space="0" w:color="auto"/>
        <w:right w:val="none" w:sz="0" w:space="0" w:color="auto"/>
      </w:divBdr>
    </w:div>
    <w:div w:id="240913267">
      <w:bodyDiv w:val="1"/>
      <w:marLeft w:val="0"/>
      <w:marRight w:val="0"/>
      <w:marTop w:val="0"/>
      <w:marBottom w:val="0"/>
      <w:divBdr>
        <w:top w:val="none" w:sz="0" w:space="0" w:color="auto"/>
        <w:left w:val="none" w:sz="0" w:space="0" w:color="auto"/>
        <w:bottom w:val="none" w:sz="0" w:space="0" w:color="auto"/>
        <w:right w:val="none" w:sz="0" w:space="0" w:color="auto"/>
      </w:divBdr>
    </w:div>
    <w:div w:id="240916567">
      <w:bodyDiv w:val="1"/>
      <w:marLeft w:val="0"/>
      <w:marRight w:val="0"/>
      <w:marTop w:val="0"/>
      <w:marBottom w:val="0"/>
      <w:divBdr>
        <w:top w:val="none" w:sz="0" w:space="0" w:color="auto"/>
        <w:left w:val="none" w:sz="0" w:space="0" w:color="auto"/>
        <w:bottom w:val="none" w:sz="0" w:space="0" w:color="auto"/>
        <w:right w:val="none" w:sz="0" w:space="0" w:color="auto"/>
      </w:divBdr>
    </w:div>
    <w:div w:id="241179582">
      <w:bodyDiv w:val="1"/>
      <w:marLeft w:val="0"/>
      <w:marRight w:val="0"/>
      <w:marTop w:val="0"/>
      <w:marBottom w:val="0"/>
      <w:divBdr>
        <w:top w:val="none" w:sz="0" w:space="0" w:color="auto"/>
        <w:left w:val="none" w:sz="0" w:space="0" w:color="auto"/>
        <w:bottom w:val="none" w:sz="0" w:space="0" w:color="auto"/>
        <w:right w:val="none" w:sz="0" w:space="0" w:color="auto"/>
      </w:divBdr>
    </w:div>
    <w:div w:id="241188013">
      <w:bodyDiv w:val="1"/>
      <w:marLeft w:val="0"/>
      <w:marRight w:val="0"/>
      <w:marTop w:val="0"/>
      <w:marBottom w:val="0"/>
      <w:divBdr>
        <w:top w:val="none" w:sz="0" w:space="0" w:color="auto"/>
        <w:left w:val="none" w:sz="0" w:space="0" w:color="auto"/>
        <w:bottom w:val="none" w:sz="0" w:space="0" w:color="auto"/>
        <w:right w:val="none" w:sz="0" w:space="0" w:color="auto"/>
      </w:divBdr>
    </w:div>
    <w:div w:id="241258935">
      <w:bodyDiv w:val="1"/>
      <w:marLeft w:val="0"/>
      <w:marRight w:val="0"/>
      <w:marTop w:val="0"/>
      <w:marBottom w:val="0"/>
      <w:divBdr>
        <w:top w:val="none" w:sz="0" w:space="0" w:color="auto"/>
        <w:left w:val="none" w:sz="0" w:space="0" w:color="auto"/>
        <w:bottom w:val="none" w:sz="0" w:space="0" w:color="auto"/>
        <w:right w:val="none" w:sz="0" w:space="0" w:color="auto"/>
      </w:divBdr>
    </w:div>
    <w:div w:id="241380151">
      <w:bodyDiv w:val="1"/>
      <w:marLeft w:val="0"/>
      <w:marRight w:val="0"/>
      <w:marTop w:val="0"/>
      <w:marBottom w:val="0"/>
      <w:divBdr>
        <w:top w:val="none" w:sz="0" w:space="0" w:color="auto"/>
        <w:left w:val="none" w:sz="0" w:space="0" w:color="auto"/>
        <w:bottom w:val="none" w:sz="0" w:space="0" w:color="auto"/>
        <w:right w:val="none" w:sz="0" w:space="0" w:color="auto"/>
      </w:divBdr>
    </w:div>
    <w:div w:id="241451808">
      <w:bodyDiv w:val="1"/>
      <w:marLeft w:val="0"/>
      <w:marRight w:val="0"/>
      <w:marTop w:val="0"/>
      <w:marBottom w:val="0"/>
      <w:divBdr>
        <w:top w:val="none" w:sz="0" w:space="0" w:color="auto"/>
        <w:left w:val="none" w:sz="0" w:space="0" w:color="auto"/>
        <w:bottom w:val="none" w:sz="0" w:space="0" w:color="auto"/>
        <w:right w:val="none" w:sz="0" w:space="0" w:color="auto"/>
      </w:divBdr>
    </w:div>
    <w:div w:id="241530650">
      <w:bodyDiv w:val="1"/>
      <w:marLeft w:val="0"/>
      <w:marRight w:val="0"/>
      <w:marTop w:val="0"/>
      <w:marBottom w:val="0"/>
      <w:divBdr>
        <w:top w:val="none" w:sz="0" w:space="0" w:color="auto"/>
        <w:left w:val="none" w:sz="0" w:space="0" w:color="auto"/>
        <w:bottom w:val="none" w:sz="0" w:space="0" w:color="auto"/>
        <w:right w:val="none" w:sz="0" w:space="0" w:color="auto"/>
      </w:divBdr>
    </w:div>
    <w:div w:id="241568786">
      <w:bodyDiv w:val="1"/>
      <w:marLeft w:val="0"/>
      <w:marRight w:val="0"/>
      <w:marTop w:val="0"/>
      <w:marBottom w:val="0"/>
      <w:divBdr>
        <w:top w:val="none" w:sz="0" w:space="0" w:color="auto"/>
        <w:left w:val="none" w:sz="0" w:space="0" w:color="auto"/>
        <w:bottom w:val="none" w:sz="0" w:space="0" w:color="auto"/>
        <w:right w:val="none" w:sz="0" w:space="0" w:color="auto"/>
      </w:divBdr>
    </w:div>
    <w:div w:id="241575072">
      <w:bodyDiv w:val="1"/>
      <w:marLeft w:val="0"/>
      <w:marRight w:val="0"/>
      <w:marTop w:val="0"/>
      <w:marBottom w:val="0"/>
      <w:divBdr>
        <w:top w:val="none" w:sz="0" w:space="0" w:color="auto"/>
        <w:left w:val="none" w:sz="0" w:space="0" w:color="auto"/>
        <w:bottom w:val="none" w:sz="0" w:space="0" w:color="auto"/>
        <w:right w:val="none" w:sz="0" w:space="0" w:color="auto"/>
      </w:divBdr>
    </w:div>
    <w:div w:id="241717619">
      <w:bodyDiv w:val="1"/>
      <w:marLeft w:val="0"/>
      <w:marRight w:val="0"/>
      <w:marTop w:val="0"/>
      <w:marBottom w:val="0"/>
      <w:divBdr>
        <w:top w:val="none" w:sz="0" w:space="0" w:color="auto"/>
        <w:left w:val="none" w:sz="0" w:space="0" w:color="auto"/>
        <w:bottom w:val="none" w:sz="0" w:space="0" w:color="auto"/>
        <w:right w:val="none" w:sz="0" w:space="0" w:color="auto"/>
      </w:divBdr>
    </w:div>
    <w:div w:id="241720795">
      <w:bodyDiv w:val="1"/>
      <w:marLeft w:val="0"/>
      <w:marRight w:val="0"/>
      <w:marTop w:val="0"/>
      <w:marBottom w:val="0"/>
      <w:divBdr>
        <w:top w:val="none" w:sz="0" w:space="0" w:color="auto"/>
        <w:left w:val="none" w:sz="0" w:space="0" w:color="auto"/>
        <w:bottom w:val="none" w:sz="0" w:space="0" w:color="auto"/>
        <w:right w:val="none" w:sz="0" w:space="0" w:color="auto"/>
      </w:divBdr>
    </w:div>
    <w:div w:id="241764271">
      <w:bodyDiv w:val="1"/>
      <w:marLeft w:val="0"/>
      <w:marRight w:val="0"/>
      <w:marTop w:val="0"/>
      <w:marBottom w:val="0"/>
      <w:divBdr>
        <w:top w:val="none" w:sz="0" w:space="0" w:color="auto"/>
        <w:left w:val="none" w:sz="0" w:space="0" w:color="auto"/>
        <w:bottom w:val="none" w:sz="0" w:space="0" w:color="auto"/>
        <w:right w:val="none" w:sz="0" w:space="0" w:color="auto"/>
      </w:divBdr>
    </w:div>
    <w:div w:id="241834805">
      <w:bodyDiv w:val="1"/>
      <w:marLeft w:val="0"/>
      <w:marRight w:val="0"/>
      <w:marTop w:val="0"/>
      <w:marBottom w:val="0"/>
      <w:divBdr>
        <w:top w:val="none" w:sz="0" w:space="0" w:color="auto"/>
        <w:left w:val="none" w:sz="0" w:space="0" w:color="auto"/>
        <w:bottom w:val="none" w:sz="0" w:space="0" w:color="auto"/>
        <w:right w:val="none" w:sz="0" w:space="0" w:color="auto"/>
      </w:divBdr>
    </w:div>
    <w:div w:id="241990177">
      <w:bodyDiv w:val="1"/>
      <w:marLeft w:val="0"/>
      <w:marRight w:val="0"/>
      <w:marTop w:val="0"/>
      <w:marBottom w:val="0"/>
      <w:divBdr>
        <w:top w:val="none" w:sz="0" w:space="0" w:color="auto"/>
        <w:left w:val="none" w:sz="0" w:space="0" w:color="auto"/>
        <w:bottom w:val="none" w:sz="0" w:space="0" w:color="auto"/>
        <w:right w:val="none" w:sz="0" w:space="0" w:color="auto"/>
      </w:divBdr>
    </w:div>
    <w:div w:id="242031678">
      <w:bodyDiv w:val="1"/>
      <w:marLeft w:val="0"/>
      <w:marRight w:val="0"/>
      <w:marTop w:val="0"/>
      <w:marBottom w:val="0"/>
      <w:divBdr>
        <w:top w:val="none" w:sz="0" w:space="0" w:color="auto"/>
        <w:left w:val="none" w:sz="0" w:space="0" w:color="auto"/>
        <w:bottom w:val="none" w:sz="0" w:space="0" w:color="auto"/>
        <w:right w:val="none" w:sz="0" w:space="0" w:color="auto"/>
      </w:divBdr>
    </w:div>
    <w:div w:id="242179130">
      <w:bodyDiv w:val="1"/>
      <w:marLeft w:val="0"/>
      <w:marRight w:val="0"/>
      <w:marTop w:val="0"/>
      <w:marBottom w:val="0"/>
      <w:divBdr>
        <w:top w:val="none" w:sz="0" w:space="0" w:color="auto"/>
        <w:left w:val="none" w:sz="0" w:space="0" w:color="auto"/>
        <w:bottom w:val="none" w:sz="0" w:space="0" w:color="auto"/>
        <w:right w:val="none" w:sz="0" w:space="0" w:color="auto"/>
      </w:divBdr>
    </w:div>
    <w:div w:id="242181578">
      <w:bodyDiv w:val="1"/>
      <w:marLeft w:val="0"/>
      <w:marRight w:val="0"/>
      <w:marTop w:val="0"/>
      <w:marBottom w:val="0"/>
      <w:divBdr>
        <w:top w:val="none" w:sz="0" w:space="0" w:color="auto"/>
        <w:left w:val="none" w:sz="0" w:space="0" w:color="auto"/>
        <w:bottom w:val="none" w:sz="0" w:space="0" w:color="auto"/>
        <w:right w:val="none" w:sz="0" w:space="0" w:color="auto"/>
      </w:divBdr>
    </w:div>
    <w:div w:id="242230254">
      <w:bodyDiv w:val="1"/>
      <w:marLeft w:val="0"/>
      <w:marRight w:val="0"/>
      <w:marTop w:val="0"/>
      <w:marBottom w:val="0"/>
      <w:divBdr>
        <w:top w:val="none" w:sz="0" w:space="0" w:color="auto"/>
        <w:left w:val="none" w:sz="0" w:space="0" w:color="auto"/>
        <w:bottom w:val="none" w:sz="0" w:space="0" w:color="auto"/>
        <w:right w:val="none" w:sz="0" w:space="0" w:color="auto"/>
      </w:divBdr>
    </w:div>
    <w:div w:id="242298204">
      <w:bodyDiv w:val="1"/>
      <w:marLeft w:val="0"/>
      <w:marRight w:val="0"/>
      <w:marTop w:val="0"/>
      <w:marBottom w:val="0"/>
      <w:divBdr>
        <w:top w:val="none" w:sz="0" w:space="0" w:color="auto"/>
        <w:left w:val="none" w:sz="0" w:space="0" w:color="auto"/>
        <w:bottom w:val="none" w:sz="0" w:space="0" w:color="auto"/>
        <w:right w:val="none" w:sz="0" w:space="0" w:color="auto"/>
      </w:divBdr>
    </w:div>
    <w:div w:id="242298458">
      <w:bodyDiv w:val="1"/>
      <w:marLeft w:val="0"/>
      <w:marRight w:val="0"/>
      <w:marTop w:val="0"/>
      <w:marBottom w:val="0"/>
      <w:divBdr>
        <w:top w:val="none" w:sz="0" w:space="0" w:color="auto"/>
        <w:left w:val="none" w:sz="0" w:space="0" w:color="auto"/>
        <w:bottom w:val="none" w:sz="0" w:space="0" w:color="auto"/>
        <w:right w:val="none" w:sz="0" w:space="0" w:color="auto"/>
      </w:divBdr>
    </w:div>
    <w:div w:id="242379715">
      <w:bodyDiv w:val="1"/>
      <w:marLeft w:val="0"/>
      <w:marRight w:val="0"/>
      <w:marTop w:val="0"/>
      <w:marBottom w:val="0"/>
      <w:divBdr>
        <w:top w:val="none" w:sz="0" w:space="0" w:color="auto"/>
        <w:left w:val="none" w:sz="0" w:space="0" w:color="auto"/>
        <w:bottom w:val="none" w:sz="0" w:space="0" w:color="auto"/>
        <w:right w:val="none" w:sz="0" w:space="0" w:color="auto"/>
      </w:divBdr>
    </w:div>
    <w:div w:id="242446823">
      <w:bodyDiv w:val="1"/>
      <w:marLeft w:val="0"/>
      <w:marRight w:val="0"/>
      <w:marTop w:val="0"/>
      <w:marBottom w:val="0"/>
      <w:divBdr>
        <w:top w:val="none" w:sz="0" w:space="0" w:color="auto"/>
        <w:left w:val="none" w:sz="0" w:space="0" w:color="auto"/>
        <w:bottom w:val="none" w:sz="0" w:space="0" w:color="auto"/>
        <w:right w:val="none" w:sz="0" w:space="0" w:color="auto"/>
      </w:divBdr>
    </w:div>
    <w:div w:id="242448174">
      <w:bodyDiv w:val="1"/>
      <w:marLeft w:val="0"/>
      <w:marRight w:val="0"/>
      <w:marTop w:val="0"/>
      <w:marBottom w:val="0"/>
      <w:divBdr>
        <w:top w:val="none" w:sz="0" w:space="0" w:color="auto"/>
        <w:left w:val="none" w:sz="0" w:space="0" w:color="auto"/>
        <w:bottom w:val="none" w:sz="0" w:space="0" w:color="auto"/>
        <w:right w:val="none" w:sz="0" w:space="0" w:color="auto"/>
      </w:divBdr>
    </w:div>
    <w:div w:id="242495701">
      <w:bodyDiv w:val="1"/>
      <w:marLeft w:val="0"/>
      <w:marRight w:val="0"/>
      <w:marTop w:val="0"/>
      <w:marBottom w:val="0"/>
      <w:divBdr>
        <w:top w:val="none" w:sz="0" w:space="0" w:color="auto"/>
        <w:left w:val="none" w:sz="0" w:space="0" w:color="auto"/>
        <w:bottom w:val="none" w:sz="0" w:space="0" w:color="auto"/>
        <w:right w:val="none" w:sz="0" w:space="0" w:color="auto"/>
      </w:divBdr>
    </w:div>
    <w:div w:id="242566233">
      <w:bodyDiv w:val="1"/>
      <w:marLeft w:val="0"/>
      <w:marRight w:val="0"/>
      <w:marTop w:val="0"/>
      <w:marBottom w:val="0"/>
      <w:divBdr>
        <w:top w:val="none" w:sz="0" w:space="0" w:color="auto"/>
        <w:left w:val="none" w:sz="0" w:space="0" w:color="auto"/>
        <w:bottom w:val="none" w:sz="0" w:space="0" w:color="auto"/>
        <w:right w:val="none" w:sz="0" w:space="0" w:color="auto"/>
      </w:divBdr>
    </w:div>
    <w:div w:id="242569400">
      <w:bodyDiv w:val="1"/>
      <w:marLeft w:val="0"/>
      <w:marRight w:val="0"/>
      <w:marTop w:val="0"/>
      <w:marBottom w:val="0"/>
      <w:divBdr>
        <w:top w:val="none" w:sz="0" w:space="0" w:color="auto"/>
        <w:left w:val="none" w:sz="0" w:space="0" w:color="auto"/>
        <w:bottom w:val="none" w:sz="0" w:space="0" w:color="auto"/>
        <w:right w:val="none" w:sz="0" w:space="0" w:color="auto"/>
      </w:divBdr>
    </w:div>
    <w:div w:id="242687141">
      <w:bodyDiv w:val="1"/>
      <w:marLeft w:val="0"/>
      <w:marRight w:val="0"/>
      <w:marTop w:val="0"/>
      <w:marBottom w:val="0"/>
      <w:divBdr>
        <w:top w:val="none" w:sz="0" w:space="0" w:color="auto"/>
        <w:left w:val="none" w:sz="0" w:space="0" w:color="auto"/>
        <w:bottom w:val="none" w:sz="0" w:space="0" w:color="auto"/>
        <w:right w:val="none" w:sz="0" w:space="0" w:color="auto"/>
      </w:divBdr>
    </w:div>
    <w:div w:id="242763711">
      <w:bodyDiv w:val="1"/>
      <w:marLeft w:val="0"/>
      <w:marRight w:val="0"/>
      <w:marTop w:val="0"/>
      <w:marBottom w:val="0"/>
      <w:divBdr>
        <w:top w:val="none" w:sz="0" w:space="0" w:color="auto"/>
        <w:left w:val="none" w:sz="0" w:space="0" w:color="auto"/>
        <w:bottom w:val="none" w:sz="0" w:space="0" w:color="auto"/>
        <w:right w:val="none" w:sz="0" w:space="0" w:color="auto"/>
      </w:divBdr>
    </w:div>
    <w:div w:id="242841430">
      <w:bodyDiv w:val="1"/>
      <w:marLeft w:val="0"/>
      <w:marRight w:val="0"/>
      <w:marTop w:val="0"/>
      <w:marBottom w:val="0"/>
      <w:divBdr>
        <w:top w:val="none" w:sz="0" w:space="0" w:color="auto"/>
        <w:left w:val="none" w:sz="0" w:space="0" w:color="auto"/>
        <w:bottom w:val="none" w:sz="0" w:space="0" w:color="auto"/>
        <w:right w:val="none" w:sz="0" w:space="0" w:color="auto"/>
      </w:divBdr>
    </w:div>
    <w:div w:id="242883180">
      <w:bodyDiv w:val="1"/>
      <w:marLeft w:val="0"/>
      <w:marRight w:val="0"/>
      <w:marTop w:val="0"/>
      <w:marBottom w:val="0"/>
      <w:divBdr>
        <w:top w:val="none" w:sz="0" w:space="0" w:color="auto"/>
        <w:left w:val="none" w:sz="0" w:space="0" w:color="auto"/>
        <w:bottom w:val="none" w:sz="0" w:space="0" w:color="auto"/>
        <w:right w:val="none" w:sz="0" w:space="0" w:color="auto"/>
      </w:divBdr>
    </w:div>
    <w:div w:id="242952995">
      <w:bodyDiv w:val="1"/>
      <w:marLeft w:val="0"/>
      <w:marRight w:val="0"/>
      <w:marTop w:val="0"/>
      <w:marBottom w:val="0"/>
      <w:divBdr>
        <w:top w:val="none" w:sz="0" w:space="0" w:color="auto"/>
        <w:left w:val="none" w:sz="0" w:space="0" w:color="auto"/>
        <w:bottom w:val="none" w:sz="0" w:space="0" w:color="auto"/>
        <w:right w:val="none" w:sz="0" w:space="0" w:color="auto"/>
      </w:divBdr>
    </w:div>
    <w:div w:id="243074993">
      <w:bodyDiv w:val="1"/>
      <w:marLeft w:val="0"/>
      <w:marRight w:val="0"/>
      <w:marTop w:val="0"/>
      <w:marBottom w:val="0"/>
      <w:divBdr>
        <w:top w:val="none" w:sz="0" w:space="0" w:color="auto"/>
        <w:left w:val="none" w:sz="0" w:space="0" w:color="auto"/>
        <w:bottom w:val="none" w:sz="0" w:space="0" w:color="auto"/>
        <w:right w:val="none" w:sz="0" w:space="0" w:color="auto"/>
      </w:divBdr>
    </w:div>
    <w:div w:id="243150347">
      <w:bodyDiv w:val="1"/>
      <w:marLeft w:val="0"/>
      <w:marRight w:val="0"/>
      <w:marTop w:val="0"/>
      <w:marBottom w:val="0"/>
      <w:divBdr>
        <w:top w:val="none" w:sz="0" w:space="0" w:color="auto"/>
        <w:left w:val="none" w:sz="0" w:space="0" w:color="auto"/>
        <w:bottom w:val="none" w:sz="0" w:space="0" w:color="auto"/>
        <w:right w:val="none" w:sz="0" w:space="0" w:color="auto"/>
      </w:divBdr>
    </w:div>
    <w:div w:id="243229367">
      <w:bodyDiv w:val="1"/>
      <w:marLeft w:val="0"/>
      <w:marRight w:val="0"/>
      <w:marTop w:val="0"/>
      <w:marBottom w:val="0"/>
      <w:divBdr>
        <w:top w:val="none" w:sz="0" w:space="0" w:color="auto"/>
        <w:left w:val="none" w:sz="0" w:space="0" w:color="auto"/>
        <w:bottom w:val="none" w:sz="0" w:space="0" w:color="auto"/>
        <w:right w:val="none" w:sz="0" w:space="0" w:color="auto"/>
      </w:divBdr>
    </w:div>
    <w:div w:id="243295506">
      <w:bodyDiv w:val="1"/>
      <w:marLeft w:val="0"/>
      <w:marRight w:val="0"/>
      <w:marTop w:val="0"/>
      <w:marBottom w:val="0"/>
      <w:divBdr>
        <w:top w:val="none" w:sz="0" w:space="0" w:color="auto"/>
        <w:left w:val="none" w:sz="0" w:space="0" w:color="auto"/>
        <w:bottom w:val="none" w:sz="0" w:space="0" w:color="auto"/>
        <w:right w:val="none" w:sz="0" w:space="0" w:color="auto"/>
      </w:divBdr>
    </w:div>
    <w:div w:id="243422386">
      <w:bodyDiv w:val="1"/>
      <w:marLeft w:val="0"/>
      <w:marRight w:val="0"/>
      <w:marTop w:val="0"/>
      <w:marBottom w:val="0"/>
      <w:divBdr>
        <w:top w:val="none" w:sz="0" w:space="0" w:color="auto"/>
        <w:left w:val="none" w:sz="0" w:space="0" w:color="auto"/>
        <w:bottom w:val="none" w:sz="0" w:space="0" w:color="auto"/>
        <w:right w:val="none" w:sz="0" w:space="0" w:color="auto"/>
      </w:divBdr>
    </w:div>
    <w:div w:id="243491779">
      <w:bodyDiv w:val="1"/>
      <w:marLeft w:val="0"/>
      <w:marRight w:val="0"/>
      <w:marTop w:val="0"/>
      <w:marBottom w:val="0"/>
      <w:divBdr>
        <w:top w:val="none" w:sz="0" w:space="0" w:color="auto"/>
        <w:left w:val="none" w:sz="0" w:space="0" w:color="auto"/>
        <w:bottom w:val="none" w:sz="0" w:space="0" w:color="auto"/>
        <w:right w:val="none" w:sz="0" w:space="0" w:color="auto"/>
      </w:divBdr>
    </w:div>
    <w:div w:id="243533256">
      <w:bodyDiv w:val="1"/>
      <w:marLeft w:val="0"/>
      <w:marRight w:val="0"/>
      <w:marTop w:val="0"/>
      <w:marBottom w:val="0"/>
      <w:divBdr>
        <w:top w:val="none" w:sz="0" w:space="0" w:color="auto"/>
        <w:left w:val="none" w:sz="0" w:space="0" w:color="auto"/>
        <w:bottom w:val="none" w:sz="0" w:space="0" w:color="auto"/>
        <w:right w:val="none" w:sz="0" w:space="0" w:color="auto"/>
      </w:divBdr>
    </w:div>
    <w:div w:id="243539827">
      <w:bodyDiv w:val="1"/>
      <w:marLeft w:val="0"/>
      <w:marRight w:val="0"/>
      <w:marTop w:val="0"/>
      <w:marBottom w:val="0"/>
      <w:divBdr>
        <w:top w:val="none" w:sz="0" w:space="0" w:color="auto"/>
        <w:left w:val="none" w:sz="0" w:space="0" w:color="auto"/>
        <w:bottom w:val="none" w:sz="0" w:space="0" w:color="auto"/>
        <w:right w:val="none" w:sz="0" w:space="0" w:color="auto"/>
      </w:divBdr>
    </w:div>
    <w:div w:id="243688926">
      <w:bodyDiv w:val="1"/>
      <w:marLeft w:val="0"/>
      <w:marRight w:val="0"/>
      <w:marTop w:val="0"/>
      <w:marBottom w:val="0"/>
      <w:divBdr>
        <w:top w:val="none" w:sz="0" w:space="0" w:color="auto"/>
        <w:left w:val="none" w:sz="0" w:space="0" w:color="auto"/>
        <w:bottom w:val="none" w:sz="0" w:space="0" w:color="auto"/>
        <w:right w:val="none" w:sz="0" w:space="0" w:color="auto"/>
      </w:divBdr>
    </w:div>
    <w:div w:id="243689230">
      <w:bodyDiv w:val="1"/>
      <w:marLeft w:val="0"/>
      <w:marRight w:val="0"/>
      <w:marTop w:val="0"/>
      <w:marBottom w:val="0"/>
      <w:divBdr>
        <w:top w:val="none" w:sz="0" w:space="0" w:color="auto"/>
        <w:left w:val="none" w:sz="0" w:space="0" w:color="auto"/>
        <w:bottom w:val="none" w:sz="0" w:space="0" w:color="auto"/>
        <w:right w:val="none" w:sz="0" w:space="0" w:color="auto"/>
      </w:divBdr>
    </w:div>
    <w:div w:id="243734197">
      <w:bodyDiv w:val="1"/>
      <w:marLeft w:val="0"/>
      <w:marRight w:val="0"/>
      <w:marTop w:val="0"/>
      <w:marBottom w:val="0"/>
      <w:divBdr>
        <w:top w:val="none" w:sz="0" w:space="0" w:color="auto"/>
        <w:left w:val="none" w:sz="0" w:space="0" w:color="auto"/>
        <w:bottom w:val="none" w:sz="0" w:space="0" w:color="auto"/>
        <w:right w:val="none" w:sz="0" w:space="0" w:color="auto"/>
      </w:divBdr>
    </w:div>
    <w:div w:id="243801470">
      <w:bodyDiv w:val="1"/>
      <w:marLeft w:val="0"/>
      <w:marRight w:val="0"/>
      <w:marTop w:val="0"/>
      <w:marBottom w:val="0"/>
      <w:divBdr>
        <w:top w:val="none" w:sz="0" w:space="0" w:color="auto"/>
        <w:left w:val="none" w:sz="0" w:space="0" w:color="auto"/>
        <w:bottom w:val="none" w:sz="0" w:space="0" w:color="auto"/>
        <w:right w:val="none" w:sz="0" w:space="0" w:color="auto"/>
      </w:divBdr>
    </w:div>
    <w:div w:id="243803700">
      <w:bodyDiv w:val="1"/>
      <w:marLeft w:val="0"/>
      <w:marRight w:val="0"/>
      <w:marTop w:val="0"/>
      <w:marBottom w:val="0"/>
      <w:divBdr>
        <w:top w:val="none" w:sz="0" w:space="0" w:color="auto"/>
        <w:left w:val="none" w:sz="0" w:space="0" w:color="auto"/>
        <w:bottom w:val="none" w:sz="0" w:space="0" w:color="auto"/>
        <w:right w:val="none" w:sz="0" w:space="0" w:color="auto"/>
      </w:divBdr>
    </w:div>
    <w:div w:id="243877688">
      <w:bodyDiv w:val="1"/>
      <w:marLeft w:val="0"/>
      <w:marRight w:val="0"/>
      <w:marTop w:val="0"/>
      <w:marBottom w:val="0"/>
      <w:divBdr>
        <w:top w:val="none" w:sz="0" w:space="0" w:color="auto"/>
        <w:left w:val="none" w:sz="0" w:space="0" w:color="auto"/>
        <w:bottom w:val="none" w:sz="0" w:space="0" w:color="auto"/>
        <w:right w:val="none" w:sz="0" w:space="0" w:color="auto"/>
      </w:divBdr>
    </w:div>
    <w:div w:id="243879912">
      <w:bodyDiv w:val="1"/>
      <w:marLeft w:val="0"/>
      <w:marRight w:val="0"/>
      <w:marTop w:val="0"/>
      <w:marBottom w:val="0"/>
      <w:divBdr>
        <w:top w:val="none" w:sz="0" w:space="0" w:color="auto"/>
        <w:left w:val="none" w:sz="0" w:space="0" w:color="auto"/>
        <w:bottom w:val="none" w:sz="0" w:space="0" w:color="auto"/>
        <w:right w:val="none" w:sz="0" w:space="0" w:color="auto"/>
      </w:divBdr>
    </w:div>
    <w:div w:id="243925177">
      <w:bodyDiv w:val="1"/>
      <w:marLeft w:val="0"/>
      <w:marRight w:val="0"/>
      <w:marTop w:val="0"/>
      <w:marBottom w:val="0"/>
      <w:divBdr>
        <w:top w:val="none" w:sz="0" w:space="0" w:color="auto"/>
        <w:left w:val="none" w:sz="0" w:space="0" w:color="auto"/>
        <w:bottom w:val="none" w:sz="0" w:space="0" w:color="auto"/>
        <w:right w:val="none" w:sz="0" w:space="0" w:color="auto"/>
      </w:divBdr>
    </w:div>
    <w:div w:id="244000029">
      <w:bodyDiv w:val="1"/>
      <w:marLeft w:val="0"/>
      <w:marRight w:val="0"/>
      <w:marTop w:val="0"/>
      <w:marBottom w:val="0"/>
      <w:divBdr>
        <w:top w:val="none" w:sz="0" w:space="0" w:color="auto"/>
        <w:left w:val="none" w:sz="0" w:space="0" w:color="auto"/>
        <w:bottom w:val="none" w:sz="0" w:space="0" w:color="auto"/>
        <w:right w:val="none" w:sz="0" w:space="0" w:color="auto"/>
      </w:divBdr>
    </w:div>
    <w:div w:id="244075711">
      <w:bodyDiv w:val="1"/>
      <w:marLeft w:val="0"/>
      <w:marRight w:val="0"/>
      <w:marTop w:val="0"/>
      <w:marBottom w:val="0"/>
      <w:divBdr>
        <w:top w:val="none" w:sz="0" w:space="0" w:color="auto"/>
        <w:left w:val="none" w:sz="0" w:space="0" w:color="auto"/>
        <w:bottom w:val="none" w:sz="0" w:space="0" w:color="auto"/>
        <w:right w:val="none" w:sz="0" w:space="0" w:color="auto"/>
      </w:divBdr>
    </w:div>
    <w:div w:id="244150415">
      <w:bodyDiv w:val="1"/>
      <w:marLeft w:val="0"/>
      <w:marRight w:val="0"/>
      <w:marTop w:val="0"/>
      <w:marBottom w:val="0"/>
      <w:divBdr>
        <w:top w:val="none" w:sz="0" w:space="0" w:color="auto"/>
        <w:left w:val="none" w:sz="0" w:space="0" w:color="auto"/>
        <w:bottom w:val="none" w:sz="0" w:space="0" w:color="auto"/>
        <w:right w:val="none" w:sz="0" w:space="0" w:color="auto"/>
      </w:divBdr>
    </w:div>
    <w:div w:id="244152448">
      <w:bodyDiv w:val="1"/>
      <w:marLeft w:val="0"/>
      <w:marRight w:val="0"/>
      <w:marTop w:val="0"/>
      <w:marBottom w:val="0"/>
      <w:divBdr>
        <w:top w:val="none" w:sz="0" w:space="0" w:color="auto"/>
        <w:left w:val="none" w:sz="0" w:space="0" w:color="auto"/>
        <w:bottom w:val="none" w:sz="0" w:space="0" w:color="auto"/>
        <w:right w:val="none" w:sz="0" w:space="0" w:color="auto"/>
      </w:divBdr>
    </w:div>
    <w:div w:id="244263973">
      <w:bodyDiv w:val="1"/>
      <w:marLeft w:val="0"/>
      <w:marRight w:val="0"/>
      <w:marTop w:val="0"/>
      <w:marBottom w:val="0"/>
      <w:divBdr>
        <w:top w:val="none" w:sz="0" w:space="0" w:color="auto"/>
        <w:left w:val="none" w:sz="0" w:space="0" w:color="auto"/>
        <w:bottom w:val="none" w:sz="0" w:space="0" w:color="auto"/>
        <w:right w:val="none" w:sz="0" w:space="0" w:color="auto"/>
      </w:divBdr>
    </w:div>
    <w:div w:id="244338043">
      <w:bodyDiv w:val="1"/>
      <w:marLeft w:val="0"/>
      <w:marRight w:val="0"/>
      <w:marTop w:val="0"/>
      <w:marBottom w:val="0"/>
      <w:divBdr>
        <w:top w:val="none" w:sz="0" w:space="0" w:color="auto"/>
        <w:left w:val="none" w:sz="0" w:space="0" w:color="auto"/>
        <w:bottom w:val="none" w:sz="0" w:space="0" w:color="auto"/>
        <w:right w:val="none" w:sz="0" w:space="0" w:color="auto"/>
      </w:divBdr>
    </w:div>
    <w:div w:id="244343079">
      <w:bodyDiv w:val="1"/>
      <w:marLeft w:val="0"/>
      <w:marRight w:val="0"/>
      <w:marTop w:val="0"/>
      <w:marBottom w:val="0"/>
      <w:divBdr>
        <w:top w:val="none" w:sz="0" w:space="0" w:color="auto"/>
        <w:left w:val="none" w:sz="0" w:space="0" w:color="auto"/>
        <w:bottom w:val="none" w:sz="0" w:space="0" w:color="auto"/>
        <w:right w:val="none" w:sz="0" w:space="0" w:color="auto"/>
      </w:divBdr>
    </w:div>
    <w:div w:id="244343261">
      <w:bodyDiv w:val="1"/>
      <w:marLeft w:val="0"/>
      <w:marRight w:val="0"/>
      <w:marTop w:val="0"/>
      <w:marBottom w:val="0"/>
      <w:divBdr>
        <w:top w:val="none" w:sz="0" w:space="0" w:color="auto"/>
        <w:left w:val="none" w:sz="0" w:space="0" w:color="auto"/>
        <w:bottom w:val="none" w:sz="0" w:space="0" w:color="auto"/>
        <w:right w:val="none" w:sz="0" w:space="0" w:color="auto"/>
      </w:divBdr>
    </w:div>
    <w:div w:id="244606344">
      <w:bodyDiv w:val="1"/>
      <w:marLeft w:val="0"/>
      <w:marRight w:val="0"/>
      <w:marTop w:val="0"/>
      <w:marBottom w:val="0"/>
      <w:divBdr>
        <w:top w:val="none" w:sz="0" w:space="0" w:color="auto"/>
        <w:left w:val="none" w:sz="0" w:space="0" w:color="auto"/>
        <w:bottom w:val="none" w:sz="0" w:space="0" w:color="auto"/>
        <w:right w:val="none" w:sz="0" w:space="0" w:color="auto"/>
      </w:divBdr>
    </w:div>
    <w:div w:id="244608927">
      <w:bodyDiv w:val="1"/>
      <w:marLeft w:val="0"/>
      <w:marRight w:val="0"/>
      <w:marTop w:val="0"/>
      <w:marBottom w:val="0"/>
      <w:divBdr>
        <w:top w:val="none" w:sz="0" w:space="0" w:color="auto"/>
        <w:left w:val="none" w:sz="0" w:space="0" w:color="auto"/>
        <w:bottom w:val="none" w:sz="0" w:space="0" w:color="auto"/>
        <w:right w:val="none" w:sz="0" w:space="0" w:color="auto"/>
      </w:divBdr>
    </w:div>
    <w:div w:id="244649150">
      <w:bodyDiv w:val="1"/>
      <w:marLeft w:val="0"/>
      <w:marRight w:val="0"/>
      <w:marTop w:val="0"/>
      <w:marBottom w:val="0"/>
      <w:divBdr>
        <w:top w:val="none" w:sz="0" w:space="0" w:color="auto"/>
        <w:left w:val="none" w:sz="0" w:space="0" w:color="auto"/>
        <w:bottom w:val="none" w:sz="0" w:space="0" w:color="auto"/>
        <w:right w:val="none" w:sz="0" w:space="0" w:color="auto"/>
      </w:divBdr>
    </w:div>
    <w:div w:id="244651056">
      <w:bodyDiv w:val="1"/>
      <w:marLeft w:val="0"/>
      <w:marRight w:val="0"/>
      <w:marTop w:val="0"/>
      <w:marBottom w:val="0"/>
      <w:divBdr>
        <w:top w:val="none" w:sz="0" w:space="0" w:color="auto"/>
        <w:left w:val="none" w:sz="0" w:space="0" w:color="auto"/>
        <w:bottom w:val="none" w:sz="0" w:space="0" w:color="auto"/>
        <w:right w:val="none" w:sz="0" w:space="0" w:color="auto"/>
      </w:divBdr>
    </w:div>
    <w:div w:id="244651349">
      <w:bodyDiv w:val="1"/>
      <w:marLeft w:val="0"/>
      <w:marRight w:val="0"/>
      <w:marTop w:val="0"/>
      <w:marBottom w:val="0"/>
      <w:divBdr>
        <w:top w:val="none" w:sz="0" w:space="0" w:color="auto"/>
        <w:left w:val="none" w:sz="0" w:space="0" w:color="auto"/>
        <w:bottom w:val="none" w:sz="0" w:space="0" w:color="auto"/>
        <w:right w:val="none" w:sz="0" w:space="0" w:color="auto"/>
      </w:divBdr>
    </w:div>
    <w:div w:id="244733328">
      <w:bodyDiv w:val="1"/>
      <w:marLeft w:val="0"/>
      <w:marRight w:val="0"/>
      <w:marTop w:val="0"/>
      <w:marBottom w:val="0"/>
      <w:divBdr>
        <w:top w:val="none" w:sz="0" w:space="0" w:color="auto"/>
        <w:left w:val="none" w:sz="0" w:space="0" w:color="auto"/>
        <w:bottom w:val="none" w:sz="0" w:space="0" w:color="auto"/>
        <w:right w:val="none" w:sz="0" w:space="0" w:color="auto"/>
      </w:divBdr>
    </w:div>
    <w:div w:id="244849367">
      <w:bodyDiv w:val="1"/>
      <w:marLeft w:val="0"/>
      <w:marRight w:val="0"/>
      <w:marTop w:val="0"/>
      <w:marBottom w:val="0"/>
      <w:divBdr>
        <w:top w:val="none" w:sz="0" w:space="0" w:color="auto"/>
        <w:left w:val="none" w:sz="0" w:space="0" w:color="auto"/>
        <w:bottom w:val="none" w:sz="0" w:space="0" w:color="auto"/>
        <w:right w:val="none" w:sz="0" w:space="0" w:color="auto"/>
      </w:divBdr>
    </w:div>
    <w:div w:id="244920161">
      <w:bodyDiv w:val="1"/>
      <w:marLeft w:val="0"/>
      <w:marRight w:val="0"/>
      <w:marTop w:val="0"/>
      <w:marBottom w:val="0"/>
      <w:divBdr>
        <w:top w:val="none" w:sz="0" w:space="0" w:color="auto"/>
        <w:left w:val="none" w:sz="0" w:space="0" w:color="auto"/>
        <w:bottom w:val="none" w:sz="0" w:space="0" w:color="auto"/>
        <w:right w:val="none" w:sz="0" w:space="0" w:color="auto"/>
      </w:divBdr>
    </w:div>
    <w:div w:id="244998850">
      <w:bodyDiv w:val="1"/>
      <w:marLeft w:val="0"/>
      <w:marRight w:val="0"/>
      <w:marTop w:val="0"/>
      <w:marBottom w:val="0"/>
      <w:divBdr>
        <w:top w:val="none" w:sz="0" w:space="0" w:color="auto"/>
        <w:left w:val="none" w:sz="0" w:space="0" w:color="auto"/>
        <w:bottom w:val="none" w:sz="0" w:space="0" w:color="auto"/>
        <w:right w:val="none" w:sz="0" w:space="0" w:color="auto"/>
      </w:divBdr>
    </w:div>
    <w:div w:id="245042966">
      <w:bodyDiv w:val="1"/>
      <w:marLeft w:val="0"/>
      <w:marRight w:val="0"/>
      <w:marTop w:val="0"/>
      <w:marBottom w:val="0"/>
      <w:divBdr>
        <w:top w:val="none" w:sz="0" w:space="0" w:color="auto"/>
        <w:left w:val="none" w:sz="0" w:space="0" w:color="auto"/>
        <w:bottom w:val="none" w:sz="0" w:space="0" w:color="auto"/>
        <w:right w:val="none" w:sz="0" w:space="0" w:color="auto"/>
      </w:divBdr>
    </w:div>
    <w:div w:id="245266525">
      <w:bodyDiv w:val="1"/>
      <w:marLeft w:val="0"/>
      <w:marRight w:val="0"/>
      <w:marTop w:val="0"/>
      <w:marBottom w:val="0"/>
      <w:divBdr>
        <w:top w:val="none" w:sz="0" w:space="0" w:color="auto"/>
        <w:left w:val="none" w:sz="0" w:space="0" w:color="auto"/>
        <w:bottom w:val="none" w:sz="0" w:space="0" w:color="auto"/>
        <w:right w:val="none" w:sz="0" w:space="0" w:color="auto"/>
      </w:divBdr>
    </w:div>
    <w:div w:id="245309330">
      <w:bodyDiv w:val="1"/>
      <w:marLeft w:val="0"/>
      <w:marRight w:val="0"/>
      <w:marTop w:val="0"/>
      <w:marBottom w:val="0"/>
      <w:divBdr>
        <w:top w:val="none" w:sz="0" w:space="0" w:color="auto"/>
        <w:left w:val="none" w:sz="0" w:space="0" w:color="auto"/>
        <w:bottom w:val="none" w:sz="0" w:space="0" w:color="auto"/>
        <w:right w:val="none" w:sz="0" w:space="0" w:color="auto"/>
      </w:divBdr>
    </w:div>
    <w:div w:id="245381447">
      <w:bodyDiv w:val="1"/>
      <w:marLeft w:val="0"/>
      <w:marRight w:val="0"/>
      <w:marTop w:val="0"/>
      <w:marBottom w:val="0"/>
      <w:divBdr>
        <w:top w:val="none" w:sz="0" w:space="0" w:color="auto"/>
        <w:left w:val="none" w:sz="0" w:space="0" w:color="auto"/>
        <w:bottom w:val="none" w:sz="0" w:space="0" w:color="auto"/>
        <w:right w:val="none" w:sz="0" w:space="0" w:color="auto"/>
      </w:divBdr>
    </w:div>
    <w:div w:id="245387572">
      <w:bodyDiv w:val="1"/>
      <w:marLeft w:val="0"/>
      <w:marRight w:val="0"/>
      <w:marTop w:val="0"/>
      <w:marBottom w:val="0"/>
      <w:divBdr>
        <w:top w:val="none" w:sz="0" w:space="0" w:color="auto"/>
        <w:left w:val="none" w:sz="0" w:space="0" w:color="auto"/>
        <w:bottom w:val="none" w:sz="0" w:space="0" w:color="auto"/>
        <w:right w:val="none" w:sz="0" w:space="0" w:color="auto"/>
      </w:divBdr>
    </w:div>
    <w:div w:id="245505358">
      <w:bodyDiv w:val="1"/>
      <w:marLeft w:val="0"/>
      <w:marRight w:val="0"/>
      <w:marTop w:val="0"/>
      <w:marBottom w:val="0"/>
      <w:divBdr>
        <w:top w:val="none" w:sz="0" w:space="0" w:color="auto"/>
        <w:left w:val="none" w:sz="0" w:space="0" w:color="auto"/>
        <w:bottom w:val="none" w:sz="0" w:space="0" w:color="auto"/>
        <w:right w:val="none" w:sz="0" w:space="0" w:color="auto"/>
      </w:divBdr>
    </w:div>
    <w:div w:id="245579769">
      <w:bodyDiv w:val="1"/>
      <w:marLeft w:val="0"/>
      <w:marRight w:val="0"/>
      <w:marTop w:val="0"/>
      <w:marBottom w:val="0"/>
      <w:divBdr>
        <w:top w:val="none" w:sz="0" w:space="0" w:color="auto"/>
        <w:left w:val="none" w:sz="0" w:space="0" w:color="auto"/>
        <w:bottom w:val="none" w:sz="0" w:space="0" w:color="auto"/>
        <w:right w:val="none" w:sz="0" w:space="0" w:color="auto"/>
      </w:divBdr>
    </w:div>
    <w:div w:id="245649841">
      <w:bodyDiv w:val="1"/>
      <w:marLeft w:val="0"/>
      <w:marRight w:val="0"/>
      <w:marTop w:val="0"/>
      <w:marBottom w:val="0"/>
      <w:divBdr>
        <w:top w:val="none" w:sz="0" w:space="0" w:color="auto"/>
        <w:left w:val="none" w:sz="0" w:space="0" w:color="auto"/>
        <w:bottom w:val="none" w:sz="0" w:space="0" w:color="auto"/>
        <w:right w:val="none" w:sz="0" w:space="0" w:color="auto"/>
      </w:divBdr>
    </w:div>
    <w:div w:id="245650323">
      <w:bodyDiv w:val="1"/>
      <w:marLeft w:val="0"/>
      <w:marRight w:val="0"/>
      <w:marTop w:val="0"/>
      <w:marBottom w:val="0"/>
      <w:divBdr>
        <w:top w:val="none" w:sz="0" w:space="0" w:color="auto"/>
        <w:left w:val="none" w:sz="0" w:space="0" w:color="auto"/>
        <w:bottom w:val="none" w:sz="0" w:space="0" w:color="auto"/>
        <w:right w:val="none" w:sz="0" w:space="0" w:color="auto"/>
      </w:divBdr>
    </w:div>
    <w:div w:id="245655015">
      <w:bodyDiv w:val="1"/>
      <w:marLeft w:val="0"/>
      <w:marRight w:val="0"/>
      <w:marTop w:val="0"/>
      <w:marBottom w:val="0"/>
      <w:divBdr>
        <w:top w:val="none" w:sz="0" w:space="0" w:color="auto"/>
        <w:left w:val="none" w:sz="0" w:space="0" w:color="auto"/>
        <w:bottom w:val="none" w:sz="0" w:space="0" w:color="auto"/>
        <w:right w:val="none" w:sz="0" w:space="0" w:color="auto"/>
      </w:divBdr>
    </w:div>
    <w:div w:id="245657252">
      <w:bodyDiv w:val="1"/>
      <w:marLeft w:val="0"/>
      <w:marRight w:val="0"/>
      <w:marTop w:val="0"/>
      <w:marBottom w:val="0"/>
      <w:divBdr>
        <w:top w:val="none" w:sz="0" w:space="0" w:color="auto"/>
        <w:left w:val="none" w:sz="0" w:space="0" w:color="auto"/>
        <w:bottom w:val="none" w:sz="0" w:space="0" w:color="auto"/>
        <w:right w:val="none" w:sz="0" w:space="0" w:color="auto"/>
      </w:divBdr>
    </w:div>
    <w:div w:id="245724781">
      <w:bodyDiv w:val="1"/>
      <w:marLeft w:val="0"/>
      <w:marRight w:val="0"/>
      <w:marTop w:val="0"/>
      <w:marBottom w:val="0"/>
      <w:divBdr>
        <w:top w:val="none" w:sz="0" w:space="0" w:color="auto"/>
        <w:left w:val="none" w:sz="0" w:space="0" w:color="auto"/>
        <w:bottom w:val="none" w:sz="0" w:space="0" w:color="auto"/>
        <w:right w:val="none" w:sz="0" w:space="0" w:color="auto"/>
      </w:divBdr>
    </w:div>
    <w:div w:id="245766561">
      <w:bodyDiv w:val="1"/>
      <w:marLeft w:val="0"/>
      <w:marRight w:val="0"/>
      <w:marTop w:val="0"/>
      <w:marBottom w:val="0"/>
      <w:divBdr>
        <w:top w:val="none" w:sz="0" w:space="0" w:color="auto"/>
        <w:left w:val="none" w:sz="0" w:space="0" w:color="auto"/>
        <w:bottom w:val="none" w:sz="0" w:space="0" w:color="auto"/>
        <w:right w:val="none" w:sz="0" w:space="0" w:color="auto"/>
      </w:divBdr>
    </w:div>
    <w:div w:id="245766936">
      <w:bodyDiv w:val="1"/>
      <w:marLeft w:val="0"/>
      <w:marRight w:val="0"/>
      <w:marTop w:val="0"/>
      <w:marBottom w:val="0"/>
      <w:divBdr>
        <w:top w:val="none" w:sz="0" w:space="0" w:color="auto"/>
        <w:left w:val="none" w:sz="0" w:space="0" w:color="auto"/>
        <w:bottom w:val="none" w:sz="0" w:space="0" w:color="auto"/>
        <w:right w:val="none" w:sz="0" w:space="0" w:color="auto"/>
      </w:divBdr>
    </w:div>
    <w:div w:id="245849286">
      <w:bodyDiv w:val="1"/>
      <w:marLeft w:val="0"/>
      <w:marRight w:val="0"/>
      <w:marTop w:val="0"/>
      <w:marBottom w:val="0"/>
      <w:divBdr>
        <w:top w:val="none" w:sz="0" w:space="0" w:color="auto"/>
        <w:left w:val="none" w:sz="0" w:space="0" w:color="auto"/>
        <w:bottom w:val="none" w:sz="0" w:space="0" w:color="auto"/>
        <w:right w:val="none" w:sz="0" w:space="0" w:color="auto"/>
      </w:divBdr>
    </w:div>
    <w:div w:id="245891892">
      <w:bodyDiv w:val="1"/>
      <w:marLeft w:val="0"/>
      <w:marRight w:val="0"/>
      <w:marTop w:val="0"/>
      <w:marBottom w:val="0"/>
      <w:divBdr>
        <w:top w:val="none" w:sz="0" w:space="0" w:color="auto"/>
        <w:left w:val="none" w:sz="0" w:space="0" w:color="auto"/>
        <w:bottom w:val="none" w:sz="0" w:space="0" w:color="auto"/>
        <w:right w:val="none" w:sz="0" w:space="0" w:color="auto"/>
      </w:divBdr>
    </w:div>
    <w:div w:id="246036375">
      <w:bodyDiv w:val="1"/>
      <w:marLeft w:val="0"/>
      <w:marRight w:val="0"/>
      <w:marTop w:val="0"/>
      <w:marBottom w:val="0"/>
      <w:divBdr>
        <w:top w:val="none" w:sz="0" w:space="0" w:color="auto"/>
        <w:left w:val="none" w:sz="0" w:space="0" w:color="auto"/>
        <w:bottom w:val="none" w:sz="0" w:space="0" w:color="auto"/>
        <w:right w:val="none" w:sz="0" w:space="0" w:color="auto"/>
      </w:divBdr>
    </w:div>
    <w:div w:id="246110119">
      <w:bodyDiv w:val="1"/>
      <w:marLeft w:val="0"/>
      <w:marRight w:val="0"/>
      <w:marTop w:val="0"/>
      <w:marBottom w:val="0"/>
      <w:divBdr>
        <w:top w:val="none" w:sz="0" w:space="0" w:color="auto"/>
        <w:left w:val="none" w:sz="0" w:space="0" w:color="auto"/>
        <w:bottom w:val="none" w:sz="0" w:space="0" w:color="auto"/>
        <w:right w:val="none" w:sz="0" w:space="0" w:color="auto"/>
      </w:divBdr>
    </w:div>
    <w:div w:id="246113951">
      <w:bodyDiv w:val="1"/>
      <w:marLeft w:val="0"/>
      <w:marRight w:val="0"/>
      <w:marTop w:val="0"/>
      <w:marBottom w:val="0"/>
      <w:divBdr>
        <w:top w:val="none" w:sz="0" w:space="0" w:color="auto"/>
        <w:left w:val="none" w:sz="0" w:space="0" w:color="auto"/>
        <w:bottom w:val="none" w:sz="0" w:space="0" w:color="auto"/>
        <w:right w:val="none" w:sz="0" w:space="0" w:color="auto"/>
      </w:divBdr>
    </w:div>
    <w:div w:id="246117200">
      <w:bodyDiv w:val="1"/>
      <w:marLeft w:val="0"/>
      <w:marRight w:val="0"/>
      <w:marTop w:val="0"/>
      <w:marBottom w:val="0"/>
      <w:divBdr>
        <w:top w:val="none" w:sz="0" w:space="0" w:color="auto"/>
        <w:left w:val="none" w:sz="0" w:space="0" w:color="auto"/>
        <w:bottom w:val="none" w:sz="0" w:space="0" w:color="auto"/>
        <w:right w:val="none" w:sz="0" w:space="0" w:color="auto"/>
      </w:divBdr>
    </w:div>
    <w:div w:id="246117370">
      <w:bodyDiv w:val="1"/>
      <w:marLeft w:val="0"/>
      <w:marRight w:val="0"/>
      <w:marTop w:val="0"/>
      <w:marBottom w:val="0"/>
      <w:divBdr>
        <w:top w:val="none" w:sz="0" w:space="0" w:color="auto"/>
        <w:left w:val="none" w:sz="0" w:space="0" w:color="auto"/>
        <w:bottom w:val="none" w:sz="0" w:space="0" w:color="auto"/>
        <w:right w:val="none" w:sz="0" w:space="0" w:color="auto"/>
      </w:divBdr>
    </w:div>
    <w:div w:id="246156305">
      <w:bodyDiv w:val="1"/>
      <w:marLeft w:val="0"/>
      <w:marRight w:val="0"/>
      <w:marTop w:val="0"/>
      <w:marBottom w:val="0"/>
      <w:divBdr>
        <w:top w:val="none" w:sz="0" w:space="0" w:color="auto"/>
        <w:left w:val="none" w:sz="0" w:space="0" w:color="auto"/>
        <w:bottom w:val="none" w:sz="0" w:space="0" w:color="auto"/>
        <w:right w:val="none" w:sz="0" w:space="0" w:color="auto"/>
      </w:divBdr>
    </w:div>
    <w:div w:id="246228347">
      <w:bodyDiv w:val="1"/>
      <w:marLeft w:val="0"/>
      <w:marRight w:val="0"/>
      <w:marTop w:val="0"/>
      <w:marBottom w:val="0"/>
      <w:divBdr>
        <w:top w:val="none" w:sz="0" w:space="0" w:color="auto"/>
        <w:left w:val="none" w:sz="0" w:space="0" w:color="auto"/>
        <w:bottom w:val="none" w:sz="0" w:space="0" w:color="auto"/>
        <w:right w:val="none" w:sz="0" w:space="0" w:color="auto"/>
      </w:divBdr>
    </w:div>
    <w:div w:id="246353667">
      <w:bodyDiv w:val="1"/>
      <w:marLeft w:val="0"/>
      <w:marRight w:val="0"/>
      <w:marTop w:val="0"/>
      <w:marBottom w:val="0"/>
      <w:divBdr>
        <w:top w:val="none" w:sz="0" w:space="0" w:color="auto"/>
        <w:left w:val="none" w:sz="0" w:space="0" w:color="auto"/>
        <w:bottom w:val="none" w:sz="0" w:space="0" w:color="auto"/>
        <w:right w:val="none" w:sz="0" w:space="0" w:color="auto"/>
      </w:divBdr>
    </w:div>
    <w:div w:id="246500987">
      <w:bodyDiv w:val="1"/>
      <w:marLeft w:val="0"/>
      <w:marRight w:val="0"/>
      <w:marTop w:val="0"/>
      <w:marBottom w:val="0"/>
      <w:divBdr>
        <w:top w:val="none" w:sz="0" w:space="0" w:color="auto"/>
        <w:left w:val="none" w:sz="0" w:space="0" w:color="auto"/>
        <w:bottom w:val="none" w:sz="0" w:space="0" w:color="auto"/>
        <w:right w:val="none" w:sz="0" w:space="0" w:color="auto"/>
      </w:divBdr>
    </w:div>
    <w:div w:id="246623733">
      <w:bodyDiv w:val="1"/>
      <w:marLeft w:val="0"/>
      <w:marRight w:val="0"/>
      <w:marTop w:val="0"/>
      <w:marBottom w:val="0"/>
      <w:divBdr>
        <w:top w:val="none" w:sz="0" w:space="0" w:color="auto"/>
        <w:left w:val="none" w:sz="0" w:space="0" w:color="auto"/>
        <w:bottom w:val="none" w:sz="0" w:space="0" w:color="auto"/>
        <w:right w:val="none" w:sz="0" w:space="0" w:color="auto"/>
      </w:divBdr>
    </w:div>
    <w:div w:id="246811606">
      <w:bodyDiv w:val="1"/>
      <w:marLeft w:val="0"/>
      <w:marRight w:val="0"/>
      <w:marTop w:val="0"/>
      <w:marBottom w:val="0"/>
      <w:divBdr>
        <w:top w:val="none" w:sz="0" w:space="0" w:color="auto"/>
        <w:left w:val="none" w:sz="0" w:space="0" w:color="auto"/>
        <w:bottom w:val="none" w:sz="0" w:space="0" w:color="auto"/>
        <w:right w:val="none" w:sz="0" w:space="0" w:color="auto"/>
      </w:divBdr>
    </w:div>
    <w:div w:id="246817233">
      <w:bodyDiv w:val="1"/>
      <w:marLeft w:val="0"/>
      <w:marRight w:val="0"/>
      <w:marTop w:val="0"/>
      <w:marBottom w:val="0"/>
      <w:divBdr>
        <w:top w:val="none" w:sz="0" w:space="0" w:color="auto"/>
        <w:left w:val="none" w:sz="0" w:space="0" w:color="auto"/>
        <w:bottom w:val="none" w:sz="0" w:space="0" w:color="auto"/>
        <w:right w:val="none" w:sz="0" w:space="0" w:color="auto"/>
      </w:divBdr>
    </w:div>
    <w:div w:id="246840416">
      <w:bodyDiv w:val="1"/>
      <w:marLeft w:val="0"/>
      <w:marRight w:val="0"/>
      <w:marTop w:val="0"/>
      <w:marBottom w:val="0"/>
      <w:divBdr>
        <w:top w:val="none" w:sz="0" w:space="0" w:color="auto"/>
        <w:left w:val="none" w:sz="0" w:space="0" w:color="auto"/>
        <w:bottom w:val="none" w:sz="0" w:space="0" w:color="auto"/>
        <w:right w:val="none" w:sz="0" w:space="0" w:color="auto"/>
      </w:divBdr>
    </w:div>
    <w:div w:id="246892061">
      <w:bodyDiv w:val="1"/>
      <w:marLeft w:val="0"/>
      <w:marRight w:val="0"/>
      <w:marTop w:val="0"/>
      <w:marBottom w:val="0"/>
      <w:divBdr>
        <w:top w:val="none" w:sz="0" w:space="0" w:color="auto"/>
        <w:left w:val="none" w:sz="0" w:space="0" w:color="auto"/>
        <w:bottom w:val="none" w:sz="0" w:space="0" w:color="auto"/>
        <w:right w:val="none" w:sz="0" w:space="0" w:color="auto"/>
      </w:divBdr>
    </w:div>
    <w:div w:id="246961639">
      <w:bodyDiv w:val="1"/>
      <w:marLeft w:val="0"/>
      <w:marRight w:val="0"/>
      <w:marTop w:val="0"/>
      <w:marBottom w:val="0"/>
      <w:divBdr>
        <w:top w:val="none" w:sz="0" w:space="0" w:color="auto"/>
        <w:left w:val="none" w:sz="0" w:space="0" w:color="auto"/>
        <w:bottom w:val="none" w:sz="0" w:space="0" w:color="auto"/>
        <w:right w:val="none" w:sz="0" w:space="0" w:color="auto"/>
      </w:divBdr>
    </w:div>
    <w:div w:id="246966587">
      <w:bodyDiv w:val="1"/>
      <w:marLeft w:val="0"/>
      <w:marRight w:val="0"/>
      <w:marTop w:val="0"/>
      <w:marBottom w:val="0"/>
      <w:divBdr>
        <w:top w:val="none" w:sz="0" w:space="0" w:color="auto"/>
        <w:left w:val="none" w:sz="0" w:space="0" w:color="auto"/>
        <w:bottom w:val="none" w:sz="0" w:space="0" w:color="auto"/>
        <w:right w:val="none" w:sz="0" w:space="0" w:color="auto"/>
      </w:divBdr>
    </w:div>
    <w:div w:id="247008354">
      <w:bodyDiv w:val="1"/>
      <w:marLeft w:val="0"/>
      <w:marRight w:val="0"/>
      <w:marTop w:val="0"/>
      <w:marBottom w:val="0"/>
      <w:divBdr>
        <w:top w:val="none" w:sz="0" w:space="0" w:color="auto"/>
        <w:left w:val="none" w:sz="0" w:space="0" w:color="auto"/>
        <w:bottom w:val="none" w:sz="0" w:space="0" w:color="auto"/>
        <w:right w:val="none" w:sz="0" w:space="0" w:color="auto"/>
      </w:divBdr>
    </w:div>
    <w:div w:id="247160411">
      <w:bodyDiv w:val="1"/>
      <w:marLeft w:val="0"/>
      <w:marRight w:val="0"/>
      <w:marTop w:val="0"/>
      <w:marBottom w:val="0"/>
      <w:divBdr>
        <w:top w:val="none" w:sz="0" w:space="0" w:color="auto"/>
        <w:left w:val="none" w:sz="0" w:space="0" w:color="auto"/>
        <w:bottom w:val="none" w:sz="0" w:space="0" w:color="auto"/>
        <w:right w:val="none" w:sz="0" w:space="0" w:color="auto"/>
      </w:divBdr>
    </w:div>
    <w:div w:id="247270202">
      <w:bodyDiv w:val="1"/>
      <w:marLeft w:val="0"/>
      <w:marRight w:val="0"/>
      <w:marTop w:val="0"/>
      <w:marBottom w:val="0"/>
      <w:divBdr>
        <w:top w:val="none" w:sz="0" w:space="0" w:color="auto"/>
        <w:left w:val="none" w:sz="0" w:space="0" w:color="auto"/>
        <w:bottom w:val="none" w:sz="0" w:space="0" w:color="auto"/>
        <w:right w:val="none" w:sz="0" w:space="0" w:color="auto"/>
      </w:divBdr>
    </w:div>
    <w:div w:id="247270314">
      <w:bodyDiv w:val="1"/>
      <w:marLeft w:val="0"/>
      <w:marRight w:val="0"/>
      <w:marTop w:val="0"/>
      <w:marBottom w:val="0"/>
      <w:divBdr>
        <w:top w:val="none" w:sz="0" w:space="0" w:color="auto"/>
        <w:left w:val="none" w:sz="0" w:space="0" w:color="auto"/>
        <w:bottom w:val="none" w:sz="0" w:space="0" w:color="auto"/>
        <w:right w:val="none" w:sz="0" w:space="0" w:color="auto"/>
      </w:divBdr>
    </w:div>
    <w:div w:id="247344843">
      <w:bodyDiv w:val="1"/>
      <w:marLeft w:val="0"/>
      <w:marRight w:val="0"/>
      <w:marTop w:val="0"/>
      <w:marBottom w:val="0"/>
      <w:divBdr>
        <w:top w:val="none" w:sz="0" w:space="0" w:color="auto"/>
        <w:left w:val="none" w:sz="0" w:space="0" w:color="auto"/>
        <w:bottom w:val="none" w:sz="0" w:space="0" w:color="auto"/>
        <w:right w:val="none" w:sz="0" w:space="0" w:color="auto"/>
      </w:divBdr>
    </w:div>
    <w:div w:id="247691477">
      <w:bodyDiv w:val="1"/>
      <w:marLeft w:val="0"/>
      <w:marRight w:val="0"/>
      <w:marTop w:val="0"/>
      <w:marBottom w:val="0"/>
      <w:divBdr>
        <w:top w:val="none" w:sz="0" w:space="0" w:color="auto"/>
        <w:left w:val="none" w:sz="0" w:space="0" w:color="auto"/>
        <w:bottom w:val="none" w:sz="0" w:space="0" w:color="auto"/>
        <w:right w:val="none" w:sz="0" w:space="0" w:color="auto"/>
      </w:divBdr>
    </w:div>
    <w:div w:id="247811896">
      <w:bodyDiv w:val="1"/>
      <w:marLeft w:val="0"/>
      <w:marRight w:val="0"/>
      <w:marTop w:val="0"/>
      <w:marBottom w:val="0"/>
      <w:divBdr>
        <w:top w:val="none" w:sz="0" w:space="0" w:color="auto"/>
        <w:left w:val="none" w:sz="0" w:space="0" w:color="auto"/>
        <w:bottom w:val="none" w:sz="0" w:space="0" w:color="auto"/>
        <w:right w:val="none" w:sz="0" w:space="0" w:color="auto"/>
      </w:divBdr>
    </w:div>
    <w:div w:id="247812893">
      <w:bodyDiv w:val="1"/>
      <w:marLeft w:val="0"/>
      <w:marRight w:val="0"/>
      <w:marTop w:val="0"/>
      <w:marBottom w:val="0"/>
      <w:divBdr>
        <w:top w:val="none" w:sz="0" w:space="0" w:color="auto"/>
        <w:left w:val="none" w:sz="0" w:space="0" w:color="auto"/>
        <w:bottom w:val="none" w:sz="0" w:space="0" w:color="auto"/>
        <w:right w:val="none" w:sz="0" w:space="0" w:color="auto"/>
      </w:divBdr>
    </w:div>
    <w:div w:id="247814173">
      <w:bodyDiv w:val="1"/>
      <w:marLeft w:val="0"/>
      <w:marRight w:val="0"/>
      <w:marTop w:val="0"/>
      <w:marBottom w:val="0"/>
      <w:divBdr>
        <w:top w:val="none" w:sz="0" w:space="0" w:color="auto"/>
        <w:left w:val="none" w:sz="0" w:space="0" w:color="auto"/>
        <w:bottom w:val="none" w:sz="0" w:space="0" w:color="auto"/>
        <w:right w:val="none" w:sz="0" w:space="0" w:color="auto"/>
      </w:divBdr>
    </w:div>
    <w:div w:id="247931225">
      <w:bodyDiv w:val="1"/>
      <w:marLeft w:val="0"/>
      <w:marRight w:val="0"/>
      <w:marTop w:val="0"/>
      <w:marBottom w:val="0"/>
      <w:divBdr>
        <w:top w:val="none" w:sz="0" w:space="0" w:color="auto"/>
        <w:left w:val="none" w:sz="0" w:space="0" w:color="auto"/>
        <w:bottom w:val="none" w:sz="0" w:space="0" w:color="auto"/>
        <w:right w:val="none" w:sz="0" w:space="0" w:color="auto"/>
      </w:divBdr>
    </w:div>
    <w:div w:id="248004662">
      <w:bodyDiv w:val="1"/>
      <w:marLeft w:val="0"/>
      <w:marRight w:val="0"/>
      <w:marTop w:val="0"/>
      <w:marBottom w:val="0"/>
      <w:divBdr>
        <w:top w:val="none" w:sz="0" w:space="0" w:color="auto"/>
        <w:left w:val="none" w:sz="0" w:space="0" w:color="auto"/>
        <w:bottom w:val="none" w:sz="0" w:space="0" w:color="auto"/>
        <w:right w:val="none" w:sz="0" w:space="0" w:color="auto"/>
      </w:divBdr>
    </w:div>
    <w:div w:id="248084365">
      <w:bodyDiv w:val="1"/>
      <w:marLeft w:val="0"/>
      <w:marRight w:val="0"/>
      <w:marTop w:val="0"/>
      <w:marBottom w:val="0"/>
      <w:divBdr>
        <w:top w:val="none" w:sz="0" w:space="0" w:color="auto"/>
        <w:left w:val="none" w:sz="0" w:space="0" w:color="auto"/>
        <w:bottom w:val="none" w:sz="0" w:space="0" w:color="auto"/>
        <w:right w:val="none" w:sz="0" w:space="0" w:color="auto"/>
      </w:divBdr>
    </w:div>
    <w:div w:id="248121980">
      <w:bodyDiv w:val="1"/>
      <w:marLeft w:val="0"/>
      <w:marRight w:val="0"/>
      <w:marTop w:val="0"/>
      <w:marBottom w:val="0"/>
      <w:divBdr>
        <w:top w:val="none" w:sz="0" w:space="0" w:color="auto"/>
        <w:left w:val="none" w:sz="0" w:space="0" w:color="auto"/>
        <w:bottom w:val="none" w:sz="0" w:space="0" w:color="auto"/>
        <w:right w:val="none" w:sz="0" w:space="0" w:color="auto"/>
      </w:divBdr>
    </w:div>
    <w:div w:id="248122576">
      <w:bodyDiv w:val="1"/>
      <w:marLeft w:val="0"/>
      <w:marRight w:val="0"/>
      <w:marTop w:val="0"/>
      <w:marBottom w:val="0"/>
      <w:divBdr>
        <w:top w:val="none" w:sz="0" w:space="0" w:color="auto"/>
        <w:left w:val="none" w:sz="0" w:space="0" w:color="auto"/>
        <w:bottom w:val="none" w:sz="0" w:space="0" w:color="auto"/>
        <w:right w:val="none" w:sz="0" w:space="0" w:color="auto"/>
      </w:divBdr>
    </w:div>
    <w:div w:id="248127139">
      <w:bodyDiv w:val="1"/>
      <w:marLeft w:val="0"/>
      <w:marRight w:val="0"/>
      <w:marTop w:val="0"/>
      <w:marBottom w:val="0"/>
      <w:divBdr>
        <w:top w:val="none" w:sz="0" w:space="0" w:color="auto"/>
        <w:left w:val="none" w:sz="0" w:space="0" w:color="auto"/>
        <w:bottom w:val="none" w:sz="0" w:space="0" w:color="auto"/>
        <w:right w:val="none" w:sz="0" w:space="0" w:color="auto"/>
      </w:divBdr>
    </w:div>
    <w:div w:id="248127228">
      <w:bodyDiv w:val="1"/>
      <w:marLeft w:val="0"/>
      <w:marRight w:val="0"/>
      <w:marTop w:val="0"/>
      <w:marBottom w:val="0"/>
      <w:divBdr>
        <w:top w:val="none" w:sz="0" w:space="0" w:color="auto"/>
        <w:left w:val="none" w:sz="0" w:space="0" w:color="auto"/>
        <w:bottom w:val="none" w:sz="0" w:space="0" w:color="auto"/>
        <w:right w:val="none" w:sz="0" w:space="0" w:color="auto"/>
      </w:divBdr>
    </w:div>
    <w:div w:id="248127428">
      <w:bodyDiv w:val="1"/>
      <w:marLeft w:val="0"/>
      <w:marRight w:val="0"/>
      <w:marTop w:val="0"/>
      <w:marBottom w:val="0"/>
      <w:divBdr>
        <w:top w:val="none" w:sz="0" w:space="0" w:color="auto"/>
        <w:left w:val="none" w:sz="0" w:space="0" w:color="auto"/>
        <w:bottom w:val="none" w:sz="0" w:space="0" w:color="auto"/>
        <w:right w:val="none" w:sz="0" w:space="0" w:color="auto"/>
      </w:divBdr>
    </w:div>
    <w:div w:id="248197121">
      <w:bodyDiv w:val="1"/>
      <w:marLeft w:val="0"/>
      <w:marRight w:val="0"/>
      <w:marTop w:val="0"/>
      <w:marBottom w:val="0"/>
      <w:divBdr>
        <w:top w:val="none" w:sz="0" w:space="0" w:color="auto"/>
        <w:left w:val="none" w:sz="0" w:space="0" w:color="auto"/>
        <w:bottom w:val="none" w:sz="0" w:space="0" w:color="auto"/>
        <w:right w:val="none" w:sz="0" w:space="0" w:color="auto"/>
      </w:divBdr>
    </w:div>
    <w:div w:id="248201402">
      <w:bodyDiv w:val="1"/>
      <w:marLeft w:val="0"/>
      <w:marRight w:val="0"/>
      <w:marTop w:val="0"/>
      <w:marBottom w:val="0"/>
      <w:divBdr>
        <w:top w:val="none" w:sz="0" w:space="0" w:color="auto"/>
        <w:left w:val="none" w:sz="0" w:space="0" w:color="auto"/>
        <w:bottom w:val="none" w:sz="0" w:space="0" w:color="auto"/>
        <w:right w:val="none" w:sz="0" w:space="0" w:color="auto"/>
      </w:divBdr>
    </w:div>
    <w:div w:id="248345246">
      <w:bodyDiv w:val="1"/>
      <w:marLeft w:val="0"/>
      <w:marRight w:val="0"/>
      <w:marTop w:val="0"/>
      <w:marBottom w:val="0"/>
      <w:divBdr>
        <w:top w:val="none" w:sz="0" w:space="0" w:color="auto"/>
        <w:left w:val="none" w:sz="0" w:space="0" w:color="auto"/>
        <w:bottom w:val="none" w:sz="0" w:space="0" w:color="auto"/>
        <w:right w:val="none" w:sz="0" w:space="0" w:color="auto"/>
      </w:divBdr>
    </w:div>
    <w:div w:id="248345417">
      <w:bodyDiv w:val="1"/>
      <w:marLeft w:val="0"/>
      <w:marRight w:val="0"/>
      <w:marTop w:val="0"/>
      <w:marBottom w:val="0"/>
      <w:divBdr>
        <w:top w:val="none" w:sz="0" w:space="0" w:color="auto"/>
        <w:left w:val="none" w:sz="0" w:space="0" w:color="auto"/>
        <w:bottom w:val="none" w:sz="0" w:space="0" w:color="auto"/>
        <w:right w:val="none" w:sz="0" w:space="0" w:color="auto"/>
      </w:divBdr>
    </w:div>
    <w:div w:id="248538401">
      <w:bodyDiv w:val="1"/>
      <w:marLeft w:val="0"/>
      <w:marRight w:val="0"/>
      <w:marTop w:val="0"/>
      <w:marBottom w:val="0"/>
      <w:divBdr>
        <w:top w:val="none" w:sz="0" w:space="0" w:color="auto"/>
        <w:left w:val="none" w:sz="0" w:space="0" w:color="auto"/>
        <w:bottom w:val="none" w:sz="0" w:space="0" w:color="auto"/>
        <w:right w:val="none" w:sz="0" w:space="0" w:color="auto"/>
      </w:divBdr>
    </w:div>
    <w:div w:id="248655330">
      <w:bodyDiv w:val="1"/>
      <w:marLeft w:val="0"/>
      <w:marRight w:val="0"/>
      <w:marTop w:val="0"/>
      <w:marBottom w:val="0"/>
      <w:divBdr>
        <w:top w:val="none" w:sz="0" w:space="0" w:color="auto"/>
        <w:left w:val="none" w:sz="0" w:space="0" w:color="auto"/>
        <w:bottom w:val="none" w:sz="0" w:space="0" w:color="auto"/>
        <w:right w:val="none" w:sz="0" w:space="0" w:color="auto"/>
      </w:divBdr>
    </w:div>
    <w:div w:id="248655663">
      <w:bodyDiv w:val="1"/>
      <w:marLeft w:val="0"/>
      <w:marRight w:val="0"/>
      <w:marTop w:val="0"/>
      <w:marBottom w:val="0"/>
      <w:divBdr>
        <w:top w:val="none" w:sz="0" w:space="0" w:color="auto"/>
        <w:left w:val="none" w:sz="0" w:space="0" w:color="auto"/>
        <w:bottom w:val="none" w:sz="0" w:space="0" w:color="auto"/>
        <w:right w:val="none" w:sz="0" w:space="0" w:color="auto"/>
      </w:divBdr>
    </w:div>
    <w:div w:id="248658900">
      <w:bodyDiv w:val="1"/>
      <w:marLeft w:val="0"/>
      <w:marRight w:val="0"/>
      <w:marTop w:val="0"/>
      <w:marBottom w:val="0"/>
      <w:divBdr>
        <w:top w:val="none" w:sz="0" w:space="0" w:color="auto"/>
        <w:left w:val="none" w:sz="0" w:space="0" w:color="auto"/>
        <w:bottom w:val="none" w:sz="0" w:space="0" w:color="auto"/>
        <w:right w:val="none" w:sz="0" w:space="0" w:color="auto"/>
      </w:divBdr>
    </w:div>
    <w:div w:id="248660512">
      <w:bodyDiv w:val="1"/>
      <w:marLeft w:val="0"/>
      <w:marRight w:val="0"/>
      <w:marTop w:val="0"/>
      <w:marBottom w:val="0"/>
      <w:divBdr>
        <w:top w:val="none" w:sz="0" w:space="0" w:color="auto"/>
        <w:left w:val="none" w:sz="0" w:space="0" w:color="auto"/>
        <w:bottom w:val="none" w:sz="0" w:space="0" w:color="auto"/>
        <w:right w:val="none" w:sz="0" w:space="0" w:color="auto"/>
      </w:divBdr>
    </w:div>
    <w:div w:id="248740188">
      <w:bodyDiv w:val="1"/>
      <w:marLeft w:val="0"/>
      <w:marRight w:val="0"/>
      <w:marTop w:val="0"/>
      <w:marBottom w:val="0"/>
      <w:divBdr>
        <w:top w:val="none" w:sz="0" w:space="0" w:color="auto"/>
        <w:left w:val="none" w:sz="0" w:space="0" w:color="auto"/>
        <w:bottom w:val="none" w:sz="0" w:space="0" w:color="auto"/>
        <w:right w:val="none" w:sz="0" w:space="0" w:color="auto"/>
      </w:divBdr>
    </w:div>
    <w:div w:id="248776077">
      <w:bodyDiv w:val="1"/>
      <w:marLeft w:val="0"/>
      <w:marRight w:val="0"/>
      <w:marTop w:val="0"/>
      <w:marBottom w:val="0"/>
      <w:divBdr>
        <w:top w:val="none" w:sz="0" w:space="0" w:color="auto"/>
        <w:left w:val="none" w:sz="0" w:space="0" w:color="auto"/>
        <w:bottom w:val="none" w:sz="0" w:space="0" w:color="auto"/>
        <w:right w:val="none" w:sz="0" w:space="0" w:color="auto"/>
      </w:divBdr>
    </w:div>
    <w:div w:id="248933429">
      <w:bodyDiv w:val="1"/>
      <w:marLeft w:val="0"/>
      <w:marRight w:val="0"/>
      <w:marTop w:val="0"/>
      <w:marBottom w:val="0"/>
      <w:divBdr>
        <w:top w:val="none" w:sz="0" w:space="0" w:color="auto"/>
        <w:left w:val="none" w:sz="0" w:space="0" w:color="auto"/>
        <w:bottom w:val="none" w:sz="0" w:space="0" w:color="auto"/>
        <w:right w:val="none" w:sz="0" w:space="0" w:color="auto"/>
      </w:divBdr>
    </w:div>
    <w:div w:id="248971798">
      <w:bodyDiv w:val="1"/>
      <w:marLeft w:val="0"/>
      <w:marRight w:val="0"/>
      <w:marTop w:val="0"/>
      <w:marBottom w:val="0"/>
      <w:divBdr>
        <w:top w:val="none" w:sz="0" w:space="0" w:color="auto"/>
        <w:left w:val="none" w:sz="0" w:space="0" w:color="auto"/>
        <w:bottom w:val="none" w:sz="0" w:space="0" w:color="auto"/>
        <w:right w:val="none" w:sz="0" w:space="0" w:color="auto"/>
      </w:divBdr>
    </w:div>
    <w:div w:id="249047874">
      <w:bodyDiv w:val="1"/>
      <w:marLeft w:val="0"/>
      <w:marRight w:val="0"/>
      <w:marTop w:val="0"/>
      <w:marBottom w:val="0"/>
      <w:divBdr>
        <w:top w:val="none" w:sz="0" w:space="0" w:color="auto"/>
        <w:left w:val="none" w:sz="0" w:space="0" w:color="auto"/>
        <w:bottom w:val="none" w:sz="0" w:space="0" w:color="auto"/>
        <w:right w:val="none" w:sz="0" w:space="0" w:color="auto"/>
      </w:divBdr>
    </w:div>
    <w:div w:id="249048453">
      <w:bodyDiv w:val="1"/>
      <w:marLeft w:val="0"/>
      <w:marRight w:val="0"/>
      <w:marTop w:val="0"/>
      <w:marBottom w:val="0"/>
      <w:divBdr>
        <w:top w:val="none" w:sz="0" w:space="0" w:color="auto"/>
        <w:left w:val="none" w:sz="0" w:space="0" w:color="auto"/>
        <w:bottom w:val="none" w:sz="0" w:space="0" w:color="auto"/>
        <w:right w:val="none" w:sz="0" w:space="0" w:color="auto"/>
      </w:divBdr>
    </w:div>
    <w:div w:id="249050309">
      <w:bodyDiv w:val="1"/>
      <w:marLeft w:val="0"/>
      <w:marRight w:val="0"/>
      <w:marTop w:val="0"/>
      <w:marBottom w:val="0"/>
      <w:divBdr>
        <w:top w:val="none" w:sz="0" w:space="0" w:color="auto"/>
        <w:left w:val="none" w:sz="0" w:space="0" w:color="auto"/>
        <w:bottom w:val="none" w:sz="0" w:space="0" w:color="auto"/>
        <w:right w:val="none" w:sz="0" w:space="0" w:color="auto"/>
      </w:divBdr>
    </w:div>
    <w:div w:id="249200319">
      <w:bodyDiv w:val="1"/>
      <w:marLeft w:val="0"/>
      <w:marRight w:val="0"/>
      <w:marTop w:val="0"/>
      <w:marBottom w:val="0"/>
      <w:divBdr>
        <w:top w:val="none" w:sz="0" w:space="0" w:color="auto"/>
        <w:left w:val="none" w:sz="0" w:space="0" w:color="auto"/>
        <w:bottom w:val="none" w:sz="0" w:space="0" w:color="auto"/>
        <w:right w:val="none" w:sz="0" w:space="0" w:color="auto"/>
      </w:divBdr>
    </w:div>
    <w:div w:id="249240977">
      <w:bodyDiv w:val="1"/>
      <w:marLeft w:val="0"/>
      <w:marRight w:val="0"/>
      <w:marTop w:val="0"/>
      <w:marBottom w:val="0"/>
      <w:divBdr>
        <w:top w:val="none" w:sz="0" w:space="0" w:color="auto"/>
        <w:left w:val="none" w:sz="0" w:space="0" w:color="auto"/>
        <w:bottom w:val="none" w:sz="0" w:space="0" w:color="auto"/>
        <w:right w:val="none" w:sz="0" w:space="0" w:color="auto"/>
      </w:divBdr>
    </w:div>
    <w:div w:id="249244696">
      <w:bodyDiv w:val="1"/>
      <w:marLeft w:val="0"/>
      <w:marRight w:val="0"/>
      <w:marTop w:val="0"/>
      <w:marBottom w:val="0"/>
      <w:divBdr>
        <w:top w:val="none" w:sz="0" w:space="0" w:color="auto"/>
        <w:left w:val="none" w:sz="0" w:space="0" w:color="auto"/>
        <w:bottom w:val="none" w:sz="0" w:space="0" w:color="auto"/>
        <w:right w:val="none" w:sz="0" w:space="0" w:color="auto"/>
      </w:divBdr>
    </w:div>
    <w:div w:id="249314577">
      <w:bodyDiv w:val="1"/>
      <w:marLeft w:val="0"/>
      <w:marRight w:val="0"/>
      <w:marTop w:val="0"/>
      <w:marBottom w:val="0"/>
      <w:divBdr>
        <w:top w:val="none" w:sz="0" w:space="0" w:color="auto"/>
        <w:left w:val="none" w:sz="0" w:space="0" w:color="auto"/>
        <w:bottom w:val="none" w:sz="0" w:space="0" w:color="auto"/>
        <w:right w:val="none" w:sz="0" w:space="0" w:color="auto"/>
      </w:divBdr>
    </w:div>
    <w:div w:id="249430494">
      <w:bodyDiv w:val="1"/>
      <w:marLeft w:val="0"/>
      <w:marRight w:val="0"/>
      <w:marTop w:val="0"/>
      <w:marBottom w:val="0"/>
      <w:divBdr>
        <w:top w:val="none" w:sz="0" w:space="0" w:color="auto"/>
        <w:left w:val="none" w:sz="0" w:space="0" w:color="auto"/>
        <w:bottom w:val="none" w:sz="0" w:space="0" w:color="auto"/>
        <w:right w:val="none" w:sz="0" w:space="0" w:color="auto"/>
      </w:divBdr>
    </w:div>
    <w:div w:id="249434940">
      <w:bodyDiv w:val="1"/>
      <w:marLeft w:val="0"/>
      <w:marRight w:val="0"/>
      <w:marTop w:val="0"/>
      <w:marBottom w:val="0"/>
      <w:divBdr>
        <w:top w:val="none" w:sz="0" w:space="0" w:color="auto"/>
        <w:left w:val="none" w:sz="0" w:space="0" w:color="auto"/>
        <w:bottom w:val="none" w:sz="0" w:space="0" w:color="auto"/>
        <w:right w:val="none" w:sz="0" w:space="0" w:color="auto"/>
      </w:divBdr>
    </w:div>
    <w:div w:id="249436961">
      <w:bodyDiv w:val="1"/>
      <w:marLeft w:val="0"/>
      <w:marRight w:val="0"/>
      <w:marTop w:val="0"/>
      <w:marBottom w:val="0"/>
      <w:divBdr>
        <w:top w:val="none" w:sz="0" w:space="0" w:color="auto"/>
        <w:left w:val="none" w:sz="0" w:space="0" w:color="auto"/>
        <w:bottom w:val="none" w:sz="0" w:space="0" w:color="auto"/>
        <w:right w:val="none" w:sz="0" w:space="0" w:color="auto"/>
      </w:divBdr>
    </w:div>
    <w:div w:id="249462360">
      <w:bodyDiv w:val="1"/>
      <w:marLeft w:val="0"/>
      <w:marRight w:val="0"/>
      <w:marTop w:val="0"/>
      <w:marBottom w:val="0"/>
      <w:divBdr>
        <w:top w:val="none" w:sz="0" w:space="0" w:color="auto"/>
        <w:left w:val="none" w:sz="0" w:space="0" w:color="auto"/>
        <w:bottom w:val="none" w:sz="0" w:space="0" w:color="auto"/>
        <w:right w:val="none" w:sz="0" w:space="0" w:color="auto"/>
      </w:divBdr>
    </w:div>
    <w:div w:id="249697990">
      <w:bodyDiv w:val="1"/>
      <w:marLeft w:val="0"/>
      <w:marRight w:val="0"/>
      <w:marTop w:val="0"/>
      <w:marBottom w:val="0"/>
      <w:divBdr>
        <w:top w:val="none" w:sz="0" w:space="0" w:color="auto"/>
        <w:left w:val="none" w:sz="0" w:space="0" w:color="auto"/>
        <w:bottom w:val="none" w:sz="0" w:space="0" w:color="auto"/>
        <w:right w:val="none" w:sz="0" w:space="0" w:color="auto"/>
      </w:divBdr>
    </w:div>
    <w:div w:id="249700210">
      <w:bodyDiv w:val="1"/>
      <w:marLeft w:val="0"/>
      <w:marRight w:val="0"/>
      <w:marTop w:val="0"/>
      <w:marBottom w:val="0"/>
      <w:divBdr>
        <w:top w:val="none" w:sz="0" w:space="0" w:color="auto"/>
        <w:left w:val="none" w:sz="0" w:space="0" w:color="auto"/>
        <w:bottom w:val="none" w:sz="0" w:space="0" w:color="auto"/>
        <w:right w:val="none" w:sz="0" w:space="0" w:color="auto"/>
      </w:divBdr>
    </w:div>
    <w:div w:id="249706947">
      <w:bodyDiv w:val="1"/>
      <w:marLeft w:val="0"/>
      <w:marRight w:val="0"/>
      <w:marTop w:val="0"/>
      <w:marBottom w:val="0"/>
      <w:divBdr>
        <w:top w:val="none" w:sz="0" w:space="0" w:color="auto"/>
        <w:left w:val="none" w:sz="0" w:space="0" w:color="auto"/>
        <w:bottom w:val="none" w:sz="0" w:space="0" w:color="auto"/>
        <w:right w:val="none" w:sz="0" w:space="0" w:color="auto"/>
      </w:divBdr>
    </w:div>
    <w:div w:id="249891315">
      <w:bodyDiv w:val="1"/>
      <w:marLeft w:val="0"/>
      <w:marRight w:val="0"/>
      <w:marTop w:val="0"/>
      <w:marBottom w:val="0"/>
      <w:divBdr>
        <w:top w:val="none" w:sz="0" w:space="0" w:color="auto"/>
        <w:left w:val="none" w:sz="0" w:space="0" w:color="auto"/>
        <w:bottom w:val="none" w:sz="0" w:space="0" w:color="auto"/>
        <w:right w:val="none" w:sz="0" w:space="0" w:color="auto"/>
      </w:divBdr>
    </w:div>
    <w:div w:id="249899216">
      <w:bodyDiv w:val="1"/>
      <w:marLeft w:val="0"/>
      <w:marRight w:val="0"/>
      <w:marTop w:val="0"/>
      <w:marBottom w:val="0"/>
      <w:divBdr>
        <w:top w:val="none" w:sz="0" w:space="0" w:color="auto"/>
        <w:left w:val="none" w:sz="0" w:space="0" w:color="auto"/>
        <w:bottom w:val="none" w:sz="0" w:space="0" w:color="auto"/>
        <w:right w:val="none" w:sz="0" w:space="0" w:color="auto"/>
      </w:divBdr>
    </w:div>
    <w:div w:id="249968147">
      <w:bodyDiv w:val="1"/>
      <w:marLeft w:val="0"/>
      <w:marRight w:val="0"/>
      <w:marTop w:val="0"/>
      <w:marBottom w:val="0"/>
      <w:divBdr>
        <w:top w:val="none" w:sz="0" w:space="0" w:color="auto"/>
        <w:left w:val="none" w:sz="0" w:space="0" w:color="auto"/>
        <w:bottom w:val="none" w:sz="0" w:space="0" w:color="auto"/>
        <w:right w:val="none" w:sz="0" w:space="0" w:color="auto"/>
      </w:divBdr>
    </w:div>
    <w:div w:id="250117433">
      <w:bodyDiv w:val="1"/>
      <w:marLeft w:val="0"/>
      <w:marRight w:val="0"/>
      <w:marTop w:val="0"/>
      <w:marBottom w:val="0"/>
      <w:divBdr>
        <w:top w:val="none" w:sz="0" w:space="0" w:color="auto"/>
        <w:left w:val="none" w:sz="0" w:space="0" w:color="auto"/>
        <w:bottom w:val="none" w:sz="0" w:space="0" w:color="auto"/>
        <w:right w:val="none" w:sz="0" w:space="0" w:color="auto"/>
      </w:divBdr>
    </w:div>
    <w:div w:id="250160237">
      <w:bodyDiv w:val="1"/>
      <w:marLeft w:val="0"/>
      <w:marRight w:val="0"/>
      <w:marTop w:val="0"/>
      <w:marBottom w:val="0"/>
      <w:divBdr>
        <w:top w:val="none" w:sz="0" w:space="0" w:color="auto"/>
        <w:left w:val="none" w:sz="0" w:space="0" w:color="auto"/>
        <w:bottom w:val="none" w:sz="0" w:space="0" w:color="auto"/>
        <w:right w:val="none" w:sz="0" w:space="0" w:color="auto"/>
      </w:divBdr>
    </w:div>
    <w:div w:id="250160326">
      <w:bodyDiv w:val="1"/>
      <w:marLeft w:val="0"/>
      <w:marRight w:val="0"/>
      <w:marTop w:val="0"/>
      <w:marBottom w:val="0"/>
      <w:divBdr>
        <w:top w:val="none" w:sz="0" w:space="0" w:color="auto"/>
        <w:left w:val="none" w:sz="0" w:space="0" w:color="auto"/>
        <w:bottom w:val="none" w:sz="0" w:space="0" w:color="auto"/>
        <w:right w:val="none" w:sz="0" w:space="0" w:color="auto"/>
      </w:divBdr>
    </w:div>
    <w:div w:id="250241113">
      <w:bodyDiv w:val="1"/>
      <w:marLeft w:val="0"/>
      <w:marRight w:val="0"/>
      <w:marTop w:val="0"/>
      <w:marBottom w:val="0"/>
      <w:divBdr>
        <w:top w:val="none" w:sz="0" w:space="0" w:color="auto"/>
        <w:left w:val="none" w:sz="0" w:space="0" w:color="auto"/>
        <w:bottom w:val="none" w:sz="0" w:space="0" w:color="auto"/>
        <w:right w:val="none" w:sz="0" w:space="0" w:color="auto"/>
      </w:divBdr>
    </w:div>
    <w:div w:id="250243684">
      <w:bodyDiv w:val="1"/>
      <w:marLeft w:val="0"/>
      <w:marRight w:val="0"/>
      <w:marTop w:val="0"/>
      <w:marBottom w:val="0"/>
      <w:divBdr>
        <w:top w:val="none" w:sz="0" w:space="0" w:color="auto"/>
        <w:left w:val="none" w:sz="0" w:space="0" w:color="auto"/>
        <w:bottom w:val="none" w:sz="0" w:space="0" w:color="auto"/>
        <w:right w:val="none" w:sz="0" w:space="0" w:color="auto"/>
      </w:divBdr>
    </w:div>
    <w:div w:id="250286006">
      <w:bodyDiv w:val="1"/>
      <w:marLeft w:val="0"/>
      <w:marRight w:val="0"/>
      <w:marTop w:val="0"/>
      <w:marBottom w:val="0"/>
      <w:divBdr>
        <w:top w:val="none" w:sz="0" w:space="0" w:color="auto"/>
        <w:left w:val="none" w:sz="0" w:space="0" w:color="auto"/>
        <w:bottom w:val="none" w:sz="0" w:space="0" w:color="auto"/>
        <w:right w:val="none" w:sz="0" w:space="0" w:color="auto"/>
      </w:divBdr>
    </w:div>
    <w:div w:id="250431435">
      <w:bodyDiv w:val="1"/>
      <w:marLeft w:val="0"/>
      <w:marRight w:val="0"/>
      <w:marTop w:val="0"/>
      <w:marBottom w:val="0"/>
      <w:divBdr>
        <w:top w:val="none" w:sz="0" w:space="0" w:color="auto"/>
        <w:left w:val="none" w:sz="0" w:space="0" w:color="auto"/>
        <w:bottom w:val="none" w:sz="0" w:space="0" w:color="auto"/>
        <w:right w:val="none" w:sz="0" w:space="0" w:color="auto"/>
      </w:divBdr>
    </w:div>
    <w:div w:id="250479912">
      <w:bodyDiv w:val="1"/>
      <w:marLeft w:val="0"/>
      <w:marRight w:val="0"/>
      <w:marTop w:val="0"/>
      <w:marBottom w:val="0"/>
      <w:divBdr>
        <w:top w:val="none" w:sz="0" w:space="0" w:color="auto"/>
        <w:left w:val="none" w:sz="0" w:space="0" w:color="auto"/>
        <w:bottom w:val="none" w:sz="0" w:space="0" w:color="auto"/>
        <w:right w:val="none" w:sz="0" w:space="0" w:color="auto"/>
      </w:divBdr>
    </w:div>
    <w:div w:id="250510890">
      <w:bodyDiv w:val="1"/>
      <w:marLeft w:val="0"/>
      <w:marRight w:val="0"/>
      <w:marTop w:val="0"/>
      <w:marBottom w:val="0"/>
      <w:divBdr>
        <w:top w:val="none" w:sz="0" w:space="0" w:color="auto"/>
        <w:left w:val="none" w:sz="0" w:space="0" w:color="auto"/>
        <w:bottom w:val="none" w:sz="0" w:space="0" w:color="auto"/>
        <w:right w:val="none" w:sz="0" w:space="0" w:color="auto"/>
      </w:divBdr>
    </w:div>
    <w:div w:id="250624837">
      <w:bodyDiv w:val="1"/>
      <w:marLeft w:val="0"/>
      <w:marRight w:val="0"/>
      <w:marTop w:val="0"/>
      <w:marBottom w:val="0"/>
      <w:divBdr>
        <w:top w:val="none" w:sz="0" w:space="0" w:color="auto"/>
        <w:left w:val="none" w:sz="0" w:space="0" w:color="auto"/>
        <w:bottom w:val="none" w:sz="0" w:space="0" w:color="auto"/>
        <w:right w:val="none" w:sz="0" w:space="0" w:color="auto"/>
      </w:divBdr>
    </w:div>
    <w:div w:id="250816870">
      <w:bodyDiv w:val="1"/>
      <w:marLeft w:val="0"/>
      <w:marRight w:val="0"/>
      <w:marTop w:val="0"/>
      <w:marBottom w:val="0"/>
      <w:divBdr>
        <w:top w:val="none" w:sz="0" w:space="0" w:color="auto"/>
        <w:left w:val="none" w:sz="0" w:space="0" w:color="auto"/>
        <w:bottom w:val="none" w:sz="0" w:space="0" w:color="auto"/>
        <w:right w:val="none" w:sz="0" w:space="0" w:color="auto"/>
      </w:divBdr>
    </w:div>
    <w:div w:id="250818484">
      <w:bodyDiv w:val="1"/>
      <w:marLeft w:val="0"/>
      <w:marRight w:val="0"/>
      <w:marTop w:val="0"/>
      <w:marBottom w:val="0"/>
      <w:divBdr>
        <w:top w:val="none" w:sz="0" w:space="0" w:color="auto"/>
        <w:left w:val="none" w:sz="0" w:space="0" w:color="auto"/>
        <w:bottom w:val="none" w:sz="0" w:space="0" w:color="auto"/>
        <w:right w:val="none" w:sz="0" w:space="0" w:color="auto"/>
      </w:divBdr>
    </w:div>
    <w:div w:id="250818663">
      <w:bodyDiv w:val="1"/>
      <w:marLeft w:val="0"/>
      <w:marRight w:val="0"/>
      <w:marTop w:val="0"/>
      <w:marBottom w:val="0"/>
      <w:divBdr>
        <w:top w:val="none" w:sz="0" w:space="0" w:color="auto"/>
        <w:left w:val="none" w:sz="0" w:space="0" w:color="auto"/>
        <w:bottom w:val="none" w:sz="0" w:space="0" w:color="auto"/>
        <w:right w:val="none" w:sz="0" w:space="0" w:color="auto"/>
      </w:divBdr>
    </w:div>
    <w:div w:id="250819572">
      <w:bodyDiv w:val="1"/>
      <w:marLeft w:val="0"/>
      <w:marRight w:val="0"/>
      <w:marTop w:val="0"/>
      <w:marBottom w:val="0"/>
      <w:divBdr>
        <w:top w:val="none" w:sz="0" w:space="0" w:color="auto"/>
        <w:left w:val="none" w:sz="0" w:space="0" w:color="auto"/>
        <w:bottom w:val="none" w:sz="0" w:space="0" w:color="auto"/>
        <w:right w:val="none" w:sz="0" w:space="0" w:color="auto"/>
      </w:divBdr>
    </w:div>
    <w:div w:id="250899120">
      <w:bodyDiv w:val="1"/>
      <w:marLeft w:val="0"/>
      <w:marRight w:val="0"/>
      <w:marTop w:val="0"/>
      <w:marBottom w:val="0"/>
      <w:divBdr>
        <w:top w:val="none" w:sz="0" w:space="0" w:color="auto"/>
        <w:left w:val="none" w:sz="0" w:space="0" w:color="auto"/>
        <w:bottom w:val="none" w:sz="0" w:space="0" w:color="auto"/>
        <w:right w:val="none" w:sz="0" w:space="0" w:color="auto"/>
      </w:divBdr>
    </w:div>
    <w:div w:id="250939398">
      <w:bodyDiv w:val="1"/>
      <w:marLeft w:val="0"/>
      <w:marRight w:val="0"/>
      <w:marTop w:val="0"/>
      <w:marBottom w:val="0"/>
      <w:divBdr>
        <w:top w:val="none" w:sz="0" w:space="0" w:color="auto"/>
        <w:left w:val="none" w:sz="0" w:space="0" w:color="auto"/>
        <w:bottom w:val="none" w:sz="0" w:space="0" w:color="auto"/>
        <w:right w:val="none" w:sz="0" w:space="0" w:color="auto"/>
      </w:divBdr>
    </w:div>
    <w:div w:id="251014180">
      <w:bodyDiv w:val="1"/>
      <w:marLeft w:val="0"/>
      <w:marRight w:val="0"/>
      <w:marTop w:val="0"/>
      <w:marBottom w:val="0"/>
      <w:divBdr>
        <w:top w:val="none" w:sz="0" w:space="0" w:color="auto"/>
        <w:left w:val="none" w:sz="0" w:space="0" w:color="auto"/>
        <w:bottom w:val="none" w:sz="0" w:space="0" w:color="auto"/>
        <w:right w:val="none" w:sz="0" w:space="0" w:color="auto"/>
      </w:divBdr>
    </w:div>
    <w:div w:id="251203354">
      <w:bodyDiv w:val="1"/>
      <w:marLeft w:val="0"/>
      <w:marRight w:val="0"/>
      <w:marTop w:val="0"/>
      <w:marBottom w:val="0"/>
      <w:divBdr>
        <w:top w:val="none" w:sz="0" w:space="0" w:color="auto"/>
        <w:left w:val="none" w:sz="0" w:space="0" w:color="auto"/>
        <w:bottom w:val="none" w:sz="0" w:space="0" w:color="auto"/>
        <w:right w:val="none" w:sz="0" w:space="0" w:color="auto"/>
      </w:divBdr>
    </w:div>
    <w:div w:id="251283161">
      <w:bodyDiv w:val="1"/>
      <w:marLeft w:val="0"/>
      <w:marRight w:val="0"/>
      <w:marTop w:val="0"/>
      <w:marBottom w:val="0"/>
      <w:divBdr>
        <w:top w:val="none" w:sz="0" w:space="0" w:color="auto"/>
        <w:left w:val="none" w:sz="0" w:space="0" w:color="auto"/>
        <w:bottom w:val="none" w:sz="0" w:space="0" w:color="auto"/>
        <w:right w:val="none" w:sz="0" w:space="0" w:color="auto"/>
      </w:divBdr>
    </w:div>
    <w:div w:id="251355549">
      <w:bodyDiv w:val="1"/>
      <w:marLeft w:val="0"/>
      <w:marRight w:val="0"/>
      <w:marTop w:val="0"/>
      <w:marBottom w:val="0"/>
      <w:divBdr>
        <w:top w:val="none" w:sz="0" w:space="0" w:color="auto"/>
        <w:left w:val="none" w:sz="0" w:space="0" w:color="auto"/>
        <w:bottom w:val="none" w:sz="0" w:space="0" w:color="auto"/>
        <w:right w:val="none" w:sz="0" w:space="0" w:color="auto"/>
      </w:divBdr>
    </w:div>
    <w:div w:id="251359428">
      <w:bodyDiv w:val="1"/>
      <w:marLeft w:val="0"/>
      <w:marRight w:val="0"/>
      <w:marTop w:val="0"/>
      <w:marBottom w:val="0"/>
      <w:divBdr>
        <w:top w:val="none" w:sz="0" w:space="0" w:color="auto"/>
        <w:left w:val="none" w:sz="0" w:space="0" w:color="auto"/>
        <w:bottom w:val="none" w:sz="0" w:space="0" w:color="auto"/>
        <w:right w:val="none" w:sz="0" w:space="0" w:color="auto"/>
      </w:divBdr>
    </w:div>
    <w:div w:id="251403395">
      <w:bodyDiv w:val="1"/>
      <w:marLeft w:val="0"/>
      <w:marRight w:val="0"/>
      <w:marTop w:val="0"/>
      <w:marBottom w:val="0"/>
      <w:divBdr>
        <w:top w:val="none" w:sz="0" w:space="0" w:color="auto"/>
        <w:left w:val="none" w:sz="0" w:space="0" w:color="auto"/>
        <w:bottom w:val="none" w:sz="0" w:space="0" w:color="auto"/>
        <w:right w:val="none" w:sz="0" w:space="0" w:color="auto"/>
      </w:divBdr>
    </w:div>
    <w:div w:id="251476184">
      <w:bodyDiv w:val="1"/>
      <w:marLeft w:val="0"/>
      <w:marRight w:val="0"/>
      <w:marTop w:val="0"/>
      <w:marBottom w:val="0"/>
      <w:divBdr>
        <w:top w:val="none" w:sz="0" w:space="0" w:color="auto"/>
        <w:left w:val="none" w:sz="0" w:space="0" w:color="auto"/>
        <w:bottom w:val="none" w:sz="0" w:space="0" w:color="auto"/>
        <w:right w:val="none" w:sz="0" w:space="0" w:color="auto"/>
      </w:divBdr>
    </w:div>
    <w:div w:id="251478945">
      <w:bodyDiv w:val="1"/>
      <w:marLeft w:val="0"/>
      <w:marRight w:val="0"/>
      <w:marTop w:val="0"/>
      <w:marBottom w:val="0"/>
      <w:divBdr>
        <w:top w:val="none" w:sz="0" w:space="0" w:color="auto"/>
        <w:left w:val="none" w:sz="0" w:space="0" w:color="auto"/>
        <w:bottom w:val="none" w:sz="0" w:space="0" w:color="auto"/>
        <w:right w:val="none" w:sz="0" w:space="0" w:color="auto"/>
      </w:divBdr>
    </w:div>
    <w:div w:id="251554690">
      <w:bodyDiv w:val="1"/>
      <w:marLeft w:val="0"/>
      <w:marRight w:val="0"/>
      <w:marTop w:val="0"/>
      <w:marBottom w:val="0"/>
      <w:divBdr>
        <w:top w:val="none" w:sz="0" w:space="0" w:color="auto"/>
        <w:left w:val="none" w:sz="0" w:space="0" w:color="auto"/>
        <w:bottom w:val="none" w:sz="0" w:space="0" w:color="auto"/>
        <w:right w:val="none" w:sz="0" w:space="0" w:color="auto"/>
      </w:divBdr>
    </w:div>
    <w:div w:id="251669217">
      <w:bodyDiv w:val="1"/>
      <w:marLeft w:val="0"/>
      <w:marRight w:val="0"/>
      <w:marTop w:val="0"/>
      <w:marBottom w:val="0"/>
      <w:divBdr>
        <w:top w:val="none" w:sz="0" w:space="0" w:color="auto"/>
        <w:left w:val="none" w:sz="0" w:space="0" w:color="auto"/>
        <w:bottom w:val="none" w:sz="0" w:space="0" w:color="auto"/>
        <w:right w:val="none" w:sz="0" w:space="0" w:color="auto"/>
      </w:divBdr>
    </w:div>
    <w:div w:id="251671816">
      <w:bodyDiv w:val="1"/>
      <w:marLeft w:val="0"/>
      <w:marRight w:val="0"/>
      <w:marTop w:val="0"/>
      <w:marBottom w:val="0"/>
      <w:divBdr>
        <w:top w:val="none" w:sz="0" w:space="0" w:color="auto"/>
        <w:left w:val="none" w:sz="0" w:space="0" w:color="auto"/>
        <w:bottom w:val="none" w:sz="0" w:space="0" w:color="auto"/>
        <w:right w:val="none" w:sz="0" w:space="0" w:color="auto"/>
      </w:divBdr>
    </w:div>
    <w:div w:id="251864014">
      <w:bodyDiv w:val="1"/>
      <w:marLeft w:val="0"/>
      <w:marRight w:val="0"/>
      <w:marTop w:val="0"/>
      <w:marBottom w:val="0"/>
      <w:divBdr>
        <w:top w:val="none" w:sz="0" w:space="0" w:color="auto"/>
        <w:left w:val="none" w:sz="0" w:space="0" w:color="auto"/>
        <w:bottom w:val="none" w:sz="0" w:space="0" w:color="auto"/>
        <w:right w:val="none" w:sz="0" w:space="0" w:color="auto"/>
      </w:divBdr>
    </w:div>
    <w:div w:id="252010114">
      <w:bodyDiv w:val="1"/>
      <w:marLeft w:val="0"/>
      <w:marRight w:val="0"/>
      <w:marTop w:val="0"/>
      <w:marBottom w:val="0"/>
      <w:divBdr>
        <w:top w:val="none" w:sz="0" w:space="0" w:color="auto"/>
        <w:left w:val="none" w:sz="0" w:space="0" w:color="auto"/>
        <w:bottom w:val="none" w:sz="0" w:space="0" w:color="auto"/>
        <w:right w:val="none" w:sz="0" w:space="0" w:color="auto"/>
      </w:divBdr>
    </w:div>
    <w:div w:id="252014884">
      <w:bodyDiv w:val="1"/>
      <w:marLeft w:val="0"/>
      <w:marRight w:val="0"/>
      <w:marTop w:val="0"/>
      <w:marBottom w:val="0"/>
      <w:divBdr>
        <w:top w:val="none" w:sz="0" w:space="0" w:color="auto"/>
        <w:left w:val="none" w:sz="0" w:space="0" w:color="auto"/>
        <w:bottom w:val="none" w:sz="0" w:space="0" w:color="auto"/>
        <w:right w:val="none" w:sz="0" w:space="0" w:color="auto"/>
      </w:divBdr>
    </w:div>
    <w:div w:id="252201119">
      <w:bodyDiv w:val="1"/>
      <w:marLeft w:val="0"/>
      <w:marRight w:val="0"/>
      <w:marTop w:val="0"/>
      <w:marBottom w:val="0"/>
      <w:divBdr>
        <w:top w:val="none" w:sz="0" w:space="0" w:color="auto"/>
        <w:left w:val="none" w:sz="0" w:space="0" w:color="auto"/>
        <w:bottom w:val="none" w:sz="0" w:space="0" w:color="auto"/>
        <w:right w:val="none" w:sz="0" w:space="0" w:color="auto"/>
      </w:divBdr>
    </w:div>
    <w:div w:id="252276807">
      <w:bodyDiv w:val="1"/>
      <w:marLeft w:val="0"/>
      <w:marRight w:val="0"/>
      <w:marTop w:val="0"/>
      <w:marBottom w:val="0"/>
      <w:divBdr>
        <w:top w:val="none" w:sz="0" w:space="0" w:color="auto"/>
        <w:left w:val="none" w:sz="0" w:space="0" w:color="auto"/>
        <w:bottom w:val="none" w:sz="0" w:space="0" w:color="auto"/>
        <w:right w:val="none" w:sz="0" w:space="0" w:color="auto"/>
      </w:divBdr>
    </w:div>
    <w:div w:id="252393876">
      <w:bodyDiv w:val="1"/>
      <w:marLeft w:val="0"/>
      <w:marRight w:val="0"/>
      <w:marTop w:val="0"/>
      <w:marBottom w:val="0"/>
      <w:divBdr>
        <w:top w:val="none" w:sz="0" w:space="0" w:color="auto"/>
        <w:left w:val="none" w:sz="0" w:space="0" w:color="auto"/>
        <w:bottom w:val="none" w:sz="0" w:space="0" w:color="auto"/>
        <w:right w:val="none" w:sz="0" w:space="0" w:color="auto"/>
      </w:divBdr>
    </w:div>
    <w:div w:id="252445474">
      <w:bodyDiv w:val="1"/>
      <w:marLeft w:val="0"/>
      <w:marRight w:val="0"/>
      <w:marTop w:val="0"/>
      <w:marBottom w:val="0"/>
      <w:divBdr>
        <w:top w:val="none" w:sz="0" w:space="0" w:color="auto"/>
        <w:left w:val="none" w:sz="0" w:space="0" w:color="auto"/>
        <w:bottom w:val="none" w:sz="0" w:space="0" w:color="auto"/>
        <w:right w:val="none" w:sz="0" w:space="0" w:color="auto"/>
      </w:divBdr>
    </w:div>
    <w:div w:id="252713418">
      <w:bodyDiv w:val="1"/>
      <w:marLeft w:val="0"/>
      <w:marRight w:val="0"/>
      <w:marTop w:val="0"/>
      <w:marBottom w:val="0"/>
      <w:divBdr>
        <w:top w:val="none" w:sz="0" w:space="0" w:color="auto"/>
        <w:left w:val="none" w:sz="0" w:space="0" w:color="auto"/>
        <w:bottom w:val="none" w:sz="0" w:space="0" w:color="auto"/>
        <w:right w:val="none" w:sz="0" w:space="0" w:color="auto"/>
      </w:divBdr>
    </w:div>
    <w:div w:id="252787259">
      <w:bodyDiv w:val="1"/>
      <w:marLeft w:val="0"/>
      <w:marRight w:val="0"/>
      <w:marTop w:val="0"/>
      <w:marBottom w:val="0"/>
      <w:divBdr>
        <w:top w:val="none" w:sz="0" w:space="0" w:color="auto"/>
        <w:left w:val="none" w:sz="0" w:space="0" w:color="auto"/>
        <w:bottom w:val="none" w:sz="0" w:space="0" w:color="auto"/>
        <w:right w:val="none" w:sz="0" w:space="0" w:color="auto"/>
      </w:divBdr>
    </w:div>
    <w:div w:id="252862100">
      <w:bodyDiv w:val="1"/>
      <w:marLeft w:val="0"/>
      <w:marRight w:val="0"/>
      <w:marTop w:val="0"/>
      <w:marBottom w:val="0"/>
      <w:divBdr>
        <w:top w:val="none" w:sz="0" w:space="0" w:color="auto"/>
        <w:left w:val="none" w:sz="0" w:space="0" w:color="auto"/>
        <w:bottom w:val="none" w:sz="0" w:space="0" w:color="auto"/>
        <w:right w:val="none" w:sz="0" w:space="0" w:color="auto"/>
      </w:divBdr>
    </w:div>
    <w:div w:id="252862604">
      <w:bodyDiv w:val="1"/>
      <w:marLeft w:val="0"/>
      <w:marRight w:val="0"/>
      <w:marTop w:val="0"/>
      <w:marBottom w:val="0"/>
      <w:divBdr>
        <w:top w:val="none" w:sz="0" w:space="0" w:color="auto"/>
        <w:left w:val="none" w:sz="0" w:space="0" w:color="auto"/>
        <w:bottom w:val="none" w:sz="0" w:space="0" w:color="auto"/>
        <w:right w:val="none" w:sz="0" w:space="0" w:color="auto"/>
      </w:divBdr>
    </w:div>
    <w:div w:id="252863020">
      <w:bodyDiv w:val="1"/>
      <w:marLeft w:val="0"/>
      <w:marRight w:val="0"/>
      <w:marTop w:val="0"/>
      <w:marBottom w:val="0"/>
      <w:divBdr>
        <w:top w:val="none" w:sz="0" w:space="0" w:color="auto"/>
        <w:left w:val="none" w:sz="0" w:space="0" w:color="auto"/>
        <w:bottom w:val="none" w:sz="0" w:space="0" w:color="auto"/>
        <w:right w:val="none" w:sz="0" w:space="0" w:color="auto"/>
      </w:divBdr>
    </w:div>
    <w:div w:id="252935710">
      <w:bodyDiv w:val="1"/>
      <w:marLeft w:val="0"/>
      <w:marRight w:val="0"/>
      <w:marTop w:val="0"/>
      <w:marBottom w:val="0"/>
      <w:divBdr>
        <w:top w:val="none" w:sz="0" w:space="0" w:color="auto"/>
        <w:left w:val="none" w:sz="0" w:space="0" w:color="auto"/>
        <w:bottom w:val="none" w:sz="0" w:space="0" w:color="auto"/>
        <w:right w:val="none" w:sz="0" w:space="0" w:color="auto"/>
      </w:divBdr>
    </w:div>
    <w:div w:id="252977010">
      <w:bodyDiv w:val="1"/>
      <w:marLeft w:val="0"/>
      <w:marRight w:val="0"/>
      <w:marTop w:val="0"/>
      <w:marBottom w:val="0"/>
      <w:divBdr>
        <w:top w:val="none" w:sz="0" w:space="0" w:color="auto"/>
        <w:left w:val="none" w:sz="0" w:space="0" w:color="auto"/>
        <w:bottom w:val="none" w:sz="0" w:space="0" w:color="auto"/>
        <w:right w:val="none" w:sz="0" w:space="0" w:color="auto"/>
      </w:divBdr>
    </w:div>
    <w:div w:id="252980611">
      <w:bodyDiv w:val="1"/>
      <w:marLeft w:val="0"/>
      <w:marRight w:val="0"/>
      <w:marTop w:val="0"/>
      <w:marBottom w:val="0"/>
      <w:divBdr>
        <w:top w:val="none" w:sz="0" w:space="0" w:color="auto"/>
        <w:left w:val="none" w:sz="0" w:space="0" w:color="auto"/>
        <w:bottom w:val="none" w:sz="0" w:space="0" w:color="auto"/>
        <w:right w:val="none" w:sz="0" w:space="0" w:color="auto"/>
      </w:divBdr>
    </w:div>
    <w:div w:id="252981570">
      <w:bodyDiv w:val="1"/>
      <w:marLeft w:val="0"/>
      <w:marRight w:val="0"/>
      <w:marTop w:val="0"/>
      <w:marBottom w:val="0"/>
      <w:divBdr>
        <w:top w:val="none" w:sz="0" w:space="0" w:color="auto"/>
        <w:left w:val="none" w:sz="0" w:space="0" w:color="auto"/>
        <w:bottom w:val="none" w:sz="0" w:space="0" w:color="auto"/>
        <w:right w:val="none" w:sz="0" w:space="0" w:color="auto"/>
      </w:divBdr>
    </w:div>
    <w:div w:id="253049780">
      <w:bodyDiv w:val="1"/>
      <w:marLeft w:val="0"/>
      <w:marRight w:val="0"/>
      <w:marTop w:val="0"/>
      <w:marBottom w:val="0"/>
      <w:divBdr>
        <w:top w:val="none" w:sz="0" w:space="0" w:color="auto"/>
        <w:left w:val="none" w:sz="0" w:space="0" w:color="auto"/>
        <w:bottom w:val="none" w:sz="0" w:space="0" w:color="auto"/>
        <w:right w:val="none" w:sz="0" w:space="0" w:color="auto"/>
      </w:divBdr>
    </w:div>
    <w:div w:id="253053369">
      <w:bodyDiv w:val="1"/>
      <w:marLeft w:val="0"/>
      <w:marRight w:val="0"/>
      <w:marTop w:val="0"/>
      <w:marBottom w:val="0"/>
      <w:divBdr>
        <w:top w:val="none" w:sz="0" w:space="0" w:color="auto"/>
        <w:left w:val="none" w:sz="0" w:space="0" w:color="auto"/>
        <w:bottom w:val="none" w:sz="0" w:space="0" w:color="auto"/>
        <w:right w:val="none" w:sz="0" w:space="0" w:color="auto"/>
      </w:divBdr>
    </w:div>
    <w:div w:id="253053591">
      <w:bodyDiv w:val="1"/>
      <w:marLeft w:val="0"/>
      <w:marRight w:val="0"/>
      <w:marTop w:val="0"/>
      <w:marBottom w:val="0"/>
      <w:divBdr>
        <w:top w:val="none" w:sz="0" w:space="0" w:color="auto"/>
        <w:left w:val="none" w:sz="0" w:space="0" w:color="auto"/>
        <w:bottom w:val="none" w:sz="0" w:space="0" w:color="auto"/>
        <w:right w:val="none" w:sz="0" w:space="0" w:color="auto"/>
      </w:divBdr>
    </w:div>
    <w:div w:id="253054520">
      <w:bodyDiv w:val="1"/>
      <w:marLeft w:val="0"/>
      <w:marRight w:val="0"/>
      <w:marTop w:val="0"/>
      <w:marBottom w:val="0"/>
      <w:divBdr>
        <w:top w:val="none" w:sz="0" w:space="0" w:color="auto"/>
        <w:left w:val="none" w:sz="0" w:space="0" w:color="auto"/>
        <w:bottom w:val="none" w:sz="0" w:space="0" w:color="auto"/>
        <w:right w:val="none" w:sz="0" w:space="0" w:color="auto"/>
      </w:divBdr>
    </w:div>
    <w:div w:id="253125728">
      <w:bodyDiv w:val="1"/>
      <w:marLeft w:val="0"/>
      <w:marRight w:val="0"/>
      <w:marTop w:val="0"/>
      <w:marBottom w:val="0"/>
      <w:divBdr>
        <w:top w:val="none" w:sz="0" w:space="0" w:color="auto"/>
        <w:left w:val="none" w:sz="0" w:space="0" w:color="auto"/>
        <w:bottom w:val="none" w:sz="0" w:space="0" w:color="auto"/>
        <w:right w:val="none" w:sz="0" w:space="0" w:color="auto"/>
      </w:divBdr>
    </w:div>
    <w:div w:id="253127387">
      <w:bodyDiv w:val="1"/>
      <w:marLeft w:val="0"/>
      <w:marRight w:val="0"/>
      <w:marTop w:val="0"/>
      <w:marBottom w:val="0"/>
      <w:divBdr>
        <w:top w:val="none" w:sz="0" w:space="0" w:color="auto"/>
        <w:left w:val="none" w:sz="0" w:space="0" w:color="auto"/>
        <w:bottom w:val="none" w:sz="0" w:space="0" w:color="auto"/>
        <w:right w:val="none" w:sz="0" w:space="0" w:color="auto"/>
      </w:divBdr>
    </w:div>
    <w:div w:id="253128575">
      <w:bodyDiv w:val="1"/>
      <w:marLeft w:val="0"/>
      <w:marRight w:val="0"/>
      <w:marTop w:val="0"/>
      <w:marBottom w:val="0"/>
      <w:divBdr>
        <w:top w:val="none" w:sz="0" w:space="0" w:color="auto"/>
        <w:left w:val="none" w:sz="0" w:space="0" w:color="auto"/>
        <w:bottom w:val="none" w:sz="0" w:space="0" w:color="auto"/>
        <w:right w:val="none" w:sz="0" w:space="0" w:color="auto"/>
      </w:divBdr>
    </w:div>
    <w:div w:id="253367887">
      <w:bodyDiv w:val="1"/>
      <w:marLeft w:val="0"/>
      <w:marRight w:val="0"/>
      <w:marTop w:val="0"/>
      <w:marBottom w:val="0"/>
      <w:divBdr>
        <w:top w:val="none" w:sz="0" w:space="0" w:color="auto"/>
        <w:left w:val="none" w:sz="0" w:space="0" w:color="auto"/>
        <w:bottom w:val="none" w:sz="0" w:space="0" w:color="auto"/>
        <w:right w:val="none" w:sz="0" w:space="0" w:color="auto"/>
      </w:divBdr>
    </w:div>
    <w:div w:id="253369403">
      <w:bodyDiv w:val="1"/>
      <w:marLeft w:val="0"/>
      <w:marRight w:val="0"/>
      <w:marTop w:val="0"/>
      <w:marBottom w:val="0"/>
      <w:divBdr>
        <w:top w:val="none" w:sz="0" w:space="0" w:color="auto"/>
        <w:left w:val="none" w:sz="0" w:space="0" w:color="auto"/>
        <w:bottom w:val="none" w:sz="0" w:space="0" w:color="auto"/>
        <w:right w:val="none" w:sz="0" w:space="0" w:color="auto"/>
      </w:divBdr>
    </w:div>
    <w:div w:id="253439227">
      <w:bodyDiv w:val="1"/>
      <w:marLeft w:val="0"/>
      <w:marRight w:val="0"/>
      <w:marTop w:val="0"/>
      <w:marBottom w:val="0"/>
      <w:divBdr>
        <w:top w:val="none" w:sz="0" w:space="0" w:color="auto"/>
        <w:left w:val="none" w:sz="0" w:space="0" w:color="auto"/>
        <w:bottom w:val="none" w:sz="0" w:space="0" w:color="auto"/>
        <w:right w:val="none" w:sz="0" w:space="0" w:color="auto"/>
      </w:divBdr>
    </w:div>
    <w:div w:id="253441985">
      <w:bodyDiv w:val="1"/>
      <w:marLeft w:val="0"/>
      <w:marRight w:val="0"/>
      <w:marTop w:val="0"/>
      <w:marBottom w:val="0"/>
      <w:divBdr>
        <w:top w:val="none" w:sz="0" w:space="0" w:color="auto"/>
        <w:left w:val="none" w:sz="0" w:space="0" w:color="auto"/>
        <w:bottom w:val="none" w:sz="0" w:space="0" w:color="auto"/>
        <w:right w:val="none" w:sz="0" w:space="0" w:color="auto"/>
      </w:divBdr>
    </w:div>
    <w:div w:id="253590082">
      <w:bodyDiv w:val="1"/>
      <w:marLeft w:val="0"/>
      <w:marRight w:val="0"/>
      <w:marTop w:val="0"/>
      <w:marBottom w:val="0"/>
      <w:divBdr>
        <w:top w:val="none" w:sz="0" w:space="0" w:color="auto"/>
        <w:left w:val="none" w:sz="0" w:space="0" w:color="auto"/>
        <w:bottom w:val="none" w:sz="0" w:space="0" w:color="auto"/>
        <w:right w:val="none" w:sz="0" w:space="0" w:color="auto"/>
      </w:divBdr>
    </w:div>
    <w:div w:id="253781315">
      <w:bodyDiv w:val="1"/>
      <w:marLeft w:val="0"/>
      <w:marRight w:val="0"/>
      <w:marTop w:val="0"/>
      <w:marBottom w:val="0"/>
      <w:divBdr>
        <w:top w:val="none" w:sz="0" w:space="0" w:color="auto"/>
        <w:left w:val="none" w:sz="0" w:space="0" w:color="auto"/>
        <w:bottom w:val="none" w:sz="0" w:space="0" w:color="auto"/>
        <w:right w:val="none" w:sz="0" w:space="0" w:color="auto"/>
      </w:divBdr>
    </w:div>
    <w:div w:id="253830784">
      <w:bodyDiv w:val="1"/>
      <w:marLeft w:val="0"/>
      <w:marRight w:val="0"/>
      <w:marTop w:val="0"/>
      <w:marBottom w:val="0"/>
      <w:divBdr>
        <w:top w:val="none" w:sz="0" w:space="0" w:color="auto"/>
        <w:left w:val="none" w:sz="0" w:space="0" w:color="auto"/>
        <w:bottom w:val="none" w:sz="0" w:space="0" w:color="auto"/>
        <w:right w:val="none" w:sz="0" w:space="0" w:color="auto"/>
      </w:divBdr>
    </w:div>
    <w:div w:id="254093326">
      <w:bodyDiv w:val="1"/>
      <w:marLeft w:val="0"/>
      <w:marRight w:val="0"/>
      <w:marTop w:val="0"/>
      <w:marBottom w:val="0"/>
      <w:divBdr>
        <w:top w:val="none" w:sz="0" w:space="0" w:color="auto"/>
        <w:left w:val="none" w:sz="0" w:space="0" w:color="auto"/>
        <w:bottom w:val="none" w:sz="0" w:space="0" w:color="auto"/>
        <w:right w:val="none" w:sz="0" w:space="0" w:color="auto"/>
      </w:divBdr>
    </w:div>
    <w:div w:id="254094808">
      <w:bodyDiv w:val="1"/>
      <w:marLeft w:val="0"/>
      <w:marRight w:val="0"/>
      <w:marTop w:val="0"/>
      <w:marBottom w:val="0"/>
      <w:divBdr>
        <w:top w:val="none" w:sz="0" w:space="0" w:color="auto"/>
        <w:left w:val="none" w:sz="0" w:space="0" w:color="auto"/>
        <w:bottom w:val="none" w:sz="0" w:space="0" w:color="auto"/>
        <w:right w:val="none" w:sz="0" w:space="0" w:color="auto"/>
      </w:divBdr>
    </w:div>
    <w:div w:id="254096261">
      <w:bodyDiv w:val="1"/>
      <w:marLeft w:val="0"/>
      <w:marRight w:val="0"/>
      <w:marTop w:val="0"/>
      <w:marBottom w:val="0"/>
      <w:divBdr>
        <w:top w:val="none" w:sz="0" w:space="0" w:color="auto"/>
        <w:left w:val="none" w:sz="0" w:space="0" w:color="auto"/>
        <w:bottom w:val="none" w:sz="0" w:space="0" w:color="auto"/>
        <w:right w:val="none" w:sz="0" w:space="0" w:color="auto"/>
      </w:divBdr>
    </w:div>
    <w:div w:id="254099665">
      <w:bodyDiv w:val="1"/>
      <w:marLeft w:val="0"/>
      <w:marRight w:val="0"/>
      <w:marTop w:val="0"/>
      <w:marBottom w:val="0"/>
      <w:divBdr>
        <w:top w:val="none" w:sz="0" w:space="0" w:color="auto"/>
        <w:left w:val="none" w:sz="0" w:space="0" w:color="auto"/>
        <w:bottom w:val="none" w:sz="0" w:space="0" w:color="auto"/>
        <w:right w:val="none" w:sz="0" w:space="0" w:color="auto"/>
      </w:divBdr>
    </w:div>
    <w:div w:id="254174195">
      <w:bodyDiv w:val="1"/>
      <w:marLeft w:val="0"/>
      <w:marRight w:val="0"/>
      <w:marTop w:val="0"/>
      <w:marBottom w:val="0"/>
      <w:divBdr>
        <w:top w:val="none" w:sz="0" w:space="0" w:color="auto"/>
        <w:left w:val="none" w:sz="0" w:space="0" w:color="auto"/>
        <w:bottom w:val="none" w:sz="0" w:space="0" w:color="auto"/>
        <w:right w:val="none" w:sz="0" w:space="0" w:color="auto"/>
      </w:divBdr>
    </w:div>
    <w:div w:id="254214405">
      <w:bodyDiv w:val="1"/>
      <w:marLeft w:val="0"/>
      <w:marRight w:val="0"/>
      <w:marTop w:val="0"/>
      <w:marBottom w:val="0"/>
      <w:divBdr>
        <w:top w:val="none" w:sz="0" w:space="0" w:color="auto"/>
        <w:left w:val="none" w:sz="0" w:space="0" w:color="auto"/>
        <w:bottom w:val="none" w:sz="0" w:space="0" w:color="auto"/>
        <w:right w:val="none" w:sz="0" w:space="0" w:color="auto"/>
      </w:divBdr>
    </w:div>
    <w:div w:id="254368138">
      <w:bodyDiv w:val="1"/>
      <w:marLeft w:val="0"/>
      <w:marRight w:val="0"/>
      <w:marTop w:val="0"/>
      <w:marBottom w:val="0"/>
      <w:divBdr>
        <w:top w:val="none" w:sz="0" w:space="0" w:color="auto"/>
        <w:left w:val="none" w:sz="0" w:space="0" w:color="auto"/>
        <w:bottom w:val="none" w:sz="0" w:space="0" w:color="auto"/>
        <w:right w:val="none" w:sz="0" w:space="0" w:color="auto"/>
      </w:divBdr>
    </w:div>
    <w:div w:id="254477823">
      <w:bodyDiv w:val="1"/>
      <w:marLeft w:val="0"/>
      <w:marRight w:val="0"/>
      <w:marTop w:val="0"/>
      <w:marBottom w:val="0"/>
      <w:divBdr>
        <w:top w:val="none" w:sz="0" w:space="0" w:color="auto"/>
        <w:left w:val="none" w:sz="0" w:space="0" w:color="auto"/>
        <w:bottom w:val="none" w:sz="0" w:space="0" w:color="auto"/>
        <w:right w:val="none" w:sz="0" w:space="0" w:color="auto"/>
      </w:divBdr>
    </w:div>
    <w:div w:id="254486121">
      <w:bodyDiv w:val="1"/>
      <w:marLeft w:val="0"/>
      <w:marRight w:val="0"/>
      <w:marTop w:val="0"/>
      <w:marBottom w:val="0"/>
      <w:divBdr>
        <w:top w:val="none" w:sz="0" w:space="0" w:color="auto"/>
        <w:left w:val="none" w:sz="0" w:space="0" w:color="auto"/>
        <w:bottom w:val="none" w:sz="0" w:space="0" w:color="auto"/>
        <w:right w:val="none" w:sz="0" w:space="0" w:color="auto"/>
      </w:divBdr>
    </w:div>
    <w:div w:id="254552831">
      <w:bodyDiv w:val="1"/>
      <w:marLeft w:val="0"/>
      <w:marRight w:val="0"/>
      <w:marTop w:val="0"/>
      <w:marBottom w:val="0"/>
      <w:divBdr>
        <w:top w:val="none" w:sz="0" w:space="0" w:color="auto"/>
        <w:left w:val="none" w:sz="0" w:space="0" w:color="auto"/>
        <w:bottom w:val="none" w:sz="0" w:space="0" w:color="auto"/>
        <w:right w:val="none" w:sz="0" w:space="0" w:color="auto"/>
      </w:divBdr>
    </w:div>
    <w:div w:id="254555505">
      <w:bodyDiv w:val="1"/>
      <w:marLeft w:val="0"/>
      <w:marRight w:val="0"/>
      <w:marTop w:val="0"/>
      <w:marBottom w:val="0"/>
      <w:divBdr>
        <w:top w:val="none" w:sz="0" w:space="0" w:color="auto"/>
        <w:left w:val="none" w:sz="0" w:space="0" w:color="auto"/>
        <w:bottom w:val="none" w:sz="0" w:space="0" w:color="auto"/>
        <w:right w:val="none" w:sz="0" w:space="0" w:color="auto"/>
      </w:divBdr>
    </w:div>
    <w:div w:id="254557691">
      <w:bodyDiv w:val="1"/>
      <w:marLeft w:val="0"/>
      <w:marRight w:val="0"/>
      <w:marTop w:val="0"/>
      <w:marBottom w:val="0"/>
      <w:divBdr>
        <w:top w:val="none" w:sz="0" w:space="0" w:color="auto"/>
        <w:left w:val="none" w:sz="0" w:space="0" w:color="auto"/>
        <w:bottom w:val="none" w:sz="0" w:space="0" w:color="auto"/>
        <w:right w:val="none" w:sz="0" w:space="0" w:color="auto"/>
      </w:divBdr>
    </w:div>
    <w:div w:id="254637016">
      <w:bodyDiv w:val="1"/>
      <w:marLeft w:val="0"/>
      <w:marRight w:val="0"/>
      <w:marTop w:val="0"/>
      <w:marBottom w:val="0"/>
      <w:divBdr>
        <w:top w:val="none" w:sz="0" w:space="0" w:color="auto"/>
        <w:left w:val="none" w:sz="0" w:space="0" w:color="auto"/>
        <w:bottom w:val="none" w:sz="0" w:space="0" w:color="auto"/>
        <w:right w:val="none" w:sz="0" w:space="0" w:color="auto"/>
      </w:divBdr>
    </w:div>
    <w:div w:id="254674643">
      <w:bodyDiv w:val="1"/>
      <w:marLeft w:val="0"/>
      <w:marRight w:val="0"/>
      <w:marTop w:val="0"/>
      <w:marBottom w:val="0"/>
      <w:divBdr>
        <w:top w:val="none" w:sz="0" w:space="0" w:color="auto"/>
        <w:left w:val="none" w:sz="0" w:space="0" w:color="auto"/>
        <w:bottom w:val="none" w:sz="0" w:space="0" w:color="auto"/>
        <w:right w:val="none" w:sz="0" w:space="0" w:color="auto"/>
      </w:divBdr>
    </w:div>
    <w:div w:id="254678043">
      <w:bodyDiv w:val="1"/>
      <w:marLeft w:val="0"/>
      <w:marRight w:val="0"/>
      <w:marTop w:val="0"/>
      <w:marBottom w:val="0"/>
      <w:divBdr>
        <w:top w:val="none" w:sz="0" w:space="0" w:color="auto"/>
        <w:left w:val="none" w:sz="0" w:space="0" w:color="auto"/>
        <w:bottom w:val="none" w:sz="0" w:space="0" w:color="auto"/>
        <w:right w:val="none" w:sz="0" w:space="0" w:color="auto"/>
      </w:divBdr>
    </w:div>
    <w:div w:id="254678690">
      <w:bodyDiv w:val="1"/>
      <w:marLeft w:val="0"/>
      <w:marRight w:val="0"/>
      <w:marTop w:val="0"/>
      <w:marBottom w:val="0"/>
      <w:divBdr>
        <w:top w:val="none" w:sz="0" w:space="0" w:color="auto"/>
        <w:left w:val="none" w:sz="0" w:space="0" w:color="auto"/>
        <w:bottom w:val="none" w:sz="0" w:space="0" w:color="auto"/>
        <w:right w:val="none" w:sz="0" w:space="0" w:color="auto"/>
      </w:divBdr>
    </w:div>
    <w:div w:id="254751647">
      <w:bodyDiv w:val="1"/>
      <w:marLeft w:val="0"/>
      <w:marRight w:val="0"/>
      <w:marTop w:val="0"/>
      <w:marBottom w:val="0"/>
      <w:divBdr>
        <w:top w:val="none" w:sz="0" w:space="0" w:color="auto"/>
        <w:left w:val="none" w:sz="0" w:space="0" w:color="auto"/>
        <w:bottom w:val="none" w:sz="0" w:space="0" w:color="auto"/>
        <w:right w:val="none" w:sz="0" w:space="0" w:color="auto"/>
      </w:divBdr>
    </w:div>
    <w:div w:id="254821685">
      <w:bodyDiv w:val="1"/>
      <w:marLeft w:val="0"/>
      <w:marRight w:val="0"/>
      <w:marTop w:val="0"/>
      <w:marBottom w:val="0"/>
      <w:divBdr>
        <w:top w:val="none" w:sz="0" w:space="0" w:color="auto"/>
        <w:left w:val="none" w:sz="0" w:space="0" w:color="auto"/>
        <w:bottom w:val="none" w:sz="0" w:space="0" w:color="auto"/>
        <w:right w:val="none" w:sz="0" w:space="0" w:color="auto"/>
      </w:divBdr>
    </w:div>
    <w:div w:id="254830101">
      <w:bodyDiv w:val="1"/>
      <w:marLeft w:val="0"/>
      <w:marRight w:val="0"/>
      <w:marTop w:val="0"/>
      <w:marBottom w:val="0"/>
      <w:divBdr>
        <w:top w:val="none" w:sz="0" w:space="0" w:color="auto"/>
        <w:left w:val="none" w:sz="0" w:space="0" w:color="auto"/>
        <w:bottom w:val="none" w:sz="0" w:space="0" w:color="auto"/>
        <w:right w:val="none" w:sz="0" w:space="0" w:color="auto"/>
      </w:divBdr>
    </w:div>
    <w:div w:id="254871749">
      <w:bodyDiv w:val="1"/>
      <w:marLeft w:val="0"/>
      <w:marRight w:val="0"/>
      <w:marTop w:val="0"/>
      <w:marBottom w:val="0"/>
      <w:divBdr>
        <w:top w:val="none" w:sz="0" w:space="0" w:color="auto"/>
        <w:left w:val="none" w:sz="0" w:space="0" w:color="auto"/>
        <w:bottom w:val="none" w:sz="0" w:space="0" w:color="auto"/>
        <w:right w:val="none" w:sz="0" w:space="0" w:color="auto"/>
      </w:divBdr>
    </w:div>
    <w:div w:id="255016516">
      <w:bodyDiv w:val="1"/>
      <w:marLeft w:val="0"/>
      <w:marRight w:val="0"/>
      <w:marTop w:val="0"/>
      <w:marBottom w:val="0"/>
      <w:divBdr>
        <w:top w:val="none" w:sz="0" w:space="0" w:color="auto"/>
        <w:left w:val="none" w:sz="0" w:space="0" w:color="auto"/>
        <w:bottom w:val="none" w:sz="0" w:space="0" w:color="auto"/>
        <w:right w:val="none" w:sz="0" w:space="0" w:color="auto"/>
      </w:divBdr>
    </w:div>
    <w:div w:id="255208167">
      <w:bodyDiv w:val="1"/>
      <w:marLeft w:val="0"/>
      <w:marRight w:val="0"/>
      <w:marTop w:val="0"/>
      <w:marBottom w:val="0"/>
      <w:divBdr>
        <w:top w:val="none" w:sz="0" w:space="0" w:color="auto"/>
        <w:left w:val="none" w:sz="0" w:space="0" w:color="auto"/>
        <w:bottom w:val="none" w:sz="0" w:space="0" w:color="auto"/>
        <w:right w:val="none" w:sz="0" w:space="0" w:color="auto"/>
      </w:divBdr>
    </w:div>
    <w:div w:id="255286982">
      <w:bodyDiv w:val="1"/>
      <w:marLeft w:val="0"/>
      <w:marRight w:val="0"/>
      <w:marTop w:val="0"/>
      <w:marBottom w:val="0"/>
      <w:divBdr>
        <w:top w:val="none" w:sz="0" w:space="0" w:color="auto"/>
        <w:left w:val="none" w:sz="0" w:space="0" w:color="auto"/>
        <w:bottom w:val="none" w:sz="0" w:space="0" w:color="auto"/>
        <w:right w:val="none" w:sz="0" w:space="0" w:color="auto"/>
      </w:divBdr>
    </w:div>
    <w:div w:id="255332095">
      <w:bodyDiv w:val="1"/>
      <w:marLeft w:val="0"/>
      <w:marRight w:val="0"/>
      <w:marTop w:val="0"/>
      <w:marBottom w:val="0"/>
      <w:divBdr>
        <w:top w:val="none" w:sz="0" w:space="0" w:color="auto"/>
        <w:left w:val="none" w:sz="0" w:space="0" w:color="auto"/>
        <w:bottom w:val="none" w:sz="0" w:space="0" w:color="auto"/>
        <w:right w:val="none" w:sz="0" w:space="0" w:color="auto"/>
      </w:divBdr>
    </w:div>
    <w:div w:id="255359722">
      <w:bodyDiv w:val="1"/>
      <w:marLeft w:val="0"/>
      <w:marRight w:val="0"/>
      <w:marTop w:val="0"/>
      <w:marBottom w:val="0"/>
      <w:divBdr>
        <w:top w:val="none" w:sz="0" w:space="0" w:color="auto"/>
        <w:left w:val="none" w:sz="0" w:space="0" w:color="auto"/>
        <w:bottom w:val="none" w:sz="0" w:space="0" w:color="auto"/>
        <w:right w:val="none" w:sz="0" w:space="0" w:color="auto"/>
      </w:divBdr>
    </w:div>
    <w:div w:id="255480333">
      <w:bodyDiv w:val="1"/>
      <w:marLeft w:val="0"/>
      <w:marRight w:val="0"/>
      <w:marTop w:val="0"/>
      <w:marBottom w:val="0"/>
      <w:divBdr>
        <w:top w:val="none" w:sz="0" w:space="0" w:color="auto"/>
        <w:left w:val="none" w:sz="0" w:space="0" w:color="auto"/>
        <w:bottom w:val="none" w:sz="0" w:space="0" w:color="auto"/>
        <w:right w:val="none" w:sz="0" w:space="0" w:color="auto"/>
      </w:divBdr>
    </w:div>
    <w:div w:id="255525803">
      <w:bodyDiv w:val="1"/>
      <w:marLeft w:val="0"/>
      <w:marRight w:val="0"/>
      <w:marTop w:val="0"/>
      <w:marBottom w:val="0"/>
      <w:divBdr>
        <w:top w:val="none" w:sz="0" w:space="0" w:color="auto"/>
        <w:left w:val="none" w:sz="0" w:space="0" w:color="auto"/>
        <w:bottom w:val="none" w:sz="0" w:space="0" w:color="auto"/>
        <w:right w:val="none" w:sz="0" w:space="0" w:color="auto"/>
      </w:divBdr>
    </w:div>
    <w:div w:id="255527849">
      <w:bodyDiv w:val="1"/>
      <w:marLeft w:val="0"/>
      <w:marRight w:val="0"/>
      <w:marTop w:val="0"/>
      <w:marBottom w:val="0"/>
      <w:divBdr>
        <w:top w:val="none" w:sz="0" w:space="0" w:color="auto"/>
        <w:left w:val="none" w:sz="0" w:space="0" w:color="auto"/>
        <w:bottom w:val="none" w:sz="0" w:space="0" w:color="auto"/>
        <w:right w:val="none" w:sz="0" w:space="0" w:color="auto"/>
      </w:divBdr>
    </w:div>
    <w:div w:id="255596990">
      <w:bodyDiv w:val="1"/>
      <w:marLeft w:val="0"/>
      <w:marRight w:val="0"/>
      <w:marTop w:val="0"/>
      <w:marBottom w:val="0"/>
      <w:divBdr>
        <w:top w:val="none" w:sz="0" w:space="0" w:color="auto"/>
        <w:left w:val="none" w:sz="0" w:space="0" w:color="auto"/>
        <w:bottom w:val="none" w:sz="0" w:space="0" w:color="auto"/>
        <w:right w:val="none" w:sz="0" w:space="0" w:color="auto"/>
      </w:divBdr>
    </w:div>
    <w:div w:id="255867808">
      <w:bodyDiv w:val="1"/>
      <w:marLeft w:val="0"/>
      <w:marRight w:val="0"/>
      <w:marTop w:val="0"/>
      <w:marBottom w:val="0"/>
      <w:divBdr>
        <w:top w:val="none" w:sz="0" w:space="0" w:color="auto"/>
        <w:left w:val="none" w:sz="0" w:space="0" w:color="auto"/>
        <w:bottom w:val="none" w:sz="0" w:space="0" w:color="auto"/>
        <w:right w:val="none" w:sz="0" w:space="0" w:color="auto"/>
      </w:divBdr>
    </w:div>
    <w:div w:id="255942732">
      <w:bodyDiv w:val="1"/>
      <w:marLeft w:val="0"/>
      <w:marRight w:val="0"/>
      <w:marTop w:val="0"/>
      <w:marBottom w:val="0"/>
      <w:divBdr>
        <w:top w:val="none" w:sz="0" w:space="0" w:color="auto"/>
        <w:left w:val="none" w:sz="0" w:space="0" w:color="auto"/>
        <w:bottom w:val="none" w:sz="0" w:space="0" w:color="auto"/>
        <w:right w:val="none" w:sz="0" w:space="0" w:color="auto"/>
      </w:divBdr>
    </w:div>
    <w:div w:id="255943579">
      <w:bodyDiv w:val="1"/>
      <w:marLeft w:val="0"/>
      <w:marRight w:val="0"/>
      <w:marTop w:val="0"/>
      <w:marBottom w:val="0"/>
      <w:divBdr>
        <w:top w:val="none" w:sz="0" w:space="0" w:color="auto"/>
        <w:left w:val="none" w:sz="0" w:space="0" w:color="auto"/>
        <w:bottom w:val="none" w:sz="0" w:space="0" w:color="auto"/>
        <w:right w:val="none" w:sz="0" w:space="0" w:color="auto"/>
      </w:divBdr>
    </w:div>
    <w:div w:id="256135444">
      <w:bodyDiv w:val="1"/>
      <w:marLeft w:val="0"/>
      <w:marRight w:val="0"/>
      <w:marTop w:val="0"/>
      <w:marBottom w:val="0"/>
      <w:divBdr>
        <w:top w:val="none" w:sz="0" w:space="0" w:color="auto"/>
        <w:left w:val="none" w:sz="0" w:space="0" w:color="auto"/>
        <w:bottom w:val="none" w:sz="0" w:space="0" w:color="auto"/>
        <w:right w:val="none" w:sz="0" w:space="0" w:color="auto"/>
      </w:divBdr>
    </w:div>
    <w:div w:id="256209059">
      <w:bodyDiv w:val="1"/>
      <w:marLeft w:val="0"/>
      <w:marRight w:val="0"/>
      <w:marTop w:val="0"/>
      <w:marBottom w:val="0"/>
      <w:divBdr>
        <w:top w:val="none" w:sz="0" w:space="0" w:color="auto"/>
        <w:left w:val="none" w:sz="0" w:space="0" w:color="auto"/>
        <w:bottom w:val="none" w:sz="0" w:space="0" w:color="auto"/>
        <w:right w:val="none" w:sz="0" w:space="0" w:color="auto"/>
      </w:divBdr>
    </w:div>
    <w:div w:id="256210498">
      <w:bodyDiv w:val="1"/>
      <w:marLeft w:val="0"/>
      <w:marRight w:val="0"/>
      <w:marTop w:val="0"/>
      <w:marBottom w:val="0"/>
      <w:divBdr>
        <w:top w:val="none" w:sz="0" w:space="0" w:color="auto"/>
        <w:left w:val="none" w:sz="0" w:space="0" w:color="auto"/>
        <w:bottom w:val="none" w:sz="0" w:space="0" w:color="auto"/>
        <w:right w:val="none" w:sz="0" w:space="0" w:color="auto"/>
      </w:divBdr>
    </w:div>
    <w:div w:id="256255521">
      <w:bodyDiv w:val="1"/>
      <w:marLeft w:val="0"/>
      <w:marRight w:val="0"/>
      <w:marTop w:val="0"/>
      <w:marBottom w:val="0"/>
      <w:divBdr>
        <w:top w:val="none" w:sz="0" w:space="0" w:color="auto"/>
        <w:left w:val="none" w:sz="0" w:space="0" w:color="auto"/>
        <w:bottom w:val="none" w:sz="0" w:space="0" w:color="auto"/>
        <w:right w:val="none" w:sz="0" w:space="0" w:color="auto"/>
      </w:divBdr>
    </w:div>
    <w:div w:id="256325289">
      <w:bodyDiv w:val="1"/>
      <w:marLeft w:val="0"/>
      <w:marRight w:val="0"/>
      <w:marTop w:val="0"/>
      <w:marBottom w:val="0"/>
      <w:divBdr>
        <w:top w:val="none" w:sz="0" w:space="0" w:color="auto"/>
        <w:left w:val="none" w:sz="0" w:space="0" w:color="auto"/>
        <w:bottom w:val="none" w:sz="0" w:space="0" w:color="auto"/>
        <w:right w:val="none" w:sz="0" w:space="0" w:color="auto"/>
      </w:divBdr>
    </w:div>
    <w:div w:id="256400972">
      <w:bodyDiv w:val="1"/>
      <w:marLeft w:val="0"/>
      <w:marRight w:val="0"/>
      <w:marTop w:val="0"/>
      <w:marBottom w:val="0"/>
      <w:divBdr>
        <w:top w:val="none" w:sz="0" w:space="0" w:color="auto"/>
        <w:left w:val="none" w:sz="0" w:space="0" w:color="auto"/>
        <w:bottom w:val="none" w:sz="0" w:space="0" w:color="auto"/>
        <w:right w:val="none" w:sz="0" w:space="0" w:color="auto"/>
      </w:divBdr>
    </w:div>
    <w:div w:id="256405125">
      <w:bodyDiv w:val="1"/>
      <w:marLeft w:val="0"/>
      <w:marRight w:val="0"/>
      <w:marTop w:val="0"/>
      <w:marBottom w:val="0"/>
      <w:divBdr>
        <w:top w:val="none" w:sz="0" w:space="0" w:color="auto"/>
        <w:left w:val="none" w:sz="0" w:space="0" w:color="auto"/>
        <w:bottom w:val="none" w:sz="0" w:space="0" w:color="auto"/>
        <w:right w:val="none" w:sz="0" w:space="0" w:color="auto"/>
      </w:divBdr>
    </w:div>
    <w:div w:id="256449738">
      <w:bodyDiv w:val="1"/>
      <w:marLeft w:val="0"/>
      <w:marRight w:val="0"/>
      <w:marTop w:val="0"/>
      <w:marBottom w:val="0"/>
      <w:divBdr>
        <w:top w:val="none" w:sz="0" w:space="0" w:color="auto"/>
        <w:left w:val="none" w:sz="0" w:space="0" w:color="auto"/>
        <w:bottom w:val="none" w:sz="0" w:space="0" w:color="auto"/>
        <w:right w:val="none" w:sz="0" w:space="0" w:color="auto"/>
      </w:divBdr>
    </w:div>
    <w:div w:id="256524515">
      <w:bodyDiv w:val="1"/>
      <w:marLeft w:val="0"/>
      <w:marRight w:val="0"/>
      <w:marTop w:val="0"/>
      <w:marBottom w:val="0"/>
      <w:divBdr>
        <w:top w:val="none" w:sz="0" w:space="0" w:color="auto"/>
        <w:left w:val="none" w:sz="0" w:space="0" w:color="auto"/>
        <w:bottom w:val="none" w:sz="0" w:space="0" w:color="auto"/>
        <w:right w:val="none" w:sz="0" w:space="0" w:color="auto"/>
      </w:divBdr>
    </w:div>
    <w:div w:id="256643217">
      <w:bodyDiv w:val="1"/>
      <w:marLeft w:val="0"/>
      <w:marRight w:val="0"/>
      <w:marTop w:val="0"/>
      <w:marBottom w:val="0"/>
      <w:divBdr>
        <w:top w:val="none" w:sz="0" w:space="0" w:color="auto"/>
        <w:left w:val="none" w:sz="0" w:space="0" w:color="auto"/>
        <w:bottom w:val="none" w:sz="0" w:space="0" w:color="auto"/>
        <w:right w:val="none" w:sz="0" w:space="0" w:color="auto"/>
      </w:divBdr>
    </w:div>
    <w:div w:id="256788547">
      <w:bodyDiv w:val="1"/>
      <w:marLeft w:val="0"/>
      <w:marRight w:val="0"/>
      <w:marTop w:val="0"/>
      <w:marBottom w:val="0"/>
      <w:divBdr>
        <w:top w:val="none" w:sz="0" w:space="0" w:color="auto"/>
        <w:left w:val="none" w:sz="0" w:space="0" w:color="auto"/>
        <w:bottom w:val="none" w:sz="0" w:space="0" w:color="auto"/>
        <w:right w:val="none" w:sz="0" w:space="0" w:color="auto"/>
      </w:divBdr>
    </w:div>
    <w:div w:id="256913634">
      <w:bodyDiv w:val="1"/>
      <w:marLeft w:val="0"/>
      <w:marRight w:val="0"/>
      <w:marTop w:val="0"/>
      <w:marBottom w:val="0"/>
      <w:divBdr>
        <w:top w:val="none" w:sz="0" w:space="0" w:color="auto"/>
        <w:left w:val="none" w:sz="0" w:space="0" w:color="auto"/>
        <w:bottom w:val="none" w:sz="0" w:space="0" w:color="auto"/>
        <w:right w:val="none" w:sz="0" w:space="0" w:color="auto"/>
      </w:divBdr>
    </w:div>
    <w:div w:id="256914925">
      <w:bodyDiv w:val="1"/>
      <w:marLeft w:val="0"/>
      <w:marRight w:val="0"/>
      <w:marTop w:val="0"/>
      <w:marBottom w:val="0"/>
      <w:divBdr>
        <w:top w:val="none" w:sz="0" w:space="0" w:color="auto"/>
        <w:left w:val="none" w:sz="0" w:space="0" w:color="auto"/>
        <w:bottom w:val="none" w:sz="0" w:space="0" w:color="auto"/>
        <w:right w:val="none" w:sz="0" w:space="0" w:color="auto"/>
      </w:divBdr>
    </w:div>
    <w:div w:id="257058974">
      <w:bodyDiv w:val="1"/>
      <w:marLeft w:val="0"/>
      <w:marRight w:val="0"/>
      <w:marTop w:val="0"/>
      <w:marBottom w:val="0"/>
      <w:divBdr>
        <w:top w:val="none" w:sz="0" w:space="0" w:color="auto"/>
        <w:left w:val="none" w:sz="0" w:space="0" w:color="auto"/>
        <w:bottom w:val="none" w:sz="0" w:space="0" w:color="auto"/>
        <w:right w:val="none" w:sz="0" w:space="0" w:color="auto"/>
      </w:divBdr>
    </w:div>
    <w:div w:id="257062381">
      <w:bodyDiv w:val="1"/>
      <w:marLeft w:val="0"/>
      <w:marRight w:val="0"/>
      <w:marTop w:val="0"/>
      <w:marBottom w:val="0"/>
      <w:divBdr>
        <w:top w:val="none" w:sz="0" w:space="0" w:color="auto"/>
        <w:left w:val="none" w:sz="0" w:space="0" w:color="auto"/>
        <w:bottom w:val="none" w:sz="0" w:space="0" w:color="auto"/>
        <w:right w:val="none" w:sz="0" w:space="0" w:color="auto"/>
      </w:divBdr>
    </w:div>
    <w:div w:id="257182490">
      <w:bodyDiv w:val="1"/>
      <w:marLeft w:val="0"/>
      <w:marRight w:val="0"/>
      <w:marTop w:val="0"/>
      <w:marBottom w:val="0"/>
      <w:divBdr>
        <w:top w:val="none" w:sz="0" w:space="0" w:color="auto"/>
        <w:left w:val="none" w:sz="0" w:space="0" w:color="auto"/>
        <w:bottom w:val="none" w:sz="0" w:space="0" w:color="auto"/>
        <w:right w:val="none" w:sz="0" w:space="0" w:color="auto"/>
      </w:divBdr>
    </w:div>
    <w:div w:id="257249339">
      <w:bodyDiv w:val="1"/>
      <w:marLeft w:val="0"/>
      <w:marRight w:val="0"/>
      <w:marTop w:val="0"/>
      <w:marBottom w:val="0"/>
      <w:divBdr>
        <w:top w:val="none" w:sz="0" w:space="0" w:color="auto"/>
        <w:left w:val="none" w:sz="0" w:space="0" w:color="auto"/>
        <w:bottom w:val="none" w:sz="0" w:space="0" w:color="auto"/>
        <w:right w:val="none" w:sz="0" w:space="0" w:color="auto"/>
      </w:divBdr>
    </w:div>
    <w:div w:id="257257752">
      <w:bodyDiv w:val="1"/>
      <w:marLeft w:val="0"/>
      <w:marRight w:val="0"/>
      <w:marTop w:val="0"/>
      <w:marBottom w:val="0"/>
      <w:divBdr>
        <w:top w:val="none" w:sz="0" w:space="0" w:color="auto"/>
        <w:left w:val="none" w:sz="0" w:space="0" w:color="auto"/>
        <w:bottom w:val="none" w:sz="0" w:space="0" w:color="auto"/>
        <w:right w:val="none" w:sz="0" w:space="0" w:color="auto"/>
      </w:divBdr>
    </w:div>
    <w:div w:id="257372824">
      <w:bodyDiv w:val="1"/>
      <w:marLeft w:val="0"/>
      <w:marRight w:val="0"/>
      <w:marTop w:val="0"/>
      <w:marBottom w:val="0"/>
      <w:divBdr>
        <w:top w:val="none" w:sz="0" w:space="0" w:color="auto"/>
        <w:left w:val="none" w:sz="0" w:space="0" w:color="auto"/>
        <w:bottom w:val="none" w:sz="0" w:space="0" w:color="auto"/>
        <w:right w:val="none" w:sz="0" w:space="0" w:color="auto"/>
      </w:divBdr>
    </w:div>
    <w:div w:id="257521000">
      <w:bodyDiv w:val="1"/>
      <w:marLeft w:val="0"/>
      <w:marRight w:val="0"/>
      <w:marTop w:val="0"/>
      <w:marBottom w:val="0"/>
      <w:divBdr>
        <w:top w:val="none" w:sz="0" w:space="0" w:color="auto"/>
        <w:left w:val="none" w:sz="0" w:space="0" w:color="auto"/>
        <w:bottom w:val="none" w:sz="0" w:space="0" w:color="auto"/>
        <w:right w:val="none" w:sz="0" w:space="0" w:color="auto"/>
      </w:divBdr>
    </w:div>
    <w:div w:id="257638941">
      <w:bodyDiv w:val="1"/>
      <w:marLeft w:val="0"/>
      <w:marRight w:val="0"/>
      <w:marTop w:val="0"/>
      <w:marBottom w:val="0"/>
      <w:divBdr>
        <w:top w:val="none" w:sz="0" w:space="0" w:color="auto"/>
        <w:left w:val="none" w:sz="0" w:space="0" w:color="auto"/>
        <w:bottom w:val="none" w:sz="0" w:space="0" w:color="auto"/>
        <w:right w:val="none" w:sz="0" w:space="0" w:color="auto"/>
      </w:divBdr>
    </w:div>
    <w:div w:id="257829419">
      <w:bodyDiv w:val="1"/>
      <w:marLeft w:val="0"/>
      <w:marRight w:val="0"/>
      <w:marTop w:val="0"/>
      <w:marBottom w:val="0"/>
      <w:divBdr>
        <w:top w:val="none" w:sz="0" w:space="0" w:color="auto"/>
        <w:left w:val="none" w:sz="0" w:space="0" w:color="auto"/>
        <w:bottom w:val="none" w:sz="0" w:space="0" w:color="auto"/>
        <w:right w:val="none" w:sz="0" w:space="0" w:color="auto"/>
      </w:divBdr>
    </w:div>
    <w:div w:id="257833800">
      <w:bodyDiv w:val="1"/>
      <w:marLeft w:val="0"/>
      <w:marRight w:val="0"/>
      <w:marTop w:val="0"/>
      <w:marBottom w:val="0"/>
      <w:divBdr>
        <w:top w:val="none" w:sz="0" w:space="0" w:color="auto"/>
        <w:left w:val="none" w:sz="0" w:space="0" w:color="auto"/>
        <w:bottom w:val="none" w:sz="0" w:space="0" w:color="auto"/>
        <w:right w:val="none" w:sz="0" w:space="0" w:color="auto"/>
      </w:divBdr>
    </w:div>
    <w:div w:id="257836823">
      <w:bodyDiv w:val="1"/>
      <w:marLeft w:val="0"/>
      <w:marRight w:val="0"/>
      <w:marTop w:val="0"/>
      <w:marBottom w:val="0"/>
      <w:divBdr>
        <w:top w:val="none" w:sz="0" w:space="0" w:color="auto"/>
        <w:left w:val="none" w:sz="0" w:space="0" w:color="auto"/>
        <w:bottom w:val="none" w:sz="0" w:space="0" w:color="auto"/>
        <w:right w:val="none" w:sz="0" w:space="0" w:color="auto"/>
      </w:divBdr>
    </w:div>
    <w:div w:id="258029730">
      <w:bodyDiv w:val="1"/>
      <w:marLeft w:val="0"/>
      <w:marRight w:val="0"/>
      <w:marTop w:val="0"/>
      <w:marBottom w:val="0"/>
      <w:divBdr>
        <w:top w:val="none" w:sz="0" w:space="0" w:color="auto"/>
        <w:left w:val="none" w:sz="0" w:space="0" w:color="auto"/>
        <w:bottom w:val="none" w:sz="0" w:space="0" w:color="auto"/>
        <w:right w:val="none" w:sz="0" w:space="0" w:color="auto"/>
      </w:divBdr>
    </w:div>
    <w:div w:id="258100073">
      <w:bodyDiv w:val="1"/>
      <w:marLeft w:val="0"/>
      <w:marRight w:val="0"/>
      <w:marTop w:val="0"/>
      <w:marBottom w:val="0"/>
      <w:divBdr>
        <w:top w:val="none" w:sz="0" w:space="0" w:color="auto"/>
        <w:left w:val="none" w:sz="0" w:space="0" w:color="auto"/>
        <w:bottom w:val="none" w:sz="0" w:space="0" w:color="auto"/>
        <w:right w:val="none" w:sz="0" w:space="0" w:color="auto"/>
      </w:divBdr>
    </w:div>
    <w:div w:id="258102515">
      <w:bodyDiv w:val="1"/>
      <w:marLeft w:val="0"/>
      <w:marRight w:val="0"/>
      <w:marTop w:val="0"/>
      <w:marBottom w:val="0"/>
      <w:divBdr>
        <w:top w:val="none" w:sz="0" w:space="0" w:color="auto"/>
        <w:left w:val="none" w:sz="0" w:space="0" w:color="auto"/>
        <w:bottom w:val="none" w:sz="0" w:space="0" w:color="auto"/>
        <w:right w:val="none" w:sz="0" w:space="0" w:color="auto"/>
      </w:divBdr>
    </w:div>
    <w:div w:id="258220661">
      <w:bodyDiv w:val="1"/>
      <w:marLeft w:val="0"/>
      <w:marRight w:val="0"/>
      <w:marTop w:val="0"/>
      <w:marBottom w:val="0"/>
      <w:divBdr>
        <w:top w:val="none" w:sz="0" w:space="0" w:color="auto"/>
        <w:left w:val="none" w:sz="0" w:space="0" w:color="auto"/>
        <w:bottom w:val="none" w:sz="0" w:space="0" w:color="auto"/>
        <w:right w:val="none" w:sz="0" w:space="0" w:color="auto"/>
      </w:divBdr>
    </w:div>
    <w:div w:id="258297693">
      <w:bodyDiv w:val="1"/>
      <w:marLeft w:val="0"/>
      <w:marRight w:val="0"/>
      <w:marTop w:val="0"/>
      <w:marBottom w:val="0"/>
      <w:divBdr>
        <w:top w:val="none" w:sz="0" w:space="0" w:color="auto"/>
        <w:left w:val="none" w:sz="0" w:space="0" w:color="auto"/>
        <w:bottom w:val="none" w:sz="0" w:space="0" w:color="auto"/>
        <w:right w:val="none" w:sz="0" w:space="0" w:color="auto"/>
      </w:divBdr>
    </w:div>
    <w:div w:id="258417598">
      <w:bodyDiv w:val="1"/>
      <w:marLeft w:val="0"/>
      <w:marRight w:val="0"/>
      <w:marTop w:val="0"/>
      <w:marBottom w:val="0"/>
      <w:divBdr>
        <w:top w:val="none" w:sz="0" w:space="0" w:color="auto"/>
        <w:left w:val="none" w:sz="0" w:space="0" w:color="auto"/>
        <w:bottom w:val="none" w:sz="0" w:space="0" w:color="auto"/>
        <w:right w:val="none" w:sz="0" w:space="0" w:color="auto"/>
      </w:divBdr>
    </w:div>
    <w:div w:id="258831287">
      <w:bodyDiv w:val="1"/>
      <w:marLeft w:val="0"/>
      <w:marRight w:val="0"/>
      <w:marTop w:val="0"/>
      <w:marBottom w:val="0"/>
      <w:divBdr>
        <w:top w:val="none" w:sz="0" w:space="0" w:color="auto"/>
        <w:left w:val="none" w:sz="0" w:space="0" w:color="auto"/>
        <w:bottom w:val="none" w:sz="0" w:space="0" w:color="auto"/>
        <w:right w:val="none" w:sz="0" w:space="0" w:color="auto"/>
      </w:divBdr>
    </w:div>
    <w:div w:id="258834038">
      <w:bodyDiv w:val="1"/>
      <w:marLeft w:val="0"/>
      <w:marRight w:val="0"/>
      <w:marTop w:val="0"/>
      <w:marBottom w:val="0"/>
      <w:divBdr>
        <w:top w:val="none" w:sz="0" w:space="0" w:color="auto"/>
        <w:left w:val="none" w:sz="0" w:space="0" w:color="auto"/>
        <w:bottom w:val="none" w:sz="0" w:space="0" w:color="auto"/>
        <w:right w:val="none" w:sz="0" w:space="0" w:color="auto"/>
      </w:divBdr>
    </w:div>
    <w:div w:id="258871316">
      <w:bodyDiv w:val="1"/>
      <w:marLeft w:val="0"/>
      <w:marRight w:val="0"/>
      <w:marTop w:val="0"/>
      <w:marBottom w:val="0"/>
      <w:divBdr>
        <w:top w:val="none" w:sz="0" w:space="0" w:color="auto"/>
        <w:left w:val="none" w:sz="0" w:space="0" w:color="auto"/>
        <w:bottom w:val="none" w:sz="0" w:space="0" w:color="auto"/>
        <w:right w:val="none" w:sz="0" w:space="0" w:color="auto"/>
      </w:divBdr>
    </w:div>
    <w:div w:id="258872605">
      <w:bodyDiv w:val="1"/>
      <w:marLeft w:val="0"/>
      <w:marRight w:val="0"/>
      <w:marTop w:val="0"/>
      <w:marBottom w:val="0"/>
      <w:divBdr>
        <w:top w:val="none" w:sz="0" w:space="0" w:color="auto"/>
        <w:left w:val="none" w:sz="0" w:space="0" w:color="auto"/>
        <w:bottom w:val="none" w:sz="0" w:space="0" w:color="auto"/>
        <w:right w:val="none" w:sz="0" w:space="0" w:color="auto"/>
      </w:divBdr>
    </w:div>
    <w:div w:id="258947086">
      <w:bodyDiv w:val="1"/>
      <w:marLeft w:val="0"/>
      <w:marRight w:val="0"/>
      <w:marTop w:val="0"/>
      <w:marBottom w:val="0"/>
      <w:divBdr>
        <w:top w:val="none" w:sz="0" w:space="0" w:color="auto"/>
        <w:left w:val="none" w:sz="0" w:space="0" w:color="auto"/>
        <w:bottom w:val="none" w:sz="0" w:space="0" w:color="auto"/>
        <w:right w:val="none" w:sz="0" w:space="0" w:color="auto"/>
      </w:divBdr>
    </w:div>
    <w:div w:id="259065290">
      <w:bodyDiv w:val="1"/>
      <w:marLeft w:val="0"/>
      <w:marRight w:val="0"/>
      <w:marTop w:val="0"/>
      <w:marBottom w:val="0"/>
      <w:divBdr>
        <w:top w:val="none" w:sz="0" w:space="0" w:color="auto"/>
        <w:left w:val="none" w:sz="0" w:space="0" w:color="auto"/>
        <w:bottom w:val="none" w:sz="0" w:space="0" w:color="auto"/>
        <w:right w:val="none" w:sz="0" w:space="0" w:color="auto"/>
      </w:divBdr>
    </w:div>
    <w:div w:id="259223627">
      <w:bodyDiv w:val="1"/>
      <w:marLeft w:val="0"/>
      <w:marRight w:val="0"/>
      <w:marTop w:val="0"/>
      <w:marBottom w:val="0"/>
      <w:divBdr>
        <w:top w:val="none" w:sz="0" w:space="0" w:color="auto"/>
        <w:left w:val="none" w:sz="0" w:space="0" w:color="auto"/>
        <w:bottom w:val="none" w:sz="0" w:space="0" w:color="auto"/>
        <w:right w:val="none" w:sz="0" w:space="0" w:color="auto"/>
      </w:divBdr>
    </w:div>
    <w:div w:id="259292518">
      <w:bodyDiv w:val="1"/>
      <w:marLeft w:val="0"/>
      <w:marRight w:val="0"/>
      <w:marTop w:val="0"/>
      <w:marBottom w:val="0"/>
      <w:divBdr>
        <w:top w:val="none" w:sz="0" w:space="0" w:color="auto"/>
        <w:left w:val="none" w:sz="0" w:space="0" w:color="auto"/>
        <w:bottom w:val="none" w:sz="0" w:space="0" w:color="auto"/>
        <w:right w:val="none" w:sz="0" w:space="0" w:color="auto"/>
      </w:divBdr>
    </w:div>
    <w:div w:id="259485109">
      <w:bodyDiv w:val="1"/>
      <w:marLeft w:val="0"/>
      <w:marRight w:val="0"/>
      <w:marTop w:val="0"/>
      <w:marBottom w:val="0"/>
      <w:divBdr>
        <w:top w:val="none" w:sz="0" w:space="0" w:color="auto"/>
        <w:left w:val="none" w:sz="0" w:space="0" w:color="auto"/>
        <w:bottom w:val="none" w:sz="0" w:space="0" w:color="auto"/>
        <w:right w:val="none" w:sz="0" w:space="0" w:color="auto"/>
      </w:divBdr>
    </w:div>
    <w:div w:id="259528049">
      <w:bodyDiv w:val="1"/>
      <w:marLeft w:val="0"/>
      <w:marRight w:val="0"/>
      <w:marTop w:val="0"/>
      <w:marBottom w:val="0"/>
      <w:divBdr>
        <w:top w:val="none" w:sz="0" w:space="0" w:color="auto"/>
        <w:left w:val="none" w:sz="0" w:space="0" w:color="auto"/>
        <w:bottom w:val="none" w:sz="0" w:space="0" w:color="auto"/>
        <w:right w:val="none" w:sz="0" w:space="0" w:color="auto"/>
      </w:divBdr>
    </w:div>
    <w:div w:id="259609640">
      <w:bodyDiv w:val="1"/>
      <w:marLeft w:val="0"/>
      <w:marRight w:val="0"/>
      <w:marTop w:val="0"/>
      <w:marBottom w:val="0"/>
      <w:divBdr>
        <w:top w:val="none" w:sz="0" w:space="0" w:color="auto"/>
        <w:left w:val="none" w:sz="0" w:space="0" w:color="auto"/>
        <w:bottom w:val="none" w:sz="0" w:space="0" w:color="auto"/>
        <w:right w:val="none" w:sz="0" w:space="0" w:color="auto"/>
      </w:divBdr>
    </w:div>
    <w:div w:id="259722324">
      <w:bodyDiv w:val="1"/>
      <w:marLeft w:val="0"/>
      <w:marRight w:val="0"/>
      <w:marTop w:val="0"/>
      <w:marBottom w:val="0"/>
      <w:divBdr>
        <w:top w:val="none" w:sz="0" w:space="0" w:color="auto"/>
        <w:left w:val="none" w:sz="0" w:space="0" w:color="auto"/>
        <w:bottom w:val="none" w:sz="0" w:space="0" w:color="auto"/>
        <w:right w:val="none" w:sz="0" w:space="0" w:color="auto"/>
      </w:divBdr>
    </w:div>
    <w:div w:id="259803630">
      <w:bodyDiv w:val="1"/>
      <w:marLeft w:val="0"/>
      <w:marRight w:val="0"/>
      <w:marTop w:val="0"/>
      <w:marBottom w:val="0"/>
      <w:divBdr>
        <w:top w:val="none" w:sz="0" w:space="0" w:color="auto"/>
        <w:left w:val="none" w:sz="0" w:space="0" w:color="auto"/>
        <w:bottom w:val="none" w:sz="0" w:space="0" w:color="auto"/>
        <w:right w:val="none" w:sz="0" w:space="0" w:color="auto"/>
      </w:divBdr>
    </w:div>
    <w:div w:id="259871114">
      <w:bodyDiv w:val="1"/>
      <w:marLeft w:val="0"/>
      <w:marRight w:val="0"/>
      <w:marTop w:val="0"/>
      <w:marBottom w:val="0"/>
      <w:divBdr>
        <w:top w:val="none" w:sz="0" w:space="0" w:color="auto"/>
        <w:left w:val="none" w:sz="0" w:space="0" w:color="auto"/>
        <w:bottom w:val="none" w:sz="0" w:space="0" w:color="auto"/>
        <w:right w:val="none" w:sz="0" w:space="0" w:color="auto"/>
      </w:divBdr>
    </w:div>
    <w:div w:id="259874541">
      <w:bodyDiv w:val="1"/>
      <w:marLeft w:val="0"/>
      <w:marRight w:val="0"/>
      <w:marTop w:val="0"/>
      <w:marBottom w:val="0"/>
      <w:divBdr>
        <w:top w:val="none" w:sz="0" w:space="0" w:color="auto"/>
        <w:left w:val="none" w:sz="0" w:space="0" w:color="auto"/>
        <w:bottom w:val="none" w:sz="0" w:space="0" w:color="auto"/>
        <w:right w:val="none" w:sz="0" w:space="0" w:color="auto"/>
      </w:divBdr>
    </w:div>
    <w:div w:id="259919047">
      <w:bodyDiv w:val="1"/>
      <w:marLeft w:val="0"/>
      <w:marRight w:val="0"/>
      <w:marTop w:val="0"/>
      <w:marBottom w:val="0"/>
      <w:divBdr>
        <w:top w:val="none" w:sz="0" w:space="0" w:color="auto"/>
        <w:left w:val="none" w:sz="0" w:space="0" w:color="auto"/>
        <w:bottom w:val="none" w:sz="0" w:space="0" w:color="auto"/>
        <w:right w:val="none" w:sz="0" w:space="0" w:color="auto"/>
      </w:divBdr>
    </w:div>
    <w:div w:id="259919375">
      <w:bodyDiv w:val="1"/>
      <w:marLeft w:val="0"/>
      <w:marRight w:val="0"/>
      <w:marTop w:val="0"/>
      <w:marBottom w:val="0"/>
      <w:divBdr>
        <w:top w:val="none" w:sz="0" w:space="0" w:color="auto"/>
        <w:left w:val="none" w:sz="0" w:space="0" w:color="auto"/>
        <w:bottom w:val="none" w:sz="0" w:space="0" w:color="auto"/>
        <w:right w:val="none" w:sz="0" w:space="0" w:color="auto"/>
      </w:divBdr>
    </w:div>
    <w:div w:id="260066095">
      <w:bodyDiv w:val="1"/>
      <w:marLeft w:val="0"/>
      <w:marRight w:val="0"/>
      <w:marTop w:val="0"/>
      <w:marBottom w:val="0"/>
      <w:divBdr>
        <w:top w:val="none" w:sz="0" w:space="0" w:color="auto"/>
        <w:left w:val="none" w:sz="0" w:space="0" w:color="auto"/>
        <w:bottom w:val="none" w:sz="0" w:space="0" w:color="auto"/>
        <w:right w:val="none" w:sz="0" w:space="0" w:color="auto"/>
      </w:divBdr>
    </w:div>
    <w:div w:id="260113172">
      <w:bodyDiv w:val="1"/>
      <w:marLeft w:val="0"/>
      <w:marRight w:val="0"/>
      <w:marTop w:val="0"/>
      <w:marBottom w:val="0"/>
      <w:divBdr>
        <w:top w:val="none" w:sz="0" w:space="0" w:color="auto"/>
        <w:left w:val="none" w:sz="0" w:space="0" w:color="auto"/>
        <w:bottom w:val="none" w:sz="0" w:space="0" w:color="auto"/>
        <w:right w:val="none" w:sz="0" w:space="0" w:color="auto"/>
      </w:divBdr>
    </w:div>
    <w:div w:id="260142033">
      <w:bodyDiv w:val="1"/>
      <w:marLeft w:val="0"/>
      <w:marRight w:val="0"/>
      <w:marTop w:val="0"/>
      <w:marBottom w:val="0"/>
      <w:divBdr>
        <w:top w:val="none" w:sz="0" w:space="0" w:color="auto"/>
        <w:left w:val="none" w:sz="0" w:space="0" w:color="auto"/>
        <w:bottom w:val="none" w:sz="0" w:space="0" w:color="auto"/>
        <w:right w:val="none" w:sz="0" w:space="0" w:color="auto"/>
      </w:divBdr>
    </w:div>
    <w:div w:id="260186149">
      <w:bodyDiv w:val="1"/>
      <w:marLeft w:val="0"/>
      <w:marRight w:val="0"/>
      <w:marTop w:val="0"/>
      <w:marBottom w:val="0"/>
      <w:divBdr>
        <w:top w:val="none" w:sz="0" w:space="0" w:color="auto"/>
        <w:left w:val="none" w:sz="0" w:space="0" w:color="auto"/>
        <w:bottom w:val="none" w:sz="0" w:space="0" w:color="auto"/>
        <w:right w:val="none" w:sz="0" w:space="0" w:color="auto"/>
      </w:divBdr>
    </w:div>
    <w:div w:id="260337676">
      <w:bodyDiv w:val="1"/>
      <w:marLeft w:val="0"/>
      <w:marRight w:val="0"/>
      <w:marTop w:val="0"/>
      <w:marBottom w:val="0"/>
      <w:divBdr>
        <w:top w:val="none" w:sz="0" w:space="0" w:color="auto"/>
        <w:left w:val="none" w:sz="0" w:space="0" w:color="auto"/>
        <w:bottom w:val="none" w:sz="0" w:space="0" w:color="auto"/>
        <w:right w:val="none" w:sz="0" w:space="0" w:color="auto"/>
      </w:divBdr>
    </w:div>
    <w:div w:id="260376138">
      <w:bodyDiv w:val="1"/>
      <w:marLeft w:val="0"/>
      <w:marRight w:val="0"/>
      <w:marTop w:val="0"/>
      <w:marBottom w:val="0"/>
      <w:divBdr>
        <w:top w:val="none" w:sz="0" w:space="0" w:color="auto"/>
        <w:left w:val="none" w:sz="0" w:space="0" w:color="auto"/>
        <w:bottom w:val="none" w:sz="0" w:space="0" w:color="auto"/>
        <w:right w:val="none" w:sz="0" w:space="0" w:color="auto"/>
      </w:divBdr>
    </w:div>
    <w:div w:id="260525733">
      <w:bodyDiv w:val="1"/>
      <w:marLeft w:val="0"/>
      <w:marRight w:val="0"/>
      <w:marTop w:val="0"/>
      <w:marBottom w:val="0"/>
      <w:divBdr>
        <w:top w:val="none" w:sz="0" w:space="0" w:color="auto"/>
        <w:left w:val="none" w:sz="0" w:space="0" w:color="auto"/>
        <w:bottom w:val="none" w:sz="0" w:space="0" w:color="auto"/>
        <w:right w:val="none" w:sz="0" w:space="0" w:color="auto"/>
      </w:divBdr>
    </w:div>
    <w:div w:id="260527797">
      <w:bodyDiv w:val="1"/>
      <w:marLeft w:val="0"/>
      <w:marRight w:val="0"/>
      <w:marTop w:val="0"/>
      <w:marBottom w:val="0"/>
      <w:divBdr>
        <w:top w:val="none" w:sz="0" w:space="0" w:color="auto"/>
        <w:left w:val="none" w:sz="0" w:space="0" w:color="auto"/>
        <w:bottom w:val="none" w:sz="0" w:space="0" w:color="auto"/>
        <w:right w:val="none" w:sz="0" w:space="0" w:color="auto"/>
      </w:divBdr>
    </w:div>
    <w:div w:id="260648644">
      <w:bodyDiv w:val="1"/>
      <w:marLeft w:val="0"/>
      <w:marRight w:val="0"/>
      <w:marTop w:val="0"/>
      <w:marBottom w:val="0"/>
      <w:divBdr>
        <w:top w:val="none" w:sz="0" w:space="0" w:color="auto"/>
        <w:left w:val="none" w:sz="0" w:space="0" w:color="auto"/>
        <w:bottom w:val="none" w:sz="0" w:space="0" w:color="auto"/>
        <w:right w:val="none" w:sz="0" w:space="0" w:color="auto"/>
      </w:divBdr>
    </w:div>
    <w:div w:id="260720796">
      <w:bodyDiv w:val="1"/>
      <w:marLeft w:val="0"/>
      <w:marRight w:val="0"/>
      <w:marTop w:val="0"/>
      <w:marBottom w:val="0"/>
      <w:divBdr>
        <w:top w:val="none" w:sz="0" w:space="0" w:color="auto"/>
        <w:left w:val="none" w:sz="0" w:space="0" w:color="auto"/>
        <w:bottom w:val="none" w:sz="0" w:space="0" w:color="auto"/>
        <w:right w:val="none" w:sz="0" w:space="0" w:color="auto"/>
      </w:divBdr>
    </w:div>
    <w:div w:id="260845466">
      <w:bodyDiv w:val="1"/>
      <w:marLeft w:val="0"/>
      <w:marRight w:val="0"/>
      <w:marTop w:val="0"/>
      <w:marBottom w:val="0"/>
      <w:divBdr>
        <w:top w:val="none" w:sz="0" w:space="0" w:color="auto"/>
        <w:left w:val="none" w:sz="0" w:space="0" w:color="auto"/>
        <w:bottom w:val="none" w:sz="0" w:space="0" w:color="auto"/>
        <w:right w:val="none" w:sz="0" w:space="0" w:color="auto"/>
      </w:divBdr>
    </w:div>
    <w:div w:id="260989255">
      <w:bodyDiv w:val="1"/>
      <w:marLeft w:val="0"/>
      <w:marRight w:val="0"/>
      <w:marTop w:val="0"/>
      <w:marBottom w:val="0"/>
      <w:divBdr>
        <w:top w:val="none" w:sz="0" w:space="0" w:color="auto"/>
        <w:left w:val="none" w:sz="0" w:space="0" w:color="auto"/>
        <w:bottom w:val="none" w:sz="0" w:space="0" w:color="auto"/>
        <w:right w:val="none" w:sz="0" w:space="0" w:color="auto"/>
      </w:divBdr>
    </w:div>
    <w:div w:id="261033756">
      <w:bodyDiv w:val="1"/>
      <w:marLeft w:val="0"/>
      <w:marRight w:val="0"/>
      <w:marTop w:val="0"/>
      <w:marBottom w:val="0"/>
      <w:divBdr>
        <w:top w:val="none" w:sz="0" w:space="0" w:color="auto"/>
        <w:left w:val="none" w:sz="0" w:space="0" w:color="auto"/>
        <w:bottom w:val="none" w:sz="0" w:space="0" w:color="auto"/>
        <w:right w:val="none" w:sz="0" w:space="0" w:color="auto"/>
      </w:divBdr>
    </w:div>
    <w:div w:id="261111007">
      <w:bodyDiv w:val="1"/>
      <w:marLeft w:val="0"/>
      <w:marRight w:val="0"/>
      <w:marTop w:val="0"/>
      <w:marBottom w:val="0"/>
      <w:divBdr>
        <w:top w:val="none" w:sz="0" w:space="0" w:color="auto"/>
        <w:left w:val="none" w:sz="0" w:space="0" w:color="auto"/>
        <w:bottom w:val="none" w:sz="0" w:space="0" w:color="auto"/>
        <w:right w:val="none" w:sz="0" w:space="0" w:color="auto"/>
      </w:divBdr>
    </w:div>
    <w:div w:id="261187640">
      <w:bodyDiv w:val="1"/>
      <w:marLeft w:val="0"/>
      <w:marRight w:val="0"/>
      <w:marTop w:val="0"/>
      <w:marBottom w:val="0"/>
      <w:divBdr>
        <w:top w:val="none" w:sz="0" w:space="0" w:color="auto"/>
        <w:left w:val="none" w:sz="0" w:space="0" w:color="auto"/>
        <w:bottom w:val="none" w:sz="0" w:space="0" w:color="auto"/>
        <w:right w:val="none" w:sz="0" w:space="0" w:color="auto"/>
      </w:divBdr>
    </w:div>
    <w:div w:id="261380657">
      <w:bodyDiv w:val="1"/>
      <w:marLeft w:val="0"/>
      <w:marRight w:val="0"/>
      <w:marTop w:val="0"/>
      <w:marBottom w:val="0"/>
      <w:divBdr>
        <w:top w:val="none" w:sz="0" w:space="0" w:color="auto"/>
        <w:left w:val="none" w:sz="0" w:space="0" w:color="auto"/>
        <w:bottom w:val="none" w:sz="0" w:space="0" w:color="auto"/>
        <w:right w:val="none" w:sz="0" w:space="0" w:color="auto"/>
      </w:divBdr>
    </w:div>
    <w:div w:id="261425332">
      <w:bodyDiv w:val="1"/>
      <w:marLeft w:val="0"/>
      <w:marRight w:val="0"/>
      <w:marTop w:val="0"/>
      <w:marBottom w:val="0"/>
      <w:divBdr>
        <w:top w:val="none" w:sz="0" w:space="0" w:color="auto"/>
        <w:left w:val="none" w:sz="0" w:space="0" w:color="auto"/>
        <w:bottom w:val="none" w:sz="0" w:space="0" w:color="auto"/>
        <w:right w:val="none" w:sz="0" w:space="0" w:color="auto"/>
      </w:divBdr>
    </w:div>
    <w:div w:id="261571885">
      <w:bodyDiv w:val="1"/>
      <w:marLeft w:val="0"/>
      <w:marRight w:val="0"/>
      <w:marTop w:val="0"/>
      <w:marBottom w:val="0"/>
      <w:divBdr>
        <w:top w:val="none" w:sz="0" w:space="0" w:color="auto"/>
        <w:left w:val="none" w:sz="0" w:space="0" w:color="auto"/>
        <w:bottom w:val="none" w:sz="0" w:space="0" w:color="auto"/>
        <w:right w:val="none" w:sz="0" w:space="0" w:color="auto"/>
      </w:divBdr>
    </w:div>
    <w:div w:id="261650398">
      <w:bodyDiv w:val="1"/>
      <w:marLeft w:val="0"/>
      <w:marRight w:val="0"/>
      <w:marTop w:val="0"/>
      <w:marBottom w:val="0"/>
      <w:divBdr>
        <w:top w:val="none" w:sz="0" w:space="0" w:color="auto"/>
        <w:left w:val="none" w:sz="0" w:space="0" w:color="auto"/>
        <w:bottom w:val="none" w:sz="0" w:space="0" w:color="auto"/>
        <w:right w:val="none" w:sz="0" w:space="0" w:color="auto"/>
      </w:divBdr>
    </w:div>
    <w:div w:id="261694127">
      <w:bodyDiv w:val="1"/>
      <w:marLeft w:val="0"/>
      <w:marRight w:val="0"/>
      <w:marTop w:val="0"/>
      <w:marBottom w:val="0"/>
      <w:divBdr>
        <w:top w:val="none" w:sz="0" w:space="0" w:color="auto"/>
        <w:left w:val="none" w:sz="0" w:space="0" w:color="auto"/>
        <w:bottom w:val="none" w:sz="0" w:space="0" w:color="auto"/>
        <w:right w:val="none" w:sz="0" w:space="0" w:color="auto"/>
      </w:divBdr>
    </w:div>
    <w:div w:id="261769116">
      <w:bodyDiv w:val="1"/>
      <w:marLeft w:val="0"/>
      <w:marRight w:val="0"/>
      <w:marTop w:val="0"/>
      <w:marBottom w:val="0"/>
      <w:divBdr>
        <w:top w:val="none" w:sz="0" w:space="0" w:color="auto"/>
        <w:left w:val="none" w:sz="0" w:space="0" w:color="auto"/>
        <w:bottom w:val="none" w:sz="0" w:space="0" w:color="auto"/>
        <w:right w:val="none" w:sz="0" w:space="0" w:color="auto"/>
      </w:divBdr>
    </w:div>
    <w:div w:id="261882303">
      <w:bodyDiv w:val="1"/>
      <w:marLeft w:val="0"/>
      <w:marRight w:val="0"/>
      <w:marTop w:val="0"/>
      <w:marBottom w:val="0"/>
      <w:divBdr>
        <w:top w:val="none" w:sz="0" w:space="0" w:color="auto"/>
        <w:left w:val="none" w:sz="0" w:space="0" w:color="auto"/>
        <w:bottom w:val="none" w:sz="0" w:space="0" w:color="auto"/>
        <w:right w:val="none" w:sz="0" w:space="0" w:color="auto"/>
      </w:divBdr>
    </w:div>
    <w:div w:id="261887408">
      <w:bodyDiv w:val="1"/>
      <w:marLeft w:val="0"/>
      <w:marRight w:val="0"/>
      <w:marTop w:val="0"/>
      <w:marBottom w:val="0"/>
      <w:divBdr>
        <w:top w:val="none" w:sz="0" w:space="0" w:color="auto"/>
        <w:left w:val="none" w:sz="0" w:space="0" w:color="auto"/>
        <w:bottom w:val="none" w:sz="0" w:space="0" w:color="auto"/>
        <w:right w:val="none" w:sz="0" w:space="0" w:color="auto"/>
      </w:divBdr>
    </w:div>
    <w:div w:id="262031692">
      <w:bodyDiv w:val="1"/>
      <w:marLeft w:val="0"/>
      <w:marRight w:val="0"/>
      <w:marTop w:val="0"/>
      <w:marBottom w:val="0"/>
      <w:divBdr>
        <w:top w:val="none" w:sz="0" w:space="0" w:color="auto"/>
        <w:left w:val="none" w:sz="0" w:space="0" w:color="auto"/>
        <w:bottom w:val="none" w:sz="0" w:space="0" w:color="auto"/>
        <w:right w:val="none" w:sz="0" w:space="0" w:color="auto"/>
      </w:divBdr>
    </w:div>
    <w:div w:id="262110443">
      <w:bodyDiv w:val="1"/>
      <w:marLeft w:val="0"/>
      <w:marRight w:val="0"/>
      <w:marTop w:val="0"/>
      <w:marBottom w:val="0"/>
      <w:divBdr>
        <w:top w:val="none" w:sz="0" w:space="0" w:color="auto"/>
        <w:left w:val="none" w:sz="0" w:space="0" w:color="auto"/>
        <w:bottom w:val="none" w:sz="0" w:space="0" w:color="auto"/>
        <w:right w:val="none" w:sz="0" w:space="0" w:color="auto"/>
      </w:divBdr>
    </w:div>
    <w:div w:id="262223760">
      <w:bodyDiv w:val="1"/>
      <w:marLeft w:val="0"/>
      <w:marRight w:val="0"/>
      <w:marTop w:val="0"/>
      <w:marBottom w:val="0"/>
      <w:divBdr>
        <w:top w:val="none" w:sz="0" w:space="0" w:color="auto"/>
        <w:left w:val="none" w:sz="0" w:space="0" w:color="auto"/>
        <w:bottom w:val="none" w:sz="0" w:space="0" w:color="auto"/>
        <w:right w:val="none" w:sz="0" w:space="0" w:color="auto"/>
      </w:divBdr>
    </w:div>
    <w:div w:id="262300311">
      <w:bodyDiv w:val="1"/>
      <w:marLeft w:val="0"/>
      <w:marRight w:val="0"/>
      <w:marTop w:val="0"/>
      <w:marBottom w:val="0"/>
      <w:divBdr>
        <w:top w:val="none" w:sz="0" w:space="0" w:color="auto"/>
        <w:left w:val="none" w:sz="0" w:space="0" w:color="auto"/>
        <w:bottom w:val="none" w:sz="0" w:space="0" w:color="auto"/>
        <w:right w:val="none" w:sz="0" w:space="0" w:color="auto"/>
      </w:divBdr>
    </w:div>
    <w:div w:id="262301082">
      <w:bodyDiv w:val="1"/>
      <w:marLeft w:val="0"/>
      <w:marRight w:val="0"/>
      <w:marTop w:val="0"/>
      <w:marBottom w:val="0"/>
      <w:divBdr>
        <w:top w:val="none" w:sz="0" w:space="0" w:color="auto"/>
        <w:left w:val="none" w:sz="0" w:space="0" w:color="auto"/>
        <w:bottom w:val="none" w:sz="0" w:space="0" w:color="auto"/>
        <w:right w:val="none" w:sz="0" w:space="0" w:color="auto"/>
      </w:divBdr>
    </w:div>
    <w:div w:id="262418537">
      <w:bodyDiv w:val="1"/>
      <w:marLeft w:val="0"/>
      <w:marRight w:val="0"/>
      <w:marTop w:val="0"/>
      <w:marBottom w:val="0"/>
      <w:divBdr>
        <w:top w:val="none" w:sz="0" w:space="0" w:color="auto"/>
        <w:left w:val="none" w:sz="0" w:space="0" w:color="auto"/>
        <w:bottom w:val="none" w:sz="0" w:space="0" w:color="auto"/>
        <w:right w:val="none" w:sz="0" w:space="0" w:color="auto"/>
      </w:divBdr>
    </w:div>
    <w:div w:id="262543056">
      <w:bodyDiv w:val="1"/>
      <w:marLeft w:val="0"/>
      <w:marRight w:val="0"/>
      <w:marTop w:val="0"/>
      <w:marBottom w:val="0"/>
      <w:divBdr>
        <w:top w:val="none" w:sz="0" w:space="0" w:color="auto"/>
        <w:left w:val="none" w:sz="0" w:space="0" w:color="auto"/>
        <w:bottom w:val="none" w:sz="0" w:space="0" w:color="auto"/>
        <w:right w:val="none" w:sz="0" w:space="0" w:color="auto"/>
      </w:divBdr>
    </w:div>
    <w:div w:id="262736587">
      <w:bodyDiv w:val="1"/>
      <w:marLeft w:val="0"/>
      <w:marRight w:val="0"/>
      <w:marTop w:val="0"/>
      <w:marBottom w:val="0"/>
      <w:divBdr>
        <w:top w:val="none" w:sz="0" w:space="0" w:color="auto"/>
        <w:left w:val="none" w:sz="0" w:space="0" w:color="auto"/>
        <w:bottom w:val="none" w:sz="0" w:space="0" w:color="auto"/>
        <w:right w:val="none" w:sz="0" w:space="0" w:color="auto"/>
      </w:divBdr>
    </w:div>
    <w:div w:id="262761341">
      <w:bodyDiv w:val="1"/>
      <w:marLeft w:val="0"/>
      <w:marRight w:val="0"/>
      <w:marTop w:val="0"/>
      <w:marBottom w:val="0"/>
      <w:divBdr>
        <w:top w:val="none" w:sz="0" w:space="0" w:color="auto"/>
        <w:left w:val="none" w:sz="0" w:space="0" w:color="auto"/>
        <w:bottom w:val="none" w:sz="0" w:space="0" w:color="auto"/>
        <w:right w:val="none" w:sz="0" w:space="0" w:color="auto"/>
      </w:divBdr>
    </w:div>
    <w:div w:id="262809400">
      <w:bodyDiv w:val="1"/>
      <w:marLeft w:val="0"/>
      <w:marRight w:val="0"/>
      <w:marTop w:val="0"/>
      <w:marBottom w:val="0"/>
      <w:divBdr>
        <w:top w:val="none" w:sz="0" w:space="0" w:color="auto"/>
        <w:left w:val="none" w:sz="0" w:space="0" w:color="auto"/>
        <w:bottom w:val="none" w:sz="0" w:space="0" w:color="auto"/>
        <w:right w:val="none" w:sz="0" w:space="0" w:color="auto"/>
      </w:divBdr>
    </w:div>
    <w:div w:id="262953867">
      <w:bodyDiv w:val="1"/>
      <w:marLeft w:val="0"/>
      <w:marRight w:val="0"/>
      <w:marTop w:val="0"/>
      <w:marBottom w:val="0"/>
      <w:divBdr>
        <w:top w:val="none" w:sz="0" w:space="0" w:color="auto"/>
        <w:left w:val="none" w:sz="0" w:space="0" w:color="auto"/>
        <w:bottom w:val="none" w:sz="0" w:space="0" w:color="auto"/>
        <w:right w:val="none" w:sz="0" w:space="0" w:color="auto"/>
      </w:divBdr>
    </w:div>
    <w:div w:id="263222371">
      <w:bodyDiv w:val="1"/>
      <w:marLeft w:val="0"/>
      <w:marRight w:val="0"/>
      <w:marTop w:val="0"/>
      <w:marBottom w:val="0"/>
      <w:divBdr>
        <w:top w:val="none" w:sz="0" w:space="0" w:color="auto"/>
        <w:left w:val="none" w:sz="0" w:space="0" w:color="auto"/>
        <w:bottom w:val="none" w:sz="0" w:space="0" w:color="auto"/>
        <w:right w:val="none" w:sz="0" w:space="0" w:color="auto"/>
      </w:divBdr>
    </w:div>
    <w:div w:id="263268006">
      <w:bodyDiv w:val="1"/>
      <w:marLeft w:val="0"/>
      <w:marRight w:val="0"/>
      <w:marTop w:val="0"/>
      <w:marBottom w:val="0"/>
      <w:divBdr>
        <w:top w:val="none" w:sz="0" w:space="0" w:color="auto"/>
        <w:left w:val="none" w:sz="0" w:space="0" w:color="auto"/>
        <w:bottom w:val="none" w:sz="0" w:space="0" w:color="auto"/>
        <w:right w:val="none" w:sz="0" w:space="0" w:color="auto"/>
      </w:divBdr>
    </w:div>
    <w:div w:id="263271964">
      <w:bodyDiv w:val="1"/>
      <w:marLeft w:val="0"/>
      <w:marRight w:val="0"/>
      <w:marTop w:val="0"/>
      <w:marBottom w:val="0"/>
      <w:divBdr>
        <w:top w:val="none" w:sz="0" w:space="0" w:color="auto"/>
        <w:left w:val="none" w:sz="0" w:space="0" w:color="auto"/>
        <w:bottom w:val="none" w:sz="0" w:space="0" w:color="auto"/>
        <w:right w:val="none" w:sz="0" w:space="0" w:color="auto"/>
      </w:divBdr>
    </w:div>
    <w:div w:id="263340037">
      <w:bodyDiv w:val="1"/>
      <w:marLeft w:val="0"/>
      <w:marRight w:val="0"/>
      <w:marTop w:val="0"/>
      <w:marBottom w:val="0"/>
      <w:divBdr>
        <w:top w:val="none" w:sz="0" w:space="0" w:color="auto"/>
        <w:left w:val="none" w:sz="0" w:space="0" w:color="auto"/>
        <w:bottom w:val="none" w:sz="0" w:space="0" w:color="auto"/>
        <w:right w:val="none" w:sz="0" w:space="0" w:color="auto"/>
      </w:divBdr>
    </w:div>
    <w:div w:id="263344879">
      <w:bodyDiv w:val="1"/>
      <w:marLeft w:val="0"/>
      <w:marRight w:val="0"/>
      <w:marTop w:val="0"/>
      <w:marBottom w:val="0"/>
      <w:divBdr>
        <w:top w:val="none" w:sz="0" w:space="0" w:color="auto"/>
        <w:left w:val="none" w:sz="0" w:space="0" w:color="auto"/>
        <w:bottom w:val="none" w:sz="0" w:space="0" w:color="auto"/>
        <w:right w:val="none" w:sz="0" w:space="0" w:color="auto"/>
      </w:divBdr>
    </w:div>
    <w:div w:id="263538027">
      <w:bodyDiv w:val="1"/>
      <w:marLeft w:val="0"/>
      <w:marRight w:val="0"/>
      <w:marTop w:val="0"/>
      <w:marBottom w:val="0"/>
      <w:divBdr>
        <w:top w:val="none" w:sz="0" w:space="0" w:color="auto"/>
        <w:left w:val="none" w:sz="0" w:space="0" w:color="auto"/>
        <w:bottom w:val="none" w:sz="0" w:space="0" w:color="auto"/>
        <w:right w:val="none" w:sz="0" w:space="0" w:color="auto"/>
      </w:divBdr>
    </w:div>
    <w:div w:id="263802097">
      <w:bodyDiv w:val="1"/>
      <w:marLeft w:val="0"/>
      <w:marRight w:val="0"/>
      <w:marTop w:val="0"/>
      <w:marBottom w:val="0"/>
      <w:divBdr>
        <w:top w:val="none" w:sz="0" w:space="0" w:color="auto"/>
        <w:left w:val="none" w:sz="0" w:space="0" w:color="auto"/>
        <w:bottom w:val="none" w:sz="0" w:space="0" w:color="auto"/>
        <w:right w:val="none" w:sz="0" w:space="0" w:color="auto"/>
      </w:divBdr>
    </w:div>
    <w:div w:id="263811469">
      <w:bodyDiv w:val="1"/>
      <w:marLeft w:val="0"/>
      <w:marRight w:val="0"/>
      <w:marTop w:val="0"/>
      <w:marBottom w:val="0"/>
      <w:divBdr>
        <w:top w:val="none" w:sz="0" w:space="0" w:color="auto"/>
        <w:left w:val="none" w:sz="0" w:space="0" w:color="auto"/>
        <w:bottom w:val="none" w:sz="0" w:space="0" w:color="auto"/>
        <w:right w:val="none" w:sz="0" w:space="0" w:color="auto"/>
      </w:divBdr>
    </w:div>
    <w:div w:id="263848408">
      <w:bodyDiv w:val="1"/>
      <w:marLeft w:val="0"/>
      <w:marRight w:val="0"/>
      <w:marTop w:val="0"/>
      <w:marBottom w:val="0"/>
      <w:divBdr>
        <w:top w:val="none" w:sz="0" w:space="0" w:color="auto"/>
        <w:left w:val="none" w:sz="0" w:space="0" w:color="auto"/>
        <w:bottom w:val="none" w:sz="0" w:space="0" w:color="auto"/>
        <w:right w:val="none" w:sz="0" w:space="0" w:color="auto"/>
      </w:divBdr>
    </w:div>
    <w:div w:id="263849731">
      <w:bodyDiv w:val="1"/>
      <w:marLeft w:val="0"/>
      <w:marRight w:val="0"/>
      <w:marTop w:val="0"/>
      <w:marBottom w:val="0"/>
      <w:divBdr>
        <w:top w:val="none" w:sz="0" w:space="0" w:color="auto"/>
        <w:left w:val="none" w:sz="0" w:space="0" w:color="auto"/>
        <w:bottom w:val="none" w:sz="0" w:space="0" w:color="auto"/>
        <w:right w:val="none" w:sz="0" w:space="0" w:color="auto"/>
      </w:divBdr>
    </w:div>
    <w:div w:id="263996651">
      <w:bodyDiv w:val="1"/>
      <w:marLeft w:val="0"/>
      <w:marRight w:val="0"/>
      <w:marTop w:val="0"/>
      <w:marBottom w:val="0"/>
      <w:divBdr>
        <w:top w:val="none" w:sz="0" w:space="0" w:color="auto"/>
        <w:left w:val="none" w:sz="0" w:space="0" w:color="auto"/>
        <w:bottom w:val="none" w:sz="0" w:space="0" w:color="auto"/>
        <w:right w:val="none" w:sz="0" w:space="0" w:color="auto"/>
      </w:divBdr>
    </w:div>
    <w:div w:id="263999227">
      <w:bodyDiv w:val="1"/>
      <w:marLeft w:val="0"/>
      <w:marRight w:val="0"/>
      <w:marTop w:val="0"/>
      <w:marBottom w:val="0"/>
      <w:divBdr>
        <w:top w:val="none" w:sz="0" w:space="0" w:color="auto"/>
        <w:left w:val="none" w:sz="0" w:space="0" w:color="auto"/>
        <w:bottom w:val="none" w:sz="0" w:space="0" w:color="auto"/>
        <w:right w:val="none" w:sz="0" w:space="0" w:color="auto"/>
      </w:divBdr>
    </w:div>
    <w:div w:id="264045641">
      <w:bodyDiv w:val="1"/>
      <w:marLeft w:val="0"/>
      <w:marRight w:val="0"/>
      <w:marTop w:val="0"/>
      <w:marBottom w:val="0"/>
      <w:divBdr>
        <w:top w:val="none" w:sz="0" w:space="0" w:color="auto"/>
        <w:left w:val="none" w:sz="0" w:space="0" w:color="auto"/>
        <w:bottom w:val="none" w:sz="0" w:space="0" w:color="auto"/>
        <w:right w:val="none" w:sz="0" w:space="0" w:color="auto"/>
      </w:divBdr>
    </w:div>
    <w:div w:id="264189750">
      <w:bodyDiv w:val="1"/>
      <w:marLeft w:val="0"/>
      <w:marRight w:val="0"/>
      <w:marTop w:val="0"/>
      <w:marBottom w:val="0"/>
      <w:divBdr>
        <w:top w:val="none" w:sz="0" w:space="0" w:color="auto"/>
        <w:left w:val="none" w:sz="0" w:space="0" w:color="auto"/>
        <w:bottom w:val="none" w:sz="0" w:space="0" w:color="auto"/>
        <w:right w:val="none" w:sz="0" w:space="0" w:color="auto"/>
      </w:divBdr>
    </w:div>
    <w:div w:id="264191735">
      <w:bodyDiv w:val="1"/>
      <w:marLeft w:val="0"/>
      <w:marRight w:val="0"/>
      <w:marTop w:val="0"/>
      <w:marBottom w:val="0"/>
      <w:divBdr>
        <w:top w:val="none" w:sz="0" w:space="0" w:color="auto"/>
        <w:left w:val="none" w:sz="0" w:space="0" w:color="auto"/>
        <w:bottom w:val="none" w:sz="0" w:space="0" w:color="auto"/>
        <w:right w:val="none" w:sz="0" w:space="0" w:color="auto"/>
      </w:divBdr>
    </w:div>
    <w:div w:id="264268814">
      <w:bodyDiv w:val="1"/>
      <w:marLeft w:val="0"/>
      <w:marRight w:val="0"/>
      <w:marTop w:val="0"/>
      <w:marBottom w:val="0"/>
      <w:divBdr>
        <w:top w:val="none" w:sz="0" w:space="0" w:color="auto"/>
        <w:left w:val="none" w:sz="0" w:space="0" w:color="auto"/>
        <w:bottom w:val="none" w:sz="0" w:space="0" w:color="auto"/>
        <w:right w:val="none" w:sz="0" w:space="0" w:color="auto"/>
      </w:divBdr>
    </w:div>
    <w:div w:id="264271963">
      <w:bodyDiv w:val="1"/>
      <w:marLeft w:val="0"/>
      <w:marRight w:val="0"/>
      <w:marTop w:val="0"/>
      <w:marBottom w:val="0"/>
      <w:divBdr>
        <w:top w:val="none" w:sz="0" w:space="0" w:color="auto"/>
        <w:left w:val="none" w:sz="0" w:space="0" w:color="auto"/>
        <w:bottom w:val="none" w:sz="0" w:space="0" w:color="auto"/>
        <w:right w:val="none" w:sz="0" w:space="0" w:color="auto"/>
      </w:divBdr>
    </w:div>
    <w:div w:id="264311457">
      <w:bodyDiv w:val="1"/>
      <w:marLeft w:val="0"/>
      <w:marRight w:val="0"/>
      <w:marTop w:val="0"/>
      <w:marBottom w:val="0"/>
      <w:divBdr>
        <w:top w:val="none" w:sz="0" w:space="0" w:color="auto"/>
        <w:left w:val="none" w:sz="0" w:space="0" w:color="auto"/>
        <w:bottom w:val="none" w:sz="0" w:space="0" w:color="auto"/>
        <w:right w:val="none" w:sz="0" w:space="0" w:color="auto"/>
      </w:divBdr>
    </w:div>
    <w:div w:id="264314145">
      <w:bodyDiv w:val="1"/>
      <w:marLeft w:val="0"/>
      <w:marRight w:val="0"/>
      <w:marTop w:val="0"/>
      <w:marBottom w:val="0"/>
      <w:divBdr>
        <w:top w:val="none" w:sz="0" w:space="0" w:color="auto"/>
        <w:left w:val="none" w:sz="0" w:space="0" w:color="auto"/>
        <w:bottom w:val="none" w:sz="0" w:space="0" w:color="auto"/>
        <w:right w:val="none" w:sz="0" w:space="0" w:color="auto"/>
      </w:divBdr>
    </w:div>
    <w:div w:id="264339259">
      <w:bodyDiv w:val="1"/>
      <w:marLeft w:val="0"/>
      <w:marRight w:val="0"/>
      <w:marTop w:val="0"/>
      <w:marBottom w:val="0"/>
      <w:divBdr>
        <w:top w:val="none" w:sz="0" w:space="0" w:color="auto"/>
        <w:left w:val="none" w:sz="0" w:space="0" w:color="auto"/>
        <w:bottom w:val="none" w:sz="0" w:space="0" w:color="auto"/>
        <w:right w:val="none" w:sz="0" w:space="0" w:color="auto"/>
      </w:divBdr>
    </w:div>
    <w:div w:id="264384272">
      <w:bodyDiv w:val="1"/>
      <w:marLeft w:val="0"/>
      <w:marRight w:val="0"/>
      <w:marTop w:val="0"/>
      <w:marBottom w:val="0"/>
      <w:divBdr>
        <w:top w:val="none" w:sz="0" w:space="0" w:color="auto"/>
        <w:left w:val="none" w:sz="0" w:space="0" w:color="auto"/>
        <w:bottom w:val="none" w:sz="0" w:space="0" w:color="auto"/>
        <w:right w:val="none" w:sz="0" w:space="0" w:color="auto"/>
      </w:divBdr>
    </w:div>
    <w:div w:id="264462485">
      <w:bodyDiv w:val="1"/>
      <w:marLeft w:val="0"/>
      <w:marRight w:val="0"/>
      <w:marTop w:val="0"/>
      <w:marBottom w:val="0"/>
      <w:divBdr>
        <w:top w:val="none" w:sz="0" w:space="0" w:color="auto"/>
        <w:left w:val="none" w:sz="0" w:space="0" w:color="auto"/>
        <w:bottom w:val="none" w:sz="0" w:space="0" w:color="auto"/>
        <w:right w:val="none" w:sz="0" w:space="0" w:color="auto"/>
      </w:divBdr>
    </w:div>
    <w:div w:id="264465100">
      <w:bodyDiv w:val="1"/>
      <w:marLeft w:val="0"/>
      <w:marRight w:val="0"/>
      <w:marTop w:val="0"/>
      <w:marBottom w:val="0"/>
      <w:divBdr>
        <w:top w:val="none" w:sz="0" w:space="0" w:color="auto"/>
        <w:left w:val="none" w:sz="0" w:space="0" w:color="auto"/>
        <w:bottom w:val="none" w:sz="0" w:space="0" w:color="auto"/>
        <w:right w:val="none" w:sz="0" w:space="0" w:color="auto"/>
      </w:divBdr>
    </w:div>
    <w:div w:id="264505572">
      <w:bodyDiv w:val="1"/>
      <w:marLeft w:val="0"/>
      <w:marRight w:val="0"/>
      <w:marTop w:val="0"/>
      <w:marBottom w:val="0"/>
      <w:divBdr>
        <w:top w:val="none" w:sz="0" w:space="0" w:color="auto"/>
        <w:left w:val="none" w:sz="0" w:space="0" w:color="auto"/>
        <w:bottom w:val="none" w:sz="0" w:space="0" w:color="auto"/>
        <w:right w:val="none" w:sz="0" w:space="0" w:color="auto"/>
      </w:divBdr>
    </w:div>
    <w:div w:id="264583016">
      <w:bodyDiv w:val="1"/>
      <w:marLeft w:val="0"/>
      <w:marRight w:val="0"/>
      <w:marTop w:val="0"/>
      <w:marBottom w:val="0"/>
      <w:divBdr>
        <w:top w:val="none" w:sz="0" w:space="0" w:color="auto"/>
        <w:left w:val="none" w:sz="0" w:space="0" w:color="auto"/>
        <w:bottom w:val="none" w:sz="0" w:space="0" w:color="auto"/>
        <w:right w:val="none" w:sz="0" w:space="0" w:color="auto"/>
      </w:divBdr>
    </w:div>
    <w:div w:id="264847210">
      <w:bodyDiv w:val="1"/>
      <w:marLeft w:val="0"/>
      <w:marRight w:val="0"/>
      <w:marTop w:val="0"/>
      <w:marBottom w:val="0"/>
      <w:divBdr>
        <w:top w:val="none" w:sz="0" w:space="0" w:color="auto"/>
        <w:left w:val="none" w:sz="0" w:space="0" w:color="auto"/>
        <w:bottom w:val="none" w:sz="0" w:space="0" w:color="auto"/>
        <w:right w:val="none" w:sz="0" w:space="0" w:color="auto"/>
      </w:divBdr>
    </w:div>
    <w:div w:id="264920560">
      <w:bodyDiv w:val="1"/>
      <w:marLeft w:val="0"/>
      <w:marRight w:val="0"/>
      <w:marTop w:val="0"/>
      <w:marBottom w:val="0"/>
      <w:divBdr>
        <w:top w:val="none" w:sz="0" w:space="0" w:color="auto"/>
        <w:left w:val="none" w:sz="0" w:space="0" w:color="auto"/>
        <w:bottom w:val="none" w:sz="0" w:space="0" w:color="auto"/>
        <w:right w:val="none" w:sz="0" w:space="0" w:color="auto"/>
      </w:divBdr>
    </w:div>
    <w:div w:id="265307760">
      <w:bodyDiv w:val="1"/>
      <w:marLeft w:val="0"/>
      <w:marRight w:val="0"/>
      <w:marTop w:val="0"/>
      <w:marBottom w:val="0"/>
      <w:divBdr>
        <w:top w:val="none" w:sz="0" w:space="0" w:color="auto"/>
        <w:left w:val="none" w:sz="0" w:space="0" w:color="auto"/>
        <w:bottom w:val="none" w:sz="0" w:space="0" w:color="auto"/>
        <w:right w:val="none" w:sz="0" w:space="0" w:color="auto"/>
      </w:divBdr>
    </w:div>
    <w:div w:id="265310634">
      <w:bodyDiv w:val="1"/>
      <w:marLeft w:val="0"/>
      <w:marRight w:val="0"/>
      <w:marTop w:val="0"/>
      <w:marBottom w:val="0"/>
      <w:divBdr>
        <w:top w:val="none" w:sz="0" w:space="0" w:color="auto"/>
        <w:left w:val="none" w:sz="0" w:space="0" w:color="auto"/>
        <w:bottom w:val="none" w:sz="0" w:space="0" w:color="auto"/>
        <w:right w:val="none" w:sz="0" w:space="0" w:color="auto"/>
      </w:divBdr>
    </w:div>
    <w:div w:id="265355462">
      <w:bodyDiv w:val="1"/>
      <w:marLeft w:val="0"/>
      <w:marRight w:val="0"/>
      <w:marTop w:val="0"/>
      <w:marBottom w:val="0"/>
      <w:divBdr>
        <w:top w:val="none" w:sz="0" w:space="0" w:color="auto"/>
        <w:left w:val="none" w:sz="0" w:space="0" w:color="auto"/>
        <w:bottom w:val="none" w:sz="0" w:space="0" w:color="auto"/>
        <w:right w:val="none" w:sz="0" w:space="0" w:color="auto"/>
      </w:divBdr>
    </w:div>
    <w:div w:id="265582522">
      <w:bodyDiv w:val="1"/>
      <w:marLeft w:val="0"/>
      <w:marRight w:val="0"/>
      <w:marTop w:val="0"/>
      <w:marBottom w:val="0"/>
      <w:divBdr>
        <w:top w:val="none" w:sz="0" w:space="0" w:color="auto"/>
        <w:left w:val="none" w:sz="0" w:space="0" w:color="auto"/>
        <w:bottom w:val="none" w:sz="0" w:space="0" w:color="auto"/>
        <w:right w:val="none" w:sz="0" w:space="0" w:color="auto"/>
      </w:divBdr>
    </w:div>
    <w:div w:id="265623429">
      <w:bodyDiv w:val="1"/>
      <w:marLeft w:val="0"/>
      <w:marRight w:val="0"/>
      <w:marTop w:val="0"/>
      <w:marBottom w:val="0"/>
      <w:divBdr>
        <w:top w:val="none" w:sz="0" w:space="0" w:color="auto"/>
        <w:left w:val="none" w:sz="0" w:space="0" w:color="auto"/>
        <w:bottom w:val="none" w:sz="0" w:space="0" w:color="auto"/>
        <w:right w:val="none" w:sz="0" w:space="0" w:color="auto"/>
      </w:divBdr>
    </w:div>
    <w:div w:id="265693084">
      <w:bodyDiv w:val="1"/>
      <w:marLeft w:val="0"/>
      <w:marRight w:val="0"/>
      <w:marTop w:val="0"/>
      <w:marBottom w:val="0"/>
      <w:divBdr>
        <w:top w:val="none" w:sz="0" w:space="0" w:color="auto"/>
        <w:left w:val="none" w:sz="0" w:space="0" w:color="auto"/>
        <w:bottom w:val="none" w:sz="0" w:space="0" w:color="auto"/>
        <w:right w:val="none" w:sz="0" w:space="0" w:color="auto"/>
      </w:divBdr>
    </w:div>
    <w:div w:id="265774776">
      <w:bodyDiv w:val="1"/>
      <w:marLeft w:val="0"/>
      <w:marRight w:val="0"/>
      <w:marTop w:val="0"/>
      <w:marBottom w:val="0"/>
      <w:divBdr>
        <w:top w:val="none" w:sz="0" w:space="0" w:color="auto"/>
        <w:left w:val="none" w:sz="0" w:space="0" w:color="auto"/>
        <w:bottom w:val="none" w:sz="0" w:space="0" w:color="auto"/>
        <w:right w:val="none" w:sz="0" w:space="0" w:color="auto"/>
      </w:divBdr>
    </w:div>
    <w:div w:id="265885619">
      <w:bodyDiv w:val="1"/>
      <w:marLeft w:val="0"/>
      <w:marRight w:val="0"/>
      <w:marTop w:val="0"/>
      <w:marBottom w:val="0"/>
      <w:divBdr>
        <w:top w:val="none" w:sz="0" w:space="0" w:color="auto"/>
        <w:left w:val="none" w:sz="0" w:space="0" w:color="auto"/>
        <w:bottom w:val="none" w:sz="0" w:space="0" w:color="auto"/>
        <w:right w:val="none" w:sz="0" w:space="0" w:color="auto"/>
      </w:divBdr>
    </w:div>
    <w:div w:id="265888215">
      <w:bodyDiv w:val="1"/>
      <w:marLeft w:val="0"/>
      <w:marRight w:val="0"/>
      <w:marTop w:val="0"/>
      <w:marBottom w:val="0"/>
      <w:divBdr>
        <w:top w:val="none" w:sz="0" w:space="0" w:color="auto"/>
        <w:left w:val="none" w:sz="0" w:space="0" w:color="auto"/>
        <w:bottom w:val="none" w:sz="0" w:space="0" w:color="auto"/>
        <w:right w:val="none" w:sz="0" w:space="0" w:color="auto"/>
      </w:divBdr>
    </w:div>
    <w:div w:id="265962991">
      <w:bodyDiv w:val="1"/>
      <w:marLeft w:val="0"/>
      <w:marRight w:val="0"/>
      <w:marTop w:val="0"/>
      <w:marBottom w:val="0"/>
      <w:divBdr>
        <w:top w:val="none" w:sz="0" w:space="0" w:color="auto"/>
        <w:left w:val="none" w:sz="0" w:space="0" w:color="auto"/>
        <w:bottom w:val="none" w:sz="0" w:space="0" w:color="auto"/>
        <w:right w:val="none" w:sz="0" w:space="0" w:color="auto"/>
      </w:divBdr>
    </w:div>
    <w:div w:id="266276359">
      <w:bodyDiv w:val="1"/>
      <w:marLeft w:val="0"/>
      <w:marRight w:val="0"/>
      <w:marTop w:val="0"/>
      <w:marBottom w:val="0"/>
      <w:divBdr>
        <w:top w:val="none" w:sz="0" w:space="0" w:color="auto"/>
        <w:left w:val="none" w:sz="0" w:space="0" w:color="auto"/>
        <w:bottom w:val="none" w:sz="0" w:space="0" w:color="auto"/>
        <w:right w:val="none" w:sz="0" w:space="0" w:color="auto"/>
      </w:divBdr>
    </w:div>
    <w:div w:id="266351965">
      <w:bodyDiv w:val="1"/>
      <w:marLeft w:val="0"/>
      <w:marRight w:val="0"/>
      <w:marTop w:val="0"/>
      <w:marBottom w:val="0"/>
      <w:divBdr>
        <w:top w:val="none" w:sz="0" w:space="0" w:color="auto"/>
        <w:left w:val="none" w:sz="0" w:space="0" w:color="auto"/>
        <w:bottom w:val="none" w:sz="0" w:space="0" w:color="auto"/>
        <w:right w:val="none" w:sz="0" w:space="0" w:color="auto"/>
      </w:divBdr>
    </w:div>
    <w:div w:id="266427556">
      <w:bodyDiv w:val="1"/>
      <w:marLeft w:val="0"/>
      <w:marRight w:val="0"/>
      <w:marTop w:val="0"/>
      <w:marBottom w:val="0"/>
      <w:divBdr>
        <w:top w:val="none" w:sz="0" w:space="0" w:color="auto"/>
        <w:left w:val="none" w:sz="0" w:space="0" w:color="auto"/>
        <w:bottom w:val="none" w:sz="0" w:space="0" w:color="auto"/>
        <w:right w:val="none" w:sz="0" w:space="0" w:color="auto"/>
      </w:divBdr>
    </w:div>
    <w:div w:id="266546672">
      <w:bodyDiv w:val="1"/>
      <w:marLeft w:val="0"/>
      <w:marRight w:val="0"/>
      <w:marTop w:val="0"/>
      <w:marBottom w:val="0"/>
      <w:divBdr>
        <w:top w:val="none" w:sz="0" w:space="0" w:color="auto"/>
        <w:left w:val="none" w:sz="0" w:space="0" w:color="auto"/>
        <w:bottom w:val="none" w:sz="0" w:space="0" w:color="auto"/>
        <w:right w:val="none" w:sz="0" w:space="0" w:color="auto"/>
      </w:divBdr>
    </w:div>
    <w:div w:id="266666372">
      <w:bodyDiv w:val="1"/>
      <w:marLeft w:val="0"/>
      <w:marRight w:val="0"/>
      <w:marTop w:val="0"/>
      <w:marBottom w:val="0"/>
      <w:divBdr>
        <w:top w:val="none" w:sz="0" w:space="0" w:color="auto"/>
        <w:left w:val="none" w:sz="0" w:space="0" w:color="auto"/>
        <w:bottom w:val="none" w:sz="0" w:space="0" w:color="auto"/>
        <w:right w:val="none" w:sz="0" w:space="0" w:color="auto"/>
      </w:divBdr>
    </w:div>
    <w:div w:id="266737164">
      <w:bodyDiv w:val="1"/>
      <w:marLeft w:val="0"/>
      <w:marRight w:val="0"/>
      <w:marTop w:val="0"/>
      <w:marBottom w:val="0"/>
      <w:divBdr>
        <w:top w:val="none" w:sz="0" w:space="0" w:color="auto"/>
        <w:left w:val="none" w:sz="0" w:space="0" w:color="auto"/>
        <w:bottom w:val="none" w:sz="0" w:space="0" w:color="auto"/>
        <w:right w:val="none" w:sz="0" w:space="0" w:color="auto"/>
      </w:divBdr>
    </w:div>
    <w:div w:id="266819079">
      <w:bodyDiv w:val="1"/>
      <w:marLeft w:val="0"/>
      <w:marRight w:val="0"/>
      <w:marTop w:val="0"/>
      <w:marBottom w:val="0"/>
      <w:divBdr>
        <w:top w:val="none" w:sz="0" w:space="0" w:color="auto"/>
        <w:left w:val="none" w:sz="0" w:space="0" w:color="auto"/>
        <w:bottom w:val="none" w:sz="0" w:space="0" w:color="auto"/>
        <w:right w:val="none" w:sz="0" w:space="0" w:color="auto"/>
      </w:divBdr>
    </w:div>
    <w:div w:id="266819194">
      <w:bodyDiv w:val="1"/>
      <w:marLeft w:val="0"/>
      <w:marRight w:val="0"/>
      <w:marTop w:val="0"/>
      <w:marBottom w:val="0"/>
      <w:divBdr>
        <w:top w:val="none" w:sz="0" w:space="0" w:color="auto"/>
        <w:left w:val="none" w:sz="0" w:space="0" w:color="auto"/>
        <w:bottom w:val="none" w:sz="0" w:space="0" w:color="auto"/>
        <w:right w:val="none" w:sz="0" w:space="0" w:color="auto"/>
      </w:divBdr>
    </w:div>
    <w:div w:id="266887147">
      <w:bodyDiv w:val="1"/>
      <w:marLeft w:val="0"/>
      <w:marRight w:val="0"/>
      <w:marTop w:val="0"/>
      <w:marBottom w:val="0"/>
      <w:divBdr>
        <w:top w:val="none" w:sz="0" w:space="0" w:color="auto"/>
        <w:left w:val="none" w:sz="0" w:space="0" w:color="auto"/>
        <w:bottom w:val="none" w:sz="0" w:space="0" w:color="auto"/>
        <w:right w:val="none" w:sz="0" w:space="0" w:color="auto"/>
      </w:divBdr>
    </w:div>
    <w:div w:id="266888482">
      <w:bodyDiv w:val="1"/>
      <w:marLeft w:val="0"/>
      <w:marRight w:val="0"/>
      <w:marTop w:val="0"/>
      <w:marBottom w:val="0"/>
      <w:divBdr>
        <w:top w:val="none" w:sz="0" w:space="0" w:color="auto"/>
        <w:left w:val="none" w:sz="0" w:space="0" w:color="auto"/>
        <w:bottom w:val="none" w:sz="0" w:space="0" w:color="auto"/>
        <w:right w:val="none" w:sz="0" w:space="0" w:color="auto"/>
      </w:divBdr>
    </w:div>
    <w:div w:id="266930803">
      <w:bodyDiv w:val="1"/>
      <w:marLeft w:val="0"/>
      <w:marRight w:val="0"/>
      <w:marTop w:val="0"/>
      <w:marBottom w:val="0"/>
      <w:divBdr>
        <w:top w:val="none" w:sz="0" w:space="0" w:color="auto"/>
        <w:left w:val="none" w:sz="0" w:space="0" w:color="auto"/>
        <w:bottom w:val="none" w:sz="0" w:space="0" w:color="auto"/>
        <w:right w:val="none" w:sz="0" w:space="0" w:color="auto"/>
      </w:divBdr>
    </w:div>
    <w:div w:id="267003607">
      <w:bodyDiv w:val="1"/>
      <w:marLeft w:val="0"/>
      <w:marRight w:val="0"/>
      <w:marTop w:val="0"/>
      <w:marBottom w:val="0"/>
      <w:divBdr>
        <w:top w:val="none" w:sz="0" w:space="0" w:color="auto"/>
        <w:left w:val="none" w:sz="0" w:space="0" w:color="auto"/>
        <w:bottom w:val="none" w:sz="0" w:space="0" w:color="auto"/>
        <w:right w:val="none" w:sz="0" w:space="0" w:color="auto"/>
      </w:divBdr>
    </w:div>
    <w:div w:id="267004385">
      <w:bodyDiv w:val="1"/>
      <w:marLeft w:val="0"/>
      <w:marRight w:val="0"/>
      <w:marTop w:val="0"/>
      <w:marBottom w:val="0"/>
      <w:divBdr>
        <w:top w:val="none" w:sz="0" w:space="0" w:color="auto"/>
        <w:left w:val="none" w:sz="0" w:space="0" w:color="auto"/>
        <w:bottom w:val="none" w:sz="0" w:space="0" w:color="auto"/>
        <w:right w:val="none" w:sz="0" w:space="0" w:color="auto"/>
      </w:divBdr>
    </w:div>
    <w:div w:id="267007575">
      <w:bodyDiv w:val="1"/>
      <w:marLeft w:val="0"/>
      <w:marRight w:val="0"/>
      <w:marTop w:val="0"/>
      <w:marBottom w:val="0"/>
      <w:divBdr>
        <w:top w:val="none" w:sz="0" w:space="0" w:color="auto"/>
        <w:left w:val="none" w:sz="0" w:space="0" w:color="auto"/>
        <w:bottom w:val="none" w:sz="0" w:space="0" w:color="auto"/>
        <w:right w:val="none" w:sz="0" w:space="0" w:color="auto"/>
      </w:divBdr>
    </w:div>
    <w:div w:id="267011583">
      <w:bodyDiv w:val="1"/>
      <w:marLeft w:val="0"/>
      <w:marRight w:val="0"/>
      <w:marTop w:val="0"/>
      <w:marBottom w:val="0"/>
      <w:divBdr>
        <w:top w:val="none" w:sz="0" w:space="0" w:color="auto"/>
        <w:left w:val="none" w:sz="0" w:space="0" w:color="auto"/>
        <w:bottom w:val="none" w:sz="0" w:space="0" w:color="auto"/>
        <w:right w:val="none" w:sz="0" w:space="0" w:color="auto"/>
      </w:divBdr>
    </w:div>
    <w:div w:id="267154524">
      <w:bodyDiv w:val="1"/>
      <w:marLeft w:val="0"/>
      <w:marRight w:val="0"/>
      <w:marTop w:val="0"/>
      <w:marBottom w:val="0"/>
      <w:divBdr>
        <w:top w:val="none" w:sz="0" w:space="0" w:color="auto"/>
        <w:left w:val="none" w:sz="0" w:space="0" w:color="auto"/>
        <w:bottom w:val="none" w:sz="0" w:space="0" w:color="auto"/>
        <w:right w:val="none" w:sz="0" w:space="0" w:color="auto"/>
      </w:divBdr>
    </w:div>
    <w:div w:id="267157439">
      <w:bodyDiv w:val="1"/>
      <w:marLeft w:val="0"/>
      <w:marRight w:val="0"/>
      <w:marTop w:val="0"/>
      <w:marBottom w:val="0"/>
      <w:divBdr>
        <w:top w:val="none" w:sz="0" w:space="0" w:color="auto"/>
        <w:left w:val="none" w:sz="0" w:space="0" w:color="auto"/>
        <w:bottom w:val="none" w:sz="0" w:space="0" w:color="auto"/>
        <w:right w:val="none" w:sz="0" w:space="0" w:color="auto"/>
      </w:divBdr>
    </w:div>
    <w:div w:id="267274696">
      <w:bodyDiv w:val="1"/>
      <w:marLeft w:val="0"/>
      <w:marRight w:val="0"/>
      <w:marTop w:val="0"/>
      <w:marBottom w:val="0"/>
      <w:divBdr>
        <w:top w:val="none" w:sz="0" w:space="0" w:color="auto"/>
        <w:left w:val="none" w:sz="0" w:space="0" w:color="auto"/>
        <w:bottom w:val="none" w:sz="0" w:space="0" w:color="auto"/>
        <w:right w:val="none" w:sz="0" w:space="0" w:color="auto"/>
      </w:divBdr>
    </w:div>
    <w:div w:id="267275637">
      <w:bodyDiv w:val="1"/>
      <w:marLeft w:val="0"/>
      <w:marRight w:val="0"/>
      <w:marTop w:val="0"/>
      <w:marBottom w:val="0"/>
      <w:divBdr>
        <w:top w:val="none" w:sz="0" w:space="0" w:color="auto"/>
        <w:left w:val="none" w:sz="0" w:space="0" w:color="auto"/>
        <w:bottom w:val="none" w:sz="0" w:space="0" w:color="auto"/>
        <w:right w:val="none" w:sz="0" w:space="0" w:color="auto"/>
      </w:divBdr>
    </w:div>
    <w:div w:id="267275953">
      <w:bodyDiv w:val="1"/>
      <w:marLeft w:val="0"/>
      <w:marRight w:val="0"/>
      <w:marTop w:val="0"/>
      <w:marBottom w:val="0"/>
      <w:divBdr>
        <w:top w:val="none" w:sz="0" w:space="0" w:color="auto"/>
        <w:left w:val="none" w:sz="0" w:space="0" w:color="auto"/>
        <w:bottom w:val="none" w:sz="0" w:space="0" w:color="auto"/>
        <w:right w:val="none" w:sz="0" w:space="0" w:color="auto"/>
      </w:divBdr>
    </w:div>
    <w:div w:id="267279387">
      <w:bodyDiv w:val="1"/>
      <w:marLeft w:val="0"/>
      <w:marRight w:val="0"/>
      <w:marTop w:val="0"/>
      <w:marBottom w:val="0"/>
      <w:divBdr>
        <w:top w:val="none" w:sz="0" w:space="0" w:color="auto"/>
        <w:left w:val="none" w:sz="0" w:space="0" w:color="auto"/>
        <w:bottom w:val="none" w:sz="0" w:space="0" w:color="auto"/>
        <w:right w:val="none" w:sz="0" w:space="0" w:color="auto"/>
      </w:divBdr>
    </w:div>
    <w:div w:id="267470478">
      <w:bodyDiv w:val="1"/>
      <w:marLeft w:val="0"/>
      <w:marRight w:val="0"/>
      <w:marTop w:val="0"/>
      <w:marBottom w:val="0"/>
      <w:divBdr>
        <w:top w:val="none" w:sz="0" w:space="0" w:color="auto"/>
        <w:left w:val="none" w:sz="0" w:space="0" w:color="auto"/>
        <w:bottom w:val="none" w:sz="0" w:space="0" w:color="auto"/>
        <w:right w:val="none" w:sz="0" w:space="0" w:color="auto"/>
      </w:divBdr>
    </w:div>
    <w:div w:id="267472232">
      <w:bodyDiv w:val="1"/>
      <w:marLeft w:val="0"/>
      <w:marRight w:val="0"/>
      <w:marTop w:val="0"/>
      <w:marBottom w:val="0"/>
      <w:divBdr>
        <w:top w:val="none" w:sz="0" w:space="0" w:color="auto"/>
        <w:left w:val="none" w:sz="0" w:space="0" w:color="auto"/>
        <w:bottom w:val="none" w:sz="0" w:space="0" w:color="auto"/>
        <w:right w:val="none" w:sz="0" w:space="0" w:color="auto"/>
      </w:divBdr>
    </w:div>
    <w:div w:id="267542398">
      <w:bodyDiv w:val="1"/>
      <w:marLeft w:val="0"/>
      <w:marRight w:val="0"/>
      <w:marTop w:val="0"/>
      <w:marBottom w:val="0"/>
      <w:divBdr>
        <w:top w:val="none" w:sz="0" w:space="0" w:color="auto"/>
        <w:left w:val="none" w:sz="0" w:space="0" w:color="auto"/>
        <w:bottom w:val="none" w:sz="0" w:space="0" w:color="auto"/>
        <w:right w:val="none" w:sz="0" w:space="0" w:color="auto"/>
      </w:divBdr>
    </w:div>
    <w:div w:id="267543244">
      <w:bodyDiv w:val="1"/>
      <w:marLeft w:val="0"/>
      <w:marRight w:val="0"/>
      <w:marTop w:val="0"/>
      <w:marBottom w:val="0"/>
      <w:divBdr>
        <w:top w:val="none" w:sz="0" w:space="0" w:color="auto"/>
        <w:left w:val="none" w:sz="0" w:space="0" w:color="auto"/>
        <w:bottom w:val="none" w:sz="0" w:space="0" w:color="auto"/>
        <w:right w:val="none" w:sz="0" w:space="0" w:color="auto"/>
      </w:divBdr>
    </w:div>
    <w:div w:id="267735774">
      <w:bodyDiv w:val="1"/>
      <w:marLeft w:val="0"/>
      <w:marRight w:val="0"/>
      <w:marTop w:val="0"/>
      <w:marBottom w:val="0"/>
      <w:divBdr>
        <w:top w:val="none" w:sz="0" w:space="0" w:color="auto"/>
        <w:left w:val="none" w:sz="0" w:space="0" w:color="auto"/>
        <w:bottom w:val="none" w:sz="0" w:space="0" w:color="auto"/>
        <w:right w:val="none" w:sz="0" w:space="0" w:color="auto"/>
      </w:divBdr>
    </w:div>
    <w:div w:id="267739061">
      <w:bodyDiv w:val="1"/>
      <w:marLeft w:val="0"/>
      <w:marRight w:val="0"/>
      <w:marTop w:val="0"/>
      <w:marBottom w:val="0"/>
      <w:divBdr>
        <w:top w:val="none" w:sz="0" w:space="0" w:color="auto"/>
        <w:left w:val="none" w:sz="0" w:space="0" w:color="auto"/>
        <w:bottom w:val="none" w:sz="0" w:space="0" w:color="auto"/>
        <w:right w:val="none" w:sz="0" w:space="0" w:color="auto"/>
      </w:divBdr>
    </w:div>
    <w:div w:id="267781997">
      <w:bodyDiv w:val="1"/>
      <w:marLeft w:val="0"/>
      <w:marRight w:val="0"/>
      <w:marTop w:val="0"/>
      <w:marBottom w:val="0"/>
      <w:divBdr>
        <w:top w:val="none" w:sz="0" w:space="0" w:color="auto"/>
        <w:left w:val="none" w:sz="0" w:space="0" w:color="auto"/>
        <w:bottom w:val="none" w:sz="0" w:space="0" w:color="auto"/>
        <w:right w:val="none" w:sz="0" w:space="0" w:color="auto"/>
      </w:divBdr>
    </w:div>
    <w:div w:id="267785856">
      <w:bodyDiv w:val="1"/>
      <w:marLeft w:val="0"/>
      <w:marRight w:val="0"/>
      <w:marTop w:val="0"/>
      <w:marBottom w:val="0"/>
      <w:divBdr>
        <w:top w:val="none" w:sz="0" w:space="0" w:color="auto"/>
        <w:left w:val="none" w:sz="0" w:space="0" w:color="auto"/>
        <w:bottom w:val="none" w:sz="0" w:space="0" w:color="auto"/>
        <w:right w:val="none" w:sz="0" w:space="0" w:color="auto"/>
      </w:divBdr>
    </w:div>
    <w:div w:id="267858597">
      <w:bodyDiv w:val="1"/>
      <w:marLeft w:val="0"/>
      <w:marRight w:val="0"/>
      <w:marTop w:val="0"/>
      <w:marBottom w:val="0"/>
      <w:divBdr>
        <w:top w:val="none" w:sz="0" w:space="0" w:color="auto"/>
        <w:left w:val="none" w:sz="0" w:space="0" w:color="auto"/>
        <w:bottom w:val="none" w:sz="0" w:space="0" w:color="auto"/>
        <w:right w:val="none" w:sz="0" w:space="0" w:color="auto"/>
      </w:divBdr>
    </w:div>
    <w:div w:id="268006732">
      <w:bodyDiv w:val="1"/>
      <w:marLeft w:val="0"/>
      <w:marRight w:val="0"/>
      <w:marTop w:val="0"/>
      <w:marBottom w:val="0"/>
      <w:divBdr>
        <w:top w:val="none" w:sz="0" w:space="0" w:color="auto"/>
        <w:left w:val="none" w:sz="0" w:space="0" w:color="auto"/>
        <w:bottom w:val="none" w:sz="0" w:space="0" w:color="auto"/>
        <w:right w:val="none" w:sz="0" w:space="0" w:color="auto"/>
      </w:divBdr>
    </w:div>
    <w:div w:id="268051258">
      <w:bodyDiv w:val="1"/>
      <w:marLeft w:val="0"/>
      <w:marRight w:val="0"/>
      <w:marTop w:val="0"/>
      <w:marBottom w:val="0"/>
      <w:divBdr>
        <w:top w:val="none" w:sz="0" w:space="0" w:color="auto"/>
        <w:left w:val="none" w:sz="0" w:space="0" w:color="auto"/>
        <w:bottom w:val="none" w:sz="0" w:space="0" w:color="auto"/>
        <w:right w:val="none" w:sz="0" w:space="0" w:color="auto"/>
      </w:divBdr>
    </w:div>
    <w:div w:id="268053348">
      <w:bodyDiv w:val="1"/>
      <w:marLeft w:val="0"/>
      <w:marRight w:val="0"/>
      <w:marTop w:val="0"/>
      <w:marBottom w:val="0"/>
      <w:divBdr>
        <w:top w:val="none" w:sz="0" w:space="0" w:color="auto"/>
        <w:left w:val="none" w:sz="0" w:space="0" w:color="auto"/>
        <w:bottom w:val="none" w:sz="0" w:space="0" w:color="auto"/>
        <w:right w:val="none" w:sz="0" w:space="0" w:color="auto"/>
      </w:divBdr>
    </w:div>
    <w:div w:id="268126393">
      <w:bodyDiv w:val="1"/>
      <w:marLeft w:val="0"/>
      <w:marRight w:val="0"/>
      <w:marTop w:val="0"/>
      <w:marBottom w:val="0"/>
      <w:divBdr>
        <w:top w:val="none" w:sz="0" w:space="0" w:color="auto"/>
        <w:left w:val="none" w:sz="0" w:space="0" w:color="auto"/>
        <w:bottom w:val="none" w:sz="0" w:space="0" w:color="auto"/>
        <w:right w:val="none" w:sz="0" w:space="0" w:color="auto"/>
      </w:divBdr>
    </w:div>
    <w:div w:id="268196957">
      <w:bodyDiv w:val="1"/>
      <w:marLeft w:val="0"/>
      <w:marRight w:val="0"/>
      <w:marTop w:val="0"/>
      <w:marBottom w:val="0"/>
      <w:divBdr>
        <w:top w:val="none" w:sz="0" w:space="0" w:color="auto"/>
        <w:left w:val="none" w:sz="0" w:space="0" w:color="auto"/>
        <w:bottom w:val="none" w:sz="0" w:space="0" w:color="auto"/>
        <w:right w:val="none" w:sz="0" w:space="0" w:color="auto"/>
      </w:divBdr>
    </w:div>
    <w:div w:id="268436452">
      <w:bodyDiv w:val="1"/>
      <w:marLeft w:val="0"/>
      <w:marRight w:val="0"/>
      <w:marTop w:val="0"/>
      <w:marBottom w:val="0"/>
      <w:divBdr>
        <w:top w:val="none" w:sz="0" w:space="0" w:color="auto"/>
        <w:left w:val="none" w:sz="0" w:space="0" w:color="auto"/>
        <w:bottom w:val="none" w:sz="0" w:space="0" w:color="auto"/>
        <w:right w:val="none" w:sz="0" w:space="0" w:color="auto"/>
      </w:divBdr>
    </w:div>
    <w:div w:id="268438940">
      <w:bodyDiv w:val="1"/>
      <w:marLeft w:val="0"/>
      <w:marRight w:val="0"/>
      <w:marTop w:val="0"/>
      <w:marBottom w:val="0"/>
      <w:divBdr>
        <w:top w:val="none" w:sz="0" w:space="0" w:color="auto"/>
        <w:left w:val="none" w:sz="0" w:space="0" w:color="auto"/>
        <w:bottom w:val="none" w:sz="0" w:space="0" w:color="auto"/>
        <w:right w:val="none" w:sz="0" w:space="0" w:color="auto"/>
      </w:divBdr>
    </w:div>
    <w:div w:id="268507560">
      <w:bodyDiv w:val="1"/>
      <w:marLeft w:val="0"/>
      <w:marRight w:val="0"/>
      <w:marTop w:val="0"/>
      <w:marBottom w:val="0"/>
      <w:divBdr>
        <w:top w:val="none" w:sz="0" w:space="0" w:color="auto"/>
        <w:left w:val="none" w:sz="0" w:space="0" w:color="auto"/>
        <w:bottom w:val="none" w:sz="0" w:space="0" w:color="auto"/>
        <w:right w:val="none" w:sz="0" w:space="0" w:color="auto"/>
      </w:divBdr>
    </w:div>
    <w:div w:id="268507896">
      <w:bodyDiv w:val="1"/>
      <w:marLeft w:val="0"/>
      <w:marRight w:val="0"/>
      <w:marTop w:val="0"/>
      <w:marBottom w:val="0"/>
      <w:divBdr>
        <w:top w:val="none" w:sz="0" w:space="0" w:color="auto"/>
        <w:left w:val="none" w:sz="0" w:space="0" w:color="auto"/>
        <w:bottom w:val="none" w:sz="0" w:space="0" w:color="auto"/>
        <w:right w:val="none" w:sz="0" w:space="0" w:color="auto"/>
      </w:divBdr>
    </w:div>
    <w:div w:id="268510412">
      <w:bodyDiv w:val="1"/>
      <w:marLeft w:val="0"/>
      <w:marRight w:val="0"/>
      <w:marTop w:val="0"/>
      <w:marBottom w:val="0"/>
      <w:divBdr>
        <w:top w:val="none" w:sz="0" w:space="0" w:color="auto"/>
        <w:left w:val="none" w:sz="0" w:space="0" w:color="auto"/>
        <w:bottom w:val="none" w:sz="0" w:space="0" w:color="auto"/>
        <w:right w:val="none" w:sz="0" w:space="0" w:color="auto"/>
      </w:divBdr>
    </w:div>
    <w:div w:id="268512276">
      <w:bodyDiv w:val="1"/>
      <w:marLeft w:val="0"/>
      <w:marRight w:val="0"/>
      <w:marTop w:val="0"/>
      <w:marBottom w:val="0"/>
      <w:divBdr>
        <w:top w:val="none" w:sz="0" w:space="0" w:color="auto"/>
        <w:left w:val="none" w:sz="0" w:space="0" w:color="auto"/>
        <w:bottom w:val="none" w:sz="0" w:space="0" w:color="auto"/>
        <w:right w:val="none" w:sz="0" w:space="0" w:color="auto"/>
      </w:divBdr>
    </w:div>
    <w:div w:id="268514239">
      <w:bodyDiv w:val="1"/>
      <w:marLeft w:val="0"/>
      <w:marRight w:val="0"/>
      <w:marTop w:val="0"/>
      <w:marBottom w:val="0"/>
      <w:divBdr>
        <w:top w:val="none" w:sz="0" w:space="0" w:color="auto"/>
        <w:left w:val="none" w:sz="0" w:space="0" w:color="auto"/>
        <w:bottom w:val="none" w:sz="0" w:space="0" w:color="auto"/>
        <w:right w:val="none" w:sz="0" w:space="0" w:color="auto"/>
      </w:divBdr>
    </w:div>
    <w:div w:id="268585338">
      <w:bodyDiv w:val="1"/>
      <w:marLeft w:val="0"/>
      <w:marRight w:val="0"/>
      <w:marTop w:val="0"/>
      <w:marBottom w:val="0"/>
      <w:divBdr>
        <w:top w:val="none" w:sz="0" w:space="0" w:color="auto"/>
        <w:left w:val="none" w:sz="0" w:space="0" w:color="auto"/>
        <w:bottom w:val="none" w:sz="0" w:space="0" w:color="auto"/>
        <w:right w:val="none" w:sz="0" w:space="0" w:color="auto"/>
      </w:divBdr>
    </w:div>
    <w:div w:id="268587164">
      <w:bodyDiv w:val="1"/>
      <w:marLeft w:val="0"/>
      <w:marRight w:val="0"/>
      <w:marTop w:val="0"/>
      <w:marBottom w:val="0"/>
      <w:divBdr>
        <w:top w:val="none" w:sz="0" w:space="0" w:color="auto"/>
        <w:left w:val="none" w:sz="0" w:space="0" w:color="auto"/>
        <w:bottom w:val="none" w:sz="0" w:space="0" w:color="auto"/>
        <w:right w:val="none" w:sz="0" w:space="0" w:color="auto"/>
      </w:divBdr>
    </w:div>
    <w:div w:id="268777284">
      <w:bodyDiv w:val="1"/>
      <w:marLeft w:val="0"/>
      <w:marRight w:val="0"/>
      <w:marTop w:val="0"/>
      <w:marBottom w:val="0"/>
      <w:divBdr>
        <w:top w:val="none" w:sz="0" w:space="0" w:color="auto"/>
        <w:left w:val="none" w:sz="0" w:space="0" w:color="auto"/>
        <w:bottom w:val="none" w:sz="0" w:space="0" w:color="auto"/>
        <w:right w:val="none" w:sz="0" w:space="0" w:color="auto"/>
      </w:divBdr>
    </w:div>
    <w:div w:id="268850854">
      <w:bodyDiv w:val="1"/>
      <w:marLeft w:val="0"/>
      <w:marRight w:val="0"/>
      <w:marTop w:val="0"/>
      <w:marBottom w:val="0"/>
      <w:divBdr>
        <w:top w:val="none" w:sz="0" w:space="0" w:color="auto"/>
        <w:left w:val="none" w:sz="0" w:space="0" w:color="auto"/>
        <w:bottom w:val="none" w:sz="0" w:space="0" w:color="auto"/>
        <w:right w:val="none" w:sz="0" w:space="0" w:color="auto"/>
      </w:divBdr>
    </w:div>
    <w:div w:id="268851898">
      <w:bodyDiv w:val="1"/>
      <w:marLeft w:val="0"/>
      <w:marRight w:val="0"/>
      <w:marTop w:val="0"/>
      <w:marBottom w:val="0"/>
      <w:divBdr>
        <w:top w:val="none" w:sz="0" w:space="0" w:color="auto"/>
        <w:left w:val="none" w:sz="0" w:space="0" w:color="auto"/>
        <w:bottom w:val="none" w:sz="0" w:space="0" w:color="auto"/>
        <w:right w:val="none" w:sz="0" w:space="0" w:color="auto"/>
      </w:divBdr>
    </w:div>
    <w:div w:id="268856990">
      <w:bodyDiv w:val="1"/>
      <w:marLeft w:val="0"/>
      <w:marRight w:val="0"/>
      <w:marTop w:val="0"/>
      <w:marBottom w:val="0"/>
      <w:divBdr>
        <w:top w:val="none" w:sz="0" w:space="0" w:color="auto"/>
        <w:left w:val="none" w:sz="0" w:space="0" w:color="auto"/>
        <w:bottom w:val="none" w:sz="0" w:space="0" w:color="auto"/>
        <w:right w:val="none" w:sz="0" w:space="0" w:color="auto"/>
      </w:divBdr>
    </w:div>
    <w:div w:id="268902116">
      <w:bodyDiv w:val="1"/>
      <w:marLeft w:val="0"/>
      <w:marRight w:val="0"/>
      <w:marTop w:val="0"/>
      <w:marBottom w:val="0"/>
      <w:divBdr>
        <w:top w:val="none" w:sz="0" w:space="0" w:color="auto"/>
        <w:left w:val="none" w:sz="0" w:space="0" w:color="auto"/>
        <w:bottom w:val="none" w:sz="0" w:space="0" w:color="auto"/>
        <w:right w:val="none" w:sz="0" w:space="0" w:color="auto"/>
      </w:divBdr>
    </w:div>
    <w:div w:id="269048716">
      <w:bodyDiv w:val="1"/>
      <w:marLeft w:val="0"/>
      <w:marRight w:val="0"/>
      <w:marTop w:val="0"/>
      <w:marBottom w:val="0"/>
      <w:divBdr>
        <w:top w:val="none" w:sz="0" w:space="0" w:color="auto"/>
        <w:left w:val="none" w:sz="0" w:space="0" w:color="auto"/>
        <w:bottom w:val="none" w:sz="0" w:space="0" w:color="auto"/>
        <w:right w:val="none" w:sz="0" w:space="0" w:color="auto"/>
      </w:divBdr>
    </w:div>
    <w:div w:id="269092416">
      <w:bodyDiv w:val="1"/>
      <w:marLeft w:val="0"/>
      <w:marRight w:val="0"/>
      <w:marTop w:val="0"/>
      <w:marBottom w:val="0"/>
      <w:divBdr>
        <w:top w:val="none" w:sz="0" w:space="0" w:color="auto"/>
        <w:left w:val="none" w:sz="0" w:space="0" w:color="auto"/>
        <w:bottom w:val="none" w:sz="0" w:space="0" w:color="auto"/>
        <w:right w:val="none" w:sz="0" w:space="0" w:color="auto"/>
      </w:divBdr>
    </w:div>
    <w:div w:id="269093487">
      <w:bodyDiv w:val="1"/>
      <w:marLeft w:val="0"/>
      <w:marRight w:val="0"/>
      <w:marTop w:val="0"/>
      <w:marBottom w:val="0"/>
      <w:divBdr>
        <w:top w:val="none" w:sz="0" w:space="0" w:color="auto"/>
        <w:left w:val="none" w:sz="0" w:space="0" w:color="auto"/>
        <w:bottom w:val="none" w:sz="0" w:space="0" w:color="auto"/>
        <w:right w:val="none" w:sz="0" w:space="0" w:color="auto"/>
      </w:divBdr>
    </w:div>
    <w:div w:id="269121962">
      <w:bodyDiv w:val="1"/>
      <w:marLeft w:val="0"/>
      <w:marRight w:val="0"/>
      <w:marTop w:val="0"/>
      <w:marBottom w:val="0"/>
      <w:divBdr>
        <w:top w:val="none" w:sz="0" w:space="0" w:color="auto"/>
        <w:left w:val="none" w:sz="0" w:space="0" w:color="auto"/>
        <w:bottom w:val="none" w:sz="0" w:space="0" w:color="auto"/>
        <w:right w:val="none" w:sz="0" w:space="0" w:color="auto"/>
      </w:divBdr>
    </w:div>
    <w:div w:id="269242890">
      <w:bodyDiv w:val="1"/>
      <w:marLeft w:val="0"/>
      <w:marRight w:val="0"/>
      <w:marTop w:val="0"/>
      <w:marBottom w:val="0"/>
      <w:divBdr>
        <w:top w:val="none" w:sz="0" w:space="0" w:color="auto"/>
        <w:left w:val="none" w:sz="0" w:space="0" w:color="auto"/>
        <w:bottom w:val="none" w:sz="0" w:space="0" w:color="auto"/>
        <w:right w:val="none" w:sz="0" w:space="0" w:color="auto"/>
      </w:divBdr>
    </w:div>
    <w:div w:id="269244593">
      <w:bodyDiv w:val="1"/>
      <w:marLeft w:val="0"/>
      <w:marRight w:val="0"/>
      <w:marTop w:val="0"/>
      <w:marBottom w:val="0"/>
      <w:divBdr>
        <w:top w:val="none" w:sz="0" w:space="0" w:color="auto"/>
        <w:left w:val="none" w:sz="0" w:space="0" w:color="auto"/>
        <w:bottom w:val="none" w:sz="0" w:space="0" w:color="auto"/>
        <w:right w:val="none" w:sz="0" w:space="0" w:color="auto"/>
      </w:divBdr>
    </w:div>
    <w:div w:id="269357169">
      <w:bodyDiv w:val="1"/>
      <w:marLeft w:val="0"/>
      <w:marRight w:val="0"/>
      <w:marTop w:val="0"/>
      <w:marBottom w:val="0"/>
      <w:divBdr>
        <w:top w:val="none" w:sz="0" w:space="0" w:color="auto"/>
        <w:left w:val="none" w:sz="0" w:space="0" w:color="auto"/>
        <w:bottom w:val="none" w:sz="0" w:space="0" w:color="auto"/>
        <w:right w:val="none" w:sz="0" w:space="0" w:color="auto"/>
      </w:divBdr>
    </w:div>
    <w:div w:id="269433579">
      <w:bodyDiv w:val="1"/>
      <w:marLeft w:val="0"/>
      <w:marRight w:val="0"/>
      <w:marTop w:val="0"/>
      <w:marBottom w:val="0"/>
      <w:divBdr>
        <w:top w:val="none" w:sz="0" w:space="0" w:color="auto"/>
        <w:left w:val="none" w:sz="0" w:space="0" w:color="auto"/>
        <w:bottom w:val="none" w:sz="0" w:space="0" w:color="auto"/>
        <w:right w:val="none" w:sz="0" w:space="0" w:color="auto"/>
      </w:divBdr>
    </w:div>
    <w:div w:id="269437109">
      <w:bodyDiv w:val="1"/>
      <w:marLeft w:val="0"/>
      <w:marRight w:val="0"/>
      <w:marTop w:val="0"/>
      <w:marBottom w:val="0"/>
      <w:divBdr>
        <w:top w:val="none" w:sz="0" w:space="0" w:color="auto"/>
        <w:left w:val="none" w:sz="0" w:space="0" w:color="auto"/>
        <w:bottom w:val="none" w:sz="0" w:space="0" w:color="auto"/>
        <w:right w:val="none" w:sz="0" w:space="0" w:color="auto"/>
      </w:divBdr>
    </w:div>
    <w:div w:id="269514439">
      <w:bodyDiv w:val="1"/>
      <w:marLeft w:val="0"/>
      <w:marRight w:val="0"/>
      <w:marTop w:val="0"/>
      <w:marBottom w:val="0"/>
      <w:divBdr>
        <w:top w:val="none" w:sz="0" w:space="0" w:color="auto"/>
        <w:left w:val="none" w:sz="0" w:space="0" w:color="auto"/>
        <w:bottom w:val="none" w:sz="0" w:space="0" w:color="auto"/>
        <w:right w:val="none" w:sz="0" w:space="0" w:color="auto"/>
      </w:divBdr>
    </w:div>
    <w:div w:id="269556128">
      <w:bodyDiv w:val="1"/>
      <w:marLeft w:val="0"/>
      <w:marRight w:val="0"/>
      <w:marTop w:val="0"/>
      <w:marBottom w:val="0"/>
      <w:divBdr>
        <w:top w:val="none" w:sz="0" w:space="0" w:color="auto"/>
        <w:left w:val="none" w:sz="0" w:space="0" w:color="auto"/>
        <w:bottom w:val="none" w:sz="0" w:space="0" w:color="auto"/>
        <w:right w:val="none" w:sz="0" w:space="0" w:color="auto"/>
      </w:divBdr>
    </w:div>
    <w:div w:id="269632208">
      <w:bodyDiv w:val="1"/>
      <w:marLeft w:val="0"/>
      <w:marRight w:val="0"/>
      <w:marTop w:val="0"/>
      <w:marBottom w:val="0"/>
      <w:divBdr>
        <w:top w:val="none" w:sz="0" w:space="0" w:color="auto"/>
        <w:left w:val="none" w:sz="0" w:space="0" w:color="auto"/>
        <w:bottom w:val="none" w:sz="0" w:space="0" w:color="auto"/>
        <w:right w:val="none" w:sz="0" w:space="0" w:color="auto"/>
      </w:divBdr>
    </w:div>
    <w:div w:id="269820777">
      <w:bodyDiv w:val="1"/>
      <w:marLeft w:val="0"/>
      <w:marRight w:val="0"/>
      <w:marTop w:val="0"/>
      <w:marBottom w:val="0"/>
      <w:divBdr>
        <w:top w:val="none" w:sz="0" w:space="0" w:color="auto"/>
        <w:left w:val="none" w:sz="0" w:space="0" w:color="auto"/>
        <w:bottom w:val="none" w:sz="0" w:space="0" w:color="auto"/>
        <w:right w:val="none" w:sz="0" w:space="0" w:color="auto"/>
      </w:divBdr>
    </w:div>
    <w:div w:id="269822603">
      <w:bodyDiv w:val="1"/>
      <w:marLeft w:val="0"/>
      <w:marRight w:val="0"/>
      <w:marTop w:val="0"/>
      <w:marBottom w:val="0"/>
      <w:divBdr>
        <w:top w:val="none" w:sz="0" w:space="0" w:color="auto"/>
        <w:left w:val="none" w:sz="0" w:space="0" w:color="auto"/>
        <w:bottom w:val="none" w:sz="0" w:space="0" w:color="auto"/>
        <w:right w:val="none" w:sz="0" w:space="0" w:color="auto"/>
      </w:divBdr>
    </w:div>
    <w:div w:id="269896810">
      <w:bodyDiv w:val="1"/>
      <w:marLeft w:val="0"/>
      <w:marRight w:val="0"/>
      <w:marTop w:val="0"/>
      <w:marBottom w:val="0"/>
      <w:divBdr>
        <w:top w:val="none" w:sz="0" w:space="0" w:color="auto"/>
        <w:left w:val="none" w:sz="0" w:space="0" w:color="auto"/>
        <w:bottom w:val="none" w:sz="0" w:space="0" w:color="auto"/>
        <w:right w:val="none" w:sz="0" w:space="0" w:color="auto"/>
      </w:divBdr>
    </w:div>
    <w:div w:id="270092850">
      <w:bodyDiv w:val="1"/>
      <w:marLeft w:val="0"/>
      <w:marRight w:val="0"/>
      <w:marTop w:val="0"/>
      <w:marBottom w:val="0"/>
      <w:divBdr>
        <w:top w:val="none" w:sz="0" w:space="0" w:color="auto"/>
        <w:left w:val="none" w:sz="0" w:space="0" w:color="auto"/>
        <w:bottom w:val="none" w:sz="0" w:space="0" w:color="auto"/>
        <w:right w:val="none" w:sz="0" w:space="0" w:color="auto"/>
      </w:divBdr>
    </w:div>
    <w:div w:id="270167012">
      <w:bodyDiv w:val="1"/>
      <w:marLeft w:val="0"/>
      <w:marRight w:val="0"/>
      <w:marTop w:val="0"/>
      <w:marBottom w:val="0"/>
      <w:divBdr>
        <w:top w:val="none" w:sz="0" w:space="0" w:color="auto"/>
        <w:left w:val="none" w:sz="0" w:space="0" w:color="auto"/>
        <w:bottom w:val="none" w:sz="0" w:space="0" w:color="auto"/>
        <w:right w:val="none" w:sz="0" w:space="0" w:color="auto"/>
      </w:divBdr>
    </w:div>
    <w:div w:id="270279650">
      <w:bodyDiv w:val="1"/>
      <w:marLeft w:val="0"/>
      <w:marRight w:val="0"/>
      <w:marTop w:val="0"/>
      <w:marBottom w:val="0"/>
      <w:divBdr>
        <w:top w:val="none" w:sz="0" w:space="0" w:color="auto"/>
        <w:left w:val="none" w:sz="0" w:space="0" w:color="auto"/>
        <w:bottom w:val="none" w:sz="0" w:space="0" w:color="auto"/>
        <w:right w:val="none" w:sz="0" w:space="0" w:color="auto"/>
      </w:divBdr>
    </w:div>
    <w:div w:id="270670923">
      <w:bodyDiv w:val="1"/>
      <w:marLeft w:val="0"/>
      <w:marRight w:val="0"/>
      <w:marTop w:val="0"/>
      <w:marBottom w:val="0"/>
      <w:divBdr>
        <w:top w:val="none" w:sz="0" w:space="0" w:color="auto"/>
        <w:left w:val="none" w:sz="0" w:space="0" w:color="auto"/>
        <w:bottom w:val="none" w:sz="0" w:space="0" w:color="auto"/>
        <w:right w:val="none" w:sz="0" w:space="0" w:color="auto"/>
      </w:divBdr>
    </w:div>
    <w:div w:id="270822667">
      <w:bodyDiv w:val="1"/>
      <w:marLeft w:val="0"/>
      <w:marRight w:val="0"/>
      <w:marTop w:val="0"/>
      <w:marBottom w:val="0"/>
      <w:divBdr>
        <w:top w:val="none" w:sz="0" w:space="0" w:color="auto"/>
        <w:left w:val="none" w:sz="0" w:space="0" w:color="auto"/>
        <w:bottom w:val="none" w:sz="0" w:space="0" w:color="auto"/>
        <w:right w:val="none" w:sz="0" w:space="0" w:color="auto"/>
      </w:divBdr>
    </w:div>
    <w:div w:id="270825667">
      <w:bodyDiv w:val="1"/>
      <w:marLeft w:val="0"/>
      <w:marRight w:val="0"/>
      <w:marTop w:val="0"/>
      <w:marBottom w:val="0"/>
      <w:divBdr>
        <w:top w:val="none" w:sz="0" w:space="0" w:color="auto"/>
        <w:left w:val="none" w:sz="0" w:space="0" w:color="auto"/>
        <w:bottom w:val="none" w:sz="0" w:space="0" w:color="auto"/>
        <w:right w:val="none" w:sz="0" w:space="0" w:color="auto"/>
      </w:divBdr>
    </w:div>
    <w:div w:id="270892567">
      <w:bodyDiv w:val="1"/>
      <w:marLeft w:val="0"/>
      <w:marRight w:val="0"/>
      <w:marTop w:val="0"/>
      <w:marBottom w:val="0"/>
      <w:divBdr>
        <w:top w:val="none" w:sz="0" w:space="0" w:color="auto"/>
        <w:left w:val="none" w:sz="0" w:space="0" w:color="auto"/>
        <w:bottom w:val="none" w:sz="0" w:space="0" w:color="auto"/>
        <w:right w:val="none" w:sz="0" w:space="0" w:color="auto"/>
      </w:divBdr>
    </w:div>
    <w:div w:id="270938019">
      <w:bodyDiv w:val="1"/>
      <w:marLeft w:val="0"/>
      <w:marRight w:val="0"/>
      <w:marTop w:val="0"/>
      <w:marBottom w:val="0"/>
      <w:divBdr>
        <w:top w:val="none" w:sz="0" w:space="0" w:color="auto"/>
        <w:left w:val="none" w:sz="0" w:space="0" w:color="auto"/>
        <w:bottom w:val="none" w:sz="0" w:space="0" w:color="auto"/>
        <w:right w:val="none" w:sz="0" w:space="0" w:color="auto"/>
      </w:divBdr>
    </w:div>
    <w:div w:id="271010637">
      <w:bodyDiv w:val="1"/>
      <w:marLeft w:val="0"/>
      <w:marRight w:val="0"/>
      <w:marTop w:val="0"/>
      <w:marBottom w:val="0"/>
      <w:divBdr>
        <w:top w:val="none" w:sz="0" w:space="0" w:color="auto"/>
        <w:left w:val="none" w:sz="0" w:space="0" w:color="auto"/>
        <w:bottom w:val="none" w:sz="0" w:space="0" w:color="auto"/>
        <w:right w:val="none" w:sz="0" w:space="0" w:color="auto"/>
      </w:divBdr>
    </w:div>
    <w:div w:id="271135457">
      <w:bodyDiv w:val="1"/>
      <w:marLeft w:val="0"/>
      <w:marRight w:val="0"/>
      <w:marTop w:val="0"/>
      <w:marBottom w:val="0"/>
      <w:divBdr>
        <w:top w:val="none" w:sz="0" w:space="0" w:color="auto"/>
        <w:left w:val="none" w:sz="0" w:space="0" w:color="auto"/>
        <w:bottom w:val="none" w:sz="0" w:space="0" w:color="auto"/>
        <w:right w:val="none" w:sz="0" w:space="0" w:color="auto"/>
      </w:divBdr>
    </w:div>
    <w:div w:id="271136229">
      <w:bodyDiv w:val="1"/>
      <w:marLeft w:val="0"/>
      <w:marRight w:val="0"/>
      <w:marTop w:val="0"/>
      <w:marBottom w:val="0"/>
      <w:divBdr>
        <w:top w:val="none" w:sz="0" w:space="0" w:color="auto"/>
        <w:left w:val="none" w:sz="0" w:space="0" w:color="auto"/>
        <w:bottom w:val="none" w:sz="0" w:space="0" w:color="auto"/>
        <w:right w:val="none" w:sz="0" w:space="0" w:color="auto"/>
      </w:divBdr>
    </w:div>
    <w:div w:id="271203153">
      <w:bodyDiv w:val="1"/>
      <w:marLeft w:val="0"/>
      <w:marRight w:val="0"/>
      <w:marTop w:val="0"/>
      <w:marBottom w:val="0"/>
      <w:divBdr>
        <w:top w:val="none" w:sz="0" w:space="0" w:color="auto"/>
        <w:left w:val="none" w:sz="0" w:space="0" w:color="auto"/>
        <w:bottom w:val="none" w:sz="0" w:space="0" w:color="auto"/>
        <w:right w:val="none" w:sz="0" w:space="0" w:color="auto"/>
      </w:divBdr>
    </w:div>
    <w:div w:id="271325217">
      <w:bodyDiv w:val="1"/>
      <w:marLeft w:val="0"/>
      <w:marRight w:val="0"/>
      <w:marTop w:val="0"/>
      <w:marBottom w:val="0"/>
      <w:divBdr>
        <w:top w:val="none" w:sz="0" w:space="0" w:color="auto"/>
        <w:left w:val="none" w:sz="0" w:space="0" w:color="auto"/>
        <w:bottom w:val="none" w:sz="0" w:space="0" w:color="auto"/>
        <w:right w:val="none" w:sz="0" w:space="0" w:color="auto"/>
      </w:divBdr>
    </w:div>
    <w:div w:id="271404106">
      <w:bodyDiv w:val="1"/>
      <w:marLeft w:val="0"/>
      <w:marRight w:val="0"/>
      <w:marTop w:val="0"/>
      <w:marBottom w:val="0"/>
      <w:divBdr>
        <w:top w:val="none" w:sz="0" w:space="0" w:color="auto"/>
        <w:left w:val="none" w:sz="0" w:space="0" w:color="auto"/>
        <w:bottom w:val="none" w:sz="0" w:space="0" w:color="auto"/>
        <w:right w:val="none" w:sz="0" w:space="0" w:color="auto"/>
      </w:divBdr>
    </w:div>
    <w:div w:id="271471874">
      <w:bodyDiv w:val="1"/>
      <w:marLeft w:val="0"/>
      <w:marRight w:val="0"/>
      <w:marTop w:val="0"/>
      <w:marBottom w:val="0"/>
      <w:divBdr>
        <w:top w:val="none" w:sz="0" w:space="0" w:color="auto"/>
        <w:left w:val="none" w:sz="0" w:space="0" w:color="auto"/>
        <w:bottom w:val="none" w:sz="0" w:space="0" w:color="auto"/>
        <w:right w:val="none" w:sz="0" w:space="0" w:color="auto"/>
      </w:divBdr>
    </w:div>
    <w:div w:id="271476618">
      <w:bodyDiv w:val="1"/>
      <w:marLeft w:val="0"/>
      <w:marRight w:val="0"/>
      <w:marTop w:val="0"/>
      <w:marBottom w:val="0"/>
      <w:divBdr>
        <w:top w:val="none" w:sz="0" w:space="0" w:color="auto"/>
        <w:left w:val="none" w:sz="0" w:space="0" w:color="auto"/>
        <w:bottom w:val="none" w:sz="0" w:space="0" w:color="auto"/>
        <w:right w:val="none" w:sz="0" w:space="0" w:color="auto"/>
      </w:divBdr>
    </w:div>
    <w:div w:id="271523043">
      <w:bodyDiv w:val="1"/>
      <w:marLeft w:val="0"/>
      <w:marRight w:val="0"/>
      <w:marTop w:val="0"/>
      <w:marBottom w:val="0"/>
      <w:divBdr>
        <w:top w:val="none" w:sz="0" w:space="0" w:color="auto"/>
        <w:left w:val="none" w:sz="0" w:space="0" w:color="auto"/>
        <w:bottom w:val="none" w:sz="0" w:space="0" w:color="auto"/>
        <w:right w:val="none" w:sz="0" w:space="0" w:color="auto"/>
      </w:divBdr>
    </w:div>
    <w:div w:id="271592673">
      <w:bodyDiv w:val="1"/>
      <w:marLeft w:val="0"/>
      <w:marRight w:val="0"/>
      <w:marTop w:val="0"/>
      <w:marBottom w:val="0"/>
      <w:divBdr>
        <w:top w:val="none" w:sz="0" w:space="0" w:color="auto"/>
        <w:left w:val="none" w:sz="0" w:space="0" w:color="auto"/>
        <w:bottom w:val="none" w:sz="0" w:space="0" w:color="auto"/>
        <w:right w:val="none" w:sz="0" w:space="0" w:color="auto"/>
      </w:divBdr>
    </w:div>
    <w:div w:id="271593311">
      <w:bodyDiv w:val="1"/>
      <w:marLeft w:val="0"/>
      <w:marRight w:val="0"/>
      <w:marTop w:val="0"/>
      <w:marBottom w:val="0"/>
      <w:divBdr>
        <w:top w:val="none" w:sz="0" w:space="0" w:color="auto"/>
        <w:left w:val="none" w:sz="0" w:space="0" w:color="auto"/>
        <w:bottom w:val="none" w:sz="0" w:space="0" w:color="auto"/>
        <w:right w:val="none" w:sz="0" w:space="0" w:color="auto"/>
      </w:divBdr>
    </w:div>
    <w:div w:id="271672657">
      <w:bodyDiv w:val="1"/>
      <w:marLeft w:val="0"/>
      <w:marRight w:val="0"/>
      <w:marTop w:val="0"/>
      <w:marBottom w:val="0"/>
      <w:divBdr>
        <w:top w:val="none" w:sz="0" w:space="0" w:color="auto"/>
        <w:left w:val="none" w:sz="0" w:space="0" w:color="auto"/>
        <w:bottom w:val="none" w:sz="0" w:space="0" w:color="auto"/>
        <w:right w:val="none" w:sz="0" w:space="0" w:color="auto"/>
      </w:divBdr>
    </w:div>
    <w:div w:id="271713091">
      <w:bodyDiv w:val="1"/>
      <w:marLeft w:val="0"/>
      <w:marRight w:val="0"/>
      <w:marTop w:val="0"/>
      <w:marBottom w:val="0"/>
      <w:divBdr>
        <w:top w:val="none" w:sz="0" w:space="0" w:color="auto"/>
        <w:left w:val="none" w:sz="0" w:space="0" w:color="auto"/>
        <w:bottom w:val="none" w:sz="0" w:space="0" w:color="auto"/>
        <w:right w:val="none" w:sz="0" w:space="0" w:color="auto"/>
      </w:divBdr>
    </w:div>
    <w:div w:id="271742076">
      <w:bodyDiv w:val="1"/>
      <w:marLeft w:val="0"/>
      <w:marRight w:val="0"/>
      <w:marTop w:val="0"/>
      <w:marBottom w:val="0"/>
      <w:divBdr>
        <w:top w:val="none" w:sz="0" w:space="0" w:color="auto"/>
        <w:left w:val="none" w:sz="0" w:space="0" w:color="auto"/>
        <w:bottom w:val="none" w:sz="0" w:space="0" w:color="auto"/>
        <w:right w:val="none" w:sz="0" w:space="0" w:color="auto"/>
      </w:divBdr>
    </w:div>
    <w:div w:id="271867671">
      <w:bodyDiv w:val="1"/>
      <w:marLeft w:val="0"/>
      <w:marRight w:val="0"/>
      <w:marTop w:val="0"/>
      <w:marBottom w:val="0"/>
      <w:divBdr>
        <w:top w:val="none" w:sz="0" w:space="0" w:color="auto"/>
        <w:left w:val="none" w:sz="0" w:space="0" w:color="auto"/>
        <w:bottom w:val="none" w:sz="0" w:space="0" w:color="auto"/>
        <w:right w:val="none" w:sz="0" w:space="0" w:color="auto"/>
      </w:divBdr>
    </w:div>
    <w:div w:id="271937041">
      <w:bodyDiv w:val="1"/>
      <w:marLeft w:val="0"/>
      <w:marRight w:val="0"/>
      <w:marTop w:val="0"/>
      <w:marBottom w:val="0"/>
      <w:divBdr>
        <w:top w:val="none" w:sz="0" w:space="0" w:color="auto"/>
        <w:left w:val="none" w:sz="0" w:space="0" w:color="auto"/>
        <w:bottom w:val="none" w:sz="0" w:space="0" w:color="auto"/>
        <w:right w:val="none" w:sz="0" w:space="0" w:color="auto"/>
      </w:divBdr>
    </w:div>
    <w:div w:id="271940931">
      <w:bodyDiv w:val="1"/>
      <w:marLeft w:val="0"/>
      <w:marRight w:val="0"/>
      <w:marTop w:val="0"/>
      <w:marBottom w:val="0"/>
      <w:divBdr>
        <w:top w:val="none" w:sz="0" w:space="0" w:color="auto"/>
        <w:left w:val="none" w:sz="0" w:space="0" w:color="auto"/>
        <w:bottom w:val="none" w:sz="0" w:space="0" w:color="auto"/>
        <w:right w:val="none" w:sz="0" w:space="0" w:color="auto"/>
      </w:divBdr>
    </w:div>
    <w:div w:id="272058779">
      <w:bodyDiv w:val="1"/>
      <w:marLeft w:val="0"/>
      <w:marRight w:val="0"/>
      <w:marTop w:val="0"/>
      <w:marBottom w:val="0"/>
      <w:divBdr>
        <w:top w:val="none" w:sz="0" w:space="0" w:color="auto"/>
        <w:left w:val="none" w:sz="0" w:space="0" w:color="auto"/>
        <w:bottom w:val="none" w:sz="0" w:space="0" w:color="auto"/>
        <w:right w:val="none" w:sz="0" w:space="0" w:color="auto"/>
      </w:divBdr>
    </w:div>
    <w:div w:id="272135758">
      <w:bodyDiv w:val="1"/>
      <w:marLeft w:val="0"/>
      <w:marRight w:val="0"/>
      <w:marTop w:val="0"/>
      <w:marBottom w:val="0"/>
      <w:divBdr>
        <w:top w:val="none" w:sz="0" w:space="0" w:color="auto"/>
        <w:left w:val="none" w:sz="0" w:space="0" w:color="auto"/>
        <w:bottom w:val="none" w:sz="0" w:space="0" w:color="auto"/>
        <w:right w:val="none" w:sz="0" w:space="0" w:color="auto"/>
      </w:divBdr>
    </w:div>
    <w:div w:id="272172019">
      <w:bodyDiv w:val="1"/>
      <w:marLeft w:val="0"/>
      <w:marRight w:val="0"/>
      <w:marTop w:val="0"/>
      <w:marBottom w:val="0"/>
      <w:divBdr>
        <w:top w:val="none" w:sz="0" w:space="0" w:color="auto"/>
        <w:left w:val="none" w:sz="0" w:space="0" w:color="auto"/>
        <w:bottom w:val="none" w:sz="0" w:space="0" w:color="auto"/>
        <w:right w:val="none" w:sz="0" w:space="0" w:color="auto"/>
      </w:divBdr>
    </w:div>
    <w:div w:id="272177913">
      <w:bodyDiv w:val="1"/>
      <w:marLeft w:val="0"/>
      <w:marRight w:val="0"/>
      <w:marTop w:val="0"/>
      <w:marBottom w:val="0"/>
      <w:divBdr>
        <w:top w:val="none" w:sz="0" w:space="0" w:color="auto"/>
        <w:left w:val="none" w:sz="0" w:space="0" w:color="auto"/>
        <w:bottom w:val="none" w:sz="0" w:space="0" w:color="auto"/>
        <w:right w:val="none" w:sz="0" w:space="0" w:color="auto"/>
      </w:divBdr>
    </w:div>
    <w:div w:id="272322780">
      <w:bodyDiv w:val="1"/>
      <w:marLeft w:val="0"/>
      <w:marRight w:val="0"/>
      <w:marTop w:val="0"/>
      <w:marBottom w:val="0"/>
      <w:divBdr>
        <w:top w:val="none" w:sz="0" w:space="0" w:color="auto"/>
        <w:left w:val="none" w:sz="0" w:space="0" w:color="auto"/>
        <w:bottom w:val="none" w:sz="0" w:space="0" w:color="auto"/>
        <w:right w:val="none" w:sz="0" w:space="0" w:color="auto"/>
      </w:divBdr>
    </w:div>
    <w:div w:id="272443808">
      <w:bodyDiv w:val="1"/>
      <w:marLeft w:val="0"/>
      <w:marRight w:val="0"/>
      <w:marTop w:val="0"/>
      <w:marBottom w:val="0"/>
      <w:divBdr>
        <w:top w:val="none" w:sz="0" w:space="0" w:color="auto"/>
        <w:left w:val="none" w:sz="0" w:space="0" w:color="auto"/>
        <w:bottom w:val="none" w:sz="0" w:space="0" w:color="auto"/>
        <w:right w:val="none" w:sz="0" w:space="0" w:color="auto"/>
      </w:divBdr>
    </w:div>
    <w:div w:id="272595474">
      <w:bodyDiv w:val="1"/>
      <w:marLeft w:val="0"/>
      <w:marRight w:val="0"/>
      <w:marTop w:val="0"/>
      <w:marBottom w:val="0"/>
      <w:divBdr>
        <w:top w:val="none" w:sz="0" w:space="0" w:color="auto"/>
        <w:left w:val="none" w:sz="0" w:space="0" w:color="auto"/>
        <w:bottom w:val="none" w:sz="0" w:space="0" w:color="auto"/>
        <w:right w:val="none" w:sz="0" w:space="0" w:color="auto"/>
      </w:divBdr>
    </w:div>
    <w:div w:id="272633199">
      <w:bodyDiv w:val="1"/>
      <w:marLeft w:val="0"/>
      <w:marRight w:val="0"/>
      <w:marTop w:val="0"/>
      <w:marBottom w:val="0"/>
      <w:divBdr>
        <w:top w:val="none" w:sz="0" w:space="0" w:color="auto"/>
        <w:left w:val="none" w:sz="0" w:space="0" w:color="auto"/>
        <w:bottom w:val="none" w:sz="0" w:space="0" w:color="auto"/>
        <w:right w:val="none" w:sz="0" w:space="0" w:color="auto"/>
      </w:divBdr>
    </w:div>
    <w:div w:id="272707204">
      <w:bodyDiv w:val="1"/>
      <w:marLeft w:val="0"/>
      <w:marRight w:val="0"/>
      <w:marTop w:val="0"/>
      <w:marBottom w:val="0"/>
      <w:divBdr>
        <w:top w:val="none" w:sz="0" w:space="0" w:color="auto"/>
        <w:left w:val="none" w:sz="0" w:space="0" w:color="auto"/>
        <w:bottom w:val="none" w:sz="0" w:space="0" w:color="auto"/>
        <w:right w:val="none" w:sz="0" w:space="0" w:color="auto"/>
      </w:divBdr>
    </w:div>
    <w:div w:id="272978828">
      <w:bodyDiv w:val="1"/>
      <w:marLeft w:val="0"/>
      <w:marRight w:val="0"/>
      <w:marTop w:val="0"/>
      <w:marBottom w:val="0"/>
      <w:divBdr>
        <w:top w:val="none" w:sz="0" w:space="0" w:color="auto"/>
        <w:left w:val="none" w:sz="0" w:space="0" w:color="auto"/>
        <w:bottom w:val="none" w:sz="0" w:space="0" w:color="auto"/>
        <w:right w:val="none" w:sz="0" w:space="0" w:color="auto"/>
      </w:divBdr>
    </w:div>
    <w:div w:id="273169340">
      <w:bodyDiv w:val="1"/>
      <w:marLeft w:val="0"/>
      <w:marRight w:val="0"/>
      <w:marTop w:val="0"/>
      <w:marBottom w:val="0"/>
      <w:divBdr>
        <w:top w:val="none" w:sz="0" w:space="0" w:color="auto"/>
        <w:left w:val="none" w:sz="0" w:space="0" w:color="auto"/>
        <w:bottom w:val="none" w:sz="0" w:space="0" w:color="auto"/>
        <w:right w:val="none" w:sz="0" w:space="0" w:color="auto"/>
      </w:divBdr>
    </w:div>
    <w:div w:id="273175631">
      <w:bodyDiv w:val="1"/>
      <w:marLeft w:val="0"/>
      <w:marRight w:val="0"/>
      <w:marTop w:val="0"/>
      <w:marBottom w:val="0"/>
      <w:divBdr>
        <w:top w:val="none" w:sz="0" w:space="0" w:color="auto"/>
        <w:left w:val="none" w:sz="0" w:space="0" w:color="auto"/>
        <w:bottom w:val="none" w:sz="0" w:space="0" w:color="auto"/>
        <w:right w:val="none" w:sz="0" w:space="0" w:color="auto"/>
      </w:divBdr>
    </w:div>
    <w:div w:id="273366230">
      <w:bodyDiv w:val="1"/>
      <w:marLeft w:val="0"/>
      <w:marRight w:val="0"/>
      <w:marTop w:val="0"/>
      <w:marBottom w:val="0"/>
      <w:divBdr>
        <w:top w:val="none" w:sz="0" w:space="0" w:color="auto"/>
        <w:left w:val="none" w:sz="0" w:space="0" w:color="auto"/>
        <w:bottom w:val="none" w:sz="0" w:space="0" w:color="auto"/>
        <w:right w:val="none" w:sz="0" w:space="0" w:color="auto"/>
      </w:divBdr>
    </w:div>
    <w:div w:id="273443263">
      <w:bodyDiv w:val="1"/>
      <w:marLeft w:val="0"/>
      <w:marRight w:val="0"/>
      <w:marTop w:val="0"/>
      <w:marBottom w:val="0"/>
      <w:divBdr>
        <w:top w:val="none" w:sz="0" w:space="0" w:color="auto"/>
        <w:left w:val="none" w:sz="0" w:space="0" w:color="auto"/>
        <w:bottom w:val="none" w:sz="0" w:space="0" w:color="auto"/>
        <w:right w:val="none" w:sz="0" w:space="0" w:color="auto"/>
      </w:divBdr>
    </w:div>
    <w:div w:id="273486097">
      <w:bodyDiv w:val="1"/>
      <w:marLeft w:val="0"/>
      <w:marRight w:val="0"/>
      <w:marTop w:val="0"/>
      <w:marBottom w:val="0"/>
      <w:divBdr>
        <w:top w:val="none" w:sz="0" w:space="0" w:color="auto"/>
        <w:left w:val="none" w:sz="0" w:space="0" w:color="auto"/>
        <w:bottom w:val="none" w:sz="0" w:space="0" w:color="auto"/>
        <w:right w:val="none" w:sz="0" w:space="0" w:color="auto"/>
      </w:divBdr>
    </w:div>
    <w:div w:id="273682724">
      <w:bodyDiv w:val="1"/>
      <w:marLeft w:val="0"/>
      <w:marRight w:val="0"/>
      <w:marTop w:val="0"/>
      <w:marBottom w:val="0"/>
      <w:divBdr>
        <w:top w:val="none" w:sz="0" w:space="0" w:color="auto"/>
        <w:left w:val="none" w:sz="0" w:space="0" w:color="auto"/>
        <w:bottom w:val="none" w:sz="0" w:space="0" w:color="auto"/>
        <w:right w:val="none" w:sz="0" w:space="0" w:color="auto"/>
      </w:divBdr>
    </w:div>
    <w:div w:id="273825801">
      <w:bodyDiv w:val="1"/>
      <w:marLeft w:val="0"/>
      <w:marRight w:val="0"/>
      <w:marTop w:val="0"/>
      <w:marBottom w:val="0"/>
      <w:divBdr>
        <w:top w:val="none" w:sz="0" w:space="0" w:color="auto"/>
        <w:left w:val="none" w:sz="0" w:space="0" w:color="auto"/>
        <w:bottom w:val="none" w:sz="0" w:space="0" w:color="auto"/>
        <w:right w:val="none" w:sz="0" w:space="0" w:color="auto"/>
      </w:divBdr>
    </w:div>
    <w:div w:id="273902933">
      <w:bodyDiv w:val="1"/>
      <w:marLeft w:val="0"/>
      <w:marRight w:val="0"/>
      <w:marTop w:val="0"/>
      <w:marBottom w:val="0"/>
      <w:divBdr>
        <w:top w:val="none" w:sz="0" w:space="0" w:color="auto"/>
        <w:left w:val="none" w:sz="0" w:space="0" w:color="auto"/>
        <w:bottom w:val="none" w:sz="0" w:space="0" w:color="auto"/>
        <w:right w:val="none" w:sz="0" w:space="0" w:color="auto"/>
      </w:divBdr>
    </w:div>
    <w:div w:id="274093053">
      <w:bodyDiv w:val="1"/>
      <w:marLeft w:val="0"/>
      <w:marRight w:val="0"/>
      <w:marTop w:val="0"/>
      <w:marBottom w:val="0"/>
      <w:divBdr>
        <w:top w:val="none" w:sz="0" w:space="0" w:color="auto"/>
        <w:left w:val="none" w:sz="0" w:space="0" w:color="auto"/>
        <w:bottom w:val="none" w:sz="0" w:space="0" w:color="auto"/>
        <w:right w:val="none" w:sz="0" w:space="0" w:color="auto"/>
      </w:divBdr>
    </w:div>
    <w:div w:id="274169529">
      <w:bodyDiv w:val="1"/>
      <w:marLeft w:val="0"/>
      <w:marRight w:val="0"/>
      <w:marTop w:val="0"/>
      <w:marBottom w:val="0"/>
      <w:divBdr>
        <w:top w:val="none" w:sz="0" w:space="0" w:color="auto"/>
        <w:left w:val="none" w:sz="0" w:space="0" w:color="auto"/>
        <w:bottom w:val="none" w:sz="0" w:space="0" w:color="auto"/>
        <w:right w:val="none" w:sz="0" w:space="0" w:color="auto"/>
      </w:divBdr>
    </w:div>
    <w:div w:id="274213900">
      <w:bodyDiv w:val="1"/>
      <w:marLeft w:val="0"/>
      <w:marRight w:val="0"/>
      <w:marTop w:val="0"/>
      <w:marBottom w:val="0"/>
      <w:divBdr>
        <w:top w:val="none" w:sz="0" w:space="0" w:color="auto"/>
        <w:left w:val="none" w:sz="0" w:space="0" w:color="auto"/>
        <w:bottom w:val="none" w:sz="0" w:space="0" w:color="auto"/>
        <w:right w:val="none" w:sz="0" w:space="0" w:color="auto"/>
      </w:divBdr>
    </w:div>
    <w:div w:id="274290023">
      <w:bodyDiv w:val="1"/>
      <w:marLeft w:val="0"/>
      <w:marRight w:val="0"/>
      <w:marTop w:val="0"/>
      <w:marBottom w:val="0"/>
      <w:divBdr>
        <w:top w:val="none" w:sz="0" w:space="0" w:color="auto"/>
        <w:left w:val="none" w:sz="0" w:space="0" w:color="auto"/>
        <w:bottom w:val="none" w:sz="0" w:space="0" w:color="auto"/>
        <w:right w:val="none" w:sz="0" w:space="0" w:color="auto"/>
      </w:divBdr>
    </w:div>
    <w:div w:id="274334206">
      <w:bodyDiv w:val="1"/>
      <w:marLeft w:val="0"/>
      <w:marRight w:val="0"/>
      <w:marTop w:val="0"/>
      <w:marBottom w:val="0"/>
      <w:divBdr>
        <w:top w:val="none" w:sz="0" w:space="0" w:color="auto"/>
        <w:left w:val="none" w:sz="0" w:space="0" w:color="auto"/>
        <w:bottom w:val="none" w:sz="0" w:space="0" w:color="auto"/>
        <w:right w:val="none" w:sz="0" w:space="0" w:color="auto"/>
      </w:divBdr>
    </w:div>
    <w:div w:id="274488543">
      <w:bodyDiv w:val="1"/>
      <w:marLeft w:val="0"/>
      <w:marRight w:val="0"/>
      <w:marTop w:val="0"/>
      <w:marBottom w:val="0"/>
      <w:divBdr>
        <w:top w:val="none" w:sz="0" w:space="0" w:color="auto"/>
        <w:left w:val="none" w:sz="0" w:space="0" w:color="auto"/>
        <w:bottom w:val="none" w:sz="0" w:space="0" w:color="auto"/>
        <w:right w:val="none" w:sz="0" w:space="0" w:color="auto"/>
      </w:divBdr>
    </w:div>
    <w:div w:id="274600978">
      <w:bodyDiv w:val="1"/>
      <w:marLeft w:val="0"/>
      <w:marRight w:val="0"/>
      <w:marTop w:val="0"/>
      <w:marBottom w:val="0"/>
      <w:divBdr>
        <w:top w:val="none" w:sz="0" w:space="0" w:color="auto"/>
        <w:left w:val="none" w:sz="0" w:space="0" w:color="auto"/>
        <w:bottom w:val="none" w:sz="0" w:space="0" w:color="auto"/>
        <w:right w:val="none" w:sz="0" w:space="0" w:color="auto"/>
      </w:divBdr>
    </w:div>
    <w:div w:id="274601626">
      <w:bodyDiv w:val="1"/>
      <w:marLeft w:val="0"/>
      <w:marRight w:val="0"/>
      <w:marTop w:val="0"/>
      <w:marBottom w:val="0"/>
      <w:divBdr>
        <w:top w:val="none" w:sz="0" w:space="0" w:color="auto"/>
        <w:left w:val="none" w:sz="0" w:space="0" w:color="auto"/>
        <w:bottom w:val="none" w:sz="0" w:space="0" w:color="auto"/>
        <w:right w:val="none" w:sz="0" w:space="0" w:color="auto"/>
      </w:divBdr>
    </w:div>
    <w:div w:id="274603514">
      <w:bodyDiv w:val="1"/>
      <w:marLeft w:val="0"/>
      <w:marRight w:val="0"/>
      <w:marTop w:val="0"/>
      <w:marBottom w:val="0"/>
      <w:divBdr>
        <w:top w:val="none" w:sz="0" w:space="0" w:color="auto"/>
        <w:left w:val="none" w:sz="0" w:space="0" w:color="auto"/>
        <w:bottom w:val="none" w:sz="0" w:space="0" w:color="auto"/>
        <w:right w:val="none" w:sz="0" w:space="0" w:color="auto"/>
      </w:divBdr>
    </w:div>
    <w:div w:id="274679048">
      <w:bodyDiv w:val="1"/>
      <w:marLeft w:val="0"/>
      <w:marRight w:val="0"/>
      <w:marTop w:val="0"/>
      <w:marBottom w:val="0"/>
      <w:divBdr>
        <w:top w:val="none" w:sz="0" w:space="0" w:color="auto"/>
        <w:left w:val="none" w:sz="0" w:space="0" w:color="auto"/>
        <w:bottom w:val="none" w:sz="0" w:space="0" w:color="auto"/>
        <w:right w:val="none" w:sz="0" w:space="0" w:color="auto"/>
      </w:divBdr>
    </w:div>
    <w:div w:id="274867904">
      <w:bodyDiv w:val="1"/>
      <w:marLeft w:val="0"/>
      <w:marRight w:val="0"/>
      <w:marTop w:val="0"/>
      <w:marBottom w:val="0"/>
      <w:divBdr>
        <w:top w:val="none" w:sz="0" w:space="0" w:color="auto"/>
        <w:left w:val="none" w:sz="0" w:space="0" w:color="auto"/>
        <w:bottom w:val="none" w:sz="0" w:space="0" w:color="auto"/>
        <w:right w:val="none" w:sz="0" w:space="0" w:color="auto"/>
      </w:divBdr>
    </w:div>
    <w:div w:id="274948342">
      <w:bodyDiv w:val="1"/>
      <w:marLeft w:val="0"/>
      <w:marRight w:val="0"/>
      <w:marTop w:val="0"/>
      <w:marBottom w:val="0"/>
      <w:divBdr>
        <w:top w:val="none" w:sz="0" w:space="0" w:color="auto"/>
        <w:left w:val="none" w:sz="0" w:space="0" w:color="auto"/>
        <w:bottom w:val="none" w:sz="0" w:space="0" w:color="auto"/>
        <w:right w:val="none" w:sz="0" w:space="0" w:color="auto"/>
      </w:divBdr>
    </w:div>
    <w:div w:id="274990815">
      <w:bodyDiv w:val="1"/>
      <w:marLeft w:val="0"/>
      <w:marRight w:val="0"/>
      <w:marTop w:val="0"/>
      <w:marBottom w:val="0"/>
      <w:divBdr>
        <w:top w:val="none" w:sz="0" w:space="0" w:color="auto"/>
        <w:left w:val="none" w:sz="0" w:space="0" w:color="auto"/>
        <w:bottom w:val="none" w:sz="0" w:space="0" w:color="auto"/>
        <w:right w:val="none" w:sz="0" w:space="0" w:color="auto"/>
      </w:divBdr>
    </w:div>
    <w:div w:id="275059640">
      <w:bodyDiv w:val="1"/>
      <w:marLeft w:val="0"/>
      <w:marRight w:val="0"/>
      <w:marTop w:val="0"/>
      <w:marBottom w:val="0"/>
      <w:divBdr>
        <w:top w:val="none" w:sz="0" w:space="0" w:color="auto"/>
        <w:left w:val="none" w:sz="0" w:space="0" w:color="auto"/>
        <w:bottom w:val="none" w:sz="0" w:space="0" w:color="auto"/>
        <w:right w:val="none" w:sz="0" w:space="0" w:color="auto"/>
      </w:divBdr>
    </w:div>
    <w:div w:id="275210871">
      <w:bodyDiv w:val="1"/>
      <w:marLeft w:val="0"/>
      <w:marRight w:val="0"/>
      <w:marTop w:val="0"/>
      <w:marBottom w:val="0"/>
      <w:divBdr>
        <w:top w:val="none" w:sz="0" w:space="0" w:color="auto"/>
        <w:left w:val="none" w:sz="0" w:space="0" w:color="auto"/>
        <w:bottom w:val="none" w:sz="0" w:space="0" w:color="auto"/>
        <w:right w:val="none" w:sz="0" w:space="0" w:color="auto"/>
      </w:divBdr>
    </w:div>
    <w:div w:id="275211682">
      <w:bodyDiv w:val="1"/>
      <w:marLeft w:val="0"/>
      <w:marRight w:val="0"/>
      <w:marTop w:val="0"/>
      <w:marBottom w:val="0"/>
      <w:divBdr>
        <w:top w:val="none" w:sz="0" w:space="0" w:color="auto"/>
        <w:left w:val="none" w:sz="0" w:space="0" w:color="auto"/>
        <w:bottom w:val="none" w:sz="0" w:space="0" w:color="auto"/>
        <w:right w:val="none" w:sz="0" w:space="0" w:color="auto"/>
      </w:divBdr>
    </w:div>
    <w:div w:id="275214709">
      <w:bodyDiv w:val="1"/>
      <w:marLeft w:val="0"/>
      <w:marRight w:val="0"/>
      <w:marTop w:val="0"/>
      <w:marBottom w:val="0"/>
      <w:divBdr>
        <w:top w:val="none" w:sz="0" w:space="0" w:color="auto"/>
        <w:left w:val="none" w:sz="0" w:space="0" w:color="auto"/>
        <w:bottom w:val="none" w:sz="0" w:space="0" w:color="auto"/>
        <w:right w:val="none" w:sz="0" w:space="0" w:color="auto"/>
      </w:divBdr>
    </w:div>
    <w:div w:id="275403559">
      <w:bodyDiv w:val="1"/>
      <w:marLeft w:val="0"/>
      <w:marRight w:val="0"/>
      <w:marTop w:val="0"/>
      <w:marBottom w:val="0"/>
      <w:divBdr>
        <w:top w:val="none" w:sz="0" w:space="0" w:color="auto"/>
        <w:left w:val="none" w:sz="0" w:space="0" w:color="auto"/>
        <w:bottom w:val="none" w:sz="0" w:space="0" w:color="auto"/>
        <w:right w:val="none" w:sz="0" w:space="0" w:color="auto"/>
      </w:divBdr>
    </w:div>
    <w:div w:id="275410778">
      <w:bodyDiv w:val="1"/>
      <w:marLeft w:val="0"/>
      <w:marRight w:val="0"/>
      <w:marTop w:val="0"/>
      <w:marBottom w:val="0"/>
      <w:divBdr>
        <w:top w:val="none" w:sz="0" w:space="0" w:color="auto"/>
        <w:left w:val="none" w:sz="0" w:space="0" w:color="auto"/>
        <w:bottom w:val="none" w:sz="0" w:space="0" w:color="auto"/>
        <w:right w:val="none" w:sz="0" w:space="0" w:color="auto"/>
      </w:divBdr>
    </w:div>
    <w:div w:id="275522661">
      <w:bodyDiv w:val="1"/>
      <w:marLeft w:val="0"/>
      <w:marRight w:val="0"/>
      <w:marTop w:val="0"/>
      <w:marBottom w:val="0"/>
      <w:divBdr>
        <w:top w:val="none" w:sz="0" w:space="0" w:color="auto"/>
        <w:left w:val="none" w:sz="0" w:space="0" w:color="auto"/>
        <w:bottom w:val="none" w:sz="0" w:space="0" w:color="auto"/>
        <w:right w:val="none" w:sz="0" w:space="0" w:color="auto"/>
      </w:divBdr>
    </w:div>
    <w:div w:id="275602683">
      <w:bodyDiv w:val="1"/>
      <w:marLeft w:val="0"/>
      <w:marRight w:val="0"/>
      <w:marTop w:val="0"/>
      <w:marBottom w:val="0"/>
      <w:divBdr>
        <w:top w:val="none" w:sz="0" w:space="0" w:color="auto"/>
        <w:left w:val="none" w:sz="0" w:space="0" w:color="auto"/>
        <w:bottom w:val="none" w:sz="0" w:space="0" w:color="auto"/>
        <w:right w:val="none" w:sz="0" w:space="0" w:color="auto"/>
      </w:divBdr>
    </w:div>
    <w:div w:id="275647226">
      <w:bodyDiv w:val="1"/>
      <w:marLeft w:val="0"/>
      <w:marRight w:val="0"/>
      <w:marTop w:val="0"/>
      <w:marBottom w:val="0"/>
      <w:divBdr>
        <w:top w:val="none" w:sz="0" w:space="0" w:color="auto"/>
        <w:left w:val="none" w:sz="0" w:space="0" w:color="auto"/>
        <w:bottom w:val="none" w:sz="0" w:space="0" w:color="auto"/>
        <w:right w:val="none" w:sz="0" w:space="0" w:color="auto"/>
      </w:divBdr>
    </w:div>
    <w:div w:id="275672946">
      <w:bodyDiv w:val="1"/>
      <w:marLeft w:val="0"/>
      <w:marRight w:val="0"/>
      <w:marTop w:val="0"/>
      <w:marBottom w:val="0"/>
      <w:divBdr>
        <w:top w:val="none" w:sz="0" w:space="0" w:color="auto"/>
        <w:left w:val="none" w:sz="0" w:space="0" w:color="auto"/>
        <w:bottom w:val="none" w:sz="0" w:space="0" w:color="auto"/>
        <w:right w:val="none" w:sz="0" w:space="0" w:color="auto"/>
      </w:divBdr>
    </w:div>
    <w:div w:id="275676675">
      <w:bodyDiv w:val="1"/>
      <w:marLeft w:val="0"/>
      <w:marRight w:val="0"/>
      <w:marTop w:val="0"/>
      <w:marBottom w:val="0"/>
      <w:divBdr>
        <w:top w:val="none" w:sz="0" w:space="0" w:color="auto"/>
        <w:left w:val="none" w:sz="0" w:space="0" w:color="auto"/>
        <w:bottom w:val="none" w:sz="0" w:space="0" w:color="auto"/>
        <w:right w:val="none" w:sz="0" w:space="0" w:color="auto"/>
      </w:divBdr>
    </w:div>
    <w:div w:id="275790346">
      <w:bodyDiv w:val="1"/>
      <w:marLeft w:val="0"/>
      <w:marRight w:val="0"/>
      <w:marTop w:val="0"/>
      <w:marBottom w:val="0"/>
      <w:divBdr>
        <w:top w:val="none" w:sz="0" w:space="0" w:color="auto"/>
        <w:left w:val="none" w:sz="0" w:space="0" w:color="auto"/>
        <w:bottom w:val="none" w:sz="0" w:space="0" w:color="auto"/>
        <w:right w:val="none" w:sz="0" w:space="0" w:color="auto"/>
      </w:divBdr>
    </w:div>
    <w:div w:id="275794008">
      <w:bodyDiv w:val="1"/>
      <w:marLeft w:val="0"/>
      <w:marRight w:val="0"/>
      <w:marTop w:val="0"/>
      <w:marBottom w:val="0"/>
      <w:divBdr>
        <w:top w:val="none" w:sz="0" w:space="0" w:color="auto"/>
        <w:left w:val="none" w:sz="0" w:space="0" w:color="auto"/>
        <w:bottom w:val="none" w:sz="0" w:space="0" w:color="auto"/>
        <w:right w:val="none" w:sz="0" w:space="0" w:color="auto"/>
      </w:divBdr>
    </w:div>
    <w:div w:id="275797064">
      <w:bodyDiv w:val="1"/>
      <w:marLeft w:val="0"/>
      <w:marRight w:val="0"/>
      <w:marTop w:val="0"/>
      <w:marBottom w:val="0"/>
      <w:divBdr>
        <w:top w:val="none" w:sz="0" w:space="0" w:color="auto"/>
        <w:left w:val="none" w:sz="0" w:space="0" w:color="auto"/>
        <w:bottom w:val="none" w:sz="0" w:space="0" w:color="auto"/>
        <w:right w:val="none" w:sz="0" w:space="0" w:color="auto"/>
      </w:divBdr>
    </w:div>
    <w:div w:id="275914616">
      <w:bodyDiv w:val="1"/>
      <w:marLeft w:val="0"/>
      <w:marRight w:val="0"/>
      <w:marTop w:val="0"/>
      <w:marBottom w:val="0"/>
      <w:divBdr>
        <w:top w:val="none" w:sz="0" w:space="0" w:color="auto"/>
        <w:left w:val="none" w:sz="0" w:space="0" w:color="auto"/>
        <w:bottom w:val="none" w:sz="0" w:space="0" w:color="auto"/>
        <w:right w:val="none" w:sz="0" w:space="0" w:color="auto"/>
      </w:divBdr>
    </w:div>
    <w:div w:id="275989105">
      <w:bodyDiv w:val="1"/>
      <w:marLeft w:val="0"/>
      <w:marRight w:val="0"/>
      <w:marTop w:val="0"/>
      <w:marBottom w:val="0"/>
      <w:divBdr>
        <w:top w:val="none" w:sz="0" w:space="0" w:color="auto"/>
        <w:left w:val="none" w:sz="0" w:space="0" w:color="auto"/>
        <w:bottom w:val="none" w:sz="0" w:space="0" w:color="auto"/>
        <w:right w:val="none" w:sz="0" w:space="0" w:color="auto"/>
      </w:divBdr>
    </w:div>
    <w:div w:id="276062485">
      <w:bodyDiv w:val="1"/>
      <w:marLeft w:val="0"/>
      <w:marRight w:val="0"/>
      <w:marTop w:val="0"/>
      <w:marBottom w:val="0"/>
      <w:divBdr>
        <w:top w:val="none" w:sz="0" w:space="0" w:color="auto"/>
        <w:left w:val="none" w:sz="0" w:space="0" w:color="auto"/>
        <w:bottom w:val="none" w:sz="0" w:space="0" w:color="auto"/>
        <w:right w:val="none" w:sz="0" w:space="0" w:color="auto"/>
      </w:divBdr>
    </w:div>
    <w:div w:id="276065972">
      <w:bodyDiv w:val="1"/>
      <w:marLeft w:val="0"/>
      <w:marRight w:val="0"/>
      <w:marTop w:val="0"/>
      <w:marBottom w:val="0"/>
      <w:divBdr>
        <w:top w:val="none" w:sz="0" w:space="0" w:color="auto"/>
        <w:left w:val="none" w:sz="0" w:space="0" w:color="auto"/>
        <w:bottom w:val="none" w:sz="0" w:space="0" w:color="auto"/>
        <w:right w:val="none" w:sz="0" w:space="0" w:color="auto"/>
      </w:divBdr>
    </w:div>
    <w:div w:id="276180983">
      <w:bodyDiv w:val="1"/>
      <w:marLeft w:val="0"/>
      <w:marRight w:val="0"/>
      <w:marTop w:val="0"/>
      <w:marBottom w:val="0"/>
      <w:divBdr>
        <w:top w:val="none" w:sz="0" w:space="0" w:color="auto"/>
        <w:left w:val="none" w:sz="0" w:space="0" w:color="auto"/>
        <w:bottom w:val="none" w:sz="0" w:space="0" w:color="auto"/>
        <w:right w:val="none" w:sz="0" w:space="0" w:color="auto"/>
      </w:divBdr>
    </w:div>
    <w:div w:id="276186371">
      <w:bodyDiv w:val="1"/>
      <w:marLeft w:val="0"/>
      <w:marRight w:val="0"/>
      <w:marTop w:val="0"/>
      <w:marBottom w:val="0"/>
      <w:divBdr>
        <w:top w:val="none" w:sz="0" w:space="0" w:color="auto"/>
        <w:left w:val="none" w:sz="0" w:space="0" w:color="auto"/>
        <w:bottom w:val="none" w:sz="0" w:space="0" w:color="auto"/>
        <w:right w:val="none" w:sz="0" w:space="0" w:color="auto"/>
      </w:divBdr>
    </w:div>
    <w:div w:id="276256661">
      <w:bodyDiv w:val="1"/>
      <w:marLeft w:val="0"/>
      <w:marRight w:val="0"/>
      <w:marTop w:val="0"/>
      <w:marBottom w:val="0"/>
      <w:divBdr>
        <w:top w:val="none" w:sz="0" w:space="0" w:color="auto"/>
        <w:left w:val="none" w:sz="0" w:space="0" w:color="auto"/>
        <w:bottom w:val="none" w:sz="0" w:space="0" w:color="auto"/>
        <w:right w:val="none" w:sz="0" w:space="0" w:color="auto"/>
      </w:divBdr>
    </w:div>
    <w:div w:id="276448226">
      <w:bodyDiv w:val="1"/>
      <w:marLeft w:val="0"/>
      <w:marRight w:val="0"/>
      <w:marTop w:val="0"/>
      <w:marBottom w:val="0"/>
      <w:divBdr>
        <w:top w:val="none" w:sz="0" w:space="0" w:color="auto"/>
        <w:left w:val="none" w:sz="0" w:space="0" w:color="auto"/>
        <w:bottom w:val="none" w:sz="0" w:space="0" w:color="auto"/>
        <w:right w:val="none" w:sz="0" w:space="0" w:color="auto"/>
      </w:divBdr>
    </w:div>
    <w:div w:id="276523426">
      <w:bodyDiv w:val="1"/>
      <w:marLeft w:val="0"/>
      <w:marRight w:val="0"/>
      <w:marTop w:val="0"/>
      <w:marBottom w:val="0"/>
      <w:divBdr>
        <w:top w:val="none" w:sz="0" w:space="0" w:color="auto"/>
        <w:left w:val="none" w:sz="0" w:space="0" w:color="auto"/>
        <w:bottom w:val="none" w:sz="0" w:space="0" w:color="auto"/>
        <w:right w:val="none" w:sz="0" w:space="0" w:color="auto"/>
      </w:divBdr>
    </w:div>
    <w:div w:id="276570858">
      <w:bodyDiv w:val="1"/>
      <w:marLeft w:val="0"/>
      <w:marRight w:val="0"/>
      <w:marTop w:val="0"/>
      <w:marBottom w:val="0"/>
      <w:divBdr>
        <w:top w:val="none" w:sz="0" w:space="0" w:color="auto"/>
        <w:left w:val="none" w:sz="0" w:space="0" w:color="auto"/>
        <w:bottom w:val="none" w:sz="0" w:space="0" w:color="auto"/>
        <w:right w:val="none" w:sz="0" w:space="0" w:color="auto"/>
      </w:divBdr>
    </w:div>
    <w:div w:id="276572778">
      <w:bodyDiv w:val="1"/>
      <w:marLeft w:val="0"/>
      <w:marRight w:val="0"/>
      <w:marTop w:val="0"/>
      <w:marBottom w:val="0"/>
      <w:divBdr>
        <w:top w:val="none" w:sz="0" w:space="0" w:color="auto"/>
        <w:left w:val="none" w:sz="0" w:space="0" w:color="auto"/>
        <w:bottom w:val="none" w:sz="0" w:space="0" w:color="auto"/>
        <w:right w:val="none" w:sz="0" w:space="0" w:color="auto"/>
      </w:divBdr>
    </w:div>
    <w:div w:id="276714137">
      <w:bodyDiv w:val="1"/>
      <w:marLeft w:val="0"/>
      <w:marRight w:val="0"/>
      <w:marTop w:val="0"/>
      <w:marBottom w:val="0"/>
      <w:divBdr>
        <w:top w:val="none" w:sz="0" w:space="0" w:color="auto"/>
        <w:left w:val="none" w:sz="0" w:space="0" w:color="auto"/>
        <w:bottom w:val="none" w:sz="0" w:space="0" w:color="auto"/>
        <w:right w:val="none" w:sz="0" w:space="0" w:color="auto"/>
      </w:divBdr>
    </w:div>
    <w:div w:id="276723608">
      <w:bodyDiv w:val="1"/>
      <w:marLeft w:val="0"/>
      <w:marRight w:val="0"/>
      <w:marTop w:val="0"/>
      <w:marBottom w:val="0"/>
      <w:divBdr>
        <w:top w:val="none" w:sz="0" w:space="0" w:color="auto"/>
        <w:left w:val="none" w:sz="0" w:space="0" w:color="auto"/>
        <w:bottom w:val="none" w:sz="0" w:space="0" w:color="auto"/>
        <w:right w:val="none" w:sz="0" w:space="0" w:color="auto"/>
      </w:divBdr>
    </w:div>
    <w:div w:id="276760994">
      <w:bodyDiv w:val="1"/>
      <w:marLeft w:val="0"/>
      <w:marRight w:val="0"/>
      <w:marTop w:val="0"/>
      <w:marBottom w:val="0"/>
      <w:divBdr>
        <w:top w:val="none" w:sz="0" w:space="0" w:color="auto"/>
        <w:left w:val="none" w:sz="0" w:space="0" w:color="auto"/>
        <w:bottom w:val="none" w:sz="0" w:space="0" w:color="auto"/>
        <w:right w:val="none" w:sz="0" w:space="0" w:color="auto"/>
      </w:divBdr>
    </w:div>
    <w:div w:id="277180560">
      <w:bodyDiv w:val="1"/>
      <w:marLeft w:val="0"/>
      <w:marRight w:val="0"/>
      <w:marTop w:val="0"/>
      <w:marBottom w:val="0"/>
      <w:divBdr>
        <w:top w:val="none" w:sz="0" w:space="0" w:color="auto"/>
        <w:left w:val="none" w:sz="0" w:space="0" w:color="auto"/>
        <w:bottom w:val="none" w:sz="0" w:space="0" w:color="auto"/>
        <w:right w:val="none" w:sz="0" w:space="0" w:color="auto"/>
      </w:divBdr>
    </w:div>
    <w:div w:id="277221527">
      <w:bodyDiv w:val="1"/>
      <w:marLeft w:val="0"/>
      <w:marRight w:val="0"/>
      <w:marTop w:val="0"/>
      <w:marBottom w:val="0"/>
      <w:divBdr>
        <w:top w:val="none" w:sz="0" w:space="0" w:color="auto"/>
        <w:left w:val="none" w:sz="0" w:space="0" w:color="auto"/>
        <w:bottom w:val="none" w:sz="0" w:space="0" w:color="auto"/>
        <w:right w:val="none" w:sz="0" w:space="0" w:color="auto"/>
      </w:divBdr>
    </w:div>
    <w:div w:id="277294289">
      <w:bodyDiv w:val="1"/>
      <w:marLeft w:val="0"/>
      <w:marRight w:val="0"/>
      <w:marTop w:val="0"/>
      <w:marBottom w:val="0"/>
      <w:divBdr>
        <w:top w:val="none" w:sz="0" w:space="0" w:color="auto"/>
        <w:left w:val="none" w:sz="0" w:space="0" w:color="auto"/>
        <w:bottom w:val="none" w:sz="0" w:space="0" w:color="auto"/>
        <w:right w:val="none" w:sz="0" w:space="0" w:color="auto"/>
      </w:divBdr>
    </w:div>
    <w:div w:id="277301841">
      <w:bodyDiv w:val="1"/>
      <w:marLeft w:val="0"/>
      <w:marRight w:val="0"/>
      <w:marTop w:val="0"/>
      <w:marBottom w:val="0"/>
      <w:divBdr>
        <w:top w:val="none" w:sz="0" w:space="0" w:color="auto"/>
        <w:left w:val="none" w:sz="0" w:space="0" w:color="auto"/>
        <w:bottom w:val="none" w:sz="0" w:space="0" w:color="auto"/>
        <w:right w:val="none" w:sz="0" w:space="0" w:color="auto"/>
      </w:divBdr>
    </w:div>
    <w:div w:id="277301880">
      <w:bodyDiv w:val="1"/>
      <w:marLeft w:val="0"/>
      <w:marRight w:val="0"/>
      <w:marTop w:val="0"/>
      <w:marBottom w:val="0"/>
      <w:divBdr>
        <w:top w:val="none" w:sz="0" w:space="0" w:color="auto"/>
        <w:left w:val="none" w:sz="0" w:space="0" w:color="auto"/>
        <w:bottom w:val="none" w:sz="0" w:space="0" w:color="auto"/>
        <w:right w:val="none" w:sz="0" w:space="0" w:color="auto"/>
      </w:divBdr>
    </w:div>
    <w:div w:id="277378248">
      <w:bodyDiv w:val="1"/>
      <w:marLeft w:val="0"/>
      <w:marRight w:val="0"/>
      <w:marTop w:val="0"/>
      <w:marBottom w:val="0"/>
      <w:divBdr>
        <w:top w:val="none" w:sz="0" w:space="0" w:color="auto"/>
        <w:left w:val="none" w:sz="0" w:space="0" w:color="auto"/>
        <w:bottom w:val="none" w:sz="0" w:space="0" w:color="auto"/>
        <w:right w:val="none" w:sz="0" w:space="0" w:color="auto"/>
      </w:divBdr>
    </w:div>
    <w:div w:id="277420011">
      <w:bodyDiv w:val="1"/>
      <w:marLeft w:val="0"/>
      <w:marRight w:val="0"/>
      <w:marTop w:val="0"/>
      <w:marBottom w:val="0"/>
      <w:divBdr>
        <w:top w:val="none" w:sz="0" w:space="0" w:color="auto"/>
        <w:left w:val="none" w:sz="0" w:space="0" w:color="auto"/>
        <w:bottom w:val="none" w:sz="0" w:space="0" w:color="auto"/>
        <w:right w:val="none" w:sz="0" w:space="0" w:color="auto"/>
      </w:divBdr>
    </w:div>
    <w:div w:id="277488457">
      <w:bodyDiv w:val="1"/>
      <w:marLeft w:val="0"/>
      <w:marRight w:val="0"/>
      <w:marTop w:val="0"/>
      <w:marBottom w:val="0"/>
      <w:divBdr>
        <w:top w:val="none" w:sz="0" w:space="0" w:color="auto"/>
        <w:left w:val="none" w:sz="0" w:space="0" w:color="auto"/>
        <w:bottom w:val="none" w:sz="0" w:space="0" w:color="auto"/>
        <w:right w:val="none" w:sz="0" w:space="0" w:color="auto"/>
      </w:divBdr>
    </w:div>
    <w:div w:id="277493832">
      <w:bodyDiv w:val="1"/>
      <w:marLeft w:val="0"/>
      <w:marRight w:val="0"/>
      <w:marTop w:val="0"/>
      <w:marBottom w:val="0"/>
      <w:divBdr>
        <w:top w:val="none" w:sz="0" w:space="0" w:color="auto"/>
        <w:left w:val="none" w:sz="0" w:space="0" w:color="auto"/>
        <w:bottom w:val="none" w:sz="0" w:space="0" w:color="auto"/>
        <w:right w:val="none" w:sz="0" w:space="0" w:color="auto"/>
      </w:divBdr>
    </w:div>
    <w:div w:id="277570663">
      <w:bodyDiv w:val="1"/>
      <w:marLeft w:val="0"/>
      <w:marRight w:val="0"/>
      <w:marTop w:val="0"/>
      <w:marBottom w:val="0"/>
      <w:divBdr>
        <w:top w:val="none" w:sz="0" w:space="0" w:color="auto"/>
        <w:left w:val="none" w:sz="0" w:space="0" w:color="auto"/>
        <w:bottom w:val="none" w:sz="0" w:space="0" w:color="auto"/>
        <w:right w:val="none" w:sz="0" w:space="0" w:color="auto"/>
      </w:divBdr>
    </w:div>
    <w:div w:id="277611160">
      <w:bodyDiv w:val="1"/>
      <w:marLeft w:val="0"/>
      <w:marRight w:val="0"/>
      <w:marTop w:val="0"/>
      <w:marBottom w:val="0"/>
      <w:divBdr>
        <w:top w:val="none" w:sz="0" w:space="0" w:color="auto"/>
        <w:left w:val="none" w:sz="0" w:space="0" w:color="auto"/>
        <w:bottom w:val="none" w:sz="0" w:space="0" w:color="auto"/>
        <w:right w:val="none" w:sz="0" w:space="0" w:color="auto"/>
      </w:divBdr>
    </w:div>
    <w:div w:id="277838623">
      <w:bodyDiv w:val="1"/>
      <w:marLeft w:val="0"/>
      <w:marRight w:val="0"/>
      <w:marTop w:val="0"/>
      <w:marBottom w:val="0"/>
      <w:divBdr>
        <w:top w:val="none" w:sz="0" w:space="0" w:color="auto"/>
        <w:left w:val="none" w:sz="0" w:space="0" w:color="auto"/>
        <w:bottom w:val="none" w:sz="0" w:space="0" w:color="auto"/>
        <w:right w:val="none" w:sz="0" w:space="0" w:color="auto"/>
      </w:divBdr>
    </w:div>
    <w:div w:id="277952557">
      <w:bodyDiv w:val="1"/>
      <w:marLeft w:val="0"/>
      <w:marRight w:val="0"/>
      <w:marTop w:val="0"/>
      <w:marBottom w:val="0"/>
      <w:divBdr>
        <w:top w:val="none" w:sz="0" w:space="0" w:color="auto"/>
        <w:left w:val="none" w:sz="0" w:space="0" w:color="auto"/>
        <w:bottom w:val="none" w:sz="0" w:space="0" w:color="auto"/>
        <w:right w:val="none" w:sz="0" w:space="0" w:color="auto"/>
      </w:divBdr>
    </w:div>
    <w:div w:id="277953800">
      <w:bodyDiv w:val="1"/>
      <w:marLeft w:val="0"/>
      <w:marRight w:val="0"/>
      <w:marTop w:val="0"/>
      <w:marBottom w:val="0"/>
      <w:divBdr>
        <w:top w:val="none" w:sz="0" w:space="0" w:color="auto"/>
        <w:left w:val="none" w:sz="0" w:space="0" w:color="auto"/>
        <w:bottom w:val="none" w:sz="0" w:space="0" w:color="auto"/>
        <w:right w:val="none" w:sz="0" w:space="0" w:color="auto"/>
      </w:divBdr>
    </w:div>
    <w:div w:id="277954448">
      <w:bodyDiv w:val="1"/>
      <w:marLeft w:val="0"/>
      <w:marRight w:val="0"/>
      <w:marTop w:val="0"/>
      <w:marBottom w:val="0"/>
      <w:divBdr>
        <w:top w:val="none" w:sz="0" w:space="0" w:color="auto"/>
        <w:left w:val="none" w:sz="0" w:space="0" w:color="auto"/>
        <w:bottom w:val="none" w:sz="0" w:space="0" w:color="auto"/>
        <w:right w:val="none" w:sz="0" w:space="0" w:color="auto"/>
      </w:divBdr>
    </w:div>
    <w:div w:id="278028484">
      <w:bodyDiv w:val="1"/>
      <w:marLeft w:val="0"/>
      <w:marRight w:val="0"/>
      <w:marTop w:val="0"/>
      <w:marBottom w:val="0"/>
      <w:divBdr>
        <w:top w:val="none" w:sz="0" w:space="0" w:color="auto"/>
        <w:left w:val="none" w:sz="0" w:space="0" w:color="auto"/>
        <w:bottom w:val="none" w:sz="0" w:space="0" w:color="auto"/>
        <w:right w:val="none" w:sz="0" w:space="0" w:color="auto"/>
      </w:divBdr>
    </w:div>
    <w:div w:id="278145512">
      <w:bodyDiv w:val="1"/>
      <w:marLeft w:val="0"/>
      <w:marRight w:val="0"/>
      <w:marTop w:val="0"/>
      <w:marBottom w:val="0"/>
      <w:divBdr>
        <w:top w:val="none" w:sz="0" w:space="0" w:color="auto"/>
        <w:left w:val="none" w:sz="0" w:space="0" w:color="auto"/>
        <w:bottom w:val="none" w:sz="0" w:space="0" w:color="auto"/>
        <w:right w:val="none" w:sz="0" w:space="0" w:color="auto"/>
      </w:divBdr>
    </w:div>
    <w:div w:id="278149006">
      <w:bodyDiv w:val="1"/>
      <w:marLeft w:val="0"/>
      <w:marRight w:val="0"/>
      <w:marTop w:val="0"/>
      <w:marBottom w:val="0"/>
      <w:divBdr>
        <w:top w:val="none" w:sz="0" w:space="0" w:color="auto"/>
        <w:left w:val="none" w:sz="0" w:space="0" w:color="auto"/>
        <w:bottom w:val="none" w:sz="0" w:space="0" w:color="auto"/>
        <w:right w:val="none" w:sz="0" w:space="0" w:color="auto"/>
      </w:divBdr>
    </w:div>
    <w:div w:id="278225982">
      <w:bodyDiv w:val="1"/>
      <w:marLeft w:val="0"/>
      <w:marRight w:val="0"/>
      <w:marTop w:val="0"/>
      <w:marBottom w:val="0"/>
      <w:divBdr>
        <w:top w:val="none" w:sz="0" w:space="0" w:color="auto"/>
        <w:left w:val="none" w:sz="0" w:space="0" w:color="auto"/>
        <w:bottom w:val="none" w:sz="0" w:space="0" w:color="auto"/>
        <w:right w:val="none" w:sz="0" w:space="0" w:color="auto"/>
      </w:divBdr>
    </w:div>
    <w:div w:id="278339596">
      <w:bodyDiv w:val="1"/>
      <w:marLeft w:val="0"/>
      <w:marRight w:val="0"/>
      <w:marTop w:val="0"/>
      <w:marBottom w:val="0"/>
      <w:divBdr>
        <w:top w:val="none" w:sz="0" w:space="0" w:color="auto"/>
        <w:left w:val="none" w:sz="0" w:space="0" w:color="auto"/>
        <w:bottom w:val="none" w:sz="0" w:space="0" w:color="auto"/>
        <w:right w:val="none" w:sz="0" w:space="0" w:color="auto"/>
      </w:divBdr>
    </w:div>
    <w:div w:id="278417500">
      <w:bodyDiv w:val="1"/>
      <w:marLeft w:val="0"/>
      <w:marRight w:val="0"/>
      <w:marTop w:val="0"/>
      <w:marBottom w:val="0"/>
      <w:divBdr>
        <w:top w:val="none" w:sz="0" w:space="0" w:color="auto"/>
        <w:left w:val="none" w:sz="0" w:space="0" w:color="auto"/>
        <w:bottom w:val="none" w:sz="0" w:space="0" w:color="auto"/>
        <w:right w:val="none" w:sz="0" w:space="0" w:color="auto"/>
      </w:divBdr>
    </w:div>
    <w:div w:id="278418565">
      <w:bodyDiv w:val="1"/>
      <w:marLeft w:val="0"/>
      <w:marRight w:val="0"/>
      <w:marTop w:val="0"/>
      <w:marBottom w:val="0"/>
      <w:divBdr>
        <w:top w:val="none" w:sz="0" w:space="0" w:color="auto"/>
        <w:left w:val="none" w:sz="0" w:space="0" w:color="auto"/>
        <w:bottom w:val="none" w:sz="0" w:space="0" w:color="auto"/>
        <w:right w:val="none" w:sz="0" w:space="0" w:color="auto"/>
      </w:divBdr>
    </w:div>
    <w:div w:id="278494356">
      <w:bodyDiv w:val="1"/>
      <w:marLeft w:val="0"/>
      <w:marRight w:val="0"/>
      <w:marTop w:val="0"/>
      <w:marBottom w:val="0"/>
      <w:divBdr>
        <w:top w:val="none" w:sz="0" w:space="0" w:color="auto"/>
        <w:left w:val="none" w:sz="0" w:space="0" w:color="auto"/>
        <w:bottom w:val="none" w:sz="0" w:space="0" w:color="auto"/>
        <w:right w:val="none" w:sz="0" w:space="0" w:color="auto"/>
      </w:divBdr>
    </w:div>
    <w:div w:id="278533325">
      <w:bodyDiv w:val="1"/>
      <w:marLeft w:val="0"/>
      <w:marRight w:val="0"/>
      <w:marTop w:val="0"/>
      <w:marBottom w:val="0"/>
      <w:divBdr>
        <w:top w:val="none" w:sz="0" w:space="0" w:color="auto"/>
        <w:left w:val="none" w:sz="0" w:space="0" w:color="auto"/>
        <w:bottom w:val="none" w:sz="0" w:space="0" w:color="auto"/>
        <w:right w:val="none" w:sz="0" w:space="0" w:color="auto"/>
      </w:divBdr>
    </w:div>
    <w:div w:id="278683931">
      <w:bodyDiv w:val="1"/>
      <w:marLeft w:val="0"/>
      <w:marRight w:val="0"/>
      <w:marTop w:val="0"/>
      <w:marBottom w:val="0"/>
      <w:divBdr>
        <w:top w:val="none" w:sz="0" w:space="0" w:color="auto"/>
        <w:left w:val="none" w:sz="0" w:space="0" w:color="auto"/>
        <w:bottom w:val="none" w:sz="0" w:space="0" w:color="auto"/>
        <w:right w:val="none" w:sz="0" w:space="0" w:color="auto"/>
      </w:divBdr>
    </w:div>
    <w:div w:id="278874974">
      <w:bodyDiv w:val="1"/>
      <w:marLeft w:val="0"/>
      <w:marRight w:val="0"/>
      <w:marTop w:val="0"/>
      <w:marBottom w:val="0"/>
      <w:divBdr>
        <w:top w:val="none" w:sz="0" w:space="0" w:color="auto"/>
        <w:left w:val="none" w:sz="0" w:space="0" w:color="auto"/>
        <w:bottom w:val="none" w:sz="0" w:space="0" w:color="auto"/>
        <w:right w:val="none" w:sz="0" w:space="0" w:color="auto"/>
      </w:divBdr>
    </w:div>
    <w:div w:id="278880188">
      <w:bodyDiv w:val="1"/>
      <w:marLeft w:val="0"/>
      <w:marRight w:val="0"/>
      <w:marTop w:val="0"/>
      <w:marBottom w:val="0"/>
      <w:divBdr>
        <w:top w:val="none" w:sz="0" w:space="0" w:color="auto"/>
        <w:left w:val="none" w:sz="0" w:space="0" w:color="auto"/>
        <w:bottom w:val="none" w:sz="0" w:space="0" w:color="auto"/>
        <w:right w:val="none" w:sz="0" w:space="0" w:color="auto"/>
      </w:divBdr>
    </w:div>
    <w:div w:id="278921369">
      <w:bodyDiv w:val="1"/>
      <w:marLeft w:val="0"/>
      <w:marRight w:val="0"/>
      <w:marTop w:val="0"/>
      <w:marBottom w:val="0"/>
      <w:divBdr>
        <w:top w:val="none" w:sz="0" w:space="0" w:color="auto"/>
        <w:left w:val="none" w:sz="0" w:space="0" w:color="auto"/>
        <w:bottom w:val="none" w:sz="0" w:space="0" w:color="auto"/>
        <w:right w:val="none" w:sz="0" w:space="0" w:color="auto"/>
      </w:divBdr>
    </w:div>
    <w:div w:id="278950803">
      <w:bodyDiv w:val="1"/>
      <w:marLeft w:val="0"/>
      <w:marRight w:val="0"/>
      <w:marTop w:val="0"/>
      <w:marBottom w:val="0"/>
      <w:divBdr>
        <w:top w:val="none" w:sz="0" w:space="0" w:color="auto"/>
        <w:left w:val="none" w:sz="0" w:space="0" w:color="auto"/>
        <w:bottom w:val="none" w:sz="0" w:space="0" w:color="auto"/>
        <w:right w:val="none" w:sz="0" w:space="0" w:color="auto"/>
      </w:divBdr>
    </w:div>
    <w:div w:id="279143330">
      <w:bodyDiv w:val="1"/>
      <w:marLeft w:val="0"/>
      <w:marRight w:val="0"/>
      <w:marTop w:val="0"/>
      <w:marBottom w:val="0"/>
      <w:divBdr>
        <w:top w:val="none" w:sz="0" w:space="0" w:color="auto"/>
        <w:left w:val="none" w:sz="0" w:space="0" w:color="auto"/>
        <w:bottom w:val="none" w:sz="0" w:space="0" w:color="auto"/>
        <w:right w:val="none" w:sz="0" w:space="0" w:color="auto"/>
      </w:divBdr>
    </w:div>
    <w:div w:id="279146114">
      <w:bodyDiv w:val="1"/>
      <w:marLeft w:val="0"/>
      <w:marRight w:val="0"/>
      <w:marTop w:val="0"/>
      <w:marBottom w:val="0"/>
      <w:divBdr>
        <w:top w:val="none" w:sz="0" w:space="0" w:color="auto"/>
        <w:left w:val="none" w:sz="0" w:space="0" w:color="auto"/>
        <w:bottom w:val="none" w:sz="0" w:space="0" w:color="auto"/>
        <w:right w:val="none" w:sz="0" w:space="0" w:color="auto"/>
      </w:divBdr>
    </w:div>
    <w:div w:id="279184886">
      <w:bodyDiv w:val="1"/>
      <w:marLeft w:val="0"/>
      <w:marRight w:val="0"/>
      <w:marTop w:val="0"/>
      <w:marBottom w:val="0"/>
      <w:divBdr>
        <w:top w:val="none" w:sz="0" w:space="0" w:color="auto"/>
        <w:left w:val="none" w:sz="0" w:space="0" w:color="auto"/>
        <w:bottom w:val="none" w:sz="0" w:space="0" w:color="auto"/>
        <w:right w:val="none" w:sz="0" w:space="0" w:color="auto"/>
      </w:divBdr>
    </w:div>
    <w:div w:id="279186610">
      <w:bodyDiv w:val="1"/>
      <w:marLeft w:val="0"/>
      <w:marRight w:val="0"/>
      <w:marTop w:val="0"/>
      <w:marBottom w:val="0"/>
      <w:divBdr>
        <w:top w:val="none" w:sz="0" w:space="0" w:color="auto"/>
        <w:left w:val="none" w:sz="0" w:space="0" w:color="auto"/>
        <w:bottom w:val="none" w:sz="0" w:space="0" w:color="auto"/>
        <w:right w:val="none" w:sz="0" w:space="0" w:color="auto"/>
      </w:divBdr>
    </w:div>
    <w:div w:id="279186742">
      <w:bodyDiv w:val="1"/>
      <w:marLeft w:val="0"/>
      <w:marRight w:val="0"/>
      <w:marTop w:val="0"/>
      <w:marBottom w:val="0"/>
      <w:divBdr>
        <w:top w:val="none" w:sz="0" w:space="0" w:color="auto"/>
        <w:left w:val="none" w:sz="0" w:space="0" w:color="auto"/>
        <w:bottom w:val="none" w:sz="0" w:space="0" w:color="auto"/>
        <w:right w:val="none" w:sz="0" w:space="0" w:color="auto"/>
      </w:divBdr>
    </w:div>
    <w:div w:id="279192882">
      <w:bodyDiv w:val="1"/>
      <w:marLeft w:val="0"/>
      <w:marRight w:val="0"/>
      <w:marTop w:val="0"/>
      <w:marBottom w:val="0"/>
      <w:divBdr>
        <w:top w:val="none" w:sz="0" w:space="0" w:color="auto"/>
        <w:left w:val="none" w:sz="0" w:space="0" w:color="auto"/>
        <w:bottom w:val="none" w:sz="0" w:space="0" w:color="auto"/>
        <w:right w:val="none" w:sz="0" w:space="0" w:color="auto"/>
      </w:divBdr>
    </w:div>
    <w:div w:id="279384979">
      <w:bodyDiv w:val="1"/>
      <w:marLeft w:val="0"/>
      <w:marRight w:val="0"/>
      <w:marTop w:val="0"/>
      <w:marBottom w:val="0"/>
      <w:divBdr>
        <w:top w:val="none" w:sz="0" w:space="0" w:color="auto"/>
        <w:left w:val="none" w:sz="0" w:space="0" w:color="auto"/>
        <w:bottom w:val="none" w:sz="0" w:space="0" w:color="auto"/>
        <w:right w:val="none" w:sz="0" w:space="0" w:color="auto"/>
      </w:divBdr>
    </w:div>
    <w:div w:id="279528388">
      <w:bodyDiv w:val="1"/>
      <w:marLeft w:val="0"/>
      <w:marRight w:val="0"/>
      <w:marTop w:val="0"/>
      <w:marBottom w:val="0"/>
      <w:divBdr>
        <w:top w:val="none" w:sz="0" w:space="0" w:color="auto"/>
        <w:left w:val="none" w:sz="0" w:space="0" w:color="auto"/>
        <w:bottom w:val="none" w:sz="0" w:space="0" w:color="auto"/>
        <w:right w:val="none" w:sz="0" w:space="0" w:color="auto"/>
      </w:divBdr>
    </w:div>
    <w:div w:id="279647186">
      <w:bodyDiv w:val="1"/>
      <w:marLeft w:val="0"/>
      <w:marRight w:val="0"/>
      <w:marTop w:val="0"/>
      <w:marBottom w:val="0"/>
      <w:divBdr>
        <w:top w:val="none" w:sz="0" w:space="0" w:color="auto"/>
        <w:left w:val="none" w:sz="0" w:space="0" w:color="auto"/>
        <w:bottom w:val="none" w:sz="0" w:space="0" w:color="auto"/>
        <w:right w:val="none" w:sz="0" w:space="0" w:color="auto"/>
      </w:divBdr>
    </w:div>
    <w:div w:id="279802136">
      <w:bodyDiv w:val="1"/>
      <w:marLeft w:val="0"/>
      <w:marRight w:val="0"/>
      <w:marTop w:val="0"/>
      <w:marBottom w:val="0"/>
      <w:divBdr>
        <w:top w:val="none" w:sz="0" w:space="0" w:color="auto"/>
        <w:left w:val="none" w:sz="0" w:space="0" w:color="auto"/>
        <w:bottom w:val="none" w:sz="0" w:space="0" w:color="auto"/>
        <w:right w:val="none" w:sz="0" w:space="0" w:color="auto"/>
      </w:divBdr>
    </w:div>
    <w:div w:id="279918493">
      <w:bodyDiv w:val="1"/>
      <w:marLeft w:val="0"/>
      <w:marRight w:val="0"/>
      <w:marTop w:val="0"/>
      <w:marBottom w:val="0"/>
      <w:divBdr>
        <w:top w:val="none" w:sz="0" w:space="0" w:color="auto"/>
        <w:left w:val="none" w:sz="0" w:space="0" w:color="auto"/>
        <w:bottom w:val="none" w:sz="0" w:space="0" w:color="auto"/>
        <w:right w:val="none" w:sz="0" w:space="0" w:color="auto"/>
      </w:divBdr>
    </w:div>
    <w:div w:id="279996765">
      <w:bodyDiv w:val="1"/>
      <w:marLeft w:val="0"/>
      <w:marRight w:val="0"/>
      <w:marTop w:val="0"/>
      <w:marBottom w:val="0"/>
      <w:divBdr>
        <w:top w:val="none" w:sz="0" w:space="0" w:color="auto"/>
        <w:left w:val="none" w:sz="0" w:space="0" w:color="auto"/>
        <w:bottom w:val="none" w:sz="0" w:space="0" w:color="auto"/>
        <w:right w:val="none" w:sz="0" w:space="0" w:color="auto"/>
      </w:divBdr>
    </w:div>
    <w:div w:id="280035663">
      <w:bodyDiv w:val="1"/>
      <w:marLeft w:val="0"/>
      <w:marRight w:val="0"/>
      <w:marTop w:val="0"/>
      <w:marBottom w:val="0"/>
      <w:divBdr>
        <w:top w:val="none" w:sz="0" w:space="0" w:color="auto"/>
        <w:left w:val="none" w:sz="0" w:space="0" w:color="auto"/>
        <w:bottom w:val="none" w:sz="0" w:space="0" w:color="auto"/>
        <w:right w:val="none" w:sz="0" w:space="0" w:color="auto"/>
      </w:divBdr>
    </w:div>
    <w:div w:id="280109878">
      <w:bodyDiv w:val="1"/>
      <w:marLeft w:val="0"/>
      <w:marRight w:val="0"/>
      <w:marTop w:val="0"/>
      <w:marBottom w:val="0"/>
      <w:divBdr>
        <w:top w:val="none" w:sz="0" w:space="0" w:color="auto"/>
        <w:left w:val="none" w:sz="0" w:space="0" w:color="auto"/>
        <w:bottom w:val="none" w:sz="0" w:space="0" w:color="auto"/>
        <w:right w:val="none" w:sz="0" w:space="0" w:color="auto"/>
      </w:divBdr>
    </w:div>
    <w:div w:id="280116625">
      <w:bodyDiv w:val="1"/>
      <w:marLeft w:val="0"/>
      <w:marRight w:val="0"/>
      <w:marTop w:val="0"/>
      <w:marBottom w:val="0"/>
      <w:divBdr>
        <w:top w:val="none" w:sz="0" w:space="0" w:color="auto"/>
        <w:left w:val="none" w:sz="0" w:space="0" w:color="auto"/>
        <w:bottom w:val="none" w:sz="0" w:space="0" w:color="auto"/>
        <w:right w:val="none" w:sz="0" w:space="0" w:color="auto"/>
      </w:divBdr>
    </w:div>
    <w:div w:id="280116911">
      <w:bodyDiv w:val="1"/>
      <w:marLeft w:val="0"/>
      <w:marRight w:val="0"/>
      <w:marTop w:val="0"/>
      <w:marBottom w:val="0"/>
      <w:divBdr>
        <w:top w:val="none" w:sz="0" w:space="0" w:color="auto"/>
        <w:left w:val="none" w:sz="0" w:space="0" w:color="auto"/>
        <w:bottom w:val="none" w:sz="0" w:space="0" w:color="auto"/>
        <w:right w:val="none" w:sz="0" w:space="0" w:color="auto"/>
      </w:divBdr>
    </w:div>
    <w:div w:id="280186832">
      <w:bodyDiv w:val="1"/>
      <w:marLeft w:val="0"/>
      <w:marRight w:val="0"/>
      <w:marTop w:val="0"/>
      <w:marBottom w:val="0"/>
      <w:divBdr>
        <w:top w:val="none" w:sz="0" w:space="0" w:color="auto"/>
        <w:left w:val="none" w:sz="0" w:space="0" w:color="auto"/>
        <w:bottom w:val="none" w:sz="0" w:space="0" w:color="auto"/>
        <w:right w:val="none" w:sz="0" w:space="0" w:color="auto"/>
      </w:divBdr>
    </w:div>
    <w:div w:id="280385749">
      <w:bodyDiv w:val="1"/>
      <w:marLeft w:val="0"/>
      <w:marRight w:val="0"/>
      <w:marTop w:val="0"/>
      <w:marBottom w:val="0"/>
      <w:divBdr>
        <w:top w:val="none" w:sz="0" w:space="0" w:color="auto"/>
        <w:left w:val="none" w:sz="0" w:space="0" w:color="auto"/>
        <w:bottom w:val="none" w:sz="0" w:space="0" w:color="auto"/>
        <w:right w:val="none" w:sz="0" w:space="0" w:color="auto"/>
      </w:divBdr>
    </w:div>
    <w:div w:id="280456433">
      <w:bodyDiv w:val="1"/>
      <w:marLeft w:val="0"/>
      <w:marRight w:val="0"/>
      <w:marTop w:val="0"/>
      <w:marBottom w:val="0"/>
      <w:divBdr>
        <w:top w:val="none" w:sz="0" w:space="0" w:color="auto"/>
        <w:left w:val="none" w:sz="0" w:space="0" w:color="auto"/>
        <w:bottom w:val="none" w:sz="0" w:space="0" w:color="auto"/>
        <w:right w:val="none" w:sz="0" w:space="0" w:color="auto"/>
      </w:divBdr>
    </w:div>
    <w:div w:id="280574011">
      <w:bodyDiv w:val="1"/>
      <w:marLeft w:val="0"/>
      <w:marRight w:val="0"/>
      <w:marTop w:val="0"/>
      <w:marBottom w:val="0"/>
      <w:divBdr>
        <w:top w:val="none" w:sz="0" w:space="0" w:color="auto"/>
        <w:left w:val="none" w:sz="0" w:space="0" w:color="auto"/>
        <w:bottom w:val="none" w:sz="0" w:space="0" w:color="auto"/>
        <w:right w:val="none" w:sz="0" w:space="0" w:color="auto"/>
      </w:divBdr>
    </w:div>
    <w:div w:id="280576574">
      <w:bodyDiv w:val="1"/>
      <w:marLeft w:val="0"/>
      <w:marRight w:val="0"/>
      <w:marTop w:val="0"/>
      <w:marBottom w:val="0"/>
      <w:divBdr>
        <w:top w:val="none" w:sz="0" w:space="0" w:color="auto"/>
        <w:left w:val="none" w:sz="0" w:space="0" w:color="auto"/>
        <w:bottom w:val="none" w:sz="0" w:space="0" w:color="auto"/>
        <w:right w:val="none" w:sz="0" w:space="0" w:color="auto"/>
      </w:divBdr>
    </w:div>
    <w:div w:id="280695397">
      <w:bodyDiv w:val="1"/>
      <w:marLeft w:val="0"/>
      <w:marRight w:val="0"/>
      <w:marTop w:val="0"/>
      <w:marBottom w:val="0"/>
      <w:divBdr>
        <w:top w:val="none" w:sz="0" w:space="0" w:color="auto"/>
        <w:left w:val="none" w:sz="0" w:space="0" w:color="auto"/>
        <w:bottom w:val="none" w:sz="0" w:space="0" w:color="auto"/>
        <w:right w:val="none" w:sz="0" w:space="0" w:color="auto"/>
      </w:divBdr>
    </w:div>
    <w:div w:id="280697673">
      <w:bodyDiv w:val="1"/>
      <w:marLeft w:val="0"/>
      <w:marRight w:val="0"/>
      <w:marTop w:val="0"/>
      <w:marBottom w:val="0"/>
      <w:divBdr>
        <w:top w:val="none" w:sz="0" w:space="0" w:color="auto"/>
        <w:left w:val="none" w:sz="0" w:space="0" w:color="auto"/>
        <w:bottom w:val="none" w:sz="0" w:space="0" w:color="auto"/>
        <w:right w:val="none" w:sz="0" w:space="0" w:color="auto"/>
      </w:divBdr>
    </w:div>
    <w:div w:id="280764279">
      <w:bodyDiv w:val="1"/>
      <w:marLeft w:val="0"/>
      <w:marRight w:val="0"/>
      <w:marTop w:val="0"/>
      <w:marBottom w:val="0"/>
      <w:divBdr>
        <w:top w:val="none" w:sz="0" w:space="0" w:color="auto"/>
        <w:left w:val="none" w:sz="0" w:space="0" w:color="auto"/>
        <w:bottom w:val="none" w:sz="0" w:space="0" w:color="auto"/>
        <w:right w:val="none" w:sz="0" w:space="0" w:color="auto"/>
      </w:divBdr>
    </w:div>
    <w:div w:id="280839180">
      <w:bodyDiv w:val="1"/>
      <w:marLeft w:val="0"/>
      <w:marRight w:val="0"/>
      <w:marTop w:val="0"/>
      <w:marBottom w:val="0"/>
      <w:divBdr>
        <w:top w:val="none" w:sz="0" w:space="0" w:color="auto"/>
        <w:left w:val="none" w:sz="0" w:space="0" w:color="auto"/>
        <w:bottom w:val="none" w:sz="0" w:space="0" w:color="auto"/>
        <w:right w:val="none" w:sz="0" w:space="0" w:color="auto"/>
      </w:divBdr>
    </w:div>
    <w:div w:id="280840072">
      <w:bodyDiv w:val="1"/>
      <w:marLeft w:val="0"/>
      <w:marRight w:val="0"/>
      <w:marTop w:val="0"/>
      <w:marBottom w:val="0"/>
      <w:divBdr>
        <w:top w:val="none" w:sz="0" w:space="0" w:color="auto"/>
        <w:left w:val="none" w:sz="0" w:space="0" w:color="auto"/>
        <w:bottom w:val="none" w:sz="0" w:space="0" w:color="auto"/>
        <w:right w:val="none" w:sz="0" w:space="0" w:color="auto"/>
      </w:divBdr>
    </w:div>
    <w:div w:id="281040318">
      <w:bodyDiv w:val="1"/>
      <w:marLeft w:val="0"/>
      <w:marRight w:val="0"/>
      <w:marTop w:val="0"/>
      <w:marBottom w:val="0"/>
      <w:divBdr>
        <w:top w:val="none" w:sz="0" w:space="0" w:color="auto"/>
        <w:left w:val="none" w:sz="0" w:space="0" w:color="auto"/>
        <w:bottom w:val="none" w:sz="0" w:space="0" w:color="auto"/>
        <w:right w:val="none" w:sz="0" w:space="0" w:color="auto"/>
      </w:divBdr>
    </w:div>
    <w:div w:id="281151325">
      <w:bodyDiv w:val="1"/>
      <w:marLeft w:val="0"/>
      <w:marRight w:val="0"/>
      <w:marTop w:val="0"/>
      <w:marBottom w:val="0"/>
      <w:divBdr>
        <w:top w:val="none" w:sz="0" w:space="0" w:color="auto"/>
        <w:left w:val="none" w:sz="0" w:space="0" w:color="auto"/>
        <w:bottom w:val="none" w:sz="0" w:space="0" w:color="auto"/>
        <w:right w:val="none" w:sz="0" w:space="0" w:color="auto"/>
      </w:divBdr>
    </w:div>
    <w:div w:id="281157196">
      <w:bodyDiv w:val="1"/>
      <w:marLeft w:val="0"/>
      <w:marRight w:val="0"/>
      <w:marTop w:val="0"/>
      <w:marBottom w:val="0"/>
      <w:divBdr>
        <w:top w:val="none" w:sz="0" w:space="0" w:color="auto"/>
        <w:left w:val="none" w:sz="0" w:space="0" w:color="auto"/>
        <w:bottom w:val="none" w:sz="0" w:space="0" w:color="auto"/>
        <w:right w:val="none" w:sz="0" w:space="0" w:color="auto"/>
      </w:divBdr>
    </w:div>
    <w:div w:id="281302497">
      <w:bodyDiv w:val="1"/>
      <w:marLeft w:val="0"/>
      <w:marRight w:val="0"/>
      <w:marTop w:val="0"/>
      <w:marBottom w:val="0"/>
      <w:divBdr>
        <w:top w:val="none" w:sz="0" w:space="0" w:color="auto"/>
        <w:left w:val="none" w:sz="0" w:space="0" w:color="auto"/>
        <w:bottom w:val="none" w:sz="0" w:space="0" w:color="auto"/>
        <w:right w:val="none" w:sz="0" w:space="0" w:color="auto"/>
      </w:divBdr>
    </w:div>
    <w:div w:id="281309545">
      <w:bodyDiv w:val="1"/>
      <w:marLeft w:val="0"/>
      <w:marRight w:val="0"/>
      <w:marTop w:val="0"/>
      <w:marBottom w:val="0"/>
      <w:divBdr>
        <w:top w:val="none" w:sz="0" w:space="0" w:color="auto"/>
        <w:left w:val="none" w:sz="0" w:space="0" w:color="auto"/>
        <w:bottom w:val="none" w:sz="0" w:space="0" w:color="auto"/>
        <w:right w:val="none" w:sz="0" w:space="0" w:color="auto"/>
      </w:divBdr>
    </w:div>
    <w:div w:id="281349451">
      <w:bodyDiv w:val="1"/>
      <w:marLeft w:val="0"/>
      <w:marRight w:val="0"/>
      <w:marTop w:val="0"/>
      <w:marBottom w:val="0"/>
      <w:divBdr>
        <w:top w:val="none" w:sz="0" w:space="0" w:color="auto"/>
        <w:left w:val="none" w:sz="0" w:space="0" w:color="auto"/>
        <w:bottom w:val="none" w:sz="0" w:space="0" w:color="auto"/>
        <w:right w:val="none" w:sz="0" w:space="0" w:color="auto"/>
      </w:divBdr>
    </w:div>
    <w:div w:id="281499632">
      <w:bodyDiv w:val="1"/>
      <w:marLeft w:val="0"/>
      <w:marRight w:val="0"/>
      <w:marTop w:val="0"/>
      <w:marBottom w:val="0"/>
      <w:divBdr>
        <w:top w:val="none" w:sz="0" w:space="0" w:color="auto"/>
        <w:left w:val="none" w:sz="0" w:space="0" w:color="auto"/>
        <w:bottom w:val="none" w:sz="0" w:space="0" w:color="auto"/>
        <w:right w:val="none" w:sz="0" w:space="0" w:color="auto"/>
      </w:divBdr>
    </w:div>
    <w:div w:id="281502221">
      <w:bodyDiv w:val="1"/>
      <w:marLeft w:val="0"/>
      <w:marRight w:val="0"/>
      <w:marTop w:val="0"/>
      <w:marBottom w:val="0"/>
      <w:divBdr>
        <w:top w:val="none" w:sz="0" w:space="0" w:color="auto"/>
        <w:left w:val="none" w:sz="0" w:space="0" w:color="auto"/>
        <w:bottom w:val="none" w:sz="0" w:space="0" w:color="auto"/>
        <w:right w:val="none" w:sz="0" w:space="0" w:color="auto"/>
      </w:divBdr>
    </w:div>
    <w:div w:id="281574336">
      <w:bodyDiv w:val="1"/>
      <w:marLeft w:val="0"/>
      <w:marRight w:val="0"/>
      <w:marTop w:val="0"/>
      <w:marBottom w:val="0"/>
      <w:divBdr>
        <w:top w:val="none" w:sz="0" w:space="0" w:color="auto"/>
        <w:left w:val="none" w:sz="0" w:space="0" w:color="auto"/>
        <w:bottom w:val="none" w:sz="0" w:space="0" w:color="auto"/>
        <w:right w:val="none" w:sz="0" w:space="0" w:color="auto"/>
      </w:divBdr>
    </w:div>
    <w:div w:id="281613022">
      <w:bodyDiv w:val="1"/>
      <w:marLeft w:val="0"/>
      <w:marRight w:val="0"/>
      <w:marTop w:val="0"/>
      <w:marBottom w:val="0"/>
      <w:divBdr>
        <w:top w:val="none" w:sz="0" w:space="0" w:color="auto"/>
        <w:left w:val="none" w:sz="0" w:space="0" w:color="auto"/>
        <w:bottom w:val="none" w:sz="0" w:space="0" w:color="auto"/>
        <w:right w:val="none" w:sz="0" w:space="0" w:color="auto"/>
      </w:divBdr>
    </w:div>
    <w:div w:id="281614332">
      <w:bodyDiv w:val="1"/>
      <w:marLeft w:val="0"/>
      <w:marRight w:val="0"/>
      <w:marTop w:val="0"/>
      <w:marBottom w:val="0"/>
      <w:divBdr>
        <w:top w:val="none" w:sz="0" w:space="0" w:color="auto"/>
        <w:left w:val="none" w:sz="0" w:space="0" w:color="auto"/>
        <w:bottom w:val="none" w:sz="0" w:space="0" w:color="auto"/>
        <w:right w:val="none" w:sz="0" w:space="0" w:color="auto"/>
      </w:divBdr>
    </w:div>
    <w:div w:id="281615959">
      <w:bodyDiv w:val="1"/>
      <w:marLeft w:val="0"/>
      <w:marRight w:val="0"/>
      <w:marTop w:val="0"/>
      <w:marBottom w:val="0"/>
      <w:divBdr>
        <w:top w:val="none" w:sz="0" w:space="0" w:color="auto"/>
        <w:left w:val="none" w:sz="0" w:space="0" w:color="auto"/>
        <w:bottom w:val="none" w:sz="0" w:space="0" w:color="auto"/>
        <w:right w:val="none" w:sz="0" w:space="0" w:color="auto"/>
      </w:divBdr>
    </w:div>
    <w:div w:id="281619575">
      <w:bodyDiv w:val="1"/>
      <w:marLeft w:val="0"/>
      <w:marRight w:val="0"/>
      <w:marTop w:val="0"/>
      <w:marBottom w:val="0"/>
      <w:divBdr>
        <w:top w:val="none" w:sz="0" w:space="0" w:color="auto"/>
        <w:left w:val="none" w:sz="0" w:space="0" w:color="auto"/>
        <w:bottom w:val="none" w:sz="0" w:space="0" w:color="auto"/>
        <w:right w:val="none" w:sz="0" w:space="0" w:color="auto"/>
      </w:divBdr>
    </w:div>
    <w:div w:id="281688241">
      <w:bodyDiv w:val="1"/>
      <w:marLeft w:val="0"/>
      <w:marRight w:val="0"/>
      <w:marTop w:val="0"/>
      <w:marBottom w:val="0"/>
      <w:divBdr>
        <w:top w:val="none" w:sz="0" w:space="0" w:color="auto"/>
        <w:left w:val="none" w:sz="0" w:space="0" w:color="auto"/>
        <w:bottom w:val="none" w:sz="0" w:space="0" w:color="auto"/>
        <w:right w:val="none" w:sz="0" w:space="0" w:color="auto"/>
      </w:divBdr>
    </w:div>
    <w:div w:id="281805911">
      <w:bodyDiv w:val="1"/>
      <w:marLeft w:val="0"/>
      <w:marRight w:val="0"/>
      <w:marTop w:val="0"/>
      <w:marBottom w:val="0"/>
      <w:divBdr>
        <w:top w:val="none" w:sz="0" w:space="0" w:color="auto"/>
        <w:left w:val="none" w:sz="0" w:space="0" w:color="auto"/>
        <w:bottom w:val="none" w:sz="0" w:space="0" w:color="auto"/>
        <w:right w:val="none" w:sz="0" w:space="0" w:color="auto"/>
      </w:divBdr>
    </w:div>
    <w:div w:id="281812111">
      <w:bodyDiv w:val="1"/>
      <w:marLeft w:val="0"/>
      <w:marRight w:val="0"/>
      <w:marTop w:val="0"/>
      <w:marBottom w:val="0"/>
      <w:divBdr>
        <w:top w:val="none" w:sz="0" w:space="0" w:color="auto"/>
        <w:left w:val="none" w:sz="0" w:space="0" w:color="auto"/>
        <w:bottom w:val="none" w:sz="0" w:space="0" w:color="auto"/>
        <w:right w:val="none" w:sz="0" w:space="0" w:color="auto"/>
      </w:divBdr>
    </w:div>
    <w:div w:id="281814277">
      <w:bodyDiv w:val="1"/>
      <w:marLeft w:val="0"/>
      <w:marRight w:val="0"/>
      <w:marTop w:val="0"/>
      <w:marBottom w:val="0"/>
      <w:divBdr>
        <w:top w:val="none" w:sz="0" w:space="0" w:color="auto"/>
        <w:left w:val="none" w:sz="0" w:space="0" w:color="auto"/>
        <w:bottom w:val="none" w:sz="0" w:space="0" w:color="auto"/>
        <w:right w:val="none" w:sz="0" w:space="0" w:color="auto"/>
      </w:divBdr>
    </w:div>
    <w:div w:id="281962070">
      <w:bodyDiv w:val="1"/>
      <w:marLeft w:val="0"/>
      <w:marRight w:val="0"/>
      <w:marTop w:val="0"/>
      <w:marBottom w:val="0"/>
      <w:divBdr>
        <w:top w:val="none" w:sz="0" w:space="0" w:color="auto"/>
        <w:left w:val="none" w:sz="0" w:space="0" w:color="auto"/>
        <w:bottom w:val="none" w:sz="0" w:space="0" w:color="auto"/>
        <w:right w:val="none" w:sz="0" w:space="0" w:color="auto"/>
      </w:divBdr>
    </w:div>
    <w:div w:id="281962488">
      <w:bodyDiv w:val="1"/>
      <w:marLeft w:val="0"/>
      <w:marRight w:val="0"/>
      <w:marTop w:val="0"/>
      <w:marBottom w:val="0"/>
      <w:divBdr>
        <w:top w:val="none" w:sz="0" w:space="0" w:color="auto"/>
        <w:left w:val="none" w:sz="0" w:space="0" w:color="auto"/>
        <w:bottom w:val="none" w:sz="0" w:space="0" w:color="auto"/>
        <w:right w:val="none" w:sz="0" w:space="0" w:color="auto"/>
      </w:divBdr>
    </w:div>
    <w:div w:id="281965755">
      <w:bodyDiv w:val="1"/>
      <w:marLeft w:val="0"/>
      <w:marRight w:val="0"/>
      <w:marTop w:val="0"/>
      <w:marBottom w:val="0"/>
      <w:divBdr>
        <w:top w:val="none" w:sz="0" w:space="0" w:color="auto"/>
        <w:left w:val="none" w:sz="0" w:space="0" w:color="auto"/>
        <w:bottom w:val="none" w:sz="0" w:space="0" w:color="auto"/>
        <w:right w:val="none" w:sz="0" w:space="0" w:color="auto"/>
      </w:divBdr>
    </w:div>
    <w:div w:id="282003963">
      <w:bodyDiv w:val="1"/>
      <w:marLeft w:val="0"/>
      <w:marRight w:val="0"/>
      <w:marTop w:val="0"/>
      <w:marBottom w:val="0"/>
      <w:divBdr>
        <w:top w:val="none" w:sz="0" w:space="0" w:color="auto"/>
        <w:left w:val="none" w:sz="0" w:space="0" w:color="auto"/>
        <w:bottom w:val="none" w:sz="0" w:space="0" w:color="auto"/>
        <w:right w:val="none" w:sz="0" w:space="0" w:color="auto"/>
      </w:divBdr>
    </w:div>
    <w:div w:id="282006230">
      <w:bodyDiv w:val="1"/>
      <w:marLeft w:val="0"/>
      <w:marRight w:val="0"/>
      <w:marTop w:val="0"/>
      <w:marBottom w:val="0"/>
      <w:divBdr>
        <w:top w:val="none" w:sz="0" w:space="0" w:color="auto"/>
        <w:left w:val="none" w:sz="0" w:space="0" w:color="auto"/>
        <w:bottom w:val="none" w:sz="0" w:space="0" w:color="auto"/>
        <w:right w:val="none" w:sz="0" w:space="0" w:color="auto"/>
      </w:divBdr>
    </w:div>
    <w:div w:id="282074487">
      <w:bodyDiv w:val="1"/>
      <w:marLeft w:val="0"/>
      <w:marRight w:val="0"/>
      <w:marTop w:val="0"/>
      <w:marBottom w:val="0"/>
      <w:divBdr>
        <w:top w:val="none" w:sz="0" w:space="0" w:color="auto"/>
        <w:left w:val="none" w:sz="0" w:space="0" w:color="auto"/>
        <w:bottom w:val="none" w:sz="0" w:space="0" w:color="auto"/>
        <w:right w:val="none" w:sz="0" w:space="0" w:color="auto"/>
      </w:divBdr>
    </w:div>
    <w:div w:id="282201307">
      <w:bodyDiv w:val="1"/>
      <w:marLeft w:val="0"/>
      <w:marRight w:val="0"/>
      <w:marTop w:val="0"/>
      <w:marBottom w:val="0"/>
      <w:divBdr>
        <w:top w:val="none" w:sz="0" w:space="0" w:color="auto"/>
        <w:left w:val="none" w:sz="0" w:space="0" w:color="auto"/>
        <w:bottom w:val="none" w:sz="0" w:space="0" w:color="auto"/>
        <w:right w:val="none" w:sz="0" w:space="0" w:color="auto"/>
      </w:divBdr>
    </w:div>
    <w:div w:id="282275071">
      <w:bodyDiv w:val="1"/>
      <w:marLeft w:val="0"/>
      <w:marRight w:val="0"/>
      <w:marTop w:val="0"/>
      <w:marBottom w:val="0"/>
      <w:divBdr>
        <w:top w:val="none" w:sz="0" w:space="0" w:color="auto"/>
        <w:left w:val="none" w:sz="0" w:space="0" w:color="auto"/>
        <w:bottom w:val="none" w:sz="0" w:space="0" w:color="auto"/>
        <w:right w:val="none" w:sz="0" w:space="0" w:color="auto"/>
      </w:divBdr>
    </w:div>
    <w:div w:id="282344950">
      <w:bodyDiv w:val="1"/>
      <w:marLeft w:val="0"/>
      <w:marRight w:val="0"/>
      <w:marTop w:val="0"/>
      <w:marBottom w:val="0"/>
      <w:divBdr>
        <w:top w:val="none" w:sz="0" w:space="0" w:color="auto"/>
        <w:left w:val="none" w:sz="0" w:space="0" w:color="auto"/>
        <w:bottom w:val="none" w:sz="0" w:space="0" w:color="auto"/>
        <w:right w:val="none" w:sz="0" w:space="0" w:color="auto"/>
      </w:divBdr>
    </w:div>
    <w:div w:id="282345488">
      <w:bodyDiv w:val="1"/>
      <w:marLeft w:val="0"/>
      <w:marRight w:val="0"/>
      <w:marTop w:val="0"/>
      <w:marBottom w:val="0"/>
      <w:divBdr>
        <w:top w:val="none" w:sz="0" w:space="0" w:color="auto"/>
        <w:left w:val="none" w:sz="0" w:space="0" w:color="auto"/>
        <w:bottom w:val="none" w:sz="0" w:space="0" w:color="auto"/>
        <w:right w:val="none" w:sz="0" w:space="0" w:color="auto"/>
      </w:divBdr>
    </w:div>
    <w:div w:id="282346348">
      <w:bodyDiv w:val="1"/>
      <w:marLeft w:val="0"/>
      <w:marRight w:val="0"/>
      <w:marTop w:val="0"/>
      <w:marBottom w:val="0"/>
      <w:divBdr>
        <w:top w:val="none" w:sz="0" w:space="0" w:color="auto"/>
        <w:left w:val="none" w:sz="0" w:space="0" w:color="auto"/>
        <w:bottom w:val="none" w:sz="0" w:space="0" w:color="auto"/>
        <w:right w:val="none" w:sz="0" w:space="0" w:color="auto"/>
      </w:divBdr>
    </w:div>
    <w:div w:id="282543436">
      <w:bodyDiv w:val="1"/>
      <w:marLeft w:val="0"/>
      <w:marRight w:val="0"/>
      <w:marTop w:val="0"/>
      <w:marBottom w:val="0"/>
      <w:divBdr>
        <w:top w:val="none" w:sz="0" w:space="0" w:color="auto"/>
        <w:left w:val="none" w:sz="0" w:space="0" w:color="auto"/>
        <w:bottom w:val="none" w:sz="0" w:space="0" w:color="auto"/>
        <w:right w:val="none" w:sz="0" w:space="0" w:color="auto"/>
      </w:divBdr>
    </w:div>
    <w:div w:id="282618612">
      <w:bodyDiv w:val="1"/>
      <w:marLeft w:val="0"/>
      <w:marRight w:val="0"/>
      <w:marTop w:val="0"/>
      <w:marBottom w:val="0"/>
      <w:divBdr>
        <w:top w:val="none" w:sz="0" w:space="0" w:color="auto"/>
        <w:left w:val="none" w:sz="0" w:space="0" w:color="auto"/>
        <w:bottom w:val="none" w:sz="0" w:space="0" w:color="auto"/>
        <w:right w:val="none" w:sz="0" w:space="0" w:color="auto"/>
      </w:divBdr>
    </w:div>
    <w:div w:id="282661683">
      <w:bodyDiv w:val="1"/>
      <w:marLeft w:val="0"/>
      <w:marRight w:val="0"/>
      <w:marTop w:val="0"/>
      <w:marBottom w:val="0"/>
      <w:divBdr>
        <w:top w:val="none" w:sz="0" w:space="0" w:color="auto"/>
        <w:left w:val="none" w:sz="0" w:space="0" w:color="auto"/>
        <w:bottom w:val="none" w:sz="0" w:space="0" w:color="auto"/>
        <w:right w:val="none" w:sz="0" w:space="0" w:color="auto"/>
      </w:divBdr>
    </w:div>
    <w:div w:id="282662761">
      <w:bodyDiv w:val="1"/>
      <w:marLeft w:val="0"/>
      <w:marRight w:val="0"/>
      <w:marTop w:val="0"/>
      <w:marBottom w:val="0"/>
      <w:divBdr>
        <w:top w:val="none" w:sz="0" w:space="0" w:color="auto"/>
        <w:left w:val="none" w:sz="0" w:space="0" w:color="auto"/>
        <w:bottom w:val="none" w:sz="0" w:space="0" w:color="auto"/>
        <w:right w:val="none" w:sz="0" w:space="0" w:color="auto"/>
      </w:divBdr>
    </w:div>
    <w:div w:id="282687242">
      <w:bodyDiv w:val="1"/>
      <w:marLeft w:val="0"/>
      <w:marRight w:val="0"/>
      <w:marTop w:val="0"/>
      <w:marBottom w:val="0"/>
      <w:divBdr>
        <w:top w:val="none" w:sz="0" w:space="0" w:color="auto"/>
        <w:left w:val="none" w:sz="0" w:space="0" w:color="auto"/>
        <w:bottom w:val="none" w:sz="0" w:space="0" w:color="auto"/>
        <w:right w:val="none" w:sz="0" w:space="0" w:color="auto"/>
      </w:divBdr>
    </w:div>
    <w:div w:id="282809995">
      <w:bodyDiv w:val="1"/>
      <w:marLeft w:val="0"/>
      <w:marRight w:val="0"/>
      <w:marTop w:val="0"/>
      <w:marBottom w:val="0"/>
      <w:divBdr>
        <w:top w:val="none" w:sz="0" w:space="0" w:color="auto"/>
        <w:left w:val="none" w:sz="0" w:space="0" w:color="auto"/>
        <w:bottom w:val="none" w:sz="0" w:space="0" w:color="auto"/>
        <w:right w:val="none" w:sz="0" w:space="0" w:color="auto"/>
      </w:divBdr>
    </w:div>
    <w:div w:id="282882263">
      <w:bodyDiv w:val="1"/>
      <w:marLeft w:val="0"/>
      <w:marRight w:val="0"/>
      <w:marTop w:val="0"/>
      <w:marBottom w:val="0"/>
      <w:divBdr>
        <w:top w:val="none" w:sz="0" w:space="0" w:color="auto"/>
        <w:left w:val="none" w:sz="0" w:space="0" w:color="auto"/>
        <w:bottom w:val="none" w:sz="0" w:space="0" w:color="auto"/>
        <w:right w:val="none" w:sz="0" w:space="0" w:color="auto"/>
      </w:divBdr>
    </w:div>
    <w:div w:id="282926204">
      <w:bodyDiv w:val="1"/>
      <w:marLeft w:val="0"/>
      <w:marRight w:val="0"/>
      <w:marTop w:val="0"/>
      <w:marBottom w:val="0"/>
      <w:divBdr>
        <w:top w:val="none" w:sz="0" w:space="0" w:color="auto"/>
        <w:left w:val="none" w:sz="0" w:space="0" w:color="auto"/>
        <w:bottom w:val="none" w:sz="0" w:space="0" w:color="auto"/>
        <w:right w:val="none" w:sz="0" w:space="0" w:color="auto"/>
      </w:divBdr>
    </w:div>
    <w:div w:id="282931059">
      <w:bodyDiv w:val="1"/>
      <w:marLeft w:val="0"/>
      <w:marRight w:val="0"/>
      <w:marTop w:val="0"/>
      <w:marBottom w:val="0"/>
      <w:divBdr>
        <w:top w:val="none" w:sz="0" w:space="0" w:color="auto"/>
        <w:left w:val="none" w:sz="0" w:space="0" w:color="auto"/>
        <w:bottom w:val="none" w:sz="0" w:space="0" w:color="auto"/>
        <w:right w:val="none" w:sz="0" w:space="0" w:color="auto"/>
      </w:divBdr>
    </w:div>
    <w:div w:id="283003651">
      <w:bodyDiv w:val="1"/>
      <w:marLeft w:val="0"/>
      <w:marRight w:val="0"/>
      <w:marTop w:val="0"/>
      <w:marBottom w:val="0"/>
      <w:divBdr>
        <w:top w:val="none" w:sz="0" w:space="0" w:color="auto"/>
        <w:left w:val="none" w:sz="0" w:space="0" w:color="auto"/>
        <w:bottom w:val="none" w:sz="0" w:space="0" w:color="auto"/>
        <w:right w:val="none" w:sz="0" w:space="0" w:color="auto"/>
      </w:divBdr>
    </w:div>
    <w:div w:id="283003889">
      <w:bodyDiv w:val="1"/>
      <w:marLeft w:val="0"/>
      <w:marRight w:val="0"/>
      <w:marTop w:val="0"/>
      <w:marBottom w:val="0"/>
      <w:divBdr>
        <w:top w:val="none" w:sz="0" w:space="0" w:color="auto"/>
        <w:left w:val="none" w:sz="0" w:space="0" w:color="auto"/>
        <w:bottom w:val="none" w:sz="0" w:space="0" w:color="auto"/>
        <w:right w:val="none" w:sz="0" w:space="0" w:color="auto"/>
      </w:divBdr>
    </w:div>
    <w:div w:id="283274748">
      <w:bodyDiv w:val="1"/>
      <w:marLeft w:val="0"/>
      <w:marRight w:val="0"/>
      <w:marTop w:val="0"/>
      <w:marBottom w:val="0"/>
      <w:divBdr>
        <w:top w:val="none" w:sz="0" w:space="0" w:color="auto"/>
        <w:left w:val="none" w:sz="0" w:space="0" w:color="auto"/>
        <w:bottom w:val="none" w:sz="0" w:space="0" w:color="auto"/>
        <w:right w:val="none" w:sz="0" w:space="0" w:color="auto"/>
      </w:divBdr>
    </w:div>
    <w:div w:id="283316076">
      <w:bodyDiv w:val="1"/>
      <w:marLeft w:val="0"/>
      <w:marRight w:val="0"/>
      <w:marTop w:val="0"/>
      <w:marBottom w:val="0"/>
      <w:divBdr>
        <w:top w:val="none" w:sz="0" w:space="0" w:color="auto"/>
        <w:left w:val="none" w:sz="0" w:space="0" w:color="auto"/>
        <w:bottom w:val="none" w:sz="0" w:space="0" w:color="auto"/>
        <w:right w:val="none" w:sz="0" w:space="0" w:color="auto"/>
      </w:divBdr>
    </w:div>
    <w:div w:id="283317084">
      <w:bodyDiv w:val="1"/>
      <w:marLeft w:val="0"/>
      <w:marRight w:val="0"/>
      <w:marTop w:val="0"/>
      <w:marBottom w:val="0"/>
      <w:divBdr>
        <w:top w:val="none" w:sz="0" w:space="0" w:color="auto"/>
        <w:left w:val="none" w:sz="0" w:space="0" w:color="auto"/>
        <w:bottom w:val="none" w:sz="0" w:space="0" w:color="auto"/>
        <w:right w:val="none" w:sz="0" w:space="0" w:color="auto"/>
      </w:divBdr>
    </w:div>
    <w:div w:id="283391001">
      <w:bodyDiv w:val="1"/>
      <w:marLeft w:val="0"/>
      <w:marRight w:val="0"/>
      <w:marTop w:val="0"/>
      <w:marBottom w:val="0"/>
      <w:divBdr>
        <w:top w:val="none" w:sz="0" w:space="0" w:color="auto"/>
        <w:left w:val="none" w:sz="0" w:space="0" w:color="auto"/>
        <w:bottom w:val="none" w:sz="0" w:space="0" w:color="auto"/>
        <w:right w:val="none" w:sz="0" w:space="0" w:color="auto"/>
      </w:divBdr>
    </w:div>
    <w:div w:id="283392035">
      <w:bodyDiv w:val="1"/>
      <w:marLeft w:val="0"/>
      <w:marRight w:val="0"/>
      <w:marTop w:val="0"/>
      <w:marBottom w:val="0"/>
      <w:divBdr>
        <w:top w:val="none" w:sz="0" w:space="0" w:color="auto"/>
        <w:left w:val="none" w:sz="0" w:space="0" w:color="auto"/>
        <w:bottom w:val="none" w:sz="0" w:space="0" w:color="auto"/>
        <w:right w:val="none" w:sz="0" w:space="0" w:color="auto"/>
      </w:divBdr>
    </w:div>
    <w:div w:id="283466268">
      <w:bodyDiv w:val="1"/>
      <w:marLeft w:val="0"/>
      <w:marRight w:val="0"/>
      <w:marTop w:val="0"/>
      <w:marBottom w:val="0"/>
      <w:divBdr>
        <w:top w:val="none" w:sz="0" w:space="0" w:color="auto"/>
        <w:left w:val="none" w:sz="0" w:space="0" w:color="auto"/>
        <w:bottom w:val="none" w:sz="0" w:space="0" w:color="auto"/>
        <w:right w:val="none" w:sz="0" w:space="0" w:color="auto"/>
      </w:divBdr>
    </w:div>
    <w:div w:id="283510156">
      <w:bodyDiv w:val="1"/>
      <w:marLeft w:val="0"/>
      <w:marRight w:val="0"/>
      <w:marTop w:val="0"/>
      <w:marBottom w:val="0"/>
      <w:divBdr>
        <w:top w:val="none" w:sz="0" w:space="0" w:color="auto"/>
        <w:left w:val="none" w:sz="0" w:space="0" w:color="auto"/>
        <w:bottom w:val="none" w:sz="0" w:space="0" w:color="auto"/>
        <w:right w:val="none" w:sz="0" w:space="0" w:color="auto"/>
      </w:divBdr>
    </w:div>
    <w:div w:id="283538271">
      <w:bodyDiv w:val="1"/>
      <w:marLeft w:val="0"/>
      <w:marRight w:val="0"/>
      <w:marTop w:val="0"/>
      <w:marBottom w:val="0"/>
      <w:divBdr>
        <w:top w:val="none" w:sz="0" w:space="0" w:color="auto"/>
        <w:left w:val="none" w:sz="0" w:space="0" w:color="auto"/>
        <w:bottom w:val="none" w:sz="0" w:space="0" w:color="auto"/>
        <w:right w:val="none" w:sz="0" w:space="0" w:color="auto"/>
      </w:divBdr>
    </w:div>
    <w:div w:id="283581065">
      <w:bodyDiv w:val="1"/>
      <w:marLeft w:val="0"/>
      <w:marRight w:val="0"/>
      <w:marTop w:val="0"/>
      <w:marBottom w:val="0"/>
      <w:divBdr>
        <w:top w:val="none" w:sz="0" w:space="0" w:color="auto"/>
        <w:left w:val="none" w:sz="0" w:space="0" w:color="auto"/>
        <w:bottom w:val="none" w:sz="0" w:space="0" w:color="auto"/>
        <w:right w:val="none" w:sz="0" w:space="0" w:color="auto"/>
      </w:divBdr>
    </w:div>
    <w:div w:id="283655536">
      <w:bodyDiv w:val="1"/>
      <w:marLeft w:val="0"/>
      <w:marRight w:val="0"/>
      <w:marTop w:val="0"/>
      <w:marBottom w:val="0"/>
      <w:divBdr>
        <w:top w:val="none" w:sz="0" w:space="0" w:color="auto"/>
        <w:left w:val="none" w:sz="0" w:space="0" w:color="auto"/>
        <w:bottom w:val="none" w:sz="0" w:space="0" w:color="auto"/>
        <w:right w:val="none" w:sz="0" w:space="0" w:color="auto"/>
      </w:divBdr>
    </w:div>
    <w:div w:id="283656537">
      <w:bodyDiv w:val="1"/>
      <w:marLeft w:val="0"/>
      <w:marRight w:val="0"/>
      <w:marTop w:val="0"/>
      <w:marBottom w:val="0"/>
      <w:divBdr>
        <w:top w:val="none" w:sz="0" w:space="0" w:color="auto"/>
        <w:left w:val="none" w:sz="0" w:space="0" w:color="auto"/>
        <w:bottom w:val="none" w:sz="0" w:space="0" w:color="auto"/>
        <w:right w:val="none" w:sz="0" w:space="0" w:color="auto"/>
      </w:divBdr>
    </w:div>
    <w:div w:id="283660965">
      <w:bodyDiv w:val="1"/>
      <w:marLeft w:val="0"/>
      <w:marRight w:val="0"/>
      <w:marTop w:val="0"/>
      <w:marBottom w:val="0"/>
      <w:divBdr>
        <w:top w:val="none" w:sz="0" w:space="0" w:color="auto"/>
        <w:left w:val="none" w:sz="0" w:space="0" w:color="auto"/>
        <w:bottom w:val="none" w:sz="0" w:space="0" w:color="auto"/>
        <w:right w:val="none" w:sz="0" w:space="0" w:color="auto"/>
      </w:divBdr>
    </w:div>
    <w:div w:id="283662484">
      <w:bodyDiv w:val="1"/>
      <w:marLeft w:val="0"/>
      <w:marRight w:val="0"/>
      <w:marTop w:val="0"/>
      <w:marBottom w:val="0"/>
      <w:divBdr>
        <w:top w:val="none" w:sz="0" w:space="0" w:color="auto"/>
        <w:left w:val="none" w:sz="0" w:space="0" w:color="auto"/>
        <w:bottom w:val="none" w:sz="0" w:space="0" w:color="auto"/>
        <w:right w:val="none" w:sz="0" w:space="0" w:color="auto"/>
      </w:divBdr>
    </w:div>
    <w:div w:id="283780587">
      <w:bodyDiv w:val="1"/>
      <w:marLeft w:val="0"/>
      <w:marRight w:val="0"/>
      <w:marTop w:val="0"/>
      <w:marBottom w:val="0"/>
      <w:divBdr>
        <w:top w:val="none" w:sz="0" w:space="0" w:color="auto"/>
        <w:left w:val="none" w:sz="0" w:space="0" w:color="auto"/>
        <w:bottom w:val="none" w:sz="0" w:space="0" w:color="auto"/>
        <w:right w:val="none" w:sz="0" w:space="0" w:color="auto"/>
      </w:divBdr>
    </w:div>
    <w:div w:id="283925448">
      <w:bodyDiv w:val="1"/>
      <w:marLeft w:val="0"/>
      <w:marRight w:val="0"/>
      <w:marTop w:val="0"/>
      <w:marBottom w:val="0"/>
      <w:divBdr>
        <w:top w:val="none" w:sz="0" w:space="0" w:color="auto"/>
        <w:left w:val="none" w:sz="0" w:space="0" w:color="auto"/>
        <w:bottom w:val="none" w:sz="0" w:space="0" w:color="auto"/>
        <w:right w:val="none" w:sz="0" w:space="0" w:color="auto"/>
      </w:divBdr>
    </w:div>
    <w:div w:id="283973226">
      <w:bodyDiv w:val="1"/>
      <w:marLeft w:val="0"/>
      <w:marRight w:val="0"/>
      <w:marTop w:val="0"/>
      <w:marBottom w:val="0"/>
      <w:divBdr>
        <w:top w:val="none" w:sz="0" w:space="0" w:color="auto"/>
        <w:left w:val="none" w:sz="0" w:space="0" w:color="auto"/>
        <w:bottom w:val="none" w:sz="0" w:space="0" w:color="auto"/>
        <w:right w:val="none" w:sz="0" w:space="0" w:color="auto"/>
      </w:divBdr>
    </w:div>
    <w:div w:id="284048958">
      <w:bodyDiv w:val="1"/>
      <w:marLeft w:val="0"/>
      <w:marRight w:val="0"/>
      <w:marTop w:val="0"/>
      <w:marBottom w:val="0"/>
      <w:divBdr>
        <w:top w:val="none" w:sz="0" w:space="0" w:color="auto"/>
        <w:left w:val="none" w:sz="0" w:space="0" w:color="auto"/>
        <w:bottom w:val="none" w:sz="0" w:space="0" w:color="auto"/>
        <w:right w:val="none" w:sz="0" w:space="0" w:color="auto"/>
      </w:divBdr>
    </w:div>
    <w:div w:id="284120111">
      <w:bodyDiv w:val="1"/>
      <w:marLeft w:val="0"/>
      <w:marRight w:val="0"/>
      <w:marTop w:val="0"/>
      <w:marBottom w:val="0"/>
      <w:divBdr>
        <w:top w:val="none" w:sz="0" w:space="0" w:color="auto"/>
        <w:left w:val="none" w:sz="0" w:space="0" w:color="auto"/>
        <w:bottom w:val="none" w:sz="0" w:space="0" w:color="auto"/>
        <w:right w:val="none" w:sz="0" w:space="0" w:color="auto"/>
      </w:divBdr>
    </w:div>
    <w:div w:id="284239752">
      <w:bodyDiv w:val="1"/>
      <w:marLeft w:val="0"/>
      <w:marRight w:val="0"/>
      <w:marTop w:val="0"/>
      <w:marBottom w:val="0"/>
      <w:divBdr>
        <w:top w:val="none" w:sz="0" w:space="0" w:color="auto"/>
        <w:left w:val="none" w:sz="0" w:space="0" w:color="auto"/>
        <w:bottom w:val="none" w:sz="0" w:space="0" w:color="auto"/>
        <w:right w:val="none" w:sz="0" w:space="0" w:color="auto"/>
      </w:divBdr>
    </w:div>
    <w:div w:id="284241886">
      <w:bodyDiv w:val="1"/>
      <w:marLeft w:val="0"/>
      <w:marRight w:val="0"/>
      <w:marTop w:val="0"/>
      <w:marBottom w:val="0"/>
      <w:divBdr>
        <w:top w:val="none" w:sz="0" w:space="0" w:color="auto"/>
        <w:left w:val="none" w:sz="0" w:space="0" w:color="auto"/>
        <w:bottom w:val="none" w:sz="0" w:space="0" w:color="auto"/>
        <w:right w:val="none" w:sz="0" w:space="0" w:color="auto"/>
      </w:divBdr>
    </w:div>
    <w:div w:id="284317402">
      <w:bodyDiv w:val="1"/>
      <w:marLeft w:val="0"/>
      <w:marRight w:val="0"/>
      <w:marTop w:val="0"/>
      <w:marBottom w:val="0"/>
      <w:divBdr>
        <w:top w:val="none" w:sz="0" w:space="0" w:color="auto"/>
        <w:left w:val="none" w:sz="0" w:space="0" w:color="auto"/>
        <w:bottom w:val="none" w:sz="0" w:space="0" w:color="auto"/>
        <w:right w:val="none" w:sz="0" w:space="0" w:color="auto"/>
      </w:divBdr>
    </w:div>
    <w:div w:id="284387860">
      <w:bodyDiv w:val="1"/>
      <w:marLeft w:val="0"/>
      <w:marRight w:val="0"/>
      <w:marTop w:val="0"/>
      <w:marBottom w:val="0"/>
      <w:divBdr>
        <w:top w:val="none" w:sz="0" w:space="0" w:color="auto"/>
        <w:left w:val="none" w:sz="0" w:space="0" w:color="auto"/>
        <w:bottom w:val="none" w:sz="0" w:space="0" w:color="auto"/>
        <w:right w:val="none" w:sz="0" w:space="0" w:color="auto"/>
      </w:divBdr>
    </w:div>
    <w:div w:id="284849663">
      <w:bodyDiv w:val="1"/>
      <w:marLeft w:val="0"/>
      <w:marRight w:val="0"/>
      <w:marTop w:val="0"/>
      <w:marBottom w:val="0"/>
      <w:divBdr>
        <w:top w:val="none" w:sz="0" w:space="0" w:color="auto"/>
        <w:left w:val="none" w:sz="0" w:space="0" w:color="auto"/>
        <w:bottom w:val="none" w:sz="0" w:space="0" w:color="auto"/>
        <w:right w:val="none" w:sz="0" w:space="0" w:color="auto"/>
      </w:divBdr>
    </w:div>
    <w:div w:id="284897758">
      <w:bodyDiv w:val="1"/>
      <w:marLeft w:val="0"/>
      <w:marRight w:val="0"/>
      <w:marTop w:val="0"/>
      <w:marBottom w:val="0"/>
      <w:divBdr>
        <w:top w:val="none" w:sz="0" w:space="0" w:color="auto"/>
        <w:left w:val="none" w:sz="0" w:space="0" w:color="auto"/>
        <w:bottom w:val="none" w:sz="0" w:space="0" w:color="auto"/>
        <w:right w:val="none" w:sz="0" w:space="0" w:color="auto"/>
      </w:divBdr>
    </w:div>
    <w:div w:id="284965651">
      <w:bodyDiv w:val="1"/>
      <w:marLeft w:val="0"/>
      <w:marRight w:val="0"/>
      <w:marTop w:val="0"/>
      <w:marBottom w:val="0"/>
      <w:divBdr>
        <w:top w:val="none" w:sz="0" w:space="0" w:color="auto"/>
        <w:left w:val="none" w:sz="0" w:space="0" w:color="auto"/>
        <w:bottom w:val="none" w:sz="0" w:space="0" w:color="auto"/>
        <w:right w:val="none" w:sz="0" w:space="0" w:color="auto"/>
      </w:divBdr>
    </w:div>
    <w:div w:id="284970050">
      <w:bodyDiv w:val="1"/>
      <w:marLeft w:val="0"/>
      <w:marRight w:val="0"/>
      <w:marTop w:val="0"/>
      <w:marBottom w:val="0"/>
      <w:divBdr>
        <w:top w:val="none" w:sz="0" w:space="0" w:color="auto"/>
        <w:left w:val="none" w:sz="0" w:space="0" w:color="auto"/>
        <w:bottom w:val="none" w:sz="0" w:space="0" w:color="auto"/>
        <w:right w:val="none" w:sz="0" w:space="0" w:color="auto"/>
      </w:divBdr>
    </w:div>
    <w:div w:id="284972557">
      <w:bodyDiv w:val="1"/>
      <w:marLeft w:val="0"/>
      <w:marRight w:val="0"/>
      <w:marTop w:val="0"/>
      <w:marBottom w:val="0"/>
      <w:divBdr>
        <w:top w:val="none" w:sz="0" w:space="0" w:color="auto"/>
        <w:left w:val="none" w:sz="0" w:space="0" w:color="auto"/>
        <w:bottom w:val="none" w:sz="0" w:space="0" w:color="auto"/>
        <w:right w:val="none" w:sz="0" w:space="0" w:color="auto"/>
      </w:divBdr>
    </w:div>
    <w:div w:id="285236420">
      <w:bodyDiv w:val="1"/>
      <w:marLeft w:val="0"/>
      <w:marRight w:val="0"/>
      <w:marTop w:val="0"/>
      <w:marBottom w:val="0"/>
      <w:divBdr>
        <w:top w:val="none" w:sz="0" w:space="0" w:color="auto"/>
        <w:left w:val="none" w:sz="0" w:space="0" w:color="auto"/>
        <w:bottom w:val="none" w:sz="0" w:space="0" w:color="auto"/>
        <w:right w:val="none" w:sz="0" w:space="0" w:color="auto"/>
      </w:divBdr>
    </w:div>
    <w:div w:id="285238207">
      <w:bodyDiv w:val="1"/>
      <w:marLeft w:val="0"/>
      <w:marRight w:val="0"/>
      <w:marTop w:val="0"/>
      <w:marBottom w:val="0"/>
      <w:divBdr>
        <w:top w:val="none" w:sz="0" w:space="0" w:color="auto"/>
        <w:left w:val="none" w:sz="0" w:space="0" w:color="auto"/>
        <w:bottom w:val="none" w:sz="0" w:space="0" w:color="auto"/>
        <w:right w:val="none" w:sz="0" w:space="0" w:color="auto"/>
      </w:divBdr>
    </w:div>
    <w:div w:id="285307872">
      <w:bodyDiv w:val="1"/>
      <w:marLeft w:val="0"/>
      <w:marRight w:val="0"/>
      <w:marTop w:val="0"/>
      <w:marBottom w:val="0"/>
      <w:divBdr>
        <w:top w:val="none" w:sz="0" w:space="0" w:color="auto"/>
        <w:left w:val="none" w:sz="0" w:space="0" w:color="auto"/>
        <w:bottom w:val="none" w:sz="0" w:space="0" w:color="auto"/>
        <w:right w:val="none" w:sz="0" w:space="0" w:color="auto"/>
      </w:divBdr>
    </w:div>
    <w:div w:id="285433804">
      <w:bodyDiv w:val="1"/>
      <w:marLeft w:val="0"/>
      <w:marRight w:val="0"/>
      <w:marTop w:val="0"/>
      <w:marBottom w:val="0"/>
      <w:divBdr>
        <w:top w:val="none" w:sz="0" w:space="0" w:color="auto"/>
        <w:left w:val="none" w:sz="0" w:space="0" w:color="auto"/>
        <w:bottom w:val="none" w:sz="0" w:space="0" w:color="auto"/>
        <w:right w:val="none" w:sz="0" w:space="0" w:color="auto"/>
      </w:divBdr>
    </w:div>
    <w:div w:id="285475778">
      <w:bodyDiv w:val="1"/>
      <w:marLeft w:val="0"/>
      <w:marRight w:val="0"/>
      <w:marTop w:val="0"/>
      <w:marBottom w:val="0"/>
      <w:divBdr>
        <w:top w:val="none" w:sz="0" w:space="0" w:color="auto"/>
        <w:left w:val="none" w:sz="0" w:space="0" w:color="auto"/>
        <w:bottom w:val="none" w:sz="0" w:space="0" w:color="auto"/>
        <w:right w:val="none" w:sz="0" w:space="0" w:color="auto"/>
      </w:divBdr>
    </w:div>
    <w:div w:id="285544133">
      <w:bodyDiv w:val="1"/>
      <w:marLeft w:val="0"/>
      <w:marRight w:val="0"/>
      <w:marTop w:val="0"/>
      <w:marBottom w:val="0"/>
      <w:divBdr>
        <w:top w:val="none" w:sz="0" w:space="0" w:color="auto"/>
        <w:left w:val="none" w:sz="0" w:space="0" w:color="auto"/>
        <w:bottom w:val="none" w:sz="0" w:space="0" w:color="auto"/>
        <w:right w:val="none" w:sz="0" w:space="0" w:color="auto"/>
      </w:divBdr>
    </w:div>
    <w:div w:id="285546690">
      <w:bodyDiv w:val="1"/>
      <w:marLeft w:val="0"/>
      <w:marRight w:val="0"/>
      <w:marTop w:val="0"/>
      <w:marBottom w:val="0"/>
      <w:divBdr>
        <w:top w:val="none" w:sz="0" w:space="0" w:color="auto"/>
        <w:left w:val="none" w:sz="0" w:space="0" w:color="auto"/>
        <w:bottom w:val="none" w:sz="0" w:space="0" w:color="auto"/>
        <w:right w:val="none" w:sz="0" w:space="0" w:color="auto"/>
      </w:divBdr>
    </w:div>
    <w:div w:id="285551605">
      <w:bodyDiv w:val="1"/>
      <w:marLeft w:val="0"/>
      <w:marRight w:val="0"/>
      <w:marTop w:val="0"/>
      <w:marBottom w:val="0"/>
      <w:divBdr>
        <w:top w:val="none" w:sz="0" w:space="0" w:color="auto"/>
        <w:left w:val="none" w:sz="0" w:space="0" w:color="auto"/>
        <w:bottom w:val="none" w:sz="0" w:space="0" w:color="auto"/>
        <w:right w:val="none" w:sz="0" w:space="0" w:color="auto"/>
      </w:divBdr>
    </w:div>
    <w:div w:id="285622182">
      <w:bodyDiv w:val="1"/>
      <w:marLeft w:val="0"/>
      <w:marRight w:val="0"/>
      <w:marTop w:val="0"/>
      <w:marBottom w:val="0"/>
      <w:divBdr>
        <w:top w:val="none" w:sz="0" w:space="0" w:color="auto"/>
        <w:left w:val="none" w:sz="0" w:space="0" w:color="auto"/>
        <w:bottom w:val="none" w:sz="0" w:space="0" w:color="auto"/>
        <w:right w:val="none" w:sz="0" w:space="0" w:color="auto"/>
      </w:divBdr>
    </w:div>
    <w:div w:id="285622416">
      <w:bodyDiv w:val="1"/>
      <w:marLeft w:val="0"/>
      <w:marRight w:val="0"/>
      <w:marTop w:val="0"/>
      <w:marBottom w:val="0"/>
      <w:divBdr>
        <w:top w:val="none" w:sz="0" w:space="0" w:color="auto"/>
        <w:left w:val="none" w:sz="0" w:space="0" w:color="auto"/>
        <w:bottom w:val="none" w:sz="0" w:space="0" w:color="auto"/>
        <w:right w:val="none" w:sz="0" w:space="0" w:color="auto"/>
      </w:divBdr>
    </w:div>
    <w:div w:id="285701370">
      <w:bodyDiv w:val="1"/>
      <w:marLeft w:val="0"/>
      <w:marRight w:val="0"/>
      <w:marTop w:val="0"/>
      <w:marBottom w:val="0"/>
      <w:divBdr>
        <w:top w:val="none" w:sz="0" w:space="0" w:color="auto"/>
        <w:left w:val="none" w:sz="0" w:space="0" w:color="auto"/>
        <w:bottom w:val="none" w:sz="0" w:space="0" w:color="auto"/>
        <w:right w:val="none" w:sz="0" w:space="0" w:color="auto"/>
      </w:divBdr>
    </w:div>
    <w:div w:id="285887901">
      <w:bodyDiv w:val="1"/>
      <w:marLeft w:val="0"/>
      <w:marRight w:val="0"/>
      <w:marTop w:val="0"/>
      <w:marBottom w:val="0"/>
      <w:divBdr>
        <w:top w:val="none" w:sz="0" w:space="0" w:color="auto"/>
        <w:left w:val="none" w:sz="0" w:space="0" w:color="auto"/>
        <w:bottom w:val="none" w:sz="0" w:space="0" w:color="auto"/>
        <w:right w:val="none" w:sz="0" w:space="0" w:color="auto"/>
      </w:divBdr>
    </w:div>
    <w:div w:id="285888359">
      <w:bodyDiv w:val="1"/>
      <w:marLeft w:val="0"/>
      <w:marRight w:val="0"/>
      <w:marTop w:val="0"/>
      <w:marBottom w:val="0"/>
      <w:divBdr>
        <w:top w:val="none" w:sz="0" w:space="0" w:color="auto"/>
        <w:left w:val="none" w:sz="0" w:space="0" w:color="auto"/>
        <w:bottom w:val="none" w:sz="0" w:space="0" w:color="auto"/>
        <w:right w:val="none" w:sz="0" w:space="0" w:color="auto"/>
      </w:divBdr>
    </w:div>
    <w:div w:id="285888530">
      <w:bodyDiv w:val="1"/>
      <w:marLeft w:val="0"/>
      <w:marRight w:val="0"/>
      <w:marTop w:val="0"/>
      <w:marBottom w:val="0"/>
      <w:divBdr>
        <w:top w:val="none" w:sz="0" w:space="0" w:color="auto"/>
        <w:left w:val="none" w:sz="0" w:space="0" w:color="auto"/>
        <w:bottom w:val="none" w:sz="0" w:space="0" w:color="auto"/>
        <w:right w:val="none" w:sz="0" w:space="0" w:color="auto"/>
      </w:divBdr>
    </w:div>
    <w:div w:id="285890680">
      <w:bodyDiv w:val="1"/>
      <w:marLeft w:val="0"/>
      <w:marRight w:val="0"/>
      <w:marTop w:val="0"/>
      <w:marBottom w:val="0"/>
      <w:divBdr>
        <w:top w:val="none" w:sz="0" w:space="0" w:color="auto"/>
        <w:left w:val="none" w:sz="0" w:space="0" w:color="auto"/>
        <w:bottom w:val="none" w:sz="0" w:space="0" w:color="auto"/>
        <w:right w:val="none" w:sz="0" w:space="0" w:color="auto"/>
      </w:divBdr>
    </w:div>
    <w:div w:id="285935292">
      <w:bodyDiv w:val="1"/>
      <w:marLeft w:val="0"/>
      <w:marRight w:val="0"/>
      <w:marTop w:val="0"/>
      <w:marBottom w:val="0"/>
      <w:divBdr>
        <w:top w:val="none" w:sz="0" w:space="0" w:color="auto"/>
        <w:left w:val="none" w:sz="0" w:space="0" w:color="auto"/>
        <w:bottom w:val="none" w:sz="0" w:space="0" w:color="auto"/>
        <w:right w:val="none" w:sz="0" w:space="0" w:color="auto"/>
      </w:divBdr>
    </w:div>
    <w:div w:id="286083857">
      <w:bodyDiv w:val="1"/>
      <w:marLeft w:val="0"/>
      <w:marRight w:val="0"/>
      <w:marTop w:val="0"/>
      <w:marBottom w:val="0"/>
      <w:divBdr>
        <w:top w:val="none" w:sz="0" w:space="0" w:color="auto"/>
        <w:left w:val="none" w:sz="0" w:space="0" w:color="auto"/>
        <w:bottom w:val="none" w:sz="0" w:space="0" w:color="auto"/>
        <w:right w:val="none" w:sz="0" w:space="0" w:color="auto"/>
      </w:divBdr>
    </w:div>
    <w:div w:id="286203514">
      <w:bodyDiv w:val="1"/>
      <w:marLeft w:val="0"/>
      <w:marRight w:val="0"/>
      <w:marTop w:val="0"/>
      <w:marBottom w:val="0"/>
      <w:divBdr>
        <w:top w:val="none" w:sz="0" w:space="0" w:color="auto"/>
        <w:left w:val="none" w:sz="0" w:space="0" w:color="auto"/>
        <w:bottom w:val="none" w:sz="0" w:space="0" w:color="auto"/>
        <w:right w:val="none" w:sz="0" w:space="0" w:color="auto"/>
      </w:divBdr>
    </w:div>
    <w:div w:id="286350030">
      <w:bodyDiv w:val="1"/>
      <w:marLeft w:val="0"/>
      <w:marRight w:val="0"/>
      <w:marTop w:val="0"/>
      <w:marBottom w:val="0"/>
      <w:divBdr>
        <w:top w:val="none" w:sz="0" w:space="0" w:color="auto"/>
        <w:left w:val="none" w:sz="0" w:space="0" w:color="auto"/>
        <w:bottom w:val="none" w:sz="0" w:space="0" w:color="auto"/>
        <w:right w:val="none" w:sz="0" w:space="0" w:color="auto"/>
      </w:divBdr>
    </w:div>
    <w:div w:id="286401620">
      <w:bodyDiv w:val="1"/>
      <w:marLeft w:val="0"/>
      <w:marRight w:val="0"/>
      <w:marTop w:val="0"/>
      <w:marBottom w:val="0"/>
      <w:divBdr>
        <w:top w:val="none" w:sz="0" w:space="0" w:color="auto"/>
        <w:left w:val="none" w:sz="0" w:space="0" w:color="auto"/>
        <w:bottom w:val="none" w:sz="0" w:space="0" w:color="auto"/>
        <w:right w:val="none" w:sz="0" w:space="0" w:color="auto"/>
      </w:divBdr>
    </w:div>
    <w:div w:id="286550289">
      <w:bodyDiv w:val="1"/>
      <w:marLeft w:val="0"/>
      <w:marRight w:val="0"/>
      <w:marTop w:val="0"/>
      <w:marBottom w:val="0"/>
      <w:divBdr>
        <w:top w:val="none" w:sz="0" w:space="0" w:color="auto"/>
        <w:left w:val="none" w:sz="0" w:space="0" w:color="auto"/>
        <w:bottom w:val="none" w:sz="0" w:space="0" w:color="auto"/>
        <w:right w:val="none" w:sz="0" w:space="0" w:color="auto"/>
      </w:divBdr>
    </w:div>
    <w:div w:id="286619872">
      <w:bodyDiv w:val="1"/>
      <w:marLeft w:val="0"/>
      <w:marRight w:val="0"/>
      <w:marTop w:val="0"/>
      <w:marBottom w:val="0"/>
      <w:divBdr>
        <w:top w:val="none" w:sz="0" w:space="0" w:color="auto"/>
        <w:left w:val="none" w:sz="0" w:space="0" w:color="auto"/>
        <w:bottom w:val="none" w:sz="0" w:space="0" w:color="auto"/>
        <w:right w:val="none" w:sz="0" w:space="0" w:color="auto"/>
      </w:divBdr>
    </w:div>
    <w:div w:id="286661352">
      <w:bodyDiv w:val="1"/>
      <w:marLeft w:val="0"/>
      <w:marRight w:val="0"/>
      <w:marTop w:val="0"/>
      <w:marBottom w:val="0"/>
      <w:divBdr>
        <w:top w:val="none" w:sz="0" w:space="0" w:color="auto"/>
        <w:left w:val="none" w:sz="0" w:space="0" w:color="auto"/>
        <w:bottom w:val="none" w:sz="0" w:space="0" w:color="auto"/>
        <w:right w:val="none" w:sz="0" w:space="0" w:color="auto"/>
      </w:divBdr>
    </w:div>
    <w:div w:id="286663033">
      <w:bodyDiv w:val="1"/>
      <w:marLeft w:val="0"/>
      <w:marRight w:val="0"/>
      <w:marTop w:val="0"/>
      <w:marBottom w:val="0"/>
      <w:divBdr>
        <w:top w:val="none" w:sz="0" w:space="0" w:color="auto"/>
        <w:left w:val="none" w:sz="0" w:space="0" w:color="auto"/>
        <w:bottom w:val="none" w:sz="0" w:space="0" w:color="auto"/>
        <w:right w:val="none" w:sz="0" w:space="0" w:color="auto"/>
      </w:divBdr>
    </w:div>
    <w:div w:id="286663942">
      <w:bodyDiv w:val="1"/>
      <w:marLeft w:val="0"/>
      <w:marRight w:val="0"/>
      <w:marTop w:val="0"/>
      <w:marBottom w:val="0"/>
      <w:divBdr>
        <w:top w:val="none" w:sz="0" w:space="0" w:color="auto"/>
        <w:left w:val="none" w:sz="0" w:space="0" w:color="auto"/>
        <w:bottom w:val="none" w:sz="0" w:space="0" w:color="auto"/>
        <w:right w:val="none" w:sz="0" w:space="0" w:color="auto"/>
      </w:divBdr>
    </w:div>
    <w:div w:id="286667833">
      <w:bodyDiv w:val="1"/>
      <w:marLeft w:val="0"/>
      <w:marRight w:val="0"/>
      <w:marTop w:val="0"/>
      <w:marBottom w:val="0"/>
      <w:divBdr>
        <w:top w:val="none" w:sz="0" w:space="0" w:color="auto"/>
        <w:left w:val="none" w:sz="0" w:space="0" w:color="auto"/>
        <w:bottom w:val="none" w:sz="0" w:space="0" w:color="auto"/>
        <w:right w:val="none" w:sz="0" w:space="0" w:color="auto"/>
      </w:divBdr>
    </w:div>
    <w:div w:id="286744137">
      <w:bodyDiv w:val="1"/>
      <w:marLeft w:val="0"/>
      <w:marRight w:val="0"/>
      <w:marTop w:val="0"/>
      <w:marBottom w:val="0"/>
      <w:divBdr>
        <w:top w:val="none" w:sz="0" w:space="0" w:color="auto"/>
        <w:left w:val="none" w:sz="0" w:space="0" w:color="auto"/>
        <w:bottom w:val="none" w:sz="0" w:space="0" w:color="auto"/>
        <w:right w:val="none" w:sz="0" w:space="0" w:color="auto"/>
      </w:divBdr>
    </w:div>
    <w:div w:id="286817069">
      <w:bodyDiv w:val="1"/>
      <w:marLeft w:val="0"/>
      <w:marRight w:val="0"/>
      <w:marTop w:val="0"/>
      <w:marBottom w:val="0"/>
      <w:divBdr>
        <w:top w:val="none" w:sz="0" w:space="0" w:color="auto"/>
        <w:left w:val="none" w:sz="0" w:space="0" w:color="auto"/>
        <w:bottom w:val="none" w:sz="0" w:space="0" w:color="auto"/>
        <w:right w:val="none" w:sz="0" w:space="0" w:color="auto"/>
      </w:divBdr>
    </w:div>
    <w:div w:id="286931320">
      <w:bodyDiv w:val="1"/>
      <w:marLeft w:val="0"/>
      <w:marRight w:val="0"/>
      <w:marTop w:val="0"/>
      <w:marBottom w:val="0"/>
      <w:divBdr>
        <w:top w:val="none" w:sz="0" w:space="0" w:color="auto"/>
        <w:left w:val="none" w:sz="0" w:space="0" w:color="auto"/>
        <w:bottom w:val="none" w:sz="0" w:space="0" w:color="auto"/>
        <w:right w:val="none" w:sz="0" w:space="0" w:color="auto"/>
      </w:divBdr>
    </w:div>
    <w:div w:id="286933927">
      <w:bodyDiv w:val="1"/>
      <w:marLeft w:val="0"/>
      <w:marRight w:val="0"/>
      <w:marTop w:val="0"/>
      <w:marBottom w:val="0"/>
      <w:divBdr>
        <w:top w:val="none" w:sz="0" w:space="0" w:color="auto"/>
        <w:left w:val="none" w:sz="0" w:space="0" w:color="auto"/>
        <w:bottom w:val="none" w:sz="0" w:space="0" w:color="auto"/>
        <w:right w:val="none" w:sz="0" w:space="0" w:color="auto"/>
      </w:divBdr>
    </w:div>
    <w:div w:id="287010837">
      <w:bodyDiv w:val="1"/>
      <w:marLeft w:val="0"/>
      <w:marRight w:val="0"/>
      <w:marTop w:val="0"/>
      <w:marBottom w:val="0"/>
      <w:divBdr>
        <w:top w:val="none" w:sz="0" w:space="0" w:color="auto"/>
        <w:left w:val="none" w:sz="0" w:space="0" w:color="auto"/>
        <w:bottom w:val="none" w:sz="0" w:space="0" w:color="auto"/>
        <w:right w:val="none" w:sz="0" w:space="0" w:color="auto"/>
      </w:divBdr>
    </w:div>
    <w:div w:id="287053338">
      <w:bodyDiv w:val="1"/>
      <w:marLeft w:val="0"/>
      <w:marRight w:val="0"/>
      <w:marTop w:val="0"/>
      <w:marBottom w:val="0"/>
      <w:divBdr>
        <w:top w:val="none" w:sz="0" w:space="0" w:color="auto"/>
        <w:left w:val="none" w:sz="0" w:space="0" w:color="auto"/>
        <w:bottom w:val="none" w:sz="0" w:space="0" w:color="auto"/>
        <w:right w:val="none" w:sz="0" w:space="0" w:color="auto"/>
      </w:divBdr>
    </w:div>
    <w:div w:id="287056844">
      <w:bodyDiv w:val="1"/>
      <w:marLeft w:val="0"/>
      <w:marRight w:val="0"/>
      <w:marTop w:val="0"/>
      <w:marBottom w:val="0"/>
      <w:divBdr>
        <w:top w:val="none" w:sz="0" w:space="0" w:color="auto"/>
        <w:left w:val="none" w:sz="0" w:space="0" w:color="auto"/>
        <w:bottom w:val="none" w:sz="0" w:space="0" w:color="auto"/>
        <w:right w:val="none" w:sz="0" w:space="0" w:color="auto"/>
      </w:divBdr>
    </w:div>
    <w:div w:id="287201851">
      <w:bodyDiv w:val="1"/>
      <w:marLeft w:val="0"/>
      <w:marRight w:val="0"/>
      <w:marTop w:val="0"/>
      <w:marBottom w:val="0"/>
      <w:divBdr>
        <w:top w:val="none" w:sz="0" w:space="0" w:color="auto"/>
        <w:left w:val="none" w:sz="0" w:space="0" w:color="auto"/>
        <w:bottom w:val="none" w:sz="0" w:space="0" w:color="auto"/>
        <w:right w:val="none" w:sz="0" w:space="0" w:color="auto"/>
      </w:divBdr>
    </w:div>
    <w:div w:id="287276450">
      <w:bodyDiv w:val="1"/>
      <w:marLeft w:val="0"/>
      <w:marRight w:val="0"/>
      <w:marTop w:val="0"/>
      <w:marBottom w:val="0"/>
      <w:divBdr>
        <w:top w:val="none" w:sz="0" w:space="0" w:color="auto"/>
        <w:left w:val="none" w:sz="0" w:space="0" w:color="auto"/>
        <w:bottom w:val="none" w:sz="0" w:space="0" w:color="auto"/>
        <w:right w:val="none" w:sz="0" w:space="0" w:color="auto"/>
      </w:divBdr>
    </w:div>
    <w:div w:id="287472249">
      <w:bodyDiv w:val="1"/>
      <w:marLeft w:val="0"/>
      <w:marRight w:val="0"/>
      <w:marTop w:val="0"/>
      <w:marBottom w:val="0"/>
      <w:divBdr>
        <w:top w:val="none" w:sz="0" w:space="0" w:color="auto"/>
        <w:left w:val="none" w:sz="0" w:space="0" w:color="auto"/>
        <w:bottom w:val="none" w:sz="0" w:space="0" w:color="auto"/>
        <w:right w:val="none" w:sz="0" w:space="0" w:color="auto"/>
      </w:divBdr>
    </w:div>
    <w:div w:id="287669094">
      <w:bodyDiv w:val="1"/>
      <w:marLeft w:val="0"/>
      <w:marRight w:val="0"/>
      <w:marTop w:val="0"/>
      <w:marBottom w:val="0"/>
      <w:divBdr>
        <w:top w:val="none" w:sz="0" w:space="0" w:color="auto"/>
        <w:left w:val="none" w:sz="0" w:space="0" w:color="auto"/>
        <w:bottom w:val="none" w:sz="0" w:space="0" w:color="auto"/>
        <w:right w:val="none" w:sz="0" w:space="0" w:color="auto"/>
      </w:divBdr>
    </w:div>
    <w:div w:id="287930375">
      <w:bodyDiv w:val="1"/>
      <w:marLeft w:val="0"/>
      <w:marRight w:val="0"/>
      <w:marTop w:val="0"/>
      <w:marBottom w:val="0"/>
      <w:divBdr>
        <w:top w:val="none" w:sz="0" w:space="0" w:color="auto"/>
        <w:left w:val="none" w:sz="0" w:space="0" w:color="auto"/>
        <w:bottom w:val="none" w:sz="0" w:space="0" w:color="auto"/>
        <w:right w:val="none" w:sz="0" w:space="0" w:color="auto"/>
      </w:divBdr>
    </w:div>
    <w:div w:id="287930755">
      <w:bodyDiv w:val="1"/>
      <w:marLeft w:val="0"/>
      <w:marRight w:val="0"/>
      <w:marTop w:val="0"/>
      <w:marBottom w:val="0"/>
      <w:divBdr>
        <w:top w:val="none" w:sz="0" w:space="0" w:color="auto"/>
        <w:left w:val="none" w:sz="0" w:space="0" w:color="auto"/>
        <w:bottom w:val="none" w:sz="0" w:space="0" w:color="auto"/>
        <w:right w:val="none" w:sz="0" w:space="0" w:color="auto"/>
      </w:divBdr>
    </w:div>
    <w:div w:id="287971710">
      <w:bodyDiv w:val="1"/>
      <w:marLeft w:val="0"/>
      <w:marRight w:val="0"/>
      <w:marTop w:val="0"/>
      <w:marBottom w:val="0"/>
      <w:divBdr>
        <w:top w:val="none" w:sz="0" w:space="0" w:color="auto"/>
        <w:left w:val="none" w:sz="0" w:space="0" w:color="auto"/>
        <w:bottom w:val="none" w:sz="0" w:space="0" w:color="auto"/>
        <w:right w:val="none" w:sz="0" w:space="0" w:color="auto"/>
      </w:divBdr>
    </w:div>
    <w:div w:id="287979114">
      <w:bodyDiv w:val="1"/>
      <w:marLeft w:val="0"/>
      <w:marRight w:val="0"/>
      <w:marTop w:val="0"/>
      <w:marBottom w:val="0"/>
      <w:divBdr>
        <w:top w:val="none" w:sz="0" w:space="0" w:color="auto"/>
        <w:left w:val="none" w:sz="0" w:space="0" w:color="auto"/>
        <w:bottom w:val="none" w:sz="0" w:space="0" w:color="auto"/>
        <w:right w:val="none" w:sz="0" w:space="0" w:color="auto"/>
      </w:divBdr>
    </w:div>
    <w:div w:id="288051203">
      <w:bodyDiv w:val="1"/>
      <w:marLeft w:val="0"/>
      <w:marRight w:val="0"/>
      <w:marTop w:val="0"/>
      <w:marBottom w:val="0"/>
      <w:divBdr>
        <w:top w:val="none" w:sz="0" w:space="0" w:color="auto"/>
        <w:left w:val="none" w:sz="0" w:space="0" w:color="auto"/>
        <w:bottom w:val="none" w:sz="0" w:space="0" w:color="auto"/>
        <w:right w:val="none" w:sz="0" w:space="0" w:color="auto"/>
      </w:divBdr>
    </w:div>
    <w:div w:id="288126547">
      <w:bodyDiv w:val="1"/>
      <w:marLeft w:val="0"/>
      <w:marRight w:val="0"/>
      <w:marTop w:val="0"/>
      <w:marBottom w:val="0"/>
      <w:divBdr>
        <w:top w:val="none" w:sz="0" w:space="0" w:color="auto"/>
        <w:left w:val="none" w:sz="0" w:space="0" w:color="auto"/>
        <w:bottom w:val="none" w:sz="0" w:space="0" w:color="auto"/>
        <w:right w:val="none" w:sz="0" w:space="0" w:color="auto"/>
      </w:divBdr>
    </w:div>
    <w:div w:id="288171686">
      <w:bodyDiv w:val="1"/>
      <w:marLeft w:val="0"/>
      <w:marRight w:val="0"/>
      <w:marTop w:val="0"/>
      <w:marBottom w:val="0"/>
      <w:divBdr>
        <w:top w:val="none" w:sz="0" w:space="0" w:color="auto"/>
        <w:left w:val="none" w:sz="0" w:space="0" w:color="auto"/>
        <w:bottom w:val="none" w:sz="0" w:space="0" w:color="auto"/>
        <w:right w:val="none" w:sz="0" w:space="0" w:color="auto"/>
      </w:divBdr>
    </w:div>
    <w:div w:id="288240499">
      <w:bodyDiv w:val="1"/>
      <w:marLeft w:val="0"/>
      <w:marRight w:val="0"/>
      <w:marTop w:val="0"/>
      <w:marBottom w:val="0"/>
      <w:divBdr>
        <w:top w:val="none" w:sz="0" w:space="0" w:color="auto"/>
        <w:left w:val="none" w:sz="0" w:space="0" w:color="auto"/>
        <w:bottom w:val="none" w:sz="0" w:space="0" w:color="auto"/>
        <w:right w:val="none" w:sz="0" w:space="0" w:color="auto"/>
      </w:divBdr>
    </w:div>
    <w:div w:id="288322720">
      <w:bodyDiv w:val="1"/>
      <w:marLeft w:val="0"/>
      <w:marRight w:val="0"/>
      <w:marTop w:val="0"/>
      <w:marBottom w:val="0"/>
      <w:divBdr>
        <w:top w:val="none" w:sz="0" w:space="0" w:color="auto"/>
        <w:left w:val="none" w:sz="0" w:space="0" w:color="auto"/>
        <w:bottom w:val="none" w:sz="0" w:space="0" w:color="auto"/>
        <w:right w:val="none" w:sz="0" w:space="0" w:color="auto"/>
      </w:divBdr>
    </w:div>
    <w:div w:id="288360507">
      <w:bodyDiv w:val="1"/>
      <w:marLeft w:val="0"/>
      <w:marRight w:val="0"/>
      <w:marTop w:val="0"/>
      <w:marBottom w:val="0"/>
      <w:divBdr>
        <w:top w:val="none" w:sz="0" w:space="0" w:color="auto"/>
        <w:left w:val="none" w:sz="0" w:space="0" w:color="auto"/>
        <w:bottom w:val="none" w:sz="0" w:space="0" w:color="auto"/>
        <w:right w:val="none" w:sz="0" w:space="0" w:color="auto"/>
      </w:divBdr>
    </w:div>
    <w:div w:id="288442958">
      <w:bodyDiv w:val="1"/>
      <w:marLeft w:val="0"/>
      <w:marRight w:val="0"/>
      <w:marTop w:val="0"/>
      <w:marBottom w:val="0"/>
      <w:divBdr>
        <w:top w:val="none" w:sz="0" w:space="0" w:color="auto"/>
        <w:left w:val="none" w:sz="0" w:space="0" w:color="auto"/>
        <w:bottom w:val="none" w:sz="0" w:space="0" w:color="auto"/>
        <w:right w:val="none" w:sz="0" w:space="0" w:color="auto"/>
      </w:divBdr>
    </w:div>
    <w:div w:id="288516678">
      <w:bodyDiv w:val="1"/>
      <w:marLeft w:val="0"/>
      <w:marRight w:val="0"/>
      <w:marTop w:val="0"/>
      <w:marBottom w:val="0"/>
      <w:divBdr>
        <w:top w:val="none" w:sz="0" w:space="0" w:color="auto"/>
        <w:left w:val="none" w:sz="0" w:space="0" w:color="auto"/>
        <w:bottom w:val="none" w:sz="0" w:space="0" w:color="auto"/>
        <w:right w:val="none" w:sz="0" w:space="0" w:color="auto"/>
      </w:divBdr>
    </w:div>
    <w:div w:id="288628158">
      <w:bodyDiv w:val="1"/>
      <w:marLeft w:val="0"/>
      <w:marRight w:val="0"/>
      <w:marTop w:val="0"/>
      <w:marBottom w:val="0"/>
      <w:divBdr>
        <w:top w:val="none" w:sz="0" w:space="0" w:color="auto"/>
        <w:left w:val="none" w:sz="0" w:space="0" w:color="auto"/>
        <w:bottom w:val="none" w:sz="0" w:space="0" w:color="auto"/>
        <w:right w:val="none" w:sz="0" w:space="0" w:color="auto"/>
      </w:divBdr>
    </w:div>
    <w:div w:id="288635414">
      <w:bodyDiv w:val="1"/>
      <w:marLeft w:val="0"/>
      <w:marRight w:val="0"/>
      <w:marTop w:val="0"/>
      <w:marBottom w:val="0"/>
      <w:divBdr>
        <w:top w:val="none" w:sz="0" w:space="0" w:color="auto"/>
        <w:left w:val="none" w:sz="0" w:space="0" w:color="auto"/>
        <w:bottom w:val="none" w:sz="0" w:space="0" w:color="auto"/>
        <w:right w:val="none" w:sz="0" w:space="0" w:color="auto"/>
      </w:divBdr>
    </w:div>
    <w:div w:id="289021707">
      <w:bodyDiv w:val="1"/>
      <w:marLeft w:val="0"/>
      <w:marRight w:val="0"/>
      <w:marTop w:val="0"/>
      <w:marBottom w:val="0"/>
      <w:divBdr>
        <w:top w:val="none" w:sz="0" w:space="0" w:color="auto"/>
        <w:left w:val="none" w:sz="0" w:space="0" w:color="auto"/>
        <w:bottom w:val="none" w:sz="0" w:space="0" w:color="auto"/>
        <w:right w:val="none" w:sz="0" w:space="0" w:color="auto"/>
      </w:divBdr>
    </w:div>
    <w:div w:id="289021771">
      <w:bodyDiv w:val="1"/>
      <w:marLeft w:val="0"/>
      <w:marRight w:val="0"/>
      <w:marTop w:val="0"/>
      <w:marBottom w:val="0"/>
      <w:divBdr>
        <w:top w:val="none" w:sz="0" w:space="0" w:color="auto"/>
        <w:left w:val="none" w:sz="0" w:space="0" w:color="auto"/>
        <w:bottom w:val="none" w:sz="0" w:space="0" w:color="auto"/>
        <w:right w:val="none" w:sz="0" w:space="0" w:color="auto"/>
      </w:divBdr>
    </w:div>
    <w:div w:id="289240416">
      <w:bodyDiv w:val="1"/>
      <w:marLeft w:val="0"/>
      <w:marRight w:val="0"/>
      <w:marTop w:val="0"/>
      <w:marBottom w:val="0"/>
      <w:divBdr>
        <w:top w:val="none" w:sz="0" w:space="0" w:color="auto"/>
        <w:left w:val="none" w:sz="0" w:space="0" w:color="auto"/>
        <w:bottom w:val="none" w:sz="0" w:space="0" w:color="auto"/>
        <w:right w:val="none" w:sz="0" w:space="0" w:color="auto"/>
      </w:divBdr>
    </w:div>
    <w:div w:id="289241387">
      <w:bodyDiv w:val="1"/>
      <w:marLeft w:val="0"/>
      <w:marRight w:val="0"/>
      <w:marTop w:val="0"/>
      <w:marBottom w:val="0"/>
      <w:divBdr>
        <w:top w:val="none" w:sz="0" w:space="0" w:color="auto"/>
        <w:left w:val="none" w:sz="0" w:space="0" w:color="auto"/>
        <w:bottom w:val="none" w:sz="0" w:space="0" w:color="auto"/>
        <w:right w:val="none" w:sz="0" w:space="0" w:color="auto"/>
      </w:divBdr>
    </w:div>
    <w:div w:id="289242176">
      <w:bodyDiv w:val="1"/>
      <w:marLeft w:val="0"/>
      <w:marRight w:val="0"/>
      <w:marTop w:val="0"/>
      <w:marBottom w:val="0"/>
      <w:divBdr>
        <w:top w:val="none" w:sz="0" w:space="0" w:color="auto"/>
        <w:left w:val="none" w:sz="0" w:space="0" w:color="auto"/>
        <w:bottom w:val="none" w:sz="0" w:space="0" w:color="auto"/>
        <w:right w:val="none" w:sz="0" w:space="0" w:color="auto"/>
      </w:divBdr>
    </w:div>
    <w:div w:id="289285730">
      <w:bodyDiv w:val="1"/>
      <w:marLeft w:val="0"/>
      <w:marRight w:val="0"/>
      <w:marTop w:val="0"/>
      <w:marBottom w:val="0"/>
      <w:divBdr>
        <w:top w:val="none" w:sz="0" w:space="0" w:color="auto"/>
        <w:left w:val="none" w:sz="0" w:space="0" w:color="auto"/>
        <w:bottom w:val="none" w:sz="0" w:space="0" w:color="auto"/>
        <w:right w:val="none" w:sz="0" w:space="0" w:color="auto"/>
      </w:divBdr>
    </w:div>
    <w:div w:id="289437886">
      <w:bodyDiv w:val="1"/>
      <w:marLeft w:val="0"/>
      <w:marRight w:val="0"/>
      <w:marTop w:val="0"/>
      <w:marBottom w:val="0"/>
      <w:divBdr>
        <w:top w:val="none" w:sz="0" w:space="0" w:color="auto"/>
        <w:left w:val="none" w:sz="0" w:space="0" w:color="auto"/>
        <w:bottom w:val="none" w:sz="0" w:space="0" w:color="auto"/>
        <w:right w:val="none" w:sz="0" w:space="0" w:color="auto"/>
      </w:divBdr>
    </w:div>
    <w:div w:id="289749407">
      <w:bodyDiv w:val="1"/>
      <w:marLeft w:val="0"/>
      <w:marRight w:val="0"/>
      <w:marTop w:val="0"/>
      <w:marBottom w:val="0"/>
      <w:divBdr>
        <w:top w:val="none" w:sz="0" w:space="0" w:color="auto"/>
        <w:left w:val="none" w:sz="0" w:space="0" w:color="auto"/>
        <w:bottom w:val="none" w:sz="0" w:space="0" w:color="auto"/>
        <w:right w:val="none" w:sz="0" w:space="0" w:color="auto"/>
      </w:divBdr>
    </w:div>
    <w:div w:id="289751669">
      <w:bodyDiv w:val="1"/>
      <w:marLeft w:val="0"/>
      <w:marRight w:val="0"/>
      <w:marTop w:val="0"/>
      <w:marBottom w:val="0"/>
      <w:divBdr>
        <w:top w:val="none" w:sz="0" w:space="0" w:color="auto"/>
        <w:left w:val="none" w:sz="0" w:space="0" w:color="auto"/>
        <w:bottom w:val="none" w:sz="0" w:space="0" w:color="auto"/>
        <w:right w:val="none" w:sz="0" w:space="0" w:color="auto"/>
      </w:divBdr>
    </w:div>
    <w:div w:id="289826507">
      <w:bodyDiv w:val="1"/>
      <w:marLeft w:val="0"/>
      <w:marRight w:val="0"/>
      <w:marTop w:val="0"/>
      <w:marBottom w:val="0"/>
      <w:divBdr>
        <w:top w:val="none" w:sz="0" w:space="0" w:color="auto"/>
        <w:left w:val="none" w:sz="0" w:space="0" w:color="auto"/>
        <w:bottom w:val="none" w:sz="0" w:space="0" w:color="auto"/>
        <w:right w:val="none" w:sz="0" w:space="0" w:color="auto"/>
      </w:divBdr>
    </w:div>
    <w:div w:id="289943403">
      <w:bodyDiv w:val="1"/>
      <w:marLeft w:val="0"/>
      <w:marRight w:val="0"/>
      <w:marTop w:val="0"/>
      <w:marBottom w:val="0"/>
      <w:divBdr>
        <w:top w:val="none" w:sz="0" w:space="0" w:color="auto"/>
        <w:left w:val="none" w:sz="0" w:space="0" w:color="auto"/>
        <w:bottom w:val="none" w:sz="0" w:space="0" w:color="auto"/>
        <w:right w:val="none" w:sz="0" w:space="0" w:color="auto"/>
      </w:divBdr>
    </w:div>
    <w:div w:id="290021912">
      <w:bodyDiv w:val="1"/>
      <w:marLeft w:val="0"/>
      <w:marRight w:val="0"/>
      <w:marTop w:val="0"/>
      <w:marBottom w:val="0"/>
      <w:divBdr>
        <w:top w:val="none" w:sz="0" w:space="0" w:color="auto"/>
        <w:left w:val="none" w:sz="0" w:space="0" w:color="auto"/>
        <w:bottom w:val="none" w:sz="0" w:space="0" w:color="auto"/>
        <w:right w:val="none" w:sz="0" w:space="0" w:color="auto"/>
      </w:divBdr>
    </w:div>
    <w:div w:id="290092275">
      <w:bodyDiv w:val="1"/>
      <w:marLeft w:val="0"/>
      <w:marRight w:val="0"/>
      <w:marTop w:val="0"/>
      <w:marBottom w:val="0"/>
      <w:divBdr>
        <w:top w:val="none" w:sz="0" w:space="0" w:color="auto"/>
        <w:left w:val="none" w:sz="0" w:space="0" w:color="auto"/>
        <w:bottom w:val="none" w:sz="0" w:space="0" w:color="auto"/>
        <w:right w:val="none" w:sz="0" w:space="0" w:color="auto"/>
      </w:divBdr>
    </w:div>
    <w:div w:id="290287447">
      <w:bodyDiv w:val="1"/>
      <w:marLeft w:val="0"/>
      <w:marRight w:val="0"/>
      <w:marTop w:val="0"/>
      <w:marBottom w:val="0"/>
      <w:divBdr>
        <w:top w:val="none" w:sz="0" w:space="0" w:color="auto"/>
        <w:left w:val="none" w:sz="0" w:space="0" w:color="auto"/>
        <w:bottom w:val="none" w:sz="0" w:space="0" w:color="auto"/>
        <w:right w:val="none" w:sz="0" w:space="0" w:color="auto"/>
      </w:divBdr>
    </w:div>
    <w:div w:id="290291007">
      <w:bodyDiv w:val="1"/>
      <w:marLeft w:val="0"/>
      <w:marRight w:val="0"/>
      <w:marTop w:val="0"/>
      <w:marBottom w:val="0"/>
      <w:divBdr>
        <w:top w:val="none" w:sz="0" w:space="0" w:color="auto"/>
        <w:left w:val="none" w:sz="0" w:space="0" w:color="auto"/>
        <w:bottom w:val="none" w:sz="0" w:space="0" w:color="auto"/>
        <w:right w:val="none" w:sz="0" w:space="0" w:color="auto"/>
      </w:divBdr>
    </w:div>
    <w:div w:id="290330935">
      <w:bodyDiv w:val="1"/>
      <w:marLeft w:val="0"/>
      <w:marRight w:val="0"/>
      <w:marTop w:val="0"/>
      <w:marBottom w:val="0"/>
      <w:divBdr>
        <w:top w:val="none" w:sz="0" w:space="0" w:color="auto"/>
        <w:left w:val="none" w:sz="0" w:space="0" w:color="auto"/>
        <w:bottom w:val="none" w:sz="0" w:space="0" w:color="auto"/>
        <w:right w:val="none" w:sz="0" w:space="0" w:color="auto"/>
      </w:divBdr>
    </w:div>
    <w:div w:id="290401796">
      <w:bodyDiv w:val="1"/>
      <w:marLeft w:val="0"/>
      <w:marRight w:val="0"/>
      <w:marTop w:val="0"/>
      <w:marBottom w:val="0"/>
      <w:divBdr>
        <w:top w:val="none" w:sz="0" w:space="0" w:color="auto"/>
        <w:left w:val="none" w:sz="0" w:space="0" w:color="auto"/>
        <w:bottom w:val="none" w:sz="0" w:space="0" w:color="auto"/>
        <w:right w:val="none" w:sz="0" w:space="0" w:color="auto"/>
      </w:divBdr>
    </w:div>
    <w:div w:id="290405594">
      <w:bodyDiv w:val="1"/>
      <w:marLeft w:val="0"/>
      <w:marRight w:val="0"/>
      <w:marTop w:val="0"/>
      <w:marBottom w:val="0"/>
      <w:divBdr>
        <w:top w:val="none" w:sz="0" w:space="0" w:color="auto"/>
        <w:left w:val="none" w:sz="0" w:space="0" w:color="auto"/>
        <w:bottom w:val="none" w:sz="0" w:space="0" w:color="auto"/>
        <w:right w:val="none" w:sz="0" w:space="0" w:color="auto"/>
      </w:divBdr>
    </w:div>
    <w:div w:id="290668016">
      <w:bodyDiv w:val="1"/>
      <w:marLeft w:val="0"/>
      <w:marRight w:val="0"/>
      <w:marTop w:val="0"/>
      <w:marBottom w:val="0"/>
      <w:divBdr>
        <w:top w:val="none" w:sz="0" w:space="0" w:color="auto"/>
        <w:left w:val="none" w:sz="0" w:space="0" w:color="auto"/>
        <w:bottom w:val="none" w:sz="0" w:space="0" w:color="auto"/>
        <w:right w:val="none" w:sz="0" w:space="0" w:color="auto"/>
      </w:divBdr>
    </w:div>
    <w:div w:id="290674727">
      <w:bodyDiv w:val="1"/>
      <w:marLeft w:val="0"/>
      <w:marRight w:val="0"/>
      <w:marTop w:val="0"/>
      <w:marBottom w:val="0"/>
      <w:divBdr>
        <w:top w:val="none" w:sz="0" w:space="0" w:color="auto"/>
        <w:left w:val="none" w:sz="0" w:space="0" w:color="auto"/>
        <w:bottom w:val="none" w:sz="0" w:space="0" w:color="auto"/>
        <w:right w:val="none" w:sz="0" w:space="0" w:color="auto"/>
      </w:divBdr>
    </w:div>
    <w:div w:id="290675337">
      <w:bodyDiv w:val="1"/>
      <w:marLeft w:val="0"/>
      <w:marRight w:val="0"/>
      <w:marTop w:val="0"/>
      <w:marBottom w:val="0"/>
      <w:divBdr>
        <w:top w:val="none" w:sz="0" w:space="0" w:color="auto"/>
        <w:left w:val="none" w:sz="0" w:space="0" w:color="auto"/>
        <w:bottom w:val="none" w:sz="0" w:space="0" w:color="auto"/>
        <w:right w:val="none" w:sz="0" w:space="0" w:color="auto"/>
      </w:divBdr>
    </w:div>
    <w:div w:id="290676736">
      <w:bodyDiv w:val="1"/>
      <w:marLeft w:val="0"/>
      <w:marRight w:val="0"/>
      <w:marTop w:val="0"/>
      <w:marBottom w:val="0"/>
      <w:divBdr>
        <w:top w:val="none" w:sz="0" w:space="0" w:color="auto"/>
        <w:left w:val="none" w:sz="0" w:space="0" w:color="auto"/>
        <w:bottom w:val="none" w:sz="0" w:space="0" w:color="auto"/>
        <w:right w:val="none" w:sz="0" w:space="0" w:color="auto"/>
      </w:divBdr>
    </w:div>
    <w:div w:id="290749904">
      <w:bodyDiv w:val="1"/>
      <w:marLeft w:val="0"/>
      <w:marRight w:val="0"/>
      <w:marTop w:val="0"/>
      <w:marBottom w:val="0"/>
      <w:divBdr>
        <w:top w:val="none" w:sz="0" w:space="0" w:color="auto"/>
        <w:left w:val="none" w:sz="0" w:space="0" w:color="auto"/>
        <w:bottom w:val="none" w:sz="0" w:space="0" w:color="auto"/>
        <w:right w:val="none" w:sz="0" w:space="0" w:color="auto"/>
      </w:divBdr>
    </w:div>
    <w:div w:id="290864137">
      <w:bodyDiv w:val="1"/>
      <w:marLeft w:val="0"/>
      <w:marRight w:val="0"/>
      <w:marTop w:val="0"/>
      <w:marBottom w:val="0"/>
      <w:divBdr>
        <w:top w:val="none" w:sz="0" w:space="0" w:color="auto"/>
        <w:left w:val="none" w:sz="0" w:space="0" w:color="auto"/>
        <w:bottom w:val="none" w:sz="0" w:space="0" w:color="auto"/>
        <w:right w:val="none" w:sz="0" w:space="0" w:color="auto"/>
      </w:divBdr>
    </w:div>
    <w:div w:id="290864759">
      <w:bodyDiv w:val="1"/>
      <w:marLeft w:val="0"/>
      <w:marRight w:val="0"/>
      <w:marTop w:val="0"/>
      <w:marBottom w:val="0"/>
      <w:divBdr>
        <w:top w:val="none" w:sz="0" w:space="0" w:color="auto"/>
        <w:left w:val="none" w:sz="0" w:space="0" w:color="auto"/>
        <w:bottom w:val="none" w:sz="0" w:space="0" w:color="auto"/>
        <w:right w:val="none" w:sz="0" w:space="0" w:color="auto"/>
      </w:divBdr>
    </w:div>
    <w:div w:id="290985921">
      <w:bodyDiv w:val="1"/>
      <w:marLeft w:val="0"/>
      <w:marRight w:val="0"/>
      <w:marTop w:val="0"/>
      <w:marBottom w:val="0"/>
      <w:divBdr>
        <w:top w:val="none" w:sz="0" w:space="0" w:color="auto"/>
        <w:left w:val="none" w:sz="0" w:space="0" w:color="auto"/>
        <w:bottom w:val="none" w:sz="0" w:space="0" w:color="auto"/>
        <w:right w:val="none" w:sz="0" w:space="0" w:color="auto"/>
      </w:divBdr>
    </w:div>
    <w:div w:id="291133032">
      <w:bodyDiv w:val="1"/>
      <w:marLeft w:val="0"/>
      <w:marRight w:val="0"/>
      <w:marTop w:val="0"/>
      <w:marBottom w:val="0"/>
      <w:divBdr>
        <w:top w:val="none" w:sz="0" w:space="0" w:color="auto"/>
        <w:left w:val="none" w:sz="0" w:space="0" w:color="auto"/>
        <w:bottom w:val="none" w:sz="0" w:space="0" w:color="auto"/>
        <w:right w:val="none" w:sz="0" w:space="0" w:color="auto"/>
      </w:divBdr>
    </w:div>
    <w:div w:id="291324680">
      <w:bodyDiv w:val="1"/>
      <w:marLeft w:val="0"/>
      <w:marRight w:val="0"/>
      <w:marTop w:val="0"/>
      <w:marBottom w:val="0"/>
      <w:divBdr>
        <w:top w:val="none" w:sz="0" w:space="0" w:color="auto"/>
        <w:left w:val="none" w:sz="0" w:space="0" w:color="auto"/>
        <w:bottom w:val="none" w:sz="0" w:space="0" w:color="auto"/>
        <w:right w:val="none" w:sz="0" w:space="0" w:color="auto"/>
      </w:divBdr>
    </w:div>
    <w:div w:id="291399764">
      <w:bodyDiv w:val="1"/>
      <w:marLeft w:val="0"/>
      <w:marRight w:val="0"/>
      <w:marTop w:val="0"/>
      <w:marBottom w:val="0"/>
      <w:divBdr>
        <w:top w:val="none" w:sz="0" w:space="0" w:color="auto"/>
        <w:left w:val="none" w:sz="0" w:space="0" w:color="auto"/>
        <w:bottom w:val="none" w:sz="0" w:space="0" w:color="auto"/>
        <w:right w:val="none" w:sz="0" w:space="0" w:color="auto"/>
      </w:divBdr>
    </w:div>
    <w:div w:id="291592992">
      <w:bodyDiv w:val="1"/>
      <w:marLeft w:val="0"/>
      <w:marRight w:val="0"/>
      <w:marTop w:val="0"/>
      <w:marBottom w:val="0"/>
      <w:divBdr>
        <w:top w:val="none" w:sz="0" w:space="0" w:color="auto"/>
        <w:left w:val="none" w:sz="0" w:space="0" w:color="auto"/>
        <w:bottom w:val="none" w:sz="0" w:space="0" w:color="auto"/>
        <w:right w:val="none" w:sz="0" w:space="0" w:color="auto"/>
      </w:divBdr>
    </w:div>
    <w:div w:id="291596167">
      <w:bodyDiv w:val="1"/>
      <w:marLeft w:val="0"/>
      <w:marRight w:val="0"/>
      <w:marTop w:val="0"/>
      <w:marBottom w:val="0"/>
      <w:divBdr>
        <w:top w:val="none" w:sz="0" w:space="0" w:color="auto"/>
        <w:left w:val="none" w:sz="0" w:space="0" w:color="auto"/>
        <w:bottom w:val="none" w:sz="0" w:space="0" w:color="auto"/>
        <w:right w:val="none" w:sz="0" w:space="0" w:color="auto"/>
      </w:divBdr>
    </w:div>
    <w:div w:id="291596566">
      <w:bodyDiv w:val="1"/>
      <w:marLeft w:val="0"/>
      <w:marRight w:val="0"/>
      <w:marTop w:val="0"/>
      <w:marBottom w:val="0"/>
      <w:divBdr>
        <w:top w:val="none" w:sz="0" w:space="0" w:color="auto"/>
        <w:left w:val="none" w:sz="0" w:space="0" w:color="auto"/>
        <w:bottom w:val="none" w:sz="0" w:space="0" w:color="auto"/>
        <w:right w:val="none" w:sz="0" w:space="0" w:color="auto"/>
      </w:divBdr>
    </w:div>
    <w:div w:id="291636411">
      <w:bodyDiv w:val="1"/>
      <w:marLeft w:val="0"/>
      <w:marRight w:val="0"/>
      <w:marTop w:val="0"/>
      <w:marBottom w:val="0"/>
      <w:divBdr>
        <w:top w:val="none" w:sz="0" w:space="0" w:color="auto"/>
        <w:left w:val="none" w:sz="0" w:space="0" w:color="auto"/>
        <w:bottom w:val="none" w:sz="0" w:space="0" w:color="auto"/>
        <w:right w:val="none" w:sz="0" w:space="0" w:color="auto"/>
      </w:divBdr>
    </w:div>
    <w:div w:id="291714663">
      <w:bodyDiv w:val="1"/>
      <w:marLeft w:val="0"/>
      <w:marRight w:val="0"/>
      <w:marTop w:val="0"/>
      <w:marBottom w:val="0"/>
      <w:divBdr>
        <w:top w:val="none" w:sz="0" w:space="0" w:color="auto"/>
        <w:left w:val="none" w:sz="0" w:space="0" w:color="auto"/>
        <w:bottom w:val="none" w:sz="0" w:space="0" w:color="auto"/>
        <w:right w:val="none" w:sz="0" w:space="0" w:color="auto"/>
      </w:divBdr>
    </w:div>
    <w:div w:id="291716449">
      <w:bodyDiv w:val="1"/>
      <w:marLeft w:val="0"/>
      <w:marRight w:val="0"/>
      <w:marTop w:val="0"/>
      <w:marBottom w:val="0"/>
      <w:divBdr>
        <w:top w:val="none" w:sz="0" w:space="0" w:color="auto"/>
        <w:left w:val="none" w:sz="0" w:space="0" w:color="auto"/>
        <w:bottom w:val="none" w:sz="0" w:space="0" w:color="auto"/>
        <w:right w:val="none" w:sz="0" w:space="0" w:color="auto"/>
      </w:divBdr>
    </w:div>
    <w:div w:id="291789642">
      <w:bodyDiv w:val="1"/>
      <w:marLeft w:val="0"/>
      <w:marRight w:val="0"/>
      <w:marTop w:val="0"/>
      <w:marBottom w:val="0"/>
      <w:divBdr>
        <w:top w:val="none" w:sz="0" w:space="0" w:color="auto"/>
        <w:left w:val="none" w:sz="0" w:space="0" w:color="auto"/>
        <w:bottom w:val="none" w:sz="0" w:space="0" w:color="auto"/>
        <w:right w:val="none" w:sz="0" w:space="0" w:color="auto"/>
      </w:divBdr>
    </w:div>
    <w:div w:id="291791043">
      <w:bodyDiv w:val="1"/>
      <w:marLeft w:val="0"/>
      <w:marRight w:val="0"/>
      <w:marTop w:val="0"/>
      <w:marBottom w:val="0"/>
      <w:divBdr>
        <w:top w:val="none" w:sz="0" w:space="0" w:color="auto"/>
        <w:left w:val="none" w:sz="0" w:space="0" w:color="auto"/>
        <w:bottom w:val="none" w:sz="0" w:space="0" w:color="auto"/>
        <w:right w:val="none" w:sz="0" w:space="0" w:color="auto"/>
      </w:divBdr>
    </w:div>
    <w:div w:id="291903246">
      <w:bodyDiv w:val="1"/>
      <w:marLeft w:val="0"/>
      <w:marRight w:val="0"/>
      <w:marTop w:val="0"/>
      <w:marBottom w:val="0"/>
      <w:divBdr>
        <w:top w:val="none" w:sz="0" w:space="0" w:color="auto"/>
        <w:left w:val="none" w:sz="0" w:space="0" w:color="auto"/>
        <w:bottom w:val="none" w:sz="0" w:space="0" w:color="auto"/>
        <w:right w:val="none" w:sz="0" w:space="0" w:color="auto"/>
      </w:divBdr>
    </w:div>
    <w:div w:id="292059015">
      <w:bodyDiv w:val="1"/>
      <w:marLeft w:val="0"/>
      <w:marRight w:val="0"/>
      <w:marTop w:val="0"/>
      <w:marBottom w:val="0"/>
      <w:divBdr>
        <w:top w:val="none" w:sz="0" w:space="0" w:color="auto"/>
        <w:left w:val="none" w:sz="0" w:space="0" w:color="auto"/>
        <w:bottom w:val="none" w:sz="0" w:space="0" w:color="auto"/>
        <w:right w:val="none" w:sz="0" w:space="0" w:color="auto"/>
      </w:divBdr>
    </w:div>
    <w:div w:id="292060453">
      <w:bodyDiv w:val="1"/>
      <w:marLeft w:val="0"/>
      <w:marRight w:val="0"/>
      <w:marTop w:val="0"/>
      <w:marBottom w:val="0"/>
      <w:divBdr>
        <w:top w:val="none" w:sz="0" w:space="0" w:color="auto"/>
        <w:left w:val="none" w:sz="0" w:space="0" w:color="auto"/>
        <w:bottom w:val="none" w:sz="0" w:space="0" w:color="auto"/>
        <w:right w:val="none" w:sz="0" w:space="0" w:color="auto"/>
      </w:divBdr>
    </w:div>
    <w:div w:id="292172555">
      <w:bodyDiv w:val="1"/>
      <w:marLeft w:val="0"/>
      <w:marRight w:val="0"/>
      <w:marTop w:val="0"/>
      <w:marBottom w:val="0"/>
      <w:divBdr>
        <w:top w:val="none" w:sz="0" w:space="0" w:color="auto"/>
        <w:left w:val="none" w:sz="0" w:space="0" w:color="auto"/>
        <w:bottom w:val="none" w:sz="0" w:space="0" w:color="auto"/>
        <w:right w:val="none" w:sz="0" w:space="0" w:color="auto"/>
      </w:divBdr>
    </w:div>
    <w:div w:id="292175825">
      <w:bodyDiv w:val="1"/>
      <w:marLeft w:val="0"/>
      <w:marRight w:val="0"/>
      <w:marTop w:val="0"/>
      <w:marBottom w:val="0"/>
      <w:divBdr>
        <w:top w:val="none" w:sz="0" w:space="0" w:color="auto"/>
        <w:left w:val="none" w:sz="0" w:space="0" w:color="auto"/>
        <w:bottom w:val="none" w:sz="0" w:space="0" w:color="auto"/>
        <w:right w:val="none" w:sz="0" w:space="0" w:color="auto"/>
      </w:divBdr>
    </w:div>
    <w:div w:id="292296004">
      <w:bodyDiv w:val="1"/>
      <w:marLeft w:val="0"/>
      <w:marRight w:val="0"/>
      <w:marTop w:val="0"/>
      <w:marBottom w:val="0"/>
      <w:divBdr>
        <w:top w:val="none" w:sz="0" w:space="0" w:color="auto"/>
        <w:left w:val="none" w:sz="0" w:space="0" w:color="auto"/>
        <w:bottom w:val="none" w:sz="0" w:space="0" w:color="auto"/>
        <w:right w:val="none" w:sz="0" w:space="0" w:color="auto"/>
      </w:divBdr>
    </w:div>
    <w:div w:id="292323251">
      <w:bodyDiv w:val="1"/>
      <w:marLeft w:val="0"/>
      <w:marRight w:val="0"/>
      <w:marTop w:val="0"/>
      <w:marBottom w:val="0"/>
      <w:divBdr>
        <w:top w:val="none" w:sz="0" w:space="0" w:color="auto"/>
        <w:left w:val="none" w:sz="0" w:space="0" w:color="auto"/>
        <w:bottom w:val="none" w:sz="0" w:space="0" w:color="auto"/>
        <w:right w:val="none" w:sz="0" w:space="0" w:color="auto"/>
      </w:divBdr>
    </w:div>
    <w:div w:id="292371095">
      <w:bodyDiv w:val="1"/>
      <w:marLeft w:val="0"/>
      <w:marRight w:val="0"/>
      <w:marTop w:val="0"/>
      <w:marBottom w:val="0"/>
      <w:divBdr>
        <w:top w:val="none" w:sz="0" w:space="0" w:color="auto"/>
        <w:left w:val="none" w:sz="0" w:space="0" w:color="auto"/>
        <w:bottom w:val="none" w:sz="0" w:space="0" w:color="auto"/>
        <w:right w:val="none" w:sz="0" w:space="0" w:color="auto"/>
      </w:divBdr>
    </w:div>
    <w:div w:id="292446859">
      <w:bodyDiv w:val="1"/>
      <w:marLeft w:val="0"/>
      <w:marRight w:val="0"/>
      <w:marTop w:val="0"/>
      <w:marBottom w:val="0"/>
      <w:divBdr>
        <w:top w:val="none" w:sz="0" w:space="0" w:color="auto"/>
        <w:left w:val="none" w:sz="0" w:space="0" w:color="auto"/>
        <w:bottom w:val="none" w:sz="0" w:space="0" w:color="auto"/>
        <w:right w:val="none" w:sz="0" w:space="0" w:color="auto"/>
      </w:divBdr>
    </w:div>
    <w:div w:id="292489722">
      <w:bodyDiv w:val="1"/>
      <w:marLeft w:val="0"/>
      <w:marRight w:val="0"/>
      <w:marTop w:val="0"/>
      <w:marBottom w:val="0"/>
      <w:divBdr>
        <w:top w:val="none" w:sz="0" w:space="0" w:color="auto"/>
        <w:left w:val="none" w:sz="0" w:space="0" w:color="auto"/>
        <w:bottom w:val="none" w:sz="0" w:space="0" w:color="auto"/>
        <w:right w:val="none" w:sz="0" w:space="0" w:color="auto"/>
      </w:divBdr>
    </w:div>
    <w:div w:id="292558595">
      <w:bodyDiv w:val="1"/>
      <w:marLeft w:val="0"/>
      <w:marRight w:val="0"/>
      <w:marTop w:val="0"/>
      <w:marBottom w:val="0"/>
      <w:divBdr>
        <w:top w:val="none" w:sz="0" w:space="0" w:color="auto"/>
        <w:left w:val="none" w:sz="0" w:space="0" w:color="auto"/>
        <w:bottom w:val="none" w:sz="0" w:space="0" w:color="auto"/>
        <w:right w:val="none" w:sz="0" w:space="0" w:color="auto"/>
      </w:divBdr>
    </w:div>
    <w:div w:id="292567732">
      <w:bodyDiv w:val="1"/>
      <w:marLeft w:val="0"/>
      <w:marRight w:val="0"/>
      <w:marTop w:val="0"/>
      <w:marBottom w:val="0"/>
      <w:divBdr>
        <w:top w:val="none" w:sz="0" w:space="0" w:color="auto"/>
        <w:left w:val="none" w:sz="0" w:space="0" w:color="auto"/>
        <w:bottom w:val="none" w:sz="0" w:space="0" w:color="auto"/>
        <w:right w:val="none" w:sz="0" w:space="0" w:color="auto"/>
      </w:divBdr>
    </w:div>
    <w:div w:id="292638485">
      <w:bodyDiv w:val="1"/>
      <w:marLeft w:val="0"/>
      <w:marRight w:val="0"/>
      <w:marTop w:val="0"/>
      <w:marBottom w:val="0"/>
      <w:divBdr>
        <w:top w:val="none" w:sz="0" w:space="0" w:color="auto"/>
        <w:left w:val="none" w:sz="0" w:space="0" w:color="auto"/>
        <w:bottom w:val="none" w:sz="0" w:space="0" w:color="auto"/>
        <w:right w:val="none" w:sz="0" w:space="0" w:color="auto"/>
      </w:divBdr>
    </w:div>
    <w:div w:id="292640593">
      <w:bodyDiv w:val="1"/>
      <w:marLeft w:val="0"/>
      <w:marRight w:val="0"/>
      <w:marTop w:val="0"/>
      <w:marBottom w:val="0"/>
      <w:divBdr>
        <w:top w:val="none" w:sz="0" w:space="0" w:color="auto"/>
        <w:left w:val="none" w:sz="0" w:space="0" w:color="auto"/>
        <w:bottom w:val="none" w:sz="0" w:space="0" w:color="auto"/>
        <w:right w:val="none" w:sz="0" w:space="0" w:color="auto"/>
      </w:divBdr>
    </w:div>
    <w:div w:id="292714382">
      <w:bodyDiv w:val="1"/>
      <w:marLeft w:val="0"/>
      <w:marRight w:val="0"/>
      <w:marTop w:val="0"/>
      <w:marBottom w:val="0"/>
      <w:divBdr>
        <w:top w:val="none" w:sz="0" w:space="0" w:color="auto"/>
        <w:left w:val="none" w:sz="0" w:space="0" w:color="auto"/>
        <w:bottom w:val="none" w:sz="0" w:space="0" w:color="auto"/>
        <w:right w:val="none" w:sz="0" w:space="0" w:color="auto"/>
      </w:divBdr>
    </w:div>
    <w:div w:id="292828763">
      <w:bodyDiv w:val="1"/>
      <w:marLeft w:val="0"/>
      <w:marRight w:val="0"/>
      <w:marTop w:val="0"/>
      <w:marBottom w:val="0"/>
      <w:divBdr>
        <w:top w:val="none" w:sz="0" w:space="0" w:color="auto"/>
        <w:left w:val="none" w:sz="0" w:space="0" w:color="auto"/>
        <w:bottom w:val="none" w:sz="0" w:space="0" w:color="auto"/>
        <w:right w:val="none" w:sz="0" w:space="0" w:color="auto"/>
      </w:divBdr>
    </w:div>
    <w:div w:id="292907346">
      <w:bodyDiv w:val="1"/>
      <w:marLeft w:val="0"/>
      <w:marRight w:val="0"/>
      <w:marTop w:val="0"/>
      <w:marBottom w:val="0"/>
      <w:divBdr>
        <w:top w:val="none" w:sz="0" w:space="0" w:color="auto"/>
        <w:left w:val="none" w:sz="0" w:space="0" w:color="auto"/>
        <w:bottom w:val="none" w:sz="0" w:space="0" w:color="auto"/>
        <w:right w:val="none" w:sz="0" w:space="0" w:color="auto"/>
      </w:divBdr>
    </w:div>
    <w:div w:id="292977920">
      <w:bodyDiv w:val="1"/>
      <w:marLeft w:val="0"/>
      <w:marRight w:val="0"/>
      <w:marTop w:val="0"/>
      <w:marBottom w:val="0"/>
      <w:divBdr>
        <w:top w:val="none" w:sz="0" w:space="0" w:color="auto"/>
        <w:left w:val="none" w:sz="0" w:space="0" w:color="auto"/>
        <w:bottom w:val="none" w:sz="0" w:space="0" w:color="auto"/>
        <w:right w:val="none" w:sz="0" w:space="0" w:color="auto"/>
      </w:divBdr>
    </w:div>
    <w:div w:id="293144783">
      <w:bodyDiv w:val="1"/>
      <w:marLeft w:val="0"/>
      <w:marRight w:val="0"/>
      <w:marTop w:val="0"/>
      <w:marBottom w:val="0"/>
      <w:divBdr>
        <w:top w:val="none" w:sz="0" w:space="0" w:color="auto"/>
        <w:left w:val="none" w:sz="0" w:space="0" w:color="auto"/>
        <w:bottom w:val="none" w:sz="0" w:space="0" w:color="auto"/>
        <w:right w:val="none" w:sz="0" w:space="0" w:color="auto"/>
      </w:divBdr>
    </w:div>
    <w:div w:id="293147574">
      <w:bodyDiv w:val="1"/>
      <w:marLeft w:val="0"/>
      <w:marRight w:val="0"/>
      <w:marTop w:val="0"/>
      <w:marBottom w:val="0"/>
      <w:divBdr>
        <w:top w:val="none" w:sz="0" w:space="0" w:color="auto"/>
        <w:left w:val="none" w:sz="0" w:space="0" w:color="auto"/>
        <w:bottom w:val="none" w:sz="0" w:space="0" w:color="auto"/>
        <w:right w:val="none" w:sz="0" w:space="0" w:color="auto"/>
      </w:divBdr>
    </w:div>
    <w:div w:id="293213860">
      <w:bodyDiv w:val="1"/>
      <w:marLeft w:val="0"/>
      <w:marRight w:val="0"/>
      <w:marTop w:val="0"/>
      <w:marBottom w:val="0"/>
      <w:divBdr>
        <w:top w:val="none" w:sz="0" w:space="0" w:color="auto"/>
        <w:left w:val="none" w:sz="0" w:space="0" w:color="auto"/>
        <w:bottom w:val="none" w:sz="0" w:space="0" w:color="auto"/>
        <w:right w:val="none" w:sz="0" w:space="0" w:color="auto"/>
      </w:divBdr>
    </w:div>
    <w:div w:id="293213967">
      <w:bodyDiv w:val="1"/>
      <w:marLeft w:val="0"/>
      <w:marRight w:val="0"/>
      <w:marTop w:val="0"/>
      <w:marBottom w:val="0"/>
      <w:divBdr>
        <w:top w:val="none" w:sz="0" w:space="0" w:color="auto"/>
        <w:left w:val="none" w:sz="0" w:space="0" w:color="auto"/>
        <w:bottom w:val="none" w:sz="0" w:space="0" w:color="auto"/>
        <w:right w:val="none" w:sz="0" w:space="0" w:color="auto"/>
      </w:divBdr>
    </w:div>
    <w:div w:id="293221674">
      <w:bodyDiv w:val="1"/>
      <w:marLeft w:val="0"/>
      <w:marRight w:val="0"/>
      <w:marTop w:val="0"/>
      <w:marBottom w:val="0"/>
      <w:divBdr>
        <w:top w:val="none" w:sz="0" w:space="0" w:color="auto"/>
        <w:left w:val="none" w:sz="0" w:space="0" w:color="auto"/>
        <w:bottom w:val="none" w:sz="0" w:space="0" w:color="auto"/>
        <w:right w:val="none" w:sz="0" w:space="0" w:color="auto"/>
      </w:divBdr>
    </w:div>
    <w:div w:id="293291437">
      <w:bodyDiv w:val="1"/>
      <w:marLeft w:val="0"/>
      <w:marRight w:val="0"/>
      <w:marTop w:val="0"/>
      <w:marBottom w:val="0"/>
      <w:divBdr>
        <w:top w:val="none" w:sz="0" w:space="0" w:color="auto"/>
        <w:left w:val="none" w:sz="0" w:space="0" w:color="auto"/>
        <w:bottom w:val="none" w:sz="0" w:space="0" w:color="auto"/>
        <w:right w:val="none" w:sz="0" w:space="0" w:color="auto"/>
      </w:divBdr>
    </w:div>
    <w:div w:id="293292605">
      <w:bodyDiv w:val="1"/>
      <w:marLeft w:val="0"/>
      <w:marRight w:val="0"/>
      <w:marTop w:val="0"/>
      <w:marBottom w:val="0"/>
      <w:divBdr>
        <w:top w:val="none" w:sz="0" w:space="0" w:color="auto"/>
        <w:left w:val="none" w:sz="0" w:space="0" w:color="auto"/>
        <w:bottom w:val="none" w:sz="0" w:space="0" w:color="auto"/>
        <w:right w:val="none" w:sz="0" w:space="0" w:color="auto"/>
      </w:divBdr>
    </w:div>
    <w:div w:id="293339511">
      <w:bodyDiv w:val="1"/>
      <w:marLeft w:val="0"/>
      <w:marRight w:val="0"/>
      <w:marTop w:val="0"/>
      <w:marBottom w:val="0"/>
      <w:divBdr>
        <w:top w:val="none" w:sz="0" w:space="0" w:color="auto"/>
        <w:left w:val="none" w:sz="0" w:space="0" w:color="auto"/>
        <w:bottom w:val="none" w:sz="0" w:space="0" w:color="auto"/>
        <w:right w:val="none" w:sz="0" w:space="0" w:color="auto"/>
      </w:divBdr>
    </w:div>
    <w:div w:id="293370115">
      <w:bodyDiv w:val="1"/>
      <w:marLeft w:val="0"/>
      <w:marRight w:val="0"/>
      <w:marTop w:val="0"/>
      <w:marBottom w:val="0"/>
      <w:divBdr>
        <w:top w:val="none" w:sz="0" w:space="0" w:color="auto"/>
        <w:left w:val="none" w:sz="0" w:space="0" w:color="auto"/>
        <w:bottom w:val="none" w:sz="0" w:space="0" w:color="auto"/>
        <w:right w:val="none" w:sz="0" w:space="0" w:color="auto"/>
      </w:divBdr>
    </w:div>
    <w:div w:id="293410148">
      <w:bodyDiv w:val="1"/>
      <w:marLeft w:val="0"/>
      <w:marRight w:val="0"/>
      <w:marTop w:val="0"/>
      <w:marBottom w:val="0"/>
      <w:divBdr>
        <w:top w:val="none" w:sz="0" w:space="0" w:color="auto"/>
        <w:left w:val="none" w:sz="0" w:space="0" w:color="auto"/>
        <w:bottom w:val="none" w:sz="0" w:space="0" w:color="auto"/>
        <w:right w:val="none" w:sz="0" w:space="0" w:color="auto"/>
      </w:divBdr>
    </w:div>
    <w:div w:id="293685254">
      <w:bodyDiv w:val="1"/>
      <w:marLeft w:val="0"/>
      <w:marRight w:val="0"/>
      <w:marTop w:val="0"/>
      <w:marBottom w:val="0"/>
      <w:divBdr>
        <w:top w:val="none" w:sz="0" w:space="0" w:color="auto"/>
        <w:left w:val="none" w:sz="0" w:space="0" w:color="auto"/>
        <w:bottom w:val="none" w:sz="0" w:space="0" w:color="auto"/>
        <w:right w:val="none" w:sz="0" w:space="0" w:color="auto"/>
      </w:divBdr>
    </w:div>
    <w:div w:id="293870313">
      <w:bodyDiv w:val="1"/>
      <w:marLeft w:val="0"/>
      <w:marRight w:val="0"/>
      <w:marTop w:val="0"/>
      <w:marBottom w:val="0"/>
      <w:divBdr>
        <w:top w:val="none" w:sz="0" w:space="0" w:color="auto"/>
        <w:left w:val="none" w:sz="0" w:space="0" w:color="auto"/>
        <w:bottom w:val="none" w:sz="0" w:space="0" w:color="auto"/>
        <w:right w:val="none" w:sz="0" w:space="0" w:color="auto"/>
      </w:divBdr>
    </w:div>
    <w:div w:id="293871170">
      <w:bodyDiv w:val="1"/>
      <w:marLeft w:val="0"/>
      <w:marRight w:val="0"/>
      <w:marTop w:val="0"/>
      <w:marBottom w:val="0"/>
      <w:divBdr>
        <w:top w:val="none" w:sz="0" w:space="0" w:color="auto"/>
        <w:left w:val="none" w:sz="0" w:space="0" w:color="auto"/>
        <w:bottom w:val="none" w:sz="0" w:space="0" w:color="auto"/>
        <w:right w:val="none" w:sz="0" w:space="0" w:color="auto"/>
      </w:divBdr>
    </w:div>
    <w:div w:id="293946765">
      <w:bodyDiv w:val="1"/>
      <w:marLeft w:val="0"/>
      <w:marRight w:val="0"/>
      <w:marTop w:val="0"/>
      <w:marBottom w:val="0"/>
      <w:divBdr>
        <w:top w:val="none" w:sz="0" w:space="0" w:color="auto"/>
        <w:left w:val="none" w:sz="0" w:space="0" w:color="auto"/>
        <w:bottom w:val="none" w:sz="0" w:space="0" w:color="auto"/>
        <w:right w:val="none" w:sz="0" w:space="0" w:color="auto"/>
      </w:divBdr>
    </w:div>
    <w:div w:id="294219196">
      <w:bodyDiv w:val="1"/>
      <w:marLeft w:val="0"/>
      <w:marRight w:val="0"/>
      <w:marTop w:val="0"/>
      <w:marBottom w:val="0"/>
      <w:divBdr>
        <w:top w:val="none" w:sz="0" w:space="0" w:color="auto"/>
        <w:left w:val="none" w:sz="0" w:space="0" w:color="auto"/>
        <w:bottom w:val="none" w:sz="0" w:space="0" w:color="auto"/>
        <w:right w:val="none" w:sz="0" w:space="0" w:color="auto"/>
      </w:divBdr>
    </w:div>
    <w:div w:id="294264952">
      <w:bodyDiv w:val="1"/>
      <w:marLeft w:val="0"/>
      <w:marRight w:val="0"/>
      <w:marTop w:val="0"/>
      <w:marBottom w:val="0"/>
      <w:divBdr>
        <w:top w:val="none" w:sz="0" w:space="0" w:color="auto"/>
        <w:left w:val="none" w:sz="0" w:space="0" w:color="auto"/>
        <w:bottom w:val="none" w:sz="0" w:space="0" w:color="auto"/>
        <w:right w:val="none" w:sz="0" w:space="0" w:color="auto"/>
      </w:divBdr>
    </w:div>
    <w:div w:id="294338644">
      <w:bodyDiv w:val="1"/>
      <w:marLeft w:val="0"/>
      <w:marRight w:val="0"/>
      <w:marTop w:val="0"/>
      <w:marBottom w:val="0"/>
      <w:divBdr>
        <w:top w:val="none" w:sz="0" w:space="0" w:color="auto"/>
        <w:left w:val="none" w:sz="0" w:space="0" w:color="auto"/>
        <w:bottom w:val="none" w:sz="0" w:space="0" w:color="auto"/>
        <w:right w:val="none" w:sz="0" w:space="0" w:color="auto"/>
      </w:divBdr>
    </w:div>
    <w:div w:id="294408386">
      <w:bodyDiv w:val="1"/>
      <w:marLeft w:val="0"/>
      <w:marRight w:val="0"/>
      <w:marTop w:val="0"/>
      <w:marBottom w:val="0"/>
      <w:divBdr>
        <w:top w:val="none" w:sz="0" w:space="0" w:color="auto"/>
        <w:left w:val="none" w:sz="0" w:space="0" w:color="auto"/>
        <w:bottom w:val="none" w:sz="0" w:space="0" w:color="auto"/>
        <w:right w:val="none" w:sz="0" w:space="0" w:color="auto"/>
      </w:divBdr>
    </w:div>
    <w:div w:id="294408456">
      <w:bodyDiv w:val="1"/>
      <w:marLeft w:val="0"/>
      <w:marRight w:val="0"/>
      <w:marTop w:val="0"/>
      <w:marBottom w:val="0"/>
      <w:divBdr>
        <w:top w:val="none" w:sz="0" w:space="0" w:color="auto"/>
        <w:left w:val="none" w:sz="0" w:space="0" w:color="auto"/>
        <w:bottom w:val="none" w:sz="0" w:space="0" w:color="auto"/>
        <w:right w:val="none" w:sz="0" w:space="0" w:color="auto"/>
      </w:divBdr>
    </w:div>
    <w:div w:id="294410682">
      <w:bodyDiv w:val="1"/>
      <w:marLeft w:val="0"/>
      <w:marRight w:val="0"/>
      <w:marTop w:val="0"/>
      <w:marBottom w:val="0"/>
      <w:divBdr>
        <w:top w:val="none" w:sz="0" w:space="0" w:color="auto"/>
        <w:left w:val="none" w:sz="0" w:space="0" w:color="auto"/>
        <w:bottom w:val="none" w:sz="0" w:space="0" w:color="auto"/>
        <w:right w:val="none" w:sz="0" w:space="0" w:color="auto"/>
      </w:divBdr>
    </w:div>
    <w:div w:id="294600375">
      <w:bodyDiv w:val="1"/>
      <w:marLeft w:val="0"/>
      <w:marRight w:val="0"/>
      <w:marTop w:val="0"/>
      <w:marBottom w:val="0"/>
      <w:divBdr>
        <w:top w:val="none" w:sz="0" w:space="0" w:color="auto"/>
        <w:left w:val="none" w:sz="0" w:space="0" w:color="auto"/>
        <w:bottom w:val="none" w:sz="0" w:space="0" w:color="auto"/>
        <w:right w:val="none" w:sz="0" w:space="0" w:color="auto"/>
      </w:divBdr>
    </w:div>
    <w:div w:id="294604107">
      <w:bodyDiv w:val="1"/>
      <w:marLeft w:val="0"/>
      <w:marRight w:val="0"/>
      <w:marTop w:val="0"/>
      <w:marBottom w:val="0"/>
      <w:divBdr>
        <w:top w:val="none" w:sz="0" w:space="0" w:color="auto"/>
        <w:left w:val="none" w:sz="0" w:space="0" w:color="auto"/>
        <w:bottom w:val="none" w:sz="0" w:space="0" w:color="auto"/>
        <w:right w:val="none" w:sz="0" w:space="0" w:color="auto"/>
      </w:divBdr>
    </w:div>
    <w:div w:id="294606615">
      <w:bodyDiv w:val="1"/>
      <w:marLeft w:val="0"/>
      <w:marRight w:val="0"/>
      <w:marTop w:val="0"/>
      <w:marBottom w:val="0"/>
      <w:divBdr>
        <w:top w:val="none" w:sz="0" w:space="0" w:color="auto"/>
        <w:left w:val="none" w:sz="0" w:space="0" w:color="auto"/>
        <w:bottom w:val="none" w:sz="0" w:space="0" w:color="auto"/>
        <w:right w:val="none" w:sz="0" w:space="0" w:color="auto"/>
      </w:divBdr>
    </w:div>
    <w:div w:id="294724161">
      <w:bodyDiv w:val="1"/>
      <w:marLeft w:val="0"/>
      <w:marRight w:val="0"/>
      <w:marTop w:val="0"/>
      <w:marBottom w:val="0"/>
      <w:divBdr>
        <w:top w:val="none" w:sz="0" w:space="0" w:color="auto"/>
        <w:left w:val="none" w:sz="0" w:space="0" w:color="auto"/>
        <w:bottom w:val="none" w:sz="0" w:space="0" w:color="auto"/>
        <w:right w:val="none" w:sz="0" w:space="0" w:color="auto"/>
      </w:divBdr>
    </w:div>
    <w:div w:id="294913967">
      <w:bodyDiv w:val="1"/>
      <w:marLeft w:val="0"/>
      <w:marRight w:val="0"/>
      <w:marTop w:val="0"/>
      <w:marBottom w:val="0"/>
      <w:divBdr>
        <w:top w:val="none" w:sz="0" w:space="0" w:color="auto"/>
        <w:left w:val="none" w:sz="0" w:space="0" w:color="auto"/>
        <w:bottom w:val="none" w:sz="0" w:space="0" w:color="auto"/>
        <w:right w:val="none" w:sz="0" w:space="0" w:color="auto"/>
      </w:divBdr>
    </w:div>
    <w:div w:id="294916668">
      <w:bodyDiv w:val="1"/>
      <w:marLeft w:val="0"/>
      <w:marRight w:val="0"/>
      <w:marTop w:val="0"/>
      <w:marBottom w:val="0"/>
      <w:divBdr>
        <w:top w:val="none" w:sz="0" w:space="0" w:color="auto"/>
        <w:left w:val="none" w:sz="0" w:space="0" w:color="auto"/>
        <w:bottom w:val="none" w:sz="0" w:space="0" w:color="auto"/>
        <w:right w:val="none" w:sz="0" w:space="0" w:color="auto"/>
      </w:divBdr>
    </w:div>
    <w:div w:id="294992260">
      <w:bodyDiv w:val="1"/>
      <w:marLeft w:val="0"/>
      <w:marRight w:val="0"/>
      <w:marTop w:val="0"/>
      <w:marBottom w:val="0"/>
      <w:divBdr>
        <w:top w:val="none" w:sz="0" w:space="0" w:color="auto"/>
        <w:left w:val="none" w:sz="0" w:space="0" w:color="auto"/>
        <w:bottom w:val="none" w:sz="0" w:space="0" w:color="auto"/>
        <w:right w:val="none" w:sz="0" w:space="0" w:color="auto"/>
      </w:divBdr>
    </w:div>
    <w:div w:id="294992900">
      <w:bodyDiv w:val="1"/>
      <w:marLeft w:val="0"/>
      <w:marRight w:val="0"/>
      <w:marTop w:val="0"/>
      <w:marBottom w:val="0"/>
      <w:divBdr>
        <w:top w:val="none" w:sz="0" w:space="0" w:color="auto"/>
        <w:left w:val="none" w:sz="0" w:space="0" w:color="auto"/>
        <w:bottom w:val="none" w:sz="0" w:space="0" w:color="auto"/>
        <w:right w:val="none" w:sz="0" w:space="0" w:color="auto"/>
      </w:divBdr>
    </w:div>
    <w:div w:id="295063190">
      <w:bodyDiv w:val="1"/>
      <w:marLeft w:val="0"/>
      <w:marRight w:val="0"/>
      <w:marTop w:val="0"/>
      <w:marBottom w:val="0"/>
      <w:divBdr>
        <w:top w:val="none" w:sz="0" w:space="0" w:color="auto"/>
        <w:left w:val="none" w:sz="0" w:space="0" w:color="auto"/>
        <w:bottom w:val="none" w:sz="0" w:space="0" w:color="auto"/>
        <w:right w:val="none" w:sz="0" w:space="0" w:color="auto"/>
      </w:divBdr>
    </w:div>
    <w:div w:id="295257295">
      <w:bodyDiv w:val="1"/>
      <w:marLeft w:val="0"/>
      <w:marRight w:val="0"/>
      <w:marTop w:val="0"/>
      <w:marBottom w:val="0"/>
      <w:divBdr>
        <w:top w:val="none" w:sz="0" w:space="0" w:color="auto"/>
        <w:left w:val="none" w:sz="0" w:space="0" w:color="auto"/>
        <w:bottom w:val="none" w:sz="0" w:space="0" w:color="auto"/>
        <w:right w:val="none" w:sz="0" w:space="0" w:color="auto"/>
      </w:divBdr>
    </w:div>
    <w:div w:id="295335091">
      <w:bodyDiv w:val="1"/>
      <w:marLeft w:val="0"/>
      <w:marRight w:val="0"/>
      <w:marTop w:val="0"/>
      <w:marBottom w:val="0"/>
      <w:divBdr>
        <w:top w:val="none" w:sz="0" w:space="0" w:color="auto"/>
        <w:left w:val="none" w:sz="0" w:space="0" w:color="auto"/>
        <w:bottom w:val="none" w:sz="0" w:space="0" w:color="auto"/>
        <w:right w:val="none" w:sz="0" w:space="0" w:color="auto"/>
      </w:divBdr>
    </w:div>
    <w:div w:id="295374554">
      <w:bodyDiv w:val="1"/>
      <w:marLeft w:val="0"/>
      <w:marRight w:val="0"/>
      <w:marTop w:val="0"/>
      <w:marBottom w:val="0"/>
      <w:divBdr>
        <w:top w:val="none" w:sz="0" w:space="0" w:color="auto"/>
        <w:left w:val="none" w:sz="0" w:space="0" w:color="auto"/>
        <w:bottom w:val="none" w:sz="0" w:space="0" w:color="auto"/>
        <w:right w:val="none" w:sz="0" w:space="0" w:color="auto"/>
      </w:divBdr>
    </w:div>
    <w:div w:id="295567699">
      <w:bodyDiv w:val="1"/>
      <w:marLeft w:val="0"/>
      <w:marRight w:val="0"/>
      <w:marTop w:val="0"/>
      <w:marBottom w:val="0"/>
      <w:divBdr>
        <w:top w:val="none" w:sz="0" w:space="0" w:color="auto"/>
        <w:left w:val="none" w:sz="0" w:space="0" w:color="auto"/>
        <w:bottom w:val="none" w:sz="0" w:space="0" w:color="auto"/>
        <w:right w:val="none" w:sz="0" w:space="0" w:color="auto"/>
      </w:divBdr>
    </w:div>
    <w:div w:id="295575471">
      <w:bodyDiv w:val="1"/>
      <w:marLeft w:val="0"/>
      <w:marRight w:val="0"/>
      <w:marTop w:val="0"/>
      <w:marBottom w:val="0"/>
      <w:divBdr>
        <w:top w:val="none" w:sz="0" w:space="0" w:color="auto"/>
        <w:left w:val="none" w:sz="0" w:space="0" w:color="auto"/>
        <w:bottom w:val="none" w:sz="0" w:space="0" w:color="auto"/>
        <w:right w:val="none" w:sz="0" w:space="0" w:color="auto"/>
      </w:divBdr>
    </w:div>
    <w:div w:id="295645086">
      <w:bodyDiv w:val="1"/>
      <w:marLeft w:val="0"/>
      <w:marRight w:val="0"/>
      <w:marTop w:val="0"/>
      <w:marBottom w:val="0"/>
      <w:divBdr>
        <w:top w:val="none" w:sz="0" w:space="0" w:color="auto"/>
        <w:left w:val="none" w:sz="0" w:space="0" w:color="auto"/>
        <w:bottom w:val="none" w:sz="0" w:space="0" w:color="auto"/>
        <w:right w:val="none" w:sz="0" w:space="0" w:color="auto"/>
      </w:divBdr>
    </w:div>
    <w:div w:id="295720741">
      <w:bodyDiv w:val="1"/>
      <w:marLeft w:val="0"/>
      <w:marRight w:val="0"/>
      <w:marTop w:val="0"/>
      <w:marBottom w:val="0"/>
      <w:divBdr>
        <w:top w:val="none" w:sz="0" w:space="0" w:color="auto"/>
        <w:left w:val="none" w:sz="0" w:space="0" w:color="auto"/>
        <w:bottom w:val="none" w:sz="0" w:space="0" w:color="auto"/>
        <w:right w:val="none" w:sz="0" w:space="0" w:color="auto"/>
      </w:divBdr>
    </w:div>
    <w:div w:id="295842467">
      <w:bodyDiv w:val="1"/>
      <w:marLeft w:val="0"/>
      <w:marRight w:val="0"/>
      <w:marTop w:val="0"/>
      <w:marBottom w:val="0"/>
      <w:divBdr>
        <w:top w:val="none" w:sz="0" w:space="0" w:color="auto"/>
        <w:left w:val="none" w:sz="0" w:space="0" w:color="auto"/>
        <w:bottom w:val="none" w:sz="0" w:space="0" w:color="auto"/>
        <w:right w:val="none" w:sz="0" w:space="0" w:color="auto"/>
      </w:divBdr>
    </w:div>
    <w:div w:id="295986695">
      <w:bodyDiv w:val="1"/>
      <w:marLeft w:val="0"/>
      <w:marRight w:val="0"/>
      <w:marTop w:val="0"/>
      <w:marBottom w:val="0"/>
      <w:divBdr>
        <w:top w:val="none" w:sz="0" w:space="0" w:color="auto"/>
        <w:left w:val="none" w:sz="0" w:space="0" w:color="auto"/>
        <w:bottom w:val="none" w:sz="0" w:space="0" w:color="auto"/>
        <w:right w:val="none" w:sz="0" w:space="0" w:color="auto"/>
      </w:divBdr>
    </w:div>
    <w:div w:id="296028361">
      <w:bodyDiv w:val="1"/>
      <w:marLeft w:val="0"/>
      <w:marRight w:val="0"/>
      <w:marTop w:val="0"/>
      <w:marBottom w:val="0"/>
      <w:divBdr>
        <w:top w:val="none" w:sz="0" w:space="0" w:color="auto"/>
        <w:left w:val="none" w:sz="0" w:space="0" w:color="auto"/>
        <w:bottom w:val="none" w:sz="0" w:space="0" w:color="auto"/>
        <w:right w:val="none" w:sz="0" w:space="0" w:color="auto"/>
      </w:divBdr>
    </w:div>
    <w:div w:id="296182930">
      <w:bodyDiv w:val="1"/>
      <w:marLeft w:val="0"/>
      <w:marRight w:val="0"/>
      <w:marTop w:val="0"/>
      <w:marBottom w:val="0"/>
      <w:divBdr>
        <w:top w:val="none" w:sz="0" w:space="0" w:color="auto"/>
        <w:left w:val="none" w:sz="0" w:space="0" w:color="auto"/>
        <w:bottom w:val="none" w:sz="0" w:space="0" w:color="auto"/>
        <w:right w:val="none" w:sz="0" w:space="0" w:color="auto"/>
      </w:divBdr>
    </w:div>
    <w:div w:id="296297303">
      <w:bodyDiv w:val="1"/>
      <w:marLeft w:val="0"/>
      <w:marRight w:val="0"/>
      <w:marTop w:val="0"/>
      <w:marBottom w:val="0"/>
      <w:divBdr>
        <w:top w:val="none" w:sz="0" w:space="0" w:color="auto"/>
        <w:left w:val="none" w:sz="0" w:space="0" w:color="auto"/>
        <w:bottom w:val="none" w:sz="0" w:space="0" w:color="auto"/>
        <w:right w:val="none" w:sz="0" w:space="0" w:color="auto"/>
      </w:divBdr>
    </w:div>
    <w:div w:id="296304211">
      <w:bodyDiv w:val="1"/>
      <w:marLeft w:val="0"/>
      <w:marRight w:val="0"/>
      <w:marTop w:val="0"/>
      <w:marBottom w:val="0"/>
      <w:divBdr>
        <w:top w:val="none" w:sz="0" w:space="0" w:color="auto"/>
        <w:left w:val="none" w:sz="0" w:space="0" w:color="auto"/>
        <w:bottom w:val="none" w:sz="0" w:space="0" w:color="auto"/>
        <w:right w:val="none" w:sz="0" w:space="0" w:color="auto"/>
      </w:divBdr>
    </w:div>
    <w:div w:id="296375890">
      <w:bodyDiv w:val="1"/>
      <w:marLeft w:val="0"/>
      <w:marRight w:val="0"/>
      <w:marTop w:val="0"/>
      <w:marBottom w:val="0"/>
      <w:divBdr>
        <w:top w:val="none" w:sz="0" w:space="0" w:color="auto"/>
        <w:left w:val="none" w:sz="0" w:space="0" w:color="auto"/>
        <w:bottom w:val="none" w:sz="0" w:space="0" w:color="auto"/>
        <w:right w:val="none" w:sz="0" w:space="0" w:color="auto"/>
      </w:divBdr>
    </w:div>
    <w:div w:id="296380318">
      <w:bodyDiv w:val="1"/>
      <w:marLeft w:val="0"/>
      <w:marRight w:val="0"/>
      <w:marTop w:val="0"/>
      <w:marBottom w:val="0"/>
      <w:divBdr>
        <w:top w:val="none" w:sz="0" w:space="0" w:color="auto"/>
        <w:left w:val="none" w:sz="0" w:space="0" w:color="auto"/>
        <w:bottom w:val="none" w:sz="0" w:space="0" w:color="auto"/>
        <w:right w:val="none" w:sz="0" w:space="0" w:color="auto"/>
      </w:divBdr>
    </w:div>
    <w:div w:id="296424085">
      <w:bodyDiv w:val="1"/>
      <w:marLeft w:val="0"/>
      <w:marRight w:val="0"/>
      <w:marTop w:val="0"/>
      <w:marBottom w:val="0"/>
      <w:divBdr>
        <w:top w:val="none" w:sz="0" w:space="0" w:color="auto"/>
        <w:left w:val="none" w:sz="0" w:space="0" w:color="auto"/>
        <w:bottom w:val="none" w:sz="0" w:space="0" w:color="auto"/>
        <w:right w:val="none" w:sz="0" w:space="0" w:color="auto"/>
      </w:divBdr>
    </w:div>
    <w:div w:id="296448309">
      <w:bodyDiv w:val="1"/>
      <w:marLeft w:val="0"/>
      <w:marRight w:val="0"/>
      <w:marTop w:val="0"/>
      <w:marBottom w:val="0"/>
      <w:divBdr>
        <w:top w:val="none" w:sz="0" w:space="0" w:color="auto"/>
        <w:left w:val="none" w:sz="0" w:space="0" w:color="auto"/>
        <w:bottom w:val="none" w:sz="0" w:space="0" w:color="auto"/>
        <w:right w:val="none" w:sz="0" w:space="0" w:color="auto"/>
      </w:divBdr>
    </w:div>
    <w:div w:id="296492693">
      <w:bodyDiv w:val="1"/>
      <w:marLeft w:val="0"/>
      <w:marRight w:val="0"/>
      <w:marTop w:val="0"/>
      <w:marBottom w:val="0"/>
      <w:divBdr>
        <w:top w:val="none" w:sz="0" w:space="0" w:color="auto"/>
        <w:left w:val="none" w:sz="0" w:space="0" w:color="auto"/>
        <w:bottom w:val="none" w:sz="0" w:space="0" w:color="auto"/>
        <w:right w:val="none" w:sz="0" w:space="0" w:color="auto"/>
      </w:divBdr>
    </w:div>
    <w:div w:id="296495732">
      <w:bodyDiv w:val="1"/>
      <w:marLeft w:val="0"/>
      <w:marRight w:val="0"/>
      <w:marTop w:val="0"/>
      <w:marBottom w:val="0"/>
      <w:divBdr>
        <w:top w:val="none" w:sz="0" w:space="0" w:color="auto"/>
        <w:left w:val="none" w:sz="0" w:space="0" w:color="auto"/>
        <w:bottom w:val="none" w:sz="0" w:space="0" w:color="auto"/>
        <w:right w:val="none" w:sz="0" w:space="0" w:color="auto"/>
      </w:divBdr>
    </w:div>
    <w:div w:id="296569485">
      <w:bodyDiv w:val="1"/>
      <w:marLeft w:val="0"/>
      <w:marRight w:val="0"/>
      <w:marTop w:val="0"/>
      <w:marBottom w:val="0"/>
      <w:divBdr>
        <w:top w:val="none" w:sz="0" w:space="0" w:color="auto"/>
        <w:left w:val="none" w:sz="0" w:space="0" w:color="auto"/>
        <w:bottom w:val="none" w:sz="0" w:space="0" w:color="auto"/>
        <w:right w:val="none" w:sz="0" w:space="0" w:color="auto"/>
      </w:divBdr>
    </w:div>
    <w:div w:id="296641073">
      <w:bodyDiv w:val="1"/>
      <w:marLeft w:val="0"/>
      <w:marRight w:val="0"/>
      <w:marTop w:val="0"/>
      <w:marBottom w:val="0"/>
      <w:divBdr>
        <w:top w:val="none" w:sz="0" w:space="0" w:color="auto"/>
        <w:left w:val="none" w:sz="0" w:space="0" w:color="auto"/>
        <w:bottom w:val="none" w:sz="0" w:space="0" w:color="auto"/>
        <w:right w:val="none" w:sz="0" w:space="0" w:color="auto"/>
      </w:divBdr>
    </w:div>
    <w:div w:id="296759895">
      <w:bodyDiv w:val="1"/>
      <w:marLeft w:val="0"/>
      <w:marRight w:val="0"/>
      <w:marTop w:val="0"/>
      <w:marBottom w:val="0"/>
      <w:divBdr>
        <w:top w:val="none" w:sz="0" w:space="0" w:color="auto"/>
        <w:left w:val="none" w:sz="0" w:space="0" w:color="auto"/>
        <w:bottom w:val="none" w:sz="0" w:space="0" w:color="auto"/>
        <w:right w:val="none" w:sz="0" w:space="0" w:color="auto"/>
      </w:divBdr>
    </w:div>
    <w:div w:id="296767447">
      <w:bodyDiv w:val="1"/>
      <w:marLeft w:val="0"/>
      <w:marRight w:val="0"/>
      <w:marTop w:val="0"/>
      <w:marBottom w:val="0"/>
      <w:divBdr>
        <w:top w:val="none" w:sz="0" w:space="0" w:color="auto"/>
        <w:left w:val="none" w:sz="0" w:space="0" w:color="auto"/>
        <w:bottom w:val="none" w:sz="0" w:space="0" w:color="auto"/>
        <w:right w:val="none" w:sz="0" w:space="0" w:color="auto"/>
      </w:divBdr>
    </w:div>
    <w:div w:id="296837851">
      <w:bodyDiv w:val="1"/>
      <w:marLeft w:val="0"/>
      <w:marRight w:val="0"/>
      <w:marTop w:val="0"/>
      <w:marBottom w:val="0"/>
      <w:divBdr>
        <w:top w:val="none" w:sz="0" w:space="0" w:color="auto"/>
        <w:left w:val="none" w:sz="0" w:space="0" w:color="auto"/>
        <w:bottom w:val="none" w:sz="0" w:space="0" w:color="auto"/>
        <w:right w:val="none" w:sz="0" w:space="0" w:color="auto"/>
      </w:divBdr>
    </w:div>
    <w:div w:id="296882469">
      <w:bodyDiv w:val="1"/>
      <w:marLeft w:val="0"/>
      <w:marRight w:val="0"/>
      <w:marTop w:val="0"/>
      <w:marBottom w:val="0"/>
      <w:divBdr>
        <w:top w:val="none" w:sz="0" w:space="0" w:color="auto"/>
        <w:left w:val="none" w:sz="0" w:space="0" w:color="auto"/>
        <w:bottom w:val="none" w:sz="0" w:space="0" w:color="auto"/>
        <w:right w:val="none" w:sz="0" w:space="0" w:color="auto"/>
      </w:divBdr>
    </w:div>
    <w:div w:id="296954553">
      <w:bodyDiv w:val="1"/>
      <w:marLeft w:val="0"/>
      <w:marRight w:val="0"/>
      <w:marTop w:val="0"/>
      <w:marBottom w:val="0"/>
      <w:divBdr>
        <w:top w:val="none" w:sz="0" w:space="0" w:color="auto"/>
        <w:left w:val="none" w:sz="0" w:space="0" w:color="auto"/>
        <w:bottom w:val="none" w:sz="0" w:space="0" w:color="auto"/>
        <w:right w:val="none" w:sz="0" w:space="0" w:color="auto"/>
      </w:divBdr>
    </w:div>
    <w:div w:id="297075398">
      <w:bodyDiv w:val="1"/>
      <w:marLeft w:val="0"/>
      <w:marRight w:val="0"/>
      <w:marTop w:val="0"/>
      <w:marBottom w:val="0"/>
      <w:divBdr>
        <w:top w:val="none" w:sz="0" w:space="0" w:color="auto"/>
        <w:left w:val="none" w:sz="0" w:space="0" w:color="auto"/>
        <w:bottom w:val="none" w:sz="0" w:space="0" w:color="auto"/>
        <w:right w:val="none" w:sz="0" w:space="0" w:color="auto"/>
      </w:divBdr>
    </w:div>
    <w:div w:id="297075721">
      <w:bodyDiv w:val="1"/>
      <w:marLeft w:val="0"/>
      <w:marRight w:val="0"/>
      <w:marTop w:val="0"/>
      <w:marBottom w:val="0"/>
      <w:divBdr>
        <w:top w:val="none" w:sz="0" w:space="0" w:color="auto"/>
        <w:left w:val="none" w:sz="0" w:space="0" w:color="auto"/>
        <w:bottom w:val="none" w:sz="0" w:space="0" w:color="auto"/>
        <w:right w:val="none" w:sz="0" w:space="0" w:color="auto"/>
      </w:divBdr>
    </w:div>
    <w:div w:id="297105430">
      <w:bodyDiv w:val="1"/>
      <w:marLeft w:val="0"/>
      <w:marRight w:val="0"/>
      <w:marTop w:val="0"/>
      <w:marBottom w:val="0"/>
      <w:divBdr>
        <w:top w:val="none" w:sz="0" w:space="0" w:color="auto"/>
        <w:left w:val="none" w:sz="0" w:space="0" w:color="auto"/>
        <w:bottom w:val="none" w:sz="0" w:space="0" w:color="auto"/>
        <w:right w:val="none" w:sz="0" w:space="0" w:color="auto"/>
      </w:divBdr>
    </w:div>
    <w:div w:id="297152473">
      <w:bodyDiv w:val="1"/>
      <w:marLeft w:val="0"/>
      <w:marRight w:val="0"/>
      <w:marTop w:val="0"/>
      <w:marBottom w:val="0"/>
      <w:divBdr>
        <w:top w:val="none" w:sz="0" w:space="0" w:color="auto"/>
        <w:left w:val="none" w:sz="0" w:space="0" w:color="auto"/>
        <w:bottom w:val="none" w:sz="0" w:space="0" w:color="auto"/>
        <w:right w:val="none" w:sz="0" w:space="0" w:color="auto"/>
      </w:divBdr>
    </w:div>
    <w:div w:id="297220629">
      <w:bodyDiv w:val="1"/>
      <w:marLeft w:val="0"/>
      <w:marRight w:val="0"/>
      <w:marTop w:val="0"/>
      <w:marBottom w:val="0"/>
      <w:divBdr>
        <w:top w:val="none" w:sz="0" w:space="0" w:color="auto"/>
        <w:left w:val="none" w:sz="0" w:space="0" w:color="auto"/>
        <w:bottom w:val="none" w:sz="0" w:space="0" w:color="auto"/>
        <w:right w:val="none" w:sz="0" w:space="0" w:color="auto"/>
      </w:divBdr>
    </w:div>
    <w:div w:id="297225194">
      <w:bodyDiv w:val="1"/>
      <w:marLeft w:val="0"/>
      <w:marRight w:val="0"/>
      <w:marTop w:val="0"/>
      <w:marBottom w:val="0"/>
      <w:divBdr>
        <w:top w:val="none" w:sz="0" w:space="0" w:color="auto"/>
        <w:left w:val="none" w:sz="0" w:space="0" w:color="auto"/>
        <w:bottom w:val="none" w:sz="0" w:space="0" w:color="auto"/>
        <w:right w:val="none" w:sz="0" w:space="0" w:color="auto"/>
      </w:divBdr>
    </w:div>
    <w:div w:id="297228931">
      <w:bodyDiv w:val="1"/>
      <w:marLeft w:val="0"/>
      <w:marRight w:val="0"/>
      <w:marTop w:val="0"/>
      <w:marBottom w:val="0"/>
      <w:divBdr>
        <w:top w:val="none" w:sz="0" w:space="0" w:color="auto"/>
        <w:left w:val="none" w:sz="0" w:space="0" w:color="auto"/>
        <w:bottom w:val="none" w:sz="0" w:space="0" w:color="auto"/>
        <w:right w:val="none" w:sz="0" w:space="0" w:color="auto"/>
      </w:divBdr>
    </w:div>
    <w:div w:id="297303157">
      <w:bodyDiv w:val="1"/>
      <w:marLeft w:val="0"/>
      <w:marRight w:val="0"/>
      <w:marTop w:val="0"/>
      <w:marBottom w:val="0"/>
      <w:divBdr>
        <w:top w:val="none" w:sz="0" w:space="0" w:color="auto"/>
        <w:left w:val="none" w:sz="0" w:space="0" w:color="auto"/>
        <w:bottom w:val="none" w:sz="0" w:space="0" w:color="auto"/>
        <w:right w:val="none" w:sz="0" w:space="0" w:color="auto"/>
      </w:divBdr>
    </w:div>
    <w:div w:id="297342729">
      <w:bodyDiv w:val="1"/>
      <w:marLeft w:val="0"/>
      <w:marRight w:val="0"/>
      <w:marTop w:val="0"/>
      <w:marBottom w:val="0"/>
      <w:divBdr>
        <w:top w:val="none" w:sz="0" w:space="0" w:color="auto"/>
        <w:left w:val="none" w:sz="0" w:space="0" w:color="auto"/>
        <w:bottom w:val="none" w:sz="0" w:space="0" w:color="auto"/>
        <w:right w:val="none" w:sz="0" w:space="0" w:color="auto"/>
      </w:divBdr>
    </w:div>
    <w:div w:id="297347529">
      <w:bodyDiv w:val="1"/>
      <w:marLeft w:val="0"/>
      <w:marRight w:val="0"/>
      <w:marTop w:val="0"/>
      <w:marBottom w:val="0"/>
      <w:divBdr>
        <w:top w:val="none" w:sz="0" w:space="0" w:color="auto"/>
        <w:left w:val="none" w:sz="0" w:space="0" w:color="auto"/>
        <w:bottom w:val="none" w:sz="0" w:space="0" w:color="auto"/>
        <w:right w:val="none" w:sz="0" w:space="0" w:color="auto"/>
      </w:divBdr>
    </w:div>
    <w:div w:id="297492063">
      <w:bodyDiv w:val="1"/>
      <w:marLeft w:val="0"/>
      <w:marRight w:val="0"/>
      <w:marTop w:val="0"/>
      <w:marBottom w:val="0"/>
      <w:divBdr>
        <w:top w:val="none" w:sz="0" w:space="0" w:color="auto"/>
        <w:left w:val="none" w:sz="0" w:space="0" w:color="auto"/>
        <w:bottom w:val="none" w:sz="0" w:space="0" w:color="auto"/>
        <w:right w:val="none" w:sz="0" w:space="0" w:color="auto"/>
      </w:divBdr>
    </w:div>
    <w:div w:id="297492306">
      <w:bodyDiv w:val="1"/>
      <w:marLeft w:val="0"/>
      <w:marRight w:val="0"/>
      <w:marTop w:val="0"/>
      <w:marBottom w:val="0"/>
      <w:divBdr>
        <w:top w:val="none" w:sz="0" w:space="0" w:color="auto"/>
        <w:left w:val="none" w:sz="0" w:space="0" w:color="auto"/>
        <w:bottom w:val="none" w:sz="0" w:space="0" w:color="auto"/>
        <w:right w:val="none" w:sz="0" w:space="0" w:color="auto"/>
      </w:divBdr>
    </w:div>
    <w:div w:id="297539470">
      <w:bodyDiv w:val="1"/>
      <w:marLeft w:val="0"/>
      <w:marRight w:val="0"/>
      <w:marTop w:val="0"/>
      <w:marBottom w:val="0"/>
      <w:divBdr>
        <w:top w:val="none" w:sz="0" w:space="0" w:color="auto"/>
        <w:left w:val="none" w:sz="0" w:space="0" w:color="auto"/>
        <w:bottom w:val="none" w:sz="0" w:space="0" w:color="auto"/>
        <w:right w:val="none" w:sz="0" w:space="0" w:color="auto"/>
      </w:divBdr>
    </w:div>
    <w:div w:id="297610431">
      <w:bodyDiv w:val="1"/>
      <w:marLeft w:val="0"/>
      <w:marRight w:val="0"/>
      <w:marTop w:val="0"/>
      <w:marBottom w:val="0"/>
      <w:divBdr>
        <w:top w:val="none" w:sz="0" w:space="0" w:color="auto"/>
        <w:left w:val="none" w:sz="0" w:space="0" w:color="auto"/>
        <w:bottom w:val="none" w:sz="0" w:space="0" w:color="auto"/>
        <w:right w:val="none" w:sz="0" w:space="0" w:color="auto"/>
      </w:divBdr>
    </w:div>
    <w:div w:id="297616790">
      <w:bodyDiv w:val="1"/>
      <w:marLeft w:val="0"/>
      <w:marRight w:val="0"/>
      <w:marTop w:val="0"/>
      <w:marBottom w:val="0"/>
      <w:divBdr>
        <w:top w:val="none" w:sz="0" w:space="0" w:color="auto"/>
        <w:left w:val="none" w:sz="0" w:space="0" w:color="auto"/>
        <w:bottom w:val="none" w:sz="0" w:space="0" w:color="auto"/>
        <w:right w:val="none" w:sz="0" w:space="0" w:color="auto"/>
      </w:divBdr>
    </w:div>
    <w:div w:id="297683511">
      <w:bodyDiv w:val="1"/>
      <w:marLeft w:val="0"/>
      <w:marRight w:val="0"/>
      <w:marTop w:val="0"/>
      <w:marBottom w:val="0"/>
      <w:divBdr>
        <w:top w:val="none" w:sz="0" w:space="0" w:color="auto"/>
        <w:left w:val="none" w:sz="0" w:space="0" w:color="auto"/>
        <w:bottom w:val="none" w:sz="0" w:space="0" w:color="auto"/>
        <w:right w:val="none" w:sz="0" w:space="0" w:color="auto"/>
      </w:divBdr>
    </w:div>
    <w:div w:id="297685647">
      <w:bodyDiv w:val="1"/>
      <w:marLeft w:val="0"/>
      <w:marRight w:val="0"/>
      <w:marTop w:val="0"/>
      <w:marBottom w:val="0"/>
      <w:divBdr>
        <w:top w:val="none" w:sz="0" w:space="0" w:color="auto"/>
        <w:left w:val="none" w:sz="0" w:space="0" w:color="auto"/>
        <w:bottom w:val="none" w:sz="0" w:space="0" w:color="auto"/>
        <w:right w:val="none" w:sz="0" w:space="0" w:color="auto"/>
      </w:divBdr>
    </w:div>
    <w:div w:id="297730985">
      <w:bodyDiv w:val="1"/>
      <w:marLeft w:val="0"/>
      <w:marRight w:val="0"/>
      <w:marTop w:val="0"/>
      <w:marBottom w:val="0"/>
      <w:divBdr>
        <w:top w:val="none" w:sz="0" w:space="0" w:color="auto"/>
        <w:left w:val="none" w:sz="0" w:space="0" w:color="auto"/>
        <w:bottom w:val="none" w:sz="0" w:space="0" w:color="auto"/>
        <w:right w:val="none" w:sz="0" w:space="0" w:color="auto"/>
      </w:divBdr>
    </w:div>
    <w:div w:id="297733956">
      <w:bodyDiv w:val="1"/>
      <w:marLeft w:val="0"/>
      <w:marRight w:val="0"/>
      <w:marTop w:val="0"/>
      <w:marBottom w:val="0"/>
      <w:divBdr>
        <w:top w:val="none" w:sz="0" w:space="0" w:color="auto"/>
        <w:left w:val="none" w:sz="0" w:space="0" w:color="auto"/>
        <w:bottom w:val="none" w:sz="0" w:space="0" w:color="auto"/>
        <w:right w:val="none" w:sz="0" w:space="0" w:color="auto"/>
      </w:divBdr>
    </w:div>
    <w:div w:id="297882166">
      <w:bodyDiv w:val="1"/>
      <w:marLeft w:val="0"/>
      <w:marRight w:val="0"/>
      <w:marTop w:val="0"/>
      <w:marBottom w:val="0"/>
      <w:divBdr>
        <w:top w:val="none" w:sz="0" w:space="0" w:color="auto"/>
        <w:left w:val="none" w:sz="0" w:space="0" w:color="auto"/>
        <w:bottom w:val="none" w:sz="0" w:space="0" w:color="auto"/>
        <w:right w:val="none" w:sz="0" w:space="0" w:color="auto"/>
      </w:divBdr>
    </w:div>
    <w:div w:id="297927632">
      <w:bodyDiv w:val="1"/>
      <w:marLeft w:val="0"/>
      <w:marRight w:val="0"/>
      <w:marTop w:val="0"/>
      <w:marBottom w:val="0"/>
      <w:divBdr>
        <w:top w:val="none" w:sz="0" w:space="0" w:color="auto"/>
        <w:left w:val="none" w:sz="0" w:space="0" w:color="auto"/>
        <w:bottom w:val="none" w:sz="0" w:space="0" w:color="auto"/>
        <w:right w:val="none" w:sz="0" w:space="0" w:color="auto"/>
      </w:divBdr>
    </w:div>
    <w:div w:id="298070170">
      <w:bodyDiv w:val="1"/>
      <w:marLeft w:val="0"/>
      <w:marRight w:val="0"/>
      <w:marTop w:val="0"/>
      <w:marBottom w:val="0"/>
      <w:divBdr>
        <w:top w:val="none" w:sz="0" w:space="0" w:color="auto"/>
        <w:left w:val="none" w:sz="0" w:space="0" w:color="auto"/>
        <w:bottom w:val="none" w:sz="0" w:space="0" w:color="auto"/>
        <w:right w:val="none" w:sz="0" w:space="0" w:color="auto"/>
      </w:divBdr>
    </w:div>
    <w:div w:id="298263354">
      <w:bodyDiv w:val="1"/>
      <w:marLeft w:val="0"/>
      <w:marRight w:val="0"/>
      <w:marTop w:val="0"/>
      <w:marBottom w:val="0"/>
      <w:divBdr>
        <w:top w:val="none" w:sz="0" w:space="0" w:color="auto"/>
        <w:left w:val="none" w:sz="0" w:space="0" w:color="auto"/>
        <w:bottom w:val="none" w:sz="0" w:space="0" w:color="auto"/>
        <w:right w:val="none" w:sz="0" w:space="0" w:color="auto"/>
      </w:divBdr>
    </w:div>
    <w:div w:id="298344645">
      <w:bodyDiv w:val="1"/>
      <w:marLeft w:val="0"/>
      <w:marRight w:val="0"/>
      <w:marTop w:val="0"/>
      <w:marBottom w:val="0"/>
      <w:divBdr>
        <w:top w:val="none" w:sz="0" w:space="0" w:color="auto"/>
        <w:left w:val="none" w:sz="0" w:space="0" w:color="auto"/>
        <w:bottom w:val="none" w:sz="0" w:space="0" w:color="auto"/>
        <w:right w:val="none" w:sz="0" w:space="0" w:color="auto"/>
      </w:divBdr>
    </w:div>
    <w:div w:id="298346641">
      <w:bodyDiv w:val="1"/>
      <w:marLeft w:val="0"/>
      <w:marRight w:val="0"/>
      <w:marTop w:val="0"/>
      <w:marBottom w:val="0"/>
      <w:divBdr>
        <w:top w:val="none" w:sz="0" w:space="0" w:color="auto"/>
        <w:left w:val="none" w:sz="0" w:space="0" w:color="auto"/>
        <w:bottom w:val="none" w:sz="0" w:space="0" w:color="auto"/>
        <w:right w:val="none" w:sz="0" w:space="0" w:color="auto"/>
      </w:divBdr>
    </w:div>
    <w:div w:id="298459756">
      <w:bodyDiv w:val="1"/>
      <w:marLeft w:val="0"/>
      <w:marRight w:val="0"/>
      <w:marTop w:val="0"/>
      <w:marBottom w:val="0"/>
      <w:divBdr>
        <w:top w:val="none" w:sz="0" w:space="0" w:color="auto"/>
        <w:left w:val="none" w:sz="0" w:space="0" w:color="auto"/>
        <w:bottom w:val="none" w:sz="0" w:space="0" w:color="auto"/>
        <w:right w:val="none" w:sz="0" w:space="0" w:color="auto"/>
      </w:divBdr>
    </w:div>
    <w:div w:id="298461067">
      <w:bodyDiv w:val="1"/>
      <w:marLeft w:val="0"/>
      <w:marRight w:val="0"/>
      <w:marTop w:val="0"/>
      <w:marBottom w:val="0"/>
      <w:divBdr>
        <w:top w:val="none" w:sz="0" w:space="0" w:color="auto"/>
        <w:left w:val="none" w:sz="0" w:space="0" w:color="auto"/>
        <w:bottom w:val="none" w:sz="0" w:space="0" w:color="auto"/>
        <w:right w:val="none" w:sz="0" w:space="0" w:color="auto"/>
      </w:divBdr>
    </w:div>
    <w:div w:id="298461294">
      <w:bodyDiv w:val="1"/>
      <w:marLeft w:val="0"/>
      <w:marRight w:val="0"/>
      <w:marTop w:val="0"/>
      <w:marBottom w:val="0"/>
      <w:divBdr>
        <w:top w:val="none" w:sz="0" w:space="0" w:color="auto"/>
        <w:left w:val="none" w:sz="0" w:space="0" w:color="auto"/>
        <w:bottom w:val="none" w:sz="0" w:space="0" w:color="auto"/>
        <w:right w:val="none" w:sz="0" w:space="0" w:color="auto"/>
      </w:divBdr>
    </w:div>
    <w:div w:id="298654901">
      <w:bodyDiv w:val="1"/>
      <w:marLeft w:val="0"/>
      <w:marRight w:val="0"/>
      <w:marTop w:val="0"/>
      <w:marBottom w:val="0"/>
      <w:divBdr>
        <w:top w:val="none" w:sz="0" w:space="0" w:color="auto"/>
        <w:left w:val="none" w:sz="0" w:space="0" w:color="auto"/>
        <w:bottom w:val="none" w:sz="0" w:space="0" w:color="auto"/>
        <w:right w:val="none" w:sz="0" w:space="0" w:color="auto"/>
      </w:divBdr>
    </w:div>
    <w:div w:id="298657354">
      <w:bodyDiv w:val="1"/>
      <w:marLeft w:val="0"/>
      <w:marRight w:val="0"/>
      <w:marTop w:val="0"/>
      <w:marBottom w:val="0"/>
      <w:divBdr>
        <w:top w:val="none" w:sz="0" w:space="0" w:color="auto"/>
        <w:left w:val="none" w:sz="0" w:space="0" w:color="auto"/>
        <w:bottom w:val="none" w:sz="0" w:space="0" w:color="auto"/>
        <w:right w:val="none" w:sz="0" w:space="0" w:color="auto"/>
      </w:divBdr>
    </w:div>
    <w:div w:id="298724897">
      <w:bodyDiv w:val="1"/>
      <w:marLeft w:val="0"/>
      <w:marRight w:val="0"/>
      <w:marTop w:val="0"/>
      <w:marBottom w:val="0"/>
      <w:divBdr>
        <w:top w:val="none" w:sz="0" w:space="0" w:color="auto"/>
        <w:left w:val="none" w:sz="0" w:space="0" w:color="auto"/>
        <w:bottom w:val="none" w:sz="0" w:space="0" w:color="auto"/>
        <w:right w:val="none" w:sz="0" w:space="0" w:color="auto"/>
      </w:divBdr>
    </w:div>
    <w:div w:id="298732805">
      <w:bodyDiv w:val="1"/>
      <w:marLeft w:val="0"/>
      <w:marRight w:val="0"/>
      <w:marTop w:val="0"/>
      <w:marBottom w:val="0"/>
      <w:divBdr>
        <w:top w:val="none" w:sz="0" w:space="0" w:color="auto"/>
        <w:left w:val="none" w:sz="0" w:space="0" w:color="auto"/>
        <w:bottom w:val="none" w:sz="0" w:space="0" w:color="auto"/>
        <w:right w:val="none" w:sz="0" w:space="0" w:color="auto"/>
      </w:divBdr>
    </w:div>
    <w:div w:id="298922431">
      <w:bodyDiv w:val="1"/>
      <w:marLeft w:val="0"/>
      <w:marRight w:val="0"/>
      <w:marTop w:val="0"/>
      <w:marBottom w:val="0"/>
      <w:divBdr>
        <w:top w:val="none" w:sz="0" w:space="0" w:color="auto"/>
        <w:left w:val="none" w:sz="0" w:space="0" w:color="auto"/>
        <w:bottom w:val="none" w:sz="0" w:space="0" w:color="auto"/>
        <w:right w:val="none" w:sz="0" w:space="0" w:color="auto"/>
      </w:divBdr>
    </w:div>
    <w:div w:id="298923635">
      <w:bodyDiv w:val="1"/>
      <w:marLeft w:val="0"/>
      <w:marRight w:val="0"/>
      <w:marTop w:val="0"/>
      <w:marBottom w:val="0"/>
      <w:divBdr>
        <w:top w:val="none" w:sz="0" w:space="0" w:color="auto"/>
        <w:left w:val="none" w:sz="0" w:space="0" w:color="auto"/>
        <w:bottom w:val="none" w:sz="0" w:space="0" w:color="auto"/>
        <w:right w:val="none" w:sz="0" w:space="0" w:color="auto"/>
      </w:divBdr>
    </w:div>
    <w:div w:id="298927368">
      <w:bodyDiv w:val="1"/>
      <w:marLeft w:val="0"/>
      <w:marRight w:val="0"/>
      <w:marTop w:val="0"/>
      <w:marBottom w:val="0"/>
      <w:divBdr>
        <w:top w:val="none" w:sz="0" w:space="0" w:color="auto"/>
        <w:left w:val="none" w:sz="0" w:space="0" w:color="auto"/>
        <w:bottom w:val="none" w:sz="0" w:space="0" w:color="auto"/>
        <w:right w:val="none" w:sz="0" w:space="0" w:color="auto"/>
      </w:divBdr>
    </w:div>
    <w:div w:id="298993966">
      <w:bodyDiv w:val="1"/>
      <w:marLeft w:val="0"/>
      <w:marRight w:val="0"/>
      <w:marTop w:val="0"/>
      <w:marBottom w:val="0"/>
      <w:divBdr>
        <w:top w:val="none" w:sz="0" w:space="0" w:color="auto"/>
        <w:left w:val="none" w:sz="0" w:space="0" w:color="auto"/>
        <w:bottom w:val="none" w:sz="0" w:space="0" w:color="auto"/>
        <w:right w:val="none" w:sz="0" w:space="0" w:color="auto"/>
      </w:divBdr>
    </w:div>
    <w:div w:id="299266900">
      <w:bodyDiv w:val="1"/>
      <w:marLeft w:val="0"/>
      <w:marRight w:val="0"/>
      <w:marTop w:val="0"/>
      <w:marBottom w:val="0"/>
      <w:divBdr>
        <w:top w:val="none" w:sz="0" w:space="0" w:color="auto"/>
        <w:left w:val="none" w:sz="0" w:space="0" w:color="auto"/>
        <w:bottom w:val="none" w:sz="0" w:space="0" w:color="auto"/>
        <w:right w:val="none" w:sz="0" w:space="0" w:color="auto"/>
      </w:divBdr>
    </w:div>
    <w:div w:id="299461137">
      <w:bodyDiv w:val="1"/>
      <w:marLeft w:val="0"/>
      <w:marRight w:val="0"/>
      <w:marTop w:val="0"/>
      <w:marBottom w:val="0"/>
      <w:divBdr>
        <w:top w:val="none" w:sz="0" w:space="0" w:color="auto"/>
        <w:left w:val="none" w:sz="0" w:space="0" w:color="auto"/>
        <w:bottom w:val="none" w:sz="0" w:space="0" w:color="auto"/>
        <w:right w:val="none" w:sz="0" w:space="0" w:color="auto"/>
      </w:divBdr>
    </w:div>
    <w:div w:id="299499857">
      <w:bodyDiv w:val="1"/>
      <w:marLeft w:val="0"/>
      <w:marRight w:val="0"/>
      <w:marTop w:val="0"/>
      <w:marBottom w:val="0"/>
      <w:divBdr>
        <w:top w:val="none" w:sz="0" w:space="0" w:color="auto"/>
        <w:left w:val="none" w:sz="0" w:space="0" w:color="auto"/>
        <w:bottom w:val="none" w:sz="0" w:space="0" w:color="auto"/>
        <w:right w:val="none" w:sz="0" w:space="0" w:color="auto"/>
      </w:divBdr>
    </w:div>
    <w:div w:id="299505844">
      <w:bodyDiv w:val="1"/>
      <w:marLeft w:val="0"/>
      <w:marRight w:val="0"/>
      <w:marTop w:val="0"/>
      <w:marBottom w:val="0"/>
      <w:divBdr>
        <w:top w:val="none" w:sz="0" w:space="0" w:color="auto"/>
        <w:left w:val="none" w:sz="0" w:space="0" w:color="auto"/>
        <w:bottom w:val="none" w:sz="0" w:space="0" w:color="auto"/>
        <w:right w:val="none" w:sz="0" w:space="0" w:color="auto"/>
      </w:divBdr>
    </w:div>
    <w:div w:id="299724532">
      <w:bodyDiv w:val="1"/>
      <w:marLeft w:val="0"/>
      <w:marRight w:val="0"/>
      <w:marTop w:val="0"/>
      <w:marBottom w:val="0"/>
      <w:divBdr>
        <w:top w:val="none" w:sz="0" w:space="0" w:color="auto"/>
        <w:left w:val="none" w:sz="0" w:space="0" w:color="auto"/>
        <w:bottom w:val="none" w:sz="0" w:space="0" w:color="auto"/>
        <w:right w:val="none" w:sz="0" w:space="0" w:color="auto"/>
      </w:divBdr>
    </w:div>
    <w:div w:id="299850231">
      <w:bodyDiv w:val="1"/>
      <w:marLeft w:val="0"/>
      <w:marRight w:val="0"/>
      <w:marTop w:val="0"/>
      <w:marBottom w:val="0"/>
      <w:divBdr>
        <w:top w:val="none" w:sz="0" w:space="0" w:color="auto"/>
        <w:left w:val="none" w:sz="0" w:space="0" w:color="auto"/>
        <w:bottom w:val="none" w:sz="0" w:space="0" w:color="auto"/>
        <w:right w:val="none" w:sz="0" w:space="0" w:color="auto"/>
      </w:divBdr>
    </w:div>
    <w:div w:id="299919084">
      <w:bodyDiv w:val="1"/>
      <w:marLeft w:val="0"/>
      <w:marRight w:val="0"/>
      <w:marTop w:val="0"/>
      <w:marBottom w:val="0"/>
      <w:divBdr>
        <w:top w:val="none" w:sz="0" w:space="0" w:color="auto"/>
        <w:left w:val="none" w:sz="0" w:space="0" w:color="auto"/>
        <w:bottom w:val="none" w:sz="0" w:space="0" w:color="auto"/>
        <w:right w:val="none" w:sz="0" w:space="0" w:color="auto"/>
      </w:divBdr>
    </w:div>
    <w:div w:id="300110406">
      <w:bodyDiv w:val="1"/>
      <w:marLeft w:val="0"/>
      <w:marRight w:val="0"/>
      <w:marTop w:val="0"/>
      <w:marBottom w:val="0"/>
      <w:divBdr>
        <w:top w:val="none" w:sz="0" w:space="0" w:color="auto"/>
        <w:left w:val="none" w:sz="0" w:space="0" w:color="auto"/>
        <w:bottom w:val="none" w:sz="0" w:space="0" w:color="auto"/>
        <w:right w:val="none" w:sz="0" w:space="0" w:color="auto"/>
      </w:divBdr>
    </w:div>
    <w:div w:id="300113501">
      <w:bodyDiv w:val="1"/>
      <w:marLeft w:val="0"/>
      <w:marRight w:val="0"/>
      <w:marTop w:val="0"/>
      <w:marBottom w:val="0"/>
      <w:divBdr>
        <w:top w:val="none" w:sz="0" w:space="0" w:color="auto"/>
        <w:left w:val="none" w:sz="0" w:space="0" w:color="auto"/>
        <w:bottom w:val="none" w:sz="0" w:space="0" w:color="auto"/>
        <w:right w:val="none" w:sz="0" w:space="0" w:color="auto"/>
      </w:divBdr>
    </w:div>
    <w:div w:id="300161906">
      <w:bodyDiv w:val="1"/>
      <w:marLeft w:val="0"/>
      <w:marRight w:val="0"/>
      <w:marTop w:val="0"/>
      <w:marBottom w:val="0"/>
      <w:divBdr>
        <w:top w:val="none" w:sz="0" w:space="0" w:color="auto"/>
        <w:left w:val="none" w:sz="0" w:space="0" w:color="auto"/>
        <w:bottom w:val="none" w:sz="0" w:space="0" w:color="auto"/>
        <w:right w:val="none" w:sz="0" w:space="0" w:color="auto"/>
      </w:divBdr>
    </w:div>
    <w:div w:id="300228560">
      <w:bodyDiv w:val="1"/>
      <w:marLeft w:val="0"/>
      <w:marRight w:val="0"/>
      <w:marTop w:val="0"/>
      <w:marBottom w:val="0"/>
      <w:divBdr>
        <w:top w:val="none" w:sz="0" w:space="0" w:color="auto"/>
        <w:left w:val="none" w:sz="0" w:space="0" w:color="auto"/>
        <w:bottom w:val="none" w:sz="0" w:space="0" w:color="auto"/>
        <w:right w:val="none" w:sz="0" w:space="0" w:color="auto"/>
      </w:divBdr>
    </w:div>
    <w:div w:id="300304359">
      <w:bodyDiv w:val="1"/>
      <w:marLeft w:val="0"/>
      <w:marRight w:val="0"/>
      <w:marTop w:val="0"/>
      <w:marBottom w:val="0"/>
      <w:divBdr>
        <w:top w:val="none" w:sz="0" w:space="0" w:color="auto"/>
        <w:left w:val="none" w:sz="0" w:space="0" w:color="auto"/>
        <w:bottom w:val="none" w:sz="0" w:space="0" w:color="auto"/>
        <w:right w:val="none" w:sz="0" w:space="0" w:color="auto"/>
      </w:divBdr>
    </w:div>
    <w:div w:id="300500312">
      <w:bodyDiv w:val="1"/>
      <w:marLeft w:val="0"/>
      <w:marRight w:val="0"/>
      <w:marTop w:val="0"/>
      <w:marBottom w:val="0"/>
      <w:divBdr>
        <w:top w:val="none" w:sz="0" w:space="0" w:color="auto"/>
        <w:left w:val="none" w:sz="0" w:space="0" w:color="auto"/>
        <w:bottom w:val="none" w:sz="0" w:space="0" w:color="auto"/>
        <w:right w:val="none" w:sz="0" w:space="0" w:color="auto"/>
      </w:divBdr>
    </w:div>
    <w:div w:id="300501622">
      <w:bodyDiv w:val="1"/>
      <w:marLeft w:val="0"/>
      <w:marRight w:val="0"/>
      <w:marTop w:val="0"/>
      <w:marBottom w:val="0"/>
      <w:divBdr>
        <w:top w:val="none" w:sz="0" w:space="0" w:color="auto"/>
        <w:left w:val="none" w:sz="0" w:space="0" w:color="auto"/>
        <w:bottom w:val="none" w:sz="0" w:space="0" w:color="auto"/>
        <w:right w:val="none" w:sz="0" w:space="0" w:color="auto"/>
      </w:divBdr>
    </w:div>
    <w:div w:id="300506544">
      <w:bodyDiv w:val="1"/>
      <w:marLeft w:val="0"/>
      <w:marRight w:val="0"/>
      <w:marTop w:val="0"/>
      <w:marBottom w:val="0"/>
      <w:divBdr>
        <w:top w:val="none" w:sz="0" w:space="0" w:color="auto"/>
        <w:left w:val="none" w:sz="0" w:space="0" w:color="auto"/>
        <w:bottom w:val="none" w:sz="0" w:space="0" w:color="auto"/>
        <w:right w:val="none" w:sz="0" w:space="0" w:color="auto"/>
      </w:divBdr>
    </w:div>
    <w:div w:id="300578899">
      <w:bodyDiv w:val="1"/>
      <w:marLeft w:val="0"/>
      <w:marRight w:val="0"/>
      <w:marTop w:val="0"/>
      <w:marBottom w:val="0"/>
      <w:divBdr>
        <w:top w:val="none" w:sz="0" w:space="0" w:color="auto"/>
        <w:left w:val="none" w:sz="0" w:space="0" w:color="auto"/>
        <w:bottom w:val="none" w:sz="0" w:space="0" w:color="auto"/>
        <w:right w:val="none" w:sz="0" w:space="0" w:color="auto"/>
      </w:divBdr>
    </w:div>
    <w:div w:id="300579072">
      <w:bodyDiv w:val="1"/>
      <w:marLeft w:val="0"/>
      <w:marRight w:val="0"/>
      <w:marTop w:val="0"/>
      <w:marBottom w:val="0"/>
      <w:divBdr>
        <w:top w:val="none" w:sz="0" w:space="0" w:color="auto"/>
        <w:left w:val="none" w:sz="0" w:space="0" w:color="auto"/>
        <w:bottom w:val="none" w:sz="0" w:space="0" w:color="auto"/>
        <w:right w:val="none" w:sz="0" w:space="0" w:color="auto"/>
      </w:divBdr>
    </w:div>
    <w:div w:id="300580044">
      <w:bodyDiv w:val="1"/>
      <w:marLeft w:val="0"/>
      <w:marRight w:val="0"/>
      <w:marTop w:val="0"/>
      <w:marBottom w:val="0"/>
      <w:divBdr>
        <w:top w:val="none" w:sz="0" w:space="0" w:color="auto"/>
        <w:left w:val="none" w:sz="0" w:space="0" w:color="auto"/>
        <w:bottom w:val="none" w:sz="0" w:space="0" w:color="auto"/>
        <w:right w:val="none" w:sz="0" w:space="0" w:color="auto"/>
      </w:divBdr>
    </w:div>
    <w:div w:id="300623792">
      <w:bodyDiv w:val="1"/>
      <w:marLeft w:val="0"/>
      <w:marRight w:val="0"/>
      <w:marTop w:val="0"/>
      <w:marBottom w:val="0"/>
      <w:divBdr>
        <w:top w:val="none" w:sz="0" w:space="0" w:color="auto"/>
        <w:left w:val="none" w:sz="0" w:space="0" w:color="auto"/>
        <w:bottom w:val="none" w:sz="0" w:space="0" w:color="auto"/>
        <w:right w:val="none" w:sz="0" w:space="0" w:color="auto"/>
      </w:divBdr>
    </w:div>
    <w:div w:id="300811499">
      <w:bodyDiv w:val="1"/>
      <w:marLeft w:val="0"/>
      <w:marRight w:val="0"/>
      <w:marTop w:val="0"/>
      <w:marBottom w:val="0"/>
      <w:divBdr>
        <w:top w:val="none" w:sz="0" w:space="0" w:color="auto"/>
        <w:left w:val="none" w:sz="0" w:space="0" w:color="auto"/>
        <w:bottom w:val="none" w:sz="0" w:space="0" w:color="auto"/>
        <w:right w:val="none" w:sz="0" w:space="0" w:color="auto"/>
      </w:divBdr>
    </w:div>
    <w:div w:id="301008485">
      <w:bodyDiv w:val="1"/>
      <w:marLeft w:val="0"/>
      <w:marRight w:val="0"/>
      <w:marTop w:val="0"/>
      <w:marBottom w:val="0"/>
      <w:divBdr>
        <w:top w:val="none" w:sz="0" w:space="0" w:color="auto"/>
        <w:left w:val="none" w:sz="0" w:space="0" w:color="auto"/>
        <w:bottom w:val="none" w:sz="0" w:space="0" w:color="auto"/>
        <w:right w:val="none" w:sz="0" w:space="0" w:color="auto"/>
      </w:divBdr>
    </w:div>
    <w:div w:id="301039259">
      <w:bodyDiv w:val="1"/>
      <w:marLeft w:val="0"/>
      <w:marRight w:val="0"/>
      <w:marTop w:val="0"/>
      <w:marBottom w:val="0"/>
      <w:divBdr>
        <w:top w:val="none" w:sz="0" w:space="0" w:color="auto"/>
        <w:left w:val="none" w:sz="0" w:space="0" w:color="auto"/>
        <w:bottom w:val="none" w:sz="0" w:space="0" w:color="auto"/>
        <w:right w:val="none" w:sz="0" w:space="0" w:color="auto"/>
      </w:divBdr>
    </w:div>
    <w:div w:id="301081825">
      <w:bodyDiv w:val="1"/>
      <w:marLeft w:val="0"/>
      <w:marRight w:val="0"/>
      <w:marTop w:val="0"/>
      <w:marBottom w:val="0"/>
      <w:divBdr>
        <w:top w:val="none" w:sz="0" w:space="0" w:color="auto"/>
        <w:left w:val="none" w:sz="0" w:space="0" w:color="auto"/>
        <w:bottom w:val="none" w:sz="0" w:space="0" w:color="auto"/>
        <w:right w:val="none" w:sz="0" w:space="0" w:color="auto"/>
      </w:divBdr>
    </w:div>
    <w:div w:id="301157862">
      <w:bodyDiv w:val="1"/>
      <w:marLeft w:val="0"/>
      <w:marRight w:val="0"/>
      <w:marTop w:val="0"/>
      <w:marBottom w:val="0"/>
      <w:divBdr>
        <w:top w:val="none" w:sz="0" w:space="0" w:color="auto"/>
        <w:left w:val="none" w:sz="0" w:space="0" w:color="auto"/>
        <w:bottom w:val="none" w:sz="0" w:space="0" w:color="auto"/>
        <w:right w:val="none" w:sz="0" w:space="0" w:color="auto"/>
      </w:divBdr>
    </w:div>
    <w:div w:id="301270986">
      <w:bodyDiv w:val="1"/>
      <w:marLeft w:val="0"/>
      <w:marRight w:val="0"/>
      <w:marTop w:val="0"/>
      <w:marBottom w:val="0"/>
      <w:divBdr>
        <w:top w:val="none" w:sz="0" w:space="0" w:color="auto"/>
        <w:left w:val="none" w:sz="0" w:space="0" w:color="auto"/>
        <w:bottom w:val="none" w:sz="0" w:space="0" w:color="auto"/>
        <w:right w:val="none" w:sz="0" w:space="0" w:color="auto"/>
      </w:divBdr>
    </w:div>
    <w:div w:id="301271082">
      <w:bodyDiv w:val="1"/>
      <w:marLeft w:val="0"/>
      <w:marRight w:val="0"/>
      <w:marTop w:val="0"/>
      <w:marBottom w:val="0"/>
      <w:divBdr>
        <w:top w:val="none" w:sz="0" w:space="0" w:color="auto"/>
        <w:left w:val="none" w:sz="0" w:space="0" w:color="auto"/>
        <w:bottom w:val="none" w:sz="0" w:space="0" w:color="auto"/>
        <w:right w:val="none" w:sz="0" w:space="0" w:color="auto"/>
      </w:divBdr>
    </w:div>
    <w:div w:id="301467215">
      <w:bodyDiv w:val="1"/>
      <w:marLeft w:val="0"/>
      <w:marRight w:val="0"/>
      <w:marTop w:val="0"/>
      <w:marBottom w:val="0"/>
      <w:divBdr>
        <w:top w:val="none" w:sz="0" w:space="0" w:color="auto"/>
        <w:left w:val="none" w:sz="0" w:space="0" w:color="auto"/>
        <w:bottom w:val="none" w:sz="0" w:space="0" w:color="auto"/>
        <w:right w:val="none" w:sz="0" w:space="0" w:color="auto"/>
      </w:divBdr>
    </w:div>
    <w:div w:id="301472049">
      <w:bodyDiv w:val="1"/>
      <w:marLeft w:val="0"/>
      <w:marRight w:val="0"/>
      <w:marTop w:val="0"/>
      <w:marBottom w:val="0"/>
      <w:divBdr>
        <w:top w:val="none" w:sz="0" w:space="0" w:color="auto"/>
        <w:left w:val="none" w:sz="0" w:space="0" w:color="auto"/>
        <w:bottom w:val="none" w:sz="0" w:space="0" w:color="auto"/>
        <w:right w:val="none" w:sz="0" w:space="0" w:color="auto"/>
      </w:divBdr>
    </w:div>
    <w:div w:id="301733718">
      <w:bodyDiv w:val="1"/>
      <w:marLeft w:val="0"/>
      <w:marRight w:val="0"/>
      <w:marTop w:val="0"/>
      <w:marBottom w:val="0"/>
      <w:divBdr>
        <w:top w:val="none" w:sz="0" w:space="0" w:color="auto"/>
        <w:left w:val="none" w:sz="0" w:space="0" w:color="auto"/>
        <w:bottom w:val="none" w:sz="0" w:space="0" w:color="auto"/>
        <w:right w:val="none" w:sz="0" w:space="0" w:color="auto"/>
      </w:divBdr>
    </w:div>
    <w:div w:id="301734257">
      <w:bodyDiv w:val="1"/>
      <w:marLeft w:val="0"/>
      <w:marRight w:val="0"/>
      <w:marTop w:val="0"/>
      <w:marBottom w:val="0"/>
      <w:divBdr>
        <w:top w:val="none" w:sz="0" w:space="0" w:color="auto"/>
        <w:left w:val="none" w:sz="0" w:space="0" w:color="auto"/>
        <w:bottom w:val="none" w:sz="0" w:space="0" w:color="auto"/>
        <w:right w:val="none" w:sz="0" w:space="0" w:color="auto"/>
      </w:divBdr>
    </w:div>
    <w:div w:id="301816191">
      <w:bodyDiv w:val="1"/>
      <w:marLeft w:val="0"/>
      <w:marRight w:val="0"/>
      <w:marTop w:val="0"/>
      <w:marBottom w:val="0"/>
      <w:divBdr>
        <w:top w:val="none" w:sz="0" w:space="0" w:color="auto"/>
        <w:left w:val="none" w:sz="0" w:space="0" w:color="auto"/>
        <w:bottom w:val="none" w:sz="0" w:space="0" w:color="auto"/>
        <w:right w:val="none" w:sz="0" w:space="0" w:color="auto"/>
      </w:divBdr>
    </w:div>
    <w:div w:id="301928989">
      <w:bodyDiv w:val="1"/>
      <w:marLeft w:val="0"/>
      <w:marRight w:val="0"/>
      <w:marTop w:val="0"/>
      <w:marBottom w:val="0"/>
      <w:divBdr>
        <w:top w:val="none" w:sz="0" w:space="0" w:color="auto"/>
        <w:left w:val="none" w:sz="0" w:space="0" w:color="auto"/>
        <w:bottom w:val="none" w:sz="0" w:space="0" w:color="auto"/>
        <w:right w:val="none" w:sz="0" w:space="0" w:color="auto"/>
      </w:divBdr>
    </w:div>
    <w:div w:id="302003024">
      <w:bodyDiv w:val="1"/>
      <w:marLeft w:val="0"/>
      <w:marRight w:val="0"/>
      <w:marTop w:val="0"/>
      <w:marBottom w:val="0"/>
      <w:divBdr>
        <w:top w:val="none" w:sz="0" w:space="0" w:color="auto"/>
        <w:left w:val="none" w:sz="0" w:space="0" w:color="auto"/>
        <w:bottom w:val="none" w:sz="0" w:space="0" w:color="auto"/>
        <w:right w:val="none" w:sz="0" w:space="0" w:color="auto"/>
      </w:divBdr>
    </w:div>
    <w:div w:id="302005399">
      <w:bodyDiv w:val="1"/>
      <w:marLeft w:val="0"/>
      <w:marRight w:val="0"/>
      <w:marTop w:val="0"/>
      <w:marBottom w:val="0"/>
      <w:divBdr>
        <w:top w:val="none" w:sz="0" w:space="0" w:color="auto"/>
        <w:left w:val="none" w:sz="0" w:space="0" w:color="auto"/>
        <w:bottom w:val="none" w:sz="0" w:space="0" w:color="auto"/>
        <w:right w:val="none" w:sz="0" w:space="0" w:color="auto"/>
      </w:divBdr>
    </w:div>
    <w:div w:id="302081608">
      <w:bodyDiv w:val="1"/>
      <w:marLeft w:val="0"/>
      <w:marRight w:val="0"/>
      <w:marTop w:val="0"/>
      <w:marBottom w:val="0"/>
      <w:divBdr>
        <w:top w:val="none" w:sz="0" w:space="0" w:color="auto"/>
        <w:left w:val="none" w:sz="0" w:space="0" w:color="auto"/>
        <w:bottom w:val="none" w:sz="0" w:space="0" w:color="auto"/>
        <w:right w:val="none" w:sz="0" w:space="0" w:color="auto"/>
      </w:divBdr>
    </w:div>
    <w:div w:id="302276900">
      <w:bodyDiv w:val="1"/>
      <w:marLeft w:val="0"/>
      <w:marRight w:val="0"/>
      <w:marTop w:val="0"/>
      <w:marBottom w:val="0"/>
      <w:divBdr>
        <w:top w:val="none" w:sz="0" w:space="0" w:color="auto"/>
        <w:left w:val="none" w:sz="0" w:space="0" w:color="auto"/>
        <w:bottom w:val="none" w:sz="0" w:space="0" w:color="auto"/>
        <w:right w:val="none" w:sz="0" w:space="0" w:color="auto"/>
      </w:divBdr>
    </w:div>
    <w:div w:id="302392144">
      <w:bodyDiv w:val="1"/>
      <w:marLeft w:val="0"/>
      <w:marRight w:val="0"/>
      <w:marTop w:val="0"/>
      <w:marBottom w:val="0"/>
      <w:divBdr>
        <w:top w:val="none" w:sz="0" w:space="0" w:color="auto"/>
        <w:left w:val="none" w:sz="0" w:space="0" w:color="auto"/>
        <w:bottom w:val="none" w:sz="0" w:space="0" w:color="auto"/>
        <w:right w:val="none" w:sz="0" w:space="0" w:color="auto"/>
      </w:divBdr>
    </w:div>
    <w:div w:id="302581457">
      <w:bodyDiv w:val="1"/>
      <w:marLeft w:val="0"/>
      <w:marRight w:val="0"/>
      <w:marTop w:val="0"/>
      <w:marBottom w:val="0"/>
      <w:divBdr>
        <w:top w:val="none" w:sz="0" w:space="0" w:color="auto"/>
        <w:left w:val="none" w:sz="0" w:space="0" w:color="auto"/>
        <w:bottom w:val="none" w:sz="0" w:space="0" w:color="auto"/>
        <w:right w:val="none" w:sz="0" w:space="0" w:color="auto"/>
      </w:divBdr>
    </w:div>
    <w:div w:id="302737138">
      <w:bodyDiv w:val="1"/>
      <w:marLeft w:val="0"/>
      <w:marRight w:val="0"/>
      <w:marTop w:val="0"/>
      <w:marBottom w:val="0"/>
      <w:divBdr>
        <w:top w:val="none" w:sz="0" w:space="0" w:color="auto"/>
        <w:left w:val="none" w:sz="0" w:space="0" w:color="auto"/>
        <w:bottom w:val="none" w:sz="0" w:space="0" w:color="auto"/>
        <w:right w:val="none" w:sz="0" w:space="0" w:color="auto"/>
      </w:divBdr>
    </w:div>
    <w:div w:id="302783048">
      <w:bodyDiv w:val="1"/>
      <w:marLeft w:val="0"/>
      <w:marRight w:val="0"/>
      <w:marTop w:val="0"/>
      <w:marBottom w:val="0"/>
      <w:divBdr>
        <w:top w:val="none" w:sz="0" w:space="0" w:color="auto"/>
        <w:left w:val="none" w:sz="0" w:space="0" w:color="auto"/>
        <w:bottom w:val="none" w:sz="0" w:space="0" w:color="auto"/>
        <w:right w:val="none" w:sz="0" w:space="0" w:color="auto"/>
      </w:divBdr>
    </w:div>
    <w:div w:id="302973201">
      <w:bodyDiv w:val="1"/>
      <w:marLeft w:val="0"/>
      <w:marRight w:val="0"/>
      <w:marTop w:val="0"/>
      <w:marBottom w:val="0"/>
      <w:divBdr>
        <w:top w:val="none" w:sz="0" w:space="0" w:color="auto"/>
        <w:left w:val="none" w:sz="0" w:space="0" w:color="auto"/>
        <w:bottom w:val="none" w:sz="0" w:space="0" w:color="auto"/>
        <w:right w:val="none" w:sz="0" w:space="0" w:color="auto"/>
      </w:divBdr>
    </w:div>
    <w:div w:id="303002443">
      <w:bodyDiv w:val="1"/>
      <w:marLeft w:val="0"/>
      <w:marRight w:val="0"/>
      <w:marTop w:val="0"/>
      <w:marBottom w:val="0"/>
      <w:divBdr>
        <w:top w:val="none" w:sz="0" w:space="0" w:color="auto"/>
        <w:left w:val="none" w:sz="0" w:space="0" w:color="auto"/>
        <w:bottom w:val="none" w:sz="0" w:space="0" w:color="auto"/>
        <w:right w:val="none" w:sz="0" w:space="0" w:color="auto"/>
      </w:divBdr>
    </w:div>
    <w:div w:id="303127270">
      <w:bodyDiv w:val="1"/>
      <w:marLeft w:val="0"/>
      <w:marRight w:val="0"/>
      <w:marTop w:val="0"/>
      <w:marBottom w:val="0"/>
      <w:divBdr>
        <w:top w:val="none" w:sz="0" w:space="0" w:color="auto"/>
        <w:left w:val="none" w:sz="0" w:space="0" w:color="auto"/>
        <w:bottom w:val="none" w:sz="0" w:space="0" w:color="auto"/>
        <w:right w:val="none" w:sz="0" w:space="0" w:color="auto"/>
      </w:divBdr>
    </w:div>
    <w:div w:id="303200223">
      <w:bodyDiv w:val="1"/>
      <w:marLeft w:val="0"/>
      <w:marRight w:val="0"/>
      <w:marTop w:val="0"/>
      <w:marBottom w:val="0"/>
      <w:divBdr>
        <w:top w:val="none" w:sz="0" w:space="0" w:color="auto"/>
        <w:left w:val="none" w:sz="0" w:space="0" w:color="auto"/>
        <w:bottom w:val="none" w:sz="0" w:space="0" w:color="auto"/>
        <w:right w:val="none" w:sz="0" w:space="0" w:color="auto"/>
      </w:divBdr>
    </w:div>
    <w:div w:id="303244359">
      <w:bodyDiv w:val="1"/>
      <w:marLeft w:val="0"/>
      <w:marRight w:val="0"/>
      <w:marTop w:val="0"/>
      <w:marBottom w:val="0"/>
      <w:divBdr>
        <w:top w:val="none" w:sz="0" w:space="0" w:color="auto"/>
        <w:left w:val="none" w:sz="0" w:space="0" w:color="auto"/>
        <w:bottom w:val="none" w:sz="0" w:space="0" w:color="auto"/>
        <w:right w:val="none" w:sz="0" w:space="0" w:color="auto"/>
      </w:divBdr>
    </w:div>
    <w:div w:id="303311476">
      <w:bodyDiv w:val="1"/>
      <w:marLeft w:val="0"/>
      <w:marRight w:val="0"/>
      <w:marTop w:val="0"/>
      <w:marBottom w:val="0"/>
      <w:divBdr>
        <w:top w:val="none" w:sz="0" w:space="0" w:color="auto"/>
        <w:left w:val="none" w:sz="0" w:space="0" w:color="auto"/>
        <w:bottom w:val="none" w:sz="0" w:space="0" w:color="auto"/>
        <w:right w:val="none" w:sz="0" w:space="0" w:color="auto"/>
      </w:divBdr>
    </w:div>
    <w:div w:id="303311636">
      <w:bodyDiv w:val="1"/>
      <w:marLeft w:val="0"/>
      <w:marRight w:val="0"/>
      <w:marTop w:val="0"/>
      <w:marBottom w:val="0"/>
      <w:divBdr>
        <w:top w:val="none" w:sz="0" w:space="0" w:color="auto"/>
        <w:left w:val="none" w:sz="0" w:space="0" w:color="auto"/>
        <w:bottom w:val="none" w:sz="0" w:space="0" w:color="auto"/>
        <w:right w:val="none" w:sz="0" w:space="0" w:color="auto"/>
      </w:divBdr>
    </w:div>
    <w:div w:id="303434615">
      <w:bodyDiv w:val="1"/>
      <w:marLeft w:val="0"/>
      <w:marRight w:val="0"/>
      <w:marTop w:val="0"/>
      <w:marBottom w:val="0"/>
      <w:divBdr>
        <w:top w:val="none" w:sz="0" w:space="0" w:color="auto"/>
        <w:left w:val="none" w:sz="0" w:space="0" w:color="auto"/>
        <w:bottom w:val="none" w:sz="0" w:space="0" w:color="auto"/>
        <w:right w:val="none" w:sz="0" w:space="0" w:color="auto"/>
      </w:divBdr>
    </w:div>
    <w:div w:id="303438231">
      <w:bodyDiv w:val="1"/>
      <w:marLeft w:val="0"/>
      <w:marRight w:val="0"/>
      <w:marTop w:val="0"/>
      <w:marBottom w:val="0"/>
      <w:divBdr>
        <w:top w:val="none" w:sz="0" w:space="0" w:color="auto"/>
        <w:left w:val="none" w:sz="0" w:space="0" w:color="auto"/>
        <w:bottom w:val="none" w:sz="0" w:space="0" w:color="auto"/>
        <w:right w:val="none" w:sz="0" w:space="0" w:color="auto"/>
      </w:divBdr>
    </w:div>
    <w:div w:id="303582573">
      <w:bodyDiv w:val="1"/>
      <w:marLeft w:val="0"/>
      <w:marRight w:val="0"/>
      <w:marTop w:val="0"/>
      <w:marBottom w:val="0"/>
      <w:divBdr>
        <w:top w:val="none" w:sz="0" w:space="0" w:color="auto"/>
        <w:left w:val="none" w:sz="0" w:space="0" w:color="auto"/>
        <w:bottom w:val="none" w:sz="0" w:space="0" w:color="auto"/>
        <w:right w:val="none" w:sz="0" w:space="0" w:color="auto"/>
      </w:divBdr>
    </w:div>
    <w:div w:id="303655776">
      <w:bodyDiv w:val="1"/>
      <w:marLeft w:val="0"/>
      <w:marRight w:val="0"/>
      <w:marTop w:val="0"/>
      <w:marBottom w:val="0"/>
      <w:divBdr>
        <w:top w:val="none" w:sz="0" w:space="0" w:color="auto"/>
        <w:left w:val="none" w:sz="0" w:space="0" w:color="auto"/>
        <w:bottom w:val="none" w:sz="0" w:space="0" w:color="auto"/>
        <w:right w:val="none" w:sz="0" w:space="0" w:color="auto"/>
      </w:divBdr>
    </w:div>
    <w:div w:id="303778262">
      <w:bodyDiv w:val="1"/>
      <w:marLeft w:val="0"/>
      <w:marRight w:val="0"/>
      <w:marTop w:val="0"/>
      <w:marBottom w:val="0"/>
      <w:divBdr>
        <w:top w:val="none" w:sz="0" w:space="0" w:color="auto"/>
        <w:left w:val="none" w:sz="0" w:space="0" w:color="auto"/>
        <w:bottom w:val="none" w:sz="0" w:space="0" w:color="auto"/>
        <w:right w:val="none" w:sz="0" w:space="0" w:color="auto"/>
      </w:divBdr>
    </w:div>
    <w:div w:id="303782406">
      <w:bodyDiv w:val="1"/>
      <w:marLeft w:val="0"/>
      <w:marRight w:val="0"/>
      <w:marTop w:val="0"/>
      <w:marBottom w:val="0"/>
      <w:divBdr>
        <w:top w:val="none" w:sz="0" w:space="0" w:color="auto"/>
        <w:left w:val="none" w:sz="0" w:space="0" w:color="auto"/>
        <w:bottom w:val="none" w:sz="0" w:space="0" w:color="auto"/>
        <w:right w:val="none" w:sz="0" w:space="0" w:color="auto"/>
      </w:divBdr>
    </w:div>
    <w:div w:id="303850822">
      <w:bodyDiv w:val="1"/>
      <w:marLeft w:val="0"/>
      <w:marRight w:val="0"/>
      <w:marTop w:val="0"/>
      <w:marBottom w:val="0"/>
      <w:divBdr>
        <w:top w:val="none" w:sz="0" w:space="0" w:color="auto"/>
        <w:left w:val="none" w:sz="0" w:space="0" w:color="auto"/>
        <w:bottom w:val="none" w:sz="0" w:space="0" w:color="auto"/>
        <w:right w:val="none" w:sz="0" w:space="0" w:color="auto"/>
      </w:divBdr>
    </w:div>
    <w:div w:id="303972261">
      <w:bodyDiv w:val="1"/>
      <w:marLeft w:val="0"/>
      <w:marRight w:val="0"/>
      <w:marTop w:val="0"/>
      <w:marBottom w:val="0"/>
      <w:divBdr>
        <w:top w:val="none" w:sz="0" w:space="0" w:color="auto"/>
        <w:left w:val="none" w:sz="0" w:space="0" w:color="auto"/>
        <w:bottom w:val="none" w:sz="0" w:space="0" w:color="auto"/>
        <w:right w:val="none" w:sz="0" w:space="0" w:color="auto"/>
      </w:divBdr>
    </w:div>
    <w:div w:id="304051088">
      <w:bodyDiv w:val="1"/>
      <w:marLeft w:val="0"/>
      <w:marRight w:val="0"/>
      <w:marTop w:val="0"/>
      <w:marBottom w:val="0"/>
      <w:divBdr>
        <w:top w:val="none" w:sz="0" w:space="0" w:color="auto"/>
        <w:left w:val="none" w:sz="0" w:space="0" w:color="auto"/>
        <w:bottom w:val="none" w:sz="0" w:space="0" w:color="auto"/>
        <w:right w:val="none" w:sz="0" w:space="0" w:color="auto"/>
      </w:divBdr>
    </w:div>
    <w:div w:id="304094216">
      <w:bodyDiv w:val="1"/>
      <w:marLeft w:val="0"/>
      <w:marRight w:val="0"/>
      <w:marTop w:val="0"/>
      <w:marBottom w:val="0"/>
      <w:divBdr>
        <w:top w:val="none" w:sz="0" w:space="0" w:color="auto"/>
        <w:left w:val="none" w:sz="0" w:space="0" w:color="auto"/>
        <w:bottom w:val="none" w:sz="0" w:space="0" w:color="auto"/>
        <w:right w:val="none" w:sz="0" w:space="0" w:color="auto"/>
      </w:divBdr>
    </w:div>
    <w:div w:id="304119661">
      <w:bodyDiv w:val="1"/>
      <w:marLeft w:val="0"/>
      <w:marRight w:val="0"/>
      <w:marTop w:val="0"/>
      <w:marBottom w:val="0"/>
      <w:divBdr>
        <w:top w:val="none" w:sz="0" w:space="0" w:color="auto"/>
        <w:left w:val="none" w:sz="0" w:space="0" w:color="auto"/>
        <w:bottom w:val="none" w:sz="0" w:space="0" w:color="auto"/>
        <w:right w:val="none" w:sz="0" w:space="0" w:color="auto"/>
      </w:divBdr>
    </w:div>
    <w:div w:id="304168036">
      <w:bodyDiv w:val="1"/>
      <w:marLeft w:val="0"/>
      <w:marRight w:val="0"/>
      <w:marTop w:val="0"/>
      <w:marBottom w:val="0"/>
      <w:divBdr>
        <w:top w:val="none" w:sz="0" w:space="0" w:color="auto"/>
        <w:left w:val="none" w:sz="0" w:space="0" w:color="auto"/>
        <w:bottom w:val="none" w:sz="0" w:space="0" w:color="auto"/>
        <w:right w:val="none" w:sz="0" w:space="0" w:color="auto"/>
      </w:divBdr>
    </w:div>
    <w:div w:id="304168072">
      <w:bodyDiv w:val="1"/>
      <w:marLeft w:val="0"/>
      <w:marRight w:val="0"/>
      <w:marTop w:val="0"/>
      <w:marBottom w:val="0"/>
      <w:divBdr>
        <w:top w:val="none" w:sz="0" w:space="0" w:color="auto"/>
        <w:left w:val="none" w:sz="0" w:space="0" w:color="auto"/>
        <w:bottom w:val="none" w:sz="0" w:space="0" w:color="auto"/>
        <w:right w:val="none" w:sz="0" w:space="0" w:color="auto"/>
      </w:divBdr>
    </w:div>
    <w:div w:id="304241356">
      <w:bodyDiv w:val="1"/>
      <w:marLeft w:val="0"/>
      <w:marRight w:val="0"/>
      <w:marTop w:val="0"/>
      <w:marBottom w:val="0"/>
      <w:divBdr>
        <w:top w:val="none" w:sz="0" w:space="0" w:color="auto"/>
        <w:left w:val="none" w:sz="0" w:space="0" w:color="auto"/>
        <w:bottom w:val="none" w:sz="0" w:space="0" w:color="auto"/>
        <w:right w:val="none" w:sz="0" w:space="0" w:color="auto"/>
      </w:divBdr>
    </w:div>
    <w:div w:id="304354728">
      <w:bodyDiv w:val="1"/>
      <w:marLeft w:val="0"/>
      <w:marRight w:val="0"/>
      <w:marTop w:val="0"/>
      <w:marBottom w:val="0"/>
      <w:divBdr>
        <w:top w:val="none" w:sz="0" w:space="0" w:color="auto"/>
        <w:left w:val="none" w:sz="0" w:space="0" w:color="auto"/>
        <w:bottom w:val="none" w:sz="0" w:space="0" w:color="auto"/>
        <w:right w:val="none" w:sz="0" w:space="0" w:color="auto"/>
      </w:divBdr>
    </w:div>
    <w:div w:id="304436694">
      <w:bodyDiv w:val="1"/>
      <w:marLeft w:val="0"/>
      <w:marRight w:val="0"/>
      <w:marTop w:val="0"/>
      <w:marBottom w:val="0"/>
      <w:divBdr>
        <w:top w:val="none" w:sz="0" w:space="0" w:color="auto"/>
        <w:left w:val="none" w:sz="0" w:space="0" w:color="auto"/>
        <w:bottom w:val="none" w:sz="0" w:space="0" w:color="auto"/>
        <w:right w:val="none" w:sz="0" w:space="0" w:color="auto"/>
      </w:divBdr>
    </w:div>
    <w:div w:id="304547994">
      <w:bodyDiv w:val="1"/>
      <w:marLeft w:val="0"/>
      <w:marRight w:val="0"/>
      <w:marTop w:val="0"/>
      <w:marBottom w:val="0"/>
      <w:divBdr>
        <w:top w:val="none" w:sz="0" w:space="0" w:color="auto"/>
        <w:left w:val="none" w:sz="0" w:space="0" w:color="auto"/>
        <w:bottom w:val="none" w:sz="0" w:space="0" w:color="auto"/>
        <w:right w:val="none" w:sz="0" w:space="0" w:color="auto"/>
      </w:divBdr>
    </w:div>
    <w:div w:id="304554623">
      <w:bodyDiv w:val="1"/>
      <w:marLeft w:val="0"/>
      <w:marRight w:val="0"/>
      <w:marTop w:val="0"/>
      <w:marBottom w:val="0"/>
      <w:divBdr>
        <w:top w:val="none" w:sz="0" w:space="0" w:color="auto"/>
        <w:left w:val="none" w:sz="0" w:space="0" w:color="auto"/>
        <w:bottom w:val="none" w:sz="0" w:space="0" w:color="auto"/>
        <w:right w:val="none" w:sz="0" w:space="0" w:color="auto"/>
      </w:divBdr>
    </w:div>
    <w:div w:id="304698922">
      <w:bodyDiv w:val="1"/>
      <w:marLeft w:val="0"/>
      <w:marRight w:val="0"/>
      <w:marTop w:val="0"/>
      <w:marBottom w:val="0"/>
      <w:divBdr>
        <w:top w:val="none" w:sz="0" w:space="0" w:color="auto"/>
        <w:left w:val="none" w:sz="0" w:space="0" w:color="auto"/>
        <w:bottom w:val="none" w:sz="0" w:space="0" w:color="auto"/>
        <w:right w:val="none" w:sz="0" w:space="0" w:color="auto"/>
      </w:divBdr>
    </w:div>
    <w:div w:id="304773016">
      <w:bodyDiv w:val="1"/>
      <w:marLeft w:val="0"/>
      <w:marRight w:val="0"/>
      <w:marTop w:val="0"/>
      <w:marBottom w:val="0"/>
      <w:divBdr>
        <w:top w:val="none" w:sz="0" w:space="0" w:color="auto"/>
        <w:left w:val="none" w:sz="0" w:space="0" w:color="auto"/>
        <w:bottom w:val="none" w:sz="0" w:space="0" w:color="auto"/>
        <w:right w:val="none" w:sz="0" w:space="0" w:color="auto"/>
      </w:divBdr>
    </w:div>
    <w:div w:id="304815735">
      <w:bodyDiv w:val="1"/>
      <w:marLeft w:val="0"/>
      <w:marRight w:val="0"/>
      <w:marTop w:val="0"/>
      <w:marBottom w:val="0"/>
      <w:divBdr>
        <w:top w:val="none" w:sz="0" w:space="0" w:color="auto"/>
        <w:left w:val="none" w:sz="0" w:space="0" w:color="auto"/>
        <w:bottom w:val="none" w:sz="0" w:space="0" w:color="auto"/>
        <w:right w:val="none" w:sz="0" w:space="0" w:color="auto"/>
      </w:divBdr>
    </w:div>
    <w:div w:id="304824397">
      <w:bodyDiv w:val="1"/>
      <w:marLeft w:val="0"/>
      <w:marRight w:val="0"/>
      <w:marTop w:val="0"/>
      <w:marBottom w:val="0"/>
      <w:divBdr>
        <w:top w:val="none" w:sz="0" w:space="0" w:color="auto"/>
        <w:left w:val="none" w:sz="0" w:space="0" w:color="auto"/>
        <w:bottom w:val="none" w:sz="0" w:space="0" w:color="auto"/>
        <w:right w:val="none" w:sz="0" w:space="0" w:color="auto"/>
      </w:divBdr>
    </w:div>
    <w:div w:id="304941512">
      <w:bodyDiv w:val="1"/>
      <w:marLeft w:val="0"/>
      <w:marRight w:val="0"/>
      <w:marTop w:val="0"/>
      <w:marBottom w:val="0"/>
      <w:divBdr>
        <w:top w:val="none" w:sz="0" w:space="0" w:color="auto"/>
        <w:left w:val="none" w:sz="0" w:space="0" w:color="auto"/>
        <w:bottom w:val="none" w:sz="0" w:space="0" w:color="auto"/>
        <w:right w:val="none" w:sz="0" w:space="0" w:color="auto"/>
      </w:divBdr>
    </w:div>
    <w:div w:id="304971582">
      <w:bodyDiv w:val="1"/>
      <w:marLeft w:val="0"/>
      <w:marRight w:val="0"/>
      <w:marTop w:val="0"/>
      <w:marBottom w:val="0"/>
      <w:divBdr>
        <w:top w:val="none" w:sz="0" w:space="0" w:color="auto"/>
        <w:left w:val="none" w:sz="0" w:space="0" w:color="auto"/>
        <w:bottom w:val="none" w:sz="0" w:space="0" w:color="auto"/>
        <w:right w:val="none" w:sz="0" w:space="0" w:color="auto"/>
      </w:divBdr>
    </w:div>
    <w:div w:id="305280104">
      <w:bodyDiv w:val="1"/>
      <w:marLeft w:val="0"/>
      <w:marRight w:val="0"/>
      <w:marTop w:val="0"/>
      <w:marBottom w:val="0"/>
      <w:divBdr>
        <w:top w:val="none" w:sz="0" w:space="0" w:color="auto"/>
        <w:left w:val="none" w:sz="0" w:space="0" w:color="auto"/>
        <w:bottom w:val="none" w:sz="0" w:space="0" w:color="auto"/>
        <w:right w:val="none" w:sz="0" w:space="0" w:color="auto"/>
      </w:divBdr>
    </w:div>
    <w:div w:id="305355078">
      <w:bodyDiv w:val="1"/>
      <w:marLeft w:val="0"/>
      <w:marRight w:val="0"/>
      <w:marTop w:val="0"/>
      <w:marBottom w:val="0"/>
      <w:divBdr>
        <w:top w:val="none" w:sz="0" w:space="0" w:color="auto"/>
        <w:left w:val="none" w:sz="0" w:space="0" w:color="auto"/>
        <w:bottom w:val="none" w:sz="0" w:space="0" w:color="auto"/>
        <w:right w:val="none" w:sz="0" w:space="0" w:color="auto"/>
      </w:divBdr>
    </w:div>
    <w:div w:id="305548388">
      <w:bodyDiv w:val="1"/>
      <w:marLeft w:val="0"/>
      <w:marRight w:val="0"/>
      <w:marTop w:val="0"/>
      <w:marBottom w:val="0"/>
      <w:divBdr>
        <w:top w:val="none" w:sz="0" w:space="0" w:color="auto"/>
        <w:left w:val="none" w:sz="0" w:space="0" w:color="auto"/>
        <w:bottom w:val="none" w:sz="0" w:space="0" w:color="auto"/>
        <w:right w:val="none" w:sz="0" w:space="0" w:color="auto"/>
      </w:divBdr>
    </w:div>
    <w:div w:id="305553631">
      <w:bodyDiv w:val="1"/>
      <w:marLeft w:val="0"/>
      <w:marRight w:val="0"/>
      <w:marTop w:val="0"/>
      <w:marBottom w:val="0"/>
      <w:divBdr>
        <w:top w:val="none" w:sz="0" w:space="0" w:color="auto"/>
        <w:left w:val="none" w:sz="0" w:space="0" w:color="auto"/>
        <w:bottom w:val="none" w:sz="0" w:space="0" w:color="auto"/>
        <w:right w:val="none" w:sz="0" w:space="0" w:color="auto"/>
      </w:divBdr>
    </w:div>
    <w:div w:id="305624160">
      <w:bodyDiv w:val="1"/>
      <w:marLeft w:val="0"/>
      <w:marRight w:val="0"/>
      <w:marTop w:val="0"/>
      <w:marBottom w:val="0"/>
      <w:divBdr>
        <w:top w:val="none" w:sz="0" w:space="0" w:color="auto"/>
        <w:left w:val="none" w:sz="0" w:space="0" w:color="auto"/>
        <w:bottom w:val="none" w:sz="0" w:space="0" w:color="auto"/>
        <w:right w:val="none" w:sz="0" w:space="0" w:color="auto"/>
      </w:divBdr>
    </w:div>
    <w:div w:id="305624336">
      <w:bodyDiv w:val="1"/>
      <w:marLeft w:val="0"/>
      <w:marRight w:val="0"/>
      <w:marTop w:val="0"/>
      <w:marBottom w:val="0"/>
      <w:divBdr>
        <w:top w:val="none" w:sz="0" w:space="0" w:color="auto"/>
        <w:left w:val="none" w:sz="0" w:space="0" w:color="auto"/>
        <w:bottom w:val="none" w:sz="0" w:space="0" w:color="auto"/>
        <w:right w:val="none" w:sz="0" w:space="0" w:color="auto"/>
      </w:divBdr>
    </w:div>
    <w:div w:id="305624833">
      <w:bodyDiv w:val="1"/>
      <w:marLeft w:val="0"/>
      <w:marRight w:val="0"/>
      <w:marTop w:val="0"/>
      <w:marBottom w:val="0"/>
      <w:divBdr>
        <w:top w:val="none" w:sz="0" w:space="0" w:color="auto"/>
        <w:left w:val="none" w:sz="0" w:space="0" w:color="auto"/>
        <w:bottom w:val="none" w:sz="0" w:space="0" w:color="auto"/>
        <w:right w:val="none" w:sz="0" w:space="0" w:color="auto"/>
      </w:divBdr>
    </w:div>
    <w:div w:id="305741353">
      <w:bodyDiv w:val="1"/>
      <w:marLeft w:val="0"/>
      <w:marRight w:val="0"/>
      <w:marTop w:val="0"/>
      <w:marBottom w:val="0"/>
      <w:divBdr>
        <w:top w:val="none" w:sz="0" w:space="0" w:color="auto"/>
        <w:left w:val="none" w:sz="0" w:space="0" w:color="auto"/>
        <w:bottom w:val="none" w:sz="0" w:space="0" w:color="auto"/>
        <w:right w:val="none" w:sz="0" w:space="0" w:color="auto"/>
      </w:divBdr>
    </w:div>
    <w:div w:id="305939458">
      <w:bodyDiv w:val="1"/>
      <w:marLeft w:val="0"/>
      <w:marRight w:val="0"/>
      <w:marTop w:val="0"/>
      <w:marBottom w:val="0"/>
      <w:divBdr>
        <w:top w:val="none" w:sz="0" w:space="0" w:color="auto"/>
        <w:left w:val="none" w:sz="0" w:space="0" w:color="auto"/>
        <w:bottom w:val="none" w:sz="0" w:space="0" w:color="auto"/>
        <w:right w:val="none" w:sz="0" w:space="0" w:color="auto"/>
      </w:divBdr>
    </w:div>
    <w:div w:id="306010311">
      <w:bodyDiv w:val="1"/>
      <w:marLeft w:val="0"/>
      <w:marRight w:val="0"/>
      <w:marTop w:val="0"/>
      <w:marBottom w:val="0"/>
      <w:divBdr>
        <w:top w:val="none" w:sz="0" w:space="0" w:color="auto"/>
        <w:left w:val="none" w:sz="0" w:space="0" w:color="auto"/>
        <w:bottom w:val="none" w:sz="0" w:space="0" w:color="auto"/>
        <w:right w:val="none" w:sz="0" w:space="0" w:color="auto"/>
      </w:divBdr>
    </w:div>
    <w:div w:id="306013642">
      <w:bodyDiv w:val="1"/>
      <w:marLeft w:val="0"/>
      <w:marRight w:val="0"/>
      <w:marTop w:val="0"/>
      <w:marBottom w:val="0"/>
      <w:divBdr>
        <w:top w:val="none" w:sz="0" w:space="0" w:color="auto"/>
        <w:left w:val="none" w:sz="0" w:space="0" w:color="auto"/>
        <w:bottom w:val="none" w:sz="0" w:space="0" w:color="auto"/>
        <w:right w:val="none" w:sz="0" w:space="0" w:color="auto"/>
      </w:divBdr>
    </w:div>
    <w:div w:id="306055127">
      <w:bodyDiv w:val="1"/>
      <w:marLeft w:val="0"/>
      <w:marRight w:val="0"/>
      <w:marTop w:val="0"/>
      <w:marBottom w:val="0"/>
      <w:divBdr>
        <w:top w:val="none" w:sz="0" w:space="0" w:color="auto"/>
        <w:left w:val="none" w:sz="0" w:space="0" w:color="auto"/>
        <w:bottom w:val="none" w:sz="0" w:space="0" w:color="auto"/>
        <w:right w:val="none" w:sz="0" w:space="0" w:color="auto"/>
      </w:divBdr>
    </w:div>
    <w:div w:id="306133551">
      <w:bodyDiv w:val="1"/>
      <w:marLeft w:val="0"/>
      <w:marRight w:val="0"/>
      <w:marTop w:val="0"/>
      <w:marBottom w:val="0"/>
      <w:divBdr>
        <w:top w:val="none" w:sz="0" w:space="0" w:color="auto"/>
        <w:left w:val="none" w:sz="0" w:space="0" w:color="auto"/>
        <w:bottom w:val="none" w:sz="0" w:space="0" w:color="auto"/>
        <w:right w:val="none" w:sz="0" w:space="0" w:color="auto"/>
      </w:divBdr>
    </w:div>
    <w:div w:id="306135360">
      <w:bodyDiv w:val="1"/>
      <w:marLeft w:val="0"/>
      <w:marRight w:val="0"/>
      <w:marTop w:val="0"/>
      <w:marBottom w:val="0"/>
      <w:divBdr>
        <w:top w:val="none" w:sz="0" w:space="0" w:color="auto"/>
        <w:left w:val="none" w:sz="0" w:space="0" w:color="auto"/>
        <w:bottom w:val="none" w:sz="0" w:space="0" w:color="auto"/>
        <w:right w:val="none" w:sz="0" w:space="0" w:color="auto"/>
      </w:divBdr>
    </w:div>
    <w:div w:id="306279699">
      <w:bodyDiv w:val="1"/>
      <w:marLeft w:val="0"/>
      <w:marRight w:val="0"/>
      <w:marTop w:val="0"/>
      <w:marBottom w:val="0"/>
      <w:divBdr>
        <w:top w:val="none" w:sz="0" w:space="0" w:color="auto"/>
        <w:left w:val="none" w:sz="0" w:space="0" w:color="auto"/>
        <w:bottom w:val="none" w:sz="0" w:space="0" w:color="auto"/>
        <w:right w:val="none" w:sz="0" w:space="0" w:color="auto"/>
      </w:divBdr>
    </w:div>
    <w:div w:id="306321163">
      <w:bodyDiv w:val="1"/>
      <w:marLeft w:val="0"/>
      <w:marRight w:val="0"/>
      <w:marTop w:val="0"/>
      <w:marBottom w:val="0"/>
      <w:divBdr>
        <w:top w:val="none" w:sz="0" w:space="0" w:color="auto"/>
        <w:left w:val="none" w:sz="0" w:space="0" w:color="auto"/>
        <w:bottom w:val="none" w:sz="0" w:space="0" w:color="auto"/>
        <w:right w:val="none" w:sz="0" w:space="0" w:color="auto"/>
      </w:divBdr>
    </w:div>
    <w:div w:id="306321402">
      <w:bodyDiv w:val="1"/>
      <w:marLeft w:val="0"/>
      <w:marRight w:val="0"/>
      <w:marTop w:val="0"/>
      <w:marBottom w:val="0"/>
      <w:divBdr>
        <w:top w:val="none" w:sz="0" w:space="0" w:color="auto"/>
        <w:left w:val="none" w:sz="0" w:space="0" w:color="auto"/>
        <w:bottom w:val="none" w:sz="0" w:space="0" w:color="auto"/>
        <w:right w:val="none" w:sz="0" w:space="0" w:color="auto"/>
      </w:divBdr>
    </w:div>
    <w:div w:id="306595575">
      <w:bodyDiv w:val="1"/>
      <w:marLeft w:val="0"/>
      <w:marRight w:val="0"/>
      <w:marTop w:val="0"/>
      <w:marBottom w:val="0"/>
      <w:divBdr>
        <w:top w:val="none" w:sz="0" w:space="0" w:color="auto"/>
        <w:left w:val="none" w:sz="0" w:space="0" w:color="auto"/>
        <w:bottom w:val="none" w:sz="0" w:space="0" w:color="auto"/>
        <w:right w:val="none" w:sz="0" w:space="0" w:color="auto"/>
      </w:divBdr>
    </w:div>
    <w:div w:id="306782024">
      <w:bodyDiv w:val="1"/>
      <w:marLeft w:val="0"/>
      <w:marRight w:val="0"/>
      <w:marTop w:val="0"/>
      <w:marBottom w:val="0"/>
      <w:divBdr>
        <w:top w:val="none" w:sz="0" w:space="0" w:color="auto"/>
        <w:left w:val="none" w:sz="0" w:space="0" w:color="auto"/>
        <w:bottom w:val="none" w:sz="0" w:space="0" w:color="auto"/>
        <w:right w:val="none" w:sz="0" w:space="0" w:color="auto"/>
      </w:divBdr>
    </w:div>
    <w:div w:id="306787117">
      <w:bodyDiv w:val="1"/>
      <w:marLeft w:val="0"/>
      <w:marRight w:val="0"/>
      <w:marTop w:val="0"/>
      <w:marBottom w:val="0"/>
      <w:divBdr>
        <w:top w:val="none" w:sz="0" w:space="0" w:color="auto"/>
        <w:left w:val="none" w:sz="0" w:space="0" w:color="auto"/>
        <w:bottom w:val="none" w:sz="0" w:space="0" w:color="auto"/>
        <w:right w:val="none" w:sz="0" w:space="0" w:color="auto"/>
      </w:divBdr>
    </w:div>
    <w:div w:id="306862089">
      <w:bodyDiv w:val="1"/>
      <w:marLeft w:val="0"/>
      <w:marRight w:val="0"/>
      <w:marTop w:val="0"/>
      <w:marBottom w:val="0"/>
      <w:divBdr>
        <w:top w:val="none" w:sz="0" w:space="0" w:color="auto"/>
        <w:left w:val="none" w:sz="0" w:space="0" w:color="auto"/>
        <w:bottom w:val="none" w:sz="0" w:space="0" w:color="auto"/>
        <w:right w:val="none" w:sz="0" w:space="0" w:color="auto"/>
      </w:divBdr>
    </w:div>
    <w:div w:id="306935474">
      <w:bodyDiv w:val="1"/>
      <w:marLeft w:val="0"/>
      <w:marRight w:val="0"/>
      <w:marTop w:val="0"/>
      <w:marBottom w:val="0"/>
      <w:divBdr>
        <w:top w:val="none" w:sz="0" w:space="0" w:color="auto"/>
        <w:left w:val="none" w:sz="0" w:space="0" w:color="auto"/>
        <w:bottom w:val="none" w:sz="0" w:space="0" w:color="auto"/>
        <w:right w:val="none" w:sz="0" w:space="0" w:color="auto"/>
      </w:divBdr>
    </w:div>
    <w:div w:id="306975908">
      <w:bodyDiv w:val="1"/>
      <w:marLeft w:val="0"/>
      <w:marRight w:val="0"/>
      <w:marTop w:val="0"/>
      <w:marBottom w:val="0"/>
      <w:divBdr>
        <w:top w:val="none" w:sz="0" w:space="0" w:color="auto"/>
        <w:left w:val="none" w:sz="0" w:space="0" w:color="auto"/>
        <w:bottom w:val="none" w:sz="0" w:space="0" w:color="auto"/>
        <w:right w:val="none" w:sz="0" w:space="0" w:color="auto"/>
      </w:divBdr>
    </w:div>
    <w:div w:id="306980380">
      <w:bodyDiv w:val="1"/>
      <w:marLeft w:val="0"/>
      <w:marRight w:val="0"/>
      <w:marTop w:val="0"/>
      <w:marBottom w:val="0"/>
      <w:divBdr>
        <w:top w:val="none" w:sz="0" w:space="0" w:color="auto"/>
        <w:left w:val="none" w:sz="0" w:space="0" w:color="auto"/>
        <w:bottom w:val="none" w:sz="0" w:space="0" w:color="auto"/>
        <w:right w:val="none" w:sz="0" w:space="0" w:color="auto"/>
      </w:divBdr>
    </w:div>
    <w:div w:id="307054079">
      <w:bodyDiv w:val="1"/>
      <w:marLeft w:val="0"/>
      <w:marRight w:val="0"/>
      <w:marTop w:val="0"/>
      <w:marBottom w:val="0"/>
      <w:divBdr>
        <w:top w:val="none" w:sz="0" w:space="0" w:color="auto"/>
        <w:left w:val="none" w:sz="0" w:space="0" w:color="auto"/>
        <w:bottom w:val="none" w:sz="0" w:space="0" w:color="auto"/>
        <w:right w:val="none" w:sz="0" w:space="0" w:color="auto"/>
      </w:divBdr>
    </w:div>
    <w:div w:id="307126740">
      <w:bodyDiv w:val="1"/>
      <w:marLeft w:val="0"/>
      <w:marRight w:val="0"/>
      <w:marTop w:val="0"/>
      <w:marBottom w:val="0"/>
      <w:divBdr>
        <w:top w:val="none" w:sz="0" w:space="0" w:color="auto"/>
        <w:left w:val="none" w:sz="0" w:space="0" w:color="auto"/>
        <w:bottom w:val="none" w:sz="0" w:space="0" w:color="auto"/>
        <w:right w:val="none" w:sz="0" w:space="0" w:color="auto"/>
      </w:divBdr>
    </w:div>
    <w:div w:id="307251922">
      <w:bodyDiv w:val="1"/>
      <w:marLeft w:val="0"/>
      <w:marRight w:val="0"/>
      <w:marTop w:val="0"/>
      <w:marBottom w:val="0"/>
      <w:divBdr>
        <w:top w:val="none" w:sz="0" w:space="0" w:color="auto"/>
        <w:left w:val="none" w:sz="0" w:space="0" w:color="auto"/>
        <w:bottom w:val="none" w:sz="0" w:space="0" w:color="auto"/>
        <w:right w:val="none" w:sz="0" w:space="0" w:color="auto"/>
      </w:divBdr>
    </w:div>
    <w:div w:id="307436695">
      <w:bodyDiv w:val="1"/>
      <w:marLeft w:val="0"/>
      <w:marRight w:val="0"/>
      <w:marTop w:val="0"/>
      <w:marBottom w:val="0"/>
      <w:divBdr>
        <w:top w:val="none" w:sz="0" w:space="0" w:color="auto"/>
        <w:left w:val="none" w:sz="0" w:space="0" w:color="auto"/>
        <w:bottom w:val="none" w:sz="0" w:space="0" w:color="auto"/>
        <w:right w:val="none" w:sz="0" w:space="0" w:color="auto"/>
      </w:divBdr>
    </w:div>
    <w:div w:id="307757130">
      <w:bodyDiv w:val="1"/>
      <w:marLeft w:val="0"/>
      <w:marRight w:val="0"/>
      <w:marTop w:val="0"/>
      <w:marBottom w:val="0"/>
      <w:divBdr>
        <w:top w:val="none" w:sz="0" w:space="0" w:color="auto"/>
        <w:left w:val="none" w:sz="0" w:space="0" w:color="auto"/>
        <w:bottom w:val="none" w:sz="0" w:space="0" w:color="auto"/>
        <w:right w:val="none" w:sz="0" w:space="0" w:color="auto"/>
      </w:divBdr>
    </w:div>
    <w:div w:id="307831087">
      <w:bodyDiv w:val="1"/>
      <w:marLeft w:val="0"/>
      <w:marRight w:val="0"/>
      <w:marTop w:val="0"/>
      <w:marBottom w:val="0"/>
      <w:divBdr>
        <w:top w:val="none" w:sz="0" w:space="0" w:color="auto"/>
        <w:left w:val="none" w:sz="0" w:space="0" w:color="auto"/>
        <w:bottom w:val="none" w:sz="0" w:space="0" w:color="auto"/>
        <w:right w:val="none" w:sz="0" w:space="0" w:color="auto"/>
      </w:divBdr>
    </w:div>
    <w:div w:id="307978419">
      <w:bodyDiv w:val="1"/>
      <w:marLeft w:val="0"/>
      <w:marRight w:val="0"/>
      <w:marTop w:val="0"/>
      <w:marBottom w:val="0"/>
      <w:divBdr>
        <w:top w:val="none" w:sz="0" w:space="0" w:color="auto"/>
        <w:left w:val="none" w:sz="0" w:space="0" w:color="auto"/>
        <w:bottom w:val="none" w:sz="0" w:space="0" w:color="auto"/>
        <w:right w:val="none" w:sz="0" w:space="0" w:color="auto"/>
      </w:divBdr>
    </w:div>
    <w:div w:id="308096186">
      <w:bodyDiv w:val="1"/>
      <w:marLeft w:val="0"/>
      <w:marRight w:val="0"/>
      <w:marTop w:val="0"/>
      <w:marBottom w:val="0"/>
      <w:divBdr>
        <w:top w:val="none" w:sz="0" w:space="0" w:color="auto"/>
        <w:left w:val="none" w:sz="0" w:space="0" w:color="auto"/>
        <w:bottom w:val="none" w:sz="0" w:space="0" w:color="auto"/>
        <w:right w:val="none" w:sz="0" w:space="0" w:color="auto"/>
      </w:divBdr>
    </w:div>
    <w:div w:id="308167494">
      <w:bodyDiv w:val="1"/>
      <w:marLeft w:val="0"/>
      <w:marRight w:val="0"/>
      <w:marTop w:val="0"/>
      <w:marBottom w:val="0"/>
      <w:divBdr>
        <w:top w:val="none" w:sz="0" w:space="0" w:color="auto"/>
        <w:left w:val="none" w:sz="0" w:space="0" w:color="auto"/>
        <w:bottom w:val="none" w:sz="0" w:space="0" w:color="auto"/>
        <w:right w:val="none" w:sz="0" w:space="0" w:color="auto"/>
      </w:divBdr>
    </w:div>
    <w:div w:id="308217941">
      <w:bodyDiv w:val="1"/>
      <w:marLeft w:val="0"/>
      <w:marRight w:val="0"/>
      <w:marTop w:val="0"/>
      <w:marBottom w:val="0"/>
      <w:divBdr>
        <w:top w:val="none" w:sz="0" w:space="0" w:color="auto"/>
        <w:left w:val="none" w:sz="0" w:space="0" w:color="auto"/>
        <w:bottom w:val="none" w:sz="0" w:space="0" w:color="auto"/>
        <w:right w:val="none" w:sz="0" w:space="0" w:color="auto"/>
      </w:divBdr>
    </w:div>
    <w:div w:id="308287651">
      <w:bodyDiv w:val="1"/>
      <w:marLeft w:val="0"/>
      <w:marRight w:val="0"/>
      <w:marTop w:val="0"/>
      <w:marBottom w:val="0"/>
      <w:divBdr>
        <w:top w:val="none" w:sz="0" w:space="0" w:color="auto"/>
        <w:left w:val="none" w:sz="0" w:space="0" w:color="auto"/>
        <w:bottom w:val="none" w:sz="0" w:space="0" w:color="auto"/>
        <w:right w:val="none" w:sz="0" w:space="0" w:color="auto"/>
      </w:divBdr>
    </w:div>
    <w:div w:id="308364377">
      <w:bodyDiv w:val="1"/>
      <w:marLeft w:val="0"/>
      <w:marRight w:val="0"/>
      <w:marTop w:val="0"/>
      <w:marBottom w:val="0"/>
      <w:divBdr>
        <w:top w:val="none" w:sz="0" w:space="0" w:color="auto"/>
        <w:left w:val="none" w:sz="0" w:space="0" w:color="auto"/>
        <w:bottom w:val="none" w:sz="0" w:space="0" w:color="auto"/>
        <w:right w:val="none" w:sz="0" w:space="0" w:color="auto"/>
      </w:divBdr>
    </w:div>
    <w:div w:id="308436105">
      <w:bodyDiv w:val="1"/>
      <w:marLeft w:val="0"/>
      <w:marRight w:val="0"/>
      <w:marTop w:val="0"/>
      <w:marBottom w:val="0"/>
      <w:divBdr>
        <w:top w:val="none" w:sz="0" w:space="0" w:color="auto"/>
        <w:left w:val="none" w:sz="0" w:space="0" w:color="auto"/>
        <w:bottom w:val="none" w:sz="0" w:space="0" w:color="auto"/>
        <w:right w:val="none" w:sz="0" w:space="0" w:color="auto"/>
      </w:divBdr>
    </w:div>
    <w:div w:id="308442031">
      <w:bodyDiv w:val="1"/>
      <w:marLeft w:val="0"/>
      <w:marRight w:val="0"/>
      <w:marTop w:val="0"/>
      <w:marBottom w:val="0"/>
      <w:divBdr>
        <w:top w:val="none" w:sz="0" w:space="0" w:color="auto"/>
        <w:left w:val="none" w:sz="0" w:space="0" w:color="auto"/>
        <w:bottom w:val="none" w:sz="0" w:space="0" w:color="auto"/>
        <w:right w:val="none" w:sz="0" w:space="0" w:color="auto"/>
      </w:divBdr>
    </w:div>
    <w:div w:id="308557882">
      <w:bodyDiv w:val="1"/>
      <w:marLeft w:val="0"/>
      <w:marRight w:val="0"/>
      <w:marTop w:val="0"/>
      <w:marBottom w:val="0"/>
      <w:divBdr>
        <w:top w:val="none" w:sz="0" w:space="0" w:color="auto"/>
        <w:left w:val="none" w:sz="0" w:space="0" w:color="auto"/>
        <w:bottom w:val="none" w:sz="0" w:space="0" w:color="auto"/>
        <w:right w:val="none" w:sz="0" w:space="0" w:color="auto"/>
      </w:divBdr>
    </w:div>
    <w:div w:id="308562866">
      <w:bodyDiv w:val="1"/>
      <w:marLeft w:val="0"/>
      <w:marRight w:val="0"/>
      <w:marTop w:val="0"/>
      <w:marBottom w:val="0"/>
      <w:divBdr>
        <w:top w:val="none" w:sz="0" w:space="0" w:color="auto"/>
        <w:left w:val="none" w:sz="0" w:space="0" w:color="auto"/>
        <w:bottom w:val="none" w:sz="0" w:space="0" w:color="auto"/>
        <w:right w:val="none" w:sz="0" w:space="0" w:color="auto"/>
      </w:divBdr>
    </w:div>
    <w:div w:id="308630313">
      <w:bodyDiv w:val="1"/>
      <w:marLeft w:val="0"/>
      <w:marRight w:val="0"/>
      <w:marTop w:val="0"/>
      <w:marBottom w:val="0"/>
      <w:divBdr>
        <w:top w:val="none" w:sz="0" w:space="0" w:color="auto"/>
        <w:left w:val="none" w:sz="0" w:space="0" w:color="auto"/>
        <w:bottom w:val="none" w:sz="0" w:space="0" w:color="auto"/>
        <w:right w:val="none" w:sz="0" w:space="0" w:color="auto"/>
      </w:divBdr>
    </w:div>
    <w:div w:id="308674852">
      <w:bodyDiv w:val="1"/>
      <w:marLeft w:val="0"/>
      <w:marRight w:val="0"/>
      <w:marTop w:val="0"/>
      <w:marBottom w:val="0"/>
      <w:divBdr>
        <w:top w:val="none" w:sz="0" w:space="0" w:color="auto"/>
        <w:left w:val="none" w:sz="0" w:space="0" w:color="auto"/>
        <w:bottom w:val="none" w:sz="0" w:space="0" w:color="auto"/>
        <w:right w:val="none" w:sz="0" w:space="0" w:color="auto"/>
      </w:divBdr>
    </w:div>
    <w:div w:id="308826859">
      <w:bodyDiv w:val="1"/>
      <w:marLeft w:val="0"/>
      <w:marRight w:val="0"/>
      <w:marTop w:val="0"/>
      <w:marBottom w:val="0"/>
      <w:divBdr>
        <w:top w:val="none" w:sz="0" w:space="0" w:color="auto"/>
        <w:left w:val="none" w:sz="0" w:space="0" w:color="auto"/>
        <w:bottom w:val="none" w:sz="0" w:space="0" w:color="auto"/>
        <w:right w:val="none" w:sz="0" w:space="0" w:color="auto"/>
      </w:divBdr>
    </w:div>
    <w:div w:id="308899511">
      <w:bodyDiv w:val="1"/>
      <w:marLeft w:val="0"/>
      <w:marRight w:val="0"/>
      <w:marTop w:val="0"/>
      <w:marBottom w:val="0"/>
      <w:divBdr>
        <w:top w:val="none" w:sz="0" w:space="0" w:color="auto"/>
        <w:left w:val="none" w:sz="0" w:space="0" w:color="auto"/>
        <w:bottom w:val="none" w:sz="0" w:space="0" w:color="auto"/>
        <w:right w:val="none" w:sz="0" w:space="0" w:color="auto"/>
      </w:divBdr>
    </w:div>
    <w:div w:id="308902505">
      <w:bodyDiv w:val="1"/>
      <w:marLeft w:val="0"/>
      <w:marRight w:val="0"/>
      <w:marTop w:val="0"/>
      <w:marBottom w:val="0"/>
      <w:divBdr>
        <w:top w:val="none" w:sz="0" w:space="0" w:color="auto"/>
        <w:left w:val="none" w:sz="0" w:space="0" w:color="auto"/>
        <w:bottom w:val="none" w:sz="0" w:space="0" w:color="auto"/>
        <w:right w:val="none" w:sz="0" w:space="0" w:color="auto"/>
      </w:divBdr>
    </w:div>
    <w:div w:id="308942920">
      <w:bodyDiv w:val="1"/>
      <w:marLeft w:val="0"/>
      <w:marRight w:val="0"/>
      <w:marTop w:val="0"/>
      <w:marBottom w:val="0"/>
      <w:divBdr>
        <w:top w:val="none" w:sz="0" w:space="0" w:color="auto"/>
        <w:left w:val="none" w:sz="0" w:space="0" w:color="auto"/>
        <w:bottom w:val="none" w:sz="0" w:space="0" w:color="auto"/>
        <w:right w:val="none" w:sz="0" w:space="0" w:color="auto"/>
      </w:divBdr>
    </w:div>
    <w:div w:id="308947250">
      <w:bodyDiv w:val="1"/>
      <w:marLeft w:val="0"/>
      <w:marRight w:val="0"/>
      <w:marTop w:val="0"/>
      <w:marBottom w:val="0"/>
      <w:divBdr>
        <w:top w:val="none" w:sz="0" w:space="0" w:color="auto"/>
        <w:left w:val="none" w:sz="0" w:space="0" w:color="auto"/>
        <w:bottom w:val="none" w:sz="0" w:space="0" w:color="auto"/>
        <w:right w:val="none" w:sz="0" w:space="0" w:color="auto"/>
      </w:divBdr>
    </w:div>
    <w:div w:id="308949452">
      <w:bodyDiv w:val="1"/>
      <w:marLeft w:val="0"/>
      <w:marRight w:val="0"/>
      <w:marTop w:val="0"/>
      <w:marBottom w:val="0"/>
      <w:divBdr>
        <w:top w:val="none" w:sz="0" w:space="0" w:color="auto"/>
        <w:left w:val="none" w:sz="0" w:space="0" w:color="auto"/>
        <w:bottom w:val="none" w:sz="0" w:space="0" w:color="auto"/>
        <w:right w:val="none" w:sz="0" w:space="0" w:color="auto"/>
      </w:divBdr>
    </w:div>
    <w:div w:id="309288118">
      <w:bodyDiv w:val="1"/>
      <w:marLeft w:val="0"/>
      <w:marRight w:val="0"/>
      <w:marTop w:val="0"/>
      <w:marBottom w:val="0"/>
      <w:divBdr>
        <w:top w:val="none" w:sz="0" w:space="0" w:color="auto"/>
        <w:left w:val="none" w:sz="0" w:space="0" w:color="auto"/>
        <w:bottom w:val="none" w:sz="0" w:space="0" w:color="auto"/>
        <w:right w:val="none" w:sz="0" w:space="0" w:color="auto"/>
      </w:divBdr>
    </w:div>
    <w:div w:id="309293727">
      <w:bodyDiv w:val="1"/>
      <w:marLeft w:val="0"/>
      <w:marRight w:val="0"/>
      <w:marTop w:val="0"/>
      <w:marBottom w:val="0"/>
      <w:divBdr>
        <w:top w:val="none" w:sz="0" w:space="0" w:color="auto"/>
        <w:left w:val="none" w:sz="0" w:space="0" w:color="auto"/>
        <w:bottom w:val="none" w:sz="0" w:space="0" w:color="auto"/>
        <w:right w:val="none" w:sz="0" w:space="0" w:color="auto"/>
      </w:divBdr>
    </w:div>
    <w:div w:id="309359819">
      <w:bodyDiv w:val="1"/>
      <w:marLeft w:val="0"/>
      <w:marRight w:val="0"/>
      <w:marTop w:val="0"/>
      <w:marBottom w:val="0"/>
      <w:divBdr>
        <w:top w:val="none" w:sz="0" w:space="0" w:color="auto"/>
        <w:left w:val="none" w:sz="0" w:space="0" w:color="auto"/>
        <w:bottom w:val="none" w:sz="0" w:space="0" w:color="auto"/>
        <w:right w:val="none" w:sz="0" w:space="0" w:color="auto"/>
      </w:divBdr>
    </w:div>
    <w:div w:id="309405701">
      <w:bodyDiv w:val="1"/>
      <w:marLeft w:val="0"/>
      <w:marRight w:val="0"/>
      <w:marTop w:val="0"/>
      <w:marBottom w:val="0"/>
      <w:divBdr>
        <w:top w:val="none" w:sz="0" w:space="0" w:color="auto"/>
        <w:left w:val="none" w:sz="0" w:space="0" w:color="auto"/>
        <w:bottom w:val="none" w:sz="0" w:space="0" w:color="auto"/>
        <w:right w:val="none" w:sz="0" w:space="0" w:color="auto"/>
      </w:divBdr>
    </w:div>
    <w:div w:id="309558007">
      <w:bodyDiv w:val="1"/>
      <w:marLeft w:val="0"/>
      <w:marRight w:val="0"/>
      <w:marTop w:val="0"/>
      <w:marBottom w:val="0"/>
      <w:divBdr>
        <w:top w:val="none" w:sz="0" w:space="0" w:color="auto"/>
        <w:left w:val="none" w:sz="0" w:space="0" w:color="auto"/>
        <w:bottom w:val="none" w:sz="0" w:space="0" w:color="auto"/>
        <w:right w:val="none" w:sz="0" w:space="0" w:color="auto"/>
      </w:divBdr>
    </w:div>
    <w:div w:id="309602485">
      <w:bodyDiv w:val="1"/>
      <w:marLeft w:val="0"/>
      <w:marRight w:val="0"/>
      <w:marTop w:val="0"/>
      <w:marBottom w:val="0"/>
      <w:divBdr>
        <w:top w:val="none" w:sz="0" w:space="0" w:color="auto"/>
        <w:left w:val="none" w:sz="0" w:space="0" w:color="auto"/>
        <w:bottom w:val="none" w:sz="0" w:space="0" w:color="auto"/>
        <w:right w:val="none" w:sz="0" w:space="0" w:color="auto"/>
      </w:divBdr>
    </w:div>
    <w:div w:id="309671697">
      <w:bodyDiv w:val="1"/>
      <w:marLeft w:val="0"/>
      <w:marRight w:val="0"/>
      <w:marTop w:val="0"/>
      <w:marBottom w:val="0"/>
      <w:divBdr>
        <w:top w:val="none" w:sz="0" w:space="0" w:color="auto"/>
        <w:left w:val="none" w:sz="0" w:space="0" w:color="auto"/>
        <w:bottom w:val="none" w:sz="0" w:space="0" w:color="auto"/>
        <w:right w:val="none" w:sz="0" w:space="0" w:color="auto"/>
      </w:divBdr>
    </w:div>
    <w:div w:id="309868548">
      <w:bodyDiv w:val="1"/>
      <w:marLeft w:val="0"/>
      <w:marRight w:val="0"/>
      <w:marTop w:val="0"/>
      <w:marBottom w:val="0"/>
      <w:divBdr>
        <w:top w:val="none" w:sz="0" w:space="0" w:color="auto"/>
        <w:left w:val="none" w:sz="0" w:space="0" w:color="auto"/>
        <w:bottom w:val="none" w:sz="0" w:space="0" w:color="auto"/>
        <w:right w:val="none" w:sz="0" w:space="0" w:color="auto"/>
      </w:divBdr>
    </w:div>
    <w:div w:id="309987048">
      <w:bodyDiv w:val="1"/>
      <w:marLeft w:val="0"/>
      <w:marRight w:val="0"/>
      <w:marTop w:val="0"/>
      <w:marBottom w:val="0"/>
      <w:divBdr>
        <w:top w:val="none" w:sz="0" w:space="0" w:color="auto"/>
        <w:left w:val="none" w:sz="0" w:space="0" w:color="auto"/>
        <w:bottom w:val="none" w:sz="0" w:space="0" w:color="auto"/>
        <w:right w:val="none" w:sz="0" w:space="0" w:color="auto"/>
      </w:divBdr>
    </w:div>
    <w:div w:id="310015416">
      <w:bodyDiv w:val="1"/>
      <w:marLeft w:val="0"/>
      <w:marRight w:val="0"/>
      <w:marTop w:val="0"/>
      <w:marBottom w:val="0"/>
      <w:divBdr>
        <w:top w:val="none" w:sz="0" w:space="0" w:color="auto"/>
        <w:left w:val="none" w:sz="0" w:space="0" w:color="auto"/>
        <w:bottom w:val="none" w:sz="0" w:space="0" w:color="auto"/>
        <w:right w:val="none" w:sz="0" w:space="0" w:color="auto"/>
      </w:divBdr>
    </w:div>
    <w:div w:id="310184236">
      <w:bodyDiv w:val="1"/>
      <w:marLeft w:val="0"/>
      <w:marRight w:val="0"/>
      <w:marTop w:val="0"/>
      <w:marBottom w:val="0"/>
      <w:divBdr>
        <w:top w:val="none" w:sz="0" w:space="0" w:color="auto"/>
        <w:left w:val="none" w:sz="0" w:space="0" w:color="auto"/>
        <w:bottom w:val="none" w:sz="0" w:space="0" w:color="auto"/>
        <w:right w:val="none" w:sz="0" w:space="0" w:color="auto"/>
      </w:divBdr>
    </w:div>
    <w:div w:id="310255283">
      <w:bodyDiv w:val="1"/>
      <w:marLeft w:val="0"/>
      <w:marRight w:val="0"/>
      <w:marTop w:val="0"/>
      <w:marBottom w:val="0"/>
      <w:divBdr>
        <w:top w:val="none" w:sz="0" w:space="0" w:color="auto"/>
        <w:left w:val="none" w:sz="0" w:space="0" w:color="auto"/>
        <w:bottom w:val="none" w:sz="0" w:space="0" w:color="auto"/>
        <w:right w:val="none" w:sz="0" w:space="0" w:color="auto"/>
      </w:divBdr>
    </w:div>
    <w:div w:id="310330025">
      <w:bodyDiv w:val="1"/>
      <w:marLeft w:val="0"/>
      <w:marRight w:val="0"/>
      <w:marTop w:val="0"/>
      <w:marBottom w:val="0"/>
      <w:divBdr>
        <w:top w:val="none" w:sz="0" w:space="0" w:color="auto"/>
        <w:left w:val="none" w:sz="0" w:space="0" w:color="auto"/>
        <w:bottom w:val="none" w:sz="0" w:space="0" w:color="auto"/>
        <w:right w:val="none" w:sz="0" w:space="0" w:color="auto"/>
      </w:divBdr>
    </w:div>
    <w:div w:id="310405955">
      <w:bodyDiv w:val="1"/>
      <w:marLeft w:val="0"/>
      <w:marRight w:val="0"/>
      <w:marTop w:val="0"/>
      <w:marBottom w:val="0"/>
      <w:divBdr>
        <w:top w:val="none" w:sz="0" w:space="0" w:color="auto"/>
        <w:left w:val="none" w:sz="0" w:space="0" w:color="auto"/>
        <w:bottom w:val="none" w:sz="0" w:space="0" w:color="auto"/>
        <w:right w:val="none" w:sz="0" w:space="0" w:color="auto"/>
      </w:divBdr>
    </w:div>
    <w:div w:id="310602691">
      <w:bodyDiv w:val="1"/>
      <w:marLeft w:val="0"/>
      <w:marRight w:val="0"/>
      <w:marTop w:val="0"/>
      <w:marBottom w:val="0"/>
      <w:divBdr>
        <w:top w:val="none" w:sz="0" w:space="0" w:color="auto"/>
        <w:left w:val="none" w:sz="0" w:space="0" w:color="auto"/>
        <w:bottom w:val="none" w:sz="0" w:space="0" w:color="auto"/>
        <w:right w:val="none" w:sz="0" w:space="0" w:color="auto"/>
      </w:divBdr>
    </w:div>
    <w:div w:id="310641277">
      <w:bodyDiv w:val="1"/>
      <w:marLeft w:val="0"/>
      <w:marRight w:val="0"/>
      <w:marTop w:val="0"/>
      <w:marBottom w:val="0"/>
      <w:divBdr>
        <w:top w:val="none" w:sz="0" w:space="0" w:color="auto"/>
        <w:left w:val="none" w:sz="0" w:space="0" w:color="auto"/>
        <w:bottom w:val="none" w:sz="0" w:space="0" w:color="auto"/>
        <w:right w:val="none" w:sz="0" w:space="0" w:color="auto"/>
      </w:divBdr>
    </w:div>
    <w:div w:id="310719602">
      <w:bodyDiv w:val="1"/>
      <w:marLeft w:val="0"/>
      <w:marRight w:val="0"/>
      <w:marTop w:val="0"/>
      <w:marBottom w:val="0"/>
      <w:divBdr>
        <w:top w:val="none" w:sz="0" w:space="0" w:color="auto"/>
        <w:left w:val="none" w:sz="0" w:space="0" w:color="auto"/>
        <w:bottom w:val="none" w:sz="0" w:space="0" w:color="auto"/>
        <w:right w:val="none" w:sz="0" w:space="0" w:color="auto"/>
      </w:divBdr>
    </w:div>
    <w:div w:id="310789241">
      <w:bodyDiv w:val="1"/>
      <w:marLeft w:val="0"/>
      <w:marRight w:val="0"/>
      <w:marTop w:val="0"/>
      <w:marBottom w:val="0"/>
      <w:divBdr>
        <w:top w:val="none" w:sz="0" w:space="0" w:color="auto"/>
        <w:left w:val="none" w:sz="0" w:space="0" w:color="auto"/>
        <w:bottom w:val="none" w:sz="0" w:space="0" w:color="auto"/>
        <w:right w:val="none" w:sz="0" w:space="0" w:color="auto"/>
      </w:divBdr>
    </w:div>
    <w:div w:id="310795677">
      <w:bodyDiv w:val="1"/>
      <w:marLeft w:val="0"/>
      <w:marRight w:val="0"/>
      <w:marTop w:val="0"/>
      <w:marBottom w:val="0"/>
      <w:divBdr>
        <w:top w:val="none" w:sz="0" w:space="0" w:color="auto"/>
        <w:left w:val="none" w:sz="0" w:space="0" w:color="auto"/>
        <w:bottom w:val="none" w:sz="0" w:space="0" w:color="auto"/>
        <w:right w:val="none" w:sz="0" w:space="0" w:color="auto"/>
      </w:divBdr>
    </w:div>
    <w:div w:id="310864044">
      <w:bodyDiv w:val="1"/>
      <w:marLeft w:val="0"/>
      <w:marRight w:val="0"/>
      <w:marTop w:val="0"/>
      <w:marBottom w:val="0"/>
      <w:divBdr>
        <w:top w:val="none" w:sz="0" w:space="0" w:color="auto"/>
        <w:left w:val="none" w:sz="0" w:space="0" w:color="auto"/>
        <w:bottom w:val="none" w:sz="0" w:space="0" w:color="auto"/>
        <w:right w:val="none" w:sz="0" w:space="0" w:color="auto"/>
      </w:divBdr>
    </w:div>
    <w:div w:id="311176063">
      <w:bodyDiv w:val="1"/>
      <w:marLeft w:val="0"/>
      <w:marRight w:val="0"/>
      <w:marTop w:val="0"/>
      <w:marBottom w:val="0"/>
      <w:divBdr>
        <w:top w:val="none" w:sz="0" w:space="0" w:color="auto"/>
        <w:left w:val="none" w:sz="0" w:space="0" w:color="auto"/>
        <w:bottom w:val="none" w:sz="0" w:space="0" w:color="auto"/>
        <w:right w:val="none" w:sz="0" w:space="0" w:color="auto"/>
      </w:divBdr>
    </w:div>
    <w:div w:id="311256633">
      <w:bodyDiv w:val="1"/>
      <w:marLeft w:val="0"/>
      <w:marRight w:val="0"/>
      <w:marTop w:val="0"/>
      <w:marBottom w:val="0"/>
      <w:divBdr>
        <w:top w:val="none" w:sz="0" w:space="0" w:color="auto"/>
        <w:left w:val="none" w:sz="0" w:space="0" w:color="auto"/>
        <w:bottom w:val="none" w:sz="0" w:space="0" w:color="auto"/>
        <w:right w:val="none" w:sz="0" w:space="0" w:color="auto"/>
      </w:divBdr>
    </w:div>
    <w:div w:id="311297621">
      <w:bodyDiv w:val="1"/>
      <w:marLeft w:val="0"/>
      <w:marRight w:val="0"/>
      <w:marTop w:val="0"/>
      <w:marBottom w:val="0"/>
      <w:divBdr>
        <w:top w:val="none" w:sz="0" w:space="0" w:color="auto"/>
        <w:left w:val="none" w:sz="0" w:space="0" w:color="auto"/>
        <w:bottom w:val="none" w:sz="0" w:space="0" w:color="auto"/>
        <w:right w:val="none" w:sz="0" w:space="0" w:color="auto"/>
      </w:divBdr>
    </w:div>
    <w:div w:id="311376501">
      <w:bodyDiv w:val="1"/>
      <w:marLeft w:val="0"/>
      <w:marRight w:val="0"/>
      <w:marTop w:val="0"/>
      <w:marBottom w:val="0"/>
      <w:divBdr>
        <w:top w:val="none" w:sz="0" w:space="0" w:color="auto"/>
        <w:left w:val="none" w:sz="0" w:space="0" w:color="auto"/>
        <w:bottom w:val="none" w:sz="0" w:space="0" w:color="auto"/>
        <w:right w:val="none" w:sz="0" w:space="0" w:color="auto"/>
      </w:divBdr>
    </w:div>
    <w:div w:id="311446658">
      <w:bodyDiv w:val="1"/>
      <w:marLeft w:val="0"/>
      <w:marRight w:val="0"/>
      <w:marTop w:val="0"/>
      <w:marBottom w:val="0"/>
      <w:divBdr>
        <w:top w:val="none" w:sz="0" w:space="0" w:color="auto"/>
        <w:left w:val="none" w:sz="0" w:space="0" w:color="auto"/>
        <w:bottom w:val="none" w:sz="0" w:space="0" w:color="auto"/>
        <w:right w:val="none" w:sz="0" w:space="0" w:color="auto"/>
      </w:divBdr>
    </w:div>
    <w:div w:id="311519066">
      <w:bodyDiv w:val="1"/>
      <w:marLeft w:val="0"/>
      <w:marRight w:val="0"/>
      <w:marTop w:val="0"/>
      <w:marBottom w:val="0"/>
      <w:divBdr>
        <w:top w:val="none" w:sz="0" w:space="0" w:color="auto"/>
        <w:left w:val="none" w:sz="0" w:space="0" w:color="auto"/>
        <w:bottom w:val="none" w:sz="0" w:space="0" w:color="auto"/>
        <w:right w:val="none" w:sz="0" w:space="0" w:color="auto"/>
      </w:divBdr>
    </w:div>
    <w:div w:id="311519938">
      <w:bodyDiv w:val="1"/>
      <w:marLeft w:val="0"/>
      <w:marRight w:val="0"/>
      <w:marTop w:val="0"/>
      <w:marBottom w:val="0"/>
      <w:divBdr>
        <w:top w:val="none" w:sz="0" w:space="0" w:color="auto"/>
        <w:left w:val="none" w:sz="0" w:space="0" w:color="auto"/>
        <w:bottom w:val="none" w:sz="0" w:space="0" w:color="auto"/>
        <w:right w:val="none" w:sz="0" w:space="0" w:color="auto"/>
      </w:divBdr>
    </w:div>
    <w:div w:id="311638159">
      <w:bodyDiv w:val="1"/>
      <w:marLeft w:val="0"/>
      <w:marRight w:val="0"/>
      <w:marTop w:val="0"/>
      <w:marBottom w:val="0"/>
      <w:divBdr>
        <w:top w:val="none" w:sz="0" w:space="0" w:color="auto"/>
        <w:left w:val="none" w:sz="0" w:space="0" w:color="auto"/>
        <w:bottom w:val="none" w:sz="0" w:space="0" w:color="auto"/>
        <w:right w:val="none" w:sz="0" w:space="0" w:color="auto"/>
      </w:divBdr>
    </w:div>
    <w:div w:id="311638191">
      <w:bodyDiv w:val="1"/>
      <w:marLeft w:val="0"/>
      <w:marRight w:val="0"/>
      <w:marTop w:val="0"/>
      <w:marBottom w:val="0"/>
      <w:divBdr>
        <w:top w:val="none" w:sz="0" w:space="0" w:color="auto"/>
        <w:left w:val="none" w:sz="0" w:space="0" w:color="auto"/>
        <w:bottom w:val="none" w:sz="0" w:space="0" w:color="auto"/>
        <w:right w:val="none" w:sz="0" w:space="0" w:color="auto"/>
      </w:divBdr>
    </w:div>
    <w:div w:id="311641504">
      <w:bodyDiv w:val="1"/>
      <w:marLeft w:val="0"/>
      <w:marRight w:val="0"/>
      <w:marTop w:val="0"/>
      <w:marBottom w:val="0"/>
      <w:divBdr>
        <w:top w:val="none" w:sz="0" w:space="0" w:color="auto"/>
        <w:left w:val="none" w:sz="0" w:space="0" w:color="auto"/>
        <w:bottom w:val="none" w:sz="0" w:space="0" w:color="auto"/>
        <w:right w:val="none" w:sz="0" w:space="0" w:color="auto"/>
      </w:divBdr>
    </w:div>
    <w:div w:id="311641767">
      <w:bodyDiv w:val="1"/>
      <w:marLeft w:val="0"/>
      <w:marRight w:val="0"/>
      <w:marTop w:val="0"/>
      <w:marBottom w:val="0"/>
      <w:divBdr>
        <w:top w:val="none" w:sz="0" w:space="0" w:color="auto"/>
        <w:left w:val="none" w:sz="0" w:space="0" w:color="auto"/>
        <w:bottom w:val="none" w:sz="0" w:space="0" w:color="auto"/>
        <w:right w:val="none" w:sz="0" w:space="0" w:color="auto"/>
      </w:divBdr>
    </w:div>
    <w:div w:id="311911402">
      <w:bodyDiv w:val="1"/>
      <w:marLeft w:val="0"/>
      <w:marRight w:val="0"/>
      <w:marTop w:val="0"/>
      <w:marBottom w:val="0"/>
      <w:divBdr>
        <w:top w:val="none" w:sz="0" w:space="0" w:color="auto"/>
        <w:left w:val="none" w:sz="0" w:space="0" w:color="auto"/>
        <w:bottom w:val="none" w:sz="0" w:space="0" w:color="auto"/>
        <w:right w:val="none" w:sz="0" w:space="0" w:color="auto"/>
      </w:divBdr>
    </w:div>
    <w:div w:id="312175520">
      <w:bodyDiv w:val="1"/>
      <w:marLeft w:val="0"/>
      <w:marRight w:val="0"/>
      <w:marTop w:val="0"/>
      <w:marBottom w:val="0"/>
      <w:divBdr>
        <w:top w:val="none" w:sz="0" w:space="0" w:color="auto"/>
        <w:left w:val="none" w:sz="0" w:space="0" w:color="auto"/>
        <w:bottom w:val="none" w:sz="0" w:space="0" w:color="auto"/>
        <w:right w:val="none" w:sz="0" w:space="0" w:color="auto"/>
      </w:divBdr>
    </w:div>
    <w:div w:id="312217924">
      <w:bodyDiv w:val="1"/>
      <w:marLeft w:val="0"/>
      <w:marRight w:val="0"/>
      <w:marTop w:val="0"/>
      <w:marBottom w:val="0"/>
      <w:divBdr>
        <w:top w:val="none" w:sz="0" w:space="0" w:color="auto"/>
        <w:left w:val="none" w:sz="0" w:space="0" w:color="auto"/>
        <w:bottom w:val="none" w:sz="0" w:space="0" w:color="auto"/>
        <w:right w:val="none" w:sz="0" w:space="0" w:color="auto"/>
      </w:divBdr>
    </w:div>
    <w:div w:id="312292944">
      <w:bodyDiv w:val="1"/>
      <w:marLeft w:val="0"/>
      <w:marRight w:val="0"/>
      <w:marTop w:val="0"/>
      <w:marBottom w:val="0"/>
      <w:divBdr>
        <w:top w:val="none" w:sz="0" w:space="0" w:color="auto"/>
        <w:left w:val="none" w:sz="0" w:space="0" w:color="auto"/>
        <w:bottom w:val="none" w:sz="0" w:space="0" w:color="auto"/>
        <w:right w:val="none" w:sz="0" w:space="0" w:color="auto"/>
      </w:divBdr>
    </w:div>
    <w:div w:id="312298585">
      <w:bodyDiv w:val="1"/>
      <w:marLeft w:val="0"/>
      <w:marRight w:val="0"/>
      <w:marTop w:val="0"/>
      <w:marBottom w:val="0"/>
      <w:divBdr>
        <w:top w:val="none" w:sz="0" w:space="0" w:color="auto"/>
        <w:left w:val="none" w:sz="0" w:space="0" w:color="auto"/>
        <w:bottom w:val="none" w:sz="0" w:space="0" w:color="auto"/>
        <w:right w:val="none" w:sz="0" w:space="0" w:color="auto"/>
      </w:divBdr>
    </w:div>
    <w:div w:id="312416350">
      <w:bodyDiv w:val="1"/>
      <w:marLeft w:val="0"/>
      <w:marRight w:val="0"/>
      <w:marTop w:val="0"/>
      <w:marBottom w:val="0"/>
      <w:divBdr>
        <w:top w:val="none" w:sz="0" w:space="0" w:color="auto"/>
        <w:left w:val="none" w:sz="0" w:space="0" w:color="auto"/>
        <w:bottom w:val="none" w:sz="0" w:space="0" w:color="auto"/>
        <w:right w:val="none" w:sz="0" w:space="0" w:color="auto"/>
      </w:divBdr>
    </w:div>
    <w:div w:id="312416614">
      <w:bodyDiv w:val="1"/>
      <w:marLeft w:val="0"/>
      <w:marRight w:val="0"/>
      <w:marTop w:val="0"/>
      <w:marBottom w:val="0"/>
      <w:divBdr>
        <w:top w:val="none" w:sz="0" w:space="0" w:color="auto"/>
        <w:left w:val="none" w:sz="0" w:space="0" w:color="auto"/>
        <w:bottom w:val="none" w:sz="0" w:space="0" w:color="auto"/>
        <w:right w:val="none" w:sz="0" w:space="0" w:color="auto"/>
      </w:divBdr>
    </w:div>
    <w:div w:id="312419454">
      <w:bodyDiv w:val="1"/>
      <w:marLeft w:val="0"/>
      <w:marRight w:val="0"/>
      <w:marTop w:val="0"/>
      <w:marBottom w:val="0"/>
      <w:divBdr>
        <w:top w:val="none" w:sz="0" w:space="0" w:color="auto"/>
        <w:left w:val="none" w:sz="0" w:space="0" w:color="auto"/>
        <w:bottom w:val="none" w:sz="0" w:space="0" w:color="auto"/>
        <w:right w:val="none" w:sz="0" w:space="0" w:color="auto"/>
      </w:divBdr>
    </w:div>
    <w:div w:id="312561617">
      <w:bodyDiv w:val="1"/>
      <w:marLeft w:val="0"/>
      <w:marRight w:val="0"/>
      <w:marTop w:val="0"/>
      <w:marBottom w:val="0"/>
      <w:divBdr>
        <w:top w:val="none" w:sz="0" w:space="0" w:color="auto"/>
        <w:left w:val="none" w:sz="0" w:space="0" w:color="auto"/>
        <w:bottom w:val="none" w:sz="0" w:space="0" w:color="auto"/>
        <w:right w:val="none" w:sz="0" w:space="0" w:color="auto"/>
      </w:divBdr>
    </w:div>
    <w:div w:id="312608121">
      <w:bodyDiv w:val="1"/>
      <w:marLeft w:val="0"/>
      <w:marRight w:val="0"/>
      <w:marTop w:val="0"/>
      <w:marBottom w:val="0"/>
      <w:divBdr>
        <w:top w:val="none" w:sz="0" w:space="0" w:color="auto"/>
        <w:left w:val="none" w:sz="0" w:space="0" w:color="auto"/>
        <w:bottom w:val="none" w:sz="0" w:space="0" w:color="auto"/>
        <w:right w:val="none" w:sz="0" w:space="0" w:color="auto"/>
      </w:divBdr>
    </w:div>
    <w:div w:id="312608996">
      <w:bodyDiv w:val="1"/>
      <w:marLeft w:val="0"/>
      <w:marRight w:val="0"/>
      <w:marTop w:val="0"/>
      <w:marBottom w:val="0"/>
      <w:divBdr>
        <w:top w:val="none" w:sz="0" w:space="0" w:color="auto"/>
        <w:left w:val="none" w:sz="0" w:space="0" w:color="auto"/>
        <w:bottom w:val="none" w:sz="0" w:space="0" w:color="auto"/>
        <w:right w:val="none" w:sz="0" w:space="0" w:color="auto"/>
      </w:divBdr>
    </w:div>
    <w:div w:id="312637941">
      <w:bodyDiv w:val="1"/>
      <w:marLeft w:val="0"/>
      <w:marRight w:val="0"/>
      <w:marTop w:val="0"/>
      <w:marBottom w:val="0"/>
      <w:divBdr>
        <w:top w:val="none" w:sz="0" w:space="0" w:color="auto"/>
        <w:left w:val="none" w:sz="0" w:space="0" w:color="auto"/>
        <w:bottom w:val="none" w:sz="0" w:space="0" w:color="auto"/>
        <w:right w:val="none" w:sz="0" w:space="0" w:color="auto"/>
      </w:divBdr>
    </w:div>
    <w:div w:id="312680329">
      <w:bodyDiv w:val="1"/>
      <w:marLeft w:val="0"/>
      <w:marRight w:val="0"/>
      <w:marTop w:val="0"/>
      <w:marBottom w:val="0"/>
      <w:divBdr>
        <w:top w:val="none" w:sz="0" w:space="0" w:color="auto"/>
        <w:left w:val="none" w:sz="0" w:space="0" w:color="auto"/>
        <w:bottom w:val="none" w:sz="0" w:space="0" w:color="auto"/>
        <w:right w:val="none" w:sz="0" w:space="0" w:color="auto"/>
      </w:divBdr>
    </w:div>
    <w:div w:id="313031701">
      <w:bodyDiv w:val="1"/>
      <w:marLeft w:val="0"/>
      <w:marRight w:val="0"/>
      <w:marTop w:val="0"/>
      <w:marBottom w:val="0"/>
      <w:divBdr>
        <w:top w:val="none" w:sz="0" w:space="0" w:color="auto"/>
        <w:left w:val="none" w:sz="0" w:space="0" w:color="auto"/>
        <w:bottom w:val="none" w:sz="0" w:space="0" w:color="auto"/>
        <w:right w:val="none" w:sz="0" w:space="0" w:color="auto"/>
      </w:divBdr>
    </w:div>
    <w:div w:id="313150057">
      <w:bodyDiv w:val="1"/>
      <w:marLeft w:val="0"/>
      <w:marRight w:val="0"/>
      <w:marTop w:val="0"/>
      <w:marBottom w:val="0"/>
      <w:divBdr>
        <w:top w:val="none" w:sz="0" w:space="0" w:color="auto"/>
        <w:left w:val="none" w:sz="0" w:space="0" w:color="auto"/>
        <w:bottom w:val="none" w:sz="0" w:space="0" w:color="auto"/>
        <w:right w:val="none" w:sz="0" w:space="0" w:color="auto"/>
      </w:divBdr>
    </w:div>
    <w:div w:id="313224170">
      <w:bodyDiv w:val="1"/>
      <w:marLeft w:val="0"/>
      <w:marRight w:val="0"/>
      <w:marTop w:val="0"/>
      <w:marBottom w:val="0"/>
      <w:divBdr>
        <w:top w:val="none" w:sz="0" w:space="0" w:color="auto"/>
        <w:left w:val="none" w:sz="0" w:space="0" w:color="auto"/>
        <w:bottom w:val="none" w:sz="0" w:space="0" w:color="auto"/>
        <w:right w:val="none" w:sz="0" w:space="0" w:color="auto"/>
      </w:divBdr>
    </w:div>
    <w:div w:id="313334279">
      <w:bodyDiv w:val="1"/>
      <w:marLeft w:val="0"/>
      <w:marRight w:val="0"/>
      <w:marTop w:val="0"/>
      <w:marBottom w:val="0"/>
      <w:divBdr>
        <w:top w:val="none" w:sz="0" w:space="0" w:color="auto"/>
        <w:left w:val="none" w:sz="0" w:space="0" w:color="auto"/>
        <w:bottom w:val="none" w:sz="0" w:space="0" w:color="auto"/>
        <w:right w:val="none" w:sz="0" w:space="0" w:color="auto"/>
      </w:divBdr>
    </w:div>
    <w:div w:id="313341256">
      <w:bodyDiv w:val="1"/>
      <w:marLeft w:val="0"/>
      <w:marRight w:val="0"/>
      <w:marTop w:val="0"/>
      <w:marBottom w:val="0"/>
      <w:divBdr>
        <w:top w:val="none" w:sz="0" w:space="0" w:color="auto"/>
        <w:left w:val="none" w:sz="0" w:space="0" w:color="auto"/>
        <w:bottom w:val="none" w:sz="0" w:space="0" w:color="auto"/>
        <w:right w:val="none" w:sz="0" w:space="0" w:color="auto"/>
      </w:divBdr>
    </w:div>
    <w:div w:id="313410852">
      <w:bodyDiv w:val="1"/>
      <w:marLeft w:val="0"/>
      <w:marRight w:val="0"/>
      <w:marTop w:val="0"/>
      <w:marBottom w:val="0"/>
      <w:divBdr>
        <w:top w:val="none" w:sz="0" w:space="0" w:color="auto"/>
        <w:left w:val="none" w:sz="0" w:space="0" w:color="auto"/>
        <w:bottom w:val="none" w:sz="0" w:space="0" w:color="auto"/>
        <w:right w:val="none" w:sz="0" w:space="0" w:color="auto"/>
      </w:divBdr>
    </w:div>
    <w:div w:id="313413762">
      <w:bodyDiv w:val="1"/>
      <w:marLeft w:val="0"/>
      <w:marRight w:val="0"/>
      <w:marTop w:val="0"/>
      <w:marBottom w:val="0"/>
      <w:divBdr>
        <w:top w:val="none" w:sz="0" w:space="0" w:color="auto"/>
        <w:left w:val="none" w:sz="0" w:space="0" w:color="auto"/>
        <w:bottom w:val="none" w:sz="0" w:space="0" w:color="auto"/>
        <w:right w:val="none" w:sz="0" w:space="0" w:color="auto"/>
      </w:divBdr>
    </w:div>
    <w:div w:id="313606466">
      <w:bodyDiv w:val="1"/>
      <w:marLeft w:val="0"/>
      <w:marRight w:val="0"/>
      <w:marTop w:val="0"/>
      <w:marBottom w:val="0"/>
      <w:divBdr>
        <w:top w:val="none" w:sz="0" w:space="0" w:color="auto"/>
        <w:left w:val="none" w:sz="0" w:space="0" w:color="auto"/>
        <w:bottom w:val="none" w:sz="0" w:space="0" w:color="auto"/>
        <w:right w:val="none" w:sz="0" w:space="0" w:color="auto"/>
      </w:divBdr>
    </w:div>
    <w:div w:id="313721117">
      <w:bodyDiv w:val="1"/>
      <w:marLeft w:val="0"/>
      <w:marRight w:val="0"/>
      <w:marTop w:val="0"/>
      <w:marBottom w:val="0"/>
      <w:divBdr>
        <w:top w:val="none" w:sz="0" w:space="0" w:color="auto"/>
        <w:left w:val="none" w:sz="0" w:space="0" w:color="auto"/>
        <w:bottom w:val="none" w:sz="0" w:space="0" w:color="auto"/>
        <w:right w:val="none" w:sz="0" w:space="0" w:color="auto"/>
      </w:divBdr>
    </w:div>
    <w:div w:id="313799685">
      <w:bodyDiv w:val="1"/>
      <w:marLeft w:val="0"/>
      <w:marRight w:val="0"/>
      <w:marTop w:val="0"/>
      <w:marBottom w:val="0"/>
      <w:divBdr>
        <w:top w:val="none" w:sz="0" w:space="0" w:color="auto"/>
        <w:left w:val="none" w:sz="0" w:space="0" w:color="auto"/>
        <w:bottom w:val="none" w:sz="0" w:space="0" w:color="auto"/>
        <w:right w:val="none" w:sz="0" w:space="0" w:color="auto"/>
      </w:divBdr>
    </w:div>
    <w:div w:id="313801145">
      <w:bodyDiv w:val="1"/>
      <w:marLeft w:val="0"/>
      <w:marRight w:val="0"/>
      <w:marTop w:val="0"/>
      <w:marBottom w:val="0"/>
      <w:divBdr>
        <w:top w:val="none" w:sz="0" w:space="0" w:color="auto"/>
        <w:left w:val="none" w:sz="0" w:space="0" w:color="auto"/>
        <w:bottom w:val="none" w:sz="0" w:space="0" w:color="auto"/>
        <w:right w:val="none" w:sz="0" w:space="0" w:color="auto"/>
      </w:divBdr>
    </w:div>
    <w:div w:id="313877881">
      <w:bodyDiv w:val="1"/>
      <w:marLeft w:val="0"/>
      <w:marRight w:val="0"/>
      <w:marTop w:val="0"/>
      <w:marBottom w:val="0"/>
      <w:divBdr>
        <w:top w:val="none" w:sz="0" w:space="0" w:color="auto"/>
        <w:left w:val="none" w:sz="0" w:space="0" w:color="auto"/>
        <w:bottom w:val="none" w:sz="0" w:space="0" w:color="auto"/>
        <w:right w:val="none" w:sz="0" w:space="0" w:color="auto"/>
      </w:divBdr>
    </w:div>
    <w:div w:id="313994984">
      <w:bodyDiv w:val="1"/>
      <w:marLeft w:val="0"/>
      <w:marRight w:val="0"/>
      <w:marTop w:val="0"/>
      <w:marBottom w:val="0"/>
      <w:divBdr>
        <w:top w:val="none" w:sz="0" w:space="0" w:color="auto"/>
        <w:left w:val="none" w:sz="0" w:space="0" w:color="auto"/>
        <w:bottom w:val="none" w:sz="0" w:space="0" w:color="auto"/>
        <w:right w:val="none" w:sz="0" w:space="0" w:color="auto"/>
      </w:divBdr>
    </w:div>
    <w:div w:id="314065169">
      <w:bodyDiv w:val="1"/>
      <w:marLeft w:val="0"/>
      <w:marRight w:val="0"/>
      <w:marTop w:val="0"/>
      <w:marBottom w:val="0"/>
      <w:divBdr>
        <w:top w:val="none" w:sz="0" w:space="0" w:color="auto"/>
        <w:left w:val="none" w:sz="0" w:space="0" w:color="auto"/>
        <w:bottom w:val="none" w:sz="0" w:space="0" w:color="auto"/>
        <w:right w:val="none" w:sz="0" w:space="0" w:color="auto"/>
      </w:divBdr>
    </w:div>
    <w:div w:id="314066107">
      <w:bodyDiv w:val="1"/>
      <w:marLeft w:val="0"/>
      <w:marRight w:val="0"/>
      <w:marTop w:val="0"/>
      <w:marBottom w:val="0"/>
      <w:divBdr>
        <w:top w:val="none" w:sz="0" w:space="0" w:color="auto"/>
        <w:left w:val="none" w:sz="0" w:space="0" w:color="auto"/>
        <w:bottom w:val="none" w:sz="0" w:space="0" w:color="auto"/>
        <w:right w:val="none" w:sz="0" w:space="0" w:color="auto"/>
      </w:divBdr>
    </w:div>
    <w:div w:id="314267025">
      <w:bodyDiv w:val="1"/>
      <w:marLeft w:val="0"/>
      <w:marRight w:val="0"/>
      <w:marTop w:val="0"/>
      <w:marBottom w:val="0"/>
      <w:divBdr>
        <w:top w:val="none" w:sz="0" w:space="0" w:color="auto"/>
        <w:left w:val="none" w:sz="0" w:space="0" w:color="auto"/>
        <w:bottom w:val="none" w:sz="0" w:space="0" w:color="auto"/>
        <w:right w:val="none" w:sz="0" w:space="0" w:color="auto"/>
      </w:divBdr>
    </w:div>
    <w:div w:id="314267115">
      <w:bodyDiv w:val="1"/>
      <w:marLeft w:val="0"/>
      <w:marRight w:val="0"/>
      <w:marTop w:val="0"/>
      <w:marBottom w:val="0"/>
      <w:divBdr>
        <w:top w:val="none" w:sz="0" w:space="0" w:color="auto"/>
        <w:left w:val="none" w:sz="0" w:space="0" w:color="auto"/>
        <w:bottom w:val="none" w:sz="0" w:space="0" w:color="auto"/>
        <w:right w:val="none" w:sz="0" w:space="0" w:color="auto"/>
      </w:divBdr>
    </w:div>
    <w:div w:id="314526656">
      <w:bodyDiv w:val="1"/>
      <w:marLeft w:val="0"/>
      <w:marRight w:val="0"/>
      <w:marTop w:val="0"/>
      <w:marBottom w:val="0"/>
      <w:divBdr>
        <w:top w:val="none" w:sz="0" w:space="0" w:color="auto"/>
        <w:left w:val="none" w:sz="0" w:space="0" w:color="auto"/>
        <w:bottom w:val="none" w:sz="0" w:space="0" w:color="auto"/>
        <w:right w:val="none" w:sz="0" w:space="0" w:color="auto"/>
      </w:divBdr>
    </w:div>
    <w:div w:id="314531636">
      <w:bodyDiv w:val="1"/>
      <w:marLeft w:val="0"/>
      <w:marRight w:val="0"/>
      <w:marTop w:val="0"/>
      <w:marBottom w:val="0"/>
      <w:divBdr>
        <w:top w:val="none" w:sz="0" w:space="0" w:color="auto"/>
        <w:left w:val="none" w:sz="0" w:space="0" w:color="auto"/>
        <w:bottom w:val="none" w:sz="0" w:space="0" w:color="auto"/>
        <w:right w:val="none" w:sz="0" w:space="0" w:color="auto"/>
      </w:divBdr>
    </w:div>
    <w:div w:id="314574455">
      <w:bodyDiv w:val="1"/>
      <w:marLeft w:val="0"/>
      <w:marRight w:val="0"/>
      <w:marTop w:val="0"/>
      <w:marBottom w:val="0"/>
      <w:divBdr>
        <w:top w:val="none" w:sz="0" w:space="0" w:color="auto"/>
        <w:left w:val="none" w:sz="0" w:space="0" w:color="auto"/>
        <w:bottom w:val="none" w:sz="0" w:space="0" w:color="auto"/>
        <w:right w:val="none" w:sz="0" w:space="0" w:color="auto"/>
      </w:divBdr>
    </w:div>
    <w:div w:id="314575908">
      <w:bodyDiv w:val="1"/>
      <w:marLeft w:val="0"/>
      <w:marRight w:val="0"/>
      <w:marTop w:val="0"/>
      <w:marBottom w:val="0"/>
      <w:divBdr>
        <w:top w:val="none" w:sz="0" w:space="0" w:color="auto"/>
        <w:left w:val="none" w:sz="0" w:space="0" w:color="auto"/>
        <w:bottom w:val="none" w:sz="0" w:space="0" w:color="auto"/>
        <w:right w:val="none" w:sz="0" w:space="0" w:color="auto"/>
      </w:divBdr>
    </w:div>
    <w:div w:id="314575994">
      <w:bodyDiv w:val="1"/>
      <w:marLeft w:val="0"/>
      <w:marRight w:val="0"/>
      <w:marTop w:val="0"/>
      <w:marBottom w:val="0"/>
      <w:divBdr>
        <w:top w:val="none" w:sz="0" w:space="0" w:color="auto"/>
        <w:left w:val="none" w:sz="0" w:space="0" w:color="auto"/>
        <w:bottom w:val="none" w:sz="0" w:space="0" w:color="auto"/>
        <w:right w:val="none" w:sz="0" w:space="0" w:color="auto"/>
      </w:divBdr>
    </w:div>
    <w:div w:id="314602136">
      <w:bodyDiv w:val="1"/>
      <w:marLeft w:val="0"/>
      <w:marRight w:val="0"/>
      <w:marTop w:val="0"/>
      <w:marBottom w:val="0"/>
      <w:divBdr>
        <w:top w:val="none" w:sz="0" w:space="0" w:color="auto"/>
        <w:left w:val="none" w:sz="0" w:space="0" w:color="auto"/>
        <w:bottom w:val="none" w:sz="0" w:space="0" w:color="auto"/>
        <w:right w:val="none" w:sz="0" w:space="0" w:color="auto"/>
      </w:divBdr>
    </w:div>
    <w:div w:id="314605281">
      <w:bodyDiv w:val="1"/>
      <w:marLeft w:val="0"/>
      <w:marRight w:val="0"/>
      <w:marTop w:val="0"/>
      <w:marBottom w:val="0"/>
      <w:divBdr>
        <w:top w:val="none" w:sz="0" w:space="0" w:color="auto"/>
        <w:left w:val="none" w:sz="0" w:space="0" w:color="auto"/>
        <w:bottom w:val="none" w:sz="0" w:space="0" w:color="auto"/>
        <w:right w:val="none" w:sz="0" w:space="0" w:color="auto"/>
      </w:divBdr>
    </w:div>
    <w:div w:id="314645491">
      <w:bodyDiv w:val="1"/>
      <w:marLeft w:val="0"/>
      <w:marRight w:val="0"/>
      <w:marTop w:val="0"/>
      <w:marBottom w:val="0"/>
      <w:divBdr>
        <w:top w:val="none" w:sz="0" w:space="0" w:color="auto"/>
        <w:left w:val="none" w:sz="0" w:space="0" w:color="auto"/>
        <w:bottom w:val="none" w:sz="0" w:space="0" w:color="auto"/>
        <w:right w:val="none" w:sz="0" w:space="0" w:color="auto"/>
      </w:divBdr>
    </w:div>
    <w:div w:id="314648546">
      <w:bodyDiv w:val="1"/>
      <w:marLeft w:val="0"/>
      <w:marRight w:val="0"/>
      <w:marTop w:val="0"/>
      <w:marBottom w:val="0"/>
      <w:divBdr>
        <w:top w:val="none" w:sz="0" w:space="0" w:color="auto"/>
        <w:left w:val="none" w:sz="0" w:space="0" w:color="auto"/>
        <w:bottom w:val="none" w:sz="0" w:space="0" w:color="auto"/>
        <w:right w:val="none" w:sz="0" w:space="0" w:color="auto"/>
      </w:divBdr>
    </w:div>
    <w:div w:id="314650601">
      <w:bodyDiv w:val="1"/>
      <w:marLeft w:val="0"/>
      <w:marRight w:val="0"/>
      <w:marTop w:val="0"/>
      <w:marBottom w:val="0"/>
      <w:divBdr>
        <w:top w:val="none" w:sz="0" w:space="0" w:color="auto"/>
        <w:left w:val="none" w:sz="0" w:space="0" w:color="auto"/>
        <w:bottom w:val="none" w:sz="0" w:space="0" w:color="auto"/>
        <w:right w:val="none" w:sz="0" w:space="0" w:color="auto"/>
      </w:divBdr>
    </w:div>
    <w:div w:id="314798452">
      <w:bodyDiv w:val="1"/>
      <w:marLeft w:val="0"/>
      <w:marRight w:val="0"/>
      <w:marTop w:val="0"/>
      <w:marBottom w:val="0"/>
      <w:divBdr>
        <w:top w:val="none" w:sz="0" w:space="0" w:color="auto"/>
        <w:left w:val="none" w:sz="0" w:space="0" w:color="auto"/>
        <w:bottom w:val="none" w:sz="0" w:space="0" w:color="auto"/>
        <w:right w:val="none" w:sz="0" w:space="0" w:color="auto"/>
      </w:divBdr>
    </w:div>
    <w:div w:id="314840620">
      <w:bodyDiv w:val="1"/>
      <w:marLeft w:val="0"/>
      <w:marRight w:val="0"/>
      <w:marTop w:val="0"/>
      <w:marBottom w:val="0"/>
      <w:divBdr>
        <w:top w:val="none" w:sz="0" w:space="0" w:color="auto"/>
        <w:left w:val="none" w:sz="0" w:space="0" w:color="auto"/>
        <w:bottom w:val="none" w:sz="0" w:space="0" w:color="auto"/>
        <w:right w:val="none" w:sz="0" w:space="0" w:color="auto"/>
      </w:divBdr>
    </w:div>
    <w:div w:id="314842922">
      <w:bodyDiv w:val="1"/>
      <w:marLeft w:val="0"/>
      <w:marRight w:val="0"/>
      <w:marTop w:val="0"/>
      <w:marBottom w:val="0"/>
      <w:divBdr>
        <w:top w:val="none" w:sz="0" w:space="0" w:color="auto"/>
        <w:left w:val="none" w:sz="0" w:space="0" w:color="auto"/>
        <w:bottom w:val="none" w:sz="0" w:space="0" w:color="auto"/>
        <w:right w:val="none" w:sz="0" w:space="0" w:color="auto"/>
      </w:divBdr>
    </w:div>
    <w:div w:id="315106989">
      <w:bodyDiv w:val="1"/>
      <w:marLeft w:val="0"/>
      <w:marRight w:val="0"/>
      <w:marTop w:val="0"/>
      <w:marBottom w:val="0"/>
      <w:divBdr>
        <w:top w:val="none" w:sz="0" w:space="0" w:color="auto"/>
        <w:left w:val="none" w:sz="0" w:space="0" w:color="auto"/>
        <w:bottom w:val="none" w:sz="0" w:space="0" w:color="auto"/>
        <w:right w:val="none" w:sz="0" w:space="0" w:color="auto"/>
      </w:divBdr>
    </w:div>
    <w:div w:id="315191140">
      <w:bodyDiv w:val="1"/>
      <w:marLeft w:val="0"/>
      <w:marRight w:val="0"/>
      <w:marTop w:val="0"/>
      <w:marBottom w:val="0"/>
      <w:divBdr>
        <w:top w:val="none" w:sz="0" w:space="0" w:color="auto"/>
        <w:left w:val="none" w:sz="0" w:space="0" w:color="auto"/>
        <w:bottom w:val="none" w:sz="0" w:space="0" w:color="auto"/>
        <w:right w:val="none" w:sz="0" w:space="0" w:color="auto"/>
      </w:divBdr>
    </w:div>
    <w:div w:id="315232963">
      <w:bodyDiv w:val="1"/>
      <w:marLeft w:val="0"/>
      <w:marRight w:val="0"/>
      <w:marTop w:val="0"/>
      <w:marBottom w:val="0"/>
      <w:divBdr>
        <w:top w:val="none" w:sz="0" w:space="0" w:color="auto"/>
        <w:left w:val="none" w:sz="0" w:space="0" w:color="auto"/>
        <w:bottom w:val="none" w:sz="0" w:space="0" w:color="auto"/>
        <w:right w:val="none" w:sz="0" w:space="0" w:color="auto"/>
      </w:divBdr>
    </w:div>
    <w:div w:id="315256917">
      <w:bodyDiv w:val="1"/>
      <w:marLeft w:val="0"/>
      <w:marRight w:val="0"/>
      <w:marTop w:val="0"/>
      <w:marBottom w:val="0"/>
      <w:divBdr>
        <w:top w:val="none" w:sz="0" w:space="0" w:color="auto"/>
        <w:left w:val="none" w:sz="0" w:space="0" w:color="auto"/>
        <w:bottom w:val="none" w:sz="0" w:space="0" w:color="auto"/>
        <w:right w:val="none" w:sz="0" w:space="0" w:color="auto"/>
      </w:divBdr>
    </w:div>
    <w:div w:id="315303336">
      <w:bodyDiv w:val="1"/>
      <w:marLeft w:val="0"/>
      <w:marRight w:val="0"/>
      <w:marTop w:val="0"/>
      <w:marBottom w:val="0"/>
      <w:divBdr>
        <w:top w:val="none" w:sz="0" w:space="0" w:color="auto"/>
        <w:left w:val="none" w:sz="0" w:space="0" w:color="auto"/>
        <w:bottom w:val="none" w:sz="0" w:space="0" w:color="auto"/>
        <w:right w:val="none" w:sz="0" w:space="0" w:color="auto"/>
      </w:divBdr>
    </w:div>
    <w:div w:id="315306572">
      <w:bodyDiv w:val="1"/>
      <w:marLeft w:val="0"/>
      <w:marRight w:val="0"/>
      <w:marTop w:val="0"/>
      <w:marBottom w:val="0"/>
      <w:divBdr>
        <w:top w:val="none" w:sz="0" w:space="0" w:color="auto"/>
        <w:left w:val="none" w:sz="0" w:space="0" w:color="auto"/>
        <w:bottom w:val="none" w:sz="0" w:space="0" w:color="auto"/>
        <w:right w:val="none" w:sz="0" w:space="0" w:color="auto"/>
      </w:divBdr>
    </w:div>
    <w:div w:id="315383490">
      <w:bodyDiv w:val="1"/>
      <w:marLeft w:val="0"/>
      <w:marRight w:val="0"/>
      <w:marTop w:val="0"/>
      <w:marBottom w:val="0"/>
      <w:divBdr>
        <w:top w:val="none" w:sz="0" w:space="0" w:color="auto"/>
        <w:left w:val="none" w:sz="0" w:space="0" w:color="auto"/>
        <w:bottom w:val="none" w:sz="0" w:space="0" w:color="auto"/>
        <w:right w:val="none" w:sz="0" w:space="0" w:color="auto"/>
      </w:divBdr>
    </w:div>
    <w:div w:id="315497558">
      <w:bodyDiv w:val="1"/>
      <w:marLeft w:val="0"/>
      <w:marRight w:val="0"/>
      <w:marTop w:val="0"/>
      <w:marBottom w:val="0"/>
      <w:divBdr>
        <w:top w:val="none" w:sz="0" w:space="0" w:color="auto"/>
        <w:left w:val="none" w:sz="0" w:space="0" w:color="auto"/>
        <w:bottom w:val="none" w:sz="0" w:space="0" w:color="auto"/>
        <w:right w:val="none" w:sz="0" w:space="0" w:color="auto"/>
      </w:divBdr>
    </w:div>
    <w:div w:id="315573022">
      <w:bodyDiv w:val="1"/>
      <w:marLeft w:val="0"/>
      <w:marRight w:val="0"/>
      <w:marTop w:val="0"/>
      <w:marBottom w:val="0"/>
      <w:divBdr>
        <w:top w:val="none" w:sz="0" w:space="0" w:color="auto"/>
        <w:left w:val="none" w:sz="0" w:space="0" w:color="auto"/>
        <w:bottom w:val="none" w:sz="0" w:space="0" w:color="auto"/>
        <w:right w:val="none" w:sz="0" w:space="0" w:color="auto"/>
      </w:divBdr>
    </w:div>
    <w:div w:id="315691402">
      <w:bodyDiv w:val="1"/>
      <w:marLeft w:val="0"/>
      <w:marRight w:val="0"/>
      <w:marTop w:val="0"/>
      <w:marBottom w:val="0"/>
      <w:divBdr>
        <w:top w:val="none" w:sz="0" w:space="0" w:color="auto"/>
        <w:left w:val="none" w:sz="0" w:space="0" w:color="auto"/>
        <w:bottom w:val="none" w:sz="0" w:space="0" w:color="auto"/>
        <w:right w:val="none" w:sz="0" w:space="0" w:color="auto"/>
      </w:divBdr>
    </w:div>
    <w:div w:id="315692466">
      <w:bodyDiv w:val="1"/>
      <w:marLeft w:val="0"/>
      <w:marRight w:val="0"/>
      <w:marTop w:val="0"/>
      <w:marBottom w:val="0"/>
      <w:divBdr>
        <w:top w:val="none" w:sz="0" w:space="0" w:color="auto"/>
        <w:left w:val="none" w:sz="0" w:space="0" w:color="auto"/>
        <w:bottom w:val="none" w:sz="0" w:space="0" w:color="auto"/>
        <w:right w:val="none" w:sz="0" w:space="0" w:color="auto"/>
      </w:divBdr>
    </w:div>
    <w:div w:id="315763348">
      <w:bodyDiv w:val="1"/>
      <w:marLeft w:val="0"/>
      <w:marRight w:val="0"/>
      <w:marTop w:val="0"/>
      <w:marBottom w:val="0"/>
      <w:divBdr>
        <w:top w:val="none" w:sz="0" w:space="0" w:color="auto"/>
        <w:left w:val="none" w:sz="0" w:space="0" w:color="auto"/>
        <w:bottom w:val="none" w:sz="0" w:space="0" w:color="auto"/>
        <w:right w:val="none" w:sz="0" w:space="0" w:color="auto"/>
      </w:divBdr>
    </w:div>
    <w:div w:id="315843218">
      <w:bodyDiv w:val="1"/>
      <w:marLeft w:val="0"/>
      <w:marRight w:val="0"/>
      <w:marTop w:val="0"/>
      <w:marBottom w:val="0"/>
      <w:divBdr>
        <w:top w:val="none" w:sz="0" w:space="0" w:color="auto"/>
        <w:left w:val="none" w:sz="0" w:space="0" w:color="auto"/>
        <w:bottom w:val="none" w:sz="0" w:space="0" w:color="auto"/>
        <w:right w:val="none" w:sz="0" w:space="0" w:color="auto"/>
      </w:divBdr>
    </w:div>
    <w:div w:id="315844565">
      <w:bodyDiv w:val="1"/>
      <w:marLeft w:val="0"/>
      <w:marRight w:val="0"/>
      <w:marTop w:val="0"/>
      <w:marBottom w:val="0"/>
      <w:divBdr>
        <w:top w:val="none" w:sz="0" w:space="0" w:color="auto"/>
        <w:left w:val="none" w:sz="0" w:space="0" w:color="auto"/>
        <w:bottom w:val="none" w:sz="0" w:space="0" w:color="auto"/>
        <w:right w:val="none" w:sz="0" w:space="0" w:color="auto"/>
      </w:divBdr>
    </w:div>
    <w:div w:id="315845391">
      <w:bodyDiv w:val="1"/>
      <w:marLeft w:val="0"/>
      <w:marRight w:val="0"/>
      <w:marTop w:val="0"/>
      <w:marBottom w:val="0"/>
      <w:divBdr>
        <w:top w:val="none" w:sz="0" w:space="0" w:color="auto"/>
        <w:left w:val="none" w:sz="0" w:space="0" w:color="auto"/>
        <w:bottom w:val="none" w:sz="0" w:space="0" w:color="auto"/>
        <w:right w:val="none" w:sz="0" w:space="0" w:color="auto"/>
      </w:divBdr>
    </w:div>
    <w:div w:id="315845420">
      <w:bodyDiv w:val="1"/>
      <w:marLeft w:val="0"/>
      <w:marRight w:val="0"/>
      <w:marTop w:val="0"/>
      <w:marBottom w:val="0"/>
      <w:divBdr>
        <w:top w:val="none" w:sz="0" w:space="0" w:color="auto"/>
        <w:left w:val="none" w:sz="0" w:space="0" w:color="auto"/>
        <w:bottom w:val="none" w:sz="0" w:space="0" w:color="auto"/>
        <w:right w:val="none" w:sz="0" w:space="0" w:color="auto"/>
      </w:divBdr>
    </w:div>
    <w:div w:id="315914932">
      <w:bodyDiv w:val="1"/>
      <w:marLeft w:val="0"/>
      <w:marRight w:val="0"/>
      <w:marTop w:val="0"/>
      <w:marBottom w:val="0"/>
      <w:divBdr>
        <w:top w:val="none" w:sz="0" w:space="0" w:color="auto"/>
        <w:left w:val="none" w:sz="0" w:space="0" w:color="auto"/>
        <w:bottom w:val="none" w:sz="0" w:space="0" w:color="auto"/>
        <w:right w:val="none" w:sz="0" w:space="0" w:color="auto"/>
      </w:divBdr>
    </w:div>
    <w:div w:id="315916211">
      <w:bodyDiv w:val="1"/>
      <w:marLeft w:val="0"/>
      <w:marRight w:val="0"/>
      <w:marTop w:val="0"/>
      <w:marBottom w:val="0"/>
      <w:divBdr>
        <w:top w:val="none" w:sz="0" w:space="0" w:color="auto"/>
        <w:left w:val="none" w:sz="0" w:space="0" w:color="auto"/>
        <w:bottom w:val="none" w:sz="0" w:space="0" w:color="auto"/>
        <w:right w:val="none" w:sz="0" w:space="0" w:color="auto"/>
      </w:divBdr>
    </w:div>
    <w:div w:id="315955714">
      <w:bodyDiv w:val="1"/>
      <w:marLeft w:val="0"/>
      <w:marRight w:val="0"/>
      <w:marTop w:val="0"/>
      <w:marBottom w:val="0"/>
      <w:divBdr>
        <w:top w:val="none" w:sz="0" w:space="0" w:color="auto"/>
        <w:left w:val="none" w:sz="0" w:space="0" w:color="auto"/>
        <w:bottom w:val="none" w:sz="0" w:space="0" w:color="auto"/>
        <w:right w:val="none" w:sz="0" w:space="0" w:color="auto"/>
      </w:divBdr>
    </w:div>
    <w:div w:id="316110458">
      <w:bodyDiv w:val="1"/>
      <w:marLeft w:val="0"/>
      <w:marRight w:val="0"/>
      <w:marTop w:val="0"/>
      <w:marBottom w:val="0"/>
      <w:divBdr>
        <w:top w:val="none" w:sz="0" w:space="0" w:color="auto"/>
        <w:left w:val="none" w:sz="0" w:space="0" w:color="auto"/>
        <w:bottom w:val="none" w:sz="0" w:space="0" w:color="auto"/>
        <w:right w:val="none" w:sz="0" w:space="0" w:color="auto"/>
      </w:divBdr>
    </w:div>
    <w:div w:id="316149111">
      <w:bodyDiv w:val="1"/>
      <w:marLeft w:val="0"/>
      <w:marRight w:val="0"/>
      <w:marTop w:val="0"/>
      <w:marBottom w:val="0"/>
      <w:divBdr>
        <w:top w:val="none" w:sz="0" w:space="0" w:color="auto"/>
        <w:left w:val="none" w:sz="0" w:space="0" w:color="auto"/>
        <w:bottom w:val="none" w:sz="0" w:space="0" w:color="auto"/>
        <w:right w:val="none" w:sz="0" w:space="0" w:color="auto"/>
      </w:divBdr>
    </w:div>
    <w:div w:id="316230036">
      <w:bodyDiv w:val="1"/>
      <w:marLeft w:val="0"/>
      <w:marRight w:val="0"/>
      <w:marTop w:val="0"/>
      <w:marBottom w:val="0"/>
      <w:divBdr>
        <w:top w:val="none" w:sz="0" w:space="0" w:color="auto"/>
        <w:left w:val="none" w:sz="0" w:space="0" w:color="auto"/>
        <w:bottom w:val="none" w:sz="0" w:space="0" w:color="auto"/>
        <w:right w:val="none" w:sz="0" w:space="0" w:color="auto"/>
      </w:divBdr>
    </w:div>
    <w:div w:id="316342660">
      <w:bodyDiv w:val="1"/>
      <w:marLeft w:val="0"/>
      <w:marRight w:val="0"/>
      <w:marTop w:val="0"/>
      <w:marBottom w:val="0"/>
      <w:divBdr>
        <w:top w:val="none" w:sz="0" w:space="0" w:color="auto"/>
        <w:left w:val="none" w:sz="0" w:space="0" w:color="auto"/>
        <w:bottom w:val="none" w:sz="0" w:space="0" w:color="auto"/>
        <w:right w:val="none" w:sz="0" w:space="0" w:color="auto"/>
      </w:divBdr>
    </w:div>
    <w:div w:id="316347488">
      <w:bodyDiv w:val="1"/>
      <w:marLeft w:val="0"/>
      <w:marRight w:val="0"/>
      <w:marTop w:val="0"/>
      <w:marBottom w:val="0"/>
      <w:divBdr>
        <w:top w:val="none" w:sz="0" w:space="0" w:color="auto"/>
        <w:left w:val="none" w:sz="0" w:space="0" w:color="auto"/>
        <w:bottom w:val="none" w:sz="0" w:space="0" w:color="auto"/>
        <w:right w:val="none" w:sz="0" w:space="0" w:color="auto"/>
      </w:divBdr>
    </w:div>
    <w:div w:id="316569398">
      <w:bodyDiv w:val="1"/>
      <w:marLeft w:val="0"/>
      <w:marRight w:val="0"/>
      <w:marTop w:val="0"/>
      <w:marBottom w:val="0"/>
      <w:divBdr>
        <w:top w:val="none" w:sz="0" w:space="0" w:color="auto"/>
        <w:left w:val="none" w:sz="0" w:space="0" w:color="auto"/>
        <w:bottom w:val="none" w:sz="0" w:space="0" w:color="auto"/>
        <w:right w:val="none" w:sz="0" w:space="0" w:color="auto"/>
      </w:divBdr>
    </w:div>
    <w:div w:id="316615511">
      <w:bodyDiv w:val="1"/>
      <w:marLeft w:val="0"/>
      <w:marRight w:val="0"/>
      <w:marTop w:val="0"/>
      <w:marBottom w:val="0"/>
      <w:divBdr>
        <w:top w:val="none" w:sz="0" w:space="0" w:color="auto"/>
        <w:left w:val="none" w:sz="0" w:space="0" w:color="auto"/>
        <w:bottom w:val="none" w:sz="0" w:space="0" w:color="auto"/>
        <w:right w:val="none" w:sz="0" w:space="0" w:color="auto"/>
      </w:divBdr>
    </w:div>
    <w:div w:id="316690264">
      <w:bodyDiv w:val="1"/>
      <w:marLeft w:val="0"/>
      <w:marRight w:val="0"/>
      <w:marTop w:val="0"/>
      <w:marBottom w:val="0"/>
      <w:divBdr>
        <w:top w:val="none" w:sz="0" w:space="0" w:color="auto"/>
        <w:left w:val="none" w:sz="0" w:space="0" w:color="auto"/>
        <w:bottom w:val="none" w:sz="0" w:space="0" w:color="auto"/>
        <w:right w:val="none" w:sz="0" w:space="0" w:color="auto"/>
      </w:divBdr>
    </w:div>
    <w:div w:id="316693458">
      <w:bodyDiv w:val="1"/>
      <w:marLeft w:val="0"/>
      <w:marRight w:val="0"/>
      <w:marTop w:val="0"/>
      <w:marBottom w:val="0"/>
      <w:divBdr>
        <w:top w:val="none" w:sz="0" w:space="0" w:color="auto"/>
        <w:left w:val="none" w:sz="0" w:space="0" w:color="auto"/>
        <w:bottom w:val="none" w:sz="0" w:space="0" w:color="auto"/>
        <w:right w:val="none" w:sz="0" w:space="0" w:color="auto"/>
      </w:divBdr>
    </w:div>
    <w:div w:id="316694296">
      <w:bodyDiv w:val="1"/>
      <w:marLeft w:val="0"/>
      <w:marRight w:val="0"/>
      <w:marTop w:val="0"/>
      <w:marBottom w:val="0"/>
      <w:divBdr>
        <w:top w:val="none" w:sz="0" w:space="0" w:color="auto"/>
        <w:left w:val="none" w:sz="0" w:space="0" w:color="auto"/>
        <w:bottom w:val="none" w:sz="0" w:space="0" w:color="auto"/>
        <w:right w:val="none" w:sz="0" w:space="0" w:color="auto"/>
      </w:divBdr>
    </w:div>
    <w:div w:id="316806381">
      <w:bodyDiv w:val="1"/>
      <w:marLeft w:val="0"/>
      <w:marRight w:val="0"/>
      <w:marTop w:val="0"/>
      <w:marBottom w:val="0"/>
      <w:divBdr>
        <w:top w:val="none" w:sz="0" w:space="0" w:color="auto"/>
        <w:left w:val="none" w:sz="0" w:space="0" w:color="auto"/>
        <w:bottom w:val="none" w:sz="0" w:space="0" w:color="auto"/>
        <w:right w:val="none" w:sz="0" w:space="0" w:color="auto"/>
      </w:divBdr>
    </w:div>
    <w:div w:id="316881087">
      <w:bodyDiv w:val="1"/>
      <w:marLeft w:val="0"/>
      <w:marRight w:val="0"/>
      <w:marTop w:val="0"/>
      <w:marBottom w:val="0"/>
      <w:divBdr>
        <w:top w:val="none" w:sz="0" w:space="0" w:color="auto"/>
        <w:left w:val="none" w:sz="0" w:space="0" w:color="auto"/>
        <w:bottom w:val="none" w:sz="0" w:space="0" w:color="auto"/>
        <w:right w:val="none" w:sz="0" w:space="0" w:color="auto"/>
      </w:divBdr>
    </w:div>
    <w:div w:id="317076805">
      <w:bodyDiv w:val="1"/>
      <w:marLeft w:val="0"/>
      <w:marRight w:val="0"/>
      <w:marTop w:val="0"/>
      <w:marBottom w:val="0"/>
      <w:divBdr>
        <w:top w:val="none" w:sz="0" w:space="0" w:color="auto"/>
        <w:left w:val="none" w:sz="0" w:space="0" w:color="auto"/>
        <w:bottom w:val="none" w:sz="0" w:space="0" w:color="auto"/>
        <w:right w:val="none" w:sz="0" w:space="0" w:color="auto"/>
      </w:divBdr>
    </w:div>
    <w:div w:id="317149434">
      <w:bodyDiv w:val="1"/>
      <w:marLeft w:val="0"/>
      <w:marRight w:val="0"/>
      <w:marTop w:val="0"/>
      <w:marBottom w:val="0"/>
      <w:divBdr>
        <w:top w:val="none" w:sz="0" w:space="0" w:color="auto"/>
        <w:left w:val="none" w:sz="0" w:space="0" w:color="auto"/>
        <w:bottom w:val="none" w:sz="0" w:space="0" w:color="auto"/>
        <w:right w:val="none" w:sz="0" w:space="0" w:color="auto"/>
      </w:divBdr>
    </w:div>
    <w:div w:id="317151046">
      <w:bodyDiv w:val="1"/>
      <w:marLeft w:val="0"/>
      <w:marRight w:val="0"/>
      <w:marTop w:val="0"/>
      <w:marBottom w:val="0"/>
      <w:divBdr>
        <w:top w:val="none" w:sz="0" w:space="0" w:color="auto"/>
        <w:left w:val="none" w:sz="0" w:space="0" w:color="auto"/>
        <w:bottom w:val="none" w:sz="0" w:space="0" w:color="auto"/>
        <w:right w:val="none" w:sz="0" w:space="0" w:color="auto"/>
      </w:divBdr>
    </w:div>
    <w:div w:id="317199619">
      <w:bodyDiv w:val="1"/>
      <w:marLeft w:val="0"/>
      <w:marRight w:val="0"/>
      <w:marTop w:val="0"/>
      <w:marBottom w:val="0"/>
      <w:divBdr>
        <w:top w:val="none" w:sz="0" w:space="0" w:color="auto"/>
        <w:left w:val="none" w:sz="0" w:space="0" w:color="auto"/>
        <w:bottom w:val="none" w:sz="0" w:space="0" w:color="auto"/>
        <w:right w:val="none" w:sz="0" w:space="0" w:color="auto"/>
      </w:divBdr>
    </w:div>
    <w:div w:id="317418274">
      <w:bodyDiv w:val="1"/>
      <w:marLeft w:val="0"/>
      <w:marRight w:val="0"/>
      <w:marTop w:val="0"/>
      <w:marBottom w:val="0"/>
      <w:divBdr>
        <w:top w:val="none" w:sz="0" w:space="0" w:color="auto"/>
        <w:left w:val="none" w:sz="0" w:space="0" w:color="auto"/>
        <w:bottom w:val="none" w:sz="0" w:space="0" w:color="auto"/>
        <w:right w:val="none" w:sz="0" w:space="0" w:color="auto"/>
      </w:divBdr>
    </w:div>
    <w:div w:id="317466130">
      <w:bodyDiv w:val="1"/>
      <w:marLeft w:val="0"/>
      <w:marRight w:val="0"/>
      <w:marTop w:val="0"/>
      <w:marBottom w:val="0"/>
      <w:divBdr>
        <w:top w:val="none" w:sz="0" w:space="0" w:color="auto"/>
        <w:left w:val="none" w:sz="0" w:space="0" w:color="auto"/>
        <w:bottom w:val="none" w:sz="0" w:space="0" w:color="auto"/>
        <w:right w:val="none" w:sz="0" w:space="0" w:color="auto"/>
      </w:divBdr>
    </w:div>
    <w:div w:id="317539647">
      <w:bodyDiv w:val="1"/>
      <w:marLeft w:val="0"/>
      <w:marRight w:val="0"/>
      <w:marTop w:val="0"/>
      <w:marBottom w:val="0"/>
      <w:divBdr>
        <w:top w:val="none" w:sz="0" w:space="0" w:color="auto"/>
        <w:left w:val="none" w:sz="0" w:space="0" w:color="auto"/>
        <w:bottom w:val="none" w:sz="0" w:space="0" w:color="auto"/>
        <w:right w:val="none" w:sz="0" w:space="0" w:color="auto"/>
      </w:divBdr>
    </w:div>
    <w:div w:id="317731201">
      <w:bodyDiv w:val="1"/>
      <w:marLeft w:val="0"/>
      <w:marRight w:val="0"/>
      <w:marTop w:val="0"/>
      <w:marBottom w:val="0"/>
      <w:divBdr>
        <w:top w:val="none" w:sz="0" w:space="0" w:color="auto"/>
        <w:left w:val="none" w:sz="0" w:space="0" w:color="auto"/>
        <w:bottom w:val="none" w:sz="0" w:space="0" w:color="auto"/>
        <w:right w:val="none" w:sz="0" w:space="0" w:color="auto"/>
      </w:divBdr>
    </w:div>
    <w:div w:id="317878347">
      <w:bodyDiv w:val="1"/>
      <w:marLeft w:val="0"/>
      <w:marRight w:val="0"/>
      <w:marTop w:val="0"/>
      <w:marBottom w:val="0"/>
      <w:divBdr>
        <w:top w:val="none" w:sz="0" w:space="0" w:color="auto"/>
        <w:left w:val="none" w:sz="0" w:space="0" w:color="auto"/>
        <w:bottom w:val="none" w:sz="0" w:space="0" w:color="auto"/>
        <w:right w:val="none" w:sz="0" w:space="0" w:color="auto"/>
      </w:divBdr>
    </w:div>
    <w:div w:id="318195705">
      <w:bodyDiv w:val="1"/>
      <w:marLeft w:val="0"/>
      <w:marRight w:val="0"/>
      <w:marTop w:val="0"/>
      <w:marBottom w:val="0"/>
      <w:divBdr>
        <w:top w:val="none" w:sz="0" w:space="0" w:color="auto"/>
        <w:left w:val="none" w:sz="0" w:space="0" w:color="auto"/>
        <w:bottom w:val="none" w:sz="0" w:space="0" w:color="auto"/>
        <w:right w:val="none" w:sz="0" w:space="0" w:color="auto"/>
      </w:divBdr>
    </w:div>
    <w:div w:id="318310229">
      <w:bodyDiv w:val="1"/>
      <w:marLeft w:val="0"/>
      <w:marRight w:val="0"/>
      <w:marTop w:val="0"/>
      <w:marBottom w:val="0"/>
      <w:divBdr>
        <w:top w:val="none" w:sz="0" w:space="0" w:color="auto"/>
        <w:left w:val="none" w:sz="0" w:space="0" w:color="auto"/>
        <w:bottom w:val="none" w:sz="0" w:space="0" w:color="auto"/>
        <w:right w:val="none" w:sz="0" w:space="0" w:color="auto"/>
      </w:divBdr>
    </w:div>
    <w:div w:id="318458312">
      <w:bodyDiv w:val="1"/>
      <w:marLeft w:val="0"/>
      <w:marRight w:val="0"/>
      <w:marTop w:val="0"/>
      <w:marBottom w:val="0"/>
      <w:divBdr>
        <w:top w:val="none" w:sz="0" w:space="0" w:color="auto"/>
        <w:left w:val="none" w:sz="0" w:space="0" w:color="auto"/>
        <w:bottom w:val="none" w:sz="0" w:space="0" w:color="auto"/>
        <w:right w:val="none" w:sz="0" w:space="0" w:color="auto"/>
      </w:divBdr>
    </w:div>
    <w:div w:id="318461928">
      <w:bodyDiv w:val="1"/>
      <w:marLeft w:val="0"/>
      <w:marRight w:val="0"/>
      <w:marTop w:val="0"/>
      <w:marBottom w:val="0"/>
      <w:divBdr>
        <w:top w:val="none" w:sz="0" w:space="0" w:color="auto"/>
        <w:left w:val="none" w:sz="0" w:space="0" w:color="auto"/>
        <w:bottom w:val="none" w:sz="0" w:space="0" w:color="auto"/>
        <w:right w:val="none" w:sz="0" w:space="0" w:color="auto"/>
      </w:divBdr>
    </w:div>
    <w:div w:id="318728611">
      <w:bodyDiv w:val="1"/>
      <w:marLeft w:val="0"/>
      <w:marRight w:val="0"/>
      <w:marTop w:val="0"/>
      <w:marBottom w:val="0"/>
      <w:divBdr>
        <w:top w:val="none" w:sz="0" w:space="0" w:color="auto"/>
        <w:left w:val="none" w:sz="0" w:space="0" w:color="auto"/>
        <w:bottom w:val="none" w:sz="0" w:space="0" w:color="auto"/>
        <w:right w:val="none" w:sz="0" w:space="0" w:color="auto"/>
      </w:divBdr>
    </w:div>
    <w:div w:id="318774032">
      <w:bodyDiv w:val="1"/>
      <w:marLeft w:val="0"/>
      <w:marRight w:val="0"/>
      <w:marTop w:val="0"/>
      <w:marBottom w:val="0"/>
      <w:divBdr>
        <w:top w:val="none" w:sz="0" w:space="0" w:color="auto"/>
        <w:left w:val="none" w:sz="0" w:space="0" w:color="auto"/>
        <w:bottom w:val="none" w:sz="0" w:space="0" w:color="auto"/>
        <w:right w:val="none" w:sz="0" w:space="0" w:color="auto"/>
      </w:divBdr>
    </w:div>
    <w:div w:id="318924836">
      <w:bodyDiv w:val="1"/>
      <w:marLeft w:val="0"/>
      <w:marRight w:val="0"/>
      <w:marTop w:val="0"/>
      <w:marBottom w:val="0"/>
      <w:divBdr>
        <w:top w:val="none" w:sz="0" w:space="0" w:color="auto"/>
        <w:left w:val="none" w:sz="0" w:space="0" w:color="auto"/>
        <w:bottom w:val="none" w:sz="0" w:space="0" w:color="auto"/>
        <w:right w:val="none" w:sz="0" w:space="0" w:color="auto"/>
      </w:divBdr>
    </w:div>
    <w:div w:id="318926082">
      <w:bodyDiv w:val="1"/>
      <w:marLeft w:val="0"/>
      <w:marRight w:val="0"/>
      <w:marTop w:val="0"/>
      <w:marBottom w:val="0"/>
      <w:divBdr>
        <w:top w:val="none" w:sz="0" w:space="0" w:color="auto"/>
        <w:left w:val="none" w:sz="0" w:space="0" w:color="auto"/>
        <w:bottom w:val="none" w:sz="0" w:space="0" w:color="auto"/>
        <w:right w:val="none" w:sz="0" w:space="0" w:color="auto"/>
      </w:divBdr>
    </w:div>
    <w:div w:id="318966706">
      <w:bodyDiv w:val="1"/>
      <w:marLeft w:val="0"/>
      <w:marRight w:val="0"/>
      <w:marTop w:val="0"/>
      <w:marBottom w:val="0"/>
      <w:divBdr>
        <w:top w:val="none" w:sz="0" w:space="0" w:color="auto"/>
        <w:left w:val="none" w:sz="0" w:space="0" w:color="auto"/>
        <w:bottom w:val="none" w:sz="0" w:space="0" w:color="auto"/>
        <w:right w:val="none" w:sz="0" w:space="0" w:color="auto"/>
      </w:divBdr>
    </w:div>
    <w:div w:id="319040051">
      <w:bodyDiv w:val="1"/>
      <w:marLeft w:val="0"/>
      <w:marRight w:val="0"/>
      <w:marTop w:val="0"/>
      <w:marBottom w:val="0"/>
      <w:divBdr>
        <w:top w:val="none" w:sz="0" w:space="0" w:color="auto"/>
        <w:left w:val="none" w:sz="0" w:space="0" w:color="auto"/>
        <w:bottom w:val="none" w:sz="0" w:space="0" w:color="auto"/>
        <w:right w:val="none" w:sz="0" w:space="0" w:color="auto"/>
      </w:divBdr>
    </w:div>
    <w:div w:id="319047535">
      <w:bodyDiv w:val="1"/>
      <w:marLeft w:val="0"/>
      <w:marRight w:val="0"/>
      <w:marTop w:val="0"/>
      <w:marBottom w:val="0"/>
      <w:divBdr>
        <w:top w:val="none" w:sz="0" w:space="0" w:color="auto"/>
        <w:left w:val="none" w:sz="0" w:space="0" w:color="auto"/>
        <w:bottom w:val="none" w:sz="0" w:space="0" w:color="auto"/>
        <w:right w:val="none" w:sz="0" w:space="0" w:color="auto"/>
      </w:divBdr>
    </w:div>
    <w:div w:id="319113561">
      <w:bodyDiv w:val="1"/>
      <w:marLeft w:val="0"/>
      <w:marRight w:val="0"/>
      <w:marTop w:val="0"/>
      <w:marBottom w:val="0"/>
      <w:divBdr>
        <w:top w:val="none" w:sz="0" w:space="0" w:color="auto"/>
        <w:left w:val="none" w:sz="0" w:space="0" w:color="auto"/>
        <w:bottom w:val="none" w:sz="0" w:space="0" w:color="auto"/>
        <w:right w:val="none" w:sz="0" w:space="0" w:color="auto"/>
      </w:divBdr>
    </w:div>
    <w:div w:id="319163942">
      <w:bodyDiv w:val="1"/>
      <w:marLeft w:val="0"/>
      <w:marRight w:val="0"/>
      <w:marTop w:val="0"/>
      <w:marBottom w:val="0"/>
      <w:divBdr>
        <w:top w:val="none" w:sz="0" w:space="0" w:color="auto"/>
        <w:left w:val="none" w:sz="0" w:space="0" w:color="auto"/>
        <w:bottom w:val="none" w:sz="0" w:space="0" w:color="auto"/>
        <w:right w:val="none" w:sz="0" w:space="0" w:color="auto"/>
      </w:divBdr>
    </w:div>
    <w:div w:id="319193049">
      <w:bodyDiv w:val="1"/>
      <w:marLeft w:val="0"/>
      <w:marRight w:val="0"/>
      <w:marTop w:val="0"/>
      <w:marBottom w:val="0"/>
      <w:divBdr>
        <w:top w:val="none" w:sz="0" w:space="0" w:color="auto"/>
        <w:left w:val="none" w:sz="0" w:space="0" w:color="auto"/>
        <w:bottom w:val="none" w:sz="0" w:space="0" w:color="auto"/>
        <w:right w:val="none" w:sz="0" w:space="0" w:color="auto"/>
      </w:divBdr>
    </w:div>
    <w:div w:id="319306641">
      <w:bodyDiv w:val="1"/>
      <w:marLeft w:val="0"/>
      <w:marRight w:val="0"/>
      <w:marTop w:val="0"/>
      <w:marBottom w:val="0"/>
      <w:divBdr>
        <w:top w:val="none" w:sz="0" w:space="0" w:color="auto"/>
        <w:left w:val="none" w:sz="0" w:space="0" w:color="auto"/>
        <w:bottom w:val="none" w:sz="0" w:space="0" w:color="auto"/>
        <w:right w:val="none" w:sz="0" w:space="0" w:color="auto"/>
      </w:divBdr>
    </w:div>
    <w:div w:id="319388411">
      <w:bodyDiv w:val="1"/>
      <w:marLeft w:val="0"/>
      <w:marRight w:val="0"/>
      <w:marTop w:val="0"/>
      <w:marBottom w:val="0"/>
      <w:divBdr>
        <w:top w:val="none" w:sz="0" w:space="0" w:color="auto"/>
        <w:left w:val="none" w:sz="0" w:space="0" w:color="auto"/>
        <w:bottom w:val="none" w:sz="0" w:space="0" w:color="auto"/>
        <w:right w:val="none" w:sz="0" w:space="0" w:color="auto"/>
      </w:divBdr>
    </w:div>
    <w:div w:id="319500455">
      <w:bodyDiv w:val="1"/>
      <w:marLeft w:val="0"/>
      <w:marRight w:val="0"/>
      <w:marTop w:val="0"/>
      <w:marBottom w:val="0"/>
      <w:divBdr>
        <w:top w:val="none" w:sz="0" w:space="0" w:color="auto"/>
        <w:left w:val="none" w:sz="0" w:space="0" w:color="auto"/>
        <w:bottom w:val="none" w:sz="0" w:space="0" w:color="auto"/>
        <w:right w:val="none" w:sz="0" w:space="0" w:color="auto"/>
      </w:divBdr>
    </w:div>
    <w:div w:id="319508965">
      <w:bodyDiv w:val="1"/>
      <w:marLeft w:val="0"/>
      <w:marRight w:val="0"/>
      <w:marTop w:val="0"/>
      <w:marBottom w:val="0"/>
      <w:divBdr>
        <w:top w:val="none" w:sz="0" w:space="0" w:color="auto"/>
        <w:left w:val="none" w:sz="0" w:space="0" w:color="auto"/>
        <w:bottom w:val="none" w:sz="0" w:space="0" w:color="auto"/>
        <w:right w:val="none" w:sz="0" w:space="0" w:color="auto"/>
      </w:divBdr>
    </w:div>
    <w:div w:id="319576740">
      <w:bodyDiv w:val="1"/>
      <w:marLeft w:val="0"/>
      <w:marRight w:val="0"/>
      <w:marTop w:val="0"/>
      <w:marBottom w:val="0"/>
      <w:divBdr>
        <w:top w:val="none" w:sz="0" w:space="0" w:color="auto"/>
        <w:left w:val="none" w:sz="0" w:space="0" w:color="auto"/>
        <w:bottom w:val="none" w:sz="0" w:space="0" w:color="auto"/>
        <w:right w:val="none" w:sz="0" w:space="0" w:color="auto"/>
      </w:divBdr>
    </w:div>
    <w:div w:id="319584320">
      <w:bodyDiv w:val="1"/>
      <w:marLeft w:val="0"/>
      <w:marRight w:val="0"/>
      <w:marTop w:val="0"/>
      <w:marBottom w:val="0"/>
      <w:divBdr>
        <w:top w:val="none" w:sz="0" w:space="0" w:color="auto"/>
        <w:left w:val="none" w:sz="0" w:space="0" w:color="auto"/>
        <w:bottom w:val="none" w:sz="0" w:space="0" w:color="auto"/>
        <w:right w:val="none" w:sz="0" w:space="0" w:color="auto"/>
      </w:divBdr>
    </w:div>
    <w:div w:id="319626658">
      <w:bodyDiv w:val="1"/>
      <w:marLeft w:val="0"/>
      <w:marRight w:val="0"/>
      <w:marTop w:val="0"/>
      <w:marBottom w:val="0"/>
      <w:divBdr>
        <w:top w:val="none" w:sz="0" w:space="0" w:color="auto"/>
        <w:left w:val="none" w:sz="0" w:space="0" w:color="auto"/>
        <w:bottom w:val="none" w:sz="0" w:space="0" w:color="auto"/>
        <w:right w:val="none" w:sz="0" w:space="0" w:color="auto"/>
      </w:divBdr>
    </w:div>
    <w:div w:id="319650853">
      <w:bodyDiv w:val="1"/>
      <w:marLeft w:val="0"/>
      <w:marRight w:val="0"/>
      <w:marTop w:val="0"/>
      <w:marBottom w:val="0"/>
      <w:divBdr>
        <w:top w:val="none" w:sz="0" w:space="0" w:color="auto"/>
        <w:left w:val="none" w:sz="0" w:space="0" w:color="auto"/>
        <w:bottom w:val="none" w:sz="0" w:space="0" w:color="auto"/>
        <w:right w:val="none" w:sz="0" w:space="0" w:color="auto"/>
      </w:divBdr>
    </w:div>
    <w:div w:id="319699494">
      <w:bodyDiv w:val="1"/>
      <w:marLeft w:val="0"/>
      <w:marRight w:val="0"/>
      <w:marTop w:val="0"/>
      <w:marBottom w:val="0"/>
      <w:divBdr>
        <w:top w:val="none" w:sz="0" w:space="0" w:color="auto"/>
        <w:left w:val="none" w:sz="0" w:space="0" w:color="auto"/>
        <w:bottom w:val="none" w:sz="0" w:space="0" w:color="auto"/>
        <w:right w:val="none" w:sz="0" w:space="0" w:color="auto"/>
      </w:divBdr>
    </w:div>
    <w:div w:id="319700321">
      <w:bodyDiv w:val="1"/>
      <w:marLeft w:val="0"/>
      <w:marRight w:val="0"/>
      <w:marTop w:val="0"/>
      <w:marBottom w:val="0"/>
      <w:divBdr>
        <w:top w:val="none" w:sz="0" w:space="0" w:color="auto"/>
        <w:left w:val="none" w:sz="0" w:space="0" w:color="auto"/>
        <w:bottom w:val="none" w:sz="0" w:space="0" w:color="auto"/>
        <w:right w:val="none" w:sz="0" w:space="0" w:color="auto"/>
      </w:divBdr>
    </w:div>
    <w:div w:id="319817414">
      <w:bodyDiv w:val="1"/>
      <w:marLeft w:val="0"/>
      <w:marRight w:val="0"/>
      <w:marTop w:val="0"/>
      <w:marBottom w:val="0"/>
      <w:divBdr>
        <w:top w:val="none" w:sz="0" w:space="0" w:color="auto"/>
        <w:left w:val="none" w:sz="0" w:space="0" w:color="auto"/>
        <w:bottom w:val="none" w:sz="0" w:space="0" w:color="auto"/>
        <w:right w:val="none" w:sz="0" w:space="0" w:color="auto"/>
      </w:divBdr>
    </w:div>
    <w:div w:id="319819005">
      <w:bodyDiv w:val="1"/>
      <w:marLeft w:val="0"/>
      <w:marRight w:val="0"/>
      <w:marTop w:val="0"/>
      <w:marBottom w:val="0"/>
      <w:divBdr>
        <w:top w:val="none" w:sz="0" w:space="0" w:color="auto"/>
        <w:left w:val="none" w:sz="0" w:space="0" w:color="auto"/>
        <w:bottom w:val="none" w:sz="0" w:space="0" w:color="auto"/>
        <w:right w:val="none" w:sz="0" w:space="0" w:color="auto"/>
      </w:divBdr>
    </w:div>
    <w:div w:id="319886981">
      <w:bodyDiv w:val="1"/>
      <w:marLeft w:val="0"/>
      <w:marRight w:val="0"/>
      <w:marTop w:val="0"/>
      <w:marBottom w:val="0"/>
      <w:divBdr>
        <w:top w:val="none" w:sz="0" w:space="0" w:color="auto"/>
        <w:left w:val="none" w:sz="0" w:space="0" w:color="auto"/>
        <w:bottom w:val="none" w:sz="0" w:space="0" w:color="auto"/>
        <w:right w:val="none" w:sz="0" w:space="0" w:color="auto"/>
      </w:divBdr>
    </w:div>
    <w:div w:id="319887245">
      <w:bodyDiv w:val="1"/>
      <w:marLeft w:val="0"/>
      <w:marRight w:val="0"/>
      <w:marTop w:val="0"/>
      <w:marBottom w:val="0"/>
      <w:divBdr>
        <w:top w:val="none" w:sz="0" w:space="0" w:color="auto"/>
        <w:left w:val="none" w:sz="0" w:space="0" w:color="auto"/>
        <w:bottom w:val="none" w:sz="0" w:space="0" w:color="auto"/>
        <w:right w:val="none" w:sz="0" w:space="0" w:color="auto"/>
      </w:divBdr>
    </w:div>
    <w:div w:id="319891558">
      <w:bodyDiv w:val="1"/>
      <w:marLeft w:val="0"/>
      <w:marRight w:val="0"/>
      <w:marTop w:val="0"/>
      <w:marBottom w:val="0"/>
      <w:divBdr>
        <w:top w:val="none" w:sz="0" w:space="0" w:color="auto"/>
        <w:left w:val="none" w:sz="0" w:space="0" w:color="auto"/>
        <w:bottom w:val="none" w:sz="0" w:space="0" w:color="auto"/>
        <w:right w:val="none" w:sz="0" w:space="0" w:color="auto"/>
      </w:divBdr>
    </w:div>
    <w:div w:id="319963584">
      <w:bodyDiv w:val="1"/>
      <w:marLeft w:val="0"/>
      <w:marRight w:val="0"/>
      <w:marTop w:val="0"/>
      <w:marBottom w:val="0"/>
      <w:divBdr>
        <w:top w:val="none" w:sz="0" w:space="0" w:color="auto"/>
        <w:left w:val="none" w:sz="0" w:space="0" w:color="auto"/>
        <w:bottom w:val="none" w:sz="0" w:space="0" w:color="auto"/>
        <w:right w:val="none" w:sz="0" w:space="0" w:color="auto"/>
      </w:divBdr>
    </w:div>
    <w:div w:id="320038623">
      <w:bodyDiv w:val="1"/>
      <w:marLeft w:val="0"/>
      <w:marRight w:val="0"/>
      <w:marTop w:val="0"/>
      <w:marBottom w:val="0"/>
      <w:divBdr>
        <w:top w:val="none" w:sz="0" w:space="0" w:color="auto"/>
        <w:left w:val="none" w:sz="0" w:space="0" w:color="auto"/>
        <w:bottom w:val="none" w:sz="0" w:space="0" w:color="auto"/>
        <w:right w:val="none" w:sz="0" w:space="0" w:color="auto"/>
      </w:divBdr>
    </w:div>
    <w:div w:id="320043427">
      <w:bodyDiv w:val="1"/>
      <w:marLeft w:val="0"/>
      <w:marRight w:val="0"/>
      <w:marTop w:val="0"/>
      <w:marBottom w:val="0"/>
      <w:divBdr>
        <w:top w:val="none" w:sz="0" w:space="0" w:color="auto"/>
        <w:left w:val="none" w:sz="0" w:space="0" w:color="auto"/>
        <w:bottom w:val="none" w:sz="0" w:space="0" w:color="auto"/>
        <w:right w:val="none" w:sz="0" w:space="0" w:color="auto"/>
      </w:divBdr>
    </w:div>
    <w:div w:id="320079647">
      <w:bodyDiv w:val="1"/>
      <w:marLeft w:val="0"/>
      <w:marRight w:val="0"/>
      <w:marTop w:val="0"/>
      <w:marBottom w:val="0"/>
      <w:divBdr>
        <w:top w:val="none" w:sz="0" w:space="0" w:color="auto"/>
        <w:left w:val="none" w:sz="0" w:space="0" w:color="auto"/>
        <w:bottom w:val="none" w:sz="0" w:space="0" w:color="auto"/>
        <w:right w:val="none" w:sz="0" w:space="0" w:color="auto"/>
      </w:divBdr>
    </w:div>
    <w:div w:id="320081879">
      <w:bodyDiv w:val="1"/>
      <w:marLeft w:val="0"/>
      <w:marRight w:val="0"/>
      <w:marTop w:val="0"/>
      <w:marBottom w:val="0"/>
      <w:divBdr>
        <w:top w:val="none" w:sz="0" w:space="0" w:color="auto"/>
        <w:left w:val="none" w:sz="0" w:space="0" w:color="auto"/>
        <w:bottom w:val="none" w:sz="0" w:space="0" w:color="auto"/>
        <w:right w:val="none" w:sz="0" w:space="0" w:color="auto"/>
      </w:divBdr>
    </w:div>
    <w:div w:id="320157583">
      <w:bodyDiv w:val="1"/>
      <w:marLeft w:val="0"/>
      <w:marRight w:val="0"/>
      <w:marTop w:val="0"/>
      <w:marBottom w:val="0"/>
      <w:divBdr>
        <w:top w:val="none" w:sz="0" w:space="0" w:color="auto"/>
        <w:left w:val="none" w:sz="0" w:space="0" w:color="auto"/>
        <w:bottom w:val="none" w:sz="0" w:space="0" w:color="auto"/>
        <w:right w:val="none" w:sz="0" w:space="0" w:color="auto"/>
      </w:divBdr>
    </w:div>
    <w:div w:id="320231955">
      <w:bodyDiv w:val="1"/>
      <w:marLeft w:val="0"/>
      <w:marRight w:val="0"/>
      <w:marTop w:val="0"/>
      <w:marBottom w:val="0"/>
      <w:divBdr>
        <w:top w:val="none" w:sz="0" w:space="0" w:color="auto"/>
        <w:left w:val="none" w:sz="0" w:space="0" w:color="auto"/>
        <w:bottom w:val="none" w:sz="0" w:space="0" w:color="auto"/>
        <w:right w:val="none" w:sz="0" w:space="0" w:color="auto"/>
      </w:divBdr>
    </w:div>
    <w:div w:id="320232807">
      <w:bodyDiv w:val="1"/>
      <w:marLeft w:val="0"/>
      <w:marRight w:val="0"/>
      <w:marTop w:val="0"/>
      <w:marBottom w:val="0"/>
      <w:divBdr>
        <w:top w:val="none" w:sz="0" w:space="0" w:color="auto"/>
        <w:left w:val="none" w:sz="0" w:space="0" w:color="auto"/>
        <w:bottom w:val="none" w:sz="0" w:space="0" w:color="auto"/>
        <w:right w:val="none" w:sz="0" w:space="0" w:color="auto"/>
      </w:divBdr>
    </w:div>
    <w:div w:id="320233557">
      <w:bodyDiv w:val="1"/>
      <w:marLeft w:val="0"/>
      <w:marRight w:val="0"/>
      <w:marTop w:val="0"/>
      <w:marBottom w:val="0"/>
      <w:divBdr>
        <w:top w:val="none" w:sz="0" w:space="0" w:color="auto"/>
        <w:left w:val="none" w:sz="0" w:space="0" w:color="auto"/>
        <w:bottom w:val="none" w:sz="0" w:space="0" w:color="auto"/>
        <w:right w:val="none" w:sz="0" w:space="0" w:color="auto"/>
      </w:divBdr>
    </w:div>
    <w:div w:id="320236475">
      <w:bodyDiv w:val="1"/>
      <w:marLeft w:val="0"/>
      <w:marRight w:val="0"/>
      <w:marTop w:val="0"/>
      <w:marBottom w:val="0"/>
      <w:divBdr>
        <w:top w:val="none" w:sz="0" w:space="0" w:color="auto"/>
        <w:left w:val="none" w:sz="0" w:space="0" w:color="auto"/>
        <w:bottom w:val="none" w:sz="0" w:space="0" w:color="auto"/>
        <w:right w:val="none" w:sz="0" w:space="0" w:color="auto"/>
      </w:divBdr>
    </w:div>
    <w:div w:id="320357810">
      <w:bodyDiv w:val="1"/>
      <w:marLeft w:val="0"/>
      <w:marRight w:val="0"/>
      <w:marTop w:val="0"/>
      <w:marBottom w:val="0"/>
      <w:divBdr>
        <w:top w:val="none" w:sz="0" w:space="0" w:color="auto"/>
        <w:left w:val="none" w:sz="0" w:space="0" w:color="auto"/>
        <w:bottom w:val="none" w:sz="0" w:space="0" w:color="auto"/>
        <w:right w:val="none" w:sz="0" w:space="0" w:color="auto"/>
      </w:divBdr>
    </w:div>
    <w:div w:id="320357894">
      <w:bodyDiv w:val="1"/>
      <w:marLeft w:val="0"/>
      <w:marRight w:val="0"/>
      <w:marTop w:val="0"/>
      <w:marBottom w:val="0"/>
      <w:divBdr>
        <w:top w:val="none" w:sz="0" w:space="0" w:color="auto"/>
        <w:left w:val="none" w:sz="0" w:space="0" w:color="auto"/>
        <w:bottom w:val="none" w:sz="0" w:space="0" w:color="auto"/>
        <w:right w:val="none" w:sz="0" w:space="0" w:color="auto"/>
      </w:divBdr>
    </w:div>
    <w:div w:id="320425056">
      <w:bodyDiv w:val="1"/>
      <w:marLeft w:val="0"/>
      <w:marRight w:val="0"/>
      <w:marTop w:val="0"/>
      <w:marBottom w:val="0"/>
      <w:divBdr>
        <w:top w:val="none" w:sz="0" w:space="0" w:color="auto"/>
        <w:left w:val="none" w:sz="0" w:space="0" w:color="auto"/>
        <w:bottom w:val="none" w:sz="0" w:space="0" w:color="auto"/>
        <w:right w:val="none" w:sz="0" w:space="0" w:color="auto"/>
      </w:divBdr>
    </w:div>
    <w:div w:id="320431163">
      <w:bodyDiv w:val="1"/>
      <w:marLeft w:val="0"/>
      <w:marRight w:val="0"/>
      <w:marTop w:val="0"/>
      <w:marBottom w:val="0"/>
      <w:divBdr>
        <w:top w:val="none" w:sz="0" w:space="0" w:color="auto"/>
        <w:left w:val="none" w:sz="0" w:space="0" w:color="auto"/>
        <w:bottom w:val="none" w:sz="0" w:space="0" w:color="auto"/>
        <w:right w:val="none" w:sz="0" w:space="0" w:color="auto"/>
      </w:divBdr>
    </w:div>
    <w:div w:id="320473906">
      <w:bodyDiv w:val="1"/>
      <w:marLeft w:val="0"/>
      <w:marRight w:val="0"/>
      <w:marTop w:val="0"/>
      <w:marBottom w:val="0"/>
      <w:divBdr>
        <w:top w:val="none" w:sz="0" w:space="0" w:color="auto"/>
        <w:left w:val="none" w:sz="0" w:space="0" w:color="auto"/>
        <w:bottom w:val="none" w:sz="0" w:space="0" w:color="auto"/>
        <w:right w:val="none" w:sz="0" w:space="0" w:color="auto"/>
      </w:divBdr>
    </w:div>
    <w:div w:id="320546113">
      <w:bodyDiv w:val="1"/>
      <w:marLeft w:val="0"/>
      <w:marRight w:val="0"/>
      <w:marTop w:val="0"/>
      <w:marBottom w:val="0"/>
      <w:divBdr>
        <w:top w:val="none" w:sz="0" w:space="0" w:color="auto"/>
        <w:left w:val="none" w:sz="0" w:space="0" w:color="auto"/>
        <w:bottom w:val="none" w:sz="0" w:space="0" w:color="auto"/>
        <w:right w:val="none" w:sz="0" w:space="0" w:color="auto"/>
      </w:divBdr>
    </w:div>
    <w:div w:id="320547307">
      <w:bodyDiv w:val="1"/>
      <w:marLeft w:val="0"/>
      <w:marRight w:val="0"/>
      <w:marTop w:val="0"/>
      <w:marBottom w:val="0"/>
      <w:divBdr>
        <w:top w:val="none" w:sz="0" w:space="0" w:color="auto"/>
        <w:left w:val="none" w:sz="0" w:space="0" w:color="auto"/>
        <w:bottom w:val="none" w:sz="0" w:space="0" w:color="auto"/>
        <w:right w:val="none" w:sz="0" w:space="0" w:color="auto"/>
      </w:divBdr>
    </w:div>
    <w:div w:id="320550503">
      <w:bodyDiv w:val="1"/>
      <w:marLeft w:val="0"/>
      <w:marRight w:val="0"/>
      <w:marTop w:val="0"/>
      <w:marBottom w:val="0"/>
      <w:divBdr>
        <w:top w:val="none" w:sz="0" w:space="0" w:color="auto"/>
        <w:left w:val="none" w:sz="0" w:space="0" w:color="auto"/>
        <w:bottom w:val="none" w:sz="0" w:space="0" w:color="auto"/>
        <w:right w:val="none" w:sz="0" w:space="0" w:color="auto"/>
      </w:divBdr>
    </w:div>
    <w:div w:id="320619227">
      <w:bodyDiv w:val="1"/>
      <w:marLeft w:val="0"/>
      <w:marRight w:val="0"/>
      <w:marTop w:val="0"/>
      <w:marBottom w:val="0"/>
      <w:divBdr>
        <w:top w:val="none" w:sz="0" w:space="0" w:color="auto"/>
        <w:left w:val="none" w:sz="0" w:space="0" w:color="auto"/>
        <w:bottom w:val="none" w:sz="0" w:space="0" w:color="auto"/>
        <w:right w:val="none" w:sz="0" w:space="0" w:color="auto"/>
      </w:divBdr>
    </w:div>
    <w:div w:id="320695018">
      <w:bodyDiv w:val="1"/>
      <w:marLeft w:val="0"/>
      <w:marRight w:val="0"/>
      <w:marTop w:val="0"/>
      <w:marBottom w:val="0"/>
      <w:divBdr>
        <w:top w:val="none" w:sz="0" w:space="0" w:color="auto"/>
        <w:left w:val="none" w:sz="0" w:space="0" w:color="auto"/>
        <w:bottom w:val="none" w:sz="0" w:space="0" w:color="auto"/>
        <w:right w:val="none" w:sz="0" w:space="0" w:color="auto"/>
      </w:divBdr>
    </w:div>
    <w:div w:id="320739319">
      <w:bodyDiv w:val="1"/>
      <w:marLeft w:val="0"/>
      <w:marRight w:val="0"/>
      <w:marTop w:val="0"/>
      <w:marBottom w:val="0"/>
      <w:divBdr>
        <w:top w:val="none" w:sz="0" w:space="0" w:color="auto"/>
        <w:left w:val="none" w:sz="0" w:space="0" w:color="auto"/>
        <w:bottom w:val="none" w:sz="0" w:space="0" w:color="auto"/>
        <w:right w:val="none" w:sz="0" w:space="0" w:color="auto"/>
      </w:divBdr>
    </w:div>
    <w:div w:id="320741203">
      <w:bodyDiv w:val="1"/>
      <w:marLeft w:val="0"/>
      <w:marRight w:val="0"/>
      <w:marTop w:val="0"/>
      <w:marBottom w:val="0"/>
      <w:divBdr>
        <w:top w:val="none" w:sz="0" w:space="0" w:color="auto"/>
        <w:left w:val="none" w:sz="0" w:space="0" w:color="auto"/>
        <w:bottom w:val="none" w:sz="0" w:space="0" w:color="auto"/>
        <w:right w:val="none" w:sz="0" w:space="0" w:color="auto"/>
      </w:divBdr>
    </w:div>
    <w:div w:id="320744540">
      <w:bodyDiv w:val="1"/>
      <w:marLeft w:val="0"/>
      <w:marRight w:val="0"/>
      <w:marTop w:val="0"/>
      <w:marBottom w:val="0"/>
      <w:divBdr>
        <w:top w:val="none" w:sz="0" w:space="0" w:color="auto"/>
        <w:left w:val="none" w:sz="0" w:space="0" w:color="auto"/>
        <w:bottom w:val="none" w:sz="0" w:space="0" w:color="auto"/>
        <w:right w:val="none" w:sz="0" w:space="0" w:color="auto"/>
      </w:divBdr>
    </w:div>
    <w:div w:id="320814682">
      <w:bodyDiv w:val="1"/>
      <w:marLeft w:val="0"/>
      <w:marRight w:val="0"/>
      <w:marTop w:val="0"/>
      <w:marBottom w:val="0"/>
      <w:divBdr>
        <w:top w:val="none" w:sz="0" w:space="0" w:color="auto"/>
        <w:left w:val="none" w:sz="0" w:space="0" w:color="auto"/>
        <w:bottom w:val="none" w:sz="0" w:space="0" w:color="auto"/>
        <w:right w:val="none" w:sz="0" w:space="0" w:color="auto"/>
      </w:divBdr>
    </w:div>
    <w:div w:id="320817745">
      <w:bodyDiv w:val="1"/>
      <w:marLeft w:val="0"/>
      <w:marRight w:val="0"/>
      <w:marTop w:val="0"/>
      <w:marBottom w:val="0"/>
      <w:divBdr>
        <w:top w:val="none" w:sz="0" w:space="0" w:color="auto"/>
        <w:left w:val="none" w:sz="0" w:space="0" w:color="auto"/>
        <w:bottom w:val="none" w:sz="0" w:space="0" w:color="auto"/>
        <w:right w:val="none" w:sz="0" w:space="0" w:color="auto"/>
      </w:divBdr>
    </w:div>
    <w:div w:id="320890858">
      <w:bodyDiv w:val="1"/>
      <w:marLeft w:val="0"/>
      <w:marRight w:val="0"/>
      <w:marTop w:val="0"/>
      <w:marBottom w:val="0"/>
      <w:divBdr>
        <w:top w:val="none" w:sz="0" w:space="0" w:color="auto"/>
        <w:left w:val="none" w:sz="0" w:space="0" w:color="auto"/>
        <w:bottom w:val="none" w:sz="0" w:space="0" w:color="auto"/>
        <w:right w:val="none" w:sz="0" w:space="0" w:color="auto"/>
      </w:divBdr>
    </w:div>
    <w:div w:id="321012323">
      <w:bodyDiv w:val="1"/>
      <w:marLeft w:val="0"/>
      <w:marRight w:val="0"/>
      <w:marTop w:val="0"/>
      <w:marBottom w:val="0"/>
      <w:divBdr>
        <w:top w:val="none" w:sz="0" w:space="0" w:color="auto"/>
        <w:left w:val="none" w:sz="0" w:space="0" w:color="auto"/>
        <w:bottom w:val="none" w:sz="0" w:space="0" w:color="auto"/>
        <w:right w:val="none" w:sz="0" w:space="0" w:color="auto"/>
      </w:divBdr>
    </w:div>
    <w:div w:id="321082220">
      <w:bodyDiv w:val="1"/>
      <w:marLeft w:val="0"/>
      <w:marRight w:val="0"/>
      <w:marTop w:val="0"/>
      <w:marBottom w:val="0"/>
      <w:divBdr>
        <w:top w:val="none" w:sz="0" w:space="0" w:color="auto"/>
        <w:left w:val="none" w:sz="0" w:space="0" w:color="auto"/>
        <w:bottom w:val="none" w:sz="0" w:space="0" w:color="auto"/>
        <w:right w:val="none" w:sz="0" w:space="0" w:color="auto"/>
      </w:divBdr>
    </w:div>
    <w:div w:id="321155274">
      <w:bodyDiv w:val="1"/>
      <w:marLeft w:val="0"/>
      <w:marRight w:val="0"/>
      <w:marTop w:val="0"/>
      <w:marBottom w:val="0"/>
      <w:divBdr>
        <w:top w:val="none" w:sz="0" w:space="0" w:color="auto"/>
        <w:left w:val="none" w:sz="0" w:space="0" w:color="auto"/>
        <w:bottom w:val="none" w:sz="0" w:space="0" w:color="auto"/>
        <w:right w:val="none" w:sz="0" w:space="0" w:color="auto"/>
      </w:divBdr>
    </w:div>
    <w:div w:id="321205421">
      <w:bodyDiv w:val="1"/>
      <w:marLeft w:val="0"/>
      <w:marRight w:val="0"/>
      <w:marTop w:val="0"/>
      <w:marBottom w:val="0"/>
      <w:divBdr>
        <w:top w:val="none" w:sz="0" w:space="0" w:color="auto"/>
        <w:left w:val="none" w:sz="0" w:space="0" w:color="auto"/>
        <w:bottom w:val="none" w:sz="0" w:space="0" w:color="auto"/>
        <w:right w:val="none" w:sz="0" w:space="0" w:color="auto"/>
      </w:divBdr>
    </w:div>
    <w:div w:id="321205461">
      <w:bodyDiv w:val="1"/>
      <w:marLeft w:val="0"/>
      <w:marRight w:val="0"/>
      <w:marTop w:val="0"/>
      <w:marBottom w:val="0"/>
      <w:divBdr>
        <w:top w:val="none" w:sz="0" w:space="0" w:color="auto"/>
        <w:left w:val="none" w:sz="0" w:space="0" w:color="auto"/>
        <w:bottom w:val="none" w:sz="0" w:space="0" w:color="auto"/>
        <w:right w:val="none" w:sz="0" w:space="0" w:color="auto"/>
      </w:divBdr>
    </w:div>
    <w:div w:id="321591824">
      <w:bodyDiv w:val="1"/>
      <w:marLeft w:val="0"/>
      <w:marRight w:val="0"/>
      <w:marTop w:val="0"/>
      <w:marBottom w:val="0"/>
      <w:divBdr>
        <w:top w:val="none" w:sz="0" w:space="0" w:color="auto"/>
        <w:left w:val="none" w:sz="0" w:space="0" w:color="auto"/>
        <w:bottom w:val="none" w:sz="0" w:space="0" w:color="auto"/>
        <w:right w:val="none" w:sz="0" w:space="0" w:color="auto"/>
      </w:divBdr>
    </w:div>
    <w:div w:id="321660527">
      <w:bodyDiv w:val="1"/>
      <w:marLeft w:val="0"/>
      <w:marRight w:val="0"/>
      <w:marTop w:val="0"/>
      <w:marBottom w:val="0"/>
      <w:divBdr>
        <w:top w:val="none" w:sz="0" w:space="0" w:color="auto"/>
        <w:left w:val="none" w:sz="0" w:space="0" w:color="auto"/>
        <w:bottom w:val="none" w:sz="0" w:space="0" w:color="auto"/>
        <w:right w:val="none" w:sz="0" w:space="0" w:color="auto"/>
      </w:divBdr>
    </w:div>
    <w:div w:id="321663373">
      <w:bodyDiv w:val="1"/>
      <w:marLeft w:val="0"/>
      <w:marRight w:val="0"/>
      <w:marTop w:val="0"/>
      <w:marBottom w:val="0"/>
      <w:divBdr>
        <w:top w:val="none" w:sz="0" w:space="0" w:color="auto"/>
        <w:left w:val="none" w:sz="0" w:space="0" w:color="auto"/>
        <w:bottom w:val="none" w:sz="0" w:space="0" w:color="auto"/>
        <w:right w:val="none" w:sz="0" w:space="0" w:color="auto"/>
      </w:divBdr>
    </w:div>
    <w:div w:id="321811610">
      <w:bodyDiv w:val="1"/>
      <w:marLeft w:val="0"/>
      <w:marRight w:val="0"/>
      <w:marTop w:val="0"/>
      <w:marBottom w:val="0"/>
      <w:divBdr>
        <w:top w:val="none" w:sz="0" w:space="0" w:color="auto"/>
        <w:left w:val="none" w:sz="0" w:space="0" w:color="auto"/>
        <w:bottom w:val="none" w:sz="0" w:space="0" w:color="auto"/>
        <w:right w:val="none" w:sz="0" w:space="0" w:color="auto"/>
      </w:divBdr>
    </w:div>
    <w:div w:id="321854283">
      <w:bodyDiv w:val="1"/>
      <w:marLeft w:val="0"/>
      <w:marRight w:val="0"/>
      <w:marTop w:val="0"/>
      <w:marBottom w:val="0"/>
      <w:divBdr>
        <w:top w:val="none" w:sz="0" w:space="0" w:color="auto"/>
        <w:left w:val="none" w:sz="0" w:space="0" w:color="auto"/>
        <w:bottom w:val="none" w:sz="0" w:space="0" w:color="auto"/>
        <w:right w:val="none" w:sz="0" w:space="0" w:color="auto"/>
      </w:divBdr>
    </w:div>
    <w:div w:id="322010403">
      <w:bodyDiv w:val="1"/>
      <w:marLeft w:val="0"/>
      <w:marRight w:val="0"/>
      <w:marTop w:val="0"/>
      <w:marBottom w:val="0"/>
      <w:divBdr>
        <w:top w:val="none" w:sz="0" w:space="0" w:color="auto"/>
        <w:left w:val="none" w:sz="0" w:space="0" w:color="auto"/>
        <w:bottom w:val="none" w:sz="0" w:space="0" w:color="auto"/>
        <w:right w:val="none" w:sz="0" w:space="0" w:color="auto"/>
      </w:divBdr>
    </w:div>
    <w:div w:id="322048800">
      <w:bodyDiv w:val="1"/>
      <w:marLeft w:val="0"/>
      <w:marRight w:val="0"/>
      <w:marTop w:val="0"/>
      <w:marBottom w:val="0"/>
      <w:divBdr>
        <w:top w:val="none" w:sz="0" w:space="0" w:color="auto"/>
        <w:left w:val="none" w:sz="0" w:space="0" w:color="auto"/>
        <w:bottom w:val="none" w:sz="0" w:space="0" w:color="auto"/>
        <w:right w:val="none" w:sz="0" w:space="0" w:color="auto"/>
      </w:divBdr>
    </w:div>
    <w:div w:id="322053782">
      <w:bodyDiv w:val="1"/>
      <w:marLeft w:val="0"/>
      <w:marRight w:val="0"/>
      <w:marTop w:val="0"/>
      <w:marBottom w:val="0"/>
      <w:divBdr>
        <w:top w:val="none" w:sz="0" w:space="0" w:color="auto"/>
        <w:left w:val="none" w:sz="0" w:space="0" w:color="auto"/>
        <w:bottom w:val="none" w:sz="0" w:space="0" w:color="auto"/>
        <w:right w:val="none" w:sz="0" w:space="0" w:color="auto"/>
      </w:divBdr>
    </w:div>
    <w:div w:id="322123990">
      <w:bodyDiv w:val="1"/>
      <w:marLeft w:val="0"/>
      <w:marRight w:val="0"/>
      <w:marTop w:val="0"/>
      <w:marBottom w:val="0"/>
      <w:divBdr>
        <w:top w:val="none" w:sz="0" w:space="0" w:color="auto"/>
        <w:left w:val="none" w:sz="0" w:space="0" w:color="auto"/>
        <w:bottom w:val="none" w:sz="0" w:space="0" w:color="auto"/>
        <w:right w:val="none" w:sz="0" w:space="0" w:color="auto"/>
      </w:divBdr>
    </w:div>
    <w:div w:id="322243897">
      <w:bodyDiv w:val="1"/>
      <w:marLeft w:val="0"/>
      <w:marRight w:val="0"/>
      <w:marTop w:val="0"/>
      <w:marBottom w:val="0"/>
      <w:divBdr>
        <w:top w:val="none" w:sz="0" w:space="0" w:color="auto"/>
        <w:left w:val="none" w:sz="0" w:space="0" w:color="auto"/>
        <w:bottom w:val="none" w:sz="0" w:space="0" w:color="auto"/>
        <w:right w:val="none" w:sz="0" w:space="0" w:color="auto"/>
      </w:divBdr>
    </w:div>
    <w:div w:id="322314584">
      <w:bodyDiv w:val="1"/>
      <w:marLeft w:val="0"/>
      <w:marRight w:val="0"/>
      <w:marTop w:val="0"/>
      <w:marBottom w:val="0"/>
      <w:divBdr>
        <w:top w:val="none" w:sz="0" w:space="0" w:color="auto"/>
        <w:left w:val="none" w:sz="0" w:space="0" w:color="auto"/>
        <w:bottom w:val="none" w:sz="0" w:space="0" w:color="auto"/>
        <w:right w:val="none" w:sz="0" w:space="0" w:color="auto"/>
      </w:divBdr>
    </w:div>
    <w:div w:id="322321330">
      <w:bodyDiv w:val="1"/>
      <w:marLeft w:val="0"/>
      <w:marRight w:val="0"/>
      <w:marTop w:val="0"/>
      <w:marBottom w:val="0"/>
      <w:divBdr>
        <w:top w:val="none" w:sz="0" w:space="0" w:color="auto"/>
        <w:left w:val="none" w:sz="0" w:space="0" w:color="auto"/>
        <w:bottom w:val="none" w:sz="0" w:space="0" w:color="auto"/>
        <w:right w:val="none" w:sz="0" w:space="0" w:color="auto"/>
      </w:divBdr>
    </w:div>
    <w:div w:id="322398506">
      <w:bodyDiv w:val="1"/>
      <w:marLeft w:val="0"/>
      <w:marRight w:val="0"/>
      <w:marTop w:val="0"/>
      <w:marBottom w:val="0"/>
      <w:divBdr>
        <w:top w:val="none" w:sz="0" w:space="0" w:color="auto"/>
        <w:left w:val="none" w:sz="0" w:space="0" w:color="auto"/>
        <w:bottom w:val="none" w:sz="0" w:space="0" w:color="auto"/>
        <w:right w:val="none" w:sz="0" w:space="0" w:color="auto"/>
      </w:divBdr>
    </w:div>
    <w:div w:id="322510991">
      <w:bodyDiv w:val="1"/>
      <w:marLeft w:val="0"/>
      <w:marRight w:val="0"/>
      <w:marTop w:val="0"/>
      <w:marBottom w:val="0"/>
      <w:divBdr>
        <w:top w:val="none" w:sz="0" w:space="0" w:color="auto"/>
        <w:left w:val="none" w:sz="0" w:space="0" w:color="auto"/>
        <w:bottom w:val="none" w:sz="0" w:space="0" w:color="auto"/>
        <w:right w:val="none" w:sz="0" w:space="0" w:color="auto"/>
      </w:divBdr>
    </w:div>
    <w:div w:id="322590823">
      <w:bodyDiv w:val="1"/>
      <w:marLeft w:val="0"/>
      <w:marRight w:val="0"/>
      <w:marTop w:val="0"/>
      <w:marBottom w:val="0"/>
      <w:divBdr>
        <w:top w:val="none" w:sz="0" w:space="0" w:color="auto"/>
        <w:left w:val="none" w:sz="0" w:space="0" w:color="auto"/>
        <w:bottom w:val="none" w:sz="0" w:space="0" w:color="auto"/>
        <w:right w:val="none" w:sz="0" w:space="0" w:color="auto"/>
      </w:divBdr>
    </w:div>
    <w:div w:id="322634522">
      <w:bodyDiv w:val="1"/>
      <w:marLeft w:val="0"/>
      <w:marRight w:val="0"/>
      <w:marTop w:val="0"/>
      <w:marBottom w:val="0"/>
      <w:divBdr>
        <w:top w:val="none" w:sz="0" w:space="0" w:color="auto"/>
        <w:left w:val="none" w:sz="0" w:space="0" w:color="auto"/>
        <w:bottom w:val="none" w:sz="0" w:space="0" w:color="auto"/>
        <w:right w:val="none" w:sz="0" w:space="0" w:color="auto"/>
      </w:divBdr>
    </w:div>
    <w:div w:id="322664671">
      <w:bodyDiv w:val="1"/>
      <w:marLeft w:val="0"/>
      <w:marRight w:val="0"/>
      <w:marTop w:val="0"/>
      <w:marBottom w:val="0"/>
      <w:divBdr>
        <w:top w:val="none" w:sz="0" w:space="0" w:color="auto"/>
        <w:left w:val="none" w:sz="0" w:space="0" w:color="auto"/>
        <w:bottom w:val="none" w:sz="0" w:space="0" w:color="auto"/>
        <w:right w:val="none" w:sz="0" w:space="0" w:color="auto"/>
      </w:divBdr>
    </w:div>
    <w:div w:id="322709639">
      <w:bodyDiv w:val="1"/>
      <w:marLeft w:val="0"/>
      <w:marRight w:val="0"/>
      <w:marTop w:val="0"/>
      <w:marBottom w:val="0"/>
      <w:divBdr>
        <w:top w:val="none" w:sz="0" w:space="0" w:color="auto"/>
        <w:left w:val="none" w:sz="0" w:space="0" w:color="auto"/>
        <w:bottom w:val="none" w:sz="0" w:space="0" w:color="auto"/>
        <w:right w:val="none" w:sz="0" w:space="0" w:color="auto"/>
      </w:divBdr>
    </w:div>
    <w:div w:id="322857513">
      <w:bodyDiv w:val="1"/>
      <w:marLeft w:val="0"/>
      <w:marRight w:val="0"/>
      <w:marTop w:val="0"/>
      <w:marBottom w:val="0"/>
      <w:divBdr>
        <w:top w:val="none" w:sz="0" w:space="0" w:color="auto"/>
        <w:left w:val="none" w:sz="0" w:space="0" w:color="auto"/>
        <w:bottom w:val="none" w:sz="0" w:space="0" w:color="auto"/>
        <w:right w:val="none" w:sz="0" w:space="0" w:color="auto"/>
      </w:divBdr>
    </w:div>
    <w:div w:id="322901787">
      <w:bodyDiv w:val="1"/>
      <w:marLeft w:val="0"/>
      <w:marRight w:val="0"/>
      <w:marTop w:val="0"/>
      <w:marBottom w:val="0"/>
      <w:divBdr>
        <w:top w:val="none" w:sz="0" w:space="0" w:color="auto"/>
        <w:left w:val="none" w:sz="0" w:space="0" w:color="auto"/>
        <w:bottom w:val="none" w:sz="0" w:space="0" w:color="auto"/>
        <w:right w:val="none" w:sz="0" w:space="0" w:color="auto"/>
      </w:divBdr>
    </w:div>
    <w:div w:id="322970018">
      <w:bodyDiv w:val="1"/>
      <w:marLeft w:val="0"/>
      <w:marRight w:val="0"/>
      <w:marTop w:val="0"/>
      <w:marBottom w:val="0"/>
      <w:divBdr>
        <w:top w:val="none" w:sz="0" w:space="0" w:color="auto"/>
        <w:left w:val="none" w:sz="0" w:space="0" w:color="auto"/>
        <w:bottom w:val="none" w:sz="0" w:space="0" w:color="auto"/>
        <w:right w:val="none" w:sz="0" w:space="0" w:color="auto"/>
      </w:divBdr>
    </w:div>
    <w:div w:id="323164872">
      <w:bodyDiv w:val="1"/>
      <w:marLeft w:val="0"/>
      <w:marRight w:val="0"/>
      <w:marTop w:val="0"/>
      <w:marBottom w:val="0"/>
      <w:divBdr>
        <w:top w:val="none" w:sz="0" w:space="0" w:color="auto"/>
        <w:left w:val="none" w:sz="0" w:space="0" w:color="auto"/>
        <w:bottom w:val="none" w:sz="0" w:space="0" w:color="auto"/>
        <w:right w:val="none" w:sz="0" w:space="0" w:color="auto"/>
      </w:divBdr>
    </w:div>
    <w:div w:id="323359818">
      <w:bodyDiv w:val="1"/>
      <w:marLeft w:val="0"/>
      <w:marRight w:val="0"/>
      <w:marTop w:val="0"/>
      <w:marBottom w:val="0"/>
      <w:divBdr>
        <w:top w:val="none" w:sz="0" w:space="0" w:color="auto"/>
        <w:left w:val="none" w:sz="0" w:space="0" w:color="auto"/>
        <w:bottom w:val="none" w:sz="0" w:space="0" w:color="auto"/>
        <w:right w:val="none" w:sz="0" w:space="0" w:color="auto"/>
      </w:divBdr>
    </w:div>
    <w:div w:id="323365536">
      <w:bodyDiv w:val="1"/>
      <w:marLeft w:val="0"/>
      <w:marRight w:val="0"/>
      <w:marTop w:val="0"/>
      <w:marBottom w:val="0"/>
      <w:divBdr>
        <w:top w:val="none" w:sz="0" w:space="0" w:color="auto"/>
        <w:left w:val="none" w:sz="0" w:space="0" w:color="auto"/>
        <w:bottom w:val="none" w:sz="0" w:space="0" w:color="auto"/>
        <w:right w:val="none" w:sz="0" w:space="0" w:color="auto"/>
      </w:divBdr>
    </w:div>
    <w:div w:id="323433024">
      <w:bodyDiv w:val="1"/>
      <w:marLeft w:val="0"/>
      <w:marRight w:val="0"/>
      <w:marTop w:val="0"/>
      <w:marBottom w:val="0"/>
      <w:divBdr>
        <w:top w:val="none" w:sz="0" w:space="0" w:color="auto"/>
        <w:left w:val="none" w:sz="0" w:space="0" w:color="auto"/>
        <w:bottom w:val="none" w:sz="0" w:space="0" w:color="auto"/>
        <w:right w:val="none" w:sz="0" w:space="0" w:color="auto"/>
      </w:divBdr>
    </w:div>
    <w:div w:id="323441095">
      <w:bodyDiv w:val="1"/>
      <w:marLeft w:val="0"/>
      <w:marRight w:val="0"/>
      <w:marTop w:val="0"/>
      <w:marBottom w:val="0"/>
      <w:divBdr>
        <w:top w:val="none" w:sz="0" w:space="0" w:color="auto"/>
        <w:left w:val="none" w:sz="0" w:space="0" w:color="auto"/>
        <w:bottom w:val="none" w:sz="0" w:space="0" w:color="auto"/>
        <w:right w:val="none" w:sz="0" w:space="0" w:color="auto"/>
      </w:divBdr>
    </w:div>
    <w:div w:id="323507322">
      <w:bodyDiv w:val="1"/>
      <w:marLeft w:val="0"/>
      <w:marRight w:val="0"/>
      <w:marTop w:val="0"/>
      <w:marBottom w:val="0"/>
      <w:divBdr>
        <w:top w:val="none" w:sz="0" w:space="0" w:color="auto"/>
        <w:left w:val="none" w:sz="0" w:space="0" w:color="auto"/>
        <w:bottom w:val="none" w:sz="0" w:space="0" w:color="auto"/>
        <w:right w:val="none" w:sz="0" w:space="0" w:color="auto"/>
      </w:divBdr>
    </w:div>
    <w:div w:id="323509212">
      <w:bodyDiv w:val="1"/>
      <w:marLeft w:val="0"/>
      <w:marRight w:val="0"/>
      <w:marTop w:val="0"/>
      <w:marBottom w:val="0"/>
      <w:divBdr>
        <w:top w:val="none" w:sz="0" w:space="0" w:color="auto"/>
        <w:left w:val="none" w:sz="0" w:space="0" w:color="auto"/>
        <w:bottom w:val="none" w:sz="0" w:space="0" w:color="auto"/>
        <w:right w:val="none" w:sz="0" w:space="0" w:color="auto"/>
      </w:divBdr>
    </w:div>
    <w:div w:id="323510218">
      <w:bodyDiv w:val="1"/>
      <w:marLeft w:val="0"/>
      <w:marRight w:val="0"/>
      <w:marTop w:val="0"/>
      <w:marBottom w:val="0"/>
      <w:divBdr>
        <w:top w:val="none" w:sz="0" w:space="0" w:color="auto"/>
        <w:left w:val="none" w:sz="0" w:space="0" w:color="auto"/>
        <w:bottom w:val="none" w:sz="0" w:space="0" w:color="auto"/>
        <w:right w:val="none" w:sz="0" w:space="0" w:color="auto"/>
      </w:divBdr>
    </w:div>
    <w:div w:id="323551802">
      <w:bodyDiv w:val="1"/>
      <w:marLeft w:val="0"/>
      <w:marRight w:val="0"/>
      <w:marTop w:val="0"/>
      <w:marBottom w:val="0"/>
      <w:divBdr>
        <w:top w:val="none" w:sz="0" w:space="0" w:color="auto"/>
        <w:left w:val="none" w:sz="0" w:space="0" w:color="auto"/>
        <w:bottom w:val="none" w:sz="0" w:space="0" w:color="auto"/>
        <w:right w:val="none" w:sz="0" w:space="0" w:color="auto"/>
      </w:divBdr>
    </w:div>
    <w:div w:id="323552539">
      <w:bodyDiv w:val="1"/>
      <w:marLeft w:val="0"/>
      <w:marRight w:val="0"/>
      <w:marTop w:val="0"/>
      <w:marBottom w:val="0"/>
      <w:divBdr>
        <w:top w:val="none" w:sz="0" w:space="0" w:color="auto"/>
        <w:left w:val="none" w:sz="0" w:space="0" w:color="auto"/>
        <w:bottom w:val="none" w:sz="0" w:space="0" w:color="auto"/>
        <w:right w:val="none" w:sz="0" w:space="0" w:color="auto"/>
      </w:divBdr>
    </w:div>
    <w:div w:id="323557631">
      <w:bodyDiv w:val="1"/>
      <w:marLeft w:val="0"/>
      <w:marRight w:val="0"/>
      <w:marTop w:val="0"/>
      <w:marBottom w:val="0"/>
      <w:divBdr>
        <w:top w:val="none" w:sz="0" w:space="0" w:color="auto"/>
        <w:left w:val="none" w:sz="0" w:space="0" w:color="auto"/>
        <w:bottom w:val="none" w:sz="0" w:space="0" w:color="auto"/>
        <w:right w:val="none" w:sz="0" w:space="0" w:color="auto"/>
      </w:divBdr>
    </w:div>
    <w:div w:id="323896851">
      <w:bodyDiv w:val="1"/>
      <w:marLeft w:val="0"/>
      <w:marRight w:val="0"/>
      <w:marTop w:val="0"/>
      <w:marBottom w:val="0"/>
      <w:divBdr>
        <w:top w:val="none" w:sz="0" w:space="0" w:color="auto"/>
        <w:left w:val="none" w:sz="0" w:space="0" w:color="auto"/>
        <w:bottom w:val="none" w:sz="0" w:space="0" w:color="auto"/>
        <w:right w:val="none" w:sz="0" w:space="0" w:color="auto"/>
      </w:divBdr>
    </w:div>
    <w:div w:id="323897666">
      <w:bodyDiv w:val="1"/>
      <w:marLeft w:val="0"/>
      <w:marRight w:val="0"/>
      <w:marTop w:val="0"/>
      <w:marBottom w:val="0"/>
      <w:divBdr>
        <w:top w:val="none" w:sz="0" w:space="0" w:color="auto"/>
        <w:left w:val="none" w:sz="0" w:space="0" w:color="auto"/>
        <w:bottom w:val="none" w:sz="0" w:space="0" w:color="auto"/>
        <w:right w:val="none" w:sz="0" w:space="0" w:color="auto"/>
      </w:divBdr>
    </w:div>
    <w:div w:id="323898219">
      <w:bodyDiv w:val="1"/>
      <w:marLeft w:val="0"/>
      <w:marRight w:val="0"/>
      <w:marTop w:val="0"/>
      <w:marBottom w:val="0"/>
      <w:divBdr>
        <w:top w:val="none" w:sz="0" w:space="0" w:color="auto"/>
        <w:left w:val="none" w:sz="0" w:space="0" w:color="auto"/>
        <w:bottom w:val="none" w:sz="0" w:space="0" w:color="auto"/>
        <w:right w:val="none" w:sz="0" w:space="0" w:color="auto"/>
      </w:divBdr>
    </w:div>
    <w:div w:id="323902416">
      <w:bodyDiv w:val="1"/>
      <w:marLeft w:val="0"/>
      <w:marRight w:val="0"/>
      <w:marTop w:val="0"/>
      <w:marBottom w:val="0"/>
      <w:divBdr>
        <w:top w:val="none" w:sz="0" w:space="0" w:color="auto"/>
        <w:left w:val="none" w:sz="0" w:space="0" w:color="auto"/>
        <w:bottom w:val="none" w:sz="0" w:space="0" w:color="auto"/>
        <w:right w:val="none" w:sz="0" w:space="0" w:color="auto"/>
      </w:divBdr>
    </w:div>
    <w:div w:id="323973082">
      <w:bodyDiv w:val="1"/>
      <w:marLeft w:val="0"/>
      <w:marRight w:val="0"/>
      <w:marTop w:val="0"/>
      <w:marBottom w:val="0"/>
      <w:divBdr>
        <w:top w:val="none" w:sz="0" w:space="0" w:color="auto"/>
        <w:left w:val="none" w:sz="0" w:space="0" w:color="auto"/>
        <w:bottom w:val="none" w:sz="0" w:space="0" w:color="auto"/>
        <w:right w:val="none" w:sz="0" w:space="0" w:color="auto"/>
      </w:divBdr>
    </w:div>
    <w:div w:id="324017559">
      <w:bodyDiv w:val="1"/>
      <w:marLeft w:val="0"/>
      <w:marRight w:val="0"/>
      <w:marTop w:val="0"/>
      <w:marBottom w:val="0"/>
      <w:divBdr>
        <w:top w:val="none" w:sz="0" w:space="0" w:color="auto"/>
        <w:left w:val="none" w:sz="0" w:space="0" w:color="auto"/>
        <w:bottom w:val="none" w:sz="0" w:space="0" w:color="auto"/>
        <w:right w:val="none" w:sz="0" w:space="0" w:color="auto"/>
      </w:divBdr>
    </w:div>
    <w:div w:id="324163157">
      <w:bodyDiv w:val="1"/>
      <w:marLeft w:val="0"/>
      <w:marRight w:val="0"/>
      <w:marTop w:val="0"/>
      <w:marBottom w:val="0"/>
      <w:divBdr>
        <w:top w:val="none" w:sz="0" w:space="0" w:color="auto"/>
        <w:left w:val="none" w:sz="0" w:space="0" w:color="auto"/>
        <w:bottom w:val="none" w:sz="0" w:space="0" w:color="auto"/>
        <w:right w:val="none" w:sz="0" w:space="0" w:color="auto"/>
      </w:divBdr>
    </w:div>
    <w:div w:id="324209403">
      <w:bodyDiv w:val="1"/>
      <w:marLeft w:val="0"/>
      <w:marRight w:val="0"/>
      <w:marTop w:val="0"/>
      <w:marBottom w:val="0"/>
      <w:divBdr>
        <w:top w:val="none" w:sz="0" w:space="0" w:color="auto"/>
        <w:left w:val="none" w:sz="0" w:space="0" w:color="auto"/>
        <w:bottom w:val="none" w:sz="0" w:space="0" w:color="auto"/>
        <w:right w:val="none" w:sz="0" w:space="0" w:color="auto"/>
      </w:divBdr>
    </w:div>
    <w:div w:id="324209844">
      <w:bodyDiv w:val="1"/>
      <w:marLeft w:val="0"/>
      <w:marRight w:val="0"/>
      <w:marTop w:val="0"/>
      <w:marBottom w:val="0"/>
      <w:divBdr>
        <w:top w:val="none" w:sz="0" w:space="0" w:color="auto"/>
        <w:left w:val="none" w:sz="0" w:space="0" w:color="auto"/>
        <w:bottom w:val="none" w:sz="0" w:space="0" w:color="auto"/>
        <w:right w:val="none" w:sz="0" w:space="0" w:color="auto"/>
      </w:divBdr>
    </w:div>
    <w:div w:id="324284369">
      <w:bodyDiv w:val="1"/>
      <w:marLeft w:val="0"/>
      <w:marRight w:val="0"/>
      <w:marTop w:val="0"/>
      <w:marBottom w:val="0"/>
      <w:divBdr>
        <w:top w:val="none" w:sz="0" w:space="0" w:color="auto"/>
        <w:left w:val="none" w:sz="0" w:space="0" w:color="auto"/>
        <w:bottom w:val="none" w:sz="0" w:space="0" w:color="auto"/>
        <w:right w:val="none" w:sz="0" w:space="0" w:color="auto"/>
      </w:divBdr>
    </w:div>
    <w:div w:id="324357643">
      <w:bodyDiv w:val="1"/>
      <w:marLeft w:val="0"/>
      <w:marRight w:val="0"/>
      <w:marTop w:val="0"/>
      <w:marBottom w:val="0"/>
      <w:divBdr>
        <w:top w:val="none" w:sz="0" w:space="0" w:color="auto"/>
        <w:left w:val="none" w:sz="0" w:space="0" w:color="auto"/>
        <w:bottom w:val="none" w:sz="0" w:space="0" w:color="auto"/>
        <w:right w:val="none" w:sz="0" w:space="0" w:color="auto"/>
      </w:divBdr>
    </w:div>
    <w:div w:id="324359645">
      <w:bodyDiv w:val="1"/>
      <w:marLeft w:val="0"/>
      <w:marRight w:val="0"/>
      <w:marTop w:val="0"/>
      <w:marBottom w:val="0"/>
      <w:divBdr>
        <w:top w:val="none" w:sz="0" w:space="0" w:color="auto"/>
        <w:left w:val="none" w:sz="0" w:space="0" w:color="auto"/>
        <w:bottom w:val="none" w:sz="0" w:space="0" w:color="auto"/>
        <w:right w:val="none" w:sz="0" w:space="0" w:color="auto"/>
      </w:divBdr>
    </w:div>
    <w:div w:id="324363884">
      <w:bodyDiv w:val="1"/>
      <w:marLeft w:val="0"/>
      <w:marRight w:val="0"/>
      <w:marTop w:val="0"/>
      <w:marBottom w:val="0"/>
      <w:divBdr>
        <w:top w:val="none" w:sz="0" w:space="0" w:color="auto"/>
        <w:left w:val="none" w:sz="0" w:space="0" w:color="auto"/>
        <w:bottom w:val="none" w:sz="0" w:space="0" w:color="auto"/>
        <w:right w:val="none" w:sz="0" w:space="0" w:color="auto"/>
      </w:divBdr>
    </w:div>
    <w:div w:id="324405515">
      <w:bodyDiv w:val="1"/>
      <w:marLeft w:val="0"/>
      <w:marRight w:val="0"/>
      <w:marTop w:val="0"/>
      <w:marBottom w:val="0"/>
      <w:divBdr>
        <w:top w:val="none" w:sz="0" w:space="0" w:color="auto"/>
        <w:left w:val="none" w:sz="0" w:space="0" w:color="auto"/>
        <w:bottom w:val="none" w:sz="0" w:space="0" w:color="auto"/>
        <w:right w:val="none" w:sz="0" w:space="0" w:color="auto"/>
      </w:divBdr>
    </w:div>
    <w:div w:id="324548614">
      <w:bodyDiv w:val="1"/>
      <w:marLeft w:val="0"/>
      <w:marRight w:val="0"/>
      <w:marTop w:val="0"/>
      <w:marBottom w:val="0"/>
      <w:divBdr>
        <w:top w:val="none" w:sz="0" w:space="0" w:color="auto"/>
        <w:left w:val="none" w:sz="0" w:space="0" w:color="auto"/>
        <w:bottom w:val="none" w:sz="0" w:space="0" w:color="auto"/>
        <w:right w:val="none" w:sz="0" w:space="0" w:color="auto"/>
      </w:divBdr>
    </w:div>
    <w:div w:id="324548658">
      <w:bodyDiv w:val="1"/>
      <w:marLeft w:val="0"/>
      <w:marRight w:val="0"/>
      <w:marTop w:val="0"/>
      <w:marBottom w:val="0"/>
      <w:divBdr>
        <w:top w:val="none" w:sz="0" w:space="0" w:color="auto"/>
        <w:left w:val="none" w:sz="0" w:space="0" w:color="auto"/>
        <w:bottom w:val="none" w:sz="0" w:space="0" w:color="auto"/>
        <w:right w:val="none" w:sz="0" w:space="0" w:color="auto"/>
      </w:divBdr>
    </w:div>
    <w:div w:id="324550425">
      <w:bodyDiv w:val="1"/>
      <w:marLeft w:val="0"/>
      <w:marRight w:val="0"/>
      <w:marTop w:val="0"/>
      <w:marBottom w:val="0"/>
      <w:divBdr>
        <w:top w:val="none" w:sz="0" w:space="0" w:color="auto"/>
        <w:left w:val="none" w:sz="0" w:space="0" w:color="auto"/>
        <w:bottom w:val="none" w:sz="0" w:space="0" w:color="auto"/>
        <w:right w:val="none" w:sz="0" w:space="0" w:color="auto"/>
      </w:divBdr>
    </w:div>
    <w:div w:id="324555680">
      <w:bodyDiv w:val="1"/>
      <w:marLeft w:val="0"/>
      <w:marRight w:val="0"/>
      <w:marTop w:val="0"/>
      <w:marBottom w:val="0"/>
      <w:divBdr>
        <w:top w:val="none" w:sz="0" w:space="0" w:color="auto"/>
        <w:left w:val="none" w:sz="0" w:space="0" w:color="auto"/>
        <w:bottom w:val="none" w:sz="0" w:space="0" w:color="auto"/>
        <w:right w:val="none" w:sz="0" w:space="0" w:color="auto"/>
      </w:divBdr>
    </w:div>
    <w:div w:id="324555863">
      <w:bodyDiv w:val="1"/>
      <w:marLeft w:val="0"/>
      <w:marRight w:val="0"/>
      <w:marTop w:val="0"/>
      <w:marBottom w:val="0"/>
      <w:divBdr>
        <w:top w:val="none" w:sz="0" w:space="0" w:color="auto"/>
        <w:left w:val="none" w:sz="0" w:space="0" w:color="auto"/>
        <w:bottom w:val="none" w:sz="0" w:space="0" w:color="auto"/>
        <w:right w:val="none" w:sz="0" w:space="0" w:color="auto"/>
      </w:divBdr>
    </w:div>
    <w:div w:id="324745433">
      <w:bodyDiv w:val="1"/>
      <w:marLeft w:val="0"/>
      <w:marRight w:val="0"/>
      <w:marTop w:val="0"/>
      <w:marBottom w:val="0"/>
      <w:divBdr>
        <w:top w:val="none" w:sz="0" w:space="0" w:color="auto"/>
        <w:left w:val="none" w:sz="0" w:space="0" w:color="auto"/>
        <w:bottom w:val="none" w:sz="0" w:space="0" w:color="auto"/>
        <w:right w:val="none" w:sz="0" w:space="0" w:color="auto"/>
      </w:divBdr>
    </w:div>
    <w:div w:id="324940521">
      <w:bodyDiv w:val="1"/>
      <w:marLeft w:val="0"/>
      <w:marRight w:val="0"/>
      <w:marTop w:val="0"/>
      <w:marBottom w:val="0"/>
      <w:divBdr>
        <w:top w:val="none" w:sz="0" w:space="0" w:color="auto"/>
        <w:left w:val="none" w:sz="0" w:space="0" w:color="auto"/>
        <w:bottom w:val="none" w:sz="0" w:space="0" w:color="auto"/>
        <w:right w:val="none" w:sz="0" w:space="0" w:color="auto"/>
      </w:divBdr>
    </w:div>
    <w:div w:id="325133641">
      <w:bodyDiv w:val="1"/>
      <w:marLeft w:val="0"/>
      <w:marRight w:val="0"/>
      <w:marTop w:val="0"/>
      <w:marBottom w:val="0"/>
      <w:divBdr>
        <w:top w:val="none" w:sz="0" w:space="0" w:color="auto"/>
        <w:left w:val="none" w:sz="0" w:space="0" w:color="auto"/>
        <w:bottom w:val="none" w:sz="0" w:space="0" w:color="auto"/>
        <w:right w:val="none" w:sz="0" w:space="0" w:color="auto"/>
      </w:divBdr>
    </w:div>
    <w:div w:id="325211736">
      <w:bodyDiv w:val="1"/>
      <w:marLeft w:val="0"/>
      <w:marRight w:val="0"/>
      <w:marTop w:val="0"/>
      <w:marBottom w:val="0"/>
      <w:divBdr>
        <w:top w:val="none" w:sz="0" w:space="0" w:color="auto"/>
        <w:left w:val="none" w:sz="0" w:space="0" w:color="auto"/>
        <w:bottom w:val="none" w:sz="0" w:space="0" w:color="auto"/>
        <w:right w:val="none" w:sz="0" w:space="0" w:color="auto"/>
      </w:divBdr>
    </w:div>
    <w:div w:id="325783839">
      <w:bodyDiv w:val="1"/>
      <w:marLeft w:val="0"/>
      <w:marRight w:val="0"/>
      <w:marTop w:val="0"/>
      <w:marBottom w:val="0"/>
      <w:divBdr>
        <w:top w:val="none" w:sz="0" w:space="0" w:color="auto"/>
        <w:left w:val="none" w:sz="0" w:space="0" w:color="auto"/>
        <w:bottom w:val="none" w:sz="0" w:space="0" w:color="auto"/>
        <w:right w:val="none" w:sz="0" w:space="0" w:color="auto"/>
      </w:divBdr>
    </w:div>
    <w:div w:id="325867162">
      <w:bodyDiv w:val="1"/>
      <w:marLeft w:val="0"/>
      <w:marRight w:val="0"/>
      <w:marTop w:val="0"/>
      <w:marBottom w:val="0"/>
      <w:divBdr>
        <w:top w:val="none" w:sz="0" w:space="0" w:color="auto"/>
        <w:left w:val="none" w:sz="0" w:space="0" w:color="auto"/>
        <w:bottom w:val="none" w:sz="0" w:space="0" w:color="auto"/>
        <w:right w:val="none" w:sz="0" w:space="0" w:color="auto"/>
      </w:divBdr>
    </w:div>
    <w:div w:id="325941332">
      <w:bodyDiv w:val="1"/>
      <w:marLeft w:val="0"/>
      <w:marRight w:val="0"/>
      <w:marTop w:val="0"/>
      <w:marBottom w:val="0"/>
      <w:divBdr>
        <w:top w:val="none" w:sz="0" w:space="0" w:color="auto"/>
        <w:left w:val="none" w:sz="0" w:space="0" w:color="auto"/>
        <w:bottom w:val="none" w:sz="0" w:space="0" w:color="auto"/>
        <w:right w:val="none" w:sz="0" w:space="0" w:color="auto"/>
      </w:divBdr>
    </w:div>
    <w:div w:id="325983928">
      <w:bodyDiv w:val="1"/>
      <w:marLeft w:val="0"/>
      <w:marRight w:val="0"/>
      <w:marTop w:val="0"/>
      <w:marBottom w:val="0"/>
      <w:divBdr>
        <w:top w:val="none" w:sz="0" w:space="0" w:color="auto"/>
        <w:left w:val="none" w:sz="0" w:space="0" w:color="auto"/>
        <w:bottom w:val="none" w:sz="0" w:space="0" w:color="auto"/>
        <w:right w:val="none" w:sz="0" w:space="0" w:color="auto"/>
      </w:divBdr>
    </w:div>
    <w:div w:id="326176295">
      <w:bodyDiv w:val="1"/>
      <w:marLeft w:val="0"/>
      <w:marRight w:val="0"/>
      <w:marTop w:val="0"/>
      <w:marBottom w:val="0"/>
      <w:divBdr>
        <w:top w:val="none" w:sz="0" w:space="0" w:color="auto"/>
        <w:left w:val="none" w:sz="0" w:space="0" w:color="auto"/>
        <w:bottom w:val="none" w:sz="0" w:space="0" w:color="auto"/>
        <w:right w:val="none" w:sz="0" w:space="0" w:color="auto"/>
      </w:divBdr>
    </w:div>
    <w:div w:id="326177663">
      <w:bodyDiv w:val="1"/>
      <w:marLeft w:val="0"/>
      <w:marRight w:val="0"/>
      <w:marTop w:val="0"/>
      <w:marBottom w:val="0"/>
      <w:divBdr>
        <w:top w:val="none" w:sz="0" w:space="0" w:color="auto"/>
        <w:left w:val="none" w:sz="0" w:space="0" w:color="auto"/>
        <w:bottom w:val="none" w:sz="0" w:space="0" w:color="auto"/>
        <w:right w:val="none" w:sz="0" w:space="0" w:color="auto"/>
      </w:divBdr>
    </w:div>
    <w:div w:id="326592872">
      <w:bodyDiv w:val="1"/>
      <w:marLeft w:val="0"/>
      <w:marRight w:val="0"/>
      <w:marTop w:val="0"/>
      <w:marBottom w:val="0"/>
      <w:divBdr>
        <w:top w:val="none" w:sz="0" w:space="0" w:color="auto"/>
        <w:left w:val="none" w:sz="0" w:space="0" w:color="auto"/>
        <w:bottom w:val="none" w:sz="0" w:space="0" w:color="auto"/>
        <w:right w:val="none" w:sz="0" w:space="0" w:color="auto"/>
      </w:divBdr>
    </w:div>
    <w:div w:id="326635574">
      <w:bodyDiv w:val="1"/>
      <w:marLeft w:val="0"/>
      <w:marRight w:val="0"/>
      <w:marTop w:val="0"/>
      <w:marBottom w:val="0"/>
      <w:divBdr>
        <w:top w:val="none" w:sz="0" w:space="0" w:color="auto"/>
        <w:left w:val="none" w:sz="0" w:space="0" w:color="auto"/>
        <w:bottom w:val="none" w:sz="0" w:space="0" w:color="auto"/>
        <w:right w:val="none" w:sz="0" w:space="0" w:color="auto"/>
      </w:divBdr>
    </w:div>
    <w:div w:id="326717298">
      <w:bodyDiv w:val="1"/>
      <w:marLeft w:val="0"/>
      <w:marRight w:val="0"/>
      <w:marTop w:val="0"/>
      <w:marBottom w:val="0"/>
      <w:divBdr>
        <w:top w:val="none" w:sz="0" w:space="0" w:color="auto"/>
        <w:left w:val="none" w:sz="0" w:space="0" w:color="auto"/>
        <w:bottom w:val="none" w:sz="0" w:space="0" w:color="auto"/>
        <w:right w:val="none" w:sz="0" w:space="0" w:color="auto"/>
      </w:divBdr>
    </w:div>
    <w:div w:id="326788484">
      <w:bodyDiv w:val="1"/>
      <w:marLeft w:val="0"/>
      <w:marRight w:val="0"/>
      <w:marTop w:val="0"/>
      <w:marBottom w:val="0"/>
      <w:divBdr>
        <w:top w:val="none" w:sz="0" w:space="0" w:color="auto"/>
        <w:left w:val="none" w:sz="0" w:space="0" w:color="auto"/>
        <w:bottom w:val="none" w:sz="0" w:space="0" w:color="auto"/>
        <w:right w:val="none" w:sz="0" w:space="0" w:color="auto"/>
      </w:divBdr>
    </w:div>
    <w:div w:id="326909762">
      <w:bodyDiv w:val="1"/>
      <w:marLeft w:val="0"/>
      <w:marRight w:val="0"/>
      <w:marTop w:val="0"/>
      <w:marBottom w:val="0"/>
      <w:divBdr>
        <w:top w:val="none" w:sz="0" w:space="0" w:color="auto"/>
        <w:left w:val="none" w:sz="0" w:space="0" w:color="auto"/>
        <w:bottom w:val="none" w:sz="0" w:space="0" w:color="auto"/>
        <w:right w:val="none" w:sz="0" w:space="0" w:color="auto"/>
      </w:divBdr>
    </w:div>
    <w:div w:id="327174932">
      <w:bodyDiv w:val="1"/>
      <w:marLeft w:val="0"/>
      <w:marRight w:val="0"/>
      <w:marTop w:val="0"/>
      <w:marBottom w:val="0"/>
      <w:divBdr>
        <w:top w:val="none" w:sz="0" w:space="0" w:color="auto"/>
        <w:left w:val="none" w:sz="0" w:space="0" w:color="auto"/>
        <w:bottom w:val="none" w:sz="0" w:space="0" w:color="auto"/>
        <w:right w:val="none" w:sz="0" w:space="0" w:color="auto"/>
      </w:divBdr>
    </w:div>
    <w:div w:id="327445191">
      <w:bodyDiv w:val="1"/>
      <w:marLeft w:val="0"/>
      <w:marRight w:val="0"/>
      <w:marTop w:val="0"/>
      <w:marBottom w:val="0"/>
      <w:divBdr>
        <w:top w:val="none" w:sz="0" w:space="0" w:color="auto"/>
        <w:left w:val="none" w:sz="0" w:space="0" w:color="auto"/>
        <w:bottom w:val="none" w:sz="0" w:space="0" w:color="auto"/>
        <w:right w:val="none" w:sz="0" w:space="0" w:color="auto"/>
      </w:divBdr>
    </w:div>
    <w:div w:id="327560726">
      <w:bodyDiv w:val="1"/>
      <w:marLeft w:val="0"/>
      <w:marRight w:val="0"/>
      <w:marTop w:val="0"/>
      <w:marBottom w:val="0"/>
      <w:divBdr>
        <w:top w:val="none" w:sz="0" w:space="0" w:color="auto"/>
        <w:left w:val="none" w:sz="0" w:space="0" w:color="auto"/>
        <w:bottom w:val="none" w:sz="0" w:space="0" w:color="auto"/>
        <w:right w:val="none" w:sz="0" w:space="0" w:color="auto"/>
      </w:divBdr>
    </w:div>
    <w:div w:id="327562125">
      <w:bodyDiv w:val="1"/>
      <w:marLeft w:val="0"/>
      <w:marRight w:val="0"/>
      <w:marTop w:val="0"/>
      <w:marBottom w:val="0"/>
      <w:divBdr>
        <w:top w:val="none" w:sz="0" w:space="0" w:color="auto"/>
        <w:left w:val="none" w:sz="0" w:space="0" w:color="auto"/>
        <w:bottom w:val="none" w:sz="0" w:space="0" w:color="auto"/>
        <w:right w:val="none" w:sz="0" w:space="0" w:color="auto"/>
      </w:divBdr>
    </w:div>
    <w:div w:id="327636796">
      <w:bodyDiv w:val="1"/>
      <w:marLeft w:val="0"/>
      <w:marRight w:val="0"/>
      <w:marTop w:val="0"/>
      <w:marBottom w:val="0"/>
      <w:divBdr>
        <w:top w:val="none" w:sz="0" w:space="0" w:color="auto"/>
        <w:left w:val="none" w:sz="0" w:space="0" w:color="auto"/>
        <w:bottom w:val="none" w:sz="0" w:space="0" w:color="auto"/>
        <w:right w:val="none" w:sz="0" w:space="0" w:color="auto"/>
      </w:divBdr>
    </w:div>
    <w:div w:id="327707770">
      <w:bodyDiv w:val="1"/>
      <w:marLeft w:val="0"/>
      <w:marRight w:val="0"/>
      <w:marTop w:val="0"/>
      <w:marBottom w:val="0"/>
      <w:divBdr>
        <w:top w:val="none" w:sz="0" w:space="0" w:color="auto"/>
        <w:left w:val="none" w:sz="0" w:space="0" w:color="auto"/>
        <w:bottom w:val="none" w:sz="0" w:space="0" w:color="auto"/>
        <w:right w:val="none" w:sz="0" w:space="0" w:color="auto"/>
      </w:divBdr>
    </w:div>
    <w:div w:id="327708171">
      <w:bodyDiv w:val="1"/>
      <w:marLeft w:val="0"/>
      <w:marRight w:val="0"/>
      <w:marTop w:val="0"/>
      <w:marBottom w:val="0"/>
      <w:divBdr>
        <w:top w:val="none" w:sz="0" w:space="0" w:color="auto"/>
        <w:left w:val="none" w:sz="0" w:space="0" w:color="auto"/>
        <w:bottom w:val="none" w:sz="0" w:space="0" w:color="auto"/>
        <w:right w:val="none" w:sz="0" w:space="0" w:color="auto"/>
      </w:divBdr>
    </w:div>
    <w:div w:id="327949171">
      <w:bodyDiv w:val="1"/>
      <w:marLeft w:val="0"/>
      <w:marRight w:val="0"/>
      <w:marTop w:val="0"/>
      <w:marBottom w:val="0"/>
      <w:divBdr>
        <w:top w:val="none" w:sz="0" w:space="0" w:color="auto"/>
        <w:left w:val="none" w:sz="0" w:space="0" w:color="auto"/>
        <w:bottom w:val="none" w:sz="0" w:space="0" w:color="auto"/>
        <w:right w:val="none" w:sz="0" w:space="0" w:color="auto"/>
      </w:divBdr>
    </w:div>
    <w:div w:id="328021792">
      <w:bodyDiv w:val="1"/>
      <w:marLeft w:val="0"/>
      <w:marRight w:val="0"/>
      <w:marTop w:val="0"/>
      <w:marBottom w:val="0"/>
      <w:divBdr>
        <w:top w:val="none" w:sz="0" w:space="0" w:color="auto"/>
        <w:left w:val="none" w:sz="0" w:space="0" w:color="auto"/>
        <w:bottom w:val="none" w:sz="0" w:space="0" w:color="auto"/>
        <w:right w:val="none" w:sz="0" w:space="0" w:color="auto"/>
      </w:divBdr>
    </w:div>
    <w:div w:id="328335577">
      <w:bodyDiv w:val="1"/>
      <w:marLeft w:val="0"/>
      <w:marRight w:val="0"/>
      <w:marTop w:val="0"/>
      <w:marBottom w:val="0"/>
      <w:divBdr>
        <w:top w:val="none" w:sz="0" w:space="0" w:color="auto"/>
        <w:left w:val="none" w:sz="0" w:space="0" w:color="auto"/>
        <w:bottom w:val="none" w:sz="0" w:space="0" w:color="auto"/>
        <w:right w:val="none" w:sz="0" w:space="0" w:color="auto"/>
      </w:divBdr>
    </w:div>
    <w:div w:id="328366052">
      <w:bodyDiv w:val="1"/>
      <w:marLeft w:val="0"/>
      <w:marRight w:val="0"/>
      <w:marTop w:val="0"/>
      <w:marBottom w:val="0"/>
      <w:divBdr>
        <w:top w:val="none" w:sz="0" w:space="0" w:color="auto"/>
        <w:left w:val="none" w:sz="0" w:space="0" w:color="auto"/>
        <w:bottom w:val="none" w:sz="0" w:space="0" w:color="auto"/>
        <w:right w:val="none" w:sz="0" w:space="0" w:color="auto"/>
      </w:divBdr>
    </w:div>
    <w:div w:id="328413689">
      <w:bodyDiv w:val="1"/>
      <w:marLeft w:val="0"/>
      <w:marRight w:val="0"/>
      <w:marTop w:val="0"/>
      <w:marBottom w:val="0"/>
      <w:divBdr>
        <w:top w:val="none" w:sz="0" w:space="0" w:color="auto"/>
        <w:left w:val="none" w:sz="0" w:space="0" w:color="auto"/>
        <w:bottom w:val="none" w:sz="0" w:space="0" w:color="auto"/>
        <w:right w:val="none" w:sz="0" w:space="0" w:color="auto"/>
      </w:divBdr>
    </w:div>
    <w:div w:id="328561998">
      <w:bodyDiv w:val="1"/>
      <w:marLeft w:val="0"/>
      <w:marRight w:val="0"/>
      <w:marTop w:val="0"/>
      <w:marBottom w:val="0"/>
      <w:divBdr>
        <w:top w:val="none" w:sz="0" w:space="0" w:color="auto"/>
        <w:left w:val="none" w:sz="0" w:space="0" w:color="auto"/>
        <w:bottom w:val="none" w:sz="0" w:space="0" w:color="auto"/>
        <w:right w:val="none" w:sz="0" w:space="0" w:color="auto"/>
      </w:divBdr>
    </w:div>
    <w:div w:id="328752659">
      <w:bodyDiv w:val="1"/>
      <w:marLeft w:val="0"/>
      <w:marRight w:val="0"/>
      <w:marTop w:val="0"/>
      <w:marBottom w:val="0"/>
      <w:divBdr>
        <w:top w:val="none" w:sz="0" w:space="0" w:color="auto"/>
        <w:left w:val="none" w:sz="0" w:space="0" w:color="auto"/>
        <w:bottom w:val="none" w:sz="0" w:space="0" w:color="auto"/>
        <w:right w:val="none" w:sz="0" w:space="0" w:color="auto"/>
      </w:divBdr>
    </w:div>
    <w:div w:id="328826678">
      <w:bodyDiv w:val="1"/>
      <w:marLeft w:val="0"/>
      <w:marRight w:val="0"/>
      <w:marTop w:val="0"/>
      <w:marBottom w:val="0"/>
      <w:divBdr>
        <w:top w:val="none" w:sz="0" w:space="0" w:color="auto"/>
        <w:left w:val="none" w:sz="0" w:space="0" w:color="auto"/>
        <w:bottom w:val="none" w:sz="0" w:space="0" w:color="auto"/>
        <w:right w:val="none" w:sz="0" w:space="0" w:color="auto"/>
      </w:divBdr>
    </w:div>
    <w:div w:id="329135661">
      <w:bodyDiv w:val="1"/>
      <w:marLeft w:val="0"/>
      <w:marRight w:val="0"/>
      <w:marTop w:val="0"/>
      <w:marBottom w:val="0"/>
      <w:divBdr>
        <w:top w:val="none" w:sz="0" w:space="0" w:color="auto"/>
        <w:left w:val="none" w:sz="0" w:space="0" w:color="auto"/>
        <w:bottom w:val="none" w:sz="0" w:space="0" w:color="auto"/>
        <w:right w:val="none" w:sz="0" w:space="0" w:color="auto"/>
      </w:divBdr>
    </w:div>
    <w:div w:id="329215495">
      <w:bodyDiv w:val="1"/>
      <w:marLeft w:val="0"/>
      <w:marRight w:val="0"/>
      <w:marTop w:val="0"/>
      <w:marBottom w:val="0"/>
      <w:divBdr>
        <w:top w:val="none" w:sz="0" w:space="0" w:color="auto"/>
        <w:left w:val="none" w:sz="0" w:space="0" w:color="auto"/>
        <w:bottom w:val="none" w:sz="0" w:space="0" w:color="auto"/>
        <w:right w:val="none" w:sz="0" w:space="0" w:color="auto"/>
      </w:divBdr>
    </w:div>
    <w:div w:id="329216946">
      <w:bodyDiv w:val="1"/>
      <w:marLeft w:val="0"/>
      <w:marRight w:val="0"/>
      <w:marTop w:val="0"/>
      <w:marBottom w:val="0"/>
      <w:divBdr>
        <w:top w:val="none" w:sz="0" w:space="0" w:color="auto"/>
        <w:left w:val="none" w:sz="0" w:space="0" w:color="auto"/>
        <w:bottom w:val="none" w:sz="0" w:space="0" w:color="auto"/>
        <w:right w:val="none" w:sz="0" w:space="0" w:color="auto"/>
      </w:divBdr>
    </w:div>
    <w:div w:id="329260881">
      <w:bodyDiv w:val="1"/>
      <w:marLeft w:val="0"/>
      <w:marRight w:val="0"/>
      <w:marTop w:val="0"/>
      <w:marBottom w:val="0"/>
      <w:divBdr>
        <w:top w:val="none" w:sz="0" w:space="0" w:color="auto"/>
        <w:left w:val="none" w:sz="0" w:space="0" w:color="auto"/>
        <w:bottom w:val="none" w:sz="0" w:space="0" w:color="auto"/>
        <w:right w:val="none" w:sz="0" w:space="0" w:color="auto"/>
      </w:divBdr>
    </w:div>
    <w:div w:id="329333356">
      <w:bodyDiv w:val="1"/>
      <w:marLeft w:val="0"/>
      <w:marRight w:val="0"/>
      <w:marTop w:val="0"/>
      <w:marBottom w:val="0"/>
      <w:divBdr>
        <w:top w:val="none" w:sz="0" w:space="0" w:color="auto"/>
        <w:left w:val="none" w:sz="0" w:space="0" w:color="auto"/>
        <w:bottom w:val="none" w:sz="0" w:space="0" w:color="auto"/>
        <w:right w:val="none" w:sz="0" w:space="0" w:color="auto"/>
      </w:divBdr>
    </w:div>
    <w:div w:id="329479627">
      <w:bodyDiv w:val="1"/>
      <w:marLeft w:val="0"/>
      <w:marRight w:val="0"/>
      <w:marTop w:val="0"/>
      <w:marBottom w:val="0"/>
      <w:divBdr>
        <w:top w:val="none" w:sz="0" w:space="0" w:color="auto"/>
        <w:left w:val="none" w:sz="0" w:space="0" w:color="auto"/>
        <w:bottom w:val="none" w:sz="0" w:space="0" w:color="auto"/>
        <w:right w:val="none" w:sz="0" w:space="0" w:color="auto"/>
      </w:divBdr>
    </w:div>
    <w:div w:id="329528411">
      <w:bodyDiv w:val="1"/>
      <w:marLeft w:val="0"/>
      <w:marRight w:val="0"/>
      <w:marTop w:val="0"/>
      <w:marBottom w:val="0"/>
      <w:divBdr>
        <w:top w:val="none" w:sz="0" w:space="0" w:color="auto"/>
        <w:left w:val="none" w:sz="0" w:space="0" w:color="auto"/>
        <w:bottom w:val="none" w:sz="0" w:space="0" w:color="auto"/>
        <w:right w:val="none" w:sz="0" w:space="0" w:color="auto"/>
      </w:divBdr>
    </w:div>
    <w:div w:id="329675618">
      <w:bodyDiv w:val="1"/>
      <w:marLeft w:val="0"/>
      <w:marRight w:val="0"/>
      <w:marTop w:val="0"/>
      <w:marBottom w:val="0"/>
      <w:divBdr>
        <w:top w:val="none" w:sz="0" w:space="0" w:color="auto"/>
        <w:left w:val="none" w:sz="0" w:space="0" w:color="auto"/>
        <w:bottom w:val="none" w:sz="0" w:space="0" w:color="auto"/>
        <w:right w:val="none" w:sz="0" w:space="0" w:color="auto"/>
      </w:divBdr>
    </w:div>
    <w:div w:id="329716932">
      <w:bodyDiv w:val="1"/>
      <w:marLeft w:val="0"/>
      <w:marRight w:val="0"/>
      <w:marTop w:val="0"/>
      <w:marBottom w:val="0"/>
      <w:divBdr>
        <w:top w:val="none" w:sz="0" w:space="0" w:color="auto"/>
        <w:left w:val="none" w:sz="0" w:space="0" w:color="auto"/>
        <w:bottom w:val="none" w:sz="0" w:space="0" w:color="auto"/>
        <w:right w:val="none" w:sz="0" w:space="0" w:color="auto"/>
      </w:divBdr>
    </w:div>
    <w:div w:id="329866485">
      <w:bodyDiv w:val="1"/>
      <w:marLeft w:val="0"/>
      <w:marRight w:val="0"/>
      <w:marTop w:val="0"/>
      <w:marBottom w:val="0"/>
      <w:divBdr>
        <w:top w:val="none" w:sz="0" w:space="0" w:color="auto"/>
        <w:left w:val="none" w:sz="0" w:space="0" w:color="auto"/>
        <w:bottom w:val="none" w:sz="0" w:space="0" w:color="auto"/>
        <w:right w:val="none" w:sz="0" w:space="0" w:color="auto"/>
      </w:divBdr>
    </w:div>
    <w:div w:id="329868014">
      <w:bodyDiv w:val="1"/>
      <w:marLeft w:val="0"/>
      <w:marRight w:val="0"/>
      <w:marTop w:val="0"/>
      <w:marBottom w:val="0"/>
      <w:divBdr>
        <w:top w:val="none" w:sz="0" w:space="0" w:color="auto"/>
        <w:left w:val="none" w:sz="0" w:space="0" w:color="auto"/>
        <w:bottom w:val="none" w:sz="0" w:space="0" w:color="auto"/>
        <w:right w:val="none" w:sz="0" w:space="0" w:color="auto"/>
      </w:divBdr>
    </w:div>
    <w:div w:id="329869964">
      <w:bodyDiv w:val="1"/>
      <w:marLeft w:val="0"/>
      <w:marRight w:val="0"/>
      <w:marTop w:val="0"/>
      <w:marBottom w:val="0"/>
      <w:divBdr>
        <w:top w:val="none" w:sz="0" w:space="0" w:color="auto"/>
        <w:left w:val="none" w:sz="0" w:space="0" w:color="auto"/>
        <w:bottom w:val="none" w:sz="0" w:space="0" w:color="auto"/>
        <w:right w:val="none" w:sz="0" w:space="0" w:color="auto"/>
      </w:divBdr>
    </w:div>
    <w:div w:id="329985902">
      <w:bodyDiv w:val="1"/>
      <w:marLeft w:val="0"/>
      <w:marRight w:val="0"/>
      <w:marTop w:val="0"/>
      <w:marBottom w:val="0"/>
      <w:divBdr>
        <w:top w:val="none" w:sz="0" w:space="0" w:color="auto"/>
        <w:left w:val="none" w:sz="0" w:space="0" w:color="auto"/>
        <w:bottom w:val="none" w:sz="0" w:space="0" w:color="auto"/>
        <w:right w:val="none" w:sz="0" w:space="0" w:color="auto"/>
      </w:divBdr>
    </w:div>
    <w:div w:id="329991712">
      <w:bodyDiv w:val="1"/>
      <w:marLeft w:val="0"/>
      <w:marRight w:val="0"/>
      <w:marTop w:val="0"/>
      <w:marBottom w:val="0"/>
      <w:divBdr>
        <w:top w:val="none" w:sz="0" w:space="0" w:color="auto"/>
        <w:left w:val="none" w:sz="0" w:space="0" w:color="auto"/>
        <w:bottom w:val="none" w:sz="0" w:space="0" w:color="auto"/>
        <w:right w:val="none" w:sz="0" w:space="0" w:color="auto"/>
      </w:divBdr>
    </w:div>
    <w:div w:id="329993154">
      <w:bodyDiv w:val="1"/>
      <w:marLeft w:val="0"/>
      <w:marRight w:val="0"/>
      <w:marTop w:val="0"/>
      <w:marBottom w:val="0"/>
      <w:divBdr>
        <w:top w:val="none" w:sz="0" w:space="0" w:color="auto"/>
        <w:left w:val="none" w:sz="0" w:space="0" w:color="auto"/>
        <w:bottom w:val="none" w:sz="0" w:space="0" w:color="auto"/>
        <w:right w:val="none" w:sz="0" w:space="0" w:color="auto"/>
      </w:divBdr>
    </w:div>
    <w:div w:id="330060409">
      <w:bodyDiv w:val="1"/>
      <w:marLeft w:val="0"/>
      <w:marRight w:val="0"/>
      <w:marTop w:val="0"/>
      <w:marBottom w:val="0"/>
      <w:divBdr>
        <w:top w:val="none" w:sz="0" w:space="0" w:color="auto"/>
        <w:left w:val="none" w:sz="0" w:space="0" w:color="auto"/>
        <w:bottom w:val="none" w:sz="0" w:space="0" w:color="auto"/>
        <w:right w:val="none" w:sz="0" w:space="0" w:color="auto"/>
      </w:divBdr>
    </w:div>
    <w:div w:id="330135936">
      <w:bodyDiv w:val="1"/>
      <w:marLeft w:val="0"/>
      <w:marRight w:val="0"/>
      <w:marTop w:val="0"/>
      <w:marBottom w:val="0"/>
      <w:divBdr>
        <w:top w:val="none" w:sz="0" w:space="0" w:color="auto"/>
        <w:left w:val="none" w:sz="0" w:space="0" w:color="auto"/>
        <w:bottom w:val="none" w:sz="0" w:space="0" w:color="auto"/>
        <w:right w:val="none" w:sz="0" w:space="0" w:color="auto"/>
      </w:divBdr>
    </w:div>
    <w:div w:id="330253746">
      <w:bodyDiv w:val="1"/>
      <w:marLeft w:val="0"/>
      <w:marRight w:val="0"/>
      <w:marTop w:val="0"/>
      <w:marBottom w:val="0"/>
      <w:divBdr>
        <w:top w:val="none" w:sz="0" w:space="0" w:color="auto"/>
        <w:left w:val="none" w:sz="0" w:space="0" w:color="auto"/>
        <w:bottom w:val="none" w:sz="0" w:space="0" w:color="auto"/>
        <w:right w:val="none" w:sz="0" w:space="0" w:color="auto"/>
      </w:divBdr>
    </w:div>
    <w:div w:id="330260844">
      <w:bodyDiv w:val="1"/>
      <w:marLeft w:val="0"/>
      <w:marRight w:val="0"/>
      <w:marTop w:val="0"/>
      <w:marBottom w:val="0"/>
      <w:divBdr>
        <w:top w:val="none" w:sz="0" w:space="0" w:color="auto"/>
        <w:left w:val="none" w:sz="0" w:space="0" w:color="auto"/>
        <w:bottom w:val="none" w:sz="0" w:space="0" w:color="auto"/>
        <w:right w:val="none" w:sz="0" w:space="0" w:color="auto"/>
      </w:divBdr>
    </w:div>
    <w:div w:id="330261918">
      <w:bodyDiv w:val="1"/>
      <w:marLeft w:val="0"/>
      <w:marRight w:val="0"/>
      <w:marTop w:val="0"/>
      <w:marBottom w:val="0"/>
      <w:divBdr>
        <w:top w:val="none" w:sz="0" w:space="0" w:color="auto"/>
        <w:left w:val="none" w:sz="0" w:space="0" w:color="auto"/>
        <w:bottom w:val="none" w:sz="0" w:space="0" w:color="auto"/>
        <w:right w:val="none" w:sz="0" w:space="0" w:color="auto"/>
      </w:divBdr>
    </w:div>
    <w:div w:id="330454511">
      <w:bodyDiv w:val="1"/>
      <w:marLeft w:val="0"/>
      <w:marRight w:val="0"/>
      <w:marTop w:val="0"/>
      <w:marBottom w:val="0"/>
      <w:divBdr>
        <w:top w:val="none" w:sz="0" w:space="0" w:color="auto"/>
        <w:left w:val="none" w:sz="0" w:space="0" w:color="auto"/>
        <w:bottom w:val="none" w:sz="0" w:space="0" w:color="auto"/>
        <w:right w:val="none" w:sz="0" w:space="0" w:color="auto"/>
      </w:divBdr>
    </w:div>
    <w:div w:id="330570825">
      <w:bodyDiv w:val="1"/>
      <w:marLeft w:val="0"/>
      <w:marRight w:val="0"/>
      <w:marTop w:val="0"/>
      <w:marBottom w:val="0"/>
      <w:divBdr>
        <w:top w:val="none" w:sz="0" w:space="0" w:color="auto"/>
        <w:left w:val="none" w:sz="0" w:space="0" w:color="auto"/>
        <w:bottom w:val="none" w:sz="0" w:space="0" w:color="auto"/>
        <w:right w:val="none" w:sz="0" w:space="0" w:color="auto"/>
      </w:divBdr>
    </w:div>
    <w:div w:id="330641858">
      <w:bodyDiv w:val="1"/>
      <w:marLeft w:val="0"/>
      <w:marRight w:val="0"/>
      <w:marTop w:val="0"/>
      <w:marBottom w:val="0"/>
      <w:divBdr>
        <w:top w:val="none" w:sz="0" w:space="0" w:color="auto"/>
        <w:left w:val="none" w:sz="0" w:space="0" w:color="auto"/>
        <w:bottom w:val="none" w:sz="0" w:space="0" w:color="auto"/>
        <w:right w:val="none" w:sz="0" w:space="0" w:color="auto"/>
      </w:divBdr>
    </w:div>
    <w:div w:id="330642936">
      <w:bodyDiv w:val="1"/>
      <w:marLeft w:val="0"/>
      <w:marRight w:val="0"/>
      <w:marTop w:val="0"/>
      <w:marBottom w:val="0"/>
      <w:divBdr>
        <w:top w:val="none" w:sz="0" w:space="0" w:color="auto"/>
        <w:left w:val="none" w:sz="0" w:space="0" w:color="auto"/>
        <w:bottom w:val="none" w:sz="0" w:space="0" w:color="auto"/>
        <w:right w:val="none" w:sz="0" w:space="0" w:color="auto"/>
      </w:divBdr>
    </w:div>
    <w:div w:id="330910965">
      <w:bodyDiv w:val="1"/>
      <w:marLeft w:val="0"/>
      <w:marRight w:val="0"/>
      <w:marTop w:val="0"/>
      <w:marBottom w:val="0"/>
      <w:divBdr>
        <w:top w:val="none" w:sz="0" w:space="0" w:color="auto"/>
        <w:left w:val="none" w:sz="0" w:space="0" w:color="auto"/>
        <w:bottom w:val="none" w:sz="0" w:space="0" w:color="auto"/>
        <w:right w:val="none" w:sz="0" w:space="0" w:color="auto"/>
      </w:divBdr>
    </w:div>
    <w:div w:id="330917653">
      <w:bodyDiv w:val="1"/>
      <w:marLeft w:val="0"/>
      <w:marRight w:val="0"/>
      <w:marTop w:val="0"/>
      <w:marBottom w:val="0"/>
      <w:divBdr>
        <w:top w:val="none" w:sz="0" w:space="0" w:color="auto"/>
        <w:left w:val="none" w:sz="0" w:space="0" w:color="auto"/>
        <w:bottom w:val="none" w:sz="0" w:space="0" w:color="auto"/>
        <w:right w:val="none" w:sz="0" w:space="0" w:color="auto"/>
      </w:divBdr>
    </w:div>
    <w:div w:id="330917719">
      <w:bodyDiv w:val="1"/>
      <w:marLeft w:val="0"/>
      <w:marRight w:val="0"/>
      <w:marTop w:val="0"/>
      <w:marBottom w:val="0"/>
      <w:divBdr>
        <w:top w:val="none" w:sz="0" w:space="0" w:color="auto"/>
        <w:left w:val="none" w:sz="0" w:space="0" w:color="auto"/>
        <w:bottom w:val="none" w:sz="0" w:space="0" w:color="auto"/>
        <w:right w:val="none" w:sz="0" w:space="0" w:color="auto"/>
      </w:divBdr>
    </w:div>
    <w:div w:id="330985623">
      <w:bodyDiv w:val="1"/>
      <w:marLeft w:val="0"/>
      <w:marRight w:val="0"/>
      <w:marTop w:val="0"/>
      <w:marBottom w:val="0"/>
      <w:divBdr>
        <w:top w:val="none" w:sz="0" w:space="0" w:color="auto"/>
        <w:left w:val="none" w:sz="0" w:space="0" w:color="auto"/>
        <w:bottom w:val="none" w:sz="0" w:space="0" w:color="auto"/>
        <w:right w:val="none" w:sz="0" w:space="0" w:color="auto"/>
      </w:divBdr>
    </w:div>
    <w:div w:id="331035594">
      <w:bodyDiv w:val="1"/>
      <w:marLeft w:val="0"/>
      <w:marRight w:val="0"/>
      <w:marTop w:val="0"/>
      <w:marBottom w:val="0"/>
      <w:divBdr>
        <w:top w:val="none" w:sz="0" w:space="0" w:color="auto"/>
        <w:left w:val="none" w:sz="0" w:space="0" w:color="auto"/>
        <w:bottom w:val="none" w:sz="0" w:space="0" w:color="auto"/>
        <w:right w:val="none" w:sz="0" w:space="0" w:color="auto"/>
      </w:divBdr>
    </w:div>
    <w:div w:id="331225100">
      <w:bodyDiv w:val="1"/>
      <w:marLeft w:val="0"/>
      <w:marRight w:val="0"/>
      <w:marTop w:val="0"/>
      <w:marBottom w:val="0"/>
      <w:divBdr>
        <w:top w:val="none" w:sz="0" w:space="0" w:color="auto"/>
        <w:left w:val="none" w:sz="0" w:space="0" w:color="auto"/>
        <w:bottom w:val="none" w:sz="0" w:space="0" w:color="auto"/>
        <w:right w:val="none" w:sz="0" w:space="0" w:color="auto"/>
      </w:divBdr>
    </w:div>
    <w:div w:id="331226671">
      <w:bodyDiv w:val="1"/>
      <w:marLeft w:val="0"/>
      <w:marRight w:val="0"/>
      <w:marTop w:val="0"/>
      <w:marBottom w:val="0"/>
      <w:divBdr>
        <w:top w:val="none" w:sz="0" w:space="0" w:color="auto"/>
        <w:left w:val="none" w:sz="0" w:space="0" w:color="auto"/>
        <w:bottom w:val="none" w:sz="0" w:space="0" w:color="auto"/>
        <w:right w:val="none" w:sz="0" w:space="0" w:color="auto"/>
      </w:divBdr>
    </w:div>
    <w:div w:id="331294596">
      <w:bodyDiv w:val="1"/>
      <w:marLeft w:val="0"/>
      <w:marRight w:val="0"/>
      <w:marTop w:val="0"/>
      <w:marBottom w:val="0"/>
      <w:divBdr>
        <w:top w:val="none" w:sz="0" w:space="0" w:color="auto"/>
        <w:left w:val="none" w:sz="0" w:space="0" w:color="auto"/>
        <w:bottom w:val="none" w:sz="0" w:space="0" w:color="auto"/>
        <w:right w:val="none" w:sz="0" w:space="0" w:color="auto"/>
      </w:divBdr>
    </w:div>
    <w:div w:id="331299001">
      <w:bodyDiv w:val="1"/>
      <w:marLeft w:val="0"/>
      <w:marRight w:val="0"/>
      <w:marTop w:val="0"/>
      <w:marBottom w:val="0"/>
      <w:divBdr>
        <w:top w:val="none" w:sz="0" w:space="0" w:color="auto"/>
        <w:left w:val="none" w:sz="0" w:space="0" w:color="auto"/>
        <w:bottom w:val="none" w:sz="0" w:space="0" w:color="auto"/>
        <w:right w:val="none" w:sz="0" w:space="0" w:color="auto"/>
      </w:divBdr>
    </w:div>
    <w:div w:id="331372069">
      <w:bodyDiv w:val="1"/>
      <w:marLeft w:val="0"/>
      <w:marRight w:val="0"/>
      <w:marTop w:val="0"/>
      <w:marBottom w:val="0"/>
      <w:divBdr>
        <w:top w:val="none" w:sz="0" w:space="0" w:color="auto"/>
        <w:left w:val="none" w:sz="0" w:space="0" w:color="auto"/>
        <w:bottom w:val="none" w:sz="0" w:space="0" w:color="auto"/>
        <w:right w:val="none" w:sz="0" w:space="0" w:color="auto"/>
      </w:divBdr>
    </w:div>
    <w:div w:id="331372701">
      <w:bodyDiv w:val="1"/>
      <w:marLeft w:val="0"/>
      <w:marRight w:val="0"/>
      <w:marTop w:val="0"/>
      <w:marBottom w:val="0"/>
      <w:divBdr>
        <w:top w:val="none" w:sz="0" w:space="0" w:color="auto"/>
        <w:left w:val="none" w:sz="0" w:space="0" w:color="auto"/>
        <w:bottom w:val="none" w:sz="0" w:space="0" w:color="auto"/>
        <w:right w:val="none" w:sz="0" w:space="0" w:color="auto"/>
      </w:divBdr>
    </w:div>
    <w:div w:id="331445661">
      <w:bodyDiv w:val="1"/>
      <w:marLeft w:val="0"/>
      <w:marRight w:val="0"/>
      <w:marTop w:val="0"/>
      <w:marBottom w:val="0"/>
      <w:divBdr>
        <w:top w:val="none" w:sz="0" w:space="0" w:color="auto"/>
        <w:left w:val="none" w:sz="0" w:space="0" w:color="auto"/>
        <w:bottom w:val="none" w:sz="0" w:space="0" w:color="auto"/>
        <w:right w:val="none" w:sz="0" w:space="0" w:color="auto"/>
      </w:divBdr>
    </w:div>
    <w:div w:id="331490287">
      <w:bodyDiv w:val="1"/>
      <w:marLeft w:val="0"/>
      <w:marRight w:val="0"/>
      <w:marTop w:val="0"/>
      <w:marBottom w:val="0"/>
      <w:divBdr>
        <w:top w:val="none" w:sz="0" w:space="0" w:color="auto"/>
        <w:left w:val="none" w:sz="0" w:space="0" w:color="auto"/>
        <w:bottom w:val="none" w:sz="0" w:space="0" w:color="auto"/>
        <w:right w:val="none" w:sz="0" w:space="0" w:color="auto"/>
      </w:divBdr>
    </w:div>
    <w:div w:id="331567625">
      <w:bodyDiv w:val="1"/>
      <w:marLeft w:val="0"/>
      <w:marRight w:val="0"/>
      <w:marTop w:val="0"/>
      <w:marBottom w:val="0"/>
      <w:divBdr>
        <w:top w:val="none" w:sz="0" w:space="0" w:color="auto"/>
        <w:left w:val="none" w:sz="0" w:space="0" w:color="auto"/>
        <w:bottom w:val="none" w:sz="0" w:space="0" w:color="auto"/>
        <w:right w:val="none" w:sz="0" w:space="0" w:color="auto"/>
      </w:divBdr>
    </w:div>
    <w:div w:id="331572802">
      <w:bodyDiv w:val="1"/>
      <w:marLeft w:val="0"/>
      <w:marRight w:val="0"/>
      <w:marTop w:val="0"/>
      <w:marBottom w:val="0"/>
      <w:divBdr>
        <w:top w:val="none" w:sz="0" w:space="0" w:color="auto"/>
        <w:left w:val="none" w:sz="0" w:space="0" w:color="auto"/>
        <w:bottom w:val="none" w:sz="0" w:space="0" w:color="auto"/>
        <w:right w:val="none" w:sz="0" w:space="0" w:color="auto"/>
      </w:divBdr>
    </w:div>
    <w:div w:id="331685614">
      <w:bodyDiv w:val="1"/>
      <w:marLeft w:val="0"/>
      <w:marRight w:val="0"/>
      <w:marTop w:val="0"/>
      <w:marBottom w:val="0"/>
      <w:divBdr>
        <w:top w:val="none" w:sz="0" w:space="0" w:color="auto"/>
        <w:left w:val="none" w:sz="0" w:space="0" w:color="auto"/>
        <w:bottom w:val="none" w:sz="0" w:space="0" w:color="auto"/>
        <w:right w:val="none" w:sz="0" w:space="0" w:color="auto"/>
      </w:divBdr>
    </w:div>
    <w:div w:id="331763985">
      <w:bodyDiv w:val="1"/>
      <w:marLeft w:val="0"/>
      <w:marRight w:val="0"/>
      <w:marTop w:val="0"/>
      <w:marBottom w:val="0"/>
      <w:divBdr>
        <w:top w:val="none" w:sz="0" w:space="0" w:color="auto"/>
        <w:left w:val="none" w:sz="0" w:space="0" w:color="auto"/>
        <w:bottom w:val="none" w:sz="0" w:space="0" w:color="auto"/>
        <w:right w:val="none" w:sz="0" w:space="0" w:color="auto"/>
      </w:divBdr>
    </w:div>
    <w:div w:id="332075866">
      <w:bodyDiv w:val="1"/>
      <w:marLeft w:val="0"/>
      <w:marRight w:val="0"/>
      <w:marTop w:val="0"/>
      <w:marBottom w:val="0"/>
      <w:divBdr>
        <w:top w:val="none" w:sz="0" w:space="0" w:color="auto"/>
        <w:left w:val="none" w:sz="0" w:space="0" w:color="auto"/>
        <w:bottom w:val="none" w:sz="0" w:space="0" w:color="auto"/>
        <w:right w:val="none" w:sz="0" w:space="0" w:color="auto"/>
      </w:divBdr>
    </w:div>
    <w:div w:id="332146496">
      <w:bodyDiv w:val="1"/>
      <w:marLeft w:val="0"/>
      <w:marRight w:val="0"/>
      <w:marTop w:val="0"/>
      <w:marBottom w:val="0"/>
      <w:divBdr>
        <w:top w:val="none" w:sz="0" w:space="0" w:color="auto"/>
        <w:left w:val="none" w:sz="0" w:space="0" w:color="auto"/>
        <w:bottom w:val="none" w:sz="0" w:space="0" w:color="auto"/>
        <w:right w:val="none" w:sz="0" w:space="0" w:color="auto"/>
      </w:divBdr>
    </w:div>
    <w:div w:id="332224323">
      <w:bodyDiv w:val="1"/>
      <w:marLeft w:val="0"/>
      <w:marRight w:val="0"/>
      <w:marTop w:val="0"/>
      <w:marBottom w:val="0"/>
      <w:divBdr>
        <w:top w:val="none" w:sz="0" w:space="0" w:color="auto"/>
        <w:left w:val="none" w:sz="0" w:space="0" w:color="auto"/>
        <w:bottom w:val="none" w:sz="0" w:space="0" w:color="auto"/>
        <w:right w:val="none" w:sz="0" w:space="0" w:color="auto"/>
      </w:divBdr>
    </w:div>
    <w:div w:id="332297295">
      <w:bodyDiv w:val="1"/>
      <w:marLeft w:val="0"/>
      <w:marRight w:val="0"/>
      <w:marTop w:val="0"/>
      <w:marBottom w:val="0"/>
      <w:divBdr>
        <w:top w:val="none" w:sz="0" w:space="0" w:color="auto"/>
        <w:left w:val="none" w:sz="0" w:space="0" w:color="auto"/>
        <w:bottom w:val="none" w:sz="0" w:space="0" w:color="auto"/>
        <w:right w:val="none" w:sz="0" w:space="0" w:color="auto"/>
      </w:divBdr>
    </w:div>
    <w:div w:id="332412750">
      <w:bodyDiv w:val="1"/>
      <w:marLeft w:val="0"/>
      <w:marRight w:val="0"/>
      <w:marTop w:val="0"/>
      <w:marBottom w:val="0"/>
      <w:divBdr>
        <w:top w:val="none" w:sz="0" w:space="0" w:color="auto"/>
        <w:left w:val="none" w:sz="0" w:space="0" w:color="auto"/>
        <w:bottom w:val="none" w:sz="0" w:space="0" w:color="auto"/>
        <w:right w:val="none" w:sz="0" w:space="0" w:color="auto"/>
      </w:divBdr>
    </w:div>
    <w:div w:id="332532498">
      <w:bodyDiv w:val="1"/>
      <w:marLeft w:val="0"/>
      <w:marRight w:val="0"/>
      <w:marTop w:val="0"/>
      <w:marBottom w:val="0"/>
      <w:divBdr>
        <w:top w:val="none" w:sz="0" w:space="0" w:color="auto"/>
        <w:left w:val="none" w:sz="0" w:space="0" w:color="auto"/>
        <w:bottom w:val="none" w:sz="0" w:space="0" w:color="auto"/>
        <w:right w:val="none" w:sz="0" w:space="0" w:color="auto"/>
      </w:divBdr>
    </w:div>
    <w:div w:id="332611269">
      <w:bodyDiv w:val="1"/>
      <w:marLeft w:val="0"/>
      <w:marRight w:val="0"/>
      <w:marTop w:val="0"/>
      <w:marBottom w:val="0"/>
      <w:divBdr>
        <w:top w:val="none" w:sz="0" w:space="0" w:color="auto"/>
        <w:left w:val="none" w:sz="0" w:space="0" w:color="auto"/>
        <w:bottom w:val="none" w:sz="0" w:space="0" w:color="auto"/>
        <w:right w:val="none" w:sz="0" w:space="0" w:color="auto"/>
      </w:divBdr>
    </w:div>
    <w:div w:id="332688109">
      <w:bodyDiv w:val="1"/>
      <w:marLeft w:val="0"/>
      <w:marRight w:val="0"/>
      <w:marTop w:val="0"/>
      <w:marBottom w:val="0"/>
      <w:divBdr>
        <w:top w:val="none" w:sz="0" w:space="0" w:color="auto"/>
        <w:left w:val="none" w:sz="0" w:space="0" w:color="auto"/>
        <w:bottom w:val="none" w:sz="0" w:space="0" w:color="auto"/>
        <w:right w:val="none" w:sz="0" w:space="0" w:color="auto"/>
      </w:divBdr>
    </w:div>
    <w:div w:id="332689479">
      <w:bodyDiv w:val="1"/>
      <w:marLeft w:val="0"/>
      <w:marRight w:val="0"/>
      <w:marTop w:val="0"/>
      <w:marBottom w:val="0"/>
      <w:divBdr>
        <w:top w:val="none" w:sz="0" w:space="0" w:color="auto"/>
        <w:left w:val="none" w:sz="0" w:space="0" w:color="auto"/>
        <w:bottom w:val="none" w:sz="0" w:space="0" w:color="auto"/>
        <w:right w:val="none" w:sz="0" w:space="0" w:color="auto"/>
      </w:divBdr>
    </w:div>
    <w:div w:id="332799064">
      <w:bodyDiv w:val="1"/>
      <w:marLeft w:val="0"/>
      <w:marRight w:val="0"/>
      <w:marTop w:val="0"/>
      <w:marBottom w:val="0"/>
      <w:divBdr>
        <w:top w:val="none" w:sz="0" w:space="0" w:color="auto"/>
        <w:left w:val="none" w:sz="0" w:space="0" w:color="auto"/>
        <w:bottom w:val="none" w:sz="0" w:space="0" w:color="auto"/>
        <w:right w:val="none" w:sz="0" w:space="0" w:color="auto"/>
      </w:divBdr>
    </w:div>
    <w:div w:id="332925173">
      <w:bodyDiv w:val="1"/>
      <w:marLeft w:val="0"/>
      <w:marRight w:val="0"/>
      <w:marTop w:val="0"/>
      <w:marBottom w:val="0"/>
      <w:divBdr>
        <w:top w:val="none" w:sz="0" w:space="0" w:color="auto"/>
        <w:left w:val="none" w:sz="0" w:space="0" w:color="auto"/>
        <w:bottom w:val="none" w:sz="0" w:space="0" w:color="auto"/>
        <w:right w:val="none" w:sz="0" w:space="0" w:color="auto"/>
      </w:divBdr>
    </w:div>
    <w:div w:id="332994715">
      <w:bodyDiv w:val="1"/>
      <w:marLeft w:val="0"/>
      <w:marRight w:val="0"/>
      <w:marTop w:val="0"/>
      <w:marBottom w:val="0"/>
      <w:divBdr>
        <w:top w:val="none" w:sz="0" w:space="0" w:color="auto"/>
        <w:left w:val="none" w:sz="0" w:space="0" w:color="auto"/>
        <w:bottom w:val="none" w:sz="0" w:space="0" w:color="auto"/>
        <w:right w:val="none" w:sz="0" w:space="0" w:color="auto"/>
      </w:divBdr>
    </w:div>
    <w:div w:id="333068319">
      <w:bodyDiv w:val="1"/>
      <w:marLeft w:val="0"/>
      <w:marRight w:val="0"/>
      <w:marTop w:val="0"/>
      <w:marBottom w:val="0"/>
      <w:divBdr>
        <w:top w:val="none" w:sz="0" w:space="0" w:color="auto"/>
        <w:left w:val="none" w:sz="0" w:space="0" w:color="auto"/>
        <w:bottom w:val="none" w:sz="0" w:space="0" w:color="auto"/>
        <w:right w:val="none" w:sz="0" w:space="0" w:color="auto"/>
      </w:divBdr>
    </w:div>
    <w:div w:id="333147635">
      <w:bodyDiv w:val="1"/>
      <w:marLeft w:val="0"/>
      <w:marRight w:val="0"/>
      <w:marTop w:val="0"/>
      <w:marBottom w:val="0"/>
      <w:divBdr>
        <w:top w:val="none" w:sz="0" w:space="0" w:color="auto"/>
        <w:left w:val="none" w:sz="0" w:space="0" w:color="auto"/>
        <w:bottom w:val="none" w:sz="0" w:space="0" w:color="auto"/>
        <w:right w:val="none" w:sz="0" w:space="0" w:color="auto"/>
      </w:divBdr>
    </w:div>
    <w:div w:id="333147988">
      <w:bodyDiv w:val="1"/>
      <w:marLeft w:val="0"/>
      <w:marRight w:val="0"/>
      <w:marTop w:val="0"/>
      <w:marBottom w:val="0"/>
      <w:divBdr>
        <w:top w:val="none" w:sz="0" w:space="0" w:color="auto"/>
        <w:left w:val="none" w:sz="0" w:space="0" w:color="auto"/>
        <w:bottom w:val="none" w:sz="0" w:space="0" w:color="auto"/>
        <w:right w:val="none" w:sz="0" w:space="0" w:color="auto"/>
      </w:divBdr>
    </w:div>
    <w:div w:id="333187852">
      <w:bodyDiv w:val="1"/>
      <w:marLeft w:val="0"/>
      <w:marRight w:val="0"/>
      <w:marTop w:val="0"/>
      <w:marBottom w:val="0"/>
      <w:divBdr>
        <w:top w:val="none" w:sz="0" w:space="0" w:color="auto"/>
        <w:left w:val="none" w:sz="0" w:space="0" w:color="auto"/>
        <w:bottom w:val="none" w:sz="0" w:space="0" w:color="auto"/>
        <w:right w:val="none" w:sz="0" w:space="0" w:color="auto"/>
      </w:divBdr>
    </w:div>
    <w:div w:id="333191784">
      <w:bodyDiv w:val="1"/>
      <w:marLeft w:val="0"/>
      <w:marRight w:val="0"/>
      <w:marTop w:val="0"/>
      <w:marBottom w:val="0"/>
      <w:divBdr>
        <w:top w:val="none" w:sz="0" w:space="0" w:color="auto"/>
        <w:left w:val="none" w:sz="0" w:space="0" w:color="auto"/>
        <w:bottom w:val="none" w:sz="0" w:space="0" w:color="auto"/>
        <w:right w:val="none" w:sz="0" w:space="0" w:color="auto"/>
      </w:divBdr>
    </w:div>
    <w:div w:id="333192968">
      <w:bodyDiv w:val="1"/>
      <w:marLeft w:val="0"/>
      <w:marRight w:val="0"/>
      <w:marTop w:val="0"/>
      <w:marBottom w:val="0"/>
      <w:divBdr>
        <w:top w:val="none" w:sz="0" w:space="0" w:color="auto"/>
        <w:left w:val="none" w:sz="0" w:space="0" w:color="auto"/>
        <w:bottom w:val="none" w:sz="0" w:space="0" w:color="auto"/>
        <w:right w:val="none" w:sz="0" w:space="0" w:color="auto"/>
      </w:divBdr>
    </w:div>
    <w:div w:id="333261415">
      <w:bodyDiv w:val="1"/>
      <w:marLeft w:val="0"/>
      <w:marRight w:val="0"/>
      <w:marTop w:val="0"/>
      <w:marBottom w:val="0"/>
      <w:divBdr>
        <w:top w:val="none" w:sz="0" w:space="0" w:color="auto"/>
        <w:left w:val="none" w:sz="0" w:space="0" w:color="auto"/>
        <w:bottom w:val="none" w:sz="0" w:space="0" w:color="auto"/>
        <w:right w:val="none" w:sz="0" w:space="0" w:color="auto"/>
      </w:divBdr>
    </w:div>
    <w:div w:id="333336158">
      <w:bodyDiv w:val="1"/>
      <w:marLeft w:val="0"/>
      <w:marRight w:val="0"/>
      <w:marTop w:val="0"/>
      <w:marBottom w:val="0"/>
      <w:divBdr>
        <w:top w:val="none" w:sz="0" w:space="0" w:color="auto"/>
        <w:left w:val="none" w:sz="0" w:space="0" w:color="auto"/>
        <w:bottom w:val="none" w:sz="0" w:space="0" w:color="auto"/>
        <w:right w:val="none" w:sz="0" w:space="0" w:color="auto"/>
      </w:divBdr>
    </w:div>
    <w:div w:id="333344730">
      <w:bodyDiv w:val="1"/>
      <w:marLeft w:val="0"/>
      <w:marRight w:val="0"/>
      <w:marTop w:val="0"/>
      <w:marBottom w:val="0"/>
      <w:divBdr>
        <w:top w:val="none" w:sz="0" w:space="0" w:color="auto"/>
        <w:left w:val="none" w:sz="0" w:space="0" w:color="auto"/>
        <w:bottom w:val="none" w:sz="0" w:space="0" w:color="auto"/>
        <w:right w:val="none" w:sz="0" w:space="0" w:color="auto"/>
      </w:divBdr>
    </w:div>
    <w:div w:id="333458182">
      <w:bodyDiv w:val="1"/>
      <w:marLeft w:val="0"/>
      <w:marRight w:val="0"/>
      <w:marTop w:val="0"/>
      <w:marBottom w:val="0"/>
      <w:divBdr>
        <w:top w:val="none" w:sz="0" w:space="0" w:color="auto"/>
        <w:left w:val="none" w:sz="0" w:space="0" w:color="auto"/>
        <w:bottom w:val="none" w:sz="0" w:space="0" w:color="auto"/>
        <w:right w:val="none" w:sz="0" w:space="0" w:color="auto"/>
      </w:divBdr>
    </w:div>
    <w:div w:id="333807032">
      <w:bodyDiv w:val="1"/>
      <w:marLeft w:val="0"/>
      <w:marRight w:val="0"/>
      <w:marTop w:val="0"/>
      <w:marBottom w:val="0"/>
      <w:divBdr>
        <w:top w:val="none" w:sz="0" w:space="0" w:color="auto"/>
        <w:left w:val="none" w:sz="0" w:space="0" w:color="auto"/>
        <w:bottom w:val="none" w:sz="0" w:space="0" w:color="auto"/>
        <w:right w:val="none" w:sz="0" w:space="0" w:color="auto"/>
      </w:divBdr>
    </w:div>
    <w:div w:id="333996264">
      <w:bodyDiv w:val="1"/>
      <w:marLeft w:val="0"/>
      <w:marRight w:val="0"/>
      <w:marTop w:val="0"/>
      <w:marBottom w:val="0"/>
      <w:divBdr>
        <w:top w:val="none" w:sz="0" w:space="0" w:color="auto"/>
        <w:left w:val="none" w:sz="0" w:space="0" w:color="auto"/>
        <w:bottom w:val="none" w:sz="0" w:space="0" w:color="auto"/>
        <w:right w:val="none" w:sz="0" w:space="0" w:color="auto"/>
      </w:divBdr>
    </w:div>
    <w:div w:id="333998875">
      <w:bodyDiv w:val="1"/>
      <w:marLeft w:val="0"/>
      <w:marRight w:val="0"/>
      <w:marTop w:val="0"/>
      <w:marBottom w:val="0"/>
      <w:divBdr>
        <w:top w:val="none" w:sz="0" w:space="0" w:color="auto"/>
        <w:left w:val="none" w:sz="0" w:space="0" w:color="auto"/>
        <w:bottom w:val="none" w:sz="0" w:space="0" w:color="auto"/>
        <w:right w:val="none" w:sz="0" w:space="0" w:color="auto"/>
      </w:divBdr>
    </w:div>
    <w:div w:id="334184466">
      <w:bodyDiv w:val="1"/>
      <w:marLeft w:val="0"/>
      <w:marRight w:val="0"/>
      <w:marTop w:val="0"/>
      <w:marBottom w:val="0"/>
      <w:divBdr>
        <w:top w:val="none" w:sz="0" w:space="0" w:color="auto"/>
        <w:left w:val="none" w:sz="0" w:space="0" w:color="auto"/>
        <w:bottom w:val="none" w:sz="0" w:space="0" w:color="auto"/>
        <w:right w:val="none" w:sz="0" w:space="0" w:color="auto"/>
      </w:divBdr>
    </w:div>
    <w:div w:id="334185186">
      <w:bodyDiv w:val="1"/>
      <w:marLeft w:val="0"/>
      <w:marRight w:val="0"/>
      <w:marTop w:val="0"/>
      <w:marBottom w:val="0"/>
      <w:divBdr>
        <w:top w:val="none" w:sz="0" w:space="0" w:color="auto"/>
        <w:left w:val="none" w:sz="0" w:space="0" w:color="auto"/>
        <w:bottom w:val="none" w:sz="0" w:space="0" w:color="auto"/>
        <w:right w:val="none" w:sz="0" w:space="0" w:color="auto"/>
      </w:divBdr>
    </w:div>
    <w:div w:id="334187086">
      <w:bodyDiv w:val="1"/>
      <w:marLeft w:val="0"/>
      <w:marRight w:val="0"/>
      <w:marTop w:val="0"/>
      <w:marBottom w:val="0"/>
      <w:divBdr>
        <w:top w:val="none" w:sz="0" w:space="0" w:color="auto"/>
        <w:left w:val="none" w:sz="0" w:space="0" w:color="auto"/>
        <w:bottom w:val="none" w:sz="0" w:space="0" w:color="auto"/>
        <w:right w:val="none" w:sz="0" w:space="0" w:color="auto"/>
      </w:divBdr>
    </w:div>
    <w:div w:id="334187191">
      <w:bodyDiv w:val="1"/>
      <w:marLeft w:val="0"/>
      <w:marRight w:val="0"/>
      <w:marTop w:val="0"/>
      <w:marBottom w:val="0"/>
      <w:divBdr>
        <w:top w:val="none" w:sz="0" w:space="0" w:color="auto"/>
        <w:left w:val="none" w:sz="0" w:space="0" w:color="auto"/>
        <w:bottom w:val="none" w:sz="0" w:space="0" w:color="auto"/>
        <w:right w:val="none" w:sz="0" w:space="0" w:color="auto"/>
      </w:divBdr>
    </w:div>
    <w:div w:id="334262848">
      <w:bodyDiv w:val="1"/>
      <w:marLeft w:val="0"/>
      <w:marRight w:val="0"/>
      <w:marTop w:val="0"/>
      <w:marBottom w:val="0"/>
      <w:divBdr>
        <w:top w:val="none" w:sz="0" w:space="0" w:color="auto"/>
        <w:left w:val="none" w:sz="0" w:space="0" w:color="auto"/>
        <w:bottom w:val="none" w:sz="0" w:space="0" w:color="auto"/>
        <w:right w:val="none" w:sz="0" w:space="0" w:color="auto"/>
      </w:divBdr>
    </w:div>
    <w:div w:id="334304710">
      <w:bodyDiv w:val="1"/>
      <w:marLeft w:val="0"/>
      <w:marRight w:val="0"/>
      <w:marTop w:val="0"/>
      <w:marBottom w:val="0"/>
      <w:divBdr>
        <w:top w:val="none" w:sz="0" w:space="0" w:color="auto"/>
        <w:left w:val="none" w:sz="0" w:space="0" w:color="auto"/>
        <w:bottom w:val="none" w:sz="0" w:space="0" w:color="auto"/>
        <w:right w:val="none" w:sz="0" w:space="0" w:color="auto"/>
      </w:divBdr>
    </w:div>
    <w:div w:id="334311689">
      <w:bodyDiv w:val="1"/>
      <w:marLeft w:val="0"/>
      <w:marRight w:val="0"/>
      <w:marTop w:val="0"/>
      <w:marBottom w:val="0"/>
      <w:divBdr>
        <w:top w:val="none" w:sz="0" w:space="0" w:color="auto"/>
        <w:left w:val="none" w:sz="0" w:space="0" w:color="auto"/>
        <w:bottom w:val="none" w:sz="0" w:space="0" w:color="auto"/>
        <w:right w:val="none" w:sz="0" w:space="0" w:color="auto"/>
      </w:divBdr>
    </w:div>
    <w:div w:id="334457796">
      <w:bodyDiv w:val="1"/>
      <w:marLeft w:val="0"/>
      <w:marRight w:val="0"/>
      <w:marTop w:val="0"/>
      <w:marBottom w:val="0"/>
      <w:divBdr>
        <w:top w:val="none" w:sz="0" w:space="0" w:color="auto"/>
        <w:left w:val="none" w:sz="0" w:space="0" w:color="auto"/>
        <w:bottom w:val="none" w:sz="0" w:space="0" w:color="auto"/>
        <w:right w:val="none" w:sz="0" w:space="0" w:color="auto"/>
      </w:divBdr>
    </w:div>
    <w:div w:id="334462455">
      <w:bodyDiv w:val="1"/>
      <w:marLeft w:val="0"/>
      <w:marRight w:val="0"/>
      <w:marTop w:val="0"/>
      <w:marBottom w:val="0"/>
      <w:divBdr>
        <w:top w:val="none" w:sz="0" w:space="0" w:color="auto"/>
        <w:left w:val="none" w:sz="0" w:space="0" w:color="auto"/>
        <w:bottom w:val="none" w:sz="0" w:space="0" w:color="auto"/>
        <w:right w:val="none" w:sz="0" w:space="0" w:color="auto"/>
      </w:divBdr>
    </w:div>
    <w:div w:id="334501017">
      <w:bodyDiv w:val="1"/>
      <w:marLeft w:val="0"/>
      <w:marRight w:val="0"/>
      <w:marTop w:val="0"/>
      <w:marBottom w:val="0"/>
      <w:divBdr>
        <w:top w:val="none" w:sz="0" w:space="0" w:color="auto"/>
        <w:left w:val="none" w:sz="0" w:space="0" w:color="auto"/>
        <w:bottom w:val="none" w:sz="0" w:space="0" w:color="auto"/>
        <w:right w:val="none" w:sz="0" w:space="0" w:color="auto"/>
      </w:divBdr>
    </w:div>
    <w:div w:id="334501992">
      <w:bodyDiv w:val="1"/>
      <w:marLeft w:val="0"/>
      <w:marRight w:val="0"/>
      <w:marTop w:val="0"/>
      <w:marBottom w:val="0"/>
      <w:divBdr>
        <w:top w:val="none" w:sz="0" w:space="0" w:color="auto"/>
        <w:left w:val="none" w:sz="0" w:space="0" w:color="auto"/>
        <w:bottom w:val="none" w:sz="0" w:space="0" w:color="auto"/>
        <w:right w:val="none" w:sz="0" w:space="0" w:color="auto"/>
      </w:divBdr>
    </w:div>
    <w:div w:id="334647856">
      <w:bodyDiv w:val="1"/>
      <w:marLeft w:val="0"/>
      <w:marRight w:val="0"/>
      <w:marTop w:val="0"/>
      <w:marBottom w:val="0"/>
      <w:divBdr>
        <w:top w:val="none" w:sz="0" w:space="0" w:color="auto"/>
        <w:left w:val="none" w:sz="0" w:space="0" w:color="auto"/>
        <w:bottom w:val="none" w:sz="0" w:space="0" w:color="auto"/>
        <w:right w:val="none" w:sz="0" w:space="0" w:color="auto"/>
      </w:divBdr>
    </w:div>
    <w:div w:id="334840017">
      <w:bodyDiv w:val="1"/>
      <w:marLeft w:val="0"/>
      <w:marRight w:val="0"/>
      <w:marTop w:val="0"/>
      <w:marBottom w:val="0"/>
      <w:divBdr>
        <w:top w:val="none" w:sz="0" w:space="0" w:color="auto"/>
        <w:left w:val="none" w:sz="0" w:space="0" w:color="auto"/>
        <w:bottom w:val="none" w:sz="0" w:space="0" w:color="auto"/>
        <w:right w:val="none" w:sz="0" w:space="0" w:color="auto"/>
      </w:divBdr>
    </w:div>
    <w:div w:id="334842674">
      <w:bodyDiv w:val="1"/>
      <w:marLeft w:val="0"/>
      <w:marRight w:val="0"/>
      <w:marTop w:val="0"/>
      <w:marBottom w:val="0"/>
      <w:divBdr>
        <w:top w:val="none" w:sz="0" w:space="0" w:color="auto"/>
        <w:left w:val="none" w:sz="0" w:space="0" w:color="auto"/>
        <w:bottom w:val="none" w:sz="0" w:space="0" w:color="auto"/>
        <w:right w:val="none" w:sz="0" w:space="0" w:color="auto"/>
      </w:divBdr>
    </w:div>
    <w:div w:id="335113058">
      <w:bodyDiv w:val="1"/>
      <w:marLeft w:val="0"/>
      <w:marRight w:val="0"/>
      <w:marTop w:val="0"/>
      <w:marBottom w:val="0"/>
      <w:divBdr>
        <w:top w:val="none" w:sz="0" w:space="0" w:color="auto"/>
        <w:left w:val="none" w:sz="0" w:space="0" w:color="auto"/>
        <w:bottom w:val="none" w:sz="0" w:space="0" w:color="auto"/>
        <w:right w:val="none" w:sz="0" w:space="0" w:color="auto"/>
      </w:divBdr>
    </w:div>
    <w:div w:id="335117838">
      <w:bodyDiv w:val="1"/>
      <w:marLeft w:val="0"/>
      <w:marRight w:val="0"/>
      <w:marTop w:val="0"/>
      <w:marBottom w:val="0"/>
      <w:divBdr>
        <w:top w:val="none" w:sz="0" w:space="0" w:color="auto"/>
        <w:left w:val="none" w:sz="0" w:space="0" w:color="auto"/>
        <w:bottom w:val="none" w:sz="0" w:space="0" w:color="auto"/>
        <w:right w:val="none" w:sz="0" w:space="0" w:color="auto"/>
      </w:divBdr>
    </w:div>
    <w:div w:id="335154472">
      <w:bodyDiv w:val="1"/>
      <w:marLeft w:val="0"/>
      <w:marRight w:val="0"/>
      <w:marTop w:val="0"/>
      <w:marBottom w:val="0"/>
      <w:divBdr>
        <w:top w:val="none" w:sz="0" w:space="0" w:color="auto"/>
        <w:left w:val="none" w:sz="0" w:space="0" w:color="auto"/>
        <w:bottom w:val="none" w:sz="0" w:space="0" w:color="auto"/>
        <w:right w:val="none" w:sz="0" w:space="0" w:color="auto"/>
      </w:divBdr>
    </w:div>
    <w:div w:id="335235623">
      <w:bodyDiv w:val="1"/>
      <w:marLeft w:val="0"/>
      <w:marRight w:val="0"/>
      <w:marTop w:val="0"/>
      <w:marBottom w:val="0"/>
      <w:divBdr>
        <w:top w:val="none" w:sz="0" w:space="0" w:color="auto"/>
        <w:left w:val="none" w:sz="0" w:space="0" w:color="auto"/>
        <w:bottom w:val="none" w:sz="0" w:space="0" w:color="auto"/>
        <w:right w:val="none" w:sz="0" w:space="0" w:color="auto"/>
      </w:divBdr>
    </w:div>
    <w:div w:id="335352074">
      <w:bodyDiv w:val="1"/>
      <w:marLeft w:val="0"/>
      <w:marRight w:val="0"/>
      <w:marTop w:val="0"/>
      <w:marBottom w:val="0"/>
      <w:divBdr>
        <w:top w:val="none" w:sz="0" w:space="0" w:color="auto"/>
        <w:left w:val="none" w:sz="0" w:space="0" w:color="auto"/>
        <w:bottom w:val="none" w:sz="0" w:space="0" w:color="auto"/>
        <w:right w:val="none" w:sz="0" w:space="0" w:color="auto"/>
      </w:divBdr>
    </w:div>
    <w:div w:id="335423357">
      <w:bodyDiv w:val="1"/>
      <w:marLeft w:val="0"/>
      <w:marRight w:val="0"/>
      <w:marTop w:val="0"/>
      <w:marBottom w:val="0"/>
      <w:divBdr>
        <w:top w:val="none" w:sz="0" w:space="0" w:color="auto"/>
        <w:left w:val="none" w:sz="0" w:space="0" w:color="auto"/>
        <w:bottom w:val="none" w:sz="0" w:space="0" w:color="auto"/>
        <w:right w:val="none" w:sz="0" w:space="0" w:color="auto"/>
      </w:divBdr>
    </w:div>
    <w:div w:id="335499425">
      <w:bodyDiv w:val="1"/>
      <w:marLeft w:val="0"/>
      <w:marRight w:val="0"/>
      <w:marTop w:val="0"/>
      <w:marBottom w:val="0"/>
      <w:divBdr>
        <w:top w:val="none" w:sz="0" w:space="0" w:color="auto"/>
        <w:left w:val="none" w:sz="0" w:space="0" w:color="auto"/>
        <w:bottom w:val="none" w:sz="0" w:space="0" w:color="auto"/>
        <w:right w:val="none" w:sz="0" w:space="0" w:color="auto"/>
      </w:divBdr>
    </w:div>
    <w:div w:id="335547012">
      <w:bodyDiv w:val="1"/>
      <w:marLeft w:val="0"/>
      <w:marRight w:val="0"/>
      <w:marTop w:val="0"/>
      <w:marBottom w:val="0"/>
      <w:divBdr>
        <w:top w:val="none" w:sz="0" w:space="0" w:color="auto"/>
        <w:left w:val="none" w:sz="0" w:space="0" w:color="auto"/>
        <w:bottom w:val="none" w:sz="0" w:space="0" w:color="auto"/>
        <w:right w:val="none" w:sz="0" w:space="0" w:color="auto"/>
      </w:divBdr>
    </w:div>
    <w:div w:id="335813447">
      <w:bodyDiv w:val="1"/>
      <w:marLeft w:val="0"/>
      <w:marRight w:val="0"/>
      <w:marTop w:val="0"/>
      <w:marBottom w:val="0"/>
      <w:divBdr>
        <w:top w:val="none" w:sz="0" w:space="0" w:color="auto"/>
        <w:left w:val="none" w:sz="0" w:space="0" w:color="auto"/>
        <w:bottom w:val="none" w:sz="0" w:space="0" w:color="auto"/>
        <w:right w:val="none" w:sz="0" w:space="0" w:color="auto"/>
      </w:divBdr>
    </w:div>
    <w:div w:id="335815604">
      <w:bodyDiv w:val="1"/>
      <w:marLeft w:val="0"/>
      <w:marRight w:val="0"/>
      <w:marTop w:val="0"/>
      <w:marBottom w:val="0"/>
      <w:divBdr>
        <w:top w:val="none" w:sz="0" w:space="0" w:color="auto"/>
        <w:left w:val="none" w:sz="0" w:space="0" w:color="auto"/>
        <w:bottom w:val="none" w:sz="0" w:space="0" w:color="auto"/>
        <w:right w:val="none" w:sz="0" w:space="0" w:color="auto"/>
      </w:divBdr>
    </w:div>
    <w:div w:id="335886854">
      <w:bodyDiv w:val="1"/>
      <w:marLeft w:val="0"/>
      <w:marRight w:val="0"/>
      <w:marTop w:val="0"/>
      <w:marBottom w:val="0"/>
      <w:divBdr>
        <w:top w:val="none" w:sz="0" w:space="0" w:color="auto"/>
        <w:left w:val="none" w:sz="0" w:space="0" w:color="auto"/>
        <w:bottom w:val="none" w:sz="0" w:space="0" w:color="auto"/>
        <w:right w:val="none" w:sz="0" w:space="0" w:color="auto"/>
      </w:divBdr>
    </w:div>
    <w:div w:id="336004865">
      <w:bodyDiv w:val="1"/>
      <w:marLeft w:val="0"/>
      <w:marRight w:val="0"/>
      <w:marTop w:val="0"/>
      <w:marBottom w:val="0"/>
      <w:divBdr>
        <w:top w:val="none" w:sz="0" w:space="0" w:color="auto"/>
        <w:left w:val="none" w:sz="0" w:space="0" w:color="auto"/>
        <w:bottom w:val="none" w:sz="0" w:space="0" w:color="auto"/>
        <w:right w:val="none" w:sz="0" w:space="0" w:color="auto"/>
      </w:divBdr>
    </w:div>
    <w:div w:id="336268302">
      <w:bodyDiv w:val="1"/>
      <w:marLeft w:val="0"/>
      <w:marRight w:val="0"/>
      <w:marTop w:val="0"/>
      <w:marBottom w:val="0"/>
      <w:divBdr>
        <w:top w:val="none" w:sz="0" w:space="0" w:color="auto"/>
        <w:left w:val="none" w:sz="0" w:space="0" w:color="auto"/>
        <w:bottom w:val="none" w:sz="0" w:space="0" w:color="auto"/>
        <w:right w:val="none" w:sz="0" w:space="0" w:color="auto"/>
      </w:divBdr>
    </w:div>
    <w:div w:id="336274921">
      <w:bodyDiv w:val="1"/>
      <w:marLeft w:val="0"/>
      <w:marRight w:val="0"/>
      <w:marTop w:val="0"/>
      <w:marBottom w:val="0"/>
      <w:divBdr>
        <w:top w:val="none" w:sz="0" w:space="0" w:color="auto"/>
        <w:left w:val="none" w:sz="0" w:space="0" w:color="auto"/>
        <w:bottom w:val="none" w:sz="0" w:space="0" w:color="auto"/>
        <w:right w:val="none" w:sz="0" w:space="0" w:color="auto"/>
      </w:divBdr>
    </w:div>
    <w:div w:id="336348337">
      <w:bodyDiv w:val="1"/>
      <w:marLeft w:val="0"/>
      <w:marRight w:val="0"/>
      <w:marTop w:val="0"/>
      <w:marBottom w:val="0"/>
      <w:divBdr>
        <w:top w:val="none" w:sz="0" w:space="0" w:color="auto"/>
        <w:left w:val="none" w:sz="0" w:space="0" w:color="auto"/>
        <w:bottom w:val="none" w:sz="0" w:space="0" w:color="auto"/>
        <w:right w:val="none" w:sz="0" w:space="0" w:color="auto"/>
      </w:divBdr>
    </w:div>
    <w:div w:id="336421914">
      <w:bodyDiv w:val="1"/>
      <w:marLeft w:val="0"/>
      <w:marRight w:val="0"/>
      <w:marTop w:val="0"/>
      <w:marBottom w:val="0"/>
      <w:divBdr>
        <w:top w:val="none" w:sz="0" w:space="0" w:color="auto"/>
        <w:left w:val="none" w:sz="0" w:space="0" w:color="auto"/>
        <w:bottom w:val="none" w:sz="0" w:space="0" w:color="auto"/>
        <w:right w:val="none" w:sz="0" w:space="0" w:color="auto"/>
      </w:divBdr>
    </w:div>
    <w:div w:id="336422846">
      <w:bodyDiv w:val="1"/>
      <w:marLeft w:val="0"/>
      <w:marRight w:val="0"/>
      <w:marTop w:val="0"/>
      <w:marBottom w:val="0"/>
      <w:divBdr>
        <w:top w:val="none" w:sz="0" w:space="0" w:color="auto"/>
        <w:left w:val="none" w:sz="0" w:space="0" w:color="auto"/>
        <w:bottom w:val="none" w:sz="0" w:space="0" w:color="auto"/>
        <w:right w:val="none" w:sz="0" w:space="0" w:color="auto"/>
      </w:divBdr>
    </w:div>
    <w:div w:id="336463383">
      <w:bodyDiv w:val="1"/>
      <w:marLeft w:val="0"/>
      <w:marRight w:val="0"/>
      <w:marTop w:val="0"/>
      <w:marBottom w:val="0"/>
      <w:divBdr>
        <w:top w:val="none" w:sz="0" w:space="0" w:color="auto"/>
        <w:left w:val="none" w:sz="0" w:space="0" w:color="auto"/>
        <w:bottom w:val="none" w:sz="0" w:space="0" w:color="auto"/>
        <w:right w:val="none" w:sz="0" w:space="0" w:color="auto"/>
      </w:divBdr>
    </w:div>
    <w:div w:id="336464248">
      <w:bodyDiv w:val="1"/>
      <w:marLeft w:val="0"/>
      <w:marRight w:val="0"/>
      <w:marTop w:val="0"/>
      <w:marBottom w:val="0"/>
      <w:divBdr>
        <w:top w:val="none" w:sz="0" w:space="0" w:color="auto"/>
        <w:left w:val="none" w:sz="0" w:space="0" w:color="auto"/>
        <w:bottom w:val="none" w:sz="0" w:space="0" w:color="auto"/>
        <w:right w:val="none" w:sz="0" w:space="0" w:color="auto"/>
      </w:divBdr>
    </w:div>
    <w:div w:id="336466850">
      <w:bodyDiv w:val="1"/>
      <w:marLeft w:val="0"/>
      <w:marRight w:val="0"/>
      <w:marTop w:val="0"/>
      <w:marBottom w:val="0"/>
      <w:divBdr>
        <w:top w:val="none" w:sz="0" w:space="0" w:color="auto"/>
        <w:left w:val="none" w:sz="0" w:space="0" w:color="auto"/>
        <w:bottom w:val="none" w:sz="0" w:space="0" w:color="auto"/>
        <w:right w:val="none" w:sz="0" w:space="0" w:color="auto"/>
      </w:divBdr>
    </w:div>
    <w:div w:id="336545830">
      <w:bodyDiv w:val="1"/>
      <w:marLeft w:val="0"/>
      <w:marRight w:val="0"/>
      <w:marTop w:val="0"/>
      <w:marBottom w:val="0"/>
      <w:divBdr>
        <w:top w:val="none" w:sz="0" w:space="0" w:color="auto"/>
        <w:left w:val="none" w:sz="0" w:space="0" w:color="auto"/>
        <w:bottom w:val="none" w:sz="0" w:space="0" w:color="auto"/>
        <w:right w:val="none" w:sz="0" w:space="0" w:color="auto"/>
      </w:divBdr>
    </w:div>
    <w:div w:id="336615475">
      <w:bodyDiv w:val="1"/>
      <w:marLeft w:val="0"/>
      <w:marRight w:val="0"/>
      <w:marTop w:val="0"/>
      <w:marBottom w:val="0"/>
      <w:divBdr>
        <w:top w:val="none" w:sz="0" w:space="0" w:color="auto"/>
        <w:left w:val="none" w:sz="0" w:space="0" w:color="auto"/>
        <w:bottom w:val="none" w:sz="0" w:space="0" w:color="auto"/>
        <w:right w:val="none" w:sz="0" w:space="0" w:color="auto"/>
      </w:divBdr>
    </w:div>
    <w:div w:id="336662314">
      <w:bodyDiv w:val="1"/>
      <w:marLeft w:val="0"/>
      <w:marRight w:val="0"/>
      <w:marTop w:val="0"/>
      <w:marBottom w:val="0"/>
      <w:divBdr>
        <w:top w:val="none" w:sz="0" w:space="0" w:color="auto"/>
        <w:left w:val="none" w:sz="0" w:space="0" w:color="auto"/>
        <w:bottom w:val="none" w:sz="0" w:space="0" w:color="auto"/>
        <w:right w:val="none" w:sz="0" w:space="0" w:color="auto"/>
      </w:divBdr>
    </w:div>
    <w:div w:id="336737923">
      <w:bodyDiv w:val="1"/>
      <w:marLeft w:val="0"/>
      <w:marRight w:val="0"/>
      <w:marTop w:val="0"/>
      <w:marBottom w:val="0"/>
      <w:divBdr>
        <w:top w:val="none" w:sz="0" w:space="0" w:color="auto"/>
        <w:left w:val="none" w:sz="0" w:space="0" w:color="auto"/>
        <w:bottom w:val="none" w:sz="0" w:space="0" w:color="auto"/>
        <w:right w:val="none" w:sz="0" w:space="0" w:color="auto"/>
      </w:divBdr>
    </w:div>
    <w:div w:id="336806727">
      <w:bodyDiv w:val="1"/>
      <w:marLeft w:val="0"/>
      <w:marRight w:val="0"/>
      <w:marTop w:val="0"/>
      <w:marBottom w:val="0"/>
      <w:divBdr>
        <w:top w:val="none" w:sz="0" w:space="0" w:color="auto"/>
        <w:left w:val="none" w:sz="0" w:space="0" w:color="auto"/>
        <w:bottom w:val="none" w:sz="0" w:space="0" w:color="auto"/>
        <w:right w:val="none" w:sz="0" w:space="0" w:color="auto"/>
      </w:divBdr>
    </w:div>
    <w:div w:id="336812000">
      <w:bodyDiv w:val="1"/>
      <w:marLeft w:val="0"/>
      <w:marRight w:val="0"/>
      <w:marTop w:val="0"/>
      <w:marBottom w:val="0"/>
      <w:divBdr>
        <w:top w:val="none" w:sz="0" w:space="0" w:color="auto"/>
        <w:left w:val="none" w:sz="0" w:space="0" w:color="auto"/>
        <w:bottom w:val="none" w:sz="0" w:space="0" w:color="auto"/>
        <w:right w:val="none" w:sz="0" w:space="0" w:color="auto"/>
      </w:divBdr>
    </w:div>
    <w:div w:id="336882933">
      <w:bodyDiv w:val="1"/>
      <w:marLeft w:val="0"/>
      <w:marRight w:val="0"/>
      <w:marTop w:val="0"/>
      <w:marBottom w:val="0"/>
      <w:divBdr>
        <w:top w:val="none" w:sz="0" w:space="0" w:color="auto"/>
        <w:left w:val="none" w:sz="0" w:space="0" w:color="auto"/>
        <w:bottom w:val="none" w:sz="0" w:space="0" w:color="auto"/>
        <w:right w:val="none" w:sz="0" w:space="0" w:color="auto"/>
      </w:divBdr>
    </w:div>
    <w:div w:id="336883608">
      <w:bodyDiv w:val="1"/>
      <w:marLeft w:val="0"/>
      <w:marRight w:val="0"/>
      <w:marTop w:val="0"/>
      <w:marBottom w:val="0"/>
      <w:divBdr>
        <w:top w:val="none" w:sz="0" w:space="0" w:color="auto"/>
        <w:left w:val="none" w:sz="0" w:space="0" w:color="auto"/>
        <w:bottom w:val="none" w:sz="0" w:space="0" w:color="auto"/>
        <w:right w:val="none" w:sz="0" w:space="0" w:color="auto"/>
      </w:divBdr>
    </w:div>
    <w:div w:id="336923367">
      <w:bodyDiv w:val="1"/>
      <w:marLeft w:val="0"/>
      <w:marRight w:val="0"/>
      <w:marTop w:val="0"/>
      <w:marBottom w:val="0"/>
      <w:divBdr>
        <w:top w:val="none" w:sz="0" w:space="0" w:color="auto"/>
        <w:left w:val="none" w:sz="0" w:space="0" w:color="auto"/>
        <w:bottom w:val="none" w:sz="0" w:space="0" w:color="auto"/>
        <w:right w:val="none" w:sz="0" w:space="0" w:color="auto"/>
      </w:divBdr>
    </w:div>
    <w:div w:id="336925711">
      <w:bodyDiv w:val="1"/>
      <w:marLeft w:val="0"/>
      <w:marRight w:val="0"/>
      <w:marTop w:val="0"/>
      <w:marBottom w:val="0"/>
      <w:divBdr>
        <w:top w:val="none" w:sz="0" w:space="0" w:color="auto"/>
        <w:left w:val="none" w:sz="0" w:space="0" w:color="auto"/>
        <w:bottom w:val="none" w:sz="0" w:space="0" w:color="auto"/>
        <w:right w:val="none" w:sz="0" w:space="0" w:color="auto"/>
      </w:divBdr>
    </w:div>
    <w:div w:id="337319386">
      <w:bodyDiv w:val="1"/>
      <w:marLeft w:val="0"/>
      <w:marRight w:val="0"/>
      <w:marTop w:val="0"/>
      <w:marBottom w:val="0"/>
      <w:divBdr>
        <w:top w:val="none" w:sz="0" w:space="0" w:color="auto"/>
        <w:left w:val="none" w:sz="0" w:space="0" w:color="auto"/>
        <w:bottom w:val="none" w:sz="0" w:space="0" w:color="auto"/>
        <w:right w:val="none" w:sz="0" w:space="0" w:color="auto"/>
      </w:divBdr>
    </w:div>
    <w:div w:id="337343907">
      <w:bodyDiv w:val="1"/>
      <w:marLeft w:val="0"/>
      <w:marRight w:val="0"/>
      <w:marTop w:val="0"/>
      <w:marBottom w:val="0"/>
      <w:divBdr>
        <w:top w:val="none" w:sz="0" w:space="0" w:color="auto"/>
        <w:left w:val="none" w:sz="0" w:space="0" w:color="auto"/>
        <w:bottom w:val="none" w:sz="0" w:space="0" w:color="auto"/>
        <w:right w:val="none" w:sz="0" w:space="0" w:color="auto"/>
      </w:divBdr>
    </w:div>
    <w:div w:id="337542419">
      <w:bodyDiv w:val="1"/>
      <w:marLeft w:val="0"/>
      <w:marRight w:val="0"/>
      <w:marTop w:val="0"/>
      <w:marBottom w:val="0"/>
      <w:divBdr>
        <w:top w:val="none" w:sz="0" w:space="0" w:color="auto"/>
        <w:left w:val="none" w:sz="0" w:space="0" w:color="auto"/>
        <w:bottom w:val="none" w:sz="0" w:space="0" w:color="auto"/>
        <w:right w:val="none" w:sz="0" w:space="0" w:color="auto"/>
      </w:divBdr>
    </w:div>
    <w:div w:id="337583048">
      <w:bodyDiv w:val="1"/>
      <w:marLeft w:val="0"/>
      <w:marRight w:val="0"/>
      <w:marTop w:val="0"/>
      <w:marBottom w:val="0"/>
      <w:divBdr>
        <w:top w:val="none" w:sz="0" w:space="0" w:color="auto"/>
        <w:left w:val="none" w:sz="0" w:space="0" w:color="auto"/>
        <w:bottom w:val="none" w:sz="0" w:space="0" w:color="auto"/>
        <w:right w:val="none" w:sz="0" w:space="0" w:color="auto"/>
      </w:divBdr>
    </w:div>
    <w:div w:id="337776765">
      <w:bodyDiv w:val="1"/>
      <w:marLeft w:val="0"/>
      <w:marRight w:val="0"/>
      <w:marTop w:val="0"/>
      <w:marBottom w:val="0"/>
      <w:divBdr>
        <w:top w:val="none" w:sz="0" w:space="0" w:color="auto"/>
        <w:left w:val="none" w:sz="0" w:space="0" w:color="auto"/>
        <w:bottom w:val="none" w:sz="0" w:space="0" w:color="auto"/>
        <w:right w:val="none" w:sz="0" w:space="0" w:color="auto"/>
      </w:divBdr>
    </w:div>
    <w:div w:id="337777621">
      <w:bodyDiv w:val="1"/>
      <w:marLeft w:val="0"/>
      <w:marRight w:val="0"/>
      <w:marTop w:val="0"/>
      <w:marBottom w:val="0"/>
      <w:divBdr>
        <w:top w:val="none" w:sz="0" w:space="0" w:color="auto"/>
        <w:left w:val="none" w:sz="0" w:space="0" w:color="auto"/>
        <w:bottom w:val="none" w:sz="0" w:space="0" w:color="auto"/>
        <w:right w:val="none" w:sz="0" w:space="0" w:color="auto"/>
      </w:divBdr>
    </w:div>
    <w:div w:id="337847945">
      <w:bodyDiv w:val="1"/>
      <w:marLeft w:val="0"/>
      <w:marRight w:val="0"/>
      <w:marTop w:val="0"/>
      <w:marBottom w:val="0"/>
      <w:divBdr>
        <w:top w:val="none" w:sz="0" w:space="0" w:color="auto"/>
        <w:left w:val="none" w:sz="0" w:space="0" w:color="auto"/>
        <w:bottom w:val="none" w:sz="0" w:space="0" w:color="auto"/>
        <w:right w:val="none" w:sz="0" w:space="0" w:color="auto"/>
      </w:divBdr>
    </w:div>
    <w:div w:id="337852788">
      <w:bodyDiv w:val="1"/>
      <w:marLeft w:val="0"/>
      <w:marRight w:val="0"/>
      <w:marTop w:val="0"/>
      <w:marBottom w:val="0"/>
      <w:divBdr>
        <w:top w:val="none" w:sz="0" w:space="0" w:color="auto"/>
        <w:left w:val="none" w:sz="0" w:space="0" w:color="auto"/>
        <w:bottom w:val="none" w:sz="0" w:space="0" w:color="auto"/>
        <w:right w:val="none" w:sz="0" w:space="0" w:color="auto"/>
      </w:divBdr>
    </w:div>
    <w:div w:id="338048771">
      <w:bodyDiv w:val="1"/>
      <w:marLeft w:val="0"/>
      <w:marRight w:val="0"/>
      <w:marTop w:val="0"/>
      <w:marBottom w:val="0"/>
      <w:divBdr>
        <w:top w:val="none" w:sz="0" w:space="0" w:color="auto"/>
        <w:left w:val="none" w:sz="0" w:space="0" w:color="auto"/>
        <w:bottom w:val="none" w:sz="0" w:space="0" w:color="auto"/>
        <w:right w:val="none" w:sz="0" w:space="0" w:color="auto"/>
      </w:divBdr>
    </w:div>
    <w:div w:id="338120968">
      <w:bodyDiv w:val="1"/>
      <w:marLeft w:val="0"/>
      <w:marRight w:val="0"/>
      <w:marTop w:val="0"/>
      <w:marBottom w:val="0"/>
      <w:divBdr>
        <w:top w:val="none" w:sz="0" w:space="0" w:color="auto"/>
        <w:left w:val="none" w:sz="0" w:space="0" w:color="auto"/>
        <w:bottom w:val="none" w:sz="0" w:space="0" w:color="auto"/>
        <w:right w:val="none" w:sz="0" w:space="0" w:color="auto"/>
      </w:divBdr>
    </w:div>
    <w:div w:id="338123214">
      <w:bodyDiv w:val="1"/>
      <w:marLeft w:val="0"/>
      <w:marRight w:val="0"/>
      <w:marTop w:val="0"/>
      <w:marBottom w:val="0"/>
      <w:divBdr>
        <w:top w:val="none" w:sz="0" w:space="0" w:color="auto"/>
        <w:left w:val="none" w:sz="0" w:space="0" w:color="auto"/>
        <w:bottom w:val="none" w:sz="0" w:space="0" w:color="auto"/>
        <w:right w:val="none" w:sz="0" w:space="0" w:color="auto"/>
      </w:divBdr>
    </w:div>
    <w:div w:id="338124160">
      <w:bodyDiv w:val="1"/>
      <w:marLeft w:val="0"/>
      <w:marRight w:val="0"/>
      <w:marTop w:val="0"/>
      <w:marBottom w:val="0"/>
      <w:divBdr>
        <w:top w:val="none" w:sz="0" w:space="0" w:color="auto"/>
        <w:left w:val="none" w:sz="0" w:space="0" w:color="auto"/>
        <w:bottom w:val="none" w:sz="0" w:space="0" w:color="auto"/>
        <w:right w:val="none" w:sz="0" w:space="0" w:color="auto"/>
      </w:divBdr>
    </w:div>
    <w:div w:id="338167851">
      <w:bodyDiv w:val="1"/>
      <w:marLeft w:val="0"/>
      <w:marRight w:val="0"/>
      <w:marTop w:val="0"/>
      <w:marBottom w:val="0"/>
      <w:divBdr>
        <w:top w:val="none" w:sz="0" w:space="0" w:color="auto"/>
        <w:left w:val="none" w:sz="0" w:space="0" w:color="auto"/>
        <w:bottom w:val="none" w:sz="0" w:space="0" w:color="auto"/>
        <w:right w:val="none" w:sz="0" w:space="0" w:color="auto"/>
      </w:divBdr>
    </w:div>
    <w:div w:id="338193897">
      <w:bodyDiv w:val="1"/>
      <w:marLeft w:val="0"/>
      <w:marRight w:val="0"/>
      <w:marTop w:val="0"/>
      <w:marBottom w:val="0"/>
      <w:divBdr>
        <w:top w:val="none" w:sz="0" w:space="0" w:color="auto"/>
        <w:left w:val="none" w:sz="0" w:space="0" w:color="auto"/>
        <w:bottom w:val="none" w:sz="0" w:space="0" w:color="auto"/>
        <w:right w:val="none" w:sz="0" w:space="0" w:color="auto"/>
      </w:divBdr>
    </w:div>
    <w:div w:id="338234938">
      <w:bodyDiv w:val="1"/>
      <w:marLeft w:val="0"/>
      <w:marRight w:val="0"/>
      <w:marTop w:val="0"/>
      <w:marBottom w:val="0"/>
      <w:divBdr>
        <w:top w:val="none" w:sz="0" w:space="0" w:color="auto"/>
        <w:left w:val="none" w:sz="0" w:space="0" w:color="auto"/>
        <w:bottom w:val="none" w:sz="0" w:space="0" w:color="auto"/>
        <w:right w:val="none" w:sz="0" w:space="0" w:color="auto"/>
      </w:divBdr>
    </w:div>
    <w:div w:id="338431837">
      <w:bodyDiv w:val="1"/>
      <w:marLeft w:val="0"/>
      <w:marRight w:val="0"/>
      <w:marTop w:val="0"/>
      <w:marBottom w:val="0"/>
      <w:divBdr>
        <w:top w:val="none" w:sz="0" w:space="0" w:color="auto"/>
        <w:left w:val="none" w:sz="0" w:space="0" w:color="auto"/>
        <w:bottom w:val="none" w:sz="0" w:space="0" w:color="auto"/>
        <w:right w:val="none" w:sz="0" w:space="0" w:color="auto"/>
      </w:divBdr>
    </w:div>
    <w:div w:id="338434130">
      <w:bodyDiv w:val="1"/>
      <w:marLeft w:val="0"/>
      <w:marRight w:val="0"/>
      <w:marTop w:val="0"/>
      <w:marBottom w:val="0"/>
      <w:divBdr>
        <w:top w:val="none" w:sz="0" w:space="0" w:color="auto"/>
        <w:left w:val="none" w:sz="0" w:space="0" w:color="auto"/>
        <w:bottom w:val="none" w:sz="0" w:space="0" w:color="auto"/>
        <w:right w:val="none" w:sz="0" w:space="0" w:color="auto"/>
      </w:divBdr>
    </w:div>
    <w:div w:id="338503262">
      <w:bodyDiv w:val="1"/>
      <w:marLeft w:val="0"/>
      <w:marRight w:val="0"/>
      <w:marTop w:val="0"/>
      <w:marBottom w:val="0"/>
      <w:divBdr>
        <w:top w:val="none" w:sz="0" w:space="0" w:color="auto"/>
        <w:left w:val="none" w:sz="0" w:space="0" w:color="auto"/>
        <w:bottom w:val="none" w:sz="0" w:space="0" w:color="auto"/>
        <w:right w:val="none" w:sz="0" w:space="0" w:color="auto"/>
      </w:divBdr>
    </w:div>
    <w:div w:id="338582318">
      <w:bodyDiv w:val="1"/>
      <w:marLeft w:val="0"/>
      <w:marRight w:val="0"/>
      <w:marTop w:val="0"/>
      <w:marBottom w:val="0"/>
      <w:divBdr>
        <w:top w:val="none" w:sz="0" w:space="0" w:color="auto"/>
        <w:left w:val="none" w:sz="0" w:space="0" w:color="auto"/>
        <w:bottom w:val="none" w:sz="0" w:space="0" w:color="auto"/>
        <w:right w:val="none" w:sz="0" w:space="0" w:color="auto"/>
      </w:divBdr>
    </w:div>
    <w:div w:id="338701679">
      <w:bodyDiv w:val="1"/>
      <w:marLeft w:val="0"/>
      <w:marRight w:val="0"/>
      <w:marTop w:val="0"/>
      <w:marBottom w:val="0"/>
      <w:divBdr>
        <w:top w:val="none" w:sz="0" w:space="0" w:color="auto"/>
        <w:left w:val="none" w:sz="0" w:space="0" w:color="auto"/>
        <w:bottom w:val="none" w:sz="0" w:space="0" w:color="auto"/>
        <w:right w:val="none" w:sz="0" w:space="0" w:color="auto"/>
      </w:divBdr>
    </w:div>
    <w:div w:id="338895296">
      <w:bodyDiv w:val="1"/>
      <w:marLeft w:val="0"/>
      <w:marRight w:val="0"/>
      <w:marTop w:val="0"/>
      <w:marBottom w:val="0"/>
      <w:divBdr>
        <w:top w:val="none" w:sz="0" w:space="0" w:color="auto"/>
        <w:left w:val="none" w:sz="0" w:space="0" w:color="auto"/>
        <w:bottom w:val="none" w:sz="0" w:space="0" w:color="auto"/>
        <w:right w:val="none" w:sz="0" w:space="0" w:color="auto"/>
      </w:divBdr>
    </w:div>
    <w:div w:id="338967332">
      <w:bodyDiv w:val="1"/>
      <w:marLeft w:val="0"/>
      <w:marRight w:val="0"/>
      <w:marTop w:val="0"/>
      <w:marBottom w:val="0"/>
      <w:divBdr>
        <w:top w:val="none" w:sz="0" w:space="0" w:color="auto"/>
        <w:left w:val="none" w:sz="0" w:space="0" w:color="auto"/>
        <w:bottom w:val="none" w:sz="0" w:space="0" w:color="auto"/>
        <w:right w:val="none" w:sz="0" w:space="0" w:color="auto"/>
      </w:divBdr>
    </w:div>
    <w:div w:id="339237029">
      <w:bodyDiv w:val="1"/>
      <w:marLeft w:val="0"/>
      <w:marRight w:val="0"/>
      <w:marTop w:val="0"/>
      <w:marBottom w:val="0"/>
      <w:divBdr>
        <w:top w:val="none" w:sz="0" w:space="0" w:color="auto"/>
        <w:left w:val="none" w:sz="0" w:space="0" w:color="auto"/>
        <w:bottom w:val="none" w:sz="0" w:space="0" w:color="auto"/>
        <w:right w:val="none" w:sz="0" w:space="0" w:color="auto"/>
      </w:divBdr>
    </w:div>
    <w:div w:id="339282756">
      <w:bodyDiv w:val="1"/>
      <w:marLeft w:val="0"/>
      <w:marRight w:val="0"/>
      <w:marTop w:val="0"/>
      <w:marBottom w:val="0"/>
      <w:divBdr>
        <w:top w:val="none" w:sz="0" w:space="0" w:color="auto"/>
        <w:left w:val="none" w:sz="0" w:space="0" w:color="auto"/>
        <w:bottom w:val="none" w:sz="0" w:space="0" w:color="auto"/>
        <w:right w:val="none" w:sz="0" w:space="0" w:color="auto"/>
      </w:divBdr>
    </w:div>
    <w:div w:id="339427928">
      <w:bodyDiv w:val="1"/>
      <w:marLeft w:val="0"/>
      <w:marRight w:val="0"/>
      <w:marTop w:val="0"/>
      <w:marBottom w:val="0"/>
      <w:divBdr>
        <w:top w:val="none" w:sz="0" w:space="0" w:color="auto"/>
        <w:left w:val="none" w:sz="0" w:space="0" w:color="auto"/>
        <w:bottom w:val="none" w:sz="0" w:space="0" w:color="auto"/>
        <w:right w:val="none" w:sz="0" w:space="0" w:color="auto"/>
      </w:divBdr>
    </w:div>
    <w:div w:id="339429248">
      <w:bodyDiv w:val="1"/>
      <w:marLeft w:val="0"/>
      <w:marRight w:val="0"/>
      <w:marTop w:val="0"/>
      <w:marBottom w:val="0"/>
      <w:divBdr>
        <w:top w:val="none" w:sz="0" w:space="0" w:color="auto"/>
        <w:left w:val="none" w:sz="0" w:space="0" w:color="auto"/>
        <w:bottom w:val="none" w:sz="0" w:space="0" w:color="auto"/>
        <w:right w:val="none" w:sz="0" w:space="0" w:color="auto"/>
      </w:divBdr>
    </w:div>
    <w:div w:id="339509118">
      <w:bodyDiv w:val="1"/>
      <w:marLeft w:val="0"/>
      <w:marRight w:val="0"/>
      <w:marTop w:val="0"/>
      <w:marBottom w:val="0"/>
      <w:divBdr>
        <w:top w:val="none" w:sz="0" w:space="0" w:color="auto"/>
        <w:left w:val="none" w:sz="0" w:space="0" w:color="auto"/>
        <w:bottom w:val="none" w:sz="0" w:space="0" w:color="auto"/>
        <w:right w:val="none" w:sz="0" w:space="0" w:color="auto"/>
      </w:divBdr>
    </w:div>
    <w:div w:id="339623975">
      <w:bodyDiv w:val="1"/>
      <w:marLeft w:val="0"/>
      <w:marRight w:val="0"/>
      <w:marTop w:val="0"/>
      <w:marBottom w:val="0"/>
      <w:divBdr>
        <w:top w:val="none" w:sz="0" w:space="0" w:color="auto"/>
        <w:left w:val="none" w:sz="0" w:space="0" w:color="auto"/>
        <w:bottom w:val="none" w:sz="0" w:space="0" w:color="auto"/>
        <w:right w:val="none" w:sz="0" w:space="0" w:color="auto"/>
      </w:divBdr>
    </w:div>
    <w:div w:id="339815274">
      <w:bodyDiv w:val="1"/>
      <w:marLeft w:val="0"/>
      <w:marRight w:val="0"/>
      <w:marTop w:val="0"/>
      <w:marBottom w:val="0"/>
      <w:divBdr>
        <w:top w:val="none" w:sz="0" w:space="0" w:color="auto"/>
        <w:left w:val="none" w:sz="0" w:space="0" w:color="auto"/>
        <w:bottom w:val="none" w:sz="0" w:space="0" w:color="auto"/>
        <w:right w:val="none" w:sz="0" w:space="0" w:color="auto"/>
      </w:divBdr>
    </w:div>
    <w:div w:id="339817344">
      <w:bodyDiv w:val="1"/>
      <w:marLeft w:val="0"/>
      <w:marRight w:val="0"/>
      <w:marTop w:val="0"/>
      <w:marBottom w:val="0"/>
      <w:divBdr>
        <w:top w:val="none" w:sz="0" w:space="0" w:color="auto"/>
        <w:left w:val="none" w:sz="0" w:space="0" w:color="auto"/>
        <w:bottom w:val="none" w:sz="0" w:space="0" w:color="auto"/>
        <w:right w:val="none" w:sz="0" w:space="0" w:color="auto"/>
      </w:divBdr>
    </w:div>
    <w:div w:id="339819128">
      <w:bodyDiv w:val="1"/>
      <w:marLeft w:val="0"/>
      <w:marRight w:val="0"/>
      <w:marTop w:val="0"/>
      <w:marBottom w:val="0"/>
      <w:divBdr>
        <w:top w:val="none" w:sz="0" w:space="0" w:color="auto"/>
        <w:left w:val="none" w:sz="0" w:space="0" w:color="auto"/>
        <w:bottom w:val="none" w:sz="0" w:space="0" w:color="auto"/>
        <w:right w:val="none" w:sz="0" w:space="0" w:color="auto"/>
      </w:divBdr>
    </w:div>
    <w:div w:id="339890336">
      <w:bodyDiv w:val="1"/>
      <w:marLeft w:val="0"/>
      <w:marRight w:val="0"/>
      <w:marTop w:val="0"/>
      <w:marBottom w:val="0"/>
      <w:divBdr>
        <w:top w:val="none" w:sz="0" w:space="0" w:color="auto"/>
        <w:left w:val="none" w:sz="0" w:space="0" w:color="auto"/>
        <w:bottom w:val="none" w:sz="0" w:space="0" w:color="auto"/>
        <w:right w:val="none" w:sz="0" w:space="0" w:color="auto"/>
      </w:divBdr>
    </w:div>
    <w:div w:id="340084089">
      <w:bodyDiv w:val="1"/>
      <w:marLeft w:val="0"/>
      <w:marRight w:val="0"/>
      <w:marTop w:val="0"/>
      <w:marBottom w:val="0"/>
      <w:divBdr>
        <w:top w:val="none" w:sz="0" w:space="0" w:color="auto"/>
        <w:left w:val="none" w:sz="0" w:space="0" w:color="auto"/>
        <w:bottom w:val="none" w:sz="0" w:space="0" w:color="auto"/>
        <w:right w:val="none" w:sz="0" w:space="0" w:color="auto"/>
      </w:divBdr>
    </w:div>
    <w:div w:id="340084164">
      <w:bodyDiv w:val="1"/>
      <w:marLeft w:val="0"/>
      <w:marRight w:val="0"/>
      <w:marTop w:val="0"/>
      <w:marBottom w:val="0"/>
      <w:divBdr>
        <w:top w:val="none" w:sz="0" w:space="0" w:color="auto"/>
        <w:left w:val="none" w:sz="0" w:space="0" w:color="auto"/>
        <w:bottom w:val="none" w:sz="0" w:space="0" w:color="auto"/>
        <w:right w:val="none" w:sz="0" w:space="0" w:color="auto"/>
      </w:divBdr>
    </w:div>
    <w:div w:id="340089492">
      <w:bodyDiv w:val="1"/>
      <w:marLeft w:val="0"/>
      <w:marRight w:val="0"/>
      <w:marTop w:val="0"/>
      <w:marBottom w:val="0"/>
      <w:divBdr>
        <w:top w:val="none" w:sz="0" w:space="0" w:color="auto"/>
        <w:left w:val="none" w:sz="0" w:space="0" w:color="auto"/>
        <w:bottom w:val="none" w:sz="0" w:space="0" w:color="auto"/>
        <w:right w:val="none" w:sz="0" w:space="0" w:color="auto"/>
      </w:divBdr>
    </w:div>
    <w:div w:id="340276692">
      <w:bodyDiv w:val="1"/>
      <w:marLeft w:val="0"/>
      <w:marRight w:val="0"/>
      <w:marTop w:val="0"/>
      <w:marBottom w:val="0"/>
      <w:divBdr>
        <w:top w:val="none" w:sz="0" w:space="0" w:color="auto"/>
        <w:left w:val="none" w:sz="0" w:space="0" w:color="auto"/>
        <w:bottom w:val="none" w:sz="0" w:space="0" w:color="auto"/>
        <w:right w:val="none" w:sz="0" w:space="0" w:color="auto"/>
      </w:divBdr>
    </w:div>
    <w:div w:id="340282975">
      <w:bodyDiv w:val="1"/>
      <w:marLeft w:val="0"/>
      <w:marRight w:val="0"/>
      <w:marTop w:val="0"/>
      <w:marBottom w:val="0"/>
      <w:divBdr>
        <w:top w:val="none" w:sz="0" w:space="0" w:color="auto"/>
        <w:left w:val="none" w:sz="0" w:space="0" w:color="auto"/>
        <w:bottom w:val="none" w:sz="0" w:space="0" w:color="auto"/>
        <w:right w:val="none" w:sz="0" w:space="0" w:color="auto"/>
      </w:divBdr>
    </w:div>
    <w:div w:id="340353139">
      <w:bodyDiv w:val="1"/>
      <w:marLeft w:val="0"/>
      <w:marRight w:val="0"/>
      <w:marTop w:val="0"/>
      <w:marBottom w:val="0"/>
      <w:divBdr>
        <w:top w:val="none" w:sz="0" w:space="0" w:color="auto"/>
        <w:left w:val="none" w:sz="0" w:space="0" w:color="auto"/>
        <w:bottom w:val="none" w:sz="0" w:space="0" w:color="auto"/>
        <w:right w:val="none" w:sz="0" w:space="0" w:color="auto"/>
      </w:divBdr>
    </w:div>
    <w:div w:id="340469683">
      <w:bodyDiv w:val="1"/>
      <w:marLeft w:val="0"/>
      <w:marRight w:val="0"/>
      <w:marTop w:val="0"/>
      <w:marBottom w:val="0"/>
      <w:divBdr>
        <w:top w:val="none" w:sz="0" w:space="0" w:color="auto"/>
        <w:left w:val="none" w:sz="0" w:space="0" w:color="auto"/>
        <w:bottom w:val="none" w:sz="0" w:space="0" w:color="auto"/>
        <w:right w:val="none" w:sz="0" w:space="0" w:color="auto"/>
      </w:divBdr>
    </w:div>
    <w:div w:id="340545328">
      <w:bodyDiv w:val="1"/>
      <w:marLeft w:val="0"/>
      <w:marRight w:val="0"/>
      <w:marTop w:val="0"/>
      <w:marBottom w:val="0"/>
      <w:divBdr>
        <w:top w:val="none" w:sz="0" w:space="0" w:color="auto"/>
        <w:left w:val="none" w:sz="0" w:space="0" w:color="auto"/>
        <w:bottom w:val="none" w:sz="0" w:space="0" w:color="auto"/>
        <w:right w:val="none" w:sz="0" w:space="0" w:color="auto"/>
      </w:divBdr>
    </w:div>
    <w:div w:id="340548780">
      <w:bodyDiv w:val="1"/>
      <w:marLeft w:val="0"/>
      <w:marRight w:val="0"/>
      <w:marTop w:val="0"/>
      <w:marBottom w:val="0"/>
      <w:divBdr>
        <w:top w:val="none" w:sz="0" w:space="0" w:color="auto"/>
        <w:left w:val="none" w:sz="0" w:space="0" w:color="auto"/>
        <w:bottom w:val="none" w:sz="0" w:space="0" w:color="auto"/>
        <w:right w:val="none" w:sz="0" w:space="0" w:color="auto"/>
      </w:divBdr>
    </w:div>
    <w:div w:id="340620760">
      <w:bodyDiv w:val="1"/>
      <w:marLeft w:val="0"/>
      <w:marRight w:val="0"/>
      <w:marTop w:val="0"/>
      <w:marBottom w:val="0"/>
      <w:divBdr>
        <w:top w:val="none" w:sz="0" w:space="0" w:color="auto"/>
        <w:left w:val="none" w:sz="0" w:space="0" w:color="auto"/>
        <w:bottom w:val="none" w:sz="0" w:space="0" w:color="auto"/>
        <w:right w:val="none" w:sz="0" w:space="0" w:color="auto"/>
      </w:divBdr>
    </w:div>
    <w:div w:id="340671252">
      <w:bodyDiv w:val="1"/>
      <w:marLeft w:val="0"/>
      <w:marRight w:val="0"/>
      <w:marTop w:val="0"/>
      <w:marBottom w:val="0"/>
      <w:divBdr>
        <w:top w:val="none" w:sz="0" w:space="0" w:color="auto"/>
        <w:left w:val="none" w:sz="0" w:space="0" w:color="auto"/>
        <w:bottom w:val="none" w:sz="0" w:space="0" w:color="auto"/>
        <w:right w:val="none" w:sz="0" w:space="0" w:color="auto"/>
      </w:divBdr>
    </w:div>
    <w:div w:id="340855890">
      <w:bodyDiv w:val="1"/>
      <w:marLeft w:val="0"/>
      <w:marRight w:val="0"/>
      <w:marTop w:val="0"/>
      <w:marBottom w:val="0"/>
      <w:divBdr>
        <w:top w:val="none" w:sz="0" w:space="0" w:color="auto"/>
        <w:left w:val="none" w:sz="0" w:space="0" w:color="auto"/>
        <w:bottom w:val="none" w:sz="0" w:space="0" w:color="auto"/>
        <w:right w:val="none" w:sz="0" w:space="0" w:color="auto"/>
      </w:divBdr>
    </w:div>
    <w:div w:id="340857096">
      <w:bodyDiv w:val="1"/>
      <w:marLeft w:val="0"/>
      <w:marRight w:val="0"/>
      <w:marTop w:val="0"/>
      <w:marBottom w:val="0"/>
      <w:divBdr>
        <w:top w:val="none" w:sz="0" w:space="0" w:color="auto"/>
        <w:left w:val="none" w:sz="0" w:space="0" w:color="auto"/>
        <w:bottom w:val="none" w:sz="0" w:space="0" w:color="auto"/>
        <w:right w:val="none" w:sz="0" w:space="0" w:color="auto"/>
      </w:divBdr>
    </w:div>
    <w:div w:id="340930966">
      <w:bodyDiv w:val="1"/>
      <w:marLeft w:val="0"/>
      <w:marRight w:val="0"/>
      <w:marTop w:val="0"/>
      <w:marBottom w:val="0"/>
      <w:divBdr>
        <w:top w:val="none" w:sz="0" w:space="0" w:color="auto"/>
        <w:left w:val="none" w:sz="0" w:space="0" w:color="auto"/>
        <w:bottom w:val="none" w:sz="0" w:space="0" w:color="auto"/>
        <w:right w:val="none" w:sz="0" w:space="0" w:color="auto"/>
      </w:divBdr>
    </w:div>
    <w:div w:id="340933156">
      <w:bodyDiv w:val="1"/>
      <w:marLeft w:val="0"/>
      <w:marRight w:val="0"/>
      <w:marTop w:val="0"/>
      <w:marBottom w:val="0"/>
      <w:divBdr>
        <w:top w:val="none" w:sz="0" w:space="0" w:color="auto"/>
        <w:left w:val="none" w:sz="0" w:space="0" w:color="auto"/>
        <w:bottom w:val="none" w:sz="0" w:space="0" w:color="auto"/>
        <w:right w:val="none" w:sz="0" w:space="0" w:color="auto"/>
      </w:divBdr>
    </w:div>
    <w:div w:id="340939524">
      <w:bodyDiv w:val="1"/>
      <w:marLeft w:val="0"/>
      <w:marRight w:val="0"/>
      <w:marTop w:val="0"/>
      <w:marBottom w:val="0"/>
      <w:divBdr>
        <w:top w:val="none" w:sz="0" w:space="0" w:color="auto"/>
        <w:left w:val="none" w:sz="0" w:space="0" w:color="auto"/>
        <w:bottom w:val="none" w:sz="0" w:space="0" w:color="auto"/>
        <w:right w:val="none" w:sz="0" w:space="0" w:color="auto"/>
      </w:divBdr>
    </w:div>
    <w:div w:id="341013751">
      <w:bodyDiv w:val="1"/>
      <w:marLeft w:val="0"/>
      <w:marRight w:val="0"/>
      <w:marTop w:val="0"/>
      <w:marBottom w:val="0"/>
      <w:divBdr>
        <w:top w:val="none" w:sz="0" w:space="0" w:color="auto"/>
        <w:left w:val="none" w:sz="0" w:space="0" w:color="auto"/>
        <w:bottom w:val="none" w:sz="0" w:space="0" w:color="auto"/>
        <w:right w:val="none" w:sz="0" w:space="0" w:color="auto"/>
      </w:divBdr>
    </w:div>
    <w:div w:id="341323057">
      <w:bodyDiv w:val="1"/>
      <w:marLeft w:val="0"/>
      <w:marRight w:val="0"/>
      <w:marTop w:val="0"/>
      <w:marBottom w:val="0"/>
      <w:divBdr>
        <w:top w:val="none" w:sz="0" w:space="0" w:color="auto"/>
        <w:left w:val="none" w:sz="0" w:space="0" w:color="auto"/>
        <w:bottom w:val="none" w:sz="0" w:space="0" w:color="auto"/>
        <w:right w:val="none" w:sz="0" w:space="0" w:color="auto"/>
      </w:divBdr>
    </w:div>
    <w:div w:id="341392438">
      <w:bodyDiv w:val="1"/>
      <w:marLeft w:val="0"/>
      <w:marRight w:val="0"/>
      <w:marTop w:val="0"/>
      <w:marBottom w:val="0"/>
      <w:divBdr>
        <w:top w:val="none" w:sz="0" w:space="0" w:color="auto"/>
        <w:left w:val="none" w:sz="0" w:space="0" w:color="auto"/>
        <w:bottom w:val="none" w:sz="0" w:space="0" w:color="auto"/>
        <w:right w:val="none" w:sz="0" w:space="0" w:color="auto"/>
      </w:divBdr>
    </w:div>
    <w:div w:id="341588649">
      <w:bodyDiv w:val="1"/>
      <w:marLeft w:val="0"/>
      <w:marRight w:val="0"/>
      <w:marTop w:val="0"/>
      <w:marBottom w:val="0"/>
      <w:divBdr>
        <w:top w:val="none" w:sz="0" w:space="0" w:color="auto"/>
        <w:left w:val="none" w:sz="0" w:space="0" w:color="auto"/>
        <w:bottom w:val="none" w:sz="0" w:space="0" w:color="auto"/>
        <w:right w:val="none" w:sz="0" w:space="0" w:color="auto"/>
      </w:divBdr>
    </w:div>
    <w:div w:id="341592604">
      <w:bodyDiv w:val="1"/>
      <w:marLeft w:val="0"/>
      <w:marRight w:val="0"/>
      <w:marTop w:val="0"/>
      <w:marBottom w:val="0"/>
      <w:divBdr>
        <w:top w:val="none" w:sz="0" w:space="0" w:color="auto"/>
        <w:left w:val="none" w:sz="0" w:space="0" w:color="auto"/>
        <w:bottom w:val="none" w:sz="0" w:space="0" w:color="auto"/>
        <w:right w:val="none" w:sz="0" w:space="0" w:color="auto"/>
      </w:divBdr>
    </w:div>
    <w:div w:id="341705255">
      <w:bodyDiv w:val="1"/>
      <w:marLeft w:val="0"/>
      <w:marRight w:val="0"/>
      <w:marTop w:val="0"/>
      <w:marBottom w:val="0"/>
      <w:divBdr>
        <w:top w:val="none" w:sz="0" w:space="0" w:color="auto"/>
        <w:left w:val="none" w:sz="0" w:space="0" w:color="auto"/>
        <w:bottom w:val="none" w:sz="0" w:space="0" w:color="auto"/>
        <w:right w:val="none" w:sz="0" w:space="0" w:color="auto"/>
      </w:divBdr>
    </w:div>
    <w:div w:id="341859746">
      <w:bodyDiv w:val="1"/>
      <w:marLeft w:val="0"/>
      <w:marRight w:val="0"/>
      <w:marTop w:val="0"/>
      <w:marBottom w:val="0"/>
      <w:divBdr>
        <w:top w:val="none" w:sz="0" w:space="0" w:color="auto"/>
        <w:left w:val="none" w:sz="0" w:space="0" w:color="auto"/>
        <w:bottom w:val="none" w:sz="0" w:space="0" w:color="auto"/>
        <w:right w:val="none" w:sz="0" w:space="0" w:color="auto"/>
      </w:divBdr>
    </w:div>
    <w:div w:id="341930680">
      <w:bodyDiv w:val="1"/>
      <w:marLeft w:val="0"/>
      <w:marRight w:val="0"/>
      <w:marTop w:val="0"/>
      <w:marBottom w:val="0"/>
      <w:divBdr>
        <w:top w:val="none" w:sz="0" w:space="0" w:color="auto"/>
        <w:left w:val="none" w:sz="0" w:space="0" w:color="auto"/>
        <w:bottom w:val="none" w:sz="0" w:space="0" w:color="auto"/>
        <w:right w:val="none" w:sz="0" w:space="0" w:color="auto"/>
      </w:divBdr>
    </w:div>
    <w:div w:id="342165705">
      <w:bodyDiv w:val="1"/>
      <w:marLeft w:val="0"/>
      <w:marRight w:val="0"/>
      <w:marTop w:val="0"/>
      <w:marBottom w:val="0"/>
      <w:divBdr>
        <w:top w:val="none" w:sz="0" w:space="0" w:color="auto"/>
        <w:left w:val="none" w:sz="0" w:space="0" w:color="auto"/>
        <w:bottom w:val="none" w:sz="0" w:space="0" w:color="auto"/>
        <w:right w:val="none" w:sz="0" w:space="0" w:color="auto"/>
      </w:divBdr>
    </w:div>
    <w:div w:id="342242703">
      <w:bodyDiv w:val="1"/>
      <w:marLeft w:val="0"/>
      <w:marRight w:val="0"/>
      <w:marTop w:val="0"/>
      <w:marBottom w:val="0"/>
      <w:divBdr>
        <w:top w:val="none" w:sz="0" w:space="0" w:color="auto"/>
        <w:left w:val="none" w:sz="0" w:space="0" w:color="auto"/>
        <w:bottom w:val="none" w:sz="0" w:space="0" w:color="auto"/>
        <w:right w:val="none" w:sz="0" w:space="0" w:color="auto"/>
      </w:divBdr>
    </w:div>
    <w:div w:id="342244997">
      <w:bodyDiv w:val="1"/>
      <w:marLeft w:val="0"/>
      <w:marRight w:val="0"/>
      <w:marTop w:val="0"/>
      <w:marBottom w:val="0"/>
      <w:divBdr>
        <w:top w:val="none" w:sz="0" w:space="0" w:color="auto"/>
        <w:left w:val="none" w:sz="0" w:space="0" w:color="auto"/>
        <w:bottom w:val="none" w:sz="0" w:space="0" w:color="auto"/>
        <w:right w:val="none" w:sz="0" w:space="0" w:color="auto"/>
      </w:divBdr>
    </w:div>
    <w:div w:id="342323390">
      <w:bodyDiv w:val="1"/>
      <w:marLeft w:val="0"/>
      <w:marRight w:val="0"/>
      <w:marTop w:val="0"/>
      <w:marBottom w:val="0"/>
      <w:divBdr>
        <w:top w:val="none" w:sz="0" w:space="0" w:color="auto"/>
        <w:left w:val="none" w:sz="0" w:space="0" w:color="auto"/>
        <w:bottom w:val="none" w:sz="0" w:space="0" w:color="auto"/>
        <w:right w:val="none" w:sz="0" w:space="0" w:color="auto"/>
      </w:divBdr>
    </w:div>
    <w:div w:id="342360413">
      <w:bodyDiv w:val="1"/>
      <w:marLeft w:val="0"/>
      <w:marRight w:val="0"/>
      <w:marTop w:val="0"/>
      <w:marBottom w:val="0"/>
      <w:divBdr>
        <w:top w:val="none" w:sz="0" w:space="0" w:color="auto"/>
        <w:left w:val="none" w:sz="0" w:space="0" w:color="auto"/>
        <w:bottom w:val="none" w:sz="0" w:space="0" w:color="auto"/>
        <w:right w:val="none" w:sz="0" w:space="0" w:color="auto"/>
      </w:divBdr>
    </w:div>
    <w:div w:id="342634406">
      <w:bodyDiv w:val="1"/>
      <w:marLeft w:val="0"/>
      <w:marRight w:val="0"/>
      <w:marTop w:val="0"/>
      <w:marBottom w:val="0"/>
      <w:divBdr>
        <w:top w:val="none" w:sz="0" w:space="0" w:color="auto"/>
        <w:left w:val="none" w:sz="0" w:space="0" w:color="auto"/>
        <w:bottom w:val="none" w:sz="0" w:space="0" w:color="auto"/>
        <w:right w:val="none" w:sz="0" w:space="0" w:color="auto"/>
      </w:divBdr>
    </w:div>
    <w:div w:id="342710175">
      <w:bodyDiv w:val="1"/>
      <w:marLeft w:val="0"/>
      <w:marRight w:val="0"/>
      <w:marTop w:val="0"/>
      <w:marBottom w:val="0"/>
      <w:divBdr>
        <w:top w:val="none" w:sz="0" w:space="0" w:color="auto"/>
        <w:left w:val="none" w:sz="0" w:space="0" w:color="auto"/>
        <w:bottom w:val="none" w:sz="0" w:space="0" w:color="auto"/>
        <w:right w:val="none" w:sz="0" w:space="0" w:color="auto"/>
      </w:divBdr>
    </w:div>
    <w:div w:id="342779068">
      <w:bodyDiv w:val="1"/>
      <w:marLeft w:val="0"/>
      <w:marRight w:val="0"/>
      <w:marTop w:val="0"/>
      <w:marBottom w:val="0"/>
      <w:divBdr>
        <w:top w:val="none" w:sz="0" w:space="0" w:color="auto"/>
        <w:left w:val="none" w:sz="0" w:space="0" w:color="auto"/>
        <w:bottom w:val="none" w:sz="0" w:space="0" w:color="auto"/>
        <w:right w:val="none" w:sz="0" w:space="0" w:color="auto"/>
      </w:divBdr>
    </w:div>
    <w:div w:id="342779315">
      <w:bodyDiv w:val="1"/>
      <w:marLeft w:val="0"/>
      <w:marRight w:val="0"/>
      <w:marTop w:val="0"/>
      <w:marBottom w:val="0"/>
      <w:divBdr>
        <w:top w:val="none" w:sz="0" w:space="0" w:color="auto"/>
        <w:left w:val="none" w:sz="0" w:space="0" w:color="auto"/>
        <w:bottom w:val="none" w:sz="0" w:space="0" w:color="auto"/>
        <w:right w:val="none" w:sz="0" w:space="0" w:color="auto"/>
      </w:divBdr>
    </w:div>
    <w:div w:id="342823878">
      <w:bodyDiv w:val="1"/>
      <w:marLeft w:val="0"/>
      <w:marRight w:val="0"/>
      <w:marTop w:val="0"/>
      <w:marBottom w:val="0"/>
      <w:divBdr>
        <w:top w:val="none" w:sz="0" w:space="0" w:color="auto"/>
        <w:left w:val="none" w:sz="0" w:space="0" w:color="auto"/>
        <w:bottom w:val="none" w:sz="0" w:space="0" w:color="auto"/>
        <w:right w:val="none" w:sz="0" w:space="0" w:color="auto"/>
      </w:divBdr>
    </w:div>
    <w:div w:id="342829952">
      <w:bodyDiv w:val="1"/>
      <w:marLeft w:val="0"/>
      <w:marRight w:val="0"/>
      <w:marTop w:val="0"/>
      <w:marBottom w:val="0"/>
      <w:divBdr>
        <w:top w:val="none" w:sz="0" w:space="0" w:color="auto"/>
        <w:left w:val="none" w:sz="0" w:space="0" w:color="auto"/>
        <w:bottom w:val="none" w:sz="0" w:space="0" w:color="auto"/>
        <w:right w:val="none" w:sz="0" w:space="0" w:color="auto"/>
      </w:divBdr>
    </w:div>
    <w:div w:id="342971491">
      <w:bodyDiv w:val="1"/>
      <w:marLeft w:val="0"/>
      <w:marRight w:val="0"/>
      <w:marTop w:val="0"/>
      <w:marBottom w:val="0"/>
      <w:divBdr>
        <w:top w:val="none" w:sz="0" w:space="0" w:color="auto"/>
        <w:left w:val="none" w:sz="0" w:space="0" w:color="auto"/>
        <w:bottom w:val="none" w:sz="0" w:space="0" w:color="auto"/>
        <w:right w:val="none" w:sz="0" w:space="0" w:color="auto"/>
      </w:divBdr>
    </w:div>
    <w:div w:id="343093191">
      <w:bodyDiv w:val="1"/>
      <w:marLeft w:val="0"/>
      <w:marRight w:val="0"/>
      <w:marTop w:val="0"/>
      <w:marBottom w:val="0"/>
      <w:divBdr>
        <w:top w:val="none" w:sz="0" w:space="0" w:color="auto"/>
        <w:left w:val="none" w:sz="0" w:space="0" w:color="auto"/>
        <w:bottom w:val="none" w:sz="0" w:space="0" w:color="auto"/>
        <w:right w:val="none" w:sz="0" w:space="0" w:color="auto"/>
      </w:divBdr>
    </w:div>
    <w:div w:id="343173045">
      <w:bodyDiv w:val="1"/>
      <w:marLeft w:val="0"/>
      <w:marRight w:val="0"/>
      <w:marTop w:val="0"/>
      <w:marBottom w:val="0"/>
      <w:divBdr>
        <w:top w:val="none" w:sz="0" w:space="0" w:color="auto"/>
        <w:left w:val="none" w:sz="0" w:space="0" w:color="auto"/>
        <w:bottom w:val="none" w:sz="0" w:space="0" w:color="auto"/>
        <w:right w:val="none" w:sz="0" w:space="0" w:color="auto"/>
      </w:divBdr>
    </w:div>
    <w:div w:id="343240692">
      <w:bodyDiv w:val="1"/>
      <w:marLeft w:val="0"/>
      <w:marRight w:val="0"/>
      <w:marTop w:val="0"/>
      <w:marBottom w:val="0"/>
      <w:divBdr>
        <w:top w:val="none" w:sz="0" w:space="0" w:color="auto"/>
        <w:left w:val="none" w:sz="0" w:space="0" w:color="auto"/>
        <w:bottom w:val="none" w:sz="0" w:space="0" w:color="auto"/>
        <w:right w:val="none" w:sz="0" w:space="0" w:color="auto"/>
      </w:divBdr>
    </w:div>
    <w:div w:id="343364797">
      <w:bodyDiv w:val="1"/>
      <w:marLeft w:val="0"/>
      <w:marRight w:val="0"/>
      <w:marTop w:val="0"/>
      <w:marBottom w:val="0"/>
      <w:divBdr>
        <w:top w:val="none" w:sz="0" w:space="0" w:color="auto"/>
        <w:left w:val="none" w:sz="0" w:space="0" w:color="auto"/>
        <w:bottom w:val="none" w:sz="0" w:space="0" w:color="auto"/>
        <w:right w:val="none" w:sz="0" w:space="0" w:color="auto"/>
      </w:divBdr>
    </w:div>
    <w:div w:id="343479534">
      <w:bodyDiv w:val="1"/>
      <w:marLeft w:val="0"/>
      <w:marRight w:val="0"/>
      <w:marTop w:val="0"/>
      <w:marBottom w:val="0"/>
      <w:divBdr>
        <w:top w:val="none" w:sz="0" w:space="0" w:color="auto"/>
        <w:left w:val="none" w:sz="0" w:space="0" w:color="auto"/>
        <w:bottom w:val="none" w:sz="0" w:space="0" w:color="auto"/>
        <w:right w:val="none" w:sz="0" w:space="0" w:color="auto"/>
      </w:divBdr>
    </w:div>
    <w:div w:id="343629947">
      <w:bodyDiv w:val="1"/>
      <w:marLeft w:val="0"/>
      <w:marRight w:val="0"/>
      <w:marTop w:val="0"/>
      <w:marBottom w:val="0"/>
      <w:divBdr>
        <w:top w:val="none" w:sz="0" w:space="0" w:color="auto"/>
        <w:left w:val="none" w:sz="0" w:space="0" w:color="auto"/>
        <w:bottom w:val="none" w:sz="0" w:space="0" w:color="auto"/>
        <w:right w:val="none" w:sz="0" w:space="0" w:color="auto"/>
      </w:divBdr>
    </w:div>
    <w:div w:id="343630537">
      <w:bodyDiv w:val="1"/>
      <w:marLeft w:val="0"/>
      <w:marRight w:val="0"/>
      <w:marTop w:val="0"/>
      <w:marBottom w:val="0"/>
      <w:divBdr>
        <w:top w:val="none" w:sz="0" w:space="0" w:color="auto"/>
        <w:left w:val="none" w:sz="0" w:space="0" w:color="auto"/>
        <w:bottom w:val="none" w:sz="0" w:space="0" w:color="auto"/>
        <w:right w:val="none" w:sz="0" w:space="0" w:color="auto"/>
      </w:divBdr>
    </w:div>
    <w:div w:id="343677670">
      <w:bodyDiv w:val="1"/>
      <w:marLeft w:val="0"/>
      <w:marRight w:val="0"/>
      <w:marTop w:val="0"/>
      <w:marBottom w:val="0"/>
      <w:divBdr>
        <w:top w:val="none" w:sz="0" w:space="0" w:color="auto"/>
        <w:left w:val="none" w:sz="0" w:space="0" w:color="auto"/>
        <w:bottom w:val="none" w:sz="0" w:space="0" w:color="auto"/>
        <w:right w:val="none" w:sz="0" w:space="0" w:color="auto"/>
      </w:divBdr>
    </w:div>
    <w:div w:id="343751045">
      <w:bodyDiv w:val="1"/>
      <w:marLeft w:val="0"/>
      <w:marRight w:val="0"/>
      <w:marTop w:val="0"/>
      <w:marBottom w:val="0"/>
      <w:divBdr>
        <w:top w:val="none" w:sz="0" w:space="0" w:color="auto"/>
        <w:left w:val="none" w:sz="0" w:space="0" w:color="auto"/>
        <w:bottom w:val="none" w:sz="0" w:space="0" w:color="auto"/>
        <w:right w:val="none" w:sz="0" w:space="0" w:color="auto"/>
      </w:divBdr>
    </w:div>
    <w:div w:id="343827092">
      <w:bodyDiv w:val="1"/>
      <w:marLeft w:val="0"/>
      <w:marRight w:val="0"/>
      <w:marTop w:val="0"/>
      <w:marBottom w:val="0"/>
      <w:divBdr>
        <w:top w:val="none" w:sz="0" w:space="0" w:color="auto"/>
        <w:left w:val="none" w:sz="0" w:space="0" w:color="auto"/>
        <w:bottom w:val="none" w:sz="0" w:space="0" w:color="auto"/>
        <w:right w:val="none" w:sz="0" w:space="0" w:color="auto"/>
      </w:divBdr>
    </w:div>
    <w:div w:id="343827894">
      <w:bodyDiv w:val="1"/>
      <w:marLeft w:val="0"/>
      <w:marRight w:val="0"/>
      <w:marTop w:val="0"/>
      <w:marBottom w:val="0"/>
      <w:divBdr>
        <w:top w:val="none" w:sz="0" w:space="0" w:color="auto"/>
        <w:left w:val="none" w:sz="0" w:space="0" w:color="auto"/>
        <w:bottom w:val="none" w:sz="0" w:space="0" w:color="auto"/>
        <w:right w:val="none" w:sz="0" w:space="0" w:color="auto"/>
      </w:divBdr>
    </w:div>
    <w:div w:id="343867627">
      <w:bodyDiv w:val="1"/>
      <w:marLeft w:val="0"/>
      <w:marRight w:val="0"/>
      <w:marTop w:val="0"/>
      <w:marBottom w:val="0"/>
      <w:divBdr>
        <w:top w:val="none" w:sz="0" w:space="0" w:color="auto"/>
        <w:left w:val="none" w:sz="0" w:space="0" w:color="auto"/>
        <w:bottom w:val="none" w:sz="0" w:space="0" w:color="auto"/>
        <w:right w:val="none" w:sz="0" w:space="0" w:color="auto"/>
      </w:divBdr>
    </w:div>
    <w:div w:id="343897831">
      <w:bodyDiv w:val="1"/>
      <w:marLeft w:val="0"/>
      <w:marRight w:val="0"/>
      <w:marTop w:val="0"/>
      <w:marBottom w:val="0"/>
      <w:divBdr>
        <w:top w:val="none" w:sz="0" w:space="0" w:color="auto"/>
        <w:left w:val="none" w:sz="0" w:space="0" w:color="auto"/>
        <w:bottom w:val="none" w:sz="0" w:space="0" w:color="auto"/>
        <w:right w:val="none" w:sz="0" w:space="0" w:color="auto"/>
      </w:divBdr>
    </w:div>
    <w:div w:id="343938508">
      <w:bodyDiv w:val="1"/>
      <w:marLeft w:val="0"/>
      <w:marRight w:val="0"/>
      <w:marTop w:val="0"/>
      <w:marBottom w:val="0"/>
      <w:divBdr>
        <w:top w:val="none" w:sz="0" w:space="0" w:color="auto"/>
        <w:left w:val="none" w:sz="0" w:space="0" w:color="auto"/>
        <w:bottom w:val="none" w:sz="0" w:space="0" w:color="auto"/>
        <w:right w:val="none" w:sz="0" w:space="0" w:color="auto"/>
      </w:divBdr>
    </w:div>
    <w:div w:id="344020380">
      <w:bodyDiv w:val="1"/>
      <w:marLeft w:val="0"/>
      <w:marRight w:val="0"/>
      <w:marTop w:val="0"/>
      <w:marBottom w:val="0"/>
      <w:divBdr>
        <w:top w:val="none" w:sz="0" w:space="0" w:color="auto"/>
        <w:left w:val="none" w:sz="0" w:space="0" w:color="auto"/>
        <w:bottom w:val="none" w:sz="0" w:space="0" w:color="auto"/>
        <w:right w:val="none" w:sz="0" w:space="0" w:color="auto"/>
      </w:divBdr>
    </w:div>
    <w:div w:id="344020533">
      <w:bodyDiv w:val="1"/>
      <w:marLeft w:val="0"/>
      <w:marRight w:val="0"/>
      <w:marTop w:val="0"/>
      <w:marBottom w:val="0"/>
      <w:divBdr>
        <w:top w:val="none" w:sz="0" w:space="0" w:color="auto"/>
        <w:left w:val="none" w:sz="0" w:space="0" w:color="auto"/>
        <w:bottom w:val="none" w:sz="0" w:space="0" w:color="auto"/>
        <w:right w:val="none" w:sz="0" w:space="0" w:color="auto"/>
      </w:divBdr>
    </w:div>
    <w:div w:id="344207150">
      <w:bodyDiv w:val="1"/>
      <w:marLeft w:val="0"/>
      <w:marRight w:val="0"/>
      <w:marTop w:val="0"/>
      <w:marBottom w:val="0"/>
      <w:divBdr>
        <w:top w:val="none" w:sz="0" w:space="0" w:color="auto"/>
        <w:left w:val="none" w:sz="0" w:space="0" w:color="auto"/>
        <w:bottom w:val="none" w:sz="0" w:space="0" w:color="auto"/>
        <w:right w:val="none" w:sz="0" w:space="0" w:color="auto"/>
      </w:divBdr>
    </w:div>
    <w:div w:id="344214806">
      <w:bodyDiv w:val="1"/>
      <w:marLeft w:val="0"/>
      <w:marRight w:val="0"/>
      <w:marTop w:val="0"/>
      <w:marBottom w:val="0"/>
      <w:divBdr>
        <w:top w:val="none" w:sz="0" w:space="0" w:color="auto"/>
        <w:left w:val="none" w:sz="0" w:space="0" w:color="auto"/>
        <w:bottom w:val="none" w:sz="0" w:space="0" w:color="auto"/>
        <w:right w:val="none" w:sz="0" w:space="0" w:color="auto"/>
      </w:divBdr>
    </w:div>
    <w:div w:id="344283119">
      <w:bodyDiv w:val="1"/>
      <w:marLeft w:val="0"/>
      <w:marRight w:val="0"/>
      <w:marTop w:val="0"/>
      <w:marBottom w:val="0"/>
      <w:divBdr>
        <w:top w:val="none" w:sz="0" w:space="0" w:color="auto"/>
        <w:left w:val="none" w:sz="0" w:space="0" w:color="auto"/>
        <w:bottom w:val="none" w:sz="0" w:space="0" w:color="auto"/>
        <w:right w:val="none" w:sz="0" w:space="0" w:color="auto"/>
      </w:divBdr>
    </w:div>
    <w:div w:id="344289663">
      <w:bodyDiv w:val="1"/>
      <w:marLeft w:val="0"/>
      <w:marRight w:val="0"/>
      <w:marTop w:val="0"/>
      <w:marBottom w:val="0"/>
      <w:divBdr>
        <w:top w:val="none" w:sz="0" w:space="0" w:color="auto"/>
        <w:left w:val="none" w:sz="0" w:space="0" w:color="auto"/>
        <w:bottom w:val="none" w:sz="0" w:space="0" w:color="auto"/>
        <w:right w:val="none" w:sz="0" w:space="0" w:color="auto"/>
      </w:divBdr>
    </w:div>
    <w:div w:id="344328792">
      <w:bodyDiv w:val="1"/>
      <w:marLeft w:val="0"/>
      <w:marRight w:val="0"/>
      <w:marTop w:val="0"/>
      <w:marBottom w:val="0"/>
      <w:divBdr>
        <w:top w:val="none" w:sz="0" w:space="0" w:color="auto"/>
        <w:left w:val="none" w:sz="0" w:space="0" w:color="auto"/>
        <w:bottom w:val="none" w:sz="0" w:space="0" w:color="auto"/>
        <w:right w:val="none" w:sz="0" w:space="0" w:color="auto"/>
      </w:divBdr>
    </w:div>
    <w:div w:id="344331966">
      <w:bodyDiv w:val="1"/>
      <w:marLeft w:val="0"/>
      <w:marRight w:val="0"/>
      <w:marTop w:val="0"/>
      <w:marBottom w:val="0"/>
      <w:divBdr>
        <w:top w:val="none" w:sz="0" w:space="0" w:color="auto"/>
        <w:left w:val="none" w:sz="0" w:space="0" w:color="auto"/>
        <w:bottom w:val="none" w:sz="0" w:space="0" w:color="auto"/>
        <w:right w:val="none" w:sz="0" w:space="0" w:color="auto"/>
      </w:divBdr>
    </w:div>
    <w:div w:id="344483792">
      <w:bodyDiv w:val="1"/>
      <w:marLeft w:val="0"/>
      <w:marRight w:val="0"/>
      <w:marTop w:val="0"/>
      <w:marBottom w:val="0"/>
      <w:divBdr>
        <w:top w:val="none" w:sz="0" w:space="0" w:color="auto"/>
        <w:left w:val="none" w:sz="0" w:space="0" w:color="auto"/>
        <w:bottom w:val="none" w:sz="0" w:space="0" w:color="auto"/>
        <w:right w:val="none" w:sz="0" w:space="0" w:color="auto"/>
      </w:divBdr>
    </w:div>
    <w:div w:id="344554649">
      <w:bodyDiv w:val="1"/>
      <w:marLeft w:val="0"/>
      <w:marRight w:val="0"/>
      <w:marTop w:val="0"/>
      <w:marBottom w:val="0"/>
      <w:divBdr>
        <w:top w:val="none" w:sz="0" w:space="0" w:color="auto"/>
        <w:left w:val="none" w:sz="0" w:space="0" w:color="auto"/>
        <w:bottom w:val="none" w:sz="0" w:space="0" w:color="auto"/>
        <w:right w:val="none" w:sz="0" w:space="0" w:color="auto"/>
      </w:divBdr>
    </w:div>
    <w:div w:id="344555437">
      <w:bodyDiv w:val="1"/>
      <w:marLeft w:val="0"/>
      <w:marRight w:val="0"/>
      <w:marTop w:val="0"/>
      <w:marBottom w:val="0"/>
      <w:divBdr>
        <w:top w:val="none" w:sz="0" w:space="0" w:color="auto"/>
        <w:left w:val="none" w:sz="0" w:space="0" w:color="auto"/>
        <w:bottom w:val="none" w:sz="0" w:space="0" w:color="auto"/>
        <w:right w:val="none" w:sz="0" w:space="0" w:color="auto"/>
      </w:divBdr>
    </w:div>
    <w:div w:id="344673286">
      <w:bodyDiv w:val="1"/>
      <w:marLeft w:val="0"/>
      <w:marRight w:val="0"/>
      <w:marTop w:val="0"/>
      <w:marBottom w:val="0"/>
      <w:divBdr>
        <w:top w:val="none" w:sz="0" w:space="0" w:color="auto"/>
        <w:left w:val="none" w:sz="0" w:space="0" w:color="auto"/>
        <w:bottom w:val="none" w:sz="0" w:space="0" w:color="auto"/>
        <w:right w:val="none" w:sz="0" w:space="0" w:color="auto"/>
      </w:divBdr>
    </w:div>
    <w:div w:id="344677057">
      <w:bodyDiv w:val="1"/>
      <w:marLeft w:val="0"/>
      <w:marRight w:val="0"/>
      <w:marTop w:val="0"/>
      <w:marBottom w:val="0"/>
      <w:divBdr>
        <w:top w:val="none" w:sz="0" w:space="0" w:color="auto"/>
        <w:left w:val="none" w:sz="0" w:space="0" w:color="auto"/>
        <w:bottom w:val="none" w:sz="0" w:space="0" w:color="auto"/>
        <w:right w:val="none" w:sz="0" w:space="0" w:color="auto"/>
      </w:divBdr>
    </w:div>
    <w:div w:id="344744273">
      <w:bodyDiv w:val="1"/>
      <w:marLeft w:val="0"/>
      <w:marRight w:val="0"/>
      <w:marTop w:val="0"/>
      <w:marBottom w:val="0"/>
      <w:divBdr>
        <w:top w:val="none" w:sz="0" w:space="0" w:color="auto"/>
        <w:left w:val="none" w:sz="0" w:space="0" w:color="auto"/>
        <w:bottom w:val="none" w:sz="0" w:space="0" w:color="auto"/>
        <w:right w:val="none" w:sz="0" w:space="0" w:color="auto"/>
      </w:divBdr>
    </w:div>
    <w:div w:id="344788110">
      <w:bodyDiv w:val="1"/>
      <w:marLeft w:val="0"/>
      <w:marRight w:val="0"/>
      <w:marTop w:val="0"/>
      <w:marBottom w:val="0"/>
      <w:divBdr>
        <w:top w:val="none" w:sz="0" w:space="0" w:color="auto"/>
        <w:left w:val="none" w:sz="0" w:space="0" w:color="auto"/>
        <w:bottom w:val="none" w:sz="0" w:space="0" w:color="auto"/>
        <w:right w:val="none" w:sz="0" w:space="0" w:color="auto"/>
      </w:divBdr>
    </w:div>
    <w:div w:id="344863367">
      <w:bodyDiv w:val="1"/>
      <w:marLeft w:val="0"/>
      <w:marRight w:val="0"/>
      <w:marTop w:val="0"/>
      <w:marBottom w:val="0"/>
      <w:divBdr>
        <w:top w:val="none" w:sz="0" w:space="0" w:color="auto"/>
        <w:left w:val="none" w:sz="0" w:space="0" w:color="auto"/>
        <w:bottom w:val="none" w:sz="0" w:space="0" w:color="auto"/>
        <w:right w:val="none" w:sz="0" w:space="0" w:color="auto"/>
      </w:divBdr>
    </w:div>
    <w:div w:id="344864275">
      <w:bodyDiv w:val="1"/>
      <w:marLeft w:val="0"/>
      <w:marRight w:val="0"/>
      <w:marTop w:val="0"/>
      <w:marBottom w:val="0"/>
      <w:divBdr>
        <w:top w:val="none" w:sz="0" w:space="0" w:color="auto"/>
        <w:left w:val="none" w:sz="0" w:space="0" w:color="auto"/>
        <w:bottom w:val="none" w:sz="0" w:space="0" w:color="auto"/>
        <w:right w:val="none" w:sz="0" w:space="0" w:color="auto"/>
      </w:divBdr>
    </w:div>
    <w:div w:id="344864568">
      <w:bodyDiv w:val="1"/>
      <w:marLeft w:val="0"/>
      <w:marRight w:val="0"/>
      <w:marTop w:val="0"/>
      <w:marBottom w:val="0"/>
      <w:divBdr>
        <w:top w:val="none" w:sz="0" w:space="0" w:color="auto"/>
        <w:left w:val="none" w:sz="0" w:space="0" w:color="auto"/>
        <w:bottom w:val="none" w:sz="0" w:space="0" w:color="auto"/>
        <w:right w:val="none" w:sz="0" w:space="0" w:color="auto"/>
      </w:divBdr>
    </w:div>
    <w:div w:id="344864980">
      <w:bodyDiv w:val="1"/>
      <w:marLeft w:val="0"/>
      <w:marRight w:val="0"/>
      <w:marTop w:val="0"/>
      <w:marBottom w:val="0"/>
      <w:divBdr>
        <w:top w:val="none" w:sz="0" w:space="0" w:color="auto"/>
        <w:left w:val="none" w:sz="0" w:space="0" w:color="auto"/>
        <w:bottom w:val="none" w:sz="0" w:space="0" w:color="auto"/>
        <w:right w:val="none" w:sz="0" w:space="0" w:color="auto"/>
      </w:divBdr>
    </w:div>
    <w:div w:id="344869316">
      <w:bodyDiv w:val="1"/>
      <w:marLeft w:val="0"/>
      <w:marRight w:val="0"/>
      <w:marTop w:val="0"/>
      <w:marBottom w:val="0"/>
      <w:divBdr>
        <w:top w:val="none" w:sz="0" w:space="0" w:color="auto"/>
        <w:left w:val="none" w:sz="0" w:space="0" w:color="auto"/>
        <w:bottom w:val="none" w:sz="0" w:space="0" w:color="auto"/>
        <w:right w:val="none" w:sz="0" w:space="0" w:color="auto"/>
      </w:divBdr>
    </w:div>
    <w:div w:id="344869881">
      <w:bodyDiv w:val="1"/>
      <w:marLeft w:val="0"/>
      <w:marRight w:val="0"/>
      <w:marTop w:val="0"/>
      <w:marBottom w:val="0"/>
      <w:divBdr>
        <w:top w:val="none" w:sz="0" w:space="0" w:color="auto"/>
        <w:left w:val="none" w:sz="0" w:space="0" w:color="auto"/>
        <w:bottom w:val="none" w:sz="0" w:space="0" w:color="auto"/>
        <w:right w:val="none" w:sz="0" w:space="0" w:color="auto"/>
      </w:divBdr>
    </w:div>
    <w:div w:id="344945261">
      <w:bodyDiv w:val="1"/>
      <w:marLeft w:val="0"/>
      <w:marRight w:val="0"/>
      <w:marTop w:val="0"/>
      <w:marBottom w:val="0"/>
      <w:divBdr>
        <w:top w:val="none" w:sz="0" w:space="0" w:color="auto"/>
        <w:left w:val="none" w:sz="0" w:space="0" w:color="auto"/>
        <w:bottom w:val="none" w:sz="0" w:space="0" w:color="auto"/>
        <w:right w:val="none" w:sz="0" w:space="0" w:color="auto"/>
      </w:divBdr>
    </w:div>
    <w:div w:id="344985846">
      <w:bodyDiv w:val="1"/>
      <w:marLeft w:val="0"/>
      <w:marRight w:val="0"/>
      <w:marTop w:val="0"/>
      <w:marBottom w:val="0"/>
      <w:divBdr>
        <w:top w:val="none" w:sz="0" w:space="0" w:color="auto"/>
        <w:left w:val="none" w:sz="0" w:space="0" w:color="auto"/>
        <w:bottom w:val="none" w:sz="0" w:space="0" w:color="auto"/>
        <w:right w:val="none" w:sz="0" w:space="0" w:color="auto"/>
      </w:divBdr>
    </w:div>
    <w:div w:id="345056382">
      <w:bodyDiv w:val="1"/>
      <w:marLeft w:val="0"/>
      <w:marRight w:val="0"/>
      <w:marTop w:val="0"/>
      <w:marBottom w:val="0"/>
      <w:divBdr>
        <w:top w:val="none" w:sz="0" w:space="0" w:color="auto"/>
        <w:left w:val="none" w:sz="0" w:space="0" w:color="auto"/>
        <w:bottom w:val="none" w:sz="0" w:space="0" w:color="auto"/>
        <w:right w:val="none" w:sz="0" w:space="0" w:color="auto"/>
      </w:divBdr>
    </w:div>
    <w:div w:id="345057843">
      <w:bodyDiv w:val="1"/>
      <w:marLeft w:val="0"/>
      <w:marRight w:val="0"/>
      <w:marTop w:val="0"/>
      <w:marBottom w:val="0"/>
      <w:divBdr>
        <w:top w:val="none" w:sz="0" w:space="0" w:color="auto"/>
        <w:left w:val="none" w:sz="0" w:space="0" w:color="auto"/>
        <w:bottom w:val="none" w:sz="0" w:space="0" w:color="auto"/>
        <w:right w:val="none" w:sz="0" w:space="0" w:color="auto"/>
      </w:divBdr>
    </w:div>
    <w:div w:id="345061274">
      <w:bodyDiv w:val="1"/>
      <w:marLeft w:val="0"/>
      <w:marRight w:val="0"/>
      <w:marTop w:val="0"/>
      <w:marBottom w:val="0"/>
      <w:divBdr>
        <w:top w:val="none" w:sz="0" w:space="0" w:color="auto"/>
        <w:left w:val="none" w:sz="0" w:space="0" w:color="auto"/>
        <w:bottom w:val="none" w:sz="0" w:space="0" w:color="auto"/>
        <w:right w:val="none" w:sz="0" w:space="0" w:color="auto"/>
      </w:divBdr>
    </w:div>
    <w:div w:id="345136860">
      <w:bodyDiv w:val="1"/>
      <w:marLeft w:val="0"/>
      <w:marRight w:val="0"/>
      <w:marTop w:val="0"/>
      <w:marBottom w:val="0"/>
      <w:divBdr>
        <w:top w:val="none" w:sz="0" w:space="0" w:color="auto"/>
        <w:left w:val="none" w:sz="0" w:space="0" w:color="auto"/>
        <w:bottom w:val="none" w:sz="0" w:space="0" w:color="auto"/>
        <w:right w:val="none" w:sz="0" w:space="0" w:color="auto"/>
      </w:divBdr>
    </w:div>
    <w:div w:id="345206053">
      <w:bodyDiv w:val="1"/>
      <w:marLeft w:val="0"/>
      <w:marRight w:val="0"/>
      <w:marTop w:val="0"/>
      <w:marBottom w:val="0"/>
      <w:divBdr>
        <w:top w:val="none" w:sz="0" w:space="0" w:color="auto"/>
        <w:left w:val="none" w:sz="0" w:space="0" w:color="auto"/>
        <w:bottom w:val="none" w:sz="0" w:space="0" w:color="auto"/>
        <w:right w:val="none" w:sz="0" w:space="0" w:color="auto"/>
      </w:divBdr>
    </w:div>
    <w:div w:id="345326354">
      <w:bodyDiv w:val="1"/>
      <w:marLeft w:val="0"/>
      <w:marRight w:val="0"/>
      <w:marTop w:val="0"/>
      <w:marBottom w:val="0"/>
      <w:divBdr>
        <w:top w:val="none" w:sz="0" w:space="0" w:color="auto"/>
        <w:left w:val="none" w:sz="0" w:space="0" w:color="auto"/>
        <w:bottom w:val="none" w:sz="0" w:space="0" w:color="auto"/>
        <w:right w:val="none" w:sz="0" w:space="0" w:color="auto"/>
      </w:divBdr>
    </w:div>
    <w:div w:id="345445466">
      <w:bodyDiv w:val="1"/>
      <w:marLeft w:val="0"/>
      <w:marRight w:val="0"/>
      <w:marTop w:val="0"/>
      <w:marBottom w:val="0"/>
      <w:divBdr>
        <w:top w:val="none" w:sz="0" w:space="0" w:color="auto"/>
        <w:left w:val="none" w:sz="0" w:space="0" w:color="auto"/>
        <w:bottom w:val="none" w:sz="0" w:space="0" w:color="auto"/>
        <w:right w:val="none" w:sz="0" w:space="0" w:color="auto"/>
      </w:divBdr>
    </w:div>
    <w:div w:id="345449617">
      <w:bodyDiv w:val="1"/>
      <w:marLeft w:val="0"/>
      <w:marRight w:val="0"/>
      <w:marTop w:val="0"/>
      <w:marBottom w:val="0"/>
      <w:divBdr>
        <w:top w:val="none" w:sz="0" w:space="0" w:color="auto"/>
        <w:left w:val="none" w:sz="0" w:space="0" w:color="auto"/>
        <w:bottom w:val="none" w:sz="0" w:space="0" w:color="auto"/>
        <w:right w:val="none" w:sz="0" w:space="0" w:color="auto"/>
      </w:divBdr>
    </w:div>
    <w:div w:id="345519872">
      <w:bodyDiv w:val="1"/>
      <w:marLeft w:val="0"/>
      <w:marRight w:val="0"/>
      <w:marTop w:val="0"/>
      <w:marBottom w:val="0"/>
      <w:divBdr>
        <w:top w:val="none" w:sz="0" w:space="0" w:color="auto"/>
        <w:left w:val="none" w:sz="0" w:space="0" w:color="auto"/>
        <w:bottom w:val="none" w:sz="0" w:space="0" w:color="auto"/>
        <w:right w:val="none" w:sz="0" w:space="0" w:color="auto"/>
      </w:divBdr>
    </w:div>
    <w:div w:id="345593992">
      <w:bodyDiv w:val="1"/>
      <w:marLeft w:val="0"/>
      <w:marRight w:val="0"/>
      <w:marTop w:val="0"/>
      <w:marBottom w:val="0"/>
      <w:divBdr>
        <w:top w:val="none" w:sz="0" w:space="0" w:color="auto"/>
        <w:left w:val="none" w:sz="0" w:space="0" w:color="auto"/>
        <w:bottom w:val="none" w:sz="0" w:space="0" w:color="auto"/>
        <w:right w:val="none" w:sz="0" w:space="0" w:color="auto"/>
      </w:divBdr>
    </w:div>
    <w:div w:id="345594556">
      <w:bodyDiv w:val="1"/>
      <w:marLeft w:val="0"/>
      <w:marRight w:val="0"/>
      <w:marTop w:val="0"/>
      <w:marBottom w:val="0"/>
      <w:divBdr>
        <w:top w:val="none" w:sz="0" w:space="0" w:color="auto"/>
        <w:left w:val="none" w:sz="0" w:space="0" w:color="auto"/>
        <w:bottom w:val="none" w:sz="0" w:space="0" w:color="auto"/>
        <w:right w:val="none" w:sz="0" w:space="0" w:color="auto"/>
      </w:divBdr>
    </w:div>
    <w:div w:id="345601771">
      <w:bodyDiv w:val="1"/>
      <w:marLeft w:val="0"/>
      <w:marRight w:val="0"/>
      <w:marTop w:val="0"/>
      <w:marBottom w:val="0"/>
      <w:divBdr>
        <w:top w:val="none" w:sz="0" w:space="0" w:color="auto"/>
        <w:left w:val="none" w:sz="0" w:space="0" w:color="auto"/>
        <w:bottom w:val="none" w:sz="0" w:space="0" w:color="auto"/>
        <w:right w:val="none" w:sz="0" w:space="0" w:color="auto"/>
      </w:divBdr>
    </w:div>
    <w:div w:id="345789122">
      <w:bodyDiv w:val="1"/>
      <w:marLeft w:val="0"/>
      <w:marRight w:val="0"/>
      <w:marTop w:val="0"/>
      <w:marBottom w:val="0"/>
      <w:divBdr>
        <w:top w:val="none" w:sz="0" w:space="0" w:color="auto"/>
        <w:left w:val="none" w:sz="0" w:space="0" w:color="auto"/>
        <w:bottom w:val="none" w:sz="0" w:space="0" w:color="auto"/>
        <w:right w:val="none" w:sz="0" w:space="0" w:color="auto"/>
      </w:divBdr>
    </w:div>
    <w:div w:id="345794435">
      <w:bodyDiv w:val="1"/>
      <w:marLeft w:val="0"/>
      <w:marRight w:val="0"/>
      <w:marTop w:val="0"/>
      <w:marBottom w:val="0"/>
      <w:divBdr>
        <w:top w:val="none" w:sz="0" w:space="0" w:color="auto"/>
        <w:left w:val="none" w:sz="0" w:space="0" w:color="auto"/>
        <w:bottom w:val="none" w:sz="0" w:space="0" w:color="auto"/>
        <w:right w:val="none" w:sz="0" w:space="0" w:color="auto"/>
      </w:divBdr>
    </w:div>
    <w:div w:id="345911958">
      <w:bodyDiv w:val="1"/>
      <w:marLeft w:val="0"/>
      <w:marRight w:val="0"/>
      <w:marTop w:val="0"/>
      <w:marBottom w:val="0"/>
      <w:divBdr>
        <w:top w:val="none" w:sz="0" w:space="0" w:color="auto"/>
        <w:left w:val="none" w:sz="0" w:space="0" w:color="auto"/>
        <w:bottom w:val="none" w:sz="0" w:space="0" w:color="auto"/>
        <w:right w:val="none" w:sz="0" w:space="0" w:color="auto"/>
      </w:divBdr>
    </w:div>
    <w:div w:id="345987082">
      <w:bodyDiv w:val="1"/>
      <w:marLeft w:val="0"/>
      <w:marRight w:val="0"/>
      <w:marTop w:val="0"/>
      <w:marBottom w:val="0"/>
      <w:divBdr>
        <w:top w:val="none" w:sz="0" w:space="0" w:color="auto"/>
        <w:left w:val="none" w:sz="0" w:space="0" w:color="auto"/>
        <w:bottom w:val="none" w:sz="0" w:space="0" w:color="auto"/>
        <w:right w:val="none" w:sz="0" w:space="0" w:color="auto"/>
      </w:divBdr>
    </w:div>
    <w:div w:id="345987773">
      <w:bodyDiv w:val="1"/>
      <w:marLeft w:val="0"/>
      <w:marRight w:val="0"/>
      <w:marTop w:val="0"/>
      <w:marBottom w:val="0"/>
      <w:divBdr>
        <w:top w:val="none" w:sz="0" w:space="0" w:color="auto"/>
        <w:left w:val="none" w:sz="0" w:space="0" w:color="auto"/>
        <w:bottom w:val="none" w:sz="0" w:space="0" w:color="auto"/>
        <w:right w:val="none" w:sz="0" w:space="0" w:color="auto"/>
      </w:divBdr>
    </w:div>
    <w:div w:id="346105809">
      <w:bodyDiv w:val="1"/>
      <w:marLeft w:val="0"/>
      <w:marRight w:val="0"/>
      <w:marTop w:val="0"/>
      <w:marBottom w:val="0"/>
      <w:divBdr>
        <w:top w:val="none" w:sz="0" w:space="0" w:color="auto"/>
        <w:left w:val="none" w:sz="0" w:space="0" w:color="auto"/>
        <w:bottom w:val="none" w:sz="0" w:space="0" w:color="auto"/>
        <w:right w:val="none" w:sz="0" w:space="0" w:color="auto"/>
      </w:divBdr>
    </w:div>
    <w:div w:id="346174780">
      <w:bodyDiv w:val="1"/>
      <w:marLeft w:val="0"/>
      <w:marRight w:val="0"/>
      <w:marTop w:val="0"/>
      <w:marBottom w:val="0"/>
      <w:divBdr>
        <w:top w:val="none" w:sz="0" w:space="0" w:color="auto"/>
        <w:left w:val="none" w:sz="0" w:space="0" w:color="auto"/>
        <w:bottom w:val="none" w:sz="0" w:space="0" w:color="auto"/>
        <w:right w:val="none" w:sz="0" w:space="0" w:color="auto"/>
      </w:divBdr>
    </w:div>
    <w:div w:id="346251973">
      <w:bodyDiv w:val="1"/>
      <w:marLeft w:val="0"/>
      <w:marRight w:val="0"/>
      <w:marTop w:val="0"/>
      <w:marBottom w:val="0"/>
      <w:divBdr>
        <w:top w:val="none" w:sz="0" w:space="0" w:color="auto"/>
        <w:left w:val="none" w:sz="0" w:space="0" w:color="auto"/>
        <w:bottom w:val="none" w:sz="0" w:space="0" w:color="auto"/>
        <w:right w:val="none" w:sz="0" w:space="0" w:color="auto"/>
      </w:divBdr>
    </w:div>
    <w:div w:id="346254072">
      <w:bodyDiv w:val="1"/>
      <w:marLeft w:val="0"/>
      <w:marRight w:val="0"/>
      <w:marTop w:val="0"/>
      <w:marBottom w:val="0"/>
      <w:divBdr>
        <w:top w:val="none" w:sz="0" w:space="0" w:color="auto"/>
        <w:left w:val="none" w:sz="0" w:space="0" w:color="auto"/>
        <w:bottom w:val="none" w:sz="0" w:space="0" w:color="auto"/>
        <w:right w:val="none" w:sz="0" w:space="0" w:color="auto"/>
      </w:divBdr>
    </w:div>
    <w:div w:id="346256884">
      <w:bodyDiv w:val="1"/>
      <w:marLeft w:val="0"/>
      <w:marRight w:val="0"/>
      <w:marTop w:val="0"/>
      <w:marBottom w:val="0"/>
      <w:divBdr>
        <w:top w:val="none" w:sz="0" w:space="0" w:color="auto"/>
        <w:left w:val="none" w:sz="0" w:space="0" w:color="auto"/>
        <w:bottom w:val="none" w:sz="0" w:space="0" w:color="auto"/>
        <w:right w:val="none" w:sz="0" w:space="0" w:color="auto"/>
      </w:divBdr>
    </w:div>
    <w:div w:id="346296049">
      <w:bodyDiv w:val="1"/>
      <w:marLeft w:val="0"/>
      <w:marRight w:val="0"/>
      <w:marTop w:val="0"/>
      <w:marBottom w:val="0"/>
      <w:divBdr>
        <w:top w:val="none" w:sz="0" w:space="0" w:color="auto"/>
        <w:left w:val="none" w:sz="0" w:space="0" w:color="auto"/>
        <w:bottom w:val="none" w:sz="0" w:space="0" w:color="auto"/>
        <w:right w:val="none" w:sz="0" w:space="0" w:color="auto"/>
      </w:divBdr>
    </w:div>
    <w:div w:id="346296232">
      <w:bodyDiv w:val="1"/>
      <w:marLeft w:val="0"/>
      <w:marRight w:val="0"/>
      <w:marTop w:val="0"/>
      <w:marBottom w:val="0"/>
      <w:divBdr>
        <w:top w:val="none" w:sz="0" w:space="0" w:color="auto"/>
        <w:left w:val="none" w:sz="0" w:space="0" w:color="auto"/>
        <w:bottom w:val="none" w:sz="0" w:space="0" w:color="auto"/>
        <w:right w:val="none" w:sz="0" w:space="0" w:color="auto"/>
      </w:divBdr>
    </w:div>
    <w:div w:id="346369343">
      <w:bodyDiv w:val="1"/>
      <w:marLeft w:val="0"/>
      <w:marRight w:val="0"/>
      <w:marTop w:val="0"/>
      <w:marBottom w:val="0"/>
      <w:divBdr>
        <w:top w:val="none" w:sz="0" w:space="0" w:color="auto"/>
        <w:left w:val="none" w:sz="0" w:space="0" w:color="auto"/>
        <w:bottom w:val="none" w:sz="0" w:space="0" w:color="auto"/>
        <w:right w:val="none" w:sz="0" w:space="0" w:color="auto"/>
      </w:divBdr>
    </w:div>
    <w:div w:id="346445776">
      <w:bodyDiv w:val="1"/>
      <w:marLeft w:val="0"/>
      <w:marRight w:val="0"/>
      <w:marTop w:val="0"/>
      <w:marBottom w:val="0"/>
      <w:divBdr>
        <w:top w:val="none" w:sz="0" w:space="0" w:color="auto"/>
        <w:left w:val="none" w:sz="0" w:space="0" w:color="auto"/>
        <w:bottom w:val="none" w:sz="0" w:space="0" w:color="auto"/>
        <w:right w:val="none" w:sz="0" w:space="0" w:color="auto"/>
      </w:divBdr>
    </w:div>
    <w:div w:id="346560772">
      <w:bodyDiv w:val="1"/>
      <w:marLeft w:val="0"/>
      <w:marRight w:val="0"/>
      <w:marTop w:val="0"/>
      <w:marBottom w:val="0"/>
      <w:divBdr>
        <w:top w:val="none" w:sz="0" w:space="0" w:color="auto"/>
        <w:left w:val="none" w:sz="0" w:space="0" w:color="auto"/>
        <w:bottom w:val="none" w:sz="0" w:space="0" w:color="auto"/>
        <w:right w:val="none" w:sz="0" w:space="0" w:color="auto"/>
      </w:divBdr>
    </w:div>
    <w:div w:id="346643817">
      <w:bodyDiv w:val="1"/>
      <w:marLeft w:val="0"/>
      <w:marRight w:val="0"/>
      <w:marTop w:val="0"/>
      <w:marBottom w:val="0"/>
      <w:divBdr>
        <w:top w:val="none" w:sz="0" w:space="0" w:color="auto"/>
        <w:left w:val="none" w:sz="0" w:space="0" w:color="auto"/>
        <w:bottom w:val="none" w:sz="0" w:space="0" w:color="auto"/>
        <w:right w:val="none" w:sz="0" w:space="0" w:color="auto"/>
      </w:divBdr>
    </w:div>
    <w:div w:id="346643980">
      <w:bodyDiv w:val="1"/>
      <w:marLeft w:val="0"/>
      <w:marRight w:val="0"/>
      <w:marTop w:val="0"/>
      <w:marBottom w:val="0"/>
      <w:divBdr>
        <w:top w:val="none" w:sz="0" w:space="0" w:color="auto"/>
        <w:left w:val="none" w:sz="0" w:space="0" w:color="auto"/>
        <w:bottom w:val="none" w:sz="0" w:space="0" w:color="auto"/>
        <w:right w:val="none" w:sz="0" w:space="0" w:color="auto"/>
      </w:divBdr>
    </w:div>
    <w:div w:id="346709953">
      <w:bodyDiv w:val="1"/>
      <w:marLeft w:val="0"/>
      <w:marRight w:val="0"/>
      <w:marTop w:val="0"/>
      <w:marBottom w:val="0"/>
      <w:divBdr>
        <w:top w:val="none" w:sz="0" w:space="0" w:color="auto"/>
        <w:left w:val="none" w:sz="0" w:space="0" w:color="auto"/>
        <w:bottom w:val="none" w:sz="0" w:space="0" w:color="auto"/>
        <w:right w:val="none" w:sz="0" w:space="0" w:color="auto"/>
      </w:divBdr>
    </w:div>
    <w:div w:id="346905718">
      <w:bodyDiv w:val="1"/>
      <w:marLeft w:val="0"/>
      <w:marRight w:val="0"/>
      <w:marTop w:val="0"/>
      <w:marBottom w:val="0"/>
      <w:divBdr>
        <w:top w:val="none" w:sz="0" w:space="0" w:color="auto"/>
        <w:left w:val="none" w:sz="0" w:space="0" w:color="auto"/>
        <w:bottom w:val="none" w:sz="0" w:space="0" w:color="auto"/>
        <w:right w:val="none" w:sz="0" w:space="0" w:color="auto"/>
      </w:divBdr>
    </w:div>
    <w:div w:id="347289780">
      <w:bodyDiv w:val="1"/>
      <w:marLeft w:val="0"/>
      <w:marRight w:val="0"/>
      <w:marTop w:val="0"/>
      <w:marBottom w:val="0"/>
      <w:divBdr>
        <w:top w:val="none" w:sz="0" w:space="0" w:color="auto"/>
        <w:left w:val="none" w:sz="0" w:space="0" w:color="auto"/>
        <w:bottom w:val="none" w:sz="0" w:space="0" w:color="auto"/>
        <w:right w:val="none" w:sz="0" w:space="0" w:color="auto"/>
      </w:divBdr>
    </w:div>
    <w:div w:id="347290944">
      <w:bodyDiv w:val="1"/>
      <w:marLeft w:val="0"/>
      <w:marRight w:val="0"/>
      <w:marTop w:val="0"/>
      <w:marBottom w:val="0"/>
      <w:divBdr>
        <w:top w:val="none" w:sz="0" w:space="0" w:color="auto"/>
        <w:left w:val="none" w:sz="0" w:space="0" w:color="auto"/>
        <w:bottom w:val="none" w:sz="0" w:space="0" w:color="auto"/>
        <w:right w:val="none" w:sz="0" w:space="0" w:color="auto"/>
      </w:divBdr>
    </w:div>
    <w:div w:id="347366009">
      <w:bodyDiv w:val="1"/>
      <w:marLeft w:val="0"/>
      <w:marRight w:val="0"/>
      <w:marTop w:val="0"/>
      <w:marBottom w:val="0"/>
      <w:divBdr>
        <w:top w:val="none" w:sz="0" w:space="0" w:color="auto"/>
        <w:left w:val="none" w:sz="0" w:space="0" w:color="auto"/>
        <w:bottom w:val="none" w:sz="0" w:space="0" w:color="auto"/>
        <w:right w:val="none" w:sz="0" w:space="0" w:color="auto"/>
      </w:divBdr>
    </w:div>
    <w:div w:id="347485030">
      <w:bodyDiv w:val="1"/>
      <w:marLeft w:val="0"/>
      <w:marRight w:val="0"/>
      <w:marTop w:val="0"/>
      <w:marBottom w:val="0"/>
      <w:divBdr>
        <w:top w:val="none" w:sz="0" w:space="0" w:color="auto"/>
        <w:left w:val="none" w:sz="0" w:space="0" w:color="auto"/>
        <w:bottom w:val="none" w:sz="0" w:space="0" w:color="auto"/>
        <w:right w:val="none" w:sz="0" w:space="0" w:color="auto"/>
      </w:divBdr>
    </w:div>
    <w:div w:id="347485090">
      <w:bodyDiv w:val="1"/>
      <w:marLeft w:val="0"/>
      <w:marRight w:val="0"/>
      <w:marTop w:val="0"/>
      <w:marBottom w:val="0"/>
      <w:divBdr>
        <w:top w:val="none" w:sz="0" w:space="0" w:color="auto"/>
        <w:left w:val="none" w:sz="0" w:space="0" w:color="auto"/>
        <w:bottom w:val="none" w:sz="0" w:space="0" w:color="auto"/>
        <w:right w:val="none" w:sz="0" w:space="0" w:color="auto"/>
      </w:divBdr>
    </w:div>
    <w:div w:id="347804034">
      <w:bodyDiv w:val="1"/>
      <w:marLeft w:val="0"/>
      <w:marRight w:val="0"/>
      <w:marTop w:val="0"/>
      <w:marBottom w:val="0"/>
      <w:divBdr>
        <w:top w:val="none" w:sz="0" w:space="0" w:color="auto"/>
        <w:left w:val="none" w:sz="0" w:space="0" w:color="auto"/>
        <w:bottom w:val="none" w:sz="0" w:space="0" w:color="auto"/>
        <w:right w:val="none" w:sz="0" w:space="0" w:color="auto"/>
      </w:divBdr>
    </w:div>
    <w:div w:id="348027971">
      <w:bodyDiv w:val="1"/>
      <w:marLeft w:val="0"/>
      <w:marRight w:val="0"/>
      <w:marTop w:val="0"/>
      <w:marBottom w:val="0"/>
      <w:divBdr>
        <w:top w:val="none" w:sz="0" w:space="0" w:color="auto"/>
        <w:left w:val="none" w:sz="0" w:space="0" w:color="auto"/>
        <w:bottom w:val="none" w:sz="0" w:space="0" w:color="auto"/>
        <w:right w:val="none" w:sz="0" w:space="0" w:color="auto"/>
      </w:divBdr>
    </w:div>
    <w:div w:id="348064166">
      <w:bodyDiv w:val="1"/>
      <w:marLeft w:val="0"/>
      <w:marRight w:val="0"/>
      <w:marTop w:val="0"/>
      <w:marBottom w:val="0"/>
      <w:divBdr>
        <w:top w:val="none" w:sz="0" w:space="0" w:color="auto"/>
        <w:left w:val="none" w:sz="0" w:space="0" w:color="auto"/>
        <w:bottom w:val="none" w:sz="0" w:space="0" w:color="auto"/>
        <w:right w:val="none" w:sz="0" w:space="0" w:color="auto"/>
      </w:divBdr>
    </w:div>
    <w:div w:id="348068810">
      <w:bodyDiv w:val="1"/>
      <w:marLeft w:val="0"/>
      <w:marRight w:val="0"/>
      <w:marTop w:val="0"/>
      <w:marBottom w:val="0"/>
      <w:divBdr>
        <w:top w:val="none" w:sz="0" w:space="0" w:color="auto"/>
        <w:left w:val="none" w:sz="0" w:space="0" w:color="auto"/>
        <w:bottom w:val="none" w:sz="0" w:space="0" w:color="auto"/>
        <w:right w:val="none" w:sz="0" w:space="0" w:color="auto"/>
      </w:divBdr>
    </w:div>
    <w:div w:id="348214905">
      <w:bodyDiv w:val="1"/>
      <w:marLeft w:val="0"/>
      <w:marRight w:val="0"/>
      <w:marTop w:val="0"/>
      <w:marBottom w:val="0"/>
      <w:divBdr>
        <w:top w:val="none" w:sz="0" w:space="0" w:color="auto"/>
        <w:left w:val="none" w:sz="0" w:space="0" w:color="auto"/>
        <w:bottom w:val="none" w:sz="0" w:space="0" w:color="auto"/>
        <w:right w:val="none" w:sz="0" w:space="0" w:color="auto"/>
      </w:divBdr>
    </w:div>
    <w:div w:id="348332605">
      <w:bodyDiv w:val="1"/>
      <w:marLeft w:val="0"/>
      <w:marRight w:val="0"/>
      <w:marTop w:val="0"/>
      <w:marBottom w:val="0"/>
      <w:divBdr>
        <w:top w:val="none" w:sz="0" w:space="0" w:color="auto"/>
        <w:left w:val="none" w:sz="0" w:space="0" w:color="auto"/>
        <w:bottom w:val="none" w:sz="0" w:space="0" w:color="auto"/>
        <w:right w:val="none" w:sz="0" w:space="0" w:color="auto"/>
      </w:divBdr>
    </w:div>
    <w:div w:id="348602620">
      <w:bodyDiv w:val="1"/>
      <w:marLeft w:val="0"/>
      <w:marRight w:val="0"/>
      <w:marTop w:val="0"/>
      <w:marBottom w:val="0"/>
      <w:divBdr>
        <w:top w:val="none" w:sz="0" w:space="0" w:color="auto"/>
        <w:left w:val="none" w:sz="0" w:space="0" w:color="auto"/>
        <w:bottom w:val="none" w:sz="0" w:space="0" w:color="auto"/>
        <w:right w:val="none" w:sz="0" w:space="0" w:color="auto"/>
      </w:divBdr>
    </w:div>
    <w:div w:id="348604823">
      <w:bodyDiv w:val="1"/>
      <w:marLeft w:val="0"/>
      <w:marRight w:val="0"/>
      <w:marTop w:val="0"/>
      <w:marBottom w:val="0"/>
      <w:divBdr>
        <w:top w:val="none" w:sz="0" w:space="0" w:color="auto"/>
        <w:left w:val="none" w:sz="0" w:space="0" w:color="auto"/>
        <w:bottom w:val="none" w:sz="0" w:space="0" w:color="auto"/>
        <w:right w:val="none" w:sz="0" w:space="0" w:color="auto"/>
      </w:divBdr>
    </w:div>
    <w:div w:id="348607301">
      <w:bodyDiv w:val="1"/>
      <w:marLeft w:val="0"/>
      <w:marRight w:val="0"/>
      <w:marTop w:val="0"/>
      <w:marBottom w:val="0"/>
      <w:divBdr>
        <w:top w:val="none" w:sz="0" w:space="0" w:color="auto"/>
        <w:left w:val="none" w:sz="0" w:space="0" w:color="auto"/>
        <w:bottom w:val="none" w:sz="0" w:space="0" w:color="auto"/>
        <w:right w:val="none" w:sz="0" w:space="0" w:color="auto"/>
      </w:divBdr>
    </w:div>
    <w:div w:id="348724785">
      <w:bodyDiv w:val="1"/>
      <w:marLeft w:val="0"/>
      <w:marRight w:val="0"/>
      <w:marTop w:val="0"/>
      <w:marBottom w:val="0"/>
      <w:divBdr>
        <w:top w:val="none" w:sz="0" w:space="0" w:color="auto"/>
        <w:left w:val="none" w:sz="0" w:space="0" w:color="auto"/>
        <w:bottom w:val="none" w:sz="0" w:space="0" w:color="auto"/>
        <w:right w:val="none" w:sz="0" w:space="0" w:color="auto"/>
      </w:divBdr>
    </w:div>
    <w:div w:id="348797142">
      <w:bodyDiv w:val="1"/>
      <w:marLeft w:val="0"/>
      <w:marRight w:val="0"/>
      <w:marTop w:val="0"/>
      <w:marBottom w:val="0"/>
      <w:divBdr>
        <w:top w:val="none" w:sz="0" w:space="0" w:color="auto"/>
        <w:left w:val="none" w:sz="0" w:space="0" w:color="auto"/>
        <w:bottom w:val="none" w:sz="0" w:space="0" w:color="auto"/>
        <w:right w:val="none" w:sz="0" w:space="0" w:color="auto"/>
      </w:divBdr>
    </w:div>
    <w:div w:id="348877978">
      <w:bodyDiv w:val="1"/>
      <w:marLeft w:val="0"/>
      <w:marRight w:val="0"/>
      <w:marTop w:val="0"/>
      <w:marBottom w:val="0"/>
      <w:divBdr>
        <w:top w:val="none" w:sz="0" w:space="0" w:color="auto"/>
        <w:left w:val="none" w:sz="0" w:space="0" w:color="auto"/>
        <w:bottom w:val="none" w:sz="0" w:space="0" w:color="auto"/>
        <w:right w:val="none" w:sz="0" w:space="0" w:color="auto"/>
      </w:divBdr>
    </w:div>
    <w:div w:id="348994552">
      <w:bodyDiv w:val="1"/>
      <w:marLeft w:val="0"/>
      <w:marRight w:val="0"/>
      <w:marTop w:val="0"/>
      <w:marBottom w:val="0"/>
      <w:divBdr>
        <w:top w:val="none" w:sz="0" w:space="0" w:color="auto"/>
        <w:left w:val="none" w:sz="0" w:space="0" w:color="auto"/>
        <w:bottom w:val="none" w:sz="0" w:space="0" w:color="auto"/>
        <w:right w:val="none" w:sz="0" w:space="0" w:color="auto"/>
      </w:divBdr>
    </w:div>
    <w:div w:id="349110427">
      <w:bodyDiv w:val="1"/>
      <w:marLeft w:val="0"/>
      <w:marRight w:val="0"/>
      <w:marTop w:val="0"/>
      <w:marBottom w:val="0"/>
      <w:divBdr>
        <w:top w:val="none" w:sz="0" w:space="0" w:color="auto"/>
        <w:left w:val="none" w:sz="0" w:space="0" w:color="auto"/>
        <w:bottom w:val="none" w:sz="0" w:space="0" w:color="auto"/>
        <w:right w:val="none" w:sz="0" w:space="0" w:color="auto"/>
      </w:divBdr>
    </w:div>
    <w:div w:id="349111884">
      <w:bodyDiv w:val="1"/>
      <w:marLeft w:val="0"/>
      <w:marRight w:val="0"/>
      <w:marTop w:val="0"/>
      <w:marBottom w:val="0"/>
      <w:divBdr>
        <w:top w:val="none" w:sz="0" w:space="0" w:color="auto"/>
        <w:left w:val="none" w:sz="0" w:space="0" w:color="auto"/>
        <w:bottom w:val="none" w:sz="0" w:space="0" w:color="auto"/>
        <w:right w:val="none" w:sz="0" w:space="0" w:color="auto"/>
      </w:divBdr>
    </w:div>
    <w:div w:id="349181661">
      <w:bodyDiv w:val="1"/>
      <w:marLeft w:val="0"/>
      <w:marRight w:val="0"/>
      <w:marTop w:val="0"/>
      <w:marBottom w:val="0"/>
      <w:divBdr>
        <w:top w:val="none" w:sz="0" w:space="0" w:color="auto"/>
        <w:left w:val="none" w:sz="0" w:space="0" w:color="auto"/>
        <w:bottom w:val="none" w:sz="0" w:space="0" w:color="auto"/>
        <w:right w:val="none" w:sz="0" w:space="0" w:color="auto"/>
      </w:divBdr>
    </w:div>
    <w:div w:id="349256831">
      <w:bodyDiv w:val="1"/>
      <w:marLeft w:val="0"/>
      <w:marRight w:val="0"/>
      <w:marTop w:val="0"/>
      <w:marBottom w:val="0"/>
      <w:divBdr>
        <w:top w:val="none" w:sz="0" w:space="0" w:color="auto"/>
        <w:left w:val="none" w:sz="0" w:space="0" w:color="auto"/>
        <w:bottom w:val="none" w:sz="0" w:space="0" w:color="auto"/>
        <w:right w:val="none" w:sz="0" w:space="0" w:color="auto"/>
      </w:divBdr>
    </w:div>
    <w:div w:id="349450598">
      <w:bodyDiv w:val="1"/>
      <w:marLeft w:val="0"/>
      <w:marRight w:val="0"/>
      <w:marTop w:val="0"/>
      <w:marBottom w:val="0"/>
      <w:divBdr>
        <w:top w:val="none" w:sz="0" w:space="0" w:color="auto"/>
        <w:left w:val="none" w:sz="0" w:space="0" w:color="auto"/>
        <w:bottom w:val="none" w:sz="0" w:space="0" w:color="auto"/>
        <w:right w:val="none" w:sz="0" w:space="0" w:color="auto"/>
      </w:divBdr>
    </w:div>
    <w:div w:id="349573604">
      <w:bodyDiv w:val="1"/>
      <w:marLeft w:val="0"/>
      <w:marRight w:val="0"/>
      <w:marTop w:val="0"/>
      <w:marBottom w:val="0"/>
      <w:divBdr>
        <w:top w:val="none" w:sz="0" w:space="0" w:color="auto"/>
        <w:left w:val="none" w:sz="0" w:space="0" w:color="auto"/>
        <w:bottom w:val="none" w:sz="0" w:space="0" w:color="auto"/>
        <w:right w:val="none" w:sz="0" w:space="0" w:color="auto"/>
      </w:divBdr>
    </w:div>
    <w:div w:id="349601013">
      <w:bodyDiv w:val="1"/>
      <w:marLeft w:val="0"/>
      <w:marRight w:val="0"/>
      <w:marTop w:val="0"/>
      <w:marBottom w:val="0"/>
      <w:divBdr>
        <w:top w:val="none" w:sz="0" w:space="0" w:color="auto"/>
        <w:left w:val="none" w:sz="0" w:space="0" w:color="auto"/>
        <w:bottom w:val="none" w:sz="0" w:space="0" w:color="auto"/>
        <w:right w:val="none" w:sz="0" w:space="0" w:color="auto"/>
      </w:divBdr>
    </w:div>
    <w:div w:id="349765642">
      <w:bodyDiv w:val="1"/>
      <w:marLeft w:val="0"/>
      <w:marRight w:val="0"/>
      <w:marTop w:val="0"/>
      <w:marBottom w:val="0"/>
      <w:divBdr>
        <w:top w:val="none" w:sz="0" w:space="0" w:color="auto"/>
        <w:left w:val="none" w:sz="0" w:space="0" w:color="auto"/>
        <w:bottom w:val="none" w:sz="0" w:space="0" w:color="auto"/>
        <w:right w:val="none" w:sz="0" w:space="0" w:color="auto"/>
      </w:divBdr>
    </w:div>
    <w:div w:id="349798352">
      <w:bodyDiv w:val="1"/>
      <w:marLeft w:val="0"/>
      <w:marRight w:val="0"/>
      <w:marTop w:val="0"/>
      <w:marBottom w:val="0"/>
      <w:divBdr>
        <w:top w:val="none" w:sz="0" w:space="0" w:color="auto"/>
        <w:left w:val="none" w:sz="0" w:space="0" w:color="auto"/>
        <w:bottom w:val="none" w:sz="0" w:space="0" w:color="auto"/>
        <w:right w:val="none" w:sz="0" w:space="0" w:color="auto"/>
      </w:divBdr>
    </w:div>
    <w:div w:id="349914186">
      <w:bodyDiv w:val="1"/>
      <w:marLeft w:val="0"/>
      <w:marRight w:val="0"/>
      <w:marTop w:val="0"/>
      <w:marBottom w:val="0"/>
      <w:divBdr>
        <w:top w:val="none" w:sz="0" w:space="0" w:color="auto"/>
        <w:left w:val="none" w:sz="0" w:space="0" w:color="auto"/>
        <w:bottom w:val="none" w:sz="0" w:space="0" w:color="auto"/>
        <w:right w:val="none" w:sz="0" w:space="0" w:color="auto"/>
      </w:divBdr>
    </w:div>
    <w:div w:id="349914313">
      <w:bodyDiv w:val="1"/>
      <w:marLeft w:val="0"/>
      <w:marRight w:val="0"/>
      <w:marTop w:val="0"/>
      <w:marBottom w:val="0"/>
      <w:divBdr>
        <w:top w:val="none" w:sz="0" w:space="0" w:color="auto"/>
        <w:left w:val="none" w:sz="0" w:space="0" w:color="auto"/>
        <w:bottom w:val="none" w:sz="0" w:space="0" w:color="auto"/>
        <w:right w:val="none" w:sz="0" w:space="0" w:color="auto"/>
      </w:divBdr>
    </w:div>
    <w:div w:id="349990096">
      <w:bodyDiv w:val="1"/>
      <w:marLeft w:val="0"/>
      <w:marRight w:val="0"/>
      <w:marTop w:val="0"/>
      <w:marBottom w:val="0"/>
      <w:divBdr>
        <w:top w:val="none" w:sz="0" w:space="0" w:color="auto"/>
        <w:left w:val="none" w:sz="0" w:space="0" w:color="auto"/>
        <w:bottom w:val="none" w:sz="0" w:space="0" w:color="auto"/>
        <w:right w:val="none" w:sz="0" w:space="0" w:color="auto"/>
      </w:divBdr>
    </w:div>
    <w:div w:id="350033850">
      <w:bodyDiv w:val="1"/>
      <w:marLeft w:val="0"/>
      <w:marRight w:val="0"/>
      <w:marTop w:val="0"/>
      <w:marBottom w:val="0"/>
      <w:divBdr>
        <w:top w:val="none" w:sz="0" w:space="0" w:color="auto"/>
        <w:left w:val="none" w:sz="0" w:space="0" w:color="auto"/>
        <w:bottom w:val="none" w:sz="0" w:space="0" w:color="auto"/>
        <w:right w:val="none" w:sz="0" w:space="0" w:color="auto"/>
      </w:divBdr>
    </w:div>
    <w:div w:id="350111713">
      <w:bodyDiv w:val="1"/>
      <w:marLeft w:val="0"/>
      <w:marRight w:val="0"/>
      <w:marTop w:val="0"/>
      <w:marBottom w:val="0"/>
      <w:divBdr>
        <w:top w:val="none" w:sz="0" w:space="0" w:color="auto"/>
        <w:left w:val="none" w:sz="0" w:space="0" w:color="auto"/>
        <w:bottom w:val="none" w:sz="0" w:space="0" w:color="auto"/>
        <w:right w:val="none" w:sz="0" w:space="0" w:color="auto"/>
      </w:divBdr>
    </w:div>
    <w:div w:id="350303248">
      <w:bodyDiv w:val="1"/>
      <w:marLeft w:val="0"/>
      <w:marRight w:val="0"/>
      <w:marTop w:val="0"/>
      <w:marBottom w:val="0"/>
      <w:divBdr>
        <w:top w:val="none" w:sz="0" w:space="0" w:color="auto"/>
        <w:left w:val="none" w:sz="0" w:space="0" w:color="auto"/>
        <w:bottom w:val="none" w:sz="0" w:space="0" w:color="auto"/>
        <w:right w:val="none" w:sz="0" w:space="0" w:color="auto"/>
      </w:divBdr>
    </w:div>
    <w:div w:id="350423576">
      <w:bodyDiv w:val="1"/>
      <w:marLeft w:val="0"/>
      <w:marRight w:val="0"/>
      <w:marTop w:val="0"/>
      <w:marBottom w:val="0"/>
      <w:divBdr>
        <w:top w:val="none" w:sz="0" w:space="0" w:color="auto"/>
        <w:left w:val="none" w:sz="0" w:space="0" w:color="auto"/>
        <w:bottom w:val="none" w:sz="0" w:space="0" w:color="auto"/>
        <w:right w:val="none" w:sz="0" w:space="0" w:color="auto"/>
      </w:divBdr>
    </w:div>
    <w:div w:id="350642684">
      <w:bodyDiv w:val="1"/>
      <w:marLeft w:val="0"/>
      <w:marRight w:val="0"/>
      <w:marTop w:val="0"/>
      <w:marBottom w:val="0"/>
      <w:divBdr>
        <w:top w:val="none" w:sz="0" w:space="0" w:color="auto"/>
        <w:left w:val="none" w:sz="0" w:space="0" w:color="auto"/>
        <w:bottom w:val="none" w:sz="0" w:space="0" w:color="auto"/>
        <w:right w:val="none" w:sz="0" w:space="0" w:color="auto"/>
      </w:divBdr>
    </w:div>
    <w:div w:id="350761682">
      <w:bodyDiv w:val="1"/>
      <w:marLeft w:val="0"/>
      <w:marRight w:val="0"/>
      <w:marTop w:val="0"/>
      <w:marBottom w:val="0"/>
      <w:divBdr>
        <w:top w:val="none" w:sz="0" w:space="0" w:color="auto"/>
        <w:left w:val="none" w:sz="0" w:space="0" w:color="auto"/>
        <w:bottom w:val="none" w:sz="0" w:space="0" w:color="auto"/>
        <w:right w:val="none" w:sz="0" w:space="0" w:color="auto"/>
      </w:divBdr>
    </w:div>
    <w:div w:id="350765394">
      <w:bodyDiv w:val="1"/>
      <w:marLeft w:val="0"/>
      <w:marRight w:val="0"/>
      <w:marTop w:val="0"/>
      <w:marBottom w:val="0"/>
      <w:divBdr>
        <w:top w:val="none" w:sz="0" w:space="0" w:color="auto"/>
        <w:left w:val="none" w:sz="0" w:space="0" w:color="auto"/>
        <w:bottom w:val="none" w:sz="0" w:space="0" w:color="auto"/>
        <w:right w:val="none" w:sz="0" w:space="0" w:color="auto"/>
      </w:divBdr>
    </w:div>
    <w:div w:id="350765798">
      <w:bodyDiv w:val="1"/>
      <w:marLeft w:val="0"/>
      <w:marRight w:val="0"/>
      <w:marTop w:val="0"/>
      <w:marBottom w:val="0"/>
      <w:divBdr>
        <w:top w:val="none" w:sz="0" w:space="0" w:color="auto"/>
        <w:left w:val="none" w:sz="0" w:space="0" w:color="auto"/>
        <w:bottom w:val="none" w:sz="0" w:space="0" w:color="auto"/>
        <w:right w:val="none" w:sz="0" w:space="0" w:color="auto"/>
      </w:divBdr>
    </w:div>
    <w:div w:id="350836320">
      <w:bodyDiv w:val="1"/>
      <w:marLeft w:val="0"/>
      <w:marRight w:val="0"/>
      <w:marTop w:val="0"/>
      <w:marBottom w:val="0"/>
      <w:divBdr>
        <w:top w:val="none" w:sz="0" w:space="0" w:color="auto"/>
        <w:left w:val="none" w:sz="0" w:space="0" w:color="auto"/>
        <w:bottom w:val="none" w:sz="0" w:space="0" w:color="auto"/>
        <w:right w:val="none" w:sz="0" w:space="0" w:color="auto"/>
      </w:divBdr>
    </w:div>
    <w:div w:id="350837994">
      <w:bodyDiv w:val="1"/>
      <w:marLeft w:val="0"/>
      <w:marRight w:val="0"/>
      <w:marTop w:val="0"/>
      <w:marBottom w:val="0"/>
      <w:divBdr>
        <w:top w:val="none" w:sz="0" w:space="0" w:color="auto"/>
        <w:left w:val="none" w:sz="0" w:space="0" w:color="auto"/>
        <w:bottom w:val="none" w:sz="0" w:space="0" w:color="auto"/>
        <w:right w:val="none" w:sz="0" w:space="0" w:color="auto"/>
      </w:divBdr>
    </w:div>
    <w:div w:id="350883248">
      <w:bodyDiv w:val="1"/>
      <w:marLeft w:val="0"/>
      <w:marRight w:val="0"/>
      <w:marTop w:val="0"/>
      <w:marBottom w:val="0"/>
      <w:divBdr>
        <w:top w:val="none" w:sz="0" w:space="0" w:color="auto"/>
        <w:left w:val="none" w:sz="0" w:space="0" w:color="auto"/>
        <w:bottom w:val="none" w:sz="0" w:space="0" w:color="auto"/>
        <w:right w:val="none" w:sz="0" w:space="0" w:color="auto"/>
      </w:divBdr>
    </w:div>
    <w:div w:id="350953454">
      <w:bodyDiv w:val="1"/>
      <w:marLeft w:val="0"/>
      <w:marRight w:val="0"/>
      <w:marTop w:val="0"/>
      <w:marBottom w:val="0"/>
      <w:divBdr>
        <w:top w:val="none" w:sz="0" w:space="0" w:color="auto"/>
        <w:left w:val="none" w:sz="0" w:space="0" w:color="auto"/>
        <w:bottom w:val="none" w:sz="0" w:space="0" w:color="auto"/>
        <w:right w:val="none" w:sz="0" w:space="0" w:color="auto"/>
      </w:divBdr>
    </w:div>
    <w:div w:id="351106432">
      <w:bodyDiv w:val="1"/>
      <w:marLeft w:val="0"/>
      <w:marRight w:val="0"/>
      <w:marTop w:val="0"/>
      <w:marBottom w:val="0"/>
      <w:divBdr>
        <w:top w:val="none" w:sz="0" w:space="0" w:color="auto"/>
        <w:left w:val="none" w:sz="0" w:space="0" w:color="auto"/>
        <w:bottom w:val="none" w:sz="0" w:space="0" w:color="auto"/>
        <w:right w:val="none" w:sz="0" w:space="0" w:color="auto"/>
      </w:divBdr>
    </w:div>
    <w:div w:id="351148027">
      <w:bodyDiv w:val="1"/>
      <w:marLeft w:val="0"/>
      <w:marRight w:val="0"/>
      <w:marTop w:val="0"/>
      <w:marBottom w:val="0"/>
      <w:divBdr>
        <w:top w:val="none" w:sz="0" w:space="0" w:color="auto"/>
        <w:left w:val="none" w:sz="0" w:space="0" w:color="auto"/>
        <w:bottom w:val="none" w:sz="0" w:space="0" w:color="auto"/>
        <w:right w:val="none" w:sz="0" w:space="0" w:color="auto"/>
      </w:divBdr>
    </w:div>
    <w:div w:id="351492025">
      <w:bodyDiv w:val="1"/>
      <w:marLeft w:val="0"/>
      <w:marRight w:val="0"/>
      <w:marTop w:val="0"/>
      <w:marBottom w:val="0"/>
      <w:divBdr>
        <w:top w:val="none" w:sz="0" w:space="0" w:color="auto"/>
        <w:left w:val="none" w:sz="0" w:space="0" w:color="auto"/>
        <w:bottom w:val="none" w:sz="0" w:space="0" w:color="auto"/>
        <w:right w:val="none" w:sz="0" w:space="0" w:color="auto"/>
      </w:divBdr>
    </w:div>
    <w:div w:id="351497116">
      <w:bodyDiv w:val="1"/>
      <w:marLeft w:val="0"/>
      <w:marRight w:val="0"/>
      <w:marTop w:val="0"/>
      <w:marBottom w:val="0"/>
      <w:divBdr>
        <w:top w:val="none" w:sz="0" w:space="0" w:color="auto"/>
        <w:left w:val="none" w:sz="0" w:space="0" w:color="auto"/>
        <w:bottom w:val="none" w:sz="0" w:space="0" w:color="auto"/>
        <w:right w:val="none" w:sz="0" w:space="0" w:color="auto"/>
      </w:divBdr>
    </w:div>
    <w:div w:id="351609562">
      <w:bodyDiv w:val="1"/>
      <w:marLeft w:val="0"/>
      <w:marRight w:val="0"/>
      <w:marTop w:val="0"/>
      <w:marBottom w:val="0"/>
      <w:divBdr>
        <w:top w:val="none" w:sz="0" w:space="0" w:color="auto"/>
        <w:left w:val="none" w:sz="0" w:space="0" w:color="auto"/>
        <w:bottom w:val="none" w:sz="0" w:space="0" w:color="auto"/>
        <w:right w:val="none" w:sz="0" w:space="0" w:color="auto"/>
      </w:divBdr>
    </w:div>
    <w:div w:id="351687820">
      <w:bodyDiv w:val="1"/>
      <w:marLeft w:val="0"/>
      <w:marRight w:val="0"/>
      <w:marTop w:val="0"/>
      <w:marBottom w:val="0"/>
      <w:divBdr>
        <w:top w:val="none" w:sz="0" w:space="0" w:color="auto"/>
        <w:left w:val="none" w:sz="0" w:space="0" w:color="auto"/>
        <w:bottom w:val="none" w:sz="0" w:space="0" w:color="auto"/>
        <w:right w:val="none" w:sz="0" w:space="0" w:color="auto"/>
      </w:divBdr>
    </w:div>
    <w:div w:id="351689572">
      <w:bodyDiv w:val="1"/>
      <w:marLeft w:val="0"/>
      <w:marRight w:val="0"/>
      <w:marTop w:val="0"/>
      <w:marBottom w:val="0"/>
      <w:divBdr>
        <w:top w:val="none" w:sz="0" w:space="0" w:color="auto"/>
        <w:left w:val="none" w:sz="0" w:space="0" w:color="auto"/>
        <w:bottom w:val="none" w:sz="0" w:space="0" w:color="auto"/>
        <w:right w:val="none" w:sz="0" w:space="0" w:color="auto"/>
      </w:divBdr>
    </w:div>
    <w:div w:id="351691358">
      <w:bodyDiv w:val="1"/>
      <w:marLeft w:val="0"/>
      <w:marRight w:val="0"/>
      <w:marTop w:val="0"/>
      <w:marBottom w:val="0"/>
      <w:divBdr>
        <w:top w:val="none" w:sz="0" w:space="0" w:color="auto"/>
        <w:left w:val="none" w:sz="0" w:space="0" w:color="auto"/>
        <w:bottom w:val="none" w:sz="0" w:space="0" w:color="auto"/>
        <w:right w:val="none" w:sz="0" w:space="0" w:color="auto"/>
      </w:divBdr>
    </w:div>
    <w:div w:id="351692099">
      <w:bodyDiv w:val="1"/>
      <w:marLeft w:val="0"/>
      <w:marRight w:val="0"/>
      <w:marTop w:val="0"/>
      <w:marBottom w:val="0"/>
      <w:divBdr>
        <w:top w:val="none" w:sz="0" w:space="0" w:color="auto"/>
        <w:left w:val="none" w:sz="0" w:space="0" w:color="auto"/>
        <w:bottom w:val="none" w:sz="0" w:space="0" w:color="auto"/>
        <w:right w:val="none" w:sz="0" w:space="0" w:color="auto"/>
      </w:divBdr>
    </w:div>
    <w:div w:id="351804528">
      <w:bodyDiv w:val="1"/>
      <w:marLeft w:val="0"/>
      <w:marRight w:val="0"/>
      <w:marTop w:val="0"/>
      <w:marBottom w:val="0"/>
      <w:divBdr>
        <w:top w:val="none" w:sz="0" w:space="0" w:color="auto"/>
        <w:left w:val="none" w:sz="0" w:space="0" w:color="auto"/>
        <w:bottom w:val="none" w:sz="0" w:space="0" w:color="auto"/>
        <w:right w:val="none" w:sz="0" w:space="0" w:color="auto"/>
      </w:divBdr>
    </w:div>
    <w:div w:id="351878776">
      <w:bodyDiv w:val="1"/>
      <w:marLeft w:val="0"/>
      <w:marRight w:val="0"/>
      <w:marTop w:val="0"/>
      <w:marBottom w:val="0"/>
      <w:divBdr>
        <w:top w:val="none" w:sz="0" w:space="0" w:color="auto"/>
        <w:left w:val="none" w:sz="0" w:space="0" w:color="auto"/>
        <w:bottom w:val="none" w:sz="0" w:space="0" w:color="auto"/>
        <w:right w:val="none" w:sz="0" w:space="0" w:color="auto"/>
      </w:divBdr>
    </w:div>
    <w:div w:id="351956096">
      <w:bodyDiv w:val="1"/>
      <w:marLeft w:val="0"/>
      <w:marRight w:val="0"/>
      <w:marTop w:val="0"/>
      <w:marBottom w:val="0"/>
      <w:divBdr>
        <w:top w:val="none" w:sz="0" w:space="0" w:color="auto"/>
        <w:left w:val="none" w:sz="0" w:space="0" w:color="auto"/>
        <w:bottom w:val="none" w:sz="0" w:space="0" w:color="auto"/>
        <w:right w:val="none" w:sz="0" w:space="0" w:color="auto"/>
      </w:divBdr>
    </w:div>
    <w:div w:id="351957045">
      <w:bodyDiv w:val="1"/>
      <w:marLeft w:val="0"/>
      <w:marRight w:val="0"/>
      <w:marTop w:val="0"/>
      <w:marBottom w:val="0"/>
      <w:divBdr>
        <w:top w:val="none" w:sz="0" w:space="0" w:color="auto"/>
        <w:left w:val="none" w:sz="0" w:space="0" w:color="auto"/>
        <w:bottom w:val="none" w:sz="0" w:space="0" w:color="auto"/>
        <w:right w:val="none" w:sz="0" w:space="0" w:color="auto"/>
      </w:divBdr>
    </w:div>
    <w:div w:id="351997376">
      <w:bodyDiv w:val="1"/>
      <w:marLeft w:val="0"/>
      <w:marRight w:val="0"/>
      <w:marTop w:val="0"/>
      <w:marBottom w:val="0"/>
      <w:divBdr>
        <w:top w:val="none" w:sz="0" w:space="0" w:color="auto"/>
        <w:left w:val="none" w:sz="0" w:space="0" w:color="auto"/>
        <w:bottom w:val="none" w:sz="0" w:space="0" w:color="auto"/>
        <w:right w:val="none" w:sz="0" w:space="0" w:color="auto"/>
      </w:divBdr>
    </w:div>
    <w:div w:id="352000812">
      <w:bodyDiv w:val="1"/>
      <w:marLeft w:val="0"/>
      <w:marRight w:val="0"/>
      <w:marTop w:val="0"/>
      <w:marBottom w:val="0"/>
      <w:divBdr>
        <w:top w:val="none" w:sz="0" w:space="0" w:color="auto"/>
        <w:left w:val="none" w:sz="0" w:space="0" w:color="auto"/>
        <w:bottom w:val="none" w:sz="0" w:space="0" w:color="auto"/>
        <w:right w:val="none" w:sz="0" w:space="0" w:color="auto"/>
      </w:divBdr>
    </w:div>
    <w:div w:id="352003709">
      <w:bodyDiv w:val="1"/>
      <w:marLeft w:val="0"/>
      <w:marRight w:val="0"/>
      <w:marTop w:val="0"/>
      <w:marBottom w:val="0"/>
      <w:divBdr>
        <w:top w:val="none" w:sz="0" w:space="0" w:color="auto"/>
        <w:left w:val="none" w:sz="0" w:space="0" w:color="auto"/>
        <w:bottom w:val="none" w:sz="0" w:space="0" w:color="auto"/>
        <w:right w:val="none" w:sz="0" w:space="0" w:color="auto"/>
      </w:divBdr>
    </w:div>
    <w:div w:id="352078333">
      <w:bodyDiv w:val="1"/>
      <w:marLeft w:val="0"/>
      <w:marRight w:val="0"/>
      <w:marTop w:val="0"/>
      <w:marBottom w:val="0"/>
      <w:divBdr>
        <w:top w:val="none" w:sz="0" w:space="0" w:color="auto"/>
        <w:left w:val="none" w:sz="0" w:space="0" w:color="auto"/>
        <w:bottom w:val="none" w:sz="0" w:space="0" w:color="auto"/>
        <w:right w:val="none" w:sz="0" w:space="0" w:color="auto"/>
      </w:divBdr>
    </w:div>
    <w:div w:id="352191459">
      <w:bodyDiv w:val="1"/>
      <w:marLeft w:val="0"/>
      <w:marRight w:val="0"/>
      <w:marTop w:val="0"/>
      <w:marBottom w:val="0"/>
      <w:divBdr>
        <w:top w:val="none" w:sz="0" w:space="0" w:color="auto"/>
        <w:left w:val="none" w:sz="0" w:space="0" w:color="auto"/>
        <w:bottom w:val="none" w:sz="0" w:space="0" w:color="auto"/>
        <w:right w:val="none" w:sz="0" w:space="0" w:color="auto"/>
      </w:divBdr>
    </w:div>
    <w:div w:id="352271514">
      <w:bodyDiv w:val="1"/>
      <w:marLeft w:val="0"/>
      <w:marRight w:val="0"/>
      <w:marTop w:val="0"/>
      <w:marBottom w:val="0"/>
      <w:divBdr>
        <w:top w:val="none" w:sz="0" w:space="0" w:color="auto"/>
        <w:left w:val="none" w:sz="0" w:space="0" w:color="auto"/>
        <w:bottom w:val="none" w:sz="0" w:space="0" w:color="auto"/>
        <w:right w:val="none" w:sz="0" w:space="0" w:color="auto"/>
      </w:divBdr>
    </w:div>
    <w:div w:id="352457706">
      <w:bodyDiv w:val="1"/>
      <w:marLeft w:val="0"/>
      <w:marRight w:val="0"/>
      <w:marTop w:val="0"/>
      <w:marBottom w:val="0"/>
      <w:divBdr>
        <w:top w:val="none" w:sz="0" w:space="0" w:color="auto"/>
        <w:left w:val="none" w:sz="0" w:space="0" w:color="auto"/>
        <w:bottom w:val="none" w:sz="0" w:space="0" w:color="auto"/>
        <w:right w:val="none" w:sz="0" w:space="0" w:color="auto"/>
      </w:divBdr>
    </w:div>
    <w:div w:id="352459652">
      <w:bodyDiv w:val="1"/>
      <w:marLeft w:val="0"/>
      <w:marRight w:val="0"/>
      <w:marTop w:val="0"/>
      <w:marBottom w:val="0"/>
      <w:divBdr>
        <w:top w:val="none" w:sz="0" w:space="0" w:color="auto"/>
        <w:left w:val="none" w:sz="0" w:space="0" w:color="auto"/>
        <w:bottom w:val="none" w:sz="0" w:space="0" w:color="auto"/>
        <w:right w:val="none" w:sz="0" w:space="0" w:color="auto"/>
      </w:divBdr>
    </w:div>
    <w:div w:id="352462462">
      <w:bodyDiv w:val="1"/>
      <w:marLeft w:val="0"/>
      <w:marRight w:val="0"/>
      <w:marTop w:val="0"/>
      <w:marBottom w:val="0"/>
      <w:divBdr>
        <w:top w:val="none" w:sz="0" w:space="0" w:color="auto"/>
        <w:left w:val="none" w:sz="0" w:space="0" w:color="auto"/>
        <w:bottom w:val="none" w:sz="0" w:space="0" w:color="auto"/>
        <w:right w:val="none" w:sz="0" w:space="0" w:color="auto"/>
      </w:divBdr>
    </w:div>
    <w:div w:id="352463114">
      <w:bodyDiv w:val="1"/>
      <w:marLeft w:val="0"/>
      <w:marRight w:val="0"/>
      <w:marTop w:val="0"/>
      <w:marBottom w:val="0"/>
      <w:divBdr>
        <w:top w:val="none" w:sz="0" w:space="0" w:color="auto"/>
        <w:left w:val="none" w:sz="0" w:space="0" w:color="auto"/>
        <w:bottom w:val="none" w:sz="0" w:space="0" w:color="auto"/>
        <w:right w:val="none" w:sz="0" w:space="0" w:color="auto"/>
      </w:divBdr>
    </w:div>
    <w:div w:id="352541293">
      <w:bodyDiv w:val="1"/>
      <w:marLeft w:val="0"/>
      <w:marRight w:val="0"/>
      <w:marTop w:val="0"/>
      <w:marBottom w:val="0"/>
      <w:divBdr>
        <w:top w:val="none" w:sz="0" w:space="0" w:color="auto"/>
        <w:left w:val="none" w:sz="0" w:space="0" w:color="auto"/>
        <w:bottom w:val="none" w:sz="0" w:space="0" w:color="auto"/>
        <w:right w:val="none" w:sz="0" w:space="0" w:color="auto"/>
      </w:divBdr>
    </w:div>
    <w:div w:id="352607633">
      <w:bodyDiv w:val="1"/>
      <w:marLeft w:val="0"/>
      <w:marRight w:val="0"/>
      <w:marTop w:val="0"/>
      <w:marBottom w:val="0"/>
      <w:divBdr>
        <w:top w:val="none" w:sz="0" w:space="0" w:color="auto"/>
        <w:left w:val="none" w:sz="0" w:space="0" w:color="auto"/>
        <w:bottom w:val="none" w:sz="0" w:space="0" w:color="auto"/>
        <w:right w:val="none" w:sz="0" w:space="0" w:color="auto"/>
      </w:divBdr>
    </w:div>
    <w:div w:id="352733920">
      <w:bodyDiv w:val="1"/>
      <w:marLeft w:val="0"/>
      <w:marRight w:val="0"/>
      <w:marTop w:val="0"/>
      <w:marBottom w:val="0"/>
      <w:divBdr>
        <w:top w:val="none" w:sz="0" w:space="0" w:color="auto"/>
        <w:left w:val="none" w:sz="0" w:space="0" w:color="auto"/>
        <w:bottom w:val="none" w:sz="0" w:space="0" w:color="auto"/>
        <w:right w:val="none" w:sz="0" w:space="0" w:color="auto"/>
      </w:divBdr>
    </w:div>
    <w:div w:id="352805532">
      <w:bodyDiv w:val="1"/>
      <w:marLeft w:val="0"/>
      <w:marRight w:val="0"/>
      <w:marTop w:val="0"/>
      <w:marBottom w:val="0"/>
      <w:divBdr>
        <w:top w:val="none" w:sz="0" w:space="0" w:color="auto"/>
        <w:left w:val="none" w:sz="0" w:space="0" w:color="auto"/>
        <w:bottom w:val="none" w:sz="0" w:space="0" w:color="auto"/>
        <w:right w:val="none" w:sz="0" w:space="0" w:color="auto"/>
      </w:divBdr>
    </w:div>
    <w:div w:id="352876197">
      <w:bodyDiv w:val="1"/>
      <w:marLeft w:val="0"/>
      <w:marRight w:val="0"/>
      <w:marTop w:val="0"/>
      <w:marBottom w:val="0"/>
      <w:divBdr>
        <w:top w:val="none" w:sz="0" w:space="0" w:color="auto"/>
        <w:left w:val="none" w:sz="0" w:space="0" w:color="auto"/>
        <w:bottom w:val="none" w:sz="0" w:space="0" w:color="auto"/>
        <w:right w:val="none" w:sz="0" w:space="0" w:color="auto"/>
      </w:divBdr>
    </w:div>
    <w:div w:id="352919955">
      <w:bodyDiv w:val="1"/>
      <w:marLeft w:val="0"/>
      <w:marRight w:val="0"/>
      <w:marTop w:val="0"/>
      <w:marBottom w:val="0"/>
      <w:divBdr>
        <w:top w:val="none" w:sz="0" w:space="0" w:color="auto"/>
        <w:left w:val="none" w:sz="0" w:space="0" w:color="auto"/>
        <w:bottom w:val="none" w:sz="0" w:space="0" w:color="auto"/>
        <w:right w:val="none" w:sz="0" w:space="0" w:color="auto"/>
      </w:divBdr>
    </w:div>
    <w:div w:id="353000446">
      <w:bodyDiv w:val="1"/>
      <w:marLeft w:val="0"/>
      <w:marRight w:val="0"/>
      <w:marTop w:val="0"/>
      <w:marBottom w:val="0"/>
      <w:divBdr>
        <w:top w:val="none" w:sz="0" w:space="0" w:color="auto"/>
        <w:left w:val="none" w:sz="0" w:space="0" w:color="auto"/>
        <w:bottom w:val="none" w:sz="0" w:space="0" w:color="auto"/>
        <w:right w:val="none" w:sz="0" w:space="0" w:color="auto"/>
      </w:divBdr>
    </w:div>
    <w:div w:id="353043047">
      <w:bodyDiv w:val="1"/>
      <w:marLeft w:val="0"/>
      <w:marRight w:val="0"/>
      <w:marTop w:val="0"/>
      <w:marBottom w:val="0"/>
      <w:divBdr>
        <w:top w:val="none" w:sz="0" w:space="0" w:color="auto"/>
        <w:left w:val="none" w:sz="0" w:space="0" w:color="auto"/>
        <w:bottom w:val="none" w:sz="0" w:space="0" w:color="auto"/>
        <w:right w:val="none" w:sz="0" w:space="0" w:color="auto"/>
      </w:divBdr>
    </w:div>
    <w:div w:id="353190537">
      <w:bodyDiv w:val="1"/>
      <w:marLeft w:val="0"/>
      <w:marRight w:val="0"/>
      <w:marTop w:val="0"/>
      <w:marBottom w:val="0"/>
      <w:divBdr>
        <w:top w:val="none" w:sz="0" w:space="0" w:color="auto"/>
        <w:left w:val="none" w:sz="0" w:space="0" w:color="auto"/>
        <w:bottom w:val="none" w:sz="0" w:space="0" w:color="auto"/>
        <w:right w:val="none" w:sz="0" w:space="0" w:color="auto"/>
      </w:divBdr>
    </w:div>
    <w:div w:id="353192325">
      <w:bodyDiv w:val="1"/>
      <w:marLeft w:val="0"/>
      <w:marRight w:val="0"/>
      <w:marTop w:val="0"/>
      <w:marBottom w:val="0"/>
      <w:divBdr>
        <w:top w:val="none" w:sz="0" w:space="0" w:color="auto"/>
        <w:left w:val="none" w:sz="0" w:space="0" w:color="auto"/>
        <w:bottom w:val="none" w:sz="0" w:space="0" w:color="auto"/>
        <w:right w:val="none" w:sz="0" w:space="0" w:color="auto"/>
      </w:divBdr>
    </w:div>
    <w:div w:id="353265045">
      <w:bodyDiv w:val="1"/>
      <w:marLeft w:val="0"/>
      <w:marRight w:val="0"/>
      <w:marTop w:val="0"/>
      <w:marBottom w:val="0"/>
      <w:divBdr>
        <w:top w:val="none" w:sz="0" w:space="0" w:color="auto"/>
        <w:left w:val="none" w:sz="0" w:space="0" w:color="auto"/>
        <w:bottom w:val="none" w:sz="0" w:space="0" w:color="auto"/>
        <w:right w:val="none" w:sz="0" w:space="0" w:color="auto"/>
      </w:divBdr>
    </w:div>
    <w:div w:id="353384735">
      <w:bodyDiv w:val="1"/>
      <w:marLeft w:val="0"/>
      <w:marRight w:val="0"/>
      <w:marTop w:val="0"/>
      <w:marBottom w:val="0"/>
      <w:divBdr>
        <w:top w:val="none" w:sz="0" w:space="0" w:color="auto"/>
        <w:left w:val="none" w:sz="0" w:space="0" w:color="auto"/>
        <w:bottom w:val="none" w:sz="0" w:space="0" w:color="auto"/>
        <w:right w:val="none" w:sz="0" w:space="0" w:color="auto"/>
      </w:divBdr>
    </w:div>
    <w:div w:id="353506765">
      <w:bodyDiv w:val="1"/>
      <w:marLeft w:val="0"/>
      <w:marRight w:val="0"/>
      <w:marTop w:val="0"/>
      <w:marBottom w:val="0"/>
      <w:divBdr>
        <w:top w:val="none" w:sz="0" w:space="0" w:color="auto"/>
        <w:left w:val="none" w:sz="0" w:space="0" w:color="auto"/>
        <w:bottom w:val="none" w:sz="0" w:space="0" w:color="auto"/>
        <w:right w:val="none" w:sz="0" w:space="0" w:color="auto"/>
      </w:divBdr>
    </w:div>
    <w:div w:id="353651785">
      <w:bodyDiv w:val="1"/>
      <w:marLeft w:val="0"/>
      <w:marRight w:val="0"/>
      <w:marTop w:val="0"/>
      <w:marBottom w:val="0"/>
      <w:divBdr>
        <w:top w:val="none" w:sz="0" w:space="0" w:color="auto"/>
        <w:left w:val="none" w:sz="0" w:space="0" w:color="auto"/>
        <w:bottom w:val="none" w:sz="0" w:space="0" w:color="auto"/>
        <w:right w:val="none" w:sz="0" w:space="0" w:color="auto"/>
      </w:divBdr>
    </w:div>
    <w:div w:id="353657558">
      <w:bodyDiv w:val="1"/>
      <w:marLeft w:val="0"/>
      <w:marRight w:val="0"/>
      <w:marTop w:val="0"/>
      <w:marBottom w:val="0"/>
      <w:divBdr>
        <w:top w:val="none" w:sz="0" w:space="0" w:color="auto"/>
        <w:left w:val="none" w:sz="0" w:space="0" w:color="auto"/>
        <w:bottom w:val="none" w:sz="0" w:space="0" w:color="auto"/>
        <w:right w:val="none" w:sz="0" w:space="0" w:color="auto"/>
      </w:divBdr>
    </w:div>
    <w:div w:id="353842564">
      <w:bodyDiv w:val="1"/>
      <w:marLeft w:val="0"/>
      <w:marRight w:val="0"/>
      <w:marTop w:val="0"/>
      <w:marBottom w:val="0"/>
      <w:divBdr>
        <w:top w:val="none" w:sz="0" w:space="0" w:color="auto"/>
        <w:left w:val="none" w:sz="0" w:space="0" w:color="auto"/>
        <w:bottom w:val="none" w:sz="0" w:space="0" w:color="auto"/>
        <w:right w:val="none" w:sz="0" w:space="0" w:color="auto"/>
      </w:divBdr>
    </w:div>
    <w:div w:id="353845102">
      <w:bodyDiv w:val="1"/>
      <w:marLeft w:val="0"/>
      <w:marRight w:val="0"/>
      <w:marTop w:val="0"/>
      <w:marBottom w:val="0"/>
      <w:divBdr>
        <w:top w:val="none" w:sz="0" w:space="0" w:color="auto"/>
        <w:left w:val="none" w:sz="0" w:space="0" w:color="auto"/>
        <w:bottom w:val="none" w:sz="0" w:space="0" w:color="auto"/>
        <w:right w:val="none" w:sz="0" w:space="0" w:color="auto"/>
      </w:divBdr>
    </w:div>
    <w:div w:id="353845519">
      <w:bodyDiv w:val="1"/>
      <w:marLeft w:val="0"/>
      <w:marRight w:val="0"/>
      <w:marTop w:val="0"/>
      <w:marBottom w:val="0"/>
      <w:divBdr>
        <w:top w:val="none" w:sz="0" w:space="0" w:color="auto"/>
        <w:left w:val="none" w:sz="0" w:space="0" w:color="auto"/>
        <w:bottom w:val="none" w:sz="0" w:space="0" w:color="auto"/>
        <w:right w:val="none" w:sz="0" w:space="0" w:color="auto"/>
      </w:divBdr>
    </w:div>
    <w:div w:id="353851956">
      <w:bodyDiv w:val="1"/>
      <w:marLeft w:val="0"/>
      <w:marRight w:val="0"/>
      <w:marTop w:val="0"/>
      <w:marBottom w:val="0"/>
      <w:divBdr>
        <w:top w:val="none" w:sz="0" w:space="0" w:color="auto"/>
        <w:left w:val="none" w:sz="0" w:space="0" w:color="auto"/>
        <w:bottom w:val="none" w:sz="0" w:space="0" w:color="auto"/>
        <w:right w:val="none" w:sz="0" w:space="0" w:color="auto"/>
      </w:divBdr>
    </w:div>
    <w:div w:id="353920236">
      <w:bodyDiv w:val="1"/>
      <w:marLeft w:val="0"/>
      <w:marRight w:val="0"/>
      <w:marTop w:val="0"/>
      <w:marBottom w:val="0"/>
      <w:divBdr>
        <w:top w:val="none" w:sz="0" w:space="0" w:color="auto"/>
        <w:left w:val="none" w:sz="0" w:space="0" w:color="auto"/>
        <w:bottom w:val="none" w:sz="0" w:space="0" w:color="auto"/>
        <w:right w:val="none" w:sz="0" w:space="0" w:color="auto"/>
      </w:divBdr>
    </w:div>
    <w:div w:id="353965697">
      <w:bodyDiv w:val="1"/>
      <w:marLeft w:val="0"/>
      <w:marRight w:val="0"/>
      <w:marTop w:val="0"/>
      <w:marBottom w:val="0"/>
      <w:divBdr>
        <w:top w:val="none" w:sz="0" w:space="0" w:color="auto"/>
        <w:left w:val="none" w:sz="0" w:space="0" w:color="auto"/>
        <w:bottom w:val="none" w:sz="0" w:space="0" w:color="auto"/>
        <w:right w:val="none" w:sz="0" w:space="0" w:color="auto"/>
      </w:divBdr>
    </w:div>
    <w:div w:id="354044458">
      <w:bodyDiv w:val="1"/>
      <w:marLeft w:val="0"/>
      <w:marRight w:val="0"/>
      <w:marTop w:val="0"/>
      <w:marBottom w:val="0"/>
      <w:divBdr>
        <w:top w:val="none" w:sz="0" w:space="0" w:color="auto"/>
        <w:left w:val="none" w:sz="0" w:space="0" w:color="auto"/>
        <w:bottom w:val="none" w:sz="0" w:space="0" w:color="auto"/>
        <w:right w:val="none" w:sz="0" w:space="0" w:color="auto"/>
      </w:divBdr>
    </w:div>
    <w:div w:id="354160042">
      <w:bodyDiv w:val="1"/>
      <w:marLeft w:val="0"/>
      <w:marRight w:val="0"/>
      <w:marTop w:val="0"/>
      <w:marBottom w:val="0"/>
      <w:divBdr>
        <w:top w:val="none" w:sz="0" w:space="0" w:color="auto"/>
        <w:left w:val="none" w:sz="0" w:space="0" w:color="auto"/>
        <w:bottom w:val="none" w:sz="0" w:space="0" w:color="auto"/>
        <w:right w:val="none" w:sz="0" w:space="0" w:color="auto"/>
      </w:divBdr>
    </w:div>
    <w:div w:id="354187594">
      <w:bodyDiv w:val="1"/>
      <w:marLeft w:val="0"/>
      <w:marRight w:val="0"/>
      <w:marTop w:val="0"/>
      <w:marBottom w:val="0"/>
      <w:divBdr>
        <w:top w:val="none" w:sz="0" w:space="0" w:color="auto"/>
        <w:left w:val="none" w:sz="0" w:space="0" w:color="auto"/>
        <w:bottom w:val="none" w:sz="0" w:space="0" w:color="auto"/>
        <w:right w:val="none" w:sz="0" w:space="0" w:color="auto"/>
      </w:divBdr>
    </w:div>
    <w:div w:id="354232531">
      <w:bodyDiv w:val="1"/>
      <w:marLeft w:val="0"/>
      <w:marRight w:val="0"/>
      <w:marTop w:val="0"/>
      <w:marBottom w:val="0"/>
      <w:divBdr>
        <w:top w:val="none" w:sz="0" w:space="0" w:color="auto"/>
        <w:left w:val="none" w:sz="0" w:space="0" w:color="auto"/>
        <w:bottom w:val="none" w:sz="0" w:space="0" w:color="auto"/>
        <w:right w:val="none" w:sz="0" w:space="0" w:color="auto"/>
      </w:divBdr>
    </w:div>
    <w:div w:id="354306761">
      <w:bodyDiv w:val="1"/>
      <w:marLeft w:val="0"/>
      <w:marRight w:val="0"/>
      <w:marTop w:val="0"/>
      <w:marBottom w:val="0"/>
      <w:divBdr>
        <w:top w:val="none" w:sz="0" w:space="0" w:color="auto"/>
        <w:left w:val="none" w:sz="0" w:space="0" w:color="auto"/>
        <w:bottom w:val="none" w:sz="0" w:space="0" w:color="auto"/>
        <w:right w:val="none" w:sz="0" w:space="0" w:color="auto"/>
      </w:divBdr>
    </w:div>
    <w:div w:id="354380138">
      <w:bodyDiv w:val="1"/>
      <w:marLeft w:val="0"/>
      <w:marRight w:val="0"/>
      <w:marTop w:val="0"/>
      <w:marBottom w:val="0"/>
      <w:divBdr>
        <w:top w:val="none" w:sz="0" w:space="0" w:color="auto"/>
        <w:left w:val="none" w:sz="0" w:space="0" w:color="auto"/>
        <w:bottom w:val="none" w:sz="0" w:space="0" w:color="auto"/>
        <w:right w:val="none" w:sz="0" w:space="0" w:color="auto"/>
      </w:divBdr>
    </w:div>
    <w:div w:id="354384184">
      <w:bodyDiv w:val="1"/>
      <w:marLeft w:val="0"/>
      <w:marRight w:val="0"/>
      <w:marTop w:val="0"/>
      <w:marBottom w:val="0"/>
      <w:divBdr>
        <w:top w:val="none" w:sz="0" w:space="0" w:color="auto"/>
        <w:left w:val="none" w:sz="0" w:space="0" w:color="auto"/>
        <w:bottom w:val="none" w:sz="0" w:space="0" w:color="auto"/>
        <w:right w:val="none" w:sz="0" w:space="0" w:color="auto"/>
      </w:divBdr>
    </w:div>
    <w:div w:id="354428671">
      <w:bodyDiv w:val="1"/>
      <w:marLeft w:val="0"/>
      <w:marRight w:val="0"/>
      <w:marTop w:val="0"/>
      <w:marBottom w:val="0"/>
      <w:divBdr>
        <w:top w:val="none" w:sz="0" w:space="0" w:color="auto"/>
        <w:left w:val="none" w:sz="0" w:space="0" w:color="auto"/>
        <w:bottom w:val="none" w:sz="0" w:space="0" w:color="auto"/>
        <w:right w:val="none" w:sz="0" w:space="0" w:color="auto"/>
      </w:divBdr>
    </w:div>
    <w:div w:id="354577690">
      <w:bodyDiv w:val="1"/>
      <w:marLeft w:val="0"/>
      <w:marRight w:val="0"/>
      <w:marTop w:val="0"/>
      <w:marBottom w:val="0"/>
      <w:divBdr>
        <w:top w:val="none" w:sz="0" w:space="0" w:color="auto"/>
        <w:left w:val="none" w:sz="0" w:space="0" w:color="auto"/>
        <w:bottom w:val="none" w:sz="0" w:space="0" w:color="auto"/>
        <w:right w:val="none" w:sz="0" w:space="0" w:color="auto"/>
      </w:divBdr>
    </w:div>
    <w:div w:id="354617170">
      <w:bodyDiv w:val="1"/>
      <w:marLeft w:val="0"/>
      <w:marRight w:val="0"/>
      <w:marTop w:val="0"/>
      <w:marBottom w:val="0"/>
      <w:divBdr>
        <w:top w:val="none" w:sz="0" w:space="0" w:color="auto"/>
        <w:left w:val="none" w:sz="0" w:space="0" w:color="auto"/>
        <w:bottom w:val="none" w:sz="0" w:space="0" w:color="auto"/>
        <w:right w:val="none" w:sz="0" w:space="0" w:color="auto"/>
      </w:divBdr>
    </w:div>
    <w:div w:id="354767541">
      <w:bodyDiv w:val="1"/>
      <w:marLeft w:val="0"/>
      <w:marRight w:val="0"/>
      <w:marTop w:val="0"/>
      <w:marBottom w:val="0"/>
      <w:divBdr>
        <w:top w:val="none" w:sz="0" w:space="0" w:color="auto"/>
        <w:left w:val="none" w:sz="0" w:space="0" w:color="auto"/>
        <w:bottom w:val="none" w:sz="0" w:space="0" w:color="auto"/>
        <w:right w:val="none" w:sz="0" w:space="0" w:color="auto"/>
      </w:divBdr>
    </w:div>
    <w:div w:id="354769978">
      <w:bodyDiv w:val="1"/>
      <w:marLeft w:val="0"/>
      <w:marRight w:val="0"/>
      <w:marTop w:val="0"/>
      <w:marBottom w:val="0"/>
      <w:divBdr>
        <w:top w:val="none" w:sz="0" w:space="0" w:color="auto"/>
        <w:left w:val="none" w:sz="0" w:space="0" w:color="auto"/>
        <w:bottom w:val="none" w:sz="0" w:space="0" w:color="auto"/>
        <w:right w:val="none" w:sz="0" w:space="0" w:color="auto"/>
      </w:divBdr>
    </w:div>
    <w:div w:id="354773733">
      <w:bodyDiv w:val="1"/>
      <w:marLeft w:val="0"/>
      <w:marRight w:val="0"/>
      <w:marTop w:val="0"/>
      <w:marBottom w:val="0"/>
      <w:divBdr>
        <w:top w:val="none" w:sz="0" w:space="0" w:color="auto"/>
        <w:left w:val="none" w:sz="0" w:space="0" w:color="auto"/>
        <w:bottom w:val="none" w:sz="0" w:space="0" w:color="auto"/>
        <w:right w:val="none" w:sz="0" w:space="0" w:color="auto"/>
      </w:divBdr>
    </w:div>
    <w:div w:id="354961237">
      <w:bodyDiv w:val="1"/>
      <w:marLeft w:val="0"/>
      <w:marRight w:val="0"/>
      <w:marTop w:val="0"/>
      <w:marBottom w:val="0"/>
      <w:divBdr>
        <w:top w:val="none" w:sz="0" w:space="0" w:color="auto"/>
        <w:left w:val="none" w:sz="0" w:space="0" w:color="auto"/>
        <w:bottom w:val="none" w:sz="0" w:space="0" w:color="auto"/>
        <w:right w:val="none" w:sz="0" w:space="0" w:color="auto"/>
      </w:divBdr>
    </w:div>
    <w:div w:id="355279570">
      <w:bodyDiv w:val="1"/>
      <w:marLeft w:val="0"/>
      <w:marRight w:val="0"/>
      <w:marTop w:val="0"/>
      <w:marBottom w:val="0"/>
      <w:divBdr>
        <w:top w:val="none" w:sz="0" w:space="0" w:color="auto"/>
        <w:left w:val="none" w:sz="0" w:space="0" w:color="auto"/>
        <w:bottom w:val="none" w:sz="0" w:space="0" w:color="auto"/>
        <w:right w:val="none" w:sz="0" w:space="0" w:color="auto"/>
      </w:divBdr>
    </w:div>
    <w:div w:id="355351156">
      <w:bodyDiv w:val="1"/>
      <w:marLeft w:val="0"/>
      <w:marRight w:val="0"/>
      <w:marTop w:val="0"/>
      <w:marBottom w:val="0"/>
      <w:divBdr>
        <w:top w:val="none" w:sz="0" w:space="0" w:color="auto"/>
        <w:left w:val="none" w:sz="0" w:space="0" w:color="auto"/>
        <w:bottom w:val="none" w:sz="0" w:space="0" w:color="auto"/>
        <w:right w:val="none" w:sz="0" w:space="0" w:color="auto"/>
      </w:divBdr>
    </w:div>
    <w:div w:id="355470661">
      <w:bodyDiv w:val="1"/>
      <w:marLeft w:val="0"/>
      <w:marRight w:val="0"/>
      <w:marTop w:val="0"/>
      <w:marBottom w:val="0"/>
      <w:divBdr>
        <w:top w:val="none" w:sz="0" w:space="0" w:color="auto"/>
        <w:left w:val="none" w:sz="0" w:space="0" w:color="auto"/>
        <w:bottom w:val="none" w:sz="0" w:space="0" w:color="auto"/>
        <w:right w:val="none" w:sz="0" w:space="0" w:color="auto"/>
      </w:divBdr>
    </w:div>
    <w:div w:id="355497020">
      <w:bodyDiv w:val="1"/>
      <w:marLeft w:val="0"/>
      <w:marRight w:val="0"/>
      <w:marTop w:val="0"/>
      <w:marBottom w:val="0"/>
      <w:divBdr>
        <w:top w:val="none" w:sz="0" w:space="0" w:color="auto"/>
        <w:left w:val="none" w:sz="0" w:space="0" w:color="auto"/>
        <w:bottom w:val="none" w:sz="0" w:space="0" w:color="auto"/>
        <w:right w:val="none" w:sz="0" w:space="0" w:color="auto"/>
      </w:divBdr>
    </w:div>
    <w:div w:id="355546636">
      <w:bodyDiv w:val="1"/>
      <w:marLeft w:val="0"/>
      <w:marRight w:val="0"/>
      <w:marTop w:val="0"/>
      <w:marBottom w:val="0"/>
      <w:divBdr>
        <w:top w:val="none" w:sz="0" w:space="0" w:color="auto"/>
        <w:left w:val="none" w:sz="0" w:space="0" w:color="auto"/>
        <w:bottom w:val="none" w:sz="0" w:space="0" w:color="auto"/>
        <w:right w:val="none" w:sz="0" w:space="0" w:color="auto"/>
      </w:divBdr>
    </w:div>
    <w:div w:id="355811108">
      <w:bodyDiv w:val="1"/>
      <w:marLeft w:val="0"/>
      <w:marRight w:val="0"/>
      <w:marTop w:val="0"/>
      <w:marBottom w:val="0"/>
      <w:divBdr>
        <w:top w:val="none" w:sz="0" w:space="0" w:color="auto"/>
        <w:left w:val="none" w:sz="0" w:space="0" w:color="auto"/>
        <w:bottom w:val="none" w:sz="0" w:space="0" w:color="auto"/>
        <w:right w:val="none" w:sz="0" w:space="0" w:color="auto"/>
      </w:divBdr>
    </w:div>
    <w:div w:id="356321545">
      <w:bodyDiv w:val="1"/>
      <w:marLeft w:val="0"/>
      <w:marRight w:val="0"/>
      <w:marTop w:val="0"/>
      <w:marBottom w:val="0"/>
      <w:divBdr>
        <w:top w:val="none" w:sz="0" w:space="0" w:color="auto"/>
        <w:left w:val="none" w:sz="0" w:space="0" w:color="auto"/>
        <w:bottom w:val="none" w:sz="0" w:space="0" w:color="auto"/>
        <w:right w:val="none" w:sz="0" w:space="0" w:color="auto"/>
      </w:divBdr>
    </w:div>
    <w:div w:id="356473243">
      <w:bodyDiv w:val="1"/>
      <w:marLeft w:val="0"/>
      <w:marRight w:val="0"/>
      <w:marTop w:val="0"/>
      <w:marBottom w:val="0"/>
      <w:divBdr>
        <w:top w:val="none" w:sz="0" w:space="0" w:color="auto"/>
        <w:left w:val="none" w:sz="0" w:space="0" w:color="auto"/>
        <w:bottom w:val="none" w:sz="0" w:space="0" w:color="auto"/>
        <w:right w:val="none" w:sz="0" w:space="0" w:color="auto"/>
      </w:divBdr>
    </w:div>
    <w:div w:id="356581711">
      <w:bodyDiv w:val="1"/>
      <w:marLeft w:val="0"/>
      <w:marRight w:val="0"/>
      <w:marTop w:val="0"/>
      <w:marBottom w:val="0"/>
      <w:divBdr>
        <w:top w:val="none" w:sz="0" w:space="0" w:color="auto"/>
        <w:left w:val="none" w:sz="0" w:space="0" w:color="auto"/>
        <w:bottom w:val="none" w:sz="0" w:space="0" w:color="auto"/>
        <w:right w:val="none" w:sz="0" w:space="0" w:color="auto"/>
      </w:divBdr>
    </w:div>
    <w:div w:id="356586909">
      <w:bodyDiv w:val="1"/>
      <w:marLeft w:val="0"/>
      <w:marRight w:val="0"/>
      <w:marTop w:val="0"/>
      <w:marBottom w:val="0"/>
      <w:divBdr>
        <w:top w:val="none" w:sz="0" w:space="0" w:color="auto"/>
        <w:left w:val="none" w:sz="0" w:space="0" w:color="auto"/>
        <w:bottom w:val="none" w:sz="0" w:space="0" w:color="auto"/>
        <w:right w:val="none" w:sz="0" w:space="0" w:color="auto"/>
      </w:divBdr>
    </w:div>
    <w:div w:id="356590447">
      <w:bodyDiv w:val="1"/>
      <w:marLeft w:val="0"/>
      <w:marRight w:val="0"/>
      <w:marTop w:val="0"/>
      <w:marBottom w:val="0"/>
      <w:divBdr>
        <w:top w:val="none" w:sz="0" w:space="0" w:color="auto"/>
        <w:left w:val="none" w:sz="0" w:space="0" w:color="auto"/>
        <w:bottom w:val="none" w:sz="0" w:space="0" w:color="auto"/>
        <w:right w:val="none" w:sz="0" w:space="0" w:color="auto"/>
      </w:divBdr>
    </w:div>
    <w:div w:id="356666079">
      <w:bodyDiv w:val="1"/>
      <w:marLeft w:val="0"/>
      <w:marRight w:val="0"/>
      <w:marTop w:val="0"/>
      <w:marBottom w:val="0"/>
      <w:divBdr>
        <w:top w:val="none" w:sz="0" w:space="0" w:color="auto"/>
        <w:left w:val="none" w:sz="0" w:space="0" w:color="auto"/>
        <w:bottom w:val="none" w:sz="0" w:space="0" w:color="auto"/>
        <w:right w:val="none" w:sz="0" w:space="0" w:color="auto"/>
      </w:divBdr>
    </w:div>
    <w:div w:id="356733042">
      <w:bodyDiv w:val="1"/>
      <w:marLeft w:val="0"/>
      <w:marRight w:val="0"/>
      <w:marTop w:val="0"/>
      <w:marBottom w:val="0"/>
      <w:divBdr>
        <w:top w:val="none" w:sz="0" w:space="0" w:color="auto"/>
        <w:left w:val="none" w:sz="0" w:space="0" w:color="auto"/>
        <w:bottom w:val="none" w:sz="0" w:space="0" w:color="auto"/>
        <w:right w:val="none" w:sz="0" w:space="0" w:color="auto"/>
      </w:divBdr>
    </w:div>
    <w:div w:id="356859337">
      <w:bodyDiv w:val="1"/>
      <w:marLeft w:val="0"/>
      <w:marRight w:val="0"/>
      <w:marTop w:val="0"/>
      <w:marBottom w:val="0"/>
      <w:divBdr>
        <w:top w:val="none" w:sz="0" w:space="0" w:color="auto"/>
        <w:left w:val="none" w:sz="0" w:space="0" w:color="auto"/>
        <w:bottom w:val="none" w:sz="0" w:space="0" w:color="auto"/>
        <w:right w:val="none" w:sz="0" w:space="0" w:color="auto"/>
      </w:divBdr>
    </w:div>
    <w:div w:id="356928418">
      <w:bodyDiv w:val="1"/>
      <w:marLeft w:val="0"/>
      <w:marRight w:val="0"/>
      <w:marTop w:val="0"/>
      <w:marBottom w:val="0"/>
      <w:divBdr>
        <w:top w:val="none" w:sz="0" w:space="0" w:color="auto"/>
        <w:left w:val="none" w:sz="0" w:space="0" w:color="auto"/>
        <w:bottom w:val="none" w:sz="0" w:space="0" w:color="auto"/>
        <w:right w:val="none" w:sz="0" w:space="0" w:color="auto"/>
      </w:divBdr>
    </w:div>
    <w:div w:id="357049167">
      <w:bodyDiv w:val="1"/>
      <w:marLeft w:val="0"/>
      <w:marRight w:val="0"/>
      <w:marTop w:val="0"/>
      <w:marBottom w:val="0"/>
      <w:divBdr>
        <w:top w:val="none" w:sz="0" w:space="0" w:color="auto"/>
        <w:left w:val="none" w:sz="0" w:space="0" w:color="auto"/>
        <w:bottom w:val="none" w:sz="0" w:space="0" w:color="auto"/>
        <w:right w:val="none" w:sz="0" w:space="0" w:color="auto"/>
      </w:divBdr>
    </w:div>
    <w:div w:id="357050458">
      <w:bodyDiv w:val="1"/>
      <w:marLeft w:val="0"/>
      <w:marRight w:val="0"/>
      <w:marTop w:val="0"/>
      <w:marBottom w:val="0"/>
      <w:divBdr>
        <w:top w:val="none" w:sz="0" w:space="0" w:color="auto"/>
        <w:left w:val="none" w:sz="0" w:space="0" w:color="auto"/>
        <w:bottom w:val="none" w:sz="0" w:space="0" w:color="auto"/>
        <w:right w:val="none" w:sz="0" w:space="0" w:color="auto"/>
      </w:divBdr>
    </w:div>
    <w:div w:id="357197743">
      <w:bodyDiv w:val="1"/>
      <w:marLeft w:val="0"/>
      <w:marRight w:val="0"/>
      <w:marTop w:val="0"/>
      <w:marBottom w:val="0"/>
      <w:divBdr>
        <w:top w:val="none" w:sz="0" w:space="0" w:color="auto"/>
        <w:left w:val="none" w:sz="0" w:space="0" w:color="auto"/>
        <w:bottom w:val="none" w:sz="0" w:space="0" w:color="auto"/>
        <w:right w:val="none" w:sz="0" w:space="0" w:color="auto"/>
      </w:divBdr>
    </w:div>
    <w:div w:id="357239913">
      <w:bodyDiv w:val="1"/>
      <w:marLeft w:val="0"/>
      <w:marRight w:val="0"/>
      <w:marTop w:val="0"/>
      <w:marBottom w:val="0"/>
      <w:divBdr>
        <w:top w:val="none" w:sz="0" w:space="0" w:color="auto"/>
        <w:left w:val="none" w:sz="0" w:space="0" w:color="auto"/>
        <w:bottom w:val="none" w:sz="0" w:space="0" w:color="auto"/>
        <w:right w:val="none" w:sz="0" w:space="0" w:color="auto"/>
      </w:divBdr>
    </w:div>
    <w:div w:id="357314541">
      <w:bodyDiv w:val="1"/>
      <w:marLeft w:val="0"/>
      <w:marRight w:val="0"/>
      <w:marTop w:val="0"/>
      <w:marBottom w:val="0"/>
      <w:divBdr>
        <w:top w:val="none" w:sz="0" w:space="0" w:color="auto"/>
        <w:left w:val="none" w:sz="0" w:space="0" w:color="auto"/>
        <w:bottom w:val="none" w:sz="0" w:space="0" w:color="auto"/>
        <w:right w:val="none" w:sz="0" w:space="0" w:color="auto"/>
      </w:divBdr>
    </w:div>
    <w:div w:id="357318790">
      <w:bodyDiv w:val="1"/>
      <w:marLeft w:val="0"/>
      <w:marRight w:val="0"/>
      <w:marTop w:val="0"/>
      <w:marBottom w:val="0"/>
      <w:divBdr>
        <w:top w:val="none" w:sz="0" w:space="0" w:color="auto"/>
        <w:left w:val="none" w:sz="0" w:space="0" w:color="auto"/>
        <w:bottom w:val="none" w:sz="0" w:space="0" w:color="auto"/>
        <w:right w:val="none" w:sz="0" w:space="0" w:color="auto"/>
      </w:divBdr>
    </w:div>
    <w:div w:id="357320895">
      <w:bodyDiv w:val="1"/>
      <w:marLeft w:val="0"/>
      <w:marRight w:val="0"/>
      <w:marTop w:val="0"/>
      <w:marBottom w:val="0"/>
      <w:divBdr>
        <w:top w:val="none" w:sz="0" w:space="0" w:color="auto"/>
        <w:left w:val="none" w:sz="0" w:space="0" w:color="auto"/>
        <w:bottom w:val="none" w:sz="0" w:space="0" w:color="auto"/>
        <w:right w:val="none" w:sz="0" w:space="0" w:color="auto"/>
      </w:divBdr>
    </w:div>
    <w:div w:id="357388391">
      <w:bodyDiv w:val="1"/>
      <w:marLeft w:val="0"/>
      <w:marRight w:val="0"/>
      <w:marTop w:val="0"/>
      <w:marBottom w:val="0"/>
      <w:divBdr>
        <w:top w:val="none" w:sz="0" w:space="0" w:color="auto"/>
        <w:left w:val="none" w:sz="0" w:space="0" w:color="auto"/>
        <w:bottom w:val="none" w:sz="0" w:space="0" w:color="auto"/>
        <w:right w:val="none" w:sz="0" w:space="0" w:color="auto"/>
      </w:divBdr>
    </w:div>
    <w:div w:id="357388580">
      <w:bodyDiv w:val="1"/>
      <w:marLeft w:val="0"/>
      <w:marRight w:val="0"/>
      <w:marTop w:val="0"/>
      <w:marBottom w:val="0"/>
      <w:divBdr>
        <w:top w:val="none" w:sz="0" w:space="0" w:color="auto"/>
        <w:left w:val="none" w:sz="0" w:space="0" w:color="auto"/>
        <w:bottom w:val="none" w:sz="0" w:space="0" w:color="auto"/>
        <w:right w:val="none" w:sz="0" w:space="0" w:color="auto"/>
      </w:divBdr>
    </w:div>
    <w:div w:id="357394813">
      <w:bodyDiv w:val="1"/>
      <w:marLeft w:val="0"/>
      <w:marRight w:val="0"/>
      <w:marTop w:val="0"/>
      <w:marBottom w:val="0"/>
      <w:divBdr>
        <w:top w:val="none" w:sz="0" w:space="0" w:color="auto"/>
        <w:left w:val="none" w:sz="0" w:space="0" w:color="auto"/>
        <w:bottom w:val="none" w:sz="0" w:space="0" w:color="auto"/>
        <w:right w:val="none" w:sz="0" w:space="0" w:color="auto"/>
      </w:divBdr>
    </w:div>
    <w:div w:id="357396250">
      <w:bodyDiv w:val="1"/>
      <w:marLeft w:val="0"/>
      <w:marRight w:val="0"/>
      <w:marTop w:val="0"/>
      <w:marBottom w:val="0"/>
      <w:divBdr>
        <w:top w:val="none" w:sz="0" w:space="0" w:color="auto"/>
        <w:left w:val="none" w:sz="0" w:space="0" w:color="auto"/>
        <w:bottom w:val="none" w:sz="0" w:space="0" w:color="auto"/>
        <w:right w:val="none" w:sz="0" w:space="0" w:color="auto"/>
      </w:divBdr>
    </w:div>
    <w:div w:id="357463790">
      <w:bodyDiv w:val="1"/>
      <w:marLeft w:val="0"/>
      <w:marRight w:val="0"/>
      <w:marTop w:val="0"/>
      <w:marBottom w:val="0"/>
      <w:divBdr>
        <w:top w:val="none" w:sz="0" w:space="0" w:color="auto"/>
        <w:left w:val="none" w:sz="0" w:space="0" w:color="auto"/>
        <w:bottom w:val="none" w:sz="0" w:space="0" w:color="auto"/>
        <w:right w:val="none" w:sz="0" w:space="0" w:color="auto"/>
      </w:divBdr>
    </w:div>
    <w:div w:id="357506692">
      <w:bodyDiv w:val="1"/>
      <w:marLeft w:val="0"/>
      <w:marRight w:val="0"/>
      <w:marTop w:val="0"/>
      <w:marBottom w:val="0"/>
      <w:divBdr>
        <w:top w:val="none" w:sz="0" w:space="0" w:color="auto"/>
        <w:left w:val="none" w:sz="0" w:space="0" w:color="auto"/>
        <w:bottom w:val="none" w:sz="0" w:space="0" w:color="auto"/>
        <w:right w:val="none" w:sz="0" w:space="0" w:color="auto"/>
      </w:divBdr>
    </w:div>
    <w:div w:id="357656061">
      <w:bodyDiv w:val="1"/>
      <w:marLeft w:val="0"/>
      <w:marRight w:val="0"/>
      <w:marTop w:val="0"/>
      <w:marBottom w:val="0"/>
      <w:divBdr>
        <w:top w:val="none" w:sz="0" w:space="0" w:color="auto"/>
        <w:left w:val="none" w:sz="0" w:space="0" w:color="auto"/>
        <w:bottom w:val="none" w:sz="0" w:space="0" w:color="auto"/>
        <w:right w:val="none" w:sz="0" w:space="0" w:color="auto"/>
      </w:divBdr>
    </w:div>
    <w:div w:id="357656764">
      <w:bodyDiv w:val="1"/>
      <w:marLeft w:val="0"/>
      <w:marRight w:val="0"/>
      <w:marTop w:val="0"/>
      <w:marBottom w:val="0"/>
      <w:divBdr>
        <w:top w:val="none" w:sz="0" w:space="0" w:color="auto"/>
        <w:left w:val="none" w:sz="0" w:space="0" w:color="auto"/>
        <w:bottom w:val="none" w:sz="0" w:space="0" w:color="auto"/>
        <w:right w:val="none" w:sz="0" w:space="0" w:color="auto"/>
      </w:divBdr>
    </w:div>
    <w:div w:id="357658032">
      <w:bodyDiv w:val="1"/>
      <w:marLeft w:val="0"/>
      <w:marRight w:val="0"/>
      <w:marTop w:val="0"/>
      <w:marBottom w:val="0"/>
      <w:divBdr>
        <w:top w:val="none" w:sz="0" w:space="0" w:color="auto"/>
        <w:left w:val="none" w:sz="0" w:space="0" w:color="auto"/>
        <w:bottom w:val="none" w:sz="0" w:space="0" w:color="auto"/>
        <w:right w:val="none" w:sz="0" w:space="0" w:color="auto"/>
      </w:divBdr>
    </w:div>
    <w:div w:id="357707416">
      <w:bodyDiv w:val="1"/>
      <w:marLeft w:val="0"/>
      <w:marRight w:val="0"/>
      <w:marTop w:val="0"/>
      <w:marBottom w:val="0"/>
      <w:divBdr>
        <w:top w:val="none" w:sz="0" w:space="0" w:color="auto"/>
        <w:left w:val="none" w:sz="0" w:space="0" w:color="auto"/>
        <w:bottom w:val="none" w:sz="0" w:space="0" w:color="auto"/>
        <w:right w:val="none" w:sz="0" w:space="0" w:color="auto"/>
      </w:divBdr>
    </w:div>
    <w:div w:id="357775065">
      <w:bodyDiv w:val="1"/>
      <w:marLeft w:val="0"/>
      <w:marRight w:val="0"/>
      <w:marTop w:val="0"/>
      <w:marBottom w:val="0"/>
      <w:divBdr>
        <w:top w:val="none" w:sz="0" w:space="0" w:color="auto"/>
        <w:left w:val="none" w:sz="0" w:space="0" w:color="auto"/>
        <w:bottom w:val="none" w:sz="0" w:space="0" w:color="auto"/>
        <w:right w:val="none" w:sz="0" w:space="0" w:color="auto"/>
      </w:divBdr>
    </w:div>
    <w:div w:id="357972403">
      <w:bodyDiv w:val="1"/>
      <w:marLeft w:val="0"/>
      <w:marRight w:val="0"/>
      <w:marTop w:val="0"/>
      <w:marBottom w:val="0"/>
      <w:divBdr>
        <w:top w:val="none" w:sz="0" w:space="0" w:color="auto"/>
        <w:left w:val="none" w:sz="0" w:space="0" w:color="auto"/>
        <w:bottom w:val="none" w:sz="0" w:space="0" w:color="auto"/>
        <w:right w:val="none" w:sz="0" w:space="0" w:color="auto"/>
      </w:divBdr>
    </w:div>
    <w:div w:id="358050104">
      <w:bodyDiv w:val="1"/>
      <w:marLeft w:val="0"/>
      <w:marRight w:val="0"/>
      <w:marTop w:val="0"/>
      <w:marBottom w:val="0"/>
      <w:divBdr>
        <w:top w:val="none" w:sz="0" w:space="0" w:color="auto"/>
        <w:left w:val="none" w:sz="0" w:space="0" w:color="auto"/>
        <w:bottom w:val="none" w:sz="0" w:space="0" w:color="auto"/>
        <w:right w:val="none" w:sz="0" w:space="0" w:color="auto"/>
      </w:divBdr>
    </w:div>
    <w:div w:id="358119802">
      <w:bodyDiv w:val="1"/>
      <w:marLeft w:val="0"/>
      <w:marRight w:val="0"/>
      <w:marTop w:val="0"/>
      <w:marBottom w:val="0"/>
      <w:divBdr>
        <w:top w:val="none" w:sz="0" w:space="0" w:color="auto"/>
        <w:left w:val="none" w:sz="0" w:space="0" w:color="auto"/>
        <w:bottom w:val="none" w:sz="0" w:space="0" w:color="auto"/>
        <w:right w:val="none" w:sz="0" w:space="0" w:color="auto"/>
      </w:divBdr>
    </w:div>
    <w:div w:id="358120026">
      <w:bodyDiv w:val="1"/>
      <w:marLeft w:val="0"/>
      <w:marRight w:val="0"/>
      <w:marTop w:val="0"/>
      <w:marBottom w:val="0"/>
      <w:divBdr>
        <w:top w:val="none" w:sz="0" w:space="0" w:color="auto"/>
        <w:left w:val="none" w:sz="0" w:space="0" w:color="auto"/>
        <w:bottom w:val="none" w:sz="0" w:space="0" w:color="auto"/>
        <w:right w:val="none" w:sz="0" w:space="0" w:color="auto"/>
      </w:divBdr>
    </w:div>
    <w:div w:id="358357873">
      <w:bodyDiv w:val="1"/>
      <w:marLeft w:val="0"/>
      <w:marRight w:val="0"/>
      <w:marTop w:val="0"/>
      <w:marBottom w:val="0"/>
      <w:divBdr>
        <w:top w:val="none" w:sz="0" w:space="0" w:color="auto"/>
        <w:left w:val="none" w:sz="0" w:space="0" w:color="auto"/>
        <w:bottom w:val="none" w:sz="0" w:space="0" w:color="auto"/>
        <w:right w:val="none" w:sz="0" w:space="0" w:color="auto"/>
      </w:divBdr>
    </w:div>
    <w:div w:id="358431534">
      <w:bodyDiv w:val="1"/>
      <w:marLeft w:val="0"/>
      <w:marRight w:val="0"/>
      <w:marTop w:val="0"/>
      <w:marBottom w:val="0"/>
      <w:divBdr>
        <w:top w:val="none" w:sz="0" w:space="0" w:color="auto"/>
        <w:left w:val="none" w:sz="0" w:space="0" w:color="auto"/>
        <w:bottom w:val="none" w:sz="0" w:space="0" w:color="auto"/>
        <w:right w:val="none" w:sz="0" w:space="0" w:color="auto"/>
      </w:divBdr>
    </w:div>
    <w:div w:id="358432744">
      <w:bodyDiv w:val="1"/>
      <w:marLeft w:val="0"/>
      <w:marRight w:val="0"/>
      <w:marTop w:val="0"/>
      <w:marBottom w:val="0"/>
      <w:divBdr>
        <w:top w:val="none" w:sz="0" w:space="0" w:color="auto"/>
        <w:left w:val="none" w:sz="0" w:space="0" w:color="auto"/>
        <w:bottom w:val="none" w:sz="0" w:space="0" w:color="auto"/>
        <w:right w:val="none" w:sz="0" w:space="0" w:color="auto"/>
      </w:divBdr>
    </w:div>
    <w:div w:id="358432994">
      <w:bodyDiv w:val="1"/>
      <w:marLeft w:val="0"/>
      <w:marRight w:val="0"/>
      <w:marTop w:val="0"/>
      <w:marBottom w:val="0"/>
      <w:divBdr>
        <w:top w:val="none" w:sz="0" w:space="0" w:color="auto"/>
        <w:left w:val="none" w:sz="0" w:space="0" w:color="auto"/>
        <w:bottom w:val="none" w:sz="0" w:space="0" w:color="auto"/>
        <w:right w:val="none" w:sz="0" w:space="0" w:color="auto"/>
      </w:divBdr>
    </w:div>
    <w:div w:id="358437840">
      <w:bodyDiv w:val="1"/>
      <w:marLeft w:val="0"/>
      <w:marRight w:val="0"/>
      <w:marTop w:val="0"/>
      <w:marBottom w:val="0"/>
      <w:divBdr>
        <w:top w:val="none" w:sz="0" w:space="0" w:color="auto"/>
        <w:left w:val="none" w:sz="0" w:space="0" w:color="auto"/>
        <w:bottom w:val="none" w:sz="0" w:space="0" w:color="auto"/>
        <w:right w:val="none" w:sz="0" w:space="0" w:color="auto"/>
      </w:divBdr>
    </w:div>
    <w:div w:id="358506873">
      <w:bodyDiv w:val="1"/>
      <w:marLeft w:val="0"/>
      <w:marRight w:val="0"/>
      <w:marTop w:val="0"/>
      <w:marBottom w:val="0"/>
      <w:divBdr>
        <w:top w:val="none" w:sz="0" w:space="0" w:color="auto"/>
        <w:left w:val="none" w:sz="0" w:space="0" w:color="auto"/>
        <w:bottom w:val="none" w:sz="0" w:space="0" w:color="auto"/>
        <w:right w:val="none" w:sz="0" w:space="0" w:color="auto"/>
      </w:divBdr>
    </w:div>
    <w:div w:id="358510896">
      <w:bodyDiv w:val="1"/>
      <w:marLeft w:val="0"/>
      <w:marRight w:val="0"/>
      <w:marTop w:val="0"/>
      <w:marBottom w:val="0"/>
      <w:divBdr>
        <w:top w:val="none" w:sz="0" w:space="0" w:color="auto"/>
        <w:left w:val="none" w:sz="0" w:space="0" w:color="auto"/>
        <w:bottom w:val="none" w:sz="0" w:space="0" w:color="auto"/>
        <w:right w:val="none" w:sz="0" w:space="0" w:color="auto"/>
      </w:divBdr>
    </w:div>
    <w:div w:id="358548841">
      <w:bodyDiv w:val="1"/>
      <w:marLeft w:val="0"/>
      <w:marRight w:val="0"/>
      <w:marTop w:val="0"/>
      <w:marBottom w:val="0"/>
      <w:divBdr>
        <w:top w:val="none" w:sz="0" w:space="0" w:color="auto"/>
        <w:left w:val="none" w:sz="0" w:space="0" w:color="auto"/>
        <w:bottom w:val="none" w:sz="0" w:space="0" w:color="auto"/>
        <w:right w:val="none" w:sz="0" w:space="0" w:color="auto"/>
      </w:divBdr>
    </w:div>
    <w:div w:id="358551897">
      <w:bodyDiv w:val="1"/>
      <w:marLeft w:val="0"/>
      <w:marRight w:val="0"/>
      <w:marTop w:val="0"/>
      <w:marBottom w:val="0"/>
      <w:divBdr>
        <w:top w:val="none" w:sz="0" w:space="0" w:color="auto"/>
        <w:left w:val="none" w:sz="0" w:space="0" w:color="auto"/>
        <w:bottom w:val="none" w:sz="0" w:space="0" w:color="auto"/>
        <w:right w:val="none" w:sz="0" w:space="0" w:color="auto"/>
      </w:divBdr>
    </w:div>
    <w:div w:id="358554578">
      <w:bodyDiv w:val="1"/>
      <w:marLeft w:val="0"/>
      <w:marRight w:val="0"/>
      <w:marTop w:val="0"/>
      <w:marBottom w:val="0"/>
      <w:divBdr>
        <w:top w:val="none" w:sz="0" w:space="0" w:color="auto"/>
        <w:left w:val="none" w:sz="0" w:space="0" w:color="auto"/>
        <w:bottom w:val="none" w:sz="0" w:space="0" w:color="auto"/>
        <w:right w:val="none" w:sz="0" w:space="0" w:color="auto"/>
      </w:divBdr>
    </w:div>
    <w:div w:id="358580128">
      <w:bodyDiv w:val="1"/>
      <w:marLeft w:val="0"/>
      <w:marRight w:val="0"/>
      <w:marTop w:val="0"/>
      <w:marBottom w:val="0"/>
      <w:divBdr>
        <w:top w:val="none" w:sz="0" w:space="0" w:color="auto"/>
        <w:left w:val="none" w:sz="0" w:space="0" w:color="auto"/>
        <w:bottom w:val="none" w:sz="0" w:space="0" w:color="auto"/>
        <w:right w:val="none" w:sz="0" w:space="0" w:color="auto"/>
      </w:divBdr>
    </w:div>
    <w:div w:id="358698710">
      <w:bodyDiv w:val="1"/>
      <w:marLeft w:val="0"/>
      <w:marRight w:val="0"/>
      <w:marTop w:val="0"/>
      <w:marBottom w:val="0"/>
      <w:divBdr>
        <w:top w:val="none" w:sz="0" w:space="0" w:color="auto"/>
        <w:left w:val="none" w:sz="0" w:space="0" w:color="auto"/>
        <w:bottom w:val="none" w:sz="0" w:space="0" w:color="auto"/>
        <w:right w:val="none" w:sz="0" w:space="0" w:color="auto"/>
      </w:divBdr>
    </w:div>
    <w:div w:id="358705244">
      <w:bodyDiv w:val="1"/>
      <w:marLeft w:val="0"/>
      <w:marRight w:val="0"/>
      <w:marTop w:val="0"/>
      <w:marBottom w:val="0"/>
      <w:divBdr>
        <w:top w:val="none" w:sz="0" w:space="0" w:color="auto"/>
        <w:left w:val="none" w:sz="0" w:space="0" w:color="auto"/>
        <w:bottom w:val="none" w:sz="0" w:space="0" w:color="auto"/>
        <w:right w:val="none" w:sz="0" w:space="0" w:color="auto"/>
      </w:divBdr>
    </w:div>
    <w:div w:id="358893552">
      <w:bodyDiv w:val="1"/>
      <w:marLeft w:val="0"/>
      <w:marRight w:val="0"/>
      <w:marTop w:val="0"/>
      <w:marBottom w:val="0"/>
      <w:divBdr>
        <w:top w:val="none" w:sz="0" w:space="0" w:color="auto"/>
        <w:left w:val="none" w:sz="0" w:space="0" w:color="auto"/>
        <w:bottom w:val="none" w:sz="0" w:space="0" w:color="auto"/>
        <w:right w:val="none" w:sz="0" w:space="0" w:color="auto"/>
      </w:divBdr>
    </w:div>
    <w:div w:id="358970778">
      <w:bodyDiv w:val="1"/>
      <w:marLeft w:val="0"/>
      <w:marRight w:val="0"/>
      <w:marTop w:val="0"/>
      <w:marBottom w:val="0"/>
      <w:divBdr>
        <w:top w:val="none" w:sz="0" w:space="0" w:color="auto"/>
        <w:left w:val="none" w:sz="0" w:space="0" w:color="auto"/>
        <w:bottom w:val="none" w:sz="0" w:space="0" w:color="auto"/>
        <w:right w:val="none" w:sz="0" w:space="0" w:color="auto"/>
      </w:divBdr>
    </w:div>
    <w:div w:id="359086669">
      <w:bodyDiv w:val="1"/>
      <w:marLeft w:val="0"/>
      <w:marRight w:val="0"/>
      <w:marTop w:val="0"/>
      <w:marBottom w:val="0"/>
      <w:divBdr>
        <w:top w:val="none" w:sz="0" w:space="0" w:color="auto"/>
        <w:left w:val="none" w:sz="0" w:space="0" w:color="auto"/>
        <w:bottom w:val="none" w:sz="0" w:space="0" w:color="auto"/>
        <w:right w:val="none" w:sz="0" w:space="0" w:color="auto"/>
      </w:divBdr>
    </w:div>
    <w:div w:id="359164041">
      <w:bodyDiv w:val="1"/>
      <w:marLeft w:val="0"/>
      <w:marRight w:val="0"/>
      <w:marTop w:val="0"/>
      <w:marBottom w:val="0"/>
      <w:divBdr>
        <w:top w:val="none" w:sz="0" w:space="0" w:color="auto"/>
        <w:left w:val="none" w:sz="0" w:space="0" w:color="auto"/>
        <w:bottom w:val="none" w:sz="0" w:space="0" w:color="auto"/>
        <w:right w:val="none" w:sz="0" w:space="0" w:color="auto"/>
      </w:divBdr>
    </w:div>
    <w:div w:id="359360369">
      <w:bodyDiv w:val="1"/>
      <w:marLeft w:val="0"/>
      <w:marRight w:val="0"/>
      <w:marTop w:val="0"/>
      <w:marBottom w:val="0"/>
      <w:divBdr>
        <w:top w:val="none" w:sz="0" w:space="0" w:color="auto"/>
        <w:left w:val="none" w:sz="0" w:space="0" w:color="auto"/>
        <w:bottom w:val="none" w:sz="0" w:space="0" w:color="auto"/>
        <w:right w:val="none" w:sz="0" w:space="0" w:color="auto"/>
      </w:divBdr>
    </w:div>
    <w:div w:id="359478418">
      <w:bodyDiv w:val="1"/>
      <w:marLeft w:val="0"/>
      <w:marRight w:val="0"/>
      <w:marTop w:val="0"/>
      <w:marBottom w:val="0"/>
      <w:divBdr>
        <w:top w:val="none" w:sz="0" w:space="0" w:color="auto"/>
        <w:left w:val="none" w:sz="0" w:space="0" w:color="auto"/>
        <w:bottom w:val="none" w:sz="0" w:space="0" w:color="auto"/>
        <w:right w:val="none" w:sz="0" w:space="0" w:color="auto"/>
      </w:divBdr>
    </w:div>
    <w:div w:id="359479998">
      <w:bodyDiv w:val="1"/>
      <w:marLeft w:val="0"/>
      <w:marRight w:val="0"/>
      <w:marTop w:val="0"/>
      <w:marBottom w:val="0"/>
      <w:divBdr>
        <w:top w:val="none" w:sz="0" w:space="0" w:color="auto"/>
        <w:left w:val="none" w:sz="0" w:space="0" w:color="auto"/>
        <w:bottom w:val="none" w:sz="0" w:space="0" w:color="auto"/>
        <w:right w:val="none" w:sz="0" w:space="0" w:color="auto"/>
      </w:divBdr>
    </w:div>
    <w:div w:id="359597460">
      <w:bodyDiv w:val="1"/>
      <w:marLeft w:val="0"/>
      <w:marRight w:val="0"/>
      <w:marTop w:val="0"/>
      <w:marBottom w:val="0"/>
      <w:divBdr>
        <w:top w:val="none" w:sz="0" w:space="0" w:color="auto"/>
        <w:left w:val="none" w:sz="0" w:space="0" w:color="auto"/>
        <w:bottom w:val="none" w:sz="0" w:space="0" w:color="auto"/>
        <w:right w:val="none" w:sz="0" w:space="0" w:color="auto"/>
      </w:divBdr>
    </w:div>
    <w:div w:id="359664625">
      <w:bodyDiv w:val="1"/>
      <w:marLeft w:val="0"/>
      <w:marRight w:val="0"/>
      <w:marTop w:val="0"/>
      <w:marBottom w:val="0"/>
      <w:divBdr>
        <w:top w:val="none" w:sz="0" w:space="0" w:color="auto"/>
        <w:left w:val="none" w:sz="0" w:space="0" w:color="auto"/>
        <w:bottom w:val="none" w:sz="0" w:space="0" w:color="auto"/>
        <w:right w:val="none" w:sz="0" w:space="0" w:color="auto"/>
      </w:divBdr>
    </w:div>
    <w:div w:id="359671647">
      <w:bodyDiv w:val="1"/>
      <w:marLeft w:val="0"/>
      <w:marRight w:val="0"/>
      <w:marTop w:val="0"/>
      <w:marBottom w:val="0"/>
      <w:divBdr>
        <w:top w:val="none" w:sz="0" w:space="0" w:color="auto"/>
        <w:left w:val="none" w:sz="0" w:space="0" w:color="auto"/>
        <w:bottom w:val="none" w:sz="0" w:space="0" w:color="auto"/>
        <w:right w:val="none" w:sz="0" w:space="0" w:color="auto"/>
      </w:divBdr>
    </w:div>
    <w:div w:id="359816436">
      <w:bodyDiv w:val="1"/>
      <w:marLeft w:val="0"/>
      <w:marRight w:val="0"/>
      <w:marTop w:val="0"/>
      <w:marBottom w:val="0"/>
      <w:divBdr>
        <w:top w:val="none" w:sz="0" w:space="0" w:color="auto"/>
        <w:left w:val="none" w:sz="0" w:space="0" w:color="auto"/>
        <w:bottom w:val="none" w:sz="0" w:space="0" w:color="auto"/>
        <w:right w:val="none" w:sz="0" w:space="0" w:color="auto"/>
      </w:divBdr>
    </w:div>
    <w:div w:id="360011525">
      <w:bodyDiv w:val="1"/>
      <w:marLeft w:val="0"/>
      <w:marRight w:val="0"/>
      <w:marTop w:val="0"/>
      <w:marBottom w:val="0"/>
      <w:divBdr>
        <w:top w:val="none" w:sz="0" w:space="0" w:color="auto"/>
        <w:left w:val="none" w:sz="0" w:space="0" w:color="auto"/>
        <w:bottom w:val="none" w:sz="0" w:space="0" w:color="auto"/>
        <w:right w:val="none" w:sz="0" w:space="0" w:color="auto"/>
      </w:divBdr>
    </w:div>
    <w:div w:id="360016248">
      <w:bodyDiv w:val="1"/>
      <w:marLeft w:val="0"/>
      <w:marRight w:val="0"/>
      <w:marTop w:val="0"/>
      <w:marBottom w:val="0"/>
      <w:divBdr>
        <w:top w:val="none" w:sz="0" w:space="0" w:color="auto"/>
        <w:left w:val="none" w:sz="0" w:space="0" w:color="auto"/>
        <w:bottom w:val="none" w:sz="0" w:space="0" w:color="auto"/>
        <w:right w:val="none" w:sz="0" w:space="0" w:color="auto"/>
      </w:divBdr>
    </w:div>
    <w:div w:id="360059846">
      <w:bodyDiv w:val="1"/>
      <w:marLeft w:val="0"/>
      <w:marRight w:val="0"/>
      <w:marTop w:val="0"/>
      <w:marBottom w:val="0"/>
      <w:divBdr>
        <w:top w:val="none" w:sz="0" w:space="0" w:color="auto"/>
        <w:left w:val="none" w:sz="0" w:space="0" w:color="auto"/>
        <w:bottom w:val="none" w:sz="0" w:space="0" w:color="auto"/>
        <w:right w:val="none" w:sz="0" w:space="0" w:color="auto"/>
      </w:divBdr>
    </w:div>
    <w:div w:id="360085749">
      <w:bodyDiv w:val="1"/>
      <w:marLeft w:val="0"/>
      <w:marRight w:val="0"/>
      <w:marTop w:val="0"/>
      <w:marBottom w:val="0"/>
      <w:divBdr>
        <w:top w:val="none" w:sz="0" w:space="0" w:color="auto"/>
        <w:left w:val="none" w:sz="0" w:space="0" w:color="auto"/>
        <w:bottom w:val="none" w:sz="0" w:space="0" w:color="auto"/>
        <w:right w:val="none" w:sz="0" w:space="0" w:color="auto"/>
      </w:divBdr>
    </w:div>
    <w:div w:id="360128355">
      <w:bodyDiv w:val="1"/>
      <w:marLeft w:val="0"/>
      <w:marRight w:val="0"/>
      <w:marTop w:val="0"/>
      <w:marBottom w:val="0"/>
      <w:divBdr>
        <w:top w:val="none" w:sz="0" w:space="0" w:color="auto"/>
        <w:left w:val="none" w:sz="0" w:space="0" w:color="auto"/>
        <w:bottom w:val="none" w:sz="0" w:space="0" w:color="auto"/>
        <w:right w:val="none" w:sz="0" w:space="0" w:color="auto"/>
      </w:divBdr>
    </w:div>
    <w:div w:id="360134256">
      <w:bodyDiv w:val="1"/>
      <w:marLeft w:val="0"/>
      <w:marRight w:val="0"/>
      <w:marTop w:val="0"/>
      <w:marBottom w:val="0"/>
      <w:divBdr>
        <w:top w:val="none" w:sz="0" w:space="0" w:color="auto"/>
        <w:left w:val="none" w:sz="0" w:space="0" w:color="auto"/>
        <w:bottom w:val="none" w:sz="0" w:space="0" w:color="auto"/>
        <w:right w:val="none" w:sz="0" w:space="0" w:color="auto"/>
      </w:divBdr>
    </w:div>
    <w:div w:id="360404069">
      <w:bodyDiv w:val="1"/>
      <w:marLeft w:val="0"/>
      <w:marRight w:val="0"/>
      <w:marTop w:val="0"/>
      <w:marBottom w:val="0"/>
      <w:divBdr>
        <w:top w:val="none" w:sz="0" w:space="0" w:color="auto"/>
        <w:left w:val="none" w:sz="0" w:space="0" w:color="auto"/>
        <w:bottom w:val="none" w:sz="0" w:space="0" w:color="auto"/>
        <w:right w:val="none" w:sz="0" w:space="0" w:color="auto"/>
      </w:divBdr>
    </w:div>
    <w:div w:id="360595710">
      <w:bodyDiv w:val="1"/>
      <w:marLeft w:val="0"/>
      <w:marRight w:val="0"/>
      <w:marTop w:val="0"/>
      <w:marBottom w:val="0"/>
      <w:divBdr>
        <w:top w:val="none" w:sz="0" w:space="0" w:color="auto"/>
        <w:left w:val="none" w:sz="0" w:space="0" w:color="auto"/>
        <w:bottom w:val="none" w:sz="0" w:space="0" w:color="auto"/>
        <w:right w:val="none" w:sz="0" w:space="0" w:color="auto"/>
      </w:divBdr>
    </w:div>
    <w:div w:id="360672843">
      <w:bodyDiv w:val="1"/>
      <w:marLeft w:val="0"/>
      <w:marRight w:val="0"/>
      <w:marTop w:val="0"/>
      <w:marBottom w:val="0"/>
      <w:divBdr>
        <w:top w:val="none" w:sz="0" w:space="0" w:color="auto"/>
        <w:left w:val="none" w:sz="0" w:space="0" w:color="auto"/>
        <w:bottom w:val="none" w:sz="0" w:space="0" w:color="auto"/>
        <w:right w:val="none" w:sz="0" w:space="0" w:color="auto"/>
      </w:divBdr>
    </w:div>
    <w:div w:id="360711598">
      <w:bodyDiv w:val="1"/>
      <w:marLeft w:val="0"/>
      <w:marRight w:val="0"/>
      <w:marTop w:val="0"/>
      <w:marBottom w:val="0"/>
      <w:divBdr>
        <w:top w:val="none" w:sz="0" w:space="0" w:color="auto"/>
        <w:left w:val="none" w:sz="0" w:space="0" w:color="auto"/>
        <w:bottom w:val="none" w:sz="0" w:space="0" w:color="auto"/>
        <w:right w:val="none" w:sz="0" w:space="0" w:color="auto"/>
      </w:divBdr>
    </w:div>
    <w:div w:id="360714314">
      <w:bodyDiv w:val="1"/>
      <w:marLeft w:val="0"/>
      <w:marRight w:val="0"/>
      <w:marTop w:val="0"/>
      <w:marBottom w:val="0"/>
      <w:divBdr>
        <w:top w:val="none" w:sz="0" w:space="0" w:color="auto"/>
        <w:left w:val="none" w:sz="0" w:space="0" w:color="auto"/>
        <w:bottom w:val="none" w:sz="0" w:space="0" w:color="auto"/>
        <w:right w:val="none" w:sz="0" w:space="0" w:color="auto"/>
      </w:divBdr>
    </w:div>
    <w:div w:id="360791352">
      <w:bodyDiv w:val="1"/>
      <w:marLeft w:val="0"/>
      <w:marRight w:val="0"/>
      <w:marTop w:val="0"/>
      <w:marBottom w:val="0"/>
      <w:divBdr>
        <w:top w:val="none" w:sz="0" w:space="0" w:color="auto"/>
        <w:left w:val="none" w:sz="0" w:space="0" w:color="auto"/>
        <w:bottom w:val="none" w:sz="0" w:space="0" w:color="auto"/>
        <w:right w:val="none" w:sz="0" w:space="0" w:color="auto"/>
      </w:divBdr>
    </w:div>
    <w:div w:id="361369586">
      <w:bodyDiv w:val="1"/>
      <w:marLeft w:val="0"/>
      <w:marRight w:val="0"/>
      <w:marTop w:val="0"/>
      <w:marBottom w:val="0"/>
      <w:divBdr>
        <w:top w:val="none" w:sz="0" w:space="0" w:color="auto"/>
        <w:left w:val="none" w:sz="0" w:space="0" w:color="auto"/>
        <w:bottom w:val="none" w:sz="0" w:space="0" w:color="auto"/>
        <w:right w:val="none" w:sz="0" w:space="0" w:color="auto"/>
      </w:divBdr>
    </w:div>
    <w:div w:id="361513736">
      <w:bodyDiv w:val="1"/>
      <w:marLeft w:val="0"/>
      <w:marRight w:val="0"/>
      <w:marTop w:val="0"/>
      <w:marBottom w:val="0"/>
      <w:divBdr>
        <w:top w:val="none" w:sz="0" w:space="0" w:color="auto"/>
        <w:left w:val="none" w:sz="0" w:space="0" w:color="auto"/>
        <w:bottom w:val="none" w:sz="0" w:space="0" w:color="auto"/>
        <w:right w:val="none" w:sz="0" w:space="0" w:color="auto"/>
      </w:divBdr>
    </w:div>
    <w:div w:id="361630262">
      <w:bodyDiv w:val="1"/>
      <w:marLeft w:val="0"/>
      <w:marRight w:val="0"/>
      <w:marTop w:val="0"/>
      <w:marBottom w:val="0"/>
      <w:divBdr>
        <w:top w:val="none" w:sz="0" w:space="0" w:color="auto"/>
        <w:left w:val="none" w:sz="0" w:space="0" w:color="auto"/>
        <w:bottom w:val="none" w:sz="0" w:space="0" w:color="auto"/>
        <w:right w:val="none" w:sz="0" w:space="0" w:color="auto"/>
      </w:divBdr>
    </w:div>
    <w:div w:id="361707102">
      <w:bodyDiv w:val="1"/>
      <w:marLeft w:val="0"/>
      <w:marRight w:val="0"/>
      <w:marTop w:val="0"/>
      <w:marBottom w:val="0"/>
      <w:divBdr>
        <w:top w:val="none" w:sz="0" w:space="0" w:color="auto"/>
        <w:left w:val="none" w:sz="0" w:space="0" w:color="auto"/>
        <w:bottom w:val="none" w:sz="0" w:space="0" w:color="auto"/>
        <w:right w:val="none" w:sz="0" w:space="0" w:color="auto"/>
      </w:divBdr>
    </w:div>
    <w:div w:id="361714067">
      <w:bodyDiv w:val="1"/>
      <w:marLeft w:val="0"/>
      <w:marRight w:val="0"/>
      <w:marTop w:val="0"/>
      <w:marBottom w:val="0"/>
      <w:divBdr>
        <w:top w:val="none" w:sz="0" w:space="0" w:color="auto"/>
        <w:left w:val="none" w:sz="0" w:space="0" w:color="auto"/>
        <w:bottom w:val="none" w:sz="0" w:space="0" w:color="auto"/>
        <w:right w:val="none" w:sz="0" w:space="0" w:color="auto"/>
      </w:divBdr>
    </w:div>
    <w:div w:id="361789393">
      <w:bodyDiv w:val="1"/>
      <w:marLeft w:val="0"/>
      <w:marRight w:val="0"/>
      <w:marTop w:val="0"/>
      <w:marBottom w:val="0"/>
      <w:divBdr>
        <w:top w:val="none" w:sz="0" w:space="0" w:color="auto"/>
        <w:left w:val="none" w:sz="0" w:space="0" w:color="auto"/>
        <w:bottom w:val="none" w:sz="0" w:space="0" w:color="auto"/>
        <w:right w:val="none" w:sz="0" w:space="0" w:color="auto"/>
      </w:divBdr>
    </w:div>
    <w:div w:id="361901808">
      <w:bodyDiv w:val="1"/>
      <w:marLeft w:val="0"/>
      <w:marRight w:val="0"/>
      <w:marTop w:val="0"/>
      <w:marBottom w:val="0"/>
      <w:divBdr>
        <w:top w:val="none" w:sz="0" w:space="0" w:color="auto"/>
        <w:left w:val="none" w:sz="0" w:space="0" w:color="auto"/>
        <w:bottom w:val="none" w:sz="0" w:space="0" w:color="auto"/>
        <w:right w:val="none" w:sz="0" w:space="0" w:color="auto"/>
      </w:divBdr>
    </w:div>
    <w:div w:id="361980293">
      <w:bodyDiv w:val="1"/>
      <w:marLeft w:val="0"/>
      <w:marRight w:val="0"/>
      <w:marTop w:val="0"/>
      <w:marBottom w:val="0"/>
      <w:divBdr>
        <w:top w:val="none" w:sz="0" w:space="0" w:color="auto"/>
        <w:left w:val="none" w:sz="0" w:space="0" w:color="auto"/>
        <w:bottom w:val="none" w:sz="0" w:space="0" w:color="auto"/>
        <w:right w:val="none" w:sz="0" w:space="0" w:color="auto"/>
      </w:divBdr>
    </w:div>
    <w:div w:id="362024330">
      <w:bodyDiv w:val="1"/>
      <w:marLeft w:val="0"/>
      <w:marRight w:val="0"/>
      <w:marTop w:val="0"/>
      <w:marBottom w:val="0"/>
      <w:divBdr>
        <w:top w:val="none" w:sz="0" w:space="0" w:color="auto"/>
        <w:left w:val="none" w:sz="0" w:space="0" w:color="auto"/>
        <w:bottom w:val="none" w:sz="0" w:space="0" w:color="auto"/>
        <w:right w:val="none" w:sz="0" w:space="0" w:color="auto"/>
      </w:divBdr>
    </w:div>
    <w:div w:id="362053571">
      <w:bodyDiv w:val="1"/>
      <w:marLeft w:val="0"/>
      <w:marRight w:val="0"/>
      <w:marTop w:val="0"/>
      <w:marBottom w:val="0"/>
      <w:divBdr>
        <w:top w:val="none" w:sz="0" w:space="0" w:color="auto"/>
        <w:left w:val="none" w:sz="0" w:space="0" w:color="auto"/>
        <w:bottom w:val="none" w:sz="0" w:space="0" w:color="auto"/>
        <w:right w:val="none" w:sz="0" w:space="0" w:color="auto"/>
      </w:divBdr>
    </w:div>
    <w:div w:id="362093821">
      <w:bodyDiv w:val="1"/>
      <w:marLeft w:val="0"/>
      <w:marRight w:val="0"/>
      <w:marTop w:val="0"/>
      <w:marBottom w:val="0"/>
      <w:divBdr>
        <w:top w:val="none" w:sz="0" w:space="0" w:color="auto"/>
        <w:left w:val="none" w:sz="0" w:space="0" w:color="auto"/>
        <w:bottom w:val="none" w:sz="0" w:space="0" w:color="auto"/>
        <w:right w:val="none" w:sz="0" w:space="0" w:color="auto"/>
      </w:divBdr>
    </w:div>
    <w:div w:id="362095941">
      <w:bodyDiv w:val="1"/>
      <w:marLeft w:val="0"/>
      <w:marRight w:val="0"/>
      <w:marTop w:val="0"/>
      <w:marBottom w:val="0"/>
      <w:divBdr>
        <w:top w:val="none" w:sz="0" w:space="0" w:color="auto"/>
        <w:left w:val="none" w:sz="0" w:space="0" w:color="auto"/>
        <w:bottom w:val="none" w:sz="0" w:space="0" w:color="auto"/>
        <w:right w:val="none" w:sz="0" w:space="0" w:color="auto"/>
      </w:divBdr>
    </w:div>
    <w:div w:id="362172552">
      <w:bodyDiv w:val="1"/>
      <w:marLeft w:val="0"/>
      <w:marRight w:val="0"/>
      <w:marTop w:val="0"/>
      <w:marBottom w:val="0"/>
      <w:divBdr>
        <w:top w:val="none" w:sz="0" w:space="0" w:color="auto"/>
        <w:left w:val="none" w:sz="0" w:space="0" w:color="auto"/>
        <w:bottom w:val="none" w:sz="0" w:space="0" w:color="auto"/>
        <w:right w:val="none" w:sz="0" w:space="0" w:color="auto"/>
      </w:divBdr>
    </w:div>
    <w:div w:id="362173676">
      <w:bodyDiv w:val="1"/>
      <w:marLeft w:val="0"/>
      <w:marRight w:val="0"/>
      <w:marTop w:val="0"/>
      <w:marBottom w:val="0"/>
      <w:divBdr>
        <w:top w:val="none" w:sz="0" w:space="0" w:color="auto"/>
        <w:left w:val="none" w:sz="0" w:space="0" w:color="auto"/>
        <w:bottom w:val="none" w:sz="0" w:space="0" w:color="auto"/>
        <w:right w:val="none" w:sz="0" w:space="0" w:color="auto"/>
      </w:divBdr>
    </w:div>
    <w:div w:id="362436281">
      <w:bodyDiv w:val="1"/>
      <w:marLeft w:val="0"/>
      <w:marRight w:val="0"/>
      <w:marTop w:val="0"/>
      <w:marBottom w:val="0"/>
      <w:divBdr>
        <w:top w:val="none" w:sz="0" w:space="0" w:color="auto"/>
        <w:left w:val="none" w:sz="0" w:space="0" w:color="auto"/>
        <w:bottom w:val="none" w:sz="0" w:space="0" w:color="auto"/>
        <w:right w:val="none" w:sz="0" w:space="0" w:color="auto"/>
      </w:divBdr>
    </w:div>
    <w:div w:id="362441950">
      <w:bodyDiv w:val="1"/>
      <w:marLeft w:val="0"/>
      <w:marRight w:val="0"/>
      <w:marTop w:val="0"/>
      <w:marBottom w:val="0"/>
      <w:divBdr>
        <w:top w:val="none" w:sz="0" w:space="0" w:color="auto"/>
        <w:left w:val="none" w:sz="0" w:space="0" w:color="auto"/>
        <w:bottom w:val="none" w:sz="0" w:space="0" w:color="auto"/>
        <w:right w:val="none" w:sz="0" w:space="0" w:color="auto"/>
      </w:divBdr>
    </w:div>
    <w:div w:id="362483137">
      <w:bodyDiv w:val="1"/>
      <w:marLeft w:val="0"/>
      <w:marRight w:val="0"/>
      <w:marTop w:val="0"/>
      <w:marBottom w:val="0"/>
      <w:divBdr>
        <w:top w:val="none" w:sz="0" w:space="0" w:color="auto"/>
        <w:left w:val="none" w:sz="0" w:space="0" w:color="auto"/>
        <w:bottom w:val="none" w:sz="0" w:space="0" w:color="auto"/>
        <w:right w:val="none" w:sz="0" w:space="0" w:color="auto"/>
      </w:divBdr>
    </w:div>
    <w:div w:id="362487986">
      <w:bodyDiv w:val="1"/>
      <w:marLeft w:val="0"/>
      <w:marRight w:val="0"/>
      <w:marTop w:val="0"/>
      <w:marBottom w:val="0"/>
      <w:divBdr>
        <w:top w:val="none" w:sz="0" w:space="0" w:color="auto"/>
        <w:left w:val="none" w:sz="0" w:space="0" w:color="auto"/>
        <w:bottom w:val="none" w:sz="0" w:space="0" w:color="auto"/>
        <w:right w:val="none" w:sz="0" w:space="0" w:color="auto"/>
      </w:divBdr>
    </w:div>
    <w:div w:id="362555307">
      <w:bodyDiv w:val="1"/>
      <w:marLeft w:val="0"/>
      <w:marRight w:val="0"/>
      <w:marTop w:val="0"/>
      <w:marBottom w:val="0"/>
      <w:divBdr>
        <w:top w:val="none" w:sz="0" w:space="0" w:color="auto"/>
        <w:left w:val="none" w:sz="0" w:space="0" w:color="auto"/>
        <w:bottom w:val="none" w:sz="0" w:space="0" w:color="auto"/>
        <w:right w:val="none" w:sz="0" w:space="0" w:color="auto"/>
      </w:divBdr>
    </w:div>
    <w:div w:id="362557245">
      <w:bodyDiv w:val="1"/>
      <w:marLeft w:val="0"/>
      <w:marRight w:val="0"/>
      <w:marTop w:val="0"/>
      <w:marBottom w:val="0"/>
      <w:divBdr>
        <w:top w:val="none" w:sz="0" w:space="0" w:color="auto"/>
        <w:left w:val="none" w:sz="0" w:space="0" w:color="auto"/>
        <w:bottom w:val="none" w:sz="0" w:space="0" w:color="auto"/>
        <w:right w:val="none" w:sz="0" w:space="0" w:color="auto"/>
      </w:divBdr>
    </w:div>
    <w:div w:id="362558366">
      <w:bodyDiv w:val="1"/>
      <w:marLeft w:val="0"/>
      <w:marRight w:val="0"/>
      <w:marTop w:val="0"/>
      <w:marBottom w:val="0"/>
      <w:divBdr>
        <w:top w:val="none" w:sz="0" w:space="0" w:color="auto"/>
        <w:left w:val="none" w:sz="0" w:space="0" w:color="auto"/>
        <w:bottom w:val="none" w:sz="0" w:space="0" w:color="auto"/>
        <w:right w:val="none" w:sz="0" w:space="0" w:color="auto"/>
      </w:divBdr>
    </w:div>
    <w:div w:id="362633565">
      <w:bodyDiv w:val="1"/>
      <w:marLeft w:val="0"/>
      <w:marRight w:val="0"/>
      <w:marTop w:val="0"/>
      <w:marBottom w:val="0"/>
      <w:divBdr>
        <w:top w:val="none" w:sz="0" w:space="0" w:color="auto"/>
        <w:left w:val="none" w:sz="0" w:space="0" w:color="auto"/>
        <w:bottom w:val="none" w:sz="0" w:space="0" w:color="auto"/>
        <w:right w:val="none" w:sz="0" w:space="0" w:color="auto"/>
      </w:divBdr>
    </w:div>
    <w:div w:id="362634796">
      <w:bodyDiv w:val="1"/>
      <w:marLeft w:val="0"/>
      <w:marRight w:val="0"/>
      <w:marTop w:val="0"/>
      <w:marBottom w:val="0"/>
      <w:divBdr>
        <w:top w:val="none" w:sz="0" w:space="0" w:color="auto"/>
        <w:left w:val="none" w:sz="0" w:space="0" w:color="auto"/>
        <w:bottom w:val="none" w:sz="0" w:space="0" w:color="auto"/>
        <w:right w:val="none" w:sz="0" w:space="0" w:color="auto"/>
      </w:divBdr>
    </w:div>
    <w:div w:id="362635377">
      <w:bodyDiv w:val="1"/>
      <w:marLeft w:val="0"/>
      <w:marRight w:val="0"/>
      <w:marTop w:val="0"/>
      <w:marBottom w:val="0"/>
      <w:divBdr>
        <w:top w:val="none" w:sz="0" w:space="0" w:color="auto"/>
        <w:left w:val="none" w:sz="0" w:space="0" w:color="auto"/>
        <w:bottom w:val="none" w:sz="0" w:space="0" w:color="auto"/>
        <w:right w:val="none" w:sz="0" w:space="0" w:color="auto"/>
      </w:divBdr>
    </w:div>
    <w:div w:id="362756864">
      <w:bodyDiv w:val="1"/>
      <w:marLeft w:val="0"/>
      <w:marRight w:val="0"/>
      <w:marTop w:val="0"/>
      <w:marBottom w:val="0"/>
      <w:divBdr>
        <w:top w:val="none" w:sz="0" w:space="0" w:color="auto"/>
        <w:left w:val="none" w:sz="0" w:space="0" w:color="auto"/>
        <w:bottom w:val="none" w:sz="0" w:space="0" w:color="auto"/>
        <w:right w:val="none" w:sz="0" w:space="0" w:color="auto"/>
      </w:divBdr>
    </w:div>
    <w:div w:id="362757279">
      <w:bodyDiv w:val="1"/>
      <w:marLeft w:val="0"/>
      <w:marRight w:val="0"/>
      <w:marTop w:val="0"/>
      <w:marBottom w:val="0"/>
      <w:divBdr>
        <w:top w:val="none" w:sz="0" w:space="0" w:color="auto"/>
        <w:left w:val="none" w:sz="0" w:space="0" w:color="auto"/>
        <w:bottom w:val="none" w:sz="0" w:space="0" w:color="auto"/>
        <w:right w:val="none" w:sz="0" w:space="0" w:color="auto"/>
      </w:divBdr>
    </w:div>
    <w:div w:id="362823262">
      <w:bodyDiv w:val="1"/>
      <w:marLeft w:val="0"/>
      <w:marRight w:val="0"/>
      <w:marTop w:val="0"/>
      <w:marBottom w:val="0"/>
      <w:divBdr>
        <w:top w:val="none" w:sz="0" w:space="0" w:color="auto"/>
        <w:left w:val="none" w:sz="0" w:space="0" w:color="auto"/>
        <w:bottom w:val="none" w:sz="0" w:space="0" w:color="auto"/>
        <w:right w:val="none" w:sz="0" w:space="0" w:color="auto"/>
      </w:divBdr>
    </w:div>
    <w:div w:id="362942480">
      <w:bodyDiv w:val="1"/>
      <w:marLeft w:val="0"/>
      <w:marRight w:val="0"/>
      <w:marTop w:val="0"/>
      <w:marBottom w:val="0"/>
      <w:divBdr>
        <w:top w:val="none" w:sz="0" w:space="0" w:color="auto"/>
        <w:left w:val="none" w:sz="0" w:space="0" w:color="auto"/>
        <w:bottom w:val="none" w:sz="0" w:space="0" w:color="auto"/>
        <w:right w:val="none" w:sz="0" w:space="0" w:color="auto"/>
      </w:divBdr>
    </w:div>
    <w:div w:id="362945450">
      <w:bodyDiv w:val="1"/>
      <w:marLeft w:val="0"/>
      <w:marRight w:val="0"/>
      <w:marTop w:val="0"/>
      <w:marBottom w:val="0"/>
      <w:divBdr>
        <w:top w:val="none" w:sz="0" w:space="0" w:color="auto"/>
        <w:left w:val="none" w:sz="0" w:space="0" w:color="auto"/>
        <w:bottom w:val="none" w:sz="0" w:space="0" w:color="auto"/>
        <w:right w:val="none" w:sz="0" w:space="0" w:color="auto"/>
      </w:divBdr>
    </w:div>
    <w:div w:id="363021826">
      <w:bodyDiv w:val="1"/>
      <w:marLeft w:val="0"/>
      <w:marRight w:val="0"/>
      <w:marTop w:val="0"/>
      <w:marBottom w:val="0"/>
      <w:divBdr>
        <w:top w:val="none" w:sz="0" w:space="0" w:color="auto"/>
        <w:left w:val="none" w:sz="0" w:space="0" w:color="auto"/>
        <w:bottom w:val="none" w:sz="0" w:space="0" w:color="auto"/>
        <w:right w:val="none" w:sz="0" w:space="0" w:color="auto"/>
      </w:divBdr>
    </w:div>
    <w:div w:id="363024397">
      <w:bodyDiv w:val="1"/>
      <w:marLeft w:val="0"/>
      <w:marRight w:val="0"/>
      <w:marTop w:val="0"/>
      <w:marBottom w:val="0"/>
      <w:divBdr>
        <w:top w:val="none" w:sz="0" w:space="0" w:color="auto"/>
        <w:left w:val="none" w:sz="0" w:space="0" w:color="auto"/>
        <w:bottom w:val="none" w:sz="0" w:space="0" w:color="auto"/>
        <w:right w:val="none" w:sz="0" w:space="0" w:color="auto"/>
      </w:divBdr>
    </w:div>
    <w:div w:id="363097099">
      <w:bodyDiv w:val="1"/>
      <w:marLeft w:val="0"/>
      <w:marRight w:val="0"/>
      <w:marTop w:val="0"/>
      <w:marBottom w:val="0"/>
      <w:divBdr>
        <w:top w:val="none" w:sz="0" w:space="0" w:color="auto"/>
        <w:left w:val="none" w:sz="0" w:space="0" w:color="auto"/>
        <w:bottom w:val="none" w:sz="0" w:space="0" w:color="auto"/>
        <w:right w:val="none" w:sz="0" w:space="0" w:color="auto"/>
      </w:divBdr>
    </w:div>
    <w:div w:id="363209441">
      <w:bodyDiv w:val="1"/>
      <w:marLeft w:val="0"/>
      <w:marRight w:val="0"/>
      <w:marTop w:val="0"/>
      <w:marBottom w:val="0"/>
      <w:divBdr>
        <w:top w:val="none" w:sz="0" w:space="0" w:color="auto"/>
        <w:left w:val="none" w:sz="0" w:space="0" w:color="auto"/>
        <w:bottom w:val="none" w:sz="0" w:space="0" w:color="auto"/>
        <w:right w:val="none" w:sz="0" w:space="0" w:color="auto"/>
      </w:divBdr>
    </w:div>
    <w:div w:id="363284923">
      <w:bodyDiv w:val="1"/>
      <w:marLeft w:val="0"/>
      <w:marRight w:val="0"/>
      <w:marTop w:val="0"/>
      <w:marBottom w:val="0"/>
      <w:divBdr>
        <w:top w:val="none" w:sz="0" w:space="0" w:color="auto"/>
        <w:left w:val="none" w:sz="0" w:space="0" w:color="auto"/>
        <w:bottom w:val="none" w:sz="0" w:space="0" w:color="auto"/>
        <w:right w:val="none" w:sz="0" w:space="0" w:color="auto"/>
      </w:divBdr>
    </w:div>
    <w:div w:id="363288513">
      <w:bodyDiv w:val="1"/>
      <w:marLeft w:val="0"/>
      <w:marRight w:val="0"/>
      <w:marTop w:val="0"/>
      <w:marBottom w:val="0"/>
      <w:divBdr>
        <w:top w:val="none" w:sz="0" w:space="0" w:color="auto"/>
        <w:left w:val="none" w:sz="0" w:space="0" w:color="auto"/>
        <w:bottom w:val="none" w:sz="0" w:space="0" w:color="auto"/>
        <w:right w:val="none" w:sz="0" w:space="0" w:color="auto"/>
      </w:divBdr>
    </w:div>
    <w:div w:id="363403442">
      <w:bodyDiv w:val="1"/>
      <w:marLeft w:val="0"/>
      <w:marRight w:val="0"/>
      <w:marTop w:val="0"/>
      <w:marBottom w:val="0"/>
      <w:divBdr>
        <w:top w:val="none" w:sz="0" w:space="0" w:color="auto"/>
        <w:left w:val="none" w:sz="0" w:space="0" w:color="auto"/>
        <w:bottom w:val="none" w:sz="0" w:space="0" w:color="auto"/>
        <w:right w:val="none" w:sz="0" w:space="0" w:color="auto"/>
      </w:divBdr>
    </w:div>
    <w:div w:id="363404735">
      <w:bodyDiv w:val="1"/>
      <w:marLeft w:val="0"/>
      <w:marRight w:val="0"/>
      <w:marTop w:val="0"/>
      <w:marBottom w:val="0"/>
      <w:divBdr>
        <w:top w:val="none" w:sz="0" w:space="0" w:color="auto"/>
        <w:left w:val="none" w:sz="0" w:space="0" w:color="auto"/>
        <w:bottom w:val="none" w:sz="0" w:space="0" w:color="auto"/>
        <w:right w:val="none" w:sz="0" w:space="0" w:color="auto"/>
      </w:divBdr>
    </w:div>
    <w:div w:id="363405816">
      <w:bodyDiv w:val="1"/>
      <w:marLeft w:val="0"/>
      <w:marRight w:val="0"/>
      <w:marTop w:val="0"/>
      <w:marBottom w:val="0"/>
      <w:divBdr>
        <w:top w:val="none" w:sz="0" w:space="0" w:color="auto"/>
        <w:left w:val="none" w:sz="0" w:space="0" w:color="auto"/>
        <w:bottom w:val="none" w:sz="0" w:space="0" w:color="auto"/>
        <w:right w:val="none" w:sz="0" w:space="0" w:color="auto"/>
      </w:divBdr>
    </w:div>
    <w:div w:id="363406946">
      <w:bodyDiv w:val="1"/>
      <w:marLeft w:val="0"/>
      <w:marRight w:val="0"/>
      <w:marTop w:val="0"/>
      <w:marBottom w:val="0"/>
      <w:divBdr>
        <w:top w:val="none" w:sz="0" w:space="0" w:color="auto"/>
        <w:left w:val="none" w:sz="0" w:space="0" w:color="auto"/>
        <w:bottom w:val="none" w:sz="0" w:space="0" w:color="auto"/>
        <w:right w:val="none" w:sz="0" w:space="0" w:color="auto"/>
      </w:divBdr>
    </w:div>
    <w:div w:id="363554952">
      <w:bodyDiv w:val="1"/>
      <w:marLeft w:val="0"/>
      <w:marRight w:val="0"/>
      <w:marTop w:val="0"/>
      <w:marBottom w:val="0"/>
      <w:divBdr>
        <w:top w:val="none" w:sz="0" w:space="0" w:color="auto"/>
        <w:left w:val="none" w:sz="0" w:space="0" w:color="auto"/>
        <w:bottom w:val="none" w:sz="0" w:space="0" w:color="auto"/>
        <w:right w:val="none" w:sz="0" w:space="0" w:color="auto"/>
      </w:divBdr>
    </w:div>
    <w:div w:id="363600327">
      <w:bodyDiv w:val="1"/>
      <w:marLeft w:val="0"/>
      <w:marRight w:val="0"/>
      <w:marTop w:val="0"/>
      <w:marBottom w:val="0"/>
      <w:divBdr>
        <w:top w:val="none" w:sz="0" w:space="0" w:color="auto"/>
        <w:left w:val="none" w:sz="0" w:space="0" w:color="auto"/>
        <w:bottom w:val="none" w:sz="0" w:space="0" w:color="auto"/>
        <w:right w:val="none" w:sz="0" w:space="0" w:color="auto"/>
      </w:divBdr>
    </w:div>
    <w:div w:id="363680288">
      <w:bodyDiv w:val="1"/>
      <w:marLeft w:val="0"/>
      <w:marRight w:val="0"/>
      <w:marTop w:val="0"/>
      <w:marBottom w:val="0"/>
      <w:divBdr>
        <w:top w:val="none" w:sz="0" w:space="0" w:color="auto"/>
        <w:left w:val="none" w:sz="0" w:space="0" w:color="auto"/>
        <w:bottom w:val="none" w:sz="0" w:space="0" w:color="auto"/>
        <w:right w:val="none" w:sz="0" w:space="0" w:color="auto"/>
      </w:divBdr>
    </w:div>
    <w:div w:id="363795097">
      <w:bodyDiv w:val="1"/>
      <w:marLeft w:val="0"/>
      <w:marRight w:val="0"/>
      <w:marTop w:val="0"/>
      <w:marBottom w:val="0"/>
      <w:divBdr>
        <w:top w:val="none" w:sz="0" w:space="0" w:color="auto"/>
        <w:left w:val="none" w:sz="0" w:space="0" w:color="auto"/>
        <w:bottom w:val="none" w:sz="0" w:space="0" w:color="auto"/>
        <w:right w:val="none" w:sz="0" w:space="0" w:color="auto"/>
      </w:divBdr>
    </w:div>
    <w:div w:id="364061359">
      <w:bodyDiv w:val="1"/>
      <w:marLeft w:val="0"/>
      <w:marRight w:val="0"/>
      <w:marTop w:val="0"/>
      <w:marBottom w:val="0"/>
      <w:divBdr>
        <w:top w:val="none" w:sz="0" w:space="0" w:color="auto"/>
        <w:left w:val="none" w:sz="0" w:space="0" w:color="auto"/>
        <w:bottom w:val="none" w:sz="0" w:space="0" w:color="auto"/>
        <w:right w:val="none" w:sz="0" w:space="0" w:color="auto"/>
      </w:divBdr>
    </w:div>
    <w:div w:id="364064303">
      <w:bodyDiv w:val="1"/>
      <w:marLeft w:val="0"/>
      <w:marRight w:val="0"/>
      <w:marTop w:val="0"/>
      <w:marBottom w:val="0"/>
      <w:divBdr>
        <w:top w:val="none" w:sz="0" w:space="0" w:color="auto"/>
        <w:left w:val="none" w:sz="0" w:space="0" w:color="auto"/>
        <w:bottom w:val="none" w:sz="0" w:space="0" w:color="auto"/>
        <w:right w:val="none" w:sz="0" w:space="0" w:color="auto"/>
      </w:divBdr>
    </w:div>
    <w:div w:id="364138300">
      <w:bodyDiv w:val="1"/>
      <w:marLeft w:val="0"/>
      <w:marRight w:val="0"/>
      <w:marTop w:val="0"/>
      <w:marBottom w:val="0"/>
      <w:divBdr>
        <w:top w:val="none" w:sz="0" w:space="0" w:color="auto"/>
        <w:left w:val="none" w:sz="0" w:space="0" w:color="auto"/>
        <w:bottom w:val="none" w:sz="0" w:space="0" w:color="auto"/>
        <w:right w:val="none" w:sz="0" w:space="0" w:color="auto"/>
      </w:divBdr>
    </w:div>
    <w:div w:id="364141897">
      <w:bodyDiv w:val="1"/>
      <w:marLeft w:val="0"/>
      <w:marRight w:val="0"/>
      <w:marTop w:val="0"/>
      <w:marBottom w:val="0"/>
      <w:divBdr>
        <w:top w:val="none" w:sz="0" w:space="0" w:color="auto"/>
        <w:left w:val="none" w:sz="0" w:space="0" w:color="auto"/>
        <w:bottom w:val="none" w:sz="0" w:space="0" w:color="auto"/>
        <w:right w:val="none" w:sz="0" w:space="0" w:color="auto"/>
      </w:divBdr>
    </w:div>
    <w:div w:id="364211394">
      <w:bodyDiv w:val="1"/>
      <w:marLeft w:val="0"/>
      <w:marRight w:val="0"/>
      <w:marTop w:val="0"/>
      <w:marBottom w:val="0"/>
      <w:divBdr>
        <w:top w:val="none" w:sz="0" w:space="0" w:color="auto"/>
        <w:left w:val="none" w:sz="0" w:space="0" w:color="auto"/>
        <w:bottom w:val="none" w:sz="0" w:space="0" w:color="auto"/>
        <w:right w:val="none" w:sz="0" w:space="0" w:color="auto"/>
      </w:divBdr>
    </w:div>
    <w:div w:id="364330321">
      <w:bodyDiv w:val="1"/>
      <w:marLeft w:val="0"/>
      <w:marRight w:val="0"/>
      <w:marTop w:val="0"/>
      <w:marBottom w:val="0"/>
      <w:divBdr>
        <w:top w:val="none" w:sz="0" w:space="0" w:color="auto"/>
        <w:left w:val="none" w:sz="0" w:space="0" w:color="auto"/>
        <w:bottom w:val="none" w:sz="0" w:space="0" w:color="auto"/>
        <w:right w:val="none" w:sz="0" w:space="0" w:color="auto"/>
      </w:divBdr>
    </w:div>
    <w:div w:id="364334521">
      <w:bodyDiv w:val="1"/>
      <w:marLeft w:val="0"/>
      <w:marRight w:val="0"/>
      <w:marTop w:val="0"/>
      <w:marBottom w:val="0"/>
      <w:divBdr>
        <w:top w:val="none" w:sz="0" w:space="0" w:color="auto"/>
        <w:left w:val="none" w:sz="0" w:space="0" w:color="auto"/>
        <w:bottom w:val="none" w:sz="0" w:space="0" w:color="auto"/>
        <w:right w:val="none" w:sz="0" w:space="0" w:color="auto"/>
      </w:divBdr>
    </w:div>
    <w:div w:id="364523338">
      <w:bodyDiv w:val="1"/>
      <w:marLeft w:val="0"/>
      <w:marRight w:val="0"/>
      <w:marTop w:val="0"/>
      <w:marBottom w:val="0"/>
      <w:divBdr>
        <w:top w:val="none" w:sz="0" w:space="0" w:color="auto"/>
        <w:left w:val="none" w:sz="0" w:space="0" w:color="auto"/>
        <w:bottom w:val="none" w:sz="0" w:space="0" w:color="auto"/>
        <w:right w:val="none" w:sz="0" w:space="0" w:color="auto"/>
      </w:divBdr>
    </w:div>
    <w:div w:id="364599142">
      <w:bodyDiv w:val="1"/>
      <w:marLeft w:val="0"/>
      <w:marRight w:val="0"/>
      <w:marTop w:val="0"/>
      <w:marBottom w:val="0"/>
      <w:divBdr>
        <w:top w:val="none" w:sz="0" w:space="0" w:color="auto"/>
        <w:left w:val="none" w:sz="0" w:space="0" w:color="auto"/>
        <w:bottom w:val="none" w:sz="0" w:space="0" w:color="auto"/>
        <w:right w:val="none" w:sz="0" w:space="0" w:color="auto"/>
      </w:divBdr>
    </w:div>
    <w:div w:id="364715427">
      <w:bodyDiv w:val="1"/>
      <w:marLeft w:val="0"/>
      <w:marRight w:val="0"/>
      <w:marTop w:val="0"/>
      <w:marBottom w:val="0"/>
      <w:divBdr>
        <w:top w:val="none" w:sz="0" w:space="0" w:color="auto"/>
        <w:left w:val="none" w:sz="0" w:space="0" w:color="auto"/>
        <w:bottom w:val="none" w:sz="0" w:space="0" w:color="auto"/>
        <w:right w:val="none" w:sz="0" w:space="0" w:color="auto"/>
      </w:divBdr>
    </w:div>
    <w:div w:id="364792120">
      <w:bodyDiv w:val="1"/>
      <w:marLeft w:val="0"/>
      <w:marRight w:val="0"/>
      <w:marTop w:val="0"/>
      <w:marBottom w:val="0"/>
      <w:divBdr>
        <w:top w:val="none" w:sz="0" w:space="0" w:color="auto"/>
        <w:left w:val="none" w:sz="0" w:space="0" w:color="auto"/>
        <w:bottom w:val="none" w:sz="0" w:space="0" w:color="auto"/>
        <w:right w:val="none" w:sz="0" w:space="0" w:color="auto"/>
      </w:divBdr>
    </w:div>
    <w:div w:id="364908621">
      <w:bodyDiv w:val="1"/>
      <w:marLeft w:val="0"/>
      <w:marRight w:val="0"/>
      <w:marTop w:val="0"/>
      <w:marBottom w:val="0"/>
      <w:divBdr>
        <w:top w:val="none" w:sz="0" w:space="0" w:color="auto"/>
        <w:left w:val="none" w:sz="0" w:space="0" w:color="auto"/>
        <w:bottom w:val="none" w:sz="0" w:space="0" w:color="auto"/>
        <w:right w:val="none" w:sz="0" w:space="0" w:color="auto"/>
      </w:divBdr>
    </w:div>
    <w:div w:id="364984367">
      <w:bodyDiv w:val="1"/>
      <w:marLeft w:val="0"/>
      <w:marRight w:val="0"/>
      <w:marTop w:val="0"/>
      <w:marBottom w:val="0"/>
      <w:divBdr>
        <w:top w:val="none" w:sz="0" w:space="0" w:color="auto"/>
        <w:left w:val="none" w:sz="0" w:space="0" w:color="auto"/>
        <w:bottom w:val="none" w:sz="0" w:space="0" w:color="auto"/>
        <w:right w:val="none" w:sz="0" w:space="0" w:color="auto"/>
      </w:divBdr>
    </w:div>
    <w:div w:id="364986690">
      <w:bodyDiv w:val="1"/>
      <w:marLeft w:val="0"/>
      <w:marRight w:val="0"/>
      <w:marTop w:val="0"/>
      <w:marBottom w:val="0"/>
      <w:divBdr>
        <w:top w:val="none" w:sz="0" w:space="0" w:color="auto"/>
        <w:left w:val="none" w:sz="0" w:space="0" w:color="auto"/>
        <w:bottom w:val="none" w:sz="0" w:space="0" w:color="auto"/>
        <w:right w:val="none" w:sz="0" w:space="0" w:color="auto"/>
      </w:divBdr>
    </w:div>
    <w:div w:id="364989993">
      <w:bodyDiv w:val="1"/>
      <w:marLeft w:val="0"/>
      <w:marRight w:val="0"/>
      <w:marTop w:val="0"/>
      <w:marBottom w:val="0"/>
      <w:divBdr>
        <w:top w:val="none" w:sz="0" w:space="0" w:color="auto"/>
        <w:left w:val="none" w:sz="0" w:space="0" w:color="auto"/>
        <w:bottom w:val="none" w:sz="0" w:space="0" w:color="auto"/>
        <w:right w:val="none" w:sz="0" w:space="0" w:color="auto"/>
      </w:divBdr>
    </w:div>
    <w:div w:id="365374429">
      <w:bodyDiv w:val="1"/>
      <w:marLeft w:val="0"/>
      <w:marRight w:val="0"/>
      <w:marTop w:val="0"/>
      <w:marBottom w:val="0"/>
      <w:divBdr>
        <w:top w:val="none" w:sz="0" w:space="0" w:color="auto"/>
        <w:left w:val="none" w:sz="0" w:space="0" w:color="auto"/>
        <w:bottom w:val="none" w:sz="0" w:space="0" w:color="auto"/>
        <w:right w:val="none" w:sz="0" w:space="0" w:color="auto"/>
      </w:divBdr>
    </w:div>
    <w:div w:id="365451028">
      <w:bodyDiv w:val="1"/>
      <w:marLeft w:val="0"/>
      <w:marRight w:val="0"/>
      <w:marTop w:val="0"/>
      <w:marBottom w:val="0"/>
      <w:divBdr>
        <w:top w:val="none" w:sz="0" w:space="0" w:color="auto"/>
        <w:left w:val="none" w:sz="0" w:space="0" w:color="auto"/>
        <w:bottom w:val="none" w:sz="0" w:space="0" w:color="auto"/>
        <w:right w:val="none" w:sz="0" w:space="0" w:color="auto"/>
      </w:divBdr>
    </w:div>
    <w:div w:id="365638504">
      <w:bodyDiv w:val="1"/>
      <w:marLeft w:val="0"/>
      <w:marRight w:val="0"/>
      <w:marTop w:val="0"/>
      <w:marBottom w:val="0"/>
      <w:divBdr>
        <w:top w:val="none" w:sz="0" w:space="0" w:color="auto"/>
        <w:left w:val="none" w:sz="0" w:space="0" w:color="auto"/>
        <w:bottom w:val="none" w:sz="0" w:space="0" w:color="auto"/>
        <w:right w:val="none" w:sz="0" w:space="0" w:color="auto"/>
      </w:divBdr>
    </w:div>
    <w:div w:id="365645063">
      <w:bodyDiv w:val="1"/>
      <w:marLeft w:val="0"/>
      <w:marRight w:val="0"/>
      <w:marTop w:val="0"/>
      <w:marBottom w:val="0"/>
      <w:divBdr>
        <w:top w:val="none" w:sz="0" w:space="0" w:color="auto"/>
        <w:left w:val="none" w:sz="0" w:space="0" w:color="auto"/>
        <w:bottom w:val="none" w:sz="0" w:space="0" w:color="auto"/>
        <w:right w:val="none" w:sz="0" w:space="0" w:color="auto"/>
      </w:divBdr>
    </w:div>
    <w:div w:id="365762952">
      <w:bodyDiv w:val="1"/>
      <w:marLeft w:val="0"/>
      <w:marRight w:val="0"/>
      <w:marTop w:val="0"/>
      <w:marBottom w:val="0"/>
      <w:divBdr>
        <w:top w:val="none" w:sz="0" w:space="0" w:color="auto"/>
        <w:left w:val="none" w:sz="0" w:space="0" w:color="auto"/>
        <w:bottom w:val="none" w:sz="0" w:space="0" w:color="auto"/>
        <w:right w:val="none" w:sz="0" w:space="0" w:color="auto"/>
      </w:divBdr>
    </w:div>
    <w:div w:id="365906464">
      <w:bodyDiv w:val="1"/>
      <w:marLeft w:val="0"/>
      <w:marRight w:val="0"/>
      <w:marTop w:val="0"/>
      <w:marBottom w:val="0"/>
      <w:divBdr>
        <w:top w:val="none" w:sz="0" w:space="0" w:color="auto"/>
        <w:left w:val="none" w:sz="0" w:space="0" w:color="auto"/>
        <w:bottom w:val="none" w:sz="0" w:space="0" w:color="auto"/>
        <w:right w:val="none" w:sz="0" w:space="0" w:color="auto"/>
      </w:divBdr>
    </w:div>
    <w:div w:id="365906578">
      <w:bodyDiv w:val="1"/>
      <w:marLeft w:val="0"/>
      <w:marRight w:val="0"/>
      <w:marTop w:val="0"/>
      <w:marBottom w:val="0"/>
      <w:divBdr>
        <w:top w:val="none" w:sz="0" w:space="0" w:color="auto"/>
        <w:left w:val="none" w:sz="0" w:space="0" w:color="auto"/>
        <w:bottom w:val="none" w:sz="0" w:space="0" w:color="auto"/>
        <w:right w:val="none" w:sz="0" w:space="0" w:color="auto"/>
      </w:divBdr>
    </w:div>
    <w:div w:id="365954289">
      <w:bodyDiv w:val="1"/>
      <w:marLeft w:val="0"/>
      <w:marRight w:val="0"/>
      <w:marTop w:val="0"/>
      <w:marBottom w:val="0"/>
      <w:divBdr>
        <w:top w:val="none" w:sz="0" w:space="0" w:color="auto"/>
        <w:left w:val="none" w:sz="0" w:space="0" w:color="auto"/>
        <w:bottom w:val="none" w:sz="0" w:space="0" w:color="auto"/>
        <w:right w:val="none" w:sz="0" w:space="0" w:color="auto"/>
      </w:divBdr>
    </w:div>
    <w:div w:id="366025783">
      <w:bodyDiv w:val="1"/>
      <w:marLeft w:val="0"/>
      <w:marRight w:val="0"/>
      <w:marTop w:val="0"/>
      <w:marBottom w:val="0"/>
      <w:divBdr>
        <w:top w:val="none" w:sz="0" w:space="0" w:color="auto"/>
        <w:left w:val="none" w:sz="0" w:space="0" w:color="auto"/>
        <w:bottom w:val="none" w:sz="0" w:space="0" w:color="auto"/>
        <w:right w:val="none" w:sz="0" w:space="0" w:color="auto"/>
      </w:divBdr>
    </w:div>
    <w:div w:id="366102753">
      <w:bodyDiv w:val="1"/>
      <w:marLeft w:val="0"/>
      <w:marRight w:val="0"/>
      <w:marTop w:val="0"/>
      <w:marBottom w:val="0"/>
      <w:divBdr>
        <w:top w:val="none" w:sz="0" w:space="0" w:color="auto"/>
        <w:left w:val="none" w:sz="0" w:space="0" w:color="auto"/>
        <w:bottom w:val="none" w:sz="0" w:space="0" w:color="auto"/>
        <w:right w:val="none" w:sz="0" w:space="0" w:color="auto"/>
      </w:divBdr>
    </w:div>
    <w:div w:id="366224137">
      <w:bodyDiv w:val="1"/>
      <w:marLeft w:val="0"/>
      <w:marRight w:val="0"/>
      <w:marTop w:val="0"/>
      <w:marBottom w:val="0"/>
      <w:divBdr>
        <w:top w:val="none" w:sz="0" w:space="0" w:color="auto"/>
        <w:left w:val="none" w:sz="0" w:space="0" w:color="auto"/>
        <w:bottom w:val="none" w:sz="0" w:space="0" w:color="auto"/>
        <w:right w:val="none" w:sz="0" w:space="0" w:color="auto"/>
      </w:divBdr>
    </w:div>
    <w:div w:id="366293040">
      <w:bodyDiv w:val="1"/>
      <w:marLeft w:val="0"/>
      <w:marRight w:val="0"/>
      <w:marTop w:val="0"/>
      <w:marBottom w:val="0"/>
      <w:divBdr>
        <w:top w:val="none" w:sz="0" w:space="0" w:color="auto"/>
        <w:left w:val="none" w:sz="0" w:space="0" w:color="auto"/>
        <w:bottom w:val="none" w:sz="0" w:space="0" w:color="auto"/>
        <w:right w:val="none" w:sz="0" w:space="0" w:color="auto"/>
      </w:divBdr>
    </w:div>
    <w:div w:id="366297987">
      <w:bodyDiv w:val="1"/>
      <w:marLeft w:val="0"/>
      <w:marRight w:val="0"/>
      <w:marTop w:val="0"/>
      <w:marBottom w:val="0"/>
      <w:divBdr>
        <w:top w:val="none" w:sz="0" w:space="0" w:color="auto"/>
        <w:left w:val="none" w:sz="0" w:space="0" w:color="auto"/>
        <w:bottom w:val="none" w:sz="0" w:space="0" w:color="auto"/>
        <w:right w:val="none" w:sz="0" w:space="0" w:color="auto"/>
      </w:divBdr>
    </w:div>
    <w:div w:id="366486638">
      <w:bodyDiv w:val="1"/>
      <w:marLeft w:val="0"/>
      <w:marRight w:val="0"/>
      <w:marTop w:val="0"/>
      <w:marBottom w:val="0"/>
      <w:divBdr>
        <w:top w:val="none" w:sz="0" w:space="0" w:color="auto"/>
        <w:left w:val="none" w:sz="0" w:space="0" w:color="auto"/>
        <w:bottom w:val="none" w:sz="0" w:space="0" w:color="auto"/>
        <w:right w:val="none" w:sz="0" w:space="0" w:color="auto"/>
      </w:divBdr>
    </w:div>
    <w:div w:id="366608677">
      <w:bodyDiv w:val="1"/>
      <w:marLeft w:val="0"/>
      <w:marRight w:val="0"/>
      <w:marTop w:val="0"/>
      <w:marBottom w:val="0"/>
      <w:divBdr>
        <w:top w:val="none" w:sz="0" w:space="0" w:color="auto"/>
        <w:left w:val="none" w:sz="0" w:space="0" w:color="auto"/>
        <w:bottom w:val="none" w:sz="0" w:space="0" w:color="auto"/>
        <w:right w:val="none" w:sz="0" w:space="0" w:color="auto"/>
      </w:divBdr>
    </w:div>
    <w:div w:id="366612569">
      <w:bodyDiv w:val="1"/>
      <w:marLeft w:val="0"/>
      <w:marRight w:val="0"/>
      <w:marTop w:val="0"/>
      <w:marBottom w:val="0"/>
      <w:divBdr>
        <w:top w:val="none" w:sz="0" w:space="0" w:color="auto"/>
        <w:left w:val="none" w:sz="0" w:space="0" w:color="auto"/>
        <w:bottom w:val="none" w:sz="0" w:space="0" w:color="auto"/>
        <w:right w:val="none" w:sz="0" w:space="0" w:color="auto"/>
      </w:divBdr>
    </w:div>
    <w:div w:id="366755584">
      <w:bodyDiv w:val="1"/>
      <w:marLeft w:val="0"/>
      <w:marRight w:val="0"/>
      <w:marTop w:val="0"/>
      <w:marBottom w:val="0"/>
      <w:divBdr>
        <w:top w:val="none" w:sz="0" w:space="0" w:color="auto"/>
        <w:left w:val="none" w:sz="0" w:space="0" w:color="auto"/>
        <w:bottom w:val="none" w:sz="0" w:space="0" w:color="auto"/>
        <w:right w:val="none" w:sz="0" w:space="0" w:color="auto"/>
      </w:divBdr>
    </w:div>
    <w:div w:id="366877155">
      <w:bodyDiv w:val="1"/>
      <w:marLeft w:val="0"/>
      <w:marRight w:val="0"/>
      <w:marTop w:val="0"/>
      <w:marBottom w:val="0"/>
      <w:divBdr>
        <w:top w:val="none" w:sz="0" w:space="0" w:color="auto"/>
        <w:left w:val="none" w:sz="0" w:space="0" w:color="auto"/>
        <w:bottom w:val="none" w:sz="0" w:space="0" w:color="auto"/>
        <w:right w:val="none" w:sz="0" w:space="0" w:color="auto"/>
      </w:divBdr>
    </w:div>
    <w:div w:id="366878787">
      <w:bodyDiv w:val="1"/>
      <w:marLeft w:val="0"/>
      <w:marRight w:val="0"/>
      <w:marTop w:val="0"/>
      <w:marBottom w:val="0"/>
      <w:divBdr>
        <w:top w:val="none" w:sz="0" w:space="0" w:color="auto"/>
        <w:left w:val="none" w:sz="0" w:space="0" w:color="auto"/>
        <w:bottom w:val="none" w:sz="0" w:space="0" w:color="auto"/>
        <w:right w:val="none" w:sz="0" w:space="0" w:color="auto"/>
      </w:divBdr>
    </w:div>
    <w:div w:id="367219768">
      <w:bodyDiv w:val="1"/>
      <w:marLeft w:val="0"/>
      <w:marRight w:val="0"/>
      <w:marTop w:val="0"/>
      <w:marBottom w:val="0"/>
      <w:divBdr>
        <w:top w:val="none" w:sz="0" w:space="0" w:color="auto"/>
        <w:left w:val="none" w:sz="0" w:space="0" w:color="auto"/>
        <w:bottom w:val="none" w:sz="0" w:space="0" w:color="auto"/>
        <w:right w:val="none" w:sz="0" w:space="0" w:color="auto"/>
      </w:divBdr>
    </w:div>
    <w:div w:id="367335783">
      <w:bodyDiv w:val="1"/>
      <w:marLeft w:val="0"/>
      <w:marRight w:val="0"/>
      <w:marTop w:val="0"/>
      <w:marBottom w:val="0"/>
      <w:divBdr>
        <w:top w:val="none" w:sz="0" w:space="0" w:color="auto"/>
        <w:left w:val="none" w:sz="0" w:space="0" w:color="auto"/>
        <w:bottom w:val="none" w:sz="0" w:space="0" w:color="auto"/>
        <w:right w:val="none" w:sz="0" w:space="0" w:color="auto"/>
      </w:divBdr>
    </w:div>
    <w:div w:id="367342278">
      <w:bodyDiv w:val="1"/>
      <w:marLeft w:val="0"/>
      <w:marRight w:val="0"/>
      <w:marTop w:val="0"/>
      <w:marBottom w:val="0"/>
      <w:divBdr>
        <w:top w:val="none" w:sz="0" w:space="0" w:color="auto"/>
        <w:left w:val="none" w:sz="0" w:space="0" w:color="auto"/>
        <w:bottom w:val="none" w:sz="0" w:space="0" w:color="auto"/>
        <w:right w:val="none" w:sz="0" w:space="0" w:color="auto"/>
      </w:divBdr>
    </w:div>
    <w:div w:id="367415006">
      <w:bodyDiv w:val="1"/>
      <w:marLeft w:val="0"/>
      <w:marRight w:val="0"/>
      <w:marTop w:val="0"/>
      <w:marBottom w:val="0"/>
      <w:divBdr>
        <w:top w:val="none" w:sz="0" w:space="0" w:color="auto"/>
        <w:left w:val="none" w:sz="0" w:space="0" w:color="auto"/>
        <w:bottom w:val="none" w:sz="0" w:space="0" w:color="auto"/>
        <w:right w:val="none" w:sz="0" w:space="0" w:color="auto"/>
      </w:divBdr>
    </w:div>
    <w:div w:id="367415465">
      <w:bodyDiv w:val="1"/>
      <w:marLeft w:val="0"/>
      <w:marRight w:val="0"/>
      <w:marTop w:val="0"/>
      <w:marBottom w:val="0"/>
      <w:divBdr>
        <w:top w:val="none" w:sz="0" w:space="0" w:color="auto"/>
        <w:left w:val="none" w:sz="0" w:space="0" w:color="auto"/>
        <w:bottom w:val="none" w:sz="0" w:space="0" w:color="auto"/>
        <w:right w:val="none" w:sz="0" w:space="0" w:color="auto"/>
      </w:divBdr>
    </w:div>
    <w:div w:id="367492075">
      <w:bodyDiv w:val="1"/>
      <w:marLeft w:val="0"/>
      <w:marRight w:val="0"/>
      <w:marTop w:val="0"/>
      <w:marBottom w:val="0"/>
      <w:divBdr>
        <w:top w:val="none" w:sz="0" w:space="0" w:color="auto"/>
        <w:left w:val="none" w:sz="0" w:space="0" w:color="auto"/>
        <w:bottom w:val="none" w:sz="0" w:space="0" w:color="auto"/>
        <w:right w:val="none" w:sz="0" w:space="0" w:color="auto"/>
      </w:divBdr>
    </w:div>
    <w:div w:id="367606933">
      <w:bodyDiv w:val="1"/>
      <w:marLeft w:val="0"/>
      <w:marRight w:val="0"/>
      <w:marTop w:val="0"/>
      <w:marBottom w:val="0"/>
      <w:divBdr>
        <w:top w:val="none" w:sz="0" w:space="0" w:color="auto"/>
        <w:left w:val="none" w:sz="0" w:space="0" w:color="auto"/>
        <w:bottom w:val="none" w:sz="0" w:space="0" w:color="auto"/>
        <w:right w:val="none" w:sz="0" w:space="0" w:color="auto"/>
      </w:divBdr>
    </w:div>
    <w:div w:id="367724066">
      <w:bodyDiv w:val="1"/>
      <w:marLeft w:val="0"/>
      <w:marRight w:val="0"/>
      <w:marTop w:val="0"/>
      <w:marBottom w:val="0"/>
      <w:divBdr>
        <w:top w:val="none" w:sz="0" w:space="0" w:color="auto"/>
        <w:left w:val="none" w:sz="0" w:space="0" w:color="auto"/>
        <w:bottom w:val="none" w:sz="0" w:space="0" w:color="auto"/>
        <w:right w:val="none" w:sz="0" w:space="0" w:color="auto"/>
      </w:divBdr>
    </w:div>
    <w:div w:id="367724206">
      <w:bodyDiv w:val="1"/>
      <w:marLeft w:val="0"/>
      <w:marRight w:val="0"/>
      <w:marTop w:val="0"/>
      <w:marBottom w:val="0"/>
      <w:divBdr>
        <w:top w:val="none" w:sz="0" w:space="0" w:color="auto"/>
        <w:left w:val="none" w:sz="0" w:space="0" w:color="auto"/>
        <w:bottom w:val="none" w:sz="0" w:space="0" w:color="auto"/>
        <w:right w:val="none" w:sz="0" w:space="0" w:color="auto"/>
      </w:divBdr>
    </w:div>
    <w:div w:id="367880602">
      <w:bodyDiv w:val="1"/>
      <w:marLeft w:val="0"/>
      <w:marRight w:val="0"/>
      <w:marTop w:val="0"/>
      <w:marBottom w:val="0"/>
      <w:divBdr>
        <w:top w:val="none" w:sz="0" w:space="0" w:color="auto"/>
        <w:left w:val="none" w:sz="0" w:space="0" w:color="auto"/>
        <w:bottom w:val="none" w:sz="0" w:space="0" w:color="auto"/>
        <w:right w:val="none" w:sz="0" w:space="0" w:color="auto"/>
      </w:divBdr>
    </w:div>
    <w:div w:id="367947102">
      <w:bodyDiv w:val="1"/>
      <w:marLeft w:val="0"/>
      <w:marRight w:val="0"/>
      <w:marTop w:val="0"/>
      <w:marBottom w:val="0"/>
      <w:divBdr>
        <w:top w:val="none" w:sz="0" w:space="0" w:color="auto"/>
        <w:left w:val="none" w:sz="0" w:space="0" w:color="auto"/>
        <w:bottom w:val="none" w:sz="0" w:space="0" w:color="auto"/>
        <w:right w:val="none" w:sz="0" w:space="0" w:color="auto"/>
      </w:divBdr>
    </w:div>
    <w:div w:id="367993306">
      <w:bodyDiv w:val="1"/>
      <w:marLeft w:val="0"/>
      <w:marRight w:val="0"/>
      <w:marTop w:val="0"/>
      <w:marBottom w:val="0"/>
      <w:divBdr>
        <w:top w:val="none" w:sz="0" w:space="0" w:color="auto"/>
        <w:left w:val="none" w:sz="0" w:space="0" w:color="auto"/>
        <w:bottom w:val="none" w:sz="0" w:space="0" w:color="auto"/>
        <w:right w:val="none" w:sz="0" w:space="0" w:color="auto"/>
      </w:divBdr>
    </w:div>
    <w:div w:id="368067776">
      <w:bodyDiv w:val="1"/>
      <w:marLeft w:val="0"/>
      <w:marRight w:val="0"/>
      <w:marTop w:val="0"/>
      <w:marBottom w:val="0"/>
      <w:divBdr>
        <w:top w:val="none" w:sz="0" w:space="0" w:color="auto"/>
        <w:left w:val="none" w:sz="0" w:space="0" w:color="auto"/>
        <w:bottom w:val="none" w:sz="0" w:space="0" w:color="auto"/>
        <w:right w:val="none" w:sz="0" w:space="0" w:color="auto"/>
      </w:divBdr>
    </w:div>
    <w:div w:id="368147189">
      <w:bodyDiv w:val="1"/>
      <w:marLeft w:val="0"/>
      <w:marRight w:val="0"/>
      <w:marTop w:val="0"/>
      <w:marBottom w:val="0"/>
      <w:divBdr>
        <w:top w:val="none" w:sz="0" w:space="0" w:color="auto"/>
        <w:left w:val="none" w:sz="0" w:space="0" w:color="auto"/>
        <w:bottom w:val="none" w:sz="0" w:space="0" w:color="auto"/>
        <w:right w:val="none" w:sz="0" w:space="0" w:color="auto"/>
      </w:divBdr>
    </w:div>
    <w:div w:id="368258327">
      <w:bodyDiv w:val="1"/>
      <w:marLeft w:val="0"/>
      <w:marRight w:val="0"/>
      <w:marTop w:val="0"/>
      <w:marBottom w:val="0"/>
      <w:divBdr>
        <w:top w:val="none" w:sz="0" w:space="0" w:color="auto"/>
        <w:left w:val="none" w:sz="0" w:space="0" w:color="auto"/>
        <w:bottom w:val="none" w:sz="0" w:space="0" w:color="auto"/>
        <w:right w:val="none" w:sz="0" w:space="0" w:color="auto"/>
      </w:divBdr>
    </w:div>
    <w:div w:id="368342864">
      <w:bodyDiv w:val="1"/>
      <w:marLeft w:val="0"/>
      <w:marRight w:val="0"/>
      <w:marTop w:val="0"/>
      <w:marBottom w:val="0"/>
      <w:divBdr>
        <w:top w:val="none" w:sz="0" w:space="0" w:color="auto"/>
        <w:left w:val="none" w:sz="0" w:space="0" w:color="auto"/>
        <w:bottom w:val="none" w:sz="0" w:space="0" w:color="auto"/>
        <w:right w:val="none" w:sz="0" w:space="0" w:color="auto"/>
      </w:divBdr>
    </w:div>
    <w:div w:id="368603842">
      <w:bodyDiv w:val="1"/>
      <w:marLeft w:val="0"/>
      <w:marRight w:val="0"/>
      <w:marTop w:val="0"/>
      <w:marBottom w:val="0"/>
      <w:divBdr>
        <w:top w:val="none" w:sz="0" w:space="0" w:color="auto"/>
        <w:left w:val="none" w:sz="0" w:space="0" w:color="auto"/>
        <w:bottom w:val="none" w:sz="0" w:space="0" w:color="auto"/>
        <w:right w:val="none" w:sz="0" w:space="0" w:color="auto"/>
      </w:divBdr>
    </w:div>
    <w:div w:id="368646963">
      <w:bodyDiv w:val="1"/>
      <w:marLeft w:val="0"/>
      <w:marRight w:val="0"/>
      <w:marTop w:val="0"/>
      <w:marBottom w:val="0"/>
      <w:divBdr>
        <w:top w:val="none" w:sz="0" w:space="0" w:color="auto"/>
        <w:left w:val="none" w:sz="0" w:space="0" w:color="auto"/>
        <w:bottom w:val="none" w:sz="0" w:space="0" w:color="auto"/>
        <w:right w:val="none" w:sz="0" w:space="0" w:color="auto"/>
      </w:divBdr>
    </w:div>
    <w:div w:id="368795760">
      <w:bodyDiv w:val="1"/>
      <w:marLeft w:val="0"/>
      <w:marRight w:val="0"/>
      <w:marTop w:val="0"/>
      <w:marBottom w:val="0"/>
      <w:divBdr>
        <w:top w:val="none" w:sz="0" w:space="0" w:color="auto"/>
        <w:left w:val="none" w:sz="0" w:space="0" w:color="auto"/>
        <w:bottom w:val="none" w:sz="0" w:space="0" w:color="auto"/>
        <w:right w:val="none" w:sz="0" w:space="0" w:color="auto"/>
      </w:divBdr>
    </w:div>
    <w:div w:id="368838836">
      <w:bodyDiv w:val="1"/>
      <w:marLeft w:val="0"/>
      <w:marRight w:val="0"/>
      <w:marTop w:val="0"/>
      <w:marBottom w:val="0"/>
      <w:divBdr>
        <w:top w:val="none" w:sz="0" w:space="0" w:color="auto"/>
        <w:left w:val="none" w:sz="0" w:space="0" w:color="auto"/>
        <w:bottom w:val="none" w:sz="0" w:space="0" w:color="auto"/>
        <w:right w:val="none" w:sz="0" w:space="0" w:color="auto"/>
      </w:divBdr>
    </w:div>
    <w:div w:id="368922410">
      <w:bodyDiv w:val="1"/>
      <w:marLeft w:val="0"/>
      <w:marRight w:val="0"/>
      <w:marTop w:val="0"/>
      <w:marBottom w:val="0"/>
      <w:divBdr>
        <w:top w:val="none" w:sz="0" w:space="0" w:color="auto"/>
        <w:left w:val="none" w:sz="0" w:space="0" w:color="auto"/>
        <w:bottom w:val="none" w:sz="0" w:space="0" w:color="auto"/>
        <w:right w:val="none" w:sz="0" w:space="0" w:color="auto"/>
      </w:divBdr>
    </w:div>
    <w:div w:id="368991958">
      <w:bodyDiv w:val="1"/>
      <w:marLeft w:val="0"/>
      <w:marRight w:val="0"/>
      <w:marTop w:val="0"/>
      <w:marBottom w:val="0"/>
      <w:divBdr>
        <w:top w:val="none" w:sz="0" w:space="0" w:color="auto"/>
        <w:left w:val="none" w:sz="0" w:space="0" w:color="auto"/>
        <w:bottom w:val="none" w:sz="0" w:space="0" w:color="auto"/>
        <w:right w:val="none" w:sz="0" w:space="0" w:color="auto"/>
      </w:divBdr>
    </w:div>
    <w:div w:id="369065563">
      <w:bodyDiv w:val="1"/>
      <w:marLeft w:val="0"/>
      <w:marRight w:val="0"/>
      <w:marTop w:val="0"/>
      <w:marBottom w:val="0"/>
      <w:divBdr>
        <w:top w:val="none" w:sz="0" w:space="0" w:color="auto"/>
        <w:left w:val="none" w:sz="0" w:space="0" w:color="auto"/>
        <w:bottom w:val="none" w:sz="0" w:space="0" w:color="auto"/>
        <w:right w:val="none" w:sz="0" w:space="0" w:color="auto"/>
      </w:divBdr>
    </w:div>
    <w:div w:id="369114693">
      <w:bodyDiv w:val="1"/>
      <w:marLeft w:val="0"/>
      <w:marRight w:val="0"/>
      <w:marTop w:val="0"/>
      <w:marBottom w:val="0"/>
      <w:divBdr>
        <w:top w:val="none" w:sz="0" w:space="0" w:color="auto"/>
        <w:left w:val="none" w:sz="0" w:space="0" w:color="auto"/>
        <w:bottom w:val="none" w:sz="0" w:space="0" w:color="auto"/>
        <w:right w:val="none" w:sz="0" w:space="0" w:color="auto"/>
      </w:divBdr>
    </w:div>
    <w:div w:id="369114766">
      <w:bodyDiv w:val="1"/>
      <w:marLeft w:val="0"/>
      <w:marRight w:val="0"/>
      <w:marTop w:val="0"/>
      <w:marBottom w:val="0"/>
      <w:divBdr>
        <w:top w:val="none" w:sz="0" w:space="0" w:color="auto"/>
        <w:left w:val="none" w:sz="0" w:space="0" w:color="auto"/>
        <w:bottom w:val="none" w:sz="0" w:space="0" w:color="auto"/>
        <w:right w:val="none" w:sz="0" w:space="0" w:color="auto"/>
      </w:divBdr>
    </w:div>
    <w:div w:id="369114977">
      <w:bodyDiv w:val="1"/>
      <w:marLeft w:val="0"/>
      <w:marRight w:val="0"/>
      <w:marTop w:val="0"/>
      <w:marBottom w:val="0"/>
      <w:divBdr>
        <w:top w:val="none" w:sz="0" w:space="0" w:color="auto"/>
        <w:left w:val="none" w:sz="0" w:space="0" w:color="auto"/>
        <w:bottom w:val="none" w:sz="0" w:space="0" w:color="auto"/>
        <w:right w:val="none" w:sz="0" w:space="0" w:color="auto"/>
      </w:divBdr>
    </w:div>
    <w:div w:id="369453420">
      <w:bodyDiv w:val="1"/>
      <w:marLeft w:val="0"/>
      <w:marRight w:val="0"/>
      <w:marTop w:val="0"/>
      <w:marBottom w:val="0"/>
      <w:divBdr>
        <w:top w:val="none" w:sz="0" w:space="0" w:color="auto"/>
        <w:left w:val="none" w:sz="0" w:space="0" w:color="auto"/>
        <w:bottom w:val="none" w:sz="0" w:space="0" w:color="auto"/>
        <w:right w:val="none" w:sz="0" w:space="0" w:color="auto"/>
      </w:divBdr>
    </w:div>
    <w:div w:id="369453572">
      <w:bodyDiv w:val="1"/>
      <w:marLeft w:val="0"/>
      <w:marRight w:val="0"/>
      <w:marTop w:val="0"/>
      <w:marBottom w:val="0"/>
      <w:divBdr>
        <w:top w:val="none" w:sz="0" w:space="0" w:color="auto"/>
        <w:left w:val="none" w:sz="0" w:space="0" w:color="auto"/>
        <w:bottom w:val="none" w:sz="0" w:space="0" w:color="auto"/>
        <w:right w:val="none" w:sz="0" w:space="0" w:color="auto"/>
      </w:divBdr>
    </w:div>
    <w:div w:id="369458972">
      <w:bodyDiv w:val="1"/>
      <w:marLeft w:val="0"/>
      <w:marRight w:val="0"/>
      <w:marTop w:val="0"/>
      <w:marBottom w:val="0"/>
      <w:divBdr>
        <w:top w:val="none" w:sz="0" w:space="0" w:color="auto"/>
        <w:left w:val="none" w:sz="0" w:space="0" w:color="auto"/>
        <w:bottom w:val="none" w:sz="0" w:space="0" w:color="auto"/>
        <w:right w:val="none" w:sz="0" w:space="0" w:color="auto"/>
      </w:divBdr>
    </w:div>
    <w:div w:id="369503082">
      <w:bodyDiv w:val="1"/>
      <w:marLeft w:val="0"/>
      <w:marRight w:val="0"/>
      <w:marTop w:val="0"/>
      <w:marBottom w:val="0"/>
      <w:divBdr>
        <w:top w:val="none" w:sz="0" w:space="0" w:color="auto"/>
        <w:left w:val="none" w:sz="0" w:space="0" w:color="auto"/>
        <w:bottom w:val="none" w:sz="0" w:space="0" w:color="auto"/>
        <w:right w:val="none" w:sz="0" w:space="0" w:color="auto"/>
      </w:divBdr>
    </w:div>
    <w:div w:id="369568873">
      <w:bodyDiv w:val="1"/>
      <w:marLeft w:val="0"/>
      <w:marRight w:val="0"/>
      <w:marTop w:val="0"/>
      <w:marBottom w:val="0"/>
      <w:divBdr>
        <w:top w:val="none" w:sz="0" w:space="0" w:color="auto"/>
        <w:left w:val="none" w:sz="0" w:space="0" w:color="auto"/>
        <w:bottom w:val="none" w:sz="0" w:space="0" w:color="auto"/>
        <w:right w:val="none" w:sz="0" w:space="0" w:color="auto"/>
      </w:divBdr>
    </w:div>
    <w:div w:id="369571543">
      <w:bodyDiv w:val="1"/>
      <w:marLeft w:val="0"/>
      <w:marRight w:val="0"/>
      <w:marTop w:val="0"/>
      <w:marBottom w:val="0"/>
      <w:divBdr>
        <w:top w:val="none" w:sz="0" w:space="0" w:color="auto"/>
        <w:left w:val="none" w:sz="0" w:space="0" w:color="auto"/>
        <w:bottom w:val="none" w:sz="0" w:space="0" w:color="auto"/>
        <w:right w:val="none" w:sz="0" w:space="0" w:color="auto"/>
      </w:divBdr>
    </w:div>
    <w:div w:id="369765296">
      <w:bodyDiv w:val="1"/>
      <w:marLeft w:val="0"/>
      <w:marRight w:val="0"/>
      <w:marTop w:val="0"/>
      <w:marBottom w:val="0"/>
      <w:divBdr>
        <w:top w:val="none" w:sz="0" w:space="0" w:color="auto"/>
        <w:left w:val="none" w:sz="0" w:space="0" w:color="auto"/>
        <w:bottom w:val="none" w:sz="0" w:space="0" w:color="auto"/>
        <w:right w:val="none" w:sz="0" w:space="0" w:color="auto"/>
      </w:divBdr>
    </w:div>
    <w:div w:id="369887667">
      <w:bodyDiv w:val="1"/>
      <w:marLeft w:val="0"/>
      <w:marRight w:val="0"/>
      <w:marTop w:val="0"/>
      <w:marBottom w:val="0"/>
      <w:divBdr>
        <w:top w:val="none" w:sz="0" w:space="0" w:color="auto"/>
        <w:left w:val="none" w:sz="0" w:space="0" w:color="auto"/>
        <w:bottom w:val="none" w:sz="0" w:space="0" w:color="auto"/>
        <w:right w:val="none" w:sz="0" w:space="0" w:color="auto"/>
      </w:divBdr>
    </w:div>
    <w:div w:id="370155080">
      <w:bodyDiv w:val="1"/>
      <w:marLeft w:val="0"/>
      <w:marRight w:val="0"/>
      <w:marTop w:val="0"/>
      <w:marBottom w:val="0"/>
      <w:divBdr>
        <w:top w:val="none" w:sz="0" w:space="0" w:color="auto"/>
        <w:left w:val="none" w:sz="0" w:space="0" w:color="auto"/>
        <w:bottom w:val="none" w:sz="0" w:space="0" w:color="auto"/>
        <w:right w:val="none" w:sz="0" w:space="0" w:color="auto"/>
      </w:divBdr>
    </w:div>
    <w:div w:id="370224948">
      <w:bodyDiv w:val="1"/>
      <w:marLeft w:val="0"/>
      <w:marRight w:val="0"/>
      <w:marTop w:val="0"/>
      <w:marBottom w:val="0"/>
      <w:divBdr>
        <w:top w:val="none" w:sz="0" w:space="0" w:color="auto"/>
        <w:left w:val="none" w:sz="0" w:space="0" w:color="auto"/>
        <w:bottom w:val="none" w:sz="0" w:space="0" w:color="auto"/>
        <w:right w:val="none" w:sz="0" w:space="0" w:color="auto"/>
      </w:divBdr>
    </w:div>
    <w:div w:id="370225439">
      <w:bodyDiv w:val="1"/>
      <w:marLeft w:val="0"/>
      <w:marRight w:val="0"/>
      <w:marTop w:val="0"/>
      <w:marBottom w:val="0"/>
      <w:divBdr>
        <w:top w:val="none" w:sz="0" w:space="0" w:color="auto"/>
        <w:left w:val="none" w:sz="0" w:space="0" w:color="auto"/>
        <w:bottom w:val="none" w:sz="0" w:space="0" w:color="auto"/>
        <w:right w:val="none" w:sz="0" w:space="0" w:color="auto"/>
      </w:divBdr>
    </w:div>
    <w:div w:id="370227447">
      <w:bodyDiv w:val="1"/>
      <w:marLeft w:val="0"/>
      <w:marRight w:val="0"/>
      <w:marTop w:val="0"/>
      <w:marBottom w:val="0"/>
      <w:divBdr>
        <w:top w:val="none" w:sz="0" w:space="0" w:color="auto"/>
        <w:left w:val="none" w:sz="0" w:space="0" w:color="auto"/>
        <w:bottom w:val="none" w:sz="0" w:space="0" w:color="auto"/>
        <w:right w:val="none" w:sz="0" w:space="0" w:color="auto"/>
      </w:divBdr>
    </w:div>
    <w:div w:id="370689606">
      <w:bodyDiv w:val="1"/>
      <w:marLeft w:val="0"/>
      <w:marRight w:val="0"/>
      <w:marTop w:val="0"/>
      <w:marBottom w:val="0"/>
      <w:divBdr>
        <w:top w:val="none" w:sz="0" w:space="0" w:color="auto"/>
        <w:left w:val="none" w:sz="0" w:space="0" w:color="auto"/>
        <w:bottom w:val="none" w:sz="0" w:space="0" w:color="auto"/>
        <w:right w:val="none" w:sz="0" w:space="0" w:color="auto"/>
      </w:divBdr>
    </w:div>
    <w:div w:id="370882729">
      <w:bodyDiv w:val="1"/>
      <w:marLeft w:val="0"/>
      <w:marRight w:val="0"/>
      <w:marTop w:val="0"/>
      <w:marBottom w:val="0"/>
      <w:divBdr>
        <w:top w:val="none" w:sz="0" w:space="0" w:color="auto"/>
        <w:left w:val="none" w:sz="0" w:space="0" w:color="auto"/>
        <w:bottom w:val="none" w:sz="0" w:space="0" w:color="auto"/>
        <w:right w:val="none" w:sz="0" w:space="0" w:color="auto"/>
      </w:divBdr>
    </w:div>
    <w:div w:id="370884932">
      <w:bodyDiv w:val="1"/>
      <w:marLeft w:val="0"/>
      <w:marRight w:val="0"/>
      <w:marTop w:val="0"/>
      <w:marBottom w:val="0"/>
      <w:divBdr>
        <w:top w:val="none" w:sz="0" w:space="0" w:color="auto"/>
        <w:left w:val="none" w:sz="0" w:space="0" w:color="auto"/>
        <w:bottom w:val="none" w:sz="0" w:space="0" w:color="auto"/>
        <w:right w:val="none" w:sz="0" w:space="0" w:color="auto"/>
      </w:divBdr>
    </w:div>
    <w:div w:id="371148480">
      <w:bodyDiv w:val="1"/>
      <w:marLeft w:val="0"/>
      <w:marRight w:val="0"/>
      <w:marTop w:val="0"/>
      <w:marBottom w:val="0"/>
      <w:divBdr>
        <w:top w:val="none" w:sz="0" w:space="0" w:color="auto"/>
        <w:left w:val="none" w:sz="0" w:space="0" w:color="auto"/>
        <w:bottom w:val="none" w:sz="0" w:space="0" w:color="auto"/>
        <w:right w:val="none" w:sz="0" w:space="0" w:color="auto"/>
      </w:divBdr>
    </w:div>
    <w:div w:id="371153627">
      <w:bodyDiv w:val="1"/>
      <w:marLeft w:val="0"/>
      <w:marRight w:val="0"/>
      <w:marTop w:val="0"/>
      <w:marBottom w:val="0"/>
      <w:divBdr>
        <w:top w:val="none" w:sz="0" w:space="0" w:color="auto"/>
        <w:left w:val="none" w:sz="0" w:space="0" w:color="auto"/>
        <w:bottom w:val="none" w:sz="0" w:space="0" w:color="auto"/>
        <w:right w:val="none" w:sz="0" w:space="0" w:color="auto"/>
      </w:divBdr>
    </w:div>
    <w:div w:id="371156181">
      <w:bodyDiv w:val="1"/>
      <w:marLeft w:val="0"/>
      <w:marRight w:val="0"/>
      <w:marTop w:val="0"/>
      <w:marBottom w:val="0"/>
      <w:divBdr>
        <w:top w:val="none" w:sz="0" w:space="0" w:color="auto"/>
        <w:left w:val="none" w:sz="0" w:space="0" w:color="auto"/>
        <w:bottom w:val="none" w:sz="0" w:space="0" w:color="auto"/>
        <w:right w:val="none" w:sz="0" w:space="0" w:color="auto"/>
      </w:divBdr>
    </w:div>
    <w:div w:id="371225652">
      <w:bodyDiv w:val="1"/>
      <w:marLeft w:val="0"/>
      <w:marRight w:val="0"/>
      <w:marTop w:val="0"/>
      <w:marBottom w:val="0"/>
      <w:divBdr>
        <w:top w:val="none" w:sz="0" w:space="0" w:color="auto"/>
        <w:left w:val="none" w:sz="0" w:space="0" w:color="auto"/>
        <w:bottom w:val="none" w:sz="0" w:space="0" w:color="auto"/>
        <w:right w:val="none" w:sz="0" w:space="0" w:color="auto"/>
      </w:divBdr>
    </w:div>
    <w:div w:id="371274401">
      <w:bodyDiv w:val="1"/>
      <w:marLeft w:val="0"/>
      <w:marRight w:val="0"/>
      <w:marTop w:val="0"/>
      <w:marBottom w:val="0"/>
      <w:divBdr>
        <w:top w:val="none" w:sz="0" w:space="0" w:color="auto"/>
        <w:left w:val="none" w:sz="0" w:space="0" w:color="auto"/>
        <w:bottom w:val="none" w:sz="0" w:space="0" w:color="auto"/>
        <w:right w:val="none" w:sz="0" w:space="0" w:color="auto"/>
      </w:divBdr>
    </w:div>
    <w:div w:id="371418178">
      <w:bodyDiv w:val="1"/>
      <w:marLeft w:val="0"/>
      <w:marRight w:val="0"/>
      <w:marTop w:val="0"/>
      <w:marBottom w:val="0"/>
      <w:divBdr>
        <w:top w:val="none" w:sz="0" w:space="0" w:color="auto"/>
        <w:left w:val="none" w:sz="0" w:space="0" w:color="auto"/>
        <w:bottom w:val="none" w:sz="0" w:space="0" w:color="auto"/>
        <w:right w:val="none" w:sz="0" w:space="0" w:color="auto"/>
      </w:divBdr>
    </w:div>
    <w:div w:id="371654771">
      <w:bodyDiv w:val="1"/>
      <w:marLeft w:val="0"/>
      <w:marRight w:val="0"/>
      <w:marTop w:val="0"/>
      <w:marBottom w:val="0"/>
      <w:divBdr>
        <w:top w:val="none" w:sz="0" w:space="0" w:color="auto"/>
        <w:left w:val="none" w:sz="0" w:space="0" w:color="auto"/>
        <w:bottom w:val="none" w:sz="0" w:space="0" w:color="auto"/>
        <w:right w:val="none" w:sz="0" w:space="0" w:color="auto"/>
      </w:divBdr>
    </w:div>
    <w:div w:id="371660326">
      <w:bodyDiv w:val="1"/>
      <w:marLeft w:val="0"/>
      <w:marRight w:val="0"/>
      <w:marTop w:val="0"/>
      <w:marBottom w:val="0"/>
      <w:divBdr>
        <w:top w:val="none" w:sz="0" w:space="0" w:color="auto"/>
        <w:left w:val="none" w:sz="0" w:space="0" w:color="auto"/>
        <w:bottom w:val="none" w:sz="0" w:space="0" w:color="auto"/>
        <w:right w:val="none" w:sz="0" w:space="0" w:color="auto"/>
      </w:divBdr>
    </w:div>
    <w:div w:id="371730837">
      <w:bodyDiv w:val="1"/>
      <w:marLeft w:val="0"/>
      <w:marRight w:val="0"/>
      <w:marTop w:val="0"/>
      <w:marBottom w:val="0"/>
      <w:divBdr>
        <w:top w:val="none" w:sz="0" w:space="0" w:color="auto"/>
        <w:left w:val="none" w:sz="0" w:space="0" w:color="auto"/>
        <w:bottom w:val="none" w:sz="0" w:space="0" w:color="auto"/>
        <w:right w:val="none" w:sz="0" w:space="0" w:color="auto"/>
      </w:divBdr>
    </w:div>
    <w:div w:id="371734625">
      <w:bodyDiv w:val="1"/>
      <w:marLeft w:val="0"/>
      <w:marRight w:val="0"/>
      <w:marTop w:val="0"/>
      <w:marBottom w:val="0"/>
      <w:divBdr>
        <w:top w:val="none" w:sz="0" w:space="0" w:color="auto"/>
        <w:left w:val="none" w:sz="0" w:space="0" w:color="auto"/>
        <w:bottom w:val="none" w:sz="0" w:space="0" w:color="auto"/>
        <w:right w:val="none" w:sz="0" w:space="0" w:color="auto"/>
      </w:divBdr>
    </w:div>
    <w:div w:id="371804747">
      <w:bodyDiv w:val="1"/>
      <w:marLeft w:val="0"/>
      <w:marRight w:val="0"/>
      <w:marTop w:val="0"/>
      <w:marBottom w:val="0"/>
      <w:divBdr>
        <w:top w:val="none" w:sz="0" w:space="0" w:color="auto"/>
        <w:left w:val="none" w:sz="0" w:space="0" w:color="auto"/>
        <w:bottom w:val="none" w:sz="0" w:space="0" w:color="auto"/>
        <w:right w:val="none" w:sz="0" w:space="0" w:color="auto"/>
      </w:divBdr>
    </w:div>
    <w:div w:id="371808523">
      <w:bodyDiv w:val="1"/>
      <w:marLeft w:val="0"/>
      <w:marRight w:val="0"/>
      <w:marTop w:val="0"/>
      <w:marBottom w:val="0"/>
      <w:divBdr>
        <w:top w:val="none" w:sz="0" w:space="0" w:color="auto"/>
        <w:left w:val="none" w:sz="0" w:space="0" w:color="auto"/>
        <w:bottom w:val="none" w:sz="0" w:space="0" w:color="auto"/>
        <w:right w:val="none" w:sz="0" w:space="0" w:color="auto"/>
      </w:divBdr>
    </w:div>
    <w:div w:id="371853970">
      <w:bodyDiv w:val="1"/>
      <w:marLeft w:val="0"/>
      <w:marRight w:val="0"/>
      <w:marTop w:val="0"/>
      <w:marBottom w:val="0"/>
      <w:divBdr>
        <w:top w:val="none" w:sz="0" w:space="0" w:color="auto"/>
        <w:left w:val="none" w:sz="0" w:space="0" w:color="auto"/>
        <w:bottom w:val="none" w:sz="0" w:space="0" w:color="auto"/>
        <w:right w:val="none" w:sz="0" w:space="0" w:color="auto"/>
      </w:divBdr>
    </w:div>
    <w:div w:id="371878968">
      <w:bodyDiv w:val="1"/>
      <w:marLeft w:val="0"/>
      <w:marRight w:val="0"/>
      <w:marTop w:val="0"/>
      <w:marBottom w:val="0"/>
      <w:divBdr>
        <w:top w:val="none" w:sz="0" w:space="0" w:color="auto"/>
        <w:left w:val="none" w:sz="0" w:space="0" w:color="auto"/>
        <w:bottom w:val="none" w:sz="0" w:space="0" w:color="auto"/>
        <w:right w:val="none" w:sz="0" w:space="0" w:color="auto"/>
      </w:divBdr>
    </w:div>
    <w:div w:id="371921297">
      <w:bodyDiv w:val="1"/>
      <w:marLeft w:val="0"/>
      <w:marRight w:val="0"/>
      <w:marTop w:val="0"/>
      <w:marBottom w:val="0"/>
      <w:divBdr>
        <w:top w:val="none" w:sz="0" w:space="0" w:color="auto"/>
        <w:left w:val="none" w:sz="0" w:space="0" w:color="auto"/>
        <w:bottom w:val="none" w:sz="0" w:space="0" w:color="auto"/>
        <w:right w:val="none" w:sz="0" w:space="0" w:color="auto"/>
      </w:divBdr>
    </w:div>
    <w:div w:id="371930797">
      <w:bodyDiv w:val="1"/>
      <w:marLeft w:val="0"/>
      <w:marRight w:val="0"/>
      <w:marTop w:val="0"/>
      <w:marBottom w:val="0"/>
      <w:divBdr>
        <w:top w:val="none" w:sz="0" w:space="0" w:color="auto"/>
        <w:left w:val="none" w:sz="0" w:space="0" w:color="auto"/>
        <w:bottom w:val="none" w:sz="0" w:space="0" w:color="auto"/>
        <w:right w:val="none" w:sz="0" w:space="0" w:color="auto"/>
      </w:divBdr>
    </w:div>
    <w:div w:id="372001939">
      <w:bodyDiv w:val="1"/>
      <w:marLeft w:val="0"/>
      <w:marRight w:val="0"/>
      <w:marTop w:val="0"/>
      <w:marBottom w:val="0"/>
      <w:divBdr>
        <w:top w:val="none" w:sz="0" w:space="0" w:color="auto"/>
        <w:left w:val="none" w:sz="0" w:space="0" w:color="auto"/>
        <w:bottom w:val="none" w:sz="0" w:space="0" w:color="auto"/>
        <w:right w:val="none" w:sz="0" w:space="0" w:color="auto"/>
      </w:divBdr>
    </w:div>
    <w:div w:id="372005044">
      <w:bodyDiv w:val="1"/>
      <w:marLeft w:val="0"/>
      <w:marRight w:val="0"/>
      <w:marTop w:val="0"/>
      <w:marBottom w:val="0"/>
      <w:divBdr>
        <w:top w:val="none" w:sz="0" w:space="0" w:color="auto"/>
        <w:left w:val="none" w:sz="0" w:space="0" w:color="auto"/>
        <w:bottom w:val="none" w:sz="0" w:space="0" w:color="auto"/>
        <w:right w:val="none" w:sz="0" w:space="0" w:color="auto"/>
      </w:divBdr>
    </w:div>
    <w:div w:id="372074426">
      <w:bodyDiv w:val="1"/>
      <w:marLeft w:val="0"/>
      <w:marRight w:val="0"/>
      <w:marTop w:val="0"/>
      <w:marBottom w:val="0"/>
      <w:divBdr>
        <w:top w:val="none" w:sz="0" w:space="0" w:color="auto"/>
        <w:left w:val="none" w:sz="0" w:space="0" w:color="auto"/>
        <w:bottom w:val="none" w:sz="0" w:space="0" w:color="auto"/>
        <w:right w:val="none" w:sz="0" w:space="0" w:color="auto"/>
      </w:divBdr>
    </w:div>
    <w:div w:id="372121764">
      <w:bodyDiv w:val="1"/>
      <w:marLeft w:val="0"/>
      <w:marRight w:val="0"/>
      <w:marTop w:val="0"/>
      <w:marBottom w:val="0"/>
      <w:divBdr>
        <w:top w:val="none" w:sz="0" w:space="0" w:color="auto"/>
        <w:left w:val="none" w:sz="0" w:space="0" w:color="auto"/>
        <w:bottom w:val="none" w:sz="0" w:space="0" w:color="auto"/>
        <w:right w:val="none" w:sz="0" w:space="0" w:color="auto"/>
      </w:divBdr>
    </w:div>
    <w:div w:id="372192207">
      <w:bodyDiv w:val="1"/>
      <w:marLeft w:val="0"/>
      <w:marRight w:val="0"/>
      <w:marTop w:val="0"/>
      <w:marBottom w:val="0"/>
      <w:divBdr>
        <w:top w:val="none" w:sz="0" w:space="0" w:color="auto"/>
        <w:left w:val="none" w:sz="0" w:space="0" w:color="auto"/>
        <w:bottom w:val="none" w:sz="0" w:space="0" w:color="auto"/>
        <w:right w:val="none" w:sz="0" w:space="0" w:color="auto"/>
      </w:divBdr>
    </w:div>
    <w:div w:id="372193368">
      <w:bodyDiv w:val="1"/>
      <w:marLeft w:val="0"/>
      <w:marRight w:val="0"/>
      <w:marTop w:val="0"/>
      <w:marBottom w:val="0"/>
      <w:divBdr>
        <w:top w:val="none" w:sz="0" w:space="0" w:color="auto"/>
        <w:left w:val="none" w:sz="0" w:space="0" w:color="auto"/>
        <w:bottom w:val="none" w:sz="0" w:space="0" w:color="auto"/>
        <w:right w:val="none" w:sz="0" w:space="0" w:color="auto"/>
      </w:divBdr>
    </w:div>
    <w:div w:id="372195291">
      <w:bodyDiv w:val="1"/>
      <w:marLeft w:val="0"/>
      <w:marRight w:val="0"/>
      <w:marTop w:val="0"/>
      <w:marBottom w:val="0"/>
      <w:divBdr>
        <w:top w:val="none" w:sz="0" w:space="0" w:color="auto"/>
        <w:left w:val="none" w:sz="0" w:space="0" w:color="auto"/>
        <w:bottom w:val="none" w:sz="0" w:space="0" w:color="auto"/>
        <w:right w:val="none" w:sz="0" w:space="0" w:color="auto"/>
      </w:divBdr>
    </w:div>
    <w:div w:id="372392603">
      <w:bodyDiv w:val="1"/>
      <w:marLeft w:val="0"/>
      <w:marRight w:val="0"/>
      <w:marTop w:val="0"/>
      <w:marBottom w:val="0"/>
      <w:divBdr>
        <w:top w:val="none" w:sz="0" w:space="0" w:color="auto"/>
        <w:left w:val="none" w:sz="0" w:space="0" w:color="auto"/>
        <w:bottom w:val="none" w:sz="0" w:space="0" w:color="auto"/>
        <w:right w:val="none" w:sz="0" w:space="0" w:color="auto"/>
      </w:divBdr>
    </w:div>
    <w:div w:id="372463713">
      <w:bodyDiv w:val="1"/>
      <w:marLeft w:val="0"/>
      <w:marRight w:val="0"/>
      <w:marTop w:val="0"/>
      <w:marBottom w:val="0"/>
      <w:divBdr>
        <w:top w:val="none" w:sz="0" w:space="0" w:color="auto"/>
        <w:left w:val="none" w:sz="0" w:space="0" w:color="auto"/>
        <w:bottom w:val="none" w:sz="0" w:space="0" w:color="auto"/>
        <w:right w:val="none" w:sz="0" w:space="0" w:color="auto"/>
      </w:divBdr>
    </w:div>
    <w:div w:id="372509449">
      <w:bodyDiv w:val="1"/>
      <w:marLeft w:val="0"/>
      <w:marRight w:val="0"/>
      <w:marTop w:val="0"/>
      <w:marBottom w:val="0"/>
      <w:divBdr>
        <w:top w:val="none" w:sz="0" w:space="0" w:color="auto"/>
        <w:left w:val="none" w:sz="0" w:space="0" w:color="auto"/>
        <w:bottom w:val="none" w:sz="0" w:space="0" w:color="auto"/>
        <w:right w:val="none" w:sz="0" w:space="0" w:color="auto"/>
      </w:divBdr>
    </w:div>
    <w:div w:id="372579466">
      <w:bodyDiv w:val="1"/>
      <w:marLeft w:val="0"/>
      <w:marRight w:val="0"/>
      <w:marTop w:val="0"/>
      <w:marBottom w:val="0"/>
      <w:divBdr>
        <w:top w:val="none" w:sz="0" w:space="0" w:color="auto"/>
        <w:left w:val="none" w:sz="0" w:space="0" w:color="auto"/>
        <w:bottom w:val="none" w:sz="0" w:space="0" w:color="auto"/>
        <w:right w:val="none" w:sz="0" w:space="0" w:color="auto"/>
      </w:divBdr>
    </w:div>
    <w:div w:id="372652727">
      <w:bodyDiv w:val="1"/>
      <w:marLeft w:val="0"/>
      <w:marRight w:val="0"/>
      <w:marTop w:val="0"/>
      <w:marBottom w:val="0"/>
      <w:divBdr>
        <w:top w:val="none" w:sz="0" w:space="0" w:color="auto"/>
        <w:left w:val="none" w:sz="0" w:space="0" w:color="auto"/>
        <w:bottom w:val="none" w:sz="0" w:space="0" w:color="auto"/>
        <w:right w:val="none" w:sz="0" w:space="0" w:color="auto"/>
      </w:divBdr>
    </w:div>
    <w:div w:id="372656725">
      <w:bodyDiv w:val="1"/>
      <w:marLeft w:val="0"/>
      <w:marRight w:val="0"/>
      <w:marTop w:val="0"/>
      <w:marBottom w:val="0"/>
      <w:divBdr>
        <w:top w:val="none" w:sz="0" w:space="0" w:color="auto"/>
        <w:left w:val="none" w:sz="0" w:space="0" w:color="auto"/>
        <w:bottom w:val="none" w:sz="0" w:space="0" w:color="auto"/>
        <w:right w:val="none" w:sz="0" w:space="0" w:color="auto"/>
      </w:divBdr>
    </w:div>
    <w:div w:id="372731039">
      <w:bodyDiv w:val="1"/>
      <w:marLeft w:val="0"/>
      <w:marRight w:val="0"/>
      <w:marTop w:val="0"/>
      <w:marBottom w:val="0"/>
      <w:divBdr>
        <w:top w:val="none" w:sz="0" w:space="0" w:color="auto"/>
        <w:left w:val="none" w:sz="0" w:space="0" w:color="auto"/>
        <w:bottom w:val="none" w:sz="0" w:space="0" w:color="auto"/>
        <w:right w:val="none" w:sz="0" w:space="0" w:color="auto"/>
      </w:divBdr>
    </w:div>
    <w:div w:id="372770019">
      <w:bodyDiv w:val="1"/>
      <w:marLeft w:val="0"/>
      <w:marRight w:val="0"/>
      <w:marTop w:val="0"/>
      <w:marBottom w:val="0"/>
      <w:divBdr>
        <w:top w:val="none" w:sz="0" w:space="0" w:color="auto"/>
        <w:left w:val="none" w:sz="0" w:space="0" w:color="auto"/>
        <w:bottom w:val="none" w:sz="0" w:space="0" w:color="auto"/>
        <w:right w:val="none" w:sz="0" w:space="0" w:color="auto"/>
      </w:divBdr>
    </w:div>
    <w:div w:id="372774988">
      <w:bodyDiv w:val="1"/>
      <w:marLeft w:val="0"/>
      <w:marRight w:val="0"/>
      <w:marTop w:val="0"/>
      <w:marBottom w:val="0"/>
      <w:divBdr>
        <w:top w:val="none" w:sz="0" w:space="0" w:color="auto"/>
        <w:left w:val="none" w:sz="0" w:space="0" w:color="auto"/>
        <w:bottom w:val="none" w:sz="0" w:space="0" w:color="auto"/>
        <w:right w:val="none" w:sz="0" w:space="0" w:color="auto"/>
      </w:divBdr>
    </w:div>
    <w:div w:id="372778719">
      <w:bodyDiv w:val="1"/>
      <w:marLeft w:val="0"/>
      <w:marRight w:val="0"/>
      <w:marTop w:val="0"/>
      <w:marBottom w:val="0"/>
      <w:divBdr>
        <w:top w:val="none" w:sz="0" w:space="0" w:color="auto"/>
        <w:left w:val="none" w:sz="0" w:space="0" w:color="auto"/>
        <w:bottom w:val="none" w:sz="0" w:space="0" w:color="auto"/>
        <w:right w:val="none" w:sz="0" w:space="0" w:color="auto"/>
      </w:divBdr>
    </w:div>
    <w:div w:id="372928396">
      <w:bodyDiv w:val="1"/>
      <w:marLeft w:val="0"/>
      <w:marRight w:val="0"/>
      <w:marTop w:val="0"/>
      <w:marBottom w:val="0"/>
      <w:divBdr>
        <w:top w:val="none" w:sz="0" w:space="0" w:color="auto"/>
        <w:left w:val="none" w:sz="0" w:space="0" w:color="auto"/>
        <w:bottom w:val="none" w:sz="0" w:space="0" w:color="auto"/>
        <w:right w:val="none" w:sz="0" w:space="0" w:color="auto"/>
      </w:divBdr>
    </w:div>
    <w:div w:id="372967536">
      <w:bodyDiv w:val="1"/>
      <w:marLeft w:val="0"/>
      <w:marRight w:val="0"/>
      <w:marTop w:val="0"/>
      <w:marBottom w:val="0"/>
      <w:divBdr>
        <w:top w:val="none" w:sz="0" w:space="0" w:color="auto"/>
        <w:left w:val="none" w:sz="0" w:space="0" w:color="auto"/>
        <w:bottom w:val="none" w:sz="0" w:space="0" w:color="auto"/>
        <w:right w:val="none" w:sz="0" w:space="0" w:color="auto"/>
      </w:divBdr>
    </w:div>
    <w:div w:id="372971300">
      <w:bodyDiv w:val="1"/>
      <w:marLeft w:val="0"/>
      <w:marRight w:val="0"/>
      <w:marTop w:val="0"/>
      <w:marBottom w:val="0"/>
      <w:divBdr>
        <w:top w:val="none" w:sz="0" w:space="0" w:color="auto"/>
        <w:left w:val="none" w:sz="0" w:space="0" w:color="auto"/>
        <w:bottom w:val="none" w:sz="0" w:space="0" w:color="auto"/>
        <w:right w:val="none" w:sz="0" w:space="0" w:color="auto"/>
      </w:divBdr>
    </w:div>
    <w:div w:id="373233040">
      <w:bodyDiv w:val="1"/>
      <w:marLeft w:val="0"/>
      <w:marRight w:val="0"/>
      <w:marTop w:val="0"/>
      <w:marBottom w:val="0"/>
      <w:divBdr>
        <w:top w:val="none" w:sz="0" w:space="0" w:color="auto"/>
        <w:left w:val="none" w:sz="0" w:space="0" w:color="auto"/>
        <w:bottom w:val="none" w:sz="0" w:space="0" w:color="auto"/>
        <w:right w:val="none" w:sz="0" w:space="0" w:color="auto"/>
      </w:divBdr>
    </w:div>
    <w:div w:id="373233846">
      <w:bodyDiv w:val="1"/>
      <w:marLeft w:val="0"/>
      <w:marRight w:val="0"/>
      <w:marTop w:val="0"/>
      <w:marBottom w:val="0"/>
      <w:divBdr>
        <w:top w:val="none" w:sz="0" w:space="0" w:color="auto"/>
        <w:left w:val="none" w:sz="0" w:space="0" w:color="auto"/>
        <w:bottom w:val="none" w:sz="0" w:space="0" w:color="auto"/>
        <w:right w:val="none" w:sz="0" w:space="0" w:color="auto"/>
      </w:divBdr>
    </w:div>
    <w:div w:id="373313268">
      <w:bodyDiv w:val="1"/>
      <w:marLeft w:val="0"/>
      <w:marRight w:val="0"/>
      <w:marTop w:val="0"/>
      <w:marBottom w:val="0"/>
      <w:divBdr>
        <w:top w:val="none" w:sz="0" w:space="0" w:color="auto"/>
        <w:left w:val="none" w:sz="0" w:space="0" w:color="auto"/>
        <w:bottom w:val="none" w:sz="0" w:space="0" w:color="auto"/>
        <w:right w:val="none" w:sz="0" w:space="0" w:color="auto"/>
      </w:divBdr>
    </w:div>
    <w:div w:id="373315207">
      <w:bodyDiv w:val="1"/>
      <w:marLeft w:val="0"/>
      <w:marRight w:val="0"/>
      <w:marTop w:val="0"/>
      <w:marBottom w:val="0"/>
      <w:divBdr>
        <w:top w:val="none" w:sz="0" w:space="0" w:color="auto"/>
        <w:left w:val="none" w:sz="0" w:space="0" w:color="auto"/>
        <w:bottom w:val="none" w:sz="0" w:space="0" w:color="auto"/>
        <w:right w:val="none" w:sz="0" w:space="0" w:color="auto"/>
      </w:divBdr>
    </w:div>
    <w:div w:id="373434256">
      <w:bodyDiv w:val="1"/>
      <w:marLeft w:val="0"/>
      <w:marRight w:val="0"/>
      <w:marTop w:val="0"/>
      <w:marBottom w:val="0"/>
      <w:divBdr>
        <w:top w:val="none" w:sz="0" w:space="0" w:color="auto"/>
        <w:left w:val="none" w:sz="0" w:space="0" w:color="auto"/>
        <w:bottom w:val="none" w:sz="0" w:space="0" w:color="auto"/>
        <w:right w:val="none" w:sz="0" w:space="0" w:color="auto"/>
      </w:divBdr>
    </w:div>
    <w:div w:id="373500866">
      <w:bodyDiv w:val="1"/>
      <w:marLeft w:val="0"/>
      <w:marRight w:val="0"/>
      <w:marTop w:val="0"/>
      <w:marBottom w:val="0"/>
      <w:divBdr>
        <w:top w:val="none" w:sz="0" w:space="0" w:color="auto"/>
        <w:left w:val="none" w:sz="0" w:space="0" w:color="auto"/>
        <w:bottom w:val="none" w:sz="0" w:space="0" w:color="auto"/>
        <w:right w:val="none" w:sz="0" w:space="0" w:color="auto"/>
      </w:divBdr>
    </w:div>
    <w:div w:id="373626249">
      <w:bodyDiv w:val="1"/>
      <w:marLeft w:val="0"/>
      <w:marRight w:val="0"/>
      <w:marTop w:val="0"/>
      <w:marBottom w:val="0"/>
      <w:divBdr>
        <w:top w:val="none" w:sz="0" w:space="0" w:color="auto"/>
        <w:left w:val="none" w:sz="0" w:space="0" w:color="auto"/>
        <w:bottom w:val="none" w:sz="0" w:space="0" w:color="auto"/>
        <w:right w:val="none" w:sz="0" w:space="0" w:color="auto"/>
      </w:divBdr>
    </w:div>
    <w:div w:id="373703131">
      <w:bodyDiv w:val="1"/>
      <w:marLeft w:val="0"/>
      <w:marRight w:val="0"/>
      <w:marTop w:val="0"/>
      <w:marBottom w:val="0"/>
      <w:divBdr>
        <w:top w:val="none" w:sz="0" w:space="0" w:color="auto"/>
        <w:left w:val="none" w:sz="0" w:space="0" w:color="auto"/>
        <w:bottom w:val="none" w:sz="0" w:space="0" w:color="auto"/>
        <w:right w:val="none" w:sz="0" w:space="0" w:color="auto"/>
      </w:divBdr>
    </w:div>
    <w:div w:id="373820455">
      <w:bodyDiv w:val="1"/>
      <w:marLeft w:val="0"/>
      <w:marRight w:val="0"/>
      <w:marTop w:val="0"/>
      <w:marBottom w:val="0"/>
      <w:divBdr>
        <w:top w:val="none" w:sz="0" w:space="0" w:color="auto"/>
        <w:left w:val="none" w:sz="0" w:space="0" w:color="auto"/>
        <w:bottom w:val="none" w:sz="0" w:space="0" w:color="auto"/>
        <w:right w:val="none" w:sz="0" w:space="0" w:color="auto"/>
      </w:divBdr>
    </w:div>
    <w:div w:id="373844887">
      <w:bodyDiv w:val="1"/>
      <w:marLeft w:val="0"/>
      <w:marRight w:val="0"/>
      <w:marTop w:val="0"/>
      <w:marBottom w:val="0"/>
      <w:divBdr>
        <w:top w:val="none" w:sz="0" w:space="0" w:color="auto"/>
        <w:left w:val="none" w:sz="0" w:space="0" w:color="auto"/>
        <w:bottom w:val="none" w:sz="0" w:space="0" w:color="auto"/>
        <w:right w:val="none" w:sz="0" w:space="0" w:color="auto"/>
      </w:divBdr>
    </w:div>
    <w:div w:id="373892294">
      <w:bodyDiv w:val="1"/>
      <w:marLeft w:val="0"/>
      <w:marRight w:val="0"/>
      <w:marTop w:val="0"/>
      <w:marBottom w:val="0"/>
      <w:divBdr>
        <w:top w:val="none" w:sz="0" w:space="0" w:color="auto"/>
        <w:left w:val="none" w:sz="0" w:space="0" w:color="auto"/>
        <w:bottom w:val="none" w:sz="0" w:space="0" w:color="auto"/>
        <w:right w:val="none" w:sz="0" w:space="0" w:color="auto"/>
      </w:divBdr>
    </w:div>
    <w:div w:id="374038430">
      <w:bodyDiv w:val="1"/>
      <w:marLeft w:val="0"/>
      <w:marRight w:val="0"/>
      <w:marTop w:val="0"/>
      <w:marBottom w:val="0"/>
      <w:divBdr>
        <w:top w:val="none" w:sz="0" w:space="0" w:color="auto"/>
        <w:left w:val="none" w:sz="0" w:space="0" w:color="auto"/>
        <w:bottom w:val="none" w:sz="0" w:space="0" w:color="auto"/>
        <w:right w:val="none" w:sz="0" w:space="0" w:color="auto"/>
      </w:divBdr>
    </w:div>
    <w:div w:id="374043819">
      <w:bodyDiv w:val="1"/>
      <w:marLeft w:val="0"/>
      <w:marRight w:val="0"/>
      <w:marTop w:val="0"/>
      <w:marBottom w:val="0"/>
      <w:divBdr>
        <w:top w:val="none" w:sz="0" w:space="0" w:color="auto"/>
        <w:left w:val="none" w:sz="0" w:space="0" w:color="auto"/>
        <w:bottom w:val="none" w:sz="0" w:space="0" w:color="auto"/>
        <w:right w:val="none" w:sz="0" w:space="0" w:color="auto"/>
      </w:divBdr>
    </w:div>
    <w:div w:id="374044455">
      <w:bodyDiv w:val="1"/>
      <w:marLeft w:val="0"/>
      <w:marRight w:val="0"/>
      <w:marTop w:val="0"/>
      <w:marBottom w:val="0"/>
      <w:divBdr>
        <w:top w:val="none" w:sz="0" w:space="0" w:color="auto"/>
        <w:left w:val="none" w:sz="0" w:space="0" w:color="auto"/>
        <w:bottom w:val="none" w:sz="0" w:space="0" w:color="auto"/>
        <w:right w:val="none" w:sz="0" w:space="0" w:color="auto"/>
      </w:divBdr>
    </w:div>
    <w:div w:id="374045046">
      <w:bodyDiv w:val="1"/>
      <w:marLeft w:val="0"/>
      <w:marRight w:val="0"/>
      <w:marTop w:val="0"/>
      <w:marBottom w:val="0"/>
      <w:divBdr>
        <w:top w:val="none" w:sz="0" w:space="0" w:color="auto"/>
        <w:left w:val="none" w:sz="0" w:space="0" w:color="auto"/>
        <w:bottom w:val="none" w:sz="0" w:space="0" w:color="auto"/>
        <w:right w:val="none" w:sz="0" w:space="0" w:color="auto"/>
      </w:divBdr>
    </w:div>
    <w:div w:id="374160438">
      <w:bodyDiv w:val="1"/>
      <w:marLeft w:val="0"/>
      <w:marRight w:val="0"/>
      <w:marTop w:val="0"/>
      <w:marBottom w:val="0"/>
      <w:divBdr>
        <w:top w:val="none" w:sz="0" w:space="0" w:color="auto"/>
        <w:left w:val="none" w:sz="0" w:space="0" w:color="auto"/>
        <w:bottom w:val="none" w:sz="0" w:space="0" w:color="auto"/>
        <w:right w:val="none" w:sz="0" w:space="0" w:color="auto"/>
      </w:divBdr>
    </w:div>
    <w:div w:id="374163039">
      <w:bodyDiv w:val="1"/>
      <w:marLeft w:val="0"/>
      <w:marRight w:val="0"/>
      <w:marTop w:val="0"/>
      <w:marBottom w:val="0"/>
      <w:divBdr>
        <w:top w:val="none" w:sz="0" w:space="0" w:color="auto"/>
        <w:left w:val="none" w:sz="0" w:space="0" w:color="auto"/>
        <w:bottom w:val="none" w:sz="0" w:space="0" w:color="auto"/>
        <w:right w:val="none" w:sz="0" w:space="0" w:color="auto"/>
      </w:divBdr>
    </w:div>
    <w:div w:id="374235874">
      <w:bodyDiv w:val="1"/>
      <w:marLeft w:val="0"/>
      <w:marRight w:val="0"/>
      <w:marTop w:val="0"/>
      <w:marBottom w:val="0"/>
      <w:divBdr>
        <w:top w:val="none" w:sz="0" w:space="0" w:color="auto"/>
        <w:left w:val="none" w:sz="0" w:space="0" w:color="auto"/>
        <w:bottom w:val="none" w:sz="0" w:space="0" w:color="auto"/>
        <w:right w:val="none" w:sz="0" w:space="0" w:color="auto"/>
      </w:divBdr>
    </w:div>
    <w:div w:id="374307639">
      <w:bodyDiv w:val="1"/>
      <w:marLeft w:val="0"/>
      <w:marRight w:val="0"/>
      <w:marTop w:val="0"/>
      <w:marBottom w:val="0"/>
      <w:divBdr>
        <w:top w:val="none" w:sz="0" w:space="0" w:color="auto"/>
        <w:left w:val="none" w:sz="0" w:space="0" w:color="auto"/>
        <w:bottom w:val="none" w:sz="0" w:space="0" w:color="auto"/>
        <w:right w:val="none" w:sz="0" w:space="0" w:color="auto"/>
      </w:divBdr>
    </w:div>
    <w:div w:id="374425425">
      <w:bodyDiv w:val="1"/>
      <w:marLeft w:val="0"/>
      <w:marRight w:val="0"/>
      <w:marTop w:val="0"/>
      <w:marBottom w:val="0"/>
      <w:divBdr>
        <w:top w:val="none" w:sz="0" w:space="0" w:color="auto"/>
        <w:left w:val="none" w:sz="0" w:space="0" w:color="auto"/>
        <w:bottom w:val="none" w:sz="0" w:space="0" w:color="auto"/>
        <w:right w:val="none" w:sz="0" w:space="0" w:color="auto"/>
      </w:divBdr>
    </w:div>
    <w:div w:id="374427659">
      <w:bodyDiv w:val="1"/>
      <w:marLeft w:val="0"/>
      <w:marRight w:val="0"/>
      <w:marTop w:val="0"/>
      <w:marBottom w:val="0"/>
      <w:divBdr>
        <w:top w:val="none" w:sz="0" w:space="0" w:color="auto"/>
        <w:left w:val="none" w:sz="0" w:space="0" w:color="auto"/>
        <w:bottom w:val="none" w:sz="0" w:space="0" w:color="auto"/>
        <w:right w:val="none" w:sz="0" w:space="0" w:color="auto"/>
      </w:divBdr>
    </w:div>
    <w:div w:id="374544829">
      <w:bodyDiv w:val="1"/>
      <w:marLeft w:val="0"/>
      <w:marRight w:val="0"/>
      <w:marTop w:val="0"/>
      <w:marBottom w:val="0"/>
      <w:divBdr>
        <w:top w:val="none" w:sz="0" w:space="0" w:color="auto"/>
        <w:left w:val="none" w:sz="0" w:space="0" w:color="auto"/>
        <w:bottom w:val="none" w:sz="0" w:space="0" w:color="auto"/>
        <w:right w:val="none" w:sz="0" w:space="0" w:color="auto"/>
      </w:divBdr>
    </w:div>
    <w:div w:id="374620087">
      <w:bodyDiv w:val="1"/>
      <w:marLeft w:val="0"/>
      <w:marRight w:val="0"/>
      <w:marTop w:val="0"/>
      <w:marBottom w:val="0"/>
      <w:divBdr>
        <w:top w:val="none" w:sz="0" w:space="0" w:color="auto"/>
        <w:left w:val="none" w:sz="0" w:space="0" w:color="auto"/>
        <w:bottom w:val="none" w:sz="0" w:space="0" w:color="auto"/>
        <w:right w:val="none" w:sz="0" w:space="0" w:color="auto"/>
      </w:divBdr>
    </w:div>
    <w:div w:id="374624944">
      <w:bodyDiv w:val="1"/>
      <w:marLeft w:val="0"/>
      <w:marRight w:val="0"/>
      <w:marTop w:val="0"/>
      <w:marBottom w:val="0"/>
      <w:divBdr>
        <w:top w:val="none" w:sz="0" w:space="0" w:color="auto"/>
        <w:left w:val="none" w:sz="0" w:space="0" w:color="auto"/>
        <w:bottom w:val="none" w:sz="0" w:space="0" w:color="auto"/>
        <w:right w:val="none" w:sz="0" w:space="0" w:color="auto"/>
      </w:divBdr>
    </w:div>
    <w:div w:id="374669433">
      <w:bodyDiv w:val="1"/>
      <w:marLeft w:val="0"/>
      <w:marRight w:val="0"/>
      <w:marTop w:val="0"/>
      <w:marBottom w:val="0"/>
      <w:divBdr>
        <w:top w:val="none" w:sz="0" w:space="0" w:color="auto"/>
        <w:left w:val="none" w:sz="0" w:space="0" w:color="auto"/>
        <w:bottom w:val="none" w:sz="0" w:space="0" w:color="auto"/>
        <w:right w:val="none" w:sz="0" w:space="0" w:color="auto"/>
      </w:divBdr>
    </w:div>
    <w:div w:id="374698479">
      <w:bodyDiv w:val="1"/>
      <w:marLeft w:val="0"/>
      <w:marRight w:val="0"/>
      <w:marTop w:val="0"/>
      <w:marBottom w:val="0"/>
      <w:divBdr>
        <w:top w:val="none" w:sz="0" w:space="0" w:color="auto"/>
        <w:left w:val="none" w:sz="0" w:space="0" w:color="auto"/>
        <w:bottom w:val="none" w:sz="0" w:space="0" w:color="auto"/>
        <w:right w:val="none" w:sz="0" w:space="0" w:color="auto"/>
      </w:divBdr>
    </w:div>
    <w:div w:id="374741169">
      <w:bodyDiv w:val="1"/>
      <w:marLeft w:val="0"/>
      <w:marRight w:val="0"/>
      <w:marTop w:val="0"/>
      <w:marBottom w:val="0"/>
      <w:divBdr>
        <w:top w:val="none" w:sz="0" w:space="0" w:color="auto"/>
        <w:left w:val="none" w:sz="0" w:space="0" w:color="auto"/>
        <w:bottom w:val="none" w:sz="0" w:space="0" w:color="auto"/>
        <w:right w:val="none" w:sz="0" w:space="0" w:color="auto"/>
      </w:divBdr>
    </w:div>
    <w:div w:id="374886951">
      <w:bodyDiv w:val="1"/>
      <w:marLeft w:val="0"/>
      <w:marRight w:val="0"/>
      <w:marTop w:val="0"/>
      <w:marBottom w:val="0"/>
      <w:divBdr>
        <w:top w:val="none" w:sz="0" w:space="0" w:color="auto"/>
        <w:left w:val="none" w:sz="0" w:space="0" w:color="auto"/>
        <w:bottom w:val="none" w:sz="0" w:space="0" w:color="auto"/>
        <w:right w:val="none" w:sz="0" w:space="0" w:color="auto"/>
      </w:divBdr>
    </w:div>
    <w:div w:id="375013142">
      <w:bodyDiv w:val="1"/>
      <w:marLeft w:val="0"/>
      <w:marRight w:val="0"/>
      <w:marTop w:val="0"/>
      <w:marBottom w:val="0"/>
      <w:divBdr>
        <w:top w:val="none" w:sz="0" w:space="0" w:color="auto"/>
        <w:left w:val="none" w:sz="0" w:space="0" w:color="auto"/>
        <w:bottom w:val="none" w:sz="0" w:space="0" w:color="auto"/>
        <w:right w:val="none" w:sz="0" w:space="0" w:color="auto"/>
      </w:divBdr>
    </w:div>
    <w:div w:id="375080397">
      <w:bodyDiv w:val="1"/>
      <w:marLeft w:val="0"/>
      <w:marRight w:val="0"/>
      <w:marTop w:val="0"/>
      <w:marBottom w:val="0"/>
      <w:divBdr>
        <w:top w:val="none" w:sz="0" w:space="0" w:color="auto"/>
        <w:left w:val="none" w:sz="0" w:space="0" w:color="auto"/>
        <w:bottom w:val="none" w:sz="0" w:space="0" w:color="auto"/>
        <w:right w:val="none" w:sz="0" w:space="0" w:color="auto"/>
      </w:divBdr>
    </w:div>
    <w:div w:id="375086793">
      <w:bodyDiv w:val="1"/>
      <w:marLeft w:val="0"/>
      <w:marRight w:val="0"/>
      <w:marTop w:val="0"/>
      <w:marBottom w:val="0"/>
      <w:divBdr>
        <w:top w:val="none" w:sz="0" w:space="0" w:color="auto"/>
        <w:left w:val="none" w:sz="0" w:space="0" w:color="auto"/>
        <w:bottom w:val="none" w:sz="0" w:space="0" w:color="auto"/>
        <w:right w:val="none" w:sz="0" w:space="0" w:color="auto"/>
      </w:divBdr>
    </w:div>
    <w:div w:id="375087100">
      <w:bodyDiv w:val="1"/>
      <w:marLeft w:val="0"/>
      <w:marRight w:val="0"/>
      <w:marTop w:val="0"/>
      <w:marBottom w:val="0"/>
      <w:divBdr>
        <w:top w:val="none" w:sz="0" w:space="0" w:color="auto"/>
        <w:left w:val="none" w:sz="0" w:space="0" w:color="auto"/>
        <w:bottom w:val="none" w:sz="0" w:space="0" w:color="auto"/>
        <w:right w:val="none" w:sz="0" w:space="0" w:color="auto"/>
      </w:divBdr>
    </w:div>
    <w:div w:id="375129000">
      <w:bodyDiv w:val="1"/>
      <w:marLeft w:val="0"/>
      <w:marRight w:val="0"/>
      <w:marTop w:val="0"/>
      <w:marBottom w:val="0"/>
      <w:divBdr>
        <w:top w:val="none" w:sz="0" w:space="0" w:color="auto"/>
        <w:left w:val="none" w:sz="0" w:space="0" w:color="auto"/>
        <w:bottom w:val="none" w:sz="0" w:space="0" w:color="auto"/>
        <w:right w:val="none" w:sz="0" w:space="0" w:color="auto"/>
      </w:divBdr>
    </w:div>
    <w:div w:id="375274580">
      <w:bodyDiv w:val="1"/>
      <w:marLeft w:val="0"/>
      <w:marRight w:val="0"/>
      <w:marTop w:val="0"/>
      <w:marBottom w:val="0"/>
      <w:divBdr>
        <w:top w:val="none" w:sz="0" w:space="0" w:color="auto"/>
        <w:left w:val="none" w:sz="0" w:space="0" w:color="auto"/>
        <w:bottom w:val="none" w:sz="0" w:space="0" w:color="auto"/>
        <w:right w:val="none" w:sz="0" w:space="0" w:color="auto"/>
      </w:divBdr>
    </w:div>
    <w:div w:id="375279607">
      <w:bodyDiv w:val="1"/>
      <w:marLeft w:val="0"/>
      <w:marRight w:val="0"/>
      <w:marTop w:val="0"/>
      <w:marBottom w:val="0"/>
      <w:divBdr>
        <w:top w:val="none" w:sz="0" w:space="0" w:color="auto"/>
        <w:left w:val="none" w:sz="0" w:space="0" w:color="auto"/>
        <w:bottom w:val="none" w:sz="0" w:space="0" w:color="auto"/>
        <w:right w:val="none" w:sz="0" w:space="0" w:color="auto"/>
      </w:divBdr>
    </w:div>
    <w:div w:id="375356991">
      <w:bodyDiv w:val="1"/>
      <w:marLeft w:val="0"/>
      <w:marRight w:val="0"/>
      <w:marTop w:val="0"/>
      <w:marBottom w:val="0"/>
      <w:divBdr>
        <w:top w:val="none" w:sz="0" w:space="0" w:color="auto"/>
        <w:left w:val="none" w:sz="0" w:space="0" w:color="auto"/>
        <w:bottom w:val="none" w:sz="0" w:space="0" w:color="auto"/>
        <w:right w:val="none" w:sz="0" w:space="0" w:color="auto"/>
      </w:divBdr>
    </w:div>
    <w:div w:id="375398064">
      <w:bodyDiv w:val="1"/>
      <w:marLeft w:val="0"/>
      <w:marRight w:val="0"/>
      <w:marTop w:val="0"/>
      <w:marBottom w:val="0"/>
      <w:divBdr>
        <w:top w:val="none" w:sz="0" w:space="0" w:color="auto"/>
        <w:left w:val="none" w:sz="0" w:space="0" w:color="auto"/>
        <w:bottom w:val="none" w:sz="0" w:space="0" w:color="auto"/>
        <w:right w:val="none" w:sz="0" w:space="0" w:color="auto"/>
      </w:divBdr>
    </w:div>
    <w:div w:id="375398278">
      <w:bodyDiv w:val="1"/>
      <w:marLeft w:val="0"/>
      <w:marRight w:val="0"/>
      <w:marTop w:val="0"/>
      <w:marBottom w:val="0"/>
      <w:divBdr>
        <w:top w:val="none" w:sz="0" w:space="0" w:color="auto"/>
        <w:left w:val="none" w:sz="0" w:space="0" w:color="auto"/>
        <w:bottom w:val="none" w:sz="0" w:space="0" w:color="auto"/>
        <w:right w:val="none" w:sz="0" w:space="0" w:color="auto"/>
      </w:divBdr>
    </w:div>
    <w:div w:id="375475467">
      <w:bodyDiv w:val="1"/>
      <w:marLeft w:val="0"/>
      <w:marRight w:val="0"/>
      <w:marTop w:val="0"/>
      <w:marBottom w:val="0"/>
      <w:divBdr>
        <w:top w:val="none" w:sz="0" w:space="0" w:color="auto"/>
        <w:left w:val="none" w:sz="0" w:space="0" w:color="auto"/>
        <w:bottom w:val="none" w:sz="0" w:space="0" w:color="auto"/>
        <w:right w:val="none" w:sz="0" w:space="0" w:color="auto"/>
      </w:divBdr>
    </w:div>
    <w:div w:id="375591128">
      <w:bodyDiv w:val="1"/>
      <w:marLeft w:val="0"/>
      <w:marRight w:val="0"/>
      <w:marTop w:val="0"/>
      <w:marBottom w:val="0"/>
      <w:divBdr>
        <w:top w:val="none" w:sz="0" w:space="0" w:color="auto"/>
        <w:left w:val="none" w:sz="0" w:space="0" w:color="auto"/>
        <w:bottom w:val="none" w:sz="0" w:space="0" w:color="auto"/>
        <w:right w:val="none" w:sz="0" w:space="0" w:color="auto"/>
      </w:divBdr>
    </w:div>
    <w:div w:id="375593290">
      <w:bodyDiv w:val="1"/>
      <w:marLeft w:val="0"/>
      <w:marRight w:val="0"/>
      <w:marTop w:val="0"/>
      <w:marBottom w:val="0"/>
      <w:divBdr>
        <w:top w:val="none" w:sz="0" w:space="0" w:color="auto"/>
        <w:left w:val="none" w:sz="0" w:space="0" w:color="auto"/>
        <w:bottom w:val="none" w:sz="0" w:space="0" w:color="auto"/>
        <w:right w:val="none" w:sz="0" w:space="0" w:color="auto"/>
      </w:divBdr>
    </w:div>
    <w:div w:id="375742155">
      <w:bodyDiv w:val="1"/>
      <w:marLeft w:val="0"/>
      <w:marRight w:val="0"/>
      <w:marTop w:val="0"/>
      <w:marBottom w:val="0"/>
      <w:divBdr>
        <w:top w:val="none" w:sz="0" w:space="0" w:color="auto"/>
        <w:left w:val="none" w:sz="0" w:space="0" w:color="auto"/>
        <w:bottom w:val="none" w:sz="0" w:space="0" w:color="auto"/>
        <w:right w:val="none" w:sz="0" w:space="0" w:color="auto"/>
      </w:divBdr>
    </w:div>
    <w:div w:id="375743202">
      <w:bodyDiv w:val="1"/>
      <w:marLeft w:val="0"/>
      <w:marRight w:val="0"/>
      <w:marTop w:val="0"/>
      <w:marBottom w:val="0"/>
      <w:divBdr>
        <w:top w:val="none" w:sz="0" w:space="0" w:color="auto"/>
        <w:left w:val="none" w:sz="0" w:space="0" w:color="auto"/>
        <w:bottom w:val="none" w:sz="0" w:space="0" w:color="auto"/>
        <w:right w:val="none" w:sz="0" w:space="0" w:color="auto"/>
      </w:divBdr>
    </w:div>
    <w:div w:id="375786693">
      <w:bodyDiv w:val="1"/>
      <w:marLeft w:val="0"/>
      <w:marRight w:val="0"/>
      <w:marTop w:val="0"/>
      <w:marBottom w:val="0"/>
      <w:divBdr>
        <w:top w:val="none" w:sz="0" w:space="0" w:color="auto"/>
        <w:left w:val="none" w:sz="0" w:space="0" w:color="auto"/>
        <w:bottom w:val="none" w:sz="0" w:space="0" w:color="auto"/>
        <w:right w:val="none" w:sz="0" w:space="0" w:color="auto"/>
      </w:divBdr>
    </w:div>
    <w:div w:id="375930759">
      <w:bodyDiv w:val="1"/>
      <w:marLeft w:val="0"/>
      <w:marRight w:val="0"/>
      <w:marTop w:val="0"/>
      <w:marBottom w:val="0"/>
      <w:divBdr>
        <w:top w:val="none" w:sz="0" w:space="0" w:color="auto"/>
        <w:left w:val="none" w:sz="0" w:space="0" w:color="auto"/>
        <w:bottom w:val="none" w:sz="0" w:space="0" w:color="auto"/>
        <w:right w:val="none" w:sz="0" w:space="0" w:color="auto"/>
      </w:divBdr>
    </w:div>
    <w:div w:id="376049733">
      <w:bodyDiv w:val="1"/>
      <w:marLeft w:val="0"/>
      <w:marRight w:val="0"/>
      <w:marTop w:val="0"/>
      <w:marBottom w:val="0"/>
      <w:divBdr>
        <w:top w:val="none" w:sz="0" w:space="0" w:color="auto"/>
        <w:left w:val="none" w:sz="0" w:space="0" w:color="auto"/>
        <w:bottom w:val="none" w:sz="0" w:space="0" w:color="auto"/>
        <w:right w:val="none" w:sz="0" w:space="0" w:color="auto"/>
      </w:divBdr>
    </w:div>
    <w:div w:id="376324379">
      <w:bodyDiv w:val="1"/>
      <w:marLeft w:val="0"/>
      <w:marRight w:val="0"/>
      <w:marTop w:val="0"/>
      <w:marBottom w:val="0"/>
      <w:divBdr>
        <w:top w:val="none" w:sz="0" w:space="0" w:color="auto"/>
        <w:left w:val="none" w:sz="0" w:space="0" w:color="auto"/>
        <w:bottom w:val="none" w:sz="0" w:space="0" w:color="auto"/>
        <w:right w:val="none" w:sz="0" w:space="0" w:color="auto"/>
      </w:divBdr>
    </w:div>
    <w:div w:id="376468866">
      <w:bodyDiv w:val="1"/>
      <w:marLeft w:val="0"/>
      <w:marRight w:val="0"/>
      <w:marTop w:val="0"/>
      <w:marBottom w:val="0"/>
      <w:divBdr>
        <w:top w:val="none" w:sz="0" w:space="0" w:color="auto"/>
        <w:left w:val="none" w:sz="0" w:space="0" w:color="auto"/>
        <w:bottom w:val="none" w:sz="0" w:space="0" w:color="auto"/>
        <w:right w:val="none" w:sz="0" w:space="0" w:color="auto"/>
      </w:divBdr>
    </w:div>
    <w:div w:id="376585455">
      <w:bodyDiv w:val="1"/>
      <w:marLeft w:val="0"/>
      <w:marRight w:val="0"/>
      <w:marTop w:val="0"/>
      <w:marBottom w:val="0"/>
      <w:divBdr>
        <w:top w:val="none" w:sz="0" w:space="0" w:color="auto"/>
        <w:left w:val="none" w:sz="0" w:space="0" w:color="auto"/>
        <w:bottom w:val="none" w:sz="0" w:space="0" w:color="auto"/>
        <w:right w:val="none" w:sz="0" w:space="0" w:color="auto"/>
      </w:divBdr>
    </w:div>
    <w:div w:id="376588355">
      <w:bodyDiv w:val="1"/>
      <w:marLeft w:val="0"/>
      <w:marRight w:val="0"/>
      <w:marTop w:val="0"/>
      <w:marBottom w:val="0"/>
      <w:divBdr>
        <w:top w:val="none" w:sz="0" w:space="0" w:color="auto"/>
        <w:left w:val="none" w:sz="0" w:space="0" w:color="auto"/>
        <w:bottom w:val="none" w:sz="0" w:space="0" w:color="auto"/>
        <w:right w:val="none" w:sz="0" w:space="0" w:color="auto"/>
      </w:divBdr>
    </w:div>
    <w:div w:id="376659620">
      <w:bodyDiv w:val="1"/>
      <w:marLeft w:val="0"/>
      <w:marRight w:val="0"/>
      <w:marTop w:val="0"/>
      <w:marBottom w:val="0"/>
      <w:divBdr>
        <w:top w:val="none" w:sz="0" w:space="0" w:color="auto"/>
        <w:left w:val="none" w:sz="0" w:space="0" w:color="auto"/>
        <w:bottom w:val="none" w:sz="0" w:space="0" w:color="auto"/>
        <w:right w:val="none" w:sz="0" w:space="0" w:color="auto"/>
      </w:divBdr>
    </w:div>
    <w:div w:id="376707647">
      <w:bodyDiv w:val="1"/>
      <w:marLeft w:val="0"/>
      <w:marRight w:val="0"/>
      <w:marTop w:val="0"/>
      <w:marBottom w:val="0"/>
      <w:divBdr>
        <w:top w:val="none" w:sz="0" w:space="0" w:color="auto"/>
        <w:left w:val="none" w:sz="0" w:space="0" w:color="auto"/>
        <w:bottom w:val="none" w:sz="0" w:space="0" w:color="auto"/>
        <w:right w:val="none" w:sz="0" w:space="0" w:color="auto"/>
      </w:divBdr>
    </w:div>
    <w:div w:id="376780205">
      <w:bodyDiv w:val="1"/>
      <w:marLeft w:val="0"/>
      <w:marRight w:val="0"/>
      <w:marTop w:val="0"/>
      <w:marBottom w:val="0"/>
      <w:divBdr>
        <w:top w:val="none" w:sz="0" w:space="0" w:color="auto"/>
        <w:left w:val="none" w:sz="0" w:space="0" w:color="auto"/>
        <w:bottom w:val="none" w:sz="0" w:space="0" w:color="auto"/>
        <w:right w:val="none" w:sz="0" w:space="0" w:color="auto"/>
      </w:divBdr>
    </w:div>
    <w:div w:id="376781879">
      <w:bodyDiv w:val="1"/>
      <w:marLeft w:val="0"/>
      <w:marRight w:val="0"/>
      <w:marTop w:val="0"/>
      <w:marBottom w:val="0"/>
      <w:divBdr>
        <w:top w:val="none" w:sz="0" w:space="0" w:color="auto"/>
        <w:left w:val="none" w:sz="0" w:space="0" w:color="auto"/>
        <w:bottom w:val="none" w:sz="0" w:space="0" w:color="auto"/>
        <w:right w:val="none" w:sz="0" w:space="0" w:color="auto"/>
      </w:divBdr>
    </w:div>
    <w:div w:id="376898993">
      <w:bodyDiv w:val="1"/>
      <w:marLeft w:val="0"/>
      <w:marRight w:val="0"/>
      <w:marTop w:val="0"/>
      <w:marBottom w:val="0"/>
      <w:divBdr>
        <w:top w:val="none" w:sz="0" w:space="0" w:color="auto"/>
        <w:left w:val="none" w:sz="0" w:space="0" w:color="auto"/>
        <w:bottom w:val="none" w:sz="0" w:space="0" w:color="auto"/>
        <w:right w:val="none" w:sz="0" w:space="0" w:color="auto"/>
      </w:divBdr>
    </w:div>
    <w:div w:id="376901704">
      <w:bodyDiv w:val="1"/>
      <w:marLeft w:val="0"/>
      <w:marRight w:val="0"/>
      <w:marTop w:val="0"/>
      <w:marBottom w:val="0"/>
      <w:divBdr>
        <w:top w:val="none" w:sz="0" w:space="0" w:color="auto"/>
        <w:left w:val="none" w:sz="0" w:space="0" w:color="auto"/>
        <w:bottom w:val="none" w:sz="0" w:space="0" w:color="auto"/>
        <w:right w:val="none" w:sz="0" w:space="0" w:color="auto"/>
      </w:divBdr>
    </w:div>
    <w:div w:id="376902818">
      <w:bodyDiv w:val="1"/>
      <w:marLeft w:val="0"/>
      <w:marRight w:val="0"/>
      <w:marTop w:val="0"/>
      <w:marBottom w:val="0"/>
      <w:divBdr>
        <w:top w:val="none" w:sz="0" w:space="0" w:color="auto"/>
        <w:left w:val="none" w:sz="0" w:space="0" w:color="auto"/>
        <w:bottom w:val="none" w:sz="0" w:space="0" w:color="auto"/>
        <w:right w:val="none" w:sz="0" w:space="0" w:color="auto"/>
      </w:divBdr>
    </w:div>
    <w:div w:id="376929367">
      <w:bodyDiv w:val="1"/>
      <w:marLeft w:val="0"/>
      <w:marRight w:val="0"/>
      <w:marTop w:val="0"/>
      <w:marBottom w:val="0"/>
      <w:divBdr>
        <w:top w:val="none" w:sz="0" w:space="0" w:color="auto"/>
        <w:left w:val="none" w:sz="0" w:space="0" w:color="auto"/>
        <w:bottom w:val="none" w:sz="0" w:space="0" w:color="auto"/>
        <w:right w:val="none" w:sz="0" w:space="0" w:color="auto"/>
      </w:divBdr>
    </w:div>
    <w:div w:id="377053700">
      <w:bodyDiv w:val="1"/>
      <w:marLeft w:val="0"/>
      <w:marRight w:val="0"/>
      <w:marTop w:val="0"/>
      <w:marBottom w:val="0"/>
      <w:divBdr>
        <w:top w:val="none" w:sz="0" w:space="0" w:color="auto"/>
        <w:left w:val="none" w:sz="0" w:space="0" w:color="auto"/>
        <w:bottom w:val="none" w:sz="0" w:space="0" w:color="auto"/>
        <w:right w:val="none" w:sz="0" w:space="0" w:color="auto"/>
      </w:divBdr>
    </w:div>
    <w:div w:id="377097323">
      <w:bodyDiv w:val="1"/>
      <w:marLeft w:val="0"/>
      <w:marRight w:val="0"/>
      <w:marTop w:val="0"/>
      <w:marBottom w:val="0"/>
      <w:divBdr>
        <w:top w:val="none" w:sz="0" w:space="0" w:color="auto"/>
        <w:left w:val="none" w:sz="0" w:space="0" w:color="auto"/>
        <w:bottom w:val="none" w:sz="0" w:space="0" w:color="auto"/>
        <w:right w:val="none" w:sz="0" w:space="0" w:color="auto"/>
      </w:divBdr>
    </w:div>
    <w:div w:id="377121662">
      <w:bodyDiv w:val="1"/>
      <w:marLeft w:val="0"/>
      <w:marRight w:val="0"/>
      <w:marTop w:val="0"/>
      <w:marBottom w:val="0"/>
      <w:divBdr>
        <w:top w:val="none" w:sz="0" w:space="0" w:color="auto"/>
        <w:left w:val="none" w:sz="0" w:space="0" w:color="auto"/>
        <w:bottom w:val="none" w:sz="0" w:space="0" w:color="auto"/>
        <w:right w:val="none" w:sz="0" w:space="0" w:color="auto"/>
      </w:divBdr>
    </w:div>
    <w:div w:id="377319553">
      <w:bodyDiv w:val="1"/>
      <w:marLeft w:val="0"/>
      <w:marRight w:val="0"/>
      <w:marTop w:val="0"/>
      <w:marBottom w:val="0"/>
      <w:divBdr>
        <w:top w:val="none" w:sz="0" w:space="0" w:color="auto"/>
        <w:left w:val="none" w:sz="0" w:space="0" w:color="auto"/>
        <w:bottom w:val="none" w:sz="0" w:space="0" w:color="auto"/>
        <w:right w:val="none" w:sz="0" w:space="0" w:color="auto"/>
      </w:divBdr>
    </w:div>
    <w:div w:id="377358042">
      <w:bodyDiv w:val="1"/>
      <w:marLeft w:val="0"/>
      <w:marRight w:val="0"/>
      <w:marTop w:val="0"/>
      <w:marBottom w:val="0"/>
      <w:divBdr>
        <w:top w:val="none" w:sz="0" w:space="0" w:color="auto"/>
        <w:left w:val="none" w:sz="0" w:space="0" w:color="auto"/>
        <w:bottom w:val="none" w:sz="0" w:space="0" w:color="auto"/>
        <w:right w:val="none" w:sz="0" w:space="0" w:color="auto"/>
      </w:divBdr>
    </w:div>
    <w:div w:id="377361634">
      <w:bodyDiv w:val="1"/>
      <w:marLeft w:val="0"/>
      <w:marRight w:val="0"/>
      <w:marTop w:val="0"/>
      <w:marBottom w:val="0"/>
      <w:divBdr>
        <w:top w:val="none" w:sz="0" w:space="0" w:color="auto"/>
        <w:left w:val="none" w:sz="0" w:space="0" w:color="auto"/>
        <w:bottom w:val="none" w:sz="0" w:space="0" w:color="auto"/>
        <w:right w:val="none" w:sz="0" w:space="0" w:color="auto"/>
      </w:divBdr>
    </w:div>
    <w:div w:id="377508293">
      <w:bodyDiv w:val="1"/>
      <w:marLeft w:val="0"/>
      <w:marRight w:val="0"/>
      <w:marTop w:val="0"/>
      <w:marBottom w:val="0"/>
      <w:divBdr>
        <w:top w:val="none" w:sz="0" w:space="0" w:color="auto"/>
        <w:left w:val="none" w:sz="0" w:space="0" w:color="auto"/>
        <w:bottom w:val="none" w:sz="0" w:space="0" w:color="auto"/>
        <w:right w:val="none" w:sz="0" w:space="0" w:color="auto"/>
      </w:divBdr>
    </w:div>
    <w:div w:id="377554128">
      <w:bodyDiv w:val="1"/>
      <w:marLeft w:val="0"/>
      <w:marRight w:val="0"/>
      <w:marTop w:val="0"/>
      <w:marBottom w:val="0"/>
      <w:divBdr>
        <w:top w:val="none" w:sz="0" w:space="0" w:color="auto"/>
        <w:left w:val="none" w:sz="0" w:space="0" w:color="auto"/>
        <w:bottom w:val="none" w:sz="0" w:space="0" w:color="auto"/>
        <w:right w:val="none" w:sz="0" w:space="0" w:color="auto"/>
      </w:divBdr>
    </w:div>
    <w:div w:id="377556965">
      <w:bodyDiv w:val="1"/>
      <w:marLeft w:val="0"/>
      <w:marRight w:val="0"/>
      <w:marTop w:val="0"/>
      <w:marBottom w:val="0"/>
      <w:divBdr>
        <w:top w:val="none" w:sz="0" w:space="0" w:color="auto"/>
        <w:left w:val="none" w:sz="0" w:space="0" w:color="auto"/>
        <w:bottom w:val="none" w:sz="0" w:space="0" w:color="auto"/>
        <w:right w:val="none" w:sz="0" w:space="0" w:color="auto"/>
      </w:divBdr>
    </w:div>
    <w:div w:id="377633037">
      <w:bodyDiv w:val="1"/>
      <w:marLeft w:val="0"/>
      <w:marRight w:val="0"/>
      <w:marTop w:val="0"/>
      <w:marBottom w:val="0"/>
      <w:divBdr>
        <w:top w:val="none" w:sz="0" w:space="0" w:color="auto"/>
        <w:left w:val="none" w:sz="0" w:space="0" w:color="auto"/>
        <w:bottom w:val="none" w:sz="0" w:space="0" w:color="auto"/>
        <w:right w:val="none" w:sz="0" w:space="0" w:color="auto"/>
      </w:divBdr>
    </w:div>
    <w:div w:id="377776694">
      <w:bodyDiv w:val="1"/>
      <w:marLeft w:val="0"/>
      <w:marRight w:val="0"/>
      <w:marTop w:val="0"/>
      <w:marBottom w:val="0"/>
      <w:divBdr>
        <w:top w:val="none" w:sz="0" w:space="0" w:color="auto"/>
        <w:left w:val="none" w:sz="0" w:space="0" w:color="auto"/>
        <w:bottom w:val="none" w:sz="0" w:space="0" w:color="auto"/>
        <w:right w:val="none" w:sz="0" w:space="0" w:color="auto"/>
      </w:divBdr>
    </w:div>
    <w:div w:id="377824103">
      <w:bodyDiv w:val="1"/>
      <w:marLeft w:val="0"/>
      <w:marRight w:val="0"/>
      <w:marTop w:val="0"/>
      <w:marBottom w:val="0"/>
      <w:divBdr>
        <w:top w:val="none" w:sz="0" w:space="0" w:color="auto"/>
        <w:left w:val="none" w:sz="0" w:space="0" w:color="auto"/>
        <w:bottom w:val="none" w:sz="0" w:space="0" w:color="auto"/>
        <w:right w:val="none" w:sz="0" w:space="0" w:color="auto"/>
      </w:divBdr>
    </w:div>
    <w:div w:id="377827516">
      <w:bodyDiv w:val="1"/>
      <w:marLeft w:val="0"/>
      <w:marRight w:val="0"/>
      <w:marTop w:val="0"/>
      <w:marBottom w:val="0"/>
      <w:divBdr>
        <w:top w:val="none" w:sz="0" w:space="0" w:color="auto"/>
        <w:left w:val="none" w:sz="0" w:space="0" w:color="auto"/>
        <w:bottom w:val="none" w:sz="0" w:space="0" w:color="auto"/>
        <w:right w:val="none" w:sz="0" w:space="0" w:color="auto"/>
      </w:divBdr>
    </w:div>
    <w:div w:id="377974873">
      <w:bodyDiv w:val="1"/>
      <w:marLeft w:val="0"/>
      <w:marRight w:val="0"/>
      <w:marTop w:val="0"/>
      <w:marBottom w:val="0"/>
      <w:divBdr>
        <w:top w:val="none" w:sz="0" w:space="0" w:color="auto"/>
        <w:left w:val="none" w:sz="0" w:space="0" w:color="auto"/>
        <w:bottom w:val="none" w:sz="0" w:space="0" w:color="auto"/>
        <w:right w:val="none" w:sz="0" w:space="0" w:color="auto"/>
      </w:divBdr>
    </w:div>
    <w:div w:id="378020839">
      <w:bodyDiv w:val="1"/>
      <w:marLeft w:val="0"/>
      <w:marRight w:val="0"/>
      <w:marTop w:val="0"/>
      <w:marBottom w:val="0"/>
      <w:divBdr>
        <w:top w:val="none" w:sz="0" w:space="0" w:color="auto"/>
        <w:left w:val="none" w:sz="0" w:space="0" w:color="auto"/>
        <w:bottom w:val="none" w:sz="0" w:space="0" w:color="auto"/>
        <w:right w:val="none" w:sz="0" w:space="0" w:color="auto"/>
      </w:divBdr>
    </w:div>
    <w:div w:id="378021367">
      <w:bodyDiv w:val="1"/>
      <w:marLeft w:val="0"/>
      <w:marRight w:val="0"/>
      <w:marTop w:val="0"/>
      <w:marBottom w:val="0"/>
      <w:divBdr>
        <w:top w:val="none" w:sz="0" w:space="0" w:color="auto"/>
        <w:left w:val="none" w:sz="0" w:space="0" w:color="auto"/>
        <w:bottom w:val="none" w:sz="0" w:space="0" w:color="auto"/>
        <w:right w:val="none" w:sz="0" w:space="0" w:color="auto"/>
      </w:divBdr>
    </w:div>
    <w:div w:id="378088726">
      <w:bodyDiv w:val="1"/>
      <w:marLeft w:val="0"/>
      <w:marRight w:val="0"/>
      <w:marTop w:val="0"/>
      <w:marBottom w:val="0"/>
      <w:divBdr>
        <w:top w:val="none" w:sz="0" w:space="0" w:color="auto"/>
        <w:left w:val="none" w:sz="0" w:space="0" w:color="auto"/>
        <w:bottom w:val="none" w:sz="0" w:space="0" w:color="auto"/>
        <w:right w:val="none" w:sz="0" w:space="0" w:color="auto"/>
      </w:divBdr>
    </w:div>
    <w:div w:id="378167971">
      <w:bodyDiv w:val="1"/>
      <w:marLeft w:val="0"/>
      <w:marRight w:val="0"/>
      <w:marTop w:val="0"/>
      <w:marBottom w:val="0"/>
      <w:divBdr>
        <w:top w:val="none" w:sz="0" w:space="0" w:color="auto"/>
        <w:left w:val="none" w:sz="0" w:space="0" w:color="auto"/>
        <w:bottom w:val="none" w:sz="0" w:space="0" w:color="auto"/>
        <w:right w:val="none" w:sz="0" w:space="0" w:color="auto"/>
      </w:divBdr>
    </w:div>
    <w:div w:id="378746657">
      <w:bodyDiv w:val="1"/>
      <w:marLeft w:val="0"/>
      <w:marRight w:val="0"/>
      <w:marTop w:val="0"/>
      <w:marBottom w:val="0"/>
      <w:divBdr>
        <w:top w:val="none" w:sz="0" w:space="0" w:color="auto"/>
        <w:left w:val="none" w:sz="0" w:space="0" w:color="auto"/>
        <w:bottom w:val="none" w:sz="0" w:space="0" w:color="auto"/>
        <w:right w:val="none" w:sz="0" w:space="0" w:color="auto"/>
      </w:divBdr>
    </w:div>
    <w:div w:id="379205898">
      <w:bodyDiv w:val="1"/>
      <w:marLeft w:val="0"/>
      <w:marRight w:val="0"/>
      <w:marTop w:val="0"/>
      <w:marBottom w:val="0"/>
      <w:divBdr>
        <w:top w:val="none" w:sz="0" w:space="0" w:color="auto"/>
        <w:left w:val="none" w:sz="0" w:space="0" w:color="auto"/>
        <w:bottom w:val="none" w:sz="0" w:space="0" w:color="auto"/>
        <w:right w:val="none" w:sz="0" w:space="0" w:color="auto"/>
      </w:divBdr>
    </w:div>
    <w:div w:id="379280036">
      <w:bodyDiv w:val="1"/>
      <w:marLeft w:val="0"/>
      <w:marRight w:val="0"/>
      <w:marTop w:val="0"/>
      <w:marBottom w:val="0"/>
      <w:divBdr>
        <w:top w:val="none" w:sz="0" w:space="0" w:color="auto"/>
        <w:left w:val="none" w:sz="0" w:space="0" w:color="auto"/>
        <w:bottom w:val="none" w:sz="0" w:space="0" w:color="auto"/>
        <w:right w:val="none" w:sz="0" w:space="0" w:color="auto"/>
      </w:divBdr>
    </w:div>
    <w:div w:id="379281955">
      <w:bodyDiv w:val="1"/>
      <w:marLeft w:val="0"/>
      <w:marRight w:val="0"/>
      <w:marTop w:val="0"/>
      <w:marBottom w:val="0"/>
      <w:divBdr>
        <w:top w:val="none" w:sz="0" w:space="0" w:color="auto"/>
        <w:left w:val="none" w:sz="0" w:space="0" w:color="auto"/>
        <w:bottom w:val="none" w:sz="0" w:space="0" w:color="auto"/>
        <w:right w:val="none" w:sz="0" w:space="0" w:color="auto"/>
      </w:divBdr>
    </w:div>
    <w:div w:id="379282344">
      <w:bodyDiv w:val="1"/>
      <w:marLeft w:val="0"/>
      <w:marRight w:val="0"/>
      <w:marTop w:val="0"/>
      <w:marBottom w:val="0"/>
      <w:divBdr>
        <w:top w:val="none" w:sz="0" w:space="0" w:color="auto"/>
        <w:left w:val="none" w:sz="0" w:space="0" w:color="auto"/>
        <w:bottom w:val="none" w:sz="0" w:space="0" w:color="auto"/>
        <w:right w:val="none" w:sz="0" w:space="0" w:color="auto"/>
      </w:divBdr>
    </w:div>
    <w:div w:id="379283153">
      <w:bodyDiv w:val="1"/>
      <w:marLeft w:val="0"/>
      <w:marRight w:val="0"/>
      <w:marTop w:val="0"/>
      <w:marBottom w:val="0"/>
      <w:divBdr>
        <w:top w:val="none" w:sz="0" w:space="0" w:color="auto"/>
        <w:left w:val="none" w:sz="0" w:space="0" w:color="auto"/>
        <w:bottom w:val="none" w:sz="0" w:space="0" w:color="auto"/>
        <w:right w:val="none" w:sz="0" w:space="0" w:color="auto"/>
      </w:divBdr>
    </w:div>
    <w:div w:id="379285493">
      <w:bodyDiv w:val="1"/>
      <w:marLeft w:val="0"/>
      <w:marRight w:val="0"/>
      <w:marTop w:val="0"/>
      <w:marBottom w:val="0"/>
      <w:divBdr>
        <w:top w:val="none" w:sz="0" w:space="0" w:color="auto"/>
        <w:left w:val="none" w:sz="0" w:space="0" w:color="auto"/>
        <w:bottom w:val="none" w:sz="0" w:space="0" w:color="auto"/>
        <w:right w:val="none" w:sz="0" w:space="0" w:color="auto"/>
      </w:divBdr>
    </w:div>
    <w:div w:id="379400873">
      <w:bodyDiv w:val="1"/>
      <w:marLeft w:val="0"/>
      <w:marRight w:val="0"/>
      <w:marTop w:val="0"/>
      <w:marBottom w:val="0"/>
      <w:divBdr>
        <w:top w:val="none" w:sz="0" w:space="0" w:color="auto"/>
        <w:left w:val="none" w:sz="0" w:space="0" w:color="auto"/>
        <w:bottom w:val="none" w:sz="0" w:space="0" w:color="auto"/>
        <w:right w:val="none" w:sz="0" w:space="0" w:color="auto"/>
      </w:divBdr>
    </w:div>
    <w:div w:id="379401836">
      <w:bodyDiv w:val="1"/>
      <w:marLeft w:val="0"/>
      <w:marRight w:val="0"/>
      <w:marTop w:val="0"/>
      <w:marBottom w:val="0"/>
      <w:divBdr>
        <w:top w:val="none" w:sz="0" w:space="0" w:color="auto"/>
        <w:left w:val="none" w:sz="0" w:space="0" w:color="auto"/>
        <w:bottom w:val="none" w:sz="0" w:space="0" w:color="auto"/>
        <w:right w:val="none" w:sz="0" w:space="0" w:color="auto"/>
      </w:divBdr>
    </w:div>
    <w:div w:id="379479053">
      <w:bodyDiv w:val="1"/>
      <w:marLeft w:val="0"/>
      <w:marRight w:val="0"/>
      <w:marTop w:val="0"/>
      <w:marBottom w:val="0"/>
      <w:divBdr>
        <w:top w:val="none" w:sz="0" w:space="0" w:color="auto"/>
        <w:left w:val="none" w:sz="0" w:space="0" w:color="auto"/>
        <w:bottom w:val="none" w:sz="0" w:space="0" w:color="auto"/>
        <w:right w:val="none" w:sz="0" w:space="0" w:color="auto"/>
      </w:divBdr>
    </w:div>
    <w:div w:id="379520745">
      <w:bodyDiv w:val="1"/>
      <w:marLeft w:val="0"/>
      <w:marRight w:val="0"/>
      <w:marTop w:val="0"/>
      <w:marBottom w:val="0"/>
      <w:divBdr>
        <w:top w:val="none" w:sz="0" w:space="0" w:color="auto"/>
        <w:left w:val="none" w:sz="0" w:space="0" w:color="auto"/>
        <w:bottom w:val="none" w:sz="0" w:space="0" w:color="auto"/>
        <w:right w:val="none" w:sz="0" w:space="0" w:color="auto"/>
      </w:divBdr>
    </w:div>
    <w:div w:id="379593012">
      <w:bodyDiv w:val="1"/>
      <w:marLeft w:val="0"/>
      <w:marRight w:val="0"/>
      <w:marTop w:val="0"/>
      <w:marBottom w:val="0"/>
      <w:divBdr>
        <w:top w:val="none" w:sz="0" w:space="0" w:color="auto"/>
        <w:left w:val="none" w:sz="0" w:space="0" w:color="auto"/>
        <w:bottom w:val="none" w:sz="0" w:space="0" w:color="auto"/>
        <w:right w:val="none" w:sz="0" w:space="0" w:color="auto"/>
      </w:divBdr>
    </w:div>
    <w:div w:id="379597993">
      <w:bodyDiv w:val="1"/>
      <w:marLeft w:val="0"/>
      <w:marRight w:val="0"/>
      <w:marTop w:val="0"/>
      <w:marBottom w:val="0"/>
      <w:divBdr>
        <w:top w:val="none" w:sz="0" w:space="0" w:color="auto"/>
        <w:left w:val="none" w:sz="0" w:space="0" w:color="auto"/>
        <w:bottom w:val="none" w:sz="0" w:space="0" w:color="auto"/>
        <w:right w:val="none" w:sz="0" w:space="0" w:color="auto"/>
      </w:divBdr>
    </w:div>
    <w:div w:id="379598032">
      <w:bodyDiv w:val="1"/>
      <w:marLeft w:val="0"/>
      <w:marRight w:val="0"/>
      <w:marTop w:val="0"/>
      <w:marBottom w:val="0"/>
      <w:divBdr>
        <w:top w:val="none" w:sz="0" w:space="0" w:color="auto"/>
        <w:left w:val="none" w:sz="0" w:space="0" w:color="auto"/>
        <w:bottom w:val="none" w:sz="0" w:space="0" w:color="auto"/>
        <w:right w:val="none" w:sz="0" w:space="0" w:color="auto"/>
      </w:divBdr>
    </w:div>
    <w:div w:id="379666814">
      <w:bodyDiv w:val="1"/>
      <w:marLeft w:val="0"/>
      <w:marRight w:val="0"/>
      <w:marTop w:val="0"/>
      <w:marBottom w:val="0"/>
      <w:divBdr>
        <w:top w:val="none" w:sz="0" w:space="0" w:color="auto"/>
        <w:left w:val="none" w:sz="0" w:space="0" w:color="auto"/>
        <w:bottom w:val="none" w:sz="0" w:space="0" w:color="auto"/>
        <w:right w:val="none" w:sz="0" w:space="0" w:color="auto"/>
      </w:divBdr>
    </w:div>
    <w:div w:id="379670358">
      <w:bodyDiv w:val="1"/>
      <w:marLeft w:val="0"/>
      <w:marRight w:val="0"/>
      <w:marTop w:val="0"/>
      <w:marBottom w:val="0"/>
      <w:divBdr>
        <w:top w:val="none" w:sz="0" w:space="0" w:color="auto"/>
        <w:left w:val="none" w:sz="0" w:space="0" w:color="auto"/>
        <w:bottom w:val="none" w:sz="0" w:space="0" w:color="auto"/>
        <w:right w:val="none" w:sz="0" w:space="0" w:color="auto"/>
      </w:divBdr>
    </w:div>
    <w:div w:id="379742566">
      <w:bodyDiv w:val="1"/>
      <w:marLeft w:val="0"/>
      <w:marRight w:val="0"/>
      <w:marTop w:val="0"/>
      <w:marBottom w:val="0"/>
      <w:divBdr>
        <w:top w:val="none" w:sz="0" w:space="0" w:color="auto"/>
        <w:left w:val="none" w:sz="0" w:space="0" w:color="auto"/>
        <w:bottom w:val="none" w:sz="0" w:space="0" w:color="auto"/>
        <w:right w:val="none" w:sz="0" w:space="0" w:color="auto"/>
      </w:divBdr>
    </w:div>
    <w:div w:id="379743143">
      <w:bodyDiv w:val="1"/>
      <w:marLeft w:val="0"/>
      <w:marRight w:val="0"/>
      <w:marTop w:val="0"/>
      <w:marBottom w:val="0"/>
      <w:divBdr>
        <w:top w:val="none" w:sz="0" w:space="0" w:color="auto"/>
        <w:left w:val="none" w:sz="0" w:space="0" w:color="auto"/>
        <w:bottom w:val="none" w:sz="0" w:space="0" w:color="auto"/>
        <w:right w:val="none" w:sz="0" w:space="0" w:color="auto"/>
      </w:divBdr>
    </w:div>
    <w:div w:id="379786331">
      <w:bodyDiv w:val="1"/>
      <w:marLeft w:val="0"/>
      <w:marRight w:val="0"/>
      <w:marTop w:val="0"/>
      <w:marBottom w:val="0"/>
      <w:divBdr>
        <w:top w:val="none" w:sz="0" w:space="0" w:color="auto"/>
        <w:left w:val="none" w:sz="0" w:space="0" w:color="auto"/>
        <w:bottom w:val="none" w:sz="0" w:space="0" w:color="auto"/>
        <w:right w:val="none" w:sz="0" w:space="0" w:color="auto"/>
      </w:divBdr>
    </w:div>
    <w:div w:id="379977951">
      <w:bodyDiv w:val="1"/>
      <w:marLeft w:val="0"/>
      <w:marRight w:val="0"/>
      <w:marTop w:val="0"/>
      <w:marBottom w:val="0"/>
      <w:divBdr>
        <w:top w:val="none" w:sz="0" w:space="0" w:color="auto"/>
        <w:left w:val="none" w:sz="0" w:space="0" w:color="auto"/>
        <w:bottom w:val="none" w:sz="0" w:space="0" w:color="auto"/>
        <w:right w:val="none" w:sz="0" w:space="0" w:color="auto"/>
      </w:divBdr>
    </w:div>
    <w:div w:id="379983373">
      <w:bodyDiv w:val="1"/>
      <w:marLeft w:val="0"/>
      <w:marRight w:val="0"/>
      <w:marTop w:val="0"/>
      <w:marBottom w:val="0"/>
      <w:divBdr>
        <w:top w:val="none" w:sz="0" w:space="0" w:color="auto"/>
        <w:left w:val="none" w:sz="0" w:space="0" w:color="auto"/>
        <w:bottom w:val="none" w:sz="0" w:space="0" w:color="auto"/>
        <w:right w:val="none" w:sz="0" w:space="0" w:color="auto"/>
      </w:divBdr>
    </w:div>
    <w:div w:id="380135630">
      <w:bodyDiv w:val="1"/>
      <w:marLeft w:val="0"/>
      <w:marRight w:val="0"/>
      <w:marTop w:val="0"/>
      <w:marBottom w:val="0"/>
      <w:divBdr>
        <w:top w:val="none" w:sz="0" w:space="0" w:color="auto"/>
        <w:left w:val="none" w:sz="0" w:space="0" w:color="auto"/>
        <w:bottom w:val="none" w:sz="0" w:space="0" w:color="auto"/>
        <w:right w:val="none" w:sz="0" w:space="0" w:color="auto"/>
      </w:divBdr>
    </w:div>
    <w:div w:id="380254856">
      <w:bodyDiv w:val="1"/>
      <w:marLeft w:val="0"/>
      <w:marRight w:val="0"/>
      <w:marTop w:val="0"/>
      <w:marBottom w:val="0"/>
      <w:divBdr>
        <w:top w:val="none" w:sz="0" w:space="0" w:color="auto"/>
        <w:left w:val="none" w:sz="0" w:space="0" w:color="auto"/>
        <w:bottom w:val="none" w:sz="0" w:space="0" w:color="auto"/>
        <w:right w:val="none" w:sz="0" w:space="0" w:color="auto"/>
      </w:divBdr>
    </w:div>
    <w:div w:id="380327969">
      <w:bodyDiv w:val="1"/>
      <w:marLeft w:val="0"/>
      <w:marRight w:val="0"/>
      <w:marTop w:val="0"/>
      <w:marBottom w:val="0"/>
      <w:divBdr>
        <w:top w:val="none" w:sz="0" w:space="0" w:color="auto"/>
        <w:left w:val="none" w:sz="0" w:space="0" w:color="auto"/>
        <w:bottom w:val="none" w:sz="0" w:space="0" w:color="auto"/>
        <w:right w:val="none" w:sz="0" w:space="0" w:color="auto"/>
      </w:divBdr>
    </w:div>
    <w:div w:id="380399740">
      <w:bodyDiv w:val="1"/>
      <w:marLeft w:val="0"/>
      <w:marRight w:val="0"/>
      <w:marTop w:val="0"/>
      <w:marBottom w:val="0"/>
      <w:divBdr>
        <w:top w:val="none" w:sz="0" w:space="0" w:color="auto"/>
        <w:left w:val="none" w:sz="0" w:space="0" w:color="auto"/>
        <w:bottom w:val="none" w:sz="0" w:space="0" w:color="auto"/>
        <w:right w:val="none" w:sz="0" w:space="0" w:color="auto"/>
      </w:divBdr>
    </w:div>
    <w:div w:id="380444370">
      <w:bodyDiv w:val="1"/>
      <w:marLeft w:val="0"/>
      <w:marRight w:val="0"/>
      <w:marTop w:val="0"/>
      <w:marBottom w:val="0"/>
      <w:divBdr>
        <w:top w:val="none" w:sz="0" w:space="0" w:color="auto"/>
        <w:left w:val="none" w:sz="0" w:space="0" w:color="auto"/>
        <w:bottom w:val="none" w:sz="0" w:space="0" w:color="auto"/>
        <w:right w:val="none" w:sz="0" w:space="0" w:color="auto"/>
      </w:divBdr>
    </w:div>
    <w:div w:id="380516140">
      <w:bodyDiv w:val="1"/>
      <w:marLeft w:val="0"/>
      <w:marRight w:val="0"/>
      <w:marTop w:val="0"/>
      <w:marBottom w:val="0"/>
      <w:divBdr>
        <w:top w:val="none" w:sz="0" w:space="0" w:color="auto"/>
        <w:left w:val="none" w:sz="0" w:space="0" w:color="auto"/>
        <w:bottom w:val="none" w:sz="0" w:space="0" w:color="auto"/>
        <w:right w:val="none" w:sz="0" w:space="0" w:color="auto"/>
      </w:divBdr>
    </w:div>
    <w:div w:id="380519756">
      <w:bodyDiv w:val="1"/>
      <w:marLeft w:val="0"/>
      <w:marRight w:val="0"/>
      <w:marTop w:val="0"/>
      <w:marBottom w:val="0"/>
      <w:divBdr>
        <w:top w:val="none" w:sz="0" w:space="0" w:color="auto"/>
        <w:left w:val="none" w:sz="0" w:space="0" w:color="auto"/>
        <w:bottom w:val="none" w:sz="0" w:space="0" w:color="auto"/>
        <w:right w:val="none" w:sz="0" w:space="0" w:color="auto"/>
      </w:divBdr>
    </w:div>
    <w:div w:id="380592676">
      <w:bodyDiv w:val="1"/>
      <w:marLeft w:val="0"/>
      <w:marRight w:val="0"/>
      <w:marTop w:val="0"/>
      <w:marBottom w:val="0"/>
      <w:divBdr>
        <w:top w:val="none" w:sz="0" w:space="0" w:color="auto"/>
        <w:left w:val="none" w:sz="0" w:space="0" w:color="auto"/>
        <w:bottom w:val="none" w:sz="0" w:space="0" w:color="auto"/>
        <w:right w:val="none" w:sz="0" w:space="0" w:color="auto"/>
      </w:divBdr>
    </w:div>
    <w:div w:id="380594010">
      <w:bodyDiv w:val="1"/>
      <w:marLeft w:val="0"/>
      <w:marRight w:val="0"/>
      <w:marTop w:val="0"/>
      <w:marBottom w:val="0"/>
      <w:divBdr>
        <w:top w:val="none" w:sz="0" w:space="0" w:color="auto"/>
        <w:left w:val="none" w:sz="0" w:space="0" w:color="auto"/>
        <w:bottom w:val="none" w:sz="0" w:space="0" w:color="auto"/>
        <w:right w:val="none" w:sz="0" w:space="0" w:color="auto"/>
      </w:divBdr>
    </w:div>
    <w:div w:id="380909847">
      <w:bodyDiv w:val="1"/>
      <w:marLeft w:val="0"/>
      <w:marRight w:val="0"/>
      <w:marTop w:val="0"/>
      <w:marBottom w:val="0"/>
      <w:divBdr>
        <w:top w:val="none" w:sz="0" w:space="0" w:color="auto"/>
        <w:left w:val="none" w:sz="0" w:space="0" w:color="auto"/>
        <w:bottom w:val="none" w:sz="0" w:space="0" w:color="auto"/>
        <w:right w:val="none" w:sz="0" w:space="0" w:color="auto"/>
      </w:divBdr>
    </w:div>
    <w:div w:id="380979865">
      <w:bodyDiv w:val="1"/>
      <w:marLeft w:val="0"/>
      <w:marRight w:val="0"/>
      <w:marTop w:val="0"/>
      <w:marBottom w:val="0"/>
      <w:divBdr>
        <w:top w:val="none" w:sz="0" w:space="0" w:color="auto"/>
        <w:left w:val="none" w:sz="0" w:space="0" w:color="auto"/>
        <w:bottom w:val="none" w:sz="0" w:space="0" w:color="auto"/>
        <w:right w:val="none" w:sz="0" w:space="0" w:color="auto"/>
      </w:divBdr>
    </w:div>
    <w:div w:id="380982707">
      <w:bodyDiv w:val="1"/>
      <w:marLeft w:val="0"/>
      <w:marRight w:val="0"/>
      <w:marTop w:val="0"/>
      <w:marBottom w:val="0"/>
      <w:divBdr>
        <w:top w:val="none" w:sz="0" w:space="0" w:color="auto"/>
        <w:left w:val="none" w:sz="0" w:space="0" w:color="auto"/>
        <w:bottom w:val="none" w:sz="0" w:space="0" w:color="auto"/>
        <w:right w:val="none" w:sz="0" w:space="0" w:color="auto"/>
      </w:divBdr>
    </w:div>
    <w:div w:id="380983561">
      <w:bodyDiv w:val="1"/>
      <w:marLeft w:val="0"/>
      <w:marRight w:val="0"/>
      <w:marTop w:val="0"/>
      <w:marBottom w:val="0"/>
      <w:divBdr>
        <w:top w:val="none" w:sz="0" w:space="0" w:color="auto"/>
        <w:left w:val="none" w:sz="0" w:space="0" w:color="auto"/>
        <w:bottom w:val="none" w:sz="0" w:space="0" w:color="auto"/>
        <w:right w:val="none" w:sz="0" w:space="0" w:color="auto"/>
      </w:divBdr>
    </w:div>
    <w:div w:id="380984091">
      <w:bodyDiv w:val="1"/>
      <w:marLeft w:val="0"/>
      <w:marRight w:val="0"/>
      <w:marTop w:val="0"/>
      <w:marBottom w:val="0"/>
      <w:divBdr>
        <w:top w:val="none" w:sz="0" w:space="0" w:color="auto"/>
        <w:left w:val="none" w:sz="0" w:space="0" w:color="auto"/>
        <w:bottom w:val="none" w:sz="0" w:space="0" w:color="auto"/>
        <w:right w:val="none" w:sz="0" w:space="0" w:color="auto"/>
      </w:divBdr>
    </w:div>
    <w:div w:id="381173064">
      <w:bodyDiv w:val="1"/>
      <w:marLeft w:val="0"/>
      <w:marRight w:val="0"/>
      <w:marTop w:val="0"/>
      <w:marBottom w:val="0"/>
      <w:divBdr>
        <w:top w:val="none" w:sz="0" w:space="0" w:color="auto"/>
        <w:left w:val="none" w:sz="0" w:space="0" w:color="auto"/>
        <w:bottom w:val="none" w:sz="0" w:space="0" w:color="auto"/>
        <w:right w:val="none" w:sz="0" w:space="0" w:color="auto"/>
      </w:divBdr>
    </w:div>
    <w:div w:id="381176853">
      <w:bodyDiv w:val="1"/>
      <w:marLeft w:val="0"/>
      <w:marRight w:val="0"/>
      <w:marTop w:val="0"/>
      <w:marBottom w:val="0"/>
      <w:divBdr>
        <w:top w:val="none" w:sz="0" w:space="0" w:color="auto"/>
        <w:left w:val="none" w:sz="0" w:space="0" w:color="auto"/>
        <w:bottom w:val="none" w:sz="0" w:space="0" w:color="auto"/>
        <w:right w:val="none" w:sz="0" w:space="0" w:color="auto"/>
      </w:divBdr>
    </w:div>
    <w:div w:id="381248949">
      <w:bodyDiv w:val="1"/>
      <w:marLeft w:val="0"/>
      <w:marRight w:val="0"/>
      <w:marTop w:val="0"/>
      <w:marBottom w:val="0"/>
      <w:divBdr>
        <w:top w:val="none" w:sz="0" w:space="0" w:color="auto"/>
        <w:left w:val="none" w:sz="0" w:space="0" w:color="auto"/>
        <w:bottom w:val="none" w:sz="0" w:space="0" w:color="auto"/>
        <w:right w:val="none" w:sz="0" w:space="0" w:color="auto"/>
      </w:divBdr>
    </w:div>
    <w:div w:id="381250882">
      <w:bodyDiv w:val="1"/>
      <w:marLeft w:val="0"/>
      <w:marRight w:val="0"/>
      <w:marTop w:val="0"/>
      <w:marBottom w:val="0"/>
      <w:divBdr>
        <w:top w:val="none" w:sz="0" w:space="0" w:color="auto"/>
        <w:left w:val="none" w:sz="0" w:space="0" w:color="auto"/>
        <w:bottom w:val="none" w:sz="0" w:space="0" w:color="auto"/>
        <w:right w:val="none" w:sz="0" w:space="0" w:color="auto"/>
      </w:divBdr>
    </w:div>
    <w:div w:id="381290793">
      <w:bodyDiv w:val="1"/>
      <w:marLeft w:val="0"/>
      <w:marRight w:val="0"/>
      <w:marTop w:val="0"/>
      <w:marBottom w:val="0"/>
      <w:divBdr>
        <w:top w:val="none" w:sz="0" w:space="0" w:color="auto"/>
        <w:left w:val="none" w:sz="0" w:space="0" w:color="auto"/>
        <w:bottom w:val="none" w:sz="0" w:space="0" w:color="auto"/>
        <w:right w:val="none" w:sz="0" w:space="0" w:color="auto"/>
      </w:divBdr>
    </w:div>
    <w:div w:id="381443379">
      <w:bodyDiv w:val="1"/>
      <w:marLeft w:val="0"/>
      <w:marRight w:val="0"/>
      <w:marTop w:val="0"/>
      <w:marBottom w:val="0"/>
      <w:divBdr>
        <w:top w:val="none" w:sz="0" w:space="0" w:color="auto"/>
        <w:left w:val="none" w:sz="0" w:space="0" w:color="auto"/>
        <w:bottom w:val="none" w:sz="0" w:space="0" w:color="auto"/>
        <w:right w:val="none" w:sz="0" w:space="0" w:color="auto"/>
      </w:divBdr>
    </w:div>
    <w:div w:id="381447788">
      <w:bodyDiv w:val="1"/>
      <w:marLeft w:val="0"/>
      <w:marRight w:val="0"/>
      <w:marTop w:val="0"/>
      <w:marBottom w:val="0"/>
      <w:divBdr>
        <w:top w:val="none" w:sz="0" w:space="0" w:color="auto"/>
        <w:left w:val="none" w:sz="0" w:space="0" w:color="auto"/>
        <w:bottom w:val="none" w:sz="0" w:space="0" w:color="auto"/>
        <w:right w:val="none" w:sz="0" w:space="0" w:color="auto"/>
      </w:divBdr>
    </w:div>
    <w:div w:id="381565822">
      <w:bodyDiv w:val="1"/>
      <w:marLeft w:val="0"/>
      <w:marRight w:val="0"/>
      <w:marTop w:val="0"/>
      <w:marBottom w:val="0"/>
      <w:divBdr>
        <w:top w:val="none" w:sz="0" w:space="0" w:color="auto"/>
        <w:left w:val="none" w:sz="0" w:space="0" w:color="auto"/>
        <w:bottom w:val="none" w:sz="0" w:space="0" w:color="auto"/>
        <w:right w:val="none" w:sz="0" w:space="0" w:color="auto"/>
      </w:divBdr>
    </w:div>
    <w:div w:id="381752527">
      <w:bodyDiv w:val="1"/>
      <w:marLeft w:val="0"/>
      <w:marRight w:val="0"/>
      <w:marTop w:val="0"/>
      <w:marBottom w:val="0"/>
      <w:divBdr>
        <w:top w:val="none" w:sz="0" w:space="0" w:color="auto"/>
        <w:left w:val="none" w:sz="0" w:space="0" w:color="auto"/>
        <w:bottom w:val="none" w:sz="0" w:space="0" w:color="auto"/>
        <w:right w:val="none" w:sz="0" w:space="0" w:color="auto"/>
      </w:divBdr>
    </w:div>
    <w:div w:id="381755291">
      <w:bodyDiv w:val="1"/>
      <w:marLeft w:val="0"/>
      <w:marRight w:val="0"/>
      <w:marTop w:val="0"/>
      <w:marBottom w:val="0"/>
      <w:divBdr>
        <w:top w:val="none" w:sz="0" w:space="0" w:color="auto"/>
        <w:left w:val="none" w:sz="0" w:space="0" w:color="auto"/>
        <w:bottom w:val="none" w:sz="0" w:space="0" w:color="auto"/>
        <w:right w:val="none" w:sz="0" w:space="0" w:color="auto"/>
      </w:divBdr>
    </w:div>
    <w:div w:id="381905891">
      <w:bodyDiv w:val="1"/>
      <w:marLeft w:val="0"/>
      <w:marRight w:val="0"/>
      <w:marTop w:val="0"/>
      <w:marBottom w:val="0"/>
      <w:divBdr>
        <w:top w:val="none" w:sz="0" w:space="0" w:color="auto"/>
        <w:left w:val="none" w:sz="0" w:space="0" w:color="auto"/>
        <w:bottom w:val="none" w:sz="0" w:space="0" w:color="auto"/>
        <w:right w:val="none" w:sz="0" w:space="0" w:color="auto"/>
      </w:divBdr>
    </w:div>
    <w:div w:id="381907797">
      <w:bodyDiv w:val="1"/>
      <w:marLeft w:val="0"/>
      <w:marRight w:val="0"/>
      <w:marTop w:val="0"/>
      <w:marBottom w:val="0"/>
      <w:divBdr>
        <w:top w:val="none" w:sz="0" w:space="0" w:color="auto"/>
        <w:left w:val="none" w:sz="0" w:space="0" w:color="auto"/>
        <w:bottom w:val="none" w:sz="0" w:space="0" w:color="auto"/>
        <w:right w:val="none" w:sz="0" w:space="0" w:color="auto"/>
      </w:divBdr>
    </w:div>
    <w:div w:id="381908988">
      <w:bodyDiv w:val="1"/>
      <w:marLeft w:val="0"/>
      <w:marRight w:val="0"/>
      <w:marTop w:val="0"/>
      <w:marBottom w:val="0"/>
      <w:divBdr>
        <w:top w:val="none" w:sz="0" w:space="0" w:color="auto"/>
        <w:left w:val="none" w:sz="0" w:space="0" w:color="auto"/>
        <w:bottom w:val="none" w:sz="0" w:space="0" w:color="auto"/>
        <w:right w:val="none" w:sz="0" w:space="0" w:color="auto"/>
      </w:divBdr>
    </w:div>
    <w:div w:id="382020149">
      <w:bodyDiv w:val="1"/>
      <w:marLeft w:val="0"/>
      <w:marRight w:val="0"/>
      <w:marTop w:val="0"/>
      <w:marBottom w:val="0"/>
      <w:divBdr>
        <w:top w:val="none" w:sz="0" w:space="0" w:color="auto"/>
        <w:left w:val="none" w:sz="0" w:space="0" w:color="auto"/>
        <w:bottom w:val="none" w:sz="0" w:space="0" w:color="auto"/>
        <w:right w:val="none" w:sz="0" w:space="0" w:color="auto"/>
      </w:divBdr>
    </w:div>
    <w:div w:id="382024817">
      <w:bodyDiv w:val="1"/>
      <w:marLeft w:val="0"/>
      <w:marRight w:val="0"/>
      <w:marTop w:val="0"/>
      <w:marBottom w:val="0"/>
      <w:divBdr>
        <w:top w:val="none" w:sz="0" w:space="0" w:color="auto"/>
        <w:left w:val="none" w:sz="0" w:space="0" w:color="auto"/>
        <w:bottom w:val="none" w:sz="0" w:space="0" w:color="auto"/>
        <w:right w:val="none" w:sz="0" w:space="0" w:color="auto"/>
      </w:divBdr>
    </w:div>
    <w:div w:id="382485886">
      <w:bodyDiv w:val="1"/>
      <w:marLeft w:val="0"/>
      <w:marRight w:val="0"/>
      <w:marTop w:val="0"/>
      <w:marBottom w:val="0"/>
      <w:divBdr>
        <w:top w:val="none" w:sz="0" w:space="0" w:color="auto"/>
        <w:left w:val="none" w:sz="0" w:space="0" w:color="auto"/>
        <w:bottom w:val="none" w:sz="0" w:space="0" w:color="auto"/>
        <w:right w:val="none" w:sz="0" w:space="0" w:color="auto"/>
      </w:divBdr>
    </w:div>
    <w:div w:id="382488896">
      <w:bodyDiv w:val="1"/>
      <w:marLeft w:val="0"/>
      <w:marRight w:val="0"/>
      <w:marTop w:val="0"/>
      <w:marBottom w:val="0"/>
      <w:divBdr>
        <w:top w:val="none" w:sz="0" w:space="0" w:color="auto"/>
        <w:left w:val="none" w:sz="0" w:space="0" w:color="auto"/>
        <w:bottom w:val="none" w:sz="0" w:space="0" w:color="auto"/>
        <w:right w:val="none" w:sz="0" w:space="0" w:color="auto"/>
      </w:divBdr>
    </w:div>
    <w:div w:id="382489466">
      <w:bodyDiv w:val="1"/>
      <w:marLeft w:val="0"/>
      <w:marRight w:val="0"/>
      <w:marTop w:val="0"/>
      <w:marBottom w:val="0"/>
      <w:divBdr>
        <w:top w:val="none" w:sz="0" w:space="0" w:color="auto"/>
        <w:left w:val="none" w:sz="0" w:space="0" w:color="auto"/>
        <w:bottom w:val="none" w:sz="0" w:space="0" w:color="auto"/>
        <w:right w:val="none" w:sz="0" w:space="0" w:color="auto"/>
      </w:divBdr>
    </w:div>
    <w:div w:id="382599245">
      <w:bodyDiv w:val="1"/>
      <w:marLeft w:val="0"/>
      <w:marRight w:val="0"/>
      <w:marTop w:val="0"/>
      <w:marBottom w:val="0"/>
      <w:divBdr>
        <w:top w:val="none" w:sz="0" w:space="0" w:color="auto"/>
        <w:left w:val="none" w:sz="0" w:space="0" w:color="auto"/>
        <w:bottom w:val="none" w:sz="0" w:space="0" w:color="auto"/>
        <w:right w:val="none" w:sz="0" w:space="0" w:color="auto"/>
      </w:divBdr>
    </w:div>
    <w:div w:id="382754510">
      <w:bodyDiv w:val="1"/>
      <w:marLeft w:val="0"/>
      <w:marRight w:val="0"/>
      <w:marTop w:val="0"/>
      <w:marBottom w:val="0"/>
      <w:divBdr>
        <w:top w:val="none" w:sz="0" w:space="0" w:color="auto"/>
        <w:left w:val="none" w:sz="0" w:space="0" w:color="auto"/>
        <w:bottom w:val="none" w:sz="0" w:space="0" w:color="auto"/>
        <w:right w:val="none" w:sz="0" w:space="0" w:color="auto"/>
      </w:divBdr>
    </w:div>
    <w:div w:id="382827013">
      <w:bodyDiv w:val="1"/>
      <w:marLeft w:val="0"/>
      <w:marRight w:val="0"/>
      <w:marTop w:val="0"/>
      <w:marBottom w:val="0"/>
      <w:divBdr>
        <w:top w:val="none" w:sz="0" w:space="0" w:color="auto"/>
        <w:left w:val="none" w:sz="0" w:space="0" w:color="auto"/>
        <w:bottom w:val="none" w:sz="0" w:space="0" w:color="auto"/>
        <w:right w:val="none" w:sz="0" w:space="0" w:color="auto"/>
      </w:divBdr>
    </w:div>
    <w:div w:id="382872507">
      <w:bodyDiv w:val="1"/>
      <w:marLeft w:val="0"/>
      <w:marRight w:val="0"/>
      <w:marTop w:val="0"/>
      <w:marBottom w:val="0"/>
      <w:divBdr>
        <w:top w:val="none" w:sz="0" w:space="0" w:color="auto"/>
        <w:left w:val="none" w:sz="0" w:space="0" w:color="auto"/>
        <w:bottom w:val="none" w:sz="0" w:space="0" w:color="auto"/>
        <w:right w:val="none" w:sz="0" w:space="0" w:color="auto"/>
      </w:divBdr>
    </w:div>
    <w:div w:id="382876625">
      <w:bodyDiv w:val="1"/>
      <w:marLeft w:val="0"/>
      <w:marRight w:val="0"/>
      <w:marTop w:val="0"/>
      <w:marBottom w:val="0"/>
      <w:divBdr>
        <w:top w:val="none" w:sz="0" w:space="0" w:color="auto"/>
        <w:left w:val="none" w:sz="0" w:space="0" w:color="auto"/>
        <w:bottom w:val="none" w:sz="0" w:space="0" w:color="auto"/>
        <w:right w:val="none" w:sz="0" w:space="0" w:color="auto"/>
      </w:divBdr>
    </w:div>
    <w:div w:id="382943936">
      <w:bodyDiv w:val="1"/>
      <w:marLeft w:val="0"/>
      <w:marRight w:val="0"/>
      <w:marTop w:val="0"/>
      <w:marBottom w:val="0"/>
      <w:divBdr>
        <w:top w:val="none" w:sz="0" w:space="0" w:color="auto"/>
        <w:left w:val="none" w:sz="0" w:space="0" w:color="auto"/>
        <w:bottom w:val="none" w:sz="0" w:space="0" w:color="auto"/>
        <w:right w:val="none" w:sz="0" w:space="0" w:color="auto"/>
      </w:divBdr>
    </w:div>
    <w:div w:id="383019237">
      <w:bodyDiv w:val="1"/>
      <w:marLeft w:val="0"/>
      <w:marRight w:val="0"/>
      <w:marTop w:val="0"/>
      <w:marBottom w:val="0"/>
      <w:divBdr>
        <w:top w:val="none" w:sz="0" w:space="0" w:color="auto"/>
        <w:left w:val="none" w:sz="0" w:space="0" w:color="auto"/>
        <w:bottom w:val="none" w:sz="0" w:space="0" w:color="auto"/>
        <w:right w:val="none" w:sz="0" w:space="0" w:color="auto"/>
      </w:divBdr>
    </w:div>
    <w:div w:id="383062959">
      <w:bodyDiv w:val="1"/>
      <w:marLeft w:val="0"/>
      <w:marRight w:val="0"/>
      <w:marTop w:val="0"/>
      <w:marBottom w:val="0"/>
      <w:divBdr>
        <w:top w:val="none" w:sz="0" w:space="0" w:color="auto"/>
        <w:left w:val="none" w:sz="0" w:space="0" w:color="auto"/>
        <w:bottom w:val="none" w:sz="0" w:space="0" w:color="auto"/>
        <w:right w:val="none" w:sz="0" w:space="0" w:color="auto"/>
      </w:divBdr>
    </w:div>
    <w:div w:id="383065657">
      <w:bodyDiv w:val="1"/>
      <w:marLeft w:val="0"/>
      <w:marRight w:val="0"/>
      <w:marTop w:val="0"/>
      <w:marBottom w:val="0"/>
      <w:divBdr>
        <w:top w:val="none" w:sz="0" w:space="0" w:color="auto"/>
        <w:left w:val="none" w:sz="0" w:space="0" w:color="auto"/>
        <w:bottom w:val="none" w:sz="0" w:space="0" w:color="auto"/>
        <w:right w:val="none" w:sz="0" w:space="0" w:color="auto"/>
      </w:divBdr>
    </w:div>
    <w:div w:id="383066001">
      <w:bodyDiv w:val="1"/>
      <w:marLeft w:val="0"/>
      <w:marRight w:val="0"/>
      <w:marTop w:val="0"/>
      <w:marBottom w:val="0"/>
      <w:divBdr>
        <w:top w:val="none" w:sz="0" w:space="0" w:color="auto"/>
        <w:left w:val="none" w:sz="0" w:space="0" w:color="auto"/>
        <w:bottom w:val="none" w:sz="0" w:space="0" w:color="auto"/>
        <w:right w:val="none" w:sz="0" w:space="0" w:color="auto"/>
      </w:divBdr>
    </w:div>
    <w:div w:id="383220276">
      <w:bodyDiv w:val="1"/>
      <w:marLeft w:val="0"/>
      <w:marRight w:val="0"/>
      <w:marTop w:val="0"/>
      <w:marBottom w:val="0"/>
      <w:divBdr>
        <w:top w:val="none" w:sz="0" w:space="0" w:color="auto"/>
        <w:left w:val="none" w:sz="0" w:space="0" w:color="auto"/>
        <w:bottom w:val="none" w:sz="0" w:space="0" w:color="auto"/>
        <w:right w:val="none" w:sz="0" w:space="0" w:color="auto"/>
      </w:divBdr>
    </w:div>
    <w:div w:id="383454553">
      <w:bodyDiv w:val="1"/>
      <w:marLeft w:val="0"/>
      <w:marRight w:val="0"/>
      <w:marTop w:val="0"/>
      <w:marBottom w:val="0"/>
      <w:divBdr>
        <w:top w:val="none" w:sz="0" w:space="0" w:color="auto"/>
        <w:left w:val="none" w:sz="0" w:space="0" w:color="auto"/>
        <w:bottom w:val="none" w:sz="0" w:space="0" w:color="auto"/>
        <w:right w:val="none" w:sz="0" w:space="0" w:color="auto"/>
      </w:divBdr>
    </w:div>
    <w:div w:id="383456603">
      <w:bodyDiv w:val="1"/>
      <w:marLeft w:val="0"/>
      <w:marRight w:val="0"/>
      <w:marTop w:val="0"/>
      <w:marBottom w:val="0"/>
      <w:divBdr>
        <w:top w:val="none" w:sz="0" w:space="0" w:color="auto"/>
        <w:left w:val="none" w:sz="0" w:space="0" w:color="auto"/>
        <w:bottom w:val="none" w:sz="0" w:space="0" w:color="auto"/>
        <w:right w:val="none" w:sz="0" w:space="0" w:color="auto"/>
      </w:divBdr>
    </w:div>
    <w:div w:id="383598310">
      <w:bodyDiv w:val="1"/>
      <w:marLeft w:val="0"/>
      <w:marRight w:val="0"/>
      <w:marTop w:val="0"/>
      <w:marBottom w:val="0"/>
      <w:divBdr>
        <w:top w:val="none" w:sz="0" w:space="0" w:color="auto"/>
        <w:left w:val="none" w:sz="0" w:space="0" w:color="auto"/>
        <w:bottom w:val="none" w:sz="0" w:space="0" w:color="auto"/>
        <w:right w:val="none" w:sz="0" w:space="0" w:color="auto"/>
      </w:divBdr>
    </w:div>
    <w:div w:id="383603961">
      <w:bodyDiv w:val="1"/>
      <w:marLeft w:val="0"/>
      <w:marRight w:val="0"/>
      <w:marTop w:val="0"/>
      <w:marBottom w:val="0"/>
      <w:divBdr>
        <w:top w:val="none" w:sz="0" w:space="0" w:color="auto"/>
        <w:left w:val="none" w:sz="0" w:space="0" w:color="auto"/>
        <w:bottom w:val="none" w:sz="0" w:space="0" w:color="auto"/>
        <w:right w:val="none" w:sz="0" w:space="0" w:color="auto"/>
      </w:divBdr>
    </w:div>
    <w:div w:id="383716216">
      <w:bodyDiv w:val="1"/>
      <w:marLeft w:val="0"/>
      <w:marRight w:val="0"/>
      <w:marTop w:val="0"/>
      <w:marBottom w:val="0"/>
      <w:divBdr>
        <w:top w:val="none" w:sz="0" w:space="0" w:color="auto"/>
        <w:left w:val="none" w:sz="0" w:space="0" w:color="auto"/>
        <w:bottom w:val="none" w:sz="0" w:space="0" w:color="auto"/>
        <w:right w:val="none" w:sz="0" w:space="0" w:color="auto"/>
      </w:divBdr>
    </w:div>
    <w:div w:id="383791955">
      <w:bodyDiv w:val="1"/>
      <w:marLeft w:val="0"/>
      <w:marRight w:val="0"/>
      <w:marTop w:val="0"/>
      <w:marBottom w:val="0"/>
      <w:divBdr>
        <w:top w:val="none" w:sz="0" w:space="0" w:color="auto"/>
        <w:left w:val="none" w:sz="0" w:space="0" w:color="auto"/>
        <w:bottom w:val="none" w:sz="0" w:space="0" w:color="auto"/>
        <w:right w:val="none" w:sz="0" w:space="0" w:color="auto"/>
      </w:divBdr>
    </w:div>
    <w:div w:id="383870240">
      <w:bodyDiv w:val="1"/>
      <w:marLeft w:val="0"/>
      <w:marRight w:val="0"/>
      <w:marTop w:val="0"/>
      <w:marBottom w:val="0"/>
      <w:divBdr>
        <w:top w:val="none" w:sz="0" w:space="0" w:color="auto"/>
        <w:left w:val="none" w:sz="0" w:space="0" w:color="auto"/>
        <w:bottom w:val="none" w:sz="0" w:space="0" w:color="auto"/>
        <w:right w:val="none" w:sz="0" w:space="0" w:color="auto"/>
      </w:divBdr>
    </w:div>
    <w:div w:id="383876286">
      <w:bodyDiv w:val="1"/>
      <w:marLeft w:val="0"/>
      <w:marRight w:val="0"/>
      <w:marTop w:val="0"/>
      <w:marBottom w:val="0"/>
      <w:divBdr>
        <w:top w:val="none" w:sz="0" w:space="0" w:color="auto"/>
        <w:left w:val="none" w:sz="0" w:space="0" w:color="auto"/>
        <w:bottom w:val="none" w:sz="0" w:space="0" w:color="auto"/>
        <w:right w:val="none" w:sz="0" w:space="0" w:color="auto"/>
      </w:divBdr>
    </w:div>
    <w:div w:id="384065416">
      <w:bodyDiv w:val="1"/>
      <w:marLeft w:val="0"/>
      <w:marRight w:val="0"/>
      <w:marTop w:val="0"/>
      <w:marBottom w:val="0"/>
      <w:divBdr>
        <w:top w:val="none" w:sz="0" w:space="0" w:color="auto"/>
        <w:left w:val="none" w:sz="0" w:space="0" w:color="auto"/>
        <w:bottom w:val="none" w:sz="0" w:space="0" w:color="auto"/>
        <w:right w:val="none" w:sz="0" w:space="0" w:color="auto"/>
      </w:divBdr>
    </w:div>
    <w:div w:id="384186808">
      <w:bodyDiv w:val="1"/>
      <w:marLeft w:val="0"/>
      <w:marRight w:val="0"/>
      <w:marTop w:val="0"/>
      <w:marBottom w:val="0"/>
      <w:divBdr>
        <w:top w:val="none" w:sz="0" w:space="0" w:color="auto"/>
        <w:left w:val="none" w:sz="0" w:space="0" w:color="auto"/>
        <w:bottom w:val="none" w:sz="0" w:space="0" w:color="auto"/>
        <w:right w:val="none" w:sz="0" w:space="0" w:color="auto"/>
      </w:divBdr>
    </w:div>
    <w:div w:id="384303701">
      <w:bodyDiv w:val="1"/>
      <w:marLeft w:val="0"/>
      <w:marRight w:val="0"/>
      <w:marTop w:val="0"/>
      <w:marBottom w:val="0"/>
      <w:divBdr>
        <w:top w:val="none" w:sz="0" w:space="0" w:color="auto"/>
        <w:left w:val="none" w:sz="0" w:space="0" w:color="auto"/>
        <w:bottom w:val="none" w:sz="0" w:space="0" w:color="auto"/>
        <w:right w:val="none" w:sz="0" w:space="0" w:color="auto"/>
      </w:divBdr>
    </w:div>
    <w:div w:id="384449093">
      <w:bodyDiv w:val="1"/>
      <w:marLeft w:val="0"/>
      <w:marRight w:val="0"/>
      <w:marTop w:val="0"/>
      <w:marBottom w:val="0"/>
      <w:divBdr>
        <w:top w:val="none" w:sz="0" w:space="0" w:color="auto"/>
        <w:left w:val="none" w:sz="0" w:space="0" w:color="auto"/>
        <w:bottom w:val="none" w:sz="0" w:space="0" w:color="auto"/>
        <w:right w:val="none" w:sz="0" w:space="0" w:color="auto"/>
      </w:divBdr>
    </w:div>
    <w:div w:id="384453098">
      <w:bodyDiv w:val="1"/>
      <w:marLeft w:val="0"/>
      <w:marRight w:val="0"/>
      <w:marTop w:val="0"/>
      <w:marBottom w:val="0"/>
      <w:divBdr>
        <w:top w:val="none" w:sz="0" w:space="0" w:color="auto"/>
        <w:left w:val="none" w:sz="0" w:space="0" w:color="auto"/>
        <w:bottom w:val="none" w:sz="0" w:space="0" w:color="auto"/>
        <w:right w:val="none" w:sz="0" w:space="0" w:color="auto"/>
      </w:divBdr>
    </w:div>
    <w:div w:id="384640763">
      <w:bodyDiv w:val="1"/>
      <w:marLeft w:val="0"/>
      <w:marRight w:val="0"/>
      <w:marTop w:val="0"/>
      <w:marBottom w:val="0"/>
      <w:divBdr>
        <w:top w:val="none" w:sz="0" w:space="0" w:color="auto"/>
        <w:left w:val="none" w:sz="0" w:space="0" w:color="auto"/>
        <w:bottom w:val="none" w:sz="0" w:space="0" w:color="auto"/>
        <w:right w:val="none" w:sz="0" w:space="0" w:color="auto"/>
      </w:divBdr>
    </w:div>
    <w:div w:id="384645948">
      <w:bodyDiv w:val="1"/>
      <w:marLeft w:val="0"/>
      <w:marRight w:val="0"/>
      <w:marTop w:val="0"/>
      <w:marBottom w:val="0"/>
      <w:divBdr>
        <w:top w:val="none" w:sz="0" w:space="0" w:color="auto"/>
        <w:left w:val="none" w:sz="0" w:space="0" w:color="auto"/>
        <w:bottom w:val="none" w:sz="0" w:space="0" w:color="auto"/>
        <w:right w:val="none" w:sz="0" w:space="0" w:color="auto"/>
      </w:divBdr>
    </w:div>
    <w:div w:id="384720468">
      <w:bodyDiv w:val="1"/>
      <w:marLeft w:val="0"/>
      <w:marRight w:val="0"/>
      <w:marTop w:val="0"/>
      <w:marBottom w:val="0"/>
      <w:divBdr>
        <w:top w:val="none" w:sz="0" w:space="0" w:color="auto"/>
        <w:left w:val="none" w:sz="0" w:space="0" w:color="auto"/>
        <w:bottom w:val="none" w:sz="0" w:space="0" w:color="auto"/>
        <w:right w:val="none" w:sz="0" w:space="0" w:color="auto"/>
      </w:divBdr>
    </w:div>
    <w:div w:id="384908739">
      <w:bodyDiv w:val="1"/>
      <w:marLeft w:val="0"/>
      <w:marRight w:val="0"/>
      <w:marTop w:val="0"/>
      <w:marBottom w:val="0"/>
      <w:divBdr>
        <w:top w:val="none" w:sz="0" w:space="0" w:color="auto"/>
        <w:left w:val="none" w:sz="0" w:space="0" w:color="auto"/>
        <w:bottom w:val="none" w:sz="0" w:space="0" w:color="auto"/>
        <w:right w:val="none" w:sz="0" w:space="0" w:color="auto"/>
      </w:divBdr>
    </w:div>
    <w:div w:id="384914795">
      <w:bodyDiv w:val="1"/>
      <w:marLeft w:val="0"/>
      <w:marRight w:val="0"/>
      <w:marTop w:val="0"/>
      <w:marBottom w:val="0"/>
      <w:divBdr>
        <w:top w:val="none" w:sz="0" w:space="0" w:color="auto"/>
        <w:left w:val="none" w:sz="0" w:space="0" w:color="auto"/>
        <w:bottom w:val="none" w:sz="0" w:space="0" w:color="auto"/>
        <w:right w:val="none" w:sz="0" w:space="0" w:color="auto"/>
      </w:divBdr>
    </w:div>
    <w:div w:id="384918129">
      <w:bodyDiv w:val="1"/>
      <w:marLeft w:val="0"/>
      <w:marRight w:val="0"/>
      <w:marTop w:val="0"/>
      <w:marBottom w:val="0"/>
      <w:divBdr>
        <w:top w:val="none" w:sz="0" w:space="0" w:color="auto"/>
        <w:left w:val="none" w:sz="0" w:space="0" w:color="auto"/>
        <w:bottom w:val="none" w:sz="0" w:space="0" w:color="auto"/>
        <w:right w:val="none" w:sz="0" w:space="0" w:color="auto"/>
      </w:divBdr>
    </w:div>
    <w:div w:id="384988564">
      <w:bodyDiv w:val="1"/>
      <w:marLeft w:val="0"/>
      <w:marRight w:val="0"/>
      <w:marTop w:val="0"/>
      <w:marBottom w:val="0"/>
      <w:divBdr>
        <w:top w:val="none" w:sz="0" w:space="0" w:color="auto"/>
        <w:left w:val="none" w:sz="0" w:space="0" w:color="auto"/>
        <w:bottom w:val="none" w:sz="0" w:space="0" w:color="auto"/>
        <w:right w:val="none" w:sz="0" w:space="0" w:color="auto"/>
      </w:divBdr>
    </w:div>
    <w:div w:id="385027298">
      <w:bodyDiv w:val="1"/>
      <w:marLeft w:val="0"/>
      <w:marRight w:val="0"/>
      <w:marTop w:val="0"/>
      <w:marBottom w:val="0"/>
      <w:divBdr>
        <w:top w:val="none" w:sz="0" w:space="0" w:color="auto"/>
        <w:left w:val="none" w:sz="0" w:space="0" w:color="auto"/>
        <w:bottom w:val="none" w:sz="0" w:space="0" w:color="auto"/>
        <w:right w:val="none" w:sz="0" w:space="0" w:color="auto"/>
      </w:divBdr>
    </w:div>
    <w:div w:id="385034061">
      <w:bodyDiv w:val="1"/>
      <w:marLeft w:val="0"/>
      <w:marRight w:val="0"/>
      <w:marTop w:val="0"/>
      <w:marBottom w:val="0"/>
      <w:divBdr>
        <w:top w:val="none" w:sz="0" w:space="0" w:color="auto"/>
        <w:left w:val="none" w:sz="0" w:space="0" w:color="auto"/>
        <w:bottom w:val="none" w:sz="0" w:space="0" w:color="auto"/>
        <w:right w:val="none" w:sz="0" w:space="0" w:color="auto"/>
      </w:divBdr>
    </w:div>
    <w:div w:id="385105608">
      <w:bodyDiv w:val="1"/>
      <w:marLeft w:val="0"/>
      <w:marRight w:val="0"/>
      <w:marTop w:val="0"/>
      <w:marBottom w:val="0"/>
      <w:divBdr>
        <w:top w:val="none" w:sz="0" w:space="0" w:color="auto"/>
        <w:left w:val="none" w:sz="0" w:space="0" w:color="auto"/>
        <w:bottom w:val="none" w:sz="0" w:space="0" w:color="auto"/>
        <w:right w:val="none" w:sz="0" w:space="0" w:color="auto"/>
      </w:divBdr>
    </w:div>
    <w:div w:id="385110290">
      <w:bodyDiv w:val="1"/>
      <w:marLeft w:val="0"/>
      <w:marRight w:val="0"/>
      <w:marTop w:val="0"/>
      <w:marBottom w:val="0"/>
      <w:divBdr>
        <w:top w:val="none" w:sz="0" w:space="0" w:color="auto"/>
        <w:left w:val="none" w:sz="0" w:space="0" w:color="auto"/>
        <w:bottom w:val="none" w:sz="0" w:space="0" w:color="auto"/>
        <w:right w:val="none" w:sz="0" w:space="0" w:color="auto"/>
      </w:divBdr>
    </w:div>
    <w:div w:id="385178519">
      <w:bodyDiv w:val="1"/>
      <w:marLeft w:val="0"/>
      <w:marRight w:val="0"/>
      <w:marTop w:val="0"/>
      <w:marBottom w:val="0"/>
      <w:divBdr>
        <w:top w:val="none" w:sz="0" w:space="0" w:color="auto"/>
        <w:left w:val="none" w:sz="0" w:space="0" w:color="auto"/>
        <w:bottom w:val="none" w:sz="0" w:space="0" w:color="auto"/>
        <w:right w:val="none" w:sz="0" w:space="0" w:color="auto"/>
      </w:divBdr>
    </w:div>
    <w:div w:id="385221770">
      <w:bodyDiv w:val="1"/>
      <w:marLeft w:val="0"/>
      <w:marRight w:val="0"/>
      <w:marTop w:val="0"/>
      <w:marBottom w:val="0"/>
      <w:divBdr>
        <w:top w:val="none" w:sz="0" w:space="0" w:color="auto"/>
        <w:left w:val="none" w:sz="0" w:space="0" w:color="auto"/>
        <w:bottom w:val="none" w:sz="0" w:space="0" w:color="auto"/>
        <w:right w:val="none" w:sz="0" w:space="0" w:color="auto"/>
      </w:divBdr>
    </w:div>
    <w:div w:id="385225299">
      <w:bodyDiv w:val="1"/>
      <w:marLeft w:val="0"/>
      <w:marRight w:val="0"/>
      <w:marTop w:val="0"/>
      <w:marBottom w:val="0"/>
      <w:divBdr>
        <w:top w:val="none" w:sz="0" w:space="0" w:color="auto"/>
        <w:left w:val="none" w:sz="0" w:space="0" w:color="auto"/>
        <w:bottom w:val="none" w:sz="0" w:space="0" w:color="auto"/>
        <w:right w:val="none" w:sz="0" w:space="0" w:color="auto"/>
      </w:divBdr>
    </w:div>
    <w:div w:id="385227457">
      <w:bodyDiv w:val="1"/>
      <w:marLeft w:val="0"/>
      <w:marRight w:val="0"/>
      <w:marTop w:val="0"/>
      <w:marBottom w:val="0"/>
      <w:divBdr>
        <w:top w:val="none" w:sz="0" w:space="0" w:color="auto"/>
        <w:left w:val="none" w:sz="0" w:space="0" w:color="auto"/>
        <w:bottom w:val="none" w:sz="0" w:space="0" w:color="auto"/>
        <w:right w:val="none" w:sz="0" w:space="0" w:color="auto"/>
      </w:divBdr>
    </w:div>
    <w:div w:id="385253349">
      <w:bodyDiv w:val="1"/>
      <w:marLeft w:val="0"/>
      <w:marRight w:val="0"/>
      <w:marTop w:val="0"/>
      <w:marBottom w:val="0"/>
      <w:divBdr>
        <w:top w:val="none" w:sz="0" w:space="0" w:color="auto"/>
        <w:left w:val="none" w:sz="0" w:space="0" w:color="auto"/>
        <w:bottom w:val="none" w:sz="0" w:space="0" w:color="auto"/>
        <w:right w:val="none" w:sz="0" w:space="0" w:color="auto"/>
      </w:divBdr>
    </w:div>
    <w:div w:id="385298588">
      <w:bodyDiv w:val="1"/>
      <w:marLeft w:val="0"/>
      <w:marRight w:val="0"/>
      <w:marTop w:val="0"/>
      <w:marBottom w:val="0"/>
      <w:divBdr>
        <w:top w:val="none" w:sz="0" w:space="0" w:color="auto"/>
        <w:left w:val="none" w:sz="0" w:space="0" w:color="auto"/>
        <w:bottom w:val="none" w:sz="0" w:space="0" w:color="auto"/>
        <w:right w:val="none" w:sz="0" w:space="0" w:color="auto"/>
      </w:divBdr>
    </w:div>
    <w:div w:id="385299399">
      <w:bodyDiv w:val="1"/>
      <w:marLeft w:val="0"/>
      <w:marRight w:val="0"/>
      <w:marTop w:val="0"/>
      <w:marBottom w:val="0"/>
      <w:divBdr>
        <w:top w:val="none" w:sz="0" w:space="0" w:color="auto"/>
        <w:left w:val="none" w:sz="0" w:space="0" w:color="auto"/>
        <w:bottom w:val="none" w:sz="0" w:space="0" w:color="auto"/>
        <w:right w:val="none" w:sz="0" w:space="0" w:color="auto"/>
      </w:divBdr>
    </w:div>
    <w:div w:id="385838594">
      <w:bodyDiv w:val="1"/>
      <w:marLeft w:val="0"/>
      <w:marRight w:val="0"/>
      <w:marTop w:val="0"/>
      <w:marBottom w:val="0"/>
      <w:divBdr>
        <w:top w:val="none" w:sz="0" w:space="0" w:color="auto"/>
        <w:left w:val="none" w:sz="0" w:space="0" w:color="auto"/>
        <w:bottom w:val="none" w:sz="0" w:space="0" w:color="auto"/>
        <w:right w:val="none" w:sz="0" w:space="0" w:color="auto"/>
      </w:divBdr>
    </w:div>
    <w:div w:id="385956779">
      <w:bodyDiv w:val="1"/>
      <w:marLeft w:val="0"/>
      <w:marRight w:val="0"/>
      <w:marTop w:val="0"/>
      <w:marBottom w:val="0"/>
      <w:divBdr>
        <w:top w:val="none" w:sz="0" w:space="0" w:color="auto"/>
        <w:left w:val="none" w:sz="0" w:space="0" w:color="auto"/>
        <w:bottom w:val="none" w:sz="0" w:space="0" w:color="auto"/>
        <w:right w:val="none" w:sz="0" w:space="0" w:color="auto"/>
      </w:divBdr>
    </w:div>
    <w:div w:id="386026337">
      <w:bodyDiv w:val="1"/>
      <w:marLeft w:val="0"/>
      <w:marRight w:val="0"/>
      <w:marTop w:val="0"/>
      <w:marBottom w:val="0"/>
      <w:divBdr>
        <w:top w:val="none" w:sz="0" w:space="0" w:color="auto"/>
        <w:left w:val="none" w:sz="0" w:space="0" w:color="auto"/>
        <w:bottom w:val="none" w:sz="0" w:space="0" w:color="auto"/>
        <w:right w:val="none" w:sz="0" w:space="0" w:color="auto"/>
      </w:divBdr>
    </w:div>
    <w:div w:id="386034085">
      <w:bodyDiv w:val="1"/>
      <w:marLeft w:val="0"/>
      <w:marRight w:val="0"/>
      <w:marTop w:val="0"/>
      <w:marBottom w:val="0"/>
      <w:divBdr>
        <w:top w:val="none" w:sz="0" w:space="0" w:color="auto"/>
        <w:left w:val="none" w:sz="0" w:space="0" w:color="auto"/>
        <w:bottom w:val="none" w:sz="0" w:space="0" w:color="auto"/>
        <w:right w:val="none" w:sz="0" w:space="0" w:color="auto"/>
      </w:divBdr>
    </w:div>
    <w:div w:id="386035532">
      <w:bodyDiv w:val="1"/>
      <w:marLeft w:val="0"/>
      <w:marRight w:val="0"/>
      <w:marTop w:val="0"/>
      <w:marBottom w:val="0"/>
      <w:divBdr>
        <w:top w:val="none" w:sz="0" w:space="0" w:color="auto"/>
        <w:left w:val="none" w:sz="0" w:space="0" w:color="auto"/>
        <w:bottom w:val="none" w:sz="0" w:space="0" w:color="auto"/>
        <w:right w:val="none" w:sz="0" w:space="0" w:color="auto"/>
      </w:divBdr>
    </w:div>
    <w:div w:id="386270425">
      <w:bodyDiv w:val="1"/>
      <w:marLeft w:val="0"/>
      <w:marRight w:val="0"/>
      <w:marTop w:val="0"/>
      <w:marBottom w:val="0"/>
      <w:divBdr>
        <w:top w:val="none" w:sz="0" w:space="0" w:color="auto"/>
        <w:left w:val="none" w:sz="0" w:space="0" w:color="auto"/>
        <w:bottom w:val="none" w:sz="0" w:space="0" w:color="auto"/>
        <w:right w:val="none" w:sz="0" w:space="0" w:color="auto"/>
      </w:divBdr>
    </w:div>
    <w:div w:id="386344858">
      <w:bodyDiv w:val="1"/>
      <w:marLeft w:val="0"/>
      <w:marRight w:val="0"/>
      <w:marTop w:val="0"/>
      <w:marBottom w:val="0"/>
      <w:divBdr>
        <w:top w:val="none" w:sz="0" w:space="0" w:color="auto"/>
        <w:left w:val="none" w:sz="0" w:space="0" w:color="auto"/>
        <w:bottom w:val="none" w:sz="0" w:space="0" w:color="auto"/>
        <w:right w:val="none" w:sz="0" w:space="0" w:color="auto"/>
      </w:divBdr>
    </w:div>
    <w:div w:id="386417179">
      <w:bodyDiv w:val="1"/>
      <w:marLeft w:val="0"/>
      <w:marRight w:val="0"/>
      <w:marTop w:val="0"/>
      <w:marBottom w:val="0"/>
      <w:divBdr>
        <w:top w:val="none" w:sz="0" w:space="0" w:color="auto"/>
        <w:left w:val="none" w:sz="0" w:space="0" w:color="auto"/>
        <w:bottom w:val="none" w:sz="0" w:space="0" w:color="auto"/>
        <w:right w:val="none" w:sz="0" w:space="0" w:color="auto"/>
      </w:divBdr>
    </w:div>
    <w:div w:id="386495290">
      <w:bodyDiv w:val="1"/>
      <w:marLeft w:val="0"/>
      <w:marRight w:val="0"/>
      <w:marTop w:val="0"/>
      <w:marBottom w:val="0"/>
      <w:divBdr>
        <w:top w:val="none" w:sz="0" w:space="0" w:color="auto"/>
        <w:left w:val="none" w:sz="0" w:space="0" w:color="auto"/>
        <w:bottom w:val="none" w:sz="0" w:space="0" w:color="auto"/>
        <w:right w:val="none" w:sz="0" w:space="0" w:color="auto"/>
      </w:divBdr>
    </w:div>
    <w:div w:id="386495881">
      <w:bodyDiv w:val="1"/>
      <w:marLeft w:val="0"/>
      <w:marRight w:val="0"/>
      <w:marTop w:val="0"/>
      <w:marBottom w:val="0"/>
      <w:divBdr>
        <w:top w:val="none" w:sz="0" w:space="0" w:color="auto"/>
        <w:left w:val="none" w:sz="0" w:space="0" w:color="auto"/>
        <w:bottom w:val="none" w:sz="0" w:space="0" w:color="auto"/>
        <w:right w:val="none" w:sz="0" w:space="0" w:color="auto"/>
      </w:divBdr>
    </w:div>
    <w:div w:id="386681662">
      <w:bodyDiv w:val="1"/>
      <w:marLeft w:val="0"/>
      <w:marRight w:val="0"/>
      <w:marTop w:val="0"/>
      <w:marBottom w:val="0"/>
      <w:divBdr>
        <w:top w:val="none" w:sz="0" w:space="0" w:color="auto"/>
        <w:left w:val="none" w:sz="0" w:space="0" w:color="auto"/>
        <w:bottom w:val="none" w:sz="0" w:space="0" w:color="auto"/>
        <w:right w:val="none" w:sz="0" w:space="0" w:color="auto"/>
      </w:divBdr>
    </w:div>
    <w:div w:id="386728945">
      <w:bodyDiv w:val="1"/>
      <w:marLeft w:val="0"/>
      <w:marRight w:val="0"/>
      <w:marTop w:val="0"/>
      <w:marBottom w:val="0"/>
      <w:divBdr>
        <w:top w:val="none" w:sz="0" w:space="0" w:color="auto"/>
        <w:left w:val="none" w:sz="0" w:space="0" w:color="auto"/>
        <w:bottom w:val="none" w:sz="0" w:space="0" w:color="auto"/>
        <w:right w:val="none" w:sz="0" w:space="0" w:color="auto"/>
      </w:divBdr>
    </w:div>
    <w:div w:id="386756582">
      <w:bodyDiv w:val="1"/>
      <w:marLeft w:val="0"/>
      <w:marRight w:val="0"/>
      <w:marTop w:val="0"/>
      <w:marBottom w:val="0"/>
      <w:divBdr>
        <w:top w:val="none" w:sz="0" w:space="0" w:color="auto"/>
        <w:left w:val="none" w:sz="0" w:space="0" w:color="auto"/>
        <w:bottom w:val="none" w:sz="0" w:space="0" w:color="auto"/>
        <w:right w:val="none" w:sz="0" w:space="0" w:color="auto"/>
      </w:divBdr>
    </w:div>
    <w:div w:id="386805349">
      <w:bodyDiv w:val="1"/>
      <w:marLeft w:val="0"/>
      <w:marRight w:val="0"/>
      <w:marTop w:val="0"/>
      <w:marBottom w:val="0"/>
      <w:divBdr>
        <w:top w:val="none" w:sz="0" w:space="0" w:color="auto"/>
        <w:left w:val="none" w:sz="0" w:space="0" w:color="auto"/>
        <w:bottom w:val="none" w:sz="0" w:space="0" w:color="auto"/>
        <w:right w:val="none" w:sz="0" w:space="0" w:color="auto"/>
      </w:divBdr>
    </w:div>
    <w:div w:id="386875695">
      <w:bodyDiv w:val="1"/>
      <w:marLeft w:val="0"/>
      <w:marRight w:val="0"/>
      <w:marTop w:val="0"/>
      <w:marBottom w:val="0"/>
      <w:divBdr>
        <w:top w:val="none" w:sz="0" w:space="0" w:color="auto"/>
        <w:left w:val="none" w:sz="0" w:space="0" w:color="auto"/>
        <w:bottom w:val="none" w:sz="0" w:space="0" w:color="auto"/>
        <w:right w:val="none" w:sz="0" w:space="0" w:color="auto"/>
      </w:divBdr>
    </w:div>
    <w:div w:id="386925512">
      <w:bodyDiv w:val="1"/>
      <w:marLeft w:val="0"/>
      <w:marRight w:val="0"/>
      <w:marTop w:val="0"/>
      <w:marBottom w:val="0"/>
      <w:divBdr>
        <w:top w:val="none" w:sz="0" w:space="0" w:color="auto"/>
        <w:left w:val="none" w:sz="0" w:space="0" w:color="auto"/>
        <w:bottom w:val="none" w:sz="0" w:space="0" w:color="auto"/>
        <w:right w:val="none" w:sz="0" w:space="0" w:color="auto"/>
      </w:divBdr>
    </w:div>
    <w:div w:id="387188881">
      <w:bodyDiv w:val="1"/>
      <w:marLeft w:val="0"/>
      <w:marRight w:val="0"/>
      <w:marTop w:val="0"/>
      <w:marBottom w:val="0"/>
      <w:divBdr>
        <w:top w:val="none" w:sz="0" w:space="0" w:color="auto"/>
        <w:left w:val="none" w:sz="0" w:space="0" w:color="auto"/>
        <w:bottom w:val="none" w:sz="0" w:space="0" w:color="auto"/>
        <w:right w:val="none" w:sz="0" w:space="0" w:color="auto"/>
      </w:divBdr>
    </w:div>
    <w:div w:id="387264030">
      <w:bodyDiv w:val="1"/>
      <w:marLeft w:val="0"/>
      <w:marRight w:val="0"/>
      <w:marTop w:val="0"/>
      <w:marBottom w:val="0"/>
      <w:divBdr>
        <w:top w:val="none" w:sz="0" w:space="0" w:color="auto"/>
        <w:left w:val="none" w:sz="0" w:space="0" w:color="auto"/>
        <w:bottom w:val="none" w:sz="0" w:space="0" w:color="auto"/>
        <w:right w:val="none" w:sz="0" w:space="0" w:color="auto"/>
      </w:divBdr>
    </w:div>
    <w:div w:id="387459108">
      <w:bodyDiv w:val="1"/>
      <w:marLeft w:val="0"/>
      <w:marRight w:val="0"/>
      <w:marTop w:val="0"/>
      <w:marBottom w:val="0"/>
      <w:divBdr>
        <w:top w:val="none" w:sz="0" w:space="0" w:color="auto"/>
        <w:left w:val="none" w:sz="0" w:space="0" w:color="auto"/>
        <w:bottom w:val="none" w:sz="0" w:space="0" w:color="auto"/>
        <w:right w:val="none" w:sz="0" w:space="0" w:color="auto"/>
      </w:divBdr>
    </w:div>
    <w:div w:id="387608013">
      <w:bodyDiv w:val="1"/>
      <w:marLeft w:val="0"/>
      <w:marRight w:val="0"/>
      <w:marTop w:val="0"/>
      <w:marBottom w:val="0"/>
      <w:divBdr>
        <w:top w:val="none" w:sz="0" w:space="0" w:color="auto"/>
        <w:left w:val="none" w:sz="0" w:space="0" w:color="auto"/>
        <w:bottom w:val="none" w:sz="0" w:space="0" w:color="auto"/>
        <w:right w:val="none" w:sz="0" w:space="0" w:color="auto"/>
      </w:divBdr>
    </w:div>
    <w:div w:id="387608269">
      <w:bodyDiv w:val="1"/>
      <w:marLeft w:val="0"/>
      <w:marRight w:val="0"/>
      <w:marTop w:val="0"/>
      <w:marBottom w:val="0"/>
      <w:divBdr>
        <w:top w:val="none" w:sz="0" w:space="0" w:color="auto"/>
        <w:left w:val="none" w:sz="0" w:space="0" w:color="auto"/>
        <w:bottom w:val="none" w:sz="0" w:space="0" w:color="auto"/>
        <w:right w:val="none" w:sz="0" w:space="0" w:color="auto"/>
      </w:divBdr>
    </w:div>
    <w:div w:id="387655244">
      <w:bodyDiv w:val="1"/>
      <w:marLeft w:val="0"/>
      <w:marRight w:val="0"/>
      <w:marTop w:val="0"/>
      <w:marBottom w:val="0"/>
      <w:divBdr>
        <w:top w:val="none" w:sz="0" w:space="0" w:color="auto"/>
        <w:left w:val="none" w:sz="0" w:space="0" w:color="auto"/>
        <w:bottom w:val="none" w:sz="0" w:space="0" w:color="auto"/>
        <w:right w:val="none" w:sz="0" w:space="0" w:color="auto"/>
      </w:divBdr>
    </w:div>
    <w:div w:id="387656767">
      <w:bodyDiv w:val="1"/>
      <w:marLeft w:val="0"/>
      <w:marRight w:val="0"/>
      <w:marTop w:val="0"/>
      <w:marBottom w:val="0"/>
      <w:divBdr>
        <w:top w:val="none" w:sz="0" w:space="0" w:color="auto"/>
        <w:left w:val="none" w:sz="0" w:space="0" w:color="auto"/>
        <w:bottom w:val="none" w:sz="0" w:space="0" w:color="auto"/>
        <w:right w:val="none" w:sz="0" w:space="0" w:color="auto"/>
      </w:divBdr>
    </w:div>
    <w:div w:id="387657286">
      <w:bodyDiv w:val="1"/>
      <w:marLeft w:val="0"/>
      <w:marRight w:val="0"/>
      <w:marTop w:val="0"/>
      <w:marBottom w:val="0"/>
      <w:divBdr>
        <w:top w:val="none" w:sz="0" w:space="0" w:color="auto"/>
        <w:left w:val="none" w:sz="0" w:space="0" w:color="auto"/>
        <w:bottom w:val="none" w:sz="0" w:space="0" w:color="auto"/>
        <w:right w:val="none" w:sz="0" w:space="0" w:color="auto"/>
      </w:divBdr>
    </w:div>
    <w:div w:id="387732148">
      <w:bodyDiv w:val="1"/>
      <w:marLeft w:val="0"/>
      <w:marRight w:val="0"/>
      <w:marTop w:val="0"/>
      <w:marBottom w:val="0"/>
      <w:divBdr>
        <w:top w:val="none" w:sz="0" w:space="0" w:color="auto"/>
        <w:left w:val="none" w:sz="0" w:space="0" w:color="auto"/>
        <w:bottom w:val="none" w:sz="0" w:space="0" w:color="auto"/>
        <w:right w:val="none" w:sz="0" w:space="0" w:color="auto"/>
      </w:divBdr>
    </w:div>
    <w:div w:id="387874664">
      <w:bodyDiv w:val="1"/>
      <w:marLeft w:val="0"/>
      <w:marRight w:val="0"/>
      <w:marTop w:val="0"/>
      <w:marBottom w:val="0"/>
      <w:divBdr>
        <w:top w:val="none" w:sz="0" w:space="0" w:color="auto"/>
        <w:left w:val="none" w:sz="0" w:space="0" w:color="auto"/>
        <w:bottom w:val="none" w:sz="0" w:space="0" w:color="auto"/>
        <w:right w:val="none" w:sz="0" w:space="0" w:color="auto"/>
      </w:divBdr>
    </w:div>
    <w:div w:id="387920166">
      <w:bodyDiv w:val="1"/>
      <w:marLeft w:val="0"/>
      <w:marRight w:val="0"/>
      <w:marTop w:val="0"/>
      <w:marBottom w:val="0"/>
      <w:divBdr>
        <w:top w:val="none" w:sz="0" w:space="0" w:color="auto"/>
        <w:left w:val="none" w:sz="0" w:space="0" w:color="auto"/>
        <w:bottom w:val="none" w:sz="0" w:space="0" w:color="auto"/>
        <w:right w:val="none" w:sz="0" w:space="0" w:color="auto"/>
      </w:divBdr>
    </w:div>
    <w:div w:id="388001027">
      <w:bodyDiv w:val="1"/>
      <w:marLeft w:val="0"/>
      <w:marRight w:val="0"/>
      <w:marTop w:val="0"/>
      <w:marBottom w:val="0"/>
      <w:divBdr>
        <w:top w:val="none" w:sz="0" w:space="0" w:color="auto"/>
        <w:left w:val="none" w:sz="0" w:space="0" w:color="auto"/>
        <w:bottom w:val="none" w:sz="0" w:space="0" w:color="auto"/>
        <w:right w:val="none" w:sz="0" w:space="0" w:color="auto"/>
      </w:divBdr>
    </w:div>
    <w:div w:id="388001103">
      <w:bodyDiv w:val="1"/>
      <w:marLeft w:val="0"/>
      <w:marRight w:val="0"/>
      <w:marTop w:val="0"/>
      <w:marBottom w:val="0"/>
      <w:divBdr>
        <w:top w:val="none" w:sz="0" w:space="0" w:color="auto"/>
        <w:left w:val="none" w:sz="0" w:space="0" w:color="auto"/>
        <w:bottom w:val="none" w:sz="0" w:space="0" w:color="auto"/>
        <w:right w:val="none" w:sz="0" w:space="0" w:color="auto"/>
      </w:divBdr>
    </w:div>
    <w:div w:id="388119438">
      <w:bodyDiv w:val="1"/>
      <w:marLeft w:val="0"/>
      <w:marRight w:val="0"/>
      <w:marTop w:val="0"/>
      <w:marBottom w:val="0"/>
      <w:divBdr>
        <w:top w:val="none" w:sz="0" w:space="0" w:color="auto"/>
        <w:left w:val="none" w:sz="0" w:space="0" w:color="auto"/>
        <w:bottom w:val="none" w:sz="0" w:space="0" w:color="auto"/>
        <w:right w:val="none" w:sz="0" w:space="0" w:color="auto"/>
      </w:divBdr>
    </w:div>
    <w:div w:id="388267648">
      <w:bodyDiv w:val="1"/>
      <w:marLeft w:val="0"/>
      <w:marRight w:val="0"/>
      <w:marTop w:val="0"/>
      <w:marBottom w:val="0"/>
      <w:divBdr>
        <w:top w:val="none" w:sz="0" w:space="0" w:color="auto"/>
        <w:left w:val="none" w:sz="0" w:space="0" w:color="auto"/>
        <w:bottom w:val="none" w:sz="0" w:space="0" w:color="auto"/>
        <w:right w:val="none" w:sz="0" w:space="0" w:color="auto"/>
      </w:divBdr>
    </w:div>
    <w:div w:id="388304220">
      <w:bodyDiv w:val="1"/>
      <w:marLeft w:val="0"/>
      <w:marRight w:val="0"/>
      <w:marTop w:val="0"/>
      <w:marBottom w:val="0"/>
      <w:divBdr>
        <w:top w:val="none" w:sz="0" w:space="0" w:color="auto"/>
        <w:left w:val="none" w:sz="0" w:space="0" w:color="auto"/>
        <w:bottom w:val="none" w:sz="0" w:space="0" w:color="auto"/>
        <w:right w:val="none" w:sz="0" w:space="0" w:color="auto"/>
      </w:divBdr>
    </w:div>
    <w:div w:id="388381277">
      <w:bodyDiv w:val="1"/>
      <w:marLeft w:val="0"/>
      <w:marRight w:val="0"/>
      <w:marTop w:val="0"/>
      <w:marBottom w:val="0"/>
      <w:divBdr>
        <w:top w:val="none" w:sz="0" w:space="0" w:color="auto"/>
        <w:left w:val="none" w:sz="0" w:space="0" w:color="auto"/>
        <w:bottom w:val="none" w:sz="0" w:space="0" w:color="auto"/>
        <w:right w:val="none" w:sz="0" w:space="0" w:color="auto"/>
      </w:divBdr>
    </w:div>
    <w:div w:id="388387592">
      <w:bodyDiv w:val="1"/>
      <w:marLeft w:val="0"/>
      <w:marRight w:val="0"/>
      <w:marTop w:val="0"/>
      <w:marBottom w:val="0"/>
      <w:divBdr>
        <w:top w:val="none" w:sz="0" w:space="0" w:color="auto"/>
        <w:left w:val="none" w:sz="0" w:space="0" w:color="auto"/>
        <w:bottom w:val="none" w:sz="0" w:space="0" w:color="auto"/>
        <w:right w:val="none" w:sz="0" w:space="0" w:color="auto"/>
      </w:divBdr>
    </w:div>
    <w:div w:id="388456704">
      <w:bodyDiv w:val="1"/>
      <w:marLeft w:val="0"/>
      <w:marRight w:val="0"/>
      <w:marTop w:val="0"/>
      <w:marBottom w:val="0"/>
      <w:divBdr>
        <w:top w:val="none" w:sz="0" w:space="0" w:color="auto"/>
        <w:left w:val="none" w:sz="0" w:space="0" w:color="auto"/>
        <w:bottom w:val="none" w:sz="0" w:space="0" w:color="auto"/>
        <w:right w:val="none" w:sz="0" w:space="0" w:color="auto"/>
      </w:divBdr>
    </w:div>
    <w:div w:id="388574786">
      <w:bodyDiv w:val="1"/>
      <w:marLeft w:val="0"/>
      <w:marRight w:val="0"/>
      <w:marTop w:val="0"/>
      <w:marBottom w:val="0"/>
      <w:divBdr>
        <w:top w:val="none" w:sz="0" w:space="0" w:color="auto"/>
        <w:left w:val="none" w:sz="0" w:space="0" w:color="auto"/>
        <w:bottom w:val="none" w:sz="0" w:space="0" w:color="auto"/>
        <w:right w:val="none" w:sz="0" w:space="0" w:color="auto"/>
      </w:divBdr>
    </w:div>
    <w:div w:id="388916787">
      <w:bodyDiv w:val="1"/>
      <w:marLeft w:val="0"/>
      <w:marRight w:val="0"/>
      <w:marTop w:val="0"/>
      <w:marBottom w:val="0"/>
      <w:divBdr>
        <w:top w:val="none" w:sz="0" w:space="0" w:color="auto"/>
        <w:left w:val="none" w:sz="0" w:space="0" w:color="auto"/>
        <w:bottom w:val="none" w:sz="0" w:space="0" w:color="auto"/>
        <w:right w:val="none" w:sz="0" w:space="0" w:color="auto"/>
      </w:divBdr>
    </w:div>
    <w:div w:id="388964664">
      <w:bodyDiv w:val="1"/>
      <w:marLeft w:val="0"/>
      <w:marRight w:val="0"/>
      <w:marTop w:val="0"/>
      <w:marBottom w:val="0"/>
      <w:divBdr>
        <w:top w:val="none" w:sz="0" w:space="0" w:color="auto"/>
        <w:left w:val="none" w:sz="0" w:space="0" w:color="auto"/>
        <w:bottom w:val="none" w:sz="0" w:space="0" w:color="auto"/>
        <w:right w:val="none" w:sz="0" w:space="0" w:color="auto"/>
      </w:divBdr>
    </w:div>
    <w:div w:id="389037567">
      <w:bodyDiv w:val="1"/>
      <w:marLeft w:val="0"/>
      <w:marRight w:val="0"/>
      <w:marTop w:val="0"/>
      <w:marBottom w:val="0"/>
      <w:divBdr>
        <w:top w:val="none" w:sz="0" w:space="0" w:color="auto"/>
        <w:left w:val="none" w:sz="0" w:space="0" w:color="auto"/>
        <w:bottom w:val="none" w:sz="0" w:space="0" w:color="auto"/>
        <w:right w:val="none" w:sz="0" w:space="0" w:color="auto"/>
      </w:divBdr>
    </w:div>
    <w:div w:id="389112109">
      <w:bodyDiv w:val="1"/>
      <w:marLeft w:val="0"/>
      <w:marRight w:val="0"/>
      <w:marTop w:val="0"/>
      <w:marBottom w:val="0"/>
      <w:divBdr>
        <w:top w:val="none" w:sz="0" w:space="0" w:color="auto"/>
        <w:left w:val="none" w:sz="0" w:space="0" w:color="auto"/>
        <w:bottom w:val="none" w:sz="0" w:space="0" w:color="auto"/>
        <w:right w:val="none" w:sz="0" w:space="0" w:color="auto"/>
      </w:divBdr>
    </w:div>
    <w:div w:id="389115740">
      <w:bodyDiv w:val="1"/>
      <w:marLeft w:val="0"/>
      <w:marRight w:val="0"/>
      <w:marTop w:val="0"/>
      <w:marBottom w:val="0"/>
      <w:divBdr>
        <w:top w:val="none" w:sz="0" w:space="0" w:color="auto"/>
        <w:left w:val="none" w:sz="0" w:space="0" w:color="auto"/>
        <w:bottom w:val="none" w:sz="0" w:space="0" w:color="auto"/>
        <w:right w:val="none" w:sz="0" w:space="0" w:color="auto"/>
      </w:divBdr>
    </w:div>
    <w:div w:id="389184951">
      <w:bodyDiv w:val="1"/>
      <w:marLeft w:val="0"/>
      <w:marRight w:val="0"/>
      <w:marTop w:val="0"/>
      <w:marBottom w:val="0"/>
      <w:divBdr>
        <w:top w:val="none" w:sz="0" w:space="0" w:color="auto"/>
        <w:left w:val="none" w:sz="0" w:space="0" w:color="auto"/>
        <w:bottom w:val="none" w:sz="0" w:space="0" w:color="auto"/>
        <w:right w:val="none" w:sz="0" w:space="0" w:color="auto"/>
      </w:divBdr>
    </w:div>
    <w:div w:id="389503345">
      <w:bodyDiv w:val="1"/>
      <w:marLeft w:val="0"/>
      <w:marRight w:val="0"/>
      <w:marTop w:val="0"/>
      <w:marBottom w:val="0"/>
      <w:divBdr>
        <w:top w:val="none" w:sz="0" w:space="0" w:color="auto"/>
        <w:left w:val="none" w:sz="0" w:space="0" w:color="auto"/>
        <w:bottom w:val="none" w:sz="0" w:space="0" w:color="auto"/>
        <w:right w:val="none" w:sz="0" w:space="0" w:color="auto"/>
      </w:divBdr>
    </w:div>
    <w:div w:id="389618597">
      <w:bodyDiv w:val="1"/>
      <w:marLeft w:val="0"/>
      <w:marRight w:val="0"/>
      <w:marTop w:val="0"/>
      <w:marBottom w:val="0"/>
      <w:divBdr>
        <w:top w:val="none" w:sz="0" w:space="0" w:color="auto"/>
        <w:left w:val="none" w:sz="0" w:space="0" w:color="auto"/>
        <w:bottom w:val="none" w:sz="0" w:space="0" w:color="auto"/>
        <w:right w:val="none" w:sz="0" w:space="0" w:color="auto"/>
      </w:divBdr>
    </w:div>
    <w:div w:id="389812952">
      <w:bodyDiv w:val="1"/>
      <w:marLeft w:val="0"/>
      <w:marRight w:val="0"/>
      <w:marTop w:val="0"/>
      <w:marBottom w:val="0"/>
      <w:divBdr>
        <w:top w:val="none" w:sz="0" w:space="0" w:color="auto"/>
        <w:left w:val="none" w:sz="0" w:space="0" w:color="auto"/>
        <w:bottom w:val="none" w:sz="0" w:space="0" w:color="auto"/>
        <w:right w:val="none" w:sz="0" w:space="0" w:color="auto"/>
      </w:divBdr>
    </w:div>
    <w:div w:id="389886394">
      <w:bodyDiv w:val="1"/>
      <w:marLeft w:val="0"/>
      <w:marRight w:val="0"/>
      <w:marTop w:val="0"/>
      <w:marBottom w:val="0"/>
      <w:divBdr>
        <w:top w:val="none" w:sz="0" w:space="0" w:color="auto"/>
        <w:left w:val="none" w:sz="0" w:space="0" w:color="auto"/>
        <w:bottom w:val="none" w:sz="0" w:space="0" w:color="auto"/>
        <w:right w:val="none" w:sz="0" w:space="0" w:color="auto"/>
      </w:divBdr>
    </w:div>
    <w:div w:id="390151986">
      <w:bodyDiv w:val="1"/>
      <w:marLeft w:val="0"/>
      <w:marRight w:val="0"/>
      <w:marTop w:val="0"/>
      <w:marBottom w:val="0"/>
      <w:divBdr>
        <w:top w:val="none" w:sz="0" w:space="0" w:color="auto"/>
        <w:left w:val="none" w:sz="0" w:space="0" w:color="auto"/>
        <w:bottom w:val="none" w:sz="0" w:space="0" w:color="auto"/>
        <w:right w:val="none" w:sz="0" w:space="0" w:color="auto"/>
      </w:divBdr>
    </w:div>
    <w:div w:id="390232298">
      <w:bodyDiv w:val="1"/>
      <w:marLeft w:val="0"/>
      <w:marRight w:val="0"/>
      <w:marTop w:val="0"/>
      <w:marBottom w:val="0"/>
      <w:divBdr>
        <w:top w:val="none" w:sz="0" w:space="0" w:color="auto"/>
        <w:left w:val="none" w:sz="0" w:space="0" w:color="auto"/>
        <w:bottom w:val="none" w:sz="0" w:space="0" w:color="auto"/>
        <w:right w:val="none" w:sz="0" w:space="0" w:color="auto"/>
      </w:divBdr>
    </w:div>
    <w:div w:id="390345534">
      <w:bodyDiv w:val="1"/>
      <w:marLeft w:val="0"/>
      <w:marRight w:val="0"/>
      <w:marTop w:val="0"/>
      <w:marBottom w:val="0"/>
      <w:divBdr>
        <w:top w:val="none" w:sz="0" w:space="0" w:color="auto"/>
        <w:left w:val="none" w:sz="0" w:space="0" w:color="auto"/>
        <w:bottom w:val="none" w:sz="0" w:space="0" w:color="auto"/>
        <w:right w:val="none" w:sz="0" w:space="0" w:color="auto"/>
      </w:divBdr>
    </w:div>
    <w:div w:id="390349862">
      <w:bodyDiv w:val="1"/>
      <w:marLeft w:val="0"/>
      <w:marRight w:val="0"/>
      <w:marTop w:val="0"/>
      <w:marBottom w:val="0"/>
      <w:divBdr>
        <w:top w:val="none" w:sz="0" w:space="0" w:color="auto"/>
        <w:left w:val="none" w:sz="0" w:space="0" w:color="auto"/>
        <w:bottom w:val="none" w:sz="0" w:space="0" w:color="auto"/>
        <w:right w:val="none" w:sz="0" w:space="0" w:color="auto"/>
      </w:divBdr>
    </w:div>
    <w:div w:id="390427457">
      <w:bodyDiv w:val="1"/>
      <w:marLeft w:val="0"/>
      <w:marRight w:val="0"/>
      <w:marTop w:val="0"/>
      <w:marBottom w:val="0"/>
      <w:divBdr>
        <w:top w:val="none" w:sz="0" w:space="0" w:color="auto"/>
        <w:left w:val="none" w:sz="0" w:space="0" w:color="auto"/>
        <w:bottom w:val="none" w:sz="0" w:space="0" w:color="auto"/>
        <w:right w:val="none" w:sz="0" w:space="0" w:color="auto"/>
      </w:divBdr>
    </w:div>
    <w:div w:id="390471718">
      <w:bodyDiv w:val="1"/>
      <w:marLeft w:val="0"/>
      <w:marRight w:val="0"/>
      <w:marTop w:val="0"/>
      <w:marBottom w:val="0"/>
      <w:divBdr>
        <w:top w:val="none" w:sz="0" w:space="0" w:color="auto"/>
        <w:left w:val="none" w:sz="0" w:space="0" w:color="auto"/>
        <w:bottom w:val="none" w:sz="0" w:space="0" w:color="auto"/>
        <w:right w:val="none" w:sz="0" w:space="0" w:color="auto"/>
      </w:divBdr>
    </w:div>
    <w:div w:id="390542253">
      <w:bodyDiv w:val="1"/>
      <w:marLeft w:val="0"/>
      <w:marRight w:val="0"/>
      <w:marTop w:val="0"/>
      <w:marBottom w:val="0"/>
      <w:divBdr>
        <w:top w:val="none" w:sz="0" w:space="0" w:color="auto"/>
        <w:left w:val="none" w:sz="0" w:space="0" w:color="auto"/>
        <w:bottom w:val="none" w:sz="0" w:space="0" w:color="auto"/>
        <w:right w:val="none" w:sz="0" w:space="0" w:color="auto"/>
      </w:divBdr>
    </w:div>
    <w:div w:id="390619672">
      <w:bodyDiv w:val="1"/>
      <w:marLeft w:val="0"/>
      <w:marRight w:val="0"/>
      <w:marTop w:val="0"/>
      <w:marBottom w:val="0"/>
      <w:divBdr>
        <w:top w:val="none" w:sz="0" w:space="0" w:color="auto"/>
        <w:left w:val="none" w:sz="0" w:space="0" w:color="auto"/>
        <w:bottom w:val="none" w:sz="0" w:space="0" w:color="auto"/>
        <w:right w:val="none" w:sz="0" w:space="0" w:color="auto"/>
      </w:divBdr>
    </w:div>
    <w:div w:id="390665050">
      <w:bodyDiv w:val="1"/>
      <w:marLeft w:val="0"/>
      <w:marRight w:val="0"/>
      <w:marTop w:val="0"/>
      <w:marBottom w:val="0"/>
      <w:divBdr>
        <w:top w:val="none" w:sz="0" w:space="0" w:color="auto"/>
        <w:left w:val="none" w:sz="0" w:space="0" w:color="auto"/>
        <w:bottom w:val="none" w:sz="0" w:space="0" w:color="auto"/>
        <w:right w:val="none" w:sz="0" w:space="0" w:color="auto"/>
      </w:divBdr>
    </w:div>
    <w:div w:id="390688831">
      <w:bodyDiv w:val="1"/>
      <w:marLeft w:val="0"/>
      <w:marRight w:val="0"/>
      <w:marTop w:val="0"/>
      <w:marBottom w:val="0"/>
      <w:divBdr>
        <w:top w:val="none" w:sz="0" w:space="0" w:color="auto"/>
        <w:left w:val="none" w:sz="0" w:space="0" w:color="auto"/>
        <w:bottom w:val="none" w:sz="0" w:space="0" w:color="auto"/>
        <w:right w:val="none" w:sz="0" w:space="0" w:color="auto"/>
      </w:divBdr>
    </w:div>
    <w:div w:id="390689954">
      <w:bodyDiv w:val="1"/>
      <w:marLeft w:val="0"/>
      <w:marRight w:val="0"/>
      <w:marTop w:val="0"/>
      <w:marBottom w:val="0"/>
      <w:divBdr>
        <w:top w:val="none" w:sz="0" w:space="0" w:color="auto"/>
        <w:left w:val="none" w:sz="0" w:space="0" w:color="auto"/>
        <w:bottom w:val="none" w:sz="0" w:space="0" w:color="auto"/>
        <w:right w:val="none" w:sz="0" w:space="0" w:color="auto"/>
      </w:divBdr>
    </w:div>
    <w:div w:id="390739523">
      <w:bodyDiv w:val="1"/>
      <w:marLeft w:val="0"/>
      <w:marRight w:val="0"/>
      <w:marTop w:val="0"/>
      <w:marBottom w:val="0"/>
      <w:divBdr>
        <w:top w:val="none" w:sz="0" w:space="0" w:color="auto"/>
        <w:left w:val="none" w:sz="0" w:space="0" w:color="auto"/>
        <w:bottom w:val="none" w:sz="0" w:space="0" w:color="auto"/>
        <w:right w:val="none" w:sz="0" w:space="0" w:color="auto"/>
      </w:divBdr>
    </w:div>
    <w:div w:id="390740300">
      <w:bodyDiv w:val="1"/>
      <w:marLeft w:val="0"/>
      <w:marRight w:val="0"/>
      <w:marTop w:val="0"/>
      <w:marBottom w:val="0"/>
      <w:divBdr>
        <w:top w:val="none" w:sz="0" w:space="0" w:color="auto"/>
        <w:left w:val="none" w:sz="0" w:space="0" w:color="auto"/>
        <w:bottom w:val="none" w:sz="0" w:space="0" w:color="auto"/>
        <w:right w:val="none" w:sz="0" w:space="0" w:color="auto"/>
      </w:divBdr>
    </w:div>
    <w:div w:id="390810450">
      <w:bodyDiv w:val="1"/>
      <w:marLeft w:val="0"/>
      <w:marRight w:val="0"/>
      <w:marTop w:val="0"/>
      <w:marBottom w:val="0"/>
      <w:divBdr>
        <w:top w:val="none" w:sz="0" w:space="0" w:color="auto"/>
        <w:left w:val="none" w:sz="0" w:space="0" w:color="auto"/>
        <w:bottom w:val="none" w:sz="0" w:space="0" w:color="auto"/>
        <w:right w:val="none" w:sz="0" w:space="0" w:color="auto"/>
      </w:divBdr>
    </w:div>
    <w:div w:id="390813789">
      <w:bodyDiv w:val="1"/>
      <w:marLeft w:val="0"/>
      <w:marRight w:val="0"/>
      <w:marTop w:val="0"/>
      <w:marBottom w:val="0"/>
      <w:divBdr>
        <w:top w:val="none" w:sz="0" w:space="0" w:color="auto"/>
        <w:left w:val="none" w:sz="0" w:space="0" w:color="auto"/>
        <w:bottom w:val="none" w:sz="0" w:space="0" w:color="auto"/>
        <w:right w:val="none" w:sz="0" w:space="0" w:color="auto"/>
      </w:divBdr>
    </w:div>
    <w:div w:id="390883090">
      <w:bodyDiv w:val="1"/>
      <w:marLeft w:val="0"/>
      <w:marRight w:val="0"/>
      <w:marTop w:val="0"/>
      <w:marBottom w:val="0"/>
      <w:divBdr>
        <w:top w:val="none" w:sz="0" w:space="0" w:color="auto"/>
        <w:left w:val="none" w:sz="0" w:space="0" w:color="auto"/>
        <w:bottom w:val="none" w:sz="0" w:space="0" w:color="auto"/>
        <w:right w:val="none" w:sz="0" w:space="0" w:color="auto"/>
      </w:divBdr>
    </w:div>
    <w:div w:id="390927213">
      <w:bodyDiv w:val="1"/>
      <w:marLeft w:val="0"/>
      <w:marRight w:val="0"/>
      <w:marTop w:val="0"/>
      <w:marBottom w:val="0"/>
      <w:divBdr>
        <w:top w:val="none" w:sz="0" w:space="0" w:color="auto"/>
        <w:left w:val="none" w:sz="0" w:space="0" w:color="auto"/>
        <w:bottom w:val="none" w:sz="0" w:space="0" w:color="auto"/>
        <w:right w:val="none" w:sz="0" w:space="0" w:color="auto"/>
      </w:divBdr>
    </w:div>
    <w:div w:id="390927596">
      <w:bodyDiv w:val="1"/>
      <w:marLeft w:val="0"/>
      <w:marRight w:val="0"/>
      <w:marTop w:val="0"/>
      <w:marBottom w:val="0"/>
      <w:divBdr>
        <w:top w:val="none" w:sz="0" w:space="0" w:color="auto"/>
        <w:left w:val="none" w:sz="0" w:space="0" w:color="auto"/>
        <w:bottom w:val="none" w:sz="0" w:space="0" w:color="auto"/>
        <w:right w:val="none" w:sz="0" w:space="0" w:color="auto"/>
      </w:divBdr>
    </w:div>
    <w:div w:id="390999612">
      <w:bodyDiv w:val="1"/>
      <w:marLeft w:val="0"/>
      <w:marRight w:val="0"/>
      <w:marTop w:val="0"/>
      <w:marBottom w:val="0"/>
      <w:divBdr>
        <w:top w:val="none" w:sz="0" w:space="0" w:color="auto"/>
        <w:left w:val="none" w:sz="0" w:space="0" w:color="auto"/>
        <w:bottom w:val="none" w:sz="0" w:space="0" w:color="auto"/>
        <w:right w:val="none" w:sz="0" w:space="0" w:color="auto"/>
      </w:divBdr>
    </w:div>
    <w:div w:id="391002737">
      <w:bodyDiv w:val="1"/>
      <w:marLeft w:val="0"/>
      <w:marRight w:val="0"/>
      <w:marTop w:val="0"/>
      <w:marBottom w:val="0"/>
      <w:divBdr>
        <w:top w:val="none" w:sz="0" w:space="0" w:color="auto"/>
        <w:left w:val="none" w:sz="0" w:space="0" w:color="auto"/>
        <w:bottom w:val="none" w:sz="0" w:space="0" w:color="auto"/>
        <w:right w:val="none" w:sz="0" w:space="0" w:color="auto"/>
      </w:divBdr>
    </w:div>
    <w:div w:id="391003268">
      <w:bodyDiv w:val="1"/>
      <w:marLeft w:val="0"/>
      <w:marRight w:val="0"/>
      <w:marTop w:val="0"/>
      <w:marBottom w:val="0"/>
      <w:divBdr>
        <w:top w:val="none" w:sz="0" w:space="0" w:color="auto"/>
        <w:left w:val="none" w:sz="0" w:space="0" w:color="auto"/>
        <w:bottom w:val="none" w:sz="0" w:space="0" w:color="auto"/>
        <w:right w:val="none" w:sz="0" w:space="0" w:color="auto"/>
      </w:divBdr>
    </w:div>
    <w:div w:id="391005975">
      <w:bodyDiv w:val="1"/>
      <w:marLeft w:val="0"/>
      <w:marRight w:val="0"/>
      <w:marTop w:val="0"/>
      <w:marBottom w:val="0"/>
      <w:divBdr>
        <w:top w:val="none" w:sz="0" w:space="0" w:color="auto"/>
        <w:left w:val="none" w:sz="0" w:space="0" w:color="auto"/>
        <w:bottom w:val="none" w:sz="0" w:space="0" w:color="auto"/>
        <w:right w:val="none" w:sz="0" w:space="0" w:color="auto"/>
      </w:divBdr>
    </w:div>
    <w:div w:id="391276337">
      <w:bodyDiv w:val="1"/>
      <w:marLeft w:val="0"/>
      <w:marRight w:val="0"/>
      <w:marTop w:val="0"/>
      <w:marBottom w:val="0"/>
      <w:divBdr>
        <w:top w:val="none" w:sz="0" w:space="0" w:color="auto"/>
        <w:left w:val="none" w:sz="0" w:space="0" w:color="auto"/>
        <w:bottom w:val="none" w:sz="0" w:space="0" w:color="auto"/>
        <w:right w:val="none" w:sz="0" w:space="0" w:color="auto"/>
      </w:divBdr>
    </w:div>
    <w:div w:id="391276630">
      <w:bodyDiv w:val="1"/>
      <w:marLeft w:val="0"/>
      <w:marRight w:val="0"/>
      <w:marTop w:val="0"/>
      <w:marBottom w:val="0"/>
      <w:divBdr>
        <w:top w:val="none" w:sz="0" w:space="0" w:color="auto"/>
        <w:left w:val="none" w:sz="0" w:space="0" w:color="auto"/>
        <w:bottom w:val="none" w:sz="0" w:space="0" w:color="auto"/>
        <w:right w:val="none" w:sz="0" w:space="0" w:color="auto"/>
      </w:divBdr>
    </w:div>
    <w:div w:id="391319108">
      <w:bodyDiv w:val="1"/>
      <w:marLeft w:val="0"/>
      <w:marRight w:val="0"/>
      <w:marTop w:val="0"/>
      <w:marBottom w:val="0"/>
      <w:divBdr>
        <w:top w:val="none" w:sz="0" w:space="0" w:color="auto"/>
        <w:left w:val="none" w:sz="0" w:space="0" w:color="auto"/>
        <w:bottom w:val="none" w:sz="0" w:space="0" w:color="auto"/>
        <w:right w:val="none" w:sz="0" w:space="0" w:color="auto"/>
      </w:divBdr>
    </w:div>
    <w:div w:id="391345570">
      <w:bodyDiv w:val="1"/>
      <w:marLeft w:val="0"/>
      <w:marRight w:val="0"/>
      <w:marTop w:val="0"/>
      <w:marBottom w:val="0"/>
      <w:divBdr>
        <w:top w:val="none" w:sz="0" w:space="0" w:color="auto"/>
        <w:left w:val="none" w:sz="0" w:space="0" w:color="auto"/>
        <w:bottom w:val="none" w:sz="0" w:space="0" w:color="auto"/>
        <w:right w:val="none" w:sz="0" w:space="0" w:color="auto"/>
      </w:divBdr>
    </w:div>
    <w:div w:id="391389074">
      <w:bodyDiv w:val="1"/>
      <w:marLeft w:val="0"/>
      <w:marRight w:val="0"/>
      <w:marTop w:val="0"/>
      <w:marBottom w:val="0"/>
      <w:divBdr>
        <w:top w:val="none" w:sz="0" w:space="0" w:color="auto"/>
        <w:left w:val="none" w:sz="0" w:space="0" w:color="auto"/>
        <w:bottom w:val="none" w:sz="0" w:space="0" w:color="auto"/>
        <w:right w:val="none" w:sz="0" w:space="0" w:color="auto"/>
      </w:divBdr>
    </w:div>
    <w:div w:id="391586344">
      <w:bodyDiv w:val="1"/>
      <w:marLeft w:val="0"/>
      <w:marRight w:val="0"/>
      <w:marTop w:val="0"/>
      <w:marBottom w:val="0"/>
      <w:divBdr>
        <w:top w:val="none" w:sz="0" w:space="0" w:color="auto"/>
        <w:left w:val="none" w:sz="0" w:space="0" w:color="auto"/>
        <w:bottom w:val="none" w:sz="0" w:space="0" w:color="auto"/>
        <w:right w:val="none" w:sz="0" w:space="0" w:color="auto"/>
      </w:divBdr>
    </w:div>
    <w:div w:id="391662084">
      <w:bodyDiv w:val="1"/>
      <w:marLeft w:val="0"/>
      <w:marRight w:val="0"/>
      <w:marTop w:val="0"/>
      <w:marBottom w:val="0"/>
      <w:divBdr>
        <w:top w:val="none" w:sz="0" w:space="0" w:color="auto"/>
        <w:left w:val="none" w:sz="0" w:space="0" w:color="auto"/>
        <w:bottom w:val="none" w:sz="0" w:space="0" w:color="auto"/>
        <w:right w:val="none" w:sz="0" w:space="0" w:color="auto"/>
      </w:divBdr>
    </w:div>
    <w:div w:id="391731907">
      <w:bodyDiv w:val="1"/>
      <w:marLeft w:val="0"/>
      <w:marRight w:val="0"/>
      <w:marTop w:val="0"/>
      <w:marBottom w:val="0"/>
      <w:divBdr>
        <w:top w:val="none" w:sz="0" w:space="0" w:color="auto"/>
        <w:left w:val="none" w:sz="0" w:space="0" w:color="auto"/>
        <w:bottom w:val="none" w:sz="0" w:space="0" w:color="auto"/>
        <w:right w:val="none" w:sz="0" w:space="0" w:color="auto"/>
      </w:divBdr>
    </w:div>
    <w:div w:id="391734474">
      <w:bodyDiv w:val="1"/>
      <w:marLeft w:val="0"/>
      <w:marRight w:val="0"/>
      <w:marTop w:val="0"/>
      <w:marBottom w:val="0"/>
      <w:divBdr>
        <w:top w:val="none" w:sz="0" w:space="0" w:color="auto"/>
        <w:left w:val="none" w:sz="0" w:space="0" w:color="auto"/>
        <w:bottom w:val="none" w:sz="0" w:space="0" w:color="auto"/>
        <w:right w:val="none" w:sz="0" w:space="0" w:color="auto"/>
      </w:divBdr>
    </w:div>
    <w:div w:id="391738811">
      <w:bodyDiv w:val="1"/>
      <w:marLeft w:val="0"/>
      <w:marRight w:val="0"/>
      <w:marTop w:val="0"/>
      <w:marBottom w:val="0"/>
      <w:divBdr>
        <w:top w:val="none" w:sz="0" w:space="0" w:color="auto"/>
        <w:left w:val="none" w:sz="0" w:space="0" w:color="auto"/>
        <w:bottom w:val="none" w:sz="0" w:space="0" w:color="auto"/>
        <w:right w:val="none" w:sz="0" w:space="0" w:color="auto"/>
      </w:divBdr>
    </w:div>
    <w:div w:id="391806499">
      <w:bodyDiv w:val="1"/>
      <w:marLeft w:val="0"/>
      <w:marRight w:val="0"/>
      <w:marTop w:val="0"/>
      <w:marBottom w:val="0"/>
      <w:divBdr>
        <w:top w:val="none" w:sz="0" w:space="0" w:color="auto"/>
        <w:left w:val="none" w:sz="0" w:space="0" w:color="auto"/>
        <w:bottom w:val="none" w:sz="0" w:space="0" w:color="auto"/>
        <w:right w:val="none" w:sz="0" w:space="0" w:color="auto"/>
      </w:divBdr>
    </w:div>
    <w:div w:id="392050833">
      <w:bodyDiv w:val="1"/>
      <w:marLeft w:val="0"/>
      <w:marRight w:val="0"/>
      <w:marTop w:val="0"/>
      <w:marBottom w:val="0"/>
      <w:divBdr>
        <w:top w:val="none" w:sz="0" w:space="0" w:color="auto"/>
        <w:left w:val="none" w:sz="0" w:space="0" w:color="auto"/>
        <w:bottom w:val="none" w:sz="0" w:space="0" w:color="auto"/>
        <w:right w:val="none" w:sz="0" w:space="0" w:color="auto"/>
      </w:divBdr>
    </w:div>
    <w:div w:id="392194871">
      <w:bodyDiv w:val="1"/>
      <w:marLeft w:val="0"/>
      <w:marRight w:val="0"/>
      <w:marTop w:val="0"/>
      <w:marBottom w:val="0"/>
      <w:divBdr>
        <w:top w:val="none" w:sz="0" w:space="0" w:color="auto"/>
        <w:left w:val="none" w:sz="0" w:space="0" w:color="auto"/>
        <w:bottom w:val="none" w:sz="0" w:space="0" w:color="auto"/>
        <w:right w:val="none" w:sz="0" w:space="0" w:color="auto"/>
      </w:divBdr>
    </w:div>
    <w:div w:id="392312329">
      <w:bodyDiv w:val="1"/>
      <w:marLeft w:val="0"/>
      <w:marRight w:val="0"/>
      <w:marTop w:val="0"/>
      <w:marBottom w:val="0"/>
      <w:divBdr>
        <w:top w:val="none" w:sz="0" w:space="0" w:color="auto"/>
        <w:left w:val="none" w:sz="0" w:space="0" w:color="auto"/>
        <w:bottom w:val="none" w:sz="0" w:space="0" w:color="auto"/>
        <w:right w:val="none" w:sz="0" w:space="0" w:color="auto"/>
      </w:divBdr>
    </w:div>
    <w:div w:id="392385421">
      <w:bodyDiv w:val="1"/>
      <w:marLeft w:val="0"/>
      <w:marRight w:val="0"/>
      <w:marTop w:val="0"/>
      <w:marBottom w:val="0"/>
      <w:divBdr>
        <w:top w:val="none" w:sz="0" w:space="0" w:color="auto"/>
        <w:left w:val="none" w:sz="0" w:space="0" w:color="auto"/>
        <w:bottom w:val="none" w:sz="0" w:space="0" w:color="auto"/>
        <w:right w:val="none" w:sz="0" w:space="0" w:color="auto"/>
      </w:divBdr>
    </w:div>
    <w:div w:id="392389969">
      <w:bodyDiv w:val="1"/>
      <w:marLeft w:val="0"/>
      <w:marRight w:val="0"/>
      <w:marTop w:val="0"/>
      <w:marBottom w:val="0"/>
      <w:divBdr>
        <w:top w:val="none" w:sz="0" w:space="0" w:color="auto"/>
        <w:left w:val="none" w:sz="0" w:space="0" w:color="auto"/>
        <w:bottom w:val="none" w:sz="0" w:space="0" w:color="auto"/>
        <w:right w:val="none" w:sz="0" w:space="0" w:color="auto"/>
      </w:divBdr>
    </w:div>
    <w:div w:id="392462198">
      <w:bodyDiv w:val="1"/>
      <w:marLeft w:val="0"/>
      <w:marRight w:val="0"/>
      <w:marTop w:val="0"/>
      <w:marBottom w:val="0"/>
      <w:divBdr>
        <w:top w:val="none" w:sz="0" w:space="0" w:color="auto"/>
        <w:left w:val="none" w:sz="0" w:space="0" w:color="auto"/>
        <w:bottom w:val="none" w:sz="0" w:space="0" w:color="auto"/>
        <w:right w:val="none" w:sz="0" w:space="0" w:color="auto"/>
      </w:divBdr>
    </w:div>
    <w:div w:id="392585756">
      <w:bodyDiv w:val="1"/>
      <w:marLeft w:val="0"/>
      <w:marRight w:val="0"/>
      <w:marTop w:val="0"/>
      <w:marBottom w:val="0"/>
      <w:divBdr>
        <w:top w:val="none" w:sz="0" w:space="0" w:color="auto"/>
        <w:left w:val="none" w:sz="0" w:space="0" w:color="auto"/>
        <w:bottom w:val="none" w:sz="0" w:space="0" w:color="auto"/>
        <w:right w:val="none" w:sz="0" w:space="0" w:color="auto"/>
      </w:divBdr>
    </w:div>
    <w:div w:id="392658628">
      <w:bodyDiv w:val="1"/>
      <w:marLeft w:val="0"/>
      <w:marRight w:val="0"/>
      <w:marTop w:val="0"/>
      <w:marBottom w:val="0"/>
      <w:divBdr>
        <w:top w:val="none" w:sz="0" w:space="0" w:color="auto"/>
        <w:left w:val="none" w:sz="0" w:space="0" w:color="auto"/>
        <w:bottom w:val="none" w:sz="0" w:space="0" w:color="auto"/>
        <w:right w:val="none" w:sz="0" w:space="0" w:color="auto"/>
      </w:divBdr>
    </w:div>
    <w:div w:id="392704362">
      <w:bodyDiv w:val="1"/>
      <w:marLeft w:val="0"/>
      <w:marRight w:val="0"/>
      <w:marTop w:val="0"/>
      <w:marBottom w:val="0"/>
      <w:divBdr>
        <w:top w:val="none" w:sz="0" w:space="0" w:color="auto"/>
        <w:left w:val="none" w:sz="0" w:space="0" w:color="auto"/>
        <w:bottom w:val="none" w:sz="0" w:space="0" w:color="auto"/>
        <w:right w:val="none" w:sz="0" w:space="0" w:color="auto"/>
      </w:divBdr>
    </w:div>
    <w:div w:id="392778147">
      <w:bodyDiv w:val="1"/>
      <w:marLeft w:val="0"/>
      <w:marRight w:val="0"/>
      <w:marTop w:val="0"/>
      <w:marBottom w:val="0"/>
      <w:divBdr>
        <w:top w:val="none" w:sz="0" w:space="0" w:color="auto"/>
        <w:left w:val="none" w:sz="0" w:space="0" w:color="auto"/>
        <w:bottom w:val="none" w:sz="0" w:space="0" w:color="auto"/>
        <w:right w:val="none" w:sz="0" w:space="0" w:color="auto"/>
      </w:divBdr>
    </w:div>
    <w:div w:id="392893683">
      <w:bodyDiv w:val="1"/>
      <w:marLeft w:val="0"/>
      <w:marRight w:val="0"/>
      <w:marTop w:val="0"/>
      <w:marBottom w:val="0"/>
      <w:divBdr>
        <w:top w:val="none" w:sz="0" w:space="0" w:color="auto"/>
        <w:left w:val="none" w:sz="0" w:space="0" w:color="auto"/>
        <w:bottom w:val="none" w:sz="0" w:space="0" w:color="auto"/>
        <w:right w:val="none" w:sz="0" w:space="0" w:color="auto"/>
      </w:divBdr>
    </w:div>
    <w:div w:id="392971895">
      <w:bodyDiv w:val="1"/>
      <w:marLeft w:val="0"/>
      <w:marRight w:val="0"/>
      <w:marTop w:val="0"/>
      <w:marBottom w:val="0"/>
      <w:divBdr>
        <w:top w:val="none" w:sz="0" w:space="0" w:color="auto"/>
        <w:left w:val="none" w:sz="0" w:space="0" w:color="auto"/>
        <w:bottom w:val="none" w:sz="0" w:space="0" w:color="auto"/>
        <w:right w:val="none" w:sz="0" w:space="0" w:color="auto"/>
      </w:divBdr>
    </w:div>
    <w:div w:id="393087999">
      <w:bodyDiv w:val="1"/>
      <w:marLeft w:val="0"/>
      <w:marRight w:val="0"/>
      <w:marTop w:val="0"/>
      <w:marBottom w:val="0"/>
      <w:divBdr>
        <w:top w:val="none" w:sz="0" w:space="0" w:color="auto"/>
        <w:left w:val="none" w:sz="0" w:space="0" w:color="auto"/>
        <w:bottom w:val="none" w:sz="0" w:space="0" w:color="auto"/>
        <w:right w:val="none" w:sz="0" w:space="0" w:color="auto"/>
      </w:divBdr>
    </w:div>
    <w:div w:id="393241565">
      <w:bodyDiv w:val="1"/>
      <w:marLeft w:val="0"/>
      <w:marRight w:val="0"/>
      <w:marTop w:val="0"/>
      <w:marBottom w:val="0"/>
      <w:divBdr>
        <w:top w:val="none" w:sz="0" w:space="0" w:color="auto"/>
        <w:left w:val="none" w:sz="0" w:space="0" w:color="auto"/>
        <w:bottom w:val="none" w:sz="0" w:space="0" w:color="auto"/>
        <w:right w:val="none" w:sz="0" w:space="0" w:color="auto"/>
      </w:divBdr>
    </w:div>
    <w:div w:id="393352825">
      <w:bodyDiv w:val="1"/>
      <w:marLeft w:val="0"/>
      <w:marRight w:val="0"/>
      <w:marTop w:val="0"/>
      <w:marBottom w:val="0"/>
      <w:divBdr>
        <w:top w:val="none" w:sz="0" w:space="0" w:color="auto"/>
        <w:left w:val="none" w:sz="0" w:space="0" w:color="auto"/>
        <w:bottom w:val="none" w:sz="0" w:space="0" w:color="auto"/>
        <w:right w:val="none" w:sz="0" w:space="0" w:color="auto"/>
      </w:divBdr>
    </w:div>
    <w:div w:id="393427995">
      <w:bodyDiv w:val="1"/>
      <w:marLeft w:val="0"/>
      <w:marRight w:val="0"/>
      <w:marTop w:val="0"/>
      <w:marBottom w:val="0"/>
      <w:divBdr>
        <w:top w:val="none" w:sz="0" w:space="0" w:color="auto"/>
        <w:left w:val="none" w:sz="0" w:space="0" w:color="auto"/>
        <w:bottom w:val="none" w:sz="0" w:space="0" w:color="auto"/>
        <w:right w:val="none" w:sz="0" w:space="0" w:color="auto"/>
      </w:divBdr>
    </w:div>
    <w:div w:id="393435555">
      <w:bodyDiv w:val="1"/>
      <w:marLeft w:val="0"/>
      <w:marRight w:val="0"/>
      <w:marTop w:val="0"/>
      <w:marBottom w:val="0"/>
      <w:divBdr>
        <w:top w:val="none" w:sz="0" w:space="0" w:color="auto"/>
        <w:left w:val="none" w:sz="0" w:space="0" w:color="auto"/>
        <w:bottom w:val="none" w:sz="0" w:space="0" w:color="auto"/>
        <w:right w:val="none" w:sz="0" w:space="0" w:color="auto"/>
      </w:divBdr>
    </w:div>
    <w:div w:id="393553881">
      <w:bodyDiv w:val="1"/>
      <w:marLeft w:val="0"/>
      <w:marRight w:val="0"/>
      <w:marTop w:val="0"/>
      <w:marBottom w:val="0"/>
      <w:divBdr>
        <w:top w:val="none" w:sz="0" w:space="0" w:color="auto"/>
        <w:left w:val="none" w:sz="0" w:space="0" w:color="auto"/>
        <w:bottom w:val="none" w:sz="0" w:space="0" w:color="auto"/>
        <w:right w:val="none" w:sz="0" w:space="0" w:color="auto"/>
      </w:divBdr>
    </w:div>
    <w:div w:id="393622589">
      <w:bodyDiv w:val="1"/>
      <w:marLeft w:val="0"/>
      <w:marRight w:val="0"/>
      <w:marTop w:val="0"/>
      <w:marBottom w:val="0"/>
      <w:divBdr>
        <w:top w:val="none" w:sz="0" w:space="0" w:color="auto"/>
        <w:left w:val="none" w:sz="0" w:space="0" w:color="auto"/>
        <w:bottom w:val="none" w:sz="0" w:space="0" w:color="auto"/>
        <w:right w:val="none" w:sz="0" w:space="0" w:color="auto"/>
      </w:divBdr>
    </w:div>
    <w:div w:id="393625251">
      <w:bodyDiv w:val="1"/>
      <w:marLeft w:val="0"/>
      <w:marRight w:val="0"/>
      <w:marTop w:val="0"/>
      <w:marBottom w:val="0"/>
      <w:divBdr>
        <w:top w:val="none" w:sz="0" w:space="0" w:color="auto"/>
        <w:left w:val="none" w:sz="0" w:space="0" w:color="auto"/>
        <w:bottom w:val="none" w:sz="0" w:space="0" w:color="auto"/>
        <w:right w:val="none" w:sz="0" w:space="0" w:color="auto"/>
      </w:divBdr>
    </w:div>
    <w:div w:id="393699941">
      <w:bodyDiv w:val="1"/>
      <w:marLeft w:val="0"/>
      <w:marRight w:val="0"/>
      <w:marTop w:val="0"/>
      <w:marBottom w:val="0"/>
      <w:divBdr>
        <w:top w:val="none" w:sz="0" w:space="0" w:color="auto"/>
        <w:left w:val="none" w:sz="0" w:space="0" w:color="auto"/>
        <w:bottom w:val="none" w:sz="0" w:space="0" w:color="auto"/>
        <w:right w:val="none" w:sz="0" w:space="0" w:color="auto"/>
      </w:divBdr>
    </w:div>
    <w:div w:id="393702125">
      <w:bodyDiv w:val="1"/>
      <w:marLeft w:val="0"/>
      <w:marRight w:val="0"/>
      <w:marTop w:val="0"/>
      <w:marBottom w:val="0"/>
      <w:divBdr>
        <w:top w:val="none" w:sz="0" w:space="0" w:color="auto"/>
        <w:left w:val="none" w:sz="0" w:space="0" w:color="auto"/>
        <w:bottom w:val="none" w:sz="0" w:space="0" w:color="auto"/>
        <w:right w:val="none" w:sz="0" w:space="0" w:color="auto"/>
      </w:divBdr>
    </w:div>
    <w:div w:id="393823419">
      <w:bodyDiv w:val="1"/>
      <w:marLeft w:val="0"/>
      <w:marRight w:val="0"/>
      <w:marTop w:val="0"/>
      <w:marBottom w:val="0"/>
      <w:divBdr>
        <w:top w:val="none" w:sz="0" w:space="0" w:color="auto"/>
        <w:left w:val="none" w:sz="0" w:space="0" w:color="auto"/>
        <w:bottom w:val="none" w:sz="0" w:space="0" w:color="auto"/>
        <w:right w:val="none" w:sz="0" w:space="0" w:color="auto"/>
      </w:divBdr>
    </w:div>
    <w:div w:id="393937092">
      <w:bodyDiv w:val="1"/>
      <w:marLeft w:val="0"/>
      <w:marRight w:val="0"/>
      <w:marTop w:val="0"/>
      <w:marBottom w:val="0"/>
      <w:divBdr>
        <w:top w:val="none" w:sz="0" w:space="0" w:color="auto"/>
        <w:left w:val="none" w:sz="0" w:space="0" w:color="auto"/>
        <w:bottom w:val="none" w:sz="0" w:space="0" w:color="auto"/>
        <w:right w:val="none" w:sz="0" w:space="0" w:color="auto"/>
      </w:divBdr>
    </w:div>
    <w:div w:id="394158006">
      <w:bodyDiv w:val="1"/>
      <w:marLeft w:val="0"/>
      <w:marRight w:val="0"/>
      <w:marTop w:val="0"/>
      <w:marBottom w:val="0"/>
      <w:divBdr>
        <w:top w:val="none" w:sz="0" w:space="0" w:color="auto"/>
        <w:left w:val="none" w:sz="0" w:space="0" w:color="auto"/>
        <w:bottom w:val="none" w:sz="0" w:space="0" w:color="auto"/>
        <w:right w:val="none" w:sz="0" w:space="0" w:color="auto"/>
      </w:divBdr>
    </w:div>
    <w:div w:id="394277260">
      <w:bodyDiv w:val="1"/>
      <w:marLeft w:val="0"/>
      <w:marRight w:val="0"/>
      <w:marTop w:val="0"/>
      <w:marBottom w:val="0"/>
      <w:divBdr>
        <w:top w:val="none" w:sz="0" w:space="0" w:color="auto"/>
        <w:left w:val="none" w:sz="0" w:space="0" w:color="auto"/>
        <w:bottom w:val="none" w:sz="0" w:space="0" w:color="auto"/>
        <w:right w:val="none" w:sz="0" w:space="0" w:color="auto"/>
      </w:divBdr>
    </w:div>
    <w:div w:id="394281399">
      <w:bodyDiv w:val="1"/>
      <w:marLeft w:val="0"/>
      <w:marRight w:val="0"/>
      <w:marTop w:val="0"/>
      <w:marBottom w:val="0"/>
      <w:divBdr>
        <w:top w:val="none" w:sz="0" w:space="0" w:color="auto"/>
        <w:left w:val="none" w:sz="0" w:space="0" w:color="auto"/>
        <w:bottom w:val="none" w:sz="0" w:space="0" w:color="auto"/>
        <w:right w:val="none" w:sz="0" w:space="0" w:color="auto"/>
      </w:divBdr>
    </w:div>
    <w:div w:id="394357017">
      <w:bodyDiv w:val="1"/>
      <w:marLeft w:val="0"/>
      <w:marRight w:val="0"/>
      <w:marTop w:val="0"/>
      <w:marBottom w:val="0"/>
      <w:divBdr>
        <w:top w:val="none" w:sz="0" w:space="0" w:color="auto"/>
        <w:left w:val="none" w:sz="0" w:space="0" w:color="auto"/>
        <w:bottom w:val="none" w:sz="0" w:space="0" w:color="auto"/>
        <w:right w:val="none" w:sz="0" w:space="0" w:color="auto"/>
      </w:divBdr>
    </w:div>
    <w:div w:id="394476156">
      <w:bodyDiv w:val="1"/>
      <w:marLeft w:val="0"/>
      <w:marRight w:val="0"/>
      <w:marTop w:val="0"/>
      <w:marBottom w:val="0"/>
      <w:divBdr>
        <w:top w:val="none" w:sz="0" w:space="0" w:color="auto"/>
        <w:left w:val="none" w:sz="0" w:space="0" w:color="auto"/>
        <w:bottom w:val="none" w:sz="0" w:space="0" w:color="auto"/>
        <w:right w:val="none" w:sz="0" w:space="0" w:color="auto"/>
      </w:divBdr>
    </w:div>
    <w:div w:id="394476932">
      <w:bodyDiv w:val="1"/>
      <w:marLeft w:val="0"/>
      <w:marRight w:val="0"/>
      <w:marTop w:val="0"/>
      <w:marBottom w:val="0"/>
      <w:divBdr>
        <w:top w:val="none" w:sz="0" w:space="0" w:color="auto"/>
        <w:left w:val="none" w:sz="0" w:space="0" w:color="auto"/>
        <w:bottom w:val="none" w:sz="0" w:space="0" w:color="auto"/>
        <w:right w:val="none" w:sz="0" w:space="0" w:color="auto"/>
      </w:divBdr>
    </w:div>
    <w:div w:id="394662696">
      <w:bodyDiv w:val="1"/>
      <w:marLeft w:val="0"/>
      <w:marRight w:val="0"/>
      <w:marTop w:val="0"/>
      <w:marBottom w:val="0"/>
      <w:divBdr>
        <w:top w:val="none" w:sz="0" w:space="0" w:color="auto"/>
        <w:left w:val="none" w:sz="0" w:space="0" w:color="auto"/>
        <w:bottom w:val="none" w:sz="0" w:space="0" w:color="auto"/>
        <w:right w:val="none" w:sz="0" w:space="0" w:color="auto"/>
      </w:divBdr>
    </w:div>
    <w:div w:id="394663473">
      <w:bodyDiv w:val="1"/>
      <w:marLeft w:val="0"/>
      <w:marRight w:val="0"/>
      <w:marTop w:val="0"/>
      <w:marBottom w:val="0"/>
      <w:divBdr>
        <w:top w:val="none" w:sz="0" w:space="0" w:color="auto"/>
        <w:left w:val="none" w:sz="0" w:space="0" w:color="auto"/>
        <w:bottom w:val="none" w:sz="0" w:space="0" w:color="auto"/>
        <w:right w:val="none" w:sz="0" w:space="0" w:color="auto"/>
      </w:divBdr>
    </w:div>
    <w:div w:id="394664087">
      <w:bodyDiv w:val="1"/>
      <w:marLeft w:val="0"/>
      <w:marRight w:val="0"/>
      <w:marTop w:val="0"/>
      <w:marBottom w:val="0"/>
      <w:divBdr>
        <w:top w:val="none" w:sz="0" w:space="0" w:color="auto"/>
        <w:left w:val="none" w:sz="0" w:space="0" w:color="auto"/>
        <w:bottom w:val="none" w:sz="0" w:space="0" w:color="auto"/>
        <w:right w:val="none" w:sz="0" w:space="0" w:color="auto"/>
      </w:divBdr>
    </w:div>
    <w:div w:id="394740549">
      <w:bodyDiv w:val="1"/>
      <w:marLeft w:val="0"/>
      <w:marRight w:val="0"/>
      <w:marTop w:val="0"/>
      <w:marBottom w:val="0"/>
      <w:divBdr>
        <w:top w:val="none" w:sz="0" w:space="0" w:color="auto"/>
        <w:left w:val="none" w:sz="0" w:space="0" w:color="auto"/>
        <w:bottom w:val="none" w:sz="0" w:space="0" w:color="auto"/>
        <w:right w:val="none" w:sz="0" w:space="0" w:color="auto"/>
      </w:divBdr>
    </w:div>
    <w:div w:id="394742358">
      <w:bodyDiv w:val="1"/>
      <w:marLeft w:val="0"/>
      <w:marRight w:val="0"/>
      <w:marTop w:val="0"/>
      <w:marBottom w:val="0"/>
      <w:divBdr>
        <w:top w:val="none" w:sz="0" w:space="0" w:color="auto"/>
        <w:left w:val="none" w:sz="0" w:space="0" w:color="auto"/>
        <w:bottom w:val="none" w:sz="0" w:space="0" w:color="auto"/>
        <w:right w:val="none" w:sz="0" w:space="0" w:color="auto"/>
      </w:divBdr>
    </w:div>
    <w:div w:id="394814433">
      <w:bodyDiv w:val="1"/>
      <w:marLeft w:val="0"/>
      <w:marRight w:val="0"/>
      <w:marTop w:val="0"/>
      <w:marBottom w:val="0"/>
      <w:divBdr>
        <w:top w:val="none" w:sz="0" w:space="0" w:color="auto"/>
        <w:left w:val="none" w:sz="0" w:space="0" w:color="auto"/>
        <w:bottom w:val="none" w:sz="0" w:space="0" w:color="auto"/>
        <w:right w:val="none" w:sz="0" w:space="0" w:color="auto"/>
      </w:divBdr>
    </w:div>
    <w:div w:id="394860218">
      <w:bodyDiv w:val="1"/>
      <w:marLeft w:val="0"/>
      <w:marRight w:val="0"/>
      <w:marTop w:val="0"/>
      <w:marBottom w:val="0"/>
      <w:divBdr>
        <w:top w:val="none" w:sz="0" w:space="0" w:color="auto"/>
        <w:left w:val="none" w:sz="0" w:space="0" w:color="auto"/>
        <w:bottom w:val="none" w:sz="0" w:space="0" w:color="auto"/>
        <w:right w:val="none" w:sz="0" w:space="0" w:color="auto"/>
      </w:divBdr>
    </w:div>
    <w:div w:id="394931077">
      <w:bodyDiv w:val="1"/>
      <w:marLeft w:val="0"/>
      <w:marRight w:val="0"/>
      <w:marTop w:val="0"/>
      <w:marBottom w:val="0"/>
      <w:divBdr>
        <w:top w:val="none" w:sz="0" w:space="0" w:color="auto"/>
        <w:left w:val="none" w:sz="0" w:space="0" w:color="auto"/>
        <w:bottom w:val="none" w:sz="0" w:space="0" w:color="auto"/>
        <w:right w:val="none" w:sz="0" w:space="0" w:color="auto"/>
      </w:divBdr>
    </w:div>
    <w:div w:id="394938834">
      <w:bodyDiv w:val="1"/>
      <w:marLeft w:val="0"/>
      <w:marRight w:val="0"/>
      <w:marTop w:val="0"/>
      <w:marBottom w:val="0"/>
      <w:divBdr>
        <w:top w:val="none" w:sz="0" w:space="0" w:color="auto"/>
        <w:left w:val="none" w:sz="0" w:space="0" w:color="auto"/>
        <w:bottom w:val="none" w:sz="0" w:space="0" w:color="auto"/>
        <w:right w:val="none" w:sz="0" w:space="0" w:color="auto"/>
      </w:divBdr>
    </w:div>
    <w:div w:id="395013471">
      <w:bodyDiv w:val="1"/>
      <w:marLeft w:val="0"/>
      <w:marRight w:val="0"/>
      <w:marTop w:val="0"/>
      <w:marBottom w:val="0"/>
      <w:divBdr>
        <w:top w:val="none" w:sz="0" w:space="0" w:color="auto"/>
        <w:left w:val="none" w:sz="0" w:space="0" w:color="auto"/>
        <w:bottom w:val="none" w:sz="0" w:space="0" w:color="auto"/>
        <w:right w:val="none" w:sz="0" w:space="0" w:color="auto"/>
      </w:divBdr>
    </w:div>
    <w:div w:id="395082458">
      <w:bodyDiv w:val="1"/>
      <w:marLeft w:val="0"/>
      <w:marRight w:val="0"/>
      <w:marTop w:val="0"/>
      <w:marBottom w:val="0"/>
      <w:divBdr>
        <w:top w:val="none" w:sz="0" w:space="0" w:color="auto"/>
        <w:left w:val="none" w:sz="0" w:space="0" w:color="auto"/>
        <w:bottom w:val="none" w:sz="0" w:space="0" w:color="auto"/>
        <w:right w:val="none" w:sz="0" w:space="0" w:color="auto"/>
      </w:divBdr>
    </w:div>
    <w:div w:id="395125532">
      <w:bodyDiv w:val="1"/>
      <w:marLeft w:val="0"/>
      <w:marRight w:val="0"/>
      <w:marTop w:val="0"/>
      <w:marBottom w:val="0"/>
      <w:divBdr>
        <w:top w:val="none" w:sz="0" w:space="0" w:color="auto"/>
        <w:left w:val="none" w:sz="0" w:space="0" w:color="auto"/>
        <w:bottom w:val="none" w:sz="0" w:space="0" w:color="auto"/>
        <w:right w:val="none" w:sz="0" w:space="0" w:color="auto"/>
      </w:divBdr>
    </w:div>
    <w:div w:id="395126201">
      <w:bodyDiv w:val="1"/>
      <w:marLeft w:val="0"/>
      <w:marRight w:val="0"/>
      <w:marTop w:val="0"/>
      <w:marBottom w:val="0"/>
      <w:divBdr>
        <w:top w:val="none" w:sz="0" w:space="0" w:color="auto"/>
        <w:left w:val="none" w:sz="0" w:space="0" w:color="auto"/>
        <w:bottom w:val="none" w:sz="0" w:space="0" w:color="auto"/>
        <w:right w:val="none" w:sz="0" w:space="0" w:color="auto"/>
      </w:divBdr>
    </w:div>
    <w:div w:id="395209091">
      <w:bodyDiv w:val="1"/>
      <w:marLeft w:val="0"/>
      <w:marRight w:val="0"/>
      <w:marTop w:val="0"/>
      <w:marBottom w:val="0"/>
      <w:divBdr>
        <w:top w:val="none" w:sz="0" w:space="0" w:color="auto"/>
        <w:left w:val="none" w:sz="0" w:space="0" w:color="auto"/>
        <w:bottom w:val="none" w:sz="0" w:space="0" w:color="auto"/>
        <w:right w:val="none" w:sz="0" w:space="0" w:color="auto"/>
      </w:divBdr>
    </w:div>
    <w:div w:id="395320064">
      <w:bodyDiv w:val="1"/>
      <w:marLeft w:val="0"/>
      <w:marRight w:val="0"/>
      <w:marTop w:val="0"/>
      <w:marBottom w:val="0"/>
      <w:divBdr>
        <w:top w:val="none" w:sz="0" w:space="0" w:color="auto"/>
        <w:left w:val="none" w:sz="0" w:space="0" w:color="auto"/>
        <w:bottom w:val="none" w:sz="0" w:space="0" w:color="auto"/>
        <w:right w:val="none" w:sz="0" w:space="0" w:color="auto"/>
      </w:divBdr>
    </w:div>
    <w:div w:id="395323798">
      <w:bodyDiv w:val="1"/>
      <w:marLeft w:val="0"/>
      <w:marRight w:val="0"/>
      <w:marTop w:val="0"/>
      <w:marBottom w:val="0"/>
      <w:divBdr>
        <w:top w:val="none" w:sz="0" w:space="0" w:color="auto"/>
        <w:left w:val="none" w:sz="0" w:space="0" w:color="auto"/>
        <w:bottom w:val="none" w:sz="0" w:space="0" w:color="auto"/>
        <w:right w:val="none" w:sz="0" w:space="0" w:color="auto"/>
      </w:divBdr>
    </w:div>
    <w:div w:id="395398573">
      <w:bodyDiv w:val="1"/>
      <w:marLeft w:val="0"/>
      <w:marRight w:val="0"/>
      <w:marTop w:val="0"/>
      <w:marBottom w:val="0"/>
      <w:divBdr>
        <w:top w:val="none" w:sz="0" w:space="0" w:color="auto"/>
        <w:left w:val="none" w:sz="0" w:space="0" w:color="auto"/>
        <w:bottom w:val="none" w:sz="0" w:space="0" w:color="auto"/>
        <w:right w:val="none" w:sz="0" w:space="0" w:color="auto"/>
      </w:divBdr>
    </w:div>
    <w:div w:id="395471933">
      <w:bodyDiv w:val="1"/>
      <w:marLeft w:val="0"/>
      <w:marRight w:val="0"/>
      <w:marTop w:val="0"/>
      <w:marBottom w:val="0"/>
      <w:divBdr>
        <w:top w:val="none" w:sz="0" w:space="0" w:color="auto"/>
        <w:left w:val="none" w:sz="0" w:space="0" w:color="auto"/>
        <w:bottom w:val="none" w:sz="0" w:space="0" w:color="auto"/>
        <w:right w:val="none" w:sz="0" w:space="0" w:color="auto"/>
      </w:divBdr>
    </w:div>
    <w:div w:id="395473548">
      <w:bodyDiv w:val="1"/>
      <w:marLeft w:val="0"/>
      <w:marRight w:val="0"/>
      <w:marTop w:val="0"/>
      <w:marBottom w:val="0"/>
      <w:divBdr>
        <w:top w:val="none" w:sz="0" w:space="0" w:color="auto"/>
        <w:left w:val="none" w:sz="0" w:space="0" w:color="auto"/>
        <w:bottom w:val="none" w:sz="0" w:space="0" w:color="auto"/>
        <w:right w:val="none" w:sz="0" w:space="0" w:color="auto"/>
      </w:divBdr>
    </w:div>
    <w:div w:id="395476966">
      <w:bodyDiv w:val="1"/>
      <w:marLeft w:val="0"/>
      <w:marRight w:val="0"/>
      <w:marTop w:val="0"/>
      <w:marBottom w:val="0"/>
      <w:divBdr>
        <w:top w:val="none" w:sz="0" w:space="0" w:color="auto"/>
        <w:left w:val="none" w:sz="0" w:space="0" w:color="auto"/>
        <w:bottom w:val="none" w:sz="0" w:space="0" w:color="auto"/>
        <w:right w:val="none" w:sz="0" w:space="0" w:color="auto"/>
      </w:divBdr>
    </w:div>
    <w:div w:id="395514753">
      <w:bodyDiv w:val="1"/>
      <w:marLeft w:val="0"/>
      <w:marRight w:val="0"/>
      <w:marTop w:val="0"/>
      <w:marBottom w:val="0"/>
      <w:divBdr>
        <w:top w:val="none" w:sz="0" w:space="0" w:color="auto"/>
        <w:left w:val="none" w:sz="0" w:space="0" w:color="auto"/>
        <w:bottom w:val="none" w:sz="0" w:space="0" w:color="auto"/>
        <w:right w:val="none" w:sz="0" w:space="0" w:color="auto"/>
      </w:divBdr>
    </w:div>
    <w:div w:id="395517924">
      <w:bodyDiv w:val="1"/>
      <w:marLeft w:val="0"/>
      <w:marRight w:val="0"/>
      <w:marTop w:val="0"/>
      <w:marBottom w:val="0"/>
      <w:divBdr>
        <w:top w:val="none" w:sz="0" w:space="0" w:color="auto"/>
        <w:left w:val="none" w:sz="0" w:space="0" w:color="auto"/>
        <w:bottom w:val="none" w:sz="0" w:space="0" w:color="auto"/>
        <w:right w:val="none" w:sz="0" w:space="0" w:color="auto"/>
      </w:divBdr>
    </w:div>
    <w:div w:id="395662419">
      <w:bodyDiv w:val="1"/>
      <w:marLeft w:val="0"/>
      <w:marRight w:val="0"/>
      <w:marTop w:val="0"/>
      <w:marBottom w:val="0"/>
      <w:divBdr>
        <w:top w:val="none" w:sz="0" w:space="0" w:color="auto"/>
        <w:left w:val="none" w:sz="0" w:space="0" w:color="auto"/>
        <w:bottom w:val="none" w:sz="0" w:space="0" w:color="auto"/>
        <w:right w:val="none" w:sz="0" w:space="0" w:color="auto"/>
      </w:divBdr>
    </w:div>
    <w:div w:id="395669773">
      <w:bodyDiv w:val="1"/>
      <w:marLeft w:val="0"/>
      <w:marRight w:val="0"/>
      <w:marTop w:val="0"/>
      <w:marBottom w:val="0"/>
      <w:divBdr>
        <w:top w:val="none" w:sz="0" w:space="0" w:color="auto"/>
        <w:left w:val="none" w:sz="0" w:space="0" w:color="auto"/>
        <w:bottom w:val="none" w:sz="0" w:space="0" w:color="auto"/>
        <w:right w:val="none" w:sz="0" w:space="0" w:color="auto"/>
      </w:divBdr>
    </w:div>
    <w:div w:id="395709134">
      <w:bodyDiv w:val="1"/>
      <w:marLeft w:val="0"/>
      <w:marRight w:val="0"/>
      <w:marTop w:val="0"/>
      <w:marBottom w:val="0"/>
      <w:divBdr>
        <w:top w:val="none" w:sz="0" w:space="0" w:color="auto"/>
        <w:left w:val="none" w:sz="0" w:space="0" w:color="auto"/>
        <w:bottom w:val="none" w:sz="0" w:space="0" w:color="auto"/>
        <w:right w:val="none" w:sz="0" w:space="0" w:color="auto"/>
      </w:divBdr>
    </w:div>
    <w:div w:id="395709299">
      <w:bodyDiv w:val="1"/>
      <w:marLeft w:val="0"/>
      <w:marRight w:val="0"/>
      <w:marTop w:val="0"/>
      <w:marBottom w:val="0"/>
      <w:divBdr>
        <w:top w:val="none" w:sz="0" w:space="0" w:color="auto"/>
        <w:left w:val="none" w:sz="0" w:space="0" w:color="auto"/>
        <w:bottom w:val="none" w:sz="0" w:space="0" w:color="auto"/>
        <w:right w:val="none" w:sz="0" w:space="0" w:color="auto"/>
      </w:divBdr>
    </w:div>
    <w:div w:id="395781221">
      <w:bodyDiv w:val="1"/>
      <w:marLeft w:val="0"/>
      <w:marRight w:val="0"/>
      <w:marTop w:val="0"/>
      <w:marBottom w:val="0"/>
      <w:divBdr>
        <w:top w:val="none" w:sz="0" w:space="0" w:color="auto"/>
        <w:left w:val="none" w:sz="0" w:space="0" w:color="auto"/>
        <w:bottom w:val="none" w:sz="0" w:space="0" w:color="auto"/>
        <w:right w:val="none" w:sz="0" w:space="0" w:color="auto"/>
      </w:divBdr>
    </w:div>
    <w:div w:id="395855066">
      <w:bodyDiv w:val="1"/>
      <w:marLeft w:val="0"/>
      <w:marRight w:val="0"/>
      <w:marTop w:val="0"/>
      <w:marBottom w:val="0"/>
      <w:divBdr>
        <w:top w:val="none" w:sz="0" w:space="0" w:color="auto"/>
        <w:left w:val="none" w:sz="0" w:space="0" w:color="auto"/>
        <w:bottom w:val="none" w:sz="0" w:space="0" w:color="auto"/>
        <w:right w:val="none" w:sz="0" w:space="0" w:color="auto"/>
      </w:divBdr>
    </w:div>
    <w:div w:id="395856891">
      <w:bodyDiv w:val="1"/>
      <w:marLeft w:val="0"/>
      <w:marRight w:val="0"/>
      <w:marTop w:val="0"/>
      <w:marBottom w:val="0"/>
      <w:divBdr>
        <w:top w:val="none" w:sz="0" w:space="0" w:color="auto"/>
        <w:left w:val="none" w:sz="0" w:space="0" w:color="auto"/>
        <w:bottom w:val="none" w:sz="0" w:space="0" w:color="auto"/>
        <w:right w:val="none" w:sz="0" w:space="0" w:color="auto"/>
      </w:divBdr>
    </w:div>
    <w:div w:id="395860928">
      <w:bodyDiv w:val="1"/>
      <w:marLeft w:val="0"/>
      <w:marRight w:val="0"/>
      <w:marTop w:val="0"/>
      <w:marBottom w:val="0"/>
      <w:divBdr>
        <w:top w:val="none" w:sz="0" w:space="0" w:color="auto"/>
        <w:left w:val="none" w:sz="0" w:space="0" w:color="auto"/>
        <w:bottom w:val="none" w:sz="0" w:space="0" w:color="auto"/>
        <w:right w:val="none" w:sz="0" w:space="0" w:color="auto"/>
      </w:divBdr>
    </w:div>
    <w:div w:id="395906852">
      <w:bodyDiv w:val="1"/>
      <w:marLeft w:val="0"/>
      <w:marRight w:val="0"/>
      <w:marTop w:val="0"/>
      <w:marBottom w:val="0"/>
      <w:divBdr>
        <w:top w:val="none" w:sz="0" w:space="0" w:color="auto"/>
        <w:left w:val="none" w:sz="0" w:space="0" w:color="auto"/>
        <w:bottom w:val="none" w:sz="0" w:space="0" w:color="auto"/>
        <w:right w:val="none" w:sz="0" w:space="0" w:color="auto"/>
      </w:divBdr>
    </w:div>
    <w:div w:id="396052490">
      <w:bodyDiv w:val="1"/>
      <w:marLeft w:val="0"/>
      <w:marRight w:val="0"/>
      <w:marTop w:val="0"/>
      <w:marBottom w:val="0"/>
      <w:divBdr>
        <w:top w:val="none" w:sz="0" w:space="0" w:color="auto"/>
        <w:left w:val="none" w:sz="0" w:space="0" w:color="auto"/>
        <w:bottom w:val="none" w:sz="0" w:space="0" w:color="auto"/>
        <w:right w:val="none" w:sz="0" w:space="0" w:color="auto"/>
      </w:divBdr>
    </w:div>
    <w:div w:id="396167595">
      <w:bodyDiv w:val="1"/>
      <w:marLeft w:val="0"/>
      <w:marRight w:val="0"/>
      <w:marTop w:val="0"/>
      <w:marBottom w:val="0"/>
      <w:divBdr>
        <w:top w:val="none" w:sz="0" w:space="0" w:color="auto"/>
        <w:left w:val="none" w:sz="0" w:space="0" w:color="auto"/>
        <w:bottom w:val="none" w:sz="0" w:space="0" w:color="auto"/>
        <w:right w:val="none" w:sz="0" w:space="0" w:color="auto"/>
      </w:divBdr>
    </w:div>
    <w:div w:id="396321688">
      <w:bodyDiv w:val="1"/>
      <w:marLeft w:val="0"/>
      <w:marRight w:val="0"/>
      <w:marTop w:val="0"/>
      <w:marBottom w:val="0"/>
      <w:divBdr>
        <w:top w:val="none" w:sz="0" w:space="0" w:color="auto"/>
        <w:left w:val="none" w:sz="0" w:space="0" w:color="auto"/>
        <w:bottom w:val="none" w:sz="0" w:space="0" w:color="auto"/>
        <w:right w:val="none" w:sz="0" w:space="0" w:color="auto"/>
      </w:divBdr>
    </w:div>
    <w:div w:id="396363113">
      <w:bodyDiv w:val="1"/>
      <w:marLeft w:val="0"/>
      <w:marRight w:val="0"/>
      <w:marTop w:val="0"/>
      <w:marBottom w:val="0"/>
      <w:divBdr>
        <w:top w:val="none" w:sz="0" w:space="0" w:color="auto"/>
        <w:left w:val="none" w:sz="0" w:space="0" w:color="auto"/>
        <w:bottom w:val="none" w:sz="0" w:space="0" w:color="auto"/>
        <w:right w:val="none" w:sz="0" w:space="0" w:color="auto"/>
      </w:divBdr>
    </w:div>
    <w:div w:id="396443031">
      <w:bodyDiv w:val="1"/>
      <w:marLeft w:val="0"/>
      <w:marRight w:val="0"/>
      <w:marTop w:val="0"/>
      <w:marBottom w:val="0"/>
      <w:divBdr>
        <w:top w:val="none" w:sz="0" w:space="0" w:color="auto"/>
        <w:left w:val="none" w:sz="0" w:space="0" w:color="auto"/>
        <w:bottom w:val="none" w:sz="0" w:space="0" w:color="auto"/>
        <w:right w:val="none" w:sz="0" w:space="0" w:color="auto"/>
      </w:divBdr>
    </w:div>
    <w:div w:id="396444562">
      <w:bodyDiv w:val="1"/>
      <w:marLeft w:val="0"/>
      <w:marRight w:val="0"/>
      <w:marTop w:val="0"/>
      <w:marBottom w:val="0"/>
      <w:divBdr>
        <w:top w:val="none" w:sz="0" w:space="0" w:color="auto"/>
        <w:left w:val="none" w:sz="0" w:space="0" w:color="auto"/>
        <w:bottom w:val="none" w:sz="0" w:space="0" w:color="auto"/>
        <w:right w:val="none" w:sz="0" w:space="0" w:color="auto"/>
      </w:divBdr>
    </w:div>
    <w:div w:id="396559551">
      <w:bodyDiv w:val="1"/>
      <w:marLeft w:val="0"/>
      <w:marRight w:val="0"/>
      <w:marTop w:val="0"/>
      <w:marBottom w:val="0"/>
      <w:divBdr>
        <w:top w:val="none" w:sz="0" w:space="0" w:color="auto"/>
        <w:left w:val="none" w:sz="0" w:space="0" w:color="auto"/>
        <w:bottom w:val="none" w:sz="0" w:space="0" w:color="auto"/>
        <w:right w:val="none" w:sz="0" w:space="0" w:color="auto"/>
      </w:divBdr>
    </w:div>
    <w:div w:id="396630339">
      <w:bodyDiv w:val="1"/>
      <w:marLeft w:val="0"/>
      <w:marRight w:val="0"/>
      <w:marTop w:val="0"/>
      <w:marBottom w:val="0"/>
      <w:divBdr>
        <w:top w:val="none" w:sz="0" w:space="0" w:color="auto"/>
        <w:left w:val="none" w:sz="0" w:space="0" w:color="auto"/>
        <w:bottom w:val="none" w:sz="0" w:space="0" w:color="auto"/>
        <w:right w:val="none" w:sz="0" w:space="0" w:color="auto"/>
      </w:divBdr>
    </w:div>
    <w:div w:id="396631078">
      <w:bodyDiv w:val="1"/>
      <w:marLeft w:val="0"/>
      <w:marRight w:val="0"/>
      <w:marTop w:val="0"/>
      <w:marBottom w:val="0"/>
      <w:divBdr>
        <w:top w:val="none" w:sz="0" w:space="0" w:color="auto"/>
        <w:left w:val="none" w:sz="0" w:space="0" w:color="auto"/>
        <w:bottom w:val="none" w:sz="0" w:space="0" w:color="auto"/>
        <w:right w:val="none" w:sz="0" w:space="0" w:color="auto"/>
      </w:divBdr>
    </w:div>
    <w:div w:id="396634382">
      <w:bodyDiv w:val="1"/>
      <w:marLeft w:val="0"/>
      <w:marRight w:val="0"/>
      <w:marTop w:val="0"/>
      <w:marBottom w:val="0"/>
      <w:divBdr>
        <w:top w:val="none" w:sz="0" w:space="0" w:color="auto"/>
        <w:left w:val="none" w:sz="0" w:space="0" w:color="auto"/>
        <w:bottom w:val="none" w:sz="0" w:space="0" w:color="auto"/>
        <w:right w:val="none" w:sz="0" w:space="0" w:color="auto"/>
      </w:divBdr>
    </w:div>
    <w:div w:id="396636308">
      <w:bodyDiv w:val="1"/>
      <w:marLeft w:val="0"/>
      <w:marRight w:val="0"/>
      <w:marTop w:val="0"/>
      <w:marBottom w:val="0"/>
      <w:divBdr>
        <w:top w:val="none" w:sz="0" w:space="0" w:color="auto"/>
        <w:left w:val="none" w:sz="0" w:space="0" w:color="auto"/>
        <w:bottom w:val="none" w:sz="0" w:space="0" w:color="auto"/>
        <w:right w:val="none" w:sz="0" w:space="0" w:color="auto"/>
      </w:divBdr>
    </w:div>
    <w:div w:id="396786059">
      <w:bodyDiv w:val="1"/>
      <w:marLeft w:val="0"/>
      <w:marRight w:val="0"/>
      <w:marTop w:val="0"/>
      <w:marBottom w:val="0"/>
      <w:divBdr>
        <w:top w:val="none" w:sz="0" w:space="0" w:color="auto"/>
        <w:left w:val="none" w:sz="0" w:space="0" w:color="auto"/>
        <w:bottom w:val="none" w:sz="0" w:space="0" w:color="auto"/>
        <w:right w:val="none" w:sz="0" w:space="0" w:color="auto"/>
      </w:divBdr>
    </w:div>
    <w:div w:id="396905382">
      <w:bodyDiv w:val="1"/>
      <w:marLeft w:val="0"/>
      <w:marRight w:val="0"/>
      <w:marTop w:val="0"/>
      <w:marBottom w:val="0"/>
      <w:divBdr>
        <w:top w:val="none" w:sz="0" w:space="0" w:color="auto"/>
        <w:left w:val="none" w:sz="0" w:space="0" w:color="auto"/>
        <w:bottom w:val="none" w:sz="0" w:space="0" w:color="auto"/>
        <w:right w:val="none" w:sz="0" w:space="0" w:color="auto"/>
      </w:divBdr>
    </w:div>
    <w:div w:id="396906461">
      <w:bodyDiv w:val="1"/>
      <w:marLeft w:val="0"/>
      <w:marRight w:val="0"/>
      <w:marTop w:val="0"/>
      <w:marBottom w:val="0"/>
      <w:divBdr>
        <w:top w:val="none" w:sz="0" w:space="0" w:color="auto"/>
        <w:left w:val="none" w:sz="0" w:space="0" w:color="auto"/>
        <w:bottom w:val="none" w:sz="0" w:space="0" w:color="auto"/>
        <w:right w:val="none" w:sz="0" w:space="0" w:color="auto"/>
      </w:divBdr>
    </w:div>
    <w:div w:id="396975822">
      <w:bodyDiv w:val="1"/>
      <w:marLeft w:val="0"/>
      <w:marRight w:val="0"/>
      <w:marTop w:val="0"/>
      <w:marBottom w:val="0"/>
      <w:divBdr>
        <w:top w:val="none" w:sz="0" w:space="0" w:color="auto"/>
        <w:left w:val="none" w:sz="0" w:space="0" w:color="auto"/>
        <w:bottom w:val="none" w:sz="0" w:space="0" w:color="auto"/>
        <w:right w:val="none" w:sz="0" w:space="0" w:color="auto"/>
      </w:divBdr>
    </w:div>
    <w:div w:id="397215015">
      <w:bodyDiv w:val="1"/>
      <w:marLeft w:val="0"/>
      <w:marRight w:val="0"/>
      <w:marTop w:val="0"/>
      <w:marBottom w:val="0"/>
      <w:divBdr>
        <w:top w:val="none" w:sz="0" w:space="0" w:color="auto"/>
        <w:left w:val="none" w:sz="0" w:space="0" w:color="auto"/>
        <w:bottom w:val="none" w:sz="0" w:space="0" w:color="auto"/>
        <w:right w:val="none" w:sz="0" w:space="0" w:color="auto"/>
      </w:divBdr>
    </w:div>
    <w:div w:id="397242831">
      <w:bodyDiv w:val="1"/>
      <w:marLeft w:val="0"/>
      <w:marRight w:val="0"/>
      <w:marTop w:val="0"/>
      <w:marBottom w:val="0"/>
      <w:divBdr>
        <w:top w:val="none" w:sz="0" w:space="0" w:color="auto"/>
        <w:left w:val="none" w:sz="0" w:space="0" w:color="auto"/>
        <w:bottom w:val="none" w:sz="0" w:space="0" w:color="auto"/>
        <w:right w:val="none" w:sz="0" w:space="0" w:color="auto"/>
      </w:divBdr>
    </w:div>
    <w:div w:id="397245086">
      <w:bodyDiv w:val="1"/>
      <w:marLeft w:val="0"/>
      <w:marRight w:val="0"/>
      <w:marTop w:val="0"/>
      <w:marBottom w:val="0"/>
      <w:divBdr>
        <w:top w:val="none" w:sz="0" w:space="0" w:color="auto"/>
        <w:left w:val="none" w:sz="0" w:space="0" w:color="auto"/>
        <w:bottom w:val="none" w:sz="0" w:space="0" w:color="auto"/>
        <w:right w:val="none" w:sz="0" w:space="0" w:color="auto"/>
      </w:divBdr>
    </w:div>
    <w:div w:id="397484786">
      <w:bodyDiv w:val="1"/>
      <w:marLeft w:val="0"/>
      <w:marRight w:val="0"/>
      <w:marTop w:val="0"/>
      <w:marBottom w:val="0"/>
      <w:divBdr>
        <w:top w:val="none" w:sz="0" w:space="0" w:color="auto"/>
        <w:left w:val="none" w:sz="0" w:space="0" w:color="auto"/>
        <w:bottom w:val="none" w:sz="0" w:space="0" w:color="auto"/>
        <w:right w:val="none" w:sz="0" w:space="0" w:color="auto"/>
      </w:divBdr>
    </w:div>
    <w:div w:id="397552329">
      <w:bodyDiv w:val="1"/>
      <w:marLeft w:val="0"/>
      <w:marRight w:val="0"/>
      <w:marTop w:val="0"/>
      <w:marBottom w:val="0"/>
      <w:divBdr>
        <w:top w:val="none" w:sz="0" w:space="0" w:color="auto"/>
        <w:left w:val="none" w:sz="0" w:space="0" w:color="auto"/>
        <w:bottom w:val="none" w:sz="0" w:space="0" w:color="auto"/>
        <w:right w:val="none" w:sz="0" w:space="0" w:color="auto"/>
      </w:divBdr>
    </w:div>
    <w:div w:id="397561636">
      <w:bodyDiv w:val="1"/>
      <w:marLeft w:val="0"/>
      <w:marRight w:val="0"/>
      <w:marTop w:val="0"/>
      <w:marBottom w:val="0"/>
      <w:divBdr>
        <w:top w:val="none" w:sz="0" w:space="0" w:color="auto"/>
        <w:left w:val="none" w:sz="0" w:space="0" w:color="auto"/>
        <w:bottom w:val="none" w:sz="0" w:space="0" w:color="auto"/>
        <w:right w:val="none" w:sz="0" w:space="0" w:color="auto"/>
      </w:divBdr>
    </w:div>
    <w:div w:id="397631662">
      <w:bodyDiv w:val="1"/>
      <w:marLeft w:val="0"/>
      <w:marRight w:val="0"/>
      <w:marTop w:val="0"/>
      <w:marBottom w:val="0"/>
      <w:divBdr>
        <w:top w:val="none" w:sz="0" w:space="0" w:color="auto"/>
        <w:left w:val="none" w:sz="0" w:space="0" w:color="auto"/>
        <w:bottom w:val="none" w:sz="0" w:space="0" w:color="auto"/>
        <w:right w:val="none" w:sz="0" w:space="0" w:color="auto"/>
      </w:divBdr>
    </w:div>
    <w:div w:id="397634644">
      <w:bodyDiv w:val="1"/>
      <w:marLeft w:val="0"/>
      <w:marRight w:val="0"/>
      <w:marTop w:val="0"/>
      <w:marBottom w:val="0"/>
      <w:divBdr>
        <w:top w:val="none" w:sz="0" w:space="0" w:color="auto"/>
        <w:left w:val="none" w:sz="0" w:space="0" w:color="auto"/>
        <w:bottom w:val="none" w:sz="0" w:space="0" w:color="auto"/>
        <w:right w:val="none" w:sz="0" w:space="0" w:color="auto"/>
      </w:divBdr>
    </w:div>
    <w:div w:id="397636398">
      <w:bodyDiv w:val="1"/>
      <w:marLeft w:val="0"/>
      <w:marRight w:val="0"/>
      <w:marTop w:val="0"/>
      <w:marBottom w:val="0"/>
      <w:divBdr>
        <w:top w:val="none" w:sz="0" w:space="0" w:color="auto"/>
        <w:left w:val="none" w:sz="0" w:space="0" w:color="auto"/>
        <w:bottom w:val="none" w:sz="0" w:space="0" w:color="auto"/>
        <w:right w:val="none" w:sz="0" w:space="0" w:color="auto"/>
      </w:divBdr>
    </w:div>
    <w:div w:id="397678279">
      <w:bodyDiv w:val="1"/>
      <w:marLeft w:val="0"/>
      <w:marRight w:val="0"/>
      <w:marTop w:val="0"/>
      <w:marBottom w:val="0"/>
      <w:divBdr>
        <w:top w:val="none" w:sz="0" w:space="0" w:color="auto"/>
        <w:left w:val="none" w:sz="0" w:space="0" w:color="auto"/>
        <w:bottom w:val="none" w:sz="0" w:space="0" w:color="auto"/>
        <w:right w:val="none" w:sz="0" w:space="0" w:color="auto"/>
      </w:divBdr>
    </w:div>
    <w:div w:id="397704520">
      <w:bodyDiv w:val="1"/>
      <w:marLeft w:val="0"/>
      <w:marRight w:val="0"/>
      <w:marTop w:val="0"/>
      <w:marBottom w:val="0"/>
      <w:divBdr>
        <w:top w:val="none" w:sz="0" w:space="0" w:color="auto"/>
        <w:left w:val="none" w:sz="0" w:space="0" w:color="auto"/>
        <w:bottom w:val="none" w:sz="0" w:space="0" w:color="auto"/>
        <w:right w:val="none" w:sz="0" w:space="0" w:color="auto"/>
      </w:divBdr>
    </w:div>
    <w:div w:id="397745805">
      <w:bodyDiv w:val="1"/>
      <w:marLeft w:val="0"/>
      <w:marRight w:val="0"/>
      <w:marTop w:val="0"/>
      <w:marBottom w:val="0"/>
      <w:divBdr>
        <w:top w:val="none" w:sz="0" w:space="0" w:color="auto"/>
        <w:left w:val="none" w:sz="0" w:space="0" w:color="auto"/>
        <w:bottom w:val="none" w:sz="0" w:space="0" w:color="auto"/>
        <w:right w:val="none" w:sz="0" w:space="0" w:color="auto"/>
      </w:divBdr>
    </w:div>
    <w:div w:id="397749385">
      <w:bodyDiv w:val="1"/>
      <w:marLeft w:val="0"/>
      <w:marRight w:val="0"/>
      <w:marTop w:val="0"/>
      <w:marBottom w:val="0"/>
      <w:divBdr>
        <w:top w:val="none" w:sz="0" w:space="0" w:color="auto"/>
        <w:left w:val="none" w:sz="0" w:space="0" w:color="auto"/>
        <w:bottom w:val="none" w:sz="0" w:space="0" w:color="auto"/>
        <w:right w:val="none" w:sz="0" w:space="0" w:color="auto"/>
      </w:divBdr>
    </w:div>
    <w:div w:id="397825399">
      <w:bodyDiv w:val="1"/>
      <w:marLeft w:val="0"/>
      <w:marRight w:val="0"/>
      <w:marTop w:val="0"/>
      <w:marBottom w:val="0"/>
      <w:divBdr>
        <w:top w:val="none" w:sz="0" w:space="0" w:color="auto"/>
        <w:left w:val="none" w:sz="0" w:space="0" w:color="auto"/>
        <w:bottom w:val="none" w:sz="0" w:space="0" w:color="auto"/>
        <w:right w:val="none" w:sz="0" w:space="0" w:color="auto"/>
      </w:divBdr>
    </w:div>
    <w:div w:id="397897911">
      <w:bodyDiv w:val="1"/>
      <w:marLeft w:val="0"/>
      <w:marRight w:val="0"/>
      <w:marTop w:val="0"/>
      <w:marBottom w:val="0"/>
      <w:divBdr>
        <w:top w:val="none" w:sz="0" w:space="0" w:color="auto"/>
        <w:left w:val="none" w:sz="0" w:space="0" w:color="auto"/>
        <w:bottom w:val="none" w:sz="0" w:space="0" w:color="auto"/>
        <w:right w:val="none" w:sz="0" w:space="0" w:color="auto"/>
      </w:divBdr>
    </w:div>
    <w:div w:id="397938695">
      <w:bodyDiv w:val="1"/>
      <w:marLeft w:val="0"/>
      <w:marRight w:val="0"/>
      <w:marTop w:val="0"/>
      <w:marBottom w:val="0"/>
      <w:divBdr>
        <w:top w:val="none" w:sz="0" w:space="0" w:color="auto"/>
        <w:left w:val="none" w:sz="0" w:space="0" w:color="auto"/>
        <w:bottom w:val="none" w:sz="0" w:space="0" w:color="auto"/>
        <w:right w:val="none" w:sz="0" w:space="0" w:color="auto"/>
      </w:divBdr>
    </w:div>
    <w:div w:id="397946974">
      <w:bodyDiv w:val="1"/>
      <w:marLeft w:val="0"/>
      <w:marRight w:val="0"/>
      <w:marTop w:val="0"/>
      <w:marBottom w:val="0"/>
      <w:divBdr>
        <w:top w:val="none" w:sz="0" w:space="0" w:color="auto"/>
        <w:left w:val="none" w:sz="0" w:space="0" w:color="auto"/>
        <w:bottom w:val="none" w:sz="0" w:space="0" w:color="auto"/>
        <w:right w:val="none" w:sz="0" w:space="0" w:color="auto"/>
      </w:divBdr>
    </w:div>
    <w:div w:id="398023737">
      <w:bodyDiv w:val="1"/>
      <w:marLeft w:val="0"/>
      <w:marRight w:val="0"/>
      <w:marTop w:val="0"/>
      <w:marBottom w:val="0"/>
      <w:divBdr>
        <w:top w:val="none" w:sz="0" w:space="0" w:color="auto"/>
        <w:left w:val="none" w:sz="0" w:space="0" w:color="auto"/>
        <w:bottom w:val="none" w:sz="0" w:space="0" w:color="auto"/>
        <w:right w:val="none" w:sz="0" w:space="0" w:color="auto"/>
      </w:divBdr>
    </w:div>
    <w:div w:id="398135356">
      <w:bodyDiv w:val="1"/>
      <w:marLeft w:val="0"/>
      <w:marRight w:val="0"/>
      <w:marTop w:val="0"/>
      <w:marBottom w:val="0"/>
      <w:divBdr>
        <w:top w:val="none" w:sz="0" w:space="0" w:color="auto"/>
        <w:left w:val="none" w:sz="0" w:space="0" w:color="auto"/>
        <w:bottom w:val="none" w:sz="0" w:space="0" w:color="auto"/>
        <w:right w:val="none" w:sz="0" w:space="0" w:color="auto"/>
      </w:divBdr>
    </w:div>
    <w:div w:id="398141209">
      <w:bodyDiv w:val="1"/>
      <w:marLeft w:val="0"/>
      <w:marRight w:val="0"/>
      <w:marTop w:val="0"/>
      <w:marBottom w:val="0"/>
      <w:divBdr>
        <w:top w:val="none" w:sz="0" w:space="0" w:color="auto"/>
        <w:left w:val="none" w:sz="0" w:space="0" w:color="auto"/>
        <w:bottom w:val="none" w:sz="0" w:space="0" w:color="auto"/>
        <w:right w:val="none" w:sz="0" w:space="0" w:color="auto"/>
      </w:divBdr>
    </w:div>
    <w:div w:id="398477860">
      <w:bodyDiv w:val="1"/>
      <w:marLeft w:val="0"/>
      <w:marRight w:val="0"/>
      <w:marTop w:val="0"/>
      <w:marBottom w:val="0"/>
      <w:divBdr>
        <w:top w:val="none" w:sz="0" w:space="0" w:color="auto"/>
        <w:left w:val="none" w:sz="0" w:space="0" w:color="auto"/>
        <w:bottom w:val="none" w:sz="0" w:space="0" w:color="auto"/>
        <w:right w:val="none" w:sz="0" w:space="0" w:color="auto"/>
      </w:divBdr>
    </w:div>
    <w:div w:id="398594312">
      <w:bodyDiv w:val="1"/>
      <w:marLeft w:val="0"/>
      <w:marRight w:val="0"/>
      <w:marTop w:val="0"/>
      <w:marBottom w:val="0"/>
      <w:divBdr>
        <w:top w:val="none" w:sz="0" w:space="0" w:color="auto"/>
        <w:left w:val="none" w:sz="0" w:space="0" w:color="auto"/>
        <w:bottom w:val="none" w:sz="0" w:space="0" w:color="auto"/>
        <w:right w:val="none" w:sz="0" w:space="0" w:color="auto"/>
      </w:divBdr>
    </w:div>
    <w:div w:id="398744833">
      <w:bodyDiv w:val="1"/>
      <w:marLeft w:val="0"/>
      <w:marRight w:val="0"/>
      <w:marTop w:val="0"/>
      <w:marBottom w:val="0"/>
      <w:divBdr>
        <w:top w:val="none" w:sz="0" w:space="0" w:color="auto"/>
        <w:left w:val="none" w:sz="0" w:space="0" w:color="auto"/>
        <w:bottom w:val="none" w:sz="0" w:space="0" w:color="auto"/>
        <w:right w:val="none" w:sz="0" w:space="0" w:color="auto"/>
      </w:divBdr>
    </w:div>
    <w:div w:id="398938377">
      <w:bodyDiv w:val="1"/>
      <w:marLeft w:val="0"/>
      <w:marRight w:val="0"/>
      <w:marTop w:val="0"/>
      <w:marBottom w:val="0"/>
      <w:divBdr>
        <w:top w:val="none" w:sz="0" w:space="0" w:color="auto"/>
        <w:left w:val="none" w:sz="0" w:space="0" w:color="auto"/>
        <w:bottom w:val="none" w:sz="0" w:space="0" w:color="auto"/>
        <w:right w:val="none" w:sz="0" w:space="0" w:color="auto"/>
      </w:divBdr>
    </w:div>
    <w:div w:id="399056519">
      <w:bodyDiv w:val="1"/>
      <w:marLeft w:val="0"/>
      <w:marRight w:val="0"/>
      <w:marTop w:val="0"/>
      <w:marBottom w:val="0"/>
      <w:divBdr>
        <w:top w:val="none" w:sz="0" w:space="0" w:color="auto"/>
        <w:left w:val="none" w:sz="0" w:space="0" w:color="auto"/>
        <w:bottom w:val="none" w:sz="0" w:space="0" w:color="auto"/>
        <w:right w:val="none" w:sz="0" w:space="0" w:color="auto"/>
      </w:divBdr>
    </w:div>
    <w:div w:id="399057670">
      <w:bodyDiv w:val="1"/>
      <w:marLeft w:val="0"/>
      <w:marRight w:val="0"/>
      <w:marTop w:val="0"/>
      <w:marBottom w:val="0"/>
      <w:divBdr>
        <w:top w:val="none" w:sz="0" w:space="0" w:color="auto"/>
        <w:left w:val="none" w:sz="0" w:space="0" w:color="auto"/>
        <w:bottom w:val="none" w:sz="0" w:space="0" w:color="auto"/>
        <w:right w:val="none" w:sz="0" w:space="0" w:color="auto"/>
      </w:divBdr>
    </w:div>
    <w:div w:id="399134912">
      <w:bodyDiv w:val="1"/>
      <w:marLeft w:val="0"/>
      <w:marRight w:val="0"/>
      <w:marTop w:val="0"/>
      <w:marBottom w:val="0"/>
      <w:divBdr>
        <w:top w:val="none" w:sz="0" w:space="0" w:color="auto"/>
        <w:left w:val="none" w:sz="0" w:space="0" w:color="auto"/>
        <w:bottom w:val="none" w:sz="0" w:space="0" w:color="auto"/>
        <w:right w:val="none" w:sz="0" w:space="0" w:color="auto"/>
      </w:divBdr>
    </w:div>
    <w:div w:id="399183571">
      <w:bodyDiv w:val="1"/>
      <w:marLeft w:val="0"/>
      <w:marRight w:val="0"/>
      <w:marTop w:val="0"/>
      <w:marBottom w:val="0"/>
      <w:divBdr>
        <w:top w:val="none" w:sz="0" w:space="0" w:color="auto"/>
        <w:left w:val="none" w:sz="0" w:space="0" w:color="auto"/>
        <w:bottom w:val="none" w:sz="0" w:space="0" w:color="auto"/>
        <w:right w:val="none" w:sz="0" w:space="0" w:color="auto"/>
      </w:divBdr>
    </w:div>
    <w:div w:id="399208448">
      <w:bodyDiv w:val="1"/>
      <w:marLeft w:val="0"/>
      <w:marRight w:val="0"/>
      <w:marTop w:val="0"/>
      <w:marBottom w:val="0"/>
      <w:divBdr>
        <w:top w:val="none" w:sz="0" w:space="0" w:color="auto"/>
        <w:left w:val="none" w:sz="0" w:space="0" w:color="auto"/>
        <w:bottom w:val="none" w:sz="0" w:space="0" w:color="auto"/>
        <w:right w:val="none" w:sz="0" w:space="0" w:color="auto"/>
      </w:divBdr>
    </w:div>
    <w:div w:id="399209040">
      <w:bodyDiv w:val="1"/>
      <w:marLeft w:val="0"/>
      <w:marRight w:val="0"/>
      <w:marTop w:val="0"/>
      <w:marBottom w:val="0"/>
      <w:divBdr>
        <w:top w:val="none" w:sz="0" w:space="0" w:color="auto"/>
        <w:left w:val="none" w:sz="0" w:space="0" w:color="auto"/>
        <w:bottom w:val="none" w:sz="0" w:space="0" w:color="auto"/>
        <w:right w:val="none" w:sz="0" w:space="0" w:color="auto"/>
      </w:divBdr>
    </w:div>
    <w:div w:id="399209130">
      <w:bodyDiv w:val="1"/>
      <w:marLeft w:val="0"/>
      <w:marRight w:val="0"/>
      <w:marTop w:val="0"/>
      <w:marBottom w:val="0"/>
      <w:divBdr>
        <w:top w:val="none" w:sz="0" w:space="0" w:color="auto"/>
        <w:left w:val="none" w:sz="0" w:space="0" w:color="auto"/>
        <w:bottom w:val="none" w:sz="0" w:space="0" w:color="auto"/>
        <w:right w:val="none" w:sz="0" w:space="0" w:color="auto"/>
      </w:divBdr>
    </w:div>
    <w:div w:id="399331767">
      <w:bodyDiv w:val="1"/>
      <w:marLeft w:val="0"/>
      <w:marRight w:val="0"/>
      <w:marTop w:val="0"/>
      <w:marBottom w:val="0"/>
      <w:divBdr>
        <w:top w:val="none" w:sz="0" w:space="0" w:color="auto"/>
        <w:left w:val="none" w:sz="0" w:space="0" w:color="auto"/>
        <w:bottom w:val="none" w:sz="0" w:space="0" w:color="auto"/>
        <w:right w:val="none" w:sz="0" w:space="0" w:color="auto"/>
      </w:divBdr>
    </w:div>
    <w:div w:id="399405658">
      <w:bodyDiv w:val="1"/>
      <w:marLeft w:val="0"/>
      <w:marRight w:val="0"/>
      <w:marTop w:val="0"/>
      <w:marBottom w:val="0"/>
      <w:divBdr>
        <w:top w:val="none" w:sz="0" w:space="0" w:color="auto"/>
        <w:left w:val="none" w:sz="0" w:space="0" w:color="auto"/>
        <w:bottom w:val="none" w:sz="0" w:space="0" w:color="auto"/>
        <w:right w:val="none" w:sz="0" w:space="0" w:color="auto"/>
      </w:divBdr>
    </w:div>
    <w:div w:id="399450724">
      <w:bodyDiv w:val="1"/>
      <w:marLeft w:val="0"/>
      <w:marRight w:val="0"/>
      <w:marTop w:val="0"/>
      <w:marBottom w:val="0"/>
      <w:divBdr>
        <w:top w:val="none" w:sz="0" w:space="0" w:color="auto"/>
        <w:left w:val="none" w:sz="0" w:space="0" w:color="auto"/>
        <w:bottom w:val="none" w:sz="0" w:space="0" w:color="auto"/>
        <w:right w:val="none" w:sz="0" w:space="0" w:color="auto"/>
      </w:divBdr>
    </w:div>
    <w:div w:id="399670784">
      <w:bodyDiv w:val="1"/>
      <w:marLeft w:val="0"/>
      <w:marRight w:val="0"/>
      <w:marTop w:val="0"/>
      <w:marBottom w:val="0"/>
      <w:divBdr>
        <w:top w:val="none" w:sz="0" w:space="0" w:color="auto"/>
        <w:left w:val="none" w:sz="0" w:space="0" w:color="auto"/>
        <w:bottom w:val="none" w:sz="0" w:space="0" w:color="auto"/>
        <w:right w:val="none" w:sz="0" w:space="0" w:color="auto"/>
      </w:divBdr>
    </w:div>
    <w:div w:id="399718338">
      <w:bodyDiv w:val="1"/>
      <w:marLeft w:val="0"/>
      <w:marRight w:val="0"/>
      <w:marTop w:val="0"/>
      <w:marBottom w:val="0"/>
      <w:divBdr>
        <w:top w:val="none" w:sz="0" w:space="0" w:color="auto"/>
        <w:left w:val="none" w:sz="0" w:space="0" w:color="auto"/>
        <w:bottom w:val="none" w:sz="0" w:space="0" w:color="auto"/>
        <w:right w:val="none" w:sz="0" w:space="0" w:color="auto"/>
      </w:divBdr>
    </w:div>
    <w:div w:id="399719599">
      <w:bodyDiv w:val="1"/>
      <w:marLeft w:val="0"/>
      <w:marRight w:val="0"/>
      <w:marTop w:val="0"/>
      <w:marBottom w:val="0"/>
      <w:divBdr>
        <w:top w:val="none" w:sz="0" w:space="0" w:color="auto"/>
        <w:left w:val="none" w:sz="0" w:space="0" w:color="auto"/>
        <w:bottom w:val="none" w:sz="0" w:space="0" w:color="auto"/>
        <w:right w:val="none" w:sz="0" w:space="0" w:color="auto"/>
      </w:divBdr>
    </w:div>
    <w:div w:id="399720355">
      <w:bodyDiv w:val="1"/>
      <w:marLeft w:val="0"/>
      <w:marRight w:val="0"/>
      <w:marTop w:val="0"/>
      <w:marBottom w:val="0"/>
      <w:divBdr>
        <w:top w:val="none" w:sz="0" w:space="0" w:color="auto"/>
        <w:left w:val="none" w:sz="0" w:space="0" w:color="auto"/>
        <w:bottom w:val="none" w:sz="0" w:space="0" w:color="auto"/>
        <w:right w:val="none" w:sz="0" w:space="0" w:color="auto"/>
      </w:divBdr>
    </w:div>
    <w:div w:id="399720697">
      <w:bodyDiv w:val="1"/>
      <w:marLeft w:val="0"/>
      <w:marRight w:val="0"/>
      <w:marTop w:val="0"/>
      <w:marBottom w:val="0"/>
      <w:divBdr>
        <w:top w:val="none" w:sz="0" w:space="0" w:color="auto"/>
        <w:left w:val="none" w:sz="0" w:space="0" w:color="auto"/>
        <w:bottom w:val="none" w:sz="0" w:space="0" w:color="auto"/>
        <w:right w:val="none" w:sz="0" w:space="0" w:color="auto"/>
      </w:divBdr>
    </w:div>
    <w:div w:id="399787956">
      <w:bodyDiv w:val="1"/>
      <w:marLeft w:val="0"/>
      <w:marRight w:val="0"/>
      <w:marTop w:val="0"/>
      <w:marBottom w:val="0"/>
      <w:divBdr>
        <w:top w:val="none" w:sz="0" w:space="0" w:color="auto"/>
        <w:left w:val="none" w:sz="0" w:space="0" w:color="auto"/>
        <w:bottom w:val="none" w:sz="0" w:space="0" w:color="auto"/>
        <w:right w:val="none" w:sz="0" w:space="0" w:color="auto"/>
      </w:divBdr>
    </w:div>
    <w:div w:id="399790539">
      <w:bodyDiv w:val="1"/>
      <w:marLeft w:val="0"/>
      <w:marRight w:val="0"/>
      <w:marTop w:val="0"/>
      <w:marBottom w:val="0"/>
      <w:divBdr>
        <w:top w:val="none" w:sz="0" w:space="0" w:color="auto"/>
        <w:left w:val="none" w:sz="0" w:space="0" w:color="auto"/>
        <w:bottom w:val="none" w:sz="0" w:space="0" w:color="auto"/>
        <w:right w:val="none" w:sz="0" w:space="0" w:color="auto"/>
      </w:divBdr>
    </w:div>
    <w:div w:id="399984496">
      <w:bodyDiv w:val="1"/>
      <w:marLeft w:val="0"/>
      <w:marRight w:val="0"/>
      <w:marTop w:val="0"/>
      <w:marBottom w:val="0"/>
      <w:divBdr>
        <w:top w:val="none" w:sz="0" w:space="0" w:color="auto"/>
        <w:left w:val="none" w:sz="0" w:space="0" w:color="auto"/>
        <w:bottom w:val="none" w:sz="0" w:space="0" w:color="auto"/>
        <w:right w:val="none" w:sz="0" w:space="0" w:color="auto"/>
      </w:divBdr>
    </w:div>
    <w:div w:id="399984636">
      <w:bodyDiv w:val="1"/>
      <w:marLeft w:val="0"/>
      <w:marRight w:val="0"/>
      <w:marTop w:val="0"/>
      <w:marBottom w:val="0"/>
      <w:divBdr>
        <w:top w:val="none" w:sz="0" w:space="0" w:color="auto"/>
        <w:left w:val="none" w:sz="0" w:space="0" w:color="auto"/>
        <w:bottom w:val="none" w:sz="0" w:space="0" w:color="auto"/>
        <w:right w:val="none" w:sz="0" w:space="0" w:color="auto"/>
      </w:divBdr>
    </w:div>
    <w:div w:id="399986425">
      <w:bodyDiv w:val="1"/>
      <w:marLeft w:val="0"/>
      <w:marRight w:val="0"/>
      <w:marTop w:val="0"/>
      <w:marBottom w:val="0"/>
      <w:divBdr>
        <w:top w:val="none" w:sz="0" w:space="0" w:color="auto"/>
        <w:left w:val="none" w:sz="0" w:space="0" w:color="auto"/>
        <w:bottom w:val="none" w:sz="0" w:space="0" w:color="auto"/>
        <w:right w:val="none" w:sz="0" w:space="0" w:color="auto"/>
      </w:divBdr>
    </w:div>
    <w:div w:id="400057597">
      <w:bodyDiv w:val="1"/>
      <w:marLeft w:val="0"/>
      <w:marRight w:val="0"/>
      <w:marTop w:val="0"/>
      <w:marBottom w:val="0"/>
      <w:divBdr>
        <w:top w:val="none" w:sz="0" w:space="0" w:color="auto"/>
        <w:left w:val="none" w:sz="0" w:space="0" w:color="auto"/>
        <w:bottom w:val="none" w:sz="0" w:space="0" w:color="auto"/>
        <w:right w:val="none" w:sz="0" w:space="0" w:color="auto"/>
      </w:divBdr>
    </w:div>
    <w:div w:id="400061589">
      <w:bodyDiv w:val="1"/>
      <w:marLeft w:val="0"/>
      <w:marRight w:val="0"/>
      <w:marTop w:val="0"/>
      <w:marBottom w:val="0"/>
      <w:divBdr>
        <w:top w:val="none" w:sz="0" w:space="0" w:color="auto"/>
        <w:left w:val="none" w:sz="0" w:space="0" w:color="auto"/>
        <w:bottom w:val="none" w:sz="0" w:space="0" w:color="auto"/>
        <w:right w:val="none" w:sz="0" w:space="0" w:color="auto"/>
      </w:divBdr>
    </w:div>
    <w:div w:id="400180562">
      <w:bodyDiv w:val="1"/>
      <w:marLeft w:val="0"/>
      <w:marRight w:val="0"/>
      <w:marTop w:val="0"/>
      <w:marBottom w:val="0"/>
      <w:divBdr>
        <w:top w:val="none" w:sz="0" w:space="0" w:color="auto"/>
        <w:left w:val="none" w:sz="0" w:space="0" w:color="auto"/>
        <w:bottom w:val="none" w:sz="0" w:space="0" w:color="auto"/>
        <w:right w:val="none" w:sz="0" w:space="0" w:color="auto"/>
      </w:divBdr>
    </w:div>
    <w:div w:id="400249555">
      <w:bodyDiv w:val="1"/>
      <w:marLeft w:val="0"/>
      <w:marRight w:val="0"/>
      <w:marTop w:val="0"/>
      <w:marBottom w:val="0"/>
      <w:divBdr>
        <w:top w:val="none" w:sz="0" w:space="0" w:color="auto"/>
        <w:left w:val="none" w:sz="0" w:space="0" w:color="auto"/>
        <w:bottom w:val="none" w:sz="0" w:space="0" w:color="auto"/>
        <w:right w:val="none" w:sz="0" w:space="0" w:color="auto"/>
      </w:divBdr>
    </w:div>
    <w:div w:id="400294056">
      <w:bodyDiv w:val="1"/>
      <w:marLeft w:val="0"/>
      <w:marRight w:val="0"/>
      <w:marTop w:val="0"/>
      <w:marBottom w:val="0"/>
      <w:divBdr>
        <w:top w:val="none" w:sz="0" w:space="0" w:color="auto"/>
        <w:left w:val="none" w:sz="0" w:space="0" w:color="auto"/>
        <w:bottom w:val="none" w:sz="0" w:space="0" w:color="auto"/>
        <w:right w:val="none" w:sz="0" w:space="0" w:color="auto"/>
      </w:divBdr>
    </w:div>
    <w:div w:id="400294945">
      <w:bodyDiv w:val="1"/>
      <w:marLeft w:val="0"/>
      <w:marRight w:val="0"/>
      <w:marTop w:val="0"/>
      <w:marBottom w:val="0"/>
      <w:divBdr>
        <w:top w:val="none" w:sz="0" w:space="0" w:color="auto"/>
        <w:left w:val="none" w:sz="0" w:space="0" w:color="auto"/>
        <w:bottom w:val="none" w:sz="0" w:space="0" w:color="auto"/>
        <w:right w:val="none" w:sz="0" w:space="0" w:color="auto"/>
      </w:divBdr>
    </w:div>
    <w:div w:id="400298967">
      <w:bodyDiv w:val="1"/>
      <w:marLeft w:val="0"/>
      <w:marRight w:val="0"/>
      <w:marTop w:val="0"/>
      <w:marBottom w:val="0"/>
      <w:divBdr>
        <w:top w:val="none" w:sz="0" w:space="0" w:color="auto"/>
        <w:left w:val="none" w:sz="0" w:space="0" w:color="auto"/>
        <w:bottom w:val="none" w:sz="0" w:space="0" w:color="auto"/>
        <w:right w:val="none" w:sz="0" w:space="0" w:color="auto"/>
      </w:divBdr>
    </w:div>
    <w:div w:id="400563085">
      <w:bodyDiv w:val="1"/>
      <w:marLeft w:val="0"/>
      <w:marRight w:val="0"/>
      <w:marTop w:val="0"/>
      <w:marBottom w:val="0"/>
      <w:divBdr>
        <w:top w:val="none" w:sz="0" w:space="0" w:color="auto"/>
        <w:left w:val="none" w:sz="0" w:space="0" w:color="auto"/>
        <w:bottom w:val="none" w:sz="0" w:space="0" w:color="auto"/>
        <w:right w:val="none" w:sz="0" w:space="0" w:color="auto"/>
      </w:divBdr>
    </w:div>
    <w:div w:id="400565616">
      <w:bodyDiv w:val="1"/>
      <w:marLeft w:val="0"/>
      <w:marRight w:val="0"/>
      <w:marTop w:val="0"/>
      <w:marBottom w:val="0"/>
      <w:divBdr>
        <w:top w:val="none" w:sz="0" w:space="0" w:color="auto"/>
        <w:left w:val="none" w:sz="0" w:space="0" w:color="auto"/>
        <w:bottom w:val="none" w:sz="0" w:space="0" w:color="auto"/>
        <w:right w:val="none" w:sz="0" w:space="0" w:color="auto"/>
      </w:divBdr>
    </w:div>
    <w:div w:id="400716171">
      <w:bodyDiv w:val="1"/>
      <w:marLeft w:val="0"/>
      <w:marRight w:val="0"/>
      <w:marTop w:val="0"/>
      <w:marBottom w:val="0"/>
      <w:divBdr>
        <w:top w:val="none" w:sz="0" w:space="0" w:color="auto"/>
        <w:left w:val="none" w:sz="0" w:space="0" w:color="auto"/>
        <w:bottom w:val="none" w:sz="0" w:space="0" w:color="auto"/>
        <w:right w:val="none" w:sz="0" w:space="0" w:color="auto"/>
      </w:divBdr>
    </w:div>
    <w:div w:id="400907762">
      <w:bodyDiv w:val="1"/>
      <w:marLeft w:val="0"/>
      <w:marRight w:val="0"/>
      <w:marTop w:val="0"/>
      <w:marBottom w:val="0"/>
      <w:divBdr>
        <w:top w:val="none" w:sz="0" w:space="0" w:color="auto"/>
        <w:left w:val="none" w:sz="0" w:space="0" w:color="auto"/>
        <w:bottom w:val="none" w:sz="0" w:space="0" w:color="auto"/>
        <w:right w:val="none" w:sz="0" w:space="0" w:color="auto"/>
      </w:divBdr>
    </w:div>
    <w:div w:id="400911773">
      <w:bodyDiv w:val="1"/>
      <w:marLeft w:val="0"/>
      <w:marRight w:val="0"/>
      <w:marTop w:val="0"/>
      <w:marBottom w:val="0"/>
      <w:divBdr>
        <w:top w:val="none" w:sz="0" w:space="0" w:color="auto"/>
        <w:left w:val="none" w:sz="0" w:space="0" w:color="auto"/>
        <w:bottom w:val="none" w:sz="0" w:space="0" w:color="auto"/>
        <w:right w:val="none" w:sz="0" w:space="0" w:color="auto"/>
      </w:divBdr>
    </w:div>
    <w:div w:id="400951373">
      <w:bodyDiv w:val="1"/>
      <w:marLeft w:val="0"/>
      <w:marRight w:val="0"/>
      <w:marTop w:val="0"/>
      <w:marBottom w:val="0"/>
      <w:divBdr>
        <w:top w:val="none" w:sz="0" w:space="0" w:color="auto"/>
        <w:left w:val="none" w:sz="0" w:space="0" w:color="auto"/>
        <w:bottom w:val="none" w:sz="0" w:space="0" w:color="auto"/>
        <w:right w:val="none" w:sz="0" w:space="0" w:color="auto"/>
      </w:divBdr>
    </w:div>
    <w:div w:id="400955280">
      <w:bodyDiv w:val="1"/>
      <w:marLeft w:val="0"/>
      <w:marRight w:val="0"/>
      <w:marTop w:val="0"/>
      <w:marBottom w:val="0"/>
      <w:divBdr>
        <w:top w:val="none" w:sz="0" w:space="0" w:color="auto"/>
        <w:left w:val="none" w:sz="0" w:space="0" w:color="auto"/>
        <w:bottom w:val="none" w:sz="0" w:space="0" w:color="auto"/>
        <w:right w:val="none" w:sz="0" w:space="0" w:color="auto"/>
      </w:divBdr>
    </w:div>
    <w:div w:id="401104634">
      <w:bodyDiv w:val="1"/>
      <w:marLeft w:val="0"/>
      <w:marRight w:val="0"/>
      <w:marTop w:val="0"/>
      <w:marBottom w:val="0"/>
      <w:divBdr>
        <w:top w:val="none" w:sz="0" w:space="0" w:color="auto"/>
        <w:left w:val="none" w:sz="0" w:space="0" w:color="auto"/>
        <w:bottom w:val="none" w:sz="0" w:space="0" w:color="auto"/>
        <w:right w:val="none" w:sz="0" w:space="0" w:color="auto"/>
      </w:divBdr>
    </w:div>
    <w:div w:id="401176179">
      <w:bodyDiv w:val="1"/>
      <w:marLeft w:val="0"/>
      <w:marRight w:val="0"/>
      <w:marTop w:val="0"/>
      <w:marBottom w:val="0"/>
      <w:divBdr>
        <w:top w:val="none" w:sz="0" w:space="0" w:color="auto"/>
        <w:left w:val="none" w:sz="0" w:space="0" w:color="auto"/>
        <w:bottom w:val="none" w:sz="0" w:space="0" w:color="auto"/>
        <w:right w:val="none" w:sz="0" w:space="0" w:color="auto"/>
      </w:divBdr>
    </w:div>
    <w:div w:id="401293039">
      <w:bodyDiv w:val="1"/>
      <w:marLeft w:val="0"/>
      <w:marRight w:val="0"/>
      <w:marTop w:val="0"/>
      <w:marBottom w:val="0"/>
      <w:divBdr>
        <w:top w:val="none" w:sz="0" w:space="0" w:color="auto"/>
        <w:left w:val="none" w:sz="0" w:space="0" w:color="auto"/>
        <w:bottom w:val="none" w:sz="0" w:space="0" w:color="auto"/>
        <w:right w:val="none" w:sz="0" w:space="0" w:color="auto"/>
      </w:divBdr>
    </w:div>
    <w:div w:id="401296647">
      <w:bodyDiv w:val="1"/>
      <w:marLeft w:val="0"/>
      <w:marRight w:val="0"/>
      <w:marTop w:val="0"/>
      <w:marBottom w:val="0"/>
      <w:divBdr>
        <w:top w:val="none" w:sz="0" w:space="0" w:color="auto"/>
        <w:left w:val="none" w:sz="0" w:space="0" w:color="auto"/>
        <w:bottom w:val="none" w:sz="0" w:space="0" w:color="auto"/>
        <w:right w:val="none" w:sz="0" w:space="0" w:color="auto"/>
      </w:divBdr>
    </w:div>
    <w:div w:id="401298635">
      <w:bodyDiv w:val="1"/>
      <w:marLeft w:val="0"/>
      <w:marRight w:val="0"/>
      <w:marTop w:val="0"/>
      <w:marBottom w:val="0"/>
      <w:divBdr>
        <w:top w:val="none" w:sz="0" w:space="0" w:color="auto"/>
        <w:left w:val="none" w:sz="0" w:space="0" w:color="auto"/>
        <w:bottom w:val="none" w:sz="0" w:space="0" w:color="auto"/>
        <w:right w:val="none" w:sz="0" w:space="0" w:color="auto"/>
      </w:divBdr>
    </w:div>
    <w:div w:id="401370379">
      <w:bodyDiv w:val="1"/>
      <w:marLeft w:val="0"/>
      <w:marRight w:val="0"/>
      <w:marTop w:val="0"/>
      <w:marBottom w:val="0"/>
      <w:divBdr>
        <w:top w:val="none" w:sz="0" w:space="0" w:color="auto"/>
        <w:left w:val="none" w:sz="0" w:space="0" w:color="auto"/>
        <w:bottom w:val="none" w:sz="0" w:space="0" w:color="auto"/>
        <w:right w:val="none" w:sz="0" w:space="0" w:color="auto"/>
      </w:divBdr>
    </w:div>
    <w:div w:id="401412533">
      <w:bodyDiv w:val="1"/>
      <w:marLeft w:val="0"/>
      <w:marRight w:val="0"/>
      <w:marTop w:val="0"/>
      <w:marBottom w:val="0"/>
      <w:divBdr>
        <w:top w:val="none" w:sz="0" w:space="0" w:color="auto"/>
        <w:left w:val="none" w:sz="0" w:space="0" w:color="auto"/>
        <w:bottom w:val="none" w:sz="0" w:space="0" w:color="auto"/>
        <w:right w:val="none" w:sz="0" w:space="0" w:color="auto"/>
      </w:divBdr>
    </w:div>
    <w:div w:id="401830618">
      <w:bodyDiv w:val="1"/>
      <w:marLeft w:val="0"/>
      <w:marRight w:val="0"/>
      <w:marTop w:val="0"/>
      <w:marBottom w:val="0"/>
      <w:divBdr>
        <w:top w:val="none" w:sz="0" w:space="0" w:color="auto"/>
        <w:left w:val="none" w:sz="0" w:space="0" w:color="auto"/>
        <w:bottom w:val="none" w:sz="0" w:space="0" w:color="auto"/>
        <w:right w:val="none" w:sz="0" w:space="0" w:color="auto"/>
      </w:divBdr>
    </w:div>
    <w:div w:id="401872580">
      <w:bodyDiv w:val="1"/>
      <w:marLeft w:val="0"/>
      <w:marRight w:val="0"/>
      <w:marTop w:val="0"/>
      <w:marBottom w:val="0"/>
      <w:divBdr>
        <w:top w:val="none" w:sz="0" w:space="0" w:color="auto"/>
        <w:left w:val="none" w:sz="0" w:space="0" w:color="auto"/>
        <w:bottom w:val="none" w:sz="0" w:space="0" w:color="auto"/>
        <w:right w:val="none" w:sz="0" w:space="0" w:color="auto"/>
      </w:divBdr>
    </w:div>
    <w:div w:id="401877549">
      <w:bodyDiv w:val="1"/>
      <w:marLeft w:val="0"/>
      <w:marRight w:val="0"/>
      <w:marTop w:val="0"/>
      <w:marBottom w:val="0"/>
      <w:divBdr>
        <w:top w:val="none" w:sz="0" w:space="0" w:color="auto"/>
        <w:left w:val="none" w:sz="0" w:space="0" w:color="auto"/>
        <w:bottom w:val="none" w:sz="0" w:space="0" w:color="auto"/>
        <w:right w:val="none" w:sz="0" w:space="0" w:color="auto"/>
      </w:divBdr>
    </w:div>
    <w:div w:id="401947929">
      <w:bodyDiv w:val="1"/>
      <w:marLeft w:val="0"/>
      <w:marRight w:val="0"/>
      <w:marTop w:val="0"/>
      <w:marBottom w:val="0"/>
      <w:divBdr>
        <w:top w:val="none" w:sz="0" w:space="0" w:color="auto"/>
        <w:left w:val="none" w:sz="0" w:space="0" w:color="auto"/>
        <w:bottom w:val="none" w:sz="0" w:space="0" w:color="auto"/>
        <w:right w:val="none" w:sz="0" w:space="0" w:color="auto"/>
      </w:divBdr>
    </w:div>
    <w:div w:id="402145593">
      <w:bodyDiv w:val="1"/>
      <w:marLeft w:val="0"/>
      <w:marRight w:val="0"/>
      <w:marTop w:val="0"/>
      <w:marBottom w:val="0"/>
      <w:divBdr>
        <w:top w:val="none" w:sz="0" w:space="0" w:color="auto"/>
        <w:left w:val="none" w:sz="0" w:space="0" w:color="auto"/>
        <w:bottom w:val="none" w:sz="0" w:space="0" w:color="auto"/>
        <w:right w:val="none" w:sz="0" w:space="0" w:color="auto"/>
      </w:divBdr>
    </w:div>
    <w:div w:id="402215764">
      <w:bodyDiv w:val="1"/>
      <w:marLeft w:val="0"/>
      <w:marRight w:val="0"/>
      <w:marTop w:val="0"/>
      <w:marBottom w:val="0"/>
      <w:divBdr>
        <w:top w:val="none" w:sz="0" w:space="0" w:color="auto"/>
        <w:left w:val="none" w:sz="0" w:space="0" w:color="auto"/>
        <w:bottom w:val="none" w:sz="0" w:space="0" w:color="auto"/>
        <w:right w:val="none" w:sz="0" w:space="0" w:color="auto"/>
      </w:divBdr>
    </w:div>
    <w:div w:id="402338960">
      <w:bodyDiv w:val="1"/>
      <w:marLeft w:val="0"/>
      <w:marRight w:val="0"/>
      <w:marTop w:val="0"/>
      <w:marBottom w:val="0"/>
      <w:divBdr>
        <w:top w:val="none" w:sz="0" w:space="0" w:color="auto"/>
        <w:left w:val="none" w:sz="0" w:space="0" w:color="auto"/>
        <w:bottom w:val="none" w:sz="0" w:space="0" w:color="auto"/>
        <w:right w:val="none" w:sz="0" w:space="0" w:color="auto"/>
      </w:divBdr>
    </w:div>
    <w:div w:id="402484064">
      <w:bodyDiv w:val="1"/>
      <w:marLeft w:val="0"/>
      <w:marRight w:val="0"/>
      <w:marTop w:val="0"/>
      <w:marBottom w:val="0"/>
      <w:divBdr>
        <w:top w:val="none" w:sz="0" w:space="0" w:color="auto"/>
        <w:left w:val="none" w:sz="0" w:space="0" w:color="auto"/>
        <w:bottom w:val="none" w:sz="0" w:space="0" w:color="auto"/>
        <w:right w:val="none" w:sz="0" w:space="0" w:color="auto"/>
      </w:divBdr>
    </w:div>
    <w:div w:id="402608365">
      <w:bodyDiv w:val="1"/>
      <w:marLeft w:val="0"/>
      <w:marRight w:val="0"/>
      <w:marTop w:val="0"/>
      <w:marBottom w:val="0"/>
      <w:divBdr>
        <w:top w:val="none" w:sz="0" w:space="0" w:color="auto"/>
        <w:left w:val="none" w:sz="0" w:space="0" w:color="auto"/>
        <w:bottom w:val="none" w:sz="0" w:space="0" w:color="auto"/>
        <w:right w:val="none" w:sz="0" w:space="0" w:color="auto"/>
      </w:divBdr>
    </w:div>
    <w:div w:id="402719406">
      <w:bodyDiv w:val="1"/>
      <w:marLeft w:val="0"/>
      <w:marRight w:val="0"/>
      <w:marTop w:val="0"/>
      <w:marBottom w:val="0"/>
      <w:divBdr>
        <w:top w:val="none" w:sz="0" w:space="0" w:color="auto"/>
        <w:left w:val="none" w:sz="0" w:space="0" w:color="auto"/>
        <w:bottom w:val="none" w:sz="0" w:space="0" w:color="auto"/>
        <w:right w:val="none" w:sz="0" w:space="0" w:color="auto"/>
      </w:divBdr>
    </w:div>
    <w:div w:id="402722533">
      <w:bodyDiv w:val="1"/>
      <w:marLeft w:val="0"/>
      <w:marRight w:val="0"/>
      <w:marTop w:val="0"/>
      <w:marBottom w:val="0"/>
      <w:divBdr>
        <w:top w:val="none" w:sz="0" w:space="0" w:color="auto"/>
        <w:left w:val="none" w:sz="0" w:space="0" w:color="auto"/>
        <w:bottom w:val="none" w:sz="0" w:space="0" w:color="auto"/>
        <w:right w:val="none" w:sz="0" w:space="0" w:color="auto"/>
      </w:divBdr>
    </w:div>
    <w:div w:id="402989675">
      <w:bodyDiv w:val="1"/>
      <w:marLeft w:val="0"/>
      <w:marRight w:val="0"/>
      <w:marTop w:val="0"/>
      <w:marBottom w:val="0"/>
      <w:divBdr>
        <w:top w:val="none" w:sz="0" w:space="0" w:color="auto"/>
        <w:left w:val="none" w:sz="0" w:space="0" w:color="auto"/>
        <w:bottom w:val="none" w:sz="0" w:space="0" w:color="auto"/>
        <w:right w:val="none" w:sz="0" w:space="0" w:color="auto"/>
      </w:divBdr>
    </w:div>
    <w:div w:id="403111962">
      <w:bodyDiv w:val="1"/>
      <w:marLeft w:val="0"/>
      <w:marRight w:val="0"/>
      <w:marTop w:val="0"/>
      <w:marBottom w:val="0"/>
      <w:divBdr>
        <w:top w:val="none" w:sz="0" w:space="0" w:color="auto"/>
        <w:left w:val="none" w:sz="0" w:space="0" w:color="auto"/>
        <w:bottom w:val="none" w:sz="0" w:space="0" w:color="auto"/>
        <w:right w:val="none" w:sz="0" w:space="0" w:color="auto"/>
      </w:divBdr>
    </w:div>
    <w:div w:id="403139429">
      <w:bodyDiv w:val="1"/>
      <w:marLeft w:val="0"/>
      <w:marRight w:val="0"/>
      <w:marTop w:val="0"/>
      <w:marBottom w:val="0"/>
      <w:divBdr>
        <w:top w:val="none" w:sz="0" w:space="0" w:color="auto"/>
        <w:left w:val="none" w:sz="0" w:space="0" w:color="auto"/>
        <w:bottom w:val="none" w:sz="0" w:space="0" w:color="auto"/>
        <w:right w:val="none" w:sz="0" w:space="0" w:color="auto"/>
      </w:divBdr>
    </w:div>
    <w:div w:id="403142014">
      <w:bodyDiv w:val="1"/>
      <w:marLeft w:val="0"/>
      <w:marRight w:val="0"/>
      <w:marTop w:val="0"/>
      <w:marBottom w:val="0"/>
      <w:divBdr>
        <w:top w:val="none" w:sz="0" w:space="0" w:color="auto"/>
        <w:left w:val="none" w:sz="0" w:space="0" w:color="auto"/>
        <w:bottom w:val="none" w:sz="0" w:space="0" w:color="auto"/>
        <w:right w:val="none" w:sz="0" w:space="0" w:color="auto"/>
      </w:divBdr>
    </w:div>
    <w:div w:id="403182302">
      <w:bodyDiv w:val="1"/>
      <w:marLeft w:val="0"/>
      <w:marRight w:val="0"/>
      <w:marTop w:val="0"/>
      <w:marBottom w:val="0"/>
      <w:divBdr>
        <w:top w:val="none" w:sz="0" w:space="0" w:color="auto"/>
        <w:left w:val="none" w:sz="0" w:space="0" w:color="auto"/>
        <w:bottom w:val="none" w:sz="0" w:space="0" w:color="auto"/>
        <w:right w:val="none" w:sz="0" w:space="0" w:color="auto"/>
      </w:divBdr>
    </w:div>
    <w:div w:id="403186877">
      <w:bodyDiv w:val="1"/>
      <w:marLeft w:val="0"/>
      <w:marRight w:val="0"/>
      <w:marTop w:val="0"/>
      <w:marBottom w:val="0"/>
      <w:divBdr>
        <w:top w:val="none" w:sz="0" w:space="0" w:color="auto"/>
        <w:left w:val="none" w:sz="0" w:space="0" w:color="auto"/>
        <w:bottom w:val="none" w:sz="0" w:space="0" w:color="auto"/>
        <w:right w:val="none" w:sz="0" w:space="0" w:color="auto"/>
      </w:divBdr>
    </w:div>
    <w:div w:id="403263281">
      <w:bodyDiv w:val="1"/>
      <w:marLeft w:val="0"/>
      <w:marRight w:val="0"/>
      <w:marTop w:val="0"/>
      <w:marBottom w:val="0"/>
      <w:divBdr>
        <w:top w:val="none" w:sz="0" w:space="0" w:color="auto"/>
        <w:left w:val="none" w:sz="0" w:space="0" w:color="auto"/>
        <w:bottom w:val="none" w:sz="0" w:space="0" w:color="auto"/>
        <w:right w:val="none" w:sz="0" w:space="0" w:color="auto"/>
      </w:divBdr>
    </w:div>
    <w:div w:id="403341115">
      <w:bodyDiv w:val="1"/>
      <w:marLeft w:val="0"/>
      <w:marRight w:val="0"/>
      <w:marTop w:val="0"/>
      <w:marBottom w:val="0"/>
      <w:divBdr>
        <w:top w:val="none" w:sz="0" w:space="0" w:color="auto"/>
        <w:left w:val="none" w:sz="0" w:space="0" w:color="auto"/>
        <w:bottom w:val="none" w:sz="0" w:space="0" w:color="auto"/>
        <w:right w:val="none" w:sz="0" w:space="0" w:color="auto"/>
      </w:divBdr>
    </w:div>
    <w:div w:id="403375575">
      <w:bodyDiv w:val="1"/>
      <w:marLeft w:val="0"/>
      <w:marRight w:val="0"/>
      <w:marTop w:val="0"/>
      <w:marBottom w:val="0"/>
      <w:divBdr>
        <w:top w:val="none" w:sz="0" w:space="0" w:color="auto"/>
        <w:left w:val="none" w:sz="0" w:space="0" w:color="auto"/>
        <w:bottom w:val="none" w:sz="0" w:space="0" w:color="auto"/>
        <w:right w:val="none" w:sz="0" w:space="0" w:color="auto"/>
      </w:divBdr>
    </w:div>
    <w:div w:id="403377192">
      <w:bodyDiv w:val="1"/>
      <w:marLeft w:val="0"/>
      <w:marRight w:val="0"/>
      <w:marTop w:val="0"/>
      <w:marBottom w:val="0"/>
      <w:divBdr>
        <w:top w:val="none" w:sz="0" w:space="0" w:color="auto"/>
        <w:left w:val="none" w:sz="0" w:space="0" w:color="auto"/>
        <w:bottom w:val="none" w:sz="0" w:space="0" w:color="auto"/>
        <w:right w:val="none" w:sz="0" w:space="0" w:color="auto"/>
      </w:divBdr>
    </w:div>
    <w:div w:id="403378710">
      <w:bodyDiv w:val="1"/>
      <w:marLeft w:val="0"/>
      <w:marRight w:val="0"/>
      <w:marTop w:val="0"/>
      <w:marBottom w:val="0"/>
      <w:divBdr>
        <w:top w:val="none" w:sz="0" w:space="0" w:color="auto"/>
        <w:left w:val="none" w:sz="0" w:space="0" w:color="auto"/>
        <w:bottom w:val="none" w:sz="0" w:space="0" w:color="auto"/>
        <w:right w:val="none" w:sz="0" w:space="0" w:color="auto"/>
      </w:divBdr>
    </w:div>
    <w:div w:id="403454930">
      <w:bodyDiv w:val="1"/>
      <w:marLeft w:val="0"/>
      <w:marRight w:val="0"/>
      <w:marTop w:val="0"/>
      <w:marBottom w:val="0"/>
      <w:divBdr>
        <w:top w:val="none" w:sz="0" w:space="0" w:color="auto"/>
        <w:left w:val="none" w:sz="0" w:space="0" w:color="auto"/>
        <w:bottom w:val="none" w:sz="0" w:space="0" w:color="auto"/>
        <w:right w:val="none" w:sz="0" w:space="0" w:color="auto"/>
      </w:divBdr>
    </w:div>
    <w:div w:id="403530497">
      <w:bodyDiv w:val="1"/>
      <w:marLeft w:val="0"/>
      <w:marRight w:val="0"/>
      <w:marTop w:val="0"/>
      <w:marBottom w:val="0"/>
      <w:divBdr>
        <w:top w:val="none" w:sz="0" w:space="0" w:color="auto"/>
        <w:left w:val="none" w:sz="0" w:space="0" w:color="auto"/>
        <w:bottom w:val="none" w:sz="0" w:space="0" w:color="auto"/>
        <w:right w:val="none" w:sz="0" w:space="0" w:color="auto"/>
      </w:divBdr>
    </w:div>
    <w:div w:id="403577122">
      <w:bodyDiv w:val="1"/>
      <w:marLeft w:val="0"/>
      <w:marRight w:val="0"/>
      <w:marTop w:val="0"/>
      <w:marBottom w:val="0"/>
      <w:divBdr>
        <w:top w:val="none" w:sz="0" w:space="0" w:color="auto"/>
        <w:left w:val="none" w:sz="0" w:space="0" w:color="auto"/>
        <w:bottom w:val="none" w:sz="0" w:space="0" w:color="auto"/>
        <w:right w:val="none" w:sz="0" w:space="0" w:color="auto"/>
      </w:divBdr>
    </w:div>
    <w:div w:id="403719306">
      <w:bodyDiv w:val="1"/>
      <w:marLeft w:val="0"/>
      <w:marRight w:val="0"/>
      <w:marTop w:val="0"/>
      <w:marBottom w:val="0"/>
      <w:divBdr>
        <w:top w:val="none" w:sz="0" w:space="0" w:color="auto"/>
        <w:left w:val="none" w:sz="0" w:space="0" w:color="auto"/>
        <w:bottom w:val="none" w:sz="0" w:space="0" w:color="auto"/>
        <w:right w:val="none" w:sz="0" w:space="0" w:color="auto"/>
      </w:divBdr>
    </w:div>
    <w:div w:id="403992793">
      <w:bodyDiv w:val="1"/>
      <w:marLeft w:val="0"/>
      <w:marRight w:val="0"/>
      <w:marTop w:val="0"/>
      <w:marBottom w:val="0"/>
      <w:divBdr>
        <w:top w:val="none" w:sz="0" w:space="0" w:color="auto"/>
        <w:left w:val="none" w:sz="0" w:space="0" w:color="auto"/>
        <w:bottom w:val="none" w:sz="0" w:space="0" w:color="auto"/>
        <w:right w:val="none" w:sz="0" w:space="0" w:color="auto"/>
      </w:divBdr>
    </w:div>
    <w:div w:id="403993331">
      <w:bodyDiv w:val="1"/>
      <w:marLeft w:val="0"/>
      <w:marRight w:val="0"/>
      <w:marTop w:val="0"/>
      <w:marBottom w:val="0"/>
      <w:divBdr>
        <w:top w:val="none" w:sz="0" w:space="0" w:color="auto"/>
        <w:left w:val="none" w:sz="0" w:space="0" w:color="auto"/>
        <w:bottom w:val="none" w:sz="0" w:space="0" w:color="auto"/>
        <w:right w:val="none" w:sz="0" w:space="0" w:color="auto"/>
      </w:divBdr>
    </w:div>
    <w:div w:id="403996028">
      <w:bodyDiv w:val="1"/>
      <w:marLeft w:val="0"/>
      <w:marRight w:val="0"/>
      <w:marTop w:val="0"/>
      <w:marBottom w:val="0"/>
      <w:divBdr>
        <w:top w:val="none" w:sz="0" w:space="0" w:color="auto"/>
        <w:left w:val="none" w:sz="0" w:space="0" w:color="auto"/>
        <w:bottom w:val="none" w:sz="0" w:space="0" w:color="auto"/>
        <w:right w:val="none" w:sz="0" w:space="0" w:color="auto"/>
      </w:divBdr>
    </w:div>
    <w:div w:id="403996249">
      <w:bodyDiv w:val="1"/>
      <w:marLeft w:val="0"/>
      <w:marRight w:val="0"/>
      <w:marTop w:val="0"/>
      <w:marBottom w:val="0"/>
      <w:divBdr>
        <w:top w:val="none" w:sz="0" w:space="0" w:color="auto"/>
        <w:left w:val="none" w:sz="0" w:space="0" w:color="auto"/>
        <w:bottom w:val="none" w:sz="0" w:space="0" w:color="auto"/>
        <w:right w:val="none" w:sz="0" w:space="0" w:color="auto"/>
      </w:divBdr>
    </w:div>
    <w:div w:id="404032789">
      <w:bodyDiv w:val="1"/>
      <w:marLeft w:val="0"/>
      <w:marRight w:val="0"/>
      <w:marTop w:val="0"/>
      <w:marBottom w:val="0"/>
      <w:divBdr>
        <w:top w:val="none" w:sz="0" w:space="0" w:color="auto"/>
        <w:left w:val="none" w:sz="0" w:space="0" w:color="auto"/>
        <w:bottom w:val="none" w:sz="0" w:space="0" w:color="auto"/>
        <w:right w:val="none" w:sz="0" w:space="0" w:color="auto"/>
      </w:divBdr>
    </w:div>
    <w:div w:id="404037929">
      <w:bodyDiv w:val="1"/>
      <w:marLeft w:val="0"/>
      <w:marRight w:val="0"/>
      <w:marTop w:val="0"/>
      <w:marBottom w:val="0"/>
      <w:divBdr>
        <w:top w:val="none" w:sz="0" w:space="0" w:color="auto"/>
        <w:left w:val="none" w:sz="0" w:space="0" w:color="auto"/>
        <w:bottom w:val="none" w:sz="0" w:space="0" w:color="auto"/>
        <w:right w:val="none" w:sz="0" w:space="0" w:color="auto"/>
      </w:divBdr>
    </w:div>
    <w:div w:id="404109400">
      <w:bodyDiv w:val="1"/>
      <w:marLeft w:val="0"/>
      <w:marRight w:val="0"/>
      <w:marTop w:val="0"/>
      <w:marBottom w:val="0"/>
      <w:divBdr>
        <w:top w:val="none" w:sz="0" w:space="0" w:color="auto"/>
        <w:left w:val="none" w:sz="0" w:space="0" w:color="auto"/>
        <w:bottom w:val="none" w:sz="0" w:space="0" w:color="auto"/>
        <w:right w:val="none" w:sz="0" w:space="0" w:color="auto"/>
      </w:divBdr>
    </w:div>
    <w:div w:id="404228936">
      <w:bodyDiv w:val="1"/>
      <w:marLeft w:val="0"/>
      <w:marRight w:val="0"/>
      <w:marTop w:val="0"/>
      <w:marBottom w:val="0"/>
      <w:divBdr>
        <w:top w:val="none" w:sz="0" w:space="0" w:color="auto"/>
        <w:left w:val="none" w:sz="0" w:space="0" w:color="auto"/>
        <w:bottom w:val="none" w:sz="0" w:space="0" w:color="auto"/>
        <w:right w:val="none" w:sz="0" w:space="0" w:color="auto"/>
      </w:divBdr>
    </w:div>
    <w:div w:id="404425067">
      <w:bodyDiv w:val="1"/>
      <w:marLeft w:val="0"/>
      <w:marRight w:val="0"/>
      <w:marTop w:val="0"/>
      <w:marBottom w:val="0"/>
      <w:divBdr>
        <w:top w:val="none" w:sz="0" w:space="0" w:color="auto"/>
        <w:left w:val="none" w:sz="0" w:space="0" w:color="auto"/>
        <w:bottom w:val="none" w:sz="0" w:space="0" w:color="auto"/>
        <w:right w:val="none" w:sz="0" w:space="0" w:color="auto"/>
      </w:divBdr>
    </w:div>
    <w:div w:id="404452358">
      <w:bodyDiv w:val="1"/>
      <w:marLeft w:val="0"/>
      <w:marRight w:val="0"/>
      <w:marTop w:val="0"/>
      <w:marBottom w:val="0"/>
      <w:divBdr>
        <w:top w:val="none" w:sz="0" w:space="0" w:color="auto"/>
        <w:left w:val="none" w:sz="0" w:space="0" w:color="auto"/>
        <w:bottom w:val="none" w:sz="0" w:space="0" w:color="auto"/>
        <w:right w:val="none" w:sz="0" w:space="0" w:color="auto"/>
      </w:divBdr>
    </w:div>
    <w:div w:id="404763202">
      <w:bodyDiv w:val="1"/>
      <w:marLeft w:val="0"/>
      <w:marRight w:val="0"/>
      <w:marTop w:val="0"/>
      <w:marBottom w:val="0"/>
      <w:divBdr>
        <w:top w:val="none" w:sz="0" w:space="0" w:color="auto"/>
        <w:left w:val="none" w:sz="0" w:space="0" w:color="auto"/>
        <w:bottom w:val="none" w:sz="0" w:space="0" w:color="auto"/>
        <w:right w:val="none" w:sz="0" w:space="0" w:color="auto"/>
      </w:divBdr>
    </w:div>
    <w:div w:id="404881527">
      <w:bodyDiv w:val="1"/>
      <w:marLeft w:val="0"/>
      <w:marRight w:val="0"/>
      <w:marTop w:val="0"/>
      <w:marBottom w:val="0"/>
      <w:divBdr>
        <w:top w:val="none" w:sz="0" w:space="0" w:color="auto"/>
        <w:left w:val="none" w:sz="0" w:space="0" w:color="auto"/>
        <w:bottom w:val="none" w:sz="0" w:space="0" w:color="auto"/>
        <w:right w:val="none" w:sz="0" w:space="0" w:color="auto"/>
      </w:divBdr>
    </w:div>
    <w:div w:id="404958990">
      <w:bodyDiv w:val="1"/>
      <w:marLeft w:val="0"/>
      <w:marRight w:val="0"/>
      <w:marTop w:val="0"/>
      <w:marBottom w:val="0"/>
      <w:divBdr>
        <w:top w:val="none" w:sz="0" w:space="0" w:color="auto"/>
        <w:left w:val="none" w:sz="0" w:space="0" w:color="auto"/>
        <w:bottom w:val="none" w:sz="0" w:space="0" w:color="auto"/>
        <w:right w:val="none" w:sz="0" w:space="0" w:color="auto"/>
      </w:divBdr>
    </w:div>
    <w:div w:id="405033064">
      <w:bodyDiv w:val="1"/>
      <w:marLeft w:val="0"/>
      <w:marRight w:val="0"/>
      <w:marTop w:val="0"/>
      <w:marBottom w:val="0"/>
      <w:divBdr>
        <w:top w:val="none" w:sz="0" w:space="0" w:color="auto"/>
        <w:left w:val="none" w:sz="0" w:space="0" w:color="auto"/>
        <w:bottom w:val="none" w:sz="0" w:space="0" w:color="auto"/>
        <w:right w:val="none" w:sz="0" w:space="0" w:color="auto"/>
      </w:divBdr>
    </w:div>
    <w:div w:id="405036340">
      <w:bodyDiv w:val="1"/>
      <w:marLeft w:val="0"/>
      <w:marRight w:val="0"/>
      <w:marTop w:val="0"/>
      <w:marBottom w:val="0"/>
      <w:divBdr>
        <w:top w:val="none" w:sz="0" w:space="0" w:color="auto"/>
        <w:left w:val="none" w:sz="0" w:space="0" w:color="auto"/>
        <w:bottom w:val="none" w:sz="0" w:space="0" w:color="auto"/>
        <w:right w:val="none" w:sz="0" w:space="0" w:color="auto"/>
      </w:divBdr>
    </w:div>
    <w:div w:id="405155162">
      <w:bodyDiv w:val="1"/>
      <w:marLeft w:val="0"/>
      <w:marRight w:val="0"/>
      <w:marTop w:val="0"/>
      <w:marBottom w:val="0"/>
      <w:divBdr>
        <w:top w:val="none" w:sz="0" w:space="0" w:color="auto"/>
        <w:left w:val="none" w:sz="0" w:space="0" w:color="auto"/>
        <w:bottom w:val="none" w:sz="0" w:space="0" w:color="auto"/>
        <w:right w:val="none" w:sz="0" w:space="0" w:color="auto"/>
      </w:divBdr>
    </w:div>
    <w:div w:id="405300349">
      <w:bodyDiv w:val="1"/>
      <w:marLeft w:val="0"/>
      <w:marRight w:val="0"/>
      <w:marTop w:val="0"/>
      <w:marBottom w:val="0"/>
      <w:divBdr>
        <w:top w:val="none" w:sz="0" w:space="0" w:color="auto"/>
        <w:left w:val="none" w:sz="0" w:space="0" w:color="auto"/>
        <w:bottom w:val="none" w:sz="0" w:space="0" w:color="auto"/>
        <w:right w:val="none" w:sz="0" w:space="0" w:color="auto"/>
      </w:divBdr>
    </w:div>
    <w:div w:id="405348051">
      <w:bodyDiv w:val="1"/>
      <w:marLeft w:val="0"/>
      <w:marRight w:val="0"/>
      <w:marTop w:val="0"/>
      <w:marBottom w:val="0"/>
      <w:divBdr>
        <w:top w:val="none" w:sz="0" w:space="0" w:color="auto"/>
        <w:left w:val="none" w:sz="0" w:space="0" w:color="auto"/>
        <w:bottom w:val="none" w:sz="0" w:space="0" w:color="auto"/>
        <w:right w:val="none" w:sz="0" w:space="0" w:color="auto"/>
      </w:divBdr>
    </w:div>
    <w:div w:id="405416523">
      <w:bodyDiv w:val="1"/>
      <w:marLeft w:val="0"/>
      <w:marRight w:val="0"/>
      <w:marTop w:val="0"/>
      <w:marBottom w:val="0"/>
      <w:divBdr>
        <w:top w:val="none" w:sz="0" w:space="0" w:color="auto"/>
        <w:left w:val="none" w:sz="0" w:space="0" w:color="auto"/>
        <w:bottom w:val="none" w:sz="0" w:space="0" w:color="auto"/>
        <w:right w:val="none" w:sz="0" w:space="0" w:color="auto"/>
      </w:divBdr>
    </w:div>
    <w:div w:id="405423724">
      <w:bodyDiv w:val="1"/>
      <w:marLeft w:val="0"/>
      <w:marRight w:val="0"/>
      <w:marTop w:val="0"/>
      <w:marBottom w:val="0"/>
      <w:divBdr>
        <w:top w:val="none" w:sz="0" w:space="0" w:color="auto"/>
        <w:left w:val="none" w:sz="0" w:space="0" w:color="auto"/>
        <w:bottom w:val="none" w:sz="0" w:space="0" w:color="auto"/>
        <w:right w:val="none" w:sz="0" w:space="0" w:color="auto"/>
      </w:divBdr>
    </w:div>
    <w:div w:id="405495441">
      <w:bodyDiv w:val="1"/>
      <w:marLeft w:val="0"/>
      <w:marRight w:val="0"/>
      <w:marTop w:val="0"/>
      <w:marBottom w:val="0"/>
      <w:divBdr>
        <w:top w:val="none" w:sz="0" w:space="0" w:color="auto"/>
        <w:left w:val="none" w:sz="0" w:space="0" w:color="auto"/>
        <w:bottom w:val="none" w:sz="0" w:space="0" w:color="auto"/>
        <w:right w:val="none" w:sz="0" w:space="0" w:color="auto"/>
      </w:divBdr>
    </w:div>
    <w:div w:id="405539820">
      <w:bodyDiv w:val="1"/>
      <w:marLeft w:val="0"/>
      <w:marRight w:val="0"/>
      <w:marTop w:val="0"/>
      <w:marBottom w:val="0"/>
      <w:divBdr>
        <w:top w:val="none" w:sz="0" w:space="0" w:color="auto"/>
        <w:left w:val="none" w:sz="0" w:space="0" w:color="auto"/>
        <w:bottom w:val="none" w:sz="0" w:space="0" w:color="auto"/>
        <w:right w:val="none" w:sz="0" w:space="0" w:color="auto"/>
      </w:divBdr>
    </w:div>
    <w:div w:id="405612558">
      <w:bodyDiv w:val="1"/>
      <w:marLeft w:val="0"/>
      <w:marRight w:val="0"/>
      <w:marTop w:val="0"/>
      <w:marBottom w:val="0"/>
      <w:divBdr>
        <w:top w:val="none" w:sz="0" w:space="0" w:color="auto"/>
        <w:left w:val="none" w:sz="0" w:space="0" w:color="auto"/>
        <w:bottom w:val="none" w:sz="0" w:space="0" w:color="auto"/>
        <w:right w:val="none" w:sz="0" w:space="0" w:color="auto"/>
      </w:divBdr>
    </w:div>
    <w:div w:id="405616921">
      <w:bodyDiv w:val="1"/>
      <w:marLeft w:val="0"/>
      <w:marRight w:val="0"/>
      <w:marTop w:val="0"/>
      <w:marBottom w:val="0"/>
      <w:divBdr>
        <w:top w:val="none" w:sz="0" w:space="0" w:color="auto"/>
        <w:left w:val="none" w:sz="0" w:space="0" w:color="auto"/>
        <w:bottom w:val="none" w:sz="0" w:space="0" w:color="auto"/>
        <w:right w:val="none" w:sz="0" w:space="0" w:color="auto"/>
      </w:divBdr>
    </w:div>
    <w:div w:id="405685317">
      <w:bodyDiv w:val="1"/>
      <w:marLeft w:val="0"/>
      <w:marRight w:val="0"/>
      <w:marTop w:val="0"/>
      <w:marBottom w:val="0"/>
      <w:divBdr>
        <w:top w:val="none" w:sz="0" w:space="0" w:color="auto"/>
        <w:left w:val="none" w:sz="0" w:space="0" w:color="auto"/>
        <w:bottom w:val="none" w:sz="0" w:space="0" w:color="auto"/>
        <w:right w:val="none" w:sz="0" w:space="0" w:color="auto"/>
      </w:divBdr>
    </w:div>
    <w:div w:id="405689205">
      <w:bodyDiv w:val="1"/>
      <w:marLeft w:val="0"/>
      <w:marRight w:val="0"/>
      <w:marTop w:val="0"/>
      <w:marBottom w:val="0"/>
      <w:divBdr>
        <w:top w:val="none" w:sz="0" w:space="0" w:color="auto"/>
        <w:left w:val="none" w:sz="0" w:space="0" w:color="auto"/>
        <w:bottom w:val="none" w:sz="0" w:space="0" w:color="auto"/>
        <w:right w:val="none" w:sz="0" w:space="0" w:color="auto"/>
      </w:divBdr>
    </w:div>
    <w:div w:id="405690646">
      <w:bodyDiv w:val="1"/>
      <w:marLeft w:val="0"/>
      <w:marRight w:val="0"/>
      <w:marTop w:val="0"/>
      <w:marBottom w:val="0"/>
      <w:divBdr>
        <w:top w:val="none" w:sz="0" w:space="0" w:color="auto"/>
        <w:left w:val="none" w:sz="0" w:space="0" w:color="auto"/>
        <w:bottom w:val="none" w:sz="0" w:space="0" w:color="auto"/>
        <w:right w:val="none" w:sz="0" w:space="0" w:color="auto"/>
      </w:divBdr>
    </w:div>
    <w:div w:id="405734434">
      <w:bodyDiv w:val="1"/>
      <w:marLeft w:val="0"/>
      <w:marRight w:val="0"/>
      <w:marTop w:val="0"/>
      <w:marBottom w:val="0"/>
      <w:divBdr>
        <w:top w:val="none" w:sz="0" w:space="0" w:color="auto"/>
        <w:left w:val="none" w:sz="0" w:space="0" w:color="auto"/>
        <w:bottom w:val="none" w:sz="0" w:space="0" w:color="auto"/>
        <w:right w:val="none" w:sz="0" w:space="0" w:color="auto"/>
      </w:divBdr>
    </w:div>
    <w:div w:id="405954662">
      <w:bodyDiv w:val="1"/>
      <w:marLeft w:val="0"/>
      <w:marRight w:val="0"/>
      <w:marTop w:val="0"/>
      <w:marBottom w:val="0"/>
      <w:divBdr>
        <w:top w:val="none" w:sz="0" w:space="0" w:color="auto"/>
        <w:left w:val="none" w:sz="0" w:space="0" w:color="auto"/>
        <w:bottom w:val="none" w:sz="0" w:space="0" w:color="auto"/>
        <w:right w:val="none" w:sz="0" w:space="0" w:color="auto"/>
      </w:divBdr>
    </w:div>
    <w:div w:id="406149938">
      <w:bodyDiv w:val="1"/>
      <w:marLeft w:val="0"/>
      <w:marRight w:val="0"/>
      <w:marTop w:val="0"/>
      <w:marBottom w:val="0"/>
      <w:divBdr>
        <w:top w:val="none" w:sz="0" w:space="0" w:color="auto"/>
        <w:left w:val="none" w:sz="0" w:space="0" w:color="auto"/>
        <w:bottom w:val="none" w:sz="0" w:space="0" w:color="auto"/>
        <w:right w:val="none" w:sz="0" w:space="0" w:color="auto"/>
      </w:divBdr>
    </w:div>
    <w:div w:id="406267228">
      <w:bodyDiv w:val="1"/>
      <w:marLeft w:val="0"/>
      <w:marRight w:val="0"/>
      <w:marTop w:val="0"/>
      <w:marBottom w:val="0"/>
      <w:divBdr>
        <w:top w:val="none" w:sz="0" w:space="0" w:color="auto"/>
        <w:left w:val="none" w:sz="0" w:space="0" w:color="auto"/>
        <w:bottom w:val="none" w:sz="0" w:space="0" w:color="auto"/>
        <w:right w:val="none" w:sz="0" w:space="0" w:color="auto"/>
      </w:divBdr>
    </w:div>
    <w:div w:id="406346989">
      <w:bodyDiv w:val="1"/>
      <w:marLeft w:val="0"/>
      <w:marRight w:val="0"/>
      <w:marTop w:val="0"/>
      <w:marBottom w:val="0"/>
      <w:divBdr>
        <w:top w:val="none" w:sz="0" w:space="0" w:color="auto"/>
        <w:left w:val="none" w:sz="0" w:space="0" w:color="auto"/>
        <w:bottom w:val="none" w:sz="0" w:space="0" w:color="auto"/>
        <w:right w:val="none" w:sz="0" w:space="0" w:color="auto"/>
      </w:divBdr>
    </w:div>
    <w:div w:id="406347085">
      <w:bodyDiv w:val="1"/>
      <w:marLeft w:val="0"/>
      <w:marRight w:val="0"/>
      <w:marTop w:val="0"/>
      <w:marBottom w:val="0"/>
      <w:divBdr>
        <w:top w:val="none" w:sz="0" w:space="0" w:color="auto"/>
        <w:left w:val="none" w:sz="0" w:space="0" w:color="auto"/>
        <w:bottom w:val="none" w:sz="0" w:space="0" w:color="auto"/>
        <w:right w:val="none" w:sz="0" w:space="0" w:color="auto"/>
      </w:divBdr>
    </w:div>
    <w:div w:id="406537644">
      <w:bodyDiv w:val="1"/>
      <w:marLeft w:val="0"/>
      <w:marRight w:val="0"/>
      <w:marTop w:val="0"/>
      <w:marBottom w:val="0"/>
      <w:divBdr>
        <w:top w:val="none" w:sz="0" w:space="0" w:color="auto"/>
        <w:left w:val="none" w:sz="0" w:space="0" w:color="auto"/>
        <w:bottom w:val="none" w:sz="0" w:space="0" w:color="auto"/>
        <w:right w:val="none" w:sz="0" w:space="0" w:color="auto"/>
      </w:divBdr>
    </w:div>
    <w:div w:id="406616921">
      <w:bodyDiv w:val="1"/>
      <w:marLeft w:val="0"/>
      <w:marRight w:val="0"/>
      <w:marTop w:val="0"/>
      <w:marBottom w:val="0"/>
      <w:divBdr>
        <w:top w:val="none" w:sz="0" w:space="0" w:color="auto"/>
        <w:left w:val="none" w:sz="0" w:space="0" w:color="auto"/>
        <w:bottom w:val="none" w:sz="0" w:space="0" w:color="auto"/>
        <w:right w:val="none" w:sz="0" w:space="0" w:color="auto"/>
      </w:divBdr>
    </w:div>
    <w:div w:id="406653604">
      <w:bodyDiv w:val="1"/>
      <w:marLeft w:val="0"/>
      <w:marRight w:val="0"/>
      <w:marTop w:val="0"/>
      <w:marBottom w:val="0"/>
      <w:divBdr>
        <w:top w:val="none" w:sz="0" w:space="0" w:color="auto"/>
        <w:left w:val="none" w:sz="0" w:space="0" w:color="auto"/>
        <w:bottom w:val="none" w:sz="0" w:space="0" w:color="auto"/>
        <w:right w:val="none" w:sz="0" w:space="0" w:color="auto"/>
      </w:divBdr>
    </w:div>
    <w:div w:id="406726831">
      <w:bodyDiv w:val="1"/>
      <w:marLeft w:val="0"/>
      <w:marRight w:val="0"/>
      <w:marTop w:val="0"/>
      <w:marBottom w:val="0"/>
      <w:divBdr>
        <w:top w:val="none" w:sz="0" w:space="0" w:color="auto"/>
        <w:left w:val="none" w:sz="0" w:space="0" w:color="auto"/>
        <w:bottom w:val="none" w:sz="0" w:space="0" w:color="auto"/>
        <w:right w:val="none" w:sz="0" w:space="0" w:color="auto"/>
      </w:divBdr>
    </w:div>
    <w:div w:id="406728654">
      <w:bodyDiv w:val="1"/>
      <w:marLeft w:val="0"/>
      <w:marRight w:val="0"/>
      <w:marTop w:val="0"/>
      <w:marBottom w:val="0"/>
      <w:divBdr>
        <w:top w:val="none" w:sz="0" w:space="0" w:color="auto"/>
        <w:left w:val="none" w:sz="0" w:space="0" w:color="auto"/>
        <w:bottom w:val="none" w:sz="0" w:space="0" w:color="auto"/>
        <w:right w:val="none" w:sz="0" w:space="0" w:color="auto"/>
      </w:divBdr>
    </w:div>
    <w:div w:id="406852344">
      <w:bodyDiv w:val="1"/>
      <w:marLeft w:val="0"/>
      <w:marRight w:val="0"/>
      <w:marTop w:val="0"/>
      <w:marBottom w:val="0"/>
      <w:divBdr>
        <w:top w:val="none" w:sz="0" w:space="0" w:color="auto"/>
        <w:left w:val="none" w:sz="0" w:space="0" w:color="auto"/>
        <w:bottom w:val="none" w:sz="0" w:space="0" w:color="auto"/>
        <w:right w:val="none" w:sz="0" w:space="0" w:color="auto"/>
      </w:divBdr>
    </w:div>
    <w:div w:id="406927855">
      <w:bodyDiv w:val="1"/>
      <w:marLeft w:val="0"/>
      <w:marRight w:val="0"/>
      <w:marTop w:val="0"/>
      <w:marBottom w:val="0"/>
      <w:divBdr>
        <w:top w:val="none" w:sz="0" w:space="0" w:color="auto"/>
        <w:left w:val="none" w:sz="0" w:space="0" w:color="auto"/>
        <w:bottom w:val="none" w:sz="0" w:space="0" w:color="auto"/>
        <w:right w:val="none" w:sz="0" w:space="0" w:color="auto"/>
      </w:divBdr>
    </w:div>
    <w:div w:id="406995514">
      <w:bodyDiv w:val="1"/>
      <w:marLeft w:val="0"/>
      <w:marRight w:val="0"/>
      <w:marTop w:val="0"/>
      <w:marBottom w:val="0"/>
      <w:divBdr>
        <w:top w:val="none" w:sz="0" w:space="0" w:color="auto"/>
        <w:left w:val="none" w:sz="0" w:space="0" w:color="auto"/>
        <w:bottom w:val="none" w:sz="0" w:space="0" w:color="auto"/>
        <w:right w:val="none" w:sz="0" w:space="0" w:color="auto"/>
      </w:divBdr>
    </w:div>
    <w:div w:id="406996845">
      <w:bodyDiv w:val="1"/>
      <w:marLeft w:val="0"/>
      <w:marRight w:val="0"/>
      <w:marTop w:val="0"/>
      <w:marBottom w:val="0"/>
      <w:divBdr>
        <w:top w:val="none" w:sz="0" w:space="0" w:color="auto"/>
        <w:left w:val="none" w:sz="0" w:space="0" w:color="auto"/>
        <w:bottom w:val="none" w:sz="0" w:space="0" w:color="auto"/>
        <w:right w:val="none" w:sz="0" w:space="0" w:color="auto"/>
      </w:divBdr>
    </w:div>
    <w:div w:id="407000000">
      <w:bodyDiv w:val="1"/>
      <w:marLeft w:val="0"/>
      <w:marRight w:val="0"/>
      <w:marTop w:val="0"/>
      <w:marBottom w:val="0"/>
      <w:divBdr>
        <w:top w:val="none" w:sz="0" w:space="0" w:color="auto"/>
        <w:left w:val="none" w:sz="0" w:space="0" w:color="auto"/>
        <w:bottom w:val="none" w:sz="0" w:space="0" w:color="auto"/>
        <w:right w:val="none" w:sz="0" w:space="0" w:color="auto"/>
      </w:divBdr>
    </w:div>
    <w:div w:id="407188041">
      <w:bodyDiv w:val="1"/>
      <w:marLeft w:val="0"/>
      <w:marRight w:val="0"/>
      <w:marTop w:val="0"/>
      <w:marBottom w:val="0"/>
      <w:divBdr>
        <w:top w:val="none" w:sz="0" w:space="0" w:color="auto"/>
        <w:left w:val="none" w:sz="0" w:space="0" w:color="auto"/>
        <w:bottom w:val="none" w:sz="0" w:space="0" w:color="auto"/>
        <w:right w:val="none" w:sz="0" w:space="0" w:color="auto"/>
      </w:divBdr>
    </w:div>
    <w:div w:id="407194713">
      <w:bodyDiv w:val="1"/>
      <w:marLeft w:val="0"/>
      <w:marRight w:val="0"/>
      <w:marTop w:val="0"/>
      <w:marBottom w:val="0"/>
      <w:divBdr>
        <w:top w:val="none" w:sz="0" w:space="0" w:color="auto"/>
        <w:left w:val="none" w:sz="0" w:space="0" w:color="auto"/>
        <w:bottom w:val="none" w:sz="0" w:space="0" w:color="auto"/>
        <w:right w:val="none" w:sz="0" w:space="0" w:color="auto"/>
      </w:divBdr>
    </w:div>
    <w:div w:id="407265384">
      <w:bodyDiv w:val="1"/>
      <w:marLeft w:val="0"/>
      <w:marRight w:val="0"/>
      <w:marTop w:val="0"/>
      <w:marBottom w:val="0"/>
      <w:divBdr>
        <w:top w:val="none" w:sz="0" w:space="0" w:color="auto"/>
        <w:left w:val="none" w:sz="0" w:space="0" w:color="auto"/>
        <w:bottom w:val="none" w:sz="0" w:space="0" w:color="auto"/>
        <w:right w:val="none" w:sz="0" w:space="0" w:color="auto"/>
      </w:divBdr>
    </w:div>
    <w:div w:id="407269461">
      <w:bodyDiv w:val="1"/>
      <w:marLeft w:val="0"/>
      <w:marRight w:val="0"/>
      <w:marTop w:val="0"/>
      <w:marBottom w:val="0"/>
      <w:divBdr>
        <w:top w:val="none" w:sz="0" w:space="0" w:color="auto"/>
        <w:left w:val="none" w:sz="0" w:space="0" w:color="auto"/>
        <w:bottom w:val="none" w:sz="0" w:space="0" w:color="auto"/>
        <w:right w:val="none" w:sz="0" w:space="0" w:color="auto"/>
      </w:divBdr>
    </w:div>
    <w:div w:id="407385190">
      <w:bodyDiv w:val="1"/>
      <w:marLeft w:val="0"/>
      <w:marRight w:val="0"/>
      <w:marTop w:val="0"/>
      <w:marBottom w:val="0"/>
      <w:divBdr>
        <w:top w:val="none" w:sz="0" w:space="0" w:color="auto"/>
        <w:left w:val="none" w:sz="0" w:space="0" w:color="auto"/>
        <w:bottom w:val="none" w:sz="0" w:space="0" w:color="auto"/>
        <w:right w:val="none" w:sz="0" w:space="0" w:color="auto"/>
      </w:divBdr>
    </w:div>
    <w:div w:id="407386878">
      <w:bodyDiv w:val="1"/>
      <w:marLeft w:val="0"/>
      <w:marRight w:val="0"/>
      <w:marTop w:val="0"/>
      <w:marBottom w:val="0"/>
      <w:divBdr>
        <w:top w:val="none" w:sz="0" w:space="0" w:color="auto"/>
        <w:left w:val="none" w:sz="0" w:space="0" w:color="auto"/>
        <w:bottom w:val="none" w:sz="0" w:space="0" w:color="auto"/>
        <w:right w:val="none" w:sz="0" w:space="0" w:color="auto"/>
      </w:divBdr>
    </w:div>
    <w:div w:id="407532152">
      <w:bodyDiv w:val="1"/>
      <w:marLeft w:val="0"/>
      <w:marRight w:val="0"/>
      <w:marTop w:val="0"/>
      <w:marBottom w:val="0"/>
      <w:divBdr>
        <w:top w:val="none" w:sz="0" w:space="0" w:color="auto"/>
        <w:left w:val="none" w:sz="0" w:space="0" w:color="auto"/>
        <w:bottom w:val="none" w:sz="0" w:space="0" w:color="auto"/>
        <w:right w:val="none" w:sz="0" w:space="0" w:color="auto"/>
      </w:divBdr>
    </w:div>
    <w:div w:id="407581877">
      <w:bodyDiv w:val="1"/>
      <w:marLeft w:val="0"/>
      <w:marRight w:val="0"/>
      <w:marTop w:val="0"/>
      <w:marBottom w:val="0"/>
      <w:divBdr>
        <w:top w:val="none" w:sz="0" w:space="0" w:color="auto"/>
        <w:left w:val="none" w:sz="0" w:space="0" w:color="auto"/>
        <w:bottom w:val="none" w:sz="0" w:space="0" w:color="auto"/>
        <w:right w:val="none" w:sz="0" w:space="0" w:color="auto"/>
      </w:divBdr>
    </w:div>
    <w:div w:id="407582216">
      <w:bodyDiv w:val="1"/>
      <w:marLeft w:val="0"/>
      <w:marRight w:val="0"/>
      <w:marTop w:val="0"/>
      <w:marBottom w:val="0"/>
      <w:divBdr>
        <w:top w:val="none" w:sz="0" w:space="0" w:color="auto"/>
        <w:left w:val="none" w:sz="0" w:space="0" w:color="auto"/>
        <w:bottom w:val="none" w:sz="0" w:space="0" w:color="auto"/>
        <w:right w:val="none" w:sz="0" w:space="0" w:color="auto"/>
      </w:divBdr>
    </w:div>
    <w:div w:id="407658798">
      <w:bodyDiv w:val="1"/>
      <w:marLeft w:val="0"/>
      <w:marRight w:val="0"/>
      <w:marTop w:val="0"/>
      <w:marBottom w:val="0"/>
      <w:divBdr>
        <w:top w:val="none" w:sz="0" w:space="0" w:color="auto"/>
        <w:left w:val="none" w:sz="0" w:space="0" w:color="auto"/>
        <w:bottom w:val="none" w:sz="0" w:space="0" w:color="auto"/>
        <w:right w:val="none" w:sz="0" w:space="0" w:color="auto"/>
      </w:divBdr>
    </w:div>
    <w:div w:id="407727752">
      <w:bodyDiv w:val="1"/>
      <w:marLeft w:val="0"/>
      <w:marRight w:val="0"/>
      <w:marTop w:val="0"/>
      <w:marBottom w:val="0"/>
      <w:divBdr>
        <w:top w:val="none" w:sz="0" w:space="0" w:color="auto"/>
        <w:left w:val="none" w:sz="0" w:space="0" w:color="auto"/>
        <w:bottom w:val="none" w:sz="0" w:space="0" w:color="auto"/>
        <w:right w:val="none" w:sz="0" w:space="0" w:color="auto"/>
      </w:divBdr>
    </w:div>
    <w:div w:id="407843888">
      <w:bodyDiv w:val="1"/>
      <w:marLeft w:val="0"/>
      <w:marRight w:val="0"/>
      <w:marTop w:val="0"/>
      <w:marBottom w:val="0"/>
      <w:divBdr>
        <w:top w:val="none" w:sz="0" w:space="0" w:color="auto"/>
        <w:left w:val="none" w:sz="0" w:space="0" w:color="auto"/>
        <w:bottom w:val="none" w:sz="0" w:space="0" w:color="auto"/>
        <w:right w:val="none" w:sz="0" w:space="0" w:color="auto"/>
      </w:divBdr>
    </w:div>
    <w:div w:id="407849741">
      <w:bodyDiv w:val="1"/>
      <w:marLeft w:val="0"/>
      <w:marRight w:val="0"/>
      <w:marTop w:val="0"/>
      <w:marBottom w:val="0"/>
      <w:divBdr>
        <w:top w:val="none" w:sz="0" w:space="0" w:color="auto"/>
        <w:left w:val="none" w:sz="0" w:space="0" w:color="auto"/>
        <w:bottom w:val="none" w:sz="0" w:space="0" w:color="auto"/>
        <w:right w:val="none" w:sz="0" w:space="0" w:color="auto"/>
      </w:divBdr>
    </w:div>
    <w:div w:id="407927300">
      <w:bodyDiv w:val="1"/>
      <w:marLeft w:val="0"/>
      <w:marRight w:val="0"/>
      <w:marTop w:val="0"/>
      <w:marBottom w:val="0"/>
      <w:divBdr>
        <w:top w:val="none" w:sz="0" w:space="0" w:color="auto"/>
        <w:left w:val="none" w:sz="0" w:space="0" w:color="auto"/>
        <w:bottom w:val="none" w:sz="0" w:space="0" w:color="auto"/>
        <w:right w:val="none" w:sz="0" w:space="0" w:color="auto"/>
      </w:divBdr>
    </w:div>
    <w:div w:id="407969509">
      <w:bodyDiv w:val="1"/>
      <w:marLeft w:val="0"/>
      <w:marRight w:val="0"/>
      <w:marTop w:val="0"/>
      <w:marBottom w:val="0"/>
      <w:divBdr>
        <w:top w:val="none" w:sz="0" w:space="0" w:color="auto"/>
        <w:left w:val="none" w:sz="0" w:space="0" w:color="auto"/>
        <w:bottom w:val="none" w:sz="0" w:space="0" w:color="auto"/>
        <w:right w:val="none" w:sz="0" w:space="0" w:color="auto"/>
      </w:divBdr>
    </w:div>
    <w:div w:id="408041396">
      <w:bodyDiv w:val="1"/>
      <w:marLeft w:val="0"/>
      <w:marRight w:val="0"/>
      <w:marTop w:val="0"/>
      <w:marBottom w:val="0"/>
      <w:divBdr>
        <w:top w:val="none" w:sz="0" w:space="0" w:color="auto"/>
        <w:left w:val="none" w:sz="0" w:space="0" w:color="auto"/>
        <w:bottom w:val="none" w:sz="0" w:space="0" w:color="auto"/>
        <w:right w:val="none" w:sz="0" w:space="0" w:color="auto"/>
      </w:divBdr>
    </w:div>
    <w:div w:id="408190280">
      <w:bodyDiv w:val="1"/>
      <w:marLeft w:val="0"/>
      <w:marRight w:val="0"/>
      <w:marTop w:val="0"/>
      <w:marBottom w:val="0"/>
      <w:divBdr>
        <w:top w:val="none" w:sz="0" w:space="0" w:color="auto"/>
        <w:left w:val="none" w:sz="0" w:space="0" w:color="auto"/>
        <w:bottom w:val="none" w:sz="0" w:space="0" w:color="auto"/>
        <w:right w:val="none" w:sz="0" w:space="0" w:color="auto"/>
      </w:divBdr>
    </w:div>
    <w:div w:id="408312707">
      <w:bodyDiv w:val="1"/>
      <w:marLeft w:val="0"/>
      <w:marRight w:val="0"/>
      <w:marTop w:val="0"/>
      <w:marBottom w:val="0"/>
      <w:divBdr>
        <w:top w:val="none" w:sz="0" w:space="0" w:color="auto"/>
        <w:left w:val="none" w:sz="0" w:space="0" w:color="auto"/>
        <w:bottom w:val="none" w:sz="0" w:space="0" w:color="auto"/>
        <w:right w:val="none" w:sz="0" w:space="0" w:color="auto"/>
      </w:divBdr>
    </w:div>
    <w:div w:id="408383570">
      <w:bodyDiv w:val="1"/>
      <w:marLeft w:val="0"/>
      <w:marRight w:val="0"/>
      <w:marTop w:val="0"/>
      <w:marBottom w:val="0"/>
      <w:divBdr>
        <w:top w:val="none" w:sz="0" w:space="0" w:color="auto"/>
        <w:left w:val="none" w:sz="0" w:space="0" w:color="auto"/>
        <w:bottom w:val="none" w:sz="0" w:space="0" w:color="auto"/>
        <w:right w:val="none" w:sz="0" w:space="0" w:color="auto"/>
      </w:divBdr>
    </w:div>
    <w:div w:id="408423503">
      <w:bodyDiv w:val="1"/>
      <w:marLeft w:val="0"/>
      <w:marRight w:val="0"/>
      <w:marTop w:val="0"/>
      <w:marBottom w:val="0"/>
      <w:divBdr>
        <w:top w:val="none" w:sz="0" w:space="0" w:color="auto"/>
        <w:left w:val="none" w:sz="0" w:space="0" w:color="auto"/>
        <w:bottom w:val="none" w:sz="0" w:space="0" w:color="auto"/>
        <w:right w:val="none" w:sz="0" w:space="0" w:color="auto"/>
      </w:divBdr>
    </w:div>
    <w:div w:id="408427201">
      <w:bodyDiv w:val="1"/>
      <w:marLeft w:val="0"/>
      <w:marRight w:val="0"/>
      <w:marTop w:val="0"/>
      <w:marBottom w:val="0"/>
      <w:divBdr>
        <w:top w:val="none" w:sz="0" w:space="0" w:color="auto"/>
        <w:left w:val="none" w:sz="0" w:space="0" w:color="auto"/>
        <w:bottom w:val="none" w:sz="0" w:space="0" w:color="auto"/>
        <w:right w:val="none" w:sz="0" w:space="0" w:color="auto"/>
      </w:divBdr>
    </w:div>
    <w:div w:id="408429133">
      <w:bodyDiv w:val="1"/>
      <w:marLeft w:val="0"/>
      <w:marRight w:val="0"/>
      <w:marTop w:val="0"/>
      <w:marBottom w:val="0"/>
      <w:divBdr>
        <w:top w:val="none" w:sz="0" w:space="0" w:color="auto"/>
        <w:left w:val="none" w:sz="0" w:space="0" w:color="auto"/>
        <w:bottom w:val="none" w:sz="0" w:space="0" w:color="auto"/>
        <w:right w:val="none" w:sz="0" w:space="0" w:color="auto"/>
      </w:divBdr>
    </w:div>
    <w:div w:id="408502575">
      <w:bodyDiv w:val="1"/>
      <w:marLeft w:val="0"/>
      <w:marRight w:val="0"/>
      <w:marTop w:val="0"/>
      <w:marBottom w:val="0"/>
      <w:divBdr>
        <w:top w:val="none" w:sz="0" w:space="0" w:color="auto"/>
        <w:left w:val="none" w:sz="0" w:space="0" w:color="auto"/>
        <w:bottom w:val="none" w:sz="0" w:space="0" w:color="auto"/>
        <w:right w:val="none" w:sz="0" w:space="0" w:color="auto"/>
      </w:divBdr>
    </w:div>
    <w:div w:id="408578478">
      <w:bodyDiv w:val="1"/>
      <w:marLeft w:val="0"/>
      <w:marRight w:val="0"/>
      <w:marTop w:val="0"/>
      <w:marBottom w:val="0"/>
      <w:divBdr>
        <w:top w:val="none" w:sz="0" w:space="0" w:color="auto"/>
        <w:left w:val="none" w:sz="0" w:space="0" w:color="auto"/>
        <w:bottom w:val="none" w:sz="0" w:space="0" w:color="auto"/>
        <w:right w:val="none" w:sz="0" w:space="0" w:color="auto"/>
      </w:divBdr>
    </w:div>
    <w:div w:id="408580636">
      <w:bodyDiv w:val="1"/>
      <w:marLeft w:val="0"/>
      <w:marRight w:val="0"/>
      <w:marTop w:val="0"/>
      <w:marBottom w:val="0"/>
      <w:divBdr>
        <w:top w:val="none" w:sz="0" w:space="0" w:color="auto"/>
        <w:left w:val="none" w:sz="0" w:space="0" w:color="auto"/>
        <w:bottom w:val="none" w:sz="0" w:space="0" w:color="auto"/>
        <w:right w:val="none" w:sz="0" w:space="0" w:color="auto"/>
      </w:divBdr>
    </w:div>
    <w:div w:id="408620229">
      <w:bodyDiv w:val="1"/>
      <w:marLeft w:val="0"/>
      <w:marRight w:val="0"/>
      <w:marTop w:val="0"/>
      <w:marBottom w:val="0"/>
      <w:divBdr>
        <w:top w:val="none" w:sz="0" w:space="0" w:color="auto"/>
        <w:left w:val="none" w:sz="0" w:space="0" w:color="auto"/>
        <w:bottom w:val="none" w:sz="0" w:space="0" w:color="auto"/>
        <w:right w:val="none" w:sz="0" w:space="0" w:color="auto"/>
      </w:divBdr>
    </w:div>
    <w:div w:id="408622550">
      <w:bodyDiv w:val="1"/>
      <w:marLeft w:val="0"/>
      <w:marRight w:val="0"/>
      <w:marTop w:val="0"/>
      <w:marBottom w:val="0"/>
      <w:divBdr>
        <w:top w:val="none" w:sz="0" w:space="0" w:color="auto"/>
        <w:left w:val="none" w:sz="0" w:space="0" w:color="auto"/>
        <w:bottom w:val="none" w:sz="0" w:space="0" w:color="auto"/>
        <w:right w:val="none" w:sz="0" w:space="0" w:color="auto"/>
      </w:divBdr>
    </w:div>
    <w:div w:id="408775647">
      <w:bodyDiv w:val="1"/>
      <w:marLeft w:val="0"/>
      <w:marRight w:val="0"/>
      <w:marTop w:val="0"/>
      <w:marBottom w:val="0"/>
      <w:divBdr>
        <w:top w:val="none" w:sz="0" w:space="0" w:color="auto"/>
        <w:left w:val="none" w:sz="0" w:space="0" w:color="auto"/>
        <w:bottom w:val="none" w:sz="0" w:space="0" w:color="auto"/>
        <w:right w:val="none" w:sz="0" w:space="0" w:color="auto"/>
      </w:divBdr>
    </w:div>
    <w:div w:id="408845684">
      <w:bodyDiv w:val="1"/>
      <w:marLeft w:val="0"/>
      <w:marRight w:val="0"/>
      <w:marTop w:val="0"/>
      <w:marBottom w:val="0"/>
      <w:divBdr>
        <w:top w:val="none" w:sz="0" w:space="0" w:color="auto"/>
        <w:left w:val="none" w:sz="0" w:space="0" w:color="auto"/>
        <w:bottom w:val="none" w:sz="0" w:space="0" w:color="auto"/>
        <w:right w:val="none" w:sz="0" w:space="0" w:color="auto"/>
      </w:divBdr>
    </w:div>
    <w:div w:id="408885189">
      <w:bodyDiv w:val="1"/>
      <w:marLeft w:val="0"/>
      <w:marRight w:val="0"/>
      <w:marTop w:val="0"/>
      <w:marBottom w:val="0"/>
      <w:divBdr>
        <w:top w:val="none" w:sz="0" w:space="0" w:color="auto"/>
        <w:left w:val="none" w:sz="0" w:space="0" w:color="auto"/>
        <w:bottom w:val="none" w:sz="0" w:space="0" w:color="auto"/>
        <w:right w:val="none" w:sz="0" w:space="0" w:color="auto"/>
      </w:divBdr>
    </w:div>
    <w:div w:id="408964193">
      <w:bodyDiv w:val="1"/>
      <w:marLeft w:val="0"/>
      <w:marRight w:val="0"/>
      <w:marTop w:val="0"/>
      <w:marBottom w:val="0"/>
      <w:divBdr>
        <w:top w:val="none" w:sz="0" w:space="0" w:color="auto"/>
        <w:left w:val="none" w:sz="0" w:space="0" w:color="auto"/>
        <w:bottom w:val="none" w:sz="0" w:space="0" w:color="auto"/>
        <w:right w:val="none" w:sz="0" w:space="0" w:color="auto"/>
      </w:divBdr>
    </w:div>
    <w:div w:id="408965366">
      <w:bodyDiv w:val="1"/>
      <w:marLeft w:val="0"/>
      <w:marRight w:val="0"/>
      <w:marTop w:val="0"/>
      <w:marBottom w:val="0"/>
      <w:divBdr>
        <w:top w:val="none" w:sz="0" w:space="0" w:color="auto"/>
        <w:left w:val="none" w:sz="0" w:space="0" w:color="auto"/>
        <w:bottom w:val="none" w:sz="0" w:space="0" w:color="auto"/>
        <w:right w:val="none" w:sz="0" w:space="0" w:color="auto"/>
      </w:divBdr>
    </w:div>
    <w:div w:id="409155558">
      <w:bodyDiv w:val="1"/>
      <w:marLeft w:val="0"/>
      <w:marRight w:val="0"/>
      <w:marTop w:val="0"/>
      <w:marBottom w:val="0"/>
      <w:divBdr>
        <w:top w:val="none" w:sz="0" w:space="0" w:color="auto"/>
        <w:left w:val="none" w:sz="0" w:space="0" w:color="auto"/>
        <w:bottom w:val="none" w:sz="0" w:space="0" w:color="auto"/>
        <w:right w:val="none" w:sz="0" w:space="0" w:color="auto"/>
      </w:divBdr>
    </w:div>
    <w:div w:id="409230940">
      <w:bodyDiv w:val="1"/>
      <w:marLeft w:val="0"/>
      <w:marRight w:val="0"/>
      <w:marTop w:val="0"/>
      <w:marBottom w:val="0"/>
      <w:divBdr>
        <w:top w:val="none" w:sz="0" w:space="0" w:color="auto"/>
        <w:left w:val="none" w:sz="0" w:space="0" w:color="auto"/>
        <w:bottom w:val="none" w:sz="0" w:space="0" w:color="auto"/>
        <w:right w:val="none" w:sz="0" w:space="0" w:color="auto"/>
      </w:divBdr>
    </w:div>
    <w:div w:id="409231052">
      <w:bodyDiv w:val="1"/>
      <w:marLeft w:val="0"/>
      <w:marRight w:val="0"/>
      <w:marTop w:val="0"/>
      <w:marBottom w:val="0"/>
      <w:divBdr>
        <w:top w:val="none" w:sz="0" w:space="0" w:color="auto"/>
        <w:left w:val="none" w:sz="0" w:space="0" w:color="auto"/>
        <w:bottom w:val="none" w:sz="0" w:space="0" w:color="auto"/>
        <w:right w:val="none" w:sz="0" w:space="0" w:color="auto"/>
      </w:divBdr>
    </w:div>
    <w:div w:id="409348110">
      <w:bodyDiv w:val="1"/>
      <w:marLeft w:val="0"/>
      <w:marRight w:val="0"/>
      <w:marTop w:val="0"/>
      <w:marBottom w:val="0"/>
      <w:divBdr>
        <w:top w:val="none" w:sz="0" w:space="0" w:color="auto"/>
        <w:left w:val="none" w:sz="0" w:space="0" w:color="auto"/>
        <w:bottom w:val="none" w:sz="0" w:space="0" w:color="auto"/>
        <w:right w:val="none" w:sz="0" w:space="0" w:color="auto"/>
      </w:divBdr>
    </w:div>
    <w:div w:id="409427464">
      <w:bodyDiv w:val="1"/>
      <w:marLeft w:val="0"/>
      <w:marRight w:val="0"/>
      <w:marTop w:val="0"/>
      <w:marBottom w:val="0"/>
      <w:divBdr>
        <w:top w:val="none" w:sz="0" w:space="0" w:color="auto"/>
        <w:left w:val="none" w:sz="0" w:space="0" w:color="auto"/>
        <w:bottom w:val="none" w:sz="0" w:space="0" w:color="auto"/>
        <w:right w:val="none" w:sz="0" w:space="0" w:color="auto"/>
      </w:divBdr>
    </w:div>
    <w:div w:id="409500448">
      <w:bodyDiv w:val="1"/>
      <w:marLeft w:val="0"/>
      <w:marRight w:val="0"/>
      <w:marTop w:val="0"/>
      <w:marBottom w:val="0"/>
      <w:divBdr>
        <w:top w:val="none" w:sz="0" w:space="0" w:color="auto"/>
        <w:left w:val="none" w:sz="0" w:space="0" w:color="auto"/>
        <w:bottom w:val="none" w:sz="0" w:space="0" w:color="auto"/>
        <w:right w:val="none" w:sz="0" w:space="0" w:color="auto"/>
      </w:divBdr>
    </w:div>
    <w:div w:id="409543714">
      <w:bodyDiv w:val="1"/>
      <w:marLeft w:val="0"/>
      <w:marRight w:val="0"/>
      <w:marTop w:val="0"/>
      <w:marBottom w:val="0"/>
      <w:divBdr>
        <w:top w:val="none" w:sz="0" w:space="0" w:color="auto"/>
        <w:left w:val="none" w:sz="0" w:space="0" w:color="auto"/>
        <w:bottom w:val="none" w:sz="0" w:space="0" w:color="auto"/>
        <w:right w:val="none" w:sz="0" w:space="0" w:color="auto"/>
      </w:divBdr>
    </w:div>
    <w:div w:id="409547601">
      <w:bodyDiv w:val="1"/>
      <w:marLeft w:val="0"/>
      <w:marRight w:val="0"/>
      <w:marTop w:val="0"/>
      <w:marBottom w:val="0"/>
      <w:divBdr>
        <w:top w:val="none" w:sz="0" w:space="0" w:color="auto"/>
        <w:left w:val="none" w:sz="0" w:space="0" w:color="auto"/>
        <w:bottom w:val="none" w:sz="0" w:space="0" w:color="auto"/>
        <w:right w:val="none" w:sz="0" w:space="0" w:color="auto"/>
      </w:divBdr>
    </w:div>
    <w:div w:id="409618038">
      <w:bodyDiv w:val="1"/>
      <w:marLeft w:val="0"/>
      <w:marRight w:val="0"/>
      <w:marTop w:val="0"/>
      <w:marBottom w:val="0"/>
      <w:divBdr>
        <w:top w:val="none" w:sz="0" w:space="0" w:color="auto"/>
        <w:left w:val="none" w:sz="0" w:space="0" w:color="auto"/>
        <w:bottom w:val="none" w:sz="0" w:space="0" w:color="auto"/>
        <w:right w:val="none" w:sz="0" w:space="0" w:color="auto"/>
      </w:divBdr>
    </w:div>
    <w:div w:id="409693564">
      <w:bodyDiv w:val="1"/>
      <w:marLeft w:val="0"/>
      <w:marRight w:val="0"/>
      <w:marTop w:val="0"/>
      <w:marBottom w:val="0"/>
      <w:divBdr>
        <w:top w:val="none" w:sz="0" w:space="0" w:color="auto"/>
        <w:left w:val="none" w:sz="0" w:space="0" w:color="auto"/>
        <w:bottom w:val="none" w:sz="0" w:space="0" w:color="auto"/>
        <w:right w:val="none" w:sz="0" w:space="0" w:color="auto"/>
      </w:divBdr>
    </w:div>
    <w:div w:id="409736253">
      <w:bodyDiv w:val="1"/>
      <w:marLeft w:val="0"/>
      <w:marRight w:val="0"/>
      <w:marTop w:val="0"/>
      <w:marBottom w:val="0"/>
      <w:divBdr>
        <w:top w:val="none" w:sz="0" w:space="0" w:color="auto"/>
        <w:left w:val="none" w:sz="0" w:space="0" w:color="auto"/>
        <w:bottom w:val="none" w:sz="0" w:space="0" w:color="auto"/>
        <w:right w:val="none" w:sz="0" w:space="0" w:color="auto"/>
      </w:divBdr>
    </w:div>
    <w:div w:id="409740535">
      <w:bodyDiv w:val="1"/>
      <w:marLeft w:val="0"/>
      <w:marRight w:val="0"/>
      <w:marTop w:val="0"/>
      <w:marBottom w:val="0"/>
      <w:divBdr>
        <w:top w:val="none" w:sz="0" w:space="0" w:color="auto"/>
        <w:left w:val="none" w:sz="0" w:space="0" w:color="auto"/>
        <w:bottom w:val="none" w:sz="0" w:space="0" w:color="auto"/>
        <w:right w:val="none" w:sz="0" w:space="0" w:color="auto"/>
      </w:divBdr>
    </w:div>
    <w:div w:id="409741790">
      <w:bodyDiv w:val="1"/>
      <w:marLeft w:val="0"/>
      <w:marRight w:val="0"/>
      <w:marTop w:val="0"/>
      <w:marBottom w:val="0"/>
      <w:divBdr>
        <w:top w:val="none" w:sz="0" w:space="0" w:color="auto"/>
        <w:left w:val="none" w:sz="0" w:space="0" w:color="auto"/>
        <w:bottom w:val="none" w:sz="0" w:space="0" w:color="auto"/>
        <w:right w:val="none" w:sz="0" w:space="0" w:color="auto"/>
      </w:divBdr>
    </w:div>
    <w:div w:id="409814303">
      <w:bodyDiv w:val="1"/>
      <w:marLeft w:val="0"/>
      <w:marRight w:val="0"/>
      <w:marTop w:val="0"/>
      <w:marBottom w:val="0"/>
      <w:divBdr>
        <w:top w:val="none" w:sz="0" w:space="0" w:color="auto"/>
        <w:left w:val="none" w:sz="0" w:space="0" w:color="auto"/>
        <w:bottom w:val="none" w:sz="0" w:space="0" w:color="auto"/>
        <w:right w:val="none" w:sz="0" w:space="0" w:color="auto"/>
      </w:divBdr>
    </w:div>
    <w:div w:id="409892291">
      <w:bodyDiv w:val="1"/>
      <w:marLeft w:val="0"/>
      <w:marRight w:val="0"/>
      <w:marTop w:val="0"/>
      <w:marBottom w:val="0"/>
      <w:divBdr>
        <w:top w:val="none" w:sz="0" w:space="0" w:color="auto"/>
        <w:left w:val="none" w:sz="0" w:space="0" w:color="auto"/>
        <w:bottom w:val="none" w:sz="0" w:space="0" w:color="auto"/>
        <w:right w:val="none" w:sz="0" w:space="0" w:color="auto"/>
      </w:divBdr>
    </w:div>
    <w:div w:id="409934312">
      <w:bodyDiv w:val="1"/>
      <w:marLeft w:val="0"/>
      <w:marRight w:val="0"/>
      <w:marTop w:val="0"/>
      <w:marBottom w:val="0"/>
      <w:divBdr>
        <w:top w:val="none" w:sz="0" w:space="0" w:color="auto"/>
        <w:left w:val="none" w:sz="0" w:space="0" w:color="auto"/>
        <w:bottom w:val="none" w:sz="0" w:space="0" w:color="auto"/>
        <w:right w:val="none" w:sz="0" w:space="0" w:color="auto"/>
      </w:divBdr>
    </w:div>
    <w:div w:id="410002289">
      <w:bodyDiv w:val="1"/>
      <w:marLeft w:val="0"/>
      <w:marRight w:val="0"/>
      <w:marTop w:val="0"/>
      <w:marBottom w:val="0"/>
      <w:divBdr>
        <w:top w:val="none" w:sz="0" w:space="0" w:color="auto"/>
        <w:left w:val="none" w:sz="0" w:space="0" w:color="auto"/>
        <w:bottom w:val="none" w:sz="0" w:space="0" w:color="auto"/>
        <w:right w:val="none" w:sz="0" w:space="0" w:color="auto"/>
      </w:divBdr>
    </w:div>
    <w:div w:id="410005564">
      <w:bodyDiv w:val="1"/>
      <w:marLeft w:val="0"/>
      <w:marRight w:val="0"/>
      <w:marTop w:val="0"/>
      <w:marBottom w:val="0"/>
      <w:divBdr>
        <w:top w:val="none" w:sz="0" w:space="0" w:color="auto"/>
        <w:left w:val="none" w:sz="0" w:space="0" w:color="auto"/>
        <w:bottom w:val="none" w:sz="0" w:space="0" w:color="auto"/>
        <w:right w:val="none" w:sz="0" w:space="0" w:color="auto"/>
      </w:divBdr>
    </w:div>
    <w:div w:id="410008919">
      <w:bodyDiv w:val="1"/>
      <w:marLeft w:val="0"/>
      <w:marRight w:val="0"/>
      <w:marTop w:val="0"/>
      <w:marBottom w:val="0"/>
      <w:divBdr>
        <w:top w:val="none" w:sz="0" w:space="0" w:color="auto"/>
        <w:left w:val="none" w:sz="0" w:space="0" w:color="auto"/>
        <w:bottom w:val="none" w:sz="0" w:space="0" w:color="auto"/>
        <w:right w:val="none" w:sz="0" w:space="0" w:color="auto"/>
      </w:divBdr>
    </w:div>
    <w:div w:id="410154049">
      <w:bodyDiv w:val="1"/>
      <w:marLeft w:val="0"/>
      <w:marRight w:val="0"/>
      <w:marTop w:val="0"/>
      <w:marBottom w:val="0"/>
      <w:divBdr>
        <w:top w:val="none" w:sz="0" w:space="0" w:color="auto"/>
        <w:left w:val="none" w:sz="0" w:space="0" w:color="auto"/>
        <w:bottom w:val="none" w:sz="0" w:space="0" w:color="auto"/>
        <w:right w:val="none" w:sz="0" w:space="0" w:color="auto"/>
      </w:divBdr>
    </w:div>
    <w:div w:id="410276614">
      <w:bodyDiv w:val="1"/>
      <w:marLeft w:val="0"/>
      <w:marRight w:val="0"/>
      <w:marTop w:val="0"/>
      <w:marBottom w:val="0"/>
      <w:divBdr>
        <w:top w:val="none" w:sz="0" w:space="0" w:color="auto"/>
        <w:left w:val="none" w:sz="0" w:space="0" w:color="auto"/>
        <w:bottom w:val="none" w:sz="0" w:space="0" w:color="auto"/>
        <w:right w:val="none" w:sz="0" w:space="0" w:color="auto"/>
      </w:divBdr>
    </w:div>
    <w:div w:id="410278429">
      <w:bodyDiv w:val="1"/>
      <w:marLeft w:val="0"/>
      <w:marRight w:val="0"/>
      <w:marTop w:val="0"/>
      <w:marBottom w:val="0"/>
      <w:divBdr>
        <w:top w:val="none" w:sz="0" w:space="0" w:color="auto"/>
        <w:left w:val="none" w:sz="0" w:space="0" w:color="auto"/>
        <w:bottom w:val="none" w:sz="0" w:space="0" w:color="auto"/>
        <w:right w:val="none" w:sz="0" w:space="0" w:color="auto"/>
      </w:divBdr>
    </w:div>
    <w:div w:id="410349613">
      <w:bodyDiv w:val="1"/>
      <w:marLeft w:val="0"/>
      <w:marRight w:val="0"/>
      <w:marTop w:val="0"/>
      <w:marBottom w:val="0"/>
      <w:divBdr>
        <w:top w:val="none" w:sz="0" w:space="0" w:color="auto"/>
        <w:left w:val="none" w:sz="0" w:space="0" w:color="auto"/>
        <w:bottom w:val="none" w:sz="0" w:space="0" w:color="auto"/>
        <w:right w:val="none" w:sz="0" w:space="0" w:color="auto"/>
      </w:divBdr>
    </w:div>
    <w:div w:id="410393390">
      <w:bodyDiv w:val="1"/>
      <w:marLeft w:val="0"/>
      <w:marRight w:val="0"/>
      <w:marTop w:val="0"/>
      <w:marBottom w:val="0"/>
      <w:divBdr>
        <w:top w:val="none" w:sz="0" w:space="0" w:color="auto"/>
        <w:left w:val="none" w:sz="0" w:space="0" w:color="auto"/>
        <w:bottom w:val="none" w:sz="0" w:space="0" w:color="auto"/>
        <w:right w:val="none" w:sz="0" w:space="0" w:color="auto"/>
      </w:divBdr>
    </w:div>
    <w:div w:id="410472087">
      <w:bodyDiv w:val="1"/>
      <w:marLeft w:val="0"/>
      <w:marRight w:val="0"/>
      <w:marTop w:val="0"/>
      <w:marBottom w:val="0"/>
      <w:divBdr>
        <w:top w:val="none" w:sz="0" w:space="0" w:color="auto"/>
        <w:left w:val="none" w:sz="0" w:space="0" w:color="auto"/>
        <w:bottom w:val="none" w:sz="0" w:space="0" w:color="auto"/>
        <w:right w:val="none" w:sz="0" w:space="0" w:color="auto"/>
      </w:divBdr>
    </w:div>
    <w:div w:id="410587527">
      <w:bodyDiv w:val="1"/>
      <w:marLeft w:val="0"/>
      <w:marRight w:val="0"/>
      <w:marTop w:val="0"/>
      <w:marBottom w:val="0"/>
      <w:divBdr>
        <w:top w:val="none" w:sz="0" w:space="0" w:color="auto"/>
        <w:left w:val="none" w:sz="0" w:space="0" w:color="auto"/>
        <w:bottom w:val="none" w:sz="0" w:space="0" w:color="auto"/>
        <w:right w:val="none" w:sz="0" w:space="0" w:color="auto"/>
      </w:divBdr>
    </w:div>
    <w:div w:id="410658547">
      <w:bodyDiv w:val="1"/>
      <w:marLeft w:val="0"/>
      <w:marRight w:val="0"/>
      <w:marTop w:val="0"/>
      <w:marBottom w:val="0"/>
      <w:divBdr>
        <w:top w:val="none" w:sz="0" w:space="0" w:color="auto"/>
        <w:left w:val="none" w:sz="0" w:space="0" w:color="auto"/>
        <w:bottom w:val="none" w:sz="0" w:space="0" w:color="auto"/>
        <w:right w:val="none" w:sz="0" w:space="0" w:color="auto"/>
      </w:divBdr>
    </w:div>
    <w:div w:id="410664583">
      <w:bodyDiv w:val="1"/>
      <w:marLeft w:val="0"/>
      <w:marRight w:val="0"/>
      <w:marTop w:val="0"/>
      <w:marBottom w:val="0"/>
      <w:divBdr>
        <w:top w:val="none" w:sz="0" w:space="0" w:color="auto"/>
        <w:left w:val="none" w:sz="0" w:space="0" w:color="auto"/>
        <w:bottom w:val="none" w:sz="0" w:space="0" w:color="auto"/>
        <w:right w:val="none" w:sz="0" w:space="0" w:color="auto"/>
      </w:divBdr>
    </w:div>
    <w:div w:id="410735172">
      <w:bodyDiv w:val="1"/>
      <w:marLeft w:val="0"/>
      <w:marRight w:val="0"/>
      <w:marTop w:val="0"/>
      <w:marBottom w:val="0"/>
      <w:divBdr>
        <w:top w:val="none" w:sz="0" w:space="0" w:color="auto"/>
        <w:left w:val="none" w:sz="0" w:space="0" w:color="auto"/>
        <w:bottom w:val="none" w:sz="0" w:space="0" w:color="auto"/>
        <w:right w:val="none" w:sz="0" w:space="0" w:color="auto"/>
      </w:divBdr>
    </w:div>
    <w:div w:id="410854479">
      <w:bodyDiv w:val="1"/>
      <w:marLeft w:val="0"/>
      <w:marRight w:val="0"/>
      <w:marTop w:val="0"/>
      <w:marBottom w:val="0"/>
      <w:divBdr>
        <w:top w:val="none" w:sz="0" w:space="0" w:color="auto"/>
        <w:left w:val="none" w:sz="0" w:space="0" w:color="auto"/>
        <w:bottom w:val="none" w:sz="0" w:space="0" w:color="auto"/>
        <w:right w:val="none" w:sz="0" w:space="0" w:color="auto"/>
      </w:divBdr>
    </w:div>
    <w:div w:id="410856322">
      <w:bodyDiv w:val="1"/>
      <w:marLeft w:val="0"/>
      <w:marRight w:val="0"/>
      <w:marTop w:val="0"/>
      <w:marBottom w:val="0"/>
      <w:divBdr>
        <w:top w:val="none" w:sz="0" w:space="0" w:color="auto"/>
        <w:left w:val="none" w:sz="0" w:space="0" w:color="auto"/>
        <w:bottom w:val="none" w:sz="0" w:space="0" w:color="auto"/>
        <w:right w:val="none" w:sz="0" w:space="0" w:color="auto"/>
      </w:divBdr>
    </w:div>
    <w:div w:id="410929078">
      <w:bodyDiv w:val="1"/>
      <w:marLeft w:val="0"/>
      <w:marRight w:val="0"/>
      <w:marTop w:val="0"/>
      <w:marBottom w:val="0"/>
      <w:divBdr>
        <w:top w:val="none" w:sz="0" w:space="0" w:color="auto"/>
        <w:left w:val="none" w:sz="0" w:space="0" w:color="auto"/>
        <w:bottom w:val="none" w:sz="0" w:space="0" w:color="auto"/>
        <w:right w:val="none" w:sz="0" w:space="0" w:color="auto"/>
      </w:divBdr>
    </w:div>
    <w:div w:id="410930914">
      <w:bodyDiv w:val="1"/>
      <w:marLeft w:val="0"/>
      <w:marRight w:val="0"/>
      <w:marTop w:val="0"/>
      <w:marBottom w:val="0"/>
      <w:divBdr>
        <w:top w:val="none" w:sz="0" w:space="0" w:color="auto"/>
        <w:left w:val="none" w:sz="0" w:space="0" w:color="auto"/>
        <w:bottom w:val="none" w:sz="0" w:space="0" w:color="auto"/>
        <w:right w:val="none" w:sz="0" w:space="0" w:color="auto"/>
      </w:divBdr>
    </w:div>
    <w:div w:id="411003997">
      <w:bodyDiv w:val="1"/>
      <w:marLeft w:val="0"/>
      <w:marRight w:val="0"/>
      <w:marTop w:val="0"/>
      <w:marBottom w:val="0"/>
      <w:divBdr>
        <w:top w:val="none" w:sz="0" w:space="0" w:color="auto"/>
        <w:left w:val="none" w:sz="0" w:space="0" w:color="auto"/>
        <w:bottom w:val="none" w:sz="0" w:space="0" w:color="auto"/>
        <w:right w:val="none" w:sz="0" w:space="0" w:color="auto"/>
      </w:divBdr>
    </w:div>
    <w:div w:id="411046742">
      <w:bodyDiv w:val="1"/>
      <w:marLeft w:val="0"/>
      <w:marRight w:val="0"/>
      <w:marTop w:val="0"/>
      <w:marBottom w:val="0"/>
      <w:divBdr>
        <w:top w:val="none" w:sz="0" w:space="0" w:color="auto"/>
        <w:left w:val="none" w:sz="0" w:space="0" w:color="auto"/>
        <w:bottom w:val="none" w:sz="0" w:space="0" w:color="auto"/>
        <w:right w:val="none" w:sz="0" w:space="0" w:color="auto"/>
      </w:divBdr>
    </w:div>
    <w:div w:id="411051011">
      <w:bodyDiv w:val="1"/>
      <w:marLeft w:val="0"/>
      <w:marRight w:val="0"/>
      <w:marTop w:val="0"/>
      <w:marBottom w:val="0"/>
      <w:divBdr>
        <w:top w:val="none" w:sz="0" w:space="0" w:color="auto"/>
        <w:left w:val="none" w:sz="0" w:space="0" w:color="auto"/>
        <w:bottom w:val="none" w:sz="0" w:space="0" w:color="auto"/>
        <w:right w:val="none" w:sz="0" w:space="0" w:color="auto"/>
      </w:divBdr>
    </w:div>
    <w:div w:id="411121249">
      <w:bodyDiv w:val="1"/>
      <w:marLeft w:val="0"/>
      <w:marRight w:val="0"/>
      <w:marTop w:val="0"/>
      <w:marBottom w:val="0"/>
      <w:divBdr>
        <w:top w:val="none" w:sz="0" w:space="0" w:color="auto"/>
        <w:left w:val="none" w:sz="0" w:space="0" w:color="auto"/>
        <w:bottom w:val="none" w:sz="0" w:space="0" w:color="auto"/>
        <w:right w:val="none" w:sz="0" w:space="0" w:color="auto"/>
      </w:divBdr>
    </w:div>
    <w:div w:id="411199199">
      <w:bodyDiv w:val="1"/>
      <w:marLeft w:val="0"/>
      <w:marRight w:val="0"/>
      <w:marTop w:val="0"/>
      <w:marBottom w:val="0"/>
      <w:divBdr>
        <w:top w:val="none" w:sz="0" w:space="0" w:color="auto"/>
        <w:left w:val="none" w:sz="0" w:space="0" w:color="auto"/>
        <w:bottom w:val="none" w:sz="0" w:space="0" w:color="auto"/>
        <w:right w:val="none" w:sz="0" w:space="0" w:color="auto"/>
      </w:divBdr>
    </w:div>
    <w:div w:id="411243022">
      <w:bodyDiv w:val="1"/>
      <w:marLeft w:val="0"/>
      <w:marRight w:val="0"/>
      <w:marTop w:val="0"/>
      <w:marBottom w:val="0"/>
      <w:divBdr>
        <w:top w:val="none" w:sz="0" w:space="0" w:color="auto"/>
        <w:left w:val="none" w:sz="0" w:space="0" w:color="auto"/>
        <w:bottom w:val="none" w:sz="0" w:space="0" w:color="auto"/>
        <w:right w:val="none" w:sz="0" w:space="0" w:color="auto"/>
      </w:divBdr>
    </w:div>
    <w:div w:id="411388758">
      <w:bodyDiv w:val="1"/>
      <w:marLeft w:val="0"/>
      <w:marRight w:val="0"/>
      <w:marTop w:val="0"/>
      <w:marBottom w:val="0"/>
      <w:divBdr>
        <w:top w:val="none" w:sz="0" w:space="0" w:color="auto"/>
        <w:left w:val="none" w:sz="0" w:space="0" w:color="auto"/>
        <w:bottom w:val="none" w:sz="0" w:space="0" w:color="auto"/>
        <w:right w:val="none" w:sz="0" w:space="0" w:color="auto"/>
      </w:divBdr>
    </w:div>
    <w:div w:id="411389817">
      <w:bodyDiv w:val="1"/>
      <w:marLeft w:val="0"/>
      <w:marRight w:val="0"/>
      <w:marTop w:val="0"/>
      <w:marBottom w:val="0"/>
      <w:divBdr>
        <w:top w:val="none" w:sz="0" w:space="0" w:color="auto"/>
        <w:left w:val="none" w:sz="0" w:space="0" w:color="auto"/>
        <w:bottom w:val="none" w:sz="0" w:space="0" w:color="auto"/>
        <w:right w:val="none" w:sz="0" w:space="0" w:color="auto"/>
      </w:divBdr>
    </w:div>
    <w:div w:id="411394050">
      <w:bodyDiv w:val="1"/>
      <w:marLeft w:val="0"/>
      <w:marRight w:val="0"/>
      <w:marTop w:val="0"/>
      <w:marBottom w:val="0"/>
      <w:divBdr>
        <w:top w:val="none" w:sz="0" w:space="0" w:color="auto"/>
        <w:left w:val="none" w:sz="0" w:space="0" w:color="auto"/>
        <w:bottom w:val="none" w:sz="0" w:space="0" w:color="auto"/>
        <w:right w:val="none" w:sz="0" w:space="0" w:color="auto"/>
      </w:divBdr>
    </w:div>
    <w:div w:id="411705946">
      <w:bodyDiv w:val="1"/>
      <w:marLeft w:val="0"/>
      <w:marRight w:val="0"/>
      <w:marTop w:val="0"/>
      <w:marBottom w:val="0"/>
      <w:divBdr>
        <w:top w:val="none" w:sz="0" w:space="0" w:color="auto"/>
        <w:left w:val="none" w:sz="0" w:space="0" w:color="auto"/>
        <w:bottom w:val="none" w:sz="0" w:space="0" w:color="auto"/>
        <w:right w:val="none" w:sz="0" w:space="0" w:color="auto"/>
      </w:divBdr>
    </w:div>
    <w:div w:id="411707573">
      <w:bodyDiv w:val="1"/>
      <w:marLeft w:val="0"/>
      <w:marRight w:val="0"/>
      <w:marTop w:val="0"/>
      <w:marBottom w:val="0"/>
      <w:divBdr>
        <w:top w:val="none" w:sz="0" w:space="0" w:color="auto"/>
        <w:left w:val="none" w:sz="0" w:space="0" w:color="auto"/>
        <w:bottom w:val="none" w:sz="0" w:space="0" w:color="auto"/>
        <w:right w:val="none" w:sz="0" w:space="0" w:color="auto"/>
      </w:divBdr>
    </w:div>
    <w:div w:id="411777916">
      <w:bodyDiv w:val="1"/>
      <w:marLeft w:val="0"/>
      <w:marRight w:val="0"/>
      <w:marTop w:val="0"/>
      <w:marBottom w:val="0"/>
      <w:divBdr>
        <w:top w:val="none" w:sz="0" w:space="0" w:color="auto"/>
        <w:left w:val="none" w:sz="0" w:space="0" w:color="auto"/>
        <w:bottom w:val="none" w:sz="0" w:space="0" w:color="auto"/>
        <w:right w:val="none" w:sz="0" w:space="0" w:color="auto"/>
      </w:divBdr>
    </w:div>
    <w:div w:id="411779375">
      <w:bodyDiv w:val="1"/>
      <w:marLeft w:val="0"/>
      <w:marRight w:val="0"/>
      <w:marTop w:val="0"/>
      <w:marBottom w:val="0"/>
      <w:divBdr>
        <w:top w:val="none" w:sz="0" w:space="0" w:color="auto"/>
        <w:left w:val="none" w:sz="0" w:space="0" w:color="auto"/>
        <w:bottom w:val="none" w:sz="0" w:space="0" w:color="auto"/>
        <w:right w:val="none" w:sz="0" w:space="0" w:color="auto"/>
      </w:divBdr>
    </w:div>
    <w:div w:id="411782583">
      <w:bodyDiv w:val="1"/>
      <w:marLeft w:val="0"/>
      <w:marRight w:val="0"/>
      <w:marTop w:val="0"/>
      <w:marBottom w:val="0"/>
      <w:divBdr>
        <w:top w:val="none" w:sz="0" w:space="0" w:color="auto"/>
        <w:left w:val="none" w:sz="0" w:space="0" w:color="auto"/>
        <w:bottom w:val="none" w:sz="0" w:space="0" w:color="auto"/>
        <w:right w:val="none" w:sz="0" w:space="0" w:color="auto"/>
      </w:divBdr>
    </w:div>
    <w:div w:id="411850518">
      <w:bodyDiv w:val="1"/>
      <w:marLeft w:val="0"/>
      <w:marRight w:val="0"/>
      <w:marTop w:val="0"/>
      <w:marBottom w:val="0"/>
      <w:divBdr>
        <w:top w:val="none" w:sz="0" w:space="0" w:color="auto"/>
        <w:left w:val="none" w:sz="0" w:space="0" w:color="auto"/>
        <w:bottom w:val="none" w:sz="0" w:space="0" w:color="auto"/>
        <w:right w:val="none" w:sz="0" w:space="0" w:color="auto"/>
      </w:divBdr>
    </w:div>
    <w:div w:id="411851677">
      <w:bodyDiv w:val="1"/>
      <w:marLeft w:val="0"/>
      <w:marRight w:val="0"/>
      <w:marTop w:val="0"/>
      <w:marBottom w:val="0"/>
      <w:divBdr>
        <w:top w:val="none" w:sz="0" w:space="0" w:color="auto"/>
        <w:left w:val="none" w:sz="0" w:space="0" w:color="auto"/>
        <w:bottom w:val="none" w:sz="0" w:space="0" w:color="auto"/>
        <w:right w:val="none" w:sz="0" w:space="0" w:color="auto"/>
      </w:divBdr>
    </w:div>
    <w:div w:id="411968328">
      <w:bodyDiv w:val="1"/>
      <w:marLeft w:val="0"/>
      <w:marRight w:val="0"/>
      <w:marTop w:val="0"/>
      <w:marBottom w:val="0"/>
      <w:divBdr>
        <w:top w:val="none" w:sz="0" w:space="0" w:color="auto"/>
        <w:left w:val="none" w:sz="0" w:space="0" w:color="auto"/>
        <w:bottom w:val="none" w:sz="0" w:space="0" w:color="auto"/>
        <w:right w:val="none" w:sz="0" w:space="0" w:color="auto"/>
      </w:divBdr>
    </w:div>
    <w:div w:id="412050607">
      <w:bodyDiv w:val="1"/>
      <w:marLeft w:val="0"/>
      <w:marRight w:val="0"/>
      <w:marTop w:val="0"/>
      <w:marBottom w:val="0"/>
      <w:divBdr>
        <w:top w:val="none" w:sz="0" w:space="0" w:color="auto"/>
        <w:left w:val="none" w:sz="0" w:space="0" w:color="auto"/>
        <w:bottom w:val="none" w:sz="0" w:space="0" w:color="auto"/>
        <w:right w:val="none" w:sz="0" w:space="0" w:color="auto"/>
      </w:divBdr>
    </w:div>
    <w:div w:id="412243784">
      <w:bodyDiv w:val="1"/>
      <w:marLeft w:val="0"/>
      <w:marRight w:val="0"/>
      <w:marTop w:val="0"/>
      <w:marBottom w:val="0"/>
      <w:divBdr>
        <w:top w:val="none" w:sz="0" w:space="0" w:color="auto"/>
        <w:left w:val="none" w:sz="0" w:space="0" w:color="auto"/>
        <w:bottom w:val="none" w:sz="0" w:space="0" w:color="auto"/>
        <w:right w:val="none" w:sz="0" w:space="0" w:color="auto"/>
      </w:divBdr>
    </w:div>
    <w:div w:id="412313821">
      <w:bodyDiv w:val="1"/>
      <w:marLeft w:val="0"/>
      <w:marRight w:val="0"/>
      <w:marTop w:val="0"/>
      <w:marBottom w:val="0"/>
      <w:divBdr>
        <w:top w:val="none" w:sz="0" w:space="0" w:color="auto"/>
        <w:left w:val="none" w:sz="0" w:space="0" w:color="auto"/>
        <w:bottom w:val="none" w:sz="0" w:space="0" w:color="auto"/>
        <w:right w:val="none" w:sz="0" w:space="0" w:color="auto"/>
      </w:divBdr>
    </w:div>
    <w:div w:id="412318660">
      <w:bodyDiv w:val="1"/>
      <w:marLeft w:val="0"/>
      <w:marRight w:val="0"/>
      <w:marTop w:val="0"/>
      <w:marBottom w:val="0"/>
      <w:divBdr>
        <w:top w:val="none" w:sz="0" w:space="0" w:color="auto"/>
        <w:left w:val="none" w:sz="0" w:space="0" w:color="auto"/>
        <w:bottom w:val="none" w:sz="0" w:space="0" w:color="auto"/>
        <w:right w:val="none" w:sz="0" w:space="0" w:color="auto"/>
      </w:divBdr>
    </w:div>
    <w:div w:id="412358359">
      <w:bodyDiv w:val="1"/>
      <w:marLeft w:val="0"/>
      <w:marRight w:val="0"/>
      <w:marTop w:val="0"/>
      <w:marBottom w:val="0"/>
      <w:divBdr>
        <w:top w:val="none" w:sz="0" w:space="0" w:color="auto"/>
        <w:left w:val="none" w:sz="0" w:space="0" w:color="auto"/>
        <w:bottom w:val="none" w:sz="0" w:space="0" w:color="auto"/>
        <w:right w:val="none" w:sz="0" w:space="0" w:color="auto"/>
      </w:divBdr>
    </w:div>
    <w:div w:id="412358575">
      <w:bodyDiv w:val="1"/>
      <w:marLeft w:val="0"/>
      <w:marRight w:val="0"/>
      <w:marTop w:val="0"/>
      <w:marBottom w:val="0"/>
      <w:divBdr>
        <w:top w:val="none" w:sz="0" w:space="0" w:color="auto"/>
        <w:left w:val="none" w:sz="0" w:space="0" w:color="auto"/>
        <w:bottom w:val="none" w:sz="0" w:space="0" w:color="auto"/>
        <w:right w:val="none" w:sz="0" w:space="0" w:color="auto"/>
      </w:divBdr>
    </w:div>
    <w:div w:id="412431035">
      <w:bodyDiv w:val="1"/>
      <w:marLeft w:val="0"/>
      <w:marRight w:val="0"/>
      <w:marTop w:val="0"/>
      <w:marBottom w:val="0"/>
      <w:divBdr>
        <w:top w:val="none" w:sz="0" w:space="0" w:color="auto"/>
        <w:left w:val="none" w:sz="0" w:space="0" w:color="auto"/>
        <w:bottom w:val="none" w:sz="0" w:space="0" w:color="auto"/>
        <w:right w:val="none" w:sz="0" w:space="0" w:color="auto"/>
      </w:divBdr>
    </w:div>
    <w:div w:id="412507002">
      <w:bodyDiv w:val="1"/>
      <w:marLeft w:val="0"/>
      <w:marRight w:val="0"/>
      <w:marTop w:val="0"/>
      <w:marBottom w:val="0"/>
      <w:divBdr>
        <w:top w:val="none" w:sz="0" w:space="0" w:color="auto"/>
        <w:left w:val="none" w:sz="0" w:space="0" w:color="auto"/>
        <w:bottom w:val="none" w:sz="0" w:space="0" w:color="auto"/>
        <w:right w:val="none" w:sz="0" w:space="0" w:color="auto"/>
      </w:divBdr>
    </w:div>
    <w:div w:id="412967816">
      <w:bodyDiv w:val="1"/>
      <w:marLeft w:val="0"/>
      <w:marRight w:val="0"/>
      <w:marTop w:val="0"/>
      <w:marBottom w:val="0"/>
      <w:divBdr>
        <w:top w:val="none" w:sz="0" w:space="0" w:color="auto"/>
        <w:left w:val="none" w:sz="0" w:space="0" w:color="auto"/>
        <w:bottom w:val="none" w:sz="0" w:space="0" w:color="auto"/>
        <w:right w:val="none" w:sz="0" w:space="0" w:color="auto"/>
      </w:divBdr>
    </w:div>
    <w:div w:id="412969876">
      <w:bodyDiv w:val="1"/>
      <w:marLeft w:val="0"/>
      <w:marRight w:val="0"/>
      <w:marTop w:val="0"/>
      <w:marBottom w:val="0"/>
      <w:divBdr>
        <w:top w:val="none" w:sz="0" w:space="0" w:color="auto"/>
        <w:left w:val="none" w:sz="0" w:space="0" w:color="auto"/>
        <w:bottom w:val="none" w:sz="0" w:space="0" w:color="auto"/>
        <w:right w:val="none" w:sz="0" w:space="0" w:color="auto"/>
      </w:divBdr>
    </w:div>
    <w:div w:id="413014018">
      <w:bodyDiv w:val="1"/>
      <w:marLeft w:val="0"/>
      <w:marRight w:val="0"/>
      <w:marTop w:val="0"/>
      <w:marBottom w:val="0"/>
      <w:divBdr>
        <w:top w:val="none" w:sz="0" w:space="0" w:color="auto"/>
        <w:left w:val="none" w:sz="0" w:space="0" w:color="auto"/>
        <w:bottom w:val="none" w:sz="0" w:space="0" w:color="auto"/>
        <w:right w:val="none" w:sz="0" w:space="0" w:color="auto"/>
      </w:divBdr>
    </w:div>
    <w:div w:id="413019593">
      <w:bodyDiv w:val="1"/>
      <w:marLeft w:val="0"/>
      <w:marRight w:val="0"/>
      <w:marTop w:val="0"/>
      <w:marBottom w:val="0"/>
      <w:divBdr>
        <w:top w:val="none" w:sz="0" w:space="0" w:color="auto"/>
        <w:left w:val="none" w:sz="0" w:space="0" w:color="auto"/>
        <w:bottom w:val="none" w:sz="0" w:space="0" w:color="auto"/>
        <w:right w:val="none" w:sz="0" w:space="0" w:color="auto"/>
      </w:divBdr>
    </w:div>
    <w:div w:id="413093842">
      <w:bodyDiv w:val="1"/>
      <w:marLeft w:val="0"/>
      <w:marRight w:val="0"/>
      <w:marTop w:val="0"/>
      <w:marBottom w:val="0"/>
      <w:divBdr>
        <w:top w:val="none" w:sz="0" w:space="0" w:color="auto"/>
        <w:left w:val="none" w:sz="0" w:space="0" w:color="auto"/>
        <w:bottom w:val="none" w:sz="0" w:space="0" w:color="auto"/>
        <w:right w:val="none" w:sz="0" w:space="0" w:color="auto"/>
      </w:divBdr>
    </w:div>
    <w:div w:id="413169106">
      <w:bodyDiv w:val="1"/>
      <w:marLeft w:val="0"/>
      <w:marRight w:val="0"/>
      <w:marTop w:val="0"/>
      <w:marBottom w:val="0"/>
      <w:divBdr>
        <w:top w:val="none" w:sz="0" w:space="0" w:color="auto"/>
        <w:left w:val="none" w:sz="0" w:space="0" w:color="auto"/>
        <w:bottom w:val="none" w:sz="0" w:space="0" w:color="auto"/>
        <w:right w:val="none" w:sz="0" w:space="0" w:color="auto"/>
      </w:divBdr>
    </w:div>
    <w:div w:id="413357083">
      <w:bodyDiv w:val="1"/>
      <w:marLeft w:val="0"/>
      <w:marRight w:val="0"/>
      <w:marTop w:val="0"/>
      <w:marBottom w:val="0"/>
      <w:divBdr>
        <w:top w:val="none" w:sz="0" w:space="0" w:color="auto"/>
        <w:left w:val="none" w:sz="0" w:space="0" w:color="auto"/>
        <w:bottom w:val="none" w:sz="0" w:space="0" w:color="auto"/>
        <w:right w:val="none" w:sz="0" w:space="0" w:color="auto"/>
      </w:divBdr>
    </w:div>
    <w:div w:id="413553275">
      <w:bodyDiv w:val="1"/>
      <w:marLeft w:val="0"/>
      <w:marRight w:val="0"/>
      <w:marTop w:val="0"/>
      <w:marBottom w:val="0"/>
      <w:divBdr>
        <w:top w:val="none" w:sz="0" w:space="0" w:color="auto"/>
        <w:left w:val="none" w:sz="0" w:space="0" w:color="auto"/>
        <w:bottom w:val="none" w:sz="0" w:space="0" w:color="auto"/>
        <w:right w:val="none" w:sz="0" w:space="0" w:color="auto"/>
      </w:divBdr>
    </w:div>
    <w:div w:id="413556854">
      <w:bodyDiv w:val="1"/>
      <w:marLeft w:val="0"/>
      <w:marRight w:val="0"/>
      <w:marTop w:val="0"/>
      <w:marBottom w:val="0"/>
      <w:divBdr>
        <w:top w:val="none" w:sz="0" w:space="0" w:color="auto"/>
        <w:left w:val="none" w:sz="0" w:space="0" w:color="auto"/>
        <w:bottom w:val="none" w:sz="0" w:space="0" w:color="auto"/>
        <w:right w:val="none" w:sz="0" w:space="0" w:color="auto"/>
      </w:divBdr>
    </w:div>
    <w:div w:id="413749972">
      <w:bodyDiv w:val="1"/>
      <w:marLeft w:val="0"/>
      <w:marRight w:val="0"/>
      <w:marTop w:val="0"/>
      <w:marBottom w:val="0"/>
      <w:divBdr>
        <w:top w:val="none" w:sz="0" w:space="0" w:color="auto"/>
        <w:left w:val="none" w:sz="0" w:space="0" w:color="auto"/>
        <w:bottom w:val="none" w:sz="0" w:space="0" w:color="auto"/>
        <w:right w:val="none" w:sz="0" w:space="0" w:color="auto"/>
      </w:divBdr>
    </w:div>
    <w:div w:id="413819756">
      <w:bodyDiv w:val="1"/>
      <w:marLeft w:val="0"/>
      <w:marRight w:val="0"/>
      <w:marTop w:val="0"/>
      <w:marBottom w:val="0"/>
      <w:divBdr>
        <w:top w:val="none" w:sz="0" w:space="0" w:color="auto"/>
        <w:left w:val="none" w:sz="0" w:space="0" w:color="auto"/>
        <w:bottom w:val="none" w:sz="0" w:space="0" w:color="auto"/>
        <w:right w:val="none" w:sz="0" w:space="0" w:color="auto"/>
      </w:divBdr>
    </w:div>
    <w:div w:id="413820305">
      <w:bodyDiv w:val="1"/>
      <w:marLeft w:val="0"/>
      <w:marRight w:val="0"/>
      <w:marTop w:val="0"/>
      <w:marBottom w:val="0"/>
      <w:divBdr>
        <w:top w:val="none" w:sz="0" w:space="0" w:color="auto"/>
        <w:left w:val="none" w:sz="0" w:space="0" w:color="auto"/>
        <w:bottom w:val="none" w:sz="0" w:space="0" w:color="auto"/>
        <w:right w:val="none" w:sz="0" w:space="0" w:color="auto"/>
      </w:divBdr>
    </w:div>
    <w:div w:id="413821168">
      <w:bodyDiv w:val="1"/>
      <w:marLeft w:val="0"/>
      <w:marRight w:val="0"/>
      <w:marTop w:val="0"/>
      <w:marBottom w:val="0"/>
      <w:divBdr>
        <w:top w:val="none" w:sz="0" w:space="0" w:color="auto"/>
        <w:left w:val="none" w:sz="0" w:space="0" w:color="auto"/>
        <w:bottom w:val="none" w:sz="0" w:space="0" w:color="auto"/>
        <w:right w:val="none" w:sz="0" w:space="0" w:color="auto"/>
      </w:divBdr>
    </w:div>
    <w:div w:id="413822874">
      <w:bodyDiv w:val="1"/>
      <w:marLeft w:val="0"/>
      <w:marRight w:val="0"/>
      <w:marTop w:val="0"/>
      <w:marBottom w:val="0"/>
      <w:divBdr>
        <w:top w:val="none" w:sz="0" w:space="0" w:color="auto"/>
        <w:left w:val="none" w:sz="0" w:space="0" w:color="auto"/>
        <w:bottom w:val="none" w:sz="0" w:space="0" w:color="auto"/>
        <w:right w:val="none" w:sz="0" w:space="0" w:color="auto"/>
      </w:divBdr>
    </w:div>
    <w:div w:id="413824053">
      <w:bodyDiv w:val="1"/>
      <w:marLeft w:val="0"/>
      <w:marRight w:val="0"/>
      <w:marTop w:val="0"/>
      <w:marBottom w:val="0"/>
      <w:divBdr>
        <w:top w:val="none" w:sz="0" w:space="0" w:color="auto"/>
        <w:left w:val="none" w:sz="0" w:space="0" w:color="auto"/>
        <w:bottom w:val="none" w:sz="0" w:space="0" w:color="auto"/>
        <w:right w:val="none" w:sz="0" w:space="0" w:color="auto"/>
      </w:divBdr>
    </w:div>
    <w:div w:id="413863210">
      <w:bodyDiv w:val="1"/>
      <w:marLeft w:val="0"/>
      <w:marRight w:val="0"/>
      <w:marTop w:val="0"/>
      <w:marBottom w:val="0"/>
      <w:divBdr>
        <w:top w:val="none" w:sz="0" w:space="0" w:color="auto"/>
        <w:left w:val="none" w:sz="0" w:space="0" w:color="auto"/>
        <w:bottom w:val="none" w:sz="0" w:space="0" w:color="auto"/>
        <w:right w:val="none" w:sz="0" w:space="0" w:color="auto"/>
      </w:divBdr>
    </w:div>
    <w:div w:id="413934625">
      <w:bodyDiv w:val="1"/>
      <w:marLeft w:val="0"/>
      <w:marRight w:val="0"/>
      <w:marTop w:val="0"/>
      <w:marBottom w:val="0"/>
      <w:divBdr>
        <w:top w:val="none" w:sz="0" w:space="0" w:color="auto"/>
        <w:left w:val="none" w:sz="0" w:space="0" w:color="auto"/>
        <w:bottom w:val="none" w:sz="0" w:space="0" w:color="auto"/>
        <w:right w:val="none" w:sz="0" w:space="0" w:color="auto"/>
      </w:divBdr>
    </w:div>
    <w:div w:id="413934649">
      <w:bodyDiv w:val="1"/>
      <w:marLeft w:val="0"/>
      <w:marRight w:val="0"/>
      <w:marTop w:val="0"/>
      <w:marBottom w:val="0"/>
      <w:divBdr>
        <w:top w:val="none" w:sz="0" w:space="0" w:color="auto"/>
        <w:left w:val="none" w:sz="0" w:space="0" w:color="auto"/>
        <w:bottom w:val="none" w:sz="0" w:space="0" w:color="auto"/>
        <w:right w:val="none" w:sz="0" w:space="0" w:color="auto"/>
      </w:divBdr>
    </w:div>
    <w:div w:id="413937758">
      <w:bodyDiv w:val="1"/>
      <w:marLeft w:val="0"/>
      <w:marRight w:val="0"/>
      <w:marTop w:val="0"/>
      <w:marBottom w:val="0"/>
      <w:divBdr>
        <w:top w:val="none" w:sz="0" w:space="0" w:color="auto"/>
        <w:left w:val="none" w:sz="0" w:space="0" w:color="auto"/>
        <w:bottom w:val="none" w:sz="0" w:space="0" w:color="auto"/>
        <w:right w:val="none" w:sz="0" w:space="0" w:color="auto"/>
      </w:divBdr>
    </w:div>
    <w:div w:id="413938932">
      <w:bodyDiv w:val="1"/>
      <w:marLeft w:val="0"/>
      <w:marRight w:val="0"/>
      <w:marTop w:val="0"/>
      <w:marBottom w:val="0"/>
      <w:divBdr>
        <w:top w:val="none" w:sz="0" w:space="0" w:color="auto"/>
        <w:left w:val="none" w:sz="0" w:space="0" w:color="auto"/>
        <w:bottom w:val="none" w:sz="0" w:space="0" w:color="auto"/>
        <w:right w:val="none" w:sz="0" w:space="0" w:color="auto"/>
      </w:divBdr>
    </w:div>
    <w:div w:id="414011014">
      <w:bodyDiv w:val="1"/>
      <w:marLeft w:val="0"/>
      <w:marRight w:val="0"/>
      <w:marTop w:val="0"/>
      <w:marBottom w:val="0"/>
      <w:divBdr>
        <w:top w:val="none" w:sz="0" w:space="0" w:color="auto"/>
        <w:left w:val="none" w:sz="0" w:space="0" w:color="auto"/>
        <w:bottom w:val="none" w:sz="0" w:space="0" w:color="auto"/>
        <w:right w:val="none" w:sz="0" w:space="0" w:color="auto"/>
      </w:divBdr>
    </w:div>
    <w:div w:id="414133882">
      <w:bodyDiv w:val="1"/>
      <w:marLeft w:val="0"/>
      <w:marRight w:val="0"/>
      <w:marTop w:val="0"/>
      <w:marBottom w:val="0"/>
      <w:divBdr>
        <w:top w:val="none" w:sz="0" w:space="0" w:color="auto"/>
        <w:left w:val="none" w:sz="0" w:space="0" w:color="auto"/>
        <w:bottom w:val="none" w:sz="0" w:space="0" w:color="auto"/>
        <w:right w:val="none" w:sz="0" w:space="0" w:color="auto"/>
      </w:divBdr>
    </w:div>
    <w:div w:id="414135635">
      <w:bodyDiv w:val="1"/>
      <w:marLeft w:val="0"/>
      <w:marRight w:val="0"/>
      <w:marTop w:val="0"/>
      <w:marBottom w:val="0"/>
      <w:divBdr>
        <w:top w:val="none" w:sz="0" w:space="0" w:color="auto"/>
        <w:left w:val="none" w:sz="0" w:space="0" w:color="auto"/>
        <w:bottom w:val="none" w:sz="0" w:space="0" w:color="auto"/>
        <w:right w:val="none" w:sz="0" w:space="0" w:color="auto"/>
      </w:divBdr>
    </w:div>
    <w:div w:id="414401904">
      <w:bodyDiv w:val="1"/>
      <w:marLeft w:val="0"/>
      <w:marRight w:val="0"/>
      <w:marTop w:val="0"/>
      <w:marBottom w:val="0"/>
      <w:divBdr>
        <w:top w:val="none" w:sz="0" w:space="0" w:color="auto"/>
        <w:left w:val="none" w:sz="0" w:space="0" w:color="auto"/>
        <w:bottom w:val="none" w:sz="0" w:space="0" w:color="auto"/>
        <w:right w:val="none" w:sz="0" w:space="0" w:color="auto"/>
      </w:divBdr>
    </w:div>
    <w:div w:id="414518978">
      <w:bodyDiv w:val="1"/>
      <w:marLeft w:val="0"/>
      <w:marRight w:val="0"/>
      <w:marTop w:val="0"/>
      <w:marBottom w:val="0"/>
      <w:divBdr>
        <w:top w:val="none" w:sz="0" w:space="0" w:color="auto"/>
        <w:left w:val="none" w:sz="0" w:space="0" w:color="auto"/>
        <w:bottom w:val="none" w:sz="0" w:space="0" w:color="auto"/>
        <w:right w:val="none" w:sz="0" w:space="0" w:color="auto"/>
      </w:divBdr>
    </w:div>
    <w:div w:id="414522448">
      <w:bodyDiv w:val="1"/>
      <w:marLeft w:val="0"/>
      <w:marRight w:val="0"/>
      <w:marTop w:val="0"/>
      <w:marBottom w:val="0"/>
      <w:divBdr>
        <w:top w:val="none" w:sz="0" w:space="0" w:color="auto"/>
        <w:left w:val="none" w:sz="0" w:space="0" w:color="auto"/>
        <w:bottom w:val="none" w:sz="0" w:space="0" w:color="auto"/>
        <w:right w:val="none" w:sz="0" w:space="0" w:color="auto"/>
      </w:divBdr>
    </w:div>
    <w:div w:id="414546866">
      <w:bodyDiv w:val="1"/>
      <w:marLeft w:val="0"/>
      <w:marRight w:val="0"/>
      <w:marTop w:val="0"/>
      <w:marBottom w:val="0"/>
      <w:divBdr>
        <w:top w:val="none" w:sz="0" w:space="0" w:color="auto"/>
        <w:left w:val="none" w:sz="0" w:space="0" w:color="auto"/>
        <w:bottom w:val="none" w:sz="0" w:space="0" w:color="auto"/>
        <w:right w:val="none" w:sz="0" w:space="0" w:color="auto"/>
      </w:divBdr>
    </w:div>
    <w:div w:id="414591166">
      <w:bodyDiv w:val="1"/>
      <w:marLeft w:val="0"/>
      <w:marRight w:val="0"/>
      <w:marTop w:val="0"/>
      <w:marBottom w:val="0"/>
      <w:divBdr>
        <w:top w:val="none" w:sz="0" w:space="0" w:color="auto"/>
        <w:left w:val="none" w:sz="0" w:space="0" w:color="auto"/>
        <w:bottom w:val="none" w:sz="0" w:space="0" w:color="auto"/>
        <w:right w:val="none" w:sz="0" w:space="0" w:color="auto"/>
      </w:divBdr>
    </w:div>
    <w:div w:id="414593087">
      <w:bodyDiv w:val="1"/>
      <w:marLeft w:val="0"/>
      <w:marRight w:val="0"/>
      <w:marTop w:val="0"/>
      <w:marBottom w:val="0"/>
      <w:divBdr>
        <w:top w:val="none" w:sz="0" w:space="0" w:color="auto"/>
        <w:left w:val="none" w:sz="0" w:space="0" w:color="auto"/>
        <w:bottom w:val="none" w:sz="0" w:space="0" w:color="auto"/>
        <w:right w:val="none" w:sz="0" w:space="0" w:color="auto"/>
      </w:divBdr>
    </w:div>
    <w:div w:id="414593997">
      <w:bodyDiv w:val="1"/>
      <w:marLeft w:val="0"/>
      <w:marRight w:val="0"/>
      <w:marTop w:val="0"/>
      <w:marBottom w:val="0"/>
      <w:divBdr>
        <w:top w:val="none" w:sz="0" w:space="0" w:color="auto"/>
        <w:left w:val="none" w:sz="0" w:space="0" w:color="auto"/>
        <w:bottom w:val="none" w:sz="0" w:space="0" w:color="auto"/>
        <w:right w:val="none" w:sz="0" w:space="0" w:color="auto"/>
      </w:divBdr>
    </w:div>
    <w:div w:id="414666247">
      <w:bodyDiv w:val="1"/>
      <w:marLeft w:val="0"/>
      <w:marRight w:val="0"/>
      <w:marTop w:val="0"/>
      <w:marBottom w:val="0"/>
      <w:divBdr>
        <w:top w:val="none" w:sz="0" w:space="0" w:color="auto"/>
        <w:left w:val="none" w:sz="0" w:space="0" w:color="auto"/>
        <w:bottom w:val="none" w:sz="0" w:space="0" w:color="auto"/>
        <w:right w:val="none" w:sz="0" w:space="0" w:color="auto"/>
      </w:divBdr>
    </w:div>
    <w:div w:id="414670381">
      <w:bodyDiv w:val="1"/>
      <w:marLeft w:val="0"/>
      <w:marRight w:val="0"/>
      <w:marTop w:val="0"/>
      <w:marBottom w:val="0"/>
      <w:divBdr>
        <w:top w:val="none" w:sz="0" w:space="0" w:color="auto"/>
        <w:left w:val="none" w:sz="0" w:space="0" w:color="auto"/>
        <w:bottom w:val="none" w:sz="0" w:space="0" w:color="auto"/>
        <w:right w:val="none" w:sz="0" w:space="0" w:color="auto"/>
      </w:divBdr>
    </w:div>
    <w:div w:id="414862563">
      <w:bodyDiv w:val="1"/>
      <w:marLeft w:val="0"/>
      <w:marRight w:val="0"/>
      <w:marTop w:val="0"/>
      <w:marBottom w:val="0"/>
      <w:divBdr>
        <w:top w:val="none" w:sz="0" w:space="0" w:color="auto"/>
        <w:left w:val="none" w:sz="0" w:space="0" w:color="auto"/>
        <w:bottom w:val="none" w:sz="0" w:space="0" w:color="auto"/>
        <w:right w:val="none" w:sz="0" w:space="0" w:color="auto"/>
      </w:divBdr>
    </w:div>
    <w:div w:id="414984435">
      <w:bodyDiv w:val="1"/>
      <w:marLeft w:val="0"/>
      <w:marRight w:val="0"/>
      <w:marTop w:val="0"/>
      <w:marBottom w:val="0"/>
      <w:divBdr>
        <w:top w:val="none" w:sz="0" w:space="0" w:color="auto"/>
        <w:left w:val="none" w:sz="0" w:space="0" w:color="auto"/>
        <w:bottom w:val="none" w:sz="0" w:space="0" w:color="auto"/>
        <w:right w:val="none" w:sz="0" w:space="0" w:color="auto"/>
      </w:divBdr>
    </w:div>
    <w:div w:id="415056807">
      <w:bodyDiv w:val="1"/>
      <w:marLeft w:val="0"/>
      <w:marRight w:val="0"/>
      <w:marTop w:val="0"/>
      <w:marBottom w:val="0"/>
      <w:divBdr>
        <w:top w:val="none" w:sz="0" w:space="0" w:color="auto"/>
        <w:left w:val="none" w:sz="0" w:space="0" w:color="auto"/>
        <w:bottom w:val="none" w:sz="0" w:space="0" w:color="auto"/>
        <w:right w:val="none" w:sz="0" w:space="0" w:color="auto"/>
      </w:divBdr>
    </w:div>
    <w:div w:id="415133230">
      <w:bodyDiv w:val="1"/>
      <w:marLeft w:val="0"/>
      <w:marRight w:val="0"/>
      <w:marTop w:val="0"/>
      <w:marBottom w:val="0"/>
      <w:divBdr>
        <w:top w:val="none" w:sz="0" w:space="0" w:color="auto"/>
        <w:left w:val="none" w:sz="0" w:space="0" w:color="auto"/>
        <w:bottom w:val="none" w:sz="0" w:space="0" w:color="auto"/>
        <w:right w:val="none" w:sz="0" w:space="0" w:color="auto"/>
      </w:divBdr>
    </w:div>
    <w:div w:id="415172823">
      <w:bodyDiv w:val="1"/>
      <w:marLeft w:val="0"/>
      <w:marRight w:val="0"/>
      <w:marTop w:val="0"/>
      <w:marBottom w:val="0"/>
      <w:divBdr>
        <w:top w:val="none" w:sz="0" w:space="0" w:color="auto"/>
        <w:left w:val="none" w:sz="0" w:space="0" w:color="auto"/>
        <w:bottom w:val="none" w:sz="0" w:space="0" w:color="auto"/>
        <w:right w:val="none" w:sz="0" w:space="0" w:color="auto"/>
      </w:divBdr>
    </w:div>
    <w:div w:id="415173079">
      <w:bodyDiv w:val="1"/>
      <w:marLeft w:val="0"/>
      <w:marRight w:val="0"/>
      <w:marTop w:val="0"/>
      <w:marBottom w:val="0"/>
      <w:divBdr>
        <w:top w:val="none" w:sz="0" w:space="0" w:color="auto"/>
        <w:left w:val="none" w:sz="0" w:space="0" w:color="auto"/>
        <w:bottom w:val="none" w:sz="0" w:space="0" w:color="auto"/>
        <w:right w:val="none" w:sz="0" w:space="0" w:color="auto"/>
      </w:divBdr>
    </w:div>
    <w:div w:id="415174895">
      <w:bodyDiv w:val="1"/>
      <w:marLeft w:val="0"/>
      <w:marRight w:val="0"/>
      <w:marTop w:val="0"/>
      <w:marBottom w:val="0"/>
      <w:divBdr>
        <w:top w:val="none" w:sz="0" w:space="0" w:color="auto"/>
        <w:left w:val="none" w:sz="0" w:space="0" w:color="auto"/>
        <w:bottom w:val="none" w:sz="0" w:space="0" w:color="auto"/>
        <w:right w:val="none" w:sz="0" w:space="0" w:color="auto"/>
      </w:divBdr>
    </w:div>
    <w:div w:id="415175047">
      <w:bodyDiv w:val="1"/>
      <w:marLeft w:val="0"/>
      <w:marRight w:val="0"/>
      <w:marTop w:val="0"/>
      <w:marBottom w:val="0"/>
      <w:divBdr>
        <w:top w:val="none" w:sz="0" w:space="0" w:color="auto"/>
        <w:left w:val="none" w:sz="0" w:space="0" w:color="auto"/>
        <w:bottom w:val="none" w:sz="0" w:space="0" w:color="auto"/>
        <w:right w:val="none" w:sz="0" w:space="0" w:color="auto"/>
      </w:divBdr>
    </w:div>
    <w:div w:id="415244434">
      <w:bodyDiv w:val="1"/>
      <w:marLeft w:val="0"/>
      <w:marRight w:val="0"/>
      <w:marTop w:val="0"/>
      <w:marBottom w:val="0"/>
      <w:divBdr>
        <w:top w:val="none" w:sz="0" w:space="0" w:color="auto"/>
        <w:left w:val="none" w:sz="0" w:space="0" w:color="auto"/>
        <w:bottom w:val="none" w:sz="0" w:space="0" w:color="auto"/>
        <w:right w:val="none" w:sz="0" w:space="0" w:color="auto"/>
      </w:divBdr>
    </w:div>
    <w:div w:id="415247581">
      <w:bodyDiv w:val="1"/>
      <w:marLeft w:val="0"/>
      <w:marRight w:val="0"/>
      <w:marTop w:val="0"/>
      <w:marBottom w:val="0"/>
      <w:divBdr>
        <w:top w:val="none" w:sz="0" w:space="0" w:color="auto"/>
        <w:left w:val="none" w:sz="0" w:space="0" w:color="auto"/>
        <w:bottom w:val="none" w:sz="0" w:space="0" w:color="auto"/>
        <w:right w:val="none" w:sz="0" w:space="0" w:color="auto"/>
      </w:divBdr>
    </w:div>
    <w:div w:id="415396698">
      <w:bodyDiv w:val="1"/>
      <w:marLeft w:val="0"/>
      <w:marRight w:val="0"/>
      <w:marTop w:val="0"/>
      <w:marBottom w:val="0"/>
      <w:divBdr>
        <w:top w:val="none" w:sz="0" w:space="0" w:color="auto"/>
        <w:left w:val="none" w:sz="0" w:space="0" w:color="auto"/>
        <w:bottom w:val="none" w:sz="0" w:space="0" w:color="auto"/>
        <w:right w:val="none" w:sz="0" w:space="0" w:color="auto"/>
      </w:divBdr>
    </w:div>
    <w:div w:id="415446837">
      <w:bodyDiv w:val="1"/>
      <w:marLeft w:val="0"/>
      <w:marRight w:val="0"/>
      <w:marTop w:val="0"/>
      <w:marBottom w:val="0"/>
      <w:divBdr>
        <w:top w:val="none" w:sz="0" w:space="0" w:color="auto"/>
        <w:left w:val="none" w:sz="0" w:space="0" w:color="auto"/>
        <w:bottom w:val="none" w:sz="0" w:space="0" w:color="auto"/>
        <w:right w:val="none" w:sz="0" w:space="0" w:color="auto"/>
      </w:divBdr>
    </w:div>
    <w:div w:id="415515979">
      <w:bodyDiv w:val="1"/>
      <w:marLeft w:val="0"/>
      <w:marRight w:val="0"/>
      <w:marTop w:val="0"/>
      <w:marBottom w:val="0"/>
      <w:divBdr>
        <w:top w:val="none" w:sz="0" w:space="0" w:color="auto"/>
        <w:left w:val="none" w:sz="0" w:space="0" w:color="auto"/>
        <w:bottom w:val="none" w:sz="0" w:space="0" w:color="auto"/>
        <w:right w:val="none" w:sz="0" w:space="0" w:color="auto"/>
      </w:divBdr>
    </w:div>
    <w:div w:id="415590482">
      <w:bodyDiv w:val="1"/>
      <w:marLeft w:val="0"/>
      <w:marRight w:val="0"/>
      <w:marTop w:val="0"/>
      <w:marBottom w:val="0"/>
      <w:divBdr>
        <w:top w:val="none" w:sz="0" w:space="0" w:color="auto"/>
        <w:left w:val="none" w:sz="0" w:space="0" w:color="auto"/>
        <w:bottom w:val="none" w:sz="0" w:space="0" w:color="auto"/>
        <w:right w:val="none" w:sz="0" w:space="0" w:color="auto"/>
      </w:divBdr>
    </w:div>
    <w:div w:id="415638524">
      <w:bodyDiv w:val="1"/>
      <w:marLeft w:val="0"/>
      <w:marRight w:val="0"/>
      <w:marTop w:val="0"/>
      <w:marBottom w:val="0"/>
      <w:divBdr>
        <w:top w:val="none" w:sz="0" w:space="0" w:color="auto"/>
        <w:left w:val="none" w:sz="0" w:space="0" w:color="auto"/>
        <w:bottom w:val="none" w:sz="0" w:space="0" w:color="auto"/>
        <w:right w:val="none" w:sz="0" w:space="0" w:color="auto"/>
      </w:divBdr>
    </w:div>
    <w:div w:id="415785978">
      <w:bodyDiv w:val="1"/>
      <w:marLeft w:val="0"/>
      <w:marRight w:val="0"/>
      <w:marTop w:val="0"/>
      <w:marBottom w:val="0"/>
      <w:divBdr>
        <w:top w:val="none" w:sz="0" w:space="0" w:color="auto"/>
        <w:left w:val="none" w:sz="0" w:space="0" w:color="auto"/>
        <w:bottom w:val="none" w:sz="0" w:space="0" w:color="auto"/>
        <w:right w:val="none" w:sz="0" w:space="0" w:color="auto"/>
      </w:divBdr>
    </w:div>
    <w:div w:id="415826188">
      <w:bodyDiv w:val="1"/>
      <w:marLeft w:val="0"/>
      <w:marRight w:val="0"/>
      <w:marTop w:val="0"/>
      <w:marBottom w:val="0"/>
      <w:divBdr>
        <w:top w:val="none" w:sz="0" w:space="0" w:color="auto"/>
        <w:left w:val="none" w:sz="0" w:space="0" w:color="auto"/>
        <w:bottom w:val="none" w:sz="0" w:space="0" w:color="auto"/>
        <w:right w:val="none" w:sz="0" w:space="0" w:color="auto"/>
      </w:divBdr>
    </w:div>
    <w:div w:id="415828914">
      <w:bodyDiv w:val="1"/>
      <w:marLeft w:val="0"/>
      <w:marRight w:val="0"/>
      <w:marTop w:val="0"/>
      <w:marBottom w:val="0"/>
      <w:divBdr>
        <w:top w:val="none" w:sz="0" w:space="0" w:color="auto"/>
        <w:left w:val="none" w:sz="0" w:space="0" w:color="auto"/>
        <w:bottom w:val="none" w:sz="0" w:space="0" w:color="auto"/>
        <w:right w:val="none" w:sz="0" w:space="0" w:color="auto"/>
      </w:divBdr>
    </w:div>
    <w:div w:id="415857471">
      <w:bodyDiv w:val="1"/>
      <w:marLeft w:val="0"/>
      <w:marRight w:val="0"/>
      <w:marTop w:val="0"/>
      <w:marBottom w:val="0"/>
      <w:divBdr>
        <w:top w:val="none" w:sz="0" w:space="0" w:color="auto"/>
        <w:left w:val="none" w:sz="0" w:space="0" w:color="auto"/>
        <w:bottom w:val="none" w:sz="0" w:space="0" w:color="auto"/>
        <w:right w:val="none" w:sz="0" w:space="0" w:color="auto"/>
      </w:divBdr>
    </w:div>
    <w:div w:id="415902409">
      <w:bodyDiv w:val="1"/>
      <w:marLeft w:val="0"/>
      <w:marRight w:val="0"/>
      <w:marTop w:val="0"/>
      <w:marBottom w:val="0"/>
      <w:divBdr>
        <w:top w:val="none" w:sz="0" w:space="0" w:color="auto"/>
        <w:left w:val="none" w:sz="0" w:space="0" w:color="auto"/>
        <w:bottom w:val="none" w:sz="0" w:space="0" w:color="auto"/>
        <w:right w:val="none" w:sz="0" w:space="0" w:color="auto"/>
      </w:divBdr>
    </w:div>
    <w:div w:id="415978909">
      <w:bodyDiv w:val="1"/>
      <w:marLeft w:val="0"/>
      <w:marRight w:val="0"/>
      <w:marTop w:val="0"/>
      <w:marBottom w:val="0"/>
      <w:divBdr>
        <w:top w:val="none" w:sz="0" w:space="0" w:color="auto"/>
        <w:left w:val="none" w:sz="0" w:space="0" w:color="auto"/>
        <w:bottom w:val="none" w:sz="0" w:space="0" w:color="auto"/>
        <w:right w:val="none" w:sz="0" w:space="0" w:color="auto"/>
      </w:divBdr>
    </w:div>
    <w:div w:id="415979928">
      <w:bodyDiv w:val="1"/>
      <w:marLeft w:val="0"/>
      <w:marRight w:val="0"/>
      <w:marTop w:val="0"/>
      <w:marBottom w:val="0"/>
      <w:divBdr>
        <w:top w:val="none" w:sz="0" w:space="0" w:color="auto"/>
        <w:left w:val="none" w:sz="0" w:space="0" w:color="auto"/>
        <w:bottom w:val="none" w:sz="0" w:space="0" w:color="auto"/>
        <w:right w:val="none" w:sz="0" w:space="0" w:color="auto"/>
      </w:divBdr>
    </w:div>
    <w:div w:id="415980692">
      <w:bodyDiv w:val="1"/>
      <w:marLeft w:val="0"/>
      <w:marRight w:val="0"/>
      <w:marTop w:val="0"/>
      <w:marBottom w:val="0"/>
      <w:divBdr>
        <w:top w:val="none" w:sz="0" w:space="0" w:color="auto"/>
        <w:left w:val="none" w:sz="0" w:space="0" w:color="auto"/>
        <w:bottom w:val="none" w:sz="0" w:space="0" w:color="auto"/>
        <w:right w:val="none" w:sz="0" w:space="0" w:color="auto"/>
      </w:divBdr>
    </w:div>
    <w:div w:id="416023208">
      <w:bodyDiv w:val="1"/>
      <w:marLeft w:val="0"/>
      <w:marRight w:val="0"/>
      <w:marTop w:val="0"/>
      <w:marBottom w:val="0"/>
      <w:divBdr>
        <w:top w:val="none" w:sz="0" w:space="0" w:color="auto"/>
        <w:left w:val="none" w:sz="0" w:space="0" w:color="auto"/>
        <w:bottom w:val="none" w:sz="0" w:space="0" w:color="auto"/>
        <w:right w:val="none" w:sz="0" w:space="0" w:color="auto"/>
      </w:divBdr>
    </w:div>
    <w:div w:id="416176134">
      <w:bodyDiv w:val="1"/>
      <w:marLeft w:val="0"/>
      <w:marRight w:val="0"/>
      <w:marTop w:val="0"/>
      <w:marBottom w:val="0"/>
      <w:divBdr>
        <w:top w:val="none" w:sz="0" w:space="0" w:color="auto"/>
        <w:left w:val="none" w:sz="0" w:space="0" w:color="auto"/>
        <w:bottom w:val="none" w:sz="0" w:space="0" w:color="auto"/>
        <w:right w:val="none" w:sz="0" w:space="0" w:color="auto"/>
      </w:divBdr>
    </w:div>
    <w:div w:id="416243955">
      <w:bodyDiv w:val="1"/>
      <w:marLeft w:val="0"/>
      <w:marRight w:val="0"/>
      <w:marTop w:val="0"/>
      <w:marBottom w:val="0"/>
      <w:divBdr>
        <w:top w:val="none" w:sz="0" w:space="0" w:color="auto"/>
        <w:left w:val="none" w:sz="0" w:space="0" w:color="auto"/>
        <w:bottom w:val="none" w:sz="0" w:space="0" w:color="auto"/>
        <w:right w:val="none" w:sz="0" w:space="0" w:color="auto"/>
      </w:divBdr>
    </w:div>
    <w:div w:id="416289366">
      <w:bodyDiv w:val="1"/>
      <w:marLeft w:val="0"/>
      <w:marRight w:val="0"/>
      <w:marTop w:val="0"/>
      <w:marBottom w:val="0"/>
      <w:divBdr>
        <w:top w:val="none" w:sz="0" w:space="0" w:color="auto"/>
        <w:left w:val="none" w:sz="0" w:space="0" w:color="auto"/>
        <w:bottom w:val="none" w:sz="0" w:space="0" w:color="auto"/>
        <w:right w:val="none" w:sz="0" w:space="0" w:color="auto"/>
      </w:divBdr>
    </w:div>
    <w:div w:id="416362500">
      <w:bodyDiv w:val="1"/>
      <w:marLeft w:val="0"/>
      <w:marRight w:val="0"/>
      <w:marTop w:val="0"/>
      <w:marBottom w:val="0"/>
      <w:divBdr>
        <w:top w:val="none" w:sz="0" w:space="0" w:color="auto"/>
        <w:left w:val="none" w:sz="0" w:space="0" w:color="auto"/>
        <w:bottom w:val="none" w:sz="0" w:space="0" w:color="auto"/>
        <w:right w:val="none" w:sz="0" w:space="0" w:color="auto"/>
      </w:divBdr>
    </w:div>
    <w:div w:id="416751428">
      <w:bodyDiv w:val="1"/>
      <w:marLeft w:val="0"/>
      <w:marRight w:val="0"/>
      <w:marTop w:val="0"/>
      <w:marBottom w:val="0"/>
      <w:divBdr>
        <w:top w:val="none" w:sz="0" w:space="0" w:color="auto"/>
        <w:left w:val="none" w:sz="0" w:space="0" w:color="auto"/>
        <w:bottom w:val="none" w:sz="0" w:space="0" w:color="auto"/>
        <w:right w:val="none" w:sz="0" w:space="0" w:color="auto"/>
      </w:divBdr>
    </w:div>
    <w:div w:id="416824654">
      <w:bodyDiv w:val="1"/>
      <w:marLeft w:val="0"/>
      <w:marRight w:val="0"/>
      <w:marTop w:val="0"/>
      <w:marBottom w:val="0"/>
      <w:divBdr>
        <w:top w:val="none" w:sz="0" w:space="0" w:color="auto"/>
        <w:left w:val="none" w:sz="0" w:space="0" w:color="auto"/>
        <w:bottom w:val="none" w:sz="0" w:space="0" w:color="auto"/>
        <w:right w:val="none" w:sz="0" w:space="0" w:color="auto"/>
      </w:divBdr>
    </w:div>
    <w:div w:id="416828502">
      <w:bodyDiv w:val="1"/>
      <w:marLeft w:val="0"/>
      <w:marRight w:val="0"/>
      <w:marTop w:val="0"/>
      <w:marBottom w:val="0"/>
      <w:divBdr>
        <w:top w:val="none" w:sz="0" w:space="0" w:color="auto"/>
        <w:left w:val="none" w:sz="0" w:space="0" w:color="auto"/>
        <w:bottom w:val="none" w:sz="0" w:space="0" w:color="auto"/>
        <w:right w:val="none" w:sz="0" w:space="0" w:color="auto"/>
      </w:divBdr>
    </w:div>
    <w:div w:id="416904612">
      <w:bodyDiv w:val="1"/>
      <w:marLeft w:val="0"/>
      <w:marRight w:val="0"/>
      <w:marTop w:val="0"/>
      <w:marBottom w:val="0"/>
      <w:divBdr>
        <w:top w:val="none" w:sz="0" w:space="0" w:color="auto"/>
        <w:left w:val="none" w:sz="0" w:space="0" w:color="auto"/>
        <w:bottom w:val="none" w:sz="0" w:space="0" w:color="auto"/>
        <w:right w:val="none" w:sz="0" w:space="0" w:color="auto"/>
      </w:divBdr>
    </w:div>
    <w:div w:id="417019254">
      <w:bodyDiv w:val="1"/>
      <w:marLeft w:val="0"/>
      <w:marRight w:val="0"/>
      <w:marTop w:val="0"/>
      <w:marBottom w:val="0"/>
      <w:divBdr>
        <w:top w:val="none" w:sz="0" w:space="0" w:color="auto"/>
        <w:left w:val="none" w:sz="0" w:space="0" w:color="auto"/>
        <w:bottom w:val="none" w:sz="0" w:space="0" w:color="auto"/>
        <w:right w:val="none" w:sz="0" w:space="0" w:color="auto"/>
      </w:divBdr>
    </w:div>
    <w:div w:id="417019869">
      <w:bodyDiv w:val="1"/>
      <w:marLeft w:val="0"/>
      <w:marRight w:val="0"/>
      <w:marTop w:val="0"/>
      <w:marBottom w:val="0"/>
      <w:divBdr>
        <w:top w:val="none" w:sz="0" w:space="0" w:color="auto"/>
        <w:left w:val="none" w:sz="0" w:space="0" w:color="auto"/>
        <w:bottom w:val="none" w:sz="0" w:space="0" w:color="auto"/>
        <w:right w:val="none" w:sz="0" w:space="0" w:color="auto"/>
      </w:divBdr>
    </w:div>
    <w:div w:id="417216914">
      <w:bodyDiv w:val="1"/>
      <w:marLeft w:val="0"/>
      <w:marRight w:val="0"/>
      <w:marTop w:val="0"/>
      <w:marBottom w:val="0"/>
      <w:divBdr>
        <w:top w:val="none" w:sz="0" w:space="0" w:color="auto"/>
        <w:left w:val="none" w:sz="0" w:space="0" w:color="auto"/>
        <w:bottom w:val="none" w:sz="0" w:space="0" w:color="auto"/>
        <w:right w:val="none" w:sz="0" w:space="0" w:color="auto"/>
      </w:divBdr>
    </w:div>
    <w:div w:id="417287026">
      <w:bodyDiv w:val="1"/>
      <w:marLeft w:val="0"/>
      <w:marRight w:val="0"/>
      <w:marTop w:val="0"/>
      <w:marBottom w:val="0"/>
      <w:divBdr>
        <w:top w:val="none" w:sz="0" w:space="0" w:color="auto"/>
        <w:left w:val="none" w:sz="0" w:space="0" w:color="auto"/>
        <w:bottom w:val="none" w:sz="0" w:space="0" w:color="auto"/>
        <w:right w:val="none" w:sz="0" w:space="0" w:color="auto"/>
      </w:divBdr>
    </w:div>
    <w:div w:id="417288708">
      <w:bodyDiv w:val="1"/>
      <w:marLeft w:val="0"/>
      <w:marRight w:val="0"/>
      <w:marTop w:val="0"/>
      <w:marBottom w:val="0"/>
      <w:divBdr>
        <w:top w:val="none" w:sz="0" w:space="0" w:color="auto"/>
        <w:left w:val="none" w:sz="0" w:space="0" w:color="auto"/>
        <w:bottom w:val="none" w:sz="0" w:space="0" w:color="auto"/>
        <w:right w:val="none" w:sz="0" w:space="0" w:color="auto"/>
      </w:divBdr>
    </w:div>
    <w:div w:id="417333640">
      <w:bodyDiv w:val="1"/>
      <w:marLeft w:val="0"/>
      <w:marRight w:val="0"/>
      <w:marTop w:val="0"/>
      <w:marBottom w:val="0"/>
      <w:divBdr>
        <w:top w:val="none" w:sz="0" w:space="0" w:color="auto"/>
        <w:left w:val="none" w:sz="0" w:space="0" w:color="auto"/>
        <w:bottom w:val="none" w:sz="0" w:space="0" w:color="auto"/>
        <w:right w:val="none" w:sz="0" w:space="0" w:color="auto"/>
      </w:divBdr>
    </w:div>
    <w:div w:id="417336208">
      <w:bodyDiv w:val="1"/>
      <w:marLeft w:val="0"/>
      <w:marRight w:val="0"/>
      <w:marTop w:val="0"/>
      <w:marBottom w:val="0"/>
      <w:divBdr>
        <w:top w:val="none" w:sz="0" w:space="0" w:color="auto"/>
        <w:left w:val="none" w:sz="0" w:space="0" w:color="auto"/>
        <w:bottom w:val="none" w:sz="0" w:space="0" w:color="auto"/>
        <w:right w:val="none" w:sz="0" w:space="0" w:color="auto"/>
      </w:divBdr>
    </w:div>
    <w:div w:id="417675270">
      <w:bodyDiv w:val="1"/>
      <w:marLeft w:val="0"/>
      <w:marRight w:val="0"/>
      <w:marTop w:val="0"/>
      <w:marBottom w:val="0"/>
      <w:divBdr>
        <w:top w:val="none" w:sz="0" w:space="0" w:color="auto"/>
        <w:left w:val="none" w:sz="0" w:space="0" w:color="auto"/>
        <w:bottom w:val="none" w:sz="0" w:space="0" w:color="auto"/>
        <w:right w:val="none" w:sz="0" w:space="0" w:color="auto"/>
      </w:divBdr>
    </w:div>
    <w:div w:id="417680221">
      <w:bodyDiv w:val="1"/>
      <w:marLeft w:val="0"/>
      <w:marRight w:val="0"/>
      <w:marTop w:val="0"/>
      <w:marBottom w:val="0"/>
      <w:divBdr>
        <w:top w:val="none" w:sz="0" w:space="0" w:color="auto"/>
        <w:left w:val="none" w:sz="0" w:space="0" w:color="auto"/>
        <w:bottom w:val="none" w:sz="0" w:space="0" w:color="auto"/>
        <w:right w:val="none" w:sz="0" w:space="0" w:color="auto"/>
      </w:divBdr>
    </w:div>
    <w:div w:id="417681567">
      <w:bodyDiv w:val="1"/>
      <w:marLeft w:val="0"/>
      <w:marRight w:val="0"/>
      <w:marTop w:val="0"/>
      <w:marBottom w:val="0"/>
      <w:divBdr>
        <w:top w:val="none" w:sz="0" w:space="0" w:color="auto"/>
        <w:left w:val="none" w:sz="0" w:space="0" w:color="auto"/>
        <w:bottom w:val="none" w:sz="0" w:space="0" w:color="auto"/>
        <w:right w:val="none" w:sz="0" w:space="0" w:color="auto"/>
      </w:divBdr>
    </w:div>
    <w:div w:id="417747683">
      <w:bodyDiv w:val="1"/>
      <w:marLeft w:val="0"/>
      <w:marRight w:val="0"/>
      <w:marTop w:val="0"/>
      <w:marBottom w:val="0"/>
      <w:divBdr>
        <w:top w:val="none" w:sz="0" w:space="0" w:color="auto"/>
        <w:left w:val="none" w:sz="0" w:space="0" w:color="auto"/>
        <w:bottom w:val="none" w:sz="0" w:space="0" w:color="auto"/>
        <w:right w:val="none" w:sz="0" w:space="0" w:color="auto"/>
      </w:divBdr>
    </w:div>
    <w:div w:id="417795671">
      <w:bodyDiv w:val="1"/>
      <w:marLeft w:val="0"/>
      <w:marRight w:val="0"/>
      <w:marTop w:val="0"/>
      <w:marBottom w:val="0"/>
      <w:divBdr>
        <w:top w:val="none" w:sz="0" w:space="0" w:color="auto"/>
        <w:left w:val="none" w:sz="0" w:space="0" w:color="auto"/>
        <w:bottom w:val="none" w:sz="0" w:space="0" w:color="auto"/>
        <w:right w:val="none" w:sz="0" w:space="0" w:color="auto"/>
      </w:divBdr>
    </w:div>
    <w:div w:id="417874881">
      <w:bodyDiv w:val="1"/>
      <w:marLeft w:val="0"/>
      <w:marRight w:val="0"/>
      <w:marTop w:val="0"/>
      <w:marBottom w:val="0"/>
      <w:divBdr>
        <w:top w:val="none" w:sz="0" w:space="0" w:color="auto"/>
        <w:left w:val="none" w:sz="0" w:space="0" w:color="auto"/>
        <w:bottom w:val="none" w:sz="0" w:space="0" w:color="auto"/>
        <w:right w:val="none" w:sz="0" w:space="0" w:color="auto"/>
      </w:divBdr>
    </w:div>
    <w:div w:id="417946147">
      <w:bodyDiv w:val="1"/>
      <w:marLeft w:val="0"/>
      <w:marRight w:val="0"/>
      <w:marTop w:val="0"/>
      <w:marBottom w:val="0"/>
      <w:divBdr>
        <w:top w:val="none" w:sz="0" w:space="0" w:color="auto"/>
        <w:left w:val="none" w:sz="0" w:space="0" w:color="auto"/>
        <w:bottom w:val="none" w:sz="0" w:space="0" w:color="auto"/>
        <w:right w:val="none" w:sz="0" w:space="0" w:color="auto"/>
      </w:divBdr>
    </w:div>
    <w:div w:id="418253020">
      <w:bodyDiv w:val="1"/>
      <w:marLeft w:val="0"/>
      <w:marRight w:val="0"/>
      <w:marTop w:val="0"/>
      <w:marBottom w:val="0"/>
      <w:divBdr>
        <w:top w:val="none" w:sz="0" w:space="0" w:color="auto"/>
        <w:left w:val="none" w:sz="0" w:space="0" w:color="auto"/>
        <w:bottom w:val="none" w:sz="0" w:space="0" w:color="auto"/>
        <w:right w:val="none" w:sz="0" w:space="0" w:color="auto"/>
      </w:divBdr>
    </w:div>
    <w:div w:id="418259686">
      <w:bodyDiv w:val="1"/>
      <w:marLeft w:val="0"/>
      <w:marRight w:val="0"/>
      <w:marTop w:val="0"/>
      <w:marBottom w:val="0"/>
      <w:divBdr>
        <w:top w:val="none" w:sz="0" w:space="0" w:color="auto"/>
        <w:left w:val="none" w:sz="0" w:space="0" w:color="auto"/>
        <w:bottom w:val="none" w:sz="0" w:space="0" w:color="auto"/>
        <w:right w:val="none" w:sz="0" w:space="0" w:color="auto"/>
      </w:divBdr>
    </w:div>
    <w:div w:id="418330198">
      <w:bodyDiv w:val="1"/>
      <w:marLeft w:val="0"/>
      <w:marRight w:val="0"/>
      <w:marTop w:val="0"/>
      <w:marBottom w:val="0"/>
      <w:divBdr>
        <w:top w:val="none" w:sz="0" w:space="0" w:color="auto"/>
        <w:left w:val="none" w:sz="0" w:space="0" w:color="auto"/>
        <w:bottom w:val="none" w:sz="0" w:space="0" w:color="auto"/>
        <w:right w:val="none" w:sz="0" w:space="0" w:color="auto"/>
      </w:divBdr>
    </w:div>
    <w:div w:id="418336897">
      <w:bodyDiv w:val="1"/>
      <w:marLeft w:val="0"/>
      <w:marRight w:val="0"/>
      <w:marTop w:val="0"/>
      <w:marBottom w:val="0"/>
      <w:divBdr>
        <w:top w:val="none" w:sz="0" w:space="0" w:color="auto"/>
        <w:left w:val="none" w:sz="0" w:space="0" w:color="auto"/>
        <w:bottom w:val="none" w:sz="0" w:space="0" w:color="auto"/>
        <w:right w:val="none" w:sz="0" w:space="0" w:color="auto"/>
      </w:divBdr>
    </w:div>
    <w:div w:id="418451398">
      <w:bodyDiv w:val="1"/>
      <w:marLeft w:val="0"/>
      <w:marRight w:val="0"/>
      <w:marTop w:val="0"/>
      <w:marBottom w:val="0"/>
      <w:divBdr>
        <w:top w:val="none" w:sz="0" w:space="0" w:color="auto"/>
        <w:left w:val="none" w:sz="0" w:space="0" w:color="auto"/>
        <w:bottom w:val="none" w:sz="0" w:space="0" w:color="auto"/>
        <w:right w:val="none" w:sz="0" w:space="0" w:color="auto"/>
      </w:divBdr>
    </w:div>
    <w:div w:id="418479574">
      <w:bodyDiv w:val="1"/>
      <w:marLeft w:val="0"/>
      <w:marRight w:val="0"/>
      <w:marTop w:val="0"/>
      <w:marBottom w:val="0"/>
      <w:divBdr>
        <w:top w:val="none" w:sz="0" w:space="0" w:color="auto"/>
        <w:left w:val="none" w:sz="0" w:space="0" w:color="auto"/>
        <w:bottom w:val="none" w:sz="0" w:space="0" w:color="auto"/>
        <w:right w:val="none" w:sz="0" w:space="0" w:color="auto"/>
      </w:divBdr>
    </w:div>
    <w:div w:id="418523233">
      <w:bodyDiv w:val="1"/>
      <w:marLeft w:val="0"/>
      <w:marRight w:val="0"/>
      <w:marTop w:val="0"/>
      <w:marBottom w:val="0"/>
      <w:divBdr>
        <w:top w:val="none" w:sz="0" w:space="0" w:color="auto"/>
        <w:left w:val="none" w:sz="0" w:space="0" w:color="auto"/>
        <w:bottom w:val="none" w:sz="0" w:space="0" w:color="auto"/>
        <w:right w:val="none" w:sz="0" w:space="0" w:color="auto"/>
      </w:divBdr>
    </w:div>
    <w:div w:id="418647061">
      <w:bodyDiv w:val="1"/>
      <w:marLeft w:val="0"/>
      <w:marRight w:val="0"/>
      <w:marTop w:val="0"/>
      <w:marBottom w:val="0"/>
      <w:divBdr>
        <w:top w:val="none" w:sz="0" w:space="0" w:color="auto"/>
        <w:left w:val="none" w:sz="0" w:space="0" w:color="auto"/>
        <w:bottom w:val="none" w:sz="0" w:space="0" w:color="auto"/>
        <w:right w:val="none" w:sz="0" w:space="0" w:color="auto"/>
      </w:divBdr>
    </w:div>
    <w:div w:id="418791774">
      <w:bodyDiv w:val="1"/>
      <w:marLeft w:val="0"/>
      <w:marRight w:val="0"/>
      <w:marTop w:val="0"/>
      <w:marBottom w:val="0"/>
      <w:divBdr>
        <w:top w:val="none" w:sz="0" w:space="0" w:color="auto"/>
        <w:left w:val="none" w:sz="0" w:space="0" w:color="auto"/>
        <w:bottom w:val="none" w:sz="0" w:space="0" w:color="auto"/>
        <w:right w:val="none" w:sz="0" w:space="0" w:color="auto"/>
      </w:divBdr>
    </w:div>
    <w:div w:id="418792335">
      <w:bodyDiv w:val="1"/>
      <w:marLeft w:val="0"/>
      <w:marRight w:val="0"/>
      <w:marTop w:val="0"/>
      <w:marBottom w:val="0"/>
      <w:divBdr>
        <w:top w:val="none" w:sz="0" w:space="0" w:color="auto"/>
        <w:left w:val="none" w:sz="0" w:space="0" w:color="auto"/>
        <w:bottom w:val="none" w:sz="0" w:space="0" w:color="auto"/>
        <w:right w:val="none" w:sz="0" w:space="0" w:color="auto"/>
      </w:divBdr>
    </w:div>
    <w:div w:id="418866449">
      <w:bodyDiv w:val="1"/>
      <w:marLeft w:val="0"/>
      <w:marRight w:val="0"/>
      <w:marTop w:val="0"/>
      <w:marBottom w:val="0"/>
      <w:divBdr>
        <w:top w:val="none" w:sz="0" w:space="0" w:color="auto"/>
        <w:left w:val="none" w:sz="0" w:space="0" w:color="auto"/>
        <w:bottom w:val="none" w:sz="0" w:space="0" w:color="auto"/>
        <w:right w:val="none" w:sz="0" w:space="0" w:color="auto"/>
      </w:divBdr>
    </w:div>
    <w:div w:id="418984801">
      <w:bodyDiv w:val="1"/>
      <w:marLeft w:val="0"/>
      <w:marRight w:val="0"/>
      <w:marTop w:val="0"/>
      <w:marBottom w:val="0"/>
      <w:divBdr>
        <w:top w:val="none" w:sz="0" w:space="0" w:color="auto"/>
        <w:left w:val="none" w:sz="0" w:space="0" w:color="auto"/>
        <w:bottom w:val="none" w:sz="0" w:space="0" w:color="auto"/>
        <w:right w:val="none" w:sz="0" w:space="0" w:color="auto"/>
      </w:divBdr>
    </w:div>
    <w:div w:id="418987985">
      <w:bodyDiv w:val="1"/>
      <w:marLeft w:val="0"/>
      <w:marRight w:val="0"/>
      <w:marTop w:val="0"/>
      <w:marBottom w:val="0"/>
      <w:divBdr>
        <w:top w:val="none" w:sz="0" w:space="0" w:color="auto"/>
        <w:left w:val="none" w:sz="0" w:space="0" w:color="auto"/>
        <w:bottom w:val="none" w:sz="0" w:space="0" w:color="auto"/>
        <w:right w:val="none" w:sz="0" w:space="0" w:color="auto"/>
      </w:divBdr>
    </w:div>
    <w:div w:id="418990914">
      <w:bodyDiv w:val="1"/>
      <w:marLeft w:val="0"/>
      <w:marRight w:val="0"/>
      <w:marTop w:val="0"/>
      <w:marBottom w:val="0"/>
      <w:divBdr>
        <w:top w:val="none" w:sz="0" w:space="0" w:color="auto"/>
        <w:left w:val="none" w:sz="0" w:space="0" w:color="auto"/>
        <w:bottom w:val="none" w:sz="0" w:space="0" w:color="auto"/>
        <w:right w:val="none" w:sz="0" w:space="0" w:color="auto"/>
      </w:divBdr>
    </w:div>
    <w:div w:id="419062433">
      <w:bodyDiv w:val="1"/>
      <w:marLeft w:val="0"/>
      <w:marRight w:val="0"/>
      <w:marTop w:val="0"/>
      <w:marBottom w:val="0"/>
      <w:divBdr>
        <w:top w:val="none" w:sz="0" w:space="0" w:color="auto"/>
        <w:left w:val="none" w:sz="0" w:space="0" w:color="auto"/>
        <w:bottom w:val="none" w:sz="0" w:space="0" w:color="auto"/>
        <w:right w:val="none" w:sz="0" w:space="0" w:color="auto"/>
      </w:divBdr>
    </w:div>
    <w:div w:id="419105305">
      <w:bodyDiv w:val="1"/>
      <w:marLeft w:val="0"/>
      <w:marRight w:val="0"/>
      <w:marTop w:val="0"/>
      <w:marBottom w:val="0"/>
      <w:divBdr>
        <w:top w:val="none" w:sz="0" w:space="0" w:color="auto"/>
        <w:left w:val="none" w:sz="0" w:space="0" w:color="auto"/>
        <w:bottom w:val="none" w:sz="0" w:space="0" w:color="auto"/>
        <w:right w:val="none" w:sz="0" w:space="0" w:color="auto"/>
      </w:divBdr>
    </w:div>
    <w:div w:id="419107352">
      <w:bodyDiv w:val="1"/>
      <w:marLeft w:val="0"/>
      <w:marRight w:val="0"/>
      <w:marTop w:val="0"/>
      <w:marBottom w:val="0"/>
      <w:divBdr>
        <w:top w:val="none" w:sz="0" w:space="0" w:color="auto"/>
        <w:left w:val="none" w:sz="0" w:space="0" w:color="auto"/>
        <w:bottom w:val="none" w:sz="0" w:space="0" w:color="auto"/>
        <w:right w:val="none" w:sz="0" w:space="0" w:color="auto"/>
      </w:divBdr>
    </w:div>
    <w:div w:id="419109410">
      <w:bodyDiv w:val="1"/>
      <w:marLeft w:val="0"/>
      <w:marRight w:val="0"/>
      <w:marTop w:val="0"/>
      <w:marBottom w:val="0"/>
      <w:divBdr>
        <w:top w:val="none" w:sz="0" w:space="0" w:color="auto"/>
        <w:left w:val="none" w:sz="0" w:space="0" w:color="auto"/>
        <w:bottom w:val="none" w:sz="0" w:space="0" w:color="auto"/>
        <w:right w:val="none" w:sz="0" w:space="0" w:color="auto"/>
      </w:divBdr>
    </w:div>
    <w:div w:id="419109762">
      <w:bodyDiv w:val="1"/>
      <w:marLeft w:val="0"/>
      <w:marRight w:val="0"/>
      <w:marTop w:val="0"/>
      <w:marBottom w:val="0"/>
      <w:divBdr>
        <w:top w:val="none" w:sz="0" w:space="0" w:color="auto"/>
        <w:left w:val="none" w:sz="0" w:space="0" w:color="auto"/>
        <w:bottom w:val="none" w:sz="0" w:space="0" w:color="auto"/>
        <w:right w:val="none" w:sz="0" w:space="0" w:color="auto"/>
      </w:divBdr>
    </w:div>
    <w:div w:id="419109792">
      <w:bodyDiv w:val="1"/>
      <w:marLeft w:val="0"/>
      <w:marRight w:val="0"/>
      <w:marTop w:val="0"/>
      <w:marBottom w:val="0"/>
      <w:divBdr>
        <w:top w:val="none" w:sz="0" w:space="0" w:color="auto"/>
        <w:left w:val="none" w:sz="0" w:space="0" w:color="auto"/>
        <w:bottom w:val="none" w:sz="0" w:space="0" w:color="auto"/>
        <w:right w:val="none" w:sz="0" w:space="0" w:color="auto"/>
      </w:divBdr>
    </w:div>
    <w:div w:id="419183918">
      <w:bodyDiv w:val="1"/>
      <w:marLeft w:val="0"/>
      <w:marRight w:val="0"/>
      <w:marTop w:val="0"/>
      <w:marBottom w:val="0"/>
      <w:divBdr>
        <w:top w:val="none" w:sz="0" w:space="0" w:color="auto"/>
        <w:left w:val="none" w:sz="0" w:space="0" w:color="auto"/>
        <w:bottom w:val="none" w:sz="0" w:space="0" w:color="auto"/>
        <w:right w:val="none" w:sz="0" w:space="0" w:color="auto"/>
      </w:divBdr>
    </w:div>
    <w:div w:id="419300547">
      <w:bodyDiv w:val="1"/>
      <w:marLeft w:val="0"/>
      <w:marRight w:val="0"/>
      <w:marTop w:val="0"/>
      <w:marBottom w:val="0"/>
      <w:divBdr>
        <w:top w:val="none" w:sz="0" w:space="0" w:color="auto"/>
        <w:left w:val="none" w:sz="0" w:space="0" w:color="auto"/>
        <w:bottom w:val="none" w:sz="0" w:space="0" w:color="auto"/>
        <w:right w:val="none" w:sz="0" w:space="0" w:color="auto"/>
      </w:divBdr>
    </w:div>
    <w:div w:id="419449308">
      <w:bodyDiv w:val="1"/>
      <w:marLeft w:val="0"/>
      <w:marRight w:val="0"/>
      <w:marTop w:val="0"/>
      <w:marBottom w:val="0"/>
      <w:divBdr>
        <w:top w:val="none" w:sz="0" w:space="0" w:color="auto"/>
        <w:left w:val="none" w:sz="0" w:space="0" w:color="auto"/>
        <w:bottom w:val="none" w:sz="0" w:space="0" w:color="auto"/>
        <w:right w:val="none" w:sz="0" w:space="0" w:color="auto"/>
      </w:divBdr>
    </w:div>
    <w:div w:id="419524727">
      <w:bodyDiv w:val="1"/>
      <w:marLeft w:val="0"/>
      <w:marRight w:val="0"/>
      <w:marTop w:val="0"/>
      <w:marBottom w:val="0"/>
      <w:divBdr>
        <w:top w:val="none" w:sz="0" w:space="0" w:color="auto"/>
        <w:left w:val="none" w:sz="0" w:space="0" w:color="auto"/>
        <w:bottom w:val="none" w:sz="0" w:space="0" w:color="auto"/>
        <w:right w:val="none" w:sz="0" w:space="0" w:color="auto"/>
      </w:divBdr>
    </w:div>
    <w:div w:id="419570489">
      <w:bodyDiv w:val="1"/>
      <w:marLeft w:val="0"/>
      <w:marRight w:val="0"/>
      <w:marTop w:val="0"/>
      <w:marBottom w:val="0"/>
      <w:divBdr>
        <w:top w:val="none" w:sz="0" w:space="0" w:color="auto"/>
        <w:left w:val="none" w:sz="0" w:space="0" w:color="auto"/>
        <w:bottom w:val="none" w:sz="0" w:space="0" w:color="auto"/>
        <w:right w:val="none" w:sz="0" w:space="0" w:color="auto"/>
      </w:divBdr>
    </w:div>
    <w:div w:id="419714732">
      <w:bodyDiv w:val="1"/>
      <w:marLeft w:val="0"/>
      <w:marRight w:val="0"/>
      <w:marTop w:val="0"/>
      <w:marBottom w:val="0"/>
      <w:divBdr>
        <w:top w:val="none" w:sz="0" w:space="0" w:color="auto"/>
        <w:left w:val="none" w:sz="0" w:space="0" w:color="auto"/>
        <w:bottom w:val="none" w:sz="0" w:space="0" w:color="auto"/>
        <w:right w:val="none" w:sz="0" w:space="0" w:color="auto"/>
      </w:divBdr>
    </w:div>
    <w:div w:id="419718289">
      <w:bodyDiv w:val="1"/>
      <w:marLeft w:val="0"/>
      <w:marRight w:val="0"/>
      <w:marTop w:val="0"/>
      <w:marBottom w:val="0"/>
      <w:divBdr>
        <w:top w:val="none" w:sz="0" w:space="0" w:color="auto"/>
        <w:left w:val="none" w:sz="0" w:space="0" w:color="auto"/>
        <w:bottom w:val="none" w:sz="0" w:space="0" w:color="auto"/>
        <w:right w:val="none" w:sz="0" w:space="0" w:color="auto"/>
      </w:divBdr>
    </w:div>
    <w:div w:id="419719228">
      <w:bodyDiv w:val="1"/>
      <w:marLeft w:val="0"/>
      <w:marRight w:val="0"/>
      <w:marTop w:val="0"/>
      <w:marBottom w:val="0"/>
      <w:divBdr>
        <w:top w:val="none" w:sz="0" w:space="0" w:color="auto"/>
        <w:left w:val="none" w:sz="0" w:space="0" w:color="auto"/>
        <w:bottom w:val="none" w:sz="0" w:space="0" w:color="auto"/>
        <w:right w:val="none" w:sz="0" w:space="0" w:color="auto"/>
      </w:divBdr>
    </w:div>
    <w:div w:id="419721495">
      <w:bodyDiv w:val="1"/>
      <w:marLeft w:val="0"/>
      <w:marRight w:val="0"/>
      <w:marTop w:val="0"/>
      <w:marBottom w:val="0"/>
      <w:divBdr>
        <w:top w:val="none" w:sz="0" w:space="0" w:color="auto"/>
        <w:left w:val="none" w:sz="0" w:space="0" w:color="auto"/>
        <w:bottom w:val="none" w:sz="0" w:space="0" w:color="auto"/>
        <w:right w:val="none" w:sz="0" w:space="0" w:color="auto"/>
      </w:divBdr>
    </w:div>
    <w:div w:id="419831813">
      <w:bodyDiv w:val="1"/>
      <w:marLeft w:val="0"/>
      <w:marRight w:val="0"/>
      <w:marTop w:val="0"/>
      <w:marBottom w:val="0"/>
      <w:divBdr>
        <w:top w:val="none" w:sz="0" w:space="0" w:color="auto"/>
        <w:left w:val="none" w:sz="0" w:space="0" w:color="auto"/>
        <w:bottom w:val="none" w:sz="0" w:space="0" w:color="auto"/>
        <w:right w:val="none" w:sz="0" w:space="0" w:color="auto"/>
      </w:divBdr>
    </w:div>
    <w:div w:id="420102697">
      <w:bodyDiv w:val="1"/>
      <w:marLeft w:val="0"/>
      <w:marRight w:val="0"/>
      <w:marTop w:val="0"/>
      <w:marBottom w:val="0"/>
      <w:divBdr>
        <w:top w:val="none" w:sz="0" w:space="0" w:color="auto"/>
        <w:left w:val="none" w:sz="0" w:space="0" w:color="auto"/>
        <w:bottom w:val="none" w:sz="0" w:space="0" w:color="auto"/>
        <w:right w:val="none" w:sz="0" w:space="0" w:color="auto"/>
      </w:divBdr>
    </w:div>
    <w:div w:id="420183416">
      <w:bodyDiv w:val="1"/>
      <w:marLeft w:val="0"/>
      <w:marRight w:val="0"/>
      <w:marTop w:val="0"/>
      <w:marBottom w:val="0"/>
      <w:divBdr>
        <w:top w:val="none" w:sz="0" w:space="0" w:color="auto"/>
        <w:left w:val="none" w:sz="0" w:space="0" w:color="auto"/>
        <w:bottom w:val="none" w:sz="0" w:space="0" w:color="auto"/>
        <w:right w:val="none" w:sz="0" w:space="0" w:color="auto"/>
      </w:divBdr>
    </w:div>
    <w:div w:id="420222160">
      <w:bodyDiv w:val="1"/>
      <w:marLeft w:val="0"/>
      <w:marRight w:val="0"/>
      <w:marTop w:val="0"/>
      <w:marBottom w:val="0"/>
      <w:divBdr>
        <w:top w:val="none" w:sz="0" w:space="0" w:color="auto"/>
        <w:left w:val="none" w:sz="0" w:space="0" w:color="auto"/>
        <w:bottom w:val="none" w:sz="0" w:space="0" w:color="auto"/>
        <w:right w:val="none" w:sz="0" w:space="0" w:color="auto"/>
      </w:divBdr>
    </w:div>
    <w:div w:id="420224507">
      <w:bodyDiv w:val="1"/>
      <w:marLeft w:val="0"/>
      <w:marRight w:val="0"/>
      <w:marTop w:val="0"/>
      <w:marBottom w:val="0"/>
      <w:divBdr>
        <w:top w:val="none" w:sz="0" w:space="0" w:color="auto"/>
        <w:left w:val="none" w:sz="0" w:space="0" w:color="auto"/>
        <w:bottom w:val="none" w:sz="0" w:space="0" w:color="auto"/>
        <w:right w:val="none" w:sz="0" w:space="0" w:color="auto"/>
      </w:divBdr>
    </w:div>
    <w:div w:id="420294867">
      <w:bodyDiv w:val="1"/>
      <w:marLeft w:val="0"/>
      <w:marRight w:val="0"/>
      <w:marTop w:val="0"/>
      <w:marBottom w:val="0"/>
      <w:divBdr>
        <w:top w:val="none" w:sz="0" w:space="0" w:color="auto"/>
        <w:left w:val="none" w:sz="0" w:space="0" w:color="auto"/>
        <w:bottom w:val="none" w:sz="0" w:space="0" w:color="auto"/>
        <w:right w:val="none" w:sz="0" w:space="0" w:color="auto"/>
      </w:divBdr>
    </w:div>
    <w:div w:id="420295185">
      <w:bodyDiv w:val="1"/>
      <w:marLeft w:val="0"/>
      <w:marRight w:val="0"/>
      <w:marTop w:val="0"/>
      <w:marBottom w:val="0"/>
      <w:divBdr>
        <w:top w:val="none" w:sz="0" w:space="0" w:color="auto"/>
        <w:left w:val="none" w:sz="0" w:space="0" w:color="auto"/>
        <w:bottom w:val="none" w:sz="0" w:space="0" w:color="auto"/>
        <w:right w:val="none" w:sz="0" w:space="0" w:color="auto"/>
      </w:divBdr>
    </w:div>
    <w:div w:id="420295335">
      <w:bodyDiv w:val="1"/>
      <w:marLeft w:val="0"/>
      <w:marRight w:val="0"/>
      <w:marTop w:val="0"/>
      <w:marBottom w:val="0"/>
      <w:divBdr>
        <w:top w:val="none" w:sz="0" w:space="0" w:color="auto"/>
        <w:left w:val="none" w:sz="0" w:space="0" w:color="auto"/>
        <w:bottom w:val="none" w:sz="0" w:space="0" w:color="auto"/>
        <w:right w:val="none" w:sz="0" w:space="0" w:color="auto"/>
      </w:divBdr>
    </w:div>
    <w:div w:id="420297707">
      <w:bodyDiv w:val="1"/>
      <w:marLeft w:val="0"/>
      <w:marRight w:val="0"/>
      <w:marTop w:val="0"/>
      <w:marBottom w:val="0"/>
      <w:divBdr>
        <w:top w:val="none" w:sz="0" w:space="0" w:color="auto"/>
        <w:left w:val="none" w:sz="0" w:space="0" w:color="auto"/>
        <w:bottom w:val="none" w:sz="0" w:space="0" w:color="auto"/>
        <w:right w:val="none" w:sz="0" w:space="0" w:color="auto"/>
      </w:divBdr>
    </w:div>
    <w:div w:id="420299709">
      <w:bodyDiv w:val="1"/>
      <w:marLeft w:val="0"/>
      <w:marRight w:val="0"/>
      <w:marTop w:val="0"/>
      <w:marBottom w:val="0"/>
      <w:divBdr>
        <w:top w:val="none" w:sz="0" w:space="0" w:color="auto"/>
        <w:left w:val="none" w:sz="0" w:space="0" w:color="auto"/>
        <w:bottom w:val="none" w:sz="0" w:space="0" w:color="auto"/>
        <w:right w:val="none" w:sz="0" w:space="0" w:color="auto"/>
      </w:divBdr>
    </w:div>
    <w:div w:id="420368777">
      <w:bodyDiv w:val="1"/>
      <w:marLeft w:val="0"/>
      <w:marRight w:val="0"/>
      <w:marTop w:val="0"/>
      <w:marBottom w:val="0"/>
      <w:divBdr>
        <w:top w:val="none" w:sz="0" w:space="0" w:color="auto"/>
        <w:left w:val="none" w:sz="0" w:space="0" w:color="auto"/>
        <w:bottom w:val="none" w:sz="0" w:space="0" w:color="auto"/>
        <w:right w:val="none" w:sz="0" w:space="0" w:color="auto"/>
      </w:divBdr>
    </w:div>
    <w:div w:id="420374879">
      <w:bodyDiv w:val="1"/>
      <w:marLeft w:val="0"/>
      <w:marRight w:val="0"/>
      <w:marTop w:val="0"/>
      <w:marBottom w:val="0"/>
      <w:divBdr>
        <w:top w:val="none" w:sz="0" w:space="0" w:color="auto"/>
        <w:left w:val="none" w:sz="0" w:space="0" w:color="auto"/>
        <w:bottom w:val="none" w:sz="0" w:space="0" w:color="auto"/>
        <w:right w:val="none" w:sz="0" w:space="0" w:color="auto"/>
      </w:divBdr>
    </w:div>
    <w:div w:id="420568911">
      <w:bodyDiv w:val="1"/>
      <w:marLeft w:val="0"/>
      <w:marRight w:val="0"/>
      <w:marTop w:val="0"/>
      <w:marBottom w:val="0"/>
      <w:divBdr>
        <w:top w:val="none" w:sz="0" w:space="0" w:color="auto"/>
        <w:left w:val="none" w:sz="0" w:space="0" w:color="auto"/>
        <w:bottom w:val="none" w:sz="0" w:space="0" w:color="auto"/>
        <w:right w:val="none" w:sz="0" w:space="0" w:color="auto"/>
      </w:divBdr>
    </w:div>
    <w:div w:id="420571433">
      <w:bodyDiv w:val="1"/>
      <w:marLeft w:val="0"/>
      <w:marRight w:val="0"/>
      <w:marTop w:val="0"/>
      <w:marBottom w:val="0"/>
      <w:divBdr>
        <w:top w:val="none" w:sz="0" w:space="0" w:color="auto"/>
        <w:left w:val="none" w:sz="0" w:space="0" w:color="auto"/>
        <w:bottom w:val="none" w:sz="0" w:space="0" w:color="auto"/>
        <w:right w:val="none" w:sz="0" w:space="0" w:color="auto"/>
      </w:divBdr>
    </w:div>
    <w:div w:id="420611756">
      <w:bodyDiv w:val="1"/>
      <w:marLeft w:val="0"/>
      <w:marRight w:val="0"/>
      <w:marTop w:val="0"/>
      <w:marBottom w:val="0"/>
      <w:divBdr>
        <w:top w:val="none" w:sz="0" w:space="0" w:color="auto"/>
        <w:left w:val="none" w:sz="0" w:space="0" w:color="auto"/>
        <w:bottom w:val="none" w:sz="0" w:space="0" w:color="auto"/>
        <w:right w:val="none" w:sz="0" w:space="0" w:color="auto"/>
      </w:divBdr>
    </w:div>
    <w:div w:id="420642345">
      <w:bodyDiv w:val="1"/>
      <w:marLeft w:val="0"/>
      <w:marRight w:val="0"/>
      <w:marTop w:val="0"/>
      <w:marBottom w:val="0"/>
      <w:divBdr>
        <w:top w:val="none" w:sz="0" w:space="0" w:color="auto"/>
        <w:left w:val="none" w:sz="0" w:space="0" w:color="auto"/>
        <w:bottom w:val="none" w:sz="0" w:space="0" w:color="auto"/>
        <w:right w:val="none" w:sz="0" w:space="0" w:color="auto"/>
      </w:divBdr>
    </w:div>
    <w:div w:id="420685737">
      <w:bodyDiv w:val="1"/>
      <w:marLeft w:val="0"/>
      <w:marRight w:val="0"/>
      <w:marTop w:val="0"/>
      <w:marBottom w:val="0"/>
      <w:divBdr>
        <w:top w:val="none" w:sz="0" w:space="0" w:color="auto"/>
        <w:left w:val="none" w:sz="0" w:space="0" w:color="auto"/>
        <w:bottom w:val="none" w:sz="0" w:space="0" w:color="auto"/>
        <w:right w:val="none" w:sz="0" w:space="0" w:color="auto"/>
      </w:divBdr>
    </w:div>
    <w:div w:id="420687321">
      <w:bodyDiv w:val="1"/>
      <w:marLeft w:val="0"/>
      <w:marRight w:val="0"/>
      <w:marTop w:val="0"/>
      <w:marBottom w:val="0"/>
      <w:divBdr>
        <w:top w:val="none" w:sz="0" w:space="0" w:color="auto"/>
        <w:left w:val="none" w:sz="0" w:space="0" w:color="auto"/>
        <w:bottom w:val="none" w:sz="0" w:space="0" w:color="auto"/>
        <w:right w:val="none" w:sz="0" w:space="0" w:color="auto"/>
      </w:divBdr>
    </w:div>
    <w:div w:id="420757159">
      <w:bodyDiv w:val="1"/>
      <w:marLeft w:val="0"/>
      <w:marRight w:val="0"/>
      <w:marTop w:val="0"/>
      <w:marBottom w:val="0"/>
      <w:divBdr>
        <w:top w:val="none" w:sz="0" w:space="0" w:color="auto"/>
        <w:left w:val="none" w:sz="0" w:space="0" w:color="auto"/>
        <w:bottom w:val="none" w:sz="0" w:space="0" w:color="auto"/>
        <w:right w:val="none" w:sz="0" w:space="0" w:color="auto"/>
      </w:divBdr>
    </w:div>
    <w:div w:id="420761948">
      <w:bodyDiv w:val="1"/>
      <w:marLeft w:val="0"/>
      <w:marRight w:val="0"/>
      <w:marTop w:val="0"/>
      <w:marBottom w:val="0"/>
      <w:divBdr>
        <w:top w:val="none" w:sz="0" w:space="0" w:color="auto"/>
        <w:left w:val="none" w:sz="0" w:space="0" w:color="auto"/>
        <w:bottom w:val="none" w:sz="0" w:space="0" w:color="auto"/>
        <w:right w:val="none" w:sz="0" w:space="0" w:color="auto"/>
      </w:divBdr>
    </w:div>
    <w:div w:id="420876998">
      <w:bodyDiv w:val="1"/>
      <w:marLeft w:val="0"/>
      <w:marRight w:val="0"/>
      <w:marTop w:val="0"/>
      <w:marBottom w:val="0"/>
      <w:divBdr>
        <w:top w:val="none" w:sz="0" w:space="0" w:color="auto"/>
        <w:left w:val="none" w:sz="0" w:space="0" w:color="auto"/>
        <w:bottom w:val="none" w:sz="0" w:space="0" w:color="auto"/>
        <w:right w:val="none" w:sz="0" w:space="0" w:color="auto"/>
      </w:divBdr>
    </w:div>
    <w:div w:id="420953360">
      <w:bodyDiv w:val="1"/>
      <w:marLeft w:val="0"/>
      <w:marRight w:val="0"/>
      <w:marTop w:val="0"/>
      <w:marBottom w:val="0"/>
      <w:divBdr>
        <w:top w:val="none" w:sz="0" w:space="0" w:color="auto"/>
        <w:left w:val="none" w:sz="0" w:space="0" w:color="auto"/>
        <w:bottom w:val="none" w:sz="0" w:space="0" w:color="auto"/>
        <w:right w:val="none" w:sz="0" w:space="0" w:color="auto"/>
      </w:divBdr>
    </w:div>
    <w:div w:id="421025142">
      <w:bodyDiv w:val="1"/>
      <w:marLeft w:val="0"/>
      <w:marRight w:val="0"/>
      <w:marTop w:val="0"/>
      <w:marBottom w:val="0"/>
      <w:divBdr>
        <w:top w:val="none" w:sz="0" w:space="0" w:color="auto"/>
        <w:left w:val="none" w:sz="0" w:space="0" w:color="auto"/>
        <w:bottom w:val="none" w:sz="0" w:space="0" w:color="auto"/>
        <w:right w:val="none" w:sz="0" w:space="0" w:color="auto"/>
      </w:divBdr>
    </w:div>
    <w:div w:id="421033020">
      <w:bodyDiv w:val="1"/>
      <w:marLeft w:val="0"/>
      <w:marRight w:val="0"/>
      <w:marTop w:val="0"/>
      <w:marBottom w:val="0"/>
      <w:divBdr>
        <w:top w:val="none" w:sz="0" w:space="0" w:color="auto"/>
        <w:left w:val="none" w:sz="0" w:space="0" w:color="auto"/>
        <w:bottom w:val="none" w:sz="0" w:space="0" w:color="auto"/>
        <w:right w:val="none" w:sz="0" w:space="0" w:color="auto"/>
      </w:divBdr>
    </w:div>
    <w:div w:id="421070507">
      <w:bodyDiv w:val="1"/>
      <w:marLeft w:val="0"/>
      <w:marRight w:val="0"/>
      <w:marTop w:val="0"/>
      <w:marBottom w:val="0"/>
      <w:divBdr>
        <w:top w:val="none" w:sz="0" w:space="0" w:color="auto"/>
        <w:left w:val="none" w:sz="0" w:space="0" w:color="auto"/>
        <w:bottom w:val="none" w:sz="0" w:space="0" w:color="auto"/>
        <w:right w:val="none" w:sz="0" w:space="0" w:color="auto"/>
      </w:divBdr>
    </w:div>
    <w:div w:id="421101041">
      <w:bodyDiv w:val="1"/>
      <w:marLeft w:val="0"/>
      <w:marRight w:val="0"/>
      <w:marTop w:val="0"/>
      <w:marBottom w:val="0"/>
      <w:divBdr>
        <w:top w:val="none" w:sz="0" w:space="0" w:color="auto"/>
        <w:left w:val="none" w:sz="0" w:space="0" w:color="auto"/>
        <w:bottom w:val="none" w:sz="0" w:space="0" w:color="auto"/>
        <w:right w:val="none" w:sz="0" w:space="0" w:color="auto"/>
      </w:divBdr>
    </w:div>
    <w:div w:id="421143706">
      <w:bodyDiv w:val="1"/>
      <w:marLeft w:val="0"/>
      <w:marRight w:val="0"/>
      <w:marTop w:val="0"/>
      <w:marBottom w:val="0"/>
      <w:divBdr>
        <w:top w:val="none" w:sz="0" w:space="0" w:color="auto"/>
        <w:left w:val="none" w:sz="0" w:space="0" w:color="auto"/>
        <w:bottom w:val="none" w:sz="0" w:space="0" w:color="auto"/>
        <w:right w:val="none" w:sz="0" w:space="0" w:color="auto"/>
      </w:divBdr>
    </w:div>
    <w:div w:id="421146834">
      <w:bodyDiv w:val="1"/>
      <w:marLeft w:val="0"/>
      <w:marRight w:val="0"/>
      <w:marTop w:val="0"/>
      <w:marBottom w:val="0"/>
      <w:divBdr>
        <w:top w:val="none" w:sz="0" w:space="0" w:color="auto"/>
        <w:left w:val="none" w:sz="0" w:space="0" w:color="auto"/>
        <w:bottom w:val="none" w:sz="0" w:space="0" w:color="auto"/>
        <w:right w:val="none" w:sz="0" w:space="0" w:color="auto"/>
      </w:divBdr>
    </w:div>
    <w:div w:id="421148735">
      <w:bodyDiv w:val="1"/>
      <w:marLeft w:val="0"/>
      <w:marRight w:val="0"/>
      <w:marTop w:val="0"/>
      <w:marBottom w:val="0"/>
      <w:divBdr>
        <w:top w:val="none" w:sz="0" w:space="0" w:color="auto"/>
        <w:left w:val="none" w:sz="0" w:space="0" w:color="auto"/>
        <w:bottom w:val="none" w:sz="0" w:space="0" w:color="auto"/>
        <w:right w:val="none" w:sz="0" w:space="0" w:color="auto"/>
      </w:divBdr>
    </w:div>
    <w:div w:id="421149730">
      <w:bodyDiv w:val="1"/>
      <w:marLeft w:val="0"/>
      <w:marRight w:val="0"/>
      <w:marTop w:val="0"/>
      <w:marBottom w:val="0"/>
      <w:divBdr>
        <w:top w:val="none" w:sz="0" w:space="0" w:color="auto"/>
        <w:left w:val="none" w:sz="0" w:space="0" w:color="auto"/>
        <w:bottom w:val="none" w:sz="0" w:space="0" w:color="auto"/>
        <w:right w:val="none" w:sz="0" w:space="0" w:color="auto"/>
      </w:divBdr>
    </w:div>
    <w:div w:id="421293635">
      <w:bodyDiv w:val="1"/>
      <w:marLeft w:val="0"/>
      <w:marRight w:val="0"/>
      <w:marTop w:val="0"/>
      <w:marBottom w:val="0"/>
      <w:divBdr>
        <w:top w:val="none" w:sz="0" w:space="0" w:color="auto"/>
        <w:left w:val="none" w:sz="0" w:space="0" w:color="auto"/>
        <w:bottom w:val="none" w:sz="0" w:space="0" w:color="auto"/>
        <w:right w:val="none" w:sz="0" w:space="0" w:color="auto"/>
      </w:divBdr>
    </w:div>
    <w:div w:id="421294549">
      <w:bodyDiv w:val="1"/>
      <w:marLeft w:val="0"/>
      <w:marRight w:val="0"/>
      <w:marTop w:val="0"/>
      <w:marBottom w:val="0"/>
      <w:divBdr>
        <w:top w:val="none" w:sz="0" w:space="0" w:color="auto"/>
        <w:left w:val="none" w:sz="0" w:space="0" w:color="auto"/>
        <w:bottom w:val="none" w:sz="0" w:space="0" w:color="auto"/>
        <w:right w:val="none" w:sz="0" w:space="0" w:color="auto"/>
      </w:divBdr>
    </w:div>
    <w:div w:id="421336405">
      <w:bodyDiv w:val="1"/>
      <w:marLeft w:val="0"/>
      <w:marRight w:val="0"/>
      <w:marTop w:val="0"/>
      <w:marBottom w:val="0"/>
      <w:divBdr>
        <w:top w:val="none" w:sz="0" w:space="0" w:color="auto"/>
        <w:left w:val="none" w:sz="0" w:space="0" w:color="auto"/>
        <w:bottom w:val="none" w:sz="0" w:space="0" w:color="auto"/>
        <w:right w:val="none" w:sz="0" w:space="0" w:color="auto"/>
      </w:divBdr>
    </w:div>
    <w:div w:id="421337726">
      <w:bodyDiv w:val="1"/>
      <w:marLeft w:val="0"/>
      <w:marRight w:val="0"/>
      <w:marTop w:val="0"/>
      <w:marBottom w:val="0"/>
      <w:divBdr>
        <w:top w:val="none" w:sz="0" w:space="0" w:color="auto"/>
        <w:left w:val="none" w:sz="0" w:space="0" w:color="auto"/>
        <w:bottom w:val="none" w:sz="0" w:space="0" w:color="auto"/>
        <w:right w:val="none" w:sz="0" w:space="0" w:color="auto"/>
      </w:divBdr>
    </w:div>
    <w:div w:id="421338961">
      <w:bodyDiv w:val="1"/>
      <w:marLeft w:val="0"/>
      <w:marRight w:val="0"/>
      <w:marTop w:val="0"/>
      <w:marBottom w:val="0"/>
      <w:divBdr>
        <w:top w:val="none" w:sz="0" w:space="0" w:color="auto"/>
        <w:left w:val="none" w:sz="0" w:space="0" w:color="auto"/>
        <w:bottom w:val="none" w:sz="0" w:space="0" w:color="auto"/>
        <w:right w:val="none" w:sz="0" w:space="0" w:color="auto"/>
      </w:divBdr>
    </w:div>
    <w:div w:id="421411670">
      <w:bodyDiv w:val="1"/>
      <w:marLeft w:val="0"/>
      <w:marRight w:val="0"/>
      <w:marTop w:val="0"/>
      <w:marBottom w:val="0"/>
      <w:divBdr>
        <w:top w:val="none" w:sz="0" w:space="0" w:color="auto"/>
        <w:left w:val="none" w:sz="0" w:space="0" w:color="auto"/>
        <w:bottom w:val="none" w:sz="0" w:space="0" w:color="auto"/>
        <w:right w:val="none" w:sz="0" w:space="0" w:color="auto"/>
      </w:divBdr>
    </w:div>
    <w:div w:id="421417159">
      <w:bodyDiv w:val="1"/>
      <w:marLeft w:val="0"/>
      <w:marRight w:val="0"/>
      <w:marTop w:val="0"/>
      <w:marBottom w:val="0"/>
      <w:divBdr>
        <w:top w:val="none" w:sz="0" w:space="0" w:color="auto"/>
        <w:left w:val="none" w:sz="0" w:space="0" w:color="auto"/>
        <w:bottom w:val="none" w:sz="0" w:space="0" w:color="auto"/>
        <w:right w:val="none" w:sz="0" w:space="0" w:color="auto"/>
      </w:divBdr>
    </w:div>
    <w:div w:id="421417552">
      <w:bodyDiv w:val="1"/>
      <w:marLeft w:val="0"/>
      <w:marRight w:val="0"/>
      <w:marTop w:val="0"/>
      <w:marBottom w:val="0"/>
      <w:divBdr>
        <w:top w:val="none" w:sz="0" w:space="0" w:color="auto"/>
        <w:left w:val="none" w:sz="0" w:space="0" w:color="auto"/>
        <w:bottom w:val="none" w:sz="0" w:space="0" w:color="auto"/>
        <w:right w:val="none" w:sz="0" w:space="0" w:color="auto"/>
      </w:divBdr>
    </w:div>
    <w:div w:id="421529291">
      <w:bodyDiv w:val="1"/>
      <w:marLeft w:val="0"/>
      <w:marRight w:val="0"/>
      <w:marTop w:val="0"/>
      <w:marBottom w:val="0"/>
      <w:divBdr>
        <w:top w:val="none" w:sz="0" w:space="0" w:color="auto"/>
        <w:left w:val="none" w:sz="0" w:space="0" w:color="auto"/>
        <w:bottom w:val="none" w:sz="0" w:space="0" w:color="auto"/>
        <w:right w:val="none" w:sz="0" w:space="0" w:color="auto"/>
      </w:divBdr>
    </w:div>
    <w:div w:id="421605743">
      <w:bodyDiv w:val="1"/>
      <w:marLeft w:val="0"/>
      <w:marRight w:val="0"/>
      <w:marTop w:val="0"/>
      <w:marBottom w:val="0"/>
      <w:divBdr>
        <w:top w:val="none" w:sz="0" w:space="0" w:color="auto"/>
        <w:left w:val="none" w:sz="0" w:space="0" w:color="auto"/>
        <w:bottom w:val="none" w:sz="0" w:space="0" w:color="auto"/>
        <w:right w:val="none" w:sz="0" w:space="0" w:color="auto"/>
      </w:divBdr>
    </w:div>
    <w:div w:id="421609328">
      <w:bodyDiv w:val="1"/>
      <w:marLeft w:val="0"/>
      <w:marRight w:val="0"/>
      <w:marTop w:val="0"/>
      <w:marBottom w:val="0"/>
      <w:divBdr>
        <w:top w:val="none" w:sz="0" w:space="0" w:color="auto"/>
        <w:left w:val="none" w:sz="0" w:space="0" w:color="auto"/>
        <w:bottom w:val="none" w:sz="0" w:space="0" w:color="auto"/>
        <w:right w:val="none" w:sz="0" w:space="0" w:color="auto"/>
      </w:divBdr>
    </w:div>
    <w:div w:id="421728181">
      <w:bodyDiv w:val="1"/>
      <w:marLeft w:val="0"/>
      <w:marRight w:val="0"/>
      <w:marTop w:val="0"/>
      <w:marBottom w:val="0"/>
      <w:divBdr>
        <w:top w:val="none" w:sz="0" w:space="0" w:color="auto"/>
        <w:left w:val="none" w:sz="0" w:space="0" w:color="auto"/>
        <w:bottom w:val="none" w:sz="0" w:space="0" w:color="auto"/>
        <w:right w:val="none" w:sz="0" w:space="0" w:color="auto"/>
      </w:divBdr>
    </w:div>
    <w:div w:id="421729641">
      <w:bodyDiv w:val="1"/>
      <w:marLeft w:val="0"/>
      <w:marRight w:val="0"/>
      <w:marTop w:val="0"/>
      <w:marBottom w:val="0"/>
      <w:divBdr>
        <w:top w:val="none" w:sz="0" w:space="0" w:color="auto"/>
        <w:left w:val="none" w:sz="0" w:space="0" w:color="auto"/>
        <w:bottom w:val="none" w:sz="0" w:space="0" w:color="auto"/>
        <w:right w:val="none" w:sz="0" w:space="0" w:color="auto"/>
      </w:divBdr>
    </w:div>
    <w:div w:id="421730097">
      <w:bodyDiv w:val="1"/>
      <w:marLeft w:val="0"/>
      <w:marRight w:val="0"/>
      <w:marTop w:val="0"/>
      <w:marBottom w:val="0"/>
      <w:divBdr>
        <w:top w:val="none" w:sz="0" w:space="0" w:color="auto"/>
        <w:left w:val="none" w:sz="0" w:space="0" w:color="auto"/>
        <w:bottom w:val="none" w:sz="0" w:space="0" w:color="auto"/>
        <w:right w:val="none" w:sz="0" w:space="0" w:color="auto"/>
      </w:divBdr>
    </w:div>
    <w:div w:id="421797515">
      <w:bodyDiv w:val="1"/>
      <w:marLeft w:val="0"/>
      <w:marRight w:val="0"/>
      <w:marTop w:val="0"/>
      <w:marBottom w:val="0"/>
      <w:divBdr>
        <w:top w:val="none" w:sz="0" w:space="0" w:color="auto"/>
        <w:left w:val="none" w:sz="0" w:space="0" w:color="auto"/>
        <w:bottom w:val="none" w:sz="0" w:space="0" w:color="auto"/>
        <w:right w:val="none" w:sz="0" w:space="0" w:color="auto"/>
      </w:divBdr>
    </w:div>
    <w:div w:id="421921701">
      <w:bodyDiv w:val="1"/>
      <w:marLeft w:val="0"/>
      <w:marRight w:val="0"/>
      <w:marTop w:val="0"/>
      <w:marBottom w:val="0"/>
      <w:divBdr>
        <w:top w:val="none" w:sz="0" w:space="0" w:color="auto"/>
        <w:left w:val="none" w:sz="0" w:space="0" w:color="auto"/>
        <w:bottom w:val="none" w:sz="0" w:space="0" w:color="auto"/>
        <w:right w:val="none" w:sz="0" w:space="0" w:color="auto"/>
      </w:divBdr>
    </w:div>
    <w:div w:id="421995812">
      <w:bodyDiv w:val="1"/>
      <w:marLeft w:val="0"/>
      <w:marRight w:val="0"/>
      <w:marTop w:val="0"/>
      <w:marBottom w:val="0"/>
      <w:divBdr>
        <w:top w:val="none" w:sz="0" w:space="0" w:color="auto"/>
        <w:left w:val="none" w:sz="0" w:space="0" w:color="auto"/>
        <w:bottom w:val="none" w:sz="0" w:space="0" w:color="auto"/>
        <w:right w:val="none" w:sz="0" w:space="0" w:color="auto"/>
      </w:divBdr>
    </w:div>
    <w:div w:id="422073848">
      <w:bodyDiv w:val="1"/>
      <w:marLeft w:val="0"/>
      <w:marRight w:val="0"/>
      <w:marTop w:val="0"/>
      <w:marBottom w:val="0"/>
      <w:divBdr>
        <w:top w:val="none" w:sz="0" w:space="0" w:color="auto"/>
        <w:left w:val="none" w:sz="0" w:space="0" w:color="auto"/>
        <w:bottom w:val="none" w:sz="0" w:space="0" w:color="auto"/>
        <w:right w:val="none" w:sz="0" w:space="0" w:color="auto"/>
      </w:divBdr>
    </w:div>
    <w:div w:id="422074087">
      <w:bodyDiv w:val="1"/>
      <w:marLeft w:val="0"/>
      <w:marRight w:val="0"/>
      <w:marTop w:val="0"/>
      <w:marBottom w:val="0"/>
      <w:divBdr>
        <w:top w:val="none" w:sz="0" w:space="0" w:color="auto"/>
        <w:left w:val="none" w:sz="0" w:space="0" w:color="auto"/>
        <w:bottom w:val="none" w:sz="0" w:space="0" w:color="auto"/>
        <w:right w:val="none" w:sz="0" w:space="0" w:color="auto"/>
      </w:divBdr>
    </w:div>
    <w:div w:id="422192454">
      <w:bodyDiv w:val="1"/>
      <w:marLeft w:val="0"/>
      <w:marRight w:val="0"/>
      <w:marTop w:val="0"/>
      <w:marBottom w:val="0"/>
      <w:divBdr>
        <w:top w:val="none" w:sz="0" w:space="0" w:color="auto"/>
        <w:left w:val="none" w:sz="0" w:space="0" w:color="auto"/>
        <w:bottom w:val="none" w:sz="0" w:space="0" w:color="auto"/>
        <w:right w:val="none" w:sz="0" w:space="0" w:color="auto"/>
      </w:divBdr>
    </w:div>
    <w:div w:id="422261461">
      <w:bodyDiv w:val="1"/>
      <w:marLeft w:val="0"/>
      <w:marRight w:val="0"/>
      <w:marTop w:val="0"/>
      <w:marBottom w:val="0"/>
      <w:divBdr>
        <w:top w:val="none" w:sz="0" w:space="0" w:color="auto"/>
        <w:left w:val="none" w:sz="0" w:space="0" w:color="auto"/>
        <w:bottom w:val="none" w:sz="0" w:space="0" w:color="auto"/>
        <w:right w:val="none" w:sz="0" w:space="0" w:color="auto"/>
      </w:divBdr>
    </w:div>
    <w:div w:id="422264078">
      <w:bodyDiv w:val="1"/>
      <w:marLeft w:val="0"/>
      <w:marRight w:val="0"/>
      <w:marTop w:val="0"/>
      <w:marBottom w:val="0"/>
      <w:divBdr>
        <w:top w:val="none" w:sz="0" w:space="0" w:color="auto"/>
        <w:left w:val="none" w:sz="0" w:space="0" w:color="auto"/>
        <w:bottom w:val="none" w:sz="0" w:space="0" w:color="auto"/>
        <w:right w:val="none" w:sz="0" w:space="0" w:color="auto"/>
      </w:divBdr>
    </w:div>
    <w:div w:id="422266221">
      <w:bodyDiv w:val="1"/>
      <w:marLeft w:val="0"/>
      <w:marRight w:val="0"/>
      <w:marTop w:val="0"/>
      <w:marBottom w:val="0"/>
      <w:divBdr>
        <w:top w:val="none" w:sz="0" w:space="0" w:color="auto"/>
        <w:left w:val="none" w:sz="0" w:space="0" w:color="auto"/>
        <w:bottom w:val="none" w:sz="0" w:space="0" w:color="auto"/>
        <w:right w:val="none" w:sz="0" w:space="0" w:color="auto"/>
      </w:divBdr>
    </w:div>
    <w:div w:id="422268155">
      <w:bodyDiv w:val="1"/>
      <w:marLeft w:val="0"/>
      <w:marRight w:val="0"/>
      <w:marTop w:val="0"/>
      <w:marBottom w:val="0"/>
      <w:divBdr>
        <w:top w:val="none" w:sz="0" w:space="0" w:color="auto"/>
        <w:left w:val="none" w:sz="0" w:space="0" w:color="auto"/>
        <w:bottom w:val="none" w:sz="0" w:space="0" w:color="auto"/>
        <w:right w:val="none" w:sz="0" w:space="0" w:color="auto"/>
      </w:divBdr>
    </w:div>
    <w:div w:id="422336327">
      <w:bodyDiv w:val="1"/>
      <w:marLeft w:val="0"/>
      <w:marRight w:val="0"/>
      <w:marTop w:val="0"/>
      <w:marBottom w:val="0"/>
      <w:divBdr>
        <w:top w:val="none" w:sz="0" w:space="0" w:color="auto"/>
        <w:left w:val="none" w:sz="0" w:space="0" w:color="auto"/>
        <w:bottom w:val="none" w:sz="0" w:space="0" w:color="auto"/>
        <w:right w:val="none" w:sz="0" w:space="0" w:color="auto"/>
      </w:divBdr>
    </w:div>
    <w:div w:id="422341141">
      <w:bodyDiv w:val="1"/>
      <w:marLeft w:val="0"/>
      <w:marRight w:val="0"/>
      <w:marTop w:val="0"/>
      <w:marBottom w:val="0"/>
      <w:divBdr>
        <w:top w:val="none" w:sz="0" w:space="0" w:color="auto"/>
        <w:left w:val="none" w:sz="0" w:space="0" w:color="auto"/>
        <w:bottom w:val="none" w:sz="0" w:space="0" w:color="auto"/>
        <w:right w:val="none" w:sz="0" w:space="0" w:color="auto"/>
      </w:divBdr>
    </w:div>
    <w:div w:id="422529263">
      <w:bodyDiv w:val="1"/>
      <w:marLeft w:val="0"/>
      <w:marRight w:val="0"/>
      <w:marTop w:val="0"/>
      <w:marBottom w:val="0"/>
      <w:divBdr>
        <w:top w:val="none" w:sz="0" w:space="0" w:color="auto"/>
        <w:left w:val="none" w:sz="0" w:space="0" w:color="auto"/>
        <w:bottom w:val="none" w:sz="0" w:space="0" w:color="auto"/>
        <w:right w:val="none" w:sz="0" w:space="0" w:color="auto"/>
      </w:divBdr>
    </w:div>
    <w:div w:id="422579316">
      <w:bodyDiv w:val="1"/>
      <w:marLeft w:val="0"/>
      <w:marRight w:val="0"/>
      <w:marTop w:val="0"/>
      <w:marBottom w:val="0"/>
      <w:divBdr>
        <w:top w:val="none" w:sz="0" w:space="0" w:color="auto"/>
        <w:left w:val="none" w:sz="0" w:space="0" w:color="auto"/>
        <w:bottom w:val="none" w:sz="0" w:space="0" w:color="auto"/>
        <w:right w:val="none" w:sz="0" w:space="0" w:color="auto"/>
      </w:divBdr>
    </w:div>
    <w:div w:id="422722618">
      <w:bodyDiv w:val="1"/>
      <w:marLeft w:val="0"/>
      <w:marRight w:val="0"/>
      <w:marTop w:val="0"/>
      <w:marBottom w:val="0"/>
      <w:divBdr>
        <w:top w:val="none" w:sz="0" w:space="0" w:color="auto"/>
        <w:left w:val="none" w:sz="0" w:space="0" w:color="auto"/>
        <w:bottom w:val="none" w:sz="0" w:space="0" w:color="auto"/>
        <w:right w:val="none" w:sz="0" w:space="0" w:color="auto"/>
      </w:divBdr>
    </w:div>
    <w:div w:id="422805479">
      <w:bodyDiv w:val="1"/>
      <w:marLeft w:val="0"/>
      <w:marRight w:val="0"/>
      <w:marTop w:val="0"/>
      <w:marBottom w:val="0"/>
      <w:divBdr>
        <w:top w:val="none" w:sz="0" w:space="0" w:color="auto"/>
        <w:left w:val="none" w:sz="0" w:space="0" w:color="auto"/>
        <w:bottom w:val="none" w:sz="0" w:space="0" w:color="auto"/>
        <w:right w:val="none" w:sz="0" w:space="0" w:color="auto"/>
      </w:divBdr>
    </w:div>
    <w:div w:id="423066231">
      <w:bodyDiv w:val="1"/>
      <w:marLeft w:val="0"/>
      <w:marRight w:val="0"/>
      <w:marTop w:val="0"/>
      <w:marBottom w:val="0"/>
      <w:divBdr>
        <w:top w:val="none" w:sz="0" w:space="0" w:color="auto"/>
        <w:left w:val="none" w:sz="0" w:space="0" w:color="auto"/>
        <w:bottom w:val="none" w:sz="0" w:space="0" w:color="auto"/>
        <w:right w:val="none" w:sz="0" w:space="0" w:color="auto"/>
      </w:divBdr>
    </w:div>
    <w:div w:id="423108140">
      <w:bodyDiv w:val="1"/>
      <w:marLeft w:val="0"/>
      <w:marRight w:val="0"/>
      <w:marTop w:val="0"/>
      <w:marBottom w:val="0"/>
      <w:divBdr>
        <w:top w:val="none" w:sz="0" w:space="0" w:color="auto"/>
        <w:left w:val="none" w:sz="0" w:space="0" w:color="auto"/>
        <w:bottom w:val="none" w:sz="0" w:space="0" w:color="auto"/>
        <w:right w:val="none" w:sz="0" w:space="0" w:color="auto"/>
      </w:divBdr>
    </w:div>
    <w:div w:id="423108979">
      <w:bodyDiv w:val="1"/>
      <w:marLeft w:val="0"/>
      <w:marRight w:val="0"/>
      <w:marTop w:val="0"/>
      <w:marBottom w:val="0"/>
      <w:divBdr>
        <w:top w:val="none" w:sz="0" w:space="0" w:color="auto"/>
        <w:left w:val="none" w:sz="0" w:space="0" w:color="auto"/>
        <w:bottom w:val="none" w:sz="0" w:space="0" w:color="auto"/>
        <w:right w:val="none" w:sz="0" w:space="0" w:color="auto"/>
      </w:divBdr>
    </w:div>
    <w:div w:id="423235256">
      <w:bodyDiv w:val="1"/>
      <w:marLeft w:val="0"/>
      <w:marRight w:val="0"/>
      <w:marTop w:val="0"/>
      <w:marBottom w:val="0"/>
      <w:divBdr>
        <w:top w:val="none" w:sz="0" w:space="0" w:color="auto"/>
        <w:left w:val="none" w:sz="0" w:space="0" w:color="auto"/>
        <w:bottom w:val="none" w:sz="0" w:space="0" w:color="auto"/>
        <w:right w:val="none" w:sz="0" w:space="0" w:color="auto"/>
      </w:divBdr>
    </w:div>
    <w:div w:id="423458080">
      <w:bodyDiv w:val="1"/>
      <w:marLeft w:val="0"/>
      <w:marRight w:val="0"/>
      <w:marTop w:val="0"/>
      <w:marBottom w:val="0"/>
      <w:divBdr>
        <w:top w:val="none" w:sz="0" w:space="0" w:color="auto"/>
        <w:left w:val="none" w:sz="0" w:space="0" w:color="auto"/>
        <w:bottom w:val="none" w:sz="0" w:space="0" w:color="auto"/>
        <w:right w:val="none" w:sz="0" w:space="0" w:color="auto"/>
      </w:divBdr>
    </w:div>
    <w:div w:id="423503371">
      <w:bodyDiv w:val="1"/>
      <w:marLeft w:val="0"/>
      <w:marRight w:val="0"/>
      <w:marTop w:val="0"/>
      <w:marBottom w:val="0"/>
      <w:divBdr>
        <w:top w:val="none" w:sz="0" w:space="0" w:color="auto"/>
        <w:left w:val="none" w:sz="0" w:space="0" w:color="auto"/>
        <w:bottom w:val="none" w:sz="0" w:space="0" w:color="auto"/>
        <w:right w:val="none" w:sz="0" w:space="0" w:color="auto"/>
      </w:divBdr>
    </w:div>
    <w:div w:id="423571502">
      <w:bodyDiv w:val="1"/>
      <w:marLeft w:val="0"/>
      <w:marRight w:val="0"/>
      <w:marTop w:val="0"/>
      <w:marBottom w:val="0"/>
      <w:divBdr>
        <w:top w:val="none" w:sz="0" w:space="0" w:color="auto"/>
        <w:left w:val="none" w:sz="0" w:space="0" w:color="auto"/>
        <w:bottom w:val="none" w:sz="0" w:space="0" w:color="auto"/>
        <w:right w:val="none" w:sz="0" w:space="0" w:color="auto"/>
      </w:divBdr>
    </w:div>
    <w:div w:id="423654185">
      <w:bodyDiv w:val="1"/>
      <w:marLeft w:val="0"/>
      <w:marRight w:val="0"/>
      <w:marTop w:val="0"/>
      <w:marBottom w:val="0"/>
      <w:divBdr>
        <w:top w:val="none" w:sz="0" w:space="0" w:color="auto"/>
        <w:left w:val="none" w:sz="0" w:space="0" w:color="auto"/>
        <w:bottom w:val="none" w:sz="0" w:space="0" w:color="auto"/>
        <w:right w:val="none" w:sz="0" w:space="0" w:color="auto"/>
      </w:divBdr>
    </w:div>
    <w:div w:id="423720277">
      <w:bodyDiv w:val="1"/>
      <w:marLeft w:val="0"/>
      <w:marRight w:val="0"/>
      <w:marTop w:val="0"/>
      <w:marBottom w:val="0"/>
      <w:divBdr>
        <w:top w:val="none" w:sz="0" w:space="0" w:color="auto"/>
        <w:left w:val="none" w:sz="0" w:space="0" w:color="auto"/>
        <w:bottom w:val="none" w:sz="0" w:space="0" w:color="auto"/>
        <w:right w:val="none" w:sz="0" w:space="0" w:color="auto"/>
      </w:divBdr>
    </w:div>
    <w:div w:id="423889906">
      <w:bodyDiv w:val="1"/>
      <w:marLeft w:val="0"/>
      <w:marRight w:val="0"/>
      <w:marTop w:val="0"/>
      <w:marBottom w:val="0"/>
      <w:divBdr>
        <w:top w:val="none" w:sz="0" w:space="0" w:color="auto"/>
        <w:left w:val="none" w:sz="0" w:space="0" w:color="auto"/>
        <w:bottom w:val="none" w:sz="0" w:space="0" w:color="auto"/>
        <w:right w:val="none" w:sz="0" w:space="0" w:color="auto"/>
      </w:divBdr>
    </w:div>
    <w:div w:id="423914226">
      <w:bodyDiv w:val="1"/>
      <w:marLeft w:val="0"/>
      <w:marRight w:val="0"/>
      <w:marTop w:val="0"/>
      <w:marBottom w:val="0"/>
      <w:divBdr>
        <w:top w:val="none" w:sz="0" w:space="0" w:color="auto"/>
        <w:left w:val="none" w:sz="0" w:space="0" w:color="auto"/>
        <w:bottom w:val="none" w:sz="0" w:space="0" w:color="auto"/>
        <w:right w:val="none" w:sz="0" w:space="0" w:color="auto"/>
      </w:divBdr>
    </w:div>
    <w:div w:id="424040738">
      <w:bodyDiv w:val="1"/>
      <w:marLeft w:val="0"/>
      <w:marRight w:val="0"/>
      <w:marTop w:val="0"/>
      <w:marBottom w:val="0"/>
      <w:divBdr>
        <w:top w:val="none" w:sz="0" w:space="0" w:color="auto"/>
        <w:left w:val="none" w:sz="0" w:space="0" w:color="auto"/>
        <w:bottom w:val="none" w:sz="0" w:space="0" w:color="auto"/>
        <w:right w:val="none" w:sz="0" w:space="0" w:color="auto"/>
      </w:divBdr>
    </w:div>
    <w:div w:id="424115127">
      <w:bodyDiv w:val="1"/>
      <w:marLeft w:val="0"/>
      <w:marRight w:val="0"/>
      <w:marTop w:val="0"/>
      <w:marBottom w:val="0"/>
      <w:divBdr>
        <w:top w:val="none" w:sz="0" w:space="0" w:color="auto"/>
        <w:left w:val="none" w:sz="0" w:space="0" w:color="auto"/>
        <w:bottom w:val="none" w:sz="0" w:space="0" w:color="auto"/>
        <w:right w:val="none" w:sz="0" w:space="0" w:color="auto"/>
      </w:divBdr>
    </w:div>
    <w:div w:id="424115137">
      <w:bodyDiv w:val="1"/>
      <w:marLeft w:val="0"/>
      <w:marRight w:val="0"/>
      <w:marTop w:val="0"/>
      <w:marBottom w:val="0"/>
      <w:divBdr>
        <w:top w:val="none" w:sz="0" w:space="0" w:color="auto"/>
        <w:left w:val="none" w:sz="0" w:space="0" w:color="auto"/>
        <w:bottom w:val="none" w:sz="0" w:space="0" w:color="auto"/>
        <w:right w:val="none" w:sz="0" w:space="0" w:color="auto"/>
      </w:divBdr>
    </w:div>
    <w:div w:id="424157464">
      <w:bodyDiv w:val="1"/>
      <w:marLeft w:val="0"/>
      <w:marRight w:val="0"/>
      <w:marTop w:val="0"/>
      <w:marBottom w:val="0"/>
      <w:divBdr>
        <w:top w:val="none" w:sz="0" w:space="0" w:color="auto"/>
        <w:left w:val="none" w:sz="0" w:space="0" w:color="auto"/>
        <w:bottom w:val="none" w:sz="0" w:space="0" w:color="auto"/>
        <w:right w:val="none" w:sz="0" w:space="0" w:color="auto"/>
      </w:divBdr>
    </w:div>
    <w:div w:id="424234597">
      <w:bodyDiv w:val="1"/>
      <w:marLeft w:val="0"/>
      <w:marRight w:val="0"/>
      <w:marTop w:val="0"/>
      <w:marBottom w:val="0"/>
      <w:divBdr>
        <w:top w:val="none" w:sz="0" w:space="0" w:color="auto"/>
        <w:left w:val="none" w:sz="0" w:space="0" w:color="auto"/>
        <w:bottom w:val="none" w:sz="0" w:space="0" w:color="auto"/>
        <w:right w:val="none" w:sz="0" w:space="0" w:color="auto"/>
      </w:divBdr>
    </w:div>
    <w:div w:id="424304794">
      <w:bodyDiv w:val="1"/>
      <w:marLeft w:val="0"/>
      <w:marRight w:val="0"/>
      <w:marTop w:val="0"/>
      <w:marBottom w:val="0"/>
      <w:divBdr>
        <w:top w:val="none" w:sz="0" w:space="0" w:color="auto"/>
        <w:left w:val="none" w:sz="0" w:space="0" w:color="auto"/>
        <w:bottom w:val="none" w:sz="0" w:space="0" w:color="auto"/>
        <w:right w:val="none" w:sz="0" w:space="0" w:color="auto"/>
      </w:divBdr>
    </w:div>
    <w:div w:id="424307502">
      <w:bodyDiv w:val="1"/>
      <w:marLeft w:val="0"/>
      <w:marRight w:val="0"/>
      <w:marTop w:val="0"/>
      <w:marBottom w:val="0"/>
      <w:divBdr>
        <w:top w:val="none" w:sz="0" w:space="0" w:color="auto"/>
        <w:left w:val="none" w:sz="0" w:space="0" w:color="auto"/>
        <w:bottom w:val="none" w:sz="0" w:space="0" w:color="auto"/>
        <w:right w:val="none" w:sz="0" w:space="0" w:color="auto"/>
      </w:divBdr>
    </w:div>
    <w:div w:id="424309516">
      <w:bodyDiv w:val="1"/>
      <w:marLeft w:val="0"/>
      <w:marRight w:val="0"/>
      <w:marTop w:val="0"/>
      <w:marBottom w:val="0"/>
      <w:divBdr>
        <w:top w:val="none" w:sz="0" w:space="0" w:color="auto"/>
        <w:left w:val="none" w:sz="0" w:space="0" w:color="auto"/>
        <w:bottom w:val="none" w:sz="0" w:space="0" w:color="auto"/>
        <w:right w:val="none" w:sz="0" w:space="0" w:color="auto"/>
      </w:divBdr>
    </w:div>
    <w:div w:id="424351980">
      <w:bodyDiv w:val="1"/>
      <w:marLeft w:val="0"/>
      <w:marRight w:val="0"/>
      <w:marTop w:val="0"/>
      <w:marBottom w:val="0"/>
      <w:divBdr>
        <w:top w:val="none" w:sz="0" w:space="0" w:color="auto"/>
        <w:left w:val="none" w:sz="0" w:space="0" w:color="auto"/>
        <w:bottom w:val="none" w:sz="0" w:space="0" w:color="auto"/>
        <w:right w:val="none" w:sz="0" w:space="0" w:color="auto"/>
      </w:divBdr>
    </w:div>
    <w:div w:id="424420208">
      <w:bodyDiv w:val="1"/>
      <w:marLeft w:val="0"/>
      <w:marRight w:val="0"/>
      <w:marTop w:val="0"/>
      <w:marBottom w:val="0"/>
      <w:divBdr>
        <w:top w:val="none" w:sz="0" w:space="0" w:color="auto"/>
        <w:left w:val="none" w:sz="0" w:space="0" w:color="auto"/>
        <w:bottom w:val="none" w:sz="0" w:space="0" w:color="auto"/>
        <w:right w:val="none" w:sz="0" w:space="0" w:color="auto"/>
      </w:divBdr>
    </w:div>
    <w:div w:id="424494043">
      <w:bodyDiv w:val="1"/>
      <w:marLeft w:val="0"/>
      <w:marRight w:val="0"/>
      <w:marTop w:val="0"/>
      <w:marBottom w:val="0"/>
      <w:divBdr>
        <w:top w:val="none" w:sz="0" w:space="0" w:color="auto"/>
        <w:left w:val="none" w:sz="0" w:space="0" w:color="auto"/>
        <w:bottom w:val="none" w:sz="0" w:space="0" w:color="auto"/>
        <w:right w:val="none" w:sz="0" w:space="0" w:color="auto"/>
      </w:divBdr>
    </w:div>
    <w:div w:id="424502980">
      <w:bodyDiv w:val="1"/>
      <w:marLeft w:val="0"/>
      <w:marRight w:val="0"/>
      <w:marTop w:val="0"/>
      <w:marBottom w:val="0"/>
      <w:divBdr>
        <w:top w:val="none" w:sz="0" w:space="0" w:color="auto"/>
        <w:left w:val="none" w:sz="0" w:space="0" w:color="auto"/>
        <w:bottom w:val="none" w:sz="0" w:space="0" w:color="auto"/>
        <w:right w:val="none" w:sz="0" w:space="0" w:color="auto"/>
      </w:divBdr>
    </w:div>
    <w:div w:id="424571172">
      <w:bodyDiv w:val="1"/>
      <w:marLeft w:val="0"/>
      <w:marRight w:val="0"/>
      <w:marTop w:val="0"/>
      <w:marBottom w:val="0"/>
      <w:divBdr>
        <w:top w:val="none" w:sz="0" w:space="0" w:color="auto"/>
        <w:left w:val="none" w:sz="0" w:space="0" w:color="auto"/>
        <w:bottom w:val="none" w:sz="0" w:space="0" w:color="auto"/>
        <w:right w:val="none" w:sz="0" w:space="0" w:color="auto"/>
      </w:divBdr>
    </w:div>
    <w:div w:id="424572311">
      <w:bodyDiv w:val="1"/>
      <w:marLeft w:val="0"/>
      <w:marRight w:val="0"/>
      <w:marTop w:val="0"/>
      <w:marBottom w:val="0"/>
      <w:divBdr>
        <w:top w:val="none" w:sz="0" w:space="0" w:color="auto"/>
        <w:left w:val="none" w:sz="0" w:space="0" w:color="auto"/>
        <w:bottom w:val="none" w:sz="0" w:space="0" w:color="auto"/>
        <w:right w:val="none" w:sz="0" w:space="0" w:color="auto"/>
      </w:divBdr>
    </w:div>
    <w:div w:id="424686937">
      <w:bodyDiv w:val="1"/>
      <w:marLeft w:val="0"/>
      <w:marRight w:val="0"/>
      <w:marTop w:val="0"/>
      <w:marBottom w:val="0"/>
      <w:divBdr>
        <w:top w:val="none" w:sz="0" w:space="0" w:color="auto"/>
        <w:left w:val="none" w:sz="0" w:space="0" w:color="auto"/>
        <w:bottom w:val="none" w:sz="0" w:space="0" w:color="auto"/>
        <w:right w:val="none" w:sz="0" w:space="0" w:color="auto"/>
      </w:divBdr>
    </w:div>
    <w:div w:id="424687139">
      <w:bodyDiv w:val="1"/>
      <w:marLeft w:val="0"/>
      <w:marRight w:val="0"/>
      <w:marTop w:val="0"/>
      <w:marBottom w:val="0"/>
      <w:divBdr>
        <w:top w:val="none" w:sz="0" w:space="0" w:color="auto"/>
        <w:left w:val="none" w:sz="0" w:space="0" w:color="auto"/>
        <w:bottom w:val="none" w:sz="0" w:space="0" w:color="auto"/>
        <w:right w:val="none" w:sz="0" w:space="0" w:color="auto"/>
      </w:divBdr>
    </w:div>
    <w:div w:id="424960995">
      <w:bodyDiv w:val="1"/>
      <w:marLeft w:val="0"/>
      <w:marRight w:val="0"/>
      <w:marTop w:val="0"/>
      <w:marBottom w:val="0"/>
      <w:divBdr>
        <w:top w:val="none" w:sz="0" w:space="0" w:color="auto"/>
        <w:left w:val="none" w:sz="0" w:space="0" w:color="auto"/>
        <w:bottom w:val="none" w:sz="0" w:space="0" w:color="auto"/>
        <w:right w:val="none" w:sz="0" w:space="0" w:color="auto"/>
      </w:divBdr>
    </w:div>
    <w:div w:id="425003586">
      <w:bodyDiv w:val="1"/>
      <w:marLeft w:val="0"/>
      <w:marRight w:val="0"/>
      <w:marTop w:val="0"/>
      <w:marBottom w:val="0"/>
      <w:divBdr>
        <w:top w:val="none" w:sz="0" w:space="0" w:color="auto"/>
        <w:left w:val="none" w:sz="0" w:space="0" w:color="auto"/>
        <w:bottom w:val="none" w:sz="0" w:space="0" w:color="auto"/>
        <w:right w:val="none" w:sz="0" w:space="0" w:color="auto"/>
      </w:divBdr>
    </w:div>
    <w:div w:id="425005674">
      <w:bodyDiv w:val="1"/>
      <w:marLeft w:val="0"/>
      <w:marRight w:val="0"/>
      <w:marTop w:val="0"/>
      <w:marBottom w:val="0"/>
      <w:divBdr>
        <w:top w:val="none" w:sz="0" w:space="0" w:color="auto"/>
        <w:left w:val="none" w:sz="0" w:space="0" w:color="auto"/>
        <w:bottom w:val="none" w:sz="0" w:space="0" w:color="auto"/>
        <w:right w:val="none" w:sz="0" w:space="0" w:color="auto"/>
      </w:divBdr>
    </w:div>
    <w:div w:id="425074138">
      <w:bodyDiv w:val="1"/>
      <w:marLeft w:val="0"/>
      <w:marRight w:val="0"/>
      <w:marTop w:val="0"/>
      <w:marBottom w:val="0"/>
      <w:divBdr>
        <w:top w:val="none" w:sz="0" w:space="0" w:color="auto"/>
        <w:left w:val="none" w:sz="0" w:space="0" w:color="auto"/>
        <w:bottom w:val="none" w:sz="0" w:space="0" w:color="auto"/>
        <w:right w:val="none" w:sz="0" w:space="0" w:color="auto"/>
      </w:divBdr>
    </w:div>
    <w:div w:id="425074397">
      <w:bodyDiv w:val="1"/>
      <w:marLeft w:val="0"/>
      <w:marRight w:val="0"/>
      <w:marTop w:val="0"/>
      <w:marBottom w:val="0"/>
      <w:divBdr>
        <w:top w:val="none" w:sz="0" w:space="0" w:color="auto"/>
        <w:left w:val="none" w:sz="0" w:space="0" w:color="auto"/>
        <w:bottom w:val="none" w:sz="0" w:space="0" w:color="auto"/>
        <w:right w:val="none" w:sz="0" w:space="0" w:color="auto"/>
      </w:divBdr>
    </w:div>
    <w:div w:id="425075815">
      <w:bodyDiv w:val="1"/>
      <w:marLeft w:val="0"/>
      <w:marRight w:val="0"/>
      <w:marTop w:val="0"/>
      <w:marBottom w:val="0"/>
      <w:divBdr>
        <w:top w:val="none" w:sz="0" w:space="0" w:color="auto"/>
        <w:left w:val="none" w:sz="0" w:space="0" w:color="auto"/>
        <w:bottom w:val="none" w:sz="0" w:space="0" w:color="auto"/>
        <w:right w:val="none" w:sz="0" w:space="0" w:color="auto"/>
      </w:divBdr>
    </w:div>
    <w:div w:id="425082251">
      <w:bodyDiv w:val="1"/>
      <w:marLeft w:val="0"/>
      <w:marRight w:val="0"/>
      <w:marTop w:val="0"/>
      <w:marBottom w:val="0"/>
      <w:divBdr>
        <w:top w:val="none" w:sz="0" w:space="0" w:color="auto"/>
        <w:left w:val="none" w:sz="0" w:space="0" w:color="auto"/>
        <w:bottom w:val="none" w:sz="0" w:space="0" w:color="auto"/>
        <w:right w:val="none" w:sz="0" w:space="0" w:color="auto"/>
      </w:divBdr>
    </w:div>
    <w:div w:id="425152641">
      <w:bodyDiv w:val="1"/>
      <w:marLeft w:val="0"/>
      <w:marRight w:val="0"/>
      <w:marTop w:val="0"/>
      <w:marBottom w:val="0"/>
      <w:divBdr>
        <w:top w:val="none" w:sz="0" w:space="0" w:color="auto"/>
        <w:left w:val="none" w:sz="0" w:space="0" w:color="auto"/>
        <w:bottom w:val="none" w:sz="0" w:space="0" w:color="auto"/>
        <w:right w:val="none" w:sz="0" w:space="0" w:color="auto"/>
      </w:divBdr>
    </w:div>
    <w:div w:id="425154441">
      <w:bodyDiv w:val="1"/>
      <w:marLeft w:val="0"/>
      <w:marRight w:val="0"/>
      <w:marTop w:val="0"/>
      <w:marBottom w:val="0"/>
      <w:divBdr>
        <w:top w:val="none" w:sz="0" w:space="0" w:color="auto"/>
        <w:left w:val="none" w:sz="0" w:space="0" w:color="auto"/>
        <w:bottom w:val="none" w:sz="0" w:space="0" w:color="auto"/>
        <w:right w:val="none" w:sz="0" w:space="0" w:color="auto"/>
      </w:divBdr>
    </w:div>
    <w:div w:id="425197888">
      <w:bodyDiv w:val="1"/>
      <w:marLeft w:val="0"/>
      <w:marRight w:val="0"/>
      <w:marTop w:val="0"/>
      <w:marBottom w:val="0"/>
      <w:divBdr>
        <w:top w:val="none" w:sz="0" w:space="0" w:color="auto"/>
        <w:left w:val="none" w:sz="0" w:space="0" w:color="auto"/>
        <w:bottom w:val="none" w:sz="0" w:space="0" w:color="auto"/>
        <w:right w:val="none" w:sz="0" w:space="0" w:color="auto"/>
      </w:divBdr>
    </w:div>
    <w:div w:id="425426490">
      <w:bodyDiv w:val="1"/>
      <w:marLeft w:val="0"/>
      <w:marRight w:val="0"/>
      <w:marTop w:val="0"/>
      <w:marBottom w:val="0"/>
      <w:divBdr>
        <w:top w:val="none" w:sz="0" w:space="0" w:color="auto"/>
        <w:left w:val="none" w:sz="0" w:space="0" w:color="auto"/>
        <w:bottom w:val="none" w:sz="0" w:space="0" w:color="auto"/>
        <w:right w:val="none" w:sz="0" w:space="0" w:color="auto"/>
      </w:divBdr>
    </w:div>
    <w:div w:id="425467578">
      <w:bodyDiv w:val="1"/>
      <w:marLeft w:val="0"/>
      <w:marRight w:val="0"/>
      <w:marTop w:val="0"/>
      <w:marBottom w:val="0"/>
      <w:divBdr>
        <w:top w:val="none" w:sz="0" w:space="0" w:color="auto"/>
        <w:left w:val="none" w:sz="0" w:space="0" w:color="auto"/>
        <w:bottom w:val="none" w:sz="0" w:space="0" w:color="auto"/>
        <w:right w:val="none" w:sz="0" w:space="0" w:color="auto"/>
      </w:divBdr>
    </w:div>
    <w:div w:id="425731728">
      <w:bodyDiv w:val="1"/>
      <w:marLeft w:val="0"/>
      <w:marRight w:val="0"/>
      <w:marTop w:val="0"/>
      <w:marBottom w:val="0"/>
      <w:divBdr>
        <w:top w:val="none" w:sz="0" w:space="0" w:color="auto"/>
        <w:left w:val="none" w:sz="0" w:space="0" w:color="auto"/>
        <w:bottom w:val="none" w:sz="0" w:space="0" w:color="auto"/>
        <w:right w:val="none" w:sz="0" w:space="0" w:color="auto"/>
      </w:divBdr>
    </w:div>
    <w:div w:id="425804940">
      <w:bodyDiv w:val="1"/>
      <w:marLeft w:val="0"/>
      <w:marRight w:val="0"/>
      <w:marTop w:val="0"/>
      <w:marBottom w:val="0"/>
      <w:divBdr>
        <w:top w:val="none" w:sz="0" w:space="0" w:color="auto"/>
        <w:left w:val="none" w:sz="0" w:space="0" w:color="auto"/>
        <w:bottom w:val="none" w:sz="0" w:space="0" w:color="auto"/>
        <w:right w:val="none" w:sz="0" w:space="0" w:color="auto"/>
      </w:divBdr>
    </w:div>
    <w:div w:id="425852944">
      <w:bodyDiv w:val="1"/>
      <w:marLeft w:val="0"/>
      <w:marRight w:val="0"/>
      <w:marTop w:val="0"/>
      <w:marBottom w:val="0"/>
      <w:divBdr>
        <w:top w:val="none" w:sz="0" w:space="0" w:color="auto"/>
        <w:left w:val="none" w:sz="0" w:space="0" w:color="auto"/>
        <w:bottom w:val="none" w:sz="0" w:space="0" w:color="auto"/>
        <w:right w:val="none" w:sz="0" w:space="0" w:color="auto"/>
      </w:divBdr>
    </w:div>
    <w:div w:id="425853776">
      <w:bodyDiv w:val="1"/>
      <w:marLeft w:val="0"/>
      <w:marRight w:val="0"/>
      <w:marTop w:val="0"/>
      <w:marBottom w:val="0"/>
      <w:divBdr>
        <w:top w:val="none" w:sz="0" w:space="0" w:color="auto"/>
        <w:left w:val="none" w:sz="0" w:space="0" w:color="auto"/>
        <w:bottom w:val="none" w:sz="0" w:space="0" w:color="auto"/>
        <w:right w:val="none" w:sz="0" w:space="0" w:color="auto"/>
      </w:divBdr>
    </w:div>
    <w:div w:id="425925795">
      <w:bodyDiv w:val="1"/>
      <w:marLeft w:val="0"/>
      <w:marRight w:val="0"/>
      <w:marTop w:val="0"/>
      <w:marBottom w:val="0"/>
      <w:divBdr>
        <w:top w:val="none" w:sz="0" w:space="0" w:color="auto"/>
        <w:left w:val="none" w:sz="0" w:space="0" w:color="auto"/>
        <w:bottom w:val="none" w:sz="0" w:space="0" w:color="auto"/>
        <w:right w:val="none" w:sz="0" w:space="0" w:color="auto"/>
      </w:divBdr>
    </w:div>
    <w:div w:id="426121127">
      <w:bodyDiv w:val="1"/>
      <w:marLeft w:val="0"/>
      <w:marRight w:val="0"/>
      <w:marTop w:val="0"/>
      <w:marBottom w:val="0"/>
      <w:divBdr>
        <w:top w:val="none" w:sz="0" w:space="0" w:color="auto"/>
        <w:left w:val="none" w:sz="0" w:space="0" w:color="auto"/>
        <w:bottom w:val="none" w:sz="0" w:space="0" w:color="auto"/>
        <w:right w:val="none" w:sz="0" w:space="0" w:color="auto"/>
      </w:divBdr>
    </w:div>
    <w:div w:id="426314927">
      <w:bodyDiv w:val="1"/>
      <w:marLeft w:val="0"/>
      <w:marRight w:val="0"/>
      <w:marTop w:val="0"/>
      <w:marBottom w:val="0"/>
      <w:divBdr>
        <w:top w:val="none" w:sz="0" w:space="0" w:color="auto"/>
        <w:left w:val="none" w:sz="0" w:space="0" w:color="auto"/>
        <w:bottom w:val="none" w:sz="0" w:space="0" w:color="auto"/>
        <w:right w:val="none" w:sz="0" w:space="0" w:color="auto"/>
      </w:divBdr>
    </w:div>
    <w:div w:id="426465813">
      <w:bodyDiv w:val="1"/>
      <w:marLeft w:val="0"/>
      <w:marRight w:val="0"/>
      <w:marTop w:val="0"/>
      <w:marBottom w:val="0"/>
      <w:divBdr>
        <w:top w:val="none" w:sz="0" w:space="0" w:color="auto"/>
        <w:left w:val="none" w:sz="0" w:space="0" w:color="auto"/>
        <w:bottom w:val="none" w:sz="0" w:space="0" w:color="auto"/>
        <w:right w:val="none" w:sz="0" w:space="0" w:color="auto"/>
      </w:divBdr>
    </w:div>
    <w:div w:id="426467311">
      <w:bodyDiv w:val="1"/>
      <w:marLeft w:val="0"/>
      <w:marRight w:val="0"/>
      <w:marTop w:val="0"/>
      <w:marBottom w:val="0"/>
      <w:divBdr>
        <w:top w:val="none" w:sz="0" w:space="0" w:color="auto"/>
        <w:left w:val="none" w:sz="0" w:space="0" w:color="auto"/>
        <w:bottom w:val="none" w:sz="0" w:space="0" w:color="auto"/>
        <w:right w:val="none" w:sz="0" w:space="0" w:color="auto"/>
      </w:divBdr>
    </w:div>
    <w:div w:id="426730250">
      <w:bodyDiv w:val="1"/>
      <w:marLeft w:val="0"/>
      <w:marRight w:val="0"/>
      <w:marTop w:val="0"/>
      <w:marBottom w:val="0"/>
      <w:divBdr>
        <w:top w:val="none" w:sz="0" w:space="0" w:color="auto"/>
        <w:left w:val="none" w:sz="0" w:space="0" w:color="auto"/>
        <w:bottom w:val="none" w:sz="0" w:space="0" w:color="auto"/>
        <w:right w:val="none" w:sz="0" w:space="0" w:color="auto"/>
      </w:divBdr>
    </w:div>
    <w:div w:id="426733726">
      <w:bodyDiv w:val="1"/>
      <w:marLeft w:val="0"/>
      <w:marRight w:val="0"/>
      <w:marTop w:val="0"/>
      <w:marBottom w:val="0"/>
      <w:divBdr>
        <w:top w:val="none" w:sz="0" w:space="0" w:color="auto"/>
        <w:left w:val="none" w:sz="0" w:space="0" w:color="auto"/>
        <w:bottom w:val="none" w:sz="0" w:space="0" w:color="auto"/>
        <w:right w:val="none" w:sz="0" w:space="0" w:color="auto"/>
      </w:divBdr>
    </w:div>
    <w:div w:id="426922624">
      <w:bodyDiv w:val="1"/>
      <w:marLeft w:val="0"/>
      <w:marRight w:val="0"/>
      <w:marTop w:val="0"/>
      <w:marBottom w:val="0"/>
      <w:divBdr>
        <w:top w:val="none" w:sz="0" w:space="0" w:color="auto"/>
        <w:left w:val="none" w:sz="0" w:space="0" w:color="auto"/>
        <w:bottom w:val="none" w:sz="0" w:space="0" w:color="auto"/>
        <w:right w:val="none" w:sz="0" w:space="0" w:color="auto"/>
      </w:divBdr>
    </w:div>
    <w:div w:id="427044714">
      <w:bodyDiv w:val="1"/>
      <w:marLeft w:val="0"/>
      <w:marRight w:val="0"/>
      <w:marTop w:val="0"/>
      <w:marBottom w:val="0"/>
      <w:divBdr>
        <w:top w:val="none" w:sz="0" w:space="0" w:color="auto"/>
        <w:left w:val="none" w:sz="0" w:space="0" w:color="auto"/>
        <w:bottom w:val="none" w:sz="0" w:space="0" w:color="auto"/>
        <w:right w:val="none" w:sz="0" w:space="0" w:color="auto"/>
      </w:divBdr>
    </w:div>
    <w:div w:id="427120875">
      <w:bodyDiv w:val="1"/>
      <w:marLeft w:val="0"/>
      <w:marRight w:val="0"/>
      <w:marTop w:val="0"/>
      <w:marBottom w:val="0"/>
      <w:divBdr>
        <w:top w:val="none" w:sz="0" w:space="0" w:color="auto"/>
        <w:left w:val="none" w:sz="0" w:space="0" w:color="auto"/>
        <w:bottom w:val="none" w:sz="0" w:space="0" w:color="auto"/>
        <w:right w:val="none" w:sz="0" w:space="0" w:color="auto"/>
      </w:divBdr>
    </w:div>
    <w:div w:id="427234083">
      <w:bodyDiv w:val="1"/>
      <w:marLeft w:val="0"/>
      <w:marRight w:val="0"/>
      <w:marTop w:val="0"/>
      <w:marBottom w:val="0"/>
      <w:divBdr>
        <w:top w:val="none" w:sz="0" w:space="0" w:color="auto"/>
        <w:left w:val="none" w:sz="0" w:space="0" w:color="auto"/>
        <w:bottom w:val="none" w:sz="0" w:space="0" w:color="auto"/>
        <w:right w:val="none" w:sz="0" w:space="0" w:color="auto"/>
      </w:divBdr>
    </w:div>
    <w:div w:id="427234817">
      <w:bodyDiv w:val="1"/>
      <w:marLeft w:val="0"/>
      <w:marRight w:val="0"/>
      <w:marTop w:val="0"/>
      <w:marBottom w:val="0"/>
      <w:divBdr>
        <w:top w:val="none" w:sz="0" w:space="0" w:color="auto"/>
        <w:left w:val="none" w:sz="0" w:space="0" w:color="auto"/>
        <w:bottom w:val="none" w:sz="0" w:space="0" w:color="auto"/>
        <w:right w:val="none" w:sz="0" w:space="0" w:color="auto"/>
      </w:divBdr>
    </w:div>
    <w:div w:id="427309316">
      <w:bodyDiv w:val="1"/>
      <w:marLeft w:val="0"/>
      <w:marRight w:val="0"/>
      <w:marTop w:val="0"/>
      <w:marBottom w:val="0"/>
      <w:divBdr>
        <w:top w:val="none" w:sz="0" w:space="0" w:color="auto"/>
        <w:left w:val="none" w:sz="0" w:space="0" w:color="auto"/>
        <w:bottom w:val="none" w:sz="0" w:space="0" w:color="auto"/>
        <w:right w:val="none" w:sz="0" w:space="0" w:color="auto"/>
      </w:divBdr>
    </w:div>
    <w:div w:id="427425855">
      <w:bodyDiv w:val="1"/>
      <w:marLeft w:val="0"/>
      <w:marRight w:val="0"/>
      <w:marTop w:val="0"/>
      <w:marBottom w:val="0"/>
      <w:divBdr>
        <w:top w:val="none" w:sz="0" w:space="0" w:color="auto"/>
        <w:left w:val="none" w:sz="0" w:space="0" w:color="auto"/>
        <w:bottom w:val="none" w:sz="0" w:space="0" w:color="auto"/>
        <w:right w:val="none" w:sz="0" w:space="0" w:color="auto"/>
      </w:divBdr>
    </w:div>
    <w:div w:id="427509400">
      <w:bodyDiv w:val="1"/>
      <w:marLeft w:val="0"/>
      <w:marRight w:val="0"/>
      <w:marTop w:val="0"/>
      <w:marBottom w:val="0"/>
      <w:divBdr>
        <w:top w:val="none" w:sz="0" w:space="0" w:color="auto"/>
        <w:left w:val="none" w:sz="0" w:space="0" w:color="auto"/>
        <w:bottom w:val="none" w:sz="0" w:space="0" w:color="auto"/>
        <w:right w:val="none" w:sz="0" w:space="0" w:color="auto"/>
      </w:divBdr>
    </w:div>
    <w:div w:id="427583834">
      <w:bodyDiv w:val="1"/>
      <w:marLeft w:val="0"/>
      <w:marRight w:val="0"/>
      <w:marTop w:val="0"/>
      <w:marBottom w:val="0"/>
      <w:divBdr>
        <w:top w:val="none" w:sz="0" w:space="0" w:color="auto"/>
        <w:left w:val="none" w:sz="0" w:space="0" w:color="auto"/>
        <w:bottom w:val="none" w:sz="0" w:space="0" w:color="auto"/>
        <w:right w:val="none" w:sz="0" w:space="0" w:color="auto"/>
      </w:divBdr>
    </w:div>
    <w:div w:id="427774739">
      <w:bodyDiv w:val="1"/>
      <w:marLeft w:val="0"/>
      <w:marRight w:val="0"/>
      <w:marTop w:val="0"/>
      <w:marBottom w:val="0"/>
      <w:divBdr>
        <w:top w:val="none" w:sz="0" w:space="0" w:color="auto"/>
        <w:left w:val="none" w:sz="0" w:space="0" w:color="auto"/>
        <w:bottom w:val="none" w:sz="0" w:space="0" w:color="auto"/>
        <w:right w:val="none" w:sz="0" w:space="0" w:color="auto"/>
      </w:divBdr>
    </w:div>
    <w:div w:id="427819958">
      <w:bodyDiv w:val="1"/>
      <w:marLeft w:val="0"/>
      <w:marRight w:val="0"/>
      <w:marTop w:val="0"/>
      <w:marBottom w:val="0"/>
      <w:divBdr>
        <w:top w:val="none" w:sz="0" w:space="0" w:color="auto"/>
        <w:left w:val="none" w:sz="0" w:space="0" w:color="auto"/>
        <w:bottom w:val="none" w:sz="0" w:space="0" w:color="auto"/>
        <w:right w:val="none" w:sz="0" w:space="0" w:color="auto"/>
      </w:divBdr>
    </w:div>
    <w:div w:id="427820019">
      <w:bodyDiv w:val="1"/>
      <w:marLeft w:val="0"/>
      <w:marRight w:val="0"/>
      <w:marTop w:val="0"/>
      <w:marBottom w:val="0"/>
      <w:divBdr>
        <w:top w:val="none" w:sz="0" w:space="0" w:color="auto"/>
        <w:left w:val="none" w:sz="0" w:space="0" w:color="auto"/>
        <w:bottom w:val="none" w:sz="0" w:space="0" w:color="auto"/>
        <w:right w:val="none" w:sz="0" w:space="0" w:color="auto"/>
      </w:divBdr>
    </w:div>
    <w:div w:id="427847736">
      <w:bodyDiv w:val="1"/>
      <w:marLeft w:val="0"/>
      <w:marRight w:val="0"/>
      <w:marTop w:val="0"/>
      <w:marBottom w:val="0"/>
      <w:divBdr>
        <w:top w:val="none" w:sz="0" w:space="0" w:color="auto"/>
        <w:left w:val="none" w:sz="0" w:space="0" w:color="auto"/>
        <w:bottom w:val="none" w:sz="0" w:space="0" w:color="auto"/>
        <w:right w:val="none" w:sz="0" w:space="0" w:color="auto"/>
      </w:divBdr>
    </w:div>
    <w:div w:id="427896934">
      <w:bodyDiv w:val="1"/>
      <w:marLeft w:val="0"/>
      <w:marRight w:val="0"/>
      <w:marTop w:val="0"/>
      <w:marBottom w:val="0"/>
      <w:divBdr>
        <w:top w:val="none" w:sz="0" w:space="0" w:color="auto"/>
        <w:left w:val="none" w:sz="0" w:space="0" w:color="auto"/>
        <w:bottom w:val="none" w:sz="0" w:space="0" w:color="auto"/>
        <w:right w:val="none" w:sz="0" w:space="0" w:color="auto"/>
      </w:divBdr>
    </w:div>
    <w:div w:id="427897097">
      <w:bodyDiv w:val="1"/>
      <w:marLeft w:val="0"/>
      <w:marRight w:val="0"/>
      <w:marTop w:val="0"/>
      <w:marBottom w:val="0"/>
      <w:divBdr>
        <w:top w:val="none" w:sz="0" w:space="0" w:color="auto"/>
        <w:left w:val="none" w:sz="0" w:space="0" w:color="auto"/>
        <w:bottom w:val="none" w:sz="0" w:space="0" w:color="auto"/>
        <w:right w:val="none" w:sz="0" w:space="0" w:color="auto"/>
      </w:divBdr>
    </w:div>
    <w:div w:id="427967728">
      <w:bodyDiv w:val="1"/>
      <w:marLeft w:val="0"/>
      <w:marRight w:val="0"/>
      <w:marTop w:val="0"/>
      <w:marBottom w:val="0"/>
      <w:divBdr>
        <w:top w:val="none" w:sz="0" w:space="0" w:color="auto"/>
        <w:left w:val="none" w:sz="0" w:space="0" w:color="auto"/>
        <w:bottom w:val="none" w:sz="0" w:space="0" w:color="auto"/>
        <w:right w:val="none" w:sz="0" w:space="0" w:color="auto"/>
      </w:divBdr>
    </w:div>
    <w:div w:id="428039952">
      <w:bodyDiv w:val="1"/>
      <w:marLeft w:val="0"/>
      <w:marRight w:val="0"/>
      <w:marTop w:val="0"/>
      <w:marBottom w:val="0"/>
      <w:divBdr>
        <w:top w:val="none" w:sz="0" w:space="0" w:color="auto"/>
        <w:left w:val="none" w:sz="0" w:space="0" w:color="auto"/>
        <w:bottom w:val="none" w:sz="0" w:space="0" w:color="auto"/>
        <w:right w:val="none" w:sz="0" w:space="0" w:color="auto"/>
      </w:divBdr>
    </w:div>
    <w:div w:id="428041298">
      <w:bodyDiv w:val="1"/>
      <w:marLeft w:val="0"/>
      <w:marRight w:val="0"/>
      <w:marTop w:val="0"/>
      <w:marBottom w:val="0"/>
      <w:divBdr>
        <w:top w:val="none" w:sz="0" w:space="0" w:color="auto"/>
        <w:left w:val="none" w:sz="0" w:space="0" w:color="auto"/>
        <w:bottom w:val="none" w:sz="0" w:space="0" w:color="auto"/>
        <w:right w:val="none" w:sz="0" w:space="0" w:color="auto"/>
      </w:divBdr>
    </w:div>
    <w:div w:id="428355101">
      <w:bodyDiv w:val="1"/>
      <w:marLeft w:val="0"/>
      <w:marRight w:val="0"/>
      <w:marTop w:val="0"/>
      <w:marBottom w:val="0"/>
      <w:divBdr>
        <w:top w:val="none" w:sz="0" w:space="0" w:color="auto"/>
        <w:left w:val="none" w:sz="0" w:space="0" w:color="auto"/>
        <w:bottom w:val="none" w:sz="0" w:space="0" w:color="auto"/>
        <w:right w:val="none" w:sz="0" w:space="0" w:color="auto"/>
      </w:divBdr>
    </w:div>
    <w:div w:id="428475961">
      <w:bodyDiv w:val="1"/>
      <w:marLeft w:val="0"/>
      <w:marRight w:val="0"/>
      <w:marTop w:val="0"/>
      <w:marBottom w:val="0"/>
      <w:divBdr>
        <w:top w:val="none" w:sz="0" w:space="0" w:color="auto"/>
        <w:left w:val="none" w:sz="0" w:space="0" w:color="auto"/>
        <w:bottom w:val="none" w:sz="0" w:space="0" w:color="auto"/>
        <w:right w:val="none" w:sz="0" w:space="0" w:color="auto"/>
      </w:divBdr>
    </w:div>
    <w:div w:id="428815323">
      <w:bodyDiv w:val="1"/>
      <w:marLeft w:val="0"/>
      <w:marRight w:val="0"/>
      <w:marTop w:val="0"/>
      <w:marBottom w:val="0"/>
      <w:divBdr>
        <w:top w:val="none" w:sz="0" w:space="0" w:color="auto"/>
        <w:left w:val="none" w:sz="0" w:space="0" w:color="auto"/>
        <w:bottom w:val="none" w:sz="0" w:space="0" w:color="auto"/>
        <w:right w:val="none" w:sz="0" w:space="0" w:color="auto"/>
      </w:divBdr>
    </w:div>
    <w:div w:id="428890522">
      <w:bodyDiv w:val="1"/>
      <w:marLeft w:val="0"/>
      <w:marRight w:val="0"/>
      <w:marTop w:val="0"/>
      <w:marBottom w:val="0"/>
      <w:divBdr>
        <w:top w:val="none" w:sz="0" w:space="0" w:color="auto"/>
        <w:left w:val="none" w:sz="0" w:space="0" w:color="auto"/>
        <w:bottom w:val="none" w:sz="0" w:space="0" w:color="auto"/>
        <w:right w:val="none" w:sz="0" w:space="0" w:color="auto"/>
      </w:divBdr>
    </w:div>
    <w:div w:id="428965527">
      <w:bodyDiv w:val="1"/>
      <w:marLeft w:val="0"/>
      <w:marRight w:val="0"/>
      <w:marTop w:val="0"/>
      <w:marBottom w:val="0"/>
      <w:divBdr>
        <w:top w:val="none" w:sz="0" w:space="0" w:color="auto"/>
        <w:left w:val="none" w:sz="0" w:space="0" w:color="auto"/>
        <w:bottom w:val="none" w:sz="0" w:space="0" w:color="auto"/>
        <w:right w:val="none" w:sz="0" w:space="0" w:color="auto"/>
      </w:divBdr>
    </w:div>
    <w:div w:id="429014692">
      <w:bodyDiv w:val="1"/>
      <w:marLeft w:val="0"/>
      <w:marRight w:val="0"/>
      <w:marTop w:val="0"/>
      <w:marBottom w:val="0"/>
      <w:divBdr>
        <w:top w:val="none" w:sz="0" w:space="0" w:color="auto"/>
        <w:left w:val="none" w:sz="0" w:space="0" w:color="auto"/>
        <w:bottom w:val="none" w:sz="0" w:space="0" w:color="auto"/>
        <w:right w:val="none" w:sz="0" w:space="0" w:color="auto"/>
      </w:divBdr>
    </w:div>
    <w:div w:id="429203751">
      <w:bodyDiv w:val="1"/>
      <w:marLeft w:val="0"/>
      <w:marRight w:val="0"/>
      <w:marTop w:val="0"/>
      <w:marBottom w:val="0"/>
      <w:divBdr>
        <w:top w:val="none" w:sz="0" w:space="0" w:color="auto"/>
        <w:left w:val="none" w:sz="0" w:space="0" w:color="auto"/>
        <w:bottom w:val="none" w:sz="0" w:space="0" w:color="auto"/>
        <w:right w:val="none" w:sz="0" w:space="0" w:color="auto"/>
      </w:divBdr>
    </w:div>
    <w:div w:id="429394839">
      <w:bodyDiv w:val="1"/>
      <w:marLeft w:val="0"/>
      <w:marRight w:val="0"/>
      <w:marTop w:val="0"/>
      <w:marBottom w:val="0"/>
      <w:divBdr>
        <w:top w:val="none" w:sz="0" w:space="0" w:color="auto"/>
        <w:left w:val="none" w:sz="0" w:space="0" w:color="auto"/>
        <w:bottom w:val="none" w:sz="0" w:space="0" w:color="auto"/>
        <w:right w:val="none" w:sz="0" w:space="0" w:color="auto"/>
      </w:divBdr>
    </w:div>
    <w:div w:id="429471563">
      <w:bodyDiv w:val="1"/>
      <w:marLeft w:val="0"/>
      <w:marRight w:val="0"/>
      <w:marTop w:val="0"/>
      <w:marBottom w:val="0"/>
      <w:divBdr>
        <w:top w:val="none" w:sz="0" w:space="0" w:color="auto"/>
        <w:left w:val="none" w:sz="0" w:space="0" w:color="auto"/>
        <w:bottom w:val="none" w:sz="0" w:space="0" w:color="auto"/>
        <w:right w:val="none" w:sz="0" w:space="0" w:color="auto"/>
      </w:divBdr>
    </w:div>
    <w:div w:id="429547073">
      <w:bodyDiv w:val="1"/>
      <w:marLeft w:val="0"/>
      <w:marRight w:val="0"/>
      <w:marTop w:val="0"/>
      <w:marBottom w:val="0"/>
      <w:divBdr>
        <w:top w:val="none" w:sz="0" w:space="0" w:color="auto"/>
        <w:left w:val="none" w:sz="0" w:space="0" w:color="auto"/>
        <w:bottom w:val="none" w:sz="0" w:space="0" w:color="auto"/>
        <w:right w:val="none" w:sz="0" w:space="0" w:color="auto"/>
      </w:divBdr>
    </w:div>
    <w:div w:id="429589240">
      <w:bodyDiv w:val="1"/>
      <w:marLeft w:val="0"/>
      <w:marRight w:val="0"/>
      <w:marTop w:val="0"/>
      <w:marBottom w:val="0"/>
      <w:divBdr>
        <w:top w:val="none" w:sz="0" w:space="0" w:color="auto"/>
        <w:left w:val="none" w:sz="0" w:space="0" w:color="auto"/>
        <w:bottom w:val="none" w:sz="0" w:space="0" w:color="auto"/>
        <w:right w:val="none" w:sz="0" w:space="0" w:color="auto"/>
      </w:divBdr>
    </w:div>
    <w:div w:id="429661974">
      <w:bodyDiv w:val="1"/>
      <w:marLeft w:val="0"/>
      <w:marRight w:val="0"/>
      <w:marTop w:val="0"/>
      <w:marBottom w:val="0"/>
      <w:divBdr>
        <w:top w:val="none" w:sz="0" w:space="0" w:color="auto"/>
        <w:left w:val="none" w:sz="0" w:space="0" w:color="auto"/>
        <w:bottom w:val="none" w:sz="0" w:space="0" w:color="auto"/>
        <w:right w:val="none" w:sz="0" w:space="0" w:color="auto"/>
      </w:divBdr>
    </w:div>
    <w:div w:id="429669201">
      <w:bodyDiv w:val="1"/>
      <w:marLeft w:val="0"/>
      <w:marRight w:val="0"/>
      <w:marTop w:val="0"/>
      <w:marBottom w:val="0"/>
      <w:divBdr>
        <w:top w:val="none" w:sz="0" w:space="0" w:color="auto"/>
        <w:left w:val="none" w:sz="0" w:space="0" w:color="auto"/>
        <w:bottom w:val="none" w:sz="0" w:space="0" w:color="auto"/>
        <w:right w:val="none" w:sz="0" w:space="0" w:color="auto"/>
      </w:divBdr>
    </w:div>
    <w:div w:id="429742014">
      <w:bodyDiv w:val="1"/>
      <w:marLeft w:val="0"/>
      <w:marRight w:val="0"/>
      <w:marTop w:val="0"/>
      <w:marBottom w:val="0"/>
      <w:divBdr>
        <w:top w:val="none" w:sz="0" w:space="0" w:color="auto"/>
        <w:left w:val="none" w:sz="0" w:space="0" w:color="auto"/>
        <w:bottom w:val="none" w:sz="0" w:space="0" w:color="auto"/>
        <w:right w:val="none" w:sz="0" w:space="0" w:color="auto"/>
      </w:divBdr>
    </w:div>
    <w:div w:id="429787081">
      <w:bodyDiv w:val="1"/>
      <w:marLeft w:val="0"/>
      <w:marRight w:val="0"/>
      <w:marTop w:val="0"/>
      <w:marBottom w:val="0"/>
      <w:divBdr>
        <w:top w:val="none" w:sz="0" w:space="0" w:color="auto"/>
        <w:left w:val="none" w:sz="0" w:space="0" w:color="auto"/>
        <w:bottom w:val="none" w:sz="0" w:space="0" w:color="auto"/>
        <w:right w:val="none" w:sz="0" w:space="0" w:color="auto"/>
      </w:divBdr>
    </w:div>
    <w:div w:id="429812732">
      <w:bodyDiv w:val="1"/>
      <w:marLeft w:val="0"/>
      <w:marRight w:val="0"/>
      <w:marTop w:val="0"/>
      <w:marBottom w:val="0"/>
      <w:divBdr>
        <w:top w:val="none" w:sz="0" w:space="0" w:color="auto"/>
        <w:left w:val="none" w:sz="0" w:space="0" w:color="auto"/>
        <w:bottom w:val="none" w:sz="0" w:space="0" w:color="auto"/>
        <w:right w:val="none" w:sz="0" w:space="0" w:color="auto"/>
      </w:divBdr>
    </w:div>
    <w:div w:id="429814731">
      <w:bodyDiv w:val="1"/>
      <w:marLeft w:val="0"/>
      <w:marRight w:val="0"/>
      <w:marTop w:val="0"/>
      <w:marBottom w:val="0"/>
      <w:divBdr>
        <w:top w:val="none" w:sz="0" w:space="0" w:color="auto"/>
        <w:left w:val="none" w:sz="0" w:space="0" w:color="auto"/>
        <w:bottom w:val="none" w:sz="0" w:space="0" w:color="auto"/>
        <w:right w:val="none" w:sz="0" w:space="0" w:color="auto"/>
      </w:divBdr>
    </w:div>
    <w:div w:id="429816125">
      <w:bodyDiv w:val="1"/>
      <w:marLeft w:val="0"/>
      <w:marRight w:val="0"/>
      <w:marTop w:val="0"/>
      <w:marBottom w:val="0"/>
      <w:divBdr>
        <w:top w:val="none" w:sz="0" w:space="0" w:color="auto"/>
        <w:left w:val="none" w:sz="0" w:space="0" w:color="auto"/>
        <w:bottom w:val="none" w:sz="0" w:space="0" w:color="auto"/>
        <w:right w:val="none" w:sz="0" w:space="0" w:color="auto"/>
      </w:divBdr>
    </w:div>
    <w:div w:id="429863083">
      <w:bodyDiv w:val="1"/>
      <w:marLeft w:val="0"/>
      <w:marRight w:val="0"/>
      <w:marTop w:val="0"/>
      <w:marBottom w:val="0"/>
      <w:divBdr>
        <w:top w:val="none" w:sz="0" w:space="0" w:color="auto"/>
        <w:left w:val="none" w:sz="0" w:space="0" w:color="auto"/>
        <w:bottom w:val="none" w:sz="0" w:space="0" w:color="auto"/>
        <w:right w:val="none" w:sz="0" w:space="0" w:color="auto"/>
      </w:divBdr>
    </w:div>
    <w:div w:id="430054521">
      <w:bodyDiv w:val="1"/>
      <w:marLeft w:val="0"/>
      <w:marRight w:val="0"/>
      <w:marTop w:val="0"/>
      <w:marBottom w:val="0"/>
      <w:divBdr>
        <w:top w:val="none" w:sz="0" w:space="0" w:color="auto"/>
        <w:left w:val="none" w:sz="0" w:space="0" w:color="auto"/>
        <w:bottom w:val="none" w:sz="0" w:space="0" w:color="auto"/>
        <w:right w:val="none" w:sz="0" w:space="0" w:color="auto"/>
      </w:divBdr>
    </w:div>
    <w:div w:id="430124855">
      <w:bodyDiv w:val="1"/>
      <w:marLeft w:val="0"/>
      <w:marRight w:val="0"/>
      <w:marTop w:val="0"/>
      <w:marBottom w:val="0"/>
      <w:divBdr>
        <w:top w:val="none" w:sz="0" w:space="0" w:color="auto"/>
        <w:left w:val="none" w:sz="0" w:space="0" w:color="auto"/>
        <w:bottom w:val="none" w:sz="0" w:space="0" w:color="auto"/>
        <w:right w:val="none" w:sz="0" w:space="0" w:color="auto"/>
      </w:divBdr>
    </w:div>
    <w:div w:id="430202062">
      <w:bodyDiv w:val="1"/>
      <w:marLeft w:val="0"/>
      <w:marRight w:val="0"/>
      <w:marTop w:val="0"/>
      <w:marBottom w:val="0"/>
      <w:divBdr>
        <w:top w:val="none" w:sz="0" w:space="0" w:color="auto"/>
        <w:left w:val="none" w:sz="0" w:space="0" w:color="auto"/>
        <w:bottom w:val="none" w:sz="0" w:space="0" w:color="auto"/>
        <w:right w:val="none" w:sz="0" w:space="0" w:color="auto"/>
      </w:divBdr>
    </w:div>
    <w:div w:id="430273998">
      <w:bodyDiv w:val="1"/>
      <w:marLeft w:val="0"/>
      <w:marRight w:val="0"/>
      <w:marTop w:val="0"/>
      <w:marBottom w:val="0"/>
      <w:divBdr>
        <w:top w:val="none" w:sz="0" w:space="0" w:color="auto"/>
        <w:left w:val="none" w:sz="0" w:space="0" w:color="auto"/>
        <w:bottom w:val="none" w:sz="0" w:space="0" w:color="auto"/>
        <w:right w:val="none" w:sz="0" w:space="0" w:color="auto"/>
      </w:divBdr>
    </w:div>
    <w:div w:id="430320994">
      <w:bodyDiv w:val="1"/>
      <w:marLeft w:val="0"/>
      <w:marRight w:val="0"/>
      <w:marTop w:val="0"/>
      <w:marBottom w:val="0"/>
      <w:divBdr>
        <w:top w:val="none" w:sz="0" w:space="0" w:color="auto"/>
        <w:left w:val="none" w:sz="0" w:space="0" w:color="auto"/>
        <w:bottom w:val="none" w:sz="0" w:space="0" w:color="auto"/>
        <w:right w:val="none" w:sz="0" w:space="0" w:color="auto"/>
      </w:divBdr>
    </w:div>
    <w:div w:id="430393958">
      <w:bodyDiv w:val="1"/>
      <w:marLeft w:val="0"/>
      <w:marRight w:val="0"/>
      <w:marTop w:val="0"/>
      <w:marBottom w:val="0"/>
      <w:divBdr>
        <w:top w:val="none" w:sz="0" w:space="0" w:color="auto"/>
        <w:left w:val="none" w:sz="0" w:space="0" w:color="auto"/>
        <w:bottom w:val="none" w:sz="0" w:space="0" w:color="auto"/>
        <w:right w:val="none" w:sz="0" w:space="0" w:color="auto"/>
      </w:divBdr>
    </w:div>
    <w:div w:id="430662539">
      <w:bodyDiv w:val="1"/>
      <w:marLeft w:val="0"/>
      <w:marRight w:val="0"/>
      <w:marTop w:val="0"/>
      <w:marBottom w:val="0"/>
      <w:divBdr>
        <w:top w:val="none" w:sz="0" w:space="0" w:color="auto"/>
        <w:left w:val="none" w:sz="0" w:space="0" w:color="auto"/>
        <w:bottom w:val="none" w:sz="0" w:space="0" w:color="auto"/>
        <w:right w:val="none" w:sz="0" w:space="0" w:color="auto"/>
      </w:divBdr>
    </w:div>
    <w:div w:id="430711543">
      <w:bodyDiv w:val="1"/>
      <w:marLeft w:val="0"/>
      <w:marRight w:val="0"/>
      <w:marTop w:val="0"/>
      <w:marBottom w:val="0"/>
      <w:divBdr>
        <w:top w:val="none" w:sz="0" w:space="0" w:color="auto"/>
        <w:left w:val="none" w:sz="0" w:space="0" w:color="auto"/>
        <w:bottom w:val="none" w:sz="0" w:space="0" w:color="auto"/>
        <w:right w:val="none" w:sz="0" w:space="0" w:color="auto"/>
      </w:divBdr>
    </w:div>
    <w:div w:id="430783734">
      <w:bodyDiv w:val="1"/>
      <w:marLeft w:val="0"/>
      <w:marRight w:val="0"/>
      <w:marTop w:val="0"/>
      <w:marBottom w:val="0"/>
      <w:divBdr>
        <w:top w:val="none" w:sz="0" w:space="0" w:color="auto"/>
        <w:left w:val="none" w:sz="0" w:space="0" w:color="auto"/>
        <w:bottom w:val="none" w:sz="0" w:space="0" w:color="auto"/>
        <w:right w:val="none" w:sz="0" w:space="0" w:color="auto"/>
      </w:divBdr>
    </w:div>
    <w:div w:id="430856083">
      <w:bodyDiv w:val="1"/>
      <w:marLeft w:val="0"/>
      <w:marRight w:val="0"/>
      <w:marTop w:val="0"/>
      <w:marBottom w:val="0"/>
      <w:divBdr>
        <w:top w:val="none" w:sz="0" w:space="0" w:color="auto"/>
        <w:left w:val="none" w:sz="0" w:space="0" w:color="auto"/>
        <w:bottom w:val="none" w:sz="0" w:space="0" w:color="auto"/>
        <w:right w:val="none" w:sz="0" w:space="0" w:color="auto"/>
      </w:divBdr>
    </w:div>
    <w:div w:id="430858983">
      <w:bodyDiv w:val="1"/>
      <w:marLeft w:val="0"/>
      <w:marRight w:val="0"/>
      <w:marTop w:val="0"/>
      <w:marBottom w:val="0"/>
      <w:divBdr>
        <w:top w:val="none" w:sz="0" w:space="0" w:color="auto"/>
        <w:left w:val="none" w:sz="0" w:space="0" w:color="auto"/>
        <w:bottom w:val="none" w:sz="0" w:space="0" w:color="auto"/>
        <w:right w:val="none" w:sz="0" w:space="0" w:color="auto"/>
      </w:divBdr>
    </w:div>
    <w:div w:id="430859368">
      <w:bodyDiv w:val="1"/>
      <w:marLeft w:val="0"/>
      <w:marRight w:val="0"/>
      <w:marTop w:val="0"/>
      <w:marBottom w:val="0"/>
      <w:divBdr>
        <w:top w:val="none" w:sz="0" w:space="0" w:color="auto"/>
        <w:left w:val="none" w:sz="0" w:space="0" w:color="auto"/>
        <w:bottom w:val="none" w:sz="0" w:space="0" w:color="auto"/>
        <w:right w:val="none" w:sz="0" w:space="0" w:color="auto"/>
      </w:divBdr>
    </w:div>
    <w:div w:id="430861299">
      <w:bodyDiv w:val="1"/>
      <w:marLeft w:val="0"/>
      <w:marRight w:val="0"/>
      <w:marTop w:val="0"/>
      <w:marBottom w:val="0"/>
      <w:divBdr>
        <w:top w:val="none" w:sz="0" w:space="0" w:color="auto"/>
        <w:left w:val="none" w:sz="0" w:space="0" w:color="auto"/>
        <w:bottom w:val="none" w:sz="0" w:space="0" w:color="auto"/>
        <w:right w:val="none" w:sz="0" w:space="0" w:color="auto"/>
      </w:divBdr>
    </w:div>
    <w:div w:id="431051209">
      <w:bodyDiv w:val="1"/>
      <w:marLeft w:val="0"/>
      <w:marRight w:val="0"/>
      <w:marTop w:val="0"/>
      <w:marBottom w:val="0"/>
      <w:divBdr>
        <w:top w:val="none" w:sz="0" w:space="0" w:color="auto"/>
        <w:left w:val="none" w:sz="0" w:space="0" w:color="auto"/>
        <w:bottom w:val="none" w:sz="0" w:space="0" w:color="auto"/>
        <w:right w:val="none" w:sz="0" w:space="0" w:color="auto"/>
      </w:divBdr>
    </w:div>
    <w:div w:id="431127559">
      <w:bodyDiv w:val="1"/>
      <w:marLeft w:val="0"/>
      <w:marRight w:val="0"/>
      <w:marTop w:val="0"/>
      <w:marBottom w:val="0"/>
      <w:divBdr>
        <w:top w:val="none" w:sz="0" w:space="0" w:color="auto"/>
        <w:left w:val="none" w:sz="0" w:space="0" w:color="auto"/>
        <w:bottom w:val="none" w:sz="0" w:space="0" w:color="auto"/>
        <w:right w:val="none" w:sz="0" w:space="0" w:color="auto"/>
      </w:divBdr>
    </w:div>
    <w:div w:id="431247275">
      <w:bodyDiv w:val="1"/>
      <w:marLeft w:val="0"/>
      <w:marRight w:val="0"/>
      <w:marTop w:val="0"/>
      <w:marBottom w:val="0"/>
      <w:divBdr>
        <w:top w:val="none" w:sz="0" w:space="0" w:color="auto"/>
        <w:left w:val="none" w:sz="0" w:space="0" w:color="auto"/>
        <w:bottom w:val="none" w:sz="0" w:space="0" w:color="auto"/>
        <w:right w:val="none" w:sz="0" w:space="0" w:color="auto"/>
      </w:divBdr>
    </w:div>
    <w:div w:id="431247824">
      <w:bodyDiv w:val="1"/>
      <w:marLeft w:val="0"/>
      <w:marRight w:val="0"/>
      <w:marTop w:val="0"/>
      <w:marBottom w:val="0"/>
      <w:divBdr>
        <w:top w:val="none" w:sz="0" w:space="0" w:color="auto"/>
        <w:left w:val="none" w:sz="0" w:space="0" w:color="auto"/>
        <w:bottom w:val="none" w:sz="0" w:space="0" w:color="auto"/>
        <w:right w:val="none" w:sz="0" w:space="0" w:color="auto"/>
      </w:divBdr>
    </w:div>
    <w:div w:id="431365417">
      <w:bodyDiv w:val="1"/>
      <w:marLeft w:val="0"/>
      <w:marRight w:val="0"/>
      <w:marTop w:val="0"/>
      <w:marBottom w:val="0"/>
      <w:divBdr>
        <w:top w:val="none" w:sz="0" w:space="0" w:color="auto"/>
        <w:left w:val="none" w:sz="0" w:space="0" w:color="auto"/>
        <w:bottom w:val="none" w:sz="0" w:space="0" w:color="auto"/>
        <w:right w:val="none" w:sz="0" w:space="0" w:color="auto"/>
      </w:divBdr>
    </w:div>
    <w:div w:id="431367099">
      <w:bodyDiv w:val="1"/>
      <w:marLeft w:val="0"/>
      <w:marRight w:val="0"/>
      <w:marTop w:val="0"/>
      <w:marBottom w:val="0"/>
      <w:divBdr>
        <w:top w:val="none" w:sz="0" w:space="0" w:color="auto"/>
        <w:left w:val="none" w:sz="0" w:space="0" w:color="auto"/>
        <w:bottom w:val="none" w:sz="0" w:space="0" w:color="auto"/>
        <w:right w:val="none" w:sz="0" w:space="0" w:color="auto"/>
      </w:divBdr>
    </w:div>
    <w:div w:id="431439594">
      <w:bodyDiv w:val="1"/>
      <w:marLeft w:val="0"/>
      <w:marRight w:val="0"/>
      <w:marTop w:val="0"/>
      <w:marBottom w:val="0"/>
      <w:divBdr>
        <w:top w:val="none" w:sz="0" w:space="0" w:color="auto"/>
        <w:left w:val="none" w:sz="0" w:space="0" w:color="auto"/>
        <w:bottom w:val="none" w:sz="0" w:space="0" w:color="auto"/>
        <w:right w:val="none" w:sz="0" w:space="0" w:color="auto"/>
      </w:divBdr>
    </w:div>
    <w:div w:id="431558755">
      <w:bodyDiv w:val="1"/>
      <w:marLeft w:val="0"/>
      <w:marRight w:val="0"/>
      <w:marTop w:val="0"/>
      <w:marBottom w:val="0"/>
      <w:divBdr>
        <w:top w:val="none" w:sz="0" w:space="0" w:color="auto"/>
        <w:left w:val="none" w:sz="0" w:space="0" w:color="auto"/>
        <w:bottom w:val="none" w:sz="0" w:space="0" w:color="auto"/>
        <w:right w:val="none" w:sz="0" w:space="0" w:color="auto"/>
      </w:divBdr>
    </w:div>
    <w:div w:id="431710802">
      <w:bodyDiv w:val="1"/>
      <w:marLeft w:val="0"/>
      <w:marRight w:val="0"/>
      <w:marTop w:val="0"/>
      <w:marBottom w:val="0"/>
      <w:divBdr>
        <w:top w:val="none" w:sz="0" w:space="0" w:color="auto"/>
        <w:left w:val="none" w:sz="0" w:space="0" w:color="auto"/>
        <w:bottom w:val="none" w:sz="0" w:space="0" w:color="auto"/>
        <w:right w:val="none" w:sz="0" w:space="0" w:color="auto"/>
      </w:divBdr>
    </w:div>
    <w:div w:id="431752730">
      <w:bodyDiv w:val="1"/>
      <w:marLeft w:val="0"/>
      <w:marRight w:val="0"/>
      <w:marTop w:val="0"/>
      <w:marBottom w:val="0"/>
      <w:divBdr>
        <w:top w:val="none" w:sz="0" w:space="0" w:color="auto"/>
        <w:left w:val="none" w:sz="0" w:space="0" w:color="auto"/>
        <w:bottom w:val="none" w:sz="0" w:space="0" w:color="auto"/>
        <w:right w:val="none" w:sz="0" w:space="0" w:color="auto"/>
      </w:divBdr>
    </w:div>
    <w:div w:id="431782281">
      <w:bodyDiv w:val="1"/>
      <w:marLeft w:val="0"/>
      <w:marRight w:val="0"/>
      <w:marTop w:val="0"/>
      <w:marBottom w:val="0"/>
      <w:divBdr>
        <w:top w:val="none" w:sz="0" w:space="0" w:color="auto"/>
        <w:left w:val="none" w:sz="0" w:space="0" w:color="auto"/>
        <w:bottom w:val="none" w:sz="0" w:space="0" w:color="auto"/>
        <w:right w:val="none" w:sz="0" w:space="0" w:color="auto"/>
      </w:divBdr>
    </w:div>
    <w:div w:id="431821677">
      <w:bodyDiv w:val="1"/>
      <w:marLeft w:val="0"/>
      <w:marRight w:val="0"/>
      <w:marTop w:val="0"/>
      <w:marBottom w:val="0"/>
      <w:divBdr>
        <w:top w:val="none" w:sz="0" w:space="0" w:color="auto"/>
        <w:left w:val="none" w:sz="0" w:space="0" w:color="auto"/>
        <w:bottom w:val="none" w:sz="0" w:space="0" w:color="auto"/>
        <w:right w:val="none" w:sz="0" w:space="0" w:color="auto"/>
      </w:divBdr>
    </w:div>
    <w:div w:id="431825982">
      <w:bodyDiv w:val="1"/>
      <w:marLeft w:val="0"/>
      <w:marRight w:val="0"/>
      <w:marTop w:val="0"/>
      <w:marBottom w:val="0"/>
      <w:divBdr>
        <w:top w:val="none" w:sz="0" w:space="0" w:color="auto"/>
        <w:left w:val="none" w:sz="0" w:space="0" w:color="auto"/>
        <w:bottom w:val="none" w:sz="0" w:space="0" w:color="auto"/>
        <w:right w:val="none" w:sz="0" w:space="0" w:color="auto"/>
      </w:divBdr>
    </w:div>
    <w:div w:id="432359033">
      <w:bodyDiv w:val="1"/>
      <w:marLeft w:val="0"/>
      <w:marRight w:val="0"/>
      <w:marTop w:val="0"/>
      <w:marBottom w:val="0"/>
      <w:divBdr>
        <w:top w:val="none" w:sz="0" w:space="0" w:color="auto"/>
        <w:left w:val="none" w:sz="0" w:space="0" w:color="auto"/>
        <w:bottom w:val="none" w:sz="0" w:space="0" w:color="auto"/>
        <w:right w:val="none" w:sz="0" w:space="0" w:color="auto"/>
      </w:divBdr>
    </w:div>
    <w:div w:id="432360699">
      <w:bodyDiv w:val="1"/>
      <w:marLeft w:val="0"/>
      <w:marRight w:val="0"/>
      <w:marTop w:val="0"/>
      <w:marBottom w:val="0"/>
      <w:divBdr>
        <w:top w:val="none" w:sz="0" w:space="0" w:color="auto"/>
        <w:left w:val="none" w:sz="0" w:space="0" w:color="auto"/>
        <w:bottom w:val="none" w:sz="0" w:space="0" w:color="auto"/>
        <w:right w:val="none" w:sz="0" w:space="0" w:color="auto"/>
      </w:divBdr>
    </w:div>
    <w:div w:id="432437963">
      <w:bodyDiv w:val="1"/>
      <w:marLeft w:val="0"/>
      <w:marRight w:val="0"/>
      <w:marTop w:val="0"/>
      <w:marBottom w:val="0"/>
      <w:divBdr>
        <w:top w:val="none" w:sz="0" w:space="0" w:color="auto"/>
        <w:left w:val="none" w:sz="0" w:space="0" w:color="auto"/>
        <w:bottom w:val="none" w:sz="0" w:space="0" w:color="auto"/>
        <w:right w:val="none" w:sz="0" w:space="0" w:color="auto"/>
      </w:divBdr>
    </w:div>
    <w:div w:id="432476121">
      <w:bodyDiv w:val="1"/>
      <w:marLeft w:val="0"/>
      <w:marRight w:val="0"/>
      <w:marTop w:val="0"/>
      <w:marBottom w:val="0"/>
      <w:divBdr>
        <w:top w:val="none" w:sz="0" w:space="0" w:color="auto"/>
        <w:left w:val="none" w:sz="0" w:space="0" w:color="auto"/>
        <w:bottom w:val="none" w:sz="0" w:space="0" w:color="auto"/>
        <w:right w:val="none" w:sz="0" w:space="0" w:color="auto"/>
      </w:divBdr>
    </w:div>
    <w:div w:id="432550563">
      <w:bodyDiv w:val="1"/>
      <w:marLeft w:val="0"/>
      <w:marRight w:val="0"/>
      <w:marTop w:val="0"/>
      <w:marBottom w:val="0"/>
      <w:divBdr>
        <w:top w:val="none" w:sz="0" w:space="0" w:color="auto"/>
        <w:left w:val="none" w:sz="0" w:space="0" w:color="auto"/>
        <w:bottom w:val="none" w:sz="0" w:space="0" w:color="auto"/>
        <w:right w:val="none" w:sz="0" w:space="0" w:color="auto"/>
      </w:divBdr>
    </w:div>
    <w:div w:id="432633221">
      <w:bodyDiv w:val="1"/>
      <w:marLeft w:val="0"/>
      <w:marRight w:val="0"/>
      <w:marTop w:val="0"/>
      <w:marBottom w:val="0"/>
      <w:divBdr>
        <w:top w:val="none" w:sz="0" w:space="0" w:color="auto"/>
        <w:left w:val="none" w:sz="0" w:space="0" w:color="auto"/>
        <w:bottom w:val="none" w:sz="0" w:space="0" w:color="auto"/>
        <w:right w:val="none" w:sz="0" w:space="0" w:color="auto"/>
      </w:divBdr>
    </w:div>
    <w:div w:id="432633242">
      <w:bodyDiv w:val="1"/>
      <w:marLeft w:val="0"/>
      <w:marRight w:val="0"/>
      <w:marTop w:val="0"/>
      <w:marBottom w:val="0"/>
      <w:divBdr>
        <w:top w:val="none" w:sz="0" w:space="0" w:color="auto"/>
        <w:left w:val="none" w:sz="0" w:space="0" w:color="auto"/>
        <w:bottom w:val="none" w:sz="0" w:space="0" w:color="auto"/>
        <w:right w:val="none" w:sz="0" w:space="0" w:color="auto"/>
      </w:divBdr>
    </w:div>
    <w:div w:id="432669750">
      <w:bodyDiv w:val="1"/>
      <w:marLeft w:val="0"/>
      <w:marRight w:val="0"/>
      <w:marTop w:val="0"/>
      <w:marBottom w:val="0"/>
      <w:divBdr>
        <w:top w:val="none" w:sz="0" w:space="0" w:color="auto"/>
        <w:left w:val="none" w:sz="0" w:space="0" w:color="auto"/>
        <w:bottom w:val="none" w:sz="0" w:space="0" w:color="auto"/>
        <w:right w:val="none" w:sz="0" w:space="0" w:color="auto"/>
      </w:divBdr>
    </w:div>
    <w:div w:id="432672885">
      <w:bodyDiv w:val="1"/>
      <w:marLeft w:val="0"/>
      <w:marRight w:val="0"/>
      <w:marTop w:val="0"/>
      <w:marBottom w:val="0"/>
      <w:divBdr>
        <w:top w:val="none" w:sz="0" w:space="0" w:color="auto"/>
        <w:left w:val="none" w:sz="0" w:space="0" w:color="auto"/>
        <w:bottom w:val="none" w:sz="0" w:space="0" w:color="auto"/>
        <w:right w:val="none" w:sz="0" w:space="0" w:color="auto"/>
      </w:divBdr>
    </w:div>
    <w:div w:id="432701090">
      <w:bodyDiv w:val="1"/>
      <w:marLeft w:val="0"/>
      <w:marRight w:val="0"/>
      <w:marTop w:val="0"/>
      <w:marBottom w:val="0"/>
      <w:divBdr>
        <w:top w:val="none" w:sz="0" w:space="0" w:color="auto"/>
        <w:left w:val="none" w:sz="0" w:space="0" w:color="auto"/>
        <w:bottom w:val="none" w:sz="0" w:space="0" w:color="auto"/>
        <w:right w:val="none" w:sz="0" w:space="0" w:color="auto"/>
      </w:divBdr>
    </w:div>
    <w:div w:id="432826407">
      <w:bodyDiv w:val="1"/>
      <w:marLeft w:val="0"/>
      <w:marRight w:val="0"/>
      <w:marTop w:val="0"/>
      <w:marBottom w:val="0"/>
      <w:divBdr>
        <w:top w:val="none" w:sz="0" w:space="0" w:color="auto"/>
        <w:left w:val="none" w:sz="0" w:space="0" w:color="auto"/>
        <w:bottom w:val="none" w:sz="0" w:space="0" w:color="auto"/>
        <w:right w:val="none" w:sz="0" w:space="0" w:color="auto"/>
      </w:divBdr>
    </w:div>
    <w:div w:id="432828255">
      <w:bodyDiv w:val="1"/>
      <w:marLeft w:val="0"/>
      <w:marRight w:val="0"/>
      <w:marTop w:val="0"/>
      <w:marBottom w:val="0"/>
      <w:divBdr>
        <w:top w:val="none" w:sz="0" w:space="0" w:color="auto"/>
        <w:left w:val="none" w:sz="0" w:space="0" w:color="auto"/>
        <w:bottom w:val="none" w:sz="0" w:space="0" w:color="auto"/>
        <w:right w:val="none" w:sz="0" w:space="0" w:color="auto"/>
      </w:divBdr>
    </w:div>
    <w:div w:id="433016255">
      <w:bodyDiv w:val="1"/>
      <w:marLeft w:val="0"/>
      <w:marRight w:val="0"/>
      <w:marTop w:val="0"/>
      <w:marBottom w:val="0"/>
      <w:divBdr>
        <w:top w:val="none" w:sz="0" w:space="0" w:color="auto"/>
        <w:left w:val="none" w:sz="0" w:space="0" w:color="auto"/>
        <w:bottom w:val="none" w:sz="0" w:space="0" w:color="auto"/>
        <w:right w:val="none" w:sz="0" w:space="0" w:color="auto"/>
      </w:divBdr>
    </w:div>
    <w:div w:id="433019758">
      <w:bodyDiv w:val="1"/>
      <w:marLeft w:val="0"/>
      <w:marRight w:val="0"/>
      <w:marTop w:val="0"/>
      <w:marBottom w:val="0"/>
      <w:divBdr>
        <w:top w:val="none" w:sz="0" w:space="0" w:color="auto"/>
        <w:left w:val="none" w:sz="0" w:space="0" w:color="auto"/>
        <w:bottom w:val="none" w:sz="0" w:space="0" w:color="auto"/>
        <w:right w:val="none" w:sz="0" w:space="0" w:color="auto"/>
      </w:divBdr>
    </w:div>
    <w:div w:id="433136058">
      <w:bodyDiv w:val="1"/>
      <w:marLeft w:val="0"/>
      <w:marRight w:val="0"/>
      <w:marTop w:val="0"/>
      <w:marBottom w:val="0"/>
      <w:divBdr>
        <w:top w:val="none" w:sz="0" w:space="0" w:color="auto"/>
        <w:left w:val="none" w:sz="0" w:space="0" w:color="auto"/>
        <w:bottom w:val="none" w:sz="0" w:space="0" w:color="auto"/>
        <w:right w:val="none" w:sz="0" w:space="0" w:color="auto"/>
      </w:divBdr>
    </w:div>
    <w:div w:id="433136976">
      <w:bodyDiv w:val="1"/>
      <w:marLeft w:val="0"/>
      <w:marRight w:val="0"/>
      <w:marTop w:val="0"/>
      <w:marBottom w:val="0"/>
      <w:divBdr>
        <w:top w:val="none" w:sz="0" w:space="0" w:color="auto"/>
        <w:left w:val="none" w:sz="0" w:space="0" w:color="auto"/>
        <w:bottom w:val="none" w:sz="0" w:space="0" w:color="auto"/>
        <w:right w:val="none" w:sz="0" w:space="0" w:color="auto"/>
      </w:divBdr>
    </w:div>
    <w:div w:id="433207387">
      <w:bodyDiv w:val="1"/>
      <w:marLeft w:val="0"/>
      <w:marRight w:val="0"/>
      <w:marTop w:val="0"/>
      <w:marBottom w:val="0"/>
      <w:divBdr>
        <w:top w:val="none" w:sz="0" w:space="0" w:color="auto"/>
        <w:left w:val="none" w:sz="0" w:space="0" w:color="auto"/>
        <w:bottom w:val="none" w:sz="0" w:space="0" w:color="auto"/>
        <w:right w:val="none" w:sz="0" w:space="0" w:color="auto"/>
      </w:divBdr>
    </w:div>
    <w:div w:id="433286971">
      <w:bodyDiv w:val="1"/>
      <w:marLeft w:val="0"/>
      <w:marRight w:val="0"/>
      <w:marTop w:val="0"/>
      <w:marBottom w:val="0"/>
      <w:divBdr>
        <w:top w:val="none" w:sz="0" w:space="0" w:color="auto"/>
        <w:left w:val="none" w:sz="0" w:space="0" w:color="auto"/>
        <w:bottom w:val="none" w:sz="0" w:space="0" w:color="auto"/>
        <w:right w:val="none" w:sz="0" w:space="0" w:color="auto"/>
      </w:divBdr>
    </w:div>
    <w:div w:id="433482791">
      <w:bodyDiv w:val="1"/>
      <w:marLeft w:val="0"/>
      <w:marRight w:val="0"/>
      <w:marTop w:val="0"/>
      <w:marBottom w:val="0"/>
      <w:divBdr>
        <w:top w:val="none" w:sz="0" w:space="0" w:color="auto"/>
        <w:left w:val="none" w:sz="0" w:space="0" w:color="auto"/>
        <w:bottom w:val="none" w:sz="0" w:space="0" w:color="auto"/>
        <w:right w:val="none" w:sz="0" w:space="0" w:color="auto"/>
      </w:divBdr>
    </w:div>
    <w:div w:id="433483156">
      <w:bodyDiv w:val="1"/>
      <w:marLeft w:val="0"/>
      <w:marRight w:val="0"/>
      <w:marTop w:val="0"/>
      <w:marBottom w:val="0"/>
      <w:divBdr>
        <w:top w:val="none" w:sz="0" w:space="0" w:color="auto"/>
        <w:left w:val="none" w:sz="0" w:space="0" w:color="auto"/>
        <w:bottom w:val="none" w:sz="0" w:space="0" w:color="auto"/>
        <w:right w:val="none" w:sz="0" w:space="0" w:color="auto"/>
      </w:divBdr>
    </w:div>
    <w:div w:id="433550589">
      <w:bodyDiv w:val="1"/>
      <w:marLeft w:val="0"/>
      <w:marRight w:val="0"/>
      <w:marTop w:val="0"/>
      <w:marBottom w:val="0"/>
      <w:divBdr>
        <w:top w:val="none" w:sz="0" w:space="0" w:color="auto"/>
        <w:left w:val="none" w:sz="0" w:space="0" w:color="auto"/>
        <w:bottom w:val="none" w:sz="0" w:space="0" w:color="auto"/>
        <w:right w:val="none" w:sz="0" w:space="0" w:color="auto"/>
      </w:divBdr>
    </w:div>
    <w:div w:id="433598168">
      <w:bodyDiv w:val="1"/>
      <w:marLeft w:val="0"/>
      <w:marRight w:val="0"/>
      <w:marTop w:val="0"/>
      <w:marBottom w:val="0"/>
      <w:divBdr>
        <w:top w:val="none" w:sz="0" w:space="0" w:color="auto"/>
        <w:left w:val="none" w:sz="0" w:space="0" w:color="auto"/>
        <w:bottom w:val="none" w:sz="0" w:space="0" w:color="auto"/>
        <w:right w:val="none" w:sz="0" w:space="0" w:color="auto"/>
      </w:divBdr>
    </w:div>
    <w:div w:id="433599166">
      <w:bodyDiv w:val="1"/>
      <w:marLeft w:val="0"/>
      <w:marRight w:val="0"/>
      <w:marTop w:val="0"/>
      <w:marBottom w:val="0"/>
      <w:divBdr>
        <w:top w:val="none" w:sz="0" w:space="0" w:color="auto"/>
        <w:left w:val="none" w:sz="0" w:space="0" w:color="auto"/>
        <w:bottom w:val="none" w:sz="0" w:space="0" w:color="auto"/>
        <w:right w:val="none" w:sz="0" w:space="0" w:color="auto"/>
      </w:divBdr>
    </w:div>
    <w:div w:id="433788835">
      <w:bodyDiv w:val="1"/>
      <w:marLeft w:val="0"/>
      <w:marRight w:val="0"/>
      <w:marTop w:val="0"/>
      <w:marBottom w:val="0"/>
      <w:divBdr>
        <w:top w:val="none" w:sz="0" w:space="0" w:color="auto"/>
        <w:left w:val="none" w:sz="0" w:space="0" w:color="auto"/>
        <w:bottom w:val="none" w:sz="0" w:space="0" w:color="auto"/>
        <w:right w:val="none" w:sz="0" w:space="0" w:color="auto"/>
      </w:divBdr>
    </w:div>
    <w:div w:id="433944869">
      <w:bodyDiv w:val="1"/>
      <w:marLeft w:val="0"/>
      <w:marRight w:val="0"/>
      <w:marTop w:val="0"/>
      <w:marBottom w:val="0"/>
      <w:divBdr>
        <w:top w:val="none" w:sz="0" w:space="0" w:color="auto"/>
        <w:left w:val="none" w:sz="0" w:space="0" w:color="auto"/>
        <w:bottom w:val="none" w:sz="0" w:space="0" w:color="auto"/>
        <w:right w:val="none" w:sz="0" w:space="0" w:color="auto"/>
      </w:divBdr>
    </w:div>
    <w:div w:id="433980254">
      <w:bodyDiv w:val="1"/>
      <w:marLeft w:val="0"/>
      <w:marRight w:val="0"/>
      <w:marTop w:val="0"/>
      <w:marBottom w:val="0"/>
      <w:divBdr>
        <w:top w:val="none" w:sz="0" w:space="0" w:color="auto"/>
        <w:left w:val="none" w:sz="0" w:space="0" w:color="auto"/>
        <w:bottom w:val="none" w:sz="0" w:space="0" w:color="auto"/>
        <w:right w:val="none" w:sz="0" w:space="0" w:color="auto"/>
      </w:divBdr>
    </w:div>
    <w:div w:id="434012128">
      <w:bodyDiv w:val="1"/>
      <w:marLeft w:val="0"/>
      <w:marRight w:val="0"/>
      <w:marTop w:val="0"/>
      <w:marBottom w:val="0"/>
      <w:divBdr>
        <w:top w:val="none" w:sz="0" w:space="0" w:color="auto"/>
        <w:left w:val="none" w:sz="0" w:space="0" w:color="auto"/>
        <w:bottom w:val="none" w:sz="0" w:space="0" w:color="auto"/>
        <w:right w:val="none" w:sz="0" w:space="0" w:color="auto"/>
      </w:divBdr>
    </w:div>
    <w:div w:id="434179437">
      <w:bodyDiv w:val="1"/>
      <w:marLeft w:val="0"/>
      <w:marRight w:val="0"/>
      <w:marTop w:val="0"/>
      <w:marBottom w:val="0"/>
      <w:divBdr>
        <w:top w:val="none" w:sz="0" w:space="0" w:color="auto"/>
        <w:left w:val="none" w:sz="0" w:space="0" w:color="auto"/>
        <w:bottom w:val="none" w:sz="0" w:space="0" w:color="auto"/>
        <w:right w:val="none" w:sz="0" w:space="0" w:color="auto"/>
      </w:divBdr>
    </w:div>
    <w:div w:id="434247797">
      <w:bodyDiv w:val="1"/>
      <w:marLeft w:val="0"/>
      <w:marRight w:val="0"/>
      <w:marTop w:val="0"/>
      <w:marBottom w:val="0"/>
      <w:divBdr>
        <w:top w:val="none" w:sz="0" w:space="0" w:color="auto"/>
        <w:left w:val="none" w:sz="0" w:space="0" w:color="auto"/>
        <w:bottom w:val="none" w:sz="0" w:space="0" w:color="auto"/>
        <w:right w:val="none" w:sz="0" w:space="0" w:color="auto"/>
      </w:divBdr>
    </w:div>
    <w:div w:id="434250295">
      <w:bodyDiv w:val="1"/>
      <w:marLeft w:val="0"/>
      <w:marRight w:val="0"/>
      <w:marTop w:val="0"/>
      <w:marBottom w:val="0"/>
      <w:divBdr>
        <w:top w:val="none" w:sz="0" w:space="0" w:color="auto"/>
        <w:left w:val="none" w:sz="0" w:space="0" w:color="auto"/>
        <w:bottom w:val="none" w:sz="0" w:space="0" w:color="auto"/>
        <w:right w:val="none" w:sz="0" w:space="0" w:color="auto"/>
      </w:divBdr>
    </w:div>
    <w:div w:id="434401262">
      <w:bodyDiv w:val="1"/>
      <w:marLeft w:val="0"/>
      <w:marRight w:val="0"/>
      <w:marTop w:val="0"/>
      <w:marBottom w:val="0"/>
      <w:divBdr>
        <w:top w:val="none" w:sz="0" w:space="0" w:color="auto"/>
        <w:left w:val="none" w:sz="0" w:space="0" w:color="auto"/>
        <w:bottom w:val="none" w:sz="0" w:space="0" w:color="auto"/>
        <w:right w:val="none" w:sz="0" w:space="0" w:color="auto"/>
      </w:divBdr>
    </w:div>
    <w:div w:id="434402201">
      <w:bodyDiv w:val="1"/>
      <w:marLeft w:val="0"/>
      <w:marRight w:val="0"/>
      <w:marTop w:val="0"/>
      <w:marBottom w:val="0"/>
      <w:divBdr>
        <w:top w:val="none" w:sz="0" w:space="0" w:color="auto"/>
        <w:left w:val="none" w:sz="0" w:space="0" w:color="auto"/>
        <w:bottom w:val="none" w:sz="0" w:space="0" w:color="auto"/>
        <w:right w:val="none" w:sz="0" w:space="0" w:color="auto"/>
      </w:divBdr>
    </w:div>
    <w:div w:id="434402968">
      <w:bodyDiv w:val="1"/>
      <w:marLeft w:val="0"/>
      <w:marRight w:val="0"/>
      <w:marTop w:val="0"/>
      <w:marBottom w:val="0"/>
      <w:divBdr>
        <w:top w:val="none" w:sz="0" w:space="0" w:color="auto"/>
        <w:left w:val="none" w:sz="0" w:space="0" w:color="auto"/>
        <w:bottom w:val="none" w:sz="0" w:space="0" w:color="auto"/>
        <w:right w:val="none" w:sz="0" w:space="0" w:color="auto"/>
      </w:divBdr>
    </w:div>
    <w:div w:id="434442137">
      <w:bodyDiv w:val="1"/>
      <w:marLeft w:val="0"/>
      <w:marRight w:val="0"/>
      <w:marTop w:val="0"/>
      <w:marBottom w:val="0"/>
      <w:divBdr>
        <w:top w:val="none" w:sz="0" w:space="0" w:color="auto"/>
        <w:left w:val="none" w:sz="0" w:space="0" w:color="auto"/>
        <w:bottom w:val="none" w:sz="0" w:space="0" w:color="auto"/>
        <w:right w:val="none" w:sz="0" w:space="0" w:color="auto"/>
      </w:divBdr>
    </w:div>
    <w:div w:id="434518071">
      <w:bodyDiv w:val="1"/>
      <w:marLeft w:val="0"/>
      <w:marRight w:val="0"/>
      <w:marTop w:val="0"/>
      <w:marBottom w:val="0"/>
      <w:divBdr>
        <w:top w:val="none" w:sz="0" w:space="0" w:color="auto"/>
        <w:left w:val="none" w:sz="0" w:space="0" w:color="auto"/>
        <w:bottom w:val="none" w:sz="0" w:space="0" w:color="auto"/>
        <w:right w:val="none" w:sz="0" w:space="0" w:color="auto"/>
      </w:divBdr>
    </w:div>
    <w:div w:id="434524209">
      <w:bodyDiv w:val="1"/>
      <w:marLeft w:val="0"/>
      <w:marRight w:val="0"/>
      <w:marTop w:val="0"/>
      <w:marBottom w:val="0"/>
      <w:divBdr>
        <w:top w:val="none" w:sz="0" w:space="0" w:color="auto"/>
        <w:left w:val="none" w:sz="0" w:space="0" w:color="auto"/>
        <w:bottom w:val="none" w:sz="0" w:space="0" w:color="auto"/>
        <w:right w:val="none" w:sz="0" w:space="0" w:color="auto"/>
      </w:divBdr>
    </w:div>
    <w:div w:id="434637689">
      <w:bodyDiv w:val="1"/>
      <w:marLeft w:val="0"/>
      <w:marRight w:val="0"/>
      <w:marTop w:val="0"/>
      <w:marBottom w:val="0"/>
      <w:divBdr>
        <w:top w:val="none" w:sz="0" w:space="0" w:color="auto"/>
        <w:left w:val="none" w:sz="0" w:space="0" w:color="auto"/>
        <w:bottom w:val="none" w:sz="0" w:space="0" w:color="auto"/>
        <w:right w:val="none" w:sz="0" w:space="0" w:color="auto"/>
      </w:divBdr>
    </w:div>
    <w:div w:id="434789832">
      <w:bodyDiv w:val="1"/>
      <w:marLeft w:val="0"/>
      <w:marRight w:val="0"/>
      <w:marTop w:val="0"/>
      <w:marBottom w:val="0"/>
      <w:divBdr>
        <w:top w:val="none" w:sz="0" w:space="0" w:color="auto"/>
        <w:left w:val="none" w:sz="0" w:space="0" w:color="auto"/>
        <w:bottom w:val="none" w:sz="0" w:space="0" w:color="auto"/>
        <w:right w:val="none" w:sz="0" w:space="0" w:color="auto"/>
      </w:divBdr>
    </w:div>
    <w:div w:id="434835664">
      <w:bodyDiv w:val="1"/>
      <w:marLeft w:val="0"/>
      <w:marRight w:val="0"/>
      <w:marTop w:val="0"/>
      <w:marBottom w:val="0"/>
      <w:divBdr>
        <w:top w:val="none" w:sz="0" w:space="0" w:color="auto"/>
        <w:left w:val="none" w:sz="0" w:space="0" w:color="auto"/>
        <w:bottom w:val="none" w:sz="0" w:space="0" w:color="auto"/>
        <w:right w:val="none" w:sz="0" w:space="0" w:color="auto"/>
      </w:divBdr>
    </w:div>
    <w:div w:id="434861798">
      <w:bodyDiv w:val="1"/>
      <w:marLeft w:val="0"/>
      <w:marRight w:val="0"/>
      <w:marTop w:val="0"/>
      <w:marBottom w:val="0"/>
      <w:divBdr>
        <w:top w:val="none" w:sz="0" w:space="0" w:color="auto"/>
        <w:left w:val="none" w:sz="0" w:space="0" w:color="auto"/>
        <w:bottom w:val="none" w:sz="0" w:space="0" w:color="auto"/>
        <w:right w:val="none" w:sz="0" w:space="0" w:color="auto"/>
      </w:divBdr>
    </w:div>
    <w:div w:id="434983701">
      <w:bodyDiv w:val="1"/>
      <w:marLeft w:val="0"/>
      <w:marRight w:val="0"/>
      <w:marTop w:val="0"/>
      <w:marBottom w:val="0"/>
      <w:divBdr>
        <w:top w:val="none" w:sz="0" w:space="0" w:color="auto"/>
        <w:left w:val="none" w:sz="0" w:space="0" w:color="auto"/>
        <w:bottom w:val="none" w:sz="0" w:space="0" w:color="auto"/>
        <w:right w:val="none" w:sz="0" w:space="0" w:color="auto"/>
      </w:divBdr>
    </w:div>
    <w:div w:id="435028960">
      <w:bodyDiv w:val="1"/>
      <w:marLeft w:val="0"/>
      <w:marRight w:val="0"/>
      <w:marTop w:val="0"/>
      <w:marBottom w:val="0"/>
      <w:divBdr>
        <w:top w:val="none" w:sz="0" w:space="0" w:color="auto"/>
        <w:left w:val="none" w:sz="0" w:space="0" w:color="auto"/>
        <w:bottom w:val="none" w:sz="0" w:space="0" w:color="auto"/>
        <w:right w:val="none" w:sz="0" w:space="0" w:color="auto"/>
      </w:divBdr>
    </w:div>
    <w:div w:id="435058179">
      <w:bodyDiv w:val="1"/>
      <w:marLeft w:val="0"/>
      <w:marRight w:val="0"/>
      <w:marTop w:val="0"/>
      <w:marBottom w:val="0"/>
      <w:divBdr>
        <w:top w:val="none" w:sz="0" w:space="0" w:color="auto"/>
        <w:left w:val="none" w:sz="0" w:space="0" w:color="auto"/>
        <w:bottom w:val="none" w:sz="0" w:space="0" w:color="auto"/>
        <w:right w:val="none" w:sz="0" w:space="0" w:color="auto"/>
      </w:divBdr>
    </w:div>
    <w:div w:id="435178080">
      <w:bodyDiv w:val="1"/>
      <w:marLeft w:val="0"/>
      <w:marRight w:val="0"/>
      <w:marTop w:val="0"/>
      <w:marBottom w:val="0"/>
      <w:divBdr>
        <w:top w:val="none" w:sz="0" w:space="0" w:color="auto"/>
        <w:left w:val="none" w:sz="0" w:space="0" w:color="auto"/>
        <w:bottom w:val="none" w:sz="0" w:space="0" w:color="auto"/>
        <w:right w:val="none" w:sz="0" w:space="0" w:color="auto"/>
      </w:divBdr>
    </w:div>
    <w:div w:id="435249211">
      <w:bodyDiv w:val="1"/>
      <w:marLeft w:val="0"/>
      <w:marRight w:val="0"/>
      <w:marTop w:val="0"/>
      <w:marBottom w:val="0"/>
      <w:divBdr>
        <w:top w:val="none" w:sz="0" w:space="0" w:color="auto"/>
        <w:left w:val="none" w:sz="0" w:space="0" w:color="auto"/>
        <w:bottom w:val="none" w:sz="0" w:space="0" w:color="auto"/>
        <w:right w:val="none" w:sz="0" w:space="0" w:color="auto"/>
      </w:divBdr>
    </w:div>
    <w:div w:id="435254679">
      <w:bodyDiv w:val="1"/>
      <w:marLeft w:val="0"/>
      <w:marRight w:val="0"/>
      <w:marTop w:val="0"/>
      <w:marBottom w:val="0"/>
      <w:divBdr>
        <w:top w:val="none" w:sz="0" w:space="0" w:color="auto"/>
        <w:left w:val="none" w:sz="0" w:space="0" w:color="auto"/>
        <w:bottom w:val="none" w:sz="0" w:space="0" w:color="auto"/>
        <w:right w:val="none" w:sz="0" w:space="0" w:color="auto"/>
      </w:divBdr>
    </w:div>
    <w:div w:id="435296183">
      <w:bodyDiv w:val="1"/>
      <w:marLeft w:val="0"/>
      <w:marRight w:val="0"/>
      <w:marTop w:val="0"/>
      <w:marBottom w:val="0"/>
      <w:divBdr>
        <w:top w:val="none" w:sz="0" w:space="0" w:color="auto"/>
        <w:left w:val="none" w:sz="0" w:space="0" w:color="auto"/>
        <w:bottom w:val="none" w:sz="0" w:space="0" w:color="auto"/>
        <w:right w:val="none" w:sz="0" w:space="0" w:color="auto"/>
      </w:divBdr>
    </w:div>
    <w:div w:id="435297566">
      <w:bodyDiv w:val="1"/>
      <w:marLeft w:val="0"/>
      <w:marRight w:val="0"/>
      <w:marTop w:val="0"/>
      <w:marBottom w:val="0"/>
      <w:divBdr>
        <w:top w:val="none" w:sz="0" w:space="0" w:color="auto"/>
        <w:left w:val="none" w:sz="0" w:space="0" w:color="auto"/>
        <w:bottom w:val="none" w:sz="0" w:space="0" w:color="auto"/>
        <w:right w:val="none" w:sz="0" w:space="0" w:color="auto"/>
      </w:divBdr>
    </w:div>
    <w:div w:id="435367322">
      <w:bodyDiv w:val="1"/>
      <w:marLeft w:val="0"/>
      <w:marRight w:val="0"/>
      <w:marTop w:val="0"/>
      <w:marBottom w:val="0"/>
      <w:divBdr>
        <w:top w:val="none" w:sz="0" w:space="0" w:color="auto"/>
        <w:left w:val="none" w:sz="0" w:space="0" w:color="auto"/>
        <w:bottom w:val="none" w:sz="0" w:space="0" w:color="auto"/>
        <w:right w:val="none" w:sz="0" w:space="0" w:color="auto"/>
      </w:divBdr>
    </w:div>
    <w:div w:id="435446736">
      <w:bodyDiv w:val="1"/>
      <w:marLeft w:val="0"/>
      <w:marRight w:val="0"/>
      <w:marTop w:val="0"/>
      <w:marBottom w:val="0"/>
      <w:divBdr>
        <w:top w:val="none" w:sz="0" w:space="0" w:color="auto"/>
        <w:left w:val="none" w:sz="0" w:space="0" w:color="auto"/>
        <w:bottom w:val="none" w:sz="0" w:space="0" w:color="auto"/>
        <w:right w:val="none" w:sz="0" w:space="0" w:color="auto"/>
      </w:divBdr>
    </w:div>
    <w:div w:id="435446974">
      <w:bodyDiv w:val="1"/>
      <w:marLeft w:val="0"/>
      <w:marRight w:val="0"/>
      <w:marTop w:val="0"/>
      <w:marBottom w:val="0"/>
      <w:divBdr>
        <w:top w:val="none" w:sz="0" w:space="0" w:color="auto"/>
        <w:left w:val="none" w:sz="0" w:space="0" w:color="auto"/>
        <w:bottom w:val="none" w:sz="0" w:space="0" w:color="auto"/>
        <w:right w:val="none" w:sz="0" w:space="0" w:color="auto"/>
      </w:divBdr>
    </w:div>
    <w:div w:id="435447494">
      <w:bodyDiv w:val="1"/>
      <w:marLeft w:val="0"/>
      <w:marRight w:val="0"/>
      <w:marTop w:val="0"/>
      <w:marBottom w:val="0"/>
      <w:divBdr>
        <w:top w:val="none" w:sz="0" w:space="0" w:color="auto"/>
        <w:left w:val="none" w:sz="0" w:space="0" w:color="auto"/>
        <w:bottom w:val="none" w:sz="0" w:space="0" w:color="auto"/>
        <w:right w:val="none" w:sz="0" w:space="0" w:color="auto"/>
      </w:divBdr>
    </w:div>
    <w:div w:id="435447768">
      <w:bodyDiv w:val="1"/>
      <w:marLeft w:val="0"/>
      <w:marRight w:val="0"/>
      <w:marTop w:val="0"/>
      <w:marBottom w:val="0"/>
      <w:divBdr>
        <w:top w:val="none" w:sz="0" w:space="0" w:color="auto"/>
        <w:left w:val="none" w:sz="0" w:space="0" w:color="auto"/>
        <w:bottom w:val="none" w:sz="0" w:space="0" w:color="auto"/>
        <w:right w:val="none" w:sz="0" w:space="0" w:color="auto"/>
      </w:divBdr>
    </w:div>
    <w:div w:id="435490997">
      <w:bodyDiv w:val="1"/>
      <w:marLeft w:val="0"/>
      <w:marRight w:val="0"/>
      <w:marTop w:val="0"/>
      <w:marBottom w:val="0"/>
      <w:divBdr>
        <w:top w:val="none" w:sz="0" w:space="0" w:color="auto"/>
        <w:left w:val="none" w:sz="0" w:space="0" w:color="auto"/>
        <w:bottom w:val="none" w:sz="0" w:space="0" w:color="auto"/>
        <w:right w:val="none" w:sz="0" w:space="0" w:color="auto"/>
      </w:divBdr>
    </w:div>
    <w:div w:id="435561955">
      <w:bodyDiv w:val="1"/>
      <w:marLeft w:val="0"/>
      <w:marRight w:val="0"/>
      <w:marTop w:val="0"/>
      <w:marBottom w:val="0"/>
      <w:divBdr>
        <w:top w:val="none" w:sz="0" w:space="0" w:color="auto"/>
        <w:left w:val="none" w:sz="0" w:space="0" w:color="auto"/>
        <w:bottom w:val="none" w:sz="0" w:space="0" w:color="auto"/>
        <w:right w:val="none" w:sz="0" w:space="0" w:color="auto"/>
      </w:divBdr>
    </w:div>
    <w:div w:id="435563989">
      <w:bodyDiv w:val="1"/>
      <w:marLeft w:val="0"/>
      <w:marRight w:val="0"/>
      <w:marTop w:val="0"/>
      <w:marBottom w:val="0"/>
      <w:divBdr>
        <w:top w:val="none" w:sz="0" w:space="0" w:color="auto"/>
        <w:left w:val="none" w:sz="0" w:space="0" w:color="auto"/>
        <w:bottom w:val="none" w:sz="0" w:space="0" w:color="auto"/>
        <w:right w:val="none" w:sz="0" w:space="0" w:color="auto"/>
      </w:divBdr>
    </w:div>
    <w:div w:id="435564867">
      <w:bodyDiv w:val="1"/>
      <w:marLeft w:val="0"/>
      <w:marRight w:val="0"/>
      <w:marTop w:val="0"/>
      <w:marBottom w:val="0"/>
      <w:divBdr>
        <w:top w:val="none" w:sz="0" w:space="0" w:color="auto"/>
        <w:left w:val="none" w:sz="0" w:space="0" w:color="auto"/>
        <w:bottom w:val="none" w:sz="0" w:space="0" w:color="auto"/>
        <w:right w:val="none" w:sz="0" w:space="0" w:color="auto"/>
      </w:divBdr>
    </w:div>
    <w:div w:id="435634383">
      <w:bodyDiv w:val="1"/>
      <w:marLeft w:val="0"/>
      <w:marRight w:val="0"/>
      <w:marTop w:val="0"/>
      <w:marBottom w:val="0"/>
      <w:divBdr>
        <w:top w:val="none" w:sz="0" w:space="0" w:color="auto"/>
        <w:left w:val="none" w:sz="0" w:space="0" w:color="auto"/>
        <w:bottom w:val="none" w:sz="0" w:space="0" w:color="auto"/>
        <w:right w:val="none" w:sz="0" w:space="0" w:color="auto"/>
      </w:divBdr>
    </w:div>
    <w:div w:id="435636205">
      <w:bodyDiv w:val="1"/>
      <w:marLeft w:val="0"/>
      <w:marRight w:val="0"/>
      <w:marTop w:val="0"/>
      <w:marBottom w:val="0"/>
      <w:divBdr>
        <w:top w:val="none" w:sz="0" w:space="0" w:color="auto"/>
        <w:left w:val="none" w:sz="0" w:space="0" w:color="auto"/>
        <w:bottom w:val="none" w:sz="0" w:space="0" w:color="auto"/>
        <w:right w:val="none" w:sz="0" w:space="0" w:color="auto"/>
      </w:divBdr>
    </w:div>
    <w:div w:id="435636313">
      <w:bodyDiv w:val="1"/>
      <w:marLeft w:val="0"/>
      <w:marRight w:val="0"/>
      <w:marTop w:val="0"/>
      <w:marBottom w:val="0"/>
      <w:divBdr>
        <w:top w:val="none" w:sz="0" w:space="0" w:color="auto"/>
        <w:left w:val="none" w:sz="0" w:space="0" w:color="auto"/>
        <w:bottom w:val="none" w:sz="0" w:space="0" w:color="auto"/>
        <w:right w:val="none" w:sz="0" w:space="0" w:color="auto"/>
      </w:divBdr>
    </w:div>
    <w:div w:id="435758142">
      <w:bodyDiv w:val="1"/>
      <w:marLeft w:val="0"/>
      <w:marRight w:val="0"/>
      <w:marTop w:val="0"/>
      <w:marBottom w:val="0"/>
      <w:divBdr>
        <w:top w:val="none" w:sz="0" w:space="0" w:color="auto"/>
        <w:left w:val="none" w:sz="0" w:space="0" w:color="auto"/>
        <w:bottom w:val="none" w:sz="0" w:space="0" w:color="auto"/>
        <w:right w:val="none" w:sz="0" w:space="0" w:color="auto"/>
      </w:divBdr>
    </w:div>
    <w:div w:id="435760052">
      <w:bodyDiv w:val="1"/>
      <w:marLeft w:val="0"/>
      <w:marRight w:val="0"/>
      <w:marTop w:val="0"/>
      <w:marBottom w:val="0"/>
      <w:divBdr>
        <w:top w:val="none" w:sz="0" w:space="0" w:color="auto"/>
        <w:left w:val="none" w:sz="0" w:space="0" w:color="auto"/>
        <w:bottom w:val="none" w:sz="0" w:space="0" w:color="auto"/>
        <w:right w:val="none" w:sz="0" w:space="0" w:color="auto"/>
      </w:divBdr>
    </w:div>
    <w:div w:id="435836080">
      <w:bodyDiv w:val="1"/>
      <w:marLeft w:val="0"/>
      <w:marRight w:val="0"/>
      <w:marTop w:val="0"/>
      <w:marBottom w:val="0"/>
      <w:divBdr>
        <w:top w:val="none" w:sz="0" w:space="0" w:color="auto"/>
        <w:left w:val="none" w:sz="0" w:space="0" w:color="auto"/>
        <w:bottom w:val="none" w:sz="0" w:space="0" w:color="auto"/>
        <w:right w:val="none" w:sz="0" w:space="0" w:color="auto"/>
      </w:divBdr>
    </w:div>
    <w:div w:id="435949453">
      <w:bodyDiv w:val="1"/>
      <w:marLeft w:val="0"/>
      <w:marRight w:val="0"/>
      <w:marTop w:val="0"/>
      <w:marBottom w:val="0"/>
      <w:divBdr>
        <w:top w:val="none" w:sz="0" w:space="0" w:color="auto"/>
        <w:left w:val="none" w:sz="0" w:space="0" w:color="auto"/>
        <w:bottom w:val="none" w:sz="0" w:space="0" w:color="auto"/>
        <w:right w:val="none" w:sz="0" w:space="0" w:color="auto"/>
      </w:divBdr>
    </w:div>
    <w:div w:id="435953670">
      <w:bodyDiv w:val="1"/>
      <w:marLeft w:val="0"/>
      <w:marRight w:val="0"/>
      <w:marTop w:val="0"/>
      <w:marBottom w:val="0"/>
      <w:divBdr>
        <w:top w:val="none" w:sz="0" w:space="0" w:color="auto"/>
        <w:left w:val="none" w:sz="0" w:space="0" w:color="auto"/>
        <w:bottom w:val="none" w:sz="0" w:space="0" w:color="auto"/>
        <w:right w:val="none" w:sz="0" w:space="0" w:color="auto"/>
      </w:divBdr>
    </w:div>
    <w:div w:id="436095843">
      <w:bodyDiv w:val="1"/>
      <w:marLeft w:val="0"/>
      <w:marRight w:val="0"/>
      <w:marTop w:val="0"/>
      <w:marBottom w:val="0"/>
      <w:divBdr>
        <w:top w:val="none" w:sz="0" w:space="0" w:color="auto"/>
        <w:left w:val="none" w:sz="0" w:space="0" w:color="auto"/>
        <w:bottom w:val="none" w:sz="0" w:space="0" w:color="auto"/>
        <w:right w:val="none" w:sz="0" w:space="0" w:color="auto"/>
      </w:divBdr>
    </w:div>
    <w:div w:id="436171625">
      <w:bodyDiv w:val="1"/>
      <w:marLeft w:val="0"/>
      <w:marRight w:val="0"/>
      <w:marTop w:val="0"/>
      <w:marBottom w:val="0"/>
      <w:divBdr>
        <w:top w:val="none" w:sz="0" w:space="0" w:color="auto"/>
        <w:left w:val="none" w:sz="0" w:space="0" w:color="auto"/>
        <w:bottom w:val="none" w:sz="0" w:space="0" w:color="auto"/>
        <w:right w:val="none" w:sz="0" w:space="0" w:color="auto"/>
      </w:divBdr>
    </w:div>
    <w:div w:id="436222286">
      <w:bodyDiv w:val="1"/>
      <w:marLeft w:val="0"/>
      <w:marRight w:val="0"/>
      <w:marTop w:val="0"/>
      <w:marBottom w:val="0"/>
      <w:divBdr>
        <w:top w:val="none" w:sz="0" w:space="0" w:color="auto"/>
        <w:left w:val="none" w:sz="0" w:space="0" w:color="auto"/>
        <w:bottom w:val="none" w:sz="0" w:space="0" w:color="auto"/>
        <w:right w:val="none" w:sz="0" w:space="0" w:color="auto"/>
      </w:divBdr>
    </w:div>
    <w:div w:id="436291846">
      <w:bodyDiv w:val="1"/>
      <w:marLeft w:val="0"/>
      <w:marRight w:val="0"/>
      <w:marTop w:val="0"/>
      <w:marBottom w:val="0"/>
      <w:divBdr>
        <w:top w:val="none" w:sz="0" w:space="0" w:color="auto"/>
        <w:left w:val="none" w:sz="0" w:space="0" w:color="auto"/>
        <w:bottom w:val="none" w:sz="0" w:space="0" w:color="auto"/>
        <w:right w:val="none" w:sz="0" w:space="0" w:color="auto"/>
      </w:divBdr>
    </w:div>
    <w:div w:id="436367948">
      <w:bodyDiv w:val="1"/>
      <w:marLeft w:val="0"/>
      <w:marRight w:val="0"/>
      <w:marTop w:val="0"/>
      <w:marBottom w:val="0"/>
      <w:divBdr>
        <w:top w:val="none" w:sz="0" w:space="0" w:color="auto"/>
        <w:left w:val="none" w:sz="0" w:space="0" w:color="auto"/>
        <w:bottom w:val="none" w:sz="0" w:space="0" w:color="auto"/>
        <w:right w:val="none" w:sz="0" w:space="0" w:color="auto"/>
      </w:divBdr>
    </w:div>
    <w:div w:id="436607494">
      <w:bodyDiv w:val="1"/>
      <w:marLeft w:val="0"/>
      <w:marRight w:val="0"/>
      <w:marTop w:val="0"/>
      <w:marBottom w:val="0"/>
      <w:divBdr>
        <w:top w:val="none" w:sz="0" w:space="0" w:color="auto"/>
        <w:left w:val="none" w:sz="0" w:space="0" w:color="auto"/>
        <w:bottom w:val="none" w:sz="0" w:space="0" w:color="auto"/>
        <w:right w:val="none" w:sz="0" w:space="0" w:color="auto"/>
      </w:divBdr>
    </w:div>
    <w:div w:id="436679495">
      <w:bodyDiv w:val="1"/>
      <w:marLeft w:val="0"/>
      <w:marRight w:val="0"/>
      <w:marTop w:val="0"/>
      <w:marBottom w:val="0"/>
      <w:divBdr>
        <w:top w:val="none" w:sz="0" w:space="0" w:color="auto"/>
        <w:left w:val="none" w:sz="0" w:space="0" w:color="auto"/>
        <w:bottom w:val="none" w:sz="0" w:space="0" w:color="auto"/>
        <w:right w:val="none" w:sz="0" w:space="0" w:color="auto"/>
      </w:divBdr>
    </w:div>
    <w:div w:id="436800679">
      <w:bodyDiv w:val="1"/>
      <w:marLeft w:val="0"/>
      <w:marRight w:val="0"/>
      <w:marTop w:val="0"/>
      <w:marBottom w:val="0"/>
      <w:divBdr>
        <w:top w:val="none" w:sz="0" w:space="0" w:color="auto"/>
        <w:left w:val="none" w:sz="0" w:space="0" w:color="auto"/>
        <w:bottom w:val="none" w:sz="0" w:space="0" w:color="auto"/>
        <w:right w:val="none" w:sz="0" w:space="0" w:color="auto"/>
      </w:divBdr>
    </w:div>
    <w:div w:id="436873669">
      <w:bodyDiv w:val="1"/>
      <w:marLeft w:val="0"/>
      <w:marRight w:val="0"/>
      <w:marTop w:val="0"/>
      <w:marBottom w:val="0"/>
      <w:divBdr>
        <w:top w:val="none" w:sz="0" w:space="0" w:color="auto"/>
        <w:left w:val="none" w:sz="0" w:space="0" w:color="auto"/>
        <w:bottom w:val="none" w:sz="0" w:space="0" w:color="auto"/>
        <w:right w:val="none" w:sz="0" w:space="0" w:color="auto"/>
      </w:divBdr>
    </w:div>
    <w:div w:id="437020271">
      <w:bodyDiv w:val="1"/>
      <w:marLeft w:val="0"/>
      <w:marRight w:val="0"/>
      <w:marTop w:val="0"/>
      <w:marBottom w:val="0"/>
      <w:divBdr>
        <w:top w:val="none" w:sz="0" w:space="0" w:color="auto"/>
        <w:left w:val="none" w:sz="0" w:space="0" w:color="auto"/>
        <w:bottom w:val="none" w:sz="0" w:space="0" w:color="auto"/>
        <w:right w:val="none" w:sz="0" w:space="0" w:color="auto"/>
      </w:divBdr>
    </w:div>
    <w:div w:id="437219553">
      <w:bodyDiv w:val="1"/>
      <w:marLeft w:val="0"/>
      <w:marRight w:val="0"/>
      <w:marTop w:val="0"/>
      <w:marBottom w:val="0"/>
      <w:divBdr>
        <w:top w:val="none" w:sz="0" w:space="0" w:color="auto"/>
        <w:left w:val="none" w:sz="0" w:space="0" w:color="auto"/>
        <w:bottom w:val="none" w:sz="0" w:space="0" w:color="auto"/>
        <w:right w:val="none" w:sz="0" w:space="0" w:color="auto"/>
      </w:divBdr>
    </w:div>
    <w:div w:id="437221181">
      <w:bodyDiv w:val="1"/>
      <w:marLeft w:val="0"/>
      <w:marRight w:val="0"/>
      <w:marTop w:val="0"/>
      <w:marBottom w:val="0"/>
      <w:divBdr>
        <w:top w:val="none" w:sz="0" w:space="0" w:color="auto"/>
        <w:left w:val="none" w:sz="0" w:space="0" w:color="auto"/>
        <w:bottom w:val="none" w:sz="0" w:space="0" w:color="auto"/>
        <w:right w:val="none" w:sz="0" w:space="0" w:color="auto"/>
      </w:divBdr>
    </w:div>
    <w:div w:id="437262083">
      <w:bodyDiv w:val="1"/>
      <w:marLeft w:val="0"/>
      <w:marRight w:val="0"/>
      <w:marTop w:val="0"/>
      <w:marBottom w:val="0"/>
      <w:divBdr>
        <w:top w:val="none" w:sz="0" w:space="0" w:color="auto"/>
        <w:left w:val="none" w:sz="0" w:space="0" w:color="auto"/>
        <w:bottom w:val="none" w:sz="0" w:space="0" w:color="auto"/>
        <w:right w:val="none" w:sz="0" w:space="0" w:color="auto"/>
      </w:divBdr>
    </w:div>
    <w:div w:id="437262628">
      <w:bodyDiv w:val="1"/>
      <w:marLeft w:val="0"/>
      <w:marRight w:val="0"/>
      <w:marTop w:val="0"/>
      <w:marBottom w:val="0"/>
      <w:divBdr>
        <w:top w:val="none" w:sz="0" w:space="0" w:color="auto"/>
        <w:left w:val="none" w:sz="0" w:space="0" w:color="auto"/>
        <w:bottom w:val="none" w:sz="0" w:space="0" w:color="auto"/>
        <w:right w:val="none" w:sz="0" w:space="0" w:color="auto"/>
      </w:divBdr>
    </w:div>
    <w:div w:id="437330396">
      <w:bodyDiv w:val="1"/>
      <w:marLeft w:val="0"/>
      <w:marRight w:val="0"/>
      <w:marTop w:val="0"/>
      <w:marBottom w:val="0"/>
      <w:divBdr>
        <w:top w:val="none" w:sz="0" w:space="0" w:color="auto"/>
        <w:left w:val="none" w:sz="0" w:space="0" w:color="auto"/>
        <w:bottom w:val="none" w:sz="0" w:space="0" w:color="auto"/>
        <w:right w:val="none" w:sz="0" w:space="0" w:color="auto"/>
      </w:divBdr>
    </w:div>
    <w:div w:id="437408376">
      <w:bodyDiv w:val="1"/>
      <w:marLeft w:val="0"/>
      <w:marRight w:val="0"/>
      <w:marTop w:val="0"/>
      <w:marBottom w:val="0"/>
      <w:divBdr>
        <w:top w:val="none" w:sz="0" w:space="0" w:color="auto"/>
        <w:left w:val="none" w:sz="0" w:space="0" w:color="auto"/>
        <w:bottom w:val="none" w:sz="0" w:space="0" w:color="auto"/>
        <w:right w:val="none" w:sz="0" w:space="0" w:color="auto"/>
      </w:divBdr>
    </w:div>
    <w:div w:id="437457245">
      <w:bodyDiv w:val="1"/>
      <w:marLeft w:val="0"/>
      <w:marRight w:val="0"/>
      <w:marTop w:val="0"/>
      <w:marBottom w:val="0"/>
      <w:divBdr>
        <w:top w:val="none" w:sz="0" w:space="0" w:color="auto"/>
        <w:left w:val="none" w:sz="0" w:space="0" w:color="auto"/>
        <w:bottom w:val="none" w:sz="0" w:space="0" w:color="auto"/>
        <w:right w:val="none" w:sz="0" w:space="0" w:color="auto"/>
      </w:divBdr>
    </w:div>
    <w:div w:id="437485489">
      <w:bodyDiv w:val="1"/>
      <w:marLeft w:val="0"/>
      <w:marRight w:val="0"/>
      <w:marTop w:val="0"/>
      <w:marBottom w:val="0"/>
      <w:divBdr>
        <w:top w:val="none" w:sz="0" w:space="0" w:color="auto"/>
        <w:left w:val="none" w:sz="0" w:space="0" w:color="auto"/>
        <w:bottom w:val="none" w:sz="0" w:space="0" w:color="auto"/>
        <w:right w:val="none" w:sz="0" w:space="0" w:color="auto"/>
      </w:divBdr>
    </w:div>
    <w:div w:id="437599156">
      <w:bodyDiv w:val="1"/>
      <w:marLeft w:val="0"/>
      <w:marRight w:val="0"/>
      <w:marTop w:val="0"/>
      <w:marBottom w:val="0"/>
      <w:divBdr>
        <w:top w:val="none" w:sz="0" w:space="0" w:color="auto"/>
        <w:left w:val="none" w:sz="0" w:space="0" w:color="auto"/>
        <w:bottom w:val="none" w:sz="0" w:space="0" w:color="auto"/>
        <w:right w:val="none" w:sz="0" w:space="0" w:color="auto"/>
      </w:divBdr>
    </w:div>
    <w:div w:id="437606811">
      <w:bodyDiv w:val="1"/>
      <w:marLeft w:val="0"/>
      <w:marRight w:val="0"/>
      <w:marTop w:val="0"/>
      <w:marBottom w:val="0"/>
      <w:divBdr>
        <w:top w:val="none" w:sz="0" w:space="0" w:color="auto"/>
        <w:left w:val="none" w:sz="0" w:space="0" w:color="auto"/>
        <w:bottom w:val="none" w:sz="0" w:space="0" w:color="auto"/>
        <w:right w:val="none" w:sz="0" w:space="0" w:color="auto"/>
      </w:divBdr>
    </w:div>
    <w:div w:id="437868198">
      <w:bodyDiv w:val="1"/>
      <w:marLeft w:val="0"/>
      <w:marRight w:val="0"/>
      <w:marTop w:val="0"/>
      <w:marBottom w:val="0"/>
      <w:divBdr>
        <w:top w:val="none" w:sz="0" w:space="0" w:color="auto"/>
        <w:left w:val="none" w:sz="0" w:space="0" w:color="auto"/>
        <w:bottom w:val="none" w:sz="0" w:space="0" w:color="auto"/>
        <w:right w:val="none" w:sz="0" w:space="0" w:color="auto"/>
      </w:divBdr>
    </w:div>
    <w:div w:id="437915207">
      <w:bodyDiv w:val="1"/>
      <w:marLeft w:val="0"/>
      <w:marRight w:val="0"/>
      <w:marTop w:val="0"/>
      <w:marBottom w:val="0"/>
      <w:divBdr>
        <w:top w:val="none" w:sz="0" w:space="0" w:color="auto"/>
        <w:left w:val="none" w:sz="0" w:space="0" w:color="auto"/>
        <w:bottom w:val="none" w:sz="0" w:space="0" w:color="auto"/>
        <w:right w:val="none" w:sz="0" w:space="0" w:color="auto"/>
      </w:divBdr>
    </w:div>
    <w:div w:id="437985654">
      <w:bodyDiv w:val="1"/>
      <w:marLeft w:val="0"/>
      <w:marRight w:val="0"/>
      <w:marTop w:val="0"/>
      <w:marBottom w:val="0"/>
      <w:divBdr>
        <w:top w:val="none" w:sz="0" w:space="0" w:color="auto"/>
        <w:left w:val="none" w:sz="0" w:space="0" w:color="auto"/>
        <w:bottom w:val="none" w:sz="0" w:space="0" w:color="auto"/>
        <w:right w:val="none" w:sz="0" w:space="0" w:color="auto"/>
      </w:divBdr>
    </w:div>
    <w:div w:id="437987997">
      <w:bodyDiv w:val="1"/>
      <w:marLeft w:val="0"/>
      <w:marRight w:val="0"/>
      <w:marTop w:val="0"/>
      <w:marBottom w:val="0"/>
      <w:divBdr>
        <w:top w:val="none" w:sz="0" w:space="0" w:color="auto"/>
        <w:left w:val="none" w:sz="0" w:space="0" w:color="auto"/>
        <w:bottom w:val="none" w:sz="0" w:space="0" w:color="auto"/>
        <w:right w:val="none" w:sz="0" w:space="0" w:color="auto"/>
      </w:divBdr>
    </w:div>
    <w:div w:id="437988124">
      <w:bodyDiv w:val="1"/>
      <w:marLeft w:val="0"/>
      <w:marRight w:val="0"/>
      <w:marTop w:val="0"/>
      <w:marBottom w:val="0"/>
      <w:divBdr>
        <w:top w:val="none" w:sz="0" w:space="0" w:color="auto"/>
        <w:left w:val="none" w:sz="0" w:space="0" w:color="auto"/>
        <w:bottom w:val="none" w:sz="0" w:space="0" w:color="auto"/>
        <w:right w:val="none" w:sz="0" w:space="0" w:color="auto"/>
      </w:divBdr>
    </w:div>
    <w:div w:id="437989482">
      <w:bodyDiv w:val="1"/>
      <w:marLeft w:val="0"/>
      <w:marRight w:val="0"/>
      <w:marTop w:val="0"/>
      <w:marBottom w:val="0"/>
      <w:divBdr>
        <w:top w:val="none" w:sz="0" w:space="0" w:color="auto"/>
        <w:left w:val="none" w:sz="0" w:space="0" w:color="auto"/>
        <w:bottom w:val="none" w:sz="0" w:space="0" w:color="auto"/>
        <w:right w:val="none" w:sz="0" w:space="0" w:color="auto"/>
      </w:divBdr>
    </w:div>
    <w:div w:id="437990235">
      <w:bodyDiv w:val="1"/>
      <w:marLeft w:val="0"/>
      <w:marRight w:val="0"/>
      <w:marTop w:val="0"/>
      <w:marBottom w:val="0"/>
      <w:divBdr>
        <w:top w:val="none" w:sz="0" w:space="0" w:color="auto"/>
        <w:left w:val="none" w:sz="0" w:space="0" w:color="auto"/>
        <w:bottom w:val="none" w:sz="0" w:space="0" w:color="auto"/>
        <w:right w:val="none" w:sz="0" w:space="0" w:color="auto"/>
      </w:divBdr>
    </w:div>
    <w:div w:id="438065411">
      <w:bodyDiv w:val="1"/>
      <w:marLeft w:val="0"/>
      <w:marRight w:val="0"/>
      <w:marTop w:val="0"/>
      <w:marBottom w:val="0"/>
      <w:divBdr>
        <w:top w:val="none" w:sz="0" w:space="0" w:color="auto"/>
        <w:left w:val="none" w:sz="0" w:space="0" w:color="auto"/>
        <w:bottom w:val="none" w:sz="0" w:space="0" w:color="auto"/>
        <w:right w:val="none" w:sz="0" w:space="0" w:color="auto"/>
      </w:divBdr>
    </w:div>
    <w:div w:id="438065640">
      <w:bodyDiv w:val="1"/>
      <w:marLeft w:val="0"/>
      <w:marRight w:val="0"/>
      <w:marTop w:val="0"/>
      <w:marBottom w:val="0"/>
      <w:divBdr>
        <w:top w:val="none" w:sz="0" w:space="0" w:color="auto"/>
        <w:left w:val="none" w:sz="0" w:space="0" w:color="auto"/>
        <w:bottom w:val="none" w:sz="0" w:space="0" w:color="auto"/>
        <w:right w:val="none" w:sz="0" w:space="0" w:color="auto"/>
      </w:divBdr>
    </w:div>
    <w:div w:id="438136424">
      <w:bodyDiv w:val="1"/>
      <w:marLeft w:val="0"/>
      <w:marRight w:val="0"/>
      <w:marTop w:val="0"/>
      <w:marBottom w:val="0"/>
      <w:divBdr>
        <w:top w:val="none" w:sz="0" w:space="0" w:color="auto"/>
        <w:left w:val="none" w:sz="0" w:space="0" w:color="auto"/>
        <w:bottom w:val="none" w:sz="0" w:space="0" w:color="auto"/>
        <w:right w:val="none" w:sz="0" w:space="0" w:color="auto"/>
      </w:divBdr>
    </w:div>
    <w:div w:id="438185700">
      <w:bodyDiv w:val="1"/>
      <w:marLeft w:val="0"/>
      <w:marRight w:val="0"/>
      <w:marTop w:val="0"/>
      <w:marBottom w:val="0"/>
      <w:divBdr>
        <w:top w:val="none" w:sz="0" w:space="0" w:color="auto"/>
        <w:left w:val="none" w:sz="0" w:space="0" w:color="auto"/>
        <w:bottom w:val="none" w:sz="0" w:space="0" w:color="auto"/>
        <w:right w:val="none" w:sz="0" w:space="0" w:color="auto"/>
      </w:divBdr>
    </w:div>
    <w:div w:id="438260455">
      <w:bodyDiv w:val="1"/>
      <w:marLeft w:val="0"/>
      <w:marRight w:val="0"/>
      <w:marTop w:val="0"/>
      <w:marBottom w:val="0"/>
      <w:divBdr>
        <w:top w:val="none" w:sz="0" w:space="0" w:color="auto"/>
        <w:left w:val="none" w:sz="0" w:space="0" w:color="auto"/>
        <w:bottom w:val="none" w:sz="0" w:space="0" w:color="auto"/>
        <w:right w:val="none" w:sz="0" w:space="0" w:color="auto"/>
      </w:divBdr>
    </w:div>
    <w:div w:id="438304856">
      <w:bodyDiv w:val="1"/>
      <w:marLeft w:val="0"/>
      <w:marRight w:val="0"/>
      <w:marTop w:val="0"/>
      <w:marBottom w:val="0"/>
      <w:divBdr>
        <w:top w:val="none" w:sz="0" w:space="0" w:color="auto"/>
        <w:left w:val="none" w:sz="0" w:space="0" w:color="auto"/>
        <w:bottom w:val="none" w:sz="0" w:space="0" w:color="auto"/>
        <w:right w:val="none" w:sz="0" w:space="0" w:color="auto"/>
      </w:divBdr>
    </w:div>
    <w:div w:id="438329788">
      <w:bodyDiv w:val="1"/>
      <w:marLeft w:val="0"/>
      <w:marRight w:val="0"/>
      <w:marTop w:val="0"/>
      <w:marBottom w:val="0"/>
      <w:divBdr>
        <w:top w:val="none" w:sz="0" w:space="0" w:color="auto"/>
        <w:left w:val="none" w:sz="0" w:space="0" w:color="auto"/>
        <w:bottom w:val="none" w:sz="0" w:space="0" w:color="auto"/>
        <w:right w:val="none" w:sz="0" w:space="0" w:color="auto"/>
      </w:divBdr>
    </w:div>
    <w:div w:id="438332399">
      <w:bodyDiv w:val="1"/>
      <w:marLeft w:val="0"/>
      <w:marRight w:val="0"/>
      <w:marTop w:val="0"/>
      <w:marBottom w:val="0"/>
      <w:divBdr>
        <w:top w:val="none" w:sz="0" w:space="0" w:color="auto"/>
        <w:left w:val="none" w:sz="0" w:space="0" w:color="auto"/>
        <w:bottom w:val="none" w:sz="0" w:space="0" w:color="auto"/>
        <w:right w:val="none" w:sz="0" w:space="0" w:color="auto"/>
      </w:divBdr>
    </w:div>
    <w:div w:id="438375309">
      <w:bodyDiv w:val="1"/>
      <w:marLeft w:val="0"/>
      <w:marRight w:val="0"/>
      <w:marTop w:val="0"/>
      <w:marBottom w:val="0"/>
      <w:divBdr>
        <w:top w:val="none" w:sz="0" w:space="0" w:color="auto"/>
        <w:left w:val="none" w:sz="0" w:space="0" w:color="auto"/>
        <w:bottom w:val="none" w:sz="0" w:space="0" w:color="auto"/>
        <w:right w:val="none" w:sz="0" w:space="0" w:color="auto"/>
      </w:divBdr>
    </w:div>
    <w:div w:id="438448894">
      <w:bodyDiv w:val="1"/>
      <w:marLeft w:val="0"/>
      <w:marRight w:val="0"/>
      <w:marTop w:val="0"/>
      <w:marBottom w:val="0"/>
      <w:divBdr>
        <w:top w:val="none" w:sz="0" w:space="0" w:color="auto"/>
        <w:left w:val="none" w:sz="0" w:space="0" w:color="auto"/>
        <w:bottom w:val="none" w:sz="0" w:space="0" w:color="auto"/>
        <w:right w:val="none" w:sz="0" w:space="0" w:color="auto"/>
      </w:divBdr>
    </w:div>
    <w:div w:id="438454693">
      <w:bodyDiv w:val="1"/>
      <w:marLeft w:val="0"/>
      <w:marRight w:val="0"/>
      <w:marTop w:val="0"/>
      <w:marBottom w:val="0"/>
      <w:divBdr>
        <w:top w:val="none" w:sz="0" w:space="0" w:color="auto"/>
        <w:left w:val="none" w:sz="0" w:space="0" w:color="auto"/>
        <w:bottom w:val="none" w:sz="0" w:space="0" w:color="auto"/>
        <w:right w:val="none" w:sz="0" w:space="0" w:color="auto"/>
      </w:divBdr>
    </w:div>
    <w:div w:id="438569327">
      <w:bodyDiv w:val="1"/>
      <w:marLeft w:val="0"/>
      <w:marRight w:val="0"/>
      <w:marTop w:val="0"/>
      <w:marBottom w:val="0"/>
      <w:divBdr>
        <w:top w:val="none" w:sz="0" w:space="0" w:color="auto"/>
        <w:left w:val="none" w:sz="0" w:space="0" w:color="auto"/>
        <w:bottom w:val="none" w:sz="0" w:space="0" w:color="auto"/>
        <w:right w:val="none" w:sz="0" w:space="0" w:color="auto"/>
      </w:divBdr>
    </w:div>
    <w:div w:id="438599282">
      <w:bodyDiv w:val="1"/>
      <w:marLeft w:val="0"/>
      <w:marRight w:val="0"/>
      <w:marTop w:val="0"/>
      <w:marBottom w:val="0"/>
      <w:divBdr>
        <w:top w:val="none" w:sz="0" w:space="0" w:color="auto"/>
        <w:left w:val="none" w:sz="0" w:space="0" w:color="auto"/>
        <w:bottom w:val="none" w:sz="0" w:space="0" w:color="auto"/>
        <w:right w:val="none" w:sz="0" w:space="0" w:color="auto"/>
      </w:divBdr>
    </w:div>
    <w:div w:id="438723353">
      <w:bodyDiv w:val="1"/>
      <w:marLeft w:val="0"/>
      <w:marRight w:val="0"/>
      <w:marTop w:val="0"/>
      <w:marBottom w:val="0"/>
      <w:divBdr>
        <w:top w:val="none" w:sz="0" w:space="0" w:color="auto"/>
        <w:left w:val="none" w:sz="0" w:space="0" w:color="auto"/>
        <w:bottom w:val="none" w:sz="0" w:space="0" w:color="auto"/>
        <w:right w:val="none" w:sz="0" w:space="0" w:color="auto"/>
      </w:divBdr>
    </w:div>
    <w:div w:id="438792150">
      <w:bodyDiv w:val="1"/>
      <w:marLeft w:val="0"/>
      <w:marRight w:val="0"/>
      <w:marTop w:val="0"/>
      <w:marBottom w:val="0"/>
      <w:divBdr>
        <w:top w:val="none" w:sz="0" w:space="0" w:color="auto"/>
        <w:left w:val="none" w:sz="0" w:space="0" w:color="auto"/>
        <w:bottom w:val="none" w:sz="0" w:space="0" w:color="auto"/>
        <w:right w:val="none" w:sz="0" w:space="0" w:color="auto"/>
      </w:divBdr>
    </w:div>
    <w:div w:id="438912184">
      <w:bodyDiv w:val="1"/>
      <w:marLeft w:val="0"/>
      <w:marRight w:val="0"/>
      <w:marTop w:val="0"/>
      <w:marBottom w:val="0"/>
      <w:divBdr>
        <w:top w:val="none" w:sz="0" w:space="0" w:color="auto"/>
        <w:left w:val="none" w:sz="0" w:space="0" w:color="auto"/>
        <w:bottom w:val="none" w:sz="0" w:space="0" w:color="auto"/>
        <w:right w:val="none" w:sz="0" w:space="0" w:color="auto"/>
      </w:divBdr>
    </w:div>
    <w:div w:id="439027987">
      <w:bodyDiv w:val="1"/>
      <w:marLeft w:val="0"/>
      <w:marRight w:val="0"/>
      <w:marTop w:val="0"/>
      <w:marBottom w:val="0"/>
      <w:divBdr>
        <w:top w:val="none" w:sz="0" w:space="0" w:color="auto"/>
        <w:left w:val="none" w:sz="0" w:space="0" w:color="auto"/>
        <w:bottom w:val="none" w:sz="0" w:space="0" w:color="auto"/>
        <w:right w:val="none" w:sz="0" w:space="0" w:color="auto"/>
      </w:divBdr>
    </w:div>
    <w:div w:id="439029554">
      <w:bodyDiv w:val="1"/>
      <w:marLeft w:val="0"/>
      <w:marRight w:val="0"/>
      <w:marTop w:val="0"/>
      <w:marBottom w:val="0"/>
      <w:divBdr>
        <w:top w:val="none" w:sz="0" w:space="0" w:color="auto"/>
        <w:left w:val="none" w:sz="0" w:space="0" w:color="auto"/>
        <w:bottom w:val="none" w:sz="0" w:space="0" w:color="auto"/>
        <w:right w:val="none" w:sz="0" w:space="0" w:color="auto"/>
      </w:divBdr>
    </w:div>
    <w:div w:id="439029707">
      <w:bodyDiv w:val="1"/>
      <w:marLeft w:val="0"/>
      <w:marRight w:val="0"/>
      <w:marTop w:val="0"/>
      <w:marBottom w:val="0"/>
      <w:divBdr>
        <w:top w:val="none" w:sz="0" w:space="0" w:color="auto"/>
        <w:left w:val="none" w:sz="0" w:space="0" w:color="auto"/>
        <w:bottom w:val="none" w:sz="0" w:space="0" w:color="auto"/>
        <w:right w:val="none" w:sz="0" w:space="0" w:color="auto"/>
      </w:divBdr>
    </w:div>
    <w:div w:id="439030867">
      <w:bodyDiv w:val="1"/>
      <w:marLeft w:val="0"/>
      <w:marRight w:val="0"/>
      <w:marTop w:val="0"/>
      <w:marBottom w:val="0"/>
      <w:divBdr>
        <w:top w:val="none" w:sz="0" w:space="0" w:color="auto"/>
        <w:left w:val="none" w:sz="0" w:space="0" w:color="auto"/>
        <w:bottom w:val="none" w:sz="0" w:space="0" w:color="auto"/>
        <w:right w:val="none" w:sz="0" w:space="0" w:color="auto"/>
      </w:divBdr>
    </w:div>
    <w:div w:id="439108377">
      <w:bodyDiv w:val="1"/>
      <w:marLeft w:val="0"/>
      <w:marRight w:val="0"/>
      <w:marTop w:val="0"/>
      <w:marBottom w:val="0"/>
      <w:divBdr>
        <w:top w:val="none" w:sz="0" w:space="0" w:color="auto"/>
        <w:left w:val="none" w:sz="0" w:space="0" w:color="auto"/>
        <w:bottom w:val="none" w:sz="0" w:space="0" w:color="auto"/>
        <w:right w:val="none" w:sz="0" w:space="0" w:color="auto"/>
      </w:divBdr>
    </w:div>
    <w:div w:id="439181809">
      <w:bodyDiv w:val="1"/>
      <w:marLeft w:val="0"/>
      <w:marRight w:val="0"/>
      <w:marTop w:val="0"/>
      <w:marBottom w:val="0"/>
      <w:divBdr>
        <w:top w:val="none" w:sz="0" w:space="0" w:color="auto"/>
        <w:left w:val="none" w:sz="0" w:space="0" w:color="auto"/>
        <w:bottom w:val="none" w:sz="0" w:space="0" w:color="auto"/>
        <w:right w:val="none" w:sz="0" w:space="0" w:color="auto"/>
      </w:divBdr>
    </w:div>
    <w:div w:id="439303723">
      <w:bodyDiv w:val="1"/>
      <w:marLeft w:val="0"/>
      <w:marRight w:val="0"/>
      <w:marTop w:val="0"/>
      <w:marBottom w:val="0"/>
      <w:divBdr>
        <w:top w:val="none" w:sz="0" w:space="0" w:color="auto"/>
        <w:left w:val="none" w:sz="0" w:space="0" w:color="auto"/>
        <w:bottom w:val="none" w:sz="0" w:space="0" w:color="auto"/>
        <w:right w:val="none" w:sz="0" w:space="0" w:color="auto"/>
      </w:divBdr>
    </w:div>
    <w:div w:id="439378138">
      <w:bodyDiv w:val="1"/>
      <w:marLeft w:val="0"/>
      <w:marRight w:val="0"/>
      <w:marTop w:val="0"/>
      <w:marBottom w:val="0"/>
      <w:divBdr>
        <w:top w:val="none" w:sz="0" w:space="0" w:color="auto"/>
        <w:left w:val="none" w:sz="0" w:space="0" w:color="auto"/>
        <w:bottom w:val="none" w:sz="0" w:space="0" w:color="auto"/>
        <w:right w:val="none" w:sz="0" w:space="0" w:color="auto"/>
      </w:divBdr>
    </w:div>
    <w:div w:id="439421757">
      <w:bodyDiv w:val="1"/>
      <w:marLeft w:val="0"/>
      <w:marRight w:val="0"/>
      <w:marTop w:val="0"/>
      <w:marBottom w:val="0"/>
      <w:divBdr>
        <w:top w:val="none" w:sz="0" w:space="0" w:color="auto"/>
        <w:left w:val="none" w:sz="0" w:space="0" w:color="auto"/>
        <w:bottom w:val="none" w:sz="0" w:space="0" w:color="auto"/>
        <w:right w:val="none" w:sz="0" w:space="0" w:color="auto"/>
      </w:divBdr>
    </w:div>
    <w:div w:id="439451193">
      <w:bodyDiv w:val="1"/>
      <w:marLeft w:val="0"/>
      <w:marRight w:val="0"/>
      <w:marTop w:val="0"/>
      <w:marBottom w:val="0"/>
      <w:divBdr>
        <w:top w:val="none" w:sz="0" w:space="0" w:color="auto"/>
        <w:left w:val="none" w:sz="0" w:space="0" w:color="auto"/>
        <w:bottom w:val="none" w:sz="0" w:space="0" w:color="auto"/>
        <w:right w:val="none" w:sz="0" w:space="0" w:color="auto"/>
      </w:divBdr>
    </w:div>
    <w:div w:id="439567797">
      <w:bodyDiv w:val="1"/>
      <w:marLeft w:val="0"/>
      <w:marRight w:val="0"/>
      <w:marTop w:val="0"/>
      <w:marBottom w:val="0"/>
      <w:divBdr>
        <w:top w:val="none" w:sz="0" w:space="0" w:color="auto"/>
        <w:left w:val="none" w:sz="0" w:space="0" w:color="auto"/>
        <w:bottom w:val="none" w:sz="0" w:space="0" w:color="auto"/>
        <w:right w:val="none" w:sz="0" w:space="0" w:color="auto"/>
      </w:divBdr>
    </w:div>
    <w:div w:id="439837709">
      <w:bodyDiv w:val="1"/>
      <w:marLeft w:val="0"/>
      <w:marRight w:val="0"/>
      <w:marTop w:val="0"/>
      <w:marBottom w:val="0"/>
      <w:divBdr>
        <w:top w:val="none" w:sz="0" w:space="0" w:color="auto"/>
        <w:left w:val="none" w:sz="0" w:space="0" w:color="auto"/>
        <w:bottom w:val="none" w:sz="0" w:space="0" w:color="auto"/>
        <w:right w:val="none" w:sz="0" w:space="0" w:color="auto"/>
      </w:divBdr>
    </w:div>
    <w:div w:id="439838424">
      <w:bodyDiv w:val="1"/>
      <w:marLeft w:val="0"/>
      <w:marRight w:val="0"/>
      <w:marTop w:val="0"/>
      <w:marBottom w:val="0"/>
      <w:divBdr>
        <w:top w:val="none" w:sz="0" w:space="0" w:color="auto"/>
        <w:left w:val="none" w:sz="0" w:space="0" w:color="auto"/>
        <w:bottom w:val="none" w:sz="0" w:space="0" w:color="auto"/>
        <w:right w:val="none" w:sz="0" w:space="0" w:color="auto"/>
      </w:divBdr>
    </w:div>
    <w:div w:id="439883365">
      <w:bodyDiv w:val="1"/>
      <w:marLeft w:val="0"/>
      <w:marRight w:val="0"/>
      <w:marTop w:val="0"/>
      <w:marBottom w:val="0"/>
      <w:divBdr>
        <w:top w:val="none" w:sz="0" w:space="0" w:color="auto"/>
        <w:left w:val="none" w:sz="0" w:space="0" w:color="auto"/>
        <w:bottom w:val="none" w:sz="0" w:space="0" w:color="auto"/>
        <w:right w:val="none" w:sz="0" w:space="0" w:color="auto"/>
      </w:divBdr>
    </w:div>
    <w:div w:id="440104054">
      <w:bodyDiv w:val="1"/>
      <w:marLeft w:val="0"/>
      <w:marRight w:val="0"/>
      <w:marTop w:val="0"/>
      <w:marBottom w:val="0"/>
      <w:divBdr>
        <w:top w:val="none" w:sz="0" w:space="0" w:color="auto"/>
        <w:left w:val="none" w:sz="0" w:space="0" w:color="auto"/>
        <w:bottom w:val="none" w:sz="0" w:space="0" w:color="auto"/>
        <w:right w:val="none" w:sz="0" w:space="0" w:color="auto"/>
      </w:divBdr>
    </w:div>
    <w:div w:id="440105137">
      <w:bodyDiv w:val="1"/>
      <w:marLeft w:val="0"/>
      <w:marRight w:val="0"/>
      <w:marTop w:val="0"/>
      <w:marBottom w:val="0"/>
      <w:divBdr>
        <w:top w:val="none" w:sz="0" w:space="0" w:color="auto"/>
        <w:left w:val="none" w:sz="0" w:space="0" w:color="auto"/>
        <w:bottom w:val="none" w:sz="0" w:space="0" w:color="auto"/>
        <w:right w:val="none" w:sz="0" w:space="0" w:color="auto"/>
      </w:divBdr>
    </w:div>
    <w:div w:id="440341327">
      <w:bodyDiv w:val="1"/>
      <w:marLeft w:val="0"/>
      <w:marRight w:val="0"/>
      <w:marTop w:val="0"/>
      <w:marBottom w:val="0"/>
      <w:divBdr>
        <w:top w:val="none" w:sz="0" w:space="0" w:color="auto"/>
        <w:left w:val="none" w:sz="0" w:space="0" w:color="auto"/>
        <w:bottom w:val="none" w:sz="0" w:space="0" w:color="auto"/>
        <w:right w:val="none" w:sz="0" w:space="0" w:color="auto"/>
      </w:divBdr>
    </w:div>
    <w:div w:id="440347386">
      <w:bodyDiv w:val="1"/>
      <w:marLeft w:val="0"/>
      <w:marRight w:val="0"/>
      <w:marTop w:val="0"/>
      <w:marBottom w:val="0"/>
      <w:divBdr>
        <w:top w:val="none" w:sz="0" w:space="0" w:color="auto"/>
        <w:left w:val="none" w:sz="0" w:space="0" w:color="auto"/>
        <w:bottom w:val="none" w:sz="0" w:space="0" w:color="auto"/>
        <w:right w:val="none" w:sz="0" w:space="0" w:color="auto"/>
      </w:divBdr>
    </w:div>
    <w:div w:id="440607410">
      <w:bodyDiv w:val="1"/>
      <w:marLeft w:val="0"/>
      <w:marRight w:val="0"/>
      <w:marTop w:val="0"/>
      <w:marBottom w:val="0"/>
      <w:divBdr>
        <w:top w:val="none" w:sz="0" w:space="0" w:color="auto"/>
        <w:left w:val="none" w:sz="0" w:space="0" w:color="auto"/>
        <w:bottom w:val="none" w:sz="0" w:space="0" w:color="auto"/>
        <w:right w:val="none" w:sz="0" w:space="0" w:color="auto"/>
      </w:divBdr>
    </w:div>
    <w:div w:id="440611854">
      <w:bodyDiv w:val="1"/>
      <w:marLeft w:val="0"/>
      <w:marRight w:val="0"/>
      <w:marTop w:val="0"/>
      <w:marBottom w:val="0"/>
      <w:divBdr>
        <w:top w:val="none" w:sz="0" w:space="0" w:color="auto"/>
        <w:left w:val="none" w:sz="0" w:space="0" w:color="auto"/>
        <w:bottom w:val="none" w:sz="0" w:space="0" w:color="auto"/>
        <w:right w:val="none" w:sz="0" w:space="0" w:color="auto"/>
      </w:divBdr>
    </w:div>
    <w:div w:id="440689268">
      <w:bodyDiv w:val="1"/>
      <w:marLeft w:val="0"/>
      <w:marRight w:val="0"/>
      <w:marTop w:val="0"/>
      <w:marBottom w:val="0"/>
      <w:divBdr>
        <w:top w:val="none" w:sz="0" w:space="0" w:color="auto"/>
        <w:left w:val="none" w:sz="0" w:space="0" w:color="auto"/>
        <w:bottom w:val="none" w:sz="0" w:space="0" w:color="auto"/>
        <w:right w:val="none" w:sz="0" w:space="0" w:color="auto"/>
      </w:divBdr>
    </w:div>
    <w:div w:id="440807531">
      <w:bodyDiv w:val="1"/>
      <w:marLeft w:val="0"/>
      <w:marRight w:val="0"/>
      <w:marTop w:val="0"/>
      <w:marBottom w:val="0"/>
      <w:divBdr>
        <w:top w:val="none" w:sz="0" w:space="0" w:color="auto"/>
        <w:left w:val="none" w:sz="0" w:space="0" w:color="auto"/>
        <w:bottom w:val="none" w:sz="0" w:space="0" w:color="auto"/>
        <w:right w:val="none" w:sz="0" w:space="0" w:color="auto"/>
      </w:divBdr>
    </w:div>
    <w:div w:id="440878281">
      <w:bodyDiv w:val="1"/>
      <w:marLeft w:val="0"/>
      <w:marRight w:val="0"/>
      <w:marTop w:val="0"/>
      <w:marBottom w:val="0"/>
      <w:divBdr>
        <w:top w:val="none" w:sz="0" w:space="0" w:color="auto"/>
        <w:left w:val="none" w:sz="0" w:space="0" w:color="auto"/>
        <w:bottom w:val="none" w:sz="0" w:space="0" w:color="auto"/>
        <w:right w:val="none" w:sz="0" w:space="0" w:color="auto"/>
      </w:divBdr>
    </w:div>
    <w:div w:id="440880266">
      <w:bodyDiv w:val="1"/>
      <w:marLeft w:val="0"/>
      <w:marRight w:val="0"/>
      <w:marTop w:val="0"/>
      <w:marBottom w:val="0"/>
      <w:divBdr>
        <w:top w:val="none" w:sz="0" w:space="0" w:color="auto"/>
        <w:left w:val="none" w:sz="0" w:space="0" w:color="auto"/>
        <w:bottom w:val="none" w:sz="0" w:space="0" w:color="auto"/>
        <w:right w:val="none" w:sz="0" w:space="0" w:color="auto"/>
      </w:divBdr>
    </w:div>
    <w:div w:id="440957135">
      <w:bodyDiv w:val="1"/>
      <w:marLeft w:val="0"/>
      <w:marRight w:val="0"/>
      <w:marTop w:val="0"/>
      <w:marBottom w:val="0"/>
      <w:divBdr>
        <w:top w:val="none" w:sz="0" w:space="0" w:color="auto"/>
        <w:left w:val="none" w:sz="0" w:space="0" w:color="auto"/>
        <w:bottom w:val="none" w:sz="0" w:space="0" w:color="auto"/>
        <w:right w:val="none" w:sz="0" w:space="0" w:color="auto"/>
      </w:divBdr>
    </w:div>
    <w:div w:id="440957497">
      <w:bodyDiv w:val="1"/>
      <w:marLeft w:val="0"/>
      <w:marRight w:val="0"/>
      <w:marTop w:val="0"/>
      <w:marBottom w:val="0"/>
      <w:divBdr>
        <w:top w:val="none" w:sz="0" w:space="0" w:color="auto"/>
        <w:left w:val="none" w:sz="0" w:space="0" w:color="auto"/>
        <w:bottom w:val="none" w:sz="0" w:space="0" w:color="auto"/>
        <w:right w:val="none" w:sz="0" w:space="0" w:color="auto"/>
      </w:divBdr>
    </w:div>
    <w:div w:id="440996461">
      <w:bodyDiv w:val="1"/>
      <w:marLeft w:val="0"/>
      <w:marRight w:val="0"/>
      <w:marTop w:val="0"/>
      <w:marBottom w:val="0"/>
      <w:divBdr>
        <w:top w:val="none" w:sz="0" w:space="0" w:color="auto"/>
        <w:left w:val="none" w:sz="0" w:space="0" w:color="auto"/>
        <w:bottom w:val="none" w:sz="0" w:space="0" w:color="auto"/>
        <w:right w:val="none" w:sz="0" w:space="0" w:color="auto"/>
      </w:divBdr>
    </w:div>
    <w:div w:id="441070314">
      <w:bodyDiv w:val="1"/>
      <w:marLeft w:val="0"/>
      <w:marRight w:val="0"/>
      <w:marTop w:val="0"/>
      <w:marBottom w:val="0"/>
      <w:divBdr>
        <w:top w:val="none" w:sz="0" w:space="0" w:color="auto"/>
        <w:left w:val="none" w:sz="0" w:space="0" w:color="auto"/>
        <w:bottom w:val="none" w:sz="0" w:space="0" w:color="auto"/>
        <w:right w:val="none" w:sz="0" w:space="0" w:color="auto"/>
      </w:divBdr>
    </w:div>
    <w:div w:id="441077899">
      <w:bodyDiv w:val="1"/>
      <w:marLeft w:val="0"/>
      <w:marRight w:val="0"/>
      <w:marTop w:val="0"/>
      <w:marBottom w:val="0"/>
      <w:divBdr>
        <w:top w:val="none" w:sz="0" w:space="0" w:color="auto"/>
        <w:left w:val="none" w:sz="0" w:space="0" w:color="auto"/>
        <w:bottom w:val="none" w:sz="0" w:space="0" w:color="auto"/>
        <w:right w:val="none" w:sz="0" w:space="0" w:color="auto"/>
      </w:divBdr>
    </w:div>
    <w:div w:id="441193065">
      <w:bodyDiv w:val="1"/>
      <w:marLeft w:val="0"/>
      <w:marRight w:val="0"/>
      <w:marTop w:val="0"/>
      <w:marBottom w:val="0"/>
      <w:divBdr>
        <w:top w:val="none" w:sz="0" w:space="0" w:color="auto"/>
        <w:left w:val="none" w:sz="0" w:space="0" w:color="auto"/>
        <w:bottom w:val="none" w:sz="0" w:space="0" w:color="auto"/>
        <w:right w:val="none" w:sz="0" w:space="0" w:color="auto"/>
      </w:divBdr>
    </w:div>
    <w:div w:id="441194132">
      <w:bodyDiv w:val="1"/>
      <w:marLeft w:val="0"/>
      <w:marRight w:val="0"/>
      <w:marTop w:val="0"/>
      <w:marBottom w:val="0"/>
      <w:divBdr>
        <w:top w:val="none" w:sz="0" w:space="0" w:color="auto"/>
        <w:left w:val="none" w:sz="0" w:space="0" w:color="auto"/>
        <w:bottom w:val="none" w:sz="0" w:space="0" w:color="auto"/>
        <w:right w:val="none" w:sz="0" w:space="0" w:color="auto"/>
      </w:divBdr>
    </w:div>
    <w:div w:id="441337681">
      <w:bodyDiv w:val="1"/>
      <w:marLeft w:val="0"/>
      <w:marRight w:val="0"/>
      <w:marTop w:val="0"/>
      <w:marBottom w:val="0"/>
      <w:divBdr>
        <w:top w:val="none" w:sz="0" w:space="0" w:color="auto"/>
        <w:left w:val="none" w:sz="0" w:space="0" w:color="auto"/>
        <w:bottom w:val="none" w:sz="0" w:space="0" w:color="auto"/>
        <w:right w:val="none" w:sz="0" w:space="0" w:color="auto"/>
      </w:divBdr>
    </w:div>
    <w:div w:id="441344578">
      <w:bodyDiv w:val="1"/>
      <w:marLeft w:val="0"/>
      <w:marRight w:val="0"/>
      <w:marTop w:val="0"/>
      <w:marBottom w:val="0"/>
      <w:divBdr>
        <w:top w:val="none" w:sz="0" w:space="0" w:color="auto"/>
        <w:left w:val="none" w:sz="0" w:space="0" w:color="auto"/>
        <w:bottom w:val="none" w:sz="0" w:space="0" w:color="auto"/>
        <w:right w:val="none" w:sz="0" w:space="0" w:color="auto"/>
      </w:divBdr>
    </w:div>
    <w:div w:id="441387214">
      <w:bodyDiv w:val="1"/>
      <w:marLeft w:val="0"/>
      <w:marRight w:val="0"/>
      <w:marTop w:val="0"/>
      <w:marBottom w:val="0"/>
      <w:divBdr>
        <w:top w:val="none" w:sz="0" w:space="0" w:color="auto"/>
        <w:left w:val="none" w:sz="0" w:space="0" w:color="auto"/>
        <w:bottom w:val="none" w:sz="0" w:space="0" w:color="auto"/>
        <w:right w:val="none" w:sz="0" w:space="0" w:color="auto"/>
      </w:divBdr>
    </w:div>
    <w:div w:id="441460313">
      <w:bodyDiv w:val="1"/>
      <w:marLeft w:val="0"/>
      <w:marRight w:val="0"/>
      <w:marTop w:val="0"/>
      <w:marBottom w:val="0"/>
      <w:divBdr>
        <w:top w:val="none" w:sz="0" w:space="0" w:color="auto"/>
        <w:left w:val="none" w:sz="0" w:space="0" w:color="auto"/>
        <w:bottom w:val="none" w:sz="0" w:space="0" w:color="auto"/>
        <w:right w:val="none" w:sz="0" w:space="0" w:color="auto"/>
      </w:divBdr>
    </w:div>
    <w:div w:id="441462049">
      <w:bodyDiv w:val="1"/>
      <w:marLeft w:val="0"/>
      <w:marRight w:val="0"/>
      <w:marTop w:val="0"/>
      <w:marBottom w:val="0"/>
      <w:divBdr>
        <w:top w:val="none" w:sz="0" w:space="0" w:color="auto"/>
        <w:left w:val="none" w:sz="0" w:space="0" w:color="auto"/>
        <w:bottom w:val="none" w:sz="0" w:space="0" w:color="auto"/>
        <w:right w:val="none" w:sz="0" w:space="0" w:color="auto"/>
      </w:divBdr>
    </w:div>
    <w:div w:id="441536968">
      <w:bodyDiv w:val="1"/>
      <w:marLeft w:val="0"/>
      <w:marRight w:val="0"/>
      <w:marTop w:val="0"/>
      <w:marBottom w:val="0"/>
      <w:divBdr>
        <w:top w:val="none" w:sz="0" w:space="0" w:color="auto"/>
        <w:left w:val="none" w:sz="0" w:space="0" w:color="auto"/>
        <w:bottom w:val="none" w:sz="0" w:space="0" w:color="auto"/>
        <w:right w:val="none" w:sz="0" w:space="0" w:color="auto"/>
      </w:divBdr>
    </w:div>
    <w:div w:id="441608790">
      <w:bodyDiv w:val="1"/>
      <w:marLeft w:val="0"/>
      <w:marRight w:val="0"/>
      <w:marTop w:val="0"/>
      <w:marBottom w:val="0"/>
      <w:divBdr>
        <w:top w:val="none" w:sz="0" w:space="0" w:color="auto"/>
        <w:left w:val="none" w:sz="0" w:space="0" w:color="auto"/>
        <w:bottom w:val="none" w:sz="0" w:space="0" w:color="auto"/>
        <w:right w:val="none" w:sz="0" w:space="0" w:color="auto"/>
      </w:divBdr>
    </w:div>
    <w:div w:id="441649436">
      <w:bodyDiv w:val="1"/>
      <w:marLeft w:val="0"/>
      <w:marRight w:val="0"/>
      <w:marTop w:val="0"/>
      <w:marBottom w:val="0"/>
      <w:divBdr>
        <w:top w:val="none" w:sz="0" w:space="0" w:color="auto"/>
        <w:left w:val="none" w:sz="0" w:space="0" w:color="auto"/>
        <w:bottom w:val="none" w:sz="0" w:space="0" w:color="auto"/>
        <w:right w:val="none" w:sz="0" w:space="0" w:color="auto"/>
      </w:divBdr>
    </w:div>
    <w:div w:id="441657699">
      <w:bodyDiv w:val="1"/>
      <w:marLeft w:val="0"/>
      <w:marRight w:val="0"/>
      <w:marTop w:val="0"/>
      <w:marBottom w:val="0"/>
      <w:divBdr>
        <w:top w:val="none" w:sz="0" w:space="0" w:color="auto"/>
        <w:left w:val="none" w:sz="0" w:space="0" w:color="auto"/>
        <w:bottom w:val="none" w:sz="0" w:space="0" w:color="auto"/>
        <w:right w:val="none" w:sz="0" w:space="0" w:color="auto"/>
      </w:divBdr>
    </w:div>
    <w:div w:id="441732850">
      <w:bodyDiv w:val="1"/>
      <w:marLeft w:val="0"/>
      <w:marRight w:val="0"/>
      <w:marTop w:val="0"/>
      <w:marBottom w:val="0"/>
      <w:divBdr>
        <w:top w:val="none" w:sz="0" w:space="0" w:color="auto"/>
        <w:left w:val="none" w:sz="0" w:space="0" w:color="auto"/>
        <w:bottom w:val="none" w:sz="0" w:space="0" w:color="auto"/>
        <w:right w:val="none" w:sz="0" w:space="0" w:color="auto"/>
      </w:divBdr>
    </w:div>
    <w:div w:id="441799715">
      <w:bodyDiv w:val="1"/>
      <w:marLeft w:val="0"/>
      <w:marRight w:val="0"/>
      <w:marTop w:val="0"/>
      <w:marBottom w:val="0"/>
      <w:divBdr>
        <w:top w:val="none" w:sz="0" w:space="0" w:color="auto"/>
        <w:left w:val="none" w:sz="0" w:space="0" w:color="auto"/>
        <w:bottom w:val="none" w:sz="0" w:space="0" w:color="auto"/>
        <w:right w:val="none" w:sz="0" w:space="0" w:color="auto"/>
      </w:divBdr>
    </w:div>
    <w:div w:id="441805380">
      <w:bodyDiv w:val="1"/>
      <w:marLeft w:val="0"/>
      <w:marRight w:val="0"/>
      <w:marTop w:val="0"/>
      <w:marBottom w:val="0"/>
      <w:divBdr>
        <w:top w:val="none" w:sz="0" w:space="0" w:color="auto"/>
        <w:left w:val="none" w:sz="0" w:space="0" w:color="auto"/>
        <w:bottom w:val="none" w:sz="0" w:space="0" w:color="auto"/>
        <w:right w:val="none" w:sz="0" w:space="0" w:color="auto"/>
      </w:divBdr>
    </w:div>
    <w:div w:id="441806193">
      <w:bodyDiv w:val="1"/>
      <w:marLeft w:val="0"/>
      <w:marRight w:val="0"/>
      <w:marTop w:val="0"/>
      <w:marBottom w:val="0"/>
      <w:divBdr>
        <w:top w:val="none" w:sz="0" w:space="0" w:color="auto"/>
        <w:left w:val="none" w:sz="0" w:space="0" w:color="auto"/>
        <w:bottom w:val="none" w:sz="0" w:space="0" w:color="auto"/>
        <w:right w:val="none" w:sz="0" w:space="0" w:color="auto"/>
      </w:divBdr>
    </w:div>
    <w:div w:id="441850878">
      <w:bodyDiv w:val="1"/>
      <w:marLeft w:val="0"/>
      <w:marRight w:val="0"/>
      <w:marTop w:val="0"/>
      <w:marBottom w:val="0"/>
      <w:divBdr>
        <w:top w:val="none" w:sz="0" w:space="0" w:color="auto"/>
        <w:left w:val="none" w:sz="0" w:space="0" w:color="auto"/>
        <w:bottom w:val="none" w:sz="0" w:space="0" w:color="auto"/>
        <w:right w:val="none" w:sz="0" w:space="0" w:color="auto"/>
      </w:divBdr>
    </w:div>
    <w:div w:id="441923557">
      <w:bodyDiv w:val="1"/>
      <w:marLeft w:val="0"/>
      <w:marRight w:val="0"/>
      <w:marTop w:val="0"/>
      <w:marBottom w:val="0"/>
      <w:divBdr>
        <w:top w:val="none" w:sz="0" w:space="0" w:color="auto"/>
        <w:left w:val="none" w:sz="0" w:space="0" w:color="auto"/>
        <w:bottom w:val="none" w:sz="0" w:space="0" w:color="auto"/>
        <w:right w:val="none" w:sz="0" w:space="0" w:color="auto"/>
      </w:divBdr>
    </w:div>
    <w:div w:id="441924469">
      <w:bodyDiv w:val="1"/>
      <w:marLeft w:val="0"/>
      <w:marRight w:val="0"/>
      <w:marTop w:val="0"/>
      <w:marBottom w:val="0"/>
      <w:divBdr>
        <w:top w:val="none" w:sz="0" w:space="0" w:color="auto"/>
        <w:left w:val="none" w:sz="0" w:space="0" w:color="auto"/>
        <w:bottom w:val="none" w:sz="0" w:space="0" w:color="auto"/>
        <w:right w:val="none" w:sz="0" w:space="0" w:color="auto"/>
      </w:divBdr>
    </w:div>
    <w:div w:id="442118161">
      <w:bodyDiv w:val="1"/>
      <w:marLeft w:val="0"/>
      <w:marRight w:val="0"/>
      <w:marTop w:val="0"/>
      <w:marBottom w:val="0"/>
      <w:divBdr>
        <w:top w:val="none" w:sz="0" w:space="0" w:color="auto"/>
        <w:left w:val="none" w:sz="0" w:space="0" w:color="auto"/>
        <w:bottom w:val="none" w:sz="0" w:space="0" w:color="auto"/>
        <w:right w:val="none" w:sz="0" w:space="0" w:color="auto"/>
      </w:divBdr>
    </w:div>
    <w:div w:id="442189618">
      <w:bodyDiv w:val="1"/>
      <w:marLeft w:val="0"/>
      <w:marRight w:val="0"/>
      <w:marTop w:val="0"/>
      <w:marBottom w:val="0"/>
      <w:divBdr>
        <w:top w:val="none" w:sz="0" w:space="0" w:color="auto"/>
        <w:left w:val="none" w:sz="0" w:space="0" w:color="auto"/>
        <w:bottom w:val="none" w:sz="0" w:space="0" w:color="auto"/>
        <w:right w:val="none" w:sz="0" w:space="0" w:color="auto"/>
      </w:divBdr>
    </w:div>
    <w:div w:id="442238026">
      <w:bodyDiv w:val="1"/>
      <w:marLeft w:val="0"/>
      <w:marRight w:val="0"/>
      <w:marTop w:val="0"/>
      <w:marBottom w:val="0"/>
      <w:divBdr>
        <w:top w:val="none" w:sz="0" w:space="0" w:color="auto"/>
        <w:left w:val="none" w:sz="0" w:space="0" w:color="auto"/>
        <w:bottom w:val="none" w:sz="0" w:space="0" w:color="auto"/>
        <w:right w:val="none" w:sz="0" w:space="0" w:color="auto"/>
      </w:divBdr>
    </w:div>
    <w:div w:id="442306111">
      <w:bodyDiv w:val="1"/>
      <w:marLeft w:val="0"/>
      <w:marRight w:val="0"/>
      <w:marTop w:val="0"/>
      <w:marBottom w:val="0"/>
      <w:divBdr>
        <w:top w:val="none" w:sz="0" w:space="0" w:color="auto"/>
        <w:left w:val="none" w:sz="0" w:space="0" w:color="auto"/>
        <w:bottom w:val="none" w:sz="0" w:space="0" w:color="auto"/>
        <w:right w:val="none" w:sz="0" w:space="0" w:color="auto"/>
      </w:divBdr>
    </w:div>
    <w:div w:id="442456594">
      <w:bodyDiv w:val="1"/>
      <w:marLeft w:val="0"/>
      <w:marRight w:val="0"/>
      <w:marTop w:val="0"/>
      <w:marBottom w:val="0"/>
      <w:divBdr>
        <w:top w:val="none" w:sz="0" w:space="0" w:color="auto"/>
        <w:left w:val="none" w:sz="0" w:space="0" w:color="auto"/>
        <w:bottom w:val="none" w:sz="0" w:space="0" w:color="auto"/>
        <w:right w:val="none" w:sz="0" w:space="0" w:color="auto"/>
      </w:divBdr>
    </w:div>
    <w:div w:id="442504080">
      <w:bodyDiv w:val="1"/>
      <w:marLeft w:val="0"/>
      <w:marRight w:val="0"/>
      <w:marTop w:val="0"/>
      <w:marBottom w:val="0"/>
      <w:divBdr>
        <w:top w:val="none" w:sz="0" w:space="0" w:color="auto"/>
        <w:left w:val="none" w:sz="0" w:space="0" w:color="auto"/>
        <w:bottom w:val="none" w:sz="0" w:space="0" w:color="auto"/>
        <w:right w:val="none" w:sz="0" w:space="0" w:color="auto"/>
      </w:divBdr>
    </w:div>
    <w:div w:id="442504785">
      <w:bodyDiv w:val="1"/>
      <w:marLeft w:val="0"/>
      <w:marRight w:val="0"/>
      <w:marTop w:val="0"/>
      <w:marBottom w:val="0"/>
      <w:divBdr>
        <w:top w:val="none" w:sz="0" w:space="0" w:color="auto"/>
        <w:left w:val="none" w:sz="0" w:space="0" w:color="auto"/>
        <w:bottom w:val="none" w:sz="0" w:space="0" w:color="auto"/>
        <w:right w:val="none" w:sz="0" w:space="0" w:color="auto"/>
      </w:divBdr>
    </w:div>
    <w:div w:id="442506732">
      <w:bodyDiv w:val="1"/>
      <w:marLeft w:val="0"/>
      <w:marRight w:val="0"/>
      <w:marTop w:val="0"/>
      <w:marBottom w:val="0"/>
      <w:divBdr>
        <w:top w:val="none" w:sz="0" w:space="0" w:color="auto"/>
        <w:left w:val="none" w:sz="0" w:space="0" w:color="auto"/>
        <w:bottom w:val="none" w:sz="0" w:space="0" w:color="auto"/>
        <w:right w:val="none" w:sz="0" w:space="0" w:color="auto"/>
      </w:divBdr>
    </w:div>
    <w:div w:id="442580484">
      <w:bodyDiv w:val="1"/>
      <w:marLeft w:val="0"/>
      <w:marRight w:val="0"/>
      <w:marTop w:val="0"/>
      <w:marBottom w:val="0"/>
      <w:divBdr>
        <w:top w:val="none" w:sz="0" w:space="0" w:color="auto"/>
        <w:left w:val="none" w:sz="0" w:space="0" w:color="auto"/>
        <w:bottom w:val="none" w:sz="0" w:space="0" w:color="auto"/>
        <w:right w:val="none" w:sz="0" w:space="0" w:color="auto"/>
      </w:divBdr>
    </w:div>
    <w:div w:id="442649840">
      <w:bodyDiv w:val="1"/>
      <w:marLeft w:val="0"/>
      <w:marRight w:val="0"/>
      <w:marTop w:val="0"/>
      <w:marBottom w:val="0"/>
      <w:divBdr>
        <w:top w:val="none" w:sz="0" w:space="0" w:color="auto"/>
        <w:left w:val="none" w:sz="0" w:space="0" w:color="auto"/>
        <w:bottom w:val="none" w:sz="0" w:space="0" w:color="auto"/>
        <w:right w:val="none" w:sz="0" w:space="0" w:color="auto"/>
      </w:divBdr>
    </w:div>
    <w:div w:id="442650059">
      <w:bodyDiv w:val="1"/>
      <w:marLeft w:val="0"/>
      <w:marRight w:val="0"/>
      <w:marTop w:val="0"/>
      <w:marBottom w:val="0"/>
      <w:divBdr>
        <w:top w:val="none" w:sz="0" w:space="0" w:color="auto"/>
        <w:left w:val="none" w:sz="0" w:space="0" w:color="auto"/>
        <w:bottom w:val="none" w:sz="0" w:space="0" w:color="auto"/>
        <w:right w:val="none" w:sz="0" w:space="0" w:color="auto"/>
      </w:divBdr>
    </w:div>
    <w:div w:id="442696972">
      <w:bodyDiv w:val="1"/>
      <w:marLeft w:val="0"/>
      <w:marRight w:val="0"/>
      <w:marTop w:val="0"/>
      <w:marBottom w:val="0"/>
      <w:divBdr>
        <w:top w:val="none" w:sz="0" w:space="0" w:color="auto"/>
        <w:left w:val="none" w:sz="0" w:space="0" w:color="auto"/>
        <w:bottom w:val="none" w:sz="0" w:space="0" w:color="auto"/>
        <w:right w:val="none" w:sz="0" w:space="0" w:color="auto"/>
      </w:divBdr>
    </w:div>
    <w:div w:id="442727945">
      <w:bodyDiv w:val="1"/>
      <w:marLeft w:val="0"/>
      <w:marRight w:val="0"/>
      <w:marTop w:val="0"/>
      <w:marBottom w:val="0"/>
      <w:divBdr>
        <w:top w:val="none" w:sz="0" w:space="0" w:color="auto"/>
        <w:left w:val="none" w:sz="0" w:space="0" w:color="auto"/>
        <w:bottom w:val="none" w:sz="0" w:space="0" w:color="auto"/>
        <w:right w:val="none" w:sz="0" w:space="0" w:color="auto"/>
      </w:divBdr>
    </w:div>
    <w:div w:id="442919072">
      <w:bodyDiv w:val="1"/>
      <w:marLeft w:val="0"/>
      <w:marRight w:val="0"/>
      <w:marTop w:val="0"/>
      <w:marBottom w:val="0"/>
      <w:divBdr>
        <w:top w:val="none" w:sz="0" w:space="0" w:color="auto"/>
        <w:left w:val="none" w:sz="0" w:space="0" w:color="auto"/>
        <w:bottom w:val="none" w:sz="0" w:space="0" w:color="auto"/>
        <w:right w:val="none" w:sz="0" w:space="0" w:color="auto"/>
      </w:divBdr>
    </w:div>
    <w:div w:id="442960934">
      <w:bodyDiv w:val="1"/>
      <w:marLeft w:val="0"/>
      <w:marRight w:val="0"/>
      <w:marTop w:val="0"/>
      <w:marBottom w:val="0"/>
      <w:divBdr>
        <w:top w:val="none" w:sz="0" w:space="0" w:color="auto"/>
        <w:left w:val="none" w:sz="0" w:space="0" w:color="auto"/>
        <w:bottom w:val="none" w:sz="0" w:space="0" w:color="auto"/>
        <w:right w:val="none" w:sz="0" w:space="0" w:color="auto"/>
      </w:divBdr>
    </w:div>
    <w:div w:id="442964392">
      <w:bodyDiv w:val="1"/>
      <w:marLeft w:val="0"/>
      <w:marRight w:val="0"/>
      <w:marTop w:val="0"/>
      <w:marBottom w:val="0"/>
      <w:divBdr>
        <w:top w:val="none" w:sz="0" w:space="0" w:color="auto"/>
        <w:left w:val="none" w:sz="0" w:space="0" w:color="auto"/>
        <w:bottom w:val="none" w:sz="0" w:space="0" w:color="auto"/>
        <w:right w:val="none" w:sz="0" w:space="0" w:color="auto"/>
      </w:divBdr>
    </w:div>
    <w:div w:id="443110824">
      <w:bodyDiv w:val="1"/>
      <w:marLeft w:val="0"/>
      <w:marRight w:val="0"/>
      <w:marTop w:val="0"/>
      <w:marBottom w:val="0"/>
      <w:divBdr>
        <w:top w:val="none" w:sz="0" w:space="0" w:color="auto"/>
        <w:left w:val="none" w:sz="0" w:space="0" w:color="auto"/>
        <w:bottom w:val="none" w:sz="0" w:space="0" w:color="auto"/>
        <w:right w:val="none" w:sz="0" w:space="0" w:color="auto"/>
      </w:divBdr>
    </w:div>
    <w:div w:id="443118845">
      <w:bodyDiv w:val="1"/>
      <w:marLeft w:val="0"/>
      <w:marRight w:val="0"/>
      <w:marTop w:val="0"/>
      <w:marBottom w:val="0"/>
      <w:divBdr>
        <w:top w:val="none" w:sz="0" w:space="0" w:color="auto"/>
        <w:left w:val="none" w:sz="0" w:space="0" w:color="auto"/>
        <w:bottom w:val="none" w:sz="0" w:space="0" w:color="auto"/>
        <w:right w:val="none" w:sz="0" w:space="0" w:color="auto"/>
      </w:divBdr>
    </w:div>
    <w:div w:id="443160176">
      <w:bodyDiv w:val="1"/>
      <w:marLeft w:val="0"/>
      <w:marRight w:val="0"/>
      <w:marTop w:val="0"/>
      <w:marBottom w:val="0"/>
      <w:divBdr>
        <w:top w:val="none" w:sz="0" w:space="0" w:color="auto"/>
        <w:left w:val="none" w:sz="0" w:space="0" w:color="auto"/>
        <w:bottom w:val="none" w:sz="0" w:space="0" w:color="auto"/>
        <w:right w:val="none" w:sz="0" w:space="0" w:color="auto"/>
      </w:divBdr>
    </w:div>
    <w:div w:id="443310834">
      <w:bodyDiv w:val="1"/>
      <w:marLeft w:val="0"/>
      <w:marRight w:val="0"/>
      <w:marTop w:val="0"/>
      <w:marBottom w:val="0"/>
      <w:divBdr>
        <w:top w:val="none" w:sz="0" w:space="0" w:color="auto"/>
        <w:left w:val="none" w:sz="0" w:space="0" w:color="auto"/>
        <w:bottom w:val="none" w:sz="0" w:space="0" w:color="auto"/>
        <w:right w:val="none" w:sz="0" w:space="0" w:color="auto"/>
      </w:divBdr>
    </w:div>
    <w:div w:id="443426511">
      <w:bodyDiv w:val="1"/>
      <w:marLeft w:val="0"/>
      <w:marRight w:val="0"/>
      <w:marTop w:val="0"/>
      <w:marBottom w:val="0"/>
      <w:divBdr>
        <w:top w:val="none" w:sz="0" w:space="0" w:color="auto"/>
        <w:left w:val="none" w:sz="0" w:space="0" w:color="auto"/>
        <w:bottom w:val="none" w:sz="0" w:space="0" w:color="auto"/>
        <w:right w:val="none" w:sz="0" w:space="0" w:color="auto"/>
      </w:divBdr>
    </w:div>
    <w:div w:id="443577483">
      <w:bodyDiv w:val="1"/>
      <w:marLeft w:val="0"/>
      <w:marRight w:val="0"/>
      <w:marTop w:val="0"/>
      <w:marBottom w:val="0"/>
      <w:divBdr>
        <w:top w:val="none" w:sz="0" w:space="0" w:color="auto"/>
        <w:left w:val="none" w:sz="0" w:space="0" w:color="auto"/>
        <w:bottom w:val="none" w:sz="0" w:space="0" w:color="auto"/>
        <w:right w:val="none" w:sz="0" w:space="0" w:color="auto"/>
      </w:divBdr>
    </w:div>
    <w:div w:id="443617097">
      <w:bodyDiv w:val="1"/>
      <w:marLeft w:val="0"/>
      <w:marRight w:val="0"/>
      <w:marTop w:val="0"/>
      <w:marBottom w:val="0"/>
      <w:divBdr>
        <w:top w:val="none" w:sz="0" w:space="0" w:color="auto"/>
        <w:left w:val="none" w:sz="0" w:space="0" w:color="auto"/>
        <w:bottom w:val="none" w:sz="0" w:space="0" w:color="auto"/>
        <w:right w:val="none" w:sz="0" w:space="0" w:color="auto"/>
      </w:divBdr>
    </w:div>
    <w:div w:id="443622585">
      <w:bodyDiv w:val="1"/>
      <w:marLeft w:val="0"/>
      <w:marRight w:val="0"/>
      <w:marTop w:val="0"/>
      <w:marBottom w:val="0"/>
      <w:divBdr>
        <w:top w:val="none" w:sz="0" w:space="0" w:color="auto"/>
        <w:left w:val="none" w:sz="0" w:space="0" w:color="auto"/>
        <w:bottom w:val="none" w:sz="0" w:space="0" w:color="auto"/>
        <w:right w:val="none" w:sz="0" w:space="0" w:color="auto"/>
      </w:divBdr>
    </w:div>
    <w:div w:id="443622604">
      <w:bodyDiv w:val="1"/>
      <w:marLeft w:val="0"/>
      <w:marRight w:val="0"/>
      <w:marTop w:val="0"/>
      <w:marBottom w:val="0"/>
      <w:divBdr>
        <w:top w:val="none" w:sz="0" w:space="0" w:color="auto"/>
        <w:left w:val="none" w:sz="0" w:space="0" w:color="auto"/>
        <w:bottom w:val="none" w:sz="0" w:space="0" w:color="auto"/>
        <w:right w:val="none" w:sz="0" w:space="0" w:color="auto"/>
      </w:divBdr>
    </w:div>
    <w:div w:id="443689674">
      <w:bodyDiv w:val="1"/>
      <w:marLeft w:val="0"/>
      <w:marRight w:val="0"/>
      <w:marTop w:val="0"/>
      <w:marBottom w:val="0"/>
      <w:divBdr>
        <w:top w:val="none" w:sz="0" w:space="0" w:color="auto"/>
        <w:left w:val="none" w:sz="0" w:space="0" w:color="auto"/>
        <w:bottom w:val="none" w:sz="0" w:space="0" w:color="auto"/>
        <w:right w:val="none" w:sz="0" w:space="0" w:color="auto"/>
      </w:divBdr>
    </w:div>
    <w:div w:id="443766590">
      <w:bodyDiv w:val="1"/>
      <w:marLeft w:val="0"/>
      <w:marRight w:val="0"/>
      <w:marTop w:val="0"/>
      <w:marBottom w:val="0"/>
      <w:divBdr>
        <w:top w:val="none" w:sz="0" w:space="0" w:color="auto"/>
        <w:left w:val="none" w:sz="0" w:space="0" w:color="auto"/>
        <w:bottom w:val="none" w:sz="0" w:space="0" w:color="auto"/>
        <w:right w:val="none" w:sz="0" w:space="0" w:color="auto"/>
      </w:divBdr>
    </w:div>
    <w:div w:id="443770203">
      <w:bodyDiv w:val="1"/>
      <w:marLeft w:val="0"/>
      <w:marRight w:val="0"/>
      <w:marTop w:val="0"/>
      <w:marBottom w:val="0"/>
      <w:divBdr>
        <w:top w:val="none" w:sz="0" w:space="0" w:color="auto"/>
        <w:left w:val="none" w:sz="0" w:space="0" w:color="auto"/>
        <w:bottom w:val="none" w:sz="0" w:space="0" w:color="auto"/>
        <w:right w:val="none" w:sz="0" w:space="0" w:color="auto"/>
      </w:divBdr>
    </w:div>
    <w:div w:id="443883490">
      <w:bodyDiv w:val="1"/>
      <w:marLeft w:val="0"/>
      <w:marRight w:val="0"/>
      <w:marTop w:val="0"/>
      <w:marBottom w:val="0"/>
      <w:divBdr>
        <w:top w:val="none" w:sz="0" w:space="0" w:color="auto"/>
        <w:left w:val="none" w:sz="0" w:space="0" w:color="auto"/>
        <w:bottom w:val="none" w:sz="0" w:space="0" w:color="auto"/>
        <w:right w:val="none" w:sz="0" w:space="0" w:color="auto"/>
      </w:divBdr>
    </w:div>
    <w:div w:id="443885268">
      <w:bodyDiv w:val="1"/>
      <w:marLeft w:val="0"/>
      <w:marRight w:val="0"/>
      <w:marTop w:val="0"/>
      <w:marBottom w:val="0"/>
      <w:divBdr>
        <w:top w:val="none" w:sz="0" w:space="0" w:color="auto"/>
        <w:left w:val="none" w:sz="0" w:space="0" w:color="auto"/>
        <w:bottom w:val="none" w:sz="0" w:space="0" w:color="auto"/>
        <w:right w:val="none" w:sz="0" w:space="0" w:color="auto"/>
      </w:divBdr>
    </w:div>
    <w:div w:id="443886706">
      <w:bodyDiv w:val="1"/>
      <w:marLeft w:val="0"/>
      <w:marRight w:val="0"/>
      <w:marTop w:val="0"/>
      <w:marBottom w:val="0"/>
      <w:divBdr>
        <w:top w:val="none" w:sz="0" w:space="0" w:color="auto"/>
        <w:left w:val="none" w:sz="0" w:space="0" w:color="auto"/>
        <w:bottom w:val="none" w:sz="0" w:space="0" w:color="auto"/>
        <w:right w:val="none" w:sz="0" w:space="0" w:color="auto"/>
      </w:divBdr>
    </w:div>
    <w:div w:id="443960162">
      <w:bodyDiv w:val="1"/>
      <w:marLeft w:val="0"/>
      <w:marRight w:val="0"/>
      <w:marTop w:val="0"/>
      <w:marBottom w:val="0"/>
      <w:divBdr>
        <w:top w:val="none" w:sz="0" w:space="0" w:color="auto"/>
        <w:left w:val="none" w:sz="0" w:space="0" w:color="auto"/>
        <w:bottom w:val="none" w:sz="0" w:space="0" w:color="auto"/>
        <w:right w:val="none" w:sz="0" w:space="0" w:color="auto"/>
      </w:divBdr>
    </w:div>
    <w:div w:id="443967477">
      <w:bodyDiv w:val="1"/>
      <w:marLeft w:val="0"/>
      <w:marRight w:val="0"/>
      <w:marTop w:val="0"/>
      <w:marBottom w:val="0"/>
      <w:divBdr>
        <w:top w:val="none" w:sz="0" w:space="0" w:color="auto"/>
        <w:left w:val="none" w:sz="0" w:space="0" w:color="auto"/>
        <w:bottom w:val="none" w:sz="0" w:space="0" w:color="auto"/>
        <w:right w:val="none" w:sz="0" w:space="0" w:color="auto"/>
      </w:divBdr>
    </w:div>
    <w:div w:id="443967924">
      <w:bodyDiv w:val="1"/>
      <w:marLeft w:val="0"/>
      <w:marRight w:val="0"/>
      <w:marTop w:val="0"/>
      <w:marBottom w:val="0"/>
      <w:divBdr>
        <w:top w:val="none" w:sz="0" w:space="0" w:color="auto"/>
        <w:left w:val="none" w:sz="0" w:space="0" w:color="auto"/>
        <w:bottom w:val="none" w:sz="0" w:space="0" w:color="auto"/>
        <w:right w:val="none" w:sz="0" w:space="0" w:color="auto"/>
      </w:divBdr>
    </w:div>
    <w:div w:id="444079879">
      <w:bodyDiv w:val="1"/>
      <w:marLeft w:val="0"/>
      <w:marRight w:val="0"/>
      <w:marTop w:val="0"/>
      <w:marBottom w:val="0"/>
      <w:divBdr>
        <w:top w:val="none" w:sz="0" w:space="0" w:color="auto"/>
        <w:left w:val="none" w:sz="0" w:space="0" w:color="auto"/>
        <w:bottom w:val="none" w:sz="0" w:space="0" w:color="auto"/>
        <w:right w:val="none" w:sz="0" w:space="0" w:color="auto"/>
      </w:divBdr>
    </w:div>
    <w:div w:id="444159733">
      <w:bodyDiv w:val="1"/>
      <w:marLeft w:val="0"/>
      <w:marRight w:val="0"/>
      <w:marTop w:val="0"/>
      <w:marBottom w:val="0"/>
      <w:divBdr>
        <w:top w:val="none" w:sz="0" w:space="0" w:color="auto"/>
        <w:left w:val="none" w:sz="0" w:space="0" w:color="auto"/>
        <w:bottom w:val="none" w:sz="0" w:space="0" w:color="auto"/>
        <w:right w:val="none" w:sz="0" w:space="0" w:color="auto"/>
      </w:divBdr>
    </w:div>
    <w:div w:id="444273756">
      <w:bodyDiv w:val="1"/>
      <w:marLeft w:val="0"/>
      <w:marRight w:val="0"/>
      <w:marTop w:val="0"/>
      <w:marBottom w:val="0"/>
      <w:divBdr>
        <w:top w:val="none" w:sz="0" w:space="0" w:color="auto"/>
        <w:left w:val="none" w:sz="0" w:space="0" w:color="auto"/>
        <w:bottom w:val="none" w:sz="0" w:space="0" w:color="auto"/>
        <w:right w:val="none" w:sz="0" w:space="0" w:color="auto"/>
      </w:divBdr>
    </w:div>
    <w:div w:id="444278870">
      <w:bodyDiv w:val="1"/>
      <w:marLeft w:val="0"/>
      <w:marRight w:val="0"/>
      <w:marTop w:val="0"/>
      <w:marBottom w:val="0"/>
      <w:divBdr>
        <w:top w:val="none" w:sz="0" w:space="0" w:color="auto"/>
        <w:left w:val="none" w:sz="0" w:space="0" w:color="auto"/>
        <w:bottom w:val="none" w:sz="0" w:space="0" w:color="auto"/>
        <w:right w:val="none" w:sz="0" w:space="0" w:color="auto"/>
      </w:divBdr>
    </w:div>
    <w:div w:id="444424105">
      <w:bodyDiv w:val="1"/>
      <w:marLeft w:val="0"/>
      <w:marRight w:val="0"/>
      <w:marTop w:val="0"/>
      <w:marBottom w:val="0"/>
      <w:divBdr>
        <w:top w:val="none" w:sz="0" w:space="0" w:color="auto"/>
        <w:left w:val="none" w:sz="0" w:space="0" w:color="auto"/>
        <w:bottom w:val="none" w:sz="0" w:space="0" w:color="auto"/>
        <w:right w:val="none" w:sz="0" w:space="0" w:color="auto"/>
      </w:divBdr>
    </w:div>
    <w:div w:id="444497032">
      <w:bodyDiv w:val="1"/>
      <w:marLeft w:val="0"/>
      <w:marRight w:val="0"/>
      <w:marTop w:val="0"/>
      <w:marBottom w:val="0"/>
      <w:divBdr>
        <w:top w:val="none" w:sz="0" w:space="0" w:color="auto"/>
        <w:left w:val="none" w:sz="0" w:space="0" w:color="auto"/>
        <w:bottom w:val="none" w:sz="0" w:space="0" w:color="auto"/>
        <w:right w:val="none" w:sz="0" w:space="0" w:color="auto"/>
      </w:divBdr>
    </w:div>
    <w:div w:id="444539645">
      <w:bodyDiv w:val="1"/>
      <w:marLeft w:val="0"/>
      <w:marRight w:val="0"/>
      <w:marTop w:val="0"/>
      <w:marBottom w:val="0"/>
      <w:divBdr>
        <w:top w:val="none" w:sz="0" w:space="0" w:color="auto"/>
        <w:left w:val="none" w:sz="0" w:space="0" w:color="auto"/>
        <w:bottom w:val="none" w:sz="0" w:space="0" w:color="auto"/>
        <w:right w:val="none" w:sz="0" w:space="0" w:color="auto"/>
      </w:divBdr>
    </w:div>
    <w:div w:id="444735353">
      <w:bodyDiv w:val="1"/>
      <w:marLeft w:val="0"/>
      <w:marRight w:val="0"/>
      <w:marTop w:val="0"/>
      <w:marBottom w:val="0"/>
      <w:divBdr>
        <w:top w:val="none" w:sz="0" w:space="0" w:color="auto"/>
        <w:left w:val="none" w:sz="0" w:space="0" w:color="auto"/>
        <w:bottom w:val="none" w:sz="0" w:space="0" w:color="auto"/>
        <w:right w:val="none" w:sz="0" w:space="0" w:color="auto"/>
      </w:divBdr>
    </w:div>
    <w:div w:id="444885854">
      <w:bodyDiv w:val="1"/>
      <w:marLeft w:val="0"/>
      <w:marRight w:val="0"/>
      <w:marTop w:val="0"/>
      <w:marBottom w:val="0"/>
      <w:divBdr>
        <w:top w:val="none" w:sz="0" w:space="0" w:color="auto"/>
        <w:left w:val="none" w:sz="0" w:space="0" w:color="auto"/>
        <w:bottom w:val="none" w:sz="0" w:space="0" w:color="auto"/>
        <w:right w:val="none" w:sz="0" w:space="0" w:color="auto"/>
      </w:divBdr>
    </w:div>
    <w:div w:id="444927288">
      <w:bodyDiv w:val="1"/>
      <w:marLeft w:val="0"/>
      <w:marRight w:val="0"/>
      <w:marTop w:val="0"/>
      <w:marBottom w:val="0"/>
      <w:divBdr>
        <w:top w:val="none" w:sz="0" w:space="0" w:color="auto"/>
        <w:left w:val="none" w:sz="0" w:space="0" w:color="auto"/>
        <w:bottom w:val="none" w:sz="0" w:space="0" w:color="auto"/>
        <w:right w:val="none" w:sz="0" w:space="0" w:color="auto"/>
      </w:divBdr>
    </w:div>
    <w:div w:id="444928098">
      <w:bodyDiv w:val="1"/>
      <w:marLeft w:val="0"/>
      <w:marRight w:val="0"/>
      <w:marTop w:val="0"/>
      <w:marBottom w:val="0"/>
      <w:divBdr>
        <w:top w:val="none" w:sz="0" w:space="0" w:color="auto"/>
        <w:left w:val="none" w:sz="0" w:space="0" w:color="auto"/>
        <w:bottom w:val="none" w:sz="0" w:space="0" w:color="auto"/>
        <w:right w:val="none" w:sz="0" w:space="0" w:color="auto"/>
      </w:divBdr>
    </w:div>
    <w:div w:id="445077186">
      <w:bodyDiv w:val="1"/>
      <w:marLeft w:val="0"/>
      <w:marRight w:val="0"/>
      <w:marTop w:val="0"/>
      <w:marBottom w:val="0"/>
      <w:divBdr>
        <w:top w:val="none" w:sz="0" w:space="0" w:color="auto"/>
        <w:left w:val="none" w:sz="0" w:space="0" w:color="auto"/>
        <w:bottom w:val="none" w:sz="0" w:space="0" w:color="auto"/>
        <w:right w:val="none" w:sz="0" w:space="0" w:color="auto"/>
      </w:divBdr>
    </w:div>
    <w:div w:id="445122106">
      <w:bodyDiv w:val="1"/>
      <w:marLeft w:val="0"/>
      <w:marRight w:val="0"/>
      <w:marTop w:val="0"/>
      <w:marBottom w:val="0"/>
      <w:divBdr>
        <w:top w:val="none" w:sz="0" w:space="0" w:color="auto"/>
        <w:left w:val="none" w:sz="0" w:space="0" w:color="auto"/>
        <w:bottom w:val="none" w:sz="0" w:space="0" w:color="auto"/>
        <w:right w:val="none" w:sz="0" w:space="0" w:color="auto"/>
      </w:divBdr>
    </w:div>
    <w:div w:id="445277733">
      <w:bodyDiv w:val="1"/>
      <w:marLeft w:val="0"/>
      <w:marRight w:val="0"/>
      <w:marTop w:val="0"/>
      <w:marBottom w:val="0"/>
      <w:divBdr>
        <w:top w:val="none" w:sz="0" w:space="0" w:color="auto"/>
        <w:left w:val="none" w:sz="0" w:space="0" w:color="auto"/>
        <w:bottom w:val="none" w:sz="0" w:space="0" w:color="auto"/>
        <w:right w:val="none" w:sz="0" w:space="0" w:color="auto"/>
      </w:divBdr>
    </w:div>
    <w:div w:id="445346247">
      <w:bodyDiv w:val="1"/>
      <w:marLeft w:val="0"/>
      <w:marRight w:val="0"/>
      <w:marTop w:val="0"/>
      <w:marBottom w:val="0"/>
      <w:divBdr>
        <w:top w:val="none" w:sz="0" w:space="0" w:color="auto"/>
        <w:left w:val="none" w:sz="0" w:space="0" w:color="auto"/>
        <w:bottom w:val="none" w:sz="0" w:space="0" w:color="auto"/>
        <w:right w:val="none" w:sz="0" w:space="0" w:color="auto"/>
      </w:divBdr>
    </w:div>
    <w:div w:id="445346668">
      <w:bodyDiv w:val="1"/>
      <w:marLeft w:val="0"/>
      <w:marRight w:val="0"/>
      <w:marTop w:val="0"/>
      <w:marBottom w:val="0"/>
      <w:divBdr>
        <w:top w:val="none" w:sz="0" w:space="0" w:color="auto"/>
        <w:left w:val="none" w:sz="0" w:space="0" w:color="auto"/>
        <w:bottom w:val="none" w:sz="0" w:space="0" w:color="auto"/>
        <w:right w:val="none" w:sz="0" w:space="0" w:color="auto"/>
      </w:divBdr>
    </w:div>
    <w:div w:id="445347657">
      <w:bodyDiv w:val="1"/>
      <w:marLeft w:val="0"/>
      <w:marRight w:val="0"/>
      <w:marTop w:val="0"/>
      <w:marBottom w:val="0"/>
      <w:divBdr>
        <w:top w:val="none" w:sz="0" w:space="0" w:color="auto"/>
        <w:left w:val="none" w:sz="0" w:space="0" w:color="auto"/>
        <w:bottom w:val="none" w:sz="0" w:space="0" w:color="auto"/>
        <w:right w:val="none" w:sz="0" w:space="0" w:color="auto"/>
      </w:divBdr>
    </w:div>
    <w:div w:id="445390280">
      <w:bodyDiv w:val="1"/>
      <w:marLeft w:val="0"/>
      <w:marRight w:val="0"/>
      <w:marTop w:val="0"/>
      <w:marBottom w:val="0"/>
      <w:divBdr>
        <w:top w:val="none" w:sz="0" w:space="0" w:color="auto"/>
        <w:left w:val="none" w:sz="0" w:space="0" w:color="auto"/>
        <w:bottom w:val="none" w:sz="0" w:space="0" w:color="auto"/>
        <w:right w:val="none" w:sz="0" w:space="0" w:color="auto"/>
      </w:divBdr>
    </w:div>
    <w:div w:id="445462201">
      <w:bodyDiv w:val="1"/>
      <w:marLeft w:val="0"/>
      <w:marRight w:val="0"/>
      <w:marTop w:val="0"/>
      <w:marBottom w:val="0"/>
      <w:divBdr>
        <w:top w:val="none" w:sz="0" w:space="0" w:color="auto"/>
        <w:left w:val="none" w:sz="0" w:space="0" w:color="auto"/>
        <w:bottom w:val="none" w:sz="0" w:space="0" w:color="auto"/>
        <w:right w:val="none" w:sz="0" w:space="0" w:color="auto"/>
      </w:divBdr>
    </w:div>
    <w:div w:id="445469388">
      <w:bodyDiv w:val="1"/>
      <w:marLeft w:val="0"/>
      <w:marRight w:val="0"/>
      <w:marTop w:val="0"/>
      <w:marBottom w:val="0"/>
      <w:divBdr>
        <w:top w:val="none" w:sz="0" w:space="0" w:color="auto"/>
        <w:left w:val="none" w:sz="0" w:space="0" w:color="auto"/>
        <w:bottom w:val="none" w:sz="0" w:space="0" w:color="auto"/>
        <w:right w:val="none" w:sz="0" w:space="0" w:color="auto"/>
      </w:divBdr>
    </w:div>
    <w:div w:id="445541975">
      <w:bodyDiv w:val="1"/>
      <w:marLeft w:val="0"/>
      <w:marRight w:val="0"/>
      <w:marTop w:val="0"/>
      <w:marBottom w:val="0"/>
      <w:divBdr>
        <w:top w:val="none" w:sz="0" w:space="0" w:color="auto"/>
        <w:left w:val="none" w:sz="0" w:space="0" w:color="auto"/>
        <w:bottom w:val="none" w:sz="0" w:space="0" w:color="auto"/>
        <w:right w:val="none" w:sz="0" w:space="0" w:color="auto"/>
      </w:divBdr>
    </w:div>
    <w:div w:id="445730944">
      <w:bodyDiv w:val="1"/>
      <w:marLeft w:val="0"/>
      <w:marRight w:val="0"/>
      <w:marTop w:val="0"/>
      <w:marBottom w:val="0"/>
      <w:divBdr>
        <w:top w:val="none" w:sz="0" w:space="0" w:color="auto"/>
        <w:left w:val="none" w:sz="0" w:space="0" w:color="auto"/>
        <w:bottom w:val="none" w:sz="0" w:space="0" w:color="auto"/>
        <w:right w:val="none" w:sz="0" w:space="0" w:color="auto"/>
      </w:divBdr>
    </w:div>
    <w:div w:id="445733716">
      <w:bodyDiv w:val="1"/>
      <w:marLeft w:val="0"/>
      <w:marRight w:val="0"/>
      <w:marTop w:val="0"/>
      <w:marBottom w:val="0"/>
      <w:divBdr>
        <w:top w:val="none" w:sz="0" w:space="0" w:color="auto"/>
        <w:left w:val="none" w:sz="0" w:space="0" w:color="auto"/>
        <w:bottom w:val="none" w:sz="0" w:space="0" w:color="auto"/>
        <w:right w:val="none" w:sz="0" w:space="0" w:color="auto"/>
      </w:divBdr>
    </w:div>
    <w:div w:id="445778423">
      <w:bodyDiv w:val="1"/>
      <w:marLeft w:val="0"/>
      <w:marRight w:val="0"/>
      <w:marTop w:val="0"/>
      <w:marBottom w:val="0"/>
      <w:divBdr>
        <w:top w:val="none" w:sz="0" w:space="0" w:color="auto"/>
        <w:left w:val="none" w:sz="0" w:space="0" w:color="auto"/>
        <w:bottom w:val="none" w:sz="0" w:space="0" w:color="auto"/>
        <w:right w:val="none" w:sz="0" w:space="0" w:color="auto"/>
      </w:divBdr>
    </w:div>
    <w:div w:id="445781609">
      <w:bodyDiv w:val="1"/>
      <w:marLeft w:val="0"/>
      <w:marRight w:val="0"/>
      <w:marTop w:val="0"/>
      <w:marBottom w:val="0"/>
      <w:divBdr>
        <w:top w:val="none" w:sz="0" w:space="0" w:color="auto"/>
        <w:left w:val="none" w:sz="0" w:space="0" w:color="auto"/>
        <w:bottom w:val="none" w:sz="0" w:space="0" w:color="auto"/>
        <w:right w:val="none" w:sz="0" w:space="0" w:color="auto"/>
      </w:divBdr>
    </w:div>
    <w:div w:id="445782138">
      <w:bodyDiv w:val="1"/>
      <w:marLeft w:val="0"/>
      <w:marRight w:val="0"/>
      <w:marTop w:val="0"/>
      <w:marBottom w:val="0"/>
      <w:divBdr>
        <w:top w:val="none" w:sz="0" w:space="0" w:color="auto"/>
        <w:left w:val="none" w:sz="0" w:space="0" w:color="auto"/>
        <w:bottom w:val="none" w:sz="0" w:space="0" w:color="auto"/>
        <w:right w:val="none" w:sz="0" w:space="0" w:color="auto"/>
      </w:divBdr>
    </w:div>
    <w:div w:id="445926254">
      <w:bodyDiv w:val="1"/>
      <w:marLeft w:val="0"/>
      <w:marRight w:val="0"/>
      <w:marTop w:val="0"/>
      <w:marBottom w:val="0"/>
      <w:divBdr>
        <w:top w:val="none" w:sz="0" w:space="0" w:color="auto"/>
        <w:left w:val="none" w:sz="0" w:space="0" w:color="auto"/>
        <w:bottom w:val="none" w:sz="0" w:space="0" w:color="auto"/>
        <w:right w:val="none" w:sz="0" w:space="0" w:color="auto"/>
      </w:divBdr>
    </w:div>
    <w:div w:id="445928796">
      <w:bodyDiv w:val="1"/>
      <w:marLeft w:val="0"/>
      <w:marRight w:val="0"/>
      <w:marTop w:val="0"/>
      <w:marBottom w:val="0"/>
      <w:divBdr>
        <w:top w:val="none" w:sz="0" w:space="0" w:color="auto"/>
        <w:left w:val="none" w:sz="0" w:space="0" w:color="auto"/>
        <w:bottom w:val="none" w:sz="0" w:space="0" w:color="auto"/>
        <w:right w:val="none" w:sz="0" w:space="0" w:color="auto"/>
      </w:divBdr>
    </w:div>
    <w:div w:id="445999753">
      <w:bodyDiv w:val="1"/>
      <w:marLeft w:val="0"/>
      <w:marRight w:val="0"/>
      <w:marTop w:val="0"/>
      <w:marBottom w:val="0"/>
      <w:divBdr>
        <w:top w:val="none" w:sz="0" w:space="0" w:color="auto"/>
        <w:left w:val="none" w:sz="0" w:space="0" w:color="auto"/>
        <w:bottom w:val="none" w:sz="0" w:space="0" w:color="auto"/>
        <w:right w:val="none" w:sz="0" w:space="0" w:color="auto"/>
      </w:divBdr>
    </w:div>
    <w:div w:id="446048410">
      <w:bodyDiv w:val="1"/>
      <w:marLeft w:val="0"/>
      <w:marRight w:val="0"/>
      <w:marTop w:val="0"/>
      <w:marBottom w:val="0"/>
      <w:divBdr>
        <w:top w:val="none" w:sz="0" w:space="0" w:color="auto"/>
        <w:left w:val="none" w:sz="0" w:space="0" w:color="auto"/>
        <w:bottom w:val="none" w:sz="0" w:space="0" w:color="auto"/>
        <w:right w:val="none" w:sz="0" w:space="0" w:color="auto"/>
      </w:divBdr>
    </w:div>
    <w:div w:id="446124017">
      <w:bodyDiv w:val="1"/>
      <w:marLeft w:val="0"/>
      <w:marRight w:val="0"/>
      <w:marTop w:val="0"/>
      <w:marBottom w:val="0"/>
      <w:divBdr>
        <w:top w:val="none" w:sz="0" w:space="0" w:color="auto"/>
        <w:left w:val="none" w:sz="0" w:space="0" w:color="auto"/>
        <w:bottom w:val="none" w:sz="0" w:space="0" w:color="auto"/>
        <w:right w:val="none" w:sz="0" w:space="0" w:color="auto"/>
      </w:divBdr>
    </w:div>
    <w:div w:id="446127094">
      <w:bodyDiv w:val="1"/>
      <w:marLeft w:val="0"/>
      <w:marRight w:val="0"/>
      <w:marTop w:val="0"/>
      <w:marBottom w:val="0"/>
      <w:divBdr>
        <w:top w:val="none" w:sz="0" w:space="0" w:color="auto"/>
        <w:left w:val="none" w:sz="0" w:space="0" w:color="auto"/>
        <w:bottom w:val="none" w:sz="0" w:space="0" w:color="auto"/>
        <w:right w:val="none" w:sz="0" w:space="0" w:color="auto"/>
      </w:divBdr>
    </w:div>
    <w:div w:id="446314012">
      <w:bodyDiv w:val="1"/>
      <w:marLeft w:val="0"/>
      <w:marRight w:val="0"/>
      <w:marTop w:val="0"/>
      <w:marBottom w:val="0"/>
      <w:divBdr>
        <w:top w:val="none" w:sz="0" w:space="0" w:color="auto"/>
        <w:left w:val="none" w:sz="0" w:space="0" w:color="auto"/>
        <w:bottom w:val="none" w:sz="0" w:space="0" w:color="auto"/>
        <w:right w:val="none" w:sz="0" w:space="0" w:color="auto"/>
      </w:divBdr>
    </w:div>
    <w:div w:id="446392237">
      <w:bodyDiv w:val="1"/>
      <w:marLeft w:val="0"/>
      <w:marRight w:val="0"/>
      <w:marTop w:val="0"/>
      <w:marBottom w:val="0"/>
      <w:divBdr>
        <w:top w:val="none" w:sz="0" w:space="0" w:color="auto"/>
        <w:left w:val="none" w:sz="0" w:space="0" w:color="auto"/>
        <w:bottom w:val="none" w:sz="0" w:space="0" w:color="auto"/>
        <w:right w:val="none" w:sz="0" w:space="0" w:color="auto"/>
      </w:divBdr>
    </w:div>
    <w:div w:id="446462196">
      <w:bodyDiv w:val="1"/>
      <w:marLeft w:val="0"/>
      <w:marRight w:val="0"/>
      <w:marTop w:val="0"/>
      <w:marBottom w:val="0"/>
      <w:divBdr>
        <w:top w:val="none" w:sz="0" w:space="0" w:color="auto"/>
        <w:left w:val="none" w:sz="0" w:space="0" w:color="auto"/>
        <w:bottom w:val="none" w:sz="0" w:space="0" w:color="auto"/>
        <w:right w:val="none" w:sz="0" w:space="0" w:color="auto"/>
      </w:divBdr>
    </w:div>
    <w:div w:id="446584228">
      <w:bodyDiv w:val="1"/>
      <w:marLeft w:val="0"/>
      <w:marRight w:val="0"/>
      <w:marTop w:val="0"/>
      <w:marBottom w:val="0"/>
      <w:divBdr>
        <w:top w:val="none" w:sz="0" w:space="0" w:color="auto"/>
        <w:left w:val="none" w:sz="0" w:space="0" w:color="auto"/>
        <w:bottom w:val="none" w:sz="0" w:space="0" w:color="auto"/>
        <w:right w:val="none" w:sz="0" w:space="0" w:color="auto"/>
      </w:divBdr>
    </w:div>
    <w:div w:id="446627992">
      <w:bodyDiv w:val="1"/>
      <w:marLeft w:val="0"/>
      <w:marRight w:val="0"/>
      <w:marTop w:val="0"/>
      <w:marBottom w:val="0"/>
      <w:divBdr>
        <w:top w:val="none" w:sz="0" w:space="0" w:color="auto"/>
        <w:left w:val="none" w:sz="0" w:space="0" w:color="auto"/>
        <w:bottom w:val="none" w:sz="0" w:space="0" w:color="auto"/>
        <w:right w:val="none" w:sz="0" w:space="0" w:color="auto"/>
      </w:divBdr>
    </w:div>
    <w:div w:id="446629934">
      <w:bodyDiv w:val="1"/>
      <w:marLeft w:val="0"/>
      <w:marRight w:val="0"/>
      <w:marTop w:val="0"/>
      <w:marBottom w:val="0"/>
      <w:divBdr>
        <w:top w:val="none" w:sz="0" w:space="0" w:color="auto"/>
        <w:left w:val="none" w:sz="0" w:space="0" w:color="auto"/>
        <w:bottom w:val="none" w:sz="0" w:space="0" w:color="auto"/>
        <w:right w:val="none" w:sz="0" w:space="0" w:color="auto"/>
      </w:divBdr>
    </w:div>
    <w:div w:id="446702908">
      <w:bodyDiv w:val="1"/>
      <w:marLeft w:val="0"/>
      <w:marRight w:val="0"/>
      <w:marTop w:val="0"/>
      <w:marBottom w:val="0"/>
      <w:divBdr>
        <w:top w:val="none" w:sz="0" w:space="0" w:color="auto"/>
        <w:left w:val="none" w:sz="0" w:space="0" w:color="auto"/>
        <w:bottom w:val="none" w:sz="0" w:space="0" w:color="auto"/>
        <w:right w:val="none" w:sz="0" w:space="0" w:color="auto"/>
      </w:divBdr>
    </w:div>
    <w:div w:id="446895371">
      <w:bodyDiv w:val="1"/>
      <w:marLeft w:val="0"/>
      <w:marRight w:val="0"/>
      <w:marTop w:val="0"/>
      <w:marBottom w:val="0"/>
      <w:divBdr>
        <w:top w:val="none" w:sz="0" w:space="0" w:color="auto"/>
        <w:left w:val="none" w:sz="0" w:space="0" w:color="auto"/>
        <w:bottom w:val="none" w:sz="0" w:space="0" w:color="auto"/>
        <w:right w:val="none" w:sz="0" w:space="0" w:color="auto"/>
      </w:divBdr>
    </w:div>
    <w:div w:id="446897376">
      <w:bodyDiv w:val="1"/>
      <w:marLeft w:val="0"/>
      <w:marRight w:val="0"/>
      <w:marTop w:val="0"/>
      <w:marBottom w:val="0"/>
      <w:divBdr>
        <w:top w:val="none" w:sz="0" w:space="0" w:color="auto"/>
        <w:left w:val="none" w:sz="0" w:space="0" w:color="auto"/>
        <w:bottom w:val="none" w:sz="0" w:space="0" w:color="auto"/>
        <w:right w:val="none" w:sz="0" w:space="0" w:color="auto"/>
      </w:divBdr>
    </w:div>
    <w:div w:id="446966462">
      <w:bodyDiv w:val="1"/>
      <w:marLeft w:val="0"/>
      <w:marRight w:val="0"/>
      <w:marTop w:val="0"/>
      <w:marBottom w:val="0"/>
      <w:divBdr>
        <w:top w:val="none" w:sz="0" w:space="0" w:color="auto"/>
        <w:left w:val="none" w:sz="0" w:space="0" w:color="auto"/>
        <w:bottom w:val="none" w:sz="0" w:space="0" w:color="auto"/>
        <w:right w:val="none" w:sz="0" w:space="0" w:color="auto"/>
      </w:divBdr>
    </w:div>
    <w:div w:id="446969940">
      <w:bodyDiv w:val="1"/>
      <w:marLeft w:val="0"/>
      <w:marRight w:val="0"/>
      <w:marTop w:val="0"/>
      <w:marBottom w:val="0"/>
      <w:divBdr>
        <w:top w:val="none" w:sz="0" w:space="0" w:color="auto"/>
        <w:left w:val="none" w:sz="0" w:space="0" w:color="auto"/>
        <w:bottom w:val="none" w:sz="0" w:space="0" w:color="auto"/>
        <w:right w:val="none" w:sz="0" w:space="0" w:color="auto"/>
      </w:divBdr>
    </w:div>
    <w:div w:id="447118009">
      <w:bodyDiv w:val="1"/>
      <w:marLeft w:val="0"/>
      <w:marRight w:val="0"/>
      <w:marTop w:val="0"/>
      <w:marBottom w:val="0"/>
      <w:divBdr>
        <w:top w:val="none" w:sz="0" w:space="0" w:color="auto"/>
        <w:left w:val="none" w:sz="0" w:space="0" w:color="auto"/>
        <w:bottom w:val="none" w:sz="0" w:space="0" w:color="auto"/>
        <w:right w:val="none" w:sz="0" w:space="0" w:color="auto"/>
      </w:divBdr>
    </w:div>
    <w:div w:id="447430849">
      <w:bodyDiv w:val="1"/>
      <w:marLeft w:val="0"/>
      <w:marRight w:val="0"/>
      <w:marTop w:val="0"/>
      <w:marBottom w:val="0"/>
      <w:divBdr>
        <w:top w:val="none" w:sz="0" w:space="0" w:color="auto"/>
        <w:left w:val="none" w:sz="0" w:space="0" w:color="auto"/>
        <w:bottom w:val="none" w:sz="0" w:space="0" w:color="auto"/>
        <w:right w:val="none" w:sz="0" w:space="0" w:color="auto"/>
      </w:divBdr>
    </w:div>
    <w:div w:id="447433410">
      <w:bodyDiv w:val="1"/>
      <w:marLeft w:val="0"/>
      <w:marRight w:val="0"/>
      <w:marTop w:val="0"/>
      <w:marBottom w:val="0"/>
      <w:divBdr>
        <w:top w:val="none" w:sz="0" w:space="0" w:color="auto"/>
        <w:left w:val="none" w:sz="0" w:space="0" w:color="auto"/>
        <w:bottom w:val="none" w:sz="0" w:space="0" w:color="auto"/>
        <w:right w:val="none" w:sz="0" w:space="0" w:color="auto"/>
      </w:divBdr>
    </w:div>
    <w:div w:id="447552327">
      <w:bodyDiv w:val="1"/>
      <w:marLeft w:val="0"/>
      <w:marRight w:val="0"/>
      <w:marTop w:val="0"/>
      <w:marBottom w:val="0"/>
      <w:divBdr>
        <w:top w:val="none" w:sz="0" w:space="0" w:color="auto"/>
        <w:left w:val="none" w:sz="0" w:space="0" w:color="auto"/>
        <w:bottom w:val="none" w:sz="0" w:space="0" w:color="auto"/>
        <w:right w:val="none" w:sz="0" w:space="0" w:color="auto"/>
      </w:divBdr>
    </w:div>
    <w:div w:id="447624325">
      <w:bodyDiv w:val="1"/>
      <w:marLeft w:val="0"/>
      <w:marRight w:val="0"/>
      <w:marTop w:val="0"/>
      <w:marBottom w:val="0"/>
      <w:divBdr>
        <w:top w:val="none" w:sz="0" w:space="0" w:color="auto"/>
        <w:left w:val="none" w:sz="0" w:space="0" w:color="auto"/>
        <w:bottom w:val="none" w:sz="0" w:space="0" w:color="auto"/>
        <w:right w:val="none" w:sz="0" w:space="0" w:color="auto"/>
      </w:divBdr>
    </w:div>
    <w:div w:id="447627082">
      <w:bodyDiv w:val="1"/>
      <w:marLeft w:val="0"/>
      <w:marRight w:val="0"/>
      <w:marTop w:val="0"/>
      <w:marBottom w:val="0"/>
      <w:divBdr>
        <w:top w:val="none" w:sz="0" w:space="0" w:color="auto"/>
        <w:left w:val="none" w:sz="0" w:space="0" w:color="auto"/>
        <w:bottom w:val="none" w:sz="0" w:space="0" w:color="auto"/>
        <w:right w:val="none" w:sz="0" w:space="0" w:color="auto"/>
      </w:divBdr>
    </w:div>
    <w:div w:id="447698258">
      <w:bodyDiv w:val="1"/>
      <w:marLeft w:val="0"/>
      <w:marRight w:val="0"/>
      <w:marTop w:val="0"/>
      <w:marBottom w:val="0"/>
      <w:divBdr>
        <w:top w:val="none" w:sz="0" w:space="0" w:color="auto"/>
        <w:left w:val="none" w:sz="0" w:space="0" w:color="auto"/>
        <w:bottom w:val="none" w:sz="0" w:space="0" w:color="auto"/>
        <w:right w:val="none" w:sz="0" w:space="0" w:color="auto"/>
      </w:divBdr>
    </w:div>
    <w:div w:id="447700870">
      <w:bodyDiv w:val="1"/>
      <w:marLeft w:val="0"/>
      <w:marRight w:val="0"/>
      <w:marTop w:val="0"/>
      <w:marBottom w:val="0"/>
      <w:divBdr>
        <w:top w:val="none" w:sz="0" w:space="0" w:color="auto"/>
        <w:left w:val="none" w:sz="0" w:space="0" w:color="auto"/>
        <w:bottom w:val="none" w:sz="0" w:space="0" w:color="auto"/>
        <w:right w:val="none" w:sz="0" w:space="0" w:color="auto"/>
      </w:divBdr>
    </w:div>
    <w:div w:id="447819759">
      <w:bodyDiv w:val="1"/>
      <w:marLeft w:val="0"/>
      <w:marRight w:val="0"/>
      <w:marTop w:val="0"/>
      <w:marBottom w:val="0"/>
      <w:divBdr>
        <w:top w:val="none" w:sz="0" w:space="0" w:color="auto"/>
        <w:left w:val="none" w:sz="0" w:space="0" w:color="auto"/>
        <w:bottom w:val="none" w:sz="0" w:space="0" w:color="auto"/>
        <w:right w:val="none" w:sz="0" w:space="0" w:color="auto"/>
      </w:divBdr>
    </w:div>
    <w:div w:id="447895175">
      <w:bodyDiv w:val="1"/>
      <w:marLeft w:val="0"/>
      <w:marRight w:val="0"/>
      <w:marTop w:val="0"/>
      <w:marBottom w:val="0"/>
      <w:divBdr>
        <w:top w:val="none" w:sz="0" w:space="0" w:color="auto"/>
        <w:left w:val="none" w:sz="0" w:space="0" w:color="auto"/>
        <w:bottom w:val="none" w:sz="0" w:space="0" w:color="auto"/>
        <w:right w:val="none" w:sz="0" w:space="0" w:color="auto"/>
      </w:divBdr>
    </w:div>
    <w:div w:id="447966979">
      <w:bodyDiv w:val="1"/>
      <w:marLeft w:val="0"/>
      <w:marRight w:val="0"/>
      <w:marTop w:val="0"/>
      <w:marBottom w:val="0"/>
      <w:divBdr>
        <w:top w:val="none" w:sz="0" w:space="0" w:color="auto"/>
        <w:left w:val="none" w:sz="0" w:space="0" w:color="auto"/>
        <w:bottom w:val="none" w:sz="0" w:space="0" w:color="auto"/>
        <w:right w:val="none" w:sz="0" w:space="0" w:color="auto"/>
      </w:divBdr>
    </w:div>
    <w:div w:id="448158735">
      <w:bodyDiv w:val="1"/>
      <w:marLeft w:val="0"/>
      <w:marRight w:val="0"/>
      <w:marTop w:val="0"/>
      <w:marBottom w:val="0"/>
      <w:divBdr>
        <w:top w:val="none" w:sz="0" w:space="0" w:color="auto"/>
        <w:left w:val="none" w:sz="0" w:space="0" w:color="auto"/>
        <w:bottom w:val="none" w:sz="0" w:space="0" w:color="auto"/>
        <w:right w:val="none" w:sz="0" w:space="0" w:color="auto"/>
      </w:divBdr>
    </w:div>
    <w:div w:id="448164343">
      <w:bodyDiv w:val="1"/>
      <w:marLeft w:val="0"/>
      <w:marRight w:val="0"/>
      <w:marTop w:val="0"/>
      <w:marBottom w:val="0"/>
      <w:divBdr>
        <w:top w:val="none" w:sz="0" w:space="0" w:color="auto"/>
        <w:left w:val="none" w:sz="0" w:space="0" w:color="auto"/>
        <w:bottom w:val="none" w:sz="0" w:space="0" w:color="auto"/>
        <w:right w:val="none" w:sz="0" w:space="0" w:color="auto"/>
      </w:divBdr>
    </w:div>
    <w:div w:id="448202414">
      <w:bodyDiv w:val="1"/>
      <w:marLeft w:val="0"/>
      <w:marRight w:val="0"/>
      <w:marTop w:val="0"/>
      <w:marBottom w:val="0"/>
      <w:divBdr>
        <w:top w:val="none" w:sz="0" w:space="0" w:color="auto"/>
        <w:left w:val="none" w:sz="0" w:space="0" w:color="auto"/>
        <w:bottom w:val="none" w:sz="0" w:space="0" w:color="auto"/>
        <w:right w:val="none" w:sz="0" w:space="0" w:color="auto"/>
      </w:divBdr>
    </w:div>
    <w:div w:id="448278424">
      <w:bodyDiv w:val="1"/>
      <w:marLeft w:val="0"/>
      <w:marRight w:val="0"/>
      <w:marTop w:val="0"/>
      <w:marBottom w:val="0"/>
      <w:divBdr>
        <w:top w:val="none" w:sz="0" w:space="0" w:color="auto"/>
        <w:left w:val="none" w:sz="0" w:space="0" w:color="auto"/>
        <w:bottom w:val="none" w:sz="0" w:space="0" w:color="auto"/>
        <w:right w:val="none" w:sz="0" w:space="0" w:color="auto"/>
      </w:divBdr>
    </w:div>
    <w:div w:id="448278526">
      <w:bodyDiv w:val="1"/>
      <w:marLeft w:val="0"/>
      <w:marRight w:val="0"/>
      <w:marTop w:val="0"/>
      <w:marBottom w:val="0"/>
      <w:divBdr>
        <w:top w:val="none" w:sz="0" w:space="0" w:color="auto"/>
        <w:left w:val="none" w:sz="0" w:space="0" w:color="auto"/>
        <w:bottom w:val="none" w:sz="0" w:space="0" w:color="auto"/>
        <w:right w:val="none" w:sz="0" w:space="0" w:color="auto"/>
      </w:divBdr>
    </w:div>
    <w:div w:id="448285041">
      <w:bodyDiv w:val="1"/>
      <w:marLeft w:val="0"/>
      <w:marRight w:val="0"/>
      <w:marTop w:val="0"/>
      <w:marBottom w:val="0"/>
      <w:divBdr>
        <w:top w:val="none" w:sz="0" w:space="0" w:color="auto"/>
        <w:left w:val="none" w:sz="0" w:space="0" w:color="auto"/>
        <w:bottom w:val="none" w:sz="0" w:space="0" w:color="auto"/>
        <w:right w:val="none" w:sz="0" w:space="0" w:color="auto"/>
      </w:divBdr>
    </w:div>
    <w:div w:id="448476060">
      <w:bodyDiv w:val="1"/>
      <w:marLeft w:val="0"/>
      <w:marRight w:val="0"/>
      <w:marTop w:val="0"/>
      <w:marBottom w:val="0"/>
      <w:divBdr>
        <w:top w:val="none" w:sz="0" w:space="0" w:color="auto"/>
        <w:left w:val="none" w:sz="0" w:space="0" w:color="auto"/>
        <w:bottom w:val="none" w:sz="0" w:space="0" w:color="auto"/>
        <w:right w:val="none" w:sz="0" w:space="0" w:color="auto"/>
      </w:divBdr>
    </w:div>
    <w:div w:id="448552696">
      <w:bodyDiv w:val="1"/>
      <w:marLeft w:val="0"/>
      <w:marRight w:val="0"/>
      <w:marTop w:val="0"/>
      <w:marBottom w:val="0"/>
      <w:divBdr>
        <w:top w:val="none" w:sz="0" w:space="0" w:color="auto"/>
        <w:left w:val="none" w:sz="0" w:space="0" w:color="auto"/>
        <w:bottom w:val="none" w:sz="0" w:space="0" w:color="auto"/>
        <w:right w:val="none" w:sz="0" w:space="0" w:color="auto"/>
      </w:divBdr>
    </w:div>
    <w:div w:id="448621726">
      <w:bodyDiv w:val="1"/>
      <w:marLeft w:val="0"/>
      <w:marRight w:val="0"/>
      <w:marTop w:val="0"/>
      <w:marBottom w:val="0"/>
      <w:divBdr>
        <w:top w:val="none" w:sz="0" w:space="0" w:color="auto"/>
        <w:left w:val="none" w:sz="0" w:space="0" w:color="auto"/>
        <w:bottom w:val="none" w:sz="0" w:space="0" w:color="auto"/>
        <w:right w:val="none" w:sz="0" w:space="0" w:color="auto"/>
      </w:divBdr>
    </w:div>
    <w:div w:id="448667928">
      <w:bodyDiv w:val="1"/>
      <w:marLeft w:val="0"/>
      <w:marRight w:val="0"/>
      <w:marTop w:val="0"/>
      <w:marBottom w:val="0"/>
      <w:divBdr>
        <w:top w:val="none" w:sz="0" w:space="0" w:color="auto"/>
        <w:left w:val="none" w:sz="0" w:space="0" w:color="auto"/>
        <w:bottom w:val="none" w:sz="0" w:space="0" w:color="auto"/>
        <w:right w:val="none" w:sz="0" w:space="0" w:color="auto"/>
      </w:divBdr>
    </w:div>
    <w:div w:id="448672591">
      <w:bodyDiv w:val="1"/>
      <w:marLeft w:val="0"/>
      <w:marRight w:val="0"/>
      <w:marTop w:val="0"/>
      <w:marBottom w:val="0"/>
      <w:divBdr>
        <w:top w:val="none" w:sz="0" w:space="0" w:color="auto"/>
        <w:left w:val="none" w:sz="0" w:space="0" w:color="auto"/>
        <w:bottom w:val="none" w:sz="0" w:space="0" w:color="auto"/>
        <w:right w:val="none" w:sz="0" w:space="0" w:color="auto"/>
      </w:divBdr>
    </w:div>
    <w:div w:id="448860493">
      <w:bodyDiv w:val="1"/>
      <w:marLeft w:val="0"/>
      <w:marRight w:val="0"/>
      <w:marTop w:val="0"/>
      <w:marBottom w:val="0"/>
      <w:divBdr>
        <w:top w:val="none" w:sz="0" w:space="0" w:color="auto"/>
        <w:left w:val="none" w:sz="0" w:space="0" w:color="auto"/>
        <w:bottom w:val="none" w:sz="0" w:space="0" w:color="auto"/>
        <w:right w:val="none" w:sz="0" w:space="0" w:color="auto"/>
      </w:divBdr>
    </w:div>
    <w:div w:id="448862120">
      <w:bodyDiv w:val="1"/>
      <w:marLeft w:val="0"/>
      <w:marRight w:val="0"/>
      <w:marTop w:val="0"/>
      <w:marBottom w:val="0"/>
      <w:divBdr>
        <w:top w:val="none" w:sz="0" w:space="0" w:color="auto"/>
        <w:left w:val="none" w:sz="0" w:space="0" w:color="auto"/>
        <w:bottom w:val="none" w:sz="0" w:space="0" w:color="auto"/>
        <w:right w:val="none" w:sz="0" w:space="0" w:color="auto"/>
      </w:divBdr>
    </w:div>
    <w:div w:id="448932054">
      <w:bodyDiv w:val="1"/>
      <w:marLeft w:val="0"/>
      <w:marRight w:val="0"/>
      <w:marTop w:val="0"/>
      <w:marBottom w:val="0"/>
      <w:divBdr>
        <w:top w:val="none" w:sz="0" w:space="0" w:color="auto"/>
        <w:left w:val="none" w:sz="0" w:space="0" w:color="auto"/>
        <w:bottom w:val="none" w:sz="0" w:space="0" w:color="auto"/>
        <w:right w:val="none" w:sz="0" w:space="0" w:color="auto"/>
      </w:divBdr>
    </w:div>
    <w:div w:id="449013309">
      <w:bodyDiv w:val="1"/>
      <w:marLeft w:val="0"/>
      <w:marRight w:val="0"/>
      <w:marTop w:val="0"/>
      <w:marBottom w:val="0"/>
      <w:divBdr>
        <w:top w:val="none" w:sz="0" w:space="0" w:color="auto"/>
        <w:left w:val="none" w:sz="0" w:space="0" w:color="auto"/>
        <w:bottom w:val="none" w:sz="0" w:space="0" w:color="auto"/>
        <w:right w:val="none" w:sz="0" w:space="0" w:color="auto"/>
      </w:divBdr>
    </w:div>
    <w:div w:id="449015457">
      <w:bodyDiv w:val="1"/>
      <w:marLeft w:val="0"/>
      <w:marRight w:val="0"/>
      <w:marTop w:val="0"/>
      <w:marBottom w:val="0"/>
      <w:divBdr>
        <w:top w:val="none" w:sz="0" w:space="0" w:color="auto"/>
        <w:left w:val="none" w:sz="0" w:space="0" w:color="auto"/>
        <w:bottom w:val="none" w:sz="0" w:space="0" w:color="auto"/>
        <w:right w:val="none" w:sz="0" w:space="0" w:color="auto"/>
      </w:divBdr>
    </w:div>
    <w:div w:id="449053920">
      <w:bodyDiv w:val="1"/>
      <w:marLeft w:val="0"/>
      <w:marRight w:val="0"/>
      <w:marTop w:val="0"/>
      <w:marBottom w:val="0"/>
      <w:divBdr>
        <w:top w:val="none" w:sz="0" w:space="0" w:color="auto"/>
        <w:left w:val="none" w:sz="0" w:space="0" w:color="auto"/>
        <w:bottom w:val="none" w:sz="0" w:space="0" w:color="auto"/>
        <w:right w:val="none" w:sz="0" w:space="0" w:color="auto"/>
      </w:divBdr>
    </w:div>
    <w:div w:id="449276676">
      <w:bodyDiv w:val="1"/>
      <w:marLeft w:val="0"/>
      <w:marRight w:val="0"/>
      <w:marTop w:val="0"/>
      <w:marBottom w:val="0"/>
      <w:divBdr>
        <w:top w:val="none" w:sz="0" w:space="0" w:color="auto"/>
        <w:left w:val="none" w:sz="0" w:space="0" w:color="auto"/>
        <w:bottom w:val="none" w:sz="0" w:space="0" w:color="auto"/>
        <w:right w:val="none" w:sz="0" w:space="0" w:color="auto"/>
      </w:divBdr>
    </w:div>
    <w:div w:id="449325626">
      <w:bodyDiv w:val="1"/>
      <w:marLeft w:val="0"/>
      <w:marRight w:val="0"/>
      <w:marTop w:val="0"/>
      <w:marBottom w:val="0"/>
      <w:divBdr>
        <w:top w:val="none" w:sz="0" w:space="0" w:color="auto"/>
        <w:left w:val="none" w:sz="0" w:space="0" w:color="auto"/>
        <w:bottom w:val="none" w:sz="0" w:space="0" w:color="auto"/>
        <w:right w:val="none" w:sz="0" w:space="0" w:color="auto"/>
      </w:divBdr>
    </w:div>
    <w:div w:id="449402476">
      <w:bodyDiv w:val="1"/>
      <w:marLeft w:val="0"/>
      <w:marRight w:val="0"/>
      <w:marTop w:val="0"/>
      <w:marBottom w:val="0"/>
      <w:divBdr>
        <w:top w:val="none" w:sz="0" w:space="0" w:color="auto"/>
        <w:left w:val="none" w:sz="0" w:space="0" w:color="auto"/>
        <w:bottom w:val="none" w:sz="0" w:space="0" w:color="auto"/>
        <w:right w:val="none" w:sz="0" w:space="0" w:color="auto"/>
      </w:divBdr>
    </w:div>
    <w:div w:id="449402620">
      <w:bodyDiv w:val="1"/>
      <w:marLeft w:val="0"/>
      <w:marRight w:val="0"/>
      <w:marTop w:val="0"/>
      <w:marBottom w:val="0"/>
      <w:divBdr>
        <w:top w:val="none" w:sz="0" w:space="0" w:color="auto"/>
        <w:left w:val="none" w:sz="0" w:space="0" w:color="auto"/>
        <w:bottom w:val="none" w:sz="0" w:space="0" w:color="auto"/>
        <w:right w:val="none" w:sz="0" w:space="0" w:color="auto"/>
      </w:divBdr>
    </w:div>
    <w:div w:id="449511773">
      <w:bodyDiv w:val="1"/>
      <w:marLeft w:val="0"/>
      <w:marRight w:val="0"/>
      <w:marTop w:val="0"/>
      <w:marBottom w:val="0"/>
      <w:divBdr>
        <w:top w:val="none" w:sz="0" w:space="0" w:color="auto"/>
        <w:left w:val="none" w:sz="0" w:space="0" w:color="auto"/>
        <w:bottom w:val="none" w:sz="0" w:space="0" w:color="auto"/>
        <w:right w:val="none" w:sz="0" w:space="0" w:color="auto"/>
      </w:divBdr>
    </w:div>
    <w:div w:id="449513924">
      <w:bodyDiv w:val="1"/>
      <w:marLeft w:val="0"/>
      <w:marRight w:val="0"/>
      <w:marTop w:val="0"/>
      <w:marBottom w:val="0"/>
      <w:divBdr>
        <w:top w:val="none" w:sz="0" w:space="0" w:color="auto"/>
        <w:left w:val="none" w:sz="0" w:space="0" w:color="auto"/>
        <w:bottom w:val="none" w:sz="0" w:space="0" w:color="auto"/>
        <w:right w:val="none" w:sz="0" w:space="0" w:color="auto"/>
      </w:divBdr>
    </w:div>
    <w:div w:id="449521170">
      <w:bodyDiv w:val="1"/>
      <w:marLeft w:val="0"/>
      <w:marRight w:val="0"/>
      <w:marTop w:val="0"/>
      <w:marBottom w:val="0"/>
      <w:divBdr>
        <w:top w:val="none" w:sz="0" w:space="0" w:color="auto"/>
        <w:left w:val="none" w:sz="0" w:space="0" w:color="auto"/>
        <w:bottom w:val="none" w:sz="0" w:space="0" w:color="auto"/>
        <w:right w:val="none" w:sz="0" w:space="0" w:color="auto"/>
      </w:divBdr>
    </w:div>
    <w:div w:id="449588607">
      <w:bodyDiv w:val="1"/>
      <w:marLeft w:val="0"/>
      <w:marRight w:val="0"/>
      <w:marTop w:val="0"/>
      <w:marBottom w:val="0"/>
      <w:divBdr>
        <w:top w:val="none" w:sz="0" w:space="0" w:color="auto"/>
        <w:left w:val="none" w:sz="0" w:space="0" w:color="auto"/>
        <w:bottom w:val="none" w:sz="0" w:space="0" w:color="auto"/>
        <w:right w:val="none" w:sz="0" w:space="0" w:color="auto"/>
      </w:divBdr>
    </w:div>
    <w:div w:id="449662769">
      <w:bodyDiv w:val="1"/>
      <w:marLeft w:val="0"/>
      <w:marRight w:val="0"/>
      <w:marTop w:val="0"/>
      <w:marBottom w:val="0"/>
      <w:divBdr>
        <w:top w:val="none" w:sz="0" w:space="0" w:color="auto"/>
        <w:left w:val="none" w:sz="0" w:space="0" w:color="auto"/>
        <w:bottom w:val="none" w:sz="0" w:space="0" w:color="auto"/>
        <w:right w:val="none" w:sz="0" w:space="0" w:color="auto"/>
      </w:divBdr>
    </w:div>
    <w:div w:id="449708161">
      <w:bodyDiv w:val="1"/>
      <w:marLeft w:val="0"/>
      <w:marRight w:val="0"/>
      <w:marTop w:val="0"/>
      <w:marBottom w:val="0"/>
      <w:divBdr>
        <w:top w:val="none" w:sz="0" w:space="0" w:color="auto"/>
        <w:left w:val="none" w:sz="0" w:space="0" w:color="auto"/>
        <w:bottom w:val="none" w:sz="0" w:space="0" w:color="auto"/>
        <w:right w:val="none" w:sz="0" w:space="0" w:color="auto"/>
      </w:divBdr>
    </w:div>
    <w:div w:id="449709283">
      <w:bodyDiv w:val="1"/>
      <w:marLeft w:val="0"/>
      <w:marRight w:val="0"/>
      <w:marTop w:val="0"/>
      <w:marBottom w:val="0"/>
      <w:divBdr>
        <w:top w:val="none" w:sz="0" w:space="0" w:color="auto"/>
        <w:left w:val="none" w:sz="0" w:space="0" w:color="auto"/>
        <w:bottom w:val="none" w:sz="0" w:space="0" w:color="auto"/>
        <w:right w:val="none" w:sz="0" w:space="0" w:color="auto"/>
      </w:divBdr>
    </w:div>
    <w:div w:id="449785947">
      <w:bodyDiv w:val="1"/>
      <w:marLeft w:val="0"/>
      <w:marRight w:val="0"/>
      <w:marTop w:val="0"/>
      <w:marBottom w:val="0"/>
      <w:divBdr>
        <w:top w:val="none" w:sz="0" w:space="0" w:color="auto"/>
        <w:left w:val="none" w:sz="0" w:space="0" w:color="auto"/>
        <w:bottom w:val="none" w:sz="0" w:space="0" w:color="auto"/>
        <w:right w:val="none" w:sz="0" w:space="0" w:color="auto"/>
      </w:divBdr>
    </w:div>
    <w:div w:id="449905506">
      <w:bodyDiv w:val="1"/>
      <w:marLeft w:val="0"/>
      <w:marRight w:val="0"/>
      <w:marTop w:val="0"/>
      <w:marBottom w:val="0"/>
      <w:divBdr>
        <w:top w:val="none" w:sz="0" w:space="0" w:color="auto"/>
        <w:left w:val="none" w:sz="0" w:space="0" w:color="auto"/>
        <w:bottom w:val="none" w:sz="0" w:space="0" w:color="auto"/>
        <w:right w:val="none" w:sz="0" w:space="0" w:color="auto"/>
      </w:divBdr>
    </w:div>
    <w:div w:id="449931356">
      <w:bodyDiv w:val="1"/>
      <w:marLeft w:val="0"/>
      <w:marRight w:val="0"/>
      <w:marTop w:val="0"/>
      <w:marBottom w:val="0"/>
      <w:divBdr>
        <w:top w:val="none" w:sz="0" w:space="0" w:color="auto"/>
        <w:left w:val="none" w:sz="0" w:space="0" w:color="auto"/>
        <w:bottom w:val="none" w:sz="0" w:space="0" w:color="auto"/>
        <w:right w:val="none" w:sz="0" w:space="0" w:color="auto"/>
      </w:divBdr>
    </w:div>
    <w:div w:id="449936986">
      <w:bodyDiv w:val="1"/>
      <w:marLeft w:val="0"/>
      <w:marRight w:val="0"/>
      <w:marTop w:val="0"/>
      <w:marBottom w:val="0"/>
      <w:divBdr>
        <w:top w:val="none" w:sz="0" w:space="0" w:color="auto"/>
        <w:left w:val="none" w:sz="0" w:space="0" w:color="auto"/>
        <w:bottom w:val="none" w:sz="0" w:space="0" w:color="auto"/>
        <w:right w:val="none" w:sz="0" w:space="0" w:color="auto"/>
      </w:divBdr>
    </w:div>
    <w:div w:id="449979715">
      <w:bodyDiv w:val="1"/>
      <w:marLeft w:val="0"/>
      <w:marRight w:val="0"/>
      <w:marTop w:val="0"/>
      <w:marBottom w:val="0"/>
      <w:divBdr>
        <w:top w:val="none" w:sz="0" w:space="0" w:color="auto"/>
        <w:left w:val="none" w:sz="0" w:space="0" w:color="auto"/>
        <w:bottom w:val="none" w:sz="0" w:space="0" w:color="auto"/>
        <w:right w:val="none" w:sz="0" w:space="0" w:color="auto"/>
      </w:divBdr>
    </w:div>
    <w:div w:id="449981116">
      <w:bodyDiv w:val="1"/>
      <w:marLeft w:val="0"/>
      <w:marRight w:val="0"/>
      <w:marTop w:val="0"/>
      <w:marBottom w:val="0"/>
      <w:divBdr>
        <w:top w:val="none" w:sz="0" w:space="0" w:color="auto"/>
        <w:left w:val="none" w:sz="0" w:space="0" w:color="auto"/>
        <w:bottom w:val="none" w:sz="0" w:space="0" w:color="auto"/>
        <w:right w:val="none" w:sz="0" w:space="0" w:color="auto"/>
      </w:divBdr>
    </w:div>
    <w:div w:id="450049483">
      <w:bodyDiv w:val="1"/>
      <w:marLeft w:val="0"/>
      <w:marRight w:val="0"/>
      <w:marTop w:val="0"/>
      <w:marBottom w:val="0"/>
      <w:divBdr>
        <w:top w:val="none" w:sz="0" w:space="0" w:color="auto"/>
        <w:left w:val="none" w:sz="0" w:space="0" w:color="auto"/>
        <w:bottom w:val="none" w:sz="0" w:space="0" w:color="auto"/>
        <w:right w:val="none" w:sz="0" w:space="0" w:color="auto"/>
      </w:divBdr>
    </w:div>
    <w:div w:id="450133527">
      <w:bodyDiv w:val="1"/>
      <w:marLeft w:val="0"/>
      <w:marRight w:val="0"/>
      <w:marTop w:val="0"/>
      <w:marBottom w:val="0"/>
      <w:divBdr>
        <w:top w:val="none" w:sz="0" w:space="0" w:color="auto"/>
        <w:left w:val="none" w:sz="0" w:space="0" w:color="auto"/>
        <w:bottom w:val="none" w:sz="0" w:space="0" w:color="auto"/>
        <w:right w:val="none" w:sz="0" w:space="0" w:color="auto"/>
      </w:divBdr>
    </w:div>
    <w:div w:id="450170244">
      <w:bodyDiv w:val="1"/>
      <w:marLeft w:val="0"/>
      <w:marRight w:val="0"/>
      <w:marTop w:val="0"/>
      <w:marBottom w:val="0"/>
      <w:divBdr>
        <w:top w:val="none" w:sz="0" w:space="0" w:color="auto"/>
        <w:left w:val="none" w:sz="0" w:space="0" w:color="auto"/>
        <w:bottom w:val="none" w:sz="0" w:space="0" w:color="auto"/>
        <w:right w:val="none" w:sz="0" w:space="0" w:color="auto"/>
      </w:divBdr>
    </w:div>
    <w:div w:id="450172528">
      <w:bodyDiv w:val="1"/>
      <w:marLeft w:val="0"/>
      <w:marRight w:val="0"/>
      <w:marTop w:val="0"/>
      <w:marBottom w:val="0"/>
      <w:divBdr>
        <w:top w:val="none" w:sz="0" w:space="0" w:color="auto"/>
        <w:left w:val="none" w:sz="0" w:space="0" w:color="auto"/>
        <w:bottom w:val="none" w:sz="0" w:space="0" w:color="auto"/>
        <w:right w:val="none" w:sz="0" w:space="0" w:color="auto"/>
      </w:divBdr>
    </w:div>
    <w:div w:id="450320441">
      <w:bodyDiv w:val="1"/>
      <w:marLeft w:val="0"/>
      <w:marRight w:val="0"/>
      <w:marTop w:val="0"/>
      <w:marBottom w:val="0"/>
      <w:divBdr>
        <w:top w:val="none" w:sz="0" w:space="0" w:color="auto"/>
        <w:left w:val="none" w:sz="0" w:space="0" w:color="auto"/>
        <w:bottom w:val="none" w:sz="0" w:space="0" w:color="auto"/>
        <w:right w:val="none" w:sz="0" w:space="0" w:color="auto"/>
      </w:divBdr>
    </w:div>
    <w:div w:id="450591428">
      <w:bodyDiv w:val="1"/>
      <w:marLeft w:val="0"/>
      <w:marRight w:val="0"/>
      <w:marTop w:val="0"/>
      <w:marBottom w:val="0"/>
      <w:divBdr>
        <w:top w:val="none" w:sz="0" w:space="0" w:color="auto"/>
        <w:left w:val="none" w:sz="0" w:space="0" w:color="auto"/>
        <w:bottom w:val="none" w:sz="0" w:space="0" w:color="auto"/>
        <w:right w:val="none" w:sz="0" w:space="0" w:color="auto"/>
      </w:divBdr>
    </w:div>
    <w:div w:id="450629124">
      <w:bodyDiv w:val="1"/>
      <w:marLeft w:val="0"/>
      <w:marRight w:val="0"/>
      <w:marTop w:val="0"/>
      <w:marBottom w:val="0"/>
      <w:divBdr>
        <w:top w:val="none" w:sz="0" w:space="0" w:color="auto"/>
        <w:left w:val="none" w:sz="0" w:space="0" w:color="auto"/>
        <w:bottom w:val="none" w:sz="0" w:space="0" w:color="auto"/>
        <w:right w:val="none" w:sz="0" w:space="0" w:color="auto"/>
      </w:divBdr>
    </w:div>
    <w:div w:id="450630297">
      <w:bodyDiv w:val="1"/>
      <w:marLeft w:val="0"/>
      <w:marRight w:val="0"/>
      <w:marTop w:val="0"/>
      <w:marBottom w:val="0"/>
      <w:divBdr>
        <w:top w:val="none" w:sz="0" w:space="0" w:color="auto"/>
        <w:left w:val="none" w:sz="0" w:space="0" w:color="auto"/>
        <w:bottom w:val="none" w:sz="0" w:space="0" w:color="auto"/>
        <w:right w:val="none" w:sz="0" w:space="0" w:color="auto"/>
      </w:divBdr>
    </w:div>
    <w:div w:id="450637233">
      <w:bodyDiv w:val="1"/>
      <w:marLeft w:val="0"/>
      <w:marRight w:val="0"/>
      <w:marTop w:val="0"/>
      <w:marBottom w:val="0"/>
      <w:divBdr>
        <w:top w:val="none" w:sz="0" w:space="0" w:color="auto"/>
        <w:left w:val="none" w:sz="0" w:space="0" w:color="auto"/>
        <w:bottom w:val="none" w:sz="0" w:space="0" w:color="auto"/>
        <w:right w:val="none" w:sz="0" w:space="0" w:color="auto"/>
      </w:divBdr>
    </w:div>
    <w:div w:id="450711857">
      <w:bodyDiv w:val="1"/>
      <w:marLeft w:val="0"/>
      <w:marRight w:val="0"/>
      <w:marTop w:val="0"/>
      <w:marBottom w:val="0"/>
      <w:divBdr>
        <w:top w:val="none" w:sz="0" w:space="0" w:color="auto"/>
        <w:left w:val="none" w:sz="0" w:space="0" w:color="auto"/>
        <w:bottom w:val="none" w:sz="0" w:space="0" w:color="auto"/>
        <w:right w:val="none" w:sz="0" w:space="0" w:color="auto"/>
      </w:divBdr>
    </w:div>
    <w:div w:id="450713291">
      <w:bodyDiv w:val="1"/>
      <w:marLeft w:val="0"/>
      <w:marRight w:val="0"/>
      <w:marTop w:val="0"/>
      <w:marBottom w:val="0"/>
      <w:divBdr>
        <w:top w:val="none" w:sz="0" w:space="0" w:color="auto"/>
        <w:left w:val="none" w:sz="0" w:space="0" w:color="auto"/>
        <w:bottom w:val="none" w:sz="0" w:space="0" w:color="auto"/>
        <w:right w:val="none" w:sz="0" w:space="0" w:color="auto"/>
      </w:divBdr>
    </w:div>
    <w:div w:id="450784333">
      <w:bodyDiv w:val="1"/>
      <w:marLeft w:val="0"/>
      <w:marRight w:val="0"/>
      <w:marTop w:val="0"/>
      <w:marBottom w:val="0"/>
      <w:divBdr>
        <w:top w:val="none" w:sz="0" w:space="0" w:color="auto"/>
        <w:left w:val="none" w:sz="0" w:space="0" w:color="auto"/>
        <w:bottom w:val="none" w:sz="0" w:space="0" w:color="auto"/>
        <w:right w:val="none" w:sz="0" w:space="0" w:color="auto"/>
      </w:divBdr>
    </w:div>
    <w:div w:id="450906956">
      <w:bodyDiv w:val="1"/>
      <w:marLeft w:val="0"/>
      <w:marRight w:val="0"/>
      <w:marTop w:val="0"/>
      <w:marBottom w:val="0"/>
      <w:divBdr>
        <w:top w:val="none" w:sz="0" w:space="0" w:color="auto"/>
        <w:left w:val="none" w:sz="0" w:space="0" w:color="auto"/>
        <w:bottom w:val="none" w:sz="0" w:space="0" w:color="auto"/>
        <w:right w:val="none" w:sz="0" w:space="0" w:color="auto"/>
      </w:divBdr>
    </w:div>
    <w:div w:id="450975658">
      <w:bodyDiv w:val="1"/>
      <w:marLeft w:val="0"/>
      <w:marRight w:val="0"/>
      <w:marTop w:val="0"/>
      <w:marBottom w:val="0"/>
      <w:divBdr>
        <w:top w:val="none" w:sz="0" w:space="0" w:color="auto"/>
        <w:left w:val="none" w:sz="0" w:space="0" w:color="auto"/>
        <w:bottom w:val="none" w:sz="0" w:space="0" w:color="auto"/>
        <w:right w:val="none" w:sz="0" w:space="0" w:color="auto"/>
      </w:divBdr>
    </w:div>
    <w:div w:id="451023492">
      <w:bodyDiv w:val="1"/>
      <w:marLeft w:val="0"/>
      <w:marRight w:val="0"/>
      <w:marTop w:val="0"/>
      <w:marBottom w:val="0"/>
      <w:divBdr>
        <w:top w:val="none" w:sz="0" w:space="0" w:color="auto"/>
        <w:left w:val="none" w:sz="0" w:space="0" w:color="auto"/>
        <w:bottom w:val="none" w:sz="0" w:space="0" w:color="auto"/>
        <w:right w:val="none" w:sz="0" w:space="0" w:color="auto"/>
      </w:divBdr>
    </w:div>
    <w:div w:id="451024021">
      <w:bodyDiv w:val="1"/>
      <w:marLeft w:val="0"/>
      <w:marRight w:val="0"/>
      <w:marTop w:val="0"/>
      <w:marBottom w:val="0"/>
      <w:divBdr>
        <w:top w:val="none" w:sz="0" w:space="0" w:color="auto"/>
        <w:left w:val="none" w:sz="0" w:space="0" w:color="auto"/>
        <w:bottom w:val="none" w:sz="0" w:space="0" w:color="auto"/>
        <w:right w:val="none" w:sz="0" w:space="0" w:color="auto"/>
      </w:divBdr>
    </w:div>
    <w:div w:id="451024415">
      <w:bodyDiv w:val="1"/>
      <w:marLeft w:val="0"/>
      <w:marRight w:val="0"/>
      <w:marTop w:val="0"/>
      <w:marBottom w:val="0"/>
      <w:divBdr>
        <w:top w:val="none" w:sz="0" w:space="0" w:color="auto"/>
        <w:left w:val="none" w:sz="0" w:space="0" w:color="auto"/>
        <w:bottom w:val="none" w:sz="0" w:space="0" w:color="auto"/>
        <w:right w:val="none" w:sz="0" w:space="0" w:color="auto"/>
      </w:divBdr>
    </w:div>
    <w:div w:id="451049495">
      <w:bodyDiv w:val="1"/>
      <w:marLeft w:val="0"/>
      <w:marRight w:val="0"/>
      <w:marTop w:val="0"/>
      <w:marBottom w:val="0"/>
      <w:divBdr>
        <w:top w:val="none" w:sz="0" w:space="0" w:color="auto"/>
        <w:left w:val="none" w:sz="0" w:space="0" w:color="auto"/>
        <w:bottom w:val="none" w:sz="0" w:space="0" w:color="auto"/>
        <w:right w:val="none" w:sz="0" w:space="0" w:color="auto"/>
      </w:divBdr>
    </w:div>
    <w:div w:id="451050407">
      <w:bodyDiv w:val="1"/>
      <w:marLeft w:val="0"/>
      <w:marRight w:val="0"/>
      <w:marTop w:val="0"/>
      <w:marBottom w:val="0"/>
      <w:divBdr>
        <w:top w:val="none" w:sz="0" w:space="0" w:color="auto"/>
        <w:left w:val="none" w:sz="0" w:space="0" w:color="auto"/>
        <w:bottom w:val="none" w:sz="0" w:space="0" w:color="auto"/>
        <w:right w:val="none" w:sz="0" w:space="0" w:color="auto"/>
      </w:divBdr>
    </w:div>
    <w:div w:id="451050869">
      <w:bodyDiv w:val="1"/>
      <w:marLeft w:val="0"/>
      <w:marRight w:val="0"/>
      <w:marTop w:val="0"/>
      <w:marBottom w:val="0"/>
      <w:divBdr>
        <w:top w:val="none" w:sz="0" w:space="0" w:color="auto"/>
        <w:left w:val="none" w:sz="0" w:space="0" w:color="auto"/>
        <w:bottom w:val="none" w:sz="0" w:space="0" w:color="auto"/>
        <w:right w:val="none" w:sz="0" w:space="0" w:color="auto"/>
      </w:divBdr>
    </w:div>
    <w:div w:id="451169868">
      <w:bodyDiv w:val="1"/>
      <w:marLeft w:val="0"/>
      <w:marRight w:val="0"/>
      <w:marTop w:val="0"/>
      <w:marBottom w:val="0"/>
      <w:divBdr>
        <w:top w:val="none" w:sz="0" w:space="0" w:color="auto"/>
        <w:left w:val="none" w:sz="0" w:space="0" w:color="auto"/>
        <w:bottom w:val="none" w:sz="0" w:space="0" w:color="auto"/>
        <w:right w:val="none" w:sz="0" w:space="0" w:color="auto"/>
      </w:divBdr>
    </w:div>
    <w:div w:id="451441729">
      <w:bodyDiv w:val="1"/>
      <w:marLeft w:val="0"/>
      <w:marRight w:val="0"/>
      <w:marTop w:val="0"/>
      <w:marBottom w:val="0"/>
      <w:divBdr>
        <w:top w:val="none" w:sz="0" w:space="0" w:color="auto"/>
        <w:left w:val="none" w:sz="0" w:space="0" w:color="auto"/>
        <w:bottom w:val="none" w:sz="0" w:space="0" w:color="auto"/>
        <w:right w:val="none" w:sz="0" w:space="0" w:color="auto"/>
      </w:divBdr>
    </w:div>
    <w:div w:id="451442607">
      <w:bodyDiv w:val="1"/>
      <w:marLeft w:val="0"/>
      <w:marRight w:val="0"/>
      <w:marTop w:val="0"/>
      <w:marBottom w:val="0"/>
      <w:divBdr>
        <w:top w:val="none" w:sz="0" w:space="0" w:color="auto"/>
        <w:left w:val="none" w:sz="0" w:space="0" w:color="auto"/>
        <w:bottom w:val="none" w:sz="0" w:space="0" w:color="auto"/>
        <w:right w:val="none" w:sz="0" w:space="0" w:color="auto"/>
      </w:divBdr>
    </w:div>
    <w:div w:id="451477869">
      <w:bodyDiv w:val="1"/>
      <w:marLeft w:val="0"/>
      <w:marRight w:val="0"/>
      <w:marTop w:val="0"/>
      <w:marBottom w:val="0"/>
      <w:divBdr>
        <w:top w:val="none" w:sz="0" w:space="0" w:color="auto"/>
        <w:left w:val="none" w:sz="0" w:space="0" w:color="auto"/>
        <w:bottom w:val="none" w:sz="0" w:space="0" w:color="auto"/>
        <w:right w:val="none" w:sz="0" w:space="0" w:color="auto"/>
      </w:divBdr>
    </w:div>
    <w:div w:id="451555599">
      <w:bodyDiv w:val="1"/>
      <w:marLeft w:val="0"/>
      <w:marRight w:val="0"/>
      <w:marTop w:val="0"/>
      <w:marBottom w:val="0"/>
      <w:divBdr>
        <w:top w:val="none" w:sz="0" w:space="0" w:color="auto"/>
        <w:left w:val="none" w:sz="0" w:space="0" w:color="auto"/>
        <w:bottom w:val="none" w:sz="0" w:space="0" w:color="auto"/>
        <w:right w:val="none" w:sz="0" w:space="0" w:color="auto"/>
      </w:divBdr>
    </w:div>
    <w:div w:id="451561809">
      <w:bodyDiv w:val="1"/>
      <w:marLeft w:val="0"/>
      <w:marRight w:val="0"/>
      <w:marTop w:val="0"/>
      <w:marBottom w:val="0"/>
      <w:divBdr>
        <w:top w:val="none" w:sz="0" w:space="0" w:color="auto"/>
        <w:left w:val="none" w:sz="0" w:space="0" w:color="auto"/>
        <w:bottom w:val="none" w:sz="0" w:space="0" w:color="auto"/>
        <w:right w:val="none" w:sz="0" w:space="0" w:color="auto"/>
      </w:divBdr>
    </w:div>
    <w:div w:id="451900695">
      <w:bodyDiv w:val="1"/>
      <w:marLeft w:val="0"/>
      <w:marRight w:val="0"/>
      <w:marTop w:val="0"/>
      <w:marBottom w:val="0"/>
      <w:divBdr>
        <w:top w:val="none" w:sz="0" w:space="0" w:color="auto"/>
        <w:left w:val="none" w:sz="0" w:space="0" w:color="auto"/>
        <w:bottom w:val="none" w:sz="0" w:space="0" w:color="auto"/>
        <w:right w:val="none" w:sz="0" w:space="0" w:color="auto"/>
      </w:divBdr>
    </w:div>
    <w:div w:id="452018721">
      <w:bodyDiv w:val="1"/>
      <w:marLeft w:val="0"/>
      <w:marRight w:val="0"/>
      <w:marTop w:val="0"/>
      <w:marBottom w:val="0"/>
      <w:divBdr>
        <w:top w:val="none" w:sz="0" w:space="0" w:color="auto"/>
        <w:left w:val="none" w:sz="0" w:space="0" w:color="auto"/>
        <w:bottom w:val="none" w:sz="0" w:space="0" w:color="auto"/>
        <w:right w:val="none" w:sz="0" w:space="0" w:color="auto"/>
      </w:divBdr>
    </w:div>
    <w:div w:id="452135926">
      <w:bodyDiv w:val="1"/>
      <w:marLeft w:val="0"/>
      <w:marRight w:val="0"/>
      <w:marTop w:val="0"/>
      <w:marBottom w:val="0"/>
      <w:divBdr>
        <w:top w:val="none" w:sz="0" w:space="0" w:color="auto"/>
        <w:left w:val="none" w:sz="0" w:space="0" w:color="auto"/>
        <w:bottom w:val="none" w:sz="0" w:space="0" w:color="auto"/>
        <w:right w:val="none" w:sz="0" w:space="0" w:color="auto"/>
      </w:divBdr>
    </w:div>
    <w:div w:id="452211720">
      <w:bodyDiv w:val="1"/>
      <w:marLeft w:val="0"/>
      <w:marRight w:val="0"/>
      <w:marTop w:val="0"/>
      <w:marBottom w:val="0"/>
      <w:divBdr>
        <w:top w:val="none" w:sz="0" w:space="0" w:color="auto"/>
        <w:left w:val="none" w:sz="0" w:space="0" w:color="auto"/>
        <w:bottom w:val="none" w:sz="0" w:space="0" w:color="auto"/>
        <w:right w:val="none" w:sz="0" w:space="0" w:color="auto"/>
      </w:divBdr>
    </w:div>
    <w:div w:id="452212061">
      <w:bodyDiv w:val="1"/>
      <w:marLeft w:val="0"/>
      <w:marRight w:val="0"/>
      <w:marTop w:val="0"/>
      <w:marBottom w:val="0"/>
      <w:divBdr>
        <w:top w:val="none" w:sz="0" w:space="0" w:color="auto"/>
        <w:left w:val="none" w:sz="0" w:space="0" w:color="auto"/>
        <w:bottom w:val="none" w:sz="0" w:space="0" w:color="auto"/>
        <w:right w:val="none" w:sz="0" w:space="0" w:color="auto"/>
      </w:divBdr>
    </w:div>
    <w:div w:id="452289200">
      <w:bodyDiv w:val="1"/>
      <w:marLeft w:val="0"/>
      <w:marRight w:val="0"/>
      <w:marTop w:val="0"/>
      <w:marBottom w:val="0"/>
      <w:divBdr>
        <w:top w:val="none" w:sz="0" w:space="0" w:color="auto"/>
        <w:left w:val="none" w:sz="0" w:space="0" w:color="auto"/>
        <w:bottom w:val="none" w:sz="0" w:space="0" w:color="auto"/>
        <w:right w:val="none" w:sz="0" w:space="0" w:color="auto"/>
      </w:divBdr>
    </w:div>
    <w:div w:id="452290359">
      <w:bodyDiv w:val="1"/>
      <w:marLeft w:val="0"/>
      <w:marRight w:val="0"/>
      <w:marTop w:val="0"/>
      <w:marBottom w:val="0"/>
      <w:divBdr>
        <w:top w:val="none" w:sz="0" w:space="0" w:color="auto"/>
        <w:left w:val="none" w:sz="0" w:space="0" w:color="auto"/>
        <w:bottom w:val="none" w:sz="0" w:space="0" w:color="auto"/>
        <w:right w:val="none" w:sz="0" w:space="0" w:color="auto"/>
      </w:divBdr>
    </w:div>
    <w:div w:id="452291480">
      <w:bodyDiv w:val="1"/>
      <w:marLeft w:val="0"/>
      <w:marRight w:val="0"/>
      <w:marTop w:val="0"/>
      <w:marBottom w:val="0"/>
      <w:divBdr>
        <w:top w:val="none" w:sz="0" w:space="0" w:color="auto"/>
        <w:left w:val="none" w:sz="0" w:space="0" w:color="auto"/>
        <w:bottom w:val="none" w:sz="0" w:space="0" w:color="auto"/>
        <w:right w:val="none" w:sz="0" w:space="0" w:color="auto"/>
      </w:divBdr>
    </w:div>
    <w:div w:id="452330926">
      <w:bodyDiv w:val="1"/>
      <w:marLeft w:val="0"/>
      <w:marRight w:val="0"/>
      <w:marTop w:val="0"/>
      <w:marBottom w:val="0"/>
      <w:divBdr>
        <w:top w:val="none" w:sz="0" w:space="0" w:color="auto"/>
        <w:left w:val="none" w:sz="0" w:space="0" w:color="auto"/>
        <w:bottom w:val="none" w:sz="0" w:space="0" w:color="auto"/>
        <w:right w:val="none" w:sz="0" w:space="0" w:color="auto"/>
      </w:divBdr>
    </w:div>
    <w:div w:id="452331223">
      <w:bodyDiv w:val="1"/>
      <w:marLeft w:val="0"/>
      <w:marRight w:val="0"/>
      <w:marTop w:val="0"/>
      <w:marBottom w:val="0"/>
      <w:divBdr>
        <w:top w:val="none" w:sz="0" w:space="0" w:color="auto"/>
        <w:left w:val="none" w:sz="0" w:space="0" w:color="auto"/>
        <w:bottom w:val="none" w:sz="0" w:space="0" w:color="auto"/>
        <w:right w:val="none" w:sz="0" w:space="0" w:color="auto"/>
      </w:divBdr>
    </w:div>
    <w:div w:id="452334831">
      <w:bodyDiv w:val="1"/>
      <w:marLeft w:val="0"/>
      <w:marRight w:val="0"/>
      <w:marTop w:val="0"/>
      <w:marBottom w:val="0"/>
      <w:divBdr>
        <w:top w:val="none" w:sz="0" w:space="0" w:color="auto"/>
        <w:left w:val="none" w:sz="0" w:space="0" w:color="auto"/>
        <w:bottom w:val="none" w:sz="0" w:space="0" w:color="auto"/>
        <w:right w:val="none" w:sz="0" w:space="0" w:color="auto"/>
      </w:divBdr>
    </w:div>
    <w:div w:id="452360302">
      <w:bodyDiv w:val="1"/>
      <w:marLeft w:val="0"/>
      <w:marRight w:val="0"/>
      <w:marTop w:val="0"/>
      <w:marBottom w:val="0"/>
      <w:divBdr>
        <w:top w:val="none" w:sz="0" w:space="0" w:color="auto"/>
        <w:left w:val="none" w:sz="0" w:space="0" w:color="auto"/>
        <w:bottom w:val="none" w:sz="0" w:space="0" w:color="auto"/>
        <w:right w:val="none" w:sz="0" w:space="0" w:color="auto"/>
      </w:divBdr>
    </w:div>
    <w:div w:id="452483823">
      <w:bodyDiv w:val="1"/>
      <w:marLeft w:val="0"/>
      <w:marRight w:val="0"/>
      <w:marTop w:val="0"/>
      <w:marBottom w:val="0"/>
      <w:divBdr>
        <w:top w:val="none" w:sz="0" w:space="0" w:color="auto"/>
        <w:left w:val="none" w:sz="0" w:space="0" w:color="auto"/>
        <w:bottom w:val="none" w:sz="0" w:space="0" w:color="auto"/>
        <w:right w:val="none" w:sz="0" w:space="0" w:color="auto"/>
      </w:divBdr>
    </w:div>
    <w:div w:id="452526495">
      <w:bodyDiv w:val="1"/>
      <w:marLeft w:val="0"/>
      <w:marRight w:val="0"/>
      <w:marTop w:val="0"/>
      <w:marBottom w:val="0"/>
      <w:divBdr>
        <w:top w:val="none" w:sz="0" w:space="0" w:color="auto"/>
        <w:left w:val="none" w:sz="0" w:space="0" w:color="auto"/>
        <w:bottom w:val="none" w:sz="0" w:space="0" w:color="auto"/>
        <w:right w:val="none" w:sz="0" w:space="0" w:color="auto"/>
      </w:divBdr>
    </w:div>
    <w:div w:id="452526804">
      <w:bodyDiv w:val="1"/>
      <w:marLeft w:val="0"/>
      <w:marRight w:val="0"/>
      <w:marTop w:val="0"/>
      <w:marBottom w:val="0"/>
      <w:divBdr>
        <w:top w:val="none" w:sz="0" w:space="0" w:color="auto"/>
        <w:left w:val="none" w:sz="0" w:space="0" w:color="auto"/>
        <w:bottom w:val="none" w:sz="0" w:space="0" w:color="auto"/>
        <w:right w:val="none" w:sz="0" w:space="0" w:color="auto"/>
      </w:divBdr>
    </w:div>
    <w:div w:id="452602097">
      <w:bodyDiv w:val="1"/>
      <w:marLeft w:val="0"/>
      <w:marRight w:val="0"/>
      <w:marTop w:val="0"/>
      <w:marBottom w:val="0"/>
      <w:divBdr>
        <w:top w:val="none" w:sz="0" w:space="0" w:color="auto"/>
        <w:left w:val="none" w:sz="0" w:space="0" w:color="auto"/>
        <w:bottom w:val="none" w:sz="0" w:space="0" w:color="auto"/>
        <w:right w:val="none" w:sz="0" w:space="0" w:color="auto"/>
      </w:divBdr>
    </w:div>
    <w:div w:id="452675462">
      <w:bodyDiv w:val="1"/>
      <w:marLeft w:val="0"/>
      <w:marRight w:val="0"/>
      <w:marTop w:val="0"/>
      <w:marBottom w:val="0"/>
      <w:divBdr>
        <w:top w:val="none" w:sz="0" w:space="0" w:color="auto"/>
        <w:left w:val="none" w:sz="0" w:space="0" w:color="auto"/>
        <w:bottom w:val="none" w:sz="0" w:space="0" w:color="auto"/>
        <w:right w:val="none" w:sz="0" w:space="0" w:color="auto"/>
      </w:divBdr>
    </w:div>
    <w:div w:id="452751108">
      <w:bodyDiv w:val="1"/>
      <w:marLeft w:val="0"/>
      <w:marRight w:val="0"/>
      <w:marTop w:val="0"/>
      <w:marBottom w:val="0"/>
      <w:divBdr>
        <w:top w:val="none" w:sz="0" w:space="0" w:color="auto"/>
        <w:left w:val="none" w:sz="0" w:space="0" w:color="auto"/>
        <w:bottom w:val="none" w:sz="0" w:space="0" w:color="auto"/>
        <w:right w:val="none" w:sz="0" w:space="0" w:color="auto"/>
      </w:divBdr>
    </w:div>
    <w:div w:id="452789616">
      <w:bodyDiv w:val="1"/>
      <w:marLeft w:val="0"/>
      <w:marRight w:val="0"/>
      <w:marTop w:val="0"/>
      <w:marBottom w:val="0"/>
      <w:divBdr>
        <w:top w:val="none" w:sz="0" w:space="0" w:color="auto"/>
        <w:left w:val="none" w:sz="0" w:space="0" w:color="auto"/>
        <w:bottom w:val="none" w:sz="0" w:space="0" w:color="auto"/>
        <w:right w:val="none" w:sz="0" w:space="0" w:color="auto"/>
      </w:divBdr>
    </w:div>
    <w:div w:id="452871127">
      <w:bodyDiv w:val="1"/>
      <w:marLeft w:val="0"/>
      <w:marRight w:val="0"/>
      <w:marTop w:val="0"/>
      <w:marBottom w:val="0"/>
      <w:divBdr>
        <w:top w:val="none" w:sz="0" w:space="0" w:color="auto"/>
        <w:left w:val="none" w:sz="0" w:space="0" w:color="auto"/>
        <w:bottom w:val="none" w:sz="0" w:space="0" w:color="auto"/>
        <w:right w:val="none" w:sz="0" w:space="0" w:color="auto"/>
      </w:divBdr>
    </w:div>
    <w:div w:id="452945383">
      <w:bodyDiv w:val="1"/>
      <w:marLeft w:val="0"/>
      <w:marRight w:val="0"/>
      <w:marTop w:val="0"/>
      <w:marBottom w:val="0"/>
      <w:divBdr>
        <w:top w:val="none" w:sz="0" w:space="0" w:color="auto"/>
        <w:left w:val="none" w:sz="0" w:space="0" w:color="auto"/>
        <w:bottom w:val="none" w:sz="0" w:space="0" w:color="auto"/>
        <w:right w:val="none" w:sz="0" w:space="0" w:color="auto"/>
      </w:divBdr>
    </w:div>
    <w:div w:id="453249986">
      <w:bodyDiv w:val="1"/>
      <w:marLeft w:val="0"/>
      <w:marRight w:val="0"/>
      <w:marTop w:val="0"/>
      <w:marBottom w:val="0"/>
      <w:divBdr>
        <w:top w:val="none" w:sz="0" w:space="0" w:color="auto"/>
        <w:left w:val="none" w:sz="0" w:space="0" w:color="auto"/>
        <w:bottom w:val="none" w:sz="0" w:space="0" w:color="auto"/>
        <w:right w:val="none" w:sz="0" w:space="0" w:color="auto"/>
      </w:divBdr>
    </w:div>
    <w:div w:id="453251074">
      <w:bodyDiv w:val="1"/>
      <w:marLeft w:val="0"/>
      <w:marRight w:val="0"/>
      <w:marTop w:val="0"/>
      <w:marBottom w:val="0"/>
      <w:divBdr>
        <w:top w:val="none" w:sz="0" w:space="0" w:color="auto"/>
        <w:left w:val="none" w:sz="0" w:space="0" w:color="auto"/>
        <w:bottom w:val="none" w:sz="0" w:space="0" w:color="auto"/>
        <w:right w:val="none" w:sz="0" w:space="0" w:color="auto"/>
      </w:divBdr>
    </w:div>
    <w:div w:id="453251393">
      <w:bodyDiv w:val="1"/>
      <w:marLeft w:val="0"/>
      <w:marRight w:val="0"/>
      <w:marTop w:val="0"/>
      <w:marBottom w:val="0"/>
      <w:divBdr>
        <w:top w:val="none" w:sz="0" w:space="0" w:color="auto"/>
        <w:left w:val="none" w:sz="0" w:space="0" w:color="auto"/>
        <w:bottom w:val="none" w:sz="0" w:space="0" w:color="auto"/>
        <w:right w:val="none" w:sz="0" w:space="0" w:color="auto"/>
      </w:divBdr>
    </w:div>
    <w:div w:id="453256067">
      <w:bodyDiv w:val="1"/>
      <w:marLeft w:val="0"/>
      <w:marRight w:val="0"/>
      <w:marTop w:val="0"/>
      <w:marBottom w:val="0"/>
      <w:divBdr>
        <w:top w:val="none" w:sz="0" w:space="0" w:color="auto"/>
        <w:left w:val="none" w:sz="0" w:space="0" w:color="auto"/>
        <w:bottom w:val="none" w:sz="0" w:space="0" w:color="auto"/>
        <w:right w:val="none" w:sz="0" w:space="0" w:color="auto"/>
      </w:divBdr>
    </w:div>
    <w:div w:id="453403850">
      <w:bodyDiv w:val="1"/>
      <w:marLeft w:val="0"/>
      <w:marRight w:val="0"/>
      <w:marTop w:val="0"/>
      <w:marBottom w:val="0"/>
      <w:divBdr>
        <w:top w:val="none" w:sz="0" w:space="0" w:color="auto"/>
        <w:left w:val="none" w:sz="0" w:space="0" w:color="auto"/>
        <w:bottom w:val="none" w:sz="0" w:space="0" w:color="auto"/>
        <w:right w:val="none" w:sz="0" w:space="0" w:color="auto"/>
      </w:divBdr>
    </w:div>
    <w:div w:id="453406974">
      <w:bodyDiv w:val="1"/>
      <w:marLeft w:val="0"/>
      <w:marRight w:val="0"/>
      <w:marTop w:val="0"/>
      <w:marBottom w:val="0"/>
      <w:divBdr>
        <w:top w:val="none" w:sz="0" w:space="0" w:color="auto"/>
        <w:left w:val="none" w:sz="0" w:space="0" w:color="auto"/>
        <w:bottom w:val="none" w:sz="0" w:space="0" w:color="auto"/>
        <w:right w:val="none" w:sz="0" w:space="0" w:color="auto"/>
      </w:divBdr>
    </w:div>
    <w:div w:id="453521824">
      <w:bodyDiv w:val="1"/>
      <w:marLeft w:val="0"/>
      <w:marRight w:val="0"/>
      <w:marTop w:val="0"/>
      <w:marBottom w:val="0"/>
      <w:divBdr>
        <w:top w:val="none" w:sz="0" w:space="0" w:color="auto"/>
        <w:left w:val="none" w:sz="0" w:space="0" w:color="auto"/>
        <w:bottom w:val="none" w:sz="0" w:space="0" w:color="auto"/>
        <w:right w:val="none" w:sz="0" w:space="0" w:color="auto"/>
      </w:divBdr>
    </w:div>
    <w:div w:id="453522787">
      <w:bodyDiv w:val="1"/>
      <w:marLeft w:val="0"/>
      <w:marRight w:val="0"/>
      <w:marTop w:val="0"/>
      <w:marBottom w:val="0"/>
      <w:divBdr>
        <w:top w:val="none" w:sz="0" w:space="0" w:color="auto"/>
        <w:left w:val="none" w:sz="0" w:space="0" w:color="auto"/>
        <w:bottom w:val="none" w:sz="0" w:space="0" w:color="auto"/>
        <w:right w:val="none" w:sz="0" w:space="0" w:color="auto"/>
      </w:divBdr>
    </w:div>
    <w:div w:id="453596576">
      <w:bodyDiv w:val="1"/>
      <w:marLeft w:val="0"/>
      <w:marRight w:val="0"/>
      <w:marTop w:val="0"/>
      <w:marBottom w:val="0"/>
      <w:divBdr>
        <w:top w:val="none" w:sz="0" w:space="0" w:color="auto"/>
        <w:left w:val="none" w:sz="0" w:space="0" w:color="auto"/>
        <w:bottom w:val="none" w:sz="0" w:space="0" w:color="auto"/>
        <w:right w:val="none" w:sz="0" w:space="0" w:color="auto"/>
      </w:divBdr>
    </w:div>
    <w:div w:id="453713009">
      <w:bodyDiv w:val="1"/>
      <w:marLeft w:val="0"/>
      <w:marRight w:val="0"/>
      <w:marTop w:val="0"/>
      <w:marBottom w:val="0"/>
      <w:divBdr>
        <w:top w:val="none" w:sz="0" w:space="0" w:color="auto"/>
        <w:left w:val="none" w:sz="0" w:space="0" w:color="auto"/>
        <w:bottom w:val="none" w:sz="0" w:space="0" w:color="auto"/>
        <w:right w:val="none" w:sz="0" w:space="0" w:color="auto"/>
      </w:divBdr>
    </w:div>
    <w:div w:id="453721588">
      <w:bodyDiv w:val="1"/>
      <w:marLeft w:val="0"/>
      <w:marRight w:val="0"/>
      <w:marTop w:val="0"/>
      <w:marBottom w:val="0"/>
      <w:divBdr>
        <w:top w:val="none" w:sz="0" w:space="0" w:color="auto"/>
        <w:left w:val="none" w:sz="0" w:space="0" w:color="auto"/>
        <w:bottom w:val="none" w:sz="0" w:space="0" w:color="auto"/>
        <w:right w:val="none" w:sz="0" w:space="0" w:color="auto"/>
      </w:divBdr>
    </w:div>
    <w:div w:id="453788012">
      <w:bodyDiv w:val="1"/>
      <w:marLeft w:val="0"/>
      <w:marRight w:val="0"/>
      <w:marTop w:val="0"/>
      <w:marBottom w:val="0"/>
      <w:divBdr>
        <w:top w:val="none" w:sz="0" w:space="0" w:color="auto"/>
        <w:left w:val="none" w:sz="0" w:space="0" w:color="auto"/>
        <w:bottom w:val="none" w:sz="0" w:space="0" w:color="auto"/>
        <w:right w:val="none" w:sz="0" w:space="0" w:color="auto"/>
      </w:divBdr>
    </w:div>
    <w:div w:id="453989192">
      <w:bodyDiv w:val="1"/>
      <w:marLeft w:val="0"/>
      <w:marRight w:val="0"/>
      <w:marTop w:val="0"/>
      <w:marBottom w:val="0"/>
      <w:divBdr>
        <w:top w:val="none" w:sz="0" w:space="0" w:color="auto"/>
        <w:left w:val="none" w:sz="0" w:space="0" w:color="auto"/>
        <w:bottom w:val="none" w:sz="0" w:space="0" w:color="auto"/>
        <w:right w:val="none" w:sz="0" w:space="0" w:color="auto"/>
      </w:divBdr>
    </w:div>
    <w:div w:id="454255939">
      <w:bodyDiv w:val="1"/>
      <w:marLeft w:val="0"/>
      <w:marRight w:val="0"/>
      <w:marTop w:val="0"/>
      <w:marBottom w:val="0"/>
      <w:divBdr>
        <w:top w:val="none" w:sz="0" w:space="0" w:color="auto"/>
        <w:left w:val="none" w:sz="0" w:space="0" w:color="auto"/>
        <w:bottom w:val="none" w:sz="0" w:space="0" w:color="auto"/>
        <w:right w:val="none" w:sz="0" w:space="0" w:color="auto"/>
      </w:divBdr>
    </w:div>
    <w:div w:id="454569460">
      <w:bodyDiv w:val="1"/>
      <w:marLeft w:val="0"/>
      <w:marRight w:val="0"/>
      <w:marTop w:val="0"/>
      <w:marBottom w:val="0"/>
      <w:divBdr>
        <w:top w:val="none" w:sz="0" w:space="0" w:color="auto"/>
        <w:left w:val="none" w:sz="0" w:space="0" w:color="auto"/>
        <w:bottom w:val="none" w:sz="0" w:space="0" w:color="auto"/>
        <w:right w:val="none" w:sz="0" w:space="0" w:color="auto"/>
      </w:divBdr>
    </w:div>
    <w:div w:id="454636139">
      <w:bodyDiv w:val="1"/>
      <w:marLeft w:val="0"/>
      <w:marRight w:val="0"/>
      <w:marTop w:val="0"/>
      <w:marBottom w:val="0"/>
      <w:divBdr>
        <w:top w:val="none" w:sz="0" w:space="0" w:color="auto"/>
        <w:left w:val="none" w:sz="0" w:space="0" w:color="auto"/>
        <w:bottom w:val="none" w:sz="0" w:space="0" w:color="auto"/>
        <w:right w:val="none" w:sz="0" w:space="0" w:color="auto"/>
      </w:divBdr>
    </w:div>
    <w:div w:id="454644673">
      <w:bodyDiv w:val="1"/>
      <w:marLeft w:val="0"/>
      <w:marRight w:val="0"/>
      <w:marTop w:val="0"/>
      <w:marBottom w:val="0"/>
      <w:divBdr>
        <w:top w:val="none" w:sz="0" w:space="0" w:color="auto"/>
        <w:left w:val="none" w:sz="0" w:space="0" w:color="auto"/>
        <w:bottom w:val="none" w:sz="0" w:space="0" w:color="auto"/>
        <w:right w:val="none" w:sz="0" w:space="0" w:color="auto"/>
      </w:divBdr>
    </w:div>
    <w:div w:id="454715416">
      <w:bodyDiv w:val="1"/>
      <w:marLeft w:val="0"/>
      <w:marRight w:val="0"/>
      <w:marTop w:val="0"/>
      <w:marBottom w:val="0"/>
      <w:divBdr>
        <w:top w:val="none" w:sz="0" w:space="0" w:color="auto"/>
        <w:left w:val="none" w:sz="0" w:space="0" w:color="auto"/>
        <w:bottom w:val="none" w:sz="0" w:space="0" w:color="auto"/>
        <w:right w:val="none" w:sz="0" w:space="0" w:color="auto"/>
      </w:divBdr>
    </w:div>
    <w:div w:id="454719181">
      <w:bodyDiv w:val="1"/>
      <w:marLeft w:val="0"/>
      <w:marRight w:val="0"/>
      <w:marTop w:val="0"/>
      <w:marBottom w:val="0"/>
      <w:divBdr>
        <w:top w:val="none" w:sz="0" w:space="0" w:color="auto"/>
        <w:left w:val="none" w:sz="0" w:space="0" w:color="auto"/>
        <w:bottom w:val="none" w:sz="0" w:space="0" w:color="auto"/>
        <w:right w:val="none" w:sz="0" w:space="0" w:color="auto"/>
      </w:divBdr>
    </w:div>
    <w:div w:id="454835194">
      <w:bodyDiv w:val="1"/>
      <w:marLeft w:val="0"/>
      <w:marRight w:val="0"/>
      <w:marTop w:val="0"/>
      <w:marBottom w:val="0"/>
      <w:divBdr>
        <w:top w:val="none" w:sz="0" w:space="0" w:color="auto"/>
        <w:left w:val="none" w:sz="0" w:space="0" w:color="auto"/>
        <w:bottom w:val="none" w:sz="0" w:space="0" w:color="auto"/>
        <w:right w:val="none" w:sz="0" w:space="0" w:color="auto"/>
      </w:divBdr>
    </w:div>
    <w:div w:id="454951777">
      <w:bodyDiv w:val="1"/>
      <w:marLeft w:val="0"/>
      <w:marRight w:val="0"/>
      <w:marTop w:val="0"/>
      <w:marBottom w:val="0"/>
      <w:divBdr>
        <w:top w:val="none" w:sz="0" w:space="0" w:color="auto"/>
        <w:left w:val="none" w:sz="0" w:space="0" w:color="auto"/>
        <w:bottom w:val="none" w:sz="0" w:space="0" w:color="auto"/>
        <w:right w:val="none" w:sz="0" w:space="0" w:color="auto"/>
      </w:divBdr>
    </w:div>
    <w:div w:id="454983049">
      <w:bodyDiv w:val="1"/>
      <w:marLeft w:val="0"/>
      <w:marRight w:val="0"/>
      <w:marTop w:val="0"/>
      <w:marBottom w:val="0"/>
      <w:divBdr>
        <w:top w:val="none" w:sz="0" w:space="0" w:color="auto"/>
        <w:left w:val="none" w:sz="0" w:space="0" w:color="auto"/>
        <w:bottom w:val="none" w:sz="0" w:space="0" w:color="auto"/>
        <w:right w:val="none" w:sz="0" w:space="0" w:color="auto"/>
      </w:divBdr>
    </w:div>
    <w:div w:id="455025205">
      <w:bodyDiv w:val="1"/>
      <w:marLeft w:val="0"/>
      <w:marRight w:val="0"/>
      <w:marTop w:val="0"/>
      <w:marBottom w:val="0"/>
      <w:divBdr>
        <w:top w:val="none" w:sz="0" w:space="0" w:color="auto"/>
        <w:left w:val="none" w:sz="0" w:space="0" w:color="auto"/>
        <w:bottom w:val="none" w:sz="0" w:space="0" w:color="auto"/>
        <w:right w:val="none" w:sz="0" w:space="0" w:color="auto"/>
      </w:divBdr>
    </w:div>
    <w:div w:id="455027706">
      <w:bodyDiv w:val="1"/>
      <w:marLeft w:val="0"/>
      <w:marRight w:val="0"/>
      <w:marTop w:val="0"/>
      <w:marBottom w:val="0"/>
      <w:divBdr>
        <w:top w:val="none" w:sz="0" w:space="0" w:color="auto"/>
        <w:left w:val="none" w:sz="0" w:space="0" w:color="auto"/>
        <w:bottom w:val="none" w:sz="0" w:space="0" w:color="auto"/>
        <w:right w:val="none" w:sz="0" w:space="0" w:color="auto"/>
      </w:divBdr>
    </w:div>
    <w:div w:id="455101705">
      <w:bodyDiv w:val="1"/>
      <w:marLeft w:val="0"/>
      <w:marRight w:val="0"/>
      <w:marTop w:val="0"/>
      <w:marBottom w:val="0"/>
      <w:divBdr>
        <w:top w:val="none" w:sz="0" w:space="0" w:color="auto"/>
        <w:left w:val="none" w:sz="0" w:space="0" w:color="auto"/>
        <w:bottom w:val="none" w:sz="0" w:space="0" w:color="auto"/>
        <w:right w:val="none" w:sz="0" w:space="0" w:color="auto"/>
      </w:divBdr>
    </w:div>
    <w:div w:id="455294772">
      <w:bodyDiv w:val="1"/>
      <w:marLeft w:val="0"/>
      <w:marRight w:val="0"/>
      <w:marTop w:val="0"/>
      <w:marBottom w:val="0"/>
      <w:divBdr>
        <w:top w:val="none" w:sz="0" w:space="0" w:color="auto"/>
        <w:left w:val="none" w:sz="0" w:space="0" w:color="auto"/>
        <w:bottom w:val="none" w:sz="0" w:space="0" w:color="auto"/>
        <w:right w:val="none" w:sz="0" w:space="0" w:color="auto"/>
      </w:divBdr>
    </w:div>
    <w:div w:id="455369181">
      <w:bodyDiv w:val="1"/>
      <w:marLeft w:val="0"/>
      <w:marRight w:val="0"/>
      <w:marTop w:val="0"/>
      <w:marBottom w:val="0"/>
      <w:divBdr>
        <w:top w:val="none" w:sz="0" w:space="0" w:color="auto"/>
        <w:left w:val="none" w:sz="0" w:space="0" w:color="auto"/>
        <w:bottom w:val="none" w:sz="0" w:space="0" w:color="auto"/>
        <w:right w:val="none" w:sz="0" w:space="0" w:color="auto"/>
      </w:divBdr>
    </w:div>
    <w:div w:id="455493186">
      <w:bodyDiv w:val="1"/>
      <w:marLeft w:val="0"/>
      <w:marRight w:val="0"/>
      <w:marTop w:val="0"/>
      <w:marBottom w:val="0"/>
      <w:divBdr>
        <w:top w:val="none" w:sz="0" w:space="0" w:color="auto"/>
        <w:left w:val="none" w:sz="0" w:space="0" w:color="auto"/>
        <w:bottom w:val="none" w:sz="0" w:space="0" w:color="auto"/>
        <w:right w:val="none" w:sz="0" w:space="0" w:color="auto"/>
      </w:divBdr>
    </w:div>
    <w:div w:id="455562357">
      <w:bodyDiv w:val="1"/>
      <w:marLeft w:val="0"/>
      <w:marRight w:val="0"/>
      <w:marTop w:val="0"/>
      <w:marBottom w:val="0"/>
      <w:divBdr>
        <w:top w:val="none" w:sz="0" w:space="0" w:color="auto"/>
        <w:left w:val="none" w:sz="0" w:space="0" w:color="auto"/>
        <w:bottom w:val="none" w:sz="0" w:space="0" w:color="auto"/>
        <w:right w:val="none" w:sz="0" w:space="0" w:color="auto"/>
      </w:divBdr>
    </w:div>
    <w:div w:id="455682632">
      <w:bodyDiv w:val="1"/>
      <w:marLeft w:val="0"/>
      <w:marRight w:val="0"/>
      <w:marTop w:val="0"/>
      <w:marBottom w:val="0"/>
      <w:divBdr>
        <w:top w:val="none" w:sz="0" w:space="0" w:color="auto"/>
        <w:left w:val="none" w:sz="0" w:space="0" w:color="auto"/>
        <w:bottom w:val="none" w:sz="0" w:space="0" w:color="auto"/>
        <w:right w:val="none" w:sz="0" w:space="0" w:color="auto"/>
      </w:divBdr>
    </w:div>
    <w:div w:id="455873703">
      <w:bodyDiv w:val="1"/>
      <w:marLeft w:val="0"/>
      <w:marRight w:val="0"/>
      <w:marTop w:val="0"/>
      <w:marBottom w:val="0"/>
      <w:divBdr>
        <w:top w:val="none" w:sz="0" w:space="0" w:color="auto"/>
        <w:left w:val="none" w:sz="0" w:space="0" w:color="auto"/>
        <w:bottom w:val="none" w:sz="0" w:space="0" w:color="auto"/>
        <w:right w:val="none" w:sz="0" w:space="0" w:color="auto"/>
      </w:divBdr>
    </w:div>
    <w:div w:id="455876509">
      <w:bodyDiv w:val="1"/>
      <w:marLeft w:val="0"/>
      <w:marRight w:val="0"/>
      <w:marTop w:val="0"/>
      <w:marBottom w:val="0"/>
      <w:divBdr>
        <w:top w:val="none" w:sz="0" w:space="0" w:color="auto"/>
        <w:left w:val="none" w:sz="0" w:space="0" w:color="auto"/>
        <w:bottom w:val="none" w:sz="0" w:space="0" w:color="auto"/>
        <w:right w:val="none" w:sz="0" w:space="0" w:color="auto"/>
      </w:divBdr>
    </w:div>
    <w:div w:id="456029316">
      <w:bodyDiv w:val="1"/>
      <w:marLeft w:val="0"/>
      <w:marRight w:val="0"/>
      <w:marTop w:val="0"/>
      <w:marBottom w:val="0"/>
      <w:divBdr>
        <w:top w:val="none" w:sz="0" w:space="0" w:color="auto"/>
        <w:left w:val="none" w:sz="0" w:space="0" w:color="auto"/>
        <w:bottom w:val="none" w:sz="0" w:space="0" w:color="auto"/>
        <w:right w:val="none" w:sz="0" w:space="0" w:color="auto"/>
      </w:divBdr>
    </w:div>
    <w:div w:id="456068798">
      <w:bodyDiv w:val="1"/>
      <w:marLeft w:val="0"/>
      <w:marRight w:val="0"/>
      <w:marTop w:val="0"/>
      <w:marBottom w:val="0"/>
      <w:divBdr>
        <w:top w:val="none" w:sz="0" w:space="0" w:color="auto"/>
        <w:left w:val="none" w:sz="0" w:space="0" w:color="auto"/>
        <w:bottom w:val="none" w:sz="0" w:space="0" w:color="auto"/>
        <w:right w:val="none" w:sz="0" w:space="0" w:color="auto"/>
      </w:divBdr>
    </w:div>
    <w:div w:id="456266530">
      <w:bodyDiv w:val="1"/>
      <w:marLeft w:val="0"/>
      <w:marRight w:val="0"/>
      <w:marTop w:val="0"/>
      <w:marBottom w:val="0"/>
      <w:divBdr>
        <w:top w:val="none" w:sz="0" w:space="0" w:color="auto"/>
        <w:left w:val="none" w:sz="0" w:space="0" w:color="auto"/>
        <w:bottom w:val="none" w:sz="0" w:space="0" w:color="auto"/>
        <w:right w:val="none" w:sz="0" w:space="0" w:color="auto"/>
      </w:divBdr>
    </w:div>
    <w:div w:id="456292605">
      <w:bodyDiv w:val="1"/>
      <w:marLeft w:val="0"/>
      <w:marRight w:val="0"/>
      <w:marTop w:val="0"/>
      <w:marBottom w:val="0"/>
      <w:divBdr>
        <w:top w:val="none" w:sz="0" w:space="0" w:color="auto"/>
        <w:left w:val="none" w:sz="0" w:space="0" w:color="auto"/>
        <w:bottom w:val="none" w:sz="0" w:space="0" w:color="auto"/>
        <w:right w:val="none" w:sz="0" w:space="0" w:color="auto"/>
      </w:divBdr>
    </w:div>
    <w:div w:id="456333450">
      <w:bodyDiv w:val="1"/>
      <w:marLeft w:val="0"/>
      <w:marRight w:val="0"/>
      <w:marTop w:val="0"/>
      <w:marBottom w:val="0"/>
      <w:divBdr>
        <w:top w:val="none" w:sz="0" w:space="0" w:color="auto"/>
        <w:left w:val="none" w:sz="0" w:space="0" w:color="auto"/>
        <w:bottom w:val="none" w:sz="0" w:space="0" w:color="auto"/>
        <w:right w:val="none" w:sz="0" w:space="0" w:color="auto"/>
      </w:divBdr>
    </w:div>
    <w:div w:id="456534218">
      <w:bodyDiv w:val="1"/>
      <w:marLeft w:val="0"/>
      <w:marRight w:val="0"/>
      <w:marTop w:val="0"/>
      <w:marBottom w:val="0"/>
      <w:divBdr>
        <w:top w:val="none" w:sz="0" w:space="0" w:color="auto"/>
        <w:left w:val="none" w:sz="0" w:space="0" w:color="auto"/>
        <w:bottom w:val="none" w:sz="0" w:space="0" w:color="auto"/>
        <w:right w:val="none" w:sz="0" w:space="0" w:color="auto"/>
      </w:divBdr>
    </w:div>
    <w:div w:id="456603615">
      <w:bodyDiv w:val="1"/>
      <w:marLeft w:val="0"/>
      <w:marRight w:val="0"/>
      <w:marTop w:val="0"/>
      <w:marBottom w:val="0"/>
      <w:divBdr>
        <w:top w:val="none" w:sz="0" w:space="0" w:color="auto"/>
        <w:left w:val="none" w:sz="0" w:space="0" w:color="auto"/>
        <w:bottom w:val="none" w:sz="0" w:space="0" w:color="auto"/>
        <w:right w:val="none" w:sz="0" w:space="0" w:color="auto"/>
      </w:divBdr>
    </w:div>
    <w:div w:id="456604973">
      <w:bodyDiv w:val="1"/>
      <w:marLeft w:val="0"/>
      <w:marRight w:val="0"/>
      <w:marTop w:val="0"/>
      <w:marBottom w:val="0"/>
      <w:divBdr>
        <w:top w:val="none" w:sz="0" w:space="0" w:color="auto"/>
        <w:left w:val="none" w:sz="0" w:space="0" w:color="auto"/>
        <w:bottom w:val="none" w:sz="0" w:space="0" w:color="auto"/>
        <w:right w:val="none" w:sz="0" w:space="0" w:color="auto"/>
      </w:divBdr>
    </w:div>
    <w:div w:id="456729104">
      <w:bodyDiv w:val="1"/>
      <w:marLeft w:val="0"/>
      <w:marRight w:val="0"/>
      <w:marTop w:val="0"/>
      <w:marBottom w:val="0"/>
      <w:divBdr>
        <w:top w:val="none" w:sz="0" w:space="0" w:color="auto"/>
        <w:left w:val="none" w:sz="0" w:space="0" w:color="auto"/>
        <w:bottom w:val="none" w:sz="0" w:space="0" w:color="auto"/>
        <w:right w:val="none" w:sz="0" w:space="0" w:color="auto"/>
      </w:divBdr>
    </w:div>
    <w:div w:id="456797997">
      <w:bodyDiv w:val="1"/>
      <w:marLeft w:val="0"/>
      <w:marRight w:val="0"/>
      <w:marTop w:val="0"/>
      <w:marBottom w:val="0"/>
      <w:divBdr>
        <w:top w:val="none" w:sz="0" w:space="0" w:color="auto"/>
        <w:left w:val="none" w:sz="0" w:space="0" w:color="auto"/>
        <w:bottom w:val="none" w:sz="0" w:space="0" w:color="auto"/>
        <w:right w:val="none" w:sz="0" w:space="0" w:color="auto"/>
      </w:divBdr>
    </w:div>
    <w:div w:id="456878720">
      <w:bodyDiv w:val="1"/>
      <w:marLeft w:val="0"/>
      <w:marRight w:val="0"/>
      <w:marTop w:val="0"/>
      <w:marBottom w:val="0"/>
      <w:divBdr>
        <w:top w:val="none" w:sz="0" w:space="0" w:color="auto"/>
        <w:left w:val="none" w:sz="0" w:space="0" w:color="auto"/>
        <w:bottom w:val="none" w:sz="0" w:space="0" w:color="auto"/>
        <w:right w:val="none" w:sz="0" w:space="0" w:color="auto"/>
      </w:divBdr>
    </w:div>
    <w:div w:id="456990720">
      <w:bodyDiv w:val="1"/>
      <w:marLeft w:val="0"/>
      <w:marRight w:val="0"/>
      <w:marTop w:val="0"/>
      <w:marBottom w:val="0"/>
      <w:divBdr>
        <w:top w:val="none" w:sz="0" w:space="0" w:color="auto"/>
        <w:left w:val="none" w:sz="0" w:space="0" w:color="auto"/>
        <w:bottom w:val="none" w:sz="0" w:space="0" w:color="auto"/>
        <w:right w:val="none" w:sz="0" w:space="0" w:color="auto"/>
      </w:divBdr>
    </w:div>
    <w:div w:id="457189678">
      <w:bodyDiv w:val="1"/>
      <w:marLeft w:val="0"/>
      <w:marRight w:val="0"/>
      <w:marTop w:val="0"/>
      <w:marBottom w:val="0"/>
      <w:divBdr>
        <w:top w:val="none" w:sz="0" w:space="0" w:color="auto"/>
        <w:left w:val="none" w:sz="0" w:space="0" w:color="auto"/>
        <w:bottom w:val="none" w:sz="0" w:space="0" w:color="auto"/>
        <w:right w:val="none" w:sz="0" w:space="0" w:color="auto"/>
      </w:divBdr>
    </w:div>
    <w:div w:id="457336768">
      <w:bodyDiv w:val="1"/>
      <w:marLeft w:val="0"/>
      <w:marRight w:val="0"/>
      <w:marTop w:val="0"/>
      <w:marBottom w:val="0"/>
      <w:divBdr>
        <w:top w:val="none" w:sz="0" w:space="0" w:color="auto"/>
        <w:left w:val="none" w:sz="0" w:space="0" w:color="auto"/>
        <w:bottom w:val="none" w:sz="0" w:space="0" w:color="auto"/>
        <w:right w:val="none" w:sz="0" w:space="0" w:color="auto"/>
      </w:divBdr>
    </w:div>
    <w:div w:id="457377899">
      <w:bodyDiv w:val="1"/>
      <w:marLeft w:val="0"/>
      <w:marRight w:val="0"/>
      <w:marTop w:val="0"/>
      <w:marBottom w:val="0"/>
      <w:divBdr>
        <w:top w:val="none" w:sz="0" w:space="0" w:color="auto"/>
        <w:left w:val="none" w:sz="0" w:space="0" w:color="auto"/>
        <w:bottom w:val="none" w:sz="0" w:space="0" w:color="auto"/>
        <w:right w:val="none" w:sz="0" w:space="0" w:color="auto"/>
      </w:divBdr>
    </w:div>
    <w:div w:id="457454307">
      <w:bodyDiv w:val="1"/>
      <w:marLeft w:val="0"/>
      <w:marRight w:val="0"/>
      <w:marTop w:val="0"/>
      <w:marBottom w:val="0"/>
      <w:divBdr>
        <w:top w:val="none" w:sz="0" w:space="0" w:color="auto"/>
        <w:left w:val="none" w:sz="0" w:space="0" w:color="auto"/>
        <w:bottom w:val="none" w:sz="0" w:space="0" w:color="auto"/>
        <w:right w:val="none" w:sz="0" w:space="0" w:color="auto"/>
      </w:divBdr>
    </w:div>
    <w:div w:id="457455470">
      <w:bodyDiv w:val="1"/>
      <w:marLeft w:val="0"/>
      <w:marRight w:val="0"/>
      <w:marTop w:val="0"/>
      <w:marBottom w:val="0"/>
      <w:divBdr>
        <w:top w:val="none" w:sz="0" w:space="0" w:color="auto"/>
        <w:left w:val="none" w:sz="0" w:space="0" w:color="auto"/>
        <w:bottom w:val="none" w:sz="0" w:space="0" w:color="auto"/>
        <w:right w:val="none" w:sz="0" w:space="0" w:color="auto"/>
      </w:divBdr>
    </w:div>
    <w:div w:id="457577042">
      <w:bodyDiv w:val="1"/>
      <w:marLeft w:val="0"/>
      <w:marRight w:val="0"/>
      <w:marTop w:val="0"/>
      <w:marBottom w:val="0"/>
      <w:divBdr>
        <w:top w:val="none" w:sz="0" w:space="0" w:color="auto"/>
        <w:left w:val="none" w:sz="0" w:space="0" w:color="auto"/>
        <w:bottom w:val="none" w:sz="0" w:space="0" w:color="auto"/>
        <w:right w:val="none" w:sz="0" w:space="0" w:color="auto"/>
      </w:divBdr>
    </w:div>
    <w:div w:id="457650333">
      <w:bodyDiv w:val="1"/>
      <w:marLeft w:val="0"/>
      <w:marRight w:val="0"/>
      <w:marTop w:val="0"/>
      <w:marBottom w:val="0"/>
      <w:divBdr>
        <w:top w:val="none" w:sz="0" w:space="0" w:color="auto"/>
        <w:left w:val="none" w:sz="0" w:space="0" w:color="auto"/>
        <w:bottom w:val="none" w:sz="0" w:space="0" w:color="auto"/>
        <w:right w:val="none" w:sz="0" w:space="0" w:color="auto"/>
      </w:divBdr>
    </w:div>
    <w:div w:id="458031273">
      <w:bodyDiv w:val="1"/>
      <w:marLeft w:val="0"/>
      <w:marRight w:val="0"/>
      <w:marTop w:val="0"/>
      <w:marBottom w:val="0"/>
      <w:divBdr>
        <w:top w:val="none" w:sz="0" w:space="0" w:color="auto"/>
        <w:left w:val="none" w:sz="0" w:space="0" w:color="auto"/>
        <w:bottom w:val="none" w:sz="0" w:space="0" w:color="auto"/>
        <w:right w:val="none" w:sz="0" w:space="0" w:color="auto"/>
      </w:divBdr>
    </w:div>
    <w:div w:id="458107226">
      <w:bodyDiv w:val="1"/>
      <w:marLeft w:val="0"/>
      <w:marRight w:val="0"/>
      <w:marTop w:val="0"/>
      <w:marBottom w:val="0"/>
      <w:divBdr>
        <w:top w:val="none" w:sz="0" w:space="0" w:color="auto"/>
        <w:left w:val="none" w:sz="0" w:space="0" w:color="auto"/>
        <w:bottom w:val="none" w:sz="0" w:space="0" w:color="auto"/>
        <w:right w:val="none" w:sz="0" w:space="0" w:color="auto"/>
      </w:divBdr>
    </w:div>
    <w:div w:id="458259914">
      <w:bodyDiv w:val="1"/>
      <w:marLeft w:val="0"/>
      <w:marRight w:val="0"/>
      <w:marTop w:val="0"/>
      <w:marBottom w:val="0"/>
      <w:divBdr>
        <w:top w:val="none" w:sz="0" w:space="0" w:color="auto"/>
        <w:left w:val="none" w:sz="0" w:space="0" w:color="auto"/>
        <w:bottom w:val="none" w:sz="0" w:space="0" w:color="auto"/>
        <w:right w:val="none" w:sz="0" w:space="0" w:color="auto"/>
      </w:divBdr>
    </w:div>
    <w:div w:id="458302609">
      <w:bodyDiv w:val="1"/>
      <w:marLeft w:val="0"/>
      <w:marRight w:val="0"/>
      <w:marTop w:val="0"/>
      <w:marBottom w:val="0"/>
      <w:divBdr>
        <w:top w:val="none" w:sz="0" w:space="0" w:color="auto"/>
        <w:left w:val="none" w:sz="0" w:space="0" w:color="auto"/>
        <w:bottom w:val="none" w:sz="0" w:space="0" w:color="auto"/>
        <w:right w:val="none" w:sz="0" w:space="0" w:color="auto"/>
      </w:divBdr>
    </w:div>
    <w:div w:id="458303603">
      <w:bodyDiv w:val="1"/>
      <w:marLeft w:val="0"/>
      <w:marRight w:val="0"/>
      <w:marTop w:val="0"/>
      <w:marBottom w:val="0"/>
      <w:divBdr>
        <w:top w:val="none" w:sz="0" w:space="0" w:color="auto"/>
        <w:left w:val="none" w:sz="0" w:space="0" w:color="auto"/>
        <w:bottom w:val="none" w:sz="0" w:space="0" w:color="auto"/>
        <w:right w:val="none" w:sz="0" w:space="0" w:color="auto"/>
      </w:divBdr>
    </w:div>
    <w:div w:id="458499697">
      <w:bodyDiv w:val="1"/>
      <w:marLeft w:val="0"/>
      <w:marRight w:val="0"/>
      <w:marTop w:val="0"/>
      <w:marBottom w:val="0"/>
      <w:divBdr>
        <w:top w:val="none" w:sz="0" w:space="0" w:color="auto"/>
        <w:left w:val="none" w:sz="0" w:space="0" w:color="auto"/>
        <w:bottom w:val="none" w:sz="0" w:space="0" w:color="auto"/>
        <w:right w:val="none" w:sz="0" w:space="0" w:color="auto"/>
      </w:divBdr>
    </w:div>
    <w:div w:id="458568299">
      <w:bodyDiv w:val="1"/>
      <w:marLeft w:val="0"/>
      <w:marRight w:val="0"/>
      <w:marTop w:val="0"/>
      <w:marBottom w:val="0"/>
      <w:divBdr>
        <w:top w:val="none" w:sz="0" w:space="0" w:color="auto"/>
        <w:left w:val="none" w:sz="0" w:space="0" w:color="auto"/>
        <w:bottom w:val="none" w:sz="0" w:space="0" w:color="auto"/>
        <w:right w:val="none" w:sz="0" w:space="0" w:color="auto"/>
      </w:divBdr>
    </w:div>
    <w:div w:id="458569324">
      <w:bodyDiv w:val="1"/>
      <w:marLeft w:val="0"/>
      <w:marRight w:val="0"/>
      <w:marTop w:val="0"/>
      <w:marBottom w:val="0"/>
      <w:divBdr>
        <w:top w:val="none" w:sz="0" w:space="0" w:color="auto"/>
        <w:left w:val="none" w:sz="0" w:space="0" w:color="auto"/>
        <w:bottom w:val="none" w:sz="0" w:space="0" w:color="auto"/>
        <w:right w:val="none" w:sz="0" w:space="0" w:color="auto"/>
      </w:divBdr>
    </w:div>
    <w:div w:id="458571702">
      <w:bodyDiv w:val="1"/>
      <w:marLeft w:val="0"/>
      <w:marRight w:val="0"/>
      <w:marTop w:val="0"/>
      <w:marBottom w:val="0"/>
      <w:divBdr>
        <w:top w:val="none" w:sz="0" w:space="0" w:color="auto"/>
        <w:left w:val="none" w:sz="0" w:space="0" w:color="auto"/>
        <w:bottom w:val="none" w:sz="0" w:space="0" w:color="auto"/>
        <w:right w:val="none" w:sz="0" w:space="0" w:color="auto"/>
      </w:divBdr>
    </w:div>
    <w:div w:id="458694839">
      <w:bodyDiv w:val="1"/>
      <w:marLeft w:val="0"/>
      <w:marRight w:val="0"/>
      <w:marTop w:val="0"/>
      <w:marBottom w:val="0"/>
      <w:divBdr>
        <w:top w:val="none" w:sz="0" w:space="0" w:color="auto"/>
        <w:left w:val="none" w:sz="0" w:space="0" w:color="auto"/>
        <w:bottom w:val="none" w:sz="0" w:space="0" w:color="auto"/>
        <w:right w:val="none" w:sz="0" w:space="0" w:color="auto"/>
      </w:divBdr>
    </w:div>
    <w:div w:id="458840635">
      <w:bodyDiv w:val="1"/>
      <w:marLeft w:val="0"/>
      <w:marRight w:val="0"/>
      <w:marTop w:val="0"/>
      <w:marBottom w:val="0"/>
      <w:divBdr>
        <w:top w:val="none" w:sz="0" w:space="0" w:color="auto"/>
        <w:left w:val="none" w:sz="0" w:space="0" w:color="auto"/>
        <w:bottom w:val="none" w:sz="0" w:space="0" w:color="auto"/>
        <w:right w:val="none" w:sz="0" w:space="0" w:color="auto"/>
      </w:divBdr>
    </w:div>
    <w:div w:id="458957165">
      <w:bodyDiv w:val="1"/>
      <w:marLeft w:val="0"/>
      <w:marRight w:val="0"/>
      <w:marTop w:val="0"/>
      <w:marBottom w:val="0"/>
      <w:divBdr>
        <w:top w:val="none" w:sz="0" w:space="0" w:color="auto"/>
        <w:left w:val="none" w:sz="0" w:space="0" w:color="auto"/>
        <w:bottom w:val="none" w:sz="0" w:space="0" w:color="auto"/>
        <w:right w:val="none" w:sz="0" w:space="0" w:color="auto"/>
      </w:divBdr>
    </w:div>
    <w:div w:id="459080230">
      <w:bodyDiv w:val="1"/>
      <w:marLeft w:val="0"/>
      <w:marRight w:val="0"/>
      <w:marTop w:val="0"/>
      <w:marBottom w:val="0"/>
      <w:divBdr>
        <w:top w:val="none" w:sz="0" w:space="0" w:color="auto"/>
        <w:left w:val="none" w:sz="0" w:space="0" w:color="auto"/>
        <w:bottom w:val="none" w:sz="0" w:space="0" w:color="auto"/>
        <w:right w:val="none" w:sz="0" w:space="0" w:color="auto"/>
      </w:divBdr>
    </w:div>
    <w:div w:id="459081092">
      <w:bodyDiv w:val="1"/>
      <w:marLeft w:val="0"/>
      <w:marRight w:val="0"/>
      <w:marTop w:val="0"/>
      <w:marBottom w:val="0"/>
      <w:divBdr>
        <w:top w:val="none" w:sz="0" w:space="0" w:color="auto"/>
        <w:left w:val="none" w:sz="0" w:space="0" w:color="auto"/>
        <w:bottom w:val="none" w:sz="0" w:space="0" w:color="auto"/>
        <w:right w:val="none" w:sz="0" w:space="0" w:color="auto"/>
      </w:divBdr>
    </w:div>
    <w:div w:id="459155299">
      <w:bodyDiv w:val="1"/>
      <w:marLeft w:val="0"/>
      <w:marRight w:val="0"/>
      <w:marTop w:val="0"/>
      <w:marBottom w:val="0"/>
      <w:divBdr>
        <w:top w:val="none" w:sz="0" w:space="0" w:color="auto"/>
        <w:left w:val="none" w:sz="0" w:space="0" w:color="auto"/>
        <w:bottom w:val="none" w:sz="0" w:space="0" w:color="auto"/>
        <w:right w:val="none" w:sz="0" w:space="0" w:color="auto"/>
      </w:divBdr>
    </w:div>
    <w:div w:id="459230676">
      <w:bodyDiv w:val="1"/>
      <w:marLeft w:val="0"/>
      <w:marRight w:val="0"/>
      <w:marTop w:val="0"/>
      <w:marBottom w:val="0"/>
      <w:divBdr>
        <w:top w:val="none" w:sz="0" w:space="0" w:color="auto"/>
        <w:left w:val="none" w:sz="0" w:space="0" w:color="auto"/>
        <w:bottom w:val="none" w:sz="0" w:space="0" w:color="auto"/>
        <w:right w:val="none" w:sz="0" w:space="0" w:color="auto"/>
      </w:divBdr>
    </w:div>
    <w:div w:id="459231729">
      <w:bodyDiv w:val="1"/>
      <w:marLeft w:val="0"/>
      <w:marRight w:val="0"/>
      <w:marTop w:val="0"/>
      <w:marBottom w:val="0"/>
      <w:divBdr>
        <w:top w:val="none" w:sz="0" w:space="0" w:color="auto"/>
        <w:left w:val="none" w:sz="0" w:space="0" w:color="auto"/>
        <w:bottom w:val="none" w:sz="0" w:space="0" w:color="auto"/>
        <w:right w:val="none" w:sz="0" w:space="0" w:color="auto"/>
      </w:divBdr>
    </w:div>
    <w:div w:id="459301121">
      <w:bodyDiv w:val="1"/>
      <w:marLeft w:val="0"/>
      <w:marRight w:val="0"/>
      <w:marTop w:val="0"/>
      <w:marBottom w:val="0"/>
      <w:divBdr>
        <w:top w:val="none" w:sz="0" w:space="0" w:color="auto"/>
        <w:left w:val="none" w:sz="0" w:space="0" w:color="auto"/>
        <w:bottom w:val="none" w:sz="0" w:space="0" w:color="auto"/>
        <w:right w:val="none" w:sz="0" w:space="0" w:color="auto"/>
      </w:divBdr>
    </w:div>
    <w:div w:id="459305412">
      <w:bodyDiv w:val="1"/>
      <w:marLeft w:val="0"/>
      <w:marRight w:val="0"/>
      <w:marTop w:val="0"/>
      <w:marBottom w:val="0"/>
      <w:divBdr>
        <w:top w:val="none" w:sz="0" w:space="0" w:color="auto"/>
        <w:left w:val="none" w:sz="0" w:space="0" w:color="auto"/>
        <w:bottom w:val="none" w:sz="0" w:space="0" w:color="auto"/>
        <w:right w:val="none" w:sz="0" w:space="0" w:color="auto"/>
      </w:divBdr>
    </w:div>
    <w:div w:id="459421478">
      <w:bodyDiv w:val="1"/>
      <w:marLeft w:val="0"/>
      <w:marRight w:val="0"/>
      <w:marTop w:val="0"/>
      <w:marBottom w:val="0"/>
      <w:divBdr>
        <w:top w:val="none" w:sz="0" w:space="0" w:color="auto"/>
        <w:left w:val="none" w:sz="0" w:space="0" w:color="auto"/>
        <w:bottom w:val="none" w:sz="0" w:space="0" w:color="auto"/>
        <w:right w:val="none" w:sz="0" w:space="0" w:color="auto"/>
      </w:divBdr>
    </w:div>
    <w:div w:id="459422635">
      <w:bodyDiv w:val="1"/>
      <w:marLeft w:val="0"/>
      <w:marRight w:val="0"/>
      <w:marTop w:val="0"/>
      <w:marBottom w:val="0"/>
      <w:divBdr>
        <w:top w:val="none" w:sz="0" w:space="0" w:color="auto"/>
        <w:left w:val="none" w:sz="0" w:space="0" w:color="auto"/>
        <w:bottom w:val="none" w:sz="0" w:space="0" w:color="auto"/>
        <w:right w:val="none" w:sz="0" w:space="0" w:color="auto"/>
      </w:divBdr>
    </w:div>
    <w:div w:id="459494027">
      <w:bodyDiv w:val="1"/>
      <w:marLeft w:val="0"/>
      <w:marRight w:val="0"/>
      <w:marTop w:val="0"/>
      <w:marBottom w:val="0"/>
      <w:divBdr>
        <w:top w:val="none" w:sz="0" w:space="0" w:color="auto"/>
        <w:left w:val="none" w:sz="0" w:space="0" w:color="auto"/>
        <w:bottom w:val="none" w:sz="0" w:space="0" w:color="auto"/>
        <w:right w:val="none" w:sz="0" w:space="0" w:color="auto"/>
      </w:divBdr>
    </w:div>
    <w:div w:id="459539862">
      <w:bodyDiv w:val="1"/>
      <w:marLeft w:val="0"/>
      <w:marRight w:val="0"/>
      <w:marTop w:val="0"/>
      <w:marBottom w:val="0"/>
      <w:divBdr>
        <w:top w:val="none" w:sz="0" w:space="0" w:color="auto"/>
        <w:left w:val="none" w:sz="0" w:space="0" w:color="auto"/>
        <w:bottom w:val="none" w:sz="0" w:space="0" w:color="auto"/>
        <w:right w:val="none" w:sz="0" w:space="0" w:color="auto"/>
      </w:divBdr>
    </w:div>
    <w:div w:id="459543556">
      <w:bodyDiv w:val="1"/>
      <w:marLeft w:val="0"/>
      <w:marRight w:val="0"/>
      <w:marTop w:val="0"/>
      <w:marBottom w:val="0"/>
      <w:divBdr>
        <w:top w:val="none" w:sz="0" w:space="0" w:color="auto"/>
        <w:left w:val="none" w:sz="0" w:space="0" w:color="auto"/>
        <w:bottom w:val="none" w:sz="0" w:space="0" w:color="auto"/>
        <w:right w:val="none" w:sz="0" w:space="0" w:color="auto"/>
      </w:divBdr>
    </w:div>
    <w:div w:id="459761722">
      <w:bodyDiv w:val="1"/>
      <w:marLeft w:val="0"/>
      <w:marRight w:val="0"/>
      <w:marTop w:val="0"/>
      <w:marBottom w:val="0"/>
      <w:divBdr>
        <w:top w:val="none" w:sz="0" w:space="0" w:color="auto"/>
        <w:left w:val="none" w:sz="0" w:space="0" w:color="auto"/>
        <w:bottom w:val="none" w:sz="0" w:space="0" w:color="auto"/>
        <w:right w:val="none" w:sz="0" w:space="0" w:color="auto"/>
      </w:divBdr>
    </w:div>
    <w:div w:id="459762428">
      <w:bodyDiv w:val="1"/>
      <w:marLeft w:val="0"/>
      <w:marRight w:val="0"/>
      <w:marTop w:val="0"/>
      <w:marBottom w:val="0"/>
      <w:divBdr>
        <w:top w:val="none" w:sz="0" w:space="0" w:color="auto"/>
        <w:left w:val="none" w:sz="0" w:space="0" w:color="auto"/>
        <w:bottom w:val="none" w:sz="0" w:space="0" w:color="auto"/>
        <w:right w:val="none" w:sz="0" w:space="0" w:color="auto"/>
      </w:divBdr>
    </w:div>
    <w:div w:id="459806730">
      <w:bodyDiv w:val="1"/>
      <w:marLeft w:val="0"/>
      <w:marRight w:val="0"/>
      <w:marTop w:val="0"/>
      <w:marBottom w:val="0"/>
      <w:divBdr>
        <w:top w:val="none" w:sz="0" w:space="0" w:color="auto"/>
        <w:left w:val="none" w:sz="0" w:space="0" w:color="auto"/>
        <w:bottom w:val="none" w:sz="0" w:space="0" w:color="auto"/>
        <w:right w:val="none" w:sz="0" w:space="0" w:color="auto"/>
      </w:divBdr>
    </w:div>
    <w:div w:id="459878801">
      <w:bodyDiv w:val="1"/>
      <w:marLeft w:val="0"/>
      <w:marRight w:val="0"/>
      <w:marTop w:val="0"/>
      <w:marBottom w:val="0"/>
      <w:divBdr>
        <w:top w:val="none" w:sz="0" w:space="0" w:color="auto"/>
        <w:left w:val="none" w:sz="0" w:space="0" w:color="auto"/>
        <w:bottom w:val="none" w:sz="0" w:space="0" w:color="auto"/>
        <w:right w:val="none" w:sz="0" w:space="0" w:color="auto"/>
      </w:divBdr>
    </w:div>
    <w:div w:id="459885320">
      <w:bodyDiv w:val="1"/>
      <w:marLeft w:val="0"/>
      <w:marRight w:val="0"/>
      <w:marTop w:val="0"/>
      <w:marBottom w:val="0"/>
      <w:divBdr>
        <w:top w:val="none" w:sz="0" w:space="0" w:color="auto"/>
        <w:left w:val="none" w:sz="0" w:space="0" w:color="auto"/>
        <w:bottom w:val="none" w:sz="0" w:space="0" w:color="auto"/>
        <w:right w:val="none" w:sz="0" w:space="0" w:color="auto"/>
      </w:divBdr>
    </w:div>
    <w:div w:id="460224468">
      <w:bodyDiv w:val="1"/>
      <w:marLeft w:val="0"/>
      <w:marRight w:val="0"/>
      <w:marTop w:val="0"/>
      <w:marBottom w:val="0"/>
      <w:divBdr>
        <w:top w:val="none" w:sz="0" w:space="0" w:color="auto"/>
        <w:left w:val="none" w:sz="0" w:space="0" w:color="auto"/>
        <w:bottom w:val="none" w:sz="0" w:space="0" w:color="auto"/>
        <w:right w:val="none" w:sz="0" w:space="0" w:color="auto"/>
      </w:divBdr>
    </w:div>
    <w:div w:id="460273981">
      <w:bodyDiv w:val="1"/>
      <w:marLeft w:val="0"/>
      <w:marRight w:val="0"/>
      <w:marTop w:val="0"/>
      <w:marBottom w:val="0"/>
      <w:divBdr>
        <w:top w:val="none" w:sz="0" w:space="0" w:color="auto"/>
        <w:left w:val="none" w:sz="0" w:space="0" w:color="auto"/>
        <w:bottom w:val="none" w:sz="0" w:space="0" w:color="auto"/>
        <w:right w:val="none" w:sz="0" w:space="0" w:color="auto"/>
      </w:divBdr>
    </w:div>
    <w:div w:id="460346915">
      <w:bodyDiv w:val="1"/>
      <w:marLeft w:val="0"/>
      <w:marRight w:val="0"/>
      <w:marTop w:val="0"/>
      <w:marBottom w:val="0"/>
      <w:divBdr>
        <w:top w:val="none" w:sz="0" w:space="0" w:color="auto"/>
        <w:left w:val="none" w:sz="0" w:space="0" w:color="auto"/>
        <w:bottom w:val="none" w:sz="0" w:space="0" w:color="auto"/>
        <w:right w:val="none" w:sz="0" w:space="0" w:color="auto"/>
      </w:divBdr>
    </w:div>
    <w:div w:id="460418412">
      <w:bodyDiv w:val="1"/>
      <w:marLeft w:val="0"/>
      <w:marRight w:val="0"/>
      <w:marTop w:val="0"/>
      <w:marBottom w:val="0"/>
      <w:divBdr>
        <w:top w:val="none" w:sz="0" w:space="0" w:color="auto"/>
        <w:left w:val="none" w:sz="0" w:space="0" w:color="auto"/>
        <w:bottom w:val="none" w:sz="0" w:space="0" w:color="auto"/>
        <w:right w:val="none" w:sz="0" w:space="0" w:color="auto"/>
      </w:divBdr>
    </w:div>
    <w:div w:id="460418798">
      <w:bodyDiv w:val="1"/>
      <w:marLeft w:val="0"/>
      <w:marRight w:val="0"/>
      <w:marTop w:val="0"/>
      <w:marBottom w:val="0"/>
      <w:divBdr>
        <w:top w:val="none" w:sz="0" w:space="0" w:color="auto"/>
        <w:left w:val="none" w:sz="0" w:space="0" w:color="auto"/>
        <w:bottom w:val="none" w:sz="0" w:space="0" w:color="auto"/>
        <w:right w:val="none" w:sz="0" w:space="0" w:color="auto"/>
      </w:divBdr>
    </w:div>
    <w:div w:id="460465853">
      <w:bodyDiv w:val="1"/>
      <w:marLeft w:val="0"/>
      <w:marRight w:val="0"/>
      <w:marTop w:val="0"/>
      <w:marBottom w:val="0"/>
      <w:divBdr>
        <w:top w:val="none" w:sz="0" w:space="0" w:color="auto"/>
        <w:left w:val="none" w:sz="0" w:space="0" w:color="auto"/>
        <w:bottom w:val="none" w:sz="0" w:space="0" w:color="auto"/>
        <w:right w:val="none" w:sz="0" w:space="0" w:color="auto"/>
      </w:divBdr>
    </w:div>
    <w:div w:id="460731142">
      <w:bodyDiv w:val="1"/>
      <w:marLeft w:val="0"/>
      <w:marRight w:val="0"/>
      <w:marTop w:val="0"/>
      <w:marBottom w:val="0"/>
      <w:divBdr>
        <w:top w:val="none" w:sz="0" w:space="0" w:color="auto"/>
        <w:left w:val="none" w:sz="0" w:space="0" w:color="auto"/>
        <w:bottom w:val="none" w:sz="0" w:space="0" w:color="auto"/>
        <w:right w:val="none" w:sz="0" w:space="0" w:color="auto"/>
      </w:divBdr>
    </w:div>
    <w:div w:id="460731483">
      <w:bodyDiv w:val="1"/>
      <w:marLeft w:val="0"/>
      <w:marRight w:val="0"/>
      <w:marTop w:val="0"/>
      <w:marBottom w:val="0"/>
      <w:divBdr>
        <w:top w:val="none" w:sz="0" w:space="0" w:color="auto"/>
        <w:left w:val="none" w:sz="0" w:space="0" w:color="auto"/>
        <w:bottom w:val="none" w:sz="0" w:space="0" w:color="auto"/>
        <w:right w:val="none" w:sz="0" w:space="0" w:color="auto"/>
      </w:divBdr>
    </w:div>
    <w:div w:id="460733836">
      <w:bodyDiv w:val="1"/>
      <w:marLeft w:val="0"/>
      <w:marRight w:val="0"/>
      <w:marTop w:val="0"/>
      <w:marBottom w:val="0"/>
      <w:divBdr>
        <w:top w:val="none" w:sz="0" w:space="0" w:color="auto"/>
        <w:left w:val="none" w:sz="0" w:space="0" w:color="auto"/>
        <w:bottom w:val="none" w:sz="0" w:space="0" w:color="auto"/>
        <w:right w:val="none" w:sz="0" w:space="0" w:color="auto"/>
      </w:divBdr>
    </w:div>
    <w:div w:id="460733945">
      <w:bodyDiv w:val="1"/>
      <w:marLeft w:val="0"/>
      <w:marRight w:val="0"/>
      <w:marTop w:val="0"/>
      <w:marBottom w:val="0"/>
      <w:divBdr>
        <w:top w:val="none" w:sz="0" w:space="0" w:color="auto"/>
        <w:left w:val="none" w:sz="0" w:space="0" w:color="auto"/>
        <w:bottom w:val="none" w:sz="0" w:space="0" w:color="auto"/>
        <w:right w:val="none" w:sz="0" w:space="0" w:color="auto"/>
      </w:divBdr>
    </w:div>
    <w:div w:id="461077917">
      <w:bodyDiv w:val="1"/>
      <w:marLeft w:val="0"/>
      <w:marRight w:val="0"/>
      <w:marTop w:val="0"/>
      <w:marBottom w:val="0"/>
      <w:divBdr>
        <w:top w:val="none" w:sz="0" w:space="0" w:color="auto"/>
        <w:left w:val="none" w:sz="0" w:space="0" w:color="auto"/>
        <w:bottom w:val="none" w:sz="0" w:space="0" w:color="auto"/>
        <w:right w:val="none" w:sz="0" w:space="0" w:color="auto"/>
      </w:divBdr>
    </w:div>
    <w:div w:id="461265023">
      <w:bodyDiv w:val="1"/>
      <w:marLeft w:val="0"/>
      <w:marRight w:val="0"/>
      <w:marTop w:val="0"/>
      <w:marBottom w:val="0"/>
      <w:divBdr>
        <w:top w:val="none" w:sz="0" w:space="0" w:color="auto"/>
        <w:left w:val="none" w:sz="0" w:space="0" w:color="auto"/>
        <w:bottom w:val="none" w:sz="0" w:space="0" w:color="auto"/>
        <w:right w:val="none" w:sz="0" w:space="0" w:color="auto"/>
      </w:divBdr>
    </w:div>
    <w:div w:id="461389736">
      <w:bodyDiv w:val="1"/>
      <w:marLeft w:val="0"/>
      <w:marRight w:val="0"/>
      <w:marTop w:val="0"/>
      <w:marBottom w:val="0"/>
      <w:divBdr>
        <w:top w:val="none" w:sz="0" w:space="0" w:color="auto"/>
        <w:left w:val="none" w:sz="0" w:space="0" w:color="auto"/>
        <w:bottom w:val="none" w:sz="0" w:space="0" w:color="auto"/>
        <w:right w:val="none" w:sz="0" w:space="0" w:color="auto"/>
      </w:divBdr>
    </w:div>
    <w:div w:id="461457977">
      <w:bodyDiv w:val="1"/>
      <w:marLeft w:val="0"/>
      <w:marRight w:val="0"/>
      <w:marTop w:val="0"/>
      <w:marBottom w:val="0"/>
      <w:divBdr>
        <w:top w:val="none" w:sz="0" w:space="0" w:color="auto"/>
        <w:left w:val="none" w:sz="0" w:space="0" w:color="auto"/>
        <w:bottom w:val="none" w:sz="0" w:space="0" w:color="auto"/>
        <w:right w:val="none" w:sz="0" w:space="0" w:color="auto"/>
      </w:divBdr>
    </w:div>
    <w:div w:id="461508221">
      <w:bodyDiv w:val="1"/>
      <w:marLeft w:val="0"/>
      <w:marRight w:val="0"/>
      <w:marTop w:val="0"/>
      <w:marBottom w:val="0"/>
      <w:divBdr>
        <w:top w:val="none" w:sz="0" w:space="0" w:color="auto"/>
        <w:left w:val="none" w:sz="0" w:space="0" w:color="auto"/>
        <w:bottom w:val="none" w:sz="0" w:space="0" w:color="auto"/>
        <w:right w:val="none" w:sz="0" w:space="0" w:color="auto"/>
      </w:divBdr>
    </w:div>
    <w:div w:id="461920820">
      <w:bodyDiv w:val="1"/>
      <w:marLeft w:val="0"/>
      <w:marRight w:val="0"/>
      <w:marTop w:val="0"/>
      <w:marBottom w:val="0"/>
      <w:divBdr>
        <w:top w:val="none" w:sz="0" w:space="0" w:color="auto"/>
        <w:left w:val="none" w:sz="0" w:space="0" w:color="auto"/>
        <w:bottom w:val="none" w:sz="0" w:space="0" w:color="auto"/>
        <w:right w:val="none" w:sz="0" w:space="0" w:color="auto"/>
      </w:divBdr>
    </w:div>
    <w:div w:id="461968605">
      <w:bodyDiv w:val="1"/>
      <w:marLeft w:val="0"/>
      <w:marRight w:val="0"/>
      <w:marTop w:val="0"/>
      <w:marBottom w:val="0"/>
      <w:divBdr>
        <w:top w:val="none" w:sz="0" w:space="0" w:color="auto"/>
        <w:left w:val="none" w:sz="0" w:space="0" w:color="auto"/>
        <w:bottom w:val="none" w:sz="0" w:space="0" w:color="auto"/>
        <w:right w:val="none" w:sz="0" w:space="0" w:color="auto"/>
      </w:divBdr>
    </w:div>
    <w:div w:id="462117136">
      <w:bodyDiv w:val="1"/>
      <w:marLeft w:val="0"/>
      <w:marRight w:val="0"/>
      <w:marTop w:val="0"/>
      <w:marBottom w:val="0"/>
      <w:divBdr>
        <w:top w:val="none" w:sz="0" w:space="0" w:color="auto"/>
        <w:left w:val="none" w:sz="0" w:space="0" w:color="auto"/>
        <w:bottom w:val="none" w:sz="0" w:space="0" w:color="auto"/>
        <w:right w:val="none" w:sz="0" w:space="0" w:color="auto"/>
      </w:divBdr>
    </w:div>
    <w:div w:id="462191593">
      <w:bodyDiv w:val="1"/>
      <w:marLeft w:val="0"/>
      <w:marRight w:val="0"/>
      <w:marTop w:val="0"/>
      <w:marBottom w:val="0"/>
      <w:divBdr>
        <w:top w:val="none" w:sz="0" w:space="0" w:color="auto"/>
        <w:left w:val="none" w:sz="0" w:space="0" w:color="auto"/>
        <w:bottom w:val="none" w:sz="0" w:space="0" w:color="auto"/>
        <w:right w:val="none" w:sz="0" w:space="0" w:color="auto"/>
      </w:divBdr>
    </w:div>
    <w:div w:id="462386701">
      <w:bodyDiv w:val="1"/>
      <w:marLeft w:val="0"/>
      <w:marRight w:val="0"/>
      <w:marTop w:val="0"/>
      <w:marBottom w:val="0"/>
      <w:divBdr>
        <w:top w:val="none" w:sz="0" w:space="0" w:color="auto"/>
        <w:left w:val="none" w:sz="0" w:space="0" w:color="auto"/>
        <w:bottom w:val="none" w:sz="0" w:space="0" w:color="auto"/>
        <w:right w:val="none" w:sz="0" w:space="0" w:color="auto"/>
      </w:divBdr>
    </w:div>
    <w:div w:id="462386833">
      <w:bodyDiv w:val="1"/>
      <w:marLeft w:val="0"/>
      <w:marRight w:val="0"/>
      <w:marTop w:val="0"/>
      <w:marBottom w:val="0"/>
      <w:divBdr>
        <w:top w:val="none" w:sz="0" w:space="0" w:color="auto"/>
        <w:left w:val="none" w:sz="0" w:space="0" w:color="auto"/>
        <w:bottom w:val="none" w:sz="0" w:space="0" w:color="auto"/>
        <w:right w:val="none" w:sz="0" w:space="0" w:color="auto"/>
      </w:divBdr>
    </w:div>
    <w:div w:id="462428558">
      <w:bodyDiv w:val="1"/>
      <w:marLeft w:val="0"/>
      <w:marRight w:val="0"/>
      <w:marTop w:val="0"/>
      <w:marBottom w:val="0"/>
      <w:divBdr>
        <w:top w:val="none" w:sz="0" w:space="0" w:color="auto"/>
        <w:left w:val="none" w:sz="0" w:space="0" w:color="auto"/>
        <w:bottom w:val="none" w:sz="0" w:space="0" w:color="auto"/>
        <w:right w:val="none" w:sz="0" w:space="0" w:color="auto"/>
      </w:divBdr>
    </w:div>
    <w:div w:id="462428968">
      <w:bodyDiv w:val="1"/>
      <w:marLeft w:val="0"/>
      <w:marRight w:val="0"/>
      <w:marTop w:val="0"/>
      <w:marBottom w:val="0"/>
      <w:divBdr>
        <w:top w:val="none" w:sz="0" w:space="0" w:color="auto"/>
        <w:left w:val="none" w:sz="0" w:space="0" w:color="auto"/>
        <w:bottom w:val="none" w:sz="0" w:space="0" w:color="auto"/>
        <w:right w:val="none" w:sz="0" w:space="0" w:color="auto"/>
      </w:divBdr>
    </w:div>
    <w:div w:id="462501948">
      <w:bodyDiv w:val="1"/>
      <w:marLeft w:val="0"/>
      <w:marRight w:val="0"/>
      <w:marTop w:val="0"/>
      <w:marBottom w:val="0"/>
      <w:divBdr>
        <w:top w:val="none" w:sz="0" w:space="0" w:color="auto"/>
        <w:left w:val="none" w:sz="0" w:space="0" w:color="auto"/>
        <w:bottom w:val="none" w:sz="0" w:space="0" w:color="auto"/>
        <w:right w:val="none" w:sz="0" w:space="0" w:color="auto"/>
      </w:divBdr>
    </w:div>
    <w:div w:id="462621125">
      <w:bodyDiv w:val="1"/>
      <w:marLeft w:val="0"/>
      <w:marRight w:val="0"/>
      <w:marTop w:val="0"/>
      <w:marBottom w:val="0"/>
      <w:divBdr>
        <w:top w:val="none" w:sz="0" w:space="0" w:color="auto"/>
        <w:left w:val="none" w:sz="0" w:space="0" w:color="auto"/>
        <w:bottom w:val="none" w:sz="0" w:space="0" w:color="auto"/>
        <w:right w:val="none" w:sz="0" w:space="0" w:color="auto"/>
      </w:divBdr>
    </w:div>
    <w:div w:id="462772882">
      <w:bodyDiv w:val="1"/>
      <w:marLeft w:val="0"/>
      <w:marRight w:val="0"/>
      <w:marTop w:val="0"/>
      <w:marBottom w:val="0"/>
      <w:divBdr>
        <w:top w:val="none" w:sz="0" w:space="0" w:color="auto"/>
        <w:left w:val="none" w:sz="0" w:space="0" w:color="auto"/>
        <w:bottom w:val="none" w:sz="0" w:space="0" w:color="auto"/>
        <w:right w:val="none" w:sz="0" w:space="0" w:color="auto"/>
      </w:divBdr>
    </w:div>
    <w:div w:id="462817579">
      <w:bodyDiv w:val="1"/>
      <w:marLeft w:val="0"/>
      <w:marRight w:val="0"/>
      <w:marTop w:val="0"/>
      <w:marBottom w:val="0"/>
      <w:divBdr>
        <w:top w:val="none" w:sz="0" w:space="0" w:color="auto"/>
        <w:left w:val="none" w:sz="0" w:space="0" w:color="auto"/>
        <w:bottom w:val="none" w:sz="0" w:space="0" w:color="auto"/>
        <w:right w:val="none" w:sz="0" w:space="0" w:color="auto"/>
      </w:divBdr>
    </w:div>
    <w:div w:id="462845701">
      <w:bodyDiv w:val="1"/>
      <w:marLeft w:val="0"/>
      <w:marRight w:val="0"/>
      <w:marTop w:val="0"/>
      <w:marBottom w:val="0"/>
      <w:divBdr>
        <w:top w:val="none" w:sz="0" w:space="0" w:color="auto"/>
        <w:left w:val="none" w:sz="0" w:space="0" w:color="auto"/>
        <w:bottom w:val="none" w:sz="0" w:space="0" w:color="auto"/>
        <w:right w:val="none" w:sz="0" w:space="0" w:color="auto"/>
      </w:divBdr>
    </w:div>
    <w:div w:id="462890528">
      <w:bodyDiv w:val="1"/>
      <w:marLeft w:val="0"/>
      <w:marRight w:val="0"/>
      <w:marTop w:val="0"/>
      <w:marBottom w:val="0"/>
      <w:divBdr>
        <w:top w:val="none" w:sz="0" w:space="0" w:color="auto"/>
        <w:left w:val="none" w:sz="0" w:space="0" w:color="auto"/>
        <w:bottom w:val="none" w:sz="0" w:space="0" w:color="auto"/>
        <w:right w:val="none" w:sz="0" w:space="0" w:color="auto"/>
      </w:divBdr>
    </w:div>
    <w:div w:id="462963004">
      <w:bodyDiv w:val="1"/>
      <w:marLeft w:val="0"/>
      <w:marRight w:val="0"/>
      <w:marTop w:val="0"/>
      <w:marBottom w:val="0"/>
      <w:divBdr>
        <w:top w:val="none" w:sz="0" w:space="0" w:color="auto"/>
        <w:left w:val="none" w:sz="0" w:space="0" w:color="auto"/>
        <w:bottom w:val="none" w:sz="0" w:space="0" w:color="auto"/>
        <w:right w:val="none" w:sz="0" w:space="0" w:color="auto"/>
      </w:divBdr>
    </w:div>
    <w:div w:id="462964431">
      <w:bodyDiv w:val="1"/>
      <w:marLeft w:val="0"/>
      <w:marRight w:val="0"/>
      <w:marTop w:val="0"/>
      <w:marBottom w:val="0"/>
      <w:divBdr>
        <w:top w:val="none" w:sz="0" w:space="0" w:color="auto"/>
        <w:left w:val="none" w:sz="0" w:space="0" w:color="auto"/>
        <w:bottom w:val="none" w:sz="0" w:space="0" w:color="auto"/>
        <w:right w:val="none" w:sz="0" w:space="0" w:color="auto"/>
      </w:divBdr>
    </w:div>
    <w:div w:id="462966565">
      <w:bodyDiv w:val="1"/>
      <w:marLeft w:val="0"/>
      <w:marRight w:val="0"/>
      <w:marTop w:val="0"/>
      <w:marBottom w:val="0"/>
      <w:divBdr>
        <w:top w:val="none" w:sz="0" w:space="0" w:color="auto"/>
        <w:left w:val="none" w:sz="0" w:space="0" w:color="auto"/>
        <w:bottom w:val="none" w:sz="0" w:space="0" w:color="auto"/>
        <w:right w:val="none" w:sz="0" w:space="0" w:color="auto"/>
      </w:divBdr>
    </w:div>
    <w:div w:id="462968568">
      <w:bodyDiv w:val="1"/>
      <w:marLeft w:val="0"/>
      <w:marRight w:val="0"/>
      <w:marTop w:val="0"/>
      <w:marBottom w:val="0"/>
      <w:divBdr>
        <w:top w:val="none" w:sz="0" w:space="0" w:color="auto"/>
        <w:left w:val="none" w:sz="0" w:space="0" w:color="auto"/>
        <w:bottom w:val="none" w:sz="0" w:space="0" w:color="auto"/>
        <w:right w:val="none" w:sz="0" w:space="0" w:color="auto"/>
      </w:divBdr>
    </w:div>
    <w:div w:id="462969620">
      <w:bodyDiv w:val="1"/>
      <w:marLeft w:val="0"/>
      <w:marRight w:val="0"/>
      <w:marTop w:val="0"/>
      <w:marBottom w:val="0"/>
      <w:divBdr>
        <w:top w:val="none" w:sz="0" w:space="0" w:color="auto"/>
        <w:left w:val="none" w:sz="0" w:space="0" w:color="auto"/>
        <w:bottom w:val="none" w:sz="0" w:space="0" w:color="auto"/>
        <w:right w:val="none" w:sz="0" w:space="0" w:color="auto"/>
      </w:divBdr>
    </w:div>
    <w:div w:id="463012553">
      <w:bodyDiv w:val="1"/>
      <w:marLeft w:val="0"/>
      <w:marRight w:val="0"/>
      <w:marTop w:val="0"/>
      <w:marBottom w:val="0"/>
      <w:divBdr>
        <w:top w:val="none" w:sz="0" w:space="0" w:color="auto"/>
        <w:left w:val="none" w:sz="0" w:space="0" w:color="auto"/>
        <w:bottom w:val="none" w:sz="0" w:space="0" w:color="auto"/>
        <w:right w:val="none" w:sz="0" w:space="0" w:color="auto"/>
      </w:divBdr>
    </w:div>
    <w:div w:id="463038450">
      <w:bodyDiv w:val="1"/>
      <w:marLeft w:val="0"/>
      <w:marRight w:val="0"/>
      <w:marTop w:val="0"/>
      <w:marBottom w:val="0"/>
      <w:divBdr>
        <w:top w:val="none" w:sz="0" w:space="0" w:color="auto"/>
        <w:left w:val="none" w:sz="0" w:space="0" w:color="auto"/>
        <w:bottom w:val="none" w:sz="0" w:space="0" w:color="auto"/>
        <w:right w:val="none" w:sz="0" w:space="0" w:color="auto"/>
      </w:divBdr>
    </w:div>
    <w:div w:id="463087208">
      <w:bodyDiv w:val="1"/>
      <w:marLeft w:val="0"/>
      <w:marRight w:val="0"/>
      <w:marTop w:val="0"/>
      <w:marBottom w:val="0"/>
      <w:divBdr>
        <w:top w:val="none" w:sz="0" w:space="0" w:color="auto"/>
        <w:left w:val="none" w:sz="0" w:space="0" w:color="auto"/>
        <w:bottom w:val="none" w:sz="0" w:space="0" w:color="auto"/>
        <w:right w:val="none" w:sz="0" w:space="0" w:color="auto"/>
      </w:divBdr>
    </w:div>
    <w:div w:id="463154363">
      <w:bodyDiv w:val="1"/>
      <w:marLeft w:val="0"/>
      <w:marRight w:val="0"/>
      <w:marTop w:val="0"/>
      <w:marBottom w:val="0"/>
      <w:divBdr>
        <w:top w:val="none" w:sz="0" w:space="0" w:color="auto"/>
        <w:left w:val="none" w:sz="0" w:space="0" w:color="auto"/>
        <w:bottom w:val="none" w:sz="0" w:space="0" w:color="auto"/>
        <w:right w:val="none" w:sz="0" w:space="0" w:color="auto"/>
      </w:divBdr>
    </w:div>
    <w:div w:id="463231507">
      <w:bodyDiv w:val="1"/>
      <w:marLeft w:val="0"/>
      <w:marRight w:val="0"/>
      <w:marTop w:val="0"/>
      <w:marBottom w:val="0"/>
      <w:divBdr>
        <w:top w:val="none" w:sz="0" w:space="0" w:color="auto"/>
        <w:left w:val="none" w:sz="0" w:space="0" w:color="auto"/>
        <w:bottom w:val="none" w:sz="0" w:space="0" w:color="auto"/>
        <w:right w:val="none" w:sz="0" w:space="0" w:color="auto"/>
      </w:divBdr>
    </w:div>
    <w:div w:id="463231983">
      <w:bodyDiv w:val="1"/>
      <w:marLeft w:val="0"/>
      <w:marRight w:val="0"/>
      <w:marTop w:val="0"/>
      <w:marBottom w:val="0"/>
      <w:divBdr>
        <w:top w:val="none" w:sz="0" w:space="0" w:color="auto"/>
        <w:left w:val="none" w:sz="0" w:space="0" w:color="auto"/>
        <w:bottom w:val="none" w:sz="0" w:space="0" w:color="auto"/>
        <w:right w:val="none" w:sz="0" w:space="0" w:color="auto"/>
      </w:divBdr>
    </w:div>
    <w:div w:id="463280921">
      <w:bodyDiv w:val="1"/>
      <w:marLeft w:val="0"/>
      <w:marRight w:val="0"/>
      <w:marTop w:val="0"/>
      <w:marBottom w:val="0"/>
      <w:divBdr>
        <w:top w:val="none" w:sz="0" w:space="0" w:color="auto"/>
        <w:left w:val="none" w:sz="0" w:space="0" w:color="auto"/>
        <w:bottom w:val="none" w:sz="0" w:space="0" w:color="auto"/>
        <w:right w:val="none" w:sz="0" w:space="0" w:color="auto"/>
      </w:divBdr>
    </w:div>
    <w:div w:id="463543441">
      <w:bodyDiv w:val="1"/>
      <w:marLeft w:val="0"/>
      <w:marRight w:val="0"/>
      <w:marTop w:val="0"/>
      <w:marBottom w:val="0"/>
      <w:divBdr>
        <w:top w:val="none" w:sz="0" w:space="0" w:color="auto"/>
        <w:left w:val="none" w:sz="0" w:space="0" w:color="auto"/>
        <w:bottom w:val="none" w:sz="0" w:space="0" w:color="auto"/>
        <w:right w:val="none" w:sz="0" w:space="0" w:color="auto"/>
      </w:divBdr>
    </w:div>
    <w:div w:id="463545506">
      <w:bodyDiv w:val="1"/>
      <w:marLeft w:val="0"/>
      <w:marRight w:val="0"/>
      <w:marTop w:val="0"/>
      <w:marBottom w:val="0"/>
      <w:divBdr>
        <w:top w:val="none" w:sz="0" w:space="0" w:color="auto"/>
        <w:left w:val="none" w:sz="0" w:space="0" w:color="auto"/>
        <w:bottom w:val="none" w:sz="0" w:space="0" w:color="auto"/>
        <w:right w:val="none" w:sz="0" w:space="0" w:color="auto"/>
      </w:divBdr>
    </w:div>
    <w:div w:id="463887540">
      <w:bodyDiv w:val="1"/>
      <w:marLeft w:val="0"/>
      <w:marRight w:val="0"/>
      <w:marTop w:val="0"/>
      <w:marBottom w:val="0"/>
      <w:divBdr>
        <w:top w:val="none" w:sz="0" w:space="0" w:color="auto"/>
        <w:left w:val="none" w:sz="0" w:space="0" w:color="auto"/>
        <w:bottom w:val="none" w:sz="0" w:space="0" w:color="auto"/>
        <w:right w:val="none" w:sz="0" w:space="0" w:color="auto"/>
      </w:divBdr>
    </w:div>
    <w:div w:id="464081273">
      <w:bodyDiv w:val="1"/>
      <w:marLeft w:val="0"/>
      <w:marRight w:val="0"/>
      <w:marTop w:val="0"/>
      <w:marBottom w:val="0"/>
      <w:divBdr>
        <w:top w:val="none" w:sz="0" w:space="0" w:color="auto"/>
        <w:left w:val="none" w:sz="0" w:space="0" w:color="auto"/>
        <w:bottom w:val="none" w:sz="0" w:space="0" w:color="auto"/>
        <w:right w:val="none" w:sz="0" w:space="0" w:color="auto"/>
      </w:divBdr>
    </w:div>
    <w:div w:id="464081898">
      <w:bodyDiv w:val="1"/>
      <w:marLeft w:val="0"/>
      <w:marRight w:val="0"/>
      <w:marTop w:val="0"/>
      <w:marBottom w:val="0"/>
      <w:divBdr>
        <w:top w:val="none" w:sz="0" w:space="0" w:color="auto"/>
        <w:left w:val="none" w:sz="0" w:space="0" w:color="auto"/>
        <w:bottom w:val="none" w:sz="0" w:space="0" w:color="auto"/>
        <w:right w:val="none" w:sz="0" w:space="0" w:color="auto"/>
      </w:divBdr>
    </w:div>
    <w:div w:id="464391366">
      <w:bodyDiv w:val="1"/>
      <w:marLeft w:val="0"/>
      <w:marRight w:val="0"/>
      <w:marTop w:val="0"/>
      <w:marBottom w:val="0"/>
      <w:divBdr>
        <w:top w:val="none" w:sz="0" w:space="0" w:color="auto"/>
        <w:left w:val="none" w:sz="0" w:space="0" w:color="auto"/>
        <w:bottom w:val="none" w:sz="0" w:space="0" w:color="auto"/>
        <w:right w:val="none" w:sz="0" w:space="0" w:color="auto"/>
      </w:divBdr>
    </w:div>
    <w:div w:id="464394424">
      <w:bodyDiv w:val="1"/>
      <w:marLeft w:val="0"/>
      <w:marRight w:val="0"/>
      <w:marTop w:val="0"/>
      <w:marBottom w:val="0"/>
      <w:divBdr>
        <w:top w:val="none" w:sz="0" w:space="0" w:color="auto"/>
        <w:left w:val="none" w:sz="0" w:space="0" w:color="auto"/>
        <w:bottom w:val="none" w:sz="0" w:space="0" w:color="auto"/>
        <w:right w:val="none" w:sz="0" w:space="0" w:color="auto"/>
      </w:divBdr>
    </w:div>
    <w:div w:id="464469135">
      <w:bodyDiv w:val="1"/>
      <w:marLeft w:val="0"/>
      <w:marRight w:val="0"/>
      <w:marTop w:val="0"/>
      <w:marBottom w:val="0"/>
      <w:divBdr>
        <w:top w:val="none" w:sz="0" w:space="0" w:color="auto"/>
        <w:left w:val="none" w:sz="0" w:space="0" w:color="auto"/>
        <w:bottom w:val="none" w:sz="0" w:space="0" w:color="auto"/>
        <w:right w:val="none" w:sz="0" w:space="0" w:color="auto"/>
      </w:divBdr>
    </w:div>
    <w:div w:id="464541734">
      <w:bodyDiv w:val="1"/>
      <w:marLeft w:val="0"/>
      <w:marRight w:val="0"/>
      <w:marTop w:val="0"/>
      <w:marBottom w:val="0"/>
      <w:divBdr>
        <w:top w:val="none" w:sz="0" w:space="0" w:color="auto"/>
        <w:left w:val="none" w:sz="0" w:space="0" w:color="auto"/>
        <w:bottom w:val="none" w:sz="0" w:space="0" w:color="auto"/>
        <w:right w:val="none" w:sz="0" w:space="0" w:color="auto"/>
      </w:divBdr>
    </w:div>
    <w:div w:id="464812148">
      <w:bodyDiv w:val="1"/>
      <w:marLeft w:val="0"/>
      <w:marRight w:val="0"/>
      <w:marTop w:val="0"/>
      <w:marBottom w:val="0"/>
      <w:divBdr>
        <w:top w:val="none" w:sz="0" w:space="0" w:color="auto"/>
        <w:left w:val="none" w:sz="0" w:space="0" w:color="auto"/>
        <w:bottom w:val="none" w:sz="0" w:space="0" w:color="auto"/>
        <w:right w:val="none" w:sz="0" w:space="0" w:color="auto"/>
      </w:divBdr>
    </w:div>
    <w:div w:id="464853303">
      <w:bodyDiv w:val="1"/>
      <w:marLeft w:val="0"/>
      <w:marRight w:val="0"/>
      <w:marTop w:val="0"/>
      <w:marBottom w:val="0"/>
      <w:divBdr>
        <w:top w:val="none" w:sz="0" w:space="0" w:color="auto"/>
        <w:left w:val="none" w:sz="0" w:space="0" w:color="auto"/>
        <w:bottom w:val="none" w:sz="0" w:space="0" w:color="auto"/>
        <w:right w:val="none" w:sz="0" w:space="0" w:color="auto"/>
      </w:divBdr>
    </w:div>
    <w:div w:id="464933462">
      <w:bodyDiv w:val="1"/>
      <w:marLeft w:val="0"/>
      <w:marRight w:val="0"/>
      <w:marTop w:val="0"/>
      <w:marBottom w:val="0"/>
      <w:divBdr>
        <w:top w:val="none" w:sz="0" w:space="0" w:color="auto"/>
        <w:left w:val="none" w:sz="0" w:space="0" w:color="auto"/>
        <w:bottom w:val="none" w:sz="0" w:space="0" w:color="auto"/>
        <w:right w:val="none" w:sz="0" w:space="0" w:color="auto"/>
      </w:divBdr>
    </w:div>
    <w:div w:id="465004918">
      <w:bodyDiv w:val="1"/>
      <w:marLeft w:val="0"/>
      <w:marRight w:val="0"/>
      <w:marTop w:val="0"/>
      <w:marBottom w:val="0"/>
      <w:divBdr>
        <w:top w:val="none" w:sz="0" w:space="0" w:color="auto"/>
        <w:left w:val="none" w:sz="0" w:space="0" w:color="auto"/>
        <w:bottom w:val="none" w:sz="0" w:space="0" w:color="auto"/>
        <w:right w:val="none" w:sz="0" w:space="0" w:color="auto"/>
      </w:divBdr>
    </w:div>
    <w:div w:id="465006177">
      <w:bodyDiv w:val="1"/>
      <w:marLeft w:val="0"/>
      <w:marRight w:val="0"/>
      <w:marTop w:val="0"/>
      <w:marBottom w:val="0"/>
      <w:divBdr>
        <w:top w:val="none" w:sz="0" w:space="0" w:color="auto"/>
        <w:left w:val="none" w:sz="0" w:space="0" w:color="auto"/>
        <w:bottom w:val="none" w:sz="0" w:space="0" w:color="auto"/>
        <w:right w:val="none" w:sz="0" w:space="0" w:color="auto"/>
      </w:divBdr>
    </w:div>
    <w:div w:id="465047946">
      <w:bodyDiv w:val="1"/>
      <w:marLeft w:val="0"/>
      <w:marRight w:val="0"/>
      <w:marTop w:val="0"/>
      <w:marBottom w:val="0"/>
      <w:divBdr>
        <w:top w:val="none" w:sz="0" w:space="0" w:color="auto"/>
        <w:left w:val="none" w:sz="0" w:space="0" w:color="auto"/>
        <w:bottom w:val="none" w:sz="0" w:space="0" w:color="auto"/>
        <w:right w:val="none" w:sz="0" w:space="0" w:color="auto"/>
      </w:divBdr>
    </w:div>
    <w:div w:id="465125379">
      <w:bodyDiv w:val="1"/>
      <w:marLeft w:val="0"/>
      <w:marRight w:val="0"/>
      <w:marTop w:val="0"/>
      <w:marBottom w:val="0"/>
      <w:divBdr>
        <w:top w:val="none" w:sz="0" w:space="0" w:color="auto"/>
        <w:left w:val="none" w:sz="0" w:space="0" w:color="auto"/>
        <w:bottom w:val="none" w:sz="0" w:space="0" w:color="auto"/>
        <w:right w:val="none" w:sz="0" w:space="0" w:color="auto"/>
      </w:divBdr>
    </w:div>
    <w:div w:id="465197757">
      <w:bodyDiv w:val="1"/>
      <w:marLeft w:val="0"/>
      <w:marRight w:val="0"/>
      <w:marTop w:val="0"/>
      <w:marBottom w:val="0"/>
      <w:divBdr>
        <w:top w:val="none" w:sz="0" w:space="0" w:color="auto"/>
        <w:left w:val="none" w:sz="0" w:space="0" w:color="auto"/>
        <w:bottom w:val="none" w:sz="0" w:space="0" w:color="auto"/>
        <w:right w:val="none" w:sz="0" w:space="0" w:color="auto"/>
      </w:divBdr>
    </w:div>
    <w:div w:id="465315878">
      <w:bodyDiv w:val="1"/>
      <w:marLeft w:val="0"/>
      <w:marRight w:val="0"/>
      <w:marTop w:val="0"/>
      <w:marBottom w:val="0"/>
      <w:divBdr>
        <w:top w:val="none" w:sz="0" w:space="0" w:color="auto"/>
        <w:left w:val="none" w:sz="0" w:space="0" w:color="auto"/>
        <w:bottom w:val="none" w:sz="0" w:space="0" w:color="auto"/>
        <w:right w:val="none" w:sz="0" w:space="0" w:color="auto"/>
      </w:divBdr>
    </w:div>
    <w:div w:id="465323064">
      <w:bodyDiv w:val="1"/>
      <w:marLeft w:val="0"/>
      <w:marRight w:val="0"/>
      <w:marTop w:val="0"/>
      <w:marBottom w:val="0"/>
      <w:divBdr>
        <w:top w:val="none" w:sz="0" w:space="0" w:color="auto"/>
        <w:left w:val="none" w:sz="0" w:space="0" w:color="auto"/>
        <w:bottom w:val="none" w:sz="0" w:space="0" w:color="auto"/>
        <w:right w:val="none" w:sz="0" w:space="0" w:color="auto"/>
      </w:divBdr>
    </w:div>
    <w:div w:id="465391798">
      <w:bodyDiv w:val="1"/>
      <w:marLeft w:val="0"/>
      <w:marRight w:val="0"/>
      <w:marTop w:val="0"/>
      <w:marBottom w:val="0"/>
      <w:divBdr>
        <w:top w:val="none" w:sz="0" w:space="0" w:color="auto"/>
        <w:left w:val="none" w:sz="0" w:space="0" w:color="auto"/>
        <w:bottom w:val="none" w:sz="0" w:space="0" w:color="auto"/>
        <w:right w:val="none" w:sz="0" w:space="0" w:color="auto"/>
      </w:divBdr>
    </w:div>
    <w:div w:id="465438124">
      <w:bodyDiv w:val="1"/>
      <w:marLeft w:val="0"/>
      <w:marRight w:val="0"/>
      <w:marTop w:val="0"/>
      <w:marBottom w:val="0"/>
      <w:divBdr>
        <w:top w:val="none" w:sz="0" w:space="0" w:color="auto"/>
        <w:left w:val="none" w:sz="0" w:space="0" w:color="auto"/>
        <w:bottom w:val="none" w:sz="0" w:space="0" w:color="auto"/>
        <w:right w:val="none" w:sz="0" w:space="0" w:color="auto"/>
      </w:divBdr>
    </w:div>
    <w:div w:id="465510519">
      <w:bodyDiv w:val="1"/>
      <w:marLeft w:val="0"/>
      <w:marRight w:val="0"/>
      <w:marTop w:val="0"/>
      <w:marBottom w:val="0"/>
      <w:divBdr>
        <w:top w:val="none" w:sz="0" w:space="0" w:color="auto"/>
        <w:left w:val="none" w:sz="0" w:space="0" w:color="auto"/>
        <w:bottom w:val="none" w:sz="0" w:space="0" w:color="auto"/>
        <w:right w:val="none" w:sz="0" w:space="0" w:color="auto"/>
      </w:divBdr>
    </w:div>
    <w:div w:id="465585360">
      <w:bodyDiv w:val="1"/>
      <w:marLeft w:val="0"/>
      <w:marRight w:val="0"/>
      <w:marTop w:val="0"/>
      <w:marBottom w:val="0"/>
      <w:divBdr>
        <w:top w:val="none" w:sz="0" w:space="0" w:color="auto"/>
        <w:left w:val="none" w:sz="0" w:space="0" w:color="auto"/>
        <w:bottom w:val="none" w:sz="0" w:space="0" w:color="auto"/>
        <w:right w:val="none" w:sz="0" w:space="0" w:color="auto"/>
      </w:divBdr>
    </w:div>
    <w:div w:id="465587610">
      <w:bodyDiv w:val="1"/>
      <w:marLeft w:val="0"/>
      <w:marRight w:val="0"/>
      <w:marTop w:val="0"/>
      <w:marBottom w:val="0"/>
      <w:divBdr>
        <w:top w:val="none" w:sz="0" w:space="0" w:color="auto"/>
        <w:left w:val="none" w:sz="0" w:space="0" w:color="auto"/>
        <w:bottom w:val="none" w:sz="0" w:space="0" w:color="auto"/>
        <w:right w:val="none" w:sz="0" w:space="0" w:color="auto"/>
      </w:divBdr>
    </w:div>
    <w:div w:id="465661587">
      <w:bodyDiv w:val="1"/>
      <w:marLeft w:val="0"/>
      <w:marRight w:val="0"/>
      <w:marTop w:val="0"/>
      <w:marBottom w:val="0"/>
      <w:divBdr>
        <w:top w:val="none" w:sz="0" w:space="0" w:color="auto"/>
        <w:left w:val="none" w:sz="0" w:space="0" w:color="auto"/>
        <w:bottom w:val="none" w:sz="0" w:space="0" w:color="auto"/>
        <w:right w:val="none" w:sz="0" w:space="0" w:color="auto"/>
      </w:divBdr>
    </w:div>
    <w:div w:id="465664337">
      <w:bodyDiv w:val="1"/>
      <w:marLeft w:val="0"/>
      <w:marRight w:val="0"/>
      <w:marTop w:val="0"/>
      <w:marBottom w:val="0"/>
      <w:divBdr>
        <w:top w:val="none" w:sz="0" w:space="0" w:color="auto"/>
        <w:left w:val="none" w:sz="0" w:space="0" w:color="auto"/>
        <w:bottom w:val="none" w:sz="0" w:space="0" w:color="auto"/>
        <w:right w:val="none" w:sz="0" w:space="0" w:color="auto"/>
      </w:divBdr>
    </w:div>
    <w:div w:id="465703348">
      <w:bodyDiv w:val="1"/>
      <w:marLeft w:val="0"/>
      <w:marRight w:val="0"/>
      <w:marTop w:val="0"/>
      <w:marBottom w:val="0"/>
      <w:divBdr>
        <w:top w:val="none" w:sz="0" w:space="0" w:color="auto"/>
        <w:left w:val="none" w:sz="0" w:space="0" w:color="auto"/>
        <w:bottom w:val="none" w:sz="0" w:space="0" w:color="auto"/>
        <w:right w:val="none" w:sz="0" w:space="0" w:color="auto"/>
      </w:divBdr>
    </w:div>
    <w:div w:id="466050563">
      <w:bodyDiv w:val="1"/>
      <w:marLeft w:val="0"/>
      <w:marRight w:val="0"/>
      <w:marTop w:val="0"/>
      <w:marBottom w:val="0"/>
      <w:divBdr>
        <w:top w:val="none" w:sz="0" w:space="0" w:color="auto"/>
        <w:left w:val="none" w:sz="0" w:space="0" w:color="auto"/>
        <w:bottom w:val="none" w:sz="0" w:space="0" w:color="auto"/>
        <w:right w:val="none" w:sz="0" w:space="0" w:color="auto"/>
      </w:divBdr>
    </w:div>
    <w:div w:id="466092640">
      <w:bodyDiv w:val="1"/>
      <w:marLeft w:val="0"/>
      <w:marRight w:val="0"/>
      <w:marTop w:val="0"/>
      <w:marBottom w:val="0"/>
      <w:divBdr>
        <w:top w:val="none" w:sz="0" w:space="0" w:color="auto"/>
        <w:left w:val="none" w:sz="0" w:space="0" w:color="auto"/>
        <w:bottom w:val="none" w:sz="0" w:space="0" w:color="auto"/>
        <w:right w:val="none" w:sz="0" w:space="0" w:color="auto"/>
      </w:divBdr>
    </w:div>
    <w:div w:id="466245231">
      <w:bodyDiv w:val="1"/>
      <w:marLeft w:val="0"/>
      <w:marRight w:val="0"/>
      <w:marTop w:val="0"/>
      <w:marBottom w:val="0"/>
      <w:divBdr>
        <w:top w:val="none" w:sz="0" w:space="0" w:color="auto"/>
        <w:left w:val="none" w:sz="0" w:space="0" w:color="auto"/>
        <w:bottom w:val="none" w:sz="0" w:space="0" w:color="auto"/>
        <w:right w:val="none" w:sz="0" w:space="0" w:color="auto"/>
      </w:divBdr>
    </w:div>
    <w:div w:id="466506055">
      <w:bodyDiv w:val="1"/>
      <w:marLeft w:val="0"/>
      <w:marRight w:val="0"/>
      <w:marTop w:val="0"/>
      <w:marBottom w:val="0"/>
      <w:divBdr>
        <w:top w:val="none" w:sz="0" w:space="0" w:color="auto"/>
        <w:left w:val="none" w:sz="0" w:space="0" w:color="auto"/>
        <w:bottom w:val="none" w:sz="0" w:space="0" w:color="auto"/>
        <w:right w:val="none" w:sz="0" w:space="0" w:color="auto"/>
      </w:divBdr>
    </w:div>
    <w:div w:id="466581434">
      <w:bodyDiv w:val="1"/>
      <w:marLeft w:val="0"/>
      <w:marRight w:val="0"/>
      <w:marTop w:val="0"/>
      <w:marBottom w:val="0"/>
      <w:divBdr>
        <w:top w:val="none" w:sz="0" w:space="0" w:color="auto"/>
        <w:left w:val="none" w:sz="0" w:space="0" w:color="auto"/>
        <w:bottom w:val="none" w:sz="0" w:space="0" w:color="auto"/>
        <w:right w:val="none" w:sz="0" w:space="0" w:color="auto"/>
      </w:divBdr>
    </w:div>
    <w:div w:id="466624854">
      <w:bodyDiv w:val="1"/>
      <w:marLeft w:val="0"/>
      <w:marRight w:val="0"/>
      <w:marTop w:val="0"/>
      <w:marBottom w:val="0"/>
      <w:divBdr>
        <w:top w:val="none" w:sz="0" w:space="0" w:color="auto"/>
        <w:left w:val="none" w:sz="0" w:space="0" w:color="auto"/>
        <w:bottom w:val="none" w:sz="0" w:space="0" w:color="auto"/>
        <w:right w:val="none" w:sz="0" w:space="0" w:color="auto"/>
      </w:divBdr>
    </w:div>
    <w:div w:id="466701283">
      <w:bodyDiv w:val="1"/>
      <w:marLeft w:val="0"/>
      <w:marRight w:val="0"/>
      <w:marTop w:val="0"/>
      <w:marBottom w:val="0"/>
      <w:divBdr>
        <w:top w:val="none" w:sz="0" w:space="0" w:color="auto"/>
        <w:left w:val="none" w:sz="0" w:space="0" w:color="auto"/>
        <w:bottom w:val="none" w:sz="0" w:space="0" w:color="auto"/>
        <w:right w:val="none" w:sz="0" w:space="0" w:color="auto"/>
      </w:divBdr>
    </w:div>
    <w:div w:id="466819035">
      <w:bodyDiv w:val="1"/>
      <w:marLeft w:val="0"/>
      <w:marRight w:val="0"/>
      <w:marTop w:val="0"/>
      <w:marBottom w:val="0"/>
      <w:divBdr>
        <w:top w:val="none" w:sz="0" w:space="0" w:color="auto"/>
        <w:left w:val="none" w:sz="0" w:space="0" w:color="auto"/>
        <w:bottom w:val="none" w:sz="0" w:space="0" w:color="auto"/>
        <w:right w:val="none" w:sz="0" w:space="0" w:color="auto"/>
      </w:divBdr>
    </w:div>
    <w:div w:id="466819245">
      <w:bodyDiv w:val="1"/>
      <w:marLeft w:val="0"/>
      <w:marRight w:val="0"/>
      <w:marTop w:val="0"/>
      <w:marBottom w:val="0"/>
      <w:divBdr>
        <w:top w:val="none" w:sz="0" w:space="0" w:color="auto"/>
        <w:left w:val="none" w:sz="0" w:space="0" w:color="auto"/>
        <w:bottom w:val="none" w:sz="0" w:space="0" w:color="auto"/>
        <w:right w:val="none" w:sz="0" w:space="0" w:color="auto"/>
      </w:divBdr>
    </w:div>
    <w:div w:id="466894476">
      <w:bodyDiv w:val="1"/>
      <w:marLeft w:val="0"/>
      <w:marRight w:val="0"/>
      <w:marTop w:val="0"/>
      <w:marBottom w:val="0"/>
      <w:divBdr>
        <w:top w:val="none" w:sz="0" w:space="0" w:color="auto"/>
        <w:left w:val="none" w:sz="0" w:space="0" w:color="auto"/>
        <w:bottom w:val="none" w:sz="0" w:space="0" w:color="auto"/>
        <w:right w:val="none" w:sz="0" w:space="0" w:color="auto"/>
      </w:divBdr>
    </w:div>
    <w:div w:id="467091203">
      <w:bodyDiv w:val="1"/>
      <w:marLeft w:val="0"/>
      <w:marRight w:val="0"/>
      <w:marTop w:val="0"/>
      <w:marBottom w:val="0"/>
      <w:divBdr>
        <w:top w:val="none" w:sz="0" w:space="0" w:color="auto"/>
        <w:left w:val="none" w:sz="0" w:space="0" w:color="auto"/>
        <w:bottom w:val="none" w:sz="0" w:space="0" w:color="auto"/>
        <w:right w:val="none" w:sz="0" w:space="0" w:color="auto"/>
      </w:divBdr>
    </w:div>
    <w:div w:id="467162522">
      <w:bodyDiv w:val="1"/>
      <w:marLeft w:val="0"/>
      <w:marRight w:val="0"/>
      <w:marTop w:val="0"/>
      <w:marBottom w:val="0"/>
      <w:divBdr>
        <w:top w:val="none" w:sz="0" w:space="0" w:color="auto"/>
        <w:left w:val="none" w:sz="0" w:space="0" w:color="auto"/>
        <w:bottom w:val="none" w:sz="0" w:space="0" w:color="auto"/>
        <w:right w:val="none" w:sz="0" w:space="0" w:color="auto"/>
      </w:divBdr>
    </w:div>
    <w:div w:id="467168403">
      <w:bodyDiv w:val="1"/>
      <w:marLeft w:val="0"/>
      <w:marRight w:val="0"/>
      <w:marTop w:val="0"/>
      <w:marBottom w:val="0"/>
      <w:divBdr>
        <w:top w:val="none" w:sz="0" w:space="0" w:color="auto"/>
        <w:left w:val="none" w:sz="0" w:space="0" w:color="auto"/>
        <w:bottom w:val="none" w:sz="0" w:space="0" w:color="auto"/>
        <w:right w:val="none" w:sz="0" w:space="0" w:color="auto"/>
      </w:divBdr>
    </w:div>
    <w:div w:id="467548161">
      <w:bodyDiv w:val="1"/>
      <w:marLeft w:val="0"/>
      <w:marRight w:val="0"/>
      <w:marTop w:val="0"/>
      <w:marBottom w:val="0"/>
      <w:divBdr>
        <w:top w:val="none" w:sz="0" w:space="0" w:color="auto"/>
        <w:left w:val="none" w:sz="0" w:space="0" w:color="auto"/>
        <w:bottom w:val="none" w:sz="0" w:space="0" w:color="auto"/>
        <w:right w:val="none" w:sz="0" w:space="0" w:color="auto"/>
      </w:divBdr>
    </w:div>
    <w:div w:id="467673379">
      <w:bodyDiv w:val="1"/>
      <w:marLeft w:val="0"/>
      <w:marRight w:val="0"/>
      <w:marTop w:val="0"/>
      <w:marBottom w:val="0"/>
      <w:divBdr>
        <w:top w:val="none" w:sz="0" w:space="0" w:color="auto"/>
        <w:left w:val="none" w:sz="0" w:space="0" w:color="auto"/>
        <w:bottom w:val="none" w:sz="0" w:space="0" w:color="auto"/>
        <w:right w:val="none" w:sz="0" w:space="0" w:color="auto"/>
      </w:divBdr>
    </w:div>
    <w:div w:id="467675109">
      <w:bodyDiv w:val="1"/>
      <w:marLeft w:val="0"/>
      <w:marRight w:val="0"/>
      <w:marTop w:val="0"/>
      <w:marBottom w:val="0"/>
      <w:divBdr>
        <w:top w:val="none" w:sz="0" w:space="0" w:color="auto"/>
        <w:left w:val="none" w:sz="0" w:space="0" w:color="auto"/>
        <w:bottom w:val="none" w:sz="0" w:space="0" w:color="auto"/>
        <w:right w:val="none" w:sz="0" w:space="0" w:color="auto"/>
      </w:divBdr>
    </w:div>
    <w:div w:id="467747509">
      <w:bodyDiv w:val="1"/>
      <w:marLeft w:val="0"/>
      <w:marRight w:val="0"/>
      <w:marTop w:val="0"/>
      <w:marBottom w:val="0"/>
      <w:divBdr>
        <w:top w:val="none" w:sz="0" w:space="0" w:color="auto"/>
        <w:left w:val="none" w:sz="0" w:space="0" w:color="auto"/>
        <w:bottom w:val="none" w:sz="0" w:space="0" w:color="auto"/>
        <w:right w:val="none" w:sz="0" w:space="0" w:color="auto"/>
      </w:divBdr>
    </w:div>
    <w:div w:id="467824915">
      <w:bodyDiv w:val="1"/>
      <w:marLeft w:val="0"/>
      <w:marRight w:val="0"/>
      <w:marTop w:val="0"/>
      <w:marBottom w:val="0"/>
      <w:divBdr>
        <w:top w:val="none" w:sz="0" w:space="0" w:color="auto"/>
        <w:left w:val="none" w:sz="0" w:space="0" w:color="auto"/>
        <w:bottom w:val="none" w:sz="0" w:space="0" w:color="auto"/>
        <w:right w:val="none" w:sz="0" w:space="0" w:color="auto"/>
      </w:divBdr>
    </w:div>
    <w:div w:id="467862377">
      <w:bodyDiv w:val="1"/>
      <w:marLeft w:val="0"/>
      <w:marRight w:val="0"/>
      <w:marTop w:val="0"/>
      <w:marBottom w:val="0"/>
      <w:divBdr>
        <w:top w:val="none" w:sz="0" w:space="0" w:color="auto"/>
        <w:left w:val="none" w:sz="0" w:space="0" w:color="auto"/>
        <w:bottom w:val="none" w:sz="0" w:space="0" w:color="auto"/>
        <w:right w:val="none" w:sz="0" w:space="0" w:color="auto"/>
      </w:divBdr>
    </w:div>
    <w:div w:id="467868907">
      <w:bodyDiv w:val="1"/>
      <w:marLeft w:val="0"/>
      <w:marRight w:val="0"/>
      <w:marTop w:val="0"/>
      <w:marBottom w:val="0"/>
      <w:divBdr>
        <w:top w:val="none" w:sz="0" w:space="0" w:color="auto"/>
        <w:left w:val="none" w:sz="0" w:space="0" w:color="auto"/>
        <w:bottom w:val="none" w:sz="0" w:space="0" w:color="auto"/>
        <w:right w:val="none" w:sz="0" w:space="0" w:color="auto"/>
      </w:divBdr>
    </w:div>
    <w:div w:id="468018905">
      <w:bodyDiv w:val="1"/>
      <w:marLeft w:val="0"/>
      <w:marRight w:val="0"/>
      <w:marTop w:val="0"/>
      <w:marBottom w:val="0"/>
      <w:divBdr>
        <w:top w:val="none" w:sz="0" w:space="0" w:color="auto"/>
        <w:left w:val="none" w:sz="0" w:space="0" w:color="auto"/>
        <w:bottom w:val="none" w:sz="0" w:space="0" w:color="auto"/>
        <w:right w:val="none" w:sz="0" w:space="0" w:color="auto"/>
      </w:divBdr>
    </w:div>
    <w:div w:id="468086514">
      <w:bodyDiv w:val="1"/>
      <w:marLeft w:val="0"/>
      <w:marRight w:val="0"/>
      <w:marTop w:val="0"/>
      <w:marBottom w:val="0"/>
      <w:divBdr>
        <w:top w:val="none" w:sz="0" w:space="0" w:color="auto"/>
        <w:left w:val="none" w:sz="0" w:space="0" w:color="auto"/>
        <w:bottom w:val="none" w:sz="0" w:space="0" w:color="auto"/>
        <w:right w:val="none" w:sz="0" w:space="0" w:color="auto"/>
      </w:divBdr>
    </w:div>
    <w:div w:id="468281569">
      <w:bodyDiv w:val="1"/>
      <w:marLeft w:val="0"/>
      <w:marRight w:val="0"/>
      <w:marTop w:val="0"/>
      <w:marBottom w:val="0"/>
      <w:divBdr>
        <w:top w:val="none" w:sz="0" w:space="0" w:color="auto"/>
        <w:left w:val="none" w:sz="0" w:space="0" w:color="auto"/>
        <w:bottom w:val="none" w:sz="0" w:space="0" w:color="auto"/>
        <w:right w:val="none" w:sz="0" w:space="0" w:color="auto"/>
      </w:divBdr>
    </w:div>
    <w:div w:id="468401239">
      <w:bodyDiv w:val="1"/>
      <w:marLeft w:val="0"/>
      <w:marRight w:val="0"/>
      <w:marTop w:val="0"/>
      <w:marBottom w:val="0"/>
      <w:divBdr>
        <w:top w:val="none" w:sz="0" w:space="0" w:color="auto"/>
        <w:left w:val="none" w:sz="0" w:space="0" w:color="auto"/>
        <w:bottom w:val="none" w:sz="0" w:space="0" w:color="auto"/>
        <w:right w:val="none" w:sz="0" w:space="0" w:color="auto"/>
      </w:divBdr>
    </w:div>
    <w:div w:id="468478939">
      <w:bodyDiv w:val="1"/>
      <w:marLeft w:val="0"/>
      <w:marRight w:val="0"/>
      <w:marTop w:val="0"/>
      <w:marBottom w:val="0"/>
      <w:divBdr>
        <w:top w:val="none" w:sz="0" w:space="0" w:color="auto"/>
        <w:left w:val="none" w:sz="0" w:space="0" w:color="auto"/>
        <w:bottom w:val="none" w:sz="0" w:space="0" w:color="auto"/>
        <w:right w:val="none" w:sz="0" w:space="0" w:color="auto"/>
      </w:divBdr>
    </w:div>
    <w:div w:id="468481203">
      <w:bodyDiv w:val="1"/>
      <w:marLeft w:val="0"/>
      <w:marRight w:val="0"/>
      <w:marTop w:val="0"/>
      <w:marBottom w:val="0"/>
      <w:divBdr>
        <w:top w:val="none" w:sz="0" w:space="0" w:color="auto"/>
        <w:left w:val="none" w:sz="0" w:space="0" w:color="auto"/>
        <w:bottom w:val="none" w:sz="0" w:space="0" w:color="auto"/>
        <w:right w:val="none" w:sz="0" w:space="0" w:color="auto"/>
      </w:divBdr>
    </w:div>
    <w:div w:id="468518225">
      <w:bodyDiv w:val="1"/>
      <w:marLeft w:val="0"/>
      <w:marRight w:val="0"/>
      <w:marTop w:val="0"/>
      <w:marBottom w:val="0"/>
      <w:divBdr>
        <w:top w:val="none" w:sz="0" w:space="0" w:color="auto"/>
        <w:left w:val="none" w:sz="0" w:space="0" w:color="auto"/>
        <w:bottom w:val="none" w:sz="0" w:space="0" w:color="auto"/>
        <w:right w:val="none" w:sz="0" w:space="0" w:color="auto"/>
      </w:divBdr>
    </w:div>
    <w:div w:id="468521606">
      <w:bodyDiv w:val="1"/>
      <w:marLeft w:val="0"/>
      <w:marRight w:val="0"/>
      <w:marTop w:val="0"/>
      <w:marBottom w:val="0"/>
      <w:divBdr>
        <w:top w:val="none" w:sz="0" w:space="0" w:color="auto"/>
        <w:left w:val="none" w:sz="0" w:space="0" w:color="auto"/>
        <w:bottom w:val="none" w:sz="0" w:space="0" w:color="auto"/>
        <w:right w:val="none" w:sz="0" w:space="0" w:color="auto"/>
      </w:divBdr>
    </w:div>
    <w:div w:id="468597230">
      <w:bodyDiv w:val="1"/>
      <w:marLeft w:val="0"/>
      <w:marRight w:val="0"/>
      <w:marTop w:val="0"/>
      <w:marBottom w:val="0"/>
      <w:divBdr>
        <w:top w:val="none" w:sz="0" w:space="0" w:color="auto"/>
        <w:left w:val="none" w:sz="0" w:space="0" w:color="auto"/>
        <w:bottom w:val="none" w:sz="0" w:space="0" w:color="auto"/>
        <w:right w:val="none" w:sz="0" w:space="0" w:color="auto"/>
      </w:divBdr>
    </w:div>
    <w:div w:id="468716740">
      <w:bodyDiv w:val="1"/>
      <w:marLeft w:val="0"/>
      <w:marRight w:val="0"/>
      <w:marTop w:val="0"/>
      <w:marBottom w:val="0"/>
      <w:divBdr>
        <w:top w:val="none" w:sz="0" w:space="0" w:color="auto"/>
        <w:left w:val="none" w:sz="0" w:space="0" w:color="auto"/>
        <w:bottom w:val="none" w:sz="0" w:space="0" w:color="auto"/>
        <w:right w:val="none" w:sz="0" w:space="0" w:color="auto"/>
      </w:divBdr>
    </w:div>
    <w:div w:id="469130484">
      <w:bodyDiv w:val="1"/>
      <w:marLeft w:val="0"/>
      <w:marRight w:val="0"/>
      <w:marTop w:val="0"/>
      <w:marBottom w:val="0"/>
      <w:divBdr>
        <w:top w:val="none" w:sz="0" w:space="0" w:color="auto"/>
        <w:left w:val="none" w:sz="0" w:space="0" w:color="auto"/>
        <w:bottom w:val="none" w:sz="0" w:space="0" w:color="auto"/>
        <w:right w:val="none" w:sz="0" w:space="0" w:color="auto"/>
      </w:divBdr>
    </w:div>
    <w:div w:id="469322558">
      <w:bodyDiv w:val="1"/>
      <w:marLeft w:val="0"/>
      <w:marRight w:val="0"/>
      <w:marTop w:val="0"/>
      <w:marBottom w:val="0"/>
      <w:divBdr>
        <w:top w:val="none" w:sz="0" w:space="0" w:color="auto"/>
        <w:left w:val="none" w:sz="0" w:space="0" w:color="auto"/>
        <w:bottom w:val="none" w:sz="0" w:space="0" w:color="auto"/>
        <w:right w:val="none" w:sz="0" w:space="0" w:color="auto"/>
      </w:divBdr>
    </w:div>
    <w:div w:id="469323141">
      <w:bodyDiv w:val="1"/>
      <w:marLeft w:val="0"/>
      <w:marRight w:val="0"/>
      <w:marTop w:val="0"/>
      <w:marBottom w:val="0"/>
      <w:divBdr>
        <w:top w:val="none" w:sz="0" w:space="0" w:color="auto"/>
        <w:left w:val="none" w:sz="0" w:space="0" w:color="auto"/>
        <w:bottom w:val="none" w:sz="0" w:space="0" w:color="auto"/>
        <w:right w:val="none" w:sz="0" w:space="0" w:color="auto"/>
      </w:divBdr>
    </w:div>
    <w:div w:id="469397060">
      <w:bodyDiv w:val="1"/>
      <w:marLeft w:val="0"/>
      <w:marRight w:val="0"/>
      <w:marTop w:val="0"/>
      <w:marBottom w:val="0"/>
      <w:divBdr>
        <w:top w:val="none" w:sz="0" w:space="0" w:color="auto"/>
        <w:left w:val="none" w:sz="0" w:space="0" w:color="auto"/>
        <w:bottom w:val="none" w:sz="0" w:space="0" w:color="auto"/>
        <w:right w:val="none" w:sz="0" w:space="0" w:color="auto"/>
      </w:divBdr>
    </w:div>
    <w:div w:id="469439588">
      <w:bodyDiv w:val="1"/>
      <w:marLeft w:val="0"/>
      <w:marRight w:val="0"/>
      <w:marTop w:val="0"/>
      <w:marBottom w:val="0"/>
      <w:divBdr>
        <w:top w:val="none" w:sz="0" w:space="0" w:color="auto"/>
        <w:left w:val="none" w:sz="0" w:space="0" w:color="auto"/>
        <w:bottom w:val="none" w:sz="0" w:space="0" w:color="auto"/>
        <w:right w:val="none" w:sz="0" w:space="0" w:color="auto"/>
      </w:divBdr>
    </w:div>
    <w:div w:id="469443673">
      <w:bodyDiv w:val="1"/>
      <w:marLeft w:val="0"/>
      <w:marRight w:val="0"/>
      <w:marTop w:val="0"/>
      <w:marBottom w:val="0"/>
      <w:divBdr>
        <w:top w:val="none" w:sz="0" w:space="0" w:color="auto"/>
        <w:left w:val="none" w:sz="0" w:space="0" w:color="auto"/>
        <w:bottom w:val="none" w:sz="0" w:space="0" w:color="auto"/>
        <w:right w:val="none" w:sz="0" w:space="0" w:color="auto"/>
      </w:divBdr>
    </w:div>
    <w:div w:id="469520090">
      <w:bodyDiv w:val="1"/>
      <w:marLeft w:val="0"/>
      <w:marRight w:val="0"/>
      <w:marTop w:val="0"/>
      <w:marBottom w:val="0"/>
      <w:divBdr>
        <w:top w:val="none" w:sz="0" w:space="0" w:color="auto"/>
        <w:left w:val="none" w:sz="0" w:space="0" w:color="auto"/>
        <w:bottom w:val="none" w:sz="0" w:space="0" w:color="auto"/>
        <w:right w:val="none" w:sz="0" w:space="0" w:color="auto"/>
      </w:divBdr>
    </w:div>
    <w:div w:id="469591872">
      <w:bodyDiv w:val="1"/>
      <w:marLeft w:val="0"/>
      <w:marRight w:val="0"/>
      <w:marTop w:val="0"/>
      <w:marBottom w:val="0"/>
      <w:divBdr>
        <w:top w:val="none" w:sz="0" w:space="0" w:color="auto"/>
        <w:left w:val="none" w:sz="0" w:space="0" w:color="auto"/>
        <w:bottom w:val="none" w:sz="0" w:space="0" w:color="auto"/>
        <w:right w:val="none" w:sz="0" w:space="0" w:color="auto"/>
      </w:divBdr>
    </w:div>
    <w:div w:id="469632889">
      <w:bodyDiv w:val="1"/>
      <w:marLeft w:val="0"/>
      <w:marRight w:val="0"/>
      <w:marTop w:val="0"/>
      <w:marBottom w:val="0"/>
      <w:divBdr>
        <w:top w:val="none" w:sz="0" w:space="0" w:color="auto"/>
        <w:left w:val="none" w:sz="0" w:space="0" w:color="auto"/>
        <w:bottom w:val="none" w:sz="0" w:space="0" w:color="auto"/>
        <w:right w:val="none" w:sz="0" w:space="0" w:color="auto"/>
      </w:divBdr>
    </w:div>
    <w:div w:id="469633342">
      <w:bodyDiv w:val="1"/>
      <w:marLeft w:val="0"/>
      <w:marRight w:val="0"/>
      <w:marTop w:val="0"/>
      <w:marBottom w:val="0"/>
      <w:divBdr>
        <w:top w:val="none" w:sz="0" w:space="0" w:color="auto"/>
        <w:left w:val="none" w:sz="0" w:space="0" w:color="auto"/>
        <w:bottom w:val="none" w:sz="0" w:space="0" w:color="auto"/>
        <w:right w:val="none" w:sz="0" w:space="0" w:color="auto"/>
      </w:divBdr>
    </w:div>
    <w:div w:id="469709857">
      <w:bodyDiv w:val="1"/>
      <w:marLeft w:val="0"/>
      <w:marRight w:val="0"/>
      <w:marTop w:val="0"/>
      <w:marBottom w:val="0"/>
      <w:divBdr>
        <w:top w:val="none" w:sz="0" w:space="0" w:color="auto"/>
        <w:left w:val="none" w:sz="0" w:space="0" w:color="auto"/>
        <w:bottom w:val="none" w:sz="0" w:space="0" w:color="auto"/>
        <w:right w:val="none" w:sz="0" w:space="0" w:color="auto"/>
      </w:divBdr>
    </w:div>
    <w:div w:id="469714231">
      <w:bodyDiv w:val="1"/>
      <w:marLeft w:val="0"/>
      <w:marRight w:val="0"/>
      <w:marTop w:val="0"/>
      <w:marBottom w:val="0"/>
      <w:divBdr>
        <w:top w:val="none" w:sz="0" w:space="0" w:color="auto"/>
        <w:left w:val="none" w:sz="0" w:space="0" w:color="auto"/>
        <w:bottom w:val="none" w:sz="0" w:space="0" w:color="auto"/>
        <w:right w:val="none" w:sz="0" w:space="0" w:color="auto"/>
      </w:divBdr>
    </w:div>
    <w:div w:id="469984074">
      <w:bodyDiv w:val="1"/>
      <w:marLeft w:val="0"/>
      <w:marRight w:val="0"/>
      <w:marTop w:val="0"/>
      <w:marBottom w:val="0"/>
      <w:divBdr>
        <w:top w:val="none" w:sz="0" w:space="0" w:color="auto"/>
        <w:left w:val="none" w:sz="0" w:space="0" w:color="auto"/>
        <w:bottom w:val="none" w:sz="0" w:space="0" w:color="auto"/>
        <w:right w:val="none" w:sz="0" w:space="0" w:color="auto"/>
      </w:divBdr>
    </w:div>
    <w:div w:id="470025706">
      <w:bodyDiv w:val="1"/>
      <w:marLeft w:val="0"/>
      <w:marRight w:val="0"/>
      <w:marTop w:val="0"/>
      <w:marBottom w:val="0"/>
      <w:divBdr>
        <w:top w:val="none" w:sz="0" w:space="0" w:color="auto"/>
        <w:left w:val="none" w:sz="0" w:space="0" w:color="auto"/>
        <w:bottom w:val="none" w:sz="0" w:space="0" w:color="auto"/>
        <w:right w:val="none" w:sz="0" w:space="0" w:color="auto"/>
      </w:divBdr>
    </w:div>
    <w:div w:id="470369009">
      <w:bodyDiv w:val="1"/>
      <w:marLeft w:val="0"/>
      <w:marRight w:val="0"/>
      <w:marTop w:val="0"/>
      <w:marBottom w:val="0"/>
      <w:divBdr>
        <w:top w:val="none" w:sz="0" w:space="0" w:color="auto"/>
        <w:left w:val="none" w:sz="0" w:space="0" w:color="auto"/>
        <w:bottom w:val="none" w:sz="0" w:space="0" w:color="auto"/>
        <w:right w:val="none" w:sz="0" w:space="0" w:color="auto"/>
      </w:divBdr>
    </w:div>
    <w:div w:id="470439753">
      <w:bodyDiv w:val="1"/>
      <w:marLeft w:val="0"/>
      <w:marRight w:val="0"/>
      <w:marTop w:val="0"/>
      <w:marBottom w:val="0"/>
      <w:divBdr>
        <w:top w:val="none" w:sz="0" w:space="0" w:color="auto"/>
        <w:left w:val="none" w:sz="0" w:space="0" w:color="auto"/>
        <w:bottom w:val="none" w:sz="0" w:space="0" w:color="auto"/>
        <w:right w:val="none" w:sz="0" w:space="0" w:color="auto"/>
      </w:divBdr>
    </w:div>
    <w:div w:id="470441650">
      <w:bodyDiv w:val="1"/>
      <w:marLeft w:val="0"/>
      <w:marRight w:val="0"/>
      <w:marTop w:val="0"/>
      <w:marBottom w:val="0"/>
      <w:divBdr>
        <w:top w:val="none" w:sz="0" w:space="0" w:color="auto"/>
        <w:left w:val="none" w:sz="0" w:space="0" w:color="auto"/>
        <w:bottom w:val="none" w:sz="0" w:space="0" w:color="auto"/>
        <w:right w:val="none" w:sz="0" w:space="0" w:color="auto"/>
      </w:divBdr>
    </w:div>
    <w:div w:id="470562457">
      <w:bodyDiv w:val="1"/>
      <w:marLeft w:val="0"/>
      <w:marRight w:val="0"/>
      <w:marTop w:val="0"/>
      <w:marBottom w:val="0"/>
      <w:divBdr>
        <w:top w:val="none" w:sz="0" w:space="0" w:color="auto"/>
        <w:left w:val="none" w:sz="0" w:space="0" w:color="auto"/>
        <w:bottom w:val="none" w:sz="0" w:space="0" w:color="auto"/>
        <w:right w:val="none" w:sz="0" w:space="0" w:color="auto"/>
      </w:divBdr>
    </w:div>
    <w:div w:id="470635549">
      <w:bodyDiv w:val="1"/>
      <w:marLeft w:val="0"/>
      <w:marRight w:val="0"/>
      <w:marTop w:val="0"/>
      <w:marBottom w:val="0"/>
      <w:divBdr>
        <w:top w:val="none" w:sz="0" w:space="0" w:color="auto"/>
        <w:left w:val="none" w:sz="0" w:space="0" w:color="auto"/>
        <w:bottom w:val="none" w:sz="0" w:space="0" w:color="auto"/>
        <w:right w:val="none" w:sz="0" w:space="0" w:color="auto"/>
      </w:divBdr>
    </w:div>
    <w:div w:id="470708993">
      <w:bodyDiv w:val="1"/>
      <w:marLeft w:val="0"/>
      <w:marRight w:val="0"/>
      <w:marTop w:val="0"/>
      <w:marBottom w:val="0"/>
      <w:divBdr>
        <w:top w:val="none" w:sz="0" w:space="0" w:color="auto"/>
        <w:left w:val="none" w:sz="0" w:space="0" w:color="auto"/>
        <w:bottom w:val="none" w:sz="0" w:space="0" w:color="auto"/>
        <w:right w:val="none" w:sz="0" w:space="0" w:color="auto"/>
      </w:divBdr>
    </w:div>
    <w:div w:id="470905962">
      <w:bodyDiv w:val="1"/>
      <w:marLeft w:val="0"/>
      <w:marRight w:val="0"/>
      <w:marTop w:val="0"/>
      <w:marBottom w:val="0"/>
      <w:divBdr>
        <w:top w:val="none" w:sz="0" w:space="0" w:color="auto"/>
        <w:left w:val="none" w:sz="0" w:space="0" w:color="auto"/>
        <w:bottom w:val="none" w:sz="0" w:space="0" w:color="auto"/>
        <w:right w:val="none" w:sz="0" w:space="0" w:color="auto"/>
      </w:divBdr>
    </w:div>
    <w:div w:id="470943723">
      <w:bodyDiv w:val="1"/>
      <w:marLeft w:val="0"/>
      <w:marRight w:val="0"/>
      <w:marTop w:val="0"/>
      <w:marBottom w:val="0"/>
      <w:divBdr>
        <w:top w:val="none" w:sz="0" w:space="0" w:color="auto"/>
        <w:left w:val="none" w:sz="0" w:space="0" w:color="auto"/>
        <w:bottom w:val="none" w:sz="0" w:space="0" w:color="auto"/>
        <w:right w:val="none" w:sz="0" w:space="0" w:color="auto"/>
      </w:divBdr>
    </w:div>
    <w:div w:id="470948018">
      <w:bodyDiv w:val="1"/>
      <w:marLeft w:val="0"/>
      <w:marRight w:val="0"/>
      <w:marTop w:val="0"/>
      <w:marBottom w:val="0"/>
      <w:divBdr>
        <w:top w:val="none" w:sz="0" w:space="0" w:color="auto"/>
        <w:left w:val="none" w:sz="0" w:space="0" w:color="auto"/>
        <w:bottom w:val="none" w:sz="0" w:space="0" w:color="auto"/>
        <w:right w:val="none" w:sz="0" w:space="0" w:color="auto"/>
      </w:divBdr>
    </w:div>
    <w:div w:id="471093325">
      <w:bodyDiv w:val="1"/>
      <w:marLeft w:val="0"/>
      <w:marRight w:val="0"/>
      <w:marTop w:val="0"/>
      <w:marBottom w:val="0"/>
      <w:divBdr>
        <w:top w:val="none" w:sz="0" w:space="0" w:color="auto"/>
        <w:left w:val="none" w:sz="0" w:space="0" w:color="auto"/>
        <w:bottom w:val="none" w:sz="0" w:space="0" w:color="auto"/>
        <w:right w:val="none" w:sz="0" w:space="0" w:color="auto"/>
      </w:divBdr>
    </w:div>
    <w:div w:id="471143747">
      <w:bodyDiv w:val="1"/>
      <w:marLeft w:val="0"/>
      <w:marRight w:val="0"/>
      <w:marTop w:val="0"/>
      <w:marBottom w:val="0"/>
      <w:divBdr>
        <w:top w:val="none" w:sz="0" w:space="0" w:color="auto"/>
        <w:left w:val="none" w:sz="0" w:space="0" w:color="auto"/>
        <w:bottom w:val="none" w:sz="0" w:space="0" w:color="auto"/>
        <w:right w:val="none" w:sz="0" w:space="0" w:color="auto"/>
      </w:divBdr>
    </w:div>
    <w:div w:id="471219443">
      <w:bodyDiv w:val="1"/>
      <w:marLeft w:val="0"/>
      <w:marRight w:val="0"/>
      <w:marTop w:val="0"/>
      <w:marBottom w:val="0"/>
      <w:divBdr>
        <w:top w:val="none" w:sz="0" w:space="0" w:color="auto"/>
        <w:left w:val="none" w:sz="0" w:space="0" w:color="auto"/>
        <w:bottom w:val="none" w:sz="0" w:space="0" w:color="auto"/>
        <w:right w:val="none" w:sz="0" w:space="0" w:color="auto"/>
      </w:divBdr>
    </w:div>
    <w:div w:id="471288921">
      <w:bodyDiv w:val="1"/>
      <w:marLeft w:val="0"/>
      <w:marRight w:val="0"/>
      <w:marTop w:val="0"/>
      <w:marBottom w:val="0"/>
      <w:divBdr>
        <w:top w:val="none" w:sz="0" w:space="0" w:color="auto"/>
        <w:left w:val="none" w:sz="0" w:space="0" w:color="auto"/>
        <w:bottom w:val="none" w:sz="0" w:space="0" w:color="auto"/>
        <w:right w:val="none" w:sz="0" w:space="0" w:color="auto"/>
      </w:divBdr>
    </w:div>
    <w:div w:id="471291862">
      <w:bodyDiv w:val="1"/>
      <w:marLeft w:val="0"/>
      <w:marRight w:val="0"/>
      <w:marTop w:val="0"/>
      <w:marBottom w:val="0"/>
      <w:divBdr>
        <w:top w:val="none" w:sz="0" w:space="0" w:color="auto"/>
        <w:left w:val="none" w:sz="0" w:space="0" w:color="auto"/>
        <w:bottom w:val="none" w:sz="0" w:space="0" w:color="auto"/>
        <w:right w:val="none" w:sz="0" w:space="0" w:color="auto"/>
      </w:divBdr>
    </w:div>
    <w:div w:id="471293747">
      <w:bodyDiv w:val="1"/>
      <w:marLeft w:val="0"/>
      <w:marRight w:val="0"/>
      <w:marTop w:val="0"/>
      <w:marBottom w:val="0"/>
      <w:divBdr>
        <w:top w:val="none" w:sz="0" w:space="0" w:color="auto"/>
        <w:left w:val="none" w:sz="0" w:space="0" w:color="auto"/>
        <w:bottom w:val="none" w:sz="0" w:space="0" w:color="auto"/>
        <w:right w:val="none" w:sz="0" w:space="0" w:color="auto"/>
      </w:divBdr>
    </w:div>
    <w:div w:id="471408770">
      <w:bodyDiv w:val="1"/>
      <w:marLeft w:val="0"/>
      <w:marRight w:val="0"/>
      <w:marTop w:val="0"/>
      <w:marBottom w:val="0"/>
      <w:divBdr>
        <w:top w:val="none" w:sz="0" w:space="0" w:color="auto"/>
        <w:left w:val="none" w:sz="0" w:space="0" w:color="auto"/>
        <w:bottom w:val="none" w:sz="0" w:space="0" w:color="auto"/>
        <w:right w:val="none" w:sz="0" w:space="0" w:color="auto"/>
      </w:divBdr>
    </w:div>
    <w:div w:id="471409333">
      <w:bodyDiv w:val="1"/>
      <w:marLeft w:val="0"/>
      <w:marRight w:val="0"/>
      <w:marTop w:val="0"/>
      <w:marBottom w:val="0"/>
      <w:divBdr>
        <w:top w:val="none" w:sz="0" w:space="0" w:color="auto"/>
        <w:left w:val="none" w:sz="0" w:space="0" w:color="auto"/>
        <w:bottom w:val="none" w:sz="0" w:space="0" w:color="auto"/>
        <w:right w:val="none" w:sz="0" w:space="0" w:color="auto"/>
      </w:divBdr>
    </w:div>
    <w:div w:id="471480672">
      <w:bodyDiv w:val="1"/>
      <w:marLeft w:val="0"/>
      <w:marRight w:val="0"/>
      <w:marTop w:val="0"/>
      <w:marBottom w:val="0"/>
      <w:divBdr>
        <w:top w:val="none" w:sz="0" w:space="0" w:color="auto"/>
        <w:left w:val="none" w:sz="0" w:space="0" w:color="auto"/>
        <w:bottom w:val="none" w:sz="0" w:space="0" w:color="auto"/>
        <w:right w:val="none" w:sz="0" w:space="0" w:color="auto"/>
      </w:divBdr>
    </w:div>
    <w:div w:id="471677330">
      <w:bodyDiv w:val="1"/>
      <w:marLeft w:val="0"/>
      <w:marRight w:val="0"/>
      <w:marTop w:val="0"/>
      <w:marBottom w:val="0"/>
      <w:divBdr>
        <w:top w:val="none" w:sz="0" w:space="0" w:color="auto"/>
        <w:left w:val="none" w:sz="0" w:space="0" w:color="auto"/>
        <w:bottom w:val="none" w:sz="0" w:space="0" w:color="auto"/>
        <w:right w:val="none" w:sz="0" w:space="0" w:color="auto"/>
      </w:divBdr>
    </w:div>
    <w:div w:id="471794135">
      <w:bodyDiv w:val="1"/>
      <w:marLeft w:val="0"/>
      <w:marRight w:val="0"/>
      <w:marTop w:val="0"/>
      <w:marBottom w:val="0"/>
      <w:divBdr>
        <w:top w:val="none" w:sz="0" w:space="0" w:color="auto"/>
        <w:left w:val="none" w:sz="0" w:space="0" w:color="auto"/>
        <w:bottom w:val="none" w:sz="0" w:space="0" w:color="auto"/>
        <w:right w:val="none" w:sz="0" w:space="0" w:color="auto"/>
      </w:divBdr>
    </w:div>
    <w:div w:id="471941861">
      <w:bodyDiv w:val="1"/>
      <w:marLeft w:val="0"/>
      <w:marRight w:val="0"/>
      <w:marTop w:val="0"/>
      <w:marBottom w:val="0"/>
      <w:divBdr>
        <w:top w:val="none" w:sz="0" w:space="0" w:color="auto"/>
        <w:left w:val="none" w:sz="0" w:space="0" w:color="auto"/>
        <w:bottom w:val="none" w:sz="0" w:space="0" w:color="auto"/>
        <w:right w:val="none" w:sz="0" w:space="0" w:color="auto"/>
      </w:divBdr>
    </w:div>
    <w:div w:id="472135276">
      <w:bodyDiv w:val="1"/>
      <w:marLeft w:val="0"/>
      <w:marRight w:val="0"/>
      <w:marTop w:val="0"/>
      <w:marBottom w:val="0"/>
      <w:divBdr>
        <w:top w:val="none" w:sz="0" w:space="0" w:color="auto"/>
        <w:left w:val="none" w:sz="0" w:space="0" w:color="auto"/>
        <w:bottom w:val="none" w:sz="0" w:space="0" w:color="auto"/>
        <w:right w:val="none" w:sz="0" w:space="0" w:color="auto"/>
      </w:divBdr>
    </w:div>
    <w:div w:id="472254282">
      <w:bodyDiv w:val="1"/>
      <w:marLeft w:val="0"/>
      <w:marRight w:val="0"/>
      <w:marTop w:val="0"/>
      <w:marBottom w:val="0"/>
      <w:divBdr>
        <w:top w:val="none" w:sz="0" w:space="0" w:color="auto"/>
        <w:left w:val="none" w:sz="0" w:space="0" w:color="auto"/>
        <w:bottom w:val="none" w:sz="0" w:space="0" w:color="auto"/>
        <w:right w:val="none" w:sz="0" w:space="0" w:color="auto"/>
      </w:divBdr>
    </w:div>
    <w:div w:id="472257947">
      <w:bodyDiv w:val="1"/>
      <w:marLeft w:val="0"/>
      <w:marRight w:val="0"/>
      <w:marTop w:val="0"/>
      <w:marBottom w:val="0"/>
      <w:divBdr>
        <w:top w:val="none" w:sz="0" w:space="0" w:color="auto"/>
        <w:left w:val="none" w:sz="0" w:space="0" w:color="auto"/>
        <w:bottom w:val="none" w:sz="0" w:space="0" w:color="auto"/>
        <w:right w:val="none" w:sz="0" w:space="0" w:color="auto"/>
      </w:divBdr>
    </w:div>
    <w:div w:id="472262269">
      <w:bodyDiv w:val="1"/>
      <w:marLeft w:val="0"/>
      <w:marRight w:val="0"/>
      <w:marTop w:val="0"/>
      <w:marBottom w:val="0"/>
      <w:divBdr>
        <w:top w:val="none" w:sz="0" w:space="0" w:color="auto"/>
        <w:left w:val="none" w:sz="0" w:space="0" w:color="auto"/>
        <w:bottom w:val="none" w:sz="0" w:space="0" w:color="auto"/>
        <w:right w:val="none" w:sz="0" w:space="0" w:color="auto"/>
      </w:divBdr>
    </w:div>
    <w:div w:id="472333743">
      <w:bodyDiv w:val="1"/>
      <w:marLeft w:val="0"/>
      <w:marRight w:val="0"/>
      <w:marTop w:val="0"/>
      <w:marBottom w:val="0"/>
      <w:divBdr>
        <w:top w:val="none" w:sz="0" w:space="0" w:color="auto"/>
        <w:left w:val="none" w:sz="0" w:space="0" w:color="auto"/>
        <w:bottom w:val="none" w:sz="0" w:space="0" w:color="auto"/>
        <w:right w:val="none" w:sz="0" w:space="0" w:color="auto"/>
      </w:divBdr>
    </w:div>
    <w:div w:id="472335804">
      <w:bodyDiv w:val="1"/>
      <w:marLeft w:val="0"/>
      <w:marRight w:val="0"/>
      <w:marTop w:val="0"/>
      <w:marBottom w:val="0"/>
      <w:divBdr>
        <w:top w:val="none" w:sz="0" w:space="0" w:color="auto"/>
        <w:left w:val="none" w:sz="0" w:space="0" w:color="auto"/>
        <w:bottom w:val="none" w:sz="0" w:space="0" w:color="auto"/>
        <w:right w:val="none" w:sz="0" w:space="0" w:color="auto"/>
      </w:divBdr>
    </w:div>
    <w:div w:id="472525836">
      <w:bodyDiv w:val="1"/>
      <w:marLeft w:val="0"/>
      <w:marRight w:val="0"/>
      <w:marTop w:val="0"/>
      <w:marBottom w:val="0"/>
      <w:divBdr>
        <w:top w:val="none" w:sz="0" w:space="0" w:color="auto"/>
        <w:left w:val="none" w:sz="0" w:space="0" w:color="auto"/>
        <w:bottom w:val="none" w:sz="0" w:space="0" w:color="auto"/>
        <w:right w:val="none" w:sz="0" w:space="0" w:color="auto"/>
      </w:divBdr>
    </w:div>
    <w:div w:id="472868742">
      <w:bodyDiv w:val="1"/>
      <w:marLeft w:val="0"/>
      <w:marRight w:val="0"/>
      <w:marTop w:val="0"/>
      <w:marBottom w:val="0"/>
      <w:divBdr>
        <w:top w:val="none" w:sz="0" w:space="0" w:color="auto"/>
        <w:left w:val="none" w:sz="0" w:space="0" w:color="auto"/>
        <w:bottom w:val="none" w:sz="0" w:space="0" w:color="auto"/>
        <w:right w:val="none" w:sz="0" w:space="0" w:color="auto"/>
      </w:divBdr>
    </w:div>
    <w:div w:id="473106417">
      <w:bodyDiv w:val="1"/>
      <w:marLeft w:val="0"/>
      <w:marRight w:val="0"/>
      <w:marTop w:val="0"/>
      <w:marBottom w:val="0"/>
      <w:divBdr>
        <w:top w:val="none" w:sz="0" w:space="0" w:color="auto"/>
        <w:left w:val="none" w:sz="0" w:space="0" w:color="auto"/>
        <w:bottom w:val="none" w:sz="0" w:space="0" w:color="auto"/>
        <w:right w:val="none" w:sz="0" w:space="0" w:color="auto"/>
      </w:divBdr>
    </w:div>
    <w:div w:id="473136932">
      <w:bodyDiv w:val="1"/>
      <w:marLeft w:val="0"/>
      <w:marRight w:val="0"/>
      <w:marTop w:val="0"/>
      <w:marBottom w:val="0"/>
      <w:divBdr>
        <w:top w:val="none" w:sz="0" w:space="0" w:color="auto"/>
        <w:left w:val="none" w:sz="0" w:space="0" w:color="auto"/>
        <w:bottom w:val="none" w:sz="0" w:space="0" w:color="auto"/>
        <w:right w:val="none" w:sz="0" w:space="0" w:color="auto"/>
      </w:divBdr>
    </w:div>
    <w:div w:id="473177188">
      <w:bodyDiv w:val="1"/>
      <w:marLeft w:val="0"/>
      <w:marRight w:val="0"/>
      <w:marTop w:val="0"/>
      <w:marBottom w:val="0"/>
      <w:divBdr>
        <w:top w:val="none" w:sz="0" w:space="0" w:color="auto"/>
        <w:left w:val="none" w:sz="0" w:space="0" w:color="auto"/>
        <w:bottom w:val="none" w:sz="0" w:space="0" w:color="auto"/>
        <w:right w:val="none" w:sz="0" w:space="0" w:color="auto"/>
      </w:divBdr>
    </w:div>
    <w:div w:id="473183862">
      <w:bodyDiv w:val="1"/>
      <w:marLeft w:val="0"/>
      <w:marRight w:val="0"/>
      <w:marTop w:val="0"/>
      <w:marBottom w:val="0"/>
      <w:divBdr>
        <w:top w:val="none" w:sz="0" w:space="0" w:color="auto"/>
        <w:left w:val="none" w:sz="0" w:space="0" w:color="auto"/>
        <w:bottom w:val="none" w:sz="0" w:space="0" w:color="auto"/>
        <w:right w:val="none" w:sz="0" w:space="0" w:color="auto"/>
      </w:divBdr>
    </w:div>
    <w:div w:id="473253882">
      <w:bodyDiv w:val="1"/>
      <w:marLeft w:val="0"/>
      <w:marRight w:val="0"/>
      <w:marTop w:val="0"/>
      <w:marBottom w:val="0"/>
      <w:divBdr>
        <w:top w:val="none" w:sz="0" w:space="0" w:color="auto"/>
        <w:left w:val="none" w:sz="0" w:space="0" w:color="auto"/>
        <w:bottom w:val="none" w:sz="0" w:space="0" w:color="auto"/>
        <w:right w:val="none" w:sz="0" w:space="0" w:color="auto"/>
      </w:divBdr>
    </w:div>
    <w:div w:id="473257722">
      <w:bodyDiv w:val="1"/>
      <w:marLeft w:val="0"/>
      <w:marRight w:val="0"/>
      <w:marTop w:val="0"/>
      <w:marBottom w:val="0"/>
      <w:divBdr>
        <w:top w:val="none" w:sz="0" w:space="0" w:color="auto"/>
        <w:left w:val="none" w:sz="0" w:space="0" w:color="auto"/>
        <w:bottom w:val="none" w:sz="0" w:space="0" w:color="auto"/>
        <w:right w:val="none" w:sz="0" w:space="0" w:color="auto"/>
      </w:divBdr>
    </w:div>
    <w:div w:id="473301430">
      <w:bodyDiv w:val="1"/>
      <w:marLeft w:val="0"/>
      <w:marRight w:val="0"/>
      <w:marTop w:val="0"/>
      <w:marBottom w:val="0"/>
      <w:divBdr>
        <w:top w:val="none" w:sz="0" w:space="0" w:color="auto"/>
        <w:left w:val="none" w:sz="0" w:space="0" w:color="auto"/>
        <w:bottom w:val="none" w:sz="0" w:space="0" w:color="auto"/>
        <w:right w:val="none" w:sz="0" w:space="0" w:color="auto"/>
      </w:divBdr>
    </w:div>
    <w:div w:id="473327697">
      <w:bodyDiv w:val="1"/>
      <w:marLeft w:val="0"/>
      <w:marRight w:val="0"/>
      <w:marTop w:val="0"/>
      <w:marBottom w:val="0"/>
      <w:divBdr>
        <w:top w:val="none" w:sz="0" w:space="0" w:color="auto"/>
        <w:left w:val="none" w:sz="0" w:space="0" w:color="auto"/>
        <w:bottom w:val="none" w:sz="0" w:space="0" w:color="auto"/>
        <w:right w:val="none" w:sz="0" w:space="0" w:color="auto"/>
      </w:divBdr>
    </w:div>
    <w:div w:id="473330507">
      <w:bodyDiv w:val="1"/>
      <w:marLeft w:val="0"/>
      <w:marRight w:val="0"/>
      <w:marTop w:val="0"/>
      <w:marBottom w:val="0"/>
      <w:divBdr>
        <w:top w:val="none" w:sz="0" w:space="0" w:color="auto"/>
        <w:left w:val="none" w:sz="0" w:space="0" w:color="auto"/>
        <w:bottom w:val="none" w:sz="0" w:space="0" w:color="auto"/>
        <w:right w:val="none" w:sz="0" w:space="0" w:color="auto"/>
      </w:divBdr>
    </w:div>
    <w:div w:id="473449702">
      <w:bodyDiv w:val="1"/>
      <w:marLeft w:val="0"/>
      <w:marRight w:val="0"/>
      <w:marTop w:val="0"/>
      <w:marBottom w:val="0"/>
      <w:divBdr>
        <w:top w:val="none" w:sz="0" w:space="0" w:color="auto"/>
        <w:left w:val="none" w:sz="0" w:space="0" w:color="auto"/>
        <w:bottom w:val="none" w:sz="0" w:space="0" w:color="auto"/>
        <w:right w:val="none" w:sz="0" w:space="0" w:color="auto"/>
      </w:divBdr>
    </w:div>
    <w:div w:id="473452614">
      <w:bodyDiv w:val="1"/>
      <w:marLeft w:val="0"/>
      <w:marRight w:val="0"/>
      <w:marTop w:val="0"/>
      <w:marBottom w:val="0"/>
      <w:divBdr>
        <w:top w:val="none" w:sz="0" w:space="0" w:color="auto"/>
        <w:left w:val="none" w:sz="0" w:space="0" w:color="auto"/>
        <w:bottom w:val="none" w:sz="0" w:space="0" w:color="auto"/>
        <w:right w:val="none" w:sz="0" w:space="0" w:color="auto"/>
      </w:divBdr>
    </w:div>
    <w:div w:id="473529722">
      <w:bodyDiv w:val="1"/>
      <w:marLeft w:val="0"/>
      <w:marRight w:val="0"/>
      <w:marTop w:val="0"/>
      <w:marBottom w:val="0"/>
      <w:divBdr>
        <w:top w:val="none" w:sz="0" w:space="0" w:color="auto"/>
        <w:left w:val="none" w:sz="0" w:space="0" w:color="auto"/>
        <w:bottom w:val="none" w:sz="0" w:space="0" w:color="auto"/>
        <w:right w:val="none" w:sz="0" w:space="0" w:color="auto"/>
      </w:divBdr>
    </w:div>
    <w:div w:id="473567010">
      <w:bodyDiv w:val="1"/>
      <w:marLeft w:val="0"/>
      <w:marRight w:val="0"/>
      <w:marTop w:val="0"/>
      <w:marBottom w:val="0"/>
      <w:divBdr>
        <w:top w:val="none" w:sz="0" w:space="0" w:color="auto"/>
        <w:left w:val="none" w:sz="0" w:space="0" w:color="auto"/>
        <w:bottom w:val="none" w:sz="0" w:space="0" w:color="auto"/>
        <w:right w:val="none" w:sz="0" w:space="0" w:color="auto"/>
      </w:divBdr>
    </w:div>
    <w:div w:id="473569415">
      <w:bodyDiv w:val="1"/>
      <w:marLeft w:val="0"/>
      <w:marRight w:val="0"/>
      <w:marTop w:val="0"/>
      <w:marBottom w:val="0"/>
      <w:divBdr>
        <w:top w:val="none" w:sz="0" w:space="0" w:color="auto"/>
        <w:left w:val="none" w:sz="0" w:space="0" w:color="auto"/>
        <w:bottom w:val="none" w:sz="0" w:space="0" w:color="auto"/>
        <w:right w:val="none" w:sz="0" w:space="0" w:color="auto"/>
      </w:divBdr>
    </w:div>
    <w:div w:id="473956453">
      <w:bodyDiv w:val="1"/>
      <w:marLeft w:val="0"/>
      <w:marRight w:val="0"/>
      <w:marTop w:val="0"/>
      <w:marBottom w:val="0"/>
      <w:divBdr>
        <w:top w:val="none" w:sz="0" w:space="0" w:color="auto"/>
        <w:left w:val="none" w:sz="0" w:space="0" w:color="auto"/>
        <w:bottom w:val="none" w:sz="0" w:space="0" w:color="auto"/>
        <w:right w:val="none" w:sz="0" w:space="0" w:color="auto"/>
      </w:divBdr>
    </w:div>
    <w:div w:id="474297502">
      <w:bodyDiv w:val="1"/>
      <w:marLeft w:val="0"/>
      <w:marRight w:val="0"/>
      <w:marTop w:val="0"/>
      <w:marBottom w:val="0"/>
      <w:divBdr>
        <w:top w:val="none" w:sz="0" w:space="0" w:color="auto"/>
        <w:left w:val="none" w:sz="0" w:space="0" w:color="auto"/>
        <w:bottom w:val="none" w:sz="0" w:space="0" w:color="auto"/>
        <w:right w:val="none" w:sz="0" w:space="0" w:color="auto"/>
      </w:divBdr>
    </w:div>
    <w:div w:id="474298500">
      <w:bodyDiv w:val="1"/>
      <w:marLeft w:val="0"/>
      <w:marRight w:val="0"/>
      <w:marTop w:val="0"/>
      <w:marBottom w:val="0"/>
      <w:divBdr>
        <w:top w:val="none" w:sz="0" w:space="0" w:color="auto"/>
        <w:left w:val="none" w:sz="0" w:space="0" w:color="auto"/>
        <w:bottom w:val="none" w:sz="0" w:space="0" w:color="auto"/>
        <w:right w:val="none" w:sz="0" w:space="0" w:color="auto"/>
      </w:divBdr>
    </w:div>
    <w:div w:id="474371400">
      <w:bodyDiv w:val="1"/>
      <w:marLeft w:val="0"/>
      <w:marRight w:val="0"/>
      <w:marTop w:val="0"/>
      <w:marBottom w:val="0"/>
      <w:divBdr>
        <w:top w:val="none" w:sz="0" w:space="0" w:color="auto"/>
        <w:left w:val="none" w:sz="0" w:space="0" w:color="auto"/>
        <w:bottom w:val="none" w:sz="0" w:space="0" w:color="auto"/>
        <w:right w:val="none" w:sz="0" w:space="0" w:color="auto"/>
      </w:divBdr>
    </w:div>
    <w:div w:id="474376559">
      <w:bodyDiv w:val="1"/>
      <w:marLeft w:val="0"/>
      <w:marRight w:val="0"/>
      <w:marTop w:val="0"/>
      <w:marBottom w:val="0"/>
      <w:divBdr>
        <w:top w:val="none" w:sz="0" w:space="0" w:color="auto"/>
        <w:left w:val="none" w:sz="0" w:space="0" w:color="auto"/>
        <w:bottom w:val="none" w:sz="0" w:space="0" w:color="auto"/>
        <w:right w:val="none" w:sz="0" w:space="0" w:color="auto"/>
      </w:divBdr>
    </w:div>
    <w:div w:id="474376600">
      <w:bodyDiv w:val="1"/>
      <w:marLeft w:val="0"/>
      <w:marRight w:val="0"/>
      <w:marTop w:val="0"/>
      <w:marBottom w:val="0"/>
      <w:divBdr>
        <w:top w:val="none" w:sz="0" w:space="0" w:color="auto"/>
        <w:left w:val="none" w:sz="0" w:space="0" w:color="auto"/>
        <w:bottom w:val="none" w:sz="0" w:space="0" w:color="auto"/>
        <w:right w:val="none" w:sz="0" w:space="0" w:color="auto"/>
      </w:divBdr>
    </w:div>
    <w:div w:id="474490023">
      <w:bodyDiv w:val="1"/>
      <w:marLeft w:val="0"/>
      <w:marRight w:val="0"/>
      <w:marTop w:val="0"/>
      <w:marBottom w:val="0"/>
      <w:divBdr>
        <w:top w:val="none" w:sz="0" w:space="0" w:color="auto"/>
        <w:left w:val="none" w:sz="0" w:space="0" w:color="auto"/>
        <w:bottom w:val="none" w:sz="0" w:space="0" w:color="auto"/>
        <w:right w:val="none" w:sz="0" w:space="0" w:color="auto"/>
      </w:divBdr>
    </w:div>
    <w:div w:id="474494526">
      <w:bodyDiv w:val="1"/>
      <w:marLeft w:val="0"/>
      <w:marRight w:val="0"/>
      <w:marTop w:val="0"/>
      <w:marBottom w:val="0"/>
      <w:divBdr>
        <w:top w:val="none" w:sz="0" w:space="0" w:color="auto"/>
        <w:left w:val="none" w:sz="0" w:space="0" w:color="auto"/>
        <w:bottom w:val="none" w:sz="0" w:space="0" w:color="auto"/>
        <w:right w:val="none" w:sz="0" w:space="0" w:color="auto"/>
      </w:divBdr>
    </w:div>
    <w:div w:id="474564556">
      <w:bodyDiv w:val="1"/>
      <w:marLeft w:val="0"/>
      <w:marRight w:val="0"/>
      <w:marTop w:val="0"/>
      <w:marBottom w:val="0"/>
      <w:divBdr>
        <w:top w:val="none" w:sz="0" w:space="0" w:color="auto"/>
        <w:left w:val="none" w:sz="0" w:space="0" w:color="auto"/>
        <w:bottom w:val="none" w:sz="0" w:space="0" w:color="auto"/>
        <w:right w:val="none" w:sz="0" w:space="0" w:color="auto"/>
      </w:divBdr>
    </w:div>
    <w:div w:id="474684824">
      <w:bodyDiv w:val="1"/>
      <w:marLeft w:val="0"/>
      <w:marRight w:val="0"/>
      <w:marTop w:val="0"/>
      <w:marBottom w:val="0"/>
      <w:divBdr>
        <w:top w:val="none" w:sz="0" w:space="0" w:color="auto"/>
        <w:left w:val="none" w:sz="0" w:space="0" w:color="auto"/>
        <w:bottom w:val="none" w:sz="0" w:space="0" w:color="auto"/>
        <w:right w:val="none" w:sz="0" w:space="0" w:color="auto"/>
      </w:divBdr>
    </w:div>
    <w:div w:id="474686539">
      <w:bodyDiv w:val="1"/>
      <w:marLeft w:val="0"/>
      <w:marRight w:val="0"/>
      <w:marTop w:val="0"/>
      <w:marBottom w:val="0"/>
      <w:divBdr>
        <w:top w:val="none" w:sz="0" w:space="0" w:color="auto"/>
        <w:left w:val="none" w:sz="0" w:space="0" w:color="auto"/>
        <w:bottom w:val="none" w:sz="0" w:space="0" w:color="auto"/>
        <w:right w:val="none" w:sz="0" w:space="0" w:color="auto"/>
      </w:divBdr>
    </w:div>
    <w:div w:id="474954830">
      <w:bodyDiv w:val="1"/>
      <w:marLeft w:val="0"/>
      <w:marRight w:val="0"/>
      <w:marTop w:val="0"/>
      <w:marBottom w:val="0"/>
      <w:divBdr>
        <w:top w:val="none" w:sz="0" w:space="0" w:color="auto"/>
        <w:left w:val="none" w:sz="0" w:space="0" w:color="auto"/>
        <w:bottom w:val="none" w:sz="0" w:space="0" w:color="auto"/>
        <w:right w:val="none" w:sz="0" w:space="0" w:color="auto"/>
      </w:divBdr>
    </w:div>
    <w:div w:id="474957092">
      <w:bodyDiv w:val="1"/>
      <w:marLeft w:val="0"/>
      <w:marRight w:val="0"/>
      <w:marTop w:val="0"/>
      <w:marBottom w:val="0"/>
      <w:divBdr>
        <w:top w:val="none" w:sz="0" w:space="0" w:color="auto"/>
        <w:left w:val="none" w:sz="0" w:space="0" w:color="auto"/>
        <w:bottom w:val="none" w:sz="0" w:space="0" w:color="auto"/>
        <w:right w:val="none" w:sz="0" w:space="0" w:color="auto"/>
      </w:divBdr>
    </w:div>
    <w:div w:id="475030864">
      <w:bodyDiv w:val="1"/>
      <w:marLeft w:val="0"/>
      <w:marRight w:val="0"/>
      <w:marTop w:val="0"/>
      <w:marBottom w:val="0"/>
      <w:divBdr>
        <w:top w:val="none" w:sz="0" w:space="0" w:color="auto"/>
        <w:left w:val="none" w:sz="0" w:space="0" w:color="auto"/>
        <w:bottom w:val="none" w:sz="0" w:space="0" w:color="auto"/>
        <w:right w:val="none" w:sz="0" w:space="0" w:color="auto"/>
      </w:divBdr>
    </w:div>
    <w:div w:id="475071980">
      <w:bodyDiv w:val="1"/>
      <w:marLeft w:val="0"/>
      <w:marRight w:val="0"/>
      <w:marTop w:val="0"/>
      <w:marBottom w:val="0"/>
      <w:divBdr>
        <w:top w:val="none" w:sz="0" w:space="0" w:color="auto"/>
        <w:left w:val="none" w:sz="0" w:space="0" w:color="auto"/>
        <w:bottom w:val="none" w:sz="0" w:space="0" w:color="auto"/>
        <w:right w:val="none" w:sz="0" w:space="0" w:color="auto"/>
      </w:divBdr>
    </w:div>
    <w:div w:id="475145465">
      <w:bodyDiv w:val="1"/>
      <w:marLeft w:val="0"/>
      <w:marRight w:val="0"/>
      <w:marTop w:val="0"/>
      <w:marBottom w:val="0"/>
      <w:divBdr>
        <w:top w:val="none" w:sz="0" w:space="0" w:color="auto"/>
        <w:left w:val="none" w:sz="0" w:space="0" w:color="auto"/>
        <w:bottom w:val="none" w:sz="0" w:space="0" w:color="auto"/>
        <w:right w:val="none" w:sz="0" w:space="0" w:color="auto"/>
      </w:divBdr>
    </w:div>
    <w:div w:id="475223389">
      <w:bodyDiv w:val="1"/>
      <w:marLeft w:val="0"/>
      <w:marRight w:val="0"/>
      <w:marTop w:val="0"/>
      <w:marBottom w:val="0"/>
      <w:divBdr>
        <w:top w:val="none" w:sz="0" w:space="0" w:color="auto"/>
        <w:left w:val="none" w:sz="0" w:space="0" w:color="auto"/>
        <w:bottom w:val="none" w:sz="0" w:space="0" w:color="auto"/>
        <w:right w:val="none" w:sz="0" w:space="0" w:color="auto"/>
      </w:divBdr>
    </w:div>
    <w:div w:id="475344056">
      <w:bodyDiv w:val="1"/>
      <w:marLeft w:val="0"/>
      <w:marRight w:val="0"/>
      <w:marTop w:val="0"/>
      <w:marBottom w:val="0"/>
      <w:divBdr>
        <w:top w:val="none" w:sz="0" w:space="0" w:color="auto"/>
        <w:left w:val="none" w:sz="0" w:space="0" w:color="auto"/>
        <w:bottom w:val="none" w:sz="0" w:space="0" w:color="auto"/>
        <w:right w:val="none" w:sz="0" w:space="0" w:color="auto"/>
      </w:divBdr>
    </w:div>
    <w:div w:id="475490543">
      <w:bodyDiv w:val="1"/>
      <w:marLeft w:val="0"/>
      <w:marRight w:val="0"/>
      <w:marTop w:val="0"/>
      <w:marBottom w:val="0"/>
      <w:divBdr>
        <w:top w:val="none" w:sz="0" w:space="0" w:color="auto"/>
        <w:left w:val="none" w:sz="0" w:space="0" w:color="auto"/>
        <w:bottom w:val="none" w:sz="0" w:space="0" w:color="auto"/>
        <w:right w:val="none" w:sz="0" w:space="0" w:color="auto"/>
      </w:divBdr>
    </w:div>
    <w:div w:id="475494541">
      <w:bodyDiv w:val="1"/>
      <w:marLeft w:val="0"/>
      <w:marRight w:val="0"/>
      <w:marTop w:val="0"/>
      <w:marBottom w:val="0"/>
      <w:divBdr>
        <w:top w:val="none" w:sz="0" w:space="0" w:color="auto"/>
        <w:left w:val="none" w:sz="0" w:space="0" w:color="auto"/>
        <w:bottom w:val="none" w:sz="0" w:space="0" w:color="auto"/>
        <w:right w:val="none" w:sz="0" w:space="0" w:color="auto"/>
      </w:divBdr>
    </w:div>
    <w:div w:id="475532719">
      <w:bodyDiv w:val="1"/>
      <w:marLeft w:val="0"/>
      <w:marRight w:val="0"/>
      <w:marTop w:val="0"/>
      <w:marBottom w:val="0"/>
      <w:divBdr>
        <w:top w:val="none" w:sz="0" w:space="0" w:color="auto"/>
        <w:left w:val="none" w:sz="0" w:space="0" w:color="auto"/>
        <w:bottom w:val="none" w:sz="0" w:space="0" w:color="auto"/>
        <w:right w:val="none" w:sz="0" w:space="0" w:color="auto"/>
      </w:divBdr>
    </w:div>
    <w:div w:id="475611435">
      <w:bodyDiv w:val="1"/>
      <w:marLeft w:val="0"/>
      <w:marRight w:val="0"/>
      <w:marTop w:val="0"/>
      <w:marBottom w:val="0"/>
      <w:divBdr>
        <w:top w:val="none" w:sz="0" w:space="0" w:color="auto"/>
        <w:left w:val="none" w:sz="0" w:space="0" w:color="auto"/>
        <w:bottom w:val="none" w:sz="0" w:space="0" w:color="auto"/>
        <w:right w:val="none" w:sz="0" w:space="0" w:color="auto"/>
      </w:divBdr>
    </w:div>
    <w:div w:id="475873118">
      <w:bodyDiv w:val="1"/>
      <w:marLeft w:val="0"/>
      <w:marRight w:val="0"/>
      <w:marTop w:val="0"/>
      <w:marBottom w:val="0"/>
      <w:divBdr>
        <w:top w:val="none" w:sz="0" w:space="0" w:color="auto"/>
        <w:left w:val="none" w:sz="0" w:space="0" w:color="auto"/>
        <w:bottom w:val="none" w:sz="0" w:space="0" w:color="auto"/>
        <w:right w:val="none" w:sz="0" w:space="0" w:color="auto"/>
      </w:divBdr>
    </w:div>
    <w:div w:id="475923847">
      <w:bodyDiv w:val="1"/>
      <w:marLeft w:val="0"/>
      <w:marRight w:val="0"/>
      <w:marTop w:val="0"/>
      <w:marBottom w:val="0"/>
      <w:divBdr>
        <w:top w:val="none" w:sz="0" w:space="0" w:color="auto"/>
        <w:left w:val="none" w:sz="0" w:space="0" w:color="auto"/>
        <w:bottom w:val="none" w:sz="0" w:space="0" w:color="auto"/>
        <w:right w:val="none" w:sz="0" w:space="0" w:color="auto"/>
      </w:divBdr>
    </w:div>
    <w:div w:id="475924455">
      <w:bodyDiv w:val="1"/>
      <w:marLeft w:val="0"/>
      <w:marRight w:val="0"/>
      <w:marTop w:val="0"/>
      <w:marBottom w:val="0"/>
      <w:divBdr>
        <w:top w:val="none" w:sz="0" w:space="0" w:color="auto"/>
        <w:left w:val="none" w:sz="0" w:space="0" w:color="auto"/>
        <w:bottom w:val="none" w:sz="0" w:space="0" w:color="auto"/>
        <w:right w:val="none" w:sz="0" w:space="0" w:color="auto"/>
      </w:divBdr>
    </w:div>
    <w:div w:id="475993640">
      <w:bodyDiv w:val="1"/>
      <w:marLeft w:val="0"/>
      <w:marRight w:val="0"/>
      <w:marTop w:val="0"/>
      <w:marBottom w:val="0"/>
      <w:divBdr>
        <w:top w:val="none" w:sz="0" w:space="0" w:color="auto"/>
        <w:left w:val="none" w:sz="0" w:space="0" w:color="auto"/>
        <w:bottom w:val="none" w:sz="0" w:space="0" w:color="auto"/>
        <w:right w:val="none" w:sz="0" w:space="0" w:color="auto"/>
      </w:divBdr>
    </w:div>
    <w:div w:id="475996298">
      <w:bodyDiv w:val="1"/>
      <w:marLeft w:val="0"/>
      <w:marRight w:val="0"/>
      <w:marTop w:val="0"/>
      <w:marBottom w:val="0"/>
      <w:divBdr>
        <w:top w:val="none" w:sz="0" w:space="0" w:color="auto"/>
        <w:left w:val="none" w:sz="0" w:space="0" w:color="auto"/>
        <w:bottom w:val="none" w:sz="0" w:space="0" w:color="auto"/>
        <w:right w:val="none" w:sz="0" w:space="0" w:color="auto"/>
      </w:divBdr>
    </w:div>
    <w:div w:id="476069615">
      <w:bodyDiv w:val="1"/>
      <w:marLeft w:val="0"/>
      <w:marRight w:val="0"/>
      <w:marTop w:val="0"/>
      <w:marBottom w:val="0"/>
      <w:divBdr>
        <w:top w:val="none" w:sz="0" w:space="0" w:color="auto"/>
        <w:left w:val="none" w:sz="0" w:space="0" w:color="auto"/>
        <w:bottom w:val="none" w:sz="0" w:space="0" w:color="auto"/>
        <w:right w:val="none" w:sz="0" w:space="0" w:color="auto"/>
      </w:divBdr>
    </w:div>
    <w:div w:id="476340264">
      <w:bodyDiv w:val="1"/>
      <w:marLeft w:val="0"/>
      <w:marRight w:val="0"/>
      <w:marTop w:val="0"/>
      <w:marBottom w:val="0"/>
      <w:divBdr>
        <w:top w:val="none" w:sz="0" w:space="0" w:color="auto"/>
        <w:left w:val="none" w:sz="0" w:space="0" w:color="auto"/>
        <w:bottom w:val="none" w:sz="0" w:space="0" w:color="auto"/>
        <w:right w:val="none" w:sz="0" w:space="0" w:color="auto"/>
      </w:divBdr>
    </w:div>
    <w:div w:id="476387312">
      <w:bodyDiv w:val="1"/>
      <w:marLeft w:val="0"/>
      <w:marRight w:val="0"/>
      <w:marTop w:val="0"/>
      <w:marBottom w:val="0"/>
      <w:divBdr>
        <w:top w:val="none" w:sz="0" w:space="0" w:color="auto"/>
        <w:left w:val="none" w:sz="0" w:space="0" w:color="auto"/>
        <w:bottom w:val="none" w:sz="0" w:space="0" w:color="auto"/>
        <w:right w:val="none" w:sz="0" w:space="0" w:color="auto"/>
      </w:divBdr>
    </w:div>
    <w:div w:id="476603829">
      <w:bodyDiv w:val="1"/>
      <w:marLeft w:val="0"/>
      <w:marRight w:val="0"/>
      <w:marTop w:val="0"/>
      <w:marBottom w:val="0"/>
      <w:divBdr>
        <w:top w:val="none" w:sz="0" w:space="0" w:color="auto"/>
        <w:left w:val="none" w:sz="0" w:space="0" w:color="auto"/>
        <w:bottom w:val="none" w:sz="0" w:space="0" w:color="auto"/>
        <w:right w:val="none" w:sz="0" w:space="0" w:color="auto"/>
      </w:divBdr>
    </w:div>
    <w:div w:id="476605452">
      <w:bodyDiv w:val="1"/>
      <w:marLeft w:val="0"/>
      <w:marRight w:val="0"/>
      <w:marTop w:val="0"/>
      <w:marBottom w:val="0"/>
      <w:divBdr>
        <w:top w:val="none" w:sz="0" w:space="0" w:color="auto"/>
        <w:left w:val="none" w:sz="0" w:space="0" w:color="auto"/>
        <w:bottom w:val="none" w:sz="0" w:space="0" w:color="auto"/>
        <w:right w:val="none" w:sz="0" w:space="0" w:color="auto"/>
      </w:divBdr>
    </w:div>
    <w:div w:id="476800473">
      <w:bodyDiv w:val="1"/>
      <w:marLeft w:val="0"/>
      <w:marRight w:val="0"/>
      <w:marTop w:val="0"/>
      <w:marBottom w:val="0"/>
      <w:divBdr>
        <w:top w:val="none" w:sz="0" w:space="0" w:color="auto"/>
        <w:left w:val="none" w:sz="0" w:space="0" w:color="auto"/>
        <w:bottom w:val="none" w:sz="0" w:space="0" w:color="auto"/>
        <w:right w:val="none" w:sz="0" w:space="0" w:color="auto"/>
      </w:divBdr>
    </w:div>
    <w:div w:id="476840021">
      <w:bodyDiv w:val="1"/>
      <w:marLeft w:val="0"/>
      <w:marRight w:val="0"/>
      <w:marTop w:val="0"/>
      <w:marBottom w:val="0"/>
      <w:divBdr>
        <w:top w:val="none" w:sz="0" w:space="0" w:color="auto"/>
        <w:left w:val="none" w:sz="0" w:space="0" w:color="auto"/>
        <w:bottom w:val="none" w:sz="0" w:space="0" w:color="auto"/>
        <w:right w:val="none" w:sz="0" w:space="0" w:color="auto"/>
      </w:divBdr>
    </w:div>
    <w:div w:id="476840530">
      <w:bodyDiv w:val="1"/>
      <w:marLeft w:val="0"/>
      <w:marRight w:val="0"/>
      <w:marTop w:val="0"/>
      <w:marBottom w:val="0"/>
      <w:divBdr>
        <w:top w:val="none" w:sz="0" w:space="0" w:color="auto"/>
        <w:left w:val="none" w:sz="0" w:space="0" w:color="auto"/>
        <w:bottom w:val="none" w:sz="0" w:space="0" w:color="auto"/>
        <w:right w:val="none" w:sz="0" w:space="0" w:color="auto"/>
      </w:divBdr>
    </w:div>
    <w:div w:id="476840871">
      <w:bodyDiv w:val="1"/>
      <w:marLeft w:val="0"/>
      <w:marRight w:val="0"/>
      <w:marTop w:val="0"/>
      <w:marBottom w:val="0"/>
      <w:divBdr>
        <w:top w:val="none" w:sz="0" w:space="0" w:color="auto"/>
        <w:left w:val="none" w:sz="0" w:space="0" w:color="auto"/>
        <w:bottom w:val="none" w:sz="0" w:space="0" w:color="auto"/>
        <w:right w:val="none" w:sz="0" w:space="0" w:color="auto"/>
      </w:divBdr>
    </w:div>
    <w:div w:id="476917506">
      <w:bodyDiv w:val="1"/>
      <w:marLeft w:val="0"/>
      <w:marRight w:val="0"/>
      <w:marTop w:val="0"/>
      <w:marBottom w:val="0"/>
      <w:divBdr>
        <w:top w:val="none" w:sz="0" w:space="0" w:color="auto"/>
        <w:left w:val="none" w:sz="0" w:space="0" w:color="auto"/>
        <w:bottom w:val="none" w:sz="0" w:space="0" w:color="auto"/>
        <w:right w:val="none" w:sz="0" w:space="0" w:color="auto"/>
      </w:divBdr>
    </w:div>
    <w:div w:id="476924607">
      <w:bodyDiv w:val="1"/>
      <w:marLeft w:val="0"/>
      <w:marRight w:val="0"/>
      <w:marTop w:val="0"/>
      <w:marBottom w:val="0"/>
      <w:divBdr>
        <w:top w:val="none" w:sz="0" w:space="0" w:color="auto"/>
        <w:left w:val="none" w:sz="0" w:space="0" w:color="auto"/>
        <w:bottom w:val="none" w:sz="0" w:space="0" w:color="auto"/>
        <w:right w:val="none" w:sz="0" w:space="0" w:color="auto"/>
      </w:divBdr>
    </w:div>
    <w:div w:id="476995943">
      <w:bodyDiv w:val="1"/>
      <w:marLeft w:val="0"/>
      <w:marRight w:val="0"/>
      <w:marTop w:val="0"/>
      <w:marBottom w:val="0"/>
      <w:divBdr>
        <w:top w:val="none" w:sz="0" w:space="0" w:color="auto"/>
        <w:left w:val="none" w:sz="0" w:space="0" w:color="auto"/>
        <w:bottom w:val="none" w:sz="0" w:space="0" w:color="auto"/>
        <w:right w:val="none" w:sz="0" w:space="0" w:color="auto"/>
      </w:divBdr>
    </w:div>
    <w:div w:id="477187200">
      <w:bodyDiv w:val="1"/>
      <w:marLeft w:val="0"/>
      <w:marRight w:val="0"/>
      <w:marTop w:val="0"/>
      <w:marBottom w:val="0"/>
      <w:divBdr>
        <w:top w:val="none" w:sz="0" w:space="0" w:color="auto"/>
        <w:left w:val="none" w:sz="0" w:space="0" w:color="auto"/>
        <w:bottom w:val="none" w:sz="0" w:space="0" w:color="auto"/>
        <w:right w:val="none" w:sz="0" w:space="0" w:color="auto"/>
      </w:divBdr>
    </w:div>
    <w:div w:id="477264181">
      <w:bodyDiv w:val="1"/>
      <w:marLeft w:val="0"/>
      <w:marRight w:val="0"/>
      <w:marTop w:val="0"/>
      <w:marBottom w:val="0"/>
      <w:divBdr>
        <w:top w:val="none" w:sz="0" w:space="0" w:color="auto"/>
        <w:left w:val="none" w:sz="0" w:space="0" w:color="auto"/>
        <w:bottom w:val="none" w:sz="0" w:space="0" w:color="auto"/>
        <w:right w:val="none" w:sz="0" w:space="0" w:color="auto"/>
      </w:divBdr>
    </w:div>
    <w:div w:id="477265287">
      <w:bodyDiv w:val="1"/>
      <w:marLeft w:val="0"/>
      <w:marRight w:val="0"/>
      <w:marTop w:val="0"/>
      <w:marBottom w:val="0"/>
      <w:divBdr>
        <w:top w:val="none" w:sz="0" w:space="0" w:color="auto"/>
        <w:left w:val="none" w:sz="0" w:space="0" w:color="auto"/>
        <w:bottom w:val="none" w:sz="0" w:space="0" w:color="auto"/>
        <w:right w:val="none" w:sz="0" w:space="0" w:color="auto"/>
      </w:divBdr>
    </w:div>
    <w:div w:id="477265394">
      <w:bodyDiv w:val="1"/>
      <w:marLeft w:val="0"/>
      <w:marRight w:val="0"/>
      <w:marTop w:val="0"/>
      <w:marBottom w:val="0"/>
      <w:divBdr>
        <w:top w:val="none" w:sz="0" w:space="0" w:color="auto"/>
        <w:left w:val="none" w:sz="0" w:space="0" w:color="auto"/>
        <w:bottom w:val="none" w:sz="0" w:space="0" w:color="auto"/>
        <w:right w:val="none" w:sz="0" w:space="0" w:color="auto"/>
      </w:divBdr>
    </w:div>
    <w:div w:id="477303423">
      <w:bodyDiv w:val="1"/>
      <w:marLeft w:val="0"/>
      <w:marRight w:val="0"/>
      <w:marTop w:val="0"/>
      <w:marBottom w:val="0"/>
      <w:divBdr>
        <w:top w:val="none" w:sz="0" w:space="0" w:color="auto"/>
        <w:left w:val="none" w:sz="0" w:space="0" w:color="auto"/>
        <w:bottom w:val="none" w:sz="0" w:space="0" w:color="auto"/>
        <w:right w:val="none" w:sz="0" w:space="0" w:color="auto"/>
      </w:divBdr>
    </w:div>
    <w:div w:id="477574221">
      <w:bodyDiv w:val="1"/>
      <w:marLeft w:val="0"/>
      <w:marRight w:val="0"/>
      <w:marTop w:val="0"/>
      <w:marBottom w:val="0"/>
      <w:divBdr>
        <w:top w:val="none" w:sz="0" w:space="0" w:color="auto"/>
        <w:left w:val="none" w:sz="0" w:space="0" w:color="auto"/>
        <w:bottom w:val="none" w:sz="0" w:space="0" w:color="auto"/>
        <w:right w:val="none" w:sz="0" w:space="0" w:color="auto"/>
      </w:divBdr>
    </w:div>
    <w:div w:id="477575596">
      <w:bodyDiv w:val="1"/>
      <w:marLeft w:val="0"/>
      <w:marRight w:val="0"/>
      <w:marTop w:val="0"/>
      <w:marBottom w:val="0"/>
      <w:divBdr>
        <w:top w:val="none" w:sz="0" w:space="0" w:color="auto"/>
        <w:left w:val="none" w:sz="0" w:space="0" w:color="auto"/>
        <w:bottom w:val="none" w:sz="0" w:space="0" w:color="auto"/>
        <w:right w:val="none" w:sz="0" w:space="0" w:color="auto"/>
      </w:divBdr>
    </w:div>
    <w:div w:id="477646261">
      <w:bodyDiv w:val="1"/>
      <w:marLeft w:val="0"/>
      <w:marRight w:val="0"/>
      <w:marTop w:val="0"/>
      <w:marBottom w:val="0"/>
      <w:divBdr>
        <w:top w:val="none" w:sz="0" w:space="0" w:color="auto"/>
        <w:left w:val="none" w:sz="0" w:space="0" w:color="auto"/>
        <w:bottom w:val="none" w:sz="0" w:space="0" w:color="auto"/>
        <w:right w:val="none" w:sz="0" w:space="0" w:color="auto"/>
      </w:divBdr>
    </w:div>
    <w:div w:id="477655165">
      <w:bodyDiv w:val="1"/>
      <w:marLeft w:val="0"/>
      <w:marRight w:val="0"/>
      <w:marTop w:val="0"/>
      <w:marBottom w:val="0"/>
      <w:divBdr>
        <w:top w:val="none" w:sz="0" w:space="0" w:color="auto"/>
        <w:left w:val="none" w:sz="0" w:space="0" w:color="auto"/>
        <w:bottom w:val="none" w:sz="0" w:space="0" w:color="auto"/>
        <w:right w:val="none" w:sz="0" w:space="0" w:color="auto"/>
      </w:divBdr>
    </w:div>
    <w:div w:id="477722683">
      <w:bodyDiv w:val="1"/>
      <w:marLeft w:val="0"/>
      <w:marRight w:val="0"/>
      <w:marTop w:val="0"/>
      <w:marBottom w:val="0"/>
      <w:divBdr>
        <w:top w:val="none" w:sz="0" w:space="0" w:color="auto"/>
        <w:left w:val="none" w:sz="0" w:space="0" w:color="auto"/>
        <w:bottom w:val="none" w:sz="0" w:space="0" w:color="auto"/>
        <w:right w:val="none" w:sz="0" w:space="0" w:color="auto"/>
      </w:divBdr>
    </w:div>
    <w:div w:id="477768515">
      <w:bodyDiv w:val="1"/>
      <w:marLeft w:val="0"/>
      <w:marRight w:val="0"/>
      <w:marTop w:val="0"/>
      <w:marBottom w:val="0"/>
      <w:divBdr>
        <w:top w:val="none" w:sz="0" w:space="0" w:color="auto"/>
        <w:left w:val="none" w:sz="0" w:space="0" w:color="auto"/>
        <w:bottom w:val="none" w:sz="0" w:space="0" w:color="auto"/>
        <w:right w:val="none" w:sz="0" w:space="0" w:color="auto"/>
      </w:divBdr>
    </w:div>
    <w:div w:id="477841713">
      <w:bodyDiv w:val="1"/>
      <w:marLeft w:val="0"/>
      <w:marRight w:val="0"/>
      <w:marTop w:val="0"/>
      <w:marBottom w:val="0"/>
      <w:divBdr>
        <w:top w:val="none" w:sz="0" w:space="0" w:color="auto"/>
        <w:left w:val="none" w:sz="0" w:space="0" w:color="auto"/>
        <w:bottom w:val="none" w:sz="0" w:space="0" w:color="auto"/>
        <w:right w:val="none" w:sz="0" w:space="0" w:color="auto"/>
      </w:divBdr>
    </w:div>
    <w:div w:id="478112492">
      <w:bodyDiv w:val="1"/>
      <w:marLeft w:val="0"/>
      <w:marRight w:val="0"/>
      <w:marTop w:val="0"/>
      <w:marBottom w:val="0"/>
      <w:divBdr>
        <w:top w:val="none" w:sz="0" w:space="0" w:color="auto"/>
        <w:left w:val="none" w:sz="0" w:space="0" w:color="auto"/>
        <w:bottom w:val="none" w:sz="0" w:space="0" w:color="auto"/>
        <w:right w:val="none" w:sz="0" w:space="0" w:color="auto"/>
      </w:divBdr>
    </w:div>
    <w:div w:id="478151431">
      <w:bodyDiv w:val="1"/>
      <w:marLeft w:val="0"/>
      <w:marRight w:val="0"/>
      <w:marTop w:val="0"/>
      <w:marBottom w:val="0"/>
      <w:divBdr>
        <w:top w:val="none" w:sz="0" w:space="0" w:color="auto"/>
        <w:left w:val="none" w:sz="0" w:space="0" w:color="auto"/>
        <w:bottom w:val="none" w:sz="0" w:space="0" w:color="auto"/>
        <w:right w:val="none" w:sz="0" w:space="0" w:color="auto"/>
      </w:divBdr>
    </w:div>
    <w:div w:id="478157820">
      <w:bodyDiv w:val="1"/>
      <w:marLeft w:val="0"/>
      <w:marRight w:val="0"/>
      <w:marTop w:val="0"/>
      <w:marBottom w:val="0"/>
      <w:divBdr>
        <w:top w:val="none" w:sz="0" w:space="0" w:color="auto"/>
        <w:left w:val="none" w:sz="0" w:space="0" w:color="auto"/>
        <w:bottom w:val="none" w:sz="0" w:space="0" w:color="auto"/>
        <w:right w:val="none" w:sz="0" w:space="0" w:color="auto"/>
      </w:divBdr>
    </w:div>
    <w:div w:id="478226735">
      <w:bodyDiv w:val="1"/>
      <w:marLeft w:val="0"/>
      <w:marRight w:val="0"/>
      <w:marTop w:val="0"/>
      <w:marBottom w:val="0"/>
      <w:divBdr>
        <w:top w:val="none" w:sz="0" w:space="0" w:color="auto"/>
        <w:left w:val="none" w:sz="0" w:space="0" w:color="auto"/>
        <w:bottom w:val="none" w:sz="0" w:space="0" w:color="auto"/>
        <w:right w:val="none" w:sz="0" w:space="0" w:color="auto"/>
      </w:divBdr>
    </w:div>
    <w:div w:id="478351995">
      <w:bodyDiv w:val="1"/>
      <w:marLeft w:val="0"/>
      <w:marRight w:val="0"/>
      <w:marTop w:val="0"/>
      <w:marBottom w:val="0"/>
      <w:divBdr>
        <w:top w:val="none" w:sz="0" w:space="0" w:color="auto"/>
        <w:left w:val="none" w:sz="0" w:space="0" w:color="auto"/>
        <w:bottom w:val="none" w:sz="0" w:space="0" w:color="auto"/>
        <w:right w:val="none" w:sz="0" w:space="0" w:color="auto"/>
      </w:divBdr>
    </w:div>
    <w:div w:id="478378966">
      <w:bodyDiv w:val="1"/>
      <w:marLeft w:val="0"/>
      <w:marRight w:val="0"/>
      <w:marTop w:val="0"/>
      <w:marBottom w:val="0"/>
      <w:divBdr>
        <w:top w:val="none" w:sz="0" w:space="0" w:color="auto"/>
        <w:left w:val="none" w:sz="0" w:space="0" w:color="auto"/>
        <w:bottom w:val="none" w:sz="0" w:space="0" w:color="auto"/>
        <w:right w:val="none" w:sz="0" w:space="0" w:color="auto"/>
      </w:divBdr>
    </w:div>
    <w:div w:id="478379803">
      <w:bodyDiv w:val="1"/>
      <w:marLeft w:val="0"/>
      <w:marRight w:val="0"/>
      <w:marTop w:val="0"/>
      <w:marBottom w:val="0"/>
      <w:divBdr>
        <w:top w:val="none" w:sz="0" w:space="0" w:color="auto"/>
        <w:left w:val="none" w:sz="0" w:space="0" w:color="auto"/>
        <w:bottom w:val="none" w:sz="0" w:space="0" w:color="auto"/>
        <w:right w:val="none" w:sz="0" w:space="0" w:color="auto"/>
      </w:divBdr>
    </w:div>
    <w:div w:id="478425400">
      <w:bodyDiv w:val="1"/>
      <w:marLeft w:val="0"/>
      <w:marRight w:val="0"/>
      <w:marTop w:val="0"/>
      <w:marBottom w:val="0"/>
      <w:divBdr>
        <w:top w:val="none" w:sz="0" w:space="0" w:color="auto"/>
        <w:left w:val="none" w:sz="0" w:space="0" w:color="auto"/>
        <w:bottom w:val="none" w:sz="0" w:space="0" w:color="auto"/>
        <w:right w:val="none" w:sz="0" w:space="0" w:color="auto"/>
      </w:divBdr>
    </w:div>
    <w:div w:id="478544764">
      <w:bodyDiv w:val="1"/>
      <w:marLeft w:val="0"/>
      <w:marRight w:val="0"/>
      <w:marTop w:val="0"/>
      <w:marBottom w:val="0"/>
      <w:divBdr>
        <w:top w:val="none" w:sz="0" w:space="0" w:color="auto"/>
        <w:left w:val="none" w:sz="0" w:space="0" w:color="auto"/>
        <w:bottom w:val="none" w:sz="0" w:space="0" w:color="auto"/>
        <w:right w:val="none" w:sz="0" w:space="0" w:color="auto"/>
      </w:divBdr>
    </w:div>
    <w:div w:id="478576333">
      <w:bodyDiv w:val="1"/>
      <w:marLeft w:val="0"/>
      <w:marRight w:val="0"/>
      <w:marTop w:val="0"/>
      <w:marBottom w:val="0"/>
      <w:divBdr>
        <w:top w:val="none" w:sz="0" w:space="0" w:color="auto"/>
        <w:left w:val="none" w:sz="0" w:space="0" w:color="auto"/>
        <w:bottom w:val="none" w:sz="0" w:space="0" w:color="auto"/>
        <w:right w:val="none" w:sz="0" w:space="0" w:color="auto"/>
      </w:divBdr>
    </w:div>
    <w:div w:id="478771011">
      <w:bodyDiv w:val="1"/>
      <w:marLeft w:val="0"/>
      <w:marRight w:val="0"/>
      <w:marTop w:val="0"/>
      <w:marBottom w:val="0"/>
      <w:divBdr>
        <w:top w:val="none" w:sz="0" w:space="0" w:color="auto"/>
        <w:left w:val="none" w:sz="0" w:space="0" w:color="auto"/>
        <w:bottom w:val="none" w:sz="0" w:space="0" w:color="auto"/>
        <w:right w:val="none" w:sz="0" w:space="0" w:color="auto"/>
      </w:divBdr>
    </w:div>
    <w:div w:id="478771964">
      <w:bodyDiv w:val="1"/>
      <w:marLeft w:val="0"/>
      <w:marRight w:val="0"/>
      <w:marTop w:val="0"/>
      <w:marBottom w:val="0"/>
      <w:divBdr>
        <w:top w:val="none" w:sz="0" w:space="0" w:color="auto"/>
        <w:left w:val="none" w:sz="0" w:space="0" w:color="auto"/>
        <w:bottom w:val="none" w:sz="0" w:space="0" w:color="auto"/>
        <w:right w:val="none" w:sz="0" w:space="0" w:color="auto"/>
      </w:divBdr>
    </w:div>
    <w:div w:id="478810728">
      <w:bodyDiv w:val="1"/>
      <w:marLeft w:val="0"/>
      <w:marRight w:val="0"/>
      <w:marTop w:val="0"/>
      <w:marBottom w:val="0"/>
      <w:divBdr>
        <w:top w:val="none" w:sz="0" w:space="0" w:color="auto"/>
        <w:left w:val="none" w:sz="0" w:space="0" w:color="auto"/>
        <w:bottom w:val="none" w:sz="0" w:space="0" w:color="auto"/>
        <w:right w:val="none" w:sz="0" w:space="0" w:color="auto"/>
      </w:divBdr>
    </w:div>
    <w:div w:id="478957354">
      <w:bodyDiv w:val="1"/>
      <w:marLeft w:val="0"/>
      <w:marRight w:val="0"/>
      <w:marTop w:val="0"/>
      <w:marBottom w:val="0"/>
      <w:divBdr>
        <w:top w:val="none" w:sz="0" w:space="0" w:color="auto"/>
        <w:left w:val="none" w:sz="0" w:space="0" w:color="auto"/>
        <w:bottom w:val="none" w:sz="0" w:space="0" w:color="auto"/>
        <w:right w:val="none" w:sz="0" w:space="0" w:color="auto"/>
      </w:divBdr>
    </w:div>
    <w:div w:id="479031571">
      <w:bodyDiv w:val="1"/>
      <w:marLeft w:val="0"/>
      <w:marRight w:val="0"/>
      <w:marTop w:val="0"/>
      <w:marBottom w:val="0"/>
      <w:divBdr>
        <w:top w:val="none" w:sz="0" w:space="0" w:color="auto"/>
        <w:left w:val="none" w:sz="0" w:space="0" w:color="auto"/>
        <w:bottom w:val="none" w:sz="0" w:space="0" w:color="auto"/>
        <w:right w:val="none" w:sz="0" w:space="0" w:color="auto"/>
      </w:divBdr>
    </w:div>
    <w:div w:id="479201019">
      <w:bodyDiv w:val="1"/>
      <w:marLeft w:val="0"/>
      <w:marRight w:val="0"/>
      <w:marTop w:val="0"/>
      <w:marBottom w:val="0"/>
      <w:divBdr>
        <w:top w:val="none" w:sz="0" w:space="0" w:color="auto"/>
        <w:left w:val="none" w:sz="0" w:space="0" w:color="auto"/>
        <w:bottom w:val="none" w:sz="0" w:space="0" w:color="auto"/>
        <w:right w:val="none" w:sz="0" w:space="0" w:color="auto"/>
      </w:divBdr>
    </w:div>
    <w:div w:id="479614347">
      <w:bodyDiv w:val="1"/>
      <w:marLeft w:val="0"/>
      <w:marRight w:val="0"/>
      <w:marTop w:val="0"/>
      <w:marBottom w:val="0"/>
      <w:divBdr>
        <w:top w:val="none" w:sz="0" w:space="0" w:color="auto"/>
        <w:left w:val="none" w:sz="0" w:space="0" w:color="auto"/>
        <w:bottom w:val="none" w:sz="0" w:space="0" w:color="auto"/>
        <w:right w:val="none" w:sz="0" w:space="0" w:color="auto"/>
      </w:divBdr>
    </w:div>
    <w:div w:id="479688225">
      <w:bodyDiv w:val="1"/>
      <w:marLeft w:val="0"/>
      <w:marRight w:val="0"/>
      <w:marTop w:val="0"/>
      <w:marBottom w:val="0"/>
      <w:divBdr>
        <w:top w:val="none" w:sz="0" w:space="0" w:color="auto"/>
        <w:left w:val="none" w:sz="0" w:space="0" w:color="auto"/>
        <w:bottom w:val="none" w:sz="0" w:space="0" w:color="auto"/>
        <w:right w:val="none" w:sz="0" w:space="0" w:color="auto"/>
      </w:divBdr>
    </w:div>
    <w:div w:id="479883805">
      <w:bodyDiv w:val="1"/>
      <w:marLeft w:val="0"/>
      <w:marRight w:val="0"/>
      <w:marTop w:val="0"/>
      <w:marBottom w:val="0"/>
      <w:divBdr>
        <w:top w:val="none" w:sz="0" w:space="0" w:color="auto"/>
        <w:left w:val="none" w:sz="0" w:space="0" w:color="auto"/>
        <w:bottom w:val="none" w:sz="0" w:space="0" w:color="auto"/>
        <w:right w:val="none" w:sz="0" w:space="0" w:color="auto"/>
      </w:divBdr>
    </w:div>
    <w:div w:id="479923053">
      <w:bodyDiv w:val="1"/>
      <w:marLeft w:val="0"/>
      <w:marRight w:val="0"/>
      <w:marTop w:val="0"/>
      <w:marBottom w:val="0"/>
      <w:divBdr>
        <w:top w:val="none" w:sz="0" w:space="0" w:color="auto"/>
        <w:left w:val="none" w:sz="0" w:space="0" w:color="auto"/>
        <w:bottom w:val="none" w:sz="0" w:space="0" w:color="auto"/>
        <w:right w:val="none" w:sz="0" w:space="0" w:color="auto"/>
      </w:divBdr>
    </w:div>
    <w:div w:id="479931961">
      <w:bodyDiv w:val="1"/>
      <w:marLeft w:val="0"/>
      <w:marRight w:val="0"/>
      <w:marTop w:val="0"/>
      <w:marBottom w:val="0"/>
      <w:divBdr>
        <w:top w:val="none" w:sz="0" w:space="0" w:color="auto"/>
        <w:left w:val="none" w:sz="0" w:space="0" w:color="auto"/>
        <w:bottom w:val="none" w:sz="0" w:space="0" w:color="auto"/>
        <w:right w:val="none" w:sz="0" w:space="0" w:color="auto"/>
      </w:divBdr>
    </w:div>
    <w:div w:id="480000211">
      <w:bodyDiv w:val="1"/>
      <w:marLeft w:val="0"/>
      <w:marRight w:val="0"/>
      <w:marTop w:val="0"/>
      <w:marBottom w:val="0"/>
      <w:divBdr>
        <w:top w:val="none" w:sz="0" w:space="0" w:color="auto"/>
        <w:left w:val="none" w:sz="0" w:space="0" w:color="auto"/>
        <w:bottom w:val="none" w:sz="0" w:space="0" w:color="auto"/>
        <w:right w:val="none" w:sz="0" w:space="0" w:color="auto"/>
      </w:divBdr>
    </w:div>
    <w:div w:id="480000412">
      <w:bodyDiv w:val="1"/>
      <w:marLeft w:val="0"/>
      <w:marRight w:val="0"/>
      <w:marTop w:val="0"/>
      <w:marBottom w:val="0"/>
      <w:divBdr>
        <w:top w:val="none" w:sz="0" w:space="0" w:color="auto"/>
        <w:left w:val="none" w:sz="0" w:space="0" w:color="auto"/>
        <w:bottom w:val="none" w:sz="0" w:space="0" w:color="auto"/>
        <w:right w:val="none" w:sz="0" w:space="0" w:color="auto"/>
      </w:divBdr>
    </w:div>
    <w:div w:id="480006783">
      <w:bodyDiv w:val="1"/>
      <w:marLeft w:val="0"/>
      <w:marRight w:val="0"/>
      <w:marTop w:val="0"/>
      <w:marBottom w:val="0"/>
      <w:divBdr>
        <w:top w:val="none" w:sz="0" w:space="0" w:color="auto"/>
        <w:left w:val="none" w:sz="0" w:space="0" w:color="auto"/>
        <w:bottom w:val="none" w:sz="0" w:space="0" w:color="auto"/>
        <w:right w:val="none" w:sz="0" w:space="0" w:color="auto"/>
      </w:divBdr>
    </w:div>
    <w:div w:id="480077836">
      <w:bodyDiv w:val="1"/>
      <w:marLeft w:val="0"/>
      <w:marRight w:val="0"/>
      <w:marTop w:val="0"/>
      <w:marBottom w:val="0"/>
      <w:divBdr>
        <w:top w:val="none" w:sz="0" w:space="0" w:color="auto"/>
        <w:left w:val="none" w:sz="0" w:space="0" w:color="auto"/>
        <w:bottom w:val="none" w:sz="0" w:space="0" w:color="auto"/>
        <w:right w:val="none" w:sz="0" w:space="0" w:color="auto"/>
      </w:divBdr>
    </w:div>
    <w:div w:id="480124429">
      <w:bodyDiv w:val="1"/>
      <w:marLeft w:val="0"/>
      <w:marRight w:val="0"/>
      <w:marTop w:val="0"/>
      <w:marBottom w:val="0"/>
      <w:divBdr>
        <w:top w:val="none" w:sz="0" w:space="0" w:color="auto"/>
        <w:left w:val="none" w:sz="0" w:space="0" w:color="auto"/>
        <w:bottom w:val="none" w:sz="0" w:space="0" w:color="auto"/>
        <w:right w:val="none" w:sz="0" w:space="0" w:color="auto"/>
      </w:divBdr>
    </w:div>
    <w:div w:id="480195580">
      <w:bodyDiv w:val="1"/>
      <w:marLeft w:val="0"/>
      <w:marRight w:val="0"/>
      <w:marTop w:val="0"/>
      <w:marBottom w:val="0"/>
      <w:divBdr>
        <w:top w:val="none" w:sz="0" w:space="0" w:color="auto"/>
        <w:left w:val="none" w:sz="0" w:space="0" w:color="auto"/>
        <w:bottom w:val="none" w:sz="0" w:space="0" w:color="auto"/>
        <w:right w:val="none" w:sz="0" w:space="0" w:color="auto"/>
      </w:divBdr>
    </w:div>
    <w:div w:id="480196616">
      <w:bodyDiv w:val="1"/>
      <w:marLeft w:val="0"/>
      <w:marRight w:val="0"/>
      <w:marTop w:val="0"/>
      <w:marBottom w:val="0"/>
      <w:divBdr>
        <w:top w:val="none" w:sz="0" w:space="0" w:color="auto"/>
        <w:left w:val="none" w:sz="0" w:space="0" w:color="auto"/>
        <w:bottom w:val="none" w:sz="0" w:space="0" w:color="auto"/>
        <w:right w:val="none" w:sz="0" w:space="0" w:color="auto"/>
      </w:divBdr>
    </w:div>
    <w:div w:id="480273770">
      <w:bodyDiv w:val="1"/>
      <w:marLeft w:val="0"/>
      <w:marRight w:val="0"/>
      <w:marTop w:val="0"/>
      <w:marBottom w:val="0"/>
      <w:divBdr>
        <w:top w:val="none" w:sz="0" w:space="0" w:color="auto"/>
        <w:left w:val="none" w:sz="0" w:space="0" w:color="auto"/>
        <w:bottom w:val="none" w:sz="0" w:space="0" w:color="auto"/>
        <w:right w:val="none" w:sz="0" w:space="0" w:color="auto"/>
      </w:divBdr>
    </w:div>
    <w:div w:id="480729816">
      <w:bodyDiv w:val="1"/>
      <w:marLeft w:val="0"/>
      <w:marRight w:val="0"/>
      <w:marTop w:val="0"/>
      <w:marBottom w:val="0"/>
      <w:divBdr>
        <w:top w:val="none" w:sz="0" w:space="0" w:color="auto"/>
        <w:left w:val="none" w:sz="0" w:space="0" w:color="auto"/>
        <w:bottom w:val="none" w:sz="0" w:space="0" w:color="auto"/>
        <w:right w:val="none" w:sz="0" w:space="0" w:color="auto"/>
      </w:divBdr>
    </w:div>
    <w:div w:id="480773316">
      <w:bodyDiv w:val="1"/>
      <w:marLeft w:val="0"/>
      <w:marRight w:val="0"/>
      <w:marTop w:val="0"/>
      <w:marBottom w:val="0"/>
      <w:divBdr>
        <w:top w:val="none" w:sz="0" w:space="0" w:color="auto"/>
        <w:left w:val="none" w:sz="0" w:space="0" w:color="auto"/>
        <w:bottom w:val="none" w:sz="0" w:space="0" w:color="auto"/>
        <w:right w:val="none" w:sz="0" w:space="0" w:color="auto"/>
      </w:divBdr>
    </w:div>
    <w:div w:id="480780178">
      <w:bodyDiv w:val="1"/>
      <w:marLeft w:val="0"/>
      <w:marRight w:val="0"/>
      <w:marTop w:val="0"/>
      <w:marBottom w:val="0"/>
      <w:divBdr>
        <w:top w:val="none" w:sz="0" w:space="0" w:color="auto"/>
        <w:left w:val="none" w:sz="0" w:space="0" w:color="auto"/>
        <w:bottom w:val="none" w:sz="0" w:space="0" w:color="auto"/>
        <w:right w:val="none" w:sz="0" w:space="0" w:color="auto"/>
      </w:divBdr>
    </w:div>
    <w:div w:id="480804375">
      <w:bodyDiv w:val="1"/>
      <w:marLeft w:val="0"/>
      <w:marRight w:val="0"/>
      <w:marTop w:val="0"/>
      <w:marBottom w:val="0"/>
      <w:divBdr>
        <w:top w:val="none" w:sz="0" w:space="0" w:color="auto"/>
        <w:left w:val="none" w:sz="0" w:space="0" w:color="auto"/>
        <w:bottom w:val="none" w:sz="0" w:space="0" w:color="auto"/>
        <w:right w:val="none" w:sz="0" w:space="0" w:color="auto"/>
      </w:divBdr>
    </w:div>
    <w:div w:id="480847303">
      <w:bodyDiv w:val="1"/>
      <w:marLeft w:val="0"/>
      <w:marRight w:val="0"/>
      <w:marTop w:val="0"/>
      <w:marBottom w:val="0"/>
      <w:divBdr>
        <w:top w:val="none" w:sz="0" w:space="0" w:color="auto"/>
        <w:left w:val="none" w:sz="0" w:space="0" w:color="auto"/>
        <w:bottom w:val="none" w:sz="0" w:space="0" w:color="auto"/>
        <w:right w:val="none" w:sz="0" w:space="0" w:color="auto"/>
      </w:divBdr>
    </w:div>
    <w:div w:id="480852028">
      <w:bodyDiv w:val="1"/>
      <w:marLeft w:val="0"/>
      <w:marRight w:val="0"/>
      <w:marTop w:val="0"/>
      <w:marBottom w:val="0"/>
      <w:divBdr>
        <w:top w:val="none" w:sz="0" w:space="0" w:color="auto"/>
        <w:left w:val="none" w:sz="0" w:space="0" w:color="auto"/>
        <w:bottom w:val="none" w:sz="0" w:space="0" w:color="auto"/>
        <w:right w:val="none" w:sz="0" w:space="0" w:color="auto"/>
      </w:divBdr>
    </w:div>
    <w:div w:id="480928780">
      <w:bodyDiv w:val="1"/>
      <w:marLeft w:val="0"/>
      <w:marRight w:val="0"/>
      <w:marTop w:val="0"/>
      <w:marBottom w:val="0"/>
      <w:divBdr>
        <w:top w:val="none" w:sz="0" w:space="0" w:color="auto"/>
        <w:left w:val="none" w:sz="0" w:space="0" w:color="auto"/>
        <w:bottom w:val="none" w:sz="0" w:space="0" w:color="auto"/>
        <w:right w:val="none" w:sz="0" w:space="0" w:color="auto"/>
      </w:divBdr>
    </w:div>
    <w:div w:id="481000706">
      <w:bodyDiv w:val="1"/>
      <w:marLeft w:val="0"/>
      <w:marRight w:val="0"/>
      <w:marTop w:val="0"/>
      <w:marBottom w:val="0"/>
      <w:divBdr>
        <w:top w:val="none" w:sz="0" w:space="0" w:color="auto"/>
        <w:left w:val="none" w:sz="0" w:space="0" w:color="auto"/>
        <w:bottom w:val="none" w:sz="0" w:space="0" w:color="auto"/>
        <w:right w:val="none" w:sz="0" w:space="0" w:color="auto"/>
      </w:divBdr>
    </w:div>
    <w:div w:id="481116810">
      <w:bodyDiv w:val="1"/>
      <w:marLeft w:val="0"/>
      <w:marRight w:val="0"/>
      <w:marTop w:val="0"/>
      <w:marBottom w:val="0"/>
      <w:divBdr>
        <w:top w:val="none" w:sz="0" w:space="0" w:color="auto"/>
        <w:left w:val="none" w:sz="0" w:space="0" w:color="auto"/>
        <w:bottom w:val="none" w:sz="0" w:space="0" w:color="auto"/>
        <w:right w:val="none" w:sz="0" w:space="0" w:color="auto"/>
      </w:divBdr>
    </w:div>
    <w:div w:id="481124550">
      <w:bodyDiv w:val="1"/>
      <w:marLeft w:val="0"/>
      <w:marRight w:val="0"/>
      <w:marTop w:val="0"/>
      <w:marBottom w:val="0"/>
      <w:divBdr>
        <w:top w:val="none" w:sz="0" w:space="0" w:color="auto"/>
        <w:left w:val="none" w:sz="0" w:space="0" w:color="auto"/>
        <w:bottom w:val="none" w:sz="0" w:space="0" w:color="auto"/>
        <w:right w:val="none" w:sz="0" w:space="0" w:color="auto"/>
      </w:divBdr>
    </w:div>
    <w:div w:id="481313648">
      <w:bodyDiv w:val="1"/>
      <w:marLeft w:val="0"/>
      <w:marRight w:val="0"/>
      <w:marTop w:val="0"/>
      <w:marBottom w:val="0"/>
      <w:divBdr>
        <w:top w:val="none" w:sz="0" w:space="0" w:color="auto"/>
        <w:left w:val="none" w:sz="0" w:space="0" w:color="auto"/>
        <w:bottom w:val="none" w:sz="0" w:space="0" w:color="auto"/>
        <w:right w:val="none" w:sz="0" w:space="0" w:color="auto"/>
      </w:divBdr>
    </w:div>
    <w:div w:id="481384494">
      <w:bodyDiv w:val="1"/>
      <w:marLeft w:val="0"/>
      <w:marRight w:val="0"/>
      <w:marTop w:val="0"/>
      <w:marBottom w:val="0"/>
      <w:divBdr>
        <w:top w:val="none" w:sz="0" w:space="0" w:color="auto"/>
        <w:left w:val="none" w:sz="0" w:space="0" w:color="auto"/>
        <w:bottom w:val="none" w:sz="0" w:space="0" w:color="auto"/>
        <w:right w:val="none" w:sz="0" w:space="0" w:color="auto"/>
      </w:divBdr>
    </w:div>
    <w:div w:id="481390867">
      <w:bodyDiv w:val="1"/>
      <w:marLeft w:val="0"/>
      <w:marRight w:val="0"/>
      <w:marTop w:val="0"/>
      <w:marBottom w:val="0"/>
      <w:divBdr>
        <w:top w:val="none" w:sz="0" w:space="0" w:color="auto"/>
        <w:left w:val="none" w:sz="0" w:space="0" w:color="auto"/>
        <w:bottom w:val="none" w:sz="0" w:space="0" w:color="auto"/>
        <w:right w:val="none" w:sz="0" w:space="0" w:color="auto"/>
      </w:divBdr>
    </w:div>
    <w:div w:id="481430099">
      <w:bodyDiv w:val="1"/>
      <w:marLeft w:val="0"/>
      <w:marRight w:val="0"/>
      <w:marTop w:val="0"/>
      <w:marBottom w:val="0"/>
      <w:divBdr>
        <w:top w:val="none" w:sz="0" w:space="0" w:color="auto"/>
        <w:left w:val="none" w:sz="0" w:space="0" w:color="auto"/>
        <w:bottom w:val="none" w:sz="0" w:space="0" w:color="auto"/>
        <w:right w:val="none" w:sz="0" w:space="0" w:color="auto"/>
      </w:divBdr>
    </w:div>
    <w:div w:id="481508601">
      <w:bodyDiv w:val="1"/>
      <w:marLeft w:val="0"/>
      <w:marRight w:val="0"/>
      <w:marTop w:val="0"/>
      <w:marBottom w:val="0"/>
      <w:divBdr>
        <w:top w:val="none" w:sz="0" w:space="0" w:color="auto"/>
        <w:left w:val="none" w:sz="0" w:space="0" w:color="auto"/>
        <w:bottom w:val="none" w:sz="0" w:space="0" w:color="auto"/>
        <w:right w:val="none" w:sz="0" w:space="0" w:color="auto"/>
      </w:divBdr>
    </w:div>
    <w:div w:id="481509288">
      <w:bodyDiv w:val="1"/>
      <w:marLeft w:val="0"/>
      <w:marRight w:val="0"/>
      <w:marTop w:val="0"/>
      <w:marBottom w:val="0"/>
      <w:divBdr>
        <w:top w:val="none" w:sz="0" w:space="0" w:color="auto"/>
        <w:left w:val="none" w:sz="0" w:space="0" w:color="auto"/>
        <w:bottom w:val="none" w:sz="0" w:space="0" w:color="auto"/>
        <w:right w:val="none" w:sz="0" w:space="0" w:color="auto"/>
      </w:divBdr>
    </w:div>
    <w:div w:id="481509618">
      <w:bodyDiv w:val="1"/>
      <w:marLeft w:val="0"/>
      <w:marRight w:val="0"/>
      <w:marTop w:val="0"/>
      <w:marBottom w:val="0"/>
      <w:divBdr>
        <w:top w:val="none" w:sz="0" w:space="0" w:color="auto"/>
        <w:left w:val="none" w:sz="0" w:space="0" w:color="auto"/>
        <w:bottom w:val="none" w:sz="0" w:space="0" w:color="auto"/>
        <w:right w:val="none" w:sz="0" w:space="0" w:color="auto"/>
      </w:divBdr>
    </w:div>
    <w:div w:id="481626092">
      <w:bodyDiv w:val="1"/>
      <w:marLeft w:val="0"/>
      <w:marRight w:val="0"/>
      <w:marTop w:val="0"/>
      <w:marBottom w:val="0"/>
      <w:divBdr>
        <w:top w:val="none" w:sz="0" w:space="0" w:color="auto"/>
        <w:left w:val="none" w:sz="0" w:space="0" w:color="auto"/>
        <w:bottom w:val="none" w:sz="0" w:space="0" w:color="auto"/>
        <w:right w:val="none" w:sz="0" w:space="0" w:color="auto"/>
      </w:divBdr>
    </w:div>
    <w:div w:id="481656290">
      <w:bodyDiv w:val="1"/>
      <w:marLeft w:val="0"/>
      <w:marRight w:val="0"/>
      <w:marTop w:val="0"/>
      <w:marBottom w:val="0"/>
      <w:divBdr>
        <w:top w:val="none" w:sz="0" w:space="0" w:color="auto"/>
        <w:left w:val="none" w:sz="0" w:space="0" w:color="auto"/>
        <w:bottom w:val="none" w:sz="0" w:space="0" w:color="auto"/>
        <w:right w:val="none" w:sz="0" w:space="0" w:color="auto"/>
      </w:divBdr>
    </w:div>
    <w:div w:id="481846842">
      <w:bodyDiv w:val="1"/>
      <w:marLeft w:val="0"/>
      <w:marRight w:val="0"/>
      <w:marTop w:val="0"/>
      <w:marBottom w:val="0"/>
      <w:divBdr>
        <w:top w:val="none" w:sz="0" w:space="0" w:color="auto"/>
        <w:left w:val="none" w:sz="0" w:space="0" w:color="auto"/>
        <w:bottom w:val="none" w:sz="0" w:space="0" w:color="auto"/>
        <w:right w:val="none" w:sz="0" w:space="0" w:color="auto"/>
      </w:divBdr>
    </w:div>
    <w:div w:id="481846902">
      <w:bodyDiv w:val="1"/>
      <w:marLeft w:val="0"/>
      <w:marRight w:val="0"/>
      <w:marTop w:val="0"/>
      <w:marBottom w:val="0"/>
      <w:divBdr>
        <w:top w:val="none" w:sz="0" w:space="0" w:color="auto"/>
        <w:left w:val="none" w:sz="0" w:space="0" w:color="auto"/>
        <w:bottom w:val="none" w:sz="0" w:space="0" w:color="auto"/>
        <w:right w:val="none" w:sz="0" w:space="0" w:color="auto"/>
      </w:divBdr>
    </w:div>
    <w:div w:id="482044509">
      <w:bodyDiv w:val="1"/>
      <w:marLeft w:val="0"/>
      <w:marRight w:val="0"/>
      <w:marTop w:val="0"/>
      <w:marBottom w:val="0"/>
      <w:divBdr>
        <w:top w:val="none" w:sz="0" w:space="0" w:color="auto"/>
        <w:left w:val="none" w:sz="0" w:space="0" w:color="auto"/>
        <w:bottom w:val="none" w:sz="0" w:space="0" w:color="auto"/>
        <w:right w:val="none" w:sz="0" w:space="0" w:color="auto"/>
      </w:divBdr>
    </w:div>
    <w:div w:id="482309057">
      <w:bodyDiv w:val="1"/>
      <w:marLeft w:val="0"/>
      <w:marRight w:val="0"/>
      <w:marTop w:val="0"/>
      <w:marBottom w:val="0"/>
      <w:divBdr>
        <w:top w:val="none" w:sz="0" w:space="0" w:color="auto"/>
        <w:left w:val="none" w:sz="0" w:space="0" w:color="auto"/>
        <w:bottom w:val="none" w:sz="0" w:space="0" w:color="auto"/>
        <w:right w:val="none" w:sz="0" w:space="0" w:color="auto"/>
      </w:divBdr>
    </w:div>
    <w:div w:id="482309254">
      <w:bodyDiv w:val="1"/>
      <w:marLeft w:val="0"/>
      <w:marRight w:val="0"/>
      <w:marTop w:val="0"/>
      <w:marBottom w:val="0"/>
      <w:divBdr>
        <w:top w:val="none" w:sz="0" w:space="0" w:color="auto"/>
        <w:left w:val="none" w:sz="0" w:space="0" w:color="auto"/>
        <w:bottom w:val="none" w:sz="0" w:space="0" w:color="auto"/>
        <w:right w:val="none" w:sz="0" w:space="0" w:color="auto"/>
      </w:divBdr>
    </w:div>
    <w:div w:id="482352605">
      <w:bodyDiv w:val="1"/>
      <w:marLeft w:val="0"/>
      <w:marRight w:val="0"/>
      <w:marTop w:val="0"/>
      <w:marBottom w:val="0"/>
      <w:divBdr>
        <w:top w:val="none" w:sz="0" w:space="0" w:color="auto"/>
        <w:left w:val="none" w:sz="0" w:space="0" w:color="auto"/>
        <w:bottom w:val="none" w:sz="0" w:space="0" w:color="auto"/>
        <w:right w:val="none" w:sz="0" w:space="0" w:color="auto"/>
      </w:divBdr>
    </w:div>
    <w:div w:id="482353221">
      <w:bodyDiv w:val="1"/>
      <w:marLeft w:val="0"/>
      <w:marRight w:val="0"/>
      <w:marTop w:val="0"/>
      <w:marBottom w:val="0"/>
      <w:divBdr>
        <w:top w:val="none" w:sz="0" w:space="0" w:color="auto"/>
        <w:left w:val="none" w:sz="0" w:space="0" w:color="auto"/>
        <w:bottom w:val="none" w:sz="0" w:space="0" w:color="auto"/>
        <w:right w:val="none" w:sz="0" w:space="0" w:color="auto"/>
      </w:divBdr>
    </w:div>
    <w:div w:id="482426852">
      <w:bodyDiv w:val="1"/>
      <w:marLeft w:val="0"/>
      <w:marRight w:val="0"/>
      <w:marTop w:val="0"/>
      <w:marBottom w:val="0"/>
      <w:divBdr>
        <w:top w:val="none" w:sz="0" w:space="0" w:color="auto"/>
        <w:left w:val="none" w:sz="0" w:space="0" w:color="auto"/>
        <w:bottom w:val="none" w:sz="0" w:space="0" w:color="auto"/>
        <w:right w:val="none" w:sz="0" w:space="0" w:color="auto"/>
      </w:divBdr>
    </w:div>
    <w:div w:id="482431934">
      <w:bodyDiv w:val="1"/>
      <w:marLeft w:val="0"/>
      <w:marRight w:val="0"/>
      <w:marTop w:val="0"/>
      <w:marBottom w:val="0"/>
      <w:divBdr>
        <w:top w:val="none" w:sz="0" w:space="0" w:color="auto"/>
        <w:left w:val="none" w:sz="0" w:space="0" w:color="auto"/>
        <w:bottom w:val="none" w:sz="0" w:space="0" w:color="auto"/>
        <w:right w:val="none" w:sz="0" w:space="0" w:color="auto"/>
      </w:divBdr>
    </w:div>
    <w:div w:id="482628146">
      <w:bodyDiv w:val="1"/>
      <w:marLeft w:val="0"/>
      <w:marRight w:val="0"/>
      <w:marTop w:val="0"/>
      <w:marBottom w:val="0"/>
      <w:divBdr>
        <w:top w:val="none" w:sz="0" w:space="0" w:color="auto"/>
        <w:left w:val="none" w:sz="0" w:space="0" w:color="auto"/>
        <w:bottom w:val="none" w:sz="0" w:space="0" w:color="auto"/>
        <w:right w:val="none" w:sz="0" w:space="0" w:color="auto"/>
      </w:divBdr>
    </w:div>
    <w:div w:id="482739699">
      <w:bodyDiv w:val="1"/>
      <w:marLeft w:val="0"/>
      <w:marRight w:val="0"/>
      <w:marTop w:val="0"/>
      <w:marBottom w:val="0"/>
      <w:divBdr>
        <w:top w:val="none" w:sz="0" w:space="0" w:color="auto"/>
        <w:left w:val="none" w:sz="0" w:space="0" w:color="auto"/>
        <w:bottom w:val="none" w:sz="0" w:space="0" w:color="auto"/>
        <w:right w:val="none" w:sz="0" w:space="0" w:color="auto"/>
      </w:divBdr>
    </w:div>
    <w:div w:id="482817005">
      <w:bodyDiv w:val="1"/>
      <w:marLeft w:val="0"/>
      <w:marRight w:val="0"/>
      <w:marTop w:val="0"/>
      <w:marBottom w:val="0"/>
      <w:divBdr>
        <w:top w:val="none" w:sz="0" w:space="0" w:color="auto"/>
        <w:left w:val="none" w:sz="0" w:space="0" w:color="auto"/>
        <w:bottom w:val="none" w:sz="0" w:space="0" w:color="auto"/>
        <w:right w:val="none" w:sz="0" w:space="0" w:color="auto"/>
      </w:divBdr>
    </w:div>
    <w:div w:id="482896369">
      <w:bodyDiv w:val="1"/>
      <w:marLeft w:val="0"/>
      <w:marRight w:val="0"/>
      <w:marTop w:val="0"/>
      <w:marBottom w:val="0"/>
      <w:divBdr>
        <w:top w:val="none" w:sz="0" w:space="0" w:color="auto"/>
        <w:left w:val="none" w:sz="0" w:space="0" w:color="auto"/>
        <w:bottom w:val="none" w:sz="0" w:space="0" w:color="auto"/>
        <w:right w:val="none" w:sz="0" w:space="0" w:color="auto"/>
      </w:divBdr>
    </w:div>
    <w:div w:id="482935482">
      <w:bodyDiv w:val="1"/>
      <w:marLeft w:val="0"/>
      <w:marRight w:val="0"/>
      <w:marTop w:val="0"/>
      <w:marBottom w:val="0"/>
      <w:divBdr>
        <w:top w:val="none" w:sz="0" w:space="0" w:color="auto"/>
        <w:left w:val="none" w:sz="0" w:space="0" w:color="auto"/>
        <w:bottom w:val="none" w:sz="0" w:space="0" w:color="auto"/>
        <w:right w:val="none" w:sz="0" w:space="0" w:color="auto"/>
      </w:divBdr>
    </w:div>
    <w:div w:id="482963496">
      <w:bodyDiv w:val="1"/>
      <w:marLeft w:val="0"/>
      <w:marRight w:val="0"/>
      <w:marTop w:val="0"/>
      <w:marBottom w:val="0"/>
      <w:divBdr>
        <w:top w:val="none" w:sz="0" w:space="0" w:color="auto"/>
        <w:left w:val="none" w:sz="0" w:space="0" w:color="auto"/>
        <w:bottom w:val="none" w:sz="0" w:space="0" w:color="auto"/>
        <w:right w:val="none" w:sz="0" w:space="0" w:color="auto"/>
      </w:divBdr>
    </w:div>
    <w:div w:id="483008490">
      <w:bodyDiv w:val="1"/>
      <w:marLeft w:val="0"/>
      <w:marRight w:val="0"/>
      <w:marTop w:val="0"/>
      <w:marBottom w:val="0"/>
      <w:divBdr>
        <w:top w:val="none" w:sz="0" w:space="0" w:color="auto"/>
        <w:left w:val="none" w:sz="0" w:space="0" w:color="auto"/>
        <w:bottom w:val="none" w:sz="0" w:space="0" w:color="auto"/>
        <w:right w:val="none" w:sz="0" w:space="0" w:color="auto"/>
      </w:divBdr>
    </w:div>
    <w:div w:id="483009893">
      <w:bodyDiv w:val="1"/>
      <w:marLeft w:val="0"/>
      <w:marRight w:val="0"/>
      <w:marTop w:val="0"/>
      <w:marBottom w:val="0"/>
      <w:divBdr>
        <w:top w:val="none" w:sz="0" w:space="0" w:color="auto"/>
        <w:left w:val="none" w:sz="0" w:space="0" w:color="auto"/>
        <w:bottom w:val="none" w:sz="0" w:space="0" w:color="auto"/>
        <w:right w:val="none" w:sz="0" w:space="0" w:color="auto"/>
      </w:divBdr>
    </w:div>
    <w:div w:id="483081336">
      <w:bodyDiv w:val="1"/>
      <w:marLeft w:val="0"/>
      <w:marRight w:val="0"/>
      <w:marTop w:val="0"/>
      <w:marBottom w:val="0"/>
      <w:divBdr>
        <w:top w:val="none" w:sz="0" w:space="0" w:color="auto"/>
        <w:left w:val="none" w:sz="0" w:space="0" w:color="auto"/>
        <w:bottom w:val="none" w:sz="0" w:space="0" w:color="auto"/>
        <w:right w:val="none" w:sz="0" w:space="0" w:color="auto"/>
      </w:divBdr>
    </w:div>
    <w:div w:id="483161937">
      <w:bodyDiv w:val="1"/>
      <w:marLeft w:val="0"/>
      <w:marRight w:val="0"/>
      <w:marTop w:val="0"/>
      <w:marBottom w:val="0"/>
      <w:divBdr>
        <w:top w:val="none" w:sz="0" w:space="0" w:color="auto"/>
        <w:left w:val="none" w:sz="0" w:space="0" w:color="auto"/>
        <w:bottom w:val="none" w:sz="0" w:space="0" w:color="auto"/>
        <w:right w:val="none" w:sz="0" w:space="0" w:color="auto"/>
      </w:divBdr>
    </w:div>
    <w:div w:id="483357227">
      <w:bodyDiv w:val="1"/>
      <w:marLeft w:val="0"/>
      <w:marRight w:val="0"/>
      <w:marTop w:val="0"/>
      <w:marBottom w:val="0"/>
      <w:divBdr>
        <w:top w:val="none" w:sz="0" w:space="0" w:color="auto"/>
        <w:left w:val="none" w:sz="0" w:space="0" w:color="auto"/>
        <w:bottom w:val="none" w:sz="0" w:space="0" w:color="auto"/>
        <w:right w:val="none" w:sz="0" w:space="0" w:color="auto"/>
      </w:divBdr>
    </w:div>
    <w:div w:id="483476062">
      <w:bodyDiv w:val="1"/>
      <w:marLeft w:val="0"/>
      <w:marRight w:val="0"/>
      <w:marTop w:val="0"/>
      <w:marBottom w:val="0"/>
      <w:divBdr>
        <w:top w:val="none" w:sz="0" w:space="0" w:color="auto"/>
        <w:left w:val="none" w:sz="0" w:space="0" w:color="auto"/>
        <w:bottom w:val="none" w:sz="0" w:space="0" w:color="auto"/>
        <w:right w:val="none" w:sz="0" w:space="0" w:color="auto"/>
      </w:divBdr>
    </w:div>
    <w:div w:id="483543745">
      <w:bodyDiv w:val="1"/>
      <w:marLeft w:val="0"/>
      <w:marRight w:val="0"/>
      <w:marTop w:val="0"/>
      <w:marBottom w:val="0"/>
      <w:divBdr>
        <w:top w:val="none" w:sz="0" w:space="0" w:color="auto"/>
        <w:left w:val="none" w:sz="0" w:space="0" w:color="auto"/>
        <w:bottom w:val="none" w:sz="0" w:space="0" w:color="auto"/>
        <w:right w:val="none" w:sz="0" w:space="0" w:color="auto"/>
      </w:divBdr>
    </w:div>
    <w:div w:id="483591335">
      <w:bodyDiv w:val="1"/>
      <w:marLeft w:val="0"/>
      <w:marRight w:val="0"/>
      <w:marTop w:val="0"/>
      <w:marBottom w:val="0"/>
      <w:divBdr>
        <w:top w:val="none" w:sz="0" w:space="0" w:color="auto"/>
        <w:left w:val="none" w:sz="0" w:space="0" w:color="auto"/>
        <w:bottom w:val="none" w:sz="0" w:space="0" w:color="auto"/>
        <w:right w:val="none" w:sz="0" w:space="0" w:color="auto"/>
      </w:divBdr>
    </w:div>
    <w:div w:id="483594320">
      <w:bodyDiv w:val="1"/>
      <w:marLeft w:val="0"/>
      <w:marRight w:val="0"/>
      <w:marTop w:val="0"/>
      <w:marBottom w:val="0"/>
      <w:divBdr>
        <w:top w:val="none" w:sz="0" w:space="0" w:color="auto"/>
        <w:left w:val="none" w:sz="0" w:space="0" w:color="auto"/>
        <w:bottom w:val="none" w:sz="0" w:space="0" w:color="auto"/>
        <w:right w:val="none" w:sz="0" w:space="0" w:color="auto"/>
      </w:divBdr>
    </w:div>
    <w:div w:id="483620911">
      <w:bodyDiv w:val="1"/>
      <w:marLeft w:val="0"/>
      <w:marRight w:val="0"/>
      <w:marTop w:val="0"/>
      <w:marBottom w:val="0"/>
      <w:divBdr>
        <w:top w:val="none" w:sz="0" w:space="0" w:color="auto"/>
        <w:left w:val="none" w:sz="0" w:space="0" w:color="auto"/>
        <w:bottom w:val="none" w:sz="0" w:space="0" w:color="auto"/>
        <w:right w:val="none" w:sz="0" w:space="0" w:color="auto"/>
      </w:divBdr>
    </w:div>
    <w:div w:id="483622611">
      <w:bodyDiv w:val="1"/>
      <w:marLeft w:val="0"/>
      <w:marRight w:val="0"/>
      <w:marTop w:val="0"/>
      <w:marBottom w:val="0"/>
      <w:divBdr>
        <w:top w:val="none" w:sz="0" w:space="0" w:color="auto"/>
        <w:left w:val="none" w:sz="0" w:space="0" w:color="auto"/>
        <w:bottom w:val="none" w:sz="0" w:space="0" w:color="auto"/>
        <w:right w:val="none" w:sz="0" w:space="0" w:color="auto"/>
      </w:divBdr>
    </w:div>
    <w:div w:id="483667981">
      <w:bodyDiv w:val="1"/>
      <w:marLeft w:val="0"/>
      <w:marRight w:val="0"/>
      <w:marTop w:val="0"/>
      <w:marBottom w:val="0"/>
      <w:divBdr>
        <w:top w:val="none" w:sz="0" w:space="0" w:color="auto"/>
        <w:left w:val="none" w:sz="0" w:space="0" w:color="auto"/>
        <w:bottom w:val="none" w:sz="0" w:space="0" w:color="auto"/>
        <w:right w:val="none" w:sz="0" w:space="0" w:color="auto"/>
      </w:divBdr>
    </w:div>
    <w:div w:id="483818165">
      <w:bodyDiv w:val="1"/>
      <w:marLeft w:val="0"/>
      <w:marRight w:val="0"/>
      <w:marTop w:val="0"/>
      <w:marBottom w:val="0"/>
      <w:divBdr>
        <w:top w:val="none" w:sz="0" w:space="0" w:color="auto"/>
        <w:left w:val="none" w:sz="0" w:space="0" w:color="auto"/>
        <w:bottom w:val="none" w:sz="0" w:space="0" w:color="auto"/>
        <w:right w:val="none" w:sz="0" w:space="0" w:color="auto"/>
      </w:divBdr>
    </w:div>
    <w:div w:id="483819485">
      <w:bodyDiv w:val="1"/>
      <w:marLeft w:val="0"/>
      <w:marRight w:val="0"/>
      <w:marTop w:val="0"/>
      <w:marBottom w:val="0"/>
      <w:divBdr>
        <w:top w:val="none" w:sz="0" w:space="0" w:color="auto"/>
        <w:left w:val="none" w:sz="0" w:space="0" w:color="auto"/>
        <w:bottom w:val="none" w:sz="0" w:space="0" w:color="auto"/>
        <w:right w:val="none" w:sz="0" w:space="0" w:color="auto"/>
      </w:divBdr>
    </w:div>
    <w:div w:id="483855599">
      <w:bodyDiv w:val="1"/>
      <w:marLeft w:val="0"/>
      <w:marRight w:val="0"/>
      <w:marTop w:val="0"/>
      <w:marBottom w:val="0"/>
      <w:divBdr>
        <w:top w:val="none" w:sz="0" w:space="0" w:color="auto"/>
        <w:left w:val="none" w:sz="0" w:space="0" w:color="auto"/>
        <w:bottom w:val="none" w:sz="0" w:space="0" w:color="auto"/>
        <w:right w:val="none" w:sz="0" w:space="0" w:color="auto"/>
      </w:divBdr>
    </w:div>
    <w:div w:id="483856738">
      <w:bodyDiv w:val="1"/>
      <w:marLeft w:val="0"/>
      <w:marRight w:val="0"/>
      <w:marTop w:val="0"/>
      <w:marBottom w:val="0"/>
      <w:divBdr>
        <w:top w:val="none" w:sz="0" w:space="0" w:color="auto"/>
        <w:left w:val="none" w:sz="0" w:space="0" w:color="auto"/>
        <w:bottom w:val="none" w:sz="0" w:space="0" w:color="auto"/>
        <w:right w:val="none" w:sz="0" w:space="0" w:color="auto"/>
      </w:divBdr>
    </w:div>
    <w:div w:id="483859784">
      <w:bodyDiv w:val="1"/>
      <w:marLeft w:val="0"/>
      <w:marRight w:val="0"/>
      <w:marTop w:val="0"/>
      <w:marBottom w:val="0"/>
      <w:divBdr>
        <w:top w:val="none" w:sz="0" w:space="0" w:color="auto"/>
        <w:left w:val="none" w:sz="0" w:space="0" w:color="auto"/>
        <w:bottom w:val="none" w:sz="0" w:space="0" w:color="auto"/>
        <w:right w:val="none" w:sz="0" w:space="0" w:color="auto"/>
      </w:divBdr>
    </w:div>
    <w:div w:id="483860227">
      <w:bodyDiv w:val="1"/>
      <w:marLeft w:val="0"/>
      <w:marRight w:val="0"/>
      <w:marTop w:val="0"/>
      <w:marBottom w:val="0"/>
      <w:divBdr>
        <w:top w:val="none" w:sz="0" w:space="0" w:color="auto"/>
        <w:left w:val="none" w:sz="0" w:space="0" w:color="auto"/>
        <w:bottom w:val="none" w:sz="0" w:space="0" w:color="auto"/>
        <w:right w:val="none" w:sz="0" w:space="0" w:color="auto"/>
      </w:divBdr>
    </w:div>
    <w:div w:id="483930374">
      <w:bodyDiv w:val="1"/>
      <w:marLeft w:val="0"/>
      <w:marRight w:val="0"/>
      <w:marTop w:val="0"/>
      <w:marBottom w:val="0"/>
      <w:divBdr>
        <w:top w:val="none" w:sz="0" w:space="0" w:color="auto"/>
        <w:left w:val="none" w:sz="0" w:space="0" w:color="auto"/>
        <w:bottom w:val="none" w:sz="0" w:space="0" w:color="auto"/>
        <w:right w:val="none" w:sz="0" w:space="0" w:color="auto"/>
      </w:divBdr>
    </w:div>
    <w:div w:id="483937601">
      <w:bodyDiv w:val="1"/>
      <w:marLeft w:val="0"/>
      <w:marRight w:val="0"/>
      <w:marTop w:val="0"/>
      <w:marBottom w:val="0"/>
      <w:divBdr>
        <w:top w:val="none" w:sz="0" w:space="0" w:color="auto"/>
        <w:left w:val="none" w:sz="0" w:space="0" w:color="auto"/>
        <w:bottom w:val="none" w:sz="0" w:space="0" w:color="auto"/>
        <w:right w:val="none" w:sz="0" w:space="0" w:color="auto"/>
      </w:divBdr>
    </w:div>
    <w:div w:id="484010427">
      <w:bodyDiv w:val="1"/>
      <w:marLeft w:val="0"/>
      <w:marRight w:val="0"/>
      <w:marTop w:val="0"/>
      <w:marBottom w:val="0"/>
      <w:divBdr>
        <w:top w:val="none" w:sz="0" w:space="0" w:color="auto"/>
        <w:left w:val="none" w:sz="0" w:space="0" w:color="auto"/>
        <w:bottom w:val="none" w:sz="0" w:space="0" w:color="auto"/>
        <w:right w:val="none" w:sz="0" w:space="0" w:color="auto"/>
      </w:divBdr>
    </w:div>
    <w:div w:id="484053923">
      <w:bodyDiv w:val="1"/>
      <w:marLeft w:val="0"/>
      <w:marRight w:val="0"/>
      <w:marTop w:val="0"/>
      <w:marBottom w:val="0"/>
      <w:divBdr>
        <w:top w:val="none" w:sz="0" w:space="0" w:color="auto"/>
        <w:left w:val="none" w:sz="0" w:space="0" w:color="auto"/>
        <w:bottom w:val="none" w:sz="0" w:space="0" w:color="auto"/>
        <w:right w:val="none" w:sz="0" w:space="0" w:color="auto"/>
      </w:divBdr>
    </w:div>
    <w:div w:id="484056683">
      <w:bodyDiv w:val="1"/>
      <w:marLeft w:val="0"/>
      <w:marRight w:val="0"/>
      <w:marTop w:val="0"/>
      <w:marBottom w:val="0"/>
      <w:divBdr>
        <w:top w:val="none" w:sz="0" w:space="0" w:color="auto"/>
        <w:left w:val="none" w:sz="0" w:space="0" w:color="auto"/>
        <w:bottom w:val="none" w:sz="0" w:space="0" w:color="auto"/>
        <w:right w:val="none" w:sz="0" w:space="0" w:color="auto"/>
      </w:divBdr>
    </w:div>
    <w:div w:id="484080724">
      <w:bodyDiv w:val="1"/>
      <w:marLeft w:val="0"/>
      <w:marRight w:val="0"/>
      <w:marTop w:val="0"/>
      <w:marBottom w:val="0"/>
      <w:divBdr>
        <w:top w:val="none" w:sz="0" w:space="0" w:color="auto"/>
        <w:left w:val="none" w:sz="0" w:space="0" w:color="auto"/>
        <w:bottom w:val="none" w:sz="0" w:space="0" w:color="auto"/>
        <w:right w:val="none" w:sz="0" w:space="0" w:color="auto"/>
      </w:divBdr>
    </w:div>
    <w:div w:id="484130602">
      <w:bodyDiv w:val="1"/>
      <w:marLeft w:val="0"/>
      <w:marRight w:val="0"/>
      <w:marTop w:val="0"/>
      <w:marBottom w:val="0"/>
      <w:divBdr>
        <w:top w:val="none" w:sz="0" w:space="0" w:color="auto"/>
        <w:left w:val="none" w:sz="0" w:space="0" w:color="auto"/>
        <w:bottom w:val="none" w:sz="0" w:space="0" w:color="auto"/>
        <w:right w:val="none" w:sz="0" w:space="0" w:color="auto"/>
      </w:divBdr>
    </w:div>
    <w:div w:id="484202899">
      <w:bodyDiv w:val="1"/>
      <w:marLeft w:val="0"/>
      <w:marRight w:val="0"/>
      <w:marTop w:val="0"/>
      <w:marBottom w:val="0"/>
      <w:divBdr>
        <w:top w:val="none" w:sz="0" w:space="0" w:color="auto"/>
        <w:left w:val="none" w:sz="0" w:space="0" w:color="auto"/>
        <w:bottom w:val="none" w:sz="0" w:space="0" w:color="auto"/>
        <w:right w:val="none" w:sz="0" w:space="0" w:color="auto"/>
      </w:divBdr>
    </w:div>
    <w:div w:id="484203456">
      <w:bodyDiv w:val="1"/>
      <w:marLeft w:val="0"/>
      <w:marRight w:val="0"/>
      <w:marTop w:val="0"/>
      <w:marBottom w:val="0"/>
      <w:divBdr>
        <w:top w:val="none" w:sz="0" w:space="0" w:color="auto"/>
        <w:left w:val="none" w:sz="0" w:space="0" w:color="auto"/>
        <w:bottom w:val="none" w:sz="0" w:space="0" w:color="auto"/>
        <w:right w:val="none" w:sz="0" w:space="0" w:color="auto"/>
      </w:divBdr>
    </w:div>
    <w:div w:id="484203660">
      <w:bodyDiv w:val="1"/>
      <w:marLeft w:val="0"/>
      <w:marRight w:val="0"/>
      <w:marTop w:val="0"/>
      <w:marBottom w:val="0"/>
      <w:divBdr>
        <w:top w:val="none" w:sz="0" w:space="0" w:color="auto"/>
        <w:left w:val="none" w:sz="0" w:space="0" w:color="auto"/>
        <w:bottom w:val="none" w:sz="0" w:space="0" w:color="auto"/>
        <w:right w:val="none" w:sz="0" w:space="0" w:color="auto"/>
      </w:divBdr>
    </w:div>
    <w:div w:id="484204285">
      <w:bodyDiv w:val="1"/>
      <w:marLeft w:val="0"/>
      <w:marRight w:val="0"/>
      <w:marTop w:val="0"/>
      <w:marBottom w:val="0"/>
      <w:divBdr>
        <w:top w:val="none" w:sz="0" w:space="0" w:color="auto"/>
        <w:left w:val="none" w:sz="0" w:space="0" w:color="auto"/>
        <w:bottom w:val="none" w:sz="0" w:space="0" w:color="auto"/>
        <w:right w:val="none" w:sz="0" w:space="0" w:color="auto"/>
      </w:divBdr>
    </w:div>
    <w:div w:id="484204312">
      <w:bodyDiv w:val="1"/>
      <w:marLeft w:val="0"/>
      <w:marRight w:val="0"/>
      <w:marTop w:val="0"/>
      <w:marBottom w:val="0"/>
      <w:divBdr>
        <w:top w:val="none" w:sz="0" w:space="0" w:color="auto"/>
        <w:left w:val="none" w:sz="0" w:space="0" w:color="auto"/>
        <w:bottom w:val="none" w:sz="0" w:space="0" w:color="auto"/>
        <w:right w:val="none" w:sz="0" w:space="0" w:color="auto"/>
      </w:divBdr>
    </w:div>
    <w:div w:id="484245993">
      <w:bodyDiv w:val="1"/>
      <w:marLeft w:val="0"/>
      <w:marRight w:val="0"/>
      <w:marTop w:val="0"/>
      <w:marBottom w:val="0"/>
      <w:divBdr>
        <w:top w:val="none" w:sz="0" w:space="0" w:color="auto"/>
        <w:left w:val="none" w:sz="0" w:space="0" w:color="auto"/>
        <w:bottom w:val="none" w:sz="0" w:space="0" w:color="auto"/>
        <w:right w:val="none" w:sz="0" w:space="0" w:color="auto"/>
      </w:divBdr>
    </w:div>
    <w:div w:id="484318318">
      <w:bodyDiv w:val="1"/>
      <w:marLeft w:val="0"/>
      <w:marRight w:val="0"/>
      <w:marTop w:val="0"/>
      <w:marBottom w:val="0"/>
      <w:divBdr>
        <w:top w:val="none" w:sz="0" w:space="0" w:color="auto"/>
        <w:left w:val="none" w:sz="0" w:space="0" w:color="auto"/>
        <w:bottom w:val="none" w:sz="0" w:space="0" w:color="auto"/>
        <w:right w:val="none" w:sz="0" w:space="0" w:color="auto"/>
      </w:divBdr>
    </w:div>
    <w:div w:id="484443594">
      <w:bodyDiv w:val="1"/>
      <w:marLeft w:val="0"/>
      <w:marRight w:val="0"/>
      <w:marTop w:val="0"/>
      <w:marBottom w:val="0"/>
      <w:divBdr>
        <w:top w:val="none" w:sz="0" w:space="0" w:color="auto"/>
        <w:left w:val="none" w:sz="0" w:space="0" w:color="auto"/>
        <w:bottom w:val="none" w:sz="0" w:space="0" w:color="auto"/>
        <w:right w:val="none" w:sz="0" w:space="0" w:color="auto"/>
      </w:divBdr>
    </w:div>
    <w:div w:id="484469418">
      <w:bodyDiv w:val="1"/>
      <w:marLeft w:val="0"/>
      <w:marRight w:val="0"/>
      <w:marTop w:val="0"/>
      <w:marBottom w:val="0"/>
      <w:divBdr>
        <w:top w:val="none" w:sz="0" w:space="0" w:color="auto"/>
        <w:left w:val="none" w:sz="0" w:space="0" w:color="auto"/>
        <w:bottom w:val="none" w:sz="0" w:space="0" w:color="auto"/>
        <w:right w:val="none" w:sz="0" w:space="0" w:color="auto"/>
      </w:divBdr>
    </w:div>
    <w:div w:id="484472978">
      <w:bodyDiv w:val="1"/>
      <w:marLeft w:val="0"/>
      <w:marRight w:val="0"/>
      <w:marTop w:val="0"/>
      <w:marBottom w:val="0"/>
      <w:divBdr>
        <w:top w:val="none" w:sz="0" w:space="0" w:color="auto"/>
        <w:left w:val="none" w:sz="0" w:space="0" w:color="auto"/>
        <w:bottom w:val="none" w:sz="0" w:space="0" w:color="auto"/>
        <w:right w:val="none" w:sz="0" w:space="0" w:color="auto"/>
      </w:divBdr>
    </w:div>
    <w:div w:id="484514962">
      <w:bodyDiv w:val="1"/>
      <w:marLeft w:val="0"/>
      <w:marRight w:val="0"/>
      <w:marTop w:val="0"/>
      <w:marBottom w:val="0"/>
      <w:divBdr>
        <w:top w:val="none" w:sz="0" w:space="0" w:color="auto"/>
        <w:left w:val="none" w:sz="0" w:space="0" w:color="auto"/>
        <w:bottom w:val="none" w:sz="0" w:space="0" w:color="auto"/>
        <w:right w:val="none" w:sz="0" w:space="0" w:color="auto"/>
      </w:divBdr>
    </w:div>
    <w:div w:id="484666294">
      <w:bodyDiv w:val="1"/>
      <w:marLeft w:val="0"/>
      <w:marRight w:val="0"/>
      <w:marTop w:val="0"/>
      <w:marBottom w:val="0"/>
      <w:divBdr>
        <w:top w:val="none" w:sz="0" w:space="0" w:color="auto"/>
        <w:left w:val="none" w:sz="0" w:space="0" w:color="auto"/>
        <w:bottom w:val="none" w:sz="0" w:space="0" w:color="auto"/>
        <w:right w:val="none" w:sz="0" w:space="0" w:color="auto"/>
      </w:divBdr>
    </w:div>
    <w:div w:id="484787870">
      <w:bodyDiv w:val="1"/>
      <w:marLeft w:val="0"/>
      <w:marRight w:val="0"/>
      <w:marTop w:val="0"/>
      <w:marBottom w:val="0"/>
      <w:divBdr>
        <w:top w:val="none" w:sz="0" w:space="0" w:color="auto"/>
        <w:left w:val="none" w:sz="0" w:space="0" w:color="auto"/>
        <w:bottom w:val="none" w:sz="0" w:space="0" w:color="auto"/>
        <w:right w:val="none" w:sz="0" w:space="0" w:color="auto"/>
      </w:divBdr>
    </w:div>
    <w:div w:id="484854708">
      <w:bodyDiv w:val="1"/>
      <w:marLeft w:val="0"/>
      <w:marRight w:val="0"/>
      <w:marTop w:val="0"/>
      <w:marBottom w:val="0"/>
      <w:divBdr>
        <w:top w:val="none" w:sz="0" w:space="0" w:color="auto"/>
        <w:left w:val="none" w:sz="0" w:space="0" w:color="auto"/>
        <w:bottom w:val="none" w:sz="0" w:space="0" w:color="auto"/>
        <w:right w:val="none" w:sz="0" w:space="0" w:color="auto"/>
      </w:divBdr>
    </w:div>
    <w:div w:id="485097626">
      <w:bodyDiv w:val="1"/>
      <w:marLeft w:val="0"/>
      <w:marRight w:val="0"/>
      <w:marTop w:val="0"/>
      <w:marBottom w:val="0"/>
      <w:divBdr>
        <w:top w:val="none" w:sz="0" w:space="0" w:color="auto"/>
        <w:left w:val="none" w:sz="0" w:space="0" w:color="auto"/>
        <w:bottom w:val="none" w:sz="0" w:space="0" w:color="auto"/>
        <w:right w:val="none" w:sz="0" w:space="0" w:color="auto"/>
      </w:divBdr>
    </w:div>
    <w:div w:id="485098666">
      <w:bodyDiv w:val="1"/>
      <w:marLeft w:val="0"/>
      <w:marRight w:val="0"/>
      <w:marTop w:val="0"/>
      <w:marBottom w:val="0"/>
      <w:divBdr>
        <w:top w:val="none" w:sz="0" w:space="0" w:color="auto"/>
        <w:left w:val="none" w:sz="0" w:space="0" w:color="auto"/>
        <w:bottom w:val="none" w:sz="0" w:space="0" w:color="auto"/>
        <w:right w:val="none" w:sz="0" w:space="0" w:color="auto"/>
      </w:divBdr>
    </w:div>
    <w:div w:id="485323627">
      <w:bodyDiv w:val="1"/>
      <w:marLeft w:val="0"/>
      <w:marRight w:val="0"/>
      <w:marTop w:val="0"/>
      <w:marBottom w:val="0"/>
      <w:divBdr>
        <w:top w:val="none" w:sz="0" w:space="0" w:color="auto"/>
        <w:left w:val="none" w:sz="0" w:space="0" w:color="auto"/>
        <w:bottom w:val="none" w:sz="0" w:space="0" w:color="auto"/>
        <w:right w:val="none" w:sz="0" w:space="0" w:color="auto"/>
      </w:divBdr>
    </w:div>
    <w:div w:id="485361932">
      <w:bodyDiv w:val="1"/>
      <w:marLeft w:val="0"/>
      <w:marRight w:val="0"/>
      <w:marTop w:val="0"/>
      <w:marBottom w:val="0"/>
      <w:divBdr>
        <w:top w:val="none" w:sz="0" w:space="0" w:color="auto"/>
        <w:left w:val="none" w:sz="0" w:space="0" w:color="auto"/>
        <w:bottom w:val="none" w:sz="0" w:space="0" w:color="auto"/>
        <w:right w:val="none" w:sz="0" w:space="0" w:color="auto"/>
      </w:divBdr>
    </w:div>
    <w:div w:id="485362169">
      <w:bodyDiv w:val="1"/>
      <w:marLeft w:val="0"/>
      <w:marRight w:val="0"/>
      <w:marTop w:val="0"/>
      <w:marBottom w:val="0"/>
      <w:divBdr>
        <w:top w:val="none" w:sz="0" w:space="0" w:color="auto"/>
        <w:left w:val="none" w:sz="0" w:space="0" w:color="auto"/>
        <w:bottom w:val="none" w:sz="0" w:space="0" w:color="auto"/>
        <w:right w:val="none" w:sz="0" w:space="0" w:color="auto"/>
      </w:divBdr>
    </w:div>
    <w:div w:id="485441639">
      <w:bodyDiv w:val="1"/>
      <w:marLeft w:val="0"/>
      <w:marRight w:val="0"/>
      <w:marTop w:val="0"/>
      <w:marBottom w:val="0"/>
      <w:divBdr>
        <w:top w:val="none" w:sz="0" w:space="0" w:color="auto"/>
        <w:left w:val="none" w:sz="0" w:space="0" w:color="auto"/>
        <w:bottom w:val="none" w:sz="0" w:space="0" w:color="auto"/>
        <w:right w:val="none" w:sz="0" w:space="0" w:color="auto"/>
      </w:divBdr>
    </w:div>
    <w:div w:id="485510208">
      <w:bodyDiv w:val="1"/>
      <w:marLeft w:val="0"/>
      <w:marRight w:val="0"/>
      <w:marTop w:val="0"/>
      <w:marBottom w:val="0"/>
      <w:divBdr>
        <w:top w:val="none" w:sz="0" w:space="0" w:color="auto"/>
        <w:left w:val="none" w:sz="0" w:space="0" w:color="auto"/>
        <w:bottom w:val="none" w:sz="0" w:space="0" w:color="auto"/>
        <w:right w:val="none" w:sz="0" w:space="0" w:color="auto"/>
      </w:divBdr>
    </w:div>
    <w:div w:id="485511613">
      <w:bodyDiv w:val="1"/>
      <w:marLeft w:val="0"/>
      <w:marRight w:val="0"/>
      <w:marTop w:val="0"/>
      <w:marBottom w:val="0"/>
      <w:divBdr>
        <w:top w:val="none" w:sz="0" w:space="0" w:color="auto"/>
        <w:left w:val="none" w:sz="0" w:space="0" w:color="auto"/>
        <w:bottom w:val="none" w:sz="0" w:space="0" w:color="auto"/>
        <w:right w:val="none" w:sz="0" w:space="0" w:color="auto"/>
      </w:divBdr>
    </w:div>
    <w:div w:id="485585808">
      <w:bodyDiv w:val="1"/>
      <w:marLeft w:val="0"/>
      <w:marRight w:val="0"/>
      <w:marTop w:val="0"/>
      <w:marBottom w:val="0"/>
      <w:divBdr>
        <w:top w:val="none" w:sz="0" w:space="0" w:color="auto"/>
        <w:left w:val="none" w:sz="0" w:space="0" w:color="auto"/>
        <w:bottom w:val="none" w:sz="0" w:space="0" w:color="auto"/>
        <w:right w:val="none" w:sz="0" w:space="0" w:color="auto"/>
      </w:divBdr>
    </w:div>
    <w:div w:id="485704451">
      <w:bodyDiv w:val="1"/>
      <w:marLeft w:val="0"/>
      <w:marRight w:val="0"/>
      <w:marTop w:val="0"/>
      <w:marBottom w:val="0"/>
      <w:divBdr>
        <w:top w:val="none" w:sz="0" w:space="0" w:color="auto"/>
        <w:left w:val="none" w:sz="0" w:space="0" w:color="auto"/>
        <w:bottom w:val="none" w:sz="0" w:space="0" w:color="auto"/>
        <w:right w:val="none" w:sz="0" w:space="0" w:color="auto"/>
      </w:divBdr>
    </w:div>
    <w:div w:id="485779305">
      <w:bodyDiv w:val="1"/>
      <w:marLeft w:val="0"/>
      <w:marRight w:val="0"/>
      <w:marTop w:val="0"/>
      <w:marBottom w:val="0"/>
      <w:divBdr>
        <w:top w:val="none" w:sz="0" w:space="0" w:color="auto"/>
        <w:left w:val="none" w:sz="0" w:space="0" w:color="auto"/>
        <w:bottom w:val="none" w:sz="0" w:space="0" w:color="auto"/>
        <w:right w:val="none" w:sz="0" w:space="0" w:color="auto"/>
      </w:divBdr>
    </w:div>
    <w:div w:id="486017419">
      <w:bodyDiv w:val="1"/>
      <w:marLeft w:val="0"/>
      <w:marRight w:val="0"/>
      <w:marTop w:val="0"/>
      <w:marBottom w:val="0"/>
      <w:divBdr>
        <w:top w:val="none" w:sz="0" w:space="0" w:color="auto"/>
        <w:left w:val="none" w:sz="0" w:space="0" w:color="auto"/>
        <w:bottom w:val="none" w:sz="0" w:space="0" w:color="auto"/>
        <w:right w:val="none" w:sz="0" w:space="0" w:color="auto"/>
      </w:divBdr>
    </w:div>
    <w:div w:id="486023155">
      <w:bodyDiv w:val="1"/>
      <w:marLeft w:val="0"/>
      <w:marRight w:val="0"/>
      <w:marTop w:val="0"/>
      <w:marBottom w:val="0"/>
      <w:divBdr>
        <w:top w:val="none" w:sz="0" w:space="0" w:color="auto"/>
        <w:left w:val="none" w:sz="0" w:space="0" w:color="auto"/>
        <w:bottom w:val="none" w:sz="0" w:space="0" w:color="auto"/>
        <w:right w:val="none" w:sz="0" w:space="0" w:color="auto"/>
      </w:divBdr>
    </w:div>
    <w:div w:id="486095918">
      <w:bodyDiv w:val="1"/>
      <w:marLeft w:val="0"/>
      <w:marRight w:val="0"/>
      <w:marTop w:val="0"/>
      <w:marBottom w:val="0"/>
      <w:divBdr>
        <w:top w:val="none" w:sz="0" w:space="0" w:color="auto"/>
        <w:left w:val="none" w:sz="0" w:space="0" w:color="auto"/>
        <w:bottom w:val="none" w:sz="0" w:space="0" w:color="auto"/>
        <w:right w:val="none" w:sz="0" w:space="0" w:color="auto"/>
      </w:divBdr>
    </w:div>
    <w:div w:id="486168627">
      <w:bodyDiv w:val="1"/>
      <w:marLeft w:val="0"/>
      <w:marRight w:val="0"/>
      <w:marTop w:val="0"/>
      <w:marBottom w:val="0"/>
      <w:divBdr>
        <w:top w:val="none" w:sz="0" w:space="0" w:color="auto"/>
        <w:left w:val="none" w:sz="0" w:space="0" w:color="auto"/>
        <w:bottom w:val="none" w:sz="0" w:space="0" w:color="auto"/>
        <w:right w:val="none" w:sz="0" w:space="0" w:color="auto"/>
      </w:divBdr>
    </w:div>
    <w:div w:id="486243899">
      <w:bodyDiv w:val="1"/>
      <w:marLeft w:val="0"/>
      <w:marRight w:val="0"/>
      <w:marTop w:val="0"/>
      <w:marBottom w:val="0"/>
      <w:divBdr>
        <w:top w:val="none" w:sz="0" w:space="0" w:color="auto"/>
        <w:left w:val="none" w:sz="0" w:space="0" w:color="auto"/>
        <w:bottom w:val="none" w:sz="0" w:space="0" w:color="auto"/>
        <w:right w:val="none" w:sz="0" w:space="0" w:color="auto"/>
      </w:divBdr>
    </w:div>
    <w:div w:id="486289153">
      <w:bodyDiv w:val="1"/>
      <w:marLeft w:val="0"/>
      <w:marRight w:val="0"/>
      <w:marTop w:val="0"/>
      <w:marBottom w:val="0"/>
      <w:divBdr>
        <w:top w:val="none" w:sz="0" w:space="0" w:color="auto"/>
        <w:left w:val="none" w:sz="0" w:space="0" w:color="auto"/>
        <w:bottom w:val="none" w:sz="0" w:space="0" w:color="auto"/>
        <w:right w:val="none" w:sz="0" w:space="0" w:color="auto"/>
      </w:divBdr>
    </w:div>
    <w:div w:id="486359861">
      <w:bodyDiv w:val="1"/>
      <w:marLeft w:val="0"/>
      <w:marRight w:val="0"/>
      <w:marTop w:val="0"/>
      <w:marBottom w:val="0"/>
      <w:divBdr>
        <w:top w:val="none" w:sz="0" w:space="0" w:color="auto"/>
        <w:left w:val="none" w:sz="0" w:space="0" w:color="auto"/>
        <w:bottom w:val="none" w:sz="0" w:space="0" w:color="auto"/>
        <w:right w:val="none" w:sz="0" w:space="0" w:color="auto"/>
      </w:divBdr>
    </w:div>
    <w:div w:id="486363719">
      <w:bodyDiv w:val="1"/>
      <w:marLeft w:val="0"/>
      <w:marRight w:val="0"/>
      <w:marTop w:val="0"/>
      <w:marBottom w:val="0"/>
      <w:divBdr>
        <w:top w:val="none" w:sz="0" w:space="0" w:color="auto"/>
        <w:left w:val="none" w:sz="0" w:space="0" w:color="auto"/>
        <w:bottom w:val="none" w:sz="0" w:space="0" w:color="auto"/>
        <w:right w:val="none" w:sz="0" w:space="0" w:color="auto"/>
      </w:divBdr>
    </w:div>
    <w:div w:id="486409316">
      <w:bodyDiv w:val="1"/>
      <w:marLeft w:val="0"/>
      <w:marRight w:val="0"/>
      <w:marTop w:val="0"/>
      <w:marBottom w:val="0"/>
      <w:divBdr>
        <w:top w:val="none" w:sz="0" w:space="0" w:color="auto"/>
        <w:left w:val="none" w:sz="0" w:space="0" w:color="auto"/>
        <w:bottom w:val="none" w:sz="0" w:space="0" w:color="auto"/>
        <w:right w:val="none" w:sz="0" w:space="0" w:color="auto"/>
      </w:divBdr>
    </w:div>
    <w:div w:id="486476189">
      <w:bodyDiv w:val="1"/>
      <w:marLeft w:val="0"/>
      <w:marRight w:val="0"/>
      <w:marTop w:val="0"/>
      <w:marBottom w:val="0"/>
      <w:divBdr>
        <w:top w:val="none" w:sz="0" w:space="0" w:color="auto"/>
        <w:left w:val="none" w:sz="0" w:space="0" w:color="auto"/>
        <w:bottom w:val="none" w:sz="0" w:space="0" w:color="auto"/>
        <w:right w:val="none" w:sz="0" w:space="0" w:color="auto"/>
      </w:divBdr>
    </w:div>
    <w:div w:id="486481391">
      <w:bodyDiv w:val="1"/>
      <w:marLeft w:val="0"/>
      <w:marRight w:val="0"/>
      <w:marTop w:val="0"/>
      <w:marBottom w:val="0"/>
      <w:divBdr>
        <w:top w:val="none" w:sz="0" w:space="0" w:color="auto"/>
        <w:left w:val="none" w:sz="0" w:space="0" w:color="auto"/>
        <w:bottom w:val="none" w:sz="0" w:space="0" w:color="auto"/>
        <w:right w:val="none" w:sz="0" w:space="0" w:color="auto"/>
      </w:divBdr>
    </w:div>
    <w:div w:id="486673116">
      <w:bodyDiv w:val="1"/>
      <w:marLeft w:val="0"/>
      <w:marRight w:val="0"/>
      <w:marTop w:val="0"/>
      <w:marBottom w:val="0"/>
      <w:divBdr>
        <w:top w:val="none" w:sz="0" w:space="0" w:color="auto"/>
        <w:left w:val="none" w:sz="0" w:space="0" w:color="auto"/>
        <w:bottom w:val="none" w:sz="0" w:space="0" w:color="auto"/>
        <w:right w:val="none" w:sz="0" w:space="0" w:color="auto"/>
      </w:divBdr>
    </w:div>
    <w:div w:id="486702255">
      <w:bodyDiv w:val="1"/>
      <w:marLeft w:val="0"/>
      <w:marRight w:val="0"/>
      <w:marTop w:val="0"/>
      <w:marBottom w:val="0"/>
      <w:divBdr>
        <w:top w:val="none" w:sz="0" w:space="0" w:color="auto"/>
        <w:left w:val="none" w:sz="0" w:space="0" w:color="auto"/>
        <w:bottom w:val="none" w:sz="0" w:space="0" w:color="auto"/>
        <w:right w:val="none" w:sz="0" w:space="0" w:color="auto"/>
      </w:divBdr>
    </w:div>
    <w:div w:id="486820708">
      <w:bodyDiv w:val="1"/>
      <w:marLeft w:val="0"/>
      <w:marRight w:val="0"/>
      <w:marTop w:val="0"/>
      <w:marBottom w:val="0"/>
      <w:divBdr>
        <w:top w:val="none" w:sz="0" w:space="0" w:color="auto"/>
        <w:left w:val="none" w:sz="0" w:space="0" w:color="auto"/>
        <w:bottom w:val="none" w:sz="0" w:space="0" w:color="auto"/>
        <w:right w:val="none" w:sz="0" w:space="0" w:color="auto"/>
      </w:divBdr>
    </w:div>
    <w:div w:id="486823162">
      <w:bodyDiv w:val="1"/>
      <w:marLeft w:val="0"/>
      <w:marRight w:val="0"/>
      <w:marTop w:val="0"/>
      <w:marBottom w:val="0"/>
      <w:divBdr>
        <w:top w:val="none" w:sz="0" w:space="0" w:color="auto"/>
        <w:left w:val="none" w:sz="0" w:space="0" w:color="auto"/>
        <w:bottom w:val="none" w:sz="0" w:space="0" w:color="auto"/>
        <w:right w:val="none" w:sz="0" w:space="0" w:color="auto"/>
      </w:divBdr>
    </w:div>
    <w:div w:id="486824648">
      <w:bodyDiv w:val="1"/>
      <w:marLeft w:val="0"/>
      <w:marRight w:val="0"/>
      <w:marTop w:val="0"/>
      <w:marBottom w:val="0"/>
      <w:divBdr>
        <w:top w:val="none" w:sz="0" w:space="0" w:color="auto"/>
        <w:left w:val="none" w:sz="0" w:space="0" w:color="auto"/>
        <w:bottom w:val="none" w:sz="0" w:space="0" w:color="auto"/>
        <w:right w:val="none" w:sz="0" w:space="0" w:color="auto"/>
      </w:divBdr>
    </w:div>
    <w:div w:id="486828270">
      <w:bodyDiv w:val="1"/>
      <w:marLeft w:val="0"/>
      <w:marRight w:val="0"/>
      <w:marTop w:val="0"/>
      <w:marBottom w:val="0"/>
      <w:divBdr>
        <w:top w:val="none" w:sz="0" w:space="0" w:color="auto"/>
        <w:left w:val="none" w:sz="0" w:space="0" w:color="auto"/>
        <w:bottom w:val="none" w:sz="0" w:space="0" w:color="auto"/>
        <w:right w:val="none" w:sz="0" w:space="0" w:color="auto"/>
      </w:divBdr>
    </w:div>
    <w:div w:id="486868777">
      <w:bodyDiv w:val="1"/>
      <w:marLeft w:val="0"/>
      <w:marRight w:val="0"/>
      <w:marTop w:val="0"/>
      <w:marBottom w:val="0"/>
      <w:divBdr>
        <w:top w:val="none" w:sz="0" w:space="0" w:color="auto"/>
        <w:left w:val="none" w:sz="0" w:space="0" w:color="auto"/>
        <w:bottom w:val="none" w:sz="0" w:space="0" w:color="auto"/>
        <w:right w:val="none" w:sz="0" w:space="0" w:color="auto"/>
      </w:divBdr>
    </w:div>
    <w:div w:id="486941062">
      <w:bodyDiv w:val="1"/>
      <w:marLeft w:val="0"/>
      <w:marRight w:val="0"/>
      <w:marTop w:val="0"/>
      <w:marBottom w:val="0"/>
      <w:divBdr>
        <w:top w:val="none" w:sz="0" w:space="0" w:color="auto"/>
        <w:left w:val="none" w:sz="0" w:space="0" w:color="auto"/>
        <w:bottom w:val="none" w:sz="0" w:space="0" w:color="auto"/>
        <w:right w:val="none" w:sz="0" w:space="0" w:color="auto"/>
      </w:divBdr>
    </w:div>
    <w:div w:id="487013073">
      <w:bodyDiv w:val="1"/>
      <w:marLeft w:val="0"/>
      <w:marRight w:val="0"/>
      <w:marTop w:val="0"/>
      <w:marBottom w:val="0"/>
      <w:divBdr>
        <w:top w:val="none" w:sz="0" w:space="0" w:color="auto"/>
        <w:left w:val="none" w:sz="0" w:space="0" w:color="auto"/>
        <w:bottom w:val="none" w:sz="0" w:space="0" w:color="auto"/>
        <w:right w:val="none" w:sz="0" w:space="0" w:color="auto"/>
      </w:divBdr>
    </w:div>
    <w:div w:id="487016959">
      <w:bodyDiv w:val="1"/>
      <w:marLeft w:val="0"/>
      <w:marRight w:val="0"/>
      <w:marTop w:val="0"/>
      <w:marBottom w:val="0"/>
      <w:divBdr>
        <w:top w:val="none" w:sz="0" w:space="0" w:color="auto"/>
        <w:left w:val="none" w:sz="0" w:space="0" w:color="auto"/>
        <w:bottom w:val="none" w:sz="0" w:space="0" w:color="auto"/>
        <w:right w:val="none" w:sz="0" w:space="0" w:color="auto"/>
      </w:divBdr>
    </w:div>
    <w:div w:id="487282366">
      <w:bodyDiv w:val="1"/>
      <w:marLeft w:val="0"/>
      <w:marRight w:val="0"/>
      <w:marTop w:val="0"/>
      <w:marBottom w:val="0"/>
      <w:divBdr>
        <w:top w:val="none" w:sz="0" w:space="0" w:color="auto"/>
        <w:left w:val="none" w:sz="0" w:space="0" w:color="auto"/>
        <w:bottom w:val="none" w:sz="0" w:space="0" w:color="auto"/>
        <w:right w:val="none" w:sz="0" w:space="0" w:color="auto"/>
      </w:divBdr>
    </w:div>
    <w:div w:id="487283928">
      <w:bodyDiv w:val="1"/>
      <w:marLeft w:val="0"/>
      <w:marRight w:val="0"/>
      <w:marTop w:val="0"/>
      <w:marBottom w:val="0"/>
      <w:divBdr>
        <w:top w:val="none" w:sz="0" w:space="0" w:color="auto"/>
        <w:left w:val="none" w:sz="0" w:space="0" w:color="auto"/>
        <w:bottom w:val="none" w:sz="0" w:space="0" w:color="auto"/>
        <w:right w:val="none" w:sz="0" w:space="0" w:color="auto"/>
      </w:divBdr>
    </w:div>
    <w:div w:id="487554113">
      <w:bodyDiv w:val="1"/>
      <w:marLeft w:val="0"/>
      <w:marRight w:val="0"/>
      <w:marTop w:val="0"/>
      <w:marBottom w:val="0"/>
      <w:divBdr>
        <w:top w:val="none" w:sz="0" w:space="0" w:color="auto"/>
        <w:left w:val="none" w:sz="0" w:space="0" w:color="auto"/>
        <w:bottom w:val="none" w:sz="0" w:space="0" w:color="auto"/>
        <w:right w:val="none" w:sz="0" w:space="0" w:color="auto"/>
      </w:divBdr>
    </w:div>
    <w:div w:id="487789114">
      <w:bodyDiv w:val="1"/>
      <w:marLeft w:val="0"/>
      <w:marRight w:val="0"/>
      <w:marTop w:val="0"/>
      <w:marBottom w:val="0"/>
      <w:divBdr>
        <w:top w:val="none" w:sz="0" w:space="0" w:color="auto"/>
        <w:left w:val="none" w:sz="0" w:space="0" w:color="auto"/>
        <w:bottom w:val="none" w:sz="0" w:space="0" w:color="auto"/>
        <w:right w:val="none" w:sz="0" w:space="0" w:color="auto"/>
      </w:divBdr>
    </w:div>
    <w:div w:id="487793161">
      <w:bodyDiv w:val="1"/>
      <w:marLeft w:val="0"/>
      <w:marRight w:val="0"/>
      <w:marTop w:val="0"/>
      <w:marBottom w:val="0"/>
      <w:divBdr>
        <w:top w:val="none" w:sz="0" w:space="0" w:color="auto"/>
        <w:left w:val="none" w:sz="0" w:space="0" w:color="auto"/>
        <w:bottom w:val="none" w:sz="0" w:space="0" w:color="auto"/>
        <w:right w:val="none" w:sz="0" w:space="0" w:color="auto"/>
      </w:divBdr>
    </w:div>
    <w:div w:id="487862333">
      <w:bodyDiv w:val="1"/>
      <w:marLeft w:val="0"/>
      <w:marRight w:val="0"/>
      <w:marTop w:val="0"/>
      <w:marBottom w:val="0"/>
      <w:divBdr>
        <w:top w:val="none" w:sz="0" w:space="0" w:color="auto"/>
        <w:left w:val="none" w:sz="0" w:space="0" w:color="auto"/>
        <w:bottom w:val="none" w:sz="0" w:space="0" w:color="auto"/>
        <w:right w:val="none" w:sz="0" w:space="0" w:color="auto"/>
      </w:divBdr>
    </w:div>
    <w:div w:id="487939403">
      <w:bodyDiv w:val="1"/>
      <w:marLeft w:val="0"/>
      <w:marRight w:val="0"/>
      <w:marTop w:val="0"/>
      <w:marBottom w:val="0"/>
      <w:divBdr>
        <w:top w:val="none" w:sz="0" w:space="0" w:color="auto"/>
        <w:left w:val="none" w:sz="0" w:space="0" w:color="auto"/>
        <w:bottom w:val="none" w:sz="0" w:space="0" w:color="auto"/>
        <w:right w:val="none" w:sz="0" w:space="0" w:color="auto"/>
      </w:divBdr>
    </w:div>
    <w:div w:id="487944445">
      <w:bodyDiv w:val="1"/>
      <w:marLeft w:val="0"/>
      <w:marRight w:val="0"/>
      <w:marTop w:val="0"/>
      <w:marBottom w:val="0"/>
      <w:divBdr>
        <w:top w:val="none" w:sz="0" w:space="0" w:color="auto"/>
        <w:left w:val="none" w:sz="0" w:space="0" w:color="auto"/>
        <w:bottom w:val="none" w:sz="0" w:space="0" w:color="auto"/>
        <w:right w:val="none" w:sz="0" w:space="0" w:color="auto"/>
      </w:divBdr>
    </w:div>
    <w:div w:id="487981573">
      <w:bodyDiv w:val="1"/>
      <w:marLeft w:val="0"/>
      <w:marRight w:val="0"/>
      <w:marTop w:val="0"/>
      <w:marBottom w:val="0"/>
      <w:divBdr>
        <w:top w:val="none" w:sz="0" w:space="0" w:color="auto"/>
        <w:left w:val="none" w:sz="0" w:space="0" w:color="auto"/>
        <w:bottom w:val="none" w:sz="0" w:space="0" w:color="auto"/>
        <w:right w:val="none" w:sz="0" w:space="0" w:color="auto"/>
      </w:divBdr>
    </w:div>
    <w:div w:id="488137419">
      <w:bodyDiv w:val="1"/>
      <w:marLeft w:val="0"/>
      <w:marRight w:val="0"/>
      <w:marTop w:val="0"/>
      <w:marBottom w:val="0"/>
      <w:divBdr>
        <w:top w:val="none" w:sz="0" w:space="0" w:color="auto"/>
        <w:left w:val="none" w:sz="0" w:space="0" w:color="auto"/>
        <w:bottom w:val="none" w:sz="0" w:space="0" w:color="auto"/>
        <w:right w:val="none" w:sz="0" w:space="0" w:color="auto"/>
      </w:divBdr>
    </w:div>
    <w:div w:id="488178233">
      <w:bodyDiv w:val="1"/>
      <w:marLeft w:val="0"/>
      <w:marRight w:val="0"/>
      <w:marTop w:val="0"/>
      <w:marBottom w:val="0"/>
      <w:divBdr>
        <w:top w:val="none" w:sz="0" w:space="0" w:color="auto"/>
        <w:left w:val="none" w:sz="0" w:space="0" w:color="auto"/>
        <w:bottom w:val="none" w:sz="0" w:space="0" w:color="auto"/>
        <w:right w:val="none" w:sz="0" w:space="0" w:color="auto"/>
      </w:divBdr>
    </w:div>
    <w:div w:id="488330151">
      <w:bodyDiv w:val="1"/>
      <w:marLeft w:val="0"/>
      <w:marRight w:val="0"/>
      <w:marTop w:val="0"/>
      <w:marBottom w:val="0"/>
      <w:divBdr>
        <w:top w:val="none" w:sz="0" w:space="0" w:color="auto"/>
        <w:left w:val="none" w:sz="0" w:space="0" w:color="auto"/>
        <w:bottom w:val="none" w:sz="0" w:space="0" w:color="auto"/>
        <w:right w:val="none" w:sz="0" w:space="0" w:color="auto"/>
      </w:divBdr>
    </w:div>
    <w:div w:id="488331516">
      <w:bodyDiv w:val="1"/>
      <w:marLeft w:val="0"/>
      <w:marRight w:val="0"/>
      <w:marTop w:val="0"/>
      <w:marBottom w:val="0"/>
      <w:divBdr>
        <w:top w:val="none" w:sz="0" w:space="0" w:color="auto"/>
        <w:left w:val="none" w:sz="0" w:space="0" w:color="auto"/>
        <w:bottom w:val="none" w:sz="0" w:space="0" w:color="auto"/>
        <w:right w:val="none" w:sz="0" w:space="0" w:color="auto"/>
      </w:divBdr>
    </w:div>
    <w:div w:id="488402000">
      <w:bodyDiv w:val="1"/>
      <w:marLeft w:val="0"/>
      <w:marRight w:val="0"/>
      <w:marTop w:val="0"/>
      <w:marBottom w:val="0"/>
      <w:divBdr>
        <w:top w:val="none" w:sz="0" w:space="0" w:color="auto"/>
        <w:left w:val="none" w:sz="0" w:space="0" w:color="auto"/>
        <w:bottom w:val="none" w:sz="0" w:space="0" w:color="auto"/>
        <w:right w:val="none" w:sz="0" w:space="0" w:color="auto"/>
      </w:divBdr>
    </w:div>
    <w:div w:id="488450010">
      <w:bodyDiv w:val="1"/>
      <w:marLeft w:val="0"/>
      <w:marRight w:val="0"/>
      <w:marTop w:val="0"/>
      <w:marBottom w:val="0"/>
      <w:divBdr>
        <w:top w:val="none" w:sz="0" w:space="0" w:color="auto"/>
        <w:left w:val="none" w:sz="0" w:space="0" w:color="auto"/>
        <w:bottom w:val="none" w:sz="0" w:space="0" w:color="auto"/>
        <w:right w:val="none" w:sz="0" w:space="0" w:color="auto"/>
      </w:divBdr>
    </w:div>
    <w:div w:id="488525306">
      <w:bodyDiv w:val="1"/>
      <w:marLeft w:val="0"/>
      <w:marRight w:val="0"/>
      <w:marTop w:val="0"/>
      <w:marBottom w:val="0"/>
      <w:divBdr>
        <w:top w:val="none" w:sz="0" w:space="0" w:color="auto"/>
        <w:left w:val="none" w:sz="0" w:space="0" w:color="auto"/>
        <w:bottom w:val="none" w:sz="0" w:space="0" w:color="auto"/>
        <w:right w:val="none" w:sz="0" w:space="0" w:color="auto"/>
      </w:divBdr>
    </w:div>
    <w:div w:id="488596855">
      <w:bodyDiv w:val="1"/>
      <w:marLeft w:val="0"/>
      <w:marRight w:val="0"/>
      <w:marTop w:val="0"/>
      <w:marBottom w:val="0"/>
      <w:divBdr>
        <w:top w:val="none" w:sz="0" w:space="0" w:color="auto"/>
        <w:left w:val="none" w:sz="0" w:space="0" w:color="auto"/>
        <w:bottom w:val="none" w:sz="0" w:space="0" w:color="auto"/>
        <w:right w:val="none" w:sz="0" w:space="0" w:color="auto"/>
      </w:divBdr>
    </w:div>
    <w:div w:id="488638323">
      <w:bodyDiv w:val="1"/>
      <w:marLeft w:val="0"/>
      <w:marRight w:val="0"/>
      <w:marTop w:val="0"/>
      <w:marBottom w:val="0"/>
      <w:divBdr>
        <w:top w:val="none" w:sz="0" w:space="0" w:color="auto"/>
        <w:left w:val="none" w:sz="0" w:space="0" w:color="auto"/>
        <w:bottom w:val="none" w:sz="0" w:space="0" w:color="auto"/>
        <w:right w:val="none" w:sz="0" w:space="0" w:color="auto"/>
      </w:divBdr>
    </w:div>
    <w:div w:id="488710088">
      <w:bodyDiv w:val="1"/>
      <w:marLeft w:val="0"/>
      <w:marRight w:val="0"/>
      <w:marTop w:val="0"/>
      <w:marBottom w:val="0"/>
      <w:divBdr>
        <w:top w:val="none" w:sz="0" w:space="0" w:color="auto"/>
        <w:left w:val="none" w:sz="0" w:space="0" w:color="auto"/>
        <w:bottom w:val="none" w:sz="0" w:space="0" w:color="auto"/>
        <w:right w:val="none" w:sz="0" w:space="0" w:color="auto"/>
      </w:divBdr>
    </w:div>
    <w:div w:id="488904150">
      <w:bodyDiv w:val="1"/>
      <w:marLeft w:val="0"/>
      <w:marRight w:val="0"/>
      <w:marTop w:val="0"/>
      <w:marBottom w:val="0"/>
      <w:divBdr>
        <w:top w:val="none" w:sz="0" w:space="0" w:color="auto"/>
        <w:left w:val="none" w:sz="0" w:space="0" w:color="auto"/>
        <w:bottom w:val="none" w:sz="0" w:space="0" w:color="auto"/>
        <w:right w:val="none" w:sz="0" w:space="0" w:color="auto"/>
      </w:divBdr>
    </w:div>
    <w:div w:id="488911281">
      <w:bodyDiv w:val="1"/>
      <w:marLeft w:val="0"/>
      <w:marRight w:val="0"/>
      <w:marTop w:val="0"/>
      <w:marBottom w:val="0"/>
      <w:divBdr>
        <w:top w:val="none" w:sz="0" w:space="0" w:color="auto"/>
        <w:left w:val="none" w:sz="0" w:space="0" w:color="auto"/>
        <w:bottom w:val="none" w:sz="0" w:space="0" w:color="auto"/>
        <w:right w:val="none" w:sz="0" w:space="0" w:color="auto"/>
      </w:divBdr>
    </w:div>
    <w:div w:id="488911989">
      <w:bodyDiv w:val="1"/>
      <w:marLeft w:val="0"/>
      <w:marRight w:val="0"/>
      <w:marTop w:val="0"/>
      <w:marBottom w:val="0"/>
      <w:divBdr>
        <w:top w:val="none" w:sz="0" w:space="0" w:color="auto"/>
        <w:left w:val="none" w:sz="0" w:space="0" w:color="auto"/>
        <w:bottom w:val="none" w:sz="0" w:space="0" w:color="auto"/>
        <w:right w:val="none" w:sz="0" w:space="0" w:color="auto"/>
      </w:divBdr>
    </w:div>
    <w:div w:id="488912106">
      <w:bodyDiv w:val="1"/>
      <w:marLeft w:val="0"/>
      <w:marRight w:val="0"/>
      <w:marTop w:val="0"/>
      <w:marBottom w:val="0"/>
      <w:divBdr>
        <w:top w:val="none" w:sz="0" w:space="0" w:color="auto"/>
        <w:left w:val="none" w:sz="0" w:space="0" w:color="auto"/>
        <w:bottom w:val="none" w:sz="0" w:space="0" w:color="auto"/>
        <w:right w:val="none" w:sz="0" w:space="0" w:color="auto"/>
      </w:divBdr>
    </w:div>
    <w:div w:id="488980430">
      <w:bodyDiv w:val="1"/>
      <w:marLeft w:val="0"/>
      <w:marRight w:val="0"/>
      <w:marTop w:val="0"/>
      <w:marBottom w:val="0"/>
      <w:divBdr>
        <w:top w:val="none" w:sz="0" w:space="0" w:color="auto"/>
        <w:left w:val="none" w:sz="0" w:space="0" w:color="auto"/>
        <w:bottom w:val="none" w:sz="0" w:space="0" w:color="auto"/>
        <w:right w:val="none" w:sz="0" w:space="0" w:color="auto"/>
      </w:divBdr>
    </w:div>
    <w:div w:id="488986522">
      <w:bodyDiv w:val="1"/>
      <w:marLeft w:val="0"/>
      <w:marRight w:val="0"/>
      <w:marTop w:val="0"/>
      <w:marBottom w:val="0"/>
      <w:divBdr>
        <w:top w:val="none" w:sz="0" w:space="0" w:color="auto"/>
        <w:left w:val="none" w:sz="0" w:space="0" w:color="auto"/>
        <w:bottom w:val="none" w:sz="0" w:space="0" w:color="auto"/>
        <w:right w:val="none" w:sz="0" w:space="0" w:color="auto"/>
      </w:divBdr>
    </w:div>
    <w:div w:id="489175236">
      <w:bodyDiv w:val="1"/>
      <w:marLeft w:val="0"/>
      <w:marRight w:val="0"/>
      <w:marTop w:val="0"/>
      <w:marBottom w:val="0"/>
      <w:divBdr>
        <w:top w:val="none" w:sz="0" w:space="0" w:color="auto"/>
        <w:left w:val="none" w:sz="0" w:space="0" w:color="auto"/>
        <w:bottom w:val="none" w:sz="0" w:space="0" w:color="auto"/>
        <w:right w:val="none" w:sz="0" w:space="0" w:color="auto"/>
      </w:divBdr>
    </w:div>
    <w:div w:id="489178809">
      <w:bodyDiv w:val="1"/>
      <w:marLeft w:val="0"/>
      <w:marRight w:val="0"/>
      <w:marTop w:val="0"/>
      <w:marBottom w:val="0"/>
      <w:divBdr>
        <w:top w:val="none" w:sz="0" w:space="0" w:color="auto"/>
        <w:left w:val="none" w:sz="0" w:space="0" w:color="auto"/>
        <w:bottom w:val="none" w:sz="0" w:space="0" w:color="auto"/>
        <w:right w:val="none" w:sz="0" w:space="0" w:color="auto"/>
      </w:divBdr>
    </w:div>
    <w:div w:id="489295410">
      <w:bodyDiv w:val="1"/>
      <w:marLeft w:val="0"/>
      <w:marRight w:val="0"/>
      <w:marTop w:val="0"/>
      <w:marBottom w:val="0"/>
      <w:divBdr>
        <w:top w:val="none" w:sz="0" w:space="0" w:color="auto"/>
        <w:left w:val="none" w:sz="0" w:space="0" w:color="auto"/>
        <w:bottom w:val="none" w:sz="0" w:space="0" w:color="auto"/>
        <w:right w:val="none" w:sz="0" w:space="0" w:color="auto"/>
      </w:divBdr>
    </w:div>
    <w:div w:id="489295700">
      <w:bodyDiv w:val="1"/>
      <w:marLeft w:val="0"/>
      <w:marRight w:val="0"/>
      <w:marTop w:val="0"/>
      <w:marBottom w:val="0"/>
      <w:divBdr>
        <w:top w:val="none" w:sz="0" w:space="0" w:color="auto"/>
        <w:left w:val="none" w:sz="0" w:space="0" w:color="auto"/>
        <w:bottom w:val="none" w:sz="0" w:space="0" w:color="auto"/>
        <w:right w:val="none" w:sz="0" w:space="0" w:color="auto"/>
      </w:divBdr>
    </w:div>
    <w:div w:id="489322635">
      <w:bodyDiv w:val="1"/>
      <w:marLeft w:val="0"/>
      <w:marRight w:val="0"/>
      <w:marTop w:val="0"/>
      <w:marBottom w:val="0"/>
      <w:divBdr>
        <w:top w:val="none" w:sz="0" w:space="0" w:color="auto"/>
        <w:left w:val="none" w:sz="0" w:space="0" w:color="auto"/>
        <w:bottom w:val="none" w:sz="0" w:space="0" w:color="auto"/>
        <w:right w:val="none" w:sz="0" w:space="0" w:color="auto"/>
      </w:divBdr>
    </w:div>
    <w:div w:id="489367815">
      <w:bodyDiv w:val="1"/>
      <w:marLeft w:val="0"/>
      <w:marRight w:val="0"/>
      <w:marTop w:val="0"/>
      <w:marBottom w:val="0"/>
      <w:divBdr>
        <w:top w:val="none" w:sz="0" w:space="0" w:color="auto"/>
        <w:left w:val="none" w:sz="0" w:space="0" w:color="auto"/>
        <w:bottom w:val="none" w:sz="0" w:space="0" w:color="auto"/>
        <w:right w:val="none" w:sz="0" w:space="0" w:color="auto"/>
      </w:divBdr>
    </w:div>
    <w:div w:id="489372771">
      <w:bodyDiv w:val="1"/>
      <w:marLeft w:val="0"/>
      <w:marRight w:val="0"/>
      <w:marTop w:val="0"/>
      <w:marBottom w:val="0"/>
      <w:divBdr>
        <w:top w:val="none" w:sz="0" w:space="0" w:color="auto"/>
        <w:left w:val="none" w:sz="0" w:space="0" w:color="auto"/>
        <w:bottom w:val="none" w:sz="0" w:space="0" w:color="auto"/>
        <w:right w:val="none" w:sz="0" w:space="0" w:color="auto"/>
      </w:divBdr>
    </w:div>
    <w:div w:id="489637366">
      <w:bodyDiv w:val="1"/>
      <w:marLeft w:val="0"/>
      <w:marRight w:val="0"/>
      <w:marTop w:val="0"/>
      <w:marBottom w:val="0"/>
      <w:divBdr>
        <w:top w:val="none" w:sz="0" w:space="0" w:color="auto"/>
        <w:left w:val="none" w:sz="0" w:space="0" w:color="auto"/>
        <w:bottom w:val="none" w:sz="0" w:space="0" w:color="auto"/>
        <w:right w:val="none" w:sz="0" w:space="0" w:color="auto"/>
      </w:divBdr>
    </w:div>
    <w:div w:id="489638332">
      <w:bodyDiv w:val="1"/>
      <w:marLeft w:val="0"/>
      <w:marRight w:val="0"/>
      <w:marTop w:val="0"/>
      <w:marBottom w:val="0"/>
      <w:divBdr>
        <w:top w:val="none" w:sz="0" w:space="0" w:color="auto"/>
        <w:left w:val="none" w:sz="0" w:space="0" w:color="auto"/>
        <w:bottom w:val="none" w:sz="0" w:space="0" w:color="auto"/>
        <w:right w:val="none" w:sz="0" w:space="0" w:color="auto"/>
      </w:divBdr>
    </w:div>
    <w:div w:id="489641793">
      <w:bodyDiv w:val="1"/>
      <w:marLeft w:val="0"/>
      <w:marRight w:val="0"/>
      <w:marTop w:val="0"/>
      <w:marBottom w:val="0"/>
      <w:divBdr>
        <w:top w:val="none" w:sz="0" w:space="0" w:color="auto"/>
        <w:left w:val="none" w:sz="0" w:space="0" w:color="auto"/>
        <w:bottom w:val="none" w:sz="0" w:space="0" w:color="auto"/>
        <w:right w:val="none" w:sz="0" w:space="0" w:color="auto"/>
      </w:divBdr>
    </w:div>
    <w:div w:id="489754329">
      <w:bodyDiv w:val="1"/>
      <w:marLeft w:val="0"/>
      <w:marRight w:val="0"/>
      <w:marTop w:val="0"/>
      <w:marBottom w:val="0"/>
      <w:divBdr>
        <w:top w:val="none" w:sz="0" w:space="0" w:color="auto"/>
        <w:left w:val="none" w:sz="0" w:space="0" w:color="auto"/>
        <w:bottom w:val="none" w:sz="0" w:space="0" w:color="auto"/>
        <w:right w:val="none" w:sz="0" w:space="0" w:color="auto"/>
      </w:divBdr>
    </w:div>
    <w:div w:id="489951470">
      <w:bodyDiv w:val="1"/>
      <w:marLeft w:val="0"/>
      <w:marRight w:val="0"/>
      <w:marTop w:val="0"/>
      <w:marBottom w:val="0"/>
      <w:divBdr>
        <w:top w:val="none" w:sz="0" w:space="0" w:color="auto"/>
        <w:left w:val="none" w:sz="0" w:space="0" w:color="auto"/>
        <w:bottom w:val="none" w:sz="0" w:space="0" w:color="auto"/>
        <w:right w:val="none" w:sz="0" w:space="0" w:color="auto"/>
      </w:divBdr>
    </w:div>
    <w:div w:id="490146537">
      <w:bodyDiv w:val="1"/>
      <w:marLeft w:val="0"/>
      <w:marRight w:val="0"/>
      <w:marTop w:val="0"/>
      <w:marBottom w:val="0"/>
      <w:divBdr>
        <w:top w:val="none" w:sz="0" w:space="0" w:color="auto"/>
        <w:left w:val="none" w:sz="0" w:space="0" w:color="auto"/>
        <w:bottom w:val="none" w:sz="0" w:space="0" w:color="auto"/>
        <w:right w:val="none" w:sz="0" w:space="0" w:color="auto"/>
      </w:divBdr>
    </w:div>
    <w:div w:id="490147710">
      <w:bodyDiv w:val="1"/>
      <w:marLeft w:val="0"/>
      <w:marRight w:val="0"/>
      <w:marTop w:val="0"/>
      <w:marBottom w:val="0"/>
      <w:divBdr>
        <w:top w:val="none" w:sz="0" w:space="0" w:color="auto"/>
        <w:left w:val="none" w:sz="0" w:space="0" w:color="auto"/>
        <w:bottom w:val="none" w:sz="0" w:space="0" w:color="auto"/>
        <w:right w:val="none" w:sz="0" w:space="0" w:color="auto"/>
      </w:divBdr>
    </w:div>
    <w:div w:id="490289799">
      <w:bodyDiv w:val="1"/>
      <w:marLeft w:val="0"/>
      <w:marRight w:val="0"/>
      <w:marTop w:val="0"/>
      <w:marBottom w:val="0"/>
      <w:divBdr>
        <w:top w:val="none" w:sz="0" w:space="0" w:color="auto"/>
        <w:left w:val="none" w:sz="0" w:space="0" w:color="auto"/>
        <w:bottom w:val="none" w:sz="0" w:space="0" w:color="auto"/>
        <w:right w:val="none" w:sz="0" w:space="0" w:color="auto"/>
      </w:divBdr>
    </w:div>
    <w:div w:id="490290144">
      <w:bodyDiv w:val="1"/>
      <w:marLeft w:val="0"/>
      <w:marRight w:val="0"/>
      <w:marTop w:val="0"/>
      <w:marBottom w:val="0"/>
      <w:divBdr>
        <w:top w:val="none" w:sz="0" w:space="0" w:color="auto"/>
        <w:left w:val="none" w:sz="0" w:space="0" w:color="auto"/>
        <w:bottom w:val="none" w:sz="0" w:space="0" w:color="auto"/>
        <w:right w:val="none" w:sz="0" w:space="0" w:color="auto"/>
      </w:divBdr>
    </w:div>
    <w:div w:id="490290398">
      <w:bodyDiv w:val="1"/>
      <w:marLeft w:val="0"/>
      <w:marRight w:val="0"/>
      <w:marTop w:val="0"/>
      <w:marBottom w:val="0"/>
      <w:divBdr>
        <w:top w:val="none" w:sz="0" w:space="0" w:color="auto"/>
        <w:left w:val="none" w:sz="0" w:space="0" w:color="auto"/>
        <w:bottom w:val="none" w:sz="0" w:space="0" w:color="auto"/>
        <w:right w:val="none" w:sz="0" w:space="0" w:color="auto"/>
      </w:divBdr>
    </w:div>
    <w:div w:id="490291142">
      <w:bodyDiv w:val="1"/>
      <w:marLeft w:val="0"/>
      <w:marRight w:val="0"/>
      <w:marTop w:val="0"/>
      <w:marBottom w:val="0"/>
      <w:divBdr>
        <w:top w:val="none" w:sz="0" w:space="0" w:color="auto"/>
        <w:left w:val="none" w:sz="0" w:space="0" w:color="auto"/>
        <w:bottom w:val="none" w:sz="0" w:space="0" w:color="auto"/>
        <w:right w:val="none" w:sz="0" w:space="0" w:color="auto"/>
      </w:divBdr>
    </w:div>
    <w:div w:id="490340913">
      <w:bodyDiv w:val="1"/>
      <w:marLeft w:val="0"/>
      <w:marRight w:val="0"/>
      <w:marTop w:val="0"/>
      <w:marBottom w:val="0"/>
      <w:divBdr>
        <w:top w:val="none" w:sz="0" w:space="0" w:color="auto"/>
        <w:left w:val="none" w:sz="0" w:space="0" w:color="auto"/>
        <w:bottom w:val="none" w:sz="0" w:space="0" w:color="auto"/>
        <w:right w:val="none" w:sz="0" w:space="0" w:color="auto"/>
      </w:divBdr>
    </w:div>
    <w:div w:id="490368239">
      <w:bodyDiv w:val="1"/>
      <w:marLeft w:val="0"/>
      <w:marRight w:val="0"/>
      <w:marTop w:val="0"/>
      <w:marBottom w:val="0"/>
      <w:divBdr>
        <w:top w:val="none" w:sz="0" w:space="0" w:color="auto"/>
        <w:left w:val="none" w:sz="0" w:space="0" w:color="auto"/>
        <w:bottom w:val="none" w:sz="0" w:space="0" w:color="auto"/>
        <w:right w:val="none" w:sz="0" w:space="0" w:color="auto"/>
      </w:divBdr>
    </w:div>
    <w:div w:id="490635027">
      <w:bodyDiv w:val="1"/>
      <w:marLeft w:val="0"/>
      <w:marRight w:val="0"/>
      <w:marTop w:val="0"/>
      <w:marBottom w:val="0"/>
      <w:divBdr>
        <w:top w:val="none" w:sz="0" w:space="0" w:color="auto"/>
        <w:left w:val="none" w:sz="0" w:space="0" w:color="auto"/>
        <w:bottom w:val="none" w:sz="0" w:space="0" w:color="auto"/>
        <w:right w:val="none" w:sz="0" w:space="0" w:color="auto"/>
      </w:divBdr>
    </w:div>
    <w:div w:id="490676918">
      <w:bodyDiv w:val="1"/>
      <w:marLeft w:val="0"/>
      <w:marRight w:val="0"/>
      <w:marTop w:val="0"/>
      <w:marBottom w:val="0"/>
      <w:divBdr>
        <w:top w:val="none" w:sz="0" w:space="0" w:color="auto"/>
        <w:left w:val="none" w:sz="0" w:space="0" w:color="auto"/>
        <w:bottom w:val="none" w:sz="0" w:space="0" w:color="auto"/>
        <w:right w:val="none" w:sz="0" w:space="0" w:color="auto"/>
      </w:divBdr>
    </w:div>
    <w:div w:id="491025371">
      <w:bodyDiv w:val="1"/>
      <w:marLeft w:val="0"/>
      <w:marRight w:val="0"/>
      <w:marTop w:val="0"/>
      <w:marBottom w:val="0"/>
      <w:divBdr>
        <w:top w:val="none" w:sz="0" w:space="0" w:color="auto"/>
        <w:left w:val="none" w:sz="0" w:space="0" w:color="auto"/>
        <w:bottom w:val="none" w:sz="0" w:space="0" w:color="auto"/>
        <w:right w:val="none" w:sz="0" w:space="0" w:color="auto"/>
      </w:divBdr>
    </w:div>
    <w:div w:id="491064088">
      <w:bodyDiv w:val="1"/>
      <w:marLeft w:val="0"/>
      <w:marRight w:val="0"/>
      <w:marTop w:val="0"/>
      <w:marBottom w:val="0"/>
      <w:divBdr>
        <w:top w:val="none" w:sz="0" w:space="0" w:color="auto"/>
        <w:left w:val="none" w:sz="0" w:space="0" w:color="auto"/>
        <w:bottom w:val="none" w:sz="0" w:space="0" w:color="auto"/>
        <w:right w:val="none" w:sz="0" w:space="0" w:color="auto"/>
      </w:divBdr>
    </w:div>
    <w:div w:id="491068927">
      <w:bodyDiv w:val="1"/>
      <w:marLeft w:val="0"/>
      <w:marRight w:val="0"/>
      <w:marTop w:val="0"/>
      <w:marBottom w:val="0"/>
      <w:divBdr>
        <w:top w:val="none" w:sz="0" w:space="0" w:color="auto"/>
        <w:left w:val="none" w:sz="0" w:space="0" w:color="auto"/>
        <w:bottom w:val="none" w:sz="0" w:space="0" w:color="auto"/>
        <w:right w:val="none" w:sz="0" w:space="0" w:color="auto"/>
      </w:divBdr>
    </w:div>
    <w:div w:id="491142695">
      <w:bodyDiv w:val="1"/>
      <w:marLeft w:val="0"/>
      <w:marRight w:val="0"/>
      <w:marTop w:val="0"/>
      <w:marBottom w:val="0"/>
      <w:divBdr>
        <w:top w:val="none" w:sz="0" w:space="0" w:color="auto"/>
        <w:left w:val="none" w:sz="0" w:space="0" w:color="auto"/>
        <w:bottom w:val="none" w:sz="0" w:space="0" w:color="auto"/>
        <w:right w:val="none" w:sz="0" w:space="0" w:color="auto"/>
      </w:divBdr>
    </w:div>
    <w:div w:id="491258407">
      <w:bodyDiv w:val="1"/>
      <w:marLeft w:val="0"/>
      <w:marRight w:val="0"/>
      <w:marTop w:val="0"/>
      <w:marBottom w:val="0"/>
      <w:divBdr>
        <w:top w:val="none" w:sz="0" w:space="0" w:color="auto"/>
        <w:left w:val="none" w:sz="0" w:space="0" w:color="auto"/>
        <w:bottom w:val="none" w:sz="0" w:space="0" w:color="auto"/>
        <w:right w:val="none" w:sz="0" w:space="0" w:color="auto"/>
      </w:divBdr>
    </w:div>
    <w:div w:id="491332411">
      <w:bodyDiv w:val="1"/>
      <w:marLeft w:val="0"/>
      <w:marRight w:val="0"/>
      <w:marTop w:val="0"/>
      <w:marBottom w:val="0"/>
      <w:divBdr>
        <w:top w:val="none" w:sz="0" w:space="0" w:color="auto"/>
        <w:left w:val="none" w:sz="0" w:space="0" w:color="auto"/>
        <w:bottom w:val="none" w:sz="0" w:space="0" w:color="auto"/>
        <w:right w:val="none" w:sz="0" w:space="0" w:color="auto"/>
      </w:divBdr>
    </w:div>
    <w:div w:id="491336960">
      <w:bodyDiv w:val="1"/>
      <w:marLeft w:val="0"/>
      <w:marRight w:val="0"/>
      <w:marTop w:val="0"/>
      <w:marBottom w:val="0"/>
      <w:divBdr>
        <w:top w:val="none" w:sz="0" w:space="0" w:color="auto"/>
        <w:left w:val="none" w:sz="0" w:space="0" w:color="auto"/>
        <w:bottom w:val="none" w:sz="0" w:space="0" w:color="auto"/>
        <w:right w:val="none" w:sz="0" w:space="0" w:color="auto"/>
      </w:divBdr>
    </w:div>
    <w:div w:id="491339542">
      <w:bodyDiv w:val="1"/>
      <w:marLeft w:val="0"/>
      <w:marRight w:val="0"/>
      <w:marTop w:val="0"/>
      <w:marBottom w:val="0"/>
      <w:divBdr>
        <w:top w:val="none" w:sz="0" w:space="0" w:color="auto"/>
        <w:left w:val="none" w:sz="0" w:space="0" w:color="auto"/>
        <w:bottom w:val="none" w:sz="0" w:space="0" w:color="auto"/>
        <w:right w:val="none" w:sz="0" w:space="0" w:color="auto"/>
      </w:divBdr>
    </w:div>
    <w:div w:id="491411131">
      <w:bodyDiv w:val="1"/>
      <w:marLeft w:val="0"/>
      <w:marRight w:val="0"/>
      <w:marTop w:val="0"/>
      <w:marBottom w:val="0"/>
      <w:divBdr>
        <w:top w:val="none" w:sz="0" w:space="0" w:color="auto"/>
        <w:left w:val="none" w:sz="0" w:space="0" w:color="auto"/>
        <w:bottom w:val="none" w:sz="0" w:space="0" w:color="auto"/>
        <w:right w:val="none" w:sz="0" w:space="0" w:color="auto"/>
      </w:divBdr>
    </w:div>
    <w:div w:id="491529674">
      <w:bodyDiv w:val="1"/>
      <w:marLeft w:val="0"/>
      <w:marRight w:val="0"/>
      <w:marTop w:val="0"/>
      <w:marBottom w:val="0"/>
      <w:divBdr>
        <w:top w:val="none" w:sz="0" w:space="0" w:color="auto"/>
        <w:left w:val="none" w:sz="0" w:space="0" w:color="auto"/>
        <w:bottom w:val="none" w:sz="0" w:space="0" w:color="auto"/>
        <w:right w:val="none" w:sz="0" w:space="0" w:color="auto"/>
      </w:divBdr>
    </w:div>
    <w:div w:id="491601329">
      <w:bodyDiv w:val="1"/>
      <w:marLeft w:val="0"/>
      <w:marRight w:val="0"/>
      <w:marTop w:val="0"/>
      <w:marBottom w:val="0"/>
      <w:divBdr>
        <w:top w:val="none" w:sz="0" w:space="0" w:color="auto"/>
        <w:left w:val="none" w:sz="0" w:space="0" w:color="auto"/>
        <w:bottom w:val="none" w:sz="0" w:space="0" w:color="auto"/>
        <w:right w:val="none" w:sz="0" w:space="0" w:color="auto"/>
      </w:divBdr>
    </w:div>
    <w:div w:id="491604541">
      <w:bodyDiv w:val="1"/>
      <w:marLeft w:val="0"/>
      <w:marRight w:val="0"/>
      <w:marTop w:val="0"/>
      <w:marBottom w:val="0"/>
      <w:divBdr>
        <w:top w:val="none" w:sz="0" w:space="0" w:color="auto"/>
        <w:left w:val="none" w:sz="0" w:space="0" w:color="auto"/>
        <w:bottom w:val="none" w:sz="0" w:space="0" w:color="auto"/>
        <w:right w:val="none" w:sz="0" w:space="0" w:color="auto"/>
      </w:divBdr>
    </w:div>
    <w:div w:id="491677488">
      <w:bodyDiv w:val="1"/>
      <w:marLeft w:val="0"/>
      <w:marRight w:val="0"/>
      <w:marTop w:val="0"/>
      <w:marBottom w:val="0"/>
      <w:divBdr>
        <w:top w:val="none" w:sz="0" w:space="0" w:color="auto"/>
        <w:left w:val="none" w:sz="0" w:space="0" w:color="auto"/>
        <w:bottom w:val="none" w:sz="0" w:space="0" w:color="auto"/>
        <w:right w:val="none" w:sz="0" w:space="0" w:color="auto"/>
      </w:divBdr>
    </w:div>
    <w:div w:id="491799452">
      <w:bodyDiv w:val="1"/>
      <w:marLeft w:val="0"/>
      <w:marRight w:val="0"/>
      <w:marTop w:val="0"/>
      <w:marBottom w:val="0"/>
      <w:divBdr>
        <w:top w:val="none" w:sz="0" w:space="0" w:color="auto"/>
        <w:left w:val="none" w:sz="0" w:space="0" w:color="auto"/>
        <w:bottom w:val="none" w:sz="0" w:space="0" w:color="auto"/>
        <w:right w:val="none" w:sz="0" w:space="0" w:color="auto"/>
      </w:divBdr>
    </w:div>
    <w:div w:id="491800976">
      <w:bodyDiv w:val="1"/>
      <w:marLeft w:val="0"/>
      <w:marRight w:val="0"/>
      <w:marTop w:val="0"/>
      <w:marBottom w:val="0"/>
      <w:divBdr>
        <w:top w:val="none" w:sz="0" w:space="0" w:color="auto"/>
        <w:left w:val="none" w:sz="0" w:space="0" w:color="auto"/>
        <w:bottom w:val="none" w:sz="0" w:space="0" w:color="auto"/>
        <w:right w:val="none" w:sz="0" w:space="0" w:color="auto"/>
      </w:divBdr>
    </w:div>
    <w:div w:id="491871875">
      <w:bodyDiv w:val="1"/>
      <w:marLeft w:val="0"/>
      <w:marRight w:val="0"/>
      <w:marTop w:val="0"/>
      <w:marBottom w:val="0"/>
      <w:divBdr>
        <w:top w:val="none" w:sz="0" w:space="0" w:color="auto"/>
        <w:left w:val="none" w:sz="0" w:space="0" w:color="auto"/>
        <w:bottom w:val="none" w:sz="0" w:space="0" w:color="auto"/>
        <w:right w:val="none" w:sz="0" w:space="0" w:color="auto"/>
      </w:divBdr>
    </w:div>
    <w:div w:id="491872669">
      <w:bodyDiv w:val="1"/>
      <w:marLeft w:val="0"/>
      <w:marRight w:val="0"/>
      <w:marTop w:val="0"/>
      <w:marBottom w:val="0"/>
      <w:divBdr>
        <w:top w:val="none" w:sz="0" w:space="0" w:color="auto"/>
        <w:left w:val="none" w:sz="0" w:space="0" w:color="auto"/>
        <w:bottom w:val="none" w:sz="0" w:space="0" w:color="auto"/>
        <w:right w:val="none" w:sz="0" w:space="0" w:color="auto"/>
      </w:divBdr>
    </w:div>
    <w:div w:id="491944516">
      <w:bodyDiv w:val="1"/>
      <w:marLeft w:val="0"/>
      <w:marRight w:val="0"/>
      <w:marTop w:val="0"/>
      <w:marBottom w:val="0"/>
      <w:divBdr>
        <w:top w:val="none" w:sz="0" w:space="0" w:color="auto"/>
        <w:left w:val="none" w:sz="0" w:space="0" w:color="auto"/>
        <w:bottom w:val="none" w:sz="0" w:space="0" w:color="auto"/>
        <w:right w:val="none" w:sz="0" w:space="0" w:color="auto"/>
      </w:divBdr>
    </w:div>
    <w:div w:id="491992562">
      <w:bodyDiv w:val="1"/>
      <w:marLeft w:val="0"/>
      <w:marRight w:val="0"/>
      <w:marTop w:val="0"/>
      <w:marBottom w:val="0"/>
      <w:divBdr>
        <w:top w:val="none" w:sz="0" w:space="0" w:color="auto"/>
        <w:left w:val="none" w:sz="0" w:space="0" w:color="auto"/>
        <w:bottom w:val="none" w:sz="0" w:space="0" w:color="auto"/>
        <w:right w:val="none" w:sz="0" w:space="0" w:color="auto"/>
      </w:divBdr>
    </w:div>
    <w:div w:id="492064401">
      <w:bodyDiv w:val="1"/>
      <w:marLeft w:val="0"/>
      <w:marRight w:val="0"/>
      <w:marTop w:val="0"/>
      <w:marBottom w:val="0"/>
      <w:divBdr>
        <w:top w:val="none" w:sz="0" w:space="0" w:color="auto"/>
        <w:left w:val="none" w:sz="0" w:space="0" w:color="auto"/>
        <w:bottom w:val="none" w:sz="0" w:space="0" w:color="auto"/>
        <w:right w:val="none" w:sz="0" w:space="0" w:color="auto"/>
      </w:divBdr>
    </w:div>
    <w:div w:id="492259367">
      <w:bodyDiv w:val="1"/>
      <w:marLeft w:val="0"/>
      <w:marRight w:val="0"/>
      <w:marTop w:val="0"/>
      <w:marBottom w:val="0"/>
      <w:divBdr>
        <w:top w:val="none" w:sz="0" w:space="0" w:color="auto"/>
        <w:left w:val="none" w:sz="0" w:space="0" w:color="auto"/>
        <w:bottom w:val="none" w:sz="0" w:space="0" w:color="auto"/>
        <w:right w:val="none" w:sz="0" w:space="0" w:color="auto"/>
      </w:divBdr>
    </w:div>
    <w:div w:id="492330964">
      <w:bodyDiv w:val="1"/>
      <w:marLeft w:val="0"/>
      <w:marRight w:val="0"/>
      <w:marTop w:val="0"/>
      <w:marBottom w:val="0"/>
      <w:divBdr>
        <w:top w:val="none" w:sz="0" w:space="0" w:color="auto"/>
        <w:left w:val="none" w:sz="0" w:space="0" w:color="auto"/>
        <w:bottom w:val="none" w:sz="0" w:space="0" w:color="auto"/>
        <w:right w:val="none" w:sz="0" w:space="0" w:color="auto"/>
      </w:divBdr>
    </w:div>
    <w:div w:id="492333704">
      <w:bodyDiv w:val="1"/>
      <w:marLeft w:val="0"/>
      <w:marRight w:val="0"/>
      <w:marTop w:val="0"/>
      <w:marBottom w:val="0"/>
      <w:divBdr>
        <w:top w:val="none" w:sz="0" w:space="0" w:color="auto"/>
        <w:left w:val="none" w:sz="0" w:space="0" w:color="auto"/>
        <w:bottom w:val="none" w:sz="0" w:space="0" w:color="auto"/>
        <w:right w:val="none" w:sz="0" w:space="0" w:color="auto"/>
      </w:divBdr>
    </w:div>
    <w:div w:id="492648266">
      <w:bodyDiv w:val="1"/>
      <w:marLeft w:val="0"/>
      <w:marRight w:val="0"/>
      <w:marTop w:val="0"/>
      <w:marBottom w:val="0"/>
      <w:divBdr>
        <w:top w:val="none" w:sz="0" w:space="0" w:color="auto"/>
        <w:left w:val="none" w:sz="0" w:space="0" w:color="auto"/>
        <w:bottom w:val="none" w:sz="0" w:space="0" w:color="auto"/>
        <w:right w:val="none" w:sz="0" w:space="0" w:color="auto"/>
      </w:divBdr>
    </w:div>
    <w:div w:id="492837995">
      <w:bodyDiv w:val="1"/>
      <w:marLeft w:val="0"/>
      <w:marRight w:val="0"/>
      <w:marTop w:val="0"/>
      <w:marBottom w:val="0"/>
      <w:divBdr>
        <w:top w:val="none" w:sz="0" w:space="0" w:color="auto"/>
        <w:left w:val="none" w:sz="0" w:space="0" w:color="auto"/>
        <w:bottom w:val="none" w:sz="0" w:space="0" w:color="auto"/>
        <w:right w:val="none" w:sz="0" w:space="0" w:color="auto"/>
      </w:divBdr>
    </w:div>
    <w:div w:id="492840241">
      <w:bodyDiv w:val="1"/>
      <w:marLeft w:val="0"/>
      <w:marRight w:val="0"/>
      <w:marTop w:val="0"/>
      <w:marBottom w:val="0"/>
      <w:divBdr>
        <w:top w:val="none" w:sz="0" w:space="0" w:color="auto"/>
        <w:left w:val="none" w:sz="0" w:space="0" w:color="auto"/>
        <w:bottom w:val="none" w:sz="0" w:space="0" w:color="auto"/>
        <w:right w:val="none" w:sz="0" w:space="0" w:color="auto"/>
      </w:divBdr>
    </w:div>
    <w:div w:id="492916797">
      <w:bodyDiv w:val="1"/>
      <w:marLeft w:val="0"/>
      <w:marRight w:val="0"/>
      <w:marTop w:val="0"/>
      <w:marBottom w:val="0"/>
      <w:divBdr>
        <w:top w:val="none" w:sz="0" w:space="0" w:color="auto"/>
        <w:left w:val="none" w:sz="0" w:space="0" w:color="auto"/>
        <w:bottom w:val="none" w:sz="0" w:space="0" w:color="auto"/>
        <w:right w:val="none" w:sz="0" w:space="0" w:color="auto"/>
      </w:divBdr>
    </w:div>
    <w:div w:id="493108504">
      <w:bodyDiv w:val="1"/>
      <w:marLeft w:val="0"/>
      <w:marRight w:val="0"/>
      <w:marTop w:val="0"/>
      <w:marBottom w:val="0"/>
      <w:divBdr>
        <w:top w:val="none" w:sz="0" w:space="0" w:color="auto"/>
        <w:left w:val="none" w:sz="0" w:space="0" w:color="auto"/>
        <w:bottom w:val="none" w:sz="0" w:space="0" w:color="auto"/>
        <w:right w:val="none" w:sz="0" w:space="0" w:color="auto"/>
      </w:divBdr>
    </w:div>
    <w:div w:id="493493732">
      <w:bodyDiv w:val="1"/>
      <w:marLeft w:val="0"/>
      <w:marRight w:val="0"/>
      <w:marTop w:val="0"/>
      <w:marBottom w:val="0"/>
      <w:divBdr>
        <w:top w:val="none" w:sz="0" w:space="0" w:color="auto"/>
        <w:left w:val="none" w:sz="0" w:space="0" w:color="auto"/>
        <w:bottom w:val="none" w:sz="0" w:space="0" w:color="auto"/>
        <w:right w:val="none" w:sz="0" w:space="0" w:color="auto"/>
      </w:divBdr>
    </w:div>
    <w:div w:id="493569549">
      <w:bodyDiv w:val="1"/>
      <w:marLeft w:val="0"/>
      <w:marRight w:val="0"/>
      <w:marTop w:val="0"/>
      <w:marBottom w:val="0"/>
      <w:divBdr>
        <w:top w:val="none" w:sz="0" w:space="0" w:color="auto"/>
        <w:left w:val="none" w:sz="0" w:space="0" w:color="auto"/>
        <w:bottom w:val="none" w:sz="0" w:space="0" w:color="auto"/>
        <w:right w:val="none" w:sz="0" w:space="0" w:color="auto"/>
      </w:divBdr>
    </w:div>
    <w:div w:id="493572830">
      <w:bodyDiv w:val="1"/>
      <w:marLeft w:val="0"/>
      <w:marRight w:val="0"/>
      <w:marTop w:val="0"/>
      <w:marBottom w:val="0"/>
      <w:divBdr>
        <w:top w:val="none" w:sz="0" w:space="0" w:color="auto"/>
        <w:left w:val="none" w:sz="0" w:space="0" w:color="auto"/>
        <w:bottom w:val="none" w:sz="0" w:space="0" w:color="auto"/>
        <w:right w:val="none" w:sz="0" w:space="0" w:color="auto"/>
      </w:divBdr>
    </w:div>
    <w:div w:id="493617473">
      <w:bodyDiv w:val="1"/>
      <w:marLeft w:val="0"/>
      <w:marRight w:val="0"/>
      <w:marTop w:val="0"/>
      <w:marBottom w:val="0"/>
      <w:divBdr>
        <w:top w:val="none" w:sz="0" w:space="0" w:color="auto"/>
        <w:left w:val="none" w:sz="0" w:space="0" w:color="auto"/>
        <w:bottom w:val="none" w:sz="0" w:space="0" w:color="auto"/>
        <w:right w:val="none" w:sz="0" w:space="0" w:color="auto"/>
      </w:divBdr>
    </w:div>
    <w:div w:id="493683489">
      <w:bodyDiv w:val="1"/>
      <w:marLeft w:val="0"/>
      <w:marRight w:val="0"/>
      <w:marTop w:val="0"/>
      <w:marBottom w:val="0"/>
      <w:divBdr>
        <w:top w:val="none" w:sz="0" w:space="0" w:color="auto"/>
        <w:left w:val="none" w:sz="0" w:space="0" w:color="auto"/>
        <w:bottom w:val="none" w:sz="0" w:space="0" w:color="auto"/>
        <w:right w:val="none" w:sz="0" w:space="0" w:color="auto"/>
      </w:divBdr>
    </w:div>
    <w:div w:id="494078273">
      <w:bodyDiv w:val="1"/>
      <w:marLeft w:val="0"/>
      <w:marRight w:val="0"/>
      <w:marTop w:val="0"/>
      <w:marBottom w:val="0"/>
      <w:divBdr>
        <w:top w:val="none" w:sz="0" w:space="0" w:color="auto"/>
        <w:left w:val="none" w:sz="0" w:space="0" w:color="auto"/>
        <w:bottom w:val="none" w:sz="0" w:space="0" w:color="auto"/>
        <w:right w:val="none" w:sz="0" w:space="0" w:color="auto"/>
      </w:divBdr>
    </w:div>
    <w:div w:id="494151538">
      <w:bodyDiv w:val="1"/>
      <w:marLeft w:val="0"/>
      <w:marRight w:val="0"/>
      <w:marTop w:val="0"/>
      <w:marBottom w:val="0"/>
      <w:divBdr>
        <w:top w:val="none" w:sz="0" w:space="0" w:color="auto"/>
        <w:left w:val="none" w:sz="0" w:space="0" w:color="auto"/>
        <w:bottom w:val="none" w:sz="0" w:space="0" w:color="auto"/>
        <w:right w:val="none" w:sz="0" w:space="0" w:color="auto"/>
      </w:divBdr>
    </w:div>
    <w:div w:id="494153573">
      <w:bodyDiv w:val="1"/>
      <w:marLeft w:val="0"/>
      <w:marRight w:val="0"/>
      <w:marTop w:val="0"/>
      <w:marBottom w:val="0"/>
      <w:divBdr>
        <w:top w:val="none" w:sz="0" w:space="0" w:color="auto"/>
        <w:left w:val="none" w:sz="0" w:space="0" w:color="auto"/>
        <w:bottom w:val="none" w:sz="0" w:space="0" w:color="auto"/>
        <w:right w:val="none" w:sz="0" w:space="0" w:color="auto"/>
      </w:divBdr>
    </w:div>
    <w:div w:id="494221065">
      <w:bodyDiv w:val="1"/>
      <w:marLeft w:val="0"/>
      <w:marRight w:val="0"/>
      <w:marTop w:val="0"/>
      <w:marBottom w:val="0"/>
      <w:divBdr>
        <w:top w:val="none" w:sz="0" w:space="0" w:color="auto"/>
        <w:left w:val="none" w:sz="0" w:space="0" w:color="auto"/>
        <w:bottom w:val="none" w:sz="0" w:space="0" w:color="auto"/>
        <w:right w:val="none" w:sz="0" w:space="0" w:color="auto"/>
      </w:divBdr>
    </w:div>
    <w:div w:id="494221838">
      <w:bodyDiv w:val="1"/>
      <w:marLeft w:val="0"/>
      <w:marRight w:val="0"/>
      <w:marTop w:val="0"/>
      <w:marBottom w:val="0"/>
      <w:divBdr>
        <w:top w:val="none" w:sz="0" w:space="0" w:color="auto"/>
        <w:left w:val="none" w:sz="0" w:space="0" w:color="auto"/>
        <w:bottom w:val="none" w:sz="0" w:space="0" w:color="auto"/>
        <w:right w:val="none" w:sz="0" w:space="0" w:color="auto"/>
      </w:divBdr>
    </w:div>
    <w:div w:id="494301576">
      <w:bodyDiv w:val="1"/>
      <w:marLeft w:val="0"/>
      <w:marRight w:val="0"/>
      <w:marTop w:val="0"/>
      <w:marBottom w:val="0"/>
      <w:divBdr>
        <w:top w:val="none" w:sz="0" w:space="0" w:color="auto"/>
        <w:left w:val="none" w:sz="0" w:space="0" w:color="auto"/>
        <w:bottom w:val="none" w:sz="0" w:space="0" w:color="auto"/>
        <w:right w:val="none" w:sz="0" w:space="0" w:color="auto"/>
      </w:divBdr>
    </w:div>
    <w:div w:id="494417822">
      <w:bodyDiv w:val="1"/>
      <w:marLeft w:val="0"/>
      <w:marRight w:val="0"/>
      <w:marTop w:val="0"/>
      <w:marBottom w:val="0"/>
      <w:divBdr>
        <w:top w:val="none" w:sz="0" w:space="0" w:color="auto"/>
        <w:left w:val="none" w:sz="0" w:space="0" w:color="auto"/>
        <w:bottom w:val="none" w:sz="0" w:space="0" w:color="auto"/>
        <w:right w:val="none" w:sz="0" w:space="0" w:color="auto"/>
      </w:divBdr>
    </w:div>
    <w:div w:id="494498529">
      <w:bodyDiv w:val="1"/>
      <w:marLeft w:val="0"/>
      <w:marRight w:val="0"/>
      <w:marTop w:val="0"/>
      <w:marBottom w:val="0"/>
      <w:divBdr>
        <w:top w:val="none" w:sz="0" w:space="0" w:color="auto"/>
        <w:left w:val="none" w:sz="0" w:space="0" w:color="auto"/>
        <w:bottom w:val="none" w:sz="0" w:space="0" w:color="auto"/>
        <w:right w:val="none" w:sz="0" w:space="0" w:color="auto"/>
      </w:divBdr>
    </w:div>
    <w:div w:id="494541306">
      <w:bodyDiv w:val="1"/>
      <w:marLeft w:val="0"/>
      <w:marRight w:val="0"/>
      <w:marTop w:val="0"/>
      <w:marBottom w:val="0"/>
      <w:divBdr>
        <w:top w:val="none" w:sz="0" w:space="0" w:color="auto"/>
        <w:left w:val="none" w:sz="0" w:space="0" w:color="auto"/>
        <w:bottom w:val="none" w:sz="0" w:space="0" w:color="auto"/>
        <w:right w:val="none" w:sz="0" w:space="0" w:color="auto"/>
      </w:divBdr>
    </w:div>
    <w:div w:id="494682831">
      <w:bodyDiv w:val="1"/>
      <w:marLeft w:val="0"/>
      <w:marRight w:val="0"/>
      <w:marTop w:val="0"/>
      <w:marBottom w:val="0"/>
      <w:divBdr>
        <w:top w:val="none" w:sz="0" w:space="0" w:color="auto"/>
        <w:left w:val="none" w:sz="0" w:space="0" w:color="auto"/>
        <w:bottom w:val="none" w:sz="0" w:space="0" w:color="auto"/>
        <w:right w:val="none" w:sz="0" w:space="0" w:color="auto"/>
      </w:divBdr>
    </w:div>
    <w:div w:id="494877823">
      <w:bodyDiv w:val="1"/>
      <w:marLeft w:val="0"/>
      <w:marRight w:val="0"/>
      <w:marTop w:val="0"/>
      <w:marBottom w:val="0"/>
      <w:divBdr>
        <w:top w:val="none" w:sz="0" w:space="0" w:color="auto"/>
        <w:left w:val="none" w:sz="0" w:space="0" w:color="auto"/>
        <w:bottom w:val="none" w:sz="0" w:space="0" w:color="auto"/>
        <w:right w:val="none" w:sz="0" w:space="0" w:color="auto"/>
      </w:divBdr>
    </w:div>
    <w:div w:id="494878449">
      <w:bodyDiv w:val="1"/>
      <w:marLeft w:val="0"/>
      <w:marRight w:val="0"/>
      <w:marTop w:val="0"/>
      <w:marBottom w:val="0"/>
      <w:divBdr>
        <w:top w:val="none" w:sz="0" w:space="0" w:color="auto"/>
        <w:left w:val="none" w:sz="0" w:space="0" w:color="auto"/>
        <w:bottom w:val="none" w:sz="0" w:space="0" w:color="auto"/>
        <w:right w:val="none" w:sz="0" w:space="0" w:color="auto"/>
      </w:divBdr>
    </w:div>
    <w:div w:id="494879402">
      <w:bodyDiv w:val="1"/>
      <w:marLeft w:val="0"/>
      <w:marRight w:val="0"/>
      <w:marTop w:val="0"/>
      <w:marBottom w:val="0"/>
      <w:divBdr>
        <w:top w:val="none" w:sz="0" w:space="0" w:color="auto"/>
        <w:left w:val="none" w:sz="0" w:space="0" w:color="auto"/>
        <w:bottom w:val="none" w:sz="0" w:space="0" w:color="auto"/>
        <w:right w:val="none" w:sz="0" w:space="0" w:color="auto"/>
      </w:divBdr>
    </w:div>
    <w:div w:id="494880088">
      <w:bodyDiv w:val="1"/>
      <w:marLeft w:val="0"/>
      <w:marRight w:val="0"/>
      <w:marTop w:val="0"/>
      <w:marBottom w:val="0"/>
      <w:divBdr>
        <w:top w:val="none" w:sz="0" w:space="0" w:color="auto"/>
        <w:left w:val="none" w:sz="0" w:space="0" w:color="auto"/>
        <w:bottom w:val="none" w:sz="0" w:space="0" w:color="auto"/>
        <w:right w:val="none" w:sz="0" w:space="0" w:color="auto"/>
      </w:divBdr>
    </w:div>
    <w:div w:id="494881535">
      <w:bodyDiv w:val="1"/>
      <w:marLeft w:val="0"/>
      <w:marRight w:val="0"/>
      <w:marTop w:val="0"/>
      <w:marBottom w:val="0"/>
      <w:divBdr>
        <w:top w:val="none" w:sz="0" w:space="0" w:color="auto"/>
        <w:left w:val="none" w:sz="0" w:space="0" w:color="auto"/>
        <w:bottom w:val="none" w:sz="0" w:space="0" w:color="auto"/>
        <w:right w:val="none" w:sz="0" w:space="0" w:color="auto"/>
      </w:divBdr>
    </w:div>
    <w:div w:id="494882933">
      <w:bodyDiv w:val="1"/>
      <w:marLeft w:val="0"/>
      <w:marRight w:val="0"/>
      <w:marTop w:val="0"/>
      <w:marBottom w:val="0"/>
      <w:divBdr>
        <w:top w:val="none" w:sz="0" w:space="0" w:color="auto"/>
        <w:left w:val="none" w:sz="0" w:space="0" w:color="auto"/>
        <w:bottom w:val="none" w:sz="0" w:space="0" w:color="auto"/>
        <w:right w:val="none" w:sz="0" w:space="0" w:color="auto"/>
      </w:divBdr>
    </w:div>
    <w:div w:id="494883508">
      <w:bodyDiv w:val="1"/>
      <w:marLeft w:val="0"/>
      <w:marRight w:val="0"/>
      <w:marTop w:val="0"/>
      <w:marBottom w:val="0"/>
      <w:divBdr>
        <w:top w:val="none" w:sz="0" w:space="0" w:color="auto"/>
        <w:left w:val="none" w:sz="0" w:space="0" w:color="auto"/>
        <w:bottom w:val="none" w:sz="0" w:space="0" w:color="auto"/>
        <w:right w:val="none" w:sz="0" w:space="0" w:color="auto"/>
      </w:divBdr>
    </w:div>
    <w:div w:id="494952642">
      <w:bodyDiv w:val="1"/>
      <w:marLeft w:val="0"/>
      <w:marRight w:val="0"/>
      <w:marTop w:val="0"/>
      <w:marBottom w:val="0"/>
      <w:divBdr>
        <w:top w:val="none" w:sz="0" w:space="0" w:color="auto"/>
        <w:left w:val="none" w:sz="0" w:space="0" w:color="auto"/>
        <w:bottom w:val="none" w:sz="0" w:space="0" w:color="auto"/>
        <w:right w:val="none" w:sz="0" w:space="0" w:color="auto"/>
      </w:divBdr>
    </w:div>
    <w:div w:id="494955360">
      <w:bodyDiv w:val="1"/>
      <w:marLeft w:val="0"/>
      <w:marRight w:val="0"/>
      <w:marTop w:val="0"/>
      <w:marBottom w:val="0"/>
      <w:divBdr>
        <w:top w:val="none" w:sz="0" w:space="0" w:color="auto"/>
        <w:left w:val="none" w:sz="0" w:space="0" w:color="auto"/>
        <w:bottom w:val="none" w:sz="0" w:space="0" w:color="auto"/>
        <w:right w:val="none" w:sz="0" w:space="0" w:color="auto"/>
      </w:divBdr>
    </w:div>
    <w:div w:id="494999493">
      <w:bodyDiv w:val="1"/>
      <w:marLeft w:val="0"/>
      <w:marRight w:val="0"/>
      <w:marTop w:val="0"/>
      <w:marBottom w:val="0"/>
      <w:divBdr>
        <w:top w:val="none" w:sz="0" w:space="0" w:color="auto"/>
        <w:left w:val="none" w:sz="0" w:space="0" w:color="auto"/>
        <w:bottom w:val="none" w:sz="0" w:space="0" w:color="auto"/>
        <w:right w:val="none" w:sz="0" w:space="0" w:color="auto"/>
      </w:divBdr>
    </w:div>
    <w:div w:id="495071042">
      <w:bodyDiv w:val="1"/>
      <w:marLeft w:val="0"/>
      <w:marRight w:val="0"/>
      <w:marTop w:val="0"/>
      <w:marBottom w:val="0"/>
      <w:divBdr>
        <w:top w:val="none" w:sz="0" w:space="0" w:color="auto"/>
        <w:left w:val="none" w:sz="0" w:space="0" w:color="auto"/>
        <w:bottom w:val="none" w:sz="0" w:space="0" w:color="auto"/>
        <w:right w:val="none" w:sz="0" w:space="0" w:color="auto"/>
      </w:divBdr>
    </w:div>
    <w:div w:id="495071383">
      <w:bodyDiv w:val="1"/>
      <w:marLeft w:val="0"/>
      <w:marRight w:val="0"/>
      <w:marTop w:val="0"/>
      <w:marBottom w:val="0"/>
      <w:divBdr>
        <w:top w:val="none" w:sz="0" w:space="0" w:color="auto"/>
        <w:left w:val="none" w:sz="0" w:space="0" w:color="auto"/>
        <w:bottom w:val="none" w:sz="0" w:space="0" w:color="auto"/>
        <w:right w:val="none" w:sz="0" w:space="0" w:color="auto"/>
      </w:divBdr>
    </w:div>
    <w:div w:id="495146929">
      <w:bodyDiv w:val="1"/>
      <w:marLeft w:val="0"/>
      <w:marRight w:val="0"/>
      <w:marTop w:val="0"/>
      <w:marBottom w:val="0"/>
      <w:divBdr>
        <w:top w:val="none" w:sz="0" w:space="0" w:color="auto"/>
        <w:left w:val="none" w:sz="0" w:space="0" w:color="auto"/>
        <w:bottom w:val="none" w:sz="0" w:space="0" w:color="auto"/>
        <w:right w:val="none" w:sz="0" w:space="0" w:color="auto"/>
      </w:divBdr>
    </w:div>
    <w:div w:id="495192325">
      <w:bodyDiv w:val="1"/>
      <w:marLeft w:val="0"/>
      <w:marRight w:val="0"/>
      <w:marTop w:val="0"/>
      <w:marBottom w:val="0"/>
      <w:divBdr>
        <w:top w:val="none" w:sz="0" w:space="0" w:color="auto"/>
        <w:left w:val="none" w:sz="0" w:space="0" w:color="auto"/>
        <w:bottom w:val="none" w:sz="0" w:space="0" w:color="auto"/>
        <w:right w:val="none" w:sz="0" w:space="0" w:color="auto"/>
      </w:divBdr>
    </w:div>
    <w:div w:id="495195715">
      <w:bodyDiv w:val="1"/>
      <w:marLeft w:val="0"/>
      <w:marRight w:val="0"/>
      <w:marTop w:val="0"/>
      <w:marBottom w:val="0"/>
      <w:divBdr>
        <w:top w:val="none" w:sz="0" w:space="0" w:color="auto"/>
        <w:left w:val="none" w:sz="0" w:space="0" w:color="auto"/>
        <w:bottom w:val="none" w:sz="0" w:space="0" w:color="auto"/>
        <w:right w:val="none" w:sz="0" w:space="0" w:color="auto"/>
      </w:divBdr>
    </w:div>
    <w:div w:id="495196853">
      <w:bodyDiv w:val="1"/>
      <w:marLeft w:val="0"/>
      <w:marRight w:val="0"/>
      <w:marTop w:val="0"/>
      <w:marBottom w:val="0"/>
      <w:divBdr>
        <w:top w:val="none" w:sz="0" w:space="0" w:color="auto"/>
        <w:left w:val="none" w:sz="0" w:space="0" w:color="auto"/>
        <w:bottom w:val="none" w:sz="0" w:space="0" w:color="auto"/>
        <w:right w:val="none" w:sz="0" w:space="0" w:color="auto"/>
      </w:divBdr>
    </w:div>
    <w:div w:id="495271067">
      <w:bodyDiv w:val="1"/>
      <w:marLeft w:val="0"/>
      <w:marRight w:val="0"/>
      <w:marTop w:val="0"/>
      <w:marBottom w:val="0"/>
      <w:divBdr>
        <w:top w:val="none" w:sz="0" w:space="0" w:color="auto"/>
        <w:left w:val="none" w:sz="0" w:space="0" w:color="auto"/>
        <w:bottom w:val="none" w:sz="0" w:space="0" w:color="auto"/>
        <w:right w:val="none" w:sz="0" w:space="0" w:color="auto"/>
      </w:divBdr>
    </w:div>
    <w:div w:id="495271200">
      <w:bodyDiv w:val="1"/>
      <w:marLeft w:val="0"/>
      <w:marRight w:val="0"/>
      <w:marTop w:val="0"/>
      <w:marBottom w:val="0"/>
      <w:divBdr>
        <w:top w:val="none" w:sz="0" w:space="0" w:color="auto"/>
        <w:left w:val="none" w:sz="0" w:space="0" w:color="auto"/>
        <w:bottom w:val="none" w:sz="0" w:space="0" w:color="auto"/>
        <w:right w:val="none" w:sz="0" w:space="0" w:color="auto"/>
      </w:divBdr>
    </w:div>
    <w:div w:id="495338670">
      <w:bodyDiv w:val="1"/>
      <w:marLeft w:val="0"/>
      <w:marRight w:val="0"/>
      <w:marTop w:val="0"/>
      <w:marBottom w:val="0"/>
      <w:divBdr>
        <w:top w:val="none" w:sz="0" w:space="0" w:color="auto"/>
        <w:left w:val="none" w:sz="0" w:space="0" w:color="auto"/>
        <w:bottom w:val="none" w:sz="0" w:space="0" w:color="auto"/>
        <w:right w:val="none" w:sz="0" w:space="0" w:color="auto"/>
      </w:divBdr>
    </w:div>
    <w:div w:id="495341919">
      <w:bodyDiv w:val="1"/>
      <w:marLeft w:val="0"/>
      <w:marRight w:val="0"/>
      <w:marTop w:val="0"/>
      <w:marBottom w:val="0"/>
      <w:divBdr>
        <w:top w:val="none" w:sz="0" w:space="0" w:color="auto"/>
        <w:left w:val="none" w:sz="0" w:space="0" w:color="auto"/>
        <w:bottom w:val="none" w:sz="0" w:space="0" w:color="auto"/>
        <w:right w:val="none" w:sz="0" w:space="0" w:color="auto"/>
      </w:divBdr>
    </w:div>
    <w:div w:id="495346276">
      <w:bodyDiv w:val="1"/>
      <w:marLeft w:val="0"/>
      <w:marRight w:val="0"/>
      <w:marTop w:val="0"/>
      <w:marBottom w:val="0"/>
      <w:divBdr>
        <w:top w:val="none" w:sz="0" w:space="0" w:color="auto"/>
        <w:left w:val="none" w:sz="0" w:space="0" w:color="auto"/>
        <w:bottom w:val="none" w:sz="0" w:space="0" w:color="auto"/>
        <w:right w:val="none" w:sz="0" w:space="0" w:color="auto"/>
      </w:divBdr>
    </w:div>
    <w:div w:id="495387652">
      <w:bodyDiv w:val="1"/>
      <w:marLeft w:val="0"/>
      <w:marRight w:val="0"/>
      <w:marTop w:val="0"/>
      <w:marBottom w:val="0"/>
      <w:divBdr>
        <w:top w:val="none" w:sz="0" w:space="0" w:color="auto"/>
        <w:left w:val="none" w:sz="0" w:space="0" w:color="auto"/>
        <w:bottom w:val="none" w:sz="0" w:space="0" w:color="auto"/>
        <w:right w:val="none" w:sz="0" w:space="0" w:color="auto"/>
      </w:divBdr>
    </w:div>
    <w:div w:id="495388206">
      <w:bodyDiv w:val="1"/>
      <w:marLeft w:val="0"/>
      <w:marRight w:val="0"/>
      <w:marTop w:val="0"/>
      <w:marBottom w:val="0"/>
      <w:divBdr>
        <w:top w:val="none" w:sz="0" w:space="0" w:color="auto"/>
        <w:left w:val="none" w:sz="0" w:space="0" w:color="auto"/>
        <w:bottom w:val="none" w:sz="0" w:space="0" w:color="auto"/>
        <w:right w:val="none" w:sz="0" w:space="0" w:color="auto"/>
      </w:divBdr>
    </w:div>
    <w:div w:id="495413432">
      <w:bodyDiv w:val="1"/>
      <w:marLeft w:val="0"/>
      <w:marRight w:val="0"/>
      <w:marTop w:val="0"/>
      <w:marBottom w:val="0"/>
      <w:divBdr>
        <w:top w:val="none" w:sz="0" w:space="0" w:color="auto"/>
        <w:left w:val="none" w:sz="0" w:space="0" w:color="auto"/>
        <w:bottom w:val="none" w:sz="0" w:space="0" w:color="auto"/>
        <w:right w:val="none" w:sz="0" w:space="0" w:color="auto"/>
      </w:divBdr>
    </w:div>
    <w:div w:id="495413763">
      <w:bodyDiv w:val="1"/>
      <w:marLeft w:val="0"/>
      <w:marRight w:val="0"/>
      <w:marTop w:val="0"/>
      <w:marBottom w:val="0"/>
      <w:divBdr>
        <w:top w:val="none" w:sz="0" w:space="0" w:color="auto"/>
        <w:left w:val="none" w:sz="0" w:space="0" w:color="auto"/>
        <w:bottom w:val="none" w:sz="0" w:space="0" w:color="auto"/>
        <w:right w:val="none" w:sz="0" w:space="0" w:color="auto"/>
      </w:divBdr>
    </w:div>
    <w:div w:id="495416622">
      <w:bodyDiv w:val="1"/>
      <w:marLeft w:val="0"/>
      <w:marRight w:val="0"/>
      <w:marTop w:val="0"/>
      <w:marBottom w:val="0"/>
      <w:divBdr>
        <w:top w:val="none" w:sz="0" w:space="0" w:color="auto"/>
        <w:left w:val="none" w:sz="0" w:space="0" w:color="auto"/>
        <w:bottom w:val="none" w:sz="0" w:space="0" w:color="auto"/>
        <w:right w:val="none" w:sz="0" w:space="0" w:color="auto"/>
      </w:divBdr>
    </w:div>
    <w:div w:id="495461714">
      <w:bodyDiv w:val="1"/>
      <w:marLeft w:val="0"/>
      <w:marRight w:val="0"/>
      <w:marTop w:val="0"/>
      <w:marBottom w:val="0"/>
      <w:divBdr>
        <w:top w:val="none" w:sz="0" w:space="0" w:color="auto"/>
        <w:left w:val="none" w:sz="0" w:space="0" w:color="auto"/>
        <w:bottom w:val="none" w:sz="0" w:space="0" w:color="auto"/>
        <w:right w:val="none" w:sz="0" w:space="0" w:color="auto"/>
      </w:divBdr>
    </w:div>
    <w:div w:id="495611952">
      <w:bodyDiv w:val="1"/>
      <w:marLeft w:val="0"/>
      <w:marRight w:val="0"/>
      <w:marTop w:val="0"/>
      <w:marBottom w:val="0"/>
      <w:divBdr>
        <w:top w:val="none" w:sz="0" w:space="0" w:color="auto"/>
        <w:left w:val="none" w:sz="0" w:space="0" w:color="auto"/>
        <w:bottom w:val="none" w:sz="0" w:space="0" w:color="auto"/>
        <w:right w:val="none" w:sz="0" w:space="0" w:color="auto"/>
      </w:divBdr>
    </w:div>
    <w:div w:id="495652666">
      <w:bodyDiv w:val="1"/>
      <w:marLeft w:val="0"/>
      <w:marRight w:val="0"/>
      <w:marTop w:val="0"/>
      <w:marBottom w:val="0"/>
      <w:divBdr>
        <w:top w:val="none" w:sz="0" w:space="0" w:color="auto"/>
        <w:left w:val="none" w:sz="0" w:space="0" w:color="auto"/>
        <w:bottom w:val="none" w:sz="0" w:space="0" w:color="auto"/>
        <w:right w:val="none" w:sz="0" w:space="0" w:color="auto"/>
      </w:divBdr>
    </w:div>
    <w:div w:id="495653114">
      <w:bodyDiv w:val="1"/>
      <w:marLeft w:val="0"/>
      <w:marRight w:val="0"/>
      <w:marTop w:val="0"/>
      <w:marBottom w:val="0"/>
      <w:divBdr>
        <w:top w:val="none" w:sz="0" w:space="0" w:color="auto"/>
        <w:left w:val="none" w:sz="0" w:space="0" w:color="auto"/>
        <w:bottom w:val="none" w:sz="0" w:space="0" w:color="auto"/>
        <w:right w:val="none" w:sz="0" w:space="0" w:color="auto"/>
      </w:divBdr>
    </w:div>
    <w:div w:id="495727086">
      <w:bodyDiv w:val="1"/>
      <w:marLeft w:val="0"/>
      <w:marRight w:val="0"/>
      <w:marTop w:val="0"/>
      <w:marBottom w:val="0"/>
      <w:divBdr>
        <w:top w:val="none" w:sz="0" w:space="0" w:color="auto"/>
        <w:left w:val="none" w:sz="0" w:space="0" w:color="auto"/>
        <w:bottom w:val="none" w:sz="0" w:space="0" w:color="auto"/>
        <w:right w:val="none" w:sz="0" w:space="0" w:color="auto"/>
      </w:divBdr>
    </w:div>
    <w:div w:id="495806135">
      <w:bodyDiv w:val="1"/>
      <w:marLeft w:val="0"/>
      <w:marRight w:val="0"/>
      <w:marTop w:val="0"/>
      <w:marBottom w:val="0"/>
      <w:divBdr>
        <w:top w:val="none" w:sz="0" w:space="0" w:color="auto"/>
        <w:left w:val="none" w:sz="0" w:space="0" w:color="auto"/>
        <w:bottom w:val="none" w:sz="0" w:space="0" w:color="auto"/>
        <w:right w:val="none" w:sz="0" w:space="0" w:color="auto"/>
      </w:divBdr>
    </w:div>
    <w:div w:id="495846470">
      <w:bodyDiv w:val="1"/>
      <w:marLeft w:val="0"/>
      <w:marRight w:val="0"/>
      <w:marTop w:val="0"/>
      <w:marBottom w:val="0"/>
      <w:divBdr>
        <w:top w:val="none" w:sz="0" w:space="0" w:color="auto"/>
        <w:left w:val="none" w:sz="0" w:space="0" w:color="auto"/>
        <w:bottom w:val="none" w:sz="0" w:space="0" w:color="auto"/>
        <w:right w:val="none" w:sz="0" w:space="0" w:color="auto"/>
      </w:divBdr>
    </w:div>
    <w:div w:id="495925354">
      <w:bodyDiv w:val="1"/>
      <w:marLeft w:val="0"/>
      <w:marRight w:val="0"/>
      <w:marTop w:val="0"/>
      <w:marBottom w:val="0"/>
      <w:divBdr>
        <w:top w:val="none" w:sz="0" w:space="0" w:color="auto"/>
        <w:left w:val="none" w:sz="0" w:space="0" w:color="auto"/>
        <w:bottom w:val="none" w:sz="0" w:space="0" w:color="auto"/>
        <w:right w:val="none" w:sz="0" w:space="0" w:color="auto"/>
      </w:divBdr>
    </w:div>
    <w:div w:id="496043566">
      <w:bodyDiv w:val="1"/>
      <w:marLeft w:val="0"/>
      <w:marRight w:val="0"/>
      <w:marTop w:val="0"/>
      <w:marBottom w:val="0"/>
      <w:divBdr>
        <w:top w:val="none" w:sz="0" w:space="0" w:color="auto"/>
        <w:left w:val="none" w:sz="0" w:space="0" w:color="auto"/>
        <w:bottom w:val="none" w:sz="0" w:space="0" w:color="auto"/>
        <w:right w:val="none" w:sz="0" w:space="0" w:color="auto"/>
      </w:divBdr>
    </w:div>
    <w:div w:id="496261981">
      <w:bodyDiv w:val="1"/>
      <w:marLeft w:val="0"/>
      <w:marRight w:val="0"/>
      <w:marTop w:val="0"/>
      <w:marBottom w:val="0"/>
      <w:divBdr>
        <w:top w:val="none" w:sz="0" w:space="0" w:color="auto"/>
        <w:left w:val="none" w:sz="0" w:space="0" w:color="auto"/>
        <w:bottom w:val="none" w:sz="0" w:space="0" w:color="auto"/>
        <w:right w:val="none" w:sz="0" w:space="0" w:color="auto"/>
      </w:divBdr>
    </w:div>
    <w:div w:id="496265258">
      <w:bodyDiv w:val="1"/>
      <w:marLeft w:val="0"/>
      <w:marRight w:val="0"/>
      <w:marTop w:val="0"/>
      <w:marBottom w:val="0"/>
      <w:divBdr>
        <w:top w:val="none" w:sz="0" w:space="0" w:color="auto"/>
        <w:left w:val="none" w:sz="0" w:space="0" w:color="auto"/>
        <w:bottom w:val="none" w:sz="0" w:space="0" w:color="auto"/>
        <w:right w:val="none" w:sz="0" w:space="0" w:color="auto"/>
      </w:divBdr>
    </w:div>
    <w:div w:id="496268214">
      <w:bodyDiv w:val="1"/>
      <w:marLeft w:val="0"/>
      <w:marRight w:val="0"/>
      <w:marTop w:val="0"/>
      <w:marBottom w:val="0"/>
      <w:divBdr>
        <w:top w:val="none" w:sz="0" w:space="0" w:color="auto"/>
        <w:left w:val="none" w:sz="0" w:space="0" w:color="auto"/>
        <w:bottom w:val="none" w:sz="0" w:space="0" w:color="auto"/>
        <w:right w:val="none" w:sz="0" w:space="0" w:color="auto"/>
      </w:divBdr>
    </w:div>
    <w:div w:id="496313622">
      <w:bodyDiv w:val="1"/>
      <w:marLeft w:val="0"/>
      <w:marRight w:val="0"/>
      <w:marTop w:val="0"/>
      <w:marBottom w:val="0"/>
      <w:divBdr>
        <w:top w:val="none" w:sz="0" w:space="0" w:color="auto"/>
        <w:left w:val="none" w:sz="0" w:space="0" w:color="auto"/>
        <w:bottom w:val="none" w:sz="0" w:space="0" w:color="auto"/>
        <w:right w:val="none" w:sz="0" w:space="0" w:color="auto"/>
      </w:divBdr>
    </w:div>
    <w:div w:id="496462363">
      <w:bodyDiv w:val="1"/>
      <w:marLeft w:val="0"/>
      <w:marRight w:val="0"/>
      <w:marTop w:val="0"/>
      <w:marBottom w:val="0"/>
      <w:divBdr>
        <w:top w:val="none" w:sz="0" w:space="0" w:color="auto"/>
        <w:left w:val="none" w:sz="0" w:space="0" w:color="auto"/>
        <w:bottom w:val="none" w:sz="0" w:space="0" w:color="auto"/>
        <w:right w:val="none" w:sz="0" w:space="0" w:color="auto"/>
      </w:divBdr>
    </w:div>
    <w:div w:id="496531118">
      <w:bodyDiv w:val="1"/>
      <w:marLeft w:val="0"/>
      <w:marRight w:val="0"/>
      <w:marTop w:val="0"/>
      <w:marBottom w:val="0"/>
      <w:divBdr>
        <w:top w:val="none" w:sz="0" w:space="0" w:color="auto"/>
        <w:left w:val="none" w:sz="0" w:space="0" w:color="auto"/>
        <w:bottom w:val="none" w:sz="0" w:space="0" w:color="auto"/>
        <w:right w:val="none" w:sz="0" w:space="0" w:color="auto"/>
      </w:divBdr>
    </w:div>
    <w:div w:id="496532178">
      <w:bodyDiv w:val="1"/>
      <w:marLeft w:val="0"/>
      <w:marRight w:val="0"/>
      <w:marTop w:val="0"/>
      <w:marBottom w:val="0"/>
      <w:divBdr>
        <w:top w:val="none" w:sz="0" w:space="0" w:color="auto"/>
        <w:left w:val="none" w:sz="0" w:space="0" w:color="auto"/>
        <w:bottom w:val="none" w:sz="0" w:space="0" w:color="auto"/>
        <w:right w:val="none" w:sz="0" w:space="0" w:color="auto"/>
      </w:divBdr>
    </w:div>
    <w:div w:id="496579345">
      <w:bodyDiv w:val="1"/>
      <w:marLeft w:val="0"/>
      <w:marRight w:val="0"/>
      <w:marTop w:val="0"/>
      <w:marBottom w:val="0"/>
      <w:divBdr>
        <w:top w:val="none" w:sz="0" w:space="0" w:color="auto"/>
        <w:left w:val="none" w:sz="0" w:space="0" w:color="auto"/>
        <w:bottom w:val="none" w:sz="0" w:space="0" w:color="auto"/>
        <w:right w:val="none" w:sz="0" w:space="0" w:color="auto"/>
      </w:divBdr>
    </w:div>
    <w:div w:id="496582347">
      <w:bodyDiv w:val="1"/>
      <w:marLeft w:val="0"/>
      <w:marRight w:val="0"/>
      <w:marTop w:val="0"/>
      <w:marBottom w:val="0"/>
      <w:divBdr>
        <w:top w:val="none" w:sz="0" w:space="0" w:color="auto"/>
        <w:left w:val="none" w:sz="0" w:space="0" w:color="auto"/>
        <w:bottom w:val="none" w:sz="0" w:space="0" w:color="auto"/>
        <w:right w:val="none" w:sz="0" w:space="0" w:color="auto"/>
      </w:divBdr>
    </w:div>
    <w:div w:id="496648451">
      <w:bodyDiv w:val="1"/>
      <w:marLeft w:val="0"/>
      <w:marRight w:val="0"/>
      <w:marTop w:val="0"/>
      <w:marBottom w:val="0"/>
      <w:divBdr>
        <w:top w:val="none" w:sz="0" w:space="0" w:color="auto"/>
        <w:left w:val="none" w:sz="0" w:space="0" w:color="auto"/>
        <w:bottom w:val="none" w:sz="0" w:space="0" w:color="auto"/>
        <w:right w:val="none" w:sz="0" w:space="0" w:color="auto"/>
      </w:divBdr>
    </w:div>
    <w:div w:id="496699415">
      <w:bodyDiv w:val="1"/>
      <w:marLeft w:val="0"/>
      <w:marRight w:val="0"/>
      <w:marTop w:val="0"/>
      <w:marBottom w:val="0"/>
      <w:divBdr>
        <w:top w:val="none" w:sz="0" w:space="0" w:color="auto"/>
        <w:left w:val="none" w:sz="0" w:space="0" w:color="auto"/>
        <w:bottom w:val="none" w:sz="0" w:space="0" w:color="auto"/>
        <w:right w:val="none" w:sz="0" w:space="0" w:color="auto"/>
      </w:divBdr>
    </w:div>
    <w:div w:id="496723830">
      <w:bodyDiv w:val="1"/>
      <w:marLeft w:val="0"/>
      <w:marRight w:val="0"/>
      <w:marTop w:val="0"/>
      <w:marBottom w:val="0"/>
      <w:divBdr>
        <w:top w:val="none" w:sz="0" w:space="0" w:color="auto"/>
        <w:left w:val="none" w:sz="0" w:space="0" w:color="auto"/>
        <w:bottom w:val="none" w:sz="0" w:space="0" w:color="auto"/>
        <w:right w:val="none" w:sz="0" w:space="0" w:color="auto"/>
      </w:divBdr>
    </w:div>
    <w:div w:id="496924149">
      <w:bodyDiv w:val="1"/>
      <w:marLeft w:val="0"/>
      <w:marRight w:val="0"/>
      <w:marTop w:val="0"/>
      <w:marBottom w:val="0"/>
      <w:divBdr>
        <w:top w:val="none" w:sz="0" w:space="0" w:color="auto"/>
        <w:left w:val="none" w:sz="0" w:space="0" w:color="auto"/>
        <w:bottom w:val="none" w:sz="0" w:space="0" w:color="auto"/>
        <w:right w:val="none" w:sz="0" w:space="0" w:color="auto"/>
      </w:divBdr>
    </w:div>
    <w:div w:id="496924630">
      <w:bodyDiv w:val="1"/>
      <w:marLeft w:val="0"/>
      <w:marRight w:val="0"/>
      <w:marTop w:val="0"/>
      <w:marBottom w:val="0"/>
      <w:divBdr>
        <w:top w:val="none" w:sz="0" w:space="0" w:color="auto"/>
        <w:left w:val="none" w:sz="0" w:space="0" w:color="auto"/>
        <w:bottom w:val="none" w:sz="0" w:space="0" w:color="auto"/>
        <w:right w:val="none" w:sz="0" w:space="0" w:color="auto"/>
      </w:divBdr>
    </w:div>
    <w:div w:id="496924977">
      <w:bodyDiv w:val="1"/>
      <w:marLeft w:val="0"/>
      <w:marRight w:val="0"/>
      <w:marTop w:val="0"/>
      <w:marBottom w:val="0"/>
      <w:divBdr>
        <w:top w:val="none" w:sz="0" w:space="0" w:color="auto"/>
        <w:left w:val="none" w:sz="0" w:space="0" w:color="auto"/>
        <w:bottom w:val="none" w:sz="0" w:space="0" w:color="auto"/>
        <w:right w:val="none" w:sz="0" w:space="0" w:color="auto"/>
      </w:divBdr>
    </w:div>
    <w:div w:id="497118538">
      <w:bodyDiv w:val="1"/>
      <w:marLeft w:val="0"/>
      <w:marRight w:val="0"/>
      <w:marTop w:val="0"/>
      <w:marBottom w:val="0"/>
      <w:divBdr>
        <w:top w:val="none" w:sz="0" w:space="0" w:color="auto"/>
        <w:left w:val="none" w:sz="0" w:space="0" w:color="auto"/>
        <w:bottom w:val="none" w:sz="0" w:space="0" w:color="auto"/>
        <w:right w:val="none" w:sz="0" w:space="0" w:color="auto"/>
      </w:divBdr>
    </w:div>
    <w:div w:id="497119408">
      <w:bodyDiv w:val="1"/>
      <w:marLeft w:val="0"/>
      <w:marRight w:val="0"/>
      <w:marTop w:val="0"/>
      <w:marBottom w:val="0"/>
      <w:divBdr>
        <w:top w:val="none" w:sz="0" w:space="0" w:color="auto"/>
        <w:left w:val="none" w:sz="0" w:space="0" w:color="auto"/>
        <w:bottom w:val="none" w:sz="0" w:space="0" w:color="auto"/>
        <w:right w:val="none" w:sz="0" w:space="0" w:color="auto"/>
      </w:divBdr>
    </w:div>
    <w:div w:id="497157073">
      <w:bodyDiv w:val="1"/>
      <w:marLeft w:val="0"/>
      <w:marRight w:val="0"/>
      <w:marTop w:val="0"/>
      <w:marBottom w:val="0"/>
      <w:divBdr>
        <w:top w:val="none" w:sz="0" w:space="0" w:color="auto"/>
        <w:left w:val="none" w:sz="0" w:space="0" w:color="auto"/>
        <w:bottom w:val="none" w:sz="0" w:space="0" w:color="auto"/>
        <w:right w:val="none" w:sz="0" w:space="0" w:color="auto"/>
      </w:divBdr>
    </w:div>
    <w:div w:id="497235184">
      <w:bodyDiv w:val="1"/>
      <w:marLeft w:val="0"/>
      <w:marRight w:val="0"/>
      <w:marTop w:val="0"/>
      <w:marBottom w:val="0"/>
      <w:divBdr>
        <w:top w:val="none" w:sz="0" w:space="0" w:color="auto"/>
        <w:left w:val="none" w:sz="0" w:space="0" w:color="auto"/>
        <w:bottom w:val="none" w:sz="0" w:space="0" w:color="auto"/>
        <w:right w:val="none" w:sz="0" w:space="0" w:color="auto"/>
      </w:divBdr>
    </w:div>
    <w:div w:id="497380481">
      <w:bodyDiv w:val="1"/>
      <w:marLeft w:val="0"/>
      <w:marRight w:val="0"/>
      <w:marTop w:val="0"/>
      <w:marBottom w:val="0"/>
      <w:divBdr>
        <w:top w:val="none" w:sz="0" w:space="0" w:color="auto"/>
        <w:left w:val="none" w:sz="0" w:space="0" w:color="auto"/>
        <w:bottom w:val="none" w:sz="0" w:space="0" w:color="auto"/>
        <w:right w:val="none" w:sz="0" w:space="0" w:color="auto"/>
      </w:divBdr>
    </w:div>
    <w:div w:id="497572660">
      <w:bodyDiv w:val="1"/>
      <w:marLeft w:val="0"/>
      <w:marRight w:val="0"/>
      <w:marTop w:val="0"/>
      <w:marBottom w:val="0"/>
      <w:divBdr>
        <w:top w:val="none" w:sz="0" w:space="0" w:color="auto"/>
        <w:left w:val="none" w:sz="0" w:space="0" w:color="auto"/>
        <w:bottom w:val="none" w:sz="0" w:space="0" w:color="auto"/>
        <w:right w:val="none" w:sz="0" w:space="0" w:color="auto"/>
      </w:divBdr>
    </w:div>
    <w:div w:id="497892968">
      <w:bodyDiv w:val="1"/>
      <w:marLeft w:val="0"/>
      <w:marRight w:val="0"/>
      <w:marTop w:val="0"/>
      <w:marBottom w:val="0"/>
      <w:divBdr>
        <w:top w:val="none" w:sz="0" w:space="0" w:color="auto"/>
        <w:left w:val="none" w:sz="0" w:space="0" w:color="auto"/>
        <w:bottom w:val="none" w:sz="0" w:space="0" w:color="auto"/>
        <w:right w:val="none" w:sz="0" w:space="0" w:color="auto"/>
      </w:divBdr>
    </w:div>
    <w:div w:id="497965527">
      <w:bodyDiv w:val="1"/>
      <w:marLeft w:val="0"/>
      <w:marRight w:val="0"/>
      <w:marTop w:val="0"/>
      <w:marBottom w:val="0"/>
      <w:divBdr>
        <w:top w:val="none" w:sz="0" w:space="0" w:color="auto"/>
        <w:left w:val="none" w:sz="0" w:space="0" w:color="auto"/>
        <w:bottom w:val="none" w:sz="0" w:space="0" w:color="auto"/>
        <w:right w:val="none" w:sz="0" w:space="0" w:color="auto"/>
      </w:divBdr>
    </w:div>
    <w:div w:id="498008239">
      <w:bodyDiv w:val="1"/>
      <w:marLeft w:val="0"/>
      <w:marRight w:val="0"/>
      <w:marTop w:val="0"/>
      <w:marBottom w:val="0"/>
      <w:divBdr>
        <w:top w:val="none" w:sz="0" w:space="0" w:color="auto"/>
        <w:left w:val="none" w:sz="0" w:space="0" w:color="auto"/>
        <w:bottom w:val="none" w:sz="0" w:space="0" w:color="auto"/>
        <w:right w:val="none" w:sz="0" w:space="0" w:color="auto"/>
      </w:divBdr>
    </w:div>
    <w:div w:id="498157361">
      <w:bodyDiv w:val="1"/>
      <w:marLeft w:val="0"/>
      <w:marRight w:val="0"/>
      <w:marTop w:val="0"/>
      <w:marBottom w:val="0"/>
      <w:divBdr>
        <w:top w:val="none" w:sz="0" w:space="0" w:color="auto"/>
        <w:left w:val="none" w:sz="0" w:space="0" w:color="auto"/>
        <w:bottom w:val="none" w:sz="0" w:space="0" w:color="auto"/>
        <w:right w:val="none" w:sz="0" w:space="0" w:color="auto"/>
      </w:divBdr>
    </w:div>
    <w:div w:id="498232459">
      <w:bodyDiv w:val="1"/>
      <w:marLeft w:val="0"/>
      <w:marRight w:val="0"/>
      <w:marTop w:val="0"/>
      <w:marBottom w:val="0"/>
      <w:divBdr>
        <w:top w:val="none" w:sz="0" w:space="0" w:color="auto"/>
        <w:left w:val="none" w:sz="0" w:space="0" w:color="auto"/>
        <w:bottom w:val="none" w:sz="0" w:space="0" w:color="auto"/>
        <w:right w:val="none" w:sz="0" w:space="0" w:color="auto"/>
      </w:divBdr>
    </w:div>
    <w:div w:id="498235365">
      <w:bodyDiv w:val="1"/>
      <w:marLeft w:val="0"/>
      <w:marRight w:val="0"/>
      <w:marTop w:val="0"/>
      <w:marBottom w:val="0"/>
      <w:divBdr>
        <w:top w:val="none" w:sz="0" w:space="0" w:color="auto"/>
        <w:left w:val="none" w:sz="0" w:space="0" w:color="auto"/>
        <w:bottom w:val="none" w:sz="0" w:space="0" w:color="auto"/>
        <w:right w:val="none" w:sz="0" w:space="0" w:color="auto"/>
      </w:divBdr>
    </w:div>
    <w:div w:id="498271470">
      <w:bodyDiv w:val="1"/>
      <w:marLeft w:val="0"/>
      <w:marRight w:val="0"/>
      <w:marTop w:val="0"/>
      <w:marBottom w:val="0"/>
      <w:divBdr>
        <w:top w:val="none" w:sz="0" w:space="0" w:color="auto"/>
        <w:left w:val="none" w:sz="0" w:space="0" w:color="auto"/>
        <w:bottom w:val="none" w:sz="0" w:space="0" w:color="auto"/>
        <w:right w:val="none" w:sz="0" w:space="0" w:color="auto"/>
      </w:divBdr>
    </w:div>
    <w:div w:id="498352367">
      <w:bodyDiv w:val="1"/>
      <w:marLeft w:val="0"/>
      <w:marRight w:val="0"/>
      <w:marTop w:val="0"/>
      <w:marBottom w:val="0"/>
      <w:divBdr>
        <w:top w:val="none" w:sz="0" w:space="0" w:color="auto"/>
        <w:left w:val="none" w:sz="0" w:space="0" w:color="auto"/>
        <w:bottom w:val="none" w:sz="0" w:space="0" w:color="auto"/>
        <w:right w:val="none" w:sz="0" w:space="0" w:color="auto"/>
      </w:divBdr>
    </w:div>
    <w:div w:id="498352526">
      <w:bodyDiv w:val="1"/>
      <w:marLeft w:val="0"/>
      <w:marRight w:val="0"/>
      <w:marTop w:val="0"/>
      <w:marBottom w:val="0"/>
      <w:divBdr>
        <w:top w:val="none" w:sz="0" w:space="0" w:color="auto"/>
        <w:left w:val="none" w:sz="0" w:space="0" w:color="auto"/>
        <w:bottom w:val="none" w:sz="0" w:space="0" w:color="auto"/>
        <w:right w:val="none" w:sz="0" w:space="0" w:color="auto"/>
      </w:divBdr>
    </w:div>
    <w:div w:id="498497971">
      <w:bodyDiv w:val="1"/>
      <w:marLeft w:val="0"/>
      <w:marRight w:val="0"/>
      <w:marTop w:val="0"/>
      <w:marBottom w:val="0"/>
      <w:divBdr>
        <w:top w:val="none" w:sz="0" w:space="0" w:color="auto"/>
        <w:left w:val="none" w:sz="0" w:space="0" w:color="auto"/>
        <w:bottom w:val="none" w:sz="0" w:space="0" w:color="auto"/>
        <w:right w:val="none" w:sz="0" w:space="0" w:color="auto"/>
      </w:divBdr>
    </w:div>
    <w:div w:id="498497982">
      <w:bodyDiv w:val="1"/>
      <w:marLeft w:val="0"/>
      <w:marRight w:val="0"/>
      <w:marTop w:val="0"/>
      <w:marBottom w:val="0"/>
      <w:divBdr>
        <w:top w:val="none" w:sz="0" w:space="0" w:color="auto"/>
        <w:left w:val="none" w:sz="0" w:space="0" w:color="auto"/>
        <w:bottom w:val="none" w:sz="0" w:space="0" w:color="auto"/>
        <w:right w:val="none" w:sz="0" w:space="0" w:color="auto"/>
      </w:divBdr>
    </w:div>
    <w:div w:id="498620838">
      <w:bodyDiv w:val="1"/>
      <w:marLeft w:val="0"/>
      <w:marRight w:val="0"/>
      <w:marTop w:val="0"/>
      <w:marBottom w:val="0"/>
      <w:divBdr>
        <w:top w:val="none" w:sz="0" w:space="0" w:color="auto"/>
        <w:left w:val="none" w:sz="0" w:space="0" w:color="auto"/>
        <w:bottom w:val="none" w:sz="0" w:space="0" w:color="auto"/>
        <w:right w:val="none" w:sz="0" w:space="0" w:color="auto"/>
      </w:divBdr>
    </w:div>
    <w:div w:id="498623655">
      <w:bodyDiv w:val="1"/>
      <w:marLeft w:val="0"/>
      <w:marRight w:val="0"/>
      <w:marTop w:val="0"/>
      <w:marBottom w:val="0"/>
      <w:divBdr>
        <w:top w:val="none" w:sz="0" w:space="0" w:color="auto"/>
        <w:left w:val="none" w:sz="0" w:space="0" w:color="auto"/>
        <w:bottom w:val="none" w:sz="0" w:space="0" w:color="auto"/>
        <w:right w:val="none" w:sz="0" w:space="0" w:color="auto"/>
      </w:divBdr>
    </w:div>
    <w:div w:id="498739926">
      <w:bodyDiv w:val="1"/>
      <w:marLeft w:val="0"/>
      <w:marRight w:val="0"/>
      <w:marTop w:val="0"/>
      <w:marBottom w:val="0"/>
      <w:divBdr>
        <w:top w:val="none" w:sz="0" w:space="0" w:color="auto"/>
        <w:left w:val="none" w:sz="0" w:space="0" w:color="auto"/>
        <w:bottom w:val="none" w:sz="0" w:space="0" w:color="auto"/>
        <w:right w:val="none" w:sz="0" w:space="0" w:color="auto"/>
      </w:divBdr>
    </w:div>
    <w:div w:id="498810649">
      <w:bodyDiv w:val="1"/>
      <w:marLeft w:val="0"/>
      <w:marRight w:val="0"/>
      <w:marTop w:val="0"/>
      <w:marBottom w:val="0"/>
      <w:divBdr>
        <w:top w:val="none" w:sz="0" w:space="0" w:color="auto"/>
        <w:left w:val="none" w:sz="0" w:space="0" w:color="auto"/>
        <w:bottom w:val="none" w:sz="0" w:space="0" w:color="auto"/>
        <w:right w:val="none" w:sz="0" w:space="0" w:color="auto"/>
      </w:divBdr>
    </w:div>
    <w:div w:id="498813522">
      <w:bodyDiv w:val="1"/>
      <w:marLeft w:val="0"/>
      <w:marRight w:val="0"/>
      <w:marTop w:val="0"/>
      <w:marBottom w:val="0"/>
      <w:divBdr>
        <w:top w:val="none" w:sz="0" w:space="0" w:color="auto"/>
        <w:left w:val="none" w:sz="0" w:space="0" w:color="auto"/>
        <w:bottom w:val="none" w:sz="0" w:space="0" w:color="auto"/>
        <w:right w:val="none" w:sz="0" w:space="0" w:color="auto"/>
      </w:divBdr>
    </w:div>
    <w:div w:id="498890623">
      <w:bodyDiv w:val="1"/>
      <w:marLeft w:val="0"/>
      <w:marRight w:val="0"/>
      <w:marTop w:val="0"/>
      <w:marBottom w:val="0"/>
      <w:divBdr>
        <w:top w:val="none" w:sz="0" w:space="0" w:color="auto"/>
        <w:left w:val="none" w:sz="0" w:space="0" w:color="auto"/>
        <w:bottom w:val="none" w:sz="0" w:space="0" w:color="auto"/>
        <w:right w:val="none" w:sz="0" w:space="0" w:color="auto"/>
      </w:divBdr>
    </w:div>
    <w:div w:id="498891046">
      <w:bodyDiv w:val="1"/>
      <w:marLeft w:val="0"/>
      <w:marRight w:val="0"/>
      <w:marTop w:val="0"/>
      <w:marBottom w:val="0"/>
      <w:divBdr>
        <w:top w:val="none" w:sz="0" w:space="0" w:color="auto"/>
        <w:left w:val="none" w:sz="0" w:space="0" w:color="auto"/>
        <w:bottom w:val="none" w:sz="0" w:space="0" w:color="auto"/>
        <w:right w:val="none" w:sz="0" w:space="0" w:color="auto"/>
      </w:divBdr>
    </w:div>
    <w:div w:id="498926665">
      <w:bodyDiv w:val="1"/>
      <w:marLeft w:val="0"/>
      <w:marRight w:val="0"/>
      <w:marTop w:val="0"/>
      <w:marBottom w:val="0"/>
      <w:divBdr>
        <w:top w:val="none" w:sz="0" w:space="0" w:color="auto"/>
        <w:left w:val="none" w:sz="0" w:space="0" w:color="auto"/>
        <w:bottom w:val="none" w:sz="0" w:space="0" w:color="auto"/>
        <w:right w:val="none" w:sz="0" w:space="0" w:color="auto"/>
      </w:divBdr>
    </w:div>
    <w:div w:id="498934310">
      <w:bodyDiv w:val="1"/>
      <w:marLeft w:val="0"/>
      <w:marRight w:val="0"/>
      <w:marTop w:val="0"/>
      <w:marBottom w:val="0"/>
      <w:divBdr>
        <w:top w:val="none" w:sz="0" w:space="0" w:color="auto"/>
        <w:left w:val="none" w:sz="0" w:space="0" w:color="auto"/>
        <w:bottom w:val="none" w:sz="0" w:space="0" w:color="auto"/>
        <w:right w:val="none" w:sz="0" w:space="0" w:color="auto"/>
      </w:divBdr>
    </w:div>
    <w:div w:id="499006373">
      <w:bodyDiv w:val="1"/>
      <w:marLeft w:val="0"/>
      <w:marRight w:val="0"/>
      <w:marTop w:val="0"/>
      <w:marBottom w:val="0"/>
      <w:divBdr>
        <w:top w:val="none" w:sz="0" w:space="0" w:color="auto"/>
        <w:left w:val="none" w:sz="0" w:space="0" w:color="auto"/>
        <w:bottom w:val="none" w:sz="0" w:space="0" w:color="auto"/>
        <w:right w:val="none" w:sz="0" w:space="0" w:color="auto"/>
      </w:divBdr>
    </w:div>
    <w:div w:id="499202652">
      <w:bodyDiv w:val="1"/>
      <w:marLeft w:val="0"/>
      <w:marRight w:val="0"/>
      <w:marTop w:val="0"/>
      <w:marBottom w:val="0"/>
      <w:divBdr>
        <w:top w:val="none" w:sz="0" w:space="0" w:color="auto"/>
        <w:left w:val="none" w:sz="0" w:space="0" w:color="auto"/>
        <w:bottom w:val="none" w:sz="0" w:space="0" w:color="auto"/>
        <w:right w:val="none" w:sz="0" w:space="0" w:color="auto"/>
      </w:divBdr>
    </w:div>
    <w:div w:id="499348891">
      <w:bodyDiv w:val="1"/>
      <w:marLeft w:val="0"/>
      <w:marRight w:val="0"/>
      <w:marTop w:val="0"/>
      <w:marBottom w:val="0"/>
      <w:divBdr>
        <w:top w:val="none" w:sz="0" w:space="0" w:color="auto"/>
        <w:left w:val="none" w:sz="0" w:space="0" w:color="auto"/>
        <w:bottom w:val="none" w:sz="0" w:space="0" w:color="auto"/>
        <w:right w:val="none" w:sz="0" w:space="0" w:color="auto"/>
      </w:divBdr>
    </w:div>
    <w:div w:id="499388677">
      <w:bodyDiv w:val="1"/>
      <w:marLeft w:val="0"/>
      <w:marRight w:val="0"/>
      <w:marTop w:val="0"/>
      <w:marBottom w:val="0"/>
      <w:divBdr>
        <w:top w:val="none" w:sz="0" w:space="0" w:color="auto"/>
        <w:left w:val="none" w:sz="0" w:space="0" w:color="auto"/>
        <w:bottom w:val="none" w:sz="0" w:space="0" w:color="auto"/>
        <w:right w:val="none" w:sz="0" w:space="0" w:color="auto"/>
      </w:divBdr>
    </w:div>
    <w:div w:id="499391180">
      <w:bodyDiv w:val="1"/>
      <w:marLeft w:val="0"/>
      <w:marRight w:val="0"/>
      <w:marTop w:val="0"/>
      <w:marBottom w:val="0"/>
      <w:divBdr>
        <w:top w:val="none" w:sz="0" w:space="0" w:color="auto"/>
        <w:left w:val="none" w:sz="0" w:space="0" w:color="auto"/>
        <w:bottom w:val="none" w:sz="0" w:space="0" w:color="auto"/>
        <w:right w:val="none" w:sz="0" w:space="0" w:color="auto"/>
      </w:divBdr>
    </w:div>
    <w:div w:id="499465001">
      <w:bodyDiv w:val="1"/>
      <w:marLeft w:val="0"/>
      <w:marRight w:val="0"/>
      <w:marTop w:val="0"/>
      <w:marBottom w:val="0"/>
      <w:divBdr>
        <w:top w:val="none" w:sz="0" w:space="0" w:color="auto"/>
        <w:left w:val="none" w:sz="0" w:space="0" w:color="auto"/>
        <w:bottom w:val="none" w:sz="0" w:space="0" w:color="auto"/>
        <w:right w:val="none" w:sz="0" w:space="0" w:color="auto"/>
      </w:divBdr>
    </w:div>
    <w:div w:id="499472477">
      <w:bodyDiv w:val="1"/>
      <w:marLeft w:val="0"/>
      <w:marRight w:val="0"/>
      <w:marTop w:val="0"/>
      <w:marBottom w:val="0"/>
      <w:divBdr>
        <w:top w:val="none" w:sz="0" w:space="0" w:color="auto"/>
        <w:left w:val="none" w:sz="0" w:space="0" w:color="auto"/>
        <w:bottom w:val="none" w:sz="0" w:space="0" w:color="auto"/>
        <w:right w:val="none" w:sz="0" w:space="0" w:color="auto"/>
      </w:divBdr>
    </w:div>
    <w:div w:id="499540215">
      <w:bodyDiv w:val="1"/>
      <w:marLeft w:val="0"/>
      <w:marRight w:val="0"/>
      <w:marTop w:val="0"/>
      <w:marBottom w:val="0"/>
      <w:divBdr>
        <w:top w:val="none" w:sz="0" w:space="0" w:color="auto"/>
        <w:left w:val="none" w:sz="0" w:space="0" w:color="auto"/>
        <w:bottom w:val="none" w:sz="0" w:space="0" w:color="auto"/>
        <w:right w:val="none" w:sz="0" w:space="0" w:color="auto"/>
      </w:divBdr>
    </w:div>
    <w:div w:id="499849923">
      <w:bodyDiv w:val="1"/>
      <w:marLeft w:val="0"/>
      <w:marRight w:val="0"/>
      <w:marTop w:val="0"/>
      <w:marBottom w:val="0"/>
      <w:divBdr>
        <w:top w:val="none" w:sz="0" w:space="0" w:color="auto"/>
        <w:left w:val="none" w:sz="0" w:space="0" w:color="auto"/>
        <w:bottom w:val="none" w:sz="0" w:space="0" w:color="auto"/>
        <w:right w:val="none" w:sz="0" w:space="0" w:color="auto"/>
      </w:divBdr>
    </w:div>
    <w:div w:id="500119908">
      <w:bodyDiv w:val="1"/>
      <w:marLeft w:val="0"/>
      <w:marRight w:val="0"/>
      <w:marTop w:val="0"/>
      <w:marBottom w:val="0"/>
      <w:divBdr>
        <w:top w:val="none" w:sz="0" w:space="0" w:color="auto"/>
        <w:left w:val="none" w:sz="0" w:space="0" w:color="auto"/>
        <w:bottom w:val="none" w:sz="0" w:space="0" w:color="auto"/>
        <w:right w:val="none" w:sz="0" w:space="0" w:color="auto"/>
      </w:divBdr>
    </w:div>
    <w:div w:id="500193776">
      <w:bodyDiv w:val="1"/>
      <w:marLeft w:val="0"/>
      <w:marRight w:val="0"/>
      <w:marTop w:val="0"/>
      <w:marBottom w:val="0"/>
      <w:divBdr>
        <w:top w:val="none" w:sz="0" w:space="0" w:color="auto"/>
        <w:left w:val="none" w:sz="0" w:space="0" w:color="auto"/>
        <w:bottom w:val="none" w:sz="0" w:space="0" w:color="auto"/>
        <w:right w:val="none" w:sz="0" w:space="0" w:color="auto"/>
      </w:divBdr>
    </w:div>
    <w:div w:id="500202975">
      <w:bodyDiv w:val="1"/>
      <w:marLeft w:val="0"/>
      <w:marRight w:val="0"/>
      <w:marTop w:val="0"/>
      <w:marBottom w:val="0"/>
      <w:divBdr>
        <w:top w:val="none" w:sz="0" w:space="0" w:color="auto"/>
        <w:left w:val="none" w:sz="0" w:space="0" w:color="auto"/>
        <w:bottom w:val="none" w:sz="0" w:space="0" w:color="auto"/>
        <w:right w:val="none" w:sz="0" w:space="0" w:color="auto"/>
      </w:divBdr>
    </w:div>
    <w:div w:id="500393306">
      <w:bodyDiv w:val="1"/>
      <w:marLeft w:val="0"/>
      <w:marRight w:val="0"/>
      <w:marTop w:val="0"/>
      <w:marBottom w:val="0"/>
      <w:divBdr>
        <w:top w:val="none" w:sz="0" w:space="0" w:color="auto"/>
        <w:left w:val="none" w:sz="0" w:space="0" w:color="auto"/>
        <w:bottom w:val="none" w:sz="0" w:space="0" w:color="auto"/>
        <w:right w:val="none" w:sz="0" w:space="0" w:color="auto"/>
      </w:divBdr>
    </w:div>
    <w:div w:id="500395280">
      <w:bodyDiv w:val="1"/>
      <w:marLeft w:val="0"/>
      <w:marRight w:val="0"/>
      <w:marTop w:val="0"/>
      <w:marBottom w:val="0"/>
      <w:divBdr>
        <w:top w:val="none" w:sz="0" w:space="0" w:color="auto"/>
        <w:left w:val="none" w:sz="0" w:space="0" w:color="auto"/>
        <w:bottom w:val="none" w:sz="0" w:space="0" w:color="auto"/>
        <w:right w:val="none" w:sz="0" w:space="0" w:color="auto"/>
      </w:divBdr>
    </w:div>
    <w:div w:id="500465517">
      <w:bodyDiv w:val="1"/>
      <w:marLeft w:val="0"/>
      <w:marRight w:val="0"/>
      <w:marTop w:val="0"/>
      <w:marBottom w:val="0"/>
      <w:divBdr>
        <w:top w:val="none" w:sz="0" w:space="0" w:color="auto"/>
        <w:left w:val="none" w:sz="0" w:space="0" w:color="auto"/>
        <w:bottom w:val="none" w:sz="0" w:space="0" w:color="auto"/>
        <w:right w:val="none" w:sz="0" w:space="0" w:color="auto"/>
      </w:divBdr>
    </w:div>
    <w:div w:id="500507207">
      <w:bodyDiv w:val="1"/>
      <w:marLeft w:val="0"/>
      <w:marRight w:val="0"/>
      <w:marTop w:val="0"/>
      <w:marBottom w:val="0"/>
      <w:divBdr>
        <w:top w:val="none" w:sz="0" w:space="0" w:color="auto"/>
        <w:left w:val="none" w:sz="0" w:space="0" w:color="auto"/>
        <w:bottom w:val="none" w:sz="0" w:space="0" w:color="auto"/>
        <w:right w:val="none" w:sz="0" w:space="0" w:color="auto"/>
      </w:divBdr>
    </w:div>
    <w:div w:id="500512852">
      <w:bodyDiv w:val="1"/>
      <w:marLeft w:val="0"/>
      <w:marRight w:val="0"/>
      <w:marTop w:val="0"/>
      <w:marBottom w:val="0"/>
      <w:divBdr>
        <w:top w:val="none" w:sz="0" w:space="0" w:color="auto"/>
        <w:left w:val="none" w:sz="0" w:space="0" w:color="auto"/>
        <w:bottom w:val="none" w:sz="0" w:space="0" w:color="auto"/>
        <w:right w:val="none" w:sz="0" w:space="0" w:color="auto"/>
      </w:divBdr>
    </w:div>
    <w:div w:id="500512920">
      <w:bodyDiv w:val="1"/>
      <w:marLeft w:val="0"/>
      <w:marRight w:val="0"/>
      <w:marTop w:val="0"/>
      <w:marBottom w:val="0"/>
      <w:divBdr>
        <w:top w:val="none" w:sz="0" w:space="0" w:color="auto"/>
        <w:left w:val="none" w:sz="0" w:space="0" w:color="auto"/>
        <w:bottom w:val="none" w:sz="0" w:space="0" w:color="auto"/>
        <w:right w:val="none" w:sz="0" w:space="0" w:color="auto"/>
      </w:divBdr>
    </w:div>
    <w:div w:id="500657654">
      <w:bodyDiv w:val="1"/>
      <w:marLeft w:val="0"/>
      <w:marRight w:val="0"/>
      <w:marTop w:val="0"/>
      <w:marBottom w:val="0"/>
      <w:divBdr>
        <w:top w:val="none" w:sz="0" w:space="0" w:color="auto"/>
        <w:left w:val="none" w:sz="0" w:space="0" w:color="auto"/>
        <w:bottom w:val="none" w:sz="0" w:space="0" w:color="auto"/>
        <w:right w:val="none" w:sz="0" w:space="0" w:color="auto"/>
      </w:divBdr>
    </w:div>
    <w:div w:id="500661093">
      <w:bodyDiv w:val="1"/>
      <w:marLeft w:val="0"/>
      <w:marRight w:val="0"/>
      <w:marTop w:val="0"/>
      <w:marBottom w:val="0"/>
      <w:divBdr>
        <w:top w:val="none" w:sz="0" w:space="0" w:color="auto"/>
        <w:left w:val="none" w:sz="0" w:space="0" w:color="auto"/>
        <w:bottom w:val="none" w:sz="0" w:space="0" w:color="auto"/>
        <w:right w:val="none" w:sz="0" w:space="0" w:color="auto"/>
      </w:divBdr>
    </w:div>
    <w:div w:id="500703218">
      <w:bodyDiv w:val="1"/>
      <w:marLeft w:val="0"/>
      <w:marRight w:val="0"/>
      <w:marTop w:val="0"/>
      <w:marBottom w:val="0"/>
      <w:divBdr>
        <w:top w:val="none" w:sz="0" w:space="0" w:color="auto"/>
        <w:left w:val="none" w:sz="0" w:space="0" w:color="auto"/>
        <w:bottom w:val="none" w:sz="0" w:space="0" w:color="auto"/>
        <w:right w:val="none" w:sz="0" w:space="0" w:color="auto"/>
      </w:divBdr>
    </w:div>
    <w:div w:id="500704635">
      <w:bodyDiv w:val="1"/>
      <w:marLeft w:val="0"/>
      <w:marRight w:val="0"/>
      <w:marTop w:val="0"/>
      <w:marBottom w:val="0"/>
      <w:divBdr>
        <w:top w:val="none" w:sz="0" w:space="0" w:color="auto"/>
        <w:left w:val="none" w:sz="0" w:space="0" w:color="auto"/>
        <w:bottom w:val="none" w:sz="0" w:space="0" w:color="auto"/>
        <w:right w:val="none" w:sz="0" w:space="0" w:color="auto"/>
      </w:divBdr>
    </w:div>
    <w:div w:id="500774569">
      <w:bodyDiv w:val="1"/>
      <w:marLeft w:val="0"/>
      <w:marRight w:val="0"/>
      <w:marTop w:val="0"/>
      <w:marBottom w:val="0"/>
      <w:divBdr>
        <w:top w:val="none" w:sz="0" w:space="0" w:color="auto"/>
        <w:left w:val="none" w:sz="0" w:space="0" w:color="auto"/>
        <w:bottom w:val="none" w:sz="0" w:space="0" w:color="auto"/>
        <w:right w:val="none" w:sz="0" w:space="0" w:color="auto"/>
      </w:divBdr>
    </w:div>
    <w:div w:id="500776251">
      <w:bodyDiv w:val="1"/>
      <w:marLeft w:val="0"/>
      <w:marRight w:val="0"/>
      <w:marTop w:val="0"/>
      <w:marBottom w:val="0"/>
      <w:divBdr>
        <w:top w:val="none" w:sz="0" w:space="0" w:color="auto"/>
        <w:left w:val="none" w:sz="0" w:space="0" w:color="auto"/>
        <w:bottom w:val="none" w:sz="0" w:space="0" w:color="auto"/>
        <w:right w:val="none" w:sz="0" w:space="0" w:color="auto"/>
      </w:divBdr>
    </w:div>
    <w:div w:id="500852699">
      <w:bodyDiv w:val="1"/>
      <w:marLeft w:val="0"/>
      <w:marRight w:val="0"/>
      <w:marTop w:val="0"/>
      <w:marBottom w:val="0"/>
      <w:divBdr>
        <w:top w:val="none" w:sz="0" w:space="0" w:color="auto"/>
        <w:left w:val="none" w:sz="0" w:space="0" w:color="auto"/>
        <w:bottom w:val="none" w:sz="0" w:space="0" w:color="auto"/>
        <w:right w:val="none" w:sz="0" w:space="0" w:color="auto"/>
      </w:divBdr>
    </w:div>
    <w:div w:id="500967014">
      <w:bodyDiv w:val="1"/>
      <w:marLeft w:val="0"/>
      <w:marRight w:val="0"/>
      <w:marTop w:val="0"/>
      <w:marBottom w:val="0"/>
      <w:divBdr>
        <w:top w:val="none" w:sz="0" w:space="0" w:color="auto"/>
        <w:left w:val="none" w:sz="0" w:space="0" w:color="auto"/>
        <w:bottom w:val="none" w:sz="0" w:space="0" w:color="auto"/>
        <w:right w:val="none" w:sz="0" w:space="0" w:color="auto"/>
      </w:divBdr>
    </w:div>
    <w:div w:id="501050578">
      <w:bodyDiv w:val="1"/>
      <w:marLeft w:val="0"/>
      <w:marRight w:val="0"/>
      <w:marTop w:val="0"/>
      <w:marBottom w:val="0"/>
      <w:divBdr>
        <w:top w:val="none" w:sz="0" w:space="0" w:color="auto"/>
        <w:left w:val="none" w:sz="0" w:space="0" w:color="auto"/>
        <w:bottom w:val="none" w:sz="0" w:space="0" w:color="auto"/>
        <w:right w:val="none" w:sz="0" w:space="0" w:color="auto"/>
      </w:divBdr>
    </w:div>
    <w:div w:id="501051401">
      <w:bodyDiv w:val="1"/>
      <w:marLeft w:val="0"/>
      <w:marRight w:val="0"/>
      <w:marTop w:val="0"/>
      <w:marBottom w:val="0"/>
      <w:divBdr>
        <w:top w:val="none" w:sz="0" w:space="0" w:color="auto"/>
        <w:left w:val="none" w:sz="0" w:space="0" w:color="auto"/>
        <w:bottom w:val="none" w:sz="0" w:space="0" w:color="auto"/>
        <w:right w:val="none" w:sz="0" w:space="0" w:color="auto"/>
      </w:divBdr>
    </w:div>
    <w:div w:id="501161368">
      <w:bodyDiv w:val="1"/>
      <w:marLeft w:val="0"/>
      <w:marRight w:val="0"/>
      <w:marTop w:val="0"/>
      <w:marBottom w:val="0"/>
      <w:divBdr>
        <w:top w:val="none" w:sz="0" w:space="0" w:color="auto"/>
        <w:left w:val="none" w:sz="0" w:space="0" w:color="auto"/>
        <w:bottom w:val="none" w:sz="0" w:space="0" w:color="auto"/>
        <w:right w:val="none" w:sz="0" w:space="0" w:color="auto"/>
      </w:divBdr>
    </w:div>
    <w:div w:id="501235678">
      <w:bodyDiv w:val="1"/>
      <w:marLeft w:val="0"/>
      <w:marRight w:val="0"/>
      <w:marTop w:val="0"/>
      <w:marBottom w:val="0"/>
      <w:divBdr>
        <w:top w:val="none" w:sz="0" w:space="0" w:color="auto"/>
        <w:left w:val="none" w:sz="0" w:space="0" w:color="auto"/>
        <w:bottom w:val="none" w:sz="0" w:space="0" w:color="auto"/>
        <w:right w:val="none" w:sz="0" w:space="0" w:color="auto"/>
      </w:divBdr>
    </w:div>
    <w:div w:id="501241292">
      <w:bodyDiv w:val="1"/>
      <w:marLeft w:val="0"/>
      <w:marRight w:val="0"/>
      <w:marTop w:val="0"/>
      <w:marBottom w:val="0"/>
      <w:divBdr>
        <w:top w:val="none" w:sz="0" w:space="0" w:color="auto"/>
        <w:left w:val="none" w:sz="0" w:space="0" w:color="auto"/>
        <w:bottom w:val="none" w:sz="0" w:space="0" w:color="auto"/>
        <w:right w:val="none" w:sz="0" w:space="0" w:color="auto"/>
      </w:divBdr>
    </w:div>
    <w:div w:id="501356262">
      <w:bodyDiv w:val="1"/>
      <w:marLeft w:val="0"/>
      <w:marRight w:val="0"/>
      <w:marTop w:val="0"/>
      <w:marBottom w:val="0"/>
      <w:divBdr>
        <w:top w:val="none" w:sz="0" w:space="0" w:color="auto"/>
        <w:left w:val="none" w:sz="0" w:space="0" w:color="auto"/>
        <w:bottom w:val="none" w:sz="0" w:space="0" w:color="auto"/>
        <w:right w:val="none" w:sz="0" w:space="0" w:color="auto"/>
      </w:divBdr>
    </w:div>
    <w:div w:id="501361799">
      <w:bodyDiv w:val="1"/>
      <w:marLeft w:val="0"/>
      <w:marRight w:val="0"/>
      <w:marTop w:val="0"/>
      <w:marBottom w:val="0"/>
      <w:divBdr>
        <w:top w:val="none" w:sz="0" w:space="0" w:color="auto"/>
        <w:left w:val="none" w:sz="0" w:space="0" w:color="auto"/>
        <w:bottom w:val="none" w:sz="0" w:space="0" w:color="auto"/>
        <w:right w:val="none" w:sz="0" w:space="0" w:color="auto"/>
      </w:divBdr>
    </w:div>
    <w:div w:id="501433362">
      <w:bodyDiv w:val="1"/>
      <w:marLeft w:val="0"/>
      <w:marRight w:val="0"/>
      <w:marTop w:val="0"/>
      <w:marBottom w:val="0"/>
      <w:divBdr>
        <w:top w:val="none" w:sz="0" w:space="0" w:color="auto"/>
        <w:left w:val="none" w:sz="0" w:space="0" w:color="auto"/>
        <w:bottom w:val="none" w:sz="0" w:space="0" w:color="auto"/>
        <w:right w:val="none" w:sz="0" w:space="0" w:color="auto"/>
      </w:divBdr>
    </w:div>
    <w:div w:id="501505932">
      <w:bodyDiv w:val="1"/>
      <w:marLeft w:val="0"/>
      <w:marRight w:val="0"/>
      <w:marTop w:val="0"/>
      <w:marBottom w:val="0"/>
      <w:divBdr>
        <w:top w:val="none" w:sz="0" w:space="0" w:color="auto"/>
        <w:left w:val="none" w:sz="0" w:space="0" w:color="auto"/>
        <w:bottom w:val="none" w:sz="0" w:space="0" w:color="auto"/>
        <w:right w:val="none" w:sz="0" w:space="0" w:color="auto"/>
      </w:divBdr>
    </w:div>
    <w:div w:id="501511670">
      <w:bodyDiv w:val="1"/>
      <w:marLeft w:val="0"/>
      <w:marRight w:val="0"/>
      <w:marTop w:val="0"/>
      <w:marBottom w:val="0"/>
      <w:divBdr>
        <w:top w:val="none" w:sz="0" w:space="0" w:color="auto"/>
        <w:left w:val="none" w:sz="0" w:space="0" w:color="auto"/>
        <w:bottom w:val="none" w:sz="0" w:space="0" w:color="auto"/>
        <w:right w:val="none" w:sz="0" w:space="0" w:color="auto"/>
      </w:divBdr>
    </w:div>
    <w:div w:id="501626775">
      <w:bodyDiv w:val="1"/>
      <w:marLeft w:val="0"/>
      <w:marRight w:val="0"/>
      <w:marTop w:val="0"/>
      <w:marBottom w:val="0"/>
      <w:divBdr>
        <w:top w:val="none" w:sz="0" w:space="0" w:color="auto"/>
        <w:left w:val="none" w:sz="0" w:space="0" w:color="auto"/>
        <w:bottom w:val="none" w:sz="0" w:space="0" w:color="auto"/>
        <w:right w:val="none" w:sz="0" w:space="0" w:color="auto"/>
      </w:divBdr>
    </w:div>
    <w:div w:id="501703497">
      <w:bodyDiv w:val="1"/>
      <w:marLeft w:val="0"/>
      <w:marRight w:val="0"/>
      <w:marTop w:val="0"/>
      <w:marBottom w:val="0"/>
      <w:divBdr>
        <w:top w:val="none" w:sz="0" w:space="0" w:color="auto"/>
        <w:left w:val="none" w:sz="0" w:space="0" w:color="auto"/>
        <w:bottom w:val="none" w:sz="0" w:space="0" w:color="auto"/>
        <w:right w:val="none" w:sz="0" w:space="0" w:color="auto"/>
      </w:divBdr>
    </w:div>
    <w:div w:id="501706189">
      <w:bodyDiv w:val="1"/>
      <w:marLeft w:val="0"/>
      <w:marRight w:val="0"/>
      <w:marTop w:val="0"/>
      <w:marBottom w:val="0"/>
      <w:divBdr>
        <w:top w:val="none" w:sz="0" w:space="0" w:color="auto"/>
        <w:left w:val="none" w:sz="0" w:space="0" w:color="auto"/>
        <w:bottom w:val="none" w:sz="0" w:space="0" w:color="auto"/>
        <w:right w:val="none" w:sz="0" w:space="0" w:color="auto"/>
      </w:divBdr>
    </w:div>
    <w:div w:id="501940511">
      <w:bodyDiv w:val="1"/>
      <w:marLeft w:val="0"/>
      <w:marRight w:val="0"/>
      <w:marTop w:val="0"/>
      <w:marBottom w:val="0"/>
      <w:divBdr>
        <w:top w:val="none" w:sz="0" w:space="0" w:color="auto"/>
        <w:left w:val="none" w:sz="0" w:space="0" w:color="auto"/>
        <w:bottom w:val="none" w:sz="0" w:space="0" w:color="auto"/>
        <w:right w:val="none" w:sz="0" w:space="0" w:color="auto"/>
      </w:divBdr>
    </w:div>
    <w:div w:id="502090045">
      <w:bodyDiv w:val="1"/>
      <w:marLeft w:val="0"/>
      <w:marRight w:val="0"/>
      <w:marTop w:val="0"/>
      <w:marBottom w:val="0"/>
      <w:divBdr>
        <w:top w:val="none" w:sz="0" w:space="0" w:color="auto"/>
        <w:left w:val="none" w:sz="0" w:space="0" w:color="auto"/>
        <w:bottom w:val="none" w:sz="0" w:space="0" w:color="auto"/>
        <w:right w:val="none" w:sz="0" w:space="0" w:color="auto"/>
      </w:divBdr>
    </w:div>
    <w:div w:id="502090813">
      <w:bodyDiv w:val="1"/>
      <w:marLeft w:val="0"/>
      <w:marRight w:val="0"/>
      <w:marTop w:val="0"/>
      <w:marBottom w:val="0"/>
      <w:divBdr>
        <w:top w:val="none" w:sz="0" w:space="0" w:color="auto"/>
        <w:left w:val="none" w:sz="0" w:space="0" w:color="auto"/>
        <w:bottom w:val="none" w:sz="0" w:space="0" w:color="auto"/>
        <w:right w:val="none" w:sz="0" w:space="0" w:color="auto"/>
      </w:divBdr>
    </w:div>
    <w:div w:id="502092442">
      <w:bodyDiv w:val="1"/>
      <w:marLeft w:val="0"/>
      <w:marRight w:val="0"/>
      <w:marTop w:val="0"/>
      <w:marBottom w:val="0"/>
      <w:divBdr>
        <w:top w:val="none" w:sz="0" w:space="0" w:color="auto"/>
        <w:left w:val="none" w:sz="0" w:space="0" w:color="auto"/>
        <w:bottom w:val="none" w:sz="0" w:space="0" w:color="auto"/>
        <w:right w:val="none" w:sz="0" w:space="0" w:color="auto"/>
      </w:divBdr>
    </w:div>
    <w:div w:id="502164501">
      <w:bodyDiv w:val="1"/>
      <w:marLeft w:val="0"/>
      <w:marRight w:val="0"/>
      <w:marTop w:val="0"/>
      <w:marBottom w:val="0"/>
      <w:divBdr>
        <w:top w:val="none" w:sz="0" w:space="0" w:color="auto"/>
        <w:left w:val="none" w:sz="0" w:space="0" w:color="auto"/>
        <w:bottom w:val="none" w:sz="0" w:space="0" w:color="auto"/>
        <w:right w:val="none" w:sz="0" w:space="0" w:color="auto"/>
      </w:divBdr>
    </w:div>
    <w:div w:id="502205843">
      <w:bodyDiv w:val="1"/>
      <w:marLeft w:val="0"/>
      <w:marRight w:val="0"/>
      <w:marTop w:val="0"/>
      <w:marBottom w:val="0"/>
      <w:divBdr>
        <w:top w:val="none" w:sz="0" w:space="0" w:color="auto"/>
        <w:left w:val="none" w:sz="0" w:space="0" w:color="auto"/>
        <w:bottom w:val="none" w:sz="0" w:space="0" w:color="auto"/>
        <w:right w:val="none" w:sz="0" w:space="0" w:color="auto"/>
      </w:divBdr>
    </w:div>
    <w:div w:id="502277751">
      <w:bodyDiv w:val="1"/>
      <w:marLeft w:val="0"/>
      <w:marRight w:val="0"/>
      <w:marTop w:val="0"/>
      <w:marBottom w:val="0"/>
      <w:divBdr>
        <w:top w:val="none" w:sz="0" w:space="0" w:color="auto"/>
        <w:left w:val="none" w:sz="0" w:space="0" w:color="auto"/>
        <w:bottom w:val="none" w:sz="0" w:space="0" w:color="auto"/>
        <w:right w:val="none" w:sz="0" w:space="0" w:color="auto"/>
      </w:divBdr>
    </w:div>
    <w:div w:id="502280412">
      <w:bodyDiv w:val="1"/>
      <w:marLeft w:val="0"/>
      <w:marRight w:val="0"/>
      <w:marTop w:val="0"/>
      <w:marBottom w:val="0"/>
      <w:divBdr>
        <w:top w:val="none" w:sz="0" w:space="0" w:color="auto"/>
        <w:left w:val="none" w:sz="0" w:space="0" w:color="auto"/>
        <w:bottom w:val="none" w:sz="0" w:space="0" w:color="auto"/>
        <w:right w:val="none" w:sz="0" w:space="0" w:color="auto"/>
      </w:divBdr>
    </w:div>
    <w:div w:id="502399635">
      <w:bodyDiv w:val="1"/>
      <w:marLeft w:val="0"/>
      <w:marRight w:val="0"/>
      <w:marTop w:val="0"/>
      <w:marBottom w:val="0"/>
      <w:divBdr>
        <w:top w:val="none" w:sz="0" w:space="0" w:color="auto"/>
        <w:left w:val="none" w:sz="0" w:space="0" w:color="auto"/>
        <w:bottom w:val="none" w:sz="0" w:space="0" w:color="auto"/>
        <w:right w:val="none" w:sz="0" w:space="0" w:color="auto"/>
      </w:divBdr>
    </w:div>
    <w:div w:id="502473729">
      <w:bodyDiv w:val="1"/>
      <w:marLeft w:val="0"/>
      <w:marRight w:val="0"/>
      <w:marTop w:val="0"/>
      <w:marBottom w:val="0"/>
      <w:divBdr>
        <w:top w:val="none" w:sz="0" w:space="0" w:color="auto"/>
        <w:left w:val="none" w:sz="0" w:space="0" w:color="auto"/>
        <w:bottom w:val="none" w:sz="0" w:space="0" w:color="auto"/>
        <w:right w:val="none" w:sz="0" w:space="0" w:color="auto"/>
      </w:divBdr>
    </w:div>
    <w:div w:id="502626872">
      <w:bodyDiv w:val="1"/>
      <w:marLeft w:val="0"/>
      <w:marRight w:val="0"/>
      <w:marTop w:val="0"/>
      <w:marBottom w:val="0"/>
      <w:divBdr>
        <w:top w:val="none" w:sz="0" w:space="0" w:color="auto"/>
        <w:left w:val="none" w:sz="0" w:space="0" w:color="auto"/>
        <w:bottom w:val="none" w:sz="0" w:space="0" w:color="auto"/>
        <w:right w:val="none" w:sz="0" w:space="0" w:color="auto"/>
      </w:divBdr>
    </w:div>
    <w:div w:id="502668380">
      <w:bodyDiv w:val="1"/>
      <w:marLeft w:val="0"/>
      <w:marRight w:val="0"/>
      <w:marTop w:val="0"/>
      <w:marBottom w:val="0"/>
      <w:divBdr>
        <w:top w:val="none" w:sz="0" w:space="0" w:color="auto"/>
        <w:left w:val="none" w:sz="0" w:space="0" w:color="auto"/>
        <w:bottom w:val="none" w:sz="0" w:space="0" w:color="auto"/>
        <w:right w:val="none" w:sz="0" w:space="0" w:color="auto"/>
      </w:divBdr>
    </w:div>
    <w:div w:id="502742311">
      <w:bodyDiv w:val="1"/>
      <w:marLeft w:val="0"/>
      <w:marRight w:val="0"/>
      <w:marTop w:val="0"/>
      <w:marBottom w:val="0"/>
      <w:divBdr>
        <w:top w:val="none" w:sz="0" w:space="0" w:color="auto"/>
        <w:left w:val="none" w:sz="0" w:space="0" w:color="auto"/>
        <w:bottom w:val="none" w:sz="0" w:space="0" w:color="auto"/>
        <w:right w:val="none" w:sz="0" w:space="0" w:color="auto"/>
      </w:divBdr>
    </w:div>
    <w:div w:id="502746995">
      <w:bodyDiv w:val="1"/>
      <w:marLeft w:val="0"/>
      <w:marRight w:val="0"/>
      <w:marTop w:val="0"/>
      <w:marBottom w:val="0"/>
      <w:divBdr>
        <w:top w:val="none" w:sz="0" w:space="0" w:color="auto"/>
        <w:left w:val="none" w:sz="0" w:space="0" w:color="auto"/>
        <w:bottom w:val="none" w:sz="0" w:space="0" w:color="auto"/>
        <w:right w:val="none" w:sz="0" w:space="0" w:color="auto"/>
      </w:divBdr>
    </w:div>
    <w:div w:id="502865719">
      <w:bodyDiv w:val="1"/>
      <w:marLeft w:val="0"/>
      <w:marRight w:val="0"/>
      <w:marTop w:val="0"/>
      <w:marBottom w:val="0"/>
      <w:divBdr>
        <w:top w:val="none" w:sz="0" w:space="0" w:color="auto"/>
        <w:left w:val="none" w:sz="0" w:space="0" w:color="auto"/>
        <w:bottom w:val="none" w:sz="0" w:space="0" w:color="auto"/>
        <w:right w:val="none" w:sz="0" w:space="0" w:color="auto"/>
      </w:divBdr>
    </w:div>
    <w:div w:id="502935046">
      <w:bodyDiv w:val="1"/>
      <w:marLeft w:val="0"/>
      <w:marRight w:val="0"/>
      <w:marTop w:val="0"/>
      <w:marBottom w:val="0"/>
      <w:divBdr>
        <w:top w:val="none" w:sz="0" w:space="0" w:color="auto"/>
        <w:left w:val="none" w:sz="0" w:space="0" w:color="auto"/>
        <w:bottom w:val="none" w:sz="0" w:space="0" w:color="auto"/>
        <w:right w:val="none" w:sz="0" w:space="0" w:color="auto"/>
      </w:divBdr>
    </w:div>
    <w:div w:id="503086833">
      <w:bodyDiv w:val="1"/>
      <w:marLeft w:val="0"/>
      <w:marRight w:val="0"/>
      <w:marTop w:val="0"/>
      <w:marBottom w:val="0"/>
      <w:divBdr>
        <w:top w:val="none" w:sz="0" w:space="0" w:color="auto"/>
        <w:left w:val="none" w:sz="0" w:space="0" w:color="auto"/>
        <w:bottom w:val="none" w:sz="0" w:space="0" w:color="auto"/>
        <w:right w:val="none" w:sz="0" w:space="0" w:color="auto"/>
      </w:divBdr>
    </w:div>
    <w:div w:id="503133377">
      <w:bodyDiv w:val="1"/>
      <w:marLeft w:val="0"/>
      <w:marRight w:val="0"/>
      <w:marTop w:val="0"/>
      <w:marBottom w:val="0"/>
      <w:divBdr>
        <w:top w:val="none" w:sz="0" w:space="0" w:color="auto"/>
        <w:left w:val="none" w:sz="0" w:space="0" w:color="auto"/>
        <w:bottom w:val="none" w:sz="0" w:space="0" w:color="auto"/>
        <w:right w:val="none" w:sz="0" w:space="0" w:color="auto"/>
      </w:divBdr>
    </w:div>
    <w:div w:id="503133633">
      <w:bodyDiv w:val="1"/>
      <w:marLeft w:val="0"/>
      <w:marRight w:val="0"/>
      <w:marTop w:val="0"/>
      <w:marBottom w:val="0"/>
      <w:divBdr>
        <w:top w:val="none" w:sz="0" w:space="0" w:color="auto"/>
        <w:left w:val="none" w:sz="0" w:space="0" w:color="auto"/>
        <w:bottom w:val="none" w:sz="0" w:space="0" w:color="auto"/>
        <w:right w:val="none" w:sz="0" w:space="0" w:color="auto"/>
      </w:divBdr>
    </w:div>
    <w:div w:id="503203436">
      <w:bodyDiv w:val="1"/>
      <w:marLeft w:val="0"/>
      <w:marRight w:val="0"/>
      <w:marTop w:val="0"/>
      <w:marBottom w:val="0"/>
      <w:divBdr>
        <w:top w:val="none" w:sz="0" w:space="0" w:color="auto"/>
        <w:left w:val="none" w:sz="0" w:space="0" w:color="auto"/>
        <w:bottom w:val="none" w:sz="0" w:space="0" w:color="auto"/>
        <w:right w:val="none" w:sz="0" w:space="0" w:color="auto"/>
      </w:divBdr>
    </w:div>
    <w:div w:id="503251154">
      <w:bodyDiv w:val="1"/>
      <w:marLeft w:val="0"/>
      <w:marRight w:val="0"/>
      <w:marTop w:val="0"/>
      <w:marBottom w:val="0"/>
      <w:divBdr>
        <w:top w:val="none" w:sz="0" w:space="0" w:color="auto"/>
        <w:left w:val="none" w:sz="0" w:space="0" w:color="auto"/>
        <w:bottom w:val="none" w:sz="0" w:space="0" w:color="auto"/>
        <w:right w:val="none" w:sz="0" w:space="0" w:color="auto"/>
      </w:divBdr>
    </w:div>
    <w:div w:id="503320191">
      <w:bodyDiv w:val="1"/>
      <w:marLeft w:val="0"/>
      <w:marRight w:val="0"/>
      <w:marTop w:val="0"/>
      <w:marBottom w:val="0"/>
      <w:divBdr>
        <w:top w:val="none" w:sz="0" w:space="0" w:color="auto"/>
        <w:left w:val="none" w:sz="0" w:space="0" w:color="auto"/>
        <w:bottom w:val="none" w:sz="0" w:space="0" w:color="auto"/>
        <w:right w:val="none" w:sz="0" w:space="0" w:color="auto"/>
      </w:divBdr>
    </w:div>
    <w:div w:id="503328707">
      <w:bodyDiv w:val="1"/>
      <w:marLeft w:val="0"/>
      <w:marRight w:val="0"/>
      <w:marTop w:val="0"/>
      <w:marBottom w:val="0"/>
      <w:divBdr>
        <w:top w:val="none" w:sz="0" w:space="0" w:color="auto"/>
        <w:left w:val="none" w:sz="0" w:space="0" w:color="auto"/>
        <w:bottom w:val="none" w:sz="0" w:space="0" w:color="auto"/>
        <w:right w:val="none" w:sz="0" w:space="0" w:color="auto"/>
      </w:divBdr>
    </w:div>
    <w:div w:id="503516652">
      <w:bodyDiv w:val="1"/>
      <w:marLeft w:val="0"/>
      <w:marRight w:val="0"/>
      <w:marTop w:val="0"/>
      <w:marBottom w:val="0"/>
      <w:divBdr>
        <w:top w:val="none" w:sz="0" w:space="0" w:color="auto"/>
        <w:left w:val="none" w:sz="0" w:space="0" w:color="auto"/>
        <w:bottom w:val="none" w:sz="0" w:space="0" w:color="auto"/>
        <w:right w:val="none" w:sz="0" w:space="0" w:color="auto"/>
      </w:divBdr>
    </w:div>
    <w:div w:id="503588278">
      <w:bodyDiv w:val="1"/>
      <w:marLeft w:val="0"/>
      <w:marRight w:val="0"/>
      <w:marTop w:val="0"/>
      <w:marBottom w:val="0"/>
      <w:divBdr>
        <w:top w:val="none" w:sz="0" w:space="0" w:color="auto"/>
        <w:left w:val="none" w:sz="0" w:space="0" w:color="auto"/>
        <w:bottom w:val="none" w:sz="0" w:space="0" w:color="auto"/>
        <w:right w:val="none" w:sz="0" w:space="0" w:color="auto"/>
      </w:divBdr>
    </w:div>
    <w:div w:id="503712350">
      <w:bodyDiv w:val="1"/>
      <w:marLeft w:val="0"/>
      <w:marRight w:val="0"/>
      <w:marTop w:val="0"/>
      <w:marBottom w:val="0"/>
      <w:divBdr>
        <w:top w:val="none" w:sz="0" w:space="0" w:color="auto"/>
        <w:left w:val="none" w:sz="0" w:space="0" w:color="auto"/>
        <w:bottom w:val="none" w:sz="0" w:space="0" w:color="auto"/>
        <w:right w:val="none" w:sz="0" w:space="0" w:color="auto"/>
      </w:divBdr>
    </w:div>
    <w:div w:id="503715445">
      <w:bodyDiv w:val="1"/>
      <w:marLeft w:val="0"/>
      <w:marRight w:val="0"/>
      <w:marTop w:val="0"/>
      <w:marBottom w:val="0"/>
      <w:divBdr>
        <w:top w:val="none" w:sz="0" w:space="0" w:color="auto"/>
        <w:left w:val="none" w:sz="0" w:space="0" w:color="auto"/>
        <w:bottom w:val="none" w:sz="0" w:space="0" w:color="auto"/>
        <w:right w:val="none" w:sz="0" w:space="0" w:color="auto"/>
      </w:divBdr>
    </w:div>
    <w:div w:id="503741977">
      <w:bodyDiv w:val="1"/>
      <w:marLeft w:val="0"/>
      <w:marRight w:val="0"/>
      <w:marTop w:val="0"/>
      <w:marBottom w:val="0"/>
      <w:divBdr>
        <w:top w:val="none" w:sz="0" w:space="0" w:color="auto"/>
        <w:left w:val="none" w:sz="0" w:space="0" w:color="auto"/>
        <w:bottom w:val="none" w:sz="0" w:space="0" w:color="auto"/>
        <w:right w:val="none" w:sz="0" w:space="0" w:color="auto"/>
      </w:divBdr>
    </w:div>
    <w:div w:id="503781813">
      <w:bodyDiv w:val="1"/>
      <w:marLeft w:val="0"/>
      <w:marRight w:val="0"/>
      <w:marTop w:val="0"/>
      <w:marBottom w:val="0"/>
      <w:divBdr>
        <w:top w:val="none" w:sz="0" w:space="0" w:color="auto"/>
        <w:left w:val="none" w:sz="0" w:space="0" w:color="auto"/>
        <w:bottom w:val="none" w:sz="0" w:space="0" w:color="auto"/>
        <w:right w:val="none" w:sz="0" w:space="0" w:color="auto"/>
      </w:divBdr>
    </w:div>
    <w:div w:id="503783117">
      <w:bodyDiv w:val="1"/>
      <w:marLeft w:val="0"/>
      <w:marRight w:val="0"/>
      <w:marTop w:val="0"/>
      <w:marBottom w:val="0"/>
      <w:divBdr>
        <w:top w:val="none" w:sz="0" w:space="0" w:color="auto"/>
        <w:left w:val="none" w:sz="0" w:space="0" w:color="auto"/>
        <w:bottom w:val="none" w:sz="0" w:space="0" w:color="auto"/>
        <w:right w:val="none" w:sz="0" w:space="0" w:color="auto"/>
      </w:divBdr>
    </w:div>
    <w:div w:id="503978216">
      <w:bodyDiv w:val="1"/>
      <w:marLeft w:val="0"/>
      <w:marRight w:val="0"/>
      <w:marTop w:val="0"/>
      <w:marBottom w:val="0"/>
      <w:divBdr>
        <w:top w:val="none" w:sz="0" w:space="0" w:color="auto"/>
        <w:left w:val="none" w:sz="0" w:space="0" w:color="auto"/>
        <w:bottom w:val="none" w:sz="0" w:space="0" w:color="auto"/>
        <w:right w:val="none" w:sz="0" w:space="0" w:color="auto"/>
      </w:divBdr>
    </w:div>
    <w:div w:id="504243341">
      <w:bodyDiv w:val="1"/>
      <w:marLeft w:val="0"/>
      <w:marRight w:val="0"/>
      <w:marTop w:val="0"/>
      <w:marBottom w:val="0"/>
      <w:divBdr>
        <w:top w:val="none" w:sz="0" w:space="0" w:color="auto"/>
        <w:left w:val="none" w:sz="0" w:space="0" w:color="auto"/>
        <w:bottom w:val="none" w:sz="0" w:space="0" w:color="auto"/>
        <w:right w:val="none" w:sz="0" w:space="0" w:color="auto"/>
      </w:divBdr>
    </w:div>
    <w:div w:id="504244256">
      <w:bodyDiv w:val="1"/>
      <w:marLeft w:val="0"/>
      <w:marRight w:val="0"/>
      <w:marTop w:val="0"/>
      <w:marBottom w:val="0"/>
      <w:divBdr>
        <w:top w:val="none" w:sz="0" w:space="0" w:color="auto"/>
        <w:left w:val="none" w:sz="0" w:space="0" w:color="auto"/>
        <w:bottom w:val="none" w:sz="0" w:space="0" w:color="auto"/>
        <w:right w:val="none" w:sz="0" w:space="0" w:color="auto"/>
      </w:divBdr>
    </w:div>
    <w:div w:id="504367943">
      <w:bodyDiv w:val="1"/>
      <w:marLeft w:val="0"/>
      <w:marRight w:val="0"/>
      <w:marTop w:val="0"/>
      <w:marBottom w:val="0"/>
      <w:divBdr>
        <w:top w:val="none" w:sz="0" w:space="0" w:color="auto"/>
        <w:left w:val="none" w:sz="0" w:space="0" w:color="auto"/>
        <w:bottom w:val="none" w:sz="0" w:space="0" w:color="auto"/>
        <w:right w:val="none" w:sz="0" w:space="0" w:color="auto"/>
      </w:divBdr>
    </w:div>
    <w:div w:id="504437017">
      <w:bodyDiv w:val="1"/>
      <w:marLeft w:val="0"/>
      <w:marRight w:val="0"/>
      <w:marTop w:val="0"/>
      <w:marBottom w:val="0"/>
      <w:divBdr>
        <w:top w:val="none" w:sz="0" w:space="0" w:color="auto"/>
        <w:left w:val="none" w:sz="0" w:space="0" w:color="auto"/>
        <w:bottom w:val="none" w:sz="0" w:space="0" w:color="auto"/>
        <w:right w:val="none" w:sz="0" w:space="0" w:color="auto"/>
      </w:divBdr>
    </w:div>
    <w:div w:id="504590898">
      <w:bodyDiv w:val="1"/>
      <w:marLeft w:val="0"/>
      <w:marRight w:val="0"/>
      <w:marTop w:val="0"/>
      <w:marBottom w:val="0"/>
      <w:divBdr>
        <w:top w:val="none" w:sz="0" w:space="0" w:color="auto"/>
        <w:left w:val="none" w:sz="0" w:space="0" w:color="auto"/>
        <w:bottom w:val="none" w:sz="0" w:space="0" w:color="auto"/>
        <w:right w:val="none" w:sz="0" w:space="0" w:color="auto"/>
      </w:divBdr>
    </w:div>
    <w:div w:id="504591492">
      <w:bodyDiv w:val="1"/>
      <w:marLeft w:val="0"/>
      <w:marRight w:val="0"/>
      <w:marTop w:val="0"/>
      <w:marBottom w:val="0"/>
      <w:divBdr>
        <w:top w:val="none" w:sz="0" w:space="0" w:color="auto"/>
        <w:left w:val="none" w:sz="0" w:space="0" w:color="auto"/>
        <w:bottom w:val="none" w:sz="0" w:space="0" w:color="auto"/>
        <w:right w:val="none" w:sz="0" w:space="0" w:color="auto"/>
      </w:divBdr>
    </w:div>
    <w:div w:id="504591657">
      <w:bodyDiv w:val="1"/>
      <w:marLeft w:val="0"/>
      <w:marRight w:val="0"/>
      <w:marTop w:val="0"/>
      <w:marBottom w:val="0"/>
      <w:divBdr>
        <w:top w:val="none" w:sz="0" w:space="0" w:color="auto"/>
        <w:left w:val="none" w:sz="0" w:space="0" w:color="auto"/>
        <w:bottom w:val="none" w:sz="0" w:space="0" w:color="auto"/>
        <w:right w:val="none" w:sz="0" w:space="0" w:color="auto"/>
      </w:divBdr>
    </w:div>
    <w:div w:id="504636636">
      <w:bodyDiv w:val="1"/>
      <w:marLeft w:val="0"/>
      <w:marRight w:val="0"/>
      <w:marTop w:val="0"/>
      <w:marBottom w:val="0"/>
      <w:divBdr>
        <w:top w:val="none" w:sz="0" w:space="0" w:color="auto"/>
        <w:left w:val="none" w:sz="0" w:space="0" w:color="auto"/>
        <w:bottom w:val="none" w:sz="0" w:space="0" w:color="auto"/>
        <w:right w:val="none" w:sz="0" w:space="0" w:color="auto"/>
      </w:divBdr>
    </w:div>
    <w:div w:id="504786247">
      <w:bodyDiv w:val="1"/>
      <w:marLeft w:val="0"/>
      <w:marRight w:val="0"/>
      <w:marTop w:val="0"/>
      <w:marBottom w:val="0"/>
      <w:divBdr>
        <w:top w:val="none" w:sz="0" w:space="0" w:color="auto"/>
        <w:left w:val="none" w:sz="0" w:space="0" w:color="auto"/>
        <w:bottom w:val="none" w:sz="0" w:space="0" w:color="auto"/>
        <w:right w:val="none" w:sz="0" w:space="0" w:color="auto"/>
      </w:divBdr>
    </w:div>
    <w:div w:id="504789638">
      <w:bodyDiv w:val="1"/>
      <w:marLeft w:val="0"/>
      <w:marRight w:val="0"/>
      <w:marTop w:val="0"/>
      <w:marBottom w:val="0"/>
      <w:divBdr>
        <w:top w:val="none" w:sz="0" w:space="0" w:color="auto"/>
        <w:left w:val="none" w:sz="0" w:space="0" w:color="auto"/>
        <w:bottom w:val="none" w:sz="0" w:space="0" w:color="auto"/>
        <w:right w:val="none" w:sz="0" w:space="0" w:color="auto"/>
      </w:divBdr>
    </w:div>
    <w:div w:id="504825162">
      <w:bodyDiv w:val="1"/>
      <w:marLeft w:val="0"/>
      <w:marRight w:val="0"/>
      <w:marTop w:val="0"/>
      <w:marBottom w:val="0"/>
      <w:divBdr>
        <w:top w:val="none" w:sz="0" w:space="0" w:color="auto"/>
        <w:left w:val="none" w:sz="0" w:space="0" w:color="auto"/>
        <w:bottom w:val="none" w:sz="0" w:space="0" w:color="auto"/>
        <w:right w:val="none" w:sz="0" w:space="0" w:color="auto"/>
      </w:divBdr>
    </w:div>
    <w:div w:id="504832652">
      <w:bodyDiv w:val="1"/>
      <w:marLeft w:val="0"/>
      <w:marRight w:val="0"/>
      <w:marTop w:val="0"/>
      <w:marBottom w:val="0"/>
      <w:divBdr>
        <w:top w:val="none" w:sz="0" w:space="0" w:color="auto"/>
        <w:left w:val="none" w:sz="0" w:space="0" w:color="auto"/>
        <w:bottom w:val="none" w:sz="0" w:space="0" w:color="auto"/>
        <w:right w:val="none" w:sz="0" w:space="0" w:color="auto"/>
      </w:divBdr>
    </w:div>
    <w:div w:id="504899158">
      <w:bodyDiv w:val="1"/>
      <w:marLeft w:val="0"/>
      <w:marRight w:val="0"/>
      <w:marTop w:val="0"/>
      <w:marBottom w:val="0"/>
      <w:divBdr>
        <w:top w:val="none" w:sz="0" w:space="0" w:color="auto"/>
        <w:left w:val="none" w:sz="0" w:space="0" w:color="auto"/>
        <w:bottom w:val="none" w:sz="0" w:space="0" w:color="auto"/>
        <w:right w:val="none" w:sz="0" w:space="0" w:color="auto"/>
      </w:divBdr>
    </w:div>
    <w:div w:id="504901731">
      <w:bodyDiv w:val="1"/>
      <w:marLeft w:val="0"/>
      <w:marRight w:val="0"/>
      <w:marTop w:val="0"/>
      <w:marBottom w:val="0"/>
      <w:divBdr>
        <w:top w:val="none" w:sz="0" w:space="0" w:color="auto"/>
        <w:left w:val="none" w:sz="0" w:space="0" w:color="auto"/>
        <w:bottom w:val="none" w:sz="0" w:space="0" w:color="auto"/>
        <w:right w:val="none" w:sz="0" w:space="0" w:color="auto"/>
      </w:divBdr>
    </w:div>
    <w:div w:id="504904465">
      <w:bodyDiv w:val="1"/>
      <w:marLeft w:val="0"/>
      <w:marRight w:val="0"/>
      <w:marTop w:val="0"/>
      <w:marBottom w:val="0"/>
      <w:divBdr>
        <w:top w:val="none" w:sz="0" w:space="0" w:color="auto"/>
        <w:left w:val="none" w:sz="0" w:space="0" w:color="auto"/>
        <w:bottom w:val="none" w:sz="0" w:space="0" w:color="auto"/>
        <w:right w:val="none" w:sz="0" w:space="0" w:color="auto"/>
      </w:divBdr>
    </w:div>
    <w:div w:id="504982829">
      <w:bodyDiv w:val="1"/>
      <w:marLeft w:val="0"/>
      <w:marRight w:val="0"/>
      <w:marTop w:val="0"/>
      <w:marBottom w:val="0"/>
      <w:divBdr>
        <w:top w:val="none" w:sz="0" w:space="0" w:color="auto"/>
        <w:left w:val="none" w:sz="0" w:space="0" w:color="auto"/>
        <w:bottom w:val="none" w:sz="0" w:space="0" w:color="auto"/>
        <w:right w:val="none" w:sz="0" w:space="0" w:color="auto"/>
      </w:divBdr>
    </w:div>
    <w:div w:id="505025398">
      <w:bodyDiv w:val="1"/>
      <w:marLeft w:val="0"/>
      <w:marRight w:val="0"/>
      <w:marTop w:val="0"/>
      <w:marBottom w:val="0"/>
      <w:divBdr>
        <w:top w:val="none" w:sz="0" w:space="0" w:color="auto"/>
        <w:left w:val="none" w:sz="0" w:space="0" w:color="auto"/>
        <w:bottom w:val="none" w:sz="0" w:space="0" w:color="auto"/>
        <w:right w:val="none" w:sz="0" w:space="0" w:color="auto"/>
      </w:divBdr>
    </w:div>
    <w:div w:id="505287080">
      <w:bodyDiv w:val="1"/>
      <w:marLeft w:val="0"/>
      <w:marRight w:val="0"/>
      <w:marTop w:val="0"/>
      <w:marBottom w:val="0"/>
      <w:divBdr>
        <w:top w:val="none" w:sz="0" w:space="0" w:color="auto"/>
        <w:left w:val="none" w:sz="0" w:space="0" w:color="auto"/>
        <w:bottom w:val="none" w:sz="0" w:space="0" w:color="auto"/>
        <w:right w:val="none" w:sz="0" w:space="0" w:color="auto"/>
      </w:divBdr>
    </w:div>
    <w:div w:id="505442175">
      <w:bodyDiv w:val="1"/>
      <w:marLeft w:val="0"/>
      <w:marRight w:val="0"/>
      <w:marTop w:val="0"/>
      <w:marBottom w:val="0"/>
      <w:divBdr>
        <w:top w:val="none" w:sz="0" w:space="0" w:color="auto"/>
        <w:left w:val="none" w:sz="0" w:space="0" w:color="auto"/>
        <w:bottom w:val="none" w:sz="0" w:space="0" w:color="auto"/>
        <w:right w:val="none" w:sz="0" w:space="0" w:color="auto"/>
      </w:divBdr>
    </w:div>
    <w:div w:id="505443471">
      <w:bodyDiv w:val="1"/>
      <w:marLeft w:val="0"/>
      <w:marRight w:val="0"/>
      <w:marTop w:val="0"/>
      <w:marBottom w:val="0"/>
      <w:divBdr>
        <w:top w:val="none" w:sz="0" w:space="0" w:color="auto"/>
        <w:left w:val="none" w:sz="0" w:space="0" w:color="auto"/>
        <w:bottom w:val="none" w:sz="0" w:space="0" w:color="auto"/>
        <w:right w:val="none" w:sz="0" w:space="0" w:color="auto"/>
      </w:divBdr>
    </w:div>
    <w:div w:id="505484320">
      <w:bodyDiv w:val="1"/>
      <w:marLeft w:val="0"/>
      <w:marRight w:val="0"/>
      <w:marTop w:val="0"/>
      <w:marBottom w:val="0"/>
      <w:divBdr>
        <w:top w:val="none" w:sz="0" w:space="0" w:color="auto"/>
        <w:left w:val="none" w:sz="0" w:space="0" w:color="auto"/>
        <w:bottom w:val="none" w:sz="0" w:space="0" w:color="auto"/>
        <w:right w:val="none" w:sz="0" w:space="0" w:color="auto"/>
      </w:divBdr>
    </w:div>
    <w:div w:id="505563024">
      <w:bodyDiv w:val="1"/>
      <w:marLeft w:val="0"/>
      <w:marRight w:val="0"/>
      <w:marTop w:val="0"/>
      <w:marBottom w:val="0"/>
      <w:divBdr>
        <w:top w:val="none" w:sz="0" w:space="0" w:color="auto"/>
        <w:left w:val="none" w:sz="0" w:space="0" w:color="auto"/>
        <w:bottom w:val="none" w:sz="0" w:space="0" w:color="auto"/>
        <w:right w:val="none" w:sz="0" w:space="0" w:color="auto"/>
      </w:divBdr>
    </w:div>
    <w:div w:id="505632054">
      <w:bodyDiv w:val="1"/>
      <w:marLeft w:val="0"/>
      <w:marRight w:val="0"/>
      <w:marTop w:val="0"/>
      <w:marBottom w:val="0"/>
      <w:divBdr>
        <w:top w:val="none" w:sz="0" w:space="0" w:color="auto"/>
        <w:left w:val="none" w:sz="0" w:space="0" w:color="auto"/>
        <w:bottom w:val="none" w:sz="0" w:space="0" w:color="auto"/>
        <w:right w:val="none" w:sz="0" w:space="0" w:color="auto"/>
      </w:divBdr>
    </w:div>
    <w:div w:id="505679376">
      <w:bodyDiv w:val="1"/>
      <w:marLeft w:val="0"/>
      <w:marRight w:val="0"/>
      <w:marTop w:val="0"/>
      <w:marBottom w:val="0"/>
      <w:divBdr>
        <w:top w:val="none" w:sz="0" w:space="0" w:color="auto"/>
        <w:left w:val="none" w:sz="0" w:space="0" w:color="auto"/>
        <w:bottom w:val="none" w:sz="0" w:space="0" w:color="auto"/>
        <w:right w:val="none" w:sz="0" w:space="0" w:color="auto"/>
      </w:divBdr>
    </w:div>
    <w:div w:id="505704240">
      <w:bodyDiv w:val="1"/>
      <w:marLeft w:val="0"/>
      <w:marRight w:val="0"/>
      <w:marTop w:val="0"/>
      <w:marBottom w:val="0"/>
      <w:divBdr>
        <w:top w:val="none" w:sz="0" w:space="0" w:color="auto"/>
        <w:left w:val="none" w:sz="0" w:space="0" w:color="auto"/>
        <w:bottom w:val="none" w:sz="0" w:space="0" w:color="auto"/>
        <w:right w:val="none" w:sz="0" w:space="0" w:color="auto"/>
      </w:divBdr>
    </w:div>
    <w:div w:id="505824449">
      <w:bodyDiv w:val="1"/>
      <w:marLeft w:val="0"/>
      <w:marRight w:val="0"/>
      <w:marTop w:val="0"/>
      <w:marBottom w:val="0"/>
      <w:divBdr>
        <w:top w:val="none" w:sz="0" w:space="0" w:color="auto"/>
        <w:left w:val="none" w:sz="0" w:space="0" w:color="auto"/>
        <w:bottom w:val="none" w:sz="0" w:space="0" w:color="auto"/>
        <w:right w:val="none" w:sz="0" w:space="0" w:color="auto"/>
      </w:divBdr>
    </w:div>
    <w:div w:id="506099181">
      <w:bodyDiv w:val="1"/>
      <w:marLeft w:val="0"/>
      <w:marRight w:val="0"/>
      <w:marTop w:val="0"/>
      <w:marBottom w:val="0"/>
      <w:divBdr>
        <w:top w:val="none" w:sz="0" w:space="0" w:color="auto"/>
        <w:left w:val="none" w:sz="0" w:space="0" w:color="auto"/>
        <w:bottom w:val="none" w:sz="0" w:space="0" w:color="auto"/>
        <w:right w:val="none" w:sz="0" w:space="0" w:color="auto"/>
      </w:divBdr>
    </w:div>
    <w:div w:id="506290097">
      <w:bodyDiv w:val="1"/>
      <w:marLeft w:val="0"/>
      <w:marRight w:val="0"/>
      <w:marTop w:val="0"/>
      <w:marBottom w:val="0"/>
      <w:divBdr>
        <w:top w:val="none" w:sz="0" w:space="0" w:color="auto"/>
        <w:left w:val="none" w:sz="0" w:space="0" w:color="auto"/>
        <w:bottom w:val="none" w:sz="0" w:space="0" w:color="auto"/>
        <w:right w:val="none" w:sz="0" w:space="0" w:color="auto"/>
      </w:divBdr>
    </w:div>
    <w:div w:id="506291512">
      <w:bodyDiv w:val="1"/>
      <w:marLeft w:val="0"/>
      <w:marRight w:val="0"/>
      <w:marTop w:val="0"/>
      <w:marBottom w:val="0"/>
      <w:divBdr>
        <w:top w:val="none" w:sz="0" w:space="0" w:color="auto"/>
        <w:left w:val="none" w:sz="0" w:space="0" w:color="auto"/>
        <w:bottom w:val="none" w:sz="0" w:space="0" w:color="auto"/>
        <w:right w:val="none" w:sz="0" w:space="0" w:color="auto"/>
      </w:divBdr>
    </w:div>
    <w:div w:id="506293704">
      <w:bodyDiv w:val="1"/>
      <w:marLeft w:val="0"/>
      <w:marRight w:val="0"/>
      <w:marTop w:val="0"/>
      <w:marBottom w:val="0"/>
      <w:divBdr>
        <w:top w:val="none" w:sz="0" w:space="0" w:color="auto"/>
        <w:left w:val="none" w:sz="0" w:space="0" w:color="auto"/>
        <w:bottom w:val="none" w:sz="0" w:space="0" w:color="auto"/>
        <w:right w:val="none" w:sz="0" w:space="0" w:color="auto"/>
      </w:divBdr>
    </w:div>
    <w:div w:id="506334036">
      <w:bodyDiv w:val="1"/>
      <w:marLeft w:val="0"/>
      <w:marRight w:val="0"/>
      <w:marTop w:val="0"/>
      <w:marBottom w:val="0"/>
      <w:divBdr>
        <w:top w:val="none" w:sz="0" w:space="0" w:color="auto"/>
        <w:left w:val="none" w:sz="0" w:space="0" w:color="auto"/>
        <w:bottom w:val="none" w:sz="0" w:space="0" w:color="auto"/>
        <w:right w:val="none" w:sz="0" w:space="0" w:color="auto"/>
      </w:divBdr>
    </w:div>
    <w:div w:id="506482764">
      <w:bodyDiv w:val="1"/>
      <w:marLeft w:val="0"/>
      <w:marRight w:val="0"/>
      <w:marTop w:val="0"/>
      <w:marBottom w:val="0"/>
      <w:divBdr>
        <w:top w:val="none" w:sz="0" w:space="0" w:color="auto"/>
        <w:left w:val="none" w:sz="0" w:space="0" w:color="auto"/>
        <w:bottom w:val="none" w:sz="0" w:space="0" w:color="auto"/>
        <w:right w:val="none" w:sz="0" w:space="0" w:color="auto"/>
      </w:divBdr>
    </w:div>
    <w:div w:id="506483321">
      <w:bodyDiv w:val="1"/>
      <w:marLeft w:val="0"/>
      <w:marRight w:val="0"/>
      <w:marTop w:val="0"/>
      <w:marBottom w:val="0"/>
      <w:divBdr>
        <w:top w:val="none" w:sz="0" w:space="0" w:color="auto"/>
        <w:left w:val="none" w:sz="0" w:space="0" w:color="auto"/>
        <w:bottom w:val="none" w:sz="0" w:space="0" w:color="auto"/>
        <w:right w:val="none" w:sz="0" w:space="0" w:color="auto"/>
      </w:divBdr>
    </w:div>
    <w:div w:id="506555939">
      <w:bodyDiv w:val="1"/>
      <w:marLeft w:val="0"/>
      <w:marRight w:val="0"/>
      <w:marTop w:val="0"/>
      <w:marBottom w:val="0"/>
      <w:divBdr>
        <w:top w:val="none" w:sz="0" w:space="0" w:color="auto"/>
        <w:left w:val="none" w:sz="0" w:space="0" w:color="auto"/>
        <w:bottom w:val="none" w:sz="0" w:space="0" w:color="auto"/>
        <w:right w:val="none" w:sz="0" w:space="0" w:color="auto"/>
      </w:divBdr>
    </w:div>
    <w:div w:id="506599011">
      <w:bodyDiv w:val="1"/>
      <w:marLeft w:val="0"/>
      <w:marRight w:val="0"/>
      <w:marTop w:val="0"/>
      <w:marBottom w:val="0"/>
      <w:divBdr>
        <w:top w:val="none" w:sz="0" w:space="0" w:color="auto"/>
        <w:left w:val="none" w:sz="0" w:space="0" w:color="auto"/>
        <w:bottom w:val="none" w:sz="0" w:space="0" w:color="auto"/>
        <w:right w:val="none" w:sz="0" w:space="0" w:color="auto"/>
      </w:divBdr>
    </w:div>
    <w:div w:id="506678825">
      <w:bodyDiv w:val="1"/>
      <w:marLeft w:val="0"/>
      <w:marRight w:val="0"/>
      <w:marTop w:val="0"/>
      <w:marBottom w:val="0"/>
      <w:divBdr>
        <w:top w:val="none" w:sz="0" w:space="0" w:color="auto"/>
        <w:left w:val="none" w:sz="0" w:space="0" w:color="auto"/>
        <w:bottom w:val="none" w:sz="0" w:space="0" w:color="auto"/>
        <w:right w:val="none" w:sz="0" w:space="0" w:color="auto"/>
      </w:divBdr>
    </w:div>
    <w:div w:id="506794150">
      <w:bodyDiv w:val="1"/>
      <w:marLeft w:val="0"/>
      <w:marRight w:val="0"/>
      <w:marTop w:val="0"/>
      <w:marBottom w:val="0"/>
      <w:divBdr>
        <w:top w:val="none" w:sz="0" w:space="0" w:color="auto"/>
        <w:left w:val="none" w:sz="0" w:space="0" w:color="auto"/>
        <w:bottom w:val="none" w:sz="0" w:space="0" w:color="auto"/>
        <w:right w:val="none" w:sz="0" w:space="0" w:color="auto"/>
      </w:divBdr>
    </w:div>
    <w:div w:id="506796777">
      <w:bodyDiv w:val="1"/>
      <w:marLeft w:val="0"/>
      <w:marRight w:val="0"/>
      <w:marTop w:val="0"/>
      <w:marBottom w:val="0"/>
      <w:divBdr>
        <w:top w:val="none" w:sz="0" w:space="0" w:color="auto"/>
        <w:left w:val="none" w:sz="0" w:space="0" w:color="auto"/>
        <w:bottom w:val="none" w:sz="0" w:space="0" w:color="auto"/>
        <w:right w:val="none" w:sz="0" w:space="0" w:color="auto"/>
      </w:divBdr>
    </w:div>
    <w:div w:id="506945560">
      <w:bodyDiv w:val="1"/>
      <w:marLeft w:val="0"/>
      <w:marRight w:val="0"/>
      <w:marTop w:val="0"/>
      <w:marBottom w:val="0"/>
      <w:divBdr>
        <w:top w:val="none" w:sz="0" w:space="0" w:color="auto"/>
        <w:left w:val="none" w:sz="0" w:space="0" w:color="auto"/>
        <w:bottom w:val="none" w:sz="0" w:space="0" w:color="auto"/>
        <w:right w:val="none" w:sz="0" w:space="0" w:color="auto"/>
      </w:divBdr>
    </w:div>
    <w:div w:id="506948532">
      <w:bodyDiv w:val="1"/>
      <w:marLeft w:val="0"/>
      <w:marRight w:val="0"/>
      <w:marTop w:val="0"/>
      <w:marBottom w:val="0"/>
      <w:divBdr>
        <w:top w:val="none" w:sz="0" w:space="0" w:color="auto"/>
        <w:left w:val="none" w:sz="0" w:space="0" w:color="auto"/>
        <w:bottom w:val="none" w:sz="0" w:space="0" w:color="auto"/>
        <w:right w:val="none" w:sz="0" w:space="0" w:color="auto"/>
      </w:divBdr>
    </w:div>
    <w:div w:id="507063440">
      <w:bodyDiv w:val="1"/>
      <w:marLeft w:val="0"/>
      <w:marRight w:val="0"/>
      <w:marTop w:val="0"/>
      <w:marBottom w:val="0"/>
      <w:divBdr>
        <w:top w:val="none" w:sz="0" w:space="0" w:color="auto"/>
        <w:left w:val="none" w:sz="0" w:space="0" w:color="auto"/>
        <w:bottom w:val="none" w:sz="0" w:space="0" w:color="auto"/>
        <w:right w:val="none" w:sz="0" w:space="0" w:color="auto"/>
      </w:divBdr>
    </w:div>
    <w:div w:id="507184826">
      <w:bodyDiv w:val="1"/>
      <w:marLeft w:val="0"/>
      <w:marRight w:val="0"/>
      <w:marTop w:val="0"/>
      <w:marBottom w:val="0"/>
      <w:divBdr>
        <w:top w:val="none" w:sz="0" w:space="0" w:color="auto"/>
        <w:left w:val="none" w:sz="0" w:space="0" w:color="auto"/>
        <w:bottom w:val="none" w:sz="0" w:space="0" w:color="auto"/>
        <w:right w:val="none" w:sz="0" w:space="0" w:color="auto"/>
      </w:divBdr>
    </w:div>
    <w:div w:id="507210085">
      <w:bodyDiv w:val="1"/>
      <w:marLeft w:val="0"/>
      <w:marRight w:val="0"/>
      <w:marTop w:val="0"/>
      <w:marBottom w:val="0"/>
      <w:divBdr>
        <w:top w:val="none" w:sz="0" w:space="0" w:color="auto"/>
        <w:left w:val="none" w:sz="0" w:space="0" w:color="auto"/>
        <w:bottom w:val="none" w:sz="0" w:space="0" w:color="auto"/>
        <w:right w:val="none" w:sz="0" w:space="0" w:color="auto"/>
      </w:divBdr>
    </w:div>
    <w:div w:id="507401816">
      <w:bodyDiv w:val="1"/>
      <w:marLeft w:val="0"/>
      <w:marRight w:val="0"/>
      <w:marTop w:val="0"/>
      <w:marBottom w:val="0"/>
      <w:divBdr>
        <w:top w:val="none" w:sz="0" w:space="0" w:color="auto"/>
        <w:left w:val="none" w:sz="0" w:space="0" w:color="auto"/>
        <w:bottom w:val="none" w:sz="0" w:space="0" w:color="auto"/>
        <w:right w:val="none" w:sz="0" w:space="0" w:color="auto"/>
      </w:divBdr>
    </w:div>
    <w:div w:id="507599773">
      <w:bodyDiv w:val="1"/>
      <w:marLeft w:val="0"/>
      <w:marRight w:val="0"/>
      <w:marTop w:val="0"/>
      <w:marBottom w:val="0"/>
      <w:divBdr>
        <w:top w:val="none" w:sz="0" w:space="0" w:color="auto"/>
        <w:left w:val="none" w:sz="0" w:space="0" w:color="auto"/>
        <w:bottom w:val="none" w:sz="0" w:space="0" w:color="auto"/>
        <w:right w:val="none" w:sz="0" w:space="0" w:color="auto"/>
      </w:divBdr>
    </w:div>
    <w:div w:id="507643417">
      <w:bodyDiv w:val="1"/>
      <w:marLeft w:val="0"/>
      <w:marRight w:val="0"/>
      <w:marTop w:val="0"/>
      <w:marBottom w:val="0"/>
      <w:divBdr>
        <w:top w:val="none" w:sz="0" w:space="0" w:color="auto"/>
        <w:left w:val="none" w:sz="0" w:space="0" w:color="auto"/>
        <w:bottom w:val="none" w:sz="0" w:space="0" w:color="auto"/>
        <w:right w:val="none" w:sz="0" w:space="0" w:color="auto"/>
      </w:divBdr>
    </w:div>
    <w:div w:id="507672143">
      <w:bodyDiv w:val="1"/>
      <w:marLeft w:val="0"/>
      <w:marRight w:val="0"/>
      <w:marTop w:val="0"/>
      <w:marBottom w:val="0"/>
      <w:divBdr>
        <w:top w:val="none" w:sz="0" w:space="0" w:color="auto"/>
        <w:left w:val="none" w:sz="0" w:space="0" w:color="auto"/>
        <w:bottom w:val="none" w:sz="0" w:space="0" w:color="auto"/>
        <w:right w:val="none" w:sz="0" w:space="0" w:color="auto"/>
      </w:divBdr>
    </w:div>
    <w:div w:id="507719579">
      <w:bodyDiv w:val="1"/>
      <w:marLeft w:val="0"/>
      <w:marRight w:val="0"/>
      <w:marTop w:val="0"/>
      <w:marBottom w:val="0"/>
      <w:divBdr>
        <w:top w:val="none" w:sz="0" w:space="0" w:color="auto"/>
        <w:left w:val="none" w:sz="0" w:space="0" w:color="auto"/>
        <w:bottom w:val="none" w:sz="0" w:space="0" w:color="auto"/>
        <w:right w:val="none" w:sz="0" w:space="0" w:color="auto"/>
      </w:divBdr>
    </w:div>
    <w:div w:id="507720173">
      <w:bodyDiv w:val="1"/>
      <w:marLeft w:val="0"/>
      <w:marRight w:val="0"/>
      <w:marTop w:val="0"/>
      <w:marBottom w:val="0"/>
      <w:divBdr>
        <w:top w:val="none" w:sz="0" w:space="0" w:color="auto"/>
        <w:left w:val="none" w:sz="0" w:space="0" w:color="auto"/>
        <w:bottom w:val="none" w:sz="0" w:space="0" w:color="auto"/>
        <w:right w:val="none" w:sz="0" w:space="0" w:color="auto"/>
      </w:divBdr>
    </w:div>
    <w:div w:id="507720417">
      <w:bodyDiv w:val="1"/>
      <w:marLeft w:val="0"/>
      <w:marRight w:val="0"/>
      <w:marTop w:val="0"/>
      <w:marBottom w:val="0"/>
      <w:divBdr>
        <w:top w:val="none" w:sz="0" w:space="0" w:color="auto"/>
        <w:left w:val="none" w:sz="0" w:space="0" w:color="auto"/>
        <w:bottom w:val="none" w:sz="0" w:space="0" w:color="auto"/>
        <w:right w:val="none" w:sz="0" w:space="0" w:color="auto"/>
      </w:divBdr>
    </w:div>
    <w:div w:id="507909931">
      <w:bodyDiv w:val="1"/>
      <w:marLeft w:val="0"/>
      <w:marRight w:val="0"/>
      <w:marTop w:val="0"/>
      <w:marBottom w:val="0"/>
      <w:divBdr>
        <w:top w:val="none" w:sz="0" w:space="0" w:color="auto"/>
        <w:left w:val="none" w:sz="0" w:space="0" w:color="auto"/>
        <w:bottom w:val="none" w:sz="0" w:space="0" w:color="auto"/>
        <w:right w:val="none" w:sz="0" w:space="0" w:color="auto"/>
      </w:divBdr>
    </w:div>
    <w:div w:id="507912725">
      <w:bodyDiv w:val="1"/>
      <w:marLeft w:val="0"/>
      <w:marRight w:val="0"/>
      <w:marTop w:val="0"/>
      <w:marBottom w:val="0"/>
      <w:divBdr>
        <w:top w:val="none" w:sz="0" w:space="0" w:color="auto"/>
        <w:left w:val="none" w:sz="0" w:space="0" w:color="auto"/>
        <w:bottom w:val="none" w:sz="0" w:space="0" w:color="auto"/>
        <w:right w:val="none" w:sz="0" w:space="0" w:color="auto"/>
      </w:divBdr>
    </w:div>
    <w:div w:id="508066204">
      <w:bodyDiv w:val="1"/>
      <w:marLeft w:val="0"/>
      <w:marRight w:val="0"/>
      <w:marTop w:val="0"/>
      <w:marBottom w:val="0"/>
      <w:divBdr>
        <w:top w:val="none" w:sz="0" w:space="0" w:color="auto"/>
        <w:left w:val="none" w:sz="0" w:space="0" w:color="auto"/>
        <w:bottom w:val="none" w:sz="0" w:space="0" w:color="auto"/>
        <w:right w:val="none" w:sz="0" w:space="0" w:color="auto"/>
      </w:divBdr>
    </w:div>
    <w:div w:id="508104884">
      <w:bodyDiv w:val="1"/>
      <w:marLeft w:val="0"/>
      <w:marRight w:val="0"/>
      <w:marTop w:val="0"/>
      <w:marBottom w:val="0"/>
      <w:divBdr>
        <w:top w:val="none" w:sz="0" w:space="0" w:color="auto"/>
        <w:left w:val="none" w:sz="0" w:space="0" w:color="auto"/>
        <w:bottom w:val="none" w:sz="0" w:space="0" w:color="auto"/>
        <w:right w:val="none" w:sz="0" w:space="0" w:color="auto"/>
      </w:divBdr>
    </w:div>
    <w:div w:id="508256072">
      <w:bodyDiv w:val="1"/>
      <w:marLeft w:val="0"/>
      <w:marRight w:val="0"/>
      <w:marTop w:val="0"/>
      <w:marBottom w:val="0"/>
      <w:divBdr>
        <w:top w:val="none" w:sz="0" w:space="0" w:color="auto"/>
        <w:left w:val="none" w:sz="0" w:space="0" w:color="auto"/>
        <w:bottom w:val="none" w:sz="0" w:space="0" w:color="auto"/>
        <w:right w:val="none" w:sz="0" w:space="0" w:color="auto"/>
      </w:divBdr>
    </w:div>
    <w:div w:id="508256409">
      <w:bodyDiv w:val="1"/>
      <w:marLeft w:val="0"/>
      <w:marRight w:val="0"/>
      <w:marTop w:val="0"/>
      <w:marBottom w:val="0"/>
      <w:divBdr>
        <w:top w:val="none" w:sz="0" w:space="0" w:color="auto"/>
        <w:left w:val="none" w:sz="0" w:space="0" w:color="auto"/>
        <w:bottom w:val="none" w:sz="0" w:space="0" w:color="auto"/>
        <w:right w:val="none" w:sz="0" w:space="0" w:color="auto"/>
      </w:divBdr>
    </w:div>
    <w:div w:id="508374563">
      <w:bodyDiv w:val="1"/>
      <w:marLeft w:val="0"/>
      <w:marRight w:val="0"/>
      <w:marTop w:val="0"/>
      <w:marBottom w:val="0"/>
      <w:divBdr>
        <w:top w:val="none" w:sz="0" w:space="0" w:color="auto"/>
        <w:left w:val="none" w:sz="0" w:space="0" w:color="auto"/>
        <w:bottom w:val="none" w:sz="0" w:space="0" w:color="auto"/>
        <w:right w:val="none" w:sz="0" w:space="0" w:color="auto"/>
      </w:divBdr>
    </w:div>
    <w:div w:id="508521660">
      <w:bodyDiv w:val="1"/>
      <w:marLeft w:val="0"/>
      <w:marRight w:val="0"/>
      <w:marTop w:val="0"/>
      <w:marBottom w:val="0"/>
      <w:divBdr>
        <w:top w:val="none" w:sz="0" w:space="0" w:color="auto"/>
        <w:left w:val="none" w:sz="0" w:space="0" w:color="auto"/>
        <w:bottom w:val="none" w:sz="0" w:space="0" w:color="auto"/>
        <w:right w:val="none" w:sz="0" w:space="0" w:color="auto"/>
      </w:divBdr>
    </w:div>
    <w:div w:id="508838809">
      <w:bodyDiv w:val="1"/>
      <w:marLeft w:val="0"/>
      <w:marRight w:val="0"/>
      <w:marTop w:val="0"/>
      <w:marBottom w:val="0"/>
      <w:divBdr>
        <w:top w:val="none" w:sz="0" w:space="0" w:color="auto"/>
        <w:left w:val="none" w:sz="0" w:space="0" w:color="auto"/>
        <w:bottom w:val="none" w:sz="0" w:space="0" w:color="auto"/>
        <w:right w:val="none" w:sz="0" w:space="0" w:color="auto"/>
      </w:divBdr>
    </w:div>
    <w:div w:id="509100439">
      <w:bodyDiv w:val="1"/>
      <w:marLeft w:val="0"/>
      <w:marRight w:val="0"/>
      <w:marTop w:val="0"/>
      <w:marBottom w:val="0"/>
      <w:divBdr>
        <w:top w:val="none" w:sz="0" w:space="0" w:color="auto"/>
        <w:left w:val="none" w:sz="0" w:space="0" w:color="auto"/>
        <w:bottom w:val="none" w:sz="0" w:space="0" w:color="auto"/>
        <w:right w:val="none" w:sz="0" w:space="0" w:color="auto"/>
      </w:divBdr>
    </w:div>
    <w:div w:id="509412934">
      <w:bodyDiv w:val="1"/>
      <w:marLeft w:val="0"/>
      <w:marRight w:val="0"/>
      <w:marTop w:val="0"/>
      <w:marBottom w:val="0"/>
      <w:divBdr>
        <w:top w:val="none" w:sz="0" w:space="0" w:color="auto"/>
        <w:left w:val="none" w:sz="0" w:space="0" w:color="auto"/>
        <w:bottom w:val="none" w:sz="0" w:space="0" w:color="auto"/>
        <w:right w:val="none" w:sz="0" w:space="0" w:color="auto"/>
      </w:divBdr>
    </w:div>
    <w:div w:id="509417893">
      <w:bodyDiv w:val="1"/>
      <w:marLeft w:val="0"/>
      <w:marRight w:val="0"/>
      <w:marTop w:val="0"/>
      <w:marBottom w:val="0"/>
      <w:divBdr>
        <w:top w:val="none" w:sz="0" w:space="0" w:color="auto"/>
        <w:left w:val="none" w:sz="0" w:space="0" w:color="auto"/>
        <w:bottom w:val="none" w:sz="0" w:space="0" w:color="auto"/>
        <w:right w:val="none" w:sz="0" w:space="0" w:color="auto"/>
      </w:divBdr>
    </w:div>
    <w:div w:id="509568736">
      <w:bodyDiv w:val="1"/>
      <w:marLeft w:val="0"/>
      <w:marRight w:val="0"/>
      <w:marTop w:val="0"/>
      <w:marBottom w:val="0"/>
      <w:divBdr>
        <w:top w:val="none" w:sz="0" w:space="0" w:color="auto"/>
        <w:left w:val="none" w:sz="0" w:space="0" w:color="auto"/>
        <w:bottom w:val="none" w:sz="0" w:space="0" w:color="auto"/>
        <w:right w:val="none" w:sz="0" w:space="0" w:color="auto"/>
      </w:divBdr>
    </w:div>
    <w:div w:id="509612510">
      <w:bodyDiv w:val="1"/>
      <w:marLeft w:val="0"/>
      <w:marRight w:val="0"/>
      <w:marTop w:val="0"/>
      <w:marBottom w:val="0"/>
      <w:divBdr>
        <w:top w:val="none" w:sz="0" w:space="0" w:color="auto"/>
        <w:left w:val="none" w:sz="0" w:space="0" w:color="auto"/>
        <w:bottom w:val="none" w:sz="0" w:space="0" w:color="auto"/>
        <w:right w:val="none" w:sz="0" w:space="0" w:color="auto"/>
      </w:divBdr>
    </w:div>
    <w:div w:id="509639288">
      <w:bodyDiv w:val="1"/>
      <w:marLeft w:val="0"/>
      <w:marRight w:val="0"/>
      <w:marTop w:val="0"/>
      <w:marBottom w:val="0"/>
      <w:divBdr>
        <w:top w:val="none" w:sz="0" w:space="0" w:color="auto"/>
        <w:left w:val="none" w:sz="0" w:space="0" w:color="auto"/>
        <w:bottom w:val="none" w:sz="0" w:space="0" w:color="auto"/>
        <w:right w:val="none" w:sz="0" w:space="0" w:color="auto"/>
      </w:divBdr>
    </w:div>
    <w:div w:id="509681822">
      <w:bodyDiv w:val="1"/>
      <w:marLeft w:val="0"/>
      <w:marRight w:val="0"/>
      <w:marTop w:val="0"/>
      <w:marBottom w:val="0"/>
      <w:divBdr>
        <w:top w:val="none" w:sz="0" w:space="0" w:color="auto"/>
        <w:left w:val="none" w:sz="0" w:space="0" w:color="auto"/>
        <w:bottom w:val="none" w:sz="0" w:space="0" w:color="auto"/>
        <w:right w:val="none" w:sz="0" w:space="0" w:color="auto"/>
      </w:divBdr>
    </w:div>
    <w:div w:id="509685340">
      <w:bodyDiv w:val="1"/>
      <w:marLeft w:val="0"/>
      <w:marRight w:val="0"/>
      <w:marTop w:val="0"/>
      <w:marBottom w:val="0"/>
      <w:divBdr>
        <w:top w:val="none" w:sz="0" w:space="0" w:color="auto"/>
        <w:left w:val="none" w:sz="0" w:space="0" w:color="auto"/>
        <w:bottom w:val="none" w:sz="0" w:space="0" w:color="auto"/>
        <w:right w:val="none" w:sz="0" w:space="0" w:color="auto"/>
      </w:divBdr>
    </w:div>
    <w:div w:id="509831865">
      <w:bodyDiv w:val="1"/>
      <w:marLeft w:val="0"/>
      <w:marRight w:val="0"/>
      <w:marTop w:val="0"/>
      <w:marBottom w:val="0"/>
      <w:divBdr>
        <w:top w:val="none" w:sz="0" w:space="0" w:color="auto"/>
        <w:left w:val="none" w:sz="0" w:space="0" w:color="auto"/>
        <w:bottom w:val="none" w:sz="0" w:space="0" w:color="auto"/>
        <w:right w:val="none" w:sz="0" w:space="0" w:color="auto"/>
      </w:divBdr>
    </w:div>
    <w:div w:id="509875060">
      <w:bodyDiv w:val="1"/>
      <w:marLeft w:val="0"/>
      <w:marRight w:val="0"/>
      <w:marTop w:val="0"/>
      <w:marBottom w:val="0"/>
      <w:divBdr>
        <w:top w:val="none" w:sz="0" w:space="0" w:color="auto"/>
        <w:left w:val="none" w:sz="0" w:space="0" w:color="auto"/>
        <w:bottom w:val="none" w:sz="0" w:space="0" w:color="auto"/>
        <w:right w:val="none" w:sz="0" w:space="0" w:color="auto"/>
      </w:divBdr>
    </w:div>
    <w:div w:id="509880428">
      <w:bodyDiv w:val="1"/>
      <w:marLeft w:val="0"/>
      <w:marRight w:val="0"/>
      <w:marTop w:val="0"/>
      <w:marBottom w:val="0"/>
      <w:divBdr>
        <w:top w:val="none" w:sz="0" w:space="0" w:color="auto"/>
        <w:left w:val="none" w:sz="0" w:space="0" w:color="auto"/>
        <w:bottom w:val="none" w:sz="0" w:space="0" w:color="auto"/>
        <w:right w:val="none" w:sz="0" w:space="0" w:color="auto"/>
      </w:divBdr>
    </w:div>
    <w:div w:id="510215919">
      <w:bodyDiv w:val="1"/>
      <w:marLeft w:val="0"/>
      <w:marRight w:val="0"/>
      <w:marTop w:val="0"/>
      <w:marBottom w:val="0"/>
      <w:divBdr>
        <w:top w:val="none" w:sz="0" w:space="0" w:color="auto"/>
        <w:left w:val="none" w:sz="0" w:space="0" w:color="auto"/>
        <w:bottom w:val="none" w:sz="0" w:space="0" w:color="auto"/>
        <w:right w:val="none" w:sz="0" w:space="0" w:color="auto"/>
      </w:divBdr>
    </w:div>
    <w:div w:id="510294455">
      <w:bodyDiv w:val="1"/>
      <w:marLeft w:val="0"/>
      <w:marRight w:val="0"/>
      <w:marTop w:val="0"/>
      <w:marBottom w:val="0"/>
      <w:divBdr>
        <w:top w:val="none" w:sz="0" w:space="0" w:color="auto"/>
        <w:left w:val="none" w:sz="0" w:space="0" w:color="auto"/>
        <w:bottom w:val="none" w:sz="0" w:space="0" w:color="auto"/>
        <w:right w:val="none" w:sz="0" w:space="0" w:color="auto"/>
      </w:divBdr>
    </w:div>
    <w:div w:id="510340316">
      <w:bodyDiv w:val="1"/>
      <w:marLeft w:val="0"/>
      <w:marRight w:val="0"/>
      <w:marTop w:val="0"/>
      <w:marBottom w:val="0"/>
      <w:divBdr>
        <w:top w:val="none" w:sz="0" w:space="0" w:color="auto"/>
        <w:left w:val="none" w:sz="0" w:space="0" w:color="auto"/>
        <w:bottom w:val="none" w:sz="0" w:space="0" w:color="auto"/>
        <w:right w:val="none" w:sz="0" w:space="0" w:color="auto"/>
      </w:divBdr>
    </w:div>
    <w:div w:id="510532947">
      <w:bodyDiv w:val="1"/>
      <w:marLeft w:val="0"/>
      <w:marRight w:val="0"/>
      <w:marTop w:val="0"/>
      <w:marBottom w:val="0"/>
      <w:divBdr>
        <w:top w:val="none" w:sz="0" w:space="0" w:color="auto"/>
        <w:left w:val="none" w:sz="0" w:space="0" w:color="auto"/>
        <w:bottom w:val="none" w:sz="0" w:space="0" w:color="auto"/>
        <w:right w:val="none" w:sz="0" w:space="0" w:color="auto"/>
      </w:divBdr>
    </w:div>
    <w:div w:id="510679354">
      <w:bodyDiv w:val="1"/>
      <w:marLeft w:val="0"/>
      <w:marRight w:val="0"/>
      <w:marTop w:val="0"/>
      <w:marBottom w:val="0"/>
      <w:divBdr>
        <w:top w:val="none" w:sz="0" w:space="0" w:color="auto"/>
        <w:left w:val="none" w:sz="0" w:space="0" w:color="auto"/>
        <w:bottom w:val="none" w:sz="0" w:space="0" w:color="auto"/>
        <w:right w:val="none" w:sz="0" w:space="0" w:color="auto"/>
      </w:divBdr>
    </w:div>
    <w:div w:id="510686765">
      <w:bodyDiv w:val="1"/>
      <w:marLeft w:val="0"/>
      <w:marRight w:val="0"/>
      <w:marTop w:val="0"/>
      <w:marBottom w:val="0"/>
      <w:divBdr>
        <w:top w:val="none" w:sz="0" w:space="0" w:color="auto"/>
        <w:left w:val="none" w:sz="0" w:space="0" w:color="auto"/>
        <w:bottom w:val="none" w:sz="0" w:space="0" w:color="auto"/>
        <w:right w:val="none" w:sz="0" w:space="0" w:color="auto"/>
      </w:divBdr>
    </w:div>
    <w:div w:id="510801554">
      <w:bodyDiv w:val="1"/>
      <w:marLeft w:val="0"/>
      <w:marRight w:val="0"/>
      <w:marTop w:val="0"/>
      <w:marBottom w:val="0"/>
      <w:divBdr>
        <w:top w:val="none" w:sz="0" w:space="0" w:color="auto"/>
        <w:left w:val="none" w:sz="0" w:space="0" w:color="auto"/>
        <w:bottom w:val="none" w:sz="0" w:space="0" w:color="auto"/>
        <w:right w:val="none" w:sz="0" w:space="0" w:color="auto"/>
      </w:divBdr>
    </w:div>
    <w:div w:id="510874891">
      <w:bodyDiv w:val="1"/>
      <w:marLeft w:val="0"/>
      <w:marRight w:val="0"/>
      <w:marTop w:val="0"/>
      <w:marBottom w:val="0"/>
      <w:divBdr>
        <w:top w:val="none" w:sz="0" w:space="0" w:color="auto"/>
        <w:left w:val="none" w:sz="0" w:space="0" w:color="auto"/>
        <w:bottom w:val="none" w:sz="0" w:space="0" w:color="auto"/>
        <w:right w:val="none" w:sz="0" w:space="0" w:color="auto"/>
      </w:divBdr>
    </w:div>
    <w:div w:id="510923369">
      <w:bodyDiv w:val="1"/>
      <w:marLeft w:val="0"/>
      <w:marRight w:val="0"/>
      <w:marTop w:val="0"/>
      <w:marBottom w:val="0"/>
      <w:divBdr>
        <w:top w:val="none" w:sz="0" w:space="0" w:color="auto"/>
        <w:left w:val="none" w:sz="0" w:space="0" w:color="auto"/>
        <w:bottom w:val="none" w:sz="0" w:space="0" w:color="auto"/>
        <w:right w:val="none" w:sz="0" w:space="0" w:color="auto"/>
      </w:divBdr>
    </w:div>
    <w:div w:id="510950331">
      <w:bodyDiv w:val="1"/>
      <w:marLeft w:val="0"/>
      <w:marRight w:val="0"/>
      <w:marTop w:val="0"/>
      <w:marBottom w:val="0"/>
      <w:divBdr>
        <w:top w:val="none" w:sz="0" w:space="0" w:color="auto"/>
        <w:left w:val="none" w:sz="0" w:space="0" w:color="auto"/>
        <w:bottom w:val="none" w:sz="0" w:space="0" w:color="auto"/>
        <w:right w:val="none" w:sz="0" w:space="0" w:color="auto"/>
      </w:divBdr>
    </w:div>
    <w:div w:id="511145190">
      <w:bodyDiv w:val="1"/>
      <w:marLeft w:val="0"/>
      <w:marRight w:val="0"/>
      <w:marTop w:val="0"/>
      <w:marBottom w:val="0"/>
      <w:divBdr>
        <w:top w:val="none" w:sz="0" w:space="0" w:color="auto"/>
        <w:left w:val="none" w:sz="0" w:space="0" w:color="auto"/>
        <w:bottom w:val="none" w:sz="0" w:space="0" w:color="auto"/>
        <w:right w:val="none" w:sz="0" w:space="0" w:color="auto"/>
      </w:divBdr>
    </w:div>
    <w:div w:id="511259244">
      <w:bodyDiv w:val="1"/>
      <w:marLeft w:val="0"/>
      <w:marRight w:val="0"/>
      <w:marTop w:val="0"/>
      <w:marBottom w:val="0"/>
      <w:divBdr>
        <w:top w:val="none" w:sz="0" w:space="0" w:color="auto"/>
        <w:left w:val="none" w:sz="0" w:space="0" w:color="auto"/>
        <w:bottom w:val="none" w:sz="0" w:space="0" w:color="auto"/>
        <w:right w:val="none" w:sz="0" w:space="0" w:color="auto"/>
      </w:divBdr>
    </w:div>
    <w:div w:id="511265793">
      <w:bodyDiv w:val="1"/>
      <w:marLeft w:val="0"/>
      <w:marRight w:val="0"/>
      <w:marTop w:val="0"/>
      <w:marBottom w:val="0"/>
      <w:divBdr>
        <w:top w:val="none" w:sz="0" w:space="0" w:color="auto"/>
        <w:left w:val="none" w:sz="0" w:space="0" w:color="auto"/>
        <w:bottom w:val="none" w:sz="0" w:space="0" w:color="auto"/>
        <w:right w:val="none" w:sz="0" w:space="0" w:color="auto"/>
      </w:divBdr>
    </w:div>
    <w:div w:id="511534321">
      <w:bodyDiv w:val="1"/>
      <w:marLeft w:val="0"/>
      <w:marRight w:val="0"/>
      <w:marTop w:val="0"/>
      <w:marBottom w:val="0"/>
      <w:divBdr>
        <w:top w:val="none" w:sz="0" w:space="0" w:color="auto"/>
        <w:left w:val="none" w:sz="0" w:space="0" w:color="auto"/>
        <w:bottom w:val="none" w:sz="0" w:space="0" w:color="auto"/>
        <w:right w:val="none" w:sz="0" w:space="0" w:color="auto"/>
      </w:divBdr>
    </w:div>
    <w:div w:id="511727612">
      <w:bodyDiv w:val="1"/>
      <w:marLeft w:val="0"/>
      <w:marRight w:val="0"/>
      <w:marTop w:val="0"/>
      <w:marBottom w:val="0"/>
      <w:divBdr>
        <w:top w:val="none" w:sz="0" w:space="0" w:color="auto"/>
        <w:left w:val="none" w:sz="0" w:space="0" w:color="auto"/>
        <w:bottom w:val="none" w:sz="0" w:space="0" w:color="auto"/>
        <w:right w:val="none" w:sz="0" w:space="0" w:color="auto"/>
      </w:divBdr>
    </w:div>
    <w:div w:id="511841543">
      <w:bodyDiv w:val="1"/>
      <w:marLeft w:val="0"/>
      <w:marRight w:val="0"/>
      <w:marTop w:val="0"/>
      <w:marBottom w:val="0"/>
      <w:divBdr>
        <w:top w:val="none" w:sz="0" w:space="0" w:color="auto"/>
        <w:left w:val="none" w:sz="0" w:space="0" w:color="auto"/>
        <w:bottom w:val="none" w:sz="0" w:space="0" w:color="auto"/>
        <w:right w:val="none" w:sz="0" w:space="0" w:color="auto"/>
      </w:divBdr>
    </w:div>
    <w:div w:id="511916327">
      <w:bodyDiv w:val="1"/>
      <w:marLeft w:val="0"/>
      <w:marRight w:val="0"/>
      <w:marTop w:val="0"/>
      <w:marBottom w:val="0"/>
      <w:divBdr>
        <w:top w:val="none" w:sz="0" w:space="0" w:color="auto"/>
        <w:left w:val="none" w:sz="0" w:space="0" w:color="auto"/>
        <w:bottom w:val="none" w:sz="0" w:space="0" w:color="auto"/>
        <w:right w:val="none" w:sz="0" w:space="0" w:color="auto"/>
      </w:divBdr>
    </w:div>
    <w:div w:id="511921050">
      <w:bodyDiv w:val="1"/>
      <w:marLeft w:val="0"/>
      <w:marRight w:val="0"/>
      <w:marTop w:val="0"/>
      <w:marBottom w:val="0"/>
      <w:divBdr>
        <w:top w:val="none" w:sz="0" w:space="0" w:color="auto"/>
        <w:left w:val="none" w:sz="0" w:space="0" w:color="auto"/>
        <w:bottom w:val="none" w:sz="0" w:space="0" w:color="auto"/>
        <w:right w:val="none" w:sz="0" w:space="0" w:color="auto"/>
      </w:divBdr>
    </w:div>
    <w:div w:id="511988627">
      <w:bodyDiv w:val="1"/>
      <w:marLeft w:val="0"/>
      <w:marRight w:val="0"/>
      <w:marTop w:val="0"/>
      <w:marBottom w:val="0"/>
      <w:divBdr>
        <w:top w:val="none" w:sz="0" w:space="0" w:color="auto"/>
        <w:left w:val="none" w:sz="0" w:space="0" w:color="auto"/>
        <w:bottom w:val="none" w:sz="0" w:space="0" w:color="auto"/>
        <w:right w:val="none" w:sz="0" w:space="0" w:color="auto"/>
      </w:divBdr>
    </w:div>
    <w:div w:id="511994909">
      <w:bodyDiv w:val="1"/>
      <w:marLeft w:val="0"/>
      <w:marRight w:val="0"/>
      <w:marTop w:val="0"/>
      <w:marBottom w:val="0"/>
      <w:divBdr>
        <w:top w:val="none" w:sz="0" w:space="0" w:color="auto"/>
        <w:left w:val="none" w:sz="0" w:space="0" w:color="auto"/>
        <w:bottom w:val="none" w:sz="0" w:space="0" w:color="auto"/>
        <w:right w:val="none" w:sz="0" w:space="0" w:color="auto"/>
      </w:divBdr>
    </w:div>
    <w:div w:id="511996658">
      <w:bodyDiv w:val="1"/>
      <w:marLeft w:val="0"/>
      <w:marRight w:val="0"/>
      <w:marTop w:val="0"/>
      <w:marBottom w:val="0"/>
      <w:divBdr>
        <w:top w:val="none" w:sz="0" w:space="0" w:color="auto"/>
        <w:left w:val="none" w:sz="0" w:space="0" w:color="auto"/>
        <w:bottom w:val="none" w:sz="0" w:space="0" w:color="auto"/>
        <w:right w:val="none" w:sz="0" w:space="0" w:color="auto"/>
      </w:divBdr>
    </w:div>
    <w:div w:id="512034695">
      <w:bodyDiv w:val="1"/>
      <w:marLeft w:val="0"/>
      <w:marRight w:val="0"/>
      <w:marTop w:val="0"/>
      <w:marBottom w:val="0"/>
      <w:divBdr>
        <w:top w:val="none" w:sz="0" w:space="0" w:color="auto"/>
        <w:left w:val="none" w:sz="0" w:space="0" w:color="auto"/>
        <w:bottom w:val="none" w:sz="0" w:space="0" w:color="auto"/>
        <w:right w:val="none" w:sz="0" w:space="0" w:color="auto"/>
      </w:divBdr>
    </w:div>
    <w:div w:id="512039366">
      <w:bodyDiv w:val="1"/>
      <w:marLeft w:val="0"/>
      <w:marRight w:val="0"/>
      <w:marTop w:val="0"/>
      <w:marBottom w:val="0"/>
      <w:divBdr>
        <w:top w:val="none" w:sz="0" w:space="0" w:color="auto"/>
        <w:left w:val="none" w:sz="0" w:space="0" w:color="auto"/>
        <w:bottom w:val="none" w:sz="0" w:space="0" w:color="auto"/>
        <w:right w:val="none" w:sz="0" w:space="0" w:color="auto"/>
      </w:divBdr>
    </w:div>
    <w:div w:id="512113491">
      <w:bodyDiv w:val="1"/>
      <w:marLeft w:val="0"/>
      <w:marRight w:val="0"/>
      <w:marTop w:val="0"/>
      <w:marBottom w:val="0"/>
      <w:divBdr>
        <w:top w:val="none" w:sz="0" w:space="0" w:color="auto"/>
        <w:left w:val="none" w:sz="0" w:space="0" w:color="auto"/>
        <w:bottom w:val="none" w:sz="0" w:space="0" w:color="auto"/>
        <w:right w:val="none" w:sz="0" w:space="0" w:color="auto"/>
      </w:divBdr>
    </w:div>
    <w:div w:id="512113657">
      <w:bodyDiv w:val="1"/>
      <w:marLeft w:val="0"/>
      <w:marRight w:val="0"/>
      <w:marTop w:val="0"/>
      <w:marBottom w:val="0"/>
      <w:divBdr>
        <w:top w:val="none" w:sz="0" w:space="0" w:color="auto"/>
        <w:left w:val="none" w:sz="0" w:space="0" w:color="auto"/>
        <w:bottom w:val="none" w:sz="0" w:space="0" w:color="auto"/>
        <w:right w:val="none" w:sz="0" w:space="0" w:color="auto"/>
      </w:divBdr>
    </w:div>
    <w:div w:id="512189107">
      <w:bodyDiv w:val="1"/>
      <w:marLeft w:val="0"/>
      <w:marRight w:val="0"/>
      <w:marTop w:val="0"/>
      <w:marBottom w:val="0"/>
      <w:divBdr>
        <w:top w:val="none" w:sz="0" w:space="0" w:color="auto"/>
        <w:left w:val="none" w:sz="0" w:space="0" w:color="auto"/>
        <w:bottom w:val="none" w:sz="0" w:space="0" w:color="auto"/>
        <w:right w:val="none" w:sz="0" w:space="0" w:color="auto"/>
      </w:divBdr>
    </w:div>
    <w:div w:id="512231884">
      <w:bodyDiv w:val="1"/>
      <w:marLeft w:val="0"/>
      <w:marRight w:val="0"/>
      <w:marTop w:val="0"/>
      <w:marBottom w:val="0"/>
      <w:divBdr>
        <w:top w:val="none" w:sz="0" w:space="0" w:color="auto"/>
        <w:left w:val="none" w:sz="0" w:space="0" w:color="auto"/>
        <w:bottom w:val="none" w:sz="0" w:space="0" w:color="auto"/>
        <w:right w:val="none" w:sz="0" w:space="0" w:color="auto"/>
      </w:divBdr>
    </w:div>
    <w:div w:id="512377748">
      <w:bodyDiv w:val="1"/>
      <w:marLeft w:val="0"/>
      <w:marRight w:val="0"/>
      <w:marTop w:val="0"/>
      <w:marBottom w:val="0"/>
      <w:divBdr>
        <w:top w:val="none" w:sz="0" w:space="0" w:color="auto"/>
        <w:left w:val="none" w:sz="0" w:space="0" w:color="auto"/>
        <w:bottom w:val="none" w:sz="0" w:space="0" w:color="auto"/>
        <w:right w:val="none" w:sz="0" w:space="0" w:color="auto"/>
      </w:divBdr>
    </w:div>
    <w:div w:id="512384640">
      <w:bodyDiv w:val="1"/>
      <w:marLeft w:val="0"/>
      <w:marRight w:val="0"/>
      <w:marTop w:val="0"/>
      <w:marBottom w:val="0"/>
      <w:divBdr>
        <w:top w:val="none" w:sz="0" w:space="0" w:color="auto"/>
        <w:left w:val="none" w:sz="0" w:space="0" w:color="auto"/>
        <w:bottom w:val="none" w:sz="0" w:space="0" w:color="auto"/>
        <w:right w:val="none" w:sz="0" w:space="0" w:color="auto"/>
      </w:divBdr>
    </w:div>
    <w:div w:id="512496442">
      <w:bodyDiv w:val="1"/>
      <w:marLeft w:val="0"/>
      <w:marRight w:val="0"/>
      <w:marTop w:val="0"/>
      <w:marBottom w:val="0"/>
      <w:divBdr>
        <w:top w:val="none" w:sz="0" w:space="0" w:color="auto"/>
        <w:left w:val="none" w:sz="0" w:space="0" w:color="auto"/>
        <w:bottom w:val="none" w:sz="0" w:space="0" w:color="auto"/>
        <w:right w:val="none" w:sz="0" w:space="0" w:color="auto"/>
      </w:divBdr>
    </w:div>
    <w:div w:id="512497050">
      <w:bodyDiv w:val="1"/>
      <w:marLeft w:val="0"/>
      <w:marRight w:val="0"/>
      <w:marTop w:val="0"/>
      <w:marBottom w:val="0"/>
      <w:divBdr>
        <w:top w:val="none" w:sz="0" w:space="0" w:color="auto"/>
        <w:left w:val="none" w:sz="0" w:space="0" w:color="auto"/>
        <w:bottom w:val="none" w:sz="0" w:space="0" w:color="auto"/>
        <w:right w:val="none" w:sz="0" w:space="0" w:color="auto"/>
      </w:divBdr>
    </w:div>
    <w:div w:id="512501044">
      <w:bodyDiv w:val="1"/>
      <w:marLeft w:val="0"/>
      <w:marRight w:val="0"/>
      <w:marTop w:val="0"/>
      <w:marBottom w:val="0"/>
      <w:divBdr>
        <w:top w:val="none" w:sz="0" w:space="0" w:color="auto"/>
        <w:left w:val="none" w:sz="0" w:space="0" w:color="auto"/>
        <w:bottom w:val="none" w:sz="0" w:space="0" w:color="auto"/>
        <w:right w:val="none" w:sz="0" w:space="0" w:color="auto"/>
      </w:divBdr>
    </w:div>
    <w:div w:id="512765877">
      <w:bodyDiv w:val="1"/>
      <w:marLeft w:val="0"/>
      <w:marRight w:val="0"/>
      <w:marTop w:val="0"/>
      <w:marBottom w:val="0"/>
      <w:divBdr>
        <w:top w:val="none" w:sz="0" w:space="0" w:color="auto"/>
        <w:left w:val="none" w:sz="0" w:space="0" w:color="auto"/>
        <w:bottom w:val="none" w:sz="0" w:space="0" w:color="auto"/>
        <w:right w:val="none" w:sz="0" w:space="0" w:color="auto"/>
      </w:divBdr>
    </w:div>
    <w:div w:id="512914237">
      <w:bodyDiv w:val="1"/>
      <w:marLeft w:val="0"/>
      <w:marRight w:val="0"/>
      <w:marTop w:val="0"/>
      <w:marBottom w:val="0"/>
      <w:divBdr>
        <w:top w:val="none" w:sz="0" w:space="0" w:color="auto"/>
        <w:left w:val="none" w:sz="0" w:space="0" w:color="auto"/>
        <w:bottom w:val="none" w:sz="0" w:space="0" w:color="auto"/>
        <w:right w:val="none" w:sz="0" w:space="0" w:color="auto"/>
      </w:divBdr>
    </w:div>
    <w:div w:id="512961921">
      <w:bodyDiv w:val="1"/>
      <w:marLeft w:val="0"/>
      <w:marRight w:val="0"/>
      <w:marTop w:val="0"/>
      <w:marBottom w:val="0"/>
      <w:divBdr>
        <w:top w:val="none" w:sz="0" w:space="0" w:color="auto"/>
        <w:left w:val="none" w:sz="0" w:space="0" w:color="auto"/>
        <w:bottom w:val="none" w:sz="0" w:space="0" w:color="auto"/>
        <w:right w:val="none" w:sz="0" w:space="0" w:color="auto"/>
      </w:divBdr>
    </w:div>
    <w:div w:id="513151146">
      <w:bodyDiv w:val="1"/>
      <w:marLeft w:val="0"/>
      <w:marRight w:val="0"/>
      <w:marTop w:val="0"/>
      <w:marBottom w:val="0"/>
      <w:divBdr>
        <w:top w:val="none" w:sz="0" w:space="0" w:color="auto"/>
        <w:left w:val="none" w:sz="0" w:space="0" w:color="auto"/>
        <w:bottom w:val="none" w:sz="0" w:space="0" w:color="auto"/>
        <w:right w:val="none" w:sz="0" w:space="0" w:color="auto"/>
      </w:divBdr>
    </w:div>
    <w:div w:id="513152716">
      <w:bodyDiv w:val="1"/>
      <w:marLeft w:val="0"/>
      <w:marRight w:val="0"/>
      <w:marTop w:val="0"/>
      <w:marBottom w:val="0"/>
      <w:divBdr>
        <w:top w:val="none" w:sz="0" w:space="0" w:color="auto"/>
        <w:left w:val="none" w:sz="0" w:space="0" w:color="auto"/>
        <w:bottom w:val="none" w:sz="0" w:space="0" w:color="auto"/>
        <w:right w:val="none" w:sz="0" w:space="0" w:color="auto"/>
      </w:divBdr>
    </w:div>
    <w:div w:id="513157555">
      <w:bodyDiv w:val="1"/>
      <w:marLeft w:val="0"/>
      <w:marRight w:val="0"/>
      <w:marTop w:val="0"/>
      <w:marBottom w:val="0"/>
      <w:divBdr>
        <w:top w:val="none" w:sz="0" w:space="0" w:color="auto"/>
        <w:left w:val="none" w:sz="0" w:space="0" w:color="auto"/>
        <w:bottom w:val="none" w:sz="0" w:space="0" w:color="auto"/>
        <w:right w:val="none" w:sz="0" w:space="0" w:color="auto"/>
      </w:divBdr>
    </w:div>
    <w:div w:id="513223461">
      <w:bodyDiv w:val="1"/>
      <w:marLeft w:val="0"/>
      <w:marRight w:val="0"/>
      <w:marTop w:val="0"/>
      <w:marBottom w:val="0"/>
      <w:divBdr>
        <w:top w:val="none" w:sz="0" w:space="0" w:color="auto"/>
        <w:left w:val="none" w:sz="0" w:space="0" w:color="auto"/>
        <w:bottom w:val="none" w:sz="0" w:space="0" w:color="auto"/>
        <w:right w:val="none" w:sz="0" w:space="0" w:color="auto"/>
      </w:divBdr>
    </w:div>
    <w:div w:id="513227734">
      <w:bodyDiv w:val="1"/>
      <w:marLeft w:val="0"/>
      <w:marRight w:val="0"/>
      <w:marTop w:val="0"/>
      <w:marBottom w:val="0"/>
      <w:divBdr>
        <w:top w:val="none" w:sz="0" w:space="0" w:color="auto"/>
        <w:left w:val="none" w:sz="0" w:space="0" w:color="auto"/>
        <w:bottom w:val="none" w:sz="0" w:space="0" w:color="auto"/>
        <w:right w:val="none" w:sz="0" w:space="0" w:color="auto"/>
      </w:divBdr>
    </w:div>
    <w:div w:id="513229520">
      <w:bodyDiv w:val="1"/>
      <w:marLeft w:val="0"/>
      <w:marRight w:val="0"/>
      <w:marTop w:val="0"/>
      <w:marBottom w:val="0"/>
      <w:divBdr>
        <w:top w:val="none" w:sz="0" w:space="0" w:color="auto"/>
        <w:left w:val="none" w:sz="0" w:space="0" w:color="auto"/>
        <w:bottom w:val="none" w:sz="0" w:space="0" w:color="auto"/>
        <w:right w:val="none" w:sz="0" w:space="0" w:color="auto"/>
      </w:divBdr>
    </w:div>
    <w:div w:id="513303390">
      <w:bodyDiv w:val="1"/>
      <w:marLeft w:val="0"/>
      <w:marRight w:val="0"/>
      <w:marTop w:val="0"/>
      <w:marBottom w:val="0"/>
      <w:divBdr>
        <w:top w:val="none" w:sz="0" w:space="0" w:color="auto"/>
        <w:left w:val="none" w:sz="0" w:space="0" w:color="auto"/>
        <w:bottom w:val="none" w:sz="0" w:space="0" w:color="auto"/>
        <w:right w:val="none" w:sz="0" w:space="0" w:color="auto"/>
      </w:divBdr>
    </w:div>
    <w:div w:id="513348749">
      <w:bodyDiv w:val="1"/>
      <w:marLeft w:val="0"/>
      <w:marRight w:val="0"/>
      <w:marTop w:val="0"/>
      <w:marBottom w:val="0"/>
      <w:divBdr>
        <w:top w:val="none" w:sz="0" w:space="0" w:color="auto"/>
        <w:left w:val="none" w:sz="0" w:space="0" w:color="auto"/>
        <w:bottom w:val="none" w:sz="0" w:space="0" w:color="auto"/>
        <w:right w:val="none" w:sz="0" w:space="0" w:color="auto"/>
      </w:divBdr>
    </w:div>
    <w:div w:id="513349148">
      <w:bodyDiv w:val="1"/>
      <w:marLeft w:val="0"/>
      <w:marRight w:val="0"/>
      <w:marTop w:val="0"/>
      <w:marBottom w:val="0"/>
      <w:divBdr>
        <w:top w:val="none" w:sz="0" w:space="0" w:color="auto"/>
        <w:left w:val="none" w:sz="0" w:space="0" w:color="auto"/>
        <w:bottom w:val="none" w:sz="0" w:space="0" w:color="auto"/>
        <w:right w:val="none" w:sz="0" w:space="0" w:color="auto"/>
      </w:divBdr>
    </w:div>
    <w:div w:id="513349555">
      <w:bodyDiv w:val="1"/>
      <w:marLeft w:val="0"/>
      <w:marRight w:val="0"/>
      <w:marTop w:val="0"/>
      <w:marBottom w:val="0"/>
      <w:divBdr>
        <w:top w:val="none" w:sz="0" w:space="0" w:color="auto"/>
        <w:left w:val="none" w:sz="0" w:space="0" w:color="auto"/>
        <w:bottom w:val="none" w:sz="0" w:space="0" w:color="auto"/>
        <w:right w:val="none" w:sz="0" w:space="0" w:color="auto"/>
      </w:divBdr>
    </w:div>
    <w:div w:id="513350703">
      <w:bodyDiv w:val="1"/>
      <w:marLeft w:val="0"/>
      <w:marRight w:val="0"/>
      <w:marTop w:val="0"/>
      <w:marBottom w:val="0"/>
      <w:divBdr>
        <w:top w:val="none" w:sz="0" w:space="0" w:color="auto"/>
        <w:left w:val="none" w:sz="0" w:space="0" w:color="auto"/>
        <w:bottom w:val="none" w:sz="0" w:space="0" w:color="auto"/>
        <w:right w:val="none" w:sz="0" w:space="0" w:color="auto"/>
      </w:divBdr>
    </w:div>
    <w:div w:id="513494632">
      <w:bodyDiv w:val="1"/>
      <w:marLeft w:val="0"/>
      <w:marRight w:val="0"/>
      <w:marTop w:val="0"/>
      <w:marBottom w:val="0"/>
      <w:divBdr>
        <w:top w:val="none" w:sz="0" w:space="0" w:color="auto"/>
        <w:left w:val="none" w:sz="0" w:space="0" w:color="auto"/>
        <w:bottom w:val="none" w:sz="0" w:space="0" w:color="auto"/>
        <w:right w:val="none" w:sz="0" w:space="0" w:color="auto"/>
      </w:divBdr>
    </w:div>
    <w:div w:id="513496962">
      <w:bodyDiv w:val="1"/>
      <w:marLeft w:val="0"/>
      <w:marRight w:val="0"/>
      <w:marTop w:val="0"/>
      <w:marBottom w:val="0"/>
      <w:divBdr>
        <w:top w:val="none" w:sz="0" w:space="0" w:color="auto"/>
        <w:left w:val="none" w:sz="0" w:space="0" w:color="auto"/>
        <w:bottom w:val="none" w:sz="0" w:space="0" w:color="auto"/>
        <w:right w:val="none" w:sz="0" w:space="0" w:color="auto"/>
      </w:divBdr>
    </w:div>
    <w:div w:id="513616146">
      <w:bodyDiv w:val="1"/>
      <w:marLeft w:val="0"/>
      <w:marRight w:val="0"/>
      <w:marTop w:val="0"/>
      <w:marBottom w:val="0"/>
      <w:divBdr>
        <w:top w:val="none" w:sz="0" w:space="0" w:color="auto"/>
        <w:left w:val="none" w:sz="0" w:space="0" w:color="auto"/>
        <w:bottom w:val="none" w:sz="0" w:space="0" w:color="auto"/>
        <w:right w:val="none" w:sz="0" w:space="0" w:color="auto"/>
      </w:divBdr>
    </w:div>
    <w:div w:id="513807147">
      <w:bodyDiv w:val="1"/>
      <w:marLeft w:val="0"/>
      <w:marRight w:val="0"/>
      <w:marTop w:val="0"/>
      <w:marBottom w:val="0"/>
      <w:divBdr>
        <w:top w:val="none" w:sz="0" w:space="0" w:color="auto"/>
        <w:left w:val="none" w:sz="0" w:space="0" w:color="auto"/>
        <w:bottom w:val="none" w:sz="0" w:space="0" w:color="auto"/>
        <w:right w:val="none" w:sz="0" w:space="0" w:color="auto"/>
      </w:divBdr>
    </w:div>
    <w:div w:id="513810975">
      <w:bodyDiv w:val="1"/>
      <w:marLeft w:val="0"/>
      <w:marRight w:val="0"/>
      <w:marTop w:val="0"/>
      <w:marBottom w:val="0"/>
      <w:divBdr>
        <w:top w:val="none" w:sz="0" w:space="0" w:color="auto"/>
        <w:left w:val="none" w:sz="0" w:space="0" w:color="auto"/>
        <w:bottom w:val="none" w:sz="0" w:space="0" w:color="auto"/>
        <w:right w:val="none" w:sz="0" w:space="0" w:color="auto"/>
      </w:divBdr>
    </w:div>
    <w:div w:id="513811955">
      <w:bodyDiv w:val="1"/>
      <w:marLeft w:val="0"/>
      <w:marRight w:val="0"/>
      <w:marTop w:val="0"/>
      <w:marBottom w:val="0"/>
      <w:divBdr>
        <w:top w:val="none" w:sz="0" w:space="0" w:color="auto"/>
        <w:left w:val="none" w:sz="0" w:space="0" w:color="auto"/>
        <w:bottom w:val="none" w:sz="0" w:space="0" w:color="auto"/>
        <w:right w:val="none" w:sz="0" w:space="0" w:color="auto"/>
      </w:divBdr>
    </w:div>
    <w:div w:id="514029725">
      <w:bodyDiv w:val="1"/>
      <w:marLeft w:val="0"/>
      <w:marRight w:val="0"/>
      <w:marTop w:val="0"/>
      <w:marBottom w:val="0"/>
      <w:divBdr>
        <w:top w:val="none" w:sz="0" w:space="0" w:color="auto"/>
        <w:left w:val="none" w:sz="0" w:space="0" w:color="auto"/>
        <w:bottom w:val="none" w:sz="0" w:space="0" w:color="auto"/>
        <w:right w:val="none" w:sz="0" w:space="0" w:color="auto"/>
      </w:divBdr>
    </w:div>
    <w:div w:id="514075028">
      <w:bodyDiv w:val="1"/>
      <w:marLeft w:val="0"/>
      <w:marRight w:val="0"/>
      <w:marTop w:val="0"/>
      <w:marBottom w:val="0"/>
      <w:divBdr>
        <w:top w:val="none" w:sz="0" w:space="0" w:color="auto"/>
        <w:left w:val="none" w:sz="0" w:space="0" w:color="auto"/>
        <w:bottom w:val="none" w:sz="0" w:space="0" w:color="auto"/>
        <w:right w:val="none" w:sz="0" w:space="0" w:color="auto"/>
      </w:divBdr>
    </w:div>
    <w:div w:id="514341866">
      <w:bodyDiv w:val="1"/>
      <w:marLeft w:val="0"/>
      <w:marRight w:val="0"/>
      <w:marTop w:val="0"/>
      <w:marBottom w:val="0"/>
      <w:divBdr>
        <w:top w:val="none" w:sz="0" w:space="0" w:color="auto"/>
        <w:left w:val="none" w:sz="0" w:space="0" w:color="auto"/>
        <w:bottom w:val="none" w:sz="0" w:space="0" w:color="auto"/>
        <w:right w:val="none" w:sz="0" w:space="0" w:color="auto"/>
      </w:divBdr>
    </w:div>
    <w:div w:id="514344889">
      <w:bodyDiv w:val="1"/>
      <w:marLeft w:val="0"/>
      <w:marRight w:val="0"/>
      <w:marTop w:val="0"/>
      <w:marBottom w:val="0"/>
      <w:divBdr>
        <w:top w:val="none" w:sz="0" w:space="0" w:color="auto"/>
        <w:left w:val="none" w:sz="0" w:space="0" w:color="auto"/>
        <w:bottom w:val="none" w:sz="0" w:space="0" w:color="auto"/>
        <w:right w:val="none" w:sz="0" w:space="0" w:color="auto"/>
      </w:divBdr>
    </w:div>
    <w:div w:id="514348852">
      <w:bodyDiv w:val="1"/>
      <w:marLeft w:val="0"/>
      <w:marRight w:val="0"/>
      <w:marTop w:val="0"/>
      <w:marBottom w:val="0"/>
      <w:divBdr>
        <w:top w:val="none" w:sz="0" w:space="0" w:color="auto"/>
        <w:left w:val="none" w:sz="0" w:space="0" w:color="auto"/>
        <w:bottom w:val="none" w:sz="0" w:space="0" w:color="auto"/>
        <w:right w:val="none" w:sz="0" w:space="0" w:color="auto"/>
      </w:divBdr>
    </w:div>
    <w:div w:id="514464980">
      <w:bodyDiv w:val="1"/>
      <w:marLeft w:val="0"/>
      <w:marRight w:val="0"/>
      <w:marTop w:val="0"/>
      <w:marBottom w:val="0"/>
      <w:divBdr>
        <w:top w:val="none" w:sz="0" w:space="0" w:color="auto"/>
        <w:left w:val="none" w:sz="0" w:space="0" w:color="auto"/>
        <w:bottom w:val="none" w:sz="0" w:space="0" w:color="auto"/>
        <w:right w:val="none" w:sz="0" w:space="0" w:color="auto"/>
      </w:divBdr>
    </w:div>
    <w:div w:id="514534025">
      <w:bodyDiv w:val="1"/>
      <w:marLeft w:val="0"/>
      <w:marRight w:val="0"/>
      <w:marTop w:val="0"/>
      <w:marBottom w:val="0"/>
      <w:divBdr>
        <w:top w:val="none" w:sz="0" w:space="0" w:color="auto"/>
        <w:left w:val="none" w:sz="0" w:space="0" w:color="auto"/>
        <w:bottom w:val="none" w:sz="0" w:space="0" w:color="auto"/>
        <w:right w:val="none" w:sz="0" w:space="0" w:color="auto"/>
      </w:divBdr>
    </w:div>
    <w:div w:id="514534476">
      <w:bodyDiv w:val="1"/>
      <w:marLeft w:val="0"/>
      <w:marRight w:val="0"/>
      <w:marTop w:val="0"/>
      <w:marBottom w:val="0"/>
      <w:divBdr>
        <w:top w:val="none" w:sz="0" w:space="0" w:color="auto"/>
        <w:left w:val="none" w:sz="0" w:space="0" w:color="auto"/>
        <w:bottom w:val="none" w:sz="0" w:space="0" w:color="auto"/>
        <w:right w:val="none" w:sz="0" w:space="0" w:color="auto"/>
      </w:divBdr>
    </w:div>
    <w:div w:id="514534878">
      <w:bodyDiv w:val="1"/>
      <w:marLeft w:val="0"/>
      <w:marRight w:val="0"/>
      <w:marTop w:val="0"/>
      <w:marBottom w:val="0"/>
      <w:divBdr>
        <w:top w:val="none" w:sz="0" w:space="0" w:color="auto"/>
        <w:left w:val="none" w:sz="0" w:space="0" w:color="auto"/>
        <w:bottom w:val="none" w:sz="0" w:space="0" w:color="auto"/>
        <w:right w:val="none" w:sz="0" w:space="0" w:color="auto"/>
      </w:divBdr>
    </w:div>
    <w:div w:id="514611256">
      <w:bodyDiv w:val="1"/>
      <w:marLeft w:val="0"/>
      <w:marRight w:val="0"/>
      <w:marTop w:val="0"/>
      <w:marBottom w:val="0"/>
      <w:divBdr>
        <w:top w:val="none" w:sz="0" w:space="0" w:color="auto"/>
        <w:left w:val="none" w:sz="0" w:space="0" w:color="auto"/>
        <w:bottom w:val="none" w:sz="0" w:space="0" w:color="auto"/>
        <w:right w:val="none" w:sz="0" w:space="0" w:color="auto"/>
      </w:divBdr>
    </w:div>
    <w:div w:id="514684721">
      <w:bodyDiv w:val="1"/>
      <w:marLeft w:val="0"/>
      <w:marRight w:val="0"/>
      <w:marTop w:val="0"/>
      <w:marBottom w:val="0"/>
      <w:divBdr>
        <w:top w:val="none" w:sz="0" w:space="0" w:color="auto"/>
        <w:left w:val="none" w:sz="0" w:space="0" w:color="auto"/>
        <w:bottom w:val="none" w:sz="0" w:space="0" w:color="auto"/>
        <w:right w:val="none" w:sz="0" w:space="0" w:color="auto"/>
      </w:divBdr>
    </w:div>
    <w:div w:id="514686849">
      <w:bodyDiv w:val="1"/>
      <w:marLeft w:val="0"/>
      <w:marRight w:val="0"/>
      <w:marTop w:val="0"/>
      <w:marBottom w:val="0"/>
      <w:divBdr>
        <w:top w:val="none" w:sz="0" w:space="0" w:color="auto"/>
        <w:left w:val="none" w:sz="0" w:space="0" w:color="auto"/>
        <w:bottom w:val="none" w:sz="0" w:space="0" w:color="auto"/>
        <w:right w:val="none" w:sz="0" w:space="0" w:color="auto"/>
      </w:divBdr>
    </w:div>
    <w:div w:id="514735071">
      <w:bodyDiv w:val="1"/>
      <w:marLeft w:val="0"/>
      <w:marRight w:val="0"/>
      <w:marTop w:val="0"/>
      <w:marBottom w:val="0"/>
      <w:divBdr>
        <w:top w:val="none" w:sz="0" w:space="0" w:color="auto"/>
        <w:left w:val="none" w:sz="0" w:space="0" w:color="auto"/>
        <w:bottom w:val="none" w:sz="0" w:space="0" w:color="auto"/>
        <w:right w:val="none" w:sz="0" w:space="0" w:color="auto"/>
      </w:divBdr>
    </w:div>
    <w:div w:id="514807486">
      <w:bodyDiv w:val="1"/>
      <w:marLeft w:val="0"/>
      <w:marRight w:val="0"/>
      <w:marTop w:val="0"/>
      <w:marBottom w:val="0"/>
      <w:divBdr>
        <w:top w:val="none" w:sz="0" w:space="0" w:color="auto"/>
        <w:left w:val="none" w:sz="0" w:space="0" w:color="auto"/>
        <w:bottom w:val="none" w:sz="0" w:space="0" w:color="auto"/>
        <w:right w:val="none" w:sz="0" w:space="0" w:color="auto"/>
      </w:divBdr>
    </w:div>
    <w:div w:id="515072273">
      <w:bodyDiv w:val="1"/>
      <w:marLeft w:val="0"/>
      <w:marRight w:val="0"/>
      <w:marTop w:val="0"/>
      <w:marBottom w:val="0"/>
      <w:divBdr>
        <w:top w:val="none" w:sz="0" w:space="0" w:color="auto"/>
        <w:left w:val="none" w:sz="0" w:space="0" w:color="auto"/>
        <w:bottom w:val="none" w:sz="0" w:space="0" w:color="auto"/>
        <w:right w:val="none" w:sz="0" w:space="0" w:color="auto"/>
      </w:divBdr>
    </w:div>
    <w:div w:id="515119830">
      <w:bodyDiv w:val="1"/>
      <w:marLeft w:val="0"/>
      <w:marRight w:val="0"/>
      <w:marTop w:val="0"/>
      <w:marBottom w:val="0"/>
      <w:divBdr>
        <w:top w:val="none" w:sz="0" w:space="0" w:color="auto"/>
        <w:left w:val="none" w:sz="0" w:space="0" w:color="auto"/>
        <w:bottom w:val="none" w:sz="0" w:space="0" w:color="auto"/>
        <w:right w:val="none" w:sz="0" w:space="0" w:color="auto"/>
      </w:divBdr>
    </w:div>
    <w:div w:id="515313228">
      <w:bodyDiv w:val="1"/>
      <w:marLeft w:val="0"/>
      <w:marRight w:val="0"/>
      <w:marTop w:val="0"/>
      <w:marBottom w:val="0"/>
      <w:divBdr>
        <w:top w:val="none" w:sz="0" w:space="0" w:color="auto"/>
        <w:left w:val="none" w:sz="0" w:space="0" w:color="auto"/>
        <w:bottom w:val="none" w:sz="0" w:space="0" w:color="auto"/>
        <w:right w:val="none" w:sz="0" w:space="0" w:color="auto"/>
      </w:divBdr>
    </w:div>
    <w:div w:id="515313904">
      <w:bodyDiv w:val="1"/>
      <w:marLeft w:val="0"/>
      <w:marRight w:val="0"/>
      <w:marTop w:val="0"/>
      <w:marBottom w:val="0"/>
      <w:divBdr>
        <w:top w:val="none" w:sz="0" w:space="0" w:color="auto"/>
        <w:left w:val="none" w:sz="0" w:space="0" w:color="auto"/>
        <w:bottom w:val="none" w:sz="0" w:space="0" w:color="auto"/>
        <w:right w:val="none" w:sz="0" w:space="0" w:color="auto"/>
      </w:divBdr>
    </w:div>
    <w:div w:id="515316401">
      <w:bodyDiv w:val="1"/>
      <w:marLeft w:val="0"/>
      <w:marRight w:val="0"/>
      <w:marTop w:val="0"/>
      <w:marBottom w:val="0"/>
      <w:divBdr>
        <w:top w:val="none" w:sz="0" w:space="0" w:color="auto"/>
        <w:left w:val="none" w:sz="0" w:space="0" w:color="auto"/>
        <w:bottom w:val="none" w:sz="0" w:space="0" w:color="auto"/>
        <w:right w:val="none" w:sz="0" w:space="0" w:color="auto"/>
      </w:divBdr>
    </w:div>
    <w:div w:id="515340724">
      <w:bodyDiv w:val="1"/>
      <w:marLeft w:val="0"/>
      <w:marRight w:val="0"/>
      <w:marTop w:val="0"/>
      <w:marBottom w:val="0"/>
      <w:divBdr>
        <w:top w:val="none" w:sz="0" w:space="0" w:color="auto"/>
        <w:left w:val="none" w:sz="0" w:space="0" w:color="auto"/>
        <w:bottom w:val="none" w:sz="0" w:space="0" w:color="auto"/>
        <w:right w:val="none" w:sz="0" w:space="0" w:color="auto"/>
      </w:divBdr>
    </w:div>
    <w:div w:id="515462957">
      <w:bodyDiv w:val="1"/>
      <w:marLeft w:val="0"/>
      <w:marRight w:val="0"/>
      <w:marTop w:val="0"/>
      <w:marBottom w:val="0"/>
      <w:divBdr>
        <w:top w:val="none" w:sz="0" w:space="0" w:color="auto"/>
        <w:left w:val="none" w:sz="0" w:space="0" w:color="auto"/>
        <w:bottom w:val="none" w:sz="0" w:space="0" w:color="auto"/>
        <w:right w:val="none" w:sz="0" w:space="0" w:color="auto"/>
      </w:divBdr>
    </w:div>
    <w:div w:id="515463248">
      <w:bodyDiv w:val="1"/>
      <w:marLeft w:val="0"/>
      <w:marRight w:val="0"/>
      <w:marTop w:val="0"/>
      <w:marBottom w:val="0"/>
      <w:divBdr>
        <w:top w:val="none" w:sz="0" w:space="0" w:color="auto"/>
        <w:left w:val="none" w:sz="0" w:space="0" w:color="auto"/>
        <w:bottom w:val="none" w:sz="0" w:space="0" w:color="auto"/>
        <w:right w:val="none" w:sz="0" w:space="0" w:color="auto"/>
      </w:divBdr>
    </w:div>
    <w:div w:id="515535170">
      <w:bodyDiv w:val="1"/>
      <w:marLeft w:val="0"/>
      <w:marRight w:val="0"/>
      <w:marTop w:val="0"/>
      <w:marBottom w:val="0"/>
      <w:divBdr>
        <w:top w:val="none" w:sz="0" w:space="0" w:color="auto"/>
        <w:left w:val="none" w:sz="0" w:space="0" w:color="auto"/>
        <w:bottom w:val="none" w:sz="0" w:space="0" w:color="auto"/>
        <w:right w:val="none" w:sz="0" w:space="0" w:color="auto"/>
      </w:divBdr>
    </w:div>
    <w:div w:id="515658996">
      <w:bodyDiv w:val="1"/>
      <w:marLeft w:val="0"/>
      <w:marRight w:val="0"/>
      <w:marTop w:val="0"/>
      <w:marBottom w:val="0"/>
      <w:divBdr>
        <w:top w:val="none" w:sz="0" w:space="0" w:color="auto"/>
        <w:left w:val="none" w:sz="0" w:space="0" w:color="auto"/>
        <w:bottom w:val="none" w:sz="0" w:space="0" w:color="auto"/>
        <w:right w:val="none" w:sz="0" w:space="0" w:color="auto"/>
      </w:divBdr>
    </w:div>
    <w:div w:id="515778349">
      <w:bodyDiv w:val="1"/>
      <w:marLeft w:val="0"/>
      <w:marRight w:val="0"/>
      <w:marTop w:val="0"/>
      <w:marBottom w:val="0"/>
      <w:divBdr>
        <w:top w:val="none" w:sz="0" w:space="0" w:color="auto"/>
        <w:left w:val="none" w:sz="0" w:space="0" w:color="auto"/>
        <w:bottom w:val="none" w:sz="0" w:space="0" w:color="auto"/>
        <w:right w:val="none" w:sz="0" w:space="0" w:color="auto"/>
      </w:divBdr>
    </w:div>
    <w:div w:id="515853689">
      <w:bodyDiv w:val="1"/>
      <w:marLeft w:val="0"/>
      <w:marRight w:val="0"/>
      <w:marTop w:val="0"/>
      <w:marBottom w:val="0"/>
      <w:divBdr>
        <w:top w:val="none" w:sz="0" w:space="0" w:color="auto"/>
        <w:left w:val="none" w:sz="0" w:space="0" w:color="auto"/>
        <w:bottom w:val="none" w:sz="0" w:space="0" w:color="auto"/>
        <w:right w:val="none" w:sz="0" w:space="0" w:color="auto"/>
      </w:divBdr>
    </w:div>
    <w:div w:id="516118672">
      <w:bodyDiv w:val="1"/>
      <w:marLeft w:val="0"/>
      <w:marRight w:val="0"/>
      <w:marTop w:val="0"/>
      <w:marBottom w:val="0"/>
      <w:divBdr>
        <w:top w:val="none" w:sz="0" w:space="0" w:color="auto"/>
        <w:left w:val="none" w:sz="0" w:space="0" w:color="auto"/>
        <w:bottom w:val="none" w:sz="0" w:space="0" w:color="auto"/>
        <w:right w:val="none" w:sz="0" w:space="0" w:color="auto"/>
      </w:divBdr>
    </w:div>
    <w:div w:id="516382855">
      <w:bodyDiv w:val="1"/>
      <w:marLeft w:val="0"/>
      <w:marRight w:val="0"/>
      <w:marTop w:val="0"/>
      <w:marBottom w:val="0"/>
      <w:divBdr>
        <w:top w:val="none" w:sz="0" w:space="0" w:color="auto"/>
        <w:left w:val="none" w:sz="0" w:space="0" w:color="auto"/>
        <w:bottom w:val="none" w:sz="0" w:space="0" w:color="auto"/>
        <w:right w:val="none" w:sz="0" w:space="0" w:color="auto"/>
      </w:divBdr>
    </w:div>
    <w:div w:id="516384440">
      <w:bodyDiv w:val="1"/>
      <w:marLeft w:val="0"/>
      <w:marRight w:val="0"/>
      <w:marTop w:val="0"/>
      <w:marBottom w:val="0"/>
      <w:divBdr>
        <w:top w:val="none" w:sz="0" w:space="0" w:color="auto"/>
        <w:left w:val="none" w:sz="0" w:space="0" w:color="auto"/>
        <w:bottom w:val="none" w:sz="0" w:space="0" w:color="auto"/>
        <w:right w:val="none" w:sz="0" w:space="0" w:color="auto"/>
      </w:divBdr>
    </w:div>
    <w:div w:id="516388262">
      <w:bodyDiv w:val="1"/>
      <w:marLeft w:val="0"/>
      <w:marRight w:val="0"/>
      <w:marTop w:val="0"/>
      <w:marBottom w:val="0"/>
      <w:divBdr>
        <w:top w:val="none" w:sz="0" w:space="0" w:color="auto"/>
        <w:left w:val="none" w:sz="0" w:space="0" w:color="auto"/>
        <w:bottom w:val="none" w:sz="0" w:space="0" w:color="auto"/>
        <w:right w:val="none" w:sz="0" w:space="0" w:color="auto"/>
      </w:divBdr>
    </w:div>
    <w:div w:id="516388326">
      <w:bodyDiv w:val="1"/>
      <w:marLeft w:val="0"/>
      <w:marRight w:val="0"/>
      <w:marTop w:val="0"/>
      <w:marBottom w:val="0"/>
      <w:divBdr>
        <w:top w:val="none" w:sz="0" w:space="0" w:color="auto"/>
        <w:left w:val="none" w:sz="0" w:space="0" w:color="auto"/>
        <w:bottom w:val="none" w:sz="0" w:space="0" w:color="auto"/>
        <w:right w:val="none" w:sz="0" w:space="0" w:color="auto"/>
      </w:divBdr>
    </w:div>
    <w:div w:id="516430568">
      <w:bodyDiv w:val="1"/>
      <w:marLeft w:val="0"/>
      <w:marRight w:val="0"/>
      <w:marTop w:val="0"/>
      <w:marBottom w:val="0"/>
      <w:divBdr>
        <w:top w:val="none" w:sz="0" w:space="0" w:color="auto"/>
        <w:left w:val="none" w:sz="0" w:space="0" w:color="auto"/>
        <w:bottom w:val="none" w:sz="0" w:space="0" w:color="auto"/>
        <w:right w:val="none" w:sz="0" w:space="0" w:color="auto"/>
      </w:divBdr>
    </w:div>
    <w:div w:id="516621100">
      <w:bodyDiv w:val="1"/>
      <w:marLeft w:val="0"/>
      <w:marRight w:val="0"/>
      <w:marTop w:val="0"/>
      <w:marBottom w:val="0"/>
      <w:divBdr>
        <w:top w:val="none" w:sz="0" w:space="0" w:color="auto"/>
        <w:left w:val="none" w:sz="0" w:space="0" w:color="auto"/>
        <w:bottom w:val="none" w:sz="0" w:space="0" w:color="auto"/>
        <w:right w:val="none" w:sz="0" w:space="0" w:color="auto"/>
      </w:divBdr>
    </w:div>
    <w:div w:id="516776666">
      <w:bodyDiv w:val="1"/>
      <w:marLeft w:val="0"/>
      <w:marRight w:val="0"/>
      <w:marTop w:val="0"/>
      <w:marBottom w:val="0"/>
      <w:divBdr>
        <w:top w:val="none" w:sz="0" w:space="0" w:color="auto"/>
        <w:left w:val="none" w:sz="0" w:space="0" w:color="auto"/>
        <w:bottom w:val="none" w:sz="0" w:space="0" w:color="auto"/>
        <w:right w:val="none" w:sz="0" w:space="0" w:color="auto"/>
      </w:divBdr>
    </w:div>
    <w:div w:id="516847020">
      <w:bodyDiv w:val="1"/>
      <w:marLeft w:val="0"/>
      <w:marRight w:val="0"/>
      <w:marTop w:val="0"/>
      <w:marBottom w:val="0"/>
      <w:divBdr>
        <w:top w:val="none" w:sz="0" w:space="0" w:color="auto"/>
        <w:left w:val="none" w:sz="0" w:space="0" w:color="auto"/>
        <w:bottom w:val="none" w:sz="0" w:space="0" w:color="auto"/>
        <w:right w:val="none" w:sz="0" w:space="0" w:color="auto"/>
      </w:divBdr>
    </w:div>
    <w:div w:id="516891241">
      <w:bodyDiv w:val="1"/>
      <w:marLeft w:val="0"/>
      <w:marRight w:val="0"/>
      <w:marTop w:val="0"/>
      <w:marBottom w:val="0"/>
      <w:divBdr>
        <w:top w:val="none" w:sz="0" w:space="0" w:color="auto"/>
        <w:left w:val="none" w:sz="0" w:space="0" w:color="auto"/>
        <w:bottom w:val="none" w:sz="0" w:space="0" w:color="auto"/>
        <w:right w:val="none" w:sz="0" w:space="0" w:color="auto"/>
      </w:divBdr>
    </w:div>
    <w:div w:id="517039560">
      <w:bodyDiv w:val="1"/>
      <w:marLeft w:val="0"/>
      <w:marRight w:val="0"/>
      <w:marTop w:val="0"/>
      <w:marBottom w:val="0"/>
      <w:divBdr>
        <w:top w:val="none" w:sz="0" w:space="0" w:color="auto"/>
        <w:left w:val="none" w:sz="0" w:space="0" w:color="auto"/>
        <w:bottom w:val="none" w:sz="0" w:space="0" w:color="auto"/>
        <w:right w:val="none" w:sz="0" w:space="0" w:color="auto"/>
      </w:divBdr>
    </w:div>
    <w:div w:id="517039833">
      <w:bodyDiv w:val="1"/>
      <w:marLeft w:val="0"/>
      <w:marRight w:val="0"/>
      <w:marTop w:val="0"/>
      <w:marBottom w:val="0"/>
      <w:divBdr>
        <w:top w:val="none" w:sz="0" w:space="0" w:color="auto"/>
        <w:left w:val="none" w:sz="0" w:space="0" w:color="auto"/>
        <w:bottom w:val="none" w:sz="0" w:space="0" w:color="auto"/>
        <w:right w:val="none" w:sz="0" w:space="0" w:color="auto"/>
      </w:divBdr>
    </w:div>
    <w:div w:id="517350696">
      <w:bodyDiv w:val="1"/>
      <w:marLeft w:val="0"/>
      <w:marRight w:val="0"/>
      <w:marTop w:val="0"/>
      <w:marBottom w:val="0"/>
      <w:divBdr>
        <w:top w:val="none" w:sz="0" w:space="0" w:color="auto"/>
        <w:left w:val="none" w:sz="0" w:space="0" w:color="auto"/>
        <w:bottom w:val="none" w:sz="0" w:space="0" w:color="auto"/>
        <w:right w:val="none" w:sz="0" w:space="0" w:color="auto"/>
      </w:divBdr>
    </w:div>
    <w:div w:id="517550047">
      <w:bodyDiv w:val="1"/>
      <w:marLeft w:val="0"/>
      <w:marRight w:val="0"/>
      <w:marTop w:val="0"/>
      <w:marBottom w:val="0"/>
      <w:divBdr>
        <w:top w:val="none" w:sz="0" w:space="0" w:color="auto"/>
        <w:left w:val="none" w:sz="0" w:space="0" w:color="auto"/>
        <w:bottom w:val="none" w:sz="0" w:space="0" w:color="auto"/>
        <w:right w:val="none" w:sz="0" w:space="0" w:color="auto"/>
      </w:divBdr>
    </w:div>
    <w:div w:id="517700894">
      <w:bodyDiv w:val="1"/>
      <w:marLeft w:val="0"/>
      <w:marRight w:val="0"/>
      <w:marTop w:val="0"/>
      <w:marBottom w:val="0"/>
      <w:divBdr>
        <w:top w:val="none" w:sz="0" w:space="0" w:color="auto"/>
        <w:left w:val="none" w:sz="0" w:space="0" w:color="auto"/>
        <w:bottom w:val="none" w:sz="0" w:space="0" w:color="auto"/>
        <w:right w:val="none" w:sz="0" w:space="0" w:color="auto"/>
      </w:divBdr>
    </w:div>
    <w:div w:id="517744325">
      <w:bodyDiv w:val="1"/>
      <w:marLeft w:val="0"/>
      <w:marRight w:val="0"/>
      <w:marTop w:val="0"/>
      <w:marBottom w:val="0"/>
      <w:divBdr>
        <w:top w:val="none" w:sz="0" w:space="0" w:color="auto"/>
        <w:left w:val="none" w:sz="0" w:space="0" w:color="auto"/>
        <w:bottom w:val="none" w:sz="0" w:space="0" w:color="auto"/>
        <w:right w:val="none" w:sz="0" w:space="0" w:color="auto"/>
      </w:divBdr>
    </w:div>
    <w:div w:id="517812672">
      <w:bodyDiv w:val="1"/>
      <w:marLeft w:val="0"/>
      <w:marRight w:val="0"/>
      <w:marTop w:val="0"/>
      <w:marBottom w:val="0"/>
      <w:divBdr>
        <w:top w:val="none" w:sz="0" w:space="0" w:color="auto"/>
        <w:left w:val="none" w:sz="0" w:space="0" w:color="auto"/>
        <w:bottom w:val="none" w:sz="0" w:space="0" w:color="auto"/>
        <w:right w:val="none" w:sz="0" w:space="0" w:color="auto"/>
      </w:divBdr>
    </w:div>
    <w:div w:id="517887512">
      <w:bodyDiv w:val="1"/>
      <w:marLeft w:val="0"/>
      <w:marRight w:val="0"/>
      <w:marTop w:val="0"/>
      <w:marBottom w:val="0"/>
      <w:divBdr>
        <w:top w:val="none" w:sz="0" w:space="0" w:color="auto"/>
        <w:left w:val="none" w:sz="0" w:space="0" w:color="auto"/>
        <w:bottom w:val="none" w:sz="0" w:space="0" w:color="auto"/>
        <w:right w:val="none" w:sz="0" w:space="0" w:color="auto"/>
      </w:divBdr>
    </w:div>
    <w:div w:id="517937210">
      <w:bodyDiv w:val="1"/>
      <w:marLeft w:val="0"/>
      <w:marRight w:val="0"/>
      <w:marTop w:val="0"/>
      <w:marBottom w:val="0"/>
      <w:divBdr>
        <w:top w:val="none" w:sz="0" w:space="0" w:color="auto"/>
        <w:left w:val="none" w:sz="0" w:space="0" w:color="auto"/>
        <w:bottom w:val="none" w:sz="0" w:space="0" w:color="auto"/>
        <w:right w:val="none" w:sz="0" w:space="0" w:color="auto"/>
      </w:divBdr>
    </w:div>
    <w:div w:id="517963579">
      <w:bodyDiv w:val="1"/>
      <w:marLeft w:val="0"/>
      <w:marRight w:val="0"/>
      <w:marTop w:val="0"/>
      <w:marBottom w:val="0"/>
      <w:divBdr>
        <w:top w:val="none" w:sz="0" w:space="0" w:color="auto"/>
        <w:left w:val="none" w:sz="0" w:space="0" w:color="auto"/>
        <w:bottom w:val="none" w:sz="0" w:space="0" w:color="auto"/>
        <w:right w:val="none" w:sz="0" w:space="0" w:color="auto"/>
      </w:divBdr>
    </w:div>
    <w:div w:id="518003846">
      <w:bodyDiv w:val="1"/>
      <w:marLeft w:val="0"/>
      <w:marRight w:val="0"/>
      <w:marTop w:val="0"/>
      <w:marBottom w:val="0"/>
      <w:divBdr>
        <w:top w:val="none" w:sz="0" w:space="0" w:color="auto"/>
        <w:left w:val="none" w:sz="0" w:space="0" w:color="auto"/>
        <w:bottom w:val="none" w:sz="0" w:space="0" w:color="auto"/>
        <w:right w:val="none" w:sz="0" w:space="0" w:color="auto"/>
      </w:divBdr>
    </w:div>
    <w:div w:id="518005227">
      <w:bodyDiv w:val="1"/>
      <w:marLeft w:val="0"/>
      <w:marRight w:val="0"/>
      <w:marTop w:val="0"/>
      <w:marBottom w:val="0"/>
      <w:divBdr>
        <w:top w:val="none" w:sz="0" w:space="0" w:color="auto"/>
        <w:left w:val="none" w:sz="0" w:space="0" w:color="auto"/>
        <w:bottom w:val="none" w:sz="0" w:space="0" w:color="auto"/>
        <w:right w:val="none" w:sz="0" w:space="0" w:color="auto"/>
      </w:divBdr>
    </w:div>
    <w:div w:id="518010287">
      <w:bodyDiv w:val="1"/>
      <w:marLeft w:val="0"/>
      <w:marRight w:val="0"/>
      <w:marTop w:val="0"/>
      <w:marBottom w:val="0"/>
      <w:divBdr>
        <w:top w:val="none" w:sz="0" w:space="0" w:color="auto"/>
        <w:left w:val="none" w:sz="0" w:space="0" w:color="auto"/>
        <w:bottom w:val="none" w:sz="0" w:space="0" w:color="auto"/>
        <w:right w:val="none" w:sz="0" w:space="0" w:color="auto"/>
      </w:divBdr>
    </w:div>
    <w:div w:id="518082699">
      <w:bodyDiv w:val="1"/>
      <w:marLeft w:val="0"/>
      <w:marRight w:val="0"/>
      <w:marTop w:val="0"/>
      <w:marBottom w:val="0"/>
      <w:divBdr>
        <w:top w:val="none" w:sz="0" w:space="0" w:color="auto"/>
        <w:left w:val="none" w:sz="0" w:space="0" w:color="auto"/>
        <w:bottom w:val="none" w:sz="0" w:space="0" w:color="auto"/>
        <w:right w:val="none" w:sz="0" w:space="0" w:color="auto"/>
      </w:divBdr>
    </w:div>
    <w:div w:id="518128645">
      <w:bodyDiv w:val="1"/>
      <w:marLeft w:val="0"/>
      <w:marRight w:val="0"/>
      <w:marTop w:val="0"/>
      <w:marBottom w:val="0"/>
      <w:divBdr>
        <w:top w:val="none" w:sz="0" w:space="0" w:color="auto"/>
        <w:left w:val="none" w:sz="0" w:space="0" w:color="auto"/>
        <w:bottom w:val="none" w:sz="0" w:space="0" w:color="auto"/>
        <w:right w:val="none" w:sz="0" w:space="0" w:color="auto"/>
      </w:divBdr>
    </w:div>
    <w:div w:id="518158580">
      <w:bodyDiv w:val="1"/>
      <w:marLeft w:val="0"/>
      <w:marRight w:val="0"/>
      <w:marTop w:val="0"/>
      <w:marBottom w:val="0"/>
      <w:divBdr>
        <w:top w:val="none" w:sz="0" w:space="0" w:color="auto"/>
        <w:left w:val="none" w:sz="0" w:space="0" w:color="auto"/>
        <w:bottom w:val="none" w:sz="0" w:space="0" w:color="auto"/>
        <w:right w:val="none" w:sz="0" w:space="0" w:color="auto"/>
      </w:divBdr>
    </w:div>
    <w:div w:id="518274127">
      <w:bodyDiv w:val="1"/>
      <w:marLeft w:val="0"/>
      <w:marRight w:val="0"/>
      <w:marTop w:val="0"/>
      <w:marBottom w:val="0"/>
      <w:divBdr>
        <w:top w:val="none" w:sz="0" w:space="0" w:color="auto"/>
        <w:left w:val="none" w:sz="0" w:space="0" w:color="auto"/>
        <w:bottom w:val="none" w:sz="0" w:space="0" w:color="auto"/>
        <w:right w:val="none" w:sz="0" w:space="0" w:color="auto"/>
      </w:divBdr>
    </w:div>
    <w:div w:id="518281617">
      <w:bodyDiv w:val="1"/>
      <w:marLeft w:val="0"/>
      <w:marRight w:val="0"/>
      <w:marTop w:val="0"/>
      <w:marBottom w:val="0"/>
      <w:divBdr>
        <w:top w:val="none" w:sz="0" w:space="0" w:color="auto"/>
        <w:left w:val="none" w:sz="0" w:space="0" w:color="auto"/>
        <w:bottom w:val="none" w:sz="0" w:space="0" w:color="auto"/>
        <w:right w:val="none" w:sz="0" w:space="0" w:color="auto"/>
      </w:divBdr>
    </w:div>
    <w:div w:id="518350519">
      <w:bodyDiv w:val="1"/>
      <w:marLeft w:val="0"/>
      <w:marRight w:val="0"/>
      <w:marTop w:val="0"/>
      <w:marBottom w:val="0"/>
      <w:divBdr>
        <w:top w:val="none" w:sz="0" w:space="0" w:color="auto"/>
        <w:left w:val="none" w:sz="0" w:space="0" w:color="auto"/>
        <w:bottom w:val="none" w:sz="0" w:space="0" w:color="auto"/>
        <w:right w:val="none" w:sz="0" w:space="0" w:color="auto"/>
      </w:divBdr>
    </w:div>
    <w:div w:id="518352055">
      <w:bodyDiv w:val="1"/>
      <w:marLeft w:val="0"/>
      <w:marRight w:val="0"/>
      <w:marTop w:val="0"/>
      <w:marBottom w:val="0"/>
      <w:divBdr>
        <w:top w:val="none" w:sz="0" w:space="0" w:color="auto"/>
        <w:left w:val="none" w:sz="0" w:space="0" w:color="auto"/>
        <w:bottom w:val="none" w:sz="0" w:space="0" w:color="auto"/>
        <w:right w:val="none" w:sz="0" w:space="0" w:color="auto"/>
      </w:divBdr>
    </w:div>
    <w:div w:id="518353546">
      <w:bodyDiv w:val="1"/>
      <w:marLeft w:val="0"/>
      <w:marRight w:val="0"/>
      <w:marTop w:val="0"/>
      <w:marBottom w:val="0"/>
      <w:divBdr>
        <w:top w:val="none" w:sz="0" w:space="0" w:color="auto"/>
        <w:left w:val="none" w:sz="0" w:space="0" w:color="auto"/>
        <w:bottom w:val="none" w:sz="0" w:space="0" w:color="auto"/>
        <w:right w:val="none" w:sz="0" w:space="0" w:color="auto"/>
      </w:divBdr>
    </w:div>
    <w:div w:id="518390454">
      <w:bodyDiv w:val="1"/>
      <w:marLeft w:val="0"/>
      <w:marRight w:val="0"/>
      <w:marTop w:val="0"/>
      <w:marBottom w:val="0"/>
      <w:divBdr>
        <w:top w:val="none" w:sz="0" w:space="0" w:color="auto"/>
        <w:left w:val="none" w:sz="0" w:space="0" w:color="auto"/>
        <w:bottom w:val="none" w:sz="0" w:space="0" w:color="auto"/>
        <w:right w:val="none" w:sz="0" w:space="0" w:color="auto"/>
      </w:divBdr>
    </w:div>
    <w:div w:id="518395162">
      <w:bodyDiv w:val="1"/>
      <w:marLeft w:val="0"/>
      <w:marRight w:val="0"/>
      <w:marTop w:val="0"/>
      <w:marBottom w:val="0"/>
      <w:divBdr>
        <w:top w:val="none" w:sz="0" w:space="0" w:color="auto"/>
        <w:left w:val="none" w:sz="0" w:space="0" w:color="auto"/>
        <w:bottom w:val="none" w:sz="0" w:space="0" w:color="auto"/>
        <w:right w:val="none" w:sz="0" w:space="0" w:color="auto"/>
      </w:divBdr>
    </w:div>
    <w:div w:id="518396338">
      <w:bodyDiv w:val="1"/>
      <w:marLeft w:val="0"/>
      <w:marRight w:val="0"/>
      <w:marTop w:val="0"/>
      <w:marBottom w:val="0"/>
      <w:divBdr>
        <w:top w:val="none" w:sz="0" w:space="0" w:color="auto"/>
        <w:left w:val="none" w:sz="0" w:space="0" w:color="auto"/>
        <w:bottom w:val="none" w:sz="0" w:space="0" w:color="auto"/>
        <w:right w:val="none" w:sz="0" w:space="0" w:color="auto"/>
      </w:divBdr>
    </w:div>
    <w:div w:id="518396699">
      <w:bodyDiv w:val="1"/>
      <w:marLeft w:val="0"/>
      <w:marRight w:val="0"/>
      <w:marTop w:val="0"/>
      <w:marBottom w:val="0"/>
      <w:divBdr>
        <w:top w:val="none" w:sz="0" w:space="0" w:color="auto"/>
        <w:left w:val="none" w:sz="0" w:space="0" w:color="auto"/>
        <w:bottom w:val="none" w:sz="0" w:space="0" w:color="auto"/>
        <w:right w:val="none" w:sz="0" w:space="0" w:color="auto"/>
      </w:divBdr>
    </w:div>
    <w:div w:id="518473571">
      <w:bodyDiv w:val="1"/>
      <w:marLeft w:val="0"/>
      <w:marRight w:val="0"/>
      <w:marTop w:val="0"/>
      <w:marBottom w:val="0"/>
      <w:divBdr>
        <w:top w:val="none" w:sz="0" w:space="0" w:color="auto"/>
        <w:left w:val="none" w:sz="0" w:space="0" w:color="auto"/>
        <w:bottom w:val="none" w:sz="0" w:space="0" w:color="auto"/>
        <w:right w:val="none" w:sz="0" w:space="0" w:color="auto"/>
      </w:divBdr>
    </w:div>
    <w:div w:id="518543144">
      <w:bodyDiv w:val="1"/>
      <w:marLeft w:val="0"/>
      <w:marRight w:val="0"/>
      <w:marTop w:val="0"/>
      <w:marBottom w:val="0"/>
      <w:divBdr>
        <w:top w:val="none" w:sz="0" w:space="0" w:color="auto"/>
        <w:left w:val="none" w:sz="0" w:space="0" w:color="auto"/>
        <w:bottom w:val="none" w:sz="0" w:space="0" w:color="auto"/>
        <w:right w:val="none" w:sz="0" w:space="0" w:color="auto"/>
      </w:divBdr>
    </w:div>
    <w:div w:id="518587012">
      <w:bodyDiv w:val="1"/>
      <w:marLeft w:val="0"/>
      <w:marRight w:val="0"/>
      <w:marTop w:val="0"/>
      <w:marBottom w:val="0"/>
      <w:divBdr>
        <w:top w:val="none" w:sz="0" w:space="0" w:color="auto"/>
        <w:left w:val="none" w:sz="0" w:space="0" w:color="auto"/>
        <w:bottom w:val="none" w:sz="0" w:space="0" w:color="auto"/>
        <w:right w:val="none" w:sz="0" w:space="0" w:color="auto"/>
      </w:divBdr>
    </w:div>
    <w:div w:id="518658981">
      <w:bodyDiv w:val="1"/>
      <w:marLeft w:val="0"/>
      <w:marRight w:val="0"/>
      <w:marTop w:val="0"/>
      <w:marBottom w:val="0"/>
      <w:divBdr>
        <w:top w:val="none" w:sz="0" w:space="0" w:color="auto"/>
        <w:left w:val="none" w:sz="0" w:space="0" w:color="auto"/>
        <w:bottom w:val="none" w:sz="0" w:space="0" w:color="auto"/>
        <w:right w:val="none" w:sz="0" w:space="0" w:color="auto"/>
      </w:divBdr>
    </w:div>
    <w:div w:id="518854891">
      <w:bodyDiv w:val="1"/>
      <w:marLeft w:val="0"/>
      <w:marRight w:val="0"/>
      <w:marTop w:val="0"/>
      <w:marBottom w:val="0"/>
      <w:divBdr>
        <w:top w:val="none" w:sz="0" w:space="0" w:color="auto"/>
        <w:left w:val="none" w:sz="0" w:space="0" w:color="auto"/>
        <w:bottom w:val="none" w:sz="0" w:space="0" w:color="auto"/>
        <w:right w:val="none" w:sz="0" w:space="0" w:color="auto"/>
      </w:divBdr>
    </w:div>
    <w:div w:id="518937111">
      <w:bodyDiv w:val="1"/>
      <w:marLeft w:val="0"/>
      <w:marRight w:val="0"/>
      <w:marTop w:val="0"/>
      <w:marBottom w:val="0"/>
      <w:divBdr>
        <w:top w:val="none" w:sz="0" w:space="0" w:color="auto"/>
        <w:left w:val="none" w:sz="0" w:space="0" w:color="auto"/>
        <w:bottom w:val="none" w:sz="0" w:space="0" w:color="auto"/>
        <w:right w:val="none" w:sz="0" w:space="0" w:color="auto"/>
      </w:divBdr>
    </w:div>
    <w:div w:id="518979887">
      <w:bodyDiv w:val="1"/>
      <w:marLeft w:val="0"/>
      <w:marRight w:val="0"/>
      <w:marTop w:val="0"/>
      <w:marBottom w:val="0"/>
      <w:divBdr>
        <w:top w:val="none" w:sz="0" w:space="0" w:color="auto"/>
        <w:left w:val="none" w:sz="0" w:space="0" w:color="auto"/>
        <w:bottom w:val="none" w:sz="0" w:space="0" w:color="auto"/>
        <w:right w:val="none" w:sz="0" w:space="0" w:color="auto"/>
      </w:divBdr>
    </w:div>
    <w:div w:id="519049302">
      <w:bodyDiv w:val="1"/>
      <w:marLeft w:val="0"/>
      <w:marRight w:val="0"/>
      <w:marTop w:val="0"/>
      <w:marBottom w:val="0"/>
      <w:divBdr>
        <w:top w:val="none" w:sz="0" w:space="0" w:color="auto"/>
        <w:left w:val="none" w:sz="0" w:space="0" w:color="auto"/>
        <w:bottom w:val="none" w:sz="0" w:space="0" w:color="auto"/>
        <w:right w:val="none" w:sz="0" w:space="0" w:color="auto"/>
      </w:divBdr>
    </w:div>
    <w:div w:id="519200633">
      <w:bodyDiv w:val="1"/>
      <w:marLeft w:val="0"/>
      <w:marRight w:val="0"/>
      <w:marTop w:val="0"/>
      <w:marBottom w:val="0"/>
      <w:divBdr>
        <w:top w:val="none" w:sz="0" w:space="0" w:color="auto"/>
        <w:left w:val="none" w:sz="0" w:space="0" w:color="auto"/>
        <w:bottom w:val="none" w:sz="0" w:space="0" w:color="auto"/>
        <w:right w:val="none" w:sz="0" w:space="0" w:color="auto"/>
      </w:divBdr>
    </w:div>
    <w:div w:id="519323933">
      <w:bodyDiv w:val="1"/>
      <w:marLeft w:val="0"/>
      <w:marRight w:val="0"/>
      <w:marTop w:val="0"/>
      <w:marBottom w:val="0"/>
      <w:divBdr>
        <w:top w:val="none" w:sz="0" w:space="0" w:color="auto"/>
        <w:left w:val="none" w:sz="0" w:space="0" w:color="auto"/>
        <w:bottom w:val="none" w:sz="0" w:space="0" w:color="auto"/>
        <w:right w:val="none" w:sz="0" w:space="0" w:color="auto"/>
      </w:divBdr>
    </w:div>
    <w:div w:id="519395745">
      <w:bodyDiv w:val="1"/>
      <w:marLeft w:val="0"/>
      <w:marRight w:val="0"/>
      <w:marTop w:val="0"/>
      <w:marBottom w:val="0"/>
      <w:divBdr>
        <w:top w:val="none" w:sz="0" w:space="0" w:color="auto"/>
        <w:left w:val="none" w:sz="0" w:space="0" w:color="auto"/>
        <w:bottom w:val="none" w:sz="0" w:space="0" w:color="auto"/>
        <w:right w:val="none" w:sz="0" w:space="0" w:color="auto"/>
      </w:divBdr>
    </w:div>
    <w:div w:id="519396975">
      <w:bodyDiv w:val="1"/>
      <w:marLeft w:val="0"/>
      <w:marRight w:val="0"/>
      <w:marTop w:val="0"/>
      <w:marBottom w:val="0"/>
      <w:divBdr>
        <w:top w:val="none" w:sz="0" w:space="0" w:color="auto"/>
        <w:left w:val="none" w:sz="0" w:space="0" w:color="auto"/>
        <w:bottom w:val="none" w:sz="0" w:space="0" w:color="auto"/>
        <w:right w:val="none" w:sz="0" w:space="0" w:color="auto"/>
      </w:divBdr>
    </w:div>
    <w:div w:id="519508505">
      <w:bodyDiv w:val="1"/>
      <w:marLeft w:val="0"/>
      <w:marRight w:val="0"/>
      <w:marTop w:val="0"/>
      <w:marBottom w:val="0"/>
      <w:divBdr>
        <w:top w:val="none" w:sz="0" w:space="0" w:color="auto"/>
        <w:left w:val="none" w:sz="0" w:space="0" w:color="auto"/>
        <w:bottom w:val="none" w:sz="0" w:space="0" w:color="auto"/>
        <w:right w:val="none" w:sz="0" w:space="0" w:color="auto"/>
      </w:divBdr>
    </w:div>
    <w:div w:id="519515342">
      <w:bodyDiv w:val="1"/>
      <w:marLeft w:val="0"/>
      <w:marRight w:val="0"/>
      <w:marTop w:val="0"/>
      <w:marBottom w:val="0"/>
      <w:divBdr>
        <w:top w:val="none" w:sz="0" w:space="0" w:color="auto"/>
        <w:left w:val="none" w:sz="0" w:space="0" w:color="auto"/>
        <w:bottom w:val="none" w:sz="0" w:space="0" w:color="auto"/>
        <w:right w:val="none" w:sz="0" w:space="0" w:color="auto"/>
      </w:divBdr>
    </w:div>
    <w:div w:id="519583354">
      <w:bodyDiv w:val="1"/>
      <w:marLeft w:val="0"/>
      <w:marRight w:val="0"/>
      <w:marTop w:val="0"/>
      <w:marBottom w:val="0"/>
      <w:divBdr>
        <w:top w:val="none" w:sz="0" w:space="0" w:color="auto"/>
        <w:left w:val="none" w:sz="0" w:space="0" w:color="auto"/>
        <w:bottom w:val="none" w:sz="0" w:space="0" w:color="auto"/>
        <w:right w:val="none" w:sz="0" w:space="0" w:color="auto"/>
      </w:divBdr>
    </w:div>
    <w:div w:id="519583898">
      <w:bodyDiv w:val="1"/>
      <w:marLeft w:val="0"/>
      <w:marRight w:val="0"/>
      <w:marTop w:val="0"/>
      <w:marBottom w:val="0"/>
      <w:divBdr>
        <w:top w:val="none" w:sz="0" w:space="0" w:color="auto"/>
        <w:left w:val="none" w:sz="0" w:space="0" w:color="auto"/>
        <w:bottom w:val="none" w:sz="0" w:space="0" w:color="auto"/>
        <w:right w:val="none" w:sz="0" w:space="0" w:color="auto"/>
      </w:divBdr>
    </w:div>
    <w:div w:id="519661763">
      <w:bodyDiv w:val="1"/>
      <w:marLeft w:val="0"/>
      <w:marRight w:val="0"/>
      <w:marTop w:val="0"/>
      <w:marBottom w:val="0"/>
      <w:divBdr>
        <w:top w:val="none" w:sz="0" w:space="0" w:color="auto"/>
        <w:left w:val="none" w:sz="0" w:space="0" w:color="auto"/>
        <w:bottom w:val="none" w:sz="0" w:space="0" w:color="auto"/>
        <w:right w:val="none" w:sz="0" w:space="0" w:color="auto"/>
      </w:divBdr>
    </w:div>
    <w:div w:id="519783772">
      <w:bodyDiv w:val="1"/>
      <w:marLeft w:val="0"/>
      <w:marRight w:val="0"/>
      <w:marTop w:val="0"/>
      <w:marBottom w:val="0"/>
      <w:divBdr>
        <w:top w:val="none" w:sz="0" w:space="0" w:color="auto"/>
        <w:left w:val="none" w:sz="0" w:space="0" w:color="auto"/>
        <w:bottom w:val="none" w:sz="0" w:space="0" w:color="auto"/>
        <w:right w:val="none" w:sz="0" w:space="0" w:color="auto"/>
      </w:divBdr>
    </w:div>
    <w:div w:id="519929579">
      <w:bodyDiv w:val="1"/>
      <w:marLeft w:val="0"/>
      <w:marRight w:val="0"/>
      <w:marTop w:val="0"/>
      <w:marBottom w:val="0"/>
      <w:divBdr>
        <w:top w:val="none" w:sz="0" w:space="0" w:color="auto"/>
        <w:left w:val="none" w:sz="0" w:space="0" w:color="auto"/>
        <w:bottom w:val="none" w:sz="0" w:space="0" w:color="auto"/>
        <w:right w:val="none" w:sz="0" w:space="0" w:color="auto"/>
      </w:divBdr>
    </w:div>
    <w:div w:id="519972576">
      <w:bodyDiv w:val="1"/>
      <w:marLeft w:val="0"/>
      <w:marRight w:val="0"/>
      <w:marTop w:val="0"/>
      <w:marBottom w:val="0"/>
      <w:divBdr>
        <w:top w:val="none" w:sz="0" w:space="0" w:color="auto"/>
        <w:left w:val="none" w:sz="0" w:space="0" w:color="auto"/>
        <w:bottom w:val="none" w:sz="0" w:space="0" w:color="auto"/>
        <w:right w:val="none" w:sz="0" w:space="0" w:color="auto"/>
      </w:divBdr>
    </w:div>
    <w:div w:id="520048093">
      <w:bodyDiv w:val="1"/>
      <w:marLeft w:val="0"/>
      <w:marRight w:val="0"/>
      <w:marTop w:val="0"/>
      <w:marBottom w:val="0"/>
      <w:divBdr>
        <w:top w:val="none" w:sz="0" w:space="0" w:color="auto"/>
        <w:left w:val="none" w:sz="0" w:space="0" w:color="auto"/>
        <w:bottom w:val="none" w:sz="0" w:space="0" w:color="auto"/>
        <w:right w:val="none" w:sz="0" w:space="0" w:color="auto"/>
      </w:divBdr>
    </w:div>
    <w:div w:id="520095724">
      <w:bodyDiv w:val="1"/>
      <w:marLeft w:val="0"/>
      <w:marRight w:val="0"/>
      <w:marTop w:val="0"/>
      <w:marBottom w:val="0"/>
      <w:divBdr>
        <w:top w:val="none" w:sz="0" w:space="0" w:color="auto"/>
        <w:left w:val="none" w:sz="0" w:space="0" w:color="auto"/>
        <w:bottom w:val="none" w:sz="0" w:space="0" w:color="auto"/>
        <w:right w:val="none" w:sz="0" w:space="0" w:color="auto"/>
      </w:divBdr>
    </w:div>
    <w:div w:id="520124405">
      <w:bodyDiv w:val="1"/>
      <w:marLeft w:val="0"/>
      <w:marRight w:val="0"/>
      <w:marTop w:val="0"/>
      <w:marBottom w:val="0"/>
      <w:divBdr>
        <w:top w:val="none" w:sz="0" w:space="0" w:color="auto"/>
        <w:left w:val="none" w:sz="0" w:space="0" w:color="auto"/>
        <w:bottom w:val="none" w:sz="0" w:space="0" w:color="auto"/>
        <w:right w:val="none" w:sz="0" w:space="0" w:color="auto"/>
      </w:divBdr>
    </w:div>
    <w:div w:id="520124944">
      <w:bodyDiv w:val="1"/>
      <w:marLeft w:val="0"/>
      <w:marRight w:val="0"/>
      <w:marTop w:val="0"/>
      <w:marBottom w:val="0"/>
      <w:divBdr>
        <w:top w:val="none" w:sz="0" w:space="0" w:color="auto"/>
        <w:left w:val="none" w:sz="0" w:space="0" w:color="auto"/>
        <w:bottom w:val="none" w:sz="0" w:space="0" w:color="auto"/>
        <w:right w:val="none" w:sz="0" w:space="0" w:color="auto"/>
      </w:divBdr>
    </w:div>
    <w:div w:id="520125429">
      <w:bodyDiv w:val="1"/>
      <w:marLeft w:val="0"/>
      <w:marRight w:val="0"/>
      <w:marTop w:val="0"/>
      <w:marBottom w:val="0"/>
      <w:divBdr>
        <w:top w:val="none" w:sz="0" w:space="0" w:color="auto"/>
        <w:left w:val="none" w:sz="0" w:space="0" w:color="auto"/>
        <w:bottom w:val="none" w:sz="0" w:space="0" w:color="auto"/>
        <w:right w:val="none" w:sz="0" w:space="0" w:color="auto"/>
      </w:divBdr>
    </w:div>
    <w:div w:id="520171197">
      <w:bodyDiv w:val="1"/>
      <w:marLeft w:val="0"/>
      <w:marRight w:val="0"/>
      <w:marTop w:val="0"/>
      <w:marBottom w:val="0"/>
      <w:divBdr>
        <w:top w:val="none" w:sz="0" w:space="0" w:color="auto"/>
        <w:left w:val="none" w:sz="0" w:space="0" w:color="auto"/>
        <w:bottom w:val="none" w:sz="0" w:space="0" w:color="auto"/>
        <w:right w:val="none" w:sz="0" w:space="0" w:color="auto"/>
      </w:divBdr>
    </w:div>
    <w:div w:id="520171241">
      <w:bodyDiv w:val="1"/>
      <w:marLeft w:val="0"/>
      <w:marRight w:val="0"/>
      <w:marTop w:val="0"/>
      <w:marBottom w:val="0"/>
      <w:divBdr>
        <w:top w:val="none" w:sz="0" w:space="0" w:color="auto"/>
        <w:left w:val="none" w:sz="0" w:space="0" w:color="auto"/>
        <w:bottom w:val="none" w:sz="0" w:space="0" w:color="auto"/>
        <w:right w:val="none" w:sz="0" w:space="0" w:color="auto"/>
      </w:divBdr>
    </w:div>
    <w:div w:id="520241537">
      <w:bodyDiv w:val="1"/>
      <w:marLeft w:val="0"/>
      <w:marRight w:val="0"/>
      <w:marTop w:val="0"/>
      <w:marBottom w:val="0"/>
      <w:divBdr>
        <w:top w:val="none" w:sz="0" w:space="0" w:color="auto"/>
        <w:left w:val="none" w:sz="0" w:space="0" w:color="auto"/>
        <w:bottom w:val="none" w:sz="0" w:space="0" w:color="auto"/>
        <w:right w:val="none" w:sz="0" w:space="0" w:color="auto"/>
      </w:divBdr>
    </w:div>
    <w:div w:id="520361534">
      <w:bodyDiv w:val="1"/>
      <w:marLeft w:val="0"/>
      <w:marRight w:val="0"/>
      <w:marTop w:val="0"/>
      <w:marBottom w:val="0"/>
      <w:divBdr>
        <w:top w:val="none" w:sz="0" w:space="0" w:color="auto"/>
        <w:left w:val="none" w:sz="0" w:space="0" w:color="auto"/>
        <w:bottom w:val="none" w:sz="0" w:space="0" w:color="auto"/>
        <w:right w:val="none" w:sz="0" w:space="0" w:color="auto"/>
      </w:divBdr>
    </w:div>
    <w:div w:id="520363177">
      <w:bodyDiv w:val="1"/>
      <w:marLeft w:val="0"/>
      <w:marRight w:val="0"/>
      <w:marTop w:val="0"/>
      <w:marBottom w:val="0"/>
      <w:divBdr>
        <w:top w:val="none" w:sz="0" w:space="0" w:color="auto"/>
        <w:left w:val="none" w:sz="0" w:space="0" w:color="auto"/>
        <w:bottom w:val="none" w:sz="0" w:space="0" w:color="auto"/>
        <w:right w:val="none" w:sz="0" w:space="0" w:color="auto"/>
      </w:divBdr>
    </w:div>
    <w:div w:id="520507606">
      <w:bodyDiv w:val="1"/>
      <w:marLeft w:val="0"/>
      <w:marRight w:val="0"/>
      <w:marTop w:val="0"/>
      <w:marBottom w:val="0"/>
      <w:divBdr>
        <w:top w:val="none" w:sz="0" w:space="0" w:color="auto"/>
        <w:left w:val="none" w:sz="0" w:space="0" w:color="auto"/>
        <w:bottom w:val="none" w:sz="0" w:space="0" w:color="auto"/>
        <w:right w:val="none" w:sz="0" w:space="0" w:color="auto"/>
      </w:divBdr>
    </w:div>
    <w:div w:id="520513890">
      <w:bodyDiv w:val="1"/>
      <w:marLeft w:val="0"/>
      <w:marRight w:val="0"/>
      <w:marTop w:val="0"/>
      <w:marBottom w:val="0"/>
      <w:divBdr>
        <w:top w:val="none" w:sz="0" w:space="0" w:color="auto"/>
        <w:left w:val="none" w:sz="0" w:space="0" w:color="auto"/>
        <w:bottom w:val="none" w:sz="0" w:space="0" w:color="auto"/>
        <w:right w:val="none" w:sz="0" w:space="0" w:color="auto"/>
      </w:divBdr>
    </w:div>
    <w:div w:id="520558164">
      <w:bodyDiv w:val="1"/>
      <w:marLeft w:val="0"/>
      <w:marRight w:val="0"/>
      <w:marTop w:val="0"/>
      <w:marBottom w:val="0"/>
      <w:divBdr>
        <w:top w:val="none" w:sz="0" w:space="0" w:color="auto"/>
        <w:left w:val="none" w:sz="0" w:space="0" w:color="auto"/>
        <w:bottom w:val="none" w:sz="0" w:space="0" w:color="auto"/>
        <w:right w:val="none" w:sz="0" w:space="0" w:color="auto"/>
      </w:divBdr>
    </w:div>
    <w:div w:id="520704960">
      <w:bodyDiv w:val="1"/>
      <w:marLeft w:val="0"/>
      <w:marRight w:val="0"/>
      <w:marTop w:val="0"/>
      <w:marBottom w:val="0"/>
      <w:divBdr>
        <w:top w:val="none" w:sz="0" w:space="0" w:color="auto"/>
        <w:left w:val="none" w:sz="0" w:space="0" w:color="auto"/>
        <w:bottom w:val="none" w:sz="0" w:space="0" w:color="auto"/>
        <w:right w:val="none" w:sz="0" w:space="0" w:color="auto"/>
      </w:divBdr>
    </w:div>
    <w:div w:id="520822739">
      <w:bodyDiv w:val="1"/>
      <w:marLeft w:val="0"/>
      <w:marRight w:val="0"/>
      <w:marTop w:val="0"/>
      <w:marBottom w:val="0"/>
      <w:divBdr>
        <w:top w:val="none" w:sz="0" w:space="0" w:color="auto"/>
        <w:left w:val="none" w:sz="0" w:space="0" w:color="auto"/>
        <w:bottom w:val="none" w:sz="0" w:space="0" w:color="auto"/>
        <w:right w:val="none" w:sz="0" w:space="0" w:color="auto"/>
      </w:divBdr>
    </w:div>
    <w:div w:id="520898389">
      <w:bodyDiv w:val="1"/>
      <w:marLeft w:val="0"/>
      <w:marRight w:val="0"/>
      <w:marTop w:val="0"/>
      <w:marBottom w:val="0"/>
      <w:divBdr>
        <w:top w:val="none" w:sz="0" w:space="0" w:color="auto"/>
        <w:left w:val="none" w:sz="0" w:space="0" w:color="auto"/>
        <w:bottom w:val="none" w:sz="0" w:space="0" w:color="auto"/>
        <w:right w:val="none" w:sz="0" w:space="0" w:color="auto"/>
      </w:divBdr>
    </w:div>
    <w:div w:id="520972027">
      <w:bodyDiv w:val="1"/>
      <w:marLeft w:val="0"/>
      <w:marRight w:val="0"/>
      <w:marTop w:val="0"/>
      <w:marBottom w:val="0"/>
      <w:divBdr>
        <w:top w:val="none" w:sz="0" w:space="0" w:color="auto"/>
        <w:left w:val="none" w:sz="0" w:space="0" w:color="auto"/>
        <w:bottom w:val="none" w:sz="0" w:space="0" w:color="auto"/>
        <w:right w:val="none" w:sz="0" w:space="0" w:color="auto"/>
      </w:divBdr>
    </w:div>
    <w:div w:id="521094426">
      <w:bodyDiv w:val="1"/>
      <w:marLeft w:val="0"/>
      <w:marRight w:val="0"/>
      <w:marTop w:val="0"/>
      <w:marBottom w:val="0"/>
      <w:divBdr>
        <w:top w:val="none" w:sz="0" w:space="0" w:color="auto"/>
        <w:left w:val="none" w:sz="0" w:space="0" w:color="auto"/>
        <w:bottom w:val="none" w:sz="0" w:space="0" w:color="auto"/>
        <w:right w:val="none" w:sz="0" w:space="0" w:color="auto"/>
      </w:divBdr>
    </w:div>
    <w:div w:id="521168115">
      <w:bodyDiv w:val="1"/>
      <w:marLeft w:val="0"/>
      <w:marRight w:val="0"/>
      <w:marTop w:val="0"/>
      <w:marBottom w:val="0"/>
      <w:divBdr>
        <w:top w:val="none" w:sz="0" w:space="0" w:color="auto"/>
        <w:left w:val="none" w:sz="0" w:space="0" w:color="auto"/>
        <w:bottom w:val="none" w:sz="0" w:space="0" w:color="auto"/>
        <w:right w:val="none" w:sz="0" w:space="0" w:color="auto"/>
      </w:divBdr>
    </w:div>
    <w:div w:id="521214298">
      <w:bodyDiv w:val="1"/>
      <w:marLeft w:val="0"/>
      <w:marRight w:val="0"/>
      <w:marTop w:val="0"/>
      <w:marBottom w:val="0"/>
      <w:divBdr>
        <w:top w:val="none" w:sz="0" w:space="0" w:color="auto"/>
        <w:left w:val="none" w:sz="0" w:space="0" w:color="auto"/>
        <w:bottom w:val="none" w:sz="0" w:space="0" w:color="auto"/>
        <w:right w:val="none" w:sz="0" w:space="0" w:color="auto"/>
      </w:divBdr>
    </w:div>
    <w:div w:id="521283774">
      <w:bodyDiv w:val="1"/>
      <w:marLeft w:val="0"/>
      <w:marRight w:val="0"/>
      <w:marTop w:val="0"/>
      <w:marBottom w:val="0"/>
      <w:divBdr>
        <w:top w:val="none" w:sz="0" w:space="0" w:color="auto"/>
        <w:left w:val="none" w:sz="0" w:space="0" w:color="auto"/>
        <w:bottom w:val="none" w:sz="0" w:space="0" w:color="auto"/>
        <w:right w:val="none" w:sz="0" w:space="0" w:color="auto"/>
      </w:divBdr>
    </w:div>
    <w:div w:id="521363060">
      <w:bodyDiv w:val="1"/>
      <w:marLeft w:val="0"/>
      <w:marRight w:val="0"/>
      <w:marTop w:val="0"/>
      <w:marBottom w:val="0"/>
      <w:divBdr>
        <w:top w:val="none" w:sz="0" w:space="0" w:color="auto"/>
        <w:left w:val="none" w:sz="0" w:space="0" w:color="auto"/>
        <w:bottom w:val="none" w:sz="0" w:space="0" w:color="auto"/>
        <w:right w:val="none" w:sz="0" w:space="0" w:color="auto"/>
      </w:divBdr>
    </w:div>
    <w:div w:id="521365038">
      <w:bodyDiv w:val="1"/>
      <w:marLeft w:val="0"/>
      <w:marRight w:val="0"/>
      <w:marTop w:val="0"/>
      <w:marBottom w:val="0"/>
      <w:divBdr>
        <w:top w:val="none" w:sz="0" w:space="0" w:color="auto"/>
        <w:left w:val="none" w:sz="0" w:space="0" w:color="auto"/>
        <w:bottom w:val="none" w:sz="0" w:space="0" w:color="auto"/>
        <w:right w:val="none" w:sz="0" w:space="0" w:color="auto"/>
      </w:divBdr>
    </w:div>
    <w:div w:id="521667585">
      <w:bodyDiv w:val="1"/>
      <w:marLeft w:val="0"/>
      <w:marRight w:val="0"/>
      <w:marTop w:val="0"/>
      <w:marBottom w:val="0"/>
      <w:divBdr>
        <w:top w:val="none" w:sz="0" w:space="0" w:color="auto"/>
        <w:left w:val="none" w:sz="0" w:space="0" w:color="auto"/>
        <w:bottom w:val="none" w:sz="0" w:space="0" w:color="auto"/>
        <w:right w:val="none" w:sz="0" w:space="0" w:color="auto"/>
      </w:divBdr>
    </w:div>
    <w:div w:id="521668030">
      <w:bodyDiv w:val="1"/>
      <w:marLeft w:val="0"/>
      <w:marRight w:val="0"/>
      <w:marTop w:val="0"/>
      <w:marBottom w:val="0"/>
      <w:divBdr>
        <w:top w:val="none" w:sz="0" w:space="0" w:color="auto"/>
        <w:left w:val="none" w:sz="0" w:space="0" w:color="auto"/>
        <w:bottom w:val="none" w:sz="0" w:space="0" w:color="auto"/>
        <w:right w:val="none" w:sz="0" w:space="0" w:color="auto"/>
      </w:divBdr>
    </w:div>
    <w:div w:id="521673402">
      <w:bodyDiv w:val="1"/>
      <w:marLeft w:val="0"/>
      <w:marRight w:val="0"/>
      <w:marTop w:val="0"/>
      <w:marBottom w:val="0"/>
      <w:divBdr>
        <w:top w:val="none" w:sz="0" w:space="0" w:color="auto"/>
        <w:left w:val="none" w:sz="0" w:space="0" w:color="auto"/>
        <w:bottom w:val="none" w:sz="0" w:space="0" w:color="auto"/>
        <w:right w:val="none" w:sz="0" w:space="0" w:color="auto"/>
      </w:divBdr>
    </w:div>
    <w:div w:id="521822397">
      <w:bodyDiv w:val="1"/>
      <w:marLeft w:val="0"/>
      <w:marRight w:val="0"/>
      <w:marTop w:val="0"/>
      <w:marBottom w:val="0"/>
      <w:divBdr>
        <w:top w:val="none" w:sz="0" w:space="0" w:color="auto"/>
        <w:left w:val="none" w:sz="0" w:space="0" w:color="auto"/>
        <w:bottom w:val="none" w:sz="0" w:space="0" w:color="auto"/>
        <w:right w:val="none" w:sz="0" w:space="0" w:color="auto"/>
      </w:divBdr>
    </w:div>
    <w:div w:id="522059863">
      <w:bodyDiv w:val="1"/>
      <w:marLeft w:val="0"/>
      <w:marRight w:val="0"/>
      <w:marTop w:val="0"/>
      <w:marBottom w:val="0"/>
      <w:divBdr>
        <w:top w:val="none" w:sz="0" w:space="0" w:color="auto"/>
        <w:left w:val="none" w:sz="0" w:space="0" w:color="auto"/>
        <w:bottom w:val="none" w:sz="0" w:space="0" w:color="auto"/>
        <w:right w:val="none" w:sz="0" w:space="0" w:color="auto"/>
      </w:divBdr>
    </w:div>
    <w:div w:id="522061804">
      <w:bodyDiv w:val="1"/>
      <w:marLeft w:val="0"/>
      <w:marRight w:val="0"/>
      <w:marTop w:val="0"/>
      <w:marBottom w:val="0"/>
      <w:divBdr>
        <w:top w:val="none" w:sz="0" w:space="0" w:color="auto"/>
        <w:left w:val="none" w:sz="0" w:space="0" w:color="auto"/>
        <w:bottom w:val="none" w:sz="0" w:space="0" w:color="auto"/>
        <w:right w:val="none" w:sz="0" w:space="0" w:color="auto"/>
      </w:divBdr>
    </w:div>
    <w:div w:id="522207634">
      <w:bodyDiv w:val="1"/>
      <w:marLeft w:val="0"/>
      <w:marRight w:val="0"/>
      <w:marTop w:val="0"/>
      <w:marBottom w:val="0"/>
      <w:divBdr>
        <w:top w:val="none" w:sz="0" w:space="0" w:color="auto"/>
        <w:left w:val="none" w:sz="0" w:space="0" w:color="auto"/>
        <w:bottom w:val="none" w:sz="0" w:space="0" w:color="auto"/>
        <w:right w:val="none" w:sz="0" w:space="0" w:color="auto"/>
      </w:divBdr>
    </w:div>
    <w:div w:id="522285624">
      <w:bodyDiv w:val="1"/>
      <w:marLeft w:val="0"/>
      <w:marRight w:val="0"/>
      <w:marTop w:val="0"/>
      <w:marBottom w:val="0"/>
      <w:divBdr>
        <w:top w:val="none" w:sz="0" w:space="0" w:color="auto"/>
        <w:left w:val="none" w:sz="0" w:space="0" w:color="auto"/>
        <w:bottom w:val="none" w:sz="0" w:space="0" w:color="auto"/>
        <w:right w:val="none" w:sz="0" w:space="0" w:color="auto"/>
      </w:divBdr>
    </w:div>
    <w:div w:id="522330733">
      <w:bodyDiv w:val="1"/>
      <w:marLeft w:val="0"/>
      <w:marRight w:val="0"/>
      <w:marTop w:val="0"/>
      <w:marBottom w:val="0"/>
      <w:divBdr>
        <w:top w:val="none" w:sz="0" w:space="0" w:color="auto"/>
        <w:left w:val="none" w:sz="0" w:space="0" w:color="auto"/>
        <w:bottom w:val="none" w:sz="0" w:space="0" w:color="auto"/>
        <w:right w:val="none" w:sz="0" w:space="0" w:color="auto"/>
      </w:divBdr>
    </w:div>
    <w:div w:id="522400206">
      <w:bodyDiv w:val="1"/>
      <w:marLeft w:val="0"/>
      <w:marRight w:val="0"/>
      <w:marTop w:val="0"/>
      <w:marBottom w:val="0"/>
      <w:divBdr>
        <w:top w:val="none" w:sz="0" w:space="0" w:color="auto"/>
        <w:left w:val="none" w:sz="0" w:space="0" w:color="auto"/>
        <w:bottom w:val="none" w:sz="0" w:space="0" w:color="auto"/>
        <w:right w:val="none" w:sz="0" w:space="0" w:color="auto"/>
      </w:divBdr>
    </w:div>
    <w:div w:id="522594933">
      <w:bodyDiv w:val="1"/>
      <w:marLeft w:val="0"/>
      <w:marRight w:val="0"/>
      <w:marTop w:val="0"/>
      <w:marBottom w:val="0"/>
      <w:divBdr>
        <w:top w:val="none" w:sz="0" w:space="0" w:color="auto"/>
        <w:left w:val="none" w:sz="0" w:space="0" w:color="auto"/>
        <w:bottom w:val="none" w:sz="0" w:space="0" w:color="auto"/>
        <w:right w:val="none" w:sz="0" w:space="0" w:color="auto"/>
      </w:divBdr>
    </w:div>
    <w:div w:id="522668253">
      <w:bodyDiv w:val="1"/>
      <w:marLeft w:val="0"/>
      <w:marRight w:val="0"/>
      <w:marTop w:val="0"/>
      <w:marBottom w:val="0"/>
      <w:divBdr>
        <w:top w:val="none" w:sz="0" w:space="0" w:color="auto"/>
        <w:left w:val="none" w:sz="0" w:space="0" w:color="auto"/>
        <w:bottom w:val="none" w:sz="0" w:space="0" w:color="auto"/>
        <w:right w:val="none" w:sz="0" w:space="0" w:color="auto"/>
      </w:divBdr>
    </w:div>
    <w:div w:id="522715393">
      <w:bodyDiv w:val="1"/>
      <w:marLeft w:val="0"/>
      <w:marRight w:val="0"/>
      <w:marTop w:val="0"/>
      <w:marBottom w:val="0"/>
      <w:divBdr>
        <w:top w:val="none" w:sz="0" w:space="0" w:color="auto"/>
        <w:left w:val="none" w:sz="0" w:space="0" w:color="auto"/>
        <w:bottom w:val="none" w:sz="0" w:space="0" w:color="auto"/>
        <w:right w:val="none" w:sz="0" w:space="0" w:color="auto"/>
      </w:divBdr>
    </w:div>
    <w:div w:id="523129699">
      <w:bodyDiv w:val="1"/>
      <w:marLeft w:val="0"/>
      <w:marRight w:val="0"/>
      <w:marTop w:val="0"/>
      <w:marBottom w:val="0"/>
      <w:divBdr>
        <w:top w:val="none" w:sz="0" w:space="0" w:color="auto"/>
        <w:left w:val="none" w:sz="0" w:space="0" w:color="auto"/>
        <w:bottom w:val="none" w:sz="0" w:space="0" w:color="auto"/>
        <w:right w:val="none" w:sz="0" w:space="0" w:color="auto"/>
      </w:divBdr>
    </w:div>
    <w:div w:id="523246591">
      <w:bodyDiv w:val="1"/>
      <w:marLeft w:val="0"/>
      <w:marRight w:val="0"/>
      <w:marTop w:val="0"/>
      <w:marBottom w:val="0"/>
      <w:divBdr>
        <w:top w:val="none" w:sz="0" w:space="0" w:color="auto"/>
        <w:left w:val="none" w:sz="0" w:space="0" w:color="auto"/>
        <w:bottom w:val="none" w:sz="0" w:space="0" w:color="auto"/>
        <w:right w:val="none" w:sz="0" w:space="0" w:color="auto"/>
      </w:divBdr>
    </w:div>
    <w:div w:id="523253421">
      <w:bodyDiv w:val="1"/>
      <w:marLeft w:val="0"/>
      <w:marRight w:val="0"/>
      <w:marTop w:val="0"/>
      <w:marBottom w:val="0"/>
      <w:divBdr>
        <w:top w:val="none" w:sz="0" w:space="0" w:color="auto"/>
        <w:left w:val="none" w:sz="0" w:space="0" w:color="auto"/>
        <w:bottom w:val="none" w:sz="0" w:space="0" w:color="auto"/>
        <w:right w:val="none" w:sz="0" w:space="0" w:color="auto"/>
      </w:divBdr>
    </w:div>
    <w:div w:id="523403036">
      <w:bodyDiv w:val="1"/>
      <w:marLeft w:val="0"/>
      <w:marRight w:val="0"/>
      <w:marTop w:val="0"/>
      <w:marBottom w:val="0"/>
      <w:divBdr>
        <w:top w:val="none" w:sz="0" w:space="0" w:color="auto"/>
        <w:left w:val="none" w:sz="0" w:space="0" w:color="auto"/>
        <w:bottom w:val="none" w:sz="0" w:space="0" w:color="auto"/>
        <w:right w:val="none" w:sz="0" w:space="0" w:color="auto"/>
      </w:divBdr>
    </w:div>
    <w:div w:id="523439211">
      <w:bodyDiv w:val="1"/>
      <w:marLeft w:val="0"/>
      <w:marRight w:val="0"/>
      <w:marTop w:val="0"/>
      <w:marBottom w:val="0"/>
      <w:divBdr>
        <w:top w:val="none" w:sz="0" w:space="0" w:color="auto"/>
        <w:left w:val="none" w:sz="0" w:space="0" w:color="auto"/>
        <w:bottom w:val="none" w:sz="0" w:space="0" w:color="auto"/>
        <w:right w:val="none" w:sz="0" w:space="0" w:color="auto"/>
      </w:divBdr>
    </w:div>
    <w:div w:id="523448789">
      <w:bodyDiv w:val="1"/>
      <w:marLeft w:val="0"/>
      <w:marRight w:val="0"/>
      <w:marTop w:val="0"/>
      <w:marBottom w:val="0"/>
      <w:divBdr>
        <w:top w:val="none" w:sz="0" w:space="0" w:color="auto"/>
        <w:left w:val="none" w:sz="0" w:space="0" w:color="auto"/>
        <w:bottom w:val="none" w:sz="0" w:space="0" w:color="auto"/>
        <w:right w:val="none" w:sz="0" w:space="0" w:color="auto"/>
      </w:divBdr>
    </w:div>
    <w:div w:id="523589867">
      <w:bodyDiv w:val="1"/>
      <w:marLeft w:val="0"/>
      <w:marRight w:val="0"/>
      <w:marTop w:val="0"/>
      <w:marBottom w:val="0"/>
      <w:divBdr>
        <w:top w:val="none" w:sz="0" w:space="0" w:color="auto"/>
        <w:left w:val="none" w:sz="0" w:space="0" w:color="auto"/>
        <w:bottom w:val="none" w:sz="0" w:space="0" w:color="auto"/>
        <w:right w:val="none" w:sz="0" w:space="0" w:color="auto"/>
      </w:divBdr>
    </w:div>
    <w:div w:id="523635188">
      <w:bodyDiv w:val="1"/>
      <w:marLeft w:val="0"/>
      <w:marRight w:val="0"/>
      <w:marTop w:val="0"/>
      <w:marBottom w:val="0"/>
      <w:divBdr>
        <w:top w:val="none" w:sz="0" w:space="0" w:color="auto"/>
        <w:left w:val="none" w:sz="0" w:space="0" w:color="auto"/>
        <w:bottom w:val="none" w:sz="0" w:space="0" w:color="auto"/>
        <w:right w:val="none" w:sz="0" w:space="0" w:color="auto"/>
      </w:divBdr>
    </w:div>
    <w:div w:id="523635545">
      <w:bodyDiv w:val="1"/>
      <w:marLeft w:val="0"/>
      <w:marRight w:val="0"/>
      <w:marTop w:val="0"/>
      <w:marBottom w:val="0"/>
      <w:divBdr>
        <w:top w:val="none" w:sz="0" w:space="0" w:color="auto"/>
        <w:left w:val="none" w:sz="0" w:space="0" w:color="auto"/>
        <w:bottom w:val="none" w:sz="0" w:space="0" w:color="auto"/>
        <w:right w:val="none" w:sz="0" w:space="0" w:color="auto"/>
      </w:divBdr>
    </w:div>
    <w:div w:id="523639642">
      <w:bodyDiv w:val="1"/>
      <w:marLeft w:val="0"/>
      <w:marRight w:val="0"/>
      <w:marTop w:val="0"/>
      <w:marBottom w:val="0"/>
      <w:divBdr>
        <w:top w:val="none" w:sz="0" w:space="0" w:color="auto"/>
        <w:left w:val="none" w:sz="0" w:space="0" w:color="auto"/>
        <w:bottom w:val="none" w:sz="0" w:space="0" w:color="auto"/>
        <w:right w:val="none" w:sz="0" w:space="0" w:color="auto"/>
      </w:divBdr>
    </w:div>
    <w:div w:id="523716495">
      <w:bodyDiv w:val="1"/>
      <w:marLeft w:val="0"/>
      <w:marRight w:val="0"/>
      <w:marTop w:val="0"/>
      <w:marBottom w:val="0"/>
      <w:divBdr>
        <w:top w:val="none" w:sz="0" w:space="0" w:color="auto"/>
        <w:left w:val="none" w:sz="0" w:space="0" w:color="auto"/>
        <w:bottom w:val="none" w:sz="0" w:space="0" w:color="auto"/>
        <w:right w:val="none" w:sz="0" w:space="0" w:color="auto"/>
      </w:divBdr>
    </w:div>
    <w:div w:id="524097781">
      <w:bodyDiv w:val="1"/>
      <w:marLeft w:val="0"/>
      <w:marRight w:val="0"/>
      <w:marTop w:val="0"/>
      <w:marBottom w:val="0"/>
      <w:divBdr>
        <w:top w:val="none" w:sz="0" w:space="0" w:color="auto"/>
        <w:left w:val="none" w:sz="0" w:space="0" w:color="auto"/>
        <w:bottom w:val="none" w:sz="0" w:space="0" w:color="auto"/>
        <w:right w:val="none" w:sz="0" w:space="0" w:color="auto"/>
      </w:divBdr>
    </w:div>
    <w:div w:id="524245765">
      <w:bodyDiv w:val="1"/>
      <w:marLeft w:val="0"/>
      <w:marRight w:val="0"/>
      <w:marTop w:val="0"/>
      <w:marBottom w:val="0"/>
      <w:divBdr>
        <w:top w:val="none" w:sz="0" w:space="0" w:color="auto"/>
        <w:left w:val="none" w:sz="0" w:space="0" w:color="auto"/>
        <w:bottom w:val="none" w:sz="0" w:space="0" w:color="auto"/>
        <w:right w:val="none" w:sz="0" w:space="0" w:color="auto"/>
      </w:divBdr>
    </w:div>
    <w:div w:id="524246865">
      <w:bodyDiv w:val="1"/>
      <w:marLeft w:val="0"/>
      <w:marRight w:val="0"/>
      <w:marTop w:val="0"/>
      <w:marBottom w:val="0"/>
      <w:divBdr>
        <w:top w:val="none" w:sz="0" w:space="0" w:color="auto"/>
        <w:left w:val="none" w:sz="0" w:space="0" w:color="auto"/>
        <w:bottom w:val="none" w:sz="0" w:space="0" w:color="auto"/>
        <w:right w:val="none" w:sz="0" w:space="0" w:color="auto"/>
      </w:divBdr>
    </w:div>
    <w:div w:id="524291295">
      <w:bodyDiv w:val="1"/>
      <w:marLeft w:val="0"/>
      <w:marRight w:val="0"/>
      <w:marTop w:val="0"/>
      <w:marBottom w:val="0"/>
      <w:divBdr>
        <w:top w:val="none" w:sz="0" w:space="0" w:color="auto"/>
        <w:left w:val="none" w:sz="0" w:space="0" w:color="auto"/>
        <w:bottom w:val="none" w:sz="0" w:space="0" w:color="auto"/>
        <w:right w:val="none" w:sz="0" w:space="0" w:color="auto"/>
      </w:divBdr>
    </w:div>
    <w:div w:id="524485349">
      <w:bodyDiv w:val="1"/>
      <w:marLeft w:val="0"/>
      <w:marRight w:val="0"/>
      <w:marTop w:val="0"/>
      <w:marBottom w:val="0"/>
      <w:divBdr>
        <w:top w:val="none" w:sz="0" w:space="0" w:color="auto"/>
        <w:left w:val="none" w:sz="0" w:space="0" w:color="auto"/>
        <w:bottom w:val="none" w:sz="0" w:space="0" w:color="auto"/>
        <w:right w:val="none" w:sz="0" w:space="0" w:color="auto"/>
      </w:divBdr>
    </w:div>
    <w:div w:id="524487062">
      <w:bodyDiv w:val="1"/>
      <w:marLeft w:val="0"/>
      <w:marRight w:val="0"/>
      <w:marTop w:val="0"/>
      <w:marBottom w:val="0"/>
      <w:divBdr>
        <w:top w:val="none" w:sz="0" w:space="0" w:color="auto"/>
        <w:left w:val="none" w:sz="0" w:space="0" w:color="auto"/>
        <w:bottom w:val="none" w:sz="0" w:space="0" w:color="auto"/>
        <w:right w:val="none" w:sz="0" w:space="0" w:color="auto"/>
      </w:divBdr>
    </w:div>
    <w:div w:id="524708606">
      <w:bodyDiv w:val="1"/>
      <w:marLeft w:val="0"/>
      <w:marRight w:val="0"/>
      <w:marTop w:val="0"/>
      <w:marBottom w:val="0"/>
      <w:divBdr>
        <w:top w:val="none" w:sz="0" w:space="0" w:color="auto"/>
        <w:left w:val="none" w:sz="0" w:space="0" w:color="auto"/>
        <w:bottom w:val="none" w:sz="0" w:space="0" w:color="auto"/>
        <w:right w:val="none" w:sz="0" w:space="0" w:color="auto"/>
      </w:divBdr>
    </w:div>
    <w:div w:id="524710618">
      <w:bodyDiv w:val="1"/>
      <w:marLeft w:val="0"/>
      <w:marRight w:val="0"/>
      <w:marTop w:val="0"/>
      <w:marBottom w:val="0"/>
      <w:divBdr>
        <w:top w:val="none" w:sz="0" w:space="0" w:color="auto"/>
        <w:left w:val="none" w:sz="0" w:space="0" w:color="auto"/>
        <w:bottom w:val="none" w:sz="0" w:space="0" w:color="auto"/>
        <w:right w:val="none" w:sz="0" w:space="0" w:color="auto"/>
      </w:divBdr>
    </w:div>
    <w:div w:id="524758633">
      <w:bodyDiv w:val="1"/>
      <w:marLeft w:val="0"/>
      <w:marRight w:val="0"/>
      <w:marTop w:val="0"/>
      <w:marBottom w:val="0"/>
      <w:divBdr>
        <w:top w:val="none" w:sz="0" w:space="0" w:color="auto"/>
        <w:left w:val="none" w:sz="0" w:space="0" w:color="auto"/>
        <w:bottom w:val="none" w:sz="0" w:space="0" w:color="auto"/>
        <w:right w:val="none" w:sz="0" w:space="0" w:color="auto"/>
      </w:divBdr>
    </w:div>
    <w:div w:id="524906237">
      <w:bodyDiv w:val="1"/>
      <w:marLeft w:val="0"/>
      <w:marRight w:val="0"/>
      <w:marTop w:val="0"/>
      <w:marBottom w:val="0"/>
      <w:divBdr>
        <w:top w:val="none" w:sz="0" w:space="0" w:color="auto"/>
        <w:left w:val="none" w:sz="0" w:space="0" w:color="auto"/>
        <w:bottom w:val="none" w:sz="0" w:space="0" w:color="auto"/>
        <w:right w:val="none" w:sz="0" w:space="0" w:color="auto"/>
      </w:divBdr>
    </w:div>
    <w:div w:id="524952491">
      <w:bodyDiv w:val="1"/>
      <w:marLeft w:val="0"/>
      <w:marRight w:val="0"/>
      <w:marTop w:val="0"/>
      <w:marBottom w:val="0"/>
      <w:divBdr>
        <w:top w:val="none" w:sz="0" w:space="0" w:color="auto"/>
        <w:left w:val="none" w:sz="0" w:space="0" w:color="auto"/>
        <w:bottom w:val="none" w:sz="0" w:space="0" w:color="auto"/>
        <w:right w:val="none" w:sz="0" w:space="0" w:color="auto"/>
      </w:divBdr>
    </w:div>
    <w:div w:id="525095299">
      <w:bodyDiv w:val="1"/>
      <w:marLeft w:val="0"/>
      <w:marRight w:val="0"/>
      <w:marTop w:val="0"/>
      <w:marBottom w:val="0"/>
      <w:divBdr>
        <w:top w:val="none" w:sz="0" w:space="0" w:color="auto"/>
        <w:left w:val="none" w:sz="0" w:space="0" w:color="auto"/>
        <w:bottom w:val="none" w:sz="0" w:space="0" w:color="auto"/>
        <w:right w:val="none" w:sz="0" w:space="0" w:color="auto"/>
      </w:divBdr>
    </w:div>
    <w:div w:id="525214243">
      <w:bodyDiv w:val="1"/>
      <w:marLeft w:val="0"/>
      <w:marRight w:val="0"/>
      <w:marTop w:val="0"/>
      <w:marBottom w:val="0"/>
      <w:divBdr>
        <w:top w:val="none" w:sz="0" w:space="0" w:color="auto"/>
        <w:left w:val="none" w:sz="0" w:space="0" w:color="auto"/>
        <w:bottom w:val="none" w:sz="0" w:space="0" w:color="auto"/>
        <w:right w:val="none" w:sz="0" w:space="0" w:color="auto"/>
      </w:divBdr>
    </w:div>
    <w:div w:id="525295622">
      <w:bodyDiv w:val="1"/>
      <w:marLeft w:val="0"/>
      <w:marRight w:val="0"/>
      <w:marTop w:val="0"/>
      <w:marBottom w:val="0"/>
      <w:divBdr>
        <w:top w:val="none" w:sz="0" w:space="0" w:color="auto"/>
        <w:left w:val="none" w:sz="0" w:space="0" w:color="auto"/>
        <w:bottom w:val="none" w:sz="0" w:space="0" w:color="auto"/>
        <w:right w:val="none" w:sz="0" w:space="0" w:color="auto"/>
      </w:divBdr>
    </w:div>
    <w:div w:id="525337287">
      <w:bodyDiv w:val="1"/>
      <w:marLeft w:val="0"/>
      <w:marRight w:val="0"/>
      <w:marTop w:val="0"/>
      <w:marBottom w:val="0"/>
      <w:divBdr>
        <w:top w:val="none" w:sz="0" w:space="0" w:color="auto"/>
        <w:left w:val="none" w:sz="0" w:space="0" w:color="auto"/>
        <w:bottom w:val="none" w:sz="0" w:space="0" w:color="auto"/>
        <w:right w:val="none" w:sz="0" w:space="0" w:color="auto"/>
      </w:divBdr>
    </w:div>
    <w:div w:id="525362473">
      <w:bodyDiv w:val="1"/>
      <w:marLeft w:val="0"/>
      <w:marRight w:val="0"/>
      <w:marTop w:val="0"/>
      <w:marBottom w:val="0"/>
      <w:divBdr>
        <w:top w:val="none" w:sz="0" w:space="0" w:color="auto"/>
        <w:left w:val="none" w:sz="0" w:space="0" w:color="auto"/>
        <w:bottom w:val="none" w:sz="0" w:space="0" w:color="auto"/>
        <w:right w:val="none" w:sz="0" w:space="0" w:color="auto"/>
      </w:divBdr>
    </w:div>
    <w:div w:id="525365715">
      <w:bodyDiv w:val="1"/>
      <w:marLeft w:val="0"/>
      <w:marRight w:val="0"/>
      <w:marTop w:val="0"/>
      <w:marBottom w:val="0"/>
      <w:divBdr>
        <w:top w:val="none" w:sz="0" w:space="0" w:color="auto"/>
        <w:left w:val="none" w:sz="0" w:space="0" w:color="auto"/>
        <w:bottom w:val="none" w:sz="0" w:space="0" w:color="auto"/>
        <w:right w:val="none" w:sz="0" w:space="0" w:color="auto"/>
      </w:divBdr>
    </w:div>
    <w:div w:id="525408605">
      <w:bodyDiv w:val="1"/>
      <w:marLeft w:val="0"/>
      <w:marRight w:val="0"/>
      <w:marTop w:val="0"/>
      <w:marBottom w:val="0"/>
      <w:divBdr>
        <w:top w:val="none" w:sz="0" w:space="0" w:color="auto"/>
        <w:left w:val="none" w:sz="0" w:space="0" w:color="auto"/>
        <w:bottom w:val="none" w:sz="0" w:space="0" w:color="auto"/>
        <w:right w:val="none" w:sz="0" w:space="0" w:color="auto"/>
      </w:divBdr>
    </w:div>
    <w:div w:id="525482049">
      <w:bodyDiv w:val="1"/>
      <w:marLeft w:val="0"/>
      <w:marRight w:val="0"/>
      <w:marTop w:val="0"/>
      <w:marBottom w:val="0"/>
      <w:divBdr>
        <w:top w:val="none" w:sz="0" w:space="0" w:color="auto"/>
        <w:left w:val="none" w:sz="0" w:space="0" w:color="auto"/>
        <w:bottom w:val="none" w:sz="0" w:space="0" w:color="auto"/>
        <w:right w:val="none" w:sz="0" w:space="0" w:color="auto"/>
      </w:divBdr>
    </w:div>
    <w:div w:id="525560005">
      <w:bodyDiv w:val="1"/>
      <w:marLeft w:val="0"/>
      <w:marRight w:val="0"/>
      <w:marTop w:val="0"/>
      <w:marBottom w:val="0"/>
      <w:divBdr>
        <w:top w:val="none" w:sz="0" w:space="0" w:color="auto"/>
        <w:left w:val="none" w:sz="0" w:space="0" w:color="auto"/>
        <w:bottom w:val="none" w:sz="0" w:space="0" w:color="auto"/>
        <w:right w:val="none" w:sz="0" w:space="0" w:color="auto"/>
      </w:divBdr>
    </w:div>
    <w:div w:id="525601682">
      <w:bodyDiv w:val="1"/>
      <w:marLeft w:val="0"/>
      <w:marRight w:val="0"/>
      <w:marTop w:val="0"/>
      <w:marBottom w:val="0"/>
      <w:divBdr>
        <w:top w:val="none" w:sz="0" w:space="0" w:color="auto"/>
        <w:left w:val="none" w:sz="0" w:space="0" w:color="auto"/>
        <w:bottom w:val="none" w:sz="0" w:space="0" w:color="auto"/>
        <w:right w:val="none" w:sz="0" w:space="0" w:color="auto"/>
      </w:divBdr>
    </w:div>
    <w:div w:id="525631217">
      <w:bodyDiv w:val="1"/>
      <w:marLeft w:val="0"/>
      <w:marRight w:val="0"/>
      <w:marTop w:val="0"/>
      <w:marBottom w:val="0"/>
      <w:divBdr>
        <w:top w:val="none" w:sz="0" w:space="0" w:color="auto"/>
        <w:left w:val="none" w:sz="0" w:space="0" w:color="auto"/>
        <w:bottom w:val="none" w:sz="0" w:space="0" w:color="auto"/>
        <w:right w:val="none" w:sz="0" w:space="0" w:color="auto"/>
      </w:divBdr>
    </w:div>
    <w:div w:id="525749958">
      <w:bodyDiv w:val="1"/>
      <w:marLeft w:val="0"/>
      <w:marRight w:val="0"/>
      <w:marTop w:val="0"/>
      <w:marBottom w:val="0"/>
      <w:divBdr>
        <w:top w:val="none" w:sz="0" w:space="0" w:color="auto"/>
        <w:left w:val="none" w:sz="0" w:space="0" w:color="auto"/>
        <w:bottom w:val="none" w:sz="0" w:space="0" w:color="auto"/>
        <w:right w:val="none" w:sz="0" w:space="0" w:color="auto"/>
      </w:divBdr>
    </w:div>
    <w:div w:id="525825361">
      <w:bodyDiv w:val="1"/>
      <w:marLeft w:val="0"/>
      <w:marRight w:val="0"/>
      <w:marTop w:val="0"/>
      <w:marBottom w:val="0"/>
      <w:divBdr>
        <w:top w:val="none" w:sz="0" w:space="0" w:color="auto"/>
        <w:left w:val="none" w:sz="0" w:space="0" w:color="auto"/>
        <w:bottom w:val="none" w:sz="0" w:space="0" w:color="auto"/>
        <w:right w:val="none" w:sz="0" w:space="0" w:color="auto"/>
      </w:divBdr>
    </w:div>
    <w:div w:id="525875301">
      <w:bodyDiv w:val="1"/>
      <w:marLeft w:val="0"/>
      <w:marRight w:val="0"/>
      <w:marTop w:val="0"/>
      <w:marBottom w:val="0"/>
      <w:divBdr>
        <w:top w:val="none" w:sz="0" w:space="0" w:color="auto"/>
        <w:left w:val="none" w:sz="0" w:space="0" w:color="auto"/>
        <w:bottom w:val="none" w:sz="0" w:space="0" w:color="auto"/>
        <w:right w:val="none" w:sz="0" w:space="0" w:color="auto"/>
      </w:divBdr>
    </w:div>
    <w:div w:id="525945473">
      <w:bodyDiv w:val="1"/>
      <w:marLeft w:val="0"/>
      <w:marRight w:val="0"/>
      <w:marTop w:val="0"/>
      <w:marBottom w:val="0"/>
      <w:divBdr>
        <w:top w:val="none" w:sz="0" w:space="0" w:color="auto"/>
        <w:left w:val="none" w:sz="0" w:space="0" w:color="auto"/>
        <w:bottom w:val="none" w:sz="0" w:space="0" w:color="auto"/>
        <w:right w:val="none" w:sz="0" w:space="0" w:color="auto"/>
      </w:divBdr>
    </w:div>
    <w:div w:id="525994231">
      <w:bodyDiv w:val="1"/>
      <w:marLeft w:val="0"/>
      <w:marRight w:val="0"/>
      <w:marTop w:val="0"/>
      <w:marBottom w:val="0"/>
      <w:divBdr>
        <w:top w:val="none" w:sz="0" w:space="0" w:color="auto"/>
        <w:left w:val="none" w:sz="0" w:space="0" w:color="auto"/>
        <w:bottom w:val="none" w:sz="0" w:space="0" w:color="auto"/>
        <w:right w:val="none" w:sz="0" w:space="0" w:color="auto"/>
      </w:divBdr>
    </w:div>
    <w:div w:id="526135850">
      <w:bodyDiv w:val="1"/>
      <w:marLeft w:val="0"/>
      <w:marRight w:val="0"/>
      <w:marTop w:val="0"/>
      <w:marBottom w:val="0"/>
      <w:divBdr>
        <w:top w:val="none" w:sz="0" w:space="0" w:color="auto"/>
        <w:left w:val="none" w:sz="0" w:space="0" w:color="auto"/>
        <w:bottom w:val="none" w:sz="0" w:space="0" w:color="auto"/>
        <w:right w:val="none" w:sz="0" w:space="0" w:color="auto"/>
      </w:divBdr>
    </w:div>
    <w:div w:id="526136102">
      <w:bodyDiv w:val="1"/>
      <w:marLeft w:val="0"/>
      <w:marRight w:val="0"/>
      <w:marTop w:val="0"/>
      <w:marBottom w:val="0"/>
      <w:divBdr>
        <w:top w:val="none" w:sz="0" w:space="0" w:color="auto"/>
        <w:left w:val="none" w:sz="0" w:space="0" w:color="auto"/>
        <w:bottom w:val="none" w:sz="0" w:space="0" w:color="auto"/>
        <w:right w:val="none" w:sz="0" w:space="0" w:color="auto"/>
      </w:divBdr>
    </w:div>
    <w:div w:id="526254205">
      <w:bodyDiv w:val="1"/>
      <w:marLeft w:val="0"/>
      <w:marRight w:val="0"/>
      <w:marTop w:val="0"/>
      <w:marBottom w:val="0"/>
      <w:divBdr>
        <w:top w:val="none" w:sz="0" w:space="0" w:color="auto"/>
        <w:left w:val="none" w:sz="0" w:space="0" w:color="auto"/>
        <w:bottom w:val="none" w:sz="0" w:space="0" w:color="auto"/>
        <w:right w:val="none" w:sz="0" w:space="0" w:color="auto"/>
      </w:divBdr>
    </w:div>
    <w:div w:id="526257171">
      <w:bodyDiv w:val="1"/>
      <w:marLeft w:val="0"/>
      <w:marRight w:val="0"/>
      <w:marTop w:val="0"/>
      <w:marBottom w:val="0"/>
      <w:divBdr>
        <w:top w:val="none" w:sz="0" w:space="0" w:color="auto"/>
        <w:left w:val="none" w:sz="0" w:space="0" w:color="auto"/>
        <w:bottom w:val="none" w:sz="0" w:space="0" w:color="auto"/>
        <w:right w:val="none" w:sz="0" w:space="0" w:color="auto"/>
      </w:divBdr>
    </w:div>
    <w:div w:id="526286341">
      <w:bodyDiv w:val="1"/>
      <w:marLeft w:val="0"/>
      <w:marRight w:val="0"/>
      <w:marTop w:val="0"/>
      <w:marBottom w:val="0"/>
      <w:divBdr>
        <w:top w:val="none" w:sz="0" w:space="0" w:color="auto"/>
        <w:left w:val="none" w:sz="0" w:space="0" w:color="auto"/>
        <w:bottom w:val="none" w:sz="0" w:space="0" w:color="auto"/>
        <w:right w:val="none" w:sz="0" w:space="0" w:color="auto"/>
      </w:divBdr>
    </w:div>
    <w:div w:id="526286819">
      <w:bodyDiv w:val="1"/>
      <w:marLeft w:val="0"/>
      <w:marRight w:val="0"/>
      <w:marTop w:val="0"/>
      <w:marBottom w:val="0"/>
      <w:divBdr>
        <w:top w:val="none" w:sz="0" w:space="0" w:color="auto"/>
        <w:left w:val="none" w:sz="0" w:space="0" w:color="auto"/>
        <w:bottom w:val="none" w:sz="0" w:space="0" w:color="auto"/>
        <w:right w:val="none" w:sz="0" w:space="0" w:color="auto"/>
      </w:divBdr>
    </w:div>
    <w:div w:id="526336098">
      <w:bodyDiv w:val="1"/>
      <w:marLeft w:val="0"/>
      <w:marRight w:val="0"/>
      <w:marTop w:val="0"/>
      <w:marBottom w:val="0"/>
      <w:divBdr>
        <w:top w:val="none" w:sz="0" w:space="0" w:color="auto"/>
        <w:left w:val="none" w:sz="0" w:space="0" w:color="auto"/>
        <w:bottom w:val="none" w:sz="0" w:space="0" w:color="auto"/>
        <w:right w:val="none" w:sz="0" w:space="0" w:color="auto"/>
      </w:divBdr>
    </w:div>
    <w:div w:id="526410791">
      <w:bodyDiv w:val="1"/>
      <w:marLeft w:val="0"/>
      <w:marRight w:val="0"/>
      <w:marTop w:val="0"/>
      <w:marBottom w:val="0"/>
      <w:divBdr>
        <w:top w:val="none" w:sz="0" w:space="0" w:color="auto"/>
        <w:left w:val="none" w:sz="0" w:space="0" w:color="auto"/>
        <w:bottom w:val="none" w:sz="0" w:space="0" w:color="auto"/>
        <w:right w:val="none" w:sz="0" w:space="0" w:color="auto"/>
      </w:divBdr>
    </w:div>
    <w:div w:id="526451400">
      <w:bodyDiv w:val="1"/>
      <w:marLeft w:val="0"/>
      <w:marRight w:val="0"/>
      <w:marTop w:val="0"/>
      <w:marBottom w:val="0"/>
      <w:divBdr>
        <w:top w:val="none" w:sz="0" w:space="0" w:color="auto"/>
        <w:left w:val="none" w:sz="0" w:space="0" w:color="auto"/>
        <w:bottom w:val="none" w:sz="0" w:space="0" w:color="auto"/>
        <w:right w:val="none" w:sz="0" w:space="0" w:color="auto"/>
      </w:divBdr>
    </w:div>
    <w:div w:id="526597708">
      <w:bodyDiv w:val="1"/>
      <w:marLeft w:val="0"/>
      <w:marRight w:val="0"/>
      <w:marTop w:val="0"/>
      <w:marBottom w:val="0"/>
      <w:divBdr>
        <w:top w:val="none" w:sz="0" w:space="0" w:color="auto"/>
        <w:left w:val="none" w:sz="0" w:space="0" w:color="auto"/>
        <w:bottom w:val="none" w:sz="0" w:space="0" w:color="auto"/>
        <w:right w:val="none" w:sz="0" w:space="0" w:color="auto"/>
      </w:divBdr>
    </w:div>
    <w:div w:id="526606950">
      <w:bodyDiv w:val="1"/>
      <w:marLeft w:val="0"/>
      <w:marRight w:val="0"/>
      <w:marTop w:val="0"/>
      <w:marBottom w:val="0"/>
      <w:divBdr>
        <w:top w:val="none" w:sz="0" w:space="0" w:color="auto"/>
        <w:left w:val="none" w:sz="0" w:space="0" w:color="auto"/>
        <w:bottom w:val="none" w:sz="0" w:space="0" w:color="auto"/>
        <w:right w:val="none" w:sz="0" w:space="0" w:color="auto"/>
      </w:divBdr>
    </w:div>
    <w:div w:id="526648199">
      <w:bodyDiv w:val="1"/>
      <w:marLeft w:val="0"/>
      <w:marRight w:val="0"/>
      <w:marTop w:val="0"/>
      <w:marBottom w:val="0"/>
      <w:divBdr>
        <w:top w:val="none" w:sz="0" w:space="0" w:color="auto"/>
        <w:left w:val="none" w:sz="0" w:space="0" w:color="auto"/>
        <w:bottom w:val="none" w:sz="0" w:space="0" w:color="auto"/>
        <w:right w:val="none" w:sz="0" w:space="0" w:color="auto"/>
      </w:divBdr>
    </w:div>
    <w:div w:id="526648284">
      <w:bodyDiv w:val="1"/>
      <w:marLeft w:val="0"/>
      <w:marRight w:val="0"/>
      <w:marTop w:val="0"/>
      <w:marBottom w:val="0"/>
      <w:divBdr>
        <w:top w:val="none" w:sz="0" w:space="0" w:color="auto"/>
        <w:left w:val="none" w:sz="0" w:space="0" w:color="auto"/>
        <w:bottom w:val="none" w:sz="0" w:space="0" w:color="auto"/>
        <w:right w:val="none" w:sz="0" w:space="0" w:color="auto"/>
      </w:divBdr>
    </w:div>
    <w:div w:id="526675287">
      <w:bodyDiv w:val="1"/>
      <w:marLeft w:val="0"/>
      <w:marRight w:val="0"/>
      <w:marTop w:val="0"/>
      <w:marBottom w:val="0"/>
      <w:divBdr>
        <w:top w:val="none" w:sz="0" w:space="0" w:color="auto"/>
        <w:left w:val="none" w:sz="0" w:space="0" w:color="auto"/>
        <w:bottom w:val="none" w:sz="0" w:space="0" w:color="auto"/>
        <w:right w:val="none" w:sz="0" w:space="0" w:color="auto"/>
      </w:divBdr>
    </w:div>
    <w:div w:id="526720712">
      <w:bodyDiv w:val="1"/>
      <w:marLeft w:val="0"/>
      <w:marRight w:val="0"/>
      <w:marTop w:val="0"/>
      <w:marBottom w:val="0"/>
      <w:divBdr>
        <w:top w:val="none" w:sz="0" w:space="0" w:color="auto"/>
        <w:left w:val="none" w:sz="0" w:space="0" w:color="auto"/>
        <w:bottom w:val="none" w:sz="0" w:space="0" w:color="auto"/>
        <w:right w:val="none" w:sz="0" w:space="0" w:color="auto"/>
      </w:divBdr>
    </w:div>
    <w:div w:id="526791279">
      <w:bodyDiv w:val="1"/>
      <w:marLeft w:val="0"/>
      <w:marRight w:val="0"/>
      <w:marTop w:val="0"/>
      <w:marBottom w:val="0"/>
      <w:divBdr>
        <w:top w:val="none" w:sz="0" w:space="0" w:color="auto"/>
        <w:left w:val="none" w:sz="0" w:space="0" w:color="auto"/>
        <w:bottom w:val="none" w:sz="0" w:space="0" w:color="auto"/>
        <w:right w:val="none" w:sz="0" w:space="0" w:color="auto"/>
      </w:divBdr>
    </w:div>
    <w:div w:id="526911395">
      <w:bodyDiv w:val="1"/>
      <w:marLeft w:val="0"/>
      <w:marRight w:val="0"/>
      <w:marTop w:val="0"/>
      <w:marBottom w:val="0"/>
      <w:divBdr>
        <w:top w:val="none" w:sz="0" w:space="0" w:color="auto"/>
        <w:left w:val="none" w:sz="0" w:space="0" w:color="auto"/>
        <w:bottom w:val="none" w:sz="0" w:space="0" w:color="auto"/>
        <w:right w:val="none" w:sz="0" w:space="0" w:color="auto"/>
      </w:divBdr>
    </w:div>
    <w:div w:id="527184511">
      <w:bodyDiv w:val="1"/>
      <w:marLeft w:val="0"/>
      <w:marRight w:val="0"/>
      <w:marTop w:val="0"/>
      <w:marBottom w:val="0"/>
      <w:divBdr>
        <w:top w:val="none" w:sz="0" w:space="0" w:color="auto"/>
        <w:left w:val="none" w:sz="0" w:space="0" w:color="auto"/>
        <w:bottom w:val="none" w:sz="0" w:space="0" w:color="auto"/>
        <w:right w:val="none" w:sz="0" w:space="0" w:color="auto"/>
      </w:divBdr>
    </w:div>
    <w:div w:id="527329812">
      <w:bodyDiv w:val="1"/>
      <w:marLeft w:val="0"/>
      <w:marRight w:val="0"/>
      <w:marTop w:val="0"/>
      <w:marBottom w:val="0"/>
      <w:divBdr>
        <w:top w:val="none" w:sz="0" w:space="0" w:color="auto"/>
        <w:left w:val="none" w:sz="0" w:space="0" w:color="auto"/>
        <w:bottom w:val="none" w:sz="0" w:space="0" w:color="auto"/>
        <w:right w:val="none" w:sz="0" w:space="0" w:color="auto"/>
      </w:divBdr>
    </w:div>
    <w:div w:id="527334705">
      <w:bodyDiv w:val="1"/>
      <w:marLeft w:val="0"/>
      <w:marRight w:val="0"/>
      <w:marTop w:val="0"/>
      <w:marBottom w:val="0"/>
      <w:divBdr>
        <w:top w:val="none" w:sz="0" w:space="0" w:color="auto"/>
        <w:left w:val="none" w:sz="0" w:space="0" w:color="auto"/>
        <w:bottom w:val="none" w:sz="0" w:space="0" w:color="auto"/>
        <w:right w:val="none" w:sz="0" w:space="0" w:color="auto"/>
      </w:divBdr>
    </w:div>
    <w:div w:id="527522668">
      <w:bodyDiv w:val="1"/>
      <w:marLeft w:val="0"/>
      <w:marRight w:val="0"/>
      <w:marTop w:val="0"/>
      <w:marBottom w:val="0"/>
      <w:divBdr>
        <w:top w:val="none" w:sz="0" w:space="0" w:color="auto"/>
        <w:left w:val="none" w:sz="0" w:space="0" w:color="auto"/>
        <w:bottom w:val="none" w:sz="0" w:space="0" w:color="auto"/>
        <w:right w:val="none" w:sz="0" w:space="0" w:color="auto"/>
      </w:divBdr>
    </w:div>
    <w:div w:id="527528351">
      <w:bodyDiv w:val="1"/>
      <w:marLeft w:val="0"/>
      <w:marRight w:val="0"/>
      <w:marTop w:val="0"/>
      <w:marBottom w:val="0"/>
      <w:divBdr>
        <w:top w:val="none" w:sz="0" w:space="0" w:color="auto"/>
        <w:left w:val="none" w:sz="0" w:space="0" w:color="auto"/>
        <w:bottom w:val="none" w:sz="0" w:space="0" w:color="auto"/>
        <w:right w:val="none" w:sz="0" w:space="0" w:color="auto"/>
      </w:divBdr>
    </w:div>
    <w:div w:id="527529059">
      <w:bodyDiv w:val="1"/>
      <w:marLeft w:val="0"/>
      <w:marRight w:val="0"/>
      <w:marTop w:val="0"/>
      <w:marBottom w:val="0"/>
      <w:divBdr>
        <w:top w:val="none" w:sz="0" w:space="0" w:color="auto"/>
        <w:left w:val="none" w:sz="0" w:space="0" w:color="auto"/>
        <w:bottom w:val="none" w:sz="0" w:space="0" w:color="auto"/>
        <w:right w:val="none" w:sz="0" w:space="0" w:color="auto"/>
      </w:divBdr>
    </w:div>
    <w:div w:id="527724219">
      <w:bodyDiv w:val="1"/>
      <w:marLeft w:val="0"/>
      <w:marRight w:val="0"/>
      <w:marTop w:val="0"/>
      <w:marBottom w:val="0"/>
      <w:divBdr>
        <w:top w:val="none" w:sz="0" w:space="0" w:color="auto"/>
        <w:left w:val="none" w:sz="0" w:space="0" w:color="auto"/>
        <w:bottom w:val="none" w:sz="0" w:space="0" w:color="auto"/>
        <w:right w:val="none" w:sz="0" w:space="0" w:color="auto"/>
      </w:divBdr>
    </w:div>
    <w:div w:id="527791956">
      <w:bodyDiv w:val="1"/>
      <w:marLeft w:val="0"/>
      <w:marRight w:val="0"/>
      <w:marTop w:val="0"/>
      <w:marBottom w:val="0"/>
      <w:divBdr>
        <w:top w:val="none" w:sz="0" w:space="0" w:color="auto"/>
        <w:left w:val="none" w:sz="0" w:space="0" w:color="auto"/>
        <w:bottom w:val="none" w:sz="0" w:space="0" w:color="auto"/>
        <w:right w:val="none" w:sz="0" w:space="0" w:color="auto"/>
      </w:divBdr>
    </w:div>
    <w:div w:id="527792261">
      <w:bodyDiv w:val="1"/>
      <w:marLeft w:val="0"/>
      <w:marRight w:val="0"/>
      <w:marTop w:val="0"/>
      <w:marBottom w:val="0"/>
      <w:divBdr>
        <w:top w:val="none" w:sz="0" w:space="0" w:color="auto"/>
        <w:left w:val="none" w:sz="0" w:space="0" w:color="auto"/>
        <w:bottom w:val="none" w:sz="0" w:space="0" w:color="auto"/>
        <w:right w:val="none" w:sz="0" w:space="0" w:color="auto"/>
      </w:divBdr>
    </w:div>
    <w:div w:id="527841587">
      <w:bodyDiv w:val="1"/>
      <w:marLeft w:val="0"/>
      <w:marRight w:val="0"/>
      <w:marTop w:val="0"/>
      <w:marBottom w:val="0"/>
      <w:divBdr>
        <w:top w:val="none" w:sz="0" w:space="0" w:color="auto"/>
        <w:left w:val="none" w:sz="0" w:space="0" w:color="auto"/>
        <w:bottom w:val="none" w:sz="0" w:space="0" w:color="auto"/>
        <w:right w:val="none" w:sz="0" w:space="0" w:color="auto"/>
      </w:divBdr>
    </w:div>
    <w:div w:id="527916625">
      <w:bodyDiv w:val="1"/>
      <w:marLeft w:val="0"/>
      <w:marRight w:val="0"/>
      <w:marTop w:val="0"/>
      <w:marBottom w:val="0"/>
      <w:divBdr>
        <w:top w:val="none" w:sz="0" w:space="0" w:color="auto"/>
        <w:left w:val="none" w:sz="0" w:space="0" w:color="auto"/>
        <w:bottom w:val="none" w:sz="0" w:space="0" w:color="auto"/>
        <w:right w:val="none" w:sz="0" w:space="0" w:color="auto"/>
      </w:divBdr>
    </w:div>
    <w:div w:id="527988669">
      <w:bodyDiv w:val="1"/>
      <w:marLeft w:val="0"/>
      <w:marRight w:val="0"/>
      <w:marTop w:val="0"/>
      <w:marBottom w:val="0"/>
      <w:divBdr>
        <w:top w:val="none" w:sz="0" w:space="0" w:color="auto"/>
        <w:left w:val="none" w:sz="0" w:space="0" w:color="auto"/>
        <w:bottom w:val="none" w:sz="0" w:space="0" w:color="auto"/>
        <w:right w:val="none" w:sz="0" w:space="0" w:color="auto"/>
      </w:divBdr>
    </w:div>
    <w:div w:id="528026731">
      <w:bodyDiv w:val="1"/>
      <w:marLeft w:val="0"/>
      <w:marRight w:val="0"/>
      <w:marTop w:val="0"/>
      <w:marBottom w:val="0"/>
      <w:divBdr>
        <w:top w:val="none" w:sz="0" w:space="0" w:color="auto"/>
        <w:left w:val="none" w:sz="0" w:space="0" w:color="auto"/>
        <w:bottom w:val="none" w:sz="0" w:space="0" w:color="auto"/>
        <w:right w:val="none" w:sz="0" w:space="0" w:color="auto"/>
      </w:divBdr>
    </w:div>
    <w:div w:id="528033579">
      <w:bodyDiv w:val="1"/>
      <w:marLeft w:val="0"/>
      <w:marRight w:val="0"/>
      <w:marTop w:val="0"/>
      <w:marBottom w:val="0"/>
      <w:divBdr>
        <w:top w:val="none" w:sz="0" w:space="0" w:color="auto"/>
        <w:left w:val="none" w:sz="0" w:space="0" w:color="auto"/>
        <w:bottom w:val="none" w:sz="0" w:space="0" w:color="auto"/>
        <w:right w:val="none" w:sz="0" w:space="0" w:color="auto"/>
      </w:divBdr>
    </w:div>
    <w:div w:id="528109950">
      <w:bodyDiv w:val="1"/>
      <w:marLeft w:val="0"/>
      <w:marRight w:val="0"/>
      <w:marTop w:val="0"/>
      <w:marBottom w:val="0"/>
      <w:divBdr>
        <w:top w:val="none" w:sz="0" w:space="0" w:color="auto"/>
        <w:left w:val="none" w:sz="0" w:space="0" w:color="auto"/>
        <w:bottom w:val="none" w:sz="0" w:space="0" w:color="auto"/>
        <w:right w:val="none" w:sz="0" w:space="0" w:color="auto"/>
      </w:divBdr>
    </w:div>
    <w:div w:id="528222484">
      <w:bodyDiv w:val="1"/>
      <w:marLeft w:val="0"/>
      <w:marRight w:val="0"/>
      <w:marTop w:val="0"/>
      <w:marBottom w:val="0"/>
      <w:divBdr>
        <w:top w:val="none" w:sz="0" w:space="0" w:color="auto"/>
        <w:left w:val="none" w:sz="0" w:space="0" w:color="auto"/>
        <w:bottom w:val="none" w:sz="0" w:space="0" w:color="auto"/>
        <w:right w:val="none" w:sz="0" w:space="0" w:color="auto"/>
      </w:divBdr>
    </w:div>
    <w:div w:id="528226567">
      <w:bodyDiv w:val="1"/>
      <w:marLeft w:val="0"/>
      <w:marRight w:val="0"/>
      <w:marTop w:val="0"/>
      <w:marBottom w:val="0"/>
      <w:divBdr>
        <w:top w:val="none" w:sz="0" w:space="0" w:color="auto"/>
        <w:left w:val="none" w:sz="0" w:space="0" w:color="auto"/>
        <w:bottom w:val="none" w:sz="0" w:space="0" w:color="auto"/>
        <w:right w:val="none" w:sz="0" w:space="0" w:color="auto"/>
      </w:divBdr>
    </w:div>
    <w:div w:id="528227702">
      <w:bodyDiv w:val="1"/>
      <w:marLeft w:val="0"/>
      <w:marRight w:val="0"/>
      <w:marTop w:val="0"/>
      <w:marBottom w:val="0"/>
      <w:divBdr>
        <w:top w:val="none" w:sz="0" w:space="0" w:color="auto"/>
        <w:left w:val="none" w:sz="0" w:space="0" w:color="auto"/>
        <w:bottom w:val="none" w:sz="0" w:space="0" w:color="auto"/>
        <w:right w:val="none" w:sz="0" w:space="0" w:color="auto"/>
      </w:divBdr>
    </w:div>
    <w:div w:id="528301410">
      <w:bodyDiv w:val="1"/>
      <w:marLeft w:val="0"/>
      <w:marRight w:val="0"/>
      <w:marTop w:val="0"/>
      <w:marBottom w:val="0"/>
      <w:divBdr>
        <w:top w:val="none" w:sz="0" w:space="0" w:color="auto"/>
        <w:left w:val="none" w:sz="0" w:space="0" w:color="auto"/>
        <w:bottom w:val="none" w:sz="0" w:space="0" w:color="auto"/>
        <w:right w:val="none" w:sz="0" w:space="0" w:color="auto"/>
      </w:divBdr>
    </w:div>
    <w:div w:id="528302967">
      <w:bodyDiv w:val="1"/>
      <w:marLeft w:val="0"/>
      <w:marRight w:val="0"/>
      <w:marTop w:val="0"/>
      <w:marBottom w:val="0"/>
      <w:divBdr>
        <w:top w:val="none" w:sz="0" w:space="0" w:color="auto"/>
        <w:left w:val="none" w:sz="0" w:space="0" w:color="auto"/>
        <w:bottom w:val="none" w:sz="0" w:space="0" w:color="auto"/>
        <w:right w:val="none" w:sz="0" w:space="0" w:color="auto"/>
      </w:divBdr>
    </w:div>
    <w:div w:id="528374513">
      <w:bodyDiv w:val="1"/>
      <w:marLeft w:val="0"/>
      <w:marRight w:val="0"/>
      <w:marTop w:val="0"/>
      <w:marBottom w:val="0"/>
      <w:divBdr>
        <w:top w:val="none" w:sz="0" w:space="0" w:color="auto"/>
        <w:left w:val="none" w:sz="0" w:space="0" w:color="auto"/>
        <w:bottom w:val="none" w:sz="0" w:space="0" w:color="auto"/>
        <w:right w:val="none" w:sz="0" w:space="0" w:color="auto"/>
      </w:divBdr>
    </w:div>
    <w:div w:id="528563340">
      <w:bodyDiv w:val="1"/>
      <w:marLeft w:val="0"/>
      <w:marRight w:val="0"/>
      <w:marTop w:val="0"/>
      <w:marBottom w:val="0"/>
      <w:divBdr>
        <w:top w:val="none" w:sz="0" w:space="0" w:color="auto"/>
        <w:left w:val="none" w:sz="0" w:space="0" w:color="auto"/>
        <w:bottom w:val="none" w:sz="0" w:space="0" w:color="auto"/>
        <w:right w:val="none" w:sz="0" w:space="0" w:color="auto"/>
      </w:divBdr>
    </w:div>
    <w:div w:id="528564325">
      <w:bodyDiv w:val="1"/>
      <w:marLeft w:val="0"/>
      <w:marRight w:val="0"/>
      <w:marTop w:val="0"/>
      <w:marBottom w:val="0"/>
      <w:divBdr>
        <w:top w:val="none" w:sz="0" w:space="0" w:color="auto"/>
        <w:left w:val="none" w:sz="0" w:space="0" w:color="auto"/>
        <w:bottom w:val="none" w:sz="0" w:space="0" w:color="auto"/>
        <w:right w:val="none" w:sz="0" w:space="0" w:color="auto"/>
      </w:divBdr>
    </w:div>
    <w:div w:id="528762779">
      <w:bodyDiv w:val="1"/>
      <w:marLeft w:val="0"/>
      <w:marRight w:val="0"/>
      <w:marTop w:val="0"/>
      <w:marBottom w:val="0"/>
      <w:divBdr>
        <w:top w:val="none" w:sz="0" w:space="0" w:color="auto"/>
        <w:left w:val="none" w:sz="0" w:space="0" w:color="auto"/>
        <w:bottom w:val="none" w:sz="0" w:space="0" w:color="auto"/>
        <w:right w:val="none" w:sz="0" w:space="0" w:color="auto"/>
      </w:divBdr>
    </w:div>
    <w:div w:id="528764865">
      <w:bodyDiv w:val="1"/>
      <w:marLeft w:val="0"/>
      <w:marRight w:val="0"/>
      <w:marTop w:val="0"/>
      <w:marBottom w:val="0"/>
      <w:divBdr>
        <w:top w:val="none" w:sz="0" w:space="0" w:color="auto"/>
        <w:left w:val="none" w:sz="0" w:space="0" w:color="auto"/>
        <w:bottom w:val="none" w:sz="0" w:space="0" w:color="auto"/>
        <w:right w:val="none" w:sz="0" w:space="0" w:color="auto"/>
      </w:divBdr>
    </w:div>
    <w:div w:id="528841658">
      <w:bodyDiv w:val="1"/>
      <w:marLeft w:val="0"/>
      <w:marRight w:val="0"/>
      <w:marTop w:val="0"/>
      <w:marBottom w:val="0"/>
      <w:divBdr>
        <w:top w:val="none" w:sz="0" w:space="0" w:color="auto"/>
        <w:left w:val="none" w:sz="0" w:space="0" w:color="auto"/>
        <w:bottom w:val="none" w:sz="0" w:space="0" w:color="auto"/>
        <w:right w:val="none" w:sz="0" w:space="0" w:color="auto"/>
      </w:divBdr>
    </w:div>
    <w:div w:id="528875777">
      <w:bodyDiv w:val="1"/>
      <w:marLeft w:val="0"/>
      <w:marRight w:val="0"/>
      <w:marTop w:val="0"/>
      <w:marBottom w:val="0"/>
      <w:divBdr>
        <w:top w:val="none" w:sz="0" w:space="0" w:color="auto"/>
        <w:left w:val="none" w:sz="0" w:space="0" w:color="auto"/>
        <w:bottom w:val="none" w:sz="0" w:space="0" w:color="auto"/>
        <w:right w:val="none" w:sz="0" w:space="0" w:color="auto"/>
      </w:divBdr>
    </w:div>
    <w:div w:id="528882540">
      <w:bodyDiv w:val="1"/>
      <w:marLeft w:val="0"/>
      <w:marRight w:val="0"/>
      <w:marTop w:val="0"/>
      <w:marBottom w:val="0"/>
      <w:divBdr>
        <w:top w:val="none" w:sz="0" w:space="0" w:color="auto"/>
        <w:left w:val="none" w:sz="0" w:space="0" w:color="auto"/>
        <w:bottom w:val="none" w:sz="0" w:space="0" w:color="auto"/>
        <w:right w:val="none" w:sz="0" w:space="0" w:color="auto"/>
      </w:divBdr>
    </w:div>
    <w:div w:id="528883134">
      <w:bodyDiv w:val="1"/>
      <w:marLeft w:val="0"/>
      <w:marRight w:val="0"/>
      <w:marTop w:val="0"/>
      <w:marBottom w:val="0"/>
      <w:divBdr>
        <w:top w:val="none" w:sz="0" w:space="0" w:color="auto"/>
        <w:left w:val="none" w:sz="0" w:space="0" w:color="auto"/>
        <w:bottom w:val="none" w:sz="0" w:space="0" w:color="auto"/>
        <w:right w:val="none" w:sz="0" w:space="0" w:color="auto"/>
      </w:divBdr>
    </w:div>
    <w:div w:id="528951170">
      <w:bodyDiv w:val="1"/>
      <w:marLeft w:val="0"/>
      <w:marRight w:val="0"/>
      <w:marTop w:val="0"/>
      <w:marBottom w:val="0"/>
      <w:divBdr>
        <w:top w:val="none" w:sz="0" w:space="0" w:color="auto"/>
        <w:left w:val="none" w:sz="0" w:space="0" w:color="auto"/>
        <w:bottom w:val="none" w:sz="0" w:space="0" w:color="auto"/>
        <w:right w:val="none" w:sz="0" w:space="0" w:color="auto"/>
      </w:divBdr>
    </w:div>
    <w:div w:id="528954350">
      <w:bodyDiv w:val="1"/>
      <w:marLeft w:val="0"/>
      <w:marRight w:val="0"/>
      <w:marTop w:val="0"/>
      <w:marBottom w:val="0"/>
      <w:divBdr>
        <w:top w:val="none" w:sz="0" w:space="0" w:color="auto"/>
        <w:left w:val="none" w:sz="0" w:space="0" w:color="auto"/>
        <w:bottom w:val="none" w:sz="0" w:space="0" w:color="auto"/>
        <w:right w:val="none" w:sz="0" w:space="0" w:color="auto"/>
      </w:divBdr>
    </w:div>
    <w:div w:id="528954592">
      <w:bodyDiv w:val="1"/>
      <w:marLeft w:val="0"/>
      <w:marRight w:val="0"/>
      <w:marTop w:val="0"/>
      <w:marBottom w:val="0"/>
      <w:divBdr>
        <w:top w:val="none" w:sz="0" w:space="0" w:color="auto"/>
        <w:left w:val="none" w:sz="0" w:space="0" w:color="auto"/>
        <w:bottom w:val="none" w:sz="0" w:space="0" w:color="auto"/>
        <w:right w:val="none" w:sz="0" w:space="0" w:color="auto"/>
      </w:divBdr>
    </w:div>
    <w:div w:id="528955961">
      <w:bodyDiv w:val="1"/>
      <w:marLeft w:val="0"/>
      <w:marRight w:val="0"/>
      <w:marTop w:val="0"/>
      <w:marBottom w:val="0"/>
      <w:divBdr>
        <w:top w:val="none" w:sz="0" w:space="0" w:color="auto"/>
        <w:left w:val="none" w:sz="0" w:space="0" w:color="auto"/>
        <w:bottom w:val="none" w:sz="0" w:space="0" w:color="auto"/>
        <w:right w:val="none" w:sz="0" w:space="0" w:color="auto"/>
      </w:divBdr>
    </w:div>
    <w:div w:id="528957753">
      <w:bodyDiv w:val="1"/>
      <w:marLeft w:val="0"/>
      <w:marRight w:val="0"/>
      <w:marTop w:val="0"/>
      <w:marBottom w:val="0"/>
      <w:divBdr>
        <w:top w:val="none" w:sz="0" w:space="0" w:color="auto"/>
        <w:left w:val="none" w:sz="0" w:space="0" w:color="auto"/>
        <w:bottom w:val="none" w:sz="0" w:space="0" w:color="auto"/>
        <w:right w:val="none" w:sz="0" w:space="0" w:color="auto"/>
      </w:divBdr>
    </w:div>
    <w:div w:id="529033619">
      <w:bodyDiv w:val="1"/>
      <w:marLeft w:val="0"/>
      <w:marRight w:val="0"/>
      <w:marTop w:val="0"/>
      <w:marBottom w:val="0"/>
      <w:divBdr>
        <w:top w:val="none" w:sz="0" w:space="0" w:color="auto"/>
        <w:left w:val="none" w:sz="0" w:space="0" w:color="auto"/>
        <w:bottom w:val="none" w:sz="0" w:space="0" w:color="auto"/>
        <w:right w:val="none" w:sz="0" w:space="0" w:color="auto"/>
      </w:divBdr>
    </w:div>
    <w:div w:id="529076199">
      <w:bodyDiv w:val="1"/>
      <w:marLeft w:val="0"/>
      <w:marRight w:val="0"/>
      <w:marTop w:val="0"/>
      <w:marBottom w:val="0"/>
      <w:divBdr>
        <w:top w:val="none" w:sz="0" w:space="0" w:color="auto"/>
        <w:left w:val="none" w:sz="0" w:space="0" w:color="auto"/>
        <w:bottom w:val="none" w:sz="0" w:space="0" w:color="auto"/>
        <w:right w:val="none" w:sz="0" w:space="0" w:color="auto"/>
      </w:divBdr>
    </w:div>
    <w:div w:id="529143942">
      <w:bodyDiv w:val="1"/>
      <w:marLeft w:val="0"/>
      <w:marRight w:val="0"/>
      <w:marTop w:val="0"/>
      <w:marBottom w:val="0"/>
      <w:divBdr>
        <w:top w:val="none" w:sz="0" w:space="0" w:color="auto"/>
        <w:left w:val="none" w:sz="0" w:space="0" w:color="auto"/>
        <w:bottom w:val="none" w:sz="0" w:space="0" w:color="auto"/>
        <w:right w:val="none" w:sz="0" w:space="0" w:color="auto"/>
      </w:divBdr>
    </w:div>
    <w:div w:id="529219939">
      <w:bodyDiv w:val="1"/>
      <w:marLeft w:val="0"/>
      <w:marRight w:val="0"/>
      <w:marTop w:val="0"/>
      <w:marBottom w:val="0"/>
      <w:divBdr>
        <w:top w:val="none" w:sz="0" w:space="0" w:color="auto"/>
        <w:left w:val="none" w:sz="0" w:space="0" w:color="auto"/>
        <w:bottom w:val="none" w:sz="0" w:space="0" w:color="auto"/>
        <w:right w:val="none" w:sz="0" w:space="0" w:color="auto"/>
      </w:divBdr>
    </w:div>
    <w:div w:id="529294533">
      <w:bodyDiv w:val="1"/>
      <w:marLeft w:val="0"/>
      <w:marRight w:val="0"/>
      <w:marTop w:val="0"/>
      <w:marBottom w:val="0"/>
      <w:divBdr>
        <w:top w:val="none" w:sz="0" w:space="0" w:color="auto"/>
        <w:left w:val="none" w:sz="0" w:space="0" w:color="auto"/>
        <w:bottom w:val="none" w:sz="0" w:space="0" w:color="auto"/>
        <w:right w:val="none" w:sz="0" w:space="0" w:color="auto"/>
      </w:divBdr>
    </w:div>
    <w:div w:id="529343479">
      <w:bodyDiv w:val="1"/>
      <w:marLeft w:val="0"/>
      <w:marRight w:val="0"/>
      <w:marTop w:val="0"/>
      <w:marBottom w:val="0"/>
      <w:divBdr>
        <w:top w:val="none" w:sz="0" w:space="0" w:color="auto"/>
        <w:left w:val="none" w:sz="0" w:space="0" w:color="auto"/>
        <w:bottom w:val="none" w:sz="0" w:space="0" w:color="auto"/>
        <w:right w:val="none" w:sz="0" w:space="0" w:color="auto"/>
      </w:divBdr>
    </w:div>
    <w:div w:id="529412653">
      <w:bodyDiv w:val="1"/>
      <w:marLeft w:val="0"/>
      <w:marRight w:val="0"/>
      <w:marTop w:val="0"/>
      <w:marBottom w:val="0"/>
      <w:divBdr>
        <w:top w:val="none" w:sz="0" w:space="0" w:color="auto"/>
        <w:left w:val="none" w:sz="0" w:space="0" w:color="auto"/>
        <w:bottom w:val="none" w:sz="0" w:space="0" w:color="auto"/>
        <w:right w:val="none" w:sz="0" w:space="0" w:color="auto"/>
      </w:divBdr>
    </w:div>
    <w:div w:id="529413733">
      <w:bodyDiv w:val="1"/>
      <w:marLeft w:val="0"/>
      <w:marRight w:val="0"/>
      <w:marTop w:val="0"/>
      <w:marBottom w:val="0"/>
      <w:divBdr>
        <w:top w:val="none" w:sz="0" w:space="0" w:color="auto"/>
        <w:left w:val="none" w:sz="0" w:space="0" w:color="auto"/>
        <w:bottom w:val="none" w:sz="0" w:space="0" w:color="auto"/>
        <w:right w:val="none" w:sz="0" w:space="0" w:color="auto"/>
      </w:divBdr>
    </w:div>
    <w:div w:id="529496509">
      <w:bodyDiv w:val="1"/>
      <w:marLeft w:val="0"/>
      <w:marRight w:val="0"/>
      <w:marTop w:val="0"/>
      <w:marBottom w:val="0"/>
      <w:divBdr>
        <w:top w:val="none" w:sz="0" w:space="0" w:color="auto"/>
        <w:left w:val="none" w:sz="0" w:space="0" w:color="auto"/>
        <w:bottom w:val="none" w:sz="0" w:space="0" w:color="auto"/>
        <w:right w:val="none" w:sz="0" w:space="0" w:color="auto"/>
      </w:divBdr>
    </w:div>
    <w:div w:id="529539522">
      <w:bodyDiv w:val="1"/>
      <w:marLeft w:val="0"/>
      <w:marRight w:val="0"/>
      <w:marTop w:val="0"/>
      <w:marBottom w:val="0"/>
      <w:divBdr>
        <w:top w:val="none" w:sz="0" w:space="0" w:color="auto"/>
        <w:left w:val="none" w:sz="0" w:space="0" w:color="auto"/>
        <w:bottom w:val="none" w:sz="0" w:space="0" w:color="auto"/>
        <w:right w:val="none" w:sz="0" w:space="0" w:color="auto"/>
      </w:divBdr>
    </w:div>
    <w:div w:id="529682724">
      <w:bodyDiv w:val="1"/>
      <w:marLeft w:val="0"/>
      <w:marRight w:val="0"/>
      <w:marTop w:val="0"/>
      <w:marBottom w:val="0"/>
      <w:divBdr>
        <w:top w:val="none" w:sz="0" w:space="0" w:color="auto"/>
        <w:left w:val="none" w:sz="0" w:space="0" w:color="auto"/>
        <w:bottom w:val="none" w:sz="0" w:space="0" w:color="auto"/>
        <w:right w:val="none" w:sz="0" w:space="0" w:color="auto"/>
      </w:divBdr>
    </w:div>
    <w:div w:id="529686000">
      <w:bodyDiv w:val="1"/>
      <w:marLeft w:val="0"/>
      <w:marRight w:val="0"/>
      <w:marTop w:val="0"/>
      <w:marBottom w:val="0"/>
      <w:divBdr>
        <w:top w:val="none" w:sz="0" w:space="0" w:color="auto"/>
        <w:left w:val="none" w:sz="0" w:space="0" w:color="auto"/>
        <w:bottom w:val="none" w:sz="0" w:space="0" w:color="auto"/>
        <w:right w:val="none" w:sz="0" w:space="0" w:color="auto"/>
      </w:divBdr>
    </w:div>
    <w:div w:id="529689458">
      <w:bodyDiv w:val="1"/>
      <w:marLeft w:val="0"/>
      <w:marRight w:val="0"/>
      <w:marTop w:val="0"/>
      <w:marBottom w:val="0"/>
      <w:divBdr>
        <w:top w:val="none" w:sz="0" w:space="0" w:color="auto"/>
        <w:left w:val="none" w:sz="0" w:space="0" w:color="auto"/>
        <w:bottom w:val="none" w:sz="0" w:space="0" w:color="auto"/>
        <w:right w:val="none" w:sz="0" w:space="0" w:color="auto"/>
      </w:divBdr>
    </w:div>
    <w:div w:id="529729586">
      <w:bodyDiv w:val="1"/>
      <w:marLeft w:val="0"/>
      <w:marRight w:val="0"/>
      <w:marTop w:val="0"/>
      <w:marBottom w:val="0"/>
      <w:divBdr>
        <w:top w:val="none" w:sz="0" w:space="0" w:color="auto"/>
        <w:left w:val="none" w:sz="0" w:space="0" w:color="auto"/>
        <w:bottom w:val="none" w:sz="0" w:space="0" w:color="auto"/>
        <w:right w:val="none" w:sz="0" w:space="0" w:color="auto"/>
      </w:divBdr>
    </w:div>
    <w:div w:id="529804000">
      <w:bodyDiv w:val="1"/>
      <w:marLeft w:val="0"/>
      <w:marRight w:val="0"/>
      <w:marTop w:val="0"/>
      <w:marBottom w:val="0"/>
      <w:divBdr>
        <w:top w:val="none" w:sz="0" w:space="0" w:color="auto"/>
        <w:left w:val="none" w:sz="0" w:space="0" w:color="auto"/>
        <w:bottom w:val="none" w:sz="0" w:space="0" w:color="auto"/>
        <w:right w:val="none" w:sz="0" w:space="0" w:color="auto"/>
      </w:divBdr>
    </w:div>
    <w:div w:id="529806795">
      <w:bodyDiv w:val="1"/>
      <w:marLeft w:val="0"/>
      <w:marRight w:val="0"/>
      <w:marTop w:val="0"/>
      <w:marBottom w:val="0"/>
      <w:divBdr>
        <w:top w:val="none" w:sz="0" w:space="0" w:color="auto"/>
        <w:left w:val="none" w:sz="0" w:space="0" w:color="auto"/>
        <w:bottom w:val="none" w:sz="0" w:space="0" w:color="auto"/>
        <w:right w:val="none" w:sz="0" w:space="0" w:color="auto"/>
      </w:divBdr>
    </w:div>
    <w:div w:id="529952422">
      <w:bodyDiv w:val="1"/>
      <w:marLeft w:val="0"/>
      <w:marRight w:val="0"/>
      <w:marTop w:val="0"/>
      <w:marBottom w:val="0"/>
      <w:divBdr>
        <w:top w:val="none" w:sz="0" w:space="0" w:color="auto"/>
        <w:left w:val="none" w:sz="0" w:space="0" w:color="auto"/>
        <w:bottom w:val="none" w:sz="0" w:space="0" w:color="auto"/>
        <w:right w:val="none" w:sz="0" w:space="0" w:color="auto"/>
      </w:divBdr>
    </w:div>
    <w:div w:id="529952746">
      <w:bodyDiv w:val="1"/>
      <w:marLeft w:val="0"/>
      <w:marRight w:val="0"/>
      <w:marTop w:val="0"/>
      <w:marBottom w:val="0"/>
      <w:divBdr>
        <w:top w:val="none" w:sz="0" w:space="0" w:color="auto"/>
        <w:left w:val="none" w:sz="0" w:space="0" w:color="auto"/>
        <w:bottom w:val="none" w:sz="0" w:space="0" w:color="auto"/>
        <w:right w:val="none" w:sz="0" w:space="0" w:color="auto"/>
      </w:divBdr>
    </w:div>
    <w:div w:id="529954174">
      <w:bodyDiv w:val="1"/>
      <w:marLeft w:val="0"/>
      <w:marRight w:val="0"/>
      <w:marTop w:val="0"/>
      <w:marBottom w:val="0"/>
      <w:divBdr>
        <w:top w:val="none" w:sz="0" w:space="0" w:color="auto"/>
        <w:left w:val="none" w:sz="0" w:space="0" w:color="auto"/>
        <w:bottom w:val="none" w:sz="0" w:space="0" w:color="auto"/>
        <w:right w:val="none" w:sz="0" w:space="0" w:color="auto"/>
      </w:divBdr>
    </w:div>
    <w:div w:id="530001565">
      <w:bodyDiv w:val="1"/>
      <w:marLeft w:val="0"/>
      <w:marRight w:val="0"/>
      <w:marTop w:val="0"/>
      <w:marBottom w:val="0"/>
      <w:divBdr>
        <w:top w:val="none" w:sz="0" w:space="0" w:color="auto"/>
        <w:left w:val="none" w:sz="0" w:space="0" w:color="auto"/>
        <w:bottom w:val="none" w:sz="0" w:space="0" w:color="auto"/>
        <w:right w:val="none" w:sz="0" w:space="0" w:color="auto"/>
      </w:divBdr>
    </w:div>
    <w:div w:id="530069429">
      <w:bodyDiv w:val="1"/>
      <w:marLeft w:val="0"/>
      <w:marRight w:val="0"/>
      <w:marTop w:val="0"/>
      <w:marBottom w:val="0"/>
      <w:divBdr>
        <w:top w:val="none" w:sz="0" w:space="0" w:color="auto"/>
        <w:left w:val="none" w:sz="0" w:space="0" w:color="auto"/>
        <w:bottom w:val="none" w:sz="0" w:space="0" w:color="auto"/>
        <w:right w:val="none" w:sz="0" w:space="0" w:color="auto"/>
      </w:divBdr>
    </w:div>
    <w:div w:id="530191561">
      <w:bodyDiv w:val="1"/>
      <w:marLeft w:val="0"/>
      <w:marRight w:val="0"/>
      <w:marTop w:val="0"/>
      <w:marBottom w:val="0"/>
      <w:divBdr>
        <w:top w:val="none" w:sz="0" w:space="0" w:color="auto"/>
        <w:left w:val="none" w:sz="0" w:space="0" w:color="auto"/>
        <w:bottom w:val="none" w:sz="0" w:space="0" w:color="auto"/>
        <w:right w:val="none" w:sz="0" w:space="0" w:color="auto"/>
      </w:divBdr>
    </w:div>
    <w:div w:id="530340012">
      <w:bodyDiv w:val="1"/>
      <w:marLeft w:val="0"/>
      <w:marRight w:val="0"/>
      <w:marTop w:val="0"/>
      <w:marBottom w:val="0"/>
      <w:divBdr>
        <w:top w:val="none" w:sz="0" w:space="0" w:color="auto"/>
        <w:left w:val="none" w:sz="0" w:space="0" w:color="auto"/>
        <w:bottom w:val="none" w:sz="0" w:space="0" w:color="auto"/>
        <w:right w:val="none" w:sz="0" w:space="0" w:color="auto"/>
      </w:divBdr>
    </w:div>
    <w:div w:id="530345266">
      <w:bodyDiv w:val="1"/>
      <w:marLeft w:val="0"/>
      <w:marRight w:val="0"/>
      <w:marTop w:val="0"/>
      <w:marBottom w:val="0"/>
      <w:divBdr>
        <w:top w:val="none" w:sz="0" w:space="0" w:color="auto"/>
        <w:left w:val="none" w:sz="0" w:space="0" w:color="auto"/>
        <w:bottom w:val="none" w:sz="0" w:space="0" w:color="auto"/>
        <w:right w:val="none" w:sz="0" w:space="0" w:color="auto"/>
      </w:divBdr>
    </w:div>
    <w:div w:id="530386630">
      <w:bodyDiv w:val="1"/>
      <w:marLeft w:val="0"/>
      <w:marRight w:val="0"/>
      <w:marTop w:val="0"/>
      <w:marBottom w:val="0"/>
      <w:divBdr>
        <w:top w:val="none" w:sz="0" w:space="0" w:color="auto"/>
        <w:left w:val="none" w:sz="0" w:space="0" w:color="auto"/>
        <w:bottom w:val="none" w:sz="0" w:space="0" w:color="auto"/>
        <w:right w:val="none" w:sz="0" w:space="0" w:color="auto"/>
      </w:divBdr>
    </w:div>
    <w:div w:id="530455215">
      <w:bodyDiv w:val="1"/>
      <w:marLeft w:val="0"/>
      <w:marRight w:val="0"/>
      <w:marTop w:val="0"/>
      <w:marBottom w:val="0"/>
      <w:divBdr>
        <w:top w:val="none" w:sz="0" w:space="0" w:color="auto"/>
        <w:left w:val="none" w:sz="0" w:space="0" w:color="auto"/>
        <w:bottom w:val="none" w:sz="0" w:space="0" w:color="auto"/>
        <w:right w:val="none" w:sz="0" w:space="0" w:color="auto"/>
      </w:divBdr>
    </w:div>
    <w:div w:id="530455289">
      <w:bodyDiv w:val="1"/>
      <w:marLeft w:val="0"/>
      <w:marRight w:val="0"/>
      <w:marTop w:val="0"/>
      <w:marBottom w:val="0"/>
      <w:divBdr>
        <w:top w:val="none" w:sz="0" w:space="0" w:color="auto"/>
        <w:left w:val="none" w:sz="0" w:space="0" w:color="auto"/>
        <w:bottom w:val="none" w:sz="0" w:space="0" w:color="auto"/>
        <w:right w:val="none" w:sz="0" w:space="0" w:color="auto"/>
      </w:divBdr>
    </w:div>
    <w:div w:id="530462452">
      <w:bodyDiv w:val="1"/>
      <w:marLeft w:val="0"/>
      <w:marRight w:val="0"/>
      <w:marTop w:val="0"/>
      <w:marBottom w:val="0"/>
      <w:divBdr>
        <w:top w:val="none" w:sz="0" w:space="0" w:color="auto"/>
        <w:left w:val="none" w:sz="0" w:space="0" w:color="auto"/>
        <w:bottom w:val="none" w:sz="0" w:space="0" w:color="auto"/>
        <w:right w:val="none" w:sz="0" w:space="0" w:color="auto"/>
      </w:divBdr>
    </w:div>
    <w:div w:id="530656022">
      <w:bodyDiv w:val="1"/>
      <w:marLeft w:val="0"/>
      <w:marRight w:val="0"/>
      <w:marTop w:val="0"/>
      <w:marBottom w:val="0"/>
      <w:divBdr>
        <w:top w:val="none" w:sz="0" w:space="0" w:color="auto"/>
        <w:left w:val="none" w:sz="0" w:space="0" w:color="auto"/>
        <w:bottom w:val="none" w:sz="0" w:space="0" w:color="auto"/>
        <w:right w:val="none" w:sz="0" w:space="0" w:color="auto"/>
      </w:divBdr>
    </w:div>
    <w:div w:id="530799895">
      <w:bodyDiv w:val="1"/>
      <w:marLeft w:val="0"/>
      <w:marRight w:val="0"/>
      <w:marTop w:val="0"/>
      <w:marBottom w:val="0"/>
      <w:divBdr>
        <w:top w:val="none" w:sz="0" w:space="0" w:color="auto"/>
        <w:left w:val="none" w:sz="0" w:space="0" w:color="auto"/>
        <w:bottom w:val="none" w:sz="0" w:space="0" w:color="auto"/>
        <w:right w:val="none" w:sz="0" w:space="0" w:color="auto"/>
      </w:divBdr>
    </w:div>
    <w:div w:id="530805217">
      <w:bodyDiv w:val="1"/>
      <w:marLeft w:val="0"/>
      <w:marRight w:val="0"/>
      <w:marTop w:val="0"/>
      <w:marBottom w:val="0"/>
      <w:divBdr>
        <w:top w:val="none" w:sz="0" w:space="0" w:color="auto"/>
        <w:left w:val="none" w:sz="0" w:space="0" w:color="auto"/>
        <w:bottom w:val="none" w:sz="0" w:space="0" w:color="auto"/>
        <w:right w:val="none" w:sz="0" w:space="0" w:color="auto"/>
      </w:divBdr>
    </w:div>
    <w:div w:id="530806294">
      <w:bodyDiv w:val="1"/>
      <w:marLeft w:val="0"/>
      <w:marRight w:val="0"/>
      <w:marTop w:val="0"/>
      <w:marBottom w:val="0"/>
      <w:divBdr>
        <w:top w:val="none" w:sz="0" w:space="0" w:color="auto"/>
        <w:left w:val="none" w:sz="0" w:space="0" w:color="auto"/>
        <w:bottom w:val="none" w:sz="0" w:space="0" w:color="auto"/>
        <w:right w:val="none" w:sz="0" w:space="0" w:color="auto"/>
      </w:divBdr>
    </w:div>
    <w:div w:id="530918492">
      <w:bodyDiv w:val="1"/>
      <w:marLeft w:val="0"/>
      <w:marRight w:val="0"/>
      <w:marTop w:val="0"/>
      <w:marBottom w:val="0"/>
      <w:divBdr>
        <w:top w:val="none" w:sz="0" w:space="0" w:color="auto"/>
        <w:left w:val="none" w:sz="0" w:space="0" w:color="auto"/>
        <w:bottom w:val="none" w:sz="0" w:space="0" w:color="auto"/>
        <w:right w:val="none" w:sz="0" w:space="0" w:color="auto"/>
      </w:divBdr>
    </w:div>
    <w:div w:id="530923349">
      <w:bodyDiv w:val="1"/>
      <w:marLeft w:val="0"/>
      <w:marRight w:val="0"/>
      <w:marTop w:val="0"/>
      <w:marBottom w:val="0"/>
      <w:divBdr>
        <w:top w:val="none" w:sz="0" w:space="0" w:color="auto"/>
        <w:left w:val="none" w:sz="0" w:space="0" w:color="auto"/>
        <w:bottom w:val="none" w:sz="0" w:space="0" w:color="auto"/>
        <w:right w:val="none" w:sz="0" w:space="0" w:color="auto"/>
      </w:divBdr>
    </w:div>
    <w:div w:id="530923780">
      <w:bodyDiv w:val="1"/>
      <w:marLeft w:val="0"/>
      <w:marRight w:val="0"/>
      <w:marTop w:val="0"/>
      <w:marBottom w:val="0"/>
      <w:divBdr>
        <w:top w:val="none" w:sz="0" w:space="0" w:color="auto"/>
        <w:left w:val="none" w:sz="0" w:space="0" w:color="auto"/>
        <w:bottom w:val="none" w:sz="0" w:space="0" w:color="auto"/>
        <w:right w:val="none" w:sz="0" w:space="0" w:color="auto"/>
      </w:divBdr>
    </w:div>
    <w:div w:id="531113684">
      <w:bodyDiv w:val="1"/>
      <w:marLeft w:val="0"/>
      <w:marRight w:val="0"/>
      <w:marTop w:val="0"/>
      <w:marBottom w:val="0"/>
      <w:divBdr>
        <w:top w:val="none" w:sz="0" w:space="0" w:color="auto"/>
        <w:left w:val="none" w:sz="0" w:space="0" w:color="auto"/>
        <w:bottom w:val="none" w:sz="0" w:space="0" w:color="auto"/>
        <w:right w:val="none" w:sz="0" w:space="0" w:color="auto"/>
      </w:divBdr>
    </w:div>
    <w:div w:id="531118132">
      <w:bodyDiv w:val="1"/>
      <w:marLeft w:val="0"/>
      <w:marRight w:val="0"/>
      <w:marTop w:val="0"/>
      <w:marBottom w:val="0"/>
      <w:divBdr>
        <w:top w:val="none" w:sz="0" w:space="0" w:color="auto"/>
        <w:left w:val="none" w:sz="0" w:space="0" w:color="auto"/>
        <w:bottom w:val="none" w:sz="0" w:space="0" w:color="auto"/>
        <w:right w:val="none" w:sz="0" w:space="0" w:color="auto"/>
      </w:divBdr>
    </w:div>
    <w:div w:id="531191738">
      <w:bodyDiv w:val="1"/>
      <w:marLeft w:val="0"/>
      <w:marRight w:val="0"/>
      <w:marTop w:val="0"/>
      <w:marBottom w:val="0"/>
      <w:divBdr>
        <w:top w:val="none" w:sz="0" w:space="0" w:color="auto"/>
        <w:left w:val="none" w:sz="0" w:space="0" w:color="auto"/>
        <w:bottom w:val="none" w:sz="0" w:space="0" w:color="auto"/>
        <w:right w:val="none" w:sz="0" w:space="0" w:color="auto"/>
      </w:divBdr>
    </w:div>
    <w:div w:id="531303242">
      <w:bodyDiv w:val="1"/>
      <w:marLeft w:val="0"/>
      <w:marRight w:val="0"/>
      <w:marTop w:val="0"/>
      <w:marBottom w:val="0"/>
      <w:divBdr>
        <w:top w:val="none" w:sz="0" w:space="0" w:color="auto"/>
        <w:left w:val="none" w:sz="0" w:space="0" w:color="auto"/>
        <w:bottom w:val="none" w:sz="0" w:space="0" w:color="auto"/>
        <w:right w:val="none" w:sz="0" w:space="0" w:color="auto"/>
      </w:divBdr>
    </w:div>
    <w:div w:id="531306065">
      <w:bodyDiv w:val="1"/>
      <w:marLeft w:val="0"/>
      <w:marRight w:val="0"/>
      <w:marTop w:val="0"/>
      <w:marBottom w:val="0"/>
      <w:divBdr>
        <w:top w:val="none" w:sz="0" w:space="0" w:color="auto"/>
        <w:left w:val="none" w:sz="0" w:space="0" w:color="auto"/>
        <w:bottom w:val="none" w:sz="0" w:space="0" w:color="auto"/>
        <w:right w:val="none" w:sz="0" w:space="0" w:color="auto"/>
      </w:divBdr>
    </w:div>
    <w:div w:id="531499294">
      <w:bodyDiv w:val="1"/>
      <w:marLeft w:val="0"/>
      <w:marRight w:val="0"/>
      <w:marTop w:val="0"/>
      <w:marBottom w:val="0"/>
      <w:divBdr>
        <w:top w:val="none" w:sz="0" w:space="0" w:color="auto"/>
        <w:left w:val="none" w:sz="0" w:space="0" w:color="auto"/>
        <w:bottom w:val="none" w:sz="0" w:space="0" w:color="auto"/>
        <w:right w:val="none" w:sz="0" w:space="0" w:color="auto"/>
      </w:divBdr>
    </w:div>
    <w:div w:id="531500044">
      <w:bodyDiv w:val="1"/>
      <w:marLeft w:val="0"/>
      <w:marRight w:val="0"/>
      <w:marTop w:val="0"/>
      <w:marBottom w:val="0"/>
      <w:divBdr>
        <w:top w:val="none" w:sz="0" w:space="0" w:color="auto"/>
        <w:left w:val="none" w:sz="0" w:space="0" w:color="auto"/>
        <w:bottom w:val="none" w:sz="0" w:space="0" w:color="auto"/>
        <w:right w:val="none" w:sz="0" w:space="0" w:color="auto"/>
      </w:divBdr>
    </w:div>
    <w:div w:id="531529269">
      <w:bodyDiv w:val="1"/>
      <w:marLeft w:val="0"/>
      <w:marRight w:val="0"/>
      <w:marTop w:val="0"/>
      <w:marBottom w:val="0"/>
      <w:divBdr>
        <w:top w:val="none" w:sz="0" w:space="0" w:color="auto"/>
        <w:left w:val="none" w:sz="0" w:space="0" w:color="auto"/>
        <w:bottom w:val="none" w:sz="0" w:space="0" w:color="auto"/>
        <w:right w:val="none" w:sz="0" w:space="0" w:color="auto"/>
      </w:divBdr>
    </w:div>
    <w:div w:id="531575962">
      <w:bodyDiv w:val="1"/>
      <w:marLeft w:val="0"/>
      <w:marRight w:val="0"/>
      <w:marTop w:val="0"/>
      <w:marBottom w:val="0"/>
      <w:divBdr>
        <w:top w:val="none" w:sz="0" w:space="0" w:color="auto"/>
        <w:left w:val="none" w:sz="0" w:space="0" w:color="auto"/>
        <w:bottom w:val="none" w:sz="0" w:space="0" w:color="auto"/>
        <w:right w:val="none" w:sz="0" w:space="0" w:color="auto"/>
      </w:divBdr>
    </w:div>
    <w:div w:id="531652744">
      <w:bodyDiv w:val="1"/>
      <w:marLeft w:val="0"/>
      <w:marRight w:val="0"/>
      <w:marTop w:val="0"/>
      <w:marBottom w:val="0"/>
      <w:divBdr>
        <w:top w:val="none" w:sz="0" w:space="0" w:color="auto"/>
        <w:left w:val="none" w:sz="0" w:space="0" w:color="auto"/>
        <w:bottom w:val="none" w:sz="0" w:space="0" w:color="auto"/>
        <w:right w:val="none" w:sz="0" w:space="0" w:color="auto"/>
      </w:divBdr>
    </w:div>
    <w:div w:id="532037565">
      <w:bodyDiv w:val="1"/>
      <w:marLeft w:val="0"/>
      <w:marRight w:val="0"/>
      <w:marTop w:val="0"/>
      <w:marBottom w:val="0"/>
      <w:divBdr>
        <w:top w:val="none" w:sz="0" w:space="0" w:color="auto"/>
        <w:left w:val="none" w:sz="0" w:space="0" w:color="auto"/>
        <w:bottom w:val="none" w:sz="0" w:space="0" w:color="auto"/>
        <w:right w:val="none" w:sz="0" w:space="0" w:color="auto"/>
      </w:divBdr>
    </w:div>
    <w:div w:id="532233963">
      <w:bodyDiv w:val="1"/>
      <w:marLeft w:val="0"/>
      <w:marRight w:val="0"/>
      <w:marTop w:val="0"/>
      <w:marBottom w:val="0"/>
      <w:divBdr>
        <w:top w:val="none" w:sz="0" w:space="0" w:color="auto"/>
        <w:left w:val="none" w:sz="0" w:space="0" w:color="auto"/>
        <w:bottom w:val="none" w:sz="0" w:space="0" w:color="auto"/>
        <w:right w:val="none" w:sz="0" w:space="0" w:color="auto"/>
      </w:divBdr>
    </w:div>
    <w:div w:id="532304780">
      <w:bodyDiv w:val="1"/>
      <w:marLeft w:val="0"/>
      <w:marRight w:val="0"/>
      <w:marTop w:val="0"/>
      <w:marBottom w:val="0"/>
      <w:divBdr>
        <w:top w:val="none" w:sz="0" w:space="0" w:color="auto"/>
        <w:left w:val="none" w:sz="0" w:space="0" w:color="auto"/>
        <w:bottom w:val="none" w:sz="0" w:space="0" w:color="auto"/>
        <w:right w:val="none" w:sz="0" w:space="0" w:color="auto"/>
      </w:divBdr>
    </w:div>
    <w:div w:id="532305613">
      <w:bodyDiv w:val="1"/>
      <w:marLeft w:val="0"/>
      <w:marRight w:val="0"/>
      <w:marTop w:val="0"/>
      <w:marBottom w:val="0"/>
      <w:divBdr>
        <w:top w:val="none" w:sz="0" w:space="0" w:color="auto"/>
        <w:left w:val="none" w:sz="0" w:space="0" w:color="auto"/>
        <w:bottom w:val="none" w:sz="0" w:space="0" w:color="auto"/>
        <w:right w:val="none" w:sz="0" w:space="0" w:color="auto"/>
      </w:divBdr>
    </w:div>
    <w:div w:id="532349091">
      <w:bodyDiv w:val="1"/>
      <w:marLeft w:val="0"/>
      <w:marRight w:val="0"/>
      <w:marTop w:val="0"/>
      <w:marBottom w:val="0"/>
      <w:divBdr>
        <w:top w:val="none" w:sz="0" w:space="0" w:color="auto"/>
        <w:left w:val="none" w:sz="0" w:space="0" w:color="auto"/>
        <w:bottom w:val="none" w:sz="0" w:space="0" w:color="auto"/>
        <w:right w:val="none" w:sz="0" w:space="0" w:color="auto"/>
      </w:divBdr>
    </w:div>
    <w:div w:id="532350585">
      <w:bodyDiv w:val="1"/>
      <w:marLeft w:val="0"/>
      <w:marRight w:val="0"/>
      <w:marTop w:val="0"/>
      <w:marBottom w:val="0"/>
      <w:divBdr>
        <w:top w:val="none" w:sz="0" w:space="0" w:color="auto"/>
        <w:left w:val="none" w:sz="0" w:space="0" w:color="auto"/>
        <w:bottom w:val="none" w:sz="0" w:space="0" w:color="auto"/>
        <w:right w:val="none" w:sz="0" w:space="0" w:color="auto"/>
      </w:divBdr>
    </w:div>
    <w:div w:id="532571092">
      <w:bodyDiv w:val="1"/>
      <w:marLeft w:val="0"/>
      <w:marRight w:val="0"/>
      <w:marTop w:val="0"/>
      <w:marBottom w:val="0"/>
      <w:divBdr>
        <w:top w:val="none" w:sz="0" w:space="0" w:color="auto"/>
        <w:left w:val="none" w:sz="0" w:space="0" w:color="auto"/>
        <w:bottom w:val="none" w:sz="0" w:space="0" w:color="auto"/>
        <w:right w:val="none" w:sz="0" w:space="0" w:color="auto"/>
      </w:divBdr>
    </w:div>
    <w:div w:id="532573308">
      <w:bodyDiv w:val="1"/>
      <w:marLeft w:val="0"/>
      <w:marRight w:val="0"/>
      <w:marTop w:val="0"/>
      <w:marBottom w:val="0"/>
      <w:divBdr>
        <w:top w:val="none" w:sz="0" w:space="0" w:color="auto"/>
        <w:left w:val="none" w:sz="0" w:space="0" w:color="auto"/>
        <w:bottom w:val="none" w:sz="0" w:space="0" w:color="auto"/>
        <w:right w:val="none" w:sz="0" w:space="0" w:color="auto"/>
      </w:divBdr>
    </w:div>
    <w:div w:id="532619070">
      <w:bodyDiv w:val="1"/>
      <w:marLeft w:val="0"/>
      <w:marRight w:val="0"/>
      <w:marTop w:val="0"/>
      <w:marBottom w:val="0"/>
      <w:divBdr>
        <w:top w:val="none" w:sz="0" w:space="0" w:color="auto"/>
        <w:left w:val="none" w:sz="0" w:space="0" w:color="auto"/>
        <w:bottom w:val="none" w:sz="0" w:space="0" w:color="auto"/>
        <w:right w:val="none" w:sz="0" w:space="0" w:color="auto"/>
      </w:divBdr>
    </w:div>
    <w:div w:id="532694278">
      <w:bodyDiv w:val="1"/>
      <w:marLeft w:val="0"/>
      <w:marRight w:val="0"/>
      <w:marTop w:val="0"/>
      <w:marBottom w:val="0"/>
      <w:divBdr>
        <w:top w:val="none" w:sz="0" w:space="0" w:color="auto"/>
        <w:left w:val="none" w:sz="0" w:space="0" w:color="auto"/>
        <w:bottom w:val="none" w:sz="0" w:space="0" w:color="auto"/>
        <w:right w:val="none" w:sz="0" w:space="0" w:color="auto"/>
      </w:divBdr>
    </w:div>
    <w:div w:id="532807963">
      <w:bodyDiv w:val="1"/>
      <w:marLeft w:val="0"/>
      <w:marRight w:val="0"/>
      <w:marTop w:val="0"/>
      <w:marBottom w:val="0"/>
      <w:divBdr>
        <w:top w:val="none" w:sz="0" w:space="0" w:color="auto"/>
        <w:left w:val="none" w:sz="0" w:space="0" w:color="auto"/>
        <w:bottom w:val="none" w:sz="0" w:space="0" w:color="auto"/>
        <w:right w:val="none" w:sz="0" w:space="0" w:color="auto"/>
      </w:divBdr>
    </w:div>
    <w:div w:id="532810745">
      <w:bodyDiv w:val="1"/>
      <w:marLeft w:val="0"/>
      <w:marRight w:val="0"/>
      <w:marTop w:val="0"/>
      <w:marBottom w:val="0"/>
      <w:divBdr>
        <w:top w:val="none" w:sz="0" w:space="0" w:color="auto"/>
        <w:left w:val="none" w:sz="0" w:space="0" w:color="auto"/>
        <w:bottom w:val="none" w:sz="0" w:space="0" w:color="auto"/>
        <w:right w:val="none" w:sz="0" w:space="0" w:color="auto"/>
      </w:divBdr>
    </w:div>
    <w:div w:id="532812729">
      <w:bodyDiv w:val="1"/>
      <w:marLeft w:val="0"/>
      <w:marRight w:val="0"/>
      <w:marTop w:val="0"/>
      <w:marBottom w:val="0"/>
      <w:divBdr>
        <w:top w:val="none" w:sz="0" w:space="0" w:color="auto"/>
        <w:left w:val="none" w:sz="0" w:space="0" w:color="auto"/>
        <w:bottom w:val="none" w:sz="0" w:space="0" w:color="auto"/>
        <w:right w:val="none" w:sz="0" w:space="0" w:color="auto"/>
      </w:divBdr>
    </w:div>
    <w:div w:id="532883989">
      <w:bodyDiv w:val="1"/>
      <w:marLeft w:val="0"/>
      <w:marRight w:val="0"/>
      <w:marTop w:val="0"/>
      <w:marBottom w:val="0"/>
      <w:divBdr>
        <w:top w:val="none" w:sz="0" w:space="0" w:color="auto"/>
        <w:left w:val="none" w:sz="0" w:space="0" w:color="auto"/>
        <w:bottom w:val="none" w:sz="0" w:space="0" w:color="auto"/>
        <w:right w:val="none" w:sz="0" w:space="0" w:color="auto"/>
      </w:divBdr>
    </w:div>
    <w:div w:id="532890406">
      <w:bodyDiv w:val="1"/>
      <w:marLeft w:val="0"/>
      <w:marRight w:val="0"/>
      <w:marTop w:val="0"/>
      <w:marBottom w:val="0"/>
      <w:divBdr>
        <w:top w:val="none" w:sz="0" w:space="0" w:color="auto"/>
        <w:left w:val="none" w:sz="0" w:space="0" w:color="auto"/>
        <w:bottom w:val="none" w:sz="0" w:space="0" w:color="auto"/>
        <w:right w:val="none" w:sz="0" w:space="0" w:color="auto"/>
      </w:divBdr>
    </w:div>
    <w:div w:id="532963312">
      <w:bodyDiv w:val="1"/>
      <w:marLeft w:val="0"/>
      <w:marRight w:val="0"/>
      <w:marTop w:val="0"/>
      <w:marBottom w:val="0"/>
      <w:divBdr>
        <w:top w:val="none" w:sz="0" w:space="0" w:color="auto"/>
        <w:left w:val="none" w:sz="0" w:space="0" w:color="auto"/>
        <w:bottom w:val="none" w:sz="0" w:space="0" w:color="auto"/>
        <w:right w:val="none" w:sz="0" w:space="0" w:color="auto"/>
      </w:divBdr>
    </w:div>
    <w:div w:id="533034278">
      <w:bodyDiv w:val="1"/>
      <w:marLeft w:val="0"/>
      <w:marRight w:val="0"/>
      <w:marTop w:val="0"/>
      <w:marBottom w:val="0"/>
      <w:divBdr>
        <w:top w:val="none" w:sz="0" w:space="0" w:color="auto"/>
        <w:left w:val="none" w:sz="0" w:space="0" w:color="auto"/>
        <w:bottom w:val="none" w:sz="0" w:space="0" w:color="auto"/>
        <w:right w:val="none" w:sz="0" w:space="0" w:color="auto"/>
      </w:divBdr>
    </w:div>
    <w:div w:id="533078221">
      <w:bodyDiv w:val="1"/>
      <w:marLeft w:val="0"/>
      <w:marRight w:val="0"/>
      <w:marTop w:val="0"/>
      <w:marBottom w:val="0"/>
      <w:divBdr>
        <w:top w:val="none" w:sz="0" w:space="0" w:color="auto"/>
        <w:left w:val="none" w:sz="0" w:space="0" w:color="auto"/>
        <w:bottom w:val="none" w:sz="0" w:space="0" w:color="auto"/>
        <w:right w:val="none" w:sz="0" w:space="0" w:color="auto"/>
      </w:divBdr>
    </w:div>
    <w:div w:id="533082198">
      <w:bodyDiv w:val="1"/>
      <w:marLeft w:val="0"/>
      <w:marRight w:val="0"/>
      <w:marTop w:val="0"/>
      <w:marBottom w:val="0"/>
      <w:divBdr>
        <w:top w:val="none" w:sz="0" w:space="0" w:color="auto"/>
        <w:left w:val="none" w:sz="0" w:space="0" w:color="auto"/>
        <w:bottom w:val="none" w:sz="0" w:space="0" w:color="auto"/>
        <w:right w:val="none" w:sz="0" w:space="0" w:color="auto"/>
      </w:divBdr>
    </w:div>
    <w:div w:id="533083348">
      <w:bodyDiv w:val="1"/>
      <w:marLeft w:val="0"/>
      <w:marRight w:val="0"/>
      <w:marTop w:val="0"/>
      <w:marBottom w:val="0"/>
      <w:divBdr>
        <w:top w:val="none" w:sz="0" w:space="0" w:color="auto"/>
        <w:left w:val="none" w:sz="0" w:space="0" w:color="auto"/>
        <w:bottom w:val="none" w:sz="0" w:space="0" w:color="auto"/>
        <w:right w:val="none" w:sz="0" w:space="0" w:color="auto"/>
      </w:divBdr>
    </w:div>
    <w:div w:id="533154274">
      <w:bodyDiv w:val="1"/>
      <w:marLeft w:val="0"/>
      <w:marRight w:val="0"/>
      <w:marTop w:val="0"/>
      <w:marBottom w:val="0"/>
      <w:divBdr>
        <w:top w:val="none" w:sz="0" w:space="0" w:color="auto"/>
        <w:left w:val="none" w:sz="0" w:space="0" w:color="auto"/>
        <w:bottom w:val="none" w:sz="0" w:space="0" w:color="auto"/>
        <w:right w:val="none" w:sz="0" w:space="0" w:color="auto"/>
      </w:divBdr>
    </w:div>
    <w:div w:id="533154589">
      <w:bodyDiv w:val="1"/>
      <w:marLeft w:val="0"/>
      <w:marRight w:val="0"/>
      <w:marTop w:val="0"/>
      <w:marBottom w:val="0"/>
      <w:divBdr>
        <w:top w:val="none" w:sz="0" w:space="0" w:color="auto"/>
        <w:left w:val="none" w:sz="0" w:space="0" w:color="auto"/>
        <w:bottom w:val="none" w:sz="0" w:space="0" w:color="auto"/>
        <w:right w:val="none" w:sz="0" w:space="0" w:color="auto"/>
      </w:divBdr>
    </w:div>
    <w:div w:id="533425720">
      <w:bodyDiv w:val="1"/>
      <w:marLeft w:val="0"/>
      <w:marRight w:val="0"/>
      <w:marTop w:val="0"/>
      <w:marBottom w:val="0"/>
      <w:divBdr>
        <w:top w:val="none" w:sz="0" w:space="0" w:color="auto"/>
        <w:left w:val="none" w:sz="0" w:space="0" w:color="auto"/>
        <w:bottom w:val="none" w:sz="0" w:space="0" w:color="auto"/>
        <w:right w:val="none" w:sz="0" w:space="0" w:color="auto"/>
      </w:divBdr>
    </w:div>
    <w:div w:id="533544461">
      <w:bodyDiv w:val="1"/>
      <w:marLeft w:val="0"/>
      <w:marRight w:val="0"/>
      <w:marTop w:val="0"/>
      <w:marBottom w:val="0"/>
      <w:divBdr>
        <w:top w:val="none" w:sz="0" w:space="0" w:color="auto"/>
        <w:left w:val="none" w:sz="0" w:space="0" w:color="auto"/>
        <w:bottom w:val="none" w:sz="0" w:space="0" w:color="auto"/>
        <w:right w:val="none" w:sz="0" w:space="0" w:color="auto"/>
      </w:divBdr>
    </w:div>
    <w:div w:id="533615906">
      <w:bodyDiv w:val="1"/>
      <w:marLeft w:val="0"/>
      <w:marRight w:val="0"/>
      <w:marTop w:val="0"/>
      <w:marBottom w:val="0"/>
      <w:divBdr>
        <w:top w:val="none" w:sz="0" w:space="0" w:color="auto"/>
        <w:left w:val="none" w:sz="0" w:space="0" w:color="auto"/>
        <w:bottom w:val="none" w:sz="0" w:space="0" w:color="auto"/>
        <w:right w:val="none" w:sz="0" w:space="0" w:color="auto"/>
      </w:divBdr>
    </w:div>
    <w:div w:id="533660037">
      <w:bodyDiv w:val="1"/>
      <w:marLeft w:val="0"/>
      <w:marRight w:val="0"/>
      <w:marTop w:val="0"/>
      <w:marBottom w:val="0"/>
      <w:divBdr>
        <w:top w:val="none" w:sz="0" w:space="0" w:color="auto"/>
        <w:left w:val="none" w:sz="0" w:space="0" w:color="auto"/>
        <w:bottom w:val="none" w:sz="0" w:space="0" w:color="auto"/>
        <w:right w:val="none" w:sz="0" w:space="0" w:color="auto"/>
      </w:divBdr>
    </w:div>
    <w:div w:id="533736729">
      <w:bodyDiv w:val="1"/>
      <w:marLeft w:val="0"/>
      <w:marRight w:val="0"/>
      <w:marTop w:val="0"/>
      <w:marBottom w:val="0"/>
      <w:divBdr>
        <w:top w:val="none" w:sz="0" w:space="0" w:color="auto"/>
        <w:left w:val="none" w:sz="0" w:space="0" w:color="auto"/>
        <w:bottom w:val="none" w:sz="0" w:space="0" w:color="auto"/>
        <w:right w:val="none" w:sz="0" w:space="0" w:color="auto"/>
      </w:divBdr>
    </w:div>
    <w:div w:id="533809993">
      <w:bodyDiv w:val="1"/>
      <w:marLeft w:val="0"/>
      <w:marRight w:val="0"/>
      <w:marTop w:val="0"/>
      <w:marBottom w:val="0"/>
      <w:divBdr>
        <w:top w:val="none" w:sz="0" w:space="0" w:color="auto"/>
        <w:left w:val="none" w:sz="0" w:space="0" w:color="auto"/>
        <w:bottom w:val="none" w:sz="0" w:space="0" w:color="auto"/>
        <w:right w:val="none" w:sz="0" w:space="0" w:color="auto"/>
      </w:divBdr>
    </w:div>
    <w:div w:id="533811669">
      <w:bodyDiv w:val="1"/>
      <w:marLeft w:val="0"/>
      <w:marRight w:val="0"/>
      <w:marTop w:val="0"/>
      <w:marBottom w:val="0"/>
      <w:divBdr>
        <w:top w:val="none" w:sz="0" w:space="0" w:color="auto"/>
        <w:left w:val="none" w:sz="0" w:space="0" w:color="auto"/>
        <w:bottom w:val="none" w:sz="0" w:space="0" w:color="auto"/>
        <w:right w:val="none" w:sz="0" w:space="0" w:color="auto"/>
      </w:divBdr>
    </w:div>
    <w:div w:id="533814175">
      <w:bodyDiv w:val="1"/>
      <w:marLeft w:val="0"/>
      <w:marRight w:val="0"/>
      <w:marTop w:val="0"/>
      <w:marBottom w:val="0"/>
      <w:divBdr>
        <w:top w:val="none" w:sz="0" w:space="0" w:color="auto"/>
        <w:left w:val="none" w:sz="0" w:space="0" w:color="auto"/>
        <w:bottom w:val="none" w:sz="0" w:space="0" w:color="auto"/>
        <w:right w:val="none" w:sz="0" w:space="0" w:color="auto"/>
      </w:divBdr>
    </w:div>
    <w:div w:id="533884113">
      <w:bodyDiv w:val="1"/>
      <w:marLeft w:val="0"/>
      <w:marRight w:val="0"/>
      <w:marTop w:val="0"/>
      <w:marBottom w:val="0"/>
      <w:divBdr>
        <w:top w:val="none" w:sz="0" w:space="0" w:color="auto"/>
        <w:left w:val="none" w:sz="0" w:space="0" w:color="auto"/>
        <w:bottom w:val="none" w:sz="0" w:space="0" w:color="auto"/>
        <w:right w:val="none" w:sz="0" w:space="0" w:color="auto"/>
      </w:divBdr>
    </w:div>
    <w:div w:id="533929654">
      <w:bodyDiv w:val="1"/>
      <w:marLeft w:val="0"/>
      <w:marRight w:val="0"/>
      <w:marTop w:val="0"/>
      <w:marBottom w:val="0"/>
      <w:divBdr>
        <w:top w:val="none" w:sz="0" w:space="0" w:color="auto"/>
        <w:left w:val="none" w:sz="0" w:space="0" w:color="auto"/>
        <w:bottom w:val="none" w:sz="0" w:space="0" w:color="auto"/>
        <w:right w:val="none" w:sz="0" w:space="0" w:color="auto"/>
      </w:divBdr>
    </w:div>
    <w:div w:id="534000476">
      <w:bodyDiv w:val="1"/>
      <w:marLeft w:val="0"/>
      <w:marRight w:val="0"/>
      <w:marTop w:val="0"/>
      <w:marBottom w:val="0"/>
      <w:divBdr>
        <w:top w:val="none" w:sz="0" w:space="0" w:color="auto"/>
        <w:left w:val="none" w:sz="0" w:space="0" w:color="auto"/>
        <w:bottom w:val="none" w:sz="0" w:space="0" w:color="auto"/>
        <w:right w:val="none" w:sz="0" w:space="0" w:color="auto"/>
      </w:divBdr>
    </w:div>
    <w:div w:id="534004052">
      <w:bodyDiv w:val="1"/>
      <w:marLeft w:val="0"/>
      <w:marRight w:val="0"/>
      <w:marTop w:val="0"/>
      <w:marBottom w:val="0"/>
      <w:divBdr>
        <w:top w:val="none" w:sz="0" w:space="0" w:color="auto"/>
        <w:left w:val="none" w:sz="0" w:space="0" w:color="auto"/>
        <w:bottom w:val="none" w:sz="0" w:space="0" w:color="auto"/>
        <w:right w:val="none" w:sz="0" w:space="0" w:color="auto"/>
      </w:divBdr>
    </w:div>
    <w:div w:id="534079568">
      <w:bodyDiv w:val="1"/>
      <w:marLeft w:val="0"/>
      <w:marRight w:val="0"/>
      <w:marTop w:val="0"/>
      <w:marBottom w:val="0"/>
      <w:divBdr>
        <w:top w:val="none" w:sz="0" w:space="0" w:color="auto"/>
        <w:left w:val="none" w:sz="0" w:space="0" w:color="auto"/>
        <w:bottom w:val="none" w:sz="0" w:space="0" w:color="auto"/>
        <w:right w:val="none" w:sz="0" w:space="0" w:color="auto"/>
      </w:divBdr>
    </w:div>
    <w:div w:id="534083635">
      <w:bodyDiv w:val="1"/>
      <w:marLeft w:val="0"/>
      <w:marRight w:val="0"/>
      <w:marTop w:val="0"/>
      <w:marBottom w:val="0"/>
      <w:divBdr>
        <w:top w:val="none" w:sz="0" w:space="0" w:color="auto"/>
        <w:left w:val="none" w:sz="0" w:space="0" w:color="auto"/>
        <w:bottom w:val="none" w:sz="0" w:space="0" w:color="auto"/>
        <w:right w:val="none" w:sz="0" w:space="0" w:color="auto"/>
      </w:divBdr>
    </w:div>
    <w:div w:id="534118561">
      <w:bodyDiv w:val="1"/>
      <w:marLeft w:val="0"/>
      <w:marRight w:val="0"/>
      <w:marTop w:val="0"/>
      <w:marBottom w:val="0"/>
      <w:divBdr>
        <w:top w:val="none" w:sz="0" w:space="0" w:color="auto"/>
        <w:left w:val="none" w:sz="0" w:space="0" w:color="auto"/>
        <w:bottom w:val="none" w:sz="0" w:space="0" w:color="auto"/>
        <w:right w:val="none" w:sz="0" w:space="0" w:color="auto"/>
      </w:divBdr>
    </w:div>
    <w:div w:id="534120032">
      <w:bodyDiv w:val="1"/>
      <w:marLeft w:val="0"/>
      <w:marRight w:val="0"/>
      <w:marTop w:val="0"/>
      <w:marBottom w:val="0"/>
      <w:divBdr>
        <w:top w:val="none" w:sz="0" w:space="0" w:color="auto"/>
        <w:left w:val="none" w:sz="0" w:space="0" w:color="auto"/>
        <w:bottom w:val="none" w:sz="0" w:space="0" w:color="auto"/>
        <w:right w:val="none" w:sz="0" w:space="0" w:color="auto"/>
      </w:divBdr>
    </w:div>
    <w:div w:id="534124956">
      <w:bodyDiv w:val="1"/>
      <w:marLeft w:val="0"/>
      <w:marRight w:val="0"/>
      <w:marTop w:val="0"/>
      <w:marBottom w:val="0"/>
      <w:divBdr>
        <w:top w:val="none" w:sz="0" w:space="0" w:color="auto"/>
        <w:left w:val="none" w:sz="0" w:space="0" w:color="auto"/>
        <w:bottom w:val="none" w:sz="0" w:space="0" w:color="auto"/>
        <w:right w:val="none" w:sz="0" w:space="0" w:color="auto"/>
      </w:divBdr>
    </w:div>
    <w:div w:id="534276649">
      <w:bodyDiv w:val="1"/>
      <w:marLeft w:val="0"/>
      <w:marRight w:val="0"/>
      <w:marTop w:val="0"/>
      <w:marBottom w:val="0"/>
      <w:divBdr>
        <w:top w:val="none" w:sz="0" w:space="0" w:color="auto"/>
        <w:left w:val="none" w:sz="0" w:space="0" w:color="auto"/>
        <w:bottom w:val="none" w:sz="0" w:space="0" w:color="auto"/>
        <w:right w:val="none" w:sz="0" w:space="0" w:color="auto"/>
      </w:divBdr>
    </w:div>
    <w:div w:id="534392009">
      <w:bodyDiv w:val="1"/>
      <w:marLeft w:val="0"/>
      <w:marRight w:val="0"/>
      <w:marTop w:val="0"/>
      <w:marBottom w:val="0"/>
      <w:divBdr>
        <w:top w:val="none" w:sz="0" w:space="0" w:color="auto"/>
        <w:left w:val="none" w:sz="0" w:space="0" w:color="auto"/>
        <w:bottom w:val="none" w:sz="0" w:space="0" w:color="auto"/>
        <w:right w:val="none" w:sz="0" w:space="0" w:color="auto"/>
      </w:divBdr>
    </w:div>
    <w:div w:id="534392528">
      <w:bodyDiv w:val="1"/>
      <w:marLeft w:val="0"/>
      <w:marRight w:val="0"/>
      <w:marTop w:val="0"/>
      <w:marBottom w:val="0"/>
      <w:divBdr>
        <w:top w:val="none" w:sz="0" w:space="0" w:color="auto"/>
        <w:left w:val="none" w:sz="0" w:space="0" w:color="auto"/>
        <w:bottom w:val="none" w:sz="0" w:space="0" w:color="auto"/>
        <w:right w:val="none" w:sz="0" w:space="0" w:color="auto"/>
      </w:divBdr>
    </w:div>
    <w:div w:id="534580351">
      <w:bodyDiv w:val="1"/>
      <w:marLeft w:val="0"/>
      <w:marRight w:val="0"/>
      <w:marTop w:val="0"/>
      <w:marBottom w:val="0"/>
      <w:divBdr>
        <w:top w:val="none" w:sz="0" w:space="0" w:color="auto"/>
        <w:left w:val="none" w:sz="0" w:space="0" w:color="auto"/>
        <w:bottom w:val="none" w:sz="0" w:space="0" w:color="auto"/>
        <w:right w:val="none" w:sz="0" w:space="0" w:color="auto"/>
      </w:divBdr>
    </w:div>
    <w:div w:id="534660693">
      <w:bodyDiv w:val="1"/>
      <w:marLeft w:val="0"/>
      <w:marRight w:val="0"/>
      <w:marTop w:val="0"/>
      <w:marBottom w:val="0"/>
      <w:divBdr>
        <w:top w:val="none" w:sz="0" w:space="0" w:color="auto"/>
        <w:left w:val="none" w:sz="0" w:space="0" w:color="auto"/>
        <w:bottom w:val="none" w:sz="0" w:space="0" w:color="auto"/>
        <w:right w:val="none" w:sz="0" w:space="0" w:color="auto"/>
      </w:divBdr>
    </w:div>
    <w:div w:id="534662805">
      <w:bodyDiv w:val="1"/>
      <w:marLeft w:val="0"/>
      <w:marRight w:val="0"/>
      <w:marTop w:val="0"/>
      <w:marBottom w:val="0"/>
      <w:divBdr>
        <w:top w:val="none" w:sz="0" w:space="0" w:color="auto"/>
        <w:left w:val="none" w:sz="0" w:space="0" w:color="auto"/>
        <w:bottom w:val="none" w:sz="0" w:space="0" w:color="auto"/>
        <w:right w:val="none" w:sz="0" w:space="0" w:color="auto"/>
      </w:divBdr>
    </w:div>
    <w:div w:id="534730391">
      <w:bodyDiv w:val="1"/>
      <w:marLeft w:val="0"/>
      <w:marRight w:val="0"/>
      <w:marTop w:val="0"/>
      <w:marBottom w:val="0"/>
      <w:divBdr>
        <w:top w:val="none" w:sz="0" w:space="0" w:color="auto"/>
        <w:left w:val="none" w:sz="0" w:space="0" w:color="auto"/>
        <w:bottom w:val="none" w:sz="0" w:space="0" w:color="auto"/>
        <w:right w:val="none" w:sz="0" w:space="0" w:color="auto"/>
      </w:divBdr>
    </w:div>
    <w:div w:id="534774088">
      <w:bodyDiv w:val="1"/>
      <w:marLeft w:val="0"/>
      <w:marRight w:val="0"/>
      <w:marTop w:val="0"/>
      <w:marBottom w:val="0"/>
      <w:divBdr>
        <w:top w:val="none" w:sz="0" w:space="0" w:color="auto"/>
        <w:left w:val="none" w:sz="0" w:space="0" w:color="auto"/>
        <w:bottom w:val="none" w:sz="0" w:space="0" w:color="auto"/>
        <w:right w:val="none" w:sz="0" w:space="0" w:color="auto"/>
      </w:divBdr>
    </w:div>
    <w:div w:id="534775141">
      <w:bodyDiv w:val="1"/>
      <w:marLeft w:val="0"/>
      <w:marRight w:val="0"/>
      <w:marTop w:val="0"/>
      <w:marBottom w:val="0"/>
      <w:divBdr>
        <w:top w:val="none" w:sz="0" w:space="0" w:color="auto"/>
        <w:left w:val="none" w:sz="0" w:space="0" w:color="auto"/>
        <w:bottom w:val="none" w:sz="0" w:space="0" w:color="auto"/>
        <w:right w:val="none" w:sz="0" w:space="0" w:color="auto"/>
      </w:divBdr>
    </w:div>
    <w:div w:id="534779047">
      <w:bodyDiv w:val="1"/>
      <w:marLeft w:val="0"/>
      <w:marRight w:val="0"/>
      <w:marTop w:val="0"/>
      <w:marBottom w:val="0"/>
      <w:divBdr>
        <w:top w:val="none" w:sz="0" w:space="0" w:color="auto"/>
        <w:left w:val="none" w:sz="0" w:space="0" w:color="auto"/>
        <w:bottom w:val="none" w:sz="0" w:space="0" w:color="auto"/>
        <w:right w:val="none" w:sz="0" w:space="0" w:color="auto"/>
      </w:divBdr>
    </w:div>
    <w:div w:id="534853950">
      <w:bodyDiv w:val="1"/>
      <w:marLeft w:val="0"/>
      <w:marRight w:val="0"/>
      <w:marTop w:val="0"/>
      <w:marBottom w:val="0"/>
      <w:divBdr>
        <w:top w:val="none" w:sz="0" w:space="0" w:color="auto"/>
        <w:left w:val="none" w:sz="0" w:space="0" w:color="auto"/>
        <w:bottom w:val="none" w:sz="0" w:space="0" w:color="auto"/>
        <w:right w:val="none" w:sz="0" w:space="0" w:color="auto"/>
      </w:divBdr>
    </w:div>
    <w:div w:id="534925707">
      <w:bodyDiv w:val="1"/>
      <w:marLeft w:val="0"/>
      <w:marRight w:val="0"/>
      <w:marTop w:val="0"/>
      <w:marBottom w:val="0"/>
      <w:divBdr>
        <w:top w:val="none" w:sz="0" w:space="0" w:color="auto"/>
        <w:left w:val="none" w:sz="0" w:space="0" w:color="auto"/>
        <w:bottom w:val="none" w:sz="0" w:space="0" w:color="auto"/>
        <w:right w:val="none" w:sz="0" w:space="0" w:color="auto"/>
      </w:divBdr>
    </w:div>
    <w:div w:id="534931121">
      <w:bodyDiv w:val="1"/>
      <w:marLeft w:val="0"/>
      <w:marRight w:val="0"/>
      <w:marTop w:val="0"/>
      <w:marBottom w:val="0"/>
      <w:divBdr>
        <w:top w:val="none" w:sz="0" w:space="0" w:color="auto"/>
        <w:left w:val="none" w:sz="0" w:space="0" w:color="auto"/>
        <w:bottom w:val="none" w:sz="0" w:space="0" w:color="auto"/>
        <w:right w:val="none" w:sz="0" w:space="0" w:color="auto"/>
      </w:divBdr>
    </w:div>
    <w:div w:id="534973817">
      <w:bodyDiv w:val="1"/>
      <w:marLeft w:val="0"/>
      <w:marRight w:val="0"/>
      <w:marTop w:val="0"/>
      <w:marBottom w:val="0"/>
      <w:divBdr>
        <w:top w:val="none" w:sz="0" w:space="0" w:color="auto"/>
        <w:left w:val="none" w:sz="0" w:space="0" w:color="auto"/>
        <w:bottom w:val="none" w:sz="0" w:space="0" w:color="auto"/>
        <w:right w:val="none" w:sz="0" w:space="0" w:color="auto"/>
      </w:divBdr>
    </w:div>
    <w:div w:id="535237790">
      <w:bodyDiv w:val="1"/>
      <w:marLeft w:val="0"/>
      <w:marRight w:val="0"/>
      <w:marTop w:val="0"/>
      <w:marBottom w:val="0"/>
      <w:divBdr>
        <w:top w:val="none" w:sz="0" w:space="0" w:color="auto"/>
        <w:left w:val="none" w:sz="0" w:space="0" w:color="auto"/>
        <w:bottom w:val="none" w:sz="0" w:space="0" w:color="auto"/>
        <w:right w:val="none" w:sz="0" w:space="0" w:color="auto"/>
      </w:divBdr>
    </w:div>
    <w:div w:id="535389500">
      <w:bodyDiv w:val="1"/>
      <w:marLeft w:val="0"/>
      <w:marRight w:val="0"/>
      <w:marTop w:val="0"/>
      <w:marBottom w:val="0"/>
      <w:divBdr>
        <w:top w:val="none" w:sz="0" w:space="0" w:color="auto"/>
        <w:left w:val="none" w:sz="0" w:space="0" w:color="auto"/>
        <w:bottom w:val="none" w:sz="0" w:space="0" w:color="auto"/>
        <w:right w:val="none" w:sz="0" w:space="0" w:color="auto"/>
      </w:divBdr>
    </w:div>
    <w:div w:id="535430583">
      <w:bodyDiv w:val="1"/>
      <w:marLeft w:val="0"/>
      <w:marRight w:val="0"/>
      <w:marTop w:val="0"/>
      <w:marBottom w:val="0"/>
      <w:divBdr>
        <w:top w:val="none" w:sz="0" w:space="0" w:color="auto"/>
        <w:left w:val="none" w:sz="0" w:space="0" w:color="auto"/>
        <w:bottom w:val="none" w:sz="0" w:space="0" w:color="auto"/>
        <w:right w:val="none" w:sz="0" w:space="0" w:color="auto"/>
      </w:divBdr>
    </w:div>
    <w:div w:id="535461359">
      <w:bodyDiv w:val="1"/>
      <w:marLeft w:val="0"/>
      <w:marRight w:val="0"/>
      <w:marTop w:val="0"/>
      <w:marBottom w:val="0"/>
      <w:divBdr>
        <w:top w:val="none" w:sz="0" w:space="0" w:color="auto"/>
        <w:left w:val="none" w:sz="0" w:space="0" w:color="auto"/>
        <w:bottom w:val="none" w:sz="0" w:space="0" w:color="auto"/>
        <w:right w:val="none" w:sz="0" w:space="0" w:color="auto"/>
      </w:divBdr>
    </w:div>
    <w:div w:id="535504918">
      <w:bodyDiv w:val="1"/>
      <w:marLeft w:val="0"/>
      <w:marRight w:val="0"/>
      <w:marTop w:val="0"/>
      <w:marBottom w:val="0"/>
      <w:divBdr>
        <w:top w:val="none" w:sz="0" w:space="0" w:color="auto"/>
        <w:left w:val="none" w:sz="0" w:space="0" w:color="auto"/>
        <w:bottom w:val="none" w:sz="0" w:space="0" w:color="auto"/>
        <w:right w:val="none" w:sz="0" w:space="0" w:color="auto"/>
      </w:divBdr>
    </w:div>
    <w:div w:id="535584004">
      <w:bodyDiv w:val="1"/>
      <w:marLeft w:val="0"/>
      <w:marRight w:val="0"/>
      <w:marTop w:val="0"/>
      <w:marBottom w:val="0"/>
      <w:divBdr>
        <w:top w:val="none" w:sz="0" w:space="0" w:color="auto"/>
        <w:left w:val="none" w:sz="0" w:space="0" w:color="auto"/>
        <w:bottom w:val="none" w:sz="0" w:space="0" w:color="auto"/>
        <w:right w:val="none" w:sz="0" w:space="0" w:color="auto"/>
      </w:divBdr>
    </w:div>
    <w:div w:id="535849347">
      <w:bodyDiv w:val="1"/>
      <w:marLeft w:val="0"/>
      <w:marRight w:val="0"/>
      <w:marTop w:val="0"/>
      <w:marBottom w:val="0"/>
      <w:divBdr>
        <w:top w:val="none" w:sz="0" w:space="0" w:color="auto"/>
        <w:left w:val="none" w:sz="0" w:space="0" w:color="auto"/>
        <w:bottom w:val="none" w:sz="0" w:space="0" w:color="auto"/>
        <w:right w:val="none" w:sz="0" w:space="0" w:color="auto"/>
      </w:divBdr>
    </w:div>
    <w:div w:id="535852415">
      <w:bodyDiv w:val="1"/>
      <w:marLeft w:val="0"/>
      <w:marRight w:val="0"/>
      <w:marTop w:val="0"/>
      <w:marBottom w:val="0"/>
      <w:divBdr>
        <w:top w:val="none" w:sz="0" w:space="0" w:color="auto"/>
        <w:left w:val="none" w:sz="0" w:space="0" w:color="auto"/>
        <w:bottom w:val="none" w:sz="0" w:space="0" w:color="auto"/>
        <w:right w:val="none" w:sz="0" w:space="0" w:color="auto"/>
      </w:divBdr>
    </w:div>
    <w:div w:id="535853234">
      <w:bodyDiv w:val="1"/>
      <w:marLeft w:val="0"/>
      <w:marRight w:val="0"/>
      <w:marTop w:val="0"/>
      <w:marBottom w:val="0"/>
      <w:divBdr>
        <w:top w:val="none" w:sz="0" w:space="0" w:color="auto"/>
        <w:left w:val="none" w:sz="0" w:space="0" w:color="auto"/>
        <w:bottom w:val="none" w:sz="0" w:space="0" w:color="auto"/>
        <w:right w:val="none" w:sz="0" w:space="0" w:color="auto"/>
      </w:divBdr>
    </w:div>
    <w:div w:id="535893487">
      <w:bodyDiv w:val="1"/>
      <w:marLeft w:val="0"/>
      <w:marRight w:val="0"/>
      <w:marTop w:val="0"/>
      <w:marBottom w:val="0"/>
      <w:divBdr>
        <w:top w:val="none" w:sz="0" w:space="0" w:color="auto"/>
        <w:left w:val="none" w:sz="0" w:space="0" w:color="auto"/>
        <w:bottom w:val="none" w:sz="0" w:space="0" w:color="auto"/>
        <w:right w:val="none" w:sz="0" w:space="0" w:color="auto"/>
      </w:divBdr>
    </w:div>
    <w:div w:id="535893529">
      <w:bodyDiv w:val="1"/>
      <w:marLeft w:val="0"/>
      <w:marRight w:val="0"/>
      <w:marTop w:val="0"/>
      <w:marBottom w:val="0"/>
      <w:divBdr>
        <w:top w:val="none" w:sz="0" w:space="0" w:color="auto"/>
        <w:left w:val="none" w:sz="0" w:space="0" w:color="auto"/>
        <w:bottom w:val="none" w:sz="0" w:space="0" w:color="auto"/>
        <w:right w:val="none" w:sz="0" w:space="0" w:color="auto"/>
      </w:divBdr>
    </w:div>
    <w:div w:id="535968553">
      <w:bodyDiv w:val="1"/>
      <w:marLeft w:val="0"/>
      <w:marRight w:val="0"/>
      <w:marTop w:val="0"/>
      <w:marBottom w:val="0"/>
      <w:divBdr>
        <w:top w:val="none" w:sz="0" w:space="0" w:color="auto"/>
        <w:left w:val="none" w:sz="0" w:space="0" w:color="auto"/>
        <w:bottom w:val="none" w:sz="0" w:space="0" w:color="auto"/>
        <w:right w:val="none" w:sz="0" w:space="0" w:color="auto"/>
      </w:divBdr>
    </w:div>
    <w:div w:id="535969883">
      <w:bodyDiv w:val="1"/>
      <w:marLeft w:val="0"/>
      <w:marRight w:val="0"/>
      <w:marTop w:val="0"/>
      <w:marBottom w:val="0"/>
      <w:divBdr>
        <w:top w:val="none" w:sz="0" w:space="0" w:color="auto"/>
        <w:left w:val="none" w:sz="0" w:space="0" w:color="auto"/>
        <w:bottom w:val="none" w:sz="0" w:space="0" w:color="auto"/>
        <w:right w:val="none" w:sz="0" w:space="0" w:color="auto"/>
      </w:divBdr>
    </w:div>
    <w:div w:id="536044770">
      <w:bodyDiv w:val="1"/>
      <w:marLeft w:val="0"/>
      <w:marRight w:val="0"/>
      <w:marTop w:val="0"/>
      <w:marBottom w:val="0"/>
      <w:divBdr>
        <w:top w:val="none" w:sz="0" w:space="0" w:color="auto"/>
        <w:left w:val="none" w:sz="0" w:space="0" w:color="auto"/>
        <w:bottom w:val="none" w:sz="0" w:space="0" w:color="auto"/>
        <w:right w:val="none" w:sz="0" w:space="0" w:color="auto"/>
      </w:divBdr>
    </w:div>
    <w:div w:id="536087026">
      <w:bodyDiv w:val="1"/>
      <w:marLeft w:val="0"/>
      <w:marRight w:val="0"/>
      <w:marTop w:val="0"/>
      <w:marBottom w:val="0"/>
      <w:divBdr>
        <w:top w:val="none" w:sz="0" w:space="0" w:color="auto"/>
        <w:left w:val="none" w:sz="0" w:space="0" w:color="auto"/>
        <w:bottom w:val="none" w:sz="0" w:space="0" w:color="auto"/>
        <w:right w:val="none" w:sz="0" w:space="0" w:color="auto"/>
      </w:divBdr>
    </w:div>
    <w:div w:id="536163133">
      <w:bodyDiv w:val="1"/>
      <w:marLeft w:val="0"/>
      <w:marRight w:val="0"/>
      <w:marTop w:val="0"/>
      <w:marBottom w:val="0"/>
      <w:divBdr>
        <w:top w:val="none" w:sz="0" w:space="0" w:color="auto"/>
        <w:left w:val="none" w:sz="0" w:space="0" w:color="auto"/>
        <w:bottom w:val="none" w:sz="0" w:space="0" w:color="auto"/>
        <w:right w:val="none" w:sz="0" w:space="0" w:color="auto"/>
      </w:divBdr>
    </w:div>
    <w:div w:id="536165829">
      <w:bodyDiv w:val="1"/>
      <w:marLeft w:val="0"/>
      <w:marRight w:val="0"/>
      <w:marTop w:val="0"/>
      <w:marBottom w:val="0"/>
      <w:divBdr>
        <w:top w:val="none" w:sz="0" w:space="0" w:color="auto"/>
        <w:left w:val="none" w:sz="0" w:space="0" w:color="auto"/>
        <w:bottom w:val="none" w:sz="0" w:space="0" w:color="auto"/>
        <w:right w:val="none" w:sz="0" w:space="0" w:color="auto"/>
      </w:divBdr>
    </w:div>
    <w:div w:id="536284875">
      <w:bodyDiv w:val="1"/>
      <w:marLeft w:val="0"/>
      <w:marRight w:val="0"/>
      <w:marTop w:val="0"/>
      <w:marBottom w:val="0"/>
      <w:divBdr>
        <w:top w:val="none" w:sz="0" w:space="0" w:color="auto"/>
        <w:left w:val="none" w:sz="0" w:space="0" w:color="auto"/>
        <w:bottom w:val="none" w:sz="0" w:space="0" w:color="auto"/>
        <w:right w:val="none" w:sz="0" w:space="0" w:color="auto"/>
      </w:divBdr>
    </w:div>
    <w:div w:id="536428332">
      <w:bodyDiv w:val="1"/>
      <w:marLeft w:val="0"/>
      <w:marRight w:val="0"/>
      <w:marTop w:val="0"/>
      <w:marBottom w:val="0"/>
      <w:divBdr>
        <w:top w:val="none" w:sz="0" w:space="0" w:color="auto"/>
        <w:left w:val="none" w:sz="0" w:space="0" w:color="auto"/>
        <w:bottom w:val="none" w:sz="0" w:space="0" w:color="auto"/>
        <w:right w:val="none" w:sz="0" w:space="0" w:color="auto"/>
      </w:divBdr>
    </w:div>
    <w:div w:id="536429508">
      <w:bodyDiv w:val="1"/>
      <w:marLeft w:val="0"/>
      <w:marRight w:val="0"/>
      <w:marTop w:val="0"/>
      <w:marBottom w:val="0"/>
      <w:divBdr>
        <w:top w:val="none" w:sz="0" w:space="0" w:color="auto"/>
        <w:left w:val="none" w:sz="0" w:space="0" w:color="auto"/>
        <w:bottom w:val="none" w:sz="0" w:space="0" w:color="auto"/>
        <w:right w:val="none" w:sz="0" w:space="0" w:color="auto"/>
      </w:divBdr>
    </w:div>
    <w:div w:id="536435139">
      <w:bodyDiv w:val="1"/>
      <w:marLeft w:val="0"/>
      <w:marRight w:val="0"/>
      <w:marTop w:val="0"/>
      <w:marBottom w:val="0"/>
      <w:divBdr>
        <w:top w:val="none" w:sz="0" w:space="0" w:color="auto"/>
        <w:left w:val="none" w:sz="0" w:space="0" w:color="auto"/>
        <w:bottom w:val="none" w:sz="0" w:space="0" w:color="auto"/>
        <w:right w:val="none" w:sz="0" w:space="0" w:color="auto"/>
      </w:divBdr>
    </w:div>
    <w:div w:id="536548333">
      <w:bodyDiv w:val="1"/>
      <w:marLeft w:val="0"/>
      <w:marRight w:val="0"/>
      <w:marTop w:val="0"/>
      <w:marBottom w:val="0"/>
      <w:divBdr>
        <w:top w:val="none" w:sz="0" w:space="0" w:color="auto"/>
        <w:left w:val="none" w:sz="0" w:space="0" w:color="auto"/>
        <w:bottom w:val="none" w:sz="0" w:space="0" w:color="auto"/>
        <w:right w:val="none" w:sz="0" w:space="0" w:color="auto"/>
      </w:divBdr>
    </w:div>
    <w:div w:id="536695623">
      <w:bodyDiv w:val="1"/>
      <w:marLeft w:val="0"/>
      <w:marRight w:val="0"/>
      <w:marTop w:val="0"/>
      <w:marBottom w:val="0"/>
      <w:divBdr>
        <w:top w:val="none" w:sz="0" w:space="0" w:color="auto"/>
        <w:left w:val="none" w:sz="0" w:space="0" w:color="auto"/>
        <w:bottom w:val="none" w:sz="0" w:space="0" w:color="auto"/>
        <w:right w:val="none" w:sz="0" w:space="0" w:color="auto"/>
      </w:divBdr>
    </w:div>
    <w:div w:id="536698626">
      <w:bodyDiv w:val="1"/>
      <w:marLeft w:val="0"/>
      <w:marRight w:val="0"/>
      <w:marTop w:val="0"/>
      <w:marBottom w:val="0"/>
      <w:divBdr>
        <w:top w:val="none" w:sz="0" w:space="0" w:color="auto"/>
        <w:left w:val="none" w:sz="0" w:space="0" w:color="auto"/>
        <w:bottom w:val="none" w:sz="0" w:space="0" w:color="auto"/>
        <w:right w:val="none" w:sz="0" w:space="0" w:color="auto"/>
      </w:divBdr>
    </w:div>
    <w:div w:id="536703506">
      <w:bodyDiv w:val="1"/>
      <w:marLeft w:val="0"/>
      <w:marRight w:val="0"/>
      <w:marTop w:val="0"/>
      <w:marBottom w:val="0"/>
      <w:divBdr>
        <w:top w:val="none" w:sz="0" w:space="0" w:color="auto"/>
        <w:left w:val="none" w:sz="0" w:space="0" w:color="auto"/>
        <w:bottom w:val="none" w:sz="0" w:space="0" w:color="auto"/>
        <w:right w:val="none" w:sz="0" w:space="0" w:color="auto"/>
      </w:divBdr>
    </w:div>
    <w:div w:id="536744154">
      <w:bodyDiv w:val="1"/>
      <w:marLeft w:val="0"/>
      <w:marRight w:val="0"/>
      <w:marTop w:val="0"/>
      <w:marBottom w:val="0"/>
      <w:divBdr>
        <w:top w:val="none" w:sz="0" w:space="0" w:color="auto"/>
        <w:left w:val="none" w:sz="0" w:space="0" w:color="auto"/>
        <w:bottom w:val="none" w:sz="0" w:space="0" w:color="auto"/>
        <w:right w:val="none" w:sz="0" w:space="0" w:color="auto"/>
      </w:divBdr>
    </w:div>
    <w:div w:id="536897481">
      <w:bodyDiv w:val="1"/>
      <w:marLeft w:val="0"/>
      <w:marRight w:val="0"/>
      <w:marTop w:val="0"/>
      <w:marBottom w:val="0"/>
      <w:divBdr>
        <w:top w:val="none" w:sz="0" w:space="0" w:color="auto"/>
        <w:left w:val="none" w:sz="0" w:space="0" w:color="auto"/>
        <w:bottom w:val="none" w:sz="0" w:space="0" w:color="auto"/>
        <w:right w:val="none" w:sz="0" w:space="0" w:color="auto"/>
      </w:divBdr>
    </w:div>
    <w:div w:id="537082526">
      <w:bodyDiv w:val="1"/>
      <w:marLeft w:val="0"/>
      <w:marRight w:val="0"/>
      <w:marTop w:val="0"/>
      <w:marBottom w:val="0"/>
      <w:divBdr>
        <w:top w:val="none" w:sz="0" w:space="0" w:color="auto"/>
        <w:left w:val="none" w:sz="0" w:space="0" w:color="auto"/>
        <w:bottom w:val="none" w:sz="0" w:space="0" w:color="auto"/>
        <w:right w:val="none" w:sz="0" w:space="0" w:color="auto"/>
      </w:divBdr>
    </w:div>
    <w:div w:id="537162938">
      <w:bodyDiv w:val="1"/>
      <w:marLeft w:val="0"/>
      <w:marRight w:val="0"/>
      <w:marTop w:val="0"/>
      <w:marBottom w:val="0"/>
      <w:divBdr>
        <w:top w:val="none" w:sz="0" w:space="0" w:color="auto"/>
        <w:left w:val="none" w:sz="0" w:space="0" w:color="auto"/>
        <w:bottom w:val="none" w:sz="0" w:space="0" w:color="auto"/>
        <w:right w:val="none" w:sz="0" w:space="0" w:color="auto"/>
      </w:divBdr>
    </w:div>
    <w:div w:id="537275111">
      <w:bodyDiv w:val="1"/>
      <w:marLeft w:val="0"/>
      <w:marRight w:val="0"/>
      <w:marTop w:val="0"/>
      <w:marBottom w:val="0"/>
      <w:divBdr>
        <w:top w:val="none" w:sz="0" w:space="0" w:color="auto"/>
        <w:left w:val="none" w:sz="0" w:space="0" w:color="auto"/>
        <w:bottom w:val="none" w:sz="0" w:space="0" w:color="auto"/>
        <w:right w:val="none" w:sz="0" w:space="0" w:color="auto"/>
      </w:divBdr>
    </w:div>
    <w:div w:id="537278975">
      <w:bodyDiv w:val="1"/>
      <w:marLeft w:val="0"/>
      <w:marRight w:val="0"/>
      <w:marTop w:val="0"/>
      <w:marBottom w:val="0"/>
      <w:divBdr>
        <w:top w:val="none" w:sz="0" w:space="0" w:color="auto"/>
        <w:left w:val="none" w:sz="0" w:space="0" w:color="auto"/>
        <w:bottom w:val="none" w:sz="0" w:space="0" w:color="auto"/>
        <w:right w:val="none" w:sz="0" w:space="0" w:color="auto"/>
      </w:divBdr>
    </w:div>
    <w:div w:id="537279295">
      <w:bodyDiv w:val="1"/>
      <w:marLeft w:val="0"/>
      <w:marRight w:val="0"/>
      <w:marTop w:val="0"/>
      <w:marBottom w:val="0"/>
      <w:divBdr>
        <w:top w:val="none" w:sz="0" w:space="0" w:color="auto"/>
        <w:left w:val="none" w:sz="0" w:space="0" w:color="auto"/>
        <w:bottom w:val="none" w:sz="0" w:space="0" w:color="auto"/>
        <w:right w:val="none" w:sz="0" w:space="0" w:color="auto"/>
      </w:divBdr>
    </w:div>
    <w:div w:id="537358349">
      <w:bodyDiv w:val="1"/>
      <w:marLeft w:val="0"/>
      <w:marRight w:val="0"/>
      <w:marTop w:val="0"/>
      <w:marBottom w:val="0"/>
      <w:divBdr>
        <w:top w:val="none" w:sz="0" w:space="0" w:color="auto"/>
        <w:left w:val="none" w:sz="0" w:space="0" w:color="auto"/>
        <w:bottom w:val="none" w:sz="0" w:space="0" w:color="auto"/>
        <w:right w:val="none" w:sz="0" w:space="0" w:color="auto"/>
      </w:divBdr>
    </w:div>
    <w:div w:id="537399609">
      <w:bodyDiv w:val="1"/>
      <w:marLeft w:val="0"/>
      <w:marRight w:val="0"/>
      <w:marTop w:val="0"/>
      <w:marBottom w:val="0"/>
      <w:divBdr>
        <w:top w:val="none" w:sz="0" w:space="0" w:color="auto"/>
        <w:left w:val="none" w:sz="0" w:space="0" w:color="auto"/>
        <w:bottom w:val="none" w:sz="0" w:space="0" w:color="auto"/>
        <w:right w:val="none" w:sz="0" w:space="0" w:color="auto"/>
      </w:divBdr>
    </w:div>
    <w:div w:id="537399923">
      <w:bodyDiv w:val="1"/>
      <w:marLeft w:val="0"/>
      <w:marRight w:val="0"/>
      <w:marTop w:val="0"/>
      <w:marBottom w:val="0"/>
      <w:divBdr>
        <w:top w:val="none" w:sz="0" w:space="0" w:color="auto"/>
        <w:left w:val="none" w:sz="0" w:space="0" w:color="auto"/>
        <w:bottom w:val="none" w:sz="0" w:space="0" w:color="auto"/>
        <w:right w:val="none" w:sz="0" w:space="0" w:color="auto"/>
      </w:divBdr>
    </w:div>
    <w:div w:id="537427037">
      <w:bodyDiv w:val="1"/>
      <w:marLeft w:val="0"/>
      <w:marRight w:val="0"/>
      <w:marTop w:val="0"/>
      <w:marBottom w:val="0"/>
      <w:divBdr>
        <w:top w:val="none" w:sz="0" w:space="0" w:color="auto"/>
        <w:left w:val="none" w:sz="0" w:space="0" w:color="auto"/>
        <w:bottom w:val="none" w:sz="0" w:space="0" w:color="auto"/>
        <w:right w:val="none" w:sz="0" w:space="0" w:color="auto"/>
      </w:divBdr>
    </w:div>
    <w:div w:id="537472429">
      <w:bodyDiv w:val="1"/>
      <w:marLeft w:val="0"/>
      <w:marRight w:val="0"/>
      <w:marTop w:val="0"/>
      <w:marBottom w:val="0"/>
      <w:divBdr>
        <w:top w:val="none" w:sz="0" w:space="0" w:color="auto"/>
        <w:left w:val="none" w:sz="0" w:space="0" w:color="auto"/>
        <w:bottom w:val="none" w:sz="0" w:space="0" w:color="auto"/>
        <w:right w:val="none" w:sz="0" w:space="0" w:color="auto"/>
      </w:divBdr>
    </w:div>
    <w:div w:id="537476080">
      <w:bodyDiv w:val="1"/>
      <w:marLeft w:val="0"/>
      <w:marRight w:val="0"/>
      <w:marTop w:val="0"/>
      <w:marBottom w:val="0"/>
      <w:divBdr>
        <w:top w:val="none" w:sz="0" w:space="0" w:color="auto"/>
        <w:left w:val="none" w:sz="0" w:space="0" w:color="auto"/>
        <w:bottom w:val="none" w:sz="0" w:space="0" w:color="auto"/>
        <w:right w:val="none" w:sz="0" w:space="0" w:color="auto"/>
      </w:divBdr>
    </w:div>
    <w:div w:id="537740924">
      <w:bodyDiv w:val="1"/>
      <w:marLeft w:val="0"/>
      <w:marRight w:val="0"/>
      <w:marTop w:val="0"/>
      <w:marBottom w:val="0"/>
      <w:divBdr>
        <w:top w:val="none" w:sz="0" w:space="0" w:color="auto"/>
        <w:left w:val="none" w:sz="0" w:space="0" w:color="auto"/>
        <w:bottom w:val="none" w:sz="0" w:space="0" w:color="auto"/>
        <w:right w:val="none" w:sz="0" w:space="0" w:color="auto"/>
      </w:divBdr>
    </w:div>
    <w:div w:id="537813403">
      <w:bodyDiv w:val="1"/>
      <w:marLeft w:val="0"/>
      <w:marRight w:val="0"/>
      <w:marTop w:val="0"/>
      <w:marBottom w:val="0"/>
      <w:divBdr>
        <w:top w:val="none" w:sz="0" w:space="0" w:color="auto"/>
        <w:left w:val="none" w:sz="0" w:space="0" w:color="auto"/>
        <w:bottom w:val="none" w:sz="0" w:space="0" w:color="auto"/>
        <w:right w:val="none" w:sz="0" w:space="0" w:color="auto"/>
      </w:divBdr>
    </w:div>
    <w:div w:id="537813521">
      <w:bodyDiv w:val="1"/>
      <w:marLeft w:val="0"/>
      <w:marRight w:val="0"/>
      <w:marTop w:val="0"/>
      <w:marBottom w:val="0"/>
      <w:divBdr>
        <w:top w:val="none" w:sz="0" w:space="0" w:color="auto"/>
        <w:left w:val="none" w:sz="0" w:space="0" w:color="auto"/>
        <w:bottom w:val="none" w:sz="0" w:space="0" w:color="auto"/>
        <w:right w:val="none" w:sz="0" w:space="0" w:color="auto"/>
      </w:divBdr>
    </w:div>
    <w:div w:id="538006833">
      <w:bodyDiv w:val="1"/>
      <w:marLeft w:val="0"/>
      <w:marRight w:val="0"/>
      <w:marTop w:val="0"/>
      <w:marBottom w:val="0"/>
      <w:divBdr>
        <w:top w:val="none" w:sz="0" w:space="0" w:color="auto"/>
        <w:left w:val="none" w:sz="0" w:space="0" w:color="auto"/>
        <w:bottom w:val="none" w:sz="0" w:space="0" w:color="auto"/>
        <w:right w:val="none" w:sz="0" w:space="0" w:color="auto"/>
      </w:divBdr>
    </w:div>
    <w:div w:id="538052040">
      <w:bodyDiv w:val="1"/>
      <w:marLeft w:val="0"/>
      <w:marRight w:val="0"/>
      <w:marTop w:val="0"/>
      <w:marBottom w:val="0"/>
      <w:divBdr>
        <w:top w:val="none" w:sz="0" w:space="0" w:color="auto"/>
        <w:left w:val="none" w:sz="0" w:space="0" w:color="auto"/>
        <w:bottom w:val="none" w:sz="0" w:space="0" w:color="auto"/>
        <w:right w:val="none" w:sz="0" w:space="0" w:color="auto"/>
      </w:divBdr>
    </w:div>
    <w:div w:id="538323632">
      <w:bodyDiv w:val="1"/>
      <w:marLeft w:val="0"/>
      <w:marRight w:val="0"/>
      <w:marTop w:val="0"/>
      <w:marBottom w:val="0"/>
      <w:divBdr>
        <w:top w:val="none" w:sz="0" w:space="0" w:color="auto"/>
        <w:left w:val="none" w:sz="0" w:space="0" w:color="auto"/>
        <w:bottom w:val="none" w:sz="0" w:space="0" w:color="auto"/>
        <w:right w:val="none" w:sz="0" w:space="0" w:color="auto"/>
      </w:divBdr>
    </w:div>
    <w:div w:id="538393964">
      <w:bodyDiv w:val="1"/>
      <w:marLeft w:val="0"/>
      <w:marRight w:val="0"/>
      <w:marTop w:val="0"/>
      <w:marBottom w:val="0"/>
      <w:divBdr>
        <w:top w:val="none" w:sz="0" w:space="0" w:color="auto"/>
        <w:left w:val="none" w:sz="0" w:space="0" w:color="auto"/>
        <w:bottom w:val="none" w:sz="0" w:space="0" w:color="auto"/>
        <w:right w:val="none" w:sz="0" w:space="0" w:color="auto"/>
      </w:divBdr>
    </w:div>
    <w:div w:id="538475357">
      <w:bodyDiv w:val="1"/>
      <w:marLeft w:val="0"/>
      <w:marRight w:val="0"/>
      <w:marTop w:val="0"/>
      <w:marBottom w:val="0"/>
      <w:divBdr>
        <w:top w:val="none" w:sz="0" w:space="0" w:color="auto"/>
        <w:left w:val="none" w:sz="0" w:space="0" w:color="auto"/>
        <w:bottom w:val="none" w:sz="0" w:space="0" w:color="auto"/>
        <w:right w:val="none" w:sz="0" w:space="0" w:color="auto"/>
      </w:divBdr>
    </w:div>
    <w:div w:id="538586754">
      <w:bodyDiv w:val="1"/>
      <w:marLeft w:val="0"/>
      <w:marRight w:val="0"/>
      <w:marTop w:val="0"/>
      <w:marBottom w:val="0"/>
      <w:divBdr>
        <w:top w:val="none" w:sz="0" w:space="0" w:color="auto"/>
        <w:left w:val="none" w:sz="0" w:space="0" w:color="auto"/>
        <w:bottom w:val="none" w:sz="0" w:space="0" w:color="auto"/>
        <w:right w:val="none" w:sz="0" w:space="0" w:color="auto"/>
      </w:divBdr>
    </w:div>
    <w:div w:id="538587978">
      <w:bodyDiv w:val="1"/>
      <w:marLeft w:val="0"/>
      <w:marRight w:val="0"/>
      <w:marTop w:val="0"/>
      <w:marBottom w:val="0"/>
      <w:divBdr>
        <w:top w:val="none" w:sz="0" w:space="0" w:color="auto"/>
        <w:left w:val="none" w:sz="0" w:space="0" w:color="auto"/>
        <w:bottom w:val="none" w:sz="0" w:space="0" w:color="auto"/>
        <w:right w:val="none" w:sz="0" w:space="0" w:color="auto"/>
      </w:divBdr>
    </w:div>
    <w:div w:id="538710831">
      <w:bodyDiv w:val="1"/>
      <w:marLeft w:val="0"/>
      <w:marRight w:val="0"/>
      <w:marTop w:val="0"/>
      <w:marBottom w:val="0"/>
      <w:divBdr>
        <w:top w:val="none" w:sz="0" w:space="0" w:color="auto"/>
        <w:left w:val="none" w:sz="0" w:space="0" w:color="auto"/>
        <w:bottom w:val="none" w:sz="0" w:space="0" w:color="auto"/>
        <w:right w:val="none" w:sz="0" w:space="0" w:color="auto"/>
      </w:divBdr>
    </w:div>
    <w:div w:id="538783692">
      <w:bodyDiv w:val="1"/>
      <w:marLeft w:val="0"/>
      <w:marRight w:val="0"/>
      <w:marTop w:val="0"/>
      <w:marBottom w:val="0"/>
      <w:divBdr>
        <w:top w:val="none" w:sz="0" w:space="0" w:color="auto"/>
        <w:left w:val="none" w:sz="0" w:space="0" w:color="auto"/>
        <w:bottom w:val="none" w:sz="0" w:space="0" w:color="auto"/>
        <w:right w:val="none" w:sz="0" w:space="0" w:color="auto"/>
      </w:divBdr>
    </w:div>
    <w:div w:id="538788239">
      <w:bodyDiv w:val="1"/>
      <w:marLeft w:val="0"/>
      <w:marRight w:val="0"/>
      <w:marTop w:val="0"/>
      <w:marBottom w:val="0"/>
      <w:divBdr>
        <w:top w:val="none" w:sz="0" w:space="0" w:color="auto"/>
        <w:left w:val="none" w:sz="0" w:space="0" w:color="auto"/>
        <w:bottom w:val="none" w:sz="0" w:space="0" w:color="auto"/>
        <w:right w:val="none" w:sz="0" w:space="0" w:color="auto"/>
      </w:divBdr>
    </w:div>
    <w:div w:id="538855931">
      <w:bodyDiv w:val="1"/>
      <w:marLeft w:val="0"/>
      <w:marRight w:val="0"/>
      <w:marTop w:val="0"/>
      <w:marBottom w:val="0"/>
      <w:divBdr>
        <w:top w:val="none" w:sz="0" w:space="0" w:color="auto"/>
        <w:left w:val="none" w:sz="0" w:space="0" w:color="auto"/>
        <w:bottom w:val="none" w:sz="0" w:space="0" w:color="auto"/>
        <w:right w:val="none" w:sz="0" w:space="0" w:color="auto"/>
      </w:divBdr>
    </w:div>
    <w:div w:id="538862903">
      <w:bodyDiv w:val="1"/>
      <w:marLeft w:val="0"/>
      <w:marRight w:val="0"/>
      <w:marTop w:val="0"/>
      <w:marBottom w:val="0"/>
      <w:divBdr>
        <w:top w:val="none" w:sz="0" w:space="0" w:color="auto"/>
        <w:left w:val="none" w:sz="0" w:space="0" w:color="auto"/>
        <w:bottom w:val="none" w:sz="0" w:space="0" w:color="auto"/>
        <w:right w:val="none" w:sz="0" w:space="0" w:color="auto"/>
      </w:divBdr>
    </w:div>
    <w:div w:id="538931129">
      <w:bodyDiv w:val="1"/>
      <w:marLeft w:val="0"/>
      <w:marRight w:val="0"/>
      <w:marTop w:val="0"/>
      <w:marBottom w:val="0"/>
      <w:divBdr>
        <w:top w:val="none" w:sz="0" w:space="0" w:color="auto"/>
        <w:left w:val="none" w:sz="0" w:space="0" w:color="auto"/>
        <w:bottom w:val="none" w:sz="0" w:space="0" w:color="auto"/>
        <w:right w:val="none" w:sz="0" w:space="0" w:color="auto"/>
      </w:divBdr>
    </w:div>
    <w:div w:id="538933932">
      <w:bodyDiv w:val="1"/>
      <w:marLeft w:val="0"/>
      <w:marRight w:val="0"/>
      <w:marTop w:val="0"/>
      <w:marBottom w:val="0"/>
      <w:divBdr>
        <w:top w:val="none" w:sz="0" w:space="0" w:color="auto"/>
        <w:left w:val="none" w:sz="0" w:space="0" w:color="auto"/>
        <w:bottom w:val="none" w:sz="0" w:space="0" w:color="auto"/>
        <w:right w:val="none" w:sz="0" w:space="0" w:color="auto"/>
      </w:divBdr>
    </w:div>
    <w:div w:id="538934403">
      <w:bodyDiv w:val="1"/>
      <w:marLeft w:val="0"/>
      <w:marRight w:val="0"/>
      <w:marTop w:val="0"/>
      <w:marBottom w:val="0"/>
      <w:divBdr>
        <w:top w:val="none" w:sz="0" w:space="0" w:color="auto"/>
        <w:left w:val="none" w:sz="0" w:space="0" w:color="auto"/>
        <w:bottom w:val="none" w:sz="0" w:space="0" w:color="auto"/>
        <w:right w:val="none" w:sz="0" w:space="0" w:color="auto"/>
      </w:divBdr>
    </w:div>
    <w:div w:id="539047601">
      <w:bodyDiv w:val="1"/>
      <w:marLeft w:val="0"/>
      <w:marRight w:val="0"/>
      <w:marTop w:val="0"/>
      <w:marBottom w:val="0"/>
      <w:divBdr>
        <w:top w:val="none" w:sz="0" w:space="0" w:color="auto"/>
        <w:left w:val="none" w:sz="0" w:space="0" w:color="auto"/>
        <w:bottom w:val="none" w:sz="0" w:space="0" w:color="auto"/>
        <w:right w:val="none" w:sz="0" w:space="0" w:color="auto"/>
      </w:divBdr>
    </w:div>
    <w:div w:id="539245744">
      <w:bodyDiv w:val="1"/>
      <w:marLeft w:val="0"/>
      <w:marRight w:val="0"/>
      <w:marTop w:val="0"/>
      <w:marBottom w:val="0"/>
      <w:divBdr>
        <w:top w:val="none" w:sz="0" w:space="0" w:color="auto"/>
        <w:left w:val="none" w:sz="0" w:space="0" w:color="auto"/>
        <w:bottom w:val="none" w:sz="0" w:space="0" w:color="auto"/>
        <w:right w:val="none" w:sz="0" w:space="0" w:color="auto"/>
      </w:divBdr>
    </w:div>
    <w:div w:id="539250460">
      <w:bodyDiv w:val="1"/>
      <w:marLeft w:val="0"/>
      <w:marRight w:val="0"/>
      <w:marTop w:val="0"/>
      <w:marBottom w:val="0"/>
      <w:divBdr>
        <w:top w:val="none" w:sz="0" w:space="0" w:color="auto"/>
        <w:left w:val="none" w:sz="0" w:space="0" w:color="auto"/>
        <w:bottom w:val="none" w:sz="0" w:space="0" w:color="auto"/>
        <w:right w:val="none" w:sz="0" w:space="0" w:color="auto"/>
      </w:divBdr>
    </w:div>
    <w:div w:id="539325141">
      <w:bodyDiv w:val="1"/>
      <w:marLeft w:val="0"/>
      <w:marRight w:val="0"/>
      <w:marTop w:val="0"/>
      <w:marBottom w:val="0"/>
      <w:divBdr>
        <w:top w:val="none" w:sz="0" w:space="0" w:color="auto"/>
        <w:left w:val="none" w:sz="0" w:space="0" w:color="auto"/>
        <w:bottom w:val="none" w:sz="0" w:space="0" w:color="auto"/>
        <w:right w:val="none" w:sz="0" w:space="0" w:color="auto"/>
      </w:divBdr>
    </w:div>
    <w:div w:id="539366051">
      <w:bodyDiv w:val="1"/>
      <w:marLeft w:val="0"/>
      <w:marRight w:val="0"/>
      <w:marTop w:val="0"/>
      <w:marBottom w:val="0"/>
      <w:divBdr>
        <w:top w:val="none" w:sz="0" w:space="0" w:color="auto"/>
        <w:left w:val="none" w:sz="0" w:space="0" w:color="auto"/>
        <w:bottom w:val="none" w:sz="0" w:space="0" w:color="auto"/>
        <w:right w:val="none" w:sz="0" w:space="0" w:color="auto"/>
      </w:divBdr>
    </w:div>
    <w:div w:id="539435531">
      <w:bodyDiv w:val="1"/>
      <w:marLeft w:val="0"/>
      <w:marRight w:val="0"/>
      <w:marTop w:val="0"/>
      <w:marBottom w:val="0"/>
      <w:divBdr>
        <w:top w:val="none" w:sz="0" w:space="0" w:color="auto"/>
        <w:left w:val="none" w:sz="0" w:space="0" w:color="auto"/>
        <w:bottom w:val="none" w:sz="0" w:space="0" w:color="auto"/>
        <w:right w:val="none" w:sz="0" w:space="0" w:color="auto"/>
      </w:divBdr>
    </w:div>
    <w:div w:id="539438086">
      <w:bodyDiv w:val="1"/>
      <w:marLeft w:val="0"/>
      <w:marRight w:val="0"/>
      <w:marTop w:val="0"/>
      <w:marBottom w:val="0"/>
      <w:divBdr>
        <w:top w:val="none" w:sz="0" w:space="0" w:color="auto"/>
        <w:left w:val="none" w:sz="0" w:space="0" w:color="auto"/>
        <w:bottom w:val="none" w:sz="0" w:space="0" w:color="auto"/>
        <w:right w:val="none" w:sz="0" w:space="0" w:color="auto"/>
      </w:divBdr>
    </w:div>
    <w:div w:id="539518296">
      <w:bodyDiv w:val="1"/>
      <w:marLeft w:val="0"/>
      <w:marRight w:val="0"/>
      <w:marTop w:val="0"/>
      <w:marBottom w:val="0"/>
      <w:divBdr>
        <w:top w:val="none" w:sz="0" w:space="0" w:color="auto"/>
        <w:left w:val="none" w:sz="0" w:space="0" w:color="auto"/>
        <w:bottom w:val="none" w:sz="0" w:space="0" w:color="auto"/>
        <w:right w:val="none" w:sz="0" w:space="0" w:color="auto"/>
      </w:divBdr>
    </w:div>
    <w:div w:id="539586202">
      <w:bodyDiv w:val="1"/>
      <w:marLeft w:val="0"/>
      <w:marRight w:val="0"/>
      <w:marTop w:val="0"/>
      <w:marBottom w:val="0"/>
      <w:divBdr>
        <w:top w:val="none" w:sz="0" w:space="0" w:color="auto"/>
        <w:left w:val="none" w:sz="0" w:space="0" w:color="auto"/>
        <w:bottom w:val="none" w:sz="0" w:space="0" w:color="auto"/>
        <w:right w:val="none" w:sz="0" w:space="0" w:color="auto"/>
      </w:divBdr>
    </w:div>
    <w:div w:id="539632900">
      <w:bodyDiv w:val="1"/>
      <w:marLeft w:val="0"/>
      <w:marRight w:val="0"/>
      <w:marTop w:val="0"/>
      <w:marBottom w:val="0"/>
      <w:divBdr>
        <w:top w:val="none" w:sz="0" w:space="0" w:color="auto"/>
        <w:left w:val="none" w:sz="0" w:space="0" w:color="auto"/>
        <w:bottom w:val="none" w:sz="0" w:space="0" w:color="auto"/>
        <w:right w:val="none" w:sz="0" w:space="0" w:color="auto"/>
      </w:divBdr>
    </w:div>
    <w:div w:id="539821133">
      <w:bodyDiv w:val="1"/>
      <w:marLeft w:val="0"/>
      <w:marRight w:val="0"/>
      <w:marTop w:val="0"/>
      <w:marBottom w:val="0"/>
      <w:divBdr>
        <w:top w:val="none" w:sz="0" w:space="0" w:color="auto"/>
        <w:left w:val="none" w:sz="0" w:space="0" w:color="auto"/>
        <w:bottom w:val="none" w:sz="0" w:space="0" w:color="auto"/>
        <w:right w:val="none" w:sz="0" w:space="0" w:color="auto"/>
      </w:divBdr>
    </w:div>
    <w:div w:id="539974086">
      <w:bodyDiv w:val="1"/>
      <w:marLeft w:val="0"/>
      <w:marRight w:val="0"/>
      <w:marTop w:val="0"/>
      <w:marBottom w:val="0"/>
      <w:divBdr>
        <w:top w:val="none" w:sz="0" w:space="0" w:color="auto"/>
        <w:left w:val="none" w:sz="0" w:space="0" w:color="auto"/>
        <w:bottom w:val="none" w:sz="0" w:space="0" w:color="auto"/>
        <w:right w:val="none" w:sz="0" w:space="0" w:color="auto"/>
      </w:divBdr>
    </w:div>
    <w:div w:id="540020775">
      <w:bodyDiv w:val="1"/>
      <w:marLeft w:val="0"/>
      <w:marRight w:val="0"/>
      <w:marTop w:val="0"/>
      <w:marBottom w:val="0"/>
      <w:divBdr>
        <w:top w:val="none" w:sz="0" w:space="0" w:color="auto"/>
        <w:left w:val="none" w:sz="0" w:space="0" w:color="auto"/>
        <w:bottom w:val="none" w:sz="0" w:space="0" w:color="auto"/>
        <w:right w:val="none" w:sz="0" w:space="0" w:color="auto"/>
      </w:divBdr>
    </w:div>
    <w:div w:id="540093742">
      <w:bodyDiv w:val="1"/>
      <w:marLeft w:val="0"/>
      <w:marRight w:val="0"/>
      <w:marTop w:val="0"/>
      <w:marBottom w:val="0"/>
      <w:divBdr>
        <w:top w:val="none" w:sz="0" w:space="0" w:color="auto"/>
        <w:left w:val="none" w:sz="0" w:space="0" w:color="auto"/>
        <w:bottom w:val="none" w:sz="0" w:space="0" w:color="auto"/>
        <w:right w:val="none" w:sz="0" w:space="0" w:color="auto"/>
      </w:divBdr>
    </w:div>
    <w:div w:id="540244349">
      <w:bodyDiv w:val="1"/>
      <w:marLeft w:val="0"/>
      <w:marRight w:val="0"/>
      <w:marTop w:val="0"/>
      <w:marBottom w:val="0"/>
      <w:divBdr>
        <w:top w:val="none" w:sz="0" w:space="0" w:color="auto"/>
        <w:left w:val="none" w:sz="0" w:space="0" w:color="auto"/>
        <w:bottom w:val="none" w:sz="0" w:space="0" w:color="auto"/>
        <w:right w:val="none" w:sz="0" w:space="0" w:color="auto"/>
      </w:divBdr>
    </w:div>
    <w:div w:id="540364138">
      <w:bodyDiv w:val="1"/>
      <w:marLeft w:val="0"/>
      <w:marRight w:val="0"/>
      <w:marTop w:val="0"/>
      <w:marBottom w:val="0"/>
      <w:divBdr>
        <w:top w:val="none" w:sz="0" w:space="0" w:color="auto"/>
        <w:left w:val="none" w:sz="0" w:space="0" w:color="auto"/>
        <w:bottom w:val="none" w:sz="0" w:space="0" w:color="auto"/>
        <w:right w:val="none" w:sz="0" w:space="0" w:color="auto"/>
      </w:divBdr>
    </w:div>
    <w:div w:id="540477419">
      <w:bodyDiv w:val="1"/>
      <w:marLeft w:val="0"/>
      <w:marRight w:val="0"/>
      <w:marTop w:val="0"/>
      <w:marBottom w:val="0"/>
      <w:divBdr>
        <w:top w:val="none" w:sz="0" w:space="0" w:color="auto"/>
        <w:left w:val="none" w:sz="0" w:space="0" w:color="auto"/>
        <w:bottom w:val="none" w:sz="0" w:space="0" w:color="auto"/>
        <w:right w:val="none" w:sz="0" w:space="0" w:color="auto"/>
      </w:divBdr>
    </w:div>
    <w:div w:id="540554953">
      <w:bodyDiv w:val="1"/>
      <w:marLeft w:val="0"/>
      <w:marRight w:val="0"/>
      <w:marTop w:val="0"/>
      <w:marBottom w:val="0"/>
      <w:divBdr>
        <w:top w:val="none" w:sz="0" w:space="0" w:color="auto"/>
        <w:left w:val="none" w:sz="0" w:space="0" w:color="auto"/>
        <w:bottom w:val="none" w:sz="0" w:space="0" w:color="auto"/>
        <w:right w:val="none" w:sz="0" w:space="0" w:color="auto"/>
      </w:divBdr>
    </w:div>
    <w:div w:id="540558242">
      <w:bodyDiv w:val="1"/>
      <w:marLeft w:val="0"/>
      <w:marRight w:val="0"/>
      <w:marTop w:val="0"/>
      <w:marBottom w:val="0"/>
      <w:divBdr>
        <w:top w:val="none" w:sz="0" w:space="0" w:color="auto"/>
        <w:left w:val="none" w:sz="0" w:space="0" w:color="auto"/>
        <w:bottom w:val="none" w:sz="0" w:space="0" w:color="auto"/>
        <w:right w:val="none" w:sz="0" w:space="0" w:color="auto"/>
      </w:divBdr>
    </w:div>
    <w:div w:id="540630072">
      <w:bodyDiv w:val="1"/>
      <w:marLeft w:val="0"/>
      <w:marRight w:val="0"/>
      <w:marTop w:val="0"/>
      <w:marBottom w:val="0"/>
      <w:divBdr>
        <w:top w:val="none" w:sz="0" w:space="0" w:color="auto"/>
        <w:left w:val="none" w:sz="0" w:space="0" w:color="auto"/>
        <w:bottom w:val="none" w:sz="0" w:space="0" w:color="auto"/>
        <w:right w:val="none" w:sz="0" w:space="0" w:color="auto"/>
      </w:divBdr>
    </w:div>
    <w:div w:id="540631701">
      <w:bodyDiv w:val="1"/>
      <w:marLeft w:val="0"/>
      <w:marRight w:val="0"/>
      <w:marTop w:val="0"/>
      <w:marBottom w:val="0"/>
      <w:divBdr>
        <w:top w:val="none" w:sz="0" w:space="0" w:color="auto"/>
        <w:left w:val="none" w:sz="0" w:space="0" w:color="auto"/>
        <w:bottom w:val="none" w:sz="0" w:space="0" w:color="auto"/>
        <w:right w:val="none" w:sz="0" w:space="0" w:color="auto"/>
      </w:divBdr>
    </w:div>
    <w:div w:id="540632207">
      <w:bodyDiv w:val="1"/>
      <w:marLeft w:val="0"/>
      <w:marRight w:val="0"/>
      <w:marTop w:val="0"/>
      <w:marBottom w:val="0"/>
      <w:divBdr>
        <w:top w:val="none" w:sz="0" w:space="0" w:color="auto"/>
        <w:left w:val="none" w:sz="0" w:space="0" w:color="auto"/>
        <w:bottom w:val="none" w:sz="0" w:space="0" w:color="auto"/>
        <w:right w:val="none" w:sz="0" w:space="0" w:color="auto"/>
      </w:divBdr>
    </w:div>
    <w:div w:id="540702790">
      <w:bodyDiv w:val="1"/>
      <w:marLeft w:val="0"/>
      <w:marRight w:val="0"/>
      <w:marTop w:val="0"/>
      <w:marBottom w:val="0"/>
      <w:divBdr>
        <w:top w:val="none" w:sz="0" w:space="0" w:color="auto"/>
        <w:left w:val="none" w:sz="0" w:space="0" w:color="auto"/>
        <w:bottom w:val="none" w:sz="0" w:space="0" w:color="auto"/>
        <w:right w:val="none" w:sz="0" w:space="0" w:color="auto"/>
      </w:divBdr>
    </w:div>
    <w:div w:id="540751944">
      <w:bodyDiv w:val="1"/>
      <w:marLeft w:val="0"/>
      <w:marRight w:val="0"/>
      <w:marTop w:val="0"/>
      <w:marBottom w:val="0"/>
      <w:divBdr>
        <w:top w:val="none" w:sz="0" w:space="0" w:color="auto"/>
        <w:left w:val="none" w:sz="0" w:space="0" w:color="auto"/>
        <w:bottom w:val="none" w:sz="0" w:space="0" w:color="auto"/>
        <w:right w:val="none" w:sz="0" w:space="0" w:color="auto"/>
      </w:divBdr>
    </w:div>
    <w:div w:id="540900685">
      <w:bodyDiv w:val="1"/>
      <w:marLeft w:val="0"/>
      <w:marRight w:val="0"/>
      <w:marTop w:val="0"/>
      <w:marBottom w:val="0"/>
      <w:divBdr>
        <w:top w:val="none" w:sz="0" w:space="0" w:color="auto"/>
        <w:left w:val="none" w:sz="0" w:space="0" w:color="auto"/>
        <w:bottom w:val="none" w:sz="0" w:space="0" w:color="auto"/>
        <w:right w:val="none" w:sz="0" w:space="0" w:color="auto"/>
      </w:divBdr>
    </w:div>
    <w:div w:id="541131615">
      <w:bodyDiv w:val="1"/>
      <w:marLeft w:val="0"/>
      <w:marRight w:val="0"/>
      <w:marTop w:val="0"/>
      <w:marBottom w:val="0"/>
      <w:divBdr>
        <w:top w:val="none" w:sz="0" w:space="0" w:color="auto"/>
        <w:left w:val="none" w:sz="0" w:space="0" w:color="auto"/>
        <w:bottom w:val="none" w:sz="0" w:space="0" w:color="auto"/>
        <w:right w:val="none" w:sz="0" w:space="0" w:color="auto"/>
      </w:divBdr>
    </w:div>
    <w:div w:id="541332379">
      <w:bodyDiv w:val="1"/>
      <w:marLeft w:val="0"/>
      <w:marRight w:val="0"/>
      <w:marTop w:val="0"/>
      <w:marBottom w:val="0"/>
      <w:divBdr>
        <w:top w:val="none" w:sz="0" w:space="0" w:color="auto"/>
        <w:left w:val="none" w:sz="0" w:space="0" w:color="auto"/>
        <w:bottom w:val="none" w:sz="0" w:space="0" w:color="auto"/>
        <w:right w:val="none" w:sz="0" w:space="0" w:color="auto"/>
      </w:divBdr>
    </w:div>
    <w:div w:id="541553568">
      <w:bodyDiv w:val="1"/>
      <w:marLeft w:val="0"/>
      <w:marRight w:val="0"/>
      <w:marTop w:val="0"/>
      <w:marBottom w:val="0"/>
      <w:divBdr>
        <w:top w:val="none" w:sz="0" w:space="0" w:color="auto"/>
        <w:left w:val="none" w:sz="0" w:space="0" w:color="auto"/>
        <w:bottom w:val="none" w:sz="0" w:space="0" w:color="auto"/>
        <w:right w:val="none" w:sz="0" w:space="0" w:color="auto"/>
      </w:divBdr>
    </w:div>
    <w:div w:id="541554811">
      <w:bodyDiv w:val="1"/>
      <w:marLeft w:val="0"/>
      <w:marRight w:val="0"/>
      <w:marTop w:val="0"/>
      <w:marBottom w:val="0"/>
      <w:divBdr>
        <w:top w:val="none" w:sz="0" w:space="0" w:color="auto"/>
        <w:left w:val="none" w:sz="0" w:space="0" w:color="auto"/>
        <w:bottom w:val="none" w:sz="0" w:space="0" w:color="auto"/>
        <w:right w:val="none" w:sz="0" w:space="0" w:color="auto"/>
      </w:divBdr>
    </w:div>
    <w:div w:id="541555950">
      <w:bodyDiv w:val="1"/>
      <w:marLeft w:val="0"/>
      <w:marRight w:val="0"/>
      <w:marTop w:val="0"/>
      <w:marBottom w:val="0"/>
      <w:divBdr>
        <w:top w:val="none" w:sz="0" w:space="0" w:color="auto"/>
        <w:left w:val="none" w:sz="0" w:space="0" w:color="auto"/>
        <w:bottom w:val="none" w:sz="0" w:space="0" w:color="auto"/>
        <w:right w:val="none" w:sz="0" w:space="0" w:color="auto"/>
      </w:divBdr>
    </w:div>
    <w:div w:id="541594864">
      <w:bodyDiv w:val="1"/>
      <w:marLeft w:val="0"/>
      <w:marRight w:val="0"/>
      <w:marTop w:val="0"/>
      <w:marBottom w:val="0"/>
      <w:divBdr>
        <w:top w:val="none" w:sz="0" w:space="0" w:color="auto"/>
        <w:left w:val="none" w:sz="0" w:space="0" w:color="auto"/>
        <w:bottom w:val="none" w:sz="0" w:space="0" w:color="auto"/>
        <w:right w:val="none" w:sz="0" w:space="0" w:color="auto"/>
      </w:divBdr>
    </w:div>
    <w:div w:id="541595356">
      <w:bodyDiv w:val="1"/>
      <w:marLeft w:val="0"/>
      <w:marRight w:val="0"/>
      <w:marTop w:val="0"/>
      <w:marBottom w:val="0"/>
      <w:divBdr>
        <w:top w:val="none" w:sz="0" w:space="0" w:color="auto"/>
        <w:left w:val="none" w:sz="0" w:space="0" w:color="auto"/>
        <w:bottom w:val="none" w:sz="0" w:space="0" w:color="auto"/>
        <w:right w:val="none" w:sz="0" w:space="0" w:color="auto"/>
      </w:divBdr>
    </w:div>
    <w:div w:id="541668799">
      <w:bodyDiv w:val="1"/>
      <w:marLeft w:val="0"/>
      <w:marRight w:val="0"/>
      <w:marTop w:val="0"/>
      <w:marBottom w:val="0"/>
      <w:divBdr>
        <w:top w:val="none" w:sz="0" w:space="0" w:color="auto"/>
        <w:left w:val="none" w:sz="0" w:space="0" w:color="auto"/>
        <w:bottom w:val="none" w:sz="0" w:space="0" w:color="auto"/>
        <w:right w:val="none" w:sz="0" w:space="0" w:color="auto"/>
      </w:divBdr>
    </w:div>
    <w:div w:id="541675235">
      <w:bodyDiv w:val="1"/>
      <w:marLeft w:val="0"/>
      <w:marRight w:val="0"/>
      <w:marTop w:val="0"/>
      <w:marBottom w:val="0"/>
      <w:divBdr>
        <w:top w:val="none" w:sz="0" w:space="0" w:color="auto"/>
        <w:left w:val="none" w:sz="0" w:space="0" w:color="auto"/>
        <w:bottom w:val="none" w:sz="0" w:space="0" w:color="auto"/>
        <w:right w:val="none" w:sz="0" w:space="0" w:color="auto"/>
      </w:divBdr>
    </w:div>
    <w:div w:id="541791653">
      <w:bodyDiv w:val="1"/>
      <w:marLeft w:val="0"/>
      <w:marRight w:val="0"/>
      <w:marTop w:val="0"/>
      <w:marBottom w:val="0"/>
      <w:divBdr>
        <w:top w:val="none" w:sz="0" w:space="0" w:color="auto"/>
        <w:left w:val="none" w:sz="0" w:space="0" w:color="auto"/>
        <w:bottom w:val="none" w:sz="0" w:space="0" w:color="auto"/>
        <w:right w:val="none" w:sz="0" w:space="0" w:color="auto"/>
      </w:divBdr>
    </w:div>
    <w:div w:id="541866886">
      <w:bodyDiv w:val="1"/>
      <w:marLeft w:val="0"/>
      <w:marRight w:val="0"/>
      <w:marTop w:val="0"/>
      <w:marBottom w:val="0"/>
      <w:divBdr>
        <w:top w:val="none" w:sz="0" w:space="0" w:color="auto"/>
        <w:left w:val="none" w:sz="0" w:space="0" w:color="auto"/>
        <w:bottom w:val="none" w:sz="0" w:space="0" w:color="auto"/>
        <w:right w:val="none" w:sz="0" w:space="0" w:color="auto"/>
      </w:divBdr>
    </w:div>
    <w:div w:id="541937377">
      <w:bodyDiv w:val="1"/>
      <w:marLeft w:val="0"/>
      <w:marRight w:val="0"/>
      <w:marTop w:val="0"/>
      <w:marBottom w:val="0"/>
      <w:divBdr>
        <w:top w:val="none" w:sz="0" w:space="0" w:color="auto"/>
        <w:left w:val="none" w:sz="0" w:space="0" w:color="auto"/>
        <w:bottom w:val="none" w:sz="0" w:space="0" w:color="auto"/>
        <w:right w:val="none" w:sz="0" w:space="0" w:color="auto"/>
      </w:divBdr>
    </w:div>
    <w:div w:id="541945511">
      <w:bodyDiv w:val="1"/>
      <w:marLeft w:val="0"/>
      <w:marRight w:val="0"/>
      <w:marTop w:val="0"/>
      <w:marBottom w:val="0"/>
      <w:divBdr>
        <w:top w:val="none" w:sz="0" w:space="0" w:color="auto"/>
        <w:left w:val="none" w:sz="0" w:space="0" w:color="auto"/>
        <w:bottom w:val="none" w:sz="0" w:space="0" w:color="auto"/>
        <w:right w:val="none" w:sz="0" w:space="0" w:color="auto"/>
      </w:divBdr>
    </w:div>
    <w:div w:id="541984421">
      <w:bodyDiv w:val="1"/>
      <w:marLeft w:val="0"/>
      <w:marRight w:val="0"/>
      <w:marTop w:val="0"/>
      <w:marBottom w:val="0"/>
      <w:divBdr>
        <w:top w:val="none" w:sz="0" w:space="0" w:color="auto"/>
        <w:left w:val="none" w:sz="0" w:space="0" w:color="auto"/>
        <w:bottom w:val="none" w:sz="0" w:space="0" w:color="auto"/>
        <w:right w:val="none" w:sz="0" w:space="0" w:color="auto"/>
      </w:divBdr>
    </w:div>
    <w:div w:id="542014612">
      <w:bodyDiv w:val="1"/>
      <w:marLeft w:val="0"/>
      <w:marRight w:val="0"/>
      <w:marTop w:val="0"/>
      <w:marBottom w:val="0"/>
      <w:divBdr>
        <w:top w:val="none" w:sz="0" w:space="0" w:color="auto"/>
        <w:left w:val="none" w:sz="0" w:space="0" w:color="auto"/>
        <w:bottom w:val="none" w:sz="0" w:space="0" w:color="auto"/>
        <w:right w:val="none" w:sz="0" w:space="0" w:color="auto"/>
      </w:divBdr>
    </w:div>
    <w:div w:id="542058916">
      <w:bodyDiv w:val="1"/>
      <w:marLeft w:val="0"/>
      <w:marRight w:val="0"/>
      <w:marTop w:val="0"/>
      <w:marBottom w:val="0"/>
      <w:divBdr>
        <w:top w:val="none" w:sz="0" w:space="0" w:color="auto"/>
        <w:left w:val="none" w:sz="0" w:space="0" w:color="auto"/>
        <w:bottom w:val="none" w:sz="0" w:space="0" w:color="auto"/>
        <w:right w:val="none" w:sz="0" w:space="0" w:color="auto"/>
      </w:divBdr>
    </w:div>
    <w:div w:id="542061955">
      <w:bodyDiv w:val="1"/>
      <w:marLeft w:val="0"/>
      <w:marRight w:val="0"/>
      <w:marTop w:val="0"/>
      <w:marBottom w:val="0"/>
      <w:divBdr>
        <w:top w:val="none" w:sz="0" w:space="0" w:color="auto"/>
        <w:left w:val="none" w:sz="0" w:space="0" w:color="auto"/>
        <w:bottom w:val="none" w:sz="0" w:space="0" w:color="auto"/>
        <w:right w:val="none" w:sz="0" w:space="0" w:color="auto"/>
      </w:divBdr>
    </w:div>
    <w:div w:id="542131993">
      <w:bodyDiv w:val="1"/>
      <w:marLeft w:val="0"/>
      <w:marRight w:val="0"/>
      <w:marTop w:val="0"/>
      <w:marBottom w:val="0"/>
      <w:divBdr>
        <w:top w:val="none" w:sz="0" w:space="0" w:color="auto"/>
        <w:left w:val="none" w:sz="0" w:space="0" w:color="auto"/>
        <w:bottom w:val="none" w:sz="0" w:space="0" w:color="auto"/>
        <w:right w:val="none" w:sz="0" w:space="0" w:color="auto"/>
      </w:divBdr>
    </w:div>
    <w:div w:id="542136799">
      <w:bodyDiv w:val="1"/>
      <w:marLeft w:val="0"/>
      <w:marRight w:val="0"/>
      <w:marTop w:val="0"/>
      <w:marBottom w:val="0"/>
      <w:divBdr>
        <w:top w:val="none" w:sz="0" w:space="0" w:color="auto"/>
        <w:left w:val="none" w:sz="0" w:space="0" w:color="auto"/>
        <w:bottom w:val="none" w:sz="0" w:space="0" w:color="auto"/>
        <w:right w:val="none" w:sz="0" w:space="0" w:color="auto"/>
      </w:divBdr>
    </w:div>
    <w:div w:id="542179398">
      <w:bodyDiv w:val="1"/>
      <w:marLeft w:val="0"/>
      <w:marRight w:val="0"/>
      <w:marTop w:val="0"/>
      <w:marBottom w:val="0"/>
      <w:divBdr>
        <w:top w:val="none" w:sz="0" w:space="0" w:color="auto"/>
        <w:left w:val="none" w:sz="0" w:space="0" w:color="auto"/>
        <w:bottom w:val="none" w:sz="0" w:space="0" w:color="auto"/>
        <w:right w:val="none" w:sz="0" w:space="0" w:color="auto"/>
      </w:divBdr>
    </w:div>
    <w:div w:id="542251733">
      <w:bodyDiv w:val="1"/>
      <w:marLeft w:val="0"/>
      <w:marRight w:val="0"/>
      <w:marTop w:val="0"/>
      <w:marBottom w:val="0"/>
      <w:divBdr>
        <w:top w:val="none" w:sz="0" w:space="0" w:color="auto"/>
        <w:left w:val="none" w:sz="0" w:space="0" w:color="auto"/>
        <w:bottom w:val="none" w:sz="0" w:space="0" w:color="auto"/>
        <w:right w:val="none" w:sz="0" w:space="0" w:color="auto"/>
      </w:divBdr>
    </w:div>
    <w:div w:id="542253629">
      <w:bodyDiv w:val="1"/>
      <w:marLeft w:val="0"/>
      <w:marRight w:val="0"/>
      <w:marTop w:val="0"/>
      <w:marBottom w:val="0"/>
      <w:divBdr>
        <w:top w:val="none" w:sz="0" w:space="0" w:color="auto"/>
        <w:left w:val="none" w:sz="0" w:space="0" w:color="auto"/>
        <w:bottom w:val="none" w:sz="0" w:space="0" w:color="auto"/>
        <w:right w:val="none" w:sz="0" w:space="0" w:color="auto"/>
      </w:divBdr>
    </w:div>
    <w:div w:id="542256629">
      <w:bodyDiv w:val="1"/>
      <w:marLeft w:val="0"/>
      <w:marRight w:val="0"/>
      <w:marTop w:val="0"/>
      <w:marBottom w:val="0"/>
      <w:divBdr>
        <w:top w:val="none" w:sz="0" w:space="0" w:color="auto"/>
        <w:left w:val="none" w:sz="0" w:space="0" w:color="auto"/>
        <w:bottom w:val="none" w:sz="0" w:space="0" w:color="auto"/>
        <w:right w:val="none" w:sz="0" w:space="0" w:color="auto"/>
      </w:divBdr>
    </w:div>
    <w:div w:id="542331403">
      <w:bodyDiv w:val="1"/>
      <w:marLeft w:val="0"/>
      <w:marRight w:val="0"/>
      <w:marTop w:val="0"/>
      <w:marBottom w:val="0"/>
      <w:divBdr>
        <w:top w:val="none" w:sz="0" w:space="0" w:color="auto"/>
        <w:left w:val="none" w:sz="0" w:space="0" w:color="auto"/>
        <w:bottom w:val="none" w:sz="0" w:space="0" w:color="auto"/>
        <w:right w:val="none" w:sz="0" w:space="0" w:color="auto"/>
      </w:divBdr>
    </w:div>
    <w:div w:id="542376156">
      <w:bodyDiv w:val="1"/>
      <w:marLeft w:val="0"/>
      <w:marRight w:val="0"/>
      <w:marTop w:val="0"/>
      <w:marBottom w:val="0"/>
      <w:divBdr>
        <w:top w:val="none" w:sz="0" w:space="0" w:color="auto"/>
        <w:left w:val="none" w:sz="0" w:space="0" w:color="auto"/>
        <w:bottom w:val="none" w:sz="0" w:space="0" w:color="auto"/>
        <w:right w:val="none" w:sz="0" w:space="0" w:color="auto"/>
      </w:divBdr>
    </w:div>
    <w:div w:id="542596574">
      <w:bodyDiv w:val="1"/>
      <w:marLeft w:val="0"/>
      <w:marRight w:val="0"/>
      <w:marTop w:val="0"/>
      <w:marBottom w:val="0"/>
      <w:divBdr>
        <w:top w:val="none" w:sz="0" w:space="0" w:color="auto"/>
        <w:left w:val="none" w:sz="0" w:space="0" w:color="auto"/>
        <w:bottom w:val="none" w:sz="0" w:space="0" w:color="auto"/>
        <w:right w:val="none" w:sz="0" w:space="0" w:color="auto"/>
      </w:divBdr>
    </w:div>
    <w:div w:id="542715650">
      <w:bodyDiv w:val="1"/>
      <w:marLeft w:val="0"/>
      <w:marRight w:val="0"/>
      <w:marTop w:val="0"/>
      <w:marBottom w:val="0"/>
      <w:divBdr>
        <w:top w:val="none" w:sz="0" w:space="0" w:color="auto"/>
        <w:left w:val="none" w:sz="0" w:space="0" w:color="auto"/>
        <w:bottom w:val="none" w:sz="0" w:space="0" w:color="auto"/>
        <w:right w:val="none" w:sz="0" w:space="0" w:color="auto"/>
      </w:divBdr>
    </w:div>
    <w:div w:id="542979638">
      <w:bodyDiv w:val="1"/>
      <w:marLeft w:val="0"/>
      <w:marRight w:val="0"/>
      <w:marTop w:val="0"/>
      <w:marBottom w:val="0"/>
      <w:divBdr>
        <w:top w:val="none" w:sz="0" w:space="0" w:color="auto"/>
        <w:left w:val="none" w:sz="0" w:space="0" w:color="auto"/>
        <w:bottom w:val="none" w:sz="0" w:space="0" w:color="auto"/>
        <w:right w:val="none" w:sz="0" w:space="0" w:color="auto"/>
      </w:divBdr>
    </w:div>
    <w:div w:id="543172970">
      <w:bodyDiv w:val="1"/>
      <w:marLeft w:val="0"/>
      <w:marRight w:val="0"/>
      <w:marTop w:val="0"/>
      <w:marBottom w:val="0"/>
      <w:divBdr>
        <w:top w:val="none" w:sz="0" w:space="0" w:color="auto"/>
        <w:left w:val="none" w:sz="0" w:space="0" w:color="auto"/>
        <w:bottom w:val="none" w:sz="0" w:space="0" w:color="auto"/>
        <w:right w:val="none" w:sz="0" w:space="0" w:color="auto"/>
      </w:divBdr>
    </w:div>
    <w:div w:id="543181215">
      <w:bodyDiv w:val="1"/>
      <w:marLeft w:val="0"/>
      <w:marRight w:val="0"/>
      <w:marTop w:val="0"/>
      <w:marBottom w:val="0"/>
      <w:divBdr>
        <w:top w:val="none" w:sz="0" w:space="0" w:color="auto"/>
        <w:left w:val="none" w:sz="0" w:space="0" w:color="auto"/>
        <w:bottom w:val="none" w:sz="0" w:space="0" w:color="auto"/>
        <w:right w:val="none" w:sz="0" w:space="0" w:color="auto"/>
      </w:divBdr>
    </w:div>
    <w:div w:id="543249773">
      <w:bodyDiv w:val="1"/>
      <w:marLeft w:val="0"/>
      <w:marRight w:val="0"/>
      <w:marTop w:val="0"/>
      <w:marBottom w:val="0"/>
      <w:divBdr>
        <w:top w:val="none" w:sz="0" w:space="0" w:color="auto"/>
        <w:left w:val="none" w:sz="0" w:space="0" w:color="auto"/>
        <w:bottom w:val="none" w:sz="0" w:space="0" w:color="auto"/>
        <w:right w:val="none" w:sz="0" w:space="0" w:color="auto"/>
      </w:divBdr>
    </w:div>
    <w:div w:id="543296800">
      <w:bodyDiv w:val="1"/>
      <w:marLeft w:val="0"/>
      <w:marRight w:val="0"/>
      <w:marTop w:val="0"/>
      <w:marBottom w:val="0"/>
      <w:divBdr>
        <w:top w:val="none" w:sz="0" w:space="0" w:color="auto"/>
        <w:left w:val="none" w:sz="0" w:space="0" w:color="auto"/>
        <w:bottom w:val="none" w:sz="0" w:space="0" w:color="auto"/>
        <w:right w:val="none" w:sz="0" w:space="0" w:color="auto"/>
      </w:divBdr>
    </w:div>
    <w:div w:id="543298943">
      <w:bodyDiv w:val="1"/>
      <w:marLeft w:val="0"/>
      <w:marRight w:val="0"/>
      <w:marTop w:val="0"/>
      <w:marBottom w:val="0"/>
      <w:divBdr>
        <w:top w:val="none" w:sz="0" w:space="0" w:color="auto"/>
        <w:left w:val="none" w:sz="0" w:space="0" w:color="auto"/>
        <w:bottom w:val="none" w:sz="0" w:space="0" w:color="auto"/>
        <w:right w:val="none" w:sz="0" w:space="0" w:color="auto"/>
      </w:divBdr>
    </w:div>
    <w:div w:id="543492296">
      <w:bodyDiv w:val="1"/>
      <w:marLeft w:val="0"/>
      <w:marRight w:val="0"/>
      <w:marTop w:val="0"/>
      <w:marBottom w:val="0"/>
      <w:divBdr>
        <w:top w:val="none" w:sz="0" w:space="0" w:color="auto"/>
        <w:left w:val="none" w:sz="0" w:space="0" w:color="auto"/>
        <w:bottom w:val="none" w:sz="0" w:space="0" w:color="auto"/>
        <w:right w:val="none" w:sz="0" w:space="0" w:color="auto"/>
      </w:divBdr>
    </w:div>
    <w:div w:id="543518300">
      <w:bodyDiv w:val="1"/>
      <w:marLeft w:val="0"/>
      <w:marRight w:val="0"/>
      <w:marTop w:val="0"/>
      <w:marBottom w:val="0"/>
      <w:divBdr>
        <w:top w:val="none" w:sz="0" w:space="0" w:color="auto"/>
        <w:left w:val="none" w:sz="0" w:space="0" w:color="auto"/>
        <w:bottom w:val="none" w:sz="0" w:space="0" w:color="auto"/>
        <w:right w:val="none" w:sz="0" w:space="0" w:color="auto"/>
      </w:divBdr>
    </w:div>
    <w:div w:id="543521612">
      <w:bodyDiv w:val="1"/>
      <w:marLeft w:val="0"/>
      <w:marRight w:val="0"/>
      <w:marTop w:val="0"/>
      <w:marBottom w:val="0"/>
      <w:divBdr>
        <w:top w:val="none" w:sz="0" w:space="0" w:color="auto"/>
        <w:left w:val="none" w:sz="0" w:space="0" w:color="auto"/>
        <w:bottom w:val="none" w:sz="0" w:space="0" w:color="auto"/>
        <w:right w:val="none" w:sz="0" w:space="0" w:color="auto"/>
      </w:divBdr>
    </w:div>
    <w:div w:id="543566667">
      <w:bodyDiv w:val="1"/>
      <w:marLeft w:val="0"/>
      <w:marRight w:val="0"/>
      <w:marTop w:val="0"/>
      <w:marBottom w:val="0"/>
      <w:divBdr>
        <w:top w:val="none" w:sz="0" w:space="0" w:color="auto"/>
        <w:left w:val="none" w:sz="0" w:space="0" w:color="auto"/>
        <w:bottom w:val="none" w:sz="0" w:space="0" w:color="auto"/>
        <w:right w:val="none" w:sz="0" w:space="0" w:color="auto"/>
      </w:divBdr>
    </w:div>
    <w:div w:id="543639666">
      <w:bodyDiv w:val="1"/>
      <w:marLeft w:val="0"/>
      <w:marRight w:val="0"/>
      <w:marTop w:val="0"/>
      <w:marBottom w:val="0"/>
      <w:divBdr>
        <w:top w:val="none" w:sz="0" w:space="0" w:color="auto"/>
        <w:left w:val="none" w:sz="0" w:space="0" w:color="auto"/>
        <w:bottom w:val="none" w:sz="0" w:space="0" w:color="auto"/>
        <w:right w:val="none" w:sz="0" w:space="0" w:color="auto"/>
      </w:divBdr>
    </w:div>
    <w:div w:id="543713321">
      <w:bodyDiv w:val="1"/>
      <w:marLeft w:val="0"/>
      <w:marRight w:val="0"/>
      <w:marTop w:val="0"/>
      <w:marBottom w:val="0"/>
      <w:divBdr>
        <w:top w:val="none" w:sz="0" w:space="0" w:color="auto"/>
        <w:left w:val="none" w:sz="0" w:space="0" w:color="auto"/>
        <w:bottom w:val="none" w:sz="0" w:space="0" w:color="auto"/>
        <w:right w:val="none" w:sz="0" w:space="0" w:color="auto"/>
      </w:divBdr>
    </w:div>
    <w:div w:id="543836875">
      <w:bodyDiv w:val="1"/>
      <w:marLeft w:val="0"/>
      <w:marRight w:val="0"/>
      <w:marTop w:val="0"/>
      <w:marBottom w:val="0"/>
      <w:divBdr>
        <w:top w:val="none" w:sz="0" w:space="0" w:color="auto"/>
        <w:left w:val="none" w:sz="0" w:space="0" w:color="auto"/>
        <w:bottom w:val="none" w:sz="0" w:space="0" w:color="auto"/>
        <w:right w:val="none" w:sz="0" w:space="0" w:color="auto"/>
      </w:divBdr>
    </w:div>
    <w:div w:id="543978823">
      <w:bodyDiv w:val="1"/>
      <w:marLeft w:val="0"/>
      <w:marRight w:val="0"/>
      <w:marTop w:val="0"/>
      <w:marBottom w:val="0"/>
      <w:divBdr>
        <w:top w:val="none" w:sz="0" w:space="0" w:color="auto"/>
        <w:left w:val="none" w:sz="0" w:space="0" w:color="auto"/>
        <w:bottom w:val="none" w:sz="0" w:space="0" w:color="auto"/>
        <w:right w:val="none" w:sz="0" w:space="0" w:color="auto"/>
      </w:divBdr>
    </w:div>
    <w:div w:id="543979794">
      <w:bodyDiv w:val="1"/>
      <w:marLeft w:val="0"/>
      <w:marRight w:val="0"/>
      <w:marTop w:val="0"/>
      <w:marBottom w:val="0"/>
      <w:divBdr>
        <w:top w:val="none" w:sz="0" w:space="0" w:color="auto"/>
        <w:left w:val="none" w:sz="0" w:space="0" w:color="auto"/>
        <w:bottom w:val="none" w:sz="0" w:space="0" w:color="auto"/>
        <w:right w:val="none" w:sz="0" w:space="0" w:color="auto"/>
      </w:divBdr>
    </w:div>
    <w:div w:id="543980202">
      <w:bodyDiv w:val="1"/>
      <w:marLeft w:val="0"/>
      <w:marRight w:val="0"/>
      <w:marTop w:val="0"/>
      <w:marBottom w:val="0"/>
      <w:divBdr>
        <w:top w:val="none" w:sz="0" w:space="0" w:color="auto"/>
        <w:left w:val="none" w:sz="0" w:space="0" w:color="auto"/>
        <w:bottom w:val="none" w:sz="0" w:space="0" w:color="auto"/>
        <w:right w:val="none" w:sz="0" w:space="0" w:color="auto"/>
      </w:divBdr>
    </w:div>
    <w:div w:id="544292629">
      <w:bodyDiv w:val="1"/>
      <w:marLeft w:val="0"/>
      <w:marRight w:val="0"/>
      <w:marTop w:val="0"/>
      <w:marBottom w:val="0"/>
      <w:divBdr>
        <w:top w:val="none" w:sz="0" w:space="0" w:color="auto"/>
        <w:left w:val="none" w:sz="0" w:space="0" w:color="auto"/>
        <w:bottom w:val="none" w:sz="0" w:space="0" w:color="auto"/>
        <w:right w:val="none" w:sz="0" w:space="0" w:color="auto"/>
      </w:divBdr>
    </w:div>
    <w:div w:id="544374148">
      <w:bodyDiv w:val="1"/>
      <w:marLeft w:val="0"/>
      <w:marRight w:val="0"/>
      <w:marTop w:val="0"/>
      <w:marBottom w:val="0"/>
      <w:divBdr>
        <w:top w:val="none" w:sz="0" w:space="0" w:color="auto"/>
        <w:left w:val="none" w:sz="0" w:space="0" w:color="auto"/>
        <w:bottom w:val="none" w:sz="0" w:space="0" w:color="auto"/>
        <w:right w:val="none" w:sz="0" w:space="0" w:color="auto"/>
      </w:divBdr>
    </w:div>
    <w:div w:id="544411914">
      <w:bodyDiv w:val="1"/>
      <w:marLeft w:val="0"/>
      <w:marRight w:val="0"/>
      <w:marTop w:val="0"/>
      <w:marBottom w:val="0"/>
      <w:divBdr>
        <w:top w:val="none" w:sz="0" w:space="0" w:color="auto"/>
        <w:left w:val="none" w:sz="0" w:space="0" w:color="auto"/>
        <w:bottom w:val="none" w:sz="0" w:space="0" w:color="auto"/>
        <w:right w:val="none" w:sz="0" w:space="0" w:color="auto"/>
      </w:divBdr>
    </w:div>
    <w:div w:id="544486511">
      <w:bodyDiv w:val="1"/>
      <w:marLeft w:val="0"/>
      <w:marRight w:val="0"/>
      <w:marTop w:val="0"/>
      <w:marBottom w:val="0"/>
      <w:divBdr>
        <w:top w:val="none" w:sz="0" w:space="0" w:color="auto"/>
        <w:left w:val="none" w:sz="0" w:space="0" w:color="auto"/>
        <w:bottom w:val="none" w:sz="0" w:space="0" w:color="auto"/>
        <w:right w:val="none" w:sz="0" w:space="0" w:color="auto"/>
      </w:divBdr>
    </w:div>
    <w:div w:id="544487059">
      <w:bodyDiv w:val="1"/>
      <w:marLeft w:val="0"/>
      <w:marRight w:val="0"/>
      <w:marTop w:val="0"/>
      <w:marBottom w:val="0"/>
      <w:divBdr>
        <w:top w:val="none" w:sz="0" w:space="0" w:color="auto"/>
        <w:left w:val="none" w:sz="0" w:space="0" w:color="auto"/>
        <w:bottom w:val="none" w:sz="0" w:space="0" w:color="auto"/>
        <w:right w:val="none" w:sz="0" w:space="0" w:color="auto"/>
      </w:divBdr>
    </w:div>
    <w:div w:id="544606238">
      <w:bodyDiv w:val="1"/>
      <w:marLeft w:val="0"/>
      <w:marRight w:val="0"/>
      <w:marTop w:val="0"/>
      <w:marBottom w:val="0"/>
      <w:divBdr>
        <w:top w:val="none" w:sz="0" w:space="0" w:color="auto"/>
        <w:left w:val="none" w:sz="0" w:space="0" w:color="auto"/>
        <w:bottom w:val="none" w:sz="0" w:space="0" w:color="auto"/>
        <w:right w:val="none" w:sz="0" w:space="0" w:color="auto"/>
      </w:divBdr>
    </w:div>
    <w:div w:id="544608140">
      <w:bodyDiv w:val="1"/>
      <w:marLeft w:val="0"/>
      <w:marRight w:val="0"/>
      <w:marTop w:val="0"/>
      <w:marBottom w:val="0"/>
      <w:divBdr>
        <w:top w:val="none" w:sz="0" w:space="0" w:color="auto"/>
        <w:left w:val="none" w:sz="0" w:space="0" w:color="auto"/>
        <w:bottom w:val="none" w:sz="0" w:space="0" w:color="auto"/>
        <w:right w:val="none" w:sz="0" w:space="0" w:color="auto"/>
      </w:divBdr>
    </w:div>
    <w:div w:id="544759960">
      <w:bodyDiv w:val="1"/>
      <w:marLeft w:val="0"/>
      <w:marRight w:val="0"/>
      <w:marTop w:val="0"/>
      <w:marBottom w:val="0"/>
      <w:divBdr>
        <w:top w:val="none" w:sz="0" w:space="0" w:color="auto"/>
        <w:left w:val="none" w:sz="0" w:space="0" w:color="auto"/>
        <w:bottom w:val="none" w:sz="0" w:space="0" w:color="auto"/>
        <w:right w:val="none" w:sz="0" w:space="0" w:color="auto"/>
      </w:divBdr>
    </w:div>
    <w:div w:id="544951306">
      <w:bodyDiv w:val="1"/>
      <w:marLeft w:val="0"/>
      <w:marRight w:val="0"/>
      <w:marTop w:val="0"/>
      <w:marBottom w:val="0"/>
      <w:divBdr>
        <w:top w:val="none" w:sz="0" w:space="0" w:color="auto"/>
        <w:left w:val="none" w:sz="0" w:space="0" w:color="auto"/>
        <w:bottom w:val="none" w:sz="0" w:space="0" w:color="auto"/>
        <w:right w:val="none" w:sz="0" w:space="0" w:color="auto"/>
      </w:divBdr>
    </w:div>
    <w:div w:id="545029500">
      <w:bodyDiv w:val="1"/>
      <w:marLeft w:val="0"/>
      <w:marRight w:val="0"/>
      <w:marTop w:val="0"/>
      <w:marBottom w:val="0"/>
      <w:divBdr>
        <w:top w:val="none" w:sz="0" w:space="0" w:color="auto"/>
        <w:left w:val="none" w:sz="0" w:space="0" w:color="auto"/>
        <w:bottom w:val="none" w:sz="0" w:space="0" w:color="auto"/>
        <w:right w:val="none" w:sz="0" w:space="0" w:color="auto"/>
      </w:divBdr>
    </w:div>
    <w:div w:id="545067079">
      <w:bodyDiv w:val="1"/>
      <w:marLeft w:val="0"/>
      <w:marRight w:val="0"/>
      <w:marTop w:val="0"/>
      <w:marBottom w:val="0"/>
      <w:divBdr>
        <w:top w:val="none" w:sz="0" w:space="0" w:color="auto"/>
        <w:left w:val="none" w:sz="0" w:space="0" w:color="auto"/>
        <w:bottom w:val="none" w:sz="0" w:space="0" w:color="auto"/>
        <w:right w:val="none" w:sz="0" w:space="0" w:color="auto"/>
      </w:divBdr>
    </w:div>
    <w:div w:id="545071300">
      <w:bodyDiv w:val="1"/>
      <w:marLeft w:val="0"/>
      <w:marRight w:val="0"/>
      <w:marTop w:val="0"/>
      <w:marBottom w:val="0"/>
      <w:divBdr>
        <w:top w:val="none" w:sz="0" w:space="0" w:color="auto"/>
        <w:left w:val="none" w:sz="0" w:space="0" w:color="auto"/>
        <w:bottom w:val="none" w:sz="0" w:space="0" w:color="auto"/>
        <w:right w:val="none" w:sz="0" w:space="0" w:color="auto"/>
      </w:divBdr>
    </w:div>
    <w:div w:id="545145984">
      <w:bodyDiv w:val="1"/>
      <w:marLeft w:val="0"/>
      <w:marRight w:val="0"/>
      <w:marTop w:val="0"/>
      <w:marBottom w:val="0"/>
      <w:divBdr>
        <w:top w:val="none" w:sz="0" w:space="0" w:color="auto"/>
        <w:left w:val="none" w:sz="0" w:space="0" w:color="auto"/>
        <w:bottom w:val="none" w:sz="0" w:space="0" w:color="auto"/>
        <w:right w:val="none" w:sz="0" w:space="0" w:color="auto"/>
      </w:divBdr>
    </w:div>
    <w:div w:id="545333832">
      <w:bodyDiv w:val="1"/>
      <w:marLeft w:val="0"/>
      <w:marRight w:val="0"/>
      <w:marTop w:val="0"/>
      <w:marBottom w:val="0"/>
      <w:divBdr>
        <w:top w:val="none" w:sz="0" w:space="0" w:color="auto"/>
        <w:left w:val="none" w:sz="0" w:space="0" w:color="auto"/>
        <w:bottom w:val="none" w:sz="0" w:space="0" w:color="auto"/>
        <w:right w:val="none" w:sz="0" w:space="0" w:color="auto"/>
      </w:divBdr>
    </w:div>
    <w:div w:id="545337330">
      <w:bodyDiv w:val="1"/>
      <w:marLeft w:val="0"/>
      <w:marRight w:val="0"/>
      <w:marTop w:val="0"/>
      <w:marBottom w:val="0"/>
      <w:divBdr>
        <w:top w:val="none" w:sz="0" w:space="0" w:color="auto"/>
        <w:left w:val="none" w:sz="0" w:space="0" w:color="auto"/>
        <w:bottom w:val="none" w:sz="0" w:space="0" w:color="auto"/>
        <w:right w:val="none" w:sz="0" w:space="0" w:color="auto"/>
      </w:divBdr>
    </w:div>
    <w:div w:id="545408061">
      <w:bodyDiv w:val="1"/>
      <w:marLeft w:val="0"/>
      <w:marRight w:val="0"/>
      <w:marTop w:val="0"/>
      <w:marBottom w:val="0"/>
      <w:divBdr>
        <w:top w:val="none" w:sz="0" w:space="0" w:color="auto"/>
        <w:left w:val="none" w:sz="0" w:space="0" w:color="auto"/>
        <w:bottom w:val="none" w:sz="0" w:space="0" w:color="auto"/>
        <w:right w:val="none" w:sz="0" w:space="0" w:color="auto"/>
      </w:divBdr>
    </w:div>
    <w:div w:id="545531245">
      <w:bodyDiv w:val="1"/>
      <w:marLeft w:val="0"/>
      <w:marRight w:val="0"/>
      <w:marTop w:val="0"/>
      <w:marBottom w:val="0"/>
      <w:divBdr>
        <w:top w:val="none" w:sz="0" w:space="0" w:color="auto"/>
        <w:left w:val="none" w:sz="0" w:space="0" w:color="auto"/>
        <w:bottom w:val="none" w:sz="0" w:space="0" w:color="auto"/>
        <w:right w:val="none" w:sz="0" w:space="0" w:color="auto"/>
      </w:divBdr>
    </w:div>
    <w:div w:id="545533473">
      <w:bodyDiv w:val="1"/>
      <w:marLeft w:val="0"/>
      <w:marRight w:val="0"/>
      <w:marTop w:val="0"/>
      <w:marBottom w:val="0"/>
      <w:divBdr>
        <w:top w:val="none" w:sz="0" w:space="0" w:color="auto"/>
        <w:left w:val="none" w:sz="0" w:space="0" w:color="auto"/>
        <w:bottom w:val="none" w:sz="0" w:space="0" w:color="auto"/>
        <w:right w:val="none" w:sz="0" w:space="0" w:color="auto"/>
      </w:divBdr>
    </w:div>
    <w:div w:id="545534138">
      <w:bodyDiv w:val="1"/>
      <w:marLeft w:val="0"/>
      <w:marRight w:val="0"/>
      <w:marTop w:val="0"/>
      <w:marBottom w:val="0"/>
      <w:divBdr>
        <w:top w:val="none" w:sz="0" w:space="0" w:color="auto"/>
        <w:left w:val="none" w:sz="0" w:space="0" w:color="auto"/>
        <w:bottom w:val="none" w:sz="0" w:space="0" w:color="auto"/>
        <w:right w:val="none" w:sz="0" w:space="0" w:color="auto"/>
      </w:divBdr>
    </w:div>
    <w:div w:id="545724673">
      <w:bodyDiv w:val="1"/>
      <w:marLeft w:val="0"/>
      <w:marRight w:val="0"/>
      <w:marTop w:val="0"/>
      <w:marBottom w:val="0"/>
      <w:divBdr>
        <w:top w:val="none" w:sz="0" w:space="0" w:color="auto"/>
        <w:left w:val="none" w:sz="0" w:space="0" w:color="auto"/>
        <w:bottom w:val="none" w:sz="0" w:space="0" w:color="auto"/>
        <w:right w:val="none" w:sz="0" w:space="0" w:color="auto"/>
      </w:divBdr>
    </w:div>
    <w:div w:id="545875128">
      <w:bodyDiv w:val="1"/>
      <w:marLeft w:val="0"/>
      <w:marRight w:val="0"/>
      <w:marTop w:val="0"/>
      <w:marBottom w:val="0"/>
      <w:divBdr>
        <w:top w:val="none" w:sz="0" w:space="0" w:color="auto"/>
        <w:left w:val="none" w:sz="0" w:space="0" w:color="auto"/>
        <w:bottom w:val="none" w:sz="0" w:space="0" w:color="auto"/>
        <w:right w:val="none" w:sz="0" w:space="0" w:color="auto"/>
      </w:divBdr>
    </w:div>
    <w:div w:id="545878457">
      <w:bodyDiv w:val="1"/>
      <w:marLeft w:val="0"/>
      <w:marRight w:val="0"/>
      <w:marTop w:val="0"/>
      <w:marBottom w:val="0"/>
      <w:divBdr>
        <w:top w:val="none" w:sz="0" w:space="0" w:color="auto"/>
        <w:left w:val="none" w:sz="0" w:space="0" w:color="auto"/>
        <w:bottom w:val="none" w:sz="0" w:space="0" w:color="auto"/>
        <w:right w:val="none" w:sz="0" w:space="0" w:color="auto"/>
      </w:divBdr>
    </w:div>
    <w:div w:id="545989562">
      <w:bodyDiv w:val="1"/>
      <w:marLeft w:val="0"/>
      <w:marRight w:val="0"/>
      <w:marTop w:val="0"/>
      <w:marBottom w:val="0"/>
      <w:divBdr>
        <w:top w:val="none" w:sz="0" w:space="0" w:color="auto"/>
        <w:left w:val="none" w:sz="0" w:space="0" w:color="auto"/>
        <w:bottom w:val="none" w:sz="0" w:space="0" w:color="auto"/>
        <w:right w:val="none" w:sz="0" w:space="0" w:color="auto"/>
      </w:divBdr>
    </w:div>
    <w:div w:id="545996170">
      <w:bodyDiv w:val="1"/>
      <w:marLeft w:val="0"/>
      <w:marRight w:val="0"/>
      <w:marTop w:val="0"/>
      <w:marBottom w:val="0"/>
      <w:divBdr>
        <w:top w:val="none" w:sz="0" w:space="0" w:color="auto"/>
        <w:left w:val="none" w:sz="0" w:space="0" w:color="auto"/>
        <w:bottom w:val="none" w:sz="0" w:space="0" w:color="auto"/>
        <w:right w:val="none" w:sz="0" w:space="0" w:color="auto"/>
      </w:divBdr>
    </w:div>
    <w:div w:id="546112359">
      <w:bodyDiv w:val="1"/>
      <w:marLeft w:val="0"/>
      <w:marRight w:val="0"/>
      <w:marTop w:val="0"/>
      <w:marBottom w:val="0"/>
      <w:divBdr>
        <w:top w:val="none" w:sz="0" w:space="0" w:color="auto"/>
        <w:left w:val="none" w:sz="0" w:space="0" w:color="auto"/>
        <w:bottom w:val="none" w:sz="0" w:space="0" w:color="auto"/>
        <w:right w:val="none" w:sz="0" w:space="0" w:color="auto"/>
      </w:divBdr>
    </w:div>
    <w:div w:id="546451751">
      <w:bodyDiv w:val="1"/>
      <w:marLeft w:val="0"/>
      <w:marRight w:val="0"/>
      <w:marTop w:val="0"/>
      <w:marBottom w:val="0"/>
      <w:divBdr>
        <w:top w:val="none" w:sz="0" w:space="0" w:color="auto"/>
        <w:left w:val="none" w:sz="0" w:space="0" w:color="auto"/>
        <w:bottom w:val="none" w:sz="0" w:space="0" w:color="auto"/>
        <w:right w:val="none" w:sz="0" w:space="0" w:color="auto"/>
      </w:divBdr>
    </w:div>
    <w:div w:id="546456293">
      <w:bodyDiv w:val="1"/>
      <w:marLeft w:val="0"/>
      <w:marRight w:val="0"/>
      <w:marTop w:val="0"/>
      <w:marBottom w:val="0"/>
      <w:divBdr>
        <w:top w:val="none" w:sz="0" w:space="0" w:color="auto"/>
        <w:left w:val="none" w:sz="0" w:space="0" w:color="auto"/>
        <w:bottom w:val="none" w:sz="0" w:space="0" w:color="auto"/>
        <w:right w:val="none" w:sz="0" w:space="0" w:color="auto"/>
      </w:divBdr>
    </w:div>
    <w:div w:id="546644247">
      <w:bodyDiv w:val="1"/>
      <w:marLeft w:val="0"/>
      <w:marRight w:val="0"/>
      <w:marTop w:val="0"/>
      <w:marBottom w:val="0"/>
      <w:divBdr>
        <w:top w:val="none" w:sz="0" w:space="0" w:color="auto"/>
        <w:left w:val="none" w:sz="0" w:space="0" w:color="auto"/>
        <w:bottom w:val="none" w:sz="0" w:space="0" w:color="auto"/>
        <w:right w:val="none" w:sz="0" w:space="0" w:color="auto"/>
      </w:divBdr>
    </w:div>
    <w:div w:id="546648568">
      <w:bodyDiv w:val="1"/>
      <w:marLeft w:val="0"/>
      <w:marRight w:val="0"/>
      <w:marTop w:val="0"/>
      <w:marBottom w:val="0"/>
      <w:divBdr>
        <w:top w:val="none" w:sz="0" w:space="0" w:color="auto"/>
        <w:left w:val="none" w:sz="0" w:space="0" w:color="auto"/>
        <w:bottom w:val="none" w:sz="0" w:space="0" w:color="auto"/>
        <w:right w:val="none" w:sz="0" w:space="0" w:color="auto"/>
      </w:divBdr>
    </w:div>
    <w:div w:id="546768149">
      <w:bodyDiv w:val="1"/>
      <w:marLeft w:val="0"/>
      <w:marRight w:val="0"/>
      <w:marTop w:val="0"/>
      <w:marBottom w:val="0"/>
      <w:divBdr>
        <w:top w:val="none" w:sz="0" w:space="0" w:color="auto"/>
        <w:left w:val="none" w:sz="0" w:space="0" w:color="auto"/>
        <w:bottom w:val="none" w:sz="0" w:space="0" w:color="auto"/>
        <w:right w:val="none" w:sz="0" w:space="0" w:color="auto"/>
      </w:divBdr>
    </w:div>
    <w:div w:id="546768229">
      <w:bodyDiv w:val="1"/>
      <w:marLeft w:val="0"/>
      <w:marRight w:val="0"/>
      <w:marTop w:val="0"/>
      <w:marBottom w:val="0"/>
      <w:divBdr>
        <w:top w:val="none" w:sz="0" w:space="0" w:color="auto"/>
        <w:left w:val="none" w:sz="0" w:space="0" w:color="auto"/>
        <w:bottom w:val="none" w:sz="0" w:space="0" w:color="auto"/>
        <w:right w:val="none" w:sz="0" w:space="0" w:color="auto"/>
      </w:divBdr>
    </w:div>
    <w:div w:id="546912935">
      <w:bodyDiv w:val="1"/>
      <w:marLeft w:val="0"/>
      <w:marRight w:val="0"/>
      <w:marTop w:val="0"/>
      <w:marBottom w:val="0"/>
      <w:divBdr>
        <w:top w:val="none" w:sz="0" w:space="0" w:color="auto"/>
        <w:left w:val="none" w:sz="0" w:space="0" w:color="auto"/>
        <w:bottom w:val="none" w:sz="0" w:space="0" w:color="auto"/>
        <w:right w:val="none" w:sz="0" w:space="0" w:color="auto"/>
      </w:divBdr>
    </w:div>
    <w:div w:id="546988955">
      <w:bodyDiv w:val="1"/>
      <w:marLeft w:val="0"/>
      <w:marRight w:val="0"/>
      <w:marTop w:val="0"/>
      <w:marBottom w:val="0"/>
      <w:divBdr>
        <w:top w:val="none" w:sz="0" w:space="0" w:color="auto"/>
        <w:left w:val="none" w:sz="0" w:space="0" w:color="auto"/>
        <w:bottom w:val="none" w:sz="0" w:space="0" w:color="auto"/>
        <w:right w:val="none" w:sz="0" w:space="0" w:color="auto"/>
      </w:divBdr>
    </w:div>
    <w:div w:id="546990918">
      <w:bodyDiv w:val="1"/>
      <w:marLeft w:val="0"/>
      <w:marRight w:val="0"/>
      <w:marTop w:val="0"/>
      <w:marBottom w:val="0"/>
      <w:divBdr>
        <w:top w:val="none" w:sz="0" w:space="0" w:color="auto"/>
        <w:left w:val="none" w:sz="0" w:space="0" w:color="auto"/>
        <w:bottom w:val="none" w:sz="0" w:space="0" w:color="auto"/>
        <w:right w:val="none" w:sz="0" w:space="0" w:color="auto"/>
      </w:divBdr>
    </w:div>
    <w:div w:id="547032185">
      <w:bodyDiv w:val="1"/>
      <w:marLeft w:val="0"/>
      <w:marRight w:val="0"/>
      <w:marTop w:val="0"/>
      <w:marBottom w:val="0"/>
      <w:divBdr>
        <w:top w:val="none" w:sz="0" w:space="0" w:color="auto"/>
        <w:left w:val="none" w:sz="0" w:space="0" w:color="auto"/>
        <w:bottom w:val="none" w:sz="0" w:space="0" w:color="auto"/>
        <w:right w:val="none" w:sz="0" w:space="0" w:color="auto"/>
      </w:divBdr>
    </w:div>
    <w:div w:id="547179751">
      <w:bodyDiv w:val="1"/>
      <w:marLeft w:val="0"/>
      <w:marRight w:val="0"/>
      <w:marTop w:val="0"/>
      <w:marBottom w:val="0"/>
      <w:divBdr>
        <w:top w:val="none" w:sz="0" w:space="0" w:color="auto"/>
        <w:left w:val="none" w:sz="0" w:space="0" w:color="auto"/>
        <w:bottom w:val="none" w:sz="0" w:space="0" w:color="auto"/>
        <w:right w:val="none" w:sz="0" w:space="0" w:color="auto"/>
      </w:divBdr>
    </w:div>
    <w:div w:id="547182324">
      <w:bodyDiv w:val="1"/>
      <w:marLeft w:val="0"/>
      <w:marRight w:val="0"/>
      <w:marTop w:val="0"/>
      <w:marBottom w:val="0"/>
      <w:divBdr>
        <w:top w:val="none" w:sz="0" w:space="0" w:color="auto"/>
        <w:left w:val="none" w:sz="0" w:space="0" w:color="auto"/>
        <w:bottom w:val="none" w:sz="0" w:space="0" w:color="auto"/>
        <w:right w:val="none" w:sz="0" w:space="0" w:color="auto"/>
      </w:divBdr>
    </w:div>
    <w:div w:id="547184536">
      <w:bodyDiv w:val="1"/>
      <w:marLeft w:val="0"/>
      <w:marRight w:val="0"/>
      <w:marTop w:val="0"/>
      <w:marBottom w:val="0"/>
      <w:divBdr>
        <w:top w:val="none" w:sz="0" w:space="0" w:color="auto"/>
        <w:left w:val="none" w:sz="0" w:space="0" w:color="auto"/>
        <w:bottom w:val="none" w:sz="0" w:space="0" w:color="auto"/>
        <w:right w:val="none" w:sz="0" w:space="0" w:color="auto"/>
      </w:divBdr>
    </w:div>
    <w:div w:id="547188315">
      <w:bodyDiv w:val="1"/>
      <w:marLeft w:val="0"/>
      <w:marRight w:val="0"/>
      <w:marTop w:val="0"/>
      <w:marBottom w:val="0"/>
      <w:divBdr>
        <w:top w:val="none" w:sz="0" w:space="0" w:color="auto"/>
        <w:left w:val="none" w:sz="0" w:space="0" w:color="auto"/>
        <w:bottom w:val="none" w:sz="0" w:space="0" w:color="auto"/>
        <w:right w:val="none" w:sz="0" w:space="0" w:color="auto"/>
      </w:divBdr>
    </w:div>
    <w:div w:id="547304642">
      <w:bodyDiv w:val="1"/>
      <w:marLeft w:val="0"/>
      <w:marRight w:val="0"/>
      <w:marTop w:val="0"/>
      <w:marBottom w:val="0"/>
      <w:divBdr>
        <w:top w:val="none" w:sz="0" w:space="0" w:color="auto"/>
        <w:left w:val="none" w:sz="0" w:space="0" w:color="auto"/>
        <w:bottom w:val="none" w:sz="0" w:space="0" w:color="auto"/>
        <w:right w:val="none" w:sz="0" w:space="0" w:color="auto"/>
      </w:divBdr>
    </w:div>
    <w:div w:id="547450482">
      <w:bodyDiv w:val="1"/>
      <w:marLeft w:val="0"/>
      <w:marRight w:val="0"/>
      <w:marTop w:val="0"/>
      <w:marBottom w:val="0"/>
      <w:divBdr>
        <w:top w:val="none" w:sz="0" w:space="0" w:color="auto"/>
        <w:left w:val="none" w:sz="0" w:space="0" w:color="auto"/>
        <w:bottom w:val="none" w:sz="0" w:space="0" w:color="auto"/>
        <w:right w:val="none" w:sz="0" w:space="0" w:color="auto"/>
      </w:divBdr>
    </w:div>
    <w:div w:id="547497437">
      <w:bodyDiv w:val="1"/>
      <w:marLeft w:val="0"/>
      <w:marRight w:val="0"/>
      <w:marTop w:val="0"/>
      <w:marBottom w:val="0"/>
      <w:divBdr>
        <w:top w:val="none" w:sz="0" w:space="0" w:color="auto"/>
        <w:left w:val="none" w:sz="0" w:space="0" w:color="auto"/>
        <w:bottom w:val="none" w:sz="0" w:space="0" w:color="auto"/>
        <w:right w:val="none" w:sz="0" w:space="0" w:color="auto"/>
      </w:divBdr>
    </w:div>
    <w:div w:id="547573493">
      <w:bodyDiv w:val="1"/>
      <w:marLeft w:val="0"/>
      <w:marRight w:val="0"/>
      <w:marTop w:val="0"/>
      <w:marBottom w:val="0"/>
      <w:divBdr>
        <w:top w:val="none" w:sz="0" w:space="0" w:color="auto"/>
        <w:left w:val="none" w:sz="0" w:space="0" w:color="auto"/>
        <w:bottom w:val="none" w:sz="0" w:space="0" w:color="auto"/>
        <w:right w:val="none" w:sz="0" w:space="0" w:color="auto"/>
      </w:divBdr>
    </w:div>
    <w:div w:id="547648938">
      <w:bodyDiv w:val="1"/>
      <w:marLeft w:val="0"/>
      <w:marRight w:val="0"/>
      <w:marTop w:val="0"/>
      <w:marBottom w:val="0"/>
      <w:divBdr>
        <w:top w:val="none" w:sz="0" w:space="0" w:color="auto"/>
        <w:left w:val="none" w:sz="0" w:space="0" w:color="auto"/>
        <w:bottom w:val="none" w:sz="0" w:space="0" w:color="auto"/>
        <w:right w:val="none" w:sz="0" w:space="0" w:color="auto"/>
      </w:divBdr>
    </w:div>
    <w:div w:id="547685383">
      <w:bodyDiv w:val="1"/>
      <w:marLeft w:val="0"/>
      <w:marRight w:val="0"/>
      <w:marTop w:val="0"/>
      <w:marBottom w:val="0"/>
      <w:divBdr>
        <w:top w:val="none" w:sz="0" w:space="0" w:color="auto"/>
        <w:left w:val="none" w:sz="0" w:space="0" w:color="auto"/>
        <w:bottom w:val="none" w:sz="0" w:space="0" w:color="auto"/>
        <w:right w:val="none" w:sz="0" w:space="0" w:color="auto"/>
      </w:divBdr>
    </w:div>
    <w:div w:id="547687540">
      <w:bodyDiv w:val="1"/>
      <w:marLeft w:val="0"/>
      <w:marRight w:val="0"/>
      <w:marTop w:val="0"/>
      <w:marBottom w:val="0"/>
      <w:divBdr>
        <w:top w:val="none" w:sz="0" w:space="0" w:color="auto"/>
        <w:left w:val="none" w:sz="0" w:space="0" w:color="auto"/>
        <w:bottom w:val="none" w:sz="0" w:space="0" w:color="auto"/>
        <w:right w:val="none" w:sz="0" w:space="0" w:color="auto"/>
      </w:divBdr>
    </w:div>
    <w:div w:id="547691638">
      <w:bodyDiv w:val="1"/>
      <w:marLeft w:val="0"/>
      <w:marRight w:val="0"/>
      <w:marTop w:val="0"/>
      <w:marBottom w:val="0"/>
      <w:divBdr>
        <w:top w:val="none" w:sz="0" w:space="0" w:color="auto"/>
        <w:left w:val="none" w:sz="0" w:space="0" w:color="auto"/>
        <w:bottom w:val="none" w:sz="0" w:space="0" w:color="auto"/>
        <w:right w:val="none" w:sz="0" w:space="0" w:color="auto"/>
      </w:divBdr>
    </w:div>
    <w:div w:id="547760267">
      <w:bodyDiv w:val="1"/>
      <w:marLeft w:val="0"/>
      <w:marRight w:val="0"/>
      <w:marTop w:val="0"/>
      <w:marBottom w:val="0"/>
      <w:divBdr>
        <w:top w:val="none" w:sz="0" w:space="0" w:color="auto"/>
        <w:left w:val="none" w:sz="0" w:space="0" w:color="auto"/>
        <w:bottom w:val="none" w:sz="0" w:space="0" w:color="auto"/>
        <w:right w:val="none" w:sz="0" w:space="0" w:color="auto"/>
      </w:divBdr>
    </w:div>
    <w:div w:id="547764883">
      <w:bodyDiv w:val="1"/>
      <w:marLeft w:val="0"/>
      <w:marRight w:val="0"/>
      <w:marTop w:val="0"/>
      <w:marBottom w:val="0"/>
      <w:divBdr>
        <w:top w:val="none" w:sz="0" w:space="0" w:color="auto"/>
        <w:left w:val="none" w:sz="0" w:space="0" w:color="auto"/>
        <w:bottom w:val="none" w:sz="0" w:space="0" w:color="auto"/>
        <w:right w:val="none" w:sz="0" w:space="0" w:color="auto"/>
      </w:divBdr>
    </w:div>
    <w:div w:id="547766997">
      <w:bodyDiv w:val="1"/>
      <w:marLeft w:val="0"/>
      <w:marRight w:val="0"/>
      <w:marTop w:val="0"/>
      <w:marBottom w:val="0"/>
      <w:divBdr>
        <w:top w:val="none" w:sz="0" w:space="0" w:color="auto"/>
        <w:left w:val="none" w:sz="0" w:space="0" w:color="auto"/>
        <w:bottom w:val="none" w:sz="0" w:space="0" w:color="auto"/>
        <w:right w:val="none" w:sz="0" w:space="0" w:color="auto"/>
      </w:divBdr>
    </w:div>
    <w:div w:id="547886848">
      <w:bodyDiv w:val="1"/>
      <w:marLeft w:val="0"/>
      <w:marRight w:val="0"/>
      <w:marTop w:val="0"/>
      <w:marBottom w:val="0"/>
      <w:divBdr>
        <w:top w:val="none" w:sz="0" w:space="0" w:color="auto"/>
        <w:left w:val="none" w:sz="0" w:space="0" w:color="auto"/>
        <w:bottom w:val="none" w:sz="0" w:space="0" w:color="auto"/>
        <w:right w:val="none" w:sz="0" w:space="0" w:color="auto"/>
      </w:divBdr>
    </w:div>
    <w:div w:id="547910533">
      <w:bodyDiv w:val="1"/>
      <w:marLeft w:val="0"/>
      <w:marRight w:val="0"/>
      <w:marTop w:val="0"/>
      <w:marBottom w:val="0"/>
      <w:divBdr>
        <w:top w:val="none" w:sz="0" w:space="0" w:color="auto"/>
        <w:left w:val="none" w:sz="0" w:space="0" w:color="auto"/>
        <w:bottom w:val="none" w:sz="0" w:space="0" w:color="auto"/>
        <w:right w:val="none" w:sz="0" w:space="0" w:color="auto"/>
      </w:divBdr>
    </w:div>
    <w:div w:id="547957252">
      <w:bodyDiv w:val="1"/>
      <w:marLeft w:val="0"/>
      <w:marRight w:val="0"/>
      <w:marTop w:val="0"/>
      <w:marBottom w:val="0"/>
      <w:divBdr>
        <w:top w:val="none" w:sz="0" w:space="0" w:color="auto"/>
        <w:left w:val="none" w:sz="0" w:space="0" w:color="auto"/>
        <w:bottom w:val="none" w:sz="0" w:space="0" w:color="auto"/>
        <w:right w:val="none" w:sz="0" w:space="0" w:color="auto"/>
      </w:divBdr>
    </w:div>
    <w:div w:id="548033463">
      <w:bodyDiv w:val="1"/>
      <w:marLeft w:val="0"/>
      <w:marRight w:val="0"/>
      <w:marTop w:val="0"/>
      <w:marBottom w:val="0"/>
      <w:divBdr>
        <w:top w:val="none" w:sz="0" w:space="0" w:color="auto"/>
        <w:left w:val="none" w:sz="0" w:space="0" w:color="auto"/>
        <w:bottom w:val="none" w:sz="0" w:space="0" w:color="auto"/>
        <w:right w:val="none" w:sz="0" w:space="0" w:color="auto"/>
      </w:divBdr>
    </w:div>
    <w:div w:id="548077692">
      <w:bodyDiv w:val="1"/>
      <w:marLeft w:val="0"/>
      <w:marRight w:val="0"/>
      <w:marTop w:val="0"/>
      <w:marBottom w:val="0"/>
      <w:divBdr>
        <w:top w:val="none" w:sz="0" w:space="0" w:color="auto"/>
        <w:left w:val="none" w:sz="0" w:space="0" w:color="auto"/>
        <w:bottom w:val="none" w:sz="0" w:space="0" w:color="auto"/>
        <w:right w:val="none" w:sz="0" w:space="0" w:color="auto"/>
      </w:divBdr>
    </w:div>
    <w:div w:id="548108993">
      <w:bodyDiv w:val="1"/>
      <w:marLeft w:val="0"/>
      <w:marRight w:val="0"/>
      <w:marTop w:val="0"/>
      <w:marBottom w:val="0"/>
      <w:divBdr>
        <w:top w:val="none" w:sz="0" w:space="0" w:color="auto"/>
        <w:left w:val="none" w:sz="0" w:space="0" w:color="auto"/>
        <w:bottom w:val="none" w:sz="0" w:space="0" w:color="auto"/>
        <w:right w:val="none" w:sz="0" w:space="0" w:color="auto"/>
      </w:divBdr>
    </w:div>
    <w:div w:id="548151229">
      <w:bodyDiv w:val="1"/>
      <w:marLeft w:val="0"/>
      <w:marRight w:val="0"/>
      <w:marTop w:val="0"/>
      <w:marBottom w:val="0"/>
      <w:divBdr>
        <w:top w:val="none" w:sz="0" w:space="0" w:color="auto"/>
        <w:left w:val="none" w:sz="0" w:space="0" w:color="auto"/>
        <w:bottom w:val="none" w:sz="0" w:space="0" w:color="auto"/>
        <w:right w:val="none" w:sz="0" w:space="0" w:color="auto"/>
      </w:divBdr>
    </w:div>
    <w:div w:id="548225130">
      <w:bodyDiv w:val="1"/>
      <w:marLeft w:val="0"/>
      <w:marRight w:val="0"/>
      <w:marTop w:val="0"/>
      <w:marBottom w:val="0"/>
      <w:divBdr>
        <w:top w:val="none" w:sz="0" w:space="0" w:color="auto"/>
        <w:left w:val="none" w:sz="0" w:space="0" w:color="auto"/>
        <w:bottom w:val="none" w:sz="0" w:space="0" w:color="auto"/>
        <w:right w:val="none" w:sz="0" w:space="0" w:color="auto"/>
      </w:divBdr>
    </w:div>
    <w:div w:id="548301290">
      <w:bodyDiv w:val="1"/>
      <w:marLeft w:val="0"/>
      <w:marRight w:val="0"/>
      <w:marTop w:val="0"/>
      <w:marBottom w:val="0"/>
      <w:divBdr>
        <w:top w:val="none" w:sz="0" w:space="0" w:color="auto"/>
        <w:left w:val="none" w:sz="0" w:space="0" w:color="auto"/>
        <w:bottom w:val="none" w:sz="0" w:space="0" w:color="auto"/>
        <w:right w:val="none" w:sz="0" w:space="0" w:color="auto"/>
      </w:divBdr>
    </w:div>
    <w:div w:id="548302572">
      <w:bodyDiv w:val="1"/>
      <w:marLeft w:val="0"/>
      <w:marRight w:val="0"/>
      <w:marTop w:val="0"/>
      <w:marBottom w:val="0"/>
      <w:divBdr>
        <w:top w:val="none" w:sz="0" w:space="0" w:color="auto"/>
        <w:left w:val="none" w:sz="0" w:space="0" w:color="auto"/>
        <w:bottom w:val="none" w:sz="0" w:space="0" w:color="auto"/>
        <w:right w:val="none" w:sz="0" w:space="0" w:color="auto"/>
      </w:divBdr>
    </w:div>
    <w:div w:id="548342246">
      <w:bodyDiv w:val="1"/>
      <w:marLeft w:val="0"/>
      <w:marRight w:val="0"/>
      <w:marTop w:val="0"/>
      <w:marBottom w:val="0"/>
      <w:divBdr>
        <w:top w:val="none" w:sz="0" w:space="0" w:color="auto"/>
        <w:left w:val="none" w:sz="0" w:space="0" w:color="auto"/>
        <w:bottom w:val="none" w:sz="0" w:space="0" w:color="auto"/>
        <w:right w:val="none" w:sz="0" w:space="0" w:color="auto"/>
      </w:divBdr>
    </w:div>
    <w:div w:id="548344603">
      <w:bodyDiv w:val="1"/>
      <w:marLeft w:val="0"/>
      <w:marRight w:val="0"/>
      <w:marTop w:val="0"/>
      <w:marBottom w:val="0"/>
      <w:divBdr>
        <w:top w:val="none" w:sz="0" w:space="0" w:color="auto"/>
        <w:left w:val="none" w:sz="0" w:space="0" w:color="auto"/>
        <w:bottom w:val="none" w:sz="0" w:space="0" w:color="auto"/>
        <w:right w:val="none" w:sz="0" w:space="0" w:color="auto"/>
      </w:divBdr>
    </w:div>
    <w:div w:id="548490609">
      <w:bodyDiv w:val="1"/>
      <w:marLeft w:val="0"/>
      <w:marRight w:val="0"/>
      <w:marTop w:val="0"/>
      <w:marBottom w:val="0"/>
      <w:divBdr>
        <w:top w:val="none" w:sz="0" w:space="0" w:color="auto"/>
        <w:left w:val="none" w:sz="0" w:space="0" w:color="auto"/>
        <w:bottom w:val="none" w:sz="0" w:space="0" w:color="auto"/>
        <w:right w:val="none" w:sz="0" w:space="0" w:color="auto"/>
      </w:divBdr>
    </w:div>
    <w:div w:id="548567228">
      <w:bodyDiv w:val="1"/>
      <w:marLeft w:val="0"/>
      <w:marRight w:val="0"/>
      <w:marTop w:val="0"/>
      <w:marBottom w:val="0"/>
      <w:divBdr>
        <w:top w:val="none" w:sz="0" w:space="0" w:color="auto"/>
        <w:left w:val="none" w:sz="0" w:space="0" w:color="auto"/>
        <w:bottom w:val="none" w:sz="0" w:space="0" w:color="auto"/>
        <w:right w:val="none" w:sz="0" w:space="0" w:color="auto"/>
      </w:divBdr>
    </w:div>
    <w:div w:id="548568114">
      <w:bodyDiv w:val="1"/>
      <w:marLeft w:val="0"/>
      <w:marRight w:val="0"/>
      <w:marTop w:val="0"/>
      <w:marBottom w:val="0"/>
      <w:divBdr>
        <w:top w:val="none" w:sz="0" w:space="0" w:color="auto"/>
        <w:left w:val="none" w:sz="0" w:space="0" w:color="auto"/>
        <w:bottom w:val="none" w:sz="0" w:space="0" w:color="auto"/>
        <w:right w:val="none" w:sz="0" w:space="0" w:color="auto"/>
      </w:divBdr>
    </w:div>
    <w:div w:id="548609020">
      <w:bodyDiv w:val="1"/>
      <w:marLeft w:val="0"/>
      <w:marRight w:val="0"/>
      <w:marTop w:val="0"/>
      <w:marBottom w:val="0"/>
      <w:divBdr>
        <w:top w:val="none" w:sz="0" w:space="0" w:color="auto"/>
        <w:left w:val="none" w:sz="0" w:space="0" w:color="auto"/>
        <w:bottom w:val="none" w:sz="0" w:space="0" w:color="auto"/>
        <w:right w:val="none" w:sz="0" w:space="0" w:color="auto"/>
      </w:divBdr>
    </w:div>
    <w:div w:id="548610172">
      <w:bodyDiv w:val="1"/>
      <w:marLeft w:val="0"/>
      <w:marRight w:val="0"/>
      <w:marTop w:val="0"/>
      <w:marBottom w:val="0"/>
      <w:divBdr>
        <w:top w:val="none" w:sz="0" w:space="0" w:color="auto"/>
        <w:left w:val="none" w:sz="0" w:space="0" w:color="auto"/>
        <w:bottom w:val="none" w:sz="0" w:space="0" w:color="auto"/>
        <w:right w:val="none" w:sz="0" w:space="0" w:color="auto"/>
      </w:divBdr>
    </w:div>
    <w:div w:id="548686915">
      <w:bodyDiv w:val="1"/>
      <w:marLeft w:val="0"/>
      <w:marRight w:val="0"/>
      <w:marTop w:val="0"/>
      <w:marBottom w:val="0"/>
      <w:divBdr>
        <w:top w:val="none" w:sz="0" w:space="0" w:color="auto"/>
        <w:left w:val="none" w:sz="0" w:space="0" w:color="auto"/>
        <w:bottom w:val="none" w:sz="0" w:space="0" w:color="auto"/>
        <w:right w:val="none" w:sz="0" w:space="0" w:color="auto"/>
      </w:divBdr>
    </w:div>
    <w:div w:id="548688573">
      <w:bodyDiv w:val="1"/>
      <w:marLeft w:val="0"/>
      <w:marRight w:val="0"/>
      <w:marTop w:val="0"/>
      <w:marBottom w:val="0"/>
      <w:divBdr>
        <w:top w:val="none" w:sz="0" w:space="0" w:color="auto"/>
        <w:left w:val="none" w:sz="0" w:space="0" w:color="auto"/>
        <w:bottom w:val="none" w:sz="0" w:space="0" w:color="auto"/>
        <w:right w:val="none" w:sz="0" w:space="0" w:color="auto"/>
      </w:divBdr>
    </w:div>
    <w:div w:id="548809588">
      <w:bodyDiv w:val="1"/>
      <w:marLeft w:val="0"/>
      <w:marRight w:val="0"/>
      <w:marTop w:val="0"/>
      <w:marBottom w:val="0"/>
      <w:divBdr>
        <w:top w:val="none" w:sz="0" w:space="0" w:color="auto"/>
        <w:left w:val="none" w:sz="0" w:space="0" w:color="auto"/>
        <w:bottom w:val="none" w:sz="0" w:space="0" w:color="auto"/>
        <w:right w:val="none" w:sz="0" w:space="0" w:color="auto"/>
      </w:divBdr>
    </w:div>
    <w:div w:id="548955016">
      <w:bodyDiv w:val="1"/>
      <w:marLeft w:val="0"/>
      <w:marRight w:val="0"/>
      <w:marTop w:val="0"/>
      <w:marBottom w:val="0"/>
      <w:divBdr>
        <w:top w:val="none" w:sz="0" w:space="0" w:color="auto"/>
        <w:left w:val="none" w:sz="0" w:space="0" w:color="auto"/>
        <w:bottom w:val="none" w:sz="0" w:space="0" w:color="auto"/>
        <w:right w:val="none" w:sz="0" w:space="0" w:color="auto"/>
      </w:divBdr>
    </w:div>
    <w:div w:id="548959972">
      <w:bodyDiv w:val="1"/>
      <w:marLeft w:val="0"/>
      <w:marRight w:val="0"/>
      <w:marTop w:val="0"/>
      <w:marBottom w:val="0"/>
      <w:divBdr>
        <w:top w:val="none" w:sz="0" w:space="0" w:color="auto"/>
        <w:left w:val="none" w:sz="0" w:space="0" w:color="auto"/>
        <w:bottom w:val="none" w:sz="0" w:space="0" w:color="auto"/>
        <w:right w:val="none" w:sz="0" w:space="0" w:color="auto"/>
      </w:divBdr>
    </w:div>
    <w:div w:id="549072665">
      <w:bodyDiv w:val="1"/>
      <w:marLeft w:val="0"/>
      <w:marRight w:val="0"/>
      <w:marTop w:val="0"/>
      <w:marBottom w:val="0"/>
      <w:divBdr>
        <w:top w:val="none" w:sz="0" w:space="0" w:color="auto"/>
        <w:left w:val="none" w:sz="0" w:space="0" w:color="auto"/>
        <w:bottom w:val="none" w:sz="0" w:space="0" w:color="auto"/>
        <w:right w:val="none" w:sz="0" w:space="0" w:color="auto"/>
      </w:divBdr>
    </w:div>
    <w:div w:id="549073191">
      <w:bodyDiv w:val="1"/>
      <w:marLeft w:val="0"/>
      <w:marRight w:val="0"/>
      <w:marTop w:val="0"/>
      <w:marBottom w:val="0"/>
      <w:divBdr>
        <w:top w:val="none" w:sz="0" w:space="0" w:color="auto"/>
        <w:left w:val="none" w:sz="0" w:space="0" w:color="auto"/>
        <w:bottom w:val="none" w:sz="0" w:space="0" w:color="auto"/>
        <w:right w:val="none" w:sz="0" w:space="0" w:color="auto"/>
      </w:divBdr>
    </w:div>
    <w:div w:id="549074234">
      <w:bodyDiv w:val="1"/>
      <w:marLeft w:val="0"/>
      <w:marRight w:val="0"/>
      <w:marTop w:val="0"/>
      <w:marBottom w:val="0"/>
      <w:divBdr>
        <w:top w:val="none" w:sz="0" w:space="0" w:color="auto"/>
        <w:left w:val="none" w:sz="0" w:space="0" w:color="auto"/>
        <w:bottom w:val="none" w:sz="0" w:space="0" w:color="auto"/>
        <w:right w:val="none" w:sz="0" w:space="0" w:color="auto"/>
      </w:divBdr>
    </w:div>
    <w:div w:id="549150301">
      <w:bodyDiv w:val="1"/>
      <w:marLeft w:val="0"/>
      <w:marRight w:val="0"/>
      <w:marTop w:val="0"/>
      <w:marBottom w:val="0"/>
      <w:divBdr>
        <w:top w:val="none" w:sz="0" w:space="0" w:color="auto"/>
        <w:left w:val="none" w:sz="0" w:space="0" w:color="auto"/>
        <w:bottom w:val="none" w:sz="0" w:space="0" w:color="auto"/>
        <w:right w:val="none" w:sz="0" w:space="0" w:color="auto"/>
      </w:divBdr>
    </w:div>
    <w:div w:id="549191755">
      <w:bodyDiv w:val="1"/>
      <w:marLeft w:val="0"/>
      <w:marRight w:val="0"/>
      <w:marTop w:val="0"/>
      <w:marBottom w:val="0"/>
      <w:divBdr>
        <w:top w:val="none" w:sz="0" w:space="0" w:color="auto"/>
        <w:left w:val="none" w:sz="0" w:space="0" w:color="auto"/>
        <w:bottom w:val="none" w:sz="0" w:space="0" w:color="auto"/>
        <w:right w:val="none" w:sz="0" w:space="0" w:color="auto"/>
      </w:divBdr>
    </w:div>
    <w:div w:id="549193252">
      <w:bodyDiv w:val="1"/>
      <w:marLeft w:val="0"/>
      <w:marRight w:val="0"/>
      <w:marTop w:val="0"/>
      <w:marBottom w:val="0"/>
      <w:divBdr>
        <w:top w:val="none" w:sz="0" w:space="0" w:color="auto"/>
        <w:left w:val="none" w:sz="0" w:space="0" w:color="auto"/>
        <w:bottom w:val="none" w:sz="0" w:space="0" w:color="auto"/>
        <w:right w:val="none" w:sz="0" w:space="0" w:color="auto"/>
      </w:divBdr>
    </w:div>
    <w:div w:id="549460552">
      <w:bodyDiv w:val="1"/>
      <w:marLeft w:val="0"/>
      <w:marRight w:val="0"/>
      <w:marTop w:val="0"/>
      <w:marBottom w:val="0"/>
      <w:divBdr>
        <w:top w:val="none" w:sz="0" w:space="0" w:color="auto"/>
        <w:left w:val="none" w:sz="0" w:space="0" w:color="auto"/>
        <w:bottom w:val="none" w:sz="0" w:space="0" w:color="auto"/>
        <w:right w:val="none" w:sz="0" w:space="0" w:color="auto"/>
      </w:divBdr>
    </w:div>
    <w:div w:id="549465559">
      <w:bodyDiv w:val="1"/>
      <w:marLeft w:val="0"/>
      <w:marRight w:val="0"/>
      <w:marTop w:val="0"/>
      <w:marBottom w:val="0"/>
      <w:divBdr>
        <w:top w:val="none" w:sz="0" w:space="0" w:color="auto"/>
        <w:left w:val="none" w:sz="0" w:space="0" w:color="auto"/>
        <w:bottom w:val="none" w:sz="0" w:space="0" w:color="auto"/>
        <w:right w:val="none" w:sz="0" w:space="0" w:color="auto"/>
      </w:divBdr>
    </w:div>
    <w:div w:id="549537342">
      <w:bodyDiv w:val="1"/>
      <w:marLeft w:val="0"/>
      <w:marRight w:val="0"/>
      <w:marTop w:val="0"/>
      <w:marBottom w:val="0"/>
      <w:divBdr>
        <w:top w:val="none" w:sz="0" w:space="0" w:color="auto"/>
        <w:left w:val="none" w:sz="0" w:space="0" w:color="auto"/>
        <w:bottom w:val="none" w:sz="0" w:space="0" w:color="auto"/>
        <w:right w:val="none" w:sz="0" w:space="0" w:color="auto"/>
      </w:divBdr>
    </w:div>
    <w:div w:id="549650593">
      <w:bodyDiv w:val="1"/>
      <w:marLeft w:val="0"/>
      <w:marRight w:val="0"/>
      <w:marTop w:val="0"/>
      <w:marBottom w:val="0"/>
      <w:divBdr>
        <w:top w:val="none" w:sz="0" w:space="0" w:color="auto"/>
        <w:left w:val="none" w:sz="0" w:space="0" w:color="auto"/>
        <w:bottom w:val="none" w:sz="0" w:space="0" w:color="auto"/>
        <w:right w:val="none" w:sz="0" w:space="0" w:color="auto"/>
      </w:divBdr>
    </w:div>
    <w:div w:id="549657249">
      <w:bodyDiv w:val="1"/>
      <w:marLeft w:val="0"/>
      <w:marRight w:val="0"/>
      <w:marTop w:val="0"/>
      <w:marBottom w:val="0"/>
      <w:divBdr>
        <w:top w:val="none" w:sz="0" w:space="0" w:color="auto"/>
        <w:left w:val="none" w:sz="0" w:space="0" w:color="auto"/>
        <w:bottom w:val="none" w:sz="0" w:space="0" w:color="auto"/>
        <w:right w:val="none" w:sz="0" w:space="0" w:color="auto"/>
      </w:divBdr>
    </w:div>
    <w:div w:id="549658073">
      <w:bodyDiv w:val="1"/>
      <w:marLeft w:val="0"/>
      <w:marRight w:val="0"/>
      <w:marTop w:val="0"/>
      <w:marBottom w:val="0"/>
      <w:divBdr>
        <w:top w:val="none" w:sz="0" w:space="0" w:color="auto"/>
        <w:left w:val="none" w:sz="0" w:space="0" w:color="auto"/>
        <w:bottom w:val="none" w:sz="0" w:space="0" w:color="auto"/>
        <w:right w:val="none" w:sz="0" w:space="0" w:color="auto"/>
      </w:divBdr>
    </w:div>
    <w:div w:id="549659484">
      <w:bodyDiv w:val="1"/>
      <w:marLeft w:val="0"/>
      <w:marRight w:val="0"/>
      <w:marTop w:val="0"/>
      <w:marBottom w:val="0"/>
      <w:divBdr>
        <w:top w:val="none" w:sz="0" w:space="0" w:color="auto"/>
        <w:left w:val="none" w:sz="0" w:space="0" w:color="auto"/>
        <w:bottom w:val="none" w:sz="0" w:space="0" w:color="auto"/>
        <w:right w:val="none" w:sz="0" w:space="0" w:color="auto"/>
      </w:divBdr>
    </w:div>
    <w:div w:id="549731027">
      <w:bodyDiv w:val="1"/>
      <w:marLeft w:val="0"/>
      <w:marRight w:val="0"/>
      <w:marTop w:val="0"/>
      <w:marBottom w:val="0"/>
      <w:divBdr>
        <w:top w:val="none" w:sz="0" w:space="0" w:color="auto"/>
        <w:left w:val="none" w:sz="0" w:space="0" w:color="auto"/>
        <w:bottom w:val="none" w:sz="0" w:space="0" w:color="auto"/>
        <w:right w:val="none" w:sz="0" w:space="0" w:color="auto"/>
      </w:divBdr>
    </w:div>
    <w:div w:id="550044642">
      <w:bodyDiv w:val="1"/>
      <w:marLeft w:val="0"/>
      <w:marRight w:val="0"/>
      <w:marTop w:val="0"/>
      <w:marBottom w:val="0"/>
      <w:divBdr>
        <w:top w:val="none" w:sz="0" w:space="0" w:color="auto"/>
        <w:left w:val="none" w:sz="0" w:space="0" w:color="auto"/>
        <w:bottom w:val="none" w:sz="0" w:space="0" w:color="auto"/>
        <w:right w:val="none" w:sz="0" w:space="0" w:color="auto"/>
      </w:divBdr>
    </w:div>
    <w:div w:id="550045412">
      <w:bodyDiv w:val="1"/>
      <w:marLeft w:val="0"/>
      <w:marRight w:val="0"/>
      <w:marTop w:val="0"/>
      <w:marBottom w:val="0"/>
      <w:divBdr>
        <w:top w:val="none" w:sz="0" w:space="0" w:color="auto"/>
        <w:left w:val="none" w:sz="0" w:space="0" w:color="auto"/>
        <w:bottom w:val="none" w:sz="0" w:space="0" w:color="auto"/>
        <w:right w:val="none" w:sz="0" w:space="0" w:color="auto"/>
      </w:divBdr>
    </w:div>
    <w:div w:id="550074233">
      <w:bodyDiv w:val="1"/>
      <w:marLeft w:val="0"/>
      <w:marRight w:val="0"/>
      <w:marTop w:val="0"/>
      <w:marBottom w:val="0"/>
      <w:divBdr>
        <w:top w:val="none" w:sz="0" w:space="0" w:color="auto"/>
        <w:left w:val="none" w:sz="0" w:space="0" w:color="auto"/>
        <w:bottom w:val="none" w:sz="0" w:space="0" w:color="auto"/>
        <w:right w:val="none" w:sz="0" w:space="0" w:color="auto"/>
      </w:divBdr>
    </w:div>
    <w:div w:id="550114302">
      <w:bodyDiv w:val="1"/>
      <w:marLeft w:val="0"/>
      <w:marRight w:val="0"/>
      <w:marTop w:val="0"/>
      <w:marBottom w:val="0"/>
      <w:divBdr>
        <w:top w:val="none" w:sz="0" w:space="0" w:color="auto"/>
        <w:left w:val="none" w:sz="0" w:space="0" w:color="auto"/>
        <w:bottom w:val="none" w:sz="0" w:space="0" w:color="auto"/>
        <w:right w:val="none" w:sz="0" w:space="0" w:color="auto"/>
      </w:divBdr>
    </w:div>
    <w:div w:id="550120597">
      <w:bodyDiv w:val="1"/>
      <w:marLeft w:val="0"/>
      <w:marRight w:val="0"/>
      <w:marTop w:val="0"/>
      <w:marBottom w:val="0"/>
      <w:divBdr>
        <w:top w:val="none" w:sz="0" w:space="0" w:color="auto"/>
        <w:left w:val="none" w:sz="0" w:space="0" w:color="auto"/>
        <w:bottom w:val="none" w:sz="0" w:space="0" w:color="auto"/>
        <w:right w:val="none" w:sz="0" w:space="0" w:color="auto"/>
      </w:divBdr>
    </w:div>
    <w:div w:id="550380857">
      <w:bodyDiv w:val="1"/>
      <w:marLeft w:val="0"/>
      <w:marRight w:val="0"/>
      <w:marTop w:val="0"/>
      <w:marBottom w:val="0"/>
      <w:divBdr>
        <w:top w:val="none" w:sz="0" w:space="0" w:color="auto"/>
        <w:left w:val="none" w:sz="0" w:space="0" w:color="auto"/>
        <w:bottom w:val="none" w:sz="0" w:space="0" w:color="auto"/>
        <w:right w:val="none" w:sz="0" w:space="0" w:color="auto"/>
      </w:divBdr>
    </w:div>
    <w:div w:id="550581832">
      <w:bodyDiv w:val="1"/>
      <w:marLeft w:val="0"/>
      <w:marRight w:val="0"/>
      <w:marTop w:val="0"/>
      <w:marBottom w:val="0"/>
      <w:divBdr>
        <w:top w:val="none" w:sz="0" w:space="0" w:color="auto"/>
        <w:left w:val="none" w:sz="0" w:space="0" w:color="auto"/>
        <w:bottom w:val="none" w:sz="0" w:space="0" w:color="auto"/>
        <w:right w:val="none" w:sz="0" w:space="0" w:color="auto"/>
      </w:divBdr>
    </w:div>
    <w:div w:id="550650853">
      <w:bodyDiv w:val="1"/>
      <w:marLeft w:val="0"/>
      <w:marRight w:val="0"/>
      <w:marTop w:val="0"/>
      <w:marBottom w:val="0"/>
      <w:divBdr>
        <w:top w:val="none" w:sz="0" w:space="0" w:color="auto"/>
        <w:left w:val="none" w:sz="0" w:space="0" w:color="auto"/>
        <w:bottom w:val="none" w:sz="0" w:space="0" w:color="auto"/>
        <w:right w:val="none" w:sz="0" w:space="0" w:color="auto"/>
      </w:divBdr>
    </w:div>
    <w:div w:id="550844444">
      <w:bodyDiv w:val="1"/>
      <w:marLeft w:val="0"/>
      <w:marRight w:val="0"/>
      <w:marTop w:val="0"/>
      <w:marBottom w:val="0"/>
      <w:divBdr>
        <w:top w:val="none" w:sz="0" w:space="0" w:color="auto"/>
        <w:left w:val="none" w:sz="0" w:space="0" w:color="auto"/>
        <w:bottom w:val="none" w:sz="0" w:space="0" w:color="auto"/>
        <w:right w:val="none" w:sz="0" w:space="0" w:color="auto"/>
      </w:divBdr>
    </w:div>
    <w:div w:id="550922972">
      <w:bodyDiv w:val="1"/>
      <w:marLeft w:val="0"/>
      <w:marRight w:val="0"/>
      <w:marTop w:val="0"/>
      <w:marBottom w:val="0"/>
      <w:divBdr>
        <w:top w:val="none" w:sz="0" w:space="0" w:color="auto"/>
        <w:left w:val="none" w:sz="0" w:space="0" w:color="auto"/>
        <w:bottom w:val="none" w:sz="0" w:space="0" w:color="auto"/>
        <w:right w:val="none" w:sz="0" w:space="0" w:color="auto"/>
      </w:divBdr>
    </w:div>
    <w:div w:id="550923912">
      <w:bodyDiv w:val="1"/>
      <w:marLeft w:val="0"/>
      <w:marRight w:val="0"/>
      <w:marTop w:val="0"/>
      <w:marBottom w:val="0"/>
      <w:divBdr>
        <w:top w:val="none" w:sz="0" w:space="0" w:color="auto"/>
        <w:left w:val="none" w:sz="0" w:space="0" w:color="auto"/>
        <w:bottom w:val="none" w:sz="0" w:space="0" w:color="auto"/>
        <w:right w:val="none" w:sz="0" w:space="0" w:color="auto"/>
      </w:divBdr>
    </w:div>
    <w:div w:id="550963716">
      <w:bodyDiv w:val="1"/>
      <w:marLeft w:val="0"/>
      <w:marRight w:val="0"/>
      <w:marTop w:val="0"/>
      <w:marBottom w:val="0"/>
      <w:divBdr>
        <w:top w:val="none" w:sz="0" w:space="0" w:color="auto"/>
        <w:left w:val="none" w:sz="0" w:space="0" w:color="auto"/>
        <w:bottom w:val="none" w:sz="0" w:space="0" w:color="auto"/>
        <w:right w:val="none" w:sz="0" w:space="0" w:color="auto"/>
      </w:divBdr>
    </w:div>
    <w:div w:id="550966227">
      <w:bodyDiv w:val="1"/>
      <w:marLeft w:val="0"/>
      <w:marRight w:val="0"/>
      <w:marTop w:val="0"/>
      <w:marBottom w:val="0"/>
      <w:divBdr>
        <w:top w:val="none" w:sz="0" w:space="0" w:color="auto"/>
        <w:left w:val="none" w:sz="0" w:space="0" w:color="auto"/>
        <w:bottom w:val="none" w:sz="0" w:space="0" w:color="auto"/>
        <w:right w:val="none" w:sz="0" w:space="0" w:color="auto"/>
      </w:divBdr>
    </w:div>
    <w:div w:id="551039914">
      <w:bodyDiv w:val="1"/>
      <w:marLeft w:val="0"/>
      <w:marRight w:val="0"/>
      <w:marTop w:val="0"/>
      <w:marBottom w:val="0"/>
      <w:divBdr>
        <w:top w:val="none" w:sz="0" w:space="0" w:color="auto"/>
        <w:left w:val="none" w:sz="0" w:space="0" w:color="auto"/>
        <w:bottom w:val="none" w:sz="0" w:space="0" w:color="auto"/>
        <w:right w:val="none" w:sz="0" w:space="0" w:color="auto"/>
      </w:divBdr>
    </w:div>
    <w:div w:id="551119859">
      <w:bodyDiv w:val="1"/>
      <w:marLeft w:val="0"/>
      <w:marRight w:val="0"/>
      <w:marTop w:val="0"/>
      <w:marBottom w:val="0"/>
      <w:divBdr>
        <w:top w:val="none" w:sz="0" w:space="0" w:color="auto"/>
        <w:left w:val="none" w:sz="0" w:space="0" w:color="auto"/>
        <w:bottom w:val="none" w:sz="0" w:space="0" w:color="auto"/>
        <w:right w:val="none" w:sz="0" w:space="0" w:color="auto"/>
      </w:divBdr>
    </w:div>
    <w:div w:id="551120410">
      <w:bodyDiv w:val="1"/>
      <w:marLeft w:val="0"/>
      <w:marRight w:val="0"/>
      <w:marTop w:val="0"/>
      <w:marBottom w:val="0"/>
      <w:divBdr>
        <w:top w:val="none" w:sz="0" w:space="0" w:color="auto"/>
        <w:left w:val="none" w:sz="0" w:space="0" w:color="auto"/>
        <w:bottom w:val="none" w:sz="0" w:space="0" w:color="auto"/>
        <w:right w:val="none" w:sz="0" w:space="0" w:color="auto"/>
      </w:divBdr>
    </w:div>
    <w:div w:id="551380839">
      <w:bodyDiv w:val="1"/>
      <w:marLeft w:val="0"/>
      <w:marRight w:val="0"/>
      <w:marTop w:val="0"/>
      <w:marBottom w:val="0"/>
      <w:divBdr>
        <w:top w:val="none" w:sz="0" w:space="0" w:color="auto"/>
        <w:left w:val="none" w:sz="0" w:space="0" w:color="auto"/>
        <w:bottom w:val="none" w:sz="0" w:space="0" w:color="auto"/>
        <w:right w:val="none" w:sz="0" w:space="0" w:color="auto"/>
      </w:divBdr>
    </w:div>
    <w:div w:id="551383373">
      <w:bodyDiv w:val="1"/>
      <w:marLeft w:val="0"/>
      <w:marRight w:val="0"/>
      <w:marTop w:val="0"/>
      <w:marBottom w:val="0"/>
      <w:divBdr>
        <w:top w:val="none" w:sz="0" w:space="0" w:color="auto"/>
        <w:left w:val="none" w:sz="0" w:space="0" w:color="auto"/>
        <w:bottom w:val="none" w:sz="0" w:space="0" w:color="auto"/>
        <w:right w:val="none" w:sz="0" w:space="0" w:color="auto"/>
      </w:divBdr>
    </w:div>
    <w:div w:id="551507453">
      <w:bodyDiv w:val="1"/>
      <w:marLeft w:val="0"/>
      <w:marRight w:val="0"/>
      <w:marTop w:val="0"/>
      <w:marBottom w:val="0"/>
      <w:divBdr>
        <w:top w:val="none" w:sz="0" w:space="0" w:color="auto"/>
        <w:left w:val="none" w:sz="0" w:space="0" w:color="auto"/>
        <w:bottom w:val="none" w:sz="0" w:space="0" w:color="auto"/>
        <w:right w:val="none" w:sz="0" w:space="0" w:color="auto"/>
      </w:divBdr>
    </w:div>
    <w:div w:id="551624274">
      <w:bodyDiv w:val="1"/>
      <w:marLeft w:val="0"/>
      <w:marRight w:val="0"/>
      <w:marTop w:val="0"/>
      <w:marBottom w:val="0"/>
      <w:divBdr>
        <w:top w:val="none" w:sz="0" w:space="0" w:color="auto"/>
        <w:left w:val="none" w:sz="0" w:space="0" w:color="auto"/>
        <w:bottom w:val="none" w:sz="0" w:space="0" w:color="auto"/>
        <w:right w:val="none" w:sz="0" w:space="0" w:color="auto"/>
      </w:divBdr>
    </w:div>
    <w:div w:id="551696562">
      <w:bodyDiv w:val="1"/>
      <w:marLeft w:val="0"/>
      <w:marRight w:val="0"/>
      <w:marTop w:val="0"/>
      <w:marBottom w:val="0"/>
      <w:divBdr>
        <w:top w:val="none" w:sz="0" w:space="0" w:color="auto"/>
        <w:left w:val="none" w:sz="0" w:space="0" w:color="auto"/>
        <w:bottom w:val="none" w:sz="0" w:space="0" w:color="auto"/>
        <w:right w:val="none" w:sz="0" w:space="0" w:color="auto"/>
      </w:divBdr>
    </w:div>
    <w:div w:id="551769539">
      <w:bodyDiv w:val="1"/>
      <w:marLeft w:val="0"/>
      <w:marRight w:val="0"/>
      <w:marTop w:val="0"/>
      <w:marBottom w:val="0"/>
      <w:divBdr>
        <w:top w:val="none" w:sz="0" w:space="0" w:color="auto"/>
        <w:left w:val="none" w:sz="0" w:space="0" w:color="auto"/>
        <w:bottom w:val="none" w:sz="0" w:space="0" w:color="auto"/>
        <w:right w:val="none" w:sz="0" w:space="0" w:color="auto"/>
      </w:divBdr>
    </w:div>
    <w:div w:id="551816085">
      <w:bodyDiv w:val="1"/>
      <w:marLeft w:val="0"/>
      <w:marRight w:val="0"/>
      <w:marTop w:val="0"/>
      <w:marBottom w:val="0"/>
      <w:divBdr>
        <w:top w:val="none" w:sz="0" w:space="0" w:color="auto"/>
        <w:left w:val="none" w:sz="0" w:space="0" w:color="auto"/>
        <w:bottom w:val="none" w:sz="0" w:space="0" w:color="auto"/>
        <w:right w:val="none" w:sz="0" w:space="0" w:color="auto"/>
      </w:divBdr>
    </w:div>
    <w:div w:id="551887937">
      <w:bodyDiv w:val="1"/>
      <w:marLeft w:val="0"/>
      <w:marRight w:val="0"/>
      <w:marTop w:val="0"/>
      <w:marBottom w:val="0"/>
      <w:divBdr>
        <w:top w:val="none" w:sz="0" w:space="0" w:color="auto"/>
        <w:left w:val="none" w:sz="0" w:space="0" w:color="auto"/>
        <w:bottom w:val="none" w:sz="0" w:space="0" w:color="auto"/>
        <w:right w:val="none" w:sz="0" w:space="0" w:color="auto"/>
      </w:divBdr>
    </w:div>
    <w:div w:id="551968234">
      <w:bodyDiv w:val="1"/>
      <w:marLeft w:val="0"/>
      <w:marRight w:val="0"/>
      <w:marTop w:val="0"/>
      <w:marBottom w:val="0"/>
      <w:divBdr>
        <w:top w:val="none" w:sz="0" w:space="0" w:color="auto"/>
        <w:left w:val="none" w:sz="0" w:space="0" w:color="auto"/>
        <w:bottom w:val="none" w:sz="0" w:space="0" w:color="auto"/>
        <w:right w:val="none" w:sz="0" w:space="0" w:color="auto"/>
      </w:divBdr>
    </w:div>
    <w:div w:id="552010389">
      <w:bodyDiv w:val="1"/>
      <w:marLeft w:val="0"/>
      <w:marRight w:val="0"/>
      <w:marTop w:val="0"/>
      <w:marBottom w:val="0"/>
      <w:divBdr>
        <w:top w:val="none" w:sz="0" w:space="0" w:color="auto"/>
        <w:left w:val="none" w:sz="0" w:space="0" w:color="auto"/>
        <w:bottom w:val="none" w:sz="0" w:space="0" w:color="auto"/>
        <w:right w:val="none" w:sz="0" w:space="0" w:color="auto"/>
      </w:divBdr>
    </w:div>
    <w:div w:id="552154762">
      <w:bodyDiv w:val="1"/>
      <w:marLeft w:val="0"/>
      <w:marRight w:val="0"/>
      <w:marTop w:val="0"/>
      <w:marBottom w:val="0"/>
      <w:divBdr>
        <w:top w:val="none" w:sz="0" w:space="0" w:color="auto"/>
        <w:left w:val="none" w:sz="0" w:space="0" w:color="auto"/>
        <w:bottom w:val="none" w:sz="0" w:space="0" w:color="auto"/>
        <w:right w:val="none" w:sz="0" w:space="0" w:color="auto"/>
      </w:divBdr>
    </w:div>
    <w:div w:id="552231648">
      <w:bodyDiv w:val="1"/>
      <w:marLeft w:val="0"/>
      <w:marRight w:val="0"/>
      <w:marTop w:val="0"/>
      <w:marBottom w:val="0"/>
      <w:divBdr>
        <w:top w:val="none" w:sz="0" w:space="0" w:color="auto"/>
        <w:left w:val="none" w:sz="0" w:space="0" w:color="auto"/>
        <w:bottom w:val="none" w:sz="0" w:space="0" w:color="auto"/>
        <w:right w:val="none" w:sz="0" w:space="0" w:color="auto"/>
      </w:divBdr>
    </w:div>
    <w:div w:id="552348010">
      <w:bodyDiv w:val="1"/>
      <w:marLeft w:val="0"/>
      <w:marRight w:val="0"/>
      <w:marTop w:val="0"/>
      <w:marBottom w:val="0"/>
      <w:divBdr>
        <w:top w:val="none" w:sz="0" w:space="0" w:color="auto"/>
        <w:left w:val="none" w:sz="0" w:space="0" w:color="auto"/>
        <w:bottom w:val="none" w:sz="0" w:space="0" w:color="auto"/>
        <w:right w:val="none" w:sz="0" w:space="0" w:color="auto"/>
      </w:divBdr>
    </w:div>
    <w:div w:id="552424489">
      <w:bodyDiv w:val="1"/>
      <w:marLeft w:val="0"/>
      <w:marRight w:val="0"/>
      <w:marTop w:val="0"/>
      <w:marBottom w:val="0"/>
      <w:divBdr>
        <w:top w:val="none" w:sz="0" w:space="0" w:color="auto"/>
        <w:left w:val="none" w:sz="0" w:space="0" w:color="auto"/>
        <w:bottom w:val="none" w:sz="0" w:space="0" w:color="auto"/>
        <w:right w:val="none" w:sz="0" w:space="0" w:color="auto"/>
      </w:divBdr>
    </w:div>
    <w:div w:id="552469528">
      <w:bodyDiv w:val="1"/>
      <w:marLeft w:val="0"/>
      <w:marRight w:val="0"/>
      <w:marTop w:val="0"/>
      <w:marBottom w:val="0"/>
      <w:divBdr>
        <w:top w:val="none" w:sz="0" w:space="0" w:color="auto"/>
        <w:left w:val="none" w:sz="0" w:space="0" w:color="auto"/>
        <w:bottom w:val="none" w:sz="0" w:space="0" w:color="auto"/>
        <w:right w:val="none" w:sz="0" w:space="0" w:color="auto"/>
      </w:divBdr>
    </w:div>
    <w:div w:id="552473404">
      <w:bodyDiv w:val="1"/>
      <w:marLeft w:val="0"/>
      <w:marRight w:val="0"/>
      <w:marTop w:val="0"/>
      <w:marBottom w:val="0"/>
      <w:divBdr>
        <w:top w:val="none" w:sz="0" w:space="0" w:color="auto"/>
        <w:left w:val="none" w:sz="0" w:space="0" w:color="auto"/>
        <w:bottom w:val="none" w:sz="0" w:space="0" w:color="auto"/>
        <w:right w:val="none" w:sz="0" w:space="0" w:color="auto"/>
      </w:divBdr>
    </w:div>
    <w:div w:id="552549259">
      <w:bodyDiv w:val="1"/>
      <w:marLeft w:val="0"/>
      <w:marRight w:val="0"/>
      <w:marTop w:val="0"/>
      <w:marBottom w:val="0"/>
      <w:divBdr>
        <w:top w:val="none" w:sz="0" w:space="0" w:color="auto"/>
        <w:left w:val="none" w:sz="0" w:space="0" w:color="auto"/>
        <w:bottom w:val="none" w:sz="0" w:space="0" w:color="auto"/>
        <w:right w:val="none" w:sz="0" w:space="0" w:color="auto"/>
      </w:divBdr>
    </w:div>
    <w:div w:id="552623150">
      <w:bodyDiv w:val="1"/>
      <w:marLeft w:val="0"/>
      <w:marRight w:val="0"/>
      <w:marTop w:val="0"/>
      <w:marBottom w:val="0"/>
      <w:divBdr>
        <w:top w:val="none" w:sz="0" w:space="0" w:color="auto"/>
        <w:left w:val="none" w:sz="0" w:space="0" w:color="auto"/>
        <w:bottom w:val="none" w:sz="0" w:space="0" w:color="auto"/>
        <w:right w:val="none" w:sz="0" w:space="0" w:color="auto"/>
      </w:divBdr>
    </w:div>
    <w:div w:id="552736147">
      <w:bodyDiv w:val="1"/>
      <w:marLeft w:val="0"/>
      <w:marRight w:val="0"/>
      <w:marTop w:val="0"/>
      <w:marBottom w:val="0"/>
      <w:divBdr>
        <w:top w:val="none" w:sz="0" w:space="0" w:color="auto"/>
        <w:left w:val="none" w:sz="0" w:space="0" w:color="auto"/>
        <w:bottom w:val="none" w:sz="0" w:space="0" w:color="auto"/>
        <w:right w:val="none" w:sz="0" w:space="0" w:color="auto"/>
      </w:divBdr>
    </w:div>
    <w:div w:id="552742529">
      <w:bodyDiv w:val="1"/>
      <w:marLeft w:val="0"/>
      <w:marRight w:val="0"/>
      <w:marTop w:val="0"/>
      <w:marBottom w:val="0"/>
      <w:divBdr>
        <w:top w:val="none" w:sz="0" w:space="0" w:color="auto"/>
        <w:left w:val="none" w:sz="0" w:space="0" w:color="auto"/>
        <w:bottom w:val="none" w:sz="0" w:space="0" w:color="auto"/>
        <w:right w:val="none" w:sz="0" w:space="0" w:color="auto"/>
      </w:divBdr>
    </w:div>
    <w:div w:id="552891170">
      <w:bodyDiv w:val="1"/>
      <w:marLeft w:val="0"/>
      <w:marRight w:val="0"/>
      <w:marTop w:val="0"/>
      <w:marBottom w:val="0"/>
      <w:divBdr>
        <w:top w:val="none" w:sz="0" w:space="0" w:color="auto"/>
        <w:left w:val="none" w:sz="0" w:space="0" w:color="auto"/>
        <w:bottom w:val="none" w:sz="0" w:space="0" w:color="auto"/>
        <w:right w:val="none" w:sz="0" w:space="0" w:color="auto"/>
      </w:divBdr>
    </w:div>
    <w:div w:id="552959837">
      <w:bodyDiv w:val="1"/>
      <w:marLeft w:val="0"/>
      <w:marRight w:val="0"/>
      <w:marTop w:val="0"/>
      <w:marBottom w:val="0"/>
      <w:divBdr>
        <w:top w:val="none" w:sz="0" w:space="0" w:color="auto"/>
        <w:left w:val="none" w:sz="0" w:space="0" w:color="auto"/>
        <w:bottom w:val="none" w:sz="0" w:space="0" w:color="auto"/>
        <w:right w:val="none" w:sz="0" w:space="0" w:color="auto"/>
      </w:divBdr>
    </w:div>
    <w:div w:id="553002415">
      <w:bodyDiv w:val="1"/>
      <w:marLeft w:val="0"/>
      <w:marRight w:val="0"/>
      <w:marTop w:val="0"/>
      <w:marBottom w:val="0"/>
      <w:divBdr>
        <w:top w:val="none" w:sz="0" w:space="0" w:color="auto"/>
        <w:left w:val="none" w:sz="0" w:space="0" w:color="auto"/>
        <w:bottom w:val="none" w:sz="0" w:space="0" w:color="auto"/>
        <w:right w:val="none" w:sz="0" w:space="0" w:color="auto"/>
      </w:divBdr>
    </w:div>
    <w:div w:id="553154528">
      <w:bodyDiv w:val="1"/>
      <w:marLeft w:val="0"/>
      <w:marRight w:val="0"/>
      <w:marTop w:val="0"/>
      <w:marBottom w:val="0"/>
      <w:divBdr>
        <w:top w:val="none" w:sz="0" w:space="0" w:color="auto"/>
        <w:left w:val="none" w:sz="0" w:space="0" w:color="auto"/>
        <w:bottom w:val="none" w:sz="0" w:space="0" w:color="auto"/>
        <w:right w:val="none" w:sz="0" w:space="0" w:color="auto"/>
      </w:divBdr>
    </w:div>
    <w:div w:id="553346636">
      <w:bodyDiv w:val="1"/>
      <w:marLeft w:val="0"/>
      <w:marRight w:val="0"/>
      <w:marTop w:val="0"/>
      <w:marBottom w:val="0"/>
      <w:divBdr>
        <w:top w:val="none" w:sz="0" w:space="0" w:color="auto"/>
        <w:left w:val="none" w:sz="0" w:space="0" w:color="auto"/>
        <w:bottom w:val="none" w:sz="0" w:space="0" w:color="auto"/>
        <w:right w:val="none" w:sz="0" w:space="0" w:color="auto"/>
      </w:divBdr>
    </w:div>
    <w:div w:id="553347353">
      <w:bodyDiv w:val="1"/>
      <w:marLeft w:val="0"/>
      <w:marRight w:val="0"/>
      <w:marTop w:val="0"/>
      <w:marBottom w:val="0"/>
      <w:divBdr>
        <w:top w:val="none" w:sz="0" w:space="0" w:color="auto"/>
        <w:left w:val="none" w:sz="0" w:space="0" w:color="auto"/>
        <w:bottom w:val="none" w:sz="0" w:space="0" w:color="auto"/>
        <w:right w:val="none" w:sz="0" w:space="0" w:color="auto"/>
      </w:divBdr>
    </w:div>
    <w:div w:id="553397105">
      <w:bodyDiv w:val="1"/>
      <w:marLeft w:val="0"/>
      <w:marRight w:val="0"/>
      <w:marTop w:val="0"/>
      <w:marBottom w:val="0"/>
      <w:divBdr>
        <w:top w:val="none" w:sz="0" w:space="0" w:color="auto"/>
        <w:left w:val="none" w:sz="0" w:space="0" w:color="auto"/>
        <w:bottom w:val="none" w:sz="0" w:space="0" w:color="auto"/>
        <w:right w:val="none" w:sz="0" w:space="0" w:color="auto"/>
      </w:divBdr>
    </w:div>
    <w:div w:id="553544029">
      <w:bodyDiv w:val="1"/>
      <w:marLeft w:val="0"/>
      <w:marRight w:val="0"/>
      <w:marTop w:val="0"/>
      <w:marBottom w:val="0"/>
      <w:divBdr>
        <w:top w:val="none" w:sz="0" w:space="0" w:color="auto"/>
        <w:left w:val="none" w:sz="0" w:space="0" w:color="auto"/>
        <w:bottom w:val="none" w:sz="0" w:space="0" w:color="auto"/>
        <w:right w:val="none" w:sz="0" w:space="0" w:color="auto"/>
      </w:divBdr>
    </w:div>
    <w:div w:id="553586044">
      <w:bodyDiv w:val="1"/>
      <w:marLeft w:val="0"/>
      <w:marRight w:val="0"/>
      <w:marTop w:val="0"/>
      <w:marBottom w:val="0"/>
      <w:divBdr>
        <w:top w:val="none" w:sz="0" w:space="0" w:color="auto"/>
        <w:left w:val="none" w:sz="0" w:space="0" w:color="auto"/>
        <w:bottom w:val="none" w:sz="0" w:space="0" w:color="auto"/>
        <w:right w:val="none" w:sz="0" w:space="0" w:color="auto"/>
      </w:divBdr>
    </w:div>
    <w:div w:id="553587404">
      <w:bodyDiv w:val="1"/>
      <w:marLeft w:val="0"/>
      <w:marRight w:val="0"/>
      <w:marTop w:val="0"/>
      <w:marBottom w:val="0"/>
      <w:divBdr>
        <w:top w:val="none" w:sz="0" w:space="0" w:color="auto"/>
        <w:left w:val="none" w:sz="0" w:space="0" w:color="auto"/>
        <w:bottom w:val="none" w:sz="0" w:space="0" w:color="auto"/>
        <w:right w:val="none" w:sz="0" w:space="0" w:color="auto"/>
      </w:divBdr>
    </w:div>
    <w:div w:id="553808252">
      <w:bodyDiv w:val="1"/>
      <w:marLeft w:val="0"/>
      <w:marRight w:val="0"/>
      <w:marTop w:val="0"/>
      <w:marBottom w:val="0"/>
      <w:divBdr>
        <w:top w:val="none" w:sz="0" w:space="0" w:color="auto"/>
        <w:left w:val="none" w:sz="0" w:space="0" w:color="auto"/>
        <w:bottom w:val="none" w:sz="0" w:space="0" w:color="auto"/>
        <w:right w:val="none" w:sz="0" w:space="0" w:color="auto"/>
      </w:divBdr>
    </w:div>
    <w:div w:id="554006390">
      <w:bodyDiv w:val="1"/>
      <w:marLeft w:val="0"/>
      <w:marRight w:val="0"/>
      <w:marTop w:val="0"/>
      <w:marBottom w:val="0"/>
      <w:divBdr>
        <w:top w:val="none" w:sz="0" w:space="0" w:color="auto"/>
        <w:left w:val="none" w:sz="0" w:space="0" w:color="auto"/>
        <w:bottom w:val="none" w:sz="0" w:space="0" w:color="auto"/>
        <w:right w:val="none" w:sz="0" w:space="0" w:color="auto"/>
      </w:divBdr>
    </w:div>
    <w:div w:id="554051197">
      <w:bodyDiv w:val="1"/>
      <w:marLeft w:val="0"/>
      <w:marRight w:val="0"/>
      <w:marTop w:val="0"/>
      <w:marBottom w:val="0"/>
      <w:divBdr>
        <w:top w:val="none" w:sz="0" w:space="0" w:color="auto"/>
        <w:left w:val="none" w:sz="0" w:space="0" w:color="auto"/>
        <w:bottom w:val="none" w:sz="0" w:space="0" w:color="auto"/>
        <w:right w:val="none" w:sz="0" w:space="0" w:color="auto"/>
      </w:divBdr>
    </w:div>
    <w:div w:id="554195844">
      <w:bodyDiv w:val="1"/>
      <w:marLeft w:val="0"/>
      <w:marRight w:val="0"/>
      <w:marTop w:val="0"/>
      <w:marBottom w:val="0"/>
      <w:divBdr>
        <w:top w:val="none" w:sz="0" w:space="0" w:color="auto"/>
        <w:left w:val="none" w:sz="0" w:space="0" w:color="auto"/>
        <w:bottom w:val="none" w:sz="0" w:space="0" w:color="auto"/>
        <w:right w:val="none" w:sz="0" w:space="0" w:color="auto"/>
      </w:divBdr>
    </w:div>
    <w:div w:id="554238447">
      <w:bodyDiv w:val="1"/>
      <w:marLeft w:val="0"/>
      <w:marRight w:val="0"/>
      <w:marTop w:val="0"/>
      <w:marBottom w:val="0"/>
      <w:divBdr>
        <w:top w:val="none" w:sz="0" w:space="0" w:color="auto"/>
        <w:left w:val="none" w:sz="0" w:space="0" w:color="auto"/>
        <w:bottom w:val="none" w:sz="0" w:space="0" w:color="auto"/>
        <w:right w:val="none" w:sz="0" w:space="0" w:color="auto"/>
      </w:divBdr>
    </w:div>
    <w:div w:id="554316854">
      <w:bodyDiv w:val="1"/>
      <w:marLeft w:val="0"/>
      <w:marRight w:val="0"/>
      <w:marTop w:val="0"/>
      <w:marBottom w:val="0"/>
      <w:divBdr>
        <w:top w:val="none" w:sz="0" w:space="0" w:color="auto"/>
        <w:left w:val="none" w:sz="0" w:space="0" w:color="auto"/>
        <w:bottom w:val="none" w:sz="0" w:space="0" w:color="auto"/>
        <w:right w:val="none" w:sz="0" w:space="0" w:color="auto"/>
      </w:divBdr>
    </w:div>
    <w:div w:id="554321723">
      <w:bodyDiv w:val="1"/>
      <w:marLeft w:val="0"/>
      <w:marRight w:val="0"/>
      <w:marTop w:val="0"/>
      <w:marBottom w:val="0"/>
      <w:divBdr>
        <w:top w:val="none" w:sz="0" w:space="0" w:color="auto"/>
        <w:left w:val="none" w:sz="0" w:space="0" w:color="auto"/>
        <w:bottom w:val="none" w:sz="0" w:space="0" w:color="auto"/>
        <w:right w:val="none" w:sz="0" w:space="0" w:color="auto"/>
      </w:divBdr>
    </w:div>
    <w:div w:id="554439677">
      <w:bodyDiv w:val="1"/>
      <w:marLeft w:val="0"/>
      <w:marRight w:val="0"/>
      <w:marTop w:val="0"/>
      <w:marBottom w:val="0"/>
      <w:divBdr>
        <w:top w:val="none" w:sz="0" w:space="0" w:color="auto"/>
        <w:left w:val="none" w:sz="0" w:space="0" w:color="auto"/>
        <w:bottom w:val="none" w:sz="0" w:space="0" w:color="auto"/>
        <w:right w:val="none" w:sz="0" w:space="0" w:color="auto"/>
      </w:divBdr>
    </w:div>
    <w:div w:id="554466323">
      <w:bodyDiv w:val="1"/>
      <w:marLeft w:val="0"/>
      <w:marRight w:val="0"/>
      <w:marTop w:val="0"/>
      <w:marBottom w:val="0"/>
      <w:divBdr>
        <w:top w:val="none" w:sz="0" w:space="0" w:color="auto"/>
        <w:left w:val="none" w:sz="0" w:space="0" w:color="auto"/>
        <w:bottom w:val="none" w:sz="0" w:space="0" w:color="auto"/>
        <w:right w:val="none" w:sz="0" w:space="0" w:color="auto"/>
      </w:divBdr>
    </w:div>
    <w:div w:id="554585333">
      <w:bodyDiv w:val="1"/>
      <w:marLeft w:val="0"/>
      <w:marRight w:val="0"/>
      <w:marTop w:val="0"/>
      <w:marBottom w:val="0"/>
      <w:divBdr>
        <w:top w:val="none" w:sz="0" w:space="0" w:color="auto"/>
        <w:left w:val="none" w:sz="0" w:space="0" w:color="auto"/>
        <w:bottom w:val="none" w:sz="0" w:space="0" w:color="auto"/>
        <w:right w:val="none" w:sz="0" w:space="0" w:color="auto"/>
      </w:divBdr>
    </w:div>
    <w:div w:id="554706777">
      <w:bodyDiv w:val="1"/>
      <w:marLeft w:val="0"/>
      <w:marRight w:val="0"/>
      <w:marTop w:val="0"/>
      <w:marBottom w:val="0"/>
      <w:divBdr>
        <w:top w:val="none" w:sz="0" w:space="0" w:color="auto"/>
        <w:left w:val="none" w:sz="0" w:space="0" w:color="auto"/>
        <w:bottom w:val="none" w:sz="0" w:space="0" w:color="auto"/>
        <w:right w:val="none" w:sz="0" w:space="0" w:color="auto"/>
      </w:divBdr>
    </w:div>
    <w:div w:id="554774852">
      <w:bodyDiv w:val="1"/>
      <w:marLeft w:val="0"/>
      <w:marRight w:val="0"/>
      <w:marTop w:val="0"/>
      <w:marBottom w:val="0"/>
      <w:divBdr>
        <w:top w:val="none" w:sz="0" w:space="0" w:color="auto"/>
        <w:left w:val="none" w:sz="0" w:space="0" w:color="auto"/>
        <w:bottom w:val="none" w:sz="0" w:space="0" w:color="auto"/>
        <w:right w:val="none" w:sz="0" w:space="0" w:color="auto"/>
      </w:divBdr>
    </w:div>
    <w:div w:id="554968710">
      <w:bodyDiv w:val="1"/>
      <w:marLeft w:val="0"/>
      <w:marRight w:val="0"/>
      <w:marTop w:val="0"/>
      <w:marBottom w:val="0"/>
      <w:divBdr>
        <w:top w:val="none" w:sz="0" w:space="0" w:color="auto"/>
        <w:left w:val="none" w:sz="0" w:space="0" w:color="auto"/>
        <w:bottom w:val="none" w:sz="0" w:space="0" w:color="auto"/>
        <w:right w:val="none" w:sz="0" w:space="0" w:color="auto"/>
      </w:divBdr>
    </w:div>
    <w:div w:id="555090725">
      <w:bodyDiv w:val="1"/>
      <w:marLeft w:val="0"/>
      <w:marRight w:val="0"/>
      <w:marTop w:val="0"/>
      <w:marBottom w:val="0"/>
      <w:divBdr>
        <w:top w:val="none" w:sz="0" w:space="0" w:color="auto"/>
        <w:left w:val="none" w:sz="0" w:space="0" w:color="auto"/>
        <w:bottom w:val="none" w:sz="0" w:space="0" w:color="auto"/>
        <w:right w:val="none" w:sz="0" w:space="0" w:color="auto"/>
      </w:divBdr>
    </w:div>
    <w:div w:id="555094064">
      <w:bodyDiv w:val="1"/>
      <w:marLeft w:val="0"/>
      <w:marRight w:val="0"/>
      <w:marTop w:val="0"/>
      <w:marBottom w:val="0"/>
      <w:divBdr>
        <w:top w:val="none" w:sz="0" w:space="0" w:color="auto"/>
        <w:left w:val="none" w:sz="0" w:space="0" w:color="auto"/>
        <w:bottom w:val="none" w:sz="0" w:space="0" w:color="auto"/>
        <w:right w:val="none" w:sz="0" w:space="0" w:color="auto"/>
      </w:divBdr>
    </w:div>
    <w:div w:id="555166489">
      <w:bodyDiv w:val="1"/>
      <w:marLeft w:val="0"/>
      <w:marRight w:val="0"/>
      <w:marTop w:val="0"/>
      <w:marBottom w:val="0"/>
      <w:divBdr>
        <w:top w:val="none" w:sz="0" w:space="0" w:color="auto"/>
        <w:left w:val="none" w:sz="0" w:space="0" w:color="auto"/>
        <w:bottom w:val="none" w:sz="0" w:space="0" w:color="auto"/>
        <w:right w:val="none" w:sz="0" w:space="0" w:color="auto"/>
      </w:divBdr>
    </w:div>
    <w:div w:id="555240349">
      <w:bodyDiv w:val="1"/>
      <w:marLeft w:val="0"/>
      <w:marRight w:val="0"/>
      <w:marTop w:val="0"/>
      <w:marBottom w:val="0"/>
      <w:divBdr>
        <w:top w:val="none" w:sz="0" w:space="0" w:color="auto"/>
        <w:left w:val="none" w:sz="0" w:space="0" w:color="auto"/>
        <w:bottom w:val="none" w:sz="0" w:space="0" w:color="auto"/>
        <w:right w:val="none" w:sz="0" w:space="0" w:color="auto"/>
      </w:divBdr>
    </w:div>
    <w:div w:id="555240809">
      <w:bodyDiv w:val="1"/>
      <w:marLeft w:val="0"/>
      <w:marRight w:val="0"/>
      <w:marTop w:val="0"/>
      <w:marBottom w:val="0"/>
      <w:divBdr>
        <w:top w:val="none" w:sz="0" w:space="0" w:color="auto"/>
        <w:left w:val="none" w:sz="0" w:space="0" w:color="auto"/>
        <w:bottom w:val="none" w:sz="0" w:space="0" w:color="auto"/>
        <w:right w:val="none" w:sz="0" w:space="0" w:color="auto"/>
      </w:divBdr>
    </w:div>
    <w:div w:id="555433953">
      <w:bodyDiv w:val="1"/>
      <w:marLeft w:val="0"/>
      <w:marRight w:val="0"/>
      <w:marTop w:val="0"/>
      <w:marBottom w:val="0"/>
      <w:divBdr>
        <w:top w:val="none" w:sz="0" w:space="0" w:color="auto"/>
        <w:left w:val="none" w:sz="0" w:space="0" w:color="auto"/>
        <w:bottom w:val="none" w:sz="0" w:space="0" w:color="auto"/>
        <w:right w:val="none" w:sz="0" w:space="0" w:color="auto"/>
      </w:divBdr>
    </w:div>
    <w:div w:id="555438366">
      <w:bodyDiv w:val="1"/>
      <w:marLeft w:val="0"/>
      <w:marRight w:val="0"/>
      <w:marTop w:val="0"/>
      <w:marBottom w:val="0"/>
      <w:divBdr>
        <w:top w:val="none" w:sz="0" w:space="0" w:color="auto"/>
        <w:left w:val="none" w:sz="0" w:space="0" w:color="auto"/>
        <w:bottom w:val="none" w:sz="0" w:space="0" w:color="auto"/>
        <w:right w:val="none" w:sz="0" w:space="0" w:color="auto"/>
      </w:divBdr>
    </w:div>
    <w:div w:id="555509298">
      <w:bodyDiv w:val="1"/>
      <w:marLeft w:val="0"/>
      <w:marRight w:val="0"/>
      <w:marTop w:val="0"/>
      <w:marBottom w:val="0"/>
      <w:divBdr>
        <w:top w:val="none" w:sz="0" w:space="0" w:color="auto"/>
        <w:left w:val="none" w:sz="0" w:space="0" w:color="auto"/>
        <w:bottom w:val="none" w:sz="0" w:space="0" w:color="auto"/>
        <w:right w:val="none" w:sz="0" w:space="0" w:color="auto"/>
      </w:divBdr>
    </w:div>
    <w:div w:id="555509542">
      <w:bodyDiv w:val="1"/>
      <w:marLeft w:val="0"/>
      <w:marRight w:val="0"/>
      <w:marTop w:val="0"/>
      <w:marBottom w:val="0"/>
      <w:divBdr>
        <w:top w:val="none" w:sz="0" w:space="0" w:color="auto"/>
        <w:left w:val="none" w:sz="0" w:space="0" w:color="auto"/>
        <w:bottom w:val="none" w:sz="0" w:space="0" w:color="auto"/>
        <w:right w:val="none" w:sz="0" w:space="0" w:color="auto"/>
      </w:divBdr>
    </w:div>
    <w:div w:id="555623608">
      <w:bodyDiv w:val="1"/>
      <w:marLeft w:val="0"/>
      <w:marRight w:val="0"/>
      <w:marTop w:val="0"/>
      <w:marBottom w:val="0"/>
      <w:divBdr>
        <w:top w:val="none" w:sz="0" w:space="0" w:color="auto"/>
        <w:left w:val="none" w:sz="0" w:space="0" w:color="auto"/>
        <w:bottom w:val="none" w:sz="0" w:space="0" w:color="auto"/>
        <w:right w:val="none" w:sz="0" w:space="0" w:color="auto"/>
      </w:divBdr>
    </w:div>
    <w:div w:id="555705627">
      <w:bodyDiv w:val="1"/>
      <w:marLeft w:val="0"/>
      <w:marRight w:val="0"/>
      <w:marTop w:val="0"/>
      <w:marBottom w:val="0"/>
      <w:divBdr>
        <w:top w:val="none" w:sz="0" w:space="0" w:color="auto"/>
        <w:left w:val="none" w:sz="0" w:space="0" w:color="auto"/>
        <w:bottom w:val="none" w:sz="0" w:space="0" w:color="auto"/>
        <w:right w:val="none" w:sz="0" w:space="0" w:color="auto"/>
      </w:divBdr>
    </w:div>
    <w:div w:id="555777636">
      <w:bodyDiv w:val="1"/>
      <w:marLeft w:val="0"/>
      <w:marRight w:val="0"/>
      <w:marTop w:val="0"/>
      <w:marBottom w:val="0"/>
      <w:divBdr>
        <w:top w:val="none" w:sz="0" w:space="0" w:color="auto"/>
        <w:left w:val="none" w:sz="0" w:space="0" w:color="auto"/>
        <w:bottom w:val="none" w:sz="0" w:space="0" w:color="auto"/>
        <w:right w:val="none" w:sz="0" w:space="0" w:color="auto"/>
      </w:divBdr>
    </w:div>
    <w:div w:id="555822729">
      <w:bodyDiv w:val="1"/>
      <w:marLeft w:val="0"/>
      <w:marRight w:val="0"/>
      <w:marTop w:val="0"/>
      <w:marBottom w:val="0"/>
      <w:divBdr>
        <w:top w:val="none" w:sz="0" w:space="0" w:color="auto"/>
        <w:left w:val="none" w:sz="0" w:space="0" w:color="auto"/>
        <w:bottom w:val="none" w:sz="0" w:space="0" w:color="auto"/>
        <w:right w:val="none" w:sz="0" w:space="0" w:color="auto"/>
      </w:divBdr>
    </w:div>
    <w:div w:id="555822952">
      <w:bodyDiv w:val="1"/>
      <w:marLeft w:val="0"/>
      <w:marRight w:val="0"/>
      <w:marTop w:val="0"/>
      <w:marBottom w:val="0"/>
      <w:divBdr>
        <w:top w:val="none" w:sz="0" w:space="0" w:color="auto"/>
        <w:left w:val="none" w:sz="0" w:space="0" w:color="auto"/>
        <w:bottom w:val="none" w:sz="0" w:space="0" w:color="auto"/>
        <w:right w:val="none" w:sz="0" w:space="0" w:color="auto"/>
      </w:divBdr>
    </w:div>
    <w:div w:id="555899293">
      <w:bodyDiv w:val="1"/>
      <w:marLeft w:val="0"/>
      <w:marRight w:val="0"/>
      <w:marTop w:val="0"/>
      <w:marBottom w:val="0"/>
      <w:divBdr>
        <w:top w:val="none" w:sz="0" w:space="0" w:color="auto"/>
        <w:left w:val="none" w:sz="0" w:space="0" w:color="auto"/>
        <w:bottom w:val="none" w:sz="0" w:space="0" w:color="auto"/>
        <w:right w:val="none" w:sz="0" w:space="0" w:color="auto"/>
      </w:divBdr>
    </w:div>
    <w:div w:id="556092527">
      <w:bodyDiv w:val="1"/>
      <w:marLeft w:val="0"/>
      <w:marRight w:val="0"/>
      <w:marTop w:val="0"/>
      <w:marBottom w:val="0"/>
      <w:divBdr>
        <w:top w:val="none" w:sz="0" w:space="0" w:color="auto"/>
        <w:left w:val="none" w:sz="0" w:space="0" w:color="auto"/>
        <w:bottom w:val="none" w:sz="0" w:space="0" w:color="auto"/>
        <w:right w:val="none" w:sz="0" w:space="0" w:color="auto"/>
      </w:divBdr>
    </w:div>
    <w:div w:id="556167121">
      <w:bodyDiv w:val="1"/>
      <w:marLeft w:val="0"/>
      <w:marRight w:val="0"/>
      <w:marTop w:val="0"/>
      <w:marBottom w:val="0"/>
      <w:divBdr>
        <w:top w:val="none" w:sz="0" w:space="0" w:color="auto"/>
        <w:left w:val="none" w:sz="0" w:space="0" w:color="auto"/>
        <w:bottom w:val="none" w:sz="0" w:space="0" w:color="auto"/>
        <w:right w:val="none" w:sz="0" w:space="0" w:color="auto"/>
      </w:divBdr>
    </w:div>
    <w:div w:id="556168887">
      <w:bodyDiv w:val="1"/>
      <w:marLeft w:val="0"/>
      <w:marRight w:val="0"/>
      <w:marTop w:val="0"/>
      <w:marBottom w:val="0"/>
      <w:divBdr>
        <w:top w:val="none" w:sz="0" w:space="0" w:color="auto"/>
        <w:left w:val="none" w:sz="0" w:space="0" w:color="auto"/>
        <w:bottom w:val="none" w:sz="0" w:space="0" w:color="auto"/>
        <w:right w:val="none" w:sz="0" w:space="0" w:color="auto"/>
      </w:divBdr>
    </w:div>
    <w:div w:id="556207655">
      <w:bodyDiv w:val="1"/>
      <w:marLeft w:val="0"/>
      <w:marRight w:val="0"/>
      <w:marTop w:val="0"/>
      <w:marBottom w:val="0"/>
      <w:divBdr>
        <w:top w:val="none" w:sz="0" w:space="0" w:color="auto"/>
        <w:left w:val="none" w:sz="0" w:space="0" w:color="auto"/>
        <w:bottom w:val="none" w:sz="0" w:space="0" w:color="auto"/>
        <w:right w:val="none" w:sz="0" w:space="0" w:color="auto"/>
      </w:divBdr>
    </w:div>
    <w:div w:id="556285926">
      <w:bodyDiv w:val="1"/>
      <w:marLeft w:val="0"/>
      <w:marRight w:val="0"/>
      <w:marTop w:val="0"/>
      <w:marBottom w:val="0"/>
      <w:divBdr>
        <w:top w:val="none" w:sz="0" w:space="0" w:color="auto"/>
        <w:left w:val="none" w:sz="0" w:space="0" w:color="auto"/>
        <w:bottom w:val="none" w:sz="0" w:space="0" w:color="auto"/>
        <w:right w:val="none" w:sz="0" w:space="0" w:color="auto"/>
      </w:divBdr>
    </w:div>
    <w:div w:id="556286844">
      <w:bodyDiv w:val="1"/>
      <w:marLeft w:val="0"/>
      <w:marRight w:val="0"/>
      <w:marTop w:val="0"/>
      <w:marBottom w:val="0"/>
      <w:divBdr>
        <w:top w:val="none" w:sz="0" w:space="0" w:color="auto"/>
        <w:left w:val="none" w:sz="0" w:space="0" w:color="auto"/>
        <w:bottom w:val="none" w:sz="0" w:space="0" w:color="auto"/>
        <w:right w:val="none" w:sz="0" w:space="0" w:color="auto"/>
      </w:divBdr>
    </w:div>
    <w:div w:id="556287108">
      <w:bodyDiv w:val="1"/>
      <w:marLeft w:val="0"/>
      <w:marRight w:val="0"/>
      <w:marTop w:val="0"/>
      <w:marBottom w:val="0"/>
      <w:divBdr>
        <w:top w:val="none" w:sz="0" w:space="0" w:color="auto"/>
        <w:left w:val="none" w:sz="0" w:space="0" w:color="auto"/>
        <w:bottom w:val="none" w:sz="0" w:space="0" w:color="auto"/>
        <w:right w:val="none" w:sz="0" w:space="0" w:color="auto"/>
      </w:divBdr>
    </w:div>
    <w:div w:id="556353800">
      <w:bodyDiv w:val="1"/>
      <w:marLeft w:val="0"/>
      <w:marRight w:val="0"/>
      <w:marTop w:val="0"/>
      <w:marBottom w:val="0"/>
      <w:divBdr>
        <w:top w:val="none" w:sz="0" w:space="0" w:color="auto"/>
        <w:left w:val="none" w:sz="0" w:space="0" w:color="auto"/>
        <w:bottom w:val="none" w:sz="0" w:space="0" w:color="auto"/>
        <w:right w:val="none" w:sz="0" w:space="0" w:color="auto"/>
      </w:divBdr>
    </w:div>
    <w:div w:id="556358176">
      <w:bodyDiv w:val="1"/>
      <w:marLeft w:val="0"/>
      <w:marRight w:val="0"/>
      <w:marTop w:val="0"/>
      <w:marBottom w:val="0"/>
      <w:divBdr>
        <w:top w:val="none" w:sz="0" w:space="0" w:color="auto"/>
        <w:left w:val="none" w:sz="0" w:space="0" w:color="auto"/>
        <w:bottom w:val="none" w:sz="0" w:space="0" w:color="auto"/>
        <w:right w:val="none" w:sz="0" w:space="0" w:color="auto"/>
      </w:divBdr>
    </w:div>
    <w:div w:id="556360258">
      <w:bodyDiv w:val="1"/>
      <w:marLeft w:val="0"/>
      <w:marRight w:val="0"/>
      <w:marTop w:val="0"/>
      <w:marBottom w:val="0"/>
      <w:divBdr>
        <w:top w:val="none" w:sz="0" w:space="0" w:color="auto"/>
        <w:left w:val="none" w:sz="0" w:space="0" w:color="auto"/>
        <w:bottom w:val="none" w:sz="0" w:space="0" w:color="auto"/>
        <w:right w:val="none" w:sz="0" w:space="0" w:color="auto"/>
      </w:divBdr>
    </w:div>
    <w:div w:id="556360434">
      <w:bodyDiv w:val="1"/>
      <w:marLeft w:val="0"/>
      <w:marRight w:val="0"/>
      <w:marTop w:val="0"/>
      <w:marBottom w:val="0"/>
      <w:divBdr>
        <w:top w:val="none" w:sz="0" w:space="0" w:color="auto"/>
        <w:left w:val="none" w:sz="0" w:space="0" w:color="auto"/>
        <w:bottom w:val="none" w:sz="0" w:space="0" w:color="auto"/>
        <w:right w:val="none" w:sz="0" w:space="0" w:color="auto"/>
      </w:divBdr>
    </w:div>
    <w:div w:id="556402947">
      <w:bodyDiv w:val="1"/>
      <w:marLeft w:val="0"/>
      <w:marRight w:val="0"/>
      <w:marTop w:val="0"/>
      <w:marBottom w:val="0"/>
      <w:divBdr>
        <w:top w:val="none" w:sz="0" w:space="0" w:color="auto"/>
        <w:left w:val="none" w:sz="0" w:space="0" w:color="auto"/>
        <w:bottom w:val="none" w:sz="0" w:space="0" w:color="auto"/>
        <w:right w:val="none" w:sz="0" w:space="0" w:color="auto"/>
      </w:divBdr>
    </w:div>
    <w:div w:id="556476385">
      <w:bodyDiv w:val="1"/>
      <w:marLeft w:val="0"/>
      <w:marRight w:val="0"/>
      <w:marTop w:val="0"/>
      <w:marBottom w:val="0"/>
      <w:divBdr>
        <w:top w:val="none" w:sz="0" w:space="0" w:color="auto"/>
        <w:left w:val="none" w:sz="0" w:space="0" w:color="auto"/>
        <w:bottom w:val="none" w:sz="0" w:space="0" w:color="auto"/>
        <w:right w:val="none" w:sz="0" w:space="0" w:color="auto"/>
      </w:divBdr>
    </w:div>
    <w:div w:id="556549478">
      <w:bodyDiv w:val="1"/>
      <w:marLeft w:val="0"/>
      <w:marRight w:val="0"/>
      <w:marTop w:val="0"/>
      <w:marBottom w:val="0"/>
      <w:divBdr>
        <w:top w:val="none" w:sz="0" w:space="0" w:color="auto"/>
        <w:left w:val="none" w:sz="0" w:space="0" w:color="auto"/>
        <w:bottom w:val="none" w:sz="0" w:space="0" w:color="auto"/>
        <w:right w:val="none" w:sz="0" w:space="0" w:color="auto"/>
      </w:divBdr>
    </w:div>
    <w:div w:id="556667778">
      <w:bodyDiv w:val="1"/>
      <w:marLeft w:val="0"/>
      <w:marRight w:val="0"/>
      <w:marTop w:val="0"/>
      <w:marBottom w:val="0"/>
      <w:divBdr>
        <w:top w:val="none" w:sz="0" w:space="0" w:color="auto"/>
        <w:left w:val="none" w:sz="0" w:space="0" w:color="auto"/>
        <w:bottom w:val="none" w:sz="0" w:space="0" w:color="auto"/>
        <w:right w:val="none" w:sz="0" w:space="0" w:color="auto"/>
      </w:divBdr>
    </w:div>
    <w:div w:id="556939722">
      <w:bodyDiv w:val="1"/>
      <w:marLeft w:val="0"/>
      <w:marRight w:val="0"/>
      <w:marTop w:val="0"/>
      <w:marBottom w:val="0"/>
      <w:divBdr>
        <w:top w:val="none" w:sz="0" w:space="0" w:color="auto"/>
        <w:left w:val="none" w:sz="0" w:space="0" w:color="auto"/>
        <w:bottom w:val="none" w:sz="0" w:space="0" w:color="auto"/>
        <w:right w:val="none" w:sz="0" w:space="0" w:color="auto"/>
      </w:divBdr>
    </w:div>
    <w:div w:id="557131360">
      <w:bodyDiv w:val="1"/>
      <w:marLeft w:val="0"/>
      <w:marRight w:val="0"/>
      <w:marTop w:val="0"/>
      <w:marBottom w:val="0"/>
      <w:divBdr>
        <w:top w:val="none" w:sz="0" w:space="0" w:color="auto"/>
        <w:left w:val="none" w:sz="0" w:space="0" w:color="auto"/>
        <w:bottom w:val="none" w:sz="0" w:space="0" w:color="auto"/>
        <w:right w:val="none" w:sz="0" w:space="0" w:color="auto"/>
      </w:divBdr>
    </w:div>
    <w:div w:id="557277485">
      <w:bodyDiv w:val="1"/>
      <w:marLeft w:val="0"/>
      <w:marRight w:val="0"/>
      <w:marTop w:val="0"/>
      <w:marBottom w:val="0"/>
      <w:divBdr>
        <w:top w:val="none" w:sz="0" w:space="0" w:color="auto"/>
        <w:left w:val="none" w:sz="0" w:space="0" w:color="auto"/>
        <w:bottom w:val="none" w:sz="0" w:space="0" w:color="auto"/>
        <w:right w:val="none" w:sz="0" w:space="0" w:color="auto"/>
      </w:divBdr>
    </w:div>
    <w:div w:id="557319839">
      <w:bodyDiv w:val="1"/>
      <w:marLeft w:val="0"/>
      <w:marRight w:val="0"/>
      <w:marTop w:val="0"/>
      <w:marBottom w:val="0"/>
      <w:divBdr>
        <w:top w:val="none" w:sz="0" w:space="0" w:color="auto"/>
        <w:left w:val="none" w:sz="0" w:space="0" w:color="auto"/>
        <w:bottom w:val="none" w:sz="0" w:space="0" w:color="auto"/>
        <w:right w:val="none" w:sz="0" w:space="0" w:color="auto"/>
      </w:divBdr>
    </w:div>
    <w:div w:id="557399225">
      <w:bodyDiv w:val="1"/>
      <w:marLeft w:val="0"/>
      <w:marRight w:val="0"/>
      <w:marTop w:val="0"/>
      <w:marBottom w:val="0"/>
      <w:divBdr>
        <w:top w:val="none" w:sz="0" w:space="0" w:color="auto"/>
        <w:left w:val="none" w:sz="0" w:space="0" w:color="auto"/>
        <w:bottom w:val="none" w:sz="0" w:space="0" w:color="auto"/>
        <w:right w:val="none" w:sz="0" w:space="0" w:color="auto"/>
      </w:divBdr>
    </w:div>
    <w:div w:id="557473876">
      <w:bodyDiv w:val="1"/>
      <w:marLeft w:val="0"/>
      <w:marRight w:val="0"/>
      <w:marTop w:val="0"/>
      <w:marBottom w:val="0"/>
      <w:divBdr>
        <w:top w:val="none" w:sz="0" w:space="0" w:color="auto"/>
        <w:left w:val="none" w:sz="0" w:space="0" w:color="auto"/>
        <w:bottom w:val="none" w:sz="0" w:space="0" w:color="auto"/>
        <w:right w:val="none" w:sz="0" w:space="0" w:color="auto"/>
      </w:divBdr>
    </w:div>
    <w:div w:id="557588860">
      <w:bodyDiv w:val="1"/>
      <w:marLeft w:val="0"/>
      <w:marRight w:val="0"/>
      <w:marTop w:val="0"/>
      <w:marBottom w:val="0"/>
      <w:divBdr>
        <w:top w:val="none" w:sz="0" w:space="0" w:color="auto"/>
        <w:left w:val="none" w:sz="0" w:space="0" w:color="auto"/>
        <w:bottom w:val="none" w:sz="0" w:space="0" w:color="auto"/>
        <w:right w:val="none" w:sz="0" w:space="0" w:color="auto"/>
      </w:divBdr>
    </w:div>
    <w:div w:id="557593131">
      <w:bodyDiv w:val="1"/>
      <w:marLeft w:val="0"/>
      <w:marRight w:val="0"/>
      <w:marTop w:val="0"/>
      <w:marBottom w:val="0"/>
      <w:divBdr>
        <w:top w:val="none" w:sz="0" w:space="0" w:color="auto"/>
        <w:left w:val="none" w:sz="0" w:space="0" w:color="auto"/>
        <w:bottom w:val="none" w:sz="0" w:space="0" w:color="auto"/>
        <w:right w:val="none" w:sz="0" w:space="0" w:color="auto"/>
      </w:divBdr>
    </w:div>
    <w:div w:id="557663880">
      <w:bodyDiv w:val="1"/>
      <w:marLeft w:val="0"/>
      <w:marRight w:val="0"/>
      <w:marTop w:val="0"/>
      <w:marBottom w:val="0"/>
      <w:divBdr>
        <w:top w:val="none" w:sz="0" w:space="0" w:color="auto"/>
        <w:left w:val="none" w:sz="0" w:space="0" w:color="auto"/>
        <w:bottom w:val="none" w:sz="0" w:space="0" w:color="auto"/>
        <w:right w:val="none" w:sz="0" w:space="0" w:color="auto"/>
      </w:divBdr>
    </w:div>
    <w:div w:id="557664795">
      <w:bodyDiv w:val="1"/>
      <w:marLeft w:val="0"/>
      <w:marRight w:val="0"/>
      <w:marTop w:val="0"/>
      <w:marBottom w:val="0"/>
      <w:divBdr>
        <w:top w:val="none" w:sz="0" w:space="0" w:color="auto"/>
        <w:left w:val="none" w:sz="0" w:space="0" w:color="auto"/>
        <w:bottom w:val="none" w:sz="0" w:space="0" w:color="auto"/>
        <w:right w:val="none" w:sz="0" w:space="0" w:color="auto"/>
      </w:divBdr>
    </w:div>
    <w:div w:id="557670431">
      <w:bodyDiv w:val="1"/>
      <w:marLeft w:val="0"/>
      <w:marRight w:val="0"/>
      <w:marTop w:val="0"/>
      <w:marBottom w:val="0"/>
      <w:divBdr>
        <w:top w:val="none" w:sz="0" w:space="0" w:color="auto"/>
        <w:left w:val="none" w:sz="0" w:space="0" w:color="auto"/>
        <w:bottom w:val="none" w:sz="0" w:space="0" w:color="auto"/>
        <w:right w:val="none" w:sz="0" w:space="0" w:color="auto"/>
      </w:divBdr>
    </w:div>
    <w:div w:id="557740140">
      <w:bodyDiv w:val="1"/>
      <w:marLeft w:val="0"/>
      <w:marRight w:val="0"/>
      <w:marTop w:val="0"/>
      <w:marBottom w:val="0"/>
      <w:divBdr>
        <w:top w:val="none" w:sz="0" w:space="0" w:color="auto"/>
        <w:left w:val="none" w:sz="0" w:space="0" w:color="auto"/>
        <w:bottom w:val="none" w:sz="0" w:space="0" w:color="auto"/>
        <w:right w:val="none" w:sz="0" w:space="0" w:color="auto"/>
      </w:divBdr>
    </w:div>
    <w:div w:id="557860070">
      <w:bodyDiv w:val="1"/>
      <w:marLeft w:val="0"/>
      <w:marRight w:val="0"/>
      <w:marTop w:val="0"/>
      <w:marBottom w:val="0"/>
      <w:divBdr>
        <w:top w:val="none" w:sz="0" w:space="0" w:color="auto"/>
        <w:left w:val="none" w:sz="0" w:space="0" w:color="auto"/>
        <w:bottom w:val="none" w:sz="0" w:space="0" w:color="auto"/>
        <w:right w:val="none" w:sz="0" w:space="0" w:color="auto"/>
      </w:divBdr>
    </w:div>
    <w:div w:id="557938268">
      <w:bodyDiv w:val="1"/>
      <w:marLeft w:val="0"/>
      <w:marRight w:val="0"/>
      <w:marTop w:val="0"/>
      <w:marBottom w:val="0"/>
      <w:divBdr>
        <w:top w:val="none" w:sz="0" w:space="0" w:color="auto"/>
        <w:left w:val="none" w:sz="0" w:space="0" w:color="auto"/>
        <w:bottom w:val="none" w:sz="0" w:space="0" w:color="auto"/>
        <w:right w:val="none" w:sz="0" w:space="0" w:color="auto"/>
      </w:divBdr>
    </w:div>
    <w:div w:id="558320822">
      <w:bodyDiv w:val="1"/>
      <w:marLeft w:val="0"/>
      <w:marRight w:val="0"/>
      <w:marTop w:val="0"/>
      <w:marBottom w:val="0"/>
      <w:divBdr>
        <w:top w:val="none" w:sz="0" w:space="0" w:color="auto"/>
        <w:left w:val="none" w:sz="0" w:space="0" w:color="auto"/>
        <w:bottom w:val="none" w:sz="0" w:space="0" w:color="auto"/>
        <w:right w:val="none" w:sz="0" w:space="0" w:color="auto"/>
      </w:divBdr>
    </w:div>
    <w:div w:id="558370126">
      <w:bodyDiv w:val="1"/>
      <w:marLeft w:val="0"/>
      <w:marRight w:val="0"/>
      <w:marTop w:val="0"/>
      <w:marBottom w:val="0"/>
      <w:divBdr>
        <w:top w:val="none" w:sz="0" w:space="0" w:color="auto"/>
        <w:left w:val="none" w:sz="0" w:space="0" w:color="auto"/>
        <w:bottom w:val="none" w:sz="0" w:space="0" w:color="auto"/>
        <w:right w:val="none" w:sz="0" w:space="0" w:color="auto"/>
      </w:divBdr>
    </w:div>
    <w:div w:id="558518457">
      <w:bodyDiv w:val="1"/>
      <w:marLeft w:val="0"/>
      <w:marRight w:val="0"/>
      <w:marTop w:val="0"/>
      <w:marBottom w:val="0"/>
      <w:divBdr>
        <w:top w:val="none" w:sz="0" w:space="0" w:color="auto"/>
        <w:left w:val="none" w:sz="0" w:space="0" w:color="auto"/>
        <w:bottom w:val="none" w:sz="0" w:space="0" w:color="auto"/>
        <w:right w:val="none" w:sz="0" w:space="0" w:color="auto"/>
      </w:divBdr>
    </w:div>
    <w:div w:id="558522065">
      <w:bodyDiv w:val="1"/>
      <w:marLeft w:val="0"/>
      <w:marRight w:val="0"/>
      <w:marTop w:val="0"/>
      <w:marBottom w:val="0"/>
      <w:divBdr>
        <w:top w:val="none" w:sz="0" w:space="0" w:color="auto"/>
        <w:left w:val="none" w:sz="0" w:space="0" w:color="auto"/>
        <w:bottom w:val="none" w:sz="0" w:space="0" w:color="auto"/>
        <w:right w:val="none" w:sz="0" w:space="0" w:color="auto"/>
      </w:divBdr>
    </w:div>
    <w:div w:id="558783319">
      <w:bodyDiv w:val="1"/>
      <w:marLeft w:val="0"/>
      <w:marRight w:val="0"/>
      <w:marTop w:val="0"/>
      <w:marBottom w:val="0"/>
      <w:divBdr>
        <w:top w:val="none" w:sz="0" w:space="0" w:color="auto"/>
        <w:left w:val="none" w:sz="0" w:space="0" w:color="auto"/>
        <w:bottom w:val="none" w:sz="0" w:space="0" w:color="auto"/>
        <w:right w:val="none" w:sz="0" w:space="0" w:color="auto"/>
      </w:divBdr>
    </w:div>
    <w:div w:id="558831413">
      <w:bodyDiv w:val="1"/>
      <w:marLeft w:val="0"/>
      <w:marRight w:val="0"/>
      <w:marTop w:val="0"/>
      <w:marBottom w:val="0"/>
      <w:divBdr>
        <w:top w:val="none" w:sz="0" w:space="0" w:color="auto"/>
        <w:left w:val="none" w:sz="0" w:space="0" w:color="auto"/>
        <w:bottom w:val="none" w:sz="0" w:space="0" w:color="auto"/>
        <w:right w:val="none" w:sz="0" w:space="0" w:color="auto"/>
      </w:divBdr>
    </w:div>
    <w:div w:id="559024688">
      <w:bodyDiv w:val="1"/>
      <w:marLeft w:val="0"/>
      <w:marRight w:val="0"/>
      <w:marTop w:val="0"/>
      <w:marBottom w:val="0"/>
      <w:divBdr>
        <w:top w:val="none" w:sz="0" w:space="0" w:color="auto"/>
        <w:left w:val="none" w:sz="0" w:space="0" w:color="auto"/>
        <w:bottom w:val="none" w:sz="0" w:space="0" w:color="auto"/>
        <w:right w:val="none" w:sz="0" w:space="0" w:color="auto"/>
      </w:divBdr>
    </w:div>
    <w:div w:id="559095554">
      <w:bodyDiv w:val="1"/>
      <w:marLeft w:val="0"/>
      <w:marRight w:val="0"/>
      <w:marTop w:val="0"/>
      <w:marBottom w:val="0"/>
      <w:divBdr>
        <w:top w:val="none" w:sz="0" w:space="0" w:color="auto"/>
        <w:left w:val="none" w:sz="0" w:space="0" w:color="auto"/>
        <w:bottom w:val="none" w:sz="0" w:space="0" w:color="auto"/>
        <w:right w:val="none" w:sz="0" w:space="0" w:color="auto"/>
      </w:divBdr>
    </w:div>
    <w:div w:id="559219518">
      <w:bodyDiv w:val="1"/>
      <w:marLeft w:val="0"/>
      <w:marRight w:val="0"/>
      <w:marTop w:val="0"/>
      <w:marBottom w:val="0"/>
      <w:divBdr>
        <w:top w:val="none" w:sz="0" w:space="0" w:color="auto"/>
        <w:left w:val="none" w:sz="0" w:space="0" w:color="auto"/>
        <w:bottom w:val="none" w:sz="0" w:space="0" w:color="auto"/>
        <w:right w:val="none" w:sz="0" w:space="0" w:color="auto"/>
      </w:divBdr>
    </w:div>
    <w:div w:id="559246467">
      <w:bodyDiv w:val="1"/>
      <w:marLeft w:val="0"/>
      <w:marRight w:val="0"/>
      <w:marTop w:val="0"/>
      <w:marBottom w:val="0"/>
      <w:divBdr>
        <w:top w:val="none" w:sz="0" w:space="0" w:color="auto"/>
        <w:left w:val="none" w:sz="0" w:space="0" w:color="auto"/>
        <w:bottom w:val="none" w:sz="0" w:space="0" w:color="auto"/>
        <w:right w:val="none" w:sz="0" w:space="0" w:color="auto"/>
      </w:divBdr>
    </w:div>
    <w:div w:id="559290851">
      <w:bodyDiv w:val="1"/>
      <w:marLeft w:val="0"/>
      <w:marRight w:val="0"/>
      <w:marTop w:val="0"/>
      <w:marBottom w:val="0"/>
      <w:divBdr>
        <w:top w:val="none" w:sz="0" w:space="0" w:color="auto"/>
        <w:left w:val="none" w:sz="0" w:space="0" w:color="auto"/>
        <w:bottom w:val="none" w:sz="0" w:space="0" w:color="auto"/>
        <w:right w:val="none" w:sz="0" w:space="0" w:color="auto"/>
      </w:divBdr>
    </w:div>
    <w:div w:id="559295279">
      <w:bodyDiv w:val="1"/>
      <w:marLeft w:val="0"/>
      <w:marRight w:val="0"/>
      <w:marTop w:val="0"/>
      <w:marBottom w:val="0"/>
      <w:divBdr>
        <w:top w:val="none" w:sz="0" w:space="0" w:color="auto"/>
        <w:left w:val="none" w:sz="0" w:space="0" w:color="auto"/>
        <w:bottom w:val="none" w:sz="0" w:space="0" w:color="auto"/>
        <w:right w:val="none" w:sz="0" w:space="0" w:color="auto"/>
      </w:divBdr>
    </w:div>
    <w:div w:id="559444569">
      <w:bodyDiv w:val="1"/>
      <w:marLeft w:val="0"/>
      <w:marRight w:val="0"/>
      <w:marTop w:val="0"/>
      <w:marBottom w:val="0"/>
      <w:divBdr>
        <w:top w:val="none" w:sz="0" w:space="0" w:color="auto"/>
        <w:left w:val="none" w:sz="0" w:space="0" w:color="auto"/>
        <w:bottom w:val="none" w:sz="0" w:space="0" w:color="auto"/>
        <w:right w:val="none" w:sz="0" w:space="0" w:color="auto"/>
      </w:divBdr>
    </w:div>
    <w:div w:id="559677473">
      <w:bodyDiv w:val="1"/>
      <w:marLeft w:val="0"/>
      <w:marRight w:val="0"/>
      <w:marTop w:val="0"/>
      <w:marBottom w:val="0"/>
      <w:divBdr>
        <w:top w:val="none" w:sz="0" w:space="0" w:color="auto"/>
        <w:left w:val="none" w:sz="0" w:space="0" w:color="auto"/>
        <w:bottom w:val="none" w:sz="0" w:space="0" w:color="auto"/>
        <w:right w:val="none" w:sz="0" w:space="0" w:color="auto"/>
      </w:divBdr>
    </w:div>
    <w:div w:id="559709123">
      <w:bodyDiv w:val="1"/>
      <w:marLeft w:val="0"/>
      <w:marRight w:val="0"/>
      <w:marTop w:val="0"/>
      <w:marBottom w:val="0"/>
      <w:divBdr>
        <w:top w:val="none" w:sz="0" w:space="0" w:color="auto"/>
        <w:left w:val="none" w:sz="0" w:space="0" w:color="auto"/>
        <w:bottom w:val="none" w:sz="0" w:space="0" w:color="auto"/>
        <w:right w:val="none" w:sz="0" w:space="0" w:color="auto"/>
      </w:divBdr>
    </w:div>
    <w:div w:id="559824074">
      <w:bodyDiv w:val="1"/>
      <w:marLeft w:val="0"/>
      <w:marRight w:val="0"/>
      <w:marTop w:val="0"/>
      <w:marBottom w:val="0"/>
      <w:divBdr>
        <w:top w:val="none" w:sz="0" w:space="0" w:color="auto"/>
        <w:left w:val="none" w:sz="0" w:space="0" w:color="auto"/>
        <w:bottom w:val="none" w:sz="0" w:space="0" w:color="auto"/>
        <w:right w:val="none" w:sz="0" w:space="0" w:color="auto"/>
      </w:divBdr>
    </w:div>
    <w:div w:id="559898425">
      <w:bodyDiv w:val="1"/>
      <w:marLeft w:val="0"/>
      <w:marRight w:val="0"/>
      <w:marTop w:val="0"/>
      <w:marBottom w:val="0"/>
      <w:divBdr>
        <w:top w:val="none" w:sz="0" w:space="0" w:color="auto"/>
        <w:left w:val="none" w:sz="0" w:space="0" w:color="auto"/>
        <w:bottom w:val="none" w:sz="0" w:space="0" w:color="auto"/>
        <w:right w:val="none" w:sz="0" w:space="0" w:color="auto"/>
      </w:divBdr>
    </w:div>
    <w:div w:id="560167278">
      <w:bodyDiv w:val="1"/>
      <w:marLeft w:val="0"/>
      <w:marRight w:val="0"/>
      <w:marTop w:val="0"/>
      <w:marBottom w:val="0"/>
      <w:divBdr>
        <w:top w:val="none" w:sz="0" w:space="0" w:color="auto"/>
        <w:left w:val="none" w:sz="0" w:space="0" w:color="auto"/>
        <w:bottom w:val="none" w:sz="0" w:space="0" w:color="auto"/>
        <w:right w:val="none" w:sz="0" w:space="0" w:color="auto"/>
      </w:divBdr>
    </w:div>
    <w:div w:id="560211611">
      <w:bodyDiv w:val="1"/>
      <w:marLeft w:val="0"/>
      <w:marRight w:val="0"/>
      <w:marTop w:val="0"/>
      <w:marBottom w:val="0"/>
      <w:divBdr>
        <w:top w:val="none" w:sz="0" w:space="0" w:color="auto"/>
        <w:left w:val="none" w:sz="0" w:space="0" w:color="auto"/>
        <w:bottom w:val="none" w:sz="0" w:space="0" w:color="auto"/>
        <w:right w:val="none" w:sz="0" w:space="0" w:color="auto"/>
      </w:divBdr>
    </w:div>
    <w:div w:id="560214631">
      <w:bodyDiv w:val="1"/>
      <w:marLeft w:val="0"/>
      <w:marRight w:val="0"/>
      <w:marTop w:val="0"/>
      <w:marBottom w:val="0"/>
      <w:divBdr>
        <w:top w:val="none" w:sz="0" w:space="0" w:color="auto"/>
        <w:left w:val="none" w:sz="0" w:space="0" w:color="auto"/>
        <w:bottom w:val="none" w:sz="0" w:space="0" w:color="auto"/>
        <w:right w:val="none" w:sz="0" w:space="0" w:color="auto"/>
      </w:divBdr>
    </w:div>
    <w:div w:id="560293227">
      <w:bodyDiv w:val="1"/>
      <w:marLeft w:val="0"/>
      <w:marRight w:val="0"/>
      <w:marTop w:val="0"/>
      <w:marBottom w:val="0"/>
      <w:divBdr>
        <w:top w:val="none" w:sz="0" w:space="0" w:color="auto"/>
        <w:left w:val="none" w:sz="0" w:space="0" w:color="auto"/>
        <w:bottom w:val="none" w:sz="0" w:space="0" w:color="auto"/>
        <w:right w:val="none" w:sz="0" w:space="0" w:color="auto"/>
      </w:divBdr>
    </w:div>
    <w:div w:id="560405280">
      <w:bodyDiv w:val="1"/>
      <w:marLeft w:val="0"/>
      <w:marRight w:val="0"/>
      <w:marTop w:val="0"/>
      <w:marBottom w:val="0"/>
      <w:divBdr>
        <w:top w:val="none" w:sz="0" w:space="0" w:color="auto"/>
        <w:left w:val="none" w:sz="0" w:space="0" w:color="auto"/>
        <w:bottom w:val="none" w:sz="0" w:space="0" w:color="auto"/>
        <w:right w:val="none" w:sz="0" w:space="0" w:color="auto"/>
      </w:divBdr>
    </w:div>
    <w:div w:id="560598456">
      <w:bodyDiv w:val="1"/>
      <w:marLeft w:val="0"/>
      <w:marRight w:val="0"/>
      <w:marTop w:val="0"/>
      <w:marBottom w:val="0"/>
      <w:divBdr>
        <w:top w:val="none" w:sz="0" w:space="0" w:color="auto"/>
        <w:left w:val="none" w:sz="0" w:space="0" w:color="auto"/>
        <w:bottom w:val="none" w:sz="0" w:space="0" w:color="auto"/>
        <w:right w:val="none" w:sz="0" w:space="0" w:color="auto"/>
      </w:divBdr>
    </w:div>
    <w:div w:id="560671982">
      <w:bodyDiv w:val="1"/>
      <w:marLeft w:val="0"/>
      <w:marRight w:val="0"/>
      <w:marTop w:val="0"/>
      <w:marBottom w:val="0"/>
      <w:divBdr>
        <w:top w:val="none" w:sz="0" w:space="0" w:color="auto"/>
        <w:left w:val="none" w:sz="0" w:space="0" w:color="auto"/>
        <w:bottom w:val="none" w:sz="0" w:space="0" w:color="auto"/>
        <w:right w:val="none" w:sz="0" w:space="0" w:color="auto"/>
      </w:divBdr>
    </w:div>
    <w:div w:id="560869949">
      <w:bodyDiv w:val="1"/>
      <w:marLeft w:val="0"/>
      <w:marRight w:val="0"/>
      <w:marTop w:val="0"/>
      <w:marBottom w:val="0"/>
      <w:divBdr>
        <w:top w:val="none" w:sz="0" w:space="0" w:color="auto"/>
        <w:left w:val="none" w:sz="0" w:space="0" w:color="auto"/>
        <w:bottom w:val="none" w:sz="0" w:space="0" w:color="auto"/>
        <w:right w:val="none" w:sz="0" w:space="0" w:color="auto"/>
      </w:divBdr>
    </w:div>
    <w:div w:id="560870610">
      <w:bodyDiv w:val="1"/>
      <w:marLeft w:val="0"/>
      <w:marRight w:val="0"/>
      <w:marTop w:val="0"/>
      <w:marBottom w:val="0"/>
      <w:divBdr>
        <w:top w:val="none" w:sz="0" w:space="0" w:color="auto"/>
        <w:left w:val="none" w:sz="0" w:space="0" w:color="auto"/>
        <w:bottom w:val="none" w:sz="0" w:space="0" w:color="auto"/>
        <w:right w:val="none" w:sz="0" w:space="0" w:color="auto"/>
      </w:divBdr>
    </w:div>
    <w:div w:id="560946566">
      <w:bodyDiv w:val="1"/>
      <w:marLeft w:val="0"/>
      <w:marRight w:val="0"/>
      <w:marTop w:val="0"/>
      <w:marBottom w:val="0"/>
      <w:divBdr>
        <w:top w:val="none" w:sz="0" w:space="0" w:color="auto"/>
        <w:left w:val="none" w:sz="0" w:space="0" w:color="auto"/>
        <w:bottom w:val="none" w:sz="0" w:space="0" w:color="auto"/>
        <w:right w:val="none" w:sz="0" w:space="0" w:color="auto"/>
      </w:divBdr>
    </w:div>
    <w:div w:id="560988293">
      <w:bodyDiv w:val="1"/>
      <w:marLeft w:val="0"/>
      <w:marRight w:val="0"/>
      <w:marTop w:val="0"/>
      <w:marBottom w:val="0"/>
      <w:divBdr>
        <w:top w:val="none" w:sz="0" w:space="0" w:color="auto"/>
        <w:left w:val="none" w:sz="0" w:space="0" w:color="auto"/>
        <w:bottom w:val="none" w:sz="0" w:space="0" w:color="auto"/>
        <w:right w:val="none" w:sz="0" w:space="0" w:color="auto"/>
      </w:divBdr>
    </w:div>
    <w:div w:id="561137543">
      <w:bodyDiv w:val="1"/>
      <w:marLeft w:val="0"/>
      <w:marRight w:val="0"/>
      <w:marTop w:val="0"/>
      <w:marBottom w:val="0"/>
      <w:divBdr>
        <w:top w:val="none" w:sz="0" w:space="0" w:color="auto"/>
        <w:left w:val="none" w:sz="0" w:space="0" w:color="auto"/>
        <w:bottom w:val="none" w:sz="0" w:space="0" w:color="auto"/>
        <w:right w:val="none" w:sz="0" w:space="0" w:color="auto"/>
      </w:divBdr>
    </w:div>
    <w:div w:id="561328305">
      <w:bodyDiv w:val="1"/>
      <w:marLeft w:val="0"/>
      <w:marRight w:val="0"/>
      <w:marTop w:val="0"/>
      <w:marBottom w:val="0"/>
      <w:divBdr>
        <w:top w:val="none" w:sz="0" w:space="0" w:color="auto"/>
        <w:left w:val="none" w:sz="0" w:space="0" w:color="auto"/>
        <w:bottom w:val="none" w:sz="0" w:space="0" w:color="auto"/>
        <w:right w:val="none" w:sz="0" w:space="0" w:color="auto"/>
      </w:divBdr>
    </w:div>
    <w:div w:id="561328335">
      <w:bodyDiv w:val="1"/>
      <w:marLeft w:val="0"/>
      <w:marRight w:val="0"/>
      <w:marTop w:val="0"/>
      <w:marBottom w:val="0"/>
      <w:divBdr>
        <w:top w:val="none" w:sz="0" w:space="0" w:color="auto"/>
        <w:left w:val="none" w:sz="0" w:space="0" w:color="auto"/>
        <w:bottom w:val="none" w:sz="0" w:space="0" w:color="auto"/>
        <w:right w:val="none" w:sz="0" w:space="0" w:color="auto"/>
      </w:divBdr>
    </w:div>
    <w:div w:id="561454374">
      <w:bodyDiv w:val="1"/>
      <w:marLeft w:val="0"/>
      <w:marRight w:val="0"/>
      <w:marTop w:val="0"/>
      <w:marBottom w:val="0"/>
      <w:divBdr>
        <w:top w:val="none" w:sz="0" w:space="0" w:color="auto"/>
        <w:left w:val="none" w:sz="0" w:space="0" w:color="auto"/>
        <w:bottom w:val="none" w:sz="0" w:space="0" w:color="auto"/>
        <w:right w:val="none" w:sz="0" w:space="0" w:color="auto"/>
      </w:divBdr>
    </w:div>
    <w:div w:id="561596295">
      <w:bodyDiv w:val="1"/>
      <w:marLeft w:val="0"/>
      <w:marRight w:val="0"/>
      <w:marTop w:val="0"/>
      <w:marBottom w:val="0"/>
      <w:divBdr>
        <w:top w:val="none" w:sz="0" w:space="0" w:color="auto"/>
        <w:left w:val="none" w:sz="0" w:space="0" w:color="auto"/>
        <w:bottom w:val="none" w:sz="0" w:space="0" w:color="auto"/>
        <w:right w:val="none" w:sz="0" w:space="0" w:color="auto"/>
      </w:divBdr>
    </w:div>
    <w:div w:id="561645523">
      <w:bodyDiv w:val="1"/>
      <w:marLeft w:val="0"/>
      <w:marRight w:val="0"/>
      <w:marTop w:val="0"/>
      <w:marBottom w:val="0"/>
      <w:divBdr>
        <w:top w:val="none" w:sz="0" w:space="0" w:color="auto"/>
        <w:left w:val="none" w:sz="0" w:space="0" w:color="auto"/>
        <w:bottom w:val="none" w:sz="0" w:space="0" w:color="auto"/>
        <w:right w:val="none" w:sz="0" w:space="0" w:color="auto"/>
      </w:divBdr>
    </w:div>
    <w:div w:id="561645699">
      <w:bodyDiv w:val="1"/>
      <w:marLeft w:val="0"/>
      <w:marRight w:val="0"/>
      <w:marTop w:val="0"/>
      <w:marBottom w:val="0"/>
      <w:divBdr>
        <w:top w:val="none" w:sz="0" w:space="0" w:color="auto"/>
        <w:left w:val="none" w:sz="0" w:space="0" w:color="auto"/>
        <w:bottom w:val="none" w:sz="0" w:space="0" w:color="auto"/>
        <w:right w:val="none" w:sz="0" w:space="0" w:color="auto"/>
      </w:divBdr>
    </w:div>
    <w:div w:id="561675768">
      <w:bodyDiv w:val="1"/>
      <w:marLeft w:val="0"/>
      <w:marRight w:val="0"/>
      <w:marTop w:val="0"/>
      <w:marBottom w:val="0"/>
      <w:divBdr>
        <w:top w:val="none" w:sz="0" w:space="0" w:color="auto"/>
        <w:left w:val="none" w:sz="0" w:space="0" w:color="auto"/>
        <w:bottom w:val="none" w:sz="0" w:space="0" w:color="auto"/>
        <w:right w:val="none" w:sz="0" w:space="0" w:color="auto"/>
      </w:divBdr>
    </w:div>
    <w:div w:id="561719649">
      <w:bodyDiv w:val="1"/>
      <w:marLeft w:val="0"/>
      <w:marRight w:val="0"/>
      <w:marTop w:val="0"/>
      <w:marBottom w:val="0"/>
      <w:divBdr>
        <w:top w:val="none" w:sz="0" w:space="0" w:color="auto"/>
        <w:left w:val="none" w:sz="0" w:space="0" w:color="auto"/>
        <w:bottom w:val="none" w:sz="0" w:space="0" w:color="auto"/>
        <w:right w:val="none" w:sz="0" w:space="0" w:color="auto"/>
      </w:divBdr>
    </w:div>
    <w:div w:id="561790516">
      <w:bodyDiv w:val="1"/>
      <w:marLeft w:val="0"/>
      <w:marRight w:val="0"/>
      <w:marTop w:val="0"/>
      <w:marBottom w:val="0"/>
      <w:divBdr>
        <w:top w:val="none" w:sz="0" w:space="0" w:color="auto"/>
        <w:left w:val="none" w:sz="0" w:space="0" w:color="auto"/>
        <w:bottom w:val="none" w:sz="0" w:space="0" w:color="auto"/>
        <w:right w:val="none" w:sz="0" w:space="0" w:color="auto"/>
      </w:divBdr>
    </w:div>
    <w:div w:id="561864832">
      <w:bodyDiv w:val="1"/>
      <w:marLeft w:val="0"/>
      <w:marRight w:val="0"/>
      <w:marTop w:val="0"/>
      <w:marBottom w:val="0"/>
      <w:divBdr>
        <w:top w:val="none" w:sz="0" w:space="0" w:color="auto"/>
        <w:left w:val="none" w:sz="0" w:space="0" w:color="auto"/>
        <w:bottom w:val="none" w:sz="0" w:space="0" w:color="auto"/>
        <w:right w:val="none" w:sz="0" w:space="0" w:color="auto"/>
      </w:divBdr>
    </w:div>
    <w:div w:id="561912994">
      <w:bodyDiv w:val="1"/>
      <w:marLeft w:val="0"/>
      <w:marRight w:val="0"/>
      <w:marTop w:val="0"/>
      <w:marBottom w:val="0"/>
      <w:divBdr>
        <w:top w:val="none" w:sz="0" w:space="0" w:color="auto"/>
        <w:left w:val="none" w:sz="0" w:space="0" w:color="auto"/>
        <w:bottom w:val="none" w:sz="0" w:space="0" w:color="auto"/>
        <w:right w:val="none" w:sz="0" w:space="0" w:color="auto"/>
      </w:divBdr>
    </w:div>
    <w:div w:id="561983049">
      <w:bodyDiv w:val="1"/>
      <w:marLeft w:val="0"/>
      <w:marRight w:val="0"/>
      <w:marTop w:val="0"/>
      <w:marBottom w:val="0"/>
      <w:divBdr>
        <w:top w:val="none" w:sz="0" w:space="0" w:color="auto"/>
        <w:left w:val="none" w:sz="0" w:space="0" w:color="auto"/>
        <w:bottom w:val="none" w:sz="0" w:space="0" w:color="auto"/>
        <w:right w:val="none" w:sz="0" w:space="0" w:color="auto"/>
      </w:divBdr>
    </w:div>
    <w:div w:id="562106092">
      <w:bodyDiv w:val="1"/>
      <w:marLeft w:val="0"/>
      <w:marRight w:val="0"/>
      <w:marTop w:val="0"/>
      <w:marBottom w:val="0"/>
      <w:divBdr>
        <w:top w:val="none" w:sz="0" w:space="0" w:color="auto"/>
        <w:left w:val="none" w:sz="0" w:space="0" w:color="auto"/>
        <w:bottom w:val="none" w:sz="0" w:space="0" w:color="auto"/>
        <w:right w:val="none" w:sz="0" w:space="0" w:color="auto"/>
      </w:divBdr>
    </w:div>
    <w:div w:id="562175377">
      <w:bodyDiv w:val="1"/>
      <w:marLeft w:val="0"/>
      <w:marRight w:val="0"/>
      <w:marTop w:val="0"/>
      <w:marBottom w:val="0"/>
      <w:divBdr>
        <w:top w:val="none" w:sz="0" w:space="0" w:color="auto"/>
        <w:left w:val="none" w:sz="0" w:space="0" w:color="auto"/>
        <w:bottom w:val="none" w:sz="0" w:space="0" w:color="auto"/>
        <w:right w:val="none" w:sz="0" w:space="0" w:color="auto"/>
      </w:divBdr>
    </w:div>
    <w:div w:id="562181830">
      <w:bodyDiv w:val="1"/>
      <w:marLeft w:val="0"/>
      <w:marRight w:val="0"/>
      <w:marTop w:val="0"/>
      <w:marBottom w:val="0"/>
      <w:divBdr>
        <w:top w:val="none" w:sz="0" w:space="0" w:color="auto"/>
        <w:left w:val="none" w:sz="0" w:space="0" w:color="auto"/>
        <w:bottom w:val="none" w:sz="0" w:space="0" w:color="auto"/>
        <w:right w:val="none" w:sz="0" w:space="0" w:color="auto"/>
      </w:divBdr>
    </w:div>
    <w:div w:id="562253121">
      <w:bodyDiv w:val="1"/>
      <w:marLeft w:val="0"/>
      <w:marRight w:val="0"/>
      <w:marTop w:val="0"/>
      <w:marBottom w:val="0"/>
      <w:divBdr>
        <w:top w:val="none" w:sz="0" w:space="0" w:color="auto"/>
        <w:left w:val="none" w:sz="0" w:space="0" w:color="auto"/>
        <w:bottom w:val="none" w:sz="0" w:space="0" w:color="auto"/>
        <w:right w:val="none" w:sz="0" w:space="0" w:color="auto"/>
      </w:divBdr>
    </w:div>
    <w:div w:id="562257561">
      <w:bodyDiv w:val="1"/>
      <w:marLeft w:val="0"/>
      <w:marRight w:val="0"/>
      <w:marTop w:val="0"/>
      <w:marBottom w:val="0"/>
      <w:divBdr>
        <w:top w:val="none" w:sz="0" w:space="0" w:color="auto"/>
        <w:left w:val="none" w:sz="0" w:space="0" w:color="auto"/>
        <w:bottom w:val="none" w:sz="0" w:space="0" w:color="auto"/>
        <w:right w:val="none" w:sz="0" w:space="0" w:color="auto"/>
      </w:divBdr>
    </w:div>
    <w:div w:id="562302675">
      <w:bodyDiv w:val="1"/>
      <w:marLeft w:val="0"/>
      <w:marRight w:val="0"/>
      <w:marTop w:val="0"/>
      <w:marBottom w:val="0"/>
      <w:divBdr>
        <w:top w:val="none" w:sz="0" w:space="0" w:color="auto"/>
        <w:left w:val="none" w:sz="0" w:space="0" w:color="auto"/>
        <w:bottom w:val="none" w:sz="0" w:space="0" w:color="auto"/>
        <w:right w:val="none" w:sz="0" w:space="0" w:color="auto"/>
      </w:divBdr>
    </w:div>
    <w:div w:id="562328861">
      <w:bodyDiv w:val="1"/>
      <w:marLeft w:val="0"/>
      <w:marRight w:val="0"/>
      <w:marTop w:val="0"/>
      <w:marBottom w:val="0"/>
      <w:divBdr>
        <w:top w:val="none" w:sz="0" w:space="0" w:color="auto"/>
        <w:left w:val="none" w:sz="0" w:space="0" w:color="auto"/>
        <w:bottom w:val="none" w:sz="0" w:space="0" w:color="auto"/>
        <w:right w:val="none" w:sz="0" w:space="0" w:color="auto"/>
      </w:divBdr>
    </w:div>
    <w:div w:id="562368771">
      <w:bodyDiv w:val="1"/>
      <w:marLeft w:val="0"/>
      <w:marRight w:val="0"/>
      <w:marTop w:val="0"/>
      <w:marBottom w:val="0"/>
      <w:divBdr>
        <w:top w:val="none" w:sz="0" w:space="0" w:color="auto"/>
        <w:left w:val="none" w:sz="0" w:space="0" w:color="auto"/>
        <w:bottom w:val="none" w:sz="0" w:space="0" w:color="auto"/>
        <w:right w:val="none" w:sz="0" w:space="0" w:color="auto"/>
      </w:divBdr>
    </w:div>
    <w:div w:id="562376030">
      <w:bodyDiv w:val="1"/>
      <w:marLeft w:val="0"/>
      <w:marRight w:val="0"/>
      <w:marTop w:val="0"/>
      <w:marBottom w:val="0"/>
      <w:divBdr>
        <w:top w:val="none" w:sz="0" w:space="0" w:color="auto"/>
        <w:left w:val="none" w:sz="0" w:space="0" w:color="auto"/>
        <w:bottom w:val="none" w:sz="0" w:space="0" w:color="auto"/>
        <w:right w:val="none" w:sz="0" w:space="0" w:color="auto"/>
      </w:divBdr>
    </w:div>
    <w:div w:id="562376284">
      <w:bodyDiv w:val="1"/>
      <w:marLeft w:val="0"/>
      <w:marRight w:val="0"/>
      <w:marTop w:val="0"/>
      <w:marBottom w:val="0"/>
      <w:divBdr>
        <w:top w:val="none" w:sz="0" w:space="0" w:color="auto"/>
        <w:left w:val="none" w:sz="0" w:space="0" w:color="auto"/>
        <w:bottom w:val="none" w:sz="0" w:space="0" w:color="auto"/>
        <w:right w:val="none" w:sz="0" w:space="0" w:color="auto"/>
      </w:divBdr>
    </w:div>
    <w:div w:id="562523158">
      <w:bodyDiv w:val="1"/>
      <w:marLeft w:val="0"/>
      <w:marRight w:val="0"/>
      <w:marTop w:val="0"/>
      <w:marBottom w:val="0"/>
      <w:divBdr>
        <w:top w:val="none" w:sz="0" w:space="0" w:color="auto"/>
        <w:left w:val="none" w:sz="0" w:space="0" w:color="auto"/>
        <w:bottom w:val="none" w:sz="0" w:space="0" w:color="auto"/>
        <w:right w:val="none" w:sz="0" w:space="0" w:color="auto"/>
      </w:divBdr>
    </w:div>
    <w:div w:id="562913373">
      <w:bodyDiv w:val="1"/>
      <w:marLeft w:val="0"/>
      <w:marRight w:val="0"/>
      <w:marTop w:val="0"/>
      <w:marBottom w:val="0"/>
      <w:divBdr>
        <w:top w:val="none" w:sz="0" w:space="0" w:color="auto"/>
        <w:left w:val="none" w:sz="0" w:space="0" w:color="auto"/>
        <w:bottom w:val="none" w:sz="0" w:space="0" w:color="auto"/>
        <w:right w:val="none" w:sz="0" w:space="0" w:color="auto"/>
      </w:divBdr>
    </w:div>
    <w:div w:id="563026519">
      <w:bodyDiv w:val="1"/>
      <w:marLeft w:val="0"/>
      <w:marRight w:val="0"/>
      <w:marTop w:val="0"/>
      <w:marBottom w:val="0"/>
      <w:divBdr>
        <w:top w:val="none" w:sz="0" w:space="0" w:color="auto"/>
        <w:left w:val="none" w:sz="0" w:space="0" w:color="auto"/>
        <w:bottom w:val="none" w:sz="0" w:space="0" w:color="auto"/>
        <w:right w:val="none" w:sz="0" w:space="0" w:color="auto"/>
      </w:divBdr>
    </w:div>
    <w:div w:id="563026836">
      <w:bodyDiv w:val="1"/>
      <w:marLeft w:val="0"/>
      <w:marRight w:val="0"/>
      <w:marTop w:val="0"/>
      <w:marBottom w:val="0"/>
      <w:divBdr>
        <w:top w:val="none" w:sz="0" w:space="0" w:color="auto"/>
        <w:left w:val="none" w:sz="0" w:space="0" w:color="auto"/>
        <w:bottom w:val="none" w:sz="0" w:space="0" w:color="auto"/>
        <w:right w:val="none" w:sz="0" w:space="0" w:color="auto"/>
      </w:divBdr>
    </w:div>
    <w:div w:id="563175443">
      <w:bodyDiv w:val="1"/>
      <w:marLeft w:val="0"/>
      <w:marRight w:val="0"/>
      <w:marTop w:val="0"/>
      <w:marBottom w:val="0"/>
      <w:divBdr>
        <w:top w:val="none" w:sz="0" w:space="0" w:color="auto"/>
        <w:left w:val="none" w:sz="0" w:space="0" w:color="auto"/>
        <w:bottom w:val="none" w:sz="0" w:space="0" w:color="auto"/>
        <w:right w:val="none" w:sz="0" w:space="0" w:color="auto"/>
      </w:divBdr>
    </w:div>
    <w:div w:id="563225595">
      <w:bodyDiv w:val="1"/>
      <w:marLeft w:val="0"/>
      <w:marRight w:val="0"/>
      <w:marTop w:val="0"/>
      <w:marBottom w:val="0"/>
      <w:divBdr>
        <w:top w:val="none" w:sz="0" w:space="0" w:color="auto"/>
        <w:left w:val="none" w:sz="0" w:space="0" w:color="auto"/>
        <w:bottom w:val="none" w:sz="0" w:space="0" w:color="auto"/>
        <w:right w:val="none" w:sz="0" w:space="0" w:color="auto"/>
      </w:divBdr>
    </w:div>
    <w:div w:id="563297571">
      <w:bodyDiv w:val="1"/>
      <w:marLeft w:val="0"/>
      <w:marRight w:val="0"/>
      <w:marTop w:val="0"/>
      <w:marBottom w:val="0"/>
      <w:divBdr>
        <w:top w:val="none" w:sz="0" w:space="0" w:color="auto"/>
        <w:left w:val="none" w:sz="0" w:space="0" w:color="auto"/>
        <w:bottom w:val="none" w:sz="0" w:space="0" w:color="auto"/>
        <w:right w:val="none" w:sz="0" w:space="0" w:color="auto"/>
      </w:divBdr>
    </w:div>
    <w:div w:id="563298385">
      <w:bodyDiv w:val="1"/>
      <w:marLeft w:val="0"/>
      <w:marRight w:val="0"/>
      <w:marTop w:val="0"/>
      <w:marBottom w:val="0"/>
      <w:divBdr>
        <w:top w:val="none" w:sz="0" w:space="0" w:color="auto"/>
        <w:left w:val="none" w:sz="0" w:space="0" w:color="auto"/>
        <w:bottom w:val="none" w:sz="0" w:space="0" w:color="auto"/>
        <w:right w:val="none" w:sz="0" w:space="0" w:color="auto"/>
      </w:divBdr>
    </w:div>
    <w:div w:id="563413414">
      <w:bodyDiv w:val="1"/>
      <w:marLeft w:val="0"/>
      <w:marRight w:val="0"/>
      <w:marTop w:val="0"/>
      <w:marBottom w:val="0"/>
      <w:divBdr>
        <w:top w:val="none" w:sz="0" w:space="0" w:color="auto"/>
        <w:left w:val="none" w:sz="0" w:space="0" w:color="auto"/>
        <w:bottom w:val="none" w:sz="0" w:space="0" w:color="auto"/>
        <w:right w:val="none" w:sz="0" w:space="0" w:color="auto"/>
      </w:divBdr>
    </w:div>
    <w:div w:id="563416335">
      <w:bodyDiv w:val="1"/>
      <w:marLeft w:val="0"/>
      <w:marRight w:val="0"/>
      <w:marTop w:val="0"/>
      <w:marBottom w:val="0"/>
      <w:divBdr>
        <w:top w:val="none" w:sz="0" w:space="0" w:color="auto"/>
        <w:left w:val="none" w:sz="0" w:space="0" w:color="auto"/>
        <w:bottom w:val="none" w:sz="0" w:space="0" w:color="auto"/>
        <w:right w:val="none" w:sz="0" w:space="0" w:color="auto"/>
      </w:divBdr>
    </w:div>
    <w:div w:id="563490305">
      <w:bodyDiv w:val="1"/>
      <w:marLeft w:val="0"/>
      <w:marRight w:val="0"/>
      <w:marTop w:val="0"/>
      <w:marBottom w:val="0"/>
      <w:divBdr>
        <w:top w:val="none" w:sz="0" w:space="0" w:color="auto"/>
        <w:left w:val="none" w:sz="0" w:space="0" w:color="auto"/>
        <w:bottom w:val="none" w:sz="0" w:space="0" w:color="auto"/>
        <w:right w:val="none" w:sz="0" w:space="0" w:color="auto"/>
      </w:divBdr>
    </w:div>
    <w:div w:id="563610214">
      <w:bodyDiv w:val="1"/>
      <w:marLeft w:val="0"/>
      <w:marRight w:val="0"/>
      <w:marTop w:val="0"/>
      <w:marBottom w:val="0"/>
      <w:divBdr>
        <w:top w:val="none" w:sz="0" w:space="0" w:color="auto"/>
        <w:left w:val="none" w:sz="0" w:space="0" w:color="auto"/>
        <w:bottom w:val="none" w:sz="0" w:space="0" w:color="auto"/>
        <w:right w:val="none" w:sz="0" w:space="0" w:color="auto"/>
      </w:divBdr>
    </w:div>
    <w:div w:id="563762110">
      <w:bodyDiv w:val="1"/>
      <w:marLeft w:val="0"/>
      <w:marRight w:val="0"/>
      <w:marTop w:val="0"/>
      <w:marBottom w:val="0"/>
      <w:divBdr>
        <w:top w:val="none" w:sz="0" w:space="0" w:color="auto"/>
        <w:left w:val="none" w:sz="0" w:space="0" w:color="auto"/>
        <w:bottom w:val="none" w:sz="0" w:space="0" w:color="auto"/>
        <w:right w:val="none" w:sz="0" w:space="0" w:color="auto"/>
      </w:divBdr>
    </w:div>
    <w:div w:id="563806413">
      <w:bodyDiv w:val="1"/>
      <w:marLeft w:val="0"/>
      <w:marRight w:val="0"/>
      <w:marTop w:val="0"/>
      <w:marBottom w:val="0"/>
      <w:divBdr>
        <w:top w:val="none" w:sz="0" w:space="0" w:color="auto"/>
        <w:left w:val="none" w:sz="0" w:space="0" w:color="auto"/>
        <w:bottom w:val="none" w:sz="0" w:space="0" w:color="auto"/>
        <w:right w:val="none" w:sz="0" w:space="0" w:color="auto"/>
      </w:divBdr>
    </w:div>
    <w:div w:id="563831316">
      <w:bodyDiv w:val="1"/>
      <w:marLeft w:val="0"/>
      <w:marRight w:val="0"/>
      <w:marTop w:val="0"/>
      <w:marBottom w:val="0"/>
      <w:divBdr>
        <w:top w:val="none" w:sz="0" w:space="0" w:color="auto"/>
        <w:left w:val="none" w:sz="0" w:space="0" w:color="auto"/>
        <w:bottom w:val="none" w:sz="0" w:space="0" w:color="auto"/>
        <w:right w:val="none" w:sz="0" w:space="0" w:color="auto"/>
      </w:divBdr>
    </w:div>
    <w:div w:id="563880349">
      <w:bodyDiv w:val="1"/>
      <w:marLeft w:val="0"/>
      <w:marRight w:val="0"/>
      <w:marTop w:val="0"/>
      <w:marBottom w:val="0"/>
      <w:divBdr>
        <w:top w:val="none" w:sz="0" w:space="0" w:color="auto"/>
        <w:left w:val="none" w:sz="0" w:space="0" w:color="auto"/>
        <w:bottom w:val="none" w:sz="0" w:space="0" w:color="auto"/>
        <w:right w:val="none" w:sz="0" w:space="0" w:color="auto"/>
      </w:divBdr>
    </w:div>
    <w:div w:id="563952512">
      <w:bodyDiv w:val="1"/>
      <w:marLeft w:val="0"/>
      <w:marRight w:val="0"/>
      <w:marTop w:val="0"/>
      <w:marBottom w:val="0"/>
      <w:divBdr>
        <w:top w:val="none" w:sz="0" w:space="0" w:color="auto"/>
        <w:left w:val="none" w:sz="0" w:space="0" w:color="auto"/>
        <w:bottom w:val="none" w:sz="0" w:space="0" w:color="auto"/>
        <w:right w:val="none" w:sz="0" w:space="0" w:color="auto"/>
      </w:divBdr>
    </w:div>
    <w:div w:id="563955660">
      <w:bodyDiv w:val="1"/>
      <w:marLeft w:val="0"/>
      <w:marRight w:val="0"/>
      <w:marTop w:val="0"/>
      <w:marBottom w:val="0"/>
      <w:divBdr>
        <w:top w:val="none" w:sz="0" w:space="0" w:color="auto"/>
        <w:left w:val="none" w:sz="0" w:space="0" w:color="auto"/>
        <w:bottom w:val="none" w:sz="0" w:space="0" w:color="auto"/>
        <w:right w:val="none" w:sz="0" w:space="0" w:color="auto"/>
      </w:divBdr>
    </w:div>
    <w:div w:id="563956865">
      <w:bodyDiv w:val="1"/>
      <w:marLeft w:val="0"/>
      <w:marRight w:val="0"/>
      <w:marTop w:val="0"/>
      <w:marBottom w:val="0"/>
      <w:divBdr>
        <w:top w:val="none" w:sz="0" w:space="0" w:color="auto"/>
        <w:left w:val="none" w:sz="0" w:space="0" w:color="auto"/>
        <w:bottom w:val="none" w:sz="0" w:space="0" w:color="auto"/>
        <w:right w:val="none" w:sz="0" w:space="0" w:color="auto"/>
      </w:divBdr>
    </w:div>
    <w:div w:id="564098533">
      <w:bodyDiv w:val="1"/>
      <w:marLeft w:val="0"/>
      <w:marRight w:val="0"/>
      <w:marTop w:val="0"/>
      <w:marBottom w:val="0"/>
      <w:divBdr>
        <w:top w:val="none" w:sz="0" w:space="0" w:color="auto"/>
        <w:left w:val="none" w:sz="0" w:space="0" w:color="auto"/>
        <w:bottom w:val="none" w:sz="0" w:space="0" w:color="auto"/>
        <w:right w:val="none" w:sz="0" w:space="0" w:color="auto"/>
      </w:divBdr>
    </w:div>
    <w:div w:id="564221176">
      <w:bodyDiv w:val="1"/>
      <w:marLeft w:val="0"/>
      <w:marRight w:val="0"/>
      <w:marTop w:val="0"/>
      <w:marBottom w:val="0"/>
      <w:divBdr>
        <w:top w:val="none" w:sz="0" w:space="0" w:color="auto"/>
        <w:left w:val="none" w:sz="0" w:space="0" w:color="auto"/>
        <w:bottom w:val="none" w:sz="0" w:space="0" w:color="auto"/>
        <w:right w:val="none" w:sz="0" w:space="0" w:color="auto"/>
      </w:divBdr>
    </w:div>
    <w:div w:id="564225692">
      <w:bodyDiv w:val="1"/>
      <w:marLeft w:val="0"/>
      <w:marRight w:val="0"/>
      <w:marTop w:val="0"/>
      <w:marBottom w:val="0"/>
      <w:divBdr>
        <w:top w:val="none" w:sz="0" w:space="0" w:color="auto"/>
        <w:left w:val="none" w:sz="0" w:space="0" w:color="auto"/>
        <w:bottom w:val="none" w:sz="0" w:space="0" w:color="auto"/>
        <w:right w:val="none" w:sz="0" w:space="0" w:color="auto"/>
      </w:divBdr>
    </w:div>
    <w:div w:id="564338589">
      <w:bodyDiv w:val="1"/>
      <w:marLeft w:val="0"/>
      <w:marRight w:val="0"/>
      <w:marTop w:val="0"/>
      <w:marBottom w:val="0"/>
      <w:divBdr>
        <w:top w:val="none" w:sz="0" w:space="0" w:color="auto"/>
        <w:left w:val="none" w:sz="0" w:space="0" w:color="auto"/>
        <w:bottom w:val="none" w:sz="0" w:space="0" w:color="auto"/>
        <w:right w:val="none" w:sz="0" w:space="0" w:color="auto"/>
      </w:divBdr>
    </w:div>
    <w:div w:id="564487972">
      <w:bodyDiv w:val="1"/>
      <w:marLeft w:val="0"/>
      <w:marRight w:val="0"/>
      <w:marTop w:val="0"/>
      <w:marBottom w:val="0"/>
      <w:divBdr>
        <w:top w:val="none" w:sz="0" w:space="0" w:color="auto"/>
        <w:left w:val="none" w:sz="0" w:space="0" w:color="auto"/>
        <w:bottom w:val="none" w:sz="0" w:space="0" w:color="auto"/>
        <w:right w:val="none" w:sz="0" w:space="0" w:color="auto"/>
      </w:divBdr>
    </w:div>
    <w:div w:id="564678862">
      <w:bodyDiv w:val="1"/>
      <w:marLeft w:val="0"/>
      <w:marRight w:val="0"/>
      <w:marTop w:val="0"/>
      <w:marBottom w:val="0"/>
      <w:divBdr>
        <w:top w:val="none" w:sz="0" w:space="0" w:color="auto"/>
        <w:left w:val="none" w:sz="0" w:space="0" w:color="auto"/>
        <w:bottom w:val="none" w:sz="0" w:space="0" w:color="auto"/>
        <w:right w:val="none" w:sz="0" w:space="0" w:color="auto"/>
      </w:divBdr>
    </w:div>
    <w:div w:id="564681245">
      <w:bodyDiv w:val="1"/>
      <w:marLeft w:val="0"/>
      <w:marRight w:val="0"/>
      <w:marTop w:val="0"/>
      <w:marBottom w:val="0"/>
      <w:divBdr>
        <w:top w:val="none" w:sz="0" w:space="0" w:color="auto"/>
        <w:left w:val="none" w:sz="0" w:space="0" w:color="auto"/>
        <w:bottom w:val="none" w:sz="0" w:space="0" w:color="auto"/>
        <w:right w:val="none" w:sz="0" w:space="0" w:color="auto"/>
      </w:divBdr>
    </w:div>
    <w:div w:id="564686591">
      <w:bodyDiv w:val="1"/>
      <w:marLeft w:val="0"/>
      <w:marRight w:val="0"/>
      <w:marTop w:val="0"/>
      <w:marBottom w:val="0"/>
      <w:divBdr>
        <w:top w:val="none" w:sz="0" w:space="0" w:color="auto"/>
        <w:left w:val="none" w:sz="0" w:space="0" w:color="auto"/>
        <w:bottom w:val="none" w:sz="0" w:space="0" w:color="auto"/>
        <w:right w:val="none" w:sz="0" w:space="0" w:color="auto"/>
      </w:divBdr>
    </w:div>
    <w:div w:id="564729728">
      <w:bodyDiv w:val="1"/>
      <w:marLeft w:val="0"/>
      <w:marRight w:val="0"/>
      <w:marTop w:val="0"/>
      <w:marBottom w:val="0"/>
      <w:divBdr>
        <w:top w:val="none" w:sz="0" w:space="0" w:color="auto"/>
        <w:left w:val="none" w:sz="0" w:space="0" w:color="auto"/>
        <w:bottom w:val="none" w:sz="0" w:space="0" w:color="auto"/>
        <w:right w:val="none" w:sz="0" w:space="0" w:color="auto"/>
      </w:divBdr>
    </w:div>
    <w:div w:id="564875049">
      <w:bodyDiv w:val="1"/>
      <w:marLeft w:val="0"/>
      <w:marRight w:val="0"/>
      <w:marTop w:val="0"/>
      <w:marBottom w:val="0"/>
      <w:divBdr>
        <w:top w:val="none" w:sz="0" w:space="0" w:color="auto"/>
        <w:left w:val="none" w:sz="0" w:space="0" w:color="auto"/>
        <w:bottom w:val="none" w:sz="0" w:space="0" w:color="auto"/>
        <w:right w:val="none" w:sz="0" w:space="0" w:color="auto"/>
      </w:divBdr>
    </w:div>
    <w:div w:id="564951712">
      <w:bodyDiv w:val="1"/>
      <w:marLeft w:val="0"/>
      <w:marRight w:val="0"/>
      <w:marTop w:val="0"/>
      <w:marBottom w:val="0"/>
      <w:divBdr>
        <w:top w:val="none" w:sz="0" w:space="0" w:color="auto"/>
        <w:left w:val="none" w:sz="0" w:space="0" w:color="auto"/>
        <w:bottom w:val="none" w:sz="0" w:space="0" w:color="auto"/>
        <w:right w:val="none" w:sz="0" w:space="0" w:color="auto"/>
      </w:divBdr>
    </w:div>
    <w:div w:id="564990328">
      <w:bodyDiv w:val="1"/>
      <w:marLeft w:val="0"/>
      <w:marRight w:val="0"/>
      <w:marTop w:val="0"/>
      <w:marBottom w:val="0"/>
      <w:divBdr>
        <w:top w:val="none" w:sz="0" w:space="0" w:color="auto"/>
        <w:left w:val="none" w:sz="0" w:space="0" w:color="auto"/>
        <w:bottom w:val="none" w:sz="0" w:space="0" w:color="auto"/>
        <w:right w:val="none" w:sz="0" w:space="0" w:color="auto"/>
      </w:divBdr>
    </w:div>
    <w:div w:id="564995043">
      <w:bodyDiv w:val="1"/>
      <w:marLeft w:val="0"/>
      <w:marRight w:val="0"/>
      <w:marTop w:val="0"/>
      <w:marBottom w:val="0"/>
      <w:divBdr>
        <w:top w:val="none" w:sz="0" w:space="0" w:color="auto"/>
        <w:left w:val="none" w:sz="0" w:space="0" w:color="auto"/>
        <w:bottom w:val="none" w:sz="0" w:space="0" w:color="auto"/>
        <w:right w:val="none" w:sz="0" w:space="0" w:color="auto"/>
      </w:divBdr>
    </w:div>
    <w:div w:id="564995878">
      <w:bodyDiv w:val="1"/>
      <w:marLeft w:val="0"/>
      <w:marRight w:val="0"/>
      <w:marTop w:val="0"/>
      <w:marBottom w:val="0"/>
      <w:divBdr>
        <w:top w:val="none" w:sz="0" w:space="0" w:color="auto"/>
        <w:left w:val="none" w:sz="0" w:space="0" w:color="auto"/>
        <w:bottom w:val="none" w:sz="0" w:space="0" w:color="auto"/>
        <w:right w:val="none" w:sz="0" w:space="0" w:color="auto"/>
      </w:divBdr>
    </w:div>
    <w:div w:id="565186778">
      <w:bodyDiv w:val="1"/>
      <w:marLeft w:val="0"/>
      <w:marRight w:val="0"/>
      <w:marTop w:val="0"/>
      <w:marBottom w:val="0"/>
      <w:divBdr>
        <w:top w:val="none" w:sz="0" w:space="0" w:color="auto"/>
        <w:left w:val="none" w:sz="0" w:space="0" w:color="auto"/>
        <w:bottom w:val="none" w:sz="0" w:space="0" w:color="auto"/>
        <w:right w:val="none" w:sz="0" w:space="0" w:color="auto"/>
      </w:divBdr>
    </w:div>
    <w:div w:id="565188019">
      <w:bodyDiv w:val="1"/>
      <w:marLeft w:val="0"/>
      <w:marRight w:val="0"/>
      <w:marTop w:val="0"/>
      <w:marBottom w:val="0"/>
      <w:divBdr>
        <w:top w:val="none" w:sz="0" w:space="0" w:color="auto"/>
        <w:left w:val="none" w:sz="0" w:space="0" w:color="auto"/>
        <w:bottom w:val="none" w:sz="0" w:space="0" w:color="auto"/>
        <w:right w:val="none" w:sz="0" w:space="0" w:color="auto"/>
      </w:divBdr>
    </w:div>
    <w:div w:id="565189812">
      <w:bodyDiv w:val="1"/>
      <w:marLeft w:val="0"/>
      <w:marRight w:val="0"/>
      <w:marTop w:val="0"/>
      <w:marBottom w:val="0"/>
      <w:divBdr>
        <w:top w:val="none" w:sz="0" w:space="0" w:color="auto"/>
        <w:left w:val="none" w:sz="0" w:space="0" w:color="auto"/>
        <w:bottom w:val="none" w:sz="0" w:space="0" w:color="auto"/>
        <w:right w:val="none" w:sz="0" w:space="0" w:color="auto"/>
      </w:divBdr>
    </w:div>
    <w:div w:id="565261600">
      <w:bodyDiv w:val="1"/>
      <w:marLeft w:val="0"/>
      <w:marRight w:val="0"/>
      <w:marTop w:val="0"/>
      <w:marBottom w:val="0"/>
      <w:divBdr>
        <w:top w:val="none" w:sz="0" w:space="0" w:color="auto"/>
        <w:left w:val="none" w:sz="0" w:space="0" w:color="auto"/>
        <w:bottom w:val="none" w:sz="0" w:space="0" w:color="auto"/>
        <w:right w:val="none" w:sz="0" w:space="0" w:color="auto"/>
      </w:divBdr>
    </w:div>
    <w:div w:id="565338616">
      <w:bodyDiv w:val="1"/>
      <w:marLeft w:val="0"/>
      <w:marRight w:val="0"/>
      <w:marTop w:val="0"/>
      <w:marBottom w:val="0"/>
      <w:divBdr>
        <w:top w:val="none" w:sz="0" w:space="0" w:color="auto"/>
        <w:left w:val="none" w:sz="0" w:space="0" w:color="auto"/>
        <w:bottom w:val="none" w:sz="0" w:space="0" w:color="auto"/>
        <w:right w:val="none" w:sz="0" w:space="0" w:color="auto"/>
      </w:divBdr>
    </w:div>
    <w:div w:id="565339062">
      <w:bodyDiv w:val="1"/>
      <w:marLeft w:val="0"/>
      <w:marRight w:val="0"/>
      <w:marTop w:val="0"/>
      <w:marBottom w:val="0"/>
      <w:divBdr>
        <w:top w:val="none" w:sz="0" w:space="0" w:color="auto"/>
        <w:left w:val="none" w:sz="0" w:space="0" w:color="auto"/>
        <w:bottom w:val="none" w:sz="0" w:space="0" w:color="auto"/>
        <w:right w:val="none" w:sz="0" w:space="0" w:color="auto"/>
      </w:divBdr>
    </w:div>
    <w:div w:id="565341960">
      <w:bodyDiv w:val="1"/>
      <w:marLeft w:val="0"/>
      <w:marRight w:val="0"/>
      <w:marTop w:val="0"/>
      <w:marBottom w:val="0"/>
      <w:divBdr>
        <w:top w:val="none" w:sz="0" w:space="0" w:color="auto"/>
        <w:left w:val="none" w:sz="0" w:space="0" w:color="auto"/>
        <w:bottom w:val="none" w:sz="0" w:space="0" w:color="auto"/>
        <w:right w:val="none" w:sz="0" w:space="0" w:color="auto"/>
      </w:divBdr>
    </w:div>
    <w:div w:id="565342154">
      <w:bodyDiv w:val="1"/>
      <w:marLeft w:val="0"/>
      <w:marRight w:val="0"/>
      <w:marTop w:val="0"/>
      <w:marBottom w:val="0"/>
      <w:divBdr>
        <w:top w:val="none" w:sz="0" w:space="0" w:color="auto"/>
        <w:left w:val="none" w:sz="0" w:space="0" w:color="auto"/>
        <w:bottom w:val="none" w:sz="0" w:space="0" w:color="auto"/>
        <w:right w:val="none" w:sz="0" w:space="0" w:color="auto"/>
      </w:divBdr>
    </w:div>
    <w:div w:id="565379592">
      <w:bodyDiv w:val="1"/>
      <w:marLeft w:val="0"/>
      <w:marRight w:val="0"/>
      <w:marTop w:val="0"/>
      <w:marBottom w:val="0"/>
      <w:divBdr>
        <w:top w:val="none" w:sz="0" w:space="0" w:color="auto"/>
        <w:left w:val="none" w:sz="0" w:space="0" w:color="auto"/>
        <w:bottom w:val="none" w:sz="0" w:space="0" w:color="auto"/>
        <w:right w:val="none" w:sz="0" w:space="0" w:color="auto"/>
      </w:divBdr>
    </w:div>
    <w:div w:id="565457597">
      <w:bodyDiv w:val="1"/>
      <w:marLeft w:val="0"/>
      <w:marRight w:val="0"/>
      <w:marTop w:val="0"/>
      <w:marBottom w:val="0"/>
      <w:divBdr>
        <w:top w:val="none" w:sz="0" w:space="0" w:color="auto"/>
        <w:left w:val="none" w:sz="0" w:space="0" w:color="auto"/>
        <w:bottom w:val="none" w:sz="0" w:space="0" w:color="auto"/>
        <w:right w:val="none" w:sz="0" w:space="0" w:color="auto"/>
      </w:divBdr>
    </w:div>
    <w:div w:id="565457658">
      <w:bodyDiv w:val="1"/>
      <w:marLeft w:val="0"/>
      <w:marRight w:val="0"/>
      <w:marTop w:val="0"/>
      <w:marBottom w:val="0"/>
      <w:divBdr>
        <w:top w:val="none" w:sz="0" w:space="0" w:color="auto"/>
        <w:left w:val="none" w:sz="0" w:space="0" w:color="auto"/>
        <w:bottom w:val="none" w:sz="0" w:space="0" w:color="auto"/>
        <w:right w:val="none" w:sz="0" w:space="0" w:color="auto"/>
      </w:divBdr>
    </w:div>
    <w:div w:id="565457962">
      <w:bodyDiv w:val="1"/>
      <w:marLeft w:val="0"/>
      <w:marRight w:val="0"/>
      <w:marTop w:val="0"/>
      <w:marBottom w:val="0"/>
      <w:divBdr>
        <w:top w:val="none" w:sz="0" w:space="0" w:color="auto"/>
        <w:left w:val="none" w:sz="0" w:space="0" w:color="auto"/>
        <w:bottom w:val="none" w:sz="0" w:space="0" w:color="auto"/>
        <w:right w:val="none" w:sz="0" w:space="0" w:color="auto"/>
      </w:divBdr>
    </w:div>
    <w:div w:id="565527945">
      <w:bodyDiv w:val="1"/>
      <w:marLeft w:val="0"/>
      <w:marRight w:val="0"/>
      <w:marTop w:val="0"/>
      <w:marBottom w:val="0"/>
      <w:divBdr>
        <w:top w:val="none" w:sz="0" w:space="0" w:color="auto"/>
        <w:left w:val="none" w:sz="0" w:space="0" w:color="auto"/>
        <w:bottom w:val="none" w:sz="0" w:space="0" w:color="auto"/>
        <w:right w:val="none" w:sz="0" w:space="0" w:color="auto"/>
      </w:divBdr>
    </w:div>
    <w:div w:id="565578657">
      <w:bodyDiv w:val="1"/>
      <w:marLeft w:val="0"/>
      <w:marRight w:val="0"/>
      <w:marTop w:val="0"/>
      <w:marBottom w:val="0"/>
      <w:divBdr>
        <w:top w:val="none" w:sz="0" w:space="0" w:color="auto"/>
        <w:left w:val="none" w:sz="0" w:space="0" w:color="auto"/>
        <w:bottom w:val="none" w:sz="0" w:space="0" w:color="auto"/>
        <w:right w:val="none" w:sz="0" w:space="0" w:color="auto"/>
      </w:divBdr>
    </w:div>
    <w:div w:id="565726812">
      <w:bodyDiv w:val="1"/>
      <w:marLeft w:val="0"/>
      <w:marRight w:val="0"/>
      <w:marTop w:val="0"/>
      <w:marBottom w:val="0"/>
      <w:divBdr>
        <w:top w:val="none" w:sz="0" w:space="0" w:color="auto"/>
        <w:left w:val="none" w:sz="0" w:space="0" w:color="auto"/>
        <w:bottom w:val="none" w:sz="0" w:space="0" w:color="auto"/>
        <w:right w:val="none" w:sz="0" w:space="0" w:color="auto"/>
      </w:divBdr>
    </w:div>
    <w:div w:id="565728220">
      <w:bodyDiv w:val="1"/>
      <w:marLeft w:val="0"/>
      <w:marRight w:val="0"/>
      <w:marTop w:val="0"/>
      <w:marBottom w:val="0"/>
      <w:divBdr>
        <w:top w:val="none" w:sz="0" w:space="0" w:color="auto"/>
        <w:left w:val="none" w:sz="0" w:space="0" w:color="auto"/>
        <w:bottom w:val="none" w:sz="0" w:space="0" w:color="auto"/>
        <w:right w:val="none" w:sz="0" w:space="0" w:color="auto"/>
      </w:divBdr>
    </w:div>
    <w:div w:id="565798852">
      <w:bodyDiv w:val="1"/>
      <w:marLeft w:val="0"/>
      <w:marRight w:val="0"/>
      <w:marTop w:val="0"/>
      <w:marBottom w:val="0"/>
      <w:divBdr>
        <w:top w:val="none" w:sz="0" w:space="0" w:color="auto"/>
        <w:left w:val="none" w:sz="0" w:space="0" w:color="auto"/>
        <w:bottom w:val="none" w:sz="0" w:space="0" w:color="auto"/>
        <w:right w:val="none" w:sz="0" w:space="0" w:color="auto"/>
      </w:divBdr>
    </w:div>
    <w:div w:id="565804815">
      <w:bodyDiv w:val="1"/>
      <w:marLeft w:val="0"/>
      <w:marRight w:val="0"/>
      <w:marTop w:val="0"/>
      <w:marBottom w:val="0"/>
      <w:divBdr>
        <w:top w:val="none" w:sz="0" w:space="0" w:color="auto"/>
        <w:left w:val="none" w:sz="0" w:space="0" w:color="auto"/>
        <w:bottom w:val="none" w:sz="0" w:space="0" w:color="auto"/>
        <w:right w:val="none" w:sz="0" w:space="0" w:color="auto"/>
      </w:divBdr>
    </w:div>
    <w:div w:id="565992094">
      <w:bodyDiv w:val="1"/>
      <w:marLeft w:val="0"/>
      <w:marRight w:val="0"/>
      <w:marTop w:val="0"/>
      <w:marBottom w:val="0"/>
      <w:divBdr>
        <w:top w:val="none" w:sz="0" w:space="0" w:color="auto"/>
        <w:left w:val="none" w:sz="0" w:space="0" w:color="auto"/>
        <w:bottom w:val="none" w:sz="0" w:space="0" w:color="auto"/>
        <w:right w:val="none" w:sz="0" w:space="0" w:color="auto"/>
      </w:divBdr>
    </w:div>
    <w:div w:id="566036831">
      <w:bodyDiv w:val="1"/>
      <w:marLeft w:val="0"/>
      <w:marRight w:val="0"/>
      <w:marTop w:val="0"/>
      <w:marBottom w:val="0"/>
      <w:divBdr>
        <w:top w:val="none" w:sz="0" w:space="0" w:color="auto"/>
        <w:left w:val="none" w:sz="0" w:space="0" w:color="auto"/>
        <w:bottom w:val="none" w:sz="0" w:space="0" w:color="auto"/>
        <w:right w:val="none" w:sz="0" w:space="0" w:color="auto"/>
      </w:divBdr>
    </w:div>
    <w:div w:id="566262769">
      <w:bodyDiv w:val="1"/>
      <w:marLeft w:val="0"/>
      <w:marRight w:val="0"/>
      <w:marTop w:val="0"/>
      <w:marBottom w:val="0"/>
      <w:divBdr>
        <w:top w:val="none" w:sz="0" w:space="0" w:color="auto"/>
        <w:left w:val="none" w:sz="0" w:space="0" w:color="auto"/>
        <w:bottom w:val="none" w:sz="0" w:space="0" w:color="auto"/>
        <w:right w:val="none" w:sz="0" w:space="0" w:color="auto"/>
      </w:divBdr>
    </w:div>
    <w:div w:id="566309436">
      <w:bodyDiv w:val="1"/>
      <w:marLeft w:val="0"/>
      <w:marRight w:val="0"/>
      <w:marTop w:val="0"/>
      <w:marBottom w:val="0"/>
      <w:divBdr>
        <w:top w:val="none" w:sz="0" w:space="0" w:color="auto"/>
        <w:left w:val="none" w:sz="0" w:space="0" w:color="auto"/>
        <w:bottom w:val="none" w:sz="0" w:space="0" w:color="auto"/>
        <w:right w:val="none" w:sz="0" w:space="0" w:color="auto"/>
      </w:divBdr>
    </w:div>
    <w:div w:id="566377684">
      <w:bodyDiv w:val="1"/>
      <w:marLeft w:val="0"/>
      <w:marRight w:val="0"/>
      <w:marTop w:val="0"/>
      <w:marBottom w:val="0"/>
      <w:divBdr>
        <w:top w:val="none" w:sz="0" w:space="0" w:color="auto"/>
        <w:left w:val="none" w:sz="0" w:space="0" w:color="auto"/>
        <w:bottom w:val="none" w:sz="0" w:space="0" w:color="auto"/>
        <w:right w:val="none" w:sz="0" w:space="0" w:color="auto"/>
      </w:divBdr>
    </w:div>
    <w:div w:id="566377727">
      <w:bodyDiv w:val="1"/>
      <w:marLeft w:val="0"/>
      <w:marRight w:val="0"/>
      <w:marTop w:val="0"/>
      <w:marBottom w:val="0"/>
      <w:divBdr>
        <w:top w:val="none" w:sz="0" w:space="0" w:color="auto"/>
        <w:left w:val="none" w:sz="0" w:space="0" w:color="auto"/>
        <w:bottom w:val="none" w:sz="0" w:space="0" w:color="auto"/>
        <w:right w:val="none" w:sz="0" w:space="0" w:color="auto"/>
      </w:divBdr>
    </w:div>
    <w:div w:id="566499046">
      <w:bodyDiv w:val="1"/>
      <w:marLeft w:val="0"/>
      <w:marRight w:val="0"/>
      <w:marTop w:val="0"/>
      <w:marBottom w:val="0"/>
      <w:divBdr>
        <w:top w:val="none" w:sz="0" w:space="0" w:color="auto"/>
        <w:left w:val="none" w:sz="0" w:space="0" w:color="auto"/>
        <w:bottom w:val="none" w:sz="0" w:space="0" w:color="auto"/>
        <w:right w:val="none" w:sz="0" w:space="0" w:color="auto"/>
      </w:divBdr>
    </w:div>
    <w:div w:id="566574961">
      <w:bodyDiv w:val="1"/>
      <w:marLeft w:val="0"/>
      <w:marRight w:val="0"/>
      <w:marTop w:val="0"/>
      <w:marBottom w:val="0"/>
      <w:divBdr>
        <w:top w:val="none" w:sz="0" w:space="0" w:color="auto"/>
        <w:left w:val="none" w:sz="0" w:space="0" w:color="auto"/>
        <w:bottom w:val="none" w:sz="0" w:space="0" w:color="auto"/>
        <w:right w:val="none" w:sz="0" w:space="0" w:color="auto"/>
      </w:divBdr>
    </w:div>
    <w:div w:id="566840426">
      <w:bodyDiv w:val="1"/>
      <w:marLeft w:val="0"/>
      <w:marRight w:val="0"/>
      <w:marTop w:val="0"/>
      <w:marBottom w:val="0"/>
      <w:divBdr>
        <w:top w:val="none" w:sz="0" w:space="0" w:color="auto"/>
        <w:left w:val="none" w:sz="0" w:space="0" w:color="auto"/>
        <w:bottom w:val="none" w:sz="0" w:space="0" w:color="auto"/>
        <w:right w:val="none" w:sz="0" w:space="0" w:color="auto"/>
      </w:divBdr>
    </w:div>
    <w:div w:id="566913588">
      <w:bodyDiv w:val="1"/>
      <w:marLeft w:val="0"/>
      <w:marRight w:val="0"/>
      <w:marTop w:val="0"/>
      <w:marBottom w:val="0"/>
      <w:divBdr>
        <w:top w:val="none" w:sz="0" w:space="0" w:color="auto"/>
        <w:left w:val="none" w:sz="0" w:space="0" w:color="auto"/>
        <w:bottom w:val="none" w:sz="0" w:space="0" w:color="auto"/>
        <w:right w:val="none" w:sz="0" w:space="0" w:color="auto"/>
      </w:divBdr>
    </w:div>
    <w:div w:id="566962620">
      <w:bodyDiv w:val="1"/>
      <w:marLeft w:val="0"/>
      <w:marRight w:val="0"/>
      <w:marTop w:val="0"/>
      <w:marBottom w:val="0"/>
      <w:divBdr>
        <w:top w:val="none" w:sz="0" w:space="0" w:color="auto"/>
        <w:left w:val="none" w:sz="0" w:space="0" w:color="auto"/>
        <w:bottom w:val="none" w:sz="0" w:space="0" w:color="auto"/>
        <w:right w:val="none" w:sz="0" w:space="0" w:color="auto"/>
      </w:divBdr>
    </w:div>
    <w:div w:id="566963050">
      <w:bodyDiv w:val="1"/>
      <w:marLeft w:val="0"/>
      <w:marRight w:val="0"/>
      <w:marTop w:val="0"/>
      <w:marBottom w:val="0"/>
      <w:divBdr>
        <w:top w:val="none" w:sz="0" w:space="0" w:color="auto"/>
        <w:left w:val="none" w:sz="0" w:space="0" w:color="auto"/>
        <w:bottom w:val="none" w:sz="0" w:space="0" w:color="auto"/>
        <w:right w:val="none" w:sz="0" w:space="0" w:color="auto"/>
      </w:divBdr>
    </w:div>
    <w:div w:id="567224709">
      <w:bodyDiv w:val="1"/>
      <w:marLeft w:val="0"/>
      <w:marRight w:val="0"/>
      <w:marTop w:val="0"/>
      <w:marBottom w:val="0"/>
      <w:divBdr>
        <w:top w:val="none" w:sz="0" w:space="0" w:color="auto"/>
        <w:left w:val="none" w:sz="0" w:space="0" w:color="auto"/>
        <w:bottom w:val="none" w:sz="0" w:space="0" w:color="auto"/>
        <w:right w:val="none" w:sz="0" w:space="0" w:color="auto"/>
      </w:divBdr>
    </w:div>
    <w:div w:id="567308179">
      <w:bodyDiv w:val="1"/>
      <w:marLeft w:val="0"/>
      <w:marRight w:val="0"/>
      <w:marTop w:val="0"/>
      <w:marBottom w:val="0"/>
      <w:divBdr>
        <w:top w:val="none" w:sz="0" w:space="0" w:color="auto"/>
        <w:left w:val="none" w:sz="0" w:space="0" w:color="auto"/>
        <w:bottom w:val="none" w:sz="0" w:space="0" w:color="auto"/>
        <w:right w:val="none" w:sz="0" w:space="0" w:color="auto"/>
      </w:divBdr>
    </w:div>
    <w:div w:id="567351614">
      <w:bodyDiv w:val="1"/>
      <w:marLeft w:val="0"/>
      <w:marRight w:val="0"/>
      <w:marTop w:val="0"/>
      <w:marBottom w:val="0"/>
      <w:divBdr>
        <w:top w:val="none" w:sz="0" w:space="0" w:color="auto"/>
        <w:left w:val="none" w:sz="0" w:space="0" w:color="auto"/>
        <w:bottom w:val="none" w:sz="0" w:space="0" w:color="auto"/>
        <w:right w:val="none" w:sz="0" w:space="0" w:color="auto"/>
      </w:divBdr>
    </w:div>
    <w:div w:id="567493419">
      <w:bodyDiv w:val="1"/>
      <w:marLeft w:val="0"/>
      <w:marRight w:val="0"/>
      <w:marTop w:val="0"/>
      <w:marBottom w:val="0"/>
      <w:divBdr>
        <w:top w:val="none" w:sz="0" w:space="0" w:color="auto"/>
        <w:left w:val="none" w:sz="0" w:space="0" w:color="auto"/>
        <w:bottom w:val="none" w:sz="0" w:space="0" w:color="auto"/>
        <w:right w:val="none" w:sz="0" w:space="0" w:color="auto"/>
      </w:divBdr>
    </w:div>
    <w:div w:id="567495781">
      <w:bodyDiv w:val="1"/>
      <w:marLeft w:val="0"/>
      <w:marRight w:val="0"/>
      <w:marTop w:val="0"/>
      <w:marBottom w:val="0"/>
      <w:divBdr>
        <w:top w:val="none" w:sz="0" w:space="0" w:color="auto"/>
        <w:left w:val="none" w:sz="0" w:space="0" w:color="auto"/>
        <w:bottom w:val="none" w:sz="0" w:space="0" w:color="auto"/>
        <w:right w:val="none" w:sz="0" w:space="0" w:color="auto"/>
      </w:divBdr>
    </w:div>
    <w:div w:id="567689052">
      <w:bodyDiv w:val="1"/>
      <w:marLeft w:val="0"/>
      <w:marRight w:val="0"/>
      <w:marTop w:val="0"/>
      <w:marBottom w:val="0"/>
      <w:divBdr>
        <w:top w:val="none" w:sz="0" w:space="0" w:color="auto"/>
        <w:left w:val="none" w:sz="0" w:space="0" w:color="auto"/>
        <w:bottom w:val="none" w:sz="0" w:space="0" w:color="auto"/>
        <w:right w:val="none" w:sz="0" w:space="0" w:color="auto"/>
      </w:divBdr>
    </w:div>
    <w:div w:id="567690701">
      <w:bodyDiv w:val="1"/>
      <w:marLeft w:val="0"/>
      <w:marRight w:val="0"/>
      <w:marTop w:val="0"/>
      <w:marBottom w:val="0"/>
      <w:divBdr>
        <w:top w:val="none" w:sz="0" w:space="0" w:color="auto"/>
        <w:left w:val="none" w:sz="0" w:space="0" w:color="auto"/>
        <w:bottom w:val="none" w:sz="0" w:space="0" w:color="auto"/>
        <w:right w:val="none" w:sz="0" w:space="0" w:color="auto"/>
      </w:divBdr>
    </w:div>
    <w:div w:id="567805827">
      <w:bodyDiv w:val="1"/>
      <w:marLeft w:val="0"/>
      <w:marRight w:val="0"/>
      <w:marTop w:val="0"/>
      <w:marBottom w:val="0"/>
      <w:divBdr>
        <w:top w:val="none" w:sz="0" w:space="0" w:color="auto"/>
        <w:left w:val="none" w:sz="0" w:space="0" w:color="auto"/>
        <w:bottom w:val="none" w:sz="0" w:space="0" w:color="auto"/>
        <w:right w:val="none" w:sz="0" w:space="0" w:color="auto"/>
      </w:divBdr>
    </w:div>
    <w:div w:id="567810227">
      <w:bodyDiv w:val="1"/>
      <w:marLeft w:val="0"/>
      <w:marRight w:val="0"/>
      <w:marTop w:val="0"/>
      <w:marBottom w:val="0"/>
      <w:divBdr>
        <w:top w:val="none" w:sz="0" w:space="0" w:color="auto"/>
        <w:left w:val="none" w:sz="0" w:space="0" w:color="auto"/>
        <w:bottom w:val="none" w:sz="0" w:space="0" w:color="auto"/>
        <w:right w:val="none" w:sz="0" w:space="0" w:color="auto"/>
      </w:divBdr>
    </w:div>
    <w:div w:id="567885805">
      <w:bodyDiv w:val="1"/>
      <w:marLeft w:val="0"/>
      <w:marRight w:val="0"/>
      <w:marTop w:val="0"/>
      <w:marBottom w:val="0"/>
      <w:divBdr>
        <w:top w:val="none" w:sz="0" w:space="0" w:color="auto"/>
        <w:left w:val="none" w:sz="0" w:space="0" w:color="auto"/>
        <w:bottom w:val="none" w:sz="0" w:space="0" w:color="auto"/>
        <w:right w:val="none" w:sz="0" w:space="0" w:color="auto"/>
      </w:divBdr>
    </w:div>
    <w:div w:id="567955749">
      <w:bodyDiv w:val="1"/>
      <w:marLeft w:val="0"/>
      <w:marRight w:val="0"/>
      <w:marTop w:val="0"/>
      <w:marBottom w:val="0"/>
      <w:divBdr>
        <w:top w:val="none" w:sz="0" w:space="0" w:color="auto"/>
        <w:left w:val="none" w:sz="0" w:space="0" w:color="auto"/>
        <w:bottom w:val="none" w:sz="0" w:space="0" w:color="auto"/>
        <w:right w:val="none" w:sz="0" w:space="0" w:color="auto"/>
      </w:divBdr>
    </w:div>
    <w:div w:id="567958839">
      <w:bodyDiv w:val="1"/>
      <w:marLeft w:val="0"/>
      <w:marRight w:val="0"/>
      <w:marTop w:val="0"/>
      <w:marBottom w:val="0"/>
      <w:divBdr>
        <w:top w:val="none" w:sz="0" w:space="0" w:color="auto"/>
        <w:left w:val="none" w:sz="0" w:space="0" w:color="auto"/>
        <w:bottom w:val="none" w:sz="0" w:space="0" w:color="auto"/>
        <w:right w:val="none" w:sz="0" w:space="0" w:color="auto"/>
      </w:divBdr>
    </w:div>
    <w:div w:id="568003337">
      <w:bodyDiv w:val="1"/>
      <w:marLeft w:val="0"/>
      <w:marRight w:val="0"/>
      <w:marTop w:val="0"/>
      <w:marBottom w:val="0"/>
      <w:divBdr>
        <w:top w:val="none" w:sz="0" w:space="0" w:color="auto"/>
        <w:left w:val="none" w:sz="0" w:space="0" w:color="auto"/>
        <w:bottom w:val="none" w:sz="0" w:space="0" w:color="auto"/>
        <w:right w:val="none" w:sz="0" w:space="0" w:color="auto"/>
      </w:divBdr>
    </w:div>
    <w:div w:id="568031042">
      <w:bodyDiv w:val="1"/>
      <w:marLeft w:val="0"/>
      <w:marRight w:val="0"/>
      <w:marTop w:val="0"/>
      <w:marBottom w:val="0"/>
      <w:divBdr>
        <w:top w:val="none" w:sz="0" w:space="0" w:color="auto"/>
        <w:left w:val="none" w:sz="0" w:space="0" w:color="auto"/>
        <w:bottom w:val="none" w:sz="0" w:space="0" w:color="auto"/>
        <w:right w:val="none" w:sz="0" w:space="0" w:color="auto"/>
      </w:divBdr>
    </w:div>
    <w:div w:id="568149896">
      <w:bodyDiv w:val="1"/>
      <w:marLeft w:val="0"/>
      <w:marRight w:val="0"/>
      <w:marTop w:val="0"/>
      <w:marBottom w:val="0"/>
      <w:divBdr>
        <w:top w:val="none" w:sz="0" w:space="0" w:color="auto"/>
        <w:left w:val="none" w:sz="0" w:space="0" w:color="auto"/>
        <w:bottom w:val="none" w:sz="0" w:space="0" w:color="auto"/>
        <w:right w:val="none" w:sz="0" w:space="0" w:color="auto"/>
      </w:divBdr>
    </w:div>
    <w:div w:id="568198037">
      <w:bodyDiv w:val="1"/>
      <w:marLeft w:val="0"/>
      <w:marRight w:val="0"/>
      <w:marTop w:val="0"/>
      <w:marBottom w:val="0"/>
      <w:divBdr>
        <w:top w:val="none" w:sz="0" w:space="0" w:color="auto"/>
        <w:left w:val="none" w:sz="0" w:space="0" w:color="auto"/>
        <w:bottom w:val="none" w:sz="0" w:space="0" w:color="auto"/>
        <w:right w:val="none" w:sz="0" w:space="0" w:color="auto"/>
      </w:divBdr>
    </w:div>
    <w:div w:id="568199444">
      <w:bodyDiv w:val="1"/>
      <w:marLeft w:val="0"/>
      <w:marRight w:val="0"/>
      <w:marTop w:val="0"/>
      <w:marBottom w:val="0"/>
      <w:divBdr>
        <w:top w:val="none" w:sz="0" w:space="0" w:color="auto"/>
        <w:left w:val="none" w:sz="0" w:space="0" w:color="auto"/>
        <w:bottom w:val="none" w:sz="0" w:space="0" w:color="auto"/>
        <w:right w:val="none" w:sz="0" w:space="0" w:color="auto"/>
      </w:divBdr>
    </w:div>
    <w:div w:id="568225040">
      <w:bodyDiv w:val="1"/>
      <w:marLeft w:val="0"/>
      <w:marRight w:val="0"/>
      <w:marTop w:val="0"/>
      <w:marBottom w:val="0"/>
      <w:divBdr>
        <w:top w:val="none" w:sz="0" w:space="0" w:color="auto"/>
        <w:left w:val="none" w:sz="0" w:space="0" w:color="auto"/>
        <w:bottom w:val="none" w:sz="0" w:space="0" w:color="auto"/>
        <w:right w:val="none" w:sz="0" w:space="0" w:color="auto"/>
      </w:divBdr>
    </w:div>
    <w:div w:id="568225258">
      <w:bodyDiv w:val="1"/>
      <w:marLeft w:val="0"/>
      <w:marRight w:val="0"/>
      <w:marTop w:val="0"/>
      <w:marBottom w:val="0"/>
      <w:divBdr>
        <w:top w:val="none" w:sz="0" w:space="0" w:color="auto"/>
        <w:left w:val="none" w:sz="0" w:space="0" w:color="auto"/>
        <w:bottom w:val="none" w:sz="0" w:space="0" w:color="auto"/>
        <w:right w:val="none" w:sz="0" w:space="0" w:color="auto"/>
      </w:divBdr>
    </w:div>
    <w:div w:id="568418647">
      <w:bodyDiv w:val="1"/>
      <w:marLeft w:val="0"/>
      <w:marRight w:val="0"/>
      <w:marTop w:val="0"/>
      <w:marBottom w:val="0"/>
      <w:divBdr>
        <w:top w:val="none" w:sz="0" w:space="0" w:color="auto"/>
        <w:left w:val="none" w:sz="0" w:space="0" w:color="auto"/>
        <w:bottom w:val="none" w:sz="0" w:space="0" w:color="auto"/>
        <w:right w:val="none" w:sz="0" w:space="0" w:color="auto"/>
      </w:divBdr>
    </w:div>
    <w:div w:id="568418989">
      <w:bodyDiv w:val="1"/>
      <w:marLeft w:val="0"/>
      <w:marRight w:val="0"/>
      <w:marTop w:val="0"/>
      <w:marBottom w:val="0"/>
      <w:divBdr>
        <w:top w:val="none" w:sz="0" w:space="0" w:color="auto"/>
        <w:left w:val="none" w:sz="0" w:space="0" w:color="auto"/>
        <w:bottom w:val="none" w:sz="0" w:space="0" w:color="auto"/>
        <w:right w:val="none" w:sz="0" w:space="0" w:color="auto"/>
      </w:divBdr>
    </w:div>
    <w:div w:id="568538467">
      <w:bodyDiv w:val="1"/>
      <w:marLeft w:val="0"/>
      <w:marRight w:val="0"/>
      <w:marTop w:val="0"/>
      <w:marBottom w:val="0"/>
      <w:divBdr>
        <w:top w:val="none" w:sz="0" w:space="0" w:color="auto"/>
        <w:left w:val="none" w:sz="0" w:space="0" w:color="auto"/>
        <w:bottom w:val="none" w:sz="0" w:space="0" w:color="auto"/>
        <w:right w:val="none" w:sz="0" w:space="0" w:color="auto"/>
      </w:divBdr>
    </w:div>
    <w:div w:id="568540483">
      <w:bodyDiv w:val="1"/>
      <w:marLeft w:val="0"/>
      <w:marRight w:val="0"/>
      <w:marTop w:val="0"/>
      <w:marBottom w:val="0"/>
      <w:divBdr>
        <w:top w:val="none" w:sz="0" w:space="0" w:color="auto"/>
        <w:left w:val="none" w:sz="0" w:space="0" w:color="auto"/>
        <w:bottom w:val="none" w:sz="0" w:space="0" w:color="auto"/>
        <w:right w:val="none" w:sz="0" w:space="0" w:color="auto"/>
      </w:divBdr>
    </w:div>
    <w:div w:id="568616650">
      <w:bodyDiv w:val="1"/>
      <w:marLeft w:val="0"/>
      <w:marRight w:val="0"/>
      <w:marTop w:val="0"/>
      <w:marBottom w:val="0"/>
      <w:divBdr>
        <w:top w:val="none" w:sz="0" w:space="0" w:color="auto"/>
        <w:left w:val="none" w:sz="0" w:space="0" w:color="auto"/>
        <w:bottom w:val="none" w:sz="0" w:space="0" w:color="auto"/>
        <w:right w:val="none" w:sz="0" w:space="0" w:color="auto"/>
      </w:divBdr>
    </w:div>
    <w:div w:id="568617485">
      <w:bodyDiv w:val="1"/>
      <w:marLeft w:val="0"/>
      <w:marRight w:val="0"/>
      <w:marTop w:val="0"/>
      <w:marBottom w:val="0"/>
      <w:divBdr>
        <w:top w:val="none" w:sz="0" w:space="0" w:color="auto"/>
        <w:left w:val="none" w:sz="0" w:space="0" w:color="auto"/>
        <w:bottom w:val="none" w:sz="0" w:space="0" w:color="auto"/>
        <w:right w:val="none" w:sz="0" w:space="0" w:color="auto"/>
      </w:divBdr>
    </w:div>
    <w:div w:id="568618547">
      <w:bodyDiv w:val="1"/>
      <w:marLeft w:val="0"/>
      <w:marRight w:val="0"/>
      <w:marTop w:val="0"/>
      <w:marBottom w:val="0"/>
      <w:divBdr>
        <w:top w:val="none" w:sz="0" w:space="0" w:color="auto"/>
        <w:left w:val="none" w:sz="0" w:space="0" w:color="auto"/>
        <w:bottom w:val="none" w:sz="0" w:space="0" w:color="auto"/>
        <w:right w:val="none" w:sz="0" w:space="0" w:color="auto"/>
      </w:divBdr>
    </w:div>
    <w:div w:id="568656666">
      <w:bodyDiv w:val="1"/>
      <w:marLeft w:val="0"/>
      <w:marRight w:val="0"/>
      <w:marTop w:val="0"/>
      <w:marBottom w:val="0"/>
      <w:divBdr>
        <w:top w:val="none" w:sz="0" w:space="0" w:color="auto"/>
        <w:left w:val="none" w:sz="0" w:space="0" w:color="auto"/>
        <w:bottom w:val="none" w:sz="0" w:space="0" w:color="auto"/>
        <w:right w:val="none" w:sz="0" w:space="0" w:color="auto"/>
      </w:divBdr>
    </w:div>
    <w:div w:id="568658183">
      <w:bodyDiv w:val="1"/>
      <w:marLeft w:val="0"/>
      <w:marRight w:val="0"/>
      <w:marTop w:val="0"/>
      <w:marBottom w:val="0"/>
      <w:divBdr>
        <w:top w:val="none" w:sz="0" w:space="0" w:color="auto"/>
        <w:left w:val="none" w:sz="0" w:space="0" w:color="auto"/>
        <w:bottom w:val="none" w:sz="0" w:space="0" w:color="auto"/>
        <w:right w:val="none" w:sz="0" w:space="0" w:color="auto"/>
      </w:divBdr>
    </w:div>
    <w:div w:id="568661857">
      <w:bodyDiv w:val="1"/>
      <w:marLeft w:val="0"/>
      <w:marRight w:val="0"/>
      <w:marTop w:val="0"/>
      <w:marBottom w:val="0"/>
      <w:divBdr>
        <w:top w:val="none" w:sz="0" w:space="0" w:color="auto"/>
        <w:left w:val="none" w:sz="0" w:space="0" w:color="auto"/>
        <w:bottom w:val="none" w:sz="0" w:space="0" w:color="auto"/>
        <w:right w:val="none" w:sz="0" w:space="0" w:color="auto"/>
      </w:divBdr>
    </w:div>
    <w:div w:id="568686841">
      <w:bodyDiv w:val="1"/>
      <w:marLeft w:val="0"/>
      <w:marRight w:val="0"/>
      <w:marTop w:val="0"/>
      <w:marBottom w:val="0"/>
      <w:divBdr>
        <w:top w:val="none" w:sz="0" w:space="0" w:color="auto"/>
        <w:left w:val="none" w:sz="0" w:space="0" w:color="auto"/>
        <w:bottom w:val="none" w:sz="0" w:space="0" w:color="auto"/>
        <w:right w:val="none" w:sz="0" w:space="0" w:color="auto"/>
      </w:divBdr>
    </w:div>
    <w:div w:id="568730338">
      <w:bodyDiv w:val="1"/>
      <w:marLeft w:val="0"/>
      <w:marRight w:val="0"/>
      <w:marTop w:val="0"/>
      <w:marBottom w:val="0"/>
      <w:divBdr>
        <w:top w:val="none" w:sz="0" w:space="0" w:color="auto"/>
        <w:left w:val="none" w:sz="0" w:space="0" w:color="auto"/>
        <w:bottom w:val="none" w:sz="0" w:space="0" w:color="auto"/>
        <w:right w:val="none" w:sz="0" w:space="0" w:color="auto"/>
      </w:divBdr>
    </w:div>
    <w:div w:id="568807758">
      <w:bodyDiv w:val="1"/>
      <w:marLeft w:val="0"/>
      <w:marRight w:val="0"/>
      <w:marTop w:val="0"/>
      <w:marBottom w:val="0"/>
      <w:divBdr>
        <w:top w:val="none" w:sz="0" w:space="0" w:color="auto"/>
        <w:left w:val="none" w:sz="0" w:space="0" w:color="auto"/>
        <w:bottom w:val="none" w:sz="0" w:space="0" w:color="auto"/>
        <w:right w:val="none" w:sz="0" w:space="0" w:color="auto"/>
      </w:divBdr>
    </w:div>
    <w:div w:id="568853273">
      <w:bodyDiv w:val="1"/>
      <w:marLeft w:val="0"/>
      <w:marRight w:val="0"/>
      <w:marTop w:val="0"/>
      <w:marBottom w:val="0"/>
      <w:divBdr>
        <w:top w:val="none" w:sz="0" w:space="0" w:color="auto"/>
        <w:left w:val="none" w:sz="0" w:space="0" w:color="auto"/>
        <w:bottom w:val="none" w:sz="0" w:space="0" w:color="auto"/>
        <w:right w:val="none" w:sz="0" w:space="0" w:color="auto"/>
      </w:divBdr>
    </w:div>
    <w:div w:id="568853499">
      <w:bodyDiv w:val="1"/>
      <w:marLeft w:val="0"/>
      <w:marRight w:val="0"/>
      <w:marTop w:val="0"/>
      <w:marBottom w:val="0"/>
      <w:divBdr>
        <w:top w:val="none" w:sz="0" w:space="0" w:color="auto"/>
        <w:left w:val="none" w:sz="0" w:space="0" w:color="auto"/>
        <w:bottom w:val="none" w:sz="0" w:space="0" w:color="auto"/>
        <w:right w:val="none" w:sz="0" w:space="0" w:color="auto"/>
      </w:divBdr>
    </w:div>
    <w:div w:id="568855084">
      <w:bodyDiv w:val="1"/>
      <w:marLeft w:val="0"/>
      <w:marRight w:val="0"/>
      <w:marTop w:val="0"/>
      <w:marBottom w:val="0"/>
      <w:divBdr>
        <w:top w:val="none" w:sz="0" w:space="0" w:color="auto"/>
        <w:left w:val="none" w:sz="0" w:space="0" w:color="auto"/>
        <w:bottom w:val="none" w:sz="0" w:space="0" w:color="auto"/>
        <w:right w:val="none" w:sz="0" w:space="0" w:color="auto"/>
      </w:divBdr>
    </w:div>
    <w:div w:id="568921795">
      <w:bodyDiv w:val="1"/>
      <w:marLeft w:val="0"/>
      <w:marRight w:val="0"/>
      <w:marTop w:val="0"/>
      <w:marBottom w:val="0"/>
      <w:divBdr>
        <w:top w:val="none" w:sz="0" w:space="0" w:color="auto"/>
        <w:left w:val="none" w:sz="0" w:space="0" w:color="auto"/>
        <w:bottom w:val="none" w:sz="0" w:space="0" w:color="auto"/>
        <w:right w:val="none" w:sz="0" w:space="0" w:color="auto"/>
      </w:divBdr>
    </w:div>
    <w:div w:id="569121002">
      <w:bodyDiv w:val="1"/>
      <w:marLeft w:val="0"/>
      <w:marRight w:val="0"/>
      <w:marTop w:val="0"/>
      <w:marBottom w:val="0"/>
      <w:divBdr>
        <w:top w:val="none" w:sz="0" w:space="0" w:color="auto"/>
        <w:left w:val="none" w:sz="0" w:space="0" w:color="auto"/>
        <w:bottom w:val="none" w:sz="0" w:space="0" w:color="auto"/>
        <w:right w:val="none" w:sz="0" w:space="0" w:color="auto"/>
      </w:divBdr>
    </w:div>
    <w:div w:id="569459577">
      <w:bodyDiv w:val="1"/>
      <w:marLeft w:val="0"/>
      <w:marRight w:val="0"/>
      <w:marTop w:val="0"/>
      <w:marBottom w:val="0"/>
      <w:divBdr>
        <w:top w:val="none" w:sz="0" w:space="0" w:color="auto"/>
        <w:left w:val="none" w:sz="0" w:space="0" w:color="auto"/>
        <w:bottom w:val="none" w:sz="0" w:space="0" w:color="auto"/>
        <w:right w:val="none" w:sz="0" w:space="0" w:color="auto"/>
      </w:divBdr>
    </w:div>
    <w:div w:id="569653770">
      <w:bodyDiv w:val="1"/>
      <w:marLeft w:val="0"/>
      <w:marRight w:val="0"/>
      <w:marTop w:val="0"/>
      <w:marBottom w:val="0"/>
      <w:divBdr>
        <w:top w:val="none" w:sz="0" w:space="0" w:color="auto"/>
        <w:left w:val="none" w:sz="0" w:space="0" w:color="auto"/>
        <w:bottom w:val="none" w:sz="0" w:space="0" w:color="auto"/>
        <w:right w:val="none" w:sz="0" w:space="0" w:color="auto"/>
      </w:divBdr>
    </w:div>
    <w:div w:id="569728792">
      <w:bodyDiv w:val="1"/>
      <w:marLeft w:val="0"/>
      <w:marRight w:val="0"/>
      <w:marTop w:val="0"/>
      <w:marBottom w:val="0"/>
      <w:divBdr>
        <w:top w:val="none" w:sz="0" w:space="0" w:color="auto"/>
        <w:left w:val="none" w:sz="0" w:space="0" w:color="auto"/>
        <w:bottom w:val="none" w:sz="0" w:space="0" w:color="auto"/>
        <w:right w:val="none" w:sz="0" w:space="0" w:color="auto"/>
      </w:divBdr>
    </w:div>
    <w:div w:id="569773039">
      <w:bodyDiv w:val="1"/>
      <w:marLeft w:val="0"/>
      <w:marRight w:val="0"/>
      <w:marTop w:val="0"/>
      <w:marBottom w:val="0"/>
      <w:divBdr>
        <w:top w:val="none" w:sz="0" w:space="0" w:color="auto"/>
        <w:left w:val="none" w:sz="0" w:space="0" w:color="auto"/>
        <w:bottom w:val="none" w:sz="0" w:space="0" w:color="auto"/>
        <w:right w:val="none" w:sz="0" w:space="0" w:color="auto"/>
      </w:divBdr>
    </w:div>
    <w:div w:id="569776439">
      <w:bodyDiv w:val="1"/>
      <w:marLeft w:val="0"/>
      <w:marRight w:val="0"/>
      <w:marTop w:val="0"/>
      <w:marBottom w:val="0"/>
      <w:divBdr>
        <w:top w:val="none" w:sz="0" w:space="0" w:color="auto"/>
        <w:left w:val="none" w:sz="0" w:space="0" w:color="auto"/>
        <w:bottom w:val="none" w:sz="0" w:space="0" w:color="auto"/>
        <w:right w:val="none" w:sz="0" w:space="0" w:color="auto"/>
      </w:divBdr>
    </w:div>
    <w:div w:id="569777348">
      <w:bodyDiv w:val="1"/>
      <w:marLeft w:val="0"/>
      <w:marRight w:val="0"/>
      <w:marTop w:val="0"/>
      <w:marBottom w:val="0"/>
      <w:divBdr>
        <w:top w:val="none" w:sz="0" w:space="0" w:color="auto"/>
        <w:left w:val="none" w:sz="0" w:space="0" w:color="auto"/>
        <w:bottom w:val="none" w:sz="0" w:space="0" w:color="auto"/>
        <w:right w:val="none" w:sz="0" w:space="0" w:color="auto"/>
      </w:divBdr>
    </w:div>
    <w:div w:id="569925191">
      <w:bodyDiv w:val="1"/>
      <w:marLeft w:val="0"/>
      <w:marRight w:val="0"/>
      <w:marTop w:val="0"/>
      <w:marBottom w:val="0"/>
      <w:divBdr>
        <w:top w:val="none" w:sz="0" w:space="0" w:color="auto"/>
        <w:left w:val="none" w:sz="0" w:space="0" w:color="auto"/>
        <w:bottom w:val="none" w:sz="0" w:space="0" w:color="auto"/>
        <w:right w:val="none" w:sz="0" w:space="0" w:color="auto"/>
      </w:divBdr>
    </w:div>
    <w:div w:id="570045154">
      <w:bodyDiv w:val="1"/>
      <w:marLeft w:val="0"/>
      <w:marRight w:val="0"/>
      <w:marTop w:val="0"/>
      <w:marBottom w:val="0"/>
      <w:divBdr>
        <w:top w:val="none" w:sz="0" w:space="0" w:color="auto"/>
        <w:left w:val="none" w:sz="0" w:space="0" w:color="auto"/>
        <w:bottom w:val="none" w:sz="0" w:space="0" w:color="auto"/>
        <w:right w:val="none" w:sz="0" w:space="0" w:color="auto"/>
      </w:divBdr>
    </w:div>
    <w:div w:id="570121816">
      <w:bodyDiv w:val="1"/>
      <w:marLeft w:val="0"/>
      <w:marRight w:val="0"/>
      <w:marTop w:val="0"/>
      <w:marBottom w:val="0"/>
      <w:divBdr>
        <w:top w:val="none" w:sz="0" w:space="0" w:color="auto"/>
        <w:left w:val="none" w:sz="0" w:space="0" w:color="auto"/>
        <w:bottom w:val="none" w:sz="0" w:space="0" w:color="auto"/>
        <w:right w:val="none" w:sz="0" w:space="0" w:color="auto"/>
      </w:divBdr>
    </w:div>
    <w:div w:id="570195461">
      <w:bodyDiv w:val="1"/>
      <w:marLeft w:val="0"/>
      <w:marRight w:val="0"/>
      <w:marTop w:val="0"/>
      <w:marBottom w:val="0"/>
      <w:divBdr>
        <w:top w:val="none" w:sz="0" w:space="0" w:color="auto"/>
        <w:left w:val="none" w:sz="0" w:space="0" w:color="auto"/>
        <w:bottom w:val="none" w:sz="0" w:space="0" w:color="auto"/>
        <w:right w:val="none" w:sz="0" w:space="0" w:color="auto"/>
      </w:divBdr>
    </w:div>
    <w:div w:id="570307354">
      <w:bodyDiv w:val="1"/>
      <w:marLeft w:val="0"/>
      <w:marRight w:val="0"/>
      <w:marTop w:val="0"/>
      <w:marBottom w:val="0"/>
      <w:divBdr>
        <w:top w:val="none" w:sz="0" w:space="0" w:color="auto"/>
        <w:left w:val="none" w:sz="0" w:space="0" w:color="auto"/>
        <w:bottom w:val="none" w:sz="0" w:space="0" w:color="auto"/>
        <w:right w:val="none" w:sz="0" w:space="0" w:color="auto"/>
      </w:divBdr>
    </w:div>
    <w:div w:id="570505710">
      <w:bodyDiv w:val="1"/>
      <w:marLeft w:val="0"/>
      <w:marRight w:val="0"/>
      <w:marTop w:val="0"/>
      <w:marBottom w:val="0"/>
      <w:divBdr>
        <w:top w:val="none" w:sz="0" w:space="0" w:color="auto"/>
        <w:left w:val="none" w:sz="0" w:space="0" w:color="auto"/>
        <w:bottom w:val="none" w:sz="0" w:space="0" w:color="auto"/>
        <w:right w:val="none" w:sz="0" w:space="0" w:color="auto"/>
      </w:divBdr>
    </w:div>
    <w:div w:id="570507701">
      <w:bodyDiv w:val="1"/>
      <w:marLeft w:val="0"/>
      <w:marRight w:val="0"/>
      <w:marTop w:val="0"/>
      <w:marBottom w:val="0"/>
      <w:divBdr>
        <w:top w:val="none" w:sz="0" w:space="0" w:color="auto"/>
        <w:left w:val="none" w:sz="0" w:space="0" w:color="auto"/>
        <w:bottom w:val="none" w:sz="0" w:space="0" w:color="auto"/>
        <w:right w:val="none" w:sz="0" w:space="0" w:color="auto"/>
      </w:divBdr>
    </w:div>
    <w:div w:id="570653255">
      <w:bodyDiv w:val="1"/>
      <w:marLeft w:val="0"/>
      <w:marRight w:val="0"/>
      <w:marTop w:val="0"/>
      <w:marBottom w:val="0"/>
      <w:divBdr>
        <w:top w:val="none" w:sz="0" w:space="0" w:color="auto"/>
        <w:left w:val="none" w:sz="0" w:space="0" w:color="auto"/>
        <w:bottom w:val="none" w:sz="0" w:space="0" w:color="auto"/>
        <w:right w:val="none" w:sz="0" w:space="0" w:color="auto"/>
      </w:divBdr>
    </w:div>
    <w:div w:id="570694032">
      <w:bodyDiv w:val="1"/>
      <w:marLeft w:val="0"/>
      <w:marRight w:val="0"/>
      <w:marTop w:val="0"/>
      <w:marBottom w:val="0"/>
      <w:divBdr>
        <w:top w:val="none" w:sz="0" w:space="0" w:color="auto"/>
        <w:left w:val="none" w:sz="0" w:space="0" w:color="auto"/>
        <w:bottom w:val="none" w:sz="0" w:space="0" w:color="auto"/>
        <w:right w:val="none" w:sz="0" w:space="0" w:color="auto"/>
      </w:divBdr>
    </w:div>
    <w:div w:id="570771803">
      <w:bodyDiv w:val="1"/>
      <w:marLeft w:val="0"/>
      <w:marRight w:val="0"/>
      <w:marTop w:val="0"/>
      <w:marBottom w:val="0"/>
      <w:divBdr>
        <w:top w:val="none" w:sz="0" w:space="0" w:color="auto"/>
        <w:left w:val="none" w:sz="0" w:space="0" w:color="auto"/>
        <w:bottom w:val="none" w:sz="0" w:space="0" w:color="auto"/>
        <w:right w:val="none" w:sz="0" w:space="0" w:color="auto"/>
      </w:divBdr>
    </w:div>
    <w:div w:id="570771908">
      <w:bodyDiv w:val="1"/>
      <w:marLeft w:val="0"/>
      <w:marRight w:val="0"/>
      <w:marTop w:val="0"/>
      <w:marBottom w:val="0"/>
      <w:divBdr>
        <w:top w:val="none" w:sz="0" w:space="0" w:color="auto"/>
        <w:left w:val="none" w:sz="0" w:space="0" w:color="auto"/>
        <w:bottom w:val="none" w:sz="0" w:space="0" w:color="auto"/>
        <w:right w:val="none" w:sz="0" w:space="0" w:color="auto"/>
      </w:divBdr>
    </w:div>
    <w:div w:id="570848315">
      <w:bodyDiv w:val="1"/>
      <w:marLeft w:val="0"/>
      <w:marRight w:val="0"/>
      <w:marTop w:val="0"/>
      <w:marBottom w:val="0"/>
      <w:divBdr>
        <w:top w:val="none" w:sz="0" w:space="0" w:color="auto"/>
        <w:left w:val="none" w:sz="0" w:space="0" w:color="auto"/>
        <w:bottom w:val="none" w:sz="0" w:space="0" w:color="auto"/>
        <w:right w:val="none" w:sz="0" w:space="0" w:color="auto"/>
      </w:divBdr>
    </w:div>
    <w:div w:id="570963402">
      <w:bodyDiv w:val="1"/>
      <w:marLeft w:val="0"/>
      <w:marRight w:val="0"/>
      <w:marTop w:val="0"/>
      <w:marBottom w:val="0"/>
      <w:divBdr>
        <w:top w:val="none" w:sz="0" w:space="0" w:color="auto"/>
        <w:left w:val="none" w:sz="0" w:space="0" w:color="auto"/>
        <w:bottom w:val="none" w:sz="0" w:space="0" w:color="auto"/>
        <w:right w:val="none" w:sz="0" w:space="0" w:color="auto"/>
      </w:divBdr>
    </w:div>
    <w:div w:id="570963761">
      <w:bodyDiv w:val="1"/>
      <w:marLeft w:val="0"/>
      <w:marRight w:val="0"/>
      <w:marTop w:val="0"/>
      <w:marBottom w:val="0"/>
      <w:divBdr>
        <w:top w:val="none" w:sz="0" w:space="0" w:color="auto"/>
        <w:left w:val="none" w:sz="0" w:space="0" w:color="auto"/>
        <w:bottom w:val="none" w:sz="0" w:space="0" w:color="auto"/>
        <w:right w:val="none" w:sz="0" w:space="0" w:color="auto"/>
      </w:divBdr>
    </w:div>
    <w:div w:id="570966224">
      <w:bodyDiv w:val="1"/>
      <w:marLeft w:val="0"/>
      <w:marRight w:val="0"/>
      <w:marTop w:val="0"/>
      <w:marBottom w:val="0"/>
      <w:divBdr>
        <w:top w:val="none" w:sz="0" w:space="0" w:color="auto"/>
        <w:left w:val="none" w:sz="0" w:space="0" w:color="auto"/>
        <w:bottom w:val="none" w:sz="0" w:space="0" w:color="auto"/>
        <w:right w:val="none" w:sz="0" w:space="0" w:color="auto"/>
      </w:divBdr>
    </w:div>
    <w:div w:id="570967997">
      <w:bodyDiv w:val="1"/>
      <w:marLeft w:val="0"/>
      <w:marRight w:val="0"/>
      <w:marTop w:val="0"/>
      <w:marBottom w:val="0"/>
      <w:divBdr>
        <w:top w:val="none" w:sz="0" w:space="0" w:color="auto"/>
        <w:left w:val="none" w:sz="0" w:space="0" w:color="auto"/>
        <w:bottom w:val="none" w:sz="0" w:space="0" w:color="auto"/>
        <w:right w:val="none" w:sz="0" w:space="0" w:color="auto"/>
      </w:divBdr>
    </w:div>
    <w:div w:id="571042966">
      <w:bodyDiv w:val="1"/>
      <w:marLeft w:val="0"/>
      <w:marRight w:val="0"/>
      <w:marTop w:val="0"/>
      <w:marBottom w:val="0"/>
      <w:divBdr>
        <w:top w:val="none" w:sz="0" w:space="0" w:color="auto"/>
        <w:left w:val="none" w:sz="0" w:space="0" w:color="auto"/>
        <w:bottom w:val="none" w:sz="0" w:space="0" w:color="auto"/>
        <w:right w:val="none" w:sz="0" w:space="0" w:color="auto"/>
      </w:divBdr>
    </w:div>
    <w:div w:id="571082003">
      <w:bodyDiv w:val="1"/>
      <w:marLeft w:val="0"/>
      <w:marRight w:val="0"/>
      <w:marTop w:val="0"/>
      <w:marBottom w:val="0"/>
      <w:divBdr>
        <w:top w:val="none" w:sz="0" w:space="0" w:color="auto"/>
        <w:left w:val="none" w:sz="0" w:space="0" w:color="auto"/>
        <w:bottom w:val="none" w:sz="0" w:space="0" w:color="auto"/>
        <w:right w:val="none" w:sz="0" w:space="0" w:color="auto"/>
      </w:divBdr>
    </w:div>
    <w:div w:id="571088066">
      <w:bodyDiv w:val="1"/>
      <w:marLeft w:val="0"/>
      <w:marRight w:val="0"/>
      <w:marTop w:val="0"/>
      <w:marBottom w:val="0"/>
      <w:divBdr>
        <w:top w:val="none" w:sz="0" w:space="0" w:color="auto"/>
        <w:left w:val="none" w:sz="0" w:space="0" w:color="auto"/>
        <w:bottom w:val="none" w:sz="0" w:space="0" w:color="auto"/>
        <w:right w:val="none" w:sz="0" w:space="0" w:color="auto"/>
      </w:divBdr>
    </w:div>
    <w:div w:id="571234309">
      <w:bodyDiv w:val="1"/>
      <w:marLeft w:val="0"/>
      <w:marRight w:val="0"/>
      <w:marTop w:val="0"/>
      <w:marBottom w:val="0"/>
      <w:divBdr>
        <w:top w:val="none" w:sz="0" w:space="0" w:color="auto"/>
        <w:left w:val="none" w:sz="0" w:space="0" w:color="auto"/>
        <w:bottom w:val="none" w:sz="0" w:space="0" w:color="auto"/>
        <w:right w:val="none" w:sz="0" w:space="0" w:color="auto"/>
      </w:divBdr>
    </w:div>
    <w:div w:id="571307140">
      <w:bodyDiv w:val="1"/>
      <w:marLeft w:val="0"/>
      <w:marRight w:val="0"/>
      <w:marTop w:val="0"/>
      <w:marBottom w:val="0"/>
      <w:divBdr>
        <w:top w:val="none" w:sz="0" w:space="0" w:color="auto"/>
        <w:left w:val="none" w:sz="0" w:space="0" w:color="auto"/>
        <w:bottom w:val="none" w:sz="0" w:space="0" w:color="auto"/>
        <w:right w:val="none" w:sz="0" w:space="0" w:color="auto"/>
      </w:divBdr>
    </w:div>
    <w:div w:id="571355023">
      <w:bodyDiv w:val="1"/>
      <w:marLeft w:val="0"/>
      <w:marRight w:val="0"/>
      <w:marTop w:val="0"/>
      <w:marBottom w:val="0"/>
      <w:divBdr>
        <w:top w:val="none" w:sz="0" w:space="0" w:color="auto"/>
        <w:left w:val="none" w:sz="0" w:space="0" w:color="auto"/>
        <w:bottom w:val="none" w:sz="0" w:space="0" w:color="auto"/>
        <w:right w:val="none" w:sz="0" w:space="0" w:color="auto"/>
      </w:divBdr>
    </w:div>
    <w:div w:id="571428027">
      <w:bodyDiv w:val="1"/>
      <w:marLeft w:val="0"/>
      <w:marRight w:val="0"/>
      <w:marTop w:val="0"/>
      <w:marBottom w:val="0"/>
      <w:divBdr>
        <w:top w:val="none" w:sz="0" w:space="0" w:color="auto"/>
        <w:left w:val="none" w:sz="0" w:space="0" w:color="auto"/>
        <w:bottom w:val="none" w:sz="0" w:space="0" w:color="auto"/>
        <w:right w:val="none" w:sz="0" w:space="0" w:color="auto"/>
      </w:divBdr>
    </w:div>
    <w:div w:id="571429316">
      <w:bodyDiv w:val="1"/>
      <w:marLeft w:val="0"/>
      <w:marRight w:val="0"/>
      <w:marTop w:val="0"/>
      <w:marBottom w:val="0"/>
      <w:divBdr>
        <w:top w:val="none" w:sz="0" w:space="0" w:color="auto"/>
        <w:left w:val="none" w:sz="0" w:space="0" w:color="auto"/>
        <w:bottom w:val="none" w:sz="0" w:space="0" w:color="auto"/>
        <w:right w:val="none" w:sz="0" w:space="0" w:color="auto"/>
      </w:divBdr>
    </w:div>
    <w:div w:id="571550991">
      <w:bodyDiv w:val="1"/>
      <w:marLeft w:val="0"/>
      <w:marRight w:val="0"/>
      <w:marTop w:val="0"/>
      <w:marBottom w:val="0"/>
      <w:divBdr>
        <w:top w:val="none" w:sz="0" w:space="0" w:color="auto"/>
        <w:left w:val="none" w:sz="0" w:space="0" w:color="auto"/>
        <w:bottom w:val="none" w:sz="0" w:space="0" w:color="auto"/>
        <w:right w:val="none" w:sz="0" w:space="0" w:color="auto"/>
      </w:divBdr>
    </w:div>
    <w:div w:id="571693225">
      <w:bodyDiv w:val="1"/>
      <w:marLeft w:val="0"/>
      <w:marRight w:val="0"/>
      <w:marTop w:val="0"/>
      <w:marBottom w:val="0"/>
      <w:divBdr>
        <w:top w:val="none" w:sz="0" w:space="0" w:color="auto"/>
        <w:left w:val="none" w:sz="0" w:space="0" w:color="auto"/>
        <w:bottom w:val="none" w:sz="0" w:space="0" w:color="auto"/>
        <w:right w:val="none" w:sz="0" w:space="0" w:color="auto"/>
      </w:divBdr>
    </w:div>
    <w:div w:id="571742250">
      <w:bodyDiv w:val="1"/>
      <w:marLeft w:val="0"/>
      <w:marRight w:val="0"/>
      <w:marTop w:val="0"/>
      <w:marBottom w:val="0"/>
      <w:divBdr>
        <w:top w:val="none" w:sz="0" w:space="0" w:color="auto"/>
        <w:left w:val="none" w:sz="0" w:space="0" w:color="auto"/>
        <w:bottom w:val="none" w:sz="0" w:space="0" w:color="auto"/>
        <w:right w:val="none" w:sz="0" w:space="0" w:color="auto"/>
      </w:divBdr>
    </w:div>
    <w:div w:id="571887059">
      <w:bodyDiv w:val="1"/>
      <w:marLeft w:val="0"/>
      <w:marRight w:val="0"/>
      <w:marTop w:val="0"/>
      <w:marBottom w:val="0"/>
      <w:divBdr>
        <w:top w:val="none" w:sz="0" w:space="0" w:color="auto"/>
        <w:left w:val="none" w:sz="0" w:space="0" w:color="auto"/>
        <w:bottom w:val="none" w:sz="0" w:space="0" w:color="auto"/>
        <w:right w:val="none" w:sz="0" w:space="0" w:color="auto"/>
      </w:divBdr>
    </w:div>
    <w:div w:id="571893910">
      <w:bodyDiv w:val="1"/>
      <w:marLeft w:val="0"/>
      <w:marRight w:val="0"/>
      <w:marTop w:val="0"/>
      <w:marBottom w:val="0"/>
      <w:divBdr>
        <w:top w:val="none" w:sz="0" w:space="0" w:color="auto"/>
        <w:left w:val="none" w:sz="0" w:space="0" w:color="auto"/>
        <w:bottom w:val="none" w:sz="0" w:space="0" w:color="auto"/>
        <w:right w:val="none" w:sz="0" w:space="0" w:color="auto"/>
      </w:divBdr>
    </w:div>
    <w:div w:id="571935691">
      <w:bodyDiv w:val="1"/>
      <w:marLeft w:val="0"/>
      <w:marRight w:val="0"/>
      <w:marTop w:val="0"/>
      <w:marBottom w:val="0"/>
      <w:divBdr>
        <w:top w:val="none" w:sz="0" w:space="0" w:color="auto"/>
        <w:left w:val="none" w:sz="0" w:space="0" w:color="auto"/>
        <w:bottom w:val="none" w:sz="0" w:space="0" w:color="auto"/>
        <w:right w:val="none" w:sz="0" w:space="0" w:color="auto"/>
      </w:divBdr>
    </w:div>
    <w:div w:id="571938593">
      <w:bodyDiv w:val="1"/>
      <w:marLeft w:val="0"/>
      <w:marRight w:val="0"/>
      <w:marTop w:val="0"/>
      <w:marBottom w:val="0"/>
      <w:divBdr>
        <w:top w:val="none" w:sz="0" w:space="0" w:color="auto"/>
        <w:left w:val="none" w:sz="0" w:space="0" w:color="auto"/>
        <w:bottom w:val="none" w:sz="0" w:space="0" w:color="auto"/>
        <w:right w:val="none" w:sz="0" w:space="0" w:color="auto"/>
      </w:divBdr>
    </w:div>
    <w:div w:id="572013661">
      <w:bodyDiv w:val="1"/>
      <w:marLeft w:val="0"/>
      <w:marRight w:val="0"/>
      <w:marTop w:val="0"/>
      <w:marBottom w:val="0"/>
      <w:divBdr>
        <w:top w:val="none" w:sz="0" w:space="0" w:color="auto"/>
        <w:left w:val="none" w:sz="0" w:space="0" w:color="auto"/>
        <w:bottom w:val="none" w:sz="0" w:space="0" w:color="auto"/>
        <w:right w:val="none" w:sz="0" w:space="0" w:color="auto"/>
      </w:divBdr>
    </w:div>
    <w:div w:id="572204538">
      <w:bodyDiv w:val="1"/>
      <w:marLeft w:val="0"/>
      <w:marRight w:val="0"/>
      <w:marTop w:val="0"/>
      <w:marBottom w:val="0"/>
      <w:divBdr>
        <w:top w:val="none" w:sz="0" w:space="0" w:color="auto"/>
        <w:left w:val="none" w:sz="0" w:space="0" w:color="auto"/>
        <w:bottom w:val="none" w:sz="0" w:space="0" w:color="auto"/>
        <w:right w:val="none" w:sz="0" w:space="0" w:color="auto"/>
      </w:divBdr>
    </w:div>
    <w:div w:id="572278836">
      <w:bodyDiv w:val="1"/>
      <w:marLeft w:val="0"/>
      <w:marRight w:val="0"/>
      <w:marTop w:val="0"/>
      <w:marBottom w:val="0"/>
      <w:divBdr>
        <w:top w:val="none" w:sz="0" w:space="0" w:color="auto"/>
        <w:left w:val="none" w:sz="0" w:space="0" w:color="auto"/>
        <w:bottom w:val="none" w:sz="0" w:space="0" w:color="auto"/>
        <w:right w:val="none" w:sz="0" w:space="0" w:color="auto"/>
      </w:divBdr>
    </w:div>
    <w:div w:id="572356139">
      <w:bodyDiv w:val="1"/>
      <w:marLeft w:val="0"/>
      <w:marRight w:val="0"/>
      <w:marTop w:val="0"/>
      <w:marBottom w:val="0"/>
      <w:divBdr>
        <w:top w:val="none" w:sz="0" w:space="0" w:color="auto"/>
        <w:left w:val="none" w:sz="0" w:space="0" w:color="auto"/>
        <w:bottom w:val="none" w:sz="0" w:space="0" w:color="auto"/>
        <w:right w:val="none" w:sz="0" w:space="0" w:color="auto"/>
      </w:divBdr>
    </w:div>
    <w:div w:id="572467898">
      <w:bodyDiv w:val="1"/>
      <w:marLeft w:val="0"/>
      <w:marRight w:val="0"/>
      <w:marTop w:val="0"/>
      <w:marBottom w:val="0"/>
      <w:divBdr>
        <w:top w:val="none" w:sz="0" w:space="0" w:color="auto"/>
        <w:left w:val="none" w:sz="0" w:space="0" w:color="auto"/>
        <w:bottom w:val="none" w:sz="0" w:space="0" w:color="auto"/>
        <w:right w:val="none" w:sz="0" w:space="0" w:color="auto"/>
      </w:divBdr>
    </w:div>
    <w:div w:id="572471606">
      <w:bodyDiv w:val="1"/>
      <w:marLeft w:val="0"/>
      <w:marRight w:val="0"/>
      <w:marTop w:val="0"/>
      <w:marBottom w:val="0"/>
      <w:divBdr>
        <w:top w:val="none" w:sz="0" w:space="0" w:color="auto"/>
        <w:left w:val="none" w:sz="0" w:space="0" w:color="auto"/>
        <w:bottom w:val="none" w:sz="0" w:space="0" w:color="auto"/>
        <w:right w:val="none" w:sz="0" w:space="0" w:color="auto"/>
      </w:divBdr>
    </w:div>
    <w:div w:id="572589772">
      <w:bodyDiv w:val="1"/>
      <w:marLeft w:val="0"/>
      <w:marRight w:val="0"/>
      <w:marTop w:val="0"/>
      <w:marBottom w:val="0"/>
      <w:divBdr>
        <w:top w:val="none" w:sz="0" w:space="0" w:color="auto"/>
        <w:left w:val="none" w:sz="0" w:space="0" w:color="auto"/>
        <w:bottom w:val="none" w:sz="0" w:space="0" w:color="auto"/>
        <w:right w:val="none" w:sz="0" w:space="0" w:color="auto"/>
      </w:divBdr>
    </w:div>
    <w:div w:id="572590697">
      <w:bodyDiv w:val="1"/>
      <w:marLeft w:val="0"/>
      <w:marRight w:val="0"/>
      <w:marTop w:val="0"/>
      <w:marBottom w:val="0"/>
      <w:divBdr>
        <w:top w:val="none" w:sz="0" w:space="0" w:color="auto"/>
        <w:left w:val="none" w:sz="0" w:space="0" w:color="auto"/>
        <w:bottom w:val="none" w:sz="0" w:space="0" w:color="auto"/>
        <w:right w:val="none" w:sz="0" w:space="0" w:color="auto"/>
      </w:divBdr>
    </w:div>
    <w:div w:id="572668310">
      <w:bodyDiv w:val="1"/>
      <w:marLeft w:val="0"/>
      <w:marRight w:val="0"/>
      <w:marTop w:val="0"/>
      <w:marBottom w:val="0"/>
      <w:divBdr>
        <w:top w:val="none" w:sz="0" w:space="0" w:color="auto"/>
        <w:left w:val="none" w:sz="0" w:space="0" w:color="auto"/>
        <w:bottom w:val="none" w:sz="0" w:space="0" w:color="auto"/>
        <w:right w:val="none" w:sz="0" w:space="0" w:color="auto"/>
      </w:divBdr>
    </w:div>
    <w:div w:id="572669029">
      <w:bodyDiv w:val="1"/>
      <w:marLeft w:val="0"/>
      <w:marRight w:val="0"/>
      <w:marTop w:val="0"/>
      <w:marBottom w:val="0"/>
      <w:divBdr>
        <w:top w:val="none" w:sz="0" w:space="0" w:color="auto"/>
        <w:left w:val="none" w:sz="0" w:space="0" w:color="auto"/>
        <w:bottom w:val="none" w:sz="0" w:space="0" w:color="auto"/>
        <w:right w:val="none" w:sz="0" w:space="0" w:color="auto"/>
      </w:divBdr>
    </w:div>
    <w:div w:id="572740916">
      <w:bodyDiv w:val="1"/>
      <w:marLeft w:val="0"/>
      <w:marRight w:val="0"/>
      <w:marTop w:val="0"/>
      <w:marBottom w:val="0"/>
      <w:divBdr>
        <w:top w:val="none" w:sz="0" w:space="0" w:color="auto"/>
        <w:left w:val="none" w:sz="0" w:space="0" w:color="auto"/>
        <w:bottom w:val="none" w:sz="0" w:space="0" w:color="auto"/>
        <w:right w:val="none" w:sz="0" w:space="0" w:color="auto"/>
      </w:divBdr>
    </w:div>
    <w:div w:id="572855622">
      <w:bodyDiv w:val="1"/>
      <w:marLeft w:val="0"/>
      <w:marRight w:val="0"/>
      <w:marTop w:val="0"/>
      <w:marBottom w:val="0"/>
      <w:divBdr>
        <w:top w:val="none" w:sz="0" w:space="0" w:color="auto"/>
        <w:left w:val="none" w:sz="0" w:space="0" w:color="auto"/>
        <w:bottom w:val="none" w:sz="0" w:space="0" w:color="auto"/>
        <w:right w:val="none" w:sz="0" w:space="0" w:color="auto"/>
      </w:divBdr>
    </w:div>
    <w:div w:id="572855943">
      <w:bodyDiv w:val="1"/>
      <w:marLeft w:val="0"/>
      <w:marRight w:val="0"/>
      <w:marTop w:val="0"/>
      <w:marBottom w:val="0"/>
      <w:divBdr>
        <w:top w:val="none" w:sz="0" w:space="0" w:color="auto"/>
        <w:left w:val="none" w:sz="0" w:space="0" w:color="auto"/>
        <w:bottom w:val="none" w:sz="0" w:space="0" w:color="auto"/>
        <w:right w:val="none" w:sz="0" w:space="0" w:color="auto"/>
      </w:divBdr>
    </w:div>
    <w:div w:id="572933254">
      <w:bodyDiv w:val="1"/>
      <w:marLeft w:val="0"/>
      <w:marRight w:val="0"/>
      <w:marTop w:val="0"/>
      <w:marBottom w:val="0"/>
      <w:divBdr>
        <w:top w:val="none" w:sz="0" w:space="0" w:color="auto"/>
        <w:left w:val="none" w:sz="0" w:space="0" w:color="auto"/>
        <w:bottom w:val="none" w:sz="0" w:space="0" w:color="auto"/>
        <w:right w:val="none" w:sz="0" w:space="0" w:color="auto"/>
      </w:divBdr>
    </w:div>
    <w:div w:id="573008309">
      <w:bodyDiv w:val="1"/>
      <w:marLeft w:val="0"/>
      <w:marRight w:val="0"/>
      <w:marTop w:val="0"/>
      <w:marBottom w:val="0"/>
      <w:divBdr>
        <w:top w:val="none" w:sz="0" w:space="0" w:color="auto"/>
        <w:left w:val="none" w:sz="0" w:space="0" w:color="auto"/>
        <w:bottom w:val="none" w:sz="0" w:space="0" w:color="auto"/>
        <w:right w:val="none" w:sz="0" w:space="0" w:color="auto"/>
      </w:divBdr>
    </w:div>
    <w:div w:id="573055303">
      <w:bodyDiv w:val="1"/>
      <w:marLeft w:val="0"/>
      <w:marRight w:val="0"/>
      <w:marTop w:val="0"/>
      <w:marBottom w:val="0"/>
      <w:divBdr>
        <w:top w:val="none" w:sz="0" w:space="0" w:color="auto"/>
        <w:left w:val="none" w:sz="0" w:space="0" w:color="auto"/>
        <w:bottom w:val="none" w:sz="0" w:space="0" w:color="auto"/>
        <w:right w:val="none" w:sz="0" w:space="0" w:color="auto"/>
      </w:divBdr>
    </w:div>
    <w:div w:id="573126112">
      <w:bodyDiv w:val="1"/>
      <w:marLeft w:val="0"/>
      <w:marRight w:val="0"/>
      <w:marTop w:val="0"/>
      <w:marBottom w:val="0"/>
      <w:divBdr>
        <w:top w:val="none" w:sz="0" w:space="0" w:color="auto"/>
        <w:left w:val="none" w:sz="0" w:space="0" w:color="auto"/>
        <w:bottom w:val="none" w:sz="0" w:space="0" w:color="auto"/>
        <w:right w:val="none" w:sz="0" w:space="0" w:color="auto"/>
      </w:divBdr>
    </w:div>
    <w:div w:id="573202378">
      <w:bodyDiv w:val="1"/>
      <w:marLeft w:val="0"/>
      <w:marRight w:val="0"/>
      <w:marTop w:val="0"/>
      <w:marBottom w:val="0"/>
      <w:divBdr>
        <w:top w:val="none" w:sz="0" w:space="0" w:color="auto"/>
        <w:left w:val="none" w:sz="0" w:space="0" w:color="auto"/>
        <w:bottom w:val="none" w:sz="0" w:space="0" w:color="auto"/>
        <w:right w:val="none" w:sz="0" w:space="0" w:color="auto"/>
      </w:divBdr>
    </w:div>
    <w:div w:id="573315895">
      <w:bodyDiv w:val="1"/>
      <w:marLeft w:val="0"/>
      <w:marRight w:val="0"/>
      <w:marTop w:val="0"/>
      <w:marBottom w:val="0"/>
      <w:divBdr>
        <w:top w:val="none" w:sz="0" w:space="0" w:color="auto"/>
        <w:left w:val="none" w:sz="0" w:space="0" w:color="auto"/>
        <w:bottom w:val="none" w:sz="0" w:space="0" w:color="auto"/>
        <w:right w:val="none" w:sz="0" w:space="0" w:color="auto"/>
      </w:divBdr>
    </w:div>
    <w:div w:id="573393347">
      <w:bodyDiv w:val="1"/>
      <w:marLeft w:val="0"/>
      <w:marRight w:val="0"/>
      <w:marTop w:val="0"/>
      <w:marBottom w:val="0"/>
      <w:divBdr>
        <w:top w:val="none" w:sz="0" w:space="0" w:color="auto"/>
        <w:left w:val="none" w:sz="0" w:space="0" w:color="auto"/>
        <w:bottom w:val="none" w:sz="0" w:space="0" w:color="auto"/>
        <w:right w:val="none" w:sz="0" w:space="0" w:color="auto"/>
      </w:divBdr>
    </w:div>
    <w:div w:id="573470285">
      <w:bodyDiv w:val="1"/>
      <w:marLeft w:val="0"/>
      <w:marRight w:val="0"/>
      <w:marTop w:val="0"/>
      <w:marBottom w:val="0"/>
      <w:divBdr>
        <w:top w:val="none" w:sz="0" w:space="0" w:color="auto"/>
        <w:left w:val="none" w:sz="0" w:space="0" w:color="auto"/>
        <w:bottom w:val="none" w:sz="0" w:space="0" w:color="auto"/>
        <w:right w:val="none" w:sz="0" w:space="0" w:color="auto"/>
      </w:divBdr>
    </w:div>
    <w:div w:id="573471950">
      <w:bodyDiv w:val="1"/>
      <w:marLeft w:val="0"/>
      <w:marRight w:val="0"/>
      <w:marTop w:val="0"/>
      <w:marBottom w:val="0"/>
      <w:divBdr>
        <w:top w:val="none" w:sz="0" w:space="0" w:color="auto"/>
        <w:left w:val="none" w:sz="0" w:space="0" w:color="auto"/>
        <w:bottom w:val="none" w:sz="0" w:space="0" w:color="auto"/>
        <w:right w:val="none" w:sz="0" w:space="0" w:color="auto"/>
      </w:divBdr>
    </w:div>
    <w:div w:id="573593131">
      <w:bodyDiv w:val="1"/>
      <w:marLeft w:val="0"/>
      <w:marRight w:val="0"/>
      <w:marTop w:val="0"/>
      <w:marBottom w:val="0"/>
      <w:divBdr>
        <w:top w:val="none" w:sz="0" w:space="0" w:color="auto"/>
        <w:left w:val="none" w:sz="0" w:space="0" w:color="auto"/>
        <w:bottom w:val="none" w:sz="0" w:space="0" w:color="auto"/>
        <w:right w:val="none" w:sz="0" w:space="0" w:color="auto"/>
      </w:divBdr>
    </w:div>
    <w:div w:id="573782485">
      <w:bodyDiv w:val="1"/>
      <w:marLeft w:val="0"/>
      <w:marRight w:val="0"/>
      <w:marTop w:val="0"/>
      <w:marBottom w:val="0"/>
      <w:divBdr>
        <w:top w:val="none" w:sz="0" w:space="0" w:color="auto"/>
        <w:left w:val="none" w:sz="0" w:space="0" w:color="auto"/>
        <w:bottom w:val="none" w:sz="0" w:space="0" w:color="auto"/>
        <w:right w:val="none" w:sz="0" w:space="0" w:color="auto"/>
      </w:divBdr>
    </w:div>
    <w:div w:id="573900119">
      <w:bodyDiv w:val="1"/>
      <w:marLeft w:val="0"/>
      <w:marRight w:val="0"/>
      <w:marTop w:val="0"/>
      <w:marBottom w:val="0"/>
      <w:divBdr>
        <w:top w:val="none" w:sz="0" w:space="0" w:color="auto"/>
        <w:left w:val="none" w:sz="0" w:space="0" w:color="auto"/>
        <w:bottom w:val="none" w:sz="0" w:space="0" w:color="auto"/>
        <w:right w:val="none" w:sz="0" w:space="0" w:color="auto"/>
      </w:divBdr>
    </w:div>
    <w:div w:id="573930707">
      <w:bodyDiv w:val="1"/>
      <w:marLeft w:val="0"/>
      <w:marRight w:val="0"/>
      <w:marTop w:val="0"/>
      <w:marBottom w:val="0"/>
      <w:divBdr>
        <w:top w:val="none" w:sz="0" w:space="0" w:color="auto"/>
        <w:left w:val="none" w:sz="0" w:space="0" w:color="auto"/>
        <w:bottom w:val="none" w:sz="0" w:space="0" w:color="auto"/>
        <w:right w:val="none" w:sz="0" w:space="0" w:color="auto"/>
      </w:divBdr>
    </w:div>
    <w:div w:id="573971076">
      <w:bodyDiv w:val="1"/>
      <w:marLeft w:val="0"/>
      <w:marRight w:val="0"/>
      <w:marTop w:val="0"/>
      <w:marBottom w:val="0"/>
      <w:divBdr>
        <w:top w:val="none" w:sz="0" w:space="0" w:color="auto"/>
        <w:left w:val="none" w:sz="0" w:space="0" w:color="auto"/>
        <w:bottom w:val="none" w:sz="0" w:space="0" w:color="auto"/>
        <w:right w:val="none" w:sz="0" w:space="0" w:color="auto"/>
      </w:divBdr>
    </w:div>
    <w:div w:id="573974166">
      <w:bodyDiv w:val="1"/>
      <w:marLeft w:val="0"/>
      <w:marRight w:val="0"/>
      <w:marTop w:val="0"/>
      <w:marBottom w:val="0"/>
      <w:divBdr>
        <w:top w:val="none" w:sz="0" w:space="0" w:color="auto"/>
        <w:left w:val="none" w:sz="0" w:space="0" w:color="auto"/>
        <w:bottom w:val="none" w:sz="0" w:space="0" w:color="auto"/>
        <w:right w:val="none" w:sz="0" w:space="0" w:color="auto"/>
      </w:divBdr>
    </w:div>
    <w:div w:id="574121452">
      <w:bodyDiv w:val="1"/>
      <w:marLeft w:val="0"/>
      <w:marRight w:val="0"/>
      <w:marTop w:val="0"/>
      <w:marBottom w:val="0"/>
      <w:divBdr>
        <w:top w:val="none" w:sz="0" w:space="0" w:color="auto"/>
        <w:left w:val="none" w:sz="0" w:space="0" w:color="auto"/>
        <w:bottom w:val="none" w:sz="0" w:space="0" w:color="auto"/>
        <w:right w:val="none" w:sz="0" w:space="0" w:color="auto"/>
      </w:divBdr>
    </w:div>
    <w:div w:id="574167544">
      <w:bodyDiv w:val="1"/>
      <w:marLeft w:val="0"/>
      <w:marRight w:val="0"/>
      <w:marTop w:val="0"/>
      <w:marBottom w:val="0"/>
      <w:divBdr>
        <w:top w:val="none" w:sz="0" w:space="0" w:color="auto"/>
        <w:left w:val="none" w:sz="0" w:space="0" w:color="auto"/>
        <w:bottom w:val="none" w:sz="0" w:space="0" w:color="auto"/>
        <w:right w:val="none" w:sz="0" w:space="0" w:color="auto"/>
      </w:divBdr>
    </w:div>
    <w:div w:id="574169541">
      <w:bodyDiv w:val="1"/>
      <w:marLeft w:val="0"/>
      <w:marRight w:val="0"/>
      <w:marTop w:val="0"/>
      <w:marBottom w:val="0"/>
      <w:divBdr>
        <w:top w:val="none" w:sz="0" w:space="0" w:color="auto"/>
        <w:left w:val="none" w:sz="0" w:space="0" w:color="auto"/>
        <w:bottom w:val="none" w:sz="0" w:space="0" w:color="auto"/>
        <w:right w:val="none" w:sz="0" w:space="0" w:color="auto"/>
      </w:divBdr>
    </w:div>
    <w:div w:id="574241451">
      <w:bodyDiv w:val="1"/>
      <w:marLeft w:val="0"/>
      <w:marRight w:val="0"/>
      <w:marTop w:val="0"/>
      <w:marBottom w:val="0"/>
      <w:divBdr>
        <w:top w:val="none" w:sz="0" w:space="0" w:color="auto"/>
        <w:left w:val="none" w:sz="0" w:space="0" w:color="auto"/>
        <w:bottom w:val="none" w:sz="0" w:space="0" w:color="auto"/>
        <w:right w:val="none" w:sz="0" w:space="0" w:color="auto"/>
      </w:divBdr>
    </w:div>
    <w:div w:id="574241844">
      <w:bodyDiv w:val="1"/>
      <w:marLeft w:val="0"/>
      <w:marRight w:val="0"/>
      <w:marTop w:val="0"/>
      <w:marBottom w:val="0"/>
      <w:divBdr>
        <w:top w:val="none" w:sz="0" w:space="0" w:color="auto"/>
        <w:left w:val="none" w:sz="0" w:space="0" w:color="auto"/>
        <w:bottom w:val="none" w:sz="0" w:space="0" w:color="auto"/>
        <w:right w:val="none" w:sz="0" w:space="0" w:color="auto"/>
      </w:divBdr>
    </w:div>
    <w:div w:id="574365435">
      <w:bodyDiv w:val="1"/>
      <w:marLeft w:val="0"/>
      <w:marRight w:val="0"/>
      <w:marTop w:val="0"/>
      <w:marBottom w:val="0"/>
      <w:divBdr>
        <w:top w:val="none" w:sz="0" w:space="0" w:color="auto"/>
        <w:left w:val="none" w:sz="0" w:space="0" w:color="auto"/>
        <w:bottom w:val="none" w:sz="0" w:space="0" w:color="auto"/>
        <w:right w:val="none" w:sz="0" w:space="0" w:color="auto"/>
      </w:divBdr>
    </w:div>
    <w:div w:id="574366497">
      <w:bodyDiv w:val="1"/>
      <w:marLeft w:val="0"/>
      <w:marRight w:val="0"/>
      <w:marTop w:val="0"/>
      <w:marBottom w:val="0"/>
      <w:divBdr>
        <w:top w:val="none" w:sz="0" w:space="0" w:color="auto"/>
        <w:left w:val="none" w:sz="0" w:space="0" w:color="auto"/>
        <w:bottom w:val="none" w:sz="0" w:space="0" w:color="auto"/>
        <w:right w:val="none" w:sz="0" w:space="0" w:color="auto"/>
      </w:divBdr>
    </w:div>
    <w:div w:id="574441153">
      <w:bodyDiv w:val="1"/>
      <w:marLeft w:val="0"/>
      <w:marRight w:val="0"/>
      <w:marTop w:val="0"/>
      <w:marBottom w:val="0"/>
      <w:divBdr>
        <w:top w:val="none" w:sz="0" w:space="0" w:color="auto"/>
        <w:left w:val="none" w:sz="0" w:space="0" w:color="auto"/>
        <w:bottom w:val="none" w:sz="0" w:space="0" w:color="auto"/>
        <w:right w:val="none" w:sz="0" w:space="0" w:color="auto"/>
      </w:divBdr>
    </w:div>
    <w:div w:id="574585742">
      <w:bodyDiv w:val="1"/>
      <w:marLeft w:val="0"/>
      <w:marRight w:val="0"/>
      <w:marTop w:val="0"/>
      <w:marBottom w:val="0"/>
      <w:divBdr>
        <w:top w:val="none" w:sz="0" w:space="0" w:color="auto"/>
        <w:left w:val="none" w:sz="0" w:space="0" w:color="auto"/>
        <w:bottom w:val="none" w:sz="0" w:space="0" w:color="auto"/>
        <w:right w:val="none" w:sz="0" w:space="0" w:color="auto"/>
      </w:divBdr>
    </w:div>
    <w:div w:id="574627138">
      <w:bodyDiv w:val="1"/>
      <w:marLeft w:val="0"/>
      <w:marRight w:val="0"/>
      <w:marTop w:val="0"/>
      <w:marBottom w:val="0"/>
      <w:divBdr>
        <w:top w:val="none" w:sz="0" w:space="0" w:color="auto"/>
        <w:left w:val="none" w:sz="0" w:space="0" w:color="auto"/>
        <w:bottom w:val="none" w:sz="0" w:space="0" w:color="auto"/>
        <w:right w:val="none" w:sz="0" w:space="0" w:color="auto"/>
      </w:divBdr>
    </w:div>
    <w:div w:id="574780846">
      <w:bodyDiv w:val="1"/>
      <w:marLeft w:val="0"/>
      <w:marRight w:val="0"/>
      <w:marTop w:val="0"/>
      <w:marBottom w:val="0"/>
      <w:divBdr>
        <w:top w:val="none" w:sz="0" w:space="0" w:color="auto"/>
        <w:left w:val="none" w:sz="0" w:space="0" w:color="auto"/>
        <w:bottom w:val="none" w:sz="0" w:space="0" w:color="auto"/>
        <w:right w:val="none" w:sz="0" w:space="0" w:color="auto"/>
      </w:divBdr>
    </w:div>
    <w:div w:id="574819895">
      <w:bodyDiv w:val="1"/>
      <w:marLeft w:val="0"/>
      <w:marRight w:val="0"/>
      <w:marTop w:val="0"/>
      <w:marBottom w:val="0"/>
      <w:divBdr>
        <w:top w:val="none" w:sz="0" w:space="0" w:color="auto"/>
        <w:left w:val="none" w:sz="0" w:space="0" w:color="auto"/>
        <w:bottom w:val="none" w:sz="0" w:space="0" w:color="auto"/>
        <w:right w:val="none" w:sz="0" w:space="0" w:color="auto"/>
      </w:divBdr>
    </w:div>
    <w:div w:id="574894210">
      <w:bodyDiv w:val="1"/>
      <w:marLeft w:val="0"/>
      <w:marRight w:val="0"/>
      <w:marTop w:val="0"/>
      <w:marBottom w:val="0"/>
      <w:divBdr>
        <w:top w:val="none" w:sz="0" w:space="0" w:color="auto"/>
        <w:left w:val="none" w:sz="0" w:space="0" w:color="auto"/>
        <w:bottom w:val="none" w:sz="0" w:space="0" w:color="auto"/>
        <w:right w:val="none" w:sz="0" w:space="0" w:color="auto"/>
      </w:divBdr>
    </w:div>
    <w:div w:id="574902851">
      <w:bodyDiv w:val="1"/>
      <w:marLeft w:val="0"/>
      <w:marRight w:val="0"/>
      <w:marTop w:val="0"/>
      <w:marBottom w:val="0"/>
      <w:divBdr>
        <w:top w:val="none" w:sz="0" w:space="0" w:color="auto"/>
        <w:left w:val="none" w:sz="0" w:space="0" w:color="auto"/>
        <w:bottom w:val="none" w:sz="0" w:space="0" w:color="auto"/>
        <w:right w:val="none" w:sz="0" w:space="0" w:color="auto"/>
      </w:divBdr>
    </w:div>
    <w:div w:id="574970528">
      <w:bodyDiv w:val="1"/>
      <w:marLeft w:val="0"/>
      <w:marRight w:val="0"/>
      <w:marTop w:val="0"/>
      <w:marBottom w:val="0"/>
      <w:divBdr>
        <w:top w:val="none" w:sz="0" w:space="0" w:color="auto"/>
        <w:left w:val="none" w:sz="0" w:space="0" w:color="auto"/>
        <w:bottom w:val="none" w:sz="0" w:space="0" w:color="auto"/>
        <w:right w:val="none" w:sz="0" w:space="0" w:color="auto"/>
      </w:divBdr>
    </w:div>
    <w:div w:id="575093764">
      <w:bodyDiv w:val="1"/>
      <w:marLeft w:val="0"/>
      <w:marRight w:val="0"/>
      <w:marTop w:val="0"/>
      <w:marBottom w:val="0"/>
      <w:divBdr>
        <w:top w:val="none" w:sz="0" w:space="0" w:color="auto"/>
        <w:left w:val="none" w:sz="0" w:space="0" w:color="auto"/>
        <w:bottom w:val="none" w:sz="0" w:space="0" w:color="auto"/>
        <w:right w:val="none" w:sz="0" w:space="0" w:color="auto"/>
      </w:divBdr>
    </w:div>
    <w:div w:id="575163741">
      <w:bodyDiv w:val="1"/>
      <w:marLeft w:val="0"/>
      <w:marRight w:val="0"/>
      <w:marTop w:val="0"/>
      <w:marBottom w:val="0"/>
      <w:divBdr>
        <w:top w:val="none" w:sz="0" w:space="0" w:color="auto"/>
        <w:left w:val="none" w:sz="0" w:space="0" w:color="auto"/>
        <w:bottom w:val="none" w:sz="0" w:space="0" w:color="auto"/>
        <w:right w:val="none" w:sz="0" w:space="0" w:color="auto"/>
      </w:divBdr>
    </w:div>
    <w:div w:id="575167922">
      <w:bodyDiv w:val="1"/>
      <w:marLeft w:val="0"/>
      <w:marRight w:val="0"/>
      <w:marTop w:val="0"/>
      <w:marBottom w:val="0"/>
      <w:divBdr>
        <w:top w:val="none" w:sz="0" w:space="0" w:color="auto"/>
        <w:left w:val="none" w:sz="0" w:space="0" w:color="auto"/>
        <w:bottom w:val="none" w:sz="0" w:space="0" w:color="auto"/>
        <w:right w:val="none" w:sz="0" w:space="0" w:color="auto"/>
      </w:divBdr>
    </w:div>
    <w:div w:id="575213978">
      <w:bodyDiv w:val="1"/>
      <w:marLeft w:val="0"/>
      <w:marRight w:val="0"/>
      <w:marTop w:val="0"/>
      <w:marBottom w:val="0"/>
      <w:divBdr>
        <w:top w:val="none" w:sz="0" w:space="0" w:color="auto"/>
        <w:left w:val="none" w:sz="0" w:space="0" w:color="auto"/>
        <w:bottom w:val="none" w:sz="0" w:space="0" w:color="auto"/>
        <w:right w:val="none" w:sz="0" w:space="0" w:color="auto"/>
      </w:divBdr>
    </w:div>
    <w:div w:id="575288788">
      <w:bodyDiv w:val="1"/>
      <w:marLeft w:val="0"/>
      <w:marRight w:val="0"/>
      <w:marTop w:val="0"/>
      <w:marBottom w:val="0"/>
      <w:divBdr>
        <w:top w:val="none" w:sz="0" w:space="0" w:color="auto"/>
        <w:left w:val="none" w:sz="0" w:space="0" w:color="auto"/>
        <w:bottom w:val="none" w:sz="0" w:space="0" w:color="auto"/>
        <w:right w:val="none" w:sz="0" w:space="0" w:color="auto"/>
      </w:divBdr>
    </w:div>
    <w:div w:id="575432866">
      <w:bodyDiv w:val="1"/>
      <w:marLeft w:val="0"/>
      <w:marRight w:val="0"/>
      <w:marTop w:val="0"/>
      <w:marBottom w:val="0"/>
      <w:divBdr>
        <w:top w:val="none" w:sz="0" w:space="0" w:color="auto"/>
        <w:left w:val="none" w:sz="0" w:space="0" w:color="auto"/>
        <w:bottom w:val="none" w:sz="0" w:space="0" w:color="auto"/>
        <w:right w:val="none" w:sz="0" w:space="0" w:color="auto"/>
      </w:divBdr>
    </w:div>
    <w:div w:id="575553816">
      <w:bodyDiv w:val="1"/>
      <w:marLeft w:val="0"/>
      <w:marRight w:val="0"/>
      <w:marTop w:val="0"/>
      <w:marBottom w:val="0"/>
      <w:divBdr>
        <w:top w:val="none" w:sz="0" w:space="0" w:color="auto"/>
        <w:left w:val="none" w:sz="0" w:space="0" w:color="auto"/>
        <w:bottom w:val="none" w:sz="0" w:space="0" w:color="auto"/>
        <w:right w:val="none" w:sz="0" w:space="0" w:color="auto"/>
      </w:divBdr>
    </w:div>
    <w:div w:id="575628175">
      <w:bodyDiv w:val="1"/>
      <w:marLeft w:val="0"/>
      <w:marRight w:val="0"/>
      <w:marTop w:val="0"/>
      <w:marBottom w:val="0"/>
      <w:divBdr>
        <w:top w:val="none" w:sz="0" w:space="0" w:color="auto"/>
        <w:left w:val="none" w:sz="0" w:space="0" w:color="auto"/>
        <w:bottom w:val="none" w:sz="0" w:space="0" w:color="auto"/>
        <w:right w:val="none" w:sz="0" w:space="0" w:color="auto"/>
      </w:divBdr>
    </w:div>
    <w:div w:id="575629320">
      <w:bodyDiv w:val="1"/>
      <w:marLeft w:val="0"/>
      <w:marRight w:val="0"/>
      <w:marTop w:val="0"/>
      <w:marBottom w:val="0"/>
      <w:divBdr>
        <w:top w:val="none" w:sz="0" w:space="0" w:color="auto"/>
        <w:left w:val="none" w:sz="0" w:space="0" w:color="auto"/>
        <w:bottom w:val="none" w:sz="0" w:space="0" w:color="auto"/>
        <w:right w:val="none" w:sz="0" w:space="0" w:color="auto"/>
      </w:divBdr>
    </w:div>
    <w:div w:id="575630257">
      <w:bodyDiv w:val="1"/>
      <w:marLeft w:val="0"/>
      <w:marRight w:val="0"/>
      <w:marTop w:val="0"/>
      <w:marBottom w:val="0"/>
      <w:divBdr>
        <w:top w:val="none" w:sz="0" w:space="0" w:color="auto"/>
        <w:left w:val="none" w:sz="0" w:space="0" w:color="auto"/>
        <w:bottom w:val="none" w:sz="0" w:space="0" w:color="auto"/>
        <w:right w:val="none" w:sz="0" w:space="0" w:color="auto"/>
      </w:divBdr>
    </w:div>
    <w:div w:id="575631269">
      <w:bodyDiv w:val="1"/>
      <w:marLeft w:val="0"/>
      <w:marRight w:val="0"/>
      <w:marTop w:val="0"/>
      <w:marBottom w:val="0"/>
      <w:divBdr>
        <w:top w:val="none" w:sz="0" w:space="0" w:color="auto"/>
        <w:left w:val="none" w:sz="0" w:space="0" w:color="auto"/>
        <w:bottom w:val="none" w:sz="0" w:space="0" w:color="auto"/>
        <w:right w:val="none" w:sz="0" w:space="0" w:color="auto"/>
      </w:divBdr>
    </w:div>
    <w:div w:id="575673277">
      <w:bodyDiv w:val="1"/>
      <w:marLeft w:val="0"/>
      <w:marRight w:val="0"/>
      <w:marTop w:val="0"/>
      <w:marBottom w:val="0"/>
      <w:divBdr>
        <w:top w:val="none" w:sz="0" w:space="0" w:color="auto"/>
        <w:left w:val="none" w:sz="0" w:space="0" w:color="auto"/>
        <w:bottom w:val="none" w:sz="0" w:space="0" w:color="auto"/>
        <w:right w:val="none" w:sz="0" w:space="0" w:color="auto"/>
      </w:divBdr>
    </w:div>
    <w:div w:id="575675999">
      <w:bodyDiv w:val="1"/>
      <w:marLeft w:val="0"/>
      <w:marRight w:val="0"/>
      <w:marTop w:val="0"/>
      <w:marBottom w:val="0"/>
      <w:divBdr>
        <w:top w:val="none" w:sz="0" w:space="0" w:color="auto"/>
        <w:left w:val="none" w:sz="0" w:space="0" w:color="auto"/>
        <w:bottom w:val="none" w:sz="0" w:space="0" w:color="auto"/>
        <w:right w:val="none" w:sz="0" w:space="0" w:color="auto"/>
      </w:divBdr>
    </w:div>
    <w:div w:id="575752105">
      <w:bodyDiv w:val="1"/>
      <w:marLeft w:val="0"/>
      <w:marRight w:val="0"/>
      <w:marTop w:val="0"/>
      <w:marBottom w:val="0"/>
      <w:divBdr>
        <w:top w:val="none" w:sz="0" w:space="0" w:color="auto"/>
        <w:left w:val="none" w:sz="0" w:space="0" w:color="auto"/>
        <w:bottom w:val="none" w:sz="0" w:space="0" w:color="auto"/>
        <w:right w:val="none" w:sz="0" w:space="0" w:color="auto"/>
      </w:divBdr>
    </w:div>
    <w:div w:id="575867123">
      <w:bodyDiv w:val="1"/>
      <w:marLeft w:val="0"/>
      <w:marRight w:val="0"/>
      <w:marTop w:val="0"/>
      <w:marBottom w:val="0"/>
      <w:divBdr>
        <w:top w:val="none" w:sz="0" w:space="0" w:color="auto"/>
        <w:left w:val="none" w:sz="0" w:space="0" w:color="auto"/>
        <w:bottom w:val="none" w:sz="0" w:space="0" w:color="auto"/>
        <w:right w:val="none" w:sz="0" w:space="0" w:color="auto"/>
      </w:divBdr>
    </w:div>
    <w:div w:id="576015110">
      <w:bodyDiv w:val="1"/>
      <w:marLeft w:val="0"/>
      <w:marRight w:val="0"/>
      <w:marTop w:val="0"/>
      <w:marBottom w:val="0"/>
      <w:divBdr>
        <w:top w:val="none" w:sz="0" w:space="0" w:color="auto"/>
        <w:left w:val="none" w:sz="0" w:space="0" w:color="auto"/>
        <w:bottom w:val="none" w:sz="0" w:space="0" w:color="auto"/>
        <w:right w:val="none" w:sz="0" w:space="0" w:color="auto"/>
      </w:divBdr>
    </w:div>
    <w:div w:id="576138191">
      <w:bodyDiv w:val="1"/>
      <w:marLeft w:val="0"/>
      <w:marRight w:val="0"/>
      <w:marTop w:val="0"/>
      <w:marBottom w:val="0"/>
      <w:divBdr>
        <w:top w:val="none" w:sz="0" w:space="0" w:color="auto"/>
        <w:left w:val="none" w:sz="0" w:space="0" w:color="auto"/>
        <w:bottom w:val="none" w:sz="0" w:space="0" w:color="auto"/>
        <w:right w:val="none" w:sz="0" w:space="0" w:color="auto"/>
      </w:divBdr>
    </w:div>
    <w:div w:id="576205549">
      <w:bodyDiv w:val="1"/>
      <w:marLeft w:val="0"/>
      <w:marRight w:val="0"/>
      <w:marTop w:val="0"/>
      <w:marBottom w:val="0"/>
      <w:divBdr>
        <w:top w:val="none" w:sz="0" w:space="0" w:color="auto"/>
        <w:left w:val="none" w:sz="0" w:space="0" w:color="auto"/>
        <w:bottom w:val="none" w:sz="0" w:space="0" w:color="auto"/>
        <w:right w:val="none" w:sz="0" w:space="0" w:color="auto"/>
      </w:divBdr>
    </w:div>
    <w:div w:id="576208554">
      <w:bodyDiv w:val="1"/>
      <w:marLeft w:val="0"/>
      <w:marRight w:val="0"/>
      <w:marTop w:val="0"/>
      <w:marBottom w:val="0"/>
      <w:divBdr>
        <w:top w:val="none" w:sz="0" w:space="0" w:color="auto"/>
        <w:left w:val="none" w:sz="0" w:space="0" w:color="auto"/>
        <w:bottom w:val="none" w:sz="0" w:space="0" w:color="auto"/>
        <w:right w:val="none" w:sz="0" w:space="0" w:color="auto"/>
      </w:divBdr>
    </w:div>
    <w:div w:id="576282139">
      <w:bodyDiv w:val="1"/>
      <w:marLeft w:val="0"/>
      <w:marRight w:val="0"/>
      <w:marTop w:val="0"/>
      <w:marBottom w:val="0"/>
      <w:divBdr>
        <w:top w:val="none" w:sz="0" w:space="0" w:color="auto"/>
        <w:left w:val="none" w:sz="0" w:space="0" w:color="auto"/>
        <w:bottom w:val="none" w:sz="0" w:space="0" w:color="auto"/>
        <w:right w:val="none" w:sz="0" w:space="0" w:color="auto"/>
      </w:divBdr>
    </w:div>
    <w:div w:id="576327968">
      <w:bodyDiv w:val="1"/>
      <w:marLeft w:val="0"/>
      <w:marRight w:val="0"/>
      <w:marTop w:val="0"/>
      <w:marBottom w:val="0"/>
      <w:divBdr>
        <w:top w:val="none" w:sz="0" w:space="0" w:color="auto"/>
        <w:left w:val="none" w:sz="0" w:space="0" w:color="auto"/>
        <w:bottom w:val="none" w:sz="0" w:space="0" w:color="auto"/>
        <w:right w:val="none" w:sz="0" w:space="0" w:color="auto"/>
      </w:divBdr>
    </w:div>
    <w:div w:id="576329656">
      <w:bodyDiv w:val="1"/>
      <w:marLeft w:val="0"/>
      <w:marRight w:val="0"/>
      <w:marTop w:val="0"/>
      <w:marBottom w:val="0"/>
      <w:divBdr>
        <w:top w:val="none" w:sz="0" w:space="0" w:color="auto"/>
        <w:left w:val="none" w:sz="0" w:space="0" w:color="auto"/>
        <w:bottom w:val="none" w:sz="0" w:space="0" w:color="auto"/>
        <w:right w:val="none" w:sz="0" w:space="0" w:color="auto"/>
      </w:divBdr>
    </w:div>
    <w:div w:id="576403350">
      <w:bodyDiv w:val="1"/>
      <w:marLeft w:val="0"/>
      <w:marRight w:val="0"/>
      <w:marTop w:val="0"/>
      <w:marBottom w:val="0"/>
      <w:divBdr>
        <w:top w:val="none" w:sz="0" w:space="0" w:color="auto"/>
        <w:left w:val="none" w:sz="0" w:space="0" w:color="auto"/>
        <w:bottom w:val="none" w:sz="0" w:space="0" w:color="auto"/>
        <w:right w:val="none" w:sz="0" w:space="0" w:color="auto"/>
      </w:divBdr>
    </w:div>
    <w:div w:id="576478731">
      <w:bodyDiv w:val="1"/>
      <w:marLeft w:val="0"/>
      <w:marRight w:val="0"/>
      <w:marTop w:val="0"/>
      <w:marBottom w:val="0"/>
      <w:divBdr>
        <w:top w:val="none" w:sz="0" w:space="0" w:color="auto"/>
        <w:left w:val="none" w:sz="0" w:space="0" w:color="auto"/>
        <w:bottom w:val="none" w:sz="0" w:space="0" w:color="auto"/>
        <w:right w:val="none" w:sz="0" w:space="0" w:color="auto"/>
      </w:divBdr>
    </w:div>
    <w:div w:id="576482647">
      <w:bodyDiv w:val="1"/>
      <w:marLeft w:val="0"/>
      <w:marRight w:val="0"/>
      <w:marTop w:val="0"/>
      <w:marBottom w:val="0"/>
      <w:divBdr>
        <w:top w:val="none" w:sz="0" w:space="0" w:color="auto"/>
        <w:left w:val="none" w:sz="0" w:space="0" w:color="auto"/>
        <w:bottom w:val="none" w:sz="0" w:space="0" w:color="auto"/>
        <w:right w:val="none" w:sz="0" w:space="0" w:color="auto"/>
      </w:divBdr>
    </w:div>
    <w:div w:id="576522835">
      <w:bodyDiv w:val="1"/>
      <w:marLeft w:val="0"/>
      <w:marRight w:val="0"/>
      <w:marTop w:val="0"/>
      <w:marBottom w:val="0"/>
      <w:divBdr>
        <w:top w:val="none" w:sz="0" w:space="0" w:color="auto"/>
        <w:left w:val="none" w:sz="0" w:space="0" w:color="auto"/>
        <w:bottom w:val="none" w:sz="0" w:space="0" w:color="auto"/>
        <w:right w:val="none" w:sz="0" w:space="0" w:color="auto"/>
      </w:divBdr>
    </w:div>
    <w:div w:id="576597438">
      <w:bodyDiv w:val="1"/>
      <w:marLeft w:val="0"/>
      <w:marRight w:val="0"/>
      <w:marTop w:val="0"/>
      <w:marBottom w:val="0"/>
      <w:divBdr>
        <w:top w:val="none" w:sz="0" w:space="0" w:color="auto"/>
        <w:left w:val="none" w:sz="0" w:space="0" w:color="auto"/>
        <w:bottom w:val="none" w:sz="0" w:space="0" w:color="auto"/>
        <w:right w:val="none" w:sz="0" w:space="0" w:color="auto"/>
      </w:divBdr>
    </w:div>
    <w:div w:id="576667339">
      <w:bodyDiv w:val="1"/>
      <w:marLeft w:val="0"/>
      <w:marRight w:val="0"/>
      <w:marTop w:val="0"/>
      <w:marBottom w:val="0"/>
      <w:divBdr>
        <w:top w:val="none" w:sz="0" w:space="0" w:color="auto"/>
        <w:left w:val="none" w:sz="0" w:space="0" w:color="auto"/>
        <w:bottom w:val="none" w:sz="0" w:space="0" w:color="auto"/>
        <w:right w:val="none" w:sz="0" w:space="0" w:color="auto"/>
      </w:divBdr>
    </w:div>
    <w:div w:id="576792427">
      <w:bodyDiv w:val="1"/>
      <w:marLeft w:val="0"/>
      <w:marRight w:val="0"/>
      <w:marTop w:val="0"/>
      <w:marBottom w:val="0"/>
      <w:divBdr>
        <w:top w:val="none" w:sz="0" w:space="0" w:color="auto"/>
        <w:left w:val="none" w:sz="0" w:space="0" w:color="auto"/>
        <w:bottom w:val="none" w:sz="0" w:space="0" w:color="auto"/>
        <w:right w:val="none" w:sz="0" w:space="0" w:color="auto"/>
      </w:divBdr>
    </w:div>
    <w:div w:id="576863406">
      <w:bodyDiv w:val="1"/>
      <w:marLeft w:val="0"/>
      <w:marRight w:val="0"/>
      <w:marTop w:val="0"/>
      <w:marBottom w:val="0"/>
      <w:divBdr>
        <w:top w:val="none" w:sz="0" w:space="0" w:color="auto"/>
        <w:left w:val="none" w:sz="0" w:space="0" w:color="auto"/>
        <w:bottom w:val="none" w:sz="0" w:space="0" w:color="auto"/>
        <w:right w:val="none" w:sz="0" w:space="0" w:color="auto"/>
      </w:divBdr>
    </w:div>
    <w:div w:id="576868041">
      <w:bodyDiv w:val="1"/>
      <w:marLeft w:val="0"/>
      <w:marRight w:val="0"/>
      <w:marTop w:val="0"/>
      <w:marBottom w:val="0"/>
      <w:divBdr>
        <w:top w:val="none" w:sz="0" w:space="0" w:color="auto"/>
        <w:left w:val="none" w:sz="0" w:space="0" w:color="auto"/>
        <w:bottom w:val="none" w:sz="0" w:space="0" w:color="auto"/>
        <w:right w:val="none" w:sz="0" w:space="0" w:color="auto"/>
      </w:divBdr>
    </w:div>
    <w:div w:id="576985068">
      <w:bodyDiv w:val="1"/>
      <w:marLeft w:val="0"/>
      <w:marRight w:val="0"/>
      <w:marTop w:val="0"/>
      <w:marBottom w:val="0"/>
      <w:divBdr>
        <w:top w:val="none" w:sz="0" w:space="0" w:color="auto"/>
        <w:left w:val="none" w:sz="0" w:space="0" w:color="auto"/>
        <w:bottom w:val="none" w:sz="0" w:space="0" w:color="auto"/>
        <w:right w:val="none" w:sz="0" w:space="0" w:color="auto"/>
      </w:divBdr>
    </w:div>
    <w:div w:id="577010882">
      <w:bodyDiv w:val="1"/>
      <w:marLeft w:val="0"/>
      <w:marRight w:val="0"/>
      <w:marTop w:val="0"/>
      <w:marBottom w:val="0"/>
      <w:divBdr>
        <w:top w:val="none" w:sz="0" w:space="0" w:color="auto"/>
        <w:left w:val="none" w:sz="0" w:space="0" w:color="auto"/>
        <w:bottom w:val="none" w:sz="0" w:space="0" w:color="auto"/>
        <w:right w:val="none" w:sz="0" w:space="0" w:color="auto"/>
      </w:divBdr>
    </w:div>
    <w:div w:id="577058608">
      <w:bodyDiv w:val="1"/>
      <w:marLeft w:val="0"/>
      <w:marRight w:val="0"/>
      <w:marTop w:val="0"/>
      <w:marBottom w:val="0"/>
      <w:divBdr>
        <w:top w:val="none" w:sz="0" w:space="0" w:color="auto"/>
        <w:left w:val="none" w:sz="0" w:space="0" w:color="auto"/>
        <w:bottom w:val="none" w:sz="0" w:space="0" w:color="auto"/>
        <w:right w:val="none" w:sz="0" w:space="0" w:color="auto"/>
      </w:divBdr>
    </w:div>
    <w:div w:id="577180020">
      <w:bodyDiv w:val="1"/>
      <w:marLeft w:val="0"/>
      <w:marRight w:val="0"/>
      <w:marTop w:val="0"/>
      <w:marBottom w:val="0"/>
      <w:divBdr>
        <w:top w:val="none" w:sz="0" w:space="0" w:color="auto"/>
        <w:left w:val="none" w:sz="0" w:space="0" w:color="auto"/>
        <w:bottom w:val="none" w:sz="0" w:space="0" w:color="auto"/>
        <w:right w:val="none" w:sz="0" w:space="0" w:color="auto"/>
      </w:divBdr>
    </w:div>
    <w:div w:id="577250210">
      <w:bodyDiv w:val="1"/>
      <w:marLeft w:val="0"/>
      <w:marRight w:val="0"/>
      <w:marTop w:val="0"/>
      <w:marBottom w:val="0"/>
      <w:divBdr>
        <w:top w:val="none" w:sz="0" w:space="0" w:color="auto"/>
        <w:left w:val="none" w:sz="0" w:space="0" w:color="auto"/>
        <w:bottom w:val="none" w:sz="0" w:space="0" w:color="auto"/>
        <w:right w:val="none" w:sz="0" w:space="0" w:color="auto"/>
      </w:divBdr>
    </w:div>
    <w:div w:id="577251568">
      <w:bodyDiv w:val="1"/>
      <w:marLeft w:val="0"/>
      <w:marRight w:val="0"/>
      <w:marTop w:val="0"/>
      <w:marBottom w:val="0"/>
      <w:divBdr>
        <w:top w:val="none" w:sz="0" w:space="0" w:color="auto"/>
        <w:left w:val="none" w:sz="0" w:space="0" w:color="auto"/>
        <w:bottom w:val="none" w:sz="0" w:space="0" w:color="auto"/>
        <w:right w:val="none" w:sz="0" w:space="0" w:color="auto"/>
      </w:divBdr>
    </w:div>
    <w:div w:id="577403627">
      <w:bodyDiv w:val="1"/>
      <w:marLeft w:val="0"/>
      <w:marRight w:val="0"/>
      <w:marTop w:val="0"/>
      <w:marBottom w:val="0"/>
      <w:divBdr>
        <w:top w:val="none" w:sz="0" w:space="0" w:color="auto"/>
        <w:left w:val="none" w:sz="0" w:space="0" w:color="auto"/>
        <w:bottom w:val="none" w:sz="0" w:space="0" w:color="auto"/>
        <w:right w:val="none" w:sz="0" w:space="0" w:color="auto"/>
      </w:divBdr>
    </w:div>
    <w:div w:id="577442532">
      <w:bodyDiv w:val="1"/>
      <w:marLeft w:val="0"/>
      <w:marRight w:val="0"/>
      <w:marTop w:val="0"/>
      <w:marBottom w:val="0"/>
      <w:divBdr>
        <w:top w:val="none" w:sz="0" w:space="0" w:color="auto"/>
        <w:left w:val="none" w:sz="0" w:space="0" w:color="auto"/>
        <w:bottom w:val="none" w:sz="0" w:space="0" w:color="auto"/>
        <w:right w:val="none" w:sz="0" w:space="0" w:color="auto"/>
      </w:divBdr>
    </w:div>
    <w:div w:id="577637183">
      <w:bodyDiv w:val="1"/>
      <w:marLeft w:val="0"/>
      <w:marRight w:val="0"/>
      <w:marTop w:val="0"/>
      <w:marBottom w:val="0"/>
      <w:divBdr>
        <w:top w:val="none" w:sz="0" w:space="0" w:color="auto"/>
        <w:left w:val="none" w:sz="0" w:space="0" w:color="auto"/>
        <w:bottom w:val="none" w:sz="0" w:space="0" w:color="auto"/>
        <w:right w:val="none" w:sz="0" w:space="0" w:color="auto"/>
      </w:divBdr>
    </w:div>
    <w:div w:id="577859953">
      <w:bodyDiv w:val="1"/>
      <w:marLeft w:val="0"/>
      <w:marRight w:val="0"/>
      <w:marTop w:val="0"/>
      <w:marBottom w:val="0"/>
      <w:divBdr>
        <w:top w:val="none" w:sz="0" w:space="0" w:color="auto"/>
        <w:left w:val="none" w:sz="0" w:space="0" w:color="auto"/>
        <w:bottom w:val="none" w:sz="0" w:space="0" w:color="auto"/>
        <w:right w:val="none" w:sz="0" w:space="0" w:color="auto"/>
      </w:divBdr>
    </w:div>
    <w:div w:id="577902163">
      <w:bodyDiv w:val="1"/>
      <w:marLeft w:val="0"/>
      <w:marRight w:val="0"/>
      <w:marTop w:val="0"/>
      <w:marBottom w:val="0"/>
      <w:divBdr>
        <w:top w:val="none" w:sz="0" w:space="0" w:color="auto"/>
        <w:left w:val="none" w:sz="0" w:space="0" w:color="auto"/>
        <w:bottom w:val="none" w:sz="0" w:space="0" w:color="auto"/>
        <w:right w:val="none" w:sz="0" w:space="0" w:color="auto"/>
      </w:divBdr>
    </w:div>
    <w:div w:id="578053010">
      <w:bodyDiv w:val="1"/>
      <w:marLeft w:val="0"/>
      <w:marRight w:val="0"/>
      <w:marTop w:val="0"/>
      <w:marBottom w:val="0"/>
      <w:divBdr>
        <w:top w:val="none" w:sz="0" w:space="0" w:color="auto"/>
        <w:left w:val="none" w:sz="0" w:space="0" w:color="auto"/>
        <w:bottom w:val="none" w:sz="0" w:space="0" w:color="auto"/>
        <w:right w:val="none" w:sz="0" w:space="0" w:color="auto"/>
      </w:divBdr>
    </w:div>
    <w:div w:id="578246319">
      <w:bodyDiv w:val="1"/>
      <w:marLeft w:val="0"/>
      <w:marRight w:val="0"/>
      <w:marTop w:val="0"/>
      <w:marBottom w:val="0"/>
      <w:divBdr>
        <w:top w:val="none" w:sz="0" w:space="0" w:color="auto"/>
        <w:left w:val="none" w:sz="0" w:space="0" w:color="auto"/>
        <w:bottom w:val="none" w:sz="0" w:space="0" w:color="auto"/>
        <w:right w:val="none" w:sz="0" w:space="0" w:color="auto"/>
      </w:divBdr>
    </w:div>
    <w:div w:id="578246799">
      <w:bodyDiv w:val="1"/>
      <w:marLeft w:val="0"/>
      <w:marRight w:val="0"/>
      <w:marTop w:val="0"/>
      <w:marBottom w:val="0"/>
      <w:divBdr>
        <w:top w:val="none" w:sz="0" w:space="0" w:color="auto"/>
        <w:left w:val="none" w:sz="0" w:space="0" w:color="auto"/>
        <w:bottom w:val="none" w:sz="0" w:space="0" w:color="auto"/>
        <w:right w:val="none" w:sz="0" w:space="0" w:color="auto"/>
      </w:divBdr>
    </w:div>
    <w:div w:id="578247568">
      <w:bodyDiv w:val="1"/>
      <w:marLeft w:val="0"/>
      <w:marRight w:val="0"/>
      <w:marTop w:val="0"/>
      <w:marBottom w:val="0"/>
      <w:divBdr>
        <w:top w:val="none" w:sz="0" w:space="0" w:color="auto"/>
        <w:left w:val="none" w:sz="0" w:space="0" w:color="auto"/>
        <w:bottom w:val="none" w:sz="0" w:space="0" w:color="auto"/>
        <w:right w:val="none" w:sz="0" w:space="0" w:color="auto"/>
      </w:divBdr>
    </w:div>
    <w:div w:id="578290611">
      <w:bodyDiv w:val="1"/>
      <w:marLeft w:val="0"/>
      <w:marRight w:val="0"/>
      <w:marTop w:val="0"/>
      <w:marBottom w:val="0"/>
      <w:divBdr>
        <w:top w:val="none" w:sz="0" w:space="0" w:color="auto"/>
        <w:left w:val="none" w:sz="0" w:space="0" w:color="auto"/>
        <w:bottom w:val="none" w:sz="0" w:space="0" w:color="auto"/>
        <w:right w:val="none" w:sz="0" w:space="0" w:color="auto"/>
      </w:divBdr>
    </w:div>
    <w:div w:id="578292040">
      <w:bodyDiv w:val="1"/>
      <w:marLeft w:val="0"/>
      <w:marRight w:val="0"/>
      <w:marTop w:val="0"/>
      <w:marBottom w:val="0"/>
      <w:divBdr>
        <w:top w:val="none" w:sz="0" w:space="0" w:color="auto"/>
        <w:left w:val="none" w:sz="0" w:space="0" w:color="auto"/>
        <w:bottom w:val="none" w:sz="0" w:space="0" w:color="auto"/>
        <w:right w:val="none" w:sz="0" w:space="0" w:color="auto"/>
      </w:divBdr>
    </w:div>
    <w:div w:id="578440804">
      <w:bodyDiv w:val="1"/>
      <w:marLeft w:val="0"/>
      <w:marRight w:val="0"/>
      <w:marTop w:val="0"/>
      <w:marBottom w:val="0"/>
      <w:divBdr>
        <w:top w:val="none" w:sz="0" w:space="0" w:color="auto"/>
        <w:left w:val="none" w:sz="0" w:space="0" w:color="auto"/>
        <w:bottom w:val="none" w:sz="0" w:space="0" w:color="auto"/>
        <w:right w:val="none" w:sz="0" w:space="0" w:color="auto"/>
      </w:divBdr>
    </w:div>
    <w:div w:id="578447666">
      <w:bodyDiv w:val="1"/>
      <w:marLeft w:val="0"/>
      <w:marRight w:val="0"/>
      <w:marTop w:val="0"/>
      <w:marBottom w:val="0"/>
      <w:divBdr>
        <w:top w:val="none" w:sz="0" w:space="0" w:color="auto"/>
        <w:left w:val="none" w:sz="0" w:space="0" w:color="auto"/>
        <w:bottom w:val="none" w:sz="0" w:space="0" w:color="auto"/>
        <w:right w:val="none" w:sz="0" w:space="0" w:color="auto"/>
      </w:divBdr>
    </w:div>
    <w:div w:id="578516356">
      <w:bodyDiv w:val="1"/>
      <w:marLeft w:val="0"/>
      <w:marRight w:val="0"/>
      <w:marTop w:val="0"/>
      <w:marBottom w:val="0"/>
      <w:divBdr>
        <w:top w:val="none" w:sz="0" w:space="0" w:color="auto"/>
        <w:left w:val="none" w:sz="0" w:space="0" w:color="auto"/>
        <w:bottom w:val="none" w:sz="0" w:space="0" w:color="auto"/>
        <w:right w:val="none" w:sz="0" w:space="0" w:color="auto"/>
      </w:divBdr>
    </w:div>
    <w:div w:id="578518391">
      <w:bodyDiv w:val="1"/>
      <w:marLeft w:val="0"/>
      <w:marRight w:val="0"/>
      <w:marTop w:val="0"/>
      <w:marBottom w:val="0"/>
      <w:divBdr>
        <w:top w:val="none" w:sz="0" w:space="0" w:color="auto"/>
        <w:left w:val="none" w:sz="0" w:space="0" w:color="auto"/>
        <w:bottom w:val="none" w:sz="0" w:space="0" w:color="auto"/>
        <w:right w:val="none" w:sz="0" w:space="0" w:color="auto"/>
      </w:divBdr>
    </w:div>
    <w:div w:id="578566767">
      <w:bodyDiv w:val="1"/>
      <w:marLeft w:val="0"/>
      <w:marRight w:val="0"/>
      <w:marTop w:val="0"/>
      <w:marBottom w:val="0"/>
      <w:divBdr>
        <w:top w:val="none" w:sz="0" w:space="0" w:color="auto"/>
        <w:left w:val="none" w:sz="0" w:space="0" w:color="auto"/>
        <w:bottom w:val="none" w:sz="0" w:space="0" w:color="auto"/>
        <w:right w:val="none" w:sz="0" w:space="0" w:color="auto"/>
      </w:divBdr>
    </w:div>
    <w:div w:id="578714617">
      <w:bodyDiv w:val="1"/>
      <w:marLeft w:val="0"/>
      <w:marRight w:val="0"/>
      <w:marTop w:val="0"/>
      <w:marBottom w:val="0"/>
      <w:divBdr>
        <w:top w:val="none" w:sz="0" w:space="0" w:color="auto"/>
        <w:left w:val="none" w:sz="0" w:space="0" w:color="auto"/>
        <w:bottom w:val="none" w:sz="0" w:space="0" w:color="auto"/>
        <w:right w:val="none" w:sz="0" w:space="0" w:color="auto"/>
      </w:divBdr>
    </w:div>
    <w:div w:id="578750496">
      <w:bodyDiv w:val="1"/>
      <w:marLeft w:val="0"/>
      <w:marRight w:val="0"/>
      <w:marTop w:val="0"/>
      <w:marBottom w:val="0"/>
      <w:divBdr>
        <w:top w:val="none" w:sz="0" w:space="0" w:color="auto"/>
        <w:left w:val="none" w:sz="0" w:space="0" w:color="auto"/>
        <w:bottom w:val="none" w:sz="0" w:space="0" w:color="auto"/>
        <w:right w:val="none" w:sz="0" w:space="0" w:color="auto"/>
      </w:divBdr>
    </w:div>
    <w:div w:id="578948352">
      <w:bodyDiv w:val="1"/>
      <w:marLeft w:val="0"/>
      <w:marRight w:val="0"/>
      <w:marTop w:val="0"/>
      <w:marBottom w:val="0"/>
      <w:divBdr>
        <w:top w:val="none" w:sz="0" w:space="0" w:color="auto"/>
        <w:left w:val="none" w:sz="0" w:space="0" w:color="auto"/>
        <w:bottom w:val="none" w:sz="0" w:space="0" w:color="auto"/>
        <w:right w:val="none" w:sz="0" w:space="0" w:color="auto"/>
      </w:divBdr>
    </w:div>
    <w:div w:id="578976655">
      <w:bodyDiv w:val="1"/>
      <w:marLeft w:val="0"/>
      <w:marRight w:val="0"/>
      <w:marTop w:val="0"/>
      <w:marBottom w:val="0"/>
      <w:divBdr>
        <w:top w:val="none" w:sz="0" w:space="0" w:color="auto"/>
        <w:left w:val="none" w:sz="0" w:space="0" w:color="auto"/>
        <w:bottom w:val="none" w:sz="0" w:space="0" w:color="auto"/>
        <w:right w:val="none" w:sz="0" w:space="0" w:color="auto"/>
      </w:divBdr>
    </w:div>
    <w:div w:id="578977577">
      <w:bodyDiv w:val="1"/>
      <w:marLeft w:val="0"/>
      <w:marRight w:val="0"/>
      <w:marTop w:val="0"/>
      <w:marBottom w:val="0"/>
      <w:divBdr>
        <w:top w:val="none" w:sz="0" w:space="0" w:color="auto"/>
        <w:left w:val="none" w:sz="0" w:space="0" w:color="auto"/>
        <w:bottom w:val="none" w:sz="0" w:space="0" w:color="auto"/>
        <w:right w:val="none" w:sz="0" w:space="0" w:color="auto"/>
      </w:divBdr>
    </w:div>
    <w:div w:id="579022912">
      <w:bodyDiv w:val="1"/>
      <w:marLeft w:val="0"/>
      <w:marRight w:val="0"/>
      <w:marTop w:val="0"/>
      <w:marBottom w:val="0"/>
      <w:divBdr>
        <w:top w:val="none" w:sz="0" w:space="0" w:color="auto"/>
        <w:left w:val="none" w:sz="0" w:space="0" w:color="auto"/>
        <w:bottom w:val="none" w:sz="0" w:space="0" w:color="auto"/>
        <w:right w:val="none" w:sz="0" w:space="0" w:color="auto"/>
      </w:divBdr>
    </w:div>
    <w:div w:id="579095700">
      <w:bodyDiv w:val="1"/>
      <w:marLeft w:val="0"/>
      <w:marRight w:val="0"/>
      <w:marTop w:val="0"/>
      <w:marBottom w:val="0"/>
      <w:divBdr>
        <w:top w:val="none" w:sz="0" w:space="0" w:color="auto"/>
        <w:left w:val="none" w:sz="0" w:space="0" w:color="auto"/>
        <w:bottom w:val="none" w:sz="0" w:space="0" w:color="auto"/>
        <w:right w:val="none" w:sz="0" w:space="0" w:color="auto"/>
      </w:divBdr>
    </w:div>
    <w:div w:id="579214825">
      <w:bodyDiv w:val="1"/>
      <w:marLeft w:val="0"/>
      <w:marRight w:val="0"/>
      <w:marTop w:val="0"/>
      <w:marBottom w:val="0"/>
      <w:divBdr>
        <w:top w:val="none" w:sz="0" w:space="0" w:color="auto"/>
        <w:left w:val="none" w:sz="0" w:space="0" w:color="auto"/>
        <w:bottom w:val="none" w:sz="0" w:space="0" w:color="auto"/>
        <w:right w:val="none" w:sz="0" w:space="0" w:color="auto"/>
      </w:divBdr>
    </w:div>
    <w:div w:id="579218881">
      <w:bodyDiv w:val="1"/>
      <w:marLeft w:val="0"/>
      <w:marRight w:val="0"/>
      <w:marTop w:val="0"/>
      <w:marBottom w:val="0"/>
      <w:divBdr>
        <w:top w:val="none" w:sz="0" w:space="0" w:color="auto"/>
        <w:left w:val="none" w:sz="0" w:space="0" w:color="auto"/>
        <w:bottom w:val="none" w:sz="0" w:space="0" w:color="auto"/>
        <w:right w:val="none" w:sz="0" w:space="0" w:color="auto"/>
      </w:divBdr>
    </w:div>
    <w:div w:id="579293850">
      <w:bodyDiv w:val="1"/>
      <w:marLeft w:val="0"/>
      <w:marRight w:val="0"/>
      <w:marTop w:val="0"/>
      <w:marBottom w:val="0"/>
      <w:divBdr>
        <w:top w:val="none" w:sz="0" w:space="0" w:color="auto"/>
        <w:left w:val="none" w:sz="0" w:space="0" w:color="auto"/>
        <w:bottom w:val="none" w:sz="0" w:space="0" w:color="auto"/>
        <w:right w:val="none" w:sz="0" w:space="0" w:color="auto"/>
      </w:divBdr>
    </w:div>
    <w:div w:id="579364206">
      <w:bodyDiv w:val="1"/>
      <w:marLeft w:val="0"/>
      <w:marRight w:val="0"/>
      <w:marTop w:val="0"/>
      <w:marBottom w:val="0"/>
      <w:divBdr>
        <w:top w:val="none" w:sz="0" w:space="0" w:color="auto"/>
        <w:left w:val="none" w:sz="0" w:space="0" w:color="auto"/>
        <w:bottom w:val="none" w:sz="0" w:space="0" w:color="auto"/>
        <w:right w:val="none" w:sz="0" w:space="0" w:color="auto"/>
      </w:divBdr>
    </w:div>
    <w:div w:id="579488897">
      <w:bodyDiv w:val="1"/>
      <w:marLeft w:val="0"/>
      <w:marRight w:val="0"/>
      <w:marTop w:val="0"/>
      <w:marBottom w:val="0"/>
      <w:divBdr>
        <w:top w:val="none" w:sz="0" w:space="0" w:color="auto"/>
        <w:left w:val="none" w:sz="0" w:space="0" w:color="auto"/>
        <w:bottom w:val="none" w:sz="0" w:space="0" w:color="auto"/>
        <w:right w:val="none" w:sz="0" w:space="0" w:color="auto"/>
      </w:divBdr>
    </w:div>
    <w:div w:id="579603867">
      <w:bodyDiv w:val="1"/>
      <w:marLeft w:val="0"/>
      <w:marRight w:val="0"/>
      <w:marTop w:val="0"/>
      <w:marBottom w:val="0"/>
      <w:divBdr>
        <w:top w:val="none" w:sz="0" w:space="0" w:color="auto"/>
        <w:left w:val="none" w:sz="0" w:space="0" w:color="auto"/>
        <w:bottom w:val="none" w:sz="0" w:space="0" w:color="auto"/>
        <w:right w:val="none" w:sz="0" w:space="0" w:color="auto"/>
      </w:divBdr>
    </w:div>
    <w:div w:id="579632130">
      <w:bodyDiv w:val="1"/>
      <w:marLeft w:val="0"/>
      <w:marRight w:val="0"/>
      <w:marTop w:val="0"/>
      <w:marBottom w:val="0"/>
      <w:divBdr>
        <w:top w:val="none" w:sz="0" w:space="0" w:color="auto"/>
        <w:left w:val="none" w:sz="0" w:space="0" w:color="auto"/>
        <w:bottom w:val="none" w:sz="0" w:space="0" w:color="auto"/>
        <w:right w:val="none" w:sz="0" w:space="0" w:color="auto"/>
      </w:divBdr>
    </w:div>
    <w:div w:id="579751710">
      <w:bodyDiv w:val="1"/>
      <w:marLeft w:val="0"/>
      <w:marRight w:val="0"/>
      <w:marTop w:val="0"/>
      <w:marBottom w:val="0"/>
      <w:divBdr>
        <w:top w:val="none" w:sz="0" w:space="0" w:color="auto"/>
        <w:left w:val="none" w:sz="0" w:space="0" w:color="auto"/>
        <w:bottom w:val="none" w:sz="0" w:space="0" w:color="auto"/>
        <w:right w:val="none" w:sz="0" w:space="0" w:color="auto"/>
      </w:divBdr>
    </w:div>
    <w:div w:id="579752700">
      <w:bodyDiv w:val="1"/>
      <w:marLeft w:val="0"/>
      <w:marRight w:val="0"/>
      <w:marTop w:val="0"/>
      <w:marBottom w:val="0"/>
      <w:divBdr>
        <w:top w:val="none" w:sz="0" w:space="0" w:color="auto"/>
        <w:left w:val="none" w:sz="0" w:space="0" w:color="auto"/>
        <w:bottom w:val="none" w:sz="0" w:space="0" w:color="auto"/>
        <w:right w:val="none" w:sz="0" w:space="0" w:color="auto"/>
      </w:divBdr>
    </w:div>
    <w:div w:id="579869663">
      <w:bodyDiv w:val="1"/>
      <w:marLeft w:val="0"/>
      <w:marRight w:val="0"/>
      <w:marTop w:val="0"/>
      <w:marBottom w:val="0"/>
      <w:divBdr>
        <w:top w:val="none" w:sz="0" w:space="0" w:color="auto"/>
        <w:left w:val="none" w:sz="0" w:space="0" w:color="auto"/>
        <w:bottom w:val="none" w:sz="0" w:space="0" w:color="auto"/>
        <w:right w:val="none" w:sz="0" w:space="0" w:color="auto"/>
      </w:divBdr>
    </w:div>
    <w:div w:id="579876080">
      <w:bodyDiv w:val="1"/>
      <w:marLeft w:val="0"/>
      <w:marRight w:val="0"/>
      <w:marTop w:val="0"/>
      <w:marBottom w:val="0"/>
      <w:divBdr>
        <w:top w:val="none" w:sz="0" w:space="0" w:color="auto"/>
        <w:left w:val="none" w:sz="0" w:space="0" w:color="auto"/>
        <w:bottom w:val="none" w:sz="0" w:space="0" w:color="auto"/>
        <w:right w:val="none" w:sz="0" w:space="0" w:color="auto"/>
      </w:divBdr>
    </w:div>
    <w:div w:id="579949555">
      <w:bodyDiv w:val="1"/>
      <w:marLeft w:val="0"/>
      <w:marRight w:val="0"/>
      <w:marTop w:val="0"/>
      <w:marBottom w:val="0"/>
      <w:divBdr>
        <w:top w:val="none" w:sz="0" w:space="0" w:color="auto"/>
        <w:left w:val="none" w:sz="0" w:space="0" w:color="auto"/>
        <w:bottom w:val="none" w:sz="0" w:space="0" w:color="auto"/>
        <w:right w:val="none" w:sz="0" w:space="0" w:color="auto"/>
      </w:divBdr>
    </w:div>
    <w:div w:id="579993776">
      <w:bodyDiv w:val="1"/>
      <w:marLeft w:val="0"/>
      <w:marRight w:val="0"/>
      <w:marTop w:val="0"/>
      <w:marBottom w:val="0"/>
      <w:divBdr>
        <w:top w:val="none" w:sz="0" w:space="0" w:color="auto"/>
        <w:left w:val="none" w:sz="0" w:space="0" w:color="auto"/>
        <w:bottom w:val="none" w:sz="0" w:space="0" w:color="auto"/>
        <w:right w:val="none" w:sz="0" w:space="0" w:color="auto"/>
      </w:divBdr>
    </w:div>
    <w:div w:id="580064257">
      <w:bodyDiv w:val="1"/>
      <w:marLeft w:val="0"/>
      <w:marRight w:val="0"/>
      <w:marTop w:val="0"/>
      <w:marBottom w:val="0"/>
      <w:divBdr>
        <w:top w:val="none" w:sz="0" w:space="0" w:color="auto"/>
        <w:left w:val="none" w:sz="0" w:space="0" w:color="auto"/>
        <w:bottom w:val="none" w:sz="0" w:space="0" w:color="auto"/>
        <w:right w:val="none" w:sz="0" w:space="0" w:color="auto"/>
      </w:divBdr>
    </w:div>
    <w:div w:id="580065184">
      <w:bodyDiv w:val="1"/>
      <w:marLeft w:val="0"/>
      <w:marRight w:val="0"/>
      <w:marTop w:val="0"/>
      <w:marBottom w:val="0"/>
      <w:divBdr>
        <w:top w:val="none" w:sz="0" w:space="0" w:color="auto"/>
        <w:left w:val="none" w:sz="0" w:space="0" w:color="auto"/>
        <w:bottom w:val="none" w:sz="0" w:space="0" w:color="auto"/>
        <w:right w:val="none" w:sz="0" w:space="0" w:color="auto"/>
      </w:divBdr>
    </w:div>
    <w:div w:id="580070221">
      <w:bodyDiv w:val="1"/>
      <w:marLeft w:val="0"/>
      <w:marRight w:val="0"/>
      <w:marTop w:val="0"/>
      <w:marBottom w:val="0"/>
      <w:divBdr>
        <w:top w:val="none" w:sz="0" w:space="0" w:color="auto"/>
        <w:left w:val="none" w:sz="0" w:space="0" w:color="auto"/>
        <w:bottom w:val="none" w:sz="0" w:space="0" w:color="auto"/>
        <w:right w:val="none" w:sz="0" w:space="0" w:color="auto"/>
      </w:divBdr>
    </w:div>
    <w:div w:id="580220657">
      <w:bodyDiv w:val="1"/>
      <w:marLeft w:val="0"/>
      <w:marRight w:val="0"/>
      <w:marTop w:val="0"/>
      <w:marBottom w:val="0"/>
      <w:divBdr>
        <w:top w:val="none" w:sz="0" w:space="0" w:color="auto"/>
        <w:left w:val="none" w:sz="0" w:space="0" w:color="auto"/>
        <w:bottom w:val="none" w:sz="0" w:space="0" w:color="auto"/>
        <w:right w:val="none" w:sz="0" w:space="0" w:color="auto"/>
      </w:divBdr>
    </w:div>
    <w:div w:id="580411282">
      <w:bodyDiv w:val="1"/>
      <w:marLeft w:val="0"/>
      <w:marRight w:val="0"/>
      <w:marTop w:val="0"/>
      <w:marBottom w:val="0"/>
      <w:divBdr>
        <w:top w:val="none" w:sz="0" w:space="0" w:color="auto"/>
        <w:left w:val="none" w:sz="0" w:space="0" w:color="auto"/>
        <w:bottom w:val="none" w:sz="0" w:space="0" w:color="auto"/>
        <w:right w:val="none" w:sz="0" w:space="0" w:color="auto"/>
      </w:divBdr>
    </w:div>
    <w:div w:id="580527995">
      <w:bodyDiv w:val="1"/>
      <w:marLeft w:val="0"/>
      <w:marRight w:val="0"/>
      <w:marTop w:val="0"/>
      <w:marBottom w:val="0"/>
      <w:divBdr>
        <w:top w:val="none" w:sz="0" w:space="0" w:color="auto"/>
        <w:left w:val="none" w:sz="0" w:space="0" w:color="auto"/>
        <w:bottom w:val="none" w:sz="0" w:space="0" w:color="auto"/>
        <w:right w:val="none" w:sz="0" w:space="0" w:color="auto"/>
      </w:divBdr>
    </w:div>
    <w:div w:id="580600318">
      <w:bodyDiv w:val="1"/>
      <w:marLeft w:val="0"/>
      <w:marRight w:val="0"/>
      <w:marTop w:val="0"/>
      <w:marBottom w:val="0"/>
      <w:divBdr>
        <w:top w:val="none" w:sz="0" w:space="0" w:color="auto"/>
        <w:left w:val="none" w:sz="0" w:space="0" w:color="auto"/>
        <w:bottom w:val="none" w:sz="0" w:space="0" w:color="auto"/>
        <w:right w:val="none" w:sz="0" w:space="0" w:color="auto"/>
      </w:divBdr>
    </w:div>
    <w:div w:id="580604253">
      <w:bodyDiv w:val="1"/>
      <w:marLeft w:val="0"/>
      <w:marRight w:val="0"/>
      <w:marTop w:val="0"/>
      <w:marBottom w:val="0"/>
      <w:divBdr>
        <w:top w:val="none" w:sz="0" w:space="0" w:color="auto"/>
        <w:left w:val="none" w:sz="0" w:space="0" w:color="auto"/>
        <w:bottom w:val="none" w:sz="0" w:space="0" w:color="auto"/>
        <w:right w:val="none" w:sz="0" w:space="0" w:color="auto"/>
      </w:divBdr>
    </w:div>
    <w:div w:id="580681220">
      <w:bodyDiv w:val="1"/>
      <w:marLeft w:val="0"/>
      <w:marRight w:val="0"/>
      <w:marTop w:val="0"/>
      <w:marBottom w:val="0"/>
      <w:divBdr>
        <w:top w:val="none" w:sz="0" w:space="0" w:color="auto"/>
        <w:left w:val="none" w:sz="0" w:space="0" w:color="auto"/>
        <w:bottom w:val="none" w:sz="0" w:space="0" w:color="auto"/>
        <w:right w:val="none" w:sz="0" w:space="0" w:color="auto"/>
      </w:divBdr>
    </w:div>
    <w:div w:id="580725519">
      <w:bodyDiv w:val="1"/>
      <w:marLeft w:val="0"/>
      <w:marRight w:val="0"/>
      <w:marTop w:val="0"/>
      <w:marBottom w:val="0"/>
      <w:divBdr>
        <w:top w:val="none" w:sz="0" w:space="0" w:color="auto"/>
        <w:left w:val="none" w:sz="0" w:space="0" w:color="auto"/>
        <w:bottom w:val="none" w:sz="0" w:space="0" w:color="auto"/>
        <w:right w:val="none" w:sz="0" w:space="0" w:color="auto"/>
      </w:divBdr>
    </w:div>
    <w:div w:id="580867590">
      <w:bodyDiv w:val="1"/>
      <w:marLeft w:val="0"/>
      <w:marRight w:val="0"/>
      <w:marTop w:val="0"/>
      <w:marBottom w:val="0"/>
      <w:divBdr>
        <w:top w:val="none" w:sz="0" w:space="0" w:color="auto"/>
        <w:left w:val="none" w:sz="0" w:space="0" w:color="auto"/>
        <w:bottom w:val="none" w:sz="0" w:space="0" w:color="auto"/>
        <w:right w:val="none" w:sz="0" w:space="0" w:color="auto"/>
      </w:divBdr>
    </w:div>
    <w:div w:id="580869165">
      <w:bodyDiv w:val="1"/>
      <w:marLeft w:val="0"/>
      <w:marRight w:val="0"/>
      <w:marTop w:val="0"/>
      <w:marBottom w:val="0"/>
      <w:divBdr>
        <w:top w:val="none" w:sz="0" w:space="0" w:color="auto"/>
        <w:left w:val="none" w:sz="0" w:space="0" w:color="auto"/>
        <w:bottom w:val="none" w:sz="0" w:space="0" w:color="auto"/>
        <w:right w:val="none" w:sz="0" w:space="0" w:color="auto"/>
      </w:divBdr>
    </w:div>
    <w:div w:id="580993103">
      <w:bodyDiv w:val="1"/>
      <w:marLeft w:val="0"/>
      <w:marRight w:val="0"/>
      <w:marTop w:val="0"/>
      <w:marBottom w:val="0"/>
      <w:divBdr>
        <w:top w:val="none" w:sz="0" w:space="0" w:color="auto"/>
        <w:left w:val="none" w:sz="0" w:space="0" w:color="auto"/>
        <w:bottom w:val="none" w:sz="0" w:space="0" w:color="auto"/>
        <w:right w:val="none" w:sz="0" w:space="0" w:color="auto"/>
      </w:divBdr>
    </w:div>
    <w:div w:id="581065063">
      <w:bodyDiv w:val="1"/>
      <w:marLeft w:val="0"/>
      <w:marRight w:val="0"/>
      <w:marTop w:val="0"/>
      <w:marBottom w:val="0"/>
      <w:divBdr>
        <w:top w:val="none" w:sz="0" w:space="0" w:color="auto"/>
        <w:left w:val="none" w:sz="0" w:space="0" w:color="auto"/>
        <w:bottom w:val="none" w:sz="0" w:space="0" w:color="auto"/>
        <w:right w:val="none" w:sz="0" w:space="0" w:color="auto"/>
      </w:divBdr>
    </w:div>
    <w:div w:id="581187429">
      <w:bodyDiv w:val="1"/>
      <w:marLeft w:val="0"/>
      <w:marRight w:val="0"/>
      <w:marTop w:val="0"/>
      <w:marBottom w:val="0"/>
      <w:divBdr>
        <w:top w:val="none" w:sz="0" w:space="0" w:color="auto"/>
        <w:left w:val="none" w:sz="0" w:space="0" w:color="auto"/>
        <w:bottom w:val="none" w:sz="0" w:space="0" w:color="auto"/>
        <w:right w:val="none" w:sz="0" w:space="0" w:color="auto"/>
      </w:divBdr>
    </w:div>
    <w:div w:id="581259119">
      <w:bodyDiv w:val="1"/>
      <w:marLeft w:val="0"/>
      <w:marRight w:val="0"/>
      <w:marTop w:val="0"/>
      <w:marBottom w:val="0"/>
      <w:divBdr>
        <w:top w:val="none" w:sz="0" w:space="0" w:color="auto"/>
        <w:left w:val="none" w:sz="0" w:space="0" w:color="auto"/>
        <w:bottom w:val="none" w:sz="0" w:space="0" w:color="auto"/>
        <w:right w:val="none" w:sz="0" w:space="0" w:color="auto"/>
      </w:divBdr>
    </w:div>
    <w:div w:id="581334772">
      <w:bodyDiv w:val="1"/>
      <w:marLeft w:val="0"/>
      <w:marRight w:val="0"/>
      <w:marTop w:val="0"/>
      <w:marBottom w:val="0"/>
      <w:divBdr>
        <w:top w:val="none" w:sz="0" w:space="0" w:color="auto"/>
        <w:left w:val="none" w:sz="0" w:space="0" w:color="auto"/>
        <w:bottom w:val="none" w:sz="0" w:space="0" w:color="auto"/>
        <w:right w:val="none" w:sz="0" w:space="0" w:color="auto"/>
      </w:divBdr>
    </w:div>
    <w:div w:id="581523965">
      <w:bodyDiv w:val="1"/>
      <w:marLeft w:val="0"/>
      <w:marRight w:val="0"/>
      <w:marTop w:val="0"/>
      <w:marBottom w:val="0"/>
      <w:divBdr>
        <w:top w:val="none" w:sz="0" w:space="0" w:color="auto"/>
        <w:left w:val="none" w:sz="0" w:space="0" w:color="auto"/>
        <w:bottom w:val="none" w:sz="0" w:space="0" w:color="auto"/>
        <w:right w:val="none" w:sz="0" w:space="0" w:color="auto"/>
      </w:divBdr>
    </w:div>
    <w:div w:id="581531044">
      <w:bodyDiv w:val="1"/>
      <w:marLeft w:val="0"/>
      <w:marRight w:val="0"/>
      <w:marTop w:val="0"/>
      <w:marBottom w:val="0"/>
      <w:divBdr>
        <w:top w:val="none" w:sz="0" w:space="0" w:color="auto"/>
        <w:left w:val="none" w:sz="0" w:space="0" w:color="auto"/>
        <w:bottom w:val="none" w:sz="0" w:space="0" w:color="auto"/>
        <w:right w:val="none" w:sz="0" w:space="0" w:color="auto"/>
      </w:divBdr>
    </w:div>
    <w:div w:id="581567998">
      <w:bodyDiv w:val="1"/>
      <w:marLeft w:val="0"/>
      <w:marRight w:val="0"/>
      <w:marTop w:val="0"/>
      <w:marBottom w:val="0"/>
      <w:divBdr>
        <w:top w:val="none" w:sz="0" w:space="0" w:color="auto"/>
        <w:left w:val="none" w:sz="0" w:space="0" w:color="auto"/>
        <w:bottom w:val="none" w:sz="0" w:space="0" w:color="auto"/>
        <w:right w:val="none" w:sz="0" w:space="0" w:color="auto"/>
      </w:divBdr>
    </w:div>
    <w:div w:id="581647761">
      <w:bodyDiv w:val="1"/>
      <w:marLeft w:val="0"/>
      <w:marRight w:val="0"/>
      <w:marTop w:val="0"/>
      <w:marBottom w:val="0"/>
      <w:divBdr>
        <w:top w:val="none" w:sz="0" w:space="0" w:color="auto"/>
        <w:left w:val="none" w:sz="0" w:space="0" w:color="auto"/>
        <w:bottom w:val="none" w:sz="0" w:space="0" w:color="auto"/>
        <w:right w:val="none" w:sz="0" w:space="0" w:color="auto"/>
      </w:divBdr>
    </w:div>
    <w:div w:id="581715438">
      <w:bodyDiv w:val="1"/>
      <w:marLeft w:val="0"/>
      <w:marRight w:val="0"/>
      <w:marTop w:val="0"/>
      <w:marBottom w:val="0"/>
      <w:divBdr>
        <w:top w:val="none" w:sz="0" w:space="0" w:color="auto"/>
        <w:left w:val="none" w:sz="0" w:space="0" w:color="auto"/>
        <w:bottom w:val="none" w:sz="0" w:space="0" w:color="auto"/>
        <w:right w:val="none" w:sz="0" w:space="0" w:color="auto"/>
      </w:divBdr>
    </w:div>
    <w:div w:id="581793544">
      <w:bodyDiv w:val="1"/>
      <w:marLeft w:val="0"/>
      <w:marRight w:val="0"/>
      <w:marTop w:val="0"/>
      <w:marBottom w:val="0"/>
      <w:divBdr>
        <w:top w:val="none" w:sz="0" w:space="0" w:color="auto"/>
        <w:left w:val="none" w:sz="0" w:space="0" w:color="auto"/>
        <w:bottom w:val="none" w:sz="0" w:space="0" w:color="auto"/>
        <w:right w:val="none" w:sz="0" w:space="0" w:color="auto"/>
      </w:divBdr>
    </w:div>
    <w:div w:id="581916313">
      <w:bodyDiv w:val="1"/>
      <w:marLeft w:val="0"/>
      <w:marRight w:val="0"/>
      <w:marTop w:val="0"/>
      <w:marBottom w:val="0"/>
      <w:divBdr>
        <w:top w:val="none" w:sz="0" w:space="0" w:color="auto"/>
        <w:left w:val="none" w:sz="0" w:space="0" w:color="auto"/>
        <w:bottom w:val="none" w:sz="0" w:space="0" w:color="auto"/>
        <w:right w:val="none" w:sz="0" w:space="0" w:color="auto"/>
      </w:divBdr>
    </w:div>
    <w:div w:id="581987339">
      <w:bodyDiv w:val="1"/>
      <w:marLeft w:val="0"/>
      <w:marRight w:val="0"/>
      <w:marTop w:val="0"/>
      <w:marBottom w:val="0"/>
      <w:divBdr>
        <w:top w:val="none" w:sz="0" w:space="0" w:color="auto"/>
        <w:left w:val="none" w:sz="0" w:space="0" w:color="auto"/>
        <w:bottom w:val="none" w:sz="0" w:space="0" w:color="auto"/>
        <w:right w:val="none" w:sz="0" w:space="0" w:color="auto"/>
      </w:divBdr>
    </w:div>
    <w:div w:id="581988047">
      <w:bodyDiv w:val="1"/>
      <w:marLeft w:val="0"/>
      <w:marRight w:val="0"/>
      <w:marTop w:val="0"/>
      <w:marBottom w:val="0"/>
      <w:divBdr>
        <w:top w:val="none" w:sz="0" w:space="0" w:color="auto"/>
        <w:left w:val="none" w:sz="0" w:space="0" w:color="auto"/>
        <w:bottom w:val="none" w:sz="0" w:space="0" w:color="auto"/>
        <w:right w:val="none" w:sz="0" w:space="0" w:color="auto"/>
      </w:divBdr>
    </w:div>
    <w:div w:id="582102777">
      <w:bodyDiv w:val="1"/>
      <w:marLeft w:val="0"/>
      <w:marRight w:val="0"/>
      <w:marTop w:val="0"/>
      <w:marBottom w:val="0"/>
      <w:divBdr>
        <w:top w:val="none" w:sz="0" w:space="0" w:color="auto"/>
        <w:left w:val="none" w:sz="0" w:space="0" w:color="auto"/>
        <w:bottom w:val="none" w:sz="0" w:space="0" w:color="auto"/>
        <w:right w:val="none" w:sz="0" w:space="0" w:color="auto"/>
      </w:divBdr>
    </w:div>
    <w:div w:id="582221914">
      <w:bodyDiv w:val="1"/>
      <w:marLeft w:val="0"/>
      <w:marRight w:val="0"/>
      <w:marTop w:val="0"/>
      <w:marBottom w:val="0"/>
      <w:divBdr>
        <w:top w:val="none" w:sz="0" w:space="0" w:color="auto"/>
        <w:left w:val="none" w:sz="0" w:space="0" w:color="auto"/>
        <w:bottom w:val="none" w:sz="0" w:space="0" w:color="auto"/>
        <w:right w:val="none" w:sz="0" w:space="0" w:color="auto"/>
      </w:divBdr>
    </w:div>
    <w:div w:id="582371353">
      <w:bodyDiv w:val="1"/>
      <w:marLeft w:val="0"/>
      <w:marRight w:val="0"/>
      <w:marTop w:val="0"/>
      <w:marBottom w:val="0"/>
      <w:divBdr>
        <w:top w:val="none" w:sz="0" w:space="0" w:color="auto"/>
        <w:left w:val="none" w:sz="0" w:space="0" w:color="auto"/>
        <w:bottom w:val="none" w:sz="0" w:space="0" w:color="auto"/>
        <w:right w:val="none" w:sz="0" w:space="0" w:color="auto"/>
      </w:divBdr>
    </w:div>
    <w:div w:id="582373039">
      <w:bodyDiv w:val="1"/>
      <w:marLeft w:val="0"/>
      <w:marRight w:val="0"/>
      <w:marTop w:val="0"/>
      <w:marBottom w:val="0"/>
      <w:divBdr>
        <w:top w:val="none" w:sz="0" w:space="0" w:color="auto"/>
        <w:left w:val="none" w:sz="0" w:space="0" w:color="auto"/>
        <w:bottom w:val="none" w:sz="0" w:space="0" w:color="auto"/>
        <w:right w:val="none" w:sz="0" w:space="0" w:color="auto"/>
      </w:divBdr>
    </w:div>
    <w:div w:id="582491347">
      <w:bodyDiv w:val="1"/>
      <w:marLeft w:val="0"/>
      <w:marRight w:val="0"/>
      <w:marTop w:val="0"/>
      <w:marBottom w:val="0"/>
      <w:divBdr>
        <w:top w:val="none" w:sz="0" w:space="0" w:color="auto"/>
        <w:left w:val="none" w:sz="0" w:space="0" w:color="auto"/>
        <w:bottom w:val="none" w:sz="0" w:space="0" w:color="auto"/>
        <w:right w:val="none" w:sz="0" w:space="0" w:color="auto"/>
      </w:divBdr>
    </w:div>
    <w:div w:id="582689861">
      <w:bodyDiv w:val="1"/>
      <w:marLeft w:val="0"/>
      <w:marRight w:val="0"/>
      <w:marTop w:val="0"/>
      <w:marBottom w:val="0"/>
      <w:divBdr>
        <w:top w:val="none" w:sz="0" w:space="0" w:color="auto"/>
        <w:left w:val="none" w:sz="0" w:space="0" w:color="auto"/>
        <w:bottom w:val="none" w:sz="0" w:space="0" w:color="auto"/>
        <w:right w:val="none" w:sz="0" w:space="0" w:color="auto"/>
      </w:divBdr>
    </w:div>
    <w:div w:id="582839169">
      <w:bodyDiv w:val="1"/>
      <w:marLeft w:val="0"/>
      <w:marRight w:val="0"/>
      <w:marTop w:val="0"/>
      <w:marBottom w:val="0"/>
      <w:divBdr>
        <w:top w:val="none" w:sz="0" w:space="0" w:color="auto"/>
        <w:left w:val="none" w:sz="0" w:space="0" w:color="auto"/>
        <w:bottom w:val="none" w:sz="0" w:space="0" w:color="auto"/>
        <w:right w:val="none" w:sz="0" w:space="0" w:color="auto"/>
      </w:divBdr>
    </w:div>
    <w:div w:id="582883016">
      <w:bodyDiv w:val="1"/>
      <w:marLeft w:val="0"/>
      <w:marRight w:val="0"/>
      <w:marTop w:val="0"/>
      <w:marBottom w:val="0"/>
      <w:divBdr>
        <w:top w:val="none" w:sz="0" w:space="0" w:color="auto"/>
        <w:left w:val="none" w:sz="0" w:space="0" w:color="auto"/>
        <w:bottom w:val="none" w:sz="0" w:space="0" w:color="auto"/>
        <w:right w:val="none" w:sz="0" w:space="0" w:color="auto"/>
      </w:divBdr>
    </w:div>
    <w:div w:id="582883968">
      <w:bodyDiv w:val="1"/>
      <w:marLeft w:val="0"/>
      <w:marRight w:val="0"/>
      <w:marTop w:val="0"/>
      <w:marBottom w:val="0"/>
      <w:divBdr>
        <w:top w:val="none" w:sz="0" w:space="0" w:color="auto"/>
        <w:left w:val="none" w:sz="0" w:space="0" w:color="auto"/>
        <w:bottom w:val="none" w:sz="0" w:space="0" w:color="auto"/>
        <w:right w:val="none" w:sz="0" w:space="0" w:color="auto"/>
      </w:divBdr>
    </w:div>
    <w:div w:id="583031990">
      <w:bodyDiv w:val="1"/>
      <w:marLeft w:val="0"/>
      <w:marRight w:val="0"/>
      <w:marTop w:val="0"/>
      <w:marBottom w:val="0"/>
      <w:divBdr>
        <w:top w:val="none" w:sz="0" w:space="0" w:color="auto"/>
        <w:left w:val="none" w:sz="0" w:space="0" w:color="auto"/>
        <w:bottom w:val="none" w:sz="0" w:space="0" w:color="auto"/>
        <w:right w:val="none" w:sz="0" w:space="0" w:color="auto"/>
      </w:divBdr>
    </w:div>
    <w:div w:id="583151992">
      <w:bodyDiv w:val="1"/>
      <w:marLeft w:val="0"/>
      <w:marRight w:val="0"/>
      <w:marTop w:val="0"/>
      <w:marBottom w:val="0"/>
      <w:divBdr>
        <w:top w:val="none" w:sz="0" w:space="0" w:color="auto"/>
        <w:left w:val="none" w:sz="0" w:space="0" w:color="auto"/>
        <w:bottom w:val="none" w:sz="0" w:space="0" w:color="auto"/>
        <w:right w:val="none" w:sz="0" w:space="0" w:color="auto"/>
      </w:divBdr>
    </w:div>
    <w:div w:id="583226545">
      <w:bodyDiv w:val="1"/>
      <w:marLeft w:val="0"/>
      <w:marRight w:val="0"/>
      <w:marTop w:val="0"/>
      <w:marBottom w:val="0"/>
      <w:divBdr>
        <w:top w:val="none" w:sz="0" w:space="0" w:color="auto"/>
        <w:left w:val="none" w:sz="0" w:space="0" w:color="auto"/>
        <w:bottom w:val="none" w:sz="0" w:space="0" w:color="auto"/>
        <w:right w:val="none" w:sz="0" w:space="0" w:color="auto"/>
      </w:divBdr>
    </w:div>
    <w:div w:id="583493684">
      <w:bodyDiv w:val="1"/>
      <w:marLeft w:val="0"/>
      <w:marRight w:val="0"/>
      <w:marTop w:val="0"/>
      <w:marBottom w:val="0"/>
      <w:divBdr>
        <w:top w:val="none" w:sz="0" w:space="0" w:color="auto"/>
        <w:left w:val="none" w:sz="0" w:space="0" w:color="auto"/>
        <w:bottom w:val="none" w:sz="0" w:space="0" w:color="auto"/>
        <w:right w:val="none" w:sz="0" w:space="0" w:color="auto"/>
      </w:divBdr>
    </w:div>
    <w:div w:id="583494727">
      <w:bodyDiv w:val="1"/>
      <w:marLeft w:val="0"/>
      <w:marRight w:val="0"/>
      <w:marTop w:val="0"/>
      <w:marBottom w:val="0"/>
      <w:divBdr>
        <w:top w:val="none" w:sz="0" w:space="0" w:color="auto"/>
        <w:left w:val="none" w:sz="0" w:space="0" w:color="auto"/>
        <w:bottom w:val="none" w:sz="0" w:space="0" w:color="auto"/>
        <w:right w:val="none" w:sz="0" w:space="0" w:color="auto"/>
      </w:divBdr>
    </w:div>
    <w:div w:id="583495767">
      <w:bodyDiv w:val="1"/>
      <w:marLeft w:val="0"/>
      <w:marRight w:val="0"/>
      <w:marTop w:val="0"/>
      <w:marBottom w:val="0"/>
      <w:divBdr>
        <w:top w:val="none" w:sz="0" w:space="0" w:color="auto"/>
        <w:left w:val="none" w:sz="0" w:space="0" w:color="auto"/>
        <w:bottom w:val="none" w:sz="0" w:space="0" w:color="auto"/>
        <w:right w:val="none" w:sz="0" w:space="0" w:color="auto"/>
      </w:divBdr>
    </w:div>
    <w:div w:id="583536325">
      <w:bodyDiv w:val="1"/>
      <w:marLeft w:val="0"/>
      <w:marRight w:val="0"/>
      <w:marTop w:val="0"/>
      <w:marBottom w:val="0"/>
      <w:divBdr>
        <w:top w:val="none" w:sz="0" w:space="0" w:color="auto"/>
        <w:left w:val="none" w:sz="0" w:space="0" w:color="auto"/>
        <w:bottom w:val="none" w:sz="0" w:space="0" w:color="auto"/>
        <w:right w:val="none" w:sz="0" w:space="0" w:color="auto"/>
      </w:divBdr>
    </w:div>
    <w:div w:id="583688011">
      <w:bodyDiv w:val="1"/>
      <w:marLeft w:val="0"/>
      <w:marRight w:val="0"/>
      <w:marTop w:val="0"/>
      <w:marBottom w:val="0"/>
      <w:divBdr>
        <w:top w:val="none" w:sz="0" w:space="0" w:color="auto"/>
        <w:left w:val="none" w:sz="0" w:space="0" w:color="auto"/>
        <w:bottom w:val="none" w:sz="0" w:space="0" w:color="auto"/>
        <w:right w:val="none" w:sz="0" w:space="0" w:color="auto"/>
      </w:divBdr>
    </w:div>
    <w:div w:id="583688287">
      <w:bodyDiv w:val="1"/>
      <w:marLeft w:val="0"/>
      <w:marRight w:val="0"/>
      <w:marTop w:val="0"/>
      <w:marBottom w:val="0"/>
      <w:divBdr>
        <w:top w:val="none" w:sz="0" w:space="0" w:color="auto"/>
        <w:left w:val="none" w:sz="0" w:space="0" w:color="auto"/>
        <w:bottom w:val="none" w:sz="0" w:space="0" w:color="auto"/>
        <w:right w:val="none" w:sz="0" w:space="0" w:color="auto"/>
      </w:divBdr>
    </w:div>
    <w:div w:id="583761775">
      <w:bodyDiv w:val="1"/>
      <w:marLeft w:val="0"/>
      <w:marRight w:val="0"/>
      <w:marTop w:val="0"/>
      <w:marBottom w:val="0"/>
      <w:divBdr>
        <w:top w:val="none" w:sz="0" w:space="0" w:color="auto"/>
        <w:left w:val="none" w:sz="0" w:space="0" w:color="auto"/>
        <w:bottom w:val="none" w:sz="0" w:space="0" w:color="auto"/>
        <w:right w:val="none" w:sz="0" w:space="0" w:color="auto"/>
      </w:divBdr>
    </w:div>
    <w:div w:id="583997443">
      <w:bodyDiv w:val="1"/>
      <w:marLeft w:val="0"/>
      <w:marRight w:val="0"/>
      <w:marTop w:val="0"/>
      <w:marBottom w:val="0"/>
      <w:divBdr>
        <w:top w:val="none" w:sz="0" w:space="0" w:color="auto"/>
        <w:left w:val="none" w:sz="0" w:space="0" w:color="auto"/>
        <w:bottom w:val="none" w:sz="0" w:space="0" w:color="auto"/>
        <w:right w:val="none" w:sz="0" w:space="0" w:color="auto"/>
      </w:divBdr>
    </w:div>
    <w:div w:id="583997552">
      <w:bodyDiv w:val="1"/>
      <w:marLeft w:val="0"/>
      <w:marRight w:val="0"/>
      <w:marTop w:val="0"/>
      <w:marBottom w:val="0"/>
      <w:divBdr>
        <w:top w:val="none" w:sz="0" w:space="0" w:color="auto"/>
        <w:left w:val="none" w:sz="0" w:space="0" w:color="auto"/>
        <w:bottom w:val="none" w:sz="0" w:space="0" w:color="auto"/>
        <w:right w:val="none" w:sz="0" w:space="0" w:color="auto"/>
      </w:divBdr>
    </w:div>
    <w:div w:id="584001597">
      <w:bodyDiv w:val="1"/>
      <w:marLeft w:val="0"/>
      <w:marRight w:val="0"/>
      <w:marTop w:val="0"/>
      <w:marBottom w:val="0"/>
      <w:divBdr>
        <w:top w:val="none" w:sz="0" w:space="0" w:color="auto"/>
        <w:left w:val="none" w:sz="0" w:space="0" w:color="auto"/>
        <w:bottom w:val="none" w:sz="0" w:space="0" w:color="auto"/>
        <w:right w:val="none" w:sz="0" w:space="0" w:color="auto"/>
      </w:divBdr>
    </w:div>
    <w:div w:id="584149351">
      <w:bodyDiv w:val="1"/>
      <w:marLeft w:val="0"/>
      <w:marRight w:val="0"/>
      <w:marTop w:val="0"/>
      <w:marBottom w:val="0"/>
      <w:divBdr>
        <w:top w:val="none" w:sz="0" w:space="0" w:color="auto"/>
        <w:left w:val="none" w:sz="0" w:space="0" w:color="auto"/>
        <w:bottom w:val="none" w:sz="0" w:space="0" w:color="auto"/>
        <w:right w:val="none" w:sz="0" w:space="0" w:color="auto"/>
      </w:divBdr>
    </w:div>
    <w:div w:id="584149776">
      <w:bodyDiv w:val="1"/>
      <w:marLeft w:val="0"/>
      <w:marRight w:val="0"/>
      <w:marTop w:val="0"/>
      <w:marBottom w:val="0"/>
      <w:divBdr>
        <w:top w:val="none" w:sz="0" w:space="0" w:color="auto"/>
        <w:left w:val="none" w:sz="0" w:space="0" w:color="auto"/>
        <w:bottom w:val="none" w:sz="0" w:space="0" w:color="auto"/>
        <w:right w:val="none" w:sz="0" w:space="0" w:color="auto"/>
      </w:divBdr>
    </w:div>
    <w:div w:id="584152964">
      <w:bodyDiv w:val="1"/>
      <w:marLeft w:val="0"/>
      <w:marRight w:val="0"/>
      <w:marTop w:val="0"/>
      <w:marBottom w:val="0"/>
      <w:divBdr>
        <w:top w:val="none" w:sz="0" w:space="0" w:color="auto"/>
        <w:left w:val="none" w:sz="0" w:space="0" w:color="auto"/>
        <w:bottom w:val="none" w:sz="0" w:space="0" w:color="auto"/>
        <w:right w:val="none" w:sz="0" w:space="0" w:color="auto"/>
      </w:divBdr>
    </w:div>
    <w:div w:id="584190548">
      <w:bodyDiv w:val="1"/>
      <w:marLeft w:val="0"/>
      <w:marRight w:val="0"/>
      <w:marTop w:val="0"/>
      <w:marBottom w:val="0"/>
      <w:divBdr>
        <w:top w:val="none" w:sz="0" w:space="0" w:color="auto"/>
        <w:left w:val="none" w:sz="0" w:space="0" w:color="auto"/>
        <w:bottom w:val="none" w:sz="0" w:space="0" w:color="auto"/>
        <w:right w:val="none" w:sz="0" w:space="0" w:color="auto"/>
      </w:divBdr>
    </w:div>
    <w:div w:id="584194196">
      <w:bodyDiv w:val="1"/>
      <w:marLeft w:val="0"/>
      <w:marRight w:val="0"/>
      <w:marTop w:val="0"/>
      <w:marBottom w:val="0"/>
      <w:divBdr>
        <w:top w:val="none" w:sz="0" w:space="0" w:color="auto"/>
        <w:left w:val="none" w:sz="0" w:space="0" w:color="auto"/>
        <w:bottom w:val="none" w:sz="0" w:space="0" w:color="auto"/>
        <w:right w:val="none" w:sz="0" w:space="0" w:color="auto"/>
      </w:divBdr>
    </w:div>
    <w:div w:id="584265108">
      <w:bodyDiv w:val="1"/>
      <w:marLeft w:val="0"/>
      <w:marRight w:val="0"/>
      <w:marTop w:val="0"/>
      <w:marBottom w:val="0"/>
      <w:divBdr>
        <w:top w:val="none" w:sz="0" w:space="0" w:color="auto"/>
        <w:left w:val="none" w:sz="0" w:space="0" w:color="auto"/>
        <w:bottom w:val="none" w:sz="0" w:space="0" w:color="auto"/>
        <w:right w:val="none" w:sz="0" w:space="0" w:color="auto"/>
      </w:divBdr>
    </w:div>
    <w:div w:id="584386830">
      <w:bodyDiv w:val="1"/>
      <w:marLeft w:val="0"/>
      <w:marRight w:val="0"/>
      <w:marTop w:val="0"/>
      <w:marBottom w:val="0"/>
      <w:divBdr>
        <w:top w:val="none" w:sz="0" w:space="0" w:color="auto"/>
        <w:left w:val="none" w:sz="0" w:space="0" w:color="auto"/>
        <w:bottom w:val="none" w:sz="0" w:space="0" w:color="auto"/>
        <w:right w:val="none" w:sz="0" w:space="0" w:color="auto"/>
      </w:divBdr>
    </w:div>
    <w:div w:id="584532325">
      <w:bodyDiv w:val="1"/>
      <w:marLeft w:val="0"/>
      <w:marRight w:val="0"/>
      <w:marTop w:val="0"/>
      <w:marBottom w:val="0"/>
      <w:divBdr>
        <w:top w:val="none" w:sz="0" w:space="0" w:color="auto"/>
        <w:left w:val="none" w:sz="0" w:space="0" w:color="auto"/>
        <w:bottom w:val="none" w:sz="0" w:space="0" w:color="auto"/>
        <w:right w:val="none" w:sz="0" w:space="0" w:color="auto"/>
      </w:divBdr>
    </w:div>
    <w:div w:id="584656146">
      <w:bodyDiv w:val="1"/>
      <w:marLeft w:val="0"/>
      <w:marRight w:val="0"/>
      <w:marTop w:val="0"/>
      <w:marBottom w:val="0"/>
      <w:divBdr>
        <w:top w:val="none" w:sz="0" w:space="0" w:color="auto"/>
        <w:left w:val="none" w:sz="0" w:space="0" w:color="auto"/>
        <w:bottom w:val="none" w:sz="0" w:space="0" w:color="auto"/>
        <w:right w:val="none" w:sz="0" w:space="0" w:color="auto"/>
      </w:divBdr>
    </w:div>
    <w:div w:id="584727397">
      <w:bodyDiv w:val="1"/>
      <w:marLeft w:val="0"/>
      <w:marRight w:val="0"/>
      <w:marTop w:val="0"/>
      <w:marBottom w:val="0"/>
      <w:divBdr>
        <w:top w:val="none" w:sz="0" w:space="0" w:color="auto"/>
        <w:left w:val="none" w:sz="0" w:space="0" w:color="auto"/>
        <w:bottom w:val="none" w:sz="0" w:space="0" w:color="auto"/>
        <w:right w:val="none" w:sz="0" w:space="0" w:color="auto"/>
      </w:divBdr>
    </w:div>
    <w:div w:id="584800567">
      <w:bodyDiv w:val="1"/>
      <w:marLeft w:val="0"/>
      <w:marRight w:val="0"/>
      <w:marTop w:val="0"/>
      <w:marBottom w:val="0"/>
      <w:divBdr>
        <w:top w:val="none" w:sz="0" w:space="0" w:color="auto"/>
        <w:left w:val="none" w:sz="0" w:space="0" w:color="auto"/>
        <w:bottom w:val="none" w:sz="0" w:space="0" w:color="auto"/>
        <w:right w:val="none" w:sz="0" w:space="0" w:color="auto"/>
      </w:divBdr>
    </w:div>
    <w:div w:id="584843514">
      <w:bodyDiv w:val="1"/>
      <w:marLeft w:val="0"/>
      <w:marRight w:val="0"/>
      <w:marTop w:val="0"/>
      <w:marBottom w:val="0"/>
      <w:divBdr>
        <w:top w:val="none" w:sz="0" w:space="0" w:color="auto"/>
        <w:left w:val="none" w:sz="0" w:space="0" w:color="auto"/>
        <w:bottom w:val="none" w:sz="0" w:space="0" w:color="auto"/>
        <w:right w:val="none" w:sz="0" w:space="0" w:color="auto"/>
      </w:divBdr>
    </w:div>
    <w:div w:id="584918645">
      <w:bodyDiv w:val="1"/>
      <w:marLeft w:val="0"/>
      <w:marRight w:val="0"/>
      <w:marTop w:val="0"/>
      <w:marBottom w:val="0"/>
      <w:divBdr>
        <w:top w:val="none" w:sz="0" w:space="0" w:color="auto"/>
        <w:left w:val="none" w:sz="0" w:space="0" w:color="auto"/>
        <w:bottom w:val="none" w:sz="0" w:space="0" w:color="auto"/>
        <w:right w:val="none" w:sz="0" w:space="0" w:color="auto"/>
      </w:divBdr>
    </w:div>
    <w:div w:id="584994707">
      <w:bodyDiv w:val="1"/>
      <w:marLeft w:val="0"/>
      <w:marRight w:val="0"/>
      <w:marTop w:val="0"/>
      <w:marBottom w:val="0"/>
      <w:divBdr>
        <w:top w:val="none" w:sz="0" w:space="0" w:color="auto"/>
        <w:left w:val="none" w:sz="0" w:space="0" w:color="auto"/>
        <w:bottom w:val="none" w:sz="0" w:space="0" w:color="auto"/>
        <w:right w:val="none" w:sz="0" w:space="0" w:color="auto"/>
      </w:divBdr>
    </w:div>
    <w:div w:id="585042375">
      <w:bodyDiv w:val="1"/>
      <w:marLeft w:val="0"/>
      <w:marRight w:val="0"/>
      <w:marTop w:val="0"/>
      <w:marBottom w:val="0"/>
      <w:divBdr>
        <w:top w:val="none" w:sz="0" w:space="0" w:color="auto"/>
        <w:left w:val="none" w:sz="0" w:space="0" w:color="auto"/>
        <w:bottom w:val="none" w:sz="0" w:space="0" w:color="auto"/>
        <w:right w:val="none" w:sz="0" w:space="0" w:color="auto"/>
      </w:divBdr>
    </w:div>
    <w:div w:id="585072553">
      <w:bodyDiv w:val="1"/>
      <w:marLeft w:val="0"/>
      <w:marRight w:val="0"/>
      <w:marTop w:val="0"/>
      <w:marBottom w:val="0"/>
      <w:divBdr>
        <w:top w:val="none" w:sz="0" w:space="0" w:color="auto"/>
        <w:left w:val="none" w:sz="0" w:space="0" w:color="auto"/>
        <w:bottom w:val="none" w:sz="0" w:space="0" w:color="auto"/>
        <w:right w:val="none" w:sz="0" w:space="0" w:color="auto"/>
      </w:divBdr>
    </w:div>
    <w:div w:id="585113374">
      <w:bodyDiv w:val="1"/>
      <w:marLeft w:val="0"/>
      <w:marRight w:val="0"/>
      <w:marTop w:val="0"/>
      <w:marBottom w:val="0"/>
      <w:divBdr>
        <w:top w:val="none" w:sz="0" w:space="0" w:color="auto"/>
        <w:left w:val="none" w:sz="0" w:space="0" w:color="auto"/>
        <w:bottom w:val="none" w:sz="0" w:space="0" w:color="auto"/>
        <w:right w:val="none" w:sz="0" w:space="0" w:color="auto"/>
      </w:divBdr>
    </w:div>
    <w:div w:id="585114215">
      <w:bodyDiv w:val="1"/>
      <w:marLeft w:val="0"/>
      <w:marRight w:val="0"/>
      <w:marTop w:val="0"/>
      <w:marBottom w:val="0"/>
      <w:divBdr>
        <w:top w:val="none" w:sz="0" w:space="0" w:color="auto"/>
        <w:left w:val="none" w:sz="0" w:space="0" w:color="auto"/>
        <w:bottom w:val="none" w:sz="0" w:space="0" w:color="auto"/>
        <w:right w:val="none" w:sz="0" w:space="0" w:color="auto"/>
      </w:divBdr>
    </w:div>
    <w:div w:id="585185237">
      <w:bodyDiv w:val="1"/>
      <w:marLeft w:val="0"/>
      <w:marRight w:val="0"/>
      <w:marTop w:val="0"/>
      <w:marBottom w:val="0"/>
      <w:divBdr>
        <w:top w:val="none" w:sz="0" w:space="0" w:color="auto"/>
        <w:left w:val="none" w:sz="0" w:space="0" w:color="auto"/>
        <w:bottom w:val="none" w:sz="0" w:space="0" w:color="auto"/>
        <w:right w:val="none" w:sz="0" w:space="0" w:color="auto"/>
      </w:divBdr>
    </w:div>
    <w:div w:id="585260672">
      <w:bodyDiv w:val="1"/>
      <w:marLeft w:val="0"/>
      <w:marRight w:val="0"/>
      <w:marTop w:val="0"/>
      <w:marBottom w:val="0"/>
      <w:divBdr>
        <w:top w:val="none" w:sz="0" w:space="0" w:color="auto"/>
        <w:left w:val="none" w:sz="0" w:space="0" w:color="auto"/>
        <w:bottom w:val="none" w:sz="0" w:space="0" w:color="auto"/>
        <w:right w:val="none" w:sz="0" w:space="0" w:color="auto"/>
      </w:divBdr>
    </w:div>
    <w:div w:id="585261454">
      <w:bodyDiv w:val="1"/>
      <w:marLeft w:val="0"/>
      <w:marRight w:val="0"/>
      <w:marTop w:val="0"/>
      <w:marBottom w:val="0"/>
      <w:divBdr>
        <w:top w:val="none" w:sz="0" w:space="0" w:color="auto"/>
        <w:left w:val="none" w:sz="0" w:space="0" w:color="auto"/>
        <w:bottom w:val="none" w:sz="0" w:space="0" w:color="auto"/>
        <w:right w:val="none" w:sz="0" w:space="0" w:color="auto"/>
      </w:divBdr>
    </w:div>
    <w:div w:id="585265306">
      <w:bodyDiv w:val="1"/>
      <w:marLeft w:val="0"/>
      <w:marRight w:val="0"/>
      <w:marTop w:val="0"/>
      <w:marBottom w:val="0"/>
      <w:divBdr>
        <w:top w:val="none" w:sz="0" w:space="0" w:color="auto"/>
        <w:left w:val="none" w:sz="0" w:space="0" w:color="auto"/>
        <w:bottom w:val="none" w:sz="0" w:space="0" w:color="auto"/>
        <w:right w:val="none" w:sz="0" w:space="0" w:color="auto"/>
      </w:divBdr>
    </w:div>
    <w:div w:id="585268846">
      <w:bodyDiv w:val="1"/>
      <w:marLeft w:val="0"/>
      <w:marRight w:val="0"/>
      <w:marTop w:val="0"/>
      <w:marBottom w:val="0"/>
      <w:divBdr>
        <w:top w:val="none" w:sz="0" w:space="0" w:color="auto"/>
        <w:left w:val="none" w:sz="0" w:space="0" w:color="auto"/>
        <w:bottom w:val="none" w:sz="0" w:space="0" w:color="auto"/>
        <w:right w:val="none" w:sz="0" w:space="0" w:color="auto"/>
      </w:divBdr>
    </w:div>
    <w:div w:id="585268912">
      <w:bodyDiv w:val="1"/>
      <w:marLeft w:val="0"/>
      <w:marRight w:val="0"/>
      <w:marTop w:val="0"/>
      <w:marBottom w:val="0"/>
      <w:divBdr>
        <w:top w:val="none" w:sz="0" w:space="0" w:color="auto"/>
        <w:left w:val="none" w:sz="0" w:space="0" w:color="auto"/>
        <w:bottom w:val="none" w:sz="0" w:space="0" w:color="auto"/>
        <w:right w:val="none" w:sz="0" w:space="0" w:color="auto"/>
      </w:divBdr>
    </w:div>
    <w:div w:id="585383655">
      <w:bodyDiv w:val="1"/>
      <w:marLeft w:val="0"/>
      <w:marRight w:val="0"/>
      <w:marTop w:val="0"/>
      <w:marBottom w:val="0"/>
      <w:divBdr>
        <w:top w:val="none" w:sz="0" w:space="0" w:color="auto"/>
        <w:left w:val="none" w:sz="0" w:space="0" w:color="auto"/>
        <w:bottom w:val="none" w:sz="0" w:space="0" w:color="auto"/>
        <w:right w:val="none" w:sz="0" w:space="0" w:color="auto"/>
      </w:divBdr>
    </w:div>
    <w:div w:id="585454760">
      <w:bodyDiv w:val="1"/>
      <w:marLeft w:val="0"/>
      <w:marRight w:val="0"/>
      <w:marTop w:val="0"/>
      <w:marBottom w:val="0"/>
      <w:divBdr>
        <w:top w:val="none" w:sz="0" w:space="0" w:color="auto"/>
        <w:left w:val="none" w:sz="0" w:space="0" w:color="auto"/>
        <w:bottom w:val="none" w:sz="0" w:space="0" w:color="auto"/>
        <w:right w:val="none" w:sz="0" w:space="0" w:color="auto"/>
      </w:divBdr>
    </w:div>
    <w:div w:id="585457057">
      <w:bodyDiv w:val="1"/>
      <w:marLeft w:val="0"/>
      <w:marRight w:val="0"/>
      <w:marTop w:val="0"/>
      <w:marBottom w:val="0"/>
      <w:divBdr>
        <w:top w:val="none" w:sz="0" w:space="0" w:color="auto"/>
        <w:left w:val="none" w:sz="0" w:space="0" w:color="auto"/>
        <w:bottom w:val="none" w:sz="0" w:space="0" w:color="auto"/>
        <w:right w:val="none" w:sz="0" w:space="0" w:color="auto"/>
      </w:divBdr>
    </w:div>
    <w:div w:id="585460916">
      <w:bodyDiv w:val="1"/>
      <w:marLeft w:val="0"/>
      <w:marRight w:val="0"/>
      <w:marTop w:val="0"/>
      <w:marBottom w:val="0"/>
      <w:divBdr>
        <w:top w:val="none" w:sz="0" w:space="0" w:color="auto"/>
        <w:left w:val="none" w:sz="0" w:space="0" w:color="auto"/>
        <w:bottom w:val="none" w:sz="0" w:space="0" w:color="auto"/>
        <w:right w:val="none" w:sz="0" w:space="0" w:color="auto"/>
      </w:divBdr>
    </w:div>
    <w:div w:id="585462203">
      <w:bodyDiv w:val="1"/>
      <w:marLeft w:val="0"/>
      <w:marRight w:val="0"/>
      <w:marTop w:val="0"/>
      <w:marBottom w:val="0"/>
      <w:divBdr>
        <w:top w:val="none" w:sz="0" w:space="0" w:color="auto"/>
        <w:left w:val="none" w:sz="0" w:space="0" w:color="auto"/>
        <w:bottom w:val="none" w:sz="0" w:space="0" w:color="auto"/>
        <w:right w:val="none" w:sz="0" w:space="0" w:color="auto"/>
      </w:divBdr>
    </w:div>
    <w:div w:id="585580361">
      <w:bodyDiv w:val="1"/>
      <w:marLeft w:val="0"/>
      <w:marRight w:val="0"/>
      <w:marTop w:val="0"/>
      <w:marBottom w:val="0"/>
      <w:divBdr>
        <w:top w:val="none" w:sz="0" w:space="0" w:color="auto"/>
        <w:left w:val="none" w:sz="0" w:space="0" w:color="auto"/>
        <w:bottom w:val="none" w:sz="0" w:space="0" w:color="auto"/>
        <w:right w:val="none" w:sz="0" w:space="0" w:color="auto"/>
      </w:divBdr>
    </w:div>
    <w:div w:id="585655645">
      <w:bodyDiv w:val="1"/>
      <w:marLeft w:val="0"/>
      <w:marRight w:val="0"/>
      <w:marTop w:val="0"/>
      <w:marBottom w:val="0"/>
      <w:divBdr>
        <w:top w:val="none" w:sz="0" w:space="0" w:color="auto"/>
        <w:left w:val="none" w:sz="0" w:space="0" w:color="auto"/>
        <w:bottom w:val="none" w:sz="0" w:space="0" w:color="auto"/>
        <w:right w:val="none" w:sz="0" w:space="0" w:color="auto"/>
      </w:divBdr>
    </w:div>
    <w:div w:id="585768394">
      <w:bodyDiv w:val="1"/>
      <w:marLeft w:val="0"/>
      <w:marRight w:val="0"/>
      <w:marTop w:val="0"/>
      <w:marBottom w:val="0"/>
      <w:divBdr>
        <w:top w:val="none" w:sz="0" w:space="0" w:color="auto"/>
        <w:left w:val="none" w:sz="0" w:space="0" w:color="auto"/>
        <w:bottom w:val="none" w:sz="0" w:space="0" w:color="auto"/>
        <w:right w:val="none" w:sz="0" w:space="0" w:color="auto"/>
      </w:divBdr>
    </w:div>
    <w:div w:id="585916662">
      <w:bodyDiv w:val="1"/>
      <w:marLeft w:val="0"/>
      <w:marRight w:val="0"/>
      <w:marTop w:val="0"/>
      <w:marBottom w:val="0"/>
      <w:divBdr>
        <w:top w:val="none" w:sz="0" w:space="0" w:color="auto"/>
        <w:left w:val="none" w:sz="0" w:space="0" w:color="auto"/>
        <w:bottom w:val="none" w:sz="0" w:space="0" w:color="auto"/>
        <w:right w:val="none" w:sz="0" w:space="0" w:color="auto"/>
      </w:divBdr>
    </w:div>
    <w:div w:id="585967665">
      <w:bodyDiv w:val="1"/>
      <w:marLeft w:val="0"/>
      <w:marRight w:val="0"/>
      <w:marTop w:val="0"/>
      <w:marBottom w:val="0"/>
      <w:divBdr>
        <w:top w:val="none" w:sz="0" w:space="0" w:color="auto"/>
        <w:left w:val="none" w:sz="0" w:space="0" w:color="auto"/>
        <w:bottom w:val="none" w:sz="0" w:space="0" w:color="auto"/>
        <w:right w:val="none" w:sz="0" w:space="0" w:color="auto"/>
      </w:divBdr>
    </w:div>
    <w:div w:id="586116511">
      <w:bodyDiv w:val="1"/>
      <w:marLeft w:val="0"/>
      <w:marRight w:val="0"/>
      <w:marTop w:val="0"/>
      <w:marBottom w:val="0"/>
      <w:divBdr>
        <w:top w:val="none" w:sz="0" w:space="0" w:color="auto"/>
        <w:left w:val="none" w:sz="0" w:space="0" w:color="auto"/>
        <w:bottom w:val="none" w:sz="0" w:space="0" w:color="auto"/>
        <w:right w:val="none" w:sz="0" w:space="0" w:color="auto"/>
      </w:divBdr>
    </w:div>
    <w:div w:id="586154949">
      <w:bodyDiv w:val="1"/>
      <w:marLeft w:val="0"/>
      <w:marRight w:val="0"/>
      <w:marTop w:val="0"/>
      <w:marBottom w:val="0"/>
      <w:divBdr>
        <w:top w:val="none" w:sz="0" w:space="0" w:color="auto"/>
        <w:left w:val="none" w:sz="0" w:space="0" w:color="auto"/>
        <w:bottom w:val="none" w:sz="0" w:space="0" w:color="auto"/>
        <w:right w:val="none" w:sz="0" w:space="0" w:color="auto"/>
      </w:divBdr>
    </w:div>
    <w:div w:id="586497490">
      <w:bodyDiv w:val="1"/>
      <w:marLeft w:val="0"/>
      <w:marRight w:val="0"/>
      <w:marTop w:val="0"/>
      <w:marBottom w:val="0"/>
      <w:divBdr>
        <w:top w:val="none" w:sz="0" w:space="0" w:color="auto"/>
        <w:left w:val="none" w:sz="0" w:space="0" w:color="auto"/>
        <w:bottom w:val="none" w:sz="0" w:space="0" w:color="auto"/>
        <w:right w:val="none" w:sz="0" w:space="0" w:color="auto"/>
      </w:divBdr>
    </w:div>
    <w:div w:id="586505252">
      <w:bodyDiv w:val="1"/>
      <w:marLeft w:val="0"/>
      <w:marRight w:val="0"/>
      <w:marTop w:val="0"/>
      <w:marBottom w:val="0"/>
      <w:divBdr>
        <w:top w:val="none" w:sz="0" w:space="0" w:color="auto"/>
        <w:left w:val="none" w:sz="0" w:space="0" w:color="auto"/>
        <w:bottom w:val="none" w:sz="0" w:space="0" w:color="auto"/>
        <w:right w:val="none" w:sz="0" w:space="0" w:color="auto"/>
      </w:divBdr>
    </w:div>
    <w:div w:id="586621099">
      <w:bodyDiv w:val="1"/>
      <w:marLeft w:val="0"/>
      <w:marRight w:val="0"/>
      <w:marTop w:val="0"/>
      <w:marBottom w:val="0"/>
      <w:divBdr>
        <w:top w:val="none" w:sz="0" w:space="0" w:color="auto"/>
        <w:left w:val="none" w:sz="0" w:space="0" w:color="auto"/>
        <w:bottom w:val="none" w:sz="0" w:space="0" w:color="auto"/>
        <w:right w:val="none" w:sz="0" w:space="0" w:color="auto"/>
      </w:divBdr>
    </w:div>
    <w:div w:id="586690604">
      <w:bodyDiv w:val="1"/>
      <w:marLeft w:val="0"/>
      <w:marRight w:val="0"/>
      <w:marTop w:val="0"/>
      <w:marBottom w:val="0"/>
      <w:divBdr>
        <w:top w:val="none" w:sz="0" w:space="0" w:color="auto"/>
        <w:left w:val="none" w:sz="0" w:space="0" w:color="auto"/>
        <w:bottom w:val="none" w:sz="0" w:space="0" w:color="auto"/>
        <w:right w:val="none" w:sz="0" w:space="0" w:color="auto"/>
      </w:divBdr>
    </w:div>
    <w:div w:id="586770468">
      <w:bodyDiv w:val="1"/>
      <w:marLeft w:val="0"/>
      <w:marRight w:val="0"/>
      <w:marTop w:val="0"/>
      <w:marBottom w:val="0"/>
      <w:divBdr>
        <w:top w:val="none" w:sz="0" w:space="0" w:color="auto"/>
        <w:left w:val="none" w:sz="0" w:space="0" w:color="auto"/>
        <w:bottom w:val="none" w:sz="0" w:space="0" w:color="auto"/>
        <w:right w:val="none" w:sz="0" w:space="0" w:color="auto"/>
      </w:divBdr>
    </w:div>
    <w:div w:id="586841918">
      <w:bodyDiv w:val="1"/>
      <w:marLeft w:val="0"/>
      <w:marRight w:val="0"/>
      <w:marTop w:val="0"/>
      <w:marBottom w:val="0"/>
      <w:divBdr>
        <w:top w:val="none" w:sz="0" w:space="0" w:color="auto"/>
        <w:left w:val="none" w:sz="0" w:space="0" w:color="auto"/>
        <w:bottom w:val="none" w:sz="0" w:space="0" w:color="auto"/>
        <w:right w:val="none" w:sz="0" w:space="0" w:color="auto"/>
      </w:divBdr>
    </w:div>
    <w:div w:id="586964693">
      <w:bodyDiv w:val="1"/>
      <w:marLeft w:val="0"/>
      <w:marRight w:val="0"/>
      <w:marTop w:val="0"/>
      <w:marBottom w:val="0"/>
      <w:divBdr>
        <w:top w:val="none" w:sz="0" w:space="0" w:color="auto"/>
        <w:left w:val="none" w:sz="0" w:space="0" w:color="auto"/>
        <w:bottom w:val="none" w:sz="0" w:space="0" w:color="auto"/>
        <w:right w:val="none" w:sz="0" w:space="0" w:color="auto"/>
      </w:divBdr>
    </w:div>
    <w:div w:id="587076229">
      <w:bodyDiv w:val="1"/>
      <w:marLeft w:val="0"/>
      <w:marRight w:val="0"/>
      <w:marTop w:val="0"/>
      <w:marBottom w:val="0"/>
      <w:divBdr>
        <w:top w:val="none" w:sz="0" w:space="0" w:color="auto"/>
        <w:left w:val="none" w:sz="0" w:space="0" w:color="auto"/>
        <w:bottom w:val="none" w:sz="0" w:space="0" w:color="auto"/>
        <w:right w:val="none" w:sz="0" w:space="0" w:color="auto"/>
      </w:divBdr>
    </w:div>
    <w:div w:id="587233442">
      <w:bodyDiv w:val="1"/>
      <w:marLeft w:val="0"/>
      <w:marRight w:val="0"/>
      <w:marTop w:val="0"/>
      <w:marBottom w:val="0"/>
      <w:divBdr>
        <w:top w:val="none" w:sz="0" w:space="0" w:color="auto"/>
        <w:left w:val="none" w:sz="0" w:space="0" w:color="auto"/>
        <w:bottom w:val="none" w:sz="0" w:space="0" w:color="auto"/>
        <w:right w:val="none" w:sz="0" w:space="0" w:color="auto"/>
      </w:divBdr>
    </w:div>
    <w:div w:id="587351251">
      <w:bodyDiv w:val="1"/>
      <w:marLeft w:val="0"/>
      <w:marRight w:val="0"/>
      <w:marTop w:val="0"/>
      <w:marBottom w:val="0"/>
      <w:divBdr>
        <w:top w:val="none" w:sz="0" w:space="0" w:color="auto"/>
        <w:left w:val="none" w:sz="0" w:space="0" w:color="auto"/>
        <w:bottom w:val="none" w:sz="0" w:space="0" w:color="auto"/>
        <w:right w:val="none" w:sz="0" w:space="0" w:color="auto"/>
      </w:divBdr>
    </w:div>
    <w:div w:id="587352960">
      <w:bodyDiv w:val="1"/>
      <w:marLeft w:val="0"/>
      <w:marRight w:val="0"/>
      <w:marTop w:val="0"/>
      <w:marBottom w:val="0"/>
      <w:divBdr>
        <w:top w:val="none" w:sz="0" w:space="0" w:color="auto"/>
        <w:left w:val="none" w:sz="0" w:space="0" w:color="auto"/>
        <w:bottom w:val="none" w:sz="0" w:space="0" w:color="auto"/>
        <w:right w:val="none" w:sz="0" w:space="0" w:color="auto"/>
      </w:divBdr>
    </w:div>
    <w:div w:id="587426547">
      <w:bodyDiv w:val="1"/>
      <w:marLeft w:val="0"/>
      <w:marRight w:val="0"/>
      <w:marTop w:val="0"/>
      <w:marBottom w:val="0"/>
      <w:divBdr>
        <w:top w:val="none" w:sz="0" w:space="0" w:color="auto"/>
        <w:left w:val="none" w:sz="0" w:space="0" w:color="auto"/>
        <w:bottom w:val="none" w:sz="0" w:space="0" w:color="auto"/>
        <w:right w:val="none" w:sz="0" w:space="0" w:color="auto"/>
      </w:divBdr>
    </w:div>
    <w:div w:id="587496785">
      <w:bodyDiv w:val="1"/>
      <w:marLeft w:val="0"/>
      <w:marRight w:val="0"/>
      <w:marTop w:val="0"/>
      <w:marBottom w:val="0"/>
      <w:divBdr>
        <w:top w:val="none" w:sz="0" w:space="0" w:color="auto"/>
        <w:left w:val="none" w:sz="0" w:space="0" w:color="auto"/>
        <w:bottom w:val="none" w:sz="0" w:space="0" w:color="auto"/>
        <w:right w:val="none" w:sz="0" w:space="0" w:color="auto"/>
      </w:divBdr>
    </w:div>
    <w:div w:id="587540075">
      <w:bodyDiv w:val="1"/>
      <w:marLeft w:val="0"/>
      <w:marRight w:val="0"/>
      <w:marTop w:val="0"/>
      <w:marBottom w:val="0"/>
      <w:divBdr>
        <w:top w:val="none" w:sz="0" w:space="0" w:color="auto"/>
        <w:left w:val="none" w:sz="0" w:space="0" w:color="auto"/>
        <w:bottom w:val="none" w:sz="0" w:space="0" w:color="auto"/>
        <w:right w:val="none" w:sz="0" w:space="0" w:color="auto"/>
      </w:divBdr>
    </w:div>
    <w:div w:id="587738993">
      <w:bodyDiv w:val="1"/>
      <w:marLeft w:val="0"/>
      <w:marRight w:val="0"/>
      <w:marTop w:val="0"/>
      <w:marBottom w:val="0"/>
      <w:divBdr>
        <w:top w:val="none" w:sz="0" w:space="0" w:color="auto"/>
        <w:left w:val="none" w:sz="0" w:space="0" w:color="auto"/>
        <w:bottom w:val="none" w:sz="0" w:space="0" w:color="auto"/>
        <w:right w:val="none" w:sz="0" w:space="0" w:color="auto"/>
      </w:divBdr>
    </w:div>
    <w:div w:id="587814669">
      <w:bodyDiv w:val="1"/>
      <w:marLeft w:val="0"/>
      <w:marRight w:val="0"/>
      <w:marTop w:val="0"/>
      <w:marBottom w:val="0"/>
      <w:divBdr>
        <w:top w:val="none" w:sz="0" w:space="0" w:color="auto"/>
        <w:left w:val="none" w:sz="0" w:space="0" w:color="auto"/>
        <w:bottom w:val="none" w:sz="0" w:space="0" w:color="auto"/>
        <w:right w:val="none" w:sz="0" w:space="0" w:color="auto"/>
      </w:divBdr>
    </w:div>
    <w:div w:id="587888110">
      <w:bodyDiv w:val="1"/>
      <w:marLeft w:val="0"/>
      <w:marRight w:val="0"/>
      <w:marTop w:val="0"/>
      <w:marBottom w:val="0"/>
      <w:divBdr>
        <w:top w:val="none" w:sz="0" w:space="0" w:color="auto"/>
        <w:left w:val="none" w:sz="0" w:space="0" w:color="auto"/>
        <w:bottom w:val="none" w:sz="0" w:space="0" w:color="auto"/>
        <w:right w:val="none" w:sz="0" w:space="0" w:color="auto"/>
      </w:divBdr>
    </w:div>
    <w:div w:id="587890571">
      <w:bodyDiv w:val="1"/>
      <w:marLeft w:val="0"/>
      <w:marRight w:val="0"/>
      <w:marTop w:val="0"/>
      <w:marBottom w:val="0"/>
      <w:divBdr>
        <w:top w:val="none" w:sz="0" w:space="0" w:color="auto"/>
        <w:left w:val="none" w:sz="0" w:space="0" w:color="auto"/>
        <w:bottom w:val="none" w:sz="0" w:space="0" w:color="auto"/>
        <w:right w:val="none" w:sz="0" w:space="0" w:color="auto"/>
      </w:divBdr>
    </w:div>
    <w:div w:id="588000606">
      <w:bodyDiv w:val="1"/>
      <w:marLeft w:val="0"/>
      <w:marRight w:val="0"/>
      <w:marTop w:val="0"/>
      <w:marBottom w:val="0"/>
      <w:divBdr>
        <w:top w:val="none" w:sz="0" w:space="0" w:color="auto"/>
        <w:left w:val="none" w:sz="0" w:space="0" w:color="auto"/>
        <w:bottom w:val="none" w:sz="0" w:space="0" w:color="auto"/>
        <w:right w:val="none" w:sz="0" w:space="0" w:color="auto"/>
      </w:divBdr>
    </w:div>
    <w:div w:id="588009069">
      <w:bodyDiv w:val="1"/>
      <w:marLeft w:val="0"/>
      <w:marRight w:val="0"/>
      <w:marTop w:val="0"/>
      <w:marBottom w:val="0"/>
      <w:divBdr>
        <w:top w:val="none" w:sz="0" w:space="0" w:color="auto"/>
        <w:left w:val="none" w:sz="0" w:space="0" w:color="auto"/>
        <w:bottom w:val="none" w:sz="0" w:space="0" w:color="auto"/>
        <w:right w:val="none" w:sz="0" w:space="0" w:color="auto"/>
      </w:divBdr>
    </w:div>
    <w:div w:id="588123991">
      <w:bodyDiv w:val="1"/>
      <w:marLeft w:val="0"/>
      <w:marRight w:val="0"/>
      <w:marTop w:val="0"/>
      <w:marBottom w:val="0"/>
      <w:divBdr>
        <w:top w:val="none" w:sz="0" w:space="0" w:color="auto"/>
        <w:left w:val="none" w:sz="0" w:space="0" w:color="auto"/>
        <w:bottom w:val="none" w:sz="0" w:space="0" w:color="auto"/>
        <w:right w:val="none" w:sz="0" w:space="0" w:color="auto"/>
      </w:divBdr>
    </w:div>
    <w:div w:id="588126904">
      <w:bodyDiv w:val="1"/>
      <w:marLeft w:val="0"/>
      <w:marRight w:val="0"/>
      <w:marTop w:val="0"/>
      <w:marBottom w:val="0"/>
      <w:divBdr>
        <w:top w:val="none" w:sz="0" w:space="0" w:color="auto"/>
        <w:left w:val="none" w:sz="0" w:space="0" w:color="auto"/>
        <w:bottom w:val="none" w:sz="0" w:space="0" w:color="auto"/>
        <w:right w:val="none" w:sz="0" w:space="0" w:color="auto"/>
      </w:divBdr>
    </w:div>
    <w:div w:id="588318637">
      <w:bodyDiv w:val="1"/>
      <w:marLeft w:val="0"/>
      <w:marRight w:val="0"/>
      <w:marTop w:val="0"/>
      <w:marBottom w:val="0"/>
      <w:divBdr>
        <w:top w:val="none" w:sz="0" w:space="0" w:color="auto"/>
        <w:left w:val="none" w:sz="0" w:space="0" w:color="auto"/>
        <w:bottom w:val="none" w:sz="0" w:space="0" w:color="auto"/>
        <w:right w:val="none" w:sz="0" w:space="0" w:color="auto"/>
      </w:divBdr>
    </w:div>
    <w:div w:id="588389301">
      <w:bodyDiv w:val="1"/>
      <w:marLeft w:val="0"/>
      <w:marRight w:val="0"/>
      <w:marTop w:val="0"/>
      <w:marBottom w:val="0"/>
      <w:divBdr>
        <w:top w:val="none" w:sz="0" w:space="0" w:color="auto"/>
        <w:left w:val="none" w:sz="0" w:space="0" w:color="auto"/>
        <w:bottom w:val="none" w:sz="0" w:space="0" w:color="auto"/>
        <w:right w:val="none" w:sz="0" w:space="0" w:color="auto"/>
      </w:divBdr>
    </w:div>
    <w:div w:id="588582162">
      <w:bodyDiv w:val="1"/>
      <w:marLeft w:val="0"/>
      <w:marRight w:val="0"/>
      <w:marTop w:val="0"/>
      <w:marBottom w:val="0"/>
      <w:divBdr>
        <w:top w:val="none" w:sz="0" w:space="0" w:color="auto"/>
        <w:left w:val="none" w:sz="0" w:space="0" w:color="auto"/>
        <w:bottom w:val="none" w:sz="0" w:space="0" w:color="auto"/>
        <w:right w:val="none" w:sz="0" w:space="0" w:color="auto"/>
      </w:divBdr>
    </w:div>
    <w:div w:id="588656447">
      <w:bodyDiv w:val="1"/>
      <w:marLeft w:val="0"/>
      <w:marRight w:val="0"/>
      <w:marTop w:val="0"/>
      <w:marBottom w:val="0"/>
      <w:divBdr>
        <w:top w:val="none" w:sz="0" w:space="0" w:color="auto"/>
        <w:left w:val="none" w:sz="0" w:space="0" w:color="auto"/>
        <w:bottom w:val="none" w:sz="0" w:space="0" w:color="auto"/>
        <w:right w:val="none" w:sz="0" w:space="0" w:color="auto"/>
      </w:divBdr>
    </w:div>
    <w:div w:id="588733142">
      <w:bodyDiv w:val="1"/>
      <w:marLeft w:val="0"/>
      <w:marRight w:val="0"/>
      <w:marTop w:val="0"/>
      <w:marBottom w:val="0"/>
      <w:divBdr>
        <w:top w:val="none" w:sz="0" w:space="0" w:color="auto"/>
        <w:left w:val="none" w:sz="0" w:space="0" w:color="auto"/>
        <w:bottom w:val="none" w:sz="0" w:space="0" w:color="auto"/>
        <w:right w:val="none" w:sz="0" w:space="0" w:color="auto"/>
      </w:divBdr>
    </w:div>
    <w:div w:id="588738216">
      <w:bodyDiv w:val="1"/>
      <w:marLeft w:val="0"/>
      <w:marRight w:val="0"/>
      <w:marTop w:val="0"/>
      <w:marBottom w:val="0"/>
      <w:divBdr>
        <w:top w:val="none" w:sz="0" w:space="0" w:color="auto"/>
        <w:left w:val="none" w:sz="0" w:space="0" w:color="auto"/>
        <w:bottom w:val="none" w:sz="0" w:space="0" w:color="auto"/>
        <w:right w:val="none" w:sz="0" w:space="0" w:color="auto"/>
      </w:divBdr>
    </w:div>
    <w:div w:id="588738601">
      <w:bodyDiv w:val="1"/>
      <w:marLeft w:val="0"/>
      <w:marRight w:val="0"/>
      <w:marTop w:val="0"/>
      <w:marBottom w:val="0"/>
      <w:divBdr>
        <w:top w:val="none" w:sz="0" w:space="0" w:color="auto"/>
        <w:left w:val="none" w:sz="0" w:space="0" w:color="auto"/>
        <w:bottom w:val="none" w:sz="0" w:space="0" w:color="auto"/>
        <w:right w:val="none" w:sz="0" w:space="0" w:color="auto"/>
      </w:divBdr>
    </w:div>
    <w:div w:id="588782304">
      <w:bodyDiv w:val="1"/>
      <w:marLeft w:val="0"/>
      <w:marRight w:val="0"/>
      <w:marTop w:val="0"/>
      <w:marBottom w:val="0"/>
      <w:divBdr>
        <w:top w:val="none" w:sz="0" w:space="0" w:color="auto"/>
        <w:left w:val="none" w:sz="0" w:space="0" w:color="auto"/>
        <w:bottom w:val="none" w:sz="0" w:space="0" w:color="auto"/>
        <w:right w:val="none" w:sz="0" w:space="0" w:color="auto"/>
      </w:divBdr>
    </w:div>
    <w:div w:id="588928919">
      <w:bodyDiv w:val="1"/>
      <w:marLeft w:val="0"/>
      <w:marRight w:val="0"/>
      <w:marTop w:val="0"/>
      <w:marBottom w:val="0"/>
      <w:divBdr>
        <w:top w:val="none" w:sz="0" w:space="0" w:color="auto"/>
        <w:left w:val="none" w:sz="0" w:space="0" w:color="auto"/>
        <w:bottom w:val="none" w:sz="0" w:space="0" w:color="auto"/>
        <w:right w:val="none" w:sz="0" w:space="0" w:color="auto"/>
      </w:divBdr>
    </w:div>
    <w:div w:id="589116980">
      <w:bodyDiv w:val="1"/>
      <w:marLeft w:val="0"/>
      <w:marRight w:val="0"/>
      <w:marTop w:val="0"/>
      <w:marBottom w:val="0"/>
      <w:divBdr>
        <w:top w:val="none" w:sz="0" w:space="0" w:color="auto"/>
        <w:left w:val="none" w:sz="0" w:space="0" w:color="auto"/>
        <w:bottom w:val="none" w:sz="0" w:space="0" w:color="auto"/>
        <w:right w:val="none" w:sz="0" w:space="0" w:color="auto"/>
      </w:divBdr>
    </w:div>
    <w:div w:id="589317508">
      <w:bodyDiv w:val="1"/>
      <w:marLeft w:val="0"/>
      <w:marRight w:val="0"/>
      <w:marTop w:val="0"/>
      <w:marBottom w:val="0"/>
      <w:divBdr>
        <w:top w:val="none" w:sz="0" w:space="0" w:color="auto"/>
        <w:left w:val="none" w:sz="0" w:space="0" w:color="auto"/>
        <w:bottom w:val="none" w:sz="0" w:space="0" w:color="auto"/>
        <w:right w:val="none" w:sz="0" w:space="0" w:color="auto"/>
      </w:divBdr>
    </w:div>
    <w:div w:id="589387638">
      <w:bodyDiv w:val="1"/>
      <w:marLeft w:val="0"/>
      <w:marRight w:val="0"/>
      <w:marTop w:val="0"/>
      <w:marBottom w:val="0"/>
      <w:divBdr>
        <w:top w:val="none" w:sz="0" w:space="0" w:color="auto"/>
        <w:left w:val="none" w:sz="0" w:space="0" w:color="auto"/>
        <w:bottom w:val="none" w:sz="0" w:space="0" w:color="auto"/>
        <w:right w:val="none" w:sz="0" w:space="0" w:color="auto"/>
      </w:divBdr>
    </w:div>
    <w:div w:id="589431884">
      <w:bodyDiv w:val="1"/>
      <w:marLeft w:val="0"/>
      <w:marRight w:val="0"/>
      <w:marTop w:val="0"/>
      <w:marBottom w:val="0"/>
      <w:divBdr>
        <w:top w:val="none" w:sz="0" w:space="0" w:color="auto"/>
        <w:left w:val="none" w:sz="0" w:space="0" w:color="auto"/>
        <w:bottom w:val="none" w:sz="0" w:space="0" w:color="auto"/>
        <w:right w:val="none" w:sz="0" w:space="0" w:color="auto"/>
      </w:divBdr>
    </w:div>
    <w:div w:id="589461397">
      <w:bodyDiv w:val="1"/>
      <w:marLeft w:val="0"/>
      <w:marRight w:val="0"/>
      <w:marTop w:val="0"/>
      <w:marBottom w:val="0"/>
      <w:divBdr>
        <w:top w:val="none" w:sz="0" w:space="0" w:color="auto"/>
        <w:left w:val="none" w:sz="0" w:space="0" w:color="auto"/>
        <w:bottom w:val="none" w:sz="0" w:space="0" w:color="auto"/>
        <w:right w:val="none" w:sz="0" w:space="0" w:color="auto"/>
      </w:divBdr>
    </w:div>
    <w:div w:id="589508781">
      <w:bodyDiv w:val="1"/>
      <w:marLeft w:val="0"/>
      <w:marRight w:val="0"/>
      <w:marTop w:val="0"/>
      <w:marBottom w:val="0"/>
      <w:divBdr>
        <w:top w:val="none" w:sz="0" w:space="0" w:color="auto"/>
        <w:left w:val="none" w:sz="0" w:space="0" w:color="auto"/>
        <w:bottom w:val="none" w:sz="0" w:space="0" w:color="auto"/>
        <w:right w:val="none" w:sz="0" w:space="0" w:color="auto"/>
      </w:divBdr>
    </w:div>
    <w:div w:id="589584840">
      <w:bodyDiv w:val="1"/>
      <w:marLeft w:val="0"/>
      <w:marRight w:val="0"/>
      <w:marTop w:val="0"/>
      <w:marBottom w:val="0"/>
      <w:divBdr>
        <w:top w:val="none" w:sz="0" w:space="0" w:color="auto"/>
        <w:left w:val="none" w:sz="0" w:space="0" w:color="auto"/>
        <w:bottom w:val="none" w:sz="0" w:space="0" w:color="auto"/>
        <w:right w:val="none" w:sz="0" w:space="0" w:color="auto"/>
      </w:divBdr>
    </w:div>
    <w:div w:id="589588058">
      <w:bodyDiv w:val="1"/>
      <w:marLeft w:val="0"/>
      <w:marRight w:val="0"/>
      <w:marTop w:val="0"/>
      <w:marBottom w:val="0"/>
      <w:divBdr>
        <w:top w:val="none" w:sz="0" w:space="0" w:color="auto"/>
        <w:left w:val="none" w:sz="0" w:space="0" w:color="auto"/>
        <w:bottom w:val="none" w:sz="0" w:space="0" w:color="auto"/>
        <w:right w:val="none" w:sz="0" w:space="0" w:color="auto"/>
      </w:divBdr>
    </w:div>
    <w:div w:id="589658253">
      <w:bodyDiv w:val="1"/>
      <w:marLeft w:val="0"/>
      <w:marRight w:val="0"/>
      <w:marTop w:val="0"/>
      <w:marBottom w:val="0"/>
      <w:divBdr>
        <w:top w:val="none" w:sz="0" w:space="0" w:color="auto"/>
        <w:left w:val="none" w:sz="0" w:space="0" w:color="auto"/>
        <w:bottom w:val="none" w:sz="0" w:space="0" w:color="auto"/>
        <w:right w:val="none" w:sz="0" w:space="0" w:color="auto"/>
      </w:divBdr>
    </w:div>
    <w:div w:id="589699461">
      <w:bodyDiv w:val="1"/>
      <w:marLeft w:val="0"/>
      <w:marRight w:val="0"/>
      <w:marTop w:val="0"/>
      <w:marBottom w:val="0"/>
      <w:divBdr>
        <w:top w:val="none" w:sz="0" w:space="0" w:color="auto"/>
        <w:left w:val="none" w:sz="0" w:space="0" w:color="auto"/>
        <w:bottom w:val="none" w:sz="0" w:space="0" w:color="auto"/>
        <w:right w:val="none" w:sz="0" w:space="0" w:color="auto"/>
      </w:divBdr>
    </w:div>
    <w:div w:id="589704097">
      <w:bodyDiv w:val="1"/>
      <w:marLeft w:val="0"/>
      <w:marRight w:val="0"/>
      <w:marTop w:val="0"/>
      <w:marBottom w:val="0"/>
      <w:divBdr>
        <w:top w:val="none" w:sz="0" w:space="0" w:color="auto"/>
        <w:left w:val="none" w:sz="0" w:space="0" w:color="auto"/>
        <w:bottom w:val="none" w:sz="0" w:space="0" w:color="auto"/>
        <w:right w:val="none" w:sz="0" w:space="0" w:color="auto"/>
      </w:divBdr>
    </w:div>
    <w:div w:id="589775539">
      <w:bodyDiv w:val="1"/>
      <w:marLeft w:val="0"/>
      <w:marRight w:val="0"/>
      <w:marTop w:val="0"/>
      <w:marBottom w:val="0"/>
      <w:divBdr>
        <w:top w:val="none" w:sz="0" w:space="0" w:color="auto"/>
        <w:left w:val="none" w:sz="0" w:space="0" w:color="auto"/>
        <w:bottom w:val="none" w:sz="0" w:space="0" w:color="auto"/>
        <w:right w:val="none" w:sz="0" w:space="0" w:color="auto"/>
      </w:divBdr>
    </w:div>
    <w:div w:id="589854294">
      <w:bodyDiv w:val="1"/>
      <w:marLeft w:val="0"/>
      <w:marRight w:val="0"/>
      <w:marTop w:val="0"/>
      <w:marBottom w:val="0"/>
      <w:divBdr>
        <w:top w:val="none" w:sz="0" w:space="0" w:color="auto"/>
        <w:left w:val="none" w:sz="0" w:space="0" w:color="auto"/>
        <w:bottom w:val="none" w:sz="0" w:space="0" w:color="auto"/>
        <w:right w:val="none" w:sz="0" w:space="0" w:color="auto"/>
      </w:divBdr>
    </w:div>
    <w:div w:id="589896060">
      <w:bodyDiv w:val="1"/>
      <w:marLeft w:val="0"/>
      <w:marRight w:val="0"/>
      <w:marTop w:val="0"/>
      <w:marBottom w:val="0"/>
      <w:divBdr>
        <w:top w:val="none" w:sz="0" w:space="0" w:color="auto"/>
        <w:left w:val="none" w:sz="0" w:space="0" w:color="auto"/>
        <w:bottom w:val="none" w:sz="0" w:space="0" w:color="auto"/>
        <w:right w:val="none" w:sz="0" w:space="0" w:color="auto"/>
      </w:divBdr>
    </w:div>
    <w:div w:id="589965542">
      <w:bodyDiv w:val="1"/>
      <w:marLeft w:val="0"/>
      <w:marRight w:val="0"/>
      <w:marTop w:val="0"/>
      <w:marBottom w:val="0"/>
      <w:divBdr>
        <w:top w:val="none" w:sz="0" w:space="0" w:color="auto"/>
        <w:left w:val="none" w:sz="0" w:space="0" w:color="auto"/>
        <w:bottom w:val="none" w:sz="0" w:space="0" w:color="auto"/>
        <w:right w:val="none" w:sz="0" w:space="0" w:color="auto"/>
      </w:divBdr>
    </w:div>
    <w:div w:id="589971540">
      <w:bodyDiv w:val="1"/>
      <w:marLeft w:val="0"/>
      <w:marRight w:val="0"/>
      <w:marTop w:val="0"/>
      <w:marBottom w:val="0"/>
      <w:divBdr>
        <w:top w:val="none" w:sz="0" w:space="0" w:color="auto"/>
        <w:left w:val="none" w:sz="0" w:space="0" w:color="auto"/>
        <w:bottom w:val="none" w:sz="0" w:space="0" w:color="auto"/>
        <w:right w:val="none" w:sz="0" w:space="0" w:color="auto"/>
      </w:divBdr>
    </w:div>
    <w:div w:id="590046589">
      <w:bodyDiv w:val="1"/>
      <w:marLeft w:val="0"/>
      <w:marRight w:val="0"/>
      <w:marTop w:val="0"/>
      <w:marBottom w:val="0"/>
      <w:divBdr>
        <w:top w:val="none" w:sz="0" w:space="0" w:color="auto"/>
        <w:left w:val="none" w:sz="0" w:space="0" w:color="auto"/>
        <w:bottom w:val="none" w:sz="0" w:space="0" w:color="auto"/>
        <w:right w:val="none" w:sz="0" w:space="0" w:color="auto"/>
      </w:divBdr>
    </w:div>
    <w:div w:id="590238196">
      <w:bodyDiv w:val="1"/>
      <w:marLeft w:val="0"/>
      <w:marRight w:val="0"/>
      <w:marTop w:val="0"/>
      <w:marBottom w:val="0"/>
      <w:divBdr>
        <w:top w:val="none" w:sz="0" w:space="0" w:color="auto"/>
        <w:left w:val="none" w:sz="0" w:space="0" w:color="auto"/>
        <w:bottom w:val="none" w:sz="0" w:space="0" w:color="auto"/>
        <w:right w:val="none" w:sz="0" w:space="0" w:color="auto"/>
      </w:divBdr>
    </w:div>
    <w:div w:id="590241865">
      <w:bodyDiv w:val="1"/>
      <w:marLeft w:val="0"/>
      <w:marRight w:val="0"/>
      <w:marTop w:val="0"/>
      <w:marBottom w:val="0"/>
      <w:divBdr>
        <w:top w:val="none" w:sz="0" w:space="0" w:color="auto"/>
        <w:left w:val="none" w:sz="0" w:space="0" w:color="auto"/>
        <w:bottom w:val="none" w:sz="0" w:space="0" w:color="auto"/>
        <w:right w:val="none" w:sz="0" w:space="0" w:color="auto"/>
      </w:divBdr>
    </w:div>
    <w:div w:id="590283182">
      <w:bodyDiv w:val="1"/>
      <w:marLeft w:val="0"/>
      <w:marRight w:val="0"/>
      <w:marTop w:val="0"/>
      <w:marBottom w:val="0"/>
      <w:divBdr>
        <w:top w:val="none" w:sz="0" w:space="0" w:color="auto"/>
        <w:left w:val="none" w:sz="0" w:space="0" w:color="auto"/>
        <w:bottom w:val="none" w:sz="0" w:space="0" w:color="auto"/>
        <w:right w:val="none" w:sz="0" w:space="0" w:color="auto"/>
      </w:divBdr>
    </w:div>
    <w:div w:id="590309982">
      <w:bodyDiv w:val="1"/>
      <w:marLeft w:val="0"/>
      <w:marRight w:val="0"/>
      <w:marTop w:val="0"/>
      <w:marBottom w:val="0"/>
      <w:divBdr>
        <w:top w:val="none" w:sz="0" w:space="0" w:color="auto"/>
        <w:left w:val="none" w:sz="0" w:space="0" w:color="auto"/>
        <w:bottom w:val="none" w:sz="0" w:space="0" w:color="auto"/>
        <w:right w:val="none" w:sz="0" w:space="0" w:color="auto"/>
      </w:divBdr>
    </w:div>
    <w:div w:id="590550449">
      <w:bodyDiv w:val="1"/>
      <w:marLeft w:val="0"/>
      <w:marRight w:val="0"/>
      <w:marTop w:val="0"/>
      <w:marBottom w:val="0"/>
      <w:divBdr>
        <w:top w:val="none" w:sz="0" w:space="0" w:color="auto"/>
        <w:left w:val="none" w:sz="0" w:space="0" w:color="auto"/>
        <w:bottom w:val="none" w:sz="0" w:space="0" w:color="auto"/>
        <w:right w:val="none" w:sz="0" w:space="0" w:color="auto"/>
      </w:divBdr>
    </w:div>
    <w:div w:id="590551266">
      <w:bodyDiv w:val="1"/>
      <w:marLeft w:val="0"/>
      <w:marRight w:val="0"/>
      <w:marTop w:val="0"/>
      <w:marBottom w:val="0"/>
      <w:divBdr>
        <w:top w:val="none" w:sz="0" w:space="0" w:color="auto"/>
        <w:left w:val="none" w:sz="0" w:space="0" w:color="auto"/>
        <w:bottom w:val="none" w:sz="0" w:space="0" w:color="auto"/>
        <w:right w:val="none" w:sz="0" w:space="0" w:color="auto"/>
      </w:divBdr>
    </w:div>
    <w:div w:id="590626164">
      <w:bodyDiv w:val="1"/>
      <w:marLeft w:val="0"/>
      <w:marRight w:val="0"/>
      <w:marTop w:val="0"/>
      <w:marBottom w:val="0"/>
      <w:divBdr>
        <w:top w:val="none" w:sz="0" w:space="0" w:color="auto"/>
        <w:left w:val="none" w:sz="0" w:space="0" w:color="auto"/>
        <w:bottom w:val="none" w:sz="0" w:space="0" w:color="auto"/>
        <w:right w:val="none" w:sz="0" w:space="0" w:color="auto"/>
      </w:divBdr>
    </w:div>
    <w:div w:id="590889693">
      <w:bodyDiv w:val="1"/>
      <w:marLeft w:val="0"/>
      <w:marRight w:val="0"/>
      <w:marTop w:val="0"/>
      <w:marBottom w:val="0"/>
      <w:divBdr>
        <w:top w:val="none" w:sz="0" w:space="0" w:color="auto"/>
        <w:left w:val="none" w:sz="0" w:space="0" w:color="auto"/>
        <w:bottom w:val="none" w:sz="0" w:space="0" w:color="auto"/>
        <w:right w:val="none" w:sz="0" w:space="0" w:color="auto"/>
      </w:divBdr>
    </w:div>
    <w:div w:id="590970501">
      <w:bodyDiv w:val="1"/>
      <w:marLeft w:val="0"/>
      <w:marRight w:val="0"/>
      <w:marTop w:val="0"/>
      <w:marBottom w:val="0"/>
      <w:divBdr>
        <w:top w:val="none" w:sz="0" w:space="0" w:color="auto"/>
        <w:left w:val="none" w:sz="0" w:space="0" w:color="auto"/>
        <w:bottom w:val="none" w:sz="0" w:space="0" w:color="auto"/>
        <w:right w:val="none" w:sz="0" w:space="0" w:color="auto"/>
      </w:divBdr>
    </w:div>
    <w:div w:id="591083391">
      <w:bodyDiv w:val="1"/>
      <w:marLeft w:val="0"/>
      <w:marRight w:val="0"/>
      <w:marTop w:val="0"/>
      <w:marBottom w:val="0"/>
      <w:divBdr>
        <w:top w:val="none" w:sz="0" w:space="0" w:color="auto"/>
        <w:left w:val="none" w:sz="0" w:space="0" w:color="auto"/>
        <w:bottom w:val="none" w:sz="0" w:space="0" w:color="auto"/>
        <w:right w:val="none" w:sz="0" w:space="0" w:color="auto"/>
      </w:divBdr>
    </w:div>
    <w:div w:id="591084401">
      <w:bodyDiv w:val="1"/>
      <w:marLeft w:val="0"/>
      <w:marRight w:val="0"/>
      <w:marTop w:val="0"/>
      <w:marBottom w:val="0"/>
      <w:divBdr>
        <w:top w:val="none" w:sz="0" w:space="0" w:color="auto"/>
        <w:left w:val="none" w:sz="0" w:space="0" w:color="auto"/>
        <w:bottom w:val="none" w:sz="0" w:space="0" w:color="auto"/>
        <w:right w:val="none" w:sz="0" w:space="0" w:color="auto"/>
      </w:divBdr>
    </w:div>
    <w:div w:id="591158160">
      <w:bodyDiv w:val="1"/>
      <w:marLeft w:val="0"/>
      <w:marRight w:val="0"/>
      <w:marTop w:val="0"/>
      <w:marBottom w:val="0"/>
      <w:divBdr>
        <w:top w:val="none" w:sz="0" w:space="0" w:color="auto"/>
        <w:left w:val="none" w:sz="0" w:space="0" w:color="auto"/>
        <w:bottom w:val="none" w:sz="0" w:space="0" w:color="auto"/>
        <w:right w:val="none" w:sz="0" w:space="0" w:color="auto"/>
      </w:divBdr>
    </w:div>
    <w:div w:id="591162083">
      <w:bodyDiv w:val="1"/>
      <w:marLeft w:val="0"/>
      <w:marRight w:val="0"/>
      <w:marTop w:val="0"/>
      <w:marBottom w:val="0"/>
      <w:divBdr>
        <w:top w:val="none" w:sz="0" w:space="0" w:color="auto"/>
        <w:left w:val="none" w:sz="0" w:space="0" w:color="auto"/>
        <w:bottom w:val="none" w:sz="0" w:space="0" w:color="auto"/>
        <w:right w:val="none" w:sz="0" w:space="0" w:color="auto"/>
      </w:divBdr>
    </w:div>
    <w:div w:id="591201083">
      <w:bodyDiv w:val="1"/>
      <w:marLeft w:val="0"/>
      <w:marRight w:val="0"/>
      <w:marTop w:val="0"/>
      <w:marBottom w:val="0"/>
      <w:divBdr>
        <w:top w:val="none" w:sz="0" w:space="0" w:color="auto"/>
        <w:left w:val="none" w:sz="0" w:space="0" w:color="auto"/>
        <w:bottom w:val="none" w:sz="0" w:space="0" w:color="auto"/>
        <w:right w:val="none" w:sz="0" w:space="0" w:color="auto"/>
      </w:divBdr>
    </w:div>
    <w:div w:id="591209948">
      <w:bodyDiv w:val="1"/>
      <w:marLeft w:val="0"/>
      <w:marRight w:val="0"/>
      <w:marTop w:val="0"/>
      <w:marBottom w:val="0"/>
      <w:divBdr>
        <w:top w:val="none" w:sz="0" w:space="0" w:color="auto"/>
        <w:left w:val="none" w:sz="0" w:space="0" w:color="auto"/>
        <w:bottom w:val="none" w:sz="0" w:space="0" w:color="auto"/>
        <w:right w:val="none" w:sz="0" w:space="0" w:color="auto"/>
      </w:divBdr>
    </w:div>
    <w:div w:id="591279842">
      <w:bodyDiv w:val="1"/>
      <w:marLeft w:val="0"/>
      <w:marRight w:val="0"/>
      <w:marTop w:val="0"/>
      <w:marBottom w:val="0"/>
      <w:divBdr>
        <w:top w:val="none" w:sz="0" w:space="0" w:color="auto"/>
        <w:left w:val="none" w:sz="0" w:space="0" w:color="auto"/>
        <w:bottom w:val="none" w:sz="0" w:space="0" w:color="auto"/>
        <w:right w:val="none" w:sz="0" w:space="0" w:color="auto"/>
      </w:divBdr>
    </w:div>
    <w:div w:id="591356249">
      <w:bodyDiv w:val="1"/>
      <w:marLeft w:val="0"/>
      <w:marRight w:val="0"/>
      <w:marTop w:val="0"/>
      <w:marBottom w:val="0"/>
      <w:divBdr>
        <w:top w:val="none" w:sz="0" w:space="0" w:color="auto"/>
        <w:left w:val="none" w:sz="0" w:space="0" w:color="auto"/>
        <w:bottom w:val="none" w:sz="0" w:space="0" w:color="auto"/>
        <w:right w:val="none" w:sz="0" w:space="0" w:color="auto"/>
      </w:divBdr>
    </w:div>
    <w:div w:id="591399532">
      <w:bodyDiv w:val="1"/>
      <w:marLeft w:val="0"/>
      <w:marRight w:val="0"/>
      <w:marTop w:val="0"/>
      <w:marBottom w:val="0"/>
      <w:divBdr>
        <w:top w:val="none" w:sz="0" w:space="0" w:color="auto"/>
        <w:left w:val="none" w:sz="0" w:space="0" w:color="auto"/>
        <w:bottom w:val="none" w:sz="0" w:space="0" w:color="auto"/>
        <w:right w:val="none" w:sz="0" w:space="0" w:color="auto"/>
      </w:divBdr>
    </w:div>
    <w:div w:id="591550267">
      <w:bodyDiv w:val="1"/>
      <w:marLeft w:val="0"/>
      <w:marRight w:val="0"/>
      <w:marTop w:val="0"/>
      <w:marBottom w:val="0"/>
      <w:divBdr>
        <w:top w:val="none" w:sz="0" w:space="0" w:color="auto"/>
        <w:left w:val="none" w:sz="0" w:space="0" w:color="auto"/>
        <w:bottom w:val="none" w:sz="0" w:space="0" w:color="auto"/>
        <w:right w:val="none" w:sz="0" w:space="0" w:color="auto"/>
      </w:divBdr>
    </w:div>
    <w:div w:id="591665122">
      <w:bodyDiv w:val="1"/>
      <w:marLeft w:val="0"/>
      <w:marRight w:val="0"/>
      <w:marTop w:val="0"/>
      <w:marBottom w:val="0"/>
      <w:divBdr>
        <w:top w:val="none" w:sz="0" w:space="0" w:color="auto"/>
        <w:left w:val="none" w:sz="0" w:space="0" w:color="auto"/>
        <w:bottom w:val="none" w:sz="0" w:space="0" w:color="auto"/>
        <w:right w:val="none" w:sz="0" w:space="0" w:color="auto"/>
      </w:divBdr>
    </w:div>
    <w:div w:id="591666589">
      <w:bodyDiv w:val="1"/>
      <w:marLeft w:val="0"/>
      <w:marRight w:val="0"/>
      <w:marTop w:val="0"/>
      <w:marBottom w:val="0"/>
      <w:divBdr>
        <w:top w:val="none" w:sz="0" w:space="0" w:color="auto"/>
        <w:left w:val="none" w:sz="0" w:space="0" w:color="auto"/>
        <w:bottom w:val="none" w:sz="0" w:space="0" w:color="auto"/>
        <w:right w:val="none" w:sz="0" w:space="0" w:color="auto"/>
      </w:divBdr>
    </w:div>
    <w:div w:id="591667684">
      <w:bodyDiv w:val="1"/>
      <w:marLeft w:val="0"/>
      <w:marRight w:val="0"/>
      <w:marTop w:val="0"/>
      <w:marBottom w:val="0"/>
      <w:divBdr>
        <w:top w:val="none" w:sz="0" w:space="0" w:color="auto"/>
        <w:left w:val="none" w:sz="0" w:space="0" w:color="auto"/>
        <w:bottom w:val="none" w:sz="0" w:space="0" w:color="auto"/>
        <w:right w:val="none" w:sz="0" w:space="0" w:color="auto"/>
      </w:divBdr>
    </w:div>
    <w:div w:id="591743028">
      <w:bodyDiv w:val="1"/>
      <w:marLeft w:val="0"/>
      <w:marRight w:val="0"/>
      <w:marTop w:val="0"/>
      <w:marBottom w:val="0"/>
      <w:divBdr>
        <w:top w:val="none" w:sz="0" w:space="0" w:color="auto"/>
        <w:left w:val="none" w:sz="0" w:space="0" w:color="auto"/>
        <w:bottom w:val="none" w:sz="0" w:space="0" w:color="auto"/>
        <w:right w:val="none" w:sz="0" w:space="0" w:color="auto"/>
      </w:divBdr>
    </w:div>
    <w:div w:id="591817295">
      <w:bodyDiv w:val="1"/>
      <w:marLeft w:val="0"/>
      <w:marRight w:val="0"/>
      <w:marTop w:val="0"/>
      <w:marBottom w:val="0"/>
      <w:divBdr>
        <w:top w:val="none" w:sz="0" w:space="0" w:color="auto"/>
        <w:left w:val="none" w:sz="0" w:space="0" w:color="auto"/>
        <w:bottom w:val="none" w:sz="0" w:space="0" w:color="auto"/>
        <w:right w:val="none" w:sz="0" w:space="0" w:color="auto"/>
      </w:divBdr>
    </w:div>
    <w:div w:id="592055224">
      <w:bodyDiv w:val="1"/>
      <w:marLeft w:val="0"/>
      <w:marRight w:val="0"/>
      <w:marTop w:val="0"/>
      <w:marBottom w:val="0"/>
      <w:divBdr>
        <w:top w:val="none" w:sz="0" w:space="0" w:color="auto"/>
        <w:left w:val="none" w:sz="0" w:space="0" w:color="auto"/>
        <w:bottom w:val="none" w:sz="0" w:space="0" w:color="auto"/>
        <w:right w:val="none" w:sz="0" w:space="0" w:color="auto"/>
      </w:divBdr>
    </w:div>
    <w:div w:id="592200631">
      <w:bodyDiv w:val="1"/>
      <w:marLeft w:val="0"/>
      <w:marRight w:val="0"/>
      <w:marTop w:val="0"/>
      <w:marBottom w:val="0"/>
      <w:divBdr>
        <w:top w:val="none" w:sz="0" w:space="0" w:color="auto"/>
        <w:left w:val="none" w:sz="0" w:space="0" w:color="auto"/>
        <w:bottom w:val="none" w:sz="0" w:space="0" w:color="auto"/>
        <w:right w:val="none" w:sz="0" w:space="0" w:color="auto"/>
      </w:divBdr>
    </w:div>
    <w:div w:id="592393051">
      <w:bodyDiv w:val="1"/>
      <w:marLeft w:val="0"/>
      <w:marRight w:val="0"/>
      <w:marTop w:val="0"/>
      <w:marBottom w:val="0"/>
      <w:divBdr>
        <w:top w:val="none" w:sz="0" w:space="0" w:color="auto"/>
        <w:left w:val="none" w:sz="0" w:space="0" w:color="auto"/>
        <w:bottom w:val="none" w:sz="0" w:space="0" w:color="auto"/>
        <w:right w:val="none" w:sz="0" w:space="0" w:color="auto"/>
      </w:divBdr>
    </w:div>
    <w:div w:id="592400677">
      <w:bodyDiv w:val="1"/>
      <w:marLeft w:val="0"/>
      <w:marRight w:val="0"/>
      <w:marTop w:val="0"/>
      <w:marBottom w:val="0"/>
      <w:divBdr>
        <w:top w:val="none" w:sz="0" w:space="0" w:color="auto"/>
        <w:left w:val="none" w:sz="0" w:space="0" w:color="auto"/>
        <w:bottom w:val="none" w:sz="0" w:space="0" w:color="auto"/>
        <w:right w:val="none" w:sz="0" w:space="0" w:color="auto"/>
      </w:divBdr>
    </w:div>
    <w:div w:id="592471417">
      <w:bodyDiv w:val="1"/>
      <w:marLeft w:val="0"/>
      <w:marRight w:val="0"/>
      <w:marTop w:val="0"/>
      <w:marBottom w:val="0"/>
      <w:divBdr>
        <w:top w:val="none" w:sz="0" w:space="0" w:color="auto"/>
        <w:left w:val="none" w:sz="0" w:space="0" w:color="auto"/>
        <w:bottom w:val="none" w:sz="0" w:space="0" w:color="auto"/>
        <w:right w:val="none" w:sz="0" w:space="0" w:color="auto"/>
      </w:divBdr>
    </w:div>
    <w:div w:id="592513062">
      <w:bodyDiv w:val="1"/>
      <w:marLeft w:val="0"/>
      <w:marRight w:val="0"/>
      <w:marTop w:val="0"/>
      <w:marBottom w:val="0"/>
      <w:divBdr>
        <w:top w:val="none" w:sz="0" w:space="0" w:color="auto"/>
        <w:left w:val="none" w:sz="0" w:space="0" w:color="auto"/>
        <w:bottom w:val="none" w:sz="0" w:space="0" w:color="auto"/>
        <w:right w:val="none" w:sz="0" w:space="0" w:color="auto"/>
      </w:divBdr>
    </w:div>
    <w:div w:id="592591369">
      <w:bodyDiv w:val="1"/>
      <w:marLeft w:val="0"/>
      <w:marRight w:val="0"/>
      <w:marTop w:val="0"/>
      <w:marBottom w:val="0"/>
      <w:divBdr>
        <w:top w:val="none" w:sz="0" w:space="0" w:color="auto"/>
        <w:left w:val="none" w:sz="0" w:space="0" w:color="auto"/>
        <w:bottom w:val="none" w:sz="0" w:space="0" w:color="auto"/>
        <w:right w:val="none" w:sz="0" w:space="0" w:color="auto"/>
      </w:divBdr>
    </w:div>
    <w:div w:id="592711860">
      <w:bodyDiv w:val="1"/>
      <w:marLeft w:val="0"/>
      <w:marRight w:val="0"/>
      <w:marTop w:val="0"/>
      <w:marBottom w:val="0"/>
      <w:divBdr>
        <w:top w:val="none" w:sz="0" w:space="0" w:color="auto"/>
        <w:left w:val="none" w:sz="0" w:space="0" w:color="auto"/>
        <w:bottom w:val="none" w:sz="0" w:space="0" w:color="auto"/>
        <w:right w:val="none" w:sz="0" w:space="0" w:color="auto"/>
      </w:divBdr>
    </w:div>
    <w:div w:id="592855596">
      <w:bodyDiv w:val="1"/>
      <w:marLeft w:val="0"/>
      <w:marRight w:val="0"/>
      <w:marTop w:val="0"/>
      <w:marBottom w:val="0"/>
      <w:divBdr>
        <w:top w:val="none" w:sz="0" w:space="0" w:color="auto"/>
        <w:left w:val="none" w:sz="0" w:space="0" w:color="auto"/>
        <w:bottom w:val="none" w:sz="0" w:space="0" w:color="auto"/>
        <w:right w:val="none" w:sz="0" w:space="0" w:color="auto"/>
      </w:divBdr>
    </w:div>
    <w:div w:id="592905086">
      <w:bodyDiv w:val="1"/>
      <w:marLeft w:val="0"/>
      <w:marRight w:val="0"/>
      <w:marTop w:val="0"/>
      <w:marBottom w:val="0"/>
      <w:divBdr>
        <w:top w:val="none" w:sz="0" w:space="0" w:color="auto"/>
        <w:left w:val="none" w:sz="0" w:space="0" w:color="auto"/>
        <w:bottom w:val="none" w:sz="0" w:space="0" w:color="auto"/>
        <w:right w:val="none" w:sz="0" w:space="0" w:color="auto"/>
      </w:divBdr>
    </w:div>
    <w:div w:id="593052165">
      <w:bodyDiv w:val="1"/>
      <w:marLeft w:val="0"/>
      <w:marRight w:val="0"/>
      <w:marTop w:val="0"/>
      <w:marBottom w:val="0"/>
      <w:divBdr>
        <w:top w:val="none" w:sz="0" w:space="0" w:color="auto"/>
        <w:left w:val="none" w:sz="0" w:space="0" w:color="auto"/>
        <w:bottom w:val="none" w:sz="0" w:space="0" w:color="auto"/>
        <w:right w:val="none" w:sz="0" w:space="0" w:color="auto"/>
      </w:divBdr>
    </w:div>
    <w:div w:id="593052662">
      <w:bodyDiv w:val="1"/>
      <w:marLeft w:val="0"/>
      <w:marRight w:val="0"/>
      <w:marTop w:val="0"/>
      <w:marBottom w:val="0"/>
      <w:divBdr>
        <w:top w:val="none" w:sz="0" w:space="0" w:color="auto"/>
        <w:left w:val="none" w:sz="0" w:space="0" w:color="auto"/>
        <w:bottom w:val="none" w:sz="0" w:space="0" w:color="auto"/>
        <w:right w:val="none" w:sz="0" w:space="0" w:color="auto"/>
      </w:divBdr>
    </w:div>
    <w:div w:id="593055745">
      <w:bodyDiv w:val="1"/>
      <w:marLeft w:val="0"/>
      <w:marRight w:val="0"/>
      <w:marTop w:val="0"/>
      <w:marBottom w:val="0"/>
      <w:divBdr>
        <w:top w:val="none" w:sz="0" w:space="0" w:color="auto"/>
        <w:left w:val="none" w:sz="0" w:space="0" w:color="auto"/>
        <w:bottom w:val="none" w:sz="0" w:space="0" w:color="auto"/>
        <w:right w:val="none" w:sz="0" w:space="0" w:color="auto"/>
      </w:divBdr>
    </w:div>
    <w:div w:id="593128920">
      <w:bodyDiv w:val="1"/>
      <w:marLeft w:val="0"/>
      <w:marRight w:val="0"/>
      <w:marTop w:val="0"/>
      <w:marBottom w:val="0"/>
      <w:divBdr>
        <w:top w:val="none" w:sz="0" w:space="0" w:color="auto"/>
        <w:left w:val="none" w:sz="0" w:space="0" w:color="auto"/>
        <w:bottom w:val="none" w:sz="0" w:space="0" w:color="auto"/>
        <w:right w:val="none" w:sz="0" w:space="0" w:color="auto"/>
      </w:divBdr>
    </w:div>
    <w:div w:id="593174537">
      <w:bodyDiv w:val="1"/>
      <w:marLeft w:val="0"/>
      <w:marRight w:val="0"/>
      <w:marTop w:val="0"/>
      <w:marBottom w:val="0"/>
      <w:divBdr>
        <w:top w:val="none" w:sz="0" w:space="0" w:color="auto"/>
        <w:left w:val="none" w:sz="0" w:space="0" w:color="auto"/>
        <w:bottom w:val="none" w:sz="0" w:space="0" w:color="auto"/>
        <w:right w:val="none" w:sz="0" w:space="0" w:color="auto"/>
      </w:divBdr>
    </w:div>
    <w:div w:id="593364900">
      <w:bodyDiv w:val="1"/>
      <w:marLeft w:val="0"/>
      <w:marRight w:val="0"/>
      <w:marTop w:val="0"/>
      <w:marBottom w:val="0"/>
      <w:divBdr>
        <w:top w:val="none" w:sz="0" w:space="0" w:color="auto"/>
        <w:left w:val="none" w:sz="0" w:space="0" w:color="auto"/>
        <w:bottom w:val="none" w:sz="0" w:space="0" w:color="auto"/>
        <w:right w:val="none" w:sz="0" w:space="0" w:color="auto"/>
      </w:divBdr>
    </w:div>
    <w:div w:id="593443612">
      <w:bodyDiv w:val="1"/>
      <w:marLeft w:val="0"/>
      <w:marRight w:val="0"/>
      <w:marTop w:val="0"/>
      <w:marBottom w:val="0"/>
      <w:divBdr>
        <w:top w:val="none" w:sz="0" w:space="0" w:color="auto"/>
        <w:left w:val="none" w:sz="0" w:space="0" w:color="auto"/>
        <w:bottom w:val="none" w:sz="0" w:space="0" w:color="auto"/>
        <w:right w:val="none" w:sz="0" w:space="0" w:color="auto"/>
      </w:divBdr>
    </w:div>
    <w:div w:id="593629899">
      <w:bodyDiv w:val="1"/>
      <w:marLeft w:val="0"/>
      <w:marRight w:val="0"/>
      <w:marTop w:val="0"/>
      <w:marBottom w:val="0"/>
      <w:divBdr>
        <w:top w:val="none" w:sz="0" w:space="0" w:color="auto"/>
        <w:left w:val="none" w:sz="0" w:space="0" w:color="auto"/>
        <w:bottom w:val="none" w:sz="0" w:space="0" w:color="auto"/>
        <w:right w:val="none" w:sz="0" w:space="0" w:color="auto"/>
      </w:divBdr>
    </w:div>
    <w:div w:id="593901203">
      <w:bodyDiv w:val="1"/>
      <w:marLeft w:val="0"/>
      <w:marRight w:val="0"/>
      <w:marTop w:val="0"/>
      <w:marBottom w:val="0"/>
      <w:divBdr>
        <w:top w:val="none" w:sz="0" w:space="0" w:color="auto"/>
        <w:left w:val="none" w:sz="0" w:space="0" w:color="auto"/>
        <w:bottom w:val="none" w:sz="0" w:space="0" w:color="auto"/>
        <w:right w:val="none" w:sz="0" w:space="0" w:color="auto"/>
      </w:divBdr>
    </w:div>
    <w:div w:id="593903953">
      <w:bodyDiv w:val="1"/>
      <w:marLeft w:val="0"/>
      <w:marRight w:val="0"/>
      <w:marTop w:val="0"/>
      <w:marBottom w:val="0"/>
      <w:divBdr>
        <w:top w:val="none" w:sz="0" w:space="0" w:color="auto"/>
        <w:left w:val="none" w:sz="0" w:space="0" w:color="auto"/>
        <w:bottom w:val="none" w:sz="0" w:space="0" w:color="auto"/>
        <w:right w:val="none" w:sz="0" w:space="0" w:color="auto"/>
      </w:divBdr>
    </w:div>
    <w:div w:id="593905646">
      <w:bodyDiv w:val="1"/>
      <w:marLeft w:val="0"/>
      <w:marRight w:val="0"/>
      <w:marTop w:val="0"/>
      <w:marBottom w:val="0"/>
      <w:divBdr>
        <w:top w:val="none" w:sz="0" w:space="0" w:color="auto"/>
        <w:left w:val="none" w:sz="0" w:space="0" w:color="auto"/>
        <w:bottom w:val="none" w:sz="0" w:space="0" w:color="auto"/>
        <w:right w:val="none" w:sz="0" w:space="0" w:color="auto"/>
      </w:divBdr>
    </w:div>
    <w:div w:id="593972505">
      <w:bodyDiv w:val="1"/>
      <w:marLeft w:val="0"/>
      <w:marRight w:val="0"/>
      <w:marTop w:val="0"/>
      <w:marBottom w:val="0"/>
      <w:divBdr>
        <w:top w:val="none" w:sz="0" w:space="0" w:color="auto"/>
        <w:left w:val="none" w:sz="0" w:space="0" w:color="auto"/>
        <w:bottom w:val="none" w:sz="0" w:space="0" w:color="auto"/>
        <w:right w:val="none" w:sz="0" w:space="0" w:color="auto"/>
      </w:divBdr>
    </w:div>
    <w:div w:id="594020896">
      <w:bodyDiv w:val="1"/>
      <w:marLeft w:val="0"/>
      <w:marRight w:val="0"/>
      <w:marTop w:val="0"/>
      <w:marBottom w:val="0"/>
      <w:divBdr>
        <w:top w:val="none" w:sz="0" w:space="0" w:color="auto"/>
        <w:left w:val="none" w:sz="0" w:space="0" w:color="auto"/>
        <w:bottom w:val="none" w:sz="0" w:space="0" w:color="auto"/>
        <w:right w:val="none" w:sz="0" w:space="0" w:color="auto"/>
      </w:divBdr>
    </w:div>
    <w:div w:id="594049457">
      <w:bodyDiv w:val="1"/>
      <w:marLeft w:val="0"/>
      <w:marRight w:val="0"/>
      <w:marTop w:val="0"/>
      <w:marBottom w:val="0"/>
      <w:divBdr>
        <w:top w:val="none" w:sz="0" w:space="0" w:color="auto"/>
        <w:left w:val="none" w:sz="0" w:space="0" w:color="auto"/>
        <w:bottom w:val="none" w:sz="0" w:space="0" w:color="auto"/>
        <w:right w:val="none" w:sz="0" w:space="0" w:color="auto"/>
      </w:divBdr>
    </w:div>
    <w:div w:id="594243090">
      <w:bodyDiv w:val="1"/>
      <w:marLeft w:val="0"/>
      <w:marRight w:val="0"/>
      <w:marTop w:val="0"/>
      <w:marBottom w:val="0"/>
      <w:divBdr>
        <w:top w:val="none" w:sz="0" w:space="0" w:color="auto"/>
        <w:left w:val="none" w:sz="0" w:space="0" w:color="auto"/>
        <w:bottom w:val="none" w:sz="0" w:space="0" w:color="auto"/>
        <w:right w:val="none" w:sz="0" w:space="0" w:color="auto"/>
      </w:divBdr>
    </w:div>
    <w:div w:id="594365382">
      <w:bodyDiv w:val="1"/>
      <w:marLeft w:val="0"/>
      <w:marRight w:val="0"/>
      <w:marTop w:val="0"/>
      <w:marBottom w:val="0"/>
      <w:divBdr>
        <w:top w:val="none" w:sz="0" w:space="0" w:color="auto"/>
        <w:left w:val="none" w:sz="0" w:space="0" w:color="auto"/>
        <w:bottom w:val="none" w:sz="0" w:space="0" w:color="auto"/>
        <w:right w:val="none" w:sz="0" w:space="0" w:color="auto"/>
      </w:divBdr>
    </w:div>
    <w:div w:id="594437279">
      <w:bodyDiv w:val="1"/>
      <w:marLeft w:val="0"/>
      <w:marRight w:val="0"/>
      <w:marTop w:val="0"/>
      <w:marBottom w:val="0"/>
      <w:divBdr>
        <w:top w:val="none" w:sz="0" w:space="0" w:color="auto"/>
        <w:left w:val="none" w:sz="0" w:space="0" w:color="auto"/>
        <w:bottom w:val="none" w:sz="0" w:space="0" w:color="auto"/>
        <w:right w:val="none" w:sz="0" w:space="0" w:color="auto"/>
      </w:divBdr>
    </w:div>
    <w:div w:id="594484624">
      <w:bodyDiv w:val="1"/>
      <w:marLeft w:val="0"/>
      <w:marRight w:val="0"/>
      <w:marTop w:val="0"/>
      <w:marBottom w:val="0"/>
      <w:divBdr>
        <w:top w:val="none" w:sz="0" w:space="0" w:color="auto"/>
        <w:left w:val="none" w:sz="0" w:space="0" w:color="auto"/>
        <w:bottom w:val="none" w:sz="0" w:space="0" w:color="auto"/>
        <w:right w:val="none" w:sz="0" w:space="0" w:color="auto"/>
      </w:divBdr>
    </w:div>
    <w:div w:id="594485166">
      <w:bodyDiv w:val="1"/>
      <w:marLeft w:val="0"/>
      <w:marRight w:val="0"/>
      <w:marTop w:val="0"/>
      <w:marBottom w:val="0"/>
      <w:divBdr>
        <w:top w:val="none" w:sz="0" w:space="0" w:color="auto"/>
        <w:left w:val="none" w:sz="0" w:space="0" w:color="auto"/>
        <w:bottom w:val="none" w:sz="0" w:space="0" w:color="auto"/>
        <w:right w:val="none" w:sz="0" w:space="0" w:color="auto"/>
      </w:divBdr>
    </w:div>
    <w:div w:id="594628604">
      <w:bodyDiv w:val="1"/>
      <w:marLeft w:val="0"/>
      <w:marRight w:val="0"/>
      <w:marTop w:val="0"/>
      <w:marBottom w:val="0"/>
      <w:divBdr>
        <w:top w:val="none" w:sz="0" w:space="0" w:color="auto"/>
        <w:left w:val="none" w:sz="0" w:space="0" w:color="auto"/>
        <w:bottom w:val="none" w:sz="0" w:space="0" w:color="auto"/>
        <w:right w:val="none" w:sz="0" w:space="0" w:color="auto"/>
      </w:divBdr>
    </w:div>
    <w:div w:id="594629783">
      <w:bodyDiv w:val="1"/>
      <w:marLeft w:val="0"/>
      <w:marRight w:val="0"/>
      <w:marTop w:val="0"/>
      <w:marBottom w:val="0"/>
      <w:divBdr>
        <w:top w:val="none" w:sz="0" w:space="0" w:color="auto"/>
        <w:left w:val="none" w:sz="0" w:space="0" w:color="auto"/>
        <w:bottom w:val="none" w:sz="0" w:space="0" w:color="auto"/>
        <w:right w:val="none" w:sz="0" w:space="0" w:color="auto"/>
      </w:divBdr>
    </w:div>
    <w:div w:id="594632739">
      <w:bodyDiv w:val="1"/>
      <w:marLeft w:val="0"/>
      <w:marRight w:val="0"/>
      <w:marTop w:val="0"/>
      <w:marBottom w:val="0"/>
      <w:divBdr>
        <w:top w:val="none" w:sz="0" w:space="0" w:color="auto"/>
        <w:left w:val="none" w:sz="0" w:space="0" w:color="auto"/>
        <w:bottom w:val="none" w:sz="0" w:space="0" w:color="auto"/>
        <w:right w:val="none" w:sz="0" w:space="0" w:color="auto"/>
      </w:divBdr>
    </w:div>
    <w:div w:id="594635390">
      <w:bodyDiv w:val="1"/>
      <w:marLeft w:val="0"/>
      <w:marRight w:val="0"/>
      <w:marTop w:val="0"/>
      <w:marBottom w:val="0"/>
      <w:divBdr>
        <w:top w:val="none" w:sz="0" w:space="0" w:color="auto"/>
        <w:left w:val="none" w:sz="0" w:space="0" w:color="auto"/>
        <w:bottom w:val="none" w:sz="0" w:space="0" w:color="auto"/>
        <w:right w:val="none" w:sz="0" w:space="0" w:color="auto"/>
      </w:divBdr>
    </w:div>
    <w:div w:id="594674416">
      <w:bodyDiv w:val="1"/>
      <w:marLeft w:val="0"/>
      <w:marRight w:val="0"/>
      <w:marTop w:val="0"/>
      <w:marBottom w:val="0"/>
      <w:divBdr>
        <w:top w:val="none" w:sz="0" w:space="0" w:color="auto"/>
        <w:left w:val="none" w:sz="0" w:space="0" w:color="auto"/>
        <w:bottom w:val="none" w:sz="0" w:space="0" w:color="auto"/>
        <w:right w:val="none" w:sz="0" w:space="0" w:color="auto"/>
      </w:divBdr>
    </w:div>
    <w:div w:id="594679693">
      <w:bodyDiv w:val="1"/>
      <w:marLeft w:val="0"/>
      <w:marRight w:val="0"/>
      <w:marTop w:val="0"/>
      <w:marBottom w:val="0"/>
      <w:divBdr>
        <w:top w:val="none" w:sz="0" w:space="0" w:color="auto"/>
        <w:left w:val="none" w:sz="0" w:space="0" w:color="auto"/>
        <w:bottom w:val="none" w:sz="0" w:space="0" w:color="auto"/>
        <w:right w:val="none" w:sz="0" w:space="0" w:color="auto"/>
      </w:divBdr>
    </w:div>
    <w:div w:id="594898366">
      <w:bodyDiv w:val="1"/>
      <w:marLeft w:val="0"/>
      <w:marRight w:val="0"/>
      <w:marTop w:val="0"/>
      <w:marBottom w:val="0"/>
      <w:divBdr>
        <w:top w:val="none" w:sz="0" w:space="0" w:color="auto"/>
        <w:left w:val="none" w:sz="0" w:space="0" w:color="auto"/>
        <w:bottom w:val="none" w:sz="0" w:space="0" w:color="auto"/>
        <w:right w:val="none" w:sz="0" w:space="0" w:color="auto"/>
      </w:divBdr>
    </w:div>
    <w:div w:id="595016421">
      <w:bodyDiv w:val="1"/>
      <w:marLeft w:val="0"/>
      <w:marRight w:val="0"/>
      <w:marTop w:val="0"/>
      <w:marBottom w:val="0"/>
      <w:divBdr>
        <w:top w:val="none" w:sz="0" w:space="0" w:color="auto"/>
        <w:left w:val="none" w:sz="0" w:space="0" w:color="auto"/>
        <w:bottom w:val="none" w:sz="0" w:space="0" w:color="auto"/>
        <w:right w:val="none" w:sz="0" w:space="0" w:color="auto"/>
      </w:divBdr>
    </w:div>
    <w:div w:id="595089877">
      <w:bodyDiv w:val="1"/>
      <w:marLeft w:val="0"/>
      <w:marRight w:val="0"/>
      <w:marTop w:val="0"/>
      <w:marBottom w:val="0"/>
      <w:divBdr>
        <w:top w:val="none" w:sz="0" w:space="0" w:color="auto"/>
        <w:left w:val="none" w:sz="0" w:space="0" w:color="auto"/>
        <w:bottom w:val="none" w:sz="0" w:space="0" w:color="auto"/>
        <w:right w:val="none" w:sz="0" w:space="0" w:color="auto"/>
      </w:divBdr>
    </w:div>
    <w:div w:id="595213182">
      <w:bodyDiv w:val="1"/>
      <w:marLeft w:val="0"/>
      <w:marRight w:val="0"/>
      <w:marTop w:val="0"/>
      <w:marBottom w:val="0"/>
      <w:divBdr>
        <w:top w:val="none" w:sz="0" w:space="0" w:color="auto"/>
        <w:left w:val="none" w:sz="0" w:space="0" w:color="auto"/>
        <w:bottom w:val="none" w:sz="0" w:space="0" w:color="auto"/>
        <w:right w:val="none" w:sz="0" w:space="0" w:color="auto"/>
      </w:divBdr>
    </w:div>
    <w:div w:id="595290092">
      <w:bodyDiv w:val="1"/>
      <w:marLeft w:val="0"/>
      <w:marRight w:val="0"/>
      <w:marTop w:val="0"/>
      <w:marBottom w:val="0"/>
      <w:divBdr>
        <w:top w:val="none" w:sz="0" w:space="0" w:color="auto"/>
        <w:left w:val="none" w:sz="0" w:space="0" w:color="auto"/>
        <w:bottom w:val="none" w:sz="0" w:space="0" w:color="auto"/>
        <w:right w:val="none" w:sz="0" w:space="0" w:color="auto"/>
      </w:divBdr>
    </w:div>
    <w:div w:id="595359186">
      <w:bodyDiv w:val="1"/>
      <w:marLeft w:val="0"/>
      <w:marRight w:val="0"/>
      <w:marTop w:val="0"/>
      <w:marBottom w:val="0"/>
      <w:divBdr>
        <w:top w:val="none" w:sz="0" w:space="0" w:color="auto"/>
        <w:left w:val="none" w:sz="0" w:space="0" w:color="auto"/>
        <w:bottom w:val="none" w:sz="0" w:space="0" w:color="auto"/>
        <w:right w:val="none" w:sz="0" w:space="0" w:color="auto"/>
      </w:divBdr>
    </w:div>
    <w:div w:id="595360572">
      <w:bodyDiv w:val="1"/>
      <w:marLeft w:val="0"/>
      <w:marRight w:val="0"/>
      <w:marTop w:val="0"/>
      <w:marBottom w:val="0"/>
      <w:divBdr>
        <w:top w:val="none" w:sz="0" w:space="0" w:color="auto"/>
        <w:left w:val="none" w:sz="0" w:space="0" w:color="auto"/>
        <w:bottom w:val="none" w:sz="0" w:space="0" w:color="auto"/>
        <w:right w:val="none" w:sz="0" w:space="0" w:color="auto"/>
      </w:divBdr>
    </w:div>
    <w:div w:id="595402775">
      <w:bodyDiv w:val="1"/>
      <w:marLeft w:val="0"/>
      <w:marRight w:val="0"/>
      <w:marTop w:val="0"/>
      <w:marBottom w:val="0"/>
      <w:divBdr>
        <w:top w:val="none" w:sz="0" w:space="0" w:color="auto"/>
        <w:left w:val="none" w:sz="0" w:space="0" w:color="auto"/>
        <w:bottom w:val="none" w:sz="0" w:space="0" w:color="auto"/>
        <w:right w:val="none" w:sz="0" w:space="0" w:color="auto"/>
      </w:divBdr>
    </w:div>
    <w:div w:id="595482115">
      <w:bodyDiv w:val="1"/>
      <w:marLeft w:val="0"/>
      <w:marRight w:val="0"/>
      <w:marTop w:val="0"/>
      <w:marBottom w:val="0"/>
      <w:divBdr>
        <w:top w:val="none" w:sz="0" w:space="0" w:color="auto"/>
        <w:left w:val="none" w:sz="0" w:space="0" w:color="auto"/>
        <w:bottom w:val="none" w:sz="0" w:space="0" w:color="auto"/>
        <w:right w:val="none" w:sz="0" w:space="0" w:color="auto"/>
      </w:divBdr>
    </w:div>
    <w:div w:id="595594121">
      <w:bodyDiv w:val="1"/>
      <w:marLeft w:val="0"/>
      <w:marRight w:val="0"/>
      <w:marTop w:val="0"/>
      <w:marBottom w:val="0"/>
      <w:divBdr>
        <w:top w:val="none" w:sz="0" w:space="0" w:color="auto"/>
        <w:left w:val="none" w:sz="0" w:space="0" w:color="auto"/>
        <w:bottom w:val="none" w:sz="0" w:space="0" w:color="auto"/>
        <w:right w:val="none" w:sz="0" w:space="0" w:color="auto"/>
      </w:divBdr>
    </w:div>
    <w:div w:id="595674904">
      <w:bodyDiv w:val="1"/>
      <w:marLeft w:val="0"/>
      <w:marRight w:val="0"/>
      <w:marTop w:val="0"/>
      <w:marBottom w:val="0"/>
      <w:divBdr>
        <w:top w:val="none" w:sz="0" w:space="0" w:color="auto"/>
        <w:left w:val="none" w:sz="0" w:space="0" w:color="auto"/>
        <w:bottom w:val="none" w:sz="0" w:space="0" w:color="auto"/>
        <w:right w:val="none" w:sz="0" w:space="0" w:color="auto"/>
      </w:divBdr>
    </w:div>
    <w:div w:id="595677780">
      <w:bodyDiv w:val="1"/>
      <w:marLeft w:val="0"/>
      <w:marRight w:val="0"/>
      <w:marTop w:val="0"/>
      <w:marBottom w:val="0"/>
      <w:divBdr>
        <w:top w:val="none" w:sz="0" w:space="0" w:color="auto"/>
        <w:left w:val="none" w:sz="0" w:space="0" w:color="auto"/>
        <w:bottom w:val="none" w:sz="0" w:space="0" w:color="auto"/>
        <w:right w:val="none" w:sz="0" w:space="0" w:color="auto"/>
      </w:divBdr>
    </w:div>
    <w:div w:id="595748538">
      <w:bodyDiv w:val="1"/>
      <w:marLeft w:val="0"/>
      <w:marRight w:val="0"/>
      <w:marTop w:val="0"/>
      <w:marBottom w:val="0"/>
      <w:divBdr>
        <w:top w:val="none" w:sz="0" w:space="0" w:color="auto"/>
        <w:left w:val="none" w:sz="0" w:space="0" w:color="auto"/>
        <w:bottom w:val="none" w:sz="0" w:space="0" w:color="auto"/>
        <w:right w:val="none" w:sz="0" w:space="0" w:color="auto"/>
      </w:divBdr>
    </w:div>
    <w:div w:id="596182217">
      <w:bodyDiv w:val="1"/>
      <w:marLeft w:val="0"/>
      <w:marRight w:val="0"/>
      <w:marTop w:val="0"/>
      <w:marBottom w:val="0"/>
      <w:divBdr>
        <w:top w:val="none" w:sz="0" w:space="0" w:color="auto"/>
        <w:left w:val="none" w:sz="0" w:space="0" w:color="auto"/>
        <w:bottom w:val="none" w:sz="0" w:space="0" w:color="auto"/>
        <w:right w:val="none" w:sz="0" w:space="0" w:color="auto"/>
      </w:divBdr>
    </w:div>
    <w:div w:id="596332358">
      <w:bodyDiv w:val="1"/>
      <w:marLeft w:val="0"/>
      <w:marRight w:val="0"/>
      <w:marTop w:val="0"/>
      <w:marBottom w:val="0"/>
      <w:divBdr>
        <w:top w:val="none" w:sz="0" w:space="0" w:color="auto"/>
        <w:left w:val="none" w:sz="0" w:space="0" w:color="auto"/>
        <w:bottom w:val="none" w:sz="0" w:space="0" w:color="auto"/>
        <w:right w:val="none" w:sz="0" w:space="0" w:color="auto"/>
      </w:divBdr>
    </w:div>
    <w:div w:id="596401337">
      <w:bodyDiv w:val="1"/>
      <w:marLeft w:val="0"/>
      <w:marRight w:val="0"/>
      <w:marTop w:val="0"/>
      <w:marBottom w:val="0"/>
      <w:divBdr>
        <w:top w:val="none" w:sz="0" w:space="0" w:color="auto"/>
        <w:left w:val="none" w:sz="0" w:space="0" w:color="auto"/>
        <w:bottom w:val="none" w:sz="0" w:space="0" w:color="auto"/>
        <w:right w:val="none" w:sz="0" w:space="0" w:color="auto"/>
      </w:divBdr>
    </w:div>
    <w:div w:id="596405221">
      <w:bodyDiv w:val="1"/>
      <w:marLeft w:val="0"/>
      <w:marRight w:val="0"/>
      <w:marTop w:val="0"/>
      <w:marBottom w:val="0"/>
      <w:divBdr>
        <w:top w:val="none" w:sz="0" w:space="0" w:color="auto"/>
        <w:left w:val="none" w:sz="0" w:space="0" w:color="auto"/>
        <w:bottom w:val="none" w:sz="0" w:space="0" w:color="auto"/>
        <w:right w:val="none" w:sz="0" w:space="0" w:color="auto"/>
      </w:divBdr>
    </w:div>
    <w:div w:id="596521918">
      <w:bodyDiv w:val="1"/>
      <w:marLeft w:val="0"/>
      <w:marRight w:val="0"/>
      <w:marTop w:val="0"/>
      <w:marBottom w:val="0"/>
      <w:divBdr>
        <w:top w:val="none" w:sz="0" w:space="0" w:color="auto"/>
        <w:left w:val="none" w:sz="0" w:space="0" w:color="auto"/>
        <w:bottom w:val="none" w:sz="0" w:space="0" w:color="auto"/>
        <w:right w:val="none" w:sz="0" w:space="0" w:color="auto"/>
      </w:divBdr>
    </w:div>
    <w:div w:id="596524170">
      <w:bodyDiv w:val="1"/>
      <w:marLeft w:val="0"/>
      <w:marRight w:val="0"/>
      <w:marTop w:val="0"/>
      <w:marBottom w:val="0"/>
      <w:divBdr>
        <w:top w:val="none" w:sz="0" w:space="0" w:color="auto"/>
        <w:left w:val="none" w:sz="0" w:space="0" w:color="auto"/>
        <w:bottom w:val="none" w:sz="0" w:space="0" w:color="auto"/>
        <w:right w:val="none" w:sz="0" w:space="0" w:color="auto"/>
      </w:divBdr>
    </w:div>
    <w:div w:id="596527337">
      <w:bodyDiv w:val="1"/>
      <w:marLeft w:val="0"/>
      <w:marRight w:val="0"/>
      <w:marTop w:val="0"/>
      <w:marBottom w:val="0"/>
      <w:divBdr>
        <w:top w:val="none" w:sz="0" w:space="0" w:color="auto"/>
        <w:left w:val="none" w:sz="0" w:space="0" w:color="auto"/>
        <w:bottom w:val="none" w:sz="0" w:space="0" w:color="auto"/>
        <w:right w:val="none" w:sz="0" w:space="0" w:color="auto"/>
      </w:divBdr>
    </w:div>
    <w:div w:id="596600475">
      <w:bodyDiv w:val="1"/>
      <w:marLeft w:val="0"/>
      <w:marRight w:val="0"/>
      <w:marTop w:val="0"/>
      <w:marBottom w:val="0"/>
      <w:divBdr>
        <w:top w:val="none" w:sz="0" w:space="0" w:color="auto"/>
        <w:left w:val="none" w:sz="0" w:space="0" w:color="auto"/>
        <w:bottom w:val="none" w:sz="0" w:space="0" w:color="auto"/>
        <w:right w:val="none" w:sz="0" w:space="0" w:color="auto"/>
      </w:divBdr>
    </w:div>
    <w:div w:id="596789147">
      <w:bodyDiv w:val="1"/>
      <w:marLeft w:val="0"/>
      <w:marRight w:val="0"/>
      <w:marTop w:val="0"/>
      <w:marBottom w:val="0"/>
      <w:divBdr>
        <w:top w:val="none" w:sz="0" w:space="0" w:color="auto"/>
        <w:left w:val="none" w:sz="0" w:space="0" w:color="auto"/>
        <w:bottom w:val="none" w:sz="0" w:space="0" w:color="auto"/>
        <w:right w:val="none" w:sz="0" w:space="0" w:color="auto"/>
      </w:divBdr>
    </w:div>
    <w:div w:id="596863816">
      <w:bodyDiv w:val="1"/>
      <w:marLeft w:val="0"/>
      <w:marRight w:val="0"/>
      <w:marTop w:val="0"/>
      <w:marBottom w:val="0"/>
      <w:divBdr>
        <w:top w:val="none" w:sz="0" w:space="0" w:color="auto"/>
        <w:left w:val="none" w:sz="0" w:space="0" w:color="auto"/>
        <w:bottom w:val="none" w:sz="0" w:space="0" w:color="auto"/>
        <w:right w:val="none" w:sz="0" w:space="0" w:color="auto"/>
      </w:divBdr>
    </w:div>
    <w:div w:id="596907679">
      <w:bodyDiv w:val="1"/>
      <w:marLeft w:val="0"/>
      <w:marRight w:val="0"/>
      <w:marTop w:val="0"/>
      <w:marBottom w:val="0"/>
      <w:divBdr>
        <w:top w:val="none" w:sz="0" w:space="0" w:color="auto"/>
        <w:left w:val="none" w:sz="0" w:space="0" w:color="auto"/>
        <w:bottom w:val="none" w:sz="0" w:space="0" w:color="auto"/>
        <w:right w:val="none" w:sz="0" w:space="0" w:color="auto"/>
      </w:divBdr>
    </w:div>
    <w:div w:id="596910704">
      <w:bodyDiv w:val="1"/>
      <w:marLeft w:val="0"/>
      <w:marRight w:val="0"/>
      <w:marTop w:val="0"/>
      <w:marBottom w:val="0"/>
      <w:divBdr>
        <w:top w:val="none" w:sz="0" w:space="0" w:color="auto"/>
        <w:left w:val="none" w:sz="0" w:space="0" w:color="auto"/>
        <w:bottom w:val="none" w:sz="0" w:space="0" w:color="auto"/>
        <w:right w:val="none" w:sz="0" w:space="0" w:color="auto"/>
      </w:divBdr>
    </w:div>
    <w:div w:id="596983240">
      <w:bodyDiv w:val="1"/>
      <w:marLeft w:val="0"/>
      <w:marRight w:val="0"/>
      <w:marTop w:val="0"/>
      <w:marBottom w:val="0"/>
      <w:divBdr>
        <w:top w:val="none" w:sz="0" w:space="0" w:color="auto"/>
        <w:left w:val="none" w:sz="0" w:space="0" w:color="auto"/>
        <w:bottom w:val="none" w:sz="0" w:space="0" w:color="auto"/>
        <w:right w:val="none" w:sz="0" w:space="0" w:color="auto"/>
      </w:divBdr>
    </w:div>
    <w:div w:id="597063472">
      <w:bodyDiv w:val="1"/>
      <w:marLeft w:val="0"/>
      <w:marRight w:val="0"/>
      <w:marTop w:val="0"/>
      <w:marBottom w:val="0"/>
      <w:divBdr>
        <w:top w:val="none" w:sz="0" w:space="0" w:color="auto"/>
        <w:left w:val="none" w:sz="0" w:space="0" w:color="auto"/>
        <w:bottom w:val="none" w:sz="0" w:space="0" w:color="auto"/>
        <w:right w:val="none" w:sz="0" w:space="0" w:color="auto"/>
      </w:divBdr>
    </w:div>
    <w:div w:id="597099556">
      <w:bodyDiv w:val="1"/>
      <w:marLeft w:val="0"/>
      <w:marRight w:val="0"/>
      <w:marTop w:val="0"/>
      <w:marBottom w:val="0"/>
      <w:divBdr>
        <w:top w:val="none" w:sz="0" w:space="0" w:color="auto"/>
        <w:left w:val="none" w:sz="0" w:space="0" w:color="auto"/>
        <w:bottom w:val="none" w:sz="0" w:space="0" w:color="auto"/>
        <w:right w:val="none" w:sz="0" w:space="0" w:color="auto"/>
      </w:divBdr>
    </w:div>
    <w:div w:id="597101749">
      <w:bodyDiv w:val="1"/>
      <w:marLeft w:val="0"/>
      <w:marRight w:val="0"/>
      <w:marTop w:val="0"/>
      <w:marBottom w:val="0"/>
      <w:divBdr>
        <w:top w:val="none" w:sz="0" w:space="0" w:color="auto"/>
        <w:left w:val="none" w:sz="0" w:space="0" w:color="auto"/>
        <w:bottom w:val="none" w:sz="0" w:space="0" w:color="auto"/>
        <w:right w:val="none" w:sz="0" w:space="0" w:color="auto"/>
      </w:divBdr>
    </w:div>
    <w:div w:id="597175414">
      <w:bodyDiv w:val="1"/>
      <w:marLeft w:val="0"/>
      <w:marRight w:val="0"/>
      <w:marTop w:val="0"/>
      <w:marBottom w:val="0"/>
      <w:divBdr>
        <w:top w:val="none" w:sz="0" w:space="0" w:color="auto"/>
        <w:left w:val="none" w:sz="0" w:space="0" w:color="auto"/>
        <w:bottom w:val="none" w:sz="0" w:space="0" w:color="auto"/>
        <w:right w:val="none" w:sz="0" w:space="0" w:color="auto"/>
      </w:divBdr>
    </w:div>
    <w:div w:id="597297112">
      <w:bodyDiv w:val="1"/>
      <w:marLeft w:val="0"/>
      <w:marRight w:val="0"/>
      <w:marTop w:val="0"/>
      <w:marBottom w:val="0"/>
      <w:divBdr>
        <w:top w:val="none" w:sz="0" w:space="0" w:color="auto"/>
        <w:left w:val="none" w:sz="0" w:space="0" w:color="auto"/>
        <w:bottom w:val="none" w:sz="0" w:space="0" w:color="auto"/>
        <w:right w:val="none" w:sz="0" w:space="0" w:color="auto"/>
      </w:divBdr>
    </w:div>
    <w:div w:id="597446171">
      <w:bodyDiv w:val="1"/>
      <w:marLeft w:val="0"/>
      <w:marRight w:val="0"/>
      <w:marTop w:val="0"/>
      <w:marBottom w:val="0"/>
      <w:divBdr>
        <w:top w:val="none" w:sz="0" w:space="0" w:color="auto"/>
        <w:left w:val="none" w:sz="0" w:space="0" w:color="auto"/>
        <w:bottom w:val="none" w:sz="0" w:space="0" w:color="auto"/>
        <w:right w:val="none" w:sz="0" w:space="0" w:color="auto"/>
      </w:divBdr>
    </w:div>
    <w:div w:id="597449310">
      <w:bodyDiv w:val="1"/>
      <w:marLeft w:val="0"/>
      <w:marRight w:val="0"/>
      <w:marTop w:val="0"/>
      <w:marBottom w:val="0"/>
      <w:divBdr>
        <w:top w:val="none" w:sz="0" w:space="0" w:color="auto"/>
        <w:left w:val="none" w:sz="0" w:space="0" w:color="auto"/>
        <w:bottom w:val="none" w:sz="0" w:space="0" w:color="auto"/>
        <w:right w:val="none" w:sz="0" w:space="0" w:color="auto"/>
      </w:divBdr>
    </w:div>
    <w:div w:id="597451068">
      <w:bodyDiv w:val="1"/>
      <w:marLeft w:val="0"/>
      <w:marRight w:val="0"/>
      <w:marTop w:val="0"/>
      <w:marBottom w:val="0"/>
      <w:divBdr>
        <w:top w:val="none" w:sz="0" w:space="0" w:color="auto"/>
        <w:left w:val="none" w:sz="0" w:space="0" w:color="auto"/>
        <w:bottom w:val="none" w:sz="0" w:space="0" w:color="auto"/>
        <w:right w:val="none" w:sz="0" w:space="0" w:color="auto"/>
      </w:divBdr>
    </w:div>
    <w:div w:id="597521675">
      <w:bodyDiv w:val="1"/>
      <w:marLeft w:val="0"/>
      <w:marRight w:val="0"/>
      <w:marTop w:val="0"/>
      <w:marBottom w:val="0"/>
      <w:divBdr>
        <w:top w:val="none" w:sz="0" w:space="0" w:color="auto"/>
        <w:left w:val="none" w:sz="0" w:space="0" w:color="auto"/>
        <w:bottom w:val="none" w:sz="0" w:space="0" w:color="auto"/>
        <w:right w:val="none" w:sz="0" w:space="0" w:color="auto"/>
      </w:divBdr>
    </w:div>
    <w:div w:id="597761164">
      <w:bodyDiv w:val="1"/>
      <w:marLeft w:val="0"/>
      <w:marRight w:val="0"/>
      <w:marTop w:val="0"/>
      <w:marBottom w:val="0"/>
      <w:divBdr>
        <w:top w:val="none" w:sz="0" w:space="0" w:color="auto"/>
        <w:left w:val="none" w:sz="0" w:space="0" w:color="auto"/>
        <w:bottom w:val="none" w:sz="0" w:space="0" w:color="auto"/>
        <w:right w:val="none" w:sz="0" w:space="0" w:color="auto"/>
      </w:divBdr>
    </w:div>
    <w:div w:id="598022518">
      <w:bodyDiv w:val="1"/>
      <w:marLeft w:val="0"/>
      <w:marRight w:val="0"/>
      <w:marTop w:val="0"/>
      <w:marBottom w:val="0"/>
      <w:divBdr>
        <w:top w:val="none" w:sz="0" w:space="0" w:color="auto"/>
        <w:left w:val="none" w:sz="0" w:space="0" w:color="auto"/>
        <w:bottom w:val="none" w:sz="0" w:space="0" w:color="auto"/>
        <w:right w:val="none" w:sz="0" w:space="0" w:color="auto"/>
      </w:divBdr>
    </w:div>
    <w:div w:id="598175537">
      <w:bodyDiv w:val="1"/>
      <w:marLeft w:val="0"/>
      <w:marRight w:val="0"/>
      <w:marTop w:val="0"/>
      <w:marBottom w:val="0"/>
      <w:divBdr>
        <w:top w:val="none" w:sz="0" w:space="0" w:color="auto"/>
        <w:left w:val="none" w:sz="0" w:space="0" w:color="auto"/>
        <w:bottom w:val="none" w:sz="0" w:space="0" w:color="auto"/>
        <w:right w:val="none" w:sz="0" w:space="0" w:color="auto"/>
      </w:divBdr>
    </w:div>
    <w:div w:id="598216904">
      <w:bodyDiv w:val="1"/>
      <w:marLeft w:val="0"/>
      <w:marRight w:val="0"/>
      <w:marTop w:val="0"/>
      <w:marBottom w:val="0"/>
      <w:divBdr>
        <w:top w:val="none" w:sz="0" w:space="0" w:color="auto"/>
        <w:left w:val="none" w:sz="0" w:space="0" w:color="auto"/>
        <w:bottom w:val="none" w:sz="0" w:space="0" w:color="auto"/>
        <w:right w:val="none" w:sz="0" w:space="0" w:color="auto"/>
      </w:divBdr>
    </w:div>
    <w:div w:id="598221139">
      <w:bodyDiv w:val="1"/>
      <w:marLeft w:val="0"/>
      <w:marRight w:val="0"/>
      <w:marTop w:val="0"/>
      <w:marBottom w:val="0"/>
      <w:divBdr>
        <w:top w:val="none" w:sz="0" w:space="0" w:color="auto"/>
        <w:left w:val="none" w:sz="0" w:space="0" w:color="auto"/>
        <w:bottom w:val="none" w:sz="0" w:space="0" w:color="auto"/>
        <w:right w:val="none" w:sz="0" w:space="0" w:color="auto"/>
      </w:divBdr>
    </w:div>
    <w:div w:id="598221369">
      <w:bodyDiv w:val="1"/>
      <w:marLeft w:val="0"/>
      <w:marRight w:val="0"/>
      <w:marTop w:val="0"/>
      <w:marBottom w:val="0"/>
      <w:divBdr>
        <w:top w:val="none" w:sz="0" w:space="0" w:color="auto"/>
        <w:left w:val="none" w:sz="0" w:space="0" w:color="auto"/>
        <w:bottom w:val="none" w:sz="0" w:space="0" w:color="auto"/>
        <w:right w:val="none" w:sz="0" w:space="0" w:color="auto"/>
      </w:divBdr>
    </w:div>
    <w:div w:id="598298947">
      <w:bodyDiv w:val="1"/>
      <w:marLeft w:val="0"/>
      <w:marRight w:val="0"/>
      <w:marTop w:val="0"/>
      <w:marBottom w:val="0"/>
      <w:divBdr>
        <w:top w:val="none" w:sz="0" w:space="0" w:color="auto"/>
        <w:left w:val="none" w:sz="0" w:space="0" w:color="auto"/>
        <w:bottom w:val="none" w:sz="0" w:space="0" w:color="auto"/>
        <w:right w:val="none" w:sz="0" w:space="0" w:color="auto"/>
      </w:divBdr>
    </w:div>
    <w:div w:id="598484607">
      <w:bodyDiv w:val="1"/>
      <w:marLeft w:val="0"/>
      <w:marRight w:val="0"/>
      <w:marTop w:val="0"/>
      <w:marBottom w:val="0"/>
      <w:divBdr>
        <w:top w:val="none" w:sz="0" w:space="0" w:color="auto"/>
        <w:left w:val="none" w:sz="0" w:space="0" w:color="auto"/>
        <w:bottom w:val="none" w:sz="0" w:space="0" w:color="auto"/>
        <w:right w:val="none" w:sz="0" w:space="0" w:color="auto"/>
      </w:divBdr>
    </w:div>
    <w:div w:id="598485165">
      <w:bodyDiv w:val="1"/>
      <w:marLeft w:val="0"/>
      <w:marRight w:val="0"/>
      <w:marTop w:val="0"/>
      <w:marBottom w:val="0"/>
      <w:divBdr>
        <w:top w:val="none" w:sz="0" w:space="0" w:color="auto"/>
        <w:left w:val="none" w:sz="0" w:space="0" w:color="auto"/>
        <w:bottom w:val="none" w:sz="0" w:space="0" w:color="auto"/>
        <w:right w:val="none" w:sz="0" w:space="0" w:color="auto"/>
      </w:divBdr>
    </w:div>
    <w:div w:id="598486887">
      <w:bodyDiv w:val="1"/>
      <w:marLeft w:val="0"/>
      <w:marRight w:val="0"/>
      <w:marTop w:val="0"/>
      <w:marBottom w:val="0"/>
      <w:divBdr>
        <w:top w:val="none" w:sz="0" w:space="0" w:color="auto"/>
        <w:left w:val="none" w:sz="0" w:space="0" w:color="auto"/>
        <w:bottom w:val="none" w:sz="0" w:space="0" w:color="auto"/>
        <w:right w:val="none" w:sz="0" w:space="0" w:color="auto"/>
      </w:divBdr>
    </w:div>
    <w:div w:id="598638270">
      <w:bodyDiv w:val="1"/>
      <w:marLeft w:val="0"/>
      <w:marRight w:val="0"/>
      <w:marTop w:val="0"/>
      <w:marBottom w:val="0"/>
      <w:divBdr>
        <w:top w:val="none" w:sz="0" w:space="0" w:color="auto"/>
        <w:left w:val="none" w:sz="0" w:space="0" w:color="auto"/>
        <w:bottom w:val="none" w:sz="0" w:space="0" w:color="auto"/>
        <w:right w:val="none" w:sz="0" w:space="0" w:color="auto"/>
      </w:divBdr>
    </w:div>
    <w:div w:id="598951315">
      <w:bodyDiv w:val="1"/>
      <w:marLeft w:val="0"/>
      <w:marRight w:val="0"/>
      <w:marTop w:val="0"/>
      <w:marBottom w:val="0"/>
      <w:divBdr>
        <w:top w:val="none" w:sz="0" w:space="0" w:color="auto"/>
        <w:left w:val="none" w:sz="0" w:space="0" w:color="auto"/>
        <w:bottom w:val="none" w:sz="0" w:space="0" w:color="auto"/>
        <w:right w:val="none" w:sz="0" w:space="0" w:color="auto"/>
      </w:divBdr>
    </w:div>
    <w:div w:id="599072630">
      <w:bodyDiv w:val="1"/>
      <w:marLeft w:val="0"/>
      <w:marRight w:val="0"/>
      <w:marTop w:val="0"/>
      <w:marBottom w:val="0"/>
      <w:divBdr>
        <w:top w:val="none" w:sz="0" w:space="0" w:color="auto"/>
        <w:left w:val="none" w:sz="0" w:space="0" w:color="auto"/>
        <w:bottom w:val="none" w:sz="0" w:space="0" w:color="auto"/>
        <w:right w:val="none" w:sz="0" w:space="0" w:color="auto"/>
      </w:divBdr>
    </w:div>
    <w:div w:id="599261904">
      <w:bodyDiv w:val="1"/>
      <w:marLeft w:val="0"/>
      <w:marRight w:val="0"/>
      <w:marTop w:val="0"/>
      <w:marBottom w:val="0"/>
      <w:divBdr>
        <w:top w:val="none" w:sz="0" w:space="0" w:color="auto"/>
        <w:left w:val="none" w:sz="0" w:space="0" w:color="auto"/>
        <w:bottom w:val="none" w:sz="0" w:space="0" w:color="auto"/>
        <w:right w:val="none" w:sz="0" w:space="0" w:color="auto"/>
      </w:divBdr>
    </w:div>
    <w:div w:id="599290260">
      <w:bodyDiv w:val="1"/>
      <w:marLeft w:val="0"/>
      <w:marRight w:val="0"/>
      <w:marTop w:val="0"/>
      <w:marBottom w:val="0"/>
      <w:divBdr>
        <w:top w:val="none" w:sz="0" w:space="0" w:color="auto"/>
        <w:left w:val="none" w:sz="0" w:space="0" w:color="auto"/>
        <w:bottom w:val="none" w:sz="0" w:space="0" w:color="auto"/>
        <w:right w:val="none" w:sz="0" w:space="0" w:color="auto"/>
      </w:divBdr>
    </w:div>
    <w:div w:id="599414012">
      <w:bodyDiv w:val="1"/>
      <w:marLeft w:val="0"/>
      <w:marRight w:val="0"/>
      <w:marTop w:val="0"/>
      <w:marBottom w:val="0"/>
      <w:divBdr>
        <w:top w:val="none" w:sz="0" w:space="0" w:color="auto"/>
        <w:left w:val="none" w:sz="0" w:space="0" w:color="auto"/>
        <w:bottom w:val="none" w:sz="0" w:space="0" w:color="auto"/>
        <w:right w:val="none" w:sz="0" w:space="0" w:color="auto"/>
      </w:divBdr>
    </w:div>
    <w:div w:id="599533250">
      <w:bodyDiv w:val="1"/>
      <w:marLeft w:val="0"/>
      <w:marRight w:val="0"/>
      <w:marTop w:val="0"/>
      <w:marBottom w:val="0"/>
      <w:divBdr>
        <w:top w:val="none" w:sz="0" w:space="0" w:color="auto"/>
        <w:left w:val="none" w:sz="0" w:space="0" w:color="auto"/>
        <w:bottom w:val="none" w:sz="0" w:space="0" w:color="auto"/>
        <w:right w:val="none" w:sz="0" w:space="0" w:color="auto"/>
      </w:divBdr>
    </w:div>
    <w:div w:id="599601503">
      <w:bodyDiv w:val="1"/>
      <w:marLeft w:val="0"/>
      <w:marRight w:val="0"/>
      <w:marTop w:val="0"/>
      <w:marBottom w:val="0"/>
      <w:divBdr>
        <w:top w:val="none" w:sz="0" w:space="0" w:color="auto"/>
        <w:left w:val="none" w:sz="0" w:space="0" w:color="auto"/>
        <w:bottom w:val="none" w:sz="0" w:space="0" w:color="auto"/>
        <w:right w:val="none" w:sz="0" w:space="0" w:color="auto"/>
      </w:divBdr>
    </w:div>
    <w:div w:id="599607176">
      <w:bodyDiv w:val="1"/>
      <w:marLeft w:val="0"/>
      <w:marRight w:val="0"/>
      <w:marTop w:val="0"/>
      <w:marBottom w:val="0"/>
      <w:divBdr>
        <w:top w:val="none" w:sz="0" w:space="0" w:color="auto"/>
        <w:left w:val="none" w:sz="0" w:space="0" w:color="auto"/>
        <w:bottom w:val="none" w:sz="0" w:space="0" w:color="auto"/>
        <w:right w:val="none" w:sz="0" w:space="0" w:color="auto"/>
      </w:divBdr>
    </w:div>
    <w:div w:id="599607523">
      <w:bodyDiv w:val="1"/>
      <w:marLeft w:val="0"/>
      <w:marRight w:val="0"/>
      <w:marTop w:val="0"/>
      <w:marBottom w:val="0"/>
      <w:divBdr>
        <w:top w:val="none" w:sz="0" w:space="0" w:color="auto"/>
        <w:left w:val="none" w:sz="0" w:space="0" w:color="auto"/>
        <w:bottom w:val="none" w:sz="0" w:space="0" w:color="auto"/>
        <w:right w:val="none" w:sz="0" w:space="0" w:color="auto"/>
      </w:divBdr>
    </w:div>
    <w:div w:id="599685979">
      <w:bodyDiv w:val="1"/>
      <w:marLeft w:val="0"/>
      <w:marRight w:val="0"/>
      <w:marTop w:val="0"/>
      <w:marBottom w:val="0"/>
      <w:divBdr>
        <w:top w:val="none" w:sz="0" w:space="0" w:color="auto"/>
        <w:left w:val="none" w:sz="0" w:space="0" w:color="auto"/>
        <w:bottom w:val="none" w:sz="0" w:space="0" w:color="auto"/>
        <w:right w:val="none" w:sz="0" w:space="0" w:color="auto"/>
      </w:divBdr>
    </w:div>
    <w:div w:id="599796615">
      <w:bodyDiv w:val="1"/>
      <w:marLeft w:val="0"/>
      <w:marRight w:val="0"/>
      <w:marTop w:val="0"/>
      <w:marBottom w:val="0"/>
      <w:divBdr>
        <w:top w:val="none" w:sz="0" w:space="0" w:color="auto"/>
        <w:left w:val="none" w:sz="0" w:space="0" w:color="auto"/>
        <w:bottom w:val="none" w:sz="0" w:space="0" w:color="auto"/>
        <w:right w:val="none" w:sz="0" w:space="0" w:color="auto"/>
      </w:divBdr>
    </w:div>
    <w:div w:id="599802753">
      <w:bodyDiv w:val="1"/>
      <w:marLeft w:val="0"/>
      <w:marRight w:val="0"/>
      <w:marTop w:val="0"/>
      <w:marBottom w:val="0"/>
      <w:divBdr>
        <w:top w:val="none" w:sz="0" w:space="0" w:color="auto"/>
        <w:left w:val="none" w:sz="0" w:space="0" w:color="auto"/>
        <w:bottom w:val="none" w:sz="0" w:space="0" w:color="auto"/>
        <w:right w:val="none" w:sz="0" w:space="0" w:color="auto"/>
      </w:divBdr>
    </w:div>
    <w:div w:id="599803946">
      <w:bodyDiv w:val="1"/>
      <w:marLeft w:val="0"/>
      <w:marRight w:val="0"/>
      <w:marTop w:val="0"/>
      <w:marBottom w:val="0"/>
      <w:divBdr>
        <w:top w:val="none" w:sz="0" w:space="0" w:color="auto"/>
        <w:left w:val="none" w:sz="0" w:space="0" w:color="auto"/>
        <w:bottom w:val="none" w:sz="0" w:space="0" w:color="auto"/>
        <w:right w:val="none" w:sz="0" w:space="0" w:color="auto"/>
      </w:divBdr>
    </w:div>
    <w:div w:id="599945352">
      <w:bodyDiv w:val="1"/>
      <w:marLeft w:val="0"/>
      <w:marRight w:val="0"/>
      <w:marTop w:val="0"/>
      <w:marBottom w:val="0"/>
      <w:divBdr>
        <w:top w:val="none" w:sz="0" w:space="0" w:color="auto"/>
        <w:left w:val="none" w:sz="0" w:space="0" w:color="auto"/>
        <w:bottom w:val="none" w:sz="0" w:space="0" w:color="auto"/>
        <w:right w:val="none" w:sz="0" w:space="0" w:color="auto"/>
      </w:divBdr>
    </w:div>
    <w:div w:id="599991502">
      <w:bodyDiv w:val="1"/>
      <w:marLeft w:val="0"/>
      <w:marRight w:val="0"/>
      <w:marTop w:val="0"/>
      <w:marBottom w:val="0"/>
      <w:divBdr>
        <w:top w:val="none" w:sz="0" w:space="0" w:color="auto"/>
        <w:left w:val="none" w:sz="0" w:space="0" w:color="auto"/>
        <w:bottom w:val="none" w:sz="0" w:space="0" w:color="auto"/>
        <w:right w:val="none" w:sz="0" w:space="0" w:color="auto"/>
      </w:divBdr>
    </w:div>
    <w:div w:id="600066827">
      <w:bodyDiv w:val="1"/>
      <w:marLeft w:val="0"/>
      <w:marRight w:val="0"/>
      <w:marTop w:val="0"/>
      <w:marBottom w:val="0"/>
      <w:divBdr>
        <w:top w:val="none" w:sz="0" w:space="0" w:color="auto"/>
        <w:left w:val="none" w:sz="0" w:space="0" w:color="auto"/>
        <w:bottom w:val="none" w:sz="0" w:space="0" w:color="auto"/>
        <w:right w:val="none" w:sz="0" w:space="0" w:color="auto"/>
      </w:divBdr>
    </w:div>
    <w:div w:id="600335736">
      <w:bodyDiv w:val="1"/>
      <w:marLeft w:val="0"/>
      <w:marRight w:val="0"/>
      <w:marTop w:val="0"/>
      <w:marBottom w:val="0"/>
      <w:divBdr>
        <w:top w:val="none" w:sz="0" w:space="0" w:color="auto"/>
        <w:left w:val="none" w:sz="0" w:space="0" w:color="auto"/>
        <w:bottom w:val="none" w:sz="0" w:space="0" w:color="auto"/>
        <w:right w:val="none" w:sz="0" w:space="0" w:color="auto"/>
      </w:divBdr>
    </w:div>
    <w:div w:id="600340545">
      <w:bodyDiv w:val="1"/>
      <w:marLeft w:val="0"/>
      <w:marRight w:val="0"/>
      <w:marTop w:val="0"/>
      <w:marBottom w:val="0"/>
      <w:divBdr>
        <w:top w:val="none" w:sz="0" w:space="0" w:color="auto"/>
        <w:left w:val="none" w:sz="0" w:space="0" w:color="auto"/>
        <w:bottom w:val="none" w:sz="0" w:space="0" w:color="auto"/>
        <w:right w:val="none" w:sz="0" w:space="0" w:color="auto"/>
      </w:divBdr>
    </w:div>
    <w:div w:id="600377309">
      <w:bodyDiv w:val="1"/>
      <w:marLeft w:val="0"/>
      <w:marRight w:val="0"/>
      <w:marTop w:val="0"/>
      <w:marBottom w:val="0"/>
      <w:divBdr>
        <w:top w:val="none" w:sz="0" w:space="0" w:color="auto"/>
        <w:left w:val="none" w:sz="0" w:space="0" w:color="auto"/>
        <w:bottom w:val="none" w:sz="0" w:space="0" w:color="auto"/>
        <w:right w:val="none" w:sz="0" w:space="0" w:color="auto"/>
      </w:divBdr>
    </w:div>
    <w:div w:id="600525737">
      <w:bodyDiv w:val="1"/>
      <w:marLeft w:val="0"/>
      <w:marRight w:val="0"/>
      <w:marTop w:val="0"/>
      <w:marBottom w:val="0"/>
      <w:divBdr>
        <w:top w:val="none" w:sz="0" w:space="0" w:color="auto"/>
        <w:left w:val="none" w:sz="0" w:space="0" w:color="auto"/>
        <w:bottom w:val="none" w:sz="0" w:space="0" w:color="auto"/>
        <w:right w:val="none" w:sz="0" w:space="0" w:color="auto"/>
      </w:divBdr>
    </w:div>
    <w:div w:id="600573280">
      <w:bodyDiv w:val="1"/>
      <w:marLeft w:val="0"/>
      <w:marRight w:val="0"/>
      <w:marTop w:val="0"/>
      <w:marBottom w:val="0"/>
      <w:divBdr>
        <w:top w:val="none" w:sz="0" w:space="0" w:color="auto"/>
        <w:left w:val="none" w:sz="0" w:space="0" w:color="auto"/>
        <w:bottom w:val="none" w:sz="0" w:space="0" w:color="auto"/>
        <w:right w:val="none" w:sz="0" w:space="0" w:color="auto"/>
      </w:divBdr>
    </w:div>
    <w:div w:id="600575045">
      <w:bodyDiv w:val="1"/>
      <w:marLeft w:val="0"/>
      <w:marRight w:val="0"/>
      <w:marTop w:val="0"/>
      <w:marBottom w:val="0"/>
      <w:divBdr>
        <w:top w:val="none" w:sz="0" w:space="0" w:color="auto"/>
        <w:left w:val="none" w:sz="0" w:space="0" w:color="auto"/>
        <w:bottom w:val="none" w:sz="0" w:space="0" w:color="auto"/>
        <w:right w:val="none" w:sz="0" w:space="0" w:color="auto"/>
      </w:divBdr>
    </w:div>
    <w:div w:id="600836840">
      <w:bodyDiv w:val="1"/>
      <w:marLeft w:val="0"/>
      <w:marRight w:val="0"/>
      <w:marTop w:val="0"/>
      <w:marBottom w:val="0"/>
      <w:divBdr>
        <w:top w:val="none" w:sz="0" w:space="0" w:color="auto"/>
        <w:left w:val="none" w:sz="0" w:space="0" w:color="auto"/>
        <w:bottom w:val="none" w:sz="0" w:space="0" w:color="auto"/>
        <w:right w:val="none" w:sz="0" w:space="0" w:color="auto"/>
      </w:divBdr>
    </w:div>
    <w:div w:id="600914357">
      <w:bodyDiv w:val="1"/>
      <w:marLeft w:val="0"/>
      <w:marRight w:val="0"/>
      <w:marTop w:val="0"/>
      <w:marBottom w:val="0"/>
      <w:divBdr>
        <w:top w:val="none" w:sz="0" w:space="0" w:color="auto"/>
        <w:left w:val="none" w:sz="0" w:space="0" w:color="auto"/>
        <w:bottom w:val="none" w:sz="0" w:space="0" w:color="auto"/>
        <w:right w:val="none" w:sz="0" w:space="0" w:color="auto"/>
      </w:divBdr>
    </w:div>
    <w:div w:id="600918221">
      <w:bodyDiv w:val="1"/>
      <w:marLeft w:val="0"/>
      <w:marRight w:val="0"/>
      <w:marTop w:val="0"/>
      <w:marBottom w:val="0"/>
      <w:divBdr>
        <w:top w:val="none" w:sz="0" w:space="0" w:color="auto"/>
        <w:left w:val="none" w:sz="0" w:space="0" w:color="auto"/>
        <w:bottom w:val="none" w:sz="0" w:space="0" w:color="auto"/>
        <w:right w:val="none" w:sz="0" w:space="0" w:color="auto"/>
      </w:divBdr>
    </w:div>
    <w:div w:id="601030831">
      <w:bodyDiv w:val="1"/>
      <w:marLeft w:val="0"/>
      <w:marRight w:val="0"/>
      <w:marTop w:val="0"/>
      <w:marBottom w:val="0"/>
      <w:divBdr>
        <w:top w:val="none" w:sz="0" w:space="0" w:color="auto"/>
        <w:left w:val="none" w:sz="0" w:space="0" w:color="auto"/>
        <w:bottom w:val="none" w:sz="0" w:space="0" w:color="auto"/>
        <w:right w:val="none" w:sz="0" w:space="0" w:color="auto"/>
      </w:divBdr>
    </w:div>
    <w:div w:id="601062394">
      <w:bodyDiv w:val="1"/>
      <w:marLeft w:val="0"/>
      <w:marRight w:val="0"/>
      <w:marTop w:val="0"/>
      <w:marBottom w:val="0"/>
      <w:divBdr>
        <w:top w:val="none" w:sz="0" w:space="0" w:color="auto"/>
        <w:left w:val="none" w:sz="0" w:space="0" w:color="auto"/>
        <w:bottom w:val="none" w:sz="0" w:space="0" w:color="auto"/>
        <w:right w:val="none" w:sz="0" w:space="0" w:color="auto"/>
      </w:divBdr>
    </w:div>
    <w:div w:id="601062613">
      <w:bodyDiv w:val="1"/>
      <w:marLeft w:val="0"/>
      <w:marRight w:val="0"/>
      <w:marTop w:val="0"/>
      <w:marBottom w:val="0"/>
      <w:divBdr>
        <w:top w:val="none" w:sz="0" w:space="0" w:color="auto"/>
        <w:left w:val="none" w:sz="0" w:space="0" w:color="auto"/>
        <w:bottom w:val="none" w:sz="0" w:space="0" w:color="auto"/>
        <w:right w:val="none" w:sz="0" w:space="0" w:color="auto"/>
      </w:divBdr>
    </w:div>
    <w:div w:id="601185395">
      <w:bodyDiv w:val="1"/>
      <w:marLeft w:val="0"/>
      <w:marRight w:val="0"/>
      <w:marTop w:val="0"/>
      <w:marBottom w:val="0"/>
      <w:divBdr>
        <w:top w:val="none" w:sz="0" w:space="0" w:color="auto"/>
        <w:left w:val="none" w:sz="0" w:space="0" w:color="auto"/>
        <w:bottom w:val="none" w:sz="0" w:space="0" w:color="auto"/>
        <w:right w:val="none" w:sz="0" w:space="0" w:color="auto"/>
      </w:divBdr>
    </w:div>
    <w:div w:id="601304312">
      <w:bodyDiv w:val="1"/>
      <w:marLeft w:val="0"/>
      <w:marRight w:val="0"/>
      <w:marTop w:val="0"/>
      <w:marBottom w:val="0"/>
      <w:divBdr>
        <w:top w:val="none" w:sz="0" w:space="0" w:color="auto"/>
        <w:left w:val="none" w:sz="0" w:space="0" w:color="auto"/>
        <w:bottom w:val="none" w:sz="0" w:space="0" w:color="auto"/>
        <w:right w:val="none" w:sz="0" w:space="0" w:color="auto"/>
      </w:divBdr>
    </w:div>
    <w:div w:id="601306311">
      <w:bodyDiv w:val="1"/>
      <w:marLeft w:val="0"/>
      <w:marRight w:val="0"/>
      <w:marTop w:val="0"/>
      <w:marBottom w:val="0"/>
      <w:divBdr>
        <w:top w:val="none" w:sz="0" w:space="0" w:color="auto"/>
        <w:left w:val="none" w:sz="0" w:space="0" w:color="auto"/>
        <w:bottom w:val="none" w:sz="0" w:space="0" w:color="auto"/>
        <w:right w:val="none" w:sz="0" w:space="0" w:color="auto"/>
      </w:divBdr>
    </w:div>
    <w:div w:id="601376859">
      <w:bodyDiv w:val="1"/>
      <w:marLeft w:val="0"/>
      <w:marRight w:val="0"/>
      <w:marTop w:val="0"/>
      <w:marBottom w:val="0"/>
      <w:divBdr>
        <w:top w:val="none" w:sz="0" w:space="0" w:color="auto"/>
        <w:left w:val="none" w:sz="0" w:space="0" w:color="auto"/>
        <w:bottom w:val="none" w:sz="0" w:space="0" w:color="auto"/>
        <w:right w:val="none" w:sz="0" w:space="0" w:color="auto"/>
      </w:divBdr>
    </w:div>
    <w:div w:id="601497048">
      <w:bodyDiv w:val="1"/>
      <w:marLeft w:val="0"/>
      <w:marRight w:val="0"/>
      <w:marTop w:val="0"/>
      <w:marBottom w:val="0"/>
      <w:divBdr>
        <w:top w:val="none" w:sz="0" w:space="0" w:color="auto"/>
        <w:left w:val="none" w:sz="0" w:space="0" w:color="auto"/>
        <w:bottom w:val="none" w:sz="0" w:space="0" w:color="auto"/>
        <w:right w:val="none" w:sz="0" w:space="0" w:color="auto"/>
      </w:divBdr>
    </w:div>
    <w:div w:id="601645793">
      <w:bodyDiv w:val="1"/>
      <w:marLeft w:val="0"/>
      <w:marRight w:val="0"/>
      <w:marTop w:val="0"/>
      <w:marBottom w:val="0"/>
      <w:divBdr>
        <w:top w:val="none" w:sz="0" w:space="0" w:color="auto"/>
        <w:left w:val="none" w:sz="0" w:space="0" w:color="auto"/>
        <w:bottom w:val="none" w:sz="0" w:space="0" w:color="auto"/>
        <w:right w:val="none" w:sz="0" w:space="0" w:color="auto"/>
      </w:divBdr>
    </w:div>
    <w:div w:id="601686749">
      <w:bodyDiv w:val="1"/>
      <w:marLeft w:val="0"/>
      <w:marRight w:val="0"/>
      <w:marTop w:val="0"/>
      <w:marBottom w:val="0"/>
      <w:divBdr>
        <w:top w:val="none" w:sz="0" w:space="0" w:color="auto"/>
        <w:left w:val="none" w:sz="0" w:space="0" w:color="auto"/>
        <w:bottom w:val="none" w:sz="0" w:space="0" w:color="auto"/>
        <w:right w:val="none" w:sz="0" w:space="0" w:color="auto"/>
      </w:divBdr>
    </w:div>
    <w:div w:id="601836799">
      <w:bodyDiv w:val="1"/>
      <w:marLeft w:val="0"/>
      <w:marRight w:val="0"/>
      <w:marTop w:val="0"/>
      <w:marBottom w:val="0"/>
      <w:divBdr>
        <w:top w:val="none" w:sz="0" w:space="0" w:color="auto"/>
        <w:left w:val="none" w:sz="0" w:space="0" w:color="auto"/>
        <w:bottom w:val="none" w:sz="0" w:space="0" w:color="auto"/>
        <w:right w:val="none" w:sz="0" w:space="0" w:color="auto"/>
      </w:divBdr>
    </w:div>
    <w:div w:id="601844741">
      <w:bodyDiv w:val="1"/>
      <w:marLeft w:val="0"/>
      <w:marRight w:val="0"/>
      <w:marTop w:val="0"/>
      <w:marBottom w:val="0"/>
      <w:divBdr>
        <w:top w:val="none" w:sz="0" w:space="0" w:color="auto"/>
        <w:left w:val="none" w:sz="0" w:space="0" w:color="auto"/>
        <w:bottom w:val="none" w:sz="0" w:space="0" w:color="auto"/>
        <w:right w:val="none" w:sz="0" w:space="0" w:color="auto"/>
      </w:divBdr>
    </w:div>
    <w:div w:id="601885639">
      <w:bodyDiv w:val="1"/>
      <w:marLeft w:val="0"/>
      <w:marRight w:val="0"/>
      <w:marTop w:val="0"/>
      <w:marBottom w:val="0"/>
      <w:divBdr>
        <w:top w:val="none" w:sz="0" w:space="0" w:color="auto"/>
        <w:left w:val="none" w:sz="0" w:space="0" w:color="auto"/>
        <w:bottom w:val="none" w:sz="0" w:space="0" w:color="auto"/>
        <w:right w:val="none" w:sz="0" w:space="0" w:color="auto"/>
      </w:divBdr>
    </w:div>
    <w:div w:id="601887026">
      <w:bodyDiv w:val="1"/>
      <w:marLeft w:val="0"/>
      <w:marRight w:val="0"/>
      <w:marTop w:val="0"/>
      <w:marBottom w:val="0"/>
      <w:divBdr>
        <w:top w:val="none" w:sz="0" w:space="0" w:color="auto"/>
        <w:left w:val="none" w:sz="0" w:space="0" w:color="auto"/>
        <w:bottom w:val="none" w:sz="0" w:space="0" w:color="auto"/>
        <w:right w:val="none" w:sz="0" w:space="0" w:color="auto"/>
      </w:divBdr>
    </w:div>
    <w:div w:id="601956743">
      <w:bodyDiv w:val="1"/>
      <w:marLeft w:val="0"/>
      <w:marRight w:val="0"/>
      <w:marTop w:val="0"/>
      <w:marBottom w:val="0"/>
      <w:divBdr>
        <w:top w:val="none" w:sz="0" w:space="0" w:color="auto"/>
        <w:left w:val="none" w:sz="0" w:space="0" w:color="auto"/>
        <w:bottom w:val="none" w:sz="0" w:space="0" w:color="auto"/>
        <w:right w:val="none" w:sz="0" w:space="0" w:color="auto"/>
      </w:divBdr>
    </w:div>
    <w:div w:id="602080646">
      <w:bodyDiv w:val="1"/>
      <w:marLeft w:val="0"/>
      <w:marRight w:val="0"/>
      <w:marTop w:val="0"/>
      <w:marBottom w:val="0"/>
      <w:divBdr>
        <w:top w:val="none" w:sz="0" w:space="0" w:color="auto"/>
        <w:left w:val="none" w:sz="0" w:space="0" w:color="auto"/>
        <w:bottom w:val="none" w:sz="0" w:space="0" w:color="auto"/>
        <w:right w:val="none" w:sz="0" w:space="0" w:color="auto"/>
      </w:divBdr>
    </w:div>
    <w:div w:id="602154128">
      <w:bodyDiv w:val="1"/>
      <w:marLeft w:val="0"/>
      <w:marRight w:val="0"/>
      <w:marTop w:val="0"/>
      <w:marBottom w:val="0"/>
      <w:divBdr>
        <w:top w:val="none" w:sz="0" w:space="0" w:color="auto"/>
        <w:left w:val="none" w:sz="0" w:space="0" w:color="auto"/>
        <w:bottom w:val="none" w:sz="0" w:space="0" w:color="auto"/>
        <w:right w:val="none" w:sz="0" w:space="0" w:color="auto"/>
      </w:divBdr>
    </w:div>
    <w:div w:id="602304375">
      <w:bodyDiv w:val="1"/>
      <w:marLeft w:val="0"/>
      <w:marRight w:val="0"/>
      <w:marTop w:val="0"/>
      <w:marBottom w:val="0"/>
      <w:divBdr>
        <w:top w:val="none" w:sz="0" w:space="0" w:color="auto"/>
        <w:left w:val="none" w:sz="0" w:space="0" w:color="auto"/>
        <w:bottom w:val="none" w:sz="0" w:space="0" w:color="auto"/>
        <w:right w:val="none" w:sz="0" w:space="0" w:color="auto"/>
      </w:divBdr>
    </w:div>
    <w:div w:id="602498057">
      <w:bodyDiv w:val="1"/>
      <w:marLeft w:val="0"/>
      <w:marRight w:val="0"/>
      <w:marTop w:val="0"/>
      <w:marBottom w:val="0"/>
      <w:divBdr>
        <w:top w:val="none" w:sz="0" w:space="0" w:color="auto"/>
        <w:left w:val="none" w:sz="0" w:space="0" w:color="auto"/>
        <w:bottom w:val="none" w:sz="0" w:space="0" w:color="auto"/>
        <w:right w:val="none" w:sz="0" w:space="0" w:color="auto"/>
      </w:divBdr>
    </w:div>
    <w:div w:id="602539811">
      <w:bodyDiv w:val="1"/>
      <w:marLeft w:val="0"/>
      <w:marRight w:val="0"/>
      <w:marTop w:val="0"/>
      <w:marBottom w:val="0"/>
      <w:divBdr>
        <w:top w:val="none" w:sz="0" w:space="0" w:color="auto"/>
        <w:left w:val="none" w:sz="0" w:space="0" w:color="auto"/>
        <w:bottom w:val="none" w:sz="0" w:space="0" w:color="auto"/>
        <w:right w:val="none" w:sz="0" w:space="0" w:color="auto"/>
      </w:divBdr>
    </w:div>
    <w:div w:id="602540450">
      <w:bodyDiv w:val="1"/>
      <w:marLeft w:val="0"/>
      <w:marRight w:val="0"/>
      <w:marTop w:val="0"/>
      <w:marBottom w:val="0"/>
      <w:divBdr>
        <w:top w:val="none" w:sz="0" w:space="0" w:color="auto"/>
        <w:left w:val="none" w:sz="0" w:space="0" w:color="auto"/>
        <w:bottom w:val="none" w:sz="0" w:space="0" w:color="auto"/>
        <w:right w:val="none" w:sz="0" w:space="0" w:color="auto"/>
      </w:divBdr>
    </w:div>
    <w:div w:id="602610418">
      <w:bodyDiv w:val="1"/>
      <w:marLeft w:val="0"/>
      <w:marRight w:val="0"/>
      <w:marTop w:val="0"/>
      <w:marBottom w:val="0"/>
      <w:divBdr>
        <w:top w:val="none" w:sz="0" w:space="0" w:color="auto"/>
        <w:left w:val="none" w:sz="0" w:space="0" w:color="auto"/>
        <w:bottom w:val="none" w:sz="0" w:space="0" w:color="auto"/>
        <w:right w:val="none" w:sz="0" w:space="0" w:color="auto"/>
      </w:divBdr>
    </w:div>
    <w:div w:id="602617183">
      <w:bodyDiv w:val="1"/>
      <w:marLeft w:val="0"/>
      <w:marRight w:val="0"/>
      <w:marTop w:val="0"/>
      <w:marBottom w:val="0"/>
      <w:divBdr>
        <w:top w:val="none" w:sz="0" w:space="0" w:color="auto"/>
        <w:left w:val="none" w:sz="0" w:space="0" w:color="auto"/>
        <w:bottom w:val="none" w:sz="0" w:space="0" w:color="auto"/>
        <w:right w:val="none" w:sz="0" w:space="0" w:color="auto"/>
      </w:divBdr>
    </w:div>
    <w:div w:id="602617217">
      <w:bodyDiv w:val="1"/>
      <w:marLeft w:val="0"/>
      <w:marRight w:val="0"/>
      <w:marTop w:val="0"/>
      <w:marBottom w:val="0"/>
      <w:divBdr>
        <w:top w:val="none" w:sz="0" w:space="0" w:color="auto"/>
        <w:left w:val="none" w:sz="0" w:space="0" w:color="auto"/>
        <w:bottom w:val="none" w:sz="0" w:space="0" w:color="auto"/>
        <w:right w:val="none" w:sz="0" w:space="0" w:color="auto"/>
      </w:divBdr>
    </w:div>
    <w:div w:id="602617480">
      <w:bodyDiv w:val="1"/>
      <w:marLeft w:val="0"/>
      <w:marRight w:val="0"/>
      <w:marTop w:val="0"/>
      <w:marBottom w:val="0"/>
      <w:divBdr>
        <w:top w:val="none" w:sz="0" w:space="0" w:color="auto"/>
        <w:left w:val="none" w:sz="0" w:space="0" w:color="auto"/>
        <w:bottom w:val="none" w:sz="0" w:space="0" w:color="auto"/>
        <w:right w:val="none" w:sz="0" w:space="0" w:color="auto"/>
      </w:divBdr>
    </w:div>
    <w:div w:id="602693483">
      <w:bodyDiv w:val="1"/>
      <w:marLeft w:val="0"/>
      <w:marRight w:val="0"/>
      <w:marTop w:val="0"/>
      <w:marBottom w:val="0"/>
      <w:divBdr>
        <w:top w:val="none" w:sz="0" w:space="0" w:color="auto"/>
        <w:left w:val="none" w:sz="0" w:space="0" w:color="auto"/>
        <w:bottom w:val="none" w:sz="0" w:space="0" w:color="auto"/>
        <w:right w:val="none" w:sz="0" w:space="0" w:color="auto"/>
      </w:divBdr>
    </w:div>
    <w:div w:id="602765849">
      <w:bodyDiv w:val="1"/>
      <w:marLeft w:val="0"/>
      <w:marRight w:val="0"/>
      <w:marTop w:val="0"/>
      <w:marBottom w:val="0"/>
      <w:divBdr>
        <w:top w:val="none" w:sz="0" w:space="0" w:color="auto"/>
        <w:left w:val="none" w:sz="0" w:space="0" w:color="auto"/>
        <w:bottom w:val="none" w:sz="0" w:space="0" w:color="auto"/>
        <w:right w:val="none" w:sz="0" w:space="0" w:color="auto"/>
      </w:divBdr>
    </w:div>
    <w:div w:id="602806822">
      <w:bodyDiv w:val="1"/>
      <w:marLeft w:val="0"/>
      <w:marRight w:val="0"/>
      <w:marTop w:val="0"/>
      <w:marBottom w:val="0"/>
      <w:divBdr>
        <w:top w:val="none" w:sz="0" w:space="0" w:color="auto"/>
        <w:left w:val="none" w:sz="0" w:space="0" w:color="auto"/>
        <w:bottom w:val="none" w:sz="0" w:space="0" w:color="auto"/>
        <w:right w:val="none" w:sz="0" w:space="0" w:color="auto"/>
      </w:divBdr>
    </w:div>
    <w:div w:id="602807677">
      <w:bodyDiv w:val="1"/>
      <w:marLeft w:val="0"/>
      <w:marRight w:val="0"/>
      <w:marTop w:val="0"/>
      <w:marBottom w:val="0"/>
      <w:divBdr>
        <w:top w:val="none" w:sz="0" w:space="0" w:color="auto"/>
        <w:left w:val="none" w:sz="0" w:space="0" w:color="auto"/>
        <w:bottom w:val="none" w:sz="0" w:space="0" w:color="auto"/>
        <w:right w:val="none" w:sz="0" w:space="0" w:color="auto"/>
      </w:divBdr>
    </w:div>
    <w:div w:id="602883950">
      <w:bodyDiv w:val="1"/>
      <w:marLeft w:val="0"/>
      <w:marRight w:val="0"/>
      <w:marTop w:val="0"/>
      <w:marBottom w:val="0"/>
      <w:divBdr>
        <w:top w:val="none" w:sz="0" w:space="0" w:color="auto"/>
        <w:left w:val="none" w:sz="0" w:space="0" w:color="auto"/>
        <w:bottom w:val="none" w:sz="0" w:space="0" w:color="auto"/>
        <w:right w:val="none" w:sz="0" w:space="0" w:color="auto"/>
      </w:divBdr>
    </w:div>
    <w:div w:id="602957606">
      <w:bodyDiv w:val="1"/>
      <w:marLeft w:val="0"/>
      <w:marRight w:val="0"/>
      <w:marTop w:val="0"/>
      <w:marBottom w:val="0"/>
      <w:divBdr>
        <w:top w:val="none" w:sz="0" w:space="0" w:color="auto"/>
        <w:left w:val="none" w:sz="0" w:space="0" w:color="auto"/>
        <w:bottom w:val="none" w:sz="0" w:space="0" w:color="auto"/>
        <w:right w:val="none" w:sz="0" w:space="0" w:color="auto"/>
      </w:divBdr>
    </w:div>
    <w:div w:id="602962513">
      <w:bodyDiv w:val="1"/>
      <w:marLeft w:val="0"/>
      <w:marRight w:val="0"/>
      <w:marTop w:val="0"/>
      <w:marBottom w:val="0"/>
      <w:divBdr>
        <w:top w:val="none" w:sz="0" w:space="0" w:color="auto"/>
        <w:left w:val="none" w:sz="0" w:space="0" w:color="auto"/>
        <w:bottom w:val="none" w:sz="0" w:space="0" w:color="auto"/>
        <w:right w:val="none" w:sz="0" w:space="0" w:color="auto"/>
      </w:divBdr>
    </w:div>
    <w:div w:id="603004731">
      <w:bodyDiv w:val="1"/>
      <w:marLeft w:val="0"/>
      <w:marRight w:val="0"/>
      <w:marTop w:val="0"/>
      <w:marBottom w:val="0"/>
      <w:divBdr>
        <w:top w:val="none" w:sz="0" w:space="0" w:color="auto"/>
        <w:left w:val="none" w:sz="0" w:space="0" w:color="auto"/>
        <w:bottom w:val="none" w:sz="0" w:space="0" w:color="auto"/>
        <w:right w:val="none" w:sz="0" w:space="0" w:color="auto"/>
      </w:divBdr>
    </w:div>
    <w:div w:id="603225342">
      <w:bodyDiv w:val="1"/>
      <w:marLeft w:val="0"/>
      <w:marRight w:val="0"/>
      <w:marTop w:val="0"/>
      <w:marBottom w:val="0"/>
      <w:divBdr>
        <w:top w:val="none" w:sz="0" w:space="0" w:color="auto"/>
        <w:left w:val="none" w:sz="0" w:space="0" w:color="auto"/>
        <w:bottom w:val="none" w:sz="0" w:space="0" w:color="auto"/>
        <w:right w:val="none" w:sz="0" w:space="0" w:color="auto"/>
      </w:divBdr>
    </w:div>
    <w:div w:id="603535230">
      <w:bodyDiv w:val="1"/>
      <w:marLeft w:val="0"/>
      <w:marRight w:val="0"/>
      <w:marTop w:val="0"/>
      <w:marBottom w:val="0"/>
      <w:divBdr>
        <w:top w:val="none" w:sz="0" w:space="0" w:color="auto"/>
        <w:left w:val="none" w:sz="0" w:space="0" w:color="auto"/>
        <w:bottom w:val="none" w:sz="0" w:space="0" w:color="auto"/>
        <w:right w:val="none" w:sz="0" w:space="0" w:color="auto"/>
      </w:divBdr>
    </w:div>
    <w:div w:id="603535288">
      <w:bodyDiv w:val="1"/>
      <w:marLeft w:val="0"/>
      <w:marRight w:val="0"/>
      <w:marTop w:val="0"/>
      <w:marBottom w:val="0"/>
      <w:divBdr>
        <w:top w:val="none" w:sz="0" w:space="0" w:color="auto"/>
        <w:left w:val="none" w:sz="0" w:space="0" w:color="auto"/>
        <w:bottom w:val="none" w:sz="0" w:space="0" w:color="auto"/>
        <w:right w:val="none" w:sz="0" w:space="0" w:color="auto"/>
      </w:divBdr>
    </w:div>
    <w:div w:id="603536502">
      <w:bodyDiv w:val="1"/>
      <w:marLeft w:val="0"/>
      <w:marRight w:val="0"/>
      <w:marTop w:val="0"/>
      <w:marBottom w:val="0"/>
      <w:divBdr>
        <w:top w:val="none" w:sz="0" w:space="0" w:color="auto"/>
        <w:left w:val="none" w:sz="0" w:space="0" w:color="auto"/>
        <w:bottom w:val="none" w:sz="0" w:space="0" w:color="auto"/>
        <w:right w:val="none" w:sz="0" w:space="0" w:color="auto"/>
      </w:divBdr>
    </w:div>
    <w:div w:id="603608679">
      <w:bodyDiv w:val="1"/>
      <w:marLeft w:val="0"/>
      <w:marRight w:val="0"/>
      <w:marTop w:val="0"/>
      <w:marBottom w:val="0"/>
      <w:divBdr>
        <w:top w:val="none" w:sz="0" w:space="0" w:color="auto"/>
        <w:left w:val="none" w:sz="0" w:space="0" w:color="auto"/>
        <w:bottom w:val="none" w:sz="0" w:space="0" w:color="auto"/>
        <w:right w:val="none" w:sz="0" w:space="0" w:color="auto"/>
      </w:divBdr>
    </w:div>
    <w:div w:id="603729646">
      <w:bodyDiv w:val="1"/>
      <w:marLeft w:val="0"/>
      <w:marRight w:val="0"/>
      <w:marTop w:val="0"/>
      <w:marBottom w:val="0"/>
      <w:divBdr>
        <w:top w:val="none" w:sz="0" w:space="0" w:color="auto"/>
        <w:left w:val="none" w:sz="0" w:space="0" w:color="auto"/>
        <w:bottom w:val="none" w:sz="0" w:space="0" w:color="auto"/>
        <w:right w:val="none" w:sz="0" w:space="0" w:color="auto"/>
      </w:divBdr>
    </w:div>
    <w:div w:id="603805872">
      <w:bodyDiv w:val="1"/>
      <w:marLeft w:val="0"/>
      <w:marRight w:val="0"/>
      <w:marTop w:val="0"/>
      <w:marBottom w:val="0"/>
      <w:divBdr>
        <w:top w:val="none" w:sz="0" w:space="0" w:color="auto"/>
        <w:left w:val="none" w:sz="0" w:space="0" w:color="auto"/>
        <w:bottom w:val="none" w:sz="0" w:space="0" w:color="auto"/>
        <w:right w:val="none" w:sz="0" w:space="0" w:color="auto"/>
      </w:divBdr>
    </w:div>
    <w:div w:id="603925656">
      <w:bodyDiv w:val="1"/>
      <w:marLeft w:val="0"/>
      <w:marRight w:val="0"/>
      <w:marTop w:val="0"/>
      <w:marBottom w:val="0"/>
      <w:divBdr>
        <w:top w:val="none" w:sz="0" w:space="0" w:color="auto"/>
        <w:left w:val="none" w:sz="0" w:space="0" w:color="auto"/>
        <w:bottom w:val="none" w:sz="0" w:space="0" w:color="auto"/>
        <w:right w:val="none" w:sz="0" w:space="0" w:color="auto"/>
      </w:divBdr>
    </w:div>
    <w:div w:id="604192395">
      <w:bodyDiv w:val="1"/>
      <w:marLeft w:val="0"/>
      <w:marRight w:val="0"/>
      <w:marTop w:val="0"/>
      <w:marBottom w:val="0"/>
      <w:divBdr>
        <w:top w:val="none" w:sz="0" w:space="0" w:color="auto"/>
        <w:left w:val="none" w:sz="0" w:space="0" w:color="auto"/>
        <w:bottom w:val="none" w:sz="0" w:space="0" w:color="auto"/>
        <w:right w:val="none" w:sz="0" w:space="0" w:color="auto"/>
      </w:divBdr>
    </w:div>
    <w:div w:id="604270367">
      <w:bodyDiv w:val="1"/>
      <w:marLeft w:val="0"/>
      <w:marRight w:val="0"/>
      <w:marTop w:val="0"/>
      <w:marBottom w:val="0"/>
      <w:divBdr>
        <w:top w:val="none" w:sz="0" w:space="0" w:color="auto"/>
        <w:left w:val="none" w:sz="0" w:space="0" w:color="auto"/>
        <w:bottom w:val="none" w:sz="0" w:space="0" w:color="auto"/>
        <w:right w:val="none" w:sz="0" w:space="0" w:color="auto"/>
      </w:divBdr>
    </w:div>
    <w:div w:id="604313188">
      <w:bodyDiv w:val="1"/>
      <w:marLeft w:val="0"/>
      <w:marRight w:val="0"/>
      <w:marTop w:val="0"/>
      <w:marBottom w:val="0"/>
      <w:divBdr>
        <w:top w:val="none" w:sz="0" w:space="0" w:color="auto"/>
        <w:left w:val="none" w:sz="0" w:space="0" w:color="auto"/>
        <w:bottom w:val="none" w:sz="0" w:space="0" w:color="auto"/>
        <w:right w:val="none" w:sz="0" w:space="0" w:color="auto"/>
      </w:divBdr>
    </w:div>
    <w:div w:id="604339045">
      <w:bodyDiv w:val="1"/>
      <w:marLeft w:val="0"/>
      <w:marRight w:val="0"/>
      <w:marTop w:val="0"/>
      <w:marBottom w:val="0"/>
      <w:divBdr>
        <w:top w:val="none" w:sz="0" w:space="0" w:color="auto"/>
        <w:left w:val="none" w:sz="0" w:space="0" w:color="auto"/>
        <w:bottom w:val="none" w:sz="0" w:space="0" w:color="auto"/>
        <w:right w:val="none" w:sz="0" w:space="0" w:color="auto"/>
      </w:divBdr>
    </w:div>
    <w:div w:id="604384117">
      <w:bodyDiv w:val="1"/>
      <w:marLeft w:val="0"/>
      <w:marRight w:val="0"/>
      <w:marTop w:val="0"/>
      <w:marBottom w:val="0"/>
      <w:divBdr>
        <w:top w:val="none" w:sz="0" w:space="0" w:color="auto"/>
        <w:left w:val="none" w:sz="0" w:space="0" w:color="auto"/>
        <w:bottom w:val="none" w:sz="0" w:space="0" w:color="auto"/>
        <w:right w:val="none" w:sz="0" w:space="0" w:color="auto"/>
      </w:divBdr>
    </w:div>
    <w:div w:id="604465499">
      <w:bodyDiv w:val="1"/>
      <w:marLeft w:val="0"/>
      <w:marRight w:val="0"/>
      <w:marTop w:val="0"/>
      <w:marBottom w:val="0"/>
      <w:divBdr>
        <w:top w:val="none" w:sz="0" w:space="0" w:color="auto"/>
        <w:left w:val="none" w:sz="0" w:space="0" w:color="auto"/>
        <w:bottom w:val="none" w:sz="0" w:space="0" w:color="auto"/>
        <w:right w:val="none" w:sz="0" w:space="0" w:color="auto"/>
      </w:divBdr>
    </w:div>
    <w:div w:id="604504654">
      <w:bodyDiv w:val="1"/>
      <w:marLeft w:val="0"/>
      <w:marRight w:val="0"/>
      <w:marTop w:val="0"/>
      <w:marBottom w:val="0"/>
      <w:divBdr>
        <w:top w:val="none" w:sz="0" w:space="0" w:color="auto"/>
        <w:left w:val="none" w:sz="0" w:space="0" w:color="auto"/>
        <w:bottom w:val="none" w:sz="0" w:space="0" w:color="auto"/>
        <w:right w:val="none" w:sz="0" w:space="0" w:color="auto"/>
      </w:divBdr>
    </w:div>
    <w:div w:id="604582027">
      <w:bodyDiv w:val="1"/>
      <w:marLeft w:val="0"/>
      <w:marRight w:val="0"/>
      <w:marTop w:val="0"/>
      <w:marBottom w:val="0"/>
      <w:divBdr>
        <w:top w:val="none" w:sz="0" w:space="0" w:color="auto"/>
        <w:left w:val="none" w:sz="0" w:space="0" w:color="auto"/>
        <w:bottom w:val="none" w:sz="0" w:space="0" w:color="auto"/>
        <w:right w:val="none" w:sz="0" w:space="0" w:color="auto"/>
      </w:divBdr>
    </w:div>
    <w:div w:id="604727597">
      <w:bodyDiv w:val="1"/>
      <w:marLeft w:val="0"/>
      <w:marRight w:val="0"/>
      <w:marTop w:val="0"/>
      <w:marBottom w:val="0"/>
      <w:divBdr>
        <w:top w:val="none" w:sz="0" w:space="0" w:color="auto"/>
        <w:left w:val="none" w:sz="0" w:space="0" w:color="auto"/>
        <w:bottom w:val="none" w:sz="0" w:space="0" w:color="auto"/>
        <w:right w:val="none" w:sz="0" w:space="0" w:color="auto"/>
      </w:divBdr>
    </w:div>
    <w:div w:id="604920793">
      <w:bodyDiv w:val="1"/>
      <w:marLeft w:val="0"/>
      <w:marRight w:val="0"/>
      <w:marTop w:val="0"/>
      <w:marBottom w:val="0"/>
      <w:divBdr>
        <w:top w:val="none" w:sz="0" w:space="0" w:color="auto"/>
        <w:left w:val="none" w:sz="0" w:space="0" w:color="auto"/>
        <w:bottom w:val="none" w:sz="0" w:space="0" w:color="auto"/>
        <w:right w:val="none" w:sz="0" w:space="0" w:color="auto"/>
      </w:divBdr>
    </w:div>
    <w:div w:id="604964844">
      <w:bodyDiv w:val="1"/>
      <w:marLeft w:val="0"/>
      <w:marRight w:val="0"/>
      <w:marTop w:val="0"/>
      <w:marBottom w:val="0"/>
      <w:divBdr>
        <w:top w:val="none" w:sz="0" w:space="0" w:color="auto"/>
        <w:left w:val="none" w:sz="0" w:space="0" w:color="auto"/>
        <w:bottom w:val="none" w:sz="0" w:space="0" w:color="auto"/>
        <w:right w:val="none" w:sz="0" w:space="0" w:color="auto"/>
      </w:divBdr>
    </w:div>
    <w:div w:id="604994427">
      <w:bodyDiv w:val="1"/>
      <w:marLeft w:val="0"/>
      <w:marRight w:val="0"/>
      <w:marTop w:val="0"/>
      <w:marBottom w:val="0"/>
      <w:divBdr>
        <w:top w:val="none" w:sz="0" w:space="0" w:color="auto"/>
        <w:left w:val="none" w:sz="0" w:space="0" w:color="auto"/>
        <w:bottom w:val="none" w:sz="0" w:space="0" w:color="auto"/>
        <w:right w:val="none" w:sz="0" w:space="0" w:color="auto"/>
      </w:divBdr>
    </w:div>
    <w:div w:id="605040148">
      <w:bodyDiv w:val="1"/>
      <w:marLeft w:val="0"/>
      <w:marRight w:val="0"/>
      <w:marTop w:val="0"/>
      <w:marBottom w:val="0"/>
      <w:divBdr>
        <w:top w:val="none" w:sz="0" w:space="0" w:color="auto"/>
        <w:left w:val="none" w:sz="0" w:space="0" w:color="auto"/>
        <w:bottom w:val="none" w:sz="0" w:space="0" w:color="auto"/>
        <w:right w:val="none" w:sz="0" w:space="0" w:color="auto"/>
      </w:divBdr>
    </w:div>
    <w:div w:id="605160417">
      <w:bodyDiv w:val="1"/>
      <w:marLeft w:val="0"/>
      <w:marRight w:val="0"/>
      <w:marTop w:val="0"/>
      <w:marBottom w:val="0"/>
      <w:divBdr>
        <w:top w:val="none" w:sz="0" w:space="0" w:color="auto"/>
        <w:left w:val="none" w:sz="0" w:space="0" w:color="auto"/>
        <w:bottom w:val="none" w:sz="0" w:space="0" w:color="auto"/>
        <w:right w:val="none" w:sz="0" w:space="0" w:color="auto"/>
      </w:divBdr>
    </w:div>
    <w:div w:id="605160930">
      <w:bodyDiv w:val="1"/>
      <w:marLeft w:val="0"/>
      <w:marRight w:val="0"/>
      <w:marTop w:val="0"/>
      <w:marBottom w:val="0"/>
      <w:divBdr>
        <w:top w:val="none" w:sz="0" w:space="0" w:color="auto"/>
        <w:left w:val="none" w:sz="0" w:space="0" w:color="auto"/>
        <w:bottom w:val="none" w:sz="0" w:space="0" w:color="auto"/>
        <w:right w:val="none" w:sz="0" w:space="0" w:color="auto"/>
      </w:divBdr>
    </w:div>
    <w:div w:id="605190067">
      <w:bodyDiv w:val="1"/>
      <w:marLeft w:val="0"/>
      <w:marRight w:val="0"/>
      <w:marTop w:val="0"/>
      <w:marBottom w:val="0"/>
      <w:divBdr>
        <w:top w:val="none" w:sz="0" w:space="0" w:color="auto"/>
        <w:left w:val="none" w:sz="0" w:space="0" w:color="auto"/>
        <w:bottom w:val="none" w:sz="0" w:space="0" w:color="auto"/>
        <w:right w:val="none" w:sz="0" w:space="0" w:color="auto"/>
      </w:divBdr>
    </w:div>
    <w:div w:id="605231141">
      <w:bodyDiv w:val="1"/>
      <w:marLeft w:val="0"/>
      <w:marRight w:val="0"/>
      <w:marTop w:val="0"/>
      <w:marBottom w:val="0"/>
      <w:divBdr>
        <w:top w:val="none" w:sz="0" w:space="0" w:color="auto"/>
        <w:left w:val="none" w:sz="0" w:space="0" w:color="auto"/>
        <w:bottom w:val="none" w:sz="0" w:space="0" w:color="auto"/>
        <w:right w:val="none" w:sz="0" w:space="0" w:color="auto"/>
      </w:divBdr>
    </w:div>
    <w:div w:id="605308227">
      <w:bodyDiv w:val="1"/>
      <w:marLeft w:val="0"/>
      <w:marRight w:val="0"/>
      <w:marTop w:val="0"/>
      <w:marBottom w:val="0"/>
      <w:divBdr>
        <w:top w:val="none" w:sz="0" w:space="0" w:color="auto"/>
        <w:left w:val="none" w:sz="0" w:space="0" w:color="auto"/>
        <w:bottom w:val="none" w:sz="0" w:space="0" w:color="auto"/>
        <w:right w:val="none" w:sz="0" w:space="0" w:color="auto"/>
      </w:divBdr>
    </w:div>
    <w:div w:id="605384195">
      <w:bodyDiv w:val="1"/>
      <w:marLeft w:val="0"/>
      <w:marRight w:val="0"/>
      <w:marTop w:val="0"/>
      <w:marBottom w:val="0"/>
      <w:divBdr>
        <w:top w:val="none" w:sz="0" w:space="0" w:color="auto"/>
        <w:left w:val="none" w:sz="0" w:space="0" w:color="auto"/>
        <w:bottom w:val="none" w:sz="0" w:space="0" w:color="auto"/>
        <w:right w:val="none" w:sz="0" w:space="0" w:color="auto"/>
      </w:divBdr>
    </w:div>
    <w:div w:id="605427422">
      <w:bodyDiv w:val="1"/>
      <w:marLeft w:val="0"/>
      <w:marRight w:val="0"/>
      <w:marTop w:val="0"/>
      <w:marBottom w:val="0"/>
      <w:divBdr>
        <w:top w:val="none" w:sz="0" w:space="0" w:color="auto"/>
        <w:left w:val="none" w:sz="0" w:space="0" w:color="auto"/>
        <w:bottom w:val="none" w:sz="0" w:space="0" w:color="auto"/>
        <w:right w:val="none" w:sz="0" w:space="0" w:color="auto"/>
      </w:divBdr>
    </w:div>
    <w:div w:id="605580908">
      <w:bodyDiv w:val="1"/>
      <w:marLeft w:val="0"/>
      <w:marRight w:val="0"/>
      <w:marTop w:val="0"/>
      <w:marBottom w:val="0"/>
      <w:divBdr>
        <w:top w:val="none" w:sz="0" w:space="0" w:color="auto"/>
        <w:left w:val="none" w:sz="0" w:space="0" w:color="auto"/>
        <w:bottom w:val="none" w:sz="0" w:space="0" w:color="auto"/>
        <w:right w:val="none" w:sz="0" w:space="0" w:color="auto"/>
      </w:divBdr>
    </w:div>
    <w:div w:id="605618606">
      <w:bodyDiv w:val="1"/>
      <w:marLeft w:val="0"/>
      <w:marRight w:val="0"/>
      <w:marTop w:val="0"/>
      <w:marBottom w:val="0"/>
      <w:divBdr>
        <w:top w:val="none" w:sz="0" w:space="0" w:color="auto"/>
        <w:left w:val="none" w:sz="0" w:space="0" w:color="auto"/>
        <w:bottom w:val="none" w:sz="0" w:space="0" w:color="auto"/>
        <w:right w:val="none" w:sz="0" w:space="0" w:color="auto"/>
      </w:divBdr>
    </w:div>
    <w:div w:id="605620392">
      <w:bodyDiv w:val="1"/>
      <w:marLeft w:val="0"/>
      <w:marRight w:val="0"/>
      <w:marTop w:val="0"/>
      <w:marBottom w:val="0"/>
      <w:divBdr>
        <w:top w:val="none" w:sz="0" w:space="0" w:color="auto"/>
        <w:left w:val="none" w:sz="0" w:space="0" w:color="auto"/>
        <w:bottom w:val="none" w:sz="0" w:space="0" w:color="auto"/>
        <w:right w:val="none" w:sz="0" w:space="0" w:color="auto"/>
      </w:divBdr>
    </w:div>
    <w:div w:id="605698537">
      <w:bodyDiv w:val="1"/>
      <w:marLeft w:val="0"/>
      <w:marRight w:val="0"/>
      <w:marTop w:val="0"/>
      <w:marBottom w:val="0"/>
      <w:divBdr>
        <w:top w:val="none" w:sz="0" w:space="0" w:color="auto"/>
        <w:left w:val="none" w:sz="0" w:space="0" w:color="auto"/>
        <w:bottom w:val="none" w:sz="0" w:space="0" w:color="auto"/>
        <w:right w:val="none" w:sz="0" w:space="0" w:color="auto"/>
      </w:divBdr>
    </w:div>
    <w:div w:id="605698641">
      <w:bodyDiv w:val="1"/>
      <w:marLeft w:val="0"/>
      <w:marRight w:val="0"/>
      <w:marTop w:val="0"/>
      <w:marBottom w:val="0"/>
      <w:divBdr>
        <w:top w:val="none" w:sz="0" w:space="0" w:color="auto"/>
        <w:left w:val="none" w:sz="0" w:space="0" w:color="auto"/>
        <w:bottom w:val="none" w:sz="0" w:space="0" w:color="auto"/>
        <w:right w:val="none" w:sz="0" w:space="0" w:color="auto"/>
      </w:divBdr>
    </w:div>
    <w:div w:id="605769521">
      <w:bodyDiv w:val="1"/>
      <w:marLeft w:val="0"/>
      <w:marRight w:val="0"/>
      <w:marTop w:val="0"/>
      <w:marBottom w:val="0"/>
      <w:divBdr>
        <w:top w:val="none" w:sz="0" w:space="0" w:color="auto"/>
        <w:left w:val="none" w:sz="0" w:space="0" w:color="auto"/>
        <w:bottom w:val="none" w:sz="0" w:space="0" w:color="auto"/>
        <w:right w:val="none" w:sz="0" w:space="0" w:color="auto"/>
      </w:divBdr>
    </w:div>
    <w:div w:id="605770601">
      <w:bodyDiv w:val="1"/>
      <w:marLeft w:val="0"/>
      <w:marRight w:val="0"/>
      <w:marTop w:val="0"/>
      <w:marBottom w:val="0"/>
      <w:divBdr>
        <w:top w:val="none" w:sz="0" w:space="0" w:color="auto"/>
        <w:left w:val="none" w:sz="0" w:space="0" w:color="auto"/>
        <w:bottom w:val="none" w:sz="0" w:space="0" w:color="auto"/>
        <w:right w:val="none" w:sz="0" w:space="0" w:color="auto"/>
      </w:divBdr>
    </w:div>
    <w:div w:id="605960844">
      <w:bodyDiv w:val="1"/>
      <w:marLeft w:val="0"/>
      <w:marRight w:val="0"/>
      <w:marTop w:val="0"/>
      <w:marBottom w:val="0"/>
      <w:divBdr>
        <w:top w:val="none" w:sz="0" w:space="0" w:color="auto"/>
        <w:left w:val="none" w:sz="0" w:space="0" w:color="auto"/>
        <w:bottom w:val="none" w:sz="0" w:space="0" w:color="auto"/>
        <w:right w:val="none" w:sz="0" w:space="0" w:color="auto"/>
      </w:divBdr>
    </w:div>
    <w:div w:id="605966637">
      <w:bodyDiv w:val="1"/>
      <w:marLeft w:val="0"/>
      <w:marRight w:val="0"/>
      <w:marTop w:val="0"/>
      <w:marBottom w:val="0"/>
      <w:divBdr>
        <w:top w:val="none" w:sz="0" w:space="0" w:color="auto"/>
        <w:left w:val="none" w:sz="0" w:space="0" w:color="auto"/>
        <w:bottom w:val="none" w:sz="0" w:space="0" w:color="auto"/>
        <w:right w:val="none" w:sz="0" w:space="0" w:color="auto"/>
      </w:divBdr>
    </w:div>
    <w:div w:id="605967923">
      <w:bodyDiv w:val="1"/>
      <w:marLeft w:val="0"/>
      <w:marRight w:val="0"/>
      <w:marTop w:val="0"/>
      <w:marBottom w:val="0"/>
      <w:divBdr>
        <w:top w:val="none" w:sz="0" w:space="0" w:color="auto"/>
        <w:left w:val="none" w:sz="0" w:space="0" w:color="auto"/>
        <w:bottom w:val="none" w:sz="0" w:space="0" w:color="auto"/>
        <w:right w:val="none" w:sz="0" w:space="0" w:color="auto"/>
      </w:divBdr>
    </w:div>
    <w:div w:id="606042710">
      <w:bodyDiv w:val="1"/>
      <w:marLeft w:val="0"/>
      <w:marRight w:val="0"/>
      <w:marTop w:val="0"/>
      <w:marBottom w:val="0"/>
      <w:divBdr>
        <w:top w:val="none" w:sz="0" w:space="0" w:color="auto"/>
        <w:left w:val="none" w:sz="0" w:space="0" w:color="auto"/>
        <w:bottom w:val="none" w:sz="0" w:space="0" w:color="auto"/>
        <w:right w:val="none" w:sz="0" w:space="0" w:color="auto"/>
      </w:divBdr>
    </w:div>
    <w:div w:id="606161800">
      <w:bodyDiv w:val="1"/>
      <w:marLeft w:val="0"/>
      <w:marRight w:val="0"/>
      <w:marTop w:val="0"/>
      <w:marBottom w:val="0"/>
      <w:divBdr>
        <w:top w:val="none" w:sz="0" w:space="0" w:color="auto"/>
        <w:left w:val="none" w:sz="0" w:space="0" w:color="auto"/>
        <w:bottom w:val="none" w:sz="0" w:space="0" w:color="auto"/>
        <w:right w:val="none" w:sz="0" w:space="0" w:color="auto"/>
      </w:divBdr>
    </w:div>
    <w:div w:id="606238345">
      <w:bodyDiv w:val="1"/>
      <w:marLeft w:val="0"/>
      <w:marRight w:val="0"/>
      <w:marTop w:val="0"/>
      <w:marBottom w:val="0"/>
      <w:divBdr>
        <w:top w:val="none" w:sz="0" w:space="0" w:color="auto"/>
        <w:left w:val="none" w:sz="0" w:space="0" w:color="auto"/>
        <w:bottom w:val="none" w:sz="0" w:space="0" w:color="auto"/>
        <w:right w:val="none" w:sz="0" w:space="0" w:color="auto"/>
      </w:divBdr>
    </w:div>
    <w:div w:id="606348521">
      <w:bodyDiv w:val="1"/>
      <w:marLeft w:val="0"/>
      <w:marRight w:val="0"/>
      <w:marTop w:val="0"/>
      <w:marBottom w:val="0"/>
      <w:divBdr>
        <w:top w:val="none" w:sz="0" w:space="0" w:color="auto"/>
        <w:left w:val="none" w:sz="0" w:space="0" w:color="auto"/>
        <w:bottom w:val="none" w:sz="0" w:space="0" w:color="auto"/>
        <w:right w:val="none" w:sz="0" w:space="0" w:color="auto"/>
      </w:divBdr>
    </w:div>
    <w:div w:id="606349513">
      <w:bodyDiv w:val="1"/>
      <w:marLeft w:val="0"/>
      <w:marRight w:val="0"/>
      <w:marTop w:val="0"/>
      <w:marBottom w:val="0"/>
      <w:divBdr>
        <w:top w:val="none" w:sz="0" w:space="0" w:color="auto"/>
        <w:left w:val="none" w:sz="0" w:space="0" w:color="auto"/>
        <w:bottom w:val="none" w:sz="0" w:space="0" w:color="auto"/>
        <w:right w:val="none" w:sz="0" w:space="0" w:color="auto"/>
      </w:divBdr>
    </w:div>
    <w:div w:id="606428598">
      <w:bodyDiv w:val="1"/>
      <w:marLeft w:val="0"/>
      <w:marRight w:val="0"/>
      <w:marTop w:val="0"/>
      <w:marBottom w:val="0"/>
      <w:divBdr>
        <w:top w:val="none" w:sz="0" w:space="0" w:color="auto"/>
        <w:left w:val="none" w:sz="0" w:space="0" w:color="auto"/>
        <w:bottom w:val="none" w:sz="0" w:space="0" w:color="auto"/>
        <w:right w:val="none" w:sz="0" w:space="0" w:color="auto"/>
      </w:divBdr>
    </w:div>
    <w:div w:id="606499507">
      <w:bodyDiv w:val="1"/>
      <w:marLeft w:val="0"/>
      <w:marRight w:val="0"/>
      <w:marTop w:val="0"/>
      <w:marBottom w:val="0"/>
      <w:divBdr>
        <w:top w:val="none" w:sz="0" w:space="0" w:color="auto"/>
        <w:left w:val="none" w:sz="0" w:space="0" w:color="auto"/>
        <w:bottom w:val="none" w:sz="0" w:space="0" w:color="auto"/>
        <w:right w:val="none" w:sz="0" w:space="0" w:color="auto"/>
      </w:divBdr>
    </w:div>
    <w:div w:id="606617158">
      <w:bodyDiv w:val="1"/>
      <w:marLeft w:val="0"/>
      <w:marRight w:val="0"/>
      <w:marTop w:val="0"/>
      <w:marBottom w:val="0"/>
      <w:divBdr>
        <w:top w:val="none" w:sz="0" w:space="0" w:color="auto"/>
        <w:left w:val="none" w:sz="0" w:space="0" w:color="auto"/>
        <w:bottom w:val="none" w:sz="0" w:space="0" w:color="auto"/>
        <w:right w:val="none" w:sz="0" w:space="0" w:color="auto"/>
      </w:divBdr>
    </w:div>
    <w:div w:id="606739893">
      <w:bodyDiv w:val="1"/>
      <w:marLeft w:val="0"/>
      <w:marRight w:val="0"/>
      <w:marTop w:val="0"/>
      <w:marBottom w:val="0"/>
      <w:divBdr>
        <w:top w:val="none" w:sz="0" w:space="0" w:color="auto"/>
        <w:left w:val="none" w:sz="0" w:space="0" w:color="auto"/>
        <w:bottom w:val="none" w:sz="0" w:space="0" w:color="auto"/>
        <w:right w:val="none" w:sz="0" w:space="0" w:color="auto"/>
      </w:divBdr>
    </w:div>
    <w:div w:id="606811787">
      <w:bodyDiv w:val="1"/>
      <w:marLeft w:val="0"/>
      <w:marRight w:val="0"/>
      <w:marTop w:val="0"/>
      <w:marBottom w:val="0"/>
      <w:divBdr>
        <w:top w:val="none" w:sz="0" w:space="0" w:color="auto"/>
        <w:left w:val="none" w:sz="0" w:space="0" w:color="auto"/>
        <w:bottom w:val="none" w:sz="0" w:space="0" w:color="auto"/>
        <w:right w:val="none" w:sz="0" w:space="0" w:color="auto"/>
      </w:divBdr>
    </w:div>
    <w:div w:id="606887894">
      <w:bodyDiv w:val="1"/>
      <w:marLeft w:val="0"/>
      <w:marRight w:val="0"/>
      <w:marTop w:val="0"/>
      <w:marBottom w:val="0"/>
      <w:divBdr>
        <w:top w:val="none" w:sz="0" w:space="0" w:color="auto"/>
        <w:left w:val="none" w:sz="0" w:space="0" w:color="auto"/>
        <w:bottom w:val="none" w:sz="0" w:space="0" w:color="auto"/>
        <w:right w:val="none" w:sz="0" w:space="0" w:color="auto"/>
      </w:divBdr>
    </w:div>
    <w:div w:id="606892645">
      <w:bodyDiv w:val="1"/>
      <w:marLeft w:val="0"/>
      <w:marRight w:val="0"/>
      <w:marTop w:val="0"/>
      <w:marBottom w:val="0"/>
      <w:divBdr>
        <w:top w:val="none" w:sz="0" w:space="0" w:color="auto"/>
        <w:left w:val="none" w:sz="0" w:space="0" w:color="auto"/>
        <w:bottom w:val="none" w:sz="0" w:space="0" w:color="auto"/>
        <w:right w:val="none" w:sz="0" w:space="0" w:color="auto"/>
      </w:divBdr>
    </w:div>
    <w:div w:id="607129873">
      <w:bodyDiv w:val="1"/>
      <w:marLeft w:val="0"/>
      <w:marRight w:val="0"/>
      <w:marTop w:val="0"/>
      <w:marBottom w:val="0"/>
      <w:divBdr>
        <w:top w:val="none" w:sz="0" w:space="0" w:color="auto"/>
        <w:left w:val="none" w:sz="0" w:space="0" w:color="auto"/>
        <w:bottom w:val="none" w:sz="0" w:space="0" w:color="auto"/>
        <w:right w:val="none" w:sz="0" w:space="0" w:color="auto"/>
      </w:divBdr>
    </w:div>
    <w:div w:id="607348276">
      <w:bodyDiv w:val="1"/>
      <w:marLeft w:val="0"/>
      <w:marRight w:val="0"/>
      <w:marTop w:val="0"/>
      <w:marBottom w:val="0"/>
      <w:divBdr>
        <w:top w:val="none" w:sz="0" w:space="0" w:color="auto"/>
        <w:left w:val="none" w:sz="0" w:space="0" w:color="auto"/>
        <w:bottom w:val="none" w:sz="0" w:space="0" w:color="auto"/>
        <w:right w:val="none" w:sz="0" w:space="0" w:color="auto"/>
      </w:divBdr>
    </w:div>
    <w:div w:id="607351546">
      <w:bodyDiv w:val="1"/>
      <w:marLeft w:val="0"/>
      <w:marRight w:val="0"/>
      <w:marTop w:val="0"/>
      <w:marBottom w:val="0"/>
      <w:divBdr>
        <w:top w:val="none" w:sz="0" w:space="0" w:color="auto"/>
        <w:left w:val="none" w:sz="0" w:space="0" w:color="auto"/>
        <w:bottom w:val="none" w:sz="0" w:space="0" w:color="auto"/>
        <w:right w:val="none" w:sz="0" w:space="0" w:color="auto"/>
      </w:divBdr>
    </w:div>
    <w:div w:id="607351927">
      <w:bodyDiv w:val="1"/>
      <w:marLeft w:val="0"/>
      <w:marRight w:val="0"/>
      <w:marTop w:val="0"/>
      <w:marBottom w:val="0"/>
      <w:divBdr>
        <w:top w:val="none" w:sz="0" w:space="0" w:color="auto"/>
        <w:left w:val="none" w:sz="0" w:space="0" w:color="auto"/>
        <w:bottom w:val="none" w:sz="0" w:space="0" w:color="auto"/>
        <w:right w:val="none" w:sz="0" w:space="0" w:color="auto"/>
      </w:divBdr>
    </w:div>
    <w:div w:id="607542742">
      <w:bodyDiv w:val="1"/>
      <w:marLeft w:val="0"/>
      <w:marRight w:val="0"/>
      <w:marTop w:val="0"/>
      <w:marBottom w:val="0"/>
      <w:divBdr>
        <w:top w:val="none" w:sz="0" w:space="0" w:color="auto"/>
        <w:left w:val="none" w:sz="0" w:space="0" w:color="auto"/>
        <w:bottom w:val="none" w:sz="0" w:space="0" w:color="auto"/>
        <w:right w:val="none" w:sz="0" w:space="0" w:color="auto"/>
      </w:divBdr>
    </w:div>
    <w:div w:id="607586741">
      <w:bodyDiv w:val="1"/>
      <w:marLeft w:val="0"/>
      <w:marRight w:val="0"/>
      <w:marTop w:val="0"/>
      <w:marBottom w:val="0"/>
      <w:divBdr>
        <w:top w:val="none" w:sz="0" w:space="0" w:color="auto"/>
        <w:left w:val="none" w:sz="0" w:space="0" w:color="auto"/>
        <w:bottom w:val="none" w:sz="0" w:space="0" w:color="auto"/>
        <w:right w:val="none" w:sz="0" w:space="0" w:color="auto"/>
      </w:divBdr>
    </w:div>
    <w:div w:id="607665889">
      <w:bodyDiv w:val="1"/>
      <w:marLeft w:val="0"/>
      <w:marRight w:val="0"/>
      <w:marTop w:val="0"/>
      <w:marBottom w:val="0"/>
      <w:divBdr>
        <w:top w:val="none" w:sz="0" w:space="0" w:color="auto"/>
        <w:left w:val="none" w:sz="0" w:space="0" w:color="auto"/>
        <w:bottom w:val="none" w:sz="0" w:space="0" w:color="auto"/>
        <w:right w:val="none" w:sz="0" w:space="0" w:color="auto"/>
      </w:divBdr>
    </w:div>
    <w:div w:id="607933559">
      <w:bodyDiv w:val="1"/>
      <w:marLeft w:val="0"/>
      <w:marRight w:val="0"/>
      <w:marTop w:val="0"/>
      <w:marBottom w:val="0"/>
      <w:divBdr>
        <w:top w:val="none" w:sz="0" w:space="0" w:color="auto"/>
        <w:left w:val="none" w:sz="0" w:space="0" w:color="auto"/>
        <w:bottom w:val="none" w:sz="0" w:space="0" w:color="auto"/>
        <w:right w:val="none" w:sz="0" w:space="0" w:color="auto"/>
      </w:divBdr>
    </w:div>
    <w:div w:id="608044762">
      <w:bodyDiv w:val="1"/>
      <w:marLeft w:val="0"/>
      <w:marRight w:val="0"/>
      <w:marTop w:val="0"/>
      <w:marBottom w:val="0"/>
      <w:divBdr>
        <w:top w:val="none" w:sz="0" w:space="0" w:color="auto"/>
        <w:left w:val="none" w:sz="0" w:space="0" w:color="auto"/>
        <w:bottom w:val="none" w:sz="0" w:space="0" w:color="auto"/>
        <w:right w:val="none" w:sz="0" w:space="0" w:color="auto"/>
      </w:divBdr>
    </w:div>
    <w:div w:id="608129221">
      <w:bodyDiv w:val="1"/>
      <w:marLeft w:val="0"/>
      <w:marRight w:val="0"/>
      <w:marTop w:val="0"/>
      <w:marBottom w:val="0"/>
      <w:divBdr>
        <w:top w:val="none" w:sz="0" w:space="0" w:color="auto"/>
        <w:left w:val="none" w:sz="0" w:space="0" w:color="auto"/>
        <w:bottom w:val="none" w:sz="0" w:space="0" w:color="auto"/>
        <w:right w:val="none" w:sz="0" w:space="0" w:color="auto"/>
      </w:divBdr>
    </w:div>
    <w:div w:id="608246405">
      <w:bodyDiv w:val="1"/>
      <w:marLeft w:val="0"/>
      <w:marRight w:val="0"/>
      <w:marTop w:val="0"/>
      <w:marBottom w:val="0"/>
      <w:divBdr>
        <w:top w:val="none" w:sz="0" w:space="0" w:color="auto"/>
        <w:left w:val="none" w:sz="0" w:space="0" w:color="auto"/>
        <w:bottom w:val="none" w:sz="0" w:space="0" w:color="auto"/>
        <w:right w:val="none" w:sz="0" w:space="0" w:color="auto"/>
      </w:divBdr>
    </w:div>
    <w:div w:id="608438514">
      <w:bodyDiv w:val="1"/>
      <w:marLeft w:val="0"/>
      <w:marRight w:val="0"/>
      <w:marTop w:val="0"/>
      <w:marBottom w:val="0"/>
      <w:divBdr>
        <w:top w:val="none" w:sz="0" w:space="0" w:color="auto"/>
        <w:left w:val="none" w:sz="0" w:space="0" w:color="auto"/>
        <w:bottom w:val="none" w:sz="0" w:space="0" w:color="auto"/>
        <w:right w:val="none" w:sz="0" w:space="0" w:color="auto"/>
      </w:divBdr>
    </w:div>
    <w:div w:id="608586464">
      <w:bodyDiv w:val="1"/>
      <w:marLeft w:val="0"/>
      <w:marRight w:val="0"/>
      <w:marTop w:val="0"/>
      <w:marBottom w:val="0"/>
      <w:divBdr>
        <w:top w:val="none" w:sz="0" w:space="0" w:color="auto"/>
        <w:left w:val="none" w:sz="0" w:space="0" w:color="auto"/>
        <w:bottom w:val="none" w:sz="0" w:space="0" w:color="auto"/>
        <w:right w:val="none" w:sz="0" w:space="0" w:color="auto"/>
      </w:divBdr>
    </w:div>
    <w:div w:id="608633455">
      <w:bodyDiv w:val="1"/>
      <w:marLeft w:val="0"/>
      <w:marRight w:val="0"/>
      <w:marTop w:val="0"/>
      <w:marBottom w:val="0"/>
      <w:divBdr>
        <w:top w:val="none" w:sz="0" w:space="0" w:color="auto"/>
        <w:left w:val="none" w:sz="0" w:space="0" w:color="auto"/>
        <w:bottom w:val="none" w:sz="0" w:space="0" w:color="auto"/>
        <w:right w:val="none" w:sz="0" w:space="0" w:color="auto"/>
      </w:divBdr>
    </w:div>
    <w:div w:id="608851601">
      <w:bodyDiv w:val="1"/>
      <w:marLeft w:val="0"/>
      <w:marRight w:val="0"/>
      <w:marTop w:val="0"/>
      <w:marBottom w:val="0"/>
      <w:divBdr>
        <w:top w:val="none" w:sz="0" w:space="0" w:color="auto"/>
        <w:left w:val="none" w:sz="0" w:space="0" w:color="auto"/>
        <w:bottom w:val="none" w:sz="0" w:space="0" w:color="auto"/>
        <w:right w:val="none" w:sz="0" w:space="0" w:color="auto"/>
      </w:divBdr>
    </w:div>
    <w:div w:id="608851829">
      <w:bodyDiv w:val="1"/>
      <w:marLeft w:val="0"/>
      <w:marRight w:val="0"/>
      <w:marTop w:val="0"/>
      <w:marBottom w:val="0"/>
      <w:divBdr>
        <w:top w:val="none" w:sz="0" w:space="0" w:color="auto"/>
        <w:left w:val="none" w:sz="0" w:space="0" w:color="auto"/>
        <w:bottom w:val="none" w:sz="0" w:space="0" w:color="auto"/>
        <w:right w:val="none" w:sz="0" w:space="0" w:color="auto"/>
      </w:divBdr>
    </w:div>
    <w:div w:id="608852213">
      <w:bodyDiv w:val="1"/>
      <w:marLeft w:val="0"/>
      <w:marRight w:val="0"/>
      <w:marTop w:val="0"/>
      <w:marBottom w:val="0"/>
      <w:divBdr>
        <w:top w:val="none" w:sz="0" w:space="0" w:color="auto"/>
        <w:left w:val="none" w:sz="0" w:space="0" w:color="auto"/>
        <w:bottom w:val="none" w:sz="0" w:space="0" w:color="auto"/>
        <w:right w:val="none" w:sz="0" w:space="0" w:color="auto"/>
      </w:divBdr>
    </w:div>
    <w:div w:id="608852232">
      <w:bodyDiv w:val="1"/>
      <w:marLeft w:val="0"/>
      <w:marRight w:val="0"/>
      <w:marTop w:val="0"/>
      <w:marBottom w:val="0"/>
      <w:divBdr>
        <w:top w:val="none" w:sz="0" w:space="0" w:color="auto"/>
        <w:left w:val="none" w:sz="0" w:space="0" w:color="auto"/>
        <w:bottom w:val="none" w:sz="0" w:space="0" w:color="auto"/>
        <w:right w:val="none" w:sz="0" w:space="0" w:color="auto"/>
      </w:divBdr>
    </w:div>
    <w:div w:id="608895387">
      <w:bodyDiv w:val="1"/>
      <w:marLeft w:val="0"/>
      <w:marRight w:val="0"/>
      <w:marTop w:val="0"/>
      <w:marBottom w:val="0"/>
      <w:divBdr>
        <w:top w:val="none" w:sz="0" w:space="0" w:color="auto"/>
        <w:left w:val="none" w:sz="0" w:space="0" w:color="auto"/>
        <w:bottom w:val="none" w:sz="0" w:space="0" w:color="auto"/>
        <w:right w:val="none" w:sz="0" w:space="0" w:color="auto"/>
      </w:divBdr>
    </w:div>
    <w:div w:id="609093691">
      <w:bodyDiv w:val="1"/>
      <w:marLeft w:val="0"/>
      <w:marRight w:val="0"/>
      <w:marTop w:val="0"/>
      <w:marBottom w:val="0"/>
      <w:divBdr>
        <w:top w:val="none" w:sz="0" w:space="0" w:color="auto"/>
        <w:left w:val="none" w:sz="0" w:space="0" w:color="auto"/>
        <w:bottom w:val="none" w:sz="0" w:space="0" w:color="auto"/>
        <w:right w:val="none" w:sz="0" w:space="0" w:color="auto"/>
      </w:divBdr>
    </w:div>
    <w:div w:id="609122701">
      <w:bodyDiv w:val="1"/>
      <w:marLeft w:val="0"/>
      <w:marRight w:val="0"/>
      <w:marTop w:val="0"/>
      <w:marBottom w:val="0"/>
      <w:divBdr>
        <w:top w:val="none" w:sz="0" w:space="0" w:color="auto"/>
        <w:left w:val="none" w:sz="0" w:space="0" w:color="auto"/>
        <w:bottom w:val="none" w:sz="0" w:space="0" w:color="auto"/>
        <w:right w:val="none" w:sz="0" w:space="0" w:color="auto"/>
      </w:divBdr>
    </w:div>
    <w:div w:id="609355508">
      <w:bodyDiv w:val="1"/>
      <w:marLeft w:val="0"/>
      <w:marRight w:val="0"/>
      <w:marTop w:val="0"/>
      <w:marBottom w:val="0"/>
      <w:divBdr>
        <w:top w:val="none" w:sz="0" w:space="0" w:color="auto"/>
        <w:left w:val="none" w:sz="0" w:space="0" w:color="auto"/>
        <w:bottom w:val="none" w:sz="0" w:space="0" w:color="auto"/>
        <w:right w:val="none" w:sz="0" w:space="0" w:color="auto"/>
      </w:divBdr>
    </w:div>
    <w:div w:id="609362014">
      <w:bodyDiv w:val="1"/>
      <w:marLeft w:val="0"/>
      <w:marRight w:val="0"/>
      <w:marTop w:val="0"/>
      <w:marBottom w:val="0"/>
      <w:divBdr>
        <w:top w:val="none" w:sz="0" w:space="0" w:color="auto"/>
        <w:left w:val="none" w:sz="0" w:space="0" w:color="auto"/>
        <w:bottom w:val="none" w:sz="0" w:space="0" w:color="auto"/>
        <w:right w:val="none" w:sz="0" w:space="0" w:color="auto"/>
      </w:divBdr>
    </w:div>
    <w:div w:id="609434380">
      <w:bodyDiv w:val="1"/>
      <w:marLeft w:val="0"/>
      <w:marRight w:val="0"/>
      <w:marTop w:val="0"/>
      <w:marBottom w:val="0"/>
      <w:divBdr>
        <w:top w:val="none" w:sz="0" w:space="0" w:color="auto"/>
        <w:left w:val="none" w:sz="0" w:space="0" w:color="auto"/>
        <w:bottom w:val="none" w:sz="0" w:space="0" w:color="auto"/>
        <w:right w:val="none" w:sz="0" w:space="0" w:color="auto"/>
      </w:divBdr>
    </w:div>
    <w:div w:id="609506721">
      <w:bodyDiv w:val="1"/>
      <w:marLeft w:val="0"/>
      <w:marRight w:val="0"/>
      <w:marTop w:val="0"/>
      <w:marBottom w:val="0"/>
      <w:divBdr>
        <w:top w:val="none" w:sz="0" w:space="0" w:color="auto"/>
        <w:left w:val="none" w:sz="0" w:space="0" w:color="auto"/>
        <w:bottom w:val="none" w:sz="0" w:space="0" w:color="auto"/>
        <w:right w:val="none" w:sz="0" w:space="0" w:color="auto"/>
      </w:divBdr>
    </w:div>
    <w:div w:id="609512521">
      <w:bodyDiv w:val="1"/>
      <w:marLeft w:val="0"/>
      <w:marRight w:val="0"/>
      <w:marTop w:val="0"/>
      <w:marBottom w:val="0"/>
      <w:divBdr>
        <w:top w:val="none" w:sz="0" w:space="0" w:color="auto"/>
        <w:left w:val="none" w:sz="0" w:space="0" w:color="auto"/>
        <w:bottom w:val="none" w:sz="0" w:space="0" w:color="auto"/>
        <w:right w:val="none" w:sz="0" w:space="0" w:color="auto"/>
      </w:divBdr>
    </w:div>
    <w:div w:id="609513840">
      <w:bodyDiv w:val="1"/>
      <w:marLeft w:val="0"/>
      <w:marRight w:val="0"/>
      <w:marTop w:val="0"/>
      <w:marBottom w:val="0"/>
      <w:divBdr>
        <w:top w:val="none" w:sz="0" w:space="0" w:color="auto"/>
        <w:left w:val="none" w:sz="0" w:space="0" w:color="auto"/>
        <w:bottom w:val="none" w:sz="0" w:space="0" w:color="auto"/>
        <w:right w:val="none" w:sz="0" w:space="0" w:color="auto"/>
      </w:divBdr>
    </w:div>
    <w:div w:id="609580862">
      <w:bodyDiv w:val="1"/>
      <w:marLeft w:val="0"/>
      <w:marRight w:val="0"/>
      <w:marTop w:val="0"/>
      <w:marBottom w:val="0"/>
      <w:divBdr>
        <w:top w:val="none" w:sz="0" w:space="0" w:color="auto"/>
        <w:left w:val="none" w:sz="0" w:space="0" w:color="auto"/>
        <w:bottom w:val="none" w:sz="0" w:space="0" w:color="auto"/>
        <w:right w:val="none" w:sz="0" w:space="0" w:color="auto"/>
      </w:divBdr>
    </w:div>
    <w:div w:id="609708271">
      <w:bodyDiv w:val="1"/>
      <w:marLeft w:val="0"/>
      <w:marRight w:val="0"/>
      <w:marTop w:val="0"/>
      <w:marBottom w:val="0"/>
      <w:divBdr>
        <w:top w:val="none" w:sz="0" w:space="0" w:color="auto"/>
        <w:left w:val="none" w:sz="0" w:space="0" w:color="auto"/>
        <w:bottom w:val="none" w:sz="0" w:space="0" w:color="auto"/>
        <w:right w:val="none" w:sz="0" w:space="0" w:color="auto"/>
      </w:divBdr>
    </w:div>
    <w:div w:id="609747054">
      <w:bodyDiv w:val="1"/>
      <w:marLeft w:val="0"/>
      <w:marRight w:val="0"/>
      <w:marTop w:val="0"/>
      <w:marBottom w:val="0"/>
      <w:divBdr>
        <w:top w:val="none" w:sz="0" w:space="0" w:color="auto"/>
        <w:left w:val="none" w:sz="0" w:space="0" w:color="auto"/>
        <w:bottom w:val="none" w:sz="0" w:space="0" w:color="auto"/>
        <w:right w:val="none" w:sz="0" w:space="0" w:color="auto"/>
      </w:divBdr>
    </w:div>
    <w:div w:id="610087432">
      <w:bodyDiv w:val="1"/>
      <w:marLeft w:val="0"/>
      <w:marRight w:val="0"/>
      <w:marTop w:val="0"/>
      <w:marBottom w:val="0"/>
      <w:divBdr>
        <w:top w:val="none" w:sz="0" w:space="0" w:color="auto"/>
        <w:left w:val="none" w:sz="0" w:space="0" w:color="auto"/>
        <w:bottom w:val="none" w:sz="0" w:space="0" w:color="auto"/>
        <w:right w:val="none" w:sz="0" w:space="0" w:color="auto"/>
      </w:divBdr>
    </w:div>
    <w:div w:id="610165920">
      <w:bodyDiv w:val="1"/>
      <w:marLeft w:val="0"/>
      <w:marRight w:val="0"/>
      <w:marTop w:val="0"/>
      <w:marBottom w:val="0"/>
      <w:divBdr>
        <w:top w:val="none" w:sz="0" w:space="0" w:color="auto"/>
        <w:left w:val="none" w:sz="0" w:space="0" w:color="auto"/>
        <w:bottom w:val="none" w:sz="0" w:space="0" w:color="auto"/>
        <w:right w:val="none" w:sz="0" w:space="0" w:color="auto"/>
      </w:divBdr>
    </w:div>
    <w:div w:id="610166680">
      <w:bodyDiv w:val="1"/>
      <w:marLeft w:val="0"/>
      <w:marRight w:val="0"/>
      <w:marTop w:val="0"/>
      <w:marBottom w:val="0"/>
      <w:divBdr>
        <w:top w:val="none" w:sz="0" w:space="0" w:color="auto"/>
        <w:left w:val="none" w:sz="0" w:space="0" w:color="auto"/>
        <w:bottom w:val="none" w:sz="0" w:space="0" w:color="auto"/>
        <w:right w:val="none" w:sz="0" w:space="0" w:color="auto"/>
      </w:divBdr>
    </w:div>
    <w:div w:id="610167125">
      <w:bodyDiv w:val="1"/>
      <w:marLeft w:val="0"/>
      <w:marRight w:val="0"/>
      <w:marTop w:val="0"/>
      <w:marBottom w:val="0"/>
      <w:divBdr>
        <w:top w:val="none" w:sz="0" w:space="0" w:color="auto"/>
        <w:left w:val="none" w:sz="0" w:space="0" w:color="auto"/>
        <w:bottom w:val="none" w:sz="0" w:space="0" w:color="auto"/>
        <w:right w:val="none" w:sz="0" w:space="0" w:color="auto"/>
      </w:divBdr>
    </w:div>
    <w:div w:id="610358661">
      <w:bodyDiv w:val="1"/>
      <w:marLeft w:val="0"/>
      <w:marRight w:val="0"/>
      <w:marTop w:val="0"/>
      <w:marBottom w:val="0"/>
      <w:divBdr>
        <w:top w:val="none" w:sz="0" w:space="0" w:color="auto"/>
        <w:left w:val="none" w:sz="0" w:space="0" w:color="auto"/>
        <w:bottom w:val="none" w:sz="0" w:space="0" w:color="auto"/>
        <w:right w:val="none" w:sz="0" w:space="0" w:color="auto"/>
      </w:divBdr>
    </w:div>
    <w:div w:id="610360041">
      <w:bodyDiv w:val="1"/>
      <w:marLeft w:val="0"/>
      <w:marRight w:val="0"/>
      <w:marTop w:val="0"/>
      <w:marBottom w:val="0"/>
      <w:divBdr>
        <w:top w:val="none" w:sz="0" w:space="0" w:color="auto"/>
        <w:left w:val="none" w:sz="0" w:space="0" w:color="auto"/>
        <w:bottom w:val="none" w:sz="0" w:space="0" w:color="auto"/>
        <w:right w:val="none" w:sz="0" w:space="0" w:color="auto"/>
      </w:divBdr>
    </w:div>
    <w:div w:id="610405647">
      <w:bodyDiv w:val="1"/>
      <w:marLeft w:val="0"/>
      <w:marRight w:val="0"/>
      <w:marTop w:val="0"/>
      <w:marBottom w:val="0"/>
      <w:divBdr>
        <w:top w:val="none" w:sz="0" w:space="0" w:color="auto"/>
        <w:left w:val="none" w:sz="0" w:space="0" w:color="auto"/>
        <w:bottom w:val="none" w:sz="0" w:space="0" w:color="auto"/>
        <w:right w:val="none" w:sz="0" w:space="0" w:color="auto"/>
      </w:divBdr>
    </w:div>
    <w:div w:id="610472520">
      <w:bodyDiv w:val="1"/>
      <w:marLeft w:val="0"/>
      <w:marRight w:val="0"/>
      <w:marTop w:val="0"/>
      <w:marBottom w:val="0"/>
      <w:divBdr>
        <w:top w:val="none" w:sz="0" w:space="0" w:color="auto"/>
        <w:left w:val="none" w:sz="0" w:space="0" w:color="auto"/>
        <w:bottom w:val="none" w:sz="0" w:space="0" w:color="auto"/>
        <w:right w:val="none" w:sz="0" w:space="0" w:color="auto"/>
      </w:divBdr>
    </w:div>
    <w:div w:id="610555867">
      <w:bodyDiv w:val="1"/>
      <w:marLeft w:val="0"/>
      <w:marRight w:val="0"/>
      <w:marTop w:val="0"/>
      <w:marBottom w:val="0"/>
      <w:divBdr>
        <w:top w:val="none" w:sz="0" w:space="0" w:color="auto"/>
        <w:left w:val="none" w:sz="0" w:space="0" w:color="auto"/>
        <w:bottom w:val="none" w:sz="0" w:space="0" w:color="auto"/>
        <w:right w:val="none" w:sz="0" w:space="0" w:color="auto"/>
      </w:divBdr>
    </w:div>
    <w:div w:id="610626829">
      <w:bodyDiv w:val="1"/>
      <w:marLeft w:val="0"/>
      <w:marRight w:val="0"/>
      <w:marTop w:val="0"/>
      <w:marBottom w:val="0"/>
      <w:divBdr>
        <w:top w:val="none" w:sz="0" w:space="0" w:color="auto"/>
        <w:left w:val="none" w:sz="0" w:space="0" w:color="auto"/>
        <w:bottom w:val="none" w:sz="0" w:space="0" w:color="auto"/>
        <w:right w:val="none" w:sz="0" w:space="0" w:color="auto"/>
      </w:divBdr>
    </w:div>
    <w:div w:id="610674842">
      <w:bodyDiv w:val="1"/>
      <w:marLeft w:val="0"/>
      <w:marRight w:val="0"/>
      <w:marTop w:val="0"/>
      <w:marBottom w:val="0"/>
      <w:divBdr>
        <w:top w:val="none" w:sz="0" w:space="0" w:color="auto"/>
        <w:left w:val="none" w:sz="0" w:space="0" w:color="auto"/>
        <w:bottom w:val="none" w:sz="0" w:space="0" w:color="auto"/>
        <w:right w:val="none" w:sz="0" w:space="0" w:color="auto"/>
      </w:divBdr>
    </w:div>
    <w:div w:id="610746746">
      <w:bodyDiv w:val="1"/>
      <w:marLeft w:val="0"/>
      <w:marRight w:val="0"/>
      <w:marTop w:val="0"/>
      <w:marBottom w:val="0"/>
      <w:divBdr>
        <w:top w:val="none" w:sz="0" w:space="0" w:color="auto"/>
        <w:left w:val="none" w:sz="0" w:space="0" w:color="auto"/>
        <w:bottom w:val="none" w:sz="0" w:space="0" w:color="auto"/>
        <w:right w:val="none" w:sz="0" w:space="0" w:color="auto"/>
      </w:divBdr>
    </w:div>
    <w:div w:id="610818535">
      <w:bodyDiv w:val="1"/>
      <w:marLeft w:val="0"/>
      <w:marRight w:val="0"/>
      <w:marTop w:val="0"/>
      <w:marBottom w:val="0"/>
      <w:divBdr>
        <w:top w:val="none" w:sz="0" w:space="0" w:color="auto"/>
        <w:left w:val="none" w:sz="0" w:space="0" w:color="auto"/>
        <w:bottom w:val="none" w:sz="0" w:space="0" w:color="auto"/>
        <w:right w:val="none" w:sz="0" w:space="0" w:color="auto"/>
      </w:divBdr>
    </w:div>
    <w:div w:id="610863574">
      <w:bodyDiv w:val="1"/>
      <w:marLeft w:val="0"/>
      <w:marRight w:val="0"/>
      <w:marTop w:val="0"/>
      <w:marBottom w:val="0"/>
      <w:divBdr>
        <w:top w:val="none" w:sz="0" w:space="0" w:color="auto"/>
        <w:left w:val="none" w:sz="0" w:space="0" w:color="auto"/>
        <w:bottom w:val="none" w:sz="0" w:space="0" w:color="auto"/>
        <w:right w:val="none" w:sz="0" w:space="0" w:color="auto"/>
      </w:divBdr>
    </w:div>
    <w:div w:id="611010169">
      <w:bodyDiv w:val="1"/>
      <w:marLeft w:val="0"/>
      <w:marRight w:val="0"/>
      <w:marTop w:val="0"/>
      <w:marBottom w:val="0"/>
      <w:divBdr>
        <w:top w:val="none" w:sz="0" w:space="0" w:color="auto"/>
        <w:left w:val="none" w:sz="0" w:space="0" w:color="auto"/>
        <w:bottom w:val="none" w:sz="0" w:space="0" w:color="auto"/>
        <w:right w:val="none" w:sz="0" w:space="0" w:color="auto"/>
      </w:divBdr>
    </w:div>
    <w:div w:id="611058375">
      <w:bodyDiv w:val="1"/>
      <w:marLeft w:val="0"/>
      <w:marRight w:val="0"/>
      <w:marTop w:val="0"/>
      <w:marBottom w:val="0"/>
      <w:divBdr>
        <w:top w:val="none" w:sz="0" w:space="0" w:color="auto"/>
        <w:left w:val="none" w:sz="0" w:space="0" w:color="auto"/>
        <w:bottom w:val="none" w:sz="0" w:space="0" w:color="auto"/>
        <w:right w:val="none" w:sz="0" w:space="0" w:color="auto"/>
      </w:divBdr>
    </w:div>
    <w:div w:id="611129629">
      <w:bodyDiv w:val="1"/>
      <w:marLeft w:val="0"/>
      <w:marRight w:val="0"/>
      <w:marTop w:val="0"/>
      <w:marBottom w:val="0"/>
      <w:divBdr>
        <w:top w:val="none" w:sz="0" w:space="0" w:color="auto"/>
        <w:left w:val="none" w:sz="0" w:space="0" w:color="auto"/>
        <w:bottom w:val="none" w:sz="0" w:space="0" w:color="auto"/>
        <w:right w:val="none" w:sz="0" w:space="0" w:color="auto"/>
      </w:divBdr>
    </w:div>
    <w:div w:id="611204788">
      <w:bodyDiv w:val="1"/>
      <w:marLeft w:val="0"/>
      <w:marRight w:val="0"/>
      <w:marTop w:val="0"/>
      <w:marBottom w:val="0"/>
      <w:divBdr>
        <w:top w:val="none" w:sz="0" w:space="0" w:color="auto"/>
        <w:left w:val="none" w:sz="0" w:space="0" w:color="auto"/>
        <w:bottom w:val="none" w:sz="0" w:space="0" w:color="auto"/>
        <w:right w:val="none" w:sz="0" w:space="0" w:color="auto"/>
      </w:divBdr>
    </w:div>
    <w:div w:id="611281555">
      <w:bodyDiv w:val="1"/>
      <w:marLeft w:val="0"/>
      <w:marRight w:val="0"/>
      <w:marTop w:val="0"/>
      <w:marBottom w:val="0"/>
      <w:divBdr>
        <w:top w:val="none" w:sz="0" w:space="0" w:color="auto"/>
        <w:left w:val="none" w:sz="0" w:space="0" w:color="auto"/>
        <w:bottom w:val="none" w:sz="0" w:space="0" w:color="auto"/>
        <w:right w:val="none" w:sz="0" w:space="0" w:color="auto"/>
      </w:divBdr>
    </w:div>
    <w:div w:id="611326421">
      <w:bodyDiv w:val="1"/>
      <w:marLeft w:val="0"/>
      <w:marRight w:val="0"/>
      <w:marTop w:val="0"/>
      <w:marBottom w:val="0"/>
      <w:divBdr>
        <w:top w:val="none" w:sz="0" w:space="0" w:color="auto"/>
        <w:left w:val="none" w:sz="0" w:space="0" w:color="auto"/>
        <w:bottom w:val="none" w:sz="0" w:space="0" w:color="auto"/>
        <w:right w:val="none" w:sz="0" w:space="0" w:color="auto"/>
      </w:divBdr>
    </w:div>
    <w:div w:id="611399322">
      <w:bodyDiv w:val="1"/>
      <w:marLeft w:val="0"/>
      <w:marRight w:val="0"/>
      <w:marTop w:val="0"/>
      <w:marBottom w:val="0"/>
      <w:divBdr>
        <w:top w:val="none" w:sz="0" w:space="0" w:color="auto"/>
        <w:left w:val="none" w:sz="0" w:space="0" w:color="auto"/>
        <w:bottom w:val="none" w:sz="0" w:space="0" w:color="auto"/>
        <w:right w:val="none" w:sz="0" w:space="0" w:color="auto"/>
      </w:divBdr>
    </w:div>
    <w:div w:id="611522188">
      <w:bodyDiv w:val="1"/>
      <w:marLeft w:val="0"/>
      <w:marRight w:val="0"/>
      <w:marTop w:val="0"/>
      <w:marBottom w:val="0"/>
      <w:divBdr>
        <w:top w:val="none" w:sz="0" w:space="0" w:color="auto"/>
        <w:left w:val="none" w:sz="0" w:space="0" w:color="auto"/>
        <w:bottom w:val="none" w:sz="0" w:space="0" w:color="auto"/>
        <w:right w:val="none" w:sz="0" w:space="0" w:color="auto"/>
      </w:divBdr>
    </w:div>
    <w:div w:id="611666442">
      <w:bodyDiv w:val="1"/>
      <w:marLeft w:val="0"/>
      <w:marRight w:val="0"/>
      <w:marTop w:val="0"/>
      <w:marBottom w:val="0"/>
      <w:divBdr>
        <w:top w:val="none" w:sz="0" w:space="0" w:color="auto"/>
        <w:left w:val="none" w:sz="0" w:space="0" w:color="auto"/>
        <w:bottom w:val="none" w:sz="0" w:space="0" w:color="auto"/>
        <w:right w:val="none" w:sz="0" w:space="0" w:color="auto"/>
      </w:divBdr>
    </w:div>
    <w:div w:id="611673650">
      <w:bodyDiv w:val="1"/>
      <w:marLeft w:val="0"/>
      <w:marRight w:val="0"/>
      <w:marTop w:val="0"/>
      <w:marBottom w:val="0"/>
      <w:divBdr>
        <w:top w:val="none" w:sz="0" w:space="0" w:color="auto"/>
        <w:left w:val="none" w:sz="0" w:space="0" w:color="auto"/>
        <w:bottom w:val="none" w:sz="0" w:space="0" w:color="auto"/>
        <w:right w:val="none" w:sz="0" w:space="0" w:color="auto"/>
      </w:divBdr>
    </w:div>
    <w:div w:id="611714397">
      <w:bodyDiv w:val="1"/>
      <w:marLeft w:val="0"/>
      <w:marRight w:val="0"/>
      <w:marTop w:val="0"/>
      <w:marBottom w:val="0"/>
      <w:divBdr>
        <w:top w:val="none" w:sz="0" w:space="0" w:color="auto"/>
        <w:left w:val="none" w:sz="0" w:space="0" w:color="auto"/>
        <w:bottom w:val="none" w:sz="0" w:space="0" w:color="auto"/>
        <w:right w:val="none" w:sz="0" w:space="0" w:color="auto"/>
      </w:divBdr>
    </w:div>
    <w:div w:id="611740214">
      <w:bodyDiv w:val="1"/>
      <w:marLeft w:val="0"/>
      <w:marRight w:val="0"/>
      <w:marTop w:val="0"/>
      <w:marBottom w:val="0"/>
      <w:divBdr>
        <w:top w:val="none" w:sz="0" w:space="0" w:color="auto"/>
        <w:left w:val="none" w:sz="0" w:space="0" w:color="auto"/>
        <w:bottom w:val="none" w:sz="0" w:space="0" w:color="auto"/>
        <w:right w:val="none" w:sz="0" w:space="0" w:color="auto"/>
      </w:divBdr>
    </w:div>
    <w:div w:id="611741843">
      <w:bodyDiv w:val="1"/>
      <w:marLeft w:val="0"/>
      <w:marRight w:val="0"/>
      <w:marTop w:val="0"/>
      <w:marBottom w:val="0"/>
      <w:divBdr>
        <w:top w:val="none" w:sz="0" w:space="0" w:color="auto"/>
        <w:left w:val="none" w:sz="0" w:space="0" w:color="auto"/>
        <w:bottom w:val="none" w:sz="0" w:space="0" w:color="auto"/>
        <w:right w:val="none" w:sz="0" w:space="0" w:color="auto"/>
      </w:divBdr>
    </w:div>
    <w:div w:id="611744805">
      <w:bodyDiv w:val="1"/>
      <w:marLeft w:val="0"/>
      <w:marRight w:val="0"/>
      <w:marTop w:val="0"/>
      <w:marBottom w:val="0"/>
      <w:divBdr>
        <w:top w:val="none" w:sz="0" w:space="0" w:color="auto"/>
        <w:left w:val="none" w:sz="0" w:space="0" w:color="auto"/>
        <w:bottom w:val="none" w:sz="0" w:space="0" w:color="auto"/>
        <w:right w:val="none" w:sz="0" w:space="0" w:color="auto"/>
      </w:divBdr>
    </w:div>
    <w:div w:id="611745127">
      <w:bodyDiv w:val="1"/>
      <w:marLeft w:val="0"/>
      <w:marRight w:val="0"/>
      <w:marTop w:val="0"/>
      <w:marBottom w:val="0"/>
      <w:divBdr>
        <w:top w:val="none" w:sz="0" w:space="0" w:color="auto"/>
        <w:left w:val="none" w:sz="0" w:space="0" w:color="auto"/>
        <w:bottom w:val="none" w:sz="0" w:space="0" w:color="auto"/>
        <w:right w:val="none" w:sz="0" w:space="0" w:color="auto"/>
      </w:divBdr>
    </w:div>
    <w:div w:id="611785036">
      <w:bodyDiv w:val="1"/>
      <w:marLeft w:val="0"/>
      <w:marRight w:val="0"/>
      <w:marTop w:val="0"/>
      <w:marBottom w:val="0"/>
      <w:divBdr>
        <w:top w:val="none" w:sz="0" w:space="0" w:color="auto"/>
        <w:left w:val="none" w:sz="0" w:space="0" w:color="auto"/>
        <w:bottom w:val="none" w:sz="0" w:space="0" w:color="auto"/>
        <w:right w:val="none" w:sz="0" w:space="0" w:color="auto"/>
      </w:divBdr>
    </w:div>
    <w:div w:id="611980631">
      <w:bodyDiv w:val="1"/>
      <w:marLeft w:val="0"/>
      <w:marRight w:val="0"/>
      <w:marTop w:val="0"/>
      <w:marBottom w:val="0"/>
      <w:divBdr>
        <w:top w:val="none" w:sz="0" w:space="0" w:color="auto"/>
        <w:left w:val="none" w:sz="0" w:space="0" w:color="auto"/>
        <w:bottom w:val="none" w:sz="0" w:space="0" w:color="auto"/>
        <w:right w:val="none" w:sz="0" w:space="0" w:color="auto"/>
      </w:divBdr>
    </w:div>
    <w:div w:id="612321071">
      <w:bodyDiv w:val="1"/>
      <w:marLeft w:val="0"/>
      <w:marRight w:val="0"/>
      <w:marTop w:val="0"/>
      <w:marBottom w:val="0"/>
      <w:divBdr>
        <w:top w:val="none" w:sz="0" w:space="0" w:color="auto"/>
        <w:left w:val="none" w:sz="0" w:space="0" w:color="auto"/>
        <w:bottom w:val="none" w:sz="0" w:space="0" w:color="auto"/>
        <w:right w:val="none" w:sz="0" w:space="0" w:color="auto"/>
      </w:divBdr>
    </w:div>
    <w:div w:id="612369403">
      <w:bodyDiv w:val="1"/>
      <w:marLeft w:val="0"/>
      <w:marRight w:val="0"/>
      <w:marTop w:val="0"/>
      <w:marBottom w:val="0"/>
      <w:divBdr>
        <w:top w:val="none" w:sz="0" w:space="0" w:color="auto"/>
        <w:left w:val="none" w:sz="0" w:space="0" w:color="auto"/>
        <w:bottom w:val="none" w:sz="0" w:space="0" w:color="auto"/>
        <w:right w:val="none" w:sz="0" w:space="0" w:color="auto"/>
      </w:divBdr>
    </w:div>
    <w:div w:id="612438664">
      <w:bodyDiv w:val="1"/>
      <w:marLeft w:val="0"/>
      <w:marRight w:val="0"/>
      <w:marTop w:val="0"/>
      <w:marBottom w:val="0"/>
      <w:divBdr>
        <w:top w:val="none" w:sz="0" w:space="0" w:color="auto"/>
        <w:left w:val="none" w:sz="0" w:space="0" w:color="auto"/>
        <w:bottom w:val="none" w:sz="0" w:space="0" w:color="auto"/>
        <w:right w:val="none" w:sz="0" w:space="0" w:color="auto"/>
      </w:divBdr>
    </w:div>
    <w:div w:id="612514230">
      <w:bodyDiv w:val="1"/>
      <w:marLeft w:val="0"/>
      <w:marRight w:val="0"/>
      <w:marTop w:val="0"/>
      <w:marBottom w:val="0"/>
      <w:divBdr>
        <w:top w:val="none" w:sz="0" w:space="0" w:color="auto"/>
        <w:left w:val="none" w:sz="0" w:space="0" w:color="auto"/>
        <w:bottom w:val="none" w:sz="0" w:space="0" w:color="auto"/>
        <w:right w:val="none" w:sz="0" w:space="0" w:color="auto"/>
      </w:divBdr>
    </w:div>
    <w:div w:id="612632602">
      <w:bodyDiv w:val="1"/>
      <w:marLeft w:val="0"/>
      <w:marRight w:val="0"/>
      <w:marTop w:val="0"/>
      <w:marBottom w:val="0"/>
      <w:divBdr>
        <w:top w:val="none" w:sz="0" w:space="0" w:color="auto"/>
        <w:left w:val="none" w:sz="0" w:space="0" w:color="auto"/>
        <w:bottom w:val="none" w:sz="0" w:space="0" w:color="auto"/>
        <w:right w:val="none" w:sz="0" w:space="0" w:color="auto"/>
      </w:divBdr>
    </w:div>
    <w:div w:id="612635522">
      <w:bodyDiv w:val="1"/>
      <w:marLeft w:val="0"/>
      <w:marRight w:val="0"/>
      <w:marTop w:val="0"/>
      <w:marBottom w:val="0"/>
      <w:divBdr>
        <w:top w:val="none" w:sz="0" w:space="0" w:color="auto"/>
        <w:left w:val="none" w:sz="0" w:space="0" w:color="auto"/>
        <w:bottom w:val="none" w:sz="0" w:space="0" w:color="auto"/>
        <w:right w:val="none" w:sz="0" w:space="0" w:color="auto"/>
      </w:divBdr>
    </w:div>
    <w:div w:id="612636996">
      <w:bodyDiv w:val="1"/>
      <w:marLeft w:val="0"/>
      <w:marRight w:val="0"/>
      <w:marTop w:val="0"/>
      <w:marBottom w:val="0"/>
      <w:divBdr>
        <w:top w:val="none" w:sz="0" w:space="0" w:color="auto"/>
        <w:left w:val="none" w:sz="0" w:space="0" w:color="auto"/>
        <w:bottom w:val="none" w:sz="0" w:space="0" w:color="auto"/>
        <w:right w:val="none" w:sz="0" w:space="0" w:color="auto"/>
      </w:divBdr>
    </w:div>
    <w:div w:id="612706613">
      <w:bodyDiv w:val="1"/>
      <w:marLeft w:val="0"/>
      <w:marRight w:val="0"/>
      <w:marTop w:val="0"/>
      <w:marBottom w:val="0"/>
      <w:divBdr>
        <w:top w:val="none" w:sz="0" w:space="0" w:color="auto"/>
        <w:left w:val="none" w:sz="0" w:space="0" w:color="auto"/>
        <w:bottom w:val="none" w:sz="0" w:space="0" w:color="auto"/>
        <w:right w:val="none" w:sz="0" w:space="0" w:color="auto"/>
      </w:divBdr>
    </w:div>
    <w:div w:id="612787548">
      <w:bodyDiv w:val="1"/>
      <w:marLeft w:val="0"/>
      <w:marRight w:val="0"/>
      <w:marTop w:val="0"/>
      <w:marBottom w:val="0"/>
      <w:divBdr>
        <w:top w:val="none" w:sz="0" w:space="0" w:color="auto"/>
        <w:left w:val="none" w:sz="0" w:space="0" w:color="auto"/>
        <w:bottom w:val="none" w:sz="0" w:space="0" w:color="auto"/>
        <w:right w:val="none" w:sz="0" w:space="0" w:color="auto"/>
      </w:divBdr>
    </w:div>
    <w:div w:id="612832813">
      <w:bodyDiv w:val="1"/>
      <w:marLeft w:val="0"/>
      <w:marRight w:val="0"/>
      <w:marTop w:val="0"/>
      <w:marBottom w:val="0"/>
      <w:divBdr>
        <w:top w:val="none" w:sz="0" w:space="0" w:color="auto"/>
        <w:left w:val="none" w:sz="0" w:space="0" w:color="auto"/>
        <w:bottom w:val="none" w:sz="0" w:space="0" w:color="auto"/>
        <w:right w:val="none" w:sz="0" w:space="0" w:color="auto"/>
      </w:divBdr>
    </w:div>
    <w:div w:id="612901764">
      <w:bodyDiv w:val="1"/>
      <w:marLeft w:val="0"/>
      <w:marRight w:val="0"/>
      <w:marTop w:val="0"/>
      <w:marBottom w:val="0"/>
      <w:divBdr>
        <w:top w:val="none" w:sz="0" w:space="0" w:color="auto"/>
        <w:left w:val="none" w:sz="0" w:space="0" w:color="auto"/>
        <w:bottom w:val="none" w:sz="0" w:space="0" w:color="auto"/>
        <w:right w:val="none" w:sz="0" w:space="0" w:color="auto"/>
      </w:divBdr>
    </w:div>
    <w:div w:id="612907210">
      <w:bodyDiv w:val="1"/>
      <w:marLeft w:val="0"/>
      <w:marRight w:val="0"/>
      <w:marTop w:val="0"/>
      <w:marBottom w:val="0"/>
      <w:divBdr>
        <w:top w:val="none" w:sz="0" w:space="0" w:color="auto"/>
        <w:left w:val="none" w:sz="0" w:space="0" w:color="auto"/>
        <w:bottom w:val="none" w:sz="0" w:space="0" w:color="auto"/>
        <w:right w:val="none" w:sz="0" w:space="0" w:color="auto"/>
      </w:divBdr>
    </w:div>
    <w:div w:id="612979171">
      <w:bodyDiv w:val="1"/>
      <w:marLeft w:val="0"/>
      <w:marRight w:val="0"/>
      <w:marTop w:val="0"/>
      <w:marBottom w:val="0"/>
      <w:divBdr>
        <w:top w:val="none" w:sz="0" w:space="0" w:color="auto"/>
        <w:left w:val="none" w:sz="0" w:space="0" w:color="auto"/>
        <w:bottom w:val="none" w:sz="0" w:space="0" w:color="auto"/>
        <w:right w:val="none" w:sz="0" w:space="0" w:color="auto"/>
      </w:divBdr>
    </w:div>
    <w:div w:id="613097716">
      <w:bodyDiv w:val="1"/>
      <w:marLeft w:val="0"/>
      <w:marRight w:val="0"/>
      <w:marTop w:val="0"/>
      <w:marBottom w:val="0"/>
      <w:divBdr>
        <w:top w:val="none" w:sz="0" w:space="0" w:color="auto"/>
        <w:left w:val="none" w:sz="0" w:space="0" w:color="auto"/>
        <w:bottom w:val="none" w:sz="0" w:space="0" w:color="auto"/>
        <w:right w:val="none" w:sz="0" w:space="0" w:color="auto"/>
      </w:divBdr>
    </w:div>
    <w:div w:id="613100662">
      <w:bodyDiv w:val="1"/>
      <w:marLeft w:val="0"/>
      <w:marRight w:val="0"/>
      <w:marTop w:val="0"/>
      <w:marBottom w:val="0"/>
      <w:divBdr>
        <w:top w:val="none" w:sz="0" w:space="0" w:color="auto"/>
        <w:left w:val="none" w:sz="0" w:space="0" w:color="auto"/>
        <w:bottom w:val="none" w:sz="0" w:space="0" w:color="auto"/>
        <w:right w:val="none" w:sz="0" w:space="0" w:color="auto"/>
      </w:divBdr>
    </w:div>
    <w:div w:id="613170743">
      <w:bodyDiv w:val="1"/>
      <w:marLeft w:val="0"/>
      <w:marRight w:val="0"/>
      <w:marTop w:val="0"/>
      <w:marBottom w:val="0"/>
      <w:divBdr>
        <w:top w:val="none" w:sz="0" w:space="0" w:color="auto"/>
        <w:left w:val="none" w:sz="0" w:space="0" w:color="auto"/>
        <w:bottom w:val="none" w:sz="0" w:space="0" w:color="auto"/>
        <w:right w:val="none" w:sz="0" w:space="0" w:color="auto"/>
      </w:divBdr>
    </w:div>
    <w:div w:id="613171744">
      <w:bodyDiv w:val="1"/>
      <w:marLeft w:val="0"/>
      <w:marRight w:val="0"/>
      <w:marTop w:val="0"/>
      <w:marBottom w:val="0"/>
      <w:divBdr>
        <w:top w:val="none" w:sz="0" w:space="0" w:color="auto"/>
        <w:left w:val="none" w:sz="0" w:space="0" w:color="auto"/>
        <w:bottom w:val="none" w:sz="0" w:space="0" w:color="auto"/>
        <w:right w:val="none" w:sz="0" w:space="0" w:color="auto"/>
      </w:divBdr>
    </w:div>
    <w:div w:id="613172998">
      <w:bodyDiv w:val="1"/>
      <w:marLeft w:val="0"/>
      <w:marRight w:val="0"/>
      <w:marTop w:val="0"/>
      <w:marBottom w:val="0"/>
      <w:divBdr>
        <w:top w:val="none" w:sz="0" w:space="0" w:color="auto"/>
        <w:left w:val="none" w:sz="0" w:space="0" w:color="auto"/>
        <w:bottom w:val="none" w:sz="0" w:space="0" w:color="auto"/>
        <w:right w:val="none" w:sz="0" w:space="0" w:color="auto"/>
      </w:divBdr>
    </w:div>
    <w:div w:id="613367668">
      <w:bodyDiv w:val="1"/>
      <w:marLeft w:val="0"/>
      <w:marRight w:val="0"/>
      <w:marTop w:val="0"/>
      <w:marBottom w:val="0"/>
      <w:divBdr>
        <w:top w:val="none" w:sz="0" w:space="0" w:color="auto"/>
        <w:left w:val="none" w:sz="0" w:space="0" w:color="auto"/>
        <w:bottom w:val="none" w:sz="0" w:space="0" w:color="auto"/>
        <w:right w:val="none" w:sz="0" w:space="0" w:color="auto"/>
      </w:divBdr>
    </w:div>
    <w:div w:id="613440167">
      <w:bodyDiv w:val="1"/>
      <w:marLeft w:val="0"/>
      <w:marRight w:val="0"/>
      <w:marTop w:val="0"/>
      <w:marBottom w:val="0"/>
      <w:divBdr>
        <w:top w:val="none" w:sz="0" w:space="0" w:color="auto"/>
        <w:left w:val="none" w:sz="0" w:space="0" w:color="auto"/>
        <w:bottom w:val="none" w:sz="0" w:space="0" w:color="auto"/>
        <w:right w:val="none" w:sz="0" w:space="0" w:color="auto"/>
      </w:divBdr>
    </w:div>
    <w:div w:id="613442768">
      <w:bodyDiv w:val="1"/>
      <w:marLeft w:val="0"/>
      <w:marRight w:val="0"/>
      <w:marTop w:val="0"/>
      <w:marBottom w:val="0"/>
      <w:divBdr>
        <w:top w:val="none" w:sz="0" w:space="0" w:color="auto"/>
        <w:left w:val="none" w:sz="0" w:space="0" w:color="auto"/>
        <w:bottom w:val="none" w:sz="0" w:space="0" w:color="auto"/>
        <w:right w:val="none" w:sz="0" w:space="0" w:color="auto"/>
      </w:divBdr>
    </w:div>
    <w:div w:id="613446592">
      <w:bodyDiv w:val="1"/>
      <w:marLeft w:val="0"/>
      <w:marRight w:val="0"/>
      <w:marTop w:val="0"/>
      <w:marBottom w:val="0"/>
      <w:divBdr>
        <w:top w:val="none" w:sz="0" w:space="0" w:color="auto"/>
        <w:left w:val="none" w:sz="0" w:space="0" w:color="auto"/>
        <w:bottom w:val="none" w:sz="0" w:space="0" w:color="auto"/>
        <w:right w:val="none" w:sz="0" w:space="0" w:color="auto"/>
      </w:divBdr>
    </w:div>
    <w:div w:id="613899776">
      <w:bodyDiv w:val="1"/>
      <w:marLeft w:val="0"/>
      <w:marRight w:val="0"/>
      <w:marTop w:val="0"/>
      <w:marBottom w:val="0"/>
      <w:divBdr>
        <w:top w:val="none" w:sz="0" w:space="0" w:color="auto"/>
        <w:left w:val="none" w:sz="0" w:space="0" w:color="auto"/>
        <w:bottom w:val="none" w:sz="0" w:space="0" w:color="auto"/>
        <w:right w:val="none" w:sz="0" w:space="0" w:color="auto"/>
      </w:divBdr>
    </w:div>
    <w:div w:id="613900140">
      <w:bodyDiv w:val="1"/>
      <w:marLeft w:val="0"/>
      <w:marRight w:val="0"/>
      <w:marTop w:val="0"/>
      <w:marBottom w:val="0"/>
      <w:divBdr>
        <w:top w:val="none" w:sz="0" w:space="0" w:color="auto"/>
        <w:left w:val="none" w:sz="0" w:space="0" w:color="auto"/>
        <w:bottom w:val="none" w:sz="0" w:space="0" w:color="auto"/>
        <w:right w:val="none" w:sz="0" w:space="0" w:color="auto"/>
      </w:divBdr>
    </w:div>
    <w:div w:id="613942762">
      <w:bodyDiv w:val="1"/>
      <w:marLeft w:val="0"/>
      <w:marRight w:val="0"/>
      <w:marTop w:val="0"/>
      <w:marBottom w:val="0"/>
      <w:divBdr>
        <w:top w:val="none" w:sz="0" w:space="0" w:color="auto"/>
        <w:left w:val="none" w:sz="0" w:space="0" w:color="auto"/>
        <w:bottom w:val="none" w:sz="0" w:space="0" w:color="auto"/>
        <w:right w:val="none" w:sz="0" w:space="0" w:color="auto"/>
      </w:divBdr>
    </w:div>
    <w:div w:id="613948045">
      <w:bodyDiv w:val="1"/>
      <w:marLeft w:val="0"/>
      <w:marRight w:val="0"/>
      <w:marTop w:val="0"/>
      <w:marBottom w:val="0"/>
      <w:divBdr>
        <w:top w:val="none" w:sz="0" w:space="0" w:color="auto"/>
        <w:left w:val="none" w:sz="0" w:space="0" w:color="auto"/>
        <w:bottom w:val="none" w:sz="0" w:space="0" w:color="auto"/>
        <w:right w:val="none" w:sz="0" w:space="0" w:color="auto"/>
      </w:divBdr>
    </w:div>
    <w:div w:id="613948577">
      <w:bodyDiv w:val="1"/>
      <w:marLeft w:val="0"/>
      <w:marRight w:val="0"/>
      <w:marTop w:val="0"/>
      <w:marBottom w:val="0"/>
      <w:divBdr>
        <w:top w:val="none" w:sz="0" w:space="0" w:color="auto"/>
        <w:left w:val="none" w:sz="0" w:space="0" w:color="auto"/>
        <w:bottom w:val="none" w:sz="0" w:space="0" w:color="auto"/>
        <w:right w:val="none" w:sz="0" w:space="0" w:color="auto"/>
      </w:divBdr>
    </w:div>
    <w:div w:id="614097357">
      <w:bodyDiv w:val="1"/>
      <w:marLeft w:val="0"/>
      <w:marRight w:val="0"/>
      <w:marTop w:val="0"/>
      <w:marBottom w:val="0"/>
      <w:divBdr>
        <w:top w:val="none" w:sz="0" w:space="0" w:color="auto"/>
        <w:left w:val="none" w:sz="0" w:space="0" w:color="auto"/>
        <w:bottom w:val="none" w:sz="0" w:space="0" w:color="auto"/>
        <w:right w:val="none" w:sz="0" w:space="0" w:color="auto"/>
      </w:divBdr>
    </w:div>
    <w:div w:id="614099468">
      <w:bodyDiv w:val="1"/>
      <w:marLeft w:val="0"/>
      <w:marRight w:val="0"/>
      <w:marTop w:val="0"/>
      <w:marBottom w:val="0"/>
      <w:divBdr>
        <w:top w:val="none" w:sz="0" w:space="0" w:color="auto"/>
        <w:left w:val="none" w:sz="0" w:space="0" w:color="auto"/>
        <w:bottom w:val="none" w:sz="0" w:space="0" w:color="auto"/>
        <w:right w:val="none" w:sz="0" w:space="0" w:color="auto"/>
      </w:divBdr>
    </w:div>
    <w:div w:id="614212703">
      <w:bodyDiv w:val="1"/>
      <w:marLeft w:val="0"/>
      <w:marRight w:val="0"/>
      <w:marTop w:val="0"/>
      <w:marBottom w:val="0"/>
      <w:divBdr>
        <w:top w:val="none" w:sz="0" w:space="0" w:color="auto"/>
        <w:left w:val="none" w:sz="0" w:space="0" w:color="auto"/>
        <w:bottom w:val="none" w:sz="0" w:space="0" w:color="auto"/>
        <w:right w:val="none" w:sz="0" w:space="0" w:color="auto"/>
      </w:divBdr>
    </w:div>
    <w:div w:id="614214886">
      <w:bodyDiv w:val="1"/>
      <w:marLeft w:val="0"/>
      <w:marRight w:val="0"/>
      <w:marTop w:val="0"/>
      <w:marBottom w:val="0"/>
      <w:divBdr>
        <w:top w:val="none" w:sz="0" w:space="0" w:color="auto"/>
        <w:left w:val="none" w:sz="0" w:space="0" w:color="auto"/>
        <w:bottom w:val="none" w:sz="0" w:space="0" w:color="auto"/>
        <w:right w:val="none" w:sz="0" w:space="0" w:color="auto"/>
      </w:divBdr>
    </w:div>
    <w:div w:id="614216469">
      <w:bodyDiv w:val="1"/>
      <w:marLeft w:val="0"/>
      <w:marRight w:val="0"/>
      <w:marTop w:val="0"/>
      <w:marBottom w:val="0"/>
      <w:divBdr>
        <w:top w:val="none" w:sz="0" w:space="0" w:color="auto"/>
        <w:left w:val="none" w:sz="0" w:space="0" w:color="auto"/>
        <w:bottom w:val="none" w:sz="0" w:space="0" w:color="auto"/>
        <w:right w:val="none" w:sz="0" w:space="0" w:color="auto"/>
      </w:divBdr>
    </w:div>
    <w:div w:id="614286337">
      <w:bodyDiv w:val="1"/>
      <w:marLeft w:val="0"/>
      <w:marRight w:val="0"/>
      <w:marTop w:val="0"/>
      <w:marBottom w:val="0"/>
      <w:divBdr>
        <w:top w:val="none" w:sz="0" w:space="0" w:color="auto"/>
        <w:left w:val="none" w:sz="0" w:space="0" w:color="auto"/>
        <w:bottom w:val="none" w:sz="0" w:space="0" w:color="auto"/>
        <w:right w:val="none" w:sz="0" w:space="0" w:color="auto"/>
      </w:divBdr>
    </w:div>
    <w:div w:id="614293077">
      <w:bodyDiv w:val="1"/>
      <w:marLeft w:val="0"/>
      <w:marRight w:val="0"/>
      <w:marTop w:val="0"/>
      <w:marBottom w:val="0"/>
      <w:divBdr>
        <w:top w:val="none" w:sz="0" w:space="0" w:color="auto"/>
        <w:left w:val="none" w:sz="0" w:space="0" w:color="auto"/>
        <w:bottom w:val="none" w:sz="0" w:space="0" w:color="auto"/>
        <w:right w:val="none" w:sz="0" w:space="0" w:color="auto"/>
      </w:divBdr>
    </w:div>
    <w:div w:id="614293717">
      <w:bodyDiv w:val="1"/>
      <w:marLeft w:val="0"/>
      <w:marRight w:val="0"/>
      <w:marTop w:val="0"/>
      <w:marBottom w:val="0"/>
      <w:divBdr>
        <w:top w:val="none" w:sz="0" w:space="0" w:color="auto"/>
        <w:left w:val="none" w:sz="0" w:space="0" w:color="auto"/>
        <w:bottom w:val="none" w:sz="0" w:space="0" w:color="auto"/>
        <w:right w:val="none" w:sz="0" w:space="0" w:color="auto"/>
      </w:divBdr>
    </w:div>
    <w:div w:id="614361106">
      <w:bodyDiv w:val="1"/>
      <w:marLeft w:val="0"/>
      <w:marRight w:val="0"/>
      <w:marTop w:val="0"/>
      <w:marBottom w:val="0"/>
      <w:divBdr>
        <w:top w:val="none" w:sz="0" w:space="0" w:color="auto"/>
        <w:left w:val="none" w:sz="0" w:space="0" w:color="auto"/>
        <w:bottom w:val="none" w:sz="0" w:space="0" w:color="auto"/>
        <w:right w:val="none" w:sz="0" w:space="0" w:color="auto"/>
      </w:divBdr>
    </w:div>
    <w:div w:id="614364044">
      <w:bodyDiv w:val="1"/>
      <w:marLeft w:val="0"/>
      <w:marRight w:val="0"/>
      <w:marTop w:val="0"/>
      <w:marBottom w:val="0"/>
      <w:divBdr>
        <w:top w:val="none" w:sz="0" w:space="0" w:color="auto"/>
        <w:left w:val="none" w:sz="0" w:space="0" w:color="auto"/>
        <w:bottom w:val="none" w:sz="0" w:space="0" w:color="auto"/>
        <w:right w:val="none" w:sz="0" w:space="0" w:color="auto"/>
      </w:divBdr>
    </w:div>
    <w:div w:id="614405706">
      <w:bodyDiv w:val="1"/>
      <w:marLeft w:val="0"/>
      <w:marRight w:val="0"/>
      <w:marTop w:val="0"/>
      <w:marBottom w:val="0"/>
      <w:divBdr>
        <w:top w:val="none" w:sz="0" w:space="0" w:color="auto"/>
        <w:left w:val="none" w:sz="0" w:space="0" w:color="auto"/>
        <w:bottom w:val="none" w:sz="0" w:space="0" w:color="auto"/>
        <w:right w:val="none" w:sz="0" w:space="0" w:color="auto"/>
      </w:divBdr>
    </w:div>
    <w:div w:id="614407413">
      <w:bodyDiv w:val="1"/>
      <w:marLeft w:val="0"/>
      <w:marRight w:val="0"/>
      <w:marTop w:val="0"/>
      <w:marBottom w:val="0"/>
      <w:divBdr>
        <w:top w:val="none" w:sz="0" w:space="0" w:color="auto"/>
        <w:left w:val="none" w:sz="0" w:space="0" w:color="auto"/>
        <w:bottom w:val="none" w:sz="0" w:space="0" w:color="auto"/>
        <w:right w:val="none" w:sz="0" w:space="0" w:color="auto"/>
      </w:divBdr>
    </w:div>
    <w:div w:id="614558449">
      <w:bodyDiv w:val="1"/>
      <w:marLeft w:val="0"/>
      <w:marRight w:val="0"/>
      <w:marTop w:val="0"/>
      <w:marBottom w:val="0"/>
      <w:divBdr>
        <w:top w:val="none" w:sz="0" w:space="0" w:color="auto"/>
        <w:left w:val="none" w:sz="0" w:space="0" w:color="auto"/>
        <w:bottom w:val="none" w:sz="0" w:space="0" w:color="auto"/>
        <w:right w:val="none" w:sz="0" w:space="0" w:color="auto"/>
      </w:divBdr>
    </w:div>
    <w:div w:id="614561450">
      <w:bodyDiv w:val="1"/>
      <w:marLeft w:val="0"/>
      <w:marRight w:val="0"/>
      <w:marTop w:val="0"/>
      <w:marBottom w:val="0"/>
      <w:divBdr>
        <w:top w:val="none" w:sz="0" w:space="0" w:color="auto"/>
        <w:left w:val="none" w:sz="0" w:space="0" w:color="auto"/>
        <w:bottom w:val="none" w:sz="0" w:space="0" w:color="auto"/>
        <w:right w:val="none" w:sz="0" w:space="0" w:color="auto"/>
      </w:divBdr>
    </w:div>
    <w:div w:id="614598237">
      <w:bodyDiv w:val="1"/>
      <w:marLeft w:val="0"/>
      <w:marRight w:val="0"/>
      <w:marTop w:val="0"/>
      <w:marBottom w:val="0"/>
      <w:divBdr>
        <w:top w:val="none" w:sz="0" w:space="0" w:color="auto"/>
        <w:left w:val="none" w:sz="0" w:space="0" w:color="auto"/>
        <w:bottom w:val="none" w:sz="0" w:space="0" w:color="auto"/>
        <w:right w:val="none" w:sz="0" w:space="0" w:color="auto"/>
      </w:divBdr>
    </w:div>
    <w:div w:id="614674536">
      <w:bodyDiv w:val="1"/>
      <w:marLeft w:val="0"/>
      <w:marRight w:val="0"/>
      <w:marTop w:val="0"/>
      <w:marBottom w:val="0"/>
      <w:divBdr>
        <w:top w:val="none" w:sz="0" w:space="0" w:color="auto"/>
        <w:left w:val="none" w:sz="0" w:space="0" w:color="auto"/>
        <w:bottom w:val="none" w:sz="0" w:space="0" w:color="auto"/>
        <w:right w:val="none" w:sz="0" w:space="0" w:color="auto"/>
      </w:divBdr>
    </w:div>
    <w:div w:id="614749441">
      <w:bodyDiv w:val="1"/>
      <w:marLeft w:val="0"/>
      <w:marRight w:val="0"/>
      <w:marTop w:val="0"/>
      <w:marBottom w:val="0"/>
      <w:divBdr>
        <w:top w:val="none" w:sz="0" w:space="0" w:color="auto"/>
        <w:left w:val="none" w:sz="0" w:space="0" w:color="auto"/>
        <w:bottom w:val="none" w:sz="0" w:space="0" w:color="auto"/>
        <w:right w:val="none" w:sz="0" w:space="0" w:color="auto"/>
      </w:divBdr>
    </w:div>
    <w:div w:id="614756310">
      <w:bodyDiv w:val="1"/>
      <w:marLeft w:val="0"/>
      <w:marRight w:val="0"/>
      <w:marTop w:val="0"/>
      <w:marBottom w:val="0"/>
      <w:divBdr>
        <w:top w:val="none" w:sz="0" w:space="0" w:color="auto"/>
        <w:left w:val="none" w:sz="0" w:space="0" w:color="auto"/>
        <w:bottom w:val="none" w:sz="0" w:space="0" w:color="auto"/>
        <w:right w:val="none" w:sz="0" w:space="0" w:color="auto"/>
      </w:divBdr>
    </w:div>
    <w:div w:id="614869814">
      <w:bodyDiv w:val="1"/>
      <w:marLeft w:val="0"/>
      <w:marRight w:val="0"/>
      <w:marTop w:val="0"/>
      <w:marBottom w:val="0"/>
      <w:divBdr>
        <w:top w:val="none" w:sz="0" w:space="0" w:color="auto"/>
        <w:left w:val="none" w:sz="0" w:space="0" w:color="auto"/>
        <w:bottom w:val="none" w:sz="0" w:space="0" w:color="auto"/>
        <w:right w:val="none" w:sz="0" w:space="0" w:color="auto"/>
      </w:divBdr>
    </w:div>
    <w:div w:id="614943787">
      <w:bodyDiv w:val="1"/>
      <w:marLeft w:val="0"/>
      <w:marRight w:val="0"/>
      <w:marTop w:val="0"/>
      <w:marBottom w:val="0"/>
      <w:divBdr>
        <w:top w:val="none" w:sz="0" w:space="0" w:color="auto"/>
        <w:left w:val="none" w:sz="0" w:space="0" w:color="auto"/>
        <w:bottom w:val="none" w:sz="0" w:space="0" w:color="auto"/>
        <w:right w:val="none" w:sz="0" w:space="0" w:color="auto"/>
      </w:divBdr>
    </w:div>
    <w:div w:id="615142113">
      <w:bodyDiv w:val="1"/>
      <w:marLeft w:val="0"/>
      <w:marRight w:val="0"/>
      <w:marTop w:val="0"/>
      <w:marBottom w:val="0"/>
      <w:divBdr>
        <w:top w:val="none" w:sz="0" w:space="0" w:color="auto"/>
        <w:left w:val="none" w:sz="0" w:space="0" w:color="auto"/>
        <w:bottom w:val="none" w:sz="0" w:space="0" w:color="auto"/>
        <w:right w:val="none" w:sz="0" w:space="0" w:color="auto"/>
      </w:divBdr>
    </w:div>
    <w:div w:id="615214989">
      <w:bodyDiv w:val="1"/>
      <w:marLeft w:val="0"/>
      <w:marRight w:val="0"/>
      <w:marTop w:val="0"/>
      <w:marBottom w:val="0"/>
      <w:divBdr>
        <w:top w:val="none" w:sz="0" w:space="0" w:color="auto"/>
        <w:left w:val="none" w:sz="0" w:space="0" w:color="auto"/>
        <w:bottom w:val="none" w:sz="0" w:space="0" w:color="auto"/>
        <w:right w:val="none" w:sz="0" w:space="0" w:color="auto"/>
      </w:divBdr>
    </w:div>
    <w:div w:id="615253137">
      <w:bodyDiv w:val="1"/>
      <w:marLeft w:val="0"/>
      <w:marRight w:val="0"/>
      <w:marTop w:val="0"/>
      <w:marBottom w:val="0"/>
      <w:divBdr>
        <w:top w:val="none" w:sz="0" w:space="0" w:color="auto"/>
        <w:left w:val="none" w:sz="0" w:space="0" w:color="auto"/>
        <w:bottom w:val="none" w:sz="0" w:space="0" w:color="auto"/>
        <w:right w:val="none" w:sz="0" w:space="0" w:color="auto"/>
      </w:divBdr>
    </w:div>
    <w:div w:id="615454626">
      <w:bodyDiv w:val="1"/>
      <w:marLeft w:val="0"/>
      <w:marRight w:val="0"/>
      <w:marTop w:val="0"/>
      <w:marBottom w:val="0"/>
      <w:divBdr>
        <w:top w:val="none" w:sz="0" w:space="0" w:color="auto"/>
        <w:left w:val="none" w:sz="0" w:space="0" w:color="auto"/>
        <w:bottom w:val="none" w:sz="0" w:space="0" w:color="auto"/>
        <w:right w:val="none" w:sz="0" w:space="0" w:color="auto"/>
      </w:divBdr>
    </w:div>
    <w:div w:id="615478800">
      <w:bodyDiv w:val="1"/>
      <w:marLeft w:val="0"/>
      <w:marRight w:val="0"/>
      <w:marTop w:val="0"/>
      <w:marBottom w:val="0"/>
      <w:divBdr>
        <w:top w:val="none" w:sz="0" w:space="0" w:color="auto"/>
        <w:left w:val="none" w:sz="0" w:space="0" w:color="auto"/>
        <w:bottom w:val="none" w:sz="0" w:space="0" w:color="auto"/>
        <w:right w:val="none" w:sz="0" w:space="0" w:color="auto"/>
      </w:divBdr>
    </w:div>
    <w:div w:id="615479682">
      <w:bodyDiv w:val="1"/>
      <w:marLeft w:val="0"/>
      <w:marRight w:val="0"/>
      <w:marTop w:val="0"/>
      <w:marBottom w:val="0"/>
      <w:divBdr>
        <w:top w:val="none" w:sz="0" w:space="0" w:color="auto"/>
        <w:left w:val="none" w:sz="0" w:space="0" w:color="auto"/>
        <w:bottom w:val="none" w:sz="0" w:space="0" w:color="auto"/>
        <w:right w:val="none" w:sz="0" w:space="0" w:color="auto"/>
      </w:divBdr>
    </w:div>
    <w:div w:id="615599805">
      <w:bodyDiv w:val="1"/>
      <w:marLeft w:val="0"/>
      <w:marRight w:val="0"/>
      <w:marTop w:val="0"/>
      <w:marBottom w:val="0"/>
      <w:divBdr>
        <w:top w:val="none" w:sz="0" w:space="0" w:color="auto"/>
        <w:left w:val="none" w:sz="0" w:space="0" w:color="auto"/>
        <w:bottom w:val="none" w:sz="0" w:space="0" w:color="auto"/>
        <w:right w:val="none" w:sz="0" w:space="0" w:color="auto"/>
      </w:divBdr>
    </w:div>
    <w:div w:id="615675941">
      <w:bodyDiv w:val="1"/>
      <w:marLeft w:val="0"/>
      <w:marRight w:val="0"/>
      <w:marTop w:val="0"/>
      <w:marBottom w:val="0"/>
      <w:divBdr>
        <w:top w:val="none" w:sz="0" w:space="0" w:color="auto"/>
        <w:left w:val="none" w:sz="0" w:space="0" w:color="auto"/>
        <w:bottom w:val="none" w:sz="0" w:space="0" w:color="auto"/>
        <w:right w:val="none" w:sz="0" w:space="0" w:color="auto"/>
      </w:divBdr>
    </w:div>
    <w:div w:id="615718515">
      <w:bodyDiv w:val="1"/>
      <w:marLeft w:val="0"/>
      <w:marRight w:val="0"/>
      <w:marTop w:val="0"/>
      <w:marBottom w:val="0"/>
      <w:divBdr>
        <w:top w:val="none" w:sz="0" w:space="0" w:color="auto"/>
        <w:left w:val="none" w:sz="0" w:space="0" w:color="auto"/>
        <w:bottom w:val="none" w:sz="0" w:space="0" w:color="auto"/>
        <w:right w:val="none" w:sz="0" w:space="0" w:color="auto"/>
      </w:divBdr>
    </w:div>
    <w:div w:id="615719006">
      <w:bodyDiv w:val="1"/>
      <w:marLeft w:val="0"/>
      <w:marRight w:val="0"/>
      <w:marTop w:val="0"/>
      <w:marBottom w:val="0"/>
      <w:divBdr>
        <w:top w:val="none" w:sz="0" w:space="0" w:color="auto"/>
        <w:left w:val="none" w:sz="0" w:space="0" w:color="auto"/>
        <w:bottom w:val="none" w:sz="0" w:space="0" w:color="auto"/>
        <w:right w:val="none" w:sz="0" w:space="0" w:color="auto"/>
      </w:divBdr>
    </w:div>
    <w:div w:id="615792141">
      <w:bodyDiv w:val="1"/>
      <w:marLeft w:val="0"/>
      <w:marRight w:val="0"/>
      <w:marTop w:val="0"/>
      <w:marBottom w:val="0"/>
      <w:divBdr>
        <w:top w:val="none" w:sz="0" w:space="0" w:color="auto"/>
        <w:left w:val="none" w:sz="0" w:space="0" w:color="auto"/>
        <w:bottom w:val="none" w:sz="0" w:space="0" w:color="auto"/>
        <w:right w:val="none" w:sz="0" w:space="0" w:color="auto"/>
      </w:divBdr>
    </w:div>
    <w:div w:id="615870908">
      <w:bodyDiv w:val="1"/>
      <w:marLeft w:val="0"/>
      <w:marRight w:val="0"/>
      <w:marTop w:val="0"/>
      <w:marBottom w:val="0"/>
      <w:divBdr>
        <w:top w:val="none" w:sz="0" w:space="0" w:color="auto"/>
        <w:left w:val="none" w:sz="0" w:space="0" w:color="auto"/>
        <w:bottom w:val="none" w:sz="0" w:space="0" w:color="auto"/>
        <w:right w:val="none" w:sz="0" w:space="0" w:color="auto"/>
      </w:divBdr>
    </w:div>
    <w:div w:id="615912727">
      <w:bodyDiv w:val="1"/>
      <w:marLeft w:val="0"/>
      <w:marRight w:val="0"/>
      <w:marTop w:val="0"/>
      <w:marBottom w:val="0"/>
      <w:divBdr>
        <w:top w:val="none" w:sz="0" w:space="0" w:color="auto"/>
        <w:left w:val="none" w:sz="0" w:space="0" w:color="auto"/>
        <w:bottom w:val="none" w:sz="0" w:space="0" w:color="auto"/>
        <w:right w:val="none" w:sz="0" w:space="0" w:color="auto"/>
      </w:divBdr>
    </w:div>
    <w:div w:id="615983018">
      <w:bodyDiv w:val="1"/>
      <w:marLeft w:val="0"/>
      <w:marRight w:val="0"/>
      <w:marTop w:val="0"/>
      <w:marBottom w:val="0"/>
      <w:divBdr>
        <w:top w:val="none" w:sz="0" w:space="0" w:color="auto"/>
        <w:left w:val="none" w:sz="0" w:space="0" w:color="auto"/>
        <w:bottom w:val="none" w:sz="0" w:space="0" w:color="auto"/>
        <w:right w:val="none" w:sz="0" w:space="0" w:color="auto"/>
      </w:divBdr>
    </w:div>
    <w:div w:id="616061195">
      <w:bodyDiv w:val="1"/>
      <w:marLeft w:val="0"/>
      <w:marRight w:val="0"/>
      <w:marTop w:val="0"/>
      <w:marBottom w:val="0"/>
      <w:divBdr>
        <w:top w:val="none" w:sz="0" w:space="0" w:color="auto"/>
        <w:left w:val="none" w:sz="0" w:space="0" w:color="auto"/>
        <w:bottom w:val="none" w:sz="0" w:space="0" w:color="auto"/>
        <w:right w:val="none" w:sz="0" w:space="0" w:color="auto"/>
      </w:divBdr>
    </w:div>
    <w:div w:id="616061278">
      <w:bodyDiv w:val="1"/>
      <w:marLeft w:val="0"/>
      <w:marRight w:val="0"/>
      <w:marTop w:val="0"/>
      <w:marBottom w:val="0"/>
      <w:divBdr>
        <w:top w:val="none" w:sz="0" w:space="0" w:color="auto"/>
        <w:left w:val="none" w:sz="0" w:space="0" w:color="auto"/>
        <w:bottom w:val="none" w:sz="0" w:space="0" w:color="auto"/>
        <w:right w:val="none" w:sz="0" w:space="0" w:color="auto"/>
      </w:divBdr>
    </w:div>
    <w:div w:id="616061719">
      <w:bodyDiv w:val="1"/>
      <w:marLeft w:val="0"/>
      <w:marRight w:val="0"/>
      <w:marTop w:val="0"/>
      <w:marBottom w:val="0"/>
      <w:divBdr>
        <w:top w:val="none" w:sz="0" w:space="0" w:color="auto"/>
        <w:left w:val="none" w:sz="0" w:space="0" w:color="auto"/>
        <w:bottom w:val="none" w:sz="0" w:space="0" w:color="auto"/>
        <w:right w:val="none" w:sz="0" w:space="0" w:color="auto"/>
      </w:divBdr>
    </w:div>
    <w:div w:id="616063548">
      <w:bodyDiv w:val="1"/>
      <w:marLeft w:val="0"/>
      <w:marRight w:val="0"/>
      <w:marTop w:val="0"/>
      <w:marBottom w:val="0"/>
      <w:divBdr>
        <w:top w:val="none" w:sz="0" w:space="0" w:color="auto"/>
        <w:left w:val="none" w:sz="0" w:space="0" w:color="auto"/>
        <w:bottom w:val="none" w:sz="0" w:space="0" w:color="auto"/>
        <w:right w:val="none" w:sz="0" w:space="0" w:color="auto"/>
      </w:divBdr>
    </w:div>
    <w:div w:id="616135632">
      <w:bodyDiv w:val="1"/>
      <w:marLeft w:val="0"/>
      <w:marRight w:val="0"/>
      <w:marTop w:val="0"/>
      <w:marBottom w:val="0"/>
      <w:divBdr>
        <w:top w:val="none" w:sz="0" w:space="0" w:color="auto"/>
        <w:left w:val="none" w:sz="0" w:space="0" w:color="auto"/>
        <w:bottom w:val="none" w:sz="0" w:space="0" w:color="auto"/>
        <w:right w:val="none" w:sz="0" w:space="0" w:color="auto"/>
      </w:divBdr>
    </w:div>
    <w:div w:id="616181785">
      <w:bodyDiv w:val="1"/>
      <w:marLeft w:val="0"/>
      <w:marRight w:val="0"/>
      <w:marTop w:val="0"/>
      <w:marBottom w:val="0"/>
      <w:divBdr>
        <w:top w:val="none" w:sz="0" w:space="0" w:color="auto"/>
        <w:left w:val="none" w:sz="0" w:space="0" w:color="auto"/>
        <w:bottom w:val="none" w:sz="0" w:space="0" w:color="auto"/>
        <w:right w:val="none" w:sz="0" w:space="0" w:color="auto"/>
      </w:divBdr>
    </w:div>
    <w:div w:id="616452352">
      <w:bodyDiv w:val="1"/>
      <w:marLeft w:val="0"/>
      <w:marRight w:val="0"/>
      <w:marTop w:val="0"/>
      <w:marBottom w:val="0"/>
      <w:divBdr>
        <w:top w:val="none" w:sz="0" w:space="0" w:color="auto"/>
        <w:left w:val="none" w:sz="0" w:space="0" w:color="auto"/>
        <w:bottom w:val="none" w:sz="0" w:space="0" w:color="auto"/>
        <w:right w:val="none" w:sz="0" w:space="0" w:color="auto"/>
      </w:divBdr>
    </w:div>
    <w:div w:id="616453858">
      <w:bodyDiv w:val="1"/>
      <w:marLeft w:val="0"/>
      <w:marRight w:val="0"/>
      <w:marTop w:val="0"/>
      <w:marBottom w:val="0"/>
      <w:divBdr>
        <w:top w:val="none" w:sz="0" w:space="0" w:color="auto"/>
        <w:left w:val="none" w:sz="0" w:space="0" w:color="auto"/>
        <w:bottom w:val="none" w:sz="0" w:space="0" w:color="auto"/>
        <w:right w:val="none" w:sz="0" w:space="0" w:color="auto"/>
      </w:divBdr>
    </w:div>
    <w:div w:id="616638572">
      <w:bodyDiv w:val="1"/>
      <w:marLeft w:val="0"/>
      <w:marRight w:val="0"/>
      <w:marTop w:val="0"/>
      <w:marBottom w:val="0"/>
      <w:divBdr>
        <w:top w:val="none" w:sz="0" w:space="0" w:color="auto"/>
        <w:left w:val="none" w:sz="0" w:space="0" w:color="auto"/>
        <w:bottom w:val="none" w:sz="0" w:space="0" w:color="auto"/>
        <w:right w:val="none" w:sz="0" w:space="0" w:color="auto"/>
      </w:divBdr>
    </w:div>
    <w:div w:id="616644075">
      <w:bodyDiv w:val="1"/>
      <w:marLeft w:val="0"/>
      <w:marRight w:val="0"/>
      <w:marTop w:val="0"/>
      <w:marBottom w:val="0"/>
      <w:divBdr>
        <w:top w:val="none" w:sz="0" w:space="0" w:color="auto"/>
        <w:left w:val="none" w:sz="0" w:space="0" w:color="auto"/>
        <w:bottom w:val="none" w:sz="0" w:space="0" w:color="auto"/>
        <w:right w:val="none" w:sz="0" w:space="0" w:color="auto"/>
      </w:divBdr>
    </w:div>
    <w:div w:id="616759310">
      <w:bodyDiv w:val="1"/>
      <w:marLeft w:val="0"/>
      <w:marRight w:val="0"/>
      <w:marTop w:val="0"/>
      <w:marBottom w:val="0"/>
      <w:divBdr>
        <w:top w:val="none" w:sz="0" w:space="0" w:color="auto"/>
        <w:left w:val="none" w:sz="0" w:space="0" w:color="auto"/>
        <w:bottom w:val="none" w:sz="0" w:space="0" w:color="auto"/>
        <w:right w:val="none" w:sz="0" w:space="0" w:color="auto"/>
      </w:divBdr>
    </w:div>
    <w:div w:id="616759885">
      <w:bodyDiv w:val="1"/>
      <w:marLeft w:val="0"/>
      <w:marRight w:val="0"/>
      <w:marTop w:val="0"/>
      <w:marBottom w:val="0"/>
      <w:divBdr>
        <w:top w:val="none" w:sz="0" w:space="0" w:color="auto"/>
        <w:left w:val="none" w:sz="0" w:space="0" w:color="auto"/>
        <w:bottom w:val="none" w:sz="0" w:space="0" w:color="auto"/>
        <w:right w:val="none" w:sz="0" w:space="0" w:color="auto"/>
      </w:divBdr>
    </w:div>
    <w:div w:id="616789219">
      <w:bodyDiv w:val="1"/>
      <w:marLeft w:val="0"/>
      <w:marRight w:val="0"/>
      <w:marTop w:val="0"/>
      <w:marBottom w:val="0"/>
      <w:divBdr>
        <w:top w:val="none" w:sz="0" w:space="0" w:color="auto"/>
        <w:left w:val="none" w:sz="0" w:space="0" w:color="auto"/>
        <w:bottom w:val="none" w:sz="0" w:space="0" w:color="auto"/>
        <w:right w:val="none" w:sz="0" w:space="0" w:color="auto"/>
      </w:divBdr>
    </w:div>
    <w:div w:id="616915381">
      <w:bodyDiv w:val="1"/>
      <w:marLeft w:val="0"/>
      <w:marRight w:val="0"/>
      <w:marTop w:val="0"/>
      <w:marBottom w:val="0"/>
      <w:divBdr>
        <w:top w:val="none" w:sz="0" w:space="0" w:color="auto"/>
        <w:left w:val="none" w:sz="0" w:space="0" w:color="auto"/>
        <w:bottom w:val="none" w:sz="0" w:space="0" w:color="auto"/>
        <w:right w:val="none" w:sz="0" w:space="0" w:color="auto"/>
      </w:divBdr>
    </w:div>
    <w:div w:id="616982238">
      <w:bodyDiv w:val="1"/>
      <w:marLeft w:val="0"/>
      <w:marRight w:val="0"/>
      <w:marTop w:val="0"/>
      <w:marBottom w:val="0"/>
      <w:divBdr>
        <w:top w:val="none" w:sz="0" w:space="0" w:color="auto"/>
        <w:left w:val="none" w:sz="0" w:space="0" w:color="auto"/>
        <w:bottom w:val="none" w:sz="0" w:space="0" w:color="auto"/>
        <w:right w:val="none" w:sz="0" w:space="0" w:color="auto"/>
      </w:divBdr>
    </w:div>
    <w:div w:id="616985977">
      <w:bodyDiv w:val="1"/>
      <w:marLeft w:val="0"/>
      <w:marRight w:val="0"/>
      <w:marTop w:val="0"/>
      <w:marBottom w:val="0"/>
      <w:divBdr>
        <w:top w:val="none" w:sz="0" w:space="0" w:color="auto"/>
        <w:left w:val="none" w:sz="0" w:space="0" w:color="auto"/>
        <w:bottom w:val="none" w:sz="0" w:space="0" w:color="auto"/>
        <w:right w:val="none" w:sz="0" w:space="0" w:color="auto"/>
      </w:divBdr>
    </w:div>
    <w:div w:id="617033580">
      <w:bodyDiv w:val="1"/>
      <w:marLeft w:val="0"/>
      <w:marRight w:val="0"/>
      <w:marTop w:val="0"/>
      <w:marBottom w:val="0"/>
      <w:divBdr>
        <w:top w:val="none" w:sz="0" w:space="0" w:color="auto"/>
        <w:left w:val="none" w:sz="0" w:space="0" w:color="auto"/>
        <w:bottom w:val="none" w:sz="0" w:space="0" w:color="auto"/>
        <w:right w:val="none" w:sz="0" w:space="0" w:color="auto"/>
      </w:divBdr>
    </w:div>
    <w:div w:id="617106205">
      <w:bodyDiv w:val="1"/>
      <w:marLeft w:val="0"/>
      <w:marRight w:val="0"/>
      <w:marTop w:val="0"/>
      <w:marBottom w:val="0"/>
      <w:divBdr>
        <w:top w:val="none" w:sz="0" w:space="0" w:color="auto"/>
        <w:left w:val="none" w:sz="0" w:space="0" w:color="auto"/>
        <w:bottom w:val="none" w:sz="0" w:space="0" w:color="auto"/>
        <w:right w:val="none" w:sz="0" w:space="0" w:color="auto"/>
      </w:divBdr>
    </w:div>
    <w:div w:id="617109042">
      <w:bodyDiv w:val="1"/>
      <w:marLeft w:val="0"/>
      <w:marRight w:val="0"/>
      <w:marTop w:val="0"/>
      <w:marBottom w:val="0"/>
      <w:divBdr>
        <w:top w:val="none" w:sz="0" w:space="0" w:color="auto"/>
        <w:left w:val="none" w:sz="0" w:space="0" w:color="auto"/>
        <w:bottom w:val="none" w:sz="0" w:space="0" w:color="auto"/>
        <w:right w:val="none" w:sz="0" w:space="0" w:color="auto"/>
      </w:divBdr>
    </w:div>
    <w:div w:id="617177107">
      <w:bodyDiv w:val="1"/>
      <w:marLeft w:val="0"/>
      <w:marRight w:val="0"/>
      <w:marTop w:val="0"/>
      <w:marBottom w:val="0"/>
      <w:divBdr>
        <w:top w:val="none" w:sz="0" w:space="0" w:color="auto"/>
        <w:left w:val="none" w:sz="0" w:space="0" w:color="auto"/>
        <w:bottom w:val="none" w:sz="0" w:space="0" w:color="auto"/>
        <w:right w:val="none" w:sz="0" w:space="0" w:color="auto"/>
      </w:divBdr>
    </w:div>
    <w:div w:id="617220200">
      <w:bodyDiv w:val="1"/>
      <w:marLeft w:val="0"/>
      <w:marRight w:val="0"/>
      <w:marTop w:val="0"/>
      <w:marBottom w:val="0"/>
      <w:divBdr>
        <w:top w:val="none" w:sz="0" w:space="0" w:color="auto"/>
        <w:left w:val="none" w:sz="0" w:space="0" w:color="auto"/>
        <w:bottom w:val="none" w:sz="0" w:space="0" w:color="auto"/>
        <w:right w:val="none" w:sz="0" w:space="0" w:color="auto"/>
      </w:divBdr>
    </w:div>
    <w:div w:id="617223158">
      <w:bodyDiv w:val="1"/>
      <w:marLeft w:val="0"/>
      <w:marRight w:val="0"/>
      <w:marTop w:val="0"/>
      <w:marBottom w:val="0"/>
      <w:divBdr>
        <w:top w:val="none" w:sz="0" w:space="0" w:color="auto"/>
        <w:left w:val="none" w:sz="0" w:space="0" w:color="auto"/>
        <w:bottom w:val="none" w:sz="0" w:space="0" w:color="auto"/>
        <w:right w:val="none" w:sz="0" w:space="0" w:color="auto"/>
      </w:divBdr>
    </w:div>
    <w:div w:id="617419522">
      <w:bodyDiv w:val="1"/>
      <w:marLeft w:val="0"/>
      <w:marRight w:val="0"/>
      <w:marTop w:val="0"/>
      <w:marBottom w:val="0"/>
      <w:divBdr>
        <w:top w:val="none" w:sz="0" w:space="0" w:color="auto"/>
        <w:left w:val="none" w:sz="0" w:space="0" w:color="auto"/>
        <w:bottom w:val="none" w:sz="0" w:space="0" w:color="auto"/>
        <w:right w:val="none" w:sz="0" w:space="0" w:color="auto"/>
      </w:divBdr>
    </w:div>
    <w:div w:id="617420736">
      <w:bodyDiv w:val="1"/>
      <w:marLeft w:val="0"/>
      <w:marRight w:val="0"/>
      <w:marTop w:val="0"/>
      <w:marBottom w:val="0"/>
      <w:divBdr>
        <w:top w:val="none" w:sz="0" w:space="0" w:color="auto"/>
        <w:left w:val="none" w:sz="0" w:space="0" w:color="auto"/>
        <w:bottom w:val="none" w:sz="0" w:space="0" w:color="auto"/>
        <w:right w:val="none" w:sz="0" w:space="0" w:color="auto"/>
      </w:divBdr>
    </w:div>
    <w:div w:id="617490791">
      <w:bodyDiv w:val="1"/>
      <w:marLeft w:val="0"/>
      <w:marRight w:val="0"/>
      <w:marTop w:val="0"/>
      <w:marBottom w:val="0"/>
      <w:divBdr>
        <w:top w:val="none" w:sz="0" w:space="0" w:color="auto"/>
        <w:left w:val="none" w:sz="0" w:space="0" w:color="auto"/>
        <w:bottom w:val="none" w:sz="0" w:space="0" w:color="auto"/>
        <w:right w:val="none" w:sz="0" w:space="0" w:color="auto"/>
      </w:divBdr>
    </w:div>
    <w:div w:id="617568309">
      <w:bodyDiv w:val="1"/>
      <w:marLeft w:val="0"/>
      <w:marRight w:val="0"/>
      <w:marTop w:val="0"/>
      <w:marBottom w:val="0"/>
      <w:divBdr>
        <w:top w:val="none" w:sz="0" w:space="0" w:color="auto"/>
        <w:left w:val="none" w:sz="0" w:space="0" w:color="auto"/>
        <w:bottom w:val="none" w:sz="0" w:space="0" w:color="auto"/>
        <w:right w:val="none" w:sz="0" w:space="0" w:color="auto"/>
      </w:divBdr>
    </w:div>
    <w:div w:id="617756743">
      <w:bodyDiv w:val="1"/>
      <w:marLeft w:val="0"/>
      <w:marRight w:val="0"/>
      <w:marTop w:val="0"/>
      <w:marBottom w:val="0"/>
      <w:divBdr>
        <w:top w:val="none" w:sz="0" w:space="0" w:color="auto"/>
        <w:left w:val="none" w:sz="0" w:space="0" w:color="auto"/>
        <w:bottom w:val="none" w:sz="0" w:space="0" w:color="auto"/>
        <w:right w:val="none" w:sz="0" w:space="0" w:color="auto"/>
      </w:divBdr>
    </w:div>
    <w:div w:id="617950461">
      <w:bodyDiv w:val="1"/>
      <w:marLeft w:val="0"/>
      <w:marRight w:val="0"/>
      <w:marTop w:val="0"/>
      <w:marBottom w:val="0"/>
      <w:divBdr>
        <w:top w:val="none" w:sz="0" w:space="0" w:color="auto"/>
        <w:left w:val="none" w:sz="0" w:space="0" w:color="auto"/>
        <w:bottom w:val="none" w:sz="0" w:space="0" w:color="auto"/>
        <w:right w:val="none" w:sz="0" w:space="0" w:color="auto"/>
      </w:divBdr>
    </w:div>
    <w:div w:id="617955993">
      <w:bodyDiv w:val="1"/>
      <w:marLeft w:val="0"/>
      <w:marRight w:val="0"/>
      <w:marTop w:val="0"/>
      <w:marBottom w:val="0"/>
      <w:divBdr>
        <w:top w:val="none" w:sz="0" w:space="0" w:color="auto"/>
        <w:left w:val="none" w:sz="0" w:space="0" w:color="auto"/>
        <w:bottom w:val="none" w:sz="0" w:space="0" w:color="auto"/>
        <w:right w:val="none" w:sz="0" w:space="0" w:color="auto"/>
      </w:divBdr>
    </w:div>
    <w:div w:id="618075732">
      <w:bodyDiv w:val="1"/>
      <w:marLeft w:val="0"/>
      <w:marRight w:val="0"/>
      <w:marTop w:val="0"/>
      <w:marBottom w:val="0"/>
      <w:divBdr>
        <w:top w:val="none" w:sz="0" w:space="0" w:color="auto"/>
        <w:left w:val="none" w:sz="0" w:space="0" w:color="auto"/>
        <w:bottom w:val="none" w:sz="0" w:space="0" w:color="auto"/>
        <w:right w:val="none" w:sz="0" w:space="0" w:color="auto"/>
      </w:divBdr>
    </w:div>
    <w:div w:id="618099618">
      <w:bodyDiv w:val="1"/>
      <w:marLeft w:val="0"/>
      <w:marRight w:val="0"/>
      <w:marTop w:val="0"/>
      <w:marBottom w:val="0"/>
      <w:divBdr>
        <w:top w:val="none" w:sz="0" w:space="0" w:color="auto"/>
        <w:left w:val="none" w:sz="0" w:space="0" w:color="auto"/>
        <w:bottom w:val="none" w:sz="0" w:space="0" w:color="auto"/>
        <w:right w:val="none" w:sz="0" w:space="0" w:color="auto"/>
      </w:divBdr>
    </w:div>
    <w:div w:id="618144135">
      <w:bodyDiv w:val="1"/>
      <w:marLeft w:val="0"/>
      <w:marRight w:val="0"/>
      <w:marTop w:val="0"/>
      <w:marBottom w:val="0"/>
      <w:divBdr>
        <w:top w:val="none" w:sz="0" w:space="0" w:color="auto"/>
        <w:left w:val="none" w:sz="0" w:space="0" w:color="auto"/>
        <w:bottom w:val="none" w:sz="0" w:space="0" w:color="auto"/>
        <w:right w:val="none" w:sz="0" w:space="0" w:color="auto"/>
      </w:divBdr>
    </w:div>
    <w:div w:id="618414873">
      <w:bodyDiv w:val="1"/>
      <w:marLeft w:val="0"/>
      <w:marRight w:val="0"/>
      <w:marTop w:val="0"/>
      <w:marBottom w:val="0"/>
      <w:divBdr>
        <w:top w:val="none" w:sz="0" w:space="0" w:color="auto"/>
        <w:left w:val="none" w:sz="0" w:space="0" w:color="auto"/>
        <w:bottom w:val="none" w:sz="0" w:space="0" w:color="auto"/>
        <w:right w:val="none" w:sz="0" w:space="0" w:color="auto"/>
      </w:divBdr>
    </w:div>
    <w:div w:id="618494383">
      <w:bodyDiv w:val="1"/>
      <w:marLeft w:val="0"/>
      <w:marRight w:val="0"/>
      <w:marTop w:val="0"/>
      <w:marBottom w:val="0"/>
      <w:divBdr>
        <w:top w:val="none" w:sz="0" w:space="0" w:color="auto"/>
        <w:left w:val="none" w:sz="0" w:space="0" w:color="auto"/>
        <w:bottom w:val="none" w:sz="0" w:space="0" w:color="auto"/>
        <w:right w:val="none" w:sz="0" w:space="0" w:color="auto"/>
      </w:divBdr>
    </w:div>
    <w:div w:id="618604190">
      <w:bodyDiv w:val="1"/>
      <w:marLeft w:val="0"/>
      <w:marRight w:val="0"/>
      <w:marTop w:val="0"/>
      <w:marBottom w:val="0"/>
      <w:divBdr>
        <w:top w:val="none" w:sz="0" w:space="0" w:color="auto"/>
        <w:left w:val="none" w:sz="0" w:space="0" w:color="auto"/>
        <w:bottom w:val="none" w:sz="0" w:space="0" w:color="auto"/>
        <w:right w:val="none" w:sz="0" w:space="0" w:color="auto"/>
      </w:divBdr>
    </w:div>
    <w:div w:id="618680698">
      <w:bodyDiv w:val="1"/>
      <w:marLeft w:val="0"/>
      <w:marRight w:val="0"/>
      <w:marTop w:val="0"/>
      <w:marBottom w:val="0"/>
      <w:divBdr>
        <w:top w:val="none" w:sz="0" w:space="0" w:color="auto"/>
        <w:left w:val="none" w:sz="0" w:space="0" w:color="auto"/>
        <w:bottom w:val="none" w:sz="0" w:space="0" w:color="auto"/>
        <w:right w:val="none" w:sz="0" w:space="0" w:color="auto"/>
      </w:divBdr>
    </w:div>
    <w:div w:id="618754674">
      <w:bodyDiv w:val="1"/>
      <w:marLeft w:val="0"/>
      <w:marRight w:val="0"/>
      <w:marTop w:val="0"/>
      <w:marBottom w:val="0"/>
      <w:divBdr>
        <w:top w:val="none" w:sz="0" w:space="0" w:color="auto"/>
        <w:left w:val="none" w:sz="0" w:space="0" w:color="auto"/>
        <w:bottom w:val="none" w:sz="0" w:space="0" w:color="auto"/>
        <w:right w:val="none" w:sz="0" w:space="0" w:color="auto"/>
      </w:divBdr>
    </w:div>
    <w:div w:id="619065846">
      <w:bodyDiv w:val="1"/>
      <w:marLeft w:val="0"/>
      <w:marRight w:val="0"/>
      <w:marTop w:val="0"/>
      <w:marBottom w:val="0"/>
      <w:divBdr>
        <w:top w:val="none" w:sz="0" w:space="0" w:color="auto"/>
        <w:left w:val="none" w:sz="0" w:space="0" w:color="auto"/>
        <w:bottom w:val="none" w:sz="0" w:space="0" w:color="auto"/>
        <w:right w:val="none" w:sz="0" w:space="0" w:color="auto"/>
      </w:divBdr>
    </w:div>
    <w:div w:id="619069318">
      <w:bodyDiv w:val="1"/>
      <w:marLeft w:val="0"/>
      <w:marRight w:val="0"/>
      <w:marTop w:val="0"/>
      <w:marBottom w:val="0"/>
      <w:divBdr>
        <w:top w:val="none" w:sz="0" w:space="0" w:color="auto"/>
        <w:left w:val="none" w:sz="0" w:space="0" w:color="auto"/>
        <w:bottom w:val="none" w:sz="0" w:space="0" w:color="auto"/>
        <w:right w:val="none" w:sz="0" w:space="0" w:color="auto"/>
      </w:divBdr>
    </w:div>
    <w:div w:id="619145917">
      <w:bodyDiv w:val="1"/>
      <w:marLeft w:val="0"/>
      <w:marRight w:val="0"/>
      <w:marTop w:val="0"/>
      <w:marBottom w:val="0"/>
      <w:divBdr>
        <w:top w:val="none" w:sz="0" w:space="0" w:color="auto"/>
        <w:left w:val="none" w:sz="0" w:space="0" w:color="auto"/>
        <w:bottom w:val="none" w:sz="0" w:space="0" w:color="auto"/>
        <w:right w:val="none" w:sz="0" w:space="0" w:color="auto"/>
      </w:divBdr>
    </w:div>
    <w:div w:id="619262571">
      <w:bodyDiv w:val="1"/>
      <w:marLeft w:val="0"/>
      <w:marRight w:val="0"/>
      <w:marTop w:val="0"/>
      <w:marBottom w:val="0"/>
      <w:divBdr>
        <w:top w:val="none" w:sz="0" w:space="0" w:color="auto"/>
        <w:left w:val="none" w:sz="0" w:space="0" w:color="auto"/>
        <w:bottom w:val="none" w:sz="0" w:space="0" w:color="auto"/>
        <w:right w:val="none" w:sz="0" w:space="0" w:color="auto"/>
      </w:divBdr>
    </w:div>
    <w:div w:id="619384806">
      <w:bodyDiv w:val="1"/>
      <w:marLeft w:val="0"/>
      <w:marRight w:val="0"/>
      <w:marTop w:val="0"/>
      <w:marBottom w:val="0"/>
      <w:divBdr>
        <w:top w:val="none" w:sz="0" w:space="0" w:color="auto"/>
        <w:left w:val="none" w:sz="0" w:space="0" w:color="auto"/>
        <w:bottom w:val="none" w:sz="0" w:space="0" w:color="auto"/>
        <w:right w:val="none" w:sz="0" w:space="0" w:color="auto"/>
      </w:divBdr>
    </w:div>
    <w:div w:id="619413388">
      <w:bodyDiv w:val="1"/>
      <w:marLeft w:val="0"/>
      <w:marRight w:val="0"/>
      <w:marTop w:val="0"/>
      <w:marBottom w:val="0"/>
      <w:divBdr>
        <w:top w:val="none" w:sz="0" w:space="0" w:color="auto"/>
        <w:left w:val="none" w:sz="0" w:space="0" w:color="auto"/>
        <w:bottom w:val="none" w:sz="0" w:space="0" w:color="auto"/>
        <w:right w:val="none" w:sz="0" w:space="0" w:color="auto"/>
      </w:divBdr>
    </w:div>
    <w:div w:id="619604090">
      <w:bodyDiv w:val="1"/>
      <w:marLeft w:val="0"/>
      <w:marRight w:val="0"/>
      <w:marTop w:val="0"/>
      <w:marBottom w:val="0"/>
      <w:divBdr>
        <w:top w:val="none" w:sz="0" w:space="0" w:color="auto"/>
        <w:left w:val="none" w:sz="0" w:space="0" w:color="auto"/>
        <w:bottom w:val="none" w:sz="0" w:space="0" w:color="auto"/>
        <w:right w:val="none" w:sz="0" w:space="0" w:color="auto"/>
      </w:divBdr>
    </w:div>
    <w:div w:id="619606001">
      <w:bodyDiv w:val="1"/>
      <w:marLeft w:val="0"/>
      <w:marRight w:val="0"/>
      <w:marTop w:val="0"/>
      <w:marBottom w:val="0"/>
      <w:divBdr>
        <w:top w:val="none" w:sz="0" w:space="0" w:color="auto"/>
        <w:left w:val="none" w:sz="0" w:space="0" w:color="auto"/>
        <w:bottom w:val="none" w:sz="0" w:space="0" w:color="auto"/>
        <w:right w:val="none" w:sz="0" w:space="0" w:color="auto"/>
      </w:divBdr>
    </w:div>
    <w:div w:id="619646883">
      <w:bodyDiv w:val="1"/>
      <w:marLeft w:val="0"/>
      <w:marRight w:val="0"/>
      <w:marTop w:val="0"/>
      <w:marBottom w:val="0"/>
      <w:divBdr>
        <w:top w:val="none" w:sz="0" w:space="0" w:color="auto"/>
        <w:left w:val="none" w:sz="0" w:space="0" w:color="auto"/>
        <w:bottom w:val="none" w:sz="0" w:space="0" w:color="auto"/>
        <w:right w:val="none" w:sz="0" w:space="0" w:color="auto"/>
      </w:divBdr>
    </w:div>
    <w:div w:id="619722142">
      <w:bodyDiv w:val="1"/>
      <w:marLeft w:val="0"/>
      <w:marRight w:val="0"/>
      <w:marTop w:val="0"/>
      <w:marBottom w:val="0"/>
      <w:divBdr>
        <w:top w:val="none" w:sz="0" w:space="0" w:color="auto"/>
        <w:left w:val="none" w:sz="0" w:space="0" w:color="auto"/>
        <w:bottom w:val="none" w:sz="0" w:space="0" w:color="auto"/>
        <w:right w:val="none" w:sz="0" w:space="0" w:color="auto"/>
      </w:divBdr>
    </w:div>
    <w:div w:id="619723391">
      <w:bodyDiv w:val="1"/>
      <w:marLeft w:val="0"/>
      <w:marRight w:val="0"/>
      <w:marTop w:val="0"/>
      <w:marBottom w:val="0"/>
      <w:divBdr>
        <w:top w:val="none" w:sz="0" w:space="0" w:color="auto"/>
        <w:left w:val="none" w:sz="0" w:space="0" w:color="auto"/>
        <w:bottom w:val="none" w:sz="0" w:space="0" w:color="auto"/>
        <w:right w:val="none" w:sz="0" w:space="0" w:color="auto"/>
      </w:divBdr>
    </w:div>
    <w:div w:id="619840750">
      <w:bodyDiv w:val="1"/>
      <w:marLeft w:val="0"/>
      <w:marRight w:val="0"/>
      <w:marTop w:val="0"/>
      <w:marBottom w:val="0"/>
      <w:divBdr>
        <w:top w:val="none" w:sz="0" w:space="0" w:color="auto"/>
        <w:left w:val="none" w:sz="0" w:space="0" w:color="auto"/>
        <w:bottom w:val="none" w:sz="0" w:space="0" w:color="auto"/>
        <w:right w:val="none" w:sz="0" w:space="0" w:color="auto"/>
      </w:divBdr>
    </w:div>
    <w:div w:id="619993961">
      <w:bodyDiv w:val="1"/>
      <w:marLeft w:val="0"/>
      <w:marRight w:val="0"/>
      <w:marTop w:val="0"/>
      <w:marBottom w:val="0"/>
      <w:divBdr>
        <w:top w:val="none" w:sz="0" w:space="0" w:color="auto"/>
        <w:left w:val="none" w:sz="0" w:space="0" w:color="auto"/>
        <w:bottom w:val="none" w:sz="0" w:space="0" w:color="auto"/>
        <w:right w:val="none" w:sz="0" w:space="0" w:color="auto"/>
      </w:divBdr>
    </w:div>
    <w:div w:id="619994843">
      <w:bodyDiv w:val="1"/>
      <w:marLeft w:val="0"/>
      <w:marRight w:val="0"/>
      <w:marTop w:val="0"/>
      <w:marBottom w:val="0"/>
      <w:divBdr>
        <w:top w:val="none" w:sz="0" w:space="0" w:color="auto"/>
        <w:left w:val="none" w:sz="0" w:space="0" w:color="auto"/>
        <w:bottom w:val="none" w:sz="0" w:space="0" w:color="auto"/>
        <w:right w:val="none" w:sz="0" w:space="0" w:color="auto"/>
      </w:divBdr>
    </w:div>
    <w:div w:id="619996256">
      <w:bodyDiv w:val="1"/>
      <w:marLeft w:val="0"/>
      <w:marRight w:val="0"/>
      <w:marTop w:val="0"/>
      <w:marBottom w:val="0"/>
      <w:divBdr>
        <w:top w:val="none" w:sz="0" w:space="0" w:color="auto"/>
        <w:left w:val="none" w:sz="0" w:space="0" w:color="auto"/>
        <w:bottom w:val="none" w:sz="0" w:space="0" w:color="auto"/>
        <w:right w:val="none" w:sz="0" w:space="0" w:color="auto"/>
      </w:divBdr>
    </w:div>
    <w:div w:id="619996385">
      <w:bodyDiv w:val="1"/>
      <w:marLeft w:val="0"/>
      <w:marRight w:val="0"/>
      <w:marTop w:val="0"/>
      <w:marBottom w:val="0"/>
      <w:divBdr>
        <w:top w:val="none" w:sz="0" w:space="0" w:color="auto"/>
        <w:left w:val="none" w:sz="0" w:space="0" w:color="auto"/>
        <w:bottom w:val="none" w:sz="0" w:space="0" w:color="auto"/>
        <w:right w:val="none" w:sz="0" w:space="0" w:color="auto"/>
      </w:divBdr>
    </w:div>
    <w:div w:id="620036340">
      <w:bodyDiv w:val="1"/>
      <w:marLeft w:val="0"/>
      <w:marRight w:val="0"/>
      <w:marTop w:val="0"/>
      <w:marBottom w:val="0"/>
      <w:divBdr>
        <w:top w:val="none" w:sz="0" w:space="0" w:color="auto"/>
        <w:left w:val="none" w:sz="0" w:space="0" w:color="auto"/>
        <w:bottom w:val="none" w:sz="0" w:space="0" w:color="auto"/>
        <w:right w:val="none" w:sz="0" w:space="0" w:color="auto"/>
      </w:divBdr>
    </w:div>
    <w:div w:id="620067212">
      <w:bodyDiv w:val="1"/>
      <w:marLeft w:val="0"/>
      <w:marRight w:val="0"/>
      <w:marTop w:val="0"/>
      <w:marBottom w:val="0"/>
      <w:divBdr>
        <w:top w:val="none" w:sz="0" w:space="0" w:color="auto"/>
        <w:left w:val="none" w:sz="0" w:space="0" w:color="auto"/>
        <w:bottom w:val="none" w:sz="0" w:space="0" w:color="auto"/>
        <w:right w:val="none" w:sz="0" w:space="0" w:color="auto"/>
      </w:divBdr>
    </w:div>
    <w:div w:id="620113256">
      <w:bodyDiv w:val="1"/>
      <w:marLeft w:val="0"/>
      <w:marRight w:val="0"/>
      <w:marTop w:val="0"/>
      <w:marBottom w:val="0"/>
      <w:divBdr>
        <w:top w:val="none" w:sz="0" w:space="0" w:color="auto"/>
        <w:left w:val="none" w:sz="0" w:space="0" w:color="auto"/>
        <w:bottom w:val="none" w:sz="0" w:space="0" w:color="auto"/>
        <w:right w:val="none" w:sz="0" w:space="0" w:color="auto"/>
      </w:divBdr>
    </w:div>
    <w:div w:id="620189845">
      <w:bodyDiv w:val="1"/>
      <w:marLeft w:val="0"/>
      <w:marRight w:val="0"/>
      <w:marTop w:val="0"/>
      <w:marBottom w:val="0"/>
      <w:divBdr>
        <w:top w:val="none" w:sz="0" w:space="0" w:color="auto"/>
        <w:left w:val="none" w:sz="0" w:space="0" w:color="auto"/>
        <w:bottom w:val="none" w:sz="0" w:space="0" w:color="auto"/>
        <w:right w:val="none" w:sz="0" w:space="0" w:color="auto"/>
      </w:divBdr>
    </w:div>
    <w:div w:id="620301966">
      <w:bodyDiv w:val="1"/>
      <w:marLeft w:val="0"/>
      <w:marRight w:val="0"/>
      <w:marTop w:val="0"/>
      <w:marBottom w:val="0"/>
      <w:divBdr>
        <w:top w:val="none" w:sz="0" w:space="0" w:color="auto"/>
        <w:left w:val="none" w:sz="0" w:space="0" w:color="auto"/>
        <w:bottom w:val="none" w:sz="0" w:space="0" w:color="auto"/>
        <w:right w:val="none" w:sz="0" w:space="0" w:color="auto"/>
      </w:divBdr>
    </w:div>
    <w:div w:id="620309165">
      <w:bodyDiv w:val="1"/>
      <w:marLeft w:val="0"/>
      <w:marRight w:val="0"/>
      <w:marTop w:val="0"/>
      <w:marBottom w:val="0"/>
      <w:divBdr>
        <w:top w:val="none" w:sz="0" w:space="0" w:color="auto"/>
        <w:left w:val="none" w:sz="0" w:space="0" w:color="auto"/>
        <w:bottom w:val="none" w:sz="0" w:space="0" w:color="auto"/>
        <w:right w:val="none" w:sz="0" w:space="0" w:color="auto"/>
      </w:divBdr>
    </w:div>
    <w:div w:id="620376554">
      <w:bodyDiv w:val="1"/>
      <w:marLeft w:val="0"/>
      <w:marRight w:val="0"/>
      <w:marTop w:val="0"/>
      <w:marBottom w:val="0"/>
      <w:divBdr>
        <w:top w:val="none" w:sz="0" w:space="0" w:color="auto"/>
        <w:left w:val="none" w:sz="0" w:space="0" w:color="auto"/>
        <w:bottom w:val="none" w:sz="0" w:space="0" w:color="auto"/>
        <w:right w:val="none" w:sz="0" w:space="0" w:color="auto"/>
      </w:divBdr>
    </w:div>
    <w:div w:id="620451876">
      <w:bodyDiv w:val="1"/>
      <w:marLeft w:val="0"/>
      <w:marRight w:val="0"/>
      <w:marTop w:val="0"/>
      <w:marBottom w:val="0"/>
      <w:divBdr>
        <w:top w:val="none" w:sz="0" w:space="0" w:color="auto"/>
        <w:left w:val="none" w:sz="0" w:space="0" w:color="auto"/>
        <w:bottom w:val="none" w:sz="0" w:space="0" w:color="auto"/>
        <w:right w:val="none" w:sz="0" w:space="0" w:color="auto"/>
      </w:divBdr>
    </w:div>
    <w:div w:id="620569731">
      <w:bodyDiv w:val="1"/>
      <w:marLeft w:val="0"/>
      <w:marRight w:val="0"/>
      <w:marTop w:val="0"/>
      <w:marBottom w:val="0"/>
      <w:divBdr>
        <w:top w:val="none" w:sz="0" w:space="0" w:color="auto"/>
        <w:left w:val="none" w:sz="0" w:space="0" w:color="auto"/>
        <w:bottom w:val="none" w:sz="0" w:space="0" w:color="auto"/>
        <w:right w:val="none" w:sz="0" w:space="0" w:color="auto"/>
      </w:divBdr>
    </w:div>
    <w:div w:id="620574509">
      <w:bodyDiv w:val="1"/>
      <w:marLeft w:val="0"/>
      <w:marRight w:val="0"/>
      <w:marTop w:val="0"/>
      <w:marBottom w:val="0"/>
      <w:divBdr>
        <w:top w:val="none" w:sz="0" w:space="0" w:color="auto"/>
        <w:left w:val="none" w:sz="0" w:space="0" w:color="auto"/>
        <w:bottom w:val="none" w:sz="0" w:space="0" w:color="auto"/>
        <w:right w:val="none" w:sz="0" w:space="0" w:color="auto"/>
      </w:divBdr>
    </w:div>
    <w:div w:id="620650356">
      <w:bodyDiv w:val="1"/>
      <w:marLeft w:val="0"/>
      <w:marRight w:val="0"/>
      <w:marTop w:val="0"/>
      <w:marBottom w:val="0"/>
      <w:divBdr>
        <w:top w:val="none" w:sz="0" w:space="0" w:color="auto"/>
        <w:left w:val="none" w:sz="0" w:space="0" w:color="auto"/>
        <w:bottom w:val="none" w:sz="0" w:space="0" w:color="auto"/>
        <w:right w:val="none" w:sz="0" w:space="0" w:color="auto"/>
      </w:divBdr>
    </w:div>
    <w:div w:id="620650833">
      <w:bodyDiv w:val="1"/>
      <w:marLeft w:val="0"/>
      <w:marRight w:val="0"/>
      <w:marTop w:val="0"/>
      <w:marBottom w:val="0"/>
      <w:divBdr>
        <w:top w:val="none" w:sz="0" w:space="0" w:color="auto"/>
        <w:left w:val="none" w:sz="0" w:space="0" w:color="auto"/>
        <w:bottom w:val="none" w:sz="0" w:space="0" w:color="auto"/>
        <w:right w:val="none" w:sz="0" w:space="0" w:color="auto"/>
      </w:divBdr>
    </w:div>
    <w:div w:id="620651374">
      <w:bodyDiv w:val="1"/>
      <w:marLeft w:val="0"/>
      <w:marRight w:val="0"/>
      <w:marTop w:val="0"/>
      <w:marBottom w:val="0"/>
      <w:divBdr>
        <w:top w:val="none" w:sz="0" w:space="0" w:color="auto"/>
        <w:left w:val="none" w:sz="0" w:space="0" w:color="auto"/>
        <w:bottom w:val="none" w:sz="0" w:space="0" w:color="auto"/>
        <w:right w:val="none" w:sz="0" w:space="0" w:color="auto"/>
      </w:divBdr>
    </w:div>
    <w:div w:id="620654353">
      <w:bodyDiv w:val="1"/>
      <w:marLeft w:val="0"/>
      <w:marRight w:val="0"/>
      <w:marTop w:val="0"/>
      <w:marBottom w:val="0"/>
      <w:divBdr>
        <w:top w:val="none" w:sz="0" w:space="0" w:color="auto"/>
        <w:left w:val="none" w:sz="0" w:space="0" w:color="auto"/>
        <w:bottom w:val="none" w:sz="0" w:space="0" w:color="auto"/>
        <w:right w:val="none" w:sz="0" w:space="0" w:color="auto"/>
      </w:divBdr>
    </w:div>
    <w:div w:id="620913933">
      <w:bodyDiv w:val="1"/>
      <w:marLeft w:val="0"/>
      <w:marRight w:val="0"/>
      <w:marTop w:val="0"/>
      <w:marBottom w:val="0"/>
      <w:divBdr>
        <w:top w:val="none" w:sz="0" w:space="0" w:color="auto"/>
        <w:left w:val="none" w:sz="0" w:space="0" w:color="auto"/>
        <w:bottom w:val="none" w:sz="0" w:space="0" w:color="auto"/>
        <w:right w:val="none" w:sz="0" w:space="0" w:color="auto"/>
      </w:divBdr>
    </w:div>
    <w:div w:id="621109185">
      <w:bodyDiv w:val="1"/>
      <w:marLeft w:val="0"/>
      <w:marRight w:val="0"/>
      <w:marTop w:val="0"/>
      <w:marBottom w:val="0"/>
      <w:divBdr>
        <w:top w:val="none" w:sz="0" w:space="0" w:color="auto"/>
        <w:left w:val="none" w:sz="0" w:space="0" w:color="auto"/>
        <w:bottom w:val="none" w:sz="0" w:space="0" w:color="auto"/>
        <w:right w:val="none" w:sz="0" w:space="0" w:color="auto"/>
      </w:divBdr>
    </w:div>
    <w:div w:id="621116362">
      <w:bodyDiv w:val="1"/>
      <w:marLeft w:val="0"/>
      <w:marRight w:val="0"/>
      <w:marTop w:val="0"/>
      <w:marBottom w:val="0"/>
      <w:divBdr>
        <w:top w:val="none" w:sz="0" w:space="0" w:color="auto"/>
        <w:left w:val="none" w:sz="0" w:space="0" w:color="auto"/>
        <w:bottom w:val="none" w:sz="0" w:space="0" w:color="auto"/>
        <w:right w:val="none" w:sz="0" w:space="0" w:color="auto"/>
      </w:divBdr>
    </w:div>
    <w:div w:id="621158520">
      <w:bodyDiv w:val="1"/>
      <w:marLeft w:val="0"/>
      <w:marRight w:val="0"/>
      <w:marTop w:val="0"/>
      <w:marBottom w:val="0"/>
      <w:divBdr>
        <w:top w:val="none" w:sz="0" w:space="0" w:color="auto"/>
        <w:left w:val="none" w:sz="0" w:space="0" w:color="auto"/>
        <w:bottom w:val="none" w:sz="0" w:space="0" w:color="auto"/>
        <w:right w:val="none" w:sz="0" w:space="0" w:color="auto"/>
      </w:divBdr>
    </w:div>
    <w:div w:id="621302436">
      <w:bodyDiv w:val="1"/>
      <w:marLeft w:val="0"/>
      <w:marRight w:val="0"/>
      <w:marTop w:val="0"/>
      <w:marBottom w:val="0"/>
      <w:divBdr>
        <w:top w:val="none" w:sz="0" w:space="0" w:color="auto"/>
        <w:left w:val="none" w:sz="0" w:space="0" w:color="auto"/>
        <w:bottom w:val="none" w:sz="0" w:space="0" w:color="auto"/>
        <w:right w:val="none" w:sz="0" w:space="0" w:color="auto"/>
      </w:divBdr>
    </w:div>
    <w:div w:id="621303501">
      <w:bodyDiv w:val="1"/>
      <w:marLeft w:val="0"/>
      <w:marRight w:val="0"/>
      <w:marTop w:val="0"/>
      <w:marBottom w:val="0"/>
      <w:divBdr>
        <w:top w:val="none" w:sz="0" w:space="0" w:color="auto"/>
        <w:left w:val="none" w:sz="0" w:space="0" w:color="auto"/>
        <w:bottom w:val="none" w:sz="0" w:space="0" w:color="auto"/>
        <w:right w:val="none" w:sz="0" w:space="0" w:color="auto"/>
      </w:divBdr>
    </w:div>
    <w:div w:id="621308846">
      <w:bodyDiv w:val="1"/>
      <w:marLeft w:val="0"/>
      <w:marRight w:val="0"/>
      <w:marTop w:val="0"/>
      <w:marBottom w:val="0"/>
      <w:divBdr>
        <w:top w:val="none" w:sz="0" w:space="0" w:color="auto"/>
        <w:left w:val="none" w:sz="0" w:space="0" w:color="auto"/>
        <w:bottom w:val="none" w:sz="0" w:space="0" w:color="auto"/>
        <w:right w:val="none" w:sz="0" w:space="0" w:color="auto"/>
      </w:divBdr>
    </w:div>
    <w:div w:id="621348688">
      <w:bodyDiv w:val="1"/>
      <w:marLeft w:val="0"/>
      <w:marRight w:val="0"/>
      <w:marTop w:val="0"/>
      <w:marBottom w:val="0"/>
      <w:divBdr>
        <w:top w:val="none" w:sz="0" w:space="0" w:color="auto"/>
        <w:left w:val="none" w:sz="0" w:space="0" w:color="auto"/>
        <w:bottom w:val="none" w:sz="0" w:space="0" w:color="auto"/>
        <w:right w:val="none" w:sz="0" w:space="0" w:color="auto"/>
      </w:divBdr>
    </w:div>
    <w:div w:id="621497376">
      <w:bodyDiv w:val="1"/>
      <w:marLeft w:val="0"/>
      <w:marRight w:val="0"/>
      <w:marTop w:val="0"/>
      <w:marBottom w:val="0"/>
      <w:divBdr>
        <w:top w:val="none" w:sz="0" w:space="0" w:color="auto"/>
        <w:left w:val="none" w:sz="0" w:space="0" w:color="auto"/>
        <w:bottom w:val="none" w:sz="0" w:space="0" w:color="auto"/>
        <w:right w:val="none" w:sz="0" w:space="0" w:color="auto"/>
      </w:divBdr>
    </w:div>
    <w:div w:id="621544632">
      <w:bodyDiv w:val="1"/>
      <w:marLeft w:val="0"/>
      <w:marRight w:val="0"/>
      <w:marTop w:val="0"/>
      <w:marBottom w:val="0"/>
      <w:divBdr>
        <w:top w:val="none" w:sz="0" w:space="0" w:color="auto"/>
        <w:left w:val="none" w:sz="0" w:space="0" w:color="auto"/>
        <w:bottom w:val="none" w:sz="0" w:space="0" w:color="auto"/>
        <w:right w:val="none" w:sz="0" w:space="0" w:color="auto"/>
      </w:divBdr>
    </w:div>
    <w:div w:id="621617266">
      <w:bodyDiv w:val="1"/>
      <w:marLeft w:val="0"/>
      <w:marRight w:val="0"/>
      <w:marTop w:val="0"/>
      <w:marBottom w:val="0"/>
      <w:divBdr>
        <w:top w:val="none" w:sz="0" w:space="0" w:color="auto"/>
        <w:left w:val="none" w:sz="0" w:space="0" w:color="auto"/>
        <w:bottom w:val="none" w:sz="0" w:space="0" w:color="auto"/>
        <w:right w:val="none" w:sz="0" w:space="0" w:color="auto"/>
      </w:divBdr>
    </w:div>
    <w:div w:id="621771064">
      <w:bodyDiv w:val="1"/>
      <w:marLeft w:val="0"/>
      <w:marRight w:val="0"/>
      <w:marTop w:val="0"/>
      <w:marBottom w:val="0"/>
      <w:divBdr>
        <w:top w:val="none" w:sz="0" w:space="0" w:color="auto"/>
        <w:left w:val="none" w:sz="0" w:space="0" w:color="auto"/>
        <w:bottom w:val="none" w:sz="0" w:space="0" w:color="auto"/>
        <w:right w:val="none" w:sz="0" w:space="0" w:color="auto"/>
      </w:divBdr>
    </w:div>
    <w:div w:id="621807396">
      <w:bodyDiv w:val="1"/>
      <w:marLeft w:val="0"/>
      <w:marRight w:val="0"/>
      <w:marTop w:val="0"/>
      <w:marBottom w:val="0"/>
      <w:divBdr>
        <w:top w:val="none" w:sz="0" w:space="0" w:color="auto"/>
        <w:left w:val="none" w:sz="0" w:space="0" w:color="auto"/>
        <w:bottom w:val="none" w:sz="0" w:space="0" w:color="auto"/>
        <w:right w:val="none" w:sz="0" w:space="0" w:color="auto"/>
      </w:divBdr>
    </w:div>
    <w:div w:id="621881883">
      <w:bodyDiv w:val="1"/>
      <w:marLeft w:val="0"/>
      <w:marRight w:val="0"/>
      <w:marTop w:val="0"/>
      <w:marBottom w:val="0"/>
      <w:divBdr>
        <w:top w:val="none" w:sz="0" w:space="0" w:color="auto"/>
        <w:left w:val="none" w:sz="0" w:space="0" w:color="auto"/>
        <w:bottom w:val="none" w:sz="0" w:space="0" w:color="auto"/>
        <w:right w:val="none" w:sz="0" w:space="0" w:color="auto"/>
      </w:divBdr>
    </w:div>
    <w:div w:id="621883373">
      <w:bodyDiv w:val="1"/>
      <w:marLeft w:val="0"/>
      <w:marRight w:val="0"/>
      <w:marTop w:val="0"/>
      <w:marBottom w:val="0"/>
      <w:divBdr>
        <w:top w:val="none" w:sz="0" w:space="0" w:color="auto"/>
        <w:left w:val="none" w:sz="0" w:space="0" w:color="auto"/>
        <w:bottom w:val="none" w:sz="0" w:space="0" w:color="auto"/>
        <w:right w:val="none" w:sz="0" w:space="0" w:color="auto"/>
      </w:divBdr>
    </w:div>
    <w:div w:id="621883900">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2075588">
      <w:bodyDiv w:val="1"/>
      <w:marLeft w:val="0"/>
      <w:marRight w:val="0"/>
      <w:marTop w:val="0"/>
      <w:marBottom w:val="0"/>
      <w:divBdr>
        <w:top w:val="none" w:sz="0" w:space="0" w:color="auto"/>
        <w:left w:val="none" w:sz="0" w:space="0" w:color="auto"/>
        <w:bottom w:val="none" w:sz="0" w:space="0" w:color="auto"/>
        <w:right w:val="none" w:sz="0" w:space="0" w:color="auto"/>
      </w:divBdr>
    </w:div>
    <w:div w:id="622199361">
      <w:bodyDiv w:val="1"/>
      <w:marLeft w:val="0"/>
      <w:marRight w:val="0"/>
      <w:marTop w:val="0"/>
      <w:marBottom w:val="0"/>
      <w:divBdr>
        <w:top w:val="none" w:sz="0" w:space="0" w:color="auto"/>
        <w:left w:val="none" w:sz="0" w:space="0" w:color="auto"/>
        <w:bottom w:val="none" w:sz="0" w:space="0" w:color="auto"/>
        <w:right w:val="none" w:sz="0" w:space="0" w:color="auto"/>
      </w:divBdr>
    </w:div>
    <w:div w:id="622199682">
      <w:bodyDiv w:val="1"/>
      <w:marLeft w:val="0"/>
      <w:marRight w:val="0"/>
      <w:marTop w:val="0"/>
      <w:marBottom w:val="0"/>
      <w:divBdr>
        <w:top w:val="none" w:sz="0" w:space="0" w:color="auto"/>
        <w:left w:val="none" w:sz="0" w:space="0" w:color="auto"/>
        <w:bottom w:val="none" w:sz="0" w:space="0" w:color="auto"/>
        <w:right w:val="none" w:sz="0" w:space="0" w:color="auto"/>
      </w:divBdr>
    </w:div>
    <w:div w:id="622686849">
      <w:bodyDiv w:val="1"/>
      <w:marLeft w:val="0"/>
      <w:marRight w:val="0"/>
      <w:marTop w:val="0"/>
      <w:marBottom w:val="0"/>
      <w:divBdr>
        <w:top w:val="none" w:sz="0" w:space="0" w:color="auto"/>
        <w:left w:val="none" w:sz="0" w:space="0" w:color="auto"/>
        <w:bottom w:val="none" w:sz="0" w:space="0" w:color="auto"/>
        <w:right w:val="none" w:sz="0" w:space="0" w:color="auto"/>
      </w:divBdr>
    </w:div>
    <w:div w:id="622736708">
      <w:bodyDiv w:val="1"/>
      <w:marLeft w:val="0"/>
      <w:marRight w:val="0"/>
      <w:marTop w:val="0"/>
      <w:marBottom w:val="0"/>
      <w:divBdr>
        <w:top w:val="none" w:sz="0" w:space="0" w:color="auto"/>
        <w:left w:val="none" w:sz="0" w:space="0" w:color="auto"/>
        <w:bottom w:val="none" w:sz="0" w:space="0" w:color="auto"/>
        <w:right w:val="none" w:sz="0" w:space="0" w:color="auto"/>
      </w:divBdr>
    </w:div>
    <w:div w:id="622809778">
      <w:bodyDiv w:val="1"/>
      <w:marLeft w:val="0"/>
      <w:marRight w:val="0"/>
      <w:marTop w:val="0"/>
      <w:marBottom w:val="0"/>
      <w:divBdr>
        <w:top w:val="none" w:sz="0" w:space="0" w:color="auto"/>
        <w:left w:val="none" w:sz="0" w:space="0" w:color="auto"/>
        <w:bottom w:val="none" w:sz="0" w:space="0" w:color="auto"/>
        <w:right w:val="none" w:sz="0" w:space="0" w:color="auto"/>
      </w:divBdr>
    </w:div>
    <w:div w:id="622882246">
      <w:bodyDiv w:val="1"/>
      <w:marLeft w:val="0"/>
      <w:marRight w:val="0"/>
      <w:marTop w:val="0"/>
      <w:marBottom w:val="0"/>
      <w:divBdr>
        <w:top w:val="none" w:sz="0" w:space="0" w:color="auto"/>
        <w:left w:val="none" w:sz="0" w:space="0" w:color="auto"/>
        <w:bottom w:val="none" w:sz="0" w:space="0" w:color="auto"/>
        <w:right w:val="none" w:sz="0" w:space="0" w:color="auto"/>
      </w:divBdr>
    </w:div>
    <w:div w:id="622929137">
      <w:bodyDiv w:val="1"/>
      <w:marLeft w:val="0"/>
      <w:marRight w:val="0"/>
      <w:marTop w:val="0"/>
      <w:marBottom w:val="0"/>
      <w:divBdr>
        <w:top w:val="none" w:sz="0" w:space="0" w:color="auto"/>
        <w:left w:val="none" w:sz="0" w:space="0" w:color="auto"/>
        <w:bottom w:val="none" w:sz="0" w:space="0" w:color="auto"/>
        <w:right w:val="none" w:sz="0" w:space="0" w:color="auto"/>
      </w:divBdr>
    </w:div>
    <w:div w:id="623081526">
      <w:bodyDiv w:val="1"/>
      <w:marLeft w:val="0"/>
      <w:marRight w:val="0"/>
      <w:marTop w:val="0"/>
      <w:marBottom w:val="0"/>
      <w:divBdr>
        <w:top w:val="none" w:sz="0" w:space="0" w:color="auto"/>
        <w:left w:val="none" w:sz="0" w:space="0" w:color="auto"/>
        <w:bottom w:val="none" w:sz="0" w:space="0" w:color="auto"/>
        <w:right w:val="none" w:sz="0" w:space="0" w:color="auto"/>
      </w:divBdr>
    </w:div>
    <w:div w:id="623199050">
      <w:bodyDiv w:val="1"/>
      <w:marLeft w:val="0"/>
      <w:marRight w:val="0"/>
      <w:marTop w:val="0"/>
      <w:marBottom w:val="0"/>
      <w:divBdr>
        <w:top w:val="none" w:sz="0" w:space="0" w:color="auto"/>
        <w:left w:val="none" w:sz="0" w:space="0" w:color="auto"/>
        <w:bottom w:val="none" w:sz="0" w:space="0" w:color="auto"/>
        <w:right w:val="none" w:sz="0" w:space="0" w:color="auto"/>
      </w:divBdr>
    </w:div>
    <w:div w:id="623270256">
      <w:bodyDiv w:val="1"/>
      <w:marLeft w:val="0"/>
      <w:marRight w:val="0"/>
      <w:marTop w:val="0"/>
      <w:marBottom w:val="0"/>
      <w:divBdr>
        <w:top w:val="none" w:sz="0" w:space="0" w:color="auto"/>
        <w:left w:val="none" w:sz="0" w:space="0" w:color="auto"/>
        <w:bottom w:val="none" w:sz="0" w:space="0" w:color="auto"/>
        <w:right w:val="none" w:sz="0" w:space="0" w:color="auto"/>
      </w:divBdr>
    </w:div>
    <w:div w:id="623314741">
      <w:bodyDiv w:val="1"/>
      <w:marLeft w:val="0"/>
      <w:marRight w:val="0"/>
      <w:marTop w:val="0"/>
      <w:marBottom w:val="0"/>
      <w:divBdr>
        <w:top w:val="none" w:sz="0" w:space="0" w:color="auto"/>
        <w:left w:val="none" w:sz="0" w:space="0" w:color="auto"/>
        <w:bottom w:val="none" w:sz="0" w:space="0" w:color="auto"/>
        <w:right w:val="none" w:sz="0" w:space="0" w:color="auto"/>
      </w:divBdr>
    </w:div>
    <w:div w:id="623316166">
      <w:bodyDiv w:val="1"/>
      <w:marLeft w:val="0"/>
      <w:marRight w:val="0"/>
      <w:marTop w:val="0"/>
      <w:marBottom w:val="0"/>
      <w:divBdr>
        <w:top w:val="none" w:sz="0" w:space="0" w:color="auto"/>
        <w:left w:val="none" w:sz="0" w:space="0" w:color="auto"/>
        <w:bottom w:val="none" w:sz="0" w:space="0" w:color="auto"/>
        <w:right w:val="none" w:sz="0" w:space="0" w:color="auto"/>
      </w:divBdr>
    </w:div>
    <w:div w:id="623341549">
      <w:bodyDiv w:val="1"/>
      <w:marLeft w:val="0"/>
      <w:marRight w:val="0"/>
      <w:marTop w:val="0"/>
      <w:marBottom w:val="0"/>
      <w:divBdr>
        <w:top w:val="none" w:sz="0" w:space="0" w:color="auto"/>
        <w:left w:val="none" w:sz="0" w:space="0" w:color="auto"/>
        <w:bottom w:val="none" w:sz="0" w:space="0" w:color="auto"/>
        <w:right w:val="none" w:sz="0" w:space="0" w:color="auto"/>
      </w:divBdr>
    </w:div>
    <w:div w:id="623385985">
      <w:bodyDiv w:val="1"/>
      <w:marLeft w:val="0"/>
      <w:marRight w:val="0"/>
      <w:marTop w:val="0"/>
      <w:marBottom w:val="0"/>
      <w:divBdr>
        <w:top w:val="none" w:sz="0" w:space="0" w:color="auto"/>
        <w:left w:val="none" w:sz="0" w:space="0" w:color="auto"/>
        <w:bottom w:val="none" w:sz="0" w:space="0" w:color="auto"/>
        <w:right w:val="none" w:sz="0" w:space="0" w:color="auto"/>
      </w:divBdr>
    </w:div>
    <w:div w:id="623386601">
      <w:bodyDiv w:val="1"/>
      <w:marLeft w:val="0"/>
      <w:marRight w:val="0"/>
      <w:marTop w:val="0"/>
      <w:marBottom w:val="0"/>
      <w:divBdr>
        <w:top w:val="none" w:sz="0" w:space="0" w:color="auto"/>
        <w:left w:val="none" w:sz="0" w:space="0" w:color="auto"/>
        <w:bottom w:val="none" w:sz="0" w:space="0" w:color="auto"/>
        <w:right w:val="none" w:sz="0" w:space="0" w:color="auto"/>
      </w:divBdr>
    </w:div>
    <w:div w:id="623387497">
      <w:bodyDiv w:val="1"/>
      <w:marLeft w:val="0"/>
      <w:marRight w:val="0"/>
      <w:marTop w:val="0"/>
      <w:marBottom w:val="0"/>
      <w:divBdr>
        <w:top w:val="none" w:sz="0" w:space="0" w:color="auto"/>
        <w:left w:val="none" w:sz="0" w:space="0" w:color="auto"/>
        <w:bottom w:val="none" w:sz="0" w:space="0" w:color="auto"/>
        <w:right w:val="none" w:sz="0" w:space="0" w:color="auto"/>
      </w:divBdr>
    </w:div>
    <w:div w:id="623393720">
      <w:bodyDiv w:val="1"/>
      <w:marLeft w:val="0"/>
      <w:marRight w:val="0"/>
      <w:marTop w:val="0"/>
      <w:marBottom w:val="0"/>
      <w:divBdr>
        <w:top w:val="none" w:sz="0" w:space="0" w:color="auto"/>
        <w:left w:val="none" w:sz="0" w:space="0" w:color="auto"/>
        <w:bottom w:val="none" w:sz="0" w:space="0" w:color="auto"/>
        <w:right w:val="none" w:sz="0" w:space="0" w:color="auto"/>
      </w:divBdr>
    </w:div>
    <w:div w:id="623459641">
      <w:bodyDiv w:val="1"/>
      <w:marLeft w:val="0"/>
      <w:marRight w:val="0"/>
      <w:marTop w:val="0"/>
      <w:marBottom w:val="0"/>
      <w:divBdr>
        <w:top w:val="none" w:sz="0" w:space="0" w:color="auto"/>
        <w:left w:val="none" w:sz="0" w:space="0" w:color="auto"/>
        <w:bottom w:val="none" w:sz="0" w:space="0" w:color="auto"/>
        <w:right w:val="none" w:sz="0" w:space="0" w:color="auto"/>
      </w:divBdr>
    </w:div>
    <w:div w:id="623463890">
      <w:bodyDiv w:val="1"/>
      <w:marLeft w:val="0"/>
      <w:marRight w:val="0"/>
      <w:marTop w:val="0"/>
      <w:marBottom w:val="0"/>
      <w:divBdr>
        <w:top w:val="none" w:sz="0" w:space="0" w:color="auto"/>
        <w:left w:val="none" w:sz="0" w:space="0" w:color="auto"/>
        <w:bottom w:val="none" w:sz="0" w:space="0" w:color="auto"/>
        <w:right w:val="none" w:sz="0" w:space="0" w:color="auto"/>
      </w:divBdr>
    </w:div>
    <w:div w:id="623467422">
      <w:bodyDiv w:val="1"/>
      <w:marLeft w:val="0"/>
      <w:marRight w:val="0"/>
      <w:marTop w:val="0"/>
      <w:marBottom w:val="0"/>
      <w:divBdr>
        <w:top w:val="none" w:sz="0" w:space="0" w:color="auto"/>
        <w:left w:val="none" w:sz="0" w:space="0" w:color="auto"/>
        <w:bottom w:val="none" w:sz="0" w:space="0" w:color="auto"/>
        <w:right w:val="none" w:sz="0" w:space="0" w:color="auto"/>
      </w:divBdr>
    </w:div>
    <w:div w:id="623537713">
      <w:bodyDiv w:val="1"/>
      <w:marLeft w:val="0"/>
      <w:marRight w:val="0"/>
      <w:marTop w:val="0"/>
      <w:marBottom w:val="0"/>
      <w:divBdr>
        <w:top w:val="none" w:sz="0" w:space="0" w:color="auto"/>
        <w:left w:val="none" w:sz="0" w:space="0" w:color="auto"/>
        <w:bottom w:val="none" w:sz="0" w:space="0" w:color="auto"/>
        <w:right w:val="none" w:sz="0" w:space="0" w:color="auto"/>
      </w:divBdr>
    </w:div>
    <w:div w:id="623541414">
      <w:bodyDiv w:val="1"/>
      <w:marLeft w:val="0"/>
      <w:marRight w:val="0"/>
      <w:marTop w:val="0"/>
      <w:marBottom w:val="0"/>
      <w:divBdr>
        <w:top w:val="none" w:sz="0" w:space="0" w:color="auto"/>
        <w:left w:val="none" w:sz="0" w:space="0" w:color="auto"/>
        <w:bottom w:val="none" w:sz="0" w:space="0" w:color="auto"/>
        <w:right w:val="none" w:sz="0" w:space="0" w:color="auto"/>
      </w:divBdr>
    </w:div>
    <w:div w:id="623655613">
      <w:bodyDiv w:val="1"/>
      <w:marLeft w:val="0"/>
      <w:marRight w:val="0"/>
      <w:marTop w:val="0"/>
      <w:marBottom w:val="0"/>
      <w:divBdr>
        <w:top w:val="none" w:sz="0" w:space="0" w:color="auto"/>
        <w:left w:val="none" w:sz="0" w:space="0" w:color="auto"/>
        <w:bottom w:val="none" w:sz="0" w:space="0" w:color="auto"/>
        <w:right w:val="none" w:sz="0" w:space="0" w:color="auto"/>
      </w:divBdr>
    </w:div>
    <w:div w:id="623732847">
      <w:bodyDiv w:val="1"/>
      <w:marLeft w:val="0"/>
      <w:marRight w:val="0"/>
      <w:marTop w:val="0"/>
      <w:marBottom w:val="0"/>
      <w:divBdr>
        <w:top w:val="none" w:sz="0" w:space="0" w:color="auto"/>
        <w:left w:val="none" w:sz="0" w:space="0" w:color="auto"/>
        <w:bottom w:val="none" w:sz="0" w:space="0" w:color="auto"/>
        <w:right w:val="none" w:sz="0" w:space="0" w:color="auto"/>
      </w:divBdr>
    </w:div>
    <w:div w:id="623735671">
      <w:bodyDiv w:val="1"/>
      <w:marLeft w:val="0"/>
      <w:marRight w:val="0"/>
      <w:marTop w:val="0"/>
      <w:marBottom w:val="0"/>
      <w:divBdr>
        <w:top w:val="none" w:sz="0" w:space="0" w:color="auto"/>
        <w:left w:val="none" w:sz="0" w:space="0" w:color="auto"/>
        <w:bottom w:val="none" w:sz="0" w:space="0" w:color="auto"/>
        <w:right w:val="none" w:sz="0" w:space="0" w:color="auto"/>
      </w:divBdr>
    </w:div>
    <w:div w:id="623736341">
      <w:bodyDiv w:val="1"/>
      <w:marLeft w:val="0"/>
      <w:marRight w:val="0"/>
      <w:marTop w:val="0"/>
      <w:marBottom w:val="0"/>
      <w:divBdr>
        <w:top w:val="none" w:sz="0" w:space="0" w:color="auto"/>
        <w:left w:val="none" w:sz="0" w:space="0" w:color="auto"/>
        <w:bottom w:val="none" w:sz="0" w:space="0" w:color="auto"/>
        <w:right w:val="none" w:sz="0" w:space="0" w:color="auto"/>
      </w:divBdr>
    </w:div>
    <w:div w:id="623772573">
      <w:bodyDiv w:val="1"/>
      <w:marLeft w:val="0"/>
      <w:marRight w:val="0"/>
      <w:marTop w:val="0"/>
      <w:marBottom w:val="0"/>
      <w:divBdr>
        <w:top w:val="none" w:sz="0" w:space="0" w:color="auto"/>
        <w:left w:val="none" w:sz="0" w:space="0" w:color="auto"/>
        <w:bottom w:val="none" w:sz="0" w:space="0" w:color="auto"/>
        <w:right w:val="none" w:sz="0" w:space="0" w:color="auto"/>
      </w:divBdr>
    </w:div>
    <w:div w:id="623846824">
      <w:bodyDiv w:val="1"/>
      <w:marLeft w:val="0"/>
      <w:marRight w:val="0"/>
      <w:marTop w:val="0"/>
      <w:marBottom w:val="0"/>
      <w:divBdr>
        <w:top w:val="none" w:sz="0" w:space="0" w:color="auto"/>
        <w:left w:val="none" w:sz="0" w:space="0" w:color="auto"/>
        <w:bottom w:val="none" w:sz="0" w:space="0" w:color="auto"/>
        <w:right w:val="none" w:sz="0" w:space="0" w:color="auto"/>
      </w:divBdr>
    </w:div>
    <w:div w:id="623921353">
      <w:bodyDiv w:val="1"/>
      <w:marLeft w:val="0"/>
      <w:marRight w:val="0"/>
      <w:marTop w:val="0"/>
      <w:marBottom w:val="0"/>
      <w:divBdr>
        <w:top w:val="none" w:sz="0" w:space="0" w:color="auto"/>
        <w:left w:val="none" w:sz="0" w:space="0" w:color="auto"/>
        <w:bottom w:val="none" w:sz="0" w:space="0" w:color="auto"/>
        <w:right w:val="none" w:sz="0" w:space="0" w:color="auto"/>
      </w:divBdr>
    </w:div>
    <w:div w:id="623925544">
      <w:bodyDiv w:val="1"/>
      <w:marLeft w:val="0"/>
      <w:marRight w:val="0"/>
      <w:marTop w:val="0"/>
      <w:marBottom w:val="0"/>
      <w:divBdr>
        <w:top w:val="none" w:sz="0" w:space="0" w:color="auto"/>
        <w:left w:val="none" w:sz="0" w:space="0" w:color="auto"/>
        <w:bottom w:val="none" w:sz="0" w:space="0" w:color="auto"/>
        <w:right w:val="none" w:sz="0" w:space="0" w:color="auto"/>
      </w:divBdr>
    </w:div>
    <w:div w:id="624114671">
      <w:bodyDiv w:val="1"/>
      <w:marLeft w:val="0"/>
      <w:marRight w:val="0"/>
      <w:marTop w:val="0"/>
      <w:marBottom w:val="0"/>
      <w:divBdr>
        <w:top w:val="none" w:sz="0" w:space="0" w:color="auto"/>
        <w:left w:val="none" w:sz="0" w:space="0" w:color="auto"/>
        <w:bottom w:val="none" w:sz="0" w:space="0" w:color="auto"/>
        <w:right w:val="none" w:sz="0" w:space="0" w:color="auto"/>
      </w:divBdr>
    </w:div>
    <w:div w:id="624117298">
      <w:bodyDiv w:val="1"/>
      <w:marLeft w:val="0"/>
      <w:marRight w:val="0"/>
      <w:marTop w:val="0"/>
      <w:marBottom w:val="0"/>
      <w:divBdr>
        <w:top w:val="none" w:sz="0" w:space="0" w:color="auto"/>
        <w:left w:val="none" w:sz="0" w:space="0" w:color="auto"/>
        <w:bottom w:val="none" w:sz="0" w:space="0" w:color="auto"/>
        <w:right w:val="none" w:sz="0" w:space="0" w:color="auto"/>
      </w:divBdr>
    </w:div>
    <w:div w:id="624119099">
      <w:bodyDiv w:val="1"/>
      <w:marLeft w:val="0"/>
      <w:marRight w:val="0"/>
      <w:marTop w:val="0"/>
      <w:marBottom w:val="0"/>
      <w:divBdr>
        <w:top w:val="none" w:sz="0" w:space="0" w:color="auto"/>
        <w:left w:val="none" w:sz="0" w:space="0" w:color="auto"/>
        <w:bottom w:val="none" w:sz="0" w:space="0" w:color="auto"/>
        <w:right w:val="none" w:sz="0" w:space="0" w:color="auto"/>
      </w:divBdr>
    </w:div>
    <w:div w:id="624165848">
      <w:bodyDiv w:val="1"/>
      <w:marLeft w:val="0"/>
      <w:marRight w:val="0"/>
      <w:marTop w:val="0"/>
      <w:marBottom w:val="0"/>
      <w:divBdr>
        <w:top w:val="none" w:sz="0" w:space="0" w:color="auto"/>
        <w:left w:val="none" w:sz="0" w:space="0" w:color="auto"/>
        <w:bottom w:val="none" w:sz="0" w:space="0" w:color="auto"/>
        <w:right w:val="none" w:sz="0" w:space="0" w:color="auto"/>
      </w:divBdr>
    </w:div>
    <w:div w:id="624308058">
      <w:bodyDiv w:val="1"/>
      <w:marLeft w:val="0"/>
      <w:marRight w:val="0"/>
      <w:marTop w:val="0"/>
      <w:marBottom w:val="0"/>
      <w:divBdr>
        <w:top w:val="none" w:sz="0" w:space="0" w:color="auto"/>
        <w:left w:val="none" w:sz="0" w:space="0" w:color="auto"/>
        <w:bottom w:val="none" w:sz="0" w:space="0" w:color="auto"/>
        <w:right w:val="none" w:sz="0" w:space="0" w:color="auto"/>
      </w:divBdr>
    </w:div>
    <w:div w:id="624385827">
      <w:bodyDiv w:val="1"/>
      <w:marLeft w:val="0"/>
      <w:marRight w:val="0"/>
      <w:marTop w:val="0"/>
      <w:marBottom w:val="0"/>
      <w:divBdr>
        <w:top w:val="none" w:sz="0" w:space="0" w:color="auto"/>
        <w:left w:val="none" w:sz="0" w:space="0" w:color="auto"/>
        <w:bottom w:val="none" w:sz="0" w:space="0" w:color="auto"/>
        <w:right w:val="none" w:sz="0" w:space="0" w:color="auto"/>
      </w:divBdr>
    </w:div>
    <w:div w:id="624389145">
      <w:bodyDiv w:val="1"/>
      <w:marLeft w:val="0"/>
      <w:marRight w:val="0"/>
      <w:marTop w:val="0"/>
      <w:marBottom w:val="0"/>
      <w:divBdr>
        <w:top w:val="none" w:sz="0" w:space="0" w:color="auto"/>
        <w:left w:val="none" w:sz="0" w:space="0" w:color="auto"/>
        <w:bottom w:val="none" w:sz="0" w:space="0" w:color="auto"/>
        <w:right w:val="none" w:sz="0" w:space="0" w:color="auto"/>
      </w:divBdr>
    </w:div>
    <w:div w:id="624390673">
      <w:bodyDiv w:val="1"/>
      <w:marLeft w:val="0"/>
      <w:marRight w:val="0"/>
      <w:marTop w:val="0"/>
      <w:marBottom w:val="0"/>
      <w:divBdr>
        <w:top w:val="none" w:sz="0" w:space="0" w:color="auto"/>
        <w:left w:val="none" w:sz="0" w:space="0" w:color="auto"/>
        <w:bottom w:val="none" w:sz="0" w:space="0" w:color="auto"/>
        <w:right w:val="none" w:sz="0" w:space="0" w:color="auto"/>
      </w:divBdr>
    </w:div>
    <w:div w:id="624392027">
      <w:bodyDiv w:val="1"/>
      <w:marLeft w:val="0"/>
      <w:marRight w:val="0"/>
      <w:marTop w:val="0"/>
      <w:marBottom w:val="0"/>
      <w:divBdr>
        <w:top w:val="none" w:sz="0" w:space="0" w:color="auto"/>
        <w:left w:val="none" w:sz="0" w:space="0" w:color="auto"/>
        <w:bottom w:val="none" w:sz="0" w:space="0" w:color="auto"/>
        <w:right w:val="none" w:sz="0" w:space="0" w:color="auto"/>
      </w:divBdr>
    </w:div>
    <w:div w:id="624427618">
      <w:bodyDiv w:val="1"/>
      <w:marLeft w:val="0"/>
      <w:marRight w:val="0"/>
      <w:marTop w:val="0"/>
      <w:marBottom w:val="0"/>
      <w:divBdr>
        <w:top w:val="none" w:sz="0" w:space="0" w:color="auto"/>
        <w:left w:val="none" w:sz="0" w:space="0" w:color="auto"/>
        <w:bottom w:val="none" w:sz="0" w:space="0" w:color="auto"/>
        <w:right w:val="none" w:sz="0" w:space="0" w:color="auto"/>
      </w:divBdr>
    </w:div>
    <w:div w:id="624433748">
      <w:bodyDiv w:val="1"/>
      <w:marLeft w:val="0"/>
      <w:marRight w:val="0"/>
      <w:marTop w:val="0"/>
      <w:marBottom w:val="0"/>
      <w:divBdr>
        <w:top w:val="none" w:sz="0" w:space="0" w:color="auto"/>
        <w:left w:val="none" w:sz="0" w:space="0" w:color="auto"/>
        <w:bottom w:val="none" w:sz="0" w:space="0" w:color="auto"/>
        <w:right w:val="none" w:sz="0" w:space="0" w:color="auto"/>
      </w:divBdr>
    </w:div>
    <w:div w:id="624435583">
      <w:bodyDiv w:val="1"/>
      <w:marLeft w:val="0"/>
      <w:marRight w:val="0"/>
      <w:marTop w:val="0"/>
      <w:marBottom w:val="0"/>
      <w:divBdr>
        <w:top w:val="none" w:sz="0" w:space="0" w:color="auto"/>
        <w:left w:val="none" w:sz="0" w:space="0" w:color="auto"/>
        <w:bottom w:val="none" w:sz="0" w:space="0" w:color="auto"/>
        <w:right w:val="none" w:sz="0" w:space="0" w:color="auto"/>
      </w:divBdr>
    </w:div>
    <w:div w:id="624508319">
      <w:bodyDiv w:val="1"/>
      <w:marLeft w:val="0"/>
      <w:marRight w:val="0"/>
      <w:marTop w:val="0"/>
      <w:marBottom w:val="0"/>
      <w:divBdr>
        <w:top w:val="none" w:sz="0" w:space="0" w:color="auto"/>
        <w:left w:val="none" w:sz="0" w:space="0" w:color="auto"/>
        <w:bottom w:val="none" w:sz="0" w:space="0" w:color="auto"/>
        <w:right w:val="none" w:sz="0" w:space="0" w:color="auto"/>
      </w:divBdr>
    </w:div>
    <w:div w:id="624508754">
      <w:bodyDiv w:val="1"/>
      <w:marLeft w:val="0"/>
      <w:marRight w:val="0"/>
      <w:marTop w:val="0"/>
      <w:marBottom w:val="0"/>
      <w:divBdr>
        <w:top w:val="none" w:sz="0" w:space="0" w:color="auto"/>
        <w:left w:val="none" w:sz="0" w:space="0" w:color="auto"/>
        <w:bottom w:val="none" w:sz="0" w:space="0" w:color="auto"/>
        <w:right w:val="none" w:sz="0" w:space="0" w:color="auto"/>
      </w:divBdr>
    </w:div>
    <w:div w:id="624586084">
      <w:bodyDiv w:val="1"/>
      <w:marLeft w:val="0"/>
      <w:marRight w:val="0"/>
      <w:marTop w:val="0"/>
      <w:marBottom w:val="0"/>
      <w:divBdr>
        <w:top w:val="none" w:sz="0" w:space="0" w:color="auto"/>
        <w:left w:val="none" w:sz="0" w:space="0" w:color="auto"/>
        <w:bottom w:val="none" w:sz="0" w:space="0" w:color="auto"/>
        <w:right w:val="none" w:sz="0" w:space="0" w:color="auto"/>
      </w:divBdr>
    </w:div>
    <w:div w:id="624586236">
      <w:bodyDiv w:val="1"/>
      <w:marLeft w:val="0"/>
      <w:marRight w:val="0"/>
      <w:marTop w:val="0"/>
      <w:marBottom w:val="0"/>
      <w:divBdr>
        <w:top w:val="none" w:sz="0" w:space="0" w:color="auto"/>
        <w:left w:val="none" w:sz="0" w:space="0" w:color="auto"/>
        <w:bottom w:val="none" w:sz="0" w:space="0" w:color="auto"/>
        <w:right w:val="none" w:sz="0" w:space="0" w:color="auto"/>
      </w:divBdr>
    </w:div>
    <w:div w:id="624624377">
      <w:bodyDiv w:val="1"/>
      <w:marLeft w:val="0"/>
      <w:marRight w:val="0"/>
      <w:marTop w:val="0"/>
      <w:marBottom w:val="0"/>
      <w:divBdr>
        <w:top w:val="none" w:sz="0" w:space="0" w:color="auto"/>
        <w:left w:val="none" w:sz="0" w:space="0" w:color="auto"/>
        <w:bottom w:val="none" w:sz="0" w:space="0" w:color="auto"/>
        <w:right w:val="none" w:sz="0" w:space="0" w:color="auto"/>
      </w:divBdr>
    </w:div>
    <w:div w:id="624626910">
      <w:bodyDiv w:val="1"/>
      <w:marLeft w:val="0"/>
      <w:marRight w:val="0"/>
      <w:marTop w:val="0"/>
      <w:marBottom w:val="0"/>
      <w:divBdr>
        <w:top w:val="none" w:sz="0" w:space="0" w:color="auto"/>
        <w:left w:val="none" w:sz="0" w:space="0" w:color="auto"/>
        <w:bottom w:val="none" w:sz="0" w:space="0" w:color="auto"/>
        <w:right w:val="none" w:sz="0" w:space="0" w:color="auto"/>
      </w:divBdr>
    </w:div>
    <w:div w:id="624779018">
      <w:bodyDiv w:val="1"/>
      <w:marLeft w:val="0"/>
      <w:marRight w:val="0"/>
      <w:marTop w:val="0"/>
      <w:marBottom w:val="0"/>
      <w:divBdr>
        <w:top w:val="none" w:sz="0" w:space="0" w:color="auto"/>
        <w:left w:val="none" w:sz="0" w:space="0" w:color="auto"/>
        <w:bottom w:val="none" w:sz="0" w:space="0" w:color="auto"/>
        <w:right w:val="none" w:sz="0" w:space="0" w:color="auto"/>
      </w:divBdr>
    </w:div>
    <w:div w:id="624848109">
      <w:bodyDiv w:val="1"/>
      <w:marLeft w:val="0"/>
      <w:marRight w:val="0"/>
      <w:marTop w:val="0"/>
      <w:marBottom w:val="0"/>
      <w:divBdr>
        <w:top w:val="none" w:sz="0" w:space="0" w:color="auto"/>
        <w:left w:val="none" w:sz="0" w:space="0" w:color="auto"/>
        <w:bottom w:val="none" w:sz="0" w:space="0" w:color="auto"/>
        <w:right w:val="none" w:sz="0" w:space="0" w:color="auto"/>
      </w:divBdr>
    </w:div>
    <w:div w:id="624849452">
      <w:bodyDiv w:val="1"/>
      <w:marLeft w:val="0"/>
      <w:marRight w:val="0"/>
      <w:marTop w:val="0"/>
      <w:marBottom w:val="0"/>
      <w:divBdr>
        <w:top w:val="none" w:sz="0" w:space="0" w:color="auto"/>
        <w:left w:val="none" w:sz="0" w:space="0" w:color="auto"/>
        <w:bottom w:val="none" w:sz="0" w:space="0" w:color="auto"/>
        <w:right w:val="none" w:sz="0" w:space="0" w:color="auto"/>
      </w:divBdr>
    </w:div>
    <w:div w:id="624891529">
      <w:bodyDiv w:val="1"/>
      <w:marLeft w:val="0"/>
      <w:marRight w:val="0"/>
      <w:marTop w:val="0"/>
      <w:marBottom w:val="0"/>
      <w:divBdr>
        <w:top w:val="none" w:sz="0" w:space="0" w:color="auto"/>
        <w:left w:val="none" w:sz="0" w:space="0" w:color="auto"/>
        <w:bottom w:val="none" w:sz="0" w:space="0" w:color="auto"/>
        <w:right w:val="none" w:sz="0" w:space="0" w:color="auto"/>
      </w:divBdr>
    </w:div>
    <w:div w:id="624894385">
      <w:bodyDiv w:val="1"/>
      <w:marLeft w:val="0"/>
      <w:marRight w:val="0"/>
      <w:marTop w:val="0"/>
      <w:marBottom w:val="0"/>
      <w:divBdr>
        <w:top w:val="none" w:sz="0" w:space="0" w:color="auto"/>
        <w:left w:val="none" w:sz="0" w:space="0" w:color="auto"/>
        <w:bottom w:val="none" w:sz="0" w:space="0" w:color="auto"/>
        <w:right w:val="none" w:sz="0" w:space="0" w:color="auto"/>
      </w:divBdr>
    </w:div>
    <w:div w:id="625039136">
      <w:bodyDiv w:val="1"/>
      <w:marLeft w:val="0"/>
      <w:marRight w:val="0"/>
      <w:marTop w:val="0"/>
      <w:marBottom w:val="0"/>
      <w:divBdr>
        <w:top w:val="none" w:sz="0" w:space="0" w:color="auto"/>
        <w:left w:val="none" w:sz="0" w:space="0" w:color="auto"/>
        <w:bottom w:val="none" w:sz="0" w:space="0" w:color="auto"/>
        <w:right w:val="none" w:sz="0" w:space="0" w:color="auto"/>
      </w:divBdr>
    </w:div>
    <w:div w:id="625040946">
      <w:bodyDiv w:val="1"/>
      <w:marLeft w:val="0"/>
      <w:marRight w:val="0"/>
      <w:marTop w:val="0"/>
      <w:marBottom w:val="0"/>
      <w:divBdr>
        <w:top w:val="none" w:sz="0" w:space="0" w:color="auto"/>
        <w:left w:val="none" w:sz="0" w:space="0" w:color="auto"/>
        <w:bottom w:val="none" w:sz="0" w:space="0" w:color="auto"/>
        <w:right w:val="none" w:sz="0" w:space="0" w:color="auto"/>
      </w:divBdr>
    </w:div>
    <w:div w:id="625043092">
      <w:bodyDiv w:val="1"/>
      <w:marLeft w:val="0"/>
      <w:marRight w:val="0"/>
      <w:marTop w:val="0"/>
      <w:marBottom w:val="0"/>
      <w:divBdr>
        <w:top w:val="none" w:sz="0" w:space="0" w:color="auto"/>
        <w:left w:val="none" w:sz="0" w:space="0" w:color="auto"/>
        <w:bottom w:val="none" w:sz="0" w:space="0" w:color="auto"/>
        <w:right w:val="none" w:sz="0" w:space="0" w:color="auto"/>
      </w:divBdr>
    </w:div>
    <w:div w:id="625044758">
      <w:bodyDiv w:val="1"/>
      <w:marLeft w:val="0"/>
      <w:marRight w:val="0"/>
      <w:marTop w:val="0"/>
      <w:marBottom w:val="0"/>
      <w:divBdr>
        <w:top w:val="none" w:sz="0" w:space="0" w:color="auto"/>
        <w:left w:val="none" w:sz="0" w:space="0" w:color="auto"/>
        <w:bottom w:val="none" w:sz="0" w:space="0" w:color="auto"/>
        <w:right w:val="none" w:sz="0" w:space="0" w:color="auto"/>
      </w:divBdr>
    </w:div>
    <w:div w:id="625164639">
      <w:bodyDiv w:val="1"/>
      <w:marLeft w:val="0"/>
      <w:marRight w:val="0"/>
      <w:marTop w:val="0"/>
      <w:marBottom w:val="0"/>
      <w:divBdr>
        <w:top w:val="none" w:sz="0" w:space="0" w:color="auto"/>
        <w:left w:val="none" w:sz="0" w:space="0" w:color="auto"/>
        <w:bottom w:val="none" w:sz="0" w:space="0" w:color="auto"/>
        <w:right w:val="none" w:sz="0" w:space="0" w:color="auto"/>
      </w:divBdr>
    </w:div>
    <w:div w:id="625351875">
      <w:bodyDiv w:val="1"/>
      <w:marLeft w:val="0"/>
      <w:marRight w:val="0"/>
      <w:marTop w:val="0"/>
      <w:marBottom w:val="0"/>
      <w:divBdr>
        <w:top w:val="none" w:sz="0" w:space="0" w:color="auto"/>
        <w:left w:val="none" w:sz="0" w:space="0" w:color="auto"/>
        <w:bottom w:val="none" w:sz="0" w:space="0" w:color="auto"/>
        <w:right w:val="none" w:sz="0" w:space="0" w:color="auto"/>
      </w:divBdr>
    </w:div>
    <w:div w:id="625428693">
      <w:bodyDiv w:val="1"/>
      <w:marLeft w:val="0"/>
      <w:marRight w:val="0"/>
      <w:marTop w:val="0"/>
      <w:marBottom w:val="0"/>
      <w:divBdr>
        <w:top w:val="none" w:sz="0" w:space="0" w:color="auto"/>
        <w:left w:val="none" w:sz="0" w:space="0" w:color="auto"/>
        <w:bottom w:val="none" w:sz="0" w:space="0" w:color="auto"/>
        <w:right w:val="none" w:sz="0" w:space="0" w:color="auto"/>
      </w:divBdr>
    </w:div>
    <w:div w:id="625429368">
      <w:bodyDiv w:val="1"/>
      <w:marLeft w:val="0"/>
      <w:marRight w:val="0"/>
      <w:marTop w:val="0"/>
      <w:marBottom w:val="0"/>
      <w:divBdr>
        <w:top w:val="none" w:sz="0" w:space="0" w:color="auto"/>
        <w:left w:val="none" w:sz="0" w:space="0" w:color="auto"/>
        <w:bottom w:val="none" w:sz="0" w:space="0" w:color="auto"/>
        <w:right w:val="none" w:sz="0" w:space="0" w:color="auto"/>
      </w:divBdr>
    </w:div>
    <w:div w:id="625739231">
      <w:bodyDiv w:val="1"/>
      <w:marLeft w:val="0"/>
      <w:marRight w:val="0"/>
      <w:marTop w:val="0"/>
      <w:marBottom w:val="0"/>
      <w:divBdr>
        <w:top w:val="none" w:sz="0" w:space="0" w:color="auto"/>
        <w:left w:val="none" w:sz="0" w:space="0" w:color="auto"/>
        <w:bottom w:val="none" w:sz="0" w:space="0" w:color="auto"/>
        <w:right w:val="none" w:sz="0" w:space="0" w:color="auto"/>
      </w:divBdr>
    </w:div>
    <w:div w:id="625744829">
      <w:bodyDiv w:val="1"/>
      <w:marLeft w:val="0"/>
      <w:marRight w:val="0"/>
      <w:marTop w:val="0"/>
      <w:marBottom w:val="0"/>
      <w:divBdr>
        <w:top w:val="none" w:sz="0" w:space="0" w:color="auto"/>
        <w:left w:val="none" w:sz="0" w:space="0" w:color="auto"/>
        <w:bottom w:val="none" w:sz="0" w:space="0" w:color="auto"/>
        <w:right w:val="none" w:sz="0" w:space="0" w:color="auto"/>
      </w:divBdr>
    </w:div>
    <w:div w:id="625770405">
      <w:bodyDiv w:val="1"/>
      <w:marLeft w:val="0"/>
      <w:marRight w:val="0"/>
      <w:marTop w:val="0"/>
      <w:marBottom w:val="0"/>
      <w:divBdr>
        <w:top w:val="none" w:sz="0" w:space="0" w:color="auto"/>
        <w:left w:val="none" w:sz="0" w:space="0" w:color="auto"/>
        <w:bottom w:val="none" w:sz="0" w:space="0" w:color="auto"/>
        <w:right w:val="none" w:sz="0" w:space="0" w:color="auto"/>
      </w:divBdr>
    </w:div>
    <w:div w:id="625816071">
      <w:bodyDiv w:val="1"/>
      <w:marLeft w:val="0"/>
      <w:marRight w:val="0"/>
      <w:marTop w:val="0"/>
      <w:marBottom w:val="0"/>
      <w:divBdr>
        <w:top w:val="none" w:sz="0" w:space="0" w:color="auto"/>
        <w:left w:val="none" w:sz="0" w:space="0" w:color="auto"/>
        <w:bottom w:val="none" w:sz="0" w:space="0" w:color="auto"/>
        <w:right w:val="none" w:sz="0" w:space="0" w:color="auto"/>
      </w:divBdr>
    </w:div>
    <w:div w:id="625887924">
      <w:bodyDiv w:val="1"/>
      <w:marLeft w:val="0"/>
      <w:marRight w:val="0"/>
      <w:marTop w:val="0"/>
      <w:marBottom w:val="0"/>
      <w:divBdr>
        <w:top w:val="none" w:sz="0" w:space="0" w:color="auto"/>
        <w:left w:val="none" w:sz="0" w:space="0" w:color="auto"/>
        <w:bottom w:val="none" w:sz="0" w:space="0" w:color="auto"/>
        <w:right w:val="none" w:sz="0" w:space="0" w:color="auto"/>
      </w:divBdr>
    </w:div>
    <w:div w:id="625890559">
      <w:bodyDiv w:val="1"/>
      <w:marLeft w:val="0"/>
      <w:marRight w:val="0"/>
      <w:marTop w:val="0"/>
      <w:marBottom w:val="0"/>
      <w:divBdr>
        <w:top w:val="none" w:sz="0" w:space="0" w:color="auto"/>
        <w:left w:val="none" w:sz="0" w:space="0" w:color="auto"/>
        <w:bottom w:val="none" w:sz="0" w:space="0" w:color="auto"/>
        <w:right w:val="none" w:sz="0" w:space="0" w:color="auto"/>
      </w:divBdr>
    </w:div>
    <w:div w:id="625890878">
      <w:bodyDiv w:val="1"/>
      <w:marLeft w:val="0"/>
      <w:marRight w:val="0"/>
      <w:marTop w:val="0"/>
      <w:marBottom w:val="0"/>
      <w:divBdr>
        <w:top w:val="none" w:sz="0" w:space="0" w:color="auto"/>
        <w:left w:val="none" w:sz="0" w:space="0" w:color="auto"/>
        <w:bottom w:val="none" w:sz="0" w:space="0" w:color="auto"/>
        <w:right w:val="none" w:sz="0" w:space="0" w:color="auto"/>
      </w:divBdr>
    </w:div>
    <w:div w:id="625937240">
      <w:bodyDiv w:val="1"/>
      <w:marLeft w:val="0"/>
      <w:marRight w:val="0"/>
      <w:marTop w:val="0"/>
      <w:marBottom w:val="0"/>
      <w:divBdr>
        <w:top w:val="none" w:sz="0" w:space="0" w:color="auto"/>
        <w:left w:val="none" w:sz="0" w:space="0" w:color="auto"/>
        <w:bottom w:val="none" w:sz="0" w:space="0" w:color="auto"/>
        <w:right w:val="none" w:sz="0" w:space="0" w:color="auto"/>
      </w:divBdr>
    </w:div>
    <w:div w:id="625938385">
      <w:bodyDiv w:val="1"/>
      <w:marLeft w:val="0"/>
      <w:marRight w:val="0"/>
      <w:marTop w:val="0"/>
      <w:marBottom w:val="0"/>
      <w:divBdr>
        <w:top w:val="none" w:sz="0" w:space="0" w:color="auto"/>
        <w:left w:val="none" w:sz="0" w:space="0" w:color="auto"/>
        <w:bottom w:val="none" w:sz="0" w:space="0" w:color="auto"/>
        <w:right w:val="none" w:sz="0" w:space="0" w:color="auto"/>
      </w:divBdr>
    </w:div>
    <w:div w:id="626160520">
      <w:bodyDiv w:val="1"/>
      <w:marLeft w:val="0"/>
      <w:marRight w:val="0"/>
      <w:marTop w:val="0"/>
      <w:marBottom w:val="0"/>
      <w:divBdr>
        <w:top w:val="none" w:sz="0" w:space="0" w:color="auto"/>
        <w:left w:val="none" w:sz="0" w:space="0" w:color="auto"/>
        <w:bottom w:val="none" w:sz="0" w:space="0" w:color="auto"/>
        <w:right w:val="none" w:sz="0" w:space="0" w:color="auto"/>
      </w:divBdr>
    </w:div>
    <w:div w:id="626275798">
      <w:bodyDiv w:val="1"/>
      <w:marLeft w:val="0"/>
      <w:marRight w:val="0"/>
      <w:marTop w:val="0"/>
      <w:marBottom w:val="0"/>
      <w:divBdr>
        <w:top w:val="none" w:sz="0" w:space="0" w:color="auto"/>
        <w:left w:val="none" w:sz="0" w:space="0" w:color="auto"/>
        <w:bottom w:val="none" w:sz="0" w:space="0" w:color="auto"/>
        <w:right w:val="none" w:sz="0" w:space="0" w:color="auto"/>
      </w:divBdr>
    </w:div>
    <w:div w:id="626280966">
      <w:bodyDiv w:val="1"/>
      <w:marLeft w:val="0"/>
      <w:marRight w:val="0"/>
      <w:marTop w:val="0"/>
      <w:marBottom w:val="0"/>
      <w:divBdr>
        <w:top w:val="none" w:sz="0" w:space="0" w:color="auto"/>
        <w:left w:val="none" w:sz="0" w:space="0" w:color="auto"/>
        <w:bottom w:val="none" w:sz="0" w:space="0" w:color="auto"/>
        <w:right w:val="none" w:sz="0" w:space="0" w:color="auto"/>
      </w:divBdr>
    </w:div>
    <w:div w:id="626283287">
      <w:bodyDiv w:val="1"/>
      <w:marLeft w:val="0"/>
      <w:marRight w:val="0"/>
      <w:marTop w:val="0"/>
      <w:marBottom w:val="0"/>
      <w:divBdr>
        <w:top w:val="none" w:sz="0" w:space="0" w:color="auto"/>
        <w:left w:val="none" w:sz="0" w:space="0" w:color="auto"/>
        <w:bottom w:val="none" w:sz="0" w:space="0" w:color="auto"/>
        <w:right w:val="none" w:sz="0" w:space="0" w:color="auto"/>
      </w:divBdr>
    </w:div>
    <w:div w:id="626352243">
      <w:bodyDiv w:val="1"/>
      <w:marLeft w:val="0"/>
      <w:marRight w:val="0"/>
      <w:marTop w:val="0"/>
      <w:marBottom w:val="0"/>
      <w:divBdr>
        <w:top w:val="none" w:sz="0" w:space="0" w:color="auto"/>
        <w:left w:val="none" w:sz="0" w:space="0" w:color="auto"/>
        <w:bottom w:val="none" w:sz="0" w:space="0" w:color="auto"/>
        <w:right w:val="none" w:sz="0" w:space="0" w:color="auto"/>
      </w:divBdr>
    </w:div>
    <w:div w:id="626354813">
      <w:bodyDiv w:val="1"/>
      <w:marLeft w:val="0"/>
      <w:marRight w:val="0"/>
      <w:marTop w:val="0"/>
      <w:marBottom w:val="0"/>
      <w:divBdr>
        <w:top w:val="none" w:sz="0" w:space="0" w:color="auto"/>
        <w:left w:val="none" w:sz="0" w:space="0" w:color="auto"/>
        <w:bottom w:val="none" w:sz="0" w:space="0" w:color="auto"/>
        <w:right w:val="none" w:sz="0" w:space="0" w:color="auto"/>
      </w:divBdr>
    </w:div>
    <w:div w:id="626397845">
      <w:bodyDiv w:val="1"/>
      <w:marLeft w:val="0"/>
      <w:marRight w:val="0"/>
      <w:marTop w:val="0"/>
      <w:marBottom w:val="0"/>
      <w:divBdr>
        <w:top w:val="none" w:sz="0" w:space="0" w:color="auto"/>
        <w:left w:val="none" w:sz="0" w:space="0" w:color="auto"/>
        <w:bottom w:val="none" w:sz="0" w:space="0" w:color="auto"/>
        <w:right w:val="none" w:sz="0" w:space="0" w:color="auto"/>
      </w:divBdr>
    </w:div>
    <w:div w:id="626476496">
      <w:bodyDiv w:val="1"/>
      <w:marLeft w:val="0"/>
      <w:marRight w:val="0"/>
      <w:marTop w:val="0"/>
      <w:marBottom w:val="0"/>
      <w:divBdr>
        <w:top w:val="none" w:sz="0" w:space="0" w:color="auto"/>
        <w:left w:val="none" w:sz="0" w:space="0" w:color="auto"/>
        <w:bottom w:val="none" w:sz="0" w:space="0" w:color="auto"/>
        <w:right w:val="none" w:sz="0" w:space="0" w:color="auto"/>
      </w:divBdr>
    </w:div>
    <w:div w:id="626547275">
      <w:bodyDiv w:val="1"/>
      <w:marLeft w:val="0"/>
      <w:marRight w:val="0"/>
      <w:marTop w:val="0"/>
      <w:marBottom w:val="0"/>
      <w:divBdr>
        <w:top w:val="none" w:sz="0" w:space="0" w:color="auto"/>
        <w:left w:val="none" w:sz="0" w:space="0" w:color="auto"/>
        <w:bottom w:val="none" w:sz="0" w:space="0" w:color="auto"/>
        <w:right w:val="none" w:sz="0" w:space="0" w:color="auto"/>
      </w:divBdr>
    </w:div>
    <w:div w:id="626594156">
      <w:bodyDiv w:val="1"/>
      <w:marLeft w:val="0"/>
      <w:marRight w:val="0"/>
      <w:marTop w:val="0"/>
      <w:marBottom w:val="0"/>
      <w:divBdr>
        <w:top w:val="none" w:sz="0" w:space="0" w:color="auto"/>
        <w:left w:val="none" w:sz="0" w:space="0" w:color="auto"/>
        <w:bottom w:val="none" w:sz="0" w:space="0" w:color="auto"/>
        <w:right w:val="none" w:sz="0" w:space="0" w:color="auto"/>
      </w:divBdr>
    </w:div>
    <w:div w:id="626737951">
      <w:bodyDiv w:val="1"/>
      <w:marLeft w:val="0"/>
      <w:marRight w:val="0"/>
      <w:marTop w:val="0"/>
      <w:marBottom w:val="0"/>
      <w:divBdr>
        <w:top w:val="none" w:sz="0" w:space="0" w:color="auto"/>
        <w:left w:val="none" w:sz="0" w:space="0" w:color="auto"/>
        <w:bottom w:val="none" w:sz="0" w:space="0" w:color="auto"/>
        <w:right w:val="none" w:sz="0" w:space="0" w:color="auto"/>
      </w:divBdr>
    </w:div>
    <w:div w:id="626738897">
      <w:bodyDiv w:val="1"/>
      <w:marLeft w:val="0"/>
      <w:marRight w:val="0"/>
      <w:marTop w:val="0"/>
      <w:marBottom w:val="0"/>
      <w:divBdr>
        <w:top w:val="none" w:sz="0" w:space="0" w:color="auto"/>
        <w:left w:val="none" w:sz="0" w:space="0" w:color="auto"/>
        <w:bottom w:val="none" w:sz="0" w:space="0" w:color="auto"/>
        <w:right w:val="none" w:sz="0" w:space="0" w:color="auto"/>
      </w:divBdr>
    </w:div>
    <w:div w:id="627009884">
      <w:bodyDiv w:val="1"/>
      <w:marLeft w:val="0"/>
      <w:marRight w:val="0"/>
      <w:marTop w:val="0"/>
      <w:marBottom w:val="0"/>
      <w:divBdr>
        <w:top w:val="none" w:sz="0" w:space="0" w:color="auto"/>
        <w:left w:val="none" w:sz="0" w:space="0" w:color="auto"/>
        <w:bottom w:val="none" w:sz="0" w:space="0" w:color="auto"/>
        <w:right w:val="none" w:sz="0" w:space="0" w:color="auto"/>
      </w:divBdr>
    </w:div>
    <w:div w:id="627052147">
      <w:bodyDiv w:val="1"/>
      <w:marLeft w:val="0"/>
      <w:marRight w:val="0"/>
      <w:marTop w:val="0"/>
      <w:marBottom w:val="0"/>
      <w:divBdr>
        <w:top w:val="none" w:sz="0" w:space="0" w:color="auto"/>
        <w:left w:val="none" w:sz="0" w:space="0" w:color="auto"/>
        <w:bottom w:val="none" w:sz="0" w:space="0" w:color="auto"/>
        <w:right w:val="none" w:sz="0" w:space="0" w:color="auto"/>
      </w:divBdr>
    </w:div>
    <w:div w:id="627052198">
      <w:bodyDiv w:val="1"/>
      <w:marLeft w:val="0"/>
      <w:marRight w:val="0"/>
      <w:marTop w:val="0"/>
      <w:marBottom w:val="0"/>
      <w:divBdr>
        <w:top w:val="none" w:sz="0" w:space="0" w:color="auto"/>
        <w:left w:val="none" w:sz="0" w:space="0" w:color="auto"/>
        <w:bottom w:val="none" w:sz="0" w:space="0" w:color="auto"/>
        <w:right w:val="none" w:sz="0" w:space="0" w:color="auto"/>
      </w:divBdr>
    </w:div>
    <w:div w:id="627053684">
      <w:bodyDiv w:val="1"/>
      <w:marLeft w:val="0"/>
      <w:marRight w:val="0"/>
      <w:marTop w:val="0"/>
      <w:marBottom w:val="0"/>
      <w:divBdr>
        <w:top w:val="none" w:sz="0" w:space="0" w:color="auto"/>
        <w:left w:val="none" w:sz="0" w:space="0" w:color="auto"/>
        <w:bottom w:val="none" w:sz="0" w:space="0" w:color="auto"/>
        <w:right w:val="none" w:sz="0" w:space="0" w:color="auto"/>
      </w:divBdr>
    </w:div>
    <w:div w:id="627204870">
      <w:bodyDiv w:val="1"/>
      <w:marLeft w:val="0"/>
      <w:marRight w:val="0"/>
      <w:marTop w:val="0"/>
      <w:marBottom w:val="0"/>
      <w:divBdr>
        <w:top w:val="none" w:sz="0" w:space="0" w:color="auto"/>
        <w:left w:val="none" w:sz="0" w:space="0" w:color="auto"/>
        <w:bottom w:val="none" w:sz="0" w:space="0" w:color="auto"/>
        <w:right w:val="none" w:sz="0" w:space="0" w:color="auto"/>
      </w:divBdr>
    </w:div>
    <w:div w:id="627245929">
      <w:bodyDiv w:val="1"/>
      <w:marLeft w:val="0"/>
      <w:marRight w:val="0"/>
      <w:marTop w:val="0"/>
      <w:marBottom w:val="0"/>
      <w:divBdr>
        <w:top w:val="none" w:sz="0" w:space="0" w:color="auto"/>
        <w:left w:val="none" w:sz="0" w:space="0" w:color="auto"/>
        <w:bottom w:val="none" w:sz="0" w:space="0" w:color="auto"/>
        <w:right w:val="none" w:sz="0" w:space="0" w:color="auto"/>
      </w:divBdr>
    </w:div>
    <w:div w:id="627473662">
      <w:bodyDiv w:val="1"/>
      <w:marLeft w:val="0"/>
      <w:marRight w:val="0"/>
      <w:marTop w:val="0"/>
      <w:marBottom w:val="0"/>
      <w:divBdr>
        <w:top w:val="none" w:sz="0" w:space="0" w:color="auto"/>
        <w:left w:val="none" w:sz="0" w:space="0" w:color="auto"/>
        <w:bottom w:val="none" w:sz="0" w:space="0" w:color="auto"/>
        <w:right w:val="none" w:sz="0" w:space="0" w:color="auto"/>
      </w:divBdr>
    </w:div>
    <w:div w:id="627516685">
      <w:bodyDiv w:val="1"/>
      <w:marLeft w:val="0"/>
      <w:marRight w:val="0"/>
      <w:marTop w:val="0"/>
      <w:marBottom w:val="0"/>
      <w:divBdr>
        <w:top w:val="none" w:sz="0" w:space="0" w:color="auto"/>
        <w:left w:val="none" w:sz="0" w:space="0" w:color="auto"/>
        <w:bottom w:val="none" w:sz="0" w:space="0" w:color="auto"/>
        <w:right w:val="none" w:sz="0" w:space="0" w:color="auto"/>
      </w:divBdr>
    </w:div>
    <w:div w:id="627661236">
      <w:bodyDiv w:val="1"/>
      <w:marLeft w:val="0"/>
      <w:marRight w:val="0"/>
      <w:marTop w:val="0"/>
      <w:marBottom w:val="0"/>
      <w:divBdr>
        <w:top w:val="none" w:sz="0" w:space="0" w:color="auto"/>
        <w:left w:val="none" w:sz="0" w:space="0" w:color="auto"/>
        <w:bottom w:val="none" w:sz="0" w:space="0" w:color="auto"/>
        <w:right w:val="none" w:sz="0" w:space="0" w:color="auto"/>
      </w:divBdr>
    </w:div>
    <w:div w:id="627778608">
      <w:bodyDiv w:val="1"/>
      <w:marLeft w:val="0"/>
      <w:marRight w:val="0"/>
      <w:marTop w:val="0"/>
      <w:marBottom w:val="0"/>
      <w:divBdr>
        <w:top w:val="none" w:sz="0" w:space="0" w:color="auto"/>
        <w:left w:val="none" w:sz="0" w:space="0" w:color="auto"/>
        <w:bottom w:val="none" w:sz="0" w:space="0" w:color="auto"/>
        <w:right w:val="none" w:sz="0" w:space="0" w:color="auto"/>
      </w:divBdr>
    </w:div>
    <w:div w:id="627780092">
      <w:bodyDiv w:val="1"/>
      <w:marLeft w:val="0"/>
      <w:marRight w:val="0"/>
      <w:marTop w:val="0"/>
      <w:marBottom w:val="0"/>
      <w:divBdr>
        <w:top w:val="none" w:sz="0" w:space="0" w:color="auto"/>
        <w:left w:val="none" w:sz="0" w:space="0" w:color="auto"/>
        <w:bottom w:val="none" w:sz="0" w:space="0" w:color="auto"/>
        <w:right w:val="none" w:sz="0" w:space="0" w:color="auto"/>
      </w:divBdr>
    </w:div>
    <w:div w:id="627785092">
      <w:bodyDiv w:val="1"/>
      <w:marLeft w:val="0"/>
      <w:marRight w:val="0"/>
      <w:marTop w:val="0"/>
      <w:marBottom w:val="0"/>
      <w:divBdr>
        <w:top w:val="none" w:sz="0" w:space="0" w:color="auto"/>
        <w:left w:val="none" w:sz="0" w:space="0" w:color="auto"/>
        <w:bottom w:val="none" w:sz="0" w:space="0" w:color="auto"/>
        <w:right w:val="none" w:sz="0" w:space="0" w:color="auto"/>
      </w:divBdr>
    </w:div>
    <w:div w:id="627859484">
      <w:bodyDiv w:val="1"/>
      <w:marLeft w:val="0"/>
      <w:marRight w:val="0"/>
      <w:marTop w:val="0"/>
      <w:marBottom w:val="0"/>
      <w:divBdr>
        <w:top w:val="none" w:sz="0" w:space="0" w:color="auto"/>
        <w:left w:val="none" w:sz="0" w:space="0" w:color="auto"/>
        <w:bottom w:val="none" w:sz="0" w:space="0" w:color="auto"/>
        <w:right w:val="none" w:sz="0" w:space="0" w:color="auto"/>
      </w:divBdr>
    </w:div>
    <w:div w:id="628050012">
      <w:bodyDiv w:val="1"/>
      <w:marLeft w:val="0"/>
      <w:marRight w:val="0"/>
      <w:marTop w:val="0"/>
      <w:marBottom w:val="0"/>
      <w:divBdr>
        <w:top w:val="none" w:sz="0" w:space="0" w:color="auto"/>
        <w:left w:val="none" w:sz="0" w:space="0" w:color="auto"/>
        <w:bottom w:val="none" w:sz="0" w:space="0" w:color="auto"/>
        <w:right w:val="none" w:sz="0" w:space="0" w:color="auto"/>
      </w:divBdr>
    </w:div>
    <w:div w:id="628054747">
      <w:bodyDiv w:val="1"/>
      <w:marLeft w:val="0"/>
      <w:marRight w:val="0"/>
      <w:marTop w:val="0"/>
      <w:marBottom w:val="0"/>
      <w:divBdr>
        <w:top w:val="none" w:sz="0" w:space="0" w:color="auto"/>
        <w:left w:val="none" w:sz="0" w:space="0" w:color="auto"/>
        <w:bottom w:val="none" w:sz="0" w:space="0" w:color="auto"/>
        <w:right w:val="none" w:sz="0" w:space="0" w:color="auto"/>
      </w:divBdr>
    </w:div>
    <w:div w:id="628124097">
      <w:bodyDiv w:val="1"/>
      <w:marLeft w:val="0"/>
      <w:marRight w:val="0"/>
      <w:marTop w:val="0"/>
      <w:marBottom w:val="0"/>
      <w:divBdr>
        <w:top w:val="none" w:sz="0" w:space="0" w:color="auto"/>
        <w:left w:val="none" w:sz="0" w:space="0" w:color="auto"/>
        <w:bottom w:val="none" w:sz="0" w:space="0" w:color="auto"/>
        <w:right w:val="none" w:sz="0" w:space="0" w:color="auto"/>
      </w:divBdr>
    </w:div>
    <w:div w:id="628126545">
      <w:bodyDiv w:val="1"/>
      <w:marLeft w:val="0"/>
      <w:marRight w:val="0"/>
      <w:marTop w:val="0"/>
      <w:marBottom w:val="0"/>
      <w:divBdr>
        <w:top w:val="none" w:sz="0" w:space="0" w:color="auto"/>
        <w:left w:val="none" w:sz="0" w:space="0" w:color="auto"/>
        <w:bottom w:val="none" w:sz="0" w:space="0" w:color="auto"/>
        <w:right w:val="none" w:sz="0" w:space="0" w:color="auto"/>
      </w:divBdr>
    </w:div>
    <w:div w:id="628167377">
      <w:bodyDiv w:val="1"/>
      <w:marLeft w:val="0"/>
      <w:marRight w:val="0"/>
      <w:marTop w:val="0"/>
      <w:marBottom w:val="0"/>
      <w:divBdr>
        <w:top w:val="none" w:sz="0" w:space="0" w:color="auto"/>
        <w:left w:val="none" w:sz="0" w:space="0" w:color="auto"/>
        <w:bottom w:val="none" w:sz="0" w:space="0" w:color="auto"/>
        <w:right w:val="none" w:sz="0" w:space="0" w:color="auto"/>
      </w:divBdr>
    </w:div>
    <w:div w:id="628169447">
      <w:bodyDiv w:val="1"/>
      <w:marLeft w:val="0"/>
      <w:marRight w:val="0"/>
      <w:marTop w:val="0"/>
      <w:marBottom w:val="0"/>
      <w:divBdr>
        <w:top w:val="none" w:sz="0" w:space="0" w:color="auto"/>
        <w:left w:val="none" w:sz="0" w:space="0" w:color="auto"/>
        <w:bottom w:val="none" w:sz="0" w:space="0" w:color="auto"/>
        <w:right w:val="none" w:sz="0" w:space="0" w:color="auto"/>
      </w:divBdr>
    </w:div>
    <w:div w:id="628318884">
      <w:bodyDiv w:val="1"/>
      <w:marLeft w:val="0"/>
      <w:marRight w:val="0"/>
      <w:marTop w:val="0"/>
      <w:marBottom w:val="0"/>
      <w:divBdr>
        <w:top w:val="none" w:sz="0" w:space="0" w:color="auto"/>
        <w:left w:val="none" w:sz="0" w:space="0" w:color="auto"/>
        <w:bottom w:val="none" w:sz="0" w:space="0" w:color="auto"/>
        <w:right w:val="none" w:sz="0" w:space="0" w:color="auto"/>
      </w:divBdr>
    </w:div>
    <w:div w:id="628361201">
      <w:bodyDiv w:val="1"/>
      <w:marLeft w:val="0"/>
      <w:marRight w:val="0"/>
      <w:marTop w:val="0"/>
      <w:marBottom w:val="0"/>
      <w:divBdr>
        <w:top w:val="none" w:sz="0" w:space="0" w:color="auto"/>
        <w:left w:val="none" w:sz="0" w:space="0" w:color="auto"/>
        <w:bottom w:val="none" w:sz="0" w:space="0" w:color="auto"/>
        <w:right w:val="none" w:sz="0" w:space="0" w:color="auto"/>
      </w:divBdr>
    </w:div>
    <w:div w:id="628364997">
      <w:bodyDiv w:val="1"/>
      <w:marLeft w:val="0"/>
      <w:marRight w:val="0"/>
      <w:marTop w:val="0"/>
      <w:marBottom w:val="0"/>
      <w:divBdr>
        <w:top w:val="none" w:sz="0" w:space="0" w:color="auto"/>
        <w:left w:val="none" w:sz="0" w:space="0" w:color="auto"/>
        <w:bottom w:val="none" w:sz="0" w:space="0" w:color="auto"/>
        <w:right w:val="none" w:sz="0" w:space="0" w:color="auto"/>
      </w:divBdr>
    </w:div>
    <w:div w:id="628438033">
      <w:bodyDiv w:val="1"/>
      <w:marLeft w:val="0"/>
      <w:marRight w:val="0"/>
      <w:marTop w:val="0"/>
      <w:marBottom w:val="0"/>
      <w:divBdr>
        <w:top w:val="none" w:sz="0" w:space="0" w:color="auto"/>
        <w:left w:val="none" w:sz="0" w:space="0" w:color="auto"/>
        <w:bottom w:val="none" w:sz="0" w:space="0" w:color="auto"/>
        <w:right w:val="none" w:sz="0" w:space="0" w:color="auto"/>
      </w:divBdr>
    </w:div>
    <w:div w:id="628628574">
      <w:bodyDiv w:val="1"/>
      <w:marLeft w:val="0"/>
      <w:marRight w:val="0"/>
      <w:marTop w:val="0"/>
      <w:marBottom w:val="0"/>
      <w:divBdr>
        <w:top w:val="none" w:sz="0" w:space="0" w:color="auto"/>
        <w:left w:val="none" w:sz="0" w:space="0" w:color="auto"/>
        <w:bottom w:val="none" w:sz="0" w:space="0" w:color="auto"/>
        <w:right w:val="none" w:sz="0" w:space="0" w:color="auto"/>
      </w:divBdr>
    </w:div>
    <w:div w:id="628634975">
      <w:bodyDiv w:val="1"/>
      <w:marLeft w:val="0"/>
      <w:marRight w:val="0"/>
      <w:marTop w:val="0"/>
      <w:marBottom w:val="0"/>
      <w:divBdr>
        <w:top w:val="none" w:sz="0" w:space="0" w:color="auto"/>
        <w:left w:val="none" w:sz="0" w:space="0" w:color="auto"/>
        <w:bottom w:val="none" w:sz="0" w:space="0" w:color="auto"/>
        <w:right w:val="none" w:sz="0" w:space="0" w:color="auto"/>
      </w:divBdr>
    </w:div>
    <w:div w:id="628781617">
      <w:bodyDiv w:val="1"/>
      <w:marLeft w:val="0"/>
      <w:marRight w:val="0"/>
      <w:marTop w:val="0"/>
      <w:marBottom w:val="0"/>
      <w:divBdr>
        <w:top w:val="none" w:sz="0" w:space="0" w:color="auto"/>
        <w:left w:val="none" w:sz="0" w:space="0" w:color="auto"/>
        <w:bottom w:val="none" w:sz="0" w:space="0" w:color="auto"/>
        <w:right w:val="none" w:sz="0" w:space="0" w:color="auto"/>
      </w:divBdr>
    </w:div>
    <w:div w:id="628827157">
      <w:bodyDiv w:val="1"/>
      <w:marLeft w:val="0"/>
      <w:marRight w:val="0"/>
      <w:marTop w:val="0"/>
      <w:marBottom w:val="0"/>
      <w:divBdr>
        <w:top w:val="none" w:sz="0" w:space="0" w:color="auto"/>
        <w:left w:val="none" w:sz="0" w:space="0" w:color="auto"/>
        <w:bottom w:val="none" w:sz="0" w:space="0" w:color="auto"/>
        <w:right w:val="none" w:sz="0" w:space="0" w:color="auto"/>
      </w:divBdr>
    </w:div>
    <w:div w:id="628827494">
      <w:bodyDiv w:val="1"/>
      <w:marLeft w:val="0"/>
      <w:marRight w:val="0"/>
      <w:marTop w:val="0"/>
      <w:marBottom w:val="0"/>
      <w:divBdr>
        <w:top w:val="none" w:sz="0" w:space="0" w:color="auto"/>
        <w:left w:val="none" w:sz="0" w:space="0" w:color="auto"/>
        <w:bottom w:val="none" w:sz="0" w:space="0" w:color="auto"/>
        <w:right w:val="none" w:sz="0" w:space="0" w:color="auto"/>
      </w:divBdr>
    </w:div>
    <w:div w:id="628900086">
      <w:bodyDiv w:val="1"/>
      <w:marLeft w:val="0"/>
      <w:marRight w:val="0"/>
      <w:marTop w:val="0"/>
      <w:marBottom w:val="0"/>
      <w:divBdr>
        <w:top w:val="none" w:sz="0" w:space="0" w:color="auto"/>
        <w:left w:val="none" w:sz="0" w:space="0" w:color="auto"/>
        <w:bottom w:val="none" w:sz="0" w:space="0" w:color="auto"/>
        <w:right w:val="none" w:sz="0" w:space="0" w:color="auto"/>
      </w:divBdr>
    </w:div>
    <w:div w:id="628901378">
      <w:bodyDiv w:val="1"/>
      <w:marLeft w:val="0"/>
      <w:marRight w:val="0"/>
      <w:marTop w:val="0"/>
      <w:marBottom w:val="0"/>
      <w:divBdr>
        <w:top w:val="none" w:sz="0" w:space="0" w:color="auto"/>
        <w:left w:val="none" w:sz="0" w:space="0" w:color="auto"/>
        <w:bottom w:val="none" w:sz="0" w:space="0" w:color="auto"/>
        <w:right w:val="none" w:sz="0" w:space="0" w:color="auto"/>
      </w:divBdr>
    </w:div>
    <w:div w:id="629019742">
      <w:bodyDiv w:val="1"/>
      <w:marLeft w:val="0"/>
      <w:marRight w:val="0"/>
      <w:marTop w:val="0"/>
      <w:marBottom w:val="0"/>
      <w:divBdr>
        <w:top w:val="none" w:sz="0" w:space="0" w:color="auto"/>
        <w:left w:val="none" w:sz="0" w:space="0" w:color="auto"/>
        <w:bottom w:val="none" w:sz="0" w:space="0" w:color="auto"/>
        <w:right w:val="none" w:sz="0" w:space="0" w:color="auto"/>
      </w:divBdr>
    </w:div>
    <w:div w:id="629046840">
      <w:bodyDiv w:val="1"/>
      <w:marLeft w:val="0"/>
      <w:marRight w:val="0"/>
      <w:marTop w:val="0"/>
      <w:marBottom w:val="0"/>
      <w:divBdr>
        <w:top w:val="none" w:sz="0" w:space="0" w:color="auto"/>
        <w:left w:val="none" w:sz="0" w:space="0" w:color="auto"/>
        <w:bottom w:val="none" w:sz="0" w:space="0" w:color="auto"/>
        <w:right w:val="none" w:sz="0" w:space="0" w:color="auto"/>
      </w:divBdr>
    </w:div>
    <w:div w:id="629096554">
      <w:bodyDiv w:val="1"/>
      <w:marLeft w:val="0"/>
      <w:marRight w:val="0"/>
      <w:marTop w:val="0"/>
      <w:marBottom w:val="0"/>
      <w:divBdr>
        <w:top w:val="none" w:sz="0" w:space="0" w:color="auto"/>
        <w:left w:val="none" w:sz="0" w:space="0" w:color="auto"/>
        <w:bottom w:val="none" w:sz="0" w:space="0" w:color="auto"/>
        <w:right w:val="none" w:sz="0" w:space="0" w:color="auto"/>
      </w:divBdr>
    </w:div>
    <w:div w:id="629164340">
      <w:bodyDiv w:val="1"/>
      <w:marLeft w:val="0"/>
      <w:marRight w:val="0"/>
      <w:marTop w:val="0"/>
      <w:marBottom w:val="0"/>
      <w:divBdr>
        <w:top w:val="none" w:sz="0" w:space="0" w:color="auto"/>
        <w:left w:val="none" w:sz="0" w:space="0" w:color="auto"/>
        <w:bottom w:val="none" w:sz="0" w:space="0" w:color="auto"/>
        <w:right w:val="none" w:sz="0" w:space="0" w:color="auto"/>
      </w:divBdr>
    </w:div>
    <w:div w:id="629164748">
      <w:bodyDiv w:val="1"/>
      <w:marLeft w:val="0"/>
      <w:marRight w:val="0"/>
      <w:marTop w:val="0"/>
      <w:marBottom w:val="0"/>
      <w:divBdr>
        <w:top w:val="none" w:sz="0" w:space="0" w:color="auto"/>
        <w:left w:val="none" w:sz="0" w:space="0" w:color="auto"/>
        <w:bottom w:val="none" w:sz="0" w:space="0" w:color="auto"/>
        <w:right w:val="none" w:sz="0" w:space="0" w:color="auto"/>
      </w:divBdr>
    </w:div>
    <w:div w:id="629171258">
      <w:bodyDiv w:val="1"/>
      <w:marLeft w:val="0"/>
      <w:marRight w:val="0"/>
      <w:marTop w:val="0"/>
      <w:marBottom w:val="0"/>
      <w:divBdr>
        <w:top w:val="none" w:sz="0" w:space="0" w:color="auto"/>
        <w:left w:val="none" w:sz="0" w:space="0" w:color="auto"/>
        <w:bottom w:val="none" w:sz="0" w:space="0" w:color="auto"/>
        <w:right w:val="none" w:sz="0" w:space="0" w:color="auto"/>
      </w:divBdr>
    </w:div>
    <w:div w:id="629215384">
      <w:bodyDiv w:val="1"/>
      <w:marLeft w:val="0"/>
      <w:marRight w:val="0"/>
      <w:marTop w:val="0"/>
      <w:marBottom w:val="0"/>
      <w:divBdr>
        <w:top w:val="none" w:sz="0" w:space="0" w:color="auto"/>
        <w:left w:val="none" w:sz="0" w:space="0" w:color="auto"/>
        <w:bottom w:val="none" w:sz="0" w:space="0" w:color="auto"/>
        <w:right w:val="none" w:sz="0" w:space="0" w:color="auto"/>
      </w:divBdr>
    </w:div>
    <w:div w:id="629240355">
      <w:bodyDiv w:val="1"/>
      <w:marLeft w:val="0"/>
      <w:marRight w:val="0"/>
      <w:marTop w:val="0"/>
      <w:marBottom w:val="0"/>
      <w:divBdr>
        <w:top w:val="none" w:sz="0" w:space="0" w:color="auto"/>
        <w:left w:val="none" w:sz="0" w:space="0" w:color="auto"/>
        <w:bottom w:val="none" w:sz="0" w:space="0" w:color="auto"/>
        <w:right w:val="none" w:sz="0" w:space="0" w:color="auto"/>
      </w:divBdr>
    </w:div>
    <w:div w:id="629285049">
      <w:bodyDiv w:val="1"/>
      <w:marLeft w:val="0"/>
      <w:marRight w:val="0"/>
      <w:marTop w:val="0"/>
      <w:marBottom w:val="0"/>
      <w:divBdr>
        <w:top w:val="none" w:sz="0" w:space="0" w:color="auto"/>
        <w:left w:val="none" w:sz="0" w:space="0" w:color="auto"/>
        <w:bottom w:val="none" w:sz="0" w:space="0" w:color="auto"/>
        <w:right w:val="none" w:sz="0" w:space="0" w:color="auto"/>
      </w:divBdr>
    </w:div>
    <w:div w:id="629287527">
      <w:bodyDiv w:val="1"/>
      <w:marLeft w:val="0"/>
      <w:marRight w:val="0"/>
      <w:marTop w:val="0"/>
      <w:marBottom w:val="0"/>
      <w:divBdr>
        <w:top w:val="none" w:sz="0" w:space="0" w:color="auto"/>
        <w:left w:val="none" w:sz="0" w:space="0" w:color="auto"/>
        <w:bottom w:val="none" w:sz="0" w:space="0" w:color="auto"/>
        <w:right w:val="none" w:sz="0" w:space="0" w:color="auto"/>
      </w:divBdr>
    </w:div>
    <w:div w:id="629475293">
      <w:bodyDiv w:val="1"/>
      <w:marLeft w:val="0"/>
      <w:marRight w:val="0"/>
      <w:marTop w:val="0"/>
      <w:marBottom w:val="0"/>
      <w:divBdr>
        <w:top w:val="none" w:sz="0" w:space="0" w:color="auto"/>
        <w:left w:val="none" w:sz="0" w:space="0" w:color="auto"/>
        <w:bottom w:val="none" w:sz="0" w:space="0" w:color="auto"/>
        <w:right w:val="none" w:sz="0" w:space="0" w:color="auto"/>
      </w:divBdr>
    </w:div>
    <w:div w:id="629478169">
      <w:bodyDiv w:val="1"/>
      <w:marLeft w:val="0"/>
      <w:marRight w:val="0"/>
      <w:marTop w:val="0"/>
      <w:marBottom w:val="0"/>
      <w:divBdr>
        <w:top w:val="none" w:sz="0" w:space="0" w:color="auto"/>
        <w:left w:val="none" w:sz="0" w:space="0" w:color="auto"/>
        <w:bottom w:val="none" w:sz="0" w:space="0" w:color="auto"/>
        <w:right w:val="none" w:sz="0" w:space="0" w:color="auto"/>
      </w:divBdr>
    </w:div>
    <w:div w:id="629550875">
      <w:bodyDiv w:val="1"/>
      <w:marLeft w:val="0"/>
      <w:marRight w:val="0"/>
      <w:marTop w:val="0"/>
      <w:marBottom w:val="0"/>
      <w:divBdr>
        <w:top w:val="none" w:sz="0" w:space="0" w:color="auto"/>
        <w:left w:val="none" w:sz="0" w:space="0" w:color="auto"/>
        <w:bottom w:val="none" w:sz="0" w:space="0" w:color="auto"/>
        <w:right w:val="none" w:sz="0" w:space="0" w:color="auto"/>
      </w:divBdr>
    </w:div>
    <w:div w:id="629629799">
      <w:bodyDiv w:val="1"/>
      <w:marLeft w:val="0"/>
      <w:marRight w:val="0"/>
      <w:marTop w:val="0"/>
      <w:marBottom w:val="0"/>
      <w:divBdr>
        <w:top w:val="none" w:sz="0" w:space="0" w:color="auto"/>
        <w:left w:val="none" w:sz="0" w:space="0" w:color="auto"/>
        <w:bottom w:val="none" w:sz="0" w:space="0" w:color="auto"/>
        <w:right w:val="none" w:sz="0" w:space="0" w:color="auto"/>
      </w:divBdr>
    </w:div>
    <w:div w:id="629700973">
      <w:bodyDiv w:val="1"/>
      <w:marLeft w:val="0"/>
      <w:marRight w:val="0"/>
      <w:marTop w:val="0"/>
      <w:marBottom w:val="0"/>
      <w:divBdr>
        <w:top w:val="none" w:sz="0" w:space="0" w:color="auto"/>
        <w:left w:val="none" w:sz="0" w:space="0" w:color="auto"/>
        <w:bottom w:val="none" w:sz="0" w:space="0" w:color="auto"/>
        <w:right w:val="none" w:sz="0" w:space="0" w:color="auto"/>
      </w:divBdr>
    </w:div>
    <w:div w:id="629701445">
      <w:bodyDiv w:val="1"/>
      <w:marLeft w:val="0"/>
      <w:marRight w:val="0"/>
      <w:marTop w:val="0"/>
      <w:marBottom w:val="0"/>
      <w:divBdr>
        <w:top w:val="none" w:sz="0" w:space="0" w:color="auto"/>
        <w:left w:val="none" w:sz="0" w:space="0" w:color="auto"/>
        <w:bottom w:val="none" w:sz="0" w:space="0" w:color="auto"/>
        <w:right w:val="none" w:sz="0" w:space="0" w:color="auto"/>
      </w:divBdr>
    </w:div>
    <w:div w:id="629744598">
      <w:bodyDiv w:val="1"/>
      <w:marLeft w:val="0"/>
      <w:marRight w:val="0"/>
      <w:marTop w:val="0"/>
      <w:marBottom w:val="0"/>
      <w:divBdr>
        <w:top w:val="none" w:sz="0" w:space="0" w:color="auto"/>
        <w:left w:val="none" w:sz="0" w:space="0" w:color="auto"/>
        <w:bottom w:val="none" w:sz="0" w:space="0" w:color="auto"/>
        <w:right w:val="none" w:sz="0" w:space="0" w:color="auto"/>
      </w:divBdr>
    </w:div>
    <w:div w:id="629897614">
      <w:bodyDiv w:val="1"/>
      <w:marLeft w:val="0"/>
      <w:marRight w:val="0"/>
      <w:marTop w:val="0"/>
      <w:marBottom w:val="0"/>
      <w:divBdr>
        <w:top w:val="none" w:sz="0" w:space="0" w:color="auto"/>
        <w:left w:val="none" w:sz="0" w:space="0" w:color="auto"/>
        <w:bottom w:val="none" w:sz="0" w:space="0" w:color="auto"/>
        <w:right w:val="none" w:sz="0" w:space="0" w:color="auto"/>
      </w:divBdr>
    </w:div>
    <w:div w:id="629939489">
      <w:bodyDiv w:val="1"/>
      <w:marLeft w:val="0"/>
      <w:marRight w:val="0"/>
      <w:marTop w:val="0"/>
      <w:marBottom w:val="0"/>
      <w:divBdr>
        <w:top w:val="none" w:sz="0" w:space="0" w:color="auto"/>
        <w:left w:val="none" w:sz="0" w:space="0" w:color="auto"/>
        <w:bottom w:val="none" w:sz="0" w:space="0" w:color="auto"/>
        <w:right w:val="none" w:sz="0" w:space="0" w:color="auto"/>
      </w:divBdr>
    </w:div>
    <w:div w:id="630012692">
      <w:bodyDiv w:val="1"/>
      <w:marLeft w:val="0"/>
      <w:marRight w:val="0"/>
      <w:marTop w:val="0"/>
      <w:marBottom w:val="0"/>
      <w:divBdr>
        <w:top w:val="none" w:sz="0" w:space="0" w:color="auto"/>
        <w:left w:val="none" w:sz="0" w:space="0" w:color="auto"/>
        <w:bottom w:val="none" w:sz="0" w:space="0" w:color="auto"/>
        <w:right w:val="none" w:sz="0" w:space="0" w:color="auto"/>
      </w:divBdr>
    </w:div>
    <w:div w:id="630020686">
      <w:bodyDiv w:val="1"/>
      <w:marLeft w:val="0"/>
      <w:marRight w:val="0"/>
      <w:marTop w:val="0"/>
      <w:marBottom w:val="0"/>
      <w:divBdr>
        <w:top w:val="none" w:sz="0" w:space="0" w:color="auto"/>
        <w:left w:val="none" w:sz="0" w:space="0" w:color="auto"/>
        <w:bottom w:val="none" w:sz="0" w:space="0" w:color="auto"/>
        <w:right w:val="none" w:sz="0" w:space="0" w:color="auto"/>
      </w:divBdr>
    </w:div>
    <w:div w:id="630131661">
      <w:bodyDiv w:val="1"/>
      <w:marLeft w:val="0"/>
      <w:marRight w:val="0"/>
      <w:marTop w:val="0"/>
      <w:marBottom w:val="0"/>
      <w:divBdr>
        <w:top w:val="none" w:sz="0" w:space="0" w:color="auto"/>
        <w:left w:val="none" w:sz="0" w:space="0" w:color="auto"/>
        <w:bottom w:val="none" w:sz="0" w:space="0" w:color="auto"/>
        <w:right w:val="none" w:sz="0" w:space="0" w:color="auto"/>
      </w:divBdr>
    </w:div>
    <w:div w:id="630133097">
      <w:bodyDiv w:val="1"/>
      <w:marLeft w:val="0"/>
      <w:marRight w:val="0"/>
      <w:marTop w:val="0"/>
      <w:marBottom w:val="0"/>
      <w:divBdr>
        <w:top w:val="none" w:sz="0" w:space="0" w:color="auto"/>
        <w:left w:val="none" w:sz="0" w:space="0" w:color="auto"/>
        <w:bottom w:val="none" w:sz="0" w:space="0" w:color="auto"/>
        <w:right w:val="none" w:sz="0" w:space="0" w:color="auto"/>
      </w:divBdr>
    </w:div>
    <w:div w:id="630206239">
      <w:bodyDiv w:val="1"/>
      <w:marLeft w:val="0"/>
      <w:marRight w:val="0"/>
      <w:marTop w:val="0"/>
      <w:marBottom w:val="0"/>
      <w:divBdr>
        <w:top w:val="none" w:sz="0" w:space="0" w:color="auto"/>
        <w:left w:val="none" w:sz="0" w:space="0" w:color="auto"/>
        <w:bottom w:val="none" w:sz="0" w:space="0" w:color="auto"/>
        <w:right w:val="none" w:sz="0" w:space="0" w:color="auto"/>
      </w:divBdr>
    </w:div>
    <w:div w:id="630209082">
      <w:bodyDiv w:val="1"/>
      <w:marLeft w:val="0"/>
      <w:marRight w:val="0"/>
      <w:marTop w:val="0"/>
      <w:marBottom w:val="0"/>
      <w:divBdr>
        <w:top w:val="none" w:sz="0" w:space="0" w:color="auto"/>
        <w:left w:val="none" w:sz="0" w:space="0" w:color="auto"/>
        <w:bottom w:val="none" w:sz="0" w:space="0" w:color="auto"/>
        <w:right w:val="none" w:sz="0" w:space="0" w:color="auto"/>
      </w:divBdr>
    </w:div>
    <w:div w:id="630357927">
      <w:bodyDiv w:val="1"/>
      <w:marLeft w:val="0"/>
      <w:marRight w:val="0"/>
      <w:marTop w:val="0"/>
      <w:marBottom w:val="0"/>
      <w:divBdr>
        <w:top w:val="none" w:sz="0" w:space="0" w:color="auto"/>
        <w:left w:val="none" w:sz="0" w:space="0" w:color="auto"/>
        <w:bottom w:val="none" w:sz="0" w:space="0" w:color="auto"/>
        <w:right w:val="none" w:sz="0" w:space="0" w:color="auto"/>
      </w:divBdr>
    </w:div>
    <w:div w:id="630474907">
      <w:bodyDiv w:val="1"/>
      <w:marLeft w:val="0"/>
      <w:marRight w:val="0"/>
      <w:marTop w:val="0"/>
      <w:marBottom w:val="0"/>
      <w:divBdr>
        <w:top w:val="none" w:sz="0" w:space="0" w:color="auto"/>
        <w:left w:val="none" w:sz="0" w:space="0" w:color="auto"/>
        <w:bottom w:val="none" w:sz="0" w:space="0" w:color="auto"/>
        <w:right w:val="none" w:sz="0" w:space="0" w:color="auto"/>
      </w:divBdr>
    </w:div>
    <w:div w:id="630596063">
      <w:bodyDiv w:val="1"/>
      <w:marLeft w:val="0"/>
      <w:marRight w:val="0"/>
      <w:marTop w:val="0"/>
      <w:marBottom w:val="0"/>
      <w:divBdr>
        <w:top w:val="none" w:sz="0" w:space="0" w:color="auto"/>
        <w:left w:val="none" w:sz="0" w:space="0" w:color="auto"/>
        <w:bottom w:val="none" w:sz="0" w:space="0" w:color="auto"/>
        <w:right w:val="none" w:sz="0" w:space="0" w:color="auto"/>
      </w:divBdr>
    </w:div>
    <w:div w:id="630743729">
      <w:bodyDiv w:val="1"/>
      <w:marLeft w:val="0"/>
      <w:marRight w:val="0"/>
      <w:marTop w:val="0"/>
      <w:marBottom w:val="0"/>
      <w:divBdr>
        <w:top w:val="none" w:sz="0" w:space="0" w:color="auto"/>
        <w:left w:val="none" w:sz="0" w:space="0" w:color="auto"/>
        <w:bottom w:val="none" w:sz="0" w:space="0" w:color="auto"/>
        <w:right w:val="none" w:sz="0" w:space="0" w:color="auto"/>
      </w:divBdr>
    </w:div>
    <w:div w:id="630936714">
      <w:bodyDiv w:val="1"/>
      <w:marLeft w:val="0"/>
      <w:marRight w:val="0"/>
      <w:marTop w:val="0"/>
      <w:marBottom w:val="0"/>
      <w:divBdr>
        <w:top w:val="none" w:sz="0" w:space="0" w:color="auto"/>
        <w:left w:val="none" w:sz="0" w:space="0" w:color="auto"/>
        <w:bottom w:val="none" w:sz="0" w:space="0" w:color="auto"/>
        <w:right w:val="none" w:sz="0" w:space="0" w:color="auto"/>
      </w:divBdr>
    </w:div>
    <w:div w:id="630937663">
      <w:bodyDiv w:val="1"/>
      <w:marLeft w:val="0"/>
      <w:marRight w:val="0"/>
      <w:marTop w:val="0"/>
      <w:marBottom w:val="0"/>
      <w:divBdr>
        <w:top w:val="none" w:sz="0" w:space="0" w:color="auto"/>
        <w:left w:val="none" w:sz="0" w:space="0" w:color="auto"/>
        <w:bottom w:val="none" w:sz="0" w:space="0" w:color="auto"/>
        <w:right w:val="none" w:sz="0" w:space="0" w:color="auto"/>
      </w:divBdr>
    </w:div>
    <w:div w:id="630943632">
      <w:bodyDiv w:val="1"/>
      <w:marLeft w:val="0"/>
      <w:marRight w:val="0"/>
      <w:marTop w:val="0"/>
      <w:marBottom w:val="0"/>
      <w:divBdr>
        <w:top w:val="none" w:sz="0" w:space="0" w:color="auto"/>
        <w:left w:val="none" w:sz="0" w:space="0" w:color="auto"/>
        <w:bottom w:val="none" w:sz="0" w:space="0" w:color="auto"/>
        <w:right w:val="none" w:sz="0" w:space="0" w:color="auto"/>
      </w:divBdr>
    </w:div>
    <w:div w:id="630983885">
      <w:bodyDiv w:val="1"/>
      <w:marLeft w:val="0"/>
      <w:marRight w:val="0"/>
      <w:marTop w:val="0"/>
      <w:marBottom w:val="0"/>
      <w:divBdr>
        <w:top w:val="none" w:sz="0" w:space="0" w:color="auto"/>
        <w:left w:val="none" w:sz="0" w:space="0" w:color="auto"/>
        <w:bottom w:val="none" w:sz="0" w:space="0" w:color="auto"/>
        <w:right w:val="none" w:sz="0" w:space="0" w:color="auto"/>
      </w:divBdr>
    </w:div>
    <w:div w:id="631057884">
      <w:bodyDiv w:val="1"/>
      <w:marLeft w:val="0"/>
      <w:marRight w:val="0"/>
      <w:marTop w:val="0"/>
      <w:marBottom w:val="0"/>
      <w:divBdr>
        <w:top w:val="none" w:sz="0" w:space="0" w:color="auto"/>
        <w:left w:val="none" w:sz="0" w:space="0" w:color="auto"/>
        <w:bottom w:val="none" w:sz="0" w:space="0" w:color="auto"/>
        <w:right w:val="none" w:sz="0" w:space="0" w:color="auto"/>
      </w:divBdr>
    </w:div>
    <w:div w:id="631178408">
      <w:bodyDiv w:val="1"/>
      <w:marLeft w:val="0"/>
      <w:marRight w:val="0"/>
      <w:marTop w:val="0"/>
      <w:marBottom w:val="0"/>
      <w:divBdr>
        <w:top w:val="none" w:sz="0" w:space="0" w:color="auto"/>
        <w:left w:val="none" w:sz="0" w:space="0" w:color="auto"/>
        <w:bottom w:val="none" w:sz="0" w:space="0" w:color="auto"/>
        <w:right w:val="none" w:sz="0" w:space="0" w:color="auto"/>
      </w:divBdr>
    </w:div>
    <w:div w:id="631331240">
      <w:bodyDiv w:val="1"/>
      <w:marLeft w:val="0"/>
      <w:marRight w:val="0"/>
      <w:marTop w:val="0"/>
      <w:marBottom w:val="0"/>
      <w:divBdr>
        <w:top w:val="none" w:sz="0" w:space="0" w:color="auto"/>
        <w:left w:val="none" w:sz="0" w:space="0" w:color="auto"/>
        <w:bottom w:val="none" w:sz="0" w:space="0" w:color="auto"/>
        <w:right w:val="none" w:sz="0" w:space="0" w:color="auto"/>
      </w:divBdr>
    </w:div>
    <w:div w:id="631400658">
      <w:bodyDiv w:val="1"/>
      <w:marLeft w:val="0"/>
      <w:marRight w:val="0"/>
      <w:marTop w:val="0"/>
      <w:marBottom w:val="0"/>
      <w:divBdr>
        <w:top w:val="none" w:sz="0" w:space="0" w:color="auto"/>
        <w:left w:val="none" w:sz="0" w:space="0" w:color="auto"/>
        <w:bottom w:val="none" w:sz="0" w:space="0" w:color="auto"/>
        <w:right w:val="none" w:sz="0" w:space="0" w:color="auto"/>
      </w:divBdr>
    </w:div>
    <w:div w:id="631443508">
      <w:bodyDiv w:val="1"/>
      <w:marLeft w:val="0"/>
      <w:marRight w:val="0"/>
      <w:marTop w:val="0"/>
      <w:marBottom w:val="0"/>
      <w:divBdr>
        <w:top w:val="none" w:sz="0" w:space="0" w:color="auto"/>
        <w:left w:val="none" w:sz="0" w:space="0" w:color="auto"/>
        <w:bottom w:val="none" w:sz="0" w:space="0" w:color="auto"/>
        <w:right w:val="none" w:sz="0" w:space="0" w:color="auto"/>
      </w:divBdr>
    </w:div>
    <w:div w:id="631516562">
      <w:bodyDiv w:val="1"/>
      <w:marLeft w:val="0"/>
      <w:marRight w:val="0"/>
      <w:marTop w:val="0"/>
      <w:marBottom w:val="0"/>
      <w:divBdr>
        <w:top w:val="none" w:sz="0" w:space="0" w:color="auto"/>
        <w:left w:val="none" w:sz="0" w:space="0" w:color="auto"/>
        <w:bottom w:val="none" w:sz="0" w:space="0" w:color="auto"/>
        <w:right w:val="none" w:sz="0" w:space="0" w:color="auto"/>
      </w:divBdr>
    </w:div>
    <w:div w:id="631638411">
      <w:bodyDiv w:val="1"/>
      <w:marLeft w:val="0"/>
      <w:marRight w:val="0"/>
      <w:marTop w:val="0"/>
      <w:marBottom w:val="0"/>
      <w:divBdr>
        <w:top w:val="none" w:sz="0" w:space="0" w:color="auto"/>
        <w:left w:val="none" w:sz="0" w:space="0" w:color="auto"/>
        <w:bottom w:val="none" w:sz="0" w:space="0" w:color="auto"/>
        <w:right w:val="none" w:sz="0" w:space="0" w:color="auto"/>
      </w:divBdr>
    </w:div>
    <w:div w:id="631668087">
      <w:bodyDiv w:val="1"/>
      <w:marLeft w:val="0"/>
      <w:marRight w:val="0"/>
      <w:marTop w:val="0"/>
      <w:marBottom w:val="0"/>
      <w:divBdr>
        <w:top w:val="none" w:sz="0" w:space="0" w:color="auto"/>
        <w:left w:val="none" w:sz="0" w:space="0" w:color="auto"/>
        <w:bottom w:val="none" w:sz="0" w:space="0" w:color="auto"/>
        <w:right w:val="none" w:sz="0" w:space="0" w:color="auto"/>
      </w:divBdr>
    </w:div>
    <w:div w:id="631711455">
      <w:bodyDiv w:val="1"/>
      <w:marLeft w:val="0"/>
      <w:marRight w:val="0"/>
      <w:marTop w:val="0"/>
      <w:marBottom w:val="0"/>
      <w:divBdr>
        <w:top w:val="none" w:sz="0" w:space="0" w:color="auto"/>
        <w:left w:val="none" w:sz="0" w:space="0" w:color="auto"/>
        <w:bottom w:val="none" w:sz="0" w:space="0" w:color="auto"/>
        <w:right w:val="none" w:sz="0" w:space="0" w:color="auto"/>
      </w:divBdr>
    </w:div>
    <w:div w:id="631787046">
      <w:bodyDiv w:val="1"/>
      <w:marLeft w:val="0"/>
      <w:marRight w:val="0"/>
      <w:marTop w:val="0"/>
      <w:marBottom w:val="0"/>
      <w:divBdr>
        <w:top w:val="none" w:sz="0" w:space="0" w:color="auto"/>
        <w:left w:val="none" w:sz="0" w:space="0" w:color="auto"/>
        <w:bottom w:val="none" w:sz="0" w:space="0" w:color="auto"/>
        <w:right w:val="none" w:sz="0" w:space="0" w:color="auto"/>
      </w:divBdr>
    </w:div>
    <w:div w:id="631863488">
      <w:bodyDiv w:val="1"/>
      <w:marLeft w:val="0"/>
      <w:marRight w:val="0"/>
      <w:marTop w:val="0"/>
      <w:marBottom w:val="0"/>
      <w:divBdr>
        <w:top w:val="none" w:sz="0" w:space="0" w:color="auto"/>
        <w:left w:val="none" w:sz="0" w:space="0" w:color="auto"/>
        <w:bottom w:val="none" w:sz="0" w:space="0" w:color="auto"/>
        <w:right w:val="none" w:sz="0" w:space="0" w:color="auto"/>
      </w:divBdr>
    </w:div>
    <w:div w:id="631983383">
      <w:bodyDiv w:val="1"/>
      <w:marLeft w:val="0"/>
      <w:marRight w:val="0"/>
      <w:marTop w:val="0"/>
      <w:marBottom w:val="0"/>
      <w:divBdr>
        <w:top w:val="none" w:sz="0" w:space="0" w:color="auto"/>
        <w:left w:val="none" w:sz="0" w:space="0" w:color="auto"/>
        <w:bottom w:val="none" w:sz="0" w:space="0" w:color="auto"/>
        <w:right w:val="none" w:sz="0" w:space="0" w:color="auto"/>
      </w:divBdr>
    </w:div>
    <w:div w:id="632104661">
      <w:bodyDiv w:val="1"/>
      <w:marLeft w:val="0"/>
      <w:marRight w:val="0"/>
      <w:marTop w:val="0"/>
      <w:marBottom w:val="0"/>
      <w:divBdr>
        <w:top w:val="none" w:sz="0" w:space="0" w:color="auto"/>
        <w:left w:val="none" w:sz="0" w:space="0" w:color="auto"/>
        <w:bottom w:val="none" w:sz="0" w:space="0" w:color="auto"/>
        <w:right w:val="none" w:sz="0" w:space="0" w:color="auto"/>
      </w:divBdr>
    </w:div>
    <w:div w:id="632104814">
      <w:bodyDiv w:val="1"/>
      <w:marLeft w:val="0"/>
      <w:marRight w:val="0"/>
      <w:marTop w:val="0"/>
      <w:marBottom w:val="0"/>
      <w:divBdr>
        <w:top w:val="none" w:sz="0" w:space="0" w:color="auto"/>
        <w:left w:val="none" w:sz="0" w:space="0" w:color="auto"/>
        <w:bottom w:val="none" w:sz="0" w:space="0" w:color="auto"/>
        <w:right w:val="none" w:sz="0" w:space="0" w:color="auto"/>
      </w:divBdr>
    </w:div>
    <w:div w:id="632178862">
      <w:bodyDiv w:val="1"/>
      <w:marLeft w:val="0"/>
      <w:marRight w:val="0"/>
      <w:marTop w:val="0"/>
      <w:marBottom w:val="0"/>
      <w:divBdr>
        <w:top w:val="none" w:sz="0" w:space="0" w:color="auto"/>
        <w:left w:val="none" w:sz="0" w:space="0" w:color="auto"/>
        <w:bottom w:val="none" w:sz="0" w:space="0" w:color="auto"/>
        <w:right w:val="none" w:sz="0" w:space="0" w:color="auto"/>
      </w:divBdr>
    </w:div>
    <w:div w:id="632251652">
      <w:bodyDiv w:val="1"/>
      <w:marLeft w:val="0"/>
      <w:marRight w:val="0"/>
      <w:marTop w:val="0"/>
      <w:marBottom w:val="0"/>
      <w:divBdr>
        <w:top w:val="none" w:sz="0" w:space="0" w:color="auto"/>
        <w:left w:val="none" w:sz="0" w:space="0" w:color="auto"/>
        <w:bottom w:val="none" w:sz="0" w:space="0" w:color="auto"/>
        <w:right w:val="none" w:sz="0" w:space="0" w:color="auto"/>
      </w:divBdr>
    </w:div>
    <w:div w:id="632296339">
      <w:bodyDiv w:val="1"/>
      <w:marLeft w:val="0"/>
      <w:marRight w:val="0"/>
      <w:marTop w:val="0"/>
      <w:marBottom w:val="0"/>
      <w:divBdr>
        <w:top w:val="none" w:sz="0" w:space="0" w:color="auto"/>
        <w:left w:val="none" w:sz="0" w:space="0" w:color="auto"/>
        <w:bottom w:val="none" w:sz="0" w:space="0" w:color="auto"/>
        <w:right w:val="none" w:sz="0" w:space="0" w:color="auto"/>
      </w:divBdr>
    </w:div>
    <w:div w:id="632297795">
      <w:bodyDiv w:val="1"/>
      <w:marLeft w:val="0"/>
      <w:marRight w:val="0"/>
      <w:marTop w:val="0"/>
      <w:marBottom w:val="0"/>
      <w:divBdr>
        <w:top w:val="none" w:sz="0" w:space="0" w:color="auto"/>
        <w:left w:val="none" w:sz="0" w:space="0" w:color="auto"/>
        <w:bottom w:val="none" w:sz="0" w:space="0" w:color="auto"/>
        <w:right w:val="none" w:sz="0" w:space="0" w:color="auto"/>
      </w:divBdr>
    </w:div>
    <w:div w:id="632369826">
      <w:bodyDiv w:val="1"/>
      <w:marLeft w:val="0"/>
      <w:marRight w:val="0"/>
      <w:marTop w:val="0"/>
      <w:marBottom w:val="0"/>
      <w:divBdr>
        <w:top w:val="none" w:sz="0" w:space="0" w:color="auto"/>
        <w:left w:val="none" w:sz="0" w:space="0" w:color="auto"/>
        <w:bottom w:val="none" w:sz="0" w:space="0" w:color="auto"/>
        <w:right w:val="none" w:sz="0" w:space="0" w:color="auto"/>
      </w:divBdr>
    </w:div>
    <w:div w:id="632371295">
      <w:bodyDiv w:val="1"/>
      <w:marLeft w:val="0"/>
      <w:marRight w:val="0"/>
      <w:marTop w:val="0"/>
      <w:marBottom w:val="0"/>
      <w:divBdr>
        <w:top w:val="none" w:sz="0" w:space="0" w:color="auto"/>
        <w:left w:val="none" w:sz="0" w:space="0" w:color="auto"/>
        <w:bottom w:val="none" w:sz="0" w:space="0" w:color="auto"/>
        <w:right w:val="none" w:sz="0" w:space="0" w:color="auto"/>
      </w:divBdr>
    </w:div>
    <w:div w:id="632439986">
      <w:bodyDiv w:val="1"/>
      <w:marLeft w:val="0"/>
      <w:marRight w:val="0"/>
      <w:marTop w:val="0"/>
      <w:marBottom w:val="0"/>
      <w:divBdr>
        <w:top w:val="none" w:sz="0" w:space="0" w:color="auto"/>
        <w:left w:val="none" w:sz="0" w:space="0" w:color="auto"/>
        <w:bottom w:val="none" w:sz="0" w:space="0" w:color="auto"/>
        <w:right w:val="none" w:sz="0" w:space="0" w:color="auto"/>
      </w:divBdr>
    </w:div>
    <w:div w:id="632566183">
      <w:bodyDiv w:val="1"/>
      <w:marLeft w:val="0"/>
      <w:marRight w:val="0"/>
      <w:marTop w:val="0"/>
      <w:marBottom w:val="0"/>
      <w:divBdr>
        <w:top w:val="none" w:sz="0" w:space="0" w:color="auto"/>
        <w:left w:val="none" w:sz="0" w:space="0" w:color="auto"/>
        <w:bottom w:val="none" w:sz="0" w:space="0" w:color="auto"/>
        <w:right w:val="none" w:sz="0" w:space="0" w:color="auto"/>
      </w:divBdr>
    </w:div>
    <w:div w:id="632566523">
      <w:bodyDiv w:val="1"/>
      <w:marLeft w:val="0"/>
      <w:marRight w:val="0"/>
      <w:marTop w:val="0"/>
      <w:marBottom w:val="0"/>
      <w:divBdr>
        <w:top w:val="none" w:sz="0" w:space="0" w:color="auto"/>
        <w:left w:val="none" w:sz="0" w:space="0" w:color="auto"/>
        <w:bottom w:val="none" w:sz="0" w:space="0" w:color="auto"/>
        <w:right w:val="none" w:sz="0" w:space="0" w:color="auto"/>
      </w:divBdr>
    </w:div>
    <w:div w:id="632639581">
      <w:bodyDiv w:val="1"/>
      <w:marLeft w:val="0"/>
      <w:marRight w:val="0"/>
      <w:marTop w:val="0"/>
      <w:marBottom w:val="0"/>
      <w:divBdr>
        <w:top w:val="none" w:sz="0" w:space="0" w:color="auto"/>
        <w:left w:val="none" w:sz="0" w:space="0" w:color="auto"/>
        <w:bottom w:val="none" w:sz="0" w:space="0" w:color="auto"/>
        <w:right w:val="none" w:sz="0" w:space="0" w:color="auto"/>
      </w:divBdr>
    </w:div>
    <w:div w:id="632684646">
      <w:bodyDiv w:val="1"/>
      <w:marLeft w:val="0"/>
      <w:marRight w:val="0"/>
      <w:marTop w:val="0"/>
      <w:marBottom w:val="0"/>
      <w:divBdr>
        <w:top w:val="none" w:sz="0" w:space="0" w:color="auto"/>
        <w:left w:val="none" w:sz="0" w:space="0" w:color="auto"/>
        <w:bottom w:val="none" w:sz="0" w:space="0" w:color="auto"/>
        <w:right w:val="none" w:sz="0" w:space="0" w:color="auto"/>
      </w:divBdr>
    </w:div>
    <w:div w:id="632752683">
      <w:bodyDiv w:val="1"/>
      <w:marLeft w:val="0"/>
      <w:marRight w:val="0"/>
      <w:marTop w:val="0"/>
      <w:marBottom w:val="0"/>
      <w:divBdr>
        <w:top w:val="none" w:sz="0" w:space="0" w:color="auto"/>
        <w:left w:val="none" w:sz="0" w:space="0" w:color="auto"/>
        <w:bottom w:val="none" w:sz="0" w:space="0" w:color="auto"/>
        <w:right w:val="none" w:sz="0" w:space="0" w:color="auto"/>
      </w:divBdr>
    </w:div>
    <w:div w:id="632759592">
      <w:bodyDiv w:val="1"/>
      <w:marLeft w:val="0"/>
      <w:marRight w:val="0"/>
      <w:marTop w:val="0"/>
      <w:marBottom w:val="0"/>
      <w:divBdr>
        <w:top w:val="none" w:sz="0" w:space="0" w:color="auto"/>
        <w:left w:val="none" w:sz="0" w:space="0" w:color="auto"/>
        <w:bottom w:val="none" w:sz="0" w:space="0" w:color="auto"/>
        <w:right w:val="none" w:sz="0" w:space="0" w:color="auto"/>
      </w:divBdr>
    </w:div>
    <w:div w:id="632952319">
      <w:bodyDiv w:val="1"/>
      <w:marLeft w:val="0"/>
      <w:marRight w:val="0"/>
      <w:marTop w:val="0"/>
      <w:marBottom w:val="0"/>
      <w:divBdr>
        <w:top w:val="none" w:sz="0" w:space="0" w:color="auto"/>
        <w:left w:val="none" w:sz="0" w:space="0" w:color="auto"/>
        <w:bottom w:val="none" w:sz="0" w:space="0" w:color="auto"/>
        <w:right w:val="none" w:sz="0" w:space="0" w:color="auto"/>
      </w:divBdr>
    </w:div>
    <w:div w:id="633102857">
      <w:bodyDiv w:val="1"/>
      <w:marLeft w:val="0"/>
      <w:marRight w:val="0"/>
      <w:marTop w:val="0"/>
      <w:marBottom w:val="0"/>
      <w:divBdr>
        <w:top w:val="none" w:sz="0" w:space="0" w:color="auto"/>
        <w:left w:val="none" w:sz="0" w:space="0" w:color="auto"/>
        <w:bottom w:val="none" w:sz="0" w:space="0" w:color="auto"/>
        <w:right w:val="none" w:sz="0" w:space="0" w:color="auto"/>
      </w:divBdr>
    </w:div>
    <w:div w:id="633213301">
      <w:bodyDiv w:val="1"/>
      <w:marLeft w:val="0"/>
      <w:marRight w:val="0"/>
      <w:marTop w:val="0"/>
      <w:marBottom w:val="0"/>
      <w:divBdr>
        <w:top w:val="none" w:sz="0" w:space="0" w:color="auto"/>
        <w:left w:val="none" w:sz="0" w:space="0" w:color="auto"/>
        <w:bottom w:val="none" w:sz="0" w:space="0" w:color="auto"/>
        <w:right w:val="none" w:sz="0" w:space="0" w:color="auto"/>
      </w:divBdr>
    </w:div>
    <w:div w:id="633365127">
      <w:bodyDiv w:val="1"/>
      <w:marLeft w:val="0"/>
      <w:marRight w:val="0"/>
      <w:marTop w:val="0"/>
      <w:marBottom w:val="0"/>
      <w:divBdr>
        <w:top w:val="none" w:sz="0" w:space="0" w:color="auto"/>
        <w:left w:val="none" w:sz="0" w:space="0" w:color="auto"/>
        <w:bottom w:val="none" w:sz="0" w:space="0" w:color="auto"/>
        <w:right w:val="none" w:sz="0" w:space="0" w:color="auto"/>
      </w:divBdr>
    </w:div>
    <w:div w:id="633366858">
      <w:bodyDiv w:val="1"/>
      <w:marLeft w:val="0"/>
      <w:marRight w:val="0"/>
      <w:marTop w:val="0"/>
      <w:marBottom w:val="0"/>
      <w:divBdr>
        <w:top w:val="none" w:sz="0" w:space="0" w:color="auto"/>
        <w:left w:val="none" w:sz="0" w:space="0" w:color="auto"/>
        <w:bottom w:val="none" w:sz="0" w:space="0" w:color="auto"/>
        <w:right w:val="none" w:sz="0" w:space="0" w:color="auto"/>
      </w:divBdr>
    </w:div>
    <w:div w:id="633369340">
      <w:bodyDiv w:val="1"/>
      <w:marLeft w:val="0"/>
      <w:marRight w:val="0"/>
      <w:marTop w:val="0"/>
      <w:marBottom w:val="0"/>
      <w:divBdr>
        <w:top w:val="none" w:sz="0" w:space="0" w:color="auto"/>
        <w:left w:val="none" w:sz="0" w:space="0" w:color="auto"/>
        <w:bottom w:val="none" w:sz="0" w:space="0" w:color="auto"/>
        <w:right w:val="none" w:sz="0" w:space="0" w:color="auto"/>
      </w:divBdr>
    </w:div>
    <w:div w:id="633370392">
      <w:bodyDiv w:val="1"/>
      <w:marLeft w:val="0"/>
      <w:marRight w:val="0"/>
      <w:marTop w:val="0"/>
      <w:marBottom w:val="0"/>
      <w:divBdr>
        <w:top w:val="none" w:sz="0" w:space="0" w:color="auto"/>
        <w:left w:val="none" w:sz="0" w:space="0" w:color="auto"/>
        <w:bottom w:val="none" w:sz="0" w:space="0" w:color="auto"/>
        <w:right w:val="none" w:sz="0" w:space="0" w:color="auto"/>
      </w:divBdr>
    </w:div>
    <w:div w:id="633406348">
      <w:bodyDiv w:val="1"/>
      <w:marLeft w:val="0"/>
      <w:marRight w:val="0"/>
      <w:marTop w:val="0"/>
      <w:marBottom w:val="0"/>
      <w:divBdr>
        <w:top w:val="none" w:sz="0" w:space="0" w:color="auto"/>
        <w:left w:val="none" w:sz="0" w:space="0" w:color="auto"/>
        <w:bottom w:val="none" w:sz="0" w:space="0" w:color="auto"/>
        <w:right w:val="none" w:sz="0" w:space="0" w:color="auto"/>
      </w:divBdr>
    </w:div>
    <w:div w:id="633560870">
      <w:bodyDiv w:val="1"/>
      <w:marLeft w:val="0"/>
      <w:marRight w:val="0"/>
      <w:marTop w:val="0"/>
      <w:marBottom w:val="0"/>
      <w:divBdr>
        <w:top w:val="none" w:sz="0" w:space="0" w:color="auto"/>
        <w:left w:val="none" w:sz="0" w:space="0" w:color="auto"/>
        <w:bottom w:val="none" w:sz="0" w:space="0" w:color="auto"/>
        <w:right w:val="none" w:sz="0" w:space="0" w:color="auto"/>
      </w:divBdr>
    </w:div>
    <w:div w:id="633566232">
      <w:bodyDiv w:val="1"/>
      <w:marLeft w:val="0"/>
      <w:marRight w:val="0"/>
      <w:marTop w:val="0"/>
      <w:marBottom w:val="0"/>
      <w:divBdr>
        <w:top w:val="none" w:sz="0" w:space="0" w:color="auto"/>
        <w:left w:val="none" w:sz="0" w:space="0" w:color="auto"/>
        <w:bottom w:val="none" w:sz="0" w:space="0" w:color="auto"/>
        <w:right w:val="none" w:sz="0" w:space="0" w:color="auto"/>
      </w:divBdr>
    </w:div>
    <w:div w:id="633604191">
      <w:bodyDiv w:val="1"/>
      <w:marLeft w:val="0"/>
      <w:marRight w:val="0"/>
      <w:marTop w:val="0"/>
      <w:marBottom w:val="0"/>
      <w:divBdr>
        <w:top w:val="none" w:sz="0" w:space="0" w:color="auto"/>
        <w:left w:val="none" w:sz="0" w:space="0" w:color="auto"/>
        <w:bottom w:val="none" w:sz="0" w:space="0" w:color="auto"/>
        <w:right w:val="none" w:sz="0" w:space="0" w:color="auto"/>
      </w:divBdr>
    </w:div>
    <w:div w:id="633605829">
      <w:bodyDiv w:val="1"/>
      <w:marLeft w:val="0"/>
      <w:marRight w:val="0"/>
      <w:marTop w:val="0"/>
      <w:marBottom w:val="0"/>
      <w:divBdr>
        <w:top w:val="none" w:sz="0" w:space="0" w:color="auto"/>
        <w:left w:val="none" w:sz="0" w:space="0" w:color="auto"/>
        <w:bottom w:val="none" w:sz="0" w:space="0" w:color="auto"/>
        <w:right w:val="none" w:sz="0" w:space="0" w:color="auto"/>
      </w:divBdr>
    </w:div>
    <w:div w:id="633677695">
      <w:bodyDiv w:val="1"/>
      <w:marLeft w:val="0"/>
      <w:marRight w:val="0"/>
      <w:marTop w:val="0"/>
      <w:marBottom w:val="0"/>
      <w:divBdr>
        <w:top w:val="none" w:sz="0" w:space="0" w:color="auto"/>
        <w:left w:val="none" w:sz="0" w:space="0" w:color="auto"/>
        <w:bottom w:val="none" w:sz="0" w:space="0" w:color="auto"/>
        <w:right w:val="none" w:sz="0" w:space="0" w:color="auto"/>
      </w:divBdr>
    </w:div>
    <w:div w:id="633682207">
      <w:bodyDiv w:val="1"/>
      <w:marLeft w:val="0"/>
      <w:marRight w:val="0"/>
      <w:marTop w:val="0"/>
      <w:marBottom w:val="0"/>
      <w:divBdr>
        <w:top w:val="none" w:sz="0" w:space="0" w:color="auto"/>
        <w:left w:val="none" w:sz="0" w:space="0" w:color="auto"/>
        <w:bottom w:val="none" w:sz="0" w:space="0" w:color="auto"/>
        <w:right w:val="none" w:sz="0" w:space="0" w:color="auto"/>
      </w:divBdr>
    </w:div>
    <w:div w:id="633752655">
      <w:bodyDiv w:val="1"/>
      <w:marLeft w:val="0"/>
      <w:marRight w:val="0"/>
      <w:marTop w:val="0"/>
      <w:marBottom w:val="0"/>
      <w:divBdr>
        <w:top w:val="none" w:sz="0" w:space="0" w:color="auto"/>
        <w:left w:val="none" w:sz="0" w:space="0" w:color="auto"/>
        <w:bottom w:val="none" w:sz="0" w:space="0" w:color="auto"/>
        <w:right w:val="none" w:sz="0" w:space="0" w:color="auto"/>
      </w:divBdr>
    </w:div>
    <w:div w:id="633945217">
      <w:bodyDiv w:val="1"/>
      <w:marLeft w:val="0"/>
      <w:marRight w:val="0"/>
      <w:marTop w:val="0"/>
      <w:marBottom w:val="0"/>
      <w:divBdr>
        <w:top w:val="none" w:sz="0" w:space="0" w:color="auto"/>
        <w:left w:val="none" w:sz="0" w:space="0" w:color="auto"/>
        <w:bottom w:val="none" w:sz="0" w:space="0" w:color="auto"/>
        <w:right w:val="none" w:sz="0" w:space="0" w:color="auto"/>
      </w:divBdr>
    </w:div>
    <w:div w:id="633952748">
      <w:bodyDiv w:val="1"/>
      <w:marLeft w:val="0"/>
      <w:marRight w:val="0"/>
      <w:marTop w:val="0"/>
      <w:marBottom w:val="0"/>
      <w:divBdr>
        <w:top w:val="none" w:sz="0" w:space="0" w:color="auto"/>
        <w:left w:val="none" w:sz="0" w:space="0" w:color="auto"/>
        <w:bottom w:val="none" w:sz="0" w:space="0" w:color="auto"/>
        <w:right w:val="none" w:sz="0" w:space="0" w:color="auto"/>
      </w:divBdr>
    </w:div>
    <w:div w:id="633953320">
      <w:bodyDiv w:val="1"/>
      <w:marLeft w:val="0"/>
      <w:marRight w:val="0"/>
      <w:marTop w:val="0"/>
      <w:marBottom w:val="0"/>
      <w:divBdr>
        <w:top w:val="none" w:sz="0" w:space="0" w:color="auto"/>
        <w:left w:val="none" w:sz="0" w:space="0" w:color="auto"/>
        <w:bottom w:val="none" w:sz="0" w:space="0" w:color="auto"/>
        <w:right w:val="none" w:sz="0" w:space="0" w:color="auto"/>
      </w:divBdr>
    </w:div>
    <w:div w:id="634027177">
      <w:bodyDiv w:val="1"/>
      <w:marLeft w:val="0"/>
      <w:marRight w:val="0"/>
      <w:marTop w:val="0"/>
      <w:marBottom w:val="0"/>
      <w:divBdr>
        <w:top w:val="none" w:sz="0" w:space="0" w:color="auto"/>
        <w:left w:val="none" w:sz="0" w:space="0" w:color="auto"/>
        <w:bottom w:val="none" w:sz="0" w:space="0" w:color="auto"/>
        <w:right w:val="none" w:sz="0" w:space="0" w:color="auto"/>
      </w:divBdr>
    </w:div>
    <w:div w:id="634069230">
      <w:bodyDiv w:val="1"/>
      <w:marLeft w:val="0"/>
      <w:marRight w:val="0"/>
      <w:marTop w:val="0"/>
      <w:marBottom w:val="0"/>
      <w:divBdr>
        <w:top w:val="none" w:sz="0" w:space="0" w:color="auto"/>
        <w:left w:val="none" w:sz="0" w:space="0" w:color="auto"/>
        <w:bottom w:val="none" w:sz="0" w:space="0" w:color="auto"/>
        <w:right w:val="none" w:sz="0" w:space="0" w:color="auto"/>
      </w:divBdr>
    </w:div>
    <w:div w:id="634069434">
      <w:bodyDiv w:val="1"/>
      <w:marLeft w:val="0"/>
      <w:marRight w:val="0"/>
      <w:marTop w:val="0"/>
      <w:marBottom w:val="0"/>
      <w:divBdr>
        <w:top w:val="none" w:sz="0" w:space="0" w:color="auto"/>
        <w:left w:val="none" w:sz="0" w:space="0" w:color="auto"/>
        <w:bottom w:val="none" w:sz="0" w:space="0" w:color="auto"/>
        <w:right w:val="none" w:sz="0" w:space="0" w:color="auto"/>
      </w:divBdr>
    </w:div>
    <w:div w:id="634071307">
      <w:bodyDiv w:val="1"/>
      <w:marLeft w:val="0"/>
      <w:marRight w:val="0"/>
      <w:marTop w:val="0"/>
      <w:marBottom w:val="0"/>
      <w:divBdr>
        <w:top w:val="none" w:sz="0" w:space="0" w:color="auto"/>
        <w:left w:val="none" w:sz="0" w:space="0" w:color="auto"/>
        <w:bottom w:val="none" w:sz="0" w:space="0" w:color="auto"/>
        <w:right w:val="none" w:sz="0" w:space="0" w:color="auto"/>
      </w:divBdr>
    </w:div>
    <w:div w:id="634071400">
      <w:bodyDiv w:val="1"/>
      <w:marLeft w:val="0"/>
      <w:marRight w:val="0"/>
      <w:marTop w:val="0"/>
      <w:marBottom w:val="0"/>
      <w:divBdr>
        <w:top w:val="none" w:sz="0" w:space="0" w:color="auto"/>
        <w:left w:val="none" w:sz="0" w:space="0" w:color="auto"/>
        <w:bottom w:val="none" w:sz="0" w:space="0" w:color="auto"/>
        <w:right w:val="none" w:sz="0" w:space="0" w:color="auto"/>
      </w:divBdr>
    </w:div>
    <w:div w:id="634258254">
      <w:bodyDiv w:val="1"/>
      <w:marLeft w:val="0"/>
      <w:marRight w:val="0"/>
      <w:marTop w:val="0"/>
      <w:marBottom w:val="0"/>
      <w:divBdr>
        <w:top w:val="none" w:sz="0" w:space="0" w:color="auto"/>
        <w:left w:val="none" w:sz="0" w:space="0" w:color="auto"/>
        <w:bottom w:val="none" w:sz="0" w:space="0" w:color="auto"/>
        <w:right w:val="none" w:sz="0" w:space="0" w:color="auto"/>
      </w:divBdr>
    </w:div>
    <w:div w:id="634261211">
      <w:bodyDiv w:val="1"/>
      <w:marLeft w:val="0"/>
      <w:marRight w:val="0"/>
      <w:marTop w:val="0"/>
      <w:marBottom w:val="0"/>
      <w:divBdr>
        <w:top w:val="none" w:sz="0" w:space="0" w:color="auto"/>
        <w:left w:val="none" w:sz="0" w:space="0" w:color="auto"/>
        <w:bottom w:val="none" w:sz="0" w:space="0" w:color="auto"/>
        <w:right w:val="none" w:sz="0" w:space="0" w:color="auto"/>
      </w:divBdr>
    </w:div>
    <w:div w:id="634455719">
      <w:bodyDiv w:val="1"/>
      <w:marLeft w:val="0"/>
      <w:marRight w:val="0"/>
      <w:marTop w:val="0"/>
      <w:marBottom w:val="0"/>
      <w:divBdr>
        <w:top w:val="none" w:sz="0" w:space="0" w:color="auto"/>
        <w:left w:val="none" w:sz="0" w:space="0" w:color="auto"/>
        <w:bottom w:val="none" w:sz="0" w:space="0" w:color="auto"/>
        <w:right w:val="none" w:sz="0" w:space="0" w:color="auto"/>
      </w:divBdr>
    </w:div>
    <w:div w:id="634607235">
      <w:bodyDiv w:val="1"/>
      <w:marLeft w:val="0"/>
      <w:marRight w:val="0"/>
      <w:marTop w:val="0"/>
      <w:marBottom w:val="0"/>
      <w:divBdr>
        <w:top w:val="none" w:sz="0" w:space="0" w:color="auto"/>
        <w:left w:val="none" w:sz="0" w:space="0" w:color="auto"/>
        <w:bottom w:val="none" w:sz="0" w:space="0" w:color="auto"/>
        <w:right w:val="none" w:sz="0" w:space="0" w:color="auto"/>
      </w:divBdr>
    </w:div>
    <w:div w:id="634683036">
      <w:bodyDiv w:val="1"/>
      <w:marLeft w:val="0"/>
      <w:marRight w:val="0"/>
      <w:marTop w:val="0"/>
      <w:marBottom w:val="0"/>
      <w:divBdr>
        <w:top w:val="none" w:sz="0" w:space="0" w:color="auto"/>
        <w:left w:val="none" w:sz="0" w:space="0" w:color="auto"/>
        <w:bottom w:val="none" w:sz="0" w:space="0" w:color="auto"/>
        <w:right w:val="none" w:sz="0" w:space="0" w:color="auto"/>
      </w:divBdr>
    </w:div>
    <w:div w:id="634717654">
      <w:bodyDiv w:val="1"/>
      <w:marLeft w:val="0"/>
      <w:marRight w:val="0"/>
      <w:marTop w:val="0"/>
      <w:marBottom w:val="0"/>
      <w:divBdr>
        <w:top w:val="none" w:sz="0" w:space="0" w:color="auto"/>
        <w:left w:val="none" w:sz="0" w:space="0" w:color="auto"/>
        <w:bottom w:val="none" w:sz="0" w:space="0" w:color="auto"/>
        <w:right w:val="none" w:sz="0" w:space="0" w:color="auto"/>
      </w:divBdr>
    </w:div>
    <w:div w:id="634722142">
      <w:bodyDiv w:val="1"/>
      <w:marLeft w:val="0"/>
      <w:marRight w:val="0"/>
      <w:marTop w:val="0"/>
      <w:marBottom w:val="0"/>
      <w:divBdr>
        <w:top w:val="none" w:sz="0" w:space="0" w:color="auto"/>
        <w:left w:val="none" w:sz="0" w:space="0" w:color="auto"/>
        <w:bottom w:val="none" w:sz="0" w:space="0" w:color="auto"/>
        <w:right w:val="none" w:sz="0" w:space="0" w:color="auto"/>
      </w:divBdr>
    </w:div>
    <w:div w:id="634724785">
      <w:bodyDiv w:val="1"/>
      <w:marLeft w:val="0"/>
      <w:marRight w:val="0"/>
      <w:marTop w:val="0"/>
      <w:marBottom w:val="0"/>
      <w:divBdr>
        <w:top w:val="none" w:sz="0" w:space="0" w:color="auto"/>
        <w:left w:val="none" w:sz="0" w:space="0" w:color="auto"/>
        <w:bottom w:val="none" w:sz="0" w:space="0" w:color="auto"/>
        <w:right w:val="none" w:sz="0" w:space="0" w:color="auto"/>
      </w:divBdr>
    </w:div>
    <w:div w:id="634798744">
      <w:bodyDiv w:val="1"/>
      <w:marLeft w:val="0"/>
      <w:marRight w:val="0"/>
      <w:marTop w:val="0"/>
      <w:marBottom w:val="0"/>
      <w:divBdr>
        <w:top w:val="none" w:sz="0" w:space="0" w:color="auto"/>
        <w:left w:val="none" w:sz="0" w:space="0" w:color="auto"/>
        <w:bottom w:val="none" w:sz="0" w:space="0" w:color="auto"/>
        <w:right w:val="none" w:sz="0" w:space="0" w:color="auto"/>
      </w:divBdr>
    </w:div>
    <w:div w:id="634800652">
      <w:bodyDiv w:val="1"/>
      <w:marLeft w:val="0"/>
      <w:marRight w:val="0"/>
      <w:marTop w:val="0"/>
      <w:marBottom w:val="0"/>
      <w:divBdr>
        <w:top w:val="none" w:sz="0" w:space="0" w:color="auto"/>
        <w:left w:val="none" w:sz="0" w:space="0" w:color="auto"/>
        <w:bottom w:val="none" w:sz="0" w:space="0" w:color="auto"/>
        <w:right w:val="none" w:sz="0" w:space="0" w:color="auto"/>
      </w:divBdr>
    </w:div>
    <w:div w:id="635070190">
      <w:bodyDiv w:val="1"/>
      <w:marLeft w:val="0"/>
      <w:marRight w:val="0"/>
      <w:marTop w:val="0"/>
      <w:marBottom w:val="0"/>
      <w:divBdr>
        <w:top w:val="none" w:sz="0" w:space="0" w:color="auto"/>
        <w:left w:val="none" w:sz="0" w:space="0" w:color="auto"/>
        <w:bottom w:val="none" w:sz="0" w:space="0" w:color="auto"/>
        <w:right w:val="none" w:sz="0" w:space="0" w:color="auto"/>
      </w:divBdr>
    </w:div>
    <w:div w:id="635137539">
      <w:bodyDiv w:val="1"/>
      <w:marLeft w:val="0"/>
      <w:marRight w:val="0"/>
      <w:marTop w:val="0"/>
      <w:marBottom w:val="0"/>
      <w:divBdr>
        <w:top w:val="none" w:sz="0" w:space="0" w:color="auto"/>
        <w:left w:val="none" w:sz="0" w:space="0" w:color="auto"/>
        <w:bottom w:val="none" w:sz="0" w:space="0" w:color="auto"/>
        <w:right w:val="none" w:sz="0" w:space="0" w:color="auto"/>
      </w:divBdr>
    </w:div>
    <w:div w:id="635256909">
      <w:bodyDiv w:val="1"/>
      <w:marLeft w:val="0"/>
      <w:marRight w:val="0"/>
      <w:marTop w:val="0"/>
      <w:marBottom w:val="0"/>
      <w:divBdr>
        <w:top w:val="none" w:sz="0" w:space="0" w:color="auto"/>
        <w:left w:val="none" w:sz="0" w:space="0" w:color="auto"/>
        <w:bottom w:val="none" w:sz="0" w:space="0" w:color="auto"/>
        <w:right w:val="none" w:sz="0" w:space="0" w:color="auto"/>
      </w:divBdr>
    </w:div>
    <w:div w:id="635257110">
      <w:bodyDiv w:val="1"/>
      <w:marLeft w:val="0"/>
      <w:marRight w:val="0"/>
      <w:marTop w:val="0"/>
      <w:marBottom w:val="0"/>
      <w:divBdr>
        <w:top w:val="none" w:sz="0" w:space="0" w:color="auto"/>
        <w:left w:val="none" w:sz="0" w:space="0" w:color="auto"/>
        <w:bottom w:val="none" w:sz="0" w:space="0" w:color="auto"/>
        <w:right w:val="none" w:sz="0" w:space="0" w:color="auto"/>
      </w:divBdr>
    </w:div>
    <w:div w:id="635530327">
      <w:bodyDiv w:val="1"/>
      <w:marLeft w:val="0"/>
      <w:marRight w:val="0"/>
      <w:marTop w:val="0"/>
      <w:marBottom w:val="0"/>
      <w:divBdr>
        <w:top w:val="none" w:sz="0" w:space="0" w:color="auto"/>
        <w:left w:val="none" w:sz="0" w:space="0" w:color="auto"/>
        <w:bottom w:val="none" w:sz="0" w:space="0" w:color="auto"/>
        <w:right w:val="none" w:sz="0" w:space="0" w:color="auto"/>
      </w:divBdr>
    </w:div>
    <w:div w:id="635530379">
      <w:bodyDiv w:val="1"/>
      <w:marLeft w:val="0"/>
      <w:marRight w:val="0"/>
      <w:marTop w:val="0"/>
      <w:marBottom w:val="0"/>
      <w:divBdr>
        <w:top w:val="none" w:sz="0" w:space="0" w:color="auto"/>
        <w:left w:val="none" w:sz="0" w:space="0" w:color="auto"/>
        <w:bottom w:val="none" w:sz="0" w:space="0" w:color="auto"/>
        <w:right w:val="none" w:sz="0" w:space="0" w:color="auto"/>
      </w:divBdr>
    </w:div>
    <w:div w:id="635531564">
      <w:bodyDiv w:val="1"/>
      <w:marLeft w:val="0"/>
      <w:marRight w:val="0"/>
      <w:marTop w:val="0"/>
      <w:marBottom w:val="0"/>
      <w:divBdr>
        <w:top w:val="none" w:sz="0" w:space="0" w:color="auto"/>
        <w:left w:val="none" w:sz="0" w:space="0" w:color="auto"/>
        <w:bottom w:val="none" w:sz="0" w:space="0" w:color="auto"/>
        <w:right w:val="none" w:sz="0" w:space="0" w:color="auto"/>
      </w:divBdr>
    </w:div>
    <w:div w:id="635532028">
      <w:bodyDiv w:val="1"/>
      <w:marLeft w:val="0"/>
      <w:marRight w:val="0"/>
      <w:marTop w:val="0"/>
      <w:marBottom w:val="0"/>
      <w:divBdr>
        <w:top w:val="none" w:sz="0" w:space="0" w:color="auto"/>
        <w:left w:val="none" w:sz="0" w:space="0" w:color="auto"/>
        <w:bottom w:val="none" w:sz="0" w:space="0" w:color="auto"/>
        <w:right w:val="none" w:sz="0" w:space="0" w:color="auto"/>
      </w:divBdr>
    </w:div>
    <w:div w:id="635599457">
      <w:bodyDiv w:val="1"/>
      <w:marLeft w:val="0"/>
      <w:marRight w:val="0"/>
      <w:marTop w:val="0"/>
      <w:marBottom w:val="0"/>
      <w:divBdr>
        <w:top w:val="none" w:sz="0" w:space="0" w:color="auto"/>
        <w:left w:val="none" w:sz="0" w:space="0" w:color="auto"/>
        <w:bottom w:val="none" w:sz="0" w:space="0" w:color="auto"/>
        <w:right w:val="none" w:sz="0" w:space="0" w:color="auto"/>
      </w:divBdr>
    </w:div>
    <w:div w:id="635599991">
      <w:bodyDiv w:val="1"/>
      <w:marLeft w:val="0"/>
      <w:marRight w:val="0"/>
      <w:marTop w:val="0"/>
      <w:marBottom w:val="0"/>
      <w:divBdr>
        <w:top w:val="none" w:sz="0" w:space="0" w:color="auto"/>
        <w:left w:val="none" w:sz="0" w:space="0" w:color="auto"/>
        <w:bottom w:val="none" w:sz="0" w:space="0" w:color="auto"/>
        <w:right w:val="none" w:sz="0" w:space="0" w:color="auto"/>
      </w:divBdr>
    </w:div>
    <w:div w:id="635641104">
      <w:bodyDiv w:val="1"/>
      <w:marLeft w:val="0"/>
      <w:marRight w:val="0"/>
      <w:marTop w:val="0"/>
      <w:marBottom w:val="0"/>
      <w:divBdr>
        <w:top w:val="none" w:sz="0" w:space="0" w:color="auto"/>
        <w:left w:val="none" w:sz="0" w:space="0" w:color="auto"/>
        <w:bottom w:val="none" w:sz="0" w:space="0" w:color="auto"/>
        <w:right w:val="none" w:sz="0" w:space="0" w:color="auto"/>
      </w:divBdr>
    </w:div>
    <w:div w:id="635644506">
      <w:bodyDiv w:val="1"/>
      <w:marLeft w:val="0"/>
      <w:marRight w:val="0"/>
      <w:marTop w:val="0"/>
      <w:marBottom w:val="0"/>
      <w:divBdr>
        <w:top w:val="none" w:sz="0" w:space="0" w:color="auto"/>
        <w:left w:val="none" w:sz="0" w:space="0" w:color="auto"/>
        <w:bottom w:val="none" w:sz="0" w:space="0" w:color="auto"/>
        <w:right w:val="none" w:sz="0" w:space="0" w:color="auto"/>
      </w:divBdr>
    </w:div>
    <w:div w:id="635647891">
      <w:bodyDiv w:val="1"/>
      <w:marLeft w:val="0"/>
      <w:marRight w:val="0"/>
      <w:marTop w:val="0"/>
      <w:marBottom w:val="0"/>
      <w:divBdr>
        <w:top w:val="none" w:sz="0" w:space="0" w:color="auto"/>
        <w:left w:val="none" w:sz="0" w:space="0" w:color="auto"/>
        <w:bottom w:val="none" w:sz="0" w:space="0" w:color="auto"/>
        <w:right w:val="none" w:sz="0" w:space="0" w:color="auto"/>
      </w:divBdr>
    </w:div>
    <w:div w:id="635649527">
      <w:bodyDiv w:val="1"/>
      <w:marLeft w:val="0"/>
      <w:marRight w:val="0"/>
      <w:marTop w:val="0"/>
      <w:marBottom w:val="0"/>
      <w:divBdr>
        <w:top w:val="none" w:sz="0" w:space="0" w:color="auto"/>
        <w:left w:val="none" w:sz="0" w:space="0" w:color="auto"/>
        <w:bottom w:val="none" w:sz="0" w:space="0" w:color="auto"/>
        <w:right w:val="none" w:sz="0" w:space="0" w:color="auto"/>
      </w:divBdr>
    </w:div>
    <w:div w:id="635838825">
      <w:bodyDiv w:val="1"/>
      <w:marLeft w:val="0"/>
      <w:marRight w:val="0"/>
      <w:marTop w:val="0"/>
      <w:marBottom w:val="0"/>
      <w:divBdr>
        <w:top w:val="none" w:sz="0" w:space="0" w:color="auto"/>
        <w:left w:val="none" w:sz="0" w:space="0" w:color="auto"/>
        <w:bottom w:val="none" w:sz="0" w:space="0" w:color="auto"/>
        <w:right w:val="none" w:sz="0" w:space="0" w:color="auto"/>
      </w:divBdr>
    </w:div>
    <w:div w:id="635841229">
      <w:bodyDiv w:val="1"/>
      <w:marLeft w:val="0"/>
      <w:marRight w:val="0"/>
      <w:marTop w:val="0"/>
      <w:marBottom w:val="0"/>
      <w:divBdr>
        <w:top w:val="none" w:sz="0" w:space="0" w:color="auto"/>
        <w:left w:val="none" w:sz="0" w:space="0" w:color="auto"/>
        <w:bottom w:val="none" w:sz="0" w:space="0" w:color="auto"/>
        <w:right w:val="none" w:sz="0" w:space="0" w:color="auto"/>
      </w:divBdr>
    </w:div>
    <w:div w:id="636032340">
      <w:bodyDiv w:val="1"/>
      <w:marLeft w:val="0"/>
      <w:marRight w:val="0"/>
      <w:marTop w:val="0"/>
      <w:marBottom w:val="0"/>
      <w:divBdr>
        <w:top w:val="none" w:sz="0" w:space="0" w:color="auto"/>
        <w:left w:val="none" w:sz="0" w:space="0" w:color="auto"/>
        <w:bottom w:val="none" w:sz="0" w:space="0" w:color="auto"/>
        <w:right w:val="none" w:sz="0" w:space="0" w:color="auto"/>
      </w:divBdr>
    </w:div>
    <w:div w:id="636111395">
      <w:bodyDiv w:val="1"/>
      <w:marLeft w:val="0"/>
      <w:marRight w:val="0"/>
      <w:marTop w:val="0"/>
      <w:marBottom w:val="0"/>
      <w:divBdr>
        <w:top w:val="none" w:sz="0" w:space="0" w:color="auto"/>
        <w:left w:val="none" w:sz="0" w:space="0" w:color="auto"/>
        <w:bottom w:val="none" w:sz="0" w:space="0" w:color="auto"/>
        <w:right w:val="none" w:sz="0" w:space="0" w:color="auto"/>
      </w:divBdr>
    </w:div>
    <w:div w:id="636254494">
      <w:bodyDiv w:val="1"/>
      <w:marLeft w:val="0"/>
      <w:marRight w:val="0"/>
      <w:marTop w:val="0"/>
      <w:marBottom w:val="0"/>
      <w:divBdr>
        <w:top w:val="none" w:sz="0" w:space="0" w:color="auto"/>
        <w:left w:val="none" w:sz="0" w:space="0" w:color="auto"/>
        <w:bottom w:val="none" w:sz="0" w:space="0" w:color="auto"/>
        <w:right w:val="none" w:sz="0" w:space="0" w:color="auto"/>
      </w:divBdr>
    </w:div>
    <w:div w:id="636301770">
      <w:bodyDiv w:val="1"/>
      <w:marLeft w:val="0"/>
      <w:marRight w:val="0"/>
      <w:marTop w:val="0"/>
      <w:marBottom w:val="0"/>
      <w:divBdr>
        <w:top w:val="none" w:sz="0" w:space="0" w:color="auto"/>
        <w:left w:val="none" w:sz="0" w:space="0" w:color="auto"/>
        <w:bottom w:val="none" w:sz="0" w:space="0" w:color="auto"/>
        <w:right w:val="none" w:sz="0" w:space="0" w:color="auto"/>
      </w:divBdr>
    </w:div>
    <w:div w:id="636684577">
      <w:bodyDiv w:val="1"/>
      <w:marLeft w:val="0"/>
      <w:marRight w:val="0"/>
      <w:marTop w:val="0"/>
      <w:marBottom w:val="0"/>
      <w:divBdr>
        <w:top w:val="none" w:sz="0" w:space="0" w:color="auto"/>
        <w:left w:val="none" w:sz="0" w:space="0" w:color="auto"/>
        <w:bottom w:val="none" w:sz="0" w:space="0" w:color="auto"/>
        <w:right w:val="none" w:sz="0" w:space="0" w:color="auto"/>
      </w:divBdr>
    </w:div>
    <w:div w:id="636684832">
      <w:bodyDiv w:val="1"/>
      <w:marLeft w:val="0"/>
      <w:marRight w:val="0"/>
      <w:marTop w:val="0"/>
      <w:marBottom w:val="0"/>
      <w:divBdr>
        <w:top w:val="none" w:sz="0" w:space="0" w:color="auto"/>
        <w:left w:val="none" w:sz="0" w:space="0" w:color="auto"/>
        <w:bottom w:val="none" w:sz="0" w:space="0" w:color="auto"/>
        <w:right w:val="none" w:sz="0" w:space="0" w:color="auto"/>
      </w:divBdr>
    </w:div>
    <w:div w:id="636760524">
      <w:bodyDiv w:val="1"/>
      <w:marLeft w:val="0"/>
      <w:marRight w:val="0"/>
      <w:marTop w:val="0"/>
      <w:marBottom w:val="0"/>
      <w:divBdr>
        <w:top w:val="none" w:sz="0" w:space="0" w:color="auto"/>
        <w:left w:val="none" w:sz="0" w:space="0" w:color="auto"/>
        <w:bottom w:val="none" w:sz="0" w:space="0" w:color="auto"/>
        <w:right w:val="none" w:sz="0" w:space="0" w:color="auto"/>
      </w:divBdr>
    </w:div>
    <w:div w:id="636766605">
      <w:bodyDiv w:val="1"/>
      <w:marLeft w:val="0"/>
      <w:marRight w:val="0"/>
      <w:marTop w:val="0"/>
      <w:marBottom w:val="0"/>
      <w:divBdr>
        <w:top w:val="none" w:sz="0" w:space="0" w:color="auto"/>
        <w:left w:val="none" w:sz="0" w:space="0" w:color="auto"/>
        <w:bottom w:val="none" w:sz="0" w:space="0" w:color="auto"/>
        <w:right w:val="none" w:sz="0" w:space="0" w:color="auto"/>
      </w:divBdr>
    </w:div>
    <w:div w:id="636835899">
      <w:bodyDiv w:val="1"/>
      <w:marLeft w:val="0"/>
      <w:marRight w:val="0"/>
      <w:marTop w:val="0"/>
      <w:marBottom w:val="0"/>
      <w:divBdr>
        <w:top w:val="none" w:sz="0" w:space="0" w:color="auto"/>
        <w:left w:val="none" w:sz="0" w:space="0" w:color="auto"/>
        <w:bottom w:val="none" w:sz="0" w:space="0" w:color="auto"/>
        <w:right w:val="none" w:sz="0" w:space="0" w:color="auto"/>
      </w:divBdr>
    </w:div>
    <w:div w:id="636841597">
      <w:bodyDiv w:val="1"/>
      <w:marLeft w:val="0"/>
      <w:marRight w:val="0"/>
      <w:marTop w:val="0"/>
      <w:marBottom w:val="0"/>
      <w:divBdr>
        <w:top w:val="none" w:sz="0" w:space="0" w:color="auto"/>
        <w:left w:val="none" w:sz="0" w:space="0" w:color="auto"/>
        <w:bottom w:val="none" w:sz="0" w:space="0" w:color="auto"/>
        <w:right w:val="none" w:sz="0" w:space="0" w:color="auto"/>
      </w:divBdr>
    </w:div>
    <w:div w:id="636842916">
      <w:bodyDiv w:val="1"/>
      <w:marLeft w:val="0"/>
      <w:marRight w:val="0"/>
      <w:marTop w:val="0"/>
      <w:marBottom w:val="0"/>
      <w:divBdr>
        <w:top w:val="none" w:sz="0" w:space="0" w:color="auto"/>
        <w:left w:val="none" w:sz="0" w:space="0" w:color="auto"/>
        <w:bottom w:val="none" w:sz="0" w:space="0" w:color="auto"/>
        <w:right w:val="none" w:sz="0" w:space="0" w:color="auto"/>
      </w:divBdr>
    </w:div>
    <w:div w:id="636882929">
      <w:bodyDiv w:val="1"/>
      <w:marLeft w:val="0"/>
      <w:marRight w:val="0"/>
      <w:marTop w:val="0"/>
      <w:marBottom w:val="0"/>
      <w:divBdr>
        <w:top w:val="none" w:sz="0" w:space="0" w:color="auto"/>
        <w:left w:val="none" w:sz="0" w:space="0" w:color="auto"/>
        <w:bottom w:val="none" w:sz="0" w:space="0" w:color="auto"/>
        <w:right w:val="none" w:sz="0" w:space="0" w:color="auto"/>
      </w:divBdr>
    </w:div>
    <w:div w:id="636954933">
      <w:bodyDiv w:val="1"/>
      <w:marLeft w:val="0"/>
      <w:marRight w:val="0"/>
      <w:marTop w:val="0"/>
      <w:marBottom w:val="0"/>
      <w:divBdr>
        <w:top w:val="none" w:sz="0" w:space="0" w:color="auto"/>
        <w:left w:val="none" w:sz="0" w:space="0" w:color="auto"/>
        <w:bottom w:val="none" w:sz="0" w:space="0" w:color="auto"/>
        <w:right w:val="none" w:sz="0" w:space="0" w:color="auto"/>
      </w:divBdr>
    </w:div>
    <w:div w:id="636958710">
      <w:bodyDiv w:val="1"/>
      <w:marLeft w:val="0"/>
      <w:marRight w:val="0"/>
      <w:marTop w:val="0"/>
      <w:marBottom w:val="0"/>
      <w:divBdr>
        <w:top w:val="none" w:sz="0" w:space="0" w:color="auto"/>
        <w:left w:val="none" w:sz="0" w:space="0" w:color="auto"/>
        <w:bottom w:val="none" w:sz="0" w:space="0" w:color="auto"/>
        <w:right w:val="none" w:sz="0" w:space="0" w:color="auto"/>
      </w:divBdr>
    </w:div>
    <w:div w:id="637104494">
      <w:bodyDiv w:val="1"/>
      <w:marLeft w:val="0"/>
      <w:marRight w:val="0"/>
      <w:marTop w:val="0"/>
      <w:marBottom w:val="0"/>
      <w:divBdr>
        <w:top w:val="none" w:sz="0" w:space="0" w:color="auto"/>
        <w:left w:val="none" w:sz="0" w:space="0" w:color="auto"/>
        <w:bottom w:val="none" w:sz="0" w:space="0" w:color="auto"/>
        <w:right w:val="none" w:sz="0" w:space="0" w:color="auto"/>
      </w:divBdr>
    </w:div>
    <w:div w:id="637227038">
      <w:bodyDiv w:val="1"/>
      <w:marLeft w:val="0"/>
      <w:marRight w:val="0"/>
      <w:marTop w:val="0"/>
      <w:marBottom w:val="0"/>
      <w:divBdr>
        <w:top w:val="none" w:sz="0" w:space="0" w:color="auto"/>
        <w:left w:val="none" w:sz="0" w:space="0" w:color="auto"/>
        <w:bottom w:val="none" w:sz="0" w:space="0" w:color="auto"/>
        <w:right w:val="none" w:sz="0" w:space="0" w:color="auto"/>
      </w:divBdr>
    </w:div>
    <w:div w:id="637227460">
      <w:bodyDiv w:val="1"/>
      <w:marLeft w:val="0"/>
      <w:marRight w:val="0"/>
      <w:marTop w:val="0"/>
      <w:marBottom w:val="0"/>
      <w:divBdr>
        <w:top w:val="none" w:sz="0" w:space="0" w:color="auto"/>
        <w:left w:val="none" w:sz="0" w:space="0" w:color="auto"/>
        <w:bottom w:val="none" w:sz="0" w:space="0" w:color="auto"/>
        <w:right w:val="none" w:sz="0" w:space="0" w:color="auto"/>
      </w:divBdr>
    </w:div>
    <w:div w:id="637227685">
      <w:bodyDiv w:val="1"/>
      <w:marLeft w:val="0"/>
      <w:marRight w:val="0"/>
      <w:marTop w:val="0"/>
      <w:marBottom w:val="0"/>
      <w:divBdr>
        <w:top w:val="none" w:sz="0" w:space="0" w:color="auto"/>
        <w:left w:val="none" w:sz="0" w:space="0" w:color="auto"/>
        <w:bottom w:val="none" w:sz="0" w:space="0" w:color="auto"/>
        <w:right w:val="none" w:sz="0" w:space="0" w:color="auto"/>
      </w:divBdr>
    </w:div>
    <w:div w:id="637344500">
      <w:bodyDiv w:val="1"/>
      <w:marLeft w:val="0"/>
      <w:marRight w:val="0"/>
      <w:marTop w:val="0"/>
      <w:marBottom w:val="0"/>
      <w:divBdr>
        <w:top w:val="none" w:sz="0" w:space="0" w:color="auto"/>
        <w:left w:val="none" w:sz="0" w:space="0" w:color="auto"/>
        <w:bottom w:val="none" w:sz="0" w:space="0" w:color="auto"/>
        <w:right w:val="none" w:sz="0" w:space="0" w:color="auto"/>
      </w:divBdr>
    </w:div>
    <w:div w:id="637763089">
      <w:bodyDiv w:val="1"/>
      <w:marLeft w:val="0"/>
      <w:marRight w:val="0"/>
      <w:marTop w:val="0"/>
      <w:marBottom w:val="0"/>
      <w:divBdr>
        <w:top w:val="none" w:sz="0" w:space="0" w:color="auto"/>
        <w:left w:val="none" w:sz="0" w:space="0" w:color="auto"/>
        <w:bottom w:val="none" w:sz="0" w:space="0" w:color="auto"/>
        <w:right w:val="none" w:sz="0" w:space="0" w:color="auto"/>
      </w:divBdr>
    </w:div>
    <w:div w:id="637804576">
      <w:bodyDiv w:val="1"/>
      <w:marLeft w:val="0"/>
      <w:marRight w:val="0"/>
      <w:marTop w:val="0"/>
      <w:marBottom w:val="0"/>
      <w:divBdr>
        <w:top w:val="none" w:sz="0" w:space="0" w:color="auto"/>
        <w:left w:val="none" w:sz="0" w:space="0" w:color="auto"/>
        <w:bottom w:val="none" w:sz="0" w:space="0" w:color="auto"/>
        <w:right w:val="none" w:sz="0" w:space="0" w:color="auto"/>
      </w:divBdr>
    </w:div>
    <w:div w:id="637805437">
      <w:bodyDiv w:val="1"/>
      <w:marLeft w:val="0"/>
      <w:marRight w:val="0"/>
      <w:marTop w:val="0"/>
      <w:marBottom w:val="0"/>
      <w:divBdr>
        <w:top w:val="none" w:sz="0" w:space="0" w:color="auto"/>
        <w:left w:val="none" w:sz="0" w:space="0" w:color="auto"/>
        <w:bottom w:val="none" w:sz="0" w:space="0" w:color="auto"/>
        <w:right w:val="none" w:sz="0" w:space="0" w:color="auto"/>
      </w:divBdr>
    </w:div>
    <w:div w:id="637877098">
      <w:bodyDiv w:val="1"/>
      <w:marLeft w:val="0"/>
      <w:marRight w:val="0"/>
      <w:marTop w:val="0"/>
      <w:marBottom w:val="0"/>
      <w:divBdr>
        <w:top w:val="none" w:sz="0" w:space="0" w:color="auto"/>
        <w:left w:val="none" w:sz="0" w:space="0" w:color="auto"/>
        <w:bottom w:val="none" w:sz="0" w:space="0" w:color="auto"/>
        <w:right w:val="none" w:sz="0" w:space="0" w:color="auto"/>
      </w:divBdr>
    </w:div>
    <w:div w:id="637954174">
      <w:bodyDiv w:val="1"/>
      <w:marLeft w:val="0"/>
      <w:marRight w:val="0"/>
      <w:marTop w:val="0"/>
      <w:marBottom w:val="0"/>
      <w:divBdr>
        <w:top w:val="none" w:sz="0" w:space="0" w:color="auto"/>
        <w:left w:val="none" w:sz="0" w:space="0" w:color="auto"/>
        <w:bottom w:val="none" w:sz="0" w:space="0" w:color="auto"/>
        <w:right w:val="none" w:sz="0" w:space="0" w:color="auto"/>
      </w:divBdr>
    </w:div>
    <w:div w:id="637954859">
      <w:bodyDiv w:val="1"/>
      <w:marLeft w:val="0"/>
      <w:marRight w:val="0"/>
      <w:marTop w:val="0"/>
      <w:marBottom w:val="0"/>
      <w:divBdr>
        <w:top w:val="none" w:sz="0" w:space="0" w:color="auto"/>
        <w:left w:val="none" w:sz="0" w:space="0" w:color="auto"/>
        <w:bottom w:val="none" w:sz="0" w:space="0" w:color="auto"/>
        <w:right w:val="none" w:sz="0" w:space="0" w:color="auto"/>
      </w:divBdr>
    </w:div>
    <w:div w:id="637954898">
      <w:bodyDiv w:val="1"/>
      <w:marLeft w:val="0"/>
      <w:marRight w:val="0"/>
      <w:marTop w:val="0"/>
      <w:marBottom w:val="0"/>
      <w:divBdr>
        <w:top w:val="none" w:sz="0" w:space="0" w:color="auto"/>
        <w:left w:val="none" w:sz="0" w:space="0" w:color="auto"/>
        <w:bottom w:val="none" w:sz="0" w:space="0" w:color="auto"/>
        <w:right w:val="none" w:sz="0" w:space="0" w:color="auto"/>
      </w:divBdr>
    </w:div>
    <w:div w:id="637956005">
      <w:bodyDiv w:val="1"/>
      <w:marLeft w:val="0"/>
      <w:marRight w:val="0"/>
      <w:marTop w:val="0"/>
      <w:marBottom w:val="0"/>
      <w:divBdr>
        <w:top w:val="none" w:sz="0" w:space="0" w:color="auto"/>
        <w:left w:val="none" w:sz="0" w:space="0" w:color="auto"/>
        <w:bottom w:val="none" w:sz="0" w:space="0" w:color="auto"/>
        <w:right w:val="none" w:sz="0" w:space="0" w:color="auto"/>
      </w:divBdr>
    </w:div>
    <w:div w:id="637993263">
      <w:bodyDiv w:val="1"/>
      <w:marLeft w:val="0"/>
      <w:marRight w:val="0"/>
      <w:marTop w:val="0"/>
      <w:marBottom w:val="0"/>
      <w:divBdr>
        <w:top w:val="none" w:sz="0" w:space="0" w:color="auto"/>
        <w:left w:val="none" w:sz="0" w:space="0" w:color="auto"/>
        <w:bottom w:val="none" w:sz="0" w:space="0" w:color="auto"/>
        <w:right w:val="none" w:sz="0" w:space="0" w:color="auto"/>
      </w:divBdr>
    </w:div>
    <w:div w:id="638189696">
      <w:bodyDiv w:val="1"/>
      <w:marLeft w:val="0"/>
      <w:marRight w:val="0"/>
      <w:marTop w:val="0"/>
      <w:marBottom w:val="0"/>
      <w:divBdr>
        <w:top w:val="none" w:sz="0" w:space="0" w:color="auto"/>
        <w:left w:val="none" w:sz="0" w:space="0" w:color="auto"/>
        <w:bottom w:val="none" w:sz="0" w:space="0" w:color="auto"/>
        <w:right w:val="none" w:sz="0" w:space="0" w:color="auto"/>
      </w:divBdr>
    </w:div>
    <w:div w:id="638194550">
      <w:bodyDiv w:val="1"/>
      <w:marLeft w:val="0"/>
      <w:marRight w:val="0"/>
      <w:marTop w:val="0"/>
      <w:marBottom w:val="0"/>
      <w:divBdr>
        <w:top w:val="none" w:sz="0" w:space="0" w:color="auto"/>
        <w:left w:val="none" w:sz="0" w:space="0" w:color="auto"/>
        <w:bottom w:val="none" w:sz="0" w:space="0" w:color="auto"/>
        <w:right w:val="none" w:sz="0" w:space="0" w:color="auto"/>
      </w:divBdr>
    </w:div>
    <w:div w:id="638264381">
      <w:bodyDiv w:val="1"/>
      <w:marLeft w:val="0"/>
      <w:marRight w:val="0"/>
      <w:marTop w:val="0"/>
      <w:marBottom w:val="0"/>
      <w:divBdr>
        <w:top w:val="none" w:sz="0" w:space="0" w:color="auto"/>
        <w:left w:val="none" w:sz="0" w:space="0" w:color="auto"/>
        <w:bottom w:val="none" w:sz="0" w:space="0" w:color="auto"/>
        <w:right w:val="none" w:sz="0" w:space="0" w:color="auto"/>
      </w:divBdr>
    </w:div>
    <w:div w:id="638265112">
      <w:bodyDiv w:val="1"/>
      <w:marLeft w:val="0"/>
      <w:marRight w:val="0"/>
      <w:marTop w:val="0"/>
      <w:marBottom w:val="0"/>
      <w:divBdr>
        <w:top w:val="none" w:sz="0" w:space="0" w:color="auto"/>
        <w:left w:val="none" w:sz="0" w:space="0" w:color="auto"/>
        <w:bottom w:val="none" w:sz="0" w:space="0" w:color="auto"/>
        <w:right w:val="none" w:sz="0" w:space="0" w:color="auto"/>
      </w:divBdr>
    </w:div>
    <w:div w:id="638266683">
      <w:bodyDiv w:val="1"/>
      <w:marLeft w:val="0"/>
      <w:marRight w:val="0"/>
      <w:marTop w:val="0"/>
      <w:marBottom w:val="0"/>
      <w:divBdr>
        <w:top w:val="none" w:sz="0" w:space="0" w:color="auto"/>
        <w:left w:val="none" w:sz="0" w:space="0" w:color="auto"/>
        <w:bottom w:val="none" w:sz="0" w:space="0" w:color="auto"/>
        <w:right w:val="none" w:sz="0" w:space="0" w:color="auto"/>
      </w:divBdr>
    </w:div>
    <w:div w:id="638386981">
      <w:bodyDiv w:val="1"/>
      <w:marLeft w:val="0"/>
      <w:marRight w:val="0"/>
      <w:marTop w:val="0"/>
      <w:marBottom w:val="0"/>
      <w:divBdr>
        <w:top w:val="none" w:sz="0" w:space="0" w:color="auto"/>
        <w:left w:val="none" w:sz="0" w:space="0" w:color="auto"/>
        <w:bottom w:val="none" w:sz="0" w:space="0" w:color="auto"/>
        <w:right w:val="none" w:sz="0" w:space="0" w:color="auto"/>
      </w:divBdr>
    </w:div>
    <w:div w:id="638389517">
      <w:bodyDiv w:val="1"/>
      <w:marLeft w:val="0"/>
      <w:marRight w:val="0"/>
      <w:marTop w:val="0"/>
      <w:marBottom w:val="0"/>
      <w:divBdr>
        <w:top w:val="none" w:sz="0" w:space="0" w:color="auto"/>
        <w:left w:val="none" w:sz="0" w:space="0" w:color="auto"/>
        <w:bottom w:val="none" w:sz="0" w:space="0" w:color="auto"/>
        <w:right w:val="none" w:sz="0" w:space="0" w:color="auto"/>
      </w:divBdr>
    </w:div>
    <w:div w:id="638459127">
      <w:bodyDiv w:val="1"/>
      <w:marLeft w:val="0"/>
      <w:marRight w:val="0"/>
      <w:marTop w:val="0"/>
      <w:marBottom w:val="0"/>
      <w:divBdr>
        <w:top w:val="none" w:sz="0" w:space="0" w:color="auto"/>
        <w:left w:val="none" w:sz="0" w:space="0" w:color="auto"/>
        <w:bottom w:val="none" w:sz="0" w:space="0" w:color="auto"/>
        <w:right w:val="none" w:sz="0" w:space="0" w:color="auto"/>
      </w:divBdr>
    </w:div>
    <w:div w:id="638725113">
      <w:bodyDiv w:val="1"/>
      <w:marLeft w:val="0"/>
      <w:marRight w:val="0"/>
      <w:marTop w:val="0"/>
      <w:marBottom w:val="0"/>
      <w:divBdr>
        <w:top w:val="none" w:sz="0" w:space="0" w:color="auto"/>
        <w:left w:val="none" w:sz="0" w:space="0" w:color="auto"/>
        <w:bottom w:val="none" w:sz="0" w:space="0" w:color="auto"/>
        <w:right w:val="none" w:sz="0" w:space="0" w:color="auto"/>
      </w:divBdr>
    </w:div>
    <w:div w:id="638732101">
      <w:bodyDiv w:val="1"/>
      <w:marLeft w:val="0"/>
      <w:marRight w:val="0"/>
      <w:marTop w:val="0"/>
      <w:marBottom w:val="0"/>
      <w:divBdr>
        <w:top w:val="none" w:sz="0" w:space="0" w:color="auto"/>
        <w:left w:val="none" w:sz="0" w:space="0" w:color="auto"/>
        <w:bottom w:val="none" w:sz="0" w:space="0" w:color="auto"/>
        <w:right w:val="none" w:sz="0" w:space="0" w:color="auto"/>
      </w:divBdr>
    </w:div>
    <w:div w:id="638803978">
      <w:bodyDiv w:val="1"/>
      <w:marLeft w:val="0"/>
      <w:marRight w:val="0"/>
      <w:marTop w:val="0"/>
      <w:marBottom w:val="0"/>
      <w:divBdr>
        <w:top w:val="none" w:sz="0" w:space="0" w:color="auto"/>
        <w:left w:val="none" w:sz="0" w:space="0" w:color="auto"/>
        <w:bottom w:val="none" w:sz="0" w:space="0" w:color="auto"/>
        <w:right w:val="none" w:sz="0" w:space="0" w:color="auto"/>
      </w:divBdr>
    </w:div>
    <w:div w:id="638804893">
      <w:bodyDiv w:val="1"/>
      <w:marLeft w:val="0"/>
      <w:marRight w:val="0"/>
      <w:marTop w:val="0"/>
      <w:marBottom w:val="0"/>
      <w:divBdr>
        <w:top w:val="none" w:sz="0" w:space="0" w:color="auto"/>
        <w:left w:val="none" w:sz="0" w:space="0" w:color="auto"/>
        <w:bottom w:val="none" w:sz="0" w:space="0" w:color="auto"/>
        <w:right w:val="none" w:sz="0" w:space="0" w:color="auto"/>
      </w:divBdr>
    </w:div>
    <w:div w:id="638846174">
      <w:bodyDiv w:val="1"/>
      <w:marLeft w:val="0"/>
      <w:marRight w:val="0"/>
      <w:marTop w:val="0"/>
      <w:marBottom w:val="0"/>
      <w:divBdr>
        <w:top w:val="none" w:sz="0" w:space="0" w:color="auto"/>
        <w:left w:val="none" w:sz="0" w:space="0" w:color="auto"/>
        <w:bottom w:val="none" w:sz="0" w:space="0" w:color="auto"/>
        <w:right w:val="none" w:sz="0" w:space="0" w:color="auto"/>
      </w:divBdr>
    </w:div>
    <w:div w:id="638998875">
      <w:bodyDiv w:val="1"/>
      <w:marLeft w:val="0"/>
      <w:marRight w:val="0"/>
      <w:marTop w:val="0"/>
      <w:marBottom w:val="0"/>
      <w:divBdr>
        <w:top w:val="none" w:sz="0" w:space="0" w:color="auto"/>
        <w:left w:val="none" w:sz="0" w:space="0" w:color="auto"/>
        <w:bottom w:val="none" w:sz="0" w:space="0" w:color="auto"/>
        <w:right w:val="none" w:sz="0" w:space="0" w:color="auto"/>
      </w:divBdr>
    </w:div>
    <w:div w:id="639264402">
      <w:bodyDiv w:val="1"/>
      <w:marLeft w:val="0"/>
      <w:marRight w:val="0"/>
      <w:marTop w:val="0"/>
      <w:marBottom w:val="0"/>
      <w:divBdr>
        <w:top w:val="none" w:sz="0" w:space="0" w:color="auto"/>
        <w:left w:val="none" w:sz="0" w:space="0" w:color="auto"/>
        <w:bottom w:val="none" w:sz="0" w:space="0" w:color="auto"/>
        <w:right w:val="none" w:sz="0" w:space="0" w:color="auto"/>
      </w:divBdr>
    </w:div>
    <w:div w:id="639270017">
      <w:bodyDiv w:val="1"/>
      <w:marLeft w:val="0"/>
      <w:marRight w:val="0"/>
      <w:marTop w:val="0"/>
      <w:marBottom w:val="0"/>
      <w:divBdr>
        <w:top w:val="none" w:sz="0" w:space="0" w:color="auto"/>
        <w:left w:val="none" w:sz="0" w:space="0" w:color="auto"/>
        <w:bottom w:val="none" w:sz="0" w:space="0" w:color="auto"/>
        <w:right w:val="none" w:sz="0" w:space="0" w:color="auto"/>
      </w:divBdr>
    </w:div>
    <w:div w:id="639311213">
      <w:bodyDiv w:val="1"/>
      <w:marLeft w:val="0"/>
      <w:marRight w:val="0"/>
      <w:marTop w:val="0"/>
      <w:marBottom w:val="0"/>
      <w:divBdr>
        <w:top w:val="none" w:sz="0" w:space="0" w:color="auto"/>
        <w:left w:val="none" w:sz="0" w:space="0" w:color="auto"/>
        <w:bottom w:val="none" w:sz="0" w:space="0" w:color="auto"/>
        <w:right w:val="none" w:sz="0" w:space="0" w:color="auto"/>
      </w:divBdr>
    </w:div>
    <w:div w:id="639388017">
      <w:bodyDiv w:val="1"/>
      <w:marLeft w:val="0"/>
      <w:marRight w:val="0"/>
      <w:marTop w:val="0"/>
      <w:marBottom w:val="0"/>
      <w:divBdr>
        <w:top w:val="none" w:sz="0" w:space="0" w:color="auto"/>
        <w:left w:val="none" w:sz="0" w:space="0" w:color="auto"/>
        <w:bottom w:val="none" w:sz="0" w:space="0" w:color="auto"/>
        <w:right w:val="none" w:sz="0" w:space="0" w:color="auto"/>
      </w:divBdr>
    </w:div>
    <w:div w:id="639577242">
      <w:bodyDiv w:val="1"/>
      <w:marLeft w:val="0"/>
      <w:marRight w:val="0"/>
      <w:marTop w:val="0"/>
      <w:marBottom w:val="0"/>
      <w:divBdr>
        <w:top w:val="none" w:sz="0" w:space="0" w:color="auto"/>
        <w:left w:val="none" w:sz="0" w:space="0" w:color="auto"/>
        <w:bottom w:val="none" w:sz="0" w:space="0" w:color="auto"/>
        <w:right w:val="none" w:sz="0" w:space="0" w:color="auto"/>
      </w:divBdr>
    </w:div>
    <w:div w:id="639577614">
      <w:bodyDiv w:val="1"/>
      <w:marLeft w:val="0"/>
      <w:marRight w:val="0"/>
      <w:marTop w:val="0"/>
      <w:marBottom w:val="0"/>
      <w:divBdr>
        <w:top w:val="none" w:sz="0" w:space="0" w:color="auto"/>
        <w:left w:val="none" w:sz="0" w:space="0" w:color="auto"/>
        <w:bottom w:val="none" w:sz="0" w:space="0" w:color="auto"/>
        <w:right w:val="none" w:sz="0" w:space="0" w:color="auto"/>
      </w:divBdr>
    </w:div>
    <w:div w:id="639651245">
      <w:bodyDiv w:val="1"/>
      <w:marLeft w:val="0"/>
      <w:marRight w:val="0"/>
      <w:marTop w:val="0"/>
      <w:marBottom w:val="0"/>
      <w:divBdr>
        <w:top w:val="none" w:sz="0" w:space="0" w:color="auto"/>
        <w:left w:val="none" w:sz="0" w:space="0" w:color="auto"/>
        <w:bottom w:val="none" w:sz="0" w:space="0" w:color="auto"/>
        <w:right w:val="none" w:sz="0" w:space="0" w:color="auto"/>
      </w:divBdr>
    </w:div>
    <w:div w:id="639726511">
      <w:bodyDiv w:val="1"/>
      <w:marLeft w:val="0"/>
      <w:marRight w:val="0"/>
      <w:marTop w:val="0"/>
      <w:marBottom w:val="0"/>
      <w:divBdr>
        <w:top w:val="none" w:sz="0" w:space="0" w:color="auto"/>
        <w:left w:val="none" w:sz="0" w:space="0" w:color="auto"/>
        <w:bottom w:val="none" w:sz="0" w:space="0" w:color="auto"/>
        <w:right w:val="none" w:sz="0" w:space="0" w:color="auto"/>
      </w:divBdr>
    </w:div>
    <w:div w:id="639769313">
      <w:bodyDiv w:val="1"/>
      <w:marLeft w:val="0"/>
      <w:marRight w:val="0"/>
      <w:marTop w:val="0"/>
      <w:marBottom w:val="0"/>
      <w:divBdr>
        <w:top w:val="none" w:sz="0" w:space="0" w:color="auto"/>
        <w:left w:val="none" w:sz="0" w:space="0" w:color="auto"/>
        <w:bottom w:val="none" w:sz="0" w:space="0" w:color="auto"/>
        <w:right w:val="none" w:sz="0" w:space="0" w:color="auto"/>
      </w:divBdr>
    </w:div>
    <w:div w:id="639842450">
      <w:bodyDiv w:val="1"/>
      <w:marLeft w:val="0"/>
      <w:marRight w:val="0"/>
      <w:marTop w:val="0"/>
      <w:marBottom w:val="0"/>
      <w:divBdr>
        <w:top w:val="none" w:sz="0" w:space="0" w:color="auto"/>
        <w:left w:val="none" w:sz="0" w:space="0" w:color="auto"/>
        <w:bottom w:val="none" w:sz="0" w:space="0" w:color="auto"/>
        <w:right w:val="none" w:sz="0" w:space="0" w:color="auto"/>
      </w:divBdr>
    </w:div>
    <w:div w:id="639925459">
      <w:bodyDiv w:val="1"/>
      <w:marLeft w:val="0"/>
      <w:marRight w:val="0"/>
      <w:marTop w:val="0"/>
      <w:marBottom w:val="0"/>
      <w:divBdr>
        <w:top w:val="none" w:sz="0" w:space="0" w:color="auto"/>
        <w:left w:val="none" w:sz="0" w:space="0" w:color="auto"/>
        <w:bottom w:val="none" w:sz="0" w:space="0" w:color="auto"/>
        <w:right w:val="none" w:sz="0" w:space="0" w:color="auto"/>
      </w:divBdr>
    </w:div>
    <w:div w:id="639959525">
      <w:bodyDiv w:val="1"/>
      <w:marLeft w:val="0"/>
      <w:marRight w:val="0"/>
      <w:marTop w:val="0"/>
      <w:marBottom w:val="0"/>
      <w:divBdr>
        <w:top w:val="none" w:sz="0" w:space="0" w:color="auto"/>
        <w:left w:val="none" w:sz="0" w:space="0" w:color="auto"/>
        <w:bottom w:val="none" w:sz="0" w:space="0" w:color="auto"/>
        <w:right w:val="none" w:sz="0" w:space="0" w:color="auto"/>
      </w:divBdr>
    </w:div>
    <w:div w:id="639962016">
      <w:bodyDiv w:val="1"/>
      <w:marLeft w:val="0"/>
      <w:marRight w:val="0"/>
      <w:marTop w:val="0"/>
      <w:marBottom w:val="0"/>
      <w:divBdr>
        <w:top w:val="none" w:sz="0" w:space="0" w:color="auto"/>
        <w:left w:val="none" w:sz="0" w:space="0" w:color="auto"/>
        <w:bottom w:val="none" w:sz="0" w:space="0" w:color="auto"/>
        <w:right w:val="none" w:sz="0" w:space="0" w:color="auto"/>
      </w:divBdr>
    </w:div>
    <w:div w:id="640114886">
      <w:bodyDiv w:val="1"/>
      <w:marLeft w:val="0"/>
      <w:marRight w:val="0"/>
      <w:marTop w:val="0"/>
      <w:marBottom w:val="0"/>
      <w:divBdr>
        <w:top w:val="none" w:sz="0" w:space="0" w:color="auto"/>
        <w:left w:val="none" w:sz="0" w:space="0" w:color="auto"/>
        <w:bottom w:val="none" w:sz="0" w:space="0" w:color="auto"/>
        <w:right w:val="none" w:sz="0" w:space="0" w:color="auto"/>
      </w:divBdr>
    </w:div>
    <w:div w:id="640162145">
      <w:bodyDiv w:val="1"/>
      <w:marLeft w:val="0"/>
      <w:marRight w:val="0"/>
      <w:marTop w:val="0"/>
      <w:marBottom w:val="0"/>
      <w:divBdr>
        <w:top w:val="none" w:sz="0" w:space="0" w:color="auto"/>
        <w:left w:val="none" w:sz="0" w:space="0" w:color="auto"/>
        <w:bottom w:val="none" w:sz="0" w:space="0" w:color="auto"/>
        <w:right w:val="none" w:sz="0" w:space="0" w:color="auto"/>
      </w:divBdr>
    </w:div>
    <w:div w:id="640615900">
      <w:bodyDiv w:val="1"/>
      <w:marLeft w:val="0"/>
      <w:marRight w:val="0"/>
      <w:marTop w:val="0"/>
      <w:marBottom w:val="0"/>
      <w:divBdr>
        <w:top w:val="none" w:sz="0" w:space="0" w:color="auto"/>
        <w:left w:val="none" w:sz="0" w:space="0" w:color="auto"/>
        <w:bottom w:val="none" w:sz="0" w:space="0" w:color="auto"/>
        <w:right w:val="none" w:sz="0" w:space="0" w:color="auto"/>
      </w:divBdr>
    </w:div>
    <w:div w:id="640690279">
      <w:bodyDiv w:val="1"/>
      <w:marLeft w:val="0"/>
      <w:marRight w:val="0"/>
      <w:marTop w:val="0"/>
      <w:marBottom w:val="0"/>
      <w:divBdr>
        <w:top w:val="none" w:sz="0" w:space="0" w:color="auto"/>
        <w:left w:val="none" w:sz="0" w:space="0" w:color="auto"/>
        <w:bottom w:val="none" w:sz="0" w:space="0" w:color="auto"/>
        <w:right w:val="none" w:sz="0" w:space="0" w:color="auto"/>
      </w:divBdr>
    </w:div>
    <w:div w:id="640816706">
      <w:bodyDiv w:val="1"/>
      <w:marLeft w:val="0"/>
      <w:marRight w:val="0"/>
      <w:marTop w:val="0"/>
      <w:marBottom w:val="0"/>
      <w:divBdr>
        <w:top w:val="none" w:sz="0" w:space="0" w:color="auto"/>
        <w:left w:val="none" w:sz="0" w:space="0" w:color="auto"/>
        <w:bottom w:val="none" w:sz="0" w:space="0" w:color="auto"/>
        <w:right w:val="none" w:sz="0" w:space="0" w:color="auto"/>
      </w:divBdr>
    </w:div>
    <w:div w:id="640963515">
      <w:bodyDiv w:val="1"/>
      <w:marLeft w:val="0"/>
      <w:marRight w:val="0"/>
      <w:marTop w:val="0"/>
      <w:marBottom w:val="0"/>
      <w:divBdr>
        <w:top w:val="none" w:sz="0" w:space="0" w:color="auto"/>
        <w:left w:val="none" w:sz="0" w:space="0" w:color="auto"/>
        <w:bottom w:val="none" w:sz="0" w:space="0" w:color="auto"/>
        <w:right w:val="none" w:sz="0" w:space="0" w:color="auto"/>
      </w:divBdr>
    </w:div>
    <w:div w:id="641035968">
      <w:bodyDiv w:val="1"/>
      <w:marLeft w:val="0"/>
      <w:marRight w:val="0"/>
      <w:marTop w:val="0"/>
      <w:marBottom w:val="0"/>
      <w:divBdr>
        <w:top w:val="none" w:sz="0" w:space="0" w:color="auto"/>
        <w:left w:val="none" w:sz="0" w:space="0" w:color="auto"/>
        <w:bottom w:val="none" w:sz="0" w:space="0" w:color="auto"/>
        <w:right w:val="none" w:sz="0" w:space="0" w:color="auto"/>
      </w:divBdr>
    </w:div>
    <w:div w:id="641078733">
      <w:bodyDiv w:val="1"/>
      <w:marLeft w:val="0"/>
      <w:marRight w:val="0"/>
      <w:marTop w:val="0"/>
      <w:marBottom w:val="0"/>
      <w:divBdr>
        <w:top w:val="none" w:sz="0" w:space="0" w:color="auto"/>
        <w:left w:val="none" w:sz="0" w:space="0" w:color="auto"/>
        <w:bottom w:val="none" w:sz="0" w:space="0" w:color="auto"/>
        <w:right w:val="none" w:sz="0" w:space="0" w:color="auto"/>
      </w:divBdr>
    </w:div>
    <w:div w:id="641152481">
      <w:bodyDiv w:val="1"/>
      <w:marLeft w:val="0"/>
      <w:marRight w:val="0"/>
      <w:marTop w:val="0"/>
      <w:marBottom w:val="0"/>
      <w:divBdr>
        <w:top w:val="none" w:sz="0" w:space="0" w:color="auto"/>
        <w:left w:val="none" w:sz="0" w:space="0" w:color="auto"/>
        <w:bottom w:val="none" w:sz="0" w:space="0" w:color="auto"/>
        <w:right w:val="none" w:sz="0" w:space="0" w:color="auto"/>
      </w:divBdr>
    </w:div>
    <w:div w:id="641152862">
      <w:bodyDiv w:val="1"/>
      <w:marLeft w:val="0"/>
      <w:marRight w:val="0"/>
      <w:marTop w:val="0"/>
      <w:marBottom w:val="0"/>
      <w:divBdr>
        <w:top w:val="none" w:sz="0" w:space="0" w:color="auto"/>
        <w:left w:val="none" w:sz="0" w:space="0" w:color="auto"/>
        <w:bottom w:val="none" w:sz="0" w:space="0" w:color="auto"/>
        <w:right w:val="none" w:sz="0" w:space="0" w:color="auto"/>
      </w:divBdr>
    </w:div>
    <w:div w:id="641233373">
      <w:bodyDiv w:val="1"/>
      <w:marLeft w:val="0"/>
      <w:marRight w:val="0"/>
      <w:marTop w:val="0"/>
      <w:marBottom w:val="0"/>
      <w:divBdr>
        <w:top w:val="none" w:sz="0" w:space="0" w:color="auto"/>
        <w:left w:val="none" w:sz="0" w:space="0" w:color="auto"/>
        <w:bottom w:val="none" w:sz="0" w:space="0" w:color="auto"/>
        <w:right w:val="none" w:sz="0" w:space="0" w:color="auto"/>
      </w:divBdr>
    </w:div>
    <w:div w:id="641275126">
      <w:bodyDiv w:val="1"/>
      <w:marLeft w:val="0"/>
      <w:marRight w:val="0"/>
      <w:marTop w:val="0"/>
      <w:marBottom w:val="0"/>
      <w:divBdr>
        <w:top w:val="none" w:sz="0" w:space="0" w:color="auto"/>
        <w:left w:val="none" w:sz="0" w:space="0" w:color="auto"/>
        <w:bottom w:val="none" w:sz="0" w:space="0" w:color="auto"/>
        <w:right w:val="none" w:sz="0" w:space="0" w:color="auto"/>
      </w:divBdr>
    </w:div>
    <w:div w:id="641275502">
      <w:bodyDiv w:val="1"/>
      <w:marLeft w:val="0"/>
      <w:marRight w:val="0"/>
      <w:marTop w:val="0"/>
      <w:marBottom w:val="0"/>
      <w:divBdr>
        <w:top w:val="none" w:sz="0" w:space="0" w:color="auto"/>
        <w:left w:val="none" w:sz="0" w:space="0" w:color="auto"/>
        <w:bottom w:val="none" w:sz="0" w:space="0" w:color="auto"/>
        <w:right w:val="none" w:sz="0" w:space="0" w:color="auto"/>
      </w:divBdr>
    </w:div>
    <w:div w:id="641422127">
      <w:bodyDiv w:val="1"/>
      <w:marLeft w:val="0"/>
      <w:marRight w:val="0"/>
      <w:marTop w:val="0"/>
      <w:marBottom w:val="0"/>
      <w:divBdr>
        <w:top w:val="none" w:sz="0" w:space="0" w:color="auto"/>
        <w:left w:val="none" w:sz="0" w:space="0" w:color="auto"/>
        <w:bottom w:val="none" w:sz="0" w:space="0" w:color="auto"/>
        <w:right w:val="none" w:sz="0" w:space="0" w:color="auto"/>
      </w:divBdr>
    </w:div>
    <w:div w:id="641496126">
      <w:bodyDiv w:val="1"/>
      <w:marLeft w:val="0"/>
      <w:marRight w:val="0"/>
      <w:marTop w:val="0"/>
      <w:marBottom w:val="0"/>
      <w:divBdr>
        <w:top w:val="none" w:sz="0" w:space="0" w:color="auto"/>
        <w:left w:val="none" w:sz="0" w:space="0" w:color="auto"/>
        <w:bottom w:val="none" w:sz="0" w:space="0" w:color="auto"/>
        <w:right w:val="none" w:sz="0" w:space="0" w:color="auto"/>
      </w:divBdr>
    </w:div>
    <w:div w:id="641541233">
      <w:bodyDiv w:val="1"/>
      <w:marLeft w:val="0"/>
      <w:marRight w:val="0"/>
      <w:marTop w:val="0"/>
      <w:marBottom w:val="0"/>
      <w:divBdr>
        <w:top w:val="none" w:sz="0" w:space="0" w:color="auto"/>
        <w:left w:val="none" w:sz="0" w:space="0" w:color="auto"/>
        <w:bottom w:val="none" w:sz="0" w:space="0" w:color="auto"/>
        <w:right w:val="none" w:sz="0" w:space="0" w:color="auto"/>
      </w:divBdr>
    </w:div>
    <w:div w:id="641736602">
      <w:bodyDiv w:val="1"/>
      <w:marLeft w:val="0"/>
      <w:marRight w:val="0"/>
      <w:marTop w:val="0"/>
      <w:marBottom w:val="0"/>
      <w:divBdr>
        <w:top w:val="none" w:sz="0" w:space="0" w:color="auto"/>
        <w:left w:val="none" w:sz="0" w:space="0" w:color="auto"/>
        <w:bottom w:val="none" w:sz="0" w:space="0" w:color="auto"/>
        <w:right w:val="none" w:sz="0" w:space="0" w:color="auto"/>
      </w:divBdr>
    </w:div>
    <w:div w:id="641815131">
      <w:bodyDiv w:val="1"/>
      <w:marLeft w:val="0"/>
      <w:marRight w:val="0"/>
      <w:marTop w:val="0"/>
      <w:marBottom w:val="0"/>
      <w:divBdr>
        <w:top w:val="none" w:sz="0" w:space="0" w:color="auto"/>
        <w:left w:val="none" w:sz="0" w:space="0" w:color="auto"/>
        <w:bottom w:val="none" w:sz="0" w:space="0" w:color="auto"/>
        <w:right w:val="none" w:sz="0" w:space="0" w:color="auto"/>
      </w:divBdr>
    </w:div>
    <w:div w:id="642078340">
      <w:bodyDiv w:val="1"/>
      <w:marLeft w:val="0"/>
      <w:marRight w:val="0"/>
      <w:marTop w:val="0"/>
      <w:marBottom w:val="0"/>
      <w:divBdr>
        <w:top w:val="none" w:sz="0" w:space="0" w:color="auto"/>
        <w:left w:val="none" w:sz="0" w:space="0" w:color="auto"/>
        <w:bottom w:val="none" w:sz="0" w:space="0" w:color="auto"/>
        <w:right w:val="none" w:sz="0" w:space="0" w:color="auto"/>
      </w:divBdr>
    </w:div>
    <w:div w:id="642083273">
      <w:bodyDiv w:val="1"/>
      <w:marLeft w:val="0"/>
      <w:marRight w:val="0"/>
      <w:marTop w:val="0"/>
      <w:marBottom w:val="0"/>
      <w:divBdr>
        <w:top w:val="none" w:sz="0" w:space="0" w:color="auto"/>
        <w:left w:val="none" w:sz="0" w:space="0" w:color="auto"/>
        <w:bottom w:val="none" w:sz="0" w:space="0" w:color="auto"/>
        <w:right w:val="none" w:sz="0" w:space="0" w:color="auto"/>
      </w:divBdr>
    </w:div>
    <w:div w:id="642083460">
      <w:bodyDiv w:val="1"/>
      <w:marLeft w:val="0"/>
      <w:marRight w:val="0"/>
      <w:marTop w:val="0"/>
      <w:marBottom w:val="0"/>
      <w:divBdr>
        <w:top w:val="none" w:sz="0" w:space="0" w:color="auto"/>
        <w:left w:val="none" w:sz="0" w:space="0" w:color="auto"/>
        <w:bottom w:val="none" w:sz="0" w:space="0" w:color="auto"/>
        <w:right w:val="none" w:sz="0" w:space="0" w:color="auto"/>
      </w:divBdr>
    </w:div>
    <w:div w:id="642152908">
      <w:bodyDiv w:val="1"/>
      <w:marLeft w:val="0"/>
      <w:marRight w:val="0"/>
      <w:marTop w:val="0"/>
      <w:marBottom w:val="0"/>
      <w:divBdr>
        <w:top w:val="none" w:sz="0" w:space="0" w:color="auto"/>
        <w:left w:val="none" w:sz="0" w:space="0" w:color="auto"/>
        <w:bottom w:val="none" w:sz="0" w:space="0" w:color="auto"/>
        <w:right w:val="none" w:sz="0" w:space="0" w:color="auto"/>
      </w:divBdr>
    </w:div>
    <w:div w:id="642198613">
      <w:bodyDiv w:val="1"/>
      <w:marLeft w:val="0"/>
      <w:marRight w:val="0"/>
      <w:marTop w:val="0"/>
      <w:marBottom w:val="0"/>
      <w:divBdr>
        <w:top w:val="none" w:sz="0" w:space="0" w:color="auto"/>
        <w:left w:val="none" w:sz="0" w:space="0" w:color="auto"/>
        <w:bottom w:val="none" w:sz="0" w:space="0" w:color="auto"/>
        <w:right w:val="none" w:sz="0" w:space="0" w:color="auto"/>
      </w:divBdr>
    </w:div>
    <w:div w:id="642270484">
      <w:bodyDiv w:val="1"/>
      <w:marLeft w:val="0"/>
      <w:marRight w:val="0"/>
      <w:marTop w:val="0"/>
      <w:marBottom w:val="0"/>
      <w:divBdr>
        <w:top w:val="none" w:sz="0" w:space="0" w:color="auto"/>
        <w:left w:val="none" w:sz="0" w:space="0" w:color="auto"/>
        <w:bottom w:val="none" w:sz="0" w:space="0" w:color="auto"/>
        <w:right w:val="none" w:sz="0" w:space="0" w:color="auto"/>
      </w:divBdr>
    </w:div>
    <w:div w:id="642270598">
      <w:bodyDiv w:val="1"/>
      <w:marLeft w:val="0"/>
      <w:marRight w:val="0"/>
      <w:marTop w:val="0"/>
      <w:marBottom w:val="0"/>
      <w:divBdr>
        <w:top w:val="none" w:sz="0" w:space="0" w:color="auto"/>
        <w:left w:val="none" w:sz="0" w:space="0" w:color="auto"/>
        <w:bottom w:val="none" w:sz="0" w:space="0" w:color="auto"/>
        <w:right w:val="none" w:sz="0" w:space="0" w:color="auto"/>
      </w:divBdr>
    </w:div>
    <w:div w:id="642348112">
      <w:bodyDiv w:val="1"/>
      <w:marLeft w:val="0"/>
      <w:marRight w:val="0"/>
      <w:marTop w:val="0"/>
      <w:marBottom w:val="0"/>
      <w:divBdr>
        <w:top w:val="none" w:sz="0" w:space="0" w:color="auto"/>
        <w:left w:val="none" w:sz="0" w:space="0" w:color="auto"/>
        <w:bottom w:val="none" w:sz="0" w:space="0" w:color="auto"/>
        <w:right w:val="none" w:sz="0" w:space="0" w:color="auto"/>
      </w:divBdr>
    </w:div>
    <w:div w:id="642348299">
      <w:bodyDiv w:val="1"/>
      <w:marLeft w:val="0"/>
      <w:marRight w:val="0"/>
      <w:marTop w:val="0"/>
      <w:marBottom w:val="0"/>
      <w:divBdr>
        <w:top w:val="none" w:sz="0" w:space="0" w:color="auto"/>
        <w:left w:val="none" w:sz="0" w:space="0" w:color="auto"/>
        <w:bottom w:val="none" w:sz="0" w:space="0" w:color="auto"/>
        <w:right w:val="none" w:sz="0" w:space="0" w:color="auto"/>
      </w:divBdr>
    </w:div>
    <w:div w:id="642731295">
      <w:bodyDiv w:val="1"/>
      <w:marLeft w:val="0"/>
      <w:marRight w:val="0"/>
      <w:marTop w:val="0"/>
      <w:marBottom w:val="0"/>
      <w:divBdr>
        <w:top w:val="none" w:sz="0" w:space="0" w:color="auto"/>
        <w:left w:val="none" w:sz="0" w:space="0" w:color="auto"/>
        <w:bottom w:val="none" w:sz="0" w:space="0" w:color="auto"/>
        <w:right w:val="none" w:sz="0" w:space="0" w:color="auto"/>
      </w:divBdr>
    </w:div>
    <w:div w:id="642736310">
      <w:bodyDiv w:val="1"/>
      <w:marLeft w:val="0"/>
      <w:marRight w:val="0"/>
      <w:marTop w:val="0"/>
      <w:marBottom w:val="0"/>
      <w:divBdr>
        <w:top w:val="none" w:sz="0" w:space="0" w:color="auto"/>
        <w:left w:val="none" w:sz="0" w:space="0" w:color="auto"/>
        <w:bottom w:val="none" w:sz="0" w:space="0" w:color="auto"/>
        <w:right w:val="none" w:sz="0" w:space="0" w:color="auto"/>
      </w:divBdr>
    </w:div>
    <w:div w:id="642930283">
      <w:bodyDiv w:val="1"/>
      <w:marLeft w:val="0"/>
      <w:marRight w:val="0"/>
      <w:marTop w:val="0"/>
      <w:marBottom w:val="0"/>
      <w:divBdr>
        <w:top w:val="none" w:sz="0" w:space="0" w:color="auto"/>
        <w:left w:val="none" w:sz="0" w:space="0" w:color="auto"/>
        <w:bottom w:val="none" w:sz="0" w:space="0" w:color="auto"/>
        <w:right w:val="none" w:sz="0" w:space="0" w:color="auto"/>
      </w:divBdr>
    </w:div>
    <w:div w:id="643046271">
      <w:bodyDiv w:val="1"/>
      <w:marLeft w:val="0"/>
      <w:marRight w:val="0"/>
      <w:marTop w:val="0"/>
      <w:marBottom w:val="0"/>
      <w:divBdr>
        <w:top w:val="none" w:sz="0" w:space="0" w:color="auto"/>
        <w:left w:val="none" w:sz="0" w:space="0" w:color="auto"/>
        <w:bottom w:val="none" w:sz="0" w:space="0" w:color="auto"/>
        <w:right w:val="none" w:sz="0" w:space="0" w:color="auto"/>
      </w:divBdr>
    </w:div>
    <w:div w:id="643047764">
      <w:bodyDiv w:val="1"/>
      <w:marLeft w:val="0"/>
      <w:marRight w:val="0"/>
      <w:marTop w:val="0"/>
      <w:marBottom w:val="0"/>
      <w:divBdr>
        <w:top w:val="none" w:sz="0" w:space="0" w:color="auto"/>
        <w:left w:val="none" w:sz="0" w:space="0" w:color="auto"/>
        <w:bottom w:val="none" w:sz="0" w:space="0" w:color="auto"/>
        <w:right w:val="none" w:sz="0" w:space="0" w:color="auto"/>
      </w:divBdr>
    </w:div>
    <w:div w:id="643238266">
      <w:bodyDiv w:val="1"/>
      <w:marLeft w:val="0"/>
      <w:marRight w:val="0"/>
      <w:marTop w:val="0"/>
      <w:marBottom w:val="0"/>
      <w:divBdr>
        <w:top w:val="none" w:sz="0" w:space="0" w:color="auto"/>
        <w:left w:val="none" w:sz="0" w:space="0" w:color="auto"/>
        <w:bottom w:val="none" w:sz="0" w:space="0" w:color="auto"/>
        <w:right w:val="none" w:sz="0" w:space="0" w:color="auto"/>
      </w:divBdr>
    </w:div>
    <w:div w:id="643241075">
      <w:bodyDiv w:val="1"/>
      <w:marLeft w:val="0"/>
      <w:marRight w:val="0"/>
      <w:marTop w:val="0"/>
      <w:marBottom w:val="0"/>
      <w:divBdr>
        <w:top w:val="none" w:sz="0" w:space="0" w:color="auto"/>
        <w:left w:val="none" w:sz="0" w:space="0" w:color="auto"/>
        <w:bottom w:val="none" w:sz="0" w:space="0" w:color="auto"/>
        <w:right w:val="none" w:sz="0" w:space="0" w:color="auto"/>
      </w:divBdr>
    </w:div>
    <w:div w:id="643241592">
      <w:bodyDiv w:val="1"/>
      <w:marLeft w:val="0"/>
      <w:marRight w:val="0"/>
      <w:marTop w:val="0"/>
      <w:marBottom w:val="0"/>
      <w:divBdr>
        <w:top w:val="none" w:sz="0" w:space="0" w:color="auto"/>
        <w:left w:val="none" w:sz="0" w:space="0" w:color="auto"/>
        <w:bottom w:val="none" w:sz="0" w:space="0" w:color="auto"/>
        <w:right w:val="none" w:sz="0" w:space="0" w:color="auto"/>
      </w:divBdr>
    </w:div>
    <w:div w:id="643242087">
      <w:bodyDiv w:val="1"/>
      <w:marLeft w:val="0"/>
      <w:marRight w:val="0"/>
      <w:marTop w:val="0"/>
      <w:marBottom w:val="0"/>
      <w:divBdr>
        <w:top w:val="none" w:sz="0" w:space="0" w:color="auto"/>
        <w:left w:val="none" w:sz="0" w:space="0" w:color="auto"/>
        <w:bottom w:val="none" w:sz="0" w:space="0" w:color="auto"/>
        <w:right w:val="none" w:sz="0" w:space="0" w:color="auto"/>
      </w:divBdr>
    </w:div>
    <w:div w:id="643242378">
      <w:bodyDiv w:val="1"/>
      <w:marLeft w:val="0"/>
      <w:marRight w:val="0"/>
      <w:marTop w:val="0"/>
      <w:marBottom w:val="0"/>
      <w:divBdr>
        <w:top w:val="none" w:sz="0" w:space="0" w:color="auto"/>
        <w:left w:val="none" w:sz="0" w:space="0" w:color="auto"/>
        <w:bottom w:val="none" w:sz="0" w:space="0" w:color="auto"/>
        <w:right w:val="none" w:sz="0" w:space="0" w:color="auto"/>
      </w:divBdr>
    </w:div>
    <w:div w:id="643314372">
      <w:bodyDiv w:val="1"/>
      <w:marLeft w:val="0"/>
      <w:marRight w:val="0"/>
      <w:marTop w:val="0"/>
      <w:marBottom w:val="0"/>
      <w:divBdr>
        <w:top w:val="none" w:sz="0" w:space="0" w:color="auto"/>
        <w:left w:val="none" w:sz="0" w:space="0" w:color="auto"/>
        <w:bottom w:val="none" w:sz="0" w:space="0" w:color="auto"/>
        <w:right w:val="none" w:sz="0" w:space="0" w:color="auto"/>
      </w:divBdr>
    </w:div>
    <w:div w:id="643463299">
      <w:bodyDiv w:val="1"/>
      <w:marLeft w:val="0"/>
      <w:marRight w:val="0"/>
      <w:marTop w:val="0"/>
      <w:marBottom w:val="0"/>
      <w:divBdr>
        <w:top w:val="none" w:sz="0" w:space="0" w:color="auto"/>
        <w:left w:val="none" w:sz="0" w:space="0" w:color="auto"/>
        <w:bottom w:val="none" w:sz="0" w:space="0" w:color="auto"/>
        <w:right w:val="none" w:sz="0" w:space="0" w:color="auto"/>
      </w:divBdr>
    </w:div>
    <w:div w:id="643658566">
      <w:bodyDiv w:val="1"/>
      <w:marLeft w:val="0"/>
      <w:marRight w:val="0"/>
      <w:marTop w:val="0"/>
      <w:marBottom w:val="0"/>
      <w:divBdr>
        <w:top w:val="none" w:sz="0" w:space="0" w:color="auto"/>
        <w:left w:val="none" w:sz="0" w:space="0" w:color="auto"/>
        <w:bottom w:val="none" w:sz="0" w:space="0" w:color="auto"/>
        <w:right w:val="none" w:sz="0" w:space="0" w:color="auto"/>
      </w:divBdr>
    </w:div>
    <w:div w:id="643699664">
      <w:bodyDiv w:val="1"/>
      <w:marLeft w:val="0"/>
      <w:marRight w:val="0"/>
      <w:marTop w:val="0"/>
      <w:marBottom w:val="0"/>
      <w:divBdr>
        <w:top w:val="none" w:sz="0" w:space="0" w:color="auto"/>
        <w:left w:val="none" w:sz="0" w:space="0" w:color="auto"/>
        <w:bottom w:val="none" w:sz="0" w:space="0" w:color="auto"/>
        <w:right w:val="none" w:sz="0" w:space="0" w:color="auto"/>
      </w:divBdr>
    </w:div>
    <w:div w:id="643703206">
      <w:bodyDiv w:val="1"/>
      <w:marLeft w:val="0"/>
      <w:marRight w:val="0"/>
      <w:marTop w:val="0"/>
      <w:marBottom w:val="0"/>
      <w:divBdr>
        <w:top w:val="none" w:sz="0" w:space="0" w:color="auto"/>
        <w:left w:val="none" w:sz="0" w:space="0" w:color="auto"/>
        <w:bottom w:val="none" w:sz="0" w:space="0" w:color="auto"/>
        <w:right w:val="none" w:sz="0" w:space="0" w:color="auto"/>
      </w:divBdr>
    </w:div>
    <w:div w:id="643968615">
      <w:bodyDiv w:val="1"/>
      <w:marLeft w:val="0"/>
      <w:marRight w:val="0"/>
      <w:marTop w:val="0"/>
      <w:marBottom w:val="0"/>
      <w:divBdr>
        <w:top w:val="none" w:sz="0" w:space="0" w:color="auto"/>
        <w:left w:val="none" w:sz="0" w:space="0" w:color="auto"/>
        <w:bottom w:val="none" w:sz="0" w:space="0" w:color="auto"/>
        <w:right w:val="none" w:sz="0" w:space="0" w:color="auto"/>
      </w:divBdr>
    </w:div>
    <w:div w:id="644353724">
      <w:bodyDiv w:val="1"/>
      <w:marLeft w:val="0"/>
      <w:marRight w:val="0"/>
      <w:marTop w:val="0"/>
      <w:marBottom w:val="0"/>
      <w:divBdr>
        <w:top w:val="none" w:sz="0" w:space="0" w:color="auto"/>
        <w:left w:val="none" w:sz="0" w:space="0" w:color="auto"/>
        <w:bottom w:val="none" w:sz="0" w:space="0" w:color="auto"/>
        <w:right w:val="none" w:sz="0" w:space="0" w:color="auto"/>
      </w:divBdr>
    </w:div>
    <w:div w:id="644357399">
      <w:bodyDiv w:val="1"/>
      <w:marLeft w:val="0"/>
      <w:marRight w:val="0"/>
      <w:marTop w:val="0"/>
      <w:marBottom w:val="0"/>
      <w:divBdr>
        <w:top w:val="none" w:sz="0" w:space="0" w:color="auto"/>
        <w:left w:val="none" w:sz="0" w:space="0" w:color="auto"/>
        <w:bottom w:val="none" w:sz="0" w:space="0" w:color="auto"/>
        <w:right w:val="none" w:sz="0" w:space="0" w:color="auto"/>
      </w:divBdr>
    </w:div>
    <w:div w:id="644431012">
      <w:bodyDiv w:val="1"/>
      <w:marLeft w:val="0"/>
      <w:marRight w:val="0"/>
      <w:marTop w:val="0"/>
      <w:marBottom w:val="0"/>
      <w:divBdr>
        <w:top w:val="none" w:sz="0" w:space="0" w:color="auto"/>
        <w:left w:val="none" w:sz="0" w:space="0" w:color="auto"/>
        <w:bottom w:val="none" w:sz="0" w:space="0" w:color="auto"/>
        <w:right w:val="none" w:sz="0" w:space="0" w:color="auto"/>
      </w:divBdr>
    </w:div>
    <w:div w:id="644546843">
      <w:bodyDiv w:val="1"/>
      <w:marLeft w:val="0"/>
      <w:marRight w:val="0"/>
      <w:marTop w:val="0"/>
      <w:marBottom w:val="0"/>
      <w:divBdr>
        <w:top w:val="none" w:sz="0" w:space="0" w:color="auto"/>
        <w:left w:val="none" w:sz="0" w:space="0" w:color="auto"/>
        <w:bottom w:val="none" w:sz="0" w:space="0" w:color="auto"/>
        <w:right w:val="none" w:sz="0" w:space="0" w:color="auto"/>
      </w:divBdr>
    </w:div>
    <w:div w:id="644548059">
      <w:bodyDiv w:val="1"/>
      <w:marLeft w:val="0"/>
      <w:marRight w:val="0"/>
      <w:marTop w:val="0"/>
      <w:marBottom w:val="0"/>
      <w:divBdr>
        <w:top w:val="none" w:sz="0" w:space="0" w:color="auto"/>
        <w:left w:val="none" w:sz="0" w:space="0" w:color="auto"/>
        <w:bottom w:val="none" w:sz="0" w:space="0" w:color="auto"/>
        <w:right w:val="none" w:sz="0" w:space="0" w:color="auto"/>
      </w:divBdr>
    </w:div>
    <w:div w:id="644553128">
      <w:bodyDiv w:val="1"/>
      <w:marLeft w:val="0"/>
      <w:marRight w:val="0"/>
      <w:marTop w:val="0"/>
      <w:marBottom w:val="0"/>
      <w:divBdr>
        <w:top w:val="none" w:sz="0" w:space="0" w:color="auto"/>
        <w:left w:val="none" w:sz="0" w:space="0" w:color="auto"/>
        <w:bottom w:val="none" w:sz="0" w:space="0" w:color="auto"/>
        <w:right w:val="none" w:sz="0" w:space="0" w:color="auto"/>
      </w:divBdr>
    </w:div>
    <w:div w:id="644699947">
      <w:bodyDiv w:val="1"/>
      <w:marLeft w:val="0"/>
      <w:marRight w:val="0"/>
      <w:marTop w:val="0"/>
      <w:marBottom w:val="0"/>
      <w:divBdr>
        <w:top w:val="none" w:sz="0" w:space="0" w:color="auto"/>
        <w:left w:val="none" w:sz="0" w:space="0" w:color="auto"/>
        <w:bottom w:val="none" w:sz="0" w:space="0" w:color="auto"/>
        <w:right w:val="none" w:sz="0" w:space="0" w:color="auto"/>
      </w:divBdr>
    </w:div>
    <w:div w:id="644702630">
      <w:bodyDiv w:val="1"/>
      <w:marLeft w:val="0"/>
      <w:marRight w:val="0"/>
      <w:marTop w:val="0"/>
      <w:marBottom w:val="0"/>
      <w:divBdr>
        <w:top w:val="none" w:sz="0" w:space="0" w:color="auto"/>
        <w:left w:val="none" w:sz="0" w:space="0" w:color="auto"/>
        <w:bottom w:val="none" w:sz="0" w:space="0" w:color="auto"/>
        <w:right w:val="none" w:sz="0" w:space="0" w:color="auto"/>
      </w:divBdr>
    </w:div>
    <w:div w:id="644817837">
      <w:bodyDiv w:val="1"/>
      <w:marLeft w:val="0"/>
      <w:marRight w:val="0"/>
      <w:marTop w:val="0"/>
      <w:marBottom w:val="0"/>
      <w:divBdr>
        <w:top w:val="none" w:sz="0" w:space="0" w:color="auto"/>
        <w:left w:val="none" w:sz="0" w:space="0" w:color="auto"/>
        <w:bottom w:val="none" w:sz="0" w:space="0" w:color="auto"/>
        <w:right w:val="none" w:sz="0" w:space="0" w:color="auto"/>
      </w:divBdr>
    </w:div>
    <w:div w:id="644818019">
      <w:bodyDiv w:val="1"/>
      <w:marLeft w:val="0"/>
      <w:marRight w:val="0"/>
      <w:marTop w:val="0"/>
      <w:marBottom w:val="0"/>
      <w:divBdr>
        <w:top w:val="none" w:sz="0" w:space="0" w:color="auto"/>
        <w:left w:val="none" w:sz="0" w:space="0" w:color="auto"/>
        <w:bottom w:val="none" w:sz="0" w:space="0" w:color="auto"/>
        <w:right w:val="none" w:sz="0" w:space="0" w:color="auto"/>
      </w:divBdr>
    </w:div>
    <w:div w:id="644823761">
      <w:bodyDiv w:val="1"/>
      <w:marLeft w:val="0"/>
      <w:marRight w:val="0"/>
      <w:marTop w:val="0"/>
      <w:marBottom w:val="0"/>
      <w:divBdr>
        <w:top w:val="none" w:sz="0" w:space="0" w:color="auto"/>
        <w:left w:val="none" w:sz="0" w:space="0" w:color="auto"/>
        <w:bottom w:val="none" w:sz="0" w:space="0" w:color="auto"/>
        <w:right w:val="none" w:sz="0" w:space="0" w:color="auto"/>
      </w:divBdr>
    </w:div>
    <w:div w:id="644966402">
      <w:bodyDiv w:val="1"/>
      <w:marLeft w:val="0"/>
      <w:marRight w:val="0"/>
      <w:marTop w:val="0"/>
      <w:marBottom w:val="0"/>
      <w:divBdr>
        <w:top w:val="none" w:sz="0" w:space="0" w:color="auto"/>
        <w:left w:val="none" w:sz="0" w:space="0" w:color="auto"/>
        <w:bottom w:val="none" w:sz="0" w:space="0" w:color="auto"/>
        <w:right w:val="none" w:sz="0" w:space="0" w:color="auto"/>
      </w:divBdr>
    </w:div>
    <w:div w:id="645090355">
      <w:bodyDiv w:val="1"/>
      <w:marLeft w:val="0"/>
      <w:marRight w:val="0"/>
      <w:marTop w:val="0"/>
      <w:marBottom w:val="0"/>
      <w:divBdr>
        <w:top w:val="none" w:sz="0" w:space="0" w:color="auto"/>
        <w:left w:val="none" w:sz="0" w:space="0" w:color="auto"/>
        <w:bottom w:val="none" w:sz="0" w:space="0" w:color="auto"/>
        <w:right w:val="none" w:sz="0" w:space="0" w:color="auto"/>
      </w:divBdr>
    </w:div>
    <w:div w:id="645209042">
      <w:bodyDiv w:val="1"/>
      <w:marLeft w:val="0"/>
      <w:marRight w:val="0"/>
      <w:marTop w:val="0"/>
      <w:marBottom w:val="0"/>
      <w:divBdr>
        <w:top w:val="none" w:sz="0" w:space="0" w:color="auto"/>
        <w:left w:val="none" w:sz="0" w:space="0" w:color="auto"/>
        <w:bottom w:val="none" w:sz="0" w:space="0" w:color="auto"/>
        <w:right w:val="none" w:sz="0" w:space="0" w:color="auto"/>
      </w:divBdr>
    </w:div>
    <w:div w:id="645472502">
      <w:bodyDiv w:val="1"/>
      <w:marLeft w:val="0"/>
      <w:marRight w:val="0"/>
      <w:marTop w:val="0"/>
      <w:marBottom w:val="0"/>
      <w:divBdr>
        <w:top w:val="none" w:sz="0" w:space="0" w:color="auto"/>
        <w:left w:val="none" w:sz="0" w:space="0" w:color="auto"/>
        <w:bottom w:val="none" w:sz="0" w:space="0" w:color="auto"/>
        <w:right w:val="none" w:sz="0" w:space="0" w:color="auto"/>
      </w:divBdr>
    </w:div>
    <w:div w:id="645545763">
      <w:bodyDiv w:val="1"/>
      <w:marLeft w:val="0"/>
      <w:marRight w:val="0"/>
      <w:marTop w:val="0"/>
      <w:marBottom w:val="0"/>
      <w:divBdr>
        <w:top w:val="none" w:sz="0" w:space="0" w:color="auto"/>
        <w:left w:val="none" w:sz="0" w:space="0" w:color="auto"/>
        <w:bottom w:val="none" w:sz="0" w:space="0" w:color="auto"/>
        <w:right w:val="none" w:sz="0" w:space="0" w:color="auto"/>
      </w:divBdr>
    </w:div>
    <w:div w:id="645551438">
      <w:bodyDiv w:val="1"/>
      <w:marLeft w:val="0"/>
      <w:marRight w:val="0"/>
      <w:marTop w:val="0"/>
      <w:marBottom w:val="0"/>
      <w:divBdr>
        <w:top w:val="none" w:sz="0" w:space="0" w:color="auto"/>
        <w:left w:val="none" w:sz="0" w:space="0" w:color="auto"/>
        <w:bottom w:val="none" w:sz="0" w:space="0" w:color="auto"/>
        <w:right w:val="none" w:sz="0" w:space="0" w:color="auto"/>
      </w:divBdr>
    </w:div>
    <w:div w:id="645625871">
      <w:bodyDiv w:val="1"/>
      <w:marLeft w:val="0"/>
      <w:marRight w:val="0"/>
      <w:marTop w:val="0"/>
      <w:marBottom w:val="0"/>
      <w:divBdr>
        <w:top w:val="none" w:sz="0" w:space="0" w:color="auto"/>
        <w:left w:val="none" w:sz="0" w:space="0" w:color="auto"/>
        <w:bottom w:val="none" w:sz="0" w:space="0" w:color="auto"/>
        <w:right w:val="none" w:sz="0" w:space="0" w:color="auto"/>
      </w:divBdr>
    </w:div>
    <w:div w:id="645746450">
      <w:bodyDiv w:val="1"/>
      <w:marLeft w:val="0"/>
      <w:marRight w:val="0"/>
      <w:marTop w:val="0"/>
      <w:marBottom w:val="0"/>
      <w:divBdr>
        <w:top w:val="none" w:sz="0" w:space="0" w:color="auto"/>
        <w:left w:val="none" w:sz="0" w:space="0" w:color="auto"/>
        <w:bottom w:val="none" w:sz="0" w:space="0" w:color="auto"/>
        <w:right w:val="none" w:sz="0" w:space="0" w:color="auto"/>
      </w:divBdr>
    </w:div>
    <w:div w:id="645821036">
      <w:bodyDiv w:val="1"/>
      <w:marLeft w:val="0"/>
      <w:marRight w:val="0"/>
      <w:marTop w:val="0"/>
      <w:marBottom w:val="0"/>
      <w:divBdr>
        <w:top w:val="none" w:sz="0" w:space="0" w:color="auto"/>
        <w:left w:val="none" w:sz="0" w:space="0" w:color="auto"/>
        <w:bottom w:val="none" w:sz="0" w:space="0" w:color="auto"/>
        <w:right w:val="none" w:sz="0" w:space="0" w:color="auto"/>
      </w:divBdr>
    </w:div>
    <w:div w:id="645857595">
      <w:bodyDiv w:val="1"/>
      <w:marLeft w:val="0"/>
      <w:marRight w:val="0"/>
      <w:marTop w:val="0"/>
      <w:marBottom w:val="0"/>
      <w:divBdr>
        <w:top w:val="none" w:sz="0" w:space="0" w:color="auto"/>
        <w:left w:val="none" w:sz="0" w:space="0" w:color="auto"/>
        <w:bottom w:val="none" w:sz="0" w:space="0" w:color="auto"/>
        <w:right w:val="none" w:sz="0" w:space="0" w:color="auto"/>
      </w:divBdr>
    </w:div>
    <w:div w:id="646007226">
      <w:bodyDiv w:val="1"/>
      <w:marLeft w:val="0"/>
      <w:marRight w:val="0"/>
      <w:marTop w:val="0"/>
      <w:marBottom w:val="0"/>
      <w:divBdr>
        <w:top w:val="none" w:sz="0" w:space="0" w:color="auto"/>
        <w:left w:val="none" w:sz="0" w:space="0" w:color="auto"/>
        <w:bottom w:val="none" w:sz="0" w:space="0" w:color="auto"/>
        <w:right w:val="none" w:sz="0" w:space="0" w:color="auto"/>
      </w:divBdr>
    </w:div>
    <w:div w:id="646014247">
      <w:bodyDiv w:val="1"/>
      <w:marLeft w:val="0"/>
      <w:marRight w:val="0"/>
      <w:marTop w:val="0"/>
      <w:marBottom w:val="0"/>
      <w:divBdr>
        <w:top w:val="none" w:sz="0" w:space="0" w:color="auto"/>
        <w:left w:val="none" w:sz="0" w:space="0" w:color="auto"/>
        <w:bottom w:val="none" w:sz="0" w:space="0" w:color="auto"/>
        <w:right w:val="none" w:sz="0" w:space="0" w:color="auto"/>
      </w:divBdr>
    </w:div>
    <w:div w:id="646057913">
      <w:bodyDiv w:val="1"/>
      <w:marLeft w:val="0"/>
      <w:marRight w:val="0"/>
      <w:marTop w:val="0"/>
      <w:marBottom w:val="0"/>
      <w:divBdr>
        <w:top w:val="none" w:sz="0" w:space="0" w:color="auto"/>
        <w:left w:val="none" w:sz="0" w:space="0" w:color="auto"/>
        <w:bottom w:val="none" w:sz="0" w:space="0" w:color="auto"/>
        <w:right w:val="none" w:sz="0" w:space="0" w:color="auto"/>
      </w:divBdr>
    </w:div>
    <w:div w:id="646058300">
      <w:bodyDiv w:val="1"/>
      <w:marLeft w:val="0"/>
      <w:marRight w:val="0"/>
      <w:marTop w:val="0"/>
      <w:marBottom w:val="0"/>
      <w:divBdr>
        <w:top w:val="none" w:sz="0" w:space="0" w:color="auto"/>
        <w:left w:val="none" w:sz="0" w:space="0" w:color="auto"/>
        <w:bottom w:val="none" w:sz="0" w:space="0" w:color="auto"/>
        <w:right w:val="none" w:sz="0" w:space="0" w:color="auto"/>
      </w:divBdr>
    </w:div>
    <w:div w:id="646082595">
      <w:bodyDiv w:val="1"/>
      <w:marLeft w:val="0"/>
      <w:marRight w:val="0"/>
      <w:marTop w:val="0"/>
      <w:marBottom w:val="0"/>
      <w:divBdr>
        <w:top w:val="none" w:sz="0" w:space="0" w:color="auto"/>
        <w:left w:val="none" w:sz="0" w:space="0" w:color="auto"/>
        <w:bottom w:val="none" w:sz="0" w:space="0" w:color="auto"/>
        <w:right w:val="none" w:sz="0" w:space="0" w:color="auto"/>
      </w:divBdr>
    </w:div>
    <w:div w:id="646134068">
      <w:bodyDiv w:val="1"/>
      <w:marLeft w:val="0"/>
      <w:marRight w:val="0"/>
      <w:marTop w:val="0"/>
      <w:marBottom w:val="0"/>
      <w:divBdr>
        <w:top w:val="none" w:sz="0" w:space="0" w:color="auto"/>
        <w:left w:val="none" w:sz="0" w:space="0" w:color="auto"/>
        <w:bottom w:val="none" w:sz="0" w:space="0" w:color="auto"/>
        <w:right w:val="none" w:sz="0" w:space="0" w:color="auto"/>
      </w:divBdr>
    </w:div>
    <w:div w:id="646200533">
      <w:bodyDiv w:val="1"/>
      <w:marLeft w:val="0"/>
      <w:marRight w:val="0"/>
      <w:marTop w:val="0"/>
      <w:marBottom w:val="0"/>
      <w:divBdr>
        <w:top w:val="none" w:sz="0" w:space="0" w:color="auto"/>
        <w:left w:val="none" w:sz="0" w:space="0" w:color="auto"/>
        <w:bottom w:val="none" w:sz="0" w:space="0" w:color="auto"/>
        <w:right w:val="none" w:sz="0" w:space="0" w:color="auto"/>
      </w:divBdr>
    </w:div>
    <w:div w:id="646252145">
      <w:bodyDiv w:val="1"/>
      <w:marLeft w:val="0"/>
      <w:marRight w:val="0"/>
      <w:marTop w:val="0"/>
      <w:marBottom w:val="0"/>
      <w:divBdr>
        <w:top w:val="none" w:sz="0" w:space="0" w:color="auto"/>
        <w:left w:val="none" w:sz="0" w:space="0" w:color="auto"/>
        <w:bottom w:val="none" w:sz="0" w:space="0" w:color="auto"/>
        <w:right w:val="none" w:sz="0" w:space="0" w:color="auto"/>
      </w:divBdr>
    </w:div>
    <w:div w:id="646323582">
      <w:bodyDiv w:val="1"/>
      <w:marLeft w:val="0"/>
      <w:marRight w:val="0"/>
      <w:marTop w:val="0"/>
      <w:marBottom w:val="0"/>
      <w:divBdr>
        <w:top w:val="none" w:sz="0" w:space="0" w:color="auto"/>
        <w:left w:val="none" w:sz="0" w:space="0" w:color="auto"/>
        <w:bottom w:val="none" w:sz="0" w:space="0" w:color="auto"/>
        <w:right w:val="none" w:sz="0" w:space="0" w:color="auto"/>
      </w:divBdr>
    </w:div>
    <w:div w:id="646399169">
      <w:bodyDiv w:val="1"/>
      <w:marLeft w:val="0"/>
      <w:marRight w:val="0"/>
      <w:marTop w:val="0"/>
      <w:marBottom w:val="0"/>
      <w:divBdr>
        <w:top w:val="none" w:sz="0" w:space="0" w:color="auto"/>
        <w:left w:val="none" w:sz="0" w:space="0" w:color="auto"/>
        <w:bottom w:val="none" w:sz="0" w:space="0" w:color="auto"/>
        <w:right w:val="none" w:sz="0" w:space="0" w:color="auto"/>
      </w:divBdr>
    </w:div>
    <w:div w:id="646400403">
      <w:bodyDiv w:val="1"/>
      <w:marLeft w:val="0"/>
      <w:marRight w:val="0"/>
      <w:marTop w:val="0"/>
      <w:marBottom w:val="0"/>
      <w:divBdr>
        <w:top w:val="none" w:sz="0" w:space="0" w:color="auto"/>
        <w:left w:val="none" w:sz="0" w:space="0" w:color="auto"/>
        <w:bottom w:val="none" w:sz="0" w:space="0" w:color="auto"/>
        <w:right w:val="none" w:sz="0" w:space="0" w:color="auto"/>
      </w:divBdr>
    </w:div>
    <w:div w:id="646400872">
      <w:bodyDiv w:val="1"/>
      <w:marLeft w:val="0"/>
      <w:marRight w:val="0"/>
      <w:marTop w:val="0"/>
      <w:marBottom w:val="0"/>
      <w:divBdr>
        <w:top w:val="none" w:sz="0" w:space="0" w:color="auto"/>
        <w:left w:val="none" w:sz="0" w:space="0" w:color="auto"/>
        <w:bottom w:val="none" w:sz="0" w:space="0" w:color="auto"/>
        <w:right w:val="none" w:sz="0" w:space="0" w:color="auto"/>
      </w:divBdr>
    </w:div>
    <w:div w:id="646667295">
      <w:bodyDiv w:val="1"/>
      <w:marLeft w:val="0"/>
      <w:marRight w:val="0"/>
      <w:marTop w:val="0"/>
      <w:marBottom w:val="0"/>
      <w:divBdr>
        <w:top w:val="none" w:sz="0" w:space="0" w:color="auto"/>
        <w:left w:val="none" w:sz="0" w:space="0" w:color="auto"/>
        <w:bottom w:val="none" w:sz="0" w:space="0" w:color="auto"/>
        <w:right w:val="none" w:sz="0" w:space="0" w:color="auto"/>
      </w:divBdr>
    </w:div>
    <w:div w:id="646668770">
      <w:bodyDiv w:val="1"/>
      <w:marLeft w:val="0"/>
      <w:marRight w:val="0"/>
      <w:marTop w:val="0"/>
      <w:marBottom w:val="0"/>
      <w:divBdr>
        <w:top w:val="none" w:sz="0" w:space="0" w:color="auto"/>
        <w:left w:val="none" w:sz="0" w:space="0" w:color="auto"/>
        <w:bottom w:val="none" w:sz="0" w:space="0" w:color="auto"/>
        <w:right w:val="none" w:sz="0" w:space="0" w:color="auto"/>
      </w:divBdr>
    </w:div>
    <w:div w:id="646710442">
      <w:bodyDiv w:val="1"/>
      <w:marLeft w:val="0"/>
      <w:marRight w:val="0"/>
      <w:marTop w:val="0"/>
      <w:marBottom w:val="0"/>
      <w:divBdr>
        <w:top w:val="none" w:sz="0" w:space="0" w:color="auto"/>
        <w:left w:val="none" w:sz="0" w:space="0" w:color="auto"/>
        <w:bottom w:val="none" w:sz="0" w:space="0" w:color="auto"/>
        <w:right w:val="none" w:sz="0" w:space="0" w:color="auto"/>
      </w:divBdr>
    </w:div>
    <w:div w:id="646710597">
      <w:bodyDiv w:val="1"/>
      <w:marLeft w:val="0"/>
      <w:marRight w:val="0"/>
      <w:marTop w:val="0"/>
      <w:marBottom w:val="0"/>
      <w:divBdr>
        <w:top w:val="none" w:sz="0" w:space="0" w:color="auto"/>
        <w:left w:val="none" w:sz="0" w:space="0" w:color="auto"/>
        <w:bottom w:val="none" w:sz="0" w:space="0" w:color="auto"/>
        <w:right w:val="none" w:sz="0" w:space="0" w:color="auto"/>
      </w:divBdr>
    </w:div>
    <w:div w:id="646739266">
      <w:bodyDiv w:val="1"/>
      <w:marLeft w:val="0"/>
      <w:marRight w:val="0"/>
      <w:marTop w:val="0"/>
      <w:marBottom w:val="0"/>
      <w:divBdr>
        <w:top w:val="none" w:sz="0" w:space="0" w:color="auto"/>
        <w:left w:val="none" w:sz="0" w:space="0" w:color="auto"/>
        <w:bottom w:val="none" w:sz="0" w:space="0" w:color="auto"/>
        <w:right w:val="none" w:sz="0" w:space="0" w:color="auto"/>
      </w:divBdr>
    </w:div>
    <w:div w:id="646780534">
      <w:bodyDiv w:val="1"/>
      <w:marLeft w:val="0"/>
      <w:marRight w:val="0"/>
      <w:marTop w:val="0"/>
      <w:marBottom w:val="0"/>
      <w:divBdr>
        <w:top w:val="none" w:sz="0" w:space="0" w:color="auto"/>
        <w:left w:val="none" w:sz="0" w:space="0" w:color="auto"/>
        <w:bottom w:val="none" w:sz="0" w:space="0" w:color="auto"/>
        <w:right w:val="none" w:sz="0" w:space="0" w:color="auto"/>
      </w:divBdr>
    </w:div>
    <w:div w:id="646783503">
      <w:bodyDiv w:val="1"/>
      <w:marLeft w:val="0"/>
      <w:marRight w:val="0"/>
      <w:marTop w:val="0"/>
      <w:marBottom w:val="0"/>
      <w:divBdr>
        <w:top w:val="none" w:sz="0" w:space="0" w:color="auto"/>
        <w:left w:val="none" w:sz="0" w:space="0" w:color="auto"/>
        <w:bottom w:val="none" w:sz="0" w:space="0" w:color="auto"/>
        <w:right w:val="none" w:sz="0" w:space="0" w:color="auto"/>
      </w:divBdr>
    </w:div>
    <w:div w:id="646862375">
      <w:bodyDiv w:val="1"/>
      <w:marLeft w:val="0"/>
      <w:marRight w:val="0"/>
      <w:marTop w:val="0"/>
      <w:marBottom w:val="0"/>
      <w:divBdr>
        <w:top w:val="none" w:sz="0" w:space="0" w:color="auto"/>
        <w:left w:val="none" w:sz="0" w:space="0" w:color="auto"/>
        <w:bottom w:val="none" w:sz="0" w:space="0" w:color="auto"/>
        <w:right w:val="none" w:sz="0" w:space="0" w:color="auto"/>
      </w:divBdr>
    </w:div>
    <w:div w:id="646906444">
      <w:bodyDiv w:val="1"/>
      <w:marLeft w:val="0"/>
      <w:marRight w:val="0"/>
      <w:marTop w:val="0"/>
      <w:marBottom w:val="0"/>
      <w:divBdr>
        <w:top w:val="none" w:sz="0" w:space="0" w:color="auto"/>
        <w:left w:val="none" w:sz="0" w:space="0" w:color="auto"/>
        <w:bottom w:val="none" w:sz="0" w:space="0" w:color="auto"/>
        <w:right w:val="none" w:sz="0" w:space="0" w:color="auto"/>
      </w:divBdr>
    </w:div>
    <w:div w:id="646932234">
      <w:bodyDiv w:val="1"/>
      <w:marLeft w:val="0"/>
      <w:marRight w:val="0"/>
      <w:marTop w:val="0"/>
      <w:marBottom w:val="0"/>
      <w:divBdr>
        <w:top w:val="none" w:sz="0" w:space="0" w:color="auto"/>
        <w:left w:val="none" w:sz="0" w:space="0" w:color="auto"/>
        <w:bottom w:val="none" w:sz="0" w:space="0" w:color="auto"/>
        <w:right w:val="none" w:sz="0" w:space="0" w:color="auto"/>
      </w:divBdr>
    </w:div>
    <w:div w:id="646982477">
      <w:bodyDiv w:val="1"/>
      <w:marLeft w:val="0"/>
      <w:marRight w:val="0"/>
      <w:marTop w:val="0"/>
      <w:marBottom w:val="0"/>
      <w:divBdr>
        <w:top w:val="none" w:sz="0" w:space="0" w:color="auto"/>
        <w:left w:val="none" w:sz="0" w:space="0" w:color="auto"/>
        <w:bottom w:val="none" w:sz="0" w:space="0" w:color="auto"/>
        <w:right w:val="none" w:sz="0" w:space="0" w:color="auto"/>
      </w:divBdr>
    </w:div>
    <w:div w:id="647124627">
      <w:bodyDiv w:val="1"/>
      <w:marLeft w:val="0"/>
      <w:marRight w:val="0"/>
      <w:marTop w:val="0"/>
      <w:marBottom w:val="0"/>
      <w:divBdr>
        <w:top w:val="none" w:sz="0" w:space="0" w:color="auto"/>
        <w:left w:val="none" w:sz="0" w:space="0" w:color="auto"/>
        <w:bottom w:val="none" w:sz="0" w:space="0" w:color="auto"/>
        <w:right w:val="none" w:sz="0" w:space="0" w:color="auto"/>
      </w:divBdr>
    </w:div>
    <w:div w:id="647172688">
      <w:bodyDiv w:val="1"/>
      <w:marLeft w:val="0"/>
      <w:marRight w:val="0"/>
      <w:marTop w:val="0"/>
      <w:marBottom w:val="0"/>
      <w:divBdr>
        <w:top w:val="none" w:sz="0" w:space="0" w:color="auto"/>
        <w:left w:val="none" w:sz="0" w:space="0" w:color="auto"/>
        <w:bottom w:val="none" w:sz="0" w:space="0" w:color="auto"/>
        <w:right w:val="none" w:sz="0" w:space="0" w:color="auto"/>
      </w:divBdr>
    </w:div>
    <w:div w:id="647323700">
      <w:bodyDiv w:val="1"/>
      <w:marLeft w:val="0"/>
      <w:marRight w:val="0"/>
      <w:marTop w:val="0"/>
      <w:marBottom w:val="0"/>
      <w:divBdr>
        <w:top w:val="none" w:sz="0" w:space="0" w:color="auto"/>
        <w:left w:val="none" w:sz="0" w:space="0" w:color="auto"/>
        <w:bottom w:val="none" w:sz="0" w:space="0" w:color="auto"/>
        <w:right w:val="none" w:sz="0" w:space="0" w:color="auto"/>
      </w:divBdr>
    </w:div>
    <w:div w:id="647365068">
      <w:bodyDiv w:val="1"/>
      <w:marLeft w:val="0"/>
      <w:marRight w:val="0"/>
      <w:marTop w:val="0"/>
      <w:marBottom w:val="0"/>
      <w:divBdr>
        <w:top w:val="none" w:sz="0" w:space="0" w:color="auto"/>
        <w:left w:val="none" w:sz="0" w:space="0" w:color="auto"/>
        <w:bottom w:val="none" w:sz="0" w:space="0" w:color="auto"/>
        <w:right w:val="none" w:sz="0" w:space="0" w:color="auto"/>
      </w:divBdr>
    </w:div>
    <w:div w:id="647396467">
      <w:bodyDiv w:val="1"/>
      <w:marLeft w:val="0"/>
      <w:marRight w:val="0"/>
      <w:marTop w:val="0"/>
      <w:marBottom w:val="0"/>
      <w:divBdr>
        <w:top w:val="none" w:sz="0" w:space="0" w:color="auto"/>
        <w:left w:val="none" w:sz="0" w:space="0" w:color="auto"/>
        <w:bottom w:val="none" w:sz="0" w:space="0" w:color="auto"/>
        <w:right w:val="none" w:sz="0" w:space="0" w:color="auto"/>
      </w:divBdr>
    </w:div>
    <w:div w:id="647444925">
      <w:bodyDiv w:val="1"/>
      <w:marLeft w:val="0"/>
      <w:marRight w:val="0"/>
      <w:marTop w:val="0"/>
      <w:marBottom w:val="0"/>
      <w:divBdr>
        <w:top w:val="none" w:sz="0" w:space="0" w:color="auto"/>
        <w:left w:val="none" w:sz="0" w:space="0" w:color="auto"/>
        <w:bottom w:val="none" w:sz="0" w:space="0" w:color="auto"/>
        <w:right w:val="none" w:sz="0" w:space="0" w:color="auto"/>
      </w:divBdr>
    </w:div>
    <w:div w:id="647511136">
      <w:bodyDiv w:val="1"/>
      <w:marLeft w:val="0"/>
      <w:marRight w:val="0"/>
      <w:marTop w:val="0"/>
      <w:marBottom w:val="0"/>
      <w:divBdr>
        <w:top w:val="none" w:sz="0" w:space="0" w:color="auto"/>
        <w:left w:val="none" w:sz="0" w:space="0" w:color="auto"/>
        <w:bottom w:val="none" w:sz="0" w:space="0" w:color="auto"/>
        <w:right w:val="none" w:sz="0" w:space="0" w:color="auto"/>
      </w:divBdr>
    </w:div>
    <w:div w:id="647563088">
      <w:bodyDiv w:val="1"/>
      <w:marLeft w:val="0"/>
      <w:marRight w:val="0"/>
      <w:marTop w:val="0"/>
      <w:marBottom w:val="0"/>
      <w:divBdr>
        <w:top w:val="none" w:sz="0" w:space="0" w:color="auto"/>
        <w:left w:val="none" w:sz="0" w:space="0" w:color="auto"/>
        <w:bottom w:val="none" w:sz="0" w:space="0" w:color="auto"/>
        <w:right w:val="none" w:sz="0" w:space="0" w:color="auto"/>
      </w:divBdr>
    </w:div>
    <w:div w:id="647711068">
      <w:bodyDiv w:val="1"/>
      <w:marLeft w:val="0"/>
      <w:marRight w:val="0"/>
      <w:marTop w:val="0"/>
      <w:marBottom w:val="0"/>
      <w:divBdr>
        <w:top w:val="none" w:sz="0" w:space="0" w:color="auto"/>
        <w:left w:val="none" w:sz="0" w:space="0" w:color="auto"/>
        <w:bottom w:val="none" w:sz="0" w:space="0" w:color="auto"/>
        <w:right w:val="none" w:sz="0" w:space="0" w:color="auto"/>
      </w:divBdr>
    </w:div>
    <w:div w:id="647784373">
      <w:bodyDiv w:val="1"/>
      <w:marLeft w:val="0"/>
      <w:marRight w:val="0"/>
      <w:marTop w:val="0"/>
      <w:marBottom w:val="0"/>
      <w:divBdr>
        <w:top w:val="none" w:sz="0" w:space="0" w:color="auto"/>
        <w:left w:val="none" w:sz="0" w:space="0" w:color="auto"/>
        <w:bottom w:val="none" w:sz="0" w:space="0" w:color="auto"/>
        <w:right w:val="none" w:sz="0" w:space="0" w:color="auto"/>
      </w:divBdr>
    </w:div>
    <w:div w:id="647788774">
      <w:bodyDiv w:val="1"/>
      <w:marLeft w:val="0"/>
      <w:marRight w:val="0"/>
      <w:marTop w:val="0"/>
      <w:marBottom w:val="0"/>
      <w:divBdr>
        <w:top w:val="none" w:sz="0" w:space="0" w:color="auto"/>
        <w:left w:val="none" w:sz="0" w:space="0" w:color="auto"/>
        <w:bottom w:val="none" w:sz="0" w:space="0" w:color="auto"/>
        <w:right w:val="none" w:sz="0" w:space="0" w:color="auto"/>
      </w:divBdr>
    </w:div>
    <w:div w:id="647899963">
      <w:bodyDiv w:val="1"/>
      <w:marLeft w:val="0"/>
      <w:marRight w:val="0"/>
      <w:marTop w:val="0"/>
      <w:marBottom w:val="0"/>
      <w:divBdr>
        <w:top w:val="none" w:sz="0" w:space="0" w:color="auto"/>
        <w:left w:val="none" w:sz="0" w:space="0" w:color="auto"/>
        <w:bottom w:val="none" w:sz="0" w:space="0" w:color="auto"/>
        <w:right w:val="none" w:sz="0" w:space="0" w:color="auto"/>
      </w:divBdr>
    </w:div>
    <w:div w:id="648168524">
      <w:bodyDiv w:val="1"/>
      <w:marLeft w:val="0"/>
      <w:marRight w:val="0"/>
      <w:marTop w:val="0"/>
      <w:marBottom w:val="0"/>
      <w:divBdr>
        <w:top w:val="none" w:sz="0" w:space="0" w:color="auto"/>
        <w:left w:val="none" w:sz="0" w:space="0" w:color="auto"/>
        <w:bottom w:val="none" w:sz="0" w:space="0" w:color="auto"/>
        <w:right w:val="none" w:sz="0" w:space="0" w:color="auto"/>
      </w:divBdr>
    </w:div>
    <w:div w:id="648170256">
      <w:bodyDiv w:val="1"/>
      <w:marLeft w:val="0"/>
      <w:marRight w:val="0"/>
      <w:marTop w:val="0"/>
      <w:marBottom w:val="0"/>
      <w:divBdr>
        <w:top w:val="none" w:sz="0" w:space="0" w:color="auto"/>
        <w:left w:val="none" w:sz="0" w:space="0" w:color="auto"/>
        <w:bottom w:val="none" w:sz="0" w:space="0" w:color="auto"/>
        <w:right w:val="none" w:sz="0" w:space="0" w:color="auto"/>
      </w:divBdr>
    </w:div>
    <w:div w:id="648217955">
      <w:bodyDiv w:val="1"/>
      <w:marLeft w:val="0"/>
      <w:marRight w:val="0"/>
      <w:marTop w:val="0"/>
      <w:marBottom w:val="0"/>
      <w:divBdr>
        <w:top w:val="none" w:sz="0" w:space="0" w:color="auto"/>
        <w:left w:val="none" w:sz="0" w:space="0" w:color="auto"/>
        <w:bottom w:val="none" w:sz="0" w:space="0" w:color="auto"/>
        <w:right w:val="none" w:sz="0" w:space="0" w:color="auto"/>
      </w:divBdr>
    </w:div>
    <w:div w:id="648284676">
      <w:bodyDiv w:val="1"/>
      <w:marLeft w:val="0"/>
      <w:marRight w:val="0"/>
      <w:marTop w:val="0"/>
      <w:marBottom w:val="0"/>
      <w:divBdr>
        <w:top w:val="none" w:sz="0" w:space="0" w:color="auto"/>
        <w:left w:val="none" w:sz="0" w:space="0" w:color="auto"/>
        <w:bottom w:val="none" w:sz="0" w:space="0" w:color="auto"/>
        <w:right w:val="none" w:sz="0" w:space="0" w:color="auto"/>
      </w:divBdr>
    </w:div>
    <w:div w:id="648284910">
      <w:bodyDiv w:val="1"/>
      <w:marLeft w:val="0"/>
      <w:marRight w:val="0"/>
      <w:marTop w:val="0"/>
      <w:marBottom w:val="0"/>
      <w:divBdr>
        <w:top w:val="none" w:sz="0" w:space="0" w:color="auto"/>
        <w:left w:val="none" w:sz="0" w:space="0" w:color="auto"/>
        <w:bottom w:val="none" w:sz="0" w:space="0" w:color="auto"/>
        <w:right w:val="none" w:sz="0" w:space="0" w:color="auto"/>
      </w:divBdr>
    </w:div>
    <w:div w:id="648365893">
      <w:bodyDiv w:val="1"/>
      <w:marLeft w:val="0"/>
      <w:marRight w:val="0"/>
      <w:marTop w:val="0"/>
      <w:marBottom w:val="0"/>
      <w:divBdr>
        <w:top w:val="none" w:sz="0" w:space="0" w:color="auto"/>
        <w:left w:val="none" w:sz="0" w:space="0" w:color="auto"/>
        <w:bottom w:val="none" w:sz="0" w:space="0" w:color="auto"/>
        <w:right w:val="none" w:sz="0" w:space="0" w:color="auto"/>
      </w:divBdr>
    </w:div>
    <w:div w:id="648440084">
      <w:bodyDiv w:val="1"/>
      <w:marLeft w:val="0"/>
      <w:marRight w:val="0"/>
      <w:marTop w:val="0"/>
      <w:marBottom w:val="0"/>
      <w:divBdr>
        <w:top w:val="none" w:sz="0" w:space="0" w:color="auto"/>
        <w:left w:val="none" w:sz="0" w:space="0" w:color="auto"/>
        <w:bottom w:val="none" w:sz="0" w:space="0" w:color="auto"/>
        <w:right w:val="none" w:sz="0" w:space="0" w:color="auto"/>
      </w:divBdr>
    </w:div>
    <w:div w:id="648440899">
      <w:bodyDiv w:val="1"/>
      <w:marLeft w:val="0"/>
      <w:marRight w:val="0"/>
      <w:marTop w:val="0"/>
      <w:marBottom w:val="0"/>
      <w:divBdr>
        <w:top w:val="none" w:sz="0" w:space="0" w:color="auto"/>
        <w:left w:val="none" w:sz="0" w:space="0" w:color="auto"/>
        <w:bottom w:val="none" w:sz="0" w:space="0" w:color="auto"/>
        <w:right w:val="none" w:sz="0" w:space="0" w:color="auto"/>
      </w:divBdr>
    </w:div>
    <w:div w:id="648560361">
      <w:bodyDiv w:val="1"/>
      <w:marLeft w:val="0"/>
      <w:marRight w:val="0"/>
      <w:marTop w:val="0"/>
      <w:marBottom w:val="0"/>
      <w:divBdr>
        <w:top w:val="none" w:sz="0" w:space="0" w:color="auto"/>
        <w:left w:val="none" w:sz="0" w:space="0" w:color="auto"/>
        <w:bottom w:val="none" w:sz="0" w:space="0" w:color="auto"/>
        <w:right w:val="none" w:sz="0" w:space="0" w:color="auto"/>
      </w:divBdr>
    </w:div>
    <w:div w:id="648631496">
      <w:bodyDiv w:val="1"/>
      <w:marLeft w:val="0"/>
      <w:marRight w:val="0"/>
      <w:marTop w:val="0"/>
      <w:marBottom w:val="0"/>
      <w:divBdr>
        <w:top w:val="none" w:sz="0" w:space="0" w:color="auto"/>
        <w:left w:val="none" w:sz="0" w:space="0" w:color="auto"/>
        <w:bottom w:val="none" w:sz="0" w:space="0" w:color="auto"/>
        <w:right w:val="none" w:sz="0" w:space="0" w:color="auto"/>
      </w:divBdr>
    </w:div>
    <w:div w:id="648632034">
      <w:bodyDiv w:val="1"/>
      <w:marLeft w:val="0"/>
      <w:marRight w:val="0"/>
      <w:marTop w:val="0"/>
      <w:marBottom w:val="0"/>
      <w:divBdr>
        <w:top w:val="none" w:sz="0" w:space="0" w:color="auto"/>
        <w:left w:val="none" w:sz="0" w:space="0" w:color="auto"/>
        <w:bottom w:val="none" w:sz="0" w:space="0" w:color="auto"/>
        <w:right w:val="none" w:sz="0" w:space="0" w:color="auto"/>
      </w:divBdr>
    </w:div>
    <w:div w:id="648750178">
      <w:bodyDiv w:val="1"/>
      <w:marLeft w:val="0"/>
      <w:marRight w:val="0"/>
      <w:marTop w:val="0"/>
      <w:marBottom w:val="0"/>
      <w:divBdr>
        <w:top w:val="none" w:sz="0" w:space="0" w:color="auto"/>
        <w:left w:val="none" w:sz="0" w:space="0" w:color="auto"/>
        <w:bottom w:val="none" w:sz="0" w:space="0" w:color="auto"/>
        <w:right w:val="none" w:sz="0" w:space="0" w:color="auto"/>
      </w:divBdr>
    </w:div>
    <w:div w:id="648824577">
      <w:bodyDiv w:val="1"/>
      <w:marLeft w:val="0"/>
      <w:marRight w:val="0"/>
      <w:marTop w:val="0"/>
      <w:marBottom w:val="0"/>
      <w:divBdr>
        <w:top w:val="none" w:sz="0" w:space="0" w:color="auto"/>
        <w:left w:val="none" w:sz="0" w:space="0" w:color="auto"/>
        <w:bottom w:val="none" w:sz="0" w:space="0" w:color="auto"/>
        <w:right w:val="none" w:sz="0" w:space="0" w:color="auto"/>
      </w:divBdr>
    </w:div>
    <w:div w:id="649136733">
      <w:bodyDiv w:val="1"/>
      <w:marLeft w:val="0"/>
      <w:marRight w:val="0"/>
      <w:marTop w:val="0"/>
      <w:marBottom w:val="0"/>
      <w:divBdr>
        <w:top w:val="none" w:sz="0" w:space="0" w:color="auto"/>
        <w:left w:val="none" w:sz="0" w:space="0" w:color="auto"/>
        <w:bottom w:val="none" w:sz="0" w:space="0" w:color="auto"/>
        <w:right w:val="none" w:sz="0" w:space="0" w:color="auto"/>
      </w:divBdr>
    </w:div>
    <w:div w:id="649212836">
      <w:bodyDiv w:val="1"/>
      <w:marLeft w:val="0"/>
      <w:marRight w:val="0"/>
      <w:marTop w:val="0"/>
      <w:marBottom w:val="0"/>
      <w:divBdr>
        <w:top w:val="none" w:sz="0" w:space="0" w:color="auto"/>
        <w:left w:val="none" w:sz="0" w:space="0" w:color="auto"/>
        <w:bottom w:val="none" w:sz="0" w:space="0" w:color="auto"/>
        <w:right w:val="none" w:sz="0" w:space="0" w:color="auto"/>
      </w:divBdr>
    </w:div>
    <w:div w:id="649285495">
      <w:bodyDiv w:val="1"/>
      <w:marLeft w:val="0"/>
      <w:marRight w:val="0"/>
      <w:marTop w:val="0"/>
      <w:marBottom w:val="0"/>
      <w:divBdr>
        <w:top w:val="none" w:sz="0" w:space="0" w:color="auto"/>
        <w:left w:val="none" w:sz="0" w:space="0" w:color="auto"/>
        <w:bottom w:val="none" w:sz="0" w:space="0" w:color="auto"/>
        <w:right w:val="none" w:sz="0" w:space="0" w:color="auto"/>
      </w:divBdr>
    </w:div>
    <w:div w:id="649361163">
      <w:bodyDiv w:val="1"/>
      <w:marLeft w:val="0"/>
      <w:marRight w:val="0"/>
      <w:marTop w:val="0"/>
      <w:marBottom w:val="0"/>
      <w:divBdr>
        <w:top w:val="none" w:sz="0" w:space="0" w:color="auto"/>
        <w:left w:val="none" w:sz="0" w:space="0" w:color="auto"/>
        <w:bottom w:val="none" w:sz="0" w:space="0" w:color="auto"/>
        <w:right w:val="none" w:sz="0" w:space="0" w:color="auto"/>
      </w:divBdr>
    </w:div>
    <w:div w:id="649363045">
      <w:bodyDiv w:val="1"/>
      <w:marLeft w:val="0"/>
      <w:marRight w:val="0"/>
      <w:marTop w:val="0"/>
      <w:marBottom w:val="0"/>
      <w:divBdr>
        <w:top w:val="none" w:sz="0" w:space="0" w:color="auto"/>
        <w:left w:val="none" w:sz="0" w:space="0" w:color="auto"/>
        <w:bottom w:val="none" w:sz="0" w:space="0" w:color="auto"/>
        <w:right w:val="none" w:sz="0" w:space="0" w:color="auto"/>
      </w:divBdr>
    </w:div>
    <w:div w:id="649405411">
      <w:bodyDiv w:val="1"/>
      <w:marLeft w:val="0"/>
      <w:marRight w:val="0"/>
      <w:marTop w:val="0"/>
      <w:marBottom w:val="0"/>
      <w:divBdr>
        <w:top w:val="none" w:sz="0" w:space="0" w:color="auto"/>
        <w:left w:val="none" w:sz="0" w:space="0" w:color="auto"/>
        <w:bottom w:val="none" w:sz="0" w:space="0" w:color="auto"/>
        <w:right w:val="none" w:sz="0" w:space="0" w:color="auto"/>
      </w:divBdr>
    </w:div>
    <w:div w:id="649556785">
      <w:bodyDiv w:val="1"/>
      <w:marLeft w:val="0"/>
      <w:marRight w:val="0"/>
      <w:marTop w:val="0"/>
      <w:marBottom w:val="0"/>
      <w:divBdr>
        <w:top w:val="none" w:sz="0" w:space="0" w:color="auto"/>
        <w:left w:val="none" w:sz="0" w:space="0" w:color="auto"/>
        <w:bottom w:val="none" w:sz="0" w:space="0" w:color="auto"/>
        <w:right w:val="none" w:sz="0" w:space="0" w:color="auto"/>
      </w:divBdr>
    </w:div>
    <w:div w:id="649752108">
      <w:bodyDiv w:val="1"/>
      <w:marLeft w:val="0"/>
      <w:marRight w:val="0"/>
      <w:marTop w:val="0"/>
      <w:marBottom w:val="0"/>
      <w:divBdr>
        <w:top w:val="none" w:sz="0" w:space="0" w:color="auto"/>
        <w:left w:val="none" w:sz="0" w:space="0" w:color="auto"/>
        <w:bottom w:val="none" w:sz="0" w:space="0" w:color="auto"/>
        <w:right w:val="none" w:sz="0" w:space="0" w:color="auto"/>
      </w:divBdr>
    </w:div>
    <w:div w:id="649755110">
      <w:bodyDiv w:val="1"/>
      <w:marLeft w:val="0"/>
      <w:marRight w:val="0"/>
      <w:marTop w:val="0"/>
      <w:marBottom w:val="0"/>
      <w:divBdr>
        <w:top w:val="none" w:sz="0" w:space="0" w:color="auto"/>
        <w:left w:val="none" w:sz="0" w:space="0" w:color="auto"/>
        <w:bottom w:val="none" w:sz="0" w:space="0" w:color="auto"/>
        <w:right w:val="none" w:sz="0" w:space="0" w:color="auto"/>
      </w:divBdr>
    </w:div>
    <w:div w:id="649792241">
      <w:bodyDiv w:val="1"/>
      <w:marLeft w:val="0"/>
      <w:marRight w:val="0"/>
      <w:marTop w:val="0"/>
      <w:marBottom w:val="0"/>
      <w:divBdr>
        <w:top w:val="none" w:sz="0" w:space="0" w:color="auto"/>
        <w:left w:val="none" w:sz="0" w:space="0" w:color="auto"/>
        <w:bottom w:val="none" w:sz="0" w:space="0" w:color="auto"/>
        <w:right w:val="none" w:sz="0" w:space="0" w:color="auto"/>
      </w:divBdr>
    </w:div>
    <w:div w:id="649872306">
      <w:bodyDiv w:val="1"/>
      <w:marLeft w:val="0"/>
      <w:marRight w:val="0"/>
      <w:marTop w:val="0"/>
      <w:marBottom w:val="0"/>
      <w:divBdr>
        <w:top w:val="none" w:sz="0" w:space="0" w:color="auto"/>
        <w:left w:val="none" w:sz="0" w:space="0" w:color="auto"/>
        <w:bottom w:val="none" w:sz="0" w:space="0" w:color="auto"/>
        <w:right w:val="none" w:sz="0" w:space="0" w:color="auto"/>
      </w:divBdr>
    </w:div>
    <w:div w:id="649873088">
      <w:bodyDiv w:val="1"/>
      <w:marLeft w:val="0"/>
      <w:marRight w:val="0"/>
      <w:marTop w:val="0"/>
      <w:marBottom w:val="0"/>
      <w:divBdr>
        <w:top w:val="none" w:sz="0" w:space="0" w:color="auto"/>
        <w:left w:val="none" w:sz="0" w:space="0" w:color="auto"/>
        <w:bottom w:val="none" w:sz="0" w:space="0" w:color="auto"/>
        <w:right w:val="none" w:sz="0" w:space="0" w:color="auto"/>
      </w:divBdr>
    </w:div>
    <w:div w:id="649988024">
      <w:bodyDiv w:val="1"/>
      <w:marLeft w:val="0"/>
      <w:marRight w:val="0"/>
      <w:marTop w:val="0"/>
      <w:marBottom w:val="0"/>
      <w:divBdr>
        <w:top w:val="none" w:sz="0" w:space="0" w:color="auto"/>
        <w:left w:val="none" w:sz="0" w:space="0" w:color="auto"/>
        <w:bottom w:val="none" w:sz="0" w:space="0" w:color="auto"/>
        <w:right w:val="none" w:sz="0" w:space="0" w:color="auto"/>
      </w:divBdr>
    </w:div>
    <w:div w:id="649988240">
      <w:bodyDiv w:val="1"/>
      <w:marLeft w:val="0"/>
      <w:marRight w:val="0"/>
      <w:marTop w:val="0"/>
      <w:marBottom w:val="0"/>
      <w:divBdr>
        <w:top w:val="none" w:sz="0" w:space="0" w:color="auto"/>
        <w:left w:val="none" w:sz="0" w:space="0" w:color="auto"/>
        <w:bottom w:val="none" w:sz="0" w:space="0" w:color="auto"/>
        <w:right w:val="none" w:sz="0" w:space="0" w:color="auto"/>
      </w:divBdr>
    </w:div>
    <w:div w:id="650015845">
      <w:bodyDiv w:val="1"/>
      <w:marLeft w:val="0"/>
      <w:marRight w:val="0"/>
      <w:marTop w:val="0"/>
      <w:marBottom w:val="0"/>
      <w:divBdr>
        <w:top w:val="none" w:sz="0" w:space="0" w:color="auto"/>
        <w:left w:val="none" w:sz="0" w:space="0" w:color="auto"/>
        <w:bottom w:val="none" w:sz="0" w:space="0" w:color="auto"/>
        <w:right w:val="none" w:sz="0" w:space="0" w:color="auto"/>
      </w:divBdr>
    </w:div>
    <w:div w:id="650016147">
      <w:bodyDiv w:val="1"/>
      <w:marLeft w:val="0"/>
      <w:marRight w:val="0"/>
      <w:marTop w:val="0"/>
      <w:marBottom w:val="0"/>
      <w:divBdr>
        <w:top w:val="none" w:sz="0" w:space="0" w:color="auto"/>
        <w:left w:val="none" w:sz="0" w:space="0" w:color="auto"/>
        <w:bottom w:val="none" w:sz="0" w:space="0" w:color="auto"/>
        <w:right w:val="none" w:sz="0" w:space="0" w:color="auto"/>
      </w:divBdr>
    </w:div>
    <w:div w:id="650207931">
      <w:bodyDiv w:val="1"/>
      <w:marLeft w:val="0"/>
      <w:marRight w:val="0"/>
      <w:marTop w:val="0"/>
      <w:marBottom w:val="0"/>
      <w:divBdr>
        <w:top w:val="none" w:sz="0" w:space="0" w:color="auto"/>
        <w:left w:val="none" w:sz="0" w:space="0" w:color="auto"/>
        <w:bottom w:val="none" w:sz="0" w:space="0" w:color="auto"/>
        <w:right w:val="none" w:sz="0" w:space="0" w:color="auto"/>
      </w:divBdr>
    </w:div>
    <w:div w:id="650211427">
      <w:bodyDiv w:val="1"/>
      <w:marLeft w:val="0"/>
      <w:marRight w:val="0"/>
      <w:marTop w:val="0"/>
      <w:marBottom w:val="0"/>
      <w:divBdr>
        <w:top w:val="none" w:sz="0" w:space="0" w:color="auto"/>
        <w:left w:val="none" w:sz="0" w:space="0" w:color="auto"/>
        <w:bottom w:val="none" w:sz="0" w:space="0" w:color="auto"/>
        <w:right w:val="none" w:sz="0" w:space="0" w:color="auto"/>
      </w:divBdr>
    </w:div>
    <w:div w:id="650452381">
      <w:bodyDiv w:val="1"/>
      <w:marLeft w:val="0"/>
      <w:marRight w:val="0"/>
      <w:marTop w:val="0"/>
      <w:marBottom w:val="0"/>
      <w:divBdr>
        <w:top w:val="none" w:sz="0" w:space="0" w:color="auto"/>
        <w:left w:val="none" w:sz="0" w:space="0" w:color="auto"/>
        <w:bottom w:val="none" w:sz="0" w:space="0" w:color="auto"/>
        <w:right w:val="none" w:sz="0" w:space="0" w:color="auto"/>
      </w:divBdr>
    </w:div>
    <w:div w:id="650476883">
      <w:bodyDiv w:val="1"/>
      <w:marLeft w:val="0"/>
      <w:marRight w:val="0"/>
      <w:marTop w:val="0"/>
      <w:marBottom w:val="0"/>
      <w:divBdr>
        <w:top w:val="none" w:sz="0" w:space="0" w:color="auto"/>
        <w:left w:val="none" w:sz="0" w:space="0" w:color="auto"/>
        <w:bottom w:val="none" w:sz="0" w:space="0" w:color="auto"/>
        <w:right w:val="none" w:sz="0" w:space="0" w:color="auto"/>
      </w:divBdr>
    </w:div>
    <w:div w:id="650524120">
      <w:bodyDiv w:val="1"/>
      <w:marLeft w:val="0"/>
      <w:marRight w:val="0"/>
      <w:marTop w:val="0"/>
      <w:marBottom w:val="0"/>
      <w:divBdr>
        <w:top w:val="none" w:sz="0" w:space="0" w:color="auto"/>
        <w:left w:val="none" w:sz="0" w:space="0" w:color="auto"/>
        <w:bottom w:val="none" w:sz="0" w:space="0" w:color="auto"/>
        <w:right w:val="none" w:sz="0" w:space="0" w:color="auto"/>
      </w:divBdr>
    </w:div>
    <w:div w:id="650599374">
      <w:bodyDiv w:val="1"/>
      <w:marLeft w:val="0"/>
      <w:marRight w:val="0"/>
      <w:marTop w:val="0"/>
      <w:marBottom w:val="0"/>
      <w:divBdr>
        <w:top w:val="none" w:sz="0" w:space="0" w:color="auto"/>
        <w:left w:val="none" w:sz="0" w:space="0" w:color="auto"/>
        <w:bottom w:val="none" w:sz="0" w:space="0" w:color="auto"/>
        <w:right w:val="none" w:sz="0" w:space="0" w:color="auto"/>
      </w:divBdr>
    </w:div>
    <w:div w:id="650669725">
      <w:bodyDiv w:val="1"/>
      <w:marLeft w:val="0"/>
      <w:marRight w:val="0"/>
      <w:marTop w:val="0"/>
      <w:marBottom w:val="0"/>
      <w:divBdr>
        <w:top w:val="none" w:sz="0" w:space="0" w:color="auto"/>
        <w:left w:val="none" w:sz="0" w:space="0" w:color="auto"/>
        <w:bottom w:val="none" w:sz="0" w:space="0" w:color="auto"/>
        <w:right w:val="none" w:sz="0" w:space="0" w:color="auto"/>
      </w:divBdr>
    </w:div>
    <w:div w:id="650671743">
      <w:bodyDiv w:val="1"/>
      <w:marLeft w:val="0"/>
      <w:marRight w:val="0"/>
      <w:marTop w:val="0"/>
      <w:marBottom w:val="0"/>
      <w:divBdr>
        <w:top w:val="none" w:sz="0" w:space="0" w:color="auto"/>
        <w:left w:val="none" w:sz="0" w:space="0" w:color="auto"/>
        <w:bottom w:val="none" w:sz="0" w:space="0" w:color="auto"/>
        <w:right w:val="none" w:sz="0" w:space="0" w:color="auto"/>
      </w:divBdr>
    </w:div>
    <w:div w:id="650720704">
      <w:bodyDiv w:val="1"/>
      <w:marLeft w:val="0"/>
      <w:marRight w:val="0"/>
      <w:marTop w:val="0"/>
      <w:marBottom w:val="0"/>
      <w:divBdr>
        <w:top w:val="none" w:sz="0" w:space="0" w:color="auto"/>
        <w:left w:val="none" w:sz="0" w:space="0" w:color="auto"/>
        <w:bottom w:val="none" w:sz="0" w:space="0" w:color="auto"/>
        <w:right w:val="none" w:sz="0" w:space="0" w:color="auto"/>
      </w:divBdr>
    </w:div>
    <w:div w:id="650905751">
      <w:bodyDiv w:val="1"/>
      <w:marLeft w:val="0"/>
      <w:marRight w:val="0"/>
      <w:marTop w:val="0"/>
      <w:marBottom w:val="0"/>
      <w:divBdr>
        <w:top w:val="none" w:sz="0" w:space="0" w:color="auto"/>
        <w:left w:val="none" w:sz="0" w:space="0" w:color="auto"/>
        <w:bottom w:val="none" w:sz="0" w:space="0" w:color="auto"/>
        <w:right w:val="none" w:sz="0" w:space="0" w:color="auto"/>
      </w:divBdr>
    </w:div>
    <w:div w:id="650914000">
      <w:bodyDiv w:val="1"/>
      <w:marLeft w:val="0"/>
      <w:marRight w:val="0"/>
      <w:marTop w:val="0"/>
      <w:marBottom w:val="0"/>
      <w:divBdr>
        <w:top w:val="none" w:sz="0" w:space="0" w:color="auto"/>
        <w:left w:val="none" w:sz="0" w:space="0" w:color="auto"/>
        <w:bottom w:val="none" w:sz="0" w:space="0" w:color="auto"/>
        <w:right w:val="none" w:sz="0" w:space="0" w:color="auto"/>
      </w:divBdr>
    </w:div>
    <w:div w:id="650914235">
      <w:bodyDiv w:val="1"/>
      <w:marLeft w:val="0"/>
      <w:marRight w:val="0"/>
      <w:marTop w:val="0"/>
      <w:marBottom w:val="0"/>
      <w:divBdr>
        <w:top w:val="none" w:sz="0" w:space="0" w:color="auto"/>
        <w:left w:val="none" w:sz="0" w:space="0" w:color="auto"/>
        <w:bottom w:val="none" w:sz="0" w:space="0" w:color="auto"/>
        <w:right w:val="none" w:sz="0" w:space="0" w:color="auto"/>
      </w:divBdr>
    </w:div>
    <w:div w:id="651059095">
      <w:bodyDiv w:val="1"/>
      <w:marLeft w:val="0"/>
      <w:marRight w:val="0"/>
      <w:marTop w:val="0"/>
      <w:marBottom w:val="0"/>
      <w:divBdr>
        <w:top w:val="none" w:sz="0" w:space="0" w:color="auto"/>
        <w:left w:val="none" w:sz="0" w:space="0" w:color="auto"/>
        <w:bottom w:val="none" w:sz="0" w:space="0" w:color="auto"/>
        <w:right w:val="none" w:sz="0" w:space="0" w:color="auto"/>
      </w:divBdr>
    </w:div>
    <w:div w:id="651062263">
      <w:bodyDiv w:val="1"/>
      <w:marLeft w:val="0"/>
      <w:marRight w:val="0"/>
      <w:marTop w:val="0"/>
      <w:marBottom w:val="0"/>
      <w:divBdr>
        <w:top w:val="none" w:sz="0" w:space="0" w:color="auto"/>
        <w:left w:val="none" w:sz="0" w:space="0" w:color="auto"/>
        <w:bottom w:val="none" w:sz="0" w:space="0" w:color="auto"/>
        <w:right w:val="none" w:sz="0" w:space="0" w:color="auto"/>
      </w:divBdr>
    </w:div>
    <w:div w:id="651177835">
      <w:bodyDiv w:val="1"/>
      <w:marLeft w:val="0"/>
      <w:marRight w:val="0"/>
      <w:marTop w:val="0"/>
      <w:marBottom w:val="0"/>
      <w:divBdr>
        <w:top w:val="none" w:sz="0" w:space="0" w:color="auto"/>
        <w:left w:val="none" w:sz="0" w:space="0" w:color="auto"/>
        <w:bottom w:val="none" w:sz="0" w:space="0" w:color="auto"/>
        <w:right w:val="none" w:sz="0" w:space="0" w:color="auto"/>
      </w:divBdr>
    </w:div>
    <w:div w:id="651181237">
      <w:bodyDiv w:val="1"/>
      <w:marLeft w:val="0"/>
      <w:marRight w:val="0"/>
      <w:marTop w:val="0"/>
      <w:marBottom w:val="0"/>
      <w:divBdr>
        <w:top w:val="none" w:sz="0" w:space="0" w:color="auto"/>
        <w:left w:val="none" w:sz="0" w:space="0" w:color="auto"/>
        <w:bottom w:val="none" w:sz="0" w:space="0" w:color="auto"/>
        <w:right w:val="none" w:sz="0" w:space="0" w:color="auto"/>
      </w:divBdr>
    </w:div>
    <w:div w:id="651182165">
      <w:bodyDiv w:val="1"/>
      <w:marLeft w:val="0"/>
      <w:marRight w:val="0"/>
      <w:marTop w:val="0"/>
      <w:marBottom w:val="0"/>
      <w:divBdr>
        <w:top w:val="none" w:sz="0" w:space="0" w:color="auto"/>
        <w:left w:val="none" w:sz="0" w:space="0" w:color="auto"/>
        <w:bottom w:val="none" w:sz="0" w:space="0" w:color="auto"/>
        <w:right w:val="none" w:sz="0" w:space="0" w:color="auto"/>
      </w:divBdr>
    </w:div>
    <w:div w:id="651257366">
      <w:bodyDiv w:val="1"/>
      <w:marLeft w:val="0"/>
      <w:marRight w:val="0"/>
      <w:marTop w:val="0"/>
      <w:marBottom w:val="0"/>
      <w:divBdr>
        <w:top w:val="none" w:sz="0" w:space="0" w:color="auto"/>
        <w:left w:val="none" w:sz="0" w:space="0" w:color="auto"/>
        <w:bottom w:val="none" w:sz="0" w:space="0" w:color="auto"/>
        <w:right w:val="none" w:sz="0" w:space="0" w:color="auto"/>
      </w:divBdr>
    </w:div>
    <w:div w:id="651369419">
      <w:bodyDiv w:val="1"/>
      <w:marLeft w:val="0"/>
      <w:marRight w:val="0"/>
      <w:marTop w:val="0"/>
      <w:marBottom w:val="0"/>
      <w:divBdr>
        <w:top w:val="none" w:sz="0" w:space="0" w:color="auto"/>
        <w:left w:val="none" w:sz="0" w:space="0" w:color="auto"/>
        <w:bottom w:val="none" w:sz="0" w:space="0" w:color="auto"/>
        <w:right w:val="none" w:sz="0" w:space="0" w:color="auto"/>
      </w:divBdr>
    </w:div>
    <w:div w:id="651375635">
      <w:bodyDiv w:val="1"/>
      <w:marLeft w:val="0"/>
      <w:marRight w:val="0"/>
      <w:marTop w:val="0"/>
      <w:marBottom w:val="0"/>
      <w:divBdr>
        <w:top w:val="none" w:sz="0" w:space="0" w:color="auto"/>
        <w:left w:val="none" w:sz="0" w:space="0" w:color="auto"/>
        <w:bottom w:val="none" w:sz="0" w:space="0" w:color="auto"/>
        <w:right w:val="none" w:sz="0" w:space="0" w:color="auto"/>
      </w:divBdr>
    </w:div>
    <w:div w:id="651448654">
      <w:bodyDiv w:val="1"/>
      <w:marLeft w:val="0"/>
      <w:marRight w:val="0"/>
      <w:marTop w:val="0"/>
      <w:marBottom w:val="0"/>
      <w:divBdr>
        <w:top w:val="none" w:sz="0" w:space="0" w:color="auto"/>
        <w:left w:val="none" w:sz="0" w:space="0" w:color="auto"/>
        <w:bottom w:val="none" w:sz="0" w:space="0" w:color="auto"/>
        <w:right w:val="none" w:sz="0" w:space="0" w:color="auto"/>
      </w:divBdr>
    </w:div>
    <w:div w:id="651449707">
      <w:bodyDiv w:val="1"/>
      <w:marLeft w:val="0"/>
      <w:marRight w:val="0"/>
      <w:marTop w:val="0"/>
      <w:marBottom w:val="0"/>
      <w:divBdr>
        <w:top w:val="none" w:sz="0" w:space="0" w:color="auto"/>
        <w:left w:val="none" w:sz="0" w:space="0" w:color="auto"/>
        <w:bottom w:val="none" w:sz="0" w:space="0" w:color="auto"/>
        <w:right w:val="none" w:sz="0" w:space="0" w:color="auto"/>
      </w:divBdr>
    </w:div>
    <w:div w:id="651451717">
      <w:bodyDiv w:val="1"/>
      <w:marLeft w:val="0"/>
      <w:marRight w:val="0"/>
      <w:marTop w:val="0"/>
      <w:marBottom w:val="0"/>
      <w:divBdr>
        <w:top w:val="none" w:sz="0" w:space="0" w:color="auto"/>
        <w:left w:val="none" w:sz="0" w:space="0" w:color="auto"/>
        <w:bottom w:val="none" w:sz="0" w:space="0" w:color="auto"/>
        <w:right w:val="none" w:sz="0" w:space="0" w:color="auto"/>
      </w:divBdr>
    </w:div>
    <w:div w:id="651519554">
      <w:bodyDiv w:val="1"/>
      <w:marLeft w:val="0"/>
      <w:marRight w:val="0"/>
      <w:marTop w:val="0"/>
      <w:marBottom w:val="0"/>
      <w:divBdr>
        <w:top w:val="none" w:sz="0" w:space="0" w:color="auto"/>
        <w:left w:val="none" w:sz="0" w:space="0" w:color="auto"/>
        <w:bottom w:val="none" w:sz="0" w:space="0" w:color="auto"/>
        <w:right w:val="none" w:sz="0" w:space="0" w:color="auto"/>
      </w:divBdr>
    </w:div>
    <w:div w:id="651524552">
      <w:bodyDiv w:val="1"/>
      <w:marLeft w:val="0"/>
      <w:marRight w:val="0"/>
      <w:marTop w:val="0"/>
      <w:marBottom w:val="0"/>
      <w:divBdr>
        <w:top w:val="none" w:sz="0" w:space="0" w:color="auto"/>
        <w:left w:val="none" w:sz="0" w:space="0" w:color="auto"/>
        <w:bottom w:val="none" w:sz="0" w:space="0" w:color="auto"/>
        <w:right w:val="none" w:sz="0" w:space="0" w:color="auto"/>
      </w:divBdr>
    </w:div>
    <w:div w:id="651567479">
      <w:bodyDiv w:val="1"/>
      <w:marLeft w:val="0"/>
      <w:marRight w:val="0"/>
      <w:marTop w:val="0"/>
      <w:marBottom w:val="0"/>
      <w:divBdr>
        <w:top w:val="none" w:sz="0" w:space="0" w:color="auto"/>
        <w:left w:val="none" w:sz="0" w:space="0" w:color="auto"/>
        <w:bottom w:val="none" w:sz="0" w:space="0" w:color="auto"/>
        <w:right w:val="none" w:sz="0" w:space="0" w:color="auto"/>
      </w:divBdr>
    </w:div>
    <w:div w:id="651719053">
      <w:bodyDiv w:val="1"/>
      <w:marLeft w:val="0"/>
      <w:marRight w:val="0"/>
      <w:marTop w:val="0"/>
      <w:marBottom w:val="0"/>
      <w:divBdr>
        <w:top w:val="none" w:sz="0" w:space="0" w:color="auto"/>
        <w:left w:val="none" w:sz="0" w:space="0" w:color="auto"/>
        <w:bottom w:val="none" w:sz="0" w:space="0" w:color="auto"/>
        <w:right w:val="none" w:sz="0" w:space="0" w:color="auto"/>
      </w:divBdr>
    </w:div>
    <w:div w:id="651756383">
      <w:bodyDiv w:val="1"/>
      <w:marLeft w:val="0"/>
      <w:marRight w:val="0"/>
      <w:marTop w:val="0"/>
      <w:marBottom w:val="0"/>
      <w:divBdr>
        <w:top w:val="none" w:sz="0" w:space="0" w:color="auto"/>
        <w:left w:val="none" w:sz="0" w:space="0" w:color="auto"/>
        <w:bottom w:val="none" w:sz="0" w:space="0" w:color="auto"/>
        <w:right w:val="none" w:sz="0" w:space="0" w:color="auto"/>
      </w:divBdr>
    </w:div>
    <w:div w:id="651762242">
      <w:bodyDiv w:val="1"/>
      <w:marLeft w:val="0"/>
      <w:marRight w:val="0"/>
      <w:marTop w:val="0"/>
      <w:marBottom w:val="0"/>
      <w:divBdr>
        <w:top w:val="none" w:sz="0" w:space="0" w:color="auto"/>
        <w:left w:val="none" w:sz="0" w:space="0" w:color="auto"/>
        <w:bottom w:val="none" w:sz="0" w:space="0" w:color="auto"/>
        <w:right w:val="none" w:sz="0" w:space="0" w:color="auto"/>
      </w:divBdr>
    </w:div>
    <w:div w:id="651788060">
      <w:bodyDiv w:val="1"/>
      <w:marLeft w:val="0"/>
      <w:marRight w:val="0"/>
      <w:marTop w:val="0"/>
      <w:marBottom w:val="0"/>
      <w:divBdr>
        <w:top w:val="none" w:sz="0" w:space="0" w:color="auto"/>
        <w:left w:val="none" w:sz="0" w:space="0" w:color="auto"/>
        <w:bottom w:val="none" w:sz="0" w:space="0" w:color="auto"/>
        <w:right w:val="none" w:sz="0" w:space="0" w:color="auto"/>
      </w:divBdr>
    </w:div>
    <w:div w:id="651909673">
      <w:bodyDiv w:val="1"/>
      <w:marLeft w:val="0"/>
      <w:marRight w:val="0"/>
      <w:marTop w:val="0"/>
      <w:marBottom w:val="0"/>
      <w:divBdr>
        <w:top w:val="none" w:sz="0" w:space="0" w:color="auto"/>
        <w:left w:val="none" w:sz="0" w:space="0" w:color="auto"/>
        <w:bottom w:val="none" w:sz="0" w:space="0" w:color="auto"/>
        <w:right w:val="none" w:sz="0" w:space="0" w:color="auto"/>
      </w:divBdr>
    </w:div>
    <w:div w:id="652098249">
      <w:bodyDiv w:val="1"/>
      <w:marLeft w:val="0"/>
      <w:marRight w:val="0"/>
      <w:marTop w:val="0"/>
      <w:marBottom w:val="0"/>
      <w:divBdr>
        <w:top w:val="none" w:sz="0" w:space="0" w:color="auto"/>
        <w:left w:val="none" w:sz="0" w:space="0" w:color="auto"/>
        <w:bottom w:val="none" w:sz="0" w:space="0" w:color="auto"/>
        <w:right w:val="none" w:sz="0" w:space="0" w:color="auto"/>
      </w:divBdr>
    </w:div>
    <w:div w:id="652098411">
      <w:bodyDiv w:val="1"/>
      <w:marLeft w:val="0"/>
      <w:marRight w:val="0"/>
      <w:marTop w:val="0"/>
      <w:marBottom w:val="0"/>
      <w:divBdr>
        <w:top w:val="none" w:sz="0" w:space="0" w:color="auto"/>
        <w:left w:val="none" w:sz="0" w:space="0" w:color="auto"/>
        <w:bottom w:val="none" w:sz="0" w:space="0" w:color="auto"/>
        <w:right w:val="none" w:sz="0" w:space="0" w:color="auto"/>
      </w:divBdr>
    </w:div>
    <w:div w:id="652105945">
      <w:bodyDiv w:val="1"/>
      <w:marLeft w:val="0"/>
      <w:marRight w:val="0"/>
      <w:marTop w:val="0"/>
      <w:marBottom w:val="0"/>
      <w:divBdr>
        <w:top w:val="none" w:sz="0" w:space="0" w:color="auto"/>
        <w:left w:val="none" w:sz="0" w:space="0" w:color="auto"/>
        <w:bottom w:val="none" w:sz="0" w:space="0" w:color="auto"/>
        <w:right w:val="none" w:sz="0" w:space="0" w:color="auto"/>
      </w:divBdr>
    </w:div>
    <w:div w:id="652106127">
      <w:bodyDiv w:val="1"/>
      <w:marLeft w:val="0"/>
      <w:marRight w:val="0"/>
      <w:marTop w:val="0"/>
      <w:marBottom w:val="0"/>
      <w:divBdr>
        <w:top w:val="none" w:sz="0" w:space="0" w:color="auto"/>
        <w:left w:val="none" w:sz="0" w:space="0" w:color="auto"/>
        <w:bottom w:val="none" w:sz="0" w:space="0" w:color="auto"/>
        <w:right w:val="none" w:sz="0" w:space="0" w:color="auto"/>
      </w:divBdr>
    </w:div>
    <w:div w:id="652107135">
      <w:bodyDiv w:val="1"/>
      <w:marLeft w:val="0"/>
      <w:marRight w:val="0"/>
      <w:marTop w:val="0"/>
      <w:marBottom w:val="0"/>
      <w:divBdr>
        <w:top w:val="none" w:sz="0" w:space="0" w:color="auto"/>
        <w:left w:val="none" w:sz="0" w:space="0" w:color="auto"/>
        <w:bottom w:val="none" w:sz="0" w:space="0" w:color="auto"/>
        <w:right w:val="none" w:sz="0" w:space="0" w:color="auto"/>
      </w:divBdr>
    </w:div>
    <w:div w:id="652217013">
      <w:bodyDiv w:val="1"/>
      <w:marLeft w:val="0"/>
      <w:marRight w:val="0"/>
      <w:marTop w:val="0"/>
      <w:marBottom w:val="0"/>
      <w:divBdr>
        <w:top w:val="none" w:sz="0" w:space="0" w:color="auto"/>
        <w:left w:val="none" w:sz="0" w:space="0" w:color="auto"/>
        <w:bottom w:val="none" w:sz="0" w:space="0" w:color="auto"/>
        <w:right w:val="none" w:sz="0" w:space="0" w:color="auto"/>
      </w:divBdr>
    </w:div>
    <w:div w:id="652223348">
      <w:bodyDiv w:val="1"/>
      <w:marLeft w:val="0"/>
      <w:marRight w:val="0"/>
      <w:marTop w:val="0"/>
      <w:marBottom w:val="0"/>
      <w:divBdr>
        <w:top w:val="none" w:sz="0" w:space="0" w:color="auto"/>
        <w:left w:val="none" w:sz="0" w:space="0" w:color="auto"/>
        <w:bottom w:val="none" w:sz="0" w:space="0" w:color="auto"/>
        <w:right w:val="none" w:sz="0" w:space="0" w:color="auto"/>
      </w:divBdr>
    </w:div>
    <w:div w:id="652298223">
      <w:bodyDiv w:val="1"/>
      <w:marLeft w:val="0"/>
      <w:marRight w:val="0"/>
      <w:marTop w:val="0"/>
      <w:marBottom w:val="0"/>
      <w:divBdr>
        <w:top w:val="none" w:sz="0" w:space="0" w:color="auto"/>
        <w:left w:val="none" w:sz="0" w:space="0" w:color="auto"/>
        <w:bottom w:val="none" w:sz="0" w:space="0" w:color="auto"/>
        <w:right w:val="none" w:sz="0" w:space="0" w:color="auto"/>
      </w:divBdr>
    </w:div>
    <w:div w:id="652487744">
      <w:bodyDiv w:val="1"/>
      <w:marLeft w:val="0"/>
      <w:marRight w:val="0"/>
      <w:marTop w:val="0"/>
      <w:marBottom w:val="0"/>
      <w:divBdr>
        <w:top w:val="none" w:sz="0" w:space="0" w:color="auto"/>
        <w:left w:val="none" w:sz="0" w:space="0" w:color="auto"/>
        <w:bottom w:val="none" w:sz="0" w:space="0" w:color="auto"/>
        <w:right w:val="none" w:sz="0" w:space="0" w:color="auto"/>
      </w:divBdr>
    </w:div>
    <w:div w:id="652492076">
      <w:bodyDiv w:val="1"/>
      <w:marLeft w:val="0"/>
      <w:marRight w:val="0"/>
      <w:marTop w:val="0"/>
      <w:marBottom w:val="0"/>
      <w:divBdr>
        <w:top w:val="none" w:sz="0" w:space="0" w:color="auto"/>
        <w:left w:val="none" w:sz="0" w:space="0" w:color="auto"/>
        <w:bottom w:val="none" w:sz="0" w:space="0" w:color="auto"/>
        <w:right w:val="none" w:sz="0" w:space="0" w:color="auto"/>
      </w:divBdr>
    </w:div>
    <w:div w:id="652609750">
      <w:bodyDiv w:val="1"/>
      <w:marLeft w:val="0"/>
      <w:marRight w:val="0"/>
      <w:marTop w:val="0"/>
      <w:marBottom w:val="0"/>
      <w:divBdr>
        <w:top w:val="none" w:sz="0" w:space="0" w:color="auto"/>
        <w:left w:val="none" w:sz="0" w:space="0" w:color="auto"/>
        <w:bottom w:val="none" w:sz="0" w:space="0" w:color="auto"/>
        <w:right w:val="none" w:sz="0" w:space="0" w:color="auto"/>
      </w:divBdr>
    </w:div>
    <w:div w:id="652639714">
      <w:bodyDiv w:val="1"/>
      <w:marLeft w:val="0"/>
      <w:marRight w:val="0"/>
      <w:marTop w:val="0"/>
      <w:marBottom w:val="0"/>
      <w:divBdr>
        <w:top w:val="none" w:sz="0" w:space="0" w:color="auto"/>
        <w:left w:val="none" w:sz="0" w:space="0" w:color="auto"/>
        <w:bottom w:val="none" w:sz="0" w:space="0" w:color="auto"/>
        <w:right w:val="none" w:sz="0" w:space="0" w:color="auto"/>
      </w:divBdr>
    </w:div>
    <w:div w:id="652685802">
      <w:bodyDiv w:val="1"/>
      <w:marLeft w:val="0"/>
      <w:marRight w:val="0"/>
      <w:marTop w:val="0"/>
      <w:marBottom w:val="0"/>
      <w:divBdr>
        <w:top w:val="none" w:sz="0" w:space="0" w:color="auto"/>
        <w:left w:val="none" w:sz="0" w:space="0" w:color="auto"/>
        <w:bottom w:val="none" w:sz="0" w:space="0" w:color="auto"/>
        <w:right w:val="none" w:sz="0" w:space="0" w:color="auto"/>
      </w:divBdr>
    </w:div>
    <w:div w:id="653022014">
      <w:bodyDiv w:val="1"/>
      <w:marLeft w:val="0"/>
      <w:marRight w:val="0"/>
      <w:marTop w:val="0"/>
      <w:marBottom w:val="0"/>
      <w:divBdr>
        <w:top w:val="none" w:sz="0" w:space="0" w:color="auto"/>
        <w:left w:val="none" w:sz="0" w:space="0" w:color="auto"/>
        <w:bottom w:val="none" w:sz="0" w:space="0" w:color="auto"/>
        <w:right w:val="none" w:sz="0" w:space="0" w:color="auto"/>
      </w:divBdr>
    </w:div>
    <w:div w:id="653027883">
      <w:bodyDiv w:val="1"/>
      <w:marLeft w:val="0"/>
      <w:marRight w:val="0"/>
      <w:marTop w:val="0"/>
      <w:marBottom w:val="0"/>
      <w:divBdr>
        <w:top w:val="none" w:sz="0" w:space="0" w:color="auto"/>
        <w:left w:val="none" w:sz="0" w:space="0" w:color="auto"/>
        <w:bottom w:val="none" w:sz="0" w:space="0" w:color="auto"/>
        <w:right w:val="none" w:sz="0" w:space="0" w:color="auto"/>
      </w:divBdr>
    </w:div>
    <w:div w:id="653141261">
      <w:bodyDiv w:val="1"/>
      <w:marLeft w:val="0"/>
      <w:marRight w:val="0"/>
      <w:marTop w:val="0"/>
      <w:marBottom w:val="0"/>
      <w:divBdr>
        <w:top w:val="none" w:sz="0" w:space="0" w:color="auto"/>
        <w:left w:val="none" w:sz="0" w:space="0" w:color="auto"/>
        <w:bottom w:val="none" w:sz="0" w:space="0" w:color="auto"/>
        <w:right w:val="none" w:sz="0" w:space="0" w:color="auto"/>
      </w:divBdr>
    </w:div>
    <w:div w:id="653142312">
      <w:bodyDiv w:val="1"/>
      <w:marLeft w:val="0"/>
      <w:marRight w:val="0"/>
      <w:marTop w:val="0"/>
      <w:marBottom w:val="0"/>
      <w:divBdr>
        <w:top w:val="none" w:sz="0" w:space="0" w:color="auto"/>
        <w:left w:val="none" w:sz="0" w:space="0" w:color="auto"/>
        <w:bottom w:val="none" w:sz="0" w:space="0" w:color="auto"/>
        <w:right w:val="none" w:sz="0" w:space="0" w:color="auto"/>
      </w:divBdr>
    </w:div>
    <w:div w:id="653220776">
      <w:bodyDiv w:val="1"/>
      <w:marLeft w:val="0"/>
      <w:marRight w:val="0"/>
      <w:marTop w:val="0"/>
      <w:marBottom w:val="0"/>
      <w:divBdr>
        <w:top w:val="none" w:sz="0" w:space="0" w:color="auto"/>
        <w:left w:val="none" w:sz="0" w:space="0" w:color="auto"/>
        <w:bottom w:val="none" w:sz="0" w:space="0" w:color="auto"/>
        <w:right w:val="none" w:sz="0" w:space="0" w:color="auto"/>
      </w:divBdr>
    </w:div>
    <w:div w:id="653266193">
      <w:bodyDiv w:val="1"/>
      <w:marLeft w:val="0"/>
      <w:marRight w:val="0"/>
      <w:marTop w:val="0"/>
      <w:marBottom w:val="0"/>
      <w:divBdr>
        <w:top w:val="none" w:sz="0" w:space="0" w:color="auto"/>
        <w:left w:val="none" w:sz="0" w:space="0" w:color="auto"/>
        <w:bottom w:val="none" w:sz="0" w:space="0" w:color="auto"/>
        <w:right w:val="none" w:sz="0" w:space="0" w:color="auto"/>
      </w:divBdr>
    </w:div>
    <w:div w:id="653291645">
      <w:bodyDiv w:val="1"/>
      <w:marLeft w:val="0"/>
      <w:marRight w:val="0"/>
      <w:marTop w:val="0"/>
      <w:marBottom w:val="0"/>
      <w:divBdr>
        <w:top w:val="none" w:sz="0" w:space="0" w:color="auto"/>
        <w:left w:val="none" w:sz="0" w:space="0" w:color="auto"/>
        <w:bottom w:val="none" w:sz="0" w:space="0" w:color="auto"/>
        <w:right w:val="none" w:sz="0" w:space="0" w:color="auto"/>
      </w:divBdr>
    </w:div>
    <w:div w:id="653529481">
      <w:bodyDiv w:val="1"/>
      <w:marLeft w:val="0"/>
      <w:marRight w:val="0"/>
      <w:marTop w:val="0"/>
      <w:marBottom w:val="0"/>
      <w:divBdr>
        <w:top w:val="none" w:sz="0" w:space="0" w:color="auto"/>
        <w:left w:val="none" w:sz="0" w:space="0" w:color="auto"/>
        <w:bottom w:val="none" w:sz="0" w:space="0" w:color="auto"/>
        <w:right w:val="none" w:sz="0" w:space="0" w:color="auto"/>
      </w:divBdr>
    </w:div>
    <w:div w:id="653722386">
      <w:bodyDiv w:val="1"/>
      <w:marLeft w:val="0"/>
      <w:marRight w:val="0"/>
      <w:marTop w:val="0"/>
      <w:marBottom w:val="0"/>
      <w:divBdr>
        <w:top w:val="none" w:sz="0" w:space="0" w:color="auto"/>
        <w:left w:val="none" w:sz="0" w:space="0" w:color="auto"/>
        <w:bottom w:val="none" w:sz="0" w:space="0" w:color="auto"/>
        <w:right w:val="none" w:sz="0" w:space="0" w:color="auto"/>
      </w:divBdr>
    </w:div>
    <w:div w:id="653921164">
      <w:bodyDiv w:val="1"/>
      <w:marLeft w:val="0"/>
      <w:marRight w:val="0"/>
      <w:marTop w:val="0"/>
      <w:marBottom w:val="0"/>
      <w:divBdr>
        <w:top w:val="none" w:sz="0" w:space="0" w:color="auto"/>
        <w:left w:val="none" w:sz="0" w:space="0" w:color="auto"/>
        <w:bottom w:val="none" w:sz="0" w:space="0" w:color="auto"/>
        <w:right w:val="none" w:sz="0" w:space="0" w:color="auto"/>
      </w:divBdr>
    </w:div>
    <w:div w:id="653946275">
      <w:bodyDiv w:val="1"/>
      <w:marLeft w:val="0"/>
      <w:marRight w:val="0"/>
      <w:marTop w:val="0"/>
      <w:marBottom w:val="0"/>
      <w:divBdr>
        <w:top w:val="none" w:sz="0" w:space="0" w:color="auto"/>
        <w:left w:val="none" w:sz="0" w:space="0" w:color="auto"/>
        <w:bottom w:val="none" w:sz="0" w:space="0" w:color="auto"/>
        <w:right w:val="none" w:sz="0" w:space="0" w:color="auto"/>
      </w:divBdr>
    </w:div>
    <w:div w:id="654258481">
      <w:bodyDiv w:val="1"/>
      <w:marLeft w:val="0"/>
      <w:marRight w:val="0"/>
      <w:marTop w:val="0"/>
      <w:marBottom w:val="0"/>
      <w:divBdr>
        <w:top w:val="none" w:sz="0" w:space="0" w:color="auto"/>
        <w:left w:val="none" w:sz="0" w:space="0" w:color="auto"/>
        <w:bottom w:val="none" w:sz="0" w:space="0" w:color="auto"/>
        <w:right w:val="none" w:sz="0" w:space="0" w:color="auto"/>
      </w:divBdr>
    </w:div>
    <w:div w:id="654383230">
      <w:bodyDiv w:val="1"/>
      <w:marLeft w:val="0"/>
      <w:marRight w:val="0"/>
      <w:marTop w:val="0"/>
      <w:marBottom w:val="0"/>
      <w:divBdr>
        <w:top w:val="none" w:sz="0" w:space="0" w:color="auto"/>
        <w:left w:val="none" w:sz="0" w:space="0" w:color="auto"/>
        <w:bottom w:val="none" w:sz="0" w:space="0" w:color="auto"/>
        <w:right w:val="none" w:sz="0" w:space="0" w:color="auto"/>
      </w:divBdr>
    </w:div>
    <w:div w:id="654530784">
      <w:bodyDiv w:val="1"/>
      <w:marLeft w:val="0"/>
      <w:marRight w:val="0"/>
      <w:marTop w:val="0"/>
      <w:marBottom w:val="0"/>
      <w:divBdr>
        <w:top w:val="none" w:sz="0" w:space="0" w:color="auto"/>
        <w:left w:val="none" w:sz="0" w:space="0" w:color="auto"/>
        <w:bottom w:val="none" w:sz="0" w:space="0" w:color="auto"/>
        <w:right w:val="none" w:sz="0" w:space="0" w:color="auto"/>
      </w:divBdr>
    </w:div>
    <w:div w:id="654602315">
      <w:bodyDiv w:val="1"/>
      <w:marLeft w:val="0"/>
      <w:marRight w:val="0"/>
      <w:marTop w:val="0"/>
      <w:marBottom w:val="0"/>
      <w:divBdr>
        <w:top w:val="none" w:sz="0" w:space="0" w:color="auto"/>
        <w:left w:val="none" w:sz="0" w:space="0" w:color="auto"/>
        <w:bottom w:val="none" w:sz="0" w:space="0" w:color="auto"/>
        <w:right w:val="none" w:sz="0" w:space="0" w:color="auto"/>
      </w:divBdr>
    </w:div>
    <w:div w:id="654728705">
      <w:bodyDiv w:val="1"/>
      <w:marLeft w:val="0"/>
      <w:marRight w:val="0"/>
      <w:marTop w:val="0"/>
      <w:marBottom w:val="0"/>
      <w:divBdr>
        <w:top w:val="none" w:sz="0" w:space="0" w:color="auto"/>
        <w:left w:val="none" w:sz="0" w:space="0" w:color="auto"/>
        <w:bottom w:val="none" w:sz="0" w:space="0" w:color="auto"/>
        <w:right w:val="none" w:sz="0" w:space="0" w:color="auto"/>
      </w:divBdr>
    </w:div>
    <w:div w:id="654798098">
      <w:bodyDiv w:val="1"/>
      <w:marLeft w:val="0"/>
      <w:marRight w:val="0"/>
      <w:marTop w:val="0"/>
      <w:marBottom w:val="0"/>
      <w:divBdr>
        <w:top w:val="none" w:sz="0" w:space="0" w:color="auto"/>
        <w:left w:val="none" w:sz="0" w:space="0" w:color="auto"/>
        <w:bottom w:val="none" w:sz="0" w:space="0" w:color="auto"/>
        <w:right w:val="none" w:sz="0" w:space="0" w:color="auto"/>
      </w:divBdr>
    </w:div>
    <w:div w:id="654917651">
      <w:bodyDiv w:val="1"/>
      <w:marLeft w:val="0"/>
      <w:marRight w:val="0"/>
      <w:marTop w:val="0"/>
      <w:marBottom w:val="0"/>
      <w:divBdr>
        <w:top w:val="none" w:sz="0" w:space="0" w:color="auto"/>
        <w:left w:val="none" w:sz="0" w:space="0" w:color="auto"/>
        <w:bottom w:val="none" w:sz="0" w:space="0" w:color="auto"/>
        <w:right w:val="none" w:sz="0" w:space="0" w:color="auto"/>
      </w:divBdr>
    </w:div>
    <w:div w:id="654989801">
      <w:bodyDiv w:val="1"/>
      <w:marLeft w:val="0"/>
      <w:marRight w:val="0"/>
      <w:marTop w:val="0"/>
      <w:marBottom w:val="0"/>
      <w:divBdr>
        <w:top w:val="none" w:sz="0" w:space="0" w:color="auto"/>
        <w:left w:val="none" w:sz="0" w:space="0" w:color="auto"/>
        <w:bottom w:val="none" w:sz="0" w:space="0" w:color="auto"/>
        <w:right w:val="none" w:sz="0" w:space="0" w:color="auto"/>
      </w:divBdr>
    </w:div>
    <w:div w:id="654991470">
      <w:bodyDiv w:val="1"/>
      <w:marLeft w:val="0"/>
      <w:marRight w:val="0"/>
      <w:marTop w:val="0"/>
      <w:marBottom w:val="0"/>
      <w:divBdr>
        <w:top w:val="none" w:sz="0" w:space="0" w:color="auto"/>
        <w:left w:val="none" w:sz="0" w:space="0" w:color="auto"/>
        <w:bottom w:val="none" w:sz="0" w:space="0" w:color="auto"/>
        <w:right w:val="none" w:sz="0" w:space="0" w:color="auto"/>
      </w:divBdr>
    </w:div>
    <w:div w:id="655033773">
      <w:bodyDiv w:val="1"/>
      <w:marLeft w:val="0"/>
      <w:marRight w:val="0"/>
      <w:marTop w:val="0"/>
      <w:marBottom w:val="0"/>
      <w:divBdr>
        <w:top w:val="none" w:sz="0" w:space="0" w:color="auto"/>
        <w:left w:val="none" w:sz="0" w:space="0" w:color="auto"/>
        <w:bottom w:val="none" w:sz="0" w:space="0" w:color="auto"/>
        <w:right w:val="none" w:sz="0" w:space="0" w:color="auto"/>
      </w:divBdr>
    </w:div>
    <w:div w:id="655036144">
      <w:bodyDiv w:val="1"/>
      <w:marLeft w:val="0"/>
      <w:marRight w:val="0"/>
      <w:marTop w:val="0"/>
      <w:marBottom w:val="0"/>
      <w:divBdr>
        <w:top w:val="none" w:sz="0" w:space="0" w:color="auto"/>
        <w:left w:val="none" w:sz="0" w:space="0" w:color="auto"/>
        <w:bottom w:val="none" w:sz="0" w:space="0" w:color="auto"/>
        <w:right w:val="none" w:sz="0" w:space="0" w:color="auto"/>
      </w:divBdr>
    </w:div>
    <w:div w:id="655107814">
      <w:bodyDiv w:val="1"/>
      <w:marLeft w:val="0"/>
      <w:marRight w:val="0"/>
      <w:marTop w:val="0"/>
      <w:marBottom w:val="0"/>
      <w:divBdr>
        <w:top w:val="none" w:sz="0" w:space="0" w:color="auto"/>
        <w:left w:val="none" w:sz="0" w:space="0" w:color="auto"/>
        <w:bottom w:val="none" w:sz="0" w:space="0" w:color="auto"/>
        <w:right w:val="none" w:sz="0" w:space="0" w:color="auto"/>
      </w:divBdr>
    </w:div>
    <w:div w:id="655110899">
      <w:bodyDiv w:val="1"/>
      <w:marLeft w:val="0"/>
      <w:marRight w:val="0"/>
      <w:marTop w:val="0"/>
      <w:marBottom w:val="0"/>
      <w:divBdr>
        <w:top w:val="none" w:sz="0" w:space="0" w:color="auto"/>
        <w:left w:val="none" w:sz="0" w:space="0" w:color="auto"/>
        <w:bottom w:val="none" w:sz="0" w:space="0" w:color="auto"/>
        <w:right w:val="none" w:sz="0" w:space="0" w:color="auto"/>
      </w:divBdr>
    </w:div>
    <w:div w:id="655181388">
      <w:bodyDiv w:val="1"/>
      <w:marLeft w:val="0"/>
      <w:marRight w:val="0"/>
      <w:marTop w:val="0"/>
      <w:marBottom w:val="0"/>
      <w:divBdr>
        <w:top w:val="none" w:sz="0" w:space="0" w:color="auto"/>
        <w:left w:val="none" w:sz="0" w:space="0" w:color="auto"/>
        <w:bottom w:val="none" w:sz="0" w:space="0" w:color="auto"/>
        <w:right w:val="none" w:sz="0" w:space="0" w:color="auto"/>
      </w:divBdr>
    </w:div>
    <w:div w:id="655230853">
      <w:bodyDiv w:val="1"/>
      <w:marLeft w:val="0"/>
      <w:marRight w:val="0"/>
      <w:marTop w:val="0"/>
      <w:marBottom w:val="0"/>
      <w:divBdr>
        <w:top w:val="none" w:sz="0" w:space="0" w:color="auto"/>
        <w:left w:val="none" w:sz="0" w:space="0" w:color="auto"/>
        <w:bottom w:val="none" w:sz="0" w:space="0" w:color="auto"/>
        <w:right w:val="none" w:sz="0" w:space="0" w:color="auto"/>
      </w:divBdr>
    </w:div>
    <w:div w:id="655375489">
      <w:bodyDiv w:val="1"/>
      <w:marLeft w:val="0"/>
      <w:marRight w:val="0"/>
      <w:marTop w:val="0"/>
      <w:marBottom w:val="0"/>
      <w:divBdr>
        <w:top w:val="none" w:sz="0" w:space="0" w:color="auto"/>
        <w:left w:val="none" w:sz="0" w:space="0" w:color="auto"/>
        <w:bottom w:val="none" w:sz="0" w:space="0" w:color="auto"/>
        <w:right w:val="none" w:sz="0" w:space="0" w:color="auto"/>
      </w:divBdr>
    </w:div>
    <w:div w:id="655380178">
      <w:bodyDiv w:val="1"/>
      <w:marLeft w:val="0"/>
      <w:marRight w:val="0"/>
      <w:marTop w:val="0"/>
      <w:marBottom w:val="0"/>
      <w:divBdr>
        <w:top w:val="none" w:sz="0" w:space="0" w:color="auto"/>
        <w:left w:val="none" w:sz="0" w:space="0" w:color="auto"/>
        <w:bottom w:val="none" w:sz="0" w:space="0" w:color="auto"/>
        <w:right w:val="none" w:sz="0" w:space="0" w:color="auto"/>
      </w:divBdr>
    </w:div>
    <w:div w:id="655649844">
      <w:bodyDiv w:val="1"/>
      <w:marLeft w:val="0"/>
      <w:marRight w:val="0"/>
      <w:marTop w:val="0"/>
      <w:marBottom w:val="0"/>
      <w:divBdr>
        <w:top w:val="none" w:sz="0" w:space="0" w:color="auto"/>
        <w:left w:val="none" w:sz="0" w:space="0" w:color="auto"/>
        <w:bottom w:val="none" w:sz="0" w:space="0" w:color="auto"/>
        <w:right w:val="none" w:sz="0" w:space="0" w:color="auto"/>
      </w:divBdr>
    </w:div>
    <w:div w:id="655650546">
      <w:bodyDiv w:val="1"/>
      <w:marLeft w:val="0"/>
      <w:marRight w:val="0"/>
      <w:marTop w:val="0"/>
      <w:marBottom w:val="0"/>
      <w:divBdr>
        <w:top w:val="none" w:sz="0" w:space="0" w:color="auto"/>
        <w:left w:val="none" w:sz="0" w:space="0" w:color="auto"/>
        <w:bottom w:val="none" w:sz="0" w:space="0" w:color="auto"/>
        <w:right w:val="none" w:sz="0" w:space="0" w:color="auto"/>
      </w:divBdr>
    </w:div>
    <w:div w:id="655691625">
      <w:bodyDiv w:val="1"/>
      <w:marLeft w:val="0"/>
      <w:marRight w:val="0"/>
      <w:marTop w:val="0"/>
      <w:marBottom w:val="0"/>
      <w:divBdr>
        <w:top w:val="none" w:sz="0" w:space="0" w:color="auto"/>
        <w:left w:val="none" w:sz="0" w:space="0" w:color="auto"/>
        <w:bottom w:val="none" w:sz="0" w:space="0" w:color="auto"/>
        <w:right w:val="none" w:sz="0" w:space="0" w:color="auto"/>
      </w:divBdr>
    </w:div>
    <w:div w:id="655692148">
      <w:bodyDiv w:val="1"/>
      <w:marLeft w:val="0"/>
      <w:marRight w:val="0"/>
      <w:marTop w:val="0"/>
      <w:marBottom w:val="0"/>
      <w:divBdr>
        <w:top w:val="none" w:sz="0" w:space="0" w:color="auto"/>
        <w:left w:val="none" w:sz="0" w:space="0" w:color="auto"/>
        <w:bottom w:val="none" w:sz="0" w:space="0" w:color="auto"/>
        <w:right w:val="none" w:sz="0" w:space="0" w:color="auto"/>
      </w:divBdr>
    </w:div>
    <w:div w:id="655838712">
      <w:bodyDiv w:val="1"/>
      <w:marLeft w:val="0"/>
      <w:marRight w:val="0"/>
      <w:marTop w:val="0"/>
      <w:marBottom w:val="0"/>
      <w:divBdr>
        <w:top w:val="none" w:sz="0" w:space="0" w:color="auto"/>
        <w:left w:val="none" w:sz="0" w:space="0" w:color="auto"/>
        <w:bottom w:val="none" w:sz="0" w:space="0" w:color="auto"/>
        <w:right w:val="none" w:sz="0" w:space="0" w:color="auto"/>
      </w:divBdr>
    </w:div>
    <w:div w:id="655954383">
      <w:bodyDiv w:val="1"/>
      <w:marLeft w:val="0"/>
      <w:marRight w:val="0"/>
      <w:marTop w:val="0"/>
      <w:marBottom w:val="0"/>
      <w:divBdr>
        <w:top w:val="none" w:sz="0" w:space="0" w:color="auto"/>
        <w:left w:val="none" w:sz="0" w:space="0" w:color="auto"/>
        <w:bottom w:val="none" w:sz="0" w:space="0" w:color="auto"/>
        <w:right w:val="none" w:sz="0" w:space="0" w:color="auto"/>
      </w:divBdr>
    </w:div>
    <w:div w:id="655956388">
      <w:bodyDiv w:val="1"/>
      <w:marLeft w:val="0"/>
      <w:marRight w:val="0"/>
      <w:marTop w:val="0"/>
      <w:marBottom w:val="0"/>
      <w:divBdr>
        <w:top w:val="none" w:sz="0" w:space="0" w:color="auto"/>
        <w:left w:val="none" w:sz="0" w:space="0" w:color="auto"/>
        <w:bottom w:val="none" w:sz="0" w:space="0" w:color="auto"/>
        <w:right w:val="none" w:sz="0" w:space="0" w:color="auto"/>
      </w:divBdr>
    </w:div>
    <w:div w:id="655956787">
      <w:bodyDiv w:val="1"/>
      <w:marLeft w:val="0"/>
      <w:marRight w:val="0"/>
      <w:marTop w:val="0"/>
      <w:marBottom w:val="0"/>
      <w:divBdr>
        <w:top w:val="none" w:sz="0" w:space="0" w:color="auto"/>
        <w:left w:val="none" w:sz="0" w:space="0" w:color="auto"/>
        <w:bottom w:val="none" w:sz="0" w:space="0" w:color="auto"/>
        <w:right w:val="none" w:sz="0" w:space="0" w:color="auto"/>
      </w:divBdr>
    </w:div>
    <w:div w:id="655957822">
      <w:bodyDiv w:val="1"/>
      <w:marLeft w:val="0"/>
      <w:marRight w:val="0"/>
      <w:marTop w:val="0"/>
      <w:marBottom w:val="0"/>
      <w:divBdr>
        <w:top w:val="none" w:sz="0" w:space="0" w:color="auto"/>
        <w:left w:val="none" w:sz="0" w:space="0" w:color="auto"/>
        <w:bottom w:val="none" w:sz="0" w:space="0" w:color="auto"/>
        <w:right w:val="none" w:sz="0" w:space="0" w:color="auto"/>
      </w:divBdr>
    </w:div>
    <w:div w:id="655963790">
      <w:bodyDiv w:val="1"/>
      <w:marLeft w:val="0"/>
      <w:marRight w:val="0"/>
      <w:marTop w:val="0"/>
      <w:marBottom w:val="0"/>
      <w:divBdr>
        <w:top w:val="none" w:sz="0" w:space="0" w:color="auto"/>
        <w:left w:val="none" w:sz="0" w:space="0" w:color="auto"/>
        <w:bottom w:val="none" w:sz="0" w:space="0" w:color="auto"/>
        <w:right w:val="none" w:sz="0" w:space="0" w:color="auto"/>
      </w:divBdr>
    </w:div>
    <w:div w:id="656149603">
      <w:bodyDiv w:val="1"/>
      <w:marLeft w:val="0"/>
      <w:marRight w:val="0"/>
      <w:marTop w:val="0"/>
      <w:marBottom w:val="0"/>
      <w:divBdr>
        <w:top w:val="none" w:sz="0" w:space="0" w:color="auto"/>
        <w:left w:val="none" w:sz="0" w:space="0" w:color="auto"/>
        <w:bottom w:val="none" w:sz="0" w:space="0" w:color="auto"/>
        <w:right w:val="none" w:sz="0" w:space="0" w:color="auto"/>
      </w:divBdr>
    </w:div>
    <w:div w:id="656149894">
      <w:bodyDiv w:val="1"/>
      <w:marLeft w:val="0"/>
      <w:marRight w:val="0"/>
      <w:marTop w:val="0"/>
      <w:marBottom w:val="0"/>
      <w:divBdr>
        <w:top w:val="none" w:sz="0" w:space="0" w:color="auto"/>
        <w:left w:val="none" w:sz="0" w:space="0" w:color="auto"/>
        <w:bottom w:val="none" w:sz="0" w:space="0" w:color="auto"/>
        <w:right w:val="none" w:sz="0" w:space="0" w:color="auto"/>
      </w:divBdr>
    </w:div>
    <w:div w:id="656153452">
      <w:bodyDiv w:val="1"/>
      <w:marLeft w:val="0"/>
      <w:marRight w:val="0"/>
      <w:marTop w:val="0"/>
      <w:marBottom w:val="0"/>
      <w:divBdr>
        <w:top w:val="none" w:sz="0" w:space="0" w:color="auto"/>
        <w:left w:val="none" w:sz="0" w:space="0" w:color="auto"/>
        <w:bottom w:val="none" w:sz="0" w:space="0" w:color="auto"/>
        <w:right w:val="none" w:sz="0" w:space="0" w:color="auto"/>
      </w:divBdr>
    </w:div>
    <w:div w:id="656224831">
      <w:bodyDiv w:val="1"/>
      <w:marLeft w:val="0"/>
      <w:marRight w:val="0"/>
      <w:marTop w:val="0"/>
      <w:marBottom w:val="0"/>
      <w:divBdr>
        <w:top w:val="none" w:sz="0" w:space="0" w:color="auto"/>
        <w:left w:val="none" w:sz="0" w:space="0" w:color="auto"/>
        <w:bottom w:val="none" w:sz="0" w:space="0" w:color="auto"/>
        <w:right w:val="none" w:sz="0" w:space="0" w:color="auto"/>
      </w:divBdr>
    </w:div>
    <w:div w:id="656225392">
      <w:bodyDiv w:val="1"/>
      <w:marLeft w:val="0"/>
      <w:marRight w:val="0"/>
      <w:marTop w:val="0"/>
      <w:marBottom w:val="0"/>
      <w:divBdr>
        <w:top w:val="none" w:sz="0" w:space="0" w:color="auto"/>
        <w:left w:val="none" w:sz="0" w:space="0" w:color="auto"/>
        <w:bottom w:val="none" w:sz="0" w:space="0" w:color="auto"/>
        <w:right w:val="none" w:sz="0" w:space="0" w:color="auto"/>
      </w:divBdr>
    </w:div>
    <w:div w:id="656542181">
      <w:bodyDiv w:val="1"/>
      <w:marLeft w:val="0"/>
      <w:marRight w:val="0"/>
      <w:marTop w:val="0"/>
      <w:marBottom w:val="0"/>
      <w:divBdr>
        <w:top w:val="none" w:sz="0" w:space="0" w:color="auto"/>
        <w:left w:val="none" w:sz="0" w:space="0" w:color="auto"/>
        <w:bottom w:val="none" w:sz="0" w:space="0" w:color="auto"/>
        <w:right w:val="none" w:sz="0" w:space="0" w:color="auto"/>
      </w:divBdr>
    </w:div>
    <w:div w:id="656543870">
      <w:bodyDiv w:val="1"/>
      <w:marLeft w:val="0"/>
      <w:marRight w:val="0"/>
      <w:marTop w:val="0"/>
      <w:marBottom w:val="0"/>
      <w:divBdr>
        <w:top w:val="none" w:sz="0" w:space="0" w:color="auto"/>
        <w:left w:val="none" w:sz="0" w:space="0" w:color="auto"/>
        <w:bottom w:val="none" w:sz="0" w:space="0" w:color="auto"/>
        <w:right w:val="none" w:sz="0" w:space="0" w:color="auto"/>
      </w:divBdr>
    </w:div>
    <w:div w:id="656617687">
      <w:bodyDiv w:val="1"/>
      <w:marLeft w:val="0"/>
      <w:marRight w:val="0"/>
      <w:marTop w:val="0"/>
      <w:marBottom w:val="0"/>
      <w:divBdr>
        <w:top w:val="none" w:sz="0" w:space="0" w:color="auto"/>
        <w:left w:val="none" w:sz="0" w:space="0" w:color="auto"/>
        <w:bottom w:val="none" w:sz="0" w:space="0" w:color="auto"/>
        <w:right w:val="none" w:sz="0" w:space="0" w:color="auto"/>
      </w:divBdr>
    </w:div>
    <w:div w:id="656685930">
      <w:bodyDiv w:val="1"/>
      <w:marLeft w:val="0"/>
      <w:marRight w:val="0"/>
      <w:marTop w:val="0"/>
      <w:marBottom w:val="0"/>
      <w:divBdr>
        <w:top w:val="none" w:sz="0" w:space="0" w:color="auto"/>
        <w:left w:val="none" w:sz="0" w:space="0" w:color="auto"/>
        <w:bottom w:val="none" w:sz="0" w:space="0" w:color="auto"/>
        <w:right w:val="none" w:sz="0" w:space="0" w:color="auto"/>
      </w:divBdr>
    </w:div>
    <w:div w:id="656879566">
      <w:bodyDiv w:val="1"/>
      <w:marLeft w:val="0"/>
      <w:marRight w:val="0"/>
      <w:marTop w:val="0"/>
      <w:marBottom w:val="0"/>
      <w:divBdr>
        <w:top w:val="none" w:sz="0" w:space="0" w:color="auto"/>
        <w:left w:val="none" w:sz="0" w:space="0" w:color="auto"/>
        <w:bottom w:val="none" w:sz="0" w:space="0" w:color="auto"/>
        <w:right w:val="none" w:sz="0" w:space="0" w:color="auto"/>
      </w:divBdr>
    </w:div>
    <w:div w:id="656885785">
      <w:bodyDiv w:val="1"/>
      <w:marLeft w:val="0"/>
      <w:marRight w:val="0"/>
      <w:marTop w:val="0"/>
      <w:marBottom w:val="0"/>
      <w:divBdr>
        <w:top w:val="none" w:sz="0" w:space="0" w:color="auto"/>
        <w:left w:val="none" w:sz="0" w:space="0" w:color="auto"/>
        <w:bottom w:val="none" w:sz="0" w:space="0" w:color="auto"/>
        <w:right w:val="none" w:sz="0" w:space="0" w:color="auto"/>
      </w:divBdr>
    </w:div>
    <w:div w:id="657029493">
      <w:bodyDiv w:val="1"/>
      <w:marLeft w:val="0"/>
      <w:marRight w:val="0"/>
      <w:marTop w:val="0"/>
      <w:marBottom w:val="0"/>
      <w:divBdr>
        <w:top w:val="none" w:sz="0" w:space="0" w:color="auto"/>
        <w:left w:val="none" w:sz="0" w:space="0" w:color="auto"/>
        <w:bottom w:val="none" w:sz="0" w:space="0" w:color="auto"/>
        <w:right w:val="none" w:sz="0" w:space="0" w:color="auto"/>
      </w:divBdr>
    </w:div>
    <w:div w:id="657147970">
      <w:bodyDiv w:val="1"/>
      <w:marLeft w:val="0"/>
      <w:marRight w:val="0"/>
      <w:marTop w:val="0"/>
      <w:marBottom w:val="0"/>
      <w:divBdr>
        <w:top w:val="none" w:sz="0" w:space="0" w:color="auto"/>
        <w:left w:val="none" w:sz="0" w:space="0" w:color="auto"/>
        <w:bottom w:val="none" w:sz="0" w:space="0" w:color="auto"/>
        <w:right w:val="none" w:sz="0" w:space="0" w:color="auto"/>
      </w:divBdr>
    </w:div>
    <w:div w:id="657223240">
      <w:bodyDiv w:val="1"/>
      <w:marLeft w:val="0"/>
      <w:marRight w:val="0"/>
      <w:marTop w:val="0"/>
      <w:marBottom w:val="0"/>
      <w:divBdr>
        <w:top w:val="none" w:sz="0" w:space="0" w:color="auto"/>
        <w:left w:val="none" w:sz="0" w:space="0" w:color="auto"/>
        <w:bottom w:val="none" w:sz="0" w:space="0" w:color="auto"/>
        <w:right w:val="none" w:sz="0" w:space="0" w:color="auto"/>
      </w:divBdr>
    </w:div>
    <w:div w:id="657226063">
      <w:bodyDiv w:val="1"/>
      <w:marLeft w:val="0"/>
      <w:marRight w:val="0"/>
      <w:marTop w:val="0"/>
      <w:marBottom w:val="0"/>
      <w:divBdr>
        <w:top w:val="none" w:sz="0" w:space="0" w:color="auto"/>
        <w:left w:val="none" w:sz="0" w:space="0" w:color="auto"/>
        <w:bottom w:val="none" w:sz="0" w:space="0" w:color="auto"/>
        <w:right w:val="none" w:sz="0" w:space="0" w:color="auto"/>
      </w:divBdr>
    </w:div>
    <w:div w:id="657226225">
      <w:bodyDiv w:val="1"/>
      <w:marLeft w:val="0"/>
      <w:marRight w:val="0"/>
      <w:marTop w:val="0"/>
      <w:marBottom w:val="0"/>
      <w:divBdr>
        <w:top w:val="none" w:sz="0" w:space="0" w:color="auto"/>
        <w:left w:val="none" w:sz="0" w:space="0" w:color="auto"/>
        <w:bottom w:val="none" w:sz="0" w:space="0" w:color="auto"/>
        <w:right w:val="none" w:sz="0" w:space="0" w:color="auto"/>
      </w:divBdr>
    </w:div>
    <w:div w:id="657266864">
      <w:bodyDiv w:val="1"/>
      <w:marLeft w:val="0"/>
      <w:marRight w:val="0"/>
      <w:marTop w:val="0"/>
      <w:marBottom w:val="0"/>
      <w:divBdr>
        <w:top w:val="none" w:sz="0" w:space="0" w:color="auto"/>
        <w:left w:val="none" w:sz="0" w:space="0" w:color="auto"/>
        <w:bottom w:val="none" w:sz="0" w:space="0" w:color="auto"/>
        <w:right w:val="none" w:sz="0" w:space="0" w:color="auto"/>
      </w:divBdr>
    </w:div>
    <w:div w:id="657349619">
      <w:bodyDiv w:val="1"/>
      <w:marLeft w:val="0"/>
      <w:marRight w:val="0"/>
      <w:marTop w:val="0"/>
      <w:marBottom w:val="0"/>
      <w:divBdr>
        <w:top w:val="none" w:sz="0" w:space="0" w:color="auto"/>
        <w:left w:val="none" w:sz="0" w:space="0" w:color="auto"/>
        <w:bottom w:val="none" w:sz="0" w:space="0" w:color="auto"/>
        <w:right w:val="none" w:sz="0" w:space="0" w:color="auto"/>
      </w:divBdr>
    </w:div>
    <w:div w:id="657418743">
      <w:bodyDiv w:val="1"/>
      <w:marLeft w:val="0"/>
      <w:marRight w:val="0"/>
      <w:marTop w:val="0"/>
      <w:marBottom w:val="0"/>
      <w:divBdr>
        <w:top w:val="none" w:sz="0" w:space="0" w:color="auto"/>
        <w:left w:val="none" w:sz="0" w:space="0" w:color="auto"/>
        <w:bottom w:val="none" w:sz="0" w:space="0" w:color="auto"/>
        <w:right w:val="none" w:sz="0" w:space="0" w:color="auto"/>
      </w:divBdr>
    </w:div>
    <w:div w:id="657419187">
      <w:bodyDiv w:val="1"/>
      <w:marLeft w:val="0"/>
      <w:marRight w:val="0"/>
      <w:marTop w:val="0"/>
      <w:marBottom w:val="0"/>
      <w:divBdr>
        <w:top w:val="none" w:sz="0" w:space="0" w:color="auto"/>
        <w:left w:val="none" w:sz="0" w:space="0" w:color="auto"/>
        <w:bottom w:val="none" w:sz="0" w:space="0" w:color="auto"/>
        <w:right w:val="none" w:sz="0" w:space="0" w:color="auto"/>
      </w:divBdr>
    </w:div>
    <w:div w:id="657467390">
      <w:bodyDiv w:val="1"/>
      <w:marLeft w:val="0"/>
      <w:marRight w:val="0"/>
      <w:marTop w:val="0"/>
      <w:marBottom w:val="0"/>
      <w:divBdr>
        <w:top w:val="none" w:sz="0" w:space="0" w:color="auto"/>
        <w:left w:val="none" w:sz="0" w:space="0" w:color="auto"/>
        <w:bottom w:val="none" w:sz="0" w:space="0" w:color="auto"/>
        <w:right w:val="none" w:sz="0" w:space="0" w:color="auto"/>
      </w:divBdr>
    </w:div>
    <w:div w:id="657538293">
      <w:bodyDiv w:val="1"/>
      <w:marLeft w:val="0"/>
      <w:marRight w:val="0"/>
      <w:marTop w:val="0"/>
      <w:marBottom w:val="0"/>
      <w:divBdr>
        <w:top w:val="none" w:sz="0" w:space="0" w:color="auto"/>
        <w:left w:val="none" w:sz="0" w:space="0" w:color="auto"/>
        <w:bottom w:val="none" w:sz="0" w:space="0" w:color="auto"/>
        <w:right w:val="none" w:sz="0" w:space="0" w:color="auto"/>
      </w:divBdr>
    </w:div>
    <w:div w:id="657617777">
      <w:bodyDiv w:val="1"/>
      <w:marLeft w:val="0"/>
      <w:marRight w:val="0"/>
      <w:marTop w:val="0"/>
      <w:marBottom w:val="0"/>
      <w:divBdr>
        <w:top w:val="none" w:sz="0" w:space="0" w:color="auto"/>
        <w:left w:val="none" w:sz="0" w:space="0" w:color="auto"/>
        <w:bottom w:val="none" w:sz="0" w:space="0" w:color="auto"/>
        <w:right w:val="none" w:sz="0" w:space="0" w:color="auto"/>
      </w:divBdr>
    </w:div>
    <w:div w:id="657805721">
      <w:bodyDiv w:val="1"/>
      <w:marLeft w:val="0"/>
      <w:marRight w:val="0"/>
      <w:marTop w:val="0"/>
      <w:marBottom w:val="0"/>
      <w:divBdr>
        <w:top w:val="none" w:sz="0" w:space="0" w:color="auto"/>
        <w:left w:val="none" w:sz="0" w:space="0" w:color="auto"/>
        <w:bottom w:val="none" w:sz="0" w:space="0" w:color="auto"/>
        <w:right w:val="none" w:sz="0" w:space="0" w:color="auto"/>
      </w:divBdr>
    </w:div>
    <w:div w:id="657805923">
      <w:bodyDiv w:val="1"/>
      <w:marLeft w:val="0"/>
      <w:marRight w:val="0"/>
      <w:marTop w:val="0"/>
      <w:marBottom w:val="0"/>
      <w:divBdr>
        <w:top w:val="none" w:sz="0" w:space="0" w:color="auto"/>
        <w:left w:val="none" w:sz="0" w:space="0" w:color="auto"/>
        <w:bottom w:val="none" w:sz="0" w:space="0" w:color="auto"/>
        <w:right w:val="none" w:sz="0" w:space="0" w:color="auto"/>
      </w:divBdr>
    </w:div>
    <w:div w:id="657928283">
      <w:bodyDiv w:val="1"/>
      <w:marLeft w:val="0"/>
      <w:marRight w:val="0"/>
      <w:marTop w:val="0"/>
      <w:marBottom w:val="0"/>
      <w:divBdr>
        <w:top w:val="none" w:sz="0" w:space="0" w:color="auto"/>
        <w:left w:val="none" w:sz="0" w:space="0" w:color="auto"/>
        <w:bottom w:val="none" w:sz="0" w:space="0" w:color="auto"/>
        <w:right w:val="none" w:sz="0" w:space="0" w:color="auto"/>
      </w:divBdr>
    </w:div>
    <w:div w:id="657928510">
      <w:bodyDiv w:val="1"/>
      <w:marLeft w:val="0"/>
      <w:marRight w:val="0"/>
      <w:marTop w:val="0"/>
      <w:marBottom w:val="0"/>
      <w:divBdr>
        <w:top w:val="none" w:sz="0" w:space="0" w:color="auto"/>
        <w:left w:val="none" w:sz="0" w:space="0" w:color="auto"/>
        <w:bottom w:val="none" w:sz="0" w:space="0" w:color="auto"/>
        <w:right w:val="none" w:sz="0" w:space="0" w:color="auto"/>
      </w:divBdr>
    </w:div>
    <w:div w:id="658074200">
      <w:bodyDiv w:val="1"/>
      <w:marLeft w:val="0"/>
      <w:marRight w:val="0"/>
      <w:marTop w:val="0"/>
      <w:marBottom w:val="0"/>
      <w:divBdr>
        <w:top w:val="none" w:sz="0" w:space="0" w:color="auto"/>
        <w:left w:val="none" w:sz="0" w:space="0" w:color="auto"/>
        <w:bottom w:val="none" w:sz="0" w:space="0" w:color="auto"/>
        <w:right w:val="none" w:sz="0" w:space="0" w:color="auto"/>
      </w:divBdr>
    </w:div>
    <w:div w:id="658117882">
      <w:bodyDiv w:val="1"/>
      <w:marLeft w:val="0"/>
      <w:marRight w:val="0"/>
      <w:marTop w:val="0"/>
      <w:marBottom w:val="0"/>
      <w:divBdr>
        <w:top w:val="none" w:sz="0" w:space="0" w:color="auto"/>
        <w:left w:val="none" w:sz="0" w:space="0" w:color="auto"/>
        <w:bottom w:val="none" w:sz="0" w:space="0" w:color="auto"/>
        <w:right w:val="none" w:sz="0" w:space="0" w:color="auto"/>
      </w:divBdr>
    </w:div>
    <w:div w:id="658509326">
      <w:bodyDiv w:val="1"/>
      <w:marLeft w:val="0"/>
      <w:marRight w:val="0"/>
      <w:marTop w:val="0"/>
      <w:marBottom w:val="0"/>
      <w:divBdr>
        <w:top w:val="none" w:sz="0" w:space="0" w:color="auto"/>
        <w:left w:val="none" w:sz="0" w:space="0" w:color="auto"/>
        <w:bottom w:val="none" w:sz="0" w:space="0" w:color="auto"/>
        <w:right w:val="none" w:sz="0" w:space="0" w:color="auto"/>
      </w:divBdr>
    </w:div>
    <w:div w:id="658535051">
      <w:bodyDiv w:val="1"/>
      <w:marLeft w:val="0"/>
      <w:marRight w:val="0"/>
      <w:marTop w:val="0"/>
      <w:marBottom w:val="0"/>
      <w:divBdr>
        <w:top w:val="none" w:sz="0" w:space="0" w:color="auto"/>
        <w:left w:val="none" w:sz="0" w:space="0" w:color="auto"/>
        <w:bottom w:val="none" w:sz="0" w:space="0" w:color="auto"/>
        <w:right w:val="none" w:sz="0" w:space="0" w:color="auto"/>
      </w:divBdr>
    </w:div>
    <w:div w:id="658575716">
      <w:bodyDiv w:val="1"/>
      <w:marLeft w:val="0"/>
      <w:marRight w:val="0"/>
      <w:marTop w:val="0"/>
      <w:marBottom w:val="0"/>
      <w:divBdr>
        <w:top w:val="none" w:sz="0" w:space="0" w:color="auto"/>
        <w:left w:val="none" w:sz="0" w:space="0" w:color="auto"/>
        <w:bottom w:val="none" w:sz="0" w:space="0" w:color="auto"/>
        <w:right w:val="none" w:sz="0" w:space="0" w:color="auto"/>
      </w:divBdr>
    </w:div>
    <w:div w:id="658580703">
      <w:bodyDiv w:val="1"/>
      <w:marLeft w:val="0"/>
      <w:marRight w:val="0"/>
      <w:marTop w:val="0"/>
      <w:marBottom w:val="0"/>
      <w:divBdr>
        <w:top w:val="none" w:sz="0" w:space="0" w:color="auto"/>
        <w:left w:val="none" w:sz="0" w:space="0" w:color="auto"/>
        <w:bottom w:val="none" w:sz="0" w:space="0" w:color="auto"/>
        <w:right w:val="none" w:sz="0" w:space="0" w:color="auto"/>
      </w:divBdr>
    </w:div>
    <w:div w:id="658730087">
      <w:bodyDiv w:val="1"/>
      <w:marLeft w:val="0"/>
      <w:marRight w:val="0"/>
      <w:marTop w:val="0"/>
      <w:marBottom w:val="0"/>
      <w:divBdr>
        <w:top w:val="none" w:sz="0" w:space="0" w:color="auto"/>
        <w:left w:val="none" w:sz="0" w:space="0" w:color="auto"/>
        <w:bottom w:val="none" w:sz="0" w:space="0" w:color="auto"/>
        <w:right w:val="none" w:sz="0" w:space="0" w:color="auto"/>
      </w:divBdr>
    </w:div>
    <w:div w:id="658733184">
      <w:bodyDiv w:val="1"/>
      <w:marLeft w:val="0"/>
      <w:marRight w:val="0"/>
      <w:marTop w:val="0"/>
      <w:marBottom w:val="0"/>
      <w:divBdr>
        <w:top w:val="none" w:sz="0" w:space="0" w:color="auto"/>
        <w:left w:val="none" w:sz="0" w:space="0" w:color="auto"/>
        <w:bottom w:val="none" w:sz="0" w:space="0" w:color="auto"/>
        <w:right w:val="none" w:sz="0" w:space="0" w:color="auto"/>
      </w:divBdr>
    </w:div>
    <w:div w:id="658771904">
      <w:bodyDiv w:val="1"/>
      <w:marLeft w:val="0"/>
      <w:marRight w:val="0"/>
      <w:marTop w:val="0"/>
      <w:marBottom w:val="0"/>
      <w:divBdr>
        <w:top w:val="none" w:sz="0" w:space="0" w:color="auto"/>
        <w:left w:val="none" w:sz="0" w:space="0" w:color="auto"/>
        <w:bottom w:val="none" w:sz="0" w:space="0" w:color="auto"/>
        <w:right w:val="none" w:sz="0" w:space="0" w:color="auto"/>
      </w:divBdr>
    </w:div>
    <w:div w:id="658774468">
      <w:bodyDiv w:val="1"/>
      <w:marLeft w:val="0"/>
      <w:marRight w:val="0"/>
      <w:marTop w:val="0"/>
      <w:marBottom w:val="0"/>
      <w:divBdr>
        <w:top w:val="none" w:sz="0" w:space="0" w:color="auto"/>
        <w:left w:val="none" w:sz="0" w:space="0" w:color="auto"/>
        <w:bottom w:val="none" w:sz="0" w:space="0" w:color="auto"/>
        <w:right w:val="none" w:sz="0" w:space="0" w:color="auto"/>
      </w:divBdr>
    </w:div>
    <w:div w:id="658776206">
      <w:bodyDiv w:val="1"/>
      <w:marLeft w:val="0"/>
      <w:marRight w:val="0"/>
      <w:marTop w:val="0"/>
      <w:marBottom w:val="0"/>
      <w:divBdr>
        <w:top w:val="none" w:sz="0" w:space="0" w:color="auto"/>
        <w:left w:val="none" w:sz="0" w:space="0" w:color="auto"/>
        <w:bottom w:val="none" w:sz="0" w:space="0" w:color="auto"/>
        <w:right w:val="none" w:sz="0" w:space="0" w:color="auto"/>
      </w:divBdr>
    </w:div>
    <w:div w:id="658920678">
      <w:bodyDiv w:val="1"/>
      <w:marLeft w:val="0"/>
      <w:marRight w:val="0"/>
      <w:marTop w:val="0"/>
      <w:marBottom w:val="0"/>
      <w:divBdr>
        <w:top w:val="none" w:sz="0" w:space="0" w:color="auto"/>
        <w:left w:val="none" w:sz="0" w:space="0" w:color="auto"/>
        <w:bottom w:val="none" w:sz="0" w:space="0" w:color="auto"/>
        <w:right w:val="none" w:sz="0" w:space="0" w:color="auto"/>
      </w:divBdr>
    </w:div>
    <w:div w:id="658926603">
      <w:bodyDiv w:val="1"/>
      <w:marLeft w:val="0"/>
      <w:marRight w:val="0"/>
      <w:marTop w:val="0"/>
      <w:marBottom w:val="0"/>
      <w:divBdr>
        <w:top w:val="none" w:sz="0" w:space="0" w:color="auto"/>
        <w:left w:val="none" w:sz="0" w:space="0" w:color="auto"/>
        <w:bottom w:val="none" w:sz="0" w:space="0" w:color="auto"/>
        <w:right w:val="none" w:sz="0" w:space="0" w:color="auto"/>
      </w:divBdr>
    </w:div>
    <w:div w:id="659040792">
      <w:bodyDiv w:val="1"/>
      <w:marLeft w:val="0"/>
      <w:marRight w:val="0"/>
      <w:marTop w:val="0"/>
      <w:marBottom w:val="0"/>
      <w:divBdr>
        <w:top w:val="none" w:sz="0" w:space="0" w:color="auto"/>
        <w:left w:val="none" w:sz="0" w:space="0" w:color="auto"/>
        <w:bottom w:val="none" w:sz="0" w:space="0" w:color="auto"/>
        <w:right w:val="none" w:sz="0" w:space="0" w:color="auto"/>
      </w:divBdr>
    </w:div>
    <w:div w:id="659116889">
      <w:bodyDiv w:val="1"/>
      <w:marLeft w:val="0"/>
      <w:marRight w:val="0"/>
      <w:marTop w:val="0"/>
      <w:marBottom w:val="0"/>
      <w:divBdr>
        <w:top w:val="none" w:sz="0" w:space="0" w:color="auto"/>
        <w:left w:val="none" w:sz="0" w:space="0" w:color="auto"/>
        <w:bottom w:val="none" w:sz="0" w:space="0" w:color="auto"/>
        <w:right w:val="none" w:sz="0" w:space="0" w:color="auto"/>
      </w:divBdr>
    </w:div>
    <w:div w:id="659120660">
      <w:bodyDiv w:val="1"/>
      <w:marLeft w:val="0"/>
      <w:marRight w:val="0"/>
      <w:marTop w:val="0"/>
      <w:marBottom w:val="0"/>
      <w:divBdr>
        <w:top w:val="none" w:sz="0" w:space="0" w:color="auto"/>
        <w:left w:val="none" w:sz="0" w:space="0" w:color="auto"/>
        <w:bottom w:val="none" w:sz="0" w:space="0" w:color="auto"/>
        <w:right w:val="none" w:sz="0" w:space="0" w:color="auto"/>
      </w:divBdr>
    </w:div>
    <w:div w:id="659232133">
      <w:bodyDiv w:val="1"/>
      <w:marLeft w:val="0"/>
      <w:marRight w:val="0"/>
      <w:marTop w:val="0"/>
      <w:marBottom w:val="0"/>
      <w:divBdr>
        <w:top w:val="none" w:sz="0" w:space="0" w:color="auto"/>
        <w:left w:val="none" w:sz="0" w:space="0" w:color="auto"/>
        <w:bottom w:val="none" w:sz="0" w:space="0" w:color="auto"/>
        <w:right w:val="none" w:sz="0" w:space="0" w:color="auto"/>
      </w:divBdr>
    </w:div>
    <w:div w:id="659502847">
      <w:bodyDiv w:val="1"/>
      <w:marLeft w:val="0"/>
      <w:marRight w:val="0"/>
      <w:marTop w:val="0"/>
      <w:marBottom w:val="0"/>
      <w:divBdr>
        <w:top w:val="none" w:sz="0" w:space="0" w:color="auto"/>
        <w:left w:val="none" w:sz="0" w:space="0" w:color="auto"/>
        <w:bottom w:val="none" w:sz="0" w:space="0" w:color="auto"/>
        <w:right w:val="none" w:sz="0" w:space="0" w:color="auto"/>
      </w:divBdr>
    </w:div>
    <w:div w:id="659505528">
      <w:bodyDiv w:val="1"/>
      <w:marLeft w:val="0"/>
      <w:marRight w:val="0"/>
      <w:marTop w:val="0"/>
      <w:marBottom w:val="0"/>
      <w:divBdr>
        <w:top w:val="none" w:sz="0" w:space="0" w:color="auto"/>
        <w:left w:val="none" w:sz="0" w:space="0" w:color="auto"/>
        <w:bottom w:val="none" w:sz="0" w:space="0" w:color="auto"/>
        <w:right w:val="none" w:sz="0" w:space="0" w:color="auto"/>
      </w:divBdr>
    </w:div>
    <w:div w:id="659623121">
      <w:bodyDiv w:val="1"/>
      <w:marLeft w:val="0"/>
      <w:marRight w:val="0"/>
      <w:marTop w:val="0"/>
      <w:marBottom w:val="0"/>
      <w:divBdr>
        <w:top w:val="none" w:sz="0" w:space="0" w:color="auto"/>
        <w:left w:val="none" w:sz="0" w:space="0" w:color="auto"/>
        <w:bottom w:val="none" w:sz="0" w:space="0" w:color="auto"/>
        <w:right w:val="none" w:sz="0" w:space="0" w:color="auto"/>
      </w:divBdr>
    </w:div>
    <w:div w:id="659694435">
      <w:bodyDiv w:val="1"/>
      <w:marLeft w:val="0"/>
      <w:marRight w:val="0"/>
      <w:marTop w:val="0"/>
      <w:marBottom w:val="0"/>
      <w:divBdr>
        <w:top w:val="none" w:sz="0" w:space="0" w:color="auto"/>
        <w:left w:val="none" w:sz="0" w:space="0" w:color="auto"/>
        <w:bottom w:val="none" w:sz="0" w:space="0" w:color="auto"/>
        <w:right w:val="none" w:sz="0" w:space="0" w:color="auto"/>
      </w:divBdr>
    </w:div>
    <w:div w:id="659696436">
      <w:bodyDiv w:val="1"/>
      <w:marLeft w:val="0"/>
      <w:marRight w:val="0"/>
      <w:marTop w:val="0"/>
      <w:marBottom w:val="0"/>
      <w:divBdr>
        <w:top w:val="none" w:sz="0" w:space="0" w:color="auto"/>
        <w:left w:val="none" w:sz="0" w:space="0" w:color="auto"/>
        <w:bottom w:val="none" w:sz="0" w:space="0" w:color="auto"/>
        <w:right w:val="none" w:sz="0" w:space="0" w:color="auto"/>
      </w:divBdr>
    </w:div>
    <w:div w:id="659776328">
      <w:bodyDiv w:val="1"/>
      <w:marLeft w:val="0"/>
      <w:marRight w:val="0"/>
      <w:marTop w:val="0"/>
      <w:marBottom w:val="0"/>
      <w:divBdr>
        <w:top w:val="none" w:sz="0" w:space="0" w:color="auto"/>
        <w:left w:val="none" w:sz="0" w:space="0" w:color="auto"/>
        <w:bottom w:val="none" w:sz="0" w:space="0" w:color="auto"/>
        <w:right w:val="none" w:sz="0" w:space="0" w:color="auto"/>
      </w:divBdr>
    </w:div>
    <w:div w:id="660037315">
      <w:bodyDiv w:val="1"/>
      <w:marLeft w:val="0"/>
      <w:marRight w:val="0"/>
      <w:marTop w:val="0"/>
      <w:marBottom w:val="0"/>
      <w:divBdr>
        <w:top w:val="none" w:sz="0" w:space="0" w:color="auto"/>
        <w:left w:val="none" w:sz="0" w:space="0" w:color="auto"/>
        <w:bottom w:val="none" w:sz="0" w:space="0" w:color="auto"/>
        <w:right w:val="none" w:sz="0" w:space="0" w:color="auto"/>
      </w:divBdr>
    </w:div>
    <w:div w:id="660040944">
      <w:bodyDiv w:val="1"/>
      <w:marLeft w:val="0"/>
      <w:marRight w:val="0"/>
      <w:marTop w:val="0"/>
      <w:marBottom w:val="0"/>
      <w:divBdr>
        <w:top w:val="none" w:sz="0" w:space="0" w:color="auto"/>
        <w:left w:val="none" w:sz="0" w:space="0" w:color="auto"/>
        <w:bottom w:val="none" w:sz="0" w:space="0" w:color="auto"/>
        <w:right w:val="none" w:sz="0" w:space="0" w:color="auto"/>
      </w:divBdr>
    </w:div>
    <w:div w:id="660041942">
      <w:bodyDiv w:val="1"/>
      <w:marLeft w:val="0"/>
      <w:marRight w:val="0"/>
      <w:marTop w:val="0"/>
      <w:marBottom w:val="0"/>
      <w:divBdr>
        <w:top w:val="none" w:sz="0" w:space="0" w:color="auto"/>
        <w:left w:val="none" w:sz="0" w:space="0" w:color="auto"/>
        <w:bottom w:val="none" w:sz="0" w:space="0" w:color="auto"/>
        <w:right w:val="none" w:sz="0" w:space="0" w:color="auto"/>
      </w:divBdr>
    </w:div>
    <w:div w:id="660080484">
      <w:bodyDiv w:val="1"/>
      <w:marLeft w:val="0"/>
      <w:marRight w:val="0"/>
      <w:marTop w:val="0"/>
      <w:marBottom w:val="0"/>
      <w:divBdr>
        <w:top w:val="none" w:sz="0" w:space="0" w:color="auto"/>
        <w:left w:val="none" w:sz="0" w:space="0" w:color="auto"/>
        <w:bottom w:val="none" w:sz="0" w:space="0" w:color="auto"/>
        <w:right w:val="none" w:sz="0" w:space="0" w:color="auto"/>
      </w:divBdr>
    </w:div>
    <w:div w:id="660158276">
      <w:bodyDiv w:val="1"/>
      <w:marLeft w:val="0"/>
      <w:marRight w:val="0"/>
      <w:marTop w:val="0"/>
      <w:marBottom w:val="0"/>
      <w:divBdr>
        <w:top w:val="none" w:sz="0" w:space="0" w:color="auto"/>
        <w:left w:val="none" w:sz="0" w:space="0" w:color="auto"/>
        <w:bottom w:val="none" w:sz="0" w:space="0" w:color="auto"/>
        <w:right w:val="none" w:sz="0" w:space="0" w:color="auto"/>
      </w:divBdr>
    </w:div>
    <w:div w:id="660158348">
      <w:bodyDiv w:val="1"/>
      <w:marLeft w:val="0"/>
      <w:marRight w:val="0"/>
      <w:marTop w:val="0"/>
      <w:marBottom w:val="0"/>
      <w:divBdr>
        <w:top w:val="none" w:sz="0" w:space="0" w:color="auto"/>
        <w:left w:val="none" w:sz="0" w:space="0" w:color="auto"/>
        <w:bottom w:val="none" w:sz="0" w:space="0" w:color="auto"/>
        <w:right w:val="none" w:sz="0" w:space="0" w:color="auto"/>
      </w:divBdr>
    </w:div>
    <w:div w:id="660353863">
      <w:bodyDiv w:val="1"/>
      <w:marLeft w:val="0"/>
      <w:marRight w:val="0"/>
      <w:marTop w:val="0"/>
      <w:marBottom w:val="0"/>
      <w:divBdr>
        <w:top w:val="none" w:sz="0" w:space="0" w:color="auto"/>
        <w:left w:val="none" w:sz="0" w:space="0" w:color="auto"/>
        <w:bottom w:val="none" w:sz="0" w:space="0" w:color="auto"/>
        <w:right w:val="none" w:sz="0" w:space="0" w:color="auto"/>
      </w:divBdr>
    </w:div>
    <w:div w:id="660474210">
      <w:bodyDiv w:val="1"/>
      <w:marLeft w:val="0"/>
      <w:marRight w:val="0"/>
      <w:marTop w:val="0"/>
      <w:marBottom w:val="0"/>
      <w:divBdr>
        <w:top w:val="none" w:sz="0" w:space="0" w:color="auto"/>
        <w:left w:val="none" w:sz="0" w:space="0" w:color="auto"/>
        <w:bottom w:val="none" w:sz="0" w:space="0" w:color="auto"/>
        <w:right w:val="none" w:sz="0" w:space="0" w:color="auto"/>
      </w:divBdr>
    </w:div>
    <w:div w:id="660474586">
      <w:bodyDiv w:val="1"/>
      <w:marLeft w:val="0"/>
      <w:marRight w:val="0"/>
      <w:marTop w:val="0"/>
      <w:marBottom w:val="0"/>
      <w:divBdr>
        <w:top w:val="none" w:sz="0" w:space="0" w:color="auto"/>
        <w:left w:val="none" w:sz="0" w:space="0" w:color="auto"/>
        <w:bottom w:val="none" w:sz="0" w:space="0" w:color="auto"/>
        <w:right w:val="none" w:sz="0" w:space="0" w:color="auto"/>
      </w:divBdr>
    </w:div>
    <w:div w:id="660547393">
      <w:bodyDiv w:val="1"/>
      <w:marLeft w:val="0"/>
      <w:marRight w:val="0"/>
      <w:marTop w:val="0"/>
      <w:marBottom w:val="0"/>
      <w:divBdr>
        <w:top w:val="none" w:sz="0" w:space="0" w:color="auto"/>
        <w:left w:val="none" w:sz="0" w:space="0" w:color="auto"/>
        <w:bottom w:val="none" w:sz="0" w:space="0" w:color="auto"/>
        <w:right w:val="none" w:sz="0" w:space="0" w:color="auto"/>
      </w:divBdr>
    </w:div>
    <w:div w:id="660812205">
      <w:bodyDiv w:val="1"/>
      <w:marLeft w:val="0"/>
      <w:marRight w:val="0"/>
      <w:marTop w:val="0"/>
      <w:marBottom w:val="0"/>
      <w:divBdr>
        <w:top w:val="none" w:sz="0" w:space="0" w:color="auto"/>
        <w:left w:val="none" w:sz="0" w:space="0" w:color="auto"/>
        <w:bottom w:val="none" w:sz="0" w:space="0" w:color="auto"/>
        <w:right w:val="none" w:sz="0" w:space="0" w:color="auto"/>
      </w:divBdr>
    </w:div>
    <w:div w:id="660961026">
      <w:bodyDiv w:val="1"/>
      <w:marLeft w:val="0"/>
      <w:marRight w:val="0"/>
      <w:marTop w:val="0"/>
      <w:marBottom w:val="0"/>
      <w:divBdr>
        <w:top w:val="none" w:sz="0" w:space="0" w:color="auto"/>
        <w:left w:val="none" w:sz="0" w:space="0" w:color="auto"/>
        <w:bottom w:val="none" w:sz="0" w:space="0" w:color="auto"/>
        <w:right w:val="none" w:sz="0" w:space="0" w:color="auto"/>
      </w:divBdr>
    </w:div>
    <w:div w:id="661009610">
      <w:bodyDiv w:val="1"/>
      <w:marLeft w:val="0"/>
      <w:marRight w:val="0"/>
      <w:marTop w:val="0"/>
      <w:marBottom w:val="0"/>
      <w:divBdr>
        <w:top w:val="none" w:sz="0" w:space="0" w:color="auto"/>
        <w:left w:val="none" w:sz="0" w:space="0" w:color="auto"/>
        <w:bottom w:val="none" w:sz="0" w:space="0" w:color="auto"/>
        <w:right w:val="none" w:sz="0" w:space="0" w:color="auto"/>
      </w:divBdr>
    </w:div>
    <w:div w:id="661083024">
      <w:bodyDiv w:val="1"/>
      <w:marLeft w:val="0"/>
      <w:marRight w:val="0"/>
      <w:marTop w:val="0"/>
      <w:marBottom w:val="0"/>
      <w:divBdr>
        <w:top w:val="none" w:sz="0" w:space="0" w:color="auto"/>
        <w:left w:val="none" w:sz="0" w:space="0" w:color="auto"/>
        <w:bottom w:val="none" w:sz="0" w:space="0" w:color="auto"/>
        <w:right w:val="none" w:sz="0" w:space="0" w:color="auto"/>
      </w:divBdr>
    </w:div>
    <w:div w:id="661128473">
      <w:bodyDiv w:val="1"/>
      <w:marLeft w:val="0"/>
      <w:marRight w:val="0"/>
      <w:marTop w:val="0"/>
      <w:marBottom w:val="0"/>
      <w:divBdr>
        <w:top w:val="none" w:sz="0" w:space="0" w:color="auto"/>
        <w:left w:val="none" w:sz="0" w:space="0" w:color="auto"/>
        <w:bottom w:val="none" w:sz="0" w:space="0" w:color="auto"/>
        <w:right w:val="none" w:sz="0" w:space="0" w:color="auto"/>
      </w:divBdr>
    </w:div>
    <w:div w:id="661159226">
      <w:bodyDiv w:val="1"/>
      <w:marLeft w:val="0"/>
      <w:marRight w:val="0"/>
      <w:marTop w:val="0"/>
      <w:marBottom w:val="0"/>
      <w:divBdr>
        <w:top w:val="none" w:sz="0" w:space="0" w:color="auto"/>
        <w:left w:val="none" w:sz="0" w:space="0" w:color="auto"/>
        <w:bottom w:val="none" w:sz="0" w:space="0" w:color="auto"/>
        <w:right w:val="none" w:sz="0" w:space="0" w:color="auto"/>
      </w:divBdr>
    </w:div>
    <w:div w:id="661199207">
      <w:bodyDiv w:val="1"/>
      <w:marLeft w:val="0"/>
      <w:marRight w:val="0"/>
      <w:marTop w:val="0"/>
      <w:marBottom w:val="0"/>
      <w:divBdr>
        <w:top w:val="none" w:sz="0" w:space="0" w:color="auto"/>
        <w:left w:val="none" w:sz="0" w:space="0" w:color="auto"/>
        <w:bottom w:val="none" w:sz="0" w:space="0" w:color="auto"/>
        <w:right w:val="none" w:sz="0" w:space="0" w:color="auto"/>
      </w:divBdr>
    </w:div>
    <w:div w:id="661272708">
      <w:bodyDiv w:val="1"/>
      <w:marLeft w:val="0"/>
      <w:marRight w:val="0"/>
      <w:marTop w:val="0"/>
      <w:marBottom w:val="0"/>
      <w:divBdr>
        <w:top w:val="none" w:sz="0" w:space="0" w:color="auto"/>
        <w:left w:val="none" w:sz="0" w:space="0" w:color="auto"/>
        <w:bottom w:val="none" w:sz="0" w:space="0" w:color="auto"/>
        <w:right w:val="none" w:sz="0" w:space="0" w:color="auto"/>
      </w:divBdr>
    </w:div>
    <w:div w:id="661279609">
      <w:bodyDiv w:val="1"/>
      <w:marLeft w:val="0"/>
      <w:marRight w:val="0"/>
      <w:marTop w:val="0"/>
      <w:marBottom w:val="0"/>
      <w:divBdr>
        <w:top w:val="none" w:sz="0" w:space="0" w:color="auto"/>
        <w:left w:val="none" w:sz="0" w:space="0" w:color="auto"/>
        <w:bottom w:val="none" w:sz="0" w:space="0" w:color="auto"/>
        <w:right w:val="none" w:sz="0" w:space="0" w:color="auto"/>
      </w:divBdr>
    </w:div>
    <w:div w:id="661352567">
      <w:bodyDiv w:val="1"/>
      <w:marLeft w:val="0"/>
      <w:marRight w:val="0"/>
      <w:marTop w:val="0"/>
      <w:marBottom w:val="0"/>
      <w:divBdr>
        <w:top w:val="none" w:sz="0" w:space="0" w:color="auto"/>
        <w:left w:val="none" w:sz="0" w:space="0" w:color="auto"/>
        <w:bottom w:val="none" w:sz="0" w:space="0" w:color="auto"/>
        <w:right w:val="none" w:sz="0" w:space="0" w:color="auto"/>
      </w:divBdr>
    </w:div>
    <w:div w:id="661355497">
      <w:bodyDiv w:val="1"/>
      <w:marLeft w:val="0"/>
      <w:marRight w:val="0"/>
      <w:marTop w:val="0"/>
      <w:marBottom w:val="0"/>
      <w:divBdr>
        <w:top w:val="none" w:sz="0" w:space="0" w:color="auto"/>
        <w:left w:val="none" w:sz="0" w:space="0" w:color="auto"/>
        <w:bottom w:val="none" w:sz="0" w:space="0" w:color="auto"/>
        <w:right w:val="none" w:sz="0" w:space="0" w:color="auto"/>
      </w:divBdr>
    </w:div>
    <w:div w:id="661396110">
      <w:bodyDiv w:val="1"/>
      <w:marLeft w:val="0"/>
      <w:marRight w:val="0"/>
      <w:marTop w:val="0"/>
      <w:marBottom w:val="0"/>
      <w:divBdr>
        <w:top w:val="none" w:sz="0" w:space="0" w:color="auto"/>
        <w:left w:val="none" w:sz="0" w:space="0" w:color="auto"/>
        <w:bottom w:val="none" w:sz="0" w:space="0" w:color="auto"/>
        <w:right w:val="none" w:sz="0" w:space="0" w:color="auto"/>
      </w:divBdr>
    </w:div>
    <w:div w:id="661467978">
      <w:bodyDiv w:val="1"/>
      <w:marLeft w:val="0"/>
      <w:marRight w:val="0"/>
      <w:marTop w:val="0"/>
      <w:marBottom w:val="0"/>
      <w:divBdr>
        <w:top w:val="none" w:sz="0" w:space="0" w:color="auto"/>
        <w:left w:val="none" w:sz="0" w:space="0" w:color="auto"/>
        <w:bottom w:val="none" w:sz="0" w:space="0" w:color="auto"/>
        <w:right w:val="none" w:sz="0" w:space="0" w:color="auto"/>
      </w:divBdr>
    </w:div>
    <w:div w:id="661546544">
      <w:bodyDiv w:val="1"/>
      <w:marLeft w:val="0"/>
      <w:marRight w:val="0"/>
      <w:marTop w:val="0"/>
      <w:marBottom w:val="0"/>
      <w:divBdr>
        <w:top w:val="none" w:sz="0" w:space="0" w:color="auto"/>
        <w:left w:val="none" w:sz="0" w:space="0" w:color="auto"/>
        <w:bottom w:val="none" w:sz="0" w:space="0" w:color="auto"/>
        <w:right w:val="none" w:sz="0" w:space="0" w:color="auto"/>
      </w:divBdr>
    </w:div>
    <w:div w:id="661549388">
      <w:bodyDiv w:val="1"/>
      <w:marLeft w:val="0"/>
      <w:marRight w:val="0"/>
      <w:marTop w:val="0"/>
      <w:marBottom w:val="0"/>
      <w:divBdr>
        <w:top w:val="none" w:sz="0" w:space="0" w:color="auto"/>
        <w:left w:val="none" w:sz="0" w:space="0" w:color="auto"/>
        <w:bottom w:val="none" w:sz="0" w:space="0" w:color="auto"/>
        <w:right w:val="none" w:sz="0" w:space="0" w:color="auto"/>
      </w:divBdr>
    </w:div>
    <w:div w:id="661742050">
      <w:bodyDiv w:val="1"/>
      <w:marLeft w:val="0"/>
      <w:marRight w:val="0"/>
      <w:marTop w:val="0"/>
      <w:marBottom w:val="0"/>
      <w:divBdr>
        <w:top w:val="none" w:sz="0" w:space="0" w:color="auto"/>
        <w:left w:val="none" w:sz="0" w:space="0" w:color="auto"/>
        <w:bottom w:val="none" w:sz="0" w:space="0" w:color="auto"/>
        <w:right w:val="none" w:sz="0" w:space="0" w:color="auto"/>
      </w:divBdr>
    </w:div>
    <w:div w:id="661784154">
      <w:bodyDiv w:val="1"/>
      <w:marLeft w:val="0"/>
      <w:marRight w:val="0"/>
      <w:marTop w:val="0"/>
      <w:marBottom w:val="0"/>
      <w:divBdr>
        <w:top w:val="none" w:sz="0" w:space="0" w:color="auto"/>
        <w:left w:val="none" w:sz="0" w:space="0" w:color="auto"/>
        <w:bottom w:val="none" w:sz="0" w:space="0" w:color="auto"/>
        <w:right w:val="none" w:sz="0" w:space="0" w:color="auto"/>
      </w:divBdr>
    </w:div>
    <w:div w:id="661785042">
      <w:bodyDiv w:val="1"/>
      <w:marLeft w:val="0"/>
      <w:marRight w:val="0"/>
      <w:marTop w:val="0"/>
      <w:marBottom w:val="0"/>
      <w:divBdr>
        <w:top w:val="none" w:sz="0" w:space="0" w:color="auto"/>
        <w:left w:val="none" w:sz="0" w:space="0" w:color="auto"/>
        <w:bottom w:val="none" w:sz="0" w:space="0" w:color="auto"/>
        <w:right w:val="none" w:sz="0" w:space="0" w:color="auto"/>
      </w:divBdr>
    </w:div>
    <w:div w:id="661810761">
      <w:bodyDiv w:val="1"/>
      <w:marLeft w:val="0"/>
      <w:marRight w:val="0"/>
      <w:marTop w:val="0"/>
      <w:marBottom w:val="0"/>
      <w:divBdr>
        <w:top w:val="none" w:sz="0" w:space="0" w:color="auto"/>
        <w:left w:val="none" w:sz="0" w:space="0" w:color="auto"/>
        <w:bottom w:val="none" w:sz="0" w:space="0" w:color="auto"/>
        <w:right w:val="none" w:sz="0" w:space="0" w:color="auto"/>
      </w:divBdr>
    </w:div>
    <w:div w:id="661851918">
      <w:bodyDiv w:val="1"/>
      <w:marLeft w:val="0"/>
      <w:marRight w:val="0"/>
      <w:marTop w:val="0"/>
      <w:marBottom w:val="0"/>
      <w:divBdr>
        <w:top w:val="none" w:sz="0" w:space="0" w:color="auto"/>
        <w:left w:val="none" w:sz="0" w:space="0" w:color="auto"/>
        <w:bottom w:val="none" w:sz="0" w:space="0" w:color="auto"/>
        <w:right w:val="none" w:sz="0" w:space="0" w:color="auto"/>
      </w:divBdr>
    </w:div>
    <w:div w:id="661861315">
      <w:bodyDiv w:val="1"/>
      <w:marLeft w:val="0"/>
      <w:marRight w:val="0"/>
      <w:marTop w:val="0"/>
      <w:marBottom w:val="0"/>
      <w:divBdr>
        <w:top w:val="none" w:sz="0" w:space="0" w:color="auto"/>
        <w:left w:val="none" w:sz="0" w:space="0" w:color="auto"/>
        <w:bottom w:val="none" w:sz="0" w:space="0" w:color="auto"/>
        <w:right w:val="none" w:sz="0" w:space="0" w:color="auto"/>
      </w:divBdr>
    </w:div>
    <w:div w:id="662003819">
      <w:bodyDiv w:val="1"/>
      <w:marLeft w:val="0"/>
      <w:marRight w:val="0"/>
      <w:marTop w:val="0"/>
      <w:marBottom w:val="0"/>
      <w:divBdr>
        <w:top w:val="none" w:sz="0" w:space="0" w:color="auto"/>
        <w:left w:val="none" w:sz="0" w:space="0" w:color="auto"/>
        <w:bottom w:val="none" w:sz="0" w:space="0" w:color="auto"/>
        <w:right w:val="none" w:sz="0" w:space="0" w:color="auto"/>
      </w:divBdr>
    </w:div>
    <w:div w:id="662053628">
      <w:bodyDiv w:val="1"/>
      <w:marLeft w:val="0"/>
      <w:marRight w:val="0"/>
      <w:marTop w:val="0"/>
      <w:marBottom w:val="0"/>
      <w:divBdr>
        <w:top w:val="none" w:sz="0" w:space="0" w:color="auto"/>
        <w:left w:val="none" w:sz="0" w:space="0" w:color="auto"/>
        <w:bottom w:val="none" w:sz="0" w:space="0" w:color="auto"/>
        <w:right w:val="none" w:sz="0" w:space="0" w:color="auto"/>
      </w:divBdr>
    </w:div>
    <w:div w:id="662127675">
      <w:bodyDiv w:val="1"/>
      <w:marLeft w:val="0"/>
      <w:marRight w:val="0"/>
      <w:marTop w:val="0"/>
      <w:marBottom w:val="0"/>
      <w:divBdr>
        <w:top w:val="none" w:sz="0" w:space="0" w:color="auto"/>
        <w:left w:val="none" w:sz="0" w:space="0" w:color="auto"/>
        <w:bottom w:val="none" w:sz="0" w:space="0" w:color="auto"/>
        <w:right w:val="none" w:sz="0" w:space="0" w:color="auto"/>
      </w:divBdr>
    </w:div>
    <w:div w:id="662247883">
      <w:bodyDiv w:val="1"/>
      <w:marLeft w:val="0"/>
      <w:marRight w:val="0"/>
      <w:marTop w:val="0"/>
      <w:marBottom w:val="0"/>
      <w:divBdr>
        <w:top w:val="none" w:sz="0" w:space="0" w:color="auto"/>
        <w:left w:val="none" w:sz="0" w:space="0" w:color="auto"/>
        <w:bottom w:val="none" w:sz="0" w:space="0" w:color="auto"/>
        <w:right w:val="none" w:sz="0" w:space="0" w:color="auto"/>
      </w:divBdr>
    </w:div>
    <w:div w:id="662271539">
      <w:bodyDiv w:val="1"/>
      <w:marLeft w:val="0"/>
      <w:marRight w:val="0"/>
      <w:marTop w:val="0"/>
      <w:marBottom w:val="0"/>
      <w:divBdr>
        <w:top w:val="none" w:sz="0" w:space="0" w:color="auto"/>
        <w:left w:val="none" w:sz="0" w:space="0" w:color="auto"/>
        <w:bottom w:val="none" w:sz="0" w:space="0" w:color="auto"/>
        <w:right w:val="none" w:sz="0" w:space="0" w:color="auto"/>
      </w:divBdr>
    </w:div>
    <w:div w:id="662273496">
      <w:bodyDiv w:val="1"/>
      <w:marLeft w:val="0"/>
      <w:marRight w:val="0"/>
      <w:marTop w:val="0"/>
      <w:marBottom w:val="0"/>
      <w:divBdr>
        <w:top w:val="none" w:sz="0" w:space="0" w:color="auto"/>
        <w:left w:val="none" w:sz="0" w:space="0" w:color="auto"/>
        <w:bottom w:val="none" w:sz="0" w:space="0" w:color="auto"/>
        <w:right w:val="none" w:sz="0" w:space="0" w:color="auto"/>
      </w:divBdr>
    </w:div>
    <w:div w:id="662314246">
      <w:bodyDiv w:val="1"/>
      <w:marLeft w:val="0"/>
      <w:marRight w:val="0"/>
      <w:marTop w:val="0"/>
      <w:marBottom w:val="0"/>
      <w:divBdr>
        <w:top w:val="none" w:sz="0" w:space="0" w:color="auto"/>
        <w:left w:val="none" w:sz="0" w:space="0" w:color="auto"/>
        <w:bottom w:val="none" w:sz="0" w:space="0" w:color="auto"/>
        <w:right w:val="none" w:sz="0" w:space="0" w:color="auto"/>
      </w:divBdr>
    </w:div>
    <w:div w:id="662317614">
      <w:bodyDiv w:val="1"/>
      <w:marLeft w:val="0"/>
      <w:marRight w:val="0"/>
      <w:marTop w:val="0"/>
      <w:marBottom w:val="0"/>
      <w:divBdr>
        <w:top w:val="none" w:sz="0" w:space="0" w:color="auto"/>
        <w:left w:val="none" w:sz="0" w:space="0" w:color="auto"/>
        <w:bottom w:val="none" w:sz="0" w:space="0" w:color="auto"/>
        <w:right w:val="none" w:sz="0" w:space="0" w:color="auto"/>
      </w:divBdr>
    </w:div>
    <w:div w:id="662319598">
      <w:bodyDiv w:val="1"/>
      <w:marLeft w:val="0"/>
      <w:marRight w:val="0"/>
      <w:marTop w:val="0"/>
      <w:marBottom w:val="0"/>
      <w:divBdr>
        <w:top w:val="none" w:sz="0" w:space="0" w:color="auto"/>
        <w:left w:val="none" w:sz="0" w:space="0" w:color="auto"/>
        <w:bottom w:val="none" w:sz="0" w:space="0" w:color="auto"/>
        <w:right w:val="none" w:sz="0" w:space="0" w:color="auto"/>
      </w:divBdr>
    </w:div>
    <w:div w:id="662391222">
      <w:bodyDiv w:val="1"/>
      <w:marLeft w:val="0"/>
      <w:marRight w:val="0"/>
      <w:marTop w:val="0"/>
      <w:marBottom w:val="0"/>
      <w:divBdr>
        <w:top w:val="none" w:sz="0" w:space="0" w:color="auto"/>
        <w:left w:val="none" w:sz="0" w:space="0" w:color="auto"/>
        <w:bottom w:val="none" w:sz="0" w:space="0" w:color="auto"/>
        <w:right w:val="none" w:sz="0" w:space="0" w:color="auto"/>
      </w:divBdr>
    </w:div>
    <w:div w:id="662391903">
      <w:bodyDiv w:val="1"/>
      <w:marLeft w:val="0"/>
      <w:marRight w:val="0"/>
      <w:marTop w:val="0"/>
      <w:marBottom w:val="0"/>
      <w:divBdr>
        <w:top w:val="none" w:sz="0" w:space="0" w:color="auto"/>
        <w:left w:val="none" w:sz="0" w:space="0" w:color="auto"/>
        <w:bottom w:val="none" w:sz="0" w:space="0" w:color="auto"/>
        <w:right w:val="none" w:sz="0" w:space="0" w:color="auto"/>
      </w:divBdr>
    </w:div>
    <w:div w:id="662398532">
      <w:bodyDiv w:val="1"/>
      <w:marLeft w:val="0"/>
      <w:marRight w:val="0"/>
      <w:marTop w:val="0"/>
      <w:marBottom w:val="0"/>
      <w:divBdr>
        <w:top w:val="none" w:sz="0" w:space="0" w:color="auto"/>
        <w:left w:val="none" w:sz="0" w:space="0" w:color="auto"/>
        <w:bottom w:val="none" w:sz="0" w:space="0" w:color="auto"/>
        <w:right w:val="none" w:sz="0" w:space="0" w:color="auto"/>
      </w:divBdr>
    </w:div>
    <w:div w:id="662465737">
      <w:bodyDiv w:val="1"/>
      <w:marLeft w:val="0"/>
      <w:marRight w:val="0"/>
      <w:marTop w:val="0"/>
      <w:marBottom w:val="0"/>
      <w:divBdr>
        <w:top w:val="none" w:sz="0" w:space="0" w:color="auto"/>
        <w:left w:val="none" w:sz="0" w:space="0" w:color="auto"/>
        <w:bottom w:val="none" w:sz="0" w:space="0" w:color="auto"/>
        <w:right w:val="none" w:sz="0" w:space="0" w:color="auto"/>
      </w:divBdr>
    </w:div>
    <w:div w:id="662508391">
      <w:bodyDiv w:val="1"/>
      <w:marLeft w:val="0"/>
      <w:marRight w:val="0"/>
      <w:marTop w:val="0"/>
      <w:marBottom w:val="0"/>
      <w:divBdr>
        <w:top w:val="none" w:sz="0" w:space="0" w:color="auto"/>
        <w:left w:val="none" w:sz="0" w:space="0" w:color="auto"/>
        <w:bottom w:val="none" w:sz="0" w:space="0" w:color="auto"/>
        <w:right w:val="none" w:sz="0" w:space="0" w:color="auto"/>
      </w:divBdr>
    </w:div>
    <w:div w:id="662514354">
      <w:bodyDiv w:val="1"/>
      <w:marLeft w:val="0"/>
      <w:marRight w:val="0"/>
      <w:marTop w:val="0"/>
      <w:marBottom w:val="0"/>
      <w:divBdr>
        <w:top w:val="none" w:sz="0" w:space="0" w:color="auto"/>
        <w:left w:val="none" w:sz="0" w:space="0" w:color="auto"/>
        <w:bottom w:val="none" w:sz="0" w:space="0" w:color="auto"/>
        <w:right w:val="none" w:sz="0" w:space="0" w:color="auto"/>
      </w:divBdr>
    </w:div>
    <w:div w:id="662856041">
      <w:bodyDiv w:val="1"/>
      <w:marLeft w:val="0"/>
      <w:marRight w:val="0"/>
      <w:marTop w:val="0"/>
      <w:marBottom w:val="0"/>
      <w:divBdr>
        <w:top w:val="none" w:sz="0" w:space="0" w:color="auto"/>
        <w:left w:val="none" w:sz="0" w:space="0" w:color="auto"/>
        <w:bottom w:val="none" w:sz="0" w:space="0" w:color="auto"/>
        <w:right w:val="none" w:sz="0" w:space="0" w:color="auto"/>
      </w:divBdr>
    </w:div>
    <w:div w:id="663049061">
      <w:bodyDiv w:val="1"/>
      <w:marLeft w:val="0"/>
      <w:marRight w:val="0"/>
      <w:marTop w:val="0"/>
      <w:marBottom w:val="0"/>
      <w:divBdr>
        <w:top w:val="none" w:sz="0" w:space="0" w:color="auto"/>
        <w:left w:val="none" w:sz="0" w:space="0" w:color="auto"/>
        <w:bottom w:val="none" w:sz="0" w:space="0" w:color="auto"/>
        <w:right w:val="none" w:sz="0" w:space="0" w:color="auto"/>
      </w:divBdr>
    </w:div>
    <w:div w:id="663170364">
      <w:bodyDiv w:val="1"/>
      <w:marLeft w:val="0"/>
      <w:marRight w:val="0"/>
      <w:marTop w:val="0"/>
      <w:marBottom w:val="0"/>
      <w:divBdr>
        <w:top w:val="none" w:sz="0" w:space="0" w:color="auto"/>
        <w:left w:val="none" w:sz="0" w:space="0" w:color="auto"/>
        <w:bottom w:val="none" w:sz="0" w:space="0" w:color="auto"/>
        <w:right w:val="none" w:sz="0" w:space="0" w:color="auto"/>
      </w:divBdr>
    </w:div>
    <w:div w:id="663240898">
      <w:bodyDiv w:val="1"/>
      <w:marLeft w:val="0"/>
      <w:marRight w:val="0"/>
      <w:marTop w:val="0"/>
      <w:marBottom w:val="0"/>
      <w:divBdr>
        <w:top w:val="none" w:sz="0" w:space="0" w:color="auto"/>
        <w:left w:val="none" w:sz="0" w:space="0" w:color="auto"/>
        <w:bottom w:val="none" w:sz="0" w:space="0" w:color="auto"/>
        <w:right w:val="none" w:sz="0" w:space="0" w:color="auto"/>
      </w:divBdr>
    </w:div>
    <w:div w:id="663314857">
      <w:bodyDiv w:val="1"/>
      <w:marLeft w:val="0"/>
      <w:marRight w:val="0"/>
      <w:marTop w:val="0"/>
      <w:marBottom w:val="0"/>
      <w:divBdr>
        <w:top w:val="none" w:sz="0" w:space="0" w:color="auto"/>
        <w:left w:val="none" w:sz="0" w:space="0" w:color="auto"/>
        <w:bottom w:val="none" w:sz="0" w:space="0" w:color="auto"/>
        <w:right w:val="none" w:sz="0" w:space="0" w:color="auto"/>
      </w:divBdr>
    </w:div>
    <w:div w:id="663315020">
      <w:bodyDiv w:val="1"/>
      <w:marLeft w:val="0"/>
      <w:marRight w:val="0"/>
      <w:marTop w:val="0"/>
      <w:marBottom w:val="0"/>
      <w:divBdr>
        <w:top w:val="none" w:sz="0" w:space="0" w:color="auto"/>
        <w:left w:val="none" w:sz="0" w:space="0" w:color="auto"/>
        <w:bottom w:val="none" w:sz="0" w:space="0" w:color="auto"/>
        <w:right w:val="none" w:sz="0" w:space="0" w:color="auto"/>
      </w:divBdr>
    </w:div>
    <w:div w:id="663319957">
      <w:bodyDiv w:val="1"/>
      <w:marLeft w:val="0"/>
      <w:marRight w:val="0"/>
      <w:marTop w:val="0"/>
      <w:marBottom w:val="0"/>
      <w:divBdr>
        <w:top w:val="none" w:sz="0" w:space="0" w:color="auto"/>
        <w:left w:val="none" w:sz="0" w:space="0" w:color="auto"/>
        <w:bottom w:val="none" w:sz="0" w:space="0" w:color="auto"/>
        <w:right w:val="none" w:sz="0" w:space="0" w:color="auto"/>
      </w:divBdr>
    </w:div>
    <w:div w:id="663433995">
      <w:bodyDiv w:val="1"/>
      <w:marLeft w:val="0"/>
      <w:marRight w:val="0"/>
      <w:marTop w:val="0"/>
      <w:marBottom w:val="0"/>
      <w:divBdr>
        <w:top w:val="none" w:sz="0" w:space="0" w:color="auto"/>
        <w:left w:val="none" w:sz="0" w:space="0" w:color="auto"/>
        <w:bottom w:val="none" w:sz="0" w:space="0" w:color="auto"/>
        <w:right w:val="none" w:sz="0" w:space="0" w:color="auto"/>
      </w:divBdr>
    </w:div>
    <w:div w:id="663556957">
      <w:bodyDiv w:val="1"/>
      <w:marLeft w:val="0"/>
      <w:marRight w:val="0"/>
      <w:marTop w:val="0"/>
      <w:marBottom w:val="0"/>
      <w:divBdr>
        <w:top w:val="none" w:sz="0" w:space="0" w:color="auto"/>
        <w:left w:val="none" w:sz="0" w:space="0" w:color="auto"/>
        <w:bottom w:val="none" w:sz="0" w:space="0" w:color="auto"/>
        <w:right w:val="none" w:sz="0" w:space="0" w:color="auto"/>
      </w:divBdr>
    </w:div>
    <w:div w:id="663583472">
      <w:bodyDiv w:val="1"/>
      <w:marLeft w:val="0"/>
      <w:marRight w:val="0"/>
      <w:marTop w:val="0"/>
      <w:marBottom w:val="0"/>
      <w:divBdr>
        <w:top w:val="none" w:sz="0" w:space="0" w:color="auto"/>
        <w:left w:val="none" w:sz="0" w:space="0" w:color="auto"/>
        <w:bottom w:val="none" w:sz="0" w:space="0" w:color="auto"/>
        <w:right w:val="none" w:sz="0" w:space="0" w:color="auto"/>
      </w:divBdr>
    </w:div>
    <w:div w:id="663626497">
      <w:bodyDiv w:val="1"/>
      <w:marLeft w:val="0"/>
      <w:marRight w:val="0"/>
      <w:marTop w:val="0"/>
      <w:marBottom w:val="0"/>
      <w:divBdr>
        <w:top w:val="none" w:sz="0" w:space="0" w:color="auto"/>
        <w:left w:val="none" w:sz="0" w:space="0" w:color="auto"/>
        <w:bottom w:val="none" w:sz="0" w:space="0" w:color="auto"/>
        <w:right w:val="none" w:sz="0" w:space="0" w:color="auto"/>
      </w:divBdr>
    </w:div>
    <w:div w:id="663627852">
      <w:bodyDiv w:val="1"/>
      <w:marLeft w:val="0"/>
      <w:marRight w:val="0"/>
      <w:marTop w:val="0"/>
      <w:marBottom w:val="0"/>
      <w:divBdr>
        <w:top w:val="none" w:sz="0" w:space="0" w:color="auto"/>
        <w:left w:val="none" w:sz="0" w:space="0" w:color="auto"/>
        <w:bottom w:val="none" w:sz="0" w:space="0" w:color="auto"/>
        <w:right w:val="none" w:sz="0" w:space="0" w:color="auto"/>
      </w:divBdr>
    </w:div>
    <w:div w:id="663628399">
      <w:bodyDiv w:val="1"/>
      <w:marLeft w:val="0"/>
      <w:marRight w:val="0"/>
      <w:marTop w:val="0"/>
      <w:marBottom w:val="0"/>
      <w:divBdr>
        <w:top w:val="none" w:sz="0" w:space="0" w:color="auto"/>
        <w:left w:val="none" w:sz="0" w:space="0" w:color="auto"/>
        <w:bottom w:val="none" w:sz="0" w:space="0" w:color="auto"/>
        <w:right w:val="none" w:sz="0" w:space="0" w:color="auto"/>
      </w:divBdr>
    </w:div>
    <w:div w:id="663630463">
      <w:bodyDiv w:val="1"/>
      <w:marLeft w:val="0"/>
      <w:marRight w:val="0"/>
      <w:marTop w:val="0"/>
      <w:marBottom w:val="0"/>
      <w:divBdr>
        <w:top w:val="none" w:sz="0" w:space="0" w:color="auto"/>
        <w:left w:val="none" w:sz="0" w:space="0" w:color="auto"/>
        <w:bottom w:val="none" w:sz="0" w:space="0" w:color="auto"/>
        <w:right w:val="none" w:sz="0" w:space="0" w:color="auto"/>
      </w:divBdr>
    </w:div>
    <w:div w:id="663632835">
      <w:bodyDiv w:val="1"/>
      <w:marLeft w:val="0"/>
      <w:marRight w:val="0"/>
      <w:marTop w:val="0"/>
      <w:marBottom w:val="0"/>
      <w:divBdr>
        <w:top w:val="none" w:sz="0" w:space="0" w:color="auto"/>
        <w:left w:val="none" w:sz="0" w:space="0" w:color="auto"/>
        <w:bottom w:val="none" w:sz="0" w:space="0" w:color="auto"/>
        <w:right w:val="none" w:sz="0" w:space="0" w:color="auto"/>
      </w:divBdr>
    </w:div>
    <w:div w:id="663699719">
      <w:bodyDiv w:val="1"/>
      <w:marLeft w:val="0"/>
      <w:marRight w:val="0"/>
      <w:marTop w:val="0"/>
      <w:marBottom w:val="0"/>
      <w:divBdr>
        <w:top w:val="none" w:sz="0" w:space="0" w:color="auto"/>
        <w:left w:val="none" w:sz="0" w:space="0" w:color="auto"/>
        <w:bottom w:val="none" w:sz="0" w:space="0" w:color="auto"/>
        <w:right w:val="none" w:sz="0" w:space="0" w:color="auto"/>
      </w:divBdr>
    </w:div>
    <w:div w:id="663822381">
      <w:bodyDiv w:val="1"/>
      <w:marLeft w:val="0"/>
      <w:marRight w:val="0"/>
      <w:marTop w:val="0"/>
      <w:marBottom w:val="0"/>
      <w:divBdr>
        <w:top w:val="none" w:sz="0" w:space="0" w:color="auto"/>
        <w:left w:val="none" w:sz="0" w:space="0" w:color="auto"/>
        <w:bottom w:val="none" w:sz="0" w:space="0" w:color="auto"/>
        <w:right w:val="none" w:sz="0" w:space="0" w:color="auto"/>
      </w:divBdr>
    </w:div>
    <w:div w:id="664014324">
      <w:bodyDiv w:val="1"/>
      <w:marLeft w:val="0"/>
      <w:marRight w:val="0"/>
      <w:marTop w:val="0"/>
      <w:marBottom w:val="0"/>
      <w:divBdr>
        <w:top w:val="none" w:sz="0" w:space="0" w:color="auto"/>
        <w:left w:val="none" w:sz="0" w:space="0" w:color="auto"/>
        <w:bottom w:val="none" w:sz="0" w:space="0" w:color="auto"/>
        <w:right w:val="none" w:sz="0" w:space="0" w:color="auto"/>
      </w:divBdr>
    </w:div>
    <w:div w:id="664014339">
      <w:bodyDiv w:val="1"/>
      <w:marLeft w:val="0"/>
      <w:marRight w:val="0"/>
      <w:marTop w:val="0"/>
      <w:marBottom w:val="0"/>
      <w:divBdr>
        <w:top w:val="none" w:sz="0" w:space="0" w:color="auto"/>
        <w:left w:val="none" w:sz="0" w:space="0" w:color="auto"/>
        <w:bottom w:val="none" w:sz="0" w:space="0" w:color="auto"/>
        <w:right w:val="none" w:sz="0" w:space="0" w:color="auto"/>
      </w:divBdr>
    </w:div>
    <w:div w:id="664087070">
      <w:bodyDiv w:val="1"/>
      <w:marLeft w:val="0"/>
      <w:marRight w:val="0"/>
      <w:marTop w:val="0"/>
      <w:marBottom w:val="0"/>
      <w:divBdr>
        <w:top w:val="none" w:sz="0" w:space="0" w:color="auto"/>
        <w:left w:val="none" w:sz="0" w:space="0" w:color="auto"/>
        <w:bottom w:val="none" w:sz="0" w:space="0" w:color="auto"/>
        <w:right w:val="none" w:sz="0" w:space="0" w:color="auto"/>
      </w:divBdr>
    </w:div>
    <w:div w:id="664088603">
      <w:bodyDiv w:val="1"/>
      <w:marLeft w:val="0"/>
      <w:marRight w:val="0"/>
      <w:marTop w:val="0"/>
      <w:marBottom w:val="0"/>
      <w:divBdr>
        <w:top w:val="none" w:sz="0" w:space="0" w:color="auto"/>
        <w:left w:val="none" w:sz="0" w:space="0" w:color="auto"/>
        <w:bottom w:val="none" w:sz="0" w:space="0" w:color="auto"/>
        <w:right w:val="none" w:sz="0" w:space="0" w:color="auto"/>
      </w:divBdr>
    </w:div>
    <w:div w:id="664089909">
      <w:bodyDiv w:val="1"/>
      <w:marLeft w:val="0"/>
      <w:marRight w:val="0"/>
      <w:marTop w:val="0"/>
      <w:marBottom w:val="0"/>
      <w:divBdr>
        <w:top w:val="none" w:sz="0" w:space="0" w:color="auto"/>
        <w:left w:val="none" w:sz="0" w:space="0" w:color="auto"/>
        <w:bottom w:val="none" w:sz="0" w:space="0" w:color="auto"/>
        <w:right w:val="none" w:sz="0" w:space="0" w:color="auto"/>
      </w:divBdr>
    </w:div>
    <w:div w:id="664094873">
      <w:bodyDiv w:val="1"/>
      <w:marLeft w:val="0"/>
      <w:marRight w:val="0"/>
      <w:marTop w:val="0"/>
      <w:marBottom w:val="0"/>
      <w:divBdr>
        <w:top w:val="none" w:sz="0" w:space="0" w:color="auto"/>
        <w:left w:val="none" w:sz="0" w:space="0" w:color="auto"/>
        <w:bottom w:val="none" w:sz="0" w:space="0" w:color="auto"/>
        <w:right w:val="none" w:sz="0" w:space="0" w:color="auto"/>
      </w:divBdr>
    </w:div>
    <w:div w:id="664281051">
      <w:bodyDiv w:val="1"/>
      <w:marLeft w:val="0"/>
      <w:marRight w:val="0"/>
      <w:marTop w:val="0"/>
      <w:marBottom w:val="0"/>
      <w:divBdr>
        <w:top w:val="none" w:sz="0" w:space="0" w:color="auto"/>
        <w:left w:val="none" w:sz="0" w:space="0" w:color="auto"/>
        <w:bottom w:val="none" w:sz="0" w:space="0" w:color="auto"/>
        <w:right w:val="none" w:sz="0" w:space="0" w:color="auto"/>
      </w:divBdr>
    </w:div>
    <w:div w:id="664360405">
      <w:bodyDiv w:val="1"/>
      <w:marLeft w:val="0"/>
      <w:marRight w:val="0"/>
      <w:marTop w:val="0"/>
      <w:marBottom w:val="0"/>
      <w:divBdr>
        <w:top w:val="none" w:sz="0" w:space="0" w:color="auto"/>
        <w:left w:val="none" w:sz="0" w:space="0" w:color="auto"/>
        <w:bottom w:val="none" w:sz="0" w:space="0" w:color="auto"/>
        <w:right w:val="none" w:sz="0" w:space="0" w:color="auto"/>
      </w:divBdr>
    </w:div>
    <w:div w:id="664476963">
      <w:bodyDiv w:val="1"/>
      <w:marLeft w:val="0"/>
      <w:marRight w:val="0"/>
      <w:marTop w:val="0"/>
      <w:marBottom w:val="0"/>
      <w:divBdr>
        <w:top w:val="none" w:sz="0" w:space="0" w:color="auto"/>
        <w:left w:val="none" w:sz="0" w:space="0" w:color="auto"/>
        <w:bottom w:val="none" w:sz="0" w:space="0" w:color="auto"/>
        <w:right w:val="none" w:sz="0" w:space="0" w:color="auto"/>
      </w:divBdr>
    </w:div>
    <w:div w:id="664625495">
      <w:bodyDiv w:val="1"/>
      <w:marLeft w:val="0"/>
      <w:marRight w:val="0"/>
      <w:marTop w:val="0"/>
      <w:marBottom w:val="0"/>
      <w:divBdr>
        <w:top w:val="none" w:sz="0" w:space="0" w:color="auto"/>
        <w:left w:val="none" w:sz="0" w:space="0" w:color="auto"/>
        <w:bottom w:val="none" w:sz="0" w:space="0" w:color="auto"/>
        <w:right w:val="none" w:sz="0" w:space="0" w:color="auto"/>
      </w:divBdr>
    </w:div>
    <w:div w:id="664626301">
      <w:bodyDiv w:val="1"/>
      <w:marLeft w:val="0"/>
      <w:marRight w:val="0"/>
      <w:marTop w:val="0"/>
      <w:marBottom w:val="0"/>
      <w:divBdr>
        <w:top w:val="none" w:sz="0" w:space="0" w:color="auto"/>
        <w:left w:val="none" w:sz="0" w:space="0" w:color="auto"/>
        <w:bottom w:val="none" w:sz="0" w:space="0" w:color="auto"/>
        <w:right w:val="none" w:sz="0" w:space="0" w:color="auto"/>
      </w:divBdr>
    </w:div>
    <w:div w:id="664747269">
      <w:bodyDiv w:val="1"/>
      <w:marLeft w:val="0"/>
      <w:marRight w:val="0"/>
      <w:marTop w:val="0"/>
      <w:marBottom w:val="0"/>
      <w:divBdr>
        <w:top w:val="none" w:sz="0" w:space="0" w:color="auto"/>
        <w:left w:val="none" w:sz="0" w:space="0" w:color="auto"/>
        <w:bottom w:val="none" w:sz="0" w:space="0" w:color="auto"/>
        <w:right w:val="none" w:sz="0" w:space="0" w:color="auto"/>
      </w:divBdr>
    </w:div>
    <w:div w:id="664817699">
      <w:bodyDiv w:val="1"/>
      <w:marLeft w:val="0"/>
      <w:marRight w:val="0"/>
      <w:marTop w:val="0"/>
      <w:marBottom w:val="0"/>
      <w:divBdr>
        <w:top w:val="none" w:sz="0" w:space="0" w:color="auto"/>
        <w:left w:val="none" w:sz="0" w:space="0" w:color="auto"/>
        <w:bottom w:val="none" w:sz="0" w:space="0" w:color="auto"/>
        <w:right w:val="none" w:sz="0" w:space="0" w:color="auto"/>
      </w:divBdr>
    </w:div>
    <w:div w:id="664821408">
      <w:bodyDiv w:val="1"/>
      <w:marLeft w:val="0"/>
      <w:marRight w:val="0"/>
      <w:marTop w:val="0"/>
      <w:marBottom w:val="0"/>
      <w:divBdr>
        <w:top w:val="none" w:sz="0" w:space="0" w:color="auto"/>
        <w:left w:val="none" w:sz="0" w:space="0" w:color="auto"/>
        <w:bottom w:val="none" w:sz="0" w:space="0" w:color="auto"/>
        <w:right w:val="none" w:sz="0" w:space="0" w:color="auto"/>
      </w:divBdr>
    </w:div>
    <w:div w:id="664938655">
      <w:bodyDiv w:val="1"/>
      <w:marLeft w:val="0"/>
      <w:marRight w:val="0"/>
      <w:marTop w:val="0"/>
      <w:marBottom w:val="0"/>
      <w:divBdr>
        <w:top w:val="none" w:sz="0" w:space="0" w:color="auto"/>
        <w:left w:val="none" w:sz="0" w:space="0" w:color="auto"/>
        <w:bottom w:val="none" w:sz="0" w:space="0" w:color="auto"/>
        <w:right w:val="none" w:sz="0" w:space="0" w:color="auto"/>
      </w:divBdr>
    </w:div>
    <w:div w:id="664942324">
      <w:bodyDiv w:val="1"/>
      <w:marLeft w:val="0"/>
      <w:marRight w:val="0"/>
      <w:marTop w:val="0"/>
      <w:marBottom w:val="0"/>
      <w:divBdr>
        <w:top w:val="none" w:sz="0" w:space="0" w:color="auto"/>
        <w:left w:val="none" w:sz="0" w:space="0" w:color="auto"/>
        <w:bottom w:val="none" w:sz="0" w:space="0" w:color="auto"/>
        <w:right w:val="none" w:sz="0" w:space="0" w:color="auto"/>
      </w:divBdr>
    </w:div>
    <w:div w:id="665011860">
      <w:bodyDiv w:val="1"/>
      <w:marLeft w:val="0"/>
      <w:marRight w:val="0"/>
      <w:marTop w:val="0"/>
      <w:marBottom w:val="0"/>
      <w:divBdr>
        <w:top w:val="none" w:sz="0" w:space="0" w:color="auto"/>
        <w:left w:val="none" w:sz="0" w:space="0" w:color="auto"/>
        <w:bottom w:val="none" w:sz="0" w:space="0" w:color="auto"/>
        <w:right w:val="none" w:sz="0" w:space="0" w:color="auto"/>
      </w:divBdr>
    </w:div>
    <w:div w:id="665129264">
      <w:bodyDiv w:val="1"/>
      <w:marLeft w:val="0"/>
      <w:marRight w:val="0"/>
      <w:marTop w:val="0"/>
      <w:marBottom w:val="0"/>
      <w:divBdr>
        <w:top w:val="none" w:sz="0" w:space="0" w:color="auto"/>
        <w:left w:val="none" w:sz="0" w:space="0" w:color="auto"/>
        <w:bottom w:val="none" w:sz="0" w:space="0" w:color="auto"/>
        <w:right w:val="none" w:sz="0" w:space="0" w:color="auto"/>
      </w:divBdr>
    </w:div>
    <w:div w:id="665129866">
      <w:bodyDiv w:val="1"/>
      <w:marLeft w:val="0"/>
      <w:marRight w:val="0"/>
      <w:marTop w:val="0"/>
      <w:marBottom w:val="0"/>
      <w:divBdr>
        <w:top w:val="none" w:sz="0" w:space="0" w:color="auto"/>
        <w:left w:val="none" w:sz="0" w:space="0" w:color="auto"/>
        <w:bottom w:val="none" w:sz="0" w:space="0" w:color="auto"/>
        <w:right w:val="none" w:sz="0" w:space="0" w:color="auto"/>
      </w:divBdr>
    </w:div>
    <w:div w:id="665282617">
      <w:bodyDiv w:val="1"/>
      <w:marLeft w:val="0"/>
      <w:marRight w:val="0"/>
      <w:marTop w:val="0"/>
      <w:marBottom w:val="0"/>
      <w:divBdr>
        <w:top w:val="none" w:sz="0" w:space="0" w:color="auto"/>
        <w:left w:val="none" w:sz="0" w:space="0" w:color="auto"/>
        <w:bottom w:val="none" w:sz="0" w:space="0" w:color="auto"/>
        <w:right w:val="none" w:sz="0" w:space="0" w:color="auto"/>
      </w:divBdr>
    </w:div>
    <w:div w:id="665323095">
      <w:bodyDiv w:val="1"/>
      <w:marLeft w:val="0"/>
      <w:marRight w:val="0"/>
      <w:marTop w:val="0"/>
      <w:marBottom w:val="0"/>
      <w:divBdr>
        <w:top w:val="none" w:sz="0" w:space="0" w:color="auto"/>
        <w:left w:val="none" w:sz="0" w:space="0" w:color="auto"/>
        <w:bottom w:val="none" w:sz="0" w:space="0" w:color="auto"/>
        <w:right w:val="none" w:sz="0" w:space="0" w:color="auto"/>
      </w:divBdr>
    </w:div>
    <w:div w:id="665325999">
      <w:bodyDiv w:val="1"/>
      <w:marLeft w:val="0"/>
      <w:marRight w:val="0"/>
      <w:marTop w:val="0"/>
      <w:marBottom w:val="0"/>
      <w:divBdr>
        <w:top w:val="none" w:sz="0" w:space="0" w:color="auto"/>
        <w:left w:val="none" w:sz="0" w:space="0" w:color="auto"/>
        <w:bottom w:val="none" w:sz="0" w:space="0" w:color="auto"/>
        <w:right w:val="none" w:sz="0" w:space="0" w:color="auto"/>
      </w:divBdr>
    </w:div>
    <w:div w:id="665330419">
      <w:bodyDiv w:val="1"/>
      <w:marLeft w:val="0"/>
      <w:marRight w:val="0"/>
      <w:marTop w:val="0"/>
      <w:marBottom w:val="0"/>
      <w:divBdr>
        <w:top w:val="none" w:sz="0" w:space="0" w:color="auto"/>
        <w:left w:val="none" w:sz="0" w:space="0" w:color="auto"/>
        <w:bottom w:val="none" w:sz="0" w:space="0" w:color="auto"/>
        <w:right w:val="none" w:sz="0" w:space="0" w:color="auto"/>
      </w:divBdr>
    </w:div>
    <w:div w:id="665397437">
      <w:bodyDiv w:val="1"/>
      <w:marLeft w:val="0"/>
      <w:marRight w:val="0"/>
      <w:marTop w:val="0"/>
      <w:marBottom w:val="0"/>
      <w:divBdr>
        <w:top w:val="none" w:sz="0" w:space="0" w:color="auto"/>
        <w:left w:val="none" w:sz="0" w:space="0" w:color="auto"/>
        <w:bottom w:val="none" w:sz="0" w:space="0" w:color="auto"/>
        <w:right w:val="none" w:sz="0" w:space="0" w:color="auto"/>
      </w:divBdr>
    </w:div>
    <w:div w:id="665547469">
      <w:bodyDiv w:val="1"/>
      <w:marLeft w:val="0"/>
      <w:marRight w:val="0"/>
      <w:marTop w:val="0"/>
      <w:marBottom w:val="0"/>
      <w:divBdr>
        <w:top w:val="none" w:sz="0" w:space="0" w:color="auto"/>
        <w:left w:val="none" w:sz="0" w:space="0" w:color="auto"/>
        <w:bottom w:val="none" w:sz="0" w:space="0" w:color="auto"/>
        <w:right w:val="none" w:sz="0" w:space="0" w:color="auto"/>
      </w:divBdr>
    </w:div>
    <w:div w:id="665549222">
      <w:bodyDiv w:val="1"/>
      <w:marLeft w:val="0"/>
      <w:marRight w:val="0"/>
      <w:marTop w:val="0"/>
      <w:marBottom w:val="0"/>
      <w:divBdr>
        <w:top w:val="none" w:sz="0" w:space="0" w:color="auto"/>
        <w:left w:val="none" w:sz="0" w:space="0" w:color="auto"/>
        <w:bottom w:val="none" w:sz="0" w:space="0" w:color="auto"/>
        <w:right w:val="none" w:sz="0" w:space="0" w:color="auto"/>
      </w:divBdr>
    </w:div>
    <w:div w:id="665599481">
      <w:bodyDiv w:val="1"/>
      <w:marLeft w:val="0"/>
      <w:marRight w:val="0"/>
      <w:marTop w:val="0"/>
      <w:marBottom w:val="0"/>
      <w:divBdr>
        <w:top w:val="none" w:sz="0" w:space="0" w:color="auto"/>
        <w:left w:val="none" w:sz="0" w:space="0" w:color="auto"/>
        <w:bottom w:val="none" w:sz="0" w:space="0" w:color="auto"/>
        <w:right w:val="none" w:sz="0" w:space="0" w:color="auto"/>
      </w:divBdr>
    </w:div>
    <w:div w:id="665786431">
      <w:bodyDiv w:val="1"/>
      <w:marLeft w:val="0"/>
      <w:marRight w:val="0"/>
      <w:marTop w:val="0"/>
      <w:marBottom w:val="0"/>
      <w:divBdr>
        <w:top w:val="none" w:sz="0" w:space="0" w:color="auto"/>
        <w:left w:val="none" w:sz="0" w:space="0" w:color="auto"/>
        <w:bottom w:val="none" w:sz="0" w:space="0" w:color="auto"/>
        <w:right w:val="none" w:sz="0" w:space="0" w:color="auto"/>
      </w:divBdr>
    </w:div>
    <w:div w:id="665791921">
      <w:bodyDiv w:val="1"/>
      <w:marLeft w:val="0"/>
      <w:marRight w:val="0"/>
      <w:marTop w:val="0"/>
      <w:marBottom w:val="0"/>
      <w:divBdr>
        <w:top w:val="none" w:sz="0" w:space="0" w:color="auto"/>
        <w:left w:val="none" w:sz="0" w:space="0" w:color="auto"/>
        <w:bottom w:val="none" w:sz="0" w:space="0" w:color="auto"/>
        <w:right w:val="none" w:sz="0" w:space="0" w:color="auto"/>
      </w:divBdr>
    </w:div>
    <w:div w:id="665934597">
      <w:bodyDiv w:val="1"/>
      <w:marLeft w:val="0"/>
      <w:marRight w:val="0"/>
      <w:marTop w:val="0"/>
      <w:marBottom w:val="0"/>
      <w:divBdr>
        <w:top w:val="none" w:sz="0" w:space="0" w:color="auto"/>
        <w:left w:val="none" w:sz="0" w:space="0" w:color="auto"/>
        <w:bottom w:val="none" w:sz="0" w:space="0" w:color="auto"/>
        <w:right w:val="none" w:sz="0" w:space="0" w:color="auto"/>
      </w:divBdr>
    </w:div>
    <w:div w:id="665981182">
      <w:bodyDiv w:val="1"/>
      <w:marLeft w:val="0"/>
      <w:marRight w:val="0"/>
      <w:marTop w:val="0"/>
      <w:marBottom w:val="0"/>
      <w:divBdr>
        <w:top w:val="none" w:sz="0" w:space="0" w:color="auto"/>
        <w:left w:val="none" w:sz="0" w:space="0" w:color="auto"/>
        <w:bottom w:val="none" w:sz="0" w:space="0" w:color="auto"/>
        <w:right w:val="none" w:sz="0" w:space="0" w:color="auto"/>
      </w:divBdr>
    </w:div>
    <w:div w:id="666060033">
      <w:bodyDiv w:val="1"/>
      <w:marLeft w:val="0"/>
      <w:marRight w:val="0"/>
      <w:marTop w:val="0"/>
      <w:marBottom w:val="0"/>
      <w:divBdr>
        <w:top w:val="none" w:sz="0" w:space="0" w:color="auto"/>
        <w:left w:val="none" w:sz="0" w:space="0" w:color="auto"/>
        <w:bottom w:val="none" w:sz="0" w:space="0" w:color="auto"/>
        <w:right w:val="none" w:sz="0" w:space="0" w:color="auto"/>
      </w:divBdr>
    </w:div>
    <w:div w:id="666329652">
      <w:bodyDiv w:val="1"/>
      <w:marLeft w:val="0"/>
      <w:marRight w:val="0"/>
      <w:marTop w:val="0"/>
      <w:marBottom w:val="0"/>
      <w:divBdr>
        <w:top w:val="none" w:sz="0" w:space="0" w:color="auto"/>
        <w:left w:val="none" w:sz="0" w:space="0" w:color="auto"/>
        <w:bottom w:val="none" w:sz="0" w:space="0" w:color="auto"/>
        <w:right w:val="none" w:sz="0" w:space="0" w:color="auto"/>
      </w:divBdr>
    </w:div>
    <w:div w:id="666447742">
      <w:bodyDiv w:val="1"/>
      <w:marLeft w:val="0"/>
      <w:marRight w:val="0"/>
      <w:marTop w:val="0"/>
      <w:marBottom w:val="0"/>
      <w:divBdr>
        <w:top w:val="none" w:sz="0" w:space="0" w:color="auto"/>
        <w:left w:val="none" w:sz="0" w:space="0" w:color="auto"/>
        <w:bottom w:val="none" w:sz="0" w:space="0" w:color="auto"/>
        <w:right w:val="none" w:sz="0" w:space="0" w:color="auto"/>
      </w:divBdr>
    </w:div>
    <w:div w:id="666520012">
      <w:bodyDiv w:val="1"/>
      <w:marLeft w:val="0"/>
      <w:marRight w:val="0"/>
      <w:marTop w:val="0"/>
      <w:marBottom w:val="0"/>
      <w:divBdr>
        <w:top w:val="none" w:sz="0" w:space="0" w:color="auto"/>
        <w:left w:val="none" w:sz="0" w:space="0" w:color="auto"/>
        <w:bottom w:val="none" w:sz="0" w:space="0" w:color="auto"/>
        <w:right w:val="none" w:sz="0" w:space="0" w:color="auto"/>
      </w:divBdr>
    </w:div>
    <w:div w:id="666791438">
      <w:bodyDiv w:val="1"/>
      <w:marLeft w:val="0"/>
      <w:marRight w:val="0"/>
      <w:marTop w:val="0"/>
      <w:marBottom w:val="0"/>
      <w:divBdr>
        <w:top w:val="none" w:sz="0" w:space="0" w:color="auto"/>
        <w:left w:val="none" w:sz="0" w:space="0" w:color="auto"/>
        <w:bottom w:val="none" w:sz="0" w:space="0" w:color="auto"/>
        <w:right w:val="none" w:sz="0" w:space="0" w:color="auto"/>
      </w:divBdr>
    </w:div>
    <w:div w:id="666977266">
      <w:bodyDiv w:val="1"/>
      <w:marLeft w:val="0"/>
      <w:marRight w:val="0"/>
      <w:marTop w:val="0"/>
      <w:marBottom w:val="0"/>
      <w:divBdr>
        <w:top w:val="none" w:sz="0" w:space="0" w:color="auto"/>
        <w:left w:val="none" w:sz="0" w:space="0" w:color="auto"/>
        <w:bottom w:val="none" w:sz="0" w:space="0" w:color="auto"/>
        <w:right w:val="none" w:sz="0" w:space="0" w:color="auto"/>
      </w:divBdr>
    </w:div>
    <w:div w:id="666980109">
      <w:bodyDiv w:val="1"/>
      <w:marLeft w:val="0"/>
      <w:marRight w:val="0"/>
      <w:marTop w:val="0"/>
      <w:marBottom w:val="0"/>
      <w:divBdr>
        <w:top w:val="none" w:sz="0" w:space="0" w:color="auto"/>
        <w:left w:val="none" w:sz="0" w:space="0" w:color="auto"/>
        <w:bottom w:val="none" w:sz="0" w:space="0" w:color="auto"/>
        <w:right w:val="none" w:sz="0" w:space="0" w:color="auto"/>
      </w:divBdr>
    </w:div>
    <w:div w:id="667057755">
      <w:bodyDiv w:val="1"/>
      <w:marLeft w:val="0"/>
      <w:marRight w:val="0"/>
      <w:marTop w:val="0"/>
      <w:marBottom w:val="0"/>
      <w:divBdr>
        <w:top w:val="none" w:sz="0" w:space="0" w:color="auto"/>
        <w:left w:val="none" w:sz="0" w:space="0" w:color="auto"/>
        <w:bottom w:val="none" w:sz="0" w:space="0" w:color="auto"/>
        <w:right w:val="none" w:sz="0" w:space="0" w:color="auto"/>
      </w:divBdr>
    </w:div>
    <w:div w:id="667095293">
      <w:bodyDiv w:val="1"/>
      <w:marLeft w:val="0"/>
      <w:marRight w:val="0"/>
      <w:marTop w:val="0"/>
      <w:marBottom w:val="0"/>
      <w:divBdr>
        <w:top w:val="none" w:sz="0" w:space="0" w:color="auto"/>
        <w:left w:val="none" w:sz="0" w:space="0" w:color="auto"/>
        <w:bottom w:val="none" w:sz="0" w:space="0" w:color="auto"/>
        <w:right w:val="none" w:sz="0" w:space="0" w:color="auto"/>
      </w:divBdr>
    </w:div>
    <w:div w:id="667173775">
      <w:bodyDiv w:val="1"/>
      <w:marLeft w:val="0"/>
      <w:marRight w:val="0"/>
      <w:marTop w:val="0"/>
      <w:marBottom w:val="0"/>
      <w:divBdr>
        <w:top w:val="none" w:sz="0" w:space="0" w:color="auto"/>
        <w:left w:val="none" w:sz="0" w:space="0" w:color="auto"/>
        <w:bottom w:val="none" w:sz="0" w:space="0" w:color="auto"/>
        <w:right w:val="none" w:sz="0" w:space="0" w:color="auto"/>
      </w:divBdr>
    </w:div>
    <w:div w:id="667175916">
      <w:bodyDiv w:val="1"/>
      <w:marLeft w:val="0"/>
      <w:marRight w:val="0"/>
      <w:marTop w:val="0"/>
      <w:marBottom w:val="0"/>
      <w:divBdr>
        <w:top w:val="none" w:sz="0" w:space="0" w:color="auto"/>
        <w:left w:val="none" w:sz="0" w:space="0" w:color="auto"/>
        <w:bottom w:val="none" w:sz="0" w:space="0" w:color="auto"/>
        <w:right w:val="none" w:sz="0" w:space="0" w:color="auto"/>
      </w:divBdr>
    </w:div>
    <w:div w:id="667289405">
      <w:bodyDiv w:val="1"/>
      <w:marLeft w:val="0"/>
      <w:marRight w:val="0"/>
      <w:marTop w:val="0"/>
      <w:marBottom w:val="0"/>
      <w:divBdr>
        <w:top w:val="none" w:sz="0" w:space="0" w:color="auto"/>
        <w:left w:val="none" w:sz="0" w:space="0" w:color="auto"/>
        <w:bottom w:val="none" w:sz="0" w:space="0" w:color="auto"/>
        <w:right w:val="none" w:sz="0" w:space="0" w:color="auto"/>
      </w:divBdr>
    </w:div>
    <w:div w:id="667291945">
      <w:bodyDiv w:val="1"/>
      <w:marLeft w:val="0"/>
      <w:marRight w:val="0"/>
      <w:marTop w:val="0"/>
      <w:marBottom w:val="0"/>
      <w:divBdr>
        <w:top w:val="none" w:sz="0" w:space="0" w:color="auto"/>
        <w:left w:val="none" w:sz="0" w:space="0" w:color="auto"/>
        <w:bottom w:val="none" w:sz="0" w:space="0" w:color="auto"/>
        <w:right w:val="none" w:sz="0" w:space="0" w:color="auto"/>
      </w:divBdr>
    </w:div>
    <w:div w:id="667366389">
      <w:bodyDiv w:val="1"/>
      <w:marLeft w:val="0"/>
      <w:marRight w:val="0"/>
      <w:marTop w:val="0"/>
      <w:marBottom w:val="0"/>
      <w:divBdr>
        <w:top w:val="none" w:sz="0" w:space="0" w:color="auto"/>
        <w:left w:val="none" w:sz="0" w:space="0" w:color="auto"/>
        <w:bottom w:val="none" w:sz="0" w:space="0" w:color="auto"/>
        <w:right w:val="none" w:sz="0" w:space="0" w:color="auto"/>
      </w:divBdr>
    </w:div>
    <w:div w:id="667366917">
      <w:bodyDiv w:val="1"/>
      <w:marLeft w:val="0"/>
      <w:marRight w:val="0"/>
      <w:marTop w:val="0"/>
      <w:marBottom w:val="0"/>
      <w:divBdr>
        <w:top w:val="none" w:sz="0" w:space="0" w:color="auto"/>
        <w:left w:val="none" w:sz="0" w:space="0" w:color="auto"/>
        <w:bottom w:val="none" w:sz="0" w:space="0" w:color="auto"/>
        <w:right w:val="none" w:sz="0" w:space="0" w:color="auto"/>
      </w:divBdr>
    </w:div>
    <w:div w:id="667371107">
      <w:bodyDiv w:val="1"/>
      <w:marLeft w:val="0"/>
      <w:marRight w:val="0"/>
      <w:marTop w:val="0"/>
      <w:marBottom w:val="0"/>
      <w:divBdr>
        <w:top w:val="none" w:sz="0" w:space="0" w:color="auto"/>
        <w:left w:val="none" w:sz="0" w:space="0" w:color="auto"/>
        <w:bottom w:val="none" w:sz="0" w:space="0" w:color="auto"/>
        <w:right w:val="none" w:sz="0" w:space="0" w:color="auto"/>
      </w:divBdr>
    </w:div>
    <w:div w:id="667441192">
      <w:bodyDiv w:val="1"/>
      <w:marLeft w:val="0"/>
      <w:marRight w:val="0"/>
      <w:marTop w:val="0"/>
      <w:marBottom w:val="0"/>
      <w:divBdr>
        <w:top w:val="none" w:sz="0" w:space="0" w:color="auto"/>
        <w:left w:val="none" w:sz="0" w:space="0" w:color="auto"/>
        <w:bottom w:val="none" w:sz="0" w:space="0" w:color="auto"/>
        <w:right w:val="none" w:sz="0" w:space="0" w:color="auto"/>
      </w:divBdr>
    </w:div>
    <w:div w:id="667484584">
      <w:bodyDiv w:val="1"/>
      <w:marLeft w:val="0"/>
      <w:marRight w:val="0"/>
      <w:marTop w:val="0"/>
      <w:marBottom w:val="0"/>
      <w:divBdr>
        <w:top w:val="none" w:sz="0" w:space="0" w:color="auto"/>
        <w:left w:val="none" w:sz="0" w:space="0" w:color="auto"/>
        <w:bottom w:val="none" w:sz="0" w:space="0" w:color="auto"/>
        <w:right w:val="none" w:sz="0" w:space="0" w:color="auto"/>
      </w:divBdr>
    </w:div>
    <w:div w:id="667907328">
      <w:bodyDiv w:val="1"/>
      <w:marLeft w:val="0"/>
      <w:marRight w:val="0"/>
      <w:marTop w:val="0"/>
      <w:marBottom w:val="0"/>
      <w:divBdr>
        <w:top w:val="none" w:sz="0" w:space="0" w:color="auto"/>
        <w:left w:val="none" w:sz="0" w:space="0" w:color="auto"/>
        <w:bottom w:val="none" w:sz="0" w:space="0" w:color="auto"/>
        <w:right w:val="none" w:sz="0" w:space="0" w:color="auto"/>
      </w:divBdr>
    </w:div>
    <w:div w:id="667946412">
      <w:bodyDiv w:val="1"/>
      <w:marLeft w:val="0"/>
      <w:marRight w:val="0"/>
      <w:marTop w:val="0"/>
      <w:marBottom w:val="0"/>
      <w:divBdr>
        <w:top w:val="none" w:sz="0" w:space="0" w:color="auto"/>
        <w:left w:val="none" w:sz="0" w:space="0" w:color="auto"/>
        <w:bottom w:val="none" w:sz="0" w:space="0" w:color="auto"/>
        <w:right w:val="none" w:sz="0" w:space="0" w:color="auto"/>
      </w:divBdr>
    </w:div>
    <w:div w:id="668017947">
      <w:bodyDiv w:val="1"/>
      <w:marLeft w:val="0"/>
      <w:marRight w:val="0"/>
      <w:marTop w:val="0"/>
      <w:marBottom w:val="0"/>
      <w:divBdr>
        <w:top w:val="none" w:sz="0" w:space="0" w:color="auto"/>
        <w:left w:val="none" w:sz="0" w:space="0" w:color="auto"/>
        <w:bottom w:val="none" w:sz="0" w:space="0" w:color="auto"/>
        <w:right w:val="none" w:sz="0" w:space="0" w:color="auto"/>
      </w:divBdr>
    </w:div>
    <w:div w:id="668171931">
      <w:bodyDiv w:val="1"/>
      <w:marLeft w:val="0"/>
      <w:marRight w:val="0"/>
      <w:marTop w:val="0"/>
      <w:marBottom w:val="0"/>
      <w:divBdr>
        <w:top w:val="none" w:sz="0" w:space="0" w:color="auto"/>
        <w:left w:val="none" w:sz="0" w:space="0" w:color="auto"/>
        <w:bottom w:val="none" w:sz="0" w:space="0" w:color="auto"/>
        <w:right w:val="none" w:sz="0" w:space="0" w:color="auto"/>
      </w:divBdr>
    </w:div>
    <w:div w:id="668216158">
      <w:bodyDiv w:val="1"/>
      <w:marLeft w:val="0"/>
      <w:marRight w:val="0"/>
      <w:marTop w:val="0"/>
      <w:marBottom w:val="0"/>
      <w:divBdr>
        <w:top w:val="none" w:sz="0" w:space="0" w:color="auto"/>
        <w:left w:val="none" w:sz="0" w:space="0" w:color="auto"/>
        <w:bottom w:val="none" w:sz="0" w:space="0" w:color="auto"/>
        <w:right w:val="none" w:sz="0" w:space="0" w:color="auto"/>
      </w:divBdr>
    </w:div>
    <w:div w:id="668293997">
      <w:bodyDiv w:val="1"/>
      <w:marLeft w:val="0"/>
      <w:marRight w:val="0"/>
      <w:marTop w:val="0"/>
      <w:marBottom w:val="0"/>
      <w:divBdr>
        <w:top w:val="none" w:sz="0" w:space="0" w:color="auto"/>
        <w:left w:val="none" w:sz="0" w:space="0" w:color="auto"/>
        <w:bottom w:val="none" w:sz="0" w:space="0" w:color="auto"/>
        <w:right w:val="none" w:sz="0" w:space="0" w:color="auto"/>
      </w:divBdr>
    </w:div>
    <w:div w:id="668407517">
      <w:bodyDiv w:val="1"/>
      <w:marLeft w:val="0"/>
      <w:marRight w:val="0"/>
      <w:marTop w:val="0"/>
      <w:marBottom w:val="0"/>
      <w:divBdr>
        <w:top w:val="none" w:sz="0" w:space="0" w:color="auto"/>
        <w:left w:val="none" w:sz="0" w:space="0" w:color="auto"/>
        <w:bottom w:val="none" w:sz="0" w:space="0" w:color="auto"/>
        <w:right w:val="none" w:sz="0" w:space="0" w:color="auto"/>
      </w:divBdr>
    </w:div>
    <w:div w:id="668605671">
      <w:bodyDiv w:val="1"/>
      <w:marLeft w:val="0"/>
      <w:marRight w:val="0"/>
      <w:marTop w:val="0"/>
      <w:marBottom w:val="0"/>
      <w:divBdr>
        <w:top w:val="none" w:sz="0" w:space="0" w:color="auto"/>
        <w:left w:val="none" w:sz="0" w:space="0" w:color="auto"/>
        <w:bottom w:val="none" w:sz="0" w:space="0" w:color="auto"/>
        <w:right w:val="none" w:sz="0" w:space="0" w:color="auto"/>
      </w:divBdr>
    </w:div>
    <w:div w:id="668606995">
      <w:bodyDiv w:val="1"/>
      <w:marLeft w:val="0"/>
      <w:marRight w:val="0"/>
      <w:marTop w:val="0"/>
      <w:marBottom w:val="0"/>
      <w:divBdr>
        <w:top w:val="none" w:sz="0" w:space="0" w:color="auto"/>
        <w:left w:val="none" w:sz="0" w:space="0" w:color="auto"/>
        <w:bottom w:val="none" w:sz="0" w:space="0" w:color="auto"/>
        <w:right w:val="none" w:sz="0" w:space="0" w:color="auto"/>
      </w:divBdr>
    </w:div>
    <w:div w:id="668680680">
      <w:bodyDiv w:val="1"/>
      <w:marLeft w:val="0"/>
      <w:marRight w:val="0"/>
      <w:marTop w:val="0"/>
      <w:marBottom w:val="0"/>
      <w:divBdr>
        <w:top w:val="none" w:sz="0" w:space="0" w:color="auto"/>
        <w:left w:val="none" w:sz="0" w:space="0" w:color="auto"/>
        <w:bottom w:val="none" w:sz="0" w:space="0" w:color="auto"/>
        <w:right w:val="none" w:sz="0" w:space="0" w:color="auto"/>
      </w:divBdr>
    </w:div>
    <w:div w:id="668871960">
      <w:bodyDiv w:val="1"/>
      <w:marLeft w:val="0"/>
      <w:marRight w:val="0"/>
      <w:marTop w:val="0"/>
      <w:marBottom w:val="0"/>
      <w:divBdr>
        <w:top w:val="none" w:sz="0" w:space="0" w:color="auto"/>
        <w:left w:val="none" w:sz="0" w:space="0" w:color="auto"/>
        <w:bottom w:val="none" w:sz="0" w:space="0" w:color="auto"/>
        <w:right w:val="none" w:sz="0" w:space="0" w:color="auto"/>
      </w:divBdr>
    </w:div>
    <w:div w:id="668942208">
      <w:bodyDiv w:val="1"/>
      <w:marLeft w:val="0"/>
      <w:marRight w:val="0"/>
      <w:marTop w:val="0"/>
      <w:marBottom w:val="0"/>
      <w:divBdr>
        <w:top w:val="none" w:sz="0" w:space="0" w:color="auto"/>
        <w:left w:val="none" w:sz="0" w:space="0" w:color="auto"/>
        <w:bottom w:val="none" w:sz="0" w:space="0" w:color="auto"/>
        <w:right w:val="none" w:sz="0" w:space="0" w:color="auto"/>
      </w:divBdr>
    </w:div>
    <w:div w:id="669137397">
      <w:bodyDiv w:val="1"/>
      <w:marLeft w:val="0"/>
      <w:marRight w:val="0"/>
      <w:marTop w:val="0"/>
      <w:marBottom w:val="0"/>
      <w:divBdr>
        <w:top w:val="none" w:sz="0" w:space="0" w:color="auto"/>
        <w:left w:val="none" w:sz="0" w:space="0" w:color="auto"/>
        <w:bottom w:val="none" w:sz="0" w:space="0" w:color="auto"/>
        <w:right w:val="none" w:sz="0" w:space="0" w:color="auto"/>
      </w:divBdr>
    </w:div>
    <w:div w:id="669139532">
      <w:bodyDiv w:val="1"/>
      <w:marLeft w:val="0"/>
      <w:marRight w:val="0"/>
      <w:marTop w:val="0"/>
      <w:marBottom w:val="0"/>
      <w:divBdr>
        <w:top w:val="none" w:sz="0" w:space="0" w:color="auto"/>
        <w:left w:val="none" w:sz="0" w:space="0" w:color="auto"/>
        <w:bottom w:val="none" w:sz="0" w:space="0" w:color="auto"/>
        <w:right w:val="none" w:sz="0" w:space="0" w:color="auto"/>
      </w:divBdr>
    </w:div>
    <w:div w:id="669141103">
      <w:bodyDiv w:val="1"/>
      <w:marLeft w:val="0"/>
      <w:marRight w:val="0"/>
      <w:marTop w:val="0"/>
      <w:marBottom w:val="0"/>
      <w:divBdr>
        <w:top w:val="none" w:sz="0" w:space="0" w:color="auto"/>
        <w:left w:val="none" w:sz="0" w:space="0" w:color="auto"/>
        <w:bottom w:val="none" w:sz="0" w:space="0" w:color="auto"/>
        <w:right w:val="none" w:sz="0" w:space="0" w:color="auto"/>
      </w:divBdr>
    </w:div>
    <w:div w:id="669141808">
      <w:bodyDiv w:val="1"/>
      <w:marLeft w:val="0"/>
      <w:marRight w:val="0"/>
      <w:marTop w:val="0"/>
      <w:marBottom w:val="0"/>
      <w:divBdr>
        <w:top w:val="none" w:sz="0" w:space="0" w:color="auto"/>
        <w:left w:val="none" w:sz="0" w:space="0" w:color="auto"/>
        <w:bottom w:val="none" w:sz="0" w:space="0" w:color="auto"/>
        <w:right w:val="none" w:sz="0" w:space="0" w:color="auto"/>
      </w:divBdr>
    </w:div>
    <w:div w:id="669253917">
      <w:bodyDiv w:val="1"/>
      <w:marLeft w:val="0"/>
      <w:marRight w:val="0"/>
      <w:marTop w:val="0"/>
      <w:marBottom w:val="0"/>
      <w:divBdr>
        <w:top w:val="none" w:sz="0" w:space="0" w:color="auto"/>
        <w:left w:val="none" w:sz="0" w:space="0" w:color="auto"/>
        <w:bottom w:val="none" w:sz="0" w:space="0" w:color="auto"/>
        <w:right w:val="none" w:sz="0" w:space="0" w:color="auto"/>
      </w:divBdr>
    </w:div>
    <w:div w:id="669329985">
      <w:bodyDiv w:val="1"/>
      <w:marLeft w:val="0"/>
      <w:marRight w:val="0"/>
      <w:marTop w:val="0"/>
      <w:marBottom w:val="0"/>
      <w:divBdr>
        <w:top w:val="none" w:sz="0" w:space="0" w:color="auto"/>
        <w:left w:val="none" w:sz="0" w:space="0" w:color="auto"/>
        <w:bottom w:val="none" w:sz="0" w:space="0" w:color="auto"/>
        <w:right w:val="none" w:sz="0" w:space="0" w:color="auto"/>
      </w:divBdr>
    </w:div>
    <w:div w:id="669330934">
      <w:bodyDiv w:val="1"/>
      <w:marLeft w:val="0"/>
      <w:marRight w:val="0"/>
      <w:marTop w:val="0"/>
      <w:marBottom w:val="0"/>
      <w:divBdr>
        <w:top w:val="none" w:sz="0" w:space="0" w:color="auto"/>
        <w:left w:val="none" w:sz="0" w:space="0" w:color="auto"/>
        <w:bottom w:val="none" w:sz="0" w:space="0" w:color="auto"/>
        <w:right w:val="none" w:sz="0" w:space="0" w:color="auto"/>
      </w:divBdr>
    </w:div>
    <w:div w:id="669333953">
      <w:bodyDiv w:val="1"/>
      <w:marLeft w:val="0"/>
      <w:marRight w:val="0"/>
      <w:marTop w:val="0"/>
      <w:marBottom w:val="0"/>
      <w:divBdr>
        <w:top w:val="none" w:sz="0" w:space="0" w:color="auto"/>
        <w:left w:val="none" w:sz="0" w:space="0" w:color="auto"/>
        <w:bottom w:val="none" w:sz="0" w:space="0" w:color="auto"/>
        <w:right w:val="none" w:sz="0" w:space="0" w:color="auto"/>
      </w:divBdr>
    </w:div>
    <w:div w:id="669405515">
      <w:bodyDiv w:val="1"/>
      <w:marLeft w:val="0"/>
      <w:marRight w:val="0"/>
      <w:marTop w:val="0"/>
      <w:marBottom w:val="0"/>
      <w:divBdr>
        <w:top w:val="none" w:sz="0" w:space="0" w:color="auto"/>
        <w:left w:val="none" w:sz="0" w:space="0" w:color="auto"/>
        <w:bottom w:val="none" w:sz="0" w:space="0" w:color="auto"/>
        <w:right w:val="none" w:sz="0" w:space="0" w:color="auto"/>
      </w:divBdr>
    </w:div>
    <w:div w:id="669451457">
      <w:bodyDiv w:val="1"/>
      <w:marLeft w:val="0"/>
      <w:marRight w:val="0"/>
      <w:marTop w:val="0"/>
      <w:marBottom w:val="0"/>
      <w:divBdr>
        <w:top w:val="none" w:sz="0" w:space="0" w:color="auto"/>
        <w:left w:val="none" w:sz="0" w:space="0" w:color="auto"/>
        <w:bottom w:val="none" w:sz="0" w:space="0" w:color="auto"/>
        <w:right w:val="none" w:sz="0" w:space="0" w:color="auto"/>
      </w:divBdr>
    </w:div>
    <w:div w:id="669525634">
      <w:bodyDiv w:val="1"/>
      <w:marLeft w:val="0"/>
      <w:marRight w:val="0"/>
      <w:marTop w:val="0"/>
      <w:marBottom w:val="0"/>
      <w:divBdr>
        <w:top w:val="none" w:sz="0" w:space="0" w:color="auto"/>
        <w:left w:val="none" w:sz="0" w:space="0" w:color="auto"/>
        <w:bottom w:val="none" w:sz="0" w:space="0" w:color="auto"/>
        <w:right w:val="none" w:sz="0" w:space="0" w:color="auto"/>
      </w:divBdr>
    </w:div>
    <w:div w:id="669678170">
      <w:bodyDiv w:val="1"/>
      <w:marLeft w:val="0"/>
      <w:marRight w:val="0"/>
      <w:marTop w:val="0"/>
      <w:marBottom w:val="0"/>
      <w:divBdr>
        <w:top w:val="none" w:sz="0" w:space="0" w:color="auto"/>
        <w:left w:val="none" w:sz="0" w:space="0" w:color="auto"/>
        <w:bottom w:val="none" w:sz="0" w:space="0" w:color="auto"/>
        <w:right w:val="none" w:sz="0" w:space="0" w:color="auto"/>
      </w:divBdr>
    </w:div>
    <w:div w:id="669911231">
      <w:bodyDiv w:val="1"/>
      <w:marLeft w:val="0"/>
      <w:marRight w:val="0"/>
      <w:marTop w:val="0"/>
      <w:marBottom w:val="0"/>
      <w:divBdr>
        <w:top w:val="none" w:sz="0" w:space="0" w:color="auto"/>
        <w:left w:val="none" w:sz="0" w:space="0" w:color="auto"/>
        <w:bottom w:val="none" w:sz="0" w:space="0" w:color="auto"/>
        <w:right w:val="none" w:sz="0" w:space="0" w:color="auto"/>
      </w:divBdr>
    </w:div>
    <w:div w:id="669914975">
      <w:bodyDiv w:val="1"/>
      <w:marLeft w:val="0"/>
      <w:marRight w:val="0"/>
      <w:marTop w:val="0"/>
      <w:marBottom w:val="0"/>
      <w:divBdr>
        <w:top w:val="none" w:sz="0" w:space="0" w:color="auto"/>
        <w:left w:val="none" w:sz="0" w:space="0" w:color="auto"/>
        <w:bottom w:val="none" w:sz="0" w:space="0" w:color="auto"/>
        <w:right w:val="none" w:sz="0" w:space="0" w:color="auto"/>
      </w:divBdr>
    </w:div>
    <w:div w:id="670067574">
      <w:bodyDiv w:val="1"/>
      <w:marLeft w:val="0"/>
      <w:marRight w:val="0"/>
      <w:marTop w:val="0"/>
      <w:marBottom w:val="0"/>
      <w:divBdr>
        <w:top w:val="none" w:sz="0" w:space="0" w:color="auto"/>
        <w:left w:val="none" w:sz="0" w:space="0" w:color="auto"/>
        <w:bottom w:val="none" w:sz="0" w:space="0" w:color="auto"/>
        <w:right w:val="none" w:sz="0" w:space="0" w:color="auto"/>
      </w:divBdr>
    </w:div>
    <w:div w:id="670180192">
      <w:bodyDiv w:val="1"/>
      <w:marLeft w:val="0"/>
      <w:marRight w:val="0"/>
      <w:marTop w:val="0"/>
      <w:marBottom w:val="0"/>
      <w:divBdr>
        <w:top w:val="none" w:sz="0" w:space="0" w:color="auto"/>
        <w:left w:val="none" w:sz="0" w:space="0" w:color="auto"/>
        <w:bottom w:val="none" w:sz="0" w:space="0" w:color="auto"/>
        <w:right w:val="none" w:sz="0" w:space="0" w:color="auto"/>
      </w:divBdr>
    </w:div>
    <w:div w:id="670370910">
      <w:bodyDiv w:val="1"/>
      <w:marLeft w:val="0"/>
      <w:marRight w:val="0"/>
      <w:marTop w:val="0"/>
      <w:marBottom w:val="0"/>
      <w:divBdr>
        <w:top w:val="none" w:sz="0" w:space="0" w:color="auto"/>
        <w:left w:val="none" w:sz="0" w:space="0" w:color="auto"/>
        <w:bottom w:val="none" w:sz="0" w:space="0" w:color="auto"/>
        <w:right w:val="none" w:sz="0" w:space="0" w:color="auto"/>
      </w:divBdr>
    </w:div>
    <w:div w:id="670641539">
      <w:bodyDiv w:val="1"/>
      <w:marLeft w:val="0"/>
      <w:marRight w:val="0"/>
      <w:marTop w:val="0"/>
      <w:marBottom w:val="0"/>
      <w:divBdr>
        <w:top w:val="none" w:sz="0" w:space="0" w:color="auto"/>
        <w:left w:val="none" w:sz="0" w:space="0" w:color="auto"/>
        <w:bottom w:val="none" w:sz="0" w:space="0" w:color="auto"/>
        <w:right w:val="none" w:sz="0" w:space="0" w:color="auto"/>
      </w:divBdr>
    </w:div>
    <w:div w:id="670643052">
      <w:bodyDiv w:val="1"/>
      <w:marLeft w:val="0"/>
      <w:marRight w:val="0"/>
      <w:marTop w:val="0"/>
      <w:marBottom w:val="0"/>
      <w:divBdr>
        <w:top w:val="none" w:sz="0" w:space="0" w:color="auto"/>
        <w:left w:val="none" w:sz="0" w:space="0" w:color="auto"/>
        <w:bottom w:val="none" w:sz="0" w:space="0" w:color="auto"/>
        <w:right w:val="none" w:sz="0" w:space="0" w:color="auto"/>
      </w:divBdr>
    </w:div>
    <w:div w:id="670647879">
      <w:bodyDiv w:val="1"/>
      <w:marLeft w:val="0"/>
      <w:marRight w:val="0"/>
      <w:marTop w:val="0"/>
      <w:marBottom w:val="0"/>
      <w:divBdr>
        <w:top w:val="none" w:sz="0" w:space="0" w:color="auto"/>
        <w:left w:val="none" w:sz="0" w:space="0" w:color="auto"/>
        <w:bottom w:val="none" w:sz="0" w:space="0" w:color="auto"/>
        <w:right w:val="none" w:sz="0" w:space="0" w:color="auto"/>
      </w:divBdr>
    </w:div>
    <w:div w:id="670714594">
      <w:bodyDiv w:val="1"/>
      <w:marLeft w:val="0"/>
      <w:marRight w:val="0"/>
      <w:marTop w:val="0"/>
      <w:marBottom w:val="0"/>
      <w:divBdr>
        <w:top w:val="none" w:sz="0" w:space="0" w:color="auto"/>
        <w:left w:val="none" w:sz="0" w:space="0" w:color="auto"/>
        <w:bottom w:val="none" w:sz="0" w:space="0" w:color="auto"/>
        <w:right w:val="none" w:sz="0" w:space="0" w:color="auto"/>
      </w:divBdr>
    </w:div>
    <w:div w:id="670834989">
      <w:bodyDiv w:val="1"/>
      <w:marLeft w:val="0"/>
      <w:marRight w:val="0"/>
      <w:marTop w:val="0"/>
      <w:marBottom w:val="0"/>
      <w:divBdr>
        <w:top w:val="none" w:sz="0" w:space="0" w:color="auto"/>
        <w:left w:val="none" w:sz="0" w:space="0" w:color="auto"/>
        <w:bottom w:val="none" w:sz="0" w:space="0" w:color="auto"/>
        <w:right w:val="none" w:sz="0" w:space="0" w:color="auto"/>
      </w:divBdr>
    </w:div>
    <w:div w:id="670835354">
      <w:bodyDiv w:val="1"/>
      <w:marLeft w:val="0"/>
      <w:marRight w:val="0"/>
      <w:marTop w:val="0"/>
      <w:marBottom w:val="0"/>
      <w:divBdr>
        <w:top w:val="none" w:sz="0" w:space="0" w:color="auto"/>
        <w:left w:val="none" w:sz="0" w:space="0" w:color="auto"/>
        <w:bottom w:val="none" w:sz="0" w:space="0" w:color="auto"/>
        <w:right w:val="none" w:sz="0" w:space="0" w:color="auto"/>
      </w:divBdr>
    </w:div>
    <w:div w:id="670912782">
      <w:bodyDiv w:val="1"/>
      <w:marLeft w:val="0"/>
      <w:marRight w:val="0"/>
      <w:marTop w:val="0"/>
      <w:marBottom w:val="0"/>
      <w:divBdr>
        <w:top w:val="none" w:sz="0" w:space="0" w:color="auto"/>
        <w:left w:val="none" w:sz="0" w:space="0" w:color="auto"/>
        <w:bottom w:val="none" w:sz="0" w:space="0" w:color="auto"/>
        <w:right w:val="none" w:sz="0" w:space="0" w:color="auto"/>
      </w:divBdr>
    </w:div>
    <w:div w:id="671033620">
      <w:bodyDiv w:val="1"/>
      <w:marLeft w:val="0"/>
      <w:marRight w:val="0"/>
      <w:marTop w:val="0"/>
      <w:marBottom w:val="0"/>
      <w:divBdr>
        <w:top w:val="none" w:sz="0" w:space="0" w:color="auto"/>
        <w:left w:val="none" w:sz="0" w:space="0" w:color="auto"/>
        <w:bottom w:val="none" w:sz="0" w:space="0" w:color="auto"/>
        <w:right w:val="none" w:sz="0" w:space="0" w:color="auto"/>
      </w:divBdr>
    </w:div>
    <w:div w:id="671101441">
      <w:bodyDiv w:val="1"/>
      <w:marLeft w:val="0"/>
      <w:marRight w:val="0"/>
      <w:marTop w:val="0"/>
      <w:marBottom w:val="0"/>
      <w:divBdr>
        <w:top w:val="none" w:sz="0" w:space="0" w:color="auto"/>
        <w:left w:val="none" w:sz="0" w:space="0" w:color="auto"/>
        <w:bottom w:val="none" w:sz="0" w:space="0" w:color="auto"/>
        <w:right w:val="none" w:sz="0" w:space="0" w:color="auto"/>
      </w:divBdr>
    </w:div>
    <w:div w:id="671103271">
      <w:bodyDiv w:val="1"/>
      <w:marLeft w:val="0"/>
      <w:marRight w:val="0"/>
      <w:marTop w:val="0"/>
      <w:marBottom w:val="0"/>
      <w:divBdr>
        <w:top w:val="none" w:sz="0" w:space="0" w:color="auto"/>
        <w:left w:val="none" w:sz="0" w:space="0" w:color="auto"/>
        <w:bottom w:val="none" w:sz="0" w:space="0" w:color="auto"/>
        <w:right w:val="none" w:sz="0" w:space="0" w:color="auto"/>
      </w:divBdr>
    </w:div>
    <w:div w:id="671226309">
      <w:bodyDiv w:val="1"/>
      <w:marLeft w:val="0"/>
      <w:marRight w:val="0"/>
      <w:marTop w:val="0"/>
      <w:marBottom w:val="0"/>
      <w:divBdr>
        <w:top w:val="none" w:sz="0" w:space="0" w:color="auto"/>
        <w:left w:val="none" w:sz="0" w:space="0" w:color="auto"/>
        <w:bottom w:val="none" w:sz="0" w:space="0" w:color="auto"/>
        <w:right w:val="none" w:sz="0" w:space="0" w:color="auto"/>
      </w:divBdr>
    </w:div>
    <w:div w:id="671294258">
      <w:bodyDiv w:val="1"/>
      <w:marLeft w:val="0"/>
      <w:marRight w:val="0"/>
      <w:marTop w:val="0"/>
      <w:marBottom w:val="0"/>
      <w:divBdr>
        <w:top w:val="none" w:sz="0" w:space="0" w:color="auto"/>
        <w:left w:val="none" w:sz="0" w:space="0" w:color="auto"/>
        <w:bottom w:val="none" w:sz="0" w:space="0" w:color="auto"/>
        <w:right w:val="none" w:sz="0" w:space="0" w:color="auto"/>
      </w:divBdr>
    </w:div>
    <w:div w:id="671295889">
      <w:bodyDiv w:val="1"/>
      <w:marLeft w:val="0"/>
      <w:marRight w:val="0"/>
      <w:marTop w:val="0"/>
      <w:marBottom w:val="0"/>
      <w:divBdr>
        <w:top w:val="none" w:sz="0" w:space="0" w:color="auto"/>
        <w:left w:val="none" w:sz="0" w:space="0" w:color="auto"/>
        <w:bottom w:val="none" w:sz="0" w:space="0" w:color="auto"/>
        <w:right w:val="none" w:sz="0" w:space="0" w:color="auto"/>
      </w:divBdr>
    </w:div>
    <w:div w:id="671300803">
      <w:bodyDiv w:val="1"/>
      <w:marLeft w:val="0"/>
      <w:marRight w:val="0"/>
      <w:marTop w:val="0"/>
      <w:marBottom w:val="0"/>
      <w:divBdr>
        <w:top w:val="none" w:sz="0" w:space="0" w:color="auto"/>
        <w:left w:val="none" w:sz="0" w:space="0" w:color="auto"/>
        <w:bottom w:val="none" w:sz="0" w:space="0" w:color="auto"/>
        <w:right w:val="none" w:sz="0" w:space="0" w:color="auto"/>
      </w:divBdr>
    </w:div>
    <w:div w:id="671301303">
      <w:bodyDiv w:val="1"/>
      <w:marLeft w:val="0"/>
      <w:marRight w:val="0"/>
      <w:marTop w:val="0"/>
      <w:marBottom w:val="0"/>
      <w:divBdr>
        <w:top w:val="none" w:sz="0" w:space="0" w:color="auto"/>
        <w:left w:val="none" w:sz="0" w:space="0" w:color="auto"/>
        <w:bottom w:val="none" w:sz="0" w:space="0" w:color="auto"/>
        <w:right w:val="none" w:sz="0" w:space="0" w:color="auto"/>
      </w:divBdr>
    </w:div>
    <w:div w:id="671369702">
      <w:bodyDiv w:val="1"/>
      <w:marLeft w:val="0"/>
      <w:marRight w:val="0"/>
      <w:marTop w:val="0"/>
      <w:marBottom w:val="0"/>
      <w:divBdr>
        <w:top w:val="none" w:sz="0" w:space="0" w:color="auto"/>
        <w:left w:val="none" w:sz="0" w:space="0" w:color="auto"/>
        <w:bottom w:val="none" w:sz="0" w:space="0" w:color="auto"/>
        <w:right w:val="none" w:sz="0" w:space="0" w:color="auto"/>
      </w:divBdr>
    </w:div>
    <w:div w:id="671569818">
      <w:bodyDiv w:val="1"/>
      <w:marLeft w:val="0"/>
      <w:marRight w:val="0"/>
      <w:marTop w:val="0"/>
      <w:marBottom w:val="0"/>
      <w:divBdr>
        <w:top w:val="none" w:sz="0" w:space="0" w:color="auto"/>
        <w:left w:val="none" w:sz="0" w:space="0" w:color="auto"/>
        <w:bottom w:val="none" w:sz="0" w:space="0" w:color="auto"/>
        <w:right w:val="none" w:sz="0" w:space="0" w:color="auto"/>
      </w:divBdr>
    </w:div>
    <w:div w:id="671685504">
      <w:bodyDiv w:val="1"/>
      <w:marLeft w:val="0"/>
      <w:marRight w:val="0"/>
      <w:marTop w:val="0"/>
      <w:marBottom w:val="0"/>
      <w:divBdr>
        <w:top w:val="none" w:sz="0" w:space="0" w:color="auto"/>
        <w:left w:val="none" w:sz="0" w:space="0" w:color="auto"/>
        <w:bottom w:val="none" w:sz="0" w:space="0" w:color="auto"/>
        <w:right w:val="none" w:sz="0" w:space="0" w:color="auto"/>
      </w:divBdr>
    </w:div>
    <w:div w:id="671758940">
      <w:bodyDiv w:val="1"/>
      <w:marLeft w:val="0"/>
      <w:marRight w:val="0"/>
      <w:marTop w:val="0"/>
      <w:marBottom w:val="0"/>
      <w:divBdr>
        <w:top w:val="none" w:sz="0" w:space="0" w:color="auto"/>
        <w:left w:val="none" w:sz="0" w:space="0" w:color="auto"/>
        <w:bottom w:val="none" w:sz="0" w:space="0" w:color="auto"/>
        <w:right w:val="none" w:sz="0" w:space="0" w:color="auto"/>
      </w:divBdr>
    </w:div>
    <w:div w:id="671764640">
      <w:bodyDiv w:val="1"/>
      <w:marLeft w:val="0"/>
      <w:marRight w:val="0"/>
      <w:marTop w:val="0"/>
      <w:marBottom w:val="0"/>
      <w:divBdr>
        <w:top w:val="none" w:sz="0" w:space="0" w:color="auto"/>
        <w:left w:val="none" w:sz="0" w:space="0" w:color="auto"/>
        <w:bottom w:val="none" w:sz="0" w:space="0" w:color="auto"/>
        <w:right w:val="none" w:sz="0" w:space="0" w:color="auto"/>
      </w:divBdr>
    </w:div>
    <w:div w:id="671879874">
      <w:bodyDiv w:val="1"/>
      <w:marLeft w:val="0"/>
      <w:marRight w:val="0"/>
      <w:marTop w:val="0"/>
      <w:marBottom w:val="0"/>
      <w:divBdr>
        <w:top w:val="none" w:sz="0" w:space="0" w:color="auto"/>
        <w:left w:val="none" w:sz="0" w:space="0" w:color="auto"/>
        <w:bottom w:val="none" w:sz="0" w:space="0" w:color="auto"/>
        <w:right w:val="none" w:sz="0" w:space="0" w:color="auto"/>
      </w:divBdr>
    </w:div>
    <w:div w:id="672101092">
      <w:bodyDiv w:val="1"/>
      <w:marLeft w:val="0"/>
      <w:marRight w:val="0"/>
      <w:marTop w:val="0"/>
      <w:marBottom w:val="0"/>
      <w:divBdr>
        <w:top w:val="none" w:sz="0" w:space="0" w:color="auto"/>
        <w:left w:val="none" w:sz="0" w:space="0" w:color="auto"/>
        <w:bottom w:val="none" w:sz="0" w:space="0" w:color="auto"/>
        <w:right w:val="none" w:sz="0" w:space="0" w:color="auto"/>
      </w:divBdr>
    </w:div>
    <w:div w:id="672101323">
      <w:bodyDiv w:val="1"/>
      <w:marLeft w:val="0"/>
      <w:marRight w:val="0"/>
      <w:marTop w:val="0"/>
      <w:marBottom w:val="0"/>
      <w:divBdr>
        <w:top w:val="none" w:sz="0" w:space="0" w:color="auto"/>
        <w:left w:val="none" w:sz="0" w:space="0" w:color="auto"/>
        <w:bottom w:val="none" w:sz="0" w:space="0" w:color="auto"/>
        <w:right w:val="none" w:sz="0" w:space="0" w:color="auto"/>
      </w:divBdr>
    </w:div>
    <w:div w:id="672101629">
      <w:bodyDiv w:val="1"/>
      <w:marLeft w:val="0"/>
      <w:marRight w:val="0"/>
      <w:marTop w:val="0"/>
      <w:marBottom w:val="0"/>
      <w:divBdr>
        <w:top w:val="none" w:sz="0" w:space="0" w:color="auto"/>
        <w:left w:val="none" w:sz="0" w:space="0" w:color="auto"/>
        <w:bottom w:val="none" w:sz="0" w:space="0" w:color="auto"/>
        <w:right w:val="none" w:sz="0" w:space="0" w:color="auto"/>
      </w:divBdr>
    </w:div>
    <w:div w:id="672144145">
      <w:bodyDiv w:val="1"/>
      <w:marLeft w:val="0"/>
      <w:marRight w:val="0"/>
      <w:marTop w:val="0"/>
      <w:marBottom w:val="0"/>
      <w:divBdr>
        <w:top w:val="none" w:sz="0" w:space="0" w:color="auto"/>
        <w:left w:val="none" w:sz="0" w:space="0" w:color="auto"/>
        <w:bottom w:val="none" w:sz="0" w:space="0" w:color="auto"/>
        <w:right w:val="none" w:sz="0" w:space="0" w:color="auto"/>
      </w:divBdr>
    </w:div>
    <w:div w:id="672217965">
      <w:bodyDiv w:val="1"/>
      <w:marLeft w:val="0"/>
      <w:marRight w:val="0"/>
      <w:marTop w:val="0"/>
      <w:marBottom w:val="0"/>
      <w:divBdr>
        <w:top w:val="none" w:sz="0" w:space="0" w:color="auto"/>
        <w:left w:val="none" w:sz="0" w:space="0" w:color="auto"/>
        <w:bottom w:val="none" w:sz="0" w:space="0" w:color="auto"/>
        <w:right w:val="none" w:sz="0" w:space="0" w:color="auto"/>
      </w:divBdr>
    </w:div>
    <w:div w:id="672344405">
      <w:bodyDiv w:val="1"/>
      <w:marLeft w:val="0"/>
      <w:marRight w:val="0"/>
      <w:marTop w:val="0"/>
      <w:marBottom w:val="0"/>
      <w:divBdr>
        <w:top w:val="none" w:sz="0" w:space="0" w:color="auto"/>
        <w:left w:val="none" w:sz="0" w:space="0" w:color="auto"/>
        <w:bottom w:val="none" w:sz="0" w:space="0" w:color="auto"/>
        <w:right w:val="none" w:sz="0" w:space="0" w:color="auto"/>
      </w:divBdr>
    </w:div>
    <w:div w:id="672415780">
      <w:bodyDiv w:val="1"/>
      <w:marLeft w:val="0"/>
      <w:marRight w:val="0"/>
      <w:marTop w:val="0"/>
      <w:marBottom w:val="0"/>
      <w:divBdr>
        <w:top w:val="none" w:sz="0" w:space="0" w:color="auto"/>
        <w:left w:val="none" w:sz="0" w:space="0" w:color="auto"/>
        <w:bottom w:val="none" w:sz="0" w:space="0" w:color="auto"/>
        <w:right w:val="none" w:sz="0" w:space="0" w:color="auto"/>
      </w:divBdr>
    </w:div>
    <w:div w:id="672416379">
      <w:bodyDiv w:val="1"/>
      <w:marLeft w:val="0"/>
      <w:marRight w:val="0"/>
      <w:marTop w:val="0"/>
      <w:marBottom w:val="0"/>
      <w:divBdr>
        <w:top w:val="none" w:sz="0" w:space="0" w:color="auto"/>
        <w:left w:val="none" w:sz="0" w:space="0" w:color="auto"/>
        <w:bottom w:val="none" w:sz="0" w:space="0" w:color="auto"/>
        <w:right w:val="none" w:sz="0" w:space="0" w:color="auto"/>
      </w:divBdr>
    </w:div>
    <w:div w:id="672489474">
      <w:bodyDiv w:val="1"/>
      <w:marLeft w:val="0"/>
      <w:marRight w:val="0"/>
      <w:marTop w:val="0"/>
      <w:marBottom w:val="0"/>
      <w:divBdr>
        <w:top w:val="none" w:sz="0" w:space="0" w:color="auto"/>
        <w:left w:val="none" w:sz="0" w:space="0" w:color="auto"/>
        <w:bottom w:val="none" w:sz="0" w:space="0" w:color="auto"/>
        <w:right w:val="none" w:sz="0" w:space="0" w:color="auto"/>
      </w:divBdr>
    </w:div>
    <w:div w:id="672489522">
      <w:bodyDiv w:val="1"/>
      <w:marLeft w:val="0"/>
      <w:marRight w:val="0"/>
      <w:marTop w:val="0"/>
      <w:marBottom w:val="0"/>
      <w:divBdr>
        <w:top w:val="none" w:sz="0" w:space="0" w:color="auto"/>
        <w:left w:val="none" w:sz="0" w:space="0" w:color="auto"/>
        <w:bottom w:val="none" w:sz="0" w:space="0" w:color="auto"/>
        <w:right w:val="none" w:sz="0" w:space="0" w:color="auto"/>
      </w:divBdr>
    </w:div>
    <w:div w:id="672490293">
      <w:bodyDiv w:val="1"/>
      <w:marLeft w:val="0"/>
      <w:marRight w:val="0"/>
      <w:marTop w:val="0"/>
      <w:marBottom w:val="0"/>
      <w:divBdr>
        <w:top w:val="none" w:sz="0" w:space="0" w:color="auto"/>
        <w:left w:val="none" w:sz="0" w:space="0" w:color="auto"/>
        <w:bottom w:val="none" w:sz="0" w:space="0" w:color="auto"/>
        <w:right w:val="none" w:sz="0" w:space="0" w:color="auto"/>
      </w:divBdr>
    </w:div>
    <w:div w:id="672495617">
      <w:bodyDiv w:val="1"/>
      <w:marLeft w:val="0"/>
      <w:marRight w:val="0"/>
      <w:marTop w:val="0"/>
      <w:marBottom w:val="0"/>
      <w:divBdr>
        <w:top w:val="none" w:sz="0" w:space="0" w:color="auto"/>
        <w:left w:val="none" w:sz="0" w:space="0" w:color="auto"/>
        <w:bottom w:val="none" w:sz="0" w:space="0" w:color="auto"/>
        <w:right w:val="none" w:sz="0" w:space="0" w:color="auto"/>
      </w:divBdr>
    </w:div>
    <w:div w:id="672608464">
      <w:bodyDiv w:val="1"/>
      <w:marLeft w:val="0"/>
      <w:marRight w:val="0"/>
      <w:marTop w:val="0"/>
      <w:marBottom w:val="0"/>
      <w:divBdr>
        <w:top w:val="none" w:sz="0" w:space="0" w:color="auto"/>
        <w:left w:val="none" w:sz="0" w:space="0" w:color="auto"/>
        <w:bottom w:val="none" w:sz="0" w:space="0" w:color="auto"/>
        <w:right w:val="none" w:sz="0" w:space="0" w:color="auto"/>
      </w:divBdr>
    </w:div>
    <w:div w:id="672612380">
      <w:bodyDiv w:val="1"/>
      <w:marLeft w:val="0"/>
      <w:marRight w:val="0"/>
      <w:marTop w:val="0"/>
      <w:marBottom w:val="0"/>
      <w:divBdr>
        <w:top w:val="none" w:sz="0" w:space="0" w:color="auto"/>
        <w:left w:val="none" w:sz="0" w:space="0" w:color="auto"/>
        <w:bottom w:val="none" w:sz="0" w:space="0" w:color="auto"/>
        <w:right w:val="none" w:sz="0" w:space="0" w:color="auto"/>
      </w:divBdr>
    </w:div>
    <w:div w:id="672798603">
      <w:bodyDiv w:val="1"/>
      <w:marLeft w:val="0"/>
      <w:marRight w:val="0"/>
      <w:marTop w:val="0"/>
      <w:marBottom w:val="0"/>
      <w:divBdr>
        <w:top w:val="none" w:sz="0" w:space="0" w:color="auto"/>
        <w:left w:val="none" w:sz="0" w:space="0" w:color="auto"/>
        <w:bottom w:val="none" w:sz="0" w:space="0" w:color="auto"/>
        <w:right w:val="none" w:sz="0" w:space="0" w:color="auto"/>
      </w:divBdr>
    </w:div>
    <w:div w:id="672799605">
      <w:bodyDiv w:val="1"/>
      <w:marLeft w:val="0"/>
      <w:marRight w:val="0"/>
      <w:marTop w:val="0"/>
      <w:marBottom w:val="0"/>
      <w:divBdr>
        <w:top w:val="none" w:sz="0" w:space="0" w:color="auto"/>
        <w:left w:val="none" w:sz="0" w:space="0" w:color="auto"/>
        <w:bottom w:val="none" w:sz="0" w:space="0" w:color="auto"/>
        <w:right w:val="none" w:sz="0" w:space="0" w:color="auto"/>
      </w:divBdr>
    </w:div>
    <w:div w:id="672802658">
      <w:bodyDiv w:val="1"/>
      <w:marLeft w:val="0"/>
      <w:marRight w:val="0"/>
      <w:marTop w:val="0"/>
      <w:marBottom w:val="0"/>
      <w:divBdr>
        <w:top w:val="none" w:sz="0" w:space="0" w:color="auto"/>
        <w:left w:val="none" w:sz="0" w:space="0" w:color="auto"/>
        <w:bottom w:val="none" w:sz="0" w:space="0" w:color="auto"/>
        <w:right w:val="none" w:sz="0" w:space="0" w:color="auto"/>
      </w:divBdr>
    </w:div>
    <w:div w:id="672880459">
      <w:bodyDiv w:val="1"/>
      <w:marLeft w:val="0"/>
      <w:marRight w:val="0"/>
      <w:marTop w:val="0"/>
      <w:marBottom w:val="0"/>
      <w:divBdr>
        <w:top w:val="none" w:sz="0" w:space="0" w:color="auto"/>
        <w:left w:val="none" w:sz="0" w:space="0" w:color="auto"/>
        <w:bottom w:val="none" w:sz="0" w:space="0" w:color="auto"/>
        <w:right w:val="none" w:sz="0" w:space="0" w:color="auto"/>
      </w:divBdr>
    </w:div>
    <w:div w:id="672952294">
      <w:bodyDiv w:val="1"/>
      <w:marLeft w:val="0"/>
      <w:marRight w:val="0"/>
      <w:marTop w:val="0"/>
      <w:marBottom w:val="0"/>
      <w:divBdr>
        <w:top w:val="none" w:sz="0" w:space="0" w:color="auto"/>
        <w:left w:val="none" w:sz="0" w:space="0" w:color="auto"/>
        <w:bottom w:val="none" w:sz="0" w:space="0" w:color="auto"/>
        <w:right w:val="none" w:sz="0" w:space="0" w:color="auto"/>
      </w:divBdr>
    </w:div>
    <w:div w:id="673075902">
      <w:bodyDiv w:val="1"/>
      <w:marLeft w:val="0"/>
      <w:marRight w:val="0"/>
      <w:marTop w:val="0"/>
      <w:marBottom w:val="0"/>
      <w:divBdr>
        <w:top w:val="none" w:sz="0" w:space="0" w:color="auto"/>
        <w:left w:val="none" w:sz="0" w:space="0" w:color="auto"/>
        <w:bottom w:val="none" w:sz="0" w:space="0" w:color="auto"/>
        <w:right w:val="none" w:sz="0" w:space="0" w:color="auto"/>
      </w:divBdr>
    </w:div>
    <w:div w:id="673189689">
      <w:bodyDiv w:val="1"/>
      <w:marLeft w:val="0"/>
      <w:marRight w:val="0"/>
      <w:marTop w:val="0"/>
      <w:marBottom w:val="0"/>
      <w:divBdr>
        <w:top w:val="none" w:sz="0" w:space="0" w:color="auto"/>
        <w:left w:val="none" w:sz="0" w:space="0" w:color="auto"/>
        <w:bottom w:val="none" w:sz="0" w:space="0" w:color="auto"/>
        <w:right w:val="none" w:sz="0" w:space="0" w:color="auto"/>
      </w:divBdr>
    </w:div>
    <w:div w:id="673217414">
      <w:bodyDiv w:val="1"/>
      <w:marLeft w:val="0"/>
      <w:marRight w:val="0"/>
      <w:marTop w:val="0"/>
      <w:marBottom w:val="0"/>
      <w:divBdr>
        <w:top w:val="none" w:sz="0" w:space="0" w:color="auto"/>
        <w:left w:val="none" w:sz="0" w:space="0" w:color="auto"/>
        <w:bottom w:val="none" w:sz="0" w:space="0" w:color="auto"/>
        <w:right w:val="none" w:sz="0" w:space="0" w:color="auto"/>
      </w:divBdr>
    </w:div>
    <w:div w:id="673260993">
      <w:bodyDiv w:val="1"/>
      <w:marLeft w:val="0"/>
      <w:marRight w:val="0"/>
      <w:marTop w:val="0"/>
      <w:marBottom w:val="0"/>
      <w:divBdr>
        <w:top w:val="none" w:sz="0" w:space="0" w:color="auto"/>
        <w:left w:val="none" w:sz="0" w:space="0" w:color="auto"/>
        <w:bottom w:val="none" w:sz="0" w:space="0" w:color="auto"/>
        <w:right w:val="none" w:sz="0" w:space="0" w:color="auto"/>
      </w:divBdr>
    </w:div>
    <w:div w:id="673264678">
      <w:bodyDiv w:val="1"/>
      <w:marLeft w:val="0"/>
      <w:marRight w:val="0"/>
      <w:marTop w:val="0"/>
      <w:marBottom w:val="0"/>
      <w:divBdr>
        <w:top w:val="none" w:sz="0" w:space="0" w:color="auto"/>
        <w:left w:val="none" w:sz="0" w:space="0" w:color="auto"/>
        <w:bottom w:val="none" w:sz="0" w:space="0" w:color="auto"/>
        <w:right w:val="none" w:sz="0" w:space="0" w:color="auto"/>
      </w:divBdr>
    </w:div>
    <w:div w:id="673265788">
      <w:bodyDiv w:val="1"/>
      <w:marLeft w:val="0"/>
      <w:marRight w:val="0"/>
      <w:marTop w:val="0"/>
      <w:marBottom w:val="0"/>
      <w:divBdr>
        <w:top w:val="none" w:sz="0" w:space="0" w:color="auto"/>
        <w:left w:val="none" w:sz="0" w:space="0" w:color="auto"/>
        <w:bottom w:val="none" w:sz="0" w:space="0" w:color="auto"/>
        <w:right w:val="none" w:sz="0" w:space="0" w:color="auto"/>
      </w:divBdr>
    </w:div>
    <w:div w:id="673267816">
      <w:bodyDiv w:val="1"/>
      <w:marLeft w:val="0"/>
      <w:marRight w:val="0"/>
      <w:marTop w:val="0"/>
      <w:marBottom w:val="0"/>
      <w:divBdr>
        <w:top w:val="none" w:sz="0" w:space="0" w:color="auto"/>
        <w:left w:val="none" w:sz="0" w:space="0" w:color="auto"/>
        <w:bottom w:val="none" w:sz="0" w:space="0" w:color="auto"/>
        <w:right w:val="none" w:sz="0" w:space="0" w:color="auto"/>
      </w:divBdr>
    </w:div>
    <w:div w:id="673383118">
      <w:bodyDiv w:val="1"/>
      <w:marLeft w:val="0"/>
      <w:marRight w:val="0"/>
      <w:marTop w:val="0"/>
      <w:marBottom w:val="0"/>
      <w:divBdr>
        <w:top w:val="none" w:sz="0" w:space="0" w:color="auto"/>
        <w:left w:val="none" w:sz="0" w:space="0" w:color="auto"/>
        <w:bottom w:val="none" w:sz="0" w:space="0" w:color="auto"/>
        <w:right w:val="none" w:sz="0" w:space="0" w:color="auto"/>
      </w:divBdr>
    </w:div>
    <w:div w:id="673413433">
      <w:bodyDiv w:val="1"/>
      <w:marLeft w:val="0"/>
      <w:marRight w:val="0"/>
      <w:marTop w:val="0"/>
      <w:marBottom w:val="0"/>
      <w:divBdr>
        <w:top w:val="none" w:sz="0" w:space="0" w:color="auto"/>
        <w:left w:val="none" w:sz="0" w:space="0" w:color="auto"/>
        <w:bottom w:val="none" w:sz="0" w:space="0" w:color="auto"/>
        <w:right w:val="none" w:sz="0" w:space="0" w:color="auto"/>
      </w:divBdr>
    </w:div>
    <w:div w:id="673456161">
      <w:bodyDiv w:val="1"/>
      <w:marLeft w:val="0"/>
      <w:marRight w:val="0"/>
      <w:marTop w:val="0"/>
      <w:marBottom w:val="0"/>
      <w:divBdr>
        <w:top w:val="none" w:sz="0" w:space="0" w:color="auto"/>
        <w:left w:val="none" w:sz="0" w:space="0" w:color="auto"/>
        <w:bottom w:val="none" w:sz="0" w:space="0" w:color="auto"/>
        <w:right w:val="none" w:sz="0" w:space="0" w:color="auto"/>
      </w:divBdr>
    </w:div>
    <w:div w:id="673649940">
      <w:bodyDiv w:val="1"/>
      <w:marLeft w:val="0"/>
      <w:marRight w:val="0"/>
      <w:marTop w:val="0"/>
      <w:marBottom w:val="0"/>
      <w:divBdr>
        <w:top w:val="none" w:sz="0" w:space="0" w:color="auto"/>
        <w:left w:val="none" w:sz="0" w:space="0" w:color="auto"/>
        <w:bottom w:val="none" w:sz="0" w:space="0" w:color="auto"/>
        <w:right w:val="none" w:sz="0" w:space="0" w:color="auto"/>
      </w:divBdr>
    </w:div>
    <w:div w:id="673651528">
      <w:bodyDiv w:val="1"/>
      <w:marLeft w:val="0"/>
      <w:marRight w:val="0"/>
      <w:marTop w:val="0"/>
      <w:marBottom w:val="0"/>
      <w:divBdr>
        <w:top w:val="none" w:sz="0" w:space="0" w:color="auto"/>
        <w:left w:val="none" w:sz="0" w:space="0" w:color="auto"/>
        <w:bottom w:val="none" w:sz="0" w:space="0" w:color="auto"/>
        <w:right w:val="none" w:sz="0" w:space="0" w:color="auto"/>
      </w:divBdr>
    </w:div>
    <w:div w:id="673652376">
      <w:bodyDiv w:val="1"/>
      <w:marLeft w:val="0"/>
      <w:marRight w:val="0"/>
      <w:marTop w:val="0"/>
      <w:marBottom w:val="0"/>
      <w:divBdr>
        <w:top w:val="none" w:sz="0" w:space="0" w:color="auto"/>
        <w:left w:val="none" w:sz="0" w:space="0" w:color="auto"/>
        <w:bottom w:val="none" w:sz="0" w:space="0" w:color="auto"/>
        <w:right w:val="none" w:sz="0" w:space="0" w:color="auto"/>
      </w:divBdr>
    </w:div>
    <w:div w:id="673725091">
      <w:bodyDiv w:val="1"/>
      <w:marLeft w:val="0"/>
      <w:marRight w:val="0"/>
      <w:marTop w:val="0"/>
      <w:marBottom w:val="0"/>
      <w:divBdr>
        <w:top w:val="none" w:sz="0" w:space="0" w:color="auto"/>
        <w:left w:val="none" w:sz="0" w:space="0" w:color="auto"/>
        <w:bottom w:val="none" w:sz="0" w:space="0" w:color="auto"/>
        <w:right w:val="none" w:sz="0" w:space="0" w:color="auto"/>
      </w:divBdr>
    </w:div>
    <w:div w:id="673799471">
      <w:bodyDiv w:val="1"/>
      <w:marLeft w:val="0"/>
      <w:marRight w:val="0"/>
      <w:marTop w:val="0"/>
      <w:marBottom w:val="0"/>
      <w:divBdr>
        <w:top w:val="none" w:sz="0" w:space="0" w:color="auto"/>
        <w:left w:val="none" w:sz="0" w:space="0" w:color="auto"/>
        <w:bottom w:val="none" w:sz="0" w:space="0" w:color="auto"/>
        <w:right w:val="none" w:sz="0" w:space="0" w:color="auto"/>
      </w:divBdr>
    </w:div>
    <w:div w:id="673806737">
      <w:bodyDiv w:val="1"/>
      <w:marLeft w:val="0"/>
      <w:marRight w:val="0"/>
      <w:marTop w:val="0"/>
      <w:marBottom w:val="0"/>
      <w:divBdr>
        <w:top w:val="none" w:sz="0" w:space="0" w:color="auto"/>
        <w:left w:val="none" w:sz="0" w:space="0" w:color="auto"/>
        <w:bottom w:val="none" w:sz="0" w:space="0" w:color="auto"/>
        <w:right w:val="none" w:sz="0" w:space="0" w:color="auto"/>
      </w:divBdr>
    </w:div>
    <w:div w:id="674068110">
      <w:bodyDiv w:val="1"/>
      <w:marLeft w:val="0"/>
      <w:marRight w:val="0"/>
      <w:marTop w:val="0"/>
      <w:marBottom w:val="0"/>
      <w:divBdr>
        <w:top w:val="none" w:sz="0" w:space="0" w:color="auto"/>
        <w:left w:val="none" w:sz="0" w:space="0" w:color="auto"/>
        <w:bottom w:val="none" w:sz="0" w:space="0" w:color="auto"/>
        <w:right w:val="none" w:sz="0" w:space="0" w:color="auto"/>
      </w:divBdr>
    </w:div>
    <w:div w:id="674109181">
      <w:bodyDiv w:val="1"/>
      <w:marLeft w:val="0"/>
      <w:marRight w:val="0"/>
      <w:marTop w:val="0"/>
      <w:marBottom w:val="0"/>
      <w:divBdr>
        <w:top w:val="none" w:sz="0" w:space="0" w:color="auto"/>
        <w:left w:val="none" w:sz="0" w:space="0" w:color="auto"/>
        <w:bottom w:val="none" w:sz="0" w:space="0" w:color="auto"/>
        <w:right w:val="none" w:sz="0" w:space="0" w:color="auto"/>
      </w:divBdr>
    </w:div>
    <w:div w:id="674261722">
      <w:bodyDiv w:val="1"/>
      <w:marLeft w:val="0"/>
      <w:marRight w:val="0"/>
      <w:marTop w:val="0"/>
      <w:marBottom w:val="0"/>
      <w:divBdr>
        <w:top w:val="none" w:sz="0" w:space="0" w:color="auto"/>
        <w:left w:val="none" w:sz="0" w:space="0" w:color="auto"/>
        <w:bottom w:val="none" w:sz="0" w:space="0" w:color="auto"/>
        <w:right w:val="none" w:sz="0" w:space="0" w:color="auto"/>
      </w:divBdr>
    </w:div>
    <w:div w:id="674306227">
      <w:bodyDiv w:val="1"/>
      <w:marLeft w:val="0"/>
      <w:marRight w:val="0"/>
      <w:marTop w:val="0"/>
      <w:marBottom w:val="0"/>
      <w:divBdr>
        <w:top w:val="none" w:sz="0" w:space="0" w:color="auto"/>
        <w:left w:val="none" w:sz="0" w:space="0" w:color="auto"/>
        <w:bottom w:val="none" w:sz="0" w:space="0" w:color="auto"/>
        <w:right w:val="none" w:sz="0" w:space="0" w:color="auto"/>
      </w:divBdr>
    </w:div>
    <w:div w:id="674459385">
      <w:bodyDiv w:val="1"/>
      <w:marLeft w:val="0"/>
      <w:marRight w:val="0"/>
      <w:marTop w:val="0"/>
      <w:marBottom w:val="0"/>
      <w:divBdr>
        <w:top w:val="none" w:sz="0" w:space="0" w:color="auto"/>
        <w:left w:val="none" w:sz="0" w:space="0" w:color="auto"/>
        <w:bottom w:val="none" w:sz="0" w:space="0" w:color="auto"/>
        <w:right w:val="none" w:sz="0" w:space="0" w:color="auto"/>
      </w:divBdr>
    </w:div>
    <w:div w:id="674721225">
      <w:bodyDiv w:val="1"/>
      <w:marLeft w:val="0"/>
      <w:marRight w:val="0"/>
      <w:marTop w:val="0"/>
      <w:marBottom w:val="0"/>
      <w:divBdr>
        <w:top w:val="none" w:sz="0" w:space="0" w:color="auto"/>
        <w:left w:val="none" w:sz="0" w:space="0" w:color="auto"/>
        <w:bottom w:val="none" w:sz="0" w:space="0" w:color="auto"/>
        <w:right w:val="none" w:sz="0" w:space="0" w:color="auto"/>
      </w:divBdr>
    </w:div>
    <w:div w:id="674766362">
      <w:bodyDiv w:val="1"/>
      <w:marLeft w:val="0"/>
      <w:marRight w:val="0"/>
      <w:marTop w:val="0"/>
      <w:marBottom w:val="0"/>
      <w:divBdr>
        <w:top w:val="none" w:sz="0" w:space="0" w:color="auto"/>
        <w:left w:val="none" w:sz="0" w:space="0" w:color="auto"/>
        <w:bottom w:val="none" w:sz="0" w:space="0" w:color="auto"/>
        <w:right w:val="none" w:sz="0" w:space="0" w:color="auto"/>
      </w:divBdr>
    </w:div>
    <w:div w:id="674769654">
      <w:bodyDiv w:val="1"/>
      <w:marLeft w:val="0"/>
      <w:marRight w:val="0"/>
      <w:marTop w:val="0"/>
      <w:marBottom w:val="0"/>
      <w:divBdr>
        <w:top w:val="none" w:sz="0" w:space="0" w:color="auto"/>
        <w:left w:val="none" w:sz="0" w:space="0" w:color="auto"/>
        <w:bottom w:val="none" w:sz="0" w:space="0" w:color="auto"/>
        <w:right w:val="none" w:sz="0" w:space="0" w:color="auto"/>
      </w:divBdr>
    </w:div>
    <w:div w:id="674839538">
      <w:bodyDiv w:val="1"/>
      <w:marLeft w:val="0"/>
      <w:marRight w:val="0"/>
      <w:marTop w:val="0"/>
      <w:marBottom w:val="0"/>
      <w:divBdr>
        <w:top w:val="none" w:sz="0" w:space="0" w:color="auto"/>
        <w:left w:val="none" w:sz="0" w:space="0" w:color="auto"/>
        <w:bottom w:val="none" w:sz="0" w:space="0" w:color="auto"/>
        <w:right w:val="none" w:sz="0" w:space="0" w:color="auto"/>
      </w:divBdr>
    </w:div>
    <w:div w:id="674840714">
      <w:bodyDiv w:val="1"/>
      <w:marLeft w:val="0"/>
      <w:marRight w:val="0"/>
      <w:marTop w:val="0"/>
      <w:marBottom w:val="0"/>
      <w:divBdr>
        <w:top w:val="none" w:sz="0" w:space="0" w:color="auto"/>
        <w:left w:val="none" w:sz="0" w:space="0" w:color="auto"/>
        <w:bottom w:val="none" w:sz="0" w:space="0" w:color="auto"/>
        <w:right w:val="none" w:sz="0" w:space="0" w:color="auto"/>
      </w:divBdr>
    </w:div>
    <w:div w:id="674842603">
      <w:bodyDiv w:val="1"/>
      <w:marLeft w:val="0"/>
      <w:marRight w:val="0"/>
      <w:marTop w:val="0"/>
      <w:marBottom w:val="0"/>
      <w:divBdr>
        <w:top w:val="none" w:sz="0" w:space="0" w:color="auto"/>
        <w:left w:val="none" w:sz="0" w:space="0" w:color="auto"/>
        <w:bottom w:val="none" w:sz="0" w:space="0" w:color="auto"/>
        <w:right w:val="none" w:sz="0" w:space="0" w:color="auto"/>
      </w:divBdr>
    </w:div>
    <w:div w:id="675152544">
      <w:bodyDiv w:val="1"/>
      <w:marLeft w:val="0"/>
      <w:marRight w:val="0"/>
      <w:marTop w:val="0"/>
      <w:marBottom w:val="0"/>
      <w:divBdr>
        <w:top w:val="none" w:sz="0" w:space="0" w:color="auto"/>
        <w:left w:val="none" w:sz="0" w:space="0" w:color="auto"/>
        <w:bottom w:val="none" w:sz="0" w:space="0" w:color="auto"/>
        <w:right w:val="none" w:sz="0" w:space="0" w:color="auto"/>
      </w:divBdr>
    </w:div>
    <w:div w:id="675231902">
      <w:bodyDiv w:val="1"/>
      <w:marLeft w:val="0"/>
      <w:marRight w:val="0"/>
      <w:marTop w:val="0"/>
      <w:marBottom w:val="0"/>
      <w:divBdr>
        <w:top w:val="none" w:sz="0" w:space="0" w:color="auto"/>
        <w:left w:val="none" w:sz="0" w:space="0" w:color="auto"/>
        <w:bottom w:val="none" w:sz="0" w:space="0" w:color="auto"/>
        <w:right w:val="none" w:sz="0" w:space="0" w:color="auto"/>
      </w:divBdr>
    </w:div>
    <w:div w:id="675234694">
      <w:bodyDiv w:val="1"/>
      <w:marLeft w:val="0"/>
      <w:marRight w:val="0"/>
      <w:marTop w:val="0"/>
      <w:marBottom w:val="0"/>
      <w:divBdr>
        <w:top w:val="none" w:sz="0" w:space="0" w:color="auto"/>
        <w:left w:val="none" w:sz="0" w:space="0" w:color="auto"/>
        <w:bottom w:val="none" w:sz="0" w:space="0" w:color="auto"/>
        <w:right w:val="none" w:sz="0" w:space="0" w:color="auto"/>
      </w:divBdr>
    </w:div>
    <w:div w:id="675306955">
      <w:bodyDiv w:val="1"/>
      <w:marLeft w:val="0"/>
      <w:marRight w:val="0"/>
      <w:marTop w:val="0"/>
      <w:marBottom w:val="0"/>
      <w:divBdr>
        <w:top w:val="none" w:sz="0" w:space="0" w:color="auto"/>
        <w:left w:val="none" w:sz="0" w:space="0" w:color="auto"/>
        <w:bottom w:val="none" w:sz="0" w:space="0" w:color="auto"/>
        <w:right w:val="none" w:sz="0" w:space="0" w:color="auto"/>
      </w:divBdr>
    </w:div>
    <w:div w:id="675349800">
      <w:bodyDiv w:val="1"/>
      <w:marLeft w:val="0"/>
      <w:marRight w:val="0"/>
      <w:marTop w:val="0"/>
      <w:marBottom w:val="0"/>
      <w:divBdr>
        <w:top w:val="none" w:sz="0" w:space="0" w:color="auto"/>
        <w:left w:val="none" w:sz="0" w:space="0" w:color="auto"/>
        <w:bottom w:val="none" w:sz="0" w:space="0" w:color="auto"/>
        <w:right w:val="none" w:sz="0" w:space="0" w:color="auto"/>
      </w:divBdr>
    </w:div>
    <w:div w:id="675351622">
      <w:bodyDiv w:val="1"/>
      <w:marLeft w:val="0"/>
      <w:marRight w:val="0"/>
      <w:marTop w:val="0"/>
      <w:marBottom w:val="0"/>
      <w:divBdr>
        <w:top w:val="none" w:sz="0" w:space="0" w:color="auto"/>
        <w:left w:val="none" w:sz="0" w:space="0" w:color="auto"/>
        <w:bottom w:val="none" w:sz="0" w:space="0" w:color="auto"/>
        <w:right w:val="none" w:sz="0" w:space="0" w:color="auto"/>
      </w:divBdr>
    </w:div>
    <w:div w:id="675353218">
      <w:bodyDiv w:val="1"/>
      <w:marLeft w:val="0"/>
      <w:marRight w:val="0"/>
      <w:marTop w:val="0"/>
      <w:marBottom w:val="0"/>
      <w:divBdr>
        <w:top w:val="none" w:sz="0" w:space="0" w:color="auto"/>
        <w:left w:val="none" w:sz="0" w:space="0" w:color="auto"/>
        <w:bottom w:val="none" w:sz="0" w:space="0" w:color="auto"/>
        <w:right w:val="none" w:sz="0" w:space="0" w:color="auto"/>
      </w:divBdr>
    </w:div>
    <w:div w:id="675886763">
      <w:bodyDiv w:val="1"/>
      <w:marLeft w:val="0"/>
      <w:marRight w:val="0"/>
      <w:marTop w:val="0"/>
      <w:marBottom w:val="0"/>
      <w:divBdr>
        <w:top w:val="none" w:sz="0" w:space="0" w:color="auto"/>
        <w:left w:val="none" w:sz="0" w:space="0" w:color="auto"/>
        <w:bottom w:val="none" w:sz="0" w:space="0" w:color="auto"/>
        <w:right w:val="none" w:sz="0" w:space="0" w:color="auto"/>
      </w:divBdr>
    </w:div>
    <w:div w:id="675961955">
      <w:bodyDiv w:val="1"/>
      <w:marLeft w:val="0"/>
      <w:marRight w:val="0"/>
      <w:marTop w:val="0"/>
      <w:marBottom w:val="0"/>
      <w:divBdr>
        <w:top w:val="none" w:sz="0" w:space="0" w:color="auto"/>
        <w:left w:val="none" w:sz="0" w:space="0" w:color="auto"/>
        <w:bottom w:val="none" w:sz="0" w:space="0" w:color="auto"/>
        <w:right w:val="none" w:sz="0" w:space="0" w:color="auto"/>
      </w:divBdr>
    </w:div>
    <w:div w:id="675965859">
      <w:bodyDiv w:val="1"/>
      <w:marLeft w:val="0"/>
      <w:marRight w:val="0"/>
      <w:marTop w:val="0"/>
      <w:marBottom w:val="0"/>
      <w:divBdr>
        <w:top w:val="none" w:sz="0" w:space="0" w:color="auto"/>
        <w:left w:val="none" w:sz="0" w:space="0" w:color="auto"/>
        <w:bottom w:val="none" w:sz="0" w:space="0" w:color="auto"/>
        <w:right w:val="none" w:sz="0" w:space="0" w:color="auto"/>
      </w:divBdr>
    </w:div>
    <w:div w:id="676076665">
      <w:bodyDiv w:val="1"/>
      <w:marLeft w:val="0"/>
      <w:marRight w:val="0"/>
      <w:marTop w:val="0"/>
      <w:marBottom w:val="0"/>
      <w:divBdr>
        <w:top w:val="none" w:sz="0" w:space="0" w:color="auto"/>
        <w:left w:val="none" w:sz="0" w:space="0" w:color="auto"/>
        <w:bottom w:val="none" w:sz="0" w:space="0" w:color="auto"/>
        <w:right w:val="none" w:sz="0" w:space="0" w:color="auto"/>
      </w:divBdr>
    </w:div>
    <w:div w:id="676083293">
      <w:bodyDiv w:val="1"/>
      <w:marLeft w:val="0"/>
      <w:marRight w:val="0"/>
      <w:marTop w:val="0"/>
      <w:marBottom w:val="0"/>
      <w:divBdr>
        <w:top w:val="none" w:sz="0" w:space="0" w:color="auto"/>
        <w:left w:val="none" w:sz="0" w:space="0" w:color="auto"/>
        <w:bottom w:val="none" w:sz="0" w:space="0" w:color="auto"/>
        <w:right w:val="none" w:sz="0" w:space="0" w:color="auto"/>
      </w:divBdr>
    </w:div>
    <w:div w:id="676151094">
      <w:bodyDiv w:val="1"/>
      <w:marLeft w:val="0"/>
      <w:marRight w:val="0"/>
      <w:marTop w:val="0"/>
      <w:marBottom w:val="0"/>
      <w:divBdr>
        <w:top w:val="none" w:sz="0" w:space="0" w:color="auto"/>
        <w:left w:val="none" w:sz="0" w:space="0" w:color="auto"/>
        <w:bottom w:val="none" w:sz="0" w:space="0" w:color="auto"/>
        <w:right w:val="none" w:sz="0" w:space="0" w:color="auto"/>
      </w:divBdr>
    </w:div>
    <w:div w:id="676233152">
      <w:bodyDiv w:val="1"/>
      <w:marLeft w:val="0"/>
      <w:marRight w:val="0"/>
      <w:marTop w:val="0"/>
      <w:marBottom w:val="0"/>
      <w:divBdr>
        <w:top w:val="none" w:sz="0" w:space="0" w:color="auto"/>
        <w:left w:val="none" w:sz="0" w:space="0" w:color="auto"/>
        <w:bottom w:val="none" w:sz="0" w:space="0" w:color="auto"/>
        <w:right w:val="none" w:sz="0" w:space="0" w:color="auto"/>
      </w:divBdr>
    </w:div>
    <w:div w:id="676270447">
      <w:bodyDiv w:val="1"/>
      <w:marLeft w:val="0"/>
      <w:marRight w:val="0"/>
      <w:marTop w:val="0"/>
      <w:marBottom w:val="0"/>
      <w:divBdr>
        <w:top w:val="none" w:sz="0" w:space="0" w:color="auto"/>
        <w:left w:val="none" w:sz="0" w:space="0" w:color="auto"/>
        <w:bottom w:val="none" w:sz="0" w:space="0" w:color="auto"/>
        <w:right w:val="none" w:sz="0" w:space="0" w:color="auto"/>
      </w:divBdr>
    </w:div>
    <w:div w:id="676271768">
      <w:bodyDiv w:val="1"/>
      <w:marLeft w:val="0"/>
      <w:marRight w:val="0"/>
      <w:marTop w:val="0"/>
      <w:marBottom w:val="0"/>
      <w:divBdr>
        <w:top w:val="none" w:sz="0" w:space="0" w:color="auto"/>
        <w:left w:val="none" w:sz="0" w:space="0" w:color="auto"/>
        <w:bottom w:val="none" w:sz="0" w:space="0" w:color="auto"/>
        <w:right w:val="none" w:sz="0" w:space="0" w:color="auto"/>
      </w:divBdr>
    </w:div>
    <w:div w:id="676272754">
      <w:bodyDiv w:val="1"/>
      <w:marLeft w:val="0"/>
      <w:marRight w:val="0"/>
      <w:marTop w:val="0"/>
      <w:marBottom w:val="0"/>
      <w:divBdr>
        <w:top w:val="none" w:sz="0" w:space="0" w:color="auto"/>
        <w:left w:val="none" w:sz="0" w:space="0" w:color="auto"/>
        <w:bottom w:val="none" w:sz="0" w:space="0" w:color="auto"/>
        <w:right w:val="none" w:sz="0" w:space="0" w:color="auto"/>
      </w:divBdr>
    </w:div>
    <w:div w:id="676273793">
      <w:bodyDiv w:val="1"/>
      <w:marLeft w:val="0"/>
      <w:marRight w:val="0"/>
      <w:marTop w:val="0"/>
      <w:marBottom w:val="0"/>
      <w:divBdr>
        <w:top w:val="none" w:sz="0" w:space="0" w:color="auto"/>
        <w:left w:val="none" w:sz="0" w:space="0" w:color="auto"/>
        <w:bottom w:val="none" w:sz="0" w:space="0" w:color="auto"/>
        <w:right w:val="none" w:sz="0" w:space="0" w:color="auto"/>
      </w:divBdr>
    </w:div>
    <w:div w:id="676733537">
      <w:bodyDiv w:val="1"/>
      <w:marLeft w:val="0"/>
      <w:marRight w:val="0"/>
      <w:marTop w:val="0"/>
      <w:marBottom w:val="0"/>
      <w:divBdr>
        <w:top w:val="none" w:sz="0" w:space="0" w:color="auto"/>
        <w:left w:val="none" w:sz="0" w:space="0" w:color="auto"/>
        <w:bottom w:val="none" w:sz="0" w:space="0" w:color="auto"/>
        <w:right w:val="none" w:sz="0" w:space="0" w:color="auto"/>
      </w:divBdr>
    </w:div>
    <w:div w:id="676807385">
      <w:bodyDiv w:val="1"/>
      <w:marLeft w:val="0"/>
      <w:marRight w:val="0"/>
      <w:marTop w:val="0"/>
      <w:marBottom w:val="0"/>
      <w:divBdr>
        <w:top w:val="none" w:sz="0" w:space="0" w:color="auto"/>
        <w:left w:val="none" w:sz="0" w:space="0" w:color="auto"/>
        <w:bottom w:val="none" w:sz="0" w:space="0" w:color="auto"/>
        <w:right w:val="none" w:sz="0" w:space="0" w:color="auto"/>
      </w:divBdr>
    </w:div>
    <w:div w:id="676812360">
      <w:bodyDiv w:val="1"/>
      <w:marLeft w:val="0"/>
      <w:marRight w:val="0"/>
      <w:marTop w:val="0"/>
      <w:marBottom w:val="0"/>
      <w:divBdr>
        <w:top w:val="none" w:sz="0" w:space="0" w:color="auto"/>
        <w:left w:val="none" w:sz="0" w:space="0" w:color="auto"/>
        <w:bottom w:val="none" w:sz="0" w:space="0" w:color="auto"/>
        <w:right w:val="none" w:sz="0" w:space="0" w:color="auto"/>
      </w:divBdr>
    </w:div>
    <w:div w:id="677081635">
      <w:bodyDiv w:val="1"/>
      <w:marLeft w:val="0"/>
      <w:marRight w:val="0"/>
      <w:marTop w:val="0"/>
      <w:marBottom w:val="0"/>
      <w:divBdr>
        <w:top w:val="none" w:sz="0" w:space="0" w:color="auto"/>
        <w:left w:val="none" w:sz="0" w:space="0" w:color="auto"/>
        <w:bottom w:val="none" w:sz="0" w:space="0" w:color="auto"/>
        <w:right w:val="none" w:sz="0" w:space="0" w:color="auto"/>
      </w:divBdr>
    </w:div>
    <w:div w:id="677119959">
      <w:bodyDiv w:val="1"/>
      <w:marLeft w:val="0"/>
      <w:marRight w:val="0"/>
      <w:marTop w:val="0"/>
      <w:marBottom w:val="0"/>
      <w:divBdr>
        <w:top w:val="none" w:sz="0" w:space="0" w:color="auto"/>
        <w:left w:val="none" w:sz="0" w:space="0" w:color="auto"/>
        <w:bottom w:val="none" w:sz="0" w:space="0" w:color="auto"/>
        <w:right w:val="none" w:sz="0" w:space="0" w:color="auto"/>
      </w:divBdr>
    </w:div>
    <w:div w:id="677193117">
      <w:bodyDiv w:val="1"/>
      <w:marLeft w:val="0"/>
      <w:marRight w:val="0"/>
      <w:marTop w:val="0"/>
      <w:marBottom w:val="0"/>
      <w:divBdr>
        <w:top w:val="none" w:sz="0" w:space="0" w:color="auto"/>
        <w:left w:val="none" w:sz="0" w:space="0" w:color="auto"/>
        <w:bottom w:val="none" w:sz="0" w:space="0" w:color="auto"/>
        <w:right w:val="none" w:sz="0" w:space="0" w:color="auto"/>
      </w:divBdr>
    </w:div>
    <w:div w:id="677587428">
      <w:bodyDiv w:val="1"/>
      <w:marLeft w:val="0"/>
      <w:marRight w:val="0"/>
      <w:marTop w:val="0"/>
      <w:marBottom w:val="0"/>
      <w:divBdr>
        <w:top w:val="none" w:sz="0" w:space="0" w:color="auto"/>
        <w:left w:val="none" w:sz="0" w:space="0" w:color="auto"/>
        <w:bottom w:val="none" w:sz="0" w:space="0" w:color="auto"/>
        <w:right w:val="none" w:sz="0" w:space="0" w:color="auto"/>
      </w:divBdr>
    </w:div>
    <w:div w:id="677732880">
      <w:bodyDiv w:val="1"/>
      <w:marLeft w:val="0"/>
      <w:marRight w:val="0"/>
      <w:marTop w:val="0"/>
      <w:marBottom w:val="0"/>
      <w:divBdr>
        <w:top w:val="none" w:sz="0" w:space="0" w:color="auto"/>
        <w:left w:val="none" w:sz="0" w:space="0" w:color="auto"/>
        <w:bottom w:val="none" w:sz="0" w:space="0" w:color="auto"/>
        <w:right w:val="none" w:sz="0" w:space="0" w:color="auto"/>
      </w:divBdr>
    </w:div>
    <w:div w:id="677738154">
      <w:bodyDiv w:val="1"/>
      <w:marLeft w:val="0"/>
      <w:marRight w:val="0"/>
      <w:marTop w:val="0"/>
      <w:marBottom w:val="0"/>
      <w:divBdr>
        <w:top w:val="none" w:sz="0" w:space="0" w:color="auto"/>
        <w:left w:val="none" w:sz="0" w:space="0" w:color="auto"/>
        <w:bottom w:val="none" w:sz="0" w:space="0" w:color="auto"/>
        <w:right w:val="none" w:sz="0" w:space="0" w:color="auto"/>
      </w:divBdr>
    </w:div>
    <w:div w:id="677773920">
      <w:bodyDiv w:val="1"/>
      <w:marLeft w:val="0"/>
      <w:marRight w:val="0"/>
      <w:marTop w:val="0"/>
      <w:marBottom w:val="0"/>
      <w:divBdr>
        <w:top w:val="none" w:sz="0" w:space="0" w:color="auto"/>
        <w:left w:val="none" w:sz="0" w:space="0" w:color="auto"/>
        <w:bottom w:val="none" w:sz="0" w:space="0" w:color="auto"/>
        <w:right w:val="none" w:sz="0" w:space="0" w:color="auto"/>
      </w:divBdr>
    </w:div>
    <w:div w:id="677778418">
      <w:bodyDiv w:val="1"/>
      <w:marLeft w:val="0"/>
      <w:marRight w:val="0"/>
      <w:marTop w:val="0"/>
      <w:marBottom w:val="0"/>
      <w:divBdr>
        <w:top w:val="none" w:sz="0" w:space="0" w:color="auto"/>
        <w:left w:val="none" w:sz="0" w:space="0" w:color="auto"/>
        <w:bottom w:val="none" w:sz="0" w:space="0" w:color="auto"/>
        <w:right w:val="none" w:sz="0" w:space="0" w:color="auto"/>
      </w:divBdr>
    </w:div>
    <w:div w:id="677779371">
      <w:bodyDiv w:val="1"/>
      <w:marLeft w:val="0"/>
      <w:marRight w:val="0"/>
      <w:marTop w:val="0"/>
      <w:marBottom w:val="0"/>
      <w:divBdr>
        <w:top w:val="none" w:sz="0" w:space="0" w:color="auto"/>
        <w:left w:val="none" w:sz="0" w:space="0" w:color="auto"/>
        <w:bottom w:val="none" w:sz="0" w:space="0" w:color="auto"/>
        <w:right w:val="none" w:sz="0" w:space="0" w:color="auto"/>
      </w:divBdr>
    </w:div>
    <w:div w:id="677851541">
      <w:bodyDiv w:val="1"/>
      <w:marLeft w:val="0"/>
      <w:marRight w:val="0"/>
      <w:marTop w:val="0"/>
      <w:marBottom w:val="0"/>
      <w:divBdr>
        <w:top w:val="none" w:sz="0" w:space="0" w:color="auto"/>
        <w:left w:val="none" w:sz="0" w:space="0" w:color="auto"/>
        <w:bottom w:val="none" w:sz="0" w:space="0" w:color="auto"/>
        <w:right w:val="none" w:sz="0" w:space="0" w:color="auto"/>
      </w:divBdr>
    </w:div>
    <w:div w:id="677923886">
      <w:bodyDiv w:val="1"/>
      <w:marLeft w:val="0"/>
      <w:marRight w:val="0"/>
      <w:marTop w:val="0"/>
      <w:marBottom w:val="0"/>
      <w:divBdr>
        <w:top w:val="none" w:sz="0" w:space="0" w:color="auto"/>
        <w:left w:val="none" w:sz="0" w:space="0" w:color="auto"/>
        <w:bottom w:val="none" w:sz="0" w:space="0" w:color="auto"/>
        <w:right w:val="none" w:sz="0" w:space="0" w:color="auto"/>
      </w:divBdr>
    </w:div>
    <w:div w:id="677927419">
      <w:bodyDiv w:val="1"/>
      <w:marLeft w:val="0"/>
      <w:marRight w:val="0"/>
      <w:marTop w:val="0"/>
      <w:marBottom w:val="0"/>
      <w:divBdr>
        <w:top w:val="none" w:sz="0" w:space="0" w:color="auto"/>
        <w:left w:val="none" w:sz="0" w:space="0" w:color="auto"/>
        <w:bottom w:val="none" w:sz="0" w:space="0" w:color="auto"/>
        <w:right w:val="none" w:sz="0" w:space="0" w:color="auto"/>
      </w:divBdr>
    </w:div>
    <w:div w:id="677930758">
      <w:bodyDiv w:val="1"/>
      <w:marLeft w:val="0"/>
      <w:marRight w:val="0"/>
      <w:marTop w:val="0"/>
      <w:marBottom w:val="0"/>
      <w:divBdr>
        <w:top w:val="none" w:sz="0" w:space="0" w:color="auto"/>
        <w:left w:val="none" w:sz="0" w:space="0" w:color="auto"/>
        <w:bottom w:val="none" w:sz="0" w:space="0" w:color="auto"/>
        <w:right w:val="none" w:sz="0" w:space="0" w:color="auto"/>
      </w:divBdr>
    </w:div>
    <w:div w:id="678002033">
      <w:bodyDiv w:val="1"/>
      <w:marLeft w:val="0"/>
      <w:marRight w:val="0"/>
      <w:marTop w:val="0"/>
      <w:marBottom w:val="0"/>
      <w:divBdr>
        <w:top w:val="none" w:sz="0" w:space="0" w:color="auto"/>
        <w:left w:val="none" w:sz="0" w:space="0" w:color="auto"/>
        <w:bottom w:val="none" w:sz="0" w:space="0" w:color="auto"/>
        <w:right w:val="none" w:sz="0" w:space="0" w:color="auto"/>
      </w:divBdr>
    </w:div>
    <w:div w:id="678045209">
      <w:bodyDiv w:val="1"/>
      <w:marLeft w:val="0"/>
      <w:marRight w:val="0"/>
      <w:marTop w:val="0"/>
      <w:marBottom w:val="0"/>
      <w:divBdr>
        <w:top w:val="none" w:sz="0" w:space="0" w:color="auto"/>
        <w:left w:val="none" w:sz="0" w:space="0" w:color="auto"/>
        <w:bottom w:val="none" w:sz="0" w:space="0" w:color="auto"/>
        <w:right w:val="none" w:sz="0" w:space="0" w:color="auto"/>
      </w:divBdr>
    </w:div>
    <w:div w:id="678118188">
      <w:bodyDiv w:val="1"/>
      <w:marLeft w:val="0"/>
      <w:marRight w:val="0"/>
      <w:marTop w:val="0"/>
      <w:marBottom w:val="0"/>
      <w:divBdr>
        <w:top w:val="none" w:sz="0" w:space="0" w:color="auto"/>
        <w:left w:val="none" w:sz="0" w:space="0" w:color="auto"/>
        <w:bottom w:val="none" w:sz="0" w:space="0" w:color="auto"/>
        <w:right w:val="none" w:sz="0" w:space="0" w:color="auto"/>
      </w:divBdr>
    </w:div>
    <w:div w:id="678193398">
      <w:bodyDiv w:val="1"/>
      <w:marLeft w:val="0"/>
      <w:marRight w:val="0"/>
      <w:marTop w:val="0"/>
      <w:marBottom w:val="0"/>
      <w:divBdr>
        <w:top w:val="none" w:sz="0" w:space="0" w:color="auto"/>
        <w:left w:val="none" w:sz="0" w:space="0" w:color="auto"/>
        <w:bottom w:val="none" w:sz="0" w:space="0" w:color="auto"/>
        <w:right w:val="none" w:sz="0" w:space="0" w:color="auto"/>
      </w:divBdr>
    </w:div>
    <w:div w:id="678314068">
      <w:bodyDiv w:val="1"/>
      <w:marLeft w:val="0"/>
      <w:marRight w:val="0"/>
      <w:marTop w:val="0"/>
      <w:marBottom w:val="0"/>
      <w:divBdr>
        <w:top w:val="none" w:sz="0" w:space="0" w:color="auto"/>
        <w:left w:val="none" w:sz="0" w:space="0" w:color="auto"/>
        <w:bottom w:val="none" w:sz="0" w:space="0" w:color="auto"/>
        <w:right w:val="none" w:sz="0" w:space="0" w:color="auto"/>
      </w:divBdr>
    </w:div>
    <w:div w:id="678385714">
      <w:bodyDiv w:val="1"/>
      <w:marLeft w:val="0"/>
      <w:marRight w:val="0"/>
      <w:marTop w:val="0"/>
      <w:marBottom w:val="0"/>
      <w:divBdr>
        <w:top w:val="none" w:sz="0" w:space="0" w:color="auto"/>
        <w:left w:val="none" w:sz="0" w:space="0" w:color="auto"/>
        <w:bottom w:val="none" w:sz="0" w:space="0" w:color="auto"/>
        <w:right w:val="none" w:sz="0" w:space="0" w:color="auto"/>
      </w:divBdr>
    </w:div>
    <w:div w:id="678390205">
      <w:bodyDiv w:val="1"/>
      <w:marLeft w:val="0"/>
      <w:marRight w:val="0"/>
      <w:marTop w:val="0"/>
      <w:marBottom w:val="0"/>
      <w:divBdr>
        <w:top w:val="none" w:sz="0" w:space="0" w:color="auto"/>
        <w:left w:val="none" w:sz="0" w:space="0" w:color="auto"/>
        <w:bottom w:val="none" w:sz="0" w:space="0" w:color="auto"/>
        <w:right w:val="none" w:sz="0" w:space="0" w:color="auto"/>
      </w:divBdr>
    </w:div>
    <w:div w:id="678502015">
      <w:bodyDiv w:val="1"/>
      <w:marLeft w:val="0"/>
      <w:marRight w:val="0"/>
      <w:marTop w:val="0"/>
      <w:marBottom w:val="0"/>
      <w:divBdr>
        <w:top w:val="none" w:sz="0" w:space="0" w:color="auto"/>
        <w:left w:val="none" w:sz="0" w:space="0" w:color="auto"/>
        <w:bottom w:val="none" w:sz="0" w:space="0" w:color="auto"/>
        <w:right w:val="none" w:sz="0" w:space="0" w:color="auto"/>
      </w:divBdr>
    </w:div>
    <w:div w:id="678653287">
      <w:bodyDiv w:val="1"/>
      <w:marLeft w:val="0"/>
      <w:marRight w:val="0"/>
      <w:marTop w:val="0"/>
      <w:marBottom w:val="0"/>
      <w:divBdr>
        <w:top w:val="none" w:sz="0" w:space="0" w:color="auto"/>
        <w:left w:val="none" w:sz="0" w:space="0" w:color="auto"/>
        <w:bottom w:val="none" w:sz="0" w:space="0" w:color="auto"/>
        <w:right w:val="none" w:sz="0" w:space="0" w:color="auto"/>
      </w:divBdr>
    </w:div>
    <w:div w:id="678889204">
      <w:bodyDiv w:val="1"/>
      <w:marLeft w:val="0"/>
      <w:marRight w:val="0"/>
      <w:marTop w:val="0"/>
      <w:marBottom w:val="0"/>
      <w:divBdr>
        <w:top w:val="none" w:sz="0" w:space="0" w:color="auto"/>
        <w:left w:val="none" w:sz="0" w:space="0" w:color="auto"/>
        <w:bottom w:val="none" w:sz="0" w:space="0" w:color="auto"/>
        <w:right w:val="none" w:sz="0" w:space="0" w:color="auto"/>
      </w:divBdr>
    </w:div>
    <w:div w:id="678970677">
      <w:bodyDiv w:val="1"/>
      <w:marLeft w:val="0"/>
      <w:marRight w:val="0"/>
      <w:marTop w:val="0"/>
      <w:marBottom w:val="0"/>
      <w:divBdr>
        <w:top w:val="none" w:sz="0" w:space="0" w:color="auto"/>
        <w:left w:val="none" w:sz="0" w:space="0" w:color="auto"/>
        <w:bottom w:val="none" w:sz="0" w:space="0" w:color="auto"/>
        <w:right w:val="none" w:sz="0" w:space="0" w:color="auto"/>
      </w:divBdr>
    </w:div>
    <w:div w:id="679039269">
      <w:bodyDiv w:val="1"/>
      <w:marLeft w:val="0"/>
      <w:marRight w:val="0"/>
      <w:marTop w:val="0"/>
      <w:marBottom w:val="0"/>
      <w:divBdr>
        <w:top w:val="none" w:sz="0" w:space="0" w:color="auto"/>
        <w:left w:val="none" w:sz="0" w:space="0" w:color="auto"/>
        <w:bottom w:val="none" w:sz="0" w:space="0" w:color="auto"/>
        <w:right w:val="none" w:sz="0" w:space="0" w:color="auto"/>
      </w:divBdr>
    </w:div>
    <w:div w:id="679041723">
      <w:bodyDiv w:val="1"/>
      <w:marLeft w:val="0"/>
      <w:marRight w:val="0"/>
      <w:marTop w:val="0"/>
      <w:marBottom w:val="0"/>
      <w:divBdr>
        <w:top w:val="none" w:sz="0" w:space="0" w:color="auto"/>
        <w:left w:val="none" w:sz="0" w:space="0" w:color="auto"/>
        <w:bottom w:val="none" w:sz="0" w:space="0" w:color="auto"/>
        <w:right w:val="none" w:sz="0" w:space="0" w:color="auto"/>
      </w:divBdr>
    </w:div>
    <w:div w:id="679042050">
      <w:bodyDiv w:val="1"/>
      <w:marLeft w:val="0"/>
      <w:marRight w:val="0"/>
      <w:marTop w:val="0"/>
      <w:marBottom w:val="0"/>
      <w:divBdr>
        <w:top w:val="none" w:sz="0" w:space="0" w:color="auto"/>
        <w:left w:val="none" w:sz="0" w:space="0" w:color="auto"/>
        <w:bottom w:val="none" w:sz="0" w:space="0" w:color="auto"/>
        <w:right w:val="none" w:sz="0" w:space="0" w:color="auto"/>
      </w:divBdr>
    </w:div>
    <w:div w:id="679281729">
      <w:bodyDiv w:val="1"/>
      <w:marLeft w:val="0"/>
      <w:marRight w:val="0"/>
      <w:marTop w:val="0"/>
      <w:marBottom w:val="0"/>
      <w:divBdr>
        <w:top w:val="none" w:sz="0" w:space="0" w:color="auto"/>
        <w:left w:val="none" w:sz="0" w:space="0" w:color="auto"/>
        <w:bottom w:val="none" w:sz="0" w:space="0" w:color="auto"/>
        <w:right w:val="none" w:sz="0" w:space="0" w:color="auto"/>
      </w:divBdr>
    </w:div>
    <w:div w:id="679282506">
      <w:bodyDiv w:val="1"/>
      <w:marLeft w:val="0"/>
      <w:marRight w:val="0"/>
      <w:marTop w:val="0"/>
      <w:marBottom w:val="0"/>
      <w:divBdr>
        <w:top w:val="none" w:sz="0" w:space="0" w:color="auto"/>
        <w:left w:val="none" w:sz="0" w:space="0" w:color="auto"/>
        <w:bottom w:val="none" w:sz="0" w:space="0" w:color="auto"/>
        <w:right w:val="none" w:sz="0" w:space="0" w:color="auto"/>
      </w:divBdr>
    </w:div>
    <w:div w:id="679354337">
      <w:bodyDiv w:val="1"/>
      <w:marLeft w:val="0"/>
      <w:marRight w:val="0"/>
      <w:marTop w:val="0"/>
      <w:marBottom w:val="0"/>
      <w:divBdr>
        <w:top w:val="none" w:sz="0" w:space="0" w:color="auto"/>
        <w:left w:val="none" w:sz="0" w:space="0" w:color="auto"/>
        <w:bottom w:val="none" w:sz="0" w:space="0" w:color="auto"/>
        <w:right w:val="none" w:sz="0" w:space="0" w:color="auto"/>
      </w:divBdr>
    </w:div>
    <w:div w:id="679478133">
      <w:bodyDiv w:val="1"/>
      <w:marLeft w:val="0"/>
      <w:marRight w:val="0"/>
      <w:marTop w:val="0"/>
      <w:marBottom w:val="0"/>
      <w:divBdr>
        <w:top w:val="none" w:sz="0" w:space="0" w:color="auto"/>
        <w:left w:val="none" w:sz="0" w:space="0" w:color="auto"/>
        <w:bottom w:val="none" w:sz="0" w:space="0" w:color="auto"/>
        <w:right w:val="none" w:sz="0" w:space="0" w:color="auto"/>
      </w:divBdr>
    </w:div>
    <w:div w:id="679552171">
      <w:bodyDiv w:val="1"/>
      <w:marLeft w:val="0"/>
      <w:marRight w:val="0"/>
      <w:marTop w:val="0"/>
      <w:marBottom w:val="0"/>
      <w:divBdr>
        <w:top w:val="none" w:sz="0" w:space="0" w:color="auto"/>
        <w:left w:val="none" w:sz="0" w:space="0" w:color="auto"/>
        <w:bottom w:val="none" w:sz="0" w:space="0" w:color="auto"/>
        <w:right w:val="none" w:sz="0" w:space="0" w:color="auto"/>
      </w:divBdr>
    </w:div>
    <w:div w:id="679701327">
      <w:bodyDiv w:val="1"/>
      <w:marLeft w:val="0"/>
      <w:marRight w:val="0"/>
      <w:marTop w:val="0"/>
      <w:marBottom w:val="0"/>
      <w:divBdr>
        <w:top w:val="none" w:sz="0" w:space="0" w:color="auto"/>
        <w:left w:val="none" w:sz="0" w:space="0" w:color="auto"/>
        <w:bottom w:val="none" w:sz="0" w:space="0" w:color="auto"/>
        <w:right w:val="none" w:sz="0" w:space="0" w:color="auto"/>
      </w:divBdr>
    </w:div>
    <w:div w:id="679701495">
      <w:bodyDiv w:val="1"/>
      <w:marLeft w:val="0"/>
      <w:marRight w:val="0"/>
      <w:marTop w:val="0"/>
      <w:marBottom w:val="0"/>
      <w:divBdr>
        <w:top w:val="none" w:sz="0" w:space="0" w:color="auto"/>
        <w:left w:val="none" w:sz="0" w:space="0" w:color="auto"/>
        <w:bottom w:val="none" w:sz="0" w:space="0" w:color="auto"/>
        <w:right w:val="none" w:sz="0" w:space="0" w:color="auto"/>
      </w:divBdr>
    </w:div>
    <w:div w:id="679702616">
      <w:bodyDiv w:val="1"/>
      <w:marLeft w:val="0"/>
      <w:marRight w:val="0"/>
      <w:marTop w:val="0"/>
      <w:marBottom w:val="0"/>
      <w:divBdr>
        <w:top w:val="none" w:sz="0" w:space="0" w:color="auto"/>
        <w:left w:val="none" w:sz="0" w:space="0" w:color="auto"/>
        <w:bottom w:val="none" w:sz="0" w:space="0" w:color="auto"/>
        <w:right w:val="none" w:sz="0" w:space="0" w:color="auto"/>
      </w:divBdr>
    </w:div>
    <w:div w:id="679821727">
      <w:bodyDiv w:val="1"/>
      <w:marLeft w:val="0"/>
      <w:marRight w:val="0"/>
      <w:marTop w:val="0"/>
      <w:marBottom w:val="0"/>
      <w:divBdr>
        <w:top w:val="none" w:sz="0" w:space="0" w:color="auto"/>
        <w:left w:val="none" w:sz="0" w:space="0" w:color="auto"/>
        <w:bottom w:val="none" w:sz="0" w:space="0" w:color="auto"/>
        <w:right w:val="none" w:sz="0" w:space="0" w:color="auto"/>
      </w:divBdr>
    </w:div>
    <w:div w:id="679965761">
      <w:bodyDiv w:val="1"/>
      <w:marLeft w:val="0"/>
      <w:marRight w:val="0"/>
      <w:marTop w:val="0"/>
      <w:marBottom w:val="0"/>
      <w:divBdr>
        <w:top w:val="none" w:sz="0" w:space="0" w:color="auto"/>
        <w:left w:val="none" w:sz="0" w:space="0" w:color="auto"/>
        <w:bottom w:val="none" w:sz="0" w:space="0" w:color="auto"/>
        <w:right w:val="none" w:sz="0" w:space="0" w:color="auto"/>
      </w:divBdr>
    </w:div>
    <w:div w:id="679966446">
      <w:bodyDiv w:val="1"/>
      <w:marLeft w:val="0"/>
      <w:marRight w:val="0"/>
      <w:marTop w:val="0"/>
      <w:marBottom w:val="0"/>
      <w:divBdr>
        <w:top w:val="none" w:sz="0" w:space="0" w:color="auto"/>
        <w:left w:val="none" w:sz="0" w:space="0" w:color="auto"/>
        <w:bottom w:val="none" w:sz="0" w:space="0" w:color="auto"/>
        <w:right w:val="none" w:sz="0" w:space="0" w:color="auto"/>
      </w:divBdr>
    </w:div>
    <w:div w:id="680090391">
      <w:bodyDiv w:val="1"/>
      <w:marLeft w:val="0"/>
      <w:marRight w:val="0"/>
      <w:marTop w:val="0"/>
      <w:marBottom w:val="0"/>
      <w:divBdr>
        <w:top w:val="none" w:sz="0" w:space="0" w:color="auto"/>
        <w:left w:val="none" w:sz="0" w:space="0" w:color="auto"/>
        <w:bottom w:val="none" w:sz="0" w:space="0" w:color="auto"/>
        <w:right w:val="none" w:sz="0" w:space="0" w:color="auto"/>
      </w:divBdr>
    </w:div>
    <w:div w:id="680208423">
      <w:bodyDiv w:val="1"/>
      <w:marLeft w:val="0"/>
      <w:marRight w:val="0"/>
      <w:marTop w:val="0"/>
      <w:marBottom w:val="0"/>
      <w:divBdr>
        <w:top w:val="none" w:sz="0" w:space="0" w:color="auto"/>
        <w:left w:val="none" w:sz="0" w:space="0" w:color="auto"/>
        <w:bottom w:val="none" w:sz="0" w:space="0" w:color="auto"/>
        <w:right w:val="none" w:sz="0" w:space="0" w:color="auto"/>
      </w:divBdr>
    </w:div>
    <w:div w:id="680396929">
      <w:bodyDiv w:val="1"/>
      <w:marLeft w:val="0"/>
      <w:marRight w:val="0"/>
      <w:marTop w:val="0"/>
      <w:marBottom w:val="0"/>
      <w:divBdr>
        <w:top w:val="none" w:sz="0" w:space="0" w:color="auto"/>
        <w:left w:val="none" w:sz="0" w:space="0" w:color="auto"/>
        <w:bottom w:val="none" w:sz="0" w:space="0" w:color="auto"/>
        <w:right w:val="none" w:sz="0" w:space="0" w:color="auto"/>
      </w:divBdr>
    </w:div>
    <w:div w:id="680551371">
      <w:bodyDiv w:val="1"/>
      <w:marLeft w:val="0"/>
      <w:marRight w:val="0"/>
      <w:marTop w:val="0"/>
      <w:marBottom w:val="0"/>
      <w:divBdr>
        <w:top w:val="none" w:sz="0" w:space="0" w:color="auto"/>
        <w:left w:val="none" w:sz="0" w:space="0" w:color="auto"/>
        <w:bottom w:val="none" w:sz="0" w:space="0" w:color="auto"/>
        <w:right w:val="none" w:sz="0" w:space="0" w:color="auto"/>
      </w:divBdr>
    </w:div>
    <w:div w:id="680552519">
      <w:bodyDiv w:val="1"/>
      <w:marLeft w:val="0"/>
      <w:marRight w:val="0"/>
      <w:marTop w:val="0"/>
      <w:marBottom w:val="0"/>
      <w:divBdr>
        <w:top w:val="none" w:sz="0" w:space="0" w:color="auto"/>
        <w:left w:val="none" w:sz="0" w:space="0" w:color="auto"/>
        <w:bottom w:val="none" w:sz="0" w:space="0" w:color="auto"/>
        <w:right w:val="none" w:sz="0" w:space="0" w:color="auto"/>
      </w:divBdr>
    </w:div>
    <w:div w:id="680623007">
      <w:bodyDiv w:val="1"/>
      <w:marLeft w:val="0"/>
      <w:marRight w:val="0"/>
      <w:marTop w:val="0"/>
      <w:marBottom w:val="0"/>
      <w:divBdr>
        <w:top w:val="none" w:sz="0" w:space="0" w:color="auto"/>
        <w:left w:val="none" w:sz="0" w:space="0" w:color="auto"/>
        <w:bottom w:val="none" w:sz="0" w:space="0" w:color="auto"/>
        <w:right w:val="none" w:sz="0" w:space="0" w:color="auto"/>
      </w:divBdr>
    </w:div>
    <w:div w:id="680670343">
      <w:bodyDiv w:val="1"/>
      <w:marLeft w:val="0"/>
      <w:marRight w:val="0"/>
      <w:marTop w:val="0"/>
      <w:marBottom w:val="0"/>
      <w:divBdr>
        <w:top w:val="none" w:sz="0" w:space="0" w:color="auto"/>
        <w:left w:val="none" w:sz="0" w:space="0" w:color="auto"/>
        <w:bottom w:val="none" w:sz="0" w:space="0" w:color="auto"/>
        <w:right w:val="none" w:sz="0" w:space="0" w:color="auto"/>
      </w:divBdr>
    </w:div>
    <w:div w:id="680739085">
      <w:bodyDiv w:val="1"/>
      <w:marLeft w:val="0"/>
      <w:marRight w:val="0"/>
      <w:marTop w:val="0"/>
      <w:marBottom w:val="0"/>
      <w:divBdr>
        <w:top w:val="none" w:sz="0" w:space="0" w:color="auto"/>
        <w:left w:val="none" w:sz="0" w:space="0" w:color="auto"/>
        <w:bottom w:val="none" w:sz="0" w:space="0" w:color="auto"/>
        <w:right w:val="none" w:sz="0" w:space="0" w:color="auto"/>
      </w:divBdr>
    </w:div>
    <w:div w:id="680818719">
      <w:bodyDiv w:val="1"/>
      <w:marLeft w:val="0"/>
      <w:marRight w:val="0"/>
      <w:marTop w:val="0"/>
      <w:marBottom w:val="0"/>
      <w:divBdr>
        <w:top w:val="none" w:sz="0" w:space="0" w:color="auto"/>
        <w:left w:val="none" w:sz="0" w:space="0" w:color="auto"/>
        <w:bottom w:val="none" w:sz="0" w:space="0" w:color="auto"/>
        <w:right w:val="none" w:sz="0" w:space="0" w:color="auto"/>
      </w:divBdr>
    </w:div>
    <w:div w:id="680862617">
      <w:bodyDiv w:val="1"/>
      <w:marLeft w:val="0"/>
      <w:marRight w:val="0"/>
      <w:marTop w:val="0"/>
      <w:marBottom w:val="0"/>
      <w:divBdr>
        <w:top w:val="none" w:sz="0" w:space="0" w:color="auto"/>
        <w:left w:val="none" w:sz="0" w:space="0" w:color="auto"/>
        <w:bottom w:val="none" w:sz="0" w:space="0" w:color="auto"/>
        <w:right w:val="none" w:sz="0" w:space="0" w:color="auto"/>
      </w:divBdr>
    </w:div>
    <w:div w:id="680937601">
      <w:bodyDiv w:val="1"/>
      <w:marLeft w:val="0"/>
      <w:marRight w:val="0"/>
      <w:marTop w:val="0"/>
      <w:marBottom w:val="0"/>
      <w:divBdr>
        <w:top w:val="none" w:sz="0" w:space="0" w:color="auto"/>
        <w:left w:val="none" w:sz="0" w:space="0" w:color="auto"/>
        <w:bottom w:val="none" w:sz="0" w:space="0" w:color="auto"/>
        <w:right w:val="none" w:sz="0" w:space="0" w:color="auto"/>
      </w:divBdr>
    </w:div>
    <w:div w:id="681007866">
      <w:bodyDiv w:val="1"/>
      <w:marLeft w:val="0"/>
      <w:marRight w:val="0"/>
      <w:marTop w:val="0"/>
      <w:marBottom w:val="0"/>
      <w:divBdr>
        <w:top w:val="none" w:sz="0" w:space="0" w:color="auto"/>
        <w:left w:val="none" w:sz="0" w:space="0" w:color="auto"/>
        <w:bottom w:val="none" w:sz="0" w:space="0" w:color="auto"/>
        <w:right w:val="none" w:sz="0" w:space="0" w:color="auto"/>
      </w:divBdr>
    </w:div>
    <w:div w:id="681057428">
      <w:bodyDiv w:val="1"/>
      <w:marLeft w:val="0"/>
      <w:marRight w:val="0"/>
      <w:marTop w:val="0"/>
      <w:marBottom w:val="0"/>
      <w:divBdr>
        <w:top w:val="none" w:sz="0" w:space="0" w:color="auto"/>
        <w:left w:val="none" w:sz="0" w:space="0" w:color="auto"/>
        <w:bottom w:val="none" w:sz="0" w:space="0" w:color="auto"/>
        <w:right w:val="none" w:sz="0" w:space="0" w:color="auto"/>
      </w:divBdr>
    </w:div>
    <w:div w:id="681247673">
      <w:bodyDiv w:val="1"/>
      <w:marLeft w:val="0"/>
      <w:marRight w:val="0"/>
      <w:marTop w:val="0"/>
      <w:marBottom w:val="0"/>
      <w:divBdr>
        <w:top w:val="none" w:sz="0" w:space="0" w:color="auto"/>
        <w:left w:val="none" w:sz="0" w:space="0" w:color="auto"/>
        <w:bottom w:val="none" w:sz="0" w:space="0" w:color="auto"/>
        <w:right w:val="none" w:sz="0" w:space="0" w:color="auto"/>
      </w:divBdr>
    </w:div>
    <w:div w:id="681249833">
      <w:bodyDiv w:val="1"/>
      <w:marLeft w:val="0"/>
      <w:marRight w:val="0"/>
      <w:marTop w:val="0"/>
      <w:marBottom w:val="0"/>
      <w:divBdr>
        <w:top w:val="none" w:sz="0" w:space="0" w:color="auto"/>
        <w:left w:val="none" w:sz="0" w:space="0" w:color="auto"/>
        <w:bottom w:val="none" w:sz="0" w:space="0" w:color="auto"/>
        <w:right w:val="none" w:sz="0" w:space="0" w:color="auto"/>
      </w:divBdr>
    </w:div>
    <w:div w:id="681323221">
      <w:bodyDiv w:val="1"/>
      <w:marLeft w:val="0"/>
      <w:marRight w:val="0"/>
      <w:marTop w:val="0"/>
      <w:marBottom w:val="0"/>
      <w:divBdr>
        <w:top w:val="none" w:sz="0" w:space="0" w:color="auto"/>
        <w:left w:val="none" w:sz="0" w:space="0" w:color="auto"/>
        <w:bottom w:val="none" w:sz="0" w:space="0" w:color="auto"/>
        <w:right w:val="none" w:sz="0" w:space="0" w:color="auto"/>
      </w:divBdr>
    </w:div>
    <w:div w:id="681397506">
      <w:bodyDiv w:val="1"/>
      <w:marLeft w:val="0"/>
      <w:marRight w:val="0"/>
      <w:marTop w:val="0"/>
      <w:marBottom w:val="0"/>
      <w:divBdr>
        <w:top w:val="none" w:sz="0" w:space="0" w:color="auto"/>
        <w:left w:val="none" w:sz="0" w:space="0" w:color="auto"/>
        <w:bottom w:val="none" w:sz="0" w:space="0" w:color="auto"/>
        <w:right w:val="none" w:sz="0" w:space="0" w:color="auto"/>
      </w:divBdr>
    </w:div>
    <w:div w:id="681512546">
      <w:bodyDiv w:val="1"/>
      <w:marLeft w:val="0"/>
      <w:marRight w:val="0"/>
      <w:marTop w:val="0"/>
      <w:marBottom w:val="0"/>
      <w:divBdr>
        <w:top w:val="none" w:sz="0" w:space="0" w:color="auto"/>
        <w:left w:val="none" w:sz="0" w:space="0" w:color="auto"/>
        <w:bottom w:val="none" w:sz="0" w:space="0" w:color="auto"/>
        <w:right w:val="none" w:sz="0" w:space="0" w:color="auto"/>
      </w:divBdr>
    </w:div>
    <w:div w:id="681665507">
      <w:bodyDiv w:val="1"/>
      <w:marLeft w:val="0"/>
      <w:marRight w:val="0"/>
      <w:marTop w:val="0"/>
      <w:marBottom w:val="0"/>
      <w:divBdr>
        <w:top w:val="none" w:sz="0" w:space="0" w:color="auto"/>
        <w:left w:val="none" w:sz="0" w:space="0" w:color="auto"/>
        <w:bottom w:val="none" w:sz="0" w:space="0" w:color="auto"/>
        <w:right w:val="none" w:sz="0" w:space="0" w:color="auto"/>
      </w:divBdr>
    </w:div>
    <w:div w:id="681785006">
      <w:bodyDiv w:val="1"/>
      <w:marLeft w:val="0"/>
      <w:marRight w:val="0"/>
      <w:marTop w:val="0"/>
      <w:marBottom w:val="0"/>
      <w:divBdr>
        <w:top w:val="none" w:sz="0" w:space="0" w:color="auto"/>
        <w:left w:val="none" w:sz="0" w:space="0" w:color="auto"/>
        <w:bottom w:val="none" w:sz="0" w:space="0" w:color="auto"/>
        <w:right w:val="none" w:sz="0" w:space="0" w:color="auto"/>
      </w:divBdr>
    </w:div>
    <w:div w:id="681857828">
      <w:bodyDiv w:val="1"/>
      <w:marLeft w:val="0"/>
      <w:marRight w:val="0"/>
      <w:marTop w:val="0"/>
      <w:marBottom w:val="0"/>
      <w:divBdr>
        <w:top w:val="none" w:sz="0" w:space="0" w:color="auto"/>
        <w:left w:val="none" w:sz="0" w:space="0" w:color="auto"/>
        <w:bottom w:val="none" w:sz="0" w:space="0" w:color="auto"/>
        <w:right w:val="none" w:sz="0" w:space="0" w:color="auto"/>
      </w:divBdr>
    </w:div>
    <w:div w:id="681859062">
      <w:bodyDiv w:val="1"/>
      <w:marLeft w:val="0"/>
      <w:marRight w:val="0"/>
      <w:marTop w:val="0"/>
      <w:marBottom w:val="0"/>
      <w:divBdr>
        <w:top w:val="none" w:sz="0" w:space="0" w:color="auto"/>
        <w:left w:val="none" w:sz="0" w:space="0" w:color="auto"/>
        <w:bottom w:val="none" w:sz="0" w:space="0" w:color="auto"/>
        <w:right w:val="none" w:sz="0" w:space="0" w:color="auto"/>
      </w:divBdr>
    </w:div>
    <w:div w:id="681859873">
      <w:bodyDiv w:val="1"/>
      <w:marLeft w:val="0"/>
      <w:marRight w:val="0"/>
      <w:marTop w:val="0"/>
      <w:marBottom w:val="0"/>
      <w:divBdr>
        <w:top w:val="none" w:sz="0" w:space="0" w:color="auto"/>
        <w:left w:val="none" w:sz="0" w:space="0" w:color="auto"/>
        <w:bottom w:val="none" w:sz="0" w:space="0" w:color="auto"/>
        <w:right w:val="none" w:sz="0" w:space="0" w:color="auto"/>
      </w:divBdr>
    </w:div>
    <w:div w:id="681932264">
      <w:bodyDiv w:val="1"/>
      <w:marLeft w:val="0"/>
      <w:marRight w:val="0"/>
      <w:marTop w:val="0"/>
      <w:marBottom w:val="0"/>
      <w:divBdr>
        <w:top w:val="none" w:sz="0" w:space="0" w:color="auto"/>
        <w:left w:val="none" w:sz="0" w:space="0" w:color="auto"/>
        <w:bottom w:val="none" w:sz="0" w:space="0" w:color="auto"/>
        <w:right w:val="none" w:sz="0" w:space="0" w:color="auto"/>
      </w:divBdr>
    </w:div>
    <w:div w:id="681934301">
      <w:bodyDiv w:val="1"/>
      <w:marLeft w:val="0"/>
      <w:marRight w:val="0"/>
      <w:marTop w:val="0"/>
      <w:marBottom w:val="0"/>
      <w:divBdr>
        <w:top w:val="none" w:sz="0" w:space="0" w:color="auto"/>
        <w:left w:val="none" w:sz="0" w:space="0" w:color="auto"/>
        <w:bottom w:val="none" w:sz="0" w:space="0" w:color="auto"/>
        <w:right w:val="none" w:sz="0" w:space="0" w:color="auto"/>
      </w:divBdr>
    </w:div>
    <w:div w:id="682053166">
      <w:bodyDiv w:val="1"/>
      <w:marLeft w:val="0"/>
      <w:marRight w:val="0"/>
      <w:marTop w:val="0"/>
      <w:marBottom w:val="0"/>
      <w:divBdr>
        <w:top w:val="none" w:sz="0" w:space="0" w:color="auto"/>
        <w:left w:val="none" w:sz="0" w:space="0" w:color="auto"/>
        <w:bottom w:val="none" w:sz="0" w:space="0" w:color="auto"/>
        <w:right w:val="none" w:sz="0" w:space="0" w:color="auto"/>
      </w:divBdr>
    </w:div>
    <w:div w:id="682248206">
      <w:bodyDiv w:val="1"/>
      <w:marLeft w:val="0"/>
      <w:marRight w:val="0"/>
      <w:marTop w:val="0"/>
      <w:marBottom w:val="0"/>
      <w:divBdr>
        <w:top w:val="none" w:sz="0" w:space="0" w:color="auto"/>
        <w:left w:val="none" w:sz="0" w:space="0" w:color="auto"/>
        <w:bottom w:val="none" w:sz="0" w:space="0" w:color="auto"/>
        <w:right w:val="none" w:sz="0" w:space="0" w:color="auto"/>
      </w:divBdr>
    </w:div>
    <w:div w:id="682362387">
      <w:bodyDiv w:val="1"/>
      <w:marLeft w:val="0"/>
      <w:marRight w:val="0"/>
      <w:marTop w:val="0"/>
      <w:marBottom w:val="0"/>
      <w:divBdr>
        <w:top w:val="none" w:sz="0" w:space="0" w:color="auto"/>
        <w:left w:val="none" w:sz="0" w:space="0" w:color="auto"/>
        <w:bottom w:val="none" w:sz="0" w:space="0" w:color="auto"/>
        <w:right w:val="none" w:sz="0" w:space="0" w:color="auto"/>
      </w:divBdr>
    </w:div>
    <w:div w:id="682365752">
      <w:bodyDiv w:val="1"/>
      <w:marLeft w:val="0"/>
      <w:marRight w:val="0"/>
      <w:marTop w:val="0"/>
      <w:marBottom w:val="0"/>
      <w:divBdr>
        <w:top w:val="none" w:sz="0" w:space="0" w:color="auto"/>
        <w:left w:val="none" w:sz="0" w:space="0" w:color="auto"/>
        <w:bottom w:val="none" w:sz="0" w:space="0" w:color="auto"/>
        <w:right w:val="none" w:sz="0" w:space="0" w:color="auto"/>
      </w:divBdr>
    </w:div>
    <w:div w:id="682366312">
      <w:bodyDiv w:val="1"/>
      <w:marLeft w:val="0"/>
      <w:marRight w:val="0"/>
      <w:marTop w:val="0"/>
      <w:marBottom w:val="0"/>
      <w:divBdr>
        <w:top w:val="none" w:sz="0" w:space="0" w:color="auto"/>
        <w:left w:val="none" w:sz="0" w:space="0" w:color="auto"/>
        <w:bottom w:val="none" w:sz="0" w:space="0" w:color="auto"/>
        <w:right w:val="none" w:sz="0" w:space="0" w:color="auto"/>
      </w:divBdr>
    </w:div>
    <w:div w:id="682558225">
      <w:bodyDiv w:val="1"/>
      <w:marLeft w:val="0"/>
      <w:marRight w:val="0"/>
      <w:marTop w:val="0"/>
      <w:marBottom w:val="0"/>
      <w:divBdr>
        <w:top w:val="none" w:sz="0" w:space="0" w:color="auto"/>
        <w:left w:val="none" w:sz="0" w:space="0" w:color="auto"/>
        <w:bottom w:val="none" w:sz="0" w:space="0" w:color="auto"/>
        <w:right w:val="none" w:sz="0" w:space="0" w:color="auto"/>
      </w:divBdr>
    </w:div>
    <w:div w:id="682560992">
      <w:bodyDiv w:val="1"/>
      <w:marLeft w:val="0"/>
      <w:marRight w:val="0"/>
      <w:marTop w:val="0"/>
      <w:marBottom w:val="0"/>
      <w:divBdr>
        <w:top w:val="none" w:sz="0" w:space="0" w:color="auto"/>
        <w:left w:val="none" w:sz="0" w:space="0" w:color="auto"/>
        <w:bottom w:val="none" w:sz="0" w:space="0" w:color="auto"/>
        <w:right w:val="none" w:sz="0" w:space="0" w:color="auto"/>
      </w:divBdr>
    </w:div>
    <w:div w:id="682584571">
      <w:bodyDiv w:val="1"/>
      <w:marLeft w:val="0"/>
      <w:marRight w:val="0"/>
      <w:marTop w:val="0"/>
      <w:marBottom w:val="0"/>
      <w:divBdr>
        <w:top w:val="none" w:sz="0" w:space="0" w:color="auto"/>
        <w:left w:val="none" w:sz="0" w:space="0" w:color="auto"/>
        <w:bottom w:val="none" w:sz="0" w:space="0" w:color="auto"/>
        <w:right w:val="none" w:sz="0" w:space="0" w:color="auto"/>
      </w:divBdr>
    </w:div>
    <w:div w:id="682709019">
      <w:bodyDiv w:val="1"/>
      <w:marLeft w:val="0"/>
      <w:marRight w:val="0"/>
      <w:marTop w:val="0"/>
      <w:marBottom w:val="0"/>
      <w:divBdr>
        <w:top w:val="none" w:sz="0" w:space="0" w:color="auto"/>
        <w:left w:val="none" w:sz="0" w:space="0" w:color="auto"/>
        <w:bottom w:val="none" w:sz="0" w:space="0" w:color="auto"/>
        <w:right w:val="none" w:sz="0" w:space="0" w:color="auto"/>
      </w:divBdr>
    </w:div>
    <w:div w:id="682972010">
      <w:bodyDiv w:val="1"/>
      <w:marLeft w:val="0"/>
      <w:marRight w:val="0"/>
      <w:marTop w:val="0"/>
      <w:marBottom w:val="0"/>
      <w:divBdr>
        <w:top w:val="none" w:sz="0" w:space="0" w:color="auto"/>
        <w:left w:val="none" w:sz="0" w:space="0" w:color="auto"/>
        <w:bottom w:val="none" w:sz="0" w:space="0" w:color="auto"/>
        <w:right w:val="none" w:sz="0" w:space="0" w:color="auto"/>
      </w:divBdr>
    </w:div>
    <w:div w:id="683240773">
      <w:bodyDiv w:val="1"/>
      <w:marLeft w:val="0"/>
      <w:marRight w:val="0"/>
      <w:marTop w:val="0"/>
      <w:marBottom w:val="0"/>
      <w:divBdr>
        <w:top w:val="none" w:sz="0" w:space="0" w:color="auto"/>
        <w:left w:val="none" w:sz="0" w:space="0" w:color="auto"/>
        <w:bottom w:val="none" w:sz="0" w:space="0" w:color="auto"/>
        <w:right w:val="none" w:sz="0" w:space="0" w:color="auto"/>
      </w:divBdr>
    </w:div>
    <w:div w:id="683282372">
      <w:bodyDiv w:val="1"/>
      <w:marLeft w:val="0"/>
      <w:marRight w:val="0"/>
      <w:marTop w:val="0"/>
      <w:marBottom w:val="0"/>
      <w:divBdr>
        <w:top w:val="none" w:sz="0" w:space="0" w:color="auto"/>
        <w:left w:val="none" w:sz="0" w:space="0" w:color="auto"/>
        <w:bottom w:val="none" w:sz="0" w:space="0" w:color="auto"/>
        <w:right w:val="none" w:sz="0" w:space="0" w:color="auto"/>
      </w:divBdr>
    </w:div>
    <w:div w:id="683359321">
      <w:bodyDiv w:val="1"/>
      <w:marLeft w:val="0"/>
      <w:marRight w:val="0"/>
      <w:marTop w:val="0"/>
      <w:marBottom w:val="0"/>
      <w:divBdr>
        <w:top w:val="none" w:sz="0" w:space="0" w:color="auto"/>
        <w:left w:val="none" w:sz="0" w:space="0" w:color="auto"/>
        <w:bottom w:val="none" w:sz="0" w:space="0" w:color="auto"/>
        <w:right w:val="none" w:sz="0" w:space="0" w:color="auto"/>
      </w:divBdr>
    </w:div>
    <w:div w:id="683366356">
      <w:bodyDiv w:val="1"/>
      <w:marLeft w:val="0"/>
      <w:marRight w:val="0"/>
      <w:marTop w:val="0"/>
      <w:marBottom w:val="0"/>
      <w:divBdr>
        <w:top w:val="none" w:sz="0" w:space="0" w:color="auto"/>
        <w:left w:val="none" w:sz="0" w:space="0" w:color="auto"/>
        <w:bottom w:val="none" w:sz="0" w:space="0" w:color="auto"/>
        <w:right w:val="none" w:sz="0" w:space="0" w:color="auto"/>
      </w:divBdr>
    </w:div>
    <w:div w:id="683433921">
      <w:bodyDiv w:val="1"/>
      <w:marLeft w:val="0"/>
      <w:marRight w:val="0"/>
      <w:marTop w:val="0"/>
      <w:marBottom w:val="0"/>
      <w:divBdr>
        <w:top w:val="none" w:sz="0" w:space="0" w:color="auto"/>
        <w:left w:val="none" w:sz="0" w:space="0" w:color="auto"/>
        <w:bottom w:val="none" w:sz="0" w:space="0" w:color="auto"/>
        <w:right w:val="none" w:sz="0" w:space="0" w:color="auto"/>
      </w:divBdr>
    </w:div>
    <w:div w:id="683436630">
      <w:bodyDiv w:val="1"/>
      <w:marLeft w:val="0"/>
      <w:marRight w:val="0"/>
      <w:marTop w:val="0"/>
      <w:marBottom w:val="0"/>
      <w:divBdr>
        <w:top w:val="none" w:sz="0" w:space="0" w:color="auto"/>
        <w:left w:val="none" w:sz="0" w:space="0" w:color="auto"/>
        <w:bottom w:val="none" w:sz="0" w:space="0" w:color="auto"/>
        <w:right w:val="none" w:sz="0" w:space="0" w:color="auto"/>
      </w:divBdr>
    </w:div>
    <w:div w:id="683480012">
      <w:bodyDiv w:val="1"/>
      <w:marLeft w:val="0"/>
      <w:marRight w:val="0"/>
      <w:marTop w:val="0"/>
      <w:marBottom w:val="0"/>
      <w:divBdr>
        <w:top w:val="none" w:sz="0" w:space="0" w:color="auto"/>
        <w:left w:val="none" w:sz="0" w:space="0" w:color="auto"/>
        <w:bottom w:val="none" w:sz="0" w:space="0" w:color="auto"/>
        <w:right w:val="none" w:sz="0" w:space="0" w:color="auto"/>
      </w:divBdr>
    </w:div>
    <w:div w:id="683482820">
      <w:bodyDiv w:val="1"/>
      <w:marLeft w:val="0"/>
      <w:marRight w:val="0"/>
      <w:marTop w:val="0"/>
      <w:marBottom w:val="0"/>
      <w:divBdr>
        <w:top w:val="none" w:sz="0" w:space="0" w:color="auto"/>
        <w:left w:val="none" w:sz="0" w:space="0" w:color="auto"/>
        <w:bottom w:val="none" w:sz="0" w:space="0" w:color="auto"/>
        <w:right w:val="none" w:sz="0" w:space="0" w:color="auto"/>
      </w:divBdr>
    </w:div>
    <w:div w:id="683552099">
      <w:bodyDiv w:val="1"/>
      <w:marLeft w:val="0"/>
      <w:marRight w:val="0"/>
      <w:marTop w:val="0"/>
      <w:marBottom w:val="0"/>
      <w:divBdr>
        <w:top w:val="none" w:sz="0" w:space="0" w:color="auto"/>
        <w:left w:val="none" w:sz="0" w:space="0" w:color="auto"/>
        <w:bottom w:val="none" w:sz="0" w:space="0" w:color="auto"/>
        <w:right w:val="none" w:sz="0" w:space="0" w:color="auto"/>
      </w:divBdr>
    </w:div>
    <w:div w:id="683631917">
      <w:bodyDiv w:val="1"/>
      <w:marLeft w:val="0"/>
      <w:marRight w:val="0"/>
      <w:marTop w:val="0"/>
      <w:marBottom w:val="0"/>
      <w:divBdr>
        <w:top w:val="none" w:sz="0" w:space="0" w:color="auto"/>
        <w:left w:val="none" w:sz="0" w:space="0" w:color="auto"/>
        <w:bottom w:val="none" w:sz="0" w:space="0" w:color="auto"/>
        <w:right w:val="none" w:sz="0" w:space="0" w:color="auto"/>
      </w:divBdr>
    </w:div>
    <w:div w:id="683672159">
      <w:bodyDiv w:val="1"/>
      <w:marLeft w:val="0"/>
      <w:marRight w:val="0"/>
      <w:marTop w:val="0"/>
      <w:marBottom w:val="0"/>
      <w:divBdr>
        <w:top w:val="none" w:sz="0" w:space="0" w:color="auto"/>
        <w:left w:val="none" w:sz="0" w:space="0" w:color="auto"/>
        <w:bottom w:val="none" w:sz="0" w:space="0" w:color="auto"/>
        <w:right w:val="none" w:sz="0" w:space="0" w:color="auto"/>
      </w:divBdr>
    </w:div>
    <w:div w:id="683672439">
      <w:bodyDiv w:val="1"/>
      <w:marLeft w:val="0"/>
      <w:marRight w:val="0"/>
      <w:marTop w:val="0"/>
      <w:marBottom w:val="0"/>
      <w:divBdr>
        <w:top w:val="none" w:sz="0" w:space="0" w:color="auto"/>
        <w:left w:val="none" w:sz="0" w:space="0" w:color="auto"/>
        <w:bottom w:val="none" w:sz="0" w:space="0" w:color="auto"/>
        <w:right w:val="none" w:sz="0" w:space="0" w:color="auto"/>
      </w:divBdr>
    </w:div>
    <w:div w:id="683673629">
      <w:bodyDiv w:val="1"/>
      <w:marLeft w:val="0"/>
      <w:marRight w:val="0"/>
      <w:marTop w:val="0"/>
      <w:marBottom w:val="0"/>
      <w:divBdr>
        <w:top w:val="none" w:sz="0" w:space="0" w:color="auto"/>
        <w:left w:val="none" w:sz="0" w:space="0" w:color="auto"/>
        <w:bottom w:val="none" w:sz="0" w:space="0" w:color="auto"/>
        <w:right w:val="none" w:sz="0" w:space="0" w:color="auto"/>
      </w:divBdr>
    </w:div>
    <w:div w:id="683749854">
      <w:bodyDiv w:val="1"/>
      <w:marLeft w:val="0"/>
      <w:marRight w:val="0"/>
      <w:marTop w:val="0"/>
      <w:marBottom w:val="0"/>
      <w:divBdr>
        <w:top w:val="none" w:sz="0" w:space="0" w:color="auto"/>
        <w:left w:val="none" w:sz="0" w:space="0" w:color="auto"/>
        <w:bottom w:val="none" w:sz="0" w:space="0" w:color="auto"/>
        <w:right w:val="none" w:sz="0" w:space="0" w:color="auto"/>
      </w:divBdr>
    </w:div>
    <w:div w:id="683869430">
      <w:bodyDiv w:val="1"/>
      <w:marLeft w:val="0"/>
      <w:marRight w:val="0"/>
      <w:marTop w:val="0"/>
      <w:marBottom w:val="0"/>
      <w:divBdr>
        <w:top w:val="none" w:sz="0" w:space="0" w:color="auto"/>
        <w:left w:val="none" w:sz="0" w:space="0" w:color="auto"/>
        <w:bottom w:val="none" w:sz="0" w:space="0" w:color="auto"/>
        <w:right w:val="none" w:sz="0" w:space="0" w:color="auto"/>
      </w:divBdr>
    </w:div>
    <w:div w:id="683871225">
      <w:bodyDiv w:val="1"/>
      <w:marLeft w:val="0"/>
      <w:marRight w:val="0"/>
      <w:marTop w:val="0"/>
      <w:marBottom w:val="0"/>
      <w:divBdr>
        <w:top w:val="none" w:sz="0" w:space="0" w:color="auto"/>
        <w:left w:val="none" w:sz="0" w:space="0" w:color="auto"/>
        <w:bottom w:val="none" w:sz="0" w:space="0" w:color="auto"/>
        <w:right w:val="none" w:sz="0" w:space="0" w:color="auto"/>
      </w:divBdr>
    </w:div>
    <w:div w:id="683897463">
      <w:bodyDiv w:val="1"/>
      <w:marLeft w:val="0"/>
      <w:marRight w:val="0"/>
      <w:marTop w:val="0"/>
      <w:marBottom w:val="0"/>
      <w:divBdr>
        <w:top w:val="none" w:sz="0" w:space="0" w:color="auto"/>
        <w:left w:val="none" w:sz="0" w:space="0" w:color="auto"/>
        <w:bottom w:val="none" w:sz="0" w:space="0" w:color="auto"/>
        <w:right w:val="none" w:sz="0" w:space="0" w:color="auto"/>
      </w:divBdr>
    </w:div>
    <w:div w:id="684019791">
      <w:bodyDiv w:val="1"/>
      <w:marLeft w:val="0"/>
      <w:marRight w:val="0"/>
      <w:marTop w:val="0"/>
      <w:marBottom w:val="0"/>
      <w:divBdr>
        <w:top w:val="none" w:sz="0" w:space="0" w:color="auto"/>
        <w:left w:val="none" w:sz="0" w:space="0" w:color="auto"/>
        <w:bottom w:val="none" w:sz="0" w:space="0" w:color="auto"/>
        <w:right w:val="none" w:sz="0" w:space="0" w:color="auto"/>
      </w:divBdr>
    </w:div>
    <w:div w:id="684091826">
      <w:bodyDiv w:val="1"/>
      <w:marLeft w:val="0"/>
      <w:marRight w:val="0"/>
      <w:marTop w:val="0"/>
      <w:marBottom w:val="0"/>
      <w:divBdr>
        <w:top w:val="none" w:sz="0" w:space="0" w:color="auto"/>
        <w:left w:val="none" w:sz="0" w:space="0" w:color="auto"/>
        <w:bottom w:val="none" w:sz="0" w:space="0" w:color="auto"/>
        <w:right w:val="none" w:sz="0" w:space="0" w:color="auto"/>
      </w:divBdr>
    </w:div>
    <w:div w:id="684094831">
      <w:bodyDiv w:val="1"/>
      <w:marLeft w:val="0"/>
      <w:marRight w:val="0"/>
      <w:marTop w:val="0"/>
      <w:marBottom w:val="0"/>
      <w:divBdr>
        <w:top w:val="none" w:sz="0" w:space="0" w:color="auto"/>
        <w:left w:val="none" w:sz="0" w:space="0" w:color="auto"/>
        <w:bottom w:val="none" w:sz="0" w:space="0" w:color="auto"/>
        <w:right w:val="none" w:sz="0" w:space="0" w:color="auto"/>
      </w:divBdr>
    </w:div>
    <w:div w:id="684135425">
      <w:bodyDiv w:val="1"/>
      <w:marLeft w:val="0"/>
      <w:marRight w:val="0"/>
      <w:marTop w:val="0"/>
      <w:marBottom w:val="0"/>
      <w:divBdr>
        <w:top w:val="none" w:sz="0" w:space="0" w:color="auto"/>
        <w:left w:val="none" w:sz="0" w:space="0" w:color="auto"/>
        <w:bottom w:val="none" w:sz="0" w:space="0" w:color="auto"/>
        <w:right w:val="none" w:sz="0" w:space="0" w:color="auto"/>
      </w:divBdr>
    </w:div>
    <w:div w:id="684281506">
      <w:bodyDiv w:val="1"/>
      <w:marLeft w:val="0"/>
      <w:marRight w:val="0"/>
      <w:marTop w:val="0"/>
      <w:marBottom w:val="0"/>
      <w:divBdr>
        <w:top w:val="none" w:sz="0" w:space="0" w:color="auto"/>
        <w:left w:val="none" w:sz="0" w:space="0" w:color="auto"/>
        <w:bottom w:val="none" w:sz="0" w:space="0" w:color="auto"/>
        <w:right w:val="none" w:sz="0" w:space="0" w:color="auto"/>
      </w:divBdr>
    </w:div>
    <w:div w:id="684400976">
      <w:bodyDiv w:val="1"/>
      <w:marLeft w:val="0"/>
      <w:marRight w:val="0"/>
      <w:marTop w:val="0"/>
      <w:marBottom w:val="0"/>
      <w:divBdr>
        <w:top w:val="none" w:sz="0" w:space="0" w:color="auto"/>
        <w:left w:val="none" w:sz="0" w:space="0" w:color="auto"/>
        <w:bottom w:val="none" w:sz="0" w:space="0" w:color="auto"/>
        <w:right w:val="none" w:sz="0" w:space="0" w:color="auto"/>
      </w:divBdr>
    </w:div>
    <w:div w:id="684403084">
      <w:bodyDiv w:val="1"/>
      <w:marLeft w:val="0"/>
      <w:marRight w:val="0"/>
      <w:marTop w:val="0"/>
      <w:marBottom w:val="0"/>
      <w:divBdr>
        <w:top w:val="none" w:sz="0" w:space="0" w:color="auto"/>
        <w:left w:val="none" w:sz="0" w:space="0" w:color="auto"/>
        <w:bottom w:val="none" w:sz="0" w:space="0" w:color="auto"/>
        <w:right w:val="none" w:sz="0" w:space="0" w:color="auto"/>
      </w:divBdr>
    </w:div>
    <w:div w:id="684483565">
      <w:bodyDiv w:val="1"/>
      <w:marLeft w:val="0"/>
      <w:marRight w:val="0"/>
      <w:marTop w:val="0"/>
      <w:marBottom w:val="0"/>
      <w:divBdr>
        <w:top w:val="none" w:sz="0" w:space="0" w:color="auto"/>
        <w:left w:val="none" w:sz="0" w:space="0" w:color="auto"/>
        <w:bottom w:val="none" w:sz="0" w:space="0" w:color="auto"/>
        <w:right w:val="none" w:sz="0" w:space="0" w:color="auto"/>
      </w:divBdr>
    </w:div>
    <w:div w:id="684598176">
      <w:bodyDiv w:val="1"/>
      <w:marLeft w:val="0"/>
      <w:marRight w:val="0"/>
      <w:marTop w:val="0"/>
      <w:marBottom w:val="0"/>
      <w:divBdr>
        <w:top w:val="none" w:sz="0" w:space="0" w:color="auto"/>
        <w:left w:val="none" w:sz="0" w:space="0" w:color="auto"/>
        <w:bottom w:val="none" w:sz="0" w:space="0" w:color="auto"/>
        <w:right w:val="none" w:sz="0" w:space="0" w:color="auto"/>
      </w:divBdr>
    </w:div>
    <w:div w:id="684671311">
      <w:bodyDiv w:val="1"/>
      <w:marLeft w:val="0"/>
      <w:marRight w:val="0"/>
      <w:marTop w:val="0"/>
      <w:marBottom w:val="0"/>
      <w:divBdr>
        <w:top w:val="none" w:sz="0" w:space="0" w:color="auto"/>
        <w:left w:val="none" w:sz="0" w:space="0" w:color="auto"/>
        <w:bottom w:val="none" w:sz="0" w:space="0" w:color="auto"/>
        <w:right w:val="none" w:sz="0" w:space="0" w:color="auto"/>
      </w:divBdr>
    </w:div>
    <w:div w:id="684674502">
      <w:bodyDiv w:val="1"/>
      <w:marLeft w:val="0"/>
      <w:marRight w:val="0"/>
      <w:marTop w:val="0"/>
      <w:marBottom w:val="0"/>
      <w:divBdr>
        <w:top w:val="none" w:sz="0" w:space="0" w:color="auto"/>
        <w:left w:val="none" w:sz="0" w:space="0" w:color="auto"/>
        <w:bottom w:val="none" w:sz="0" w:space="0" w:color="auto"/>
        <w:right w:val="none" w:sz="0" w:space="0" w:color="auto"/>
      </w:divBdr>
    </w:div>
    <w:div w:id="685059490">
      <w:bodyDiv w:val="1"/>
      <w:marLeft w:val="0"/>
      <w:marRight w:val="0"/>
      <w:marTop w:val="0"/>
      <w:marBottom w:val="0"/>
      <w:divBdr>
        <w:top w:val="none" w:sz="0" w:space="0" w:color="auto"/>
        <w:left w:val="none" w:sz="0" w:space="0" w:color="auto"/>
        <w:bottom w:val="none" w:sz="0" w:space="0" w:color="auto"/>
        <w:right w:val="none" w:sz="0" w:space="0" w:color="auto"/>
      </w:divBdr>
    </w:div>
    <w:div w:id="685134554">
      <w:bodyDiv w:val="1"/>
      <w:marLeft w:val="0"/>
      <w:marRight w:val="0"/>
      <w:marTop w:val="0"/>
      <w:marBottom w:val="0"/>
      <w:divBdr>
        <w:top w:val="none" w:sz="0" w:space="0" w:color="auto"/>
        <w:left w:val="none" w:sz="0" w:space="0" w:color="auto"/>
        <w:bottom w:val="none" w:sz="0" w:space="0" w:color="auto"/>
        <w:right w:val="none" w:sz="0" w:space="0" w:color="auto"/>
      </w:divBdr>
    </w:div>
    <w:div w:id="685206217">
      <w:bodyDiv w:val="1"/>
      <w:marLeft w:val="0"/>
      <w:marRight w:val="0"/>
      <w:marTop w:val="0"/>
      <w:marBottom w:val="0"/>
      <w:divBdr>
        <w:top w:val="none" w:sz="0" w:space="0" w:color="auto"/>
        <w:left w:val="none" w:sz="0" w:space="0" w:color="auto"/>
        <w:bottom w:val="none" w:sz="0" w:space="0" w:color="auto"/>
        <w:right w:val="none" w:sz="0" w:space="0" w:color="auto"/>
      </w:divBdr>
    </w:div>
    <w:div w:id="685249192">
      <w:bodyDiv w:val="1"/>
      <w:marLeft w:val="0"/>
      <w:marRight w:val="0"/>
      <w:marTop w:val="0"/>
      <w:marBottom w:val="0"/>
      <w:divBdr>
        <w:top w:val="none" w:sz="0" w:space="0" w:color="auto"/>
        <w:left w:val="none" w:sz="0" w:space="0" w:color="auto"/>
        <w:bottom w:val="none" w:sz="0" w:space="0" w:color="auto"/>
        <w:right w:val="none" w:sz="0" w:space="0" w:color="auto"/>
      </w:divBdr>
    </w:div>
    <w:div w:id="685323865">
      <w:bodyDiv w:val="1"/>
      <w:marLeft w:val="0"/>
      <w:marRight w:val="0"/>
      <w:marTop w:val="0"/>
      <w:marBottom w:val="0"/>
      <w:divBdr>
        <w:top w:val="none" w:sz="0" w:space="0" w:color="auto"/>
        <w:left w:val="none" w:sz="0" w:space="0" w:color="auto"/>
        <w:bottom w:val="none" w:sz="0" w:space="0" w:color="auto"/>
        <w:right w:val="none" w:sz="0" w:space="0" w:color="auto"/>
      </w:divBdr>
    </w:div>
    <w:div w:id="685331196">
      <w:bodyDiv w:val="1"/>
      <w:marLeft w:val="0"/>
      <w:marRight w:val="0"/>
      <w:marTop w:val="0"/>
      <w:marBottom w:val="0"/>
      <w:divBdr>
        <w:top w:val="none" w:sz="0" w:space="0" w:color="auto"/>
        <w:left w:val="none" w:sz="0" w:space="0" w:color="auto"/>
        <w:bottom w:val="none" w:sz="0" w:space="0" w:color="auto"/>
        <w:right w:val="none" w:sz="0" w:space="0" w:color="auto"/>
      </w:divBdr>
    </w:div>
    <w:div w:id="685404204">
      <w:bodyDiv w:val="1"/>
      <w:marLeft w:val="0"/>
      <w:marRight w:val="0"/>
      <w:marTop w:val="0"/>
      <w:marBottom w:val="0"/>
      <w:divBdr>
        <w:top w:val="none" w:sz="0" w:space="0" w:color="auto"/>
        <w:left w:val="none" w:sz="0" w:space="0" w:color="auto"/>
        <w:bottom w:val="none" w:sz="0" w:space="0" w:color="auto"/>
        <w:right w:val="none" w:sz="0" w:space="0" w:color="auto"/>
      </w:divBdr>
    </w:div>
    <w:div w:id="685406228">
      <w:bodyDiv w:val="1"/>
      <w:marLeft w:val="0"/>
      <w:marRight w:val="0"/>
      <w:marTop w:val="0"/>
      <w:marBottom w:val="0"/>
      <w:divBdr>
        <w:top w:val="none" w:sz="0" w:space="0" w:color="auto"/>
        <w:left w:val="none" w:sz="0" w:space="0" w:color="auto"/>
        <w:bottom w:val="none" w:sz="0" w:space="0" w:color="auto"/>
        <w:right w:val="none" w:sz="0" w:space="0" w:color="auto"/>
      </w:divBdr>
    </w:div>
    <w:div w:id="685446526">
      <w:bodyDiv w:val="1"/>
      <w:marLeft w:val="0"/>
      <w:marRight w:val="0"/>
      <w:marTop w:val="0"/>
      <w:marBottom w:val="0"/>
      <w:divBdr>
        <w:top w:val="none" w:sz="0" w:space="0" w:color="auto"/>
        <w:left w:val="none" w:sz="0" w:space="0" w:color="auto"/>
        <w:bottom w:val="none" w:sz="0" w:space="0" w:color="auto"/>
        <w:right w:val="none" w:sz="0" w:space="0" w:color="auto"/>
      </w:divBdr>
    </w:div>
    <w:div w:id="685600483">
      <w:bodyDiv w:val="1"/>
      <w:marLeft w:val="0"/>
      <w:marRight w:val="0"/>
      <w:marTop w:val="0"/>
      <w:marBottom w:val="0"/>
      <w:divBdr>
        <w:top w:val="none" w:sz="0" w:space="0" w:color="auto"/>
        <w:left w:val="none" w:sz="0" w:space="0" w:color="auto"/>
        <w:bottom w:val="none" w:sz="0" w:space="0" w:color="auto"/>
        <w:right w:val="none" w:sz="0" w:space="0" w:color="auto"/>
      </w:divBdr>
    </w:div>
    <w:div w:id="685717599">
      <w:bodyDiv w:val="1"/>
      <w:marLeft w:val="0"/>
      <w:marRight w:val="0"/>
      <w:marTop w:val="0"/>
      <w:marBottom w:val="0"/>
      <w:divBdr>
        <w:top w:val="none" w:sz="0" w:space="0" w:color="auto"/>
        <w:left w:val="none" w:sz="0" w:space="0" w:color="auto"/>
        <w:bottom w:val="none" w:sz="0" w:space="0" w:color="auto"/>
        <w:right w:val="none" w:sz="0" w:space="0" w:color="auto"/>
      </w:divBdr>
    </w:div>
    <w:div w:id="685718298">
      <w:bodyDiv w:val="1"/>
      <w:marLeft w:val="0"/>
      <w:marRight w:val="0"/>
      <w:marTop w:val="0"/>
      <w:marBottom w:val="0"/>
      <w:divBdr>
        <w:top w:val="none" w:sz="0" w:space="0" w:color="auto"/>
        <w:left w:val="none" w:sz="0" w:space="0" w:color="auto"/>
        <w:bottom w:val="none" w:sz="0" w:space="0" w:color="auto"/>
        <w:right w:val="none" w:sz="0" w:space="0" w:color="auto"/>
      </w:divBdr>
    </w:div>
    <w:div w:id="685785702">
      <w:bodyDiv w:val="1"/>
      <w:marLeft w:val="0"/>
      <w:marRight w:val="0"/>
      <w:marTop w:val="0"/>
      <w:marBottom w:val="0"/>
      <w:divBdr>
        <w:top w:val="none" w:sz="0" w:space="0" w:color="auto"/>
        <w:left w:val="none" w:sz="0" w:space="0" w:color="auto"/>
        <w:bottom w:val="none" w:sz="0" w:space="0" w:color="auto"/>
        <w:right w:val="none" w:sz="0" w:space="0" w:color="auto"/>
      </w:divBdr>
    </w:div>
    <w:div w:id="685863399">
      <w:bodyDiv w:val="1"/>
      <w:marLeft w:val="0"/>
      <w:marRight w:val="0"/>
      <w:marTop w:val="0"/>
      <w:marBottom w:val="0"/>
      <w:divBdr>
        <w:top w:val="none" w:sz="0" w:space="0" w:color="auto"/>
        <w:left w:val="none" w:sz="0" w:space="0" w:color="auto"/>
        <w:bottom w:val="none" w:sz="0" w:space="0" w:color="auto"/>
        <w:right w:val="none" w:sz="0" w:space="0" w:color="auto"/>
      </w:divBdr>
    </w:div>
    <w:div w:id="685865112">
      <w:bodyDiv w:val="1"/>
      <w:marLeft w:val="0"/>
      <w:marRight w:val="0"/>
      <w:marTop w:val="0"/>
      <w:marBottom w:val="0"/>
      <w:divBdr>
        <w:top w:val="none" w:sz="0" w:space="0" w:color="auto"/>
        <w:left w:val="none" w:sz="0" w:space="0" w:color="auto"/>
        <w:bottom w:val="none" w:sz="0" w:space="0" w:color="auto"/>
        <w:right w:val="none" w:sz="0" w:space="0" w:color="auto"/>
      </w:divBdr>
    </w:div>
    <w:div w:id="685912078">
      <w:bodyDiv w:val="1"/>
      <w:marLeft w:val="0"/>
      <w:marRight w:val="0"/>
      <w:marTop w:val="0"/>
      <w:marBottom w:val="0"/>
      <w:divBdr>
        <w:top w:val="none" w:sz="0" w:space="0" w:color="auto"/>
        <w:left w:val="none" w:sz="0" w:space="0" w:color="auto"/>
        <w:bottom w:val="none" w:sz="0" w:space="0" w:color="auto"/>
        <w:right w:val="none" w:sz="0" w:space="0" w:color="auto"/>
      </w:divBdr>
    </w:div>
    <w:div w:id="686062265">
      <w:bodyDiv w:val="1"/>
      <w:marLeft w:val="0"/>
      <w:marRight w:val="0"/>
      <w:marTop w:val="0"/>
      <w:marBottom w:val="0"/>
      <w:divBdr>
        <w:top w:val="none" w:sz="0" w:space="0" w:color="auto"/>
        <w:left w:val="none" w:sz="0" w:space="0" w:color="auto"/>
        <w:bottom w:val="none" w:sz="0" w:space="0" w:color="auto"/>
        <w:right w:val="none" w:sz="0" w:space="0" w:color="auto"/>
      </w:divBdr>
    </w:div>
    <w:div w:id="686441373">
      <w:bodyDiv w:val="1"/>
      <w:marLeft w:val="0"/>
      <w:marRight w:val="0"/>
      <w:marTop w:val="0"/>
      <w:marBottom w:val="0"/>
      <w:divBdr>
        <w:top w:val="none" w:sz="0" w:space="0" w:color="auto"/>
        <w:left w:val="none" w:sz="0" w:space="0" w:color="auto"/>
        <w:bottom w:val="none" w:sz="0" w:space="0" w:color="auto"/>
        <w:right w:val="none" w:sz="0" w:space="0" w:color="auto"/>
      </w:divBdr>
    </w:div>
    <w:div w:id="686446409">
      <w:bodyDiv w:val="1"/>
      <w:marLeft w:val="0"/>
      <w:marRight w:val="0"/>
      <w:marTop w:val="0"/>
      <w:marBottom w:val="0"/>
      <w:divBdr>
        <w:top w:val="none" w:sz="0" w:space="0" w:color="auto"/>
        <w:left w:val="none" w:sz="0" w:space="0" w:color="auto"/>
        <w:bottom w:val="none" w:sz="0" w:space="0" w:color="auto"/>
        <w:right w:val="none" w:sz="0" w:space="0" w:color="auto"/>
      </w:divBdr>
    </w:div>
    <w:div w:id="686828993">
      <w:bodyDiv w:val="1"/>
      <w:marLeft w:val="0"/>
      <w:marRight w:val="0"/>
      <w:marTop w:val="0"/>
      <w:marBottom w:val="0"/>
      <w:divBdr>
        <w:top w:val="none" w:sz="0" w:space="0" w:color="auto"/>
        <w:left w:val="none" w:sz="0" w:space="0" w:color="auto"/>
        <w:bottom w:val="none" w:sz="0" w:space="0" w:color="auto"/>
        <w:right w:val="none" w:sz="0" w:space="0" w:color="auto"/>
      </w:divBdr>
    </w:div>
    <w:div w:id="686836581">
      <w:bodyDiv w:val="1"/>
      <w:marLeft w:val="0"/>
      <w:marRight w:val="0"/>
      <w:marTop w:val="0"/>
      <w:marBottom w:val="0"/>
      <w:divBdr>
        <w:top w:val="none" w:sz="0" w:space="0" w:color="auto"/>
        <w:left w:val="none" w:sz="0" w:space="0" w:color="auto"/>
        <w:bottom w:val="none" w:sz="0" w:space="0" w:color="auto"/>
        <w:right w:val="none" w:sz="0" w:space="0" w:color="auto"/>
      </w:divBdr>
    </w:div>
    <w:div w:id="687098745">
      <w:bodyDiv w:val="1"/>
      <w:marLeft w:val="0"/>
      <w:marRight w:val="0"/>
      <w:marTop w:val="0"/>
      <w:marBottom w:val="0"/>
      <w:divBdr>
        <w:top w:val="none" w:sz="0" w:space="0" w:color="auto"/>
        <w:left w:val="none" w:sz="0" w:space="0" w:color="auto"/>
        <w:bottom w:val="none" w:sz="0" w:space="0" w:color="auto"/>
        <w:right w:val="none" w:sz="0" w:space="0" w:color="auto"/>
      </w:divBdr>
    </w:div>
    <w:div w:id="687215817">
      <w:bodyDiv w:val="1"/>
      <w:marLeft w:val="0"/>
      <w:marRight w:val="0"/>
      <w:marTop w:val="0"/>
      <w:marBottom w:val="0"/>
      <w:divBdr>
        <w:top w:val="none" w:sz="0" w:space="0" w:color="auto"/>
        <w:left w:val="none" w:sz="0" w:space="0" w:color="auto"/>
        <w:bottom w:val="none" w:sz="0" w:space="0" w:color="auto"/>
        <w:right w:val="none" w:sz="0" w:space="0" w:color="auto"/>
      </w:divBdr>
    </w:div>
    <w:div w:id="687291167">
      <w:bodyDiv w:val="1"/>
      <w:marLeft w:val="0"/>
      <w:marRight w:val="0"/>
      <w:marTop w:val="0"/>
      <w:marBottom w:val="0"/>
      <w:divBdr>
        <w:top w:val="none" w:sz="0" w:space="0" w:color="auto"/>
        <w:left w:val="none" w:sz="0" w:space="0" w:color="auto"/>
        <w:bottom w:val="none" w:sz="0" w:space="0" w:color="auto"/>
        <w:right w:val="none" w:sz="0" w:space="0" w:color="auto"/>
      </w:divBdr>
    </w:div>
    <w:div w:id="687411749">
      <w:bodyDiv w:val="1"/>
      <w:marLeft w:val="0"/>
      <w:marRight w:val="0"/>
      <w:marTop w:val="0"/>
      <w:marBottom w:val="0"/>
      <w:divBdr>
        <w:top w:val="none" w:sz="0" w:space="0" w:color="auto"/>
        <w:left w:val="none" w:sz="0" w:space="0" w:color="auto"/>
        <w:bottom w:val="none" w:sz="0" w:space="0" w:color="auto"/>
        <w:right w:val="none" w:sz="0" w:space="0" w:color="auto"/>
      </w:divBdr>
    </w:div>
    <w:div w:id="687482764">
      <w:bodyDiv w:val="1"/>
      <w:marLeft w:val="0"/>
      <w:marRight w:val="0"/>
      <w:marTop w:val="0"/>
      <w:marBottom w:val="0"/>
      <w:divBdr>
        <w:top w:val="none" w:sz="0" w:space="0" w:color="auto"/>
        <w:left w:val="none" w:sz="0" w:space="0" w:color="auto"/>
        <w:bottom w:val="none" w:sz="0" w:space="0" w:color="auto"/>
        <w:right w:val="none" w:sz="0" w:space="0" w:color="auto"/>
      </w:divBdr>
    </w:div>
    <w:div w:id="687560384">
      <w:bodyDiv w:val="1"/>
      <w:marLeft w:val="0"/>
      <w:marRight w:val="0"/>
      <w:marTop w:val="0"/>
      <w:marBottom w:val="0"/>
      <w:divBdr>
        <w:top w:val="none" w:sz="0" w:space="0" w:color="auto"/>
        <w:left w:val="none" w:sz="0" w:space="0" w:color="auto"/>
        <w:bottom w:val="none" w:sz="0" w:space="0" w:color="auto"/>
        <w:right w:val="none" w:sz="0" w:space="0" w:color="auto"/>
      </w:divBdr>
    </w:div>
    <w:div w:id="687679039">
      <w:bodyDiv w:val="1"/>
      <w:marLeft w:val="0"/>
      <w:marRight w:val="0"/>
      <w:marTop w:val="0"/>
      <w:marBottom w:val="0"/>
      <w:divBdr>
        <w:top w:val="none" w:sz="0" w:space="0" w:color="auto"/>
        <w:left w:val="none" w:sz="0" w:space="0" w:color="auto"/>
        <w:bottom w:val="none" w:sz="0" w:space="0" w:color="auto"/>
        <w:right w:val="none" w:sz="0" w:space="0" w:color="auto"/>
      </w:divBdr>
    </w:div>
    <w:div w:id="687682352">
      <w:bodyDiv w:val="1"/>
      <w:marLeft w:val="0"/>
      <w:marRight w:val="0"/>
      <w:marTop w:val="0"/>
      <w:marBottom w:val="0"/>
      <w:divBdr>
        <w:top w:val="none" w:sz="0" w:space="0" w:color="auto"/>
        <w:left w:val="none" w:sz="0" w:space="0" w:color="auto"/>
        <w:bottom w:val="none" w:sz="0" w:space="0" w:color="auto"/>
        <w:right w:val="none" w:sz="0" w:space="0" w:color="auto"/>
      </w:divBdr>
    </w:div>
    <w:div w:id="687869369">
      <w:bodyDiv w:val="1"/>
      <w:marLeft w:val="0"/>
      <w:marRight w:val="0"/>
      <w:marTop w:val="0"/>
      <w:marBottom w:val="0"/>
      <w:divBdr>
        <w:top w:val="none" w:sz="0" w:space="0" w:color="auto"/>
        <w:left w:val="none" w:sz="0" w:space="0" w:color="auto"/>
        <w:bottom w:val="none" w:sz="0" w:space="0" w:color="auto"/>
        <w:right w:val="none" w:sz="0" w:space="0" w:color="auto"/>
      </w:divBdr>
    </w:div>
    <w:div w:id="688027754">
      <w:bodyDiv w:val="1"/>
      <w:marLeft w:val="0"/>
      <w:marRight w:val="0"/>
      <w:marTop w:val="0"/>
      <w:marBottom w:val="0"/>
      <w:divBdr>
        <w:top w:val="none" w:sz="0" w:space="0" w:color="auto"/>
        <w:left w:val="none" w:sz="0" w:space="0" w:color="auto"/>
        <w:bottom w:val="none" w:sz="0" w:space="0" w:color="auto"/>
        <w:right w:val="none" w:sz="0" w:space="0" w:color="auto"/>
      </w:divBdr>
    </w:div>
    <w:div w:id="688067357">
      <w:bodyDiv w:val="1"/>
      <w:marLeft w:val="0"/>
      <w:marRight w:val="0"/>
      <w:marTop w:val="0"/>
      <w:marBottom w:val="0"/>
      <w:divBdr>
        <w:top w:val="none" w:sz="0" w:space="0" w:color="auto"/>
        <w:left w:val="none" w:sz="0" w:space="0" w:color="auto"/>
        <w:bottom w:val="none" w:sz="0" w:space="0" w:color="auto"/>
        <w:right w:val="none" w:sz="0" w:space="0" w:color="auto"/>
      </w:divBdr>
    </w:div>
    <w:div w:id="688145914">
      <w:bodyDiv w:val="1"/>
      <w:marLeft w:val="0"/>
      <w:marRight w:val="0"/>
      <w:marTop w:val="0"/>
      <w:marBottom w:val="0"/>
      <w:divBdr>
        <w:top w:val="none" w:sz="0" w:space="0" w:color="auto"/>
        <w:left w:val="none" w:sz="0" w:space="0" w:color="auto"/>
        <w:bottom w:val="none" w:sz="0" w:space="0" w:color="auto"/>
        <w:right w:val="none" w:sz="0" w:space="0" w:color="auto"/>
      </w:divBdr>
    </w:div>
    <w:div w:id="688262860">
      <w:bodyDiv w:val="1"/>
      <w:marLeft w:val="0"/>
      <w:marRight w:val="0"/>
      <w:marTop w:val="0"/>
      <w:marBottom w:val="0"/>
      <w:divBdr>
        <w:top w:val="none" w:sz="0" w:space="0" w:color="auto"/>
        <w:left w:val="none" w:sz="0" w:space="0" w:color="auto"/>
        <w:bottom w:val="none" w:sz="0" w:space="0" w:color="auto"/>
        <w:right w:val="none" w:sz="0" w:space="0" w:color="auto"/>
      </w:divBdr>
    </w:div>
    <w:div w:id="688288738">
      <w:bodyDiv w:val="1"/>
      <w:marLeft w:val="0"/>
      <w:marRight w:val="0"/>
      <w:marTop w:val="0"/>
      <w:marBottom w:val="0"/>
      <w:divBdr>
        <w:top w:val="none" w:sz="0" w:space="0" w:color="auto"/>
        <w:left w:val="none" w:sz="0" w:space="0" w:color="auto"/>
        <w:bottom w:val="none" w:sz="0" w:space="0" w:color="auto"/>
        <w:right w:val="none" w:sz="0" w:space="0" w:color="auto"/>
      </w:divBdr>
    </w:div>
    <w:div w:id="688337744">
      <w:bodyDiv w:val="1"/>
      <w:marLeft w:val="0"/>
      <w:marRight w:val="0"/>
      <w:marTop w:val="0"/>
      <w:marBottom w:val="0"/>
      <w:divBdr>
        <w:top w:val="none" w:sz="0" w:space="0" w:color="auto"/>
        <w:left w:val="none" w:sz="0" w:space="0" w:color="auto"/>
        <w:bottom w:val="none" w:sz="0" w:space="0" w:color="auto"/>
        <w:right w:val="none" w:sz="0" w:space="0" w:color="auto"/>
      </w:divBdr>
    </w:div>
    <w:div w:id="688483654">
      <w:bodyDiv w:val="1"/>
      <w:marLeft w:val="0"/>
      <w:marRight w:val="0"/>
      <w:marTop w:val="0"/>
      <w:marBottom w:val="0"/>
      <w:divBdr>
        <w:top w:val="none" w:sz="0" w:space="0" w:color="auto"/>
        <w:left w:val="none" w:sz="0" w:space="0" w:color="auto"/>
        <w:bottom w:val="none" w:sz="0" w:space="0" w:color="auto"/>
        <w:right w:val="none" w:sz="0" w:space="0" w:color="auto"/>
      </w:divBdr>
    </w:div>
    <w:div w:id="688487024">
      <w:bodyDiv w:val="1"/>
      <w:marLeft w:val="0"/>
      <w:marRight w:val="0"/>
      <w:marTop w:val="0"/>
      <w:marBottom w:val="0"/>
      <w:divBdr>
        <w:top w:val="none" w:sz="0" w:space="0" w:color="auto"/>
        <w:left w:val="none" w:sz="0" w:space="0" w:color="auto"/>
        <w:bottom w:val="none" w:sz="0" w:space="0" w:color="auto"/>
        <w:right w:val="none" w:sz="0" w:space="0" w:color="auto"/>
      </w:divBdr>
    </w:div>
    <w:div w:id="688677736">
      <w:bodyDiv w:val="1"/>
      <w:marLeft w:val="0"/>
      <w:marRight w:val="0"/>
      <w:marTop w:val="0"/>
      <w:marBottom w:val="0"/>
      <w:divBdr>
        <w:top w:val="none" w:sz="0" w:space="0" w:color="auto"/>
        <w:left w:val="none" w:sz="0" w:space="0" w:color="auto"/>
        <w:bottom w:val="none" w:sz="0" w:space="0" w:color="auto"/>
        <w:right w:val="none" w:sz="0" w:space="0" w:color="auto"/>
      </w:divBdr>
    </w:div>
    <w:div w:id="688683436">
      <w:bodyDiv w:val="1"/>
      <w:marLeft w:val="0"/>
      <w:marRight w:val="0"/>
      <w:marTop w:val="0"/>
      <w:marBottom w:val="0"/>
      <w:divBdr>
        <w:top w:val="none" w:sz="0" w:space="0" w:color="auto"/>
        <w:left w:val="none" w:sz="0" w:space="0" w:color="auto"/>
        <w:bottom w:val="none" w:sz="0" w:space="0" w:color="auto"/>
        <w:right w:val="none" w:sz="0" w:space="0" w:color="auto"/>
      </w:divBdr>
    </w:div>
    <w:div w:id="688718568">
      <w:bodyDiv w:val="1"/>
      <w:marLeft w:val="0"/>
      <w:marRight w:val="0"/>
      <w:marTop w:val="0"/>
      <w:marBottom w:val="0"/>
      <w:divBdr>
        <w:top w:val="none" w:sz="0" w:space="0" w:color="auto"/>
        <w:left w:val="none" w:sz="0" w:space="0" w:color="auto"/>
        <w:bottom w:val="none" w:sz="0" w:space="0" w:color="auto"/>
        <w:right w:val="none" w:sz="0" w:space="0" w:color="auto"/>
      </w:divBdr>
    </w:div>
    <w:div w:id="688794583">
      <w:bodyDiv w:val="1"/>
      <w:marLeft w:val="0"/>
      <w:marRight w:val="0"/>
      <w:marTop w:val="0"/>
      <w:marBottom w:val="0"/>
      <w:divBdr>
        <w:top w:val="none" w:sz="0" w:space="0" w:color="auto"/>
        <w:left w:val="none" w:sz="0" w:space="0" w:color="auto"/>
        <w:bottom w:val="none" w:sz="0" w:space="0" w:color="auto"/>
        <w:right w:val="none" w:sz="0" w:space="0" w:color="auto"/>
      </w:divBdr>
    </w:div>
    <w:div w:id="688874925">
      <w:bodyDiv w:val="1"/>
      <w:marLeft w:val="0"/>
      <w:marRight w:val="0"/>
      <w:marTop w:val="0"/>
      <w:marBottom w:val="0"/>
      <w:divBdr>
        <w:top w:val="none" w:sz="0" w:space="0" w:color="auto"/>
        <w:left w:val="none" w:sz="0" w:space="0" w:color="auto"/>
        <w:bottom w:val="none" w:sz="0" w:space="0" w:color="auto"/>
        <w:right w:val="none" w:sz="0" w:space="0" w:color="auto"/>
      </w:divBdr>
    </w:div>
    <w:div w:id="688878000">
      <w:bodyDiv w:val="1"/>
      <w:marLeft w:val="0"/>
      <w:marRight w:val="0"/>
      <w:marTop w:val="0"/>
      <w:marBottom w:val="0"/>
      <w:divBdr>
        <w:top w:val="none" w:sz="0" w:space="0" w:color="auto"/>
        <w:left w:val="none" w:sz="0" w:space="0" w:color="auto"/>
        <w:bottom w:val="none" w:sz="0" w:space="0" w:color="auto"/>
        <w:right w:val="none" w:sz="0" w:space="0" w:color="auto"/>
      </w:divBdr>
    </w:div>
    <w:div w:id="688914483">
      <w:bodyDiv w:val="1"/>
      <w:marLeft w:val="0"/>
      <w:marRight w:val="0"/>
      <w:marTop w:val="0"/>
      <w:marBottom w:val="0"/>
      <w:divBdr>
        <w:top w:val="none" w:sz="0" w:space="0" w:color="auto"/>
        <w:left w:val="none" w:sz="0" w:space="0" w:color="auto"/>
        <w:bottom w:val="none" w:sz="0" w:space="0" w:color="auto"/>
        <w:right w:val="none" w:sz="0" w:space="0" w:color="auto"/>
      </w:divBdr>
    </w:div>
    <w:div w:id="688920221">
      <w:bodyDiv w:val="1"/>
      <w:marLeft w:val="0"/>
      <w:marRight w:val="0"/>
      <w:marTop w:val="0"/>
      <w:marBottom w:val="0"/>
      <w:divBdr>
        <w:top w:val="none" w:sz="0" w:space="0" w:color="auto"/>
        <w:left w:val="none" w:sz="0" w:space="0" w:color="auto"/>
        <w:bottom w:val="none" w:sz="0" w:space="0" w:color="auto"/>
        <w:right w:val="none" w:sz="0" w:space="0" w:color="auto"/>
      </w:divBdr>
    </w:div>
    <w:div w:id="688988408">
      <w:bodyDiv w:val="1"/>
      <w:marLeft w:val="0"/>
      <w:marRight w:val="0"/>
      <w:marTop w:val="0"/>
      <w:marBottom w:val="0"/>
      <w:divBdr>
        <w:top w:val="none" w:sz="0" w:space="0" w:color="auto"/>
        <w:left w:val="none" w:sz="0" w:space="0" w:color="auto"/>
        <w:bottom w:val="none" w:sz="0" w:space="0" w:color="auto"/>
        <w:right w:val="none" w:sz="0" w:space="0" w:color="auto"/>
      </w:divBdr>
    </w:div>
    <w:div w:id="688990105">
      <w:bodyDiv w:val="1"/>
      <w:marLeft w:val="0"/>
      <w:marRight w:val="0"/>
      <w:marTop w:val="0"/>
      <w:marBottom w:val="0"/>
      <w:divBdr>
        <w:top w:val="none" w:sz="0" w:space="0" w:color="auto"/>
        <w:left w:val="none" w:sz="0" w:space="0" w:color="auto"/>
        <w:bottom w:val="none" w:sz="0" w:space="0" w:color="auto"/>
        <w:right w:val="none" w:sz="0" w:space="0" w:color="auto"/>
      </w:divBdr>
    </w:div>
    <w:div w:id="688992273">
      <w:bodyDiv w:val="1"/>
      <w:marLeft w:val="0"/>
      <w:marRight w:val="0"/>
      <w:marTop w:val="0"/>
      <w:marBottom w:val="0"/>
      <w:divBdr>
        <w:top w:val="none" w:sz="0" w:space="0" w:color="auto"/>
        <w:left w:val="none" w:sz="0" w:space="0" w:color="auto"/>
        <w:bottom w:val="none" w:sz="0" w:space="0" w:color="auto"/>
        <w:right w:val="none" w:sz="0" w:space="0" w:color="auto"/>
      </w:divBdr>
    </w:div>
    <w:div w:id="689067691">
      <w:bodyDiv w:val="1"/>
      <w:marLeft w:val="0"/>
      <w:marRight w:val="0"/>
      <w:marTop w:val="0"/>
      <w:marBottom w:val="0"/>
      <w:divBdr>
        <w:top w:val="none" w:sz="0" w:space="0" w:color="auto"/>
        <w:left w:val="none" w:sz="0" w:space="0" w:color="auto"/>
        <w:bottom w:val="none" w:sz="0" w:space="0" w:color="auto"/>
        <w:right w:val="none" w:sz="0" w:space="0" w:color="auto"/>
      </w:divBdr>
    </w:div>
    <w:div w:id="689069467">
      <w:bodyDiv w:val="1"/>
      <w:marLeft w:val="0"/>
      <w:marRight w:val="0"/>
      <w:marTop w:val="0"/>
      <w:marBottom w:val="0"/>
      <w:divBdr>
        <w:top w:val="none" w:sz="0" w:space="0" w:color="auto"/>
        <w:left w:val="none" w:sz="0" w:space="0" w:color="auto"/>
        <w:bottom w:val="none" w:sz="0" w:space="0" w:color="auto"/>
        <w:right w:val="none" w:sz="0" w:space="0" w:color="auto"/>
      </w:divBdr>
    </w:div>
    <w:div w:id="689111544">
      <w:bodyDiv w:val="1"/>
      <w:marLeft w:val="0"/>
      <w:marRight w:val="0"/>
      <w:marTop w:val="0"/>
      <w:marBottom w:val="0"/>
      <w:divBdr>
        <w:top w:val="none" w:sz="0" w:space="0" w:color="auto"/>
        <w:left w:val="none" w:sz="0" w:space="0" w:color="auto"/>
        <w:bottom w:val="none" w:sz="0" w:space="0" w:color="auto"/>
        <w:right w:val="none" w:sz="0" w:space="0" w:color="auto"/>
      </w:divBdr>
    </w:div>
    <w:div w:id="689112894">
      <w:bodyDiv w:val="1"/>
      <w:marLeft w:val="0"/>
      <w:marRight w:val="0"/>
      <w:marTop w:val="0"/>
      <w:marBottom w:val="0"/>
      <w:divBdr>
        <w:top w:val="none" w:sz="0" w:space="0" w:color="auto"/>
        <w:left w:val="none" w:sz="0" w:space="0" w:color="auto"/>
        <w:bottom w:val="none" w:sz="0" w:space="0" w:color="auto"/>
        <w:right w:val="none" w:sz="0" w:space="0" w:color="auto"/>
      </w:divBdr>
    </w:div>
    <w:div w:id="689334216">
      <w:bodyDiv w:val="1"/>
      <w:marLeft w:val="0"/>
      <w:marRight w:val="0"/>
      <w:marTop w:val="0"/>
      <w:marBottom w:val="0"/>
      <w:divBdr>
        <w:top w:val="none" w:sz="0" w:space="0" w:color="auto"/>
        <w:left w:val="none" w:sz="0" w:space="0" w:color="auto"/>
        <w:bottom w:val="none" w:sz="0" w:space="0" w:color="auto"/>
        <w:right w:val="none" w:sz="0" w:space="0" w:color="auto"/>
      </w:divBdr>
    </w:div>
    <w:div w:id="689450238">
      <w:bodyDiv w:val="1"/>
      <w:marLeft w:val="0"/>
      <w:marRight w:val="0"/>
      <w:marTop w:val="0"/>
      <w:marBottom w:val="0"/>
      <w:divBdr>
        <w:top w:val="none" w:sz="0" w:space="0" w:color="auto"/>
        <w:left w:val="none" w:sz="0" w:space="0" w:color="auto"/>
        <w:bottom w:val="none" w:sz="0" w:space="0" w:color="auto"/>
        <w:right w:val="none" w:sz="0" w:space="0" w:color="auto"/>
      </w:divBdr>
    </w:div>
    <w:div w:id="689598964">
      <w:bodyDiv w:val="1"/>
      <w:marLeft w:val="0"/>
      <w:marRight w:val="0"/>
      <w:marTop w:val="0"/>
      <w:marBottom w:val="0"/>
      <w:divBdr>
        <w:top w:val="none" w:sz="0" w:space="0" w:color="auto"/>
        <w:left w:val="none" w:sz="0" w:space="0" w:color="auto"/>
        <w:bottom w:val="none" w:sz="0" w:space="0" w:color="auto"/>
        <w:right w:val="none" w:sz="0" w:space="0" w:color="auto"/>
      </w:divBdr>
    </w:div>
    <w:div w:id="689601496">
      <w:bodyDiv w:val="1"/>
      <w:marLeft w:val="0"/>
      <w:marRight w:val="0"/>
      <w:marTop w:val="0"/>
      <w:marBottom w:val="0"/>
      <w:divBdr>
        <w:top w:val="none" w:sz="0" w:space="0" w:color="auto"/>
        <w:left w:val="none" w:sz="0" w:space="0" w:color="auto"/>
        <w:bottom w:val="none" w:sz="0" w:space="0" w:color="auto"/>
        <w:right w:val="none" w:sz="0" w:space="0" w:color="auto"/>
      </w:divBdr>
    </w:div>
    <w:div w:id="689642917">
      <w:bodyDiv w:val="1"/>
      <w:marLeft w:val="0"/>
      <w:marRight w:val="0"/>
      <w:marTop w:val="0"/>
      <w:marBottom w:val="0"/>
      <w:divBdr>
        <w:top w:val="none" w:sz="0" w:space="0" w:color="auto"/>
        <w:left w:val="none" w:sz="0" w:space="0" w:color="auto"/>
        <w:bottom w:val="none" w:sz="0" w:space="0" w:color="auto"/>
        <w:right w:val="none" w:sz="0" w:space="0" w:color="auto"/>
      </w:divBdr>
    </w:div>
    <w:div w:id="689644788">
      <w:bodyDiv w:val="1"/>
      <w:marLeft w:val="0"/>
      <w:marRight w:val="0"/>
      <w:marTop w:val="0"/>
      <w:marBottom w:val="0"/>
      <w:divBdr>
        <w:top w:val="none" w:sz="0" w:space="0" w:color="auto"/>
        <w:left w:val="none" w:sz="0" w:space="0" w:color="auto"/>
        <w:bottom w:val="none" w:sz="0" w:space="0" w:color="auto"/>
        <w:right w:val="none" w:sz="0" w:space="0" w:color="auto"/>
      </w:divBdr>
    </w:div>
    <w:div w:id="689649205">
      <w:bodyDiv w:val="1"/>
      <w:marLeft w:val="0"/>
      <w:marRight w:val="0"/>
      <w:marTop w:val="0"/>
      <w:marBottom w:val="0"/>
      <w:divBdr>
        <w:top w:val="none" w:sz="0" w:space="0" w:color="auto"/>
        <w:left w:val="none" w:sz="0" w:space="0" w:color="auto"/>
        <w:bottom w:val="none" w:sz="0" w:space="0" w:color="auto"/>
        <w:right w:val="none" w:sz="0" w:space="0" w:color="auto"/>
      </w:divBdr>
    </w:div>
    <w:div w:id="689649217">
      <w:bodyDiv w:val="1"/>
      <w:marLeft w:val="0"/>
      <w:marRight w:val="0"/>
      <w:marTop w:val="0"/>
      <w:marBottom w:val="0"/>
      <w:divBdr>
        <w:top w:val="none" w:sz="0" w:space="0" w:color="auto"/>
        <w:left w:val="none" w:sz="0" w:space="0" w:color="auto"/>
        <w:bottom w:val="none" w:sz="0" w:space="0" w:color="auto"/>
        <w:right w:val="none" w:sz="0" w:space="0" w:color="auto"/>
      </w:divBdr>
    </w:div>
    <w:div w:id="689793171">
      <w:bodyDiv w:val="1"/>
      <w:marLeft w:val="0"/>
      <w:marRight w:val="0"/>
      <w:marTop w:val="0"/>
      <w:marBottom w:val="0"/>
      <w:divBdr>
        <w:top w:val="none" w:sz="0" w:space="0" w:color="auto"/>
        <w:left w:val="none" w:sz="0" w:space="0" w:color="auto"/>
        <w:bottom w:val="none" w:sz="0" w:space="0" w:color="auto"/>
        <w:right w:val="none" w:sz="0" w:space="0" w:color="auto"/>
      </w:divBdr>
    </w:div>
    <w:div w:id="689796924">
      <w:bodyDiv w:val="1"/>
      <w:marLeft w:val="0"/>
      <w:marRight w:val="0"/>
      <w:marTop w:val="0"/>
      <w:marBottom w:val="0"/>
      <w:divBdr>
        <w:top w:val="none" w:sz="0" w:space="0" w:color="auto"/>
        <w:left w:val="none" w:sz="0" w:space="0" w:color="auto"/>
        <w:bottom w:val="none" w:sz="0" w:space="0" w:color="auto"/>
        <w:right w:val="none" w:sz="0" w:space="0" w:color="auto"/>
      </w:divBdr>
    </w:div>
    <w:div w:id="689844472">
      <w:bodyDiv w:val="1"/>
      <w:marLeft w:val="0"/>
      <w:marRight w:val="0"/>
      <w:marTop w:val="0"/>
      <w:marBottom w:val="0"/>
      <w:divBdr>
        <w:top w:val="none" w:sz="0" w:space="0" w:color="auto"/>
        <w:left w:val="none" w:sz="0" w:space="0" w:color="auto"/>
        <w:bottom w:val="none" w:sz="0" w:space="0" w:color="auto"/>
        <w:right w:val="none" w:sz="0" w:space="0" w:color="auto"/>
      </w:divBdr>
    </w:div>
    <w:div w:id="689989786">
      <w:bodyDiv w:val="1"/>
      <w:marLeft w:val="0"/>
      <w:marRight w:val="0"/>
      <w:marTop w:val="0"/>
      <w:marBottom w:val="0"/>
      <w:divBdr>
        <w:top w:val="none" w:sz="0" w:space="0" w:color="auto"/>
        <w:left w:val="none" w:sz="0" w:space="0" w:color="auto"/>
        <w:bottom w:val="none" w:sz="0" w:space="0" w:color="auto"/>
        <w:right w:val="none" w:sz="0" w:space="0" w:color="auto"/>
      </w:divBdr>
    </w:div>
    <w:div w:id="689990743">
      <w:bodyDiv w:val="1"/>
      <w:marLeft w:val="0"/>
      <w:marRight w:val="0"/>
      <w:marTop w:val="0"/>
      <w:marBottom w:val="0"/>
      <w:divBdr>
        <w:top w:val="none" w:sz="0" w:space="0" w:color="auto"/>
        <w:left w:val="none" w:sz="0" w:space="0" w:color="auto"/>
        <w:bottom w:val="none" w:sz="0" w:space="0" w:color="auto"/>
        <w:right w:val="none" w:sz="0" w:space="0" w:color="auto"/>
      </w:divBdr>
    </w:div>
    <w:div w:id="690181354">
      <w:bodyDiv w:val="1"/>
      <w:marLeft w:val="0"/>
      <w:marRight w:val="0"/>
      <w:marTop w:val="0"/>
      <w:marBottom w:val="0"/>
      <w:divBdr>
        <w:top w:val="none" w:sz="0" w:space="0" w:color="auto"/>
        <w:left w:val="none" w:sz="0" w:space="0" w:color="auto"/>
        <w:bottom w:val="none" w:sz="0" w:space="0" w:color="auto"/>
        <w:right w:val="none" w:sz="0" w:space="0" w:color="auto"/>
      </w:divBdr>
    </w:div>
    <w:div w:id="690299230">
      <w:bodyDiv w:val="1"/>
      <w:marLeft w:val="0"/>
      <w:marRight w:val="0"/>
      <w:marTop w:val="0"/>
      <w:marBottom w:val="0"/>
      <w:divBdr>
        <w:top w:val="none" w:sz="0" w:space="0" w:color="auto"/>
        <w:left w:val="none" w:sz="0" w:space="0" w:color="auto"/>
        <w:bottom w:val="none" w:sz="0" w:space="0" w:color="auto"/>
        <w:right w:val="none" w:sz="0" w:space="0" w:color="auto"/>
      </w:divBdr>
    </w:div>
    <w:div w:id="690376514">
      <w:bodyDiv w:val="1"/>
      <w:marLeft w:val="0"/>
      <w:marRight w:val="0"/>
      <w:marTop w:val="0"/>
      <w:marBottom w:val="0"/>
      <w:divBdr>
        <w:top w:val="none" w:sz="0" w:space="0" w:color="auto"/>
        <w:left w:val="none" w:sz="0" w:space="0" w:color="auto"/>
        <w:bottom w:val="none" w:sz="0" w:space="0" w:color="auto"/>
        <w:right w:val="none" w:sz="0" w:space="0" w:color="auto"/>
      </w:divBdr>
    </w:div>
    <w:div w:id="690380657">
      <w:bodyDiv w:val="1"/>
      <w:marLeft w:val="0"/>
      <w:marRight w:val="0"/>
      <w:marTop w:val="0"/>
      <w:marBottom w:val="0"/>
      <w:divBdr>
        <w:top w:val="none" w:sz="0" w:space="0" w:color="auto"/>
        <w:left w:val="none" w:sz="0" w:space="0" w:color="auto"/>
        <w:bottom w:val="none" w:sz="0" w:space="0" w:color="auto"/>
        <w:right w:val="none" w:sz="0" w:space="0" w:color="auto"/>
      </w:divBdr>
    </w:div>
    <w:div w:id="690453451">
      <w:bodyDiv w:val="1"/>
      <w:marLeft w:val="0"/>
      <w:marRight w:val="0"/>
      <w:marTop w:val="0"/>
      <w:marBottom w:val="0"/>
      <w:divBdr>
        <w:top w:val="none" w:sz="0" w:space="0" w:color="auto"/>
        <w:left w:val="none" w:sz="0" w:space="0" w:color="auto"/>
        <w:bottom w:val="none" w:sz="0" w:space="0" w:color="auto"/>
        <w:right w:val="none" w:sz="0" w:space="0" w:color="auto"/>
      </w:divBdr>
    </w:div>
    <w:div w:id="690571305">
      <w:bodyDiv w:val="1"/>
      <w:marLeft w:val="0"/>
      <w:marRight w:val="0"/>
      <w:marTop w:val="0"/>
      <w:marBottom w:val="0"/>
      <w:divBdr>
        <w:top w:val="none" w:sz="0" w:space="0" w:color="auto"/>
        <w:left w:val="none" w:sz="0" w:space="0" w:color="auto"/>
        <w:bottom w:val="none" w:sz="0" w:space="0" w:color="auto"/>
        <w:right w:val="none" w:sz="0" w:space="0" w:color="auto"/>
      </w:divBdr>
    </w:div>
    <w:div w:id="690689126">
      <w:bodyDiv w:val="1"/>
      <w:marLeft w:val="0"/>
      <w:marRight w:val="0"/>
      <w:marTop w:val="0"/>
      <w:marBottom w:val="0"/>
      <w:divBdr>
        <w:top w:val="none" w:sz="0" w:space="0" w:color="auto"/>
        <w:left w:val="none" w:sz="0" w:space="0" w:color="auto"/>
        <w:bottom w:val="none" w:sz="0" w:space="0" w:color="auto"/>
        <w:right w:val="none" w:sz="0" w:space="0" w:color="auto"/>
      </w:divBdr>
    </w:div>
    <w:div w:id="690835882">
      <w:bodyDiv w:val="1"/>
      <w:marLeft w:val="0"/>
      <w:marRight w:val="0"/>
      <w:marTop w:val="0"/>
      <w:marBottom w:val="0"/>
      <w:divBdr>
        <w:top w:val="none" w:sz="0" w:space="0" w:color="auto"/>
        <w:left w:val="none" w:sz="0" w:space="0" w:color="auto"/>
        <w:bottom w:val="none" w:sz="0" w:space="0" w:color="auto"/>
        <w:right w:val="none" w:sz="0" w:space="0" w:color="auto"/>
      </w:divBdr>
    </w:div>
    <w:div w:id="690952811">
      <w:bodyDiv w:val="1"/>
      <w:marLeft w:val="0"/>
      <w:marRight w:val="0"/>
      <w:marTop w:val="0"/>
      <w:marBottom w:val="0"/>
      <w:divBdr>
        <w:top w:val="none" w:sz="0" w:space="0" w:color="auto"/>
        <w:left w:val="none" w:sz="0" w:space="0" w:color="auto"/>
        <w:bottom w:val="none" w:sz="0" w:space="0" w:color="auto"/>
        <w:right w:val="none" w:sz="0" w:space="0" w:color="auto"/>
      </w:divBdr>
    </w:div>
    <w:div w:id="691105399">
      <w:bodyDiv w:val="1"/>
      <w:marLeft w:val="0"/>
      <w:marRight w:val="0"/>
      <w:marTop w:val="0"/>
      <w:marBottom w:val="0"/>
      <w:divBdr>
        <w:top w:val="none" w:sz="0" w:space="0" w:color="auto"/>
        <w:left w:val="none" w:sz="0" w:space="0" w:color="auto"/>
        <w:bottom w:val="none" w:sz="0" w:space="0" w:color="auto"/>
        <w:right w:val="none" w:sz="0" w:space="0" w:color="auto"/>
      </w:divBdr>
    </w:div>
    <w:div w:id="691151030">
      <w:bodyDiv w:val="1"/>
      <w:marLeft w:val="0"/>
      <w:marRight w:val="0"/>
      <w:marTop w:val="0"/>
      <w:marBottom w:val="0"/>
      <w:divBdr>
        <w:top w:val="none" w:sz="0" w:space="0" w:color="auto"/>
        <w:left w:val="none" w:sz="0" w:space="0" w:color="auto"/>
        <w:bottom w:val="none" w:sz="0" w:space="0" w:color="auto"/>
        <w:right w:val="none" w:sz="0" w:space="0" w:color="auto"/>
      </w:divBdr>
    </w:div>
    <w:div w:id="691299205">
      <w:bodyDiv w:val="1"/>
      <w:marLeft w:val="0"/>
      <w:marRight w:val="0"/>
      <w:marTop w:val="0"/>
      <w:marBottom w:val="0"/>
      <w:divBdr>
        <w:top w:val="none" w:sz="0" w:space="0" w:color="auto"/>
        <w:left w:val="none" w:sz="0" w:space="0" w:color="auto"/>
        <w:bottom w:val="none" w:sz="0" w:space="0" w:color="auto"/>
        <w:right w:val="none" w:sz="0" w:space="0" w:color="auto"/>
      </w:divBdr>
    </w:div>
    <w:div w:id="691299989">
      <w:bodyDiv w:val="1"/>
      <w:marLeft w:val="0"/>
      <w:marRight w:val="0"/>
      <w:marTop w:val="0"/>
      <w:marBottom w:val="0"/>
      <w:divBdr>
        <w:top w:val="none" w:sz="0" w:space="0" w:color="auto"/>
        <w:left w:val="none" w:sz="0" w:space="0" w:color="auto"/>
        <w:bottom w:val="none" w:sz="0" w:space="0" w:color="auto"/>
        <w:right w:val="none" w:sz="0" w:space="0" w:color="auto"/>
      </w:divBdr>
    </w:div>
    <w:div w:id="691339444">
      <w:bodyDiv w:val="1"/>
      <w:marLeft w:val="0"/>
      <w:marRight w:val="0"/>
      <w:marTop w:val="0"/>
      <w:marBottom w:val="0"/>
      <w:divBdr>
        <w:top w:val="none" w:sz="0" w:space="0" w:color="auto"/>
        <w:left w:val="none" w:sz="0" w:space="0" w:color="auto"/>
        <w:bottom w:val="none" w:sz="0" w:space="0" w:color="auto"/>
        <w:right w:val="none" w:sz="0" w:space="0" w:color="auto"/>
      </w:divBdr>
    </w:div>
    <w:div w:id="691346383">
      <w:bodyDiv w:val="1"/>
      <w:marLeft w:val="0"/>
      <w:marRight w:val="0"/>
      <w:marTop w:val="0"/>
      <w:marBottom w:val="0"/>
      <w:divBdr>
        <w:top w:val="none" w:sz="0" w:space="0" w:color="auto"/>
        <w:left w:val="none" w:sz="0" w:space="0" w:color="auto"/>
        <w:bottom w:val="none" w:sz="0" w:space="0" w:color="auto"/>
        <w:right w:val="none" w:sz="0" w:space="0" w:color="auto"/>
      </w:divBdr>
    </w:div>
    <w:div w:id="691567365">
      <w:bodyDiv w:val="1"/>
      <w:marLeft w:val="0"/>
      <w:marRight w:val="0"/>
      <w:marTop w:val="0"/>
      <w:marBottom w:val="0"/>
      <w:divBdr>
        <w:top w:val="none" w:sz="0" w:space="0" w:color="auto"/>
        <w:left w:val="none" w:sz="0" w:space="0" w:color="auto"/>
        <w:bottom w:val="none" w:sz="0" w:space="0" w:color="auto"/>
        <w:right w:val="none" w:sz="0" w:space="0" w:color="auto"/>
      </w:divBdr>
    </w:div>
    <w:div w:id="691615352">
      <w:bodyDiv w:val="1"/>
      <w:marLeft w:val="0"/>
      <w:marRight w:val="0"/>
      <w:marTop w:val="0"/>
      <w:marBottom w:val="0"/>
      <w:divBdr>
        <w:top w:val="none" w:sz="0" w:space="0" w:color="auto"/>
        <w:left w:val="none" w:sz="0" w:space="0" w:color="auto"/>
        <w:bottom w:val="none" w:sz="0" w:space="0" w:color="auto"/>
        <w:right w:val="none" w:sz="0" w:space="0" w:color="auto"/>
      </w:divBdr>
    </w:div>
    <w:div w:id="691616884">
      <w:bodyDiv w:val="1"/>
      <w:marLeft w:val="0"/>
      <w:marRight w:val="0"/>
      <w:marTop w:val="0"/>
      <w:marBottom w:val="0"/>
      <w:divBdr>
        <w:top w:val="none" w:sz="0" w:space="0" w:color="auto"/>
        <w:left w:val="none" w:sz="0" w:space="0" w:color="auto"/>
        <w:bottom w:val="none" w:sz="0" w:space="0" w:color="auto"/>
        <w:right w:val="none" w:sz="0" w:space="0" w:color="auto"/>
      </w:divBdr>
    </w:div>
    <w:div w:id="691804023">
      <w:bodyDiv w:val="1"/>
      <w:marLeft w:val="0"/>
      <w:marRight w:val="0"/>
      <w:marTop w:val="0"/>
      <w:marBottom w:val="0"/>
      <w:divBdr>
        <w:top w:val="none" w:sz="0" w:space="0" w:color="auto"/>
        <w:left w:val="none" w:sz="0" w:space="0" w:color="auto"/>
        <w:bottom w:val="none" w:sz="0" w:space="0" w:color="auto"/>
        <w:right w:val="none" w:sz="0" w:space="0" w:color="auto"/>
      </w:divBdr>
    </w:div>
    <w:div w:id="691996418">
      <w:bodyDiv w:val="1"/>
      <w:marLeft w:val="0"/>
      <w:marRight w:val="0"/>
      <w:marTop w:val="0"/>
      <w:marBottom w:val="0"/>
      <w:divBdr>
        <w:top w:val="none" w:sz="0" w:space="0" w:color="auto"/>
        <w:left w:val="none" w:sz="0" w:space="0" w:color="auto"/>
        <w:bottom w:val="none" w:sz="0" w:space="0" w:color="auto"/>
        <w:right w:val="none" w:sz="0" w:space="0" w:color="auto"/>
      </w:divBdr>
    </w:div>
    <w:div w:id="691996436">
      <w:bodyDiv w:val="1"/>
      <w:marLeft w:val="0"/>
      <w:marRight w:val="0"/>
      <w:marTop w:val="0"/>
      <w:marBottom w:val="0"/>
      <w:divBdr>
        <w:top w:val="none" w:sz="0" w:space="0" w:color="auto"/>
        <w:left w:val="none" w:sz="0" w:space="0" w:color="auto"/>
        <w:bottom w:val="none" w:sz="0" w:space="0" w:color="auto"/>
        <w:right w:val="none" w:sz="0" w:space="0" w:color="auto"/>
      </w:divBdr>
    </w:div>
    <w:div w:id="691998704">
      <w:bodyDiv w:val="1"/>
      <w:marLeft w:val="0"/>
      <w:marRight w:val="0"/>
      <w:marTop w:val="0"/>
      <w:marBottom w:val="0"/>
      <w:divBdr>
        <w:top w:val="none" w:sz="0" w:space="0" w:color="auto"/>
        <w:left w:val="none" w:sz="0" w:space="0" w:color="auto"/>
        <w:bottom w:val="none" w:sz="0" w:space="0" w:color="auto"/>
        <w:right w:val="none" w:sz="0" w:space="0" w:color="auto"/>
      </w:divBdr>
    </w:div>
    <w:div w:id="692003311">
      <w:bodyDiv w:val="1"/>
      <w:marLeft w:val="0"/>
      <w:marRight w:val="0"/>
      <w:marTop w:val="0"/>
      <w:marBottom w:val="0"/>
      <w:divBdr>
        <w:top w:val="none" w:sz="0" w:space="0" w:color="auto"/>
        <w:left w:val="none" w:sz="0" w:space="0" w:color="auto"/>
        <w:bottom w:val="none" w:sz="0" w:space="0" w:color="auto"/>
        <w:right w:val="none" w:sz="0" w:space="0" w:color="auto"/>
      </w:divBdr>
    </w:div>
    <w:div w:id="692146922">
      <w:bodyDiv w:val="1"/>
      <w:marLeft w:val="0"/>
      <w:marRight w:val="0"/>
      <w:marTop w:val="0"/>
      <w:marBottom w:val="0"/>
      <w:divBdr>
        <w:top w:val="none" w:sz="0" w:space="0" w:color="auto"/>
        <w:left w:val="none" w:sz="0" w:space="0" w:color="auto"/>
        <w:bottom w:val="none" w:sz="0" w:space="0" w:color="auto"/>
        <w:right w:val="none" w:sz="0" w:space="0" w:color="auto"/>
      </w:divBdr>
    </w:div>
    <w:div w:id="692220132">
      <w:bodyDiv w:val="1"/>
      <w:marLeft w:val="0"/>
      <w:marRight w:val="0"/>
      <w:marTop w:val="0"/>
      <w:marBottom w:val="0"/>
      <w:divBdr>
        <w:top w:val="none" w:sz="0" w:space="0" w:color="auto"/>
        <w:left w:val="none" w:sz="0" w:space="0" w:color="auto"/>
        <w:bottom w:val="none" w:sz="0" w:space="0" w:color="auto"/>
        <w:right w:val="none" w:sz="0" w:space="0" w:color="auto"/>
      </w:divBdr>
    </w:div>
    <w:div w:id="692338581">
      <w:bodyDiv w:val="1"/>
      <w:marLeft w:val="0"/>
      <w:marRight w:val="0"/>
      <w:marTop w:val="0"/>
      <w:marBottom w:val="0"/>
      <w:divBdr>
        <w:top w:val="none" w:sz="0" w:space="0" w:color="auto"/>
        <w:left w:val="none" w:sz="0" w:space="0" w:color="auto"/>
        <w:bottom w:val="none" w:sz="0" w:space="0" w:color="auto"/>
        <w:right w:val="none" w:sz="0" w:space="0" w:color="auto"/>
      </w:divBdr>
    </w:div>
    <w:div w:id="692342531">
      <w:bodyDiv w:val="1"/>
      <w:marLeft w:val="0"/>
      <w:marRight w:val="0"/>
      <w:marTop w:val="0"/>
      <w:marBottom w:val="0"/>
      <w:divBdr>
        <w:top w:val="none" w:sz="0" w:space="0" w:color="auto"/>
        <w:left w:val="none" w:sz="0" w:space="0" w:color="auto"/>
        <w:bottom w:val="none" w:sz="0" w:space="0" w:color="auto"/>
        <w:right w:val="none" w:sz="0" w:space="0" w:color="auto"/>
      </w:divBdr>
    </w:div>
    <w:div w:id="692608573">
      <w:bodyDiv w:val="1"/>
      <w:marLeft w:val="0"/>
      <w:marRight w:val="0"/>
      <w:marTop w:val="0"/>
      <w:marBottom w:val="0"/>
      <w:divBdr>
        <w:top w:val="none" w:sz="0" w:space="0" w:color="auto"/>
        <w:left w:val="none" w:sz="0" w:space="0" w:color="auto"/>
        <w:bottom w:val="none" w:sz="0" w:space="0" w:color="auto"/>
        <w:right w:val="none" w:sz="0" w:space="0" w:color="auto"/>
      </w:divBdr>
    </w:div>
    <w:div w:id="692610482">
      <w:bodyDiv w:val="1"/>
      <w:marLeft w:val="0"/>
      <w:marRight w:val="0"/>
      <w:marTop w:val="0"/>
      <w:marBottom w:val="0"/>
      <w:divBdr>
        <w:top w:val="none" w:sz="0" w:space="0" w:color="auto"/>
        <w:left w:val="none" w:sz="0" w:space="0" w:color="auto"/>
        <w:bottom w:val="none" w:sz="0" w:space="0" w:color="auto"/>
        <w:right w:val="none" w:sz="0" w:space="0" w:color="auto"/>
      </w:divBdr>
    </w:div>
    <w:div w:id="692614246">
      <w:bodyDiv w:val="1"/>
      <w:marLeft w:val="0"/>
      <w:marRight w:val="0"/>
      <w:marTop w:val="0"/>
      <w:marBottom w:val="0"/>
      <w:divBdr>
        <w:top w:val="none" w:sz="0" w:space="0" w:color="auto"/>
        <w:left w:val="none" w:sz="0" w:space="0" w:color="auto"/>
        <w:bottom w:val="none" w:sz="0" w:space="0" w:color="auto"/>
        <w:right w:val="none" w:sz="0" w:space="0" w:color="auto"/>
      </w:divBdr>
    </w:div>
    <w:div w:id="692851746">
      <w:bodyDiv w:val="1"/>
      <w:marLeft w:val="0"/>
      <w:marRight w:val="0"/>
      <w:marTop w:val="0"/>
      <w:marBottom w:val="0"/>
      <w:divBdr>
        <w:top w:val="none" w:sz="0" w:space="0" w:color="auto"/>
        <w:left w:val="none" w:sz="0" w:space="0" w:color="auto"/>
        <w:bottom w:val="none" w:sz="0" w:space="0" w:color="auto"/>
        <w:right w:val="none" w:sz="0" w:space="0" w:color="auto"/>
      </w:divBdr>
    </w:div>
    <w:div w:id="692924229">
      <w:bodyDiv w:val="1"/>
      <w:marLeft w:val="0"/>
      <w:marRight w:val="0"/>
      <w:marTop w:val="0"/>
      <w:marBottom w:val="0"/>
      <w:divBdr>
        <w:top w:val="none" w:sz="0" w:space="0" w:color="auto"/>
        <w:left w:val="none" w:sz="0" w:space="0" w:color="auto"/>
        <w:bottom w:val="none" w:sz="0" w:space="0" w:color="auto"/>
        <w:right w:val="none" w:sz="0" w:space="0" w:color="auto"/>
      </w:divBdr>
    </w:div>
    <w:div w:id="692993641">
      <w:bodyDiv w:val="1"/>
      <w:marLeft w:val="0"/>
      <w:marRight w:val="0"/>
      <w:marTop w:val="0"/>
      <w:marBottom w:val="0"/>
      <w:divBdr>
        <w:top w:val="none" w:sz="0" w:space="0" w:color="auto"/>
        <w:left w:val="none" w:sz="0" w:space="0" w:color="auto"/>
        <w:bottom w:val="none" w:sz="0" w:space="0" w:color="auto"/>
        <w:right w:val="none" w:sz="0" w:space="0" w:color="auto"/>
      </w:divBdr>
    </w:div>
    <w:div w:id="693001493">
      <w:bodyDiv w:val="1"/>
      <w:marLeft w:val="0"/>
      <w:marRight w:val="0"/>
      <w:marTop w:val="0"/>
      <w:marBottom w:val="0"/>
      <w:divBdr>
        <w:top w:val="none" w:sz="0" w:space="0" w:color="auto"/>
        <w:left w:val="none" w:sz="0" w:space="0" w:color="auto"/>
        <w:bottom w:val="none" w:sz="0" w:space="0" w:color="auto"/>
        <w:right w:val="none" w:sz="0" w:space="0" w:color="auto"/>
      </w:divBdr>
    </w:div>
    <w:div w:id="693073918">
      <w:bodyDiv w:val="1"/>
      <w:marLeft w:val="0"/>
      <w:marRight w:val="0"/>
      <w:marTop w:val="0"/>
      <w:marBottom w:val="0"/>
      <w:divBdr>
        <w:top w:val="none" w:sz="0" w:space="0" w:color="auto"/>
        <w:left w:val="none" w:sz="0" w:space="0" w:color="auto"/>
        <w:bottom w:val="none" w:sz="0" w:space="0" w:color="auto"/>
        <w:right w:val="none" w:sz="0" w:space="0" w:color="auto"/>
      </w:divBdr>
    </w:div>
    <w:div w:id="693115429">
      <w:bodyDiv w:val="1"/>
      <w:marLeft w:val="0"/>
      <w:marRight w:val="0"/>
      <w:marTop w:val="0"/>
      <w:marBottom w:val="0"/>
      <w:divBdr>
        <w:top w:val="none" w:sz="0" w:space="0" w:color="auto"/>
        <w:left w:val="none" w:sz="0" w:space="0" w:color="auto"/>
        <w:bottom w:val="none" w:sz="0" w:space="0" w:color="auto"/>
        <w:right w:val="none" w:sz="0" w:space="0" w:color="auto"/>
      </w:divBdr>
    </w:div>
    <w:div w:id="693268585">
      <w:bodyDiv w:val="1"/>
      <w:marLeft w:val="0"/>
      <w:marRight w:val="0"/>
      <w:marTop w:val="0"/>
      <w:marBottom w:val="0"/>
      <w:divBdr>
        <w:top w:val="none" w:sz="0" w:space="0" w:color="auto"/>
        <w:left w:val="none" w:sz="0" w:space="0" w:color="auto"/>
        <w:bottom w:val="none" w:sz="0" w:space="0" w:color="auto"/>
        <w:right w:val="none" w:sz="0" w:space="0" w:color="auto"/>
      </w:divBdr>
    </w:div>
    <w:div w:id="693312522">
      <w:bodyDiv w:val="1"/>
      <w:marLeft w:val="0"/>
      <w:marRight w:val="0"/>
      <w:marTop w:val="0"/>
      <w:marBottom w:val="0"/>
      <w:divBdr>
        <w:top w:val="none" w:sz="0" w:space="0" w:color="auto"/>
        <w:left w:val="none" w:sz="0" w:space="0" w:color="auto"/>
        <w:bottom w:val="none" w:sz="0" w:space="0" w:color="auto"/>
        <w:right w:val="none" w:sz="0" w:space="0" w:color="auto"/>
      </w:divBdr>
    </w:div>
    <w:div w:id="693456044">
      <w:bodyDiv w:val="1"/>
      <w:marLeft w:val="0"/>
      <w:marRight w:val="0"/>
      <w:marTop w:val="0"/>
      <w:marBottom w:val="0"/>
      <w:divBdr>
        <w:top w:val="none" w:sz="0" w:space="0" w:color="auto"/>
        <w:left w:val="none" w:sz="0" w:space="0" w:color="auto"/>
        <w:bottom w:val="none" w:sz="0" w:space="0" w:color="auto"/>
        <w:right w:val="none" w:sz="0" w:space="0" w:color="auto"/>
      </w:divBdr>
    </w:div>
    <w:div w:id="693506114">
      <w:bodyDiv w:val="1"/>
      <w:marLeft w:val="0"/>
      <w:marRight w:val="0"/>
      <w:marTop w:val="0"/>
      <w:marBottom w:val="0"/>
      <w:divBdr>
        <w:top w:val="none" w:sz="0" w:space="0" w:color="auto"/>
        <w:left w:val="none" w:sz="0" w:space="0" w:color="auto"/>
        <w:bottom w:val="none" w:sz="0" w:space="0" w:color="auto"/>
        <w:right w:val="none" w:sz="0" w:space="0" w:color="auto"/>
      </w:divBdr>
    </w:div>
    <w:div w:id="693533387">
      <w:bodyDiv w:val="1"/>
      <w:marLeft w:val="0"/>
      <w:marRight w:val="0"/>
      <w:marTop w:val="0"/>
      <w:marBottom w:val="0"/>
      <w:divBdr>
        <w:top w:val="none" w:sz="0" w:space="0" w:color="auto"/>
        <w:left w:val="none" w:sz="0" w:space="0" w:color="auto"/>
        <w:bottom w:val="none" w:sz="0" w:space="0" w:color="auto"/>
        <w:right w:val="none" w:sz="0" w:space="0" w:color="auto"/>
      </w:divBdr>
    </w:div>
    <w:div w:id="693581679">
      <w:bodyDiv w:val="1"/>
      <w:marLeft w:val="0"/>
      <w:marRight w:val="0"/>
      <w:marTop w:val="0"/>
      <w:marBottom w:val="0"/>
      <w:divBdr>
        <w:top w:val="none" w:sz="0" w:space="0" w:color="auto"/>
        <w:left w:val="none" w:sz="0" w:space="0" w:color="auto"/>
        <w:bottom w:val="none" w:sz="0" w:space="0" w:color="auto"/>
        <w:right w:val="none" w:sz="0" w:space="0" w:color="auto"/>
      </w:divBdr>
    </w:div>
    <w:div w:id="693729909">
      <w:bodyDiv w:val="1"/>
      <w:marLeft w:val="0"/>
      <w:marRight w:val="0"/>
      <w:marTop w:val="0"/>
      <w:marBottom w:val="0"/>
      <w:divBdr>
        <w:top w:val="none" w:sz="0" w:space="0" w:color="auto"/>
        <w:left w:val="none" w:sz="0" w:space="0" w:color="auto"/>
        <w:bottom w:val="none" w:sz="0" w:space="0" w:color="auto"/>
        <w:right w:val="none" w:sz="0" w:space="0" w:color="auto"/>
      </w:divBdr>
    </w:div>
    <w:div w:id="693773728">
      <w:bodyDiv w:val="1"/>
      <w:marLeft w:val="0"/>
      <w:marRight w:val="0"/>
      <w:marTop w:val="0"/>
      <w:marBottom w:val="0"/>
      <w:divBdr>
        <w:top w:val="none" w:sz="0" w:space="0" w:color="auto"/>
        <w:left w:val="none" w:sz="0" w:space="0" w:color="auto"/>
        <w:bottom w:val="none" w:sz="0" w:space="0" w:color="auto"/>
        <w:right w:val="none" w:sz="0" w:space="0" w:color="auto"/>
      </w:divBdr>
    </w:div>
    <w:div w:id="693842405">
      <w:bodyDiv w:val="1"/>
      <w:marLeft w:val="0"/>
      <w:marRight w:val="0"/>
      <w:marTop w:val="0"/>
      <w:marBottom w:val="0"/>
      <w:divBdr>
        <w:top w:val="none" w:sz="0" w:space="0" w:color="auto"/>
        <w:left w:val="none" w:sz="0" w:space="0" w:color="auto"/>
        <w:bottom w:val="none" w:sz="0" w:space="0" w:color="auto"/>
        <w:right w:val="none" w:sz="0" w:space="0" w:color="auto"/>
      </w:divBdr>
    </w:div>
    <w:div w:id="693848823">
      <w:bodyDiv w:val="1"/>
      <w:marLeft w:val="0"/>
      <w:marRight w:val="0"/>
      <w:marTop w:val="0"/>
      <w:marBottom w:val="0"/>
      <w:divBdr>
        <w:top w:val="none" w:sz="0" w:space="0" w:color="auto"/>
        <w:left w:val="none" w:sz="0" w:space="0" w:color="auto"/>
        <w:bottom w:val="none" w:sz="0" w:space="0" w:color="auto"/>
        <w:right w:val="none" w:sz="0" w:space="0" w:color="auto"/>
      </w:divBdr>
    </w:div>
    <w:div w:id="693920226">
      <w:bodyDiv w:val="1"/>
      <w:marLeft w:val="0"/>
      <w:marRight w:val="0"/>
      <w:marTop w:val="0"/>
      <w:marBottom w:val="0"/>
      <w:divBdr>
        <w:top w:val="none" w:sz="0" w:space="0" w:color="auto"/>
        <w:left w:val="none" w:sz="0" w:space="0" w:color="auto"/>
        <w:bottom w:val="none" w:sz="0" w:space="0" w:color="auto"/>
        <w:right w:val="none" w:sz="0" w:space="0" w:color="auto"/>
      </w:divBdr>
    </w:div>
    <w:div w:id="694235147">
      <w:bodyDiv w:val="1"/>
      <w:marLeft w:val="0"/>
      <w:marRight w:val="0"/>
      <w:marTop w:val="0"/>
      <w:marBottom w:val="0"/>
      <w:divBdr>
        <w:top w:val="none" w:sz="0" w:space="0" w:color="auto"/>
        <w:left w:val="none" w:sz="0" w:space="0" w:color="auto"/>
        <w:bottom w:val="none" w:sz="0" w:space="0" w:color="auto"/>
        <w:right w:val="none" w:sz="0" w:space="0" w:color="auto"/>
      </w:divBdr>
    </w:div>
    <w:div w:id="694304888">
      <w:bodyDiv w:val="1"/>
      <w:marLeft w:val="0"/>
      <w:marRight w:val="0"/>
      <w:marTop w:val="0"/>
      <w:marBottom w:val="0"/>
      <w:divBdr>
        <w:top w:val="none" w:sz="0" w:space="0" w:color="auto"/>
        <w:left w:val="none" w:sz="0" w:space="0" w:color="auto"/>
        <w:bottom w:val="none" w:sz="0" w:space="0" w:color="auto"/>
        <w:right w:val="none" w:sz="0" w:space="0" w:color="auto"/>
      </w:divBdr>
    </w:div>
    <w:div w:id="694354193">
      <w:bodyDiv w:val="1"/>
      <w:marLeft w:val="0"/>
      <w:marRight w:val="0"/>
      <w:marTop w:val="0"/>
      <w:marBottom w:val="0"/>
      <w:divBdr>
        <w:top w:val="none" w:sz="0" w:space="0" w:color="auto"/>
        <w:left w:val="none" w:sz="0" w:space="0" w:color="auto"/>
        <w:bottom w:val="none" w:sz="0" w:space="0" w:color="auto"/>
        <w:right w:val="none" w:sz="0" w:space="0" w:color="auto"/>
      </w:divBdr>
    </w:div>
    <w:div w:id="694498906">
      <w:bodyDiv w:val="1"/>
      <w:marLeft w:val="0"/>
      <w:marRight w:val="0"/>
      <w:marTop w:val="0"/>
      <w:marBottom w:val="0"/>
      <w:divBdr>
        <w:top w:val="none" w:sz="0" w:space="0" w:color="auto"/>
        <w:left w:val="none" w:sz="0" w:space="0" w:color="auto"/>
        <w:bottom w:val="none" w:sz="0" w:space="0" w:color="auto"/>
        <w:right w:val="none" w:sz="0" w:space="0" w:color="auto"/>
      </w:divBdr>
    </w:div>
    <w:div w:id="694503388">
      <w:bodyDiv w:val="1"/>
      <w:marLeft w:val="0"/>
      <w:marRight w:val="0"/>
      <w:marTop w:val="0"/>
      <w:marBottom w:val="0"/>
      <w:divBdr>
        <w:top w:val="none" w:sz="0" w:space="0" w:color="auto"/>
        <w:left w:val="none" w:sz="0" w:space="0" w:color="auto"/>
        <w:bottom w:val="none" w:sz="0" w:space="0" w:color="auto"/>
        <w:right w:val="none" w:sz="0" w:space="0" w:color="auto"/>
      </w:divBdr>
    </w:div>
    <w:div w:id="694575268">
      <w:bodyDiv w:val="1"/>
      <w:marLeft w:val="0"/>
      <w:marRight w:val="0"/>
      <w:marTop w:val="0"/>
      <w:marBottom w:val="0"/>
      <w:divBdr>
        <w:top w:val="none" w:sz="0" w:space="0" w:color="auto"/>
        <w:left w:val="none" w:sz="0" w:space="0" w:color="auto"/>
        <w:bottom w:val="none" w:sz="0" w:space="0" w:color="auto"/>
        <w:right w:val="none" w:sz="0" w:space="0" w:color="auto"/>
      </w:divBdr>
    </w:div>
    <w:div w:id="694579008">
      <w:bodyDiv w:val="1"/>
      <w:marLeft w:val="0"/>
      <w:marRight w:val="0"/>
      <w:marTop w:val="0"/>
      <w:marBottom w:val="0"/>
      <w:divBdr>
        <w:top w:val="none" w:sz="0" w:space="0" w:color="auto"/>
        <w:left w:val="none" w:sz="0" w:space="0" w:color="auto"/>
        <w:bottom w:val="none" w:sz="0" w:space="0" w:color="auto"/>
        <w:right w:val="none" w:sz="0" w:space="0" w:color="auto"/>
      </w:divBdr>
    </w:div>
    <w:div w:id="694624702">
      <w:bodyDiv w:val="1"/>
      <w:marLeft w:val="0"/>
      <w:marRight w:val="0"/>
      <w:marTop w:val="0"/>
      <w:marBottom w:val="0"/>
      <w:divBdr>
        <w:top w:val="none" w:sz="0" w:space="0" w:color="auto"/>
        <w:left w:val="none" w:sz="0" w:space="0" w:color="auto"/>
        <w:bottom w:val="none" w:sz="0" w:space="0" w:color="auto"/>
        <w:right w:val="none" w:sz="0" w:space="0" w:color="auto"/>
      </w:divBdr>
    </w:div>
    <w:div w:id="694772974">
      <w:bodyDiv w:val="1"/>
      <w:marLeft w:val="0"/>
      <w:marRight w:val="0"/>
      <w:marTop w:val="0"/>
      <w:marBottom w:val="0"/>
      <w:divBdr>
        <w:top w:val="none" w:sz="0" w:space="0" w:color="auto"/>
        <w:left w:val="none" w:sz="0" w:space="0" w:color="auto"/>
        <w:bottom w:val="none" w:sz="0" w:space="0" w:color="auto"/>
        <w:right w:val="none" w:sz="0" w:space="0" w:color="auto"/>
      </w:divBdr>
    </w:div>
    <w:div w:id="694884331">
      <w:bodyDiv w:val="1"/>
      <w:marLeft w:val="0"/>
      <w:marRight w:val="0"/>
      <w:marTop w:val="0"/>
      <w:marBottom w:val="0"/>
      <w:divBdr>
        <w:top w:val="none" w:sz="0" w:space="0" w:color="auto"/>
        <w:left w:val="none" w:sz="0" w:space="0" w:color="auto"/>
        <w:bottom w:val="none" w:sz="0" w:space="0" w:color="auto"/>
        <w:right w:val="none" w:sz="0" w:space="0" w:color="auto"/>
      </w:divBdr>
    </w:div>
    <w:div w:id="694888957">
      <w:bodyDiv w:val="1"/>
      <w:marLeft w:val="0"/>
      <w:marRight w:val="0"/>
      <w:marTop w:val="0"/>
      <w:marBottom w:val="0"/>
      <w:divBdr>
        <w:top w:val="none" w:sz="0" w:space="0" w:color="auto"/>
        <w:left w:val="none" w:sz="0" w:space="0" w:color="auto"/>
        <w:bottom w:val="none" w:sz="0" w:space="0" w:color="auto"/>
        <w:right w:val="none" w:sz="0" w:space="0" w:color="auto"/>
      </w:divBdr>
    </w:div>
    <w:div w:id="694964871">
      <w:bodyDiv w:val="1"/>
      <w:marLeft w:val="0"/>
      <w:marRight w:val="0"/>
      <w:marTop w:val="0"/>
      <w:marBottom w:val="0"/>
      <w:divBdr>
        <w:top w:val="none" w:sz="0" w:space="0" w:color="auto"/>
        <w:left w:val="none" w:sz="0" w:space="0" w:color="auto"/>
        <w:bottom w:val="none" w:sz="0" w:space="0" w:color="auto"/>
        <w:right w:val="none" w:sz="0" w:space="0" w:color="auto"/>
      </w:divBdr>
    </w:div>
    <w:div w:id="694965651">
      <w:bodyDiv w:val="1"/>
      <w:marLeft w:val="0"/>
      <w:marRight w:val="0"/>
      <w:marTop w:val="0"/>
      <w:marBottom w:val="0"/>
      <w:divBdr>
        <w:top w:val="none" w:sz="0" w:space="0" w:color="auto"/>
        <w:left w:val="none" w:sz="0" w:space="0" w:color="auto"/>
        <w:bottom w:val="none" w:sz="0" w:space="0" w:color="auto"/>
        <w:right w:val="none" w:sz="0" w:space="0" w:color="auto"/>
      </w:divBdr>
    </w:div>
    <w:div w:id="694966265">
      <w:bodyDiv w:val="1"/>
      <w:marLeft w:val="0"/>
      <w:marRight w:val="0"/>
      <w:marTop w:val="0"/>
      <w:marBottom w:val="0"/>
      <w:divBdr>
        <w:top w:val="none" w:sz="0" w:space="0" w:color="auto"/>
        <w:left w:val="none" w:sz="0" w:space="0" w:color="auto"/>
        <w:bottom w:val="none" w:sz="0" w:space="0" w:color="auto"/>
        <w:right w:val="none" w:sz="0" w:space="0" w:color="auto"/>
      </w:divBdr>
    </w:div>
    <w:div w:id="695010783">
      <w:bodyDiv w:val="1"/>
      <w:marLeft w:val="0"/>
      <w:marRight w:val="0"/>
      <w:marTop w:val="0"/>
      <w:marBottom w:val="0"/>
      <w:divBdr>
        <w:top w:val="none" w:sz="0" w:space="0" w:color="auto"/>
        <w:left w:val="none" w:sz="0" w:space="0" w:color="auto"/>
        <w:bottom w:val="none" w:sz="0" w:space="0" w:color="auto"/>
        <w:right w:val="none" w:sz="0" w:space="0" w:color="auto"/>
      </w:divBdr>
    </w:div>
    <w:div w:id="695011299">
      <w:bodyDiv w:val="1"/>
      <w:marLeft w:val="0"/>
      <w:marRight w:val="0"/>
      <w:marTop w:val="0"/>
      <w:marBottom w:val="0"/>
      <w:divBdr>
        <w:top w:val="none" w:sz="0" w:space="0" w:color="auto"/>
        <w:left w:val="none" w:sz="0" w:space="0" w:color="auto"/>
        <w:bottom w:val="none" w:sz="0" w:space="0" w:color="auto"/>
        <w:right w:val="none" w:sz="0" w:space="0" w:color="auto"/>
      </w:divBdr>
    </w:div>
    <w:div w:id="695234647">
      <w:bodyDiv w:val="1"/>
      <w:marLeft w:val="0"/>
      <w:marRight w:val="0"/>
      <w:marTop w:val="0"/>
      <w:marBottom w:val="0"/>
      <w:divBdr>
        <w:top w:val="none" w:sz="0" w:space="0" w:color="auto"/>
        <w:left w:val="none" w:sz="0" w:space="0" w:color="auto"/>
        <w:bottom w:val="none" w:sz="0" w:space="0" w:color="auto"/>
        <w:right w:val="none" w:sz="0" w:space="0" w:color="auto"/>
      </w:divBdr>
    </w:div>
    <w:div w:id="695423938">
      <w:bodyDiv w:val="1"/>
      <w:marLeft w:val="0"/>
      <w:marRight w:val="0"/>
      <w:marTop w:val="0"/>
      <w:marBottom w:val="0"/>
      <w:divBdr>
        <w:top w:val="none" w:sz="0" w:space="0" w:color="auto"/>
        <w:left w:val="none" w:sz="0" w:space="0" w:color="auto"/>
        <w:bottom w:val="none" w:sz="0" w:space="0" w:color="auto"/>
        <w:right w:val="none" w:sz="0" w:space="0" w:color="auto"/>
      </w:divBdr>
    </w:div>
    <w:div w:id="695428370">
      <w:bodyDiv w:val="1"/>
      <w:marLeft w:val="0"/>
      <w:marRight w:val="0"/>
      <w:marTop w:val="0"/>
      <w:marBottom w:val="0"/>
      <w:divBdr>
        <w:top w:val="none" w:sz="0" w:space="0" w:color="auto"/>
        <w:left w:val="none" w:sz="0" w:space="0" w:color="auto"/>
        <w:bottom w:val="none" w:sz="0" w:space="0" w:color="auto"/>
        <w:right w:val="none" w:sz="0" w:space="0" w:color="auto"/>
      </w:divBdr>
    </w:div>
    <w:div w:id="695430304">
      <w:bodyDiv w:val="1"/>
      <w:marLeft w:val="0"/>
      <w:marRight w:val="0"/>
      <w:marTop w:val="0"/>
      <w:marBottom w:val="0"/>
      <w:divBdr>
        <w:top w:val="none" w:sz="0" w:space="0" w:color="auto"/>
        <w:left w:val="none" w:sz="0" w:space="0" w:color="auto"/>
        <w:bottom w:val="none" w:sz="0" w:space="0" w:color="auto"/>
        <w:right w:val="none" w:sz="0" w:space="0" w:color="auto"/>
      </w:divBdr>
    </w:div>
    <w:div w:id="695430704">
      <w:bodyDiv w:val="1"/>
      <w:marLeft w:val="0"/>
      <w:marRight w:val="0"/>
      <w:marTop w:val="0"/>
      <w:marBottom w:val="0"/>
      <w:divBdr>
        <w:top w:val="none" w:sz="0" w:space="0" w:color="auto"/>
        <w:left w:val="none" w:sz="0" w:space="0" w:color="auto"/>
        <w:bottom w:val="none" w:sz="0" w:space="0" w:color="auto"/>
        <w:right w:val="none" w:sz="0" w:space="0" w:color="auto"/>
      </w:divBdr>
    </w:div>
    <w:div w:id="695544096">
      <w:bodyDiv w:val="1"/>
      <w:marLeft w:val="0"/>
      <w:marRight w:val="0"/>
      <w:marTop w:val="0"/>
      <w:marBottom w:val="0"/>
      <w:divBdr>
        <w:top w:val="none" w:sz="0" w:space="0" w:color="auto"/>
        <w:left w:val="none" w:sz="0" w:space="0" w:color="auto"/>
        <w:bottom w:val="none" w:sz="0" w:space="0" w:color="auto"/>
        <w:right w:val="none" w:sz="0" w:space="0" w:color="auto"/>
      </w:divBdr>
    </w:div>
    <w:div w:id="695547681">
      <w:bodyDiv w:val="1"/>
      <w:marLeft w:val="0"/>
      <w:marRight w:val="0"/>
      <w:marTop w:val="0"/>
      <w:marBottom w:val="0"/>
      <w:divBdr>
        <w:top w:val="none" w:sz="0" w:space="0" w:color="auto"/>
        <w:left w:val="none" w:sz="0" w:space="0" w:color="auto"/>
        <w:bottom w:val="none" w:sz="0" w:space="0" w:color="auto"/>
        <w:right w:val="none" w:sz="0" w:space="0" w:color="auto"/>
      </w:divBdr>
    </w:div>
    <w:div w:id="695665134">
      <w:bodyDiv w:val="1"/>
      <w:marLeft w:val="0"/>
      <w:marRight w:val="0"/>
      <w:marTop w:val="0"/>
      <w:marBottom w:val="0"/>
      <w:divBdr>
        <w:top w:val="none" w:sz="0" w:space="0" w:color="auto"/>
        <w:left w:val="none" w:sz="0" w:space="0" w:color="auto"/>
        <w:bottom w:val="none" w:sz="0" w:space="0" w:color="auto"/>
        <w:right w:val="none" w:sz="0" w:space="0" w:color="auto"/>
      </w:divBdr>
    </w:div>
    <w:div w:id="695666209">
      <w:bodyDiv w:val="1"/>
      <w:marLeft w:val="0"/>
      <w:marRight w:val="0"/>
      <w:marTop w:val="0"/>
      <w:marBottom w:val="0"/>
      <w:divBdr>
        <w:top w:val="none" w:sz="0" w:space="0" w:color="auto"/>
        <w:left w:val="none" w:sz="0" w:space="0" w:color="auto"/>
        <w:bottom w:val="none" w:sz="0" w:space="0" w:color="auto"/>
        <w:right w:val="none" w:sz="0" w:space="0" w:color="auto"/>
      </w:divBdr>
    </w:div>
    <w:div w:id="695666484">
      <w:bodyDiv w:val="1"/>
      <w:marLeft w:val="0"/>
      <w:marRight w:val="0"/>
      <w:marTop w:val="0"/>
      <w:marBottom w:val="0"/>
      <w:divBdr>
        <w:top w:val="none" w:sz="0" w:space="0" w:color="auto"/>
        <w:left w:val="none" w:sz="0" w:space="0" w:color="auto"/>
        <w:bottom w:val="none" w:sz="0" w:space="0" w:color="auto"/>
        <w:right w:val="none" w:sz="0" w:space="0" w:color="auto"/>
      </w:divBdr>
    </w:div>
    <w:div w:id="695696545">
      <w:bodyDiv w:val="1"/>
      <w:marLeft w:val="0"/>
      <w:marRight w:val="0"/>
      <w:marTop w:val="0"/>
      <w:marBottom w:val="0"/>
      <w:divBdr>
        <w:top w:val="none" w:sz="0" w:space="0" w:color="auto"/>
        <w:left w:val="none" w:sz="0" w:space="0" w:color="auto"/>
        <w:bottom w:val="none" w:sz="0" w:space="0" w:color="auto"/>
        <w:right w:val="none" w:sz="0" w:space="0" w:color="auto"/>
      </w:divBdr>
    </w:div>
    <w:div w:id="695885782">
      <w:bodyDiv w:val="1"/>
      <w:marLeft w:val="0"/>
      <w:marRight w:val="0"/>
      <w:marTop w:val="0"/>
      <w:marBottom w:val="0"/>
      <w:divBdr>
        <w:top w:val="none" w:sz="0" w:space="0" w:color="auto"/>
        <w:left w:val="none" w:sz="0" w:space="0" w:color="auto"/>
        <w:bottom w:val="none" w:sz="0" w:space="0" w:color="auto"/>
        <w:right w:val="none" w:sz="0" w:space="0" w:color="auto"/>
      </w:divBdr>
    </w:div>
    <w:div w:id="695892666">
      <w:bodyDiv w:val="1"/>
      <w:marLeft w:val="0"/>
      <w:marRight w:val="0"/>
      <w:marTop w:val="0"/>
      <w:marBottom w:val="0"/>
      <w:divBdr>
        <w:top w:val="none" w:sz="0" w:space="0" w:color="auto"/>
        <w:left w:val="none" w:sz="0" w:space="0" w:color="auto"/>
        <w:bottom w:val="none" w:sz="0" w:space="0" w:color="auto"/>
        <w:right w:val="none" w:sz="0" w:space="0" w:color="auto"/>
      </w:divBdr>
    </w:div>
    <w:div w:id="695930868">
      <w:bodyDiv w:val="1"/>
      <w:marLeft w:val="0"/>
      <w:marRight w:val="0"/>
      <w:marTop w:val="0"/>
      <w:marBottom w:val="0"/>
      <w:divBdr>
        <w:top w:val="none" w:sz="0" w:space="0" w:color="auto"/>
        <w:left w:val="none" w:sz="0" w:space="0" w:color="auto"/>
        <w:bottom w:val="none" w:sz="0" w:space="0" w:color="auto"/>
        <w:right w:val="none" w:sz="0" w:space="0" w:color="auto"/>
      </w:divBdr>
    </w:div>
    <w:div w:id="696005908">
      <w:bodyDiv w:val="1"/>
      <w:marLeft w:val="0"/>
      <w:marRight w:val="0"/>
      <w:marTop w:val="0"/>
      <w:marBottom w:val="0"/>
      <w:divBdr>
        <w:top w:val="none" w:sz="0" w:space="0" w:color="auto"/>
        <w:left w:val="none" w:sz="0" w:space="0" w:color="auto"/>
        <w:bottom w:val="none" w:sz="0" w:space="0" w:color="auto"/>
        <w:right w:val="none" w:sz="0" w:space="0" w:color="auto"/>
      </w:divBdr>
    </w:div>
    <w:div w:id="696127678">
      <w:bodyDiv w:val="1"/>
      <w:marLeft w:val="0"/>
      <w:marRight w:val="0"/>
      <w:marTop w:val="0"/>
      <w:marBottom w:val="0"/>
      <w:divBdr>
        <w:top w:val="none" w:sz="0" w:space="0" w:color="auto"/>
        <w:left w:val="none" w:sz="0" w:space="0" w:color="auto"/>
        <w:bottom w:val="none" w:sz="0" w:space="0" w:color="auto"/>
        <w:right w:val="none" w:sz="0" w:space="0" w:color="auto"/>
      </w:divBdr>
    </w:div>
    <w:div w:id="696273842">
      <w:bodyDiv w:val="1"/>
      <w:marLeft w:val="0"/>
      <w:marRight w:val="0"/>
      <w:marTop w:val="0"/>
      <w:marBottom w:val="0"/>
      <w:divBdr>
        <w:top w:val="none" w:sz="0" w:space="0" w:color="auto"/>
        <w:left w:val="none" w:sz="0" w:space="0" w:color="auto"/>
        <w:bottom w:val="none" w:sz="0" w:space="0" w:color="auto"/>
        <w:right w:val="none" w:sz="0" w:space="0" w:color="auto"/>
      </w:divBdr>
    </w:div>
    <w:div w:id="696392735">
      <w:bodyDiv w:val="1"/>
      <w:marLeft w:val="0"/>
      <w:marRight w:val="0"/>
      <w:marTop w:val="0"/>
      <w:marBottom w:val="0"/>
      <w:divBdr>
        <w:top w:val="none" w:sz="0" w:space="0" w:color="auto"/>
        <w:left w:val="none" w:sz="0" w:space="0" w:color="auto"/>
        <w:bottom w:val="none" w:sz="0" w:space="0" w:color="auto"/>
        <w:right w:val="none" w:sz="0" w:space="0" w:color="auto"/>
      </w:divBdr>
    </w:div>
    <w:div w:id="696539582">
      <w:bodyDiv w:val="1"/>
      <w:marLeft w:val="0"/>
      <w:marRight w:val="0"/>
      <w:marTop w:val="0"/>
      <w:marBottom w:val="0"/>
      <w:divBdr>
        <w:top w:val="none" w:sz="0" w:space="0" w:color="auto"/>
        <w:left w:val="none" w:sz="0" w:space="0" w:color="auto"/>
        <w:bottom w:val="none" w:sz="0" w:space="0" w:color="auto"/>
        <w:right w:val="none" w:sz="0" w:space="0" w:color="auto"/>
      </w:divBdr>
    </w:div>
    <w:div w:id="696547287">
      <w:bodyDiv w:val="1"/>
      <w:marLeft w:val="0"/>
      <w:marRight w:val="0"/>
      <w:marTop w:val="0"/>
      <w:marBottom w:val="0"/>
      <w:divBdr>
        <w:top w:val="none" w:sz="0" w:space="0" w:color="auto"/>
        <w:left w:val="none" w:sz="0" w:space="0" w:color="auto"/>
        <w:bottom w:val="none" w:sz="0" w:space="0" w:color="auto"/>
        <w:right w:val="none" w:sz="0" w:space="0" w:color="auto"/>
      </w:divBdr>
    </w:div>
    <w:div w:id="696809665">
      <w:bodyDiv w:val="1"/>
      <w:marLeft w:val="0"/>
      <w:marRight w:val="0"/>
      <w:marTop w:val="0"/>
      <w:marBottom w:val="0"/>
      <w:divBdr>
        <w:top w:val="none" w:sz="0" w:space="0" w:color="auto"/>
        <w:left w:val="none" w:sz="0" w:space="0" w:color="auto"/>
        <w:bottom w:val="none" w:sz="0" w:space="0" w:color="auto"/>
        <w:right w:val="none" w:sz="0" w:space="0" w:color="auto"/>
      </w:divBdr>
    </w:div>
    <w:div w:id="696856089">
      <w:bodyDiv w:val="1"/>
      <w:marLeft w:val="0"/>
      <w:marRight w:val="0"/>
      <w:marTop w:val="0"/>
      <w:marBottom w:val="0"/>
      <w:divBdr>
        <w:top w:val="none" w:sz="0" w:space="0" w:color="auto"/>
        <w:left w:val="none" w:sz="0" w:space="0" w:color="auto"/>
        <w:bottom w:val="none" w:sz="0" w:space="0" w:color="auto"/>
        <w:right w:val="none" w:sz="0" w:space="0" w:color="auto"/>
      </w:divBdr>
    </w:div>
    <w:div w:id="696928719">
      <w:bodyDiv w:val="1"/>
      <w:marLeft w:val="0"/>
      <w:marRight w:val="0"/>
      <w:marTop w:val="0"/>
      <w:marBottom w:val="0"/>
      <w:divBdr>
        <w:top w:val="none" w:sz="0" w:space="0" w:color="auto"/>
        <w:left w:val="none" w:sz="0" w:space="0" w:color="auto"/>
        <w:bottom w:val="none" w:sz="0" w:space="0" w:color="auto"/>
        <w:right w:val="none" w:sz="0" w:space="0" w:color="auto"/>
      </w:divBdr>
    </w:div>
    <w:div w:id="697048265">
      <w:bodyDiv w:val="1"/>
      <w:marLeft w:val="0"/>
      <w:marRight w:val="0"/>
      <w:marTop w:val="0"/>
      <w:marBottom w:val="0"/>
      <w:divBdr>
        <w:top w:val="none" w:sz="0" w:space="0" w:color="auto"/>
        <w:left w:val="none" w:sz="0" w:space="0" w:color="auto"/>
        <w:bottom w:val="none" w:sz="0" w:space="0" w:color="auto"/>
        <w:right w:val="none" w:sz="0" w:space="0" w:color="auto"/>
      </w:divBdr>
    </w:div>
    <w:div w:id="697120896">
      <w:bodyDiv w:val="1"/>
      <w:marLeft w:val="0"/>
      <w:marRight w:val="0"/>
      <w:marTop w:val="0"/>
      <w:marBottom w:val="0"/>
      <w:divBdr>
        <w:top w:val="none" w:sz="0" w:space="0" w:color="auto"/>
        <w:left w:val="none" w:sz="0" w:space="0" w:color="auto"/>
        <w:bottom w:val="none" w:sz="0" w:space="0" w:color="auto"/>
        <w:right w:val="none" w:sz="0" w:space="0" w:color="auto"/>
      </w:divBdr>
    </w:div>
    <w:div w:id="697127054">
      <w:bodyDiv w:val="1"/>
      <w:marLeft w:val="0"/>
      <w:marRight w:val="0"/>
      <w:marTop w:val="0"/>
      <w:marBottom w:val="0"/>
      <w:divBdr>
        <w:top w:val="none" w:sz="0" w:space="0" w:color="auto"/>
        <w:left w:val="none" w:sz="0" w:space="0" w:color="auto"/>
        <w:bottom w:val="none" w:sz="0" w:space="0" w:color="auto"/>
        <w:right w:val="none" w:sz="0" w:space="0" w:color="auto"/>
      </w:divBdr>
    </w:div>
    <w:div w:id="697194016">
      <w:bodyDiv w:val="1"/>
      <w:marLeft w:val="0"/>
      <w:marRight w:val="0"/>
      <w:marTop w:val="0"/>
      <w:marBottom w:val="0"/>
      <w:divBdr>
        <w:top w:val="none" w:sz="0" w:space="0" w:color="auto"/>
        <w:left w:val="none" w:sz="0" w:space="0" w:color="auto"/>
        <w:bottom w:val="none" w:sz="0" w:space="0" w:color="auto"/>
        <w:right w:val="none" w:sz="0" w:space="0" w:color="auto"/>
      </w:divBdr>
    </w:div>
    <w:div w:id="697238836">
      <w:bodyDiv w:val="1"/>
      <w:marLeft w:val="0"/>
      <w:marRight w:val="0"/>
      <w:marTop w:val="0"/>
      <w:marBottom w:val="0"/>
      <w:divBdr>
        <w:top w:val="none" w:sz="0" w:space="0" w:color="auto"/>
        <w:left w:val="none" w:sz="0" w:space="0" w:color="auto"/>
        <w:bottom w:val="none" w:sz="0" w:space="0" w:color="auto"/>
        <w:right w:val="none" w:sz="0" w:space="0" w:color="auto"/>
      </w:divBdr>
    </w:div>
    <w:div w:id="697313734">
      <w:bodyDiv w:val="1"/>
      <w:marLeft w:val="0"/>
      <w:marRight w:val="0"/>
      <w:marTop w:val="0"/>
      <w:marBottom w:val="0"/>
      <w:divBdr>
        <w:top w:val="none" w:sz="0" w:space="0" w:color="auto"/>
        <w:left w:val="none" w:sz="0" w:space="0" w:color="auto"/>
        <w:bottom w:val="none" w:sz="0" w:space="0" w:color="auto"/>
        <w:right w:val="none" w:sz="0" w:space="0" w:color="auto"/>
      </w:divBdr>
    </w:div>
    <w:div w:id="697436412">
      <w:bodyDiv w:val="1"/>
      <w:marLeft w:val="0"/>
      <w:marRight w:val="0"/>
      <w:marTop w:val="0"/>
      <w:marBottom w:val="0"/>
      <w:divBdr>
        <w:top w:val="none" w:sz="0" w:space="0" w:color="auto"/>
        <w:left w:val="none" w:sz="0" w:space="0" w:color="auto"/>
        <w:bottom w:val="none" w:sz="0" w:space="0" w:color="auto"/>
        <w:right w:val="none" w:sz="0" w:space="0" w:color="auto"/>
      </w:divBdr>
    </w:div>
    <w:div w:id="697510917">
      <w:bodyDiv w:val="1"/>
      <w:marLeft w:val="0"/>
      <w:marRight w:val="0"/>
      <w:marTop w:val="0"/>
      <w:marBottom w:val="0"/>
      <w:divBdr>
        <w:top w:val="none" w:sz="0" w:space="0" w:color="auto"/>
        <w:left w:val="none" w:sz="0" w:space="0" w:color="auto"/>
        <w:bottom w:val="none" w:sz="0" w:space="0" w:color="auto"/>
        <w:right w:val="none" w:sz="0" w:space="0" w:color="auto"/>
      </w:divBdr>
    </w:div>
    <w:div w:id="697663435">
      <w:bodyDiv w:val="1"/>
      <w:marLeft w:val="0"/>
      <w:marRight w:val="0"/>
      <w:marTop w:val="0"/>
      <w:marBottom w:val="0"/>
      <w:divBdr>
        <w:top w:val="none" w:sz="0" w:space="0" w:color="auto"/>
        <w:left w:val="none" w:sz="0" w:space="0" w:color="auto"/>
        <w:bottom w:val="none" w:sz="0" w:space="0" w:color="auto"/>
        <w:right w:val="none" w:sz="0" w:space="0" w:color="auto"/>
      </w:divBdr>
    </w:div>
    <w:div w:id="697706480">
      <w:bodyDiv w:val="1"/>
      <w:marLeft w:val="0"/>
      <w:marRight w:val="0"/>
      <w:marTop w:val="0"/>
      <w:marBottom w:val="0"/>
      <w:divBdr>
        <w:top w:val="none" w:sz="0" w:space="0" w:color="auto"/>
        <w:left w:val="none" w:sz="0" w:space="0" w:color="auto"/>
        <w:bottom w:val="none" w:sz="0" w:space="0" w:color="auto"/>
        <w:right w:val="none" w:sz="0" w:space="0" w:color="auto"/>
      </w:divBdr>
    </w:div>
    <w:div w:id="697773726">
      <w:bodyDiv w:val="1"/>
      <w:marLeft w:val="0"/>
      <w:marRight w:val="0"/>
      <w:marTop w:val="0"/>
      <w:marBottom w:val="0"/>
      <w:divBdr>
        <w:top w:val="none" w:sz="0" w:space="0" w:color="auto"/>
        <w:left w:val="none" w:sz="0" w:space="0" w:color="auto"/>
        <w:bottom w:val="none" w:sz="0" w:space="0" w:color="auto"/>
        <w:right w:val="none" w:sz="0" w:space="0" w:color="auto"/>
      </w:divBdr>
    </w:div>
    <w:div w:id="697854983">
      <w:bodyDiv w:val="1"/>
      <w:marLeft w:val="0"/>
      <w:marRight w:val="0"/>
      <w:marTop w:val="0"/>
      <w:marBottom w:val="0"/>
      <w:divBdr>
        <w:top w:val="none" w:sz="0" w:space="0" w:color="auto"/>
        <w:left w:val="none" w:sz="0" w:space="0" w:color="auto"/>
        <w:bottom w:val="none" w:sz="0" w:space="0" w:color="auto"/>
        <w:right w:val="none" w:sz="0" w:space="0" w:color="auto"/>
      </w:divBdr>
    </w:div>
    <w:div w:id="698047787">
      <w:bodyDiv w:val="1"/>
      <w:marLeft w:val="0"/>
      <w:marRight w:val="0"/>
      <w:marTop w:val="0"/>
      <w:marBottom w:val="0"/>
      <w:divBdr>
        <w:top w:val="none" w:sz="0" w:space="0" w:color="auto"/>
        <w:left w:val="none" w:sz="0" w:space="0" w:color="auto"/>
        <w:bottom w:val="none" w:sz="0" w:space="0" w:color="auto"/>
        <w:right w:val="none" w:sz="0" w:space="0" w:color="auto"/>
      </w:divBdr>
    </w:div>
    <w:div w:id="698093218">
      <w:bodyDiv w:val="1"/>
      <w:marLeft w:val="0"/>
      <w:marRight w:val="0"/>
      <w:marTop w:val="0"/>
      <w:marBottom w:val="0"/>
      <w:divBdr>
        <w:top w:val="none" w:sz="0" w:space="0" w:color="auto"/>
        <w:left w:val="none" w:sz="0" w:space="0" w:color="auto"/>
        <w:bottom w:val="none" w:sz="0" w:space="0" w:color="auto"/>
        <w:right w:val="none" w:sz="0" w:space="0" w:color="auto"/>
      </w:divBdr>
    </w:div>
    <w:div w:id="698119529">
      <w:bodyDiv w:val="1"/>
      <w:marLeft w:val="0"/>
      <w:marRight w:val="0"/>
      <w:marTop w:val="0"/>
      <w:marBottom w:val="0"/>
      <w:divBdr>
        <w:top w:val="none" w:sz="0" w:space="0" w:color="auto"/>
        <w:left w:val="none" w:sz="0" w:space="0" w:color="auto"/>
        <w:bottom w:val="none" w:sz="0" w:space="0" w:color="auto"/>
        <w:right w:val="none" w:sz="0" w:space="0" w:color="auto"/>
      </w:divBdr>
    </w:div>
    <w:div w:id="698167391">
      <w:bodyDiv w:val="1"/>
      <w:marLeft w:val="0"/>
      <w:marRight w:val="0"/>
      <w:marTop w:val="0"/>
      <w:marBottom w:val="0"/>
      <w:divBdr>
        <w:top w:val="none" w:sz="0" w:space="0" w:color="auto"/>
        <w:left w:val="none" w:sz="0" w:space="0" w:color="auto"/>
        <w:bottom w:val="none" w:sz="0" w:space="0" w:color="auto"/>
        <w:right w:val="none" w:sz="0" w:space="0" w:color="auto"/>
      </w:divBdr>
    </w:div>
    <w:div w:id="698239087">
      <w:bodyDiv w:val="1"/>
      <w:marLeft w:val="0"/>
      <w:marRight w:val="0"/>
      <w:marTop w:val="0"/>
      <w:marBottom w:val="0"/>
      <w:divBdr>
        <w:top w:val="none" w:sz="0" w:space="0" w:color="auto"/>
        <w:left w:val="none" w:sz="0" w:space="0" w:color="auto"/>
        <w:bottom w:val="none" w:sz="0" w:space="0" w:color="auto"/>
        <w:right w:val="none" w:sz="0" w:space="0" w:color="auto"/>
      </w:divBdr>
    </w:div>
    <w:div w:id="698240976">
      <w:bodyDiv w:val="1"/>
      <w:marLeft w:val="0"/>
      <w:marRight w:val="0"/>
      <w:marTop w:val="0"/>
      <w:marBottom w:val="0"/>
      <w:divBdr>
        <w:top w:val="none" w:sz="0" w:space="0" w:color="auto"/>
        <w:left w:val="none" w:sz="0" w:space="0" w:color="auto"/>
        <w:bottom w:val="none" w:sz="0" w:space="0" w:color="auto"/>
        <w:right w:val="none" w:sz="0" w:space="0" w:color="auto"/>
      </w:divBdr>
    </w:div>
    <w:div w:id="698241084">
      <w:bodyDiv w:val="1"/>
      <w:marLeft w:val="0"/>
      <w:marRight w:val="0"/>
      <w:marTop w:val="0"/>
      <w:marBottom w:val="0"/>
      <w:divBdr>
        <w:top w:val="none" w:sz="0" w:space="0" w:color="auto"/>
        <w:left w:val="none" w:sz="0" w:space="0" w:color="auto"/>
        <w:bottom w:val="none" w:sz="0" w:space="0" w:color="auto"/>
        <w:right w:val="none" w:sz="0" w:space="0" w:color="auto"/>
      </w:divBdr>
    </w:div>
    <w:div w:id="698431724">
      <w:bodyDiv w:val="1"/>
      <w:marLeft w:val="0"/>
      <w:marRight w:val="0"/>
      <w:marTop w:val="0"/>
      <w:marBottom w:val="0"/>
      <w:divBdr>
        <w:top w:val="none" w:sz="0" w:space="0" w:color="auto"/>
        <w:left w:val="none" w:sz="0" w:space="0" w:color="auto"/>
        <w:bottom w:val="none" w:sz="0" w:space="0" w:color="auto"/>
        <w:right w:val="none" w:sz="0" w:space="0" w:color="auto"/>
      </w:divBdr>
    </w:div>
    <w:div w:id="698512032">
      <w:bodyDiv w:val="1"/>
      <w:marLeft w:val="0"/>
      <w:marRight w:val="0"/>
      <w:marTop w:val="0"/>
      <w:marBottom w:val="0"/>
      <w:divBdr>
        <w:top w:val="none" w:sz="0" w:space="0" w:color="auto"/>
        <w:left w:val="none" w:sz="0" w:space="0" w:color="auto"/>
        <w:bottom w:val="none" w:sz="0" w:space="0" w:color="auto"/>
        <w:right w:val="none" w:sz="0" w:space="0" w:color="auto"/>
      </w:divBdr>
    </w:div>
    <w:div w:id="698554408">
      <w:bodyDiv w:val="1"/>
      <w:marLeft w:val="0"/>
      <w:marRight w:val="0"/>
      <w:marTop w:val="0"/>
      <w:marBottom w:val="0"/>
      <w:divBdr>
        <w:top w:val="none" w:sz="0" w:space="0" w:color="auto"/>
        <w:left w:val="none" w:sz="0" w:space="0" w:color="auto"/>
        <w:bottom w:val="none" w:sz="0" w:space="0" w:color="auto"/>
        <w:right w:val="none" w:sz="0" w:space="0" w:color="auto"/>
      </w:divBdr>
    </w:div>
    <w:div w:id="698579469">
      <w:bodyDiv w:val="1"/>
      <w:marLeft w:val="0"/>
      <w:marRight w:val="0"/>
      <w:marTop w:val="0"/>
      <w:marBottom w:val="0"/>
      <w:divBdr>
        <w:top w:val="none" w:sz="0" w:space="0" w:color="auto"/>
        <w:left w:val="none" w:sz="0" w:space="0" w:color="auto"/>
        <w:bottom w:val="none" w:sz="0" w:space="0" w:color="auto"/>
        <w:right w:val="none" w:sz="0" w:space="0" w:color="auto"/>
      </w:divBdr>
    </w:div>
    <w:div w:id="698896529">
      <w:bodyDiv w:val="1"/>
      <w:marLeft w:val="0"/>
      <w:marRight w:val="0"/>
      <w:marTop w:val="0"/>
      <w:marBottom w:val="0"/>
      <w:divBdr>
        <w:top w:val="none" w:sz="0" w:space="0" w:color="auto"/>
        <w:left w:val="none" w:sz="0" w:space="0" w:color="auto"/>
        <w:bottom w:val="none" w:sz="0" w:space="0" w:color="auto"/>
        <w:right w:val="none" w:sz="0" w:space="0" w:color="auto"/>
      </w:divBdr>
    </w:div>
    <w:div w:id="698966391">
      <w:bodyDiv w:val="1"/>
      <w:marLeft w:val="0"/>
      <w:marRight w:val="0"/>
      <w:marTop w:val="0"/>
      <w:marBottom w:val="0"/>
      <w:divBdr>
        <w:top w:val="none" w:sz="0" w:space="0" w:color="auto"/>
        <w:left w:val="none" w:sz="0" w:space="0" w:color="auto"/>
        <w:bottom w:val="none" w:sz="0" w:space="0" w:color="auto"/>
        <w:right w:val="none" w:sz="0" w:space="0" w:color="auto"/>
      </w:divBdr>
    </w:div>
    <w:div w:id="698967903">
      <w:bodyDiv w:val="1"/>
      <w:marLeft w:val="0"/>
      <w:marRight w:val="0"/>
      <w:marTop w:val="0"/>
      <w:marBottom w:val="0"/>
      <w:divBdr>
        <w:top w:val="none" w:sz="0" w:space="0" w:color="auto"/>
        <w:left w:val="none" w:sz="0" w:space="0" w:color="auto"/>
        <w:bottom w:val="none" w:sz="0" w:space="0" w:color="auto"/>
        <w:right w:val="none" w:sz="0" w:space="0" w:color="auto"/>
      </w:divBdr>
    </w:div>
    <w:div w:id="699165323">
      <w:bodyDiv w:val="1"/>
      <w:marLeft w:val="0"/>
      <w:marRight w:val="0"/>
      <w:marTop w:val="0"/>
      <w:marBottom w:val="0"/>
      <w:divBdr>
        <w:top w:val="none" w:sz="0" w:space="0" w:color="auto"/>
        <w:left w:val="none" w:sz="0" w:space="0" w:color="auto"/>
        <w:bottom w:val="none" w:sz="0" w:space="0" w:color="auto"/>
        <w:right w:val="none" w:sz="0" w:space="0" w:color="auto"/>
      </w:divBdr>
    </w:div>
    <w:div w:id="699167119">
      <w:bodyDiv w:val="1"/>
      <w:marLeft w:val="0"/>
      <w:marRight w:val="0"/>
      <w:marTop w:val="0"/>
      <w:marBottom w:val="0"/>
      <w:divBdr>
        <w:top w:val="none" w:sz="0" w:space="0" w:color="auto"/>
        <w:left w:val="none" w:sz="0" w:space="0" w:color="auto"/>
        <w:bottom w:val="none" w:sz="0" w:space="0" w:color="auto"/>
        <w:right w:val="none" w:sz="0" w:space="0" w:color="auto"/>
      </w:divBdr>
    </w:div>
    <w:div w:id="699209362">
      <w:bodyDiv w:val="1"/>
      <w:marLeft w:val="0"/>
      <w:marRight w:val="0"/>
      <w:marTop w:val="0"/>
      <w:marBottom w:val="0"/>
      <w:divBdr>
        <w:top w:val="none" w:sz="0" w:space="0" w:color="auto"/>
        <w:left w:val="none" w:sz="0" w:space="0" w:color="auto"/>
        <w:bottom w:val="none" w:sz="0" w:space="0" w:color="auto"/>
        <w:right w:val="none" w:sz="0" w:space="0" w:color="auto"/>
      </w:divBdr>
    </w:div>
    <w:div w:id="699280469">
      <w:bodyDiv w:val="1"/>
      <w:marLeft w:val="0"/>
      <w:marRight w:val="0"/>
      <w:marTop w:val="0"/>
      <w:marBottom w:val="0"/>
      <w:divBdr>
        <w:top w:val="none" w:sz="0" w:space="0" w:color="auto"/>
        <w:left w:val="none" w:sz="0" w:space="0" w:color="auto"/>
        <w:bottom w:val="none" w:sz="0" w:space="0" w:color="auto"/>
        <w:right w:val="none" w:sz="0" w:space="0" w:color="auto"/>
      </w:divBdr>
    </w:div>
    <w:div w:id="699354222">
      <w:bodyDiv w:val="1"/>
      <w:marLeft w:val="0"/>
      <w:marRight w:val="0"/>
      <w:marTop w:val="0"/>
      <w:marBottom w:val="0"/>
      <w:divBdr>
        <w:top w:val="none" w:sz="0" w:space="0" w:color="auto"/>
        <w:left w:val="none" w:sz="0" w:space="0" w:color="auto"/>
        <w:bottom w:val="none" w:sz="0" w:space="0" w:color="auto"/>
        <w:right w:val="none" w:sz="0" w:space="0" w:color="auto"/>
      </w:divBdr>
    </w:div>
    <w:div w:id="699360441">
      <w:bodyDiv w:val="1"/>
      <w:marLeft w:val="0"/>
      <w:marRight w:val="0"/>
      <w:marTop w:val="0"/>
      <w:marBottom w:val="0"/>
      <w:divBdr>
        <w:top w:val="none" w:sz="0" w:space="0" w:color="auto"/>
        <w:left w:val="none" w:sz="0" w:space="0" w:color="auto"/>
        <w:bottom w:val="none" w:sz="0" w:space="0" w:color="auto"/>
        <w:right w:val="none" w:sz="0" w:space="0" w:color="auto"/>
      </w:divBdr>
    </w:div>
    <w:div w:id="699400344">
      <w:bodyDiv w:val="1"/>
      <w:marLeft w:val="0"/>
      <w:marRight w:val="0"/>
      <w:marTop w:val="0"/>
      <w:marBottom w:val="0"/>
      <w:divBdr>
        <w:top w:val="none" w:sz="0" w:space="0" w:color="auto"/>
        <w:left w:val="none" w:sz="0" w:space="0" w:color="auto"/>
        <w:bottom w:val="none" w:sz="0" w:space="0" w:color="auto"/>
        <w:right w:val="none" w:sz="0" w:space="0" w:color="auto"/>
      </w:divBdr>
    </w:div>
    <w:div w:id="699404307">
      <w:bodyDiv w:val="1"/>
      <w:marLeft w:val="0"/>
      <w:marRight w:val="0"/>
      <w:marTop w:val="0"/>
      <w:marBottom w:val="0"/>
      <w:divBdr>
        <w:top w:val="none" w:sz="0" w:space="0" w:color="auto"/>
        <w:left w:val="none" w:sz="0" w:space="0" w:color="auto"/>
        <w:bottom w:val="none" w:sz="0" w:space="0" w:color="auto"/>
        <w:right w:val="none" w:sz="0" w:space="0" w:color="auto"/>
      </w:divBdr>
    </w:div>
    <w:div w:id="699480357">
      <w:bodyDiv w:val="1"/>
      <w:marLeft w:val="0"/>
      <w:marRight w:val="0"/>
      <w:marTop w:val="0"/>
      <w:marBottom w:val="0"/>
      <w:divBdr>
        <w:top w:val="none" w:sz="0" w:space="0" w:color="auto"/>
        <w:left w:val="none" w:sz="0" w:space="0" w:color="auto"/>
        <w:bottom w:val="none" w:sz="0" w:space="0" w:color="auto"/>
        <w:right w:val="none" w:sz="0" w:space="0" w:color="auto"/>
      </w:divBdr>
    </w:div>
    <w:div w:id="699665477">
      <w:bodyDiv w:val="1"/>
      <w:marLeft w:val="0"/>
      <w:marRight w:val="0"/>
      <w:marTop w:val="0"/>
      <w:marBottom w:val="0"/>
      <w:divBdr>
        <w:top w:val="none" w:sz="0" w:space="0" w:color="auto"/>
        <w:left w:val="none" w:sz="0" w:space="0" w:color="auto"/>
        <w:bottom w:val="none" w:sz="0" w:space="0" w:color="auto"/>
        <w:right w:val="none" w:sz="0" w:space="0" w:color="auto"/>
      </w:divBdr>
    </w:div>
    <w:div w:id="699668582">
      <w:bodyDiv w:val="1"/>
      <w:marLeft w:val="0"/>
      <w:marRight w:val="0"/>
      <w:marTop w:val="0"/>
      <w:marBottom w:val="0"/>
      <w:divBdr>
        <w:top w:val="none" w:sz="0" w:space="0" w:color="auto"/>
        <w:left w:val="none" w:sz="0" w:space="0" w:color="auto"/>
        <w:bottom w:val="none" w:sz="0" w:space="0" w:color="auto"/>
        <w:right w:val="none" w:sz="0" w:space="0" w:color="auto"/>
      </w:divBdr>
    </w:div>
    <w:div w:id="699740961">
      <w:bodyDiv w:val="1"/>
      <w:marLeft w:val="0"/>
      <w:marRight w:val="0"/>
      <w:marTop w:val="0"/>
      <w:marBottom w:val="0"/>
      <w:divBdr>
        <w:top w:val="none" w:sz="0" w:space="0" w:color="auto"/>
        <w:left w:val="none" w:sz="0" w:space="0" w:color="auto"/>
        <w:bottom w:val="none" w:sz="0" w:space="0" w:color="auto"/>
        <w:right w:val="none" w:sz="0" w:space="0" w:color="auto"/>
      </w:divBdr>
    </w:div>
    <w:div w:id="699747510">
      <w:bodyDiv w:val="1"/>
      <w:marLeft w:val="0"/>
      <w:marRight w:val="0"/>
      <w:marTop w:val="0"/>
      <w:marBottom w:val="0"/>
      <w:divBdr>
        <w:top w:val="none" w:sz="0" w:space="0" w:color="auto"/>
        <w:left w:val="none" w:sz="0" w:space="0" w:color="auto"/>
        <w:bottom w:val="none" w:sz="0" w:space="0" w:color="auto"/>
        <w:right w:val="none" w:sz="0" w:space="0" w:color="auto"/>
      </w:divBdr>
    </w:div>
    <w:div w:id="699816565">
      <w:bodyDiv w:val="1"/>
      <w:marLeft w:val="0"/>
      <w:marRight w:val="0"/>
      <w:marTop w:val="0"/>
      <w:marBottom w:val="0"/>
      <w:divBdr>
        <w:top w:val="none" w:sz="0" w:space="0" w:color="auto"/>
        <w:left w:val="none" w:sz="0" w:space="0" w:color="auto"/>
        <w:bottom w:val="none" w:sz="0" w:space="0" w:color="auto"/>
        <w:right w:val="none" w:sz="0" w:space="0" w:color="auto"/>
      </w:divBdr>
    </w:div>
    <w:div w:id="699818359">
      <w:bodyDiv w:val="1"/>
      <w:marLeft w:val="0"/>
      <w:marRight w:val="0"/>
      <w:marTop w:val="0"/>
      <w:marBottom w:val="0"/>
      <w:divBdr>
        <w:top w:val="none" w:sz="0" w:space="0" w:color="auto"/>
        <w:left w:val="none" w:sz="0" w:space="0" w:color="auto"/>
        <w:bottom w:val="none" w:sz="0" w:space="0" w:color="auto"/>
        <w:right w:val="none" w:sz="0" w:space="0" w:color="auto"/>
      </w:divBdr>
    </w:div>
    <w:div w:id="699860049">
      <w:bodyDiv w:val="1"/>
      <w:marLeft w:val="0"/>
      <w:marRight w:val="0"/>
      <w:marTop w:val="0"/>
      <w:marBottom w:val="0"/>
      <w:divBdr>
        <w:top w:val="none" w:sz="0" w:space="0" w:color="auto"/>
        <w:left w:val="none" w:sz="0" w:space="0" w:color="auto"/>
        <w:bottom w:val="none" w:sz="0" w:space="0" w:color="auto"/>
        <w:right w:val="none" w:sz="0" w:space="0" w:color="auto"/>
      </w:divBdr>
    </w:div>
    <w:div w:id="699862142">
      <w:bodyDiv w:val="1"/>
      <w:marLeft w:val="0"/>
      <w:marRight w:val="0"/>
      <w:marTop w:val="0"/>
      <w:marBottom w:val="0"/>
      <w:divBdr>
        <w:top w:val="none" w:sz="0" w:space="0" w:color="auto"/>
        <w:left w:val="none" w:sz="0" w:space="0" w:color="auto"/>
        <w:bottom w:val="none" w:sz="0" w:space="0" w:color="auto"/>
        <w:right w:val="none" w:sz="0" w:space="0" w:color="auto"/>
      </w:divBdr>
    </w:div>
    <w:div w:id="699932955">
      <w:bodyDiv w:val="1"/>
      <w:marLeft w:val="0"/>
      <w:marRight w:val="0"/>
      <w:marTop w:val="0"/>
      <w:marBottom w:val="0"/>
      <w:divBdr>
        <w:top w:val="none" w:sz="0" w:space="0" w:color="auto"/>
        <w:left w:val="none" w:sz="0" w:space="0" w:color="auto"/>
        <w:bottom w:val="none" w:sz="0" w:space="0" w:color="auto"/>
        <w:right w:val="none" w:sz="0" w:space="0" w:color="auto"/>
      </w:divBdr>
    </w:div>
    <w:div w:id="700013997">
      <w:bodyDiv w:val="1"/>
      <w:marLeft w:val="0"/>
      <w:marRight w:val="0"/>
      <w:marTop w:val="0"/>
      <w:marBottom w:val="0"/>
      <w:divBdr>
        <w:top w:val="none" w:sz="0" w:space="0" w:color="auto"/>
        <w:left w:val="none" w:sz="0" w:space="0" w:color="auto"/>
        <w:bottom w:val="none" w:sz="0" w:space="0" w:color="auto"/>
        <w:right w:val="none" w:sz="0" w:space="0" w:color="auto"/>
      </w:divBdr>
    </w:div>
    <w:div w:id="700015727">
      <w:bodyDiv w:val="1"/>
      <w:marLeft w:val="0"/>
      <w:marRight w:val="0"/>
      <w:marTop w:val="0"/>
      <w:marBottom w:val="0"/>
      <w:divBdr>
        <w:top w:val="none" w:sz="0" w:space="0" w:color="auto"/>
        <w:left w:val="none" w:sz="0" w:space="0" w:color="auto"/>
        <w:bottom w:val="none" w:sz="0" w:space="0" w:color="auto"/>
        <w:right w:val="none" w:sz="0" w:space="0" w:color="auto"/>
      </w:divBdr>
    </w:div>
    <w:div w:id="700017053">
      <w:bodyDiv w:val="1"/>
      <w:marLeft w:val="0"/>
      <w:marRight w:val="0"/>
      <w:marTop w:val="0"/>
      <w:marBottom w:val="0"/>
      <w:divBdr>
        <w:top w:val="none" w:sz="0" w:space="0" w:color="auto"/>
        <w:left w:val="none" w:sz="0" w:space="0" w:color="auto"/>
        <w:bottom w:val="none" w:sz="0" w:space="0" w:color="auto"/>
        <w:right w:val="none" w:sz="0" w:space="0" w:color="auto"/>
      </w:divBdr>
    </w:div>
    <w:div w:id="700084434">
      <w:bodyDiv w:val="1"/>
      <w:marLeft w:val="0"/>
      <w:marRight w:val="0"/>
      <w:marTop w:val="0"/>
      <w:marBottom w:val="0"/>
      <w:divBdr>
        <w:top w:val="none" w:sz="0" w:space="0" w:color="auto"/>
        <w:left w:val="none" w:sz="0" w:space="0" w:color="auto"/>
        <w:bottom w:val="none" w:sz="0" w:space="0" w:color="auto"/>
        <w:right w:val="none" w:sz="0" w:space="0" w:color="auto"/>
      </w:divBdr>
    </w:div>
    <w:div w:id="700127373">
      <w:bodyDiv w:val="1"/>
      <w:marLeft w:val="0"/>
      <w:marRight w:val="0"/>
      <w:marTop w:val="0"/>
      <w:marBottom w:val="0"/>
      <w:divBdr>
        <w:top w:val="none" w:sz="0" w:space="0" w:color="auto"/>
        <w:left w:val="none" w:sz="0" w:space="0" w:color="auto"/>
        <w:bottom w:val="none" w:sz="0" w:space="0" w:color="auto"/>
        <w:right w:val="none" w:sz="0" w:space="0" w:color="auto"/>
      </w:divBdr>
    </w:div>
    <w:div w:id="700127925">
      <w:bodyDiv w:val="1"/>
      <w:marLeft w:val="0"/>
      <w:marRight w:val="0"/>
      <w:marTop w:val="0"/>
      <w:marBottom w:val="0"/>
      <w:divBdr>
        <w:top w:val="none" w:sz="0" w:space="0" w:color="auto"/>
        <w:left w:val="none" w:sz="0" w:space="0" w:color="auto"/>
        <w:bottom w:val="none" w:sz="0" w:space="0" w:color="auto"/>
        <w:right w:val="none" w:sz="0" w:space="0" w:color="auto"/>
      </w:divBdr>
    </w:div>
    <w:div w:id="700204495">
      <w:bodyDiv w:val="1"/>
      <w:marLeft w:val="0"/>
      <w:marRight w:val="0"/>
      <w:marTop w:val="0"/>
      <w:marBottom w:val="0"/>
      <w:divBdr>
        <w:top w:val="none" w:sz="0" w:space="0" w:color="auto"/>
        <w:left w:val="none" w:sz="0" w:space="0" w:color="auto"/>
        <w:bottom w:val="none" w:sz="0" w:space="0" w:color="auto"/>
        <w:right w:val="none" w:sz="0" w:space="0" w:color="auto"/>
      </w:divBdr>
    </w:div>
    <w:div w:id="700252905">
      <w:bodyDiv w:val="1"/>
      <w:marLeft w:val="0"/>
      <w:marRight w:val="0"/>
      <w:marTop w:val="0"/>
      <w:marBottom w:val="0"/>
      <w:divBdr>
        <w:top w:val="none" w:sz="0" w:space="0" w:color="auto"/>
        <w:left w:val="none" w:sz="0" w:space="0" w:color="auto"/>
        <w:bottom w:val="none" w:sz="0" w:space="0" w:color="auto"/>
        <w:right w:val="none" w:sz="0" w:space="0" w:color="auto"/>
      </w:divBdr>
    </w:div>
    <w:div w:id="700402114">
      <w:bodyDiv w:val="1"/>
      <w:marLeft w:val="0"/>
      <w:marRight w:val="0"/>
      <w:marTop w:val="0"/>
      <w:marBottom w:val="0"/>
      <w:divBdr>
        <w:top w:val="none" w:sz="0" w:space="0" w:color="auto"/>
        <w:left w:val="none" w:sz="0" w:space="0" w:color="auto"/>
        <w:bottom w:val="none" w:sz="0" w:space="0" w:color="auto"/>
        <w:right w:val="none" w:sz="0" w:space="0" w:color="auto"/>
      </w:divBdr>
    </w:div>
    <w:div w:id="700545703">
      <w:bodyDiv w:val="1"/>
      <w:marLeft w:val="0"/>
      <w:marRight w:val="0"/>
      <w:marTop w:val="0"/>
      <w:marBottom w:val="0"/>
      <w:divBdr>
        <w:top w:val="none" w:sz="0" w:space="0" w:color="auto"/>
        <w:left w:val="none" w:sz="0" w:space="0" w:color="auto"/>
        <w:bottom w:val="none" w:sz="0" w:space="0" w:color="auto"/>
        <w:right w:val="none" w:sz="0" w:space="0" w:color="auto"/>
      </w:divBdr>
    </w:div>
    <w:div w:id="700672934">
      <w:bodyDiv w:val="1"/>
      <w:marLeft w:val="0"/>
      <w:marRight w:val="0"/>
      <w:marTop w:val="0"/>
      <w:marBottom w:val="0"/>
      <w:divBdr>
        <w:top w:val="none" w:sz="0" w:space="0" w:color="auto"/>
        <w:left w:val="none" w:sz="0" w:space="0" w:color="auto"/>
        <w:bottom w:val="none" w:sz="0" w:space="0" w:color="auto"/>
        <w:right w:val="none" w:sz="0" w:space="0" w:color="auto"/>
      </w:divBdr>
    </w:div>
    <w:div w:id="700714757">
      <w:bodyDiv w:val="1"/>
      <w:marLeft w:val="0"/>
      <w:marRight w:val="0"/>
      <w:marTop w:val="0"/>
      <w:marBottom w:val="0"/>
      <w:divBdr>
        <w:top w:val="none" w:sz="0" w:space="0" w:color="auto"/>
        <w:left w:val="none" w:sz="0" w:space="0" w:color="auto"/>
        <w:bottom w:val="none" w:sz="0" w:space="0" w:color="auto"/>
        <w:right w:val="none" w:sz="0" w:space="0" w:color="auto"/>
      </w:divBdr>
    </w:div>
    <w:div w:id="700860217">
      <w:bodyDiv w:val="1"/>
      <w:marLeft w:val="0"/>
      <w:marRight w:val="0"/>
      <w:marTop w:val="0"/>
      <w:marBottom w:val="0"/>
      <w:divBdr>
        <w:top w:val="none" w:sz="0" w:space="0" w:color="auto"/>
        <w:left w:val="none" w:sz="0" w:space="0" w:color="auto"/>
        <w:bottom w:val="none" w:sz="0" w:space="0" w:color="auto"/>
        <w:right w:val="none" w:sz="0" w:space="0" w:color="auto"/>
      </w:divBdr>
    </w:div>
    <w:div w:id="701050527">
      <w:bodyDiv w:val="1"/>
      <w:marLeft w:val="0"/>
      <w:marRight w:val="0"/>
      <w:marTop w:val="0"/>
      <w:marBottom w:val="0"/>
      <w:divBdr>
        <w:top w:val="none" w:sz="0" w:space="0" w:color="auto"/>
        <w:left w:val="none" w:sz="0" w:space="0" w:color="auto"/>
        <w:bottom w:val="none" w:sz="0" w:space="0" w:color="auto"/>
        <w:right w:val="none" w:sz="0" w:space="0" w:color="auto"/>
      </w:divBdr>
    </w:div>
    <w:div w:id="701050935">
      <w:bodyDiv w:val="1"/>
      <w:marLeft w:val="0"/>
      <w:marRight w:val="0"/>
      <w:marTop w:val="0"/>
      <w:marBottom w:val="0"/>
      <w:divBdr>
        <w:top w:val="none" w:sz="0" w:space="0" w:color="auto"/>
        <w:left w:val="none" w:sz="0" w:space="0" w:color="auto"/>
        <w:bottom w:val="none" w:sz="0" w:space="0" w:color="auto"/>
        <w:right w:val="none" w:sz="0" w:space="0" w:color="auto"/>
      </w:divBdr>
    </w:div>
    <w:div w:id="701059059">
      <w:bodyDiv w:val="1"/>
      <w:marLeft w:val="0"/>
      <w:marRight w:val="0"/>
      <w:marTop w:val="0"/>
      <w:marBottom w:val="0"/>
      <w:divBdr>
        <w:top w:val="none" w:sz="0" w:space="0" w:color="auto"/>
        <w:left w:val="none" w:sz="0" w:space="0" w:color="auto"/>
        <w:bottom w:val="none" w:sz="0" w:space="0" w:color="auto"/>
        <w:right w:val="none" w:sz="0" w:space="0" w:color="auto"/>
      </w:divBdr>
    </w:div>
    <w:div w:id="701127351">
      <w:bodyDiv w:val="1"/>
      <w:marLeft w:val="0"/>
      <w:marRight w:val="0"/>
      <w:marTop w:val="0"/>
      <w:marBottom w:val="0"/>
      <w:divBdr>
        <w:top w:val="none" w:sz="0" w:space="0" w:color="auto"/>
        <w:left w:val="none" w:sz="0" w:space="0" w:color="auto"/>
        <w:bottom w:val="none" w:sz="0" w:space="0" w:color="auto"/>
        <w:right w:val="none" w:sz="0" w:space="0" w:color="auto"/>
      </w:divBdr>
    </w:div>
    <w:div w:id="701244642">
      <w:bodyDiv w:val="1"/>
      <w:marLeft w:val="0"/>
      <w:marRight w:val="0"/>
      <w:marTop w:val="0"/>
      <w:marBottom w:val="0"/>
      <w:divBdr>
        <w:top w:val="none" w:sz="0" w:space="0" w:color="auto"/>
        <w:left w:val="none" w:sz="0" w:space="0" w:color="auto"/>
        <w:bottom w:val="none" w:sz="0" w:space="0" w:color="auto"/>
        <w:right w:val="none" w:sz="0" w:space="0" w:color="auto"/>
      </w:divBdr>
    </w:div>
    <w:div w:id="701319259">
      <w:bodyDiv w:val="1"/>
      <w:marLeft w:val="0"/>
      <w:marRight w:val="0"/>
      <w:marTop w:val="0"/>
      <w:marBottom w:val="0"/>
      <w:divBdr>
        <w:top w:val="none" w:sz="0" w:space="0" w:color="auto"/>
        <w:left w:val="none" w:sz="0" w:space="0" w:color="auto"/>
        <w:bottom w:val="none" w:sz="0" w:space="0" w:color="auto"/>
        <w:right w:val="none" w:sz="0" w:space="0" w:color="auto"/>
      </w:divBdr>
    </w:div>
    <w:div w:id="701323923">
      <w:bodyDiv w:val="1"/>
      <w:marLeft w:val="0"/>
      <w:marRight w:val="0"/>
      <w:marTop w:val="0"/>
      <w:marBottom w:val="0"/>
      <w:divBdr>
        <w:top w:val="none" w:sz="0" w:space="0" w:color="auto"/>
        <w:left w:val="none" w:sz="0" w:space="0" w:color="auto"/>
        <w:bottom w:val="none" w:sz="0" w:space="0" w:color="auto"/>
        <w:right w:val="none" w:sz="0" w:space="0" w:color="auto"/>
      </w:divBdr>
    </w:div>
    <w:div w:id="701368613">
      <w:bodyDiv w:val="1"/>
      <w:marLeft w:val="0"/>
      <w:marRight w:val="0"/>
      <w:marTop w:val="0"/>
      <w:marBottom w:val="0"/>
      <w:divBdr>
        <w:top w:val="none" w:sz="0" w:space="0" w:color="auto"/>
        <w:left w:val="none" w:sz="0" w:space="0" w:color="auto"/>
        <w:bottom w:val="none" w:sz="0" w:space="0" w:color="auto"/>
        <w:right w:val="none" w:sz="0" w:space="0" w:color="auto"/>
      </w:divBdr>
    </w:div>
    <w:div w:id="701394513">
      <w:bodyDiv w:val="1"/>
      <w:marLeft w:val="0"/>
      <w:marRight w:val="0"/>
      <w:marTop w:val="0"/>
      <w:marBottom w:val="0"/>
      <w:divBdr>
        <w:top w:val="none" w:sz="0" w:space="0" w:color="auto"/>
        <w:left w:val="none" w:sz="0" w:space="0" w:color="auto"/>
        <w:bottom w:val="none" w:sz="0" w:space="0" w:color="auto"/>
        <w:right w:val="none" w:sz="0" w:space="0" w:color="auto"/>
      </w:divBdr>
    </w:div>
    <w:div w:id="701395757">
      <w:bodyDiv w:val="1"/>
      <w:marLeft w:val="0"/>
      <w:marRight w:val="0"/>
      <w:marTop w:val="0"/>
      <w:marBottom w:val="0"/>
      <w:divBdr>
        <w:top w:val="none" w:sz="0" w:space="0" w:color="auto"/>
        <w:left w:val="none" w:sz="0" w:space="0" w:color="auto"/>
        <w:bottom w:val="none" w:sz="0" w:space="0" w:color="auto"/>
        <w:right w:val="none" w:sz="0" w:space="0" w:color="auto"/>
      </w:divBdr>
    </w:div>
    <w:div w:id="701443196">
      <w:bodyDiv w:val="1"/>
      <w:marLeft w:val="0"/>
      <w:marRight w:val="0"/>
      <w:marTop w:val="0"/>
      <w:marBottom w:val="0"/>
      <w:divBdr>
        <w:top w:val="none" w:sz="0" w:space="0" w:color="auto"/>
        <w:left w:val="none" w:sz="0" w:space="0" w:color="auto"/>
        <w:bottom w:val="none" w:sz="0" w:space="0" w:color="auto"/>
        <w:right w:val="none" w:sz="0" w:space="0" w:color="auto"/>
      </w:divBdr>
    </w:div>
    <w:div w:id="701518608">
      <w:bodyDiv w:val="1"/>
      <w:marLeft w:val="0"/>
      <w:marRight w:val="0"/>
      <w:marTop w:val="0"/>
      <w:marBottom w:val="0"/>
      <w:divBdr>
        <w:top w:val="none" w:sz="0" w:space="0" w:color="auto"/>
        <w:left w:val="none" w:sz="0" w:space="0" w:color="auto"/>
        <w:bottom w:val="none" w:sz="0" w:space="0" w:color="auto"/>
        <w:right w:val="none" w:sz="0" w:space="0" w:color="auto"/>
      </w:divBdr>
    </w:div>
    <w:div w:id="701594567">
      <w:bodyDiv w:val="1"/>
      <w:marLeft w:val="0"/>
      <w:marRight w:val="0"/>
      <w:marTop w:val="0"/>
      <w:marBottom w:val="0"/>
      <w:divBdr>
        <w:top w:val="none" w:sz="0" w:space="0" w:color="auto"/>
        <w:left w:val="none" w:sz="0" w:space="0" w:color="auto"/>
        <w:bottom w:val="none" w:sz="0" w:space="0" w:color="auto"/>
        <w:right w:val="none" w:sz="0" w:space="0" w:color="auto"/>
      </w:divBdr>
    </w:div>
    <w:div w:id="701636113">
      <w:bodyDiv w:val="1"/>
      <w:marLeft w:val="0"/>
      <w:marRight w:val="0"/>
      <w:marTop w:val="0"/>
      <w:marBottom w:val="0"/>
      <w:divBdr>
        <w:top w:val="none" w:sz="0" w:space="0" w:color="auto"/>
        <w:left w:val="none" w:sz="0" w:space="0" w:color="auto"/>
        <w:bottom w:val="none" w:sz="0" w:space="0" w:color="auto"/>
        <w:right w:val="none" w:sz="0" w:space="0" w:color="auto"/>
      </w:divBdr>
    </w:div>
    <w:div w:id="701706357">
      <w:bodyDiv w:val="1"/>
      <w:marLeft w:val="0"/>
      <w:marRight w:val="0"/>
      <w:marTop w:val="0"/>
      <w:marBottom w:val="0"/>
      <w:divBdr>
        <w:top w:val="none" w:sz="0" w:space="0" w:color="auto"/>
        <w:left w:val="none" w:sz="0" w:space="0" w:color="auto"/>
        <w:bottom w:val="none" w:sz="0" w:space="0" w:color="auto"/>
        <w:right w:val="none" w:sz="0" w:space="0" w:color="auto"/>
      </w:divBdr>
    </w:div>
    <w:div w:id="701788633">
      <w:bodyDiv w:val="1"/>
      <w:marLeft w:val="0"/>
      <w:marRight w:val="0"/>
      <w:marTop w:val="0"/>
      <w:marBottom w:val="0"/>
      <w:divBdr>
        <w:top w:val="none" w:sz="0" w:space="0" w:color="auto"/>
        <w:left w:val="none" w:sz="0" w:space="0" w:color="auto"/>
        <w:bottom w:val="none" w:sz="0" w:space="0" w:color="auto"/>
        <w:right w:val="none" w:sz="0" w:space="0" w:color="auto"/>
      </w:divBdr>
    </w:div>
    <w:div w:id="701904020">
      <w:bodyDiv w:val="1"/>
      <w:marLeft w:val="0"/>
      <w:marRight w:val="0"/>
      <w:marTop w:val="0"/>
      <w:marBottom w:val="0"/>
      <w:divBdr>
        <w:top w:val="none" w:sz="0" w:space="0" w:color="auto"/>
        <w:left w:val="none" w:sz="0" w:space="0" w:color="auto"/>
        <w:bottom w:val="none" w:sz="0" w:space="0" w:color="auto"/>
        <w:right w:val="none" w:sz="0" w:space="0" w:color="auto"/>
      </w:divBdr>
    </w:div>
    <w:div w:id="701974945">
      <w:bodyDiv w:val="1"/>
      <w:marLeft w:val="0"/>
      <w:marRight w:val="0"/>
      <w:marTop w:val="0"/>
      <w:marBottom w:val="0"/>
      <w:divBdr>
        <w:top w:val="none" w:sz="0" w:space="0" w:color="auto"/>
        <w:left w:val="none" w:sz="0" w:space="0" w:color="auto"/>
        <w:bottom w:val="none" w:sz="0" w:space="0" w:color="auto"/>
        <w:right w:val="none" w:sz="0" w:space="0" w:color="auto"/>
      </w:divBdr>
    </w:div>
    <w:div w:id="701975733">
      <w:bodyDiv w:val="1"/>
      <w:marLeft w:val="0"/>
      <w:marRight w:val="0"/>
      <w:marTop w:val="0"/>
      <w:marBottom w:val="0"/>
      <w:divBdr>
        <w:top w:val="none" w:sz="0" w:space="0" w:color="auto"/>
        <w:left w:val="none" w:sz="0" w:space="0" w:color="auto"/>
        <w:bottom w:val="none" w:sz="0" w:space="0" w:color="auto"/>
        <w:right w:val="none" w:sz="0" w:space="0" w:color="auto"/>
      </w:divBdr>
    </w:div>
    <w:div w:id="701981461">
      <w:bodyDiv w:val="1"/>
      <w:marLeft w:val="0"/>
      <w:marRight w:val="0"/>
      <w:marTop w:val="0"/>
      <w:marBottom w:val="0"/>
      <w:divBdr>
        <w:top w:val="none" w:sz="0" w:space="0" w:color="auto"/>
        <w:left w:val="none" w:sz="0" w:space="0" w:color="auto"/>
        <w:bottom w:val="none" w:sz="0" w:space="0" w:color="auto"/>
        <w:right w:val="none" w:sz="0" w:space="0" w:color="auto"/>
      </w:divBdr>
    </w:div>
    <w:div w:id="702025554">
      <w:bodyDiv w:val="1"/>
      <w:marLeft w:val="0"/>
      <w:marRight w:val="0"/>
      <w:marTop w:val="0"/>
      <w:marBottom w:val="0"/>
      <w:divBdr>
        <w:top w:val="none" w:sz="0" w:space="0" w:color="auto"/>
        <w:left w:val="none" w:sz="0" w:space="0" w:color="auto"/>
        <w:bottom w:val="none" w:sz="0" w:space="0" w:color="auto"/>
        <w:right w:val="none" w:sz="0" w:space="0" w:color="auto"/>
      </w:divBdr>
    </w:div>
    <w:div w:id="702096761">
      <w:bodyDiv w:val="1"/>
      <w:marLeft w:val="0"/>
      <w:marRight w:val="0"/>
      <w:marTop w:val="0"/>
      <w:marBottom w:val="0"/>
      <w:divBdr>
        <w:top w:val="none" w:sz="0" w:space="0" w:color="auto"/>
        <w:left w:val="none" w:sz="0" w:space="0" w:color="auto"/>
        <w:bottom w:val="none" w:sz="0" w:space="0" w:color="auto"/>
        <w:right w:val="none" w:sz="0" w:space="0" w:color="auto"/>
      </w:divBdr>
    </w:div>
    <w:div w:id="702284966">
      <w:bodyDiv w:val="1"/>
      <w:marLeft w:val="0"/>
      <w:marRight w:val="0"/>
      <w:marTop w:val="0"/>
      <w:marBottom w:val="0"/>
      <w:divBdr>
        <w:top w:val="none" w:sz="0" w:space="0" w:color="auto"/>
        <w:left w:val="none" w:sz="0" w:space="0" w:color="auto"/>
        <w:bottom w:val="none" w:sz="0" w:space="0" w:color="auto"/>
        <w:right w:val="none" w:sz="0" w:space="0" w:color="auto"/>
      </w:divBdr>
    </w:div>
    <w:div w:id="702293849">
      <w:bodyDiv w:val="1"/>
      <w:marLeft w:val="0"/>
      <w:marRight w:val="0"/>
      <w:marTop w:val="0"/>
      <w:marBottom w:val="0"/>
      <w:divBdr>
        <w:top w:val="none" w:sz="0" w:space="0" w:color="auto"/>
        <w:left w:val="none" w:sz="0" w:space="0" w:color="auto"/>
        <w:bottom w:val="none" w:sz="0" w:space="0" w:color="auto"/>
        <w:right w:val="none" w:sz="0" w:space="0" w:color="auto"/>
      </w:divBdr>
    </w:div>
    <w:div w:id="702436843">
      <w:bodyDiv w:val="1"/>
      <w:marLeft w:val="0"/>
      <w:marRight w:val="0"/>
      <w:marTop w:val="0"/>
      <w:marBottom w:val="0"/>
      <w:divBdr>
        <w:top w:val="none" w:sz="0" w:space="0" w:color="auto"/>
        <w:left w:val="none" w:sz="0" w:space="0" w:color="auto"/>
        <w:bottom w:val="none" w:sz="0" w:space="0" w:color="auto"/>
        <w:right w:val="none" w:sz="0" w:space="0" w:color="auto"/>
      </w:divBdr>
    </w:div>
    <w:div w:id="702440140">
      <w:bodyDiv w:val="1"/>
      <w:marLeft w:val="0"/>
      <w:marRight w:val="0"/>
      <w:marTop w:val="0"/>
      <w:marBottom w:val="0"/>
      <w:divBdr>
        <w:top w:val="none" w:sz="0" w:space="0" w:color="auto"/>
        <w:left w:val="none" w:sz="0" w:space="0" w:color="auto"/>
        <w:bottom w:val="none" w:sz="0" w:space="0" w:color="auto"/>
        <w:right w:val="none" w:sz="0" w:space="0" w:color="auto"/>
      </w:divBdr>
    </w:div>
    <w:div w:id="702483032">
      <w:bodyDiv w:val="1"/>
      <w:marLeft w:val="0"/>
      <w:marRight w:val="0"/>
      <w:marTop w:val="0"/>
      <w:marBottom w:val="0"/>
      <w:divBdr>
        <w:top w:val="none" w:sz="0" w:space="0" w:color="auto"/>
        <w:left w:val="none" w:sz="0" w:space="0" w:color="auto"/>
        <w:bottom w:val="none" w:sz="0" w:space="0" w:color="auto"/>
        <w:right w:val="none" w:sz="0" w:space="0" w:color="auto"/>
      </w:divBdr>
    </w:div>
    <w:div w:id="702484378">
      <w:bodyDiv w:val="1"/>
      <w:marLeft w:val="0"/>
      <w:marRight w:val="0"/>
      <w:marTop w:val="0"/>
      <w:marBottom w:val="0"/>
      <w:divBdr>
        <w:top w:val="none" w:sz="0" w:space="0" w:color="auto"/>
        <w:left w:val="none" w:sz="0" w:space="0" w:color="auto"/>
        <w:bottom w:val="none" w:sz="0" w:space="0" w:color="auto"/>
        <w:right w:val="none" w:sz="0" w:space="0" w:color="auto"/>
      </w:divBdr>
    </w:div>
    <w:div w:id="702558317">
      <w:bodyDiv w:val="1"/>
      <w:marLeft w:val="0"/>
      <w:marRight w:val="0"/>
      <w:marTop w:val="0"/>
      <w:marBottom w:val="0"/>
      <w:divBdr>
        <w:top w:val="none" w:sz="0" w:space="0" w:color="auto"/>
        <w:left w:val="none" w:sz="0" w:space="0" w:color="auto"/>
        <w:bottom w:val="none" w:sz="0" w:space="0" w:color="auto"/>
        <w:right w:val="none" w:sz="0" w:space="0" w:color="auto"/>
      </w:divBdr>
    </w:div>
    <w:div w:id="702680242">
      <w:bodyDiv w:val="1"/>
      <w:marLeft w:val="0"/>
      <w:marRight w:val="0"/>
      <w:marTop w:val="0"/>
      <w:marBottom w:val="0"/>
      <w:divBdr>
        <w:top w:val="none" w:sz="0" w:space="0" w:color="auto"/>
        <w:left w:val="none" w:sz="0" w:space="0" w:color="auto"/>
        <w:bottom w:val="none" w:sz="0" w:space="0" w:color="auto"/>
        <w:right w:val="none" w:sz="0" w:space="0" w:color="auto"/>
      </w:divBdr>
    </w:div>
    <w:div w:id="702680721">
      <w:bodyDiv w:val="1"/>
      <w:marLeft w:val="0"/>
      <w:marRight w:val="0"/>
      <w:marTop w:val="0"/>
      <w:marBottom w:val="0"/>
      <w:divBdr>
        <w:top w:val="none" w:sz="0" w:space="0" w:color="auto"/>
        <w:left w:val="none" w:sz="0" w:space="0" w:color="auto"/>
        <w:bottom w:val="none" w:sz="0" w:space="0" w:color="auto"/>
        <w:right w:val="none" w:sz="0" w:space="0" w:color="auto"/>
      </w:divBdr>
    </w:div>
    <w:div w:id="702750414">
      <w:bodyDiv w:val="1"/>
      <w:marLeft w:val="0"/>
      <w:marRight w:val="0"/>
      <w:marTop w:val="0"/>
      <w:marBottom w:val="0"/>
      <w:divBdr>
        <w:top w:val="none" w:sz="0" w:space="0" w:color="auto"/>
        <w:left w:val="none" w:sz="0" w:space="0" w:color="auto"/>
        <w:bottom w:val="none" w:sz="0" w:space="0" w:color="auto"/>
        <w:right w:val="none" w:sz="0" w:space="0" w:color="auto"/>
      </w:divBdr>
    </w:div>
    <w:div w:id="702753665">
      <w:bodyDiv w:val="1"/>
      <w:marLeft w:val="0"/>
      <w:marRight w:val="0"/>
      <w:marTop w:val="0"/>
      <w:marBottom w:val="0"/>
      <w:divBdr>
        <w:top w:val="none" w:sz="0" w:space="0" w:color="auto"/>
        <w:left w:val="none" w:sz="0" w:space="0" w:color="auto"/>
        <w:bottom w:val="none" w:sz="0" w:space="0" w:color="auto"/>
        <w:right w:val="none" w:sz="0" w:space="0" w:color="auto"/>
      </w:divBdr>
    </w:div>
    <w:div w:id="702824095">
      <w:bodyDiv w:val="1"/>
      <w:marLeft w:val="0"/>
      <w:marRight w:val="0"/>
      <w:marTop w:val="0"/>
      <w:marBottom w:val="0"/>
      <w:divBdr>
        <w:top w:val="none" w:sz="0" w:space="0" w:color="auto"/>
        <w:left w:val="none" w:sz="0" w:space="0" w:color="auto"/>
        <w:bottom w:val="none" w:sz="0" w:space="0" w:color="auto"/>
        <w:right w:val="none" w:sz="0" w:space="0" w:color="auto"/>
      </w:divBdr>
    </w:div>
    <w:div w:id="702898985">
      <w:bodyDiv w:val="1"/>
      <w:marLeft w:val="0"/>
      <w:marRight w:val="0"/>
      <w:marTop w:val="0"/>
      <w:marBottom w:val="0"/>
      <w:divBdr>
        <w:top w:val="none" w:sz="0" w:space="0" w:color="auto"/>
        <w:left w:val="none" w:sz="0" w:space="0" w:color="auto"/>
        <w:bottom w:val="none" w:sz="0" w:space="0" w:color="auto"/>
        <w:right w:val="none" w:sz="0" w:space="0" w:color="auto"/>
      </w:divBdr>
    </w:div>
    <w:div w:id="702940737">
      <w:bodyDiv w:val="1"/>
      <w:marLeft w:val="0"/>
      <w:marRight w:val="0"/>
      <w:marTop w:val="0"/>
      <w:marBottom w:val="0"/>
      <w:divBdr>
        <w:top w:val="none" w:sz="0" w:space="0" w:color="auto"/>
        <w:left w:val="none" w:sz="0" w:space="0" w:color="auto"/>
        <w:bottom w:val="none" w:sz="0" w:space="0" w:color="auto"/>
        <w:right w:val="none" w:sz="0" w:space="0" w:color="auto"/>
      </w:divBdr>
    </w:div>
    <w:div w:id="703017511">
      <w:bodyDiv w:val="1"/>
      <w:marLeft w:val="0"/>
      <w:marRight w:val="0"/>
      <w:marTop w:val="0"/>
      <w:marBottom w:val="0"/>
      <w:divBdr>
        <w:top w:val="none" w:sz="0" w:space="0" w:color="auto"/>
        <w:left w:val="none" w:sz="0" w:space="0" w:color="auto"/>
        <w:bottom w:val="none" w:sz="0" w:space="0" w:color="auto"/>
        <w:right w:val="none" w:sz="0" w:space="0" w:color="auto"/>
      </w:divBdr>
    </w:div>
    <w:div w:id="703024544">
      <w:bodyDiv w:val="1"/>
      <w:marLeft w:val="0"/>
      <w:marRight w:val="0"/>
      <w:marTop w:val="0"/>
      <w:marBottom w:val="0"/>
      <w:divBdr>
        <w:top w:val="none" w:sz="0" w:space="0" w:color="auto"/>
        <w:left w:val="none" w:sz="0" w:space="0" w:color="auto"/>
        <w:bottom w:val="none" w:sz="0" w:space="0" w:color="auto"/>
        <w:right w:val="none" w:sz="0" w:space="0" w:color="auto"/>
      </w:divBdr>
    </w:div>
    <w:div w:id="703166750">
      <w:bodyDiv w:val="1"/>
      <w:marLeft w:val="0"/>
      <w:marRight w:val="0"/>
      <w:marTop w:val="0"/>
      <w:marBottom w:val="0"/>
      <w:divBdr>
        <w:top w:val="none" w:sz="0" w:space="0" w:color="auto"/>
        <w:left w:val="none" w:sz="0" w:space="0" w:color="auto"/>
        <w:bottom w:val="none" w:sz="0" w:space="0" w:color="auto"/>
        <w:right w:val="none" w:sz="0" w:space="0" w:color="auto"/>
      </w:divBdr>
    </w:div>
    <w:div w:id="703216845">
      <w:bodyDiv w:val="1"/>
      <w:marLeft w:val="0"/>
      <w:marRight w:val="0"/>
      <w:marTop w:val="0"/>
      <w:marBottom w:val="0"/>
      <w:divBdr>
        <w:top w:val="none" w:sz="0" w:space="0" w:color="auto"/>
        <w:left w:val="none" w:sz="0" w:space="0" w:color="auto"/>
        <w:bottom w:val="none" w:sz="0" w:space="0" w:color="auto"/>
        <w:right w:val="none" w:sz="0" w:space="0" w:color="auto"/>
      </w:divBdr>
    </w:div>
    <w:div w:id="703285228">
      <w:bodyDiv w:val="1"/>
      <w:marLeft w:val="0"/>
      <w:marRight w:val="0"/>
      <w:marTop w:val="0"/>
      <w:marBottom w:val="0"/>
      <w:divBdr>
        <w:top w:val="none" w:sz="0" w:space="0" w:color="auto"/>
        <w:left w:val="none" w:sz="0" w:space="0" w:color="auto"/>
        <w:bottom w:val="none" w:sz="0" w:space="0" w:color="auto"/>
        <w:right w:val="none" w:sz="0" w:space="0" w:color="auto"/>
      </w:divBdr>
    </w:div>
    <w:div w:id="703286448">
      <w:bodyDiv w:val="1"/>
      <w:marLeft w:val="0"/>
      <w:marRight w:val="0"/>
      <w:marTop w:val="0"/>
      <w:marBottom w:val="0"/>
      <w:divBdr>
        <w:top w:val="none" w:sz="0" w:space="0" w:color="auto"/>
        <w:left w:val="none" w:sz="0" w:space="0" w:color="auto"/>
        <w:bottom w:val="none" w:sz="0" w:space="0" w:color="auto"/>
        <w:right w:val="none" w:sz="0" w:space="0" w:color="auto"/>
      </w:divBdr>
    </w:div>
    <w:div w:id="703288863">
      <w:bodyDiv w:val="1"/>
      <w:marLeft w:val="0"/>
      <w:marRight w:val="0"/>
      <w:marTop w:val="0"/>
      <w:marBottom w:val="0"/>
      <w:divBdr>
        <w:top w:val="none" w:sz="0" w:space="0" w:color="auto"/>
        <w:left w:val="none" w:sz="0" w:space="0" w:color="auto"/>
        <w:bottom w:val="none" w:sz="0" w:space="0" w:color="auto"/>
        <w:right w:val="none" w:sz="0" w:space="0" w:color="auto"/>
      </w:divBdr>
    </w:div>
    <w:div w:id="703289952">
      <w:bodyDiv w:val="1"/>
      <w:marLeft w:val="0"/>
      <w:marRight w:val="0"/>
      <w:marTop w:val="0"/>
      <w:marBottom w:val="0"/>
      <w:divBdr>
        <w:top w:val="none" w:sz="0" w:space="0" w:color="auto"/>
        <w:left w:val="none" w:sz="0" w:space="0" w:color="auto"/>
        <w:bottom w:val="none" w:sz="0" w:space="0" w:color="auto"/>
        <w:right w:val="none" w:sz="0" w:space="0" w:color="auto"/>
      </w:divBdr>
    </w:div>
    <w:div w:id="703485397">
      <w:bodyDiv w:val="1"/>
      <w:marLeft w:val="0"/>
      <w:marRight w:val="0"/>
      <w:marTop w:val="0"/>
      <w:marBottom w:val="0"/>
      <w:divBdr>
        <w:top w:val="none" w:sz="0" w:space="0" w:color="auto"/>
        <w:left w:val="none" w:sz="0" w:space="0" w:color="auto"/>
        <w:bottom w:val="none" w:sz="0" w:space="0" w:color="auto"/>
        <w:right w:val="none" w:sz="0" w:space="0" w:color="auto"/>
      </w:divBdr>
    </w:div>
    <w:div w:id="703600347">
      <w:bodyDiv w:val="1"/>
      <w:marLeft w:val="0"/>
      <w:marRight w:val="0"/>
      <w:marTop w:val="0"/>
      <w:marBottom w:val="0"/>
      <w:divBdr>
        <w:top w:val="none" w:sz="0" w:space="0" w:color="auto"/>
        <w:left w:val="none" w:sz="0" w:space="0" w:color="auto"/>
        <w:bottom w:val="none" w:sz="0" w:space="0" w:color="auto"/>
        <w:right w:val="none" w:sz="0" w:space="0" w:color="auto"/>
      </w:divBdr>
    </w:div>
    <w:div w:id="703748620">
      <w:bodyDiv w:val="1"/>
      <w:marLeft w:val="0"/>
      <w:marRight w:val="0"/>
      <w:marTop w:val="0"/>
      <w:marBottom w:val="0"/>
      <w:divBdr>
        <w:top w:val="none" w:sz="0" w:space="0" w:color="auto"/>
        <w:left w:val="none" w:sz="0" w:space="0" w:color="auto"/>
        <w:bottom w:val="none" w:sz="0" w:space="0" w:color="auto"/>
        <w:right w:val="none" w:sz="0" w:space="0" w:color="auto"/>
      </w:divBdr>
    </w:div>
    <w:div w:id="703943616">
      <w:bodyDiv w:val="1"/>
      <w:marLeft w:val="0"/>
      <w:marRight w:val="0"/>
      <w:marTop w:val="0"/>
      <w:marBottom w:val="0"/>
      <w:divBdr>
        <w:top w:val="none" w:sz="0" w:space="0" w:color="auto"/>
        <w:left w:val="none" w:sz="0" w:space="0" w:color="auto"/>
        <w:bottom w:val="none" w:sz="0" w:space="0" w:color="auto"/>
        <w:right w:val="none" w:sz="0" w:space="0" w:color="auto"/>
      </w:divBdr>
    </w:div>
    <w:div w:id="703945284">
      <w:bodyDiv w:val="1"/>
      <w:marLeft w:val="0"/>
      <w:marRight w:val="0"/>
      <w:marTop w:val="0"/>
      <w:marBottom w:val="0"/>
      <w:divBdr>
        <w:top w:val="none" w:sz="0" w:space="0" w:color="auto"/>
        <w:left w:val="none" w:sz="0" w:space="0" w:color="auto"/>
        <w:bottom w:val="none" w:sz="0" w:space="0" w:color="auto"/>
        <w:right w:val="none" w:sz="0" w:space="0" w:color="auto"/>
      </w:divBdr>
    </w:div>
    <w:div w:id="703946130">
      <w:bodyDiv w:val="1"/>
      <w:marLeft w:val="0"/>
      <w:marRight w:val="0"/>
      <w:marTop w:val="0"/>
      <w:marBottom w:val="0"/>
      <w:divBdr>
        <w:top w:val="none" w:sz="0" w:space="0" w:color="auto"/>
        <w:left w:val="none" w:sz="0" w:space="0" w:color="auto"/>
        <w:bottom w:val="none" w:sz="0" w:space="0" w:color="auto"/>
        <w:right w:val="none" w:sz="0" w:space="0" w:color="auto"/>
      </w:divBdr>
    </w:div>
    <w:div w:id="703949173">
      <w:bodyDiv w:val="1"/>
      <w:marLeft w:val="0"/>
      <w:marRight w:val="0"/>
      <w:marTop w:val="0"/>
      <w:marBottom w:val="0"/>
      <w:divBdr>
        <w:top w:val="none" w:sz="0" w:space="0" w:color="auto"/>
        <w:left w:val="none" w:sz="0" w:space="0" w:color="auto"/>
        <w:bottom w:val="none" w:sz="0" w:space="0" w:color="auto"/>
        <w:right w:val="none" w:sz="0" w:space="0" w:color="auto"/>
      </w:divBdr>
    </w:div>
    <w:div w:id="704059992">
      <w:bodyDiv w:val="1"/>
      <w:marLeft w:val="0"/>
      <w:marRight w:val="0"/>
      <w:marTop w:val="0"/>
      <w:marBottom w:val="0"/>
      <w:divBdr>
        <w:top w:val="none" w:sz="0" w:space="0" w:color="auto"/>
        <w:left w:val="none" w:sz="0" w:space="0" w:color="auto"/>
        <w:bottom w:val="none" w:sz="0" w:space="0" w:color="auto"/>
        <w:right w:val="none" w:sz="0" w:space="0" w:color="auto"/>
      </w:divBdr>
    </w:div>
    <w:div w:id="704061498">
      <w:bodyDiv w:val="1"/>
      <w:marLeft w:val="0"/>
      <w:marRight w:val="0"/>
      <w:marTop w:val="0"/>
      <w:marBottom w:val="0"/>
      <w:divBdr>
        <w:top w:val="none" w:sz="0" w:space="0" w:color="auto"/>
        <w:left w:val="none" w:sz="0" w:space="0" w:color="auto"/>
        <w:bottom w:val="none" w:sz="0" w:space="0" w:color="auto"/>
        <w:right w:val="none" w:sz="0" w:space="0" w:color="auto"/>
      </w:divBdr>
    </w:div>
    <w:div w:id="704062532">
      <w:bodyDiv w:val="1"/>
      <w:marLeft w:val="0"/>
      <w:marRight w:val="0"/>
      <w:marTop w:val="0"/>
      <w:marBottom w:val="0"/>
      <w:divBdr>
        <w:top w:val="none" w:sz="0" w:space="0" w:color="auto"/>
        <w:left w:val="none" w:sz="0" w:space="0" w:color="auto"/>
        <w:bottom w:val="none" w:sz="0" w:space="0" w:color="auto"/>
        <w:right w:val="none" w:sz="0" w:space="0" w:color="auto"/>
      </w:divBdr>
    </w:div>
    <w:div w:id="704065109">
      <w:bodyDiv w:val="1"/>
      <w:marLeft w:val="0"/>
      <w:marRight w:val="0"/>
      <w:marTop w:val="0"/>
      <w:marBottom w:val="0"/>
      <w:divBdr>
        <w:top w:val="none" w:sz="0" w:space="0" w:color="auto"/>
        <w:left w:val="none" w:sz="0" w:space="0" w:color="auto"/>
        <w:bottom w:val="none" w:sz="0" w:space="0" w:color="auto"/>
        <w:right w:val="none" w:sz="0" w:space="0" w:color="auto"/>
      </w:divBdr>
    </w:div>
    <w:div w:id="704208244">
      <w:bodyDiv w:val="1"/>
      <w:marLeft w:val="0"/>
      <w:marRight w:val="0"/>
      <w:marTop w:val="0"/>
      <w:marBottom w:val="0"/>
      <w:divBdr>
        <w:top w:val="none" w:sz="0" w:space="0" w:color="auto"/>
        <w:left w:val="none" w:sz="0" w:space="0" w:color="auto"/>
        <w:bottom w:val="none" w:sz="0" w:space="0" w:color="auto"/>
        <w:right w:val="none" w:sz="0" w:space="0" w:color="auto"/>
      </w:divBdr>
    </w:div>
    <w:div w:id="704215458">
      <w:bodyDiv w:val="1"/>
      <w:marLeft w:val="0"/>
      <w:marRight w:val="0"/>
      <w:marTop w:val="0"/>
      <w:marBottom w:val="0"/>
      <w:divBdr>
        <w:top w:val="none" w:sz="0" w:space="0" w:color="auto"/>
        <w:left w:val="none" w:sz="0" w:space="0" w:color="auto"/>
        <w:bottom w:val="none" w:sz="0" w:space="0" w:color="auto"/>
        <w:right w:val="none" w:sz="0" w:space="0" w:color="auto"/>
      </w:divBdr>
    </w:div>
    <w:div w:id="704217062">
      <w:bodyDiv w:val="1"/>
      <w:marLeft w:val="0"/>
      <w:marRight w:val="0"/>
      <w:marTop w:val="0"/>
      <w:marBottom w:val="0"/>
      <w:divBdr>
        <w:top w:val="none" w:sz="0" w:space="0" w:color="auto"/>
        <w:left w:val="none" w:sz="0" w:space="0" w:color="auto"/>
        <w:bottom w:val="none" w:sz="0" w:space="0" w:color="auto"/>
        <w:right w:val="none" w:sz="0" w:space="0" w:color="auto"/>
      </w:divBdr>
    </w:div>
    <w:div w:id="704254619">
      <w:bodyDiv w:val="1"/>
      <w:marLeft w:val="0"/>
      <w:marRight w:val="0"/>
      <w:marTop w:val="0"/>
      <w:marBottom w:val="0"/>
      <w:divBdr>
        <w:top w:val="none" w:sz="0" w:space="0" w:color="auto"/>
        <w:left w:val="none" w:sz="0" w:space="0" w:color="auto"/>
        <w:bottom w:val="none" w:sz="0" w:space="0" w:color="auto"/>
        <w:right w:val="none" w:sz="0" w:space="0" w:color="auto"/>
      </w:divBdr>
    </w:div>
    <w:div w:id="704332832">
      <w:bodyDiv w:val="1"/>
      <w:marLeft w:val="0"/>
      <w:marRight w:val="0"/>
      <w:marTop w:val="0"/>
      <w:marBottom w:val="0"/>
      <w:divBdr>
        <w:top w:val="none" w:sz="0" w:space="0" w:color="auto"/>
        <w:left w:val="none" w:sz="0" w:space="0" w:color="auto"/>
        <w:bottom w:val="none" w:sz="0" w:space="0" w:color="auto"/>
        <w:right w:val="none" w:sz="0" w:space="0" w:color="auto"/>
      </w:divBdr>
    </w:div>
    <w:div w:id="704335645">
      <w:bodyDiv w:val="1"/>
      <w:marLeft w:val="0"/>
      <w:marRight w:val="0"/>
      <w:marTop w:val="0"/>
      <w:marBottom w:val="0"/>
      <w:divBdr>
        <w:top w:val="none" w:sz="0" w:space="0" w:color="auto"/>
        <w:left w:val="none" w:sz="0" w:space="0" w:color="auto"/>
        <w:bottom w:val="none" w:sz="0" w:space="0" w:color="auto"/>
        <w:right w:val="none" w:sz="0" w:space="0" w:color="auto"/>
      </w:divBdr>
    </w:div>
    <w:div w:id="704446944">
      <w:bodyDiv w:val="1"/>
      <w:marLeft w:val="0"/>
      <w:marRight w:val="0"/>
      <w:marTop w:val="0"/>
      <w:marBottom w:val="0"/>
      <w:divBdr>
        <w:top w:val="none" w:sz="0" w:space="0" w:color="auto"/>
        <w:left w:val="none" w:sz="0" w:space="0" w:color="auto"/>
        <w:bottom w:val="none" w:sz="0" w:space="0" w:color="auto"/>
        <w:right w:val="none" w:sz="0" w:space="0" w:color="auto"/>
      </w:divBdr>
    </w:div>
    <w:div w:id="704447605">
      <w:bodyDiv w:val="1"/>
      <w:marLeft w:val="0"/>
      <w:marRight w:val="0"/>
      <w:marTop w:val="0"/>
      <w:marBottom w:val="0"/>
      <w:divBdr>
        <w:top w:val="none" w:sz="0" w:space="0" w:color="auto"/>
        <w:left w:val="none" w:sz="0" w:space="0" w:color="auto"/>
        <w:bottom w:val="none" w:sz="0" w:space="0" w:color="auto"/>
        <w:right w:val="none" w:sz="0" w:space="0" w:color="auto"/>
      </w:divBdr>
    </w:div>
    <w:div w:id="704476876">
      <w:bodyDiv w:val="1"/>
      <w:marLeft w:val="0"/>
      <w:marRight w:val="0"/>
      <w:marTop w:val="0"/>
      <w:marBottom w:val="0"/>
      <w:divBdr>
        <w:top w:val="none" w:sz="0" w:space="0" w:color="auto"/>
        <w:left w:val="none" w:sz="0" w:space="0" w:color="auto"/>
        <w:bottom w:val="none" w:sz="0" w:space="0" w:color="auto"/>
        <w:right w:val="none" w:sz="0" w:space="0" w:color="auto"/>
      </w:divBdr>
    </w:div>
    <w:div w:id="704479220">
      <w:bodyDiv w:val="1"/>
      <w:marLeft w:val="0"/>
      <w:marRight w:val="0"/>
      <w:marTop w:val="0"/>
      <w:marBottom w:val="0"/>
      <w:divBdr>
        <w:top w:val="none" w:sz="0" w:space="0" w:color="auto"/>
        <w:left w:val="none" w:sz="0" w:space="0" w:color="auto"/>
        <w:bottom w:val="none" w:sz="0" w:space="0" w:color="auto"/>
        <w:right w:val="none" w:sz="0" w:space="0" w:color="auto"/>
      </w:divBdr>
    </w:div>
    <w:div w:id="704601386">
      <w:bodyDiv w:val="1"/>
      <w:marLeft w:val="0"/>
      <w:marRight w:val="0"/>
      <w:marTop w:val="0"/>
      <w:marBottom w:val="0"/>
      <w:divBdr>
        <w:top w:val="none" w:sz="0" w:space="0" w:color="auto"/>
        <w:left w:val="none" w:sz="0" w:space="0" w:color="auto"/>
        <w:bottom w:val="none" w:sz="0" w:space="0" w:color="auto"/>
        <w:right w:val="none" w:sz="0" w:space="0" w:color="auto"/>
      </w:divBdr>
    </w:div>
    <w:div w:id="704675537">
      <w:bodyDiv w:val="1"/>
      <w:marLeft w:val="0"/>
      <w:marRight w:val="0"/>
      <w:marTop w:val="0"/>
      <w:marBottom w:val="0"/>
      <w:divBdr>
        <w:top w:val="none" w:sz="0" w:space="0" w:color="auto"/>
        <w:left w:val="none" w:sz="0" w:space="0" w:color="auto"/>
        <w:bottom w:val="none" w:sz="0" w:space="0" w:color="auto"/>
        <w:right w:val="none" w:sz="0" w:space="0" w:color="auto"/>
      </w:divBdr>
    </w:div>
    <w:div w:id="704714964">
      <w:bodyDiv w:val="1"/>
      <w:marLeft w:val="0"/>
      <w:marRight w:val="0"/>
      <w:marTop w:val="0"/>
      <w:marBottom w:val="0"/>
      <w:divBdr>
        <w:top w:val="none" w:sz="0" w:space="0" w:color="auto"/>
        <w:left w:val="none" w:sz="0" w:space="0" w:color="auto"/>
        <w:bottom w:val="none" w:sz="0" w:space="0" w:color="auto"/>
        <w:right w:val="none" w:sz="0" w:space="0" w:color="auto"/>
      </w:divBdr>
    </w:div>
    <w:div w:id="704793338">
      <w:bodyDiv w:val="1"/>
      <w:marLeft w:val="0"/>
      <w:marRight w:val="0"/>
      <w:marTop w:val="0"/>
      <w:marBottom w:val="0"/>
      <w:divBdr>
        <w:top w:val="none" w:sz="0" w:space="0" w:color="auto"/>
        <w:left w:val="none" w:sz="0" w:space="0" w:color="auto"/>
        <w:bottom w:val="none" w:sz="0" w:space="0" w:color="auto"/>
        <w:right w:val="none" w:sz="0" w:space="0" w:color="auto"/>
      </w:divBdr>
    </w:div>
    <w:div w:id="704867956">
      <w:bodyDiv w:val="1"/>
      <w:marLeft w:val="0"/>
      <w:marRight w:val="0"/>
      <w:marTop w:val="0"/>
      <w:marBottom w:val="0"/>
      <w:divBdr>
        <w:top w:val="none" w:sz="0" w:space="0" w:color="auto"/>
        <w:left w:val="none" w:sz="0" w:space="0" w:color="auto"/>
        <w:bottom w:val="none" w:sz="0" w:space="0" w:color="auto"/>
        <w:right w:val="none" w:sz="0" w:space="0" w:color="auto"/>
      </w:divBdr>
    </w:div>
    <w:div w:id="704907467">
      <w:bodyDiv w:val="1"/>
      <w:marLeft w:val="0"/>
      <w:marRight w:val="0"/>
      <w:marTop w:val="0"/>
      <w:marBottom w:val="0"/>
      <w:divBdr>
        <w:top w:val="none" w:sz="0" w:space="0" w:color="auto"/>
        <w:left w:val="none" w:sz="0" w:space="0" w:color="auto"/>
        <w:bottom w:val="none" w:sz="0" w:space="0" w:color="auto"/>
        <w:right w:val="none" w:sz="0" w:space="0" w:color="auto"/>
      </w:divBdr>
    </w:div>
    <w:div w:id="704910558">
      <w:bodyDiv w:val="1"/>
      <w:marLeft w:val="0"/>
      <w:marRight w:val="0"/>
      <w:marTop w:val="0"/>
      <w:marBottom w:val="0"/>
      <w:divBdr>
        <w:top w:val="none" w:sz="0" w:space="0" w:color="auto"/>
        <w:left w:val="none" w:sz="0" w:space="0" w:color="auto"/>
        <w:bottom w:val="none" w:sz="0" w:space="0" w:color="auto"/>
        <w:right w:val="none" w:sz="0" w:space="0" w:color="auto"/>
      </w:divBdr>
    </w:div>
    <w:div w:id="705180212">
      <w:bodyDiv w:val="1"/>
      <w:marLeft w:val="0"/>
      <w:marRight w:val="0"/>
      <w:marTop w:val="0"/>
      <w:marBottom w:val="0"/>
      <w:divBdr>
        <w:top w:val="none" w:sz="0" w:space="0" w:color="auto"/>
        <w:left w:val="none" w:sz="0" w:space="0" w:color="auto"/>
        <w:bottom w:val="none" w:sz="0" w:space="0" w:color="auto"/>
        <w:right w:val="none" w:sz="0" w:space="0" w:color="auto"/>
      </w:divBdr>
    </w:div>
    <w:div w:id="705180777">
      <w:bodyDiv w:val="1"/>
      <w:marLeft w:val="0"/>
      <w:marRight w:val="0"/>
      <w:marTop w:val="0"/>
      <w:marBottom w:val="0"/>
      <w:divBdr>
        <w:top w:val="none" w:sz="0" w:space="0" w:color="auto"/>
        <w:left w:val="none" w:sz="0" w:space="0" w:color="auto"/>
        <w:bottom w:val="none" w:sz="0" w:space="0" w:color="auto"/>
        <w:right w:val="none" w:sz="0" w:space="0" w:color="auto"/>
      </w:divBdr>
    </w:div>
    <w:div w:id="705183373">
      <w:bodyDiv w:val="1"/>
      <w:marLeft w:val="0"/>
      <w:marRight w:val="0"/>
      <w:marTop w:val="0"/>
      <w:marBottom w:val="0"/>
      <w:divBdr>
        <w:top w:val="none" w:sz="0" w:space="0" w:color="auto"/>
        <w:left w:val="none" w:sz="0" w:space="0" w:color="auto"/>
        <w:bottom w:val="none" w:sz="0" w:space="0" w:color="auto"/>
        <w:right w:val="none" w:sz="0" w:space="0" w:color="auto"/>
      </w:divBdr>
    </w:div>
    <w:div w:id="705258666">
      <w:bodyDiv w:val="1"/>
      <w:marLeft w:val="0"/>
      <w:marRight w:val="0"/>
      <w:marTop w:val="0"/>
      <w:marBottom w:val="0"/>
      <w:divBdr>
        <w:top w:val="none" w:sz="0" w:space="0" w:color="auto"/>
        <w:left w:val="none" w:sz="0" w:space="0" w:color="auto"/>
        <w:bottom w:val="none" w:sz="0" w:space="0" w:color="auto"/>
        <w:right w:val="none" w:sz="0" w:space="0" w:color="auto"/>
      </w:divBdr>
    </w:div>
    <w:div w:id="705327447">
      <w:bodyDiv w:val="1"/>
      <w:marLeft w:val="0"/>
      <w:marRight w:val="0"/>
      <w:marTop w:val="0"/>
      <w:marBottom w:val="0"/>
      <w:divBdr>
        <w:top w:val="none" w:sz="0" w:space="0" w:color="auto"/>
        <w:left w:val="none" w:sz="0" w:space="0" w:color="auto"/>
        <w:bottom w:val="none" w:sz="0" w:space="0" w:color="auto"/>
        <w:right w:val="none" w:sz="0" w:space="0" w:color="auto"/>
      </w:divBdr>
    </w:div>
    <w:div w:id="705328759">
      <w:bodyDiv w:val="1"/>
      <w:marLeft w:val="0"/>
      <w:marRight w:val="0"/>
      <w:marTop w:val="0"/>
      <w:marBottom w:val="0"/>
      <w:divBdr>
        <w:top w:val="none" w:sz="0" w:space="0" w:color="auto"/>
        <w:left w:val="none" w:sz="0" w:space="0" w:color="auto"/>
        <w:bottom w:val="none" w:sz="0" w:space="0" w:color="auto"/>
        <w:right w:val="none" w:sz="0" w:space="0" w:color="auto"/>
      </w:divBdr>
    </w:div>
    <w:div w:id="705330776">
      <w:bodyDiv w:val="1"/>
      <w:marLeft w:val="0"/>
      <w:marRight w:val="0"/>
      <w:marTop w:val="0"/>
      <w:marBottom w:val="0"/>
      <w:divBdr>
        <w:top w:val="none" w:sz="0" w:space="0" w:color="auto"/>
        <w:left w:val="none" w:sz="0" w:space="0" w:color="auto"/>
        <w:bottom w:val="none" w:sz="0" w:space="0" w:color="auto"/>
        <w:right w:val="none" w:sz="0" w:space="0" w:color="auto"/>
      </w:divBdr>
    </w:div>
    <w:div w:id="705368231">
      <w:bodyDiv w:val="1"/>
      <w:marLeft w:val="0"/>
      <w:marRight w:val="0"/>
      <w:marTop w:val="0"/>
      <w:marBottom w:val="0"/>
      <w:divBdr>
        <w:top w:val="none" w:sz="0" w:space="0" w:color="auto"/>
        <w:left w:val="none" w:sz="0" w:space="0" w:color="auto"/>
        <w:bottom w:val="none" w:sz="0" w:space="0" w:color="auto"/>
        <w:right w:val="none" w:sz="0" w:space="0" w:color="auto"/>
      </w:divBdr>
    </w:div>
    <w:div w:id="705374607">
      <w:bodyDiv w:val="1"/>
      <w:marLeft w:val="0"/>
      <w:marRight w:val="0"/>
      <w:marTop w:val="0"/>
      <w:marBottom w:val="0"/>
      <w:divBdr>
        <w:top w:val="none" w:sz="0" w:space="0" w:color="auto"/>
        <w:left w:val="none" w:sz="0" w:space="0" w:color="auto"/>
        <w:bottom w:val="none" w:sz="0" w:space="0" w:color="auto"/>
        <w:right w:val="none" w:sz="0" w:space="0" w:color="auto"/>
      </w:divBdr>
    </w:div>
    <w:div w:id="705565051">
      <w:bodyDiv w:val="1"/>
      <w:marLeft w:val="0"/>
      <w:marRight w:val="0"/>
      <w:marTop w:val="0"/>
      <w:marBottom w:val="0"/>
      <w:divBdr>
        <w:top w:val="none" w:sz="0" w:space="0" w:color="auto"/>
        <w:left w:val="none" w:sz="0" w:space="0" w:color="auto"/>
        <w:bottom w:val="none" w:sz="0" w:space="0" w:color="auto"/>
        <w:right w:val="none" w:sz="0" w:space="0" w:color="auto"/>
      </w:divBdr>
    </w:div>
    <w:div w:id="705641293">
      <w:bodyDiv w:val="1"/>
      <w:marLeft w:val="0"/>
      <w:marRight w:val="0"/>
      <w:marTop w:val="0"/>
      <w:marBottom w:val="0"/>
      <w:divBdr>
        <w:top w:val="none" w:sz="0" w:space="0" w:color="auto"/>
        <w:left w:val="none" w:sz="0" w:space="0" w:color="auto"/>
        <w:bottom w:val="none" w:sz="0" w:space="0" w:color="auto"/>
        <w:right w:val="none" w:sz="0" w:space="0" w:color="auto"/>
      </w:divBdr>
    </w:div>
    <w:div w:id="705717487">
      <w:bodyDiv w:val="1"/>
      <w:marLeft w:val="0"/>
      <w:marRight w:val="0"/>
      <w:marTop w:val="0"/>
      <w:marBottom w:val="0"/>
      <w:divBdr>
        <w:top w:val="none" w:sz="0" w:space="0" w:color="auto"/>
        <w:left w:val="none" w:sz="0" w:space="0" w:color="auto"/>
        <w:bottom w:val="none" w:sz="0" w:space="0" w:color="auto"/>
        <w:right w:val="none" w:sz="0" w:space="0" w:color="auto"/>
      </w:divBdr>
    </w:div>
    <w:div w:id="705762180">
      <w:bodyDiv w:val="1"/>
      <w:marLeft w:val="0"/>
      <w:marRight w:val="0"/>
      <w:marTop w:val="0"/>
      <w:marBottom w:val="0"/>
      <w:divBdr>
        <w:top w:val="none" w:sz="0" w:space="0" w:color="auto"/>
        <w:left w:val="none" w:sz="0" w:space="0" w:color="auto"/>
        <w:bottom w:val="none" w:sz="0" w:space="0" w:color="auto"/>
        <w:right w:val="none" w:sz="0" w:space="0" w:color="auto"/>
      </w:divBdr>
    </w:div>
    <w:div w:id="705787406">
      <w:bodyDiv w:val="1"/>
      <w:marLeft w:val="0"/>
      <w:marRight w:val="0"/>
      <w:marTop w:val="0"/>
      <w:marBottom w:val="0"/>
      <w:divBdr>
        <w:top w:val="none" w:sz="0" w:space="0" w:color="auto"/>
        <w:left w:val="none" w:sz="0" w:space="0" w:color="auto"/>
        <w:bottom w:val="none" w:sz="0" w:space="0" w:color="auto"/>
        <w:right w:val="none" w:sz="0" w:space="0" w:color="auto"/>
      </w:divBdr>
    </w:div>
    <w:div w:id="705787583">
      <w:bodyDiv w:val="1"/>
      <w:marLeft w:val="0"/>
      <w:marRight w:val="0"/>
      <w:marTop w:val="0"/>
      <w:marBottom w:val="0"/>
      <w:divBdr>
        <w:top w:val="none" w:sz="0" w:space="0" w:color="auto"/>
        <w:left w:val="none" w:sz="0" w:space="0" w:color="auto"/>
        <w:bottom w:val="none" w:sz="0" w:space="0" w:color="auto"/>
        <w:right w:val="none" w:sz="0" w:space="0" w:color="auto"/>
      </w:divBdr>
    </w:div>
    <w:div w:id="705985923">
      <w:bodyDiv w:val="1"/>
      <w:marLeft w:val="0"/>
      <w:marRight w:val="0"/>
      <w:marTop w:val="0"/>
      <w:marBottom w:val="0"/>
      <w:divBdr>
        <w:top w:val="none" w:sz="0" w:space="0" w:color="auto"/>
        <w:left w:val="none" w:sz="0" w:space="0" w:color="auto"/>
        <w:bottom w:val="none" w:sz="0" w:space="0" w:color="auto"/>
        <w:right w:val="none" w:sz="0" w:space="0" w:color="auto"/>
      </w:divBdr>
    </w:div>
    <w:div w:id="706023648">
      <w:bodyDiv w:val="1"/>
      <w:marLeft w:val="0"/>
      <w:marRight w:val="0"/>
      <w:marTop w:val="0"/>
      <w:marBottom w:val="0"/>
      <w:divBdr>
        <w:top w:val="none" w:sz="0" w:space="0" w:color="auto"/>
        <w:left w:val="none" w:sz="0" w:space="0" w:color="auto"/>
        <w:bottom w:val="none" w:sz="0" w:space="0" w:color="auto"/>
        <w:right w:val="none" w:sz="0" w:space="0" w:color="auto"/>
      </w:divBdr>
    </w:div>
    <w:div w:id="706025129">
      <w:bodyDiv w:val="1"/>
      <w:marLeft w:val="0"/>
      <w:marRight w:val="0"/>
      <w:marTop w:val="0"/>
      <w:marBottom w:val="0"/>
      <w:divBdr>
        <w:top w:val="none" w:sz="0" w:space="0" w:color="auto"/>
        <w:left w:val="none" w:sz="0" w:space="0" w:color="auto"/>
        <w:bottom w:val="none" w:sz="0" w:space="0" w:color="auto"/>
        <w:right w:val="none" w:sz="0" w:space="0" w:color="auto"/>
      </w:divBdr>
    </w:div>
    <w:div w:id="706029959">
      <w:bodyDiv w:val="1"/>
      <w:marLeft w:val="0"/>
      <w:marRight w:val="0"/>
      <w:marTop w:val="0"/>
      <w:marBottom w:val="0"/>
      <w:divBdr>
        <w:top w:val="none" w:sz="0" w:space="0" w:color="auto"/>
        <w:left w:val="none" w:sz="0" w:space="0" w:color="auto"/>
        <w:bottom w:val="none" w:sz="0" w:space="0" w:color="auto"/>
        <w:right w:val="none" w:sz="0" w:space="0" w:color="auto"/>
      </w:divBdr>
    </w:div>
    <w:div w:id="706104693">
      <w:bodyDiv w:val="1"/>
      <w:marLeft w:val="0"/>
      <w:marRight w:val="0"/>
      <w:marTop w:val="0"/>
      <w:marBottom w:val="0"/>
      <w:divBdr>
        <w:top w:val="none" w:sz="0" w:space="0" w:color="auto"/>
        <w:left w:val="none" w:sz="0" w:space="0" w:color="auto"/>
        <w:bottom w:val="none" w:sz="0" w:space="0" w:color="auto"/>
        <w:right w:val="none" w:sz="0" w:space="0" w:color="auto"/>
      </w:divBdr>
    </w:div>
    <w:div w:id="706106607">
      <w:bodyDiv w:val="1"/>
      <w:marLeft w:val="0"/>
      <w:marRight w:val="0"/>
      <w:marTop w:val="0"/>
      <w:marBottom w:val="0"/>
      <w:divBdr>
        <w:top w:val="none" w:sz="0" w:space="0" w:color="auto"/>
        <w:left w:val="none" w:sz="0" w:space="0" w:color="auto"/>
        <w:bottom w:val="none" w:sz="0" w:space="0" w:color="auto"/>
        <w:right w:val="none" w:sz="0" w:space="0" w:color="auto"/>
      </w:divBdr>
    </w:div>
    <w:div w:id="706174531">
      <w:bodyDiv w:val="1"/>
      <w:marLeft w:val="0"/>
      <w:marRight w:val="0"/>
      <w:marTop w:val="0"/>
      <w:marBottom w:val="0"/>
      <w:divBdr>
        <w:top w:val="none" w:sz="0" w:space="0" w:color="auto"/>
        <w:left w:val="none" w:sz="0" w:space="0" w:color="auto"/>
        <w:bottom w:val="none" w:sz="0" w:space="0" w:color="auto"/>
        <w:right w:val="none" w:sz="0" w:space="0" w:color="auto"/>
      </w:divBdr>
    </w:div>
    <w:div w:id="706175076">
      <w:bodyDiv w:val="1"/>
      <w:marLeft w:val="0"/>
      <w:marRight w:val="0"/>
      <w:marTop w:val="0"/>
      <w:marBottom w:val="0"/>
      <w:divBdr>
        <w:top w:val="none" w:sz="0" w:space="0" w:color="auto"/>
        <w:left w:val="none" w:sz="0" w:space="0" w:color="auto"/>
        <w:bottom w:val="none" w:sz="0" w:space="0" w:color="auto"/>
        <w:right w:val="none" w:sz="0" w:space="0" w:color="auto"/>
      </w:divBdr>
    </w:div>
    <w:div w:id="706225863">
      <w:bodyDiv w:val="1"/>
      <w:marLeft w:val="0"/>
      <w:marRight w:val="0"/>
      <w:marTop w:val="0"/>
      <w:marBottom w:val="0"/>
      <w:divBdr>
        <w:top w:val="none" w:sz="0" w:space="0" w:color="auto"/>
        <w:left w:val="none" w:sz="0" w:space="0" w:color="auto"/>
        <w:bottom w:val="none" w:sz="0" w:space="0" w:color="auto"/>
        <w:right w:val="none" w:sz="0" w:space="0" w:color="auto"/>
      </w:divBdr>
    </w:div>
    <w:div w:id="706375354">
      <w:bodyDiv w:val="1"/>
      <w:marLeft w:val="0"/>
      <w:marRight w:val="0"/>
      <w:marTop w:val="0"/>
      <w:marBottom w:val="0"/>
      <w:divBdr>
        <w:top w:val="none" w:sz="0" w:space="0" w:color="auto"/>
        <w:left w:val="none" w:sz="0" w:space="0" w:color="auto"/>
        <w:bottom w:val="none" w:sz="0" w:space="0" w:color="auto"/>
        <w:right w:val="none" w:sz="0" w:space="0" w:color="auto"/>
      </w:divBdr>
    </w:div>
    <w:div w:id="706375630">
      <w:bodyDiv w:val="1"/>
      <w:marLeft w:val="0"/>
      <w:marRight w:val="0"/>
      <w:marTop w:val="0"/>
      <w:marBottom w:val="0"/>
      <w:divBdr>
        <w:top w:val="none" w:sz="0" w:space="0" w:color="auto"/>
        <w:left w:val="none" w:sz="0" w:space="0" w:color="auto"/>
        <w:bottom w:val="none" w:sz="0" w:space="0" w:color="auto"/>
        <w:right w:val="none" w:sz="0" w:space="0" w:color="auto"/>
      </w:divBdr>
    </w:div>
    <w:div w:id="706493166">
      <w:bodyDiv w:val="1"/>
      <w:marLeft w:val="0"/>
      <w:marRight w:val="0"/>
      <w:marTop w:val="0"/>
      <w:marBottom w:val="0"/>
      <w:divBdr>
        <w:top w:val="none" w:sz="0" w:space="0" w:color="auto"/>
        <w:left w:val="none" w:sz="0" w:space="0" w:color="auto"/>
        <w:bottom w:val="none" w:sz="0" w:space="0" w:color="auto"/>
        <w:right w:val="none" w:sz="0" w:space="0" w:color="auto"/>
      </w:divBdr>
    </w:div>
    <w:div w:id="706637879">
      <w:bodyDiv w:val="1"/>
      <w:marLeft w:val="0"/>
      <w:marRight w:val="0"/>
      <w:marTop w:val="0"/>
      <w:marBottom w:val="0"/>
      <w:divBdr>
        <w:top w:val="none" w:sz="0" w:space="0" w:color="auto"/>
        <w:left w:val="none" w:sz="0" w:space="0" w:color="auto"/>
        <w:bottom w:val="none" w:sz="0" w:space="0" w:color="auto"/>
        <w:right w:val="none" w:sz="0" w:space="0" w:color="auto"/>
      </w:divBdr>
    </w:div>
    <w:div w:id="706637952">
      <w:bodyDiv w:val="1"/>
      <w:marLeft w:val="0"/>
      <w:marRight w:val="0"/>
      <w:marTop w:val="0"/>
      <w:marBottom w:val="0"/>
      <w:divBdr>
        <w:top w:val="none" w:sz="0" w:space="0" w:color="auto"/>
        <w:left w:val="none" w:sz="0" w:space="0" w:color="auto"/>
        <w:bottom w:val="none" w:sz="0" w:space="0" w:color="auto"/>
        <w:right w:val="none" w:sz="0" w:space="0" w:color="auto"/>
      </w:divBdr>
    </w:div>
    <w:div w:id="706687258">
      <w:bodyDiv w:val="1"/>
      <w:marLeft w:val="0"/>
      <w:marRight w:val="0"/>
      <w:marTop w:val="0"/>
      <w:marBottom w:val="0"/>
      <w:divBdr>
        <w:top w:val="none" w:sz="0" w:space="0" w:color="auto"/>
        <w:left w:val="none" w:sz="0" w:space="0" w:color="auto"/>
        <w:bottom w:val="none" w:sz="0" w:space="0" w:color="auto"/>
        <w:right w:val="none" w:sz="0" w:space="0" w:color="auto"/>
      </w:divBdr>
    </w:div>
    <w:div w:id="706875064">
      <w:bodyDiv w:val="1"/>
      <w:marLeft w:val="0"/>
      <w:marRight w:val="0"/>
      <w:marTop w:val="0"/>
      <w:marBottom w:val="0"/>
      <w:divBdr>
        <w:top w:val="none" w:sz="0" w:space="0" w:color="auto"/>
        <w:left w:val="none" w:sz="0" w:space="0" w:color="auto"/>
        <w:bottom w:val="none" w:sz="0" w:space="0" w:color="auto"/>
        <w:right w:val="none" w:sz="0" w:space="0" w:color="auto"/>
      </w:divBdr>
    </w:div>
    <w:div w:id="706947939">
      <w:bodyDiv w:val="1"/>
      <w:marLeft w:val="0"/>
      <w:marRight w:val="0"/>
      <w:marTop w:val="0"/>
      <w:marBottom w:val="0"/>
      <w:divBdr>
        <w:top w:val="none" w:sz="0" w:space="0" w:color="auto"/>
        <w:left w:val="none" w:sz="0" w:space="0" w:color="auto"/>
        <w:bottom w:val="none" w:sz="0" w:space="0" w:color="auto"/>
        <w:right w:val="none" w:sz="0" w:space="0" w:color="auto"/>
      </w:divBdr>
    </w:div>
    <w:div w:id="707074335">
      <w:bodyDiv w:val="1"/>
      <w:marLeft w:val="0"/>
      <w:marRight w:val="0"/>
      <w:marTop w:val="0"/>
      <w:marBottom w:val="0"/>
      <w:divBdr>
        <w:top w:val="none" w:sz="0" w:space="0" w:color="auto"/>
        <w:left w:val="none" w:sz="0" w:space="0" w:color="auto"/>
        <w:bottom w:val="none" w:sz="0" w:space="0" w:color="auto"/>
        <w:right w:val="none" w:sz="0" w:space="0" w:color="auto"/>
      </w:divBdr>
    </w:div>
    <w:div w:id="707149118">
      <w:bodyDiv w:val="1"/>
      <w:marLeft w:val="0"/>
      <w:marRight w:val="0"/>
      <w:marTop w:val="0"/>
      <w:marBottom w:val="0"/>
      <w:divBdr>
        <w:top w:val="none" w:sz="0" w:space="0" w:color="auto"/>
        <w:left w:val="none" w:sz="0" w:space="0" w:color="auto"/>
        <w:bottom w:val="none" w:sz="0" w:space="0" w:color="auto"/>
        <w:right w:val="none" w:sz="0" w:space="0" w:color="auto"/>
      </w:divBdr>
    </w:div>
    <w:div w:id="707219135">
      <w:bodyDiv w:val="1"/>
      <w:marLeft w:val="0"/>
      <w:marRight w:val="0"/>
      <w:marTop w:val="0"/>
      <w:marBottom w:val="0"/>
      <w:divBdr>
        <w:top w:val="none" w:sz="0" w:space="0" w:color="auto"/>
        <w:left w:val="none" w:sz="0" w:space="0" w:color="auto"/>
        <w:bottom w:val="none" w:sz="0" w:space="0" w:color="auto"/>
        <w:right w:val="none" w:sz="0" w:space="0" w:color="auto"/>
      </w:divBdr>
    </w:div>
    <w:div w:id="707220702">
      <w:bodyDiv w:val="1"/>
      <w:marLeft w:val="0"/>
      <w:marRight w:val="0"/>
      <w:marTop w:val="0"/>
      <w:marBottom w:val="0"/>
      <w:divBdr>
        <w:top w:val="none" w:sz="0" w:space="0" w:color="auto"/>
        <w:left w:val="none" w:sz="0" w:space="0" w:color="auto"/>
        <w:bottom w:val="none" w:sz="0" w:space="0" w:color="auto"/>
        <w:right w:val="none" w:sz="0" w:space="0" w:color="auto"/>
      </w:divBdr>
    </w:div>
    <w:div w:id="707294390">
      <w:bodyDiv w:val="1"/>
      <w:marLeft w:val="0"/>
      <w:marRight w:val="0"/>
      <w:marTop w:val="0"/>
      <w:marBottom w:val="0"/>
      <w:divBdr>
        <w:top w:val="none" w:sz="0" w:space="0" w:color="auto"/>
        <w:left w:val="none" w:sz="0" w:space="0" w:color="auto"/>
        <w:bottom w:val="none" w:sz="0" w:space="0" w:color="auto"/>
        <w:right w:val="none" w:sz="0" w:space="0" w:color="auto"/>
      </w:divBdr>
    </w:div>
    <w:div w:id="707334482">
      <w:bodyDiv w:val="1"/>
      <w:marLeft w:val="0"/>
      <w:marRight w:val="0"/>
      <w:marTop w:val="0"/>
      <w:marBottom w:val="0"/>
      <w:divBdr>
        <w:top w:val="none" w:sz="0" w:space="0" w:color="auto"/>
        <w:left w:val="none" w:sz="0" w:space="0" w:color="auto"/>
        <w:bottom w:val="none" w:sz="0" w:space="0" w:color="auto"/>
        <w:right w:val="none" w:sz="0" w:space="0" w:color="auto"/>
      </w:divBdr>
    </w:div>
    <w:div w:id="707338400">
      <w:bodyDiv w:val="1"/>
      <w:marLeft w:val="0"/>
      <w:marRight w:val="0"/>
      <w:marTop w:val="0"/>
      <w:marBottom w:val="0"/>
      <w:divBdr>
        <w:top w:val="none" w:sz="0" w:space="0" w:color="auto"/>
        <w:left w:val="none" w:sz="0" w:space="0" w:color="auto"/>
        <w:bottom w:val="none" w:sz="0" w:space="0" w:color="auto"/>
        <w:right w:val="none" w:sz="0" w:space="0" w:color="auto"/>
      </w:divBdr>
    </w:div>
    <w:div w:id="707338950">
      <w:bodyDiv w:val="1"/>
      <w:marLeft w:val="0"/>
      <w:marRight w:val="0"/>
      <w:marTop w:val="0"/>
      <w:marBottom w:val="0"/>
      <w:divBdr>
        <w:top w:val="none" w:sz="0" w:space="0" w:color="auto"/>
        <w:left w:val="none" w:sz="0" w:space="0" w:color="auto"/>
        <w:bottom w:val="none" w:sz="0" w:space="0" w:color="auto"/>
        <w:right w:val="none" w:sz="0" w:space="0" w:color="auto"/>
      </w:divBdr>
    </w:div>
    <w:div w:id="707409506">
      <w:bodyDiv w:val="1"/>
      <w:marLeft w:val="0"/>
      <w:marRight w:val="0"/>
      <w:marTop w:val="0"/>
      <w:marBottom w:val="0"/>
      <w:divBdr>
        <w:top w:val="none" w:sz="0" w:space="0" w:color="auto"/>
        <w:left w:val="none" w:sz="0" w:space="0" w:color="auto"/>
        <w:bottom w:val="none" w:sz="0" w:space="0" w:color="auto"/>
        <w:right w:val="none" w:sz="0" w:space="0" w:color="auto"/>
      </w:divBdr>
    </w:div>
    <w:div w:id="707418780">
      <w:bodyDiv w:val="1"/>
      <w:marLeft w:val="0"/>
      <w:marRight w:val="0"/>
      <w:marTop w:val="0"/>
      <w:marBottom w:val="0"/>
      <w:divBdr>
        <w:top w:val="none" w:sz="0" w:space="0" w:color="auto"/>
        <w:left w:val="none" w:sz="0" w:space="0" w:color="auto"/>
        <w:bottom w:val="none" w:sz="0" w:space="0" w:color="auto"/>
        <w:right w:val="none" w:sz="0" w:space="0" w:color="auto"/>
      </w:divBdr>
    </w:div>
    <w:div w:id="707487235">
      <w:bodyDiv w:val="1"/>
      <w:marLeft w:val="0"/>
      <w:marRight w:val="0"/>
      <w:marTop w:val="0"/>
      <w:marBottom w:val="0"/>
      <w:divBdr>
        <w:top w:val="none" w:sz="0" w:space="0" w:color="auto"/>
        <w:left w:val="none" w:sz="0" w:space="0" w:color="auto"/>
        <w:bottom w:val="none" w:sz="0" w:space="0" w:color="auto"/>
        <w:right w:val="none" w:sz="0" w:space="0" w:color="auto"/>
      </w:divBdr>
    </w:div>
    <w:div w:id="707683831">
      <w:bodyDiv w:val="1"/>
      <w:marLeft w:val="0"/>
      <w:marRight w:val="0"/>
      <w:marTop w:val="0"/>
      <w:marBottom w:val="0"/>
      <w:divBdr>
        <w:top w:val="none" w:sz="0" w:space="0" w:color="auto"/>
        <w:left w:val="none" w:sz="0" w:space="0" w:color="auto"/>
        <w:bottom w:val="none" w:sz="0" w:space="0" w:color="auto"/>
        <w:right w:val="none" w:sz="0" w:space="0" w:color="auto"/>
      </w:divBdr>
    </w:div>
    <w:div w:id="707796740">
      <w:bodyDiv w:val="1"/>
      <w:marLeft w:val="0"/>
      <w:marRight w:val="0"/>
      <w:marTop w:val="0"/>
      <w:marBottom w:val="0"/>
      <w:divBdr>
        <w:top w:val="none" w:sz="0" w:space="0" w:color="auto"/>
        <w:left w:val="none" w:sz="0" w:space="0" w:color="auto"/>
        <w:bottom w:val="none" w:sz="0" w:space="0" w:color="auto"/>
        <w:right w:val="none" w:sz="0" w:space="0" w:color="auto"/>
      </w:divBdr>
    </w:div>
    <w:div w:id="707872125">
      <w:bodyDiv w:val="1"/>
      <w:marLeft w:val="0"/>
      <w:marRight w:val="0"/>
      <w:marTop w:val="0"/>
      <w:marBottom w:val="0"/>
      <w:divBdr>
        <w:top w:val="none" w:sz="0" w:space="0" w:color="auto"/>
        <w:left w:val="none" w:sz="0" w:space="0" w:color="auto"/>
        <w:bottom w:val="none" w:sz="0" w:space="0" w:color="auto"/>
        <w:right w:val="none" w:sz="0" w:space="0" w:color="auto"/>
      </w:divBdr>
    </w:div>
    <w:div w:id="707872611">
      <w:bodyDiv w:val="1"/>
      <w:marLeft w:val="0"/>
      <w:marRight w:val="0"/>
      <w:marTop w:val="0"/>
      <w:marBottom w:val="0"/>
      <w:divBdr>
        <w:top w:val="none" w:sz="0" w:space="0" w:color="auto"/>
        <w:left w:val="none" w:sz="0" w:space="0" w:color="auto"/>
        <w:bottom w:val="none" w:sz="0" w:space="0" w:color="auto"/>
        <w:right w:val="none" w:sz="0" w:space="0" w:color="auto"/>
      </w:divBdr>
    </w:div>
    <w:div w:id="707947961">
      <w:bodyDiv w:val="1"/>
      <w:marLeft w:val="0"/>
      <w:marRight w:val="0"/>
      <w:marTop w:val="0"/>
      <w:marBottom w:val="0"/>
      <w:divBdr>
        <w:top w:val="none" w:sz="0" w:space="0" w:color="auto"/>
        <w:left w:val="none" w:sz="0" w:space="0" w:color="auto"/>
        <w:bottom w:val="none" w:sz="0" w:space="0" w:color="auto"/>
        <w:right w:val="none" w:sz="0" w:space="0" w:color="auto"/>
      </w:divBdr>
    </w:div>
    <w:div w:id="708072908">
      <w:bodyDiv w:val="1"/>
      <w:marLeft w:val="0"/>
      <w:marRight w:val="0"/>
      <w:marTop w:val="0"/>
      <w:marBottom w:val="0"/>
      <w:divBdr>
        <w:top w:val="none" w:sz="0" w:space="0" w:color="auto"/>
        <w:left w:val="none" w:sz="0" w:space="0" w:color="auto"/>
        <w:bottom w:val="none" w:sz="0" w:space="0" w:color="auto"/>
        <w:right w:val="none" w:sz="0" w:space="0" w:color="auto"/>
      </w:divBdr>
    </w:div>
    <w:div w:id="708140953">
      <w:bodyDiv w:val="1"/>
      <w:marLeft w:val="0"/>
      <w:marRight w:val="0"/>
      <w:marTop w:val="0"/>
      <w:marBottom w:val="0"/>
      <w:divBdr>
        <w:top w:val="none" w:sz="0" w:space="0" w:color="auto"/>
        <w:left w:val="none" w:sz="0" w:space="0" w:color="auto"/>
        <w:bottom w:val="none" w:sz="0" w:space="0" w:color="auto"/>
        <w:right w:val="none" w:sz="0" w:space="0" w:color="auto"/>
      </w:divBdr>
    </w:div>
    <w:div w:id="708144805">
      <w:bodyDiv w:val="1"/>
      <w:marLeft w:val="0"/>
      <w:marRight w:val="0"/>
      <w:marTop w:val="0"/>
      <w:marBottom w:val="0"/>
      <w:divBdr>
        <w:top w:val="none" w:sz="0" w:space="0" w:color="auto"/>
        <w:left w:val="none" w:sz="0" w:space="0" w:color="auto"/>
        <w:bottom w:val="none" w:sz="0" w:space="0" w:color="auto"/>
        <w:right w:val="none" w:sz="0" w:space="0" w:color="auto"/>
      </w:divBdr>
    </w:div>
    <w:div w:id="708191374">
      <w:bodyDiv w:val="1"/>
      <w:marLeft w:val="0"/>
      <w:marRight w:val="0"/>
      <w:marTop w:val="0"/>
      <w:marBottom w:val="0"/>
      <w:divBdr>
        <w:top w:val="none" w:sz="0" w:space="0" w:color="auto"/>
        <w:left w:val="none" w:sz="0" w:space="0" w:color="auto"/>
        <w:bottom w:val="none" w:sz="0" w:space="0" w:color="auto"/>
        <w:right w:val="none" w:sz="0" w:space="0" w:color="auto"/>
      </w:divBdr>
    </w:div>
    <w:div w:id="708380418">
      <w:bodyDiv w:val="1"/>
      <w:marLeft w:val="0"/>
      <w:marRight w:val="0"/>
      <w:marTop w:val="0"/>
      <w:marBottom w:val="0"/>
      <w:divBdr>
        <w:top w:val="none" w:sz="0" w:space="0" w:color="auto"/>
        <w:left w:val="none" w:sz="0" w:space="0" w:color="auto"/>
        <w:bottom w:val="none" w:sz="0" w:space="0" w:color="auto"/>
        <w:right w:val="none" w:sz="0" w:space="0" w:color="auto"/>
      </w:divBdr>
    </w:div>
    <w:div w:id="708409860">
      <w:bodyDiv w:val="1"/>
      <w:marLeft w:val="0"/>
      <w:marRight w:val="0"/>
      <w:marTop w:val="0"/>
      <w:marBottom w:val="0"/>
      <w:divBdr>
        <w:top w:val="none" w:sz="0" w:space="0" w:color="auto"/>
        <w:left w:val="none" w:sz="0" w:space="0" w:color="auto"/>
        <w:bottom w:val="none" w:sz="0" w:space="0" w:color="auto"/>
        <w:right w:val="none" w:sz="0" w:space="0" w:color="auto"/>
      </w:divBdr>
    </w:div>
    <w:div w:id="708453598">
      <w:bodyDiv w:val="1"/>
      <w:marLeft w:val="0"/>
      <w:marRight w:val="0"/>
      <w:marTop w:val="0"/>
      <w:marBottom w:val="0"/>
      <w:divBdr>
        <w:top w:val="none" w:sz="0" w:space="0" w:color="auto"/>
        <w:left w:val="none" w:sz="0" w:space="0" w:color="auto"/>
        <w:bottom w:val="none" w:sz="0" w:space="0" w:color="auto"/>
        <w:right w:val="none" w:sz="0" w:space="0" w:color="auto"/>
      </w:divBdr>
    </w:div>
    <w:div w:id="708531159">
      <w:bodyDiv w:val="1"/>
      <w:marLeft w:val="0"/>
      <w:marRight w:val="0"/>
      <w:marTop w:val="0"/>
      <w:marBottom w:val="0"/>
      <w:divBdr>
        <w:top w:val="none" w:sz="0" w:space="0" w:color="auto"/>
        <w:left w:val="none" w:sz="0" w:space="0" w:color="auto"/>
        <w:bottom w:val="none" w:sz="0" w:space="0" w:color="auto"/>
        <w:right w:val="none" w:sz="0" w:space="0" w:color="auto"/>
      </w:divBdr>
    </w:div>
    <w:div w:id="708575344">
      <w:bodyDiv w:val="1"/>
      <w:marLeft w:val="0"/>
      <w:marRight w:val="0"/>
      <w:marTop w:val="0"/>
      <w:marBottom w:val="0"/>
      <w:divBdr>
        <w:top w:val="none" w:sz="0" w:space="0" w:color="auto"/>
        <w:left w:val="none" w:sz="0" w:space="0" w:color="auto"/>
        <w:bottom w:val="none" w:sz="0" w:space="0" w:color="auto"/>
        <w:right w:val="none" w:sz="0" w:space="0" w:color="auto"/>
      </w:divBdr>
    </w:div>
    <w:div w:id="708576637">
      <w:bodyDiv w:val="1"/>
      <w:marLeft w:val="0"/>
      <w:marRight w:val="0"/>
      <w:marTop w:val="0"/>
      <w:marBottom w:val="0"/>
      <w:divBdr>
        <w:top w:val="none" w:sz="0" w:space="0" w:color="auto"/>
        <w:left w:val="none" w:sz="0" w:space="0" w:color="auto"/>
        <w:bottom w:val="none" w:sz="0" w:space="0" w:color="auto"/>
        <w:right w:val="none" w:sz="0" w:space="0" w:color="auto"/>
      </w:divBdr>
    </w:div>
    <w:div w:id="708577565">
      <w:bodyDiv w:val="1"/>
      <w:marLeft w:val="0"/>
      <w:marRight w:val="0"/>
      <w:marTop w:val="0"/>
      <w:marBottom w:val="0"/>
      <w:divBdr>
        <w:top w:val="none" w:sz="0" w:space="0" w:color="auto"/>
        <w:left w:val="none" w:sz="0" w:space="0" w:color="auto"/>
        <w:bottom w:val="none" w:sz="0" w:space="0" w:color="auto"/>
        <w:right w:val="none" w:sz="0" w:space="0" w:color="auto"/>
      </w:divBdr>
    </w:div>
    <w:div w:id="708606960">
      <w:bodyDiv w:val="1"/>
      <w:marLeft w:val="0"/>
      <w:marRight w:val="0"/>
      <w:marTop w:val="0"/>
      <w:marBottom w:val="0"/>
      <w:divBdr>
        <w:top w:val="none" w:sz="0" w:space="0" w:color="auto"/>
        <w:left w:val="none" w:sz="0" w:space="0" w:color="auto"/>
        <w:bottom w:val="none" w:sz="0" w:space="0" w:color="auto"/>
        <w:right w:val="none" w:sz="0" w:space="0" w:color="auto"/>
      </w:divBdr>
    </w:div>
    <w:div w:id="708607091">
      <w:bodyDiv w:val="1"/>
      <w:marLeft w:val="0"/>
      <w:marRight w:val="0"/>
      <w:marTop w:val="0"/>
      <w:marBottom w:val="0"/>
      <w:divBdr>
        <w:top w:val="none" w:sz="0" w:space="0" w:color="auto"/>
        <w:left w:val="none" w:sz="0" w:space="0" w:color="auto"/>
        <w:bottom w:val="none" w:sz="0" w:space="0" w:color="auto"/>
        <w:right w:val="none" w:sz="0" w:space="0" w:color="auto"/>
      </w:divBdr>
    </w:div>
    <w:div w:id="708650437">
      <w:bodyDiv w:val="1"/>
      <w:marLeft w:val="0"/>
      <w:marRight w:val="0"/>
      <w:marTop w:val="0"/>
      <w:marBottom w:val="0"/>
      <w:divBdr>
        <w:top w:val="none" w:sz="0" w:space="0" w:color="auto"/>
        <w:left w:val="none" w:sz="0" w:space="0" w:color="auto"/>
        <w:bottom w:val="none" w:sz="0" w:space="0" w:color="auto"/>
        <w:right w:val="none" w:sz="0" w:space="0" w:color="auto"/>
      </w:divBdr>
    </w:div>
    <w:div w:id="708653650">
      <w:bodyDiv w:val="1"/>
      <w:marLeft w:val="0"/>
      <w:marRight w:val="0"/>
      <w:marTop w:val="0"/>
      <w:marBottom w:val="0"/>
      <w:divBdr>
        <w:top w:val="none" w:sz="0" w:space="0" w:color="auto"/>
        <w:left w:val="none" w:sz="0" w:space="0" w:color="auto"/>
        <w:bottom w:val="none" w:sz="0" w:space="0" w:color="auto"/>
        <w:right w:val="none" w:sz="0" w:space="0" w:color="auto"/>
      </w:divBdr>
    </w:div>
    <w:div w:id="708799049">
      <w:bodyDiv w:val="1"/>
      <w:marLeft w:val="0"/>
      <w:marRight w:val="0"/>
      <w:marTop w:val="0"/>
      <w:marBottom w:val="0"/>
      <w:divBdr>
        <w:top w:val="none" w:sz="0" w:space="0" w:color="auto"/>
        <w:left w:val="none" w:sz="0" w:space="0" w:color="auto"/>
        <w:bottom w:val="none" w:sz="0" w:space="0" w:color="auto"/>
        <w:right w:val="none" w:sz="0" w:space="0" w:color="auto"/>
      </w:divBdr>
    </w:div>
    <w:div w:id="708917466">
      <w:bodyDiv w:val="1"/>
      <w:marLeft w:val="0"/>
      <w:marRight w:val="0"/>
      <w:marTop w:val="0"/>
      <w:marBottom w:val="0"/>
      <w:divBdr>
        <w:top w:val="none" w:sz="0" w:space="0" w:color="auto"/>
        <w:left w:val="none" w:sz="0" w:space="0" w:color="auto"/>
        <w:bottom w:val="none" w:sz="0" w:space="0" w:color="auto"/>
        <w:right w:val="none" w:sz="0" w:space="0" w:color="auto"/>
      </w:divBdr>
    </w:div>
    <w:div w:id="709065415">
      <w:bodyDiv w:val="1"/>
      <w:marLeft w:val="0"/>
      <w:marRight w:val="0"/>
      <w:marTop w:val="0"/>
      <w:marBottom w:val="0"/>
      <w:divBdr>
        <w:top w:val="none" w:sz="0" w:space="0" w:color="auto"/>
        <w:left w:val="none" w:sz="0" w:space="0" w:color="auto"/>
        <w:bottom w:val="none" w:sz="0" w:space="0" w:color="auto"/>
        <w:right w:val="none" w:sz="0" w:space="0" w:color="auto"/>
      </w:divBdr>
    </w:div>
    <w:div w:id="709231121">
      <w:bodyDiv w:val="1"/>
      <w:marLeft w:val="0"/>
      <w:marRight w:val="0"/>
      <w:marTop w:val="0"/>
      <w:marBottom w:val="0"/>
      <w:divBdr>
        <w:top w:val="none" w:sz="0" w:space="0" w:color="auto"/>
        <w:left w:val="none" w:sz="0" w:space="0" w:color="auto"/>
        <w:bottom w:val="none" w:sz="0" w:space="0" w:color="auto"/>
        <w:right w:val="none" w:sz="0" w:space="0" w:color="auto"/>
      </w:divBdr>
    </w:div>
    <w:div w:id="709258230">
      <w:bodyDiv w:val="1"/>
      <w:marLeft w:val="0"/>
      <w:marRight w:val="0"/>
      <w:marTop w:val="0"/>
      <w:marBottom w:val="0"/>
      <w:divBdr>
        <w:top w:val="none" w:sz="0" w:space="0" w:color="auto"/>
        <w:left w:val="none" w:sz="0" w:space="0" w:color="auto"/>
        <w:bottom w:val="none" w:sz="0" w:space="0" w:color="auto"/>
        <w:right w:val="none" w:sz="0" w:space="0" w:color="auto"/>
      </w:divBdr>
    </w:div>
    <w:div w:id="709262872">
      <w:bodyDiv w:val="1"/>
      <w:marLeft w:val="0"/>
      <w:marRight w:val="0"/>
      <w:marTop w:val="0"/>
      <w:marBottom w:val="0"/>
      <w:divBdr>
        <w:top w:val="none" w:sz="0" w:space="0" w:color="auto"/>
        <w:left w:val="none" w:sz="0" w:space="0" w:color="auto"/>
        <w:bottom w:val="none" w:sz="0" w:space="0" w:color="auto"/>
        <w:right w:val="none" w:sz="0" w:space="0" w:color="auto"/>
      </w:divBdr>
    </w:div>
    <w:div w:id="709457654">
      <w:bodyDiv w:val="1"/>
      <w:marLeft w:val="0"/>
      <w:marRight w:val="0"/>
      <w:marTop w:val="0"/>
      <w:marBottom w:val="0"/>
      <w:divBdr>
        <w:top w:val="none" w:sz="0" w:space="0" w:color="auto"/>
        <w:left w:val="none" w:sz="0" w:space="0" w:color="auto"/>
        <w:bottom w:val="none" w:sz="0" w:space="0" w:color="auto"/>
        <w:right w:val="none" w:sz="0" w:space="0" w:color="auto"/>
      </w:divBdr>
    </w:div>
    <w:div w:id="709494922">
      <w:bodyDiv w:val="1"/>
      <w:marLeft w:val="0"/>
      <w:marRight w:val="0"/>
      <w:marTop w:val="0"/>
      <w:marBottom w:val="0"/>
      <w:divBdr>
        <w:top w:val="none" w:sz="0" w:space="0" w:color="auto"/>
        <w:left w:val="none" w:sz="0" w:space="0" w:color="auto"/>
        <w:bottom w:val="none" w:sz="0" w:space="0" w:color="auto"/>
        <w:right w:val="none" w:sz="0" w:space="0" w:color="auto"/>
      </w:divBdr>
    </w:div>
    <w:div w:id="709651402">
      <w:bodyDiv w:val="1"/>
      <w:marLeft w:val="0"/>
      <w:marRight w:val="0"/>
      <w:marTop w:val="0"/>
      <w:marBottom w:val="0"/>
      <w:divBdr>
        <w:top w:val="none" w:sz="0" w:space="0" w:color="auto"/>
        <w:left w:val="none" w:sz="0" w:space="0" w:color="auto"/>
        <w:bottom w:val="none" w:sz="0" w:space="0" w:color="auto"/>
        <w:right w:val="none" w:sz="0" w:space="0" w:color="auto"/>
      </w:divBdr>
    </w:div>
    <w:div w:id="709762826">
      <w:bodyDiv w:val="1"/>
      <w:marLeft w:val="0"/>
      <w:marRight w:val="0"/>
      <w:marTop w:val="0"/>
      <w:marBottom w:val="0"/>
      <w:divBdr>
        <w:top w:val="none" w:sz="0" w:space="0" w:color="auto"/>
        <w:left w:val="none" w:sz="0" w:space="0" w:color="auto"/>
        <w:bottom w:val="none" w:sz="0" w:space="0" w:color="auto"/>
        <w:right w:val="none" w:sz="0" w:space="0" w:color="auto"/>
      </w:divBdr>
    </w:div>
    <w:div w:id="709768713">
      <w:bodyDiv w:val="1"/>
      <w:marLeft w:val="0"/>
      <w:marRight w:val="0"/>
      <w:marTop w:val="0"/>
      <w:marBottom w:val="0"/>
      <w:divBdr>
        <w:top w:val="none" w:sz="0" w:space="0" w:color="auto"/>
        <w:left w:val="none" w:sz="0" w:space="0" w:color="auto"/>
        <w:bottom w:val="none" w:sz="0" w:space="0" w:color="auto"/>
        <w:right w:val="none" w:sz="0" w:space="0" w:color="auto"/>
      </w:divBdr>
    </w:div>
    <w:div w:id="709839710">
      <w:bodyDiv w:val="1"/>
      <w:marLeft w:val="0"/>
      <w:marRight w:val="0"/>
      <w:marTop w:val="0"/>
      <w:marBottom w:val="0"/>
      <w:divBdr>
        <w:top w:val="none" w:sz="0" w:space="0" w:color="auto"/>
        <w:left w:val="none" w:sz="0" w:space="0" w:color="auto"/>
        <w:bottom w:val="none" w:sz="0" w:space="0" w:color="auto"/>
        <w:right w:val="none" w:sz="0" w:space="0" w:color="auto"/>
      </w:divBdr>
    </w:div>
    <w:div w:id="709841524">
      <w:bodyDiv w:val="1"/>
      <w:marLeft w:val="0"/>
      <w:marRight w:val="0"/>
      <w:marTop w:val="0"/>
      <w:marBottom w:val="0"/>
      <w:divBdr>
        <w:top w:val="none" w:sz="0" w:space="0" w:color="auto"/>
        <w:left w:val="none" w:sz="0" w:space="0" w:color="auto"/>
        <w:bottom w:val="none" w:sz="0" w:space="0" w:color="auto"/>
        <w:right w:val="none" w:sz="0" w:space="0" w:color="auto"/>
      </w:divBdr>
    </w:div>
    <w:div w:id="709842132">
      <w:bodyDiv w:val="1"/>
      <w:marLeft w:val="0"/>
      <w:marRight w:val="0"/>
      <w:marTop w:val="0"/>
      <w:marBottom w:val="0"/>
      <w:divBdr>
        <w:top w:val="none" w:sz="0" w:space="0" w:color="auto"/>
        <w:left w:val="none" w:sz="0" w:space="0" w:color="auto"/>
        <w:bottom w:val="none" w:sz="0" w:space="0" w:color="auto"/>
        <w:right w:val="none" w:sz="0" w:space="0" w:color="auto"/>
      </w:divBdr>
    </w:div>
    <w:div w:id="709886948">
      <w:bodyDiv w:val="1"/>
      <w:marLeft w:val="0"/>
      <w:marRight w:val="0"/>
      <w:marTop w:val="0"/>
      <w:marBottom w:val="0"/>
      <w:divBdr>
        <w:top w:val="none" w:sz="0" w:space="0" w:color="auto"/>
        <w:left w:val="none" w:sz="0" w:space="0" w:color="auto"/>
        <w:bottom w:val="none" w:sz="0" w:space="0" w:color="auto"/>
        <w:right w:val="none" w:sz="0" w:space="0" w:color="auto"/>
      </w:divBdr>
    </w:div>
    <w:div w:id="709888463">
      <w:bodyDiv w:val="1"/>
      <w:marLeft w:val="0"/>
      <w:marRight w:val="0"/>
      <w:marTop w:val="0"/>
      <w:marBottom w:val="0"/>
      <w:divBdr>
        <w:top w:val="none" w:sz="0" w:space="0" w:color="auto"/>
        <w:left w:val="none" w:sz="0" w:space="0" w:color="auto"/>
        <w:bottom w:val="none" w:sz="0" w:space="0" w:color="auto"/>
        <w:right w:val="none" w:sz="0" w:space="0" w:color="auto"/>
      </w:divBdr>
    </w:div>
    <w:div w:id="709960781">
      <w:bodyDiv w:val="1"/>
      <w:marLeft w:val="0"/>
      <w:marRight w:val="0"/>
      <w:marTop w:val="0"/>
      <w:marBottom w:val="0"/>
      <w:divBdr>
        <w:top w:val="none" w:sz="0" w:space="0" w:color="auto"/>
        <w:left w:val="none" w:sz="0" w:space="0" w:color="auto"/>
        <w:bottom w:val="none" w:sz="0" w:space="0" w:color="auto"/>
        <w:right w:val="none" w:sz="0" w:space="0" w:color="auto"/>
      </w:divBdr>
    </w:div>
    <w:div w:id="710038725">
      <w:bodyDiv w:val="1"/>
      <w:marLeft w:val="0"/>
      <w:marRight w:val="0"/>
      <w:marTop w:val="0"/>
      <w:marBottom w:val="0"/>
      <w:divBdr>
        <w:top w:val="none" w:sz="0" w:space="0" w:color="auto"/>
        <w:left w:val="none" w:sz="0" w:space="0" w:color="auto"/>
        <w:bottom w:val="none" w:sz="0" w:space="0" w:color="auto"/>
        <w:right w:val="none" w:sz="0" w:space="0" w:color="auto"/>
      </w:divBdr>
    </w:div>
    <w:div w:id="710299811">
      <w:bodyDiv w:val="1"/>
      <w:marLeft w:val="0"/>
      <w:marRight w:val="0"/>
      <w:marTop w:val="0"/>
      <w:marBottom w:val="0"/>
      <w:divBdr>
        <w:top w:val="none" w:sz="0" w:space="0" w:color="auto"/>
        <w:left w:val="none" w:sz="0" w:space="0" w:color="auto"/>
        <w:bottom w:val="none" w:sz="0" w:space="0" w:color="auto"/>
        <w:right w:val="none" w:sz="0" w:space="0" w:color="auto"/>
      </w:divBdr>
    </w:div>
    <w:div w:id="710350039">
      <w:bodyDiv w:val="1"/>
      <w:marLeft w:val="0"/>
      <w:marRight w:val="0"/>
      <w:marTop w:val="0"/>
      <w:marBottom w:val="0"/>
      <w:divBdr>
        <w:top w:val="none" w:sz="0" w:space="0" w:color="auto"/>
        <w:left w:val="none" w:sz="0" w:space="0" w:color="auto"/>
        <w:bottom w:val="none" w:sz="0" w:space="0" w:color="auto"/>
        <w:right w:val="none" w:sz="0" w:space="0" w:color="auto"/>
      </w:divBdr>
    </w:div>
    <w:div w:id="710418574">
      <w:bodyDiv w:val="1"/>
      <w:marLeft w:val="0"/>
      <w:marRight w:val="0"/>
      <w:marTop w:val="0"/>
      <w:marBottom w:val="0"/>
      <w:divBdr>
        <w:top w:val="none" w:sz="0" w:space="0" w:color="auto"/>
        <w:left w:val="none" w:sz="0" w:space="0" w:color="auto"/>
        <w:bottom w:val="none" w:sz="0" w:space="0" w:color="auto"/>
        <w:right w:val="none" w:sz="0" w:space="0" w:color="auto"/>
      </w:divBdr>
    </w:div>
    <w:div w:id="710494724">
      <w:bodyDiv w:val="1"/>
      <w:marLeft w:val="0"/>
      <w:marRight w:val="0"/>
      <w:marTop w:val="0"/>
      <w:marBottom w:val="0"/>
      <w:divBdr>
        <w:top w:val="none" w:sz="0" w:space="0" w:color="auto"/>
        <w:left w:val="none" w:sz="0" w:space="0" w:color="auto"/>
        <w:bottom w:val="none" w:sz="0" w:space="0" w:color="auto"/>
        <w:right w:val="none" w:sz="0" w:space="0" w:color="auto"/>
      </w:divBdr>
    </w:div>
    <w:div w:id="710500662">
      <w:bodyDiv w:val="1"/>
      <w:marLeft w:val="0"/>
      <w:marRight w:val="0"/>
      <w:marTop w:val="0"/>
      <w:marBottom w:val="0"/>
      <w:divBdr>
        <w:top w:val="none" w:sz="0" w:space="0" w:color="auto"/>
        <w:left w:val="none" w:sz="0" w:space="0" w:color="auto"/>
        <w:bottom w:val="none" w:sz="0" w:space="0" w:color="auto"/>
        <w:right w:val="none" w:sz="0" w:space="0" w:color="auto"/>
      </w:divBdr>
    </w:div>
    <w:div w:id="710500981">
      <w:bodyDiv w:val="1"/>
      <w:marLeft w:val="0"/>
      <w:marRight w:val="0"/>
      <w:marTop w:val="0"/>
      <w:marBottom w:val="0"/>
      <w:divBdr>
        <w:top w:val="none" w:sz="0" w:space="0" w:color="auto"/>
        <w:left w:val="none" w:sz="0" w:space="0" w:color="auto"/>
        <w:bottom w:val="none" w:sz="0" w:space="0" w:color="auto"/>
        <w:right w:val="none" w:sz="0" w:space="0" w:color="auto"/>
      </w:divBdr>
    </w:div>
    <w:div w:id="710761749">
      <w:bodyDiv w:val="1"/>
      <w:marLeft w:val="0"/>
      <w:marRight w:val="0"/>
      <w:marTop w:val="0"/>
      <w:marBottom w:val="0"/>
      <w:divBdr>
        <w:top w:val="none" w:sz="0" w:space="0" w:color="auto"/>
        <w:left w:val="none" w:sz="0" w:space="0" w:color="auto"/>
        <w:bottom w:val="none" w:sz="0" w:space="0" w:color="auto"/>
        <w:right w:val="none" w:sz="0" w:space="0" w:color="auto"/>
      </w:divBdr>
    </w:div>
    <w:div w:id="710764172">
      <w:bodyDiv w:val="1"/>
      <w:marLeft w:val="0"/>
      <w:marRight w:val="0"/>
      <w:marTop w:val="0"/>
      <w:marBottom w:val="0"/>
      <w:divBdr>
        <w:top w:val="none" w:sz="0" w:space="0" w:color="auto"/>
        <w:left w:val="none" w:sz="0" w:space="0" w:color="auto"/>
        <w:bottom w:val="none" w:sz="0" w:space="0" w:color="auto"/>
        <w:right w:val="none" w:sz="0" w:space="0" w:color="auto"/>
      </w:divBdr>
    </w:div>
    <w:div w:id="710764440">
      <w:bodyDiv w:val="1"/>
      <w:marLeft w:val="0"/>
      <w:marRight w:val="0"/>
      <w:marTop w:val="0"/>
      <w:marBottom w:val="0"/>
      <w:divBdr>
        <w:top w:val="none" w:sz="0" w:space="0" w:color="auto"/>
        <w:left w:val="none" w:sz="0" w:space="0" w:color="auto"/>
        <w:bottom w:val="none" w:sz="0" w:space="0" w:color="auto"/>
        <w:right w:val="none" w:sz="0" w:space="0" w:color="auto"/>
      </w:divBdr>
    </w:div>
    <w:div w:id="710808634">
      <w:bodyDiv w:val="1"/>
      <w:marLeft w:val="0"/>
      <w:marRight w:val="0"/>
      <w:marTop w:val="0"/>
      <w:marBottom w:val="0"/>
      <w:divBdr>
        <w:top w:val="none" w:sz="0" w:space="0" w:color="auto"/>
        <w:left w:val="none" w:sz="0" w:space="0" w:color="auto"/>
        <w:bottom w:val="none" w:sz="0" w:space="0" w:color="auto"/>
        <w:right w:val="none" w:sz="0" w:space="0" w:color="auto"/>
      </w:divBdr>
    </w:div>
    <w:div w:id="710884287">
      <w:bodyDiv w:val="1"/>
      <w:marLeft w:val="0"/>
      <w:marRight w:val="0"/>
      <w:marTop w:val="0"/>
      <w:marBottom w:val="0"/>
      <w:divBdr>
        <w:top w:val="none" w:sz="0" w:space="0" w:color="auto"/>
        <w:left w:val="none" w:sz="0" w:space="0" w:color="auto"/>
        <w:bottom w:val="none" w:sz="0" w:space="0" w:color="auto"/>
        <w:right w:val="none" w:sz="0" w:space="0" w:color="auto"/>
      </w:divBdr>
    </w:div>
    <w:div w:id="710959436">
      <w:bodyDiv w:val="1"/>
      <w:marLeft w:val="0"/>
      <w:marRight w:val="0"/>
      <w:marTop w:val="0"/>
      <w:marBottom w:val="0"/>
      <w:divBdr>
        <w:top w:val="none" w:sz="0" w:space="0" w:color="auto"/>
        <w:left w:val="none" w:sz="0" w:space="0" w:color="auto"/>
        <w:bottom w:val="none" w:sz="0" w:space="0" w:color="auto"/>
        <w:right w:val="none" w:sz="0" w:space="0" w:color="auto"/>
      </w:divBdr>
    </w:div>
    <w:div w:id="711075360">
      <w:bodyDiv w:val="1"/>
      <w:marLeft w:val="0"/>
      <w:marRight w:val="0"/>
      <w:marTop w:val="0"/>
      <w:marBottom w:val="0"/>
      <w:divBdr>
        <w:top w:val="none" w:sz="0" w:space="0" w:color="auto"/>
        <w:left w:val="none" w:sz="0" w:space="0" w:color="auto"/>
        <w:bottom w:val="none" w:sz="0" w:space="0" w:color="auto"/>
        <w:right w:val="none" w:sz="0" w:space="0" w:color="auto"/>
      </w:divBdr>
    </w:div>
    <w:div w:id="711155200">
      <w:bodyDiv w:val="1"/>
      <w:marLeft w:val="0"/>
      <w:marRight w:val="0"/>
      <w:marTop w:val="0"/>
      <w:marBottom w:val="0"/>
      <w:divBdr>
        <w:top w:val="none" w:sz="0" w:space="0" w:color="auto"/>
        <w:left w:val="none" w:sz="0" w:space="0" w:color="auto"/>
        <w:bottom w:val="none" w:sz="0" w:space="0" w:color="auto"/>
        <w:right w:val="none" w:sz="0" w:space="0" w:color="auto"/>
      </w:divBdr>
    </w:div>
    <w:div w:id="711155623">
      <w:bodyDiv w:val="1"/>
      <w:marLeft w:val="0"/>
      <w:marRight w:val="0"/>
      <w:marTop w:val="0"/>
      <w:marBottom w:val="0"/>
      <w:divBdr>
        <w:top w:val="none" w:sz="0" w:space="0" w:color="auto"/>
        <w:left w:val="none" w:sz="0" w:space="0" w:color="auto"/>
        <w:bottom w:val="none" w:sz="0" w:space="0" w:color="auto"/>
        <w:right w:val="none" w:sz="0" w:space="0" w:color="auto"/>
      </w:divBdr>
    </w:div>
    <w:div w:id="711196680">
      <w:bodyDiv w:val="1"/>
      <w:marLeft w:val="0"/>
      <w:marRight w:val="0"/>
      <w:marTop w:val="0"/>
      <w:marBottom w:val="0"/>
      <w:divBdr>
        <w:top w:val="none" w:sz="0" w:space="0" w:color="auto"/>
        <w:left w:val="none" w:sz="0" w:space="0" w:color="auto"/>
        <w:bottom w:val="none" w:sz="0" w:space="0" w:color="auto"/>
        <w:right w:val="none" w:sz="0" w:space="0" w:color="auto"/>
      </w:divBdr>
    </w:div>
    <w:div w:id="711226283">
      <w:bodyDiv w:val="1"/>
      <w:marLeft w:val="0"/>
      <w:marRight w:val="0"/>
      <w:marTop w:val="0"/>
      <w:marBottom w:val="0"/>
      <w:divBdr>
        <w:top w:val="none" w:sz="0" w:space="0" w:color="auto"/>
        <w:left w:val="none" w:sz="0" w:space="0" w:color="auto"/>
        <w:bottom w:val="none" w:sz="0" w:space="0" w:color="auto"/>
        <w:right w:val="none" w:sz="0" w:space="0" w:color="auto"/>
      </w:divBdr>
    </w:div>
    <w:div w:id="711347315">
      <w:bodyDiv w:val="1"/>
      <w:marLeft w:val="0"/>
      <w:marRight w:val="0"/>
      <w:marTop w:val="0"/>
      <w:marBottom w:val="0"/>
      <w:divBdr>
        <w:top w:val="none" w:sz="0" w:space="0" w:color="auto"/>
        <w:left w:val="none" w:sz="0" w:space="0" w:color="auto"/>
        <w:bottom w:val="none" w:sz="0" w:space="0" w:color="auto"/>
        <w:right w:val="none" w:sz="0" w:space="0" w:color="auto"/>
      </w:divBdr>
    </w:div>
    <w:div w:id="711460738">
      <w:bodyDiv w:val="1"/>
      <w:marLeft w:val="0"/>
      <w:marRight w:val="0"/>
      <w:marTop w:val="0"/>
      <w:marBottom w:val="0"/>
      <w:divBdr>
        <w:top w:val="none" w:sz="0" w:space="0" w:color="auto"/>
        <w:left w:val="none" w:sz="0" w:space="0" w:color="auto"/>
        <w:bottom w:val="none" w:sz="0" w:space="0" w:color="auto"/>
        <w:right w:val="none" w:sz="0" w:space="0" w:color="auto"/>
      </w:divBdr>
    </w:div>
    <w:div w:id="711614129">
      <w:bodyDiv w:val="1"/>
      <w:marLeft w:val="0"/>
      <w:marRight w:val="0"/>
      <w:marTop w:val="0"/>
      <w:marBottom w:val="0"/>
      <w:divBdr>
        <w:top w:val="none" w:sz="0" w:space="0" w:color="auto"/>
        <w:left w:val="none" w:sz="0" w:space="0" w:color="auto"/>
        <w:bottom w:val="none" w:sz="0" w:space="0" w:color="auto"/>
        <w:right w:val="none" w:sz="0" w:space="0" w:color="auto"/>
      </w:divBdr>
    </w:div>
    <w:div w:id="711615702">
      <w:bodyDiv w:val="1"/>
      <w:marLeft w:val="0"/>
      <w:marRight w:val="0"/>
      <w:marTop w:val="0"/>
      <w:marBottom w:val="0"/>
      <w:divBdr>
        <w:top w:val="none" w:sz="0" w:space="0" w:color="auto"/>
        <w:left w:val="none" w:sz="0" w:space="0" w:color="auto"/>
        <w:bottom w:val="none" w:sz="0" w:space="0" w:color="auto"/>
        <w:right w:val="none" w:sz="0" w:space="0" w:color="auto"/>
      </w:divBdr>
    </w:div>
    <w:div w:id="711661473">
      <w:bodyDiv w:val="1"/>
      <w:marLeft w:val="0"/>
      <w:marRight w:val="0"/>
      <w:marTop w:val="0"/>
      <w:marBottom w:val="0"/>
      <w:divBdr>
        <w:top w:val="none" w:sz="0" w:space="0" w:color="auto"/>
        <w:left w:val="none" w:sz="0" w:space="0" w:color="auto"/>
        <w:bottom w:val="none" w:sz="0" w:space="0" w:color="auto"/>
        <w:right w:val="none" w:sz="0" w:space="0" w:color="auto"/>
      </w:divBdr>
    </w:div>
    <w:div w:id="711734158">
      <w:bodyDiv w:val="1"/>
      <w:marLeft w:val="0"/>
      <w:marRight w:val="0"/>
      <w:marTop w:val="0"/>
      <w:marBottom w:val="0"/>
      <w:divBdr>
        <w:top w:val="none" w:sz="0" w:space="0" w:color="auto"/>
        <w:left w:val="none" w:sz="0" w:space="0" w:color="auto"/>
        <w:bottom w:val="none" w:sz="0" w:space="0" w:color="auto"/>
        <w:right w:val="none" w:sz="0" w:space="0" w:color="auto"/>
      </w:divBdr>
    </w:div>
    <w:div w:id="711811322">
      <w:bodyDiv w:val="1"/>
      <w:marLeft w:val="0"/>
      <w:marRight w:val="0"/>
      <w:marTop w:val="0"/>
      <w:marBottom w:val="0"/>
      <w:divBdr>
        <w:top w:val="none" w:sz="0" w:space="0" w:color="auto"/>
        <w:left w:val="none" w:sz="0" w:space="0" w:color="auto"/>
        <w:bottom w:val="none" w:sz="0" w:space="0" w:color="auto"/>
        <w:right w:val="none" w:sz="0" w:space="0" w:color="auto"/>
      </w:divBdr>
    </w:div>
    <w:div w:id="711884320">
      <w:bodyDiv w:val="1"/>
      <w:marLeft w:val="0"/>
      <w:marRight w:val="0"/>
      <w:marTop w:val="0"/>
      <w:marBottom w:val="0"/>
      <w:divBdr>
        <w:top w:val="none" w:sz="0" w:space="0" w:color="auto"/>
        <w:left w:val="none" w:sz="0" w:space="0" w:color="auto"/>
        <w:bottom w:val="none" w:sz="0" w:space="0" w:color="auto"/>
        <w:right w:val="none" w:sz="0" w:space="0" w:color="auto"/>
      </w:divBdr>
    </w:div>
    <w:div w:id="711928463">
      <w:bodyDiv w:val="1"/>
      <w:marLeft w:val="0"/>
      <w:marRight w:val="0"/>
      <w:marTop w:val="0"/>
      <w:marBottom w:val="0"/>
      <w:divBdr>
        <w:top w:val="none" w:sz="0" w:space="0" w:color="auto"/>
        <w:left w:val="none" w:sz="0" w:space="0" w:color="auto"/>
        <w:bottom w:val="none" w:sz="0" w:space="0" w:color="auto"/>
        <w:right w:val="none" w:sz="0" w:space="0" w:color="auto"/>
      </w:divBdr>
    </w:div>
    <w:div w:id="712003579">
      <w:bodyDiv w:val="1"/>
      <w:marLeft w:val="0"/>
      <w:marRight w:val="0"/>
      <w:marTop w:val="0"/>
      <w:marBottom w:val="0"/>
      <w:divBdr>
        <w:top w:val="none" w:sz="0" w:space="0" w:color="auto"/>
        <w:left w:val="none" w:sz="0" w:space="0" w:color="auto"/>
        <w:bottom w:val="none" w:sz="0" w:space="0" w:color="auto"/>
        <w:right w:val="none" w:sz="0" w:space="0" w:color="auto"/>
      </w:divBdr>
    </w:div>
    <w:div w:id="712072244">
      <w:bodyDiv w:val="1"/>
      <w:marLeft w:val="0"/>
      <w:marRight w:val="0"/>
      <w:marTop w:val="0"/>
      <w:marBottom w:val="0"/>
      <w:divBdr>
        <w:top w:val="none" w:sz="0" w:space="0" w:color="auto"/>
        <w:left w:val="none" w:sz="0" w:space="0" w:color="auto"/>
        <w:bottom w:val="none" w:sz="0" w:space="0" w:color="auto"/>
        <w:right w:val="none" w:sz="0" w:space="0" w:color="auto"/>
      </w:divBdr>
    </w:div>
    <w:div w:id="712072587">
      <w:bodyDiv w:val="1"/>
      <w:marLeft w:val="0"/>
      <w:marRight w:val="0"/>
      <w:marTop w:val="0"/>
      <w:marBottom w:val="0"/>
      <w:divBdr>
        <w:top w:val="none" w:sz="0" w:space="0" w:color="auto"/>
        <w:left w:val="none" w:sz="0" w:space="0" w:color="auto"/>
        <w:bottom w:val="none" w:sz="0" w:space="0" w:color="auto"/>
        <w:right w:val="none" w:sz="0" w:space="0" w:color="auto"/>
      </w:divBdr>
    </w:div>
    <w:div w:id="712121913">
      <w:bodyDiv w:val="1"/>
      <w:marLeft w:val="0"/>
      <w:marRight w:val="0"/>
      <w:marTop w:val="0"/>
      <w:marBottom w:val="0"/>
      <w:divBdr>
        <w:top w:val="none" w:sz="0" w:space="0" w:color="auto"/>
        <w:left w:val="none" w:sz="0" w:space="0" w:color="auto"/>
        <w:bottom w:val="none" w:sz="0" w:space="0" w:color="auto"/>
        <w:right w:val="none" w:sz="0" w:space="0" w:color="auto"/>
      </w:divBdr>
    </w:div>
    <w:div w:id="712123040">
      <w:bodyDiv w:val="1"/>
      <w:marLeft w:val="0"/>
      <w:marRight w:val="0"/>
      <w:marTop w:val="0"/>
      <w:marBottom w:val="0"/>
      <w:divBdr>
        <w:top w:val="none" w:sz="0" w:space="0" w:color="auto"/>
        <w:left w:val="none" w:sz="0" w:space="0" w:color="auto"/>
        <w:bottom w:val="none" w:sz="0" w:space="0" w:color="auto"/>
        <w:right w:val="none" w:sz="0" w:space="0" w:color="auto"/>
      </w:divBdr>
    </w:div>
    <w:div w:id="712123721">
      <w:bodyDiv w:val="1"/>
      <w:marLeft w:val="0"/>
      <w:marRight w:val="0"/>
      <w:marTop w:val="0"/>
      <w:marBottom w:val="0"/>
      <w:divBdr>
        <w:top w:val="none" w:sz="0" w:space="0" w:color="auto"/>
        <w:left w:val="none" w:sz="0" w:space="0" w:color="auto"/>
        <w:bottom w:val="none" w:sz="0" w:space="0" w:color="auto"/>
        <w:right w:val="none" w:sz="0" w:space="0" w:color="auto"/>
      </w:divBdr>
    </w:div>
    <w:div w:id="712191200">
      <w:bodyDiv w:val="1"/>
      <w:marLeft w:val="0"/>
      <w:marRight w:val="0"/>
      <w:marTop w:val="0"/>
      <w:marBottom w:val="0"/>
      <w:divBdr>
        <w:top w:val="none" w:sz="0" w:space="0" w:color="auto"/>
        <w:left w:val="none" w:sz="0" w:space="0" w:color="auto"/>
        <w:bottom w:val="none" w:sz="0" w:space="0" w:color="auto"/>
        <w:right w:val="none" w:sz="0" w:space="0" w:color="auto"/>
      </w:divBdr>
    </w:div>
    <w:div w:id="712196352">
      <w:bodyDiv w:val="1"/>
      <w:marLeft w:val="0"/>
      <w:marRight w:val="0"/>
      <w:marTop w:val="0"/>
      <w:marBottom w:val="0"/>
      <w:divBdr>
        <w:top w:val="none" w:sz="0" w:space="0" w:color="auto"/>
        <w:left w:val="none" w:sz="0" w:space="0" w:color="auto"/>
        <w:bottom w:val="none" w:sz="0" w:space="0" w:color="auto"/>
        <w:right w:val="none" w:sz="0" w:space="0" w:color="auto"/>
      </w:divBdr>
    </w:div>
    <w:div w:id="712387590">
      <w:bodyDiv w:val="1"/>
      <w:marLeft w:val="0"/>
      <w:marRight w:val="0"/>
      <w:marTop w:val="0"/>
      <w:marBottom w:val="0"/>
      <w:divBdr>
        <w:top w:val="none" w:sz="0" w:space="0" w:color="auto"/>
        <w:left w:val="none" w:sz="0" w:space="0" w:color="auto"/>
        <w:bottom w:val="none" w:sz="0" w:space="0" w:color="auto"/>
        <w:right w:val="none" w:sz="0" w:space="0" w:color="auto"/>
      </w:divBdr>
    </w:div>
    <w:div w:id="712508296">
      <w:bodyDiv w:val="1"/>
      <w:marLeft w:val="0"/>
      <w:marRight w:val="0"/>
      <w:marTop w:val="0"/>
      <w:marBottom w:val="0"/>
      <w:divBdr>
        <w:top w:val="none" w:sz="0" w:space="0" w:color="auto"/>
        <w:left w:val="none" w:sz="0" w:space="0" w:color="auto"/>
        <w:bottom w:val="none" w:sz="0" w:space="0" w:color="auto"/>
        <w:right w:val="none" w:sz="0" w:space="0" w:color="auto"/>
      </w:divBdr>
    </w:div>
    <w:div w:id="712657347">
      <w:bodyDiv w:val="1"/>
      <w:marLeft w:val="0"/>
      <w:marRight w:val="0"/>
      <w:marTop w:val="0"/>
      <w:marBottom w:val="0"/>
      <w:divBdr>
        <w:top w:val="none" w:sz="0" w:space="0" w:color="auto"/>
        <w:left w:val="none" w:sz="0" w:space="0" w:color="auto"/>
        <w:bottom w:val="none" w:sz="0" w:space="0" w:color="auto"/>
        <w:right w:val="none" w:sz="0" w:space="0" w:color="auto"/>
      </w:divBdr>
    </w:div>
    <w:div w:id="712729076">
      <w:bodyDiv w:val="1"/>
      <w:marLeft w:val="0"/>
      <w:marRight w:val="0"/>
      <w:marTop w:val="0"/>
      <w:marBottom w:val="0"/>
      <w:divBdr>
        <w:top w:val="none" w:sz="0" w:space="0" w:color="auto"/>
        <w:left w:val="none" w:sz="0" w:space="0" w:color="auto"/>
        <w:bottom w:val="none" w:sz="0" w:space="0" w:color="auto"/>
        <w:right w:val="none" w:sz="0" w:space="0" w:color="auto"/>
      </w:divBdr>
    </w:div>
    <w:div w:id="712731862">
      <w:bodyDiv w:val="1"/>
      <w:marLeft w:val="0"/>
      <w:marRight w:val="0"/>
      <w:marTop w:val="0"/>
      <w:marBottom w:val="0"/>
      <w:divBdr>
        <w:top w:val="none" w:sz="0" w:space="0" w:color="auto"/>
        <w:left w:val="none" w:sz="0" w:space="0" w:color="auto"/>
        <w:bottom w:val="none" w:sz="0" w:space="0" w:color="auto"/>
        <w:right w:val="none" w:sz="0" w:space="0" w:color="auto"/>
      </w:divBdr>
    </w:div>
    <w:div w:id="712735101">
      <w:bodyDiv w:val="1"/>
      <w:marLeft w:val="0"/>
      <w:marRight w:val="0"/>
      <w:marTop w:val="0"/>
      <w:marBottom w:val="0"/>
      <w:divBdr>
        <w:top w:val="none" w:sz="0" w:space="0" w:color="auto"/>
        <w:left w:val="none" w:sz="0" w:space="0" w:color="auto"/>
        <w:bottom w:val="none" w:sz="0" w:space="0" w:color="auto"/>
        <w:right w:val="none" w:sz="0" w:space="0" w:color="auto"/>
      </w:divBdr>
    </w:div>
    <w:div w:id="712845200">
      <w:bodyDiv w:val="1"/>
      <w:marLeft w:val="0"/>
      <w:marRight w:val="0"/>
      <w:marTop w:val="0"/>
      <w:marBottom w:val="0"/>
      <w:divBdr>
        <w:top w:val="none" w:sz="0" w:space="0" w:color="auto"/>
        <w:left w:val="none" w:sz="0" w:space="0" w:color="auto"/>
        <w:bottom w:val="none" w:sz="0" w:space="0" w:color="auto"/>
        <w:right w:val="none" w:sz="0" w:space="0" w:color="auto"/>
      </w:divBdr>
    </w:div>
    <w:div w:id="712846876">
      <w:bodyDiv w:val="1"/>
      <w:marLeft w:val="0"/>
      <w:marRight w:val="0"/>
      <w:marTop w:val="0"/>
      <w:marBottom w:val="0"/>
      <w:divBdr>
        <w:top w:val="none" w:sz="0" w:space="0" w:color="auto"/>
        <w:left w:val="none" w:sz="0" w:space="0" w:color="auto"/>
        <w:bottom w:val="none" w:sz="0" w:space="0" w:color="auto"/>
        <w:right w:val="none" w:sz="0" w:space="0" w:color="auto"/>
      </w:divBdr>
    </w:div>
    <w:div w:id="712925628">
      <w:bodyDiv w:val="1"/>
      <w:marLeft w:val="0"/>
      <w:marRight w:val="0"/>
      <w:marTop w:val="0"/>
      <w:marBottom w:val="0"/>
      <w:divBdr>
        <w:top w:val="none" w:sz="0" w:space="0" w:color="auto"/>
        <w:left w:val="none" w:sz="0" w:space="0" w:color="auto"/>
        <w:bottom w:val="none" w:sz="0" w:space="0" w:color="auto"/>
        <w:right w:val="none" w:sz="0" w:space="0" w:color="auto"/>
      </w:divBdr>
    </w:div>
    <w:div w:id="712926659">
      <w:bodyDiv w:val="1"/>
      <w:marLeft w:val="0"/>
      <w:marRight w:val="0"/>
      <w:marTop w:val="0"/>
      <w:marBottom w:val="0"/>
      <w:divBdr>
        <w:top w:val="none" w:sz="0" w:space="0" w:color="auto"/>
        <w:left w:val="none" w:sz="0" w:space="0" w:color="auto"/>
        <w:bottom w:val="none" w:sz="0" w:space="0" w:color="auto"/>
        <w:right w:val="none" w:sz="0" w:space="0" w:color="auto"/>
      </w:divBdr>
    </w:div>
    <w:div w:id="712927999">
      <w:bodyDiv w:val="1"/>
      <w:marLeft w:val="0"/>
      <w:marRight w:val="0"/>
      <w:marTop w:val="0"/>
      <w:marBottom w:val="0"/>
      <w:divBdr>
        <w:top w:val="none" w:sz="0" w:space="0" w:color="auto"/>
        <w:left w:val="none" w:sz="0" w:space="0" w:color="auto"/>
        <w:bottom w:val="none" w:sz="0" w:space="0" w:color="auto"/>
        <w:right w:val="none" w:sz="0" w:space="0" w:color="auto"/>
      </w:divBdr>
    </w:div>
    <w:div w:id="712971057">
      <w:bodyDiv w:val="1"/>
      <w:marLeft w:val="0"/>
      <w:marRight w:val="0"/>
      <w:marTop w:val="0"/>
      <w:marBottom w:val="0"/>
      <w:divBdr>
        <w:top w:val="none" w:sz="0" w:space="0" w:color="auto"/>
        <w:left w:val="none" w:sz="0" w:space="0" w:color="auto"/>
        <w:bottom w:val="none" w:sz="0" w:space="0" w:color="auto"/>
        <w:right w:val="none" w:sz="0" w:space="0" w:color="auto"/>
      </w:divBdr>
    </w:div>
    <w:div w:id="712996631">
      <w:bodyDiv w:val="1"/>
      <w:marLeft w:val="0"/>
      <w:marRight w:val="0"/>
      <w:marTop w:val="0"/>
      <w:marBottom w:val="0"/>
      <w:divBdr>
        <w:top w:val="none" w:sz="0" w:space="0" w:color="auto"/>
        <w:left w:val="none" w:sz="0" w:space="0" w:color="auto"/>
        <w:bottom w:val="none" w:sz="0" w:space="0" w:color="auto"/>
        <w:right w:val="none" w:sz="0" w:space="0" w:color="auto"/>
      </w:divBdr>
    </w:div>
    <w:div w:id="713043129">
      <w:bodyDiv w:val="1"/>
      <w:marLeft w:val="0"/>
      <w:marRight w:val="0"/>
      <w:marTop w:val="0"/>
      <w:marBottom w:val="0"/>
      <w:divBdr>
        <w:top w:val="none" w:sz="0" w:space="0" w:color="auto"/>
        <w:left w:val="none" w:sz="0" w:space="0" w:color="auto"/>
        <w:bottom w:val="none" w:sz="0" w:space="0" w:color="auto"/>
        <w:right w:val="none" w:sz="0" w:space="0" w:color="auto"/>
      </w:divBdr>
    </w:div>
    <w:div w:id="713240307">
      <w:bodyDiv w:val="1"/>
      <w:marLeft w:val="0"/>
      <w:marRight w:val="0"/>
      <w:marTop w:val="0"/>
      <w:marBottom w:val="0"/>
      <w:divBdr>
        <w:top w:val="none" w:sz="0" w:space="0" w:color="auto"/>
        <w:left w:val="none" w:sz="0" w:space="0" w:color="auto"/>
        <w:bottom w:val="none" w:sz="0" w:space="0" w:color="auto"/>
        <w:right w:val="none" w:sz="0" w:space="0" w:color="auto"/>
      </w:divBdr>
    </w:div>
    <w:div w:id="713387219">
      <w:bodyDiv w:val="1"/>
      <w:marLeft w:val="0"/>
      <w:marRight w:val="0"/>
      <w:marTop w:val="0"/>
      <w:marBottom w:val="0"/>
      <w:divBdr>
        <w:top w:val="none" w:sz="0" w:space="0" w:color="auto"/>
        <w:left w:val="none" w:sz="0" w:space="0" w:color="auto"/>
        <w:bottom w:val="none" w:sz="0" w:space="0" w:color="auto"/>
        <w:right w:val="none" w:sz="0" w:space="0" w:color="auto"/>
      </w:divBdr>
    </w:div>
    <w:div w:id="713425345">
      <w:bodyDiv w:val="1"/>
      <w:marLeft w:val="0"/>
      <w:marRight w:val="0"/>
      <w:marTop w:val="0"/>
      <w:marBottom w:val="0"/>
      <w:divBdr>
        <w:top w:val="none" w:sz="0" w:space="0" w:color="auto"/>
        <w:left w:val="none" w:sz="0" w:space="0" w:color="auto"/>
        <w:bottom w:val="none" w:sz="0" w:space="0" w:color="auto"/>
        <w:right w:val="none" w:sz="0" w:space="0" w:color="auto"/>
      </w:divBdr>
    </w:div>
    <w:div w:id="713429369">
      <w:bodyDiv w:val="1"/>
      <w:marLeft w:val="0"/>
      <w:marRight w:val="0"/>
      <w:marTop w:val="0"/>
      <w:marBottom w:val="0"/>
      <w:divBdr>
        <w:top w:val="none" w:sz="0" w:space="0" w:color="auto"/>
        <w:left w:val="none" w:sz="0" w:space="0" w:color="auto"/>
        <w:bottom w:val="none" w:sz="0" w:space="0" w:color="auto"/>
        <w:right w:val="none" w:sz="0" w:space="0" w:color="auto"/>
      </w:divBdr>
    </w:div>
    <w:div w:id="713508085">
      <w:bodyDiv w:val="1"/>
      <w:marLeft w:val="0"/>
      <w:marRight w:val="0"/>
      <w:marTop w:val="0"/>
      <w:marBottom w:val="0"/>
      <w:divBdr>
        <w:top w:val="none" w:sz="0" w:space="0" w:color="auto"/>
        <w:left w:val="none" w:sz="0" w:space="0" w:color="auto"/>
        <w:bottom w:val="none" w:sz="0" w:space="0" w:color="auto"/>
        <w:right w:val="none" w:sz="0" w:space="0" w:color="auto"/>
      </w:divBdr>
    </w:div>
    <w:div w:id="713579656">
      <w:bodyDiv w:val="1"/>
      <w:marLeft w:val="0"/>
      <w:marRight w:val="0"/>
      <w:marTop w:val="0"/>
      <w:marBottom w:val="0"/>
      <w:divBdr>
        <w:top w:val="none" w:sz="0" w:space="0" w:color="auto"/>
        <w:left w:val="none" w:sz="0" w:space="0" w:color="auto"/>
        <w:bottom w:val="none" w:sz="0" w:space="0" w:color="auto"/>
        <w:right w:val="none" w:sz="0" w:space="0" w:color="auto"/>
      </w:divBdr>
    </w:div>
    <w:div w:id="713820708">
      <w:bodyDiv w:val="1"/>
      <w:marLeft w:val="0"/>
      <w:marRight w:val="0"/>
      <w:marTop w:val="0"/>
      <w:marBottom w:val="0"/>
      <w:divBdr>
        <w:top w:val="none" w:sz="0" w:space="0" w:color="auto"/>
        <w:left w:val="none" w:sz="0" w:space="0" w:color="auto"/>
        <w:bottom w:val="none" w:sz="0" w:space="0" w:color="auto"/>
        <w:right w:val="none" w:sz="0" w:space="0" w:color="auto"/>
      </w:divBdr>
    </w:div>
    <w:div w:id="713847161">
      <w:bodyDiv w:val="1"/>
      <w:marLeft w:val="0"/>
      <w:marRight w:val="0"/>
      <w:marTop w:val="0"/>
      <w:marBottom w:val="0"/>
      <w:divBdr>
        <w:top w:val="none" w:sz="0" w:space="0" w:color="auto"/>
        <w:left w:val="none" w:sz="0" w:space="0" w:color="auto"/>
        <w:bottom w:val="none" w:sz="0" w:space="0" w:color="auto"/>
        <w:right w:val="none" w:sz="0" w:space="0" w:color="auto"/>
      </w:divBdr>
    </w:div>
    <w:div w:id="713849792">
      <w:bodyDiv w:val="1"/>
      <w:marLeft w:val="0"/>
      <w:marRight w:val="0"/>
      <w:marTop w:val="0"/>
      <w:marBottom w:val="0"/>
      <w:divBdr>
        <w:top w:val="none" w:sz="0" w:space="0" w:color="auto"/>
        <w:left w:val="none" w:sz="0" w:space="0" w:color="auto"/>
        <w:bottom w:val="none" w:sz="0" w:space="0" w:color="auto"/>
        <w:right w:val="none" w:sz="0" w:space="0" w:color="auto"/>
      </w:divBdr>
    </w:div>
    <w:div w:id="713892696">
      <w:bodyDiv w:val="1"/>
      <w:marLeft w:val="0"/>
      <w:marRight w:val="0"/>
      <w:marTop w:val="0"/>
      <w:marBottom w:val="0"/>
      <w:divBdr>
        <w:top w:val="none" w:sz="0" w:space="0" w:color="auto"/>
        <w:left w:val="none" w:sz="0" w:space="0" w:color="auto"/>
        <w:bottom w:val="none" w:sz="0" w:space="0" w:color="auto"/>
        <w:right w:val="none" w:sz="0" w:space="0" w:color="auto"/>
      </w:divBdr>
    </w:div>
    <w:div w:id="713963767">
      <w:bodyDiv w:val="1"/>
      <w:marLeft w:val="0"/>
      <w:marRight w:val="0"/>
      <w:marTop w:val="0"/>
      <w:marBottom w:val="0"/>
      <w:divBdr>
        <w:top w:val="none" w:sz="0" w:space="0" w:color="auto"/>
        <w:left w:val="none" w:sz="0" w:space="0" w:color="auto"/>
        <w:bottom w:val="none" w:sz="0" w:space="0" w:color="auto"/>
        <w:right w:val="none" w:sz="0" w:space="0" w:color="auto"/>
      </w:divBdr>
    </w:div>
    <w:div w:id="714085988">
      <w:bodyDiv w:val="1"/>
      <w:marLeft w:val="0"/>
      <w:marRight w:val="0"/>
      <w:marTop w:val="0"/>
      <w:marBottom w:val="0"/>
      <w:divBdr>
        <w:top w:val="none" w:sz="0" w:space="0" w:color="auto"/>
        <w:left w:val="none" w:sz="0" w:space="0" w:color="auto"/>
        <w:bottom w:val="none" w:sz="0" w:space="0" w:color="auto"/>
        <w:right w:val="none" w:sz="0" w:space="0" w:color="auto"/>
      </w:divBdr>
    </w:div>
    <w:div w:id="714235278">
      <w:bodyDiv w:val="1"/>
      <w:marLeft w:val="0"/>
      <w:marRight w:val="0"/>
      <w:marTop w:val="0"/>
      <w:marBottom w:val="0"/>
      <w:divBdr>
        <w:top w:val="none" w:sz="0" w:space="0" w:color="auto"/>
        <w:left w:val="none" w:sz="0" w:space="0" w:color="auto"/>
        <w:bottom w:val="none" w:sz="0" w:space="0" w:color="auto"/>
        <w:right w:val="none" w:sz="0" w:space="0" w:color="auto"/>
      </w:divBdr>
    </w:div>
    <w:div w:id="714236717">
      <w:bodyDiv w:val="1"/>
      <w:marLeft w:val="0"/>
      <w:marRight w:val="0"/>
      <w:marTop w:val="0"/>
      <w:marBottom w:val="0"/>
      <w:divBdr>
        <w:top w:val="none" w:sz="0" w:space="0" w:color="auto"/>
        <w:left w:val="none" w:sz="0" w:space="0" w:color="auto"/>
        <w:bottom w:val="none" w:sz="0" w:space="0" w:color="auto"/>
        <w:right w:val="none" w:sz="0" w:space="0" w:color="auto"/>
      </w:divBdr>
    </w:div>
    <w:div w:id="714499482">
      <w:bodyDiv w:val="1"/>
      <w:marLeft w:val="0"/>
      <w:marRight w:val="0"/>
      <w:marTop w:val="0"/>
      <w:marBottom w:val="0"/>
      <w:divBdr>
        <w:top w:val="none" w:sz="0" w:space="0" w:color="auto"/>
        <w:left w:val="none" w:sz="0" w:space="0" w:color="auto"/>
        <w:bottom w:val="none" w:sz="0" w:space="0" w:color="auto"/>
        <w:right w:val="none" w:sz="0" w:space="0" w:color="auto"/>
      </w:divBdr>
    </w:div>
    <w:div w:id="714500564">
      <w:bodyDiv w:val="1"/>
      <w:marLeft w:val="0"/>
      <w:marRight w:val="0"/>
      <w:marTop w:val="0"/>
      <w:marBottom w:val="0"/>
      <w:divBdr>
        <w:top w:val="none" w:sz="0" w:space="0" w:color="auto"/>
        <w:left w:val="none" w:sz="0" w:space="0" w:color="auto"/>
        <w:bottom w:val="none" w:sz="0" w:space="0" w:color="auto"/>
        <w:right w:val="none" w:sz="0" w:space="0" w:color="auto"/>
      </w:divBdr>
    </w:div>
    <w:div w:id="714504411">
      <w:bodyDiv w:val="1"/>
      <w:marLeft w:val="0"/>
      <w:marRight w:val="0"/>
      <w:marTop w:val="0"/>
      <w:marBottom w:val="0"/>
      <w:divBdr>
        <w:top w:val="none" w:sz="0" w:space="0" w:color="auto"/>
        <w:left w:val="none" w:sz="0" w:space="0" w:color="auto"/>
        <w:bottom w:val="none" w:sz="0" w:space="0" w:color="auto"/>
        <w:right w:val="none" w:sz="0" w:space="0" w:color="auto"/>
      </w:divBdr>
    </w:div>
    <w:div w:id="714548546">
      <w:bodyDiv w:val="1"/>
      <w:marLeft w:val="0"/>
      <w:marRight w:val="0"/>
      <w:marTop w:val="0"/>
      <w:marBottom w:val="0"/>
      <w:divBdr>
        <w:top w:val="none" w:sz="0" w:space="0" w:color="auto"/>
        <w:left w:val="none" w:sz="0" w:space="0" w:color="auto"/>
        <w:bottom w:val="none" w:sz="0" w:space="0" w:color="auto"/>
        <w:right w:val="none" w:sz="0" w:space="0" w:color="auto"/>
      </w:divBdr>
    </w:div>
    <w:div w:id="714819760">
      <w:bodyDiv w:val="1"/>
      <w:marLeft w:val="0"/>
      <w:marRight w:val="0"/>
      <w:marTop w:val="0"/>
      <w:marBottom w:val="0"/>
      <w:divBdr>
        <w:top w:val="none" w:sz="0" w:space="0" w:color="auto"/>
        <w:left w:val="none" w:sz="0" w:space="0" w:color="auto"/>
        <w:bottom w:val="none" w:sz="0" w:space="0" w:color="auto"/>
        <w:right w:val="none" w:sz="0" w:space="0" w:color="auto"/>
      </w:divBdr>
    </w:div>
    <w:div w:id="714890022">
      <w:bodyDiv w:val="1"/>
      <w:marLeft w:val="0"/>
      <w:marRight w:val="0"/>
      <w:marTop w:val="0"/>
      <w:marBottom w:val="0"/>
      <w:divBdr>
        <w:top w:val="none" w:sz="0" w:space="0" w:color="auto"/>
        <w:left w:val="none" w:sz="0" w:space="0" w:color="auto"/>
        <w:bottom w:val="none" w:sz="0" w:space="0" w:color="auto"/>
        <w:right w:val="none" w:sz="0" w:space="0" w:color="auto"/>
      </w:divBdr>
    </w:div>
    <w:div w:id="714937120">
      <w:bodyDiv w:val="1"/>
      <w:marLeft w:val="0"/>
      <w:marRight w:val="0"/>
      <w:marTop w:val="0"/>
      <w:marBottom w:val="0"/>
      <w:divBdr>
        <w:top w:val="none" w:sz="0" w:space="0" w:color="auto"/>
        <w:left w:val="none" w:sz="0" w:space="0" w:color="auto"/>
        <w:bottom w:val="none" w:sz="0" w:space="0" w:color="auto"/>
        <w:right w:val="none" w:sz="0" w:space="0" w:color="auto"/>
      </w:divBdr>
    </w:div>
    <w:div w:id="715010723">
      <w:bodyDiv w:val="1"/>
      <w:marLeft w:val="0"/>
      <w:marRight w:val="0"/>
      <w:marTop w:val="0"/>
      <w:marBottom w:val="0"/>
      <w:divBdr>
        <w:top w:val="none" w:sz="0" w:space="0" w:color="auto"/>
        <w:left w:val="none" w:sz="0" w:space="0" w:color="auto"/>
        <w:bottom w:val="none" w:sz="0" w:space="0" w:color="auto"/>
        <w:right w:val="none" w:sz="0" w:space="0" w:color="auto"/>
      </w:divBdr>
    </w:div>
    <w:div w:id="715157844">
      <w:bodyDiv w:val="1"/>
      <w:marLeft w:val="0"/>
      <w:marRight w:val="0"/>
      <w:marTop w:val="0"/>
      <w:marBottom w:val="0"/>
      <w:divBdr>
        <w:top w:val="none" w:sz="0" w:space="0" w:color="auto"/>
        <w:left w:val="none" w:sz="0" w:space="0" w:color="auto"/>
        <w:bottom w:val="none" w:sz="0" w:space="0" w:color="auto"/>
        <w:right w:val="none" w:sz="0" w:space="0" w:color="auto"/>
      </w:divBdr>
    </w:div>
    <w:div w:id="715277696">
      <w:bodyDiv w:val="1"/>
      <w:marLeft w:val="0"/>
      <w:marRight w:val="0"/>
      <w:marTop w:val="0"/>
      <w:marBottom w:val="0"/>
      <w:divBdr>
        <w:top w:val="none" w:sz="0" w:space="0" w:color="auto"/>
        <w:left w:val="none" w:sz="0" w:space="0" w:color="auto"/>
        <w:bottom w:val="none" w:sz="0" w:space="0" w:color="auto"/>
        <w:right w:val="none" w:sz="0" w:space="0" w:color="auto"/>
      </w:divBdr>
    </w:div>
    <w:div w:id="715278779">
      <w:bodyDiv w:val="1"/>
      <w:marLeft w:val="0"/>
      <w:marRight w:val="0"/>
      <w:marTop w:val="0"/>
      <w:marBottom w:val="0"/>
      <w:divBdr>
        <w:top w:val="none" w:sz="0" w:space="0" w:color="auto"/>
        <w:left w:val="none" w:sz="0" w:space="0" w:color="auto"/>
        <w:bottom w:val="none" w:sz="0" w:space="0" w:color="auto"/>
        <w:right w:val="none" w:sz="0" w:space="0" w:color="auto"/>
      </w:divBdr>
    </w:div>
    <w:div w:id="715280550">
      <w:bodyDiv w:val="1"/>
      <w:marLeft w:val="0"/>
      <w:marRight w:val="0"/>
      <w:marTop w:val="0"/>
      <w:marBottom w:val="0"/>
      <w:divBdr>
        <w:top w:val="none" w:sz="0" w:space="0" w:color="auto"/>
        <w:left w:val="none" w:sz="0" w:space="0" w:color="auto"/>
        <w:bottom w:val="none" w:sz="0" w:space="0" w:color="auto"/>
        <w:right w:val="none" w:sz="0" w:space="0" w:color="auto"/>
      </w:divBdr>
    </w:div>
    <w:div w:id="715280975">
      <w:bodyDiv w:val="1"/>
      <w:marLeft w:val="0"/>
      <w:marRight w:val="0"/>
      <w:marTop w:val="0"/>
      <w:marBottom w:val="0"/>
      <w:divBdr>
        <w:top w:val="none" w:sz="0" w:space="0" w:color="auto"/>
        <w:left w:val="none" w:sz="0" w:space="0" w:color="auto"/>
        <w:bottom w:val="none" w:sz="0" w:space="0" w:color="auto"/>
        <w:right w:val="none" w:sz="0" w:space="0" w:color="auto"/>
      </w:divBdr>
    </w:div>
    <w:div w:id="715354216">
      <w:bodyDiv w:val="1"/>
      <w:marLeft w:val="0"/>
      <w:marRight w:val="0"/>
      <w:marTop w:val="0"/>
      <w:marBottom w:val="0"/>
      <w:divBdr>
        <w:top w:val="none" w:sz="0" w:space="0" w:color="auto"/>
        <w:left w:val="none" w:sz="0" w:space="0" w:color="auto"/>
        <w:bottom w:val="none" w:sz="0" w:space="0" w:color="auto"/>
        <w:right w:val="none" w:sz="0" w:space="0" w:color="auto"/>
      </w:divBdr>
    </w:div>
    <w:div w:id="715355327">
      <w:bodyDiv w:val="1"/>
      <w:marLeft w:val="0"/>
      <w:marRight w:val="0"/>
      <w:marTop w:val="0"/>
      <w:marBottom w:val="0"/>
      <w:divBdr>
        <w:top w:val="none" w:sz="0" w:space="0" w:color="auto"/>
        <w:left w:val="none" w:sz="0" w:space="0" w:color="auto"/>
        <w:bottom w:val="none" w:sz="0" w:space="0" w:color="auto"/>
        <w:right w:val="none" w:sz="0" w:space="0" w:color="auto"/>
      </w:divBdr>
    </w:div>
    <w:div w:id="715473460">
      <w:bodyDiv w:val="1"/>
      <w:marLeft w:val="0"/>
      <w:marRight w:val="0"/>
      <w:marTop w:val="0"/>
      <w:marBottom w:val="0"/>
      <w:divBdr>
        <w:top w:val="none" w:sz="0" w:space="0" w:color="auto"/>
        <w:left w:val="none" w:sz="0" w:space="0" w:color="auto"/>
        <w:bottom w:val="none" w:sz="0" w:space="0" w:color="auto"/>
        <w:right w:val="none" w:sz="0" w:space="0" w:color="auto"/>
      </w:divBdr>
    </w:div>
    <w:div w:id="715546489">
      <w:bodyDiv w:val="1"/>
      <w:marLeft w:val="0"/>
      <w:marRight w:val="0"/>
      <w:marTop w:val="0"/>
      <w:marBottom w:val="0"/>
      <w:divBdr>
        <w:top w:val="none" w:sz="0" w:space="0" w:color="auto"/>
        <w:left w:val="none" w:sz="0" w:space="0" w:color="auto"/>
        <w:bottom w:val="none" w:sz="0" w:space="0" w:color="auto"/>
        <w:right w:val="none" w:sz="0" w:space="0" w:color="auto"/>
      </w:divBdr>
    </w:div>
    <w:div w:id="715662193">
      <w:bodyDiv w:val="1"/>
      <w:marLeft w:val="0"/>
      <w:marRight w:val="0"/>
      <w:marTop w:val="0"/>
      <w:marBottom w:val="0"/>
      <w:divBdr>
        <w:top w:val="none" w:sz="0" w:space="0" w:color="auto"/>
        <w:left w:val="none" w:sz="0" w:space="0" w:color="auto"/>
        <w:bottom w:val="none" w:sz="0" w:space="0" w:color="auto"/>
        <w:right w:val="none" w:sz="0" w:space="0" w:color="auto"/>
      </w:divBdr>
    </w:div>
    <w:div w:id="715734972">
      <w:bodyDiv w:val="1"/>
      <w:marLeft w:val="0"/>
      <w:marRight w:val="0"/>
      <w:marTop w:val="0"/>
      <w:marBottom w:val="0"/>
      <w:divBdr>
        <w:top w:val="none" w:sz="0" w:space="0" w:color="auto"/>
        <w:left w:val="none" w:sz="0" w:space="0" w:color="auto"/>
        <w:bottom w:val="none" w:sz="0" w:space="0" w:color="auto"/>
        <w:right w:val="none" w:sz="0" w:space="0" w:color="auto"/>
      </w:divBdr>
    </w:div>
    <w:div w:id="715854275">
      <w:bodyDiv w:val="1"/>
      <w:marLeft w:val="0"/>
      <w:marRight w:val="0"/>
      <w:marTop w:val="0"/>
      <w:marBottom w:val="0"/>
      <w:divBdr>
        <w:top w:val="none" w:sz="0" w:space="0" w:color="auto"/>
        <w:left w:val="none" w:sz="0" w:space="0" w:color="auto"/>
        <w:bottom w:val="none" w:sz="0" w:space="0" w:color="auto"/>
        <w:right w:val="none" w:sz="0" w:space="0" w:color="auto"/>
      </w:divBdr>
    </w:div>
    <w:div w:id="715854489">
      <w:bodyDiv w:val="1"/>
      <w:marLeft w:val="0"/>
      <w:marRight w:val="0"/>
      <w:marTop w:val="0"/>
      <w:marBottom w:val="0"/>
      <w:divBdr>
        <w:top w:val="none" w:sz="0" w:space="0" w:color="auto"/>
        <w:left w:val="none" w:sz="0" w:space="0" w:color="auto"/>
        <w:bottom w:val="none" w:sz="0" w:space="0" w:color="auto"/>
        <w:right w:val="none" w:sz="0" w:space="0" w:color="auto"/>
      </w:divBdr>
    </w:div>
    <w:div w:id="715860517">
      <w:bodyDiv w:val="1"/>
      <w:marLeft w:val="0"/>
      <w:marRight w:val="0"/>
      <w:marTop w:val="0"/>
      <w:marBottom w:val="0"/>
      <w:divBdr>
        <w:top w:val="none" w:sz="0" w:space="0" w:color="auto"/>
        <w:left w:val="none" w:sz="0" w:space="0" w:color="auto"/>
        <w:bottom w:val="none" w:sz="0" w:space="0" w:color="auto"/>
        <w:right w:val="none" w:sz="0" w:space="0" w:color="auto"/>
      </w:divBdr>
    </w:div>
    <w:div w:id="715933612">
      <w:bodyDiv w:val="1"/>
      <w:marLeft w:val="0"/>
      <w:marRight w:val="0"/>
      <w:marTop w:val="0"/>
      <w:marBottom w:val="0"/>
      <w:divBdr>
        <w:top w:val="none" w:sz="0" w:space="0" w:color="auto"/>
        <w:left w:val="none" w:sz="0" w:space="0" w:color="auto"/>
        <w:bottom w:val="none" w:sz="0" w:space="0" w:color="auto"/>
        <w:right w:val="none" w:sz="0" w:space="0" w:color="auto"/>
      </w:divBdr>
    </w:div>
    <w:div w:id="715934704">
      <w:bodyDiv w:val="1"/>
      <w:marLeft w:val="0"/>
      <w:marRight w:val="0"/>
      <w:marTop w:val="0"/>
      <w:marBottom w:val="0"/>
      <w:divBdr>
        <w:top w:val="none" w:sz="0" w:space="0" w:color="auto"/>
        <w:left w:val="none" w:sz="0" w:space="0" w:color="auto"/>
        <w:bottom w:val="none" w:sz="0" w:space="0" w:color="auto"/>
        <w:right w:val="none" w:sz="0" w:space="0" w:color="auto"/>
      </w:divBdr>
    </w:div>
    <w:div w:id="716010027">
      <w:bodyDiv w:val="1"/>
      <w:marLeft w:val="0"/>
      <w:marRight w:val="0"/>
      <w:marTop w:val="0"/>
      <w:marBottom w:val="0"/>
      <w:divBdr>
        <w:top w:val="none" w:sz="0" w:space="0" w:color="auto"/>
        <w:left w:val="none" w:sz="0" w:space="0" w:color="auto"/>
        <w:bottom w:val="none" w:sz="0" w:space="0" w:color="auto"/>
        <w:right w:val="none" w:sz="0" w:space="0" w:color="auto"/>
      </w:divBdr>
    </w:div>
    <w:div w:id="716054359">
      <w:bodyDiv w:val="1"/>
      <w:marLeft w:val="0"/>
      <w:marRight w:val="0"/>
      <w:marTop w:val="0"/>
      <w:marBottom w:val="0"/>
      <w:divBdr>
        <w:top w:val="none" w:sz="0" w:space="0" w:color="auto"/>
        <w:left w:val="none" w:sz="0" w:space="0" w:color="auto"/>
        <w:bottom w:val="none" w:sz="0" w:space="0" w:color="auto"/>
        <w:right w:val="none" w:sz="0" w:space="0" w:color="auto"/>
      </w:divBdr>
    </w:div>
    <w:div w:id="716130411">
      <w:bodyDiv w:val="1"/>
      <w:marLeft w:val="0"/>
      <w:marRight w:val="0"/>
      <w:marTop w:val="0"/>
      <w:marBottom w:val="0"/>
      <w:divBdr>
        <w:top w:val="none" w:sz="0" w:space="0" w:color="auto"/>
        <w:left w:val="none" w:sz="0" w:space="0" w:color="auto"/>
        <w:bottom w:val="none" w:sz="0" w:space="0" w:color="auto"/>
        <w:right w:val="none" w:sz="0" w:space="0" w:color="auto"/>
      </w:divBdr>
    </w:div>
    <w:div w:id="716244612">
      <w:bodyDiv w:val="1"/>
      <w:marLeft w:val="0"/>
      <w:marRight w:val="0"/>
      <w:marTop w:val="0"/>
      <w:marBottom w:val="0"/>
      <w:divBdr>
        <w:top w:val="none" w:sz="0" w:space="0" w:color="auto"/>
        <w:left w:val="none" w:sz="0" w:space="0" w:color="auto"/>
        <w:bottom w:val="none" w:sz="0" w:space="0" w:color="auto"/>
        <w:right w:val="none" w:sz="0" w:space="0" w:color="auto"/>
      </w:divBdr>
    </w:div>
    <w:div w:id="716272148">
      <w:bodyDiv w:val="1"/>
      <w:marLeft w:val="0"/>
      <w:marRight w:val="0"/>
      <w:marTop w:val="0"/>
      <w:marBottom w:val="0"/>
      <w:divBdr>
        <w:top w:val="none" w:sz="0" w:space="0" w:color="auto"/>
        <w:left w:val="none" w:sz="0" w:space="0" w:color="auto"/>
        <w:bottom w:val="none" w:sz="0" w:space="0" w:color="auto"/>
        <w:right w:val="none" w:sz="0" w:space="0" w:color="auto"/>
      </w:divBdr>
    </w:div>
    <w:div w:id="716318031">
      <w:bodyDiv w:val="1"/>
      <w:marLeft w:val="0"/>
      <w:marRight w:val="0"/>
      <w:marTop w:val="0"/>
      <w:marBottom w:val="0"/>
      <w:divBdr>
        <w:top w:val="none" w:sz="0" w:space="0" w:color="auto"/>
        <w:left w:val="none" w:sz="0" w:space="0" w:color="auto"/>
        <w:bottom w:val="none" w:sz="0" w:space="0" w:color="auto"/>
        <w:right w:val="none" w:sz="0" w:space="0" w:color="auto"/>
      </w:divBdr>
    </w:div>
    <w:div w:id="716465084">
      <w:bodyDiv w:val="1"/>
      <w:marLeft w:val="0"/>
      <w:marRight w:val="0"/>
      <w:marTop w:val="0"/>
      <w:marBottom w:val="0"/>
      <w:divBdr>
        <w:top w:val="none" w:sz="0" w:space="0" w:color="auto"/>
        <w:left w:val="none" w:sz="0" w:space="0" w:color="auto"/>
        <w:bottom w:val="none" w:sz="0" w:space="0" w:color="auto"/>
        <w:right w:val="none" w:sz="0" w:space="0" w:color="auto"/>
      </w:divBdr>
    </w:div>
    <w:div w:id="716466440">
      <w:bodyDiv w:val="1"/>
      <w:marLeft w:val="0"/>
      <w:marRight w:val="0"/>
      <w:marTop w:val="0"/>
      <w:marBottom w:val="0"/>
      <w:divBdr>
        <w:top w:val="none" w:sz="0" w:space="0" w:color="auto"/>
        <w:left w:val="none" w:sz="0" w:space="0" w:color="auto"/>
        <w:bottom w:val="none" w:sz="0" w:space="0" w:color="auto"/>
        <w:right w:val="none" w:sz="0" w:space="0" w:color="auto"/>
      </w:divBdr>
    </w:div>
    <w:div w:id="716508638">
      <w:bodyDiv w:val="1"/>
      <w:marLeft w:val="0"/>
      <w:marRight w:val="0"/>
      <w:marTop w:val="0"/>
      <w:marBottom w:val="0"/>
      <w:divBdr>
        <w:top w:val="none" w:sz="0" w:space="0" w:color="auto"/>
        <w:left w:val="none" w:sz="0" w:space="0" w:color="auto"/>
        <w:bottom w:val="none" w:sz="0" w:space="0" w:color="auto"/>
        <w:right w:val="none" w:sz="0" w:space="0" w:color="auto"/>
      </w:divBdr>
    </w:div>
    <w:div w:id="716709878">
      <w:bodyDiv w:val="1"/>
      <w:marLeft w:val="0"/>
      <w:marRight w:val="0"/>
      <w:marTop w:val="0"/>
      <w:marBottom w:val="0"/>
      <w:divBdr>
        <w:top w:val="none" w:sz="0" w:space="0" w:color="auto"/>
        <w:left w:val="none" w:sz="0" w:space="0" w:color="auto"/>
        <w:bottom w:val="none" w:sz="0" w:space="0" w:color="auto"/>
        <w:right w:val="none" w:sz="0" w:space="0" w:color="auto"/>
      </w:divBdr>
    </w:div>
    <w:div w:id="716854346">
      <w:bodyDiv w:val="1"/>
      <w:marLeft w:val="0"/>
      <w:marRight w:val="0"/>
      <w:marTop w:val="0"/>
      <w:marBottom w:val="0"/>
      <w:divBdr>
        <w:top w:val="none" w:sz="0" w:space="0" w:color="auto"/>
        <w:left w:val="none" w:sz="0" w:space="0" w:color="auto"/>
        <w:bottom w:val="none" w:sz="0" w:space="0" w:color="auto"/>
        <w:right w:val="none" w:sz="0" w:space="0" w:color="auto"/>
      </w:divBdr>
    </w:div>
    <w:div w:id="716930482">
      <w:bodyDiv w:val="1"/>
      <w:marLeft w:val="0"/>
      <w:marRight w:val="0"/>
      <w:marTop w:val="0"/>
      <w:marBottom w:val="0"/>
      <w:divBdr>
        <w:top w:val="none" w:sz="0" w:space="0" w:color="auto"/>
        <w:left w:val="none" w:sz="0" w:space="0" w:color="auto"/>
        <w:bottom w:val="none" w:sz="0" w:space="0" w:color="auto"/>
        <w:right w:val="none" w:sz="0" w:space="0" w:color="auto"/>
      </w:divBdr>
    </w:div>
    <w:div w:id="716930606">
      <w:bodyDiv w:val="1"/>
      <w:marLeft w:val="0"/>
      <w:marRight w:val="0"/>
      <w:marTop w:val="0"/>
      <w:marBottom w:val="0"/>
      <w:divBdr>
        <w:top w:val="none" w:sz="0" w:space="0" w:color="auto"/>
        <w:left w:val="none" w:sz="0" w:space="0" w:color="auto"/>
        <w:bottom w:val="none" w:sz="0" w:space="0" w:color="auto"/>
        <w:right w:val="none" w:sz="0" w:space="0" w:color="auto"/>
      </w:divBdr>
    </w:div>
    <w:div w:id="716970844">
      <w:bodyDiv w:val="1"/>
      <w:marLeft w:val="0"/>
      <w:marRight w:val="0"/>
      <w:marTop w:val="0"/>
      <w:marBottom w:val="0"/>
      <w:divBdr>
        <w:top w:val="none" w:sz="0" w:space="0" w:color="auto"/>
        <w:left w:val="none" w:sz="0" w:space="0" w:color="auto"/>
        <w:bottom w:val="none" w:sz="0" w:space="0" w:color="auto"/>
        <w:right w:val="none" w:sz="0" w:space="0" w:color="auto"/>
      </w:divBdr>
    </w:div>
    <w:div w:id="716976844">
      <w:bodyDiv w:val="1"/>
      <w:marLeft w:val="0"/>
      <w:marRight w:val="0"/>
      <w:marTop w:val="0"/>
      <w:marBottom w:val="0"/>
      <w:divBdr>
        <w:top w:val="none" w:sz="0" w:space="0" w:color="auto"/>
        <w:left w:val="none" w:sz="0" w:space="0" w:color="auto"/>
        <w:bottom w:val="none" w:sz="0" w:space="0" w:color="auto"/>
        <w:right w:val="none" w:sz="0" w:space="0" w:color="auto"/>
      </w:divBdr>
    </w:div>
    <w:div w:id="717046238">
      <w:bodyDiv w:val="1"/>
      <w:marLeft w:val="0"/>
      <w:marRight w:val="0"/>
      <w:marTop w:val="0"/>
      <w:marBottom w:val="0"/>
      <w:divBdr>
        <w:top w:val="none" w:sz="0" w:space="0" w:color="auto"/>
        <w:left w:val="none" w:sz="0" w:space="0" w:color="auto"/>
        <w:bottom w:val="none" w:sz="0" w:space="0" w:color="auto"/>
        <w:right w:val="none" w:sz="0" w:space="0" w:color="auto"/>
      </w:divBdr>
    </w:div>
    <w:div w:id="717510692">
      <w:bodyDiv w:val="1"/>
      <w:marLeft w:val="0"/>
      <w:marRight w:val="0"/>
      <w:marTop w:val="0"/>
      <w:marBottom w:val="0"/>
      <w:divBdr>
        <w:top w:val="none" w:sz="0" w:space="0" w:color="auto"/>
        <w:left w:val="none" w:sz="0" w:space="0" w:color="auto"/>
        <w:bottom w:val="none" w:sz="0" w:space="0" w:color="auto"/>
        <w:right w:val="none" w:sz="0" w:space="0" w:color="auto"/>
      </w:divBdr>
    </w:div>
    <w:div w:id="717585623">
      <w:bodyDiv w:val="1"/>
      <w:marLeft w:val="0"/>
      <w:marRight w:val="0"/>
      <w:marTop w:val="0"/>
      <w:marBottom w:val="0"/>
      <w:divBdr>
        <w:top w:val="none" w:sz="0" w:space="0" w:color="auto"/>
        <w:left w:val="none" w:sz="0" w:space="0" w:color="auto"/>
        <w:bottom w:val="none" w:sz="0" w:space="0" w:color="auto"/>
        <w:right w:val="none" w:sz="0" w:space="0" w:color="auto"/>
      </w:divBdr>
    </w:div>
    <w:div w:id="717585660">
      <w:bodyDiv w:val="1"/>
      <w:marLeft w:val="0"/>
      <w:marRight w:val="0"/>
      <w:marTop w:val="0"/>
      <w:marBottom w:val="0"/>
      <w:divBdr>
        <w:top w:val="none" w:sz="0" w:space="0" w:color="auto"/>
        <w:left w:val="none" w:sz="0" w:space="0" w:color="auto"/>
        <w:bottom w:val="none" w:sz="0" w:space="0" w:color="auto"/>
        <w:right w:val="none" w:sz="0" w:space="0" w:color="auto"/>
      </w:divBdr>
    </w:div>
    <w:div w:id="717627624">
      <w:bodyDiv w:val="1"/>
      <w:marLeft w:val="0"/>
      <w:marRight w:val="0"/>
      <w:marTop w:val="0"/>
      <w:marBottom w:val="0"/>
      <w:divBdr>
        <w:top w:val="none" w:sz="0" w:space="0" w:color="auto"/>
        <w:left w:val="none" w:sz="0" w:space="0" w:color="auto"/>
        <w:bottom w:val="none" w:sz="0" w:space="0" w:color="auto"/>
        <w:right w:val="none" w:sz="0" w:space="0" w:color="auto"/>
      </w:divBdr>
    </w:div>
    <w:div w:id="717709276">
      <w:bodyDiv w:val="1"/>
      <w:marLeft w:val="0"/>
      <w:marRight w:val="0"/>
      <w:marTop w:val="0"/>
      <w:marBottom w:val="0"/>
      <w:divBdr>
        <w:top w:val="none" w:sz="0" w:space="0" w:color="auto"/>
        <w:left w:val="none" w:sz="0" w:space="0" w:color="auto"/>
        <w:bottom w:val="none" w:sz="0" w:space="0" w:color="auto"/>
        <w:right w:val="none" w:sz="0" w:space="0" w:color="auto"/>
      </w:divBdr>
    </w:div>
    <w:div w:id="717779098">
      <w:bodyDiv w:val="1"/>
      <w:marLeft w:val="0"/>
      <w:marRight w:val="0"/>
      <w:marTop w:val="0"/>
      <w:marBottom w:val="0"/>
      <w:divBdr>
        <w:top w:val="none" w:sz="0" w:space="0" w:color="auto"/>
        <w:left w:val="none" w:sz="0" w:space="0" w:color="auto"/>
        <w:bottom w:val="none" w:sz="0" w:space="0" w:color="auto"/>
        <w:right w:val="none" w:sz="0" w:space="0" w:color="auto"/>
      </w:divBdr>
    </w:div>
    <w:div w:id="717824552">
      <w:bodyDiv w:val="1"/>
      <w:marLeft w:val="0"/>
      <w:marRight w:val="0"/>
      <w:marTop w:val="0"/>
      <w:marBottom w:val="0"/>
      <w:divBdr>
        <w:top w:val="none" w:sz="0" w:space="0" w:color="auto"/>
        <w:left w:val="none" w:sz="0" w:space="0" w:color="auto"/>
        <w:bottom w:val="none" w:sz="0" w:space="0" w:color="auto"/>
        <w:right w:val="none" w:sz="0" w:space="0" w:color="auto"/>
      </w:divBdr>
    </w:div>
    <w:div w:id="717969498">
      <w:bodyDiv w:val="1"/>
      <w:marLeft w:val="0"/>
      <w:marRight w:val="0"/>
      <w:marTop w:val="0"/>
      <w:marBottom w:val="0"/>
      <w:divBdr>
        <w:top w:val="none" w:sz="0" w:space="0" w:color="auto"/>
        <w:left w:val="none" w:sz="0" w:space="0" w:color="auto"/>
        <w:bottom w:val="none" w:sz="0" w:space="0" w:color="auto"/>
        <w:right w:val="none" w:sz="0" w:space="0" w:color="auto"/>
      </w:divBdr>
    </w:div>
    <w:div w:id="717970000">
      <w:bodyDiv w:val="1"/>
      <w:marLeft w:val="0"/>
      <w:marRight w:val="0"/>
      <w:marTop w:val="0"/>
      <w:marBottom w:val="0"/>
      <w:divBdr>
        <w:top w:val="none" w:sz="0" w:space="0" w:color="auto"/>
        <w:left w:val="none" w:sz="0" w:space="0" w:color="auto"/>
        <w:bottom w:val="none" w:sz="0" w:space="0" w:color="auto"/>
        <w:right w:val="none" w:sz="0" w:space="0" w:color="auto"/>
      </w:divBdr>
    </w:div>
    <w:div w:id="718211324">
      <w:bodyDiv w:val="1"/>
      <w:marLeft w:val="0"/>
      <w:marRight w:val="0"/>
      <w:marTop w:val="0"/>
      <w:marBottom w:val="0"/>
      <w:divBdr>
        <w:top w:val="none" w:sz="0" w:space="0" w:color="auto"/>
        <w:left w:val="none" w:sz="0" w:space="0" w:color="auto"/>
        <w:bottom w:val="none" w:sz="0" w:space="0" w:color="auto"/>
        <w:right w:val="none" w:sz="0" w:space="0" w:color="auto"/>
      </w:divBdr>
    </w:div>
    <w:div w:id="718288812">
      <w:bodyDiv w:val="1"/>
      <w:marLeft w:val="0"/>
      <w:marRight w:val="0"/>
      <w:marTop w:val="0"/>
      <w:marBottom w:val="0"/>
      <w:divBdr>
        <w:top w:val="none" w:sz="0" w:space="0" w:color="auto"/>
        <w:left w:val="none" w:sz="0" w:space="0" w:color="auto"/>
        <w:bottom w:val="none" w:sz="0" w:space="0" w:color="auto"/>
        <w:right w:val="none" w:sz="0" w:space="0" w:color="auto"/>
      </w:divBdr>
    </w:div>
    <w:div w:id="718289276">
      <w:bodyDiv w:val="1"/>
      <w:marLeft w:val="0"/>
      <w:marRight w:val="0"/>
      <w:marTop w:val="0"/>
      <w:marBottom w:val="0"/>
      <w:divBdr>
        <w:top w:val="none" w:sz="0" w:space="0" w:color="auto"/>
        <w:left w:val="none" w:sz="0" w:space="0" w:color="auto"/>
        <w:bottom w:val="none" w:sz="0" w:space="0" w:color="auto"/>
        <w:right w:val="none" w:sz="0" w:space="0" w:color="auto"/>
      </w:divBdr>
    </w:div>
    <w:div w:id="718361725">
      <w:bodyDiv w:val="1"/>
      <w:marLeft w:val="0"/>
      <w:marRight w:val="0"/>
      <w:marTop w:val="0"/>
      <w:marBottom w:val="0"/>
      <w:divBdr>
        <w:top w:val="none" w:sz="0" w:space="0" w:color="auto"/>
        <w:left w:val="none" w:sz="0" w:space="0" w:color="auto"/>
        <w:bottom w:val="none" w:sz="0" w:space="0" w:color="auto"/>
        <w:right w:val="none" w:sz="0" w:space="0" w:color="auto"/>
      </w:divBdr>
    </w:div>
    <w:div w:id="718436433">
      <w:bodyDiv w:val="1"/>
      <w:marLeft w:val="0"/>
      <w:marRight w:val="0"/>
      <w:marTop w:val="0"/>
      <w:marBottom w:val="0"/>
      <w:divBdr>
        <w:top w:val="none" w:sz="0" w:space="0" w:color="auto"/>
        <w:left w:val="none" w:sz="0" w:space="0" w:color="auto"/>
        <w:bottom w:val="none" w:sz="0" w:space="0" w:color="auto"/>
        <w:right w:val="none" w:sz="0" w:space="0" w:color="auto"/>
      </w:divBdr>
    </w:div>
    <w:div w:id="718437720">
      <w:bodyDiv w:val="1"/>
      <w:marLeft w:val="0"/>
      <w:marRight w:val="0"/>
      <w:marTop w:val="0"/>
      <w:marBottom w:val="0"/>
      <w:divBdr>
        <w:top w:val="none" w:sz="0" w:space="0" w:color="auto"/>
        <w:left w:val="none" w:sz="0" w:space="0" w:color="auto"/>
        <w:bottom w:val="none" w:sz="0" w:space="0" w:color="auto"/>
        <w:right w:val="none" w:sz="0" w:space="0" w:color="auto"/>
      </w:divBdr>
    </w:div>
    <w:div w:id="718554866">
      <w:bodyDiv w:val="1"/>
      <w:marLeft w:val="0"/>
      <w:marRight w:val="0"/>
      <w:marTop w:val="0"/>
      <w:marBottom w:val="0"/>
      <w:divBdr>
        <w:top w:val="none" w:sz="0" w:space="0" w:color="auto"/>
        <w:left w:val="none" w:sz="0" w:space="0" w:color="auto"/>
        <w:bottom w:val="none" w:sz="0" w:space="0" w:color="auto"/>
        <w:right w:val="none" w:sz="0" w:space="0" w:color="auto"/>
      </w:divBdr>
    </w:div>
    <w:div w:id="718557016">
      <w:bodyDiv w:val="1"/>
      <w:marLeft w:val="0"/>
      <w:marRight w:val="0"/>
      <w:marTop w:val="0"/>
      <w:marBottom w:val="0"/>
      <w:divBdr>
        <w:top w:val="none" w:sz="0" w:space="0" w:color="auto"/>
        <w:left w:val="none" w:sz="0" w:space="0" w:color="auto"/>
        <w:bottom w:val="none" w:sz="0" w:space="0" w:color="auto"/>
        <w:right w:val="none" w:sz="0" w:space="0" w:color="auto"/>
      </w:divBdr>
    </w:div>
    <w:div w:id="718627374">
      <w:bodyDiv w:val="1"/>
      <w:marLeft w:val="0"/>
      <w:marRight w:val="0"/>
      <w:marTop w:val="0"/>
      <w:marBottom w:val="0"/>
      <w:divBdr>
        <w:top w:val="none" w:sz="0" w:space="0" w:color="auto"/>
        <w:left w:val="none" w:sz="0" w:space="0" w:color="auto"/>
        <w:bottom w:val="none" w:sz="0" w:space="0" w:color="auto"/>
        <w:right w:val="none" w:sz="0" w:space="0" w:color="auto"/>
      </w:divBdr>
    </w:div>
    <w:div w:id="718628068">
      <w:bodyDiv w:val="1"/>
      <w:marLeft w:val="0"/>
      <w:marRight w:val="0"/>
      <w:marTop w:val="0"/>
      <w:marBottom w:val="0"/>
      <w:divBdr>
        <w:top w:val="none" w:sz="0" w:space="0" w:color="auto"/>
        <w:left w:val="none" w:sz="0" w:space="0" w:color="auto"/>
        <w:bottom w:val="none" w:sz="0" w:space="0" w:color="auto"/>
        <w:right w:val="none" w:sz="0" w:space="0" w:color="auto"/>
      </w:divBdr>
    </w:div>
    <w:div w:id="718629170">
      <w:bodyDiv w:val="1"/>
      <w:marLeft w:val="0"/>
      <w:marRight w:val="0"/>
      <w:marTop w:val="0"/>
      <w:marBottom w:val="0"/>
      <w:divBdr>
        <w:top w:val="none" w:sz="0" w:space="0" w:color="auto"/>
        <w:left w:val="none" w:sz="0" w:space="0" w:color="auto"/>
        <w:bottom w:val="none" w:sz="0" w:space="0" w:color="auto"/>
        <w:right w:val="none" w:sz="0" w:space="0" w:color="auto"/>
      </w:divBdr>
    </w:div>
    <w:div w:id="718671336">
      <w:bodyDiv w:val="1"/>
      <w:marLeft w:val="0"/>
      <w:marRight w:val="0"/>
      <w:marTop w:val="0"/>
      <w:marBottom w:val="0"/>
      <w:divBdr>
        <w:top w:val="none" w:sz="0" w:space="0" w:color="auto"/>
        <w:left w:val="none" w:sz="0" w:space="0" w:color="auto"/>
        <w:bottom w:val="none" w:sz="0" w:space="0" w:color="auto"/>
        <w:right w:val="none" w:sz="0" w:space="0" w:color="auto"/>
      </w:divBdr>
    </w:div>
    <w:div w:id="718743279">
      <w:bodyDiv w:val="1"/>
      <w:marLeft w:val="0"/>
      <w:marRight w:val="0"/>
      <w:marTop w:val="0"/>
      <w:marBottom w:val="0"/>
      <w:divBdr>
        <w:top w:val="none" w:sz="0" w:space="0" w:color="auto"/>
        <w:left w:val="none" w:sz="0" w:space="0" w:color="auto"/>
        <w:bottom w:val="none" w:sz="0" w:space="0" w:color="auto"/>
        <w:right w:val="none" w:sz="0" w:space="0" w:color="auto"/>
      </w:divBdr>
    </w:div>
    <w:div w:id="718751360">
      <w:bodyDiv w:val="1"/>
      <w:marLeft w:val="0"/>
      <w:marRight w:val="0"/>
      <w:marTop w:val="0"/>
      <w:marBottom w:val="0"/>
      <w:divBdr>
        <w:top w:val="none" w:sz="0" w:space="0" w:color="auto"/>
        <w:left w:val="none" w:sz="0" w:space="0" w:color="auto"/>
        <w:bottom w:val="none" w:sz="0" w:space="0" w:color="auto"/>
        <w:right w:val="none" w:sz="0" w:space="0" w:color="auto"/>
      </w:divBdr>
    </w:div>
    <w:div w:id="718821646">
      <w:bodyDiv w:val="1"/>
      <w:marLeft w:val="0"/>
      <w:marRight w:val="0"/>
      <w:marTop w:val="0"/>
      <w:marBottom w:val="0"/>
      <w:divBdr>
        <w:top w:val="none" w:sz="0" w:space="0" w:color="auto"/>
        <w:left w:val="none" w:sz="0" w:space="0" w:color="auto"/>
        <w:bottom w:val="none" w:sz="0" w:space="0" w:color="auto"/>
        <w:right w:val="none" w:sz="0" w:space="0" w:color="auto"/>
      </w:divBdr>
    </w:div>
    <w:div w:id="718867916">
      <w:bodyDiv w:val="1"/>
      <w:marLeft w:val="0"/>
      <w:marRight w:val="0"/>
      <w:marTop w:val="0"/>
      <w:marBottom w:val="0"/>
      <w:divBdr>
        <w:top w:val="none" w:sz="0" w:space="0" w:color="auto"/>
        <w:left w:val="none" w:sz="0" w:space="0" w:color="auto"/>
        <w:bottom w:val="none" w:sz="0" w:space="0" w:color="auto"/>
        <w:right w:val="none" w:sz="0" w:space="0" w:color="auto"/>
      </w:divBdr>
    </w:div>
    <w:div w:id="718895164">
      <w:bodyDiv w:val="1"/>
      <w:marLeft w:val="0"/>
      <w:marRight w:val="0"/>
      <w:marTop w:val="0"/>
      <w:marBottom w:val="0"/>
      <w:divBdr>
        <w:top w:val="none" w:sz="0" w:space="0" w:color="auto"/>
        <w:left w:val="none" w:sz="0" w:space="0" w:color="auto"/>
        <w:bottom w:val="none" w:sz="0" w:space="0" w:color="auto"/>
        <w:right w:val="none" w:sz="0" w:space="0" w:color="auto"/>
      </w:divBdr>
    </w:div>
    <w:div w:id="718897071">
      <w:bodyDiv w:val="1"/>
      <w:marLeft w:val="0"/>
      <w:marRight w:val="0"/>
      <w:marTop w:val="0"/>
      <w:marBottom w:val="0"/>
      <w:divBdr>
        <w:top w:val="none" w:sz="0" w:space="0" w:color="auto"/>
        <w:left w:val="none" w:sz="0" w:space="0" w:color="auto"/>
        <w:bottom w:val="none" w:sz="0" w:space="0" w:color="auto"/>
        <w:right w:val="none" w:sz="0" w:space="0" w:color="auto"/>
      </w:divBdr>
    </w:div>
    <w:div w:id="719019934">
      <w:bodyDiv w:val="1"/>
      <w:marLeft w:val="0"/>
      <w:marRight w:val="0"/>
      <w:marTop w:val="0"/>
      <w:marBottom w:val="0"/>
      <w:divBdr>
        <w:top w:val="none" w:sz="0" w:space="0" w:color="auto"/>
        <w:left w:val="none" w:sz="0" w:space="0" w:color="auto"/>
        <w:bottom w:val="none" w:sz="0" w:space="0" w:color="auto"/>
        <w:right w:val="none" w:sz="0" w:space="0" w:color="auto"/>
      </w:divBdr>
    </w:div>
    <w:div w:id="719132857">
      <w:bodyDiv w:val="1"/>
      <w:marLeft w:val="0"/>
      <w:marRight w:val="0"/>
      <w:marTop w:val="0"/>
      <w:marBottom w:val="0"/>
      <w:divBdr>
        <w:top w:val="none" w:sz="0" w:space="0" w:color="auto"/>
        <w:left w:val="none" w:sz="0" w:space="0" w:color="auto"/>
        <w:bottom w:val="none" w:sz="0" w:space="0" w:color="auto"/>
        <w:right w:val="none" w:sz="0" w:space="0" w:color="auto"/>
      </w:divBdr>
    </w:div>
    <w:div w:id="719210112">
      <w:bodyDiv w:val="1"/>
      <w:marLeft w:val="0"/>
      <w:marRight w:val="0"/>
      <w:marTop w:val="0"/>
      <w:marBottom w:val="0"/>
      <w:divBdr>
        <w:top w:val="none" w:sz="0" w:space="0" w:color="auto"/>
        <w:left w:val="none" w:sz="0" w:space="0" w:color="auto"/>
        <w:bottom w:val="none" w:sz="0" w:space="0" w:color="auto"/>
        <w:right w:val="none" w:sz="0" w:space="0" w:color="auto"/>
      </w:divBdr>
    </w:div>
    <w:div w:id="719283595">
      <w:bodyDiv w:val="1"/>
      <w:marLeft w:val="0"/>
      <w:marRight w:val="0"/>
      <w:marTop w:val="0"/>
      <w:marBottom w:val="0"/>
      <w:divBdr>
        <w:top w:val="none" w:sz="0" w:space="0" w:color="auto"/>
        <w:left w:val="none" w:sz="0" w:space="0" w:color="auto"/>
        <w:bottom w:val="none" w:sz="0" w:space="0" w:color="auto"/>
        <w:right w:val="none" w:sz="0" w:space="0" w:color="auto"/>
      </w:divBdr>
    </w:div>
    <w:div w:id="719285565">
      <w:bodyDiv w:val="1"/>
      <w:marLeft w:val="0"/>
      <w:marRight w:val="0"/>
      <w:marTop w:val="0"/>
      <w:marBottom w:val="0"/>
      <w:divBdr>
        <w:top w:val="none" w:sz="0" w:space="0" w:color="auto"/>
        <w:left w:val="none" w:sz="0" w:space="0" w:color="auto"/>
        <w:bottom w:val="none" w:sz="0" w:space="0" w:color="auto"/>
        <w:right w:val="none" w:sz="0" w:space="0" w:color="auto"/>
      </w:divBdr>
    </w:div>
    <w:div w:id="719330990">
      <w:bodyDiv w:val="1"/>
      <w:marLeft w:val="0"/>
      <w:marRight w:val="0"/>
      <w:marTop w:val="0"/>
      <w:marBottom w:val="0"/>
      <w:divBdr>
        <w:top w:val="none" w:sz="0" w:space="0" w:color="auto"/>
        <w:left w:val="none" w:sz="0" w:space="0" w:color="auto"/>
        <w:bottom w:val="none" w:sz="0" w:space="0" w:color="auto"/>
        <w:right w:val="none" w:sz="0" w:space="0" w:color="auto"/>
      </w:divBdr>
    </w:div>
    <w:div w:id="719475205">
      <w:bodyDiv w:val="1"/>
      <w:marLeft w:val="0"/>
      <w:marRight w:val="0"/>
      <w:marTop w:val="0"/>
      <w:marBottom w:val="0"/>
      <w:divBdr>
        <w:top w:val="none" w:sz="0" w:space="0" w:color="auto"/>
        <w:left w:val="none" w:sz="0" w:space="0" w:color="auto"/>
        <w:bottom w:val="none" w:sz="0" w:space="0" w:color="auto"/>
        <w:right w:val="none" w:sz="0" w:space="0" w:color="auto"/>
      </w:divBdr>
    </w:div>
    <w:div w:id="719672012">
      <w:bodyDiv w:val="1"/>
      <w:marLeft w:val="0"/>
      <w:marRight w:val="0"/>
      <w:marTop w:val="0"/>
      <w:marBottom w:val="0"/>
      <w:divBdr>
        <w:top w:val="none" w:sz="0" w:space="0" w:color="auto"/>
        <w:left w:val="none" w:sz="0" w:space="0" w:color="auto"/>
        <w:bottom w:val="none" w:sz="0" w:space="0" w:color="auto"/>
        <w:right w:val="none" w:sz="0" w:space="0" w:color="auto"/>
      </w:divBdr>
    </w:div>
    <w:div w:id="719673391">
      <w:bodyDiv w:val="1"/>
      <w:marLeft w:val="0"/>
      <w:marRight w:val="0"/>
      <w:marTop w:val="0"/>
      <w:marBottom w:val="0"/>
      <w:divBdr>
        <w:top w:val="none" w:sz="0" w:space="0" w:color="auto"/>
        <w:left w:val="none" w:sz="0" w:space="0" w:color="auto"/>
        <w:bottom w:val="none" w:sz="0" w:space="0" w:color="auto"/>
        <w:right w:val="none" w:sz="0" w:space="0" w:color="auto"/>
      </w:divBdr>
    </w:div>
    <w:div w:id="719674257">
      <w:bodyDiv w:val="1"/>
      <w:marLeft w:val="0"/>
      <w:marRight w:val="0"/>
      <w:marTop w:val="0"/>
      <w:marBottom w:val="0"/>
      <w:divBdr>
        <w:top w:val="none" w:sz="0" w:space="0" w:color="auto"/>
        <w:left w:val="none" w:sz="0" w:space="0" w:color="auto"/>
        <w:bottom w:val="none" w:sz="0" w:space="0" w:color="auto"/>
        <w:right w:val="none" w:sz="0" w:space="0" w:color="auto"/>
      </w:divBdr>
    </w:div>
    <w:div w:id="719980562">
      <w:bodyDiv w:val="1"/>
      <w:marLeft w:val="0"/>
      <w:marRight w:val="0"/>
      <w:marTop w:val="0"/>
      <w:marBottom w:val="0"/>
      <w:divBdr>
        <w:top w:val="none" w:sz="0" w:space="0" w:color="auto"/>
        <w:left w:val="none" w:sz="0" w:space="0" w:color="auto"/>
        <w:bottom w:val="none" w:sz="0" w:space="0" w:color="auto"/>
        <w:right w:val="none" w:sz="0" w:space="0" w:color="auto"/>
      </w:divBdr>
    </w:div>
    <w:div w:id="720179201">
      <w:bodyDiv w:val="1"/>
      <w:marLeft w:val="0"/>
      <w:marRight w:val="0"/>
      <w:marTop w:val="0"/>
      <w:marBottom w:val="0"/>
      <w:divBdr>
        <w:top w:val="none" w:sz="0" w:space="0" w:color="auto"/>
        <w:left w:val="none" w:sz="0" w:space="0" w:color="auto"/>
        <w:bottom w:val="none" w:sz="0" w:space="0" w:color="auto"/>
        <w:right w:val="none" w:sz="0" w:space="0" w:color="auto"/>
      </w:divBdr>
    </w:div>
    <w:div w:id="720253240">
      <w:bodyDiv w:val="1"/>
      <w:marLeft w:val="0"/>
      <w:marRight w:val="0"/>
      <w:marTop w:val="0"/>
      <w:marBottom w:val="0"/>
      <w:divBdr>
        <w:top w:val="none" w:sz="0" w:space="0" w:color="auto"/>
        <w:left w:val="none" w:sz="0" w:space="0" w:color="auto"/>
        <w:bottom w:val="none" w:sz="0" w:space="0" w:color="auto"/>
        <w:right w:val="none" w:sz="0" w:space="0" w:color="auto"/>
      </w:divBdr>
    </w:div>
    <w:div w:id="720326857">
      <w:bodyDiv w:val="1"/>
      <w:marLeft w:val="0"/>
      <w:marRight w:val="0"/>
      <w:marTop w:val="0"/>
      <w:marBottom w:val="0"/>
      <w:divBdr>
        <w:top w:val="none" w:sz="0" w:space="0" w:color="auto"/>
        <w:left w:val="none" w:sz="0" w:space="0" w:color="auto"/>
        <w:bottom w:val="none" w:sz="0" w:space="0" w:color="auto"/>
        <w:right w:val="none" w:sz="0" w:space="0" w:color="auto"/>
      </w:divBdr>
    </w:div>
    <w:div w:id="720326936">
      <w:bodyDiv w:val="1"/>
      <w:marLeft w:val="0"/>
      <w:marRight w:val="0"/>
      <w:marTop w:val="0"/>
      <w:marBottom w:val="0"/>
      <w:divBdr>
        <w:top w:val="none" w:sz="0" w:space="0" w:color="auto"/>
        <w:left w:val="none" w:sz="0" w:space="0" w:color="auto"/>
        <w:bottom w:val="none" w:sz="0" w:space="0" w:color="auto"/>
        <w:right w:val="none" w:sz="0" w:space="0" w:color="auto"/>
      </w:divBdr>
    </w:div>
    <w:div w:id="720328993">
      <w:bodyDiv w:val="1"/>
      <w:marLeft w:val="0"/>
      <w:marRight w:val="0"/>
      <w:marTop w:val="0"/>
      <w:marBottom w:val="0"/>
      <w:divBdr>
        <w:top w:val="none" w:sz="0" w:space="0" w:color="auto"/>
        <w:left w:val="none" w:sz="0" w:space="0" w:color="auto"/>
        <w:bottom w:val="none" w:sz="0" w:space="0" w:color="auto"/>
        <w:right w:val="none" w:sz="0" w:space="0" w:color="auto"/>
      </w:divBdr>
    </w:div>
    <w:div w:id="720516476">
      <w:bodyDiv w:val="1"/>
      <w:marLeft w:val="0"/>
      <w:marRight w:val="0"/>
      <w:marTop w:val="0"/>
      <w:marBottom w:val="0"/>
      <w:divBdr>
        <w:top w:val="none" w:sz="0" w:space="0" w:color="auto"/>
        <w:left w:val="none" w:sz="0" w:space="0" w:color="auto"/>
        <w:bottom w:val="none" w:sz="0" w:space="0" w:color="auto"/>
        <w:right w:val="none" w:sz="0" w:space="0" w:color="auto"/>
      </w:divBdr>
    </w:div>
    <w:div w:id="720522556">
      <w:bodyDiv w:val="1"/>
      <w:marLeft w:val="0"/>
      <w:marRight w:val="0"/>
      <w:marTop w:val="0"/>
      <w:marBottom w:val="0"/>
      <w:divBdr>
        <w:top w:val="none" w:sz="0" w:space="0" w:color="auto"/>
        <w:left w:val="none" w:sz="0" w:space="0" w:color="auto"/>
        <w:bottom w:val="none" w:sz="0" w:space="0" w:color="auto"/>
        <w:right w:val="none" w:sz="0" w:space="0" w:color="auto"/>
      </w:divBdr>
    </w:div>
    <w:div w:id="720634362">
      <w:bodyDiv w:val="1"/>
      <w:marLeft w:val="0"/>
      <w:marRight w:val="0"/>
      <w:marTop w:val="0"/>
      <w:marBottom w:val="0"/>
      <w:divBdr>
        <w:top w:val="none" w:sz="0" w:space="0" w:color="auto"/>
        <w:left w:val="none" w:sz="0" w:space="0" w:color="auto"/>
        <w:bottom w:val="none" w:sz="0" w:space="0" w:color="auto"/>
        <w:right w:val="none" w:sz="0" w:space="0" w:color="auto"/>
      </w:divBdr>
    </w:div>
    <w:div w:id="720788451">
      <w:bodyDiv w:val="1"/>
      <w:marLeft w:val="0"/>
      <w:marRight w:val="0"/>
      <w:marTop w:val="0"/>
      <w:marBottom w:val="0"/>
      <w:divBdr>
        <w:top w:val="none" w:sz="0" w:space="0" w:color="auto"/>
        <w:left w:val="none" w:sz="0" w:space="0" w:color="auto"/>
        <w:bottom w:val="none" w:sz="0" w:space="0" w:color="auto"/>
        <w:right w:val="none" w:sz="0" w:space="0" w:color="auto"/>
      </w:divBdr>
    </w:div>
    <w:div w:id="720789404">
      <w:bodyDiv w:val="1"/>
      <w:marLeft w:val="0"/>
      <w:marRight w:val="0"/>
      <w:marTop w:val="0"/>
      <w:marBottom w:val="0"/>
      <w:divBdr>
        <w:top w:val="none" w:sz="0" w:space="0" w:color="auto"/>
        <w:left w:val="none" w:sz="0" w:space="0" w:color="auto"/>
        <w:bottom w:val="none" w:sz="0" w:space="0" w:color="auto"/>
        <w:right w:val="none" w:sz="0" w:space="0" w:color="auto"/>
      </w:divBdr>
    </w:div>
    <w:div w:id="720790503">
      <w:bodyDiv w:val="1"/>
      <w:marLeft w:val="0"/>
      <w:marRight w:val="0"/>
      <w:marTop w:val="0"/>
      <w:marBottom w:val="0"/>
      <w:divBdr>
        <w:top w:val="none" w:sz="0" w:space="0" w:color="auto"/>
        <w:left w:val="none" w:sz="0" w:space="0" w:color="auto"/>
        <w:bottom w:val="none" w:sz="0" w:space="0" w:color="auto"/>
        <w:right w:val="none" w:sz="0" w:space="0" w:color="auto"/>
      </w:divBdr>
    </w:div>
    <w:div w:id="720831785">
      <w:bodyDiv w:val="1"/>
      <w:marLeft w:val="0"/>
      <w:marRight w:val="0"/>
      <w:marTop w:val="0"/>
      <w:marBottom w:val="0"/>
      <w:divBdr>
        <w:top w:val="none" w:sz="0" w:space="0" w:color="auto"/>
        <w:left w:val="none" w:sz="0" w:space="0" w:color="auto"/>
        <w:bottom w:val="none" w:sz="0" w:space="0" w:color="auto"/>
        <w:right w:val="none" w:sz="0" w:space="0" w:color="auto"/>
      </w:divBdr>
    </w:div>
    <w:div w:id="720860851">
      <w:bodyDiv w:val="1"/>
      <w:marLeft w:val="0"/>
      <w:marRight w:val="0"/>
      <w:marTop w:val="0"/>
      <w:marBottom w:val="0"/>
      <w:divBdr>
        <w:top w:val="none" w:sz="0" w:space="0" w:color="auto"/>
        <w:left w:val="none" w:sz="0" w:space="0" w:color="auto"/>
        <w:bottom w:val="none" w:sz="0" w:space="0" w:color="auto"/>
        <w:right w:val="none" w:sz="0" w:space="0" w:color="auto"/>
      </w:divBdr>
    </w:div>
    <w:div w:id="720861134">
      <w:bodyDiv w:val="1"/>
      <w:marLeft w:val="0"/>
      <w:marRight w:val="0"/>
      <w:marTop w:val="0"/>
      <w:marBottom w:val="0"/>
      <w:divBdr>
        <w:top w:val="none" w:sz="0" w:space="0" w:color="auto"/>
        <w:left w:val="none" w:sz="0" w:space="0" w:color="auto"/>
        <w:bottom w:val="none" w:sz="0" w:space="0" w:color="auto"/>
        <w:right w:val="none" w:sz="0" w:space="0" w:color="auto"/>
      </w:divBdr>
    </w:div>
    <w:div w:id="720902183">
      <w:bodyDiv w:val="1"/>
      <w:marLeft w:val="0"/>
      <w:marRight w:val="0"/>
      <w:marTop w:val="0"/>
      <w:marBottom w:val="0"/>
      <w:divBdr>
        <w:top w:val="none" w:sz="0" w:space="0" w:color="auto"/>
        <w:left w:val="none" w:sz="0" w:space="0" w:color="auto"/>
        <w:bottom w:val="none" w:sz="0" w:space="0" w:color="auto"/>
        <w:right w:val="none" w:sz="0" w:space="0" w:color="auto"/>
      </w:divBdr>
    </w:div>
    <w:div w:id="720906580">
      <w:bodyDiv w:val="1"/>
      <w:marLeft w:val="0"/>
      <w:marRight w:val="0"/>
      <w:marTop w:val="0"/>
      <w:marBottom w:val="0"/>
      <w:divBdr>
        <w:top w:val="none" w:sz="0" w:space="0" w:color="auto"/>
        <w:left w:val="none" w:sz="0" w:space="0" w:color="auto"/>
        <w:bottom w:val="none" w:sz="0" w:space="0" w:color="auto"/>
        <w:right w:val="none" w:sz="0" w:space="0" w:color="auto"/>
      </w:divBdr>
    </w:div>
    <w:div w:id="720908735">
      <w:bodyDiv w:val="1"/>
      <w:marLeft w:val="0"/>
      <w:marRight w:val="0"/>
      <w:marTop w:val="0"/>
      <w:marBottom w:val="0"/>
      <w:divBdr>
        <w:top w:val="none" w:sz="0" w:space="0" w:color="auto"/>
        <w:left w:val="none" w:sz="0" w:space="0" w:color="auto"/>
        <w:bottom w:val="none" w:sz="0" w:space="0" w:color="auto"/>
        <w:right w:val="none" w:sz="0" w:space="0" w:color="auto"/>
      </w:divBdr>
    </w:div>
    <w:div w:id="720978060">
      <w:bodyDiv w:val="1"/>
      <w:marLeft w:val="0"/>
      <w:marRight w:val="0"/>
      <w:marTop w:val="0"/>
      <w:marBottom w:val="0"/>
      <w:divBdr>
        <w:top w:val="none" w:sz="0" w:space="0" w:color="auto"/>
        <w:left w:val="none" w:sz="0" w:space="0" w:color="auto"/>
        <w:bottom w:val="none" w:sz="0" w:space="0" w:color="auto"/>
        <w:right w:val="none" w:sz="0" w:space="0" w:color="auto"/>
      </w:divBdr>
    </w:div>
    <w:div w:id="721096707">
      <w:bodyDiv w:val="1"/>
      <w:marLeft w:val="0"/>
      <w:marRight w:val="0"/>
      <w:marTop w:val="0"/>
      <w:marBottom w:val="0"/>
      <w:divBdr>
        <w:top w:val="none" w:sz="0" w:space="0" w:color="auto"/>
        <w:left w:val="none" w:sz="0" w:space="0" w:color="auto"/>
        <w:bottom w:val="none" w:sz="0" w:space="0" w:color="auto"/>
        <w:right w:val="none" w:sz="0" w:space="0" w:color="auto"/>
      </w:divBdr>
    </w:div>
    <w:div w:id="721096956">
      <w:bodyDiv w:val="1"/>
      <w:marLeft w:val="0"/>
      <w:marRight w:val="0"/>
      <w:marTop w:val="0"/>
      <w:marBottom w:val="0"/>
      <w:divBdr>
        <w:top w:val="none" w:sz="0" w:space="0" w:color="auto"/>
        <w:left w:val="none" w:sz="0" w:space="0" w:color="auto"/>
        <w:bottom w:val="none" w:sz="0" w:space="0" w:color="auto"/>
        <w:right w:val="none" w:sz="0" w:space="0" w:color="auto"/>
      </w:divBdr>
    </w:div>
    <w:div w:id="721170514">
      <w:bodyDiv w:val="1"/>
      <w:marLeft w:val="0"/>
      <w:marRight w:val="0"/>
      <w:marTop w:val="0"/>
      <w:marBottom w:val="0"/>
      <w:divBdr>
        <w:top w:val="none" w:sz="0" w:space="0" w:color="auto"/>
        <w:left w:val="none" w:sz="0" w:space="0" w:color="auto"/>
        <w:bottom w:val="none" w:sz="0" w:space="0" w:color="auto"/>
        <w:right w:val="none" w:sz="0" w:space="0" w:color="auto"/>
      </w:divBdr>
    </w:div>
    <w:div w:id="721321672">
      <w:bodyDiv w:val="1"/>
      <w:marLeft w:val="0"/>
      <w:marRight w:val="0"/>
      <w:marTop w:val="0"/>
      <w:marBottom w:val="0"/>
      <w:divBdr>
        <w:top w:val="none" w:sz="0" w:space="0" w:color="auto"/>
        <w:left w:val="none" w:sz="0" w:space="0" w:color="auto"/>
        <w:bottom w:val="none" w:sz="0" w:space="0" w:color="auto"/>
        <w:right w:val="none" w:sz="0" w:space="0" w:color="auto"/>
      </w:divBdr>
    </w:div>
    <w:div w:id="721321918">
      <w:bodyDiv w:val="1"/>
      <w:marLeft w:val="0"/>
      <w:marRight w:val="0"/>
      <w:marTop w:val="0"/>
      <w:marBottom w:val="0"/>
      <w:divBdr>
        <w:top w:val="none" w:sz="0" w:space="0" w:color="auto"/>
        <w:left w:val="none" w:sz="0" w:space="0" w:color="auto"/>
        <w:bottom w:val="none" w:sz="0" w:space="0" w:color="auto"/>
        <w:right w:val="none" w:sz="0" w:space="0" w:color="auto"/>
      </w:divBdr>
    </w:div>
    <w:div w:id="721368261">
      <w:bodyDiv w:val="1"/>
      <w:marLeft w:val="0"/>
      <w:marRight w:val="0"/>
      <w:marTop w:val="0"/>
      <w:marBottom w:val="0"/>
      <w:divBdr>
        <w:top w:val="none" w:sz="0" w:space="0" w:color="auto"/>
        <w:left w:val="none" w:sz="0" w:space="0" w:color="auto"/>
        <w:bottom w:val="none" w:sz="0" w:space="0" w:color="auto"/>
        <w:right w:val="none" w:sz="0" w:space="0" w:color="auto"/>
      </w:divBdr>
    </w:div>
    <w:div w:id="721514098">
      <w:bodyDiv w:val="1"/>
      <w:marLeft w:val="0"/>
      <w:marRight w:val="0"/>
      <w:marTop w:val="0"/>
      <w:marBottom w:val="0"/>
      <w:divBdr>
        <w:top w:val="none" w:sz="0" w:space="0" w:color="auto"/>
        <w:left w:val="none" w:sz="0" w:space="0" w:color="auto"/>
        <w:bottom w:val="none" w:sz="0" w:space="0" w:color="auto"/>
        <w:right w:val="none" w:sz="0" w:space="0" w:color="auto"/>
      </w:divBdr>
    </w:div>
    <w:div w:id="721633608">
      <w:bodyDiv w:val="1"/>
      <w:marLeft w:val="0"/>
      <w:marRight w:val="0"/>
      <w:marTop w:val="0"/>
      <w:marBottom w:val="0"/>
      <w:divBdr>
        <w:top w:val="none" w:sz="0" w:space="0" w:color="auto"/>
        <w:left w:val="none" w:sz="0" w:space="0" w:color="auto"/>
        <w:bottom w:val="none" w:sz="0" w:space="0" w:color="auto"/>
        <w:right w:val="none" w:sz="0" w:space="0" w:color="auto"/>
      </w:divBdr>
    </w:div>
    <w:div w:id="721640435">
      <w:bodyDiv w:val="1"/>
      <w:marLeft w:val="0"/>
      <w:marRight w:val="0"/>
      <w:marTop w:val="0"/>
      <w:marBottom w:val="0"/>
      <w:divBdr>
        <w:top w:val="none" w:sz="0" w:space="0" w:color="auto"/>
        <w:left w:val="none" w:sz="0" w:space="0" w:color="auto"/>
        <w:bottom w:val="none" w:sz="0" w:space="0" w:color="auto"/>
        <w:right w:val="none" w:sz="0" w:space="0" w:color="auto"/>
      </w:divBdr>
    </w:div>
    <w:div w:id="721750140">
      <w:bodyDiv w:val="1"/>
      <w:marLeft w:val="0"/>
      <w:marRight w:val="0"/>
      <w:marTop w:val="0"/>
      <w:marBottom w:val="0"/>
      <w:divBdr>
        <w:top w:val="none" w:sz="0" w:space="0" w:color="auto"/>
        <w:left w:val="none" w:sz="0" w:space="0" w:color="auto"/>
        <w:bottom w:val="none" w:sz="0" w:space="0" w:color="auto"/>
        <w:right w:val="none" w:sz="0" w:space="0" w:color="auto"/>
      </w:divBdr>
    </w:div>
    <w:div w:id="721752897">
      <w:bodyDiv w:val="1"/>
      <w:marLeft w:val="0"/>
      <w:marRight w:val="0"/>
      <w:marTop w:val="0"/>
      <w:marBottom w:val="0"/>
      <w:divBdr>
        <w:top w:val="none" w:sz="0" w:space="0" w:color="auto"/>
        <w:left w:val="none" w:sz="0" w:space="0" w:color="auto"/>
        <w:bottom w:val="none" w:sz="0" w:space="0" w:color="auto"/>
        <w:right w:val="none" w:sz="0" w:space="0" w:color="auto"/>
      </w:divBdr>
    </w:div>
    <w:div w:id="721830485">
      <w:bodyDiv w:val="1"/>
      <w:marLeft w:val="0"/>
      <w:marRight w:val="0"/>
      <w:marTop w:val="0"/>
      <w:marBottom w:val="0"/>
      <w:divBdr>
        <w:top w:val="none" w:sz="0" w:space="0" w:color="auto"/>
        <w:left w:val="none" w:sz="0" w:space="0" w:color="auto"/>
        <w:bottom w:val="none" w:sz="0" w:space="0" w:color="auto"/>
        <w:right w:val="none" w:sz="0" w:space="0" w:color="auto"/>
      </w:divBdr>
    </w:div>
    <w:div w:id="721831956">
      <w:bodyDiv w:val="1"/>
      <w:marLeft w:val="0"/>
      <w:marRight w:val="0"/>
      <w:marTop w:val="0"/>
      <w:marBottom w:val="0"/>
      <w:divBdr>
        <w:top w:val="none" w:sz="0" w:space="0" w:color="auto"/>
        <w:left w:val="none" w:sz="0" w:space="0" w:color="auto"/>
        <w:bottom w:val="none" w:sz="0" w:space="0" w:color="auto"/>
        <w:right w:val="none" w:sz="0" w:space="0" w:color="auto"/>
      </w:divBdr>
    </w:div>
    <w:div w:id="722019222">
      <w:bodyDiv w:val="1"/>
      <w:marLeft w:val="0"/>
      <w:marRight w:val="0"/>
      <w:marTop w:val="0"/>
      <w:marBottom w:val="0"/>
      <w:divBdr>
        <w:top w:val="none" w:sz="0" w:space="0" w:color="auto"/>
        <w:left w:val="none" w:sz="0" w:space="0" w:color="auto"/>
        <w:bottom w:val="none" w:sz="0" w:space="0" w:color="auto"/>
        <w:right w:val="none" w:sz="0" w:space="0" w:color="auto"/>
      </w:divBdr>
    </w:div>
    <w:div w:id="722144500">
      <w:bodyDiv w:val="1"/>
      <w:marLeft w:val="0"/>
      <w:marRight w:val="0"/>
      <w:marTop w:val="0"/>
      <w:marBottom w:val="0"/>
      <w:divBdr>
        <w:top w:val="none" w:sz="0" w:space="0" w:color="auto"/>
        <w:left w:val="none" w:sz="0" w:space="0" w:color="auto"/>
        <w:bottom w:val="none" w:sz="0" w:space="0" w:color="auto"/>
        <w:right w:val="none" w:sz="0" w:space="0" w:color="auto"/>
      </w:divBdr>
    </w:div>
    <w:div w:id="722219613">
      <w:bodyDiv w:val="1"/>
      <w:marLeft w:val="0"/>
      <w:marRight w:val="0"/>
      <w:marTop w:val="0"/>
      <w:marBottom w:val="0"/>
      <w:divBdr>
        <w:top w:val="none" w:sz="0" w:space="0" w:color="auto"/>
        <w:left w:val="none" w:sz="0" w:space="0" w:color="auto"/>
        <w:bottom w:val="none" w:sz="0" w:space="0" w:color="auto"/>
        <w:right w:val="none" w:sz="0" w:space="0" w:color="auto"/>
      </w:divBdr>
    </w:div>
    <w:div w:id="722405923">
      <w:bodyDiv w:val="1"/>
      <w:marLeft w:val="0"/>
      <w:marRight w:val="0"/>
      <w:marTop w:val="0"/>
      <w:marBottom w:val="0"/>
      <w:divBdr>
        <w:top w:val="none" w:sz="0" w:space="0" w:color="auto"/>
        <w:left w:val="none" w:sz="0" w:space="0" w:color="auto"/>
        <w:bottom w:val="none" w:sz="0" w:space="0" w:color="auto"/>
        <w:right w:val="none" w:sz="0" w:space="0" w:color="auto"/>
      </w:divBdr>
    </w:div>
    <w:div w:id="722487301">
      <w:bodyDiv w:val="1"/>
      <w:marLeft w:val="0"/>
      <w:marRight w:val="0"/>
      <w:marTop w:val="0"/>
      <w:marBottom w:val="0"/>
      <w:divBdr>
        <w:top w:val="none" w:sz="0" w:space="0" w:color="auto"/>
        <w:left w:val="none" w:sz="0" w:space="0" w:color="auto"/>
        <w:bottom w:val="none" w:sz="0" w:space="0" w:color="auto"/>
        <w:right w:val="none" w:sz="0" w:space="0" w:color="auto"/>
      </w:divBdr>
    </w:div>
    <w:div w:id="722561844">
      <w:bodyDiv w:val="1"/>
      <w:marLeft w:val="0"/>
      <w:marRight w:val="0"/>
      <w:marTop w:val="0"/>
      <w:marBottom w:val="0"/>
      <w:divBdr>
        <w:top w:val="none" w:sz="0" w:space="0" w:color="auto"/>
        <w:left w:val="none" w:sz="0" w:space="0" w:color="auto"/>
        <w:bottom w:val="none" w:sz="0" w:space="0" w:color="auto"/>
        <w:right w:val="none" w:sz="0" w:space="0" w:color="auto"/>
      </w:divBdr>
    </w:div>
    <w:div w:id="722605994">
      <w:bodyDiv w:val="1"/>
      <w:marLeft w:val="0"/>
      <w:marRight w:val="0"/>
      <w:marTop w:val="0"/>
      <w:marBottom w:val="0"/>
      <w:divBdr>
        <w:top w:val="none" w:sz="0" w:space="0" w:color="auto"/>
        <w:left w:val="none" w:sz="0" w:space="0" w:color="auto"/>
        <w:bottom w:val="none" w:sz="0" w:space="0" w:color="auto"/>
        <w:right w:val="none" w:sz="0" w:space="0" w:color="auto"/>
      </w:divBdr>
    </w:div>
    <w:div w:id="722632387">
      <w:bodyDiv w:val="1"/>
      <w:marLeft w:val="0"/>
      <w:marRight w:val="0"/>
      <w:marTop w:val="0"/>
      <w:marBottom w:val="0"/>
      <w:divBdr>
        <w:top w:val="none" w:sz="0" w:space="0" w:color="auto"/>
        <w:left w:val="none" w:sz="0" w:space="0" w:color="auto"/>
        <w:bottom w:val="none" w:sz="0" w:space="0" w:color="auto"/>
        <w:right w:val="none" w:sz="0" w:space="0" w:color="auto"/>
      </w:divBdr>
    </w:div>
    <w:div w:id="722675793">
      <w:bodyDiv w:val="1"/>
      <w:marLeft w:val="0"/>
      <w:marRight w:val="0"/>
      <w:marTop w:val="0"/>
      <w:marBottom w:val="0"/>
      <w:divBdr>
        <w:top w:val="none" w:sz="0" w:space="0" w:color="auto"/>
        <w:left w:val="none" w:sz="0" w:space="0" w:color="auto"/>
        <w:bottom w:val="none" w:sz="0" w:space="0" w:color="auto"/>
        <w:right w:val="none" w:sz="0" w:space="0" w:color="auto"/>
      </w:divBdr>
    </w:div>
    <w:div w:id="722756564">
      <w:bodyDiv w:val="1"/>
      <w:marLeft w:val="0"/>
      <w:marRight w:val="0"/>
      <w:marTop w:val="0"/>
      <w:marBottom w:val="0"/>
      <w:divBdr>
        <w:top w:val="none" w:sz="0" w:space="0" w:color="auto"/>
        <w:left w:val="none" w:sz="0" w:space="0" w:color="auto"/>
        <w:bottom w:val="none" w:sz="0" w:space="0" w:color="auto"/>
        <w:right w:val="none" w:sz="0" w:space="0" w:color="auto"/>
      </w:divBdr>
    </w:div>
    <w:div w:id="722875346">
      <w:bodyDiv w:val="1"/>
      <w:marLeft w:val="0"/>
      <w:marRight w:val="0"/>
      <w:marTop w:val="0"/>
      <w:marBottom w:val="0"/>
      <w:divBdr>
        <w:top w:val="none" w:sz="0" w:space="0" w:color="auto"/>
        <w:left w:val="none" w:sz="0" w:space="0" w:color="auto"/>
        <w:bottom w:val="none" w:sz="0" w:space="0" w:color="auto"/>
        <w:right w:val="none" w:sz="0" w:space="0" w:color="auto"/>
      </w:divBdr>
    </w:div>
    <w:div w:id="723020585">
      <w:bodyDiv w:val="1"/>
      <w:marLeft w:val="0"/>
      <w:marRight w:val="0"/>
      <w:marTop w:val="0"/>
      <w:marBottom w:val="0"/>
      <w:divBdr>
        <w:top w:val="none" w:sz="0" w:space="0" w:color="auto"/>
        <w:left w:val="none" w:sz="0" w:space="0" w:color="auto"/>
        <w:bottom w:val="none" w:sz="0" w:space="0" w:color="auto"/>
        <w:right w:val="none" w:sz="0" w:space="0" w:color="auto"/>
      </w:divBdr>
    </w:div>
    <w:div w:id="723137324">
      <w:bodyDiv w:val="1"/>
      <w:marLeft w:val="0"/>
      <w:marRight w:val="0"/>
      <w:marTop w:val="0"/>
      <w:marBottom w:val="0"/>
      <w:divBdr>
        <w:top w:val="none" w:sz="0" w:space="0" w:color="auto"/>
        <w:left w:val="none" w:sz="0" w:space="0" w:color="auto"/>
        <w:bottom w:val="none" w:sz="0" w:space="0" w:color="auto"/>
        <w:right w:val="none" w:sz="0" w:space="0" w:color="auto"/>
      </w:divBdr>
    </w:div>
    <w:div w:id="723139233">
      <w:bodyDiv w:val="1"/>
      <w:marLeft w:val="0"/>
      <w:marRight w:val="0"/>
      <w:marTop w:val="0"/>
      <w:marBottom w:val="0"/>
      <w:divBdr>
        <w:top w:val="none" w:sz="0" w:space="0" w:color="auto"/>
        <w:left w:val="none" w:sz="0" w:space="0" w:color="auto"/>
        <w:bottom w:val="none" w:sz="0" w:space="0" w:color="auto"/>
        <w:right w:val="none" w:sz="0" w:space="0" w:color="auto"/>
      </w:divBdr>
    </w:div>
    <w:div w:id="723140591">
      <w:bodyDiv w:val="1"/>
      <w:marLeft w:val="0"/>
      <w:marRight w:val="0"/>
      <w:marTop w:val="0"/>
      <w:marBottom w:val="0"/>
      <w:divBdr>
        <w:top w:val="none" w:sz="0" w:space="0" w:color="auto"/>
        <w:left w:val="none" w:sz="0" w:space="0" w:color="auto"/>
        <w:bottom w:val="none" w:sz="0" w:space="0" w:color="auto"/>
        <w:right w:val="none" w:sz="0" w:space="0" w:color="auto"/>
      </w:divBdr>
    </w:div>
    <w:div w:id="723141134">
      <w:bodyDiv w:val="1"/>
      <w:marLeft w:val="0"/>
      <w:marRight w:val="0"/>
      <w:marTop w:val="0"/>
      <w:marBottom w:val="0"/>
      <w:divBdr>
        <w:top w:val="none" w:sz="0" w:space="0" w:color="auto"/>
        <w:left w:val="none" w:sz="0" w:space="0" w:color="auto"/>
        <w:bottom w:val="none" w:sz="0" w:space="0" w:color="auto"/>
        <w:right w:val="none" w:sz="0" w:space="0" w:color="auto"/>
      </w:divBdr>
    </w:div>
    <w:div w:id="723214286">
      <w:bodyDiv w:val="1"/>
      <w:marLeft w:val="0"/>
      <w:marRight w:val="0"/>
      <w:marTop w:val="0"/>
      <w:marBottom w:val="0"/>
      <w:divBdr>
        <w:top w:val="none" w:sz="0" w:space="0" w:color="auto"/>
        <w:left w:val="none" w:sz="0" w:space="0" w:color="auto"/>
        <w:bottom w:val="none" w:sz="0" w:space="0" w:color="auto"/>
        <w:right w:val="none" w:sz="0" w:space="0" w:color="auto"/>
      </w:divBdr>
    </w:div>
    <w:div w:id="723256024">
      <w:bodyDiv w:val="1"/>
      <w:marLeft w:val="0"/>
      <w:marRight w:val="0"/>
      <w:marTop w:val="0"/>
      <w:marBottom w:val="0"/>
      <w:divBdr>
        <w:top w:val="none" w:sz="0" w:space="0" w:color="auto"/>
        <w:left w:val="none" w:sz="0" w:space="0" w:color="auto"/>
        <w:bottom w:val="none" w:sz="0" w:space="0" w:color="auto"/>
        <w:right w:val="none" w:sz="0" w:space="0" w:color="auto"/>
      </w:divBdr>
    </w:div>
    <w:div w:id="723408679">
      <w:bodyDiv w:val="1"/>
      <w:marLeft w:val="0"/>
      <w:marRight w:val="0"/>
      <w:marTop w:val="0"/>
      <w:marBottom w:val="0"/>
      <w:divBdr>
        <w:top w:val="none" w:sz="0" w:space="0" w:color="auto"/>
        <w:left w:val="none" w:sz="0" w:space="0" w:color="auto"/>
        <w:bottom w:val="none" w:sz="0" w:space="0" w:color="auto"/>
        <w:right w:val="none" w:sz="0" w:space="0" w:color="auto"/>
      </w:divBdr>
    </w:div>
    <w:div w:id="723523711">
      <w:bodyDiv w:val="1"/>
      <w:marLeft w:val="0"/>
      <w:marRight w:val="0"/>
      <w:marTop w:val="0"/>
      <w:marBottom w:val="0"/>
      <w:divBdr>
        <w:top w:val="none" w:sz="0" w:space="0" w:color="auto"/>
        <w:left w:val="none" w:sz="0" w:space="0" w:color="auto"/>
        <w:bottom w:val="none" w:sz="0" w:space="0" w:color="auto"/>
        <w:right w:val="none" w:sz="0" w:space="0" w:color="auto"/>
      </w:divBdr>
    </w:div>
    <w:div w:id="723601794">
      <w:bodyDiv w:val="1"/>
      <w:marLeft w:val="0"/>
      <w:marRight w:val="0"/>
      <w:marTop w:val="0"/>
      <w:marBottom w:val="0"/>
      <w:divBdr>
        <w:top w:val="none" w:sz="0" w:space="0" w:color="auto"/>
        <w:left w:val="none" w:sz="0" w:space="0" w:color="auto"/>
        <w:bottom w:val="none" w:sz="0" w:space="0" w:color="auto"/>
        <w:right w:val="none" w:sz="0" w:space="0" w:color="auto"/>
      </w:divBdr>
    </w:div>
    <w:div w:id="723680271">
      <w:bodyDiv w:val="1"/>
      <w:marLeft w:val="0"/>
      <w:marRight w:val="0"/>
      <w:marTop w:val="0"/>
      <w:marBottom w:val="0"/>
      <w:divBdr>
        <w:top w:val="none" w:sz="0" w:space="0" w:color="auto"/>
        <w:left w:val="none" w:sz="0" w:space="0" w:color="auto"/>
        <w:bottom w:val="none" w:sz="0" w:space="0" w:color="auto"/>
        <w:right w:val="none" w:sz="0" w:space="0" w:color="auto"/>
      </w:divBdr>
    </w:div>
    <w:div w:id="723722871">
      <w:bodyDiv w:val="1"/>
      <w:marLeft w:val="0"/>
      <w:marRight w:val="0"/>
      <w:marTop w:val="0"/>
      <w:marBottom w:val="0"/>
      <w:divBdr>
        <w:top w:val="none" w:sz="0" w:space="0" w:color="auto"/>
        <w:left w:val="none" w:sz="0" w:space="0" w:color="auto"/>
        <w:bottom w:val="none" w:sz="0" w:space="0" w:color="auto"/>
        <w:right w:val="none" w:sz="0" w:space="0" w:color="auto"/>
      </w:divBdr>
    </w:div>
    <w:div w:id="723793632">
      <w:bodyDiv w:val="1"/>
      <w:marLeft w:val="0"/>
      <w:marRight w:val="0"/>
      <w:marTop w:val="0"/>
      <w:marBottom w:val="0"/>
      <w:divBdr>
        <w:top w:val="none" w:sz="0" w:space="0" w:color="auto"/>
        <w:left w:val="none" w:sz="0" w:space="0" w:color="auto"/>
        <w:bottom w:val="none" w:sz="0" w:space="0" w:color="auto"/>
        <w:right w:val="none" w:sz="0" w:space="0" w:color="auto"/>
      </w:divBdr>
    </w:div>
    <w:div w:id="723794632">
      <w:bodyDiv w:val="1"/>
      <w:marLeft w:val="0"/>
      <w:marRight w:val="0"/>
      <w:marTop w:val="0"/>
      <w:marBottom w:val="0"/>
      <w:divBdr>
        <w:top w:val="none" w:sz="0" w:space="0" w:color="auto"/>
        <w:left w:val="none" w:sz="0" w:space="0" w:color="auto"/>
        <w:bottom w:val="none" w:sz="0" w:space="0" w:color="auto"/>
        <w:right w:val="none" w:sz="0" w:space="0" w:color="auto"/>
      </w:divBdr>
    </w:div>
    <w:div w:id="723800657">
      <w:bodyDiv w:val="1"/>
      <w:marLeft w:val="0"/>
      <w:marRight w:val="0"/>
      <w:marTop w:val="0"/>
      <w:marBottom w:val="0"/>
      <w:divBdr>
        <w:top w:val="none" w:sz="0" w:space="0" w:color="auto"/>
        <w:left w:val="none" w:sz="0" w:space="0" w:color="auto"/>
        <w:bottom w:val="none" w:sz="0" w:space="0" w:color="auto"/>
        <w:right w:val="none" w:sz="0" w:space="0" w:color="auto"/>
      </w:divBdr>
    </w:div>
    <w:div w:id="723868368">
      <w:bodyDiv w:val="1"/>
      <w:marLeft w:val="0"/>
      <w:marRight w:val="0"/>
      <w:marTop w:val="0"/>
      <w:marBottom w:val="0"/>
      <w:divBdr>
        <w:top w:val="none" w:sz="0" w:space="0" w:color="auto"/>
        <w:left w:val="none" w:sz="0" w:space="0" w:color="auto"/>
        <w:bottom w:val="none" w:sz="0" w:space="0" w:color="auto"/>
        <w:right w:val="none" w:sz="0" w:space="0" w:color="auto"/>
      </w:divBdr>
    </w:div>
    <w:div w:id="723917309">
      <w:bodyDiv w:val="1"/>
      <w:marLeft w:val="0"/>
      <w:marRight w:val="0"/>
      <w:marTop w:val="0"/>
      <w:marBottom w:val="0"/>
      <w:divBdr>
        <w:top w:val="none" w:sz="0" w:space="0" w:color="auto"/>
        <w:left w:val="none" w:sz="0" w:space="0" w:color="auto"/>
        <w:bottom w:val="none" w:sz="0" w:space="0" w:color="auto"/>
        <w:right w:val="none" w:sz="0" w:space="0" w:color="auto"/>
      </w:divBdr>
    </w:div>
    <w:div w:id="723984241">
      <w:bodyDiv w:val="1"/>
      <w:marLeft w:val="0"/>
      <w:marRight w:val="0"/>
      <w:marTop w:val="0"/>
      <w:marBottom w:val="0"/>
      <w:divBdr>
        <w:top w:val="none" w:sz="0" w:space="0" w:color="auto"/>
        <w:left w:val="none" w:sz="0" w:space="0" w:color="auto"/>
        <w:bottom w:val="none" w:sz="0" w:space="0" w:color="auto"/>
        <w:right w:val="none" w:sz="0" w:space="0" w:color="auto"/>
      </w:divBdr>
    </w:div>
    <w:div w:id="723986251">
      <w:bodyDiv w:val="1"/>
      <w:marLeft w:val="0"/>
      <w:marRight w:val="0"/>
      <w:marTop w:val="0"/>
      <w:marBottom w:val="0"/>
      <w:divBdr>
        <w:top w:val="none" w:sz="0" w:space="0" w:color="auto"/>
        <w:left w:val="none" w:sz="0" w:space="0" w:color="auto"/>
        <w:bottom w:val="none" w:sz="0" w:space="0" w:color="auto"/>
        <w:right w:val="none" w:sz="0" w:space="0" w:color="auto"/>
      </w:divBdr>
    </w:div>
    <w:div w:id="724108199">
      <w:bodyDiv w:val="1"/>
      <w:marLeft w:val="0"/>
      <w:marRight w:val="0"/>
      <w:marTop w:val="0"/>
      <w:marBottom w:val="0"/>
      <w:divBdr>
        <w:top w:val="none" w:sz="0" w:space="0" w:color="auto"/>
        <w:left w:val="none" w:sz="0" w:space="0" w:color="auto"/>
        <w:bottom w:val="none" w:sz="0" w:space="0" w:color="auto"/>
        <w:right w:val="none" w:sz="0" w:space="0" w:color="auto"/>
      </w:divBdr>
    </w:div>
    <w:div w:id="724138542">
      <w:bodyDiv w:val="1"/>
      <w:marLeft w:val="0"/>
      <w:marRight w:val="0"/>
      <w:marTop w:val="0"/>
      <w:marBottom w:val="0"/>
      <w:divBdr>
        <w:top w:val="none" w:sz="0" w:space="0" w:color="auto"/>
        <w:left w:val="none" w:sz="0" w:space="0" w:color="auto"/>
        <w:bottom w:val="none" w:sz="0" w:space="0" w:color="auto"/>
        <w:right w:val="none" w:sz="0" w:space="0" w:color="auto"/>
      </w:divBdr>
    </w:div>
    <w:div w:id="724261946">
      <w:bodyDiv w:val="1"/>
      <w:marLeft w:val="0"/>
      <w:marRight w:val="0"/>
      <w:marTop w:val="0"/>
      <w:marBottom w:val="0"/>
      <w:divBdr>
        <w:top w:val="none" w:sz="0" w:space="0" w:color="auto"/>
        <w:left w:val="none" w:sz="0" w:space="0" w:color="auto"/>
        <w:bottom w:val="none" w:sz="0" w:space="0" w:color="auto"/>
        <w:right w:val="none" w:sz="0" w:space="0" w:color="auto"/>
      </w:divBdr>
    </w:div>
    <w:div w:id="724335019">
      <w:bodyDiv w:val="1"/>
      <w:marLeft w:val="0"/>
      <w:marRight w:val="0"/>
      <w:marTop w:val="0"/>
      <w:marBottom w:val="0"/>
      <w:divBdr>
        <w:top w:val="none" w:sz="0" w:space="0" w:color="auto"/>
        <w:left w:val="none" w:sz="0" w:space="0" w:color="auto"/>
        <w:bottom w:val="none" w:sz="0" w:space="0" w:color="auto"/>
        <w:right w:val="none" w:sz="0" w:space="0" w:color="auto"/>
      </w:divBdr>
    </w:div>
    <w:div w:id="724373069">
      <w:bodyDiv w:val="1"/>
      <w:marLeft w:val="0"/>
      <w:marRight w:val="0"/>
      <w:marTop w:val="0"/>
      <w:marBottom w:val="0"/>
      <w:divBdr>
        <w:top w:val="none" w:sz="0" w:space="0" w:color="auto"/>
        <w:left w:val="none" w:sz="0" w:space="0" w:color="auto"/>
        <w:bottom w:val="none" w:sz="0" w:space="0" w:color="auto"/>
        <w:right w:val="none" w:sz="0" w:space="0" w:color="auto"/>
      </w:divBdr>
    </w:div>
    <w:div w:id="724448144">
      <w:bodyDiv w:val="1"/>
      <w:marLeft w:val="0"/>
      <w:marRight w:val="0"/>
      <w:marTop w:val="0"/>
      <w:marBottom w:val="0"/>
      <w:divBdr>
        <w:top w:val="none" w:sz="0" w:space="0" w:color="auto"/>
        <w:left w:val="none" w:sz="0" w:space="0" w:color="auto"/>
        <w:bottom w:val="none" w:sz="0" w:space="0" w:color="auto"/>
        <w:right w:val="none" w:sz="0" w:space="0" w:color="auto"/>
      </w:divBdr>
    </w:div>
    <w:div w:id="724455259">
      <w:bodyDiv w:val="1"/>
      <w:marLeft w:val="0"/>
      <w:marRight w:val="0"/>
      <w:marTop w:val="0"/>
      <w:marBottom w:val="0"/>
      <w:divBdr>
        <w:top w:val="none" w:sz="0" w:space="0" w:color="auto"/>
        <w:left w:val="none" w:sz="0" w:space="0" w:color="auto"/>
        <w:bottom w:val="none" w:sz="0" w:space="0" w:color="auto"/>
        <w:right w:val="none" w:sz="0" w:space="0" w:color="auto"/>
      </w:divBdr>
    </w:div>
    <w:div w:id="724523679">
      <w:bodyDiv w:val="1"/>
      <w:marLeft w:val="0"/>
      <w:marRight w:val="0"/>
      <w:marTop w:val="0"/>
      <w:marBottom w:val="0"/>
      <w:divBdr>
        <w:top w:val="none" w:sz="0" w:space="0" w:color="auto"/>
        <w:left w:val="none" w:sz="0" w:space="0" w:color="auto"/>
        <w:bottom w:val="none" w:sz="0" w:space="0" w:color="auto"/>
        <w:right w:val="none" w:sz="0" w:space="0" w:color="auto"/>
      </w:divBdr>
    </w:div>
    <w:div w:id="724525229">
      <w:bodyDiv w:val="1"/>
      <w:marLeft w:val="0"/>
      <w:marRight w:val="0"/>
      <w:marTop w:val="0"/>
      <w:marBottom w:val="0"/>
      <w:divBdr>
        <w:top w:val="none" w:sz="0" w:space="0" w:color="auto"/>
        <w:left w:val="none" w:sz="0" w:space="0" w:color="auto"/>
        <w:bottom w:val="none" w:sz="0" w:space="0" w:color="auto"/>
        <w:right w:val="none" w:sz="0" w:space="0" w:color="auto"/>
      </w:divBdr>
    </w:div>
    <w:div w:id="724570911">
      <w:bodyDiv w:val="1"/>
      <w:marLeft w:val="0"/>
      <w:marRight w:val="0"/>
      <w:marTop w:val="0"/>
      <w:marBottom w:val="0"/>
      <w:divBdr>
        <w:top w:val="none" w:sz="0" w:space="0" w:color="auto"/>
        <w:left w:val="none" w:sz="0" w:space="0" w:color="auto"/>
        <w:bottom w:val="none" w:sz="0" w:space="0" w:color="auto"/>
        <w:right w:val="none" w:sz="0" w:space="0" w:color="auto"/>
      </w:divBdr>
    </w:div>
    <w:div w:id="724762940">
      <w:bodyDiv w:val="1"/>
      <w:marLeft w:val="0"/>
      <w:marRight w:val="0"/>
      <w:marTop w:val="0"/>
      <w:marBottom w:val="0"/>
      <w:divBdr>
        <w:top w:val="none" w:sz="0" w:space="0" w:color="auto"/>
        <w:left w:val="none" w:sz="0" w:space="0" w:color="auto"/>
        <w:bottom w:val="none" w:sz="0" w:space="0" w:color="auto"/>
        <w:right w:val="none" w:sz="0" w:space="0" w:color="auto"/>
      </w:divBdr>
    </w:div>
    <w:div w:id="724910239">
      <w:bodyDiv w:val="1"/>
      <w:marLeft w:val="0"/>
      <w:marRight w:val="0"/>
      <w:marTop w:val="0"/>
      <w:marBottom w:val="0"/>
      <w:divBdr>
        <w:top w:val="none" w:sz="0" w:space="0" w:color="auto"/>
        <w:left w:val="none" w:sz="0" w:space="0" w:color="auto"/>
        <w:bottom w:val="none" w:sz="0" w:space="0" w:color="auto"/>
        <w:right w:val="none" w:sz="0" w:space="0" w:color="auto"/>
      </w:divBdr>
    </w:div>
    <w:div w:id="724915796">
      <w:bodyDiv w:val="1"/>
      <w:marLeft w:val="0"/>
      <w:marRight w:val="0"/>
      <w:marTop w:val="0"/>
      <w:marBottom w:val="0"/>
      <w:divBdr>
        <w:top w:val="none" w:sz="0" w:space="0" w:color="auto"/>
        <w:left w:val="none" w:sz="0" w:space="0" w:color="auto"/>
        <w:bottom w:val="none" w:sz="0" w:space="0" w:color="auto"/>
        <w:right w:val="none" w:sz="0" w:space="0" w:color="auto"/>
      </w:divBdr>
    </w:div>
    <w:div w:id="724986947">
      <w:bodyDiv w:val="1"/>
      <w:marLeft w:val="0"/>
      <w:marRight w:val="0"/>
      <w:marTop w:val="0"/>
      <w:marBottom w:val="0"/>
      <w:divBdr>
        <w:top w:val="none" w:sz="0" w:space="0" w:color="auto"/>
        <w:left w:val="none" w:sz="0" w:space="0" w:color="auto"/>
        <w:bottom w:val="none" w:sz="0" w:space="0" w:color="auto"/>
        <w:right w:val="none" w:sz="0" w:space="0" w:color="auto"/>
      </w:divBdr>
    </w:div>
    <w:div w:id="725298268">
      <w:bodyDiv w:val="1"/>
      <w:marLeft w:val="0"/>
      <w:marRight w:val="0"/>
      <w:marTop w:val="0"/>
      <w:marBottom w:val="0"/>
      <w:divBdr>
        <w:top w:val="none" w:sz="0" w:space="0" w:color="auto"/>
        <w:left w:val="none" w:sz="0" w:space="0" w:color="auto"/>
        <w:bottom w:val="none" w:sz="0" w:space="0" w:color="auto"/>
        <w:right w:val="none" w:sz="0" w:space="0" w:color="auto"/>
      </w:divBdr>
    </w:div>
    <w:div w:id="725301016">
      <w:bodyDiv w:val="1"/>
      <w:marLeft w:val="0"/>
      <w:marRight w:val="0"/>
      <w:marTop w:val="0"/>
      <w:marBottom w:val="0"/>
      <w:divBdr>
        <w:top w:val="none" w:sz="0" w:space="0" w:color="auto"/>
        <w:left w:val="none" w:sz="0" w:space="0" w:color="auto"/>
        <w:bottom w:val="none" w:sz="0" w:space="0" w:color="auto"/>
        <w:right w:val="none" w:sz="0" w:space="0" w:color="auto"/>
      </w:divBdr>
    </w:div>
    <w:div w:id="725375894">
      <w:bodyDiv w:val="1"/>
      <w:marLeft w:val="0"/>
      <w:marRight w:val="0"/>
      <w:marTop w:val="0"/>
      <w:marBottom w:val="0"/>
      <w:divBdr>
        <w:top w:val="none" w:sz="0" w:space="0" w:color="auto"/>
        <w:left w:val="none" w:sz="0" w:space="0" w:color="auto"/>
        <w:bottom w:val="none" w:sz="0" w:space="0" w:color="auto"/>
        <w:right w:val="none" w:sz="0" w:space="0" w:color="auto"/>
      </w:divBdr>
    </w:div>
    <w:div w:id="725378301">
      <w:bodyDiv w:val="1"/>
      <w:marLeft w:val="0"/>
      <w:marRight w:val="0"/>
      <w:marTop w:val="0"/>
      <w:marBottom w:val="0"/>
      <w:divBdr>
        <w:top w:val="none" w:sz="0" w:space="0" w:color="auto"/>
        <w:left w:val="none" w:sz="0" w:space="0" w:color="auto"/>
        <w:bottom w:val="none" w:sz="0" w:space="0" w:color="auto"/>
        <w:right w:val="none" w:sz="0" w:space="0" w:color="auto"/>
      </w:divBdr>
    </w:div>
    <w:div w:id="725449540">
      <w:bodyDiv w:val="1"/>
      <w:marLeft w:val="0"/>
      <w:marRight w:val="0"/>
      <w:marTop w:val="0"/>
      <w:marBottom w:val="0"/>
      <w:divBdr>
        <w:top w:val="none" w:sz="0" w:space="0" w:color="auto"/>
        <w:left w:val="none" w:sz="0" w:space="0" w:color="auto"/>
        <w:bottom w:val="none" w:sz="0" w:space="0" w:color="auto"/>
        <w:right w:val="none" w:sz="0" w:space="0" w:color="auto"/>
      </w:divBdr>
    </w:div>
    <w:div w:id="725685792">
      <w:bodyDiv w:val="1"/>
      <w:marLeft w:val="0"/>
      <w:marRight w:val="0"/>
      <w:marTop w:val="0"/>
      <w:marBottom w:val="0"/>
      <w:divBdr>
        <w:top w:val="none" w:sz="0" w:space="0" w:color="auto"/>
        <w:left w:val="none" w:sz="0" w:space="0" w:color="auto"/>
        <w:bottom w:val="none" w:sz="0" w:space="0" w:color="auto"/>
        <w:right w:val="none" w:sz="0" w:space="0" w:color="auto"/>
      </w:divBdr>
    </w:div>
    <w:div w:id="725756928">
      <w:bodyDiv w:val="1"/>
      <w:marLeft w:val="0"/>
      <w:marRight w:val="0"/>
      <w:marTop w:val="0"/>
      <w:marBottom w:val="0"/>
      <w:divBdr>
        <w:top w:val="none" w:sz="0" w:space="0" w:color="auto"/>
        <w:left w:val="none" w:sz="0" w:space="0" w:color="auto"/>
        <w:bottom w:val="none" w:sz="0" w:space="0" w:color="auto"/>
        <w:right w:val="none" w:sz="0" w:space="0" w:color="auto"/>
      </w:divBdr>
    </w:div>
    <w:div w:id="725762196">
      <w:bodyDiv w:val="1"/>
      <w:marLeft w:val="0"/>
      <w:marRight w:val="0"/>
      <w:marTop w:val="0"/>
      <w:marBottom w:val="0"/>
      <w:divBdr>
        <w:top w:val="none" w:sz="0" w:space="0" w:color="auto"/>
        <w:left w:val="none" w:sz="0" w:space="0" w:color="auto"/>
        <w:bottom w:val="none" w:sz="0" w:space="0" w:color="auto"/>
        <w:right w:val="none" w:sz="0" w:space="0" w:color="auto"/>
      </w:divBdr>
    </w:div>
    <w:div w:id="725764197">
      <w:bodyDiv w:val="1"/>
      <w:marLeft w:val="0"/>
      <w:marRight w:val="0"/>
      <w:marTop w:val="0"/>
      <w:marBottom w:val="0"/>
      <w:divBdr>
        <w:top w:val="none" w:sz="0" w:space="0" w:color="auto"/>
        <w:left w:val="none" w:sz="0" w:space="0" w:color="auto"/>
        <w:bottom w:val="none" w:sz="0" w:space="0" w:color="auto"/>
        <w:right w:val="none" w:sz="0" w:space="0" w:color="auto"/>
      </w:divBdr>
    </w:div>
    <w:div w:id="725841648">
      <w:bodyDiv w:val="1"/>
      <w:marLeft w:val="0"/>
      <w:marRight w:val="0"/>
      <w:marTop w:val="0"/>
      <w:marBottom w:val="0"/>
      <w:divBdr>
        <w:top w:val="none" w:sz="0" w:space="0" w:color="auto"/>
        <w:left w:val="none" w:sz="0" w:space="0" w:color="auto"/>
        <w:bottom w:val="none" w:sz="0" w:space="0" w:color="auto"/>
        <w:right w:val="none" w:sz="0" w:space="0" w:color="auto"/>
      </w:divBdr>
    </w:div>
    <w:div w:id="725877867">
      <w:bodyDiv w:val="1"/>
      <w:marLeft w:val="0"/>
      <w:marRight w:val="0"/>
      <w:marTop w:val="0"/>
      <w:marBottom w:val="0"/>
      <w:divBdr>
        <w:top w:val="none" w:sz="0" w:space="0" w:color="auto"/>
        <w:left w:val="none" w:sz="0" w:space="0" w:color="auto"/>
        <w:bottom w:val="none" w:sz="0" w:space="0" w:color="auto"/>
        <w:right w:val="none" w:sz="0" w:space="0" w:color="auto"/>
      </w:divBdr>
    </w:div>
    <w:div w:id="725958722">
      <w:bodyDiv w:val="1"/>
      <w:marLeft w:val="0"/>
      <w:marRight w:val="0"/>
      <w:marTop w:val="0"/>
      <w:marBottom w:val="0"/>
      <w:divBdr>
        <w:top w:val="none" w:sz="0" w:space="0" w:color="auto"/>
        <w:left w:val="none" w:sz="0" w:space="0" w:color="auto"/>
        <w:bottom w:val="none" w:sz="0" w:space="0" w:color="auto"/>
        <w:right w:val="none" w:sz="0" w:space="0" w:color="auto"/>
      </w:divBdr>
    </w:div>
    <w:div w:id="726034115">
      <w:bodyDiv w:val="1"/>
      <w:marLeft w:val="0"/>
      <w:marRight w:val="0"/>
      <w:marTop w:val="0"/>
      <w:marBottom w:val="0"/>
      <w:divBdr>
        <w:top w:val="none" w:sz="0" w:space="0" w:color="auto"/>
        <w:left w:val="none" w:sz="0" w:space="0" w:color="auto"/>
        <w:bottom w:val="none" w:sz="0" w:space="0" w:color="auto"/>
        <w:right w:val="none" w:sz="0" w:space="0" w:color="auto"/>
      </w:divBdr>
    </w:div>
    <w:div w:id="726146841">
      <w:bodyDiv w:val="1"/>
      <w:marLeft w:val="0"/>
      <w:marRight w:val="0"/>
      <w:marTop w:val="0"/>
      <w:marBottom w:val="0"/>
      <w:divBdr>
        <w:top w:val="none" w:sz="0" w:space="0" w:color="auto"/>
        <w:left w:val="none" w:sz="0" w:space="0" w:color="auto"/>
        <w:bottom w:val="none" w:sz="0" w:space="0" w:color="auto"/>
        <w:right w:val="none" w:sz="0" w:space="0" w:color="auto"/>
      </w:divBdr>
    </w:div>
    <w:div w:id="726219906">
      <w:bodyDiv w:val="1"/>
      <w:marLeft w:val="0"/>
      <w:marRight w:val="0"/>
      <w:marTop w:val="0"/>
      <w:marBottom w:val="0"/>
      <w:divBdr>
        <w:top w:val="none" w:sz="0" w:space="0" w:color="auto"/>
        <w:left w:val="none" w:sz="0" w:space="0" w:color="auto"/>
        <w:bottom w:val="none" w:sz="0" w:space="0" w:color="auto"/>
        <w:right w:val="none" w:sz="0" w:space="0" w:color="auto"/>
      </w:divBdr>
    </w:div>
    <w:div w:id="726339804">
      <w:bodyDiv w:val="1"/>
      <w:marLeft w:val="0"/>
      <w:marRight w:val="0"/>
      <w:marTop w:val="0"/>
      <w:marBottom w:val="0"/>
      <w:divBdr>
        <w:top w:val="none" w:sz="0" w:space="0" w:color="auto"/>
        <w:left w:val="none" w:sz="0" w:space="0" w:color="auto"/>
        <w:bottom w:val="none" w:sz="0" w:space="0" w:color="auto"/>
        <w:right w:val="none" w:sz="0" w:space="0" w:color="auto"/>
      </w:divBdr>
    </w:div>
    <w:div w:id="726341281">
      <w:bodyDiv w:val="1"/>
      <w:marLeft w:val="0"/>
      <w:marRight w:val="0"/>
      <w:marTop w:val="0"/>
      <w:marBottom w:val="0"/>
      <w:divBdr>
        <w:top w:val="none" w:sz="0" w:space="0" w:color="auto"/>
        <w:left w:val="none" w:sz="0" w:space="0" w:color="auto"/>
        <w:bottom w:val="none" w:sz="0" w:space="0" w:color="auto"/>
        <w:right w:val="none" w:sz="0" w:space="0" w:color="auto"/>
      </w:divBdr>
    </w:div>
    <w:div w:id="726412330">
      <w:bodyDiv w:val="1"/>
      <w:marLeft w:val="0"/>
      <w:marRight w:val="0"/>
      <w:marTop w:val="0"/>
      <w:marBottom w:val="0"/>
      <w:divBdr>
        <w:top w:val="none" w:sz="0" w:space="0" w:color="auto"/>
        <w:left w:val="none" w:sz="0" w:space="0" w:color="auto"/>
        <w:bottom w:val="none" w:sz="0" w:space="0" w:color="auto"/>
        <w:right w:val="none" w:sz="0" w:space="0" w:color="auto"/>
      </w:divBdr>
    </w:div>
    <w:div w:id="726412826">
      <w:bodyDiv w:val="1"/>
      <w:marLeft w:val="0"/>
      <w:marRight w:val="0"/>
      <w:marTop w:val="0"/>
      <w:marBottom w:val="0"/>
      <w:divBdr>
        <w:top w:val="none" w:sz="0" w:space="0" w:color="auto"/>
        <w:left w:val="none" w:sz="0" w:space="0" w:color="auto"/>
        <w:bottom w:val="none" w:sz="0" w:space="0" w:color="auto"/>
        <w:right w:val="none" w:sz="0" w:space="0" w:color="auto"/>
      </w:divBdr>
    </w:div>
    <w:div w:id="726414906">
      <w:bodyDiv w:val="1"/>
      <w:marLeft w:val="0"/>
      <w:marRight w:val="0"/>
      <w:marTop w:val="0"/>
      <w:marBottom w:val="0"/>
      <w:divBdr>
        <w:top w:val="none" w:sz="0" w:space="0" w:color="auto"/>
        <w:left w:val="none" w:sz="0" w:space="0" w:color="auto"/>
        <w:bottom w:val="none" w:sz="0" w:space="0" w:color="auto"/>
        <w:right w:val="none" w:sz="0" w:space="0" w:color="auto"/>
      </w:divBdr>
    </w:div>
    <w:div w:id="726490939">
      <w:bodyDiv w:val="1"/>
      <w:marLeft w:val="0"/>
      <w:marRight w:val="0"/>
      <w:marTop w:val="0"/>
      <w:marBottom w:val="0"/>
      <w:divBdr>
        <w:top w:val="none" w:sz="0" w:space="0" w:color="auto"/>
        <w:left w:val="none" w:sz="0" w:space="0" w:color="auto"/>
        <w:bottom w:val="none" w:sz="0" w:space="0" w:color="auto"/>
        <w:right w:val="none" w:sz="0" w:space="0" w:color="auto"/>
      </w:divBdr>
    </w:div>
    <w:div w:id="726493250">
      <w:bodyDiv w:val="1"/>
      <w:marLeft w:val="0"/>
      <w:marRight w:val="0"/>
      <w:marTop w:val="0"/>
      <w:marBottom w:val="0"/>
      <w:divBdr>
        <w:top w:val="none" w:sz="0" w:space="0" w:color="auto"/>
        <w:left w:val="none" w:sz="0" w:space="0" w:color="auto"/>
        <w:bottom w:val="none" w:sz="0" w:space="0" w:color="auto"/>
        <w:right w:val="none" w:sz="0" w:space="0" w:color="auto"/>
      </w:divBdr>
    </w:div>
    <w:div w:id="726532341">
      <w:bodyDiv w:val="1"/>
      <w:marLeft w:val="0"/>
      <w:marRight w:val="0"/>
      <w:marTop w:val="0"/>
      <w:marBottom w:val="0"/>
      <w:divBdr>
        <w:top w:val="none" w:sz="0" w:space="0" w:color="auto"/>
        <w:left w:val="none" w:sz="0" w:space="0" w:color="auto"/>
        <w:bottom w:val="none" w:sz="0" w:space="0" w:color="auto"/>
        <w:right w:val="none" w:sz="0" w:space="0" w:color="auto"/>
      </w:divBdr>
    </w:div>
    <w:div w:id="726684793">
      <w:bodyDiv w:val="1"/>
      <w:marLeft w:val="0"/>
      <w:marRight w:val="0"/>
      <w:marTop w:val="0"/>
      <w:marBottom w:val="0"/>
      <w:divBdr>
        <w:top w:val="none" w:sz="0" w:space="0" w:color="auto"/>
        <w:left w:val="none" w:sz="0" w:space="0" w:color="auto"/>
        <w:bottom w:val="none" w:sz="0" w:space="0" w:color="auto"/>
        <w:right w:val="none" w:sz="0" w:space="0" w:color="auto"/>
      </w:divBdr>
    </w:div>
    <w:div w:id="726732942">
      <w:bodyDiv w:val="1"/>
      <w:marLeft w:val="0"/>
      <w:marRight w:val="0"/>
      <w:marTop w:val="0"/>
      <w:marBottom w:val="0"/>
      <w:divBdr>
        <w:top w:val="none" w:sz="0" w:space="0" w:color="auto"/>
        <w:left w:val="none" w:sz="0" w:space="0" w:color="auto"/>
        <w:bottom w:val="none" w:sz="0" w:space="0" w:color="auto"/>
        <w:right w:val="none" w:sz="0" w:space="0" w:color="auto"/>
      </w:divBdr>
    </w:div>
    <w:div w:id="726759206">
      <w:bodyDiv w:val="1"/>
      <w:marLeft w:val="0"/>
      <w:marRight w:val="0"/>
      <w:marTop w:val="0"/>
      <w:marBottom w:val="0"/>
      <w:divBdr>
        <w:top w:val="none" w:sz="0" w:space="0" w:color="auto"/>
        <w:left w:val="none" w:sz="0" w:space="0" w:color="auto"/>
        <w:bottom w:val="none" w:sz="0" w:space="0" w:color="auto"/>
        <w:right w:val="none" w:sz="0" w:space="0" w:color="auto"/>
      </w:divBdr>
    </w:div>
    <w:div w:id="727219797">
      <w:bodyDiv w:val="1"/>
      <w:marLeft w:val="0"/>
      <w:marRight w:val="0"/>
      <w:marTop w:val="0"/>
      <w:marBottom w:val="0"/>
      <w:divBdr>
        <w:top w:val="none" w:sz="0" w:space="0" w:color="auto"/>
        <w:left w:val="none" w:sz="0" w:space="0" w:color="auto"/>
        <w:bottom w:val="none" w:sz="0" w:space="0" w:color="auto"/>
        <w:right w:val="none" w:sz="0" w:space="0" w:color="auto"/>
      </w:divBdr>
    </w:div>
    <w:div w:id="727266983">
      <w:bodyDiv w:val="1"/>
      <w:marLeft w:val="0"/>
      <w:marRight w:val="0"/>
      <w:marTop w:val="0"/>
      <w:marBottom w:val="0"/>
      <w:divBdr>
        <w:top w:val="none" w:sz="0" w:space="0" w:color="auto"/>
        <w:left w:val="none" w:sz="0" w:space="0" w:color="auto"/>
        <w:bottom w:val="none" w:sz="0" w:space="0" w:color="auto"/>
        <w:right w:val="none" w:sz="0" w:space="0" w:color="auto"/>
      </w:divBdr>
    </w:div>
    <w:div w:id="727388229">
      <w:bodyDiv w:val="1"/>
      <w:marLeft w:val="0"/>
      <w:marRight w:val="0"/>
      <w:marTop w:val="0"/>
      <w:marBottom w:val="0"/>
      <w:divBdr>
        <w:top w:val="none" w:sz="0" w:space="0" w:color="auto"/>
        <w:left w:val="none" w:sz="0" w:space="0" w:color="auto"/>
        <w:bottom w:val="none" w:sz="0" w:space="0" w:color="auto"/>
        <w:right w:val="none" w:sz="0" w:space="0" w:color="auto"/>
      </w:divBdr>
    </w:div>
    <w:div w:id="727458118">
      <w:bodyDiv w:val="1"/>
      <w:marLeft w:val="0"/>
      <w:marRight w:val="0"/>
      <w:marTop w:val="0"/>
      <w:marBottom w:val="0"/>
      <w:divBdr>
        <w:top w:val="none" w:sz="0" w:space="0" w:color="auto"/>
        <w:left w:val="none" w:sz="0" w:space="0" w:color="auto"/>
        <w:bottom w:val="none" w:sz="0" w:space="0" w:color="auto"/>
        <w:right w:val="none" w:sz="0" w:space="0" w:color="auto"/>
      </w:divBdr>
    </w:div>
    <w:div w:id="727461878">
      <w:bodyDiv w:val="1"/>
      <w:marLeft w:val="0"/>
      <w:marRight w:val="0"/>
      <w:marTop w:val="0"/>
      <w:marBottom w:val="0"/>
      <w:divBdr>
        <w:top w:val="none" w:sz="0" w:space="0" w:color="auto"/>
        <w:left w:val="none" w:sz="0" w:space="0" w:color="auto"/>
        <w:bottom w:val="none" w:sz="0" w:space="0" w:color="auto"/>
        <w:right w:val="none" w:sz="0" w:space="0" w:color="auto"/>
      </w:divBdr>
    </w:div>
    <w:div w:id="727799153">
      <w:bodyDiv w:val="1"/>
      <w:marLeft w:val="0"/>
      <w:marRight w:val="0"/>
      <w:marTop w:val="0"/>
      <w:marBottom w:val="0"/>
      <w:divBdr>
        <w:top w:val="none" w:sz="0" w:space="0" w:color="auto"/>
        <w:left w:val="none" w:sz="0" w:space="0" w:color="auto"/>
        <w:bottom w:val="none" w:sz="0" w:space="0" w:color="auto"/>
        <w:right w:val="none" w:sz="0" w:space="0" w:color="auto"/>
      </w:divBdr>
    </w:div>
    <w:div w:id="727873309">
      <w:bodyDiv w:val="1"/>
      <w:marLeft w:val="0"/>
      <w:marRight w:val="0"/>
      <w:marTop w:val="0"/>
      <w:marBottom w:val="0"/>
      <w:divBdr>
        <w:top w:val="none" w:sz="0" w:space="0" w:color="auto"/>
        <w:left w:val="none" w:sz="0" w:space="0" w:color="auto"/>
        <w:bottom w:val="none" w:sz="0" w:space="0" w:color="auto"/>
        <w:right w:val="none" w:sz="0" w:space="0" w:color="auto"/>
      </w:divBdr>
    </w:div>
    <w:div w:id="727916355">
      <w:bodyDiv w:val="1"/>
      <w:marLeft w:val="0"/>
      <w:marRight w:val="0"/>
      <w:marTop w:val="0"/>
      <w:marBottom w:val="0"/>
      <w:divBdr>
        <w:top w:val="none" w:sz="0" w:space="0" w:color="auto"/>
        <w:left w:val="none" w:sz="0" w:space="0" w:color="auto"/>
        <w:bottom w:val="none" w:sz="0" w:space="0" w:color="auto"/>
        <w:right w:val="none" w:sz="0" w:space="0" w:color="auto"/>
      </w:divBdr>
    </w:div>
    <w:div w:id="728118729">
      <w:bodyDiv w:val="1"/>
      <w:marLeft w:val="0"/>
      <w:marRight w:val="0"/>
      <w:marTop w:val="0"/>
      <w:marBottom w:val="0"/>
      <w:divBdr>
        <w:top w:val="none" w:sz="0" w:space="0" w:color="auto"/>
        <w:left w:val="none" w:sz="0" w:space="0" w:color="auto"/>
        <w:bottom w:val="none" w:sz="0" w:space="0" w:color="auto"/>
        <w:right w:val="none" w:sz="0" w:space="0" w:color="auto"/>
      </w:divBdr>
    </w:div>
    <w:div w:id="728189698">
      <w:bodyDiv w:val="1"/>
      <w:marLeft w:val="0"/>
      <w:marRight w:val="0"/>
      <w:marTop w:val="0"/>
      <w:marBottom w:val="0"/>
      <w:divBdr>
        <w:top w:val="none" w:sz="0" w:space="0" w:color="auto"/>
        <w:left w:val="none" w:sz="0" w:space="0" w:color="auto"/>
        <w:bottom w:val="none" w:sz="0" w:space="0" w:color="auto"/>
        <w:right w:val="none" w:sz="0" w:space="0" w:color="auto"/>
      </w:divBdr>
    </w:div>
    <w:div w:id="728192361">
      <w:bodyDiv w:val="1"/>
      <w:marLeft w:val="0"/>
      <w:marRight w:val="0"/>
      <w:marTop w:val="0"/>
      <w:marBottom w:val="0"/>
      <w:divBdr>
        <w:top w:val="none" w:sz="0" w:space="0" w:color="auto"/>
        <w:left w:val="none" w:sz="0" w:space="0" w:color="auto"/>
        <w:bottom w:val="none" w:sz="0" w:space="0" w:color="auto"/>
        <w:right w:val="none" w:sz="0" w:space="0" w:color="auto"/>
      </w:divBdr>
    </w:div>
    <w:div w:id="728259859">
      <w:bodyDiv w:val="1"/>
      <w:marLeft w:val="0"/>
      <w:marRight w:val="0"/>
      <w:marTop w:val="0"/>
      <w:marBottom w:val="0"/>
      <w:divBdr>
        <w:top w:val="none" w:sz="0" w:space="0" w:color="auto"/>
        <w:left w:val="none" w:sz="0" w:space="0" w:color="auto"/>
        <w:bottom w:val="none" w:sz="0" w:space="0" w:color="auto"/>
        <w:right w:val="none" w:sz="0" w:space="0" w:color="auto"/>
      </w:divBdr>
    </w:div>
    <w:div w:id="728457989">
      <w:bodyDiv w:val="1"/>
      <w:marLeft w:val="0"/>
      <w:marRight w:val="0"/>
      <w:marTop w:val="0"/>
      <w:marBottom w:val="0"/>
      <w:divBdr>
        <w:top w:val="none" w:sz="0" w:space="0" w:color="auto"/>
        <w:left w:val="none" w:sz="0" w:space="0" w:color="auto"/>
        <w:bottom w:val="none" w:sz="0" w:space="0" w:color="auto"/>
        <w:right w:val="none" w:sz="0" w:space="0" w:color="auto"/>
      </w:divBdr>
    </w:div>
    <w:div w:id="728529292">
      <w:bodyDiv w:val="1"/>
      <w:marLeft w:val="0"/>
      <w:marRight w:val="0"/>
      <w:marTop w:val="0"/>
      <w:marBottom w:val="0"/>
      <w:divBdr>
        <w:top w:val="none" w:sz="0" w:space="0" w:color="auto"/>
        <w:left w:val="none" w:sz="0" w:space="0" w:color="auto"/>
        <w:bottom w:val="none" w:sz="0" w:space="0" w:color="auto"/>
        <w:right w:val="none" w:sz="0" w:space="0" w:color="auto"/>
      </w:divBdr>
    </w:div>
    <w:div w:id="728571964">
      <w:bodyDiv w:val="1"/>
      <w:marLeft w:val="0"/>
      <w:marRight w:val="0"/>
      <w:marTop w:val="0"/>
      <w:marBottom w:val="0"/>
      <w:divBdr>
        <w:top w:val="none" w:sz="0" w:space="0" w:color="auto"/>
        <w:left w:val="none" w:sz="0" w:space="0" w:color="auto"/>
        <w:bottom w:val="none" w:sz="0" w:space="0" w:color="auto"/>
        <w:right w:val="none" w:sz="0" w:space="0" w:color="auto"/>
      </w:divBdr>
    </w:div>
    <w:div w:id="728724418">
      <w:bodyDiv w:val="1"/>
      <w:marLeft w:val="0"/>
      <w:marRight w:val="0"/>
      <w:marTop w:val="0"/>
      <w:marBottom w:val="0"/>
      <w:divBdr>
        <w:top w:val="none" w:sz="0" w:space="0" w:color="auto"/>
        <w:left w:val="none" w:sz="0" w:space="0" w:color="auto"/>
        <w:bottom w:val="none" w:sz="0" w:space="0" w:color="auto"/>
        <w:right w:val="none" w:sz="0" w:space="0" w:color="auto"/>
      </w:divBdr>
    </w:div>
    <w:div w:id="728958266">
      <w:bodyDiv w:val="1"/>
      <w:marLeft w:val="0"/>
      <w:marRight w:val="0"/>
      <w:marTop w:val="0"/>
      <w:marBottom w:val="0"/>
      <w:divBdr>
        <w:top w:val="none" w:sz="0" w:space="0" w:color="auto"/>
        <w:left w:val="none" w:sz="0" w:space="0" w:color="auto"/>
        <w:bottom w:val="none" w:sz="0" w:space="0" w:color="auto"/>
        <w:right w:val="none" w:sz="0" w:space="0" w:color="auto"/>
      </w:divBdr>
    </w:div>
    <w:div w:id="729040338">
      <w:bodyDiv w:val="1"/>
      <w:marLeft w:val="0"/>
      <w:marRight w:val="0"/>
      <w:marTop w:val="0"/>
      <w:marBottom w:val="0"/>
      <w:divBdr>
        <w:top w:val="none" w:sz="0" w:space="0" w:color="auto"/>
        <w:left w:val="none" w:sz="0" w:space="0" w:color="auto"/>
        <w:bottom w:val="none" w:sz="0" w:space="0" w:color="auto"/>
        <w:right w:val="none" w:sz="0" w:space="0" w:color="auto"/>
      </w:divBdr>
    </w:div>
    <w:div w:id="729110742">
      <w:bodyDiv w:val="1"/>
      <w:marLeft w:val="0"/>
      <w:marRight w:val="0"/>
      <w:marTop w:val="0"/>
      <w:marBottom w:val="0"/>
      <w:divBdr>
        <w:top w:val="none" w:sz="0" w:space="0" w:color="auto"/>
        <w:left w:val="none" w:sz="0" w:space="0" w:color="auto"/>
        <w:bottom w:val="none" w:sz="0" w:space="0" w:color="auto"/>
        <w:right w:val="none" w:sz="0" w:space="0" w:color="auto"/>
      </w:divBdr>
    </w:div>
    <w:div w:id="729159415">
      <w:bodyDiv w:val="1"/>
      <w:marLeft w:val="0"/>
      <w:marRight w:val="0"/>
      <w:marTop w:val="0"/>
      <w:marBottom w:val="0"/>
      <w:divBdr>
        <w:top w:val="none" w:sz="0" w:space="0" w:color="auto"/>
        <w:left w:val="none" w:sz="0" w:space="0" w:color="auto"/>
        <w:bottom w:val="none" w:sz="0" w:space="0" w:color="auto"/>
        <w:right w:val="none" w:sz="0" w:space="0" w:color="auto"/>
      </w:divBdr>
    </w:div>
    <w:div w:id="729228307">
      <w:bodyDiv w:val="1"/>
      <w:marLeft w:val="0"/>
      <w:marRight w:val="0"/>
      <w:marTop w:val="0"/>
      <w:marBottom w:val="0"/>
      <w:divBdr>
        <w:top w:val="none" w:sz="0" w:space="0" w:color="auto"/>
        <w:left w:val="none" w:sz="0" w:space="0" w:color="auto"/>
        <w:bottom w:val="none" w:sz="0" w:space="0" w:color="auto"/>
        <w:right w:val="none" w:sz="0" w:space="0" w:color="auto"/>
      </w:divBdr>
    </w:div>
    <w:div w:id="729232231">
      <w:bodyDiv w:val="1"/>
      <w:marLeft w:val="0"/>
      <w:marRight w:val="0"/>
      <w:marTop w:val="0"/>
      <w:marBottom w:val="0"/>
      <w:divBdr>
        <w:top w:val="none" w:sz="0" w:space="0" w:color="auto"/>
        <w:left w:val="none" w:sz="0" w:space="0" w:color="auto"/>
        <w:bottom w:val="none" w:sz="0" w:space="0" w:color="auto"/>
        <w:right w:val="none" w:sz="0" w:space="0" w:color="auto"/>
      </w:divBdr>
    </w:div>
    <w:div w:id="729302575">
      <w:bodyDiv w:val="1"/>
      <w:marLeft w:val="0"/>
      <w:marRight w:val="0"/>
      <w:marTop w:val="0"/>
      <w:marBottom w:val="0"/>
      <w:divBdr>
        <w:top w:val="none" w:sz="0" w:space="0" w:color="auto"/>
        <w:left w:val="none" w:sz="0" w:space="0" w:color="auto"/>
        <w:bottom w:val="none" w:sz="0" w:space="0" w:color="auto"/>
        <w:right w:val="none" w:sz="0" w:space="0" w:color="auto"/>
      </w:divBdr>
    </w:div>
    <w:div w:id="729308459">
      <w:bodyDiv w:val="1"/>
      <w:marLeft w:val="0"/>
      <w:marRight w:val="0"/>
      <w:marTop w:val="0"/>
      <w:marBottom w:val="0"/>
      <w:divBdr>
        <w:top w:val="none" w:sz="0" w:space="0" w:color="auto"/>
        <w:left w:val="none" w:sz="0" w:space="0" w:color="auto"/>
        <w:bottom w:val="none" w:sz="0" w:space="0" w:color="auto"/>
        <w:right w:val="none" w:sz="0" w:space="0" w:color="auto"/>
      </w:divBdr>
    </w:div>
    <w:div w:id="729496945">
      <w:bodyDiv w:val="1"/>
      <w:marLeft w:val="0"/>
      <w:marRight w:val="0"/>
      <w:marTop w:val="0"/>
      <w:marBottom w:val="0"/>
      <w:divBdr>
        <w:top w:val="none" w:sz="0" w:space="0" w:color="auto"/>
        <w:left w:val="none" w:sz="0" w:space="0" w:color="auto"/>
        <w:bottom w:val="none" w:sz="0" w:space="0" w:color="auto"/>
        <w:right w:val="none" w:sz="0" w:space="0" w:color="auto"/>
      </w:divBdr>
    </w:div>
    <w:div w:id="729578475">
      <w:bodyDiv w:val="1"/>
      <w:marLeft w:val="0"/>
      <w:marRight w:val="0"/>
      <w:marTop w:val="0"/>
      <w:marBottom w:val="0"/>
      <w:divBdr>
        <w:top w:val="none" w:sz="0" w:space="0" w:color="auto"/>
        <w:left w:val="none" w:sz="0" w:space="0" w:color="auto"/>
        <w:bottom w:val="none" w:sz="0" w:space="0" w:color="auto"/>
        <w:right w:val="none" w:sz="0" w:space="0" w:color="auto"/>
      </w:divBdr>
    </w:div>
    <w:div w:id="729886581">
      <w:bodyDiv w:val="1"/>
      <w:marLeft w:val="0"/>
      <w:marRight w:val="0"/>
      <w:marTop w:val="0"/>
      <w:marBottom w:val="0"/>
      <w:divBdr>
        <w:top w:val="none" w:sz="0" w:space="0" w:color="auto"/>
        <w:left w:val="none" w:sz="0" w:space="0" w:color="auto"/>
        <w:bottom w:val="none" w:sz="0" w:space="0" w:color="auto"/>
        <w:right w:val="none" w:sz="0" w:space="0" w:color="auto"/>
      </w:divBdr>
    </w:div>
    <w:div w:id="729888477">
      <w:bodyDiv w:val="1"/>
      <w:marLeft w:val="0"/>
      <w:marRight w:val="0"/>
      <w:marTop w:val="0"/>
      <w:marBottom w:val="0"/>
      <w:divBdr>
        <w:top w:val="none" w:sz="0" w:space="0" w:color="auto"/>
        <w:left w:val="none" w:sz="0" w:space="0" w:color="auto"/>
        <w:bottom w:val="none" w:sz="0" w:space="0" w:color="auto"/>
        <w:right w:val="none" w:sz="0" w:space="0" w:color="auto"/>
      </w:divBdr>
    </w:div>
    <w:div w:id="730226067">
      <w:bodyDiv w:val="1"/>
      <w:marLeft w:val="0"/>
      <w:marRight w:val="0"/>
      <w:marTop w:val="0"/>
      <w:marBottom w:val="0"/>
      <w:divBdr>
        <w:top w:val="none" w:sz="0" w:space="0" w:color="auto"/>
        <w:left w:val="none" w:sz="0" w:space="0" w:color="auto"/>
        <w:bottom w:val="none" w:sz="0" w:space="0" w:color="auto"/>
        <w:right w:val="none" w:sz="0" w:space="0" w:color="auto"/>
      </w:divBdr>
    </w:div>
    <w:div w:id="730226881">
      <w:bodyDiv w:val="1"/>
      <w:marLeft w:val="0"/>
      <w:marRight w:val="0"/>
      <w:marTop w:val="0"/>
      <w:marBottom w:val="0"/>
      <w:divBdr>
        <w:top w:val="none" w:sz="0" w:space="0" w:color="auto"/>
        <w:left w:val="none" w:sz="0" w:space="0" w:color="auto"/>
        <w:bottom w:val="none" w:sz="0" w:space="0" w:color="auto"/>
        <w:right w:val="none" w:sz="0" w:space="0" w:color="auto"/>
      </w:divBdr>
    </w:div>
    <w:div w:id="730273499">
      <w:bodyDiv w:val="1"/>
      <w:marLeft w:val="0"/>
      <w:marRight w:val="0"/>
      <w:marTop w:val="0"/>
      <w:marBottom w:val="0"/>
      <w:divBdr>
        <w:top w:val="none" w:sz="0" w:space="0" w:color="auto"/>
        <w:left w:val="none" w:sz="0" w:space="0" w:color="auto"/>
        <w:bottom w:val="none" w:sz="0" w:space="0" w:color="auto"/>
        <w:right w:val="none" w:sz="0" w:space="0" w:color="auto"/>
      </w:divBdr>
    </w:div>
    <w:div w:id="730344389">
      <w:bodyDiv w:val="1"/>
      <w:marLeft w:val="0"/>
      <w:marRight w:val="0"/>
      <w:marTop w:val="0"/>
      <w:marBottom w:val="0"/>
      <w:divBdr>
        <w:top w:val="none" w:sz="0" w:space="0" w:color="auto"/>
        <w:left w:val="none" w:sz="0" w:space="0" w:color="auto"/>
        <w:bottom w:val="none" w:sz="0" w:space="0" w:color="auto"/>
        <w:right w:val="none" w:sz="0" w:space="0" w:color="auto"/>
      </w:divBdr>
    </w:div>
    <w:div w:id="730344404">
      <w:bodyDiv w:val="1"/>
      <w:marLeft w:val="0"/>
      <w:marRight w:val="0"/>
      <w:marTop w:val="0"/>
      <w:marBottom w:val="0"/>
      <w:divBdr>
        <w:top w:val="none" w:sz="0" w:space="0" w:color="auto"/>
        <w:left w:val="none" w:sz="0" w:space="0" w:color="auto"/>
        <w:bottom w:val="none" w:sz="0" w:space="0" w:color="auto"/>
        <w:right w:val="none" w:sz="0" w:space="0" w:color="auto"/>
      </w:divBdr>
    </w:div>
    <w:div w:id="730345725">
      <w:bodyDiv w:val="1"/>
      <w:marLeft w:val="0"/>
      <w:marRight w:val="0"/>
      <w:marTop w:val="0"/>
      <w:marBottom w:val="0"/>
      <w:divBdr>
        <w:top w:val="none" w:sz="0" w:space="0" w:color="auto"/>
        <w:left w:val="none" w:sz="0" w:space="0" w:color="auto"/>
        <w:bottom w:val="none" w:sz="0" w:space="0" w:color="auto"/>
        <w:right w:val="none" w:sz="0" w:space="0" w:color="auto"/>
      </w:divBdr>
    </w:div>
    <w:div w:id="730353102">
      <w:bodyDiv w:val="1"/>
      <w:marLeft w:val="0"/>
      <w:marRight w:val="0"/>
      <w:marTop w:val="0"/>
      <w:marBottom w:val="0"/>
      <w:divBdr>
        <w:top w:val="none" w:sz="0" w:space="0" w:color="auto"/>
        <w:left w:val="none" w:sz="0" w:space="0" w:color="auto"/>
        <w:bottom w:val="none" w:sz="0" w:space="0" w:color="auto"/>
        <w:right w:val="none" w:sz="0" w:space="0" w:color="auto"/>
      </w:divBdr>
    </w:div>
    <w:div w:id="730466163">
      <w:bodyDiv w:val="1"/>
      <w:marLeft w:val="0"/>
      <w:marRight w:val="0"/>
      <w:marTop w:val="0"/>
      <w:marBottom w:val="0"/>
      <w:divBdr>
        <w:top w:val="none" w:sz="0" w:space="0" w:color="auto"/>
        <w:left w:val="none" w:sz="0" w:space="0" w:color="auto"/>
        <w:bottom w:val="none" w:sz="0" w:space="0" w:color="auto"/>
        <w:right w:val="none" w:sz="0" w:space="0" w:color="auto"/>
      </w:divBdr>
    </w:div>
    <w:div w:id="730470769">
      <w:bodyDiv w:val="1"/>
      <w:marLeft w:val="0"/>
      <w:marRight w:val="0"/>
      <w:marTop w:val="0"/>
      <w:marBottom w:val="0"/>
      <w:divBdr>
        <w:top w:val="none" w:sz="0" w:space="0" w:color="auto"/>
        <w:left w:val="none" w:sz="0" w:space="0" w:color="auto"/>
        <w:bottom w:val="none" w:sz="0" w:space="0" w:color="auto"/>
        <w:right w:val="none" w:sz="0" w:space="0" w:color="auto"/>
      </w:divBdr>
    </w:div>
    <w:div w:id="730542253">
      <w:bodyDiv w:val="1"/>
      <w:marLeft w:val="0"/>
      <w:marRight w:val="0"/>
      <w:marTop w:val="0"/>
      <w:marBottom w:val="0"/>
      <w:divBdr>
        <w:top w:val="none" w:sz="0" w:space="0" w:color="auto"/>
        <w:left w:val="none" w:sz="0" w:space="0" w:color="auto"/>
        <w:bottom w:val="none" w:sz="0" w:space="0" w:color="auto"/>
        <w:right w:val="none" w:sz="0" w:space="0" w:color="auto"/>
      </w:divBdr>
    </w:div>
    <w:div w:id="730882972">
      <w:bodyDiv w:val="1"/>
      <w:marLeft w:val="0"/>
      <w:marRight w:val="0"/>
      <w:marTop w:val="0"/>
      <w:marBottom w:val="0"/>
      <w:divBdr>
        <w:top w:val="none" w:sz="0" w:space="0" w:color="auto"/>
        <w:left w:val="none" w:sz="0" w:space="0" w:color="auto"/>
        <w:bottom w:val="none" w:sz="0" w:space="0" w:color="auto"/>
        <w:right w:val="none" w:sz="0" w:space="0" w:color="auto"/>
      </w:divBdr>
    </w:div>
    <w:div w:id="730999590">
      <w:bodyDiv w:val="1"/>
      <w:marLeft w:val="0"/>
      <w:marRight w:val="0"/>
      <w:marTop w:val="0"/>
      <w:marBottom w:val="0"/>
      <w:divBdr>
        <w:top w:val="none" w:sz="0" w:space="0" w:color="auto"/>
        <w:left w:val="none" w:sz="0" w:space="0" w:color="auto"/>
        <w:bottom w:val="none" w:sz="0" w:space="0" w:color="auto"/>
        <w:right w:val="none" w:sz="0" w:space="0" w:color="auto"/>
      </w:divBdr>
    </w:div>
    <w:div w:id="731121206">
      <w:bodyDiv w:val="1"/>
      <w:marLeft w:val="0"/>
      <w:marRight w:val="0"/>
      <w:marTop w:val="0"/>
      <w:marBottom w:val="0"/>
      <w:divBdr>
        <w:top w:val="none" w:sz="0" w:space="0" w:color="auto"/>
        <w:left w:val="none" w:sz="0" w:space="0" w:color="auto"/>
        <w:bottom w:val="none" w:sz="0" w:space="0" w:color="auto"/>
        <w:right w:val="none" w:sz="0" w:space="0" w:color="auto"/>
      </w:divBdr>
    </w:div>
    <w:div w:id="731268947">
      <w:bodyDiv w:val="1"/>
      <w:marLeft w:val="0"/>
      <w:marRight w:val="0"/>
      <w:marTop w:val="0"/>
      <w:marBottom w:val="0"/>
      <w:divBdr>
        <w:top w:val="none" w:sz="0" w:space="0" w:color="auto"/>
        <w:left w:val="none" w:sz="0" w:space="0" w:color="auto"/>
        <w:bottom w:val="none" w:sz="0" w:space="0" w:color="auto"/>
        <w:right w:val="none" w:sz="0" w:space="0" w:color="auto"/>
      </w:divBdr>
    </w:div>
    <w:div w:id="731270131">
      <w:bodyDiv w:val="1"/>
      <w:marLeft w:val="0"/>
      <w:marRight w:val="0"/>
      <w:marTop w:val="0"/>
      <w:marBottom w:val="0"/>
      <w:divBdr>
        <w:top w:val="none" w:sz="0" w:space="0" w:color="auto"/>
        <w:left w:val="none" w:sz="0" w:space="0" w:color="auto"/>
        <w:bottom w:val="none" w:sz="0" w:space="0" w:color="auto"/>
        <w:right w:val="none" w:sz="0" w:space="0" w:color="auto"/>
      </w:divBdr>
    </w:div>
    <w:div w:id="731317785">
      <w:bodyDiv w:val="1"/>
      <w:marLeft w:val="0"/>
      <w:marRight w:val="0"/>
      <w:marTop w:val="0"/>
      <w:marBottom w:val="0"/>
      <w:divBdr>
        <w:top w:val="none" w:sz="0" w:space="0" w:color="auto"/>
        <w:left w:val="none" w:sz="0" w:space="0" w:color="auto"/>
        <w:bottom w:val="none" w:sz="0" w:space="0" w:color="auto"/>
        <w:right w:val="none" w:sz="0" w:space="0" w:color="auto"/>
      </w:divBdr>
    </w:div>
    <w:div w:id="731347144">
      <w:bodyDiv w:val="1"/>
      <w:marLeft w:val="0"/>
      <w:marRight w:val="0"/>
      <w:marTop w:val="0"/>
      <w:marBottom w:val="0"/>
      <w:divBdr>
        <w:top w:val="none" w:sz="0" w:space="0" w:color="auto"/>
        <w:left w:val="none" w:sz="0" w:space="0" w:color="auto"/>
        <w:bottom w:val="none" w:sz="0" w:space="0" w:color="auto"/>
        <w:right w:val="none" w:sz="0" w:space="0" w:color="auto"/>
      </w:divBdr>
    </w:div>
    <w:div w:id="731391541">
      <w:bodyDiv w:val="1"/>
      <w:marLeft w:val="0"/>
      <w:marRight w:val="0"/>
      <w:marTop w:val="0"/>
      <w:marBottom w:val="0"/>
      <w:divBdr>
        <w:top w:val="none" w:sz="0" w:space="0" w:color="auto"/>
        <w:left w:val="none" w:sz="0" w:space="0" w:color="auto"/>
        <w:bottom w:val="none" w:sz="0" w:space="0" w:color="auto"/>
        <w:right w:val="none" w:sz="0" w:space="0" w:color="auto"/>
      </w:divBdr>
    </w:div>
    <w:div w:id="731393381">
      <w:bodyDiv w:val="1"/>
      <w:marLeft w:val="0"/>
      <w:marRight w:val="0"/>
      <w:marTop w:val="0"/>
      <w:marBottom w:val="0"/>
      <w:divBdr>
        <w:top w:val="none" w:sz="0" w:space="0" w:color="auto"/>
        <w:left w:val="none" w:sz="0" w:space="0" w:color="auto"/>
        <w:bottom w:val="none" w:sz="0" w:space="0" w:color="auto"/>
        <w:right w:val="none" w:sz="0" w:space="0" w:color="auto"/>
      </w:divBdr>
    </w:div>
    <w:div w:id="731463940">
      <w:bodyDiv w:val="1"/>
      <w:marLeft w:val="0"/>
      <w:marRight w:val="0"/>
      <w:marTop w:val="0"/>
      <w:marBottom w:val="0"/>
      <w:divBdr>
        <w:top w:val="none" w:sz="0" w:space="0" w:color="auto"/>
        <w:left w:val="none" w:sz="0" w:space="0" w:color="auto"/>
        <w:bottom w:val="none" w:sz="0" w:space="0" w:color="auto"/>
        <w:right w:val="none" w:sz="0" w:space="0" w:color="auto"/>
      </w:divBdr>
    </w:div>
    <w:div w:id="731467879">
      <w:bodyDiv w:val="1"/>
      <w:marLeft w:val="0"/>
      <w:marRight w:val="0"/>
      <w:marTop w:val="0"/>
      <w:marBottom w:val="0"/>
      <w:divBdr>
        <w:top w:val="none" w:sz="0" w:space="0" w:color="auto"/>
        <w:left w:val="none" w:sz="0" w:space="0" w:color="auto"/>
        <w:bottom w:val="none" w:sz="0" w:space="0" w:color="auto"/>
        <w:right w:val="none" w:sz="0" w:space="0" w:color="auto"/>
      </w:divBdr>
    </w:div>
    <w:div w:id="731657499">
      <w:bodyDiv w:val="1"/>
      <w:marLeft w:val="0"/>
      <w:marRight w:val="0"/>
      <w:marTop w:val="0"/>
      <w:marBottom w:val="0"/>
      <w:divBdr>
        <w:top w:val="none" w:sz="0" w:space="0" w:color="auto"/>
        <w:left w:val="none" w:sz="0" w:space="0" w:color="auto"/>
        <w:bottom w:val="none" w:sz="0" w:space="0" w:color="auto"/>
        <w:right w:val="none" w:sz="0" w:space="0" w:color="auto"/>
      </w:divBdr>
    </w:div>
    <w:div w:id="731661629">
      <w:bodyDiv w:val="1"/>
      <w:marLeft w:val="0"/>
      <w:marRight w:val="0"/>
      <w:marTop w:val="0"/>
      <w:marBottom w:val="0"/>
      <w:divBdr>
        <w:top w:val="none" w:sz="0" w:space="0" w:color="auto"/>
        <w:left w:val="none" w:sz="0" w:space="0" w:color="auto"/>
        <w:bottom w:val="none" w:sz="0" w:space="0" w:color="auto"/>
        <w:right w:val="none" w:sz="0" w:space="0" w:color="auto"/>
      </w:divBdr>
    </w:div>
    <w:div w:id="731923329">
      <w:bodyDiv w:val="1"/>
      <w:marLeft w:val="0"/>
      <w:marRight w:val="0"/>
      <w:marTop w:val="0"/>
      <w:marBottom w:val="0"/>
      <w:divBdr>
        <w:top w:val="none" w:sz="0" w:space="0" w:color="auto"/>
        <w:left w:val="none" w:sz="0" w:space="0" w:color="auto"/>
        <w:bottom w:val="none" w:sz="0" w:space="0" w:color="auto"/>
        <w:right w:val="none" w:sz="0" w:space="0" w:color="auto"/>
      </w:divBdr>
    </w:div>
    <w:div w:id="731924409">
      <w:bodyDiv w:val="1"/>
      <w:marLeft w:val="0"/>
      <w:marRight w:val="0"/>
      <w:marTop w:val="0"/>
      <w:marBottom w:val="0"/>
      <w:divBdr>
        <w:top w:val="none" w:sz="0" w:space="0" w:color="auto"/>
        <w:left w:val="none" w:sz="0" w:space="0" w:color="auto"/>
        <w:bottom w:val="none" w:sz="0" w:space="0" w:color="auto"/>
        <w:right w:val="none" w:sz="0" w:space="0" w:color="auto"/>
      </w:divBdr>
    </w:div>
    <w:div w:id="732194372">
      <w:bodyDiv w:val="1"/>
      <w:marLeft w:val="0"/>
      <w:marRight w:val="0"/>
      <w:marTop w:val="0"/>
      <w:marBottom w:val="0"/>
      <w:divBdr>
        <w:top w:val="none" w:sz="0" w:space="0" w:color="auto"/>
        <w:left w:val="none" w:sz="0" w:space="0" w:color="auto"/>
        <w:bottom w:val="none" w:sz="0" w:space="0" w:color="auto"/>
        <w:right w:val="none" w:sz="0" w:space="0" w:color="auto"/>
      </w:divBdr>
    </w:div>
    <w:div w:id="732197890">
      <w:bodyDiv w:val="1"/>
      <w:marLeft w:val="0"/>
      <w:marRight w:val="0"/>
      <w:marTop w:val="0"/>
      <w:marBottom w:val="0"/>
      <w:divBdr>
        <w:top w:val="none" w:sz="0" w:space="0" w:color="auto"/>
        <w:left w:val="none" w:sz="0" w:space="0" w:color="auto"/>
        <w:bottom w:val="none" w:sz="0" w:space="0" w:color="auto"/>
        <w:right w:val="none" w:sz="0" w:space="0" w:color="auto"/>
      </w:divBdr>
    </w:div>
    <w:div w:id="732239744">
      <w:bodyDiv w:val="1"/>
      <w:marLeft w:val="0"/>
      <w:marRight w:val="0"/>
      <w:marTop w:val="0"/>
      <w:marBottom w:val="0"/>
      <w:divBdr>
        <w:top w:val="none" w:sz="0" w:space="0" w:color="auto"/>
        <w:left w:val="none" w:sz="0" w:space="0" w:color="auto"/>
        <w:bottom w:val="none" w:sz="0" w:space="0" w:color="auto"/>
        <w:right w:val="none" w:sz="0" w:space="0" w:color="auto"/>
      </w:divBdr>
    </w:div>
    <w:div w:id="732243412">
      <w:bodyDiv w:val="1"/>
      <w:marLeft w:val="0"/>
      <w:marRight w:val="0"/>
      <w:marTop w:val="0"/>
      <w:marBottom w:val="0"/>
      <w:divBdr>
        <w:top w:val="none" w:sz="0" w:space="0" w:color="auto"/>
        <w:left w:val="none" w:sz="0" w:space="0" w:color="auto"/>
        <w:bottom w:val="none" w:sz="0" w:space="0" w:color="auto"/>
        <w:right w:val="none" w:sz="0" w:space="0" w:color="auto"/>
      </w:divBdr>
    </w:div>
    <w:div w:id="732313590">
      <w:bodyDiv w:val="1"/>
      <w:marLeft w:val="0"/>
      <w:marRight w:val="0"/>
      <w:marTop w:val="0"/>
      <w:marBottom w:val="0"/>
      <w:divBdr>
        <w:top w:val="none" w:sz="0" w:space="0" w:color="auto"/>
        <w:left w:val="none" w:sz="0" w:space="0" w:color="auto"/>
        <w:bottom w:val="none" w:sz="0" w:space="0" w:color="auto"/>
        <w:right w:val="none" w:sz="0" w:space="0" w:color="auto"/>
      </w:divBdr>
    </w:div>
    <w:div w:id="732696886">
      <w:bodyDiv w:val="1"/>
      <w:marLeft w:val="0"/>
      <w:marRight w:val="0"/>
      <w:marTop w:val="0"/>
      <w:marBottom w:val="0"/>
      <w:divBdr>
        <w:top w:val="none" w:sz="0" w:space="0" w:color="auto"/>
        <w:left w:val="none" w:sz="0" w:space="0" w:color="auto"/>
        <w:bottom w:val="none" w:sz="0" w:space="0" w:color="auto"/>
        <w:right w:val="none" w:sz="0" w:space="0" w:color="auto"/>
      </w:divBdr>
    </w:div>
    <w:div w:id="732701884">
      <w:bodyDiv w:val="1"/>
      <w:marLeft w:val="0"/>
      <w:marRight w:val="0"/>
      <w:marTop w:val="0"/>
      <w:marBottom w:val="0"/>
      <w:divBdr>
        <w:top w:val="none" w:sz="0" w:space="0" w:color="auto"/>
        <w:left w:val="none" w:sz="0" w:space="0" w:color="auto"/>
        <w:bottom w:val="none" w:sz="0" w:space="0" w:color="auto"/>
        <w:right w:val="none" w:sz="0" w:space="0" w:color="auto"/>
      </w:divBdr>
    </w:div>
    <w:div w:id="732775128">
      <w:bodyDiv w:val="1"/>
      <w:marLeft w:val="0"/>
      <w:marRight w:val="0"/>
      <w:marTop w:val="0"/>
      <w:marBottom w:val="0"/>
      <w:divBdr>
        <w:top w:val="none" w:sz="0" w:space="0" w:color="auto"/>
        <w:left w:val="none" w:sz="0" w:space="0" w:color="auto"/>
        <w:bottom w:val="none" w:sz="0" w:space="0" w:color="auto"/>
        <w:right w:val="none" w:sz="0" w:space="0" w:color="auto"/>
      </w:divBdr>
    </w:div>
    <w:div w:id="732848516">
      <w:bodyDiv w:val="1"/>
      <w:marLeft w:val="0"/>
      <w:marRight w:val="0"/>
      <w:marTop w:val="0"/>
      <w:marBottom w:val="0"/>
      <w:divBdr>
        <w:top w:val="none" w:sz="0" w:space="0" w:color="auto"/>
        <w:left w:val="none" w:sz="0" w:space="0" w:color="auto"/>
        <w:bottom w:val="none" w:sz="0" w:space="0" w:color="auto"/>
        <w:right w:val="none" w:sz="0" w:space="0" w:color="auto"/>
      </w:divBdr>
    </w:div>
    <w:div w:id="732898550">
      <w:bodyDiv w:val="1"/>
      <w:marLeft w:val="0"/>
      <w:marRight w:val="0"/>
      <w:marTop w:val="0"/>
      <w:marBottom w:val="0"/>
      <w:divBdr>
        <w:top w:val="none" w:sz="0" w:space="0" w:color="auto"/>
        <w:left w:val="none" w:sz="0" w:space="0" w:color="auto"/>
        <w:bottom w:val="none" w:sz="0" w:space="0" w:color="auto"/>
        <w:right w:val="none" w:sz="0" w:space="0" w:color="auto"/>
      </w:divBdr>
    </w:div>
    <w:div w:id="733040050">
      <w:bodyDiv w:val="1"/>
      <w:marLeft w:val="0"/>
      <w:marRight w:val="0"/>
      <w:marTop w:val="0"/>
      <w:marBottom w:val="0"/>
      <w:divBdr>
        <w:top w:val="none" w:sz="0" w:space="0" w:color="auto"/>
        <w:left w:val="none" w:sz="0" w:space="0" w:color="auto"/>
        <w:bottom w:val="none" w:sz="0" w:space="0" w:color="auto"/>
        <w:right w:val="none" w:sz="0" w:space="0" w:color="auto"/>
      </w:divBdr>
    </w:div>
    <w:div w:id="733233679">
      <w:bodyDiv w:val="1"/>
      <w:marLeft w:val="0"/>
      <w:marRight w:val="0"/>
      <w:marTop w:val="0"/>
      <w:marBottom w:val="0"/>
      <w:divBdr>
        <w:top w:val="none" w:sz="0" w:space="0" w:color="auto"/>
        <w:left w:val="none" w:sz="0" w:space="0" w:color="auto"/>
        <w:bottom w:val="none" w:sz="0" w:space="0" w:color="auto"/>
        <w:right w:val="none" w:sz="0" w:space="0" w:color="auto"/>
      </w:divBdr>
    </w:div>
    <w:div w:id="733236418">
      <w:bodyDiv w:val="1"/>
      <w:marLeft w:val="0"/>
      <w:marRight w:val="0"/>
      <w:marTop w:val="0"/>
      <w:marBottom w:val="0"/>
      <w:divBdr>
        <w:top w:val="none" w:sz="0" w:space="0" w:color="auto"/>
        <w:left w:val="none" w:sz="0" w:space="0" w:color="auto"/>
        <w:bottom w:val="none" w:sz="0" w:space="0" w:color="auto"/>
        <w:right w:val="none" w:sz="0" w:space="0" w:color="auto"/>
      </w:divBdr>
    </w:div>
    <w:div w:id="733241632">
      <w:bodyDiv w:val="1"/>
      <w:marLeft w:val="0"/>
      <w:marRight w:val="0"/>
      <w:marTop w:val="0"/>
      <w:marBottom w:val="0"/>
      <w:divBdr>
        <w:top w:val="none" w:sz="0" w:space="0" w:color="auto"/>
        <w:left w:val="none" w:sz="0" w:space="0" w:color="auto"/>
        <w:bottom w:val="none" w:sz="0" w:space="0" w:color="auto"/>
        <w:right w:val="none" w:sz="0" w:space="0" w:color="auto"/>
      </w:divBdr>
    </w:div>
    <w:div w:id="733284072">
      <w:bodyDiv w:val="1"/>
      <w:marLeft w:val="0"/>
      <w:marRight w:val="0"/>
      <w:marTop w:val="0"/>
      <w:marBottom w:val="0"/>
      <w:divBdr>
        <w:top w:val="none" w:sz="0" w:space="0" w:color="auto"/>
        <w:left w:val="none" w:sz="0" w:space="0" w:color="auto"/>
        <w:bottom w:val="none" w:sz="0" w:space="0" w:color="auto"/>
        <w:right w:val="none" w:sz="0" w:space="0" w:color="auto"/>
      </w:divBdr>
    </w:div>
    <w:div w:id="733432269">
      <w:bodyDiv w:val="1"/>
      <w:marLeft w:val="0"/>
      <w:marRight w:val="0"/>
      <w:marTop w:val="0"/>
      <w:marBottom w:val="0"/>
      <w:divBdr>
        <w:top w:val="none" w:sz="0" w:space="0" w:color="auto"/>
        <w:left w:val="none" w:sz="0" w:space="0" w:color="auto"/>
        <w:bottom w:val="none" w:sz="0" w:space="0" w:color="auto"/>
        <w:right w:val="none" w:sz="0" w:space="0" w:color="auto"/>
      </w:divBdr>
    </w:div>
    <w:div w:id="733507527">
      <w:bodyDiv w:val="1"/>
      <w:marLeft w:val="0"/>
      <w:marRight w:val="0"/>
      <w:marTop w:val="0"/>
      <w:marBottom w:val="0"/>
      <w:divBdr>
        <w:top w:val="none" w:sz="0" w:space="0" w:color="auto"/>
        <w:left w:val="none" w:sz="0" w:space="0" w:color="auto"/>
        <w:bottom w:val="none" w:sz="0" w:space="0" w:color="auto"/>
        <w:right w:val="none" w:sz="0" w:space="0" w:color="auto"/>
      </w:divBdr>
    </w:div>
    <w:div w:id="733550456">
      <w:bodyDiv w:val="1"/>
      <w:marLeft w:val="0"/>
      <w:marRight w:val="0"/>
      <w:marTop w:val="0"/>
      <w:marBottom w:val="0"/>
      <w:divBdr>
        <w:top w:val="none" w:sz="0" w:space="0" w:color="auto"/>
        <w:left w:val="none" w:sz="0" w:space="0" w:color="auto"/>
        <w:bottom w:val="none" w:sz="0" w:space="0" w:color="auto"/>
        <w:right w:val="none" w:sz="0" w:space="0" w:color="auto"/>
      </w:divBdr>
    </w:div>
    <w:div w:id="733553200">
      <w:bodyDiv w:val="1"/>
      <w:marLeft w:val="0"/>
      <w:marRight w:val="0"/>
      <w:marTop w:val="0"/>
      <w:marBottom w:val="0"/>
      <w:divBdr>
        <w:top w:val="none" w:sz="0" w:space="0" w:color="auto"/>
        <w:left w:val="none" w:sz="0" w:space="0" w:color="auto"/>
        <w:bottom w:val="none" w:sz="0" w:space="0" w:color="auto"/>
        <w:right w:val="none" w:sz="0" w:space="0" w:color="auto"/>
      </w:divBdr>
    </w:div>
    <w:div w:id="733624764">
      <w:bodyDiv w:val="1"/>
      <w:marLeft w:val="0"/>
      <w:marRight w:val="0"/>
      <w:marTop w:val="0"/>
      <w:marBottom w:val="0"/>
      <w:divBdr>
        <w:top w:val="none" w:sz="0" w:space="0" w:color="auto"/>
        <w:left w:val="none" w:sz="0" w:space="0" w:color="auto"/>
        <w:bottom w:val="none" w:sz="0" w:space="0" w:color="auto"/>
        <w:right w:val="none" w:sz="0" w:space="0" w:color="auto"/>
      </w:divBdr>
    </w:div>
    <w:div w:id="733702287">
      <w:bodyDiv w:val="1"/>
      <w:marLeft w:val="0"/>
      <w:marRight w:val="0"/>
      <w:marTop w:val="0"/>
      <w:marBottom w:val="0"/>
      <w:divBdr>
        <w:top w:val="none" w:sz="0" w:space="0" w:color="auto"/>
        <w:left w:val="none" w:sz="0" w:space="0" w:color="auto"/>
        <w:bottom w:val="none" w:sz="0" w:space="0" w:color="auto"/>
        <w:right w:val="none" w:sz="0" w:space="0" w:color="auto"/>
      </w:divBdr>
    </w:div>
    <w:div w:id="733820635">
      <w:bodyDiv w:val="1"/>
      <w:marLeft w:val="0"/>
      <w:marRight w:val="0"/>
      <w:marTop w:val="0"/>
      <w:marBottom w:val="0"/>
      <w:divBdr>
        <w:top w:val="none" w:sz="0" w:space="0" w:color="auto"/>
        <w:left w:val="none" w:sz="0" w:space="0" w:color="auto"/>
        <w:bottom w:val="none" w:sz="0" w:space="0" w:color="auto"/>
        <w:right w:val="none" w:sz="0" w:space="0" w:color="auto"/>
      </w:divBdr>
    </w:div>
    <w:div w:id="733896522">
      <w:bodyDiv w:val="1"/>
      <w:marLeft w:val="0"/>
      <w:marRight w:val="0"/>
      <w:marTop w:val="0"/>
      <w:marBottom w:val="0"/>
      <w:divBdr>
        <w:top w:val="none" w:sz="0" w:space="0" w:color="auto"/>
        <w:left w:val="none" w:sz="0" w:space="0" w:color="auto"/>
        <w:bottom w:val="none" w:sz="0" w:space="0" w:color="auto"/>
        <w:right w:val="none" w:sz="0" w:space="0" w:color="auto"/>
      </w:divBdr>
    </w:div>
    <w:div w:id="733965702">
      <w:bodyDiv w:val="1"/>
      <w:marLeft w:val="0"/>
      <w:marRight w:val="0"/>
      <w:marTop w:val="0"/>
      <w:marBottom w:val="0"/>
      <w:divBdr>
        <w:top w:val="none" w:sz="0" w:space="0" w:color="auto"/>
        <w:left w:val="none" w:sz="0" w:space="0" w:color="auto"/>
        <w:bottom w:val="none" w:sz="0" w:space="0" w:color="auto"/>
        <w:right w:val="none" w:sz="0" w:space="0" w:color="auto"/>
      </w:divBdr>
    </w:div>
    <w:div w:id="733967558">
      <w:bodyDiv w:val="1"/>
      <w:marLeft w:val="0"/>
      <w:marRight w:val="0"/>
      <w:marTop w:val="0"/>
      <w:marBottom w:val="0"/>
      <w:divBdr>
        <w:top w:val="none" w:sz="0" w:space="0" w:color="auto"/>
        <w:left w:val="none" w:sz="0" w:space="0" w:color="auto"/>
        <w:bottom w:val="none" w:sz="0" w:space="0" w:color="auto"/>
        <w:right w:val="none" w:sz="0" w:space="0" w:color="auto"/>
      </w:divBdr>
    </w:div>
    <w:div w:id="734088644">
      <w:bodyDiv w:val="1"/>
      <w:marLeft w:val="0"/>
      <w:marRight w:val="0"/>
      <w:marTop w:val="0"/>
      <w:marBottom w:val="0"/>
      <w:divBdr>
        <w:top w:val="none" w:sz="0" w:space="0" w:color="auto"/>
        <w:left w:val="none" w:sz="0" w:space="0" w:color="auto"/>
        <w:bottom w:val="none" w:sz="0" w:space="0" w:color="auto"/>
        <w:right w:val="none" w:sz="0" w:space="0" w:color="auto"/>
      </w:divBdr>
    </w:div>
    <w:div w:id="734088756">
      <w:bodyDiv w:val="1"/>
      <w:marLeft w:val="0"/>
      <w:marRight w:val="0"/>
      <w:marTop w:val="0"/>
      <w:marBottom w:val="0"/>
      <w:divBdr>
        <w:top w:val="none" w:sz="0" w:space="0" w:color="auto"/>
        <w:left w:val="none" w:sz="0" w:space="0" w:color="auto"/>
        <w:bottom w:val="none" w:sz="0" w:space="0" w:color="auto"/>
        <w:right w:val="none" w:sz="0" w:space="0" w:color="auto"/>
      </w:divBdr>
    </w:div>
    <w:div w:id="734165910">
      <w:bodyDiv w:val="1"/>
      <w:marLeft w:val="0"/>
      <w:marRight w:val="0"/>
      <w:marTop w:val="0"/>
      <w:marBottom w:val="0"/>
      <w:divBdr>
        <w:top w:val="none" w:sz="0" w:space="0" w:color="auto"/>
        <w:left w:val="none" w:sz="0" w:space="0" w:color="auto"/>
        <w:bottom w:val="none" w:sz="0" w:space="0" w:color="auto"/>
        <w:right w:val="none" w:sz="0" w:space="0" w:color="auto"/>
      </w:divBdr>
    </w:div>
    <w:div w:id="734354553">
      <w:bodyDiv w:val="1"/>
      <w:marLeft w:val="0"/>
      <w:marRight w:val="0"/>
      <w:marTop w:val="0"/>
      <w:marBottom w:val="0"/>
      <w:divBdr>
        <w:top w:val="none" w:sz="0" w:space="0" w:color="auto"/>
        <w:left w:val="none" w:sz="0" w:space="0" w:color="auto"/>
        <w:bottom w:val="none" w:sz="0" w:space="0" w:color="auto"/>
        <w:right w:val="none" w:sz="0" w:space="0" w:color="auto"/>
      </w:divBdr>
    </w:div>
    <w:div w:id="734355031">
      <w:bodyDiv w:val="1"/>
      <w:marLeft w:val="0"/>
      <w:marRight w:val="0"/>
      <w:marTop w:val="0"/>
      <w:marBottom w:val="0"/>
      <w:divBdr>
        <w:top w:val="none" w:sz="0" w:space="0" w:color="auto"/>
        <w:left w:val="none" w:sz="0" w:space="0" w:color="auto"/>
        <w:bottom w:val="none" w:sz="0" w:space="0" w:color="auto"/>
        <w:right w:val="none" w:sz="0" w:space="0" w:color="auto"/>
      </w:divBdr>
    </w:div>
    <w:div w:id="734396564">
      <w:bodyDiv w:val="1"/>
      <w:marLeft w:val="0"/>
      <w:marRight w:val="0"/>
      <w:marTop w:val="0"/>
      <w:marBottom w:val="0"/>
      <w:divBdr>
        <w:top w:val="none" w:sz="0" w:space="0" w:color="auto"/>
        <w:left w:val="none" w:sz="0" w:space="0" w:color="auto"/>
        <w:bottom w:val="none" w:sz="0" w:space="0" w:color="auto"/>
        <w:right w:val="none" w:sz="0" w:space="0" w:color="auto"/>
      </w:divBdr>
    </w:div>
    <w:div w:id="734622007">
      <w:bodyDiv w:val="1"/>
      <w:marLeft w:val="0"/>
      <w:marRight w:val="0"/>
      <w:marTop w:val="0"/>
      <w:marBottom w:val="0"/>
      <w:divBdr>
        <w:top w:val="none" w:sz="0" w:space="0" w:color="auto"/>
        <w:left w:val="none" w:sz="0" w:space="0" w:color="auto"/>
        <w:bottom w:val="none" w:sz="0" w:space="0" w:color="auto"/>
        <w:right w:val="none" w:sz="0" w:space="0" w:color="auto"/>
      </w:divBdr>
    </w:div>
    <w:div w:id="734743414">
      <w:bodyDiv w:val="1"/>
      <w:marLeft w:val="0"/>
      <w:marRight w:val="0"/>
      <w:marTop w:val="0"/>
      <w:marBottom w:val="0"/>
      <w:divBdr>
        <w:top w:val="none" w:sz="0" w:space="0" w:color="auto"/>
        <w:left w:val="none" w:sz="0" w:space="0" w:color="auto"/>
        <w:bottom w:val="none" w:sz="0" w:space="0" w:color="auto"/>
        <w:right w:val="none" w:sz="0" w:space="0" w:color="auto"/>
      </w:divBdr>
    </w:div>
    <w:div w:id="734862510">
      <w:bodyDiv w:val="1"/>
      <w:marLeft w:val="0"/>
      <w:marRight w:val="0"/>
      <w:marTop w:val="0"/>
      <w:marBottom w:val="0"/>
      <w:divBdr>
        <w:top w:val="none" w:sz="0" w:space="0" w:color="auto"/>
        <w:left w:val="none" w:sz="0" w:space="0" w:color="auto"/>
        <w:bottom w:val="none" w:sz="0" w:space="0" w:color="auto"/>
        <w:right w:val="none" w:sz="0" w:space="0" w:color="auto"/>
      </w:divBdr>
    </w:div>
    <w:div w:id="734936005">
      <w:bodyDiv w:val="1"/>
      <w:marLeft w:val="0"/>
      <w:marRight w:val="0"/>
      <w:marTop w:val="0"/>
      <w:marBottom w:val="0"/>
      <w:divBdr>
        <w:top w:val="none" w:sz="0" w:space="0" w:color="auto"/>
        <w:left w:val="none" w:sz="0" w:space="0" w:color="auto"/>
        <w:bottom w:val="none" w:sz="0" w:space="0" w:color="auto"/>
        <w:right w:val="none" w:sz="0" w:space="0" w:color="auto"/>
      </w:divBdr>
    </w:div>
    <w:div w:id="735056878">
      <w:bodyDiv w:val="1"/>
      <w:marLeft w:val="0"/>
      <w:marRight w:val="0"/>
      <w:marTop w:val="0"/>
      <w:marBottom w:val="0"/>
      <w:divBdr>
        <w:top w:val="none" w:sz="0" w:space="0" w:color="auto"/>
        <w:left w:val="none" w:sz="0" w:space="0" w:color="auto"/>
        <w:bottom w:val="none" w:sz="0" w:space="0" w:color="auto"/>
        <w:right w:val="none" w:sz="0" w:space="0" w:color="auto"/>
      </w:divBdr>
    </w:div>
    <w:div w:id="735131689">
      <w:bodyDiv w:val="1"/>
      <w:marLeft w:val="0"/>
      <w:marRight w:val="0"/>
      <w:marTop w:val="0"/>
      <w:marBottom w:val="0"/>
      <w:divBdr>
        <w:top w:val="none" w:sz="0" w:space="0" w:color="auto"/>
        <w:left w:val="none" w:sz="0" w:space="0" w:color="auto"/>
        <w:bottom w:val="none" w:sz="0" w:space="0" w:color="auto"/>
        <w:right w:val="none" w:sz="0" w:space="0" w:color="auto"/>
      </w:divBdr>
    </w:div>
    <w:div w:id="735132721">
      <w:bodyDiv w:val="1"/>
      <w:marLeft w:val="0"/>
      <w:marRight w:val="0"/>
      <w:marTop w:val="0"/>
      <w:marBottom w:val="0"/>
      <w:divBdr>
        <w:top w:val="none" w:sz="0" w:space="0" w:color="auto"/>
        <w:left w:val="none" w:sz="0" w:space="0" w:color="auto"/>
        <w:bottom w:val="none" w:sz="0" w:space="0" w:color="auto"/>
        <w:right w:val="none" w:sz="0" w:space="0" w:color="auto"/>
      </w:divBdr>
    </w:div>
    <w:div w:id="735200195">
      <w:bodyDiv w:val="1"/>
      <w:marLeft w:val="0"/>
      <w:marRight w:val="0"/>
      <w:marTop w:val="0"/>
      <w:marBottom w:val="0"/>
      <w:divBdr>
        <w:top w:val="none" w:sz="0" w:space="0" w:color="auto"/>
        <w:left w:val="none" w:sz="0" w:space="0" w:color="auto"/>
        <w:bottom w:val="none" w:sz="0" w:space="0" w:color="auto"/>
        <w:right w:val="none" w:sz="0" w:space="0" w:color="auto"/>
      </w:divBdr>
    </w:div>
    <w:div w:id="735202656">
      <w:bodyDiv w:val="1"/>
      <w:marLeft w:val="0"/>
      <w:marRight w:val="0"/>
      <w:marTop w:val="0"/>
      <w:marBottom w:val="0"/>
      <w:divBdr>
        <w:top w:val="none" w:sz="0" w:space="0" w:color="auto"/>
        <w:left w:val="none" w:sz="0" w:space="0" w:color="auto"/>
        <w:bottom w:val="none" w:sz="0" w:space="0" w:color="auto"/>
        <w:right w:val="none" w:sz="0" w:space="0" w:color="auto"/>
      </w:divBdr>
    </w:div>
    <w:div w:id="735248518">
      <w:bodyDiv w:val="1"/>
      <w:marLeft w:val="0"/>
      <w:marRight w:val="0"/>
      <w:marTop w:val="0"/>
      <w:marBottom w:val="0"/>
      <w:divBdr>
        <w:top w:val="none" w:sz="0" w:space="0" w:color="auto"/>
        <w:left w:val="none" w:sz="0" w:space="0" w:color="auto"/>
        <w:bottom w:val="none" w:sz="0" w:space="0" w:color="auto"/>
        <w:right w:val="none" w:sz="0" w:space="0" w:color="auto"/>
      </w:divBdr>
    </w:div>
    <w:div w:id="735251379">
      <w:bodyDiv w:val="1"/>
      <w:marLeft w:val="0"/>
      <w:marRight w:val="0"/>
      <w:marTop w:val="0"/>
      <w:marBottom w:val="0"/>
      <w:divBdr>
        <w:top w:val="none" w:sz="0" w:space="0" w:color="auto"/>
        <w:left w:val="none" w:sz="0" w:space="0" w:color="auto"/>
        <w:bottom w:val="none" w:sz="0" w:space="0" w:color="auto"/>
        <w:right w:val="none" w:sz="0" w:space="0" w:color="auto"/>
      </w:divBdr>
    </w:div>
    <w:div w:id="735468013">
      <w:bodyDiv w:val="1"/>
      <w:marLeft w:val="0"/>
      <w:marRight w:val="0"/>
      <w:marTop w:val="0"/>
      <w:marBottom w:val="0"/>
      <w:divBdr>
        <w:top w:val="none" w:sz="0" w:space="0" w:color="auto"/>
        <w:left w:val="none" w:sz="0" w:space="0" w:color="auto"/>
        <w:bottom w:val="none" w:sz="0" w:space="0" w:color="auto"/>
        <w:right w:val="none" w:sz="0" w:space="0" w:color="auto"/>
      </w:divBdr>
    </w:div>
    <w:div w:id="735468386">
      <w:bodyDiv w:val="1"/>
      <w:marLeft w:val="0"/>
      <w:marRight w:val="0"/>
      <w:marTop w:val="0"/>
      <w:marBottom w:val="0"/>
      <w:divBdr>
        <w:top w:val="none" w:sz="0" w:space="0" w:color="auto"/>
        <w:left w:val="none" w:sz="0" w:space="0" w:color="auto"/>
        <w:bottom w:val="none" w:sz="0" w:space="0" w:color="auto"/>
        <w:right w:val="none" w:sz="0" w:space="0" w:color="auto"/>
      </w:divBdr>
    </w:div>
    <w:div w:id="735475034">
      <w:bodyDiv w:val="1"/>
      <w:marLeft w:val="0"/>
      <w:marRight w:val="0"/>
      <w:marTop w:val="0"/>
      <w:marBottom w:val="0"/>
      <w:divBdr>
        <w:top w:val="none" w:sz="0" w:space="0" w:color="auto"/>
        <w:left w:val="none" w:sz="0" w:space="0" w:color="auto"/>
        <w:bottom w:val="none" w:sz="0" w:space="0" w:color="auto"/>
        <w:right w:val="none" w:sz="0" w:space="0" w:color="auto"/>
      </w:divBdr>
    </w:div>
    <w:div w:id="735518261">
      <w:bodyDiv w:val="1"/>
      <w:marLeft w:val="0"/>
      <w:marRight w:val="0"/>
      <w:marTop w:val="0"/>
      <w:marBottom w:val="0"/>
      <w:divBdr>
        <w:top w:val="none" w:sz="0" w:space="0" w:color="auto"/>
        <w:left w:val="none" w:sz="0" w:space="0" w:color="auto"/>
        <w:bottom w:val="none" w:sz="0" w:space="0" w:color="auto"/>
        <w:right w:val="none" w:sz="0" w:space="0" w:color="auto"/>
      </w:divBdr>
    </w:div>
    <w:div w:id="735519518">
      <w:bodyDiv w:val="1"/>
      <w:marLeft w:val="0"/>
      <w:marRight w:val="0"/>
      <w:marTop w:val="0"/>
      <w:marBottom w:val="0"/>
      <w:divBdr>
        <w:top w:val="none" w:sz="0" w:space="0" w:color="auto"/>
        <w:left w:val="none" w:sz="0" w:space="0" w:color="auto"/>
        <w:bottom w:val="none" w:sz="0" w:space="0" w:color="auto"/>
        <w:right w:val="none" w:sz="0" w:space="0" w:color="auto"/>
      </w:divBdr>
    </w:div>
    <w:div w:id="735667273">
      <w:bodyDiv w:val="1"/>
      <w:marLeft w:val="0"/>
      <w:marRight w:val="0"/>
      <w:marTop w:val="0"/>
      <w:marBottom w:val="0"/>
      <w:divBdr>
        <w:top w:val="none" w:sz="0" w:space="0" w:color="auto"/>
        <w:left w:val="none" w:sz="0" w:space="0" w:color="auto"/>
        <w:bottom w:val="none" w:sz="0" w:space="0" w:color="auto"/>
        <w:right w:val="none" w:sz="0" w:space="0" w:color="auto"/>
      </w:divBdr>
    </w:div>
    <w:div w:id="735707464">
      <w:bodyDiv w:val="1"/>
      <w:marLeft w:val="0"/>
      <w:marRight w:val="0"/>
      <w:marTop w:val="0"/>
      <w:marBottom w:val="0"/>
      <w:divBdr>
        <w:top w:val="none" w:sz="0" w:space="0" w:color="auto"/>
        <w:left w:val="none" w:sz="0" w:space="0" w:color="auto"/>
        <w:bottom w:val="none" w:sz="0" w:space="0" w:color="auto"/>
        <w:right w:val="none" w:sz="0" w:space="0" w:color="auto"/>
      </w:divBdr>
    </w:div>
    <w:div w:id="735780678">
      <w:bodyDiv w:val="1"/>
      <w:marLeft w:val="0"/>
      <w:marRight w:val="0"/>
      <w:marTop w:val="0"/>
      <w:marBottom w:val="0"/>
      <w:divBdr>
        <w:top w:val="none" w:sz="0" w:space="0" w:color="auto"/>
        <w:left w:val="none" w:sz="0" w:space="0" w:color="auto"/>
        <w:bottom w:val="none" w:sz="0" w:space="0" w:color="auto"/>
        <w:right w:val="none" w:sz="0" w:space="0" w:color="auto"/>
      </w:divBdr>
    </w:div>
    <w:div w:id="735860487">
      <w:bodyDiv w:val="1"/>
      <w:marLeft w:val="0"/>
      <w:marRight w:val="0"/>
      <w:marTop w:val="0"/>
      <w:marBottom w:val="0"/>
      <w:divBdr>
        <w:top w:val="none" w:sz="0" w:space="0" w:color="auto"/>
        <w:left w:val="none" w:sz="0" w:space="0" w:color="auto"/>
        <w:bottom w:val="none" w:sz="0" w:space="0" w:color="auto"/>
        <w:right w:val="none" w:sz="0" w:space="0" w:color="auto"/>
      </w:divBdr>
    </w:div>
    <w:div w:id="735936134">
      <w:bodyDiv w:val="1"/>
      <w:marLeft w:val="0"/>
      <w:marRight w:val="0"/>
      <w:marTop w:val="0"/>
      <w:marBottom w:val="0"/>
      <w:divBdr>
        <w:top w:val="none" w:sz="0" w:space="0" w:color="auto"/>
        <w:left w:val="none" w:sz="0" w:space="0" w:color="auto"/>
        <w:bottom w:val="none" w:sz="0" w:space="0" w:color="auto"/>
        <w:right w:val="none" w:sz="0" w:space="0" w:color="auto"/>
      </w:divBdr>
    </w:div>
    <w:div w:id="736241919">
      <w:bodyDiv w:val="1"/>
      <w:marLeft w:val="0"/>
      <w:marRight w:val="0"/>
      <w:marTop w:val="0"/>
      <w:marBottom w:val="0"/>
      <w:divBdr>
        <w:top w:val="none" w:sz="0" w:space="0" w:color="auto"/>
        <w:left w:val="none" w:sz="0" w:space="0" w:color="auto"/>
        <w:bottom w:val="none" w:sz="0" w:space="0" w:color="auto"/>
        <w:right w:val="none" w:sz="0" w:space="0" w:color="auto"/>
      </w:divBdr>
    </w:div>
    <w:div w:id="736320071">
      <w:bodyDiv w:val="1"/>
      <w:marLeft w:val="0"/>
      <w:marRight w:val="0"/>
      <w:marTop w:val="0"/>
      <w:marBottom w:val="0"/>
      <w:divBdr>
        <w:top w:val="none" w:sz="0" w:space="0" w:color="auto"/>
        <w:left w:val="none" w:sz="0" w:space="0" w:color="auto"/>
        <w:bottom w:val="none" w:sz="0" w:space="0" w:color="auto"/>
        <w:right w:val="none" w:sz="0" w:space="0" w:color="auto"/>
      </w:divBdr>
    </w:div>
    <w:div w:id="736321624">
      <w:bodyDiv w:val="1"/>
      <w:marLeft w:val="0"/>
      <w:marRight w:val="0"/>
      <w:marTop w:val="0"/>
      <w:marBottom w:val="0"/>
      <w:divBdr>
        <w:top w:val="none" w:sz="0" w:space="0" w:color="auto"/>
        <w:left w:val="none" w:sz="0" w:space="0" w:color="auto"/>
        <w:bottom w:val="none" w:sz="0" w:space="0" w:color="auto"/>
        <w:right w:val="none" w:sz="0" w:space="0" w:color="auto"/>
      </w:divBdr>
    </w:div>
    <w:div w:id="736367849">
      <w:bodyDiv w:val="1"/>
      <w:marLeft w:val="0"/>
      <w:marRight w:val="0"/>
      <w:marTop w:val="0"/>
      <w:marBottom w:val="0"/>
      <w:divBdr>
        <w:top w:val="none" w:sz="0" w:space="0" w:color="auto"/>
        <w:left w:val="none" w:sz="0" w:space="0" w:color="auto"/>
        <w:bottom w:val="none" w:sz="0" w:space="0" w:color="auto"/>
        <w:right w:val="none" w:sz="0" w:space="0" w:color="auto"/>
      </w:divBdr>
    </w:div>
    <w:div w:id="736393191">
      <w:bodyDiv w:val="1"/>
      <w:marLeft w:val="0"/>
      <w:marRight w:val="0"/>
      <w:marTop w:val="0"/>
      <w:marBottom w:val="0"/>
      <w:divBdr>
        <w:top w:val="none" w:sz="0" w:space="0" w:color="auto"/>
        <w:left w:val="none" w:sz="0" w:space="0" w:color="auto"/>
        <w:bottom w:val="none" w:sz="0" w:space="0" w:color="auto"/>
        <w:right w:val="none" w:sz="0" w:space="0" w:color="auto"/>
      </w:divBdr>
    </w:div>
    <w:div w:id="736393899">
      <w:bodyDiv w:val="1"/>
      <w:marLeft w:val="0"/>
      <w:marRight w:val="0"/>
      <w:marTop w:val="0"/>
      <w:marBottom w:val="0"/>
      <w:divBdr>
        <w:top w:val="none" w:sz="0" w:space="0" w:color="auto"/>
        <w:left w:val="none" w:sz="0" w:space="0" w:color="auto"/>
        <w:bottom w:val="none" w:sz="0" w:space="0" w:color="auto"/>
        <w:right w:val="none" w:sz="0" w:space="0" w:color="auto"/>
      </w:divBdr>
    </w:div>
    <w:div w:id="736510016">
      <w:bodyDiv w:val="1"/>
      <w:marLeft w:val="0"/>
      <w:marRight w:val="0"/>
      <w:marTop w:val="0"/>
      <w:marBottom w:val="0"/>
      <w:divBdr>
        <w:top w:val="none" w:sz="0" w:space="0" w:color="auto"/>
        <w:left w:val="none" w:sz="0" w:space="0" w:color="auto"/>
        <w:bottom w:val="none" w:sz="0" w:space="0" w:color="auto"/>
        <w:right w:val="none" w:sz="0" w:space="0" w:color="auto"/>
      </w:divBdr>
    </w:div>
    <w:div w:id="736778885">
      <w:bodyDiv w:val="1"/>
      <w:marLeft w:val="0"/>
      <w:marRight w:val="0"/>
      <w:marTop w:val="0"/>
      <w:marBottom w:val="0"/>
      <w:divBdr>
        <w:top w:val="none" w:sz="0" w:space="0" w:color="auto"/>
        <w:left w:val="none" w:sz="0" w:space="0" w:color="auto"/>
        <w:bottom w:val="none" w:sz="0" w:space="0" w:color="auto"/>
        <w:right w:val="none" w:sz="0" w:space="0" w:color="auto"/>
      </w:divBdr>
    </w:div>
    <w:div w:id="736785530">
      <w:bodyDiv w:val="1"/>
      <w:marLeft w:val="0"/>
      <w:marRight w:val="0"/>
      <w:marTop w:val="0"/>
      <w:marBottom w:val="0"/>
      <w:divBdr>
        <w:top w:val="none" w:sz="0" w:space="0" w:color="auto"/>
        <w:left w:val="none" w:sz="0" w:space="0" w:color="auto"/>
        <w:bottom w:val="none" w:sz="0" w:space="0" w:color="auto"/>
        <w:right w:val="none" w:sz="0" w:space="0" w:color="auto"/>
      </w:divBdr>
    </w:div>
    <w:div w:id="736786010">
      <w:bodyDiv w:val="1"/>
      <w:marLeft w:val="0"/>
      <w:marRight w:val="0"/>
      <w:marTop w:val="0"/>
      <w:marBottom w:val="0"/>
      <w:divBdr>
        <w:top w:val="none" w:sz="0" w:space="0" w:color="auto"/>
        <w:left w:val="none" w:sz="0" w:space="0" w:color="auto"/>
        <w:bottom w:val="none" w:sz="0" w:space="0" w:color="auto"/>
        <w:right w:val="none" w:sz="0" w:space="0" w:color="auto"/>
      </w:divBdr>
    </w:div>
    <w:div w:id="736905257">
      <w:bodyDiv w:val="1"/>
      <w:marLeft w:val="0"/>
      <w:marRight w:val="0"/>
      <w:marTop w:val="0"/>
      <w:marBottom w:val="0"/>
      <w:divBdr>
        <w:top w:val="none" w:sz="0" w:space="0" w:color="auto"/>
        <w:left w:val="none" w:sz="0" w:space="0" w:color="auto"/>
        <w:bottom w:val="none" w:sz="0" w:space="0" w:color="auto"/>
        <w:right w:val="none" w:sz="0" w:space="0" w:color="auto"/>
      </w:divBdr>
    </w:div>
    <w:div w:id="736981142">
      <w:bodyDiv w:val="1"/>
      <w:marLeft w:val="0"/>
      <w:marRight w:val="0"/>
      <w:marTop w:val="0"/>
      <w:marBottom w:val="0"/>
      <w:divBdr>
        <w:top w:val="none" w:sz="0" w:space="0" w:color="auto"/>
        <w:left w:val="none" w:sz="0" w:space="0" w:color="auto"/>
        <w:bottom w:val="none" w:sz="0" w:space="0" w:color="auto"/>
        <w:right w:val="none" w:sz="0" w:space="0" w:color="auto"/>
      </w:divBdr>
    </w:div>
    <w:div w:id="737048090">
      <w:bodyDiv w:val="1"/>
      <w:marLeft w:val="0"/>
      <w:marRight w:val="0"/>
      <w:marTop w:val="0"/>
      <w:marBottom w:val="0"/>
      <w:divBdr>
        <w:top w:val="none" w:sz="0" w:space="0" w:color="auto"/>
        <w:left w:val="none" w:sz="0" w:space="0" w:color="auto"/>
        <w:bottom w:val="none" w:sz="0" w:space="0" w:color="auto"/>
        <w:right w:val="none" w:sz="0" w:space="0" w:color="auto"/>
      </w:divBdr>
    </w:div>
    <w:div w:id="737098647">
      <w:bodyDiv w:val="1"/>
      <w:marLeft w:val="0"/>
      <w:marRight w:val="0"/>
      <w:marTop w:val="0"/>
      <w:marBottom w:val="0"/>
      <w:divBdr>
        <w:top w:val="none" w:sz="0" w:space="0" w:color="auto"/>
        <w:left w:val="none" w:sz="0" w:space="0" w:color="auto"/>
        <w:bottom w:val="none" w:sz="0" w:space="0" w:color="auto"/>
        <w:right w:val="none" w:sz="0" w:space="0" w:color="auto"/>
      </w:divBdr>
    </w:div>
    <w:div w:id="737440986">
      <w:bodyDiv w:val="1"/>
      <w:marLeft w:val="0"/>
      <w:marRight w:val="0"/>
      <w:marTop w:val="0"/>
      <w:marBottom w:val="0"/>
      <w:divBdr>
        <w:top w:val="none" w:sz="0" w:space="0" w:color="auto"/>
        <w:left w:val="none" w:sz="0" w:space="0" w:color="auto"/>
        <w:bottom w:val="none" w:sz="0" w:space="0" w:color="auto"/>
        <w:right w:val="none" w:sz="0" w:space="0" w:color="auto"/>
      </w:divBdr>
    </w:div>
    <w:div w:id="737441259">
      <w:bodyDiv w:val="1"/>
      <w:marLeft w:val="0"/>
      <w:marRight w:val="0"/>
      <w:marTop w:val="0"/>
      <w:marBottom w:val="0"/>
      <w:divBdr>
        <w:top w:val="none" w:sz="0" w:space="0" w:color="auto"/>
        <w:left w:val="none" w:sz="0" w:space="0" w:color="auto"/>
        <w:bottom w:val="none" w:sz="0" w:space="0" w:color="auto"/>
        <w:right w:val="none" w:sz="0" w:space="0" w:color="auto"/>
      </w:divBdr>
    </w:div>
    <w:div w:id="737485027">
      <w:bodyDiv w:val="1"/>
      <w:marLeft w:val="0"/>
      <w:marRight w:val="0"/>
      <w:marTop w:val="0"/>
      <w:marBottom w:val="0"/>
      <w:divBdr>
        <w:top w:val="none" w:sz="0" w:space="0" w:color="auto"/>
        <w:left w:val="none" w:sz="0" w:space="0" w:color="auto"/>
        <w:bottom w:val="none" w:sz="0" w:space="0" w:color="auto"/>
        <w:right w:val="none" w:sz="0" w:space="0" w:color="auto"/>
      </w:divBdr>
    </w:div>
    <w:div w:id="738021093">
      <w:bodyDiv w:val="1"/>
      <w:marLeft w:val="0"/>
      <w:marRight w:val="0"/>
      <w:marTop w:val="0"/>
      <w:marBottom w:val="0"/>
      <w:divBdr>
        <w:top w:val="none" w:sz="0" w:space="0" w:color="auto"/>
        <w:left w:val="none" w:sz="0" w:space="0" w:color="auto"/>
        <w:bottom w:val="none" w:sz="0" w:space="0" w:color="auto"/>
        <w:right w:val="none" w:sz="0" w:space="0" w:color="auto"/>
      </w:divBdr>
    </w:div>
    <w:div w:id="738090129">
      <w:bodyDiv w:val="1"/>
      <w:marLeft w:val="0"/>
      <w:marRight w:val="0"/>
      <w:marTop w:val="0"/>
      <w:marBottom w:val="0"/>
      <w:divBdr>
        <w:top w:val="none" w:sz="0" w:space="0" w:color="auto"/>
        <w:left w:val="none" w:sz="0" w:space="0" w:color="auto"/>
        <w:bottom w:val="none" w:sz="0" w:space="0" w:color="auto"/>
        <w:right w:val="none" w:sz="0" w:space="0" w:color="auto"/>
      </w:divBdr>
    </w:div>
    <w:div w:id="738212676">
      <w:bodyDiv w:val="1"/>
      <w:marLeft w:val="0"/>
      <w:marRight w:val="0"/>
      <w:marTop w:val="0"/>
      <w:marBottom w:val="0"/>
      <w:divBdr>
        <w:top w:val="none" w:sz="0" w:space="0" w:color="auto"/>
        <w:left w:val="none" w:sz="0" w:space="0" w:color="auto"/>
        <w:bottom w:val="none" w:sz="0" w:space="0" w:color="auto"/>
        <w:right w:val="none" w:sz="0" w:space="0" w:color="auto"/>
      </w:divBdr>
    </w:div>
    <w:div w:id="738216178">
      <w:bodyDiv w:val="1"/>
      <w:marLeft w:val="0"/>
      <w:marRight w:val="0"/>
      <w:marTop w:val="0"/>
      <w:marBottom w:val="0"/>
      <w:divBdr>
        <w:top w:val="none" w:sz="0" w:space="0" w:color="auto"/>
        <w:left w:val="none" w:sz="0" w:space="0" w:color="auto"/>
        <w:bottom w:val="none" w:sz="0" w:space="0" w:color="auto"/>
        <w:right w:val="none" w:sz="0" w:space="0" w:color="auto"/>
      </w:divBdr>
    </w:div>
    <w:div w:id="738400666">
      <w:bodyDiv w:val="1"/>
      <w:marLeft w:val="0"/>
      <w:marRight w:val="0"/>
      <w:marTop w:val="0"/>
      <w:marBottom w:val="0"/>
      <w:divBdr>
        <w:top w:val="none" w:sz="0" w:space="0" w:color="auto"/>
        <w:left w:val="none" w:sz="0" w:space="0" w:color="auto"/>
        <w:bottom w:val="none" w:sz="0" w:space="0" w:color="auto"/>
        <w:right w:val="none" w:sz="0" w:space="0" w:color="auto"/>
      </w:divBdr>
    </w:div>
    <w:div w:id="738477044">
      <w:bodyDiv w:val="1"/>
      <w:marLeft w:val="0"/>
      <w:marRight w:val="0"/>
      <w:marTop w:val="0"/>
      <w:marBottom w:val="0"/>
      <w:divBdr>
        <w:top w:val="none" w:sz="0" w:space="0" w:color="auto"/>
        <w:left w:val="none" w:sz="0" w:space="0" w:color="auto"/>
        <w:bottom w:val="none" w:sz="0" w:space="0" w:color="auto"/>
        <w:right w:val="none" w:sz="0" w:space="0" w:color="auto"/>
      </w:divBdr>
    </w:div>
    <w:div w:id="738555598">
      <w:bodyDiv w:val="1"/>
      <w:marLeft w:val="0"/>
      <w:marRight w:val="0"/>
      <w:marTop w:val="0"/>
      <w:marBottom w:val="0"/>
      <w:divBdr>
        <w:top w:val="none" w:sz="0" w:space="0" w:color="auto"/>
        <w:left w:val="none" w:sz="0" w:space="0" w:color="auto"/>
        <w:bottom w:val="none" w:sz="0" w:space="0" w:color="auto"/>
        <w:right w:val="none" w:sz="0" w:space="0" w:color="auto"/>
      </w:divBdr>
    </w:div>
    <w:div w:id="738673650">
      <w:bodyDiv w:val="1"/>
      <w:marLeft w:val="0"/>
      <w:marRight w:val="0"/>
      <w:marTop w:val="0"/>
      <w:marBottom w:val="0"/>
      <w:divBdr>
        <w:top w:val="none" w:sz="0" w:space="0" w:color="auto"/>
        <w:left w:val="none" w:sz="0" w:space="0" w:color="auto"/>
        <w:bottom w:val="none" w:sz="0" w:space="0" w:color="auto"/>
        <w:right w:val="none" w:sz="0" w:space="0" w:color="auto"/>
      </w:divBdr>
    </w:div>
    <w:div w:id="738790077">
      <w:bodyDiv w:val="1"/>
      <w:marLeft w:val="0"/>
      <w:marRight w:val="0"/>
      <w:marTop w:val="0"/>
      <w:marBottom w:val="0"/>
      <w:divBdr>
        <w:top w:val="none" w:sz="0" w:space="0" w:color="auto"/>
        <w:left w:val="none" w:sz="0" w:space="0" w:color="auto"/>
        <w:bottom w:val="none" w:sz="0" w:space="0" w:color="auto"/>
        <w:right w:val="none" w:sz="0" w:space="0" w:color="auto"/>
      </w:divBdr>
    </w:div>
    <w:div w:id="738944824">
      <w:bodyDiv w:val="1"/>
      <w:marLeft w:val="0"/>
      <w:marRight w:val="0"/>
      <w:marTop w:val="0"/>
      <w:marBottom w:val="0"/>
      <w:divBdr>
        <w:top w:val="none" w:sz="0" w:space="0" w:color="auto"/>
        <w:left w:val="none" w:sz="0" w:space="0" w:color="auto"/>
        <w:bottom w:val="none" w:sz="0" w:space="0" w:color="auto"/>
        <w:right w:val="none" w:sz="0" w:space="0" w:color="auto"/>
      </w:divBdr>
    </w:div>
    <w:div w:id="739063021">
      <w:bodyDiv w:val="1"/>
      <w:marLeft w:val="0"/>
      <w:marRight w:val="0"/>
      <w:marTop w:val="0"/>
      <w:marBottom w:val="0"/>
      <w:divBdr>
        <w:top w:val="none" w:sz="0" w:space="0" w:color="auto"/>
        <w:left w:val="none" w:sz="0" w:space="0" w:color="auto"/>
        <w:bottom w:val="none" w:sz="0" w:space="0" w:color="auto"/>
        <w:right w:val="none" w:sz="0" w:space="0" w:color="auto"/>
      </w:divBdr>
    </w:div>
    <w:div w:id="739252300">
      <w:bodyDiv w:val="1"/>
      <w:marLeft w:val="0"/>
      <w:marRight w:val="0"/>
      <w:marTop w:val="0"/>
      <w:marBottom w:val="0"/>
      <w:divBdr>
        <w:top w:val="none" w:sz="0" w:space="0" w:color="auto"/>
        <w:left w:val="none" w:sz="0" w:space="0" w:color="auto"/>
        <w:bottom w:val="none" w:sz="0" w:space="0" w:color="auto"/>
        <w:right w:val="none" w:sz="0" w:space="0" w:color="auto"/>
      </w:divBdr>
    </w:div>
    <w:div w:id="739253532">
      <w:bodyDiv w:val="1"/>
      <w:marLeft w:val="0"/>
      <w:marRight w:val="0"/>
      <w:marTop w:val="0"/>
      <w:marBottom w:val="0"/>
      <w:divBdr>
        <w:top w:val="none" w:sz="0" w:space="0" w:color="auto"/>
        <w:left w:val="none" w:sz="0" w:space="0" w:color="auto"/>
        <w:bottom w:val="none" w:sz="0" w:space="0" w:color="auto"/>
        <w:right w:val="none" w:sz="0" w:space="0" w:color="auto"/>
      </w:divBdr>
    </w:div>
    <w:div w:id="739256509">
      <w:bodyDiv w:val="1"/>
      <w:marLeft w:val="0"/>
      <w:marRight w:val="0"/>
      <w:marTop w:val="0"/>
      <w:marBottom w:val="0"/>
      <w:divBdr>
        <w:top w:val="none" w:sz="0" w:space="0" w:color="auto"/>
        <w:left w:val="none" w:sz="0" w:space="0" w:color="auto"/>
        <w:bottom w:val="none" w:sz="0" w:space="0" w:color="auto"/>
        <w:right w:val="none" w:sz="0" w:space="0" w:color="auto"/>
      </w:divBdr>
    </w:div>
    <w:div w:id="739599469">
      <w:bodyDiv w:val="1"/>
      <w:marLeft w:val="0"/>
      <w:marRight w:val="0"/>
      <w:marTop w:val="0"/>
      <w:marBottom w:val="0"/>
      <w:divBdr>
        <w:top w:val="none" w:sz="0" w:space="0" w:color="auto"/>
        <w:left w:val="none" w:sz="0" w:space="0" w:color="auto"/>
        <w:bottom w:val="none" w:sz="0" w:space="0" w:color="auto"/>
        <w:right w:val="none" w:sz="0" w:space="0" w:color="auto"/>
      </w:divBdr>
    </w:div>
    <w:div w:id="739600809">
      <w:bodyDiv w:val="1"/>
      <w:marLeft w:val="0"/>
      <w:marRight w:val="0"/>
      <w:marTop w:val="0"/>
      <w:marBottom w:val="0"/>
      <w:divBdr>
        <w:top w:val="none" w:sz="0" w:space="0" w:color="auto"/>
        <w:left w:val="none" w:sz="0" w:space="0" w:color="auto"/>
        <w:bottom w:val="none" w:sz="0" w:space="0" w:color="auto"/>
        <w:right w:val="none" w:sz="0" w:space="0" w:color="auto"/>
      </w:divBdr>
    </w:div>
    <w:div w:id="739641589">
      <w:bodyDiv w:val="1"/>
      <w:marLeft w:val="0"/>
      <w:marRight w:val="0"/>
      <w:marTop w:val="0"/>
      <w:marBottom w:val="0"/>
      <w:divBdr>
        <w:top w:val="none" w:sz="0" w:space="0" w:color="auto"/>
        <w:left w:val="none" w:sz="0" w:space="0" w:color="auto"/>
        <w:bottom w:val="none" w:sz="0" w:space="0" w:color="auto"/>
        <w:right w:val="none" w:sz="0" w:space="0" w:color="auto"/>
      </w:divBdr>
    </w:div>
    <w:div w:id="739712463">
      <w:bodyDiv w:val="1"/>
      <w:marLeft w:val="0"/>
      <w:marRight w:val="0"/>
      <w:marTop w:val="0"/>
      <w:marBottom w:val="0"/>
      <w:divBdr>
        <w:top w:val="none" w:sz="0" w:space="0" w:color="auto"/>
        <w:left w:val="none" w:sz="0" w:space="0" w:color="auto"/>
        <w:bottom w:val="none" w:sz="0" w:space="0" w:color="auto"/>
        <w:right w:val="none" w:sz="0" w:space="0" w:color="auto"/>
      </w:divBdr>
    </w:div>
    <w:div w:id="739717128">
      <w:bodyDiv w:val="1"/>
      <w:marLeft w:val="0"/>
      <w:marRight w:val="0"/>
      <w:marTop w:val="0"/>
      <w:marBottom w:val="0"/>
      <w:divBdr>
        <w:top w:val="none" w:sz="0" w:space="0" w:color="auto"/>
        <w:left w:val="none" w:sz="0" w:space="0" w:color="auto"/>
        <w:bottom w:val="none" w:sz="0" w:space="0" w:color="auto"/>
        <w:right w:val="none" w:sz="0" w:space="0" w:color="auto"/>
      </w:divBdr>
    </w:div>
    <w:div w:id="739838225">
      <w:bodyDiv w:val="1"/>
      <w:marLeft w:val="0"/>
      <w:marRight w:val="0"/>
      <w:marTop w:val="0"/>
      <w:marBottom w:val="0"/>
      <w:divBdr>
        <w:top w:val="none" w:sz="0" w:space="0" w:color="auto"/>
        <w:left w:val="none" w:sz="0" w:space="0" w:color="auto"/>
        <w:bottom w:val="none" w:sz="0" w:space="0" w:color="auto"/>
        <w:right w:val="none" w:sz="0" w:space="0" w:color="auto"/>
      </w:divBdr>
    </w:div>
    <w:div w:id="739864971">
      <w:bodyDiv w:val="1"/>
      <w:marLeft w:val="0"/>
      <w:marRight w:val="0"/>
      <w:marTop w:val="0"/>
      <w:marBottom w:val="0"/>
      <w:divBdr>
        <w:top w:val="none" w:sz="0" w:space="0" w:color="auto"/>
        <w:left w:val="none" w:sz="0" w:space="0" w:color="auto"/>
        <w:bottom w:val="none" w:sz="0" w:space="0" w:color="auto"/>
        <w:right w:val="none" w:sz="0" w:space="0" w:color="auto"/>
      </w:divBdr>
    </w:div>
    <w:div w:id="739982166">
      <w:bodyDiv w:val="1"/>
      <w:marLeft w:val="0"/>
      <w:marRight w:val="0"/>
      <w:marTop w:val="0"/>
      <w:marBottom w:val="0"/>
      <w:divBdr>
        <w:top w:val="none" w:sz="0" w:space="0" w:color="auto"/>
        <w:left w:val="none" w:sz="0" w:space="0" w:color="auto"/>
        <w:bottom w:val="none" w:sz="0" w:space="0" w:color="auto"/>
        <w:right w:val="none" w:sz="0" w:space="0" w:color="auto"/>
      </w:divBdr>
    </w:div>
    <w:div w:id="740249312">
      <w:bodyDiv w:val="1"/>
      <w:marLeft w:val="0"/>
      <w:marRight w:val="0"/>
      <w:marTop w:val="0"/>
      <w:marBottom w:val="0"/>
      <w:divBdr>
        <w:top w:val="none" w:sz="0" w:space="0" w:color="auto"/>
        <w:left w:val="none" w:sz="0" w:space="0" w:color="auto"/>
        <w:bottom w:val="none" w:sz="0" w:space="0" w:color="auto"/>
        <w:right w:val="none" w:sz="0" w:space="0" w:color="auto"/>
      </w:divBdr>
    </w:div>
    <w:div w:id="740256750">
      <w:bodyDiv w:val="1"/>
      <w:marLeft w:val="0"/>
      <w:marRight w:val="0"/>
      <w:marTop w:val="0"/>
      <w:marBottom w:val="0"/>
      <w:divBdr>
        <w:top w:val="none" w:sz="0" w:space="0" w:color="auto"/>
        <w:left w:val="none" w:sz="0" w:space="0" w:color="auto"/>
        <w:bottom w:val="none" w:sz="0" w:space="0" w:color="auto"/>
        <w:right w:val="none" w:sz="0" w:space="0" w:color="auto"/>
      </w:divBdr>
    </w:div>
    <w:div w:id="740298123">
      <w:bodyDiv w:val="1"/>
      <w:marLeft w:val="0"/>
      <w:marRight w:val="0"/>
      <w:marTop w:val="0"/>
      <w:marBottom w:val="0"/>
      <w:divBdr>
        <w:top w:val="none" w:sz="0" w:space="0" w:color="auto"/>
        <w:left w:val="none" w:sz="0" w:space="0" w:color="auto"/>
        <w:bottom w:val="none" w:sz="0" w:space="0" w:color="auto"/>
        <w:right w:val="none" w:sz="0" w:space="0" w:color="auto"/>
      </w:divBdr>
    </w:div>
    <w:div w:id="740299321">
      <w:bodyDiv w:val="1"/>
      <w:marLeft w:val="0"/>
      <w:marRight w:val="0"/>
      <w:marTop w:val="0"/>
      <w:marBottom w:val="0"/>
      <w:divBdr>
        <w:top w:val="none" w:sz="0" w:space="0" w:color="auto"/>
        <w:left w:val="none" w:sz="0" w:space="0" w:color="auto"/>
        <w:bottom w:val="none" w:sz="0" w:space="0" w:color="auto"/>
        <w:right w:val="none" w:sz="0" w:space="0" w:color="auto"/>
      </w:divBdr>
    </w:div>
    <w:div w:id="740370278">
      <w:bodyDiv w:val="1"/>
      <w:marLeft w:val="0"/>
      <w:marRight w:val="0"/>
      <w:marTop w:val="0"/>
      <w:marBottom w:val="0"/>
      <w:divBdr>
        <w:top w:val="none" w:sz="0" w:space="0" w:color="auto"/>
        <w:left w:val="none" w:sz="0" w:space="0" w:color="auto"/>
        <w:bottom w:val="none" w:sz="0" w:space="0" w:color="auto"/>
        <w:right w:val="none" w:sz="0" w:space="0" w:color="auto"/>
      </w:divBdr>
    </w:div>
    <w:div w:id="740443535">
      <w:bodyDiv w:val="1"/>
      <w:marLeft w:val="0"/>
      <w:marRight w:val="0"/>
      <w:marTop w:val="0"/>
      <w:marBottom w:val="0"/>
      <w:divBdr>
        <w:top w:val="none" w:sz="0" w:space="0" w:color="auto"/>
        <w:left w:val="none" w:sz="0" w:space="0" w:color="auto"/>
        <w:bottom w:val="none" w:sz="0" w:space="0" w:color="auto"/>
        <w:right w:val="none" w:sz="0" w:space="0" w:color="auto"/>
      </w:divBdr>
    </w:div>
    <w:div w:id="740445523">
      <w:bodyDiv w:val="1"/>
      <w:marLeft w:val="0"/>
      <w:marRight w:val="0"/>
      <w:marTop w:val="0"/>
      <w:marBottom w:val="0"/>
      <w:divBdr>
        <w:top w:val="none" w:sz="0" w:space="0" w:color="auto"/>
        <w:left w:val="none" w:sz="0" w:space="0" w:color="auto"/>
        <w:bottom w:val="none" w:sz="0" w:space="0" w:color="auto"/>
        <w:right w:val="none" w:sz="0" w:space="0" w:color="auto"/>
      </w:divBdr>
    </w:div>
    <w:div w:id="740522151">
      <w:bodyDiv w:val="1"/>
      <w:marLeft w:val="0"/>
      <w:marRight w:val="0"/>
      <w:marTop w:val="0"/>
      <w:marBottom w:val="0"/>
      <w:divBdr>
        <w:top w:val="none" w:sz="0" w:space="0" w:color="auto"/>
        <w:left w:val="none" w:sz="0" w:space="0" w:color="auto"/>
        <w:bottom w:val="none" w:sz="0" w:space="0" w:color="auto"/>
        <w:right w:val="none" w:sz="0" w:space="0" w:color="auto"/>
      </w:divBdr>
    </w:div>
    <w:div w:id="740635536">
      <w:bodyDiv w:val="1"/>
      <w:marLeft w:val="0"/>
      <w:marRight w:val="0"/>
      <w:marTop w:val="0"/>
      <w:marBottom w:val="0"/>
      <w:divBdr>
        <w:top w:val="none" w:sz="0" w:space="0" w:color="auto"/>
        <w:left w:val="none" w:sz="0" w:space="0" w:color="auto"/>
        <w:bottom w:val="none" w:sz="0" w:space="0" w:color="auto"/>
        <w:right w:val="none" w:sz="0" w:space="0" w:color="auto"/>
      </w:divBdr>
    </w:div>
    <w:div w:id="740712126">
      <w:bodyDiv w:val="1"/>
      <w:marLeft w:val="0"/>
      <w:marRight w:val="0"/>
      <w:marTop w:val="0"/>
      <w:marBottom w:val="0"/>
      <w:divBdr>
        <w:top w:val="none" w:sz="0" w:space="0" w:color="auto"/>
        <w:left w:val="none" w:sz="0" w:space="0" w:color="auto"/>
        <w:bottom w:val="none" w:sz="0" w:space="0" w:color="auto"/>
        <w:right w:val="none" w:sz="0" w:space="0" w:color="auto"/>
      </w:divBdr>
    </w:div>
    <w:div w:id="740756018">
      <w:bodyDiv w:val="1"/>
      <w:marLeft w:val="0"/>
      <w:marRight w:val="0"/>
      <w:marTop w:val="0"/>
      <w:marBottom w:val="0"/>
      <w:divBdr>
        <w:top w:val="none" w:sz="0" w:space="0" w:color="auto"/>
        <w:left w:val="none" w:sz="0" w:space="0" w:color="auto"/>
        <w:bottom w:val="none" w:sz="0" w:space="0" w:color="auto"/>
        <w:right w:val="none" w:sz="0" w:space="0" w:color="auto"/>
      </w:divBdr>
    </w:div>
    <w:div w:id="740760574">
      <w:bodyDiv w:val="1"/>
      <w:marLeft w:val="0"/>
      <w:marRight w:val="0"/>
      <w:marTop w:val="0"/>
      <w:marBottom w:val="0"/>
      <w:divBdr>
        <w:top w:val="none" w:sz="0" w:space="0" w:color="auto"/>
        <w:left w:val="none" w:sz="0" w:space="0" w:color="auto"/>
        <w:bottom w:val="none" w:sz="0" w:space="0" w:color="auto"/>
        <w:right w:val="none" w:sz="0" w:space="0" w:color="auto"/>
      </w:divBdr>
    </w:div>
    <w:div w:id="740910425">
      <w:bodyDiv w:val="1"/>
      <w:marLeft w:val="0"/>
      <w:marRight w:val="0"/>
      <w:marTop w:val="0"/>
      <w:marBottom w:val="0"/>
      <w:divBdr>
        <w:top w:val="none" w:sz="0" w:space="0" w:color="auto"/>
        <w:left w:val="none" w:sz="0" w:space="0" w:color="auto"/>
        <w:bottom w:val="none" w:sz="0" w:space="0" w:color="auto"/>
        <w:right w:val="none" w:sz="0" w:space="0" w:color="auto"/>
      </w:divBdr>
    </w:div>
    <w:div w:id="740982350">
      <w:bodyDiv w:val="1"/>
      <w:marLeft w:val="0"/>
      <w:marRight w:val="0"/>
      <w:marTop w:val="0"/>
      <w:marBottom w:val="0"/>
      <w:divBdr>
        <w:top w:val="none" w:sz="0" w:space="0" w:color="auto"/>
        <w:left w:val="none" w:sz="0" w:space="0" w:color="auto"/>
        <w:bottom w:val="none" w:sz="0" w:space="0" w:color="auto"/>
        <w:right w:val="none" w:sz="0" w:space="0" w:color="auto"/>
      </w:divBdr>
    </w:div>
    <w:div w:id="741101484">
      <w:bodyDiv w:val="1"/>
      <w:marLeft w:val="0"/>
      <w:marRight w:val="0"/>
      <w:marTop w:val="0"/>
      <w:marBottom w:val="0"/>
      <w:divBdr>
        <w:top w:val="none" w:sz="0" w:space="0" w:color="auto"/>
        <w:left w:val="none" w:sz="0" w:space="0" w:color="auto"/>
        <w:bottom w:val="none" w:sz="0" w:space="0" w:color="auto"/>
        <w:right w:val="none" w:sz="0" w:space="0" w:color="auto"/>
      </w:divBdr>
    </w:div>
    <w:div w:id="741174515">
      <w:bodyDiv w:val="1"/>
      <w:marLeft w:val="0"/>
      <w:marRight w:val="0"/>
      <w:marTop w:val="0"/>
      <w:marBottom w:val="0"/>
      <w:divBdr>
        <w:top w:val="none" w:sz="0" w:space="0" w:color="auto"/>
        <w:left w:val="none" w:sz="0" w:space="0" w:color="auto"/>
        <w:bottom w:val="none" w:sz="0" w:space="0" w:color="auto"/>
        <w:right w:val="none" w:sz="0" w:space="0" w:color="auto"/>
      </w:divBdr>
    </w:div>
    <w:div w:id="741175532">
      <w:bodyDiv w:val="1"/>
      <w:marLeft w:val="0"/>
      <w:marRight w:val="0"/>
      <w:marTop w:val="0"/>
      <w:marBottom w:val="0"/>
      <w:divBdr>
        <w:top w:val="none" w:sz="0" w:space="0" w:color="auto"/>
        <w:left w:val="none" w:sz="0" w:space="0" w:color="auto"/>
        <w:bottom w:val="none" w:sz="0" w:space="0" w:color="auto"/>
        <w:right w:val="none" w:sz="0" w:space="0" w:color="auto"/>
      </w:divBdr>
    </w:div>
    <w:div w:id="741178174">
      <w:bodyDiv w:val="1"/>
      <w:marLeft w:val="0"/>
      <w:marRight w:val="0"/>
      <w:marTop w:val="0"/>
      <w:marBottom w:val="0"/>
      <w:divBdr>
        <w:top w:val="none" w:sz="0" w:space="0" w:color="auto"/>
        <w:left w:val="none" w:sz="0" w:space="0" w:color="auto"/>
        <w:bottom w:val="none" w:sz="0" w:space="0" w:color="auto"/>
        <w:right w:val="none" w:sz="0" w:space="0" w:color="auto"/>
      </w:divBdr>
    </w:div>
    <w:div w:id="741366746">
      <w:bodyDiv w:val="1"/>
      <w:marLeft w:val="0"/>
      <w:marRight w:val="0"/>
      <w:marTop w:val="0"/>
      <w:marBottom w:val="0"/>
      <w:divBdr>
        <w:top w:val="none" w:sz="0" w:space="0" w:color="auto"/>
        <w:left w:val="none" w:sz="0" w:space="0" w:color="auto"/>
        <w:bottom w:val="none" w:sz="0" w:space="0" w:color="auto"/>
        <w:right w:val="none" w:sz="0" w:space="0" w:color="auto"/>
      </w:divBdr>
    </w:div>
    <w:div w:id="741369062">
      <w:bodyDiv w:val="1"/>
      <w:marLeft w:val="0"/>
      <w:marRight w:val="0"/>
      <w:marTop w:val="0"/>
      <w:marBottom w:val="0"/>
      <w:divBdr>
        <w:top w:val="none" w:sz="0" w:space="0" w:color="auto"/>
        <w:left w:val="none" w:sz="0" w:space="0" w:color="auto"/>
        <w:bottom w:val="none" w:sz="0" w:space="0" w:color="auto"/>
        <w:right w:val="none" w:sz="0" w:space="0" w:color="auto"/>
      </w:divBdr>
    </w:div>
    <w:div w:id="741412496">
      <w:bodyDiv w:val="1"/>
      <w:marLeft w:val="0"/>
      <w:marRight w:val="0"/>
      <w:marTop w:val="0"/>
      <w:marBottom w:val="0"/>
      <w:divBdr>
        <w:top w:val="none" w:sz="0" w:space="0" w:color="auto"/>
        <w:left w:val="none" w:sz="0" w:space="0" w:color="auto"/>
        <w:bottom w:val="none" w:sz="0" w:space="0" w:color="auto"/>
        <w:right w:val="none" w:sz="0" w:space="0" w:color="auto"/>
      </w:divBdr>
    </w:div>
    <w:div w:id="741483575">
      <w:bodyDiv w:val="1"/>
      <w:marLeft w:val="0"/>
      <w:marRight w:val="0"/>
      <w:marTop w:val="0"/>
      <w:marBottom w:val="0"/>
      <w:divBdr>
        <w:top w:val="none" w:sz="0" w:space="0" w:color="auto"/>
        <w:left w:val="none" w:sz="0" w:space="0" w:color="auto"/>
        <w:bottom w:val="none" w:sz="0" w:space="0" w:color="auto"/>
        <w:right w:val="none" w:sz="0" w:space="0" w:color="auto"/>
      </w:divBdr>
    </w:div>
    <w:div w:id="741560763">
      <w:bodyDiv w:val="1"/>
      <w:marLeft w:val="0"/>
      <w:marRight w:val="0"/>
      <w:marTop w:val="0"/>
      <w:marBottom w:val="0"/>
      <w:divBdr>
        <w:top w:val="none" w:sz="0" w:space="0" w:color="auto"/>
        <w:left w:val="none" w:sz="0" w:space="0" w:color="auto"/>
        <w:bottom w:val="none" w:sz="0" w:space="0" w:color="auto"/>
        <w:right w:val="none" w:sz="0" w:space="0" w:color="auto"/>
      </w:divBdr>
    </w:div>
    <w:div w:id="741560777">
      <w:bodyDiv w:val="1"/>
      <w:marLeft w:val="0"/>
      <w:marRight w:val="0"/>
      <w:marTop w:val="0"/>
      <w:marBottom w:val="0"/>
      <w:divBdr>
        <w:top w:val="none" w:sz="0" w:space="0" w:color="auto"/>
        <w:left w:val="none" w:sz="0" w:space="0" w:color="auto"/>
        <w:bottom w:val="none" w:sz="0" w:space="0" w:color="auto"/>
        <w:right w:val="none" w:sz="0" w:space="0" w:color="auto"/>
      </w:divBdr>
    </w:div>
    <w:div w:id="741566199">
      <w:bodyDiv w:val="1"/>
      <w:marLeft w:val="0"/>
      <w:marRight w:val="0"/>
      <w:marTop w:val="0"/>
      <w:marBottom w:val="0"/>
      <w:divBdr>
        <w:top w:val="none" w:sz="0" w:space="0" w:color="auto"/>
        <w:left w:val="none" w:sz="0" w:space="0" w:color="auto"/>
        <w:bottom w:val="none" w:sz="0" w:space="0" w:color="auto"/>
        <w:right w:val="none" w:sz="0" w:space="0" w:color="auto"/>
      </w:divBdr>
    </w:div>
    <w:div w:id="741754691">
      <w:bodyDiv w:val="1"/>
      <w:marLeft w:val="0"/>
      <w:marRight w:val="0"/>
      <w:marTop w:val="0"/>
      <w:marBottom w:val="0"/>
      <w:divBdr>
        <w:top w:val="none" w:sz="0" w:space="0" w:color="auto"/>
        <w:left w:val="none" w:sz="0" w:space="0" w:color="auto"/>
        <w:bottom w:val="none" w:sz="0" w:space="0" w:color="auto"/>
        <w:right w:val="none" w:sz="0" w:space="0" w:color="auto"/>
      </w:divBdr>
    </w:div>
    <w:div w:id="741803499">
      <w:bodyDiv w:val="1"/>
      <w:marLeft w:val="0"/>
      <w:marRight w:val="0"/>
      <w:marTop w:val="0"/>
      <w:marBottom w:val="0"/>
      <w:divBdr>
        <w:top w:val="none" w:sz="0" w:space="0" w:color="auto"/>
        <w:left w:val="none" w:sz="0" w:space="0" w:color="auto"/>
        <w:bottom w:val="none" w:sz="0" w:space="0" w:color="auto"/>
        <w:right w:val="none" w:sz="0" w:space="0" w:color="auto"/>
      </w:divBdr>
    </w:div>
    <w:div w:id="741877116">
      <w:bodyDiv w:val="1"/>
      <w:marLeft w:val="0"/>
      <w:marRight w:val="0"/>
      <w:marTop w:val="0"/>
      <w:marBottom w:val="0"/>
      <w:divBdr>
        <w:top w:val="none" w:sz="0" w:space="0" w:color="auto"/>
        <w:left w:val="none" w:sz="0" w:space="0" w:color="auto"/>
        <w:bottom w:val="none" w:sz="0" w:space="0" w:color="auto"/>
        <w:right w:val="none" w:sz="0" w:space="0" w:color="auto"/>
      </w:divBdr>
    </w:div>
    <w:div w:id="741951987">
      <w:bodyDiv w:val="1"/>
      <w:marLeft w:val="0"/>
      <w:marRight w:val="0"/>
      <w:marTop w:val="0"/>
      <w:marBottom w:val="0"/>
      <w:divBdr>
        <w:top w:val="none" w:sz="0" w:space="0" w:color="auto"/>
        <w:left w:val="none" w:sz="0" w:space="0" w:color="auto"/>
        <w:bottom w:val="none" w:sz="0" w:space="0" w:color="auto"/>
        <w:right w:val="none" w:sz="0" w:space="0" w:color="auto"/>
      </w:divBdr>
    </w:div>
    <w:div w:id="741952717">
      <w:bodyDiv w:val="1"/>
      <w:marLeft w:val="0"/>
      <w:marRight w:val="0"/>
      <w:marTop w:val="0"/>
      <w:marBottom w:val="0"/>
      <w:divBdr>
        <w:top w:val="none" w:sz="0" w:space="0" w:color="auto"/>
        <w:left w:val="none" w:sz="0" w:space="0" w:color="auto"/>
        <w:bottom w:val="none" w:sz="0" w:space="0" w:color="auto"/>
        <w:right w:val="none" w:sz="0" w:space="0" w:color="auto"/>
      </w:divBdr>
    </w:div>
    <w:div w:id="741953449">
      <w:bodyDiv w:val="1"/>
      <w:marLeft w:val="0"/>
      <w:marRight w:val="0"/>
      <w:marTop w:val="0"/>
      <w:marBottom w:val="0"/>
      <w:divBdr>
        <w:top w:val="none" w:sz="0" w:space="0" w:color="auto"/>
        <w:left w:val="none" w:sz="0" w:space="0" w:color="auto"/>
        <w:bottom w:val="none" w:sz="0" w:space="0" w:color="auto"/>
        <w:right w:val="none" w:sz="0" w:space="0" w:color="auto"/>
      </w:divBdr>
    </w:div>
    <w:div w:id="742144201">
      <w:bodyDiv w:val="1"/>
      <w:marLeft w:val="0"/>
      <w:marRight w:val="0"/>
      <w:marTop w:val="0"/>
      <w:marBottom w:val="0"/>
      <w:divBdr>
        <w:top w:val="none" w:sz="0" w:space="0" w:color="auto"/>
        <w:left w:val="none" w:sz="0" w:space="0" w:color="auto"/>
        <w:bottom w:val="none" w:sz="0" w:space="0" w:color="auto"/>
        <w:right w:val="none" w:sz="0" w:space="0" w:color="auto"/>
      </w:divBdr>
    </w:div>
    <w:div w:id="742261163">
      <w:bodyDiv w:val="1"/>
      <w:marLeft w:val="0"/>
      <w:marRight w:val="0"/>
      <w:marTop w:val="0"/>
      <w:marBottom w:val="0"/>
      <w:divBdr>
        <w:top w:val="none" w:sz="0" w:space="0" w:color="auto"/>
        <w:left w:val="none" w:sz="0" w:space="0" w:color="auto"/>
        <w:bottom w:val="none" w:sz="0" w:space="0" w:color="auto"/>
        <w:right w:val="none" w:sz="0" w:space="0" w:color="auto"/>
      </w:divBdr>
    </w:div>
    <w:div w:id="742529193">
      <w:bodyDiv w:val="1"/>
      <w:marLeft w:val="0"/>
      <w:marRight w:val="0"/>
      <w:marTop w:val="0"/>
      <w:marBottom w:val="0"/>
      <w:divBdr>
        <w:top w:val="none" w:sz="0" w:space="0" w:color="auto"/>
        <w:left w:val="none" w:sz="0" w:space="0" w:color="auto"/>
        <w:bottom w:val="none" w:sz="0" w:space="0" w:color="auto"/>
        <w:right w:val="none" w:sz="0" w:space="0" w:color="auto"/>
      </w:divBdr>
    </w:div>
    <w:div w:id="742534288">
      <w:bodyDiv w:val="1"/>
      <w:marLeft w:val="0"/>
      <w:marRight w:val="0"/>
      <w:marTop w:val="0"/>
      <w:marBottom w:val="0"/>
      <w:divBdr>
        <w:top w:val="none" w:sz="0" w:space="0" w:color="auto"/>
        <w:left w:val="none" w:sz="0" w:space="0" w:color="auto"/>
        <w:bottom w:val="none" w:sz="0" w:space="0" w:color="auto"/>
        <w:right w:val="none" w:sz="0" w:space="0" w:color="auto"/>
      </w:divBdr>
    </w:div>
    <w:div w:id="742604149">
      <w:bodyDiv w:val="1"/>
      <w:marLeft w:val="0"/>
      <w:marRight w:val="0"/>
      <w:marTop w:val="0"/>
      <w:marBottom w:val="0"/>
      <w:divBdr>
        <w:top w:val="none" w:sz="0" w:space="0" w:color="auto"/>
        <w:left w:val="none" w:sz="0" w:space="0" w:color="auto"/>
        <w:bottom w:val="none" w:sz="0" w:space="0" w:color="auto"/>
        <w:right w:val="none" w:sz="0" w:space="0" w:color="auto"/>
      </w:divBdr>
    </w:div>
    <w:div w:id="742680568">
      <w:bodyDiv w:val="1"/>
      <w:marLeft w:val="0"/>
      <w:marRight w:val="0"/>
      <w:marTop w:val="0"/>
      <w:marBottom w:val="0"/>
      <w:divBdr>
        <w:top w:val="none" w:sz="0" w:space="0" w:color="auto"/>
        <w:left w:val="none" w:sz="0" w:space="0" w:color="auto"/>
        <w:bottom w:val="none" w:sz="0" w:space="0" w:color="auto"/>
        <w:right w:val="none" w:sz="0" w:space="0" w:color="auto"/>
      </w:divBdr>
    </w:div>
    <w:div w:id="742721000">
      <w:bodyDiv w:val="1"/>
      <w:marLeft w:val="0"/>
      <w:marRight w:val="0"/>
      <w:marTop w:val="0"/>
      <w:marBottom w:val="0"/>
      <w:divBdr>
        <w:top w:val="none" w:sz="0" w:space="0" w:color="auto"/>
        <w:left w:val="none" w:sz="0" w:space="0" w:color="auto"/>
        <w:bottom w:val="none" w:sz="0" w:space="0" w:color="auto"/>
        <w:right w:val="none" w:sz="0" w:space="0" w:color="auto"/>
      </w:divBdr>
    </w:div>
    <w:div w:id="742725184">
      <w:bodyDiv w:val="1"/>
      <w:marLeft w:val="0"/>
      <w:marRight w:val="0"/>
      <w:marTop w:val="0"/>
      <w:marBottom w:val="0"/>
      <w:divBdr>
        <w:top w:val="none" w:sz="0" w:space="0" w:color="auto"/>
        <w:left w:val="none" w:sz="0" w:space="0" w:color="auto"/>
        <w:bottom w:val="none" w:sz="0" w:space="0" w:color="auto"/>
        <w:right w:val="none" w:sz="0" w:space="0" w:color="auto"/>
      </w:divBdr>
    </w:div>
    <w:div w:id="742797972">
      <w:bodyDiv w:val="1"/>
      <w:marLeft w:val="0"/>
      <w:marRight w:val="0"/>
      <w:marTop w:val="0"/>
      <w:marBottom w:val="0"/>
      <w:divBdr>
        <w:top w:val="none" w:sz="0" w:space="0" w:color="auto"/>
        <w:left w:val="none" w:sz="0" w:space="0" w:color="auto"/>
        <w:bottom w:val="none" w:sz="0" w:space="0" w:color="auto"/>
        <w:right w:val="none" w:sz="0" w:space="0" w:color="auto"/>
      </w:divBdr>
    </w:div>
    <w:div w:id="742916953">
      <w:bodyDiv w:val="1"/>
      <w:marLeft w:val="0"/>
      <w:marRight w:val="0"/>
      <w:marTop w:val="0"/>
      <w:marBottom w:val="0"/>
      <w:divBdr>
        <w:top w:val="none" w:sz="0" w:space="0" w:color="auto"/>
        <w:left w:val="none" w:sz="0" w:space="0" w:color="auto"/>
        <w:bottom w:val="none" w:sz="0" w:space="0" w:color="auto"/>
        <w:right w:val="none" w:sz="0" w:space="0" w:color="auto"/>
      </w:divBdr>
    </w:div>
    <w:div w:id="742994205">
      <w:bodyDiv w:val="1"/>
      <w:marLeft w:val="0"/>
      <w:marRight w:val="0"/>
      <w:marTop w:val="0"/>
      <w:marBottom w:val="0"/>
      <w:divBdr>
        <w:top w:val="none" w:sz="0" w:space="0" w:color="auto"/>
        <w:left w:val="none" w:sz="0" w:space="0" w:color="auto"/>
        <w:bottom w:val="none" w:sz="0" w:space="0" w:color="auto"/>
        <w:right w:val="none" w:sz="0" w:space="0" w:color="auto"/>
      </w:divBdr>
    </w:div>
    <w:div w:id="743069019">
      <w:bodyDiv w:val="1"/>
      <w:marLeft w:val="0"/>
      <w:marRight w:val="0"/>
      <w:marTop w:val="0"/>
      <w:marBottom w:val="0"/>
      <w:divBdr>
        <w:top w:val="none" w:sz="0" w:space="0" w:color="auto"/>
        <w:left w:val="none" w:sz="0" w:space="0" w:color="auto"/>
        <w:bottom w:val="none" w:sz="0" w:space="0" w:color="auto"/>
        <w:right w:val="none" w:sz="0" w:space="0" w:color="auto"/>
      </w:divBdr>
    </w:div>
    <w:div w:id="743071371">
      <w:bodyDiv w:val="1"/>
      <w:marLeft w:val="0"/>
      <w:marRight w:val="0"/>
      <w:marTop w:val="0"/>
      <w:marBottom w:val="0"/>
      <w:divBdr>
        <w:top w:val="none" w:sz="0" w:space="0" w:color="auto"/>
        <w:left w:val="none" w:sz="0" w:space="0" w:color="auto"/>
        <w:bottom w:val="none" w:sz="0" w:space="0" w:color="auto"/>
        <w:right w:val="none" w:sz="0" w:space="0" w:color="auto"/>
      </w:divBdr>
    </w:div>
    <w:div w:id="743113139">
      <w:bodyDiv w:val="1"/>
      <w:marLeft w:val="0"/>
      <w:marRight w:val="0"/>
      <w:marTop w:val="0"/>
      <w:marBottom w:val="0"/>
      <w:divBdr>
        <w:top w:val="none" w:sz="0" w:space="0" w:color="auto"/>
        <w:left w:val="none" w:sz="0" w:space="0" w:color="auto"/>
        <w:bottom w:val="none" w:sz="0" w:space="0" w:color="auto"/>
        <w:right w:val="none" w:sz="0" w:space="0" w:color="auto"/>
      </w:divBdr>
    </w:div>
    <w:div w:id="743137897">
      <w:bodyDiv w:val="1"/>
      <w:marLeft w:val="0"/>
      <w:marRight w:val="0"/>
      <w:marTop w:val="0"/>
      <w:marBottom w:val="0"/>
      <w:divBdr>
        <w:top w:val="none" w:sz="0" w:space="0" w:color="auto"/>
        <w:left w:val="none" w:sz="0" w:space="0" w:color="auto"/>
        <w:bottom w:val="none" w:sz="0" w:space="0" w:color="auto"/>
        <w:right w:val="none" w:sz="0" w:space="0" w:color="auto"/>
      </w:divBdr>
    </w:div>
    <w:div w:id="743382060">
      <w:bodyDiv w:val="1"/>
      <w:marLeft w:val="0"/>
      <w:marRight w:val="0"/>
      <w:marTop w:val="0"/>
      <w:marBottom w:val="0"/>
      <w:divBdr>
        <w:top w:val="none" w:sz="0" w:space="0" w:color="auto"/>
        <w:left w:val="none" w:sz="0" w:space="0" w:color="auto"/>
        <w:bottom w:val="none" w:sz="0" w:space="0" w:color="auto"/>
        <w:right w:val="none" w:sz="0" w:space="0" w:color="auto"/>
      </w:divBdr>
    </w:div>
    <w:div w:id="743458492">
      <w:bodyDiv w:val="1"/>
      <w:marLeft w:val="0"/>
      <w:marRight w:val="0"/>
      <w:marTop w:val="0"/>
      <w:marBottom w:val="0"/>
      <w:divBdr>
        <w:top w:val="none" w:sz="0" w:space="0" w:color="auto"/>
        <w:left w:val="none" w:sz="0" w:space="0" w:color="auto"/>
        <w:bottom w:val="none" w:sz="0" w:space="0" w:color="auto"/>
        <w:right w:val="none" w:sz="0" w:space="0" w:color="auto"/>
      </w:divBdr>
    </w:div>
    <w:div w:id="743526883">
      <w:bodyDiv w:val="1"/>
      <w:marLeft w:val="0"/>
      <w:marRight w:val="0"/>
      <w:marTop w:val="0"/>
      <w:marBottom w:val="0"/>
      <w:divBdr>
        <w:top w:val="none" w:sz="0" w:space="0" w:color="auto"/>
        <w:left w:val="none" w:sz="0" w:space="0" w:color="auto"/>
        <w:bottom w:val="none" w:sz="0" w:space="0" w:color="auto"/>
        <w:right w:val="none" w:sz="0" w:space="0" w:color="auto"/>
      </w:divBdr>
    </w:div>
    <w:div w:id="743531350">
      <w:bodyDiv w:val="1"/>
      <w:marLeft w:val="0"/>
      <w:marRight w:val="0"/>
      <w:marTop w:val="0"/>
      <w:marBottom w:val="0"/>
      <w:divBdr>
        <w:top w:val="none" w:sz="0" w:space="0" w:color="auto"/>
        <w:left w:val="none" w:sz="0" w:space="0" w:color="auto"/>
        <w:bottom w:val="none" w:sz="0" w:space="0" w:color="auto"/>
        <w:right w:val="none" w:sz="0" w:space="0" w:color="auto"/>
      </w:divBdr>
    </w:div>
    <w:div w:id="743531530">
      <w:bodyDiv w:val="1"/>
      <w:marLeft w:val="0"/>
      <w:marRight w:val="0"/>
      <w:marTop w:val="0"/>
      <w:marBottom w:val="0"/>
      <w:divBdr>
        <w:top w:val="none" w:sz="0" w:space="0" w:color="auto"/>
        <w:left w:val="none" w:sz="0" w:space="0" w:color="auto"/>
        <w:bottom w:val="none" w:sz="0" w:space="0" w:color="auto"/>
        <w:right w:val="none" w:sz="0" w:space="0" w:color="auto"/>
      </w:divBdr>
    </w:div>
    <w:div w:id="743644480">
      <w:bodyDiv w:val="1"/>
      <w:marLeft w:val="0"/>
      <w:marRight w:val="0"/>
      <w:marTop w:val="0"/>
      <w:marBottom w:val="0"/>
      <w:divBdr>
        <w:top w:val="none" w:sz="0" w:space="0" w:color="auto"/>
        <w:left w:val="none" w:sz="0" w:space="0" w:color="auto"/>
        <w:bottom w:val="none" w:sz="0" w:space="0" w:color="auto"/>
        <w:right w:val="none" w:sz="0" w:space="0" w:color="auto"/>
      </w:divBdr>
    </w:div>
    <w:div w:id="743645467">
      <w:bodyDiv w:val="1"/>
      <w:marLeft w:val="0"/>
      <w:marRight w:val="0"/>
      <w:marTop w:val="0"/>
      <w:marBottom w:val="0"/>
      <w:divBdr>
        <w:top w:val="none" w:sz="0" w:space="0" w:color="auto"/>
        <w:left w:val="none" w:sz="0" w:space="0" w:color="auto"/>
        <w:bottom w:val="none" w:sz="0" w:space="0" w:color="auto"/>
        <w:right w:val="none" w:sz="0" w:space="0" w:color="auto"/>
      </w:divBdr>
    </w:div>
    <w:div w:id="743727377">
      <w:bodyDiv w:val="1"/>
      <w:marLeft w:val="0"/>
      <w:marRight w:val="0"/>
      <w:marTop w:val="0"/>
      <w:marBottom w:val="0"/>
      <w:divBdr>
        <w:top w:val="none" w:sz="0" w:space="0" w:color="auto"/>
        <w:left w:val="none" w:sz="0" w:space="0" w:color="auto"/>
        <w:bottom w:val="none" w:sz="0" w:space="0" w:color="auto"/>
        <w:right w:val="none" w:sz="0" w:space="0" w:color="auto"/>
      </w:divBdr>
    </w:div>
    <w:div w:id="743796090">
      <w:bodyDiv w:val="1"/>
      <w:marLeft w:val="0"/>
      <w:marRight w:val="0"/>
      <w:marTop w:val="0"/>
      <w:marBottom w:val="0"/>
      <w:divBdr>
        <w:top w:val="none" w:sz="0" w:space="0" w:color="auto"/>
        <w:left w:val="none" w:sz="0" w:space="0" w:color="auto"/>
        <w:bottom w:val="none" w:sz="0" w:space="0" w:color="auto"/>
        <w:right w:val="none" w:sz="0" w:space="0" w:color="auto"/>
      </w:divBdr>
    </w:div>
    <w:div w:id="743839592">
      <w:bodyDiv w:val="1"/>
      <w:marLeft w:val="0"/>
      <w:marRight w:val="0"/>
      <w:marTop w:val="0"/>
      <w:marBottom w:val="0"/>
      <w:divBdr>
        <w:top w:val="none" w:sz="0" w:space="0" w:color="auto"/>
        <w:left w:val="none" w:sz="0" w:space="0" w:color="auto"/>
        <w:bottom w:val="none" w:sz="0" w:space="0" w:color="auto"/>
        <w:right w:val="none" w:sz="0" w:space="0" w:color="auto"/>
      </w:divBdr>
    </w:div>
    <w:div w:id="743842842">
      <w:bodyDiv w:val="1"/>
      <w:marLeft w:val="0"/>
      <w:marRight w:val="0"/>
      <w:marTop w:val="0"/>
      <w:marBottom w:val="0"/>
      <w:divBdr>
        <w:top w:val="none" w:sz="0" w:space="0" w:color="auto"/>
        <w:left w:val="none" w:sz="0" w:space="0" w:color="auto"/>
        <w:bottom w:val="none" w:sz="0" w:space="0" w:color="auto"/>
        <w:right w:val="none" w:sz="0" w:space="0" w:color="auto"/>
      </w:divBdr>
    </w:div>
    <w:div w:id="743911351">
      <w:bodyDiv w:val="1"/>
      <w:marLeft w:val="0"/>
      <w:marRight w:val="0"/>
      <w:marTop w:val="0"/>
      <w:marBottom w:val="0"/>
      <w:divBdr>
        <w:top w:val="none" w:sz="0" w:space="0" w:color="auto"/>
        <w:left w:val="none" w:sz="0" w:space="0" w:color="auto"/>
        <w:bottom w:val="none" w:sz="0" w:space="0" w:color="auto"/>
        <w:right w:val="none" w:sz="0" w:space="0" w:color="auto"/>
      </w:divBdr>
    </w:div>
    <w:div w:id="743913707">
      <w:bodyDiv w:val="1"/>
      <w:marLeft w:val="0"/>
      <w:marRight w:val="0"/>
      <w:marTop w:val="0"/>
      <w:marBottom w:val="0"/>
      <w:divBdr>
        <w:top w:val="none" w:sz="0" w:space="0" w:color="auto"/>
        <w:left w:val="none" w:sz="0" w:space="0" w:color="auto"/>
        <w:bottom w:val="none" w:sz="0" w:space="0" w:color="auto"/>
        <w:right w:val="none" w:sz="0" w:space="0" w:color="auto"/>
      </w:divBdr>
    </w:div>
    <w:div w:id="744033767">
      <w:bodyDiv w:val="1"/>
      <w:marLeft w:val="0"/>
      <w:marRight w:val="0"/>
      <w:marTop w:val="0"/>
      <w:marBottom w:val="0"/>
      <w:divBdr>
        <w:top w:val="none" w:sz="0" w:space="0" w:color="auto"/>
        <w:left w:val="none" w:sz="0" w:space="0" w:color="auto"/>
        <w:bottom w:val="none" w:sz="0" w:space="0" w:color="auto"/>
        <w:right w:val="none" w:sz="0" w:space="0" w:color="auto"/>
      </w:divBdr>
    </w:div>
    <w:div w:id="744061616">
      <w:bodyDiv w:val="1"/>
      <w:marLeft w:val="0"/>
      <w:marRight w:val="0"/>
      <w:marTop w:val="0"/>
      <w:marBottom w:val="0"/>
      <w:divBdr>
        <w:top w:val="none" w:sz="0" w:space="0" w:color="auto"/>
        <w:left w:val="none" w:sz="0" w:space="0" w:color="auto"/>
        <w:bottom w:val="none" w:sz="0" w:space="0" w:color="auto"/>
        <w:right w:val="none" w:sz="0" w:space="0" w:color="auto"/>
      </w:divBdr>
    </w:div>
    <w:div w:id="744257086">
      <w:bodyDiv w:val="1"/>
      <w:marLeft w:val="0"/>
      <w:marRight w:val="0"/>
      <w:marTop w:val="0"/>
      <w:marBottom w:val="0"/>
      <w:divBdr>
        <w:top w:val="none" w:sz="0" w:space="0" w:color="auto"/>
        <w:left w:val="none" w:sz="0" w:space="0" w:color="auto"/>
        <w:bottom w:val="none" w:sz="0" w:space="0" w:color="auto"/>
        <w:right w:val="none" w:sz="0" w:space="0" w:color="auto"/>
      </w:divBdr>
    </w:div>
    <w:div w:id="744300471">
      <w:bodyDiv w:val="1"/>
      <w:marLeft w:val="0"/>
      <w:marRight w:val="0"/>
      <w:marTop w:val="0"/>
      <w:marBottom w:val="0"/>
      <w:divBdr>
        <w:top w:val="none" w:sz="0" w:space="0" w:color="auto"/>
        <w:left w:val="none" w:sz="0" w:space="0" w:color="auto"/>
        <w:bottom w:val="none" w:sz="0" w:space="0" w:color="auto"/>
        <w:right w:val="none" w:sz="0" w:space="0" w:color="auto"/>
      </w:divBdr>
    </w:div>
    <w:div w:id="744372907">
      <w:bodyDiv w:val="1"/>
      <w:marLeft w:val="0"/>
      <w:marRight w:val="0"/>
      <w:marTop w:val="0"/>
      <w:marBottom w:val="0"/>
      <w:divBdr>
        <w:top w:val="none" w:sz="0" w:space="0" w:color="auto"/>
        <w:left w:val="none" w:sz="0" w:space="0" w:color="auto"/>
        <w:bottom w:val="none" w:sz="0" w:space="0" w:color="auto"/>
        <w:right w:val="none" w:sz="0" w:space="0" w:color="auto"/>
      </w:divBdr>
    </w:div>
    <w:div w:id="744451877">
      <w:bodyDiv w:val="1"/>
      <w:marLeft w:val="0"/>
      <w:marRight w:val="0"/>
      <w:marTop w:val="0"/>
      <w:marBottom w:val="0"/>
      <w:divBdr>
        <w:top w:val="none" w:sz="0" w:space="0" w:color="auto"/>
        <w:left w:val="none" w:sz="0" w:space="0" w:color="auto"/>
        <w:bottom w:val="none" w:sz="0" w:space="0" w:color="auto"/>
        <w:right w:val="none" w:sz="0" w:space="0" w:color="auto"/>
      </w:divBdr>
    </w:div>
    <w:div w:id="744570939">
      <w:bodyDiv w:val="1"/>
      <w:marLeft w:val="0"/>
      <w:marRight w:val="0"/>
      <w:marTop w:val="0"/>
      <w:marBottom w:val="0"/>
      <w:divBdr>
        <w:top w:val="none" w:sz="0" w:space="0" w:color="auto"/>
        <w:left w:val="none" w:sz="0" w:space="0" w:color="auto"/>
        <w:bottom w:val="none" w:sz="0" w:space="0" w:color="auto"/>
        <w:right w:val="none" w:sz="0" w:space="0" w:color="auto"/>
      </w:divBdr>
    </w:div>
    <w:div w:id="744571513">
      <w:bodyDiv w:val="1"/>
      <w:marLeft w:val="0"/>
      <w:marRight w:val="0"/>
      <w:marTop w:val="0"/>
      <w:marBottom w:val="0"/>
      <w:divBdr>
        <w:top w:val="none" w:sz="0" w:space="0" w:color="auto"/>
        <w:left w:val="none" w:sz="0" w:space="0" w:color="auto"/>
        <w:bottom w:val="none" w:sz="0" w:space="0" w:color="auto"/>
        <w:right w:val="none" w:sz="0" w:space="0" w:color="auto"/>
      </w:divBdr>
    </w:div>
    <w:div w:id="744642002">
      <w:bodyDiv w:val="1"/>
      <w:marLeft w:val="0"/>
      <w:marRight w:val="0"/>
      <w:marTop w:val="0"/>
      <w:marBottom w:val="0"/>
      <w:divBdr>
        <w:top w:val="none" w:sz="0" w:space="0" w:color="auto"/>
        <w:left w:val="none" w:sz="0" w:space="0" w:color="auto"/>
        <w:bottom w:val="none" w:sz="0" w:space="0" w:color="auto"/>
        <w:right w:val="none" w:sz="0" w:space="0" w:color="auto"/>
      </w:divBdr>
    </w:div>
    <w:div w:id="744692528">
      <w:bodyDiv w:val="1"/>
      <w:marLeft w:val="0"/>
      <w:marRight w:val="0"/>
      <w:marTop w:val="0"/>
      <w:marBottom w:val="0"/>
      <w:divBdr>
        <w:top w:val="none" w:sz="0" w:space="0" w:color="auto"/>
        <w:left w:val="none" w:sz="0" w:space="0" w:color="auto"/>
        <w:bottom w:val="none" w:sz="0" w:space="0" w:color="auto"/>
        <w:right w:val="none" w:sz="0" w:space="0" w:color="auto"/>
      </w:divBdr>
    </w:div>
    <w:div w:id="744766639">
      <w:bodyDiv w:val="1"/>
      <w:marLeft w:val="0"/>
      <w:marRight w:val="0"/>
      <w:marTop w:val="0"/>
      <w:marBottom w:val="0"/>
      <w:divBdr>
        <w:top w:val="none" w:sz="0" w:space="0" w:color="auto"/>
        <w:left w:val="none" w:sz="0" w:space="0" w:color="auto"/>
        <w:bottom w:val="none" w:sz="0" w:space="0" w:color="auto"/>
        <w:right w:val="none" w:sz="0" w:space="0" w:color="auto"/>
      </w:divBdr>
    </w:div>
    <w:div w:id="744957245">
      <w:bodyDiv w:val="1"/>
      <w:marLeft w:val="0"/>
      <w:marRight w:val="0"/>
      <w:marTop w:val="0"/>
      <w:marBottom w:val="0"/>
      <w:divBdr>
        <w:top w:val="none" w:sz="0" w:space="0" w:color="auto"/>
        <w:left w:val="none" w:sz="0" w:space="0" w:color="auto"/>
        <w:bottom w:val="none" w:sz="0" w:space="0" w:color="auto"/>
        <w:right w:val="none" w:sz="0" w:space="0" w:color="auto"/>
      </w:divBdr>
    </w:div>
    <w:div w:id="745037126">
      <w:bodyDiv w:val="1"/>
      <w:marLeft w:val="0"/>
      <w:marRight w:val="0"/>
      <w:marTop w:val="0"/>
      <w:marBottom w:val="0"/>
      <w:divBdr>
        <w:top w:val="none" w:sz="0" w:space="0" w:color="auto"/>
        <w:left w:val="none" w:sz="0" w:space="0" w:color="auto"/>
        <w:bottom w:val="none" w:sz="0" w:space="0" w:color="auto"/>
        <w:right w:val="none" w:sz="0" w:space="0" w:color="auto"/>
      </w:divBdr>
    </w:div>
    <w:div w:id="745106709">
      <w:bodyDiv w:val="1"/>
      <w:marLeft w:val="0"/>
      <w:marRight w:val="0"/>
      <w:marTop w:val="0"/>
      <w:marBottom w:val="0"/>
      <w:divBdr>
        <w:top w:val="none" w:sz="0" w:space="0" w:color="auto"/>
        <w:left w:val="none" w:sz="0" w:space="0" w:color="auto"/>
        <w:bottom w:val="none" w:sz="0" w:space="0" w:color="auto"/>
        <w:right w:val="none" w:sz="0" w:space="0" w:color="auto"/>
      </w:divBdr>
    </w:div>
    <w:div w:id="745418667">
      <w:bodyDiv w:val="1"/>
      <w:marLeft w:val="0"/>
      <w:marRight w:val="0"/>
      <w:marTop w:val="0"/>
      <w:marBottom w:val="0"/>
      <w:divBdr>
        <w:top w:val="none" w:sz="0" w:space="0" w:color="auto"/>
        <w:left w:val="none" w:sz="0" w:space="0" w:color="auto"/>
        <w:bottom w:val="none" w:sz="0" w:space="0" w:color="auto"/>
        <w:right w:val="none" w:sz="0" w:space="0" w:color="auto"/>
      </w:divBdr>
    </w:div>
    <w:div w:id="745539059">
      <w:bodyDiv w:val="1"/>
      <w:marLeft w:val="0"/>
      <w:marRight w:val="0"/>
      <w:marTop w:val="0"/>
      <w:marBottom w:val="0"/>
      <w:divBdr>
        <w:top w:val="none" w:sz="0" w:space="0" w:color="auto"/>
        <w:left w:val="none" w:sz="0" w:space="0" w:color="auto"/>
        <w:bottom w:val="none" w:sz="0" w:space="0" w:color="auto"/>
        <w:right w:val="none" w:sz="0" w:space="0" w:color="auto"/>
      </w:divBdr>
    </w:div>
    <w:div w:id="745539288">
      <w:bodyDiv w:val="1"/>
      <w:marLeft w:val="0"/>
      <w:marRight w:val="0"/>
      <w:marTop w:val="0"/>
      <w:marBottom w:val="0"/>
      <w:divBdr>
        <w:top w:val="none" w:sz="0" w:space="0" w:color="auto"/>
        <w:left w:val="none" w:sz="0" w:space="0" w:color="auto"/>
        <w:bottom w:val="none" w:sz="0" w:space="0" w:color="auto"/>
        <w:right w:val="none" w:sz="0" w:space="0" w:color="auto"/>
      </w:divBdr>
    </w:div>
    <w:div w:id="745957008">
      <w:bodyDiv w:val="1"/>
      <w:marLeft w:val="0"/>
      <w:marRight w:val="0"/>
      <w:marTop w:val="0"/>
      <w:marBottom w:val="0"/>
      <w:divBdr>
        <w:top w:val="none" w:sz="0" w:space="0" w:color="auto"/>
        <w:left w:val="none" w:sz="0" w:space="0" w:color="auto"/>
        <w:bottom w:val="none" w:sz="0" w:space="0" w:color="auto"/>
        <w:right w:val="none" w:sz="0" w:space="0" w:color="auto"/>
      </w:divBdr>
    </w:div>
    <w:div w:id="746070575">
      <w:bodyDiv w:val="1"/>
      <w:marLeft w:val="0"/>
      <w:marRight w:val="0"/>
      <w:marTop w:val="0"/>
      <w:marBottom w:val="0"/>
      <w:divBdr>
        <w:top w:val="none" w:sz="0" w:space="0" w:color="auto"/>
        <w:left w:val="none" w:sz="0" w:space="0" w:color="auto"/>
        <w:bottom w:val="none" w:sz="0" w:space="0" w:color="auto"/>
        <w:right w:val="none" w:sz="0" w:space="0" w:color="auto"/>
      </w:divBdr>
    </w:div>
    <w:div w:id="746070884">
      <w:bodyDiv w:val="1"/>
      <w:marLeft w:val="0"/>
      <w:marRight w:val="0"/>
      <w:marTop w:val="0"/>
      <w:marBottom w:val="0"/>
      <w:divBdr>
        <w:top w:val="none" w:sz="0" w:space="0" w:color="auto"/>
        <w:left w:val="none" w:sz="0" w:space="0" w:color="auto"/>
        <w:bottom w:val="none" w:sz="0" w:space="0" w:color="auto"/>
        <w:right w:val="none" w:sz="0" w:space="0" w:color="auto"/>
      </w:divBdr>
    </w:div>
    <w:div w:id="746264606">
      <w:bodyDiv w:val="1"/>
      <w:marLeft w:val="0"/>
      <w:marRight w:val="0"/>
      <w:marTop w:val="0"/>
      <w:marBottom w:val="0"/>
      <w:divBdr>
        <w:top w:val="none" w:sz="0" w:space="0" w:color="auto"/>
        <w:left w:val="none" w:sz="0" w:space="0" w:color="auto"/>
        <w:bottom w:val="none" w:sz="0" w:space="0" w:color="auto"/>
        <w:right w:val="none" w:sz="0" w:space="0" w:color="auto"/>
      </w:divBdr>
    </w:div>
    <w:div w:id="746270839">
      <w:bodyDiv w:val="1"/>
      <w:marLeft w:val="0"/>
      <w:marRight w:val="0"/>
      <w:marTop w:val="0"/>
      <w:marBottom w:val="0"/>
      <w:divBdr>
        <w:top w:val="none" w:sz="0" w:space="0" w:color="auto"/>
        <w:left w:val="none" w:sz="0" w:space="0" w:color="auto"/>
        <w:bottom w:val="none" w:sz="0" w:space="0" w:color="auto"/>
        <w:right w:val="none" w:sz="0" w:space="0" w:color="auto"/>
      </w:divBdr>
    </w:div>
    <w:div w:id="746272526">
      <w:bodyDiv w:val="1"/>
      <w:marLeft w:val="0"/>
      <w:marRight w:val="0"/>
      <w:marTop w:val="0"/>
      <w:marBottom w:val="0"/>
      <w:divBdr>
        <w:top w:val="none" w:sz="0" w:space="0" w:color="auto"/>
        <w:left w:val="none" w:sz="0" w:space="0" w:color="auto"/>
        <w:bottom w:val="none" w:sz="0" w:space="0" w:color="auto"/>
        <w:right w:val="none" w:sz="0" w:space="0" w:color="auto"/>
      </w:divBdr>
    </w:div>
    <w:div w:id="746272555">
      <w:bodyDiv w:val="1"/>
      <w:marLeft w:val="0"/>
      <w:marRight w:val="0"/>
      <w:marTop w:val="0"/>
      <w:marBottom w:val="0"/>
      <w:divBdr>
        <w:top w:val="none" w:sz="0" w:space="0" w:color="auto"/>
        <w:left w:val="none" w:sz="0" w:space="0" w:color="auto"/>
        <w:bottom w:val="none" w:sz="0" w:space="0" w:color="auto"/>
        <w:right w:val="none" w:sz="0" w:space="0" w:color="auto"/>
      </w:divBdr>
    </w:div>
    <w:div w:id="746417649">
      <w:bodyDiv w:val="1"/>
      <w:marLeft w:val="0"/>
      <w:marRight w:val="0"/>
      <w:marTop w:val="0"/>
      <w:marBottom w:val="0"/>
      <w:divBdr>
        <w:top w:val="none" w:sz="0" w:space="0" w:color="auto"/>
        <w:left w:val="none" w:sz="0" w:space="0" w:color="auto"/>
        <w:bottom w:val="none" w:sz="0" w:space="0" w:color="auto"/>
        <w:right w:val="none" w:sz="0" w:space="0" w:color="auto"/>
      </w:divBdr>
    </w:div>
    <w:div w:id="746533437">
      <w:bodyDiv w:val="1"/>
      <w:marLeft w:val="0"/>
      <w:marRight w:val="0"/>
      <w:marTop w:val="0"/>
      <w:marBottom w:val="0"/>
      <w:divBdr>
        <w:top w:val="none" w:sz="0" w:space="0" w:color="auto"/>
        <w:left w:val="none" w:sz="0" w:space="0" w:color="auto"/>
        <w:bottom w:val="none" w:sz="0" w:space="0" w:color="auto"/>
        <w:right w:val="none" w:sz="0" w:space="0" w:color="auto"/>
      </w:divBdr>
    </w:div>
    <w:div w:id="746653832">
      <w:bodyDiv w:val="1"/>
      <w:marLeft w:val="0"/>
      <w:marRight w:val="0"/>
      <w:marTop w:val="0"/>
      <w:marBottom w:val="0"/>
      <w:divBdr>
        <w:top w:val="none" w:sz="0" w:space="0" w:color="auto"/>
        <w:left w:val="none" w:sz="0" w:space="0" w:color="auto"/>
        <w:bottom w:val="none" w:sz="0" w:space="0" w:color="auto"/>
        <w:right w:val="none" w:sz="0" w:space="0" w:color="auto"/>
      </w:divBdr>
    </w:div>
    <w:div w:id="746807386">
      <w:bodyDiv w:val="1"/>
      <w:marLeft w:val="0"/>
      <w:marRight w:val="0"/>
      <w:marTop w:val="0"/>
      <w:marBottom w:val="0"/>
      <w:divBdr>
        <w:top w:val="none" w:sz="0" w:space="0" w:color="auto"/>
        <w:left w:val="none" w:sz="0" w:space="0" w:color="auto"/>
        <w:bottom w:val="none" w:sz="0" w:space="0" w:color="auto"/>
        <w:right w:val="none" w:sz="0" w:space="0" w:color="auto"/>
      </w:divBdr>
    </w:div>
    <w:div w:id="746920543">
      <w:bodyDiv w:val="1"/>
      <w:marLeft w:val="0"/>
      <w:marRight w:val="0"/>
      <w:marTop w:val="0"/>
      <w:marBottom w:val="0"/>
      <w:divBdr>
        <w:top w:val="none" w:sz="0" w:space="0" w:color="auto"/>
        <w:left w:val="none" w:sz="0" w:space="0" w:color="auto"/>
        <w:bottom w:val="none" w:sz="0" w:space="0" w:color="auto"/>
        <w:right w:val="none" w:sz="0" w:space="0" w:color="auto"/>
      </w:divBdr>
    </w:div>
    <w:div w:id="746922624">
      <w:bodyDiv w:val="1"/>
      <w:marLeft w:val="0"/>
      <w:marRight w:val="0"/>
      <w:marTop w:val="0"/>
      <w:marBottom w:val="0"/>
      <w:divBdr>
        <w:top w:val="none" w:sz="0" w:space="0" w:color="auto"/>
        <w:left w:val="none" w:sz="0" w:space="0" w:color="auto"/>
        <w:bottom w:val="none" w:sz="0" w:space="0" w:color="auto"/>
        <w:right w:val="none" w:sz="0" w:space="0" w:color="auto"/>
      </w:divBdr>
    </w:div>
    <w:div w:id="746925678">
      <w:bodyDiv w:val="1"/>
      <w:marLeft w:val="0"/>
      <w:marRight w:val="0"/>
      <w:marTop w:val="0"/>
      <w:marBottom w:val="0"/>
      <w:divBdr>
        <w:top w:val="none" w:sz="0" w:space="0" w:color="auto"/>
        <w:left w:val="none" w:sz="0" w:space="0" w:color="auto"/>
        <w:bottom w:val="none" w:sz="0" w:space="0" w:color="auto"/>
        <w:right w:val="none" w:sz="0" w:space="0" w:color="auto"/>
      </w:divBdr>
    </w:div>
    <w:div w:id="747196622">
      <w:bodyDiv w:val="1"/>
      <w:marLeft w:val="0"/>
      <w:marRight w:val="0"/>
      <w:marTop w:val="0"/>
      <w:marBottom w:val="0"/>
      <w:divBdr>
        <w:top w:val="none" w:sz="0" w:space="0" w:color="auto"/>
        <w:left w:val="none" w:sz="0" w:space="0" w:color="auto"/>
        <w:bottom w:val="none" w:sz="0" w:space="0" w:color="auto"/>
        <w:right w:val="none" w:sz="0" w:space="0" w:color="auto"/>
      </w:divBdr>
    </w:div>
    <w:div w:id="747196946">
      <w:bodyDiv w:val="1"/>
      <w:marLeft w:val="0"/>
      <w:marRight w:val="0"/>
      <w:marTop w:val="0"/>
      <w:marBottom w:val="0"/>
      <w:divBdr>
        <w:top w:val="none" w:sz="0" w:space="0" w:color="auto"/>
        <w:left w:val="none" w:sz="0" w:space="0" w:color="auto"/>
        <w:bottom w:val="none" w:sz="0" w:space="0" w:color="auto"/>
        <w:right w:val="none" w:sz="0" w:space="0" w:color="auto"/>
      </w:divBdr>
    </w:div>
    <w:div w:id="747270613">
      <w:bodyDiv w:val="1"/>
      <w:marLeft w:val="0"/>
      <w:marRight w:val="0"/>
      <w:marTop w:val="0"/>
      <w:marBottom w:val="0"/>
      <w:divBdr>
        <w:top w:val="none" w:sz="0" w:space="0" w:color="auto"/>
        <w:left w:val="none" w:sz="0" w:space="0" w:color="auto"/>
        <w:bottom w:val="none" w:sz="0" w:space="0" w:color="auto"/>
        <w:right w:val="none" w:sz="0" w:space="0" w:color="auto"/>
      </w:divBdr>
    </w:div>
    <w:div w:id="747459344">
      <w:bodyDiv w:val="1"/>
      <w:marLeft w:val="0"/>
      <w:marRight w:val="0"/>
      <w:marTop w:val="0"/>
      <w:marBottom w:val="0"/>
      <w:divBdr>
        <w:top w:val="none" w:sz="0" w:space="0" w:color="auto"/>
        <w:left w:val="none" w:sz="0" w:space="0" w:color="auto"/>
        <w:bottom w:val="none" w:sz="0" w:space="0" w:color="auto"/>
        <w:right w:val="none" w:sz="0" w:space="0" w:color="auto"/>
      </w:divBdr>
    </w:div>
    <w:div w:id="747464169">
      <w:bodyDiv w:val="1"/>
      <w:marLeft w:val="0"/>
      <w:marRight w:val="0"/>
      <w:marTop w:val="0"/>
      <w:marBottom w:val="0"/>
      <w:divBdr>
        <w:top w:val="none" w:sz="0" w:space="0" w:color="auto"/>
        <w:left w:val="none" w:sz="0" w:space="0" w:color="auto"/>
        <w:bottom w:val="none" w:sz="0" w:space="0" w:color="auto"/>
        <w:right w:val="none" w:sz="0" w:space="0" w:color="auto"/>
      </w:divBdr>
    </w:div>
    <w:div w:id="747532152">
      <w:bodyDiv w:val="1"/>
      <w:marLeft w:val="0"/>
      <w:marRight w:val="0"/>
      <w:marTop w:val="0"/>
      <w:marBottom w:val="0"/>
      <w:divBdr>
        <w:top w:val="none" w:sz="0" w:space="0" w:color="auto"/>
        <w:left w:val="none" w:sz="0" w:space="0" w:color="auto"/>
        <w:bottom w:val="none" w:sz="0" w:space="0" w:color="auto"/>
        <w:right w:val="none" w:sz="0" w:space="0" w:color="auto"/>
      </w:divBdr>
    </w:div>
    <w:div w:id="747769626">
      <w:bodyDiv w:val="1"/>
      <w:marLeft w:val="0"/>
      <w:marRight w:val="0"/>
      <w:marTop w:val="0"/>
      <w:marBottom w:val="0"/>
      <w:divBdr>
        <w:top w:val="none" w:sz="0" w:space="0" w:color="auto"/>
        <w:left w:val="none" w:sz="0" w:space="0" w:color="auto"/>
        <w:bottom w:val="none" w:sz="0" w:space="0" w:color="auto"/>
        <w:right w:val="none" w:sz="0" w:space="0" w:color="auto"/>
      </w:divBdr>
    </w:div>
    <w:div w:id="747850820">
      <w:bodyDiv w:val="1"/>
      <w:marLeft w:val="0"/>
      <w:marRight w:val="0"/>
      <w:marTop w:val="0"/>
      <w:marBottom w:val="0"/>
      <w:divBdr>
        <w:top w:val="none" w:sz="0" w:space="0" w:color="auto"/>
        <w:left w:val="none" w:sz="0" w:space="0" w:color="auto"/>
        <w:bottom w:val="none" w:sz="0" w:space="0" w:color="auto"/>
        <w:right w:val="none" w:sz="0" w:space="0" w:color="auto"/>
      </w:divBdr>
    </w:div>
    <w:div w:id="747967837">
      <w:bodyDiv w:val="1"/>
      <w:marLeft w:val="0"/>
      <w:marRight w:val="0"/>
      <w:marTop w:val="0"/>
      <w:marBottom w:val="0"/>
      <w:divBdr>
        <w:top w:val="none" w:sz="0" w:space="0" w:color="auto"/>
        <w:left w:val="none" w:sz="0" w:space="0" w:color="auto"/>
        <w:bottom w:val="none" w:sz="0" w:space="0" w:color="auto"/>
        <w:right w:val="none" w:sz="0" w:space="0" w:color="auto"/>
      </w:divBdr>
    </w:div>
    <w:div w:id="748036044">
      <w:bodyDiv w:val="1"/>
      <w:marLeft w:val="0"/>
      <w:marRight w:val="0"/>
      <w:marTop w:val="0"/>
      <w:marBottom w:val="0"/>
      <w:divBdr>
        <w:top w:val="none" w:sz="0" w:space="0" w:color="auto"/>
        <w:left w:val="none" w:sz="0" w:space="0" w:color="auto"/>
        <w:bottom w:val="none" w:sz="0" w:space="0" w:color="auto"/>
        <w:right w:val="none" w:sz="0" w:space="0" w:color="auto"/>
      </w:divBdr>
    </w:div>
    <w:div w:id="748040607">
      <w:bodyDiv w:val="1"/>
      <w:marLeft w:val="0"/>
      <w:marRight w:val="0"/>
      <w:marTop w:val="0"/>
      <w:marBottom w:val="0"/>
      <w:divBdr>
        <w:top w:val="none" w:sz="0" w:space="0" w:color="auto"/>
        <w:left w:val="none" w:sz="0" w:space="0" w:color="auto"/>
        <w:bottom w:val="none" w:sz="0" w:space="0" w:color="auto"/>
        <w:right w:val="none" w:sz="0" w:space="0" w:color="auto"/>
      </w:divBdr>
    </w:div>
    <w:div w:id="748116748">
      <w:bodyDiv w:val="1"/>
      <w:marLeft w:val="0"/>
      <w:marRight w:val="0"/>
      <w:marTop w:val="0"/>
      <w:marBottom w:val="0"/>
      <w:divBdr>
        <w:top w:val="none" w:sz="0" w:space="0" w:color="auto"/>
        <w:left w:val="none" w:sz="0" w:space="0" w:color="auto"/>
        <w:bottom w:val="none" w:sz="0" w:space="0" w:color="auto"/>
        <w:right w:val="none" w:sz="0" w:space="0" w:color="auto"/>
      </w:divBdr>
    </w:div>
    <w:div w:id="748307439">
      <w:bodyDiv w:val="1"/>
      <w:marLeft w:val="0"/>
      <w:marRight w:val="0"/>
      <w:marTop w:val="0"/>
      <w:marBottom w:val="0"/>
      <w:divBdr>
        <w:top w:val="none" w:sz="0" w:space="0" w:color="auto"/>
        <w:left w:val="none" w:sz="0" w:space="0" w:color="auto"/>
        <w:bottom w:val="none" w:sz="0" w:space="0" w:color="auto"/>
        <w:right w:val="none" w:sz="0" w:space="0" w:color="auto"/>
      </w:divBdr>
    </w:div>
    <w:div w:id="748312014">
      <w:bodyDiv w:val="1"/>
      <w:marLeft w:val="0"/>
      <w:marRight w:val="0"/>
      <w:marTop w:val="0"/>
      <w:marBottom w:val="0"/>
      <w:divBdr>
        <w:top w:val="none" w:sz="0" w:space="0" w:color="auto"/>
        <w:left w:val="none" w:sz="0" w:space="0" w:color="auto"/>
        <w:bottom w:val="none" w:sz="0" w:space="0" w:color="auto"/>
        <w:right w:val="none" w:sz="0" w:space="0" w:color="auto"/>
      </w:divBdr>
    </w:div>
    <w:div w:id="748380868">
      <w:bodyDiv w:val="1"/>
      <w:marLeft w:val="0"/>
      <w:marRight w:val="0"/>
      <w:marTop w:val="0"/>
      <w:marBottom w:val="0"/>
      <w:divBdr>
        <w:top w:val="none" w:sz="0" w:space="0" w:color="auto"/>
        <w:left w:val="none" w:sz="0" w:space="0" w:color="auto"/>
        <w:bottom w:val="none" w:sz="0" w:space="0" w:color="auto"/>
        <w:right w:val="none" w:sz="0" w:space="0" w:color="auto"/>
      </w:divBdr>
    </w:div>
    <w:div w:id="748382688">
      <w:bodyDiv w:val="1"/>
      <w:marLeft w:val="0"/>
      <w:marRight w:val="0"/>
      <w:marTop w:val="0"/>
      <w:marBottom w:val="0"/>
      <w:divBdr>
        <w:top w:val="none" w:sz="0" w:space="0" w:color="auto"/>
        <w:left w:val="none" w:sz="0" w:space="0" w:color="auto"/>
        <w:bottom w:val="none" w:sz="0" w:space="0" w:color="auto"/>
        <w:right w:val="none" w:sz="0" w:space="0" w:color="auto"/>
      </w:divBdr>
    </w:div>
    <w:div w:id="748383016">
      <w:bodyDiv w:val="1"/>
      <w:marLeft w:val="0"/>
      <w:marRight w:val="0"/>
      <w:marTop w:val="0"/>
      <w:marBottom w:val="0"/>
      <w:divBdr>
        <w:top w:val="none" w:sz="0" w:space="0" w:color="auto"/>
        <w:left w:val="none" w:sz="0" w:space="0" w:color="auto"/>
        <w:bottom w:val="none" w:sz="0" w:space="0" w:color="auto"/>
        <w:right w:val="none" w:sz="0" w:space="0" w:color="auto"/>
      </w:divBdr>
    </w:div>
    <w:div w:id="748423453">
      <w:bodyDiv w:val="1"/>
      <w:marLeft w:val="0"/>
      <w:marRight w:val="0"/>
      <w:marTop w:val="0"/>
      <w:marBottom w:val="0"/>
      <w:divBdr>
        <w:top w:val="none" w:sz="0" w:space="0" w:color="auto"/>
        <w:left w:val="none" w:sz="0" w:space="0" w:color="auto"/>
        <w:bottom w:val="none" w:sz="0" w:space="0" w:color="auto"/>
        <w:right w:val="none" w:sz="0" w:space="0" w:color="auto"/>
      </w:divBdr>
    </w:div>
    <w:div w:id="748426398">
      <w:bodyDiv w:val="1"/>
      <w:marLeft w:val="0"/>
      <w:marRight w:val="0"/>
      <w:marTop w:val="0"/>
      <w:marBottom w:val="0"/>
      <w:divBdr>
        <w:top w:val="none" w:sz="0" w:space="0" w:color="auto"/>
        <w:left w:val="none" w:sz="0" w:space="0" w:color="auto"/>
        <w:bottom w:val="none" w:sz="0" w:space="0" w:color="auto"/>
        <w:right w:val="none" w:sz="0" w:space="0" w:color="auto"/>
      </w:divBdr>
    </w:div>
    <w:div w:id="748427260">
      <w:bodyDiv w:val="1"/>
      <w:marLeft w:val="0"/>
      <w:marRight w:val="0"/>
      <w:marTop w:val="0"/>
      <w:marBottom w:val="0"/>
      <w:divBdr>
        <w:top w:val="none" w:sz="0" w:space="0" w:color="auto"/>
        <w:left w:val="none" w:sz="0" w:space="0" w:color="auto"/>
        <w:bottom w:val="none" w:sz="0" w:space="0" w:color="auto"/>
        <w:right w:val="none" w:sz="0" w:space="0" w:color="auto"/>
      </w:divBdr>
    </w:div>
    <w:div w:id="748582577">
      <w:bodyDiv w:val="1"/>
      <w:marLeft w:val="0"/>
      <w:marRight w:val="0"/>
      <w:marTop w:val="0"/>
      <w:marBottom w:val="0"/>
      <w:divBdr>
        <w:top w:val="none" w:sz="0" w:space="0" w:color="auto"/>
        <w:left w:val="none" w:sz="0" w:space="0" w:color="auto"/>
        <w:bottom w:val="none" w:sz="0" w:space="0" w:color="auto"/>
        <w:right w:val="none" w:sz="0" w:space="0" w:color="auto"/>
      </w:divBdr>
    </w:div>
    <w:div w:id="748698629">
      <w:bodyDiv w:val="1"/>
      <w:marLeft w:val="0"/>
      <w:marRight w:val="0"/>
      <w:marTop w:val="0"/>
      <w:marBottom w:val="0"/>
      <w:divBdr>
        <w:top w:val="none" w:sz="0" w:space="0" w:color="auto"/>
        <w:left w:val="none" w:sz="0" w:space="0" w:color="auto"/>
        <w:bottom w:val="none" w:sz="0" w:space="0" w:color="auto"/>
        <w:right w:val="none" w:sz="0" w:space="0" w:color="auto"/>
      </w:divBdr>
    </w:div>
    <w:div w:id="748843633">
      <w:bodyDiv w:val="1"/>
      <w:marLeft w:val="0"/>
      <w:marRight w:val="0"/>
      <w:marTop w:val="0"/>
      <w:marBottom w:val="0"/>
      <w:divBdr>
        <w:top w:val="none" w:sz="0" w:space="0" w:color="auto"/>
        <w:left w:val="none" w:sz="0" w:space="0" w:color="auto"/>
        <w:bottom w:val="none" w:sz="0" w:space="0" w:color="auto"/>
        <w:right w:val="none" w:sz="0" w:space="0" w:color="auto"/>
      </w:divBdr>
    </w:div>
    <w:div w:id="748960433">
      <w:bodyDiv w:val="1"/>
      <w:marLeft w:val="0"/>
      <w:marRight w:val="0"/>
      <w:marTop w:val="0"/>
      <w:marBottom w:val="0"/>
      <w:divBdr>
        <w:top w:val="none" w:sz="0" w:space="0" w:color="auto"/>
        <w:left w:val="none" w:sz="0" w:space="0" w:color="auto"/>
        <w:bottom w:val="none" w:sz="0" w:space="0" w:color="auto"/>
        <w:right w:val="none" w:sz="0" w:space="0" w:color="auto"/>
      </w:divBdr>
    </w:div>
    <w:div w:id="749079149">
      <w:bodyDiv w:val="1"/>
      <w:marLeft w:val="0"/>
      <w:marRight w:val="0"/>
      <w:marTop w:val="0"/>
      <w:marBottom w:val="0"/>
      <w:divBdr>
        <w:top w:val="none" w:sz="0" w:space="0" w:color="auto"/>
        <w:left w:val="none" w:sz="0" w:space="0" w:color="auto"/>
        <w:bottom w:val="none" w:sz="0" w:space="0" w:color="auto"/>
        <w:right w:val="none" w:sz="0" w:space="0" w:color="auto"/>
      </w:divBdr>
    </w:div>
    <w:div w:id="749161197">
      <w:bodyDiv w:val="1"/>
      <w:marLeft w:val="0"/>
      <w:marRight w:val="0"/>
      <w:marTop w:val="0"/>
      <w:marBottom w:val="0"/>
      <w:divBdr>
        <w:top w:val="none" w:sz="0" w:space="0" w:color="auto"/>
        <w:left w:val="none" w:sz="0" w:space="0" w:color="auto"/>
        <w:bottom w:val="none" w:sz="0" w:space="0" w:color="auto"/>
        <w:right w:val="none" w:sz="0" w:space="0" w:color="auto"/>
      </w:divBdr>
    </w:div>
    <w:div w:id="749277873">
      <w:bodyDiv w:val="1"/>
      <w:marLeft w:val="0"/>
      <w:marRight w:val="0"/>
      <w:marTop w:val="0"/>
      <w:marBottom w:val="0"/>
      <w:divBdr>
        <w:top w:val="none" w:sz="0" w:space="0" w:color="auto"/>
        <w:left w:val="none" w:sz="0" w:space="0" w:color="auto"/>
        <w:bottom w:val="none" w:sz="0" w:space="0" w:color="auto"/>
        <w:right w:val="none" w:sz="0" w:space="0" w:color="auto"/>
      </w:divBdr>
    </w:div>
    <w:div w:id="749348061">
      <w:bodyDiv w:val="1"/>
      <w:marLeft w:val="0"/>
      <w:marRight w:val="0"/>
      <w:marTop w:val="0"/>
      <w:marBottom w:val="0"/>
      <w:divBdr>
        <w:top w:val="none" w:sz="0" w:space="0" w:color="auto"/>
        <w:left w:val="none" w:sz="0" w:space="0" w:color="auto"/>
        <w:bottom w:val="none" w:sz="0" w:space="0" w:color="auto"/>
        <w:right w:val="none" w:sz="0" w:space="0" w:color="auto"/>
      </w:divBdr>
    </w:div>
    <w:div w:id="749501293">
      <w:bodyDiv w:val="1"/>
      <w:marLeft w:val="0"/>
      <w:marRight w:val="0"/>
      <w:marTop w:val="0"/>
      <w:marBottom w:val="0"/>
      <w:divBdr>
        <w:top w:val="none" w:sz="0" w:space="0" w:color="auto"/>
        <w:left w:val="none" w:sz="0" w:space="0" w:color="auto"/>
        <w:bottom w:val="none" w:sz="0" w:space="0" w:color="auto"/>
        <w:right w:val="none" w:sz="0" w:space="0" w:color="auto"/>
      </w:divBdr>
    </w:div>
    <w:div w:id="749740910">
      <w:bodyDiv w:val="1"/>
      <w:marLeft w:val="0"/>
      <w:marRight w:val="0"/>
      <w:marTop w:val="0"/>
      <w:marBottom w:val="0"/>
      <w:divBdr>
        <w:top w:val="none" w:sz="0" w:space="0" w:color="auto"/>
        <w:left w:val="none" w:sz="0" w:space="0" w:color="auto"/>
        <w:bottom w:val="none" w:sz="0" w:space="0" w:color="auto"/>
        <w:right w:val="none" w:sz="0" w:space="0" w:color="auto"/>
      </w:divBdr>
    </w:div>
    <w:div w:id="749742663">
      <w:bodyDiv w:val="1"/>
      <w:marLeft w:val="0"/>
      <w:marRight w:val="0"/>
      <w:marTop w:val="0"/>
      <w:marBottom w:val="0"/>
      <w:divBdr>
        <w:top w:val="none" w:sz="0" w:space="0" w:color="auto"/>
        <w:left w:val="none" w:sz="0" w:space="0" w:color="auto"/>
        <w:bottom w:val="none" w:sz="0" w:space="0" w:color="auto"/>
        <w:right w:val="none" w:sz="0" w:space="0" w:color="auto"/>
      </w:divBdr>
    </w:div>
    <w:div w:id="749930177">
      <w:bodyDiv w:val="1"/>
      <w:marLeft w:val="0"/>
      <w:marRight w:val="0"/>
      <w:marTop w:val="0"/>
      <w:marBottom w:val="0"/>
      <w:divBdr>
        <w:top w:val="none" w:sz="0" w:space="0" w:color="auto"/>
        <w:left w:val="none" w:sz="0" w:space="0" w:color="auto"/>
        <w:bottom w:val="none" w:sz="0" w:space="0" w:color="auto"/>
        <w:right w:val="none" w:sz="0" w:space="0" w:color="auto"/>
      </w:divBdr>
    </w:div>
    <w:div w:id="750005199">
      <w:bodyDiv w:val="1"/>
      <w:marLeft w:val="0"/>
      <w:marRight w:val="0"/>
      <w:marTop w:val="0"/>
      <w:marBottom w:val="0"/>
      <w:divBdr>
        <w:top w:val="none" w:sz="0" w:space="0" w:color="auto"/>
        <w:left w:val="none" w:sz="0" w:space="0" w:color="auto"/>
        <w:bottom w:val="none" w:sz="0" w:space="0" w:color="auto"/>
        <w:right w:val="none" w:sz="0" w:space="0" w:color="auto"/>
      </w:divBdr>
    </w:div>
    <w:div w:id="750006331">
      <w:bodyDiv w:val="1"/>
      <w:marLeft w:val="0"/>
      <w:marRight w:val="0"/>
      <w:marTop w:val="0"/>
      <w:marBottom w:val="0"/>
      <w:divBdr>
        <w:top w:val="none" w:sz="0" w:space="0" w:color="auto"/>
        <w:left w:val="none" w:sz="0" w:space="0" w:color="auto"/>
        <w:bottom w:val="none" w:sz="0" w:space="0" w:color="auto"/>
        <w:right w:val="none" w:sz="0" w:space="0" w:color="auto"/>
      </w:divBdr>
    </w:div>
    <w:div w:id="750077848">
      <w:bodyDiv w:val="1"/>
      <w:marLeft w:val="0"/>
      <w:marRight w:val="0"/>
      <w:marTop w:val="0"/>
      <w:marBottom w:val="0"/>
      <w:divBdr>
        <w:top w:val="none" w:sz="0" w:space="0" w:color="auto"/>
        <w:left w:val="none" w:sz="0" w:space="0" w:color="auto"/>
        <w:bottom w:val="none" w:sz="0" w:space="0" w:color="auto"/>
        <w:right w:val="none" w:sz="0" w:space="0" w:color="auto"/>
      </w:divBdr>
    </w:div>
    <w:div w:id="750082552">
      <w:bodyDiv w:val="1"/>
      <w:marLeft w:val="0"/>
      <w:marRight w:val="0"/>
      <w:marTop w:val="0"/>
      <w:marBottom w:val="0"/>
      <w:divBdr>
        <w:top w:val="none" w:sz="0" w:space="0" w:color="auto"/>
        <w:left w:val="none" w:sz="0" w:space="0" w:color="auto"/>
        <w:bottom w:val="none" w:sz="0" w:space="0" w:color="auto"/>
        <w:right w:val="none" w:sz="0" w:space="0" w:color="auto"/>
      </w:divBdr>
    </w:div>
    <w:div w:id="750126244">
      <w:bodyDiv w:val="1"/>
      <w:marLeft w:val="0"/>
      <w:marRight w:val="0"/>
      <w:marTop w:val="0"/>
      <w:marBottom w:val="0"/>
      <w:divBdr>
        <w:top w:val="none" w:sz="0" w:space="0" w:color="auto"/>
        <w:left w:val="none" w:sz="0" w:space="0" w:color="auto"/>
        <w:bottom w:val="none" w:sz="0" w:space="0" w:color="auto"/>
        <w:right w:val="none" w:sz="0" w:space="0" w:color="auto"/>
      </w:divBdr>
    </w:div>
    <w:div w:id="750346219">
      <w:bodyDiv w:val="1"/>
      <w:marLeft w:val="0"/>
      <w:marRight w:val="0"/>
      <w:marTop w:val="0"/>
      <w:marBottom w:val="0"/>
      <w:divBdr>
        <w:top w:val="none" w:sz="0" w:space="0" w:color="auto"/>
        <w:left w:val="none" w:sz="0" w:space="0" w:color="auto"/>
        <w:bottom w:val="none" w:sz="0" w:space="0" w:color="auto"/>
        <w:right w:val="none" w:sz="0" w:space="0" w:color="auto"/>
      </w:divBdr>
    </w:div>
    <w:div w:id="750539463">
      <w:bodyDiv w:val="1"/>
      <w:marLeft w:val="0"/>
      <w:marRight w:val="0"/>
      <w:marTop w:val="0"/>
      <w:marBottom w:val="0"/>
      <w:divBdr>
        <w:top w:val="none" w:sz="0" w:space="0" w:color="auto"/>
        <w:left w:val="none" w:sz="0" w:space="0" w:color="auto"/>
        <w:bottom w:val="none" w:sz="0" w:space="0" w:color="auto"/>
        <w:right w:val="none" w:sz="0" w:space="0" w:color="auto"/>
      </w:divBdr>
    </w:div>
    <w:div w:id="750663739">
      <w:bodyDiv w:val="1"/>
      <w:marLeft w:val="0"/>
      <w:marRight w:val="0"/>
      <w:marTop w:val="0"/>
      <w:marBottom w:val="0"/>
      <w:divBdr>
        <w:top w:val="none" w:sz="0" w:space="0" w:color="auto"/>
        <w:left w:val="none" w:sz="0" w:space="0" w:color="auto"/>
        <w:bottom w:val="none" w:sz="0" w:space="0" w:color="auto"/>
        <w:right w:val="none" w:sz="0" w:space="0" w:color="auto"/>
      </w:divBdr>
    </w:div>
    <w:div w:id="750739912">
      <w:bodyDiv w:val="1"/>
      <w:marLeft w:val="0"/>
      <w:marRight w:val="0"/>
      <w:marTop w:val="0"/>
      <w:marBottom w:val="0"/>
      <w:divBdr>
        <w:top w:val="none" w:sz="0" w:space="0" w:color="auto"/>
        <w:left w:val="none" w:sz="0" w:space="0" w:color="auto"/>
        <w:bottom w:val="none" w:sz="0" w:space="0" w:color="auto"/>
        <w:right w:val="none" w:sz="0" w:space="0" w:color="auto"/>
      </w:divBdr>
    </w:div>
    <w:div w:id="750780694">
      <w:bodyDiv w:val="1"/>
      <w:marLeft w:val="0"/>
      <w:marRight w:val="0"/>
      <w:marTop w:val="0"/>
      <w:marBottom w:val="0"/>
      <w:divBdr>
        <w:top w:val="none" w:sz="0" w:space="0" w:color="auto"/>
        <w:left w:val="none" w:sz="0" w:space="0" w:color="auto"/>
        <w:bottom w:val="none" w:sz="0" w:space="0" w:color="auto"/>
        <w:right w:val="none" w:sz="0" w:space="0" w:color="auto"/>
      </w:divBdr>
    </w:div>
    <w:div w:id="750808811">
      <w:bodyDiv w:val="1"/>
      <w:marLeft w:val="0"/>
      <w:marRight w:val="0"/>
      <w:marTop w:val="0"/>
      <w:marBottom w:val="0"/>
      <w:divBdr>
        <w:top w:val="none" w:sz="0" w:space="0" w:color="auto"/>
        <w:left w:val="none" w:sz="0" w:space="0" w:color="auto"/>
        <w:bottom w:val="none" w:sz="0" w:space="0" w:color="auto"/>
        <w:right w:val="none" w:sz="0" w:space="0" w:color="auto"/>
      </w:divBdr>
    </w:div>
    <w:div w:id="750857160">
      <w:bodyDiv w:val="1"/>
      <w:marLeft w:val="0"/>
      <w:marRight w:val="0"/>
      <w:marTop w:val="0"/>
      <w:marBottom w:val="0"/>
      <w:divBdr>
        <w:top w:val="none" w:sz="0" w:space="0" w:color="auto"/>
        <w:left w:val="none" w:sz="0" w:space="0" w:color="auto"/>
        <w:bottom w:val="none" w:sz="0" w:space="0" w:color="auto"/>
        <w:right w:val="none" w:sz="0" w:space="0" w:color="auto"/>
      </w:divBdr>
    </w:div>
    <w:div w:id="750925606">
      <w:bodyDiv w:val="1"/>
      <w:marLeft w:val="0"/>
      <w:marRight w:val="0"/>
      <w:marTop w:val="0"/>
      <w:marBottom w:val="0"/>
      <w:divBdr>
        <w:top w:val="none" w:sz="0" w:space="0" w:color="auto"/>
        <w:left w:val="none" w:sz="0" w:space="0" w:color="auto"/>
        <w:bottom w:val="none" w:sz="0" w:space="0" w:color="auto"/>
        <w:right w:val="none" w:sz="0" w:space="0" w:color="auto"/>
      </w:divBdr>
    </w:div>
    <w:div w:id="750929800">
      <w:bodyDiv w:val="1"/>
      <w:marLeft w:val="0"/>
      <w:marRight w:val="0"/>
      <w:marTop w:val="0"/>
      <w:marBottom w:val="0"/>
      <w:divBdr>
        <w:top w:val="none" w:sz="0" w:space="0" w:color="auto"/>
        <w:left w:val="none" w:sz="0" w:space="0" w:color="auto"/>
        <w:bottom w:val="none" w:sz="0" w:space="0" w:color="auto"/>
        <w:right w:val="none" w:sz="0" w:space="0" w:color="auto"/>
      </w:divBdr>
    </w:div>
    <w:div w:id="751044947">
      <w:bodyDiv w:val="1"/>
      <w:marLeft w:val="0"/>
      <w:marRight w:val="0"/>
      <w:marTop w:val="0"/>
      <w:marBottom w:val="0"/>
      <w:divBdr>
        <w:top w:val="none" w:sz="0" w:space="0" w:color="auto"/>
        <w:left w:val="none" w:sz="0" w:space="0" w:color="auto"/>
        <w:bottom w:val="none" w:sz="0" w:space="0" w:color="auto"/>
        <w:right w:val="none" w:sz="0" w:space="0" w:color="auto"/>
      </w:divBdr>
    </w:div>
    <w:div w:id="751124089">
      <w:bodyDiv w:val="1"/>
      <w:marLeft w:val="0"/>
      <w:marRight w:val="0"/>
      <w:marTop w:val="0"/>
      <w:marBottom w:val="0"/>
      <w:divBdr>
        <w:top w:val="none" w:sz="0" w:space="0" w:color="auto"/>
        <w:left w:val="none" w:sz="0" w:space="0" w:color="auto"/>
        <w:bottom w:val="none" w:sz="0" w:space="0" w:color="auto"/>
        <w:right w:val="none" w:sz="0" w:space="0" w:color="auto"/>
      </w:divBdr>
    </w:div>
    <w:div w:id="751202563">
      <w:bodyDiv w:val="1"/>
      <w:marLeft w:val="0"/>
      <w:marRight w:val="0"/>
      <w:marTop w:val="0"/>
      <w:marBottom w:val="0"/>
      <w:divBdr>
        <w:top w:val="none" w:sz="0" w:space="0" w:color="auto"/>
        <w:left w:val="none" w:sz="0" w:space="0" w:color="auto"/>
        <w:bottom w:val="none" w:sz="0" w:space="0" w:color="auto"/>
        <w:right w:val="none" w:sz="0" w:space="0" w:color="auto"/>
      </w:divBdr>
    </w:div>
    <w:div w:id="751241262">
      <w:bodyDiv w:val="1"/>
      <w:marLeft w:val="0"/>
      <w:marRight w:val="0"/>
      <w:marTop w:val="0"/>
      <w:marBottom w:val="0"/>
      <w:divBdr>
        <w:top w:val="none" w:sz="0" w:space="0" w:color="auto"/>
        <w:left w:val="none" w:sz="0" w:space="0" w:color="auto"/>
        <w:bottom w:val="none" w:sz="0" w:space="0" w:color="auto"/>
        <w:right w:val="none" w:sz="0" w:space="0" w:color="auto"/>
      </w:divBdr>
    </w:div>
    <w:div w:id="751314365">
      <w:bodyDiv w:val="1"/>
      <w:marLeft w:val="0"/>
      <w:marRight w:val="0"/>
      <w:marTop w:val="0"/>
      <w:marBottom w:val="0"/>
      <w:divBdr>
        <w:top w:val="none" w:sz="0" w:space="0" w:color="auto"/>
        <w:left w:val="none" w:sz="0" w:space="0" w:color="auto"/>
        <w:bottom w:val="none" w:sz="0" w:space="0" w:color="auto"/>
        <w:right w:val="none" w:sz="0" w:space="0" w:color="auto"/>
      </w:divBdr>
    </w:div>
    <w:div w:id="751319567">
      <w:bodyDiv w:val="1"/>
      <w:marLeft w:val="0"/>
      <w:marRight w:val="0"/>
      <w:marTop w:val="0"/>
      <w:marBottom w:val="0"/>
      <w:divBdr>
        <w:top w:val="none" w:sz="0" w:space="0" w:color="auto"/>
        <w:left w:val="none" w:sz="0" w:space="0" w:color="auto"/>
        <w:bottom w:val="none" w:sz="0" w:space="0" w:color="auto"/>
        <w:right w:val="none" w:sz="0" w:space="0" w:color="auto"/>
      </w:divBdr>
    </w:div>
    <w:div w:id="751395779">
      <w:bodyDiv w:val="1"/>
      <w:marLeft w:val="0"/>
      <w:marRight w:val="0"/>
      <w:marTop w:val="0"/>
      <w:marBottom w:val="0"/>
      <w:divBdr>
        <w:top w:val="none" w:sz="0" w:space="0" w:color="auto"/>
        <w:left w:val="none" w:sz="0" w:space="0" w:color="auto"/>
        <w:bottom w:val="none" w:sz="0" w:space="0" w:color="auto"/>
        <w:right w:val="none" w:sz="0" w:space="0" w:color="auto"/>
      </w:divBdr>
    </w:div>
    <w:div w:id="751396906">
      <w:bodyDiv w:val="1"/>
      <w:marLeft w:val="0"/>
      <w:marRight w:val="0"/>
      <w:marTop w:val="0"/>
      <w:marBottom w:val="0"/>
      <w:divBdr>
        <w:top w:val="none" w:sz="0" w:space="0" w:color="auto"/>
        <w:left w:val="none" w:sz="0" w:space="0" w:color="auto"/>
        <w:bottom w:val="none" w:sz="0" w:space="0" w:color="auto"/>
        <w:right w:val="none" w:sz="0" w:space="0" w:color="auto"/>
      </w:divBdr>
    </w:div>
    <w:div w:id="751437213">
      <w:bodyDiv w:val="1"/>
      <w:marLeft w:val="0"/>
      <w:marRight w:val="0"/>
      <w:marTop w:val="0"/>
      <w:marBottom w:val="0"/>
      <w:divBdr>
        <w:top w:val="none" w:sz="0" w:space="0" w:color="auto"/>
        <w:left w:val="none" w:sz="0" w:space="0" w:color="auto"/>
        <w:bottom w:val="none" w:sz="0" w:space="0" w:color="auto"/>
        <w:right w:val="none" w:sz="0" w:space="0" w:color="auto"/>
      </w:divBdr>
    </w:div>
    <w:div w:id="751588998">
      <w:bodyDiv w:val="1"/>
      <w:marLeft w:val="0"/>
      <w:marRight w:val="0"/>
      <w:marTop w:val="0"/>
      <w:marBottom w:val="0"/>
      <w:divBdr>
        <w:top w:val="none" w:sz="0" w:space="0" w:color="auto"/>
        <w:left w:val="none" w:sz="0" w:space="0" w:color="auto"/>
        <w:bottom w:val="none" w:sz="0" w:space="0" w:color="auto"/>
        <w:right w:val="none" w:sz="0" w:space="0" w:color="auto"/>
      </w:divBdr>
    </w:div>
    <w:div w:id="751701145">
      <w:bodyDiv w:val="1"/>
      <w:marLeft w:val="0"/>
      <w:marRight w:val="0"/>
      <w:marTop w:val="0"/>
      <w:marBottom w:val="0"/>
      <w:divBdr>
        <w:top w:val="none" w:sz="0" w:space="0" w:color="auto"/>
        <w:left w:val="none" w:sz="0" w:space="0" w:color="auto"/>
        <w:bottom w:val="none" w:sz="0" w:space="0" w:color="auto"/>
        <w:right w:val="none" w:sz="0" w:space="0" w:color="auto"/>
      </w:divBdr>
    </w:div>
    <w:div w:id="751702003">
      <w:bodyDiv w:val="1"/>
      <w:marLeft w:val="0"/>
      <w:marRight w:val="0"/>
      <w:marTop w:val="0"/>
      <w:marBottom w:val="0"/>
      <w:divBdr>
        <w:top w:val="none" w:sz="0" w:space="0" w:color="auto"/>
        <w:left w:val="none" w:sz="0" w:space="0" w:color="auto"/>
        <w:bottom w:val="none" w:sz="0" w:space="0" w:color="auto"/>
        <w:right w:val="none" w:sz="0" w:space="0" w:color="auto"/>
      </w:divBdr>
    </w:div>
    <w:div w:id="751776962">
      <w:bodyDiv w:val="1"/>
      <w:marLeft w:val="0"/>
      <w:marRight w:val="0"/>
      <w:marTop w:val="0"/>
      <w:marBottom w:val="0"/>
      <w:divBdr>
        <w:top w:val="none" w:sz="0" w:space="0" w:color="auto"/>
        <w:left w:val="none" w:sz="0" w:space="0" w:color="auto"/>
        <w:bottom w:val="none" w:sz="0" w:space="0" w:color="auto"/>
        <w:right w:val="none" w:sz="0" w:space="0" w:color="auto"/>
      </w:divBdr>
    </w:div>
    <w:div w:id="751778152">
      <w:bodyDiv w:val="1"/>
      <w:marLeft w:val="0"/>
      <w:marRight w:val="0"/>
      <w:marTop w:val="0"/>
      <w:marBottom w:val="0"/>
      <w:divBdr>
        <w:top w:val="none" w:sz="0" w:space="0" w:color="auto"/>
        <w:left w:val="none" w:sz="0" w:space="0" w:color="auto"/>
        <w:bottom w:val="none" w:sz="0" w:space="0" w:color="auto"/>
        <w:right w:val="none" w:sz="0" w:space="0" w:color="auto"/>
      </w:divBdr>
    </w:div>
    <w:div w:id="751780389">
      <w:bodyDiv w:val="1"/>
      <w:marLeft w:val="0"/>
      <w:marRight w:val="0"/>
      <w:marTop w:val="0"/>
      <w:marBottom w:val="0"/>
      <w:divBdr>
        <w:top w:val="none" w:sz="0" w:space="0" w:color="auto"/>
        <w:left w:val="none" w:sz="0" w:space="0" w:color="auto"/>
        <w:bottom w:val="none" w:sz="0" w:space="0" w:color="auto"/>
        <w:right w:val="none" w:sz="0" w:space="0" w:color="auto"/>
      </w:divBdr>
    </w:div>
    <w:div w:id="751853904">
      <w:bodyDiv w:val="1"/>
      <w:marLeft w:val="0"/>
      <w:marRight w:val="0"/>
      <w:marTop w:val="0"/>
      <w:marBottom w:val="0"/>
      <w:divBdr>
        <w:top w:val="none" w:sz="0" w:space="0" w:color="auto"/>
        <w:left w:val="none" w:sz="0" w:space="0" w:color="auto"/>
        <w:bottom w:val="none" w:sz="0" w:space="0" w:color="auto"/>
        <w:right w:val="none" w:sz="0" w:space="0" w:color="auto"/>
      </w:divBdr>
    </w:div>
    <w:div w:id="751857404">
      <w:bodyDiv w:val="1"/>
      <w:marLeft w:val="0"/>
      <w:marRight w:val="0"/>
      <w:marTop w:val="0"/>
      <w:marBottom w:val="0"/>
      <w:divBdr>
        <w:top w:val="none" w:sz="0" w:space="0" w:color="auto"/>
        <w:left w:val="none" w:sz="0" w:space="0" w:color="auto"/>
        <w:bottom w:val="none" w:sz="0" w:space="0" w:color="auto"/>
        <w:right w:val="none" w:sz="0" w:space="0" w:color="auto"/>
      </w:divBdr>
    </w:div>
    <w:div w:id="751858808">
      <w:bodyDiv w:val="1"/>
      <w:marLeft w:val="0"/>
      <w:marRight w:val="0"/>
      <w:marTop w:val="0"/>
      <w:marBottom w:val="0"/>
      <w:divBdr>
        <w:top w:val="none" w:sz="0" w:space="0" w:color="auto"/>
        <w:left w:val="none" w:sz="0" w:space="0" w:color="auto"/>
        <w:bottom w:val="none" w:sz="0" w:space="0" w:color="auto"/>
        <w:right w:val="none" w:sz="0" w:space="0" w:color="auto"/>
      </w:divBdr>
    </w:div>
    <w:div w:id="751975109">
      <w:bodyDiv w:val="1"/>
      <w:marLeft w:val="0"/>
      <w:marRight w:val="0"/>
      <w:marTop w:val="0"/>
      <w:marBottom w:val="0"/>
      <w:divBdr>
        <w:top w:val="none" w:sz="0" w:space="0" w:color="auto"/>
        <w:left w:val="none" w:sz="0" w:space="0" w:color="auto"/>
        <w:bottom w:val="none" w:sz="0" w:space="0" w:color="auto"/>
        <w:right w:val="none" w:sz="0" w:space="0" w:color="auto"/>
      </w:divBdr>
    </w:div>
    <w:div w:id="752094299">
      <w:bodyDiv w:val="1"/>
      <w:marLeft w:val="0"/>
      <w:marRight w:val="0"/>
      <w:marTop w:val="0"/>
      <w:marBottom w:val="0"/>
      <w:divBdr>
        <w:top w:val="none" w:sz="0" w:space="0" w:color="auto"/>
        <w:left w:val="none" w:sz="0" w:space="0" w:color="auto"/>
        <w:bottom w:val="none" w:sz="0" w:space="0" w:color="auto"/>
        <w:right w:val="none" w:sz="0" w:space="0" w:color="auto"/>
      </w:divBdr>
    </w:div>
    <w:div w:id="752122180">
      <w:bodyDiv w:val="1"/>
      <w:marLeft w:val="0"/>
      <w:marRight w:val="0"/>
      <w:marTop w:val="0"/>
      <w:marBottom w:val="0"/>
      <w:divBdr>
        <w:top w:val="none" w:sz="0" w:space="0" w:color="auto"/>
        <w:left w:val="none" w:sz="0" w:space="0" w:color="auto"/>
        <w:bottom w:val="none" w:sz="0" w:space="0" w:color="auto"/>
        <w:right w:val="none" w:sz="0" w:space="0" w:color="auto"/>
      </w:divBdr>
    </w:div>
    <w:div w:id="752162443">
      <w:bodyDiv w:val="1"/>
      <w:marLeft w:val="0"/>
      <w:marRight w:val="0"/>
      <w:marTop w:val="0"/>
      <w:marBottom w:val="0"/>
      <w:divBdr>
        <w:top w:val="none" w:sz="0" w:space="0" w:color="auto"/>
        <w:left w:val="none" w:sz="0" w:space="0" w:color="auto"/>
        <w:bottom w:val="none" w:sz="0" w:space="0" w:color="auto"/>
        <w:right w:val="none" w:sz="0" w:space="0" w:color="auto"/>
      </w:divBdr>
    </w:div>
    <w:div w:id="752245839">
      <w:bodyDiv w:val="1"/>
      <w:marLeft w:val="0"/>
      <w:marRight w:val="0"/>
      <w:marTop w:val="0"/>
      <w:marBottom w:val="0"/>
      <w:divBdr>
        <w:top w:val="none" w:sz="0" w:space="0" w:color="auto"/>
        <w:left w:val="none" w:sz="0" w:space="0" w:color="auto"/>
        <w:bottom w:val="none" w:sz="0" w:space="0" w:color="auto"/>
        <w:right w:val="none" w:sz="0" w:space="0" w:color="auto"/>
      </w:divBdr>
    </w:div>
    <w:div w:id="752320122">
      <w:bodyDiv w:val="1"/>
      <w:marLeft w:val="0"/>
      <w:marRight w:val="0"/>
      <w:marTop w:val="0"/>
      <w:marBottom w:val="0"/>
      <w:divBdr>
        <w:top w:val="none" w:sz="0" w:space="0" w:color="auto"/>
        <w:left w:val="none" w:sz="0" w:space="0" w:color="auto"/>
        <w:bottom w:val="none" w:sz="0" w:space="0" w:color="auto"/>
        <w:right w:val="none" w:sz="0" w:space="0" w:color="auto"/>
      </w:divBdr>
    </w:div>
    <w:div w:id="752581758">
      <w:bodyDiv w:val="1"/>
      <w:marLeft w:val="0"/>
      <w:marRight w:val="0"/>
      <w:marTop w:val="0"/>
      <w:marBottom w:val="0"/>
      <w:divBdr>
        <w:top w:val="none" w:sz="0" w:space="0" w:color="auto"/>
        <w:left w:val="none" w:sz="0" w:space="0" w:color="auto"/>
        <w:bottom w:val="none" w:sz="0" w:space="0" w:color="auto"/>
        <w:right w:val="none" w:sz="0" w:space="0" w:color="auto"/>
      </w:divBdr>
    </w:div>
    <w:div w:id="752582444">
      <w:bodyDiv w:val="1"/>
      <w:marLeft w:val="0"/>
      <w:marRight w:val="0"/>
      <w:marTop w:val="0"/>
      <w:marBottom w:val="0"/>
      <w:divBdr>
        <w:top w:val="none" w:sz="0" w:space="0" w:color="auto"/>
        <w:left w:val="none" w:sz="0" w:space="0" w:color="auto"/>
        <w:bottom w:val="none" w:sz="0" w:space="0" w:color="auto"/>
        <w:right w:val="none" w:sz="0" w:space="0" w:color="auto"/>
      </w:divBdr>
    </w:div>
    <w:div w:id="752893956">
      <w:bodyDiv w:val="1"/>
      <w:marLeft w:val="0"/>
      <w:marRight w:val="0"/>
      <w:marTop w:val="0"/>
      <w:marBottom w:val="0"/>
      <w:divBdr>
        <w:top w:val="none" w:sz="0" w:space="0" w:color="auto"/>
        <w:left w:val="none" w:sz="0" w:space="0" w:color="auto"/>
        <w:bottom w:val="none" w:sz="0" w:space="0" w:color="auto"/>
        <w:right w:val="none" w:sz="0" w:space="0" w:color="auto"/>
      </w:divBdr>
    </w:div>
    <w:div w:id="752897480">
      <w:bodyDiv w:val="1"/>
      <w:marLeft w:val="0"/>
      <w:marRight w:val="0"/>
      <w:marTop w:val="0"/>
      <w:marBottom w:val="0"/>
      <w:divBdr>
        <w:top w:val="none" w:sz="0" w:space="0" w:color="auto"/>
        <w:left w:val="none" w:sz="0" w:space="0" w:color="auto"/>
        <w:bottom w:val="none" w:sz="0" w:space="0" w:color="auto"/>
        <w:right w:val="none" w:sz="0" w:space="0" w:color="auto"/>
      </w:divBdr>
    </w:div>
    <w:div w:id="753160867">
      <w:bodyDiv w:val="1"/>
      <w:marLeft w:val="0"/>
      <w:marRight w:val="0"/>
      <w:marTop w:val="0"/>
      <w:marBottom w:val="0"/>
      <w:divBdr>
        <w:top w:val="none" w:sz="0" w:space="0" w:color="auto"/>
        <w:left w:val="none" w:sz="0" w:space="0" w:color="auto"/>
        <w:bottom w:val="none" w:sz="0" w:space="0" w:color="auto"/>
        <w:right w:val="none" w:sz="0" w:space="0" w:color="auto"/>
      </w:divBdr>
    </w:div>
    <w:div w:id="753163794">
      <w:bodyDiv w:val="1"/>
      <w:marLeft w:val="0"/>
      <w:marRight w:val="0"/>
      <w:marTop w:val="0"/>
      <w:marBottom w:val="0"/>
      <w:divBdr>
        <w:top w:val="none" w:sz="0" w:space="0" w:color="auto"/>
        <w:left w:val="none" w:sz="0" w:space="0" w:color="auto"/>
        <w:bottom w:val="none" w:sz="0" w:space="0" w:color="auto"/>
        <w:right w:val="none" w:sz="0" w:space="0" w:color="auto"/>
      </w:divBdr>
    </w:div>
    <w:div w:id="753168339">
      <w:bodyDiv w:val="1"/>
      <w:marLeft w:val="0"/>
      <w:marRight w:val="0"/>
      <w:marTop w:val="0"/>
      <w:marBottom w:val="0"/>
      <w:divBdr>
        <w:top w:val="none" w:sz="0" w:space="0" w:color="auto"/>
        <w:left w:val="none" w:sz="0" w:space="0" w:color="auto"/>
        <w:bottom w:val="none" w:sz="0" w:space="0" w:color="auto"/>
        <w:right w:val="none" w:sz="0" w:space="0" w:color="auto"/>
      </w:divBdr>
    </w:div>
    <w:div w:id="753209582">
      <w:bodyDiv w:val="1"/>
      <w:marLeft w:val="0"/>
      <w:marRight w:val="0"/>
      <w:marTop w:val="0"/>
      <w:marBottom w:val="0"/>
      <w:divBdr>
        <w:top w:val="none" w:sz="0" w:space="0" w:color="auto"/>
        <w:left w:val="none" w:sz="0" w:space="0" w:color="auto"/>
        <w:bottom w:val="none" w:sz="0" w:space="0" w:color="auto"/>
        <w:right w:val="none" w:sz="0" w:space="0" w:color="auto"/>
      </w:divBdr>
    </w:div>
    <w:div w:id="753282382">
      <w:bodyDiv w:val="1"/>
      <w:marLeft w:val="0"/>
      <w:marRight w:val="0"/>
      <w:marTop w:val="0"/>
      <w:marBottom w:val="0"/>
      <w:divBdr>
        <w:top w:val="none" w:sz="0" w:space="0" w:color="auto"/>
        <w:left w:val="none" w:sz="0" w:space="0" w:color="auto"/>
        <w:bottom w:val="none" w:sz="0" w:space="0" w:color="auto"/>
        <w:right w:val="none" w:sz="0" w:space="0" w:color="auto"/>
      </w:divBdr>
    </w:div>
    <w:div w:id="753357896">
      <w:bodyDiv w:val="1"/>
      <w:marLeft w:val="0"/>
      <w:marRight w:val="0"/>
      <w:marTop w:val="0"/>
      <w:marBottom w:val="0"/>
      <w:divBdr>
        <w:top w:val="none" w:sz="0" w:space="0" w:color="auto"/>
        <w:left w:val="none" w:sz="0" w:space="0" w:color="auto"/>
        <w:bottom w:val="none" w:sz="0" w:space="0" w:color="auto"/>
        <w:right w:val="none" w:sz="0" w:space="0" w:color="auto"/>
      </w:divBdr>
    </w:div>
    <w:div w:id="753433056">
      <w:bodyDiv w:val="1"/>
      <w:marLeft w:val="0"/>
      <w:marRight w:val="0"/>
      <w:marTop w:val="0"/>
      <w:marBottom w:val="0"/>
      <w:divBdr>
        <w:top w:val="none" w:sz="0" w:space="0" w:color="auto"/>
        <w:left w:val="none" w:sz="0" w:space="0" w:color="auto"/>
        <w:bottom w:val="none" w:sz="0" w:space="0" w:color="auto"/>
        <w:right w:val="none" w:sz="0" w:space="0" w:color="auto"/>
      </w:divBdr>
    </w:div>
    <w:div w:id="753476021">
      <w:bodyDiv w:val="1"/>
      <w:marLeft w:val="0"/>
      <w:marRight w:val="0"/>
      <w:marTop w:val="0"/>
      <w:marBottom w:val="0"/>
      <w:divBdr>
        <w:top w:val="none" w:sz="0" w:space="0" w:color="auto"/>
        <w:left w:val="none" w:sz="0" w:space="0" w:color="auto"/>
        <w:bottom w:val="none" w:sz="0" w:space="0" w:color="auto"/>
        <w:right w:val="none" w:sz="0" w:space="0" w:color="auto"/>
      </w:divBdr>
    </w:div>
    <w:div w:id="753598682">
      <w:bodyDiv w:val="1"/>
      <w:marLeft w:val="0"/>
      <w:marRight w:val="0"/>
      <w:marTop w:val="0"/>
      <w:marBottom w:val="0"/>
      <w:divBdr>
        <w:top w:val="none" w:sz="0" w:space="0" w:color="auto"/>
        <w:left w:val="none" w:sz="0" w:space="0" w:color="auto"/>
        <w:bottom w:val="none" w:sz="0" w:space="0" w:color="auto"/>
        <w:right w:val="none" w:sz="0" w:space="0" w:color="auto"/>
      </w:divBdr>
    </w:div>
    <w:div w:id="753598863">
      <w:bodyDiv w:val="1"/>
      <w:marLeft w:val="0"/>
      <w:marRight w:val="0"/>
      <w:marTop w:val="0"/>
      <w:marBottom w:val="0"/>
      <w:divBdr>
        <w:top w:val="none" w:sz="0" w:space="0" w:color="auto"/>
        <w:left w:val="none" w:sz="0" w:space="0" w:color="auto"/>
        <w:bottom w:val="none" w:sz="0" w:space="0" w:color="auto"/>
        <w:right w:val="none" w:sz="0" w:space="0" w:color="auto"/>
      </w:divBdr>
    </w:div>
    <w:div w:id="753625201">
      <w:bodyDiv w:val="1"/>
      <w:marLeft w:val="0"/>
      <w:marRight w:val="0"/>
      <w:marTop w:val="0"/>
      <w:marBottom w:val="0"/>
      <w:divBdr>
        <w:top w:val="none" w:sz="0" w:space="0" w:color="auto"/>
        <w:left w:val="none" w:sz="0" w:space="0" w:color="auto"/>
        <w:bottom w:val="none" w:sz="0" w:space="0" w:color="auto"/>
        <w:right w:val="none" w:sz="0" w:space="0" w:color="auto"/>
      </w:divBdr>
    </w:div>
    <w:div w:id="753667556">
      <w:bodyDiv w:val="1"/>
      <w:marLeft w:val="0"/>
      <w:marRight w:val="0"/>
      <w:marTop w:val="0"/>
      <w:marBottom w:val="0"/>
      <w:divBdr>
        <w:top w:val="none" w:sz="0" w:space="0" w:color="auto"/>
        <w:left w:val="none" w:sz="0" w:space="0" w:color="auto"/>
        <w:bottom w:val="none" w:sz="0" w:space="0" w:color="auto"/>
        <w:right w:val="none" w:sz="0" w:space="0" w:color="auto"/>
      </w:divBdr>
    </w:div>
    <w:div w:id="753670041">
      <w:bodyDiv w:val="1"/>
      <w:marLeft w:val="0"/>
      <w:marRight w:val="0"/>
      <w:marTop w:val="0"/>
      <w:marBottom w:val="0"/>
      <w:divBdr>
        <w:top w:val="none" w:sz="0" w:space="0" w:color="auto"/>
        <w:left w:val="none" w:sz="0" w:space="0" w:color="auto"/>
        <w:bottom w:val="none" w:sz="0" w:space="0" w:color="auto"/>
        <w:right w:val="none" w:sz="0" w:space="0" w:color="auto"/>
      </w:divBdr>
    </w:div>
    <w:div w:id="753746310">
      <w:bodyDiv w:val="1"/>
      <w:marLeft w:val="0"/>
      <w:marRight w:val="0"/>
      <w:marTop w:val="0"/>
      <w:marBottom w:val="0"/>
      <w:divBdr>
        <w:top w:val="none" w:sz="0" w:space="0" w:color="auto"/>
        <w:left w:val="none" w:sz="0" w:space="0" w:color="auto"/>
        <w:bottom w:val="none" w:sz="0" w:space="0" w:color="auto"/>
        <w:right w:val="none" w:sz="0" w:space="0" w:color="auto"/>
      </w:divBdr>
    </w:div>
    <w:div w:id="754059066">
      <w:bodyDiv w:val="1"/>
      <w:marLeft w:val="0"/>
      <w:marRight w:val="0"/>
      <w:marTop w:val="0"/>
      <w:marBottom w:val="0"/>
      <w:divBdr>
        <w:top w:val="none" w:sz="0" w:space="0" w:color="auto"/>
        <w:left w:val="none" w:sz="0" w:space="0" w:color="auto"/>
        <w:bottom w:val="none" w:sz="0" w:space="0" w:color="auto"/>
        <w:right w:val="none" w:sz="0" w:space="0" w:color="auto"/>
      </w:divBdr>
    </w:div>
    <w:div w:id="754131645">
      <w:bodyDiv w:val="1"/>
      <w:marLeft w:val="0"/>
      <w:marRight w:val="0"/>
      <w:marTop w:val="0"/>
      <w:marBottom w:val="0"/>
      <w:divBdr>
        <w:top w:val="none" w:sz="0" w:space="0" w:color="auto"/>
        <w:left w:val="none" w:sz="0" w:space="0" w:color="auto"/>
        <w:bottom w:val="none" w:sz="0" w:space="0" w:color="auto"/>
        <w:right w:val="none" w:sz="0" w:space="0" w:color="auto"/>
      </w:divBdr>
    </w:div>
    <w:div w:id="754133258">
      <w:bodyDiv w:val="1"/>
      <w:marLeft w:val="0"/>
      <w:marRight w:val="0"/>
      <w:marTop w:val="0"/>
      <w:marBottom w:val="0"/>
      <w:divBdr>
        <w:top w:val="none" w:sz="0" w:space="0" w:color="auto"/>
        <w:left w:val="none" w:sz="0" w:space="0" w:color="auto"/>
        <w:bottom w:val="none" w:sz="0" w:space="0" w:color="auto"/>
        <w:right w:val="none" w:sz="0" w:space="0" w:color="auto"/>
      </w:divBdr>
    </w:div>
    <w:div w:id="754134421">
      <w:bodyDiv w:val="1"/>
      <w:marLeft w:val="0"/>
      <w:marRight w:val="0"/>
      <w:marTop w:val="0"/>
      <w:marBottom w:val="0"/>
      <w:divBdr>
        <w:top w:val="none" w:sz="0" w:space="0" w:color="auto"/>
        <w:left w:val="none" w:sz="0" w:space="0" w:color="auto"/>
        <w:bottom w:val="none" w:sz="0" w:space="0" w:color="auto"/>
        <w:right w:val="none" w:sz="0" w:space="0" w:color="auto"/>
      </w:divBdr>
    </w:div>
    <w:div w:id="754279016">
      <w:bodyDiv w:val="1"/>
      <w:marLeft w:val="0"/>
      <w:marRight w:val="0"/>
      <w:marTop w:val="0"/>
      <w:marBottom w:val="0"/>
      <w:divBdr>
        <w:top w:val="none" w:sz="0" w:space="0" w:color="auto"/>
        <w:left w:val="none" w:sz="0" w:space="0" w:color="auto"/>
        <w:bottom w:val="none" w:sz="0" w:space="0" w:color="auto"/>
        <w:right w:val="none" w:sz="0" w:space="0" w:color="auto"/>
      </w:divBdr>
    </w:div>
    <w:div w:id="754402552">
      <w:bodyDiv w:val="1"/>
      <w:marLeft w:val="0"/>
      <w:marRight w:val="0"/>
      <w:marTop w:val="0"/>
      <w:marBottom w:val="0"/>
      <w:divBdr>
        <w:top w:val="none" w:sz="0" w:space="0" w:color="auto"/>
        <w:left w:val="none" w:sz="0" w:space="0" w:color="auto"/>
        <w:bottom w:val="none" w:sz="0" w:space="0" w:color="auto"/>
        <w:right w:val="none" w:sz="0" w:space="0" w:color="auto"/>
      </w:divBdr>
    </w:div>
    <w:div w:id="754789188">
      <w:bodyDiv w:val="1"/>
      <w:marLeft w:val="0"/>
      <w:marRight w:val="0"/>
      <w:marTop w:val="0"/>
      <w:marBottom w:val="0"/>
      <w:divBdr>
        <w:top w:val="none" w:sz="0" w:space="0" w:color="auto"/>
        <w:left w:val="none" w:sz="0" w:space="0" w:color="auto"/>
        <w:bottom w:val="none" w:sz="0" w:space="0" w:color="auto"/>
        <w:right w:val="none" w:sz="0" w:space="0" w:color="auto"/>
      </w:divBdr>
    </w:div>
    <w:div w:id="754866504">
      <w:bodyDiv w:val="1"/>
      <w:marLeft w:val="0"/>
      <w:marRight w:val="0"/>
      <w:marTop w:val="0"/>
      <w:marBottom w:val="0"/>
      <w:divBdr>
        <w:top w:val="none" w:sz="0" w:space="0" w:color="auto"/>
        <w:left w:val="none" w:sz="0" w:space="0" w:color="auto"/>
        <w:bottom w:val="none" w:sz="0" w:space="0" w:color="auto"/>
        <w:right w:val="none" w:sz="0" w:space="0" w:color="auto"/>
      </w:divBdr>
    </w:div>
    <w:div w:id="755052367">
      <w:bodyDiv w:val="1"/>
      <w:marLeft w:val="0"/>
      <w:marRight w:val="0"/>
      <w:marTop w:val="0"/>
      <w:marBottom w:val="0"/>
      <w:divBdr>
        <w:top w:val="none" w:sz="0" w:space="0" w:color="auto"/>
        <w:left w:val="none" w:sz="0" w:space="0" w:color="auto"/>
        <w:bottom w:val="none" w:sz="0" w:space="0" w:color="auto"/>
        <w:right w:val="none" w:sz="0" w:space="0" w:color="auto"/>
      </w:divBdr>
    </w:div>
    <w:div w:id="755057253">
      <w:bodyDiv w:val="1"/>
      <w:marLeft w:val="0"/>
      <w:marRight w:val="0"/>
      <w:marTop w:val="0"/>
      <w:marBottom w:val="0"/>
      <w:divBdr>
        <w:top w:val="none" w:sz="0" w:space="0" w:color="auto"/>
        <w:left w:val="none" w:sz="0" w:space="0" w:color="auto"/>
        <w:bottom w:val="none" w:sz="0" w:space="0" w:color="auto"/>
        <w:right w:val="none" w:sz="0" w:space="0" w:color="auto"/>
      </w:divBdr>
    </w:div>
    <w:div w:id="755133609">
      <w:bodyDiv w:val="1"/>
      <w:marLeft w:val="0"/>
      <w:marRight w:val="0"/>
      <w:marTop w:val="0"/>
      <w:marBottom w:val="0"/>
      <w:divBdr>
        <w:top w:val="none" w:sz="0" w:space="0" w:color="auto"/>
        <w:left w:val="none" w:sz="0" w:space="0" w:color="auto"/>
        <w:bottom w:val="none" w:sz="0" w:space="0" w:color="auto"/>
        <w:right w:val="none" w:sz="0" w:space="0" w:color="auto"/>
      </w:divBdr>
    </w:div>
    <w:div w:id="755396975">
      <w:bodyDiv w:val="1"/>
      <w:marLeft w:val="0"/>
      <w:marRight w:val="0"/>
      <w:marTop w:val="0"/>
      <w:marBottom w:val="0"/>
      <w:divBdr>
        <w:top w:val="none" w:sz="0" w:space="0" w:color="auto"/>
        <w:left w:val="none" w:sz="0" w:space="0" w:color="auto"/>
        <w:bottom w:val="none" w:sz="0" w:space="0" w:color="auto"/>
        <w:right w:val="none" w:sz="0" w:space="0" w:color="auto"/>
      </w:divBdr>
    </w:div>
    <w:div w:id="755590705">
      <w:bodyDiv w:val="1"/>
      <w:marLeft w:val="0"/>
      <w:marRight w:val="0"/>
      <w:marTop w:val="0"/>
      <w:marBottom w:val="0"/>
      <w:divBdr>
        <w:top w:val="none" w:sz="0" w:space="0" w:color="auto"/>
        <w:left w:val="none" w:sz="0" w:space="0" w:color="auto"/>
        <w:bottom w:val="none" w:sz="0" w:space="0" w:color="auto"/>
        <w:right w:val="none" w:sz="0" w:space="0" w:color="auto"/>
      </w:divBdr>
    </w:div>
    <w:div w:id="755631577">
      <w:bodyDiv w:val="1"/>
      <w:marLeft w:val="0"/>
      <w:marRight w:val="0"/>
      <w:marTop w:val="0"/>
      <w:marBottom w:val="0"/>
      <w:divBdr>
        <w:top w:val="none" w:sz="0" w:space="0" w:color="auto"/>
        <w:left w:val="none" w:sz="0" w:space="0" w:color="auto"/>
        <w:bottom w:val="none" w:sz="0" w:space="0" w:color="auto"/>
        <w:right w:val="none" w:sz="0" w:space="0" w:color="auto"/>
      </w:divBdr>
    </w:div>
    <w:div w:id="755633405">
      <w:bodyDiv w:val="1"/>
      <w:marLeft w:val="0"/>
      <w:marRight w:val="0"/>
      <w:marTop w:val="0"/>
      <w:marBottom w:val="0"/>
      <w:divBdr>
        <w:top w:val="none" w:sz="0" w:space="0" w:color="auto"/>
        <w:left w:val="none" w:sz="0" w:space="0" w:color="auto"/>
        <w:bottom w:val="none" w:sz="0" w:space="0" w:color="auto"/>
        <w:right w:val="none" w:sz="0" w:space="0" w:color="auto"/>
      </w:divBdr>
    </w:div>
    <w:div w:id="755714773">
      <w:bodyDiv w:val="1"/>
      <w:marLeft w:val="0"/>
      <w:marRight w:val="0"/>
      <w:marTop w:val="0"/>
      <w:marBottom w:val="0"/>
      <w:divBdr>
        <w:top w:val="none" w:sz="0" w:space="0" w:color="auto"/>
        <w:left w:val="none" w:sz="0" w:space="0" w:color="auto"/>
        <w:bottom w:val="none" w:sz="0" w:space="0" w:color="auto"/>
        <w:right w:val="none" w:sz="0" w:space="0" w:color="auto"/>
      </w:divBdr>
    </w:div>
    <w:div w:id="755786237">
      <w:bodyDiv w:val="1"/>
      <w:marLeft w:val="0"/>
      <w:marRight w:val="0"/>
      <w:marTop w:val="0"/>
      <w:marBottom w:val="0"/>
      <w:divBdr>
        <w:top w:val="none" w:sz="0" w:space="0" w:color="auto"/>
        <w:left w:val="none" w:sz="0" w:space="0" w:color="auto"/>
        <w:bottom w:val="none" w:sz="0" w:space="0" w:color="auto"/>
        <w:right w:val="none" w:sz="0" w:space="0" w:color="auto"/>
      </w:divBdr>
    </w:div>
    <w:div w:id="755830015">
      <w:bodyDiv w:val="1"/>
      <w:marLeft w:val="0"/>
      <w:marRight w:val="0"/>
      <w:marTop w:val="0"/>
      <w:marBottom w:val="0"/>
      <w:divBdr>
        <w:top w:val="none" w:sz="0" w:space="0" w:color="auto"/>
        <w:left w:val="none" w:sz="0" w:space="0" w:color="auto"/>
        <w:bottom w:val="none" w:sz="0" w:space="0" w:color="auto"/>
        <w:right w:val="none" w:sz="0" w:space="0" w:color="auto"/>
      </w:divBdr>
    </w:div>
    <w:div w:id="755831741">
      <w:bodyDiv w:val="1"/>
      <w:marLeft w:val="0"/>
      <w:marRight w:val="0"/>
      <w:marTop w:val="0"/>
      <w:marBottom w:val="0"/>
      <w:divBdr>
        <w:top w:val="none" w:sz="0" w:space="0" w:color="auto"/>
        <w:left w:val="none" w:sz="0" w:space="0" w:color="auto"/>
        <w:bottom w:val="none" w:sz="0" w:space="0" w:color="auto"/>
        <w:right w:val="none" w:sz="0" w:space="0" w:color="auto"/>
      </w:divBdr>
    </w:div>
    <w:div w:id="755980210">
      <w:bodyDiv w:val="1"/>
      <w:marLeft w:val="0"/>
      <w:marRight w:val="0"/>
      <w:marTop w:val="0"/>
      <w:marBottom w:val="0"/>
      <w:divBdr>
        <w:top w:val="none" w:sz="0" w:space="0" w:color="auto"/>
        <w:left w:val="none" w:sz="0" w:space="0" w:color="auto"/>
        <w:bottom w:val="none" w:sz="0" w:space="0" w:color="auto"/>
        <w:right w:val="none" w:sz="0" w:space="0" w:color="auto"/>
      </w:divBdr>
    </w:div>
    <w:div w:id="756172377">
      <w:bodyDiv w:val="1"/>
      <w:marLeft w:val="0"/>
      <w:marRight w:val="0"/>
      <w:marTop w:val="0"/>
      <w:marBottom w:val="0"/>
      <w:divBdr>
        <w:top w:val="none" w:sz="0" w:space="0" w:color="auto"/>
        <w:left w:val="none" w:sz="0" w:space="0" w:color="auto"/>
        <w:bottom w:val="none" w:sz="0" w:space="0" w:color="auto"/>
        <w:right w:val="none" w:sz="0" w:space="0" w:color="auto"/>
      </w:divBdr>
    </w:div>
    <w:div w:id="756173464">
      <w:bodyDiv w:val="1"/>
      <w:marLeft w:val="0"/>
      <w:marRight w:val="0"/>
      <w:marTop w:val="0"/>
      <w:marBottom w:val="0"/>
      <w:divBdr>
        <w:top w:val="none" w:sz="0" w:space="0" w:color="auto"/>
        <w:left w:val="none" w:sz="0" w:space="0" w:color="auto"/>
        <w:bottom w:val="none" w:sz="0" w:space="0" w:color="auto"/>
        <w:right w:val="none" w:sz="0" w:space="0" w:color="auto"/>
      </w:divBdr>
    </w:div>
    <w:div w:id="756246773">
      <w:bodyDiv w:val="1"/>
      <w:marLeft w:val="0"/>
      <w:marRight w:val="0"/>
      <w:marTop w:val="0"/>
      <w:marBottom w:val="0"/>
      <w:divBdr>
        <w:top w:val="none" w:sz="0" w:space="0" w:color="auto"/>
        <w:left w:val="none" w:sz="0" w:space="0" w:color="auto"/>
        <w:bottom w:val="none" w:sz="0" w:space="0" w:color="auto"/>
        <w:right w:val="none" w:sz="0" w:space="0" w:color="auto"/>
      </w:divBdr>
    </w:div>
    <w:div w:id="756247841">
      <w:bodyDiv w:val="1"/>
      <w:marLeft w:val="0"/>
      <w:marRight w:val="0"/>
      <w:marTop w:val="0"/>
      <w:marBottom w:val="0"/>
      <w:divBdr>
        <w:top w:val="none" w:sz="0" w:space="0" w:color="auto"/>
        <w:left w:val="none" w:sz="0" w:space="0" w:color="auto"/>
        <w:bottom w:val="none" w:sz="0" w:space="0" w:color="auto"/>
        <w:right w:val="none" w:sz="0" w:space="0" w:color="auto"/>
      </w:divBdr>
    </w:div>
    <w:div w:id="756248229">
      <w:bodyDiv w:val="1"/>
      <w:marLeft w:val="0"/>
      <w:marRight w:val="0"/>
      <w:marTop w:val="0"/>
      <w:marBottom w:val="0"/>
      <w:divBdr>
        <w:top w:val="none" w:sz="0" w:space="0" w:color="auto"/>
        <w:left w:val="none" w:sz="0" w:space="0" w:color="auto"/>
        <w:bottom w:val="none" w:sz="0" w:space="0" w:color="auto"/>
        <w:right w:val="none" w:sz="0" w:space="0" w:color="auto"/>
      </w:divBdr>
    </w:div>
    <w:div w:id="756292509">
      <w:bodyDiv w:val="1"/>
      <w:marLeft w:val="0"/>
      <w:marRight w:val="0"/>
      <w:marTop w:val="0"/>
      <w:marBottom w:val="0"/>
      <w:divBdr>
        <w:top w:val="none" w:sz="0" w:space="0" w:color="auto"/>
        <w:left w:val="none" w:sz="0" w:space="0" w:color="auto"/>
        <w:bottom w:val="none" w:sz="0" w:space="0" w:color="auto"/>
        <w:right w:val="none" w:sz="0" w:space="0" w:color="auto"/>
      </w:divBdr>
    </w:div>
    <w:div w:id="756366736">
      <w:bodyDiv w:val="1"/>
      <w:marLeft w:val="0"/>
      <w:marRight w:val="0"/>
      <w:marTop w:val="0"/>
      <w:marBottom w:val="0"/>
      <w:divBdr>
        <w:top w:val="none" w:sz="0" w:space="0" w:color="auto"/>
        <w:left w:val="none" w:sz="0" w:space="0" w:color="auto"/>
        <w:bottom w:val="none" w:sz="0" w:space="0" w:color="auto"/>
        <w:right w:val="none" w:sz="0" w:space="0" w:color="auto"/>
      </w:divBdr>
    </w:div>
    <w:div w:id="756438339">
      <w:bodyDiv w:val="1"/>
      <w:marLeft w:val="0"/>
      <w:marRight w:val="0"/>
      <w:marTop w:val="0"/>
      <w:marBottom w:val="0"/>
      <w:divBdr>
        <w:top w:val="none" w:sz="0" w:space="0" w:color="auto"/>
        <w:left w:val="none" w:sz="0" w:space="0" w:color="auto"/>
        <w:bottom w:val="none" w:sz="0" w:space="0" w:color="auto"/>
        <w:right w:val="none" w:sz="0" w:space="0" w:color="auto"/>
      </w:divBdr>
    </w:div>
    <w:div w:id="756444008">
      <w:bodyDiv w:val="1"/>
      <w:marLeft w:val="0"/>
      <w:marRight w:val="0"/>
      <w:marTop w:val="0"/>
      <w:marBottom w:val="0"/>
      <w:divBdr>
        <w:top w:val="none" w:sz="0" w:space="0" w:color="auto"/>
        <w:left w:val="none" w:sz="0" w:space="0" w:color="auto"/>
        <w:bottom w:val="none" w:sz="0" w:space="0" w:color="auto"/>
        <w:right w:val="none" w:sz="0" w:space="0" w:color="auto"/>
      </w:divBdr>
    </w:div>
    <w:div w:id="756444920">
      <w:bodyDiv w:val="1"/>
      <w:marLeft w:val="0"/>
      <w:marRight w:val="0"/>
      <w:marTop w:val="0"/>
      <w:marBottom w:val="0"/>
      <w:divBdr>
        <w:top w:val="none" w:sz="0" w:space="0" w:color="auto"/>
        <w:left w:val="none" w:sz="0" w:space="0" w:color="auto"/>
        <w:bottom w:val="none" w:sz="0" w:space="0" w:color="auto"/>
        <w:right w:val="none" w:sz="0" w:space="0" w:color="auto"/>
      </w:divBdr>
    </w:div>
    <w:div w:id="756483278">
      <w:bodyDiv w:val="1"/>
      <w:marLeft w:val="0"/>
      <w:marRight w:val="0"/>
      <w:marTop w:val="0"/>
      <w:marBottom w:val="0"/>
      <w:divBdr>
        <w:top w:val="none" w:sz="0" w:space="0" w:color="auto"/>
        <w:left w:val="none" w:sz="0" w:space="0" w:color="auto"/>
        <w:bottom w:val="none" w:sz="0" w:space="0" w:color="auto"/>
        <w:right w:val="none" w:sz="0" w:space="0" w:color="auto"/>
      </w:divBdr>
    </w:div>
    <w:div w:id="756558092">
      <w:bodyDiv w:val="1"/>
      <w:marLeft w:val="0"/>
      <w:marRight w:val="0"/>
      <w:marTop w:val="0"/>
      <w:marBottom w:val="0"/>
      <w:divBdr>
        <w:top w:val="none" w:sz="0" w:space="0" w:color="auto"/>
        <w:left w:val="none" w:sz="0" w:space="0" w:color="auto"/>
        <w:bottom w:val="none" w:sz="0" w:space="0" w:color="auto"/>
        <w:right w:val="none" w:sz="0" w:space="0" w:color="auto"/>
      </w:divBdr>
    </w:div>
    <w:div w:id="756631692">
      <w:bodyDiv w:val="1"/>
      <w:marLeft w:val="0"/>
      <w:marRight w:val="0"/>
      <w:marTop w:val="0"/>
      <w:marBottom w:val="0"/>
      <w:divBdr>
        <w:top w:val="none" w:sz="0" w:space="0" w:color="auto"/>
        <w:left w:val="none" w:sz="0" w:space="0" w:color="auto"/>
        <w:bottom w:val="none" w:sz="0" w:space="0" w:color="auto"/>
        <w:right w:val="none" w:sz="0" w:space="0" w:color="auto"/>
      </w:divBdr>
    </w:div>
    <w:div w:id="756710702">
      <w:bodyDiv w:val="1"/>
      <w:marLeft w:val="0"/>
      <w:marRight w:val="0"/>
      <w:marTop w:val="0"/>
      <w:marBottom w:val="0"/>
      <w:divBdr>
        <w:top w:val="none" w:sz="0" w:space="0" w:color="auto"/>
        <w:left w:val="none" w:sz="0" w:space="0" w:color="auto"/>
        <w:bottom w:val="none" w:sz="0" w:space="0" w:color="auto"/>
        <w:right w:val="none" w:sz="0" w:space="0" w:color="auto"/>
      </w:divBdr>
    </w:div>
    <w:div w:id="756824953">
      <w:bodyDiv w:val="1"/>
      <w:marLeft w:val="0"/>
      <w:marRight w:val="0"/>
      <w:marTop w:val="0"/>
      <w:marBottom w:val="0"/>
      <w:divBdr>
        <w:top w:val="none" w:sz="0" w:space="0" w:color="auto"/>
        <w:left w:val="none" w:sz="0" w:space="0" w:color="auto"/>
        <w:bottom w:val="none" w:sz="0" w:space="0" w:color="auto"/>
        <w:right w:val="none" w:sz="0" w:space="0" w:color="auto"/>
      </w:divBdr>
    </w:div>
    <w:div w:id="756902212">
      <w:bodyDiv w:val="1"/>
      <w:marLeft w:val="0"/>
      <w:marRight w:val="0"/>
      <w:marTop w:val="0"/>
      <w:marBottom w:val="0"/>
      <w:divBdr>
        <w:top w:val="none" w:sz="0" w:space="0" w:color="auto"/>
        <w:left w:val="none" w:sz="0" w:space="0" w:color="auto"/>
        <w:bottom w:val="none" w:sz="0" w:space="0" w:color="auto"/>
        <w:right w:val="none" w:sz="0" w:space="0" w:color="auto"/>
      </w:divBdr>
    </w:div>
    <w:div w:id="756904430">
      <w:bodyDiv w:val="1"/>
      <w:marLeft w:val="0"/>
      <w:marRight w:val="0"/>
      <w:marTop w:val="0"/>
      <w:marBottom w:val="0"/>
      <w:divBdr>
        <w:top w:val="none" w:sz="0" w:space="0" w:color="auto"/>
        <w:left w:val="none" w:sz="0" w:space="0" w:color="auto"/>
        <w:bottom w:val="none" w:sz="0" w:space="0" w:color="auto"/>
        <w:right w:val="none" w:sz="0" w:space="0" w:color="auto"/>
      </w:divBdr>
    </w:div>
    <w:div w:id="756949027">
      <w:bodyDiv w:val="1"/>
      <w:marLeft w:val="0"/>
      <w:marRight w:val="0"/>
      <w:marTop w:val="0"/>
      <w:marBottom w:val="0"/>
      <w:divBdr>
        <w:top w:val="none" w:sz="0" w:space="0" w:color="auto"/>
        <w:left w:val="none" w:sz="0" w:space="0" w:color="auto"/>
        <w:bottom w:val="none" w:sz="0" w:space="0" w:color="auto"/>
        <w:right w:val="none" w:sz="0" w:space="0" w:color="auto"/>
      </w:divBdr>
    </w:div>
    <w:div w:id="757018770">
      <w:bodyDiv w:val="1"/>
      <w:marLeft w:val="0"/>
      <w:marRight w:val="0"/>
      <w:marTop w:val="0"/>
      <w:marBottom w:val="0"/>
      <w:divBdr>
        <w:top w:val="none" w:sz="0" w:space="0" w:color="auto"/>
        <w:left w:val="none" w:sz="0" w:space="0" w:color="auto"/>
        <w:bottom w:val="none" w:sz="0" w:space="0" w:color="auto"/>
        <w:right w:val="none" w:sz="0" w:space="0" w:color="auto"/>
      </w:divBdr>
    </w:div>
    <w:div w:id="757484445">
      <w:bodyDiv w:val="1"/>
      <w:marLeft w:val="0"/>
      <w:marRight w:val="0"/>
      <w:marTop w:val="0"/>
      <w:marBottom w:val="0"/>
      <w:divBdr>
        <w:top w:val="none" w:sz="0" w:space="0" w:color="auto"/>
        <w:left w:val="none" w:sz="0" w:space="0" w:color="auto"/>
        <w:bottom w:val="none" w:sz="0" w:space="0" w:color="auto"/>
        <w:right w:val="none" w:sz="0" w:space="0" w:color="auto"/>
      </w:divBdr>
    </w:div>
    <w:div w:id="757597384">
      <w:bodyDiv w:val="1"/>
      <w:marLeft w:val="0"/>
      <w:marRight w:val="0"/>
      <w:marTop w:val="0"/>
      <w:marBottom w:val="0"/>
      <w:divBdr>
        <w:top w:val="none" w:sz="0" w:space="0" w:color="auto"/>
        <w:left w:val="none" w:sz="0" w:space="0" w:color="auto"/>
        <w:bottom w:val="none" w:sz="0" w:space="0" w:color="auto"/>
        <w:right w:val="none" w:sz="0" w:space="0" w:color="auto"/>
      </w:divBdr>
    </w:div>
    <w:div w:id="757602496">
      <w:bodyDiv w:val="1"/>
      <w:marLeft w:val="0"/>
      <w:marRight w:val="0"/>
      <w:marTop w:val="0"/>
      <w:marBottom w:val="0"/>
      <w:divBdr>
        <w:top w:val="none" w:sz="0" w:space="0" w:color="auto"/>
        <w:left w:val="none" w:sz="0" w:space="0" w:color="auto"/>
        <w:bottom w:val="none" w:sz="0" w:space="0" w:color="auto"/>
        <w:right w:val="none" w:sz="0" w:space="0" w:color="auto"/>
      </w:divBdr>
    </w:div>
    <w:div w:id="757748313">
      <w:bodyDiv w:val="1"/>
      <w:marLeft w:val="0"/>
      <w:marRight w:val="0"/>
      <w:marTop w:val="0"/>
      <w:marBottom w:val="0"/>
      <w:divBdr>
        <w:top w:val="none" w:sz="0" w:space="0" w:color="auto"/>
        <w:left w:val="none" w:sz="0" w:space="0" w:color="auto"/>
        <w:bottom w:val="none" w:sz="0" w:space="0" w:color="auto"/>
        <w:right w:val="none" w:sz="0" w:space="0" w:color="auto"/>
      </w:divBdr>
    </w:div>
    <w:div w:id="757753798">
      <w:bodyDiv w:val="1"/>
      <w:marLeft w:val="0"/>
      <w:marRight w:val="0"/>
      <w:marTop w:val="0"/>
      <w:marBottom w:val="0"/>
      <w:divBdr>
        <w:top w:val="none" w:sz="0" w:space="0" w:color="auto"/>
        <w:left w:val="none" w:sz="0" w:space="0" w:color="auto"/>
        <w:bottom w:val="none" w:sz="0" w:space="0" w:color="auto"/>
        <w:right w:val="none" w:sz="0" w:space="0" w:color="auto"/>
      </w:divBdr>
    </w:div>
    <w:div w:id="758065249">
      <w:bodyDiv w:val="1"/>
      <w:marLeft w:val="0"/>
      <w:marRight w:val="0"/>
      <w:marTop w:val="0"/>
      <w:marBottom w:val="0"/>
      <w:divBdr>
        <w:top w:val="none" w:sz="0" w:space="0" w:color="auto"/>
        <w:left w:val="none" w:sz="0" w:space="0" w:color="auto"/>
        <w:bottom w:val="none" w:sz="0" w:space="0" w:color="auto"/>
        <w:right w:val="none" w:sz="0" w:space="0" w:color="auto"/>
      </w:divBdr>
    </w:div>
    <w:div w:id="758210299">
      <w:bodyDiv w:val="1"/>
      <w:marLeft w:val="0"/>
      <w:marRight w:val="0"/>
      <w:marTop w:val="0"/>
      <w:marBottom w:val="0"/>
      <w:divBdr>
        <w:top w:val="none" w:sz="0" w:space="0" w:color="auto"/>
        <w:left w:val="none" w:sz="0" w:space="0" w:color="auto"/>
        <w:bottom w:val="none" w:sz="0" w:space="0" w:color="auto"/>
        <w:right w:val="none" w:sz="0" w:space="0" w:color="auto"/>
      </w:divBdr>
    </w:div>
    <w:div w:id="758216260">
      <w:bodyDiv w:val="1"/>
      <w:marLeft w:val="0"/>
      <w:marRight w:val="0"/>
      <w:marTop w:val="0"/>
      <w:marBottom w:val="0"/>
      <w:divBdr>
        <w:top w:val="none" w:sz="0" w:space="0" w:color="auto"/>
        <w:left w:val="none" w:sz="0" w:space="0" w:color="auto"/>
        <w:bottom w:val="none" w:sz="0" w:space="0" w:color="auto"/>
        <w:right w:val="none" w:sz="0" w:space="0" w:color="auto"/>
      </w:divBdr>
    </w:div>
    <w:div w:id="758217046">
      <w:bodyDiv w:val="1"/>
      <w:marLeft w:val="0"/>
      <w:marRight w:val="0"/>
      <w:marTop w:val="0"/>
      <w:marBottom w:val="0"/>
      <w:divBdr>
        <w:top w:val="none" w:sz="0" w:space="0" w:color="auto"/>
        <w:left w:val="none" w:sz="0" w:space="0" w:color="auto"/>
        <w:bottom w:val="none" w:sz="0" w:space="0" w:color="auto"/>
        <w:right w:val="none" w:sz="0" w:space="0" w:color="auto"/>
      </w:divBdr>
    </w:div>
    <w:div w:id="758597397">
      <w:bodyDiv w:val="1"/>
      <w:marLeft w:val="0"/>
      <w:marRight w:val="0"/>
      <w:marTop w:val="0"/>
      <w:marBottom w:val="0"/>
      <w:divBdr>
        <w:top w:val="none" w:sz="0" w:space="0" w:color="auto"/>
        <w:left w:val="none" w:sz="0" w:space="0" w:color="auto"/>
        <w:bottom w:val="none" w:sz="0" w:space="0" w:color="auto"/>
        <w:right w:val="none" w:sz="0" w:space="0" w:color="auto"/>
      </w:divBdr>
    </w:div>
    <w:div w:id="758600840">
      <w:bodyDiv w:val="1"/>
      <w:marLeft w:val="0"/>
      <w:marRight w:val="0"/>
      <w:marTop w:val="0"/>
      <w:marBottom w:val="0"/>
      <w:divBdr>
        <w:top w:val="none" w:sz="0" w:space="0" w:color="auto"/>
        <w:left w:val="none" w:sz="0" w:space="0" w:color="auto"/>
        <w:bottom w:val="none" w:sz="0" w:space="0" w:color="auto"/>
        <w:right w:val="none" w:sz="0" w:space="0" w:color="auto"/>
      </w:divBdr>
    </w:div>
    <w:div w:id="758676827">
      <w:bodyDiv w:val="1"/>
      <w:marLeft w:val="0"/>
      <w:marRight w:val="0"/>
      <w:marTop w:val="0"/>
      <w:marBottom w:val="0"/>
      <w:divBdr>
        <w:top w:val="none" w:sz="0" w:space="0" w:color="auto"/>
        <w:left w:val="none" w:sz="0" w:space="0" w:color="auto"/>
        <w:bottom w:val="none" w:sz="0" w:space="0" w:color="auto"/>
        <w:right w:val="none" w:sz="0" w:space="0" w:color="auto"/>
      </w:divBdr>
    </w:div>
    <w:div w:id="758791919">
      <w:bodyDiv w:val="1"/>
      <w:marLeft w:val="0"/>
      <w:marRight w:val="0"/>
      <w:marTop w:val="0"/>
      <w:marBottom w:val="0"/>
      <w:divBdr>
        <w:top w:val="none" w:sz="0" w:space="0" w:color="auto"/>
        <w:left w:val="none" w:sz="0" w:space="0" w:color="auto"/>
        <w:bottom w:val="none" w:sz="0" w:space="0" w:color="auto"/>
        <w:right w:val="none" w:sz="0" w:space="0" w:color="auto"/>
      </w:divBdr>
    </w:div>
    <w:div w:id="758989548">
      <w:bodyDiv w:val="1"/>
      <w:marLeft w:val="0"/>
      <w:marRight w:val="0"/>
      <w:marTop w:val="0"/>
      <w:marBottom w:val="0"/>
      <w:divBdr>
        <w:top w:val="none" w:sz="0" w:space="0" w:color="auto"/>
        <w:left w:val="none" w:sz="0" w:space="0" w:color="auto"/>
        <w:bottom w:val="none" w:sz="0" w:space="0" w:color="auto"/>
        <w:right w:val="none" w:sz="0" w:space="0" w:color="auto"/>
      </w:divBdr>
    </w:div>
    <w:div w:id="758990556">
      <w:bodyDiv w:val="1"/>
      <w:marLeft w:val="0"/>
      <w:marRight w:val="0"/>
      <w:marTop w:val="0"/>
      <w:marBottom w:val="0"/>
      <w:divBdr>
        <w:top w:val="none" w:sz="0" w:space="0" w:color="auto"/>
        <w:left w:val="none" w:sz="0" w:space="0" w:color="auto"/>
        <w:bottom w:val="none" w:sz="0" w:space="0" w:color="auto"/>
        <w:right w:val="none" w:sz="0" w:space="0" w:color="auto"/>
      </w:divBdr>
    </w:div>
    <w:div w:id="759108356">
      <w:bodyDiv w:val="1"/>
      <w:marLeft w:val="0"/>
      <w:marRight w:val="0"/>
      <w:marTop w:val="0"/>
      <w:marBottom w:val="0"/>
      <w:divBdr>
        <w:top w:val="none" w:sz="0" w:space="0" w:color="auto"/>
        <w:left w:val="none" w:sz="0" w:space="0" w:color="auto"/>
        <w:bottom w:val="none" w:sz="0" w:space="0" w:color="auto"/>
        <w:right w:val="none" w:sz="0" w:space="0" w:color="auto"/>
      </w:divBdr>
    </w:div>
    <w:div w:id="759133057">
      <w:bodyDiv w:val="1"/>
      <w:marLeft w:val="0"/>
      <w:marRight w:val="0"/>
      <w:marTop w:val="0"/>
      <w:marBottom w:val="0"/>
      <w:divBdr>
        <w:top w:val="none" w:sz="0" w:space="0" w:color="auto"/>
        <w:left w:val="none" w:sz="0" w:space="0" w:color="auto"/>
        <w:bottom w:val="none" w:sz="0" w:space="0" w:color="auto"/>
        <w:right w:val="none" w:sz="0" w:space="0" w:color="auto"/>
      </w:divBdr>
    </w:div>
    <w:div w:id="759179094">
      <w:bodyDiv w:val="1"/>
      <w:marLeft w:val="0"/>
      <w:marRight w:val="0"/>
      <w:marTop w:val="0"/>
      <w:marBottom w:val="0"/>
      <w:divBdr>
        <w:top w:val="none" w:sz="0" w:space="0" w:color="auto"/>
        <w:left w:val="none" w:sz="0" w:space="0" w:color="auto"/>
        <w:bottom w:val="none" w:sz="0" w:space="0" w:color="auto"/>
        <w:right w:val="none" w:sz="0" w:space="0" w:color="auto"/>
      </w:divBdr>
    </w:div>
    <w:div w:id="759330541">
      <w:bodyDiv w:val="1"/>
      <w:marLeft w:val="0"/>
      <w:marRight w:val="0"/>
      <w:marTop w:val="0"/>
      <w:marBottom w:val="0"/>
      <w:divBdr>
        <w:top w:val="none" w:sz="0" w:space="0" w:color="auto"/>
        <w:left w:val="none" w:sz="0" w:space="0" w:color="auto"/>
        <w:bottom w:val="none" w:sz="0" w:space="0" w:color="auto"/>
        <w:right w:val="none" w:sz="0" w:space="0" w:color="auto"/>
      </w:divBdr>
    </w:div>
    <w:div w:id="759369469">
      <w:bodyDiv w:val="1"/>
      <w:marLeft w:val="0"/>
      <w:marRight w:val="0"/>
      <w:marTop w:val="0"/>
      <w:marBottom w:val="0"/>
      <w:divBdr>
        <w:top w:val="none" w:sz="0" w:space="0" w:color="auto"/>
        <w:left w:val="none" w:sz="0" w:space="0" w:color="auto"/>
        <w:bottom w:val="none" w:sz="0" w:space="0" w:color="auto"/>
        <w:right w:val="none" w:sz="0" w:space="0" w:color="auto"/>
      </w:divBdr>
    </w:div>
    <w:div w:id="759377412">
      <w:bodyDiv w:val="1"/>
      <w:marLeft w:val="0"/>
      <w:marRight w:val="0"/>
      <w:marTop w:val="0"/>
      <w:marBottom w:val="0"/>
      <w:divBdr>
        <w:top w:val="none" w:sz="0" w:space="0" w:color="auto"/>
        <w:left w:val="none" w:sz="0" w:space="0" w:color="auto"/>
        <w:bottom w:val="none" w:sz="0" w:space="0" w:color="auto"/>
        <w:right w:val="none" w:sz="0" w:space="0" w:color="auto"/>
      </w:divBdr>
    </w:div>
    <w:div w:id="759833292">
      <w:bodyDiv w:val="1"/>
      <w:marLeft w:val="0"/>
      <w:marRight w:val="0"/>
      <w:marTop w:val="0"/>
      <w:marBottom w:val="0"/>
      <w:divBdr>
        <w:top w:val="none" w:sz="0" w:space="0" w:color="auto"/>
        <w:left w:val="none" w:sz="0" w:space="0" w:color="auto"/>
        <w:bottom w:val="none" w:sz="0" w:space="0" w:color="auto"/>
        <w:right w:val="none" w:sz="0" w:space="0" w:color="auto"/>
      </w:divBdr>
    </w:div>
    <w:div w:id="760027438">
      <w:bodyDiv w:val="1"/>
      <w:marLeft w:val="0"/>
      <w:marRight w:val="0"/>
      <w:marTop w:val="0"/>
      <w:marBottom w:val="0"/>
      <w:divBdr>
        <w:top w:val="none" w:sz="0" w:space="0" w:color="auto"/>
        <w:left w:val="none" w:sz="0" w:space="0" w:color="auto"/>
        <w:bottom w:val="none" w:sz="0" w:space="0" w:color="auto"/>
        <w:right w:val="none" w:sz="0" w:space="0" w:color="auto"/>
      </w:divBdr>
    </w:div>
    <w:div w:id="760180368">
      <w:bodyDiv w:val="1"/>
      <w:marLeft w:val="0"/>
      <w:marRight w:val="0"/>
      <w:marTop w:val="0"/>
      <w:marBottom w:val="0"/>
      <w:divBdr>
        <w:top w:val="none" w:sz="0" w:space="0" w:color="auto"/>
        <w:left w:val="none" w:sz="0" w:space="0" w:color="auto"/>
        <w:bottom w:val="none" w:sz="0" w:space="0" w:color="auto"/>
        <w:right w:val="none" w:sz="0" w:space="0" w:color="auto"/>
      </w:divBdr>
    </w:div>
    <w:div w:id="760417100">
      <w:bodyDiv w:val="1"/>
      <w:marLeft w:val="0"/>
      <w:marRight w:val="0"/>
      <w:marTop w:val="0"/>
      <w:marBottom w:val="0"/>
      <w:divBdr>
        <w:top w:val="none" w:sz="0" w:space="0" w:color="auto"/>
        <w:left w:val="none" w:sz="0" w:space="0" w:color="auto"/>
        <w:bottom w:val="none" w:sz="0" w:space="0" w:color="auto"/>
        <w:right w:val="none" w:sz="0" w:space="0" w:color="auto"/>
      </w:divBdr>
    </w:div>
    <w:div w:id="760486031">
      <w:bodyDiv w:val="1"/>
      <w:marLeft w:val="0"/>
      <w:marRight w:val="0"/>
      <w:marTop w:val="0"/>
      <w:marBottom w:val="0"/>
      <w:divBdr>
        <w:top w:val="none" w:sz="0" w:space="0" w:color="auto"/>
        <w:left w:val="none" w:sz="0" w:space="0" w:color="auto"/>
        <w:bottom w:val="none" w:sz="0" w:space="0" w:color="auto"/>
        <w:right w:val="none" w:sz="0" w:space="0" w:color="auto"/>
      </w:divBdr>
    </w:div>
    <w:div w:id="760488126">
      <w:bodyDiv w:val="1"/>
      <w:marLeft w:val="0"/>
      <w:marRight w:val="0"/>
      <w:marTop w:val="0"/>
      <w:marBottom w:val="0"/>
      <w:divBdr>
        <w:top w:val="none" w:sz="0" w:space="0" w:color="auto"/>
        <w:left w:val="none" w:sz="0" w:space="0" w:color="auto"/>
        <w:bottom w:val="none" w:sz="0" w:space="0" w:color="auto"/>
        <w:right w:val="none" w:sz="0" w:space="0" w:color="auto"/>
      </w:divBdr>
    </w:div>
    <w:div w:id="760488291">
      <w:bodyDiv w:val="1"/>
      <w:marLeft w:val="0"/>
      <w:marRight w:val="0"/>
      <w:marTop w:val="0"/>
      <w:marBottom w:val="0"/>
      <w:divBdr>
        <w:top w:val="none" w:sz="0" w:space="0" w:color="auto"/>
        <w:left w:val="none" w:sz="0" w:space="0" w:color="auto"/>
        <w:bottom w:val="none" w:sz="0" w:space="0" w:color="auto"/>
        <w:right w:val="none" w:sz="0" w:space="0" w:color="auto"/>
      </w:divBdr>
    </w:div>
    <w:div w:id="760495729">
      <w:bodyDiv w:val="1"/>
      <w:marLeft w:val="0"/>
      <w:marRight w:val="0"/>
      <w:marTop w:val="0"/>
      <w:marBottom w:val="0"/>
      <w:divBdr>
        <w:top w:val="none" w:sz="0" w:space="0" w:color="auto"/>
        <w:left w:val="none" w:sz="0" w:space="0" w:color="auto"/>
        <w:bottom w:val="none" w:sz="0" w:space="0" w:color="auto"/>
        <w:right w:val="none" w:sz="0" w:space="0" w:color="auto"/>
      </w:divBdr>
    </w:div>
    <w:div w:id="760562562">
      <w:bodyDiv w:val="1"/>
      <w:marLeft w:val="0"/>
      <w:marRight w:val="0"/>
      <w:marTop w:val="0"/>
      <w:marBottom w:val="0"/>
      <w:divBdr>
        <w:top w:val="none" w:sz="0" w:space="0" w:color="auto"/>
        <w:left w:val="none" w:sz="0" w:space="0" w:color="auto"/>
        <w:bottom w:val="none" w:sz="0" w:space="0" w:color="auto"/>
        <w:right w:val="none" w:sz="0" w:space="0" w:color="auto"/>
      </w:divBdr>
    </w:div>
    <w:div w:id="760562834">
      <w:bodyDiv w:val="1"/>
      <w:marLeft w:val="0"/>
      <w:marRight w:val="0"/>
      <w:marTop w:val="0"/>
      <w:marBottom w:val="0"/>
      <w:divBdr>
        <w:top w:val="none" w:sz="0" w:space="0" w:color="auto"/>
        <w:left w:val="none" w:sz="0" w:space="0" w:color="auto"/>
        <w:bottom w:val="none" w:sz="0" w:space="0" w:color="auto"/>
        <w:right w:val="none" w:sz="0" w:space="0" w:color="auto"/>
      </w:divBdr>
    </w:div>
    <w:div w:id="760568671">
      <w:bodyDiv w:val="1"/>
      <w:marLeft w:val="0"/>
      <w:marRight w:val="0"/>
      <w:marTop w:val="0"/>
      <w:marBottom w:val="0"/>
      <w:divBdr>
        <w:top w:val="none" w:sz="0" w:space="0" w:color="auto"/>
        <w:left w:val="none" w:sz="0" w:space="0" w:color="auto"/>
        <w:bottom w:val="none" w:sz="0" w:space="0" w:color="auto"/>
        <w:right w:val="none" w:sz="0" w:space="0" w:color="auto"/>
      </w:divBdr>
    </w:div>
    <w:div w:id="760636743">
      <w:bodyDiv w:val="1"/>
      <w:marLeft w:val="0"/>
      <w:marRight w:val="0"/>
      <w:marTop w:val="0"/>
      <w:marBottom w:val="0"/>
      <w:divBdr>
        <w:top w:val="none" w:sz="0" w:space="0" w:color="auto"/>
        <w:left w:val="none" w:sz="0" w:space="0" w:color="auto"/>
        <w:bottom w:val="none" w:sz="0" w:space="0" w:color="auto"/>
        <w:right w:val="none" w:sz="0" w:space="0" w:color="auto"/>
      </w:divBdr>
    </w:div>
    <w:div w:id="760683566">
      <w:bodyDiv w:val="1"/>
      <w:marLeft w:val="0"/>
      <w:marRight w:val="0"/>
      <w:marTop w:val="0"/>
      <w:marBottom w:val="0"/>
      <w:divBdr>
        <w:top w:val="none" w:sz="0" w:space="0" w:color="auto"/>
        <w:left w:val="none" w:sz="0" w:space="0" w:color="auto"/>
        <w:bottom w:val="none" w:sz="0" w:space="0" w:color="auto"/>
        <w:right w:val="none" w:sz="0" w:space="0" w:color="auto"/>
      </w:divBdr>
    </w:div>
    <w:div w:id="760833560">
      <w:bodyDiv w:val="1"/>
      <w:marLeft w:val="0"/>
      <w:marRight w:val="0"/>
      <w:marTop w:val="0"/>
      <w:marBottom w:val="0"/>
      <w:divBdr>
        <w:top w:val="none" w:sz="0" w:space="0" w:color="auto"/>
        <w:left w:val="none" w:sz="0" w:space="0" w:color="auto"/>
        <w:bottom w:val="none" w:sz="0" w:space="0" w:color="auto"/>
        <w:right w:val="none" w:sz="0" w:space="0" w:color="auto"/>
      </w:divBdr>
    </w:div>
    <w:div w:id="760875852">
      <w:bodyDiv w:val="1"/>
      <w:marLeft w:val="0"/>
      <w:marRight w:val="0"/>
      <w:marTop w:val="0"/>
      <w:marBottom w:val="0"/>
      <w:divBdr>
        <w:top w:val="none" w:sz="0" w:space="0" w:color="auto"/>
        <w:left w:val="none" w:sz="0" w:space="0" w:color="auto"/>
        <w:bottom w:val="none" w:sz="0" w:space="0" w:color="auto"/>
        <w:right w:val="none" w:sz="0" w:space="0" w:color="auto"/>
      </w:divBdr>
    </w:div>
    <w:div w:id="761070976">
      <w:bodyDiv w:val="1"/>
      <w:marLeft w:val="0"/>
      <w:marRight w:val="0"/>
      <w:marTop w:val="0"/>
      <w:marBottom w:val="0"/>
      <w:divBdr>
        <w:top w:val="none" w:sz="0" w:space="0" w:color="auto"/>
        <w:left w:val="none" w:sz="0" w:space="0" w:color="auto"/>
        <w:bottom w:val="none" w:sz="0" w:space="0" w:color="auto"/>
        <w:right w:val="none" w:sz="0" w:space="0" w:color="auto"/>
      </w:divBdr>
    </w:div>
    <w:div w:id="761071281">
      <w:bodyDiv w:val="1"/>
      <w:marLeft w:val="0"/>
      <w:marRight w:val="0"/>
      <w:marTop w:val="0"/>
      <w:marBottom w:val="0"/>
      <w:divBdr>
        <w:top w:val="none" w:sz="0" w:space="0" w:color="auto"/>
        <w:left w:val="none" w:sz="0" w:space="0" w:color="auto"/>
        <w:bottom w:val="none" w:sz="0" w:space="0" w:color="auto"/>
        <w:right w:val="none" w:sz="0" w:space="0" w:color="auto"/>
      </w:divBdr>
    </w:div>
    <w:div w:id="761075163">
      <w:bodyDiv w:val="1"/>
      <w:marLeft w:val="0"/>
      <w:marRight w:val="0"/>
      <w:marTop w:val="0"/>
      <w:marBottom w:val="0"/>
      <w:divBdr>
        <w:top w:val="none" w:sz="0" w:space="0" w:color="auto"/>
        <w:left w:val="none" w:sz="0" w:space="0" w:color="auto"/>
        <w:bottom w:val="none" w:sz="0" w:space="0" w:color="auto"/>
        <w:right w:val="none" w:sz="0" w:space="0" w:color="auto"/>
      </w:divBdr>
    </w:div>
    <w:div w:id="761101387">
      <w:bodyDiv w:val="1"/>
      <w:marLeft w:val="0"/>
      <w:marRight w:val="0"/>
      <w:marTop w:val="0"/>
      <w:marBottom w:val="0"/>
      <w:divBdr>
        <w:top w:val="none" w:sz="0" w:space="0" w:color="auto"/>
        <w:left w:val="none" w:sz="0" w:space="0" w:color="auto"/>
        <w:bottom w:val="none" w:sz="0" w:space="0" w:color="auto"/>
        <w:right w:val="none" w:sz="0" w:space="0" w:color="auto"/>
      </w:divBdr>
    </w:div>
    <w:div w:id="761147404">
      <w:bodyDiv w:val="1"/>
      <w:marLeft w:val="0"/>
      <w:marRight w:val="0"/>
      <w:marTop w:val="0"/>
      <w:marBottom w:val="0"/>
      <w:divBdr>
        <w:top w:val="none" w:sz="0" w:space="0" w:color="auto"/>
        <w:left w:val="none" w:sz="0" w:space="0" w:color="auto"/>
        <w:bottom w:val="none" w:sz="0" w:space="0" w:color="auto"/>
        <w:right w:val="none" w:sz="0" w:space="0" w:color="auto"/>
      </w:divBdr>
    </w:div>
    <w:div w:id="761223486">
      <w:bodyDiv w:val="1"/>
      <w:marLeft w:val="0"/>
      <w:marRight w:val="0"/>
      <w:marTop w:val="0"/>
      <w:marBottom w:val="0"/>
      <w:divBdr>
        <w:top w:val="none" w:sz="0" w:space="0" w:color="auto"/>
        <w:left w:val="none" w:sz="0" w:space="0" w:color="auto"/>
        <w:bottom w:val="none" w:sz="0" w:space="0" w:color="auto"/>
        <w:right w:val="none" w:sz="0" w:space="0" w:color="auto"/>
      </w:divBdr>
    </w:div>
    <w:div w:id="761335413">
      <w:bodyDiv w:val="1"/>
      <w:marLeft w:val="0"/>
      <w:marRight w:val="0"/>
      <w:marTop w:val="0"/>
      <w:marBottom w:val="0"/>
      <w:divBdr>
        <w:top w:val="none" w:sz="0" w:space="0" w:color="auto"/>
        <w:left w:val="none" w:sz="0" w:space="0" w:color="auto"/>
        <w:bottom w:val="none" w:sz="0" w:space="0" w:color="auto"/>
        <w:right w:val="none" w:sz="0" w:space="0" w:color="auto"/>
      </w:divBdr>
    </w:div>
    <w:div w:id="761410461">
      <w:bodyDiv w:val="1"/>
      <w:marLeft w:val="0"/>
      <w:marRight w:val="0"/>
      <w:marTop w:val="0"/>
      <w:marBottom w:val="0"/>
      <w:divBdr>
        <w:top w:val="none" w:sz="0" w:space="0" w:color="auto"/>
        <w:left w:val="none" w:sz="0" w:space="0" w:color="auto"/>
        <w:bottom w:val="none" w:sz="0" w:space="0" w:color="auto"/>
        <w:right w:val="none" w:sz="0" w:space="0" w:color="auto"/>
      </w:divBdr>
    </w:div>
    <w:div w:id="761488666">
      <w:bodyDiv w:val="1"/>
      <w:marLeft w:val="0"/>
      <w:marRight w:val="0"/>
      <w:marTop w:val="0"/>
      <w:marBottom w:val="0"/>
      <w:divBdr>
        <w:top w:val="none" w:sz="0" w:space="0" w:color="auto"/>
        <w:left w:val="none" w:sz="0" w:space="0" w:color="auto"/>
        <w:bottom w:val="none" w:sz="0" w:space="0" w:color="auto"/>
        <w:right w:val="none" w:sz="0" w:space="0" w:color="auto"/>
      </w:divBdr>
    </w:div>
    <w:div w:id="761536173">
      <w:bodyDiv w:val="1"/>
      <w:marLeft w:val="0"/>
      <w:marRight w:val="0"/>
      <w:marTop w:val="0"/>
      <w:marBottom w:val="0"/>
      <w:divBdr>
        <w:top w:val="none" w:sz="0" w:space="0" w:color="auto"/>
        <w:left w:val="none" w:sz="0" w:space="0" w:color="auto"/>
        <w:bottom w:val="none" w:sz="0" w:space="0" w:color="auto"/>
        <w:right w:val="none" w:sz="0" w:space="0" w:color="auto"/>
      </w:divBdr>
    </w:div>
    <w:div w:id="761680424">
      <w:bodyDiv w:val="1"/>
      <w:marLeft w:val="0"/>
      <w:marRight w:val="0"/>
      <w:marTop w:val="0"/>
      <w:marBottom w:val="0"/>
      <w:divBdr>
        <w:top w:val="none" w:sz="0" w:space="0" w:color="auto"/>
        <w:left w:val="none" w:sz="0" w:space="0" w:color="auto"/>
        <w:bottom w:val="none" w:sz="0" w:space="0" w:color="auto"/>
        <w:right w:val="none" w:sz="0" w:space="0" w:color="auto"/>
      </w:divBdr>
    </w:div>
    <w:div w:id="761686037">
      <w:bodyDiv w:val="1"/>
      <w:marLeft w:val="0"/>
      <w:marRight w:val="0"/>
      <w:marTop w:val="0"/>
      <w:marBottom w:val="0"/>
      <w:divBdr>
        <w:top w:val="none" w:sz="0" w:space="0" w:color="auto"/>
        <w:left w:val="none" w:sz="0" w:space="0" w:color="auto"/>
        <w:bottom w:val="none" w:sz="0" w:space="0" w:color="auto"/>
        <w:right w:val="none" w:sz="0" w:space="0" w:color="auto"/>
      </w:divBdr>
    </w:div>
    <w:div w:id="761725671">
      <w:bodyDiv w:val="1"/>
      <w:marLeft w:val="0"/>
      <w:marRight w:val="0"/>
      <w:marTop w:val="0"/>
      <w:marBottom w:val="0"/>
      <w:divBdr>
        <w:top w:val="none" w:sz="0" w:space="0" w:color="auto"/>
        <w:left w:val="none" w:sz="0" w:space="0" w:color="auto"/>
        <w:bottom w:val="none" w:sz="0" w:space="0" w:color="auto"/>
        <w:right w:val="none" w:sz="0" w:space="0" w:color="auto"/>
      </w:divBdr>
    </w:div>
    <w:div w:id="761804102">
      <w:bodyDiv w:val="1"/>
      <w:marLeft w:val="0"/>
      <w:marRight w:val="0"/>
      <w:marTop w:val="0"/>
      <w:marBottom w:val="0"/>
      <w:divBdr>
        <w:top w:val="none" w:sz="0" w:space="0" w:color="auto"/>
        <w:left w:val="none" w:sz="0" w:space="0" w:color="auto"/>
        <w:bottom w:val="none" w:sz="0" w:space="0" w:color="auto"/>
        <w:right w:val="none" w:sz="0" w:space="0" w:color="auto"/>
      </w:divBdr>
    </w:div>
    <w:div w:id="761805581">
      <w:bodyDiv w:val="1"/>
      <w:marLeft w:val="0"/>
      <w:marRight w:val="0"/>
      <w:marTop w:val="0"/>
      <w:marBottom w:val="0"/>
      <w:divBdr>
        <w:top w:val="none" w:sz="0" w:space="0" w:color="auto"/>
        <w:left w:val="none" w:sz="0" w:space="0" w:color="auto"/>
        <w:bottom w:val="none" w:sz="0" w:space="0" w:color="auto"/>
        <w:right w:val="none" w:sz="0" w:space="0" w:color="auto"/>
      </w:divBdr>
    </w:div>
    <w:div w:id="761874423">
      <w:bodyDiv w:val="1"/>
      <w:marLeft w:val="0"/>
      <w:marRight w:val="0"/>
      <w:marTop w:val="0"/>
      <w:marBottom w:val="0"/>
      <w:divBdr>
        <w:top w:val="none" w:sz="0" w:space="0" w:color="auto"/>
        <w:left w:val="none" w:sz="0" w:space="0" w:color="auto"/>
        <w:bottom w:val="none" w:sz="0" w:space="0" w:color="auto"/>
        <w:right w:val="none" w:sz="0" w:space="0" w:color="auto"/>
      </w:divBdr>
    </w:div>
    <w:div w:id="761953473">
      <w:bodyDiv w:val="1"/>
      <w:marLeft w:val="0"/>
      <w:marRight w:val="0"/>
      <w:marTop w:val="0"/>
      <w:marBottom w:val="0"/>
      <w:divBdr>
        <w:top w:val="none" w:sz="0" w:space="0" w:color="auto"/>
        <w:left w:val="none" w:sz="0" w:space="0" w:color="auto"/>
        <w:bottom w:val="none" w:sz="0" w:space="0" w:color="auto"/>
        <w:right w:val="none" w:sz="0" w:space="0" w:color="auto"/>
      </w:divBdr>
    </w:div>
    <w:div w:id="762073664">
      <w:bodyDiv w:val="1"/>
      <w:marLeft w:val="0"/>
      <w:marRight w:val="0"/>
      <w:marTop w:val="0"/>
      <w:marBottom w:val="0"/>
      <w:divBdr>
        <w:top w:val="none" w:sz="0" w:space="0" w:color="auto"/>
        <w:left w:val="none" w:sz="0" w:space="0" w:color="auto"/>
        <w:bottom w:val="none" w:sz="0" w:space="0" w:color="auto"/>
        <w:right w:val="none" w:sz="0" w:space="0" w:color="auto"/>
      </w:divBdr>
    </w:div>
    <w:div w:id="762147165">
      <w:bodyDiv w:val="1"/>
      <w:marLeft w:val="0"/>
      <w:marRight w:val="0"/>
      <w:marTop w:val="0"/>
      <w:marBottom w:val="0"/>
      <w:divBdr>
        <w:top w:val="none" w:sz="0" w:space="0" w:color="auto"/>
        <w:left w:val="none" w:sz="0" w:space="0" w:color="auto"/>
        <w:bottom w:val="none" w:sz="0" w:space="0" w:color="auto"/>
        <w:right w:val="none" w:sz="0" w:space="0" w:color="auto"/>
      </w:divBdr>
    </w:div>
    <w:div w:id="762184575">
      <w:bodyDiv w:val="1"/>
      <w:marLeft w:val="0"/>
      <w:marRight w:val="0"/>
      <w:marTop w:val="0"/>
      <w:marBottom w:val="0"/>
      <w:divBdr>
        <w:top w:val="none" w:sz="0" w:space="0" w:color="auto"/>
        <w:left w:val="none" w:sz="0" w:space="0" w:color="auto"/>
        <w:bottom w:val="none" w:sz="0" w:space="0" w:color="auto"/>
        <w:right w:val="none" w:sz="0" w:space="0" w:color="auto"/>
      </w:divBdr>
    </w:div>
    <w:div w:id="762336107">
      <w:bodyDiv w:val="1"/>
      <w:marLeft w:val="0"/>
      <w:marRight w:val="0"/>
      <w:marTop w:val="0"/>
      <w:marBottom w:val="0"/>
      <w:divBdr>
        <w:top w:val="none" w:sz="0" w:space="0" w:color="auto"/>
        <w:left w:val="none" w:sz="0" w:space="0" w:color="auto"/>
        <w:bottom w:val="none" w:sz="0" w:space="0" w:color="auto"/>
        <w:right w:val="none" w:sz="0" w:space="0" w:color="auto"/>
      </w:divBdr>
    </w:div>
    <w:div w:id="762386132">
      <w:bodyDiv w:val="1"/>
      <w:marLeft w:val="0"/>
      <w:marRight w:val="0"/>
      <w:marTop w:val="0"/>
      <w:marBottom w:val="0"/>
      <w:divBdr>
        <w:top w:val="none" w:sz="0" w:space="0" w:color="auto"/>
        <w:left w:val="none" w:sz="0" w:space="0" w:color="auto"/>
        <w:bottom w:val="none" w:sz="0" w:space="0" w:color="auto"/>
        <w:right w:val="none" w:sz="0" w:space="0" w:color="auto"/>
      </w:divBdr>
    </w:div>
    <w:div w:id="762411145">
      <w:bodyDiv w:val="1"/>
      <w:marLeft w:val="0"/>
      <w:marRight w:val="0"/>
      <w:marTop w:val="0"/>
      <w:marBottom w:val="0"/>
      <w:divBdr>
        <w:top w:val="none" w:sz="0" w:space="0" w:color="auto"/>
        <w:left w:val="none" w:sz="0" w:space="0" w:color="auto"/>
        <w:bottom w:val="none" w:sz="0" w:space="0" w:color="auto"/>
        <w:right w:val="none" w:sz="0" w:space="0" w:color="auto"/>
      </w:divBdr>
    </w:div>
    <w:div w:id="762457770">
      <w:bodyDiv w:val="1"/>
      <w:marLeft w:val="0"/>
      <w:marRight w:val="0"/>
      <w:marTop w:val="0"/>
      <w:marBottom w:val="0"/>
      <w:divBdr>
        <w:top w:val="none" w:sz="0" w:space="0" w:color="auto"/>
        <w:left w:val="none" w:sz="0" w:space="0" w:color="auto"/>
        <w:bottom w:val="none" w:sz="0" w:space="0" w:color="auto"/>
        <w:right w:val="none" w:sz="0" w:space="0" w:color="auto"/>
      </w:divBdr>
    </w:div>
    <w:div w:id="762527298">
      <w:bodyDiv w:val="1"/>
      <w:marLeft w:val="0"/>
      <w:marRight w:val="0"/>
      <w:marTop w:val="0"/>
      <w:marBottom w:val="0"/>
      <w:divBdr>
        <w:top w:val="none" w:sz="0" w:space="0" w:color="auto"/>
        <w:left w:val="none" w:sz="0" w:space="0" w:color="auto"/>
        <w:bottom w:val="none" w:sz="0" w:space="0" w:color="auto"/>
        <w:right w:val="none" w:sz="0" w:space="0" w:color="auto"/>
      </w:divBdr>
    </w:div>
    <w:div w:id="762603229">
      <w:bodyDiv w:val="1"/>
      <w:marLeft w:val="0"/>
      <w:marRight w:val="0"/>
      <w:marTop w:val="0"/>
      <w:marBottom w:val="0"/>
      <w:divBdr>
        <w:top w:val="none" w:sz="0" w:space="0" w:color="auto"/>
        <w:left w:val="none" w:sz="0" w:space="0" w:color="auto"/>
        <w:bottom w:val="none" w:sz="0" w:space="0" w:color="auto"/>
        <w:right w:val="none" w:sz="0" w:space="0" w:color="auto"/>
      </w:divBdr>
    </w:div>
    <w:div w:id="762607198">
      <w:bodyDiv w:val="1"/>
      <w:marLeft w:val="0"/>
      <w:marRight w:val="0"/>
      <w:marTop w:val="0"/>
      <w:marBottom w:val="0"/>
      <w:divBdr>
        <w:top w:val="none" w:sz="0" w:space="0" w:color="auto"/>
        <w:left w:val="none" w:sz="0" w:space="0" w:color="auto"/>
        <w:bottom w:val="none" w:sz="0" w:space="0" w:color="auto"/>
        <w:right w:val="none" w:sz="0" w:space="0" w:color="auto"/>
      </w:divBdr>
    </w:div>
    <w:div w:id="762608828">
      <w:bodyDiv w:val="1"/>
      <w:marLeft w:val="0"/>
      <w:marRight w:val="0"/>
      <w:marTop w:val="0"/>
      <w:marBottom w:val="0"/>
      <w:divBdr>
        <w:top w:val="none" w:sz="0" w:space="0" w:color="auto"/>
        <w:left w:val="none" w:sz="0" w:space="0" w:color="auto"/>
        <w:bottom w:val="none" w:sz="0" w:space="0" w:color="auto"/>
        <w:right w:val="none" w:sz="0" w:space="0" w:color="auto"/>
      </w:divBdr>
    </w:div>
    <w:div w:id="762653072">
      <w:bodyDiv w:val="1"/>
      <w:marLeft w:val="0"/>
      <w:marRight w:val="0"/>
      <w:marTop w:val="0"/>
      <w:marBottom w:val="0"/>
      <w:divBdr>
        <w:top w:val="none" w:sz="0" w:space="0" w:color="auto"/>
        <w:left w:val="none" w:sz="0" w:space="0" w:color="auto"/>
        <w:bottom w:val="none" w:sz="0" w:space="0" w:color="auto"/>
        <w:right w:val="none" w:sz="0" w:space="0" w:color="auto"/>
      </w:divBdr>
    </w:div>
    <w:div w:id="762653954">
      <w:bodyDiv w:val="1"/>
      <w:marLeft w:val="0"/>
      <w:marRight w:val="0"/>
      <w:marTop w:val="0"/>
      <w:marBottom w:val="0"/>
      <w:divBdr>
        <w:top w:val="none" w:sz="0" w:space="0" w:color="auto"/>
        <w:left w:val="none" w:sz="0" w:space="0" w:color="auto"/>
        <w:bottom w:val="none" w:sz="0" w:space="0" w:color="auto"/>
        <w:right w:val="none" w:sz="0" w:space="0" w:color="auto"/>
      </w:divBdr>
    </w:div>
    <w:div w:id="762654487">
      <w:bodyDiv w:val="1"/>
      <w:marLeft w:val="0"/>
      <w:marRight w:val="0"/>
      <w:marTop w:val="0"/>
      <w:marBottom w:val="0"/>
      <w:divBdr>
        <w:top w:val="none" w:sz="0" w:space="0" w:color="auto"/>
        <w:left w:val="none" w:sz="0" w:space="0" w:color="auto"/>
        <w:bottom w:val="none" w:sz="0" w:space="0" w:color="auto"/>
        <w:right w:val="none" w:sz="0" w:space="0" w:color="auto"/>
      </w:divBdr>
    </w:div>
    <w:div w:id="762726215">
      <w:bodyDiv w:val="1"/>
      <w:marLeft w:val="0"/>
      <w:marRight w:val="0"/>
      <w:marTop w:val="0"/>
      <w:marBottom w:val="0"/>
      <w:divBdr>
        <w:top w:val="none" w:sz="0" w:space="0" w:color="auto"/>
        <w:left w:val="none" w:sz="0" w:space="0" w:color="auto"/>
        <w:bottom w:val="none" w:sz="0" w:space="0" w:color="auto"/>
        <w:right w:val="none" w:sz="0" w:space="0" w:color="auto"/>
      </w:divBdr>
    </w:div>
    <w:div w:id="762797065">
      <w:bodyDiv w:val="1"/>
      <w:marLeft w:val="0"/>
      <w:marRight w:val="0"/>
      <w:marTop w:val="0"/>
      <w:marBottom w:val="0"/>
      <w:divBdr>
        <w:top w:val="none" w:sz="0" w:space="0" w:color="auto"/>
        <w:left w:val="none" w:sz="0" w:space="0" w:color="auto"/>
        <w:bottom w:val="none" w:sz="0" w:space="0" w:color="auto"/>
        <w:right w:val="none" w:sz="0" w:space="0" w:color="auto"/>
      </w:divBdr>
    </w:div>
    <w:div w:id="762841674">
      <w:bodyDiv w:val="1"/>
      <w:marLeft w:val="0"/>
      <w:marRight w:val="0"/>
      <w:marTop w:val="0"/>
      <w:marBottom w:val="0"/>
      <w:divBdr>
        <w:top w:val="none" w:sz="0" w:space="0" w:color="auto"/>
        <w:left w:val="none" w:sz="0" w:space="0" w:color="auto"/>
        <w:bottom w:val="none" w:sz="0" w:space="0" w:color="auto"/>
        <w:right w:val="none" w:sz="0" w:space="0" w:color="auto"/>
      </w:divBdr>
    </w:div>
    <w:div w:id="763038472">
      <w:bodyDiv w:val="1"/>
      <w:marLeft w:val="0"/>
      <w:marRight w:val="0"/>
      <w:marTop w:val="0"/>
      <w:marBottom w:val="0"/>
      <w:divBdr>
        <w:top w:val="none" w:sz="0" w:space="0" w:color="auto"/>
        <w:left w:val="none" w:sz="0" w:space="0" w:color="auto"/>
        <w:bottom w:val="none" w:sz="0" w:space="0" w:color="auto"/>
        <w:right w:val="none" w:sz="0" w:space="0" w:color="auto"/>
      </w:divBdr>
    </w:div>
    <w:div w:id="763113090">
      <w:bodyDiv w:val="1"/>
      <w:marLeft w:val="0"/>
      <w:marRight w:val="0"/>
      <w:marTop w:val="0"/>
      <w:marBottom w:val="0"/>
      <w:divBdr>
        <w:top w:val="none" w:sz="0" w:space="0" w:color="auto"/>
        <w:left w:val="none" w:sz="0" w:space="0" w:color="auto"/>
        <w:bottom w:val="none" w:sz="0" w:space="0" w:color="auto"/>
        <w:right w:val="none" w:sz="0" w:space="0" w:color="auto"/>
      </w:divBdr>
    </w:div>
    <w:div w:id="763260667">
      <w:bodyDiv w:val="1"/>
      <w:marLeft w:val="0"/>
      <w:marRight w:val="0"/>
      <w:marTop w:val="0"/>
      <w:marBottom w:val="0"/>
      <w:divBdr>
        <w:top w:val="none" w:sz="0" w:space="0" w:color="auto"/>
        <w:left w:val="none" w:sz="0" w:space="0" w:color="auto"/>
        <w:bottom w:val="none" w:sz="0" w:space="0" w:color="auto"/>
        <w:right w:val="none" w:sz="0" w:space="0" w:color="auto"/>
      </w:divBdr>
    </w:div>
    <w:div w:id="763378781">
      <w:bodyDiv w:val="1"/>
      <w:marLeft w:val="0"/>
      <w:marRight w:val="0"/>
      <w:marTop w:val="0"/>
      <w:marBottom w:val="0"/>
      <w:divBdr>
        <w:top w:val="none" w:sz="0" w:space="0" w:color="auto"/>
        <w:left w:val="none" w:sz="0" w:space="0" w:color="auto"/>
        <w:bottom w:val="none" w:sz="0" w:space="0" w:color="auto"/>
        <w:right w:val="none" w:sz="0" w:space="0" w:color="auto"/>
      </w:divBdr>
    </w:div>
    <w:div w:id="763385375">
      <w:bodyDiv w:val="1"/>
      <w:marLeft w:val="0"/>
      <w:marRight w:val="0"/>
      <w:marTop w:val="0"/>
      <w:marBottom w:val="0"/>
      <w:divBdr>
        <w:top w:val="none" w:sz="0" w:space="0" w:color="auto"/>
        <w:left w:val="none" w:sz="0" w:space="0" w:color="auto"/>
        <w:bottom w:val="none" w:sz="0" w:space="0" w:color="auto"/>
        <w:right w:val="none" w:sz="0" w:space="0" w:color="auto"/>
      </w:divBdr>
    </w:div>
    <w:div w:id="763452363">
      <w:bodyDiv w:val="1"/>
      <w:marLeft w:val="0"/>
      <w:marRight w:val="0"/>
      <w:marTop w:val="0"/>
      <w:marBottom w:val="0"/>
      <w:divBdr>
        <w:top w:val="none" w:sz="0" w:space="0" w:color="auto"/>
        <w:left w:val="none" w:sz="0" w:space="0" w:color="auto"/>
        <w:bottom w:val="none" w:sz="0" w:space="0" w:color="auto"/>
        <w:right w:val="none" w:sz="0" w:space="0" w:color="auto"/>
      </w:divBdr>
    </w:div>
    <w:div w:id="763458108">
      <w:bodyDiv w:val="1"/>
      <w:marLeft w:val="0"/>
      <w:marRight w:val="0"/>
      <w:marTop w:val="0"/>
      <w:marBottom w:val="0"/>
      <w:divBdr>
        <w:top w:val="none" w:sz="0" w:space="0" w:color="auto"/>
        <w:left w:val="none" w:sz="0" w:space="0" w:color="auto"/>
        <w:bottom w:val="none" w:sz="0" w:space="0" w:color="auto"/>
        <w:right w:val="none" w:sz="0" w:space="0" w:color="auto"/>
      </w:divBdr>
    </w:div>
    <w:div w:id="763651799">
      <w:bodyDiv w:val="1"/>
      <w:marLeft w:val="0"/>
      <w:marRight w:val="0"/>
      <w:marTop w:val="0"/>
      <w:marBottom w:val="0"/>
      <w:divBdr>
        <w:top w:val="none" w:sz="0" w:space="0" w:color="auto"/>
        <w:left w:val="none" w:sz="0" w:space="0" w:color="auto"/>
        <w:bottom w:val="none" w:sz="0" w:space="0" w:color="auto"/>
        <w:right w:val="none" w:sz="0" w:space="0" w:color="auto"/>
      </w:divBdr>
    </w:div>
    <w:div w:id="763955843">
      <w:bodyDiv w:val="1"/>
      <w:marLeft w:val="0"/>
      <w:marRight w:val="0"/>
      <w:marTop w:val="0"/>
      <w:marBottom w:val="0"/>
      <w:divBdr>
        <w:top w:val="none" w:sz="0" w:space="0" w:color="auto"/>
        <w:left w:val="none" w:sz="0" w:space="0" w:color="auto"/>
        <w:bottom w:val="none" w:sz="0" w:space="0" w:color="auto"/>
        <w:right w:val="none" w:sz="0" w:space="0" w:color="auto"/>
      </w:divBdr>
    </w:div>
    <w:div w:id="763957207">
      <w:bodyDiv w:val="1"/>
      <w:marLeft w:val="0"/>
      <w:marRight w:val="0"/>
      <w:marTop w:val="0"/>
      <w:marBottom w:val="0"/>
      <w:divBdr>
        <w:top w:val="none" w:sz="0" w:space="0" w:color="auto"/>
        <w:left w:val="none" w:sz="0" w:space="0" w:color="auto"/>
        <w:bottom w:val="none" w:sz="0" w:space="0" w:color="auto"/>
        <w:right w:val="none" w:sz="0" w:space="0" w:color="auto"/>
      </w:divBdr>
    </w:div>
    <w:div w:id="764031728">
      <w:bodyDiv w:val="1"/>
      <w:marLeft w:val="0"/>
      <w:marRight w:val="0"/>
      <w:marTop w:val="0"/>
      <w:marBottom w:val="0"/>
      <w:divBdr>
        <w:top w:val="none" w:sz="0" w:space="0" w:color="auto"/>
        <w:left w:val="none" w:sz="0" w:space="0" w:color="auto"/>
        <w:bottom w:val="none" w:sz="0" w:space="0" w:color="auto"/>
        <w:right w:val="none" w:sz="0" w:space="0" w:color="auto"/>
      </w:divBdr>
    </w:div>
    <w:div w:id="764033346">
      <w:bodyDiv w:val="1"/>
      <w:marLeft w:val="0"/>
      <w:marRight w:val="0"/>
      <w:marTop w:val="0"/>
      <w:marBottom w:val="0"/>
      <w:divBdr>
        <w:top w:val="none" w:sz="0" w:space="0" w:color="auto"/>
        <w:left w:val="none" w:sz="0" w:space="0" w:color="auto"/>
        <w:bottom w:val="none" w:sz="0" w:space="0" w:color="auto"/>
        <w:right w:val="none" w:sz="0" w:space="0" w:color="auto"/>
      </w:divBdr>
    </w:div>
    <w:div w:id="764036679">
      <w:bodyDiv w:val="1"/>
      <w:marLeft w:val="0"/>
      <w:marRight w:val="0"/>
      <w:marTop w:val="0"/>
      <w:marBottom w:val="0"/>
      <w:divBdr>
        <w:top w:val="none" w:sz="0" w:space="0" w:color="auto"/>
        <w:left w:val="none" w:sz="0" w:space="0" w:color="auto"/>
        <w:bottom w:val="none" w:sz="0" w:space="0" w:color="auto"/>
        <w:right w:val="none" w:sz="0" w:space="0" w:color="auto"/>
      </w:divBdr>
    </w:div>
    <w:div w:id="764106549">
      <w:bodyDiv w:val="1"/>
      <w:marLeft w:val="0"/>
      <w:marRight w:val="0"/>
      <w:marTop w:val="0"/>
      <w:marBottom w:val="0"/>
      <w:divBdr>
        <w:top w:val="none" w:sz="0" w:space="0" w:color="auto"/>
        <w:left w:val="none" w:sz="0" w:space="0" w:color="auto"/>
        <w:bottom w:val="none" w:sz="0" w:space="0" w:color="auto"/>
        <w:right w:val="none" w:sz="0" w:space="0" w:color="auto"/>
      </w:divBdr>
    </w:div>
    <w:div w:id="764153799">
      <w:bodyDiv w:val="1"/>
      <w:marLeft w:val="0"/>
      <w:marRight w:val="0"/>
      <w:marTop w:val="0"/>
      <w:marBottom w:val="0"/>
      <w:divBdr>
        <w:top w:val="none" w:sz="0" w:space="0" w:color="auto"/>
        <w:left w:val="none" w:sz="0" w:space="0" w:color="auto"/>
        <w:bottom w:val="none" w:sz="0" w:space="0" w:color="auto"/>
        <w:right w:val="none" w:sz="0" w:space="0" w:color="auto"/>
      </w:divBdr>
    </w:div>
    <w:div w:id="764225777">
      <w:bodyDiv w:val="1"/>
      <w:marLeft w:val="0"/>
      <w:marRight w:val="0"/>
      <w:marTop w:val="0"/>
      <w:marBottom w:val="0"/>
      <w:divBdr>
        <w:top w:val="none" w:sz="0" w:space="0" w:color="auto"/>
        <w:left w:val="none" w:sz="0" w:space="0" w:color="auto"/>
        <w:bottom w:val="none" w:sz="0" w:space="0" w:color="auto"/>
        <w:right w:val="none" w:sz="0" w:space="0" w:color="auto"/>
      </w:divBdr>
    </w:div>
    <w:div w:id="764303492">
      <w:bodyDiv w:val="1"/>
      <w:marLeft w:val="0"/>
      <w:marRight w:val="0"/>
      <w:marTop w:val="0"/>
      <w:marBottom w:val="0"/>
      <w:divBdr>
        <w:top w:val="none" w:sz="0" w:space="0" w:color="auto"/>
        <w:left w:val="none" w:sz="0" w:space="0" w:color="auto"/>
        <w:bottom w:val="none" w:sz="0" w:space="0" w:color="auto"/>
        <w:right w:val="none" w:sz="0" w:space="0" w:color="auto"/>
      </w:divBdr>
    </w:div>
    <w:div w:id="764418176">
      <w:bodyDiv w:val="1"/>
      <w:marLeft w:val="0"/>
      <w:marRight w:val="0"/>
      <w:marTop w:val="0"/>
      <w:marBottom w:val="0"/>
      <w:divBdr>
        <w:top w:val="none" w:sz="0" w:space="0" w:color="auto"/>
        <w:left w:val="none" w:sz="0" w:space="0" w:color="auto"/>
        <w:bottom w:val="none" w:sz="0" w:space="0" w:color="auto"/>
        <w:right w:val="none" w:sz="0" w:space="0" w:color="auto"/>
      </w:divBdr>
    </w:div>
    <w:div w:id="764423762">
      <w:bodyDiv w:val="1"/>
      <w:marLeft w:val="0"/>
      <w:marRight w:val="0"/>
      <w:marTop w:val="0"/>
      <w:marBottom w:val="0"/>
      <w:divBdr>
        <w:top w:val="none" w:sz="0" w:space="0" w:color="auto"/>
        <w:left w:val="none" w:sz="0" w:space="0" w:color="auto"/>
        <w:bottom w:val="none" w:sz="0" w:space="0" w:color="auto"/>
        <w:right w:val="none" w:sz="0" w:space="0" w:color="auto"/>
      </w:divBdr>
    </w:div>
    <w:div w:id="764495196">
      <w:bodyDiv w:val="1"/>
      <w:marLeft w:val="0"/>
      <w:marRight w:val="0"/>
      <w:marTop w:val="0"/>
      <w:marBottom w:val="0"/>
      <w:divBdr>
        <w:top w:val="none" w:sz="0" w:space="0" w:color="auto"/>
        <w:left w:val="none" w:sz="0" w:space="0" w:color="auto"/>
        <w:bottom w:val="none" w:sz="0" w:space="0" w:color="auto"/>
        <w:right w:val="none" w:sz="0" w:space="0" w:color="auto"/>
      </w:divBdr>
    </w:div>
    <w:div w:id="764498111">
      <w:bodyDiv w:val="1"/>
      <w:marLeft w:val="0"/>
      <w:marRight w:val="0"/>
      <w:marTop w:val="0"/>
      <w:marBottom w:val="0"/>
      <w:divBdr>
        <w:top w:val="none" w:sz="0" w:space="0" w:color="auto"/>
        <w:left w:val="none" w:sz="0" w:space="0" w:color="auto"/>
        <w:bottom w:val="none" w:sz="0" w:space="0" w:color="auto"/>
        <w:right w:val="none" w:sz="0" w:space="0" w:color="auto"/>
      </w:divBdr>
    </w:div>
    <w:div w:id="764543750">
      <w:bodyDiv w:val="1"/>
      <w:marLeft w:val="0"/>
      <w:marRight w:val="0"/>
      <w:marTop w:val="0"/>
      <w:marBottom w:val="0"/>
      <w:divBdr>
        <w:top w:val="none" w:sz="0" w:space="0" w:color="auto"/>
        <w:left w:val="none" w:sz="0" w:space="0" w:color="auto"/>
        <w:bottom w:val="none" w:sz="0" w:space="0" w:color="auto"/>
        <w:right w:val="none" w:sz="0" w:space="0" w:color="auto"/>
      </w:divBdr>
    </w:div>
    <w:div w:id="764616322">
      <w:bodyDiv w:val="1"/>
      <w:marLeft w:val="0"/>
      <w:marRight w:val="0"/>
      <w:marTop w:val="0"/>
      <w:marBottom w:val="0"/>
      <w:divBdr>
        <w:top w:val="none" w:sz="0" w:space="0" w:color="auto"/>
        <w:left w:val="none" w:sz="0" w:space="0" w:color="auto"/>
        <w:bottom w:val="none" w:sz="0" w:space="0" w:color="auto"/>
        <w:right w:val="none" w:sz="0" w:space="0" w:color="auto"/>
      </w:divBdr>
    </w:div>
    <w:div w:id="764766374">
      <w:bodyDiv w:val="1"/>
      <w:marLeft w:val="0"/>
      <w:marRight w:val="0"/>
      <w:marTop w:val="0"/>
      <w:marBottom w:val="0"/>
      <w:divBdr>
        <w:top w:val="none" w:sz="0" w:space="0" w:color="auto"/>
        <w:left w:val="none" w:sz="0" w:space="0" w:color="auto"/>
        <w:bottom w:val="none" w:sz="0" w:space="0" w:color="auto"/>
        <w:right w:val="none" w:sz="0" w:space="0" w:color="auto"/>
      </w:divBdr>
    </w:div>
    <w:div w:id="764807921">
      <w:bodyDiv w:val="1"/>
      <w:marLeft w:val="0"/>
      <w:marRight w:val="0"/>
      <w:marTop w:val="0"/>
      <w:marBottom w:val="0"/>
      <w:divBdr>
        <w:top w:val="none" w:sz="0" w:space="0" w:color="auto"/>
        <w:left w:val="none" w:sz="0" w:space="0" w:color="auto"/>
        <w:bottom w:val="none" w:sz="0" w:space="0" w:color="auto"/>
        <w:right w:val="none" w:sz="0" w:space="0" w:color="auto"/>
      </w:divBdr>
    </w:div>
    <w:div w:id="764963343">
      <w:bodyDiv w:val="1"/>
      <w:marLeft w:val="0"/>
      <w:marRight w:val="0"/>
      <w:marTop w:val="0"/>
      <w:marBottom w:val="0"/>
      <w:divBdr>
        <w:top w:val="none" w:sz="0" w:space="0" w:color="auto"/>
        <w:left w:val="none" w:sz="0" w:space="0" w:color="auto"/>
        <w:bottom w:val="none" w:sz="0" w:space="0" w:color="auto"/>
        <w:right w:val="none" w:sz="0" w:space="0" w:color="auto"/>
      </w:divBdr>
    </w:div>
    <w:div w:id="765031315">
      <w:bodyDiv w:val="1"/>
      <w:marLeft w:val="0"/>
      <w:marRight w:val="0"/>
      <w:marTop w:val="0"/>
      <w:marBottom w:val="0"/>
      <w:divBdr>
        <w:top w:val="none" w:sz="0" w:space="0" w:color="auto"/>
        <w:left w:val="none" w:sz="0" w:space="0" w:color="auto"/>
        <w:bottom w:val="none" w:sz="0" w:space="0" w:color="auto"/>
        <w:right w:val="none" w:sz="0" w:space="0" w:color="auto"/>
      </w:divBdr>
    </w:div>
    <w:div w:id="765074505">
      <w:bodyDiv w:val="1"/>
      <w:marLeft w:val="0"/>
      <w:marRight w:val="0"/>
      <w:marTop w:val="0"/>
      <w:marBottom w:val="0"/>
      <w:divBdr>
        <w:top w:val="none" w:sz="0" w:space="0" w:color="auto"/>
        <w:left w:val="none" w:sz="0" w:space="0" w:color="auto"/>
        <w:bottom w:val="none" w:sz="0" w:space="0" w:color="auto"/>
        <w:right w:val="none" w:sz="0" w:space="0" w:color="auto"/>
      </w:divBdr>
    </w:div>
    <w:div w:id="765077569">
      <w:bodyDiv w:val="1"/>
      <w:marLeft w:val="0"/>
      <w:marRight w:val="0"/>
      <w:marTop w:val="0"/>
      <w:marBottom w:val="0"/>
      <w:divBdr>
        <w:top w:val="none" w:sz="0" w:space="0" w:color="auto"/>
        <w:left w:val="none" w:sz="0" w:space="0" w:color="auto"/>
        <w:bottom w:val="none" w:sz="0" w:space="0" w:color="auto"/>
        <w:right w:val="none" w:sz="0" w:space="0" w:color="auto"/>
      </w:divBdr>
    </w:div>
    <w:div w:id="765150415">
      <w:bodyDiv w:val="1"/>
      <w:marLeft w:val="0"/>
      <w:marRight w:val="0"/>
      <w:marTop w:val="0"/>
      <w:marBottom w:val="0"/>
      <w:divBdr>
        <w:top w:val="none" w:sz="0" w:space="0" w:color="auto"/>
        <w:left w:val="none" w:sz="0" w:space="0" w:color="auto"/>
        <w:bottom w:val="none" w:sz="0" w:space="0" w:color="auto"/>
        <w:right w:val="none" w:sz="0" w:space="0" w:color="auto"/>
      </w:divBdr>
    </w:div>
    <w:div w:id="765153612">
      <w:bodyDiv w:val="1"/>
      <w:marLeft w:val="0"/>
      <w:marRight w:val="0"/>
      <w:marTop w:val="0"/>
      <w:marBottom w:val="0"/>
      <w:divBdr>
        <w:top w:val="none" w:sz="0" w:space="0" w:color="auto"/>
        <w:left w:val="none" w:sz="0" w:space="0" w:color="auto"/>
        <w:bottom w:val="none" w:sz="0" w:space="0" w:color="auto"/>
        <w:right w:val="none" w:sz="0" w:space="0" w:color="auto"/>
      </w:divBdr>
    </w:div>
    <w:div w:id="765230578">
      <w:bodyDiv w:val="1"/>
      <w:marLeft w:val="0"/>
      <w:marRight w:val="0"/>
      <w:marTop w:val="0"/>
      <w:marBottom w:val="0"/>
      <w:divBdr>
        <w:top w:val="none" w:sz="0" w:space="0" w:color="auto"/>
        <w:left w:val="none" w:sz="0" w:space="0" w:color="auto"/>
        <w:bottom w:val="none" w:sz="0" w:space="0" w:color="auto"/>
        <w:right w:val="none" w:sz="0" w:space="0" w:color="auto"/>
      </w:divBdr>
    </w:div>
    <w:div w:id="765467314">
      <w:bodyDiv w:val="1"/>
      <w:marLeft w:val="0"/>
      <w:marRight w:val="0"/>
      <w:marTop w:val="0"/>
      <w:marBottom w:val="0"/>
      <w:divBdr>
        <w:top w:val="none" w:sz="0" w:space="0" w:color="auto"/>
        <w:left w:val="none" w:sz="0" w:space="0" w:color="auto"/>
        <w:bottom w:val="none" w:sz="0" w:space="0" w:color="auto"/>
        <w:right w:val="none" w:sz="0" w:space="0" w:color="auto"/>
      </w:divBdr>
    </w:div>
    <w:div w:id="765468199">
      <w:bodyDiv w:val="1"/>
      <w:marLeft w:val="0"/>
      <w:marRight w:val="0"/>
      <w:marTop w:val="0"/>
      <w:marBottom w:val="0"/>
      <w:divBdr>
        <w:top w:val="none" w:sz="0" w:space="0" w:color="auto"/>
        <w:left w:val="none" w:sz="0" w:space="0" w:color="auto"/>
        <w:bottom w:val="none" w:sz="0" w:space="0" w:color="auto"/>
        <w:right w:val="none" w:sz="0" w:space="0" w:color="auto"/>
      </w:divBdr>
    </w:div>
    <w:div w:id="765729210">
      <w:bodyDiv w:val="1"/>
      <w:marLeft w:val="0"/>
      <w:marRight w:val="0"/>
      <w:marTop w:val="0"/>
      <w:marBottom w:val="0"/>
      <w:divBdr>
        <w:top w:val="none" w:sz="0" w:space="0" w:color="auto"/>
        <w:left w:val="none" w:sz="0" w:space="0" w:color="auto"/>
        <w:bottom w:val="none" w:sz="0" w:space="0" w:color="auto"/>
        <w:right w:val="none" w:sz="0" w:space="0" w:color="auto"/>
      </w:divBdr>
    </w:div>
    <w:div w:id="765808692">
      <w:bodyDiv w:val="1"/>
      <w:marLeft w:val="0"/>
      <w:marRight w:val="0"/>
      <w:marTop w:val="0"/>
      <w:marBottom w:val="0"/>
      <w:divBdr>
        <w:top w:val="none" w:sz="0" w:space="0" w:color="auto"/>
        <w:left w:val="none" w:sz="0" w:space="0" w:color="auto"/>
        <w:bottom w:val="none" w:sz="0" w:space="0" w:color="auto"/>
        <w:right w:val="none" w:sz="0" w:space="0" w:color="auto"/>
      </w:divBdr>
    </w:div>
    <w:div w:id="765854523">
      <w:bodyDiv w:val="1"/>
      <w:marLeft w:val="0"/>
      <w:marRight w:val="0"/>
      <w:marTop w:val="0"/>
      <w:marBottom w:val="0"/>
      <w:divBdr>
        <w:top w:val="none" w:sz="0" w:space="0" w:color="auto"/>
        <w:left w:val="none" w:sz="0" w:space="0" w:color="auto"/>
        <w:bottom w:val="none" w:sz="0" w:space="0" w:color="auto"/>
        <w:right w:val="none" w:sz="0" w:space="0" w:color="auto"/>
      </w:divBdr>
    </w:div>
    <w:div w:id="765925887">
      <w:bodyDiv w:val="1"/>
      <w:marLeft w:val="0"/>
      <w:marRight w:val="0"/>
      <w:marTop w:val="0"/>
      <w:marBottom w:val="0"/>
      <w:divBdr>
        <w:top w:val="none" w:sz="0" w:space="0" w:color="auto"/>
        <w:left w:val="none" w:sz="0" w:space="0" w:color="auto"/>
        <w:bottom w:val="none" w:sz="0" w:space="0" w:color="auto"/>
        <w:right w:val="none" w:sz="0" w:space="0" w:color="auto"/>
      </w:divBdr>
    </w:div>
    <w:div w:id="765927203">
      <w:bodyDiv w:val="1"/>
      <w:marLeft w:val="0"/>
      <w:marRight w:val="0"/>
      <w:marTop w:val="0"/>
      <w:marBottom w:val="0"/>
      <w:divBdr>
        <w:top w:val="none" w:sz="0" w:space="0" w:color="auto"/>
        <w:left w:val="none" w:sz="0" w:space="0" w:color="auto"/>
        <w:bottom w:val="none" w:sz="0" w:space="0" w:color="auto"/>
        <w:right w:val="none" w:sz="0" w:space="0" w:color="auto"/>
      </w:divBdr>
    </w:div>
    <w:div w:id="765998812">
      <w:bodyDiv w:val="1"/>
      <w:marLeft w:val="0"/>
      <w:marRight w:val="0"/>
      <w:marTop w:val="0"/>
      <w:marBottom w:val="0"/>
      <w:divBdr>
        <w:top w:val="none" w:sz="0" w:space="0" w:color="auto"/>
        <w:left w:val="none" w:sz="0" w:space="0" w:color="auto"/>
        <w:bottom w:val="none" w:sz="0" w:space="0" w:color="auto"/>
        <w:right w:val="none" w:sz="0" w:space="0" w:color="auto"/>
      </w:divBdr>
    </w:div>
    <w:div w:id="766123803">
      <w:bodyDiv w:val="1"/>
      <w:marLeft w:val="0"/>
      <w:marRight w:val="0"/>
      <w:marTop w:val="0"/>
      <w:marBottom w:val="0"/>
      <w:divBdr>
        <w:top w:val="none" w:sz="0" w:space="0" w:color="auto"/>
        <w:left w:val="none" w:sz="0" w:space="0" w:color="auto"/>
        <w:bottom w:val="none" w:sz="0" w:space="0" w:color="auto"/>
        <w:right w:val="none" w:sz="0" w:space="0" w:color="auto"/>
      </w:divBdr>
    </w:div>
    <w:div w:id="766191343">
      <w:bodyDiv w:val="1"/>
      <w:marLeft w:val="0"/>
      <w:marRight w:val="0"/>
      <w:marTop w:val="0"/>
      <w:marBottom w:val="0"/>
      <w:divBdr>
        <w:top w:val="none" w:sz="0" w:space="0" w:color="auto"/>
        <w:left w:val="none" w:sz="0" w:space="0" w:color="auto"/>
        <w:bottom w:val="none" w:sz="0" w:space="0" w:color="auto"/>
        <w:right w:val="none" w:sz="0" w:space="0" w:color="auto"/>
      </w:divBdr>
    </w:div>
    <w:div w:id="766194849">
      <w:bodyDiv w:val="1"/>
      <w:marLeft w:val="0"/>
      <w:marRight w:val="0"/>
      <w:marTop w:val="0"/>
      <w:marBottom w:val="0"/>
      <w:divBdr>
        <w:top w:val="none" w:sz="0" w:space="0" w:color="auto"/>
        <w:left w:val="none" w:sz="0" w:space="0" w:color="auto"/>
        <w:bottom w:val="none" w:sz="0" w:space="0" w:color="auto"/>
        <w:right w:val="none" w:sz="0" w:space="0" w:color="auto"/>
      </w:divBdr>
    </w:div>
    <w:div w:id="766199116">
      <w:bodyDiv w:val="1"/>
      <w:marLeft w:val="0"/>
      <w:marRight w:val="0"/>
      <w:marTop w:val="0"/>
      <w:marBottom w:val="0"/>
      <w:divBdr>
        <w:top w:val="none" w:sz="0" w:space="0" w:color="auto"/>
        <w:left w:val="none" w:sz="0" w:space="0" w:color="auto"/>
        <w:bottom w:val="none" w:sz="0" w:space="0" w:color="auto"/>
        <w:right w:val="none" w:sz="0" w:space="0" w:color="auto"/>
      </w:divBdr>
    </w:div>
    <w:div w:id="766268787">
      <w:bodyDiv w:val="1"/>
      <w:marLeft w:val="0"/>
      <w:marRight w:val="0"/>
      <w:marTop w:val="0"/>
      <w:marBottom w:val="0"/>
      <w:divBdr>
        <w:top w:val="none" w:sz="0" w:space="0" w:color="auto"/>
        <w:left w:val="none" w:sz="0" w:space="0" w:color="auto"/>
        <w:bottom w:val="none" w:sz="0" w:space="0" w:color="auto"/>
        <w:right w:val="none" w:sz="0" w:space="0" w:color="auto"/>
      </w:divBdr>
    </w:div>
    <w:div w:id="766314747">
      <w:bodyDiv w:val="1"/>
      <w:marLeft w:val="0"/>
      <w:marRight w:val="0"/>
      <w:marTop w:val="0"/>
      <w:marBottom w:val="0"/>
      <w:divBdr>
        <w:top w:val="none" w:sz="0" w:space="0" w:color="auto"/>
        <w:left w:val="none" w:sz="0" w:space="0" w:color="auto"/>
        <w:bottom w:val="none" w:sz="0" w:space="0" w:color="auto"/>
        <w:right w:val="none" w:sz="0" w:space="0" w:color="auto"/>
      </w:divBdr>
    </w:div>
    <w:div w:id="766343708">
      <w:bodyDiv w:val="1"/>
      <w:marLeft w:val="0"/>
      <w:marRight w:val="0"/>
      <w:marTop w:val="0"/>
      <w:marBottom w:val="0"/>
      <w:divBdr>
        <w:top w:val="none" w:sz="0" w:space="0" w:color="auto"/>
        <w:left w:val="none" w:sz="0" w:space="0" w:color="auto"/>
        <w:bottom w:val="none" w:sz="0" w:space="0" w:color="auto"/>
        <w:right w:val="none" w:sz="0" w:space="0" w:color="auto"/>
      </w:divBdr>
    </w:div>
    <w:div w:id="766344643">
      <w:bodyDiv w:val="1"/>
      <w:marLeft w:val="0"/>
      <w:marRight w:val="0"/>
      <w:marTop w:val="0"/>
      <w:marBottom w:val="0"/>
      <w:divBdr>
        <w:top w:val="none" w:sz="0" w:space="0" w:color="auto"/>
        <w:left w:val="none" w:sz="0" w:space="0" w:color="auto"/>
        <w:bottom w:val="none" w:sz="0" w:space="0" w:color="auto"/>
        <w:right w:val="none" w:sz="0" w:space="0" w:color="auto"/>
      </w:divBdr>
    </w:div>
    <w:div w:id="766383417">
      <w:bodyDiv w:val="1"/>
      <w:marLeft w:val="0"/>
      <w:marRight w:val="0"/>
      <w:marTop w:val="0"/>
      <w:marBottom w:val="0"/>
      <w:divBdr>
        <w:top w:val="none" w:sz="0" w:space="0" w:color="auto"/>
        <w:left w:val="none" w:sz="0" w:space="0" w:color="auto"/>
        <w:bottom w:val="none" w:sz="0" w:space="0" w:color="auto"/>
        <w:right w:val="none" w:sz="0" w:space="0" w:color="auto"/>
      </w:divBdr>
    </w:div>
    <w:div w:id="766391696">
      <w:bodyDiv w:val="1"/>
      <w:marLeft w:val="0"/>
      <w:marRight w:val="0"/>
      <w:marTop w:val="0"/>
      <w:marBottom w:val="0"/>
      <w:divBdr>
        <w:top w:val="none" w:sz="0" w:space="0" w:color="auto"/>
        <w:left w:val="none" w:sz="0" w:space="0" w:color="auto"/>
        <w:bottom w:val="none" w:sz="0" w:space="0" w:color="auto"/>
        <w:right w:val="none" w:sz="0" w:space="0" w:color="auto"/>
      </w:divBdr>
    </w:div>
    <w:div w:id="766392922">
      <w:bodyDiv w:val="1"/>
      <w:marLeft w:val="0"/>
      <w:marRight w:val="0"/>
      <w:marTop w:val="0"/>
      <w:marBottom w:val="0"/>
      <w:divBdr>
        <w:top w:val="none" w:sz="0" w:space="0" w:color="auto"/>
        <w:left w:val="none" w:sz="0" w:space="0" w:color="auto"/>
        <w:bottom w:val="none" w:sz="0" w:space="0" w:color="auto"/>
        <w:right w:val="none" w:sz="0" w:space="0" w:color="auto"/>
      </w:divBdr>
    </w:div>
    <w:div w:id="766460673">
      <w:bodyDiv w:val="1"/>
      <w:marLeft w:val="0"/>
      <w:marRight w:val="0"/>
      <w:marTop w:val="0"/>
      <w:marBottom w:val="0"/>
      <w:divBdr>
        <w:top w:val="none" w:sz="0" w:space="0" w:color="auto"/>
        <w:left w:val="none" w:sz="0" w:space="0" w:color="auto"/>
        <w:bottom w:val="none" w:sz="0" w:space="0" w:color="auto"/>
        <w:right w:val="none" w:sz="0" w:space="0" w:color="auto"/>
      </w:divBdr>
    </w:div>
    <w:div w:id="766539527">
      <w:bodyDiv w:val="1"/>
      <w:marLeft w:val="0"/>
      <w:marRight w:val="0"/>
      <w:marTop w:val="0"/>
      <w:marBottom w:val="0"/>
      <w:divBdr>
        <w:top w:val="none" w:sz="0" w:space="0" w:color="auto"/>
        <w:left w:val="none" w:sz="0" w:space="0" w:color="auto"/>
        <w:bottom w:val="none" w:sz="0" w:space="0" w:color="auto"/>
        <w:right w:val="none" w:sz="0" w:space="0" w:color="auto"/>
      </w:divBdr>
    </w:div>
    <w:div w:id="766659917">
      <w:bodyDiv w:val="1"/>
      <w:marLeft w:val="0"/>
      <w:marRight w:val="0"/>
      <w:marTop w:val="0"/>
      <w:marBottom w:val="0"/>
      <w:divBdr>
        <w:top w:val="none" w:sz="0" w:space="0" w:color="auto"/>
        <w:left w:val="none" w:sz="0" w:space="0" w:color="auto"/>
        <w:bottom w:val="none" w:sz="0" w:space="0" w:color="auto"/>
        <w:right w:val="none" w:sz="0" w:space="0" w:color="auto"/>
      </w:divBdr>
    </w:div>
    <w:div w:id="766734386">
      <w:bodyDiv w:val="1"/>
      <w:marLeft w:val="0"/>
      <w:marRight w:val="0"/>
      <w:marTop w:val="0"/>
      <w:marBottom w:val="0"/>
      <w:divBdr>
        <w:top w:val="none" w:sz="0" w:space="0" w:color="auto"/>
        <w:left w:val="none" w:sz="0" w:space="0" w:color="auto"/>
        <w:bottom w:val="none" w:sz="0" w:space="0" w:color="auto"/>
        <w:right w:val="none" w:sz="0" w:space="0" w:color="auto"/>
      </w:divBdr>
    </w:div>
    <w:div w:id="766848010">
      <w:bodyDiv w:val="1"/>
      <w:marLeft w:val="0"/>
      <w:marRight w:val="0"/>
      <w:marTop w:val="0"/>
      <w:marBottom w:val="0"/>
      <w:divBdr>
        <w:top w:val="none" w:sz="0" w:space="0" w:color="auto"/>
        <w:left w:val="none" w:sz="0" w:space="0" w:color="auto"/>
        <w:bottom w:val="none" w:sz="0" w:space="0" w:color="auto"/>
        <w:right w:val="none" w:sz="0" w:space="0" w:color="auto"/>
      </w:divBdr>
    </w:div>
    <w:div w:id="766925279">
      <w:bodyDiv w:val="1"/>
      <w:marLeft w:val="0"/>
      <w:marRight w:val="0"/>
      <w:marTop w:val="0"/>
      <w:marBottom w:val="0"/>
      <w:divBdr>
        <w:top w:val="none" w:sz="0" w:space="0" w:color="auto"/>
        <w:left w:val="none" w:sz="0" w:space="0" w:color="auto"/>
        <w:bottom w:val="none" w:sz="0" w:space="0" w:color="auto"/>
        <w:right w:val="none" w:sz="0" w:space="0" w:color="auto"/>
      </w:divBdr>
    </w:div>
    <w:div w:id="767041126">
      <w:bodyDiv w:val="1"/>
      <w:marLeft w:val="0"/>
      <w:marRight w:val="0"/>
      <w:marTop w:val="0"/>
      <w:marBottom w:val="0"/>
      <w:divBdr>
        <w:top w:val="none" w:sz="0" w:space="0" w:color="auto"/>
        <w:left w:val="none" w:sz="0" w:space="0" w:color="auto"/>
        <w:bottom w:val="none" w:sz="0" w:space="0" w:color="auto"/>
        <w:right w:val="none" w:sz="0" w:space="0" w:color="auto"/>
      </w:divBdr>
    </w:div>
    <w:div w:id="767119034">
      <w:bodyDiv w:val="1"/>
      <w:marLeft w:val="0"/>
      <w:marRight w:val="0"/>
      <w:marTop w:val="0"/>
      <w:marBottom w:val="0"/>
      <w:divBdr>
        <w:top w:val="none" w:sz="0" w:space="0" w:color="auto"/>
        <w:left w:val="none" w:sz="0" w:space="0" w:color="auto"/>
        <w:bottom w:val="none" w:sz="0" w:space="0" w:color="auto"/>
        <w:right w:val="none" w:sz="0" w:space="0" w:color="auto"/>
      </w:divBdr>
    </w:div>
    <w:div w:id="767310151">
      <w:bodyDiv w:val="1"/>
      <w:marLeft w:val="0"/>
      <w:marRight w:val="0"/>
      <w:marTop w:val="0"/>
      <w:marBottom w:val="0"/>
      <w:divBdr>
        <w:top w:val="none" w:sz="0" w:space="0" w:color="auto"/>
        <w:left w:val="none" w:sz="0" w:space="0" w:color="auto"/>
        <w:bottom w:val="none" w:sz="0" w:space="0" w:color="auto"/>
        <w:right w:val="none" w:sz="0" w:space="0" w:color="auto"/>
      </w:divBdr>
    </w:div>
    <w:div w:id="767389549">
      <w:bodyDiv w:val="1"/>
      <w:marLeft w:val="0"/>
      <w:marRight w:val="0"/>
      <w:marTop w:val="0"/>
      <w:marBottom w:val="0"/>
      <w:divBdr>
        <w:top w:val="none" w:sz="0" w:space="0" w:color="auto"/>
        <w:left w:val="none" w:sz="0" w:space="0" w:color="auto"/>
        <w:bottom w:val="none" w:sz="0" w:space="0" w:color="auto"/>
        <w:right w:val="none" w:sz="0" w:space="0" w:color="auto"/>
      </w:divBdr>
    </w:div>
    <w:div w:id="767504436">
      <w:bodyDiv w:val="1"/>
      <w:marLeft w:val="0"/>
      <w:marRight w:val="0"/>
      <w:marTop w:val="0"/>
      <w:marBottom w:val="0"/>
      <w:divBdr>
        <w:top w:val="none" w:sz="0" w:space="0" w:color="auto"/>
        <w:left w:val="none" w:sz="0" w:space="0" w:color="auto"/>
        <w:bottom w:val="none" w:sz="0" w:space="0" w:color="auto"/>
        <w:right w:val="none" w:sz="0" w:space="0" w:color="auto"/>
      </w:divBdr>
    </w:div>
    <w:div w:id="767579111">
      <w:bodyDiv w:val="1"/>
      <w:marLeft w:val="0"/>
      <w:marRight w:val="0"/>
      <w:marTop w:val="0"/>
      <w:marBottom w:val="0"/>
      <w:divBdr>
        <w:top w:val="none" w:sz="0" w:space="0" w:color="auto"/>
        <w:left w:val="none" w:sz="0" w:space="0" w:color="auto"/>
        <w:bottom w:val="none" w:sz="0" w:space="0" w:color="auto"/>
        <w:right w:val="none" w:sz="0" w:space="0" w:color="auto"/>
      </w:divBdr>
    </w:div>
    <w:div w:id="767624388">
      <w:bodyDiv w:val="1"/>
      <w:marLeft w:val="0"/>
      <w:marRight w:val="0"/>
      <w:marTop w:val="0"/>
      <w:marBottom w:val="0"/>
      <w:divBdr>
        <w:top w:val="none" w:sz="0" w:space="0" w:color="auto"/>
        <w:left w:val="none" w:sz="0" w:space="0" w:color="auto"/>
        <w:bottom w:val="none" w:sz="0" w:space="0" w:color="auto"/>
        <w:right w:val="none" w:sz="0" w:space="0" w:color="auto"/>
      </w:divBdr>
    </w:div>
    <w:div w:id="767627126">
      <w:bodyDiv w:val="1"/>
      <w:marLeft w:val="0"/>
      <w:marRight w:val="0"/>
      <w:marTop w:val="0"/>
      <w:marBottom w:val="0"/>
      <w:divBdr>
        <w:top w:val="none" w:sz="0" w:space="0" w:color="auto"/>
        <w:left w:val="none" w:sz="0" w:space="0" w:color="auto"/>
        <w:bottom w:val="none" w:sz="0" w:space="0" w:color="auto"/>
        <w:right w:val="none" w:sz="0" w:space="0" w:color="auto"/>
      </w:divBdr>
    </w:div>
    <w:div w:id="767652952">
      <w:bodyDiv w:val="1"/>
      <w:marLeft w:val="0"/>
      <w:marRight w:val="0"/>
      <w:marTop w:val="0"/>
      <w:marBottom w:val="0"/>
      <w:divBdr>
        <w:top w:val="none" w:sz="0" w:space="0" w:color="auto"/>
        <w:left w:val="none" w:sz="0" w:space="0" w:color="auto"/>
        <w:bottom w:val="none" w:sz="0" w:space="0" w:color="auto"/>
        <w:right w:val="none" w:sz="0" w:space="0" w:color="auto"/>
      </w:divBdr>
    </w:div>
    <w:div w:id="767700551">
      <w:bodyDiv w:val="1"/>
      <w:marLeft w:val="0"/>
      <w:marRight w:val="0"/>
      <w:marTop w:val="0"/>
      <w:marBottom w:val="0"/>
      <w:divBdr>
        <w:top w:val="none" w:sz="0" w:space="0" w:color="auto"/>
        <w:left w:val="none" w:sz="0" w:space="0" w:color="auto"/>
        <w:bottom w:val="none" w:sz="0" w:space="0" w:color="auto"/>
        <w:right w:val="none" w:sz="0" w:space="0" w:color="auto"/>
      </w:divBdr>
    </w:div>
    <w:div w:id="767771484">
      <w:bodyDiv w:val="1"/>
      <w:marLeft w:val="0"/>
      <w:marRight w:val="0"/>
      <w:marTop w:val="0"/>
      <w:marBottom w:val="0"/>
      <w:divBdr>
        <w:top w:val="none" w:sz="0" w:space="0" w:color="auto"/>
        <w:left w:val="none" w:sz="0" w:space="0" w:color="auto"/>
        <w:bottom w:val="none" w:sz="0" w:space="0" w:color="auto"/>
        <w:right w:val="none" w:sz="0" w:space="0" w:color="auto"/>
      </w:divBdr>
    </w:div>
    <w:div w:id="767776674">
      <w:bodyDiv w:val="1"/>
      <w:marLeft w:val="0"/>
      <w:marRight w:val="0"/>
      <w:marTop w:val="0"/>
      <w:marBottom w:val="0"/>
      <w:divBdr>
        <w:top w:val="none" w:sz="0" w:space="0" w:color="auto"/>
        <w:left w:val="none" w:sz="0" w:space="0" w:color="auto"/>
        <w:bottom w:val="none" w:sz="0" w:space="0" w:color="auto"/>
        <w:right w:val="none" w:sz="0" w:space="0" w:color="auto"/>
      </w:divBdr>
    </w:div>
    <w:div w:id="767776928">
      <w:bodyDiv w:val="1"/>
      <w:marLeft w:val="0"/>
      <w:marRight w:val="0"/>
      <w:marTop w:val="0"/>
      <w:marBottom w:val="0"/>
      <w:divBdr>
        <w:top w:val="none" w:sz="0" w:space="0" w:color="auto"/>
        <w:left w:val="none" w:sz="0" w:space="0" w:color="auto"/>
        <w:bottom w:val="none" w:sz="0" w:space="0" w:color="auto"/>
        <w:right w:val="none" w:sz="0" w:space="0" w:color="auto"/>
      </w:divBdr>
    </w:div>
    <w:div w:id="767970501">
      <w:bodyDiv w:val="1"/>
      <w:marLeft w:val="0"/>
      <w:marRight w:val="0"/>
      <w:marTop w:val="0"/>
      <w:marBottom w:val="0"/>
      <w:divBdr>
        <w:top w:val="none" w:sz="0" w:space="0" w:color="auto"/>
        <w:left w:val="none" w:sz="0" w:space="0" w:color="auto"/>
        <w:bottom w:val="none" w:sz="0" w:space="0" w:color="auto"/>
        <w:right w:val="none" w:sz="0" w:space="0" w:color="auto"/>
      </w:divBdr>
    </w:div>
    <w:div w:id="768046676">
      <w:bodyDiv w:val="1"/>
      <w:marLeft w:val="0"/>
      <w:marRight w:val="0"/>
      <w:marTop w:val="0"/>
      <w:marBottom w:val="0"/>
      <w:divBdr>
        <w:top w:val="none" w:sz="0" w:space="0" w:color="auto"/>
        <w:left w:val="none" w:sz="0" w:space="0" w:color="auto"/>
        <w:bottom w:val="none" w:sz="0" w:space="0" w:color="auto"/>
        <w:right w:val="none" w:sz="0" w:space="0" w:color="auto"/>
      </w:divBdr>
    </w:div>
    <w:div w:id="768089054">
      <w:bodyDiv w:val="1"/>
      <w:marLeft w:val="0"/>
      <w:marRight w:val="0"/>
      <w:marTop w:val="0"/>
      <w:marBottom w:val="0"/>
      <w:divBdr>
        <w:top w:val="none" w:sz="0" w:space="0" w:color="auto"/>
        <w:left w:val="none" w:sz="0" w:space="0" w:color="auto"/>
        <w:bottom w:val="none" w:sz="0" w:space="0" w:color="auto"/>
        <w:right w:val="none" w:sz="0" w:space="0" w:color="auto"/>
      </w:divBdr>
    </w:div>
    <w:div w:id="768232795">
      <w:bodyDiv w:val="1"/>
      <w:marLeft w:val="0"/>
      <w:marRight w:val="0"/>
      <w:marTop w:val="0"/>
      <w:marBottom w:val="0"/>
      <w:divBdr>
        <w:top w:val="none" w:sz="0" w:space="0" w:color="auto"/>
        <w:left w:val="none" w:sz="0" w:space="0" w:color="auto"/>
        <w:bottom w:val="none" w:sz="0" w:space="0" w:color="auto"/>
        <w:right w:val="none" w:sz="0" w:space="0" w:color="auto"/>
      </w:divBdr>
    </w:div>
    <w:div w:id="768279992">
      <w:bodyDiv w:val="1"/>
      <w:marLeft w:val="0"/>
      <w:marRight w:val="0"/>
      <w:marTop w:val="0"/>
      <w:marBottom w:val="0"/>
      <w:divBdr>
        <w:top w:val="none" w:sz="0" w:space="0" w:color="auto"/>
        <w:left w:val="none" w:sz="0" w:space="0" w:color="auto"/>
        <w:bottom w:val="none" w:sz="0" w:space="0" w:color="auto"/>
        <w:right w:val="none" w:sz="0" w:space="0" w:color="auto"/>
      </w:divBdr>
    </w:div>
    <w:div w:id="768282012">
      <w:bodyDiv w:val="1"/>
      <w:marLeft w:val="0"/>
      <w:marRight w:val="0"/>
      <w:marTop w:val="0"/>
      <w:marBottom w:val="0"/>
      <w:divBdr>
        <w:top w:val="none" w:sz="0" w:space="0" w:color="auto"/>
        <w:left w:val="none" w:sz="0" w:space="0" w:color="auto"/>
        <w:bottom w:val="none" w:sz="0" w:space="0" w:color="auto"/>
        <w:right w:val="none" w:sz="0" w:space="0" w:color="auto"/>
      </w:divBdr>
    </w:div>
    <w:div w:id="768282970">
      <w:bodyDiv w:val="1"/>
      <w:marLeft w:val="0"/>
      <w:marRight w:val="0"/>
      <w:marTop w:val="0"/>
      <w:marBottom w:val="0"/>
      <w:divBdr>
        <w:top w:val="none" w:sz="0" w:space="0" w:color="auto"/>
        <w:left w:val="none" w:sz="0" w:space="0" w:color="auto"/>
        <w:bottom w:val="none" w:sz="0" w:space="0" w:color="auto"/>
        <w:right w:val="none" w:sz="0" w:space="0" w:color="auto"/>
      </w:divBdr>
    </w:div>
    <w:div w:id="768355653">
      <w:bodyDiv w:val="1"/>
      <w:marLeft w:val="0"/>
      <w:marRight w:val="0"/>
      <w:marTop w:val="0"/>
      <w:marBottom w:val="0"/>
      <w:divBdr>
        <w:top w:val="none" w:sz="0" w:space="0" w:color="auto"/>
        <w:left w:val="none" w:sz="0" w:space="0" w:color="auto"/>
        <w:bottom w:val="none" w:sz="0" w:space="0" w:color="auto"/>
        <w:right w:val="none" w:sz="0" w:space="0" w:color="auto"/>
      </w:divBdr>
    </w:div>
    <w:div w:id="768427304">
      <w:bodyDiv w:val="1"/>
      <w:marLeft w:val="0"/>
      <w:marRight w:val="0"/>
      <w:marTop w:val="0"/>
      <w:marBottom w:val="0"/>
      <w:divBdr>
        <w:top w:val="none" w:sz="0" w:space="0" w:color="auto"/>
        <w:left w:val="none" w:sz="0" w:space="0" w:color="auto"/>
        <w:bottom w:val="none" w:sz="0" w:space="0" w:color="auto"/>
        <w:right w:val="none" w:sz="0" w:space="0" w:color="auto"/>
      </w:divBdr>
    </w:div>
    <w:div w:id="768551736">
      <w:bodyDiv w:val="1"/>
      <w:marLeft w:val="0"/>
      <w:marRight w:val="0"/>
      <w:marTop w:val="0"/>
      <w:marBottom w:val="0"/>
      <w:divBdr>
        <w:top w:val="none" w:sz="0" w:space="0" w:color="auto"/>
        <w:left w:val="none" w:sz="0" w:space="0" w:color="auto"/>
        <w:bottom w:val="none" w:sz="0" w:space="0" w:color="auto"/>
        <w:right w:val="none" w:sz="0" w:space="0" w:color="auto"/>
      </w:divBdr>
    </w:div>
    <w:div w:id="768624747">
      <w:bodyDiv w:val="1"/>
      <w:marLeft w:val="0"/>
      <w:marRight w:val="0"/>
      <w:marTop w:val="0"/>
      <w:marBottom w:val="0"/>
      <w:divBdr>
        <w:top w:val="none" w:sz="0" w:space="0" w:color="auto"/>
        <w:left w:val="none" w:sz="0" w:space="0" w:color="auto"/>
        <w:bottom w:val="none" w:sz="0" w:space="0" w:color="auto"/>
        <w:right w:val="none" w:sz="0" w:space="0" w:color="auto"/>
      </w:divBdr>
    </w:div>
    <w:div w:id="768744127">
      <w:bodyDiv w:val="1"/>
      <w:marLeft w:val="0"/>
      <w:marRight w:val="0"/>
      <w:marTop w:val="0"/>
      <w:marBottom w:val="0"/>
      <w:divBdr>
        <w:top w:val="none" w:sz="0" w:space="0" w:color="auto"/>
        <w:left w:val="none" w:sz="0" w:space="0" w:color="auto"/>
        <w:bottom w:val="none" w:sz="0" w:space="0" w:color="auto"/>
        <w:right w:val="none" w:sz="0" w:space="0" w:color="auto"/>
      </w:divBdr>
    </w:div>
    <w:div w:id="768889460">
      <w:bodyDiv w:val="1"/>
      <w:marLeft w:val="0"/>
      <w:marRight w:val="0"/>
      <w:marTop w:val="0"/>
      <w:marBottom w:val="0"/>
      <w:divBdr>
        <w:top w:val="none" w:sz="0" w:space="0" w:color="auto"/>
        <w:left w:val="none" w:sz="0" w:space="0" w:color="auto"/>
        <w:bottom w:val="none" w:sz="0" w:space="0" w:color="auto"/>
        <w:right w:val="none" w:sz="0" w:space="0" w:color="auto"/>
      </w:divBdr>
    </w:div>
    <w:div w:id="768891337">
      <w:bodyDiv w:val="1"/>
      <w:marLeft w:val="0"/>
      <w:marRight w:val="0"/>
      <w:marTop w:val="0"/>
      <w:marBottom w:val="0"/>
      <w:divBdr>
        <w:top w:val="none" w:sz="0" w:space="0" w:color="auto"/>
        <w:left w:val="none" w:sz="0" w:space="0" w:color="auto"/>
        <w:bottom w:val="none" w:sz="0" w:space="0" w:color="auto"/>
        <w:right w:val="none" w:sz="0" w:space="0" w:color="auto"/>
      </w:divBdr>
    </w:div>
    <w:div w:id="769083240">
      <w:bodyDiv w:val="1"/>
      <w:marLeft w:val="0"/>
      <w:marRight w:val="0"/>
      <w:marTop w:val="0"/>
      <w:marBottom w:val="0"/>
      <w:divBdr>
        <w:top w:val="none" w:sz="0" w:space="0" w:color="auto"/>
        <w:left w:val="none" w:sz="0" w:space="0" w:color="auto"/>
        <w:bottom w:val="none" w:sz="0" w:space="0" w:color="auto"/>
        <w:right w:val="none" w:sz="0" w:space="0" w:color="auto"/>
      </w:divBdr>
    </w:div>
    <w:div w:id="769157110">
      <w:bodyDiv w:val="1"/>
      <w:marLeft w:val="0"/>
      <w:marRight w:val="0"/>
      <w:marTop w:val="0"/>
      <w:marBottom w:val="0"/>
      <w:divBdr>
        <w:top w:val="none" w:sz="0" w:space="0" w:color="auto"/>
        <w:left w:val="none" w:sz="0" w:space="0" w:color="auto"/>
        <w:bottom w:val="none" w:sz="0" w:space="0" w:color="auto"/>
        <w:right w:val="none" w:sz="0" w:space="0" w:color="auto"/>
      </w:divBdr>
    </w:div>
    <w:div w:id="769161802">
      <w:bodyDiv w:val="1"/>
      <w:marLeft w:val="0"/>
      <w:marRight w:val="0"/>
      <w:marTop w:val="0"/>
      <w:marBottom w:val="0"/>
      <w:divBdr>
        <w:top w:val="none" w:sz="0" w:space="0" w:color="auto"/>
        <w:left w:val="none" w:sz="0" w:space="0" w:color="auto"/>
        <w:bottom w:val="none" w:sz="0" w:space="0" w:color="auto"/>
        <w:right w:val="none" w:sz="0" w:space="0" w:color="auto"/>
      </w:divBdr>
    </w:div>
    <w:div w:id="769278428">
      <w:bodyDiv w:val="1"/>
      <w:marLeft w:val="0"/>
      <w:marRight w:val="0"/>
      <w:marTop w:val="0"/>
      <w:marBottom w:val="0"/>
      <w:divBdr>
        <w:top w:val="none" w:sz="0" w:space="0" w:color="auto"/>
        <w:left w:val="none" w:sz="0" w:space="0" w:color="auto"/>
        <w:bottom w:val="none" w:sz="0" w:space="0" w:color="auto"/>
        <w:right w:val="none" w:sz="0" w:space="0" w:color="auto"/>
      </w:divBdr>
    </w:div>
    <w:div w:id="769475065">
      <w:bodyDiv w:val="1"/>
      <w:marLeft w:val="0"/>
      <w:marRight w:val="0"/>
      <w:marTop w:val="0"/>
      <w:marBottom w:val="0"/>
      <w:divBdr>
        <w:top w:val="none" w:sz="0" w:space="0" w:color="auto"/>
        <w:left w:val="none" w:sz="0" w:space="0" w:color="auto"/>
        <w:bottom w:val="none" w:sz="0" w:space="0" w:color="auto"/>
        <w:right w:val="none" w:sz="0" w:space="0" w:color="auto"/>
      </w:divBdr>
    </w:div>
    <w:div w:id="769617232">
      <w:bodyDiv w:val="1"/>
      <w:marLeft w:val="0"/>
      <w:marRight w:val="0"/>
      <w:marTop w:val="0"/>
      <w:marBottom w:val="0"/>
      <w:divBdr>
        <w:top w:val="none" w:sz="0" w:space="0" w:color="auto"/>
        <w:left w:val="none" w:sz="0" w:space="0" w:color="auto"/>
        <w:bottom w:val="none" w:sz="0" w:space="0" w:color="auto"/>
        <w:right w:val="none" w:sz="0" w:space="0" w:color="auto"/>
      </w:divBdr>
    </w:div>
    <w:div w:id="769740984">
      <w:bodyDiv w:val="1"/>
      <w:marLeft w:val="0"/>
      <w:marRight w:val="0"/>
      <w:marTop w:val="0"/>
      <w:marBottom w:val="0"/>
      <w:divBdr>
        <w:top w:val="none" w:sz="0" w:space="0" w:color="auto"/>
        <w:left w:val="none" w:sz="0" w:space="0" w:color="auto"/>
        <w:bottom w:val="none" w:sz="0" w:space="0" w:color="auto"/>
        <w:right w:val="none" w:sz="0" w:space="0" w:color="auto"/>
      </w:divBdr>
    </w:div>
    <w:div w:id="769818193">
      <w:bodyDiv w:val="1"/>
      <w:marLeft w:val="0"/>
      <w:marRight w:val="0"/>
      <w:marTop w:val="0"/>
      <w:marBottom w:val="0"/>
      <w:divBdr>
        <w:top w:val="none" w:sz="0" w:space="0" w:color="auto"/>
        <w:left w:val="none" w:sz="0" w:space="0" w:color="auto"/>
        <w:bottom w:val="none" w:sz="0" w:space="0" w:color="auto"/>
        <w:right w:val="none" w:sz="0" w:space="0" w:color="auto"/>
      </w:divBdr>
    </w:div>
    <w:div w:id="769859642">
      <w:bodyDiv w:val="1"/>
      <w:marLeft w:val="0"/>
      <w:marRight w:val="0"/>
      <w:marTop w:val="0"/>
      <w:marBottom w:val="0"/>
      <w:divBdr>
        <w:top w:val="none" w:sz="0" w:space="0" w:color="auto"/>
        <w:left w:val="none" w:sz="0" w:space="0" w:color="auto"/>
        <w:bottom w:val="none" w:sz="0" w:space="0" w:color="auto"/>
        <w:right w:val="none" w:sz="0" w:space="0" w:color="auto"/>
      </w:divBdr>
    </w:div>
    <w:div w:id="769929789">
      <w:bodyDiv w:val="1"/>
      <w:marLeft w:val="0"/>
      <w:marRight w:val="0"/>
      <w:marTop w:val="0"/>
      <w:marBottom w:val="0"/>
      <w:divBdr>
        <w:top w:val="none" w:sz="0" w:space="0" w:color="auto"/>
        <w:left w:val="none" w:sz="0" w:space="0" w:color="auto"/>
        <w:bottom w:val="none" w:sz="0" w:space="0" w:color="auto"/>
        <w:right w:val="none" w:sz="0" w:space="0" w:color="auto"/>
      </w:divBdr>
    </w:div>
    <w:div w:id="770051702">
      <w:bodyDiv w:val="1"/>
      <w:marLeft w:val="0"/>
      <w:marRight w:val="0"/>
      <w:marTop w:val="0"/>
      <w:marBottom w:val="0"/>
      <w:divBdr>
        <w:top w:val="none" w:sz="0" w:space="0" w:color="auto"/>
        <w:left w:val="none" w:sz="0" w:space="0" w:color="auto"/>
        <w:bottom w:val="none" w:sz="0" w:space="0" w:color="auto"/>
        <w:right w:val="none" w:sz="0" w:space="0" w:color="auto"/>
      </w:divBdr>
    </w:div>
    <w:div w:id="770128424">
      <w:bodyDiv w:val="1"/>
      <w:marLeft w:val="0"/>
      <w:marRight w:val="0"/>
      <w:marTop w:val="0"/>
      <w:marBottom w:val="0"/>
      <w:divBdr>
        <w:top w:val="none" w:sz="0" w:space="0" w:color="auto"/>
        <w:left w:val="none" w:sz="0" w:space="0" w:color="auto"/>
        <w:bottom w:val="none" w:sz="0" w:space="0" w:color="auto"/>
        <w:right w:val="none" w:sz="0" w:space="0" w:color="auto"/>
      </w:divBdr>
    </w:div>
    <w:div w:id="770206263">
      <w:bodyDiv w:val="1"/>
      <w:marLeft w:val="0"/>
      <w:marRight w:val="0"/>
      <w:marTop w:val="0"/>
      <w:marBottom w:val="0"/>
      <w:divBdr>
        <w:top w:val="none" w:sz="0" w:space="0" w:color="auto"/>
        <w:left w:val="none" w:sz="0" w:space="0" w:color="auto"/>
        <w:bottom w:val="none" w:sz="0" w:space="0" w:color="auto"/>
        <w:right w:val="none" w:sz="0" w:space="0" w:color="auto"/>
      </w:divBdr>
    </w:div>
    <w:div w:id="770206482">
      <w:bodyDiv w:val="1"/>
      <w:marLeft w:val="0"/>
      <w:marRight w:val="0"/>
      <w:marTop w:val="0"/>
      <w:marBottom w:val="0"/>
      <w:divBdr>
        <w:top w:val="none" w:sz="0" w:space="0" w:color="auto"/>
        <w:left w:val="none" w:sz="0" w:space="0" w:color="auto"/>
        <w:bottom w:val="none" w:sz="0" w:space="0" w:color="auto"/>
        <w:right w:val="none" w:sz="0" w:space="0" w:color="auto"/>
      </w:divBdr>
    </w:div>
    <w:div w:id="770248970">
      <w:bodyDiv w:val="1"/>
      <w:marLeft w:val="0"/>
      <w:marRight w:val="0"/>
      <w:marTop w:val="0"/>
      <w:marBottom w:val="0"/>
      <w:divBdr>
        <w:top w:val="none" w:sz="0" w:space="0" w:color="auto"/>
        <w:left w:val="none" w:sz="0" w:space="0" w:color="auto"/>
        <w:bottom w:val="none" w:sz="0" w:space="0" w:color="auto"/>
        <w:right w:val="none" w:sz="0" w:space="0" w:color="auto"/>
      </w:divBdr>
    </w:div>
    <w:div w:id="770273424">
      <w:bodyDiv w:val="1"/>
      <w:marLeft w:val="0"/>
      <w:marRight w:val="0"/>
      <w:marTop w:val="0"/>
      <w:marBottom w:val="0"/>
      <w:divBdr>
        <w:top w:val="none" w:sz="0" w:space="0" w:color="auto"/>
        <w:left w:val="none" w:sz="0" w:space="0" w:color="auto"/>
        <w:bottom w:val="none" w:sz="0" w:space="0" w:color="auto"/>
        <w:right w:val="none" w:sz="0" w:space="0" w:color="auto"/>
      </w:divBdr>
    </w:div>
    <w:div w:id="770274874">
      <w:bodyDiv w:val="1"/>
      <w:marLeft w:val="0"/>
      <w:marRight w:val="0"/>
      <w:marTop w:val="0"/>
      <w:marBottom w:val="0"/>
      <w:divBdr>
        <w:top w:val="none" w:sz="0" w:space="0" w:color="auto"/>
        <w:left w:val="none" w:sz="0" w:space="0" w:color="auto"/>
        <w:bottom w:val="none" w:sz="0" w:space="0" w:color="auto"/>
        <w:right w:val="none" w:sz="0" w:space="0" w:color="auto"/>
      </w:divBdr>
    </w:div>
    <w:div w:id="770316895">
      <w:bodyDiv w:val="1"/>
      <w:marLeft w:val="0"/>
      <w:marRight w:val="0"/>
      <w:marTop w:val="0"/>
      <w:marBottom w:val="0"/>
      <w:divBdr>
        <w:top w:val="none" w:sz="0" w:space="0" w:color="auto"/>
        <w:left w:val="none" w:sz="0" w:space="0" w:color="auto"/>
        <w:bottom w:val="none" w:sz="0" w:space="0" w:color="auto"/>
        <w:right w:val="none" w:sz="0" w:space="0" w:color="auto"/>
      </w:divBdr>
    </w:div>
    <w:div w:id="770585931">
      <w:bodyDiv w:val="1"/>
      <w:marLeft w:val="0"/>
      <w:marRight w:val="0"/>
      <w:marTop w:val="0"/>
      <w:marBottom w:val="0"/>
      <w:divBdr>
        <w:top w:val="none" w:sz="0" w:space="0" w:color="auto"/>
        <w:left w:val="none" w:sz="0" w:space="0" w:color="auto"/>
        <w:bottom w:val="none" w:sz="0" w:space="0" w:color="auto"/>
        <w:right w:val="none" w:sz="0" w:space="0" w:color="auto"/>
      </w:divBdr>
    </w:div>
    <w:div w:id="770588358">
      <w:bodyDiv w:val="1"/>
      <w:marLeft w:val="0"/>
      <w:marRight w:val="0"/>
      <w:marTop w:val="0"/>
      <w:marBottom w:val="0"/>
      <w:divBdr>
        <w:top w:val="none" w:sz="0" w:space="0" w:color="auto"/>
        <w:left w:val="none" w:sz="0" w:space="0" w:color="auto"/>
        <w:bottom w:val="none" w:sz="0" w:space="0" w:color="auto"/>
        <w:right w:val="none" w:sz="0" w:space="0" w:color="auto"/>
      </w:divBdr>
    </w:div>
    <w:div w:id="770591542">
      <w:bodyDiv w:val="1"/>
      <w:marLeft w:val="0"/>
      <w:marRight w:val="0"/>
      <w:marTop w:val="0"/>
      <w:marBottom w:val="0"/>
      <w:divBdr>
        <w:top w:val="none" w:sz="0" w:space="0" w:color="auto"/>
        <w:left w:val="none" w:sz="0" w:space="0" w:color="auto"/>
        <w:bottom w:val="none" w:sz="0" w:space="0" w:color="auto"/>
        <w:right w:val="none" w:sz="0" w:space="0" w:color="auto"/>
      </w:divBdr>
    </w:div>
    <w:div w:id="770659121">
      <w:bodyDiv w:val="1"/>
      <w:marLeft w:val="0"/>
      <w:marRight w:val="0"/>
      <w:marTop w:val="0"/>
      <w:marBottom w:val="0"/>
      <w:divBdr>
        <w:top w:val="none" w:sz="0" w:space="0" w:color="auto"/>
        <w:left w:val="none" w:sz="0" w:space="0" w:color="auto"/>
        <w:bottom w:val="none" w:sz="0" w:space="0" w:color="auto"/>
        <w:right w:val="none" w:sz="0" w:space="0" w:color="auto"/>
      </w:divBdr>
    </w:div>
    <w:div w:id="770901965">
      <w:bodyDiv w:val="1"/>
      <w:marLeft w:val="0"/>
      <w:marRight w:val="0"/>
      <w:marTop w:val="0"/>
      <w:marBottom w:val="0"/>
      <w:divBdr>
        <w:top w:val="none" w:sz="0" w:space="0" w:color="auto"/>
        <w:left w:val="none" w:sz="0" w:space="0" w:color="auto"/>
        <w:bottom w:val="none" w:sz="0" w:space="0" w:color="auto"/>
        <w:right w:val="none" w:sz="0" w:space="0" w:color="auto"/>
      </w:divBdr>
    </w:div>
    <w:div w:id="770971672">
      <w:bodyDiv w:val="1"/>
      <w:marLeft w:val="0"/>
      <w:marRight w:val="0"/>
      <w:marTop w:val="0"/>
      <w:marBottom w:val="0"/>
      <w:divBdr>
        <w:top w:val="none" w:sz="0" w:space="0" w:color="auto"/>
        <w:left w:val="none" w:sz="0" w:space="0" w:color="auto"/>
        <w:bottom w:val="none" w:sz="0" w:space="0" w:color="auto"/>
        <w:right w:val="none" w:sz="0" w:space="0" w:color="auto"/>
      </w:divBdr>
    </w:div>
    <w:div w:id="770977959">
      <w:bodyDiv w:val="1"/>
      <w:marLeft w:val="0"/>
      <w:marRight w:val="0"/>
      <w:marTop w:val="0"/>
      <w:marBottom w:val="0"/>
      <w:divBdr>
        <w:top w:val="none" w:sz="0" w:space="0" w:color="auto"/>
        <w:left w:val="none" w:sz="0" w:space="0" w:color="auto"/>
        <w:bottom w:val="none" w:sz="0" w:space="0" w:color="auto"/>
        <w:right w:val="none" w:sz="0" w:space="0" w:color="auto"/>
      </w:divBdr>
    </w:div>
    <w:div w:id="771055404">
      <w:bodyDiv w:val="1"/>
      <w:marLeft w:val="0"/>
      <w:marRight w:val="0"/>
      <w:marTop w:val="0"/>
      <w:marBottom w:val="0"/>
      <w:divBdr>
        <w:top w:val="none" w:sz="0" w:space="0" w:color="auto"/>
        <w:left w:val="none" w:sz="0" w:space="0" w:color="auto"/>
        <w:bottom w:val="none" w:sz="0" w:space="0" w:color="auto"/>
        <w:right w:val="none" w:sz="0" w:space="0" w:color="auto"/>
      </w:divBdr>
    </w:div>
    <w:div w:id="771247574">
      <w:bodyDiv w:val="1"/>
      <w:marLeft w:val="0"/>
      <w:marRight w:val="0"/>
      <w:marTop w:val="0"/>
      <w:marBottom w:val="0"/>
      <w:divBdr>
        <w:top w:val="none" w:sz="0" w:space="0" w:color="auto"/>
        <w:left w:val="none" w:sz="0" w:space="0" w:color="auto"/>
        <w:bottom w:val="none" w:sz="0" w:space="0" w:color="auto"/>
        <w:right w:val="none" w:sz="0" w:space="0" w:color="auto"/>
      </w:divBdr>
    </w:div>
    <w:div w:id="771314661">
      <w:bodyDiv w:val="1"/>
      <w:marLeft w:val="0"/>
      <w:marRight w:val="0"/>
      <w:marTop w:val="0"/>
      <w:marBottom w:val="0"/>
      <w:divBdr>
        <w:top w:val="none" w:sz="0" w:space="0" w:color="auto"/>
        <w:left w:val="none" w:sz="0" w:space="0" w:color="auto"/>
        <w:bottom w:val="none" w:sz="0" w:space="0" w:color="auto"/>
        <w:right w:val="none" w:sz="0" w:space="0" w:color="auto"/>
      </w:divBdr>
    </w:div>
    <w:div w:id="771365918">
      <w:bodyDiv w:val="1"/>
      <w:marLeft w:val="0"/>
      <w:marRight w:val="0"/>
      <w:marTop w:val="0"/>
      <w:marBottom w:val="0"/>
      <w:divBdr>
        <w:top w:val="none" w:sz="0" w:space="0" w:color="auto"/>
        <w:left w:val="none" w:sz="0" w:space="0" w:color="auto"/>
        <w:bottom w:val="none" w:sz="0" w:space="0" w:color="auto"/>
        <w:right w:val="none" w:sz="0" w:space="0" w:color="auto"/>
      </w:divBdr>
    </w:div>
    <w:div w:id="771515376">
      <w:bodyDiv w:val="1"/>
      <w:marLeft w:val="0"/>
      <w:marRight w:val="0"/>
      <w:marTop w:val="0"/>
      <w:marBottom w:val="0"/>
      <w:divBdr>
        <w:top w:val="none" w:sz="0" w:space="0" w:color="auto"/>
        <w:left w:val="none" w:sz="0" w:space="0" w:color="auto"/>
        <w:bottom w:val="none" w:sz="0" w:space="0" w:color="auto"/>
        <w:right w:val="none" w:sz="0" w:space="0" w:color="auto"/>
      </w:divBdr>
    </w:div>
    <w:div w:id="771633295">
      <w:bodyDiv w:val="1"/>
      <w:marLeft w:val="0"/>
      <w:marRight w:val="0"/>
      <w:marTop w:val="0"/>
      <w:marBottom w:val="0"/>
      <w:divBdr>
        <w:top w:val="none" w:sz="0" w:space="0" w:color="auto"/>
        <w:left w:val="none" w:sz="0" w:space="0" w:color="auto"/>
        <w:bottom w:val="none" w:sz="0" w:space="0" w:color="auto"/>
        <w:right w:val="none" w:sz="0" w:space="0" w:color="auto"/>
      </w:divBdr>
    </w:div>
    <w:div w:id="771634903">
      <w:bodyDiv w:val="1"/>
      <w:marLeft w:val="0"/>
      <w:marRight w:val="0"/>
      <w:marTop w:val="0"/>
      <w:marBottom w:val="0"/>
      <w:divBdr>
        <w:top w:val="none" w:sz="0" w:space="0" w:color="auto"/>
        <w:left w:val="none" w:sz="0" w:space="0" w:color="auto"/>
        <w:bottom w:val="none" w:sz="0" w:space="0" w:color="auto"/>
        <w:right w:val="none" w:sz="0" w:space="0" w:color="auto"/>
      </w:divBdr>
    </w:div>
    <w:div w:id="771782114">
      <w:bodyDiv w:val="1"/>
      <w:marLeft w:val="0"/>
      <w:marRight w:val="0"/>
      <w:marTop w:val="0"/>
      <w:marBottom w:val="0"/>
      <w:divBdr>
        <w:top w:val="none" w:sz="0" w:space="0" w:color="auto"/>
        <w:left w:val="none" w:sz="0" w:space="0" w:color="auto"/>
        <w:bottom w:val="none" w:sz="0" w:space="0" w:color="auto"/>
        <w:right w:val="none" w:sz="0" w:space="0" w:color="auto"/>
      </w:divBdr>
    </w:div>
    <w:div w:id="771827570">
      <w:bodyDiv w:val="1"/>
      <w:marLeft w:val="0"/>
      <w:marRight w:val="0"/>
      <w:marTop w:val="0"/>
      <w:marBottom w:val="0"/>
      <w:divBdr>
        <w:top w:val="none" w:sz="0" w:space="0" w:color="auto"/>
        <w:left w:val="none" w:sz="0" w:space="0" w:color="auto"/>
        <w:bottom w:val="none" w:sz="0" w:space="0" w:color="auto"/>
        <w:right w:val="none" w:sz="0" w:space="0" w:color="auto"/>
      </w:divBdr>
    </w:div>
    <w:div w:id="771899921">
      <w:bodyDiv w:val="1"/>
      <w:marLeft w:val="0"/>
      <w:marRight w:val="0"/>
      <w:marTop w:val="0"/>
      <w:marBottom w:val="0"/>
      <w:divBdr>
        <w:top w:val="none" w:sz="0" w:space="0" w:color="auto"/>
        <w:left w:val="none" w:sz="0" w:space="0" w:color="auto"/>
        <w:bottom w:val="none" w:sz="0" w:space="0" w:color="auto"/>
        <w:right w:val="none" w:sz="0" w:space="0" w:color="auto"/>
      </w:divBdr>
    </w:div>
    <w:div w:id="772093639">
      <w:bodyDiv w:val="1"/>
      <w:marLeft w:val="0"/>
      <w:marRight w:val="0"/>
      <w:marTop w:val="0"/>
      <w:marBottom w:val="0"/>
      <w:divBdr>
        <w:top w:val="none" w:sz="0" w:space="0" w:color="auto"/>
        <w:left w:val="none" w:sz="0" w:space="0" w:color="auto"/>
        <w:bottom w:val="none" w:sz="0" w:space="0" w:color="auto"/>
        <w:right w:val="none" w:sz="0" w:space="0" w:color="auto"/>
      </w:divBdr>
    </w:div>
    <w:div w:id="772095961">
      <w:bodyDiv w:val="1"/>
      <w:marLeft w:val="0"/>
      <w:marRight w:val="0"/>
      <w:marTop w:val="0"/>
      <w:marBottom w:val="0"/>
      <w:divBdr>
        <w:top w:val="none" w:sz="0" w:space="0" w:color="auto"/>
        <w:left w:val="none" w:sz="0" w:space="0" w:color="auto"/>
        <w:bottom w:val="none" w:sz="0" w:space="0" w:color="auto"/>
        <w:right w:val="none" w:sz="0" w:space="0" w:color="auto"/>
      </w:divBdr>
    </w:div>
    <w:div w:id="772167838">
      <w:bodyDiv w:val="1"/>
      <w:marLeft w:val="0"/>
      <w:marRight w:val="0"/>
      <w:marTop w:val="0"/>
      <w:marBottom w:val="0"/>
      <w:divBdr>
        <w:top w:val="none" w:sz="0" w:space="0" w:color="auto"/>
        <w:left w:val="none" w:sz="0" w:space="0" w:color="auto"/>
        <w:bottom w:val="none" w:sz="0" w:space="0" w:color="auto"/>
        <w:right w:val="none" w:sz="0" w:space="0" w:color="auto"/>
      </w:divBdr>
    </w:div>
    <w:div w:id="772238493">
      <w:bodyDiv w:val="1"/>
      <w:marLeft w:val="0"/>
      <w:marRight w:val="0"/>
      <w:marTop w:val="0"/>
      <w:marBottom w:val="0"/>
      <w:divBdr>
        <w:top w:val="none" w:sz="0" w:space="0" w:color="auto"/>
        <w:left w:val="none" w:sz="0" w:space="0" w:color="auto"/>
        <w:bottom w:val="none" w:sz="0" w:space="0" w:color="auto"/>
        <w:right w:val="none" w:sz="0" w:space="0" w:color="auto"/>
      </w:divBdr>
    </w:div>
    <w:div w:id="772287155">
      <w:bodyDiv w:val="1"/>
      <w:marLeft w:val="0"/>
      <w:marRight w:val="0"/>
      <w:marTop w:val="0"/>
      <w:marBottom w:val="0"/>
      <w:divBdr>
        <w:top w:val="none" w:sz="0" w:space="0" w:color="auto"/>
        <w:left w:val="none" w:sz="0" w:space="0" w:color="auto"/>
        <w:bottom w:val="none" w:sz="0" w:space="0" w:color="auto"/>
        <w:right w:val="none" w:sz="0" w:space="0" w:color="auto"/>
      </w:divBdr>
    </w:div>
    <w:div w:id="772408052">
      <w:bodyDiv w:val="1"/>
      <w:marLeft w:val="0"/>
      <w:marRight w:val="0"/>
      <w:marTop w:val="0"/>
      <w:marBottom w:val="0"/>
      <w:divBdr>
        <w:top w:val="none" w:sz="0" w:space="0" w:color="auto"/>
        <w:left w:val="none" w:sz="0" w:space="0" w:color="auto"/>
        <w:bottom w:val="none" w:sz="0" w:space="0" w:color="auto"/>
        <w:right w:val="none" w:sz="0" w:space="0" w:color="auto"/>
      </w:divBdr>
    </w:div>
    <w:div w:id="772435748">
      <w:bodyDiv w:val="1"/>
      <w:marLeft w:val="0"/>
      <w:marRight w:val="0"/>
      <w:marTop w:val="0"/>
      <w:marBottom w:val="0"/>
      <w:divBdr>
        <w:top w:val="none" w:sz="0" w:space="0" w:color="auto"/>
        <w:left w:val="none" w:sz="0" w:space="0" w:color="auto"/>
        <w:bottom w:val="none" w:sz="0" w:space="0" w:color="auto"/>
        <w:right w:val="none" w:sz="0" w:space="0" w:color="auto"/>
      </w:divBdr>
    </w:div>
    <w:div w:id="772436390">
      <w:bodyDiv w:val="1"/>
      <w:marLeft w:val="0"/>
      <w:marRight w:val="0"/>
      <w:marTop w:val="0"/>
      <w:marBottom w:val="0"/>
      <w:divBdr>
        <w:top w:val="none" w:sz="0" w:space="0" w:color="auto"/>
        <w:left w:val="none" w:sz="0" w:space="0" w:color="auto"/>
        <w:bottom w:val="none" w:sz="0" w:space="0" w:color="auto"/>
        <w:right w:val="none" w:sz="0" w:space="0" w:color="auto"/>
      </w:divBdr>
    </w:div>
    <w:div w:id="772481316">
      <w:bodyDiv w:val="1"/>
      <w:marLeft w:val="0"/>
      <w:marRight w:val="0"/>
      <w:marTop w:val="0"/>
      <w:marBottom w:val="0"/>
      <w:divBdr>
        <w:top w:val="none" w:sz="0" w:space="0" w:color="auto"/>
        <w:left w:val="none" w:sz="0" w:space="0" w:color="auto"/>
        <w:bottom w:val="none" w:sz="0" w:space="0" w:color="auto"/>
        <w:right w:val="none" w:sz="0" w:space="0" w:color="auto"/>
      </w:divBdr>
    </w:div>
    <w:div w:id="772554319">
      <w:bodyDiv w:val="1"/>
      <w:marLeft w:val="0"/>
      <w:marRight w:val="0"/>
      <w:marTop w:val="0"/>
      <w:marBottom w:val="0"/>
      <w:divBdr>
        <w:top w:val="none" w:sz="0" w:space="0" w:color="auto"/>
        <w:left w:val="none" w:sz="0" w:space="0" w:color="auto"/>
        <w:bottom w:val="none" w:sz="0" w:space="0" w:color="auto"/>
        <w:right w:val="none" w:sz="0" w:space="0" w:color="auto"/>
      </w:divBdr>
    </w:div>
    <w:div w:id="772556462">
      <w:bodyDiv w:val="1"/>
      <w:marLeft w:val="0"/>
      <w:marRight w:val="0"/>
      <w:marTop w:val="0"/>
      <w:marBottom w:val="0"/>
      <w:divBdr>
        <w:top w:val="none" w:sz="0" w:space="0" w:color="auto"/>
        <w:left w:val="none" w:sz="0" w:space="0" w:color="auto"/>
        <w:bottom w:val="none" w:sz="0" w:space="0" w:color="auto"/>
        <w:right w:val="none" w:sz="0" w:space="0" w:color="auto"/>
      </w:divBdr>
    </w:div>
    <w:div w:id="772671521">
      <w:bodyDiv w:val="1"/>
      <w:marLeft w:val="0"/>
      <w:marRight w:val="0"/>
      <w:marTop w:val="0"/>
      <w:marBottom w:val="0"/>
      <w:divBdr>
        <w:top w:val="none" w:sz="0" w:space="0" w:color="auto"/>
        <w:left w:val="none" w:sz="0" w:space="0" w:color="auto"/>
        <w:bottom w:val="none" w:sz="0" w:space="0" w:color="auto"/>
        <w:right w:val="none" w:sz="0" w:space="0" w:color="auto"/>
      </w:divBdr>
    </w:div>
    <w:div w:id="772866081">
      <w:bodyDiv w:val="1"/>
      <w:marLeft w:val="0"/>
      <w:marRight w:val="0"/>
      <w:marTop w:val="0"/>
      <w:marBottom w:val="0"/>
      <w:divBdr>
        <w:top w:val="none" w:sz="0" w:space="0" w:color="auto"/>
        <w:left w:val="none" w:sz="0" w:space="0" w:color="auto"/>
        <w:bottom w:val="none" w:sz="0" w:space="0" w:color="auto"/>
        <w:right w:val="none" w:sz="0" w:space="0" w:color="auto"/>
      </w:divBdr>
    </w:div>
    <w:div w:id="772869335">
      <w:bodyDiv w:val="1"/>
      <w:marLeft w:val="0"/>
      <w:marRight w:val="0"/>
      <w:marTop w:val="0"/>
      <w:marBottom w:val="0"/>
      <w:divBdr>
        <w:top w:val="none" w:sz="0" w:space="0" w:color="auto"/>
        <w:left w:val="none" w:sz="0" w:space="0" w:color="auto"/>
        <w:bottom w:val="none" w:sz="0" w:space="0" w:color="auto"/>
        <w:right w:val="none" w:sz="0" w:space="0" w:color="auto"/>
      </w:divBdr>
    </w:div>
    <w:div w:id="773087656">
      <w:bodyDiv w:val="1"/>
      <w:marLeft w:val="0"/>
      <w:marRight w:val="0"/>
      <w:marTop w:val="0"/>
      <w:marBottom w:val="0"/>
      <w:divBdr>
        <w:top w:val="none" w:sz="0" w:space="0" w:color="auto"/>
        <w:left w:val="none" w:sz="0" w:space="0" w:color="auto"/>
        <w:bottom w:val="none" w:sz="0" w:space="0" w:color="auto"/>
        <w:right w:val="none" w:sz="0" w:space="0" w:color="auto"/>
      </w:divBdr>
    </w:div>
    <w:div w:id="773136354">
      <w:bodyDiv w:val="1"/>
      <w:marLeft w:val="0"/>
      <w:marRight w:val="0"/>
      <w:marTop w:val="0"/>
      <w:marBottom w:val="0"/>
      <w:divBdr>
        <w:top w:val="none" w:sz="0" w:space="0" w:color="auto"/>
        <w:left w:val="none" w:sz="0" w:space="0" w:color="auto"/>
        <w:bottom w:val="none" w:sz="0" w:space="0" w:color="auto"/>
        <w:right w:val="none" w:sz="0" w:space="0" w:color="auto"/>
      </w:divBdr>
    </w:div>
    <w:div w:id="773280132">
      <w:bodyDiv w:val="1"/>
      <w:marLeft w:val="0"/>
      <w:marRight w:val="0"/>
      <w:marTop w:val="0"/>
      <w:marBottom w:val="0"/>
      <w:divBdr>
        <w:top w:val="none" w:sz="0" w:space="0" w:color="auto"/>
        <w:left w:val="none" w:sz="0" w:space="0" w:color="auto"/>
        <w:bottom w:val="none" w:sz="0" w:space="0" w:color="auto"/>
        <w:right w:val="none" w:sz="0" w:space="0" w:color="auto"/>
      </w:divBdr>
    </w:div>
    <w:div w:id="773327742">
      <w:bodyDiv w:val="1"/>
      <w:marLeft w:val="0"/>
      <w:marRight w:val="0"/>
      <w:marTop w:val="0"/>
      <w:marBottom w:val="0"/>
      <w:divBdr>
        <w:top w:val="none" w:sz="0" w:space="0" w:color="auto"/>
        <w:left w:val="none" w:sz="0" w:space="0" w:color="auto"/>
        <w:bottom w:val="none" w:sz="0" w:space="0" w:color="auto"/>
        <w:right w:val="none" w:sz="0" w:space="0" w:color="auto"/>
      </w:divBdr>
    </w:div>
    <w:div w:id="773356247">
      <w:bodyDiv w:val="1"/>
      <w:marLeft w:val="0"/>
      <w:marRight w:val="0"/>
      <w:marTop w:val="0"/>
      <w:marBottom w:val="0"/>
      <w:divBdr>
        <w:top w:val="none" w:sz="0" w:space="0" w:color="auto"/>
        <w:left w:val="none" w:sz="0" w:space="0" w:color="auto"/>
        <w:bottom w:val="none" w:sz="0" w:space="0" w:color="auto"/>
        <w:right w:val="none" w:sz="0" w:space="0" w:color="auto"/>
      </w:divBdr>
    </w:div>
    <w:div w:id="773356989">
      <w:bodyDiv w:val="1"/>
      <w:marLeft w:val="0"/>
      <w:marRight w:val="0"/>
      <w:marTop w:val="0"/>
      <w:marBottom w:val="0"/>
      <w:divBdr>
        <w:top w:val="none" w:sz="0" w:space="0" w:color="auto"/>
        <w:left w:val="none" w:sz="0" w:space="0" w:color="auto"/>
        <w:bottom w:val="none" w:sz="0" w:space="0" w:color="auto"/>
        <w:right w:val="none" w:sz="0" w:space="0" w:color="auto"/>
      </w:divBdr>
    </w:div>
    <w:div w:id="773481353">
      <w:bodyDiv w:val="1"/>
      <w:marLeft w:val="0"/>
      <w:marRight w:val="0"/>
      <w:marTop w:val="0"/>
      <w:marBottom w:val="0"/>
      <w:divBdr>
        <w:top w:val="none" w:sz="0" w:space="0" w:color="auto"/>
        <w:left w:val="none" w:sz="0" w:space="0" w:color="auto"/>
        <w:bottom w:val="none" w:sz="0" w:space="0" w:color="auto"/>
        <w:right w:val="none" w:sz="0" w:space="0" w:color="auto"/>
      </w:divBdr>
    </w:div>
    <w:div w:id="773524190">
      <w:bodyDiv w:val="1"/>
      <w:marLeft w:val="0"/>
      <w:marRight w:val="0"/>
      <w:marTop w:val="0"/>
      <w:marBottom w:val="0"/>
      <w:divBdr>
        <w:top w:val="none" w:sz="0" w:space="0" w:color="auto"/>
        <w:left w:val="none" w:sz="0" w:space="0" w:color="auto"/>
        <w:bottom w:val="none" w:sz="0" w:space="0" w:color="auto"/>
        <w:right w:val="none" w:sz="0" w:space="0" w:color="auto"/>
      </w:divBdr>
    </w:div>
    <w:div w:id="773669658">
      <w:bodyDiv w:val="1"/>
      <w:marLeft w:val="0"/>
      <w:marRight w:val="0"/>
      <w:marTop w:val="0"/>
      <w:marBottom w:val="0"/>
      <w:divBdr>
        <w:top w:val="none" w:sz="0" w:space="0" w:color="auto"/>
        <w:left w:val="none" w:sz="0" w:space="0" w:color="auto"/>
        <w:bottom w:val="none" w:sz="0" w:space="0" w:color="auto"/>
        <w:right w:val="none" w:sz="0" w:space="0" w:color="auto"/>
      </w:divBdr>
    </w:div>
    <w:div w:id="773671173">
      <w:bodyDiv w:val="1"/>
      <w:marLeft w:val="0"/>
      <w:marRight w:val="0"/>
      <w:marTop w:val="0"/>
      <w:marBottom w:val="0"/>
      <w:divBdr>
        <w:top w:val="none" w:sz="0" w:space="0" w:color="auto"/>
        <w:left w:val="none" w:sz="0" w:space="0" w:color="auto"/>
        <w:bottom w:val="none" w:sz="0" w:space="0" w:color="auto"/>
        <w:right w:val="none" w:sz="0" w:space="0" w:color="auto"/>
      </w:divBdr>
    </w:div>
    <w:div w:id="773860018">
      <w:bodyDiv w:val="1"/>
      <w:marLeft w:val="0"/>
      <w:marRight w:val="0"/>
      <w:marTop w:val="0"/>
      <w:marBottom w:val="0"/>
      <w:divBdr>
        <w:top w:val="none" w:sz="0" w:space="0" w:color="auto"/>
        <w:left w:val="none" w:sz="0" w:space="0" w:color="auto"/>
        <w:bottom w:val="none" w:sz="0" w:space="0" w:color="auto"/>
        <w:right w:val="none" w:sz="0" w:space="0" w:color="auto"/>
      </w:divBdr>
    </w:div>
    <w:div w:id="774322924">
      <w:bodyDiv w:val="1"/>
      <w:marLeft w:val="0"/>
      <w:marRight w:val="0"/>
      <w:marTop w:val="0"/>
      <w:marBottom w:val="0"/>
      <w:divBdr>
        <w:top w:val="none" w:sz="0" w:space="0" w:color="auto"/>
        <w:left w:val="none" w:sz="0" w:space="0" w:color="auto"/>
        <w:bottom w:val="none" w:sz="0" w:space="0" w:color="auto"/>
        <w:right w:val="none" w:sz="0" w:space="0" w:color="auto"/>
      </w:divBdr>
    </w:div>
    <w:div w:id="774515564">
      <w:bodyDiv w:val="1"/>
      <w:marLeft w:val="0"/>
      <w:marRight w:val="0"/>
      <w:marTop w:val="0"/>
      <w:marBottom w:val="0"/>
      <w:divBdr>
        <w:top w:val="none" w:sz="0" w:space="0" w:color="auto"/>
        <w:left w:val="none" w:sz="0" w:space="0" w:color="auto"/>
        <w:bottom w:val="none" w:sz="0" w:space="0" w:color="auto"/>
        <w:right w:val="none" w:sz="0" w:space="0" w:color="auto"/>
      </w:divBdr>
    </w:div>
    <w:div w:id="774636597">
      <w:bodyDiv w:val="1"/>
      <w:marLeft w:val="0"/>
      <w:marRight w:val="0"/>
      <w:marTop w:val="0"/>
      <w:marBottom w:val="0"/>
      <w:divBdr>
        <w:top w:val="none" w:sz="0" w:space="0" w:color="auto"/>
        <w:left w:val="none" w:sz="0" w:space="0" w:color="auto"/>
        <w:bottom w:val="none" w:sz="0" w:space="0" w:color="auto"/>
        <w:right w:val="none" w:sz="0" w:space="0" w:color="auto"/>
      </w:divBdr>
    </w:div>
    <w:div w:id="774711336">
      <w:bodyDiv w:val="1"/>
      <w:marLeft w:val="0"/>
      <w:marRight w:val="0"/>
      <w:marTop w:val="0"/>
      <w:marBottom w:val="0"/>
      <w:divBdr>
        <w:top w:val="none" w:sz="0" w:space="0" w:color="auto"/>
        <w:left w:val="none" w:sz="0" w:space="0" w:color="auto"/>
        <w:bottom w:val="none" w:sz="0" w:space="0" w:color="auto"/>
        <w:right w:val="none" w:sz="0" w:space="0" w:color="auto"/>
      </w:divBdr>
    </w:div>
    <w:div w:id="774718171">
      <w:bodyDiv w:val="1"/>
      <w:marLeft w:val="0"/>
      <w:marRight w:val="0"/>
      <w:marTop w:val="0"/>
      <w:marBottom w:val="0"/>
      <w:divBdr>
        <w:top w:val="none" w:sz="0" w:space="0" w:color="auto"/>
        <w:left w:val="none" w:sz="0" w:space="0" w:color="auto"/>
        <w:bottom w:val="none" w:sz="0" w:space="0" w:color="auto"/>
        <w:right w:val="none" w:sz="0" w:space="0" w:color="auto"/>
      </w:divBdr>
    </w:div>
    <w:div w:id="774833149">
      <w:bodyDiv w:val="1"/>
      <w:marLeft w:val="0"/>
      <w:marRight w:val="0"/>
      <w:marTop w:val="0"/>
      <w:marBottom w:val="0"/>
      <w:divBdr>
        <w:top w:val="none" w:sz="0" w:space="0" w:color="auto"/>
        <w:left w:val="none" w:sz="0" w:space="0" w:color="auto"/>
        <w:bottom w:val="none" w:sz="0" w:space="0" w:color="auto"/>
        <w:right w:val="none" w:sz="0" w:space="0" w:color="auto"/>
      </w:divBdr>
    </w:div>
    <w:div w:id="774834385">
      <w:bodyDiv w:val="1"/>
      <w:marLeft w:val="0"/>
      <w:marRight w:val="0"/>
      <w:marTop w:val="0"/>
      <w:marBottom w:val="0"/>
      <w:divBdr>
        <w:top w:val="none" w:sz="0" w:space="0" w:color="auto"/>
        <w:left w:val="none" w:sz="0" w:space="0" w:color="auto"/>
        <w:bottom w:val="none" w:sz="0" w:space="0" w:color="auto"/>
        <w:right w:val="none" w:sz="0" w:space="0" w:color="auto"/>
      </w:divBdr>
    </w:div>
    <w:div w:id="774903744">
      <w:bodyDiv w:val="1"/>
      <w:marLeft w:val="0"/>
      <w:marRight w:val="0"/>
      <w:marTop w:val="0"/>
      <w:marBottom w:val="0"/>
      <w:divBdr>
        <w:top w:val="none" w:sz="0" w:space="0" w:color="auto"/>
        <w:left w:val="none" w:sz="0" w:space="0" w:color="auto"/>
        <w:bottom w:val="none" w:sz="0" w:space="0" w:color="auto"/>
        <w:right w:val="none" w:sz="0" w:space="0" w:color="auto"/>
      </w:divBdr>
    </w:div>
    <w:div w:id="774981723">
      <w:bodyDiv w:val="1"/>
      <w:marLeft w:val="0"/>
      <w:marRight w:val="0"/>
      <w:marTop w:val="0"/>
      <w:marBottom w:val="0"/>
      <w:divBdr>
        <w:top w:val="none" w:sz="0" w:space="0" w:color="auto"/>
        <w:left w:val="none" w:sz="0" w:space="0" w:color="auto"/>
        <w:bottom w:val="none" w:sz="0" w:space="0" w:color="auto"/>
        <w:right w:val="none" w:sz="0" w:space="0" w:color="auto"/>
      </w:divBdr>
    </w:div>
    <w:div w:id="774984622">
      <w:bodyDiv w:val="1"/>
      <w:marLeft w:val="0"/>
      <w:marRight w:val="0"/>
      <w:marTop w:val="0"/>
      <w:marBottom w:val="0"/>
      <w:divBdr>
        <w:top w:val="none" w:sz="0" w:space="0" w:color="auto"/>
        <w:left w:val="none" w:sz="0" w:space="0" w:color="auto"/>
        <w:bottom w:val="none" w:sz="0" w:space="0" w:color="auto"/>
        <w:right w:val="none" w:sz="0" w:space="0" w:color="auto"/>
      </w:divBdr>
    </w:div>
    <w:div w:id="774985084">
      <w:bodyDiv w:val="1"/>
      <w:marLeft w:val="0"/>
      <w:marRight w:val="0"/>
      <w:marTop w:val="0"/>
      <w:marBottom w:val="0"/>
      <w:divBdr>
        <w:top w:val="none" w:sz="0" w:space="0" w:color="auto"/>
        <w:left w:val="none" w:sz="0" w:space="0" w:color="auto"/>
        <w:bottom w:val="none" w:sz="0" w:space="0" w:color="auto"/>
        <w:right w:val="none" w:sz="0" w:space="0" w:color="auto"/>
      </w:divBdr>
    </w:div>
    <w:div w:id="774986657">
      <w:bodyDiv w:val="1"/>
      <w:marLeft w:val="0"/>
      <w:marRight w:val="0"/>
      <w:marTop w:val="0"/>
      <w:marBottom w:val="0"/>
      <w:divBdr>
        <w:top w:val="none" w:sz="0" w:space="0" w:color="auto"/>
        <w:left w:val="none" w:sz="0" w:space="0" w:color="auto"/>
        <w:bottom w:val="none" w:sz="0" w:space="0" w:color="auto"/>
        <w:right w:val="none" w:sz="0" w:space="0" w:color="auto"/>
      </w:divBdr>
    </w:div>
    <w:div w:id="775097903">
      <w:bodyDiv w:val="1"/>
      <w:marLeft w:val="0"/>
      <w:marRight w:val="0"/>
      <w:marTop w:val="0"/>
      <w:marBottom w:val="0"/>
      <w:divBdr>
        <w:top w:val="none" w:sz="0" w:space="0" w:color="auto"/>
        <w:left w:val="none" w:sz="0" w:space="0" w:color="auto"/>
        <w:bottom w:val="none" w:sz="0" w:space="0" w:color="auto"/>
        <w:right w:val="none" w:sz="0" w:space="0" w:color="auto"/>
      </w:divBdr>
    </w:div>
    <w:div w:id="775176289">
      <w:bodyDiv w:val="1"/>
      <w:marLeft w:val="0"/>
      <w:marRight w:val="0"/>
      <w:marTop w:val="0"/>
      <w:marBottom w:val="0"/>
      <w:divBdr>
        <w:top w:val="none" w:sz="0" w:space="0" w:color="auto"/>
        <w:left w:val="none" w:sz="0" w:space="0" w:color="auto"/>
        <w:bottom w:val="none" w:sz="0" w:space="0" w:color="auto"/>
        <w:right w:val="none" w:sz="0" w:space="0" w:color="auto"/>
      </w:divBdr>
    </w:div>
    <w:div w:id="775251954">
      <w:bodyDiv w:val="1"/>
      <w:marLeft w:val="0"/>
      <w:marRight w:val="0"/>
      <w:marTop w:val="0"/>
      <w:marBottom w:val="0"/>
      <w:divBdr>
        <w:top w:val="none" w:sz="0" w:space="0" w:color="auto"/>
        <w:left w:val="none" w:sz="0" w:space="0" w:color="auto"/>
        <w:bottom w:val="none" w:sz="0" w:space="0" w:color="auto"/>
        <w:right w:val="none" w:sz="0" w:space="0" w:color="auto"/>
      </w:divBdr>
    </w:div>
    <w:div w:id="775442540">
      <w:bodyDiv w:val="1"/>
      <w:marLeft w:val="0"/>
      <w:marRight w:val="0"/>
      <w:marTop w:val="0"/>
      <w:marBottom w:val="0"/>
      <w:divBdr>
        <w:top w:val="none" w:sz="0" w:space="0" w:color="auto"/>
        <w:left w:val="none" w:sz="0" w:space="0" w:color="auto"/>
        <w:bottom w:val="none" w:sz="0" w:space="0" w:color="auto"/>
        <w:right w:val="none" w:sz="0" w:space="0" w:color="auto"/>
      </w:divBdr>
    </w:div>
    <w:div w:id="775444941">
      <w:bodyDiv w:val="1"/>
      <w:marLeft w:val="0"/>
      <w:marRight w:val="0"/>
      <w:marTop w:val="0"/>
      <w:marBottom w:val="0"/>
      <w:divBdr>
        <w:top w:val="none" w:sz="0" w:space="0" w:color="auto"/>
        <w:left w:val="none" w:sz="0" w:space="0" w:color="auto"/>
        <w:bottom w:val="none" w:sz="0" w:space="0" w:color="auto"/>
        <w:right w:val="none" w:sz="0" w:space="0" w:color="auto"/>
      </w:divBdr>
    </w:div>
    <w:div w:id="775518308">
      <w:bodyDiv w:val="1"/>
      <w:marLeft w:val="0"/>
      <w:marRight w:val="0"/>
      <w:marTop w:val="0"/>
      <w:marBottom w:val="0"/>
      <w:divBdr>
        <w:top w:val="none" w:sz="0" w:space="0" w:color="auto"/>
        <w:left w:val="none" w:sz="0" w:space="0" w:color="auto"/>
        <w:bottom w:val="none" w:sz="0" w:space="0" w:color="auto"/>
        <w:right w:val="none" w:sz="0" w:space="0" w:color="auto"/>
      </w:divBdr>
    </w:div>
    <w:div w:id="775637489">
      <w:bodyDiv w:val="1"/>
      <w:marLeft w:val="0"/>
      <w:marRight w:val="0"/>
      <w:marTop w:val="0"/>
      <w:marBottom w:val="0"/>
      <w:divBdr>
        <w:top w:val="none" w:sz="0" w:space="0" w:color="auto"/>
        <w:left w:val="none" w:sz="0" w:space="0" w:color="auto"/>
        <w:bottom w:val="none" w:sz="0" w:space="0" w:color="auto"/>
        <w:right w:val="none" w:sz="0" w:space="0" w:color="auto"/>
      </w:divBdr>
    </w:div>
    <w:div w:id="775904672">
      <w:bodyDiv w:val="1"/>
      <w:marLeft w:val="0"/>
      <w:marRight w:val="0"/>
      <w:marTop w:val="0"/>
      <w:marBottom w:val="0"/>
      <w:divBdr>
        <w:top w:val="none" w:sz="0" w:space="0" w:color="auto"/>
        <w:left w:val="none" w:sz="0" w:space="0" w:color="auto"/>
        <w:bottom w:val="none" w:sz="0" w:space="0" w:color="auto"/>
        <w:right w:val="none" w:sz="0" w:space="0" w:color="auto"/>
      </w:divBdr>
    </w:div>
    <w:div w:id="776170349">
      <w:bodyDiv w:val="1"/>
      <w:marLeft w:val="0"/>
      <w:marRight w:val="0"/>
      <w:marTop w:val="0"/>
      <w:marBottom w:val="0"/>
      <w:divBdr>
        <w:top w:val="none" w:sz="0" w:space="0" w:color="auto"/>
        <w:left w:val="none" w:sz="0" w:space="0" w:color="auto"/>
        <w:bottom w:val="none" w:sz="0" w:space="0" w:color="auto"/>
        <w:right w:val="none" w:sz="0" w:space="0" w:color="auto"/>
      </w:divBdr>
    </w:div>
    <w:div w:id="776295776">
      <w:bodyDiv w:val="1"/>
      <w:marLeft w:val="0"/>
      <w:marRight w:val="0"/>
      <w:marTop w:val="0"/>
      <w:marBottom w:val="0"/>
      <w:divBdr>
        <w:top w:val="none" w:sz="0" w:space="0" w:color="auto"/>
        <w:left w:val="none" w:sz="0" w:space="0" w:color="auto"/>
        <w:bottom w:val="none" w:sz="0" w:space="0" w:color="auto"/>
        <w:right w:val="none" w:sz="0" w:space="0" w:color="auto"/>
      </w:divBdr>
    </w:div>
    <w:div w:id="776366510">
      <w:bodyDiv w:val="1"/>
      <w:marLeft w:val="0"/>
      <w:marRight w:val="0"/>
      <w:marTop w:val="0"/>
      <w:marBottom w:val="0"/>
      <w:divBdr>
        <w:top w:val="none" w:sz="0" w:space="0" w:color="auto"/>
        <w:left w:val="none" w:sz="0" w:space="0" w:color="auto"/>
        <w:bottom w:val="none" w:sz="0" w:space="0" w:color="auto"/>
        <w:right w:val="none" w:sz="0" w:space="0" w:color="auto"/>
      </w:divBdr>
    </w:div>
    <w:div w:id="776367728">
      <w:bodyDiv w:val="1"/>
      <w:marLeft w:val="0"/>
      <w:marRight w:val="0"/>
      <w:marTop w:val="0"/>
      <w:marBottom w:val="0"/>
      <w:divBdr>
        <w:top w:val="none" w:sz="0" w:space="0" w:color="auto"/>
        <w:left w:val="none" w:sz="0" w:space="0" w:color="auto"/>
        <w:bottom w:val="none" w:sz="0" w:space="0" w:color="auto"/>
        <w:right w:val="none" w:sz="0" w:space="0" w:color="auto"/>
      </w:divBdr>
    </w:div>
    <w:div w:id="776409107">
      <w:bodyDiv w:val="1"/>
      <w:marLeft w:val="0"/>
      <w:marRight w:val="0"/>
      <w:marTop w:val="0"/>
      <w:marBottom w:val="0"/>
      <w:divBdr>
        <w:top w:val="none" w:sz="0" w:space="0" w:color="auto"/>
        <w:left w:val="none" w:sz="0" w:space="0" w:color="auto"/>
        <w:bottom w:val="none" w:sz="0" w:space="0" w:color="auto"/>
        <w:right w:val="none" w:sz="0" w:space="0" w:color="auto"/>
      </w:divBdr>
    </w:div>
    <w:div w:id="776411781">
      <w:bodyDiv w:val="1"/>
      <w:marLeft w:val="0"/>
      <w:marRight w:val="0"/>
      <w:marTop w:val="0"/>
      <w:marBottom w:val="0"/>
      <w:divBdr>
        <w:top w:val="none" w:sz="0" w:space="0" w:color="auto"/>
        <w:left w:val="none" w:sz="0" w:space="0" w:color="auto"/>
        <w:bottom w:val="none" w:sz="0" w:space="0" w:color="auto"/>
        <w:right w:val="none" w:sz="0" w:space="0" w:color="auto"/>
      </w:divBdr>
    </w:div>
    <w:div w:id="776414552">
      <w:bodyDiv w:val="1"/>
      <w:marLeft w:val="0"/>
      <w:marRight w:val="0"/>
      <w:marTop w:val="0"/>
      <w:marBottom w:val="0"/>
      <w:divBdr>
        <w:top w:val="none" w:sz="0" w:space="0" w:color="auto"/>
        <w:left w:val="none" w:sz="0" w:space="0" w:color="auto"/>
        <w:bottom w:val="none" w:sz="0" w:space="0" w:color="auto"/>
        <w:right w:val="none" w:sz="0" w:space="0" w:color="auto"/>
      </w:divBdr>
    </w:div>
    <w:div w:id="776488411">
      <w:bodyDiv w:val="1"/>
      <w:marLeft w:val="0"/>
      <w:marRight w:val="0"/>
      <w:marTop w:val="0"/>
      <w:marBottom w:val="0"/>
      <w:divBdr>
        <w:top w:val="none" w:sz="0" w:space="0" w:color="auto"/>
        <w:left w:val="none" w:sz="0" w:space="0" w:color="auto"/>
        <w:bottom w:val="none" w:sz="0" w:space="0" w:color="auto"/>
        <w:right w:val="none" w:sz="0" w:space="0" w:color="auto"/>
      </w:divBdr>
    </w:div>
    <w:div w:id="776489029">
      <w:bodyDiv w:val="1"/>
      <w:marLeft w:val="0"/>
      <w:marRight w:val="0"/>
      <w:marTop w:val="0"/>
      <w:marBottom w:val="0"/>
      <w:divBdr>
        <w:top w:val="none" w:sz="0" w:space="0" w:color="auto"/>
        <w:left w:val="none" w:sz="0" w:space="0" w:color="auto"/>
        <w:bottom w:val="none" w:sz="0" w:space="0" w:color="auto"/>
        <w:right w:val="none" w:sz="0" w:space="0" w:color="auto"/>
      </w:divBdr>
    </w:div>
    <w:div w:id="776490596">
      <w:bodyDiv w:val="1"/>
      <w:marLeft w:val="0"/>
      <w:marRight w:val="0"/>
      <w:marTop w:val="0"/>
      <w:marBottom w:val="0"/>
      <w:divBdr>
        <w:top w:val="none" w:sz="0" w:space="0" w:color="auto"/>
        <w:left w:val="none" w:sz="0" w:space="0" w:color="auto"/>
        <w:bottom w:val="none" w:sz="0" w:space="0" w:color="auto"/>
        <w:right w:val="none" w:sz="0" w:space="0" w:color="auto"/>
      </w:divBdr>
    </w:div>
    <w:div w:id="776608273">
      <w:bodyDiv w:val="1"/>
      <w:marLeft w:val="0"/>
      <w:marRight w:val="0"/>
      <w:marTop w:val="0"/>
      <w:marBottom w:val="0"/>
      <w:divBdr>
        <w:top w:val="none" w:sz="0" w:space="0" w:color="auto"/>
        <w:left w:val="none" w:sz="0" w:space="0" w:color="auto"/>
        <w:bottom w:val="none" w:sz="0" w:space="0" w:color="auto"/>
        <w:right w:val="none" w:sz="0" w:space="0" w:color="auto"/>
      </w:divBdr>
    </w:div>
    <w:div w:id="776633747">
      <w:bodyDiv w:val="1"/>
      <w:marLeft w:val="0"/>
      <w:marRight w:val="0"/>
      <w:marTop w:val="0"/>
      <w:marBottom w:val="0"/>
      <w:divBdr>
        <w:top w:val="none" w:sz="0" w:space="0" w:color="auto"/>
        <w:left w:val="none" w:sz="0" w:space="0" w:color="auto"/>
        <w:bottom w:val="none" w:sz="0" w:space="0" w:color="auto"/>
        <w:right w:val="none" w:sz="0" w:space="0" w:color="auto"/>
      </w:divBdr>
    </w:div>
    <w:div w:id="776674793">
      <w:bodyDiv w:val="1"/>
      <w:marLeft w:val="0"/>
      <w:marRight w:val="0"/>
      <w:marTop w:val="0"/>
      <w:marBottom w:val="0"/>
      <w:divBdr>
        <w:top w:val="none" w:sz="0" w:space="0" w:color="auto"/>
        <w:left w:val="none" w:sz="0" w:space="0" w:color="auto"/>
        <w:bottom w:val="none" w:sz="0" w:space="0" w:color="auto"/>
        <w:right w:val="none" w:sz="0" w:space="0" w:color="auto"/>
      </w:divBdr>
    </w:div>
    <w:div w:id="776680904">
      <w:bodyDiv w:val="1"/>
      <w:marLeft w:val="0"/>
      <w:marRight w:val="0"/>
      <w:marTop w:val="0"/>
      <w:marBottom w:val="0"/>
      <w:divBdr>
        <w:top w:val="none" w:sz="0" w:space="0" w:color="auto"/>
        <w:left w:val="none" w:sz="0" w:space="0" w:color="auto"/>
        <w:bottom w:val="none" w:sz="0" w:space="0" w:color="auto"/>
        <w:right w:val="none" w:sz="0" w:space="0" w:color="auto"/>
      </w:divBdr>
    </w:div>
    <w:div w:id="776870963">
      <w:bodyDiv w:val="1"/>
      <w:marLeft w:val="0"/>
      <w:marRight w:val="0"/>
      <w:marTop w:val="0"/>
      <w:marBottom w:val="0"/>
      <w:divBdr>
        <w:top w:val="none" w:sz="0" w:space="0" w:color="auto"/>
        <w:left w:val="none" w:sz="0" w:space="0" w:color="auto"/>
        <w:bottom w:val="none" w:sz="0" w:space="0" w:color="auto"/>
        <w:right w:val="none" w:sz="0" w:space="0" w:color="auto"/>
      </w:divBdr>
    </w:div>
    <w:div w:id="776952517">
      <w:bodyDiv w:val="1"/>
      <w:marLeft w:val="0"/>
      <w:marRight w:val="0"/>
      <w:marTop w:val="0"/>
      <w:marBottom w:val="0"/>
      <w:divBdr>
        <w:top w:val="none" w:sz="0" w:space="0" w:color="auto"/>
        <w:left w:val="none" w:sz="0" w:space="0" w:color="auto"/>
        <w:bottom w:val="none" w:sz="0" w:space="0" w:color="auto"/>
        <w:right w:val="none" w:sz="0" w:space="0" w:color="auto"/>
      </w:divBdr>
    </w:div>
    <w:div w:id="777022023">
      <w:bodyDiv w:val="1"/>
      <w:marLeft w:val="0"/>
      <w:marRight w:val="0"/>
      <w:marTop w:val="0"/>
      <w:marBottom w:val="0"/>
      <w:divBdr>
        <w:top w:val="none" w:sz="0" w:space="0" w:color="auto"/>
        <w:left w:val="none" w:sz="0" w:space="0" w:color="auto"/>
        <w:bottom w:val="none" w:sz="0" w:space="0" w:color="auto"/>
        <w:right w:val="none" w:sz="0" w:space="0" w:color="auto"/>
      </w:divBdr>
    </w:div>
    <w:div w:id="777137657">
      <w:bodyDiv w:val="1"/>
      <w:marLeft w:val="0"/>
      <w:marRight w:val="0"/>
      <w:marTop w:val="0"/>
      <w:marBottom w:val="0"/>
      <w:divBdr>
        <w:top w:val="none" w:sz="0" w:space="0" w:color="auto"/>
        <w:left w:val="none" w:sz="0" w:space="0" w:color="auto"/>
        <w:bottom w:val="none" w:sz="0" w:space="0" w:color="auto"/>
        <w:right w:val="none" w:sz="0" w:space="0" w:color="auto"/>
      </w:divBdr>
    </w:div>
    <w:div w:id="777259674">
      <w:bodyDiv w:val="1"/>
      <w:marLeft w:val="0"/>
      <w:marRight w:val="0"/>
      <w:marTop w:val="0"/>
      <w:marBottom w:val="0"/>
      <w:divBdr>
        <w:top w:val="none" w:sz="0" w:space="0" w:color="auto"/>
        <w:left w:val="none" w:sz="0" w:space="0" w:color="auto"/>
        <w:bottom w:val="none" w:sz="0" w:space="0" w:color="auto"/>
        <w:right w:val="none" w:sz="0" w:space="0" w:color="auto"/>
      </w:divBdr>
    </w:div>
    <w:div w:id="777337750">
      <w:bodyDiv w:val="1"/>
      <w:marLeft w:val="0"/>
      <w:marRight w:val="0"/>
      <w:marTop w:val="0"/>
      <w:marBottom w:val="0"/>
      <w:divBdr>
        <w:top w:val="none" w:sz="0" w:space="0" w:color="auto"/>
        <w:left w:val="none" w:sz="0" w:space="0" w:color="auto"/>
        <w:bottom w:val="none" w:sz="0" w:space="0" w:color="auto"/>
        <w:right w:val="none" w:sz="0" w:space="0" w:color="auto"/>
      </w:divBdr>
    </w:div>
    <w:div w:id="777412989">
      <w:bodyDiv w:val="1"/>
      <w:marLeft w:val="0"/>
      <w:marRight w:val="0"/>
      <w:marTop w:val="0"/>
      <w:marBottom w:val="0"/>
      <w:divBdr>
        <w:top w:val="none" w:sz="0" w:space="0" w:color="auto"/>
        <w:left w:val="none" w:sz="0" w:space="0" w:color="auto"/>
        <w:bottom w:val="none" w:sz="0" w:space="0" w:color="auto"/>
        <w:right w:val="none" w:sz="0" w:space="0" w:color="auto"/>
      </w:divBdr>
    </w:div>
    <w:div w:id="777453593">
      <w:bodyDiv w:val="1"/>
      <w:marLeft w:val="0"/>
      <w:marRight w:val="0"/>
      <w:marTop w:val="0"/>
      <w:marBottom w:val="0"/>
      <w:divBdr>
        <w:top w:val="none" w:sz="0" w:space="0" w:color="auto"/>
        <w:left w:val="none" w:sz="0" w:space="0" w:color="auto"/>
        <w:bottom w:val="none" w:sz="0" w:space="0" w:color="auto"/>
        <w:right w:val="none" w:sz="0" w:space="0" w:color="auto"/>
      </w:divBdr>
    </w:div>
    <w:div w:id="777600113">
      <w:bodyDiv w:val="1"/>
      <w:marLeft w:val="0"/>
      <w:marRight w:val="0"/>
      <w:marTop w:val="0"/>
      <w:marBottom w:val="0"/>
      <w:divBdr>
        <w:top w:val="none" w:sz="0" w:space="0" w:color="auto"/>
        <w:left w:val="none" w:sz="0" w:space="0" w:color="auto"/>
        <w:bottom w:val="none" w:sz="0" w:space="0" w:color="auto"/>
        <w:right w:val="none" w:sz="0" w:space="0" w:color="auto"/>
      </w:divBdr>
    </w:div>
    <w:div w:id="777650348">
      <w:bodyDiv w:val="1"/>
      <w:marLeft w:val="0"/>
      <w:marRight w:val="0"/>
      <w:marTop w:val="0"/>
      <w:marBottom w:val="0"/>
      <w:divBdr>
        <w:top w:val="none" w:sz="0" w:space="0" w:color="auto"/>
        <w:left w:val="none" w:sz="0" w:space="0" w:color="auto"/>
        <w:bottom w:val="none" w:sz="0" w:space="0" w:color="auto"/>
        <w:right w:val="none" w:sz="0" w:space="0" w:color="auto"/>
      </w:divBdr>
    </w:div>
    <w:div w:id="777793442">
      <w:bodyDiv w:val="1"/>
      <w:marLeft w:val="0"/>
      <w:marRight w:val="0"/>
      <w:marTop w:val="0"/>
      <w:marBottom w:val="0"/>
      <w:divBdr>
        <w:top w:val="none" w:sz="0" w:space="0" w:color="auto"/>
        <w:left w:val="none" w:sz="0" w:space="0" w:color="auto"/>
        <w:bottom w:val="none" w:sz="0" w:space="0" w:color="auto"/>
        <w:right w:val="none" w:sz="0" w:space="0" w:color="auto"/>
      </w:divBdr>
    </w:div>
    <w:div w:id="777871167">
      <w:bodyDiv w:val="1"/>
      <w:marLeft w:val="0"/>
      <w:marRight w:val="0"/>
      <w:marTop w:val="0"/>
      <w:marBottom w:val="0"/>
      <w:divBdr>
        <w:top w:val="none" w:sz="0" w:space="0" w:color="auto"/>
        <w:left w:val="none" w:sz="0" w:space="0" w:color="auto"/>
        <w:bottom w:val="none" w:sz="0" w:space="0" w:color="auto"/>
        <w:right w:val="none" w:sz="0" w:space="0" w:color="auto"/>
      </w:divBdr>
    </w:div>
    <w:div w:id="777990867">
      <w:bodyDiv w:val="1"/>
      <w:marLeft w:val="0"/>
      <w:marRight w:val="0"/>
      <w:marTop w:val="0"/>
      <w:marBottom w:val="0"/>
      <w:divBdr>
        <w:top w:val="none" w:sz="0" w:space="0" w:color="auto"/>
        <w:left w:val="none" w:sz="0" w:space="0" w:color="auto"/>
        <w:bottom w:val="none" w:sz="0" w:space="0" w:color="auto"/>
        <w:right w:val="none" w:sz="0" w:space="0" w:color="auto"/>
      </w:divBdr>
    </w:div>
    <w:div w:id="777993010">
      <w:bodyDiv w:val="1"/>
      <w:marLeft w:val="0"/>
      <w:marRight w:val="0"/>
      <w:marTop w:val="0"/>
      <w:marBottom w:val="0"/>
      <w:divBdr>
        <w:top w:val="none" w:sz="0" w:space="0" w:color="auto"/>
        <w:left w:val="none" w:sz="0" w:space="0" w:color="auto"/>
        <w:bottom w:val="none" w:sz="0" w:space="0" w:color="auto"/>
        <w:right w:val="none" w:sz="0" w:space="0" w:color="auto"/>
      </w:divBdr>
    </w:div>
    <w:div w:id="778254055">
      <w:bodyDiv w:val="1"/>
      <w:marLeft w:val="0"/>
      <w:marRight w:val="0"/>
      <w:marTop w:val="0"/>
      <w:marBottom w:val="0"/>
      <w:divBdr>
        <w:top w:val="none" w:sz="0" w:space="0" w:color="auto"/>
        <w:left w:val="none" w:sz="0" w:space="0" w:color="auto"/>
        <w:bottom w:val="none" w:sz="0" w:space="0" w:color="auto"/>
        <w:right w:val="none" w:sz="0" w:space="0" w:color="auto"/>
      </w:divBdr>
    </w:div>
    <w:div w:id="778256812">
      <w:bodyDiv w:val="1"/>
      <w:marLeft w:val="0"/>
      <w:marRight w:val="0"/>
      <w:marTop w:val="0"/>
      <w:marBottom w:val="0"/>
      <w:divBdr>
        <w:top w:val="none" w:sz="0" w:space="0" w:color="auto"/>
        <w:left w:val="none" w:sz="0" w:space="0" w:color="auto"/>
        <w:bottom w:val="none" w:sz="0" w:space="0" w:color="auto"/>
        <w:right w:val="none" w:sz="0" w:space="0" w:color="auto"/>
      </w:divBdr>
    </w:div>
    <w:div w:id="778261442">
      <w:bodyDiv w:val="1"/>
      <w:marLeft w:val="0"/>
      <w:marRight w:val="0"/>
      <w:marTop w:val="0"/>
      <w:marBottom w:val="0"/>
      <w:divBdr>
        <w:top w:val="none" w:sz="0" w:space="0" w:color="auto"/>
        <w:left w:val="none" w:sz="0" w:space="0" w:color="auto"/>
        <w:bottom w:val="none" w:sz="0" w:space="0" w:color="auto"/>
        <w:right w:val="none" w:sz="0" w:space="0" w:color="auto"/>
      </w:divBdr>
    </w:div>
    <w:div w:id="778329960">
      <w:bodyDiv w:val="1"/>
      <w:marLeft w:val="0"/>
      <w:marRight w:val="0"/>
      <w:marTop w:val="0"/>
      <w:marBottom w:val="0"/>
      <w:divBdr>
        <w:top w:val="none" w:sz="0" w:space="0" w:color="auto"/>
        <w:left w:val="none" w:sz="0" w:space="0" w:color="auto"/>
        <w:bottom w:val="none" w:sz="0" w:space="0" w:color="auto"/>
        <w:right w:val="none" w:sz="0" w:space="0" w:color="auto"/>
      </w:divBdr>
    </w:div>
    <w:div w:id="778335487">
      <w:bodyDiv w:val="1"/>
      <w:marLeft w:val="0"/>
      <w:marRight w:val="0"/>
      <w:marTop w:val="0"/>
      <w:marBottom w:val="0"/>
      <w:divBdr>
        <w:top w:val="none" w:sz="0" w:space="0" w:color="auto"/>
        <w:left w:val="none" w:sz="0" w:space="0" w:color="auto"/>
        <w:bottom w:val="none" w:sz="0" w:space="0" w:color="auto"/>
        <w:right w:val="none" w:sz="0" w:space="0" w:color="auto"/>
      </w:divBdr>
    </w:div>
    <w:div w:id="778640491">
      <w:bodyDiv w:val="1"/>
      <w:marLeft w:val="0"/>
      <w:marRight w:val="0"/>
      <w:marTop w:val="0"/>
      <w:marBottom w:val="0"/>
      <w:divBdr>
        <w:top w:val="none" w:sz="0" w:space="0" w:color="auto"/>
        <w:left w:val="none" w:sz="0" w:space="0" w:color="auto"/>
        <w:bottom w:val="none" w:sz="0" w:space="0" w:color="auto"/>
        <w:right w:val="none" w:sz="0" w:space="0" w:color="auto"/>
      </w:divBdr>
    </w:div>
    <w:div w:id="778641971">
      <w:bodyDiv w:val="1"/>
      <w:marLeft w:val="0"/>
      <w:marRight w:val="0"/>
      <w:marTop w:val="0"/>
      <w:marBottom w:val="0"/>
      <w:divBdr>
        <w:top w:val="none" w:sz="0" w:space="0" w:color="auto"/>
        <w:left w:val="none" w:sz="0" w:space="0" w:color="auto"/>
        <w:bottom w:val="none" w:sz="0" w:space="0" w:color="auto"/>
        <w:right w:val="none" w:sz="0" w:space="0" w:color="auto"/>
      </w:divBdr>
    </w:div>
    <w:div w:id="778716173">
      <w:bodyDiv w:val="1"/>
      <w:marLeft w:val="0"/>
      <w:marRight w:val="0"/>
      <w:marTop w:val="0"/>
      <w:marBottom w:val="0"/>
      <w:divBdr>
        <w:top w:val="none" w:sz="0" w:space="0" w:color="auto"/>
        <w:left w:val="none" w:sz="0" w:space="0" w:color="auto"/>
        <w:bottom w:val="none" w:sz="0" w:space="0" w:color="auto"/>
        <w:right w:val="none" w:sz="0" w:space="0" w:color="auto"/>
      </w:divBdr>
    </w:div>
    <w:div w:id="778723438">
      <w:bodyDiv w:val="1"/>
      <w:marLeft w:val="0"/>
      <w:marRight w:val="0"/>
      <w:marTop w:val="0"/>
      <w:marBottom w:val="0"/>
      <w:divBdr>
        <w:top w:val="none" w:sz="0" w:space="0" w:color="auto"/>
        <w:left w:val="none" w:sz="0" w:space="0" w:color="auto"/>
        <w:bottom w:val="none" w:sz="0" w:space="0" w:color="auto"/>
        <w:right w:val="none" w:sz="0" w:space="0" w:color="auto"/>
      </w:divBdr>
    </w:div>
    <w:div w:id="778795163">
      <w:bodyDiv w:val="1"/>
      <w:marLeft w:val="0"/>
      <w:marRight w:val="0"/>
      <w:marTop w:val="0"/>
      <w:marBottom w:val="0"/>
      <w:divBdr>
        <w:top w:val="none" w:sz="0" w:space="0" w:color="auto"/>
        <w:left w:val="none" w:sz="0" w:space="0" w:color="auto"/>
        <w:bottom w:val="none" w:sz="0" w:space="0" w:color="auto"/>
        <w:right w:val="none" w:sz="0" w:space="0" w:color="auto"/>
      </w:divBdr>
    </w:div>
    <w:div w:id="778838788">
      <w:bodyDiv w:val="1"/>
      <w:marLeft w:val="0"/>
      <w:marRight w:val="0"/>
      <w:marTop w:val="0"/>
      <w:marBottom w:val="0"/>
      <w:divBdr>
        <w:top w:val="none" w:sz="0" w:space="0" w:color="auto"/>
        <w:left w:val="none" w:sz="0" w:space="0" w:color="auto"/>
        <w:bottom w:val="none" w:sz="0" w:space="0" w:color="auto"/>
        <w:right w:val="none" w:sz="0" w:space="0" w:color="auto"/>
      </w:divBdr>
    </w:div>
    <w:div w:id="779027989">
      <w:bodyDiv w:val="1"/>
      <w:marLeft w:val="0"/>
      <w:marRight w:val="0"/>
      <w:marTop w:val="0"/>
      <w:marBottom w:val="0"/>
      <w:divBdr>
        <w:top w:val="none" w:sz="0" w:space="0" w:color="auto"/>
        <w:left w:val="none" w:sz="0" w:space="0" w:color="auto"/>
        <w:bottom w:val="none" w:sz="0" w:space="0" w:color="auto"/>
        <w:right w:val="none" w:sz="0" w:space="0" w:color="auto"/>
      </w:divBdr>
    </w:div>
    <w:div w:id="779030690">
      <w:bodyDiv w:val="1"/>
      <w:marLeft w:val="0"/>
      <w:marRight w:val="0"/>
      <w:marTop w:val="0"/>
      <w:marBottom w:val="0"/>
      <w:divBdr>
        <w:top w:val="none" w:sz="0" w:space="0" w:color="auto"/>
        <w:left w:val="none" w:sz="0" w:space="0" w:color="auto"/>
        <w:bottom w:val="none" w:sz="0" w:space="0" w:color="auto"/>
        <w:right w:val="none" w:sz="0" w:space="0" w:color="auto"/>
      </w:divBdr>
    </w:div>
    <w:div w:id="779109720">
      <w:bodyDiv w:val="1"/>
      <w:marLeft w:val="0"/>
      <w:marRight w:val="0"/>
      <w:marTop w:val="0"/>
      <w:marBottom w:val="0"/>
      <w:divBdr>
        <w:top w:val="none" w:sz="0" w:space="0" w:color="auto"/>
        <w:left w:val="none" w:sz="0" w:space="0" w:color="auto"/>
        <w:bottom w:val="none" w:sz="0" w:space="0" w:color="auto"/>
        <w:right w:val="none" w:sz="0" w:space="0" w:color="auto"/>
      </w:divBdr>
    </w:div>
    <w:div w:id="779183500">
      <w:bodyDiv w:val="1"/>
      <w:marLeft w:val="0"/>
      <w:marRight w:val="0"/>
      <w:marTop w:val="0"/>
      <w:marBottom w:val="0"/>
      <w:divBdr>
        <w:top w:val="none" w:sz="0" w:space="0" w:color="auto"/>
        <w:left w:val="none" w:sz="0" w:space="0" w:color="auto"/>
        <w:bottom w:val="none" w:sz="0" w:space="0" w:color="auto"/>
        <w:right w:val="none" w:sz="0" w:space="0" w:color="auto"/>
      </w:divBdr>
    </w:div>
    <w:div w:id="779185754">
      <w:bodyDiv w:val="1"/>
      <w:marLeft w:val="0"/>
      <w:marRight w:val="0"/>
      <w:marTop w:val="0"/>
      <w:marBottom w:val="0"/>
      <w:divBdr>
        <w:top w:val="none" w:sz="0" w:space="0" w:color="auto"/>
        <w:left w:val="none" w:sz="0" w:space="0" w:color="auto"/>
        <w:bottom w:val="none" w:sz="0" w:space="0" w:color="auto"/>
        <w:right w:val="none" w:sz="0" w:space="0" w:color="auto"/>
      </w:divBdr>
    </w:div>
    <w:div w:id="779226322">
      <w:bodyDiv w:val="1"/>
      <w:marLeft w:val="0"/>
      <w:marRight w:val="0"/>
      <w:marTop w:val="0"/>
      <w:marBottom w:val="0"/>
      <w:divBdr>
        <w:top w:val="none" w:sz="0" w:space="0" w:color="auto"/>
        <w:left w:val="none" w:sz="0" w:space="0" w:color="auto"/>
        <w:bottom w:val="none" w:sz="0" w:space="0" w:color="auto"/>
        <w:right w:val="none" w:sz="0" w:space="0" w:color="auto"/>
      </w:divBdr>
    </w:div>
    <w:div w:id="779253033">
      <w:bodyDiv w:val="1"/>
      <w:marLeft w:val="0"/>
      <w:marRight w:val="0"/>
      <w:marTop w:val="0"/>
      <w:marBottom w:val="0"/>
      <w:divBdr>
        <w:top w:val="none" w:sz="0" w:space="0" w:color="auto"/>
        <w:left w:val="none" w:sz="0" w:space="0" w:color="auto"/>
        <w:bottom w:val="none" w:sz="0" w:space="0" w:color="auto"/>
        <w:right w:val="none" w:sz="0" w:space="0" w:color="auto"/>
      </w:divBdr>
    </w:div>
    <w:div w:id="779297842">
      <w:bodyDiv w:val="1"/>
      <w:marLeft w:val="0"/>
      <w:marRight w:val="0"/>
      <w:marTop w:val="0"/>
      <w:marBottom w:val="0"/>
      <w:divBdr>
        <w:top w:val="none" w:sz="0" w:space="0" w:color="auto"/>
        <w:left w:val="none" w:sz="0" w:space="0" w:color="auto"/>
        <w:bottom w:val="none" w:sz="0" w:space="0" w:color="auto"/>
        <w:right w:val="none" w:sz="0" w:space="0" w:color="auto"/>
      </w:divBdr>
    </w:div>
    <w:div w:id="779371049">
      <w:bodyDiv w:val="1"/>
      <w:marLeft w:val="0"/>
      <w:marRight w:val="0"/>
      <w:marTop w:val="0"/>
      <w:marBottom w:val="0"/>
      <w:divBdr>
        <w:top w:val="none" w:sz="0" w:space="0" w:color="auto"/>
        <w:left w:val="none" w:sz="0" w:space="0" w:color="auto"/>
        <w:bottom w:val="none" w:sz="0" w:space="0" w:color="auto"/>
        <w:right w:val="none" w:sz="0" w:space="0" w:color="auto"/>
      </w:divBdr>
    </w:div>
    <w:div w:id="779446160">
      <w:bodyDiv w:val="1"/>
      <w:marLeft w:val="0"/>
      <w:marRight w:val="0"/>
      <w:marTop w:val="0"/>
      <w:marBottom w:val="0"/>
      <w:divBdr>
        <w:top w:val="none" w:sz="0" w:space="0" w:color="auto"/>
        <w:left w:val="none" w:sz="0" w:space="0" w:color="auto"/>
        <w:bottom w:val="none" w:sz="0" w:space="0" w:color="auto"/>
        <w:right w:val="none" w:sz="0" w:space="0" w:color="auto"/>
      </w:divBdr>
    </w:div>
    <w:div w:id="779493640">
      <w:bodyDiv w:val="1"/>
      <w:marLeft w:val="0"/>
      <w:marRight w:val="0"/>
      <w:marTop w:val="0"/>
      <w:marBottom w:val="0"/>
      <w:divBdr>
        <w:top w:val="none" w:sz="0" w:space="0" w:color="auto"/>
        <w:left w:val="none" w:sz="0" w:space="0" w:color="auto"/>
        <w:bottom w:val="none" w:sz="0" w:space="0" w:color="auto"/>
        <w:right w:val="none" w:sz="0" w:space="0" w:color="auto"/>
      </w:divBdr>
    </w:div>
    <w:div w:id="779495913">
      <w:bodyDiv w:val="1"/>
      <w:marLeft w:val="0"/>
      <w:marRight w:val="0"/>
      <w:marTop w:val="0"/>
      <w:marBottom w:val="0"/>
      <w:divBdr>
        <w:top w:val="none" w:sz="0" w:space="0" w:color="auto"/>
        <w:left w:val="none" w:sz="0" w:space="0" w:color="auto"/>
        <w:bottom w:val="none" w:sz="0" w:space="0" w:color="auto"/>
        <w:right w:val="none" w:sz="0" w:space="0" w:color="auto"/>
      </w:divBdr>
    </w:div>
    <w:div w:id="779648175">
      <w:bodyDiv w:val="1"/>
      <w:marLeft w:val="0"/>
      <w:marRight w:val="0"/>
      <w:marTop w:val="0"/>
      <w:marBottom w:val="0"/>
      <w:divBdr>
        <w:top w:val="none" w:sz="0" w:space="0" w:color="auto"/>
        <w:left w:val="none" w:sz="0" w:space="0" w:color="auto"/>
        <w:bottom w:val="none" w:sz="0" w:space="0" w:color="auto"/>
        <w:right w:val="none" w:sz="0" w:space="0" w:color="auto"/>
      </w:divBdr>
    </w:div>
    <w:div w:id="779760301">
      <w:bodyDiv w:val="1"/>
      <w:marLeft w:val="0"/>
      <w:marRight w:val="0"/>
      <w:marTop w:val="0"/>
      <w:marBottom w:val="0"/>
      <w:divBdr>
        <w:top w:val="none" w:sz="0" w:space="0" w:color="auto"/>
        <w:left w:val="none" w:sz="0" w:space="0" w:color="auto"/>
        <w:bottom w:val="none" w:sz="0" w:space="0" w:color="auto"/>
        <w:right w:val="none" w:sz="0" w:space="0" w:color="auto"/>
      </w:divBdr>
    </w:div>
    <w:div w:id="779762695">
      <w:bodyDiv w:val="1"/>
      <w:marLeft w:val="0"/>
      <w:marRight w:val="0"/>
      <w:marTop w:val="0"/>
      <w:marBottom w:val="0"/>
      <w:divBdr>
        <w:top w:val="none" w:sz="0" w:space="0" w:color="auto"/>
        <w:left w:val="none" w:sz="0" w:space="0" w:color="auto"/>
        <w:bottom w:val="none" w:sz="0" w:space="0" w:color="auto"/>
        <w:right w:val="none" w:sz="0" w:space="0" w:color="auto"/>
      </w:divBdr>
    </w:div>
    <w:div w:id="779952629">
      <w:bodyDiv w:val="1"/>
      <w:marLeft w:val="0"/>
      <w:marRight w:val="0"/>
      <w:marTop w:val="0"/>
      <w:marBottom w:val="0"/>
      <w:divBdr>
        <w:top w:val="none" w:sz="0" w:space="0" w:color="auto"/>
        <w:left w:val="none" w:sz="0" w:space="0" w:color="auto"/>
        <w:bottom w:val="none" w:sz="0" w:space="0" w:color="auto"/>
        <w:right w:val="none" w:sz="0" w:space="0" w:color="auto"/>
      </w:divBdr>
    </w:div>
    <w:div w:id="780027140">
      <w:bodyDiv w:val="1"/>
      <w:marLeft w:val="0"/>
      <w:marRight w:val="0"/>
      <w:marTop w:val="0"/>
      <w:marBottom w:val="0"/>
      <w:divBdr>
        <w:top w:val="none" w:sz="0" w:space="0" w:color="auto"/>
        <w:left w:val="none" w:sz="0" w:space="0" w:color="auto"/>
        <w:bottom w:val="none" w:sz="0" w:space="0" w:color="auto"/>
        <w:right w:val="none" w:sz="0" w:space="0" w:color="auto"/>
      </w:divBdr>
    </w:div>
    <w:div w:id="780029793">
      <w:bodyDiv w:val="1"/>
      <w:marLeft w:val="0"/>
      <w:marRight w:val="0"/>
      <w:marTop w:val="0"/>
      <w:marBottom w:val="0"/>
      <w:divBdr>
        <w:top w:val="none" w:sz="0" w:space="0" w:color="auto"/>
        <w:left w:val="none" w:sz="0" w:space="0" w:color="auto"/>
        <w:bottom w:val="none" w:sz="0" w:space="0" w:color="auto"/>
        <w:right w:val="none" w:sz="0" w:space="0" w:color="auto"/>
      </w:divBdr>
    </w:div>
    <w:div w:id="780075437">
      <w:bodyDiv w:val="1"/>
      <w:marLeft w:val="0"/>
      <w:marRight w:val="0"/>
      <w:marTop w:val="0"/>
      <w:marBottom w:val="0"/>
      <w:divBdr>
        <w:top w:val="none" w:sz="0" w:space="0" w:color="auto"/>
        <w:left w:val="none" w:sz="0" w:space="0" w:color="auto"/>
        <w:bottom w:val="none" w:sz="0" w:space="0" w:color="auto"/>
        <w:right w:val="none" w:sz="0" w:space="0" w:color="auto"/>
      </w:divBdr>
    </w:div>
    <w:div w:id="780146154">
      <w:bodyDiv w:val="1"/>
      <w:marLeft w:val="0"/>
      <w:marRight w:val="0"/>
      <w:marTop w:val="0"/>
      <w:marBottom w:val="0"/>
      <w:divBdr>
        <w:top w:val="none" w:sz="0" w:space="0" w:color="auto"/>
        <w:left w:val="none" w:sz="0" w:space="0" w:color="auto"/>
        <w:bottom w:val="none" w:sz="0" w:space="0" w:color="auto"/>
        <w:right w:val="none" w:sz="0" w:space="0" w:color="auto"/>
      </w:divBdr>
    </w:div>
    <w:div w:id="780151344">
      <w:bodyDiv w:val="1"/>
      <w:marLeft w:val="0"/>
      <w:marRight w:val="0"/>
      <w:marTop w:val="0"/>
      <w:marBottom w:val="0"/>
      <w:divBdr>
        <w:top w:val="none" w:sz="0" w:space="0" w:color="auto"/>
        <w:left w:val="none" w:sz="0" w:space="0" w:color="auto"/>
        <w:bottom w:val="none" w:sz="0" w:space="0" w:color="auto"/>
        <w:right w:val="none" w:sz="0" w:space="0" w:color="auto"/>
      </w:divBdr>
    </w:div>
    <w:div w:id="780152982">
      <w:bodyDiv w:val="1"/>
      <w:marLeft w:val="0"/>
      <w:marRight w:val="0"/>
      <w:marTop w:val="0"/>
      <w:marBottom w:val="0"/>
      <w:divBdr>
        <w:top w:val="none" w:sz="0" w:space="0" w:color="auto"/>
        <w:left w:val="none" w:sz="0" w:space="0" w:color="auto"/>
        <w:bottom w:val="none" w:sz="0" w:space="0" w:color="auto"/>
        <w:right w:val="none" w:sz="0" w:space="0" w:color="auto"/>
      </w:divBdr>
    </w:div>
    <w:div w:id="780299095">
      <w:bodyDiv w:val="1"/>
      <w:marLeft w:val="0"/>
      <w:marRight w:val="0"/>
      <w:marTop w:val="0"/>
      <w:marBottom w:val="0"/>
      <w:divBdr>
        <w:top w:val="none" w:sz="0" w:space="0" w:color="auto"/>
        <w:left w:val="none" w:sz="0" w:space="0" w:color="auto"/>
        <w:bottom w:val="none" w:sz="0" w:space="0" w:color="auto"/>
        <w:right w:val="none" w:sz="0" w:space="0" w:color="auto"/>
      </w:divBdr>
    </w:div>
    <w:div w:id="780342332">
      <w:bodyDiv w:val="1"/>
      <w:marLeft w:val="0"/>
      <w:marRight w:val="0"/>
      <w:marTop w:val="0"/>
      <w:marBottom w:val="0"/>
      <w:divBdr>
        <w:top w:val="none" w:sz="0" w:space="0" w:color="auto"/>
        <w:left w:val="none" w:sz="0" w:space="0" w:color="auto"/>
        <w:bottom w:val="none" w:sz="0" w:space="0" w:color="auto"/>
        <w:right w:val="none" w:sz="0" w:space="0" w:color="auto"/>
      </w:divBdr>
    </w:div>
    <w:div w:id="780490349">
      <w:bodyDiv w:val="1"/>
      <w:marLeft w:val="0"/>
      <w:marRight w:val="0"/>
      <w:marTop w:val="0"/>
      <w:marBottom w:val="0"/>
      <w:divBdr>
        <w:top w:val="none" w:sz="0" w:space="0" w:color="auto"/>
        <w:left w:val="none" w:sz="0" w:space="0" w:color="auto"/>
        <w:bottom w:val="none" w:sz="0" w:space="0" w:color="auto"/>
        <w:right w:val="none" w:sz="0" w:space="0" w:color="auto"/>
      </w:divBdr>
    </w:div>
    <w:div w:id="780495994">
      <w:bodyDiv w:val="1"/>
      <w:marLeft w:val="0"/>
      <w:marRight w:val="0"/>
      <w:marTop w:val="0"/>
      <w:marBottom w:val="0"/>
      <w:divBdr>
        <w:top w:val="none" w:sz="0" w:space="0" w:color="auto"/>
        <w:left w:val="none" w:sz="0" w:space="0" w:color="auto"/>
        <w:bottom w:val="none" w:sz="0" w:space="0" w:color="auto"/>
        <w:right w:val="none" w:sz="0" w:space="0" w:color="auto"/>
      </w:divBdr>
    </w:div>
    <w:div w:id="780535709">
      <w:bodyDiv w:val="1"/>
      <w:marLeft w:val="0"/>
      <w:marRight w:val="0"/>
      <w:marTop w:val="0"/>
      <w:marBottom w:val="0"/>
      <w:divBdr>
        <w:top w:val="none" w:sz="0" w:space="0" w:color="auto"/>
        <w:left w:val="none" w:sz="0" w:space="0" w:color="auto"/>
        <w:bottom w:val="none" w:sz="0" w:space="0" w:color="auto"/>
        <w:right w:val="none" w:sz="0" w:space="0" w:color="auto"/>
      </w:divBdr>
    </w:div>
    <w:div w:id="780606961">
      <w:bodyDiv w:val="1"/>
      <w:marLeft w:val="0"/>
      <w:marRight w:val="0"/>
      <w:marTop w:val="0"/>
      <w:marBottom w:val="0"/>
      <w:divBdr>
        <w:top w:val="none" w:sz="0" w:space="0" w:color="auto"/>
        <w:left w:val="none" w:sz="0" w:space="0" w:color="auto"/>
        <w:bottom w:val="none" w:sz="0" w:space="0" w:color="auto"/>
        <w:right w:val="none" w:sz="0" w:space="0" w:color="auto"/>
      </w:divBdr>
    </w:div>
    <w:div w:id="780757228">
      <w:bodyDiv w:val="1"/>
      <w:marLeft w:val="0"/>
      <w:marRight w:val="0"/>
      <w:marTop w:val="0"/>
      <w:marBottom w:val="0"/>
      <w:divBdr>
        <w:top w:val="none" w:sz="0" w:space="0" w:color="auto"/>
        <w:left w:val="none" w:sz="0" w:space="0" w:color="auto"/>
        <w:bottom w:val="none" w:sz="0" w:space="0" w:color="auto"/>
        <w:right w:val="none" w:sz="0" w:space="0" w:color="auto"/>
      </w:divBdr>
    </w:div>
    <w:div w:id="780803421">
      <w:bodyDiv w:val="1"/>
      <w:marLeft w:val="0"/>
      <w:marRight w:val="0"/>
      <w:marTop w:val="0"/>
      <w:marBottom w:val="0"/>
      <w:divBdr>
        <w:top w:val="none" w:sz="0" w:space="0" w:color="auto"/>
        <w:left w:val="none" w:sz="0" w:space="0" w:color="auto"/>
        <w:bottom w:val="none" w:sz="0" w:space="0" w:color="auto"/>
        <w:right w:val="none" w:sz="0" w:space="0" w:color="auto"/>
      </w:divBdr>
    </w:div>
    <w:div w:id="780956763">
      <w:bodyDiv w:val="1"/>
      <w:marLeft w:val="0"/>
      <w:marRight w:val="0"/>
      <w:marTop w:val="0"/>
      <w:marBottom w:val="0"/>
      <w:divBdr>
        <w:top w:val="none" w:sz="0" w:space="0" w:color="auto"/>
        <w:left w:val="none" w:sz="0" w:space="0" w:color="auto"/>
        <w:bottom w:val="none" w:sz="0" w:space="0" w:color="auto"/>
        <w:right w:val="none" w:sz="0" w:space="0" w:color="auto"/>
      </w:divBdr>
    </w:div>
    <w:div w:id="781076255">
      <w:bodyDiv w:val="1"/>
      <w:marLeft w:val="0"/>
      <w:marRight w:val="0"/>
      <w:marTop w:val="0"/>
      <w:marBottom w:val="0"/>
      <w:divBdr>
        <w:top w:val="none" w:sz="0" w:space="0" w:color="auto"/>
        <w:left w:val="none" w:sz="0" w:space="0" w:color="auto"/>
        <w:bottom w:val="none" w:sz="0" w:space="0" w:color="auto"/>
        <w:right w:val="none" w:sz="0" w:space="0" w:color="auto"/>
      </w:divBdr>
    </w:div>
    <w:div w:id="781151490">
      <w:bodyDiv w:val="1"/>
      <w:marLeft w:val="0"/>
      <w:marRight w:val="0"/>
      <w:marTop w:val="0"/>
      <w:marBottom w:val="0"/>
      <w:divBdr>
        <w:top w:val="none" w:sz="0" w:space="0" w:color="auto"/>
        <w:left w:val="none" w:sz="0" w:space="0" w:color="auto"/>
        <w:bottom w:val="none" w:sz="0" w:space="0" w:color="auto"/>
        <w:right w:val="none" w:sz="0" w:space="0" w:color="auto"/>
      </w:divBdr>
    </w:div>
    <w:div w:id="781220701">
      <w:bodyDiv w:val="1"/>
      <w:marLeft w:val="0"/>
      <w:marRight w:val="0"/>
      <w:marTop w:val="0"/>
      <w:marBottom w:val="0"/>
      <w:divBdr>
        <w:top w:val="none" w:sz="0" w:space="0" w:color="auto"/>
        <w:left w:val="none" w:sz="0" w:space="0" w:color="auto"/>
        <w:bottom w:val="none" w:sz="0" w:space="0" w:color="auto"/>
        <w:right w:val="none" w:sz="0" w:space="0" w:color="auto"/>
      </w:divBdr>
    </w:div>
    <w:div w:id="781264681">
      <w:bodyDiv w:val="1"/>
      <w:marLeft w:val="0"/>
      <w:marRight w:val="0"/>
      <w:marTop w:val="0"/>
      <w:marBottom w:val="0"/>
      <w:divBdr>
        <w:top w:val="none" w:sz="0" w:space="0" w:color="auto"/>
        <w:left w:val="none" w:sz="0" w:space="0" w:color="auto"/>
        <w:bottom w:val="none" w:sz="0" w:space="0" w:color="auto"/>
        <w:right w:val="none" w:sz="0" w:space="0" w:color="auto"/>
      </w:divBdr>
    </w:div>
    <w:div w:id="781339690">
      <w:bodyDiv w:val="1"/>
      <w:marLeft w:val="0"/>
      <w:marRight w:val="0"/>
      <w:marTop w:val="0"/>
      <w:marBottom w:val="0"/>
      <w:divBdr>
        <w:top w:val="none" w:sz="0" w:space="0" w:color="auto"/>
        <w:left w:val="none" w:sz="0" w:space="0" w:color="auto"/>
        <w:bottom w:val="none" w:sz="0" w:space="0" w:color="auto"/>
        <w:right w:val="none" w:sz="0" w:space="0" w:color="auto"/>
      </w:divBdr>
    </w:div>
    <w:div w:id="781344978">
      <w:bodyDiv w:val="1"/>
      <w:marLeft w:val="0"/>
      <w:marRight w:val="0"/>
      <w:marTop w:val="0"/>
      <w:marBottom w:val="0"/>
      <w:divBdr>
        <w:top w:val="none" w:sz="0" w:space="0" w:color="auto"/>
        <w:left w:val="none" w:sz="0" w:space="0" w:color="auto"/>
        <w:bottom w:val="none" w:sz="0" w:space="0" w:color="auto"/>
        <w:right w:val="none" w:sz="0" w:space="0" w:color="auto"/>
      </w:divBdr>
    </w:div>
    <w:div w:id="781417878">
      <w:bodyDiv w:val="1"/>
      <w:marLeft w:val="0"/>
      <w:marRight w:val="0"/>
      <w:marTop w:val="0"/>
      <w:marBottom w:val="0"/>
      <w:divBdr>
        <w:top w:val="none" w:sz="0" w:space="0" w:color="auto"/>
        <w:left w:val="none" w:sz="0" w:space="0" w:color="auto"/>
        <w:bottom w:val="none" w:sz="0" w:space="0" w:color="auto"/>
        <w:right w:val="none" w:sz="0" w:space="0" w:color="auto"/>
      </w:divBdr>
    </w:div>
    <w:div w:id="781455195">
      <w:bodyDiv w:val="1"/>
      <w:marLeft w:val="0"/>
      <w:marRight w:val="0"/>
      <w:marTop w:val="0"/>
      <w:marBottom w:val="0"/>
      <w:divBdr>
        <w:top w:val="none" w:sz="0" w:space="0" w:color="auto"/>
        <w:left w:val="none" w:sz="0" w:space="0" w:color="auto"/>
        <w:bottom w:val="none" w:sz="0" w:space="0" w:color="auto"/>
        <w:right w:val="none" w:sz="0" w:space="0" w:color="auto"/>
      </w:divBdr>
    </w:div>
    <w:div w:id="781605724">
      <w:bodyDiv w:val="1"/>
      <w:marLeft w:val="0"/>
      <w:marRight w:val="0"/>
      <w:marTop w:val="0"/>
      <w:marBottom w:val="0"/>
      <w:divBdr>
        <w:top w:val="none" w:sz="0" w:space="0" w:color="auto"/>
        <w:left w:val="none" w:sz="0" w:space="0" w:color="auto"/>
        <w:bottom w:val="none" w:sz="0" w:space="0" w:color="auto"/>
        <w:right w:val="none" w:sz="0" w:space="0" w:color="auto"/>
      </w:divBdr>
    </w:div>
    <w:div w:id="781649655">
      <w:bodyDiv w:val="1"/>
      <w:marLeft w:val="0"/>
      <w:marRight w:val="0"/>
      <w:marTop w:val="0"/>
      <w:marBottom w:val="0"/>
      <w:divBdr>
        <w:top w:val="none" w:sz="0" w:space="0" w:color="auto"/>
        <w:left w:val="none" w:sz="0" w:space="0" w:color="auto"/>
        <w:bottom w:val="none" w:sz="0" w:space="0" w:color="auto"/>
        <w:right w:val="none" w:sz="0" w:space="0" w:color="auto"/>
      </w:divBdr>
    </w:div>
    <w:div w:id="781725682">
      <w:bodyDiv w:val="1"/>
      <w:marLeft w:val="0"/>
      <w:marRight w:val="0"/>
      <w:marTop w:val="0"/>
      <w:marBottom w:val="0"/>
      <w:divBdr>
        <w:top w:val="none" w:sz="0" w:space="0" w:color="auto"/>
        <w:left w:val="none" w:sz="0" w:space="0" w:color="auto"/>
        <w:bottom w:val="none" w:sz="0" w:space="0" w:color="auto"/>
        <w:right w:val="none" w:sz="0" w:space="0" w:color="auto"/>
      </w:divBdr>
    </w:div>
    <w:div w:id="781729031">
      <w:bodyDiv w:val="1"/>
      <w:marLeft w:val="0"/>
      <w:marRight w:val="0"/>
      <w:marTop w:val="0"/>
      <w:marBottom w:val="0"/>
      <w:divBdr>
        <w:top w:val="none" w:sz="0" w:space="0" w:color="auto"/>
        <w:left w:val="none" w:sz="0" w:space="0" w:color="auto"/>
        <w:bottom w:val="none" w:sz="0" w:space="0" w:color="auto"/>
        <w:right w:val="none" w:sz="0" w:space="0" w:color="auto"/>
      </w:divBdr>
    </w:div>
    <w:div w:id="782072622">
      <w:bodyDiv w:val="1"/>
      <w:marLeft w:val="0"/>
      <w:marRight w:val="0"/>
      <w:marTop w:val="0"/>
      <w:marBottom w:val="0"/>
      <w:divBdr>
        <w:top w:val="none" w:sz="0" w:space="0" w:color="auto"/>
        <w:left w:val="none" w:sz="0" w:space="0" w:color="auto"/>
        <w:bottom w:val="none" w:sz="0" w:space="0" w:color="auto"/>
        <w:right w:val="none" w:sz="0" w:space="0" w:color="auto"/>
      </w:divBdr>
    </w:div>
    <w:div w:id="782191322">
      <w:bodyDiv w:val="1"/>
      <w:marLeft w:val="0"/>
      <w:marRight w:val="0"/>
      <w:marTop w:val="0"/>
      <w:marBottom w:val="0"/>
      <w:divBdr>
        <w:top w:val="none" w:sz="0" w:space="0" w:color="auto"/>
        <w:left w:val="none" w:sz="0" w:space="0" w:color="auto"/>
        <w:bottom w:val="none" w:sz="0" w:space="0" w:color="auto"/>
        <w:right w:val="none" w:sz="0" w:space="0" w:color="auto"/>
      </w:divBdr>
    </w:div>
    <w:div w:id="782309217">
      <w:bodyDiv w:val="1"/>
      <w:marLeft w:val="0"/>
      <w:marRight w:val="0"/>
      <w:marTop w:val="0"/>
      <w:marBottom w:val="0"/>
      <w:divBdr>
        <w:top w:val="none" w:sz="0" w:space="0" w:color="auto"/>
        <w:left w:val="none" w:sz="0" w:space="0" w:color="auto"/>
        <w:bottom w:val="none" w:sz="0" w:space="0" w:color="auto"/>
        <w:right w:val="none" w:sz="0" w:space="0" w:color="auto"/>
      </w:divBdr>
    </w:div>
    <w:div w:id="782382996">
      <w:bodyDiv w:val="1"/>
      <w:marLeft w:val="0"/>
      <w:marRight w:val="0"/>
      <w:marTop w:val="0"/>
      <w:marBottom w:val="0"/>
      <w:divBdr>
        <w:top w:val="none" w:sz="0" w:space="0" w:color="auto"/>
        <w:left w:val="none" w:sz="0" w:space="0" w:color="auto"/>
        <w:bottom w:val="none" w:sz="0" w:space="0" w:color="auto"/>
        <w:right w:val="none" w:sz="0" w:space="0" w:color="auto"/>
      </w:divBdr>
    </w:div>
    <w:div w:id="782648682">
      <w:bodyDiv w:val="1"/>
      <w:marLeft w:val="0"/>
      <w:marRight w:val="0"/>
      <w:marTop w:val="0"/>
      <w:marBottom w:val="0"/>
      <w:divBdr>
        <w:top w:val="none" w:sz="0" w:space="0" w:color="auto"/>
        <w:left w:val="none" w:sz="0" w:space="0" w:color="auto"/>
        <w:bottom w:val="none" w:sz="0" w:space="0" w:color="auto"/>
        <w:right w:val="none" w:sz="0" w:space="0" w:color="auto"/>
      </w:divBdr>
    </w:div>
    <w:div w:id="782651546">
      <w:bodyDiv w:val="1"/>
      <w:marLeft w:val="0"/>
      <w:marRight w:val="0"/>
      <w:marTop w:val="0"/>
      <w:marBottom w:val="0"/>
      <w:divBdr>
        <w:top w:val="none" w:sz="0" w:space="0" w:color="auto"/>
        <w:left w:val="none" w:sz="0" w:space="0" w:color="auto"/>
        <w:bottom w:val="none" w:sz="0" w:space="0" w:color="auto"/>
        <w:right w:val="none" w:sz="0" w:space="0" w:color="auto"/>
      </w:divBdr>
    </w:div>
    <w:div w:id="782767564">
      <w:bodyDiv w:val="1"/>
      <w:marLeft w:val="0"/>
      <w:marRight w:val="0"/>
      <w:marTop w:val="0"/>
      <w:marBottom w:val="0"/>
      <w:divBdr>
        <w:top w:val="none" w:sz="0" w:space="0" w:color="auto"/>
        <w:left w:val="none" w:sz="0" w:space="0" w:color="auto"/>
        <w:bottom w:val="none" w:sz="0" w:space="0" w:color="auto"/>
        <w:right w:val="none" w:sz="0" w:space="0" w:color="auto"/>
      </w:divBdr>
    </w:div>
    <w:div w:id="782768163">
      <w:bodyDiv w:val="1"/>
      <w:marLeft w:val="0"/>
      <w:marRight w:val="0"/>
      <w:marTop w:val="0"/>
      <w:marBottom w:val="0"/>
      <w:divBdr>
        <w:top w:val="none" w:sz="0" w:space="0" w:color="auto"/>
        <w:left w:val="none" w:sz="0" w:space="0" w:color="auto"/>
        <w:bottom w:val="none" w:sz="0" w:space="0" w:color="auto"/>
        <w:right w:val="none" w:sz="0" w:space="0" w:color="auto"/>
      </w:divBdr>
    </w:div>
    <w:div w:id="782849440">
      <w:bodyDiv w:val="1"/>
      <w:marLeft w:val="0"/>
      <w:marRight w:val="0"/>
      <w:marTop w:val="0"/>
      <w:marBottom w:val="0"/>
      <w:divBdr>
        <w:top w:val="none" w:sz="0" w:space="0" w:color="auto"/>
        <w:left w:val="none" w:sz="0" w:space="0" w:color="auto"/>
        <w:bottom w:val="none" w:sz="0" w:space="0" w:color="auto"/>
        <w:right w:val="none" w:sz="0" w:space="0" w:color="auto"/>
      </w:divBdr>
    </w:div>
    <w:div w:id="782918036">
      <w:bodyDiv w:val="1"/>
      <w:marLeft w:val="0"/>
      <w:marRight w:val="0"/>
      <w:marTop w:val="0"/>
      <w:marBottom w:val="0"/>
      <w:divBdr>
        <w:top w:val="none" w:sz="0" w:space="0" w:color="auto"/>
        <w:left w:val="none" w:sz="0" w:space="0" w:color="auto"/>
        <w:bottom w:val="none" w:sz="0" w:space="0" w:color="auto"/>
        <w:right w:val="none" w:sz="0" w:space="0" w:color="auto"/>
      </w:divBdr>
    </w:div>
    <w:div w:id="783039021">
      <w:bodyDiv w:val="1"/>
      <w:marLeft w:val="0"/>
      <w:marRight w:val="0"/>
      <w:marTop w:val="0"/>
      <w:marBottom w:val="0"/>
      <w:divBdr>
        <w:top w:val="none" w:sz="0" w:space="0" w:color="auto"/>
        <w:left w:val="none" w:sz="0" w:space="0" w:color="auto"/>
        <w:bottom w:val="none" w:sz="0" w:space="0" w:color="auto"/>
        <w:right w:val="none" w:sz="0" w:space="0" w:color="auto"/>
      </w:divBdr>
    </w:div>
    <w:div w:id="783040054">
      <w:bodyDiv w:val="1"/>
      <w:marLeft w:val="0"/>
      <w:marRight w:val="0"/>
      <w:marTop w:val="0"/>
      <w:marBottom w:val="0"/>
      <w:divBdr>
        <w:top w:val="none" w:sz="0" w:space="0" w:color="auto"/>
        <w:left w:val="none" w:sz="0" w:space="0" w:color="auto"/>
        <w:bottom w:val="none" w:sz="0" w:space="0" w:color="auto"/>
        <w:right w:val="none" w:sz="0" w:space="0" w:color="auto"/>
      </w:divBdr>
    </w:div>
    <w:div w:id="783159176">
      <w:bodyDiv w:val="1"/>
      <w:marLeft w:val="0"/>
      <w:marRight w:val="0"/>
      <w:marTop w:val="0"/>
      <w:marBottom w:val="0"/>
      <w:divBdr>
        <w:top w:val="none" w:sz="0" w:space="0" w:color="auto"/>
        <w:left w:val="none" w:sz="0" w:space="0" w:color="auto"/>
        <w:bottom w:val="none" w:sz="0" w:space="0" w:color="auto"/>
        <w:right w:val="none" w:sz="0" w:space="0" w:color="auto"/>
      </w:divBdr>
    </w:div>
    <w:div w:id="783228080">
      <w:bodyDiv w:val="1"/>
      <w:marLeft w:val="0"/>
      <w:marRight w:val="0"/>
      <w:marTop w:val="0"/>
      <w:marBottom w:val="0"/>
      <w:divBdr>
        <w:top w:val="none" w:sz="0" w:space="0" w:color="auto"/>
        <w:left w:val="none" w:sz="0" w:space="0" w:color="auto"/>
        <w:bottom w:val="none" w:sz="0" w:space="0" w:color="auto"/>
        <w:right w:val="none" w:sz="0" w:space="0" w:color="auto"/>
      </w:divBdr>
    </w:div>
    <w:div w:id="783232290">
      <w:bodyDiv w:val="1"/>
      <w:marLeft w:val="0"/>
      <w:marRight w:val="0"/>
      <w:marTop w:val="0"/>
      <w:marBottom w:val="0"/>
      <w:divBdr>
        <w:top w:val="none" w:sz="0" w:space="0" w:color="auto"/>
        <w:left w:val="none" w:sz="0" w:space="0" w:color="auto"/>
        <w:bottom w:val="none" w:sz="0" w:space="0" w:color="auto"/>
        <w:right w:val="none" w:sz="0" w:space="0" w:color="auto"/>
      </w:divBdr>
    </w:div>
    <w:div w:id="783305233">
      <w:bodyDiv w:val="1"/>
      <w:marLeft w:val="0"/>
      <w:marRight w:val="0"/>
      <w:marTop w:val="0"/>
      <w:marBottom w:val="0"/>
      <w:divBdr>
        <w:top w:val="none" w:sz="0" w:space="0" w:color="auto"/>
        <w:left w:val="none" w:sz="0" w:space="0" w:color="auto"/>
        <w:bottom w:val="none" w:sz="0" w:space="0" w:color="auto"/>
        <w:right w:val="none" w:sz="0" w:space="0" w:color="auto"/>
      </w:divBdr>
    </w:div>
    <w:div w:id="783421927">
      <w:bodyDiv w:val="1"/>
      <w:marLeft w:val="0"/>
      <w:marRight w:val="0"/>
      <w:marTop w:val="0"/>
      <w:marBottom w:val="0"/>
      <w:divBdr>
        <w:top w:val="none" w:sz="0" w:space="0" w:color="auto"/>
        <w:left w:val="none" w:sz="0" w:space="0" w:color="auto"/>
        <w:bottom w:val="none" w:sz="0" w:space="0" w:color="auto"/>
        <w:right w:val="none" w:sz="0" w:space="0" w:color="auto"/>
      </w:divBdr>
    </w:div>
    <w:div w:id="783579052">
      <w:bodyDiv w:val="1"/>
      <w:marLeft w:val="0"/>
      <w:marRight w:val="0"/>
      <w:marTop w:val="0"/>
      <w:marBottom w:val="0"/>
      <w:divBdr>
        <w:top w:val="none" w:sz="0" w:space="0" w:color="auto"/>
        <w:left w:val="none" w:sz="0" w:space="0" w:color="auto"/>
        <w:bottom w:val="none" w:sz="0" w:space="0" w:color="auto"/>
        <w:right w:val="none" w:sz="0" w:space="0" w:color="auto"/>
      </w:divBdr>
    </w:div>
    <w:div w:id="783615836">
      <w:bodyDiv w:val="1"/>
      <w:marLeft w:val="0"/>
      <w:marRight w:val="0"/>
      <w:marTop w:val="0"/>
      <w:marBottom w:val="0"/>
      <w:divBdr>
        <w:top w:val="none" w:sz="0" w:space="0" w:color="auto"/>
        <w:left w:val="none" w:sz="0" w:space="0" w:color="auto"/>
        <w:bottom w:val="none" w:sz="0" w:space="0" w:color="auto"/>
        <w:right w:val="none" w:sz="0" w:space="0" w:color="auto"/>
      </w:divBdr>
    </w:div>
    <w:div w:id="783617442">
      <w:bodyDiv w:val="1"/>
      <w:marLeft w:val="0"/>
      <w:marRight w:val="0"/>
      <w:marTop w:val="0"/>
      <w:marBottom w:val="0"/>
      <w:divBdr>
        <w:top w:val="none" w:sz="0" w:space="0" w:color="auto"/>
        <w:left w:val="none" w:sz="0" w:space="0" w:color="auto"/>
        <w:bottom w:val="none" w:sz="0" w:space="0" w:color="auto"/>
        <w:right w:val="none" w:sz="0" w:space="0" w:color="auto"/>
      </w:divBdr>
    </w:div>
    <w:div w:id="783623317">
      <w:bodyDiv w:val="1"/>
      <w:marLeft w:val="0"/>
      <w:marRight w:val="0"/>
      <w:marTop w:val="0"/>
      <w:marBottom w:val="0"/>
      <w:divBdr>
        <w:top w:val="none" w:sz="0" w:space="0" w:color="auto"/>
        <w:left w:val="none" w:sz="0" w:space="0" w:color="auto"/>
        <w:bottom w:val="none" w:sz="0" w:space="0" w:color="auto"/>
        <w:right w:val="none" w:sz="0" w:space="0" w:color="auto"/>
      </w:divBdr>
    </w:div>
    <w:div w:id="783689286">
      <w:bodyDiv w:val="1"/>
      <w:marLeft w:val="0"/>
      <w:marRight w:val="0"/>
      <w:marTop w:val="0"/>
      <w:marBottom w:val="0"/>
      <w:divBdr>
        <w:top w:val="none" w:sz="0" w:space="0" w:color="auto"/>
        <w:left w:val="none" w:sz="0" w:space="0" w:color="auto"/>
        <w:bottom w:val="none" w:sz="0" w:space="0" w:color="auto"/>
        <w:right w:val="none" w:sz="0" w:space="0" w:color="auto"/>
      </w:divBdr>
    </w:div>
    <w:div w:id="783813198">
      <w:bodyDiv w:val="1"/>
      <w:marLeft w:val="0"/>
      <w:marRight w:val="0"/>
      <w:marTop w:val="0"/>
      <w:marBottom w:val="0"/>
      <w:divBdr>
        <w:top w:val="none" w:sz="0" w:space="0" w:color="auto"/>
        <w:left w:val="none" w:sz="0" w:space="0" w:color="auto"/>
        <w:bottom w:val="none" w:sz="0" w:space="0" w:color="auto"/>
        <w:right w:val="none" w:sz="0" w:space="0" w:color="auto"/>
      </w:divBdr>
    </w:div>
    <w:div w:id="783839961">
      <w:bodyDiv w:val="1"/>
      <w:marLeft w:val="0"/>
      <w:marRight w:val="0"/>
      <w:marTop w:val="0"/>
      <w:marBottom w:val="0"/>
      <w:divBdr>
        <w:top w:val="none" w:sz="0" w:space="0" w:color="auto"/>
        <w:left w:val="none" w:sz="0" w:space="0" w:color="auto"/>
        <w:bottom w:val="none" w:sz="0" w:space="0" w:color="auto"/>
        <w:right w:val="none" w:sz="0" w:space="0" w:color="auto"/>
      </w:divBdr>
    </w:div>
    <w:div w:id="783841236">
      <w:bodyDiv w:val="1"/>
      <w:marLeft w:val="0"/>
      <w:marRight w:val="0"/>
      <w:marTop w:val="0"/>
      <w:marBottom w:val="0"/>
      <w:divBdr>
        <w:top w:val="none" w:sz="0" w:space="0" w:color="auto"/>
        <w:left w:val="none" w:sz="0" w:space="0" w:color="auto"/>
        <w:bottom w:val="none" w:sz="0" w:space="0" w:color="auto"/>
        <w:right w:val="none" w:sz="0" w:space="0" w:color="auto"/>
      </w:divBdr>
    </w:div>
    <w:div w:id="783884528">
      <w:bodyDiv w:val="1"/>
      <w:marLeft w:val="0"/>
      <w:marRight w:val="0"/>
      <w:marTop w:val="0"/>
      <w:marBottom w:val="0"/>
      <w:divBdr>
        <w:top w:val="none" w:sz="0" w:space="0" w:color="auto"/>
        <w:left w:val="none" w:sz="0" w:space="0" w:color="auto"/>
        <w:bottom w:val="none" w:sz="0" w:space="0" w:color="auto"/>
        <w:right w:val="none" w:sz="0" w:space="0" w:color="auto"/>
      </w:divBdr>
    </w:div>
    <w:div w:id="783886648">
      <w:bodyDiv w:val="1"/>
      <w:marLeft w:val="0"/>
      <w:marRight w:val="0"/>
      <w:marTop w:val="0"/>
      <w:marBottom w:val="0"/>
      <w:divBdr>
        <w:top w:val="none" w:sz="0" w:space="0" w:color="auto"/>
        <w:left w:val="none" w:sz="0" w:space="0" w:color="auto"/>
        <w:bottom w:val="none" w:sz="0" w:space="0" w:color="auto"/>
        <w:right w:val="none" w:sz="0" w:space="0" w:color="auto"/>
      </w:divBdr>
    </w:div>
    <w:div w:id="783890844">
      <w:bodyDiv w:val="1"/>
      <w:marLeft w:val="0"/>
      <w:marRight w:val="0"/>
      <w:marTop w:val="0"/>
      <w:marBottom w:val="0"/>
      <w:divBdr>
        <w:top w:val="none" w:sz="0" w:space="0" w:color="auto"/>
        <w:left w:val="none" w:sz="0" w:space="0" w:color="auto"/>
        <w:bottom w:val="none" w:sz="0" w:space="0" w:color="auto"/>
        <w:right w:val="none" w:sz="0" w:space="0" w:color="auto"/>
      </w:divBdr>
    </w:div>
    <w:div w:id="784007384">
      <w:bodyDiv w:val="1"/>
      <w:marLeft w:val="0"/>
      <w:marRight w:val="0"/>
      <w:marTop w:val="0"/>
      <w:marBottom w:val="0"/>
      <w:divBdr>
        <w:top w:val="none" w:sz="0" w:space="0" w:color="auto"/>
        <w:left w:val="none" w:sz="0" w:space="0" w:color="auto"/>
        <w:bottom w:val="none" w:sz="0" w:space="0" w:color="auto"/>
        <w:right w:val="none" w:sz="0" w:space="0" w:color="auto"/>
      </w:divBdr>
    </w:div>
    <w:div w:id="784007952">
      <w:bodyDiv w:val="1"/>
      <w:marLeft w:val="0"/>
      <w:marRight w:val="0"/>
      <w:marTop w:val="0"/>
      <w:marBottom w:val="0"/>
      <w:divBdr>
        <w:top w:val="none" w:sz="0" w:space="0" w:color="auto"/>
        <w:left w:val="none" w:sz="0" w:space="0" w:color="auto"/>
        <w:bottom w:val="none" w:sz="0" w:space="0" w:color="auto"/>
        <w:right w:val="none" w:sz="0" w:space="0" w:color="auto"/>
      </w:divBdr>
    </w:div>
    <w:div w:id="784038337">
      <w:bodyDiv w:val="1"/>
      <w:marLeft w:val="0"/>
      <w:marRight w:val="0"/>
      <w:marTop w:val="0"/>
      <w:marBottom w:val="0"/>
      <w:divBdr>
        <w:top w:val="none" w:sz="0" w:space="0" w:color="auto"/>
        <w:left w:val="none" w:sz="0" w:space="0" w:color="auto"/>
        <w:bottom w:val="none" w:sz="0" w:space="0" w:color="auto"/>
        <w:right w:val="none" w:sz="0" w:space="0" w:color="auto"/>
      </w:divBdr>
    </w:div>
    <w:div w:id="784079510">
      <w:bodyDiv w:val="1"/>
      <w:marLeft w:val="0"/>
      <w:marRight w:val="0"/>
      <w:marTop w:val="0"/>
      <w:marBottom w:val="0"/>
      <w:divBdr>
        <w:top w:val="none" w:sz="0" w:space="0" w:color="auto"/>
        <w:left w:val="none" w:sz="0" w:space="0" w:color="auto"/>
        <w:bottom w:val="none" w:sz="0" w:space="0" w:color="auto"/>
        <w:right w:val="none" w:sz="0" w:space="0" w:color="auto"/>
      </w:divBdr>
    </w:div>
    <w:div w:id="784230813">
      <w:bodyDiv w:val="1"/>
      <w:marLeft w:val="0"/>
      <w:marRight w:val="0"/>
      <w:marTop w:val="0"/>
      <w:marBottom w:val="0"/>
      <w:divBdr>
        <w:top w:val="none" w:sz="0" w:space="0" w:color="auto"/>
        <w:left w:val="none" w:sz="0" w:space="0" w:color="auto"/>
        <w:bottom w:val="none" w:sz="0" w:space="0" w:color="auto"/>
        <w:right w:val="none" w:sz="0" w:space="0" w:color="auto"/>
      </w:divBdr>
    </w:div>
    <w:div w:id="784233407">
      <w:bodyDiv w:val="1"/>
      <w:marLeft w:val="0"/>
      <w:marRight w:val="0"/>
      <w:marTop w:val="0"/>
      <w:marBottom w:val="0"/>
      <w:divBdr>
        <w:top w:val="none" w:sz="0" w:space="0" w:color="auto"/>
        <w:left w:val="none" w:sz="0" w:space="0" w:color="auto"/>
        <w:bottom w:val="none" w:sz="0" w:space="0" w:color="auto"/>
        <w:right w:val="none" w:sz="0" w:space="0" w:color="auto"/>
      </w:divBdr>
    </w:div>
    <w:div w:id="784469645">
      <w:bodyDiv w:val="1"/>
      <w:marLeft w:val="0"/>
      <w:marRight w:val="0"/>
      <w:marTop w:val="0"/>
      <w:marBottom w:val="0"/>
      <w:divBdr>
        <w:top w:val="none" w:sz="0" w:space="0" w:color="auto"/>
        <w:left w:val="none" w:sz="0" w:space="0" w:color="auto"/>
        <w:bottom w:val="none" w:sz="0" w:space="0" w:color="auto"/>
        <w:right w:val="none" w:sz="0" w:space="0" w:color="auto"/>
      </w:divBdr>
    </w:div>
    <w:div w:id="784615379">
      <w:bodyDiv w:val="1"/>
      <w:marLeft w:val="0"/>
      <w:marRight w:val="0"/>
      <w:marTop w:val="0"/>
      <w:marBottom w:val="0"/>
      <w:divBdr>
        <w:top w:val="none" w:sz="0" w:space="0" w:color="auto"/>
        <w:left w:val="none" w:sz="0" w:space="0" w:color="auto"/>
        <w:bottom w:val="none" w:sz="0" w:space="0" w:color="auto"/>
        <w:right w:val="none" w:sz="0" w:space="0" w:color="auto"/>
      </w:divBdr>
    </w:div>
    <w:div w:id="784616722">
      <w:bodyDiv w:val="1"/>
      <w:marLeft w:val="0"/>
      <w:marRight w:val="0"/>
      <w:marTop w:val="0"/>
      <w:marBottom w:val="0"/>
      <w:divBdr>
        <w:top w:val="none" w:sz="0" w:space="0" w:color="auto"/>
        <w:left w:val="none" w:sz="0" w:space="0" w:color="auto"/>
        <w:bottom w:val="none" w:sz="0" w:space="0" w:color="auto"/>
        <w:right w:val="none" w:sz="0" w:space="0" w:color="auto"/>
      </w:divBdr>
    </w:div>
    <w:div w:id="784806340">
      <w:bodyDiv w:val="1"/>
      <w:marLeft w:val="0"/>
      <w:marRight w:val="0"/>
      <w:marTop w:val="0"/>
      <w:marBottom w:val="0"/>
      <w:divBdr>
        <w:top w:val="none" w:sz="0" w:space="0" w:color="auto"/>
        <w:left w:val="none" w:sz="0" w:space="0" w:color="auto"/>
        <w:bottom w:val="none" w:sz="0" w:space="0" w:color="auto"/>
        <w:right w:val="none" w:sz="0" w:space="0" w:color="auto"/>
      </w:divBdr>
    </w:div>
    <w:div w:id="784809388">
      <w:bodyDiv w:val="1"/>
      <w:marLeft w:val="0"/>
      <w:marRight w:val="0"/>
      <w:marTop w:val="0"/>
      <w:marBottom w:val="0"/>
      <w:divBdr>
        <w:top w:val="none" w:sz="0" w:space="0" w:color="auto"/>
        <w:left w:val="none" w:sz="0" w:space="0" w:color="auto"/>
        <w:bottom w:val="none" w:sz="0" w:space="0" w:color="auto"/>
        <w:right w:val="none" w:sz="0" w:space="0" w:color="auto"/>
      </w:divBdr>
    </w:div>
    <w:div w:id="784888092">
      <w:bodyDiv w:val="1"/>
      <w:marLeft w:val="0"/>
      <w:marRight w:val="0"/>
      <w:marTop w:val="0"/>
      <w:marBottom w:val="0"/>
      <w:divBdr>
        <w:top w:val="none" w:sz="0" w:space="0" w:color="auto"/>
        <w:left w:val="none" w:sz="0" w:space="0" w:color="auto"/>
        <w:bottom w:val="none" w:sz="0" w:space="0" w:color="auto"/>
        <w:right w:val="none" w:sz="0" w:space="0" w:color="auto"/>
      </w:divBdr>
    </w:div>
    <w:div w:id="785007526">
      <w:bodyDiv w:val="1"/>
      <w:marLeft w:val="0"/>
      <w:marRight w:val="0"/>
      <w:marTop w:val="0"/>
      <w:marBottom w:val="0"/>
      <w:divBdr>
        <w:top w:val="none" w:sz="0" w:space="0" w:color="auto"/>
        <w:left w:val="none" w:sz="0" w:space="0" w:color="auto"/>
        <w:bottom w:val="none" w:sz="0" w:space="0" w:color="auto"/>
        <w:right w:val="none" w:sz="0" w:space="0" w:color="auto"/>
      </w:divBdr>
    </w:div>
    <w:div w:id="785083829">
      <w:bodyDiv w:val="1"/>
      <w:marLeft w:val="0"/>
      <w:marRight w:val="0"/>
      <w:marTop w:val="0"/>
      <w:marBottom w:val="0"/>
      <w:divBdr>
        <w:top w:val="none" w:sz="0" w:space="0" w:color="auto"/>
        <w:left w:val="none" w:sz="0" w:space="0" w:color="auto"/>
        <w:bottom w:val="none" w:sz="0" w:space="0" w:color="auto"/>
        <w:right w:val="none" w:sz="0" w:space="0" w:color="auto"/>
      </w:divBdr>
    </w:div>
    <w:div w:id="785318595">
      <w:bodyDiv w:val="1"/>
      <w:marLeft w:val="0"/>
      <w:marRight w:val="0"/>
      <w:marTop w:val="0"/>
      <w:marBottom w:val="0"/>
      <w:divBdr>
        <w:top w:val="none" w:sz="0" w:space="0" w:color="auto"/>
        <w:left w:val="none" w:sz="0" w:space="0" w:color="auto"/>
        <w:bottom w:val="none" w:sz="0" w:space="0" w:color="auto"/>
        <w:right w:val="none" w:sz="0" w:space="0" w:color="auto"/>
      </w:divBdr>
    </w:div>
    <w:div w:id="785348837">
      <w:bodyDiv w:val="1"/>
      <w:marLeft w:val="0"/>
      <w:marRight w:val="0"/>
      <w:marTop w:val="0"/>
      <w:marBottom w:val="0"/>
      <w:divBdr>
        <w:top w:val="none" w:sz="0" w:space="0" w:color="auto"/>
        <w:left w:val="none" w:sz="0" w:space="0" w:color="auto"/>
        <w:bottom w:val="none" w:sz="0" w:space="0" w:color="auto"/>
        <w:right w:val="none" w:sz="0" w:space="0" w:color="auto"/>
      </w:divBdr>
    </w:div>
    <w:div w:id="785349842">
      <w:bodyDiv w:val="1"/>
      <w:marLeft w:val="0"/>
      <w:marRight w:val="0"/>
      <w:marTop w:val="0"/>
      <w:marBottom w:val="0"/>
      <w:divBdr>
        <w:top w:val="none" w:sz="0" w:space="0" w:color="auto"/>
        <w:left w:val="none" w:sz="0" w:space="0" w:color="auto"/>
        <w:bottom w:val="none" w:sz="0" w:space="0" w:color="auto"/>
        <w:right w:val="none" w:sz="0" w:space="0" w:color="auto"/>
      </w:divBdr>
    </w:div>
    <w:div w:id="785580444">
      <w:bodyDiv w:val="1"/>
      <w:marLeft w:val="0"/>
      <w:marRight w:val="0"/>
      <w:marTop w:val="0"/>
      <w:marBottom w:val="0"/>
      <w:divBdr>
        <w:top w:val="none" w:sz="0" w:space="0" w:color="auto"/>
        <w:left w:val="none" w:sz="0" w:space="0" w:color="auto"/>
        <w:bottom w:val="none" w:sz="0" w:space="0" w:color="auto"/>
        <w:right w:val="none" w:sz="0" w:space="0" w:color="auto"/>
      </w:divBdr>
    </w:div>
    <w:div w:id="785589207">
      <w:bodyDiv w:val="1"/>
      <w:marLeft w:val="0"/>
      <w:marRight w:val="0"/>
      <w:marTop w:val="0"/>
      <w:marBottom w:val="0"/>
      <w:divBdr>
        <w:top w:val="none" w:sz="0" w:space="0" w:color="auto"/>
        <w:left w:val="none" w:sz="0" w:space="0" w:color="auto"/>
        <w:bottom w:val="none" w:sz="0" w:space="0" w:color="auto"/>
        <w:right w:val="none" w:sz="0" w:space="0" w:color="auto"/>
      </w:divBdr>
    </w:div>
    <w:div w:id="785738772">
      <w:bodyDiv w:val="1"/>
      <w:marLeft w:val="0"/>
      <w:marRight w:val="0"/>
      <w:marTop w:val="0"/>
      <w:marBottom w:val="0"/>
      <w:divBdr>
        <w:top w:val="none" w:sz="0" w:space="0" w:color="auto"/>
        <w:left w:val="none" w:sz="0" w:space="0" w:color="auto"/>
        <w:bottom w:val="none" w:sz="0" w:space="0" w:color="auto"/>
        <w:right w:val="none" w:sz="0" w:space="0" w:color="auto"/>
      </w:divBdr>
    </w:div>
    <w:div w:id="785778601">
      <w:bodyDiv w:val="1"/>
      <w:marLeft w:val="0"/>
      <w:marRight w:val="0"/>
      <w:marTop w:val="0"/>
      <w:marBottom w:val="0"/>
      <w:divBdr>
        <w:top w:val="none" w:sz="0" w:space="0" w:color="auto"/>
        <w:left w:val="none" w:sz="0" w:space="0" w:color="auto"/>
        <w:bottom w:val="none" w:sz="0" w:space="0" w:color="auto"/>
        <w:right w:val="none" w:sz="0" w:space="0" w:color="auto"/>
      </w:divBdr>
    </w:div>
    <w:div w:id="785850077">
      <w:bodyDiv w:val="1"/>
      <w:marLeft w:val="0"/>
      <w:marRight w:val="0"/>
      <w:marTop w:val="0"/>
      <w:marBottom w:val="0"/>
      <w:divBdr>
        <w:top w:val="none" w:sz="0" w:space="0" w:color="auto"/>
        <w:left w:val="none" w:sz="0" w:space="0" w:color="auto"/>
        <w:bottom w:val="none" w:sz="0" w:space="0" w:color="auto"/>
        <w:right w:val="none" w:sz="0" w:space="0" w:color="auto"/>
      </w:divBdr>
    </w:div>
    <w:div w:id="785851111">
      <w:bodyDiv w:val="1"/>
      <w:marLeft w:val="0"/>
      <w:marRight w:val="0"/>
      <w:marTop w:val="0"/>
      <w:marBottom w:val="0"/>
      <w:divBdr>
        <w:top w:val="none" w:sz="0" w:space="0" w:color="auto"/>
        <w:left w:val="none" w:sz="0" w:space="0" w:color="auto"/>
        <w:bottom w:val="none" w:sz="0" w:space="0" w:color="auto"/>
        <w:right w:val="none" w:sz="0" w:space="0" w:color="auto"/>
      </w:divBdr>
    </w:div>
    <w:div w:id="785923524">
      <w:bodyDiv w:val="1"/>
      <w:marLeft w:val="0"/>
      <w:marRight w:val="0"/>
      <w:marTop w:val="0"/>
      <w:marBottom w:val="0"/>
      <w:divBdr>
        <w:top w:val="none" w:sz="0" w:space="0" w:color="auto"/>
        <w:left w:val="none" w:sz="0" w:space="0" w:color="auto"/>
        <w:bottom w:val="none" w:sz="0" w:space="0" w:color="auto"/>
        <w:right w:val="none" w:sz="0" w:space="0" w:color="auto"/>
      </w:divBdr>
    </w:div>
    <w:div w:id="785928240">
      <w:bodyDiv w:val="1"/>
      <w:marLeft w:val="0"/>
      <w:marRight w:val="0"/>
      <w:marTop w:val="0"/>
      <w:marBottom w:val="0"/>
      <w:divBdr>
        <w:top w:val="none" w:sz="0" w:space="0" w:color="auto"/>
        <w:left w:val="none" w:sz="0" w:space="0" w:color="auto"/>
        <w:bottom w:val="none" w:sz="0" w:space="0" w:color="auto"/>
        <w:right w:val="none" w:sz="0" w:space="0" w:color="auto"/>
      </w:divBdr>
    </w:div>
    <w:div w:id="786118790">
      <w:bodyDiv w:val="1"/>
      <w:marLeft w:val="0"/>
      <w:marRight w:val="0"/>
      <w:marTop w:val="0"/>
      <w:marBottom w:val="0"/>
      <w:divBdr>
        <w:top w:val="none" w:sz="0" w:space="0" w:color="auto"/>
        <w:left w:val="none" w:sz="0" w:space="0" w:color="auto"/>
        <w:bottom w:val="none" w:sz="0" w:space="0" w:color="auto"/>
        <w:right w:val="none" w:sz="0" w:space="0" w:color="auto"/>
      </w:divBdr>
    </w:div>
    <w:div w:id="786122195">
      <w:bodyDiv w:val="1"/>
      <w:marLeft w:val="0"/>
      <w:marRight w:val="0"/>
      <w:marTop w:val="0"/>
      <w:marBottom w:val="0"/>
      <w:divBdr>
        <w:top w:val="none" w:sz="0" w:space="0" w:color="auto"/>
        <w:left w:val="none" w:sz="0" w:space="0" w:color="auto"/>
        <w:bottom w:val="none" w:sz="0" w:space="0" w:color="auto"/>
        <w:right w:val="none" w:sz="0" w:space="0" w:color="auto"/>
      </w:divBdr>
    </w:div>
    <w:div w:id="786125867">
      <w:bodyDiv w:val="1"/>
      <w:marLeft w:val="0"/>
      <w:marRight w:val="0"/>
      <w:marTop w:val="0"/>
      <w:marBottom w:val="0"/>
      <w:divBdr>
        <w:top w:val="none" w:sz="0" w:space="0" w:color="auto"/>
        <w:left w:val="none" w:sz="0" w:space="0" w:color="auto"/>
        <w:bottom w:val="none" w:sz="0" w:space="0" w:color="auto"/>
        <w:right w:val="none" w:sz="0" w:space="0" w:color="auto"/>
      </w:divBdr>
    </w:div>
    <w:div w:id="786195276">
      <w:bodyDiv w:val="1"/>
      <w:marLeft w:val="0"/>
      <w:marRight w:val="0"/>
      <w:marTop w:val="0"/>
      <w:marBottom w:val="0"/>
      <w:divBdr>
        <w:top w:val="none" w:sz="0" w:space="0" w:color="auto"/>
        <w:left w:val="none" w:sz="0" w:space="0" w:color="auto"/>
        <w:bottom w:val="none" w:sz="0" w:space="0" w:color="auto"/>
        <w:right w:val="none" w:sz="0" w:space="0" w:color="auto"/>
      </w:divBdr>
    </w:div>
    <w:div w:id="786314360">
      <w:bodyDiv w:val="1"/>
      <w:marLeft w:val="0"/>
      <w:marRight w:val="0"/>
      <w:marTop w:val="0"/>
      <w:marBottom w:val="0"/>
      <w:divBdr>
        <w:top w:val="none" w:sz="0" w:space="0" w:color="auto"/>
        <w:left w:val="none" w:sz="0" w:space="0" w:color="auto"/>
        <w:bottom w:val="none" w:sz="0" w:space="0" w:color="auto"/>
        <w:right w:val="none" w:sz="0" w:space="0" w:color="auto"/>
      </w:divBdr>
    </w:div>
    <w:div w:id="786387892">
      <w:bodyDiv w:val="1"/>
      <w:marLeft w:val="0"/>
      <w:marRight w:val="0"/>
      <w:marTop w:val="0"/>
      <w:marBottom w:val="0"/>
      <w:divBdr>
        <w:top w:val="none" w:sz="0" w:space="0" w:color="auto"/>
        <w:left w:val="none" w:sz="0" w:space="0" w:color="auto"/>
        <w:bottom w:val="none" w:sz="0" w:space="0" w:color="auto"/>
        <w:right w:val="none" w:sz="0" w:space="0" w:color="auto"/>
      </w:divBdr>
    </w:div>
    <w:div w:id="786513104">
      <w:bodyDiv w:val="1"/>
      <w:marLeft w:val="0"/>
      <w:marRight w:val="0"/>
      <w:marTop w:val="0"/>
      <w:marBottom w:val="0"/>
      <w:divBdr>
        <w:top w:val="none" w:sz="0" w:space="0" w:color="auto"/>
        <w:left w:val="none" w:sz="0" w:space="0" w:color="auto"/>
        <w:bottom w:val="none" w:sz="0" w:space="0" w:color="auto"/>
        <w:right w:val="none" w:sz="0" w:space="0" w:color="auto"/>
      </w:divBdr>
    </w:div>
    <w:div w:id="786578786">
      <w:bodyDiv w:val="1"/>
      <w:marLeft w:val="0"/>
      <w:marRight w:val="0"/>
      <w:marTop w:val="0"/>
      <w:marBottom w:val="0"/>
      <w:divBdr>
        <w:top w:val="none" w:sz="0" w:space="0" w:color="auto"/>
        <w:left w:val="none" w:sz="0" w:space="0" w:color="auto"/>
        <w:bottom w:val="none" w:sz="0" w:space="0" w:color="auto"/>
        <w:right w:val="none" w:sz="0" w:space="0" w:color="auto"/>
      </w:divBdr>
    </w:div>
    <w:div w:id="786583408">
      <w:bodyDiv w:val="1"/>
      <w:marLeft w:val="0"/>
      <w:marRight w:val="0"/>
      <w:marTop w:val="0"/>
      <w:marBottom w:val="0"/>
      <w:divBdr>
        <w:top w:val="none" w:sz="0" w:space="0" w:color="auto"/>
        <w:left w:val="none" w:sz="0" w:space="0" w:color="auto"/>
        <w:bottom w:val="none" w:sz="0" w:space="0" w:color="auto"/>
        <w:right w:val="none" w:sz="0" w:space="0" w:color="auto"/>
      </w:divBdr>
    </w:div>
    <w:div w:id="786588392">
      <w:bodyDiv w:val="1"/>
      <w:marLeft w:val="0"/>
      <w:marRight w:val="0"/>
      <w:marTop w:val="0"/>
      <w:marBottom w:val="0"/>
      <w:divBdr>
        <w:top w:val="none" w:sz="0" w:space="0" w:color="auto"/>
        <w:left w:val="none" w:sz="0" w:space="0" w:color="auto"/>
        <w:bottom w:val="none" w:sz="0" w:space="0" w:color="auto"/>
        <w:right w:val="none" w:sz="0" w:space="0" w:color="auto"/>
      </w:divBdr>
    </w:div>
    <w:div w:id="786659316">
      <w:bodyDiv w:val="1"/>
      <w:marLeft w:val="0"/>
      <w:marRight w:val="0"/>
      <w:marTop w:val="0"/>
      <w:marBottom w:val="0"/>
      <w:divBdr>
        <w:top w:val="none" w:sz="0" w:space="0" w:color="auto"/>
        <w:left w:val="none" w:sz="0" w:space="0" w:color="auto"/>
        <w:bottom w:val="none" w:sz="0" w:space="0" w:color="auto"/>
        <w:right w:val="none" w:sz="0" w:space="0" w:color="auto"/>
      </w:divBdr>
    </w:div>
    <w:div w:id="786704167">
      <w:bodyDiv w:val="1"/>
      <w:marLeft w:val="0"/>
      <w:marRight w:val="0"/>
      <w:marTop w:val="0"/>
      <w:marBottom w:val="0"/>
      <w:divBdr>
        <w:top w:val="none" w:sz="0" w:space="0" w:color="auto"/>
        <w:left w:val="none" w:sz="0" w:space="0" w:color="auto"/>
        <w:bottom w:val="none" w:sz="0" w:space="0" w:color="auto"/>
        <w:right w:val="none" w:sz="0" w:space="0" w:color="auto"/>
      </w:divBdr>
    </w:div>
    <w:div w:id="786849811">
      <w:bodyDiv w:val="1"/>
      <w:marLeft w:val="0"/>
      <w:marRight w:val="0"/>
      <w:marTop w:val="0"/>
      <w:marBottom w:val="0"/>
      <w:divBdr>
        <w:top w:val="none" w:sz="0" w:space="0" w:color="auto"/>
        <w:left w:val="none" w:sz="0" w:space="0" w:color="auto"/>
        <w:bottom w:val="none" w:sz="0" w:space="0" w:color="auto"/>
        <w:right w:val="none" w:sz="0" w:space="0" w:color="auto"/>
      </w:divBdr>
    </w:div>
    <w:div w:id="786851499">
      <w:bodyDiv w:val="1"/>
      <w:marLeft w:val="0"/>
      <w:marRight w:val="0"/>
      <w:marTop w:val="0"/>
      <w:marBottom w:val="0"/>
      <w:divBdr>
        <w:top w:val="none" w:sz="0" w:space="0" w:color="auto"/>
        <w:left w:val="none" w:sz="0" w:space="0" w:color="auto"/>
        <w:bottom w:val="none" w:sz="0" w:space="0" w:color="auto"/>
        <w:right w:val="none" w:sz="0" w:space="0" w:color="auto"/>
      </w:divBdr>
    </w:div>
    <w:div w:id="786856807">
      <w:bodyDiv w:val="1"/>
      <w:marLeft w:val="0"/>
      <w:marRight w:val="0"/>
      <w:marTop w:val="0"/>
      <w:marBottom w:val="0"/>
      <w:divBdr>
        <w:top w:val="none" w:sz="0" w:space="0" w:color="auto"/>
        <w:left w:val="none" w:sz="0" w:space="0" w:color="auto"/>
        <w:bottom w:val="none" w:sz="0" w:space="0" w:color="auto"/>
        <w:right w:val="none" w:sz="0" w:space="0" w:color="auto"/>
      </w:divBdr>
    </w:div>
    <w:div w:id="786973355">
      <w:bodyDiv w:val="1"/>
      <w:marLeft w:val="0"/>
      <w:marRight w:val="0"/>
      <w:marTop w:val="0"/>
      <w:marBottom w:val="0"/>
      <w:divBdr>
        <w:top w:val="none" w:sz="0" w:space="0" w:color="auto"/>
        <w:left w:val="none" w:sz="0" w:space="0" w:color="auto"/>
        <w:bottom w:val="none" w:sz="0" w:space="0" w:color="auto"/>
        <w:right w:val="none" w:sz="0" w:space="0" w:color="auto"/>
      </w:divBdr>
    </w:div>
    <w:div w:id="787043976">
      <w:bodyDiv w:val="1"/>
      <w:marLeft w:val="0"/>
      <w:marRight w:val="0"/>
      <w:marTop w:val="0"/>
      <w:marBottom w:val="0"/>
      <w:divBdr>
        <w:top w:val="none" w:sz="0" w:space="0" w:color="auto"/>
        <w:left w:val="none" w:sz="0" w:space="0" w:color="auto"/>
        <w:bottom w:val="none" w:sz="0" w:space="0" w:color="auto"/>
        <w:right w:val="none" w:sz="0" w:space="0" w:color="auto"/>
      </w:divBdr>
    </w:div>
    <w:div w:id="787240607">
      <w:bodyDiv w:val="1"/>
      <w:marLeft w:val="0"/>
      <w:marRight w:val="0"/>
      <w:marTop w:val="0"/>
      <w:marBottom w:val="0"/>
      <w:divBdr>
        <w:top w:val="none" w:sz="0" w:space="0" w:color="auto"/>
        <w:left w:val="none" w:sz="0" w:space="0" w:color="auto"/>
        <w:bottom w:val="none" w:sz="0" w:space="0" w:color="auto"/>
        <w:right w:val="none" w:sz="0" w:space="0" w:color="auto"/>
      </w:divBdr>
    </w:div>
    <w:div w:id="787353530">
      <w:bodyDiv w:val="1"/>
      <w:marLeft w:val="0"/>
      <w:marRight w:val="0"/>
      <w:marTop w:val="0"/>
      <w:marBottom w:val="0"/>
      <w:divBdr>
        <w:top w:val="none" w:sz="0" w:space="0" w:color="auto"/>
        <w:left w:val="none" w:sz="0" w:space="0" w:color="auto"/>
        <w:bottom w:val="none" w:sz="0" w:space="0" w:color="auto"/>
        <w:right w:val="none" w:sz="0" w:space="0" w:color="auto"/>
      </w:divBdr>
    </w:div>
    <w:div w:id="787435210">
      <w:bodyDiv w:val="1"/>
      <w:marLeft w:val="0"/>
      <w:marRight w:val="0"/>
      <w:marTop w:val="0"/>
      <w:marBottom w:val="0"/>
      <w:divBdr>
        <w:top w:val="none" w:sz="0" w:space="0" w:color="auto"/>
        <w:left w:val="none" w:sz="0" w:space="0" w:color="auto"/>
        <w:bottom w:val="none" w:sz="0" w:space="0" w:color="auto"/>
        <w:right w:val="none" w:sz="0" w:space="0" w:color="auto"/>
      </w:divBdr>
    </w:div>
    <w:div w:id="787511388">
      <w:bodyDiv w:val="1"/>
      <w:marLeft w:val="0"/>
      <w:marRight w:val="0"/>
      <w:marTop w:val="0"/>
      <w:marBottom w:val="0"/>
      <w:divBdr>
        <w:top w:val="none" w:sz="0" w:space="0" w:color="auto"/>
        <w:left w:val="none" w:sz="0" w:space="0" w:color="auto"/>
        <w:bottom w:val="none" w:sz="0" w:space="0" w:color="auto"/>
        <w:right w:val="none" w:sz="0" w:space="0" w:color="auto"/>
      </w:divBdr>
    </w:div>
    <w:div w:id="787546532">
      <w:bodyDiv w:val="1"/>
      <w:marLeft w:val="0"/>
      <w:marRight w:val="0"/>
      <w:marTop w:val="0"/>
      <w:marBottom w:val="0"/>
      <w:divBdr>
        <w:top w:val="none" w:sz="0" w:space="0" w:color="auto"/>
        <w:left w:val="none" w:sz="0" w:space="0" w:color="auto"/>
        <w:bottom w:val="none" w:sz="0" w:space="0" w:color="auto"/>
        <w:right w:val="none" w:sz="0" w:space="0" w:color="auto"/>
      </w:divBdr>
    </w:div>
    <w:div w:id="787621795">
      <w:bodyDiv w:val="1"/>
      <w:marLeft w:val="0"/>
      <w:marRight w:val="0"/>
      <w:marTop w:val="0"/>
      <w:marBottom w:val="0"/>
      <w:divBdr>
        <w:top w:val="none" w:sz="0" w:space="0" w:color="auto"/>
        <w:left w:val="none" w:sz="0" w:space="0" w:color="auto"/>
        <w:bottom w:val="none" w:sz="0" w:space="0" w:color="auto"/>
        <w:right w:val="none" w:sz="0" w:space="0" w:color="auto"/>
      </w:divBdr>
    </w:div>
    <w:div w:id="787697456">
      <w:bodyDiv w:val="1"/>
      <w:marLeft w:val="0"/>
      <w:marRight w:val="0"/>
      <w:marTop w:val="0"/>
      <w:marBottom w:val="0"/>
      <w:divBdr>
        <w:top w:val="none" w:sz="0" w:space="0" w:color="auto"/>
        <w:left w:val="none" w:sz="0" w:space="0" w:color="auto"/>
        <w:bottom w:val="none" w:sz="0" w:space="0" w:color="auto"/>
        <w:right w:val="none" w:sz="0" w:space="0" w:color="auto"/>
      </w:divBdr>
    </w:div>
    <w:div w:id="787819111">
      <w:bodyDiv w:val="1"/>
      <w:marLeft w:val="0"/>
      <w:marRight w:val="0"/>
      <w:marTop w:val="0"/>
      <w:marBottom w:val="0"/>
      <w:divBdr>
        <w:top w:val="none" w:sz="0" w:space="0" w:color="auto"/>
        <w:left w:val="none" w:sz="0" w:space="0" w:color="auto"/>
        <w:bottom w:val="none" w:sz="0" w:space="0" w:color="auto"/>
        <w:right w:val="none" w:sz="0" w:space="0" w:color="auto"/>
      </w:divBdr>
    </w:div>
    <w:div w:id="787822339">
      <w:bodyDiv w:val="1"/>
      <w:marLeft w:val="0"/>
      <w:marRight w:val="0"/>
      <w:marTop w:val="0"/>
      <w:marBottom w:val="0"/>
      <w:divBdr>
        <w:top w:val="none" w:sz="0" w:space="0" w:color="auto"/>
        <w:left w:val="none" w:sz="0" w:space="0" w:color="auto"/>
        <w:bottom w:val="none" w:sz="0" w:space="0" w:color="auto"/>
        <w:right w:val="none" w:sz="0" w:space="0" w:color="auto"/>
      </w:divBdr>
    </w:div>
    <w:div w:id="787895987">
      <w:bodyDiv w:val="1"/>
      <w:marLeft w:val="0"/>
      <w:marRight w:val="0"/>
      <w:marTop w:val="0"/>
      <w:marBottom w:val="0"/>
      <w:divBdr>
        <w:top w:val="none" w:sz="0" w:space="0" w:color="auto"/>
        <w:left w:val="none" w:sz="0" w:space="0" w:color="auto"/>
        <w:bottom w:val="none" w:sz="0" w:space="0" w:color="auto"/>
        <w:right w:val="none" w:sz="0" w:space="0" w:color="auto"/>
      </w:divBdr>
    </w:div>
    <w:div w:id="787968018">
      <w:bodyDiv w:val="1"/>
      <w:marLeft w:val="0"/>
      <w:marRight w:val="0"/>
      <w:marTop w:val="0"/>
      <w:marBottom w:val="0"/>
      <w:divBdr>
        <w:top w:val="none" w:sz="0" w:space="0" w:color="auto"/>
        <w:left w:val="none" w:sz="0" w:space="0" w:color="auto"/>
        <w:bottom w:val="none" w:sz="0" w:space="0" w:color="auto"/>
        <w:right w:val="none" w:sz="0" w:space="0" w:color="auto"/>
      </w:divBdr>
    </w:div>
    <w:div w:id="788161226">
      <w:bodyDiv w:val="1"/>
      <w:marLeft w:val="0"/>
      <w:marRight w:val="0"/>
      <w:marTop w:val="0"/>
      <w:marBottom w:val="0"/>
      <w:divBdr>
        <w:top w:val="none" w:sz="0" w:space="0" w:color="auto"/>
        <w:left w:val="none" w:sz="0" w:space="0" w:color="auto"/>
        <w:bottom w:val="none" w:sz="0" w:space="0" w:color="auto"/>
        <w:right w:val="none" w:sz="0" w:space="0" w:color="auto"/>
      </w:divBdr>
    </w:div>
    <w:div w:id="788206916">
      <w:bodyDiv w:val="1"/>
      <w:marLeft w:val="0"/>
      <w:marRight w:val="0"/>
      <w:marTop w:val="0"/>
      <w:marBottom w:val="0"/>
      <w:divBdr>
        <w:top w:val="none" w:sz="0" w:space="0" w:color="auto"/>
        <w:left w:val="none" w:sz="0" w:space="0" w:color="auto"/>
        <w:bottom w:val="none" w:sz="0" w:space="0" w:color="auto"/>
        <w:right w:val="none" w:sz="0" w:space="0" w:color="auto"/>
      </w:divBdr>
    </w:div>
    <w:div w:id="788282426">
      <w:bodyDiv w:val="1"/>
      <w:marLeft w:val="0"/>
      <w:marRight w:val="0"/>
      <w:marTop w:val="0"/>
      <w:marBottom w:val="0"/>
      <w:divBdr>
        <w:top w:val="none" w:sz="0" w:space="0" w:color="auto"/>
        <w:left w:val="none" w:sz="0" w:space="0" w:color="auto"/>
        <w:bottom w:val="none" w:sz="0" w:space="0" w:color="auto"/>
        <w:right w:val="none" w:sz="0" w:space="0" w:color="auto"/>
      </w:divBdr>
    </w:div>
    <w:div w:id="788401934">
      <w:bodyDiv w:val="1"/>
      <w:marLeft w:val="0"/>
      <w:marRight w:val="0"/>
      <w:marTop w:val="0"/>
      <w:marBottom w:val="0"/>
      <w:divBdr>
        <w:top w:val="none" w:sz="0" w:space="0" w:color="auto"/>
        <w:left w:val="none" w:sz="0" w:space="0" w:color="auto"/>
        <w:bottom w:val="none" w:sz="0" w:space="0" w:color="auto"/>
        <w:right w:val="none" w:sz="0" w:space="0" w:color="auto"/>
      </w:divBdr>
    </w:div>
    <w:div w:id="788474018">
      <w:bodyDiv w:val="1"/>
      <w:marLeft w:val="0"/>
      <w:marRight w:val="0"/>
      <w:marTop w:val="0"/>
      <w:marBottom w:val="0"/>
      <w:divBdr>
        <w:top w:val="none" w:sz="0" w:space="0" w:color="auto"/>
        <w:left w:val="none" w:sz="0" w:space="0" w:color="auto"/>
        <w:bottom w:val="none" w:sz="0" w:space="0" w:color="auto"/>
        <w:right w:val="none" w:sz="0" w:space="0" w:color="auto"/>
      </w:divBdr>
    </w:div>
    <w:div w:id="788549006">
      <w:bodyDiv w:val="1"/>
      <w:marLeft w:val="0"/>
      <w:marRight w:val="0"/>
      <w:marTop w:val="0"/>
      <w:marBottom w:val="0"/>
      <w:divBdr>
        <w:top w:val="none" w:sz="0" w:space="0" w:color="auto"/>
        <w:left w:val="none" w:sz="0" w:space="0" w:color="auto"/>
        <w:bottom w:val="none" w:sz="0" w:space="0" w:color="auto"/>
        <w:right w:val="none" w:sz="0" w:space="0" w:color="auto"/>
      </w:divBdr>
    </w:div>
    <w:div w:id="788863867">
      <w:bodyDiv w:val="1"/>
      <w:marLeft w:val="0"/>
      <w:marRight w:val="0"/>
      <w:marTop w:val="0"/>
      <w:marBottom w:val="0"/>
      <w:divBdr>
        <w:top w:val="none" w:sz="0" w:space="0" w:color="auto"/>
        <w:left w:val="none" w:sz="0" w:space="0" w:color="auto"/>
        <w:bottom w:val="none" w:sz="0" w:space="0" w:color="auto"/>
        <w:right w:val="none" w:sz="0" w:space="0" w:color="auto"/>
      </w:divBdr>
    </w:div>
    <w:div w:id="788865527">
      <w:bodyDiv w:val="1"/>
      <w:marLeft w:val="0"/>
      <w:marRight w:val="0"/>
      <w:marTop w:val="0"/>
      <w:marBottom w:val="0"/>
      <w:divBdr>
        <w:top w:val="none" w:sz="0" w:space="0" w:color="auto"/>
        <w:left w:val="none" w:sz="0" w:space="0" w:color="auto"/>
        <w:bottom w:val="none" w:sz="0" w:space="0" w:color="auto"/>
        <w:right w:val="none" w:sz="0" w:space="0" w:color="auto"/>
      </w:divBdr>
    </w:div>
    <w:div w:id="788931796">
      <w:bodyDiv w:val="1"/>
      <w:marLeft w:val="0"/>
      <w:marRight w:val="0"/>
      <w:marTop w:val="0"/>
      <w:marBottom w:val="0"/>
      <w:divBdr>
        <w:top w:val="none" w:sz="0" w:space="0" w:color="auto"/>
        <w:left w:val="none" w:sz="0" w:space="0" w:color="auto"/>
        <w:bottom w:val="none" w:sz="0" w:space="0" w:color="auto"/>
        <w:right w:val="none" w:sz="0" w:space="0" w:color="auto"/>
      </w:divBdr>
    </w:div>
    <w:div w:id="788938025">
      <w:bodyDiv w:val="1"/>
      <w:marLeft w:val="0"/>
      <w:marRight w:val="0"/>
      <w:marTop w:val="0"/>
      <w:marBottom w:val="0"/>
      <w:divBdr>
        <w:top w:val="none" w:sz="0" w:space="0" w:color="auto"/>
        <w:left w:val="none" w:sz="0" w:space="0" w:color="auto"/>
        <w:bottom w:val="none" w:sz="0" w:space="0" w:color="auto"/>
        <w:right w:val="none" w:sz="0" w:space="0" w:color="auto"/>
      </w:divBdr>
    </w:div>
    <w:div w:id="788938535">
      <w:bodyDiv w:val="1"/>
      <w:marLeft w:val="0"/>
      <w:marRight w:val="0"/>
      <w:marTop w:val="0"/>
      <w:marBottom w:val="0"/>
      <w:divBdr>
        <w:top w:val="none" w:sz="0" w:space="0" w:color="auto"/>
        <w:left w:val="none" w:sz="0" w:space="0" w:color="auto"/>
        <w:bottom w:val="none" w:sz="0" w:space="0" w:color="auto"/>
        <w:right w:val="none" w:sz="0" w:space="0" w:color="auto"/>
      </w:divBdr>
    </w:div>
    <w:div w:id="789129162">
      <w:bodyDiv w:val="1"/>
      <w:marLeft w:val="0"/>
      <w:marRight w:val="0"/>
      <w:marTop w:val="0"/>
      <w:marBottom w:val="0"/>
      <w:divBdr>
        <w:top w:val="none" w:sz="0" w:space="0" w:color="auto"/>
        <w:left w:val="none" w:sz="0" w:space="0" w:color="auto"/>
        <w:bottom w:val="none" w:sz="0" w:space="0" w:color="auto"/>
        <w:right w:val="none" w:sz="0" w:space="0" w:color="auto"/>
      </w:divBdr>
    </w:div>
    <w:div w:id="789250884">
      <w:bodyDiv w:val="1"/>
      <w:marLeft w:val="0"/>
      <w:marRight w:val="0"/>
      <w:marTop w:val="0"/>
      <w:marBottom w:val="0"/>
      <w:divBdr>
        <w:top w:val="none" w:sz="0" w:space="0" w:color="auto"/>
        <w:left w:val="none" w:sz="0" w:space="0" w:color="auto"/>
        <w:bottom w:val="none" w:sz="0" w:space="0" w:color="auto"/>
        <w:right w:val="none" w:sz="0" w:space="0" w:color="auto"/>
      </w:divBdr>
    </w:div>
    <w:div w:id="789276964">
      <w:bodyDiv w:val="1"/>
      <w:marLeft w:val="0"/>
      <w:marRight w:val="0"/>
      <w:marTop w:val="0"/>
      <w:marBottom w:val="0"/>
      <w:divBdr>
        <w:top w:val="none" w:sz="0" w:space="0" w:color="auto"/>
        <w:left w:val="none" w:sz="0" w:space="0" w:color="auto"/>
        <w:bottom w:val="none" w:sz="0" w:space="0" w:color="auto"/>
        <w:right w:val="none" w:sz="0" w:space="0" w:color="auto"/>
      </w:divBdr>
    </w:div>
    <w:div w:id="789471453">
      <w:bodyDiv w:val="1"/>
      <w:marLeft w:val="0"/>
      <w:marRight w:val="0"/>
      <w:marTop w:val="0"/>
      <w:marBottom w:val="0"/>
      <w:divBdr>
        <w:top w:val="none" w:sz="0" w:space="0" w:color="auto"/>
        <w:left w:val="none" w:sz="0" w:space="0" w:color="auto"/>
        <w:bottom w:val="none" w:sz="0" w:space="0" w:color="auto"/>
        <w:right w:val="none" w:sz="0" w:space="0" w:color="auto"/>
      </w:divBdr>
    </w:div>
    <w:div w:id="789586818">
      <w:bodyDiv w:val="1"/>
      <w:marLeft w:val="0"/>
      <w:marRight w:val="0"/>
      <w:marTop w:val="0"/>
      <w:marBottom w:val="0"/>
      <w:divBdr>
        <w:top w:val="none" w:sz="0" w:space="0" w:color="auto"/>
        <w:left w:val="none" w:sz="0" w:space="0" w:color="auto"/>
        <w:bottom w:val="none" w:sz="0" w:space="0" w:color="auto"/>
        <w:right w:val="none" w:sz="0" w:space="0" w:color="auto"/>
      </w:divBdr>
    </w:div>
    <w:div w:id="789588128">
      <w:bodyDiv w:val="1"/>
      <w:marLeft w:val="0"/>
      <w:marRight w:val="0"/>
      <w:marTop w:val="0"/>
      <w:marBottom w:val="0"/>
      <w:divBdr>
        <w:top w:val="none" w:sz="0" w:space="0" w:color="auto"/>
        <w:left w:val="none" w:sz="0" w:space="0" w:color="auto"/>
        <w:bottom w:val="none" w:sz="0" w:space="0" w:color="auto"/>
        <w:right w:val="none" w:sz="0" w:space="0" w:color="auto"/>
      </w:divBdr>
    </w:div>
    <w:div w:id="789666274">
      <w:bodyDiv w:val="1"/>
      <w:marLeft w:val="0"/>
      <w:marRight w:val="0"/>
      <w:marTop w:val="0"/>
      <w:marBottom w:val="0"/>
      <w:divBdr>
        <w:top w:val="none" w:sz="0" w:space="0" w:color="auto"/>
        <w:left w:val="none" w:sz="0" w:space="0" w:color="auto"/>
        <w:bottom w:val="none" w:sz="0" w:space="0" w:color="auto"/>
        <w:right w:val="none" w:sz="0" w:space="0" w:color="auto"/>
      </w:divBdr>
    </w:div>
    <w:div w:id="789667386">
      <w:bodyDiv w:val="1"/>
      <w:marLeft w:val="0"/>
      <w:marRight w:val="0"/>
      <w:marTop w:val="0"/>
      <w:marBottom w:val="0"/>
      <w:divBdr>
        <w:top w:val="none" w:sz="0" w:space="0" w:color="auto"/>
        <w:left w:val="none" w:sz="0" w:space="0" w:color="auto"/>
        <w:bottom w:val="none" w:sz="0" w:space="0" w:color="auto"/>
        <w:right w:val="none" w:sz="0" w:space="0" w:color="auto"/>
      </w:divBdr>
    </w:div>
    <w:div w:id="789670875">
      <w:bodyDiv w:val="1"/>
      <w:marLeft w:val="0"/>
      <w:marRight w:val="0"/>
      <w:marTop w:val="0"/>
      <w:marBottom w:val="0"/>
      <w:divBdr>
        <w:top w:val="none" w:sz="0" w:space="0" w:color="auto"/>
        <w:left w:val="none" w:sz="0" w:space="0" w:color="auto"/>
        <w:bottom w:val="none" w:sz="0" w:space="0" w:color="auto"/>
        <w:right w:val="none" w:sz="0" w:space="0" w:color="auto"/>
      </w:divBdr>
    </w:div>
    <w:div w:id="789671512">
      <w:bodyDiv w:val="1"/>
      <w:marLeft w:val="0"/>
      <w:marRight w:val="0"/>
      <w:marTop w:val="0"/>
      <w:marBottom w:val="0"/>
      <w:divBdr>
        <w:top w:val="none" w:sz="0" w:space="0" w:color="auto"/>
        <w:left w:val="none" w:sz="0" w:space="0" w:color="auto"/>
        <w:bottom w:val="none" w:sz="0" w:space="0" w:color="auto"/>
        <w:right w:val="none" w:sz="0" w:space="0" w:color="auto"/>
      </w:divBdr>
    </w:div>
    <w:div w:id="789711776">
      <w:bodyDiv w:val="1"/>
      <w:marLeft w:val="0"/>
      <w:marRight w:val="0"/>
      <w:marTop w:val="0"/>
      <w:marBottom w:val="0"/>
      <w:divBdr>
        <w:top w:val="none" w:sz="0" w:space="0" w:color="auto"/>
        <w:left w:val="none" w:sz="0" w:space="0" w:color="auto"/>
        <w:bottom w:val="none" w:sz="0" w:space="0" w:color="auto"/>
        <w:right w:val="none" w:sz="0" w:space="0" w:color="auto"/>
      </w:divBdr>
    </w:div>
    <w:div w:id="789714134">
      <w:bodyDiv w:val="1"/>
      <w:marLeft w:val="0"/>
      <w:marRight w:val="0"/>
      <w:marTop w:val="0"/>
      <w:marBottom w:val="0"/>
      <w:divBdr>
        <w:top w:val="none" w:sz="0" w:space="0" w:color="auto"/>
        <w:left w:val="none" w:sz="0" w:space="0" w:color="auto"/>
        <w:bottom w:val="none" w:sz="0" w:space="0" w:color="auto"/>
        <w:right w:val="none" w:sz="0" w:space="0" w:color="auto"/>
      </w:divBdr>
    </w:div>
    <w:div w:id="789737733">
      <w:bodyDiv w:val="1"/>
      <w:marLeft w:val="0"/>
      <w:marRight w:val="0"/>
      <w:marTop w:val="0"/>
      <w:marBottom w:val="0"/>
      <w:divBdr>
        <w:top w:val="none" w:sz="0" w:space="0" w:color="auto"/>
        <w:left w:val="none" w:sz="0" w:space="0" w:color="auto"/>
        <w:bottom w:val="none" w:sz="0" w:space="0" w:color="auto"/>
        <w:right w:val="none" w:sz="0" w:space="0" w:color="auto"/>
      </w:divBdr>
    </w:div>
    <w:div w:id="789741427">
      <w:bodyDiv w:val="1"/>
      <w:marLeft w:val="0"/>
      <w:marRight w:val="0"/>
      <w:marTop w:val="0"/>
      <w:marBottom w:val="0"/>
      <w:divBdr>
        <w:top w:val="none" w:sz="0" w:space="0" w:color="auto"/>
        <w:left w:val="none" w:sz="0" w:space="0" w:color="auto"/>
        <w:bottom w:val="none" w:sz="0" w:space="0" w:color="auto"/>
        <w:right w:val="none" w:sz="0" w:space="0" w:color="auto"/>
      </w:divBdr>
    </w:div>
    <w:div w:id="789936124">
      <w:bodyDiv w:val="1"/>
      <w:marLeft w:val="0"/>
      <w:marRight w:val="0"/>
      <w:marTop w:val="0"/>
      <w:marBottom w:val="0"/>
      <w:divBdr>
        <w:top w:val="none" w:sz="0" w:space="0" w:color="auto"/>
        <w:left w:val="none" w:sz="0" w:space="0" w:color="auto"/>
        <w:bottom w:val="none" w:sz="0" w:space="0" w:color="auto"/>
        <w:right w:val="none" w:sz="0" w:space="0" w:color="auto"/>
      </w:divBdr>
    </w:div>
    <w:div w:id="789979978">
      <w:bodyDiv w:val="1"/>
      <w:marLeft w:val="0"/>
      <w:marRight w:val="0"/>
      <w:marTop w:val="0"/>
      <w:marBottom w:val="0"/>
      <w:divBdr>
        <w:top w:val="none" w:sz="0" w:space="0" w:color="auto"/>
        <w:left w:val="none" w:sz="0" w:space="0" w:color="auto"/>
        <w:bottom w:val="none" w:sz="0" w:space="0" w:color="auto"/>
        <w:right w:val="none" w:sz="0" w:space="0" w:color="auto"/>
      </w:divBdr>
    </w:div>
    <w:div w:id="790169197">
      <w:bodyDiv w:val="1"/>
      <w:marLeft w:val="0"/>
      <w:marRight w:val="0"/>
      <w:marTop w:val="0"/>
      <w:marBottom w:val="0"/>
      <w:divBdr>
        <w:top w:val="none" w:sz="0" w:space="0" w:color="auto"/>
        <w:left w:val="none" w:sz="0" w:space="0" w:color="auto"/>
        <w:bottom w:val="none" w:sz="0" w:space="0" w:color="auto"/>
        <w:right w:val="none" w:sz="0" w:space="0" w:color="auto"/>
      </w:divBdr>
    </w:div>
    <w:div w:id="790248691">
      <w:bodyDiv w:val="1"/>
      <w:marLeft w:val="0"/>
      <w:marRight w:val="0"/>
      <w:marTop w:val="0"/>
      <w:marBottom w:val="0"/>
      <w:divBdr>
        <w:top w:val="none" w:sz="0" w:space="0" w:color="auto"/>
        <w:left w:val="none" w:sz="0" w:space="0" w:color="auto"/>
        <w:bottom w:val="none" w:sz="0" w:space="0" w:color="auto"/>
        <w:right w:val="none" w:sz="0" w:space="0" w:color="auto"/>
      </w:divBdr>
    </w:div>
    <w:div w:id="790321081">
      <w:bodyDiv w:val="1"/>
      <w:marLeft w:val="0"/>
      <w:marRight w:val="0"/>
      <w:marTop w:val="0"/>
      <w:marBottom w:val="0"/>
      <w:divBdr>
        <w:top w:val="none" w:sz="0" w:space="0" w:color="auto"/>
        <w:left w:val="none" w:sz="0" w:space="0" w:color="auto"/>
        <w:bottom w:val="none" w:sz="0" w:space="0" w:color="auto"/>
        <w:right w:val="none" w:sz="0" w:space="0" w:color="auto"/>
      </w:divBdr>
    </w:div>
    <w:div w:id="790393467">
      <w:bodyDiv w:val="1"/>
      <w:marLeft w:val="0"/>
      <w:marRight w:val="0"/>
      <w:marTop w:val="0"/>
      <w:marBottom w:val="0"/>
      <w:divBdr>
        <w:top w:val="none" w:sz="0" w:space="0" w:color="auto"/>
        <w:left w:val="none" w:sz="0" w:space="0" w:color="auto"/>
        <w:bottom w:val="none" w:sz="0" w:space="0" w:color="auto"/>
        <w:right w:val="none" w:sz="0" w:space="0" w:color="auto"/>
      </w:divBdr>
    </w:div>
    <w:div w:id="790437866">
      <w:bodyDiv w:val="1"/>
      <w:marLeft w:val="0"/>
      <w:marRight w:val="0"/>
      <w:marTop w:val="0"/>
      <w:marBottom w:val="0"/>
      <w:divBdr>
        <w:top w:val="none" w:sz="0" w:space="0" w:color="auto"/>
        <w:left w:val="none" w:sz="0" w:space="0" w:color="auto"/>
        <w:bottom w:val="none" w:sz="0" w:space="0" w:color="auto"/>
        <w:right w:val="none" w:sz="0" w:space="0" w:color="auto"/>
      </w:divBdr>
    </w:div>
    <w:div w:id="790561432">
      <w:bodyDiv w:val="1"/>
      <w:marLeft w:val="0"/>
      <w:marRight w:val="0"/>
      <w:marTop w:val="0"/>
      <w:marBottom w:val="0"/>
      <w:divBdr>
        <w:top w:val="none" w:sz="0" w:space="0" w:color="auto"/>
        <w:left w:val="none" w:sz="0" w:space="0" w:color="auto"/>
        <w:bottom w:val="none" w:sz="0" w:space="0" w:color="auto"/>
        <w:right w:val="none" w:sz="0" w:space="0" w:color="auto"/>
      </w:divBdr>
    </w:div>
    <w:div w:id="790588243">
      <w:bodyDiv w:val="1"/>
      <w:marLeft w:val="0"/>
      <w:marRight w:val="0"/>
      <w:marTop w:val="0"/>
      <w:marBottom w:val="0"/>
      <w:divBdr>
        <w:top w:val="none" w:sz="0" w:space="0" w:color="auto"/>
        <w:left w:val="none" w:sz="0" w:space="0" w:color="auto"/>
        <w:bottom w:val="none" w:sz="0" w:space="0" w:color="auto"/>
        <w:right w:val="none" w:sz="0" w:space="0" w:color="auto"/>
      </w:divBdr>
    </w:div>
    <w:div w:id="790782467">
      <w:bodyDiv w:val="1"/>
      <w:marLeft w:val="0"/>
      <w:marRight w:val="0"/>
      <w:marTop w:val="0"/>
      <w:marBottom w:val="0"/>
      <w:divBdr>
        <w:top w:val="none" w:sz="0" w:space="0" w:color="auto"/>
        <w:left w:val="none" w:sz="0" w:space="0" w:color="auto"/>
        <w:bottom w:val="none" w:sz="0" w:space="0" w:color="auto"/>
        <w:right w:val="none" w:sz="0" w:space="0" w:color="auto"/>
      </w:divBdr>
    </w:div>
    <w:div w:id="790785113">
      <w:bodyDiv w:val="1"/>
      <w:marLeft w:val="0"/>
      <w:marRight w:val="0"/>
      <w:marTop w:val="0"/>
      <w:marBottom w:val="0"/>
      <w:divBdr>
        <w:top w:val="none" w:sz="0" w:space="0" w:color="auto"/>
        <w:left w:val="none" w:sz="0" w:space="0" w:color="auto"/>
        <w:bottom w:val="none" w:sz="0" w:space="0" w:color="auto"/>
        <w:right w:val="none" w:sz="0" w:space="0" w:color="auto"/>
      </w:divBdr>
    </w:div>
    <w:div w:id="790827993">
      <w:bodyDiv w:val="1"/>
      <w:marLeft w:val="0"/>
      <w:marRight w:val="0"/>
      <w:marTop w:val="0"/>
      <w:marBottom w:val="0"/>
      <w:divBdr>
        <w:top w:val="none" w:sz="0" w:space="0" w:color="auto"/>
        <w:left w:val="none" w:sz="0" w:space="0" w:color="auto"/>
        <w:bottom w:val="none" w:sz="0" w:space="0" w:color="auto"/>
        <w:right w:val="none" w:sz="0" w:space="0" w:color="auto"/>
      </w:divBdr>
    </w:div>
    <w:div w:id="790854844">
      <w:bodyDiv w:val="1"/>
      <w:marLeft w:val="0"/>
      <w:marRight w:val="0"/>
      <w:marTop w:val="0"/>
      <w:marBottom w:val="0"/>
      <w:divBdr>
        <w:top w:val="none" w:sz="0" w:space="0" w:color="auto"/>
        <w:left w:val="none" w:sz="0" w:space="0" w:color="auto"/>
        <w:bottom w:val="none" w:sz="0" w:space="0" w:color="auto"/>
        <w:right w:val="none" w:sz="0" w:space="0" w:color="auto"/>
      </w:divBdr>
    </w:div>
    <w:div w:id="790979016">
      <w:bodyDiv w:val="1"/>
      <w:marLeft w:val="0"/>
      <w:marRight w:val="0"/>
      <w:marTop w:val="0"/>
      <w:marBottom w:val="0"/>
      <w:divBdr>
        <w:top w:val="none" w:sz="0" w:space="0" w:color="auto"/>
        <w:left w:val="none" w:sz="0" w:space="0" w:color="auto"/>
        <w:bottom w:val="none" w:sz="0" w:space="0" w:color="auto"/>
        <w:right w:val="none" w:sz="0" w:space="0" w:color="auto"/>
      </w:divBdr>
    </w:div>
    <w:div w:id="790981673">
      <w:bodyDiv w:val="1"/>
      <w:marLeft w:val="0"/>
      <w:marRight w:val="0"/>
      <w:marTop w:val="0"/>
      <w:marBottom w:val="0"/>
      <w:divBdr>
        <w:top w:val="none" w:sz="0" w:space="0" w:color="auto"/>
        <w:left w:val="none" w:sz="0" w:space="0" w:color="auto"/>
        <w:bottom w:val="none" w:sz="0" w:space="0" w:color="auto"/>
        <w:right w:val="none" w:sz="0" w:space="0" w:color="auto"/>
      </w:divBdr>
    </w:div>
    <w:div w:id="791024531">
      <w:bodyDiv w:val="1"/>
      <w:marLeft w:val="0"/>
      <w:marRight w:val="0"/>
      <w:marTop w:val="0"/>
      <w:marBottom w:val="0"/>
      <w:divBdr>
        <w:top w:val="none" w:sz="0" w:space="0" w:color="auto"/>
        <w:left w:val="none" w:sz="0" w:space="0" w:color="auto"/>
        <w:bottom w:val="none" w:sz="0" w:space="0" w:color="auto"/>
        <w:right w:val="none" w:sz="0" w:space="0" w:color="auto"/>
      </w:divBdr>
    </w:div>
    <w:div w:id="791171559">
      <w:bodyDiv w:val="1"/>
      <w:marLeft w:val="0"/>
      <w:marRight w:val="0"/>
      <w:marTop w:val="0"/>
      <w:marBottom w:val="0"/>
      <w:divBdr>
        <w:top w:val="none" w:sz="0" w:space="0" w:color="auto"/>
        <w:left w:val="none" w:sz="0" w:space="0" w:color="auto"/>
        <w:bottom w:val="none" w:sz="0" w:space="0" w:color="auto"/>
        <w:right w:val="none" w:sz="0" w:space="0" w:color="auto"/>
      </w:divBdr>
    </w:div>
    <w:div w:id="791486362">
      <w:bodyDiv w:val="1"/>
      <w:marLeft w:val="0"/>
      <w:marRight w:val="0"/>
      <w:marTop w:val="0"/>
      <w:marBottom w:val="0"/>
      <w:divBdr>
        <w:top w:val="none" w:sz="0" w:space="0" w:color="auto"/>
        <w:left w:val="none" w:sz="0" w:space="0" w:color="auto"/>
        <w:bottom w:val="none" w:sz="0" w:space="0" w:color="auto"/>
        <w:right w:val="none" w:sz="0" w:space="0" w:color="auto"/>
      </w:divBdr>
    </w:div>
    <w:div w:id="791676463">
      <w:bodyDiv w:val="1"/>
      <w:marLeft w:val="0"/>
      <w:marRight w:val="0"/>
      <w:marTop w:val="0"/>
      <w:marBottom w:val="0"/>
      <w:divBdr>
        <w:top w:val="none" w:sz="0" w:space="0" w:color="auto"/>
        <w:left w:val="none" w:sz="0" w:space="0" w:color="auto"/>
        <w:bottom w:val="none" w:sz="0" w:space="0" w:color="auto"/>
        <w:right w:val="none" w:sz="0" w:space="0" w:color="auto"/>
      </w:divBdr>
    </w:div>
    <w:div w:id="791706748">
      <w:bodyDiv w:val="1"/>
      <w:marLeft w:val="0"/>
      <w:marRight w:val="0"/>
      <w:marTop w:val="0"/>
      <w:marBottom w:val="0"/>
      <w:divBdr>
        <w:top w:val="none" w:sz="0" w:space="0" w:color="auto"/>
        <w:left w:val="none" w:sz="0" w:space="0" w:color="auto"/>
        <w:bottom w:val="none" w:sz="0" w:space="0" w:color="auto"/>
        <w:right w:val="none" w:sz="0" w:space="0" w:color="auto"/>
      </w:divBdr>
    </w:div>
    <w:div w:id="791750456">
      <w:bodyDiv w:val="1"/>
      <w:marLeft w:val="0"/>
      <w:marRight w:val="0"/>
      <w:marTop w:val="0"/>
      <w:marBottom w:val="0"/>
      <w:divBdr>
        <w:top w:val="none" w:sz="0" w:space="0" w:color="auto"/>
        <w:left w:val="none" w:sz="0" w:space="0" w:color="auto"/>
        <w:bottom w:val="none" w:sz="0" w:space="0" w:color="auto"/>
        <w:right w:val="none" w:sz="0" w:space="0" w:color="auto"/>
      </w:divBdr>
    </w:div>
    <w:div w:id="791751901">
      <w:bodyDiv w:val="1"/>
      <w:marLeft w:val="0"/>
      <w:marRight w:val="0"/>
      <w:marTop w:val="0"/>
      <w:marBottom w:val="0"/>
      <w:divBdr>
        <w:top w:val="none" w:sz="0" w:space="0" w:color="auto"/>
        <w:left w:val="none" w:sz="0" w:space="0" w:color="auto"/>
        <w:bottom w:val="none" w:sz="0" w:space="0" w:color="auto"/>
        <w:right w:val="none" w:sz="0" w:space="0" w:color="auto"/>
      </w:divBdr>
    </w:div>
    <w:div w:id="791827641">
      <w:bodyDiv w:val="1"/>
      <w:marLeft w:val="0"/>
      <w:marRight w:val="0"/>
      <w:marTop w:val="0"/>
      <w:marBottom w:val="0"/>
      <w:divBdr>
        <w:top w:val="none" w:sz="0" w:space="0" w:color="auto"/>
        <w:left w:val="none" w:sz="0" w:space="0" w:color="auto"/>
        <w:bottom w:val="none" w:sz="0" w:space="0" w:color="auto"/>
        <w:right w:val="none" w:sz="0" w:space="0" w:color="auto"/>
      </w:divBdr>
    </w:div>
    <w:div w:id="791872072">
      <w:bodyDiv w:val="1"/>
      <w:marLeft w:val="0"/>
      <w:marRight w:val="0"/>
      <w:marTop w:val="0"/>
      <w:marBottom w:val="0"/>
      <w:divBdr>
        <w:top w:val="none" w:sz="0" w:space="0" w:color="auto"/>
        <w:left w:val="none" w:sz="0" w:space="0" w:color="auto"/>
        <w:bottom w:val="none" w:sz="0" w:space="0" w:color="auto"/>
        <w:right w:val="none" w:sz="0" w:space="0" w:color="auto"/>
      </w:divBdr>
    </w:div>
    <w:div w:id="791872906">
      <w:bodyDiv w:val="1"/>
      <w:marLeft w:val="0"/>
      <w:marRight w:val="0"/>
      <w:marTop w:val="0"/>
      <w:marBottom w:val="0"/>
      <w:divBdr>
        <w:top w:val="none" w:sz="0" w:space="0" w:color="auto"/>
        <w:left w:val="none" w:sz="0" w:space="0" w:color="auto"/>
        <w:bottom w:val="none" w:sz="0" w:space="0" w:color="auto"/>
        <w:right w:val="none" w:sz="0" w:space="0" w:color="auto"/>
      </w:divBdr>
    </w:div>
    <w:div w:id="791900423">
      <w:bodyDiv w:val="1"/>
      <w:marLeft w:val="0"/>
      <w:marRight w:val="0"/>
      <w:marTop w:val="0"/>
      <w:marBottom w:val="0"/>
      <w:divBdr>
        <w:top w:val="none" w:sz="0" w:space="0" w:color="auto"/>
        <w:left w:val="none" w:sz="0" w:space="0" w:color="auto"/>
        <w:bottom w:val="none" w:sz="0" w:space="0" w:color="auto"/>
        <w:right w:val="none" w:sz="0" w:space="0" w:color="auto"/>
      </w:divBdr>
    </w:div>
    <w:div w:id="791941199">
      <w:bodyDiv w:val="1"/>
      <w:marLeft w:val="0"/>
      <w:marRight w:val="0"/>
      <w:marTop w:val="0"/>
      <w:marBottom w:val="0"/>
      <w:divBdr>
        <w:top w:val="none" w:sz="0" w:space="0" w:color="auto"/>
        <w:left w:val="none" w:sz="0" w:space="0" w:color="auto"/>
        <w:bottom w:val="none" w:sz="0" w:space="0" w:color="auto"/>
        <w:right w:val="none" w:sz="0" w:space="0" w:color="auto"/>
      </w:divBdr>
    </w:div>
    <w:div w:id="792092757">
      <w:bodyDiv w:val="1"/>
      <w:marLeft w:val="0"/>
      <w:marRight w:val="0"/>
      <w:marTop w:val="0"/>
      <w:marBottom w:val="0"/>
      <w:divBdr>
        <w:top w:val="none" w:sz="0" w:space="0" w:color="auto"/>
        <w:left w:val="none" w:sz="0" w:space="0" w:color="auto"/>
        <w:bottom w:val="none" w:sz="0" w:space="0" w:color="auto"/>
        <w:right w:val="none" w:sz="0" w:space="0" w:color="auto"/>
      </w:divBdr>
    </w:div>
    <w:div w:id="792401484">
      <w:bodyDiv w:val="1"/>
      <w:marLeft w:val="0"/>
      <w:marRight w:val="0"/>
      <w:marTop w:val="0"/>
      <w:marBottom w:val="0"/>
      <w:divBdr>
        <w:top w:val="none" w:sz="0" w:space="0" w:color="auto"/>
        <w:left w:val="none" w:sz="0" w:space="0" w:color="auto"/>
        <w:bottom w:val="none" w:sz="0" w:space="0" w:color="auto"/>
        <w:right w:val="none" w:sz="0" w:space="0" w:color="auto"/>
      </w:divBdr>
    </w:div>
    <w:div w:id="792403240">
      <w:bodyDiv w:val="1"/>
      <w:marLeft w:val="0"/>
      <w:marRight w:val="0"/>
      <w:marTop w:val="0"/>
      <w:marBottom w:val="0"/>
      <w:divBdr>
        <w:top w:val="none" w:sz="0" w:space="0" w:color="auto"/>
        <w:left w:val="none" w:sz="0" w:space="0" w:color="auto"/>
        <w:bottom w:val="none" w:sz="0" w:space="0" w:color="auto"/>
        <w:right w:val="none" w:sz="0" w:space="0" w:color="auto"/>
      </w:divBdr>
    </w:div>
    <w:div w:id="792679020">
      <w:bodyDiv w:val="1"/>
      <w:marLeft w:val="0"/>
      <w:marRight w:val="0"/>
      <w:marTop w:val="0"/>
      <w:marBottom w:val="0"/>
      <w:divBdr>
        <w:top w:val="none" w:sz="0" w:space="0" w:color="auto"/>
        <w:left w:val="none" w:sz="0" w:space="0" w:color="auto"/>
        <w:bottom w:val="none" w:sz="0" w:space="0" w:color="auto"/>
        <w:right w:val="none" w:sz="0" w:space="0" w:color="auto"/>
      </w:divBdr>
    </w:div>
    <w:div w:id="792752935">
      <w:bodyDiv w:val="1"/>
      <w:marLeft w:val="0"/>
      <w:marRight w:val="0"/>
      <w:marTop w:val="0"/>
      <w:marBottom w:val="0"/>
      <w:divBdr>
        <w:top w:val="none" w:sz="0" w:space="0" w:color="auto"/>
        <w:left w:val="none" w:sz="0" w:space="0" w:color="auto"/>
        <w:bottom w:val="none" w:sz="0" w:space="0" w:color="auto"/>
        <w:right w:val="none" w:sz="0" w:space="0" w:color="auto"/>
      </w:divBdr>
    </w:div>
    <w:div w:id="792866246">
      <w:bodyDiv w:val="1"/>
      <w:marLeft w:val="0"/>
      <w:marRight w:val="0"/>
      <w:marTop w:val="0"/>
      <w:marBottom w:val="0"/>
      <w:divBdr>
        <w:top w:val="none" w:sz="0" w:space="0" w:color="auto"/>
        <w:left w:val="none" w:sz="0" w:space="0" w:color="auto"/>
        <w:bottom w:val="none" w:sz="0" w:space="0" w:color="auto"/>
        <w:right w:val="none" w:sz="0" w:space="0" w:color="auto"/>
      </w:divBdr>
    </w:div>
    <w:div w:id="793015432">
      <w:bodyDiv w:val="1"/>
      <w:marLeft w:val="0"/>
      <w:marRight w:val="0"/>
      <w:marTop w:val="0"/>
      <w:marBottom w:val="0"/>
      <w:divBdr>
        <w:top w:val="none" w:sz="0" w:space="0" w:color="auto"/>
        <w:left w:val="none" w:sz="0" w:space="0" w:color="auto"/>
        <w:bottom w:val="none" w:sz="0" w:space="0" w:color="auto"/>
        <w:right w:val="none" w:sz="0" w:space="0" w:color="auto"/>
      </w:divBdr>
    </w:div>
    <w:div w:id="793064043">
      <w:bodyDiv w:val="1"/>
      <w:marLeft w:val="0"/>
      <w:marRight w:val="0"/>
      <w:marTop w:val="0"/>
      <w:marBottom w:val="0"/>
      <w:divBdr>
        <w:top w:val="none" w:sz="0" w:space="0" w:color="auto"/>
        <w:left w:val="none" w:sz="0" w:space="0" w:color="auto"/>
        <w:bottom w:val="none" w:sz="0" w:space="0" w:color="auto"/>
        <w:right w:val="none" w:sz="0" w:space="0" w:color="auto"/>
      </w:divBdr>
    </w:div>
    <w:div w:id="793064306">
      <w:bodyDiv w:val="1"/>
      <w:marLeft w:val="0"/>
      <w:marRight w:val="0"/>
      <w:marTop w:val="0"/>
      <w:marBottom w:val="0"/>
      <w:divBdr>
        <w:top w:val="none" w:sz="0" w:space="0" w:color="auto"/>
        <w:left w:val="none" w:sz="0" w:space="0" w:color="auto"/>
        <w:bottom w:val="none" w:sz="0" w:space="0" w:color="auto"/>
        <w:right w:val="none" w:sz="0" w:space="0" w:color="auto"/>
      </w:divBdr>
    </w:div>
    <w:div w:id="793139918">
      <w:bodyDiv w:val="1"/>
      <w:marLeft w:val="0"/>
      <w:marRight w:val="0"/>
      <w:marTop w:val="0"/>
      <w:marBottom w:val="0"/>
      <w:divBdr>
        <w:top w:val="none" w:sz="0" w:space="0" w:color="auto"/>
        <w:left w:val="none" w:sz="0" w:space="0" w:color="auto"/>
        <w:bottom w:val="none" w:sz="0" w:space="0" w:color="auto"/>
        <w:right w:val="none" w:sz="0" w:space="0" w:color="auto"/>
      </w:divBdr>
    </w:div>
    <w:div w:id="793329677">
      <w:bodyDiv w:val="1"/>
      <w:marLeft w:val="0"/>
      <w:marRight w:val="0"/>
      <w:marTop w:val="0"/>
      <w:marBottom w:val="0"/>
      <w:divBdr>
        <w:top w:val="none" w:sz="0" w:space="0" w:color="auto"/>
        <w:left w:val="none" w:sz="0" w:space="0" w:color="auto"/>
        <w:bottom w:val="none" w:sz="0" w:space="0" w:color="auto"/>
        <w:right w:val="none" w:sz="0" w:space="0" w:color="auto"/>
      </w:divBdr>
    </w:div>
    <w:div w:id="793450065">
      <w:bodyDiv w:val="1"/>
      <w:marLeft w:val="0"/>
      <w:marRight w:val="0"/>
      <w:marTop w:val="0"/>
      <w:marBottom w:val="0"/>
      <w:divBdr>
        <w:top w:val="none" w:sz="0" w:space="0" w:color="auto"/>
        <w:left w:val="none" w:sz="0" w:space="0" w:color="auto"/>
        <w:bottom w:val="none" w:sz="0" w:space="0" w:color="auto"/>
        <w:right w:val="none" w:sz="0" w:space="0" w:color="auto"/>
      </w:divBdr>
    </w:div>
    <w:div w:id="793475500">
      <w:bodyDiv w:val="1"/>
      <w:marLeft w:val="0"/>
      <w:marRight w:val="0"/>
      <w:marTop w:val="0"/>
      <w:marBottom w:val="0"/>
      <w:divBdr>
        <w:top w:val="none" w:sz="0" w:space="0" w:color="auto"/>
        <w:left w:val="none" w:sz="0" w:space="0" w:color="auto"/>
        <w:bottom w:val="none" w:sz="0" w:space="0" w:color="auto"/>
        <w:right w:val="none" w:sz="0" w:space="0" w:color="auto"/>
      </w:divBdr>
    </w:div>
    <w:div w:id="793672639">
      <w:bodyDiv w:val="1"/>
      <w:marLeft w:val="0"/>
      <w:marRight w:val="0"/>
      <w:marTop w:val="0"/>
      <w:marBottom w:val="0"/>
      <w:divBdr>
        <w:top w:val="none" w:sz="0" w:space="0" w:color="auto"/>
        <w:left w:val="none" w:sz="0" w:space="0" w:color="auto"/>
        <w:bottom w:val="none" w:sz="0" w:space="0" w:color="auto"/>
        <w:right w:val="none" w:sz="0" w:space="0" w:color="auto"/>
      </w:divBdr>
    </w:div>
    <w:div w:id="793787502">
      <w:bodyDiv w:val="1"/>
      <w:marLeft w:val="0"/>
      <w:marRight w:val="0"/>
      <w:marTop w:val="0"/>
      <w:marBottom w:val="0"/>
      <w:divBdr>
        <w:top w:val="none" w:sz="0" w:space="0" w:color="auto"/>
        <w:left w:val="none" w:sz="0" w:space="0" w:color="auto"/>
        <w:bottom w:val="none" w:sz="0" w:space="0" w:color="auto"/>
        <w:right w:val="none" w:sz="0" w:space="0" w:color="auto"/>
      </w:divBdr>
    </w:div>
    <w:div w:id="793793187">
      <w:bodyDiv w:val="1"/>
      <w:marLeft w:val="0"/>
      <w:marRight w:val="0"/>
      <w:marTop w:val="0"/>
      <w:marBottom w:val="0"/>
      <w:divBdr>
        <w:top w:val="none" w:sz="0" w:space="0" w:color="auto"/>
        <w:left w:val="none" w:sz="0" w:space="0" w:color="auto"/>
        <w:bottom w:val="none" w:sz="0" w:space="0" w:color="auto"/>
        <w:right w:val="none" w:sz="0" w:space="0" w:color="auto"/>
      </w:divBdr>
    </w:div>
    <w:div w:id="793795685">
      <w:bodyDiv w:val="1"/>
      <w:marLeft w:val="0"/>
      <w:marRight w:val="0"/>
      <w:marTop w:val="0"/>
      <w:marBottom w:val="0"/>
      <w:divBdr>
        <w:top w:val="none" w:sz="0" w:space="0" w:color="auto"/>
        <w:left w:val="none" w:sz="0" w:space="0" w:color="auto"/>
        <w:bottom w:val="none" w:sz="0" w:space="0" w:color="auto"/>
        <w:right w:val="none" w:sz="0" w:space="0" w:color="auto"/>
      </w:divBdr>
    </w:div>
    <w:div w:id="793838865">
      <w:bodyDiv w:val="1"/>
      <w:marLeft w:val="0"/>
      <w:marRight w:val="0"/>
      <w:marTop w:val="0"/>
      <w:marBottom w:val="0"/>
      <w:divBdr>
        <w:top w:val="none" w:sz="0" w:space="0" w:color="auto"/>
        <w:left w:val="none" w:sz="0" w:space="0" w:color="auto"/>
        <w:bottom w:val="none" w:sz="0" w:space="0" w:color="auto"/>
        <w:right w:val="none" w:sz="0" w:space="0" w:color="auto"/>
      </w:divBdr>
    </w:div>
    <w:div w:id="793863801">
      <w:bodyDiv w:val="1"/>
      <w:marLeft w:val="0"/>
      <w:marRight w:val="0"/>
      <w:marTop w:val="0"/>
      <w:marBottom w:val="0"/>
      <w:divBdr>
        <w:top w:val="none" w:sz="0" w:space="0" w:color="auto"/>
        <w:left w:val="none" w:sz="0" w:space="0" w:color="auto"/>
        <w:bottom w:val="none" w:sz="0" w:space="0" w:color="auto"/>
        <w:right w:val="none" w:sz="0" w:space="0" w:color="auto"/>
      </w:divBdr>
    </w:div>
    <w:div w:id="793864541">
      <w:bodyDiv w:val="1"/>
      <w:marLeft w:val="0"/>
      <w:marRight w:val="0"/>
      <w:marTop w:val="0"/>
      <w:marBottom w:val="0"/>
      <w:divBdr>
        <w:top w:val="none" w:sz="0" w:space="0" w:color="auto"/>
        <w:left w:val="none" w:sz="0" w:space="0" w:color="auto"/>
        <w:bottom w:val="none" w:sz="0" w:space="0" w:color="auto"/>
        <w:right w:val="none" w:sz="0" w:space="0" w:color="auto"/>
      </w:divBdr>
    </w:div>
    <w:div w:id="793911465">
      <w:bodyDiv w:val="1"/>
      <w:marLeft w:val="0"/>
      <w:marRight w:val="0"/>
      <w:marTop w:val="0"/>
      <w:marBottom w:val="0"/>
      <w:divBdr>
        <w:top w:val="none" w:sz="0" w:space="0" w:color="auto"/>
        <w:left w:val="none" w:sz="0" w:space="0" w:color="auto"/>
        <w:bottom w:val="none" w:sz="0" w:space="0" w:color="auto"/>
        <w:right w:val="none" w:sz="0" w:space="0" w:color="auto"/>
      </w:divBdr>
    </w:div>
    <w:div w:id="793983747">
      <w:bodyDiv w:val="1"/>
      <w:marLeft w:val="0"/>
      <w:marRight w:val="0"/>
      <w:marTop w:val="0"/>
      <w:marBottom w:val="0"/>
      <w:divBdr>
        <w:top w:val="none" w:sz="0" w:space="0" w:color="auto"/>
        <w:left w:val="none" w:sz="0" w:space="0" w:color="auto"/>
        <w:bottom w:val="none" w:sz="0" w:space="0" w:color="auto"/>
        <w:right w:val="none" w:sz="0" w:space="0" w:color="auto"/>
      </w:divBdr>
    </w:div>
    <w:div w:id="794063131">
      <w:bodyDiv w:val="1"/>
      <w:marLeft w:val="0"/>
      <w:marRight w:val="0"/>
      <w:marTop w:val="0"/>
      <w:marBottom w:val="0"/>
      <w:divBdr>
        <w:top w:val="none" w:sz="0" w:space="0" w:color="auto"/>
        <w:left w:val="none" w:sz="0" w:space="0" w:color="auto"/>
        <w:bottom w:val="none" w:sz="0" w:space="0" w:color="auto"/>
        <w:right w:val="none" w:sz="0" w:space="0" w:color="auto"/>
      </w:divBdr>
    </w:div>
    <w:div w:id="794100173">
      <w:bodyDiv w:val="1"/>
      <w:marLeft w:val="0"/>
      <w:marRight w:val="0"/>
      <w:marTop w:val="0"/>
      <w:marBottom w:val="0"/>
      <w:divBdr>
        <w:top w:val="none" w:sz="0" w:space="0" w:color="auto"/>
        <w:left w:val="none" w:sz="0" w:space="0" w:color="auto"/>
        <w:bottom w:val="none" w:sz="0" w:space="0" w:color="auto"/>
        <w:right w:val="none" w:sz="0" w:space="0" w:color="auto"/>
      </w:divBdr>
    </w:div>
    <w:div w:id="794176771">
      <w:bodyDiv w:val="1"/>
      <w:marLeft w:val="0"/>
      <w:marRight w:val="0"/>
      <w:marTop w:val="0"/>
      <w:marBottom w:val="0"/>
      <w:divBdr>
        <w:top w:val="none" w:sz="0" w:space="0" w:color="auto"/>
        <w:left w:val="none" w:sz="0" w:space="0" w:color="auto"/>
        <w:bottom w:val="none" w:sz="0" w:space="0" w:color="auto"/>
        <w:right w:val="none" w:sz="0" w:space="0" w:color="auto"/>
      </w:divBdr>
    </w:div>
    <w:div w:id="794253814">
      <w:bodyDiv w:val="1"/>
      <w:marLeft w:val="0"/>
      <w:marRight w:val="0"/>
      <w:marTop w:val="0"/>
      <w:marBottom w:val="0"/>
      <w:divBdr>
        <w:top w:val="none" w:sz="0" w:space="0" w:color="auto"/>
        <w:left w:val="none" w:sz="0" w:space="0" w:color="auto"/>
        <w:bottom w:val="none" w:sz="0" w:space="0" w:color="auto"/>
        <w:right w:val="none" w:sz="0" w:space="0" w:color="auto"/>
      </w:divBdr>
    </w:div>
    <w:div w:id="794325983">
      <w:bodyDiv w:val="1"/>
      <w:marLeft w:val="0"/>
      <w:marRight w:val="0"/>
      <w:marTop w:val="0"/>
      <w:marBottom w:val="0"/>
      <w:divBdr>
        <w:top w:val="none" w:sz="0" w:space="0" w:color="auto"/>
        <w:left w:val="none" w:sz="0" w:space="0" w:color="auto"/>
        <w:bottom w:val="none" w:sz="0" w:space="0" w:color="auto"/>
        <w:right w:val="none" w:sz="0" w:space="0" w:color="auto"/>
      </w:divBdr>
    </w:div>
    <w:div w:id="794370087">
      <w:bodyDiv w:val="1"/>
      <w:marLeft w:val="0"/>
      <w:marRight w:val="0"/>
      <w:marTop w:val="0"/>
      <w:marBottom w:val="0"/>
      <w:divBdr>
        <w:top w:val="none" w:sz="0" w:space="0" w:color="auto"/>
        <w:left w:val="none" w:sz="0" w:space="0" w:color="auto"/>
        <w:bottom w:val="none" w:sz="0" w:space="0" w:color="auto"/>
        <w:right w:val="none" w:sz="0" w:space="0" w:color="auto"/>
      </w:divBdr>
    </w:div>
    <w:div w:id="794442431">
      <w:bodyDiv w:val="1"/>
      <w:marLeft w:val="0"/>
      <w:marRight w:val="0"/>
      <w:marTop w:val="0"/>
      <w:marBottom w:val="0"/>
      <w:divBdr>
        <w:top w:val="none" w:sz="0" w:space="0" w:color="auto"/>
        <w:left w:val="none" w:sz="0" w:space="0" w:color="auto"/>
        <w:bottom w:val="none" w:sz="0" w:space="0" w:color="auto"/>
        <w:right w:val="none" w:sz="0" w:space="0" w:color="auto"/>
      </w:divBdr>
    </w:div>
    <w:div w:id="794443928">
      <w:bodyDiv w:val="1"/>
      <w:marLeft w:val="0"/>
      <w:marRight w:val="0"/>
      <w:marTop w:val="0"/>
      <w:marBottom w:val="0"/>
      <w:divBdr>
        <w:top w:val="none" w:sz="0" w:space="0" w:color="auto"/>
        <w:left w:val="none" w:sz="0" w:space="0" w:color="auto"/>
        <w:bottom w:val="none" w:sz="0" w:space="0" w:color="auto"/>
        <w:right w:val="none" w:sz="0" w:space="0" w:color="auto"/>
      </w:divBdr>
    </w:div>
    <w:div w:id="794445587">
      <w:bodyDiv w:val="1"/>
      <w:marLeft w:val="0"/>
      <w:marRight w:val="0"/>
      <w:marTop w:val="0"/>
      <w:marBottom w:val="0"/>
      <w:divBdr>
        <w:top w:val="none" w:sz="0" w:space="0" w:color="auto"/>
        <w:left w:val="none" w:sz="0" w:space="0" w:color="auto"/>
        <w:bottom w:val="none" w:sz="0" w:space="0" w:color="auto"/>
        <w:right w:val="none" w:sz="0" w:space="0" w:color="auto"/>
      </w:divBdr>
    </w:div>
    <w:div w:id="794638206">
      <w:bodyDiv w:val="1"/>
      <w:marLeft w:val="0"/>
      <w:marRight w:val="0"/>
      <w:marTop w:val="0"/>
      <w:marBottom w:val="0"/>
      <w:divBdr>
        <w:top w:val="none" w:sz="0" w:space="0" w:color="auto"/>
        <w:left w:val="none" w:sz="0" w:space="0" w:color="auto"/>
        <w:bottom w:val="none" w:sz="0" w:space="0" w:color="auto"/>
        <w:right w:val="none" w:sz="0" w:space="0" w:color="auto"/>
      </w:divBdr>
    </w:div>
    <w:div w:id="794638489">
      <w:bodyDiv w:val="1"/>
      <w:marLeft w:val="0"/>
      <w:marRight w:val="0"/>
      <w:marTop w:val="0"/>
      <w:marBottom w:val="0"/>
      <w:divBdr>
        <w:top w:val="none" w:sz="0" w:space="0" w:color="auto"/>
        <w:left w:val="none" w:sz="0" w:space="0" w:color="auto"/>
        <w:bottom w:val="none" w:sz="0" w:space="0" w:color="auto"/>
        <w:right w:val="none" w:sz="0" w:space="0" w:color="auto"/>
      </w:divBdr>
    </w:div>
    <w:div w:id="795100200">
      <w:bodyDiv w:val="1"/>
      <w:marLeft w:val="0"/>
      <w:marRight w:val="0"/>
      <w:marTop w:val="0"/>
      <w:marBottom w:val="0"/>
      <w:divBdr>
        <w:top w:val="none" w:sz="0" w:space="0" w:color="auto"/>
        <w:left w:val="none" w:sz="0" w:space="0" w:color="auto"/>
        <w:bottom w:val="none" w:sz="0" w:space="0" w:color="auto"/>
        <w:right w:val="none" w:sz="0" w:space="0" w:color="auto"/>
      </w:divBdr>
    </w:div>
    <w:div w:id="795216285">
      <w:bodyDiv w:val="1"/>
      <w:marLeft w:val="0"/>
      <w:marRight w:val="0"/>
      <w:marTop w:val="0"/>
      <w:marBottom w:val="0"/>
      <w:divBdr>
        <w:top w:val="none" w:sz="0" w:space="0" w:color="auto"/>
        <w:left w:val="none" w:sz="0" w:space="0" w:color="auto"/>
        <w:bottom w:val="none" w:sz="0" w:space="0" w:color="auto"/>
        <w:right w:val="none" w:sz="0" w:space="0" w:color="auto"/>
      </w:divBdr>
    </w:div>
    <w:div w:id="795219109">
      <w:bodyDiv w:val="1"/>
      <w:marLeft w:val="0"/>
      <w:marRight w:val="0"/>
      <w:marTop w:val="0"/>
      <w:marBottom w:val="0"/>
      <w:divBdr>
        <w:top w:val="none" w:sz="0" w:space="0" w:color="auto"/>
        <w:left w:val="none" w:sz="0" w:space="0" w:color="auto"/>
        <w:bottom w:val="none" w:sz="0" w:space="0" w:color="auto"/>
        <w:right w:val="none" w:sz="0" w:space="0" w:color="auto"/>
      </w:divBdr>
    </w:div>
    <w:div w:id="795488591">
      <w:bodyDiv w:val="1"/>
      <w:marLeft w:val="0"/>
      <w:marRight w:val="0"/>
      <w:marTop w:val="0"/>
      <w:marBottom w:val="0"/>
      <w:divBdr>
        <w:top w:val="none" w:sz="0" w:space="0" w:color="auto"/>
        <w:left w:val="none" w:sz="0" w:space="0" w:color="auto"/>
        <w:bottom w:val="none" w:sz="0" w:space="0" w:color="auto"/>
        <w:right w:val="none" w:sz="0" w:space="0" w:color="auto"/>
      </w:divBdr>
    </w:div>
    <w:div w:id="795565756">
      <w:bodyDiv w:val="1"/>
      <w:marLeft w:val="0"/>
      <w:marRight w:val="0"/>
      <w:marTop w:val="0"/>
      <w:marBottom w:val="0"/>
      <w:divBdr>
        <w:top w:val="none" w:sz="0" w:space="0" w:color="auto"/>
        <w:left w:val="none" w:sz="0" w:space="0" w:color="auto"/>
        <w:bottom w:val="none" w:sz="0" w:space="0" w:color="auto"/>
        <w:right w:val="none" w:sz="0" w:space="0" w:color="auto"/>
      </w:divBdr>
    </w:div>
    <w:div w:id="795567535">
      <w:bodyDiv w:val="1"/>
      <w:marLeft w:val="0"/>
      <w:marRight w:val="0"/>
      <w:marTop w:val="0"/>
      <w:marBottom w:val="0"/>
      <w:divBdr>
        <w:top w:val="none" w:sz="0" w:space="0" w:color="auto"/>
        <w:left w:val="none" w:sz="0" w:space="0" w:color="auto"/>
        <w:bottom w:val="none" w:sz="0" w:space="0" w:color="auto"/>
        <w:right w:val="none" w:sz="0" w:space="0" w:color="auto"/>
      </w:divBdr>
    </w:div>
    <w:div w:id="795677238">
      <w:bodyDiv w:val="1"/>
      <w:marLeft w:val="0"/>
      <w:marRight w:val="0"/>
      <w:marTop w:val="0"/>
      <w:marBottom w:val="0"/>
      <w:divBdr>
        <w:top w:val="none" w:sz="0" w:space="0" w:color="auto"/>
        <w:left w:val="none" w:sz="0" w:space="0" w:color="auto"/>
        <w:bottom w:val="none" w:sz="0" w:space="0" w:color="auto"/>
        <w:right w:val="none" w:sz="0" w:space="0" w:color="auto"/>
      </w:divBdr>
    </w:div>
    <w:div w:id="795870822">
      <w:bodyDiv w:val="1"/>
      <w:marLeft w:val="0"/>
      <w:marRight w:val="0"/>
      <w:marTop w:val="0"/>
      <w:marBottom w:val="0"/>
      <w:divBdr>
        <w:top w:val="none" w:sz="0" w:space="0" w:color="auto"/>
        <w:left w:val="none" w:sz="0" w:space="0" w:color="auto"/>
        <w:bottom w:val="none" w:sz="0" w:space="0" w:color="auto"/>
        <w:right w:val="none" w:sz="0" w:space="0" w:color="auto"/>
      </w:divBdr>
    </w:div>
    <w:div w:id="795950203">
      <w:bodyDiv w:val="1"/>
      <w:marLeft w:val="0"/>
      <w:marRight w:val="0"/>
      <w:marTop w:val="0"/>
      <w:marBottom w:val="0"/>
      <w:divBdr>
        <w:top w:val="none" w:sz="0" w:space="0" w:color="auto"/>
        <w:left w:val="none" w:sz="0" w:space="0" w:color="auto"/>
        <w:bottom w:val="none" w:sz="0" w:space="0" w:color="auto"/>
        <w:right w:val="none" w:sz="0" w:space="0" w:color="auto"/>
      </w:divBdr>
    </w:div>
    <w:div w:id="795954505">
      <w:bodyDiv w:val="1"/>
      <w:marLeft w:val="0"/>
      <w:marRight w:val="0"/>
      <w:marTop w:val="0"/>
      <w:marBottom w:val="0"/>
      <w:divBdr>
        <w:top w:val="none" w:sz="0" w:space="0" w:color="auto"/>
        <w:left w:val="none" w:sz="0" w:space="0" w:color="auto"/>
        <w:bottom w:val="none" w:sz="0" w:space="0" w:color="auto"/>
        <w:right w:val="none" w:sz="0" w:space="0" w:color="auto"/>
      </w:divBdr>
    </w:div>
    <w:div w:id="796023235">
      <w:bodyDiv w:val="1"/>
      <w:marLeft w:val="0"/>
      <w:marRight w:val="0"/>
      <w:marTop w:val="0"/>
      <w:marBottom w:val="0"/>
      <w:divBdr>
        <w:top w:val="none" w:sz="0" w:space="0" w:color="auto"/>
        <w:left w:val="none" w:sz="0" w:space="0" w:color="auto"/>
        <w:bottom w:val="none" w:sz="0" w:space="0" w:color="auto"/>
        <w:right w:val="none" w:sz="0" w:space="0" w:color="auto"/>
      </w:divBdr>
    </w:div>
    <w:div w:id="796070735">
      <w:bodyDiv w:val="1"/>
      <w:marLeft w:val="0"/>
      <w:marRight w:val="0"/>
      <w:marTop w:val="0"/>
      <w:marBottom w:val="0"/>
      <w:divBdr>
        <w:top w:val="none" w:sz="0" w:space="0" w:color="auto"/>
        <w:left w:val="none" w:sz="0" w:space="0" w:color="auto"/>
        <w:bottom w:val="none" w:sz="0" w:space="0" w:color="auto"/>
        <w:right w:val="none" w:sz="0" w:space="0" w:color="auto"/>
      </w:divBdr>
    </w:div>
    <w:div w:id="796098099">
      <w:bodyDiv w:val="1"/>
      <w:marLeft w:val="0"/>
      <w:marRight w:val="0"/>
      <w:marTop w:val="0"/>
      <w:marBottom w:val="0"/>
      <w:divBdr>
        <w:top w:val="none" w:sz="0" w:space="0" w:color="auto"/>
        <w:left w:val="none" w:sz="0" w:space="0" w:color="auto"/>
        <w:bottom w:val="none" w:sz="0" w:space="0" w:color="auto"/>
        <w:right w:val="none" w:sz="0" w:space="0" w:color="auto"/>
      </w:divBdr>
    </w:div>
    <w:div w:id="796141655">
      <w:bodyDiv w:val="1"/>
      <w:marLeft w:val="0"/>
      <w:marRight w:val="0"/>
      <w:marTop w:val="0"/>
      <w:marBottom w:val="0"/>
      <w:divBdr>
        <w:top w:val="none" w:sz="0" w:space="0" w:color="auto"/>
        <w:left w:val="none" w:sz="0" w:space="0" w:color="auto"/>
        <w:bottom w:val="none" w:sz="0" w:space="0" w:color="auto"/>
        <w:right w:val="none" w:sz="0" w:space="0" w:color="auto"/>
      </w:divBdr>
    </w:div>
    <w:div w:id="796217496">
      <w:bodyDiv w:val="1"/>
      <w:marLeft w:val="0"/>
      <w:marRight w:val="0"/>
      <w:marTop w:val="0"/>
      <w:marBottom w:val="0"/>
      <w:divBdr>
        <w:top w:val="none" w:sz="0" w:space="0" w:color="auto"/>
        <w:left w:val="none" w:sz="0" w:space="0" w:color="auto"/>
        <w:bottom w:val="none" w:sz="0" w:space="0" w:color="auto"/>
        <w:right w:val="none" w:sz="0" w:space="0" w:color="auto"/>
      </w:divBdr>
    </w:div>
    <w:div w:id="796335603">
      <w:bodyDiv w:val="1"/>
      <w:marLeft w:val="0"/>
      <w:marRight w:val="0"/>
      <w:marTop w:val="0"/>
      <w:marBottom w:val="0"/>
      <w:divBdr>
        <w:top w:val="none" w:sz="0" w:space="0" w:color="auto"/>
        <w:left w:val="none" w:sz="0" w:space="0" w:color="auto"/>
        <w:bottom w:val="none" w:sz="0" w:space="0" w:color="auto"/>
        <w:right w:val="none" w:sz="0" w:space="0" w:color="auto"/>
      </w:divBdr>
    </w:div>
    <w:div w:id="796408557">
      <w:bodyDiv w:val="1"/>
      <w:marLeft w:val="0"/>
      <w:marRight w:val="0"/>
      <w:marTop w:val="0"/>
      <w:marBottom w:val="0"/>
      <w:divBdr>
        <w:top w:val="none" w:sz="0" w:space="0" w:color="auto"/>
        <w:left w:val="none" w:sz="0" w:space="0" w:color="auto"/>
        <w:bottom w:val="none" w:sz="0" w:space="0" w:color="auto"/>
        <w:right w:val="none" w:sz="0" w:space="0" w:color="auto"/>
      </w:divBdr>
    </w:div>
    <w:div w:id="796409312">
      <w:bodyDiv w:val="1"/>
      <w:marLeft w:val="0"/>
      <w:marRight w:val="0"/>
      <w:marTop w:val="0"/>
      <w:marBottom w:val="0"/>
      <w:divBdr>
        <w:top w:val="none" w:sz="0" w:space="0" w:color="auto"/>
        <w:left w:val="none" w:sz="0" w:space="0" w:color="auto"/>
        <w:bottom w:val="none" w:sz="0" w:space="0" w:color="auto"/>
        <w:right w:val="none" w:sz="0" w:space="0" w:color="auto"/>
      </w:divBdr>
    </w:div>
    <w:div w:id="796412533">
      <w:bodyDiv w:val="1"/>
      <w:marLeft w:val="0"/>
      <w:marRight w:val="0"/>
      <w:marTop w:val="0"/>
      <w:marBottom w:val="0"/>
      <w:divBdr>
        <w:top w:val="none" w:sz="0" w:space="0" w:color="auto"/>
        <w:left w:val="none" w:sz="0" w:space="0" w:color="auto"/>
        <w:bottom w:val="none" w:sz="0" w:space="0" w:color="auto"/>
        <w:right w:val="none" w:sz="0" w:space="0" w:color="auto"/>
      </w:divBdr>
    </w:div>
    <w:div w:id="796483838">
      <w:bodyDiv w:val="1"/>
      <w:marLeft w:val="0"/>
      <w:marRight w:val="0"/>
      <w:marTop w:val="0"/>
      <w:marBottom w:val="0"/>
      <w:divBdr>
        <w:top w:val="none" w:sz="0" w:space="0" w:color="auto"/>
        <w:left w:val="none" w:sz="0" w:space="0" w:color="auto"/>
        <w:bottom w:val="none" w:sz="0" w:space="0" w:color="auto"/>
        <w:right w:val="none" w:sz="0" w:space="0" w:color="auto"/>
      </w:divBdr>
    </w:div>
    <w:div w:id="796487546">
      <w:bodyDiv w:val="1"/>
      <w:marLeft w:val="0"/>
      <w:marRight w:val="0"/>
      <w:marTop w:val="0"/>
      <w:marBottom w:val="0"/>
      <w:divBdr>
        <w:top w:val="none" w:sz="0" w:space="0" w:color="auto"/>
        <w:left w:val="none" w:sz="0" w:space="0" w:color="auto"/>
        <w:bottom w:val="none" w:sz="0" w:space="0" w:color="auto"/>
        <w:right w:val="none" w:sz="0" w:space="0" w:color="auto"/>
      </w:divBdr>
    </w:div>
    <w:div w:id="796487636">
      <w:bodyDiv w:val="1"/>
      <w:marLeft w:val="0"/>
      <w:marRight w:val="0"/>
      <w:marTop w:val="0"/>
      <w:marBottom w:val="0"/>
      <w:divBdr>
        <w:top w:val="none" w:sz="0" w:space="0" w:color="auto"/>
        <w:left w:val="none" w:sz="0" w:space="0" w:color="auto"/>
        <w:bottom w:val="none" w:sz="0" w:space="0" w:color="auto"/>
        <w:right w:val="none" w:sz="0" w:space="0" w:color="auto"/>
      </w:divBdr>
    </w:div>
    <w:div w:id="796528494">
      <w:bodyDiv w:val="1"/>
      <w:marLeft w:val="0"/>
      <w:marRight w:val="0"/>
      <w:marTop w:val="0"/>
      <w:marBottom w:val="0"/>
      <w:divBdr>
        <w:top w:val="none" w:sz="0" w:space="0" w:color="auto"/>
        <w:left w:val="none" w:sz="0" w:space="0" w:color="auto"/>
        <w:bottom w:val="none" w:sz="0" w:space="0" w:color="auto"/>
        <w:right w:val="none" w:sz="0" w:space="0" w:color="auto"/>
      </w:divBdr>
    </w:div>
    <w:div w:id="796679723">
      <w:bodyDiv w:val="1"/>
      <w:marLeft w:val="0"/>
      <w:marRight w:val="0"/>
      <w:marTop w:val="0"/>
      <w:marBottom w:val="0"/>
      <w:divBdr>
        <w:top w:val="none" w:sz="0" w:space="0" w:color="auto"/>
        <w:left w:val="none" w:sz="0" w:space="0" w:color="auto"/>
        <w:bottom w:val="none" w:sz="0" w:space="0" w:color="auto"/>
        <w:right w:val="none" w:sz="0" w:space="0" w:color="auto"/>
      </w:divBdr>
    </w:div>
    <w:div w:id="796795405">
      <w:bodyDiv w:val="1"/>
      <w:marLeft w:val="0"/>
      <w:marRight w:val="0"/>
      <w:marTop w:val="0"/>
      <w:marBottom w:val="0"/>
      <w:divBdr>
        <w:top w:val="none" w:sz="0" w:space="0" w:color="auto"/>
        <w:left w:val="none" w:sz="0" w:space="0" w:color="auto"/>
        <w:bottom w:val="none" w:sz="0" w:space="0" w:color="auto"/>
        <w:right w:val="none" w:sz="0" w:space="0" w:color="auto"/>
      </w:divBdr>
    </w:div>
    <w:div w:id="796870194">
      <w:bodyDiv w:val="1"/>
      <w:marLeft w:val="0"/>
      <w:marRight w:val="0"/>
      <w:marTop w:val="0"/>
      <w:marBottom w:val="0"/>
      <w:divBdr>
        <w:top w:val="none" w:sz="0" w:space="0" w:color="auto"/>
        <w:left w:val="none" w:sz="0" w:space="0" w:color="auto"/>
        <w:bottom w:val="none" w:sz="0" w:space="0" w:color="auto"/>
        <w:right w:val="none" w:sz="0" w:space="0" w:color="auto"/>
      </w:divBdr>
    </w:div>
    <w:div w:id="796920261">
      <w:bodyDiv w:val="1"/>
      <w:marLeft w:val="0"/>
      <w:marRight w:val="0"/>
      <w:marTop w:val="0"/>
      <w:marBottom w:val="0"/>
      <w:divBdr>
        <w:top w:val="none" w:sz="0" w:space="0" w:color="auto"/>
        <w:left w:val="none" w:sz="0" w:space="0" w:color="auto"/>
        <w:bottom w:val="none" w:sz="0" w:space="0" w:color="auto"/>
        <w:right w:val="none" w:sz="0" w:space="0" w:color="auto"/>
      </w:divBdr>
    </w:div>
    <w:div w:id="796921117">
      <w:bodyDiv w:val="1"/>
      <w:marLeft w:val="0"/>
      <w:marRight w:val="0"/>
      <w:marTop w:val="0"/>
      <w:marBottom w:val="0"/>
      <w:divBdr>
        <w:top w:val="none" w:sz="0" w:space="0" w:color="auto"/>
        <w:left w:val="none" w:sz="0" w:space="0" w:color="auto"/>
        <w:bottom w:val="none" w:sz="0" w:space="0" w:color="auto"/>
        <w:right w:val="none" w:sz="0" w:space="0" w:color="auto"/>
      </w:divBdr>
    </w:div>
    <w:div w:id="796988859">
      <w:bodyDiv w:val="1"/>
      <w:marLeft w:val="0"/>
      <w:marRight w:val="0"/>
      <w:marTop w:val="0"/>
      <w:marBottom w:val="0"/>
      <w:divBdr>
        <w:top w:val="none" w:sz="0" w:space="0" w:color="auto"/>
        <w:left w:val="none" w:sz="0" w:space="0" w:color="auto"/>
        <w:bottom w:val="none" w:sz="0" w:space="0" w:color="auto"/>
        <w:right w:val="none" w:sz="0" w:space="0" w:color="auto"/>
      </w:divBdr>
    </w:div>
    <w:div w:id="796990273">
      <w:bodyDiv w:val="1"/>
      <w:marLeft w:val="0"/>
      <w:marRight w:val="0"/>
      <w:marTop w:val="0"/>
      <w:marBottom w:val="0"/>
      <w:divBdr>
        <w:top w:val="none" w:sz="0" w:space="0" w:color="auto"/>
        <w:left w:val="none" w:sz="0" w:space="0" w:color="auto"/>
        <w:bottom w:val="none" w:sz="0" w:space="0" w:color="auto"/>
        <w:right w:val="none" w:sz="0" w:space="0" w:color="auto"/>
      </w:divBdr>
    </w:div>
    <w:div w:id="796993064">
      <w:bodyDiv w:val="1"/>
      <w:marLeft w:val="0"/>
      <w:marRight w:val="0"/>
      <w:marTop w:val="0"/>
      <w:marBottom w:val="0"/>
      <w:divBdr>
        <w:top w:val="none" w:sz="0" w:space="0" w:color="auto"/>
        <w:left w:val="none" w:sz="0" w:space="0" w:color="auto"/>
        <w:bottom w:val="none" w:sz="0" w:space="0" w:color="auto"/>
        <w:right w:val="none" w:sz="0" w:space="0" w:color="auto"/>
      </w:divBdr>
    </w:div>
    <w:div w:id="797140029">
      <w:bodyDiv w:val="1"/>
      <w:marLeft w:val="0"/>
      <w:marRight w:val="0"/>
      <w:marTop w:val="0"/>
      <w:marBottom w:val="0"/>
      <w:divBdr>
        <w:top w:val="none" w:sz="0" w:space="0" w:color="auto"/>
        <w:left w:val="none" w:sz="0" w:space="0" w:color="auto"/>
        <w:bottom w:val="none" w:sz="0" w:space="0" w:color="auto"/>
        <w:right w:val="none" w:sz="0" w:space="0" w:color="auto"/>
      </w:divBdr>
    </w:div>
    <w:div w:id="797143264">
      <w:bodyDiv w:val="1"/>
      <w:marLeft w:val="0"/>
      <w:marRight w:val="0"/>
      <w:marTop w:val="0"/>
      <w:marBottom w:val="0"/>
      <w:divBdr>
        <w:top w:val="none" w:sz="0" w:space="0" w:color="auto"/>
        <w:left w:val="none" w:sz="0" w:space="0" w:color="auto"/>
        <w:bottom w:val="none" w:sz="0" w:space="0" w:color="auto"/>
        <w:right w:val="none" w:sz="0" w:space="0" w:color="auto"/>
      </w:divBdr>
    </w:div>
    <w:div w:id="797183488">
      <w:bodyDiv w:val="1"/>
      <w:marLeft w:val="0"/>
      <w:marRight w:val="0"/>
      <w:marTop w:val="0"/>
      <w:marBottom w:val="0"/>
      <w:divBdr>
        <w:top w:val="none" w:sz="0" w:space="0" w:color="auto"/>
        <w:left w:val="none" w:sz="0" w:space="0" w:color="auto"/>
        <w:bottom w:val="none" w:sz="0" w:space="0" w:color="auto"/>
        <w:right w:val="none" w:sz="0" w:space="0" w:color="auto"/>
      </w:divBdr>
    </w:div>
    <w:div w:id="797261290">
      <w:bodyDiv w:val="1"/>
      <w:marLeft w:val="0"/>
      <w:marRight w:val="0"/>
      <w:marTop w:val="0"/>
      <w:marBottom w:val="0"/>
      <w:divBdr>
        <w:top w:val="none" w:sz="0" w:space="0" w:color="auto"/>
        <w:left w:val="none" w:sz="0" w:space="0" w:color="auto"/>
        <w:bottom w:val="none" w:sz="0" w:space="0" w:color="auto"/>
        <w:right w:val="none" w:sz="0" w:space="0" w:color="auto"/>
      </w:divBdr>
    </w:div>
    <w:div w:id="797332848">
      <w:bodyDiv w:val="1"/>
      <w:marLeft w:val="0"/>
      <w:marRight w:val="0"/>
      <w:marTop w:val="0"/>
      <w:marBottom w:val="0"/>
      <w:divBdr>
        <w:top w:val="none" w:sz="0" w:space="0" w:color="auto"/>
        <w:left w:val="none" w:sz="0" w:space="0" w:color="auto"/>
        <w:bottom w:val="none" w:sz="0" w:space="0" w:color="auto"/>
        <w:right w:val="none" w:sz="0" w:space="0" w:color="auto"/>
      </w:divBdr>
    </w:div>
    <w:div w:id="797381367">
      <w:bodyDiv w:val="1"/>
      <w:marLeft w:val="0"/>
      <w:marRight w:val="0"/>
      <w:marTop w:val="0"/>
      <w:marBottom w:val="0"/>
      <w:divBdr>
        <w:top w:val="none" w:sz="0" w:space="0" w:color="auto"/>
        <w:left w:val="none" w:sz="0" w:space="0" w:color="auto"/>
        <w:bottom w:val="none" w:sz="0" w:space="0" w:color="auto"/>
        <w:right w:val="none" w:sz="0" w:space="0" w:color="auto"/>
      </w:divBdr>
    </w:div>
    <w:div w:id="797455567">
      <w:bodyDiv w:val="1"/>
      <w:marLeft w:val="0"/>
      <w:marRight w:val="0"/>
      <w:marTop w:val="0"/>
      <w:marBottom w:val="0"/>
      <w:divBdr>
        <w:top w:val="none" w:sz="0" w:space="0" w:color="auto"/>
        <w:left w:val="none" w:sz="0" w:space="0" w:color="auto"/>
        <w:bottom w:val="none" w:sz="0" w:space="0" w:color="auto"/>
        <w:right w:val="none" w:sz="0" w:space="0" w:color="auto"/>
      </w:divBdr>
    </w:div>
    <w:div w:id="797601936">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799029">
      <w:bodyDiv w:val="1"/>
      <w:marLeft w:val="0"/>
      <w:marRight w:val="0"/>
      <w:marTop w:val="0"/>
      <w:marBottom w:val="0"/>
      <w:divBdr>
        <w:top w:val="none" w:sz="0" w:space="0" w:color="auto"/>
        <w:left w:val="none" w:sz="0" w:space="0" w:color="auto"/>
        <w:bottom w:val="none" w:sz="0" w:space="0" w:color="auto"/>
        <w:right w:val="none" w:sz="0" w:space="0" w:color="auto"/>
      </w:divBdr>
    </w:div>
    <w:div w:id="797845011">
      <w:bodyDiv w:val="1"/>
      <w:marLeft w:val="0"/>
      <w:marRight w:val="0"/>
      <w:marTop w:val="0"/>
      <w:marBottom w:val="0"/>
      <w:divBdr>
        <w:top w:val="none" w:sz="0" w:space="0" w:color="auto"/>
        <w:left w:val="none" w:sz="0" w:space="0" w:color="auto"/>
        <w:bottom w:val="none" w:sz="0" w:space="0" w:color="auto"/>
        <w:right w:val="none" w:sz="0" w:space="0" w:color="auto"/>
      </w:divBdr>
    </w:div>
    <w:div w:id="797845593">
      <w:bodyDiv w:val="1"/>
      <w:marLeft w:val="0"/>
      <w:marRight w:val="0"/>
      <w:marTop w:val="0"/>
      <w:marBottom w:val="0"/>
      <w:divBdr>
        <w:top w:val="none" w:sz="0" w:space="0" w:color="auto"/>
        <w:left w:val="none" w:sz="0" w:space="0" w:color="auto"/>
        <w:bottom w:val="none" w:sz="0" w:space="0" w:color="auto"/>
        <w:right w:val="none" w:sz="0" w:space="0" w:color="auto"/>
      </w:divBdr>
    </w:div>
    <w:div w:id="797921039">
      <w:bodyDiv w:val="1"/>
      <w:marLeft w:val="0"/>
      <w:marRight w:val="0"/>
      <w:marTop w:val="0"/>
      <w:marBottom w:val="0"/>
      <w:divBdr>
        <w:top w:val="none" w:sz="0" w:space="0" w:color="auto"/>
        <w:left w:val="none" w:sz="0" w:space="0" w:color="auto"/>
        <w:bottom w:val="none" w:sz="0" w:space="0" w:color="auto"/>
        <w:right w:val="none" w:sz="0" w:space="0" w:color="auto"/>
      </w:divBdr>
    </w:div>
    <w:div w:id="798299805">
      <w:bodyDiv w:val="1"/>
      <w:marLeft w:val="0"/>
      <w:marRight w:val="0"/>
      <w:marTop w:val="0"/>
      <w:marBottom w:val="0"/>
      <w:divBdr>
        <w:top w:val="none" w:sz="0" w:space="0" w:color="auto"/>
        <w:left w:val="none" w:sz="0" w:space="0" w:color="auto"/>
        <w:bottom w:val="none" w:sz="0" w:space="0" w:color="auto"/>
        <w:right w:val="none" w:sz="0" w:space="0" w:color="auto"/>
      </w:divBdr>
    </w:div>
    <w:div w:id="798499078">
      <w:bodyDiv w:val="1"/>
      <w:marLeft w:val="0"/>
      <w:marRight w:val="0"/>
      <w:marTop w:val="0"/>
      <w:marBottom w:val="0"/>
      <w:divBdr>
        <w:top w:val="none" w:sz="0" w:space="0" w:color="auto"/>
        <w:left w:val="none" w:sz="0" w:space="0" w:color="auto"/>
        <w:bottom w:val="none" w:sz="0" w:space="0" w:color="auto"/>
        <w:right w:val="none" w:sz="0" w:space="0" w:color="auto"/>
      </w:divBdr>
    </w:div>
    <w:div w:id="798569908">
      <w:bodyDiv w:val="1"/>
      <w:marLeft w:val="0"/>
      <w:marRight w:val="0"/>
      <w:marTop w:val="0"/>
      <w:marBottom w:val="0"/>
      <w:divBdr>
        <w:top w:val="none" w:sz="0" w:space="0" w:color="auto"/>
        <w:left w:val="none" w:sz="0" w:space="0" w:color="auto"/>
        <w:bottom w:val="none" w:sz="0" w:space="0" w:color="auto"/>
        <w:right w:val="none" w:sz="0" w:space="0" w:color="auto"/>
      </w:divBdr>
    </w:div>
    <w:div w:id="798648696">
      <w:bodyDiv w:val="1"/>
      <w:marLeft w:val="0"/>
      <w:marRight w:val="0"/>
      <w:marTop w:val="0"/>
      <w:marBottom w:val="0"/>
      <w:divBdr>
        <w:top w:val="none" w:sz="0" w:space="0" w:color="auto"/>
        <w:left w:val="none" w:sz="0" w:space="0" w:color="auto"/>
        <w:bottom w:val="none" w:sz="0" w:space="0" w:color="auto"/>
        <w:right w:val="none" w:sz="0" w:space="0" w:color="auto"/>
      </w:divBdr>
    </w:div>
    <w:div w:id="798692839">
      <w:bodyDiv w:val="1"/>
      <w:marLeft w:val="0"/>
      <w:marRight w:val="0"/>
      <w:marTop w:val="0"/>
      <w:marBottom w:val="0"/>
      <w:divBdr>
        <w:top w:val="none" w:sz="0" w:space="0" w:color="auto"/>
        <w:left w:val="none" w:sz="0" w:space="0" w:color="auto"/>
        <w:bottom w:val="none" w:sz="0" w:space="0" w:color="auto"/>
        <w:right w:val="none" w:sz="0" w:space="0" w:color="auto"/>
      </w:divBdr>
    </w:div>
    <w:div w:id="798761164">
      <w:bodyDiv w:val="1"/>
      <w:marLeft w:val="0"/>
      <w:marRight w:val="0"/>
      <w:marTop w:val="0"/>
      <w:marBottom w:val="0"/>
      <w:divBdr>
        <w:top w:val="none" w:sz="0" w:space="0" w:color="auto"/>
        <w:left w:val="none" w:sz="0" w:space="0" w:color="auto"/>
        <w:bottom w:val="none" w:sz="0" w:space="0" w:color="auto"/>
        <w:right w:val="none" w:sz="0" w:space="0" w:color="auto"/>
      </w:divBdr>
    </w:div>
    <w:div w:id="798954437">
      <w:bodyDiv w:val="1"/>
      <w:marLeft w:val="0"/>
      <w:marRight w:val="0"/>
      <w:marTop w:val="0"/>
      <w:marBottom w:val="0"/>
      <w:divBdr>
        <w:top w:val="none" w:sz="0" w:space="0" w:color="auto"/>
        <w:left w:val="none" w:sz="0" w:space="0" w:color="auto"/>
        <w:bottom w:val="none" w:sz="0" w:space="0" w:color="auto"/>
        <w:right w:val="none" w:sz="0" w:space="0" w:color="auto"/>
      </w:divBdr>
    </w:div>
    <w:div w:id="798956457">
      <w:bodyDiv w:val="1"/>
      <w:marLeft w:val="0"/>
      <w:marRight w:val="0"/>
      <w:marTop w:val="0"/>
      <w:marBottom w:val="0"/>
      <w:divBdr>
        <w:top w:val="none" w:sz="0" w:space="0" w:color="auto"/>
        <w:left w:val="none" w:sz="0" w:space="0" w:color="auto"/>
        <w:bottom w:val="none" w:sz="0" w:space="0" w:color="auto"/>
        <w:right w:val="none" w:sz="0" w:space="0" w:color="auto"/>
      </w:divBdr>
    </w:div>
    <w:div w:id="798960143">
      <w:bodyDiv w:val="1"/>
      <w:marLeft w:val="0"/>
      <w:marRight w:val="0"/>
      <w:marTop w:val="0"/>
      <w:marBottom w:val="0"/>
      <w:divBdr>
        <w:top w:val="none" w:sz="0" w:space="0" w:color="auto"/>
        <w:left w:val="none" w:sz="0" w:space="0" w:color="auto"/>
        <w:bottom w:val="none" w:sz="0" w:space="0" w:color="auto"/>
        <w:right w:val="none" w:sz="0" w:space="0" w:color="auto"/>
      </w:divBdr>
    </w:div>
    <w:div w:id="799031005">
      <w:bodyDiv w:val="1"/>
      <w:marLeft w:val="0"/>
      <w:marRight w:val="0"/>
      <w:marTop w:val="0"/>
      <w:marBottom w:val="0"/>
      <w:divBdr>
        <w:top w:val="none" w:sz="0" w:space="0" w:color="auto"/>
        <w:left w:val="none" w:sz="0" w:space="0" w:color="auto"/>
        <w:bottom w:val="none" w:sz="0" w:space="0" w:color="auto"/>
        <w:right w:val="none" w:sz="0" w:space="0" w:color="auto"/>
      </w:divBdr>
    </w:div>
    <w:div w:id="799113127">
      <w:bodyDiv w:val="1"/>
      <w:marLeft w:val="0"/>
      <w:marRight w:val="0"/>
      <w:marTop w:val="0"/>
      <w:marBottom w:val="0"/>
      <w:divBdr>
        <w:top w:val="none" w:sz="0" w:space="0" w:color="auto"/>
        <w:left w:val="none" w:sz="0" w:space="0" w:color="auto"/>
        <w:bottom w:val="none" w:sz="0" w:space="0" w:color="auto"/>
        <w:right w:val="none" w:sz="0" w:space="0" w:color="auto"/>
      </w:divBdr>
    </w:div>
    <w:div w:id="799349114">
      <w:bodyDiv w:val="1"/>
      <w:marLeft w:val="0"/>
      <w:marRight w:val="0"/>
      <w:marTop w:val="0"/>
      <w:marBottom w:val="0"/>
      <w:divBdr>
        <w:top w:val="none" w:sz="0" w:space="0" w:color="auto"/>
        <w:left w:val="none" w:sz="0" w:space="0" w:color="auto"/>
        <w:bottom w:val="none" w:sz="0" w:space="0" w:color="auto"/>
        <w:right w:val="none" w:sz="0" w:space="0" w:color="auto"/>
      </w:divBdr>
    </w:div>
    <w:div w:id="799418626">
      <w:bodyDiv w:val="1"/>
      <w:marLeft w:val="0"/>
      <w:marRight w:val="0"/>
      <w:marTop w:val="0"/>
      <w:marBottom w:val="0"/>
      <w:divBdr>
        <w:top w:val="none" w:sz="0" w:space="0" w:color="auto"/>
        <w:left w:val="none" w:sz="0" w:space="0" w:color="auto"/>
        <w:bottom w:val="none" w:sz="0" w:space="0" w:color="auto"/>
        <w:right w:val="none" w:sz="0" w:space="0" w:color="auto"/>
      </w:divBdr>
    </w:div>
    <w:div w:id="799541458">
      <w:bodyDiv w:val="1"/>
      <w:marLeft w:val="0"/>
      <w:marRight w:val="0"/>
      <w:marTop w:val="0"/>
      <w:marBottom w:val="0"/>
      <w:divBdr>
        <w:top w:val="none" w:sz="0" w:space="0" w:color="auto"/>
        <w:left w:val="none" w:sz="0" w:space="0" w:color="auto"/>
        <w:bottom w:val="none" w:sz="0" w:space="0" w:color="auto"/>
        <w:right w:val="none" w:sz="0" w:space="0" w:color="auto"/>
      </w:divBdr>
    </w:div>
    <w:div w:id="799570818">
      <w:bodyDiv w:val="1"/>
      <w:marLeft w:val="0"/>
      <w:marRight w:val="0"/>
      <w:marTop w:val="0"/>
      <w:marBottom w:val="0"/>
      <w:divBdr>
        <w:top w:val="none" w:sz="0" w:space="0" w:color="auto"/>
        <w:left w:val="none" w:sz="0" w:space="0" w:color="auto"/>
        <w:bottom w:val="none" w:sz="0" w:space="0" w:color="auto"/>
        <w:right w:val="none" w:sz="0" w:space="0" w:color="auto"/>
      </w:divBdr>
    </w:div>
    <w:div w:id="799609134">
      <w:bodyDiv w:val="1"/>
      <w:marLeft w:val="0"/>
      <w:marRight w:val="0"/>
      <w:marTop w:val="0"/>
      <w:marBottom w:val="0"/>
      <w:divBdr>
        <w:top w:val="none" w:sz="0" w:space="0" w:color="auto"/>
        <w:left w:val="none" w:sz="0" w:space="0" w:color="auto"/>
        <w:bottom w:val="none" w:sz="0" w:space="0" w:color="auto"/>
        <w:right w:val="none" w:sz="0" w:space="0" w:color="auto"/>
      </w:divBdr>
    </w:div>
    <w:div w:id="799612680">
      <w:bodyDiv w:val="1"/>
      <w:marLeft w:val="0"/>
      <w:marRight w:val="0"/>
      <w:marTop w:val="0"/>
      <w:marBottom w:val="0"/>
      <w:divBdr>
        <w:top w:val="none" w:sz="0" w:space="0" w:color="auto"/>
        <w:left w:val="none" w:sz="0" w:space="0" w:color="auto"/>
        <w:bottom w:val="none" w:sz="0" w:space="0" w:color="auto"/>
        <w:right w:val="none" w:sz="0" w:space="0" w:color="auto"/>
      </w:divBdr>
    </w:div>
    <w:div w:id="799686472">
      <w:bodyDiv w:val="1"/>
      <w:marLeft w:val="0"/>
      <w:marRight w:val="0"/>
      <w:marTop w:val="0"/>
      <w:marBottom w:val="0"/>
      <w:divBdr>
        <w:top w:val="none" w:sz="0" w:space="0" w:color="auto"/>
        <w:left w:val="none" w:sz="0" w:space="0" w:color="auto"/>
        <w:bottom w:val="none" w:sz="0" w:space="0" w:color="auto"/>
        <w:right w:val="none" w:sz="0" w:space="0" w:color="auto"/>
      </w:divBdr>
    </w:div>
    <w:div w:id="799692692">
      <w:bodyDiv w:val="1"/>
      <w:marLeft w:val="0"/>
      <w:marRight w:val="0"/>
      <w:marTop w:val="0"/>
      <w:marBottom w:val="0"/>
      <w:divBdr>
        <w:top w:val="none" w:sz="0" w:space="0" w:color="auto"/>
        <w:left w:val="none" w:sz="0" w:space="0" w:color="auto"/>
        <w:bottom w:val="none" w:sz="0" w:space="0" w:color="auto"/>
        <w:right w:val="none" w:sz="0" w:space="0" w:color="auto"/>
      </w:divBdr>
    </w:div>
    <w:div w:id="799763299">
      <w:bodyDiv w:val="1"/>
      <w:marLeft w:val="0"/>
      <w:marRight w:val="0"/>
      <w:marTop w:val="0"/>
      <w:marBottom w:val="0"/>
      <w:divBdr>
        <w:top w:val="none" w:sz="0" w:space="0" w:color="auto"/>
        <w:left w:val="none" w:sz="0" w:space="0" w:color="auto"/>
        <w:bottom w:val="none" w:sz="0" w:space="0" w:color="auto"/>
        <w:right w:val="none" w:sz="0" w:space="0" w:color="auto"/>
      </w:divBdr>
    </w:div>
    <w:div w:id="799955352">
      <w:bodyDiv w:val="1"/>
      <w:marLeft w:val="0"/>
      <w:marRight w:val="0"/>
      <w:marTop w:val="0"/>
      <w:marBottom w:val="0"/>
      <w:divBdr>
        <w:top w:val="none" w:sz="0" w:space="0" w:color="auto"/>
        <w:left w:val="none" w:sz="0" w:space="0" w:color="auto"/>
        <w:bottom w:val="none" w:sz="0" w:space="0" w:color="auto"/>
        <w:right w:val="none" w:sz="0" w:space="0" w:color="auto"/>
      </w:divBdr>
    </w:div>
    <w:div w:id="799957340">
      <w:bodyDiv w:val="1"/>
      <w:marLeft w:val="0"/>
      <w:marRight w:val="0"/>
      <w:marTop w:val="0"/>
      <w:marBottom w:val="0"/>
      <w:divBdr>
        <w:top w:val="none" w:sz="0" w:space="0" w:color="auto"/>
        <w:left w:val="none" w:sz="0" w:space="0" w:color="auto"/>
        <w:bottom w:val="none" w:sz="0" w:space="0" w:color="auto"/>
        <w:right w:val="none" w:sz="0" w:space="0" w:color="auto"/>
      </w:divBdr>
    </w:div>
    <w:div w:id="800151460">
      <w:bodyDiv w:val="1"/>
      <w:marLeft w:val="0"/>
      <w:marRight w:val="0"/>
      <w:marTop w:val="0"/>
      <w:marBottom w:val="0"/>
      <w:divBdr>
        <w:top w:val="none" w:sz="0" w:space="0" w:color="auto"/>
        <w:left w:val="none" w:sz="0" w:space="0" w:color="auto"/>
        <w:bottom w:val="none" w:sz="0" w:space="0" w:color="auto"/>
        <w:right w:val="none" w:sz="0" w:space="0" w:color="auto"/>
      </w:divBdr>
    </w:div>
    <w:div w:id="800225893">
      <w:bodyDiv w:val="1"/>
      <w:marLeft w:val="0"/>
      <w:marRight w:val="0"/>
      <w:marTop w:val="0"/>
      <w:marBottom w:val="0"/>
      <w:divBdr>
        <w:top w:val="none" w:sz="0" w:space="0" w:color="auto"/>
        <w:left w:val="none" w:sz="0" w:space="0" w:color="auto"/>
        <w:bottom w:val="none" w:sz="0" w:space="0" w:color="auto"/>
        <w:right w:val="none" w:sz="0" w:space="0" w:color="auto"/>
      </w:divBdr>
    </w:div>
    <w:div w:id="800272678">
      <w:bodyDiv w:val="1"/>
      <w:marLeft w:val="0"/>
      <w:marRight w:val="0"/>
      <w:marTop w:val="0"/>
      <w:marBottom w:val="0"/>
      <w:divBdr>
        <w:top w:val="none" w:sz="0" w:space="0" w:color="auto"/>
        <w:left w:val="none" w:sz="0" w:space="0" w:color="auto"/>
        <w:bottom w:val="none" w:sz="0" w:space="0" w:color="auto"/>
        <w:right w:val="none" w:sz="0" w:space="0" w:color="auto"/>
      </w:divBdr>
    </w:div>
    <w:div w:id="800418655">
      <w:bodyDiv w:val="1"/>
      <w:marLeft w:val="0"/>
      <w:marRight w:val="0"/>
      <w:marTop w:val="0"/>
      <w:marBottom w:val="0"/>
      <w:divBdr>
        <w:top w:val="none" w:sz="0" w:space="0" w:color="auto"/>
        <w:left w:val="none" w:sz="0" w:space="0" w:color="auto"/>
        <w:bottom w:val="none" w:sz="0" w:space="0" w:color="auto"/>
        <w:right w:val="none" w:sz="0" w:space="0" w:color="auto"/>
      </w:divBdr>
    </w:div>
    <w:div w:id="800457455">
      <w:bodyDiv w:val="1"/>
      <w:marLeft w:val="0"/>
      <w:marRight w:val="0"/>
      <w:marTop w:val="0"/>
      <w:marBottom w:val="0"/>
      <w:divBdr>
        <w:top w:val="none" w:sz="0" w:space="0" w:color="auto"/>
        <w:left w:val="none" w:sz="0" w:space="0" w:color="auto"/>
        <w:bottom w:val="none" w:sz="0" w:space="0" w:color="auto"/>
        <w:right w:val="none" w:sz="0" w:space="0" w:color="auto"/>
      </w:divBdr>
    </w:div>
    <w:div w:id="800459301">
      <w:bodyDiv w:val="1"/>
      <w:marLeft w:val="0"/>
      <w:marRight w:val="0"/>
      <w:marTop w:val="0"/>
      <w:marBottom w:val="0"/>
      <w:divBdr>
        <w:top w:val="none" w:sz="0" w:space="0" w:color="auto"/>
        <w:left w:val="none" w:sz="0" w:space="0" w:color="auto"/>
        <w:bottom w:val="none" w:sz="0" w:space="0" w:color="auto"/>
        <w:right w:val="none" w:sz="0" w:space="0" w:color="auto"/>
      </w:divBdr>
    </w:div>
    <w:div w:id="800463516">
      <w:bodyDiv w:val="1"/>
      <w:marLeft w:val="0"/>
      <w:marRight w:val="0"/>
      <w:marTop w:val="0"/>
      <w:marBottom w:val="0"/>
      <w:divBdr>
        <w:top w:val="none" w:sz="0" w:space="0" w:color="auto"/>
        <w:left w:val="none" w:sz="0" w:space="0" w:color="auto"/>
        <w:bottom w:val="none" w:sz="0" w:space="0" w:color="auto"/>
        <w:right w:val="none" w:sz="0" w:space="0" w:color="auto"/>
      </w:divBdr>
    </w:div>
    <w:div w:id="800539692">
      <w:bodyDiv w:val="1"/>
      <w:marLeft w:val="0"/>
      <w:marRight w:val="0"/>
      <w:marTop w:val="0"/>
      <w:marBottom w:val="0"/>
      <w:divBdr>
        <w:top w:val="none" w:sz="0" w:space="0" w:color="auto"/>
        <w:left w:val="none" w:sz="0" w:space="0" w:color="auto"/>
        <w:bottom w:val="none" w:sz="0" w:space="0" w:color="auto"/>
        <w:right w:val="none" w:sz="0" w:space="0" w:color="auto"/>
      </w:divBdr>
    </w:div>
    <w:div w:id="800733671">
      <w:bodyDiv w:val="1"/>
      <w:marLeft w:val="0"/>
      <w:marRight w:val="0"/>
      <w:marTop w:val="0"/>
      <w:marBottom w:val="0"/>
      <w:divBdr>
        <w:top w:val="none" w:sz="0" w:space="0" w:color="auto"/>
        <w:left w:val="none" w:sz="0" w:space="0" w:color="auto"/>
        <w:bottom w:val="none" w:sz="0" w:space="0" w:color="auto"/>
        <w:right w:val="none" w:sz="0" w:space="0" w:color="auto"/>
      </w:divBdr>
    </w:div>
    <w:div w:id="800805581">
      <w:bodyDiv w:val="1"/>
      <w:marLeft w:val="0"/>
      <w:marRight w:val="0"/>
      <w:marTop w:val="0"/>
      <w:marBottom w:val="0"/>
      <w:divBdr>
        <w:top w:val="none" w:sz="0" w:space="0" w:color="auto"/>
        <w:left w:val="none" w:sz="0" w:space="0" w:color="auto"/>
        <w:bottom w:val="none" w:sz="0" w:space="0" w:color="auto"/>
        <w:right w:val="none" w:sz="0" w:space="0" w:color="auto"/>
      </w:divBdr>
    </w:div>
    <w:div w:id="800852991">
      <w:bodyDiv w:val="1"/>
      <w:marLeft w:val="0"/>
      <w:marRight w:val="0"/>
      <w:marTop w:val="0"/>
      <w:marBottom w:val="0"/>
      <w:divBdr>
        <w:top w:val="none" w:sz="0" w:space="0" w:color="auto"/>
        <w:left w:val="none" w:sz="0" w:space="0" w:color="auto"/>
        <w:bottom w:val="none" w:sz="0" w:space="0" w:color="auto"/>
        <w:right w:val="none" w:sz="0" w:space="0" w:color="auto"/>
      </w:divBdr>
    </w:div>
    <w:div w:id="800877400">
      <w:bodyDiv w:val="1"/>
      <w:marLeft w:val="0"/>
      <w:marRight w:val="0"/>
      <w:marTop w:val="0"/>
      <w:marBottom w:val="0"/>
      <w:divBdr>
        <w:top w:val="none" w:sz="0" w:space="0" w:color="auto"/>
        <w:left w:val="none" w:sz="0" w:space="0" w:color="auto"/>
        <w:bottom w:val="none" w:sz="0" w:space="0" w:color="auto"/>
        <w:right w:val="none" w:sz="0" w:space="0" w:color="auto"/>
      </w:divBdr>
    </w:div>
    <w:div w:id="800879001">
      <w:bodyDiv w:val="1"/>
      <w:marLeft w:val="0"/>
      <w:marRight w:val="0"/>
      <w:marTop w:val="0"/>
      <w:marBottom w:val="0"/>
      <w:divBdr>
        <w:top w:val="none" w:sz="0" w:space="0" w:color="auto"/>
        <w:left w:val="none" w:sz="0" w:space="0" w:color="auto"/>
        <w:bottom w:val="none" w:sz="0" w:space="0" w:color="auto"/>
        <w:right w:val="none" w:sz="0" w:space="0" w:color="auto"/>
      </w:divBdr>
    </w:div>
    <w:div w:id="800879760">
      <w:bodyDiv w:val="1"/>
      <w:marLeft w:val="0"/>
      <w:marRight w:val="0"/>
      <w:marTop w:val="0"/>
      <w:marBottom w:val="0"/>
      <w:divBdr>
        <w:top w:val="none" w:sz="0" w:space="0" w:color="auto"/>
        <w:left w:val="none" w:sz="0" w:space="0" w:color="auto"/>
        <w:bottom w:val="none" w:sz="0" w:space="0" w:color="auto"/>
        <w:right w:val="none" w:sz="0" w:space="0" w:color="auto"/>
      </w:divBdr>
    </w:div>
    <w:div w:id="800919691">
      <w:bodyDiv w:val="1"/>
      <w:marLeft w:val="0"/>
      <w:marRight w:val="0"/>
      <w:marTop w:val="0"/>
      <w:marBottom w:val="0"/>
      <w:divBdr>
        <w:top w:val="none" w:sz="0" w:space="0" w:color="auto"/>
        <w:left w:val="none" w:sz="0" w:space="0" w:color="auto"/>
        <w:bottom w:val="none" w:sz="0" w:space="0" w:color="auto"/>
        <w:right w:val="none" w:sz="0" w:space="0" w:color="auto"/>
      </w:divBdr>
    </w:div>
    <w:div w:id="800924023">
      <w:bodyDiv w:val="1"/>
      <w:marLeft w:val="0"/>
      <w:marRight w:val="0"/>
      <w:marTop w:val="0"/>
      <w:marBottom w:val="0"/>
      <w:divBdr>
        <w:top w:val="none" w:sz="0" w:space="0" w:color="auto"/>
        <w:left w:val="none" w:sz="0" w:space="0" w:color="auto"/>
        <w:bottom w:val="none" w:sz="0" w:space="0" w:color="auto"/>
        <w:right w:val="none" w:sz="0" w:space="0" w:color="auto"/>
      </w:divBdr>
    </w:div>
    <w:div w:id="800996322">
      <w:bodyDiv w:val="1"/>
      <w:marLeft w:val="0"/>
      <w:marRight w:val="0"/>
      <w:marTop w:val="0"/>
      <w:marBottom w:val="0"/>
      <w:divBdr>
        <w:top w:val="none" w:sz="0" w:space="0" w:color="auto"/>
        <w:left w:val="none" w:sz="0" w:space="0" w:color="auto"/>
        <w:bottom w:val="none" w:sz="0" w:space="0" w:color="auto"/>
        <w:right w:val="none" w:sz="0" w:space="0" w:color="auto"/>
      </w:divBdr>
    </w:div>
    <w:div w:id="801197268">
      <w:bodyDiv w:val="1"/>
      <w:marLeft w:val="0"/>
      <w:marRight w:val="0"/>
      <w:marTop w:val="0"/>
      <w:marBottom w:val="0"/>
      <w:divBdr>
        <w:top w:val="none" w:sz="0" w:space="0" w:color="auto"/>
        <w:left w:val="none" w:sz="0" w:space="0" w:color="auto"/>
        <w:bottom w:val="none" w:sz="0" w:space="0" w:color="auto"/>
        <w:right w:val="none" w:sz="0" w:space="0" w:color="auto"/>
      </w:divBdr>
    </w:div>
    <w:div w:id="801313512">
      <w:bodyDiv w:val="1"/>
      <w:marLeft w:val="0"/>
      <w:marRight w:val="0"/>
      <w:marTop w:val="0"/>
      <w:marBottom w:val="0"/>
      <w:divBdr>
        <w:top w:val="none" w:sz="0" w:space="0" w:color="auto"/>
        <w:left w:val="none" w:sz="0" w:space="0" w:color="auto"/>
        <w:bottom w:val="none" w:sz="0" w:space="0" w:color="auto"/>
        <w:right w:val="none" w:sz="0" w:space="0" w:color="auto"/>
      </w:divBdr>
    </w:div>
    <w:div w:id="801385936">
      <w:bodyDiv w:val="1"/>
      <w:marLeft w:val="0"/>
      <w:marRight w:val="0"/>
      <w:marTop w:val="0"/>
      <w:marBottom w:val="0"/>
      <w:divBdr>
        <w:top w:val="none" w:sz="0" w:space="0" w:color="auto"/>
        <w:left w:val="none" w:sz="0" w:space="0" w:color="auto"/>
        <w:bottom w:val="none" w:sz="0" w:space="0" w:color="auto"/>
        <w:right w:val="none" w:sz="0" w:space="0" w:color="auto"/>
      </w:divBdr>
    </w:div>
    <w:div w:id="801465652">
      <w:bodyDiv w:val="1"/>
      <w:marLeft w:val="0"/>
      <w:marRight w:val="0"/>
      <w:marTop w:val="0"/>
      <w:marBottom w:val="0"/>
      <w:divBdr>
        <w:top w:val="none" w:sz="0" w:space="0" w:color="auto"/>
        <w:left w:val="none" w:sz="0" w:space="0" w:color="auto"/>
        <w:bottom w:val="none" w:sz="0" w:space="0" w:color="auto"/>
        <w:right w:val="none" w:sz="0" w:space="0" w:color="auto"/>
      </w:divBdr>
    </w:div>
    <w:div w:id="801466125">
      <w:bodyDiv w:val="1"/>
      <w:marLeft w:val="0"/>
      <w:marRight w:val="0"/>
      <w:marTop w:val="0"/>
      <w:marBottom w:val="0"/>
      <w:divBdr>
        <w:top w:val="none" w:sz="0" w:space="0" w:color="auto"/>
        <w:left w:val="none" w:sz="0" w:space="0" w:color="auto"/>
        <w:bottom w:val="none" w:sz="0" w:space="0" w:color="auto"/>
        <w:right w:val="none" w:sz="0" w:space="0" w:color="auto"/>
      </w:divBdr>
    </w:div>
    <w:div w:id="801537579">
      <w:bodyDiv w:val="1"/>
      <w:marLeft w:val="0"/>
      <w:marRight w:val="0"/>
      <w:marTop w:val="0"/>
      <w:marBottom w:val="0"/>
      <w:divBdr>
        <w:top w:val="none" w:sz="0" w:space="0" w:color="auto"/>
        <w:left w:val="none" w:sz="0" w:space="0" w:color="auto"/>
        <w:bottom w:val="none" w:sz="0" w:space="0" w:color="auto"/>
        <w:right w:val="none" w:sz="0" w:space="0" w:color="auto"/>
      </w:divBdr>
    </w:div>
    <w:div w:id="801659408">
      <w:bodyDiv w:val="1"/>
      <w:marLeft w:val="0"/>
      <w:marRight w:val="0"/>
      <w:marTop w:val="0"/>
      <w:marBottom w:val="0"/>
      <w:divBdr>
        <w:top w:val="none" w:sz="0" w:space="0" w:color="auto"/>
        <w:left w:val="none" w:sz="0" w:space="0" w:color="auto"/>
        <w:bottom w:val="none" w:sz="0" w:space="0" w:color="auto"/>
        <w:right w:val="none" w:sz="0" w:space="0" w:color="auto"/>
      </w:divBdr>
    </w:div>
    <w:div w:id="801770373">
      <w:bodyDiv w:val="1"/>
      <w:marLeft w:val="0"/>
      <w:marRight w:val="0"/>
      <w:marTop w:val="0"/>
      <w:marBottom w:val="0"/>
      <w:divBdr>
        <w:top w:val="none" w:sz="0" w:space="0" w:color="auto"/>
        <w:left w:val="none" w:sz="0" w:space="0" w:color="auto"/>
        <w:bottom w:val="none" w:sz="0" w:space="0" w:color="auto"/>
        <w:right w:val="none" w:sz="0" w:space="0" w:color="auto"/>
      </w:divBdr>
    </w:div>
    <w:div w:id="801777048">
      <w:bodyDiv w:val="1"/>
      <w:marLeft w:val="0"/>
      <w:marRight w:val="0"/>
      <w:marTop w:val="0"/>
      <w:marBottom w:val="0"/>
      <w:divBdr>
        <w:top w:val="none" w:sz="0" w:space="0" w:color="auto"/>
        <w:left w:val="none" w:sz="0" w:space="0" w:color="auto"/>
        <w:bottom w:val="none" w:sz="0" w:space="0" w:color="auto"/>
        <w:right w:val="none" w:sz="0" w:space="0" w:color="auto"/>
      </w:divBdr>
    </w:div>
    <w:div w:id="801843743">
      <w:bodyDiv w:val="1"/>
      <w:marLeft w:val="0"/>
      <w:marRight w:val="0"/>
      <w:marTop w:val="0"/>
      <w:marBottom w:val="0"/>
      <w:divBdr>
        <w:top w:val="none" w:sz="0" w:space="0" w:color="auto"/>
        <w:left w:val="none" w:sz="0" w:space="0" w:color="auto"/>
        <w:bottom w:val="none" w:sz="0" w:space="0" w:color="auto"/>
        <w:right w:val="none" w:sz="0" w:space="0" w:color="auto"/>
      </w:divBdr>
    </w:div>
    <w:div w:id="801849437">
      <w:bodyDiv w:val="1"/>
      <w:marLeft w:val="0"/>
      <w:marRight w:val="0"/>
      <w:marTop w:val="0"/>
      <w:marBottom w:val="0"/>
      <w:divBdr>
        <w:top w:val="none" w:sz="0" w:space="0" w:color="auto"/>
        <w:left w:val="none" w:sz="0" w:space="0" w:color="auto"/>
        <w:bottom w:val="none" w:sz="0" w:space="0" w:color="auto"/>
        <w:right w:val="none" w:sz="0" w:space="0" w:color="auto"/>
      </w:divBdr>
    </w:div>
    <w:div w:id="801851431">
      <w:bodyDiv w:val="1"/>
      <w:marLeft w:val="0"/>
      <w:marRight w:val="0"/>
      <w:marTop w:val="0"/>
      <w:marBottom w:val="0"/>
      <w:divBdr>
        <w:top w:val="none" w:sz="0" w:space="0" w:color="auto"/>
        <w:left w:val="none" w:sz="0" w:space="0" w:color="auto"/>
        <w:bottom w:val="none" w:sz="0" w:space="0" w:color="auto"/>
        <w:right w:val="none" w:sz="0" w:space="0" w:color="auto"/>
      </w:divBdr>
    </w:div>
    <w:div w:id="801851770">
      <w:bodyDiv w:val="1"/>
      <w:marLeft w:val="0"/>
      <w:marRight w:val="0"/>
      <w:marTop w:val="0"/>
      <w:marBottom w:val="0"/>
      <w:divBdr>
        <w:top w:val="none" w:sz="0" w:space="0" w:color="auto"/>
        <w:left w:val="none" w:sz="0" w:space="0" w:color="auto"/>
        <w:bottom w:val="none" w:sz="0" w:space="0" w:color="auto"/>
        <w:right w:val="none" w:sz="0" w:space="0" w:color="auto"/>
      </w:divBdr>
    </w:div>
    <w:div w:id="801928243">
      <w:bodyDiv w:val="1"/>
      <w:marLeft w:val="0"/>
      <w:marRight w:val="0"/>
      <w:marTop w:val="0"/>
      <w:marBottom w:val="0"/>
      <w:divBdr>
        <w:top w:val="none" w:sz="0" w:space="0" w:color="auto"/>
        <w:left w:val="none" w:sz="0" w:space="0" w:color="auto"/>
        <w:bottom w:val="none" w:sz="0" w:space="0" w:color="auto"/>
        <w:right w:val="none" w:sz="0" w:space="0" w:color="auto"/>
      </w:divBdr>
    </w:div>
    <w:div w:id="802036724">
      <w:bodyDiv w:val="1"/>
      <w:marLeft w:val="0"/>
      <w:marRight w:val="0"/>
      <w:marTop w:val="0"/>
      <w:marBottom w:val="0"/>
      <w:divBdr>
        <w:top w:val="none" w:sz="0" w:space="0" w:color="auto"/>
        <w:left w:val="none" w:sz="0" w:space="0" w:color="auto"/>
        <w:bottom w:val="none" w:sz="0" w:space="0" w:color="auto"/>
        <w:right w:val="none" w:sz="0" w:space="0" w:color="auto"/>
      </w:divBdr>
    </w:div>
    <w:div w:id="802112268">
      <w:bodyDiv w:val="1"/>
      <w:marLeft w:val="0"/>
      <w:marRight w:val="0"/>
      <w:marTop w:val="0"/>
      <w:marBottom w:val="0"/>
      <w:divBdr>
        <w:top w:val="none" w:sz="0" w:space="0" w:color="auto"/>
        <w:left w:val="none" w:sz="0" w:space="0" w:color="auto"/>
        <w:bottom w:val="none" w:sz="0" w:space="0" w:color="auto"/>
        <w:right w:val="none" w:sz="0" w:space="0" w:color="auto"/>
      </w:divBdr>
    </w:div>
    <w:div w:id="802499436">
      <w:bodyDiv w:val="1"/>
      <w:marLeft w:val="0"/>
      <w:marRight w:val="0"/>
      <w:marTop w:val="0"/>
      <w:marBottom w:val="0"/>
      <w:divBdr>
        <w:top w:val="none" w:sz="0" w:space="0" w:color="auto"/>
        <w:left w:val="none" w:sz="0" w:space="0" w:color="auto"/>
        <w:bottom w:val="none" w:sz="0" w:space="0" w:color="auto"/>
        <w:right w:val="none" w:sz="0" w:space="0" w:color="auto"/>
      </w:divBdr>
    </w:div>
    <w:div w:id="802500873">
      <w:bodyDiv w:val="1"/>
      <w:marLeft w:val="0"/>
      <w:marRight w:val="0"/>
      <w:marTop w:val="0"/>
      <w:marBottom w:val="0"/>
      <w:divBdr>
        <w:top w:val="none" w:sz="0" w:space="0" w:color="auto"/>
        <w:left w:val="none" w:sz="0" w:space="0" w:color="auto"/>
        <w:bottom w:val="none" w:sz="0" w:space="0" w:color="auto"/>
        <w:right w:val="none" w:sz="0" w:space="0" w:color="auto"/>
      </w:divBdr>
    </w:div>
    <w:div w:id="802501964">
      <w:bodyDiv w:val="1"/>
      <w:marLeft w:val="0"/>
      <w:marRight w:val="0"/>
      <w:marTop w:val="0"/>
      <w:marBottom w:val="0"/>
      <w:divBdr>
        <w:top w:val="none" w:sz="0" w:space="0" w:color="auto"/>
        <w:left w:val="none" w:sz="0" w:space="0" w:color="auto"/>
        <w:bottom w:val="none" w:sz="0" w:space="0" w:color="auto"/>
        <w:right w:val="none" w:sz="0" w:space="0" w:color="auto"/>
      </w:divBdr>
    </w:div>
    <w:div w:id="802651007">
      <w:bodyDiv w:val="1"/>
      <w:marLeft w:val="0"/>
      <w:marRight w:val="0"/>
      <w:marTop w:val="0"/>
      <w:marBottom w:val="0"/>
      <w:divBdr>
        <w:top w:val="none" w:sz="0" w:space="0" w:color="auto"/>
        <w:left w:val="none" w:sz="0" w:space="0" w:color="auto"/>
        <w:bottom w:val="none" w:sz="0" w:space="0" w:color="auto"/>
        <w:right w:val="none" w:sz="0" w:space="0" w:color="auto"/>
      </w:divBdr>
    </w:div>
    <w:div w:id="802651927">
      <w:bodyDiv w:val="1"/>
      <w:marLeft w:val="0"/>
      <w:marRight w:val="0"/>
      <w:marTop w:val="0"/>
      <w:marBottom w:val="0"/>
      <w:divBdr>
        <w:top w:val="none" w:sz="0" w:space="0" w:color="auto"/>
        <w:left w:val="none" w:sz="0" w:space="0" w:color="auto"/>
        <w:bottom w:val="none" w:sz="0" w:space="0" w:color="auto"/>
        <w:right w:val="none" w:sz="0" w:space="0" w:color="auto"/>
      </w:divBdr>
    </w:div>
    <w:div w:id="802693259">
      <w:bodyDiv w:val="1"/>
      <w:marLeft w:val="0"/>
      <w:marRight w:val="0"/>
      <w:marTop w:val="0"/>
      <w:marBottom w:val="0"/>
      <w:divBdr>
        <w:top w:val="none" w:sz="0" w:space="0" w:color="auto"/>
        <w:left w:val="none" w:sz="0" w:space="0" w:color="auto"/>
        <w:bottom w:val="none" w:sz="0" w:space="0" w:color="auto"/>
        <w:right w:val="none" w:sz="0" w:space="0" w:color="auto"/>
      </w:divBdr>
    </w:div>
    <w:div w:id="802697494">
      <w:bodyDiv w:val="1"/>
      <w:marLeft w:val="0"/>
      <w:marRight w:val="0"/>
      <w:marTop w:val="0"/>
      <w:marBottom w:val="0"/>
      <w:divBdr>
        <w:top w:val="none" w:sz="0" w:space="0" w:color="auto"/>
        <w:left w:val="none" w:sz="0" w:space="0" w:color="auto"/>
        <w:bottom w:val="none" w:sz="0" w:space="0" w:color="auto"/>
        <w:right w:val="none" w:sz="0" w:space="0" w:color="auto"/>
      </w:divBdr>
    </w:div>
    <w:div w:id="802847605">
      <w:bodyDiv w:val="1"/>
      <w:marLeft w:val="0"/>
      <w:marRight w:val="0"/>
      <w:marTop w:val="0"/>
      <w:marBottom w:val="0"/>
      <w:divBdr>
        <w:top w:val="none" w:sz="0" w:space="0" w:color="auto"/>
        <w:left w:val="none" w:sz="0" w:space="0" w:color="auto"/>
        <w:bottom w:val="none" w:sz="0" w:space="0" w:color="auto"/>
        <w:right w:val="none" w:sz="0" w:space="0" w:color="auto"/>
      </w:divBdr>
    </w:div>
    <w:div w:id="802886026">
      <w:bodyDiv w:val="1"/>
      <w:marLeft w:val="0"/>
      <w:marRight w:val="0"/>
      <w:marTop w:val="0"/>
      <w:marBottom w:val="0"/>
      <w:divBdr>
        <w:top w:val="none" w:sz="0" w:space="0" w:color="auto"/>
        <w:left w:val="none" w:sz="0" w:space="0" w:color="auto"/>
        <w:bottom w:val="none" w:sz="0" w:space="0" w:color="auto"/>
        <w:right w:val="none" w:sz="0" w:space="0" w:color="auto"/>
      </w:divBdr>
    </w:div>
    <w:div w:id="802886340">
      <w:bodyDiv w:val="1"/>
      <w:marLeft w:val="0"/>
      <w:marRight w:val="0"/>
      <w:marTop w:val="0"/>
      <w:marBottom w:val="0"/>
      <w:divBdr>
        <w:top w:val="none" w:sz="0" w:space="0" w:color="auto"/>
        <w:left w:val="none" w:sz="0" w:space="0" w:color="auto"/>
        <w:bottom w:val="none" w:sz="0" w:space="0" w:color="auto"/>
        <w:right w:val="none" w:sz="0" w:space="0" w:color="auto"/>
      </w:divBdr>
    </w:div>
    <w:div w:id="802960738">
      <w:bodyDiv w:val="1"/>
      <w:marLeft w:val="0"/>
      <w:marRight w:val="0"/>
      <w:marTop w:val="0"/>
      <w:marBottom w:val="0"/>
      <w:divBdr>
        <w:top w:val="none" w:sz="0" w:space="0" w:color="auto"/>
        <w:left w:val="none" w:sz="0" w:space="0" w:color="auto"/>
        <w:bottom w:val="none" w:sz="0" w:space="0" w:color="auto"/>
        <w:right w:val="none" w:sz="0" w:space="0" w:color="auto"/>
      </w:divBdr>
    </w:div>
    <w:div w:id="803233314">
      <w:bodyDiv w:val="1"/>
      <w:marLeft w:val="0"/>
      <w:marRight w:val="0"/>
      <w:marTop w:val="0"/>
      <w:marBottom w:val="0"/>
      <w:divBdr>
        <w:top w:val="none" w:sz="0" w:space="0" w:color="auto"/>
        <w:left w:val="none" w:sz="0" w:space="0" w:color="auto"/>
        <w:bottom w:val="none" w:sz="0" w:space="0" w:color="auto"/>
        <w:right w:val="none" w:sz="0" w:space="0" w:color="auto"/>
      </w:divBdr>
    </w:div>
    <w:div w:id="803279101">
      <w:bodyDiv w:val="1"/>
      <w:marLeft w:val="0"/>
      <w:marRight w:val="0"/>
      <w:marTop w:val="0"/>
      <w:marBottom w:val="0"/>
      <w:divBdr>
        <w:top w:val="none" w:sz="0" w:space="0" w:color="auto"/>
        <w:left w:val="none" w:sz="0" w:space="0" w:color="auto"/>
        <w:bottom w:val="none" w:sz="0" w:space="0" w:color="auto"/>
        <w:right w:val="none" w:sz="0" w:space="0" w:color="auto"/>
      </w:divBdr>
    </w:div>
    <w:div w:id="803547340">
      <w:bodyDiv w:val="1"/>
      <w:marLeft w:val="0"/>
      <w:marRight w:val="0"/>
      <w:marTop w:val="0"/>
      <w:marBottom w:val="0"/>
      <w:divBdr>
        <w:top w:val="none" w:sz="0" w:space="0" w:color="auto"/>
        <w:left w:val="none" w:sz="0" w:space="0" w:color="auto"/>
        <w:bottom w:val="none" w:sz="0" w:space="0" w:color="auto"/>
        <w:right w:val="none" w:sz="0" w:space="0" w:color="auto"/>
      </w:divBdr>
    </w:div>
    <w:div w:id="803695387">
      <w:bodyDiv w:val="1"/>
      <w:marLeft w:val="0"/>
      <w:marRight w:val="0"/>
      <w:marTop w:val="0"/>
      <w:marBottom w:val="0"/>
      <w:divBdr>
        <w:top w:val="none" w:sz="0" w:space="0" w:color="auto"/>
        <w:left w:val="none" w:sz="0" w:space="0" w:color="auto"/>
        <w:bottom w:val="none" w:sz="0" w:space="0" w:color="auto"/>
        <w:right w:val="none" w:sz="0" w:space="0" w:color="auto"/>
      </w:divBdr>
    </w:div>
    <w:div w:id="803695666">
      <w:bodyDiv w:val="1"/>
      <w:marLeft w:val="0"/>
      <w:marRight w:val="0"/>
      <w:marTop w:val="0"/>
      <w:marBottom w:val="0"/>
      <w:divBdr>
        <w:top w:val="none" w:sz="0" w:space="0" w:color="auto"/>
        <w:left w:val="none" w:sz="0" w:space="0" w:color="auto"/>
        <w:bottom w:val="none" w:sz="0" w:space="0" w:color="auto"/>
        <w:right w:val="none" w:sz="0" w:space="0" w:color="auto"/>
      </w:divBdr>
    </w:div>
    <w:div w:id="803809103">
      <w:bodyDiv w:val="1"/>
      <w:marLeft w:val="0"/>
      <w:marRight w:val="0"/>
      <w:marTop w:val="0"/>
      <w:marBottom w:val="0"/>
      <w:divBdr>
        <w:top w:val="none" w:sz="0" w:space="0" w:color="auto"/>
        <w:left w:val="none" w:sz="0" w:space="0" w:color="auto"/>
        <w:bottom w:val="none" w:sz="0" w:space="0" w:color="auto"/>
        <w:right w:val="none" w:sz="0" w:space="0" w:color="auto"/>
      </w:divBdr>
    </w:div>
    <w:div w:id="803810507">
      <w:bodyDiv w:val="1"/>
      <w:marLeft w:val="0"/>
      <w:marRight w:val="0"/>
      <w:marTop w:val="0"/>
      <w:marBottom w:val="0"/>
      <w:divBdr>
        <w:top w:val="none" w:sz="0" w:space="0" w:color="auto"/>
        <w:left w:val="none" w:sz="0" w:space="0" w:color="auto"/>
        <w:bottom w:val="none" w:sz="0" w:space="0" w:color="auto"/>
        <w:right w:val="none" w:sz="0" w:space="0" w:color="auto"/>
      </w:divBdr>
    </w:div>
    <w:div w:id="803892891">
      <w:bodyDiv w:val="1"/>
      <w:marLeft w:val="0"/>
      <w:marRight w:val="0"/>
      <w:marTop w:val="0"/>
      <w:marBottom w:val="0"/>
      <w:divBdr>
        <w:top w:val="none" w:sz="0" w:space="0" w:color="auto"/>
        <w:left w:val="none" w:sz="0" w:space="0" w:color="auto"/>
        <w:bottom w:val="none" w:sz="0" w:space="0" w:color="auto"/>
        <w:right w:val="none" w:sz="0" w:space="0" w:color="auto"/>
      </w:divBdr>
    </w:div>
    <w:div w:id="803893412">
      <w:bodyDiv w:val="1"/>
      <w:marLeft w:val="0"/>
      <w:marRight w:val="0"/>
      <w:marTop w:val="0"/>
      <w:marBottom w:val="0"/>
      <w:divBdr>
        <w:top w:val="none" w:sz="0" w:space="0" w:color="auto"/>
        <w:left w:val="none" w:sz="0" w:space="0" w:color="auto"/>
        <w:bottom w:val="none" w:sz="0" w:space="0" w:color="auto"/>
        <w:right w:val="none" w:sz="0" w:space="0" w:color="auto"/>
      </w:divBdr>
    </w:div>
    <w:div w:id="803933019">
      <w:bodyDiv w:val="1"/>
      <w:marLeft w:val="0"/>
      <w:marRight w:val="0"/>
      <w:marTop w:val="0"/>
      <w:marBottom w:val="0"/>
      <w:divBdr>
        <w:top w:val="none" w:sz="0" w:space="0" w:color="auto"/>
        <w:left w:val="none" w:sz="0" w:space="0" w:color="auto"/>
        <w:bottom w:val="none" w:sz="0" w:space="0" w:color="auto"/>
        <w:right w:val="none" w:sz="0" w:space="0" w:color="auto"/>
      </w:divBdr>
    </w:div>
    <w:div w:id="804127237">
      <w:bodyDiv w:val="1"/>
      <w:marLeft w:val="0"/>
      <w:marRight w:val="0"/>
      <w:marTop w:val="0"/>
      <w:marBottom w:val="0"/>
      <w:divBdr>
        <w:top w:val="none" w:sz="0" w:space="0" w:color="auto"/>
        <w:left w:val="none" w:sz="0" w:space="0" w:color="auto"/>
        <w:bottom w:val="none" w:sz="0" w:space="0" w:color="auto"/>
        <w:right w:val="none" w:sz="0" w:space="0" w:color="auto"/>
      </w:divBdr>
    </w:div>
    <w:div w:id="804353067">
      <w:bodyDiv w:val="1"/>
      <w:marLeft w:val="0"/>
      <w:marRight w:val="0"/>
      <w:marTop w:val="0"/>
      <w:marBottom w:val="0"/>
      <w:divBdr>
        <w:top w:val="none" w:sz="0" w:space="0" w:color="auto"/>
        <w:left w:val="none" w:sz="0" w:space="0" w:color="auto"/>
        <w:bottom w:val="none" w:sz="0" w:space="0" w:color="auto"/>
        <w:right w:val="none" w:sz="0" w:space="0" w:color="auto"/>
      </w:divBdr>
    </w:div>
    <w:div w:id="804549462">
      <w:bodyDiv w:val="1"/>
      <w:marLeft w:val="0"/>
      <w:marRight w:val="0"/>
      <w:marTop w:val="0"/>
      <w:marBottom w:val="0"/>
      <w:divBdr>
        <w:top w:val="none" w:sz="0" w:space="0" w:color="auto"/>
        <w:left w:val="none" w:sz="0" w:space="0" w:color="auto"/>
        <w:bottom w:val="none" w:sz="0" w:space="0" w:color="auto"/>
        <w:right w:val="none" w:sz="0" w:space="0" w:color="auto"/>
      </w:divBdr>
    </w:div>
    <w:div w:id="804662701">
      <w:bodyDiv w:val="1"/>
      <w:marLeft w:val="0"/>
      <w:marRight w:val="0"/>
      <w:marTop w:val="0"/>
      <w:marBottom w:val="0"/>
      <w:divBdr>
        <w:top w:val="none" w:sz="0" w:space="0" w:color="auto"/>
        <w:left w:val="none" w:sz="0" w:space="0" w:color="auto"/>
        <w:bottom w:val="none" w:sz="0" w:space="0" w:color="auto"/>
        <w:right w:val="none" w:sz="0" w:space="0" w:color="auto"/>
      </w:divBdr>
    </w:div>
    <w:div w:id="804663318">
      <w:bodyDiv w:val="1"/>
      <w:marLeft w:val="0"/>
      <w:marRight w:val="0"/>
      <w:marTop w:val="0"/>
      <w:marBottom w:val="0"/>
      <w:divBdr>
        <w:top w:val="none" w:sz="0" w:space="0" w:color="auto"/>
        <w:left w:val="none" w:sz="0" w:space="0" w:color="auto"/>
        <w:bottom w:val="none" w:sz="0" w:space="0" w:color="auto"/>
        <w:right w:val="none" w:sz="0" w:space="0" w:color="auto"/>
      </w:divBdr>
    </w:div>
    <w:div w:id="804665684">
      <w:bodyDiv w:val="1"/>
      <w:marLeft w:val="0"/>
      <w:marRight w:val="0"/>
      <w:marTop w:val="0"/>
      <w:marBottom w:val="0"/>
      <w:divBdr>
        <w:top w:val="none" w:sz="0" w:space="0" w:color="auto"/>
        <w:left w:val="none" w:sz="0" w:space="0" w:color="auto"/>
        <w:bottom w:val="none" w:sz="0" w:space="0" w:color="auto"/>
        <w:right w:val="none" w:sz="0" w:space="0" w:color="auto"/>
      </w:divBdr>
    </w:div>
    <w:div w:id="804733979">
      <w:bodyDiv w:val="1"/>
      <w:marLeft w:val="0"/>
      <w:marRight w:val="0"/>
      <w:marTop w:val="0"/>
      <w:marBottom w:val="0"/>
      <w:divBdr>
        <w:top w:val="none" w:sz="0" w:space="0" w:color="auto"/>
        <w:left w:val="none" w:sz="0" w:space="0" w:color="auto"/>
        <w:bottom w:val="none" w:sz="0" w:space="0" w:color="auto"/>
        <w:right w:val="none" w:sz="0" w:space="0" w:color="auto"/>
      </w:divBdr>
    </w:div>
    <w:div w:id="804859347">
      <w:bodyDiv w:val="1"/>
      <w:marLeft w:val="0"/>
      <w:marRight w:val="0"/>
      <w:marTop w:val="0"/>
      <w:marBottom w:val="0"/>
      <w:divBdr>
        <w:top w:val="none" w:sz="0" w:space="0" w:color="auto"/>
        <w:left w:val="none" w:sz="0" w:space="0" w:color="auto"/>
        <w:bottom w:val="none" w:sz="0" w:space="0" w:color="auto"/>
        <w:right w:val="none" w:sz="0" w:space="0" w:color="auto"/>
      </w:divBdr>
    </w:div>
    <w:div w:id="804933025">
      <w:bodyDiv w:val="1"/>
      <w:marLeft w:val="0"/>
      <w:marRight w:val="0"/>
      <w:marTop w:val="0"/>
      <w:marBottom w:val="0"/>
      <w:divBdr>
        <w:top w:val="none" w:sz="0" w:space="0" w:color="auto"/>
        <w:left w:val="none" w:sz="0" w:space="0" w:color="auto"/>
        <w:bottom w:val="none" w:sz="0" w:space="0" w:color="auto"/>
        <w:right w:val="none" w:sz="0" w:space="0" w:color="auto"/>
      </w:divBdr>
    </w:div>
    <w:div w:id="805003245">
      <w:bodyDiv w:val="1"/>
      <w:marLeft w:val="0"/>
      <w:marRight w:val="0"/>
      <w:marTop w:val="0"/>
      <w:marBottom w:val="0"/>
      <w:divBdr>
        <w:top w:val="none" w:sz="0" w:space="0" w:color="auto"/>
        <w:left w:val="none" w:sz="0" w:space="0" w:color="auto"/>
        <w:bottom w:val="none" w:sz="0" w:space="0" w:color="auto"/>
        <w:right w:val="none" w:sz="0" w:space="0" w:color="auto"/>
      </w:divBdr>
    </w:div>
    <w:div w:id="805007071">
      <w:bodyDiv w:val="1"/>
      <w:marLeft w:val="0"/>
      <w:marRight w:val="0"/>
      <w:marTop w:val="0"/>
      <w:marBottom w:val="0"/>
      <w:divBdr>
        <w:top w:val="none" w:sz="0" w:space="0" w:color="auto"/>
        <w:left w:val="none" w:sz="0" w:space="0" w:color="auto"/>
        <w:bottom w:val="none" w:sz="0" w:space="0" w:color="auto"/>
        <w:right w:val="none" w:sz="0" w:space="0" w:color="auto"/>
      </w:divBdr>
    </w:div>
    <w:div w:id="805201167">
      <w:bodyDiv w:val="1"/>
      <w:marLeft w:val="0"/>
      <w:marRight w:val="0"/>
      <w:marTop w:val="0"/>
      <w:marBottom w:val="0"/>
      <w:divBdr>
        <w:top w:val="none" w:sz="0" w:space="0" w:color="auto"/>
        <w:left w:val="none" w:sz="0" w:space="0" w:color="auto"/>
        <w:bottom w:val="none" w:sz="0" w:space="0" w:color="auto"/>
        <w:right w:val="none" w:sz="0" w:space="0" w:color="auto"/>
      </w:divBdr>
    </w:div>
    <w:div w:id="805319839">
      <w:bodyDiv w:val="1"/>
      <w:marLeft w:val="0"/>
      <w:marRight w:val="0"/>
      <w:marTop w:val="0"/>
      <w:marBottom w:val="0"/>
      <w:divBdr>
        <w:top w:val="none" w:sz="0" w:space="0" w:color="auto"/>
        <w:left w:val="none" w:sz="0" w:space="0" w:color="auto"/>
        <w:bottom w:val="none" w:sz="0" w:space="0" w:color="auto"/>
        <w:right w:val="none" w:sz="0" w:space="0" w:color="auto"/>
      </w:divBdr>
    </w:div>
    <w:div w:id="805395984">
      <w:bodyDiv w:val="1"/>
      <w:marLeft w:val="0"/>
      <w:marRight w:val="0"/>
      <w:marTop w:val="0"/>
      <w:marBottom w:val="0"/>
      <w:divBdr>
        <w:top w:val="none" w:sz="0" w:space="0" w:color="auto"/>
        <w:left w:val="none" w:sz="0" w:space="0" w:color="auto"/>
        <w:bottom w:val="none" w:sz="0" w:space="0" w:color="auto"/>
        <w:right w:val="none" w:sz="0" w:space="0" w:color="auto"/>
      </w:divBdr>
    </w:div>
    <w:div w:id="805437589">
      <w:bodyDiv w:val="1"/>
      <w:marLeft w:val="0"/>
      <w:marRight w:val="0"/>
      <w:marTop w:val="0"/>
      <w:marBottom w:val="0"/>
      <w:divBdr>
        <w:top w:val="none" w:sz="0" w:space="0" w:color="auto"/>
        <w:left w:val="none" w:sz="0" w:space="0" w:color="auto"/>
        <w:bottom w:val="none" w:sz="0" w:space="0" w:color="auto"/>
        <w:right w:val="none" w:sz="0" w:space="0" w:color="auto"/>
      </w:divBdr>
    </w:div>
    <w:div w:id="805440368">
      <w:bodyDiv w:val="1"/>
      <w:marLeft w:val="0"/>
      <w:marRight w:val="0"/>
      <w:marTop w:val="0"/>
      <w:marBottom w:val="0"/>
      <w:divBdr>
        <w:top w:val="none" w:sz="0" w:space="0" w:color="auto"/>
        <w:left w:val="none" w:sz="0" w:space="0" w:color="auto"/>
        <w:bottom w:val="none" w:sz="0" w:space="0" w:color="auto"/>
        <w:right w:val="none" w:sz="0" w:space="0" w:color="auto"/>
      </w:divBdr>
    </w:div>
    <w:div w:id="805581868">
      <w:bodyDiv w:val="1"/>
      <w:marLeft w:val="0"/>
      <w:marRight w:val="0"/>
      <w:marTop w:val="0"/>
      <w:marBottom w:val="0"/>
      <w:divBdr>
        <w:top w:val="none" w:sz="0" w:space="0" w:color="auto"/>
        <w:left w:val="none" w:sz="0" w:space="0" w:color="auto"/>
        <w:bottom w:val="none" w:sz="0" w:space="0" w:color="auto"/>
        <w:right w:val="none" w:sz="0" w:space="0" w:color="auto"/>
      </w:divBdr>
    </w:div>
    <w:div w:id="805585966">
      <w:bodyDiv w:val="1"/>
      <w:marLeft w:val="0"/>
      <w:marRight w:val="0"/>
      <w:marTop w:val="0"/>
      <w:marBottom w:val="0"/>
      <w:divBdr>
        <w:top w:val="none" w:sz="0" w:space="0" w:color="auto"/>
        <w:left w:val="none" w:sz="0" w:space="0" w:color="auto"/>
        <w:bottom w:val="none" w:sz="0" w:space="0" w:color="auto"/>
        <w:right w:val="none" w:sz="0" w:space="0" w:color="auto"/>
      </w:divBdr>
    </w:div>
    <w:div w:id="805703604">
      <w:bodyDiv w:val="1"/>
      <w:marLeft w:val="0"/>
      <w:marRight w:val="0"/>
      <w:marTop w:val="0"/>
      <w:marBottom w:val="0"/>
      <w:divBdr>
        <w:top w:val="none" w:sz="0" w:space="0" w:color="auto"/>
        <w:left w:val="none" w:sz="0" w:space="0" w:color="auto"/>
        <w:bottom w:val="none" w:sz="0" w:space="0" w:color="auto"/>
        <w:right w:val="none" w:sz="0" w:space="0" w:color="auto"/>
      </w:divBdr>
    </w:div>
    <w:div w:id="805858181">
      <w:bodyDiv w:val="1"/>
      <w:marLeft w:val="0"/>
      <w:marRight w:val="0"/>
      <w:marTop w:val="0"/>
      <w:marBottom w:val="0"/>
      <w:divBdr>
        <w:top w:val="none" w:sz="0" w:space="0" w:color="auto"/>
        <w:left w:val="none" w:sz="0" w:space="0" w:color="auto"/>
        <w:bottom w:val="none" w:sz="0" w:space="0" w:color="auto"/>
        <w:right w:val="none" w:sz="0" w:space="0" w:color="auto"/>
      </w:divBdr>
    </w:div>
    <w:div w:id="806051031">
      <w:bodyDiv w:val="1"/>
      <w:marLeft w:val="0"/>
      <w:marRight w:val="0"/>
      <w:marTop w:val="0"/>
      <w:marBottom w:val="0"/>
      <w:divBdr>
        <w:top w:val="none" w:sz="0" w:space="0" w:color="auto"/>
        <w:left w:val="none" w:sz="0" w:space="0" w:color="auto"/>
        <w:bottom w:val="none" w:sz="0" w:space="0" w:color="auto"/>
        <w:right w:val="none" w:sz="0" w:space="0" w:color="auto"/>
      </w:divBdr>
    </w:div>
    <w:div w:id="806051846">
      <w:bodyDiv w:val="1"/>
      <w:marLeft w:val="0"/>
      <w:marRight w:val="0"/>
      <w:marTop w:val="0"/>
      <w:marBottom w:val="0"/>
      <w:divBdr>
        <w:top w:val="none" w:sz="0" w:space="0" w:color="auto"/>
        <w:left w:val="none" w:sz="0" w:space="0" w:color="auto"/>
        <w:bottom w:val="none" w:sz="0" w:space="0" w:color="auto"/>
        <w:right w:val="none" w:sz="0" w:space="0" w:color="auto"/>
      </w:divBdr>
    </w:div>
    <w:div w:id="806506851">
      <w:bodyDiv w:val="1"/>
      <w:marLeft w:val="0"/>
      <w:marRight w:val="0"/>
      <w:marTop w:val="0"/>
      <w:marBottom w:val="0"/>
      <w:divBdr>
        <w:top w:val="none" w:sz="0" w:space="0" w:color="auto"/>
        <w:left w:val="none" w:sz="0" w:space="0" w:color="auto"/>
        <w:bottom w:val="none" w:sz="0" w:space="0" w:color="auto"/>
        <w:right w:val="none" w:sz="0" w:space="0" w:color="auto"/>
      </w:divBdr>
    </w:div>
    <w:div w:id="806507003">
      <w:bodyDiv w:val="1"/>
      <w:marLeft w:val="0"/>
      <w:marRight w:val="0"/>
      <w:marTop w:val="0"/>
      <w:marBottom w:val="0"/>
      <w:divBdr>
        <w:top w:val="none" w:sz="0" w:space="0" w:color="auto"/>
        <w:left w:val="none" w:sz="0" w:space="0" w:color="auto"/>
        <w:bottom w:val="none" w:sz="0" w:space="0" w:color="auto"/>
        <w:right w:val="none" w:sz="0" w:space="0" w:color="auto"/>
      </w:divBdr>
    </w:div>
    <w:div w:id="806508875">
      <w:bodyDiv w:val="1"/>
      <w:marLeft w:val="0"/>
      <w:marRight w:val="0"/>
      <w:marTop w:val="0"/>
      <w:marBottom w:val="0"/>
      <w:divBdr>
        <w:top w:val="none" w:sz="0" w:space="0" w:color="auto"/>
        <w:left w:val="none" w:sz="0" w:space="0" w:color="auto"/>
        <w:bottom w:val="none" w:sz="0" w:space="0" w:color="auto"/>
        <w:right w:val="none" w:sz="0" w:space="0" w:color="auto"/>
      </w:divBdr>
    </w:div>
    <w:div w:id="806509734">
      <w:bodyDiv w:val="1"/>
      <w:marLeft w:val="0"/>
      <w:marRight w:val="0"/>
      <w:marTop w:val="0"/>
      <w:marBottom w:val="0"/>
      <w:divBdr>
        <w:top w:val="none" w:sz="0" w:space="0" w:color="auto"/>
        <w:left w:val="none" w:sz="0" w:space="0" w:color="auto"/>
        <w:bottom w:val="none" w:sz="0" w:space="0" w:color="auto"/>
        <w:right w:val="none" w:sz="0" w:space="0" w:color="auto"/>
      </w:divBdr>
    </w:div>
    <w:div w:id="806581024">
      <w:bodyDiv w:val="1"/>
      <w:marLeft w:val="0"/>
      <w:marRight w:val="0"/>
      <w:marTop w:val="0"/>
      <w:marBottom w:val="0"/>
      <w:divBdr>
        <w:top w:val="none" w:sz="0" w:space="0" w:color="auto"/>
        <w:left w:val="none" w:sz="0" w:space="0" w:color="auto"/>
        <w:bottom w:val="none" w:sz="0" w:space="0" w:color="auto"/>
        <w:right w:val="none" w:sz="0" w:space="0" w:color="auto"/>
      </w:divBdr>
    </w:div>
    <w:div w:id="806629697">
      <w:bodyDiv w:val="1"/>
      <w:marLeft w:val="0"/>
      <w:marRight w:val="0"/>
      <w:marTop w:val="0"/>
      <w:marBottom w:val="0"/>
      <w:divBdr>
        <w:top w:val="none" w:sz="0" w:space="0" w:color="auto"/>
        <w:left w:val="none" w:sz="0" w:space="0" w:color="auto"/>
        <w:bottom w:val="none" w:sz="0" w:space="0" w:color="auto"/>
        <w:right w:val="none" w:sz="0" w:space="0" w:color="auto"/>
      </w:divBdr>
    </w:div>
    <w:div w:id="806632841">
      <w:bodyDiv w:val="1"/>
      <w:marLeft w:val="0"/>
      <w:marRight w:val="0"/>
      <w:marTop w:val="0"/>
      <w:marBottom w:val="0"/>
      <w:divBdr>
        <w:top w:val="none" w:sz="0" w:space="0" w:color="auto"/>
        <w:left w:val="none" w:sz="0" w:space="0" w:color="auto"/>
        <w:bottom w:val="none" w:sz="0" w:space="0" w:color="auto"/>
        <w:right w:val="none" w:sz="0" w:space="0" w:color="auto"/>
      </w:divBdr>
    </w:div>
    <w:div w:id="806707347">
      <w:bodyDiv w:val="1"/>
      <w:marLeft w:val="0"/>
      <w:marRight w:val="0"/>
      <w:marTop w:val="0"/>
      <w:marBottom w:val="0"/>
      <w:divBdr>
        <w:top w:val="none" w:sz="0" w:space="0" w:color="auto"/>
        <w:left w:val="none" w:sz="0" w:space="0" w:color="auto"/>
        <w:bottom w:val="none" w:sz="0" w:space="0" w:color="auto"/>
        <w:right w:val="none" w:sz="0" w:space="0" w:color="auto"/>
      </w:divBdr>
    </w:div>
    <w:div w:id="806818126">
      <w:bodyDiv w:val="1"/>
      <w:marLeft w:val="0"/>
      <w:marRight w:val="0"/>
      <w:marTop w:val="0"/>
      <w:marBottom w:val="0"/>
      <w:divBdr>
        <w:top w:val="none" w:sz="0" w:space="0" w:color="auto"/>
        <w:left w:val="none" w:sz="0" w:space="0" w:color="auto"/>
        <w:bottom w:val="none" w:sz="0" w:space="0" w:color="auto"/>
        <w:right w:val="none" w:sz="0" w:space="0" w:color="auto"/>
      </w:divBdr>
    </w:div>
    <w:div w:id="807013154">
      <w:bodyDiv w:val="1"/>
      <w:marLeft w:val="0"/>
      <w:marRight w:val="0"/>
      <w:marTop w:val="0"/>
      <w:marBottom w:val="0"/>
      <w:divBdr>
        <w:top w:val="none" w:sz="0" w:space="0" w:color="auto"/>
        <w:left w:val="none" w:sz="0" w:space="0" w:color="auto"/>
        <w:bottom w:val="none" w:sz="0" w:space="0" w:color="auto"/>
        <w:right w:val="none" w:sz="0" w:space="0" w:color="auto"/>
      </w:divBdr>
    </w:div>
    <w:div w:id="807018888">
      <w:bodyDiv w:val="1"/>
      <w:marLeft w:val="0"/>
      <w:marRight w:val="0"/>
      <w:marTop w:val="0"/>
      <w:marBottom w:val="0"/>
      <w:divBdr>
        <w:top w:val="none" w:sz="0" w:space="0" w:color="auto"/>
        <w:left w:val="none" w:sz="0" w:space="0" w:color="auto"/>
        <w:bottom w:val="none" w:sz="0" w:space="0" w:color="auto"/>
        <w:right w:val="none" w:sz="0" w:space="0" w:color="auto"/>
      </w:divBdr>
    </w:div>
    <w:div w:id="807094124">
      <w:bodyDiv w:val="1"/>
      <w:marLeft w:val="0"/>
      <w:marRight w:val="0"/>
      <w:marTop w:val="0"/>
      <w:marBottom w:val="0"/>
      <w:divBdr>
        <w:top w:val="none" w:sz="0" w:space="0" w:color="auto"/>
        <w:left w:val="none" w:sz="0" w:space="0" w:color="auto"/>
        <w:bottom w:val="none" w:sz="0" w:space="0" w:color="auto"/>
        <w:right w:val="none" w:sz="0" w:space="0" w:color="auto"/>
      </w:divBdr>
    </w:div>
    <w:div w:id="807163959">
      <w:bodyDiv w:val="1"/>
      <w:marLeft w:val="0"/>
      <w:marRight w:val="0"/>
      <w:marTop w:val="0"/>
      <w:marBottom w:val="0"/>
      <w:divBdr>
        <w:top w:val="none" w:sz="0" w:space="0" w:color="auto"/>
        <w:left w:val="none" w:sz="0" w:space="0" w:color="auto"/>
        <w:bottom w:val="none" w:sz="0" w:space="0" w:color="auto"/>
        <w:right w:val="none" w:sz="0" w:space="0" w:color="auto"/>
      </w:divBdr>
    </w:div>
    <w:div w:id="807547662">
      <w:bodyDiv w:val="1"/>
      <w:marLeft w:val="0"/>
      <w:marRight w:val="0"/>
      <w:marTop w:val="0"/>
      <w:marBottom w:val="0"/>
      <w:divBdr>
        <w:top w:val="none" w:sz="0" w:space="0" w:color="auto"/>
        <w:left w:val="none" w:sz="0" w:space="0" w:color="auto"/>
        <w:bottom w:val="none" w:sz="0" w:space="0" w:color="auto"/>
        <w:right w:val="none" w:sz="0" w:space="0" w:color="auto"/>
      </w:divBdr>
    </w:div>
    <w:div w:id="807553553">
      <w:bodyDiv w:val="1"/>
      <w:marLeft w:val="0"/>
      <w:marRight w:val="0"/>
      <w:marTop w:val="0"/>
      <w:marBottom w:val="0"/>
      <w:divBdr>
        <w:top w:val="none" w:sz="0" w:space="0" w:color="auto"/>
        <w:left w:val="none" w:sz="0" w:space="0" w:color="auto"/>
        <w:bottom w:val="none" w:sz="0" w:space="0" w:color="auto"/>
        <w:right w:val="none" w:sz="0" w:space="0" w:color="auto"/>
      </w:divBdr>
    </w:div>
    <w:div w:id="807673667">
      <w:bodyDiv w:val="1"/>
      <w:marLeft w:val="0"/>
      <w:marRight w:val="0"/>
      <w:marTop w:val="0"/>
      <w:marBottom w:val="0"/>
      <w:divBdr>
        <w:top w:val="none" w:sz="0" w:space="0" w:color="auto"/>
        <w:left w:val="none" w:sz="0" w:space="0" w:color="auto"/>
        <w:bottom w:val="none" w:sz="0" w:space="0" w:color="auto"/>
        <w:right w:val="none" w:sz="0" w:space="0" w:color="auto"/>
      </w:divBdr>
    </w:div>
    <w:div w:id="807937228">
      <w:bodyDiv w:val="1"/>
      <w:marLeft w:val="0"/>
      <w:marRight w:val="0"/>
      <w:marTop w:val="0"/>
      <w:marBottom w:val="0"/>
      <w:divBdr>
        <w:top w:val="none" w:sz="0" w:space="0" w:color="auto"/>
        <w:left w:val="none" w:sz="0" w:space="0" w:color="auto"/>
        <w:bottom w:val="none" w:sz="0" w:space="0" w:color="auto"/>
        <w:right w:val="none" w:sz="0" w:space="0" w:color="auto"/>
      </w:divBdr>
    </w:div>
    <w:div w:id="808091168">
      <w:bodyDiv w:val="1"/>
      <w:marLeft w:val="0"/>
      <w:marRight w:val="0"/>
      <w:marTop w:val="0"/>
      <w:marBottom w:val="0"/>
      <w:divBdr>
        <w:top w:val="none" w:sz="0" w:space="0" w:color="auto"/>
        <w:left w:val="none" w:sz="0" w:space="0" w:color="auto"/>
        <w:bottom w:val="none" w:sz="0" w:space="0" w:color="auto"/>
        <w:right w:val="none" w:sz="0" w:space="0" w:color="auto"/>
      </w:divBdr>
    </w:div>
    <w:div w:id="808129726">
      <w:bodyDiv w:val="1"/>
      <w:marLeft w:val="0"/>
      <w:marRight w:val="0"/>
      <w:marTop w:val="0"/>
      <w:marBottom w:val="0"/>
      <w:divBdr>
        <w:top w:val="none" w:sz="0" w:space="0" w:color="auto"/>
        <w:left w:val="none" w:sz="0" w:space="0" w:color="auto"/>
        <w:bottom w:val="none" w:sz="0" w:space="0" w:color="auto"/>
        <w:right w:val="none" w:sz="0" w:space="0" w:color="auto"/>
      </w:divBdr>
    </w:div>
    <w:div w:id="808133851">
      <w:bodyDiv w:val="1"/>
      <w:marLeft w:val="0"/>
      <w:marRight w:val="0"/>
      <w:marTop w:val="0"/>
      <w:marBottom w:val="0"/>
      <w:divBdr>
        <w:top w:val="none" w:sz="0" w:space="0" w:color="auto"/>
        <w:left w:val="none" w:sz="0" w:space="0" w:color="auto"/>
        <w:bottom w:val="none" w:sz="0" w:space="0" w:color="auto"/>
        <w:right w:val="none" w:sz="0" w:space="0" w:color="auto"/>
      </w:divBdr>
    </w:div>
    <w:div w:id="808203350">
      <w:bodyDiv w:val="1"/>
      <w:marLeft w:val="0"/>
      <w:marRight w:val="0"/>
      <w:marTop w:val="0"/>
      <w:marBottom w:val="0"/>
      <w:divBdr>
        <w:top w:val="none" w:sz="0" w:space="0" w:color="auto"/>
        <w:left w:val="none" w:sz="0" w:space="0" w:color="auto"/>
        <w:bottom w:val="none" w:sz="0" w:space="0" w:color="auto"/>
        <w:right w:val="none" w:sz="0" w:space="0" w:color="auto"/>
      </w:divBdr>
    </w:div>
    <w:div w:id="808280300">
      <w:bodyDiv w:val="1"/>
      <w:marLeft w:val="0"/>
      <w:marRight w:val="0"/>
      <w:marTop w:val="0"/>
      <w:marBottom w:val="0"/>
      <w:divBdr>
        <w:top w:val="none" w:sz="0" w:space="0" w:color="auto"/>
        <w:left w:val="none" w:sz="0" w:space="0" w:color="auto"/>
        <w:bottom w:val="none" w:sz="0" w:space="0" w:color="auto"/>
        <w:right w:val="none" w:sz="0" w:space="0" w:color="auto"/>
      </w:divBdr>
    </w:div>
    <w:div w:id="808327139">
      <w:bodyDiv w:val="1"/>
      <w:marLeft w:val="0"/>
      <w:marRight w:val="0"/>
      <w:marTop w:val="0"/>
      <w:marBottom w:val="0"/>
      <w:divBdr>
        <w:top w:val="none" w:sz="0" w:space="0" w:color="auto"/>
        <w:left w:val="none" w:sz="0" w:space="0" w:color="auto"/>
        <w:bottom w:val="none" w:sz="0" w:space="0" w:color="auto"/>
        <w:right w:val="none" w:sz="0" w:space="0" w:color="auto"/>
      </w:divBdr>
    </w:div>
    <w:div w:id="808353495">
      <w:bodyDiv w:val="1"/>
      <w:marLeft w:val="0"/>
      <w:marRight w:val="0"/>
      <w:marTop w:val="0"/>
      <w:marBottom w:val="0"/>
      <w:divBdr>
        <w:top w:val="none" w:sz="0" w:space="0" w:color="auto"/>
        <w:left w:val="none" w:sz="0" w:space="0" w:color="auto"/>
        <w:bottom w:val="none" w:sz="0" w:space="0" w:color="auto"/>
        <w:right w:val="none" w:sz="0" w:space="0" w:color="auto"/>
      </w:divBdr>
    </w:div>
    <w:div w:id="808472016">
      <w:bodyDiv w:val="1"/>
      <w:marLeft w:val="0"/>
      <w:marRight w:val="0"/>
      <w:marTop w:val="0"/>
      <w:marBottom w:val="0"/>
      <w:divBdr>
        <w:top w:val="none" w:sz="0" w:space="0" w:color="auto"/>
        <w:left w:val="none" w:sz="0" w:space="0" w:color="auto"/>
        <w:bottom w:val="none" w:sz="0" w:space="0" w:color="auto"/>
        <w:right w:val="none" w:sz="0" w:space="0" w:color="auto"/>
      </w:divBdr>
    </w:div>
    <w:div w:id="808522522">
      <w:bodyDiv w:val="1"/>
      <w:marLeft w:val="0"/>
      <w:marRight w:val="0"/>
      <w:marTop w:val="0"/>
      <w:marBottom w:val="0"/>
      <w:divBdr>
        <w:top w:val="none" w:sz="0" w:space="0" w:color="auto"/>
        <w:left w:val="none" w:sz="0" w:space="0" w:color="auto"/>
        <w:bottom w:val="none" w:sz="0" w:space="0" w:color="auto"/>
        <w:right w:val="none" w:sz="0" w:space="0" w:color="auto"/>
      </w:divBdr>
    </w:div>
    <w:div w:id="808592672">
      <w:bodyDiv w:val="1"/>
      <w:marLeft w:val="0"/>
      <w:marRight w:val="0"/>
      <w:marTop w:val="0"/>
      <w:marBottom w:val="0"/>
      <w:divBdr>
        <w:top w:val="none" w:sz="0" w:space="0" w:color="auto"/>
        <w:left w:val="none" w:sz="0" w:space="0" w:color="auto"/>
        <w:bottom w:val="none" w:sz="0" w:space="0" w:color="auto"/>
        <w:right w:val="none" w:sz="0" w:space="0" w:color="auto"/>
      </w:divBdr>
    </w:div>
    <w:div w:id="808740917">
      <w:bodyDiv w:val="1"/>
      <w:marLeft w:val="0"/>
      <w:marRight w:val="0"/>
      <w:marTop w:val="0"/>
      <w:marBottom w:val="0"/>
      <w:divBdr>
        <w:top w:val="none" w:sz="0" w:space="0" w:color="auto"/>
        <w:left w:val="none" w:sz="0" w:space="0" w:color="auto"/>
        <w:bottom w:val="none" w:sz="0" w:space="0" w:color="auto"/>
        <w:right w:val="none" w:sz="0" w:space="0" w:color="auto"/>
      </w:divBdr>
    </w:div>
    <w:div w:id="808790742">
      <w:bodyDiv w:val="1"/>
      <w:marLeft w:val="0"/>
      <w:marRight w:val="0"/>
      <w:marTop w:val="0"/>
      <w:marBottom w:val="0"/>
      <w:divBdr>
        <w:top w:val="none" w:sz="0" w:space="0" w:color="auto"/>
        <w:left w:val="none" w:sz="0" w:space="0" w:color="auto"/>
        <w:bottom w:val="none" w:sz="0" w:space="0" w:color="auto"/>
        <w:right w:val="none" w:sz="0" w:space="0" w:color="auto"/>
      </w:divBdr>
    </w:div>
    <w:div w:id="808982348">
      <w:bodyDiv w:val="1"/>
      <w:marLeft w:val="0"/>
      <w:marRight w:val="0"/>
      <w:marTop w:val="0"/>
      <w:marBottom w:val="0"/>
      <w:divBdr>
        <w:top w:val="none" w:sz="0" w:space="0" w:color="auto"/>
        <w:left w:val="none" w:sz="0" w:space="0" w:color="auto"/>
        <w:bottom w:val="none" w:sz="0" w:space="0" w:color="auto"/>
        <w:right w:val="none" w:sz="0" w:space="0" w:color="auto"/>
      </w:divBdr>
    </w:div>
    <w:div w:id="808985617">
      <w:bodyDiv w:val="1"/>
      <w:marLeft w:val="0"/>
      <w:marRight w:val="0"/>
      <w:marTop w:val="0"/>
      <w:marBottom w:val="0"/>
      <w:divBdr>
        <w:top w:val="none" w:sz="0" w:space="0" w:color="auto"/>
        <w:left w:val="none" w:sz="0" w:space="0" w:color="auto"/>
        <w:bottom w:val="none" w:sz="0" w:space="0" w:color="auto"/>
        <w:right w:val="none" w:sz="0" w:space="0" w:color="auto"/>
      </w:divBdr>
    </w:div>
    <w:div w:id="809054155">
      <w:bodyDiv w:val="1"/>
      <w:marLeft w:val="0"/>
      <w:marRight w:val="0"/>
      <w:marTop w:val="0"/>
      <w:marBottom w:val="0"/>
      <w:divBdr>
        <w:top w:val="none" w:sz="0" w:space="0" w:color="auto"/>
        <w:left w:val="none" w:sz="0" w:space="0" w:color="auto"/>
        <w:bottom w:val="none" w:sz="0" w:space="0" w:color="auto"/>
        <w:right w:val="none" w:sz="0" w:space="0" w:color="auto"/>
      </w:divBdr>
    </w:div>
    <w:div w:id="809130940">
      <w:bodyDiv w:val="1"/>
      <w:marLeft w:val="0"/>
      <w:marRight w:val="0"/>
      <w:marTop w:val="0"/>
      <w:marBottom w:val="0"/>
      <w:divBdr>
        <w:top w:val="none" w:sz="0" w:space="0" w:color="auto"/>
        <w:left w:val="none" w:sz="0" w:space="0" w:color="auto"/>
        <w:bottom w:val="none" w:sz="0" w:space="0" w:color="auto"/>
        <w:right w:val="none" w:sz="0" w:space="0" w:color="auto"/>
      </w:divBdr>
    </w:div>
    <w:div w:id="809205034">
      <w:bodyDiv w:val="1"/>
      <w:marLeft w:val="0"/>
      <w:marRight w:val="0"/>
      <w:marTop w:val="0"/>
      <w:marBottom w:val="0"/>
      <w:divBdr>
        <w:top w:val="none" w:sz="0" w:space="0" w:color="auto"/>
        <w:left w:val="none" w:sz="0" w:space="0" w:color="auto"/>
        <w:bottom w:val="none" w:sz="0" w:space="0" w:color="auto"/>
        <w:right w:val="none" w:sz="0" w:space="0" w:color="auto"/>
      </w:divBdr>
    </w:div>
    <w:div w:id="809319960">
      <w:bodyDiv w:val="1"/>
      <w:marLeft w:val="0"/>
      <w:marRight w:val="0"/>
      <w:marTop w:val="0"/>
      <w:marBottom w:val="0"/>
      <w:divBdr>
        <w:top w:val="none" w:sz="0" w:space="0" w:color="auto"/>
        <w:left w:val="none" w:sz="0" w:space="0" w:color="auto"/>
        <w:bottom w:val="none" w:sz="0" w:space="0" w:color="auto"/>
        <w:right w:val="none" w:sz="0" w:space="0" w:color="auto"/>
      </w:divBdr>
    </w:div>
    <w:div w:id="809322114">
      <w:bodyDiv w:val="1"/>
      <w:marLeft w:val="0"/>
      <w:marRight w:val="0"/>
      <w:marTop w:val="0"/>
      <w:marBottom w:val="0"/>
      <w:divBdr>
        <w:top w:val="none" w:sz="0" w:space="0" w:color="auto"/>
        <w:left w:val="none" w:sz="0" w:space="0" w:color="auto"/>
        <w:bottom w:val="none" w:sz="0" w:space="0" w:color="auto"/>
        <w:right w:val="none" w:sz="0" w:space="0" w:color="auto"/>
      </w:divBdr>
    </w:div>
    <w:div w:id="809372072">
      <w:bodyDiv w:val="1"/>
      <w:marLeft w:val="0"/>
      <w:marRight w:val="0"/>
      <w:marTop w:val="0"/>
      <w:marBottom w:val="0"/>
      <w:divBdr>
        <w:top w:val="none" w:sz="0" w:space="0" w:color="auto"/>
        <w:left w:val="none" w:sz="0" w:space="0" w:color="auto"/>
        <w:bottom w:val="none" w:sz="0" w:space="0" w:color="auto"/>
        <w:right w:val="none" w:sz="0" w:space="0" w:color="auto"/>
      </w:divBdr>
    </w:div>
    <w:div w:id="809517040">
      <w:bodyDiv w:val="1"/>
      <w:marLeft w:val="0"/>
      <w:marRight w:val="0"/>
      <w:marTop w:val="0"/>
      <w:marBottom w:val="0"/>
      <w:divBdr>
        <w:top w:val="none" w:sz="0" w:space="0" w:color="auto"/>
        <w:left w:val="none" w:sz="0" w:space="0" w:color="auto"/>
        <w:bottom w:val="none" w:sz="0" w:space="0" w:color="auto"/>
        <w:right w:val="none" w:sz="0" w:space="0" w:color="auto"/>
      </w:divBdr>
    </w:div>
    <w:div w:id="809638381">
      <w:bodyDiv w:val="1"/>
      <w:marLeft w:val="0"/>
      <w:marRight w:val="0"/>
      <w:marTop w:val="0"/>
      <w:marBottom w:val="0"/>
      <w:divBdr>
        <w:top w:val="none" w:sz="0" w:space="0" w:color="auto"/>
        <w:left w:val="none" w:sz="0" w:space="0" w:color="auto"/>
        <w:bottom w:val="none" w:sz="0" w:space="0" w:color="auto"/>
        <w:right w:val="none" w:sz="0" w:space="0" w:color="auto"/>
      </w:divBdr>
    </w:div>
    <w:div w:id="809710926">
      <w:bodyDiv w:val="1"/>
      <w:marLeft w:val="0"/>
      <w:marRight w:val="0"/>
      <w:marTop w:val="0"/>
      <w:marBottom w:val="0"/>
      <w:divBdr>
        <w:top w:val="none" w:sz="0" w:space="0" w:color="auto"/>
        <w:left w:val="none" w:sz="0" w:space="0" w:color="auto"/>
        <w:bottom w:val="none" w:sz="0" w:space="0" w:color="auto"/>
        <w:right w:val="none" w:sz="0" w:space="0" w:color="auto"/>
      </w:divBdr>
    </w:div>
    <w:div w:id="809713632">
      <w:bodyDiv w:val="1"/>
      <w:marLeft w:val="0"/>
      <w:marRight w:val="0"/>
      <w:marTop w:val="0"/>
      <w:marBottom w:val="0"/>
      <w:divBdr>
        <w:top w:val="none" w:sz="0" w:space="0" w:color="auto"/>
        <w:left w:val="none" w:sz="0" w:space="0" w:color="auto"/>
        <w:bottom w:val="none" w:sz="0" w:space="0" w:color="auto"/>
        <w:right w:val="none" w:sz="0" w:space="0" w:color="auto"/>
      </w:divBdr>
    </w:div>
    <w:div w:id="809861100">
      <w:bodyDiv w:val="1"/>
      <w:marLeft w:val="0"/>
      <w:marRight w:val="0"/>
      <w:marTop w:val="0"/>
      <w:marBottom w:val="0"/>
      <w:divBdr>
        <w:top w:val="none" w:sz="0" w:space="0" w:color="auto"/>
        <w:left w:val="none" w:sz="0" w:space="0" w:color="auto"/>
        <w:bottom w:val="none" w:sz="0" w:space="0" w:color="auto"/>
        <w:right w:val="none" w:sz="0" w:space="0" w:color="auto"/>
      </w:divBdr>
    </w:div>
    <w:div w:id="809900415">
      <w:bodyDiv w:val="1"/>
      <w:marLeft w:val="0"/>
      <w:marRight w:val="0"/>
      <w:marTop w:val="0"/>
      <w:marBottom w:val="0"/>
      <w:divBdr>
        <w:top w:val="none" w:sz="0" w:space="0" w:color="auto"/>
        <w:left w:val="none" w:sz="0" w:space="0" w:color="auto"/>
        <w:bottom w:val="none" w:sz="0" w:space="0" w:color="auto"/>
        <w:right w:val="none" w:sz="0" w:space="0" w:color="auto"/>
      </w:divBdr>
    </w:div>
    <w:div w:id="809975650">
      <w:bodyDiv w:val="1"/>
      <w:marLeft w:val="0"/>
      <w:marRight w:val="0"/>
      <w:marTop w:val="0"/>
      <w:marBottom w:val="0"/>
      <w:divBdr>
        <w:top w:val="none" w:sz="0" w:space="0" w:color="auto"/>
        <w:left w:val="none" w:sz="0" w:space="0" w:color="auto"/>
        <w:bottom w:val="none" w:sz="0" w:space="0" w:color="auto"/>
        <w:right w:val="none" w:sz="0" w:space="0" w:color="auto"/>
      </w:divBdr>
    </w:div>
    <w:div w:id="809983830">
      <w:bodyDiv w:val="1"/>
      <w:marLeft w:val="0"/>
      <w:marRight w:val="0"/>
      <w:marTop w:val="0"/>
      <w:marBottom w:val="0"/>
      <w:divBdr>
        <w:top w:val="none" w:sz="0" w:space="0" w:color="auto"/>
        <w:left w:val="none" w:sz="0" w:space="0" w:color="auto"/>
        <w:bottom w:val="none" w:sz="0" w:space="0" w:color="auto"/>
        <w:right w:val="none" w:sz="0" w:space="0" w:color="auto"/>
      </w:divBdr>
    </w:div>
    <w:div w:id="810171068">
      <w:bodyDiv w:val="1"/>
      <w:marLeft w:val="0"/>
      <w:marRight w:val="0"/>
      <w:marTop w:val="0"/>
      <w:marBottom w:val="0"/>
      <w:divBdr>
        <w:top w:val="none" w:sz="0" w:space="0" w:color="auto"/>
        <w:left w:val="none" w:sz="0" w:space="0" w:color="auto"/>
        <w:bottom w:val="none" w:sz="0" w:space="0" w:color="auto"/>
        <w:right w:val="none" w:sz="0" w:space="0" w:color="auto"/>
      </w:divBdr>
    </w:div>
    <w:div w:id="810178076">
      <w:bodyDiv w:val="1"/>
      <w:marLeft w:val="0"/>
      <w:marRight w:val="0"/>
      <w:marTop w:val="0"/>
      <w:marBottom w:val="0"/>
      <w:divBdr>
        <w:top w:val="none" w:sz="0" w:space="0" w:color="auto"/>
        <w:left w:val="none" w:sz="0" w:space="0" w:color="auto"/>
        <w:bottom w:val="none" w:sz="0" w:space="0" w:color="auto"/>
        <w:right w:val="none" w:sz="0" w:space="0" w:color="auto"/>
      </w:divBdr>
    </w:div>
    <w:div w:id="810364808">
      <w:bodyDiv w:val="1"/>
      <w:marLeft w:val="0"/>
      <w:marRight w:val="0"/>
      <w:marTop w:val="0"/>
      <w:marBottom w:val="0"/>
      <w:divBdr>
        <w:top w:val="none" w:sz="0" w:space="0" w:color="auto"/>
        <w:left w:val="none" w:sz="0" w:space="0" w:color="auto"/>
        <w:bottom w:val="none" w:sz="0" w:space="0" w:color="auto"/>
        <w:right w:val="none" w:sz="0" w:space="0" w:color="auto"/>
      </w:divBdr>
    </w:div>
    <w:div w:id="810438428">
      <w:bodyDiv w:val="1"/>
      <w:marLeft w:val="0"/>
      <w:marRight w:val="0"/>
      <w:marTop w:val="0"/>
      <w:marBottom w:val="0"/>
      <w:divBdr>
        <w:top w:val="none" w:sz="0" w:space="0" w:color="auto"/>
        <w:left w:val="none" w:sz="0" w:space="0" w:color="auto"/>
        <w:bottom w:val="none" w:sz="0" w:space="0" w:color="auto"/>
        <w:right w:val="none" w:sz="0" w:space="0" w:color="auto"/>
      </w:divBdr>
    </w:div>
    <w:div w:id="810440106">
      <w:bodyDiv w:val="1"/>
      <w:marLeft w:val="0"/>
      <w:marRight w:val="0"/>
      <w:marTop w:val="0"/>
      <w:marBottom w:val="0"/>
      <w:divBdr>
        <w:top w:val="none" w:sz="0" w:space="0" w:color="auto"/>
        <w:left w:val="none" w:sz="0" w:space="0" w:color="auto"/>
        <w:bottom w:val="none" w:sz="0" w:space="0" w:color="auto"/>
        <w:right w:val="none" w:sz="0" w:space="0" w:color="auto"/>
      </w:divBdr>
    </w:div>
    <w:div w:id="810441964">
      <w:bodyDiv w:val="1"/>
      <w:marLeft w:val="0"/>
      <w:marRight w:val="0"/>
      <w:marTop w:val="0"/>
      <w:marBottom w:val="0"/>
      <w:divBdr>
        <w:top w:val="none" w:sz="0" w:space="0" w:color="auto"/>
        <w:left w:val="none" w:sz="0" w:space="0" w:color="auto"/>
        <w:bottom w:val="none" w:sz="0" w:space="0" w:color="auto"/>
        <w:right w:val="none" w:sz="0" w:space="0" w:color="auto"/>
      </w:divBdr>
    </w:div>
    <w:div w:id="810445445">
      <w:bodyDiv w:val="1"/>
      <w:marLeft w:val="0"/>
      <w:marRight w:val="0"/>
      <w:marTop w:val="0"/>
      <w:marBottom w:val="0"/>
      <w:divBdr>
        <w:top w:val="none" w:sz="0" w:space="0" w:color="auto"/>
        <w:left w:val="none" w:sz="0" w:space="0" w:color="auto"/>
        <w:bottom w:val="none" w:sz="0" w:space="0" w:color="auto"/>
        <w:right w:val="none" w:sz="0" w:space="0" w:color="auto"/>
      </w:divBdr>
    </w:div>
    <w:div w:id="810484114">
      <w:bodyDiv w:val="1"/>
      <w:marLeft w:val="0"/>
      <w:marRight w:val="0"/>
      <w:marTop w:val="0"/>
      <w:marBottom w:val="0"/>
      <w:divBdr>
        <w:top w:val="none" w:sz="0" w:space="0" w:color="auto"/>
        <w:left w:val="none" w:sz="0" w:space="0" w:color="auto"/>
        <w:bottom w:val="none" w:sz="0" w:space="0" w:color="auto"/>
        <w:right w:val="none" w:sz="0" w:space="0" w:color="auto"/>
      </w:divBdr>
    </w:div>
    <w:div w:id="810560526">
      <w:bodyDiv w:val="1"/>
      <w:marLeft w:val="0"/>
      <w:marRight w:val="0"/>
      <w:marTop w:val="0"/>
      <w:marBottom w:val="0"/>
      <w:divBdr>
        <w:top w:val="none" w:sz="0" w:space="0" w:color="auto"/>
        <w:left w:val="none" w:sz="0" w:space="0" w:color="auto"/>
        <w:bottom w:val="none" w:sz="0" w:space="0" w:color="auto"/>
        <w:right w:val="none" w:sz="0" w:space="0" w:color="auto"/>
      </w:divBdr>
    </w:div>
    <w:div w:id="810635703">
      <w:bodyDiv w:val="1"/>
      <w:marLeft w:val="0"/>
      <w:marRight w:val="0"/>
      <w:marTop w:val="0"/>
      <w:marBottom w:val="0"/>
      <w:divBdr>
        <w:top w:val="none" w:sz="0" w:space="0" w:color="auto"/>
        <w:left w:val="none" w:sz="0" w:space="0" w:color="auto"/>
        <w:bottom w:val="none" w:sz="0" w:space="0" w:color="auto"/>
        <w:right w:val="none" w:sz="0" w:space="0" w:color="auto"/>
      </w:divBdr>
    </w:div>
    <w:div w:id="810708848">
      <w:bodyDiv w:val="1"/>
      <w:marLeft w:val="0"/>
      <w:marRight w:val="0"/>
      <w:marTop w:val="0"/>
      <w:marBottom w:val="0"/>
      <w:divBdr>
        <w:top w:val="none" w:sz="0" w:space="0" w:color="auto"/>
        <w:left w:val="none" w:sz="0" w:space="0" w:color="auto"/>
        <w:bottom w:val="none" w:sz="0" w:space="0" w:color="auto"/>
        <w:right w:val="none" w:sz="0" w:space="0" w:color="auto"/>
      </w:divBdr>
    </w:div>
    <w:div w:id="810749915">
      <w:bodyDiv w:val="1"/>
      <w:marLeft w:val="0"/>
      <w:marRight w:val="0"/>
      <w:marTop w:val="0"/>
      <w:marBottom w:val="0"/>
      <w:divBdr>
        <w:top w:val="none" w:sz="0" w:space="0" w:color="auto"/>
        <w:left w:val="none" w:sz="0" w:space="0" w:color="auto"/>
        <w:bottom w:val="none" w:sz="0" w:space="0" w:color="auto"/>
        <w:right w:val="none" w:sz="0" w:space="0" w:color="auto"/>
      </w:divBdr>
    </w:div>
    <w:div w:id="810903591">
      <w:bodyDiv w:val="1"/>
      <w:marLeft w:val="0"/>
      <w:marRight w:val="0"/>
      <w:marTop w:val="0"/>
      <w:marBottom w:val="0"/>
      <w:divBdr>
        <w:top w:val="none" w:sz="0" w:space="0" w:color="auto"/>
        <w:left w:val="none" w:sz="0" w:space="0" w:color="auto"/>
        <w:bottom w:val="none" w:sz="0" w:space="0" w:color="auto"/>
        <w:right w:val="none" w:sz="0" w:space="0" w:color="auto"/>
      </w:divBdr>
    </w:div>
    <w:div w:id="810946698">
      <w:bodyDiv w:val="1"/>
      <w:marLeft w:val="0"/>
      <w:marRight w:val="0"/>
      <w:marTop w:val="0"/>
      <w:marBottom w:val="0"/>
      <w:divBdr>
        <w:top w:val="none" w:sz="0" w:space="0" w:color="auto"/>
        <w:left w:val="none" w:sz="0" w:space="0" w:color="auto"/>
        <w:bottom w:val="none" w:sz="0" w:space="0" w:color="auto"/>
        <w:right w:val="none" w:sz="0" w:space="0" w:color="auto"/>
      </w:divBdr>
    </w:div>
    <w:div w:id="810975087">
      <w:bodyDiv w:val="1"/>
      <w:marLeft w:val="0"/>
      <w:marRight w:val="0"/>
      <w:marTop w:val="0"/>
      <w:marBottom w:val="0"/>
      <w:divBdr>
        <w:top w:val="none" w:sz="0" w:space="0" w:color="auto"/>
        <w:left w:val="none" w:sz="0" w:space="0" w:color="auto"/>
        <w:bottom w:val="none" w:sz="0" w:space="0" w:color="auto"/>
        <w:right w:val="none" w:sz="0" w:space="0" w:color="auto"/>
      </w:divBdr>
    </w:div>
    <w:div w:id="811170907">
      <w:bodyDiv w:val="1"/>
      <w:marLeft w:val="0"/>
      <w:marRight w:val="0"/>
      <w:marTop w:val="0"/>
      <w:marBottom w:val="0"/>
      <w:divBdr>
        <w:top w:val="none" w:sz="0" w:space="0" w:color="auto"/>
        <w:left w:val="none" w:sz="0" w:space="0" w:color="auto"/>
        <w:bottom w:val="none" w:sz="0" w:space="0" w:color="auto"/>
        <w:right w:val="none" w:sz="0" w:space="0" w:color="auto"/>
      </w:divBdr>
    </w:div>
    <w:div w:id="811171265">
      <w:bodyDiv w:val="1"/>
      <w:marLeft w:val="0"/>
      <w:marRight w:val="0"/>
      <w:marTop w:val="0"/>
      <w:marBottom w:val="0"/>
      <w:divBdr>
        <w:top w:val="none" w:sz="0" w:space="0" w:color="auto"/>
        <w:left w:val="none" w:sz="0" w:space="0" w:color="auto"/>
        <w:bottom w:val="none" w:sz="0" w:space="0" w:color="auto"/>
        <w:right w:val="none" w:sz="0" w:space="0" w:color="auto"/>
      </w:divBdr>
    </w:div>
    <w:div w:id="811286089">
      <w:bodyDiv w:val="1"/>
      <w:marLeft w:val="0"/>
      <w:marRight w:val="0"/>
      <w:marTop w:val="0"/>
      <w:marBottom w:val="0"/>
      <w:divBdr>
        <w:top w:val="none" w:sz="0" w:space="0" w:color="auto"/>
        <w:left w:val="none" w:sz="0" w:space="0" w:color="auto"/>
        <w:bottom w:val="none" w:sz="0" w:space="0" w:color="auto"/>
        <w:right w:val="none" w:sz="0" w:space="0" w:color="auto"/>
      </w:divBdr>
    </w:div>
    <w:div w:id="811286322">
      <w:bodyDiv w:val="1"/>
      <w:marLeft w:val="0"/>
      <w:marRight w:val="0"/>
      <w:marTop w:val="0"/>
      <w:marBottom w:val="0"/>
      <w:divBdr>
        <w:top w:val="none" w:sz="0" w:space="0" w:color="auto"/>
        <w:left w:val="none" w:sz="0" w:space="0" w:color="auto"/>
        <w:bottom w:val="none" w:sz="0" w:space="0" w:color="auto"/>
        <w:right w:val="none" w:sz="0" w:space="0" w:color="auto"/>
      </w:divBdr>
    </w:div>
    <w:div w:id="811288890">
      <w:bodyDiv w:val="1"/>
      <w:marLeft w:val="0"/>
      <w:marRight w:val="0"/>
      <w:marTop w:val="0"/>
      <w:marBottom w:val="0"/>
      <w:divBdr>
        <w:top w:val="none" w:sz="0" w:space="0" w:color="auto"/>
        <w:left w:val="none" w:sz="0" w:space="0" w:color="auto"/>
        <w:bottom w:val="none" w:sz="0" w:space="0" w:color="auto"/>
        <w:right w:val="none" w:sz="0" w:space="0" w:color="auto"/>
      </w:divBdr>
    </w:div>
    <w:div w:id="811290311">
      <w:bodyDiv w:val="1"/>
      <w:marLeft w:val="0"/>
      <w:marRight w:val="0"/>
      <w:marTop w:val="0"/>
      <w:marBottom w:val="0"/>
      <w:divBdr>
        <w:top w:val="none" w:sz="0" w:space="0" w:color="auto"/>
        <w:left w:val="none" w:sz="0" w:space="0" w:color="auto"/>
        <w:bottom w:val="none" w:sz="0" w:space="0" w:color="auto"/>
        <w:right w:val="none" w:sz="0" w:space="0" w:color="auto"/>
      </w:divBdr>
    </w:div>
    <w:div w:id="811335887">
      <w:bodyDiv w:val="1"/>
      <w:marLeft w:val="0"/>
      <w:marRight w:val="0"/>
      <w:marTop w:val="0"/>
      <w:marBottom w:val="0"/>
      <w:divBdr>
        <w:top w:val="none" w:sz="0" w:space="0" w:color="auto"/>
        <w:left w:val="none" w:sz="0" w:space="0" w:color="auto"/>
        <w:bottom w:val="none" w:sz="0" w:space="0" w:color="auto"/>
        <w:right w:val="none" w:sz="0" w:space="0" w:color="auto"/>
      </w:divBdr>
    </w:div>
    <w:div w:id="811361736">
      <w:bodyDiv w:val="1"/>
      <w:marLeft w:val="0"/>
      <w:marRight w:val="0"/>
      <w:marTop w:val="0"/>
      <w:marBottom w:val="0"/>
      <w:divBdr>
        <w:top w:val="none" w:sz="0" w:space="0" w:color="auto"/>
        <w:left w:val="none" w:sz="0" w:space="0" w:color="auto"/>
        <w:bottom w:val="none" w:sz="0" w:space="0" w:color="auto"/>
        <w:right w:val="none" w:sz="0" w:space="0" w:color="auto"/>
      </w:divBdr>
    </w:div>
    <w:div w:id="811365342">
      <w:bodyDiv w:val="1"/>
      <w:marLeft w:val="0"/>
      <w:marRight w:val="0"/>
      <w:marTop w:val="0"/>
      <w:marBottom w:val="0"/>
      <w:divBdr>
        <w:top w:val="none" w:sz="0" w:space="0" w:color="auto"/>
        <w:left w:val="none" w:sz="0" w:space="0" w:color="auto"/>
        <w:bottom w:val="none" w:sz="0" w:space="0" w:color="auto"/>
        <w:right w:val="none" w:sz="0" w:space="0" w:color="auto"/>
      </w:divBdr>
    </w:div>
    <w:div w:id="811367060">
      <w:bodyDiv w:val="1"/>
      <w:marLeft w:val="0"/>
      <w:marRight w:val="0"/>
      <w:marTop w:val="0"/>
      <w:marBottom w:val="0"/>
      <w:divBdr>
        <w:top w:val="none" w:sz="0" w:space="0" w:color="auto"/>
        <w:left w:val="none" w:sz="0" w:space="0" w:color="auto"/>
        <w:bottom w:val="none" w:sz="0" w:space="0" w:color="auto"/>
        <w:right w:val="none" w:sz="0" w:space="0" w:color="auto"/>
      </w:divBdr>
    </w:div>
    <w:div w:id="811408264">
      <w:bodyDiv w:val="1"/>
      <w:marLeft w:val="0"/>
      <w:marRight w:val="0"/>
      <w:marTop w:val="0"/>
      <w:marBottom w:val="0"/>
      <w:divBdr>
        <w:top w:val="none" w:sz="0" w:space="0" w:color="auto"/>
        <w:left w:val="none" w:sz="0" w:space="0" w:color="auto"/>
        <w:bottom w:val="none" w:sz="0" w:space="0" w:color="auto"/>
        <w:right w:val="none" w:sz="0" w:space="0" w:color="auto"/>
      </w:divBdr>
    </w:div>
    <w:div w:id="811485080">
      <w:bodyDiv w:val="1"/>
      <w:marLeft w:val="0"/>
      <w:marRight w:val="0"/>
      <w:marTop w:val="0"/>
      <w:marBottom w:val="0"/>
      <w:divBdr>
        <w:top w:val="none" w:sz="0" w:space="0" w:color="auto"/>
        <w:left w:val="none" w:sz="0" w:space="0" w:color="auto"/>
        <w:bottom w:val="none" w:sz="0" w:space="0" w:color="auto"/>
        <w:right w:val="none" w:sz="0" w:space="0" w:color="auto"/>
      </w:divBdr>
    </w:div>
    <w:div w:id="811602787">
      <w:bodyDiv w:val="1"/>
      <w:marLeft w:val="0"/>
      <w:marRight w:val="0"/>
      <w:marTop w:val="0"/>
      <w:marBottom w:val="0"/>
      <w:divBdr>
        <w:top w:val="none" w:sz="0" w:space="0" w:color="auto"/>
        <w:left w:val="none" w:sz="0" w:space="0" w:color="auto"/>
        <w:bottom w:val="none" w:sz="0" w:space="0" w:color="auto"/>
        <w:right w:val="none" w:sz="0" w:space="0" w:color="auto"/>
      </w:divBdr>
    </w:div>
    <w:div w:id="811676202">
      <w:bodyDiv w:val="1"/>
      <w:marLeft w:val="0"/>
      <w:marRight w:val="0"/>
      <w:marTop w:val="0"/>
      <w:marBottom w:val="0"/>
      <w:divBdr>
        <w:top w:val="none" w:sz="0" w:space="0" w:color="auto"/>
        <w:left w:val="none" w:sz="0" w:space="0" w:color="auto"/>
        <w:bottom w:val="none" w:sz="0" w:space="0" w:color="auto"/>
        <w:right w:val="none" w:sz="0" w:space="0" w:color="auto"/>
      </w:divBdr>
    </w:div>
    <w:div w:id="811678005">
      <w:bodyDiv w:val="1"/>
      <w:marLeft w:val="0"/>
      <w:marRight w:val="0"/>
      <w:marTop w:val="0"/>
      <w:marBottom w:val="0"/>
      <w:divBdr>
        <w:top w:val="none" w:sz="0" w:space="0" w:color="auto"/>
        <w:left w:val="none" w:sz="0" w:space="0" w:color="auto"/>
        <w:bottom w:val="none" w:sz="0" w:space="0" w:color="auto"/>
        <w:right w:val="none" w:sz="0" w:space="0" w:color="auto"/>
      </w:divBdr>
    </w:div>
    <w:div w:id="811749127">
      <w:bodyDiv w:val="1"/>
      <w:marLeft w:val="0"/>
      <w:marRight w:val="0"/>
      <w:marTop w:val="0"/>
      <w:marBottom w:val="0"/>
      <w:divBdr>
        <w:top w:val="none" w:sz="0" w:space="0" w:color="auto"/>
        <w:left w:val="none" w:sz="0" w:space="0" w:color="auto"/>
        <w:bottom w:val="none" w:sz="0" w:space="0" w:color="auto"/>
        <w:right w:val="none" w:sz="0" w:space="0" w:color="auto"/>
      </w:divBdr>
    </w:div>
    <w:div w:id="811947460">
      <w:bodyDiv w:val="1"/>
      <w:marLeft w:val="0"/>
      <w:marRight w:val="0"/>
      <w:marTop w:val="0"/>
      <w:marBottom w:val="0"/>
      <w:divBdr>
        <w:top w:val="none" w:sz="0" w:space="0" w:color="auto"/>
        <w:left w:val="none" w:sz="0" w:space="0" w:color="auto"/>
        <w:bottom w:val="none" w:sz="0" w:space="0" w:color="auto"/>
        <w:right w:val="none" w:sz="0" w:space="0" w:color="auto"/>
      </w:divBdr>
    </w:div>
    <w:div w:id="812023449">
      <w:bodyDiv w:val="1"/>
      <w:marLeft w:val="0"/>
      <w:marRight w:val="0"/>
      <w:marTop w:val="0"/>
      <w:marBottom w:val="0"/>
      <w:divBdr>
        <w:top w:val="none" w:sz="0" w:space="0" w:color="auto"/>
        <w:left w:val="none" w:sz="0" w:space="0" w:color="auto"/>
        <w:bottom w:val="none" w:sz="0" w:space="0" w:color="auto"/>
        <w:right w:val="none" w:sz="0" w:space="0" w:color="auto"/>
      </w:divBdr>
    </w:div>
    <w:div w:id="812134894">
      <w:bodyDiv w:val="1"/>
      <w:marLeft w:val="0"/>
      <w:marRight w:val="0"/>
      <w:marTop w:val="0"/>
      <w:marBottom w:val="0"/>
      <w:divBdr>
        <w:top w:val="none" w:sz="0" w:space="0" w:color="auto"/>
        <w:left w:val="none" w:sz="0" w:space="0" w:color="auto"/>
        <w:bottom w:val="none" w:sz="0" w:space="0" w:color="auto"/>
        <w:right w:val="none" w:sz="0" w:space="0" w:color="auto"/>
      </w:divBdr>
    </w:div>
    <w:div w:id="812331796">
      <w:bodyDiv w:val="1"/>
      <w:marLeft w:val="0"/>
      <w:marRight w:val="0"/>
      <w:marTop w:val="0"/>
      <w:marBottom w:val="0"/>
      <w:divBdr>
        <w:top w:val="none" w:sz="0" w:space="0" w:color="auto"/>
        <w:left w:val="none" w:sz="0" w:space="0" w:color="auto"/>
        <w:bottom w:val="none" w:sz="0" w:space="0" w:color="auto"/>
        <w:right w:val="none" w:sz="0" w:space="0" w:color="auto"/>
      </w:divBdr>
    </w:div>
    <w:div w:id="812409951">
      <w:bodyDiv w:val="1"/>
      <w:marLeft w:val="0"/>
      <w:marRight w:val="0"/>
      <w:marTop w:val="0"/>
      <w:marBottom w:val="0"/>
      <w:divBdr>
        <w:top w:val="none" w:sz="0" w:space="0" w:color="auto"/>
        <w:left w:val="none" w:sz="0" w:space="0" w:color="auto"/>
        <w:bottom w:val="none" w:sz="0" w:space="0" w:color="auto"/>
        <w:right w:val="none" w:sz="0" w:space="0" w:color="auto"/>
      </w:divBdr>
    </w:div>
    <w:div w:id="812528813">
      <w:bodyDiv w:val="1"/>
      <w:marLeft w:val="0"/>
      <w:marRight w:val="0"/>
      <w:marTop w:val="0"/>
      <w:marBottom w:val="0"/>
      <w:divBdr>
        <w:top w:val="none" w:sz="0" w:space="0" w:color="auto"/>
        <w:left w:val="none" w:sz="0" w:space="0" w:color="auto"/>
        <w:bottom w:val="none" w:sz="0" w:space="0" w:color="auto"/>
        <w:right w:val="none" w:sz="0" w:space="0" w:color="auto"/>
      </w:divBdr>
    </w:div>
    <w:div w:id="812602893">
      <w:bodyDiv w:val="1"/>
      <w:marLeft w:val="0"/>
      <w:marRight w:val="0"/>
      <w:marTop w:val="0"/>
      <w:marBottom w:val="0"/>
      <w:divBdr>
        <w:top w:val="none" w:sz="0" w:space="0" w:color="auto"/>
        <w:left w:val="none" w:sz="0" w:space="0" w:color="auto"/>
        <w:bottom w:val="none" w:sz="0" w:space="0" w:color="auto"/>
        <w:right w:val="none" w:sz="0" w:space="0" w:color="auto"/>
      </w:divBdr>
    </w:div>
    <w:div w:id="812678404">
      <w:bodyDiv w:val="1"/>
      <w:marLeft w:val="0"/>
      <w:marRight w:val="0"/>
      <w:marTop w:val="0"/>
      <w:marBottom w:val="0"/>
      <w:divBdr>
        <w:top w:val="none" w:sz="0" w:space="0" w:color="auto"/>
        <w:left w:val="none" w:sz="0" w:space="0" w:color="auto"/>
        <w:bottom w:val="none" w:sz="0" w:space="0" w:color="auto"/>
        <w:right w:val="none" w:sz="0" w:space="0" w:color="auto"/>
      </w:divBdr>
    </w:div>
    <w:div w:id="812791970">
      <w:bodyDiv w:val="1"/>
      <w:marLeft w:val="0"/>
      <w:marRight w:val="0"/>
      <w:marTop w:val="0"/>
      <w:marBottom w:val="0"/>
      <w:divBdr>
        <w:top w:val="none" w:sz="0" w:space="0" w:color="auto"/>
        <w:left w:val="none" w:sz="0" w:space="0" w:color="auto"/>
        <w:bottom w:val="none" w:sz="0" w:space="0" w:color="auto"/>
        <w:right w:val="none" w:sz="0" w:space="0" w:color="auto"/>
      </w:divBdr>
    </w:div>
    <w:div w:id="812794980">
      <w:bodyDiv w:val="1"/>
      <w:marLeft w:val="0"/>
      <w:marRight w:val="0"/>
      <w:marTop w:val="0"/>
      <w:marBottom w:val="0"/>
      <w:divBdr>
        <w:top w:val="none" w:sz="0" w:space="0" w:color="auto"/>
        <w:left w:val="none" w:sz="0" w:space="0" w:color="auto"/>
        <w:bottom w:val="none" w:sz="0" w:space="0" w:color="auto"/>
        <w:right w:val="none" w:sz="0" w:space="0" w:color="auto"/>
      </w:divBdr>
    </w:div>
    <w:div w:id="812797563">
      <w:bodyDiv w:val="1"/>
      <w:marLeft w:val="0"/>
      <w:marRight w:val="0"/>
      <w:marTop w:val="0"/>
      <w:marBottom w:val="0"/>
      <w:divBdr>
        <w:top w:val="none" w:sz="0" w:space="0" w:color="auto"/>
        <w:left w:val="none" w:sz="0" w:space="0" w:color="auto"/>
        <w:bottom w:val="none" w:sz="0" w:space="0" w:color="auto"/>
        <w:right w:val="none" w:sz="0" w:space="0" w:color="auto"/>
      </w:divBdr>
    </w:div>
    <w:div w:id="812872048">
      <w:bodyDiv w:val="1"/>
      <w:marLeft w:val="0"/>
      <w:marRight w:val="0"/>
      <w:marTop w:val="0"/>
      <w:marBottom w:val="0"/>
      <w:divBdr>
        <w:top w:val="none" w:sz="0" w:space="0" w:color="auto"/>
        <w:left w:val="none" w:sz="0" w:space="0" w:color="auto"/>
        <w:bottom w:val="none" w:sz="0" w:space="0" w:color="auto"/>
        <w:right w:val="none" w:sz="0" w:space="0" w:color="auto"/>
      </w:divBdr>
    </w:div>
    <w:div w:id="812915135">
      <w:bodyDiv w:val="1"/>
      <w:marLeft w:val="0"/>
      <w:marRight w:val="0"/>
      <w:marTop w:val="0"/>
      <w:marBottom w:val="0"/>
      <w:divBdr>
        <w:top w:val="none" w:sz="0" w:space="0" w:color="auto"/>
        <w:left w:val="none" w:sz="0" w:space="0" w:color="auto"/>
        <w:bottom w:val="none" w:sz="0" w:space="0" w:color="auto"/>
        <w:right w:val="none" w:sz="0" w:space="0" w:color="auto"/>
      </w:divBdr>
    </w:div>
    <w:div w:id="812985269">
      <w:bodyDiv w:val="1"/>
      <w:marLeft w:val="0"/>
      <w:marRight w:val="0"/>
      <w:marTop w:val="0"/>
      <w:marBottom w:val="0"/>
      <w:divBdr>
        <w:top w:val="none" w:sz="0" w:space="0" w:color="auto"/>
        <w:left w:val="none" w:sz="0" w:space="0" w:color="auto"/>
        <w:bottom w:val="none" w:sz="0" w:space="0" w:color="auto"/>
        <w:right w:val="none" w:sz="0" w:space="0" w:color="auto"/>
      </w:divBdr>
    </w:div>
    <w:div w:id="813060333">
      <w:bodyDiv w:val="1"/>
      <w:marLeft w:val="0"/>
      <w:marRight w:val="0"/>
      <w:marTop w:val="0"/>
      <w:marBottom w:val="0"/>
      <w:divBdr>
        <w:top w:val="none" w:sz="0" w:space="0" w:color="auto"/>
        <w:left w:val="none" w:sz="0" w:space="0" w:color="auto"/>
        <w:bottom w:val="none" w:sz="0" w:space="0" w:color="auto"/>
        <w:right w:val="none" w:sz="0" w:space="0" w:color="auto"/>
      </w:divBdr>
    </w:div>
    <w:div w:id="813060550">
      <w:bodyDiv w:val="1"/>
      <w:marLeft w:val="0"/>
      <w:marRight w:val="0"/>
      <w:marTop w:val="0"/>
      <w:marBottom w:val="0"/>
      <w:divBdr>
        <w:top w:val="none" w:sz="0" w:space="0" w:color="auto"/>
        <w:left w:val="none" w:sz="0" w:space="0" w:color="auto"/>
        <w:bottom w:val="none" w:sz="0" w:space="0" w:color="auto"/>
        <w:right w:val="none" w:sz="0" w:space="0" w:color="auto"/>
      </w:divBdr>
    </w:div>
    <w:div w:id="813332971">
      <w:bodyDiv w:val="1"/>
      <w:marLeft w:val="0"/>
      <w:marRight w:val="0"/>
      <w:marTop w:val="0"/>
      <w:marBottom w:val="0"/>
      <w:divBdr>
        <w:top w:val="none" w:sz="0" w:space="0" w:color="auto"/>
        <w:left w:val="none" w:sz="0" w:space="0" w:color="auto"/>
        <w:bottom w:val="none" w:sz="0" w:space="0" w:color="auto"/>
        <w:right w:val="none" w:sz="0" w:space="0" w:color="auto"/>
      </w:divBdr>
    </w:div>
    <w:div w:id="813377158">
      <w:bodyDiv w:val="1"/>
      <w:marLeft w:val="0"/>
      <w:marRight w:val="0"/>
      <w:marTop w:val="0"/>
      <w:marBottom w:val="0"/>
      <w:divBdr>
        <w:top w:val="none" w:sz="0" w:space="0" w:color="auto"/>
        <w:left w:val="none" w:sz="0" w:space="0" w:color="auto"/>
        <w:bottom w:val="none" w:sz="0" w:space="0" w:color="auto"/>
        <w:right w:val="none" w:sz="0" w:space="0" w:color="auto"/>
      </w:divBdr>
    </w:div>
    <w:div w:id="813448041">
      <w:bodyDiv w:val="1"/>
      <w:marLeft w:val="0"/>
      <w:marRight w:val="0"/>
      <w:marTop w:val="0"/>
      <w:marBottom w:val="0"/>
      <w:divBdr>
        <w:top w:val="none" w:sz="0" w:space="0" w:color="auto"/>
        <w:left w:val="none" w:sz="0" w:space="0" w:color="auto"/>
        <w:bottom w:val="none" w:sz="0" w:space="0" w:color="auto"/>
        <w:right w:val="none" w:sz="0" w:space="0" w:color="auto"/>
      </w:divBdr>
    </w:div>
    <w:div w:id="813452506">
      <w:bodyDiv w:val="1"/>
      <w:marLeft w:val="0"/>
      <w:marRight w:val="0"/>
      <w:marTop w:val="0"/>
      <w:marBottom w:val="0"/>
      <w:divBdr>
        <w:top w:val="none" w:sz="0" w:space="0" w:color="auto"/>
        <w:left w:val="none" w:sz="0" w:space="0" w:color="auto"/>
        <w:bottom w:val="none" w:sz="0" w:space="0" w:color="auto"/>
        <w:right w:val="none" w:sz="0" w:space="0" w:color="auto"/>
      </w:divBdr>
    </w:div>
    <w:div w:id="813564883">
      <w:bodyDiv w:val="1"/>
      <w:marLeft w:val="0"/>
      <w:marRight w:val="0"/>
      <w:marTop w:val="0"/>
      <w:marBottom w:val="0"/>
      <w:divBdr>
        <w:top w:val="none" w:sz="0" w:space="0" w:color="auto"/>
        <w:left w:val="none" w:sz="0" w:space="0" w:color="auto"/>
        <w:bottom w:val="none" w:sz="0" w:space="0" w:color="auto"/>
        <w:right w:val="none" w:sz="0" w:space="0" w:color="auto"/>
      </w:divBdr>
    </w:div>
    <w:div w:id="813641631">
      <w:bodyDiv w:val="1"/>
      <w:marLeft w:val="0"/>
      <w:marRight w:val="0"/>
      <w:marTop w:val="0"/>
      <w:marBottom w:val="0"/>
      <w:divBdr>
        <w:top w:val="none" w:sz="0" w:space="0" w:color="auto"/>
        <w:left w:val="none" w:sz="0" w:space="0" w:color="auto"/>
        <w:bottom w:val="none" w:sz="0" w:space="0" w:color="auto"/>
        <w:right w:val="none" w:sz="0" w:space="0" w:color="auto"/>
      </w:divBdr>
    </w:div>
    <w:div w:id="813907890">
      <w:bodyDiv w:val="1"/>
      <w:marLeft w:val="0"/>
      <w:marRight w:val="0"/>
      <w:marTop w:val="0"/>
      <w:marBottom w:val="0"/>
      <w:divBdr>
        <w:top w:val="none" w:sz="0" w:space="0" w:color="auto"/>
        <w:left w:val="none" w:sz="0" w:space="0" w:color="auto"/>
        <w:bottom w:val="none" w:sz="0" w:space="0" w:color="auto"/>
        <w:right w:val="none" w:sz="0" w:space="0" w:color="auto"/>
      </w:divBdr>
    </w:div>
    <w:div w:id="813911632">
      <w:bodyDiv w:val="1"/>
      <w:marLeft w:val="0"/>
      <w:marRight w:val="0"/>
      <w:marTop w:val="0"/>
      <w:marBottom w:val="0"/>
      <w:divBdr>
        <w:top w:val="none" w:sz="0" w:space="0" w:color="auto"/>
        <w:left w:val="none" w:sz="0" w:space="0" w:color="auto"/>
        <w:bottom w:val="none" w:sz="0" w:space="0" w:color="auto"/>
        <w:right w:val="none" w:sz="0" w:space="0" w:color="auto"/>
      </w:divBdr>
    </w:div>
    <w:div w:id="813912542">
      <w:bodyDiv w:val="1"/>
      <w:marLeft w:val="0"/>
      <w:marRight w:val="0"/>
      <w:marTop w:val="0"/>
      <w:marBottom w:val="0"/>
      <w:divBdr>
        <w:top w:val="none" w:sz="0" w:space="0" w:color="auto"/>
        <w:left w:val="none" w:sz="0" w:space="0" w:color="auto"/>
        <w:bottom w:val="none" w:sz="0" w:space="0" w:color="auto"/>
        <w:right w:val="none" w:sz="0" w:space="0" w:color="auto"/>
      </w:divBdr>
    </w:div>
    <w:div w:id="813915720">
      <w:bodyDiv w:val="1"/>
      <w:marLeft w:val="0"/>
      <w:marRight w:val="0"/>
      <w:marTop w:val="0"/>
      <w:marBottom w:val="0"/>
      <w:divBdr>
        <w:top w:val="none" w:sz="0" w:space="0" w:color="auto"/>
        <w:left w:val="none" w:sz="0" w:space="0" w:color="auto"/>
        <w:bottom w:val="none" w:sz="0" w:space="0" w:color="auto"/>
        <w:right w:val="none" w:sz="0" w:space="0" w:color="auto"/>
      </w:divBdr>
    </w:div>
    <w:div w:id="814103501">
      <w:bodyDiv w:val="1"/>
      <w:marLeft w:val="0"/>
      <w:marRight w:val="0"/>
      <w:marTop w:val="0"/>
      <w:marBottom w:val="0"/>
      <w:divBdr>
        <w:top w:val="none" w:sz="0" w:space="0" w:color="auto"/>
        <w:left w:val="none" w:sz="0" w:space="0" w:color="auto"/>
        <w:bottom w:val="none" w:sz="0" w:space="0" w:color="auto"/>
        <w:right w:val="none" w:sz="0" w:space="0" w:color="auto"/>
      </w:divBdr>
    </w:div>
    <w:div w:id="814298385">
      <w:bodyDiv w:val="1"/>
      <w:marLeft w:val="0"/>
      <w:marRight w:val="0"/>
      <w:marTop w:val="0"/>
      <w:marBottom w:val="0"/>
      <w:divBdr>
        <w:top w:val="none" w:sz="0" w:space="0" w:color="auto"/>
        <w:left w:val="none" w:sz="0" w:space="0" w:color="auto"/>
        <w:bottom w:val="none" w:sz="0" w:space="0" w:color="auto"/>
        <w:right w:val="none" w:sz="0" w:space="0" w:color="auto"/>
      </w:divBdr>
    </w:div>
    <w:div w:id="814684433">
      <w:bodyDiv w:val="1"/>
      <w:marLeft w:val="0"/>
      <w:marRight w:val="0"/>
      <w:marTop w:val="0"/>
      <w:marBottom w:val="0"/>
      <w:divBdr>
        <w:top w:val="none" w:sz="0" w:space="0" w:color="auto"/>
        <w:left w:val="none" w:sz="0" w:space="0" w:color="auto"/>
        <w:bottom w:val="none" w:sz="0" w:space="0" w:color="auto"/>
        <w:right w:val="none" w:sz="0" w:space="0" w:color="auto"/>
      </w:divBdr>
    </w:div>
    <w:div w:id="814758001">
      <w:bodyDiv w:val="1"/>
      <w:marLeft w:val="0"/>
      <w:marRight w:val="0"/>
      <w:marTop w:val="0"/>
      <w:marBottom w:val="0"/>
      <w:divBdr>
        <w:top w:val="none" w:sz="0" w:space="0" w:color="auto"/>
        <w:left w:val="none" w:sz="0" w:space="0" w:color="auto"/>
        <w:bottom w:val="none" w:sz="0" w:space="0" w:color="auto"/>
        <w:right w:val="none" w:sz="0" w:space="0" w:color="auto"/>
      </w:divBdr>
    </w:div>
    <w:div w:id="814838771">
      <w:bodyDiv w:val="1"/>
      <w:marLeft w:val="0"/>
      <w:marRight w:val="0"/>
      <w:marTop w:val="0"/>
      <w:marBottom w:val="0"/>
      <w:divBdr>
        <w:top w:val="none" w:sz="0" w:space="0" w:color="auto"/>
        <w:left w:val="none" w:sz="0" w:space="0" w:color="auto"/>
        <w:bottom w:val="none" w:sz="0" w:space="0" w:color="auto"/>
        <w:right w:val="none" w:sz="0" w:space="0" w:color="auto"/>
      </w:divBdr>
    </w:div>
    <w:div w:id="814875425">
      <w:bodyDiv w:val="1"/>
      <w:marLeft w:val="0"/>
      <w:marRight w:val="0"/>
      <w:marTop w:val="0"/>
      <w:marBottom w:val="0"/>
      <w:divBdr>
        <w:top w:val="none" w:sz="0" w:space="0" w:color="auto"/>
        <w:left w:val="none" w:sz="0" w:space="0" w:color="auto"/>
        <w:bottom w:val="none" w:sz="0" w:space="0" w:color="auto"/>
        <w:right w:val="none" w:sz="0" w:space="0" w:color="auto"/>
      </w:divBdr>
    </w:div>
    <w:div w:id="814882543">
      <w:bodyDiv w:val="1"/>
      <w:marLeft w:val="0"/>
      <w:marRight w:val="0"/>
      <w:marTop w:val="0"/>
      <w:marBottom w:val="0"/>
      <w:divBdr>
        <w:top w:val="none" w:sz="0" w:space="0" w:color="auto"/>
        <w:left w:val="none" w:sz="0" w:space="0" w:color="auto"/>
        <w:bottom w:val="none" w:sz="0" w:space="0" w:color="auto"/>
        <w:right w:val="none" w:sz="0" w:space="0" w:color="auto"/>
      </w:divBdr>
    </w:div>
    <w:div w:id="814883014">
      <w:bodyDiv w:val="1"/>
      <w:marLeft w:val="0"/>
      <w:marRight w:val="0"/>
      <w:marTop w:val="0"/>
      <w:marBottom w:val="0"/>
      <w:divBdr>
        <w:top w:val="none" w:sz="0" w:space="0" w:color="auto"/>
        <w:left w:val="none" w:sz="0" w:space="0" w:color="auto"/>
        <w:bottom w:val="none" w:sz="0" w:space="0" w:color="auto"/>
        <w:right w:val="none" w:sz="0" w:space="0" w:color="auto"/>
      </w:divBdr>
    </w:div>
    <w:div w:id="814952548">
      <w:bodyDiv w:val="1"/>
      <w:marLeft w:val="0"/>
      <w:marRight w:val="0"/>
      <w:marTop w:val="0"/>
      <w:marBottom w:val="0"/>
      <w:divBdr>
        <w:top w:val="none" w:sz="0" w:space="0" w:color="auto"/>
        <w:left w:val="none" w:sz="0" w:space="0" w:color="auto"/>
        <w:bottom w:val="none" w:sz="0" w:space="0" w:color="auto"/>
        <w:right w:val="none" w:sz="0" w:space="0" w:color="auto"/>
      </w:divBdr>
    </w:div>
    <w:div w:id="815028603">
      <w:bodyDiv w:val="1"/>
      <w:marLeft w:val="0"/>
      <w:marRight w:val="0"/>
      <w:marTop w:val="0"/>
      <w:marBottom w:val="0"/>
      <w:divBdr>
        <w:top w:val="none" w:sz="0" w:space="0" w:color="auto"/>
        <w:left w:val="none" w:sz="0" w:space="0" w:color="auto"/>
        <w:bottom w:val="none" w:sz="0" w:space="0" w:color="auto"/>
        <w:right w:val="none" w:sz="0" w:space="0" w:color="auto"/>
      </w:divBdr>
    </w:div>
    <w:div w:id="815075605">
      <w:bodyDiv w:val="1"/>
      <w:marLeft w:val="0"/>
      <w:marRight w:val="0"/>
      <w:marTop w:val="0"/>
      <w:marBottom w:val="0"/>
      <w:divBdr>
        <w:top w:val="none" w:sz="0" w:space="0" w:color="auto"/>
        <w:left w:val="none" w:sz="0" w:space="0" w:color="auto"/>
        <w:bottom w:val="none" w:sz="0" w:space="0" w:color="auto"/>
        <w:right w:val="none" w:sz="0" w:space="0" w:color="auto"/>
      </w:divBdr>
    </w:div>
    <w:div w:id="815411652">
      <w:bodyDiv w:val="1"/>
      <w:marLeft w:val="0"/>
      <w:marRight w:val="0"/>
      <w:marTop w:val="0"/>
      <w:marBottom w:val="0"/>
      <w:divBdr>
        <w:top w:val="none" w:sz="0" w:space="0" w:color="auto"/>
        <w:left w:val="none" w:sz="0" w:space="0" w:color="auto"/>
        <w:bottom w:val="none" w:sz="0" w:space="0" w:color="auto"/>
        <w:right w:val="none" w:sz="0" w:space="0" w:color="auto"/>
      </w:divBdr>
    </w:div>
    <w:div w:id="815419718">
      <w:bodyDiv w:val="1"/>
      <w:marLeft w:val="0"/>
      <w:marRight w:val="0"/>
      <w:marTop w:val="0"/>
      <w:marBottom w:val="0"/>
      <w:divBdr>
        <w:top w:val="none" w:sz="0" w:space="0" w:color="auto"/>
        <w:left w:val="none" w:sz="0" w:space="0" w:color="auto"/>
        <w:bottom w:val="none" w:sz="0" w:space="0" w:color="auto"/>
        <w:right w:val="none" w:sz="0" w:space="0" w:color="auto"/>
      </w:divBdr>
    </w:div>
    <w:div w:id="815487073">
      <w:bodyDiv w:val="1"/>
      <w:marLeft w:val="0"/>
      <w:marRight w:val="0"/>
      <w:marTop w:val="0"/>
      <w:marBottom w:val="0"/>
      <w:divBdr>
        <w:top w:val="none" w:sz="0" w:space="0" w:color="auto"/>
        <w:left w:val="none" w:sz="0" w:space="0" w:color="auto"/>
        <w:bottom w:val="none" w:sz="0" w:space="0" w:color="auto"/>
        <w:right w:val="none" w:sz="0" w:space="0" w:color="auto"/>
      </w:divBdr>
    </w:div>
    <w:div w:id="815604165">
      <w:bodyDiv w:val="1"/>
      <w:marLeft w:val="0"/>
      <w:marRight w:val="0"/>
      <w:marTop w:val="0"/>
      <w:marBottom w:val="0"/>
      <w:divBdr>
        <w:top w:val="none" w:sz="0" w:space="0" w:color="auto"/>
        <w:left w:val="none" w:sz="0" w:space="0" w:color="auto"/>
        <w:bottom w:val="none" w:sz="0" w:space="0" w:color="auto"/>
        <w:right w:val="none" w:sz="0" w:space="0" w:color="auto"/>
      </w:divBdr>
    </w:div>
    <w:div w:id="815608250">
      <w:bodyDiv w:val="1"/>
      <w:marLeft w:val="0"/>
      <w:marRight w:val="0"/>
      <w:marTop w:val="0"/>
      <w:marBottom w:val="0"/>
      <w:divBdr>
        <w:top w:val="none" w:sz="0" w:space="0" w:color="auto"/>
        <w:left w:val="none" w:sz="0" w:space="0" w:color="auto"/>
        <w:bottom w:val="none" w:sz="0" w:space="0" w:color="auto"/>
        <w:right w:val="none" w:sz="0" w:space="0" w:color="auto"/>
      </w:divBdr>
    </w:div>
    <w:div w:id="815609894">
      <w:bodyDiv w:val="1"/>
      <w:marLeft w:val="0"/>
      <w:marRight w:val="0"/>
      <w:marTop w:val="0"/>
      <w:marBottom w:val="0"/>
      <w:divBdr>
        <w:top w:val="none" w:sz="0" w:space="0" w:color="auto"/>
        <w:left w:val="none" w:sz="0" w:space="0" w:color="auto"/>
        <w:bottom w:val="none" w:sz="0" w:space="0" w:color="auto"/>
        <w:right w:val="none" w:sz="0" w:space="0" w:color="auto"/>
      </w:divBdr>
    </w:div>
    <w:div w:id="815686161">
      <w:bodyDiv w:val="1"/>
      <w:marLeft w:val="0"/>
      <w:marRight w:val="0"/>
      <w:marTop w:val="0"/>
      <w:marBottom w:val="0"/>
      <w:divBdr>
        <w:top w:val="none" w:sz="0" w:space="0" w:color="auto"/>
        <w:left w:val="none" w:sz="0" w:space="0" w:color="auto"/>
        <w:bottom w:val="none" w:sz="0" w:space="0" w:color="auto"/>
        <w:right w:val="none" w:sz="0" w:space="0" w:color="auto"/>
      </w:divBdr>
    </w:div>
    <w:div w:id="815686943">
      <w:bodyDiv w:val="1"/>
      <w:marLeft w:val="0"/>
      <w:marRight w:val="0"/>
      <w:marTop w:val="0"/>
      <w:marBottom w:val="0"/>
      <w:divBdr>
        <w:top w:val="none" w:sz="0" w:space="0" w:color="auto"/>
        <w:left w:val="none" w:sz="0" w:space="0" w:color="auto"/>
        <w:bottom w:val="none" w:sz="0" w:space="0" w:color="auto"/>
        <w:right w:val="none" w:sz="0" w:space="0" w:color="auto"/>
      </w:divBdr>
    </w:div>
    <w:div w:id="815726925">
      <w:bodyDiv w:val="1"/>
      <w:marLeft w:val="0"/>
      <w:marRight w:val="0"/>
      <w:marTop w:val="0"/>
      <w:marBottom w:val="0"/>
      <w:divBdr>
        <w:top w:val="none" w:sz="0" w:space="0" w:color="auto"/>
        <w:left w:val="none" w:sz="0" w:space="0" w:color="auto"/>
        <w:bottom w:val="none" w:sz="0" w:space="0" w:color="auto"/>
        <w:right w:val="none" w:sz="0" w:space="0" w:color="auto"/>
      </w:divBdr>
    </w:div>
    <w:div w:id="815804950">
      <w:bodyDiv w:val="1"/>
      <w:marLeft w:val="0"/>
      <w:marRight w:val="0"/>
      <w:marTop w:val="0"/>
      <w:marBottom w:val="0"/>
      <w:divBdr>
        <w:top w:val="none" w:sz="0" w:space="0" w:color="auto"/>
        <w:left w:val="none" w:sz="0" w:space="0" w:color="auto"/>
        <w:bottom w:val="none" w:sz="0" w:space="0" w:color="auto"/>
        <w:right w:val="none" w:sz="0" w:space="0" w:color="auto"/>
      </w:divBdr>
    </w:div>
    <w:div w:id="815880990">
      <w:bodyDiv w:val="1"/>
      <w:marLeft w:val="0"/>
      <w:marRight w:val="0"/>
      <w:marTop w:val="0"/>
      <w:marBottom w:val="0"/>
      <w:divBdr>
        <w:top w:val="none" w:sz="0" w:space="0" w:color="auto"/>
        <w:left w:val="none" w:sz="0" w:space="0" w:color="auto"/>
        <w:bottom w:val="none" w:sz="0" w:space="0" w:color="auto"/>
        <w:right w:val="none" w:sz="0" w:space="0" w:color="auto"/>
      </w:divBdr>
    </w:div>
    <w:div w:id="815882114">
      <w:bodyDiv w:val="1"/>
      <w:marLeft w:val="0"/>
      <w:marRight w:val="0"/>
      <w:marTop w:val="0"/>
      <w:marBottom w:val="0"/>
      <w:divBdr>
        <w:top w:val="none" w:sz="0" w:space="0" w:color="auto"/>
        <w:left w:val="none" w:sz="0" w:space="0" w:color="auto"/>
        <w:bottom w:val="none" w:sz="0" w:space="0" w:color="auto"/>
        <w:right w:val="none" w:sz="0" w:space="0" w:color="auto"/>
      </w:divBdr>
    </w:div>
    <w:div w:id="815996954">
      <w:bodyDiv w:val="1"/>
      <w:marLeft w:val="0"/>
      <w:marRight w:val="0"/>
      <w:marTop w:val="0"/>
      <w:marBottom w:val="0"/>
      <w:divBdr>
        <w:top w:val="none" w:sz="0" w:space="0" w:color="auto"/>
        <w:left w:val="none" w:sz="0" w:space="0" w:color="auto"/>
        <w:bottom w:val="none" w:sz="0" w:space="0" w:color="auto"/>
        <w:right w:val="none" w:sz="0" w:space="0" w:color="auto"/>
      </w:divBdr>
    </w:div>
    <w:div w:id="816074320">
      <w:bodyDiv w:val="1"/>
      <w:marLeft w:val="0"/>
      <w:marRight w:val="0"/>
      <w:marTop w:val="0"/>
      <w:marBottom w:val="0"/>
      <w:divBdr>
        <w:top w:val="none" w:sz="0" w:space="0" w:color="auto"/>
        <w:left w:val="none" w:sz="0" w:space="0" w:color="auto"/>
        <w:bottom w:val="none" w:sz="0" w:space="0" w:color="auto"/>
        <w:right w:val="none" w:sz="0" w:space="0" w:color="auto"/>
      </w:divBdr>
    </w:div>
    <w:div w:id="816147495">
      <w:bodyDiv w:val="1"/>
      <w:marLeft w:val="0"/>
      <w:marRight w:val="0"/>
      <w:marTop w:val="0"/>
      <w:marBottom w:val="0"/>
      <w:divBdr>
        <w:top w:val="none" w:sz="0" w:space="0" w:color="auto"/>
        <w:left w:val="none" w:sz="0" w:space="0" w:color="auto"/>
        <w:bottom w:val="none" w:sz="0" w:space="0" w:color="auto"/>
        <w:right w:val="none" w:sz="0" w:space="0" w:color="auto"/>
      </w:divBdr>
    </w:div>
    <w:div w:id="816266056">
      <w:bodyDiv w:val="1"/>
      <w:marLeft w:val="0"/>
      <w:marRight w:val="0"/>
      <w:marTop w:val="0"/>
      <w:marBottom w:val="0"/>
      <w:divBdr>
        <w:top w:val="none" w:sz="0" w:space="0" w:color="auto"/>
        <w:left w:val="none" w:sz="0" w:space="0" w:color="auto"/>
        <w:bottom w:val="none" w:sz="0" w:space="0" w:color="auto"/>
        <w:right w:val="none" w:sz="0" w:space="0" w:color="auto"/>
      </w:divBdr>
    </w:div>
    <w:div w:id="816335889">
      <w:bodyDiv w:val="1"/>
      <w:marLeft w:val="0"/>
      <w:marRight w:val="0"/>
      <w:marTop w:val="0"/>
      <w:marBottom w:val="0"/>
      <w:divBdr>
        <w:top w:val="none" w:sz="0" w:space="0" w:color="auto"/>
        <w:left w:val="none" w:sz="0" w:space="0" w:color="auto"/>
        <w:bottom w:val="none" w:sz="0" w:space="0" w:color="auto"/>
        <w:right w:val="none" w:sz="0" w:space="0" w:color="auto"/>
      </w:divBdr>
    </w:div>
    <w:div w:id="816340834">
      <w:bodyDiv w:val="1"/>
      <w:marLeft w:val="0"/>
      <w:marRight w:val="0"/>
      <w:marTop w:val="0"/>
      <w:marBottom w:val="0"/>
      <w:divBdr>
        <w:top w:val="none" w:sz="0" w:space="0" w:color="auto"/>
        <w:left w:val="none" w:sz="0" w:space="0" w:color="auto"/>
        <w:bottom w:val="none" w:sz="0" w:space="0" w:color="auto"/>
        <w:right w:val="none" w:sz="0" w:space="0" w:color="auto"/>
      </w:divBdr>
    </w:div>
    <w:div w:id="816528622">
      <w:bodyDiv w:val="1"/>
      <w:marLeft w:val="0"/>
      <w:marRight w:val="0"/>
      <w:marTop w:val="0"/>
      <w:marBottom w:val="0"/>
      <w:divBdr>
        <w:top w:val="none" w:sz="0" w:space="0" w:color="auto"/>
        <w:left w:val="none" w:sz="0" w:space="0" w:color="auto"/>
        <w:bottom w:val="none" w:sz="0" w:space="0" w:color="auto"/>
        <w:right w:val="none" w:sz="0" w:space="0" w:color="auto"/>
      </w:divBdr>
    </w:div>
    <w:div w:id="816532637">
      <w:bodyDiv w:val="1"/>
      <w:marLeft w:val="0"/>
      <w:marRight w:val="0"/>
      <w:marTop w:val="0"/>
      <w:marBottom w:val="0"/>
      <w:divBdr>
        <w:top w:val="none" w:sz="0" w:space="0" w:color="auto"/>
        <w:left w:val="none" w:sz="0" w:space="0" w:color="auto"/>
        <w:bottom w:val="none" w:sz="0" w:space="0" w:color="auto"/>
        <w:right w:val="none" w:sz="0" w:space="0" w:color="auto"/>
      </w:divBdr>
    </w:div>
    <w:div w:id="816537009">
      <w:bodyDiv w:val="1"/>
      <w:marLeft w:val="0"/>
      <w:marRight w:val="0"/>
      <w:marTop w:val="0"/>
      <w:marBottom w:val="0"/>
      <w:divBdr>
        <w:top w:val="none" w:sz="0" w:space="0" w:color="auto"/>
        <w:left w:val="none" w:sz="0" w:space="0" w:color="auto"/>
        <w:bottom w:val="none" w:sz="0" w:space="0" w:color="auto"/>
        <w:right w:val="none" w:sz="0" w:space="0" w:color="auto"/>
      </w:divBdr>
    </w:div>
    <w:div w:id="816610362">
      <w:bodyDiv w:val="1"/>
      <w:marLeft w:val="0"/>
      <w:marRight w:val="0"/>
      <w:marTop w:val="0"/>
      <w:marBottom w:val="0"/>
      <w:divBdr>
        <w:top w:val="none" w:sz="0" w:space="0" w:color="auto"/>
        <w:left w:val="none" w:sz="0" w:space="0" w:color="auto"/>
        <w:bottom w:val="none" w:sz="0" w:space="0" w:color="auto"/>
        <w:right w:val="none" w:sz="0" w:space="0" w:color="auto"/>
      </w:divBdr>
    </w:div>
    <w:div w:id="816645970">
      <w:bodyDiv w:val="1"/>
      <w:marLeft w:val="0"/>
      <w:marRight w:val="0"/>
      <w:marTop w:val="0"/>
      <w:marBottom w:val="0"/>
      <w:divBdr>
        <w:top w:val="none" w:sz="0" w:space="0" w:color="auto"/>
        <w:left w:val="none" w:sz="0" w:space="0" w:color="auto"/>
        <w:bottom w:val="none" w:sz="0" w:space="0" w:color="auto"/>
        <w:right w:val="none" w:sz="0" w:space="0" w:color="auto"/>
      </w:divBdr>
    </w:div>
    <w:div w:id="816648614">
      <w:bodyDiv w:val="1"/>
      <w:marLeft w:val="0"/>
      <w:marRight w:val="0"/>
      <w:marTop w:val="0"/>
      <w:marBottom w:val="0"/>
      <w:divBdr>
        <w:top w:val="none" w:sz="0" w:space="0" w:color="auto"/>
        <w:left w:val="none" w:sz="0" w:space="0" w:color="auto"/>
        <w:bottom w:val="none" w:sz="0" w:space="0" w:color="auto"/>
        <w:right w:val="none" w:sz="0" w:space="0" w:color="auto"/>
      </w:divBdr>
    </w:div>
    <w:div w:id="816802491">
      <w:bodyDiv w:val="1"/>
      <w:marLeft w:val="0"/>
      <w:marRight w:val="0"/>
      <w:marTop w:val="0"/>
      <w:marBottom w:val="0"/>
      <w:divBdr>
        <w:top w:val="none" w:sz="0" w:space="0" w:color="auto"/>
        <w:left w:val="none" w:sz="0" w:space="0" w:color="auto"/>
        <w:bottom w:val="none" w:sz="0" w:space="0" w:color="auto"/>
        <w:right w:val="none" w:sz="0" w:space="0" w:color="auto"/>
      </w:divBdr>
    </w:div>
    <w:div w:id="816989899">
      <w:bodyDiv w:val="1"/>
      <w:marLeft w:val="0"/>
      <w:marRight w:val="0"/>
      <w:marTop w:val="0"/>
      <w:marBottom w:val="0"/>
      <w:divBdr>
        <w:top w:val="none" w:sz="0" w:space="0" w:color="auto"/>
        <w:left w:val="none" w:sz="0" w:space="0" w:color="auto"/>
        <w:bottom w:val="none" w:sz="0" w:space="0" w:color="auto"/>
        <w:right w:val="none" w:sz="0" w:space="0" w:color="auto"/>
      </w:divBdr>
    </w:div>
    <w:div w:id="816998579">
      <w:bodyDiv w:val="1"/>
      <w:marLeft w:val="0"/>
      <w:marRight w:val="0"/>
      <w:marTop w:val="0"/>
      <w:marBottom w:val="0"/>
      <w:divBdr>
        <w:top w:val="none" w:sz="0" w:space="0" w:color="auto"/>
        <w:left w:val="none" w:sz="0" w:space="0" w:color="auto"/>
        <w:bottom w:val="none" w:sz="0" w:space="0" w:color="auto"/>
        <w:right w:val="none" w:sz="0" w:space="0" w:color="auto"/>
      </w:divBdr>
    </w:div>
    <w:div w:id="817039993">
      <w:bodyDiv w:val="1"/>
      <w:marLeft w:val="0"/>
      <w:marRight w:val="0"/>
      <w:marTop w:val="0"/>
      <w:marBottom w:val="0"/>
      <w:divBdr>
        <w:top w:val="none" w:sz="0" w:space="0" w:color="auto"/>
        <w:left w:val="none" w:sz="0" w:space="0" w:color="auto"/>
        <w:bottom w:val="none" w:sz="0" w:space="0" w:color="auto"/>
        <w:right w:val="none" w:sz="0" w:space="0" w:color="auto"/>
      </w:divBdr>
    </w:div>
    <w:div w:id="817110106">
      <w:bodyDiv w:val="1"/>
      <w:marLeft w:val="0"/>
      <w:marRight w:val="0"/>
      <w:marTop w:val="0"/>
      <w:marBottom w:val="0"/>
      <w:divBdr>
        <w:top w:val="none" w:sz="0" w:space="0" w:color="auto"/>
        <w:left w:val="none" w:sz="0" w:space="0" w:color="auto"/>
        <w:bottom w:val="none" w:sz="0" w:space="0" w:color="auto"/>
        <w:right w:val="none" w:sz="0" w:space="0" w:color="auto"/>
      </w:divBdr>
    </w:div>
    <w:div w:id="817112912">
      <w:bodyDiv w:val="1"/>
      <w:marLeft w:val="0"/>
      <w:marRight w:val="0"/>
      <w:marTop w:val="0"/>
      <w:marBottom w:val="0"/>
      <w:divBdr>
        <w:top w:val="none" w:sz="0" w:space="0" w:color="auto"/>
        <w:left w:val="none" w:sz="0" w:space="0" w:color="auto"/>
        <w:bottom w:val="none" w:sz="0" w:space="0" w:color="auto"/>
        <w:right w:val="none" w:sz="0" w:space="0" w:color="auto"/>
      </w:divBdr>
    </w:div>
    <w:div w:id="817190449">
      <w:bodyDiv w:val="1"/>
      <w:marLeft w:val="0"/>
      <w:marRight w:val="0"/>
      <w:marTop w:val="0"/>
      <w:marBottom w:val="0"/>
      <w:divBdr>
        <w:top w:val="none" w:sz="0" w:space="0" w:color="auto"/>
        <w:left w:val="none" w:sz="0" w:space="0" w:color="auto"/>
        <w:bottom w:val="none" w:sz="0" w:space="0" w:color="auto"/>
        <w:right w:val="none" w:sz="0" w:space="0" w:color="auto"/>
      </w:divBdr>
    </w:div>
    <w:div w:id="817499496">
      <w:bodyDiv w:val="1"/>
      <w:marLeft w:val="0"/>
      <w:marRight w:val="0"/>
      <w:marTop w:val="0"/>
      <w:marBottom w:val="0"/>
      <w:divBdr>
        <w:top w:val="none" w:sz="0" w:space="0" w:color="auto"/>
        <w:left w:val="none" w:sz="0" w:space="0" w:color="auto"/>
        <w:bottom w:val="none" w:sz="0" w:space="0" w:color="auto"/>
        <w:right w:val="none" w:sz="0" w:space="0" w:color="auto"/>
      </w:divBdr>
    </w:div>
    <w:div w:id="817572120">
      <w:bodyDiv w:val="1"/>
      <w:marLeft w:val="0"/>
      <w:marRight w:val="0"/>
      <w:marTop w:val="0"/>
      <w:marBottom w:val="0"/>
      <w:divBdr>
        <w:top w:val="none" w:sz="0" w:space="0" w:color="auto"/>
        <w:left w:val="none" w:sz="0" w:space="0" w:color="auto"/>
        <w:bottom w:val="none" w:sz="0" w:space="0" w:color="auto"/>
        <w:right w:val="none" w:sz="0" w:space="0" w:color="auto"/>
      </w:divBdr>
    </w:div>
    <w:div w:id="817693804">
      <w:bodyDiv w:val="1"/>
      <w:marLeft w:val="0"/>
      <w:marRight w:val="0"/>
      <w:marTop w:val="0"/>
      <w:marBottom w:val="0"/>
      <w:divBdr>
        <w:top w:val="none" w:sz="0" w:space="0" w:color="auto"/>
        <w:left w:val="none" w:sz="0" w:space="0" w:color="auto"/>
        <w:bottom w:val="none" w:sz="0" w:space="0" w:color="auto"/>
        <w:right w:val="none" w:sz="0" w:space="0" w:color="auto"/>
      </w:divBdr>
    </w:div>
    <w:div w:id="817767331">
      <w:bodyDiv w:val="1"/>
      <w:marLeft w:val="0"/>
      <w:marRight w:val="0"/>
      <w:marTop w:val="0"/>
      <w:marBottom w:val="0"/>
      <w:divBdr>
        <w:top w:val="none" w:sz="0" w:space="0" w:color="auto"/>
        <w:left w:val="none" w:sz="0" w:space="0" w:color="auto"/>
        <w:bottom w:val="none" w:sz="0" w:space="0" w:color="auto"/>
        <w:right w:val="none" w:sz="0" w:space="0" w:color="auto"/>
      </w:divBdr>
    </w:div>
    <w:div w:id="817769810">
      <w:bodyDiv w:val="1"/>
      <w:marLeft w:val="0"/>
      <w:marRight w:val="0"/>
      <w:marTop w:val="0"/>
      <w:marBottom w:val="0"/>
      <w:divBdr>
        <w:top w:val="none" w:sz="0" w:space="0" w:color="auto"/>
        <w:left w:val="none" w:sz="0" w:space="0" w:color="auto"/>
        <w:bottom w:val="none" w:sz="0" w:space="0" w:color="auto"/>
        <w:right w:val="none" w:sz="0" w:space="0" w:color="auto"/>
      </w:divBdr>
    </w:div>
    <w:div w:id="817844812">
      <w:bodyDiv w:val="1"/>
      <w:marLeft w:val="0"/>
      <w:marRight w:val="0"/>
      <w:marTop w:val="0"/>
      <w:marBottom w:val="0"/>
      <w:divBdr>
        <w:top w:val="none" w:sz="0" w:space="0" w:color="auto"/>
        <w:left w:val="none" w:sz="0" w:space="0" w:color="auto"/>
        <w:bottom w:val="none" w:sz="0" w:space="0" w:color="auto"/>
        <w:right w:val="none" w:sz="0" w:space="0" w:color="auto"/>
      </w:divBdr>
    </w:div>
    <w:div w:id="817890049">
      <w:bodyDiv w:val="1"/>
      <w:marLeft w:val="0"/>
      <w:marRight w:val="0"/>
      <w:marTop w:val="0"/>
      <w:marBottom w:val="0"/>
      <w:divBdr>
        <w:top w:val="none" w:sz="0" w:space="0" w:color="auto"/>
        <w:left w:val="none" w:sz="0" w:space="0" w:color="auto"/>
        <w:bottom w:val="none" w:sz="0" w:space="0" w:color="auto"/>
        <w:right w:val="none" w:sz="0" w:space="0" w:color="auto"/>
      </w:divBdr>
    </w:div>
    <w:div w:id="817962444">
      <w:bodyDiv w:val="1"/>
      <w:marLeft w:val="0"/>
      <w:marRight w:val="0"/>
      <w:marTop w:val="0"/>
      <w:marBottom w:val="0"/>
      <w:divBdr>
        <w:top w:val="none" w:sz="0" w:space="0" w:color="auto"/>
        <w:left w:val="none" w:sz="0" w:space="0" w:color="auto"/>
        <w:bottom w:val="none" w:sz="0" w:space="0" w:color="auto"/>
        <w:right w:val="none" w:sz="0" w:space="0" w:color="auto"/>
      </w:divBdr>
    </w:div>
    <w:div w:id="818032168">
      <w:bodyDiv w:val="1"/>
      <w:marLeft w:val="0"/>
      <w:marRight w:val="0"/>
      <w:marTop w:val="0"/>
      <w:marBottom w:val="0"/>
      <w:divBdr>
        <w:top w:val="none" w:sz="0" w:space="0" w:color="auto"/>
        <w:left w:val="none" w:sz="0" w:space="0" w:color="auto"/>
        <w:bottom w:val="none" w:sz="0" w:space="0" w:color="auto"/>
        <w:right w:val="none" w:sz="0" w:space="0" w:color="auto"/>
      </w:divBdr>
    </w:div>
    <w:div w:id="818035192">
      <w:bodyDiv w:val="1"/>
      <w:marLeft w:val="0"/>
      <w:marRight w:val="0"/>
      <w:marTop w:val="0"/>
      <w:marBottom w:val="0"/>
      <w:divBdr>
        <w:top w:val="none" w:sz="0" w:space="0" w:color="auto"/>
        <w:left w:val="none" w:sz="0" w:space="0" w:color="auto"/>
        <w:bottom w:val="none" w:sz="0" w:space="0" w:color="auto"/>
        <w:right w:val="none" w:sz="0" w:space="0" w:color="auto"/>
      </w:divBdr>
    </w:div>
    <w:div w:id="818116196">
      <w:bodyDiv w:val="1"/>
      <w:marLeft w:val="0"/>
      <w:marRight w:val="0"/>
      <w:marTop w:val="0"/>
      <w:marBottom w:val="0"/>
      <w:divBdr>
        <w:top w:val="none" w:sz="0" w:space="0" w:color="auto"/>
        <w:left w:val="none" w:sz="0" w:space="0" w:color="auto"/>
        <w:bottom w:val="none" w:sz="0" w:space="0" w:color="auto"/>
        <w:right w:val="none" w:sz="0" w:space="0" w:color="auto"/>
      </w:divBdr>
    </w:div>
    <w:div w:id="818154338">
      <w:bodyDiv w:val="1"/>
      <w:marLeft w:val="0"/>
      <w:marRight w:val="0"/>
      <w:marTop w:val="0"/>
      <w:marBottom w:val="0"/>
      <w:divBdr>
        <w:top w:val="none" w:sz="0" w:space="0" w:color="auto"/>
        <w:left w:val="none" w:sz="0" w:space="0" w:color="auto"/>
        <w:bottom w:val="none" w:sz="0" w:space="0" w:color="auto"/>
        <w:right w:val="none" w:sz="0" w:space="0" w:color="auto"/>
      </w:divBdr>
    </w:div>
    <w:div w:id="818155271">
      <w:bodyDiv w:val="1"/>
      <w:marLeft w:val="0"/>
      <w:marRight w:val="0"/>
      <w:marTop w:val="0"/>
      <w:marBottom w:val="0"/>
      <w:divBdr>
        <w:top w:val="none" w:sz="0" w:space="0" w:color="auto"/>
        <w:left w:val="none" w:sz="0" w:space="0" w:color="auto"/>
        <w:bottom w:val="none" w:sz="0" w:space="0" w:color="auto"/>
        <w:right w:val="none" w:sz="0" w:space="0" w:color="auto"/>
      </w:divBdr>
    </w:div>
    <w:div w:id="818426633">
      <w:bodyDiv w:val="1"/>
      <w:marLeft w:val="0"/>
      <w:marRight w:val="0"/>
      <w:marTop w:val="0"/>
      <w:marBottom w:val="0"/>
      <w:divBdr>
        <w:top w:val="none" w:sz="0" w:space="0" w:color="auto"/>
        <w:left w:val="none" w:sz="0" w:space="0" w:color="auto"/>
        <w:bottom w:val="none" w:sz="0" w:space="0" w:color="auto"/>
        <w:right w:val="none" w:sz="0" w:space="0" w:color="auto"/>
      </w:divBdr>
    </w:div>
    <w:div w:id="818575590">
      <w:bodyDiv w:val="1"/>
      <w:marLeft w:val="0"/>
      <w:marRight w:val="0"/>
      <w:marTop w:val="0"/>
      <w:marBottom w:val="0"/>
      <w:divBdr>
        <w:top w:val="none" w:sz="0" w:space="0" w:color="auto"/>
        <w:left w:val="none" w:sz="0" w:space="0" w:color="auto"/>
        <w:bottom w:val="none" w:sz="0" w:space="0" w:color="auto"/>
        <w:right w:val="none" w:sz="0" w:space="0" w:color="auto"/>
      </w:divBdr>
    </w:div>
    <w:div w:id="818690168">
      <w:bodyDiv w:val="1"/>
      <w:marLeft w:val="0"/>
      <w:marRight w:val="0"/>
      <w:marTop w:val="0"/>
      <w:marBottom w:val="0"/>
      <w:divBdr>
        <w:top w:val="none" w:sz="0" w:space="0" w:color="auto"/>
        <w:left w:val="none" w:sz="0" w:space="0" w:color="auto"/>
        <w:bottom w:val="none" w:sz="0" w:space="0" w:color="auto"/>
        <w:right w:val="none" w:sz="0" w:space="0" w:color="auto"/>
      </w:divBdr>
    </w:div>
    <w:div w:id="818768429">
      <w:bodyDiv w:val="1"/>
      <w:marLeft w:val="0"/>
      <w:marRight w:val="0"/>
      <w:marTop w:val="0"/>
      <w:marBottom w:val="0"/>
      <w:divBdr>
        <w:top w:val="none" w:sz="0" w:space="0" w:color="auto"/>
        <w:left w:val="none" w:sz="0" w:space="0" w:color="auto"/>
        <w:bottom w:val="none" w:sz="0" w:space="0" w:color="auto"/>
        <w:right w:val="none" w:sz="0" w:space="0" w:color="auto"/>
      </w:divBdr>
    </w:div>
    <w:div w:id="818771384">
      <w:bodyDiv w:val="1"/>
      <w:marLeft w:val="0"/>
      <w:marRight w:val="0"/>
      <w:marTop w:val="0"/>
      <w:marBottom w:val="0"/>
      <w:divBdr>
        <w:top w:val="none" w:sz="0" w:space="0" w:color="auto"/>
        <w:left w:val="none" w:sz="0" w:space="0" w:color="auto"/>
        <w:bottom w:val="none" w:sz="0" w:space="0" w:color="auto"/>
        <w:right w:val="none" w:sz="0" w:space="0" w:color="auto"/>
      </w:divBdr>
    </w:div>
    <w:div w:id="818955860">
      <w:bodyDiv w:val="1"/>
      <w:marLeft w:val="0"/>
      <w:marRight w:val="0"/>
      <w:marTop w:val="0"/>
      <w:marBottom w:val="0"/>
      <w:divBdr>
        <w:top w:val="none" w:sz="0" w:space="0" w:color="auto"/>
        <w:left w:val="none" w:sz="0" w:space="0" w:color="auto"/>
        <w:bottom w:val="none" w:sz="0" w:space="0" w:color="auto"/>
        <w:right w:val="none" w:sz="0" w:space="0" w:color="auto"/>
      </w:divBdr>
    </w:div>
    <w:div w:id="818965274">
      <w:bodyDiv w:val="1"/>
      <w:marLeft w:val="0"/>
      <w:marRight w:val="0"/>
      <w:marTop w:val="0"/>
      <w:marBottom w:val="0"/>
      <w:divBdr>
        <w:top w:val="none" w:sz="0" w:space="0" w:color="auto"/>
        <w:left w:val="none" w:sz="0" w:space="0" w:color="auto"/>
        <w:bottom w:val="none" w:sz="0" w:space="0" w:color="auto"/>
        <w:right w:val="none" w:sz="0" w:space="0" w:color="auto"/>
      </w:divBdr>
    </w:div>
    <w:div w:id="819006253">
      <w:bodyDiv w:val="1"/>
      <w:marLeft w:val="0"/>
      <w:marRight w:val="0"/>
      <w:marTop w:val="0"/>
      <w:marBottom w:val="0"/>
      <w:divBdr>
        <w:top w:val="none" w:sz="0" w:space="0" w:color="auto"/>
        <w:left w:val="none" w:sz="0" w:space="0" w:color="auto"/>
        <w:bottom w:val="none" w:sz="0" w:space="0" w:color="auto"/>
        <w:right w:val="none" w:sz="0" w:space="0" w:color="auto"/>
      </w:divBdr>
    </w:div>
    <w:div w:id="819074633">
      <w:bodyDiv w:val="1"/>
      <w:marLeft w:val="0"/>
      <w:marRight w:val="0"/>
      <w:marTop w:val="0"/>
      <w:marBottom w:val="0"/>
      <w:divBdr>
        <w:top w:val="none" w:sz="0" w:space="0" w:color="auto"/>
        <w:left w:val="none" w:sz="0" w:space="0" w:color="auto"/>
        <w:bottom w:val="none" w:sz="0" w:space="0" w:color="auto"/>
        <w:right w:val="none" w:sz="0" w:space="0" w:color="auto"/>
      </w:divBdr>
    </w:div>
    <w:div w:id="819076938">
      <w:bodyDiv w:val="1"/>
      <w:marLeft w:val="0"/>
      <w:marRight w:val="0"/>
      <w:marTop w:val="0"/>
      <w:marBottom w:val="0"/>
      <w:divBdr>
        <w:top w:val="none" w:sz="0" w:space="0" w:color="auto"/>
        <w:left w:val="none" w:sz="0" w:space="0" w:color="auto"/>
        <w:bottom w:val="none" w:sz="0" w:space="0" w:color="auto"/>
        <w:right w:val="none" w:sz="0" w:space="0" w:color="auto"/>
      </w:divBdr>
    </w:div>
    <w:div w:id="819078115">
      <w:bodyDiv w:val="1"/>
      <w:marLeft w:val="0"/>
      <w:marRight w:val="0"/>
      <w:marTop w:val="0"/>
      <w:marBottom w:val="0"/>
      <w:divBdr>
        <w:top w:val="none" w:sz="0" w:space="0" w:color="auto"/>
        <w:left w:val="none" w:sz="0" w:space="0" w:color="auto"/>
        <w:bottom w:val="none" w:sz="0" w:space="0" w:color="auto"/>
        <w:right w:val="none" w:sz="0" w:space="0" w:color="auto"/>
      </w:divBdr>
    </w:div>
    <w:div w:id="819150982">
      <w:bodyDiv w:val="1"/>
      <w:marLeft w:val="0"/>
      <w:marRight w:val="0"/>
      <w:marTop w:val="0"/>
      <w:marBottom w:val="0"/>
      <w:divBdr>
        <w:top w:val="none" w:sz="0" w:space="0" w:color="auto"/>
        <w:left w:val="none" w:sz="0" w:space="0" w:color="auto"/>
        <w:bottom w:val="none" w:sz="0" w:space="0" w:color="auto"/>
        <w:right w:val="none" w:sz="0" w:space="0" w:color="auto"/>
      </w:divBdr>
    </w:div>
    <w:div w:id="819227831">
      <w:bodyDiv w:val="1"/>
      <w:marLeft w:val="0"/>
      <w:marRight w:val="0"/>
      <w:marTop w:val="0"/>
      <w:marBottom w:val="0"/>
      <w:divBdr>
        <w:top w:val="none" w:sz="0" w:space="0" w:color="auto"/>
        <w:left w:val="none" w:sz="0" w:space="0" w:color="auto"/>
        <w:bottom w:val="none" w:sz="0" w:space="0" w:color="auto"/>
        <w:right w:val="none" w:sz="0" w:space="0" w:color="auto"/>
      </w:divBdr>
    </w:div>
    <w:div w:id="819270369">
      <w:bodyDiv w:val="1"/>
      <w:marLeft w:val="0"/>
      <w:marRight w:val="0"/>
      <w:marTop w:val="0"/>
      <w:marBottom w:val="0"/>
      <w:divBdr>
        <w:top w:val="none" w:sz="0" w:space="0" w:color="auto"/>
        <w:left w:val="none" w:sz="0" w:space="0" w:color="auto"/>
        <w:bottom w:val="none" w:sz="0" w:space="0" w:color="auto"/>
        <w:right w:val="none" w:sz="0" w:space="0" w:color="auto"/>
      </w:divBdr>
    </w:div>
    <w:div w:id="819344646">
      <w:bodyDiv w:val="1"/>
      <w:marLeft w:val="0"/>
      <w:marRight w:val="0"/>
      <w:marTop w:val="0"/>
      <w:marBottom w:val="0"/>
      <w:divBdr>
        <w:top w:val="none" w:sz="0" w:space="0" w:color="auto"/>
        <w:left w:val="none" w:sz="0" w:space="0" w:color="auto"/>
        <w:bottom w:val="none" w:sz="0" w:space="0" w:color="auto"/>
        <w:right w:val="none" w:sz="0" w:space="0" w:color="auto"/>
      </w:divBdr>
    </w:div>
    <w:div w:id="819346405">
      <w:bodyDiv w:val="1"/>
      <w:marLeft w:val="0"/>
      <w:marRight w:val="0"/>
      <w:marTop w:val="0"/>
      <w:marBottom w:val="0"/>
      <w:divBdr>
        <w:top w:val="none" w:sz="0" w:space="0" w:color="auto"/>
        <w:left w:val="none" w:sz="0" w:space="0" w:color="auto"/>
        <w:bottom w:val="none" w:sz="0" w:space="0" w:color="auto"/>
        <w:right w:val="none" w:sz="0" w:space="0" w:color="auto"/>
      </w:divBdr>
    </w:div>
    <w:div w:id="819418298">
      <w:bodyDiv w:val="1"/>
      <w:marLeft w:val="0"/>
      <w:marRight w:val="0"/>
      <w:marTop w:val="0"/>
      <w:marBottom w:val="0"/>
      <w:divBdr>
        <w:top w:val="none" w:sz="0" w:space="0" w:color="auto"/>
        <w:left w:val="none" w:sz="0" w:space="0" w:color="auto"/>
        <w:bottom w:val="none" w:sz="0" w:space="0" w:color="auto"/>
        <w:right w:val="none" w:sz="0" w:space="0" w:color="auto"/>
      </w:divBdr>
    </w:div>
    <w:div w:id="819419011">
      <w:bodyDiv w:val="1"/>
      <w:marLeft w:val="0"/>
      <w:marRight w:val="0"/>
      <w:marTop w:val="0"/>
      <w:marBottom w:val="0"/>
      <w:divBdr>
        <w:top w:val="none" w:sz="0" w:space="0" w:color="auto"/>
        <w:left w:val="none" w:sz="0" w:space="0" w:color="auto"/>
        <w:bottom w:val="none" w:sz="0" w:space="0" w:color="auto"/>
        <w:right w:val="none" w:sz="0" w:space="0" w:color="auto"/>
      </w:divBdr>
    </w:div>
    <w:div w:id="819462293">
      <w:bodyDiv w:val="1"/>
      <w:marLeft w:val="0"/>
      <w:marRight w:val="0"/>
      <w:marTop w:val="0"/>
      <w:marBottom w:val="0"/>
      <w:divBdr>
        <w:top w:val="none" w:sz="0" w:space="0" w:color="auto"/>
        <w:left w:val="none" w:sz="0" w:space="0" w:color="auto"/>
        <w:bottom w:val="none" w:sz="0" w:space="0" w:color="auto"/>
        <w:right w:val="none" w:sz="0" w:space="0" w:color="auto"/>
      </w:divBdr>
    </w:div>
    <w:div w:id="819541266">
      <w:bodyDiv w:val="1"/>
      <w:marLeft w:val="0"/>
      <w:marRight w:val="0"/>
      <w:marTop w:val="0"/>
      <w:marBottom w:val="0"/>
      <w:divBdr>
        <w:top w:val="none" w:sz="0" w:space="0" w:color="auto"/>
        <w:left w:val="none" w:sz="0" w:space="0" w:color="auto"/>
        <w:bottom w:val="none" w:sz="0" w:space="0" w:color="auto"/>
        <w:right w:val="none" w:sz="0" w:space="0" w:color="auto"/>
      </w:divBdr>
    </w:div>
    <w:div w:id="819686492">
      <w:bodyDiv w:val="1"/>
      <w:marLeft w:val="0"/>
      <w:marRight w:val="0"/>
      <w:marTop w:val="0"/>
      <w:marBottom w:val="0"/>
      <w:divBdr>
        <w:top w:val="none" w:sz="0" w:space="0" w:color="auto"/>
        <w:left w:val="none" w:sz="0" w:space="0" w:color="auto"/>
        <w:bottom w:val="none" w:sz="0" w:space="0" w:color="auto"/>
        <w:right w:val="none" w:sz="0" w:space="0" w:color="auto"/>
      </w:divBdr>
    </w:div>
    <w:div w:id="819729116">
      <w:bodyDiv w:val="1"/>
      <w:marLeft w:val="0"/>
      <w:marRight w:val="0"/>
      <w:marTop w:val="0"/>
      <w:marBottom w:val="0"/>
      <w:divBdr>
        <w:top w:val="none" w:sz="0" w:space="0" w:color="auto"/>
        <w:left w:val="none" w:sz="0" w:space="0" w:color="auto"/>
        <w:bottom w:val="none" w:sz="0" w:space="0" w:color="auto"/>
        <w:right w:val="none" w:sz="0" w:space="0" w:color="auto"/>
      </w:divBdr>
    </w:div>
    <w:div w:id="819735919">
      <w:bodyDiv w:val="1"/>
      <w:marLeft w:val="0"/>
      <w:marRight w:val="0"/>
      <w:marTop w:val="0"/>
      <w:marBottom w:val="0"/>
      <w:divBdr>
        <w:top w:val="none" w:sz="0" w:space="0" w:color="auto"/>
        <w:left w:val="none" w:sz="0" w:space="0" w:color="auto"/>
        <w:bottom w:val="none" w:sz="0" w:space="0" w:color="auto"/>
        <w:right w:val="none" w:sz="0" w:space="0" w:color="auto"/>
      </w:divBdr>
    </w:div>
    <w:div w:id="819805391">
      <w:bodyDiv w:val="1"/>
      <w:marLeft w:val="0"/>
      <w:marRight w:val="0"/>
      <w:marTop w:val="0"/>
      <w:marBottom w:val="0"/>
      <w:divBdr>
        <w:top w:val="none" w:sz="0" w:space="0" w:color="auto"/>
        <w:left w:val="none" w:sz="0" w:space="0" w:color="auto"/>
        <w:bottom w:val="none" w:sz="0" w:space="0" w:color="auto"/>
        <w:right w:val="none" w:sz="0" w:space="0" w:color="auto"/>
      </w:divBdr>
    </w:div>
    <w:div w:id="819887362">
      <w:bodyDiv w:val="1"/>
      <w:marLeft w:val="0"/>
      <w:marRight w:val="0"/>
      <w:marTop w:val="0"/>
      <w:marBottom w:val="0"/>
      <w:divBdr>
        <w:top w:val="none" w:sz="0" w:space="0" w:color="auto"/>
        <w:left w:val="none" w:sz="0" w:space="0" w:color="auto"/>
        <w:bottom w:val="none" w:sz="0" w:space="0" w:color="auto"/>
        <w:right w:val="none" w:sz="0" w:space="0" w:color="auto"/>
      </w:divBdr>
    </w:div>
    <w:div w:id="819887946">
      <w:bodyDiv w:val="1"/>
      <w:marLeft w:val="0"/>
      <w:marRight w:val="0"/>
      <w:marTop w:val="0"/>
      <w:marBottom w:val="0"/>
      <w:divBdr>
        <w:top w:val="none" w:sz="0" w:space="0" w:color="auto"/>
        <w:left w:val="none" w:sz="0" w:space="0" w:color="auto"/>
        <w:bottom w:val="none" w:sz="0" w:space="0" w:color="auto"/>
        <w:right w:val="none" w:sz="0" w:space="0" w:color="auto"/>
      </w:divBdr>
    </w:div>
    <w:div w:id="820072922">
      <w:bodyDiv w:val="1"/>
      <w:marLeft w:val="0"/>
      <w:marRight w:val="0"/>
      <w:marTop w:val="0"/>
      <w:marBottom w:val="0"/>
      <w:divBdr>
        <w:top w:val="none" w:sz="0" w:space="0" w:color="auto"/>
        <w:left w:val="none" w:sz="0" w:space="0" w:color="auto"/>
        <w:bottom w:val="none" w:sz="0" w:space="0" w:color="auto"/>
        <w:right w:val="none" w:sz="0" w:space="0" w:color="auto"/>
      </w:divBdr>
    </w:div>
    <w:div w:id="820117550">
      <w:bodyDiv w:val="1"/>
      <w:marLeft w:val="0"/>
      <w:marRight w:val="0"/>
      <w:marTop w:val="0"/>
      <w:marBottom w:val="0"/>
      <w:divBdr>
        <w:top w:val="none" w:sz="0" w:space="0" w:color="auto"/>
        <w:left w:val="none" w:sz="0" w:space="0" w:color="auto"/>
        <w:bottom w:val="none" w:sz="0" w:space="0" w:color="auto"/>
        <w:right w:val="none" w:sz="0" w:space="0" w:color="auto"/>
      </w:divBdr>
    </w:div>
    <w:div w:id="820119355">
      <w:bodyDiv w:val="1"/>
      <w:marLeft w:val="0"/>
      <w:marRight w:val="0"/>
      <w:marTop w:val="0"/>
      <w:marBottom w:val="0"/>
      <w:divBdr>
        <w:top w:val="none" w:sz="0" w:space="0" w:color="auto"/>
        <w:left w:val="none" w:sz="0" w:space="0" w:color="auto"/>
        <w:bottom w:val="none" w:sz="0" w:space="0" w:color="auto"/>
        <w:right w:val="none" w:sz="0" w:space="0" w:color="auto"/>
      </w:divBdr>
    </w:div>
    <w:div w:id="820121334">
      <w:bodyDiv w:val="1"/>
      <w:marLeft w:val="0"/>
      <w:marRight w:val="0"/>
      <w:marTop w:val="0"/>
      <w:marBottom w:val="0"/>
      <w:divBdr>
        <w:top w:val="none" w:sz="0" w:space="0" w:color="auto"/>
        <w:left w:val="none" w:sz="0" w:space="0" w:color="auto"/>
        <w:bottom w:val="none" w:sz="0" w:space="0" w:color="auto"/>
        <w:right w:val="none" w:sz="0" w:space="0" w:color="auto"/>
      </w:divBdr>
    </w:div>
    <w:div w:id="820148907">
      <w:bodyDiv w:val="1"/>
      <w:marLeft w:val="0"/>
      <w:marRight w:val="0"/>
      <w:marTop w:val="0"/>
      <w:marBottom w:val="0"/>
      <w:divBdr>
        <w:top w:val="none" w:sz="0" w:space="0" w:color="auto"/>
        <w:left w:val="none" w:sz="0" w:space="0" w:color="auto"/>
        <w:bottom w:val="none" w:sz="0" w:space="0" w:color="auto"/>
        <w:right w:val="none" w:sz="0" w:space="0" w:color="auto"/>
      </w:divBdr>
    </w:div>
    <w:div w:id="820195085">
      <w:bodyDiv w:val="1"/>
      <w:marLeft w:val="0"/>
      <w:marRight w:val="0"/>
      <w:marTop w:val="0"/>
      <w:marBottom w:val="0"/>
      <w:divBdr>
        <w:top w:val="none" w:sz="0" w:space="0" w:color="auto"/>
        <w:left w:val="none" w:sz="0" w:space="0" w:color="auto"/>
        <w:bottom w:val="none" w:sz="0" w:space="0" w:color="auto"/>
        <w:right w:val="none" w:sz="0" w:space="0" w:color="auto"/>
      </w:divBdr>
    </w:div>
    <w:div w:id="820196078">
      <w:bodyDiv w:val="1"/>
      <w:marLeft w:val="0"/>
      <w:marRight w:val="0"/>
      <w:marTop w:val="0"/>
      <w:marBottom w:val="0"/>
      <w:divBdr>
        <w:top w:val="none" w:sz="0" w:space="0" w:color="auto"/>
        <w:left w:val="none" w:sz="0" w:space="0" w:color="auto"/>
        <w:bottom w:val="none" w:sz="0" w:space="0" w:color="auto"/>
        <w:right w:val="none" w:sz="0" w:space="0" w:color="auto"/>
      </w:divBdr>
    </w:div>
    <w:div w:id="820584812">
      <w:bodyDiv w:val="1"/>
      <w:marLeft w:val="0"/>
      <w:marRight w:val="0"/>
      <w:marTop w:val="0"/>
      <w:marBottom w:val="0"/>
      <w:divBdr>
        <w:top w:val="none" w:sz="0" w:space="0" w:color="auto"/>
        <w:left w:val="none" w:sz="0" w:space="0" w:color="auto"/>
        <w:bottom w:val="none" w:sz="0" w:space="0" w:color="auto"/>
        <w:right w:val="none" w:sz="0" w:space="0" w:color="auto"/>
      </w:divBdr>
    </w:div>
    <w:div w:id="820586198">
      <w:bodyDiv w:val="1"/>
      <w:marLeft w:val="0"/>
      <w:marRight w:val="0"/>
      <w:marTop w:val="0"/>
      <w:marBottom w:val="0"/>
      <w:divBdr>
        <w:top w:val="none" w:sz="0" w:space="0" w:color="auto"/>
        <w:left w:val="none" w:sz="0" w:space="0" w:color="auto"/>
        <w:bottom w:val="none" w:sz="0" w:space="0" w:color="auto"/>
        <w:right w:val="none" w:sz="0" w:space="0" w:color="auto"/>
      </w:divBdr>
    </w:div>
    <w:div w:id="820729020">
      <w:bodyDiv w:val="1"/>
      <w:marLeft w:val="0"/>
      <w:marRight w:val="0"/>
      <w:marTop w:val="0"/>
      <w:marBottom w:val="0"/>
      <w:divBdr>
        <w:top w:val="none" w:sz="0" w:space="0" w:color="auto"/>
        <w:left w:val="none" w:sz="0" w:space="0" w:color="auto"/>
        <w:bottom w:val="none" w:sz="0" w:space="0" w:color="auto"/>
        <w:right w:val="none" w:sz="0" w:space="0" w:color="auto"/>
      </w:divBdr>
    </w:div>
    <w:div w:id="820805606">
      <w:bodyDiv w:val="1"/>
      <w:marLeft w:val="0"/>
      <w:marRight w:val="0"/>
      <w:marTop w:val="0"/>
      <w:marBottom w:val="0"/>
      <w:divBdr>
        <w:top w:val="none" w:sz="0" w:space="0" w:color="auto"/>
        <w:left w:val="none" w:sz="0" w:space="0" w:color="auto"/>
        <w:bottom w:val="none" w:sz="0" w:space="0" w:color="auto"/>
        <w:right w:val="none" w:sz="0" w:space="0" w:color="auto"/>
      </w:divBdr>
    </w:div>
    <w:div w:id="821121333">
      <w:bodyDiv w:val="1"/>
      <w:marLeft w:val="0"/>
      <w:marRight w:val="0"/>
      <w:marTop w:val="0"/>
      <w:marBottom w:val="0"/>
      <w:divBdr>
        <w:top w:val="none" w:sz="0" w:space="0" w:color="auto"/>
        <w:left w:val="none" w:sz="0" w:space="0" w:color="auto"/>
        <w:bottom w:val="none" w:sz="0" w:space="0" w:color="auto"/>
        <w:right w:val="none" w:sz="0" w:space="0" w:color="auto"/>
      </w:divBdr>
    </w:div>
    <w:div w:id="821190497">
      <w:bodyDiv w:val="1"/>
      <w:marLeft w:val="0"/>
      <w:marRight w:val="0"/>
      <w:marTop w:val="0"/>
      <w:marBottom w:val="0"/>
      <w:divBdr>
        <w:top w:val="none" w:sz="0" w:space="0" w:color="auto"/>
        <w:left w:val="none" w:sz="0" w:space="0" w:color="auto"/>
        <w:bottom w:val="none" w:sz="0" w:space="0" w:color="auto"/>
        <w:right w:val="none" w:sz="0" w:space="0" w:color="auto"/>
      </w:divBdr>
    </w:div>
    <w:div w:id="821191700">
      <w:bodyDiv w:val="1"/>
      <w:marLeft w:val="0"/>
      <w:marRight w:val="0"/>
      <w:marTop w:val="0"/>
      <w:marBottom w:val="0"/>
      <w:divBdr>
        <w:top w:val="none" w:sz="0" w:space="0" w:color="auto"/>
        <w:left w:val="none" w:sz="0" w:space="0" w:color="auto"/>
        <w:bottom w:val="none" w:sz="0" w:space="0" w:color="auto"/>
        <w:right w:val="none" w:sz="0" w:space="0" w:color="auto"/>
      </w:divBdr>
    </w:div>
    <w:div w:id="821235751">
      <w:bodyDiv w:val="1"/>
      <w:marLeft w:val="0"/>
      <w:marRight w:val="0"/>
      <w:marTop w:val="0"/>
      <w:marBottom w:val="0"/>
      <w:divBdr>
        <w:top w:val="none" w:sz="0" w:space="0" w:color="auto"/>
        <w:left w:val="none" w:sz="0" w:space="0" w:color="auto"/>
        <w:bottom w:val="none" w:sz="0" w:space="0" w:color="auto"/>
        <w:right w:val="none" w:sz="0" w:space="0" w:color="auto"/>
      </w:divBdr>
    </w:div>
    <w:div w:id="821317099">
      <w:bodyDiv w:val="1"/>
      <w:marLeft w:val="0"/>
      <w:marRight w:val="0"/>
      <w:marTop w:val="0"/>
      <w:marBottom w:val="0"/>
      <w:divBdr>
        <w:top w:val="none" w:sz="0" w:space="0" w:color="auto"/>
        <w:left w:val="none" w:sz="0" w:space="0" w:color="auto"/>
        <w:bottom w:val="none" w:sz="0" w:space="0" w:color="auto"/>
        <w:right w:val="none" w:sz="0" w:space="0" w:color="auto"/>
      </w:divBdr>
    </w:div>
    <w:div w:id="821386396">
      <w:bodyDiv w:val="1"/>
      <w:marLeft w:val="0"/>
      <w:marRight w:val="0"/>
      <w:marTop w:val="0"/>
      <w:marBottom w:val="0"/>
      <w:divBdr>
        <w:top w:val="none" w:sz="0" w:space="0" w:color="auto"/>
        <w:left w:val="none" w:sz="0" w:space="0" w:color="auto"/>
        <w:bottom w:val="none" w:sz="0" w:space="0" w:color="auto"/>
        <w:right w:val="none" w:sz="0" w:space="0" w:color="auto"/>
      </w:divBdr>
    </w:div>
    <w:div w:id="821390876">
      <w:bodyDiv w:val="1"/>
      <w:marLeft w:val="0"/>
      <w:marRight w:val="0"/>
      <w:marTop w:val="0"/>
      <w:marBottom w:val="0"/>
      <w:divBdr>
        <w:top w:val="none" w:sz="0" w:space="0" w:color="auto"/>
        <w:left w:val="none" w:sz="0" w:space="0" w:color="auto"/>
        <w:bottom w:val="none" w:sz="0" w:space="0" w:color="auto"/>
        <w:right w:val="none" w:sz="0" w:space="0" w:color="auto"/>
      </w:divBdr>
    </w:div>
    <w:div w:id="821430282">
      <w:bodyDiv w:val="1"/>
      <w:marLeft w:val="0"/>
      <w:marRight w:val="0"/>
      <w:marTop w:val="0"/>
      <w:marBottom w:val="0"/>
      <w:divBdr>
        <w:top w:val="none" w:sz="0" w:space="0" w:color="auto"/>
        <w:left w:val="none" w:sz="0" w:space="0" w:color="auto"/>
        <w:bottom w:val="none" w:sz="0" w:space="0" w:color="auto"/>
        <w:right w:val="none" w:sz="0" w:space="0" w:color="auto"/>
      </w:divBdr>
    </w:div>
    <w:div w:id="821507866">
      <w:bodyDiv w:val="1"/>
      <w:marLeft w:val="0"/>
      <w:marRight w:val="0"/>
      <w:marTop w:val="0"/>
      <w:marBottom w:val="0"/>
      <w:divBdr>
        <w:top w:val="none" w:sz="0" w:space="0" w:color="auto"/>
        <w:left w:val="none" w:sz="0" w:space="0" w:color="auto"/>
        <w:bottom w:val="none" w:sz="0" w:space="0" w:color="auto"/>
        <w:right w:val="none" w:sz="0" w:space="0" w:color="auto"/>
      </w:divBdr>
    </w:div>
    <w:div w:id="821695806">
      <w:bodyDiv w:val="1"/>
      <w:marLeft w:val="0"/>
      <w:marRight w:val="0"/>
      <w:marTop w:val="0"/>
      <w:marBottom w:val="0"/>
      <w:divBdr>
        <w:top w:val="none" w:sz="0" w:space="0" w:color="auto"/>
        <w:left w:val="none" w:sz="0" w:space="0" w:color="auto"/>
        <w:bottom w:val="none" w:sz="0" w:space="0" w:color="auto"/>
        <w:right w:val="none" w:sz="0" w:space="0" w:color="auto"/>
      </w:divBdr>
    </w:div>
    <w:div w:id="821890875">
      <w:bodyDiv w:val="1"/>
      <w:marLeft w:val="0"/>
      <w:marRight w:val="0"/>
      <w:marTop w:val="0"/>
      <w:marBottom w:val="0"/>
      <w:divBdr>
        <w:top w:val="none" w:sz="0" w:space="0" w:color="auto"/>
        <w:left w:val="none" w:sz="0" w:space="0" w:color="auto"/>
        <w:bottom w:val="none" w:sz="0" w:space="0" w:color="auto"/>
        <w:right w:val="none" w:sz="0" w:space="0" w:color="auto"/>
      </w:divBdr>
    </w:div>
    <w:div w:id="821892384">
      <w:bodyDiv w:val="1"/>
      <w:marLeft w:val="0"/>
      <w:marRight w:val="0"/>
      <w:marTop w:val="0"/>
      <w:marBottom w:val="0"/>
      <w:divBdr>
        <w:top w:val="none" w:sz="0" w:space="0" w:color="auto"/>
        <w:left w:val="none" w:sz="0" w:space="0" w:color="auto"/>
        <w:bottom w:val="none" w:sz="0" w:space="0" w:color="auto"/>
        <w:right w:val="none" w:sz="0" w:space="0" w:color="auto"/>
      </w:divBdr>
    </w:div>
    <w:div w:id="821893847">
      <w:bodyDiv w:val="1"/>
      <w:marLeft w:val="0"/>
      <w:marRight w:val="0"/>
      <w:marTop w:val="0"/>
      <w:marBottom w:val="0"/>
      <w:divBdr>
        <w:top w:val="none" w:sz="0" w:space="0" w:color="auto"/>
        <w:left w:val="none" w:sz="0" w:space="0" w:color="auto"/>
        <w:bottom w:val="none" w:sz="0" w:space="0" w:color="auto"/>
        <w:right w:val="none" w:sz="0" w:space="0" w:color="auto"/>
      </w:divBdr>
    </w:div>
    <w:div w:id="821966052">
      <w:bodyDiv w:val="1"/>
      <w:marLeft w:val="0"/>
      <w:marRight w:val="0"/>
      <w:marTop w:val="0"/>
      <w:marBottom w:val="0"/>
      <w:divBdr>
        <w:top w:val="none" w:sz="0" w:space="0" w:color="auto"/>
        <w:left w:val="none" w:sz="0" w:space="0" w:color="auto"/>
        <w:bottom w:val="none" w:sz="0" w:space="0" w:color="auto"/>
        <w:right w:val="none" w:sz="0" w:space="0" w:color="auto"/>
      </w:divBdr>
    </w:div>
    <w:div w:id="822041321">
      <w:bodyDiv w:val="1"/>
      <w:marLeft w:val="0"/>
      <w:marRight w:val="0"/>
      <w:marTop w:val="0"/>
      <w:marBottom w:val="0"/>
      <w:divBdr>
        <w:top w:val="none" w:sz="0" w:space="0" w:color="auto"/>
        <w:left w:val="none" w:sz="0" w:space="0" w:color="auto"/>
        <w:bottom w:val="none" w:sz="0" w:space="0" w:color="auto"/>
        <w:right w:val="none" w:sz="0" w:space="0" w:color="auto"/>
      </w:divBdr>
    </w:div>
    <w:div w:id="822042376">
      <w:bodyDiv w:val="1"/>
      <w:marLeft w:val="0"/>
      <w:marRight w:val="0"/>
      <w:marTop w:val="0"/>
      <w:marBottom w:val="0"/>
      <w:divBdr>
        <w:top w:val="none" w:sz="0" w:space="0" w:color="auto"/>
        <w:left w:val="none" w:sz="0" w:space="0" w:color="auto"/>
        <w:bottom w:val="none" w:sz="0" w:space="0" w:color="auto"/>
        <w:right w:val="none" w:sz="0" w:space="0" w:color="auto"/>
      </w:divBdr>
    </w:div>
    <w:div w:id="822045192">
      <w:bodyDiv w:val="1"/>
      <w:marLeft w:val="0"/>
      <w:marRight w:val="0"/>
      <w:marTop w:val="0"/>
      <w:marBottom w:val="0"/>
      <w:divBdr>
        <w:top w:val="none" w:sz="0" w:space="0" w:color="auto"/>
        <w:left w:val="none" w:sz="0" w:space="0" w:color="auto"/>
        <w:bottom w:val="none" w:sz="0" w:space="0" w:color="auto"/>
        <w:right w:val="none" w:sz="0" w:space="0" w:color="auto"/>
      </w:divBdr>
    </w:div>
    <w:div w:id="822046518">
      <w:bodyDiv w:val="1"/>
      <w:marLeft w:val="0"/>
      <w:marRight w:val="0"/>
      <w:marTop w:val="0"/>
      <w:marBottom w:val="0"/>
      <w:divBdr>
        <w:top w:val="none" w:sz="0" w:space="0" w:color="auto"/>
        <w:left w:val="none" w:sz="0" w:space="0" w:color="auto"/>
        <w:bottom w:val="none" w:sz="0" w:space="0" w:color="auto"/>
        <w:right w:val="none" w:sz="0" w:space="0" w:color="auto"/>
      </w:divBdr>
    </w:div>
    <w:div w:id="822115217">
      <w:bodyDiv w:val="1"/>
      <w:marLeft w:val="0"/>
      <w:marRight w:val="0"/>
      <w:marTop w:val="0"/>
      <w:marBottom w:val="0"/>
      <w:divBdr>
        <w:top w:val="none" w:sz="0" w:space="0" w:color="auto"/>
        <w:left w:val="none" w:sz="0" w:space="0" w:color="auto"/>
        <w:bottom w:val="none" w:sz="0" w:space="0" w:color="auto"/>
        <w:right w:val="none" w:sz="0" w:space="0" w:color="auto"/>
      </w:divBdr>
    </w:div>
    <w:div w:id="822280376">
      <w:bodyDiv w:val="1"/>
      <w:marLeft w:val="0"/>
      <w:marRight w:val="0"/>
      <w:marTop w:val="0"/>
      <w:marBottom w:val="0"/>
      <w:divBdr>
        <w:top w:val="none" w:sz="0" w:space="0" w:color="auto"/>
        <w:left w:val="none" w:sz="0" w:space="0" w:color="auto"/>
        <w:bottom w:val="none" w:sz="0" w:space="0" w:color="auto"/>
        <w:right w:val="none" w:sz="0" w:space="0" w:color="auto"/>
      </w:divBdr>
    </w:div>
    <w:div w:id="822308697">
      <w:bodyDiv w:val="1"/>
      <w:marLeft w:val="0"/>
      <w:marRight w:val="0"/>
      <w:marTop w:val="0"/>
      <w:marBottom w:val="0"/>
      <w:divBdr>
        <w:top w:val="none" w:sz="0" w:space="0" w:color="auto"/>
        <w:left w:val="none" w:sz="0" w:space="0" w:color="auto"/>
        <w:bottom w:val="none" w:sz="0" w:space="0" w:color="auto"/>
        <w:right w:val="none" w:sz="0" w:space="0" w:color="auto"/>
      </w:divBdr>
    </w:div>
    <w:div w:id="822311070">
      <w:bodyDiv w:val="1"/>
      <w:marLeft w:val="0"/>
      <w:marRight w:val="0"/>
      <w:marTop w:val="0"/>
      <w:marBottom w:val="0"/>
      <w:divBdr>
        <w:top w:val="none" w:sz="0" w:space="0" w:color="auto"/>
        <w:left w:val="none" w:sz="0" w:space="0" w:color="auto"/>
        <w:bottom w:val="none" w:sz="0" w:space="0" w:color="auto"/>
        <w:right w:val="none" w:sz="0" w:space="0" w:color="auto"/>
      </w:divBdr>
    </w:div>
    <w:div w:id="822623590">
      <w:bodyDiv w:val="1"/>
      <w:marLeft w:val="0"/>
      <w:marRight w:val="0"/>
      <w:marTop w:val="0"/>
      <w:marBottom w:val="0"/>
      <w:divBdr>
        <w:top w:val="none" w:sz="0" w:space="0" w:color="auto"/>
        <w:left w:val="none" w:sz="0" w:space="0" w:color="auto"/>
        <w:bottom w:val="none" w:sz="0" w:space="0" w:color="auto"/>
        <w:right w:val="none" w:sz="0" w:space="0" w:color="auto"/>
      </w:divBdr>
    </w:div>
    <w:div w:id="822627439">
      <w:bodyDiv w:val="1"/>
      <w:marLeft w:val="0"/>
      <w:marRight w:val="0"/>
      <w:marTop w:val="0"/>
      <w:marBottom w:val="0"/>
      <w:divBdr>
        <w:top w:val="none" w:sz="0" w:space="0" w:color="auto"/>
        <w:left w:val="none" w:sz="0" w:space="0" w:color="auto"/>
        <w:bottom w:val="none" w:sz="0" w:space="0" w:color="auto"/>
        <w:right w:val="none" w:sz="0" w:space="0" w:color="auto"/>
      </w:divBdr>
    </w:div>
    <w:div w:id="822744851">
      <w:bodyDiv w:val="1"/>
      <w:marLeft w:val="0"/>
      <w:marRight w:val="0"/>
      <w:marTop w:val="0"/>
      <w:marBottom w:val="0"/>
      <w:divBdr>
        <w:top w:val="none" w:sz="0" w:space="0" w:color="auto"/>
        <w:left w:val="none" w:sz="0" w:space="0" w:color="auto"/>
        <w:bottom w:val="none" w:sz="0" w:space="0" w:color="auto"/>
        <w:right w:val="none" w:sz="0" w:space="0" w:color="auto"/>
      </w:divBdr>
    </w:div>
    <w:div w:id="822813464">
      <w:bodyDiv w:val="1"/>
      <w:marLeft w:val="0"/>
      <w:marRight w:val="0"/>
      <w:marTop w:val="0"/>
      <w:marBottom w:val="0"/>
      <w:divBdr>
        <w:top w:val="none" w:sz="0" w:space="0" w:color="auto"/>
        <w:left w:val="none" w:sz="0" w:space="0" w:color="auto"/>
        <w:bottom w:val="none" w:sz="0" w:space="0" w:color="auto"/>
        <w:right w:val="none" w:sz="0" w:space="0" w:color="auto"/>
      </w:divBdr>
    </w:div>
    <w:div w:id="822817333">
      <w:bodyDiv w:val="1"/>
      <w:marLeft w:val="0"/>
      <w:marRight w:val="0"/>
      <w:marTop w:val="0"/>
      <w:marBottom w:val="0"/>
      <w:divBdr>
        <w:top w:val="none" w:sz="0" w:space="0" w:color="auto"/>
        <w:left w:val="none" w:sz="0" w:space="0" w:color="auto"/>
        <w:bottom w:val="none" w:sz="0" w:space="0" w:color="auto"/>
        <w:right w:val="none" w:sz="0" w:space="0" w:color="auto"/>
      </w:divBdr>
    </w:div>
    <w:div w:id="822890847">
      <w:bodyDiv w:val="1"/>
      <w:marLeft w:val="0"/>
      <w:marRight w:val="0"/>
      <w:marTop w:val="0"/>
      <w:marBottom w:val="0"/>
      <w:divBdr>
        <w:top w:val="none" w:sz="0" w:space="0" w:color="auto"/>
        <w:left w:val="none" w:sz="0" w:space="0" w:color="auto"/>
        <w:bottom w:val="none" w:sz="0" w:space="0" w:color="auto"/>
        <w:right w:val="none" w:sz="0" w:space="0" w:color="auto"/>
      </w:divBdr>
    </w:div>
    <w:div w:id="822939218">
      <w:bodyDiv w:val="1"/>
      <w:marLeft w:val="0"/>
      <w:marRight w:val="0"/>
      <w:marTop w:val="0"/>
      <w:marBottom w:val="0"/>
      <w:divBdr>
        <w:top w:val="none" w:sz="0" w:space="0" w:color="auto"/>
        <w:left w:val="none" w:sz="0" w:space="0" w:color="auto"/>
        <w:bottom w:val="none" w:sz="0" w:space="0" w:color="auto"/>
        <w:right w:val="none" w:sz="0" w:space="0" w:color="auto"/>
      </w:divBdr>
    </w:div>
    <w:div w:id="822965627">
      <w:bodyDiv w:val="1"/>
      <w:marLeft w:val="0"/>
      <w:marRight w:val="0"/>
      <w:marTop w:val="0"/>
      <w:marBottom w:val="0"/>
      <w:divBdr>
        <w:top w:val="none" w:sz="0" w:space="0" w:color="auto"/>
        <w:left w:val="none" w:sz="0" w:space="0" w:color="auto"/>
        <w:bottom w:val="none" w:sz="0" w:space="0" w:color="auto"/>
        <w:right w:val="none" w:sz="0" w:space="0" w:color="auto"/>
      </w:divBdr>
    </w:div>
    <w:div w:id="823005389">
      <w:bodyDiv w:val="1"/>
      <w:marLeft w:val="0"/>
      <w:marRight w:val="0"/>
      <w:marTop w:val="0"/>
      <w:marBottom w:val="0"/>
      <w:divBdr>
        <w:top w:val="none" w:sz="0" w:space="0" w:color="auto"/>
        <w:left w:val="none" w:sz="0" w:space="0" w:color="auto"/>
        <w:bottom w:val="none" w:sz="0" w:space="0" w:color="auto"/>
        <w:right w:val="none" w:sz="0" w:space="0" w:color="auto"/>
      </w:divBdr>
    </w:div>
    <w:div w:id="823006650">
      <w:bodyDiv w:val="1"/>
      <w:marLeft w:val="0"/>
      <w:marRight w:val="0"/>
      <w:marTop w:val="0"/>
      <w:marBottom w:val="0"/>
      <w:divBdr>
        <w:top w:val="none" w:sz="0" w:space="0" w:color="auto"/>
        <w:left w:val="none" w:sz="0" w:space="0" w:color="auto"/>
        <w:bottom w:val="none" w:sz="0" w:space="0" w:color="auto"/>
        <w:right w:val="none" w:sz="0" w:space="0" w:color="auto"/>
      </w:divBdr>
    </w:div>
    <w:div w:id="823007492">
      <w:bodyDiv w:val="1"/>
      <w:marLeft w:val="0"/>
      <w:marRight w:val="0"/>
      <w:marTop w:val="0"/>
      <w:marBottom w:val="0"/>
      <w:divBdr>
        <w:top w:val="none" w:sz="0" w:space="0" w:color="auto"/>
        <w:left w:val="none" w:sz="0" w:space="0" w:color="auto"/>
        <w:bottom w:val="none" w:sz="0" w:space="0" w:color="auto"/>
        <w:right w:val="none" w:sz="0" w:space="0" w:color="auto"/>
      </w:divBdr>
    </w:div>
    <w:div w:id="823012756">
      <w:bodyDiv w:val="1"/>
      <w:marLeft w:val="0"/>
      <w:marRight w:val="0"/>
      <w:marTop w:val="0"/>
      <w:marBottom w:val="0"/>
      <w:divBdr>
        <w:top w:val="none" w:sz="0" w:space="0" w:color="auto"/>
        <w:left w:val="none" w:sz="0" w:space="0" w:color="auto"/>
        <w:bottom w:val="none" w:sz="0" w:space="0" w:color="auto"/>
        <w:right w:val="none" w:sz="0" w:space="0" w:color="auto"/>
      </w:divBdr>
    </w:div>
    <w:div w:id="823084129">
      <w:bodyDiv w:val="1"/>
      <w:marLeft w:val="0"/>
      <w:marRight w:val="0"/>
      <w:marTop w:val="0"/>
      <w:marBottom w:val="0"/>
      <w:divBdr>
        <w:top w:val="none" w:sz="0" w:space="0" w:color="auto"/>
        <w:left w:val="none" w:sz="0" w:space="0" w:color="auto"/>
        <w:bottom w:val="none" w:sz="0" w:space="0" w:color="auto"/>
        <w:right w:val="none" w:sz="0" w:space="0" w:color="auto"/>
      </w:divBdr>
    </w:div>
    <w:div w:id="823087838">
      <w:bodyDiv w:val="1"/>
      <w:marLeft w:val="0"/>
      <w:marRight w:val="0"/>
      <w:marTop w:val="0"/>
      <w:marBottom w:val="0"/>
      <w:divBdr>
        <w:top w:val="none" w:sz="0" w:space="0" w:color="auto"/>
        <w:left w:val="none" w:sz="0" w:space="0" w:color="auto"/>
        <w:bottom w:val="none" w:sz="0" w:space="0" w:color="auto"/>
        <w:right w:val="none" w:sz="0" w:space="0" w:color="auto"/>
      </w:divBdr>
    </w:div>
    <w:div w:id="823160260">
      <w:bodyDiv w:val="1"/>
      <w:marLeft w:val="0"/>
      <w:marRight w:val="0"/>
      <w:marTop w:val="0"/>
      <w:marBottom w:val="0"/>
      <w:divBdr>
        <w:top w:val="none" w:sz="0" w:space="0" w:color="auto"/>
        <w:left w:val="none" w:sz="0" w:space="0" w:color="auto"/>
        <w:bottom w:val="none" w:sz="0" w:space="0" w:color="auto"/>
        <w:right w:val="none" w:sz="0" w:space="0" w:color="auto"/>
      </w:divBdr>
    </w:div>
    <w:div w:id="823163247">
      <w:bodyDiv w:val="1"/>
      <w:marLeft w:val="0"/>
      <w:marRight w:val="0"/>
      <w:marTop w:val="0"/>
      <w:marBottom w:val="0"/>
      <w:divBdr>
        <w:top w:val="none" w:sz="0" w:space="0" w:color="auto"/>
        <w:left w:val="none" w:sz="0" w:space="0" w:color="auto"/>
        <w:bottom w:val="none" w:sz="0" w:space="0" w:color="auto"/>
        <w:right w:val="none" w:sz="0" w:space="0" w:color="auto"/>
      </w:divBdr>
    </w:div>
    <w:div w:id="823200646">
      <w:bodyDiv w:val="1"/>
      <w:marLeft w:val="0"/>
      <w:marRight w:val="0"/>
      <w:marTop w:val="0"/>
      <w:marBottom w:val="0"/>
      <w:divBdr>
        <w:top w:val="none" w:sz="0" w:space="0" w:color="auto"/>
        <w:left w:val="none" w:sz="0" w:space="0" w:color="auto"/>
        <w:bottom w:val="none" w:sz="0" w:space="0" w:color="auto"/>
        <w:right w:val="none" w:sz="0" w:space="0" w:color="auto"/>
      </w:divBdr>
    </w:div>
    <w:div w:id="823202644">
      <w:bodyDiv w:val="1"/>
      <w:marLeft w:val="0"/>
      <w:marRight w:val="0"/>
      <w:marTop w:val="0"/>
      <w:marBottom w:val="0"/>
      <w:divBdr>
        <w:top w:val="none" w:sz="0" w:space="0" w:color="auto"/>
        <w:left w:val="none" w:sz="0" w:space="0" w:color="auto"/>
        <w:bottom w:val="none" w:sz="0" w:space="0" w:color="auto"/>
        <w:right w:val="none" w:sz="0" w:space="0" w:color="auto"/>
      </w:divBdr>
    </w:div>
    <w:div w:id="823279893">
      <w:bodyDiv w:val="1"/>
      <w:marLeft w:val="0"/>
      <w:marRight w:val="0"/>
      <w:marTop w:val="0"/>
      <w:marBottom w:val="0"/>
      <w:divBdr>
        <w:top w:val="none" w:sz="0" w:space="0" w:color="auto"/>
        <w:left w:val="none" w:sz="0" w:space="0" w:color="auto"/>
        <w:bottom w:val="none" w:sz="0" w:space="0" w:color="auto"/>
        <w:right w:val="none" w:sz="0" w:space="0" w:color="auto"/>
      </w:divBdr>
    </w:div>
    <w:div w:id="823355588">
      <w:bodyDiv w:val="1"/>
      <w:marLeft w:val="0"/>
      <w:marRight w:val="0"/>
      <w:marTop w:val="0"/>
      <w:marBottom w:val="0"/>
      <w:divBdr>
        <w:top w:val="none" w:sz="0" w:space="0" w:color="auto"/>
        <w:left w:val="none" w:sz="0" w:space="0" w:color="auto"/>
        <w:bottom w:val="none" w:sz="0" w:space="0" w:color="auto"/>
        <w:right w:val="none" w:sz="0" w:space="0" w:color="auto"/>
      </w:divBdr>
    </w:div>
    <w:div w:id="823355917">
      <w:bodyDiv w:val="1"/>
      <w:marLeft w:val="0"/>
      <w:marRight w:val="0"/>
      <w:marTop w:val="0"/>
      <w:marBottom w:val="0"/>
      <w:divBdr>
        <w:top w:val="none" w:sz="0" w:space="0" w:color="auto"/>
        <w:left w:val="none" w:sz="0" w:space="0" w:color="auto"/>
        <w:bottom w:val="none" w:sz="0" w:space="0" w:color="auto"/>
        <w:right w:val="none" w:sz="0" w:space="0" w:color="auto"/>
      </w:divBdr>
    </w:div>
    <w:div w:id="823396679">
      <w:bodyDiv w:val="1"/>
      <w:marLeft w:val="0"/>
      <w:marRight w:val="0"/>
      <w:marTop w:val="0"/>
      <w:marBottom w:val="0"/>
      <w:divBdr>
        <w:top w:val="none" w:sz="0" w:space="0" w:color="auto"/>
        <w:left w:val="none" w:sz="0" w:space="0" w:color="auto"/>
        <w:bottom w:val="none" w:sz="0" w:space="0" w:color="auto"/>
        <w:right w:val="none" w:sz="0" w:space="0" w:color="auto"/>
      </w:divBdr>
    </w:div>
    <w:div w:id="823400110">
      <w:bodyDiv w:val="1"/>
      <w:marLeft w:val="0"/>
      <w:marRight w:val="0"/>
      <w:marTop w:val="0"/>
      <w:marBottom w:val="0"/>
      <w:divBdr>
        <w:top w:val="none" w:sz="0" w:space="0" w:color="auto"/>
        <w:left w:val="none" w:sz="0" w:space="0" w:color="auto"/>
        <w:bottom w:val="none" w:sz="0" w:space="0" w:color="auto"/>
        <w:right w:val="none" w:sz="0" w:space="0" w:color="auto"/>
      </w:divBdr>
    </w:div>
    <w:div w:id="823425208">
      <w:bodyDiv w:val="1"/>
      <w:marLeft w:val="0"/>
      <w:marRight w:val="0"/>
      <w:marTop w:val="0"/>
      <w:marBottom w:val="0"/>
      <w:divBdr>
        <w:top w:val="none" w:sz="0" w:space="0" w:color="auto"/>
        <w:left w:val="none" w:sz="0" w:space="0" w:color="auto"/>
        <w:bottom w:val="none" w:sz="0" w:space="0" w:color="auto"/>
        <w:right w:val="none" w:sz="0" w:space="0" w:color="auto"/>
      </w:divBdr>
    </w:div>
    <w:div w:id="823468174">
      <w:bodyDiv w:val="1"/>
      <w:marLeft w:val="0"/>
      <w:marRight w:val="0"/>
      <w:marTop w:val="0"/>
      <w:marBottom w:val="0"/>
      <w:divBdr>
        <w:top w:val="none" w:sz="0" w:space="0" w:color="auto"/>
        <w:left w:val="none" w:sz="0" w:space="0" w:color="auto"/>
        <w:bottom w:val="none" w:sz="0" w:space="0" w:color="auto"/>
        <w:right w:val="none" w:sz="0" w:space="0" w:color="auto"/>
      </w:divBdr>
    </w:div>
    <w:div w:id="823661886">
      <w:bodyDiv w:val="1"/>
      <w:marLeft w:val="0"/>
      <w:marRight w:val="0"/>
      <w:marTop w:val="0"/>
      <w:marBottom w:val="0"/>
      <w:divBdr>
        <w:top w:val="none" w:sz="0" w:space="0" w:color="auto"/>
        <w:left w:val="none" w:sz="0" w:space="0" w:color="auto"/>
        <w:bottom w:val="none" w:sz="0" w:space="0" w:color="auto"/>
        <w:right w:val="none" w:sz="0" w:space="0" w:color="auto"/>
      </w:divBdr>
    </w:div>
    <w:div w:id="823744269">
      <w:bodyDiv w:val="1"/>
      <w:marLeft w:val="0"/>
      <w:marRight w:val="0"/>
      <w:marTop w:val="0"/>
      <w:marBottom w:val="0"/>
      <w:divBdr>
        <w:top w:val="none" w:sz="0" w:space="0" w:color="auto"/>
        <w:left w:val="none" w:sz="0" w:space="0" w:color="auto"/>
        <w:bottom w:val="none" w:sz="0" w:space="0" w:color="auto"/>
        <w:right w:val="none" w:sz="0" w:space="0" w:color="auto"/>
      </w:divBdr>
    </w:div>
    <w:div w:id="823861743">
      <w:bodyDiv w:val="1"/>
      <w:marLeft w:val="0"/>
      <w:marRight w:val="0"/>
      <w:marTop w:val="0"/>
      <w:marBottom w:val="0"/>
      <w:divBdr>
        <w:top w:val="none" w:sz="0" w:space="0" w:color="auto"/>
        <w:left w:val="none" w:sz="0" w:space="0" w:color="auto"/>
        <w:bottom w:val="none" w:sz="0" w:space="0" w:color="auto"/>
        <w:right w:val="none" w:sz="0" w:space="0" w:color="auto"/>
      </w:divBdr>
    </w:div>
    <w:div w:id="824198745">
      <w:bodyDiv w:val="1"/>
      <w:marLeft w:val="0"/>
      <w:marRight w:val="0"/>
      <w:marTop w:val="0"/>
      <w:marBottom w:val="0"/>
      <w:divBdr>
        <w:top w:val="none" w:sz="0" w:space="0" w:color="auto"/>
        <w:left w:val="none" w:sz="0" w:space="0" w:color="auto"/>
        <w:bottom w:val="none" w:sz="0" w:space="0" w:color="auto"/>
        <w:right w:val="none" w:sz="0" w:space="0" w:color="auto"/>
      </w:divBdr>
    </w:div>
    <w:div w:id="824246784">
      <w:bodyDiv w:val="1"/>
      <w:marLeft w:val="0"/>
      <w:marRight w:val="0"/>
      <w:marTop w:val="0"/>
      <w:marBottom w:val="0"/>
      <w:divBdr>
        <w:top w:val="none" w:sz="0" w:space="0" w:color="auto"/>
        <w:left w:val="none" w:sz="0" w:space="0" w:color="auto"/>
        <w:bottom w:val="none" w:sz="0" w:space="0" w:color="auto"/>
        <w:right w:val="none" w:sz="0" w:space="0" w:color="auto"/>
      </w:divBdr>
    </w:div>
    <w:div w:id="824399273">
      <w:bodyDiv w:val="1"/>
      <w:marLeft w:val="0"/>
      <w:marRight w:val="0"/>
      <w:marTop w:val="0"/>
      <w:marBottom w:val="0"/>
      <w:divBdr>
        <w:top w:val="none" w:sz="0" w:space="0" w:color="auto"/>
        <w:left w:val="none" w:sz="0" w:space="0" w:color="auto"/>
        <w:bottom w:val="none" w:sz="0" w:space="0" w:color="auto"/>
        <w:right w:val="none" w:sz="0" w:space="0" w:color="auto"/>
      </w:divBdr>
    </w:div>
    <w:div w:id="824469293">
      <w:bodyDiv w:val="1"/>
      <w:marLeft w:val="0"/>
      <w:marRight w:val="0"/>
      <w:marTop w:val="0"/>
      <w:marBottom w:val="0"/>
      <w:divBdr>
        <w:top w:val="none" w:sz="0" w:space="0" w:color="auto"/>
        <w:left w:val="none" w:sz="0" w:space="0" w:color="auto"/>
        <w:bottom w:val="none" w:sz="0" w:space="0" w:color="auto"/>
        <w:right w:val="none" w:sz="0" w:space="0" w:color="auto"/>
      </w:divBdr>
    </w:div>
    <w:div w:id="824514652">
      <w:bodyDiv w:val="1"/>
      <w:marLeft w:val="0"/>
      <w:marRight w:val="0"/>
      <w:marTop w:val="0"/>
      <w:marBottom w:val="0"/>
      <w:divBdr>
        <w:top w:val="none" w:sz="0" w:space="0" w:color="auto"/>
        <w:left w:val="none" w:sz="0" w:space="0" w:color="auto"/>
        <w:bottom w:val="none" w:sz="0" w:space="0" w:color="auto"/>
        <w:right w:val="none" w:sz="0" w:space="0" w:color="auto"/>
      </w:divBdr>
    </w:div>
    <w:div w:id="824667117">
      <w:bodyDiv w:val="1"/>
      <w:marLeft w:val="0"/>
      <w:marRight w:val="0"/>
      <w:marTop w:val="0"/>
      <w:marBottom w:val="0"/>
      <w:divBdr>
        <w:top w:val="none" w:sz="0" w:space="0" w:color="auto"/>
        <w:left w:val="none" w:sz="0" w:space="0" w:color="auto"/>
        <w:bottom w:val="none" w:sz="0" w:space="0" w:color="auto"/>
        <w:right w:val="none" w:sz="0" w:space="0" w:color="auto"/>
      </w:divBdr>
    </w:div>
    <w:div w:id="824777938">
      <w:bodyDiv w:val="1"/>
      <w:marLeft w:val="0"/>
      <w:marRight w:val="0"/>
      <w:marTop w:val="0"/>
      <w:marBottom w:val="0"/>
      <w:divBdr>
        <w:top w:val="none" w:sz="0" w:space="0" w:color="auto"/>
        <w:left w:val="none" w:sz="0" w:space="0" w:color="auto"/>
        <w:bottom w:val="none" w:sz="0" w:space="0" w:color="auto"/>
        <w:right w:val="none" w:sz="0" w:space="0" w:color="auto"/>
      </w:divBdr>
    </w:div>
    <w:div w:id="824857960">
      <w:bodyDiv w:val="1"/>
      <w:marLeft w:val="0"/>
      <w:marRight w:val="0"/>
      <w:marTop w:val="0"/>
      <w:marBottom w:val="0"/>
      <w:divBdr>
        <w:top w:val="none" w:sz="0" w:space="0" w:color="auto"/>
        <w:left w:val="none" w:sz="0" w:space="0" w:color="auto"/>
        <w:bottom w:val="none" w:sz="0" w:space="0" w:color="auto"/>
        <w:right w:val="none" w:sz="0" w:space="0" w:color="auto"/>
      </w:divBdr>
    </w:div>
    <w:div w:id="824929626">
      <w:bodyDiv w:val="1"/>
      <w:marLeft w:val="0"/>
      <w:marRight w:val="0"/>
      <w:marTop w:val="0"/>
      <w:marBottom w:val="0"/>
      <w:divBdr>
        <w:top w:val="none" w:sz="0" w:space="0" w:color="auto"/>
        <w:left w:val="none" w:sz="0" w:space="0" w:color="auto"/>
        <w:bottom w:val="none" w:sz="0" w:space="0" w:color="auto"/>
        <w:right w:val="none" w:sz="0" w:space="0" w:color="auto"/>
      </w:divBdr>
    </w:div>
    <w:div w:id="824931999">
      <w:bodyDiv w:val="1"/>
      <w:marLeft w:val="0"/>
      <w:marRight w:val="0"/>
      <w:marTop w:val="0"/>
      <w:marBottom w:val="0"/>
      <w:divBdr>
        <w:top w:val="none" w:sz="0" w:space="0" w:color="auto"/>
        <w:left w:val="none" w:sz="0" w:space="0" w:color="auto"/>
        <w:bottom w:val="none" w:sz="0" w:space="0" w:color="auto"/>
        <w:right w:val="none" w:sz="0" w:space="0" w:color="auto"/>
      </w:divBdr>
    </w:div>
    <w:div w:id="824934080">
      <w:bodyDiv w:val="1"/>
      <w:marLeft w:val="0"/>
      <w:marRight w:val="0"/>
      <w:marTop w:val="0"/>
      <w:marBottom w:val="0"/>
      <w:divBdr>
        <w:top w:val="none" w:sz="0" w:space="0" w:color="auto"/>
        <w:left w:val="none" w:sz="0" w:space="0" w:color="auto"/>
        <w:bottom w:val="none" w:sz="0" w:space="0" w:color="auto"/>
        <w:right w:val="none" w:sz="0" w:space="0" w:color="auto"/>
      </w:divBdr>
    </w:div>
    <w:div w:id="824976639">
      <w:bodyDiv w:val="1"/>
      <w:marLeft w:val="0"/>
      <w:marRight w:val="0"/>
      <w:marTop w:val="0"/>
      <w:marBottom w:val="0"/>
      <w:divBdr>
        <w:top w:val="none" w:sz="0" w:space="0" w:color="auto"/>
        <w:left w:val="none" w:sz="0" w:space="0" w:color="auto"/>
        <w:bottom w:val="none" w:sz="0" w:space="0" w:color="auto"/>
        <w:right w:val="none" w:sz="0" w:space="0" w:color="auto"/>
      </w:divBdr>
    </w:div>
    <w:div w:id="825051035">
      <w:bodyDiv w:val="1"/>
      <w:marLeft w:val="0"/>
      <w:marRight w:val="0"/>
      <w:marTop w:val="0"/>
      <w:marBottom w:val="0"/>
      <w:divBdr>
        <w:top w:val="none" w:sz="0" w:space="0" w:color="auto"/>
        <w:left w:val="none" w:sz="0" w:space="0" w:color="auto"/>
        <w:bottom w:val="none" w:sz="0" w:space="0" w:color="auto"/>
        <w:right w:val="none" w:sz="0" w:space="0" w:color="auto"/>
      </w:divBdr>
    </w:div>
    <w:div w:id="825129107">
      <w:bodyDiv w:val="1"/>
      <w:marLeft w:val="0"/>
      <w:marRight w:val="0"/>
      <w:marTop w:val="0"/>
      <w:marBottom w:val="0"/>
      <w:divBdr>
        <w:top w:val="none" w:sz="0" w:space="0" w:color="auto"/>
        <w:left w:val="none" w:sz="0" w:space="0" w:color="auto"/>
        <w:bottom w:val="none" w:sz="0" w:space="0" w:color="auto"/>
        <w:right w:val="none" w:sz="0" w:space="0" w:color="auto"/>
      </w:divBdr>
    </w:div>
    <w:div w:id="825242479">
      <w:bodyDiv w:val="1"/>
      <w:marLeft w:val="0"/>
      <w:marRight w:val="0"/>
      <w:marTop w:val="0"/>
      <w:marBottom w:val="0"/>
      <w:divBdr>
        <w:top w:val="none" w:sz="0" w:space="0" w:color="auto"/>
        <w:left w:val="none" w:sz="0" w:space="0" w:color="auto"/>
        <w:bottom w:val="none" w:sz="0" w:space="0" w:color="auto"/>
        <w:right w:val="none" w:sz="0" w:space="0" w:color="auto"/>
      </w:divBdr>
    </w:div>
    <w:div w:id="825248571">
      <w:bodyDiv w:val="1"/>
      <w:marLeft w:val="0"/>
      <w:marRight w:val="0"/>
      <w:marTop w:val="0"/>
      <w:marBottom w:val="0"/>
      <w:divBdr>
        <w:top w:val="none" w:sz="0" w:space="0" w:color="auto"/>
        <w:left w:val="none" w:sz="0" w:space="0" w:color="auto"/>
        <w:bottom w:val="none" w:sz="0" w:space="0" w:color="auto"/>
        <w:right w:val="none" w:sz="0" w:space="0" w:color="auto"/>
      </w:divBdr>
    </w:div>
    <w:div w:id="825365577">
      <w:bodyDiv w:val="1"/>
      <w:marLeft w:val="0"/>
      <w:marRight w:val="0"/>
      <w:marTop w:val="0"/>
      <w:marBottom w:val="0"/>
      <w:divBdr>
        <w:top w:val="none" w:sz="0" w:space="0" w:color="auto"/>
        <w:left w:val="none" w:sz="0" w:space="0" w:color="auto"/>
        <w:bottom w:val="none" w:sz="0" w:space="0" w:color="auto"/>
        <w:right w:val="none" w:sz="0" w:space="0" w:color="auto"/>
      </w:divBdr>
    </w:div>
    <w:div w:id="825392706">
      <w:bodyDiv w:val="1"/>
      <w:marLeft w:val="0"/>
      <w:marRight w:val="0"/>
      <w:marTop w:val="0"/>
      <w:marBottom w:val="0"/>
      <w:divBdr>
        <w:top w:val="none" w:sz="0" w:space="0" w:color="auto"/>
        <w:left w:val="none" w:sz="0" w:space="0" w:color="auto"/>
        <w:bottom w:val="none" w:sz="0" w:space="0" w:color="auto"/>
        <w:right w:val="none" w:sz="0" w:space="0" w:color="auto"/>
      </w:divBdr>
    </w:div>
    <w:div w:id="825433551">
      <w:bodyDiv w:val="1"/>
      <w:marLeft w:val="0"/>
      <w:marRight w:val="0"/>
      <w:marTop w:val="0"/>
      <w:marBottom w:val="0"/>
      <w:divBdr>
        <w:top w:val="none" w:sz="0" w:space="0" w:color="auto"/>
        <w:left w:val="none" w:sz="0" w:space="0" w:color="auto"/>
        <w:bottom w:val="none" w:sz="0" w:space="0" w:color="auto"/>
        <w:right w:val="none" w:sz="0" w:space="0" w:color="auto"/>
      </w:divBdr>
    </w:div>
    <w:div w:id="825441735">
      <w:bodyDiv w:val="1"/>
      <w:marLeft w:val="0"/>
      <w:marRight w:val="0"/>
      <w:marTop w:val="0"/>
      <w:marBottom w:val="0"/>
      <w:divBdr>
        <w:top w:val="none" w:sz="0" w:space="0" w:color="auto"/>
        <w:left w:val="none" w:sz="0" w:space="0" w:color="auto"/>
        <w:bottom w:val="none" w:sz="0" w:space="0" w:color="auto"/>
        <w:right w:val="none" w:sz="0" w:space="0" w:color="auto"/>
      </w:divBdr>
    </w:div>
    <w:div w:id="825512437">
      <w:bodyDiv w:val="1"/>
      <w:marLeft w:val="0"/>
      <w:marRight w:val="0"/>
      <w:marTop w:val="0"/>
      <w:marBottom w:val="0"/>
      <w:divBdr>
        <w:top w:val="none" w:sz="0" w:space="0" w:color="auto"/>
        <w:left w:val="none" w:sz="0" w:space="0" w:color="auto"/>
        <w:bottom w:val="none" w:sz="0" w:space="0" w:color="auto"/>
        <w:right w:val="none" w:sz="0" w:space="0" w:color="auto"/>
      </w:divBdr>
    </w:div>
    <w:div w:id="825588247">
      <w:bodyDiv w:val="1"/>
      <w:marLeft w:val="0"/>
      <w:marRight w:val="0"/>
      <w:marTop w:val="0"/>
      <w:marBottom w:val="0"/>
      <w:divBdr>
        <w:top w:val="none" w:sz="0" w:space="0" w:color="auto"/>
        <w:left w:val="none" w:sz="0" w:space="0" w:color="auto"/>
        <w:bottom w:val="none" w:sz="0" w:space="0" w:color="auto"/>
        <w:right w:val="none" w:sz="0" w:space="0" w:color="auto"/>
      </w:divBdr>
    </w:div>
    <w:div w:id="825703595">
      <w:bodyDiv w:val="1"/>
      <w:marLeft w:val="0"/>
      <w:marRight w:val="0"/>
      <w:marTop w:val="0"/>
      <w:marBottom w:val="0"/>
      <w:divBdr>
        <w:top w:val="none" w:sz="0" w:space="0" w:color="auto"/>
        <w:left w:val="none" w:sz="0" w:space="0" w:color="auto"/>
        <w:bottom w:val="none" w:sz="0" w:space="0" w:color="auto"/>
        <w:right w:val="none" w:sz="0" w:space="0" w:color="auto"/>
      </w:divBdr>
    </w:div>
    <w:div w:id="825824481">
      <w:bodyDiv w:val="1"/>
      <w:marLeft w:val="0"/>
      <w:marRight w:val="0"/>
      <w:marTop w:val="0"/>
      <w:marBottom w:val="0"/>
      <w:divBdr>
        <w:top w:val="none" w:sz="0" w:space="0" w:color="auto"/>
        <w:left w:val="none" w:sz="0" w:space="0" w:color="auto"/>
        <w:bottom w:val="none" w:sz="0" w:space="0" w:color="auto"/>
        <w:right w:val="none" w:sz="0" w:space="0" w:color="auto"/>
      </w:divBdr>
    </w:div>
    <w:div w:id="825825305">
      <w:bodyDiv w:val="1"/>
      <w:marLeft w:val="0"/>
      <w:marRight w:val="0"/>
      <w:marTop w:val="0"/>
      <w:marBottom w:val="0"/>
      <w:divBdr>
        <w:top w:val="none" w:sz="0" w:space="0" w:color="auto"/>
        <w:left w:val="none" w:sz="0" w:space="0" w:color="auto"/>
        <w:bottom w:val="none" w:sz="0" w:space="0" w:color="auto"/>
        <w:right w:val="none" w:sz="0" w:space="0" w:color="auto"/>
      </w:divBdr>
    </w:div>
    <w:div w:id="825826609">
      <w:bodyDiv w:val="1"/>
      <w:marLeft w:val="0"/>
      <w:marRight w:val="0"/>
      <w:marTop w:val="0"/>
      <w:marBottom w:val="0"/>
      <w:divBdr>
        <w:top w:val="none" w:sz="0" w:space="0" w:color="auto"/>
        <w:left w:val="none" w:sz="0" w:space="0" w:color="auto"/>
        <w:bottom w:val="none" w:sz="0" w:space="0" w:color="auto"/>
        <w:right w:val="none" w:sz="0" w:space="0" w:color="auto"/>
      </w:divBdr>
    </w:div>
    <w:div w:id="825976137">
      <w:bodyDiv w:val="1"/>
      <w:marLeft w:val="0"/>
      <w:marRight w:val="0"/>
      <w:marTop w:val="0"/>
      <w:marBottom w:val="0"/>
      <w:divBdr>
        <w:top w:val="none" w:sz="0" w:space="0" w:color="auto"/>
        <w:left w:val="none" w:sz="0" w:space="0" w:color="auto"/>
        <w:bottom w:val="none" w:sz="0" w:space="0" w:color="auto"/>
        <w:right w:val="none" w:sz="0" w:space="0" w:color="auto"/>
      </w:divBdr>
    </w:div>
    <w:div w:id="826240643">
      <w:bodyDiv w:val="1"/>
      <w:marLeft w:val="0"/>
      <w:marRight w:val="0"/>
      <w:marTop w:val="0"/>
      <w:marBottom w:val="0"/>
      <w:divBdr>
        <w:top w:val="none" w:sz="0" w:space="0" w:color="auto"/>
        <w:left w:val="none" w:sz="0" w:space="0" w:color="auto"/>
        <w:bottom w:val="none" w:sz="0" w:space="0" w:color="auto"/>
        <w:right w:val="none" w:sz="0" w:space="0" w:color="auto"/>
      </w:divBdr>
    </w:div>
    <w:div w:id="826288636">
      <w:bodyDiv w:val="1"/>
      <w:marLeft w:val="0"/>
      <w:marRight w:val="0"/>
      <w:marTop w:val="0"/>
      <w:marBottom w:val="0"/>
      <w:divBdr>
        <w:top w:val="none" w:sz="0" w:space="0" w:color="auto"/>
        <w:left w:val="none" w:sz="0" w:space="0" w:color="auto"/>
        <w:bottom w:val="none" w:sz="0" w:space="0" w:color="auto"/>
        <w:right w:val="none" w:sz="0" w:space="0" w:color="auto"/>
      </w:divBdr>
    </w:div>
    <w:div w:id="826432407">
      <w:bodyDiv w:val="1"/>
      <w:marLeft w:val="0"/>
      <w:marRight w:val="0"/>
      <w:marTop w:val="0"/>
      <w:marBottom w:val="0"/>
      <w:divBdr>
        <w:top w:val="none" w:sz="0" w:space="0" w:color="auto"/>
        <w:left w:val="none" w:sz="0" w:space="0" w:color="auto"/>
        <w:bottom w:val="none" w:sz="0" w:space="0" w:color="auto"/>
        <w:right w:val="none" w:sz="0" w:space="0" w:color="auto"/>
      </w:divBdr>
    </w:div>
    <w:div w:id="826475449">
      <w:bodyDiv w:val="1"/>
      <w:marLeft w:val="0"/>
      <w:marRight w:val="0"/>
      <w:marTop w:val="0"/>
      <w:marBottom w:val="0"/>
      <w:divBdr>
        <w:top w:val="none" w:sz="0" w:space="0" w:color="auto"/>
        <w:left w:val="none" w:sz="0" w:space="0" w:color="auto"/>
        <w:bottom w:val="none" w:sz="0" w:space="0" w:color="auto"/>
        <w:right w:val="none" w:sz="0" w:space="0" w:color="auto"/>
      </w:divBdr>
    </w:div>
    <w:div w:id="826553037">
      <w:bodyDiv w:val="1"/>
      <w:marLeft w:val="0"/>
      <w:marRight w:val="0"/>
      <w:marTop w:val="0"/>
      <w:marBottom w:val="0"/>
      <w:divBdr>
        <w:top w:val="none" w:sz="0" w:space="0" w:color="auto"/>
        <w:left w:val="none" w:sz="0" w:space="0" w:color="auto"/>
        <w:bottom w:val="none" w:sz="0" w:space="0" w:color="auto"/>
        <w:right w:val="none" w:sz="0" w:space="0" w:color="auto"/>
      </w:divBdr>
    </w:div>
    <w:div w:id="826557510">
      <w:bodyDiv w:val="1"/>
      <w:marLeft w:val="0"/>
      <w:marRight w:val="0"/>
      <w:marTop w:val="0"/>
      <w:marBottom w:val="0"/>
      <w:divBdr>
        <w:top w:val="none" w:sz="0" w:space="0" w:color="auto"/>
        <w:left w:val="none" w:sz="0" w:space="0" w:color="auto"/>
        <w:bottom w:val="none" w:sz="0" w:space="0" w:color="auto"/>
        <w:right w:val="none" w:sz="0" w:space="0" w:color="auto"/>
      </w:divBdr>
    </w:div>
    <w:div w:id="826671356">
      <w:bodyDiv w:val="1"/>
      <w:marLeft w:val="0"/>
      <w:marRight w:val="0"/>
      <w:marTop w:val="0"/>
      <w:marBottom w:val="0"/>
      <w:divBdr>
        <w:top w:val="none" w:sz="0" w:space="0" w:color="auto"/>
        <w:left w:val="none" w:sz="0" w:space="0" w:color="auto"/>
        <w:bottom w:val="none" w:sz="0" w:space="0" w:color="auto"/>
        <w:right w:val="none" w:sz="0" w:space="0" w:color="auto"/>
      </w:divBdr>
    </w:div>
    <w:div w:id="826674751">
      <w:bodyDiv w:val="1"/>
      <w:marLeft w:val="0"/>
      <w:marRight w:val="0"/>
      <w:marTop w:val="0"/>
      <w:marBottom w:val="0"/>
      <w:divBdr>
        <w:top w:val="none" w:sz="0" w:space="0" w:color="auto"/>
        <w:left w:val="none" w:sz="0" w:space="0" w:color="auto"/>
        <w:bottom w:val="none" w:sz="0" w:space="0" w:color="auto"/>
        <w:right w:val="none" w:sz="0" w:space="0" w:color="auto"/>
      </w:divBdr>
    </w:div>
    <w:div w:id="826743532">
      <w:bodyDiv w:val="1"/>
      <w:marLeft w:val="0"/>
      <w:marRight w:val="0"/>
      <w:marTop w:val="0"/>
      <w:marBottom w:val="0"/>
      <w:divBdr>
        <w:top w:val="none" w:sz="0" w:space="0" w:color="auto"/>
        <w:left w:val="none" w:sz="0" w:space="0" w:color="auto"/>
        <w:bottom w:val="none" w:sz="0" w:space="0" w:color="auto"/>
        <w:right w:val="none" w:sz="0" w:space="0" w:color="auto"/>
      </w:divBdr>
    </w:div>
    <w:div w:id="826941493">
      <w:bodyDiv w:val="1"/>
      <w:marLeft w:val="0"/>
      <w:marRight w:val="0"/>
      <w:marTop w:val="0"/>
      <w:marBottom w:val="0"/>
      <w:divBdr>
        <w:top w:val="none" w:sz="0" w:space="0" w:color="auto"/>
        <w:left w:val="none" w:sz="0" w:space="0" w:color="auto"/>
        <w:bottom w:val="none" w:sz="0" w:space="0" w:color="auto"/>
        <w:right w:val="none" w:sz="0" w:space="0" w:color="auto"/>
      </w:divBdr>
    </w:div>
    <w:div w:id="827089442">
      <w:bodyDiv w:val="1"/>
      <w:marLeft w:val="0"/>
      <w:marRight w:val="0"/>
      <w:marTop w:val="0"/>
      <w:marBottom w:val="0"/>
      <w:divBdr>
        <w:top w:val="none" w:sz="0" w:space="0" w:color="auto"/>
        <w:left w:val="none" w:sz="0" w:space="0" w:color="auto"/>
        <w:bottom w:val="none" w:sz="0" w:space="0" w:color="auto"/>
        <w:right w:val="none" w:sz="0" w:space="0" w:color="auto"/>
      </w:divBdr>
    </w:div>
    <w:div w:id="827282072">
      <w:bodyDiv w:val="1"/>
      <w:marLeft w:val="0"/>
      <w:marRight w:val="0"/>
      <w:marTop w:val="0"/>
      <w:marBottom w:val="0"/>
      <w:divBdr>
        <w:top w:val="none" w:sz="0" w:space="0" w:color="auto"/>
        <w:left w:val="none" w:sz="0" w:space="0" w:color="auto"/>
        <w:bottom w:val="none" w:sz="0" w:space="0" w:color="auto"/>
        <w:right w:val="none" w:sz="0" w:space="0" w:color="auto"/>
      </w:divBdr>
    </w:div>
    <w:div w:id="827289174">
      <w:bodyDiv w:val="1"/>
      <w:marLeft w:val="0"/>
      <w:marRight w:val="0"/>
      <w:marTop w:val="0"/>
      <w:marBottom w:val="0"/>
      <w:divBdr>
        <w:top w:val="none" w:sz="0" w:space="0" w:color="auto"/>
        <w:left w:val="none" w:sz="0" w:space="0" w:color="auto"/>
        <w:bottom w:val="none" w:sz="0" w:space="0" w:color="auto"/>
        <w:right w:val="none" w:sz="0" w:space="0" w:color="auto"/>
      </w:divBdr>
    </w:div>
    <w:div w:id="827329397">
      <w:bodyDiv w:val="1"/>
      <w:marLeft w:val="0"/>
      <w:marRight w:val="0"/>
      <w:marTop w:val="0"/>
      <w:marBottom w:val="0"/>
      <w:divBdr>
        <w:top w:val="none" w:sz="0" w:space="0" w:color="auto"/>
        <w:left w:val="none" w:sz="0" w:space="0" w:color="auto"/>
        <w:bottom w:val="none" w:sz="0" w:space="0" w:color="auto"/>
        <w:right w:val="none" w:sz="0" w:space="0" w:color="auto"/>
      </w:divBdr>
    </w:div>
    <w:div w:id="827407286">
      <w:bodyDiv w:val="1"/>
      <w:marLeft w:val="0"/>
      <w:marRight w:val="0"/>
      <w:marTop w:val="0"/>
      <w:marBottom w:val="0"/>
      <w:divBdr>
        <w:top w:val="none" w:sz="0" w:space="0" w:color="auto"/>
        <w:left w:val="none" w:sz="0" w:space="0" w:color="auto"/>
        <w:bottom w:val="none" w:sz="0" w:space="0" w:color="auto"/>
        <w:right w:val="none" w:sz="0" w:space="0" w:color="auto"/>
      </w:divBdr>
    </w:div>
    <w:div w:id="827669908">
      <w:bodyDiv w:val="1"/>
      <w:marLeft w:val="0"/>
      <w:marRight w:val="0"/>
      <w:marTop w:val="0"/>
      <w:marBottom w:val="0"/>
      <w:divBdr>
        <w:top w:val="none" w:sz="0" w:space="0" w:color="auto"/>
        <w:left w:val="none" w:sz="0" w:space="0" w:color="auto"/>
        <w:bottom w:val="none" w:sz="0" w:space="0" w:color="auto"/>
        <w:right w:val="none" w:sz="0" w:space="0" w:color="auto"/>
      </w:divBdr>
    </w:div>
    <w:div w:id="827671911">
      <w:bodyDiv w:val="1"/>
      <w:marLeft w:val="0"/>
      <w:marRight w:val="0"/>
      <w:marTop w:val="0"/>
      <w:marBottom w:val="0"/>
      <w:divBdr>
        <w:top w:val="none" w:sz="0" w:space="0" w:color="auto"/>
        <w:left w:val="none" w:sz="0" w:space="0" w:color="auto"/>
        <w:bottom w:val="none" w:sz="0" w:space="0" w:color="auto"/>
        <w:right w:val="none" w:sz="0" w:space="0" w:color="auto"/>
      </w:divBdr>
    </w:div>
    <w:div w:id="827674043">
      <w:bodyDiv w:val="1"/>
      <w:marLeft w:val="0"/>
      <w:marRight w:val="0"/>
      <w:marTop w:val="0"/>
      <w:marBottom w:val="0"/>
      <w:divBdr>
        <w:top w:val="none" w:sz="0" w:space="0" w:color="auto"/>
        <w:left w:val="none" w:sz="0" w:space="0" w:color="auto"/>
        <w:bottom w:val="none" w:sz="0" w:space="0" w:color="auto"/>
        <w:right w:val="none" w:sz="0" w:space="0" w:color="auto"/>
      </w:divBdr>
    </w:div>
    <w:div w:id="827742989">
      <w:bodyDiv w:val="1"/>
      <w:marLeft w:val="0"/>
      <w:marRight w:val="0"/>
      <w:marTop w:val="0"/>
      <w:marBottom w:val="0"/>
      <w:divBdr>
        <w:top w:val="none" w:sz="0" w:space="0" w:color="auto"/>
        <w:left w:val="none" w:sz="0" w:space="0" w:color="auto"/>
        <w:bottom w:val="none" w:sz="0" w:space="0" w:color="auto"/>
        <w:right w:val="none" w:sz="0" w:space="0" w:color="auto"/>
      </w:divBdr>
    </w:div>
    <w:div w:id="827743000">
      <w:bodyDiv w:val="1"/>
      <w:marLeft w:val="0"/>
      <w:marRight w:val="0"/>
      <w:marTop w:val="0"/>
      <w:marBottom w:val="0"/>
      <w:divBdr>
        <w:top w:val="none" w:sz="0" w:space="0" w:color="auto"/>
        <w:left w:val="none" w:sz="0" w:space="0" w:color="auto"/>
        <w:bottom w:val="none" w:sz="0" w:space="0" w:color="auto"/>
        <w:right w:val="none" w:sz="0" w:space="0" w:color="auto"/>
      </w:divBdr>
    </w:div>
    <w:div w:id="827747137">
      <w:bodyDiv w:val="1"/>
      <w:marLeft w:val="0"/>
      <w:marRight w:val="0"/>
      <w:marTop w:val="0"/>
      <w:marBottom w:val="0"/>
      <w:divBdr>
        <w:top w:val="none" w:sz="0" w:space="0" w:color="auto"/>
        <w:left w:val="none" w:sz="0" w:space="0" w:color="auto"/>
        <w:bottom w:val="none" w:sz="0" w:space="0" w:color="auto"/>
        <w:right w:val="none" w:sz="0" w:space="0" w:color="auto"/>
      </w:divBdr>
    </w:div>
    <w:div w:id="827785956">
      <w:bodyDiv w:val="1"/>
      <w:marLeft w:val="0"/>
      <w:marRight w:val="0"/>
      <w:marTop w:val="0"/>
      <w:marBottom w:val="0"/>
      <w:divBdr>
        <w:top w:val="none" w:sz="0" w:space="0" w:color="auto"/>
        <w:left w:val="none" w:sz="0" w:space="0" w:color="auto"/>
        <w:bottom w:val="none" w:sz="0" w:space="0" w:color="auto"/>
        <w:right w:val="none" w:sz="0" w:space="0" w:color="auto"/>
      </w:divBdr>
    </w:div>
    <w:div w:id="827863723">
      <w:bodyDiv w:val="1"/>
      <w:marLeft w:val="0"/>
      <w:marRight w:val="0"/>
      <w:marTop w:val="0"/>
      <w:marBottom w:val="0"/>
      <w:divBdr>
        <w:top w:val="none" w:sz="0" w:space="0" w:color="auto"/>
        <w:left w:val="none" w:sz="0" w:space="0" w:color="auto"/>
        <w:bottom w:val="none" w:sz="0" w:space="0" w:color="auto"/>
        <w:right w:val="none" w:sz="0" w:space="0" w:color="auto"/>
      </w:divBdr>
    </w:div>
    <w:div w:id="827864733">
      <w:bodyDiv w:val="1"/>
      <w:marLeft w:val="0"/>
      <w:marRight w:val="0"/>
      <w:marTop w:val="0"/>
      <w:marBottom w:val="0"/>
      <w:divBdr>
        <w:top w:val="none" w:sz="0" w:space="0" w:color="auto"/>
        <w:left w:val="none" w:sz="0" w:space="0" w:color="auto"/>
        <w:bottom w:val="none" w:sz="0" w:space="0" w:color="auto"/>
        <w:right w:val="none" w:sz="0" w:space="0" w:color="auto"/>
      </w:divBdr>
    </w:div>
    <w:div w:id="827984008">
      <w:bodyDiv w:val="1"/>
      <w:marLeft w:val="0"/>
      <w:marRight w:val="0"/>
      <w:marTop w:val="0"/>
      <w:marBottom w:val="0"/>
      <w:divBdr>
        <w:top w:val="none" w:sz="0" w:space="0" w:color="auto"/>
        <w:left w:val="none" w:sz="0" w:space="0" w:color="auto"/>
        <w:bottom w:val="none" w:sz="0" w:space="0" w:color="auto"/>
        <w:right w:val="none" w:sz="0" w:space="0" w:color="auto"/>
      </w:divBdr>
    </w:div>
    <w:div w:id="828061816">
      <w:bodyDiv w:val="1"/>
      <w:marLeft w:val="0"/>
      <w:marRight w:val="0"/>
      <w:marTop w:val="0"/>
      <w:marBottom w:val="0"/>
      <w:divBdr>
        <w:top w:val="none" w:sz="0" w:space="0" w:color="auto"/>
        <w:left w:val="none" w:sz="0" w:space="0" w:color="auto"/>
        <w:bottom w:val="none" w:sz="0" w:space="0" w:color="auto"/>
        <w:right w:val="none" w:sz="0" w:space="0" w:color="auto"/>
      </w:divBdr>
    </w:div>
    <w:div w:id="828206579">
      <w:bodyDiv w:val="1"/>
      <w:marLeft w:val="0"/>
      <w:marRight w:val="0"/>
      <w:marTop w:val="0"/>
      <w:marBottom w:val="0"/>
      <w:divBdr>
        <w:top w:val="none" w:sz="0" w:space="0" w:color="auto"/>
        <w:left w:val="none" w:sz="0" w:space="0" w:color="auto"/>
        <w:bottom w:val="none" w:sz="0" w:space="0" w:color="auto"/>
        <w:right w:val="none" w:sz="0" w:space="0" w:color="auto"/>
      </w:divBdr>
    </w:div>
    <w:div w:id="828249419">
      <w:bodyDiv w:val="1"/>
      <w:marLeft w:val="0"/>
      <w:marRight w:val="0"/>
      <w:marTop w:val="0"/>
      <w:marBottom w:val="0"/>
      <w:divBdr>
        <w:top w:val="none" w:sz="0" w:space="0" w:color="auto"/>
        <w:left w:val="none" w:sz="0" w:space="0" w:color="auto"/>
        <w:bottom w:val="none" w:sz="0" w:space="0" w:color="auto"/>
        <w:right w:val="none" w:sz="0" w:space="0" w:color="auto"/>
      </w:divBdr>
    </w:div>
    <w:div w:id="828329143">
      <w:bodyDiv w:val="1"/>
      <w:marLeft w:val="0"/>
      <w:marRight w:val="0"/>
      <w:marTop w:val="0"/>
      <w:marBottom w:val="0"/>
      <w:divBdr>
        <w:top w:val="none" w:sz="0" w:space="0" w:color="auto"/>
        <w:left w:val="none" w:sz="0" w:space="0" w:color="auto"/>
        <w:bottom w:val="none" w:sz="0" w:space="0" w:color="auto"/>
        <w:right w:val="none" w:sz="0" w:space="0" w:color="auto"/>
      </w:divBdr>
    </w:div>
    <w:div w:id="828404688">
      <w:bodyDiv w:val="1"/>
      <w:marLeft w:val="0"/>
      <w:marRight w:val="0"/>
      <w:marTop w:val="0"/>
      <w:marBottom w:val="0"/>
      <w:divBdr>
        <w:top w:val="none" w:sz="0" w:space="0" w:color="auto"/>
        <w:left w:val="none" w:sz="0" w:space="0" w:color="auto"/>
        <w:bottom w:val="none" w:sz="0" w:space="0" w:color="auto"/>
        <w:right w:val="none" w:sz="0" w:space="0" w:color="auto"/>
      </w:divBdr>
    </w:div>
    <w:div w:id="828444036">
      <w:bodyDiv w:val="1"/>
      <w:marLeft w:val="0"/>
      <w:marRight w:val="0"/>
      <w:marTop w:val="0"/>
      <w:marBottom w:val="0"/>
      <w:divBdr>
        <w:top w:val="none" w:sz="0" w:space="0" w:color="auto"/>
        <w:left w:val="none" w:sz="0" w:space="0" w:color="auto"/>
        <w:bottom w:val="none" w:sz="0" w:space="0" w:color="auto"/>
        <w:right w:val="none" w:sz="0" w:space="0" w:color="auto"/>
      </w:divBdr>
    </w:div>
    <w:div w:id="828444546">
      <w:bodyDiv w:val="1"/>
      <w:marLeft w:val="0"/>
      <w:marRight w:val="0"/>
      <w:marTop w:val="0"/>
      <w:marBottom w:val="0"/>
      <w:divBdr>
        <w:top w:val="none" w:sz="0" w:space="0" w:color="auto"/>
        <w:left w:val="none" w:sz="0" w:space="0" w:color="auto"/>
        <w:bottom w:val="none" w:sz="0" w:space="0" w:color="auto"/>
        <w:right w:val="none" w:sz="0" w:space="0" w:color="auto"/>
      </w:divBdr>
    </w:div>
    <w:div w:id="828446887">
      <w:bodyDiv w:val="1"/>
      <w:marLeft w:val="0"/>
      <w:marRight w:val="0"/>
      <w:marTop w:val="0"/>
      <w:marBottom w:val="0"/>
      <w:divBdr>
        <w:top w:val="none" w:sz="0" w:space="0" w:color="auto"/>
        <w:left w:val="none" w:sz="0" w:space="0" w:color="auto"/>
        <w:bottom w:val="none" w:sz="0" w:space="0" w:color="auto"/>
        <w:right w:val="none" w:sz="0" w:space="0" w:color="auto"/>
      </w:divBdr>
    </w:div>
    <w:div w:id="828595858">
      <w:bodyDiv w:val="1"/>
      <w:marLeft w:val="0"/>
      <w:marRight w:val="0"/>
      <w:marTop w:val="0"/>
      <w:marBottom w:val="0"/>
      <w:divBdr>
        <w:top w:val="none" w:sz="0" w:space="0" w:color="auto"/>
        <w:left w:val="none" w:sz="0" w:space="0" w:color="auto"/>
        <w:bottom w:val="none" w:sz="0" w:space="0" w:color="auto"/>
        <w:right w:val="none" w:sz="0" w:space="0" w:color="auto"/>
      </w:divBdr>
    </w:div>
    <w:div w:id="828710976">
      <w:bodyDiv w:val="1"/>
      <w:marLeft w:val="0"/>
      <w:marRight w:val="0"/>
      <w:marTop w:val="0"/>
      <w:marBottom w:val="0"/>
      <w:divBdr>
        <w:top w:val="none" w:sz="0" w:space="0" w:color="auto"/>
        <w:left w:val="none" w:sz="0" w:space="0" w:color="auto"/>
        <w:bottom w:val="none" w:sz="0" w:space="0" w:color="auto"/>
        <w:right w:val="none" w:sz="0" w:space="0" w:color="auto"/>
      </w:divBdr>
    </w:div>
    <w:div w:id="828909486">
      <w:bodyDiv w:val="1"/>
      <w:marLeft w:val="0"/>
      <w:marRight w:val="0"/>
      <w:marTop w:val="0"/>
      <w:marBottom w:val="0"/>
      <w:divBdr>
        <w:top w:val="none" w:sz="0" w:space="0" w:color="auto"/>
        <w:left w:val="none" w:sz="0" w:space="0" w:color="auto"/>
        <w:bottom w:val="none" w:sz="0" w:space="0" w:color="auto"/>
        <w:right w:val="none" w:sz="0" w:space="0" w:color="auto"/>
      </w:divBdr>
    </w:div>
    <w:div w:id="828982691">
      <w:bodyDiv w:val="1"/>
      <w:marLeft w:val="0"/>
      <w:marRight w:val="0"/>
      <w:marTop w:val="0"/>
      <w:marBottom w:val="0"/>
      <w:divBdr>
        <w:top w:val="none" w:sz="0" w:space="0" w:color="auto"/>
        <w:left w:val="none" w:sz="0" w:space="0" w:color="auto"/>
        <w:bottom w:val="none" w:sz="0" w:space="0" w:color="auto"/>
        <w:right w:val="none" w:sz="0" w:space="0" w:color="auto"/>
      </w:divBdr>
    </w:div>
    <w:div w:id="829054103">
      <w:bodyDiv w:val="1"/>
      <w:marLeft w:val="0"/>
      <w:marRight w:val="0"/>
      <w:marTop w:val="0"/>
      <w:marBottom w:val="0"/>
      <w:divBdr>
        <w:top w:val="none" w:sz="0" w:space="0" w:color="auto"/>
        <w:left w:val="none" w:sz="0" w:space="0" w:color="auto"/>
        <w:bottom w:val="none" w:sz="0" w:space="0" w:color="auto"/>
        <w:right w:val="none" w:sz="0" w:space="0" w:color="auto"/>
      </w:divBdr>
    </w:div>
    <w:div w:id="829061883">
      <w:bodyDiv w:val="1"/>
      <w:marLeft w:val="0"/>
      <w:marRight w:val="0"/>
      <w:marTop w:val="0"/>
      <w:marBottom w:val="0"/>
      <w:divBdr>
        <w:top w:val="none" w:sz="0" w:space="0" w:color="auto"/>
        <w:left w:val="none" w:sz="0" w:space="0" w:color="auto"/>
        <w:bottom w:val="none" w:sz="0" w:space="0" w:color="auto"/>
        <w:right w:val="none" w:sz="0" w:space="0" w:color="auto"/>
      </w:divBdr>
    </w:div>
    <w:div w:id="829099500">
      <w:bodyDiv w:val="1"/>
      <w:marLeft w:val="0"/>
      <w:marRight w:val="0"/>
      <w:marTop w:val="0"/>
      <w:marBottom w:val="0"/>
      <w:divBdr>
        <w:top w:val="none" w:sz="0" w:space="0" w:color="auto"/>
        <w:left w:val="none" w:sz="0" w:space="0" w:color="auto"/>
        <w:bottom w:val="none" w:sz="0" w:space="0" w:color="auto"/>
        <w:right w:val="none" w:sz="0" w:space="0" w:color="auto"/>
      </w:divBdr>
    </w:div>
    <w:div w:id="829247740">
      <w:bodyDiv w:val="1"/>
      <w:marLeft w:val="0"/>
      <w:marRight w:val="0"/>
      <w:marTop w:val="0"/>
      <w:marBottom w:val="0"/>
      <w:divBdr>
        <w:top w:val="none" w:sz="0" w:space="0" w:color="auto"/>
        <w:left w:val="none" w:sz="0" w:space="0" w:color="auto"/>
        <w:bottom w:val="none" w:sz="0" w:space="0" w:color="auto"/>
        <w:right w:val="none" w:sz="0" w:space="0" w:color="auto"/>
      </w:divBdr>
    </w:div>
    <w:div w:id="829255437">
      <w:bodyDiv w:val="1"/>
      <w:marLeft w:val="0"/>
      <w:marRight w:val="0"/>
      <w:marTop w:val="0"/>
      <w:marBottom w:val="0"/>
      <w:divBdr>
        <w:top w:val="none" w:sz="0" w:space="0" w:color="auto"/>
        <w:left w:val="none" w:sz="0" w:space="0" w:color="auto"/>
        <w:bottom w:val="none" w:sz="0" w:space="0" w:color="auto"/>
        <w:right w:val="none" w:sz="0" w:space="0" w:color="auto"/>
      </w:divBdr>
    </w:div>
    <w:div w:id="829521459">
      <w:bodyDiv w:val="1"/>
      <w:marLeft w:val="0"/>
      <w:marRight w:val="0"/>
      <w:marTop w:val="0"/>
      <w:marBottom w:val="0"/>
      <w:divBdr>
        <w:top w:val="none" w:sz="0" w:space="0" w:color="auto"/>
        <w:left w:val="none" w:sz="0" w:space="0" w:color="auto"/>
        <w:bottom w:val="none" w:sz="0" w:space="0" w:color="auto"/>
        <w:right w:val="none" w:sz="0" w:space="0" w:color="auto"/>
      </w:divBdr>
    </w:div>
    <w:div w:id="829634406">
      <w:bodyDiv w:val="1"/>
      <w:marLeft w:val="0"/>
      <w:marRight w:val="0"/>
      <w:marTop w:val="0"/>
      <w:marBottom w:val="0"/>
      <w:divBdr>
        <w:top w:val="none" w:sz="0" w:space="0" w:color="auto"/>
        <w:left w:val="none" w:sz="0" w:space="0" w:color="auto"/>
        <w:bottom w:val="none" w:sz="0" w:space="0" w:color="auto"/>
        <w:right w:val="none" w:sz="0" w:space="0" w:color="auto"/>
      </w:divBdr>
    </w:div>
    <w:div w:id="829713135">
      <w:bodyDiv w:val="1"/>
      <w:marLeft w:val="0"/>
      <w:marRight w:val="0"/>
      <w:marTop w:val="0"/>
      <w:marBottom w:val="0"/>
      <w:divBdr>
        <w:top w:val="none" w:sz="0" w:space="0" w:color="auto"/>
        <w:left w:val="none" w:sz="0" w:space="0" w:color="auto"/>
        <w:bottom w:val="none" w:sz="0" w:space="0" w:color="auto"/>
        <w:right w:val="none" w:sz="0" w:space="0" w:color="auto"/>
      </w:divBdr>
    </w:div>
    <w:div w:id="829833451">
      <w:bodyDiv w:val="1"/>
      <w:marLeft w:val="0"/>
      <w:marRight w:val="0"/>
      <w:marTop w:val="0"/>
      <w:marBottom w:val="0"/>
      <w:divBdr>
        <w:top w:val="none" w:sz="0" w:space="0" w:color="auto"/>
        <w:left w:val="none" w:sz="0" w:space="0" w:color="auto"/>
        <w:bottom w:val="none" w:sz="0" w:space="0" w:color="auto"/>
        <w:right w:val="none" w:sz="0" w:space="0" w:color="auto"/>
      </w:divBdr>
    </w:div>
    <w:div w:id="829902876">
      <w:bodyDiv w:val="1"/>
      <w:marLeft w:val="0"/>
      <w:marRight w:val="0"/>
      <w:marTop w:val="0"/>
      <w:marBottom w:val="0"/>
      <w:divBdr>
        <w:top w:val="none" w:sz="0" w:space="0" w:color="auto"/>
        <w:left w:val="none" w:sz="0" w:space="0" w:color="auto"/>
        <w:bottom w:val="none" w:sz="0" w:space="0" w:color="auto"/>
        <w:right w:val="none" w:sz="0" w:space="0" w:color="auto"/>
      </w:divBdr>
    </w:div>
    <w:div w:id="829909486">
      <w:bodyDiv w:val="1"/>
      <w:marLeft w:val="0"/>
      <w:marRight w:val="0"/>
      <w:marTop w:val="0"/>
      <w:marBottom w:val="0"/>
      <w:divBdr>
        <w:top w:val="none" w:sz="0" w:space="0" w:color="auto"/>
        <w:left w:val="none" w:sz="0" w:space="0" w:color="auto"/>
        <w:bottom w:val="none" w:sz="0" w:space="0" w:color="auto"/>
        <w:right w:val="none" w:sz="0" w:space="0" w:color="auto"/>
      </w:divBdr>
    </w:div>
    <w:div w:id="829909688">
      <w:bodyDiv w:val="1"/>
      <w:marLeft w:val="0"/>
      <w:marRight w:val="0"/>
      <w:marTop w:val="0"/>
      <w:marBottom w:val="0"/>
      <w:divBdr>
        <w:top w:val="none" w:sz="0" w:space="0" w:color="auto"/>
        <w:left w:val="none" w:sz="0" w:space="0" w:color="auto"/>
        <w:bottom w:val="none" w:sz="0" w:space="0" w:color="auto"/>
        <w:right w:val="none" w:sz="0" w:space="0" w:color="auto"/>
      </w:divBdr>
    </w:div>
    <w:div w:id="829977789">
      <w:bodyDiv w:val="1"/>
      <w:marLeft w:val="0"/>
      <w:marRight w:val="0"/>
      <w:marTop w:val="0"/>
      <w:marBottom w:val="0"/>
      <w:divBdr>
        <w:top w:val="none" w:sz="0" w:space="0" w:color="auto"/>
        <w:left w:val="none" w:sz="0" w:space="0" w:color="auto"/>
        <w:bottom w:val="none" w:sz="0" w:space="0" w:color="auto"/>
        <w:right w:val="none" w:sz="0" w:space="0" w:color="auto"/>
      </w:divBdr>
    </w:div>
    <w:div w:id="830023068">
      <w:bodyDiv w:val="1"/>
      <w:marLeft w:val="0"/>
      <w:marRight w:val="0"/>
      <w:marTop w:val="0"/>
      <w:marBottom w:val="0"/>
      <w:divBdr>
        <w:top w:val="none" w:sz="0" w:space="0" w:color="auto"/>
        <w:left w:val="none" w:sz="0" w:space="0" w:color="auto"/>
        <w:bottom w:val="none" w:sz="0" w:space="0" w:color="auto"/>
        <w:right w:val="none" w:sz="0" w:space="0" w:color="auto"/>
      </w:divBdr>
    </w:div>
    <w:div w:id="830146070">
      <w:bodyDiv w:val="1"/>
      <w:marLeft w:val="0"/>
      <w:marRight w:val="0"/>
      <w:marTop w:val="0"/>
      <w:marBottom w:val="0"/>
      <w:divBdr>
        <w:top w:val="none" w:sz="0" w:space="0" w:color="auto"/>
        <w:left w:val="none" w:sz="0" w:space="0" w:color="auto"/>
        <w:bottom w:val="none" w:sz="0" w:space="0" w:color="auto"/>
        <w:right w:val="none" w:sz="0" w:space="0" w:color="auto"/>
      </w:divBdr>
    </w:div>
    <w:div w:id="830173663">
      <w:bodyDiv w:val="1"/>
      <w:marLeft w:val="0"/>
      <w:marRight w:val="0"/>
      <w:marTop w:val="0"/>
      <w:marBottom w:val="0"/>
      <w:divBdr>
        <w:top w:val="none" w:sz="0" w:space="0" w:color="auto"/>
        <w:left w:val="none" w:sz="0" w:space="0" w:color="auto"/>
        <w:bottom w:val="none" w:sz="0" w:space="0" w:color="auto"/>
        <w:right w:val="none" w:sz="0" w:space="0" w:color="auto"/>
      </w:divBdr>
    </w:div>
    <w:div w:id="830290077">
      <w:bodyDiv w:val="1"/>
      <w:marLeft w:val="0"/>
      <w:marRight w:val="0"/>
      <w:marTop w:val="0"/>
      <w:marBottom w:val="0"/>
      <w:divBdr>
        <w:top w:val="none" w:sz="0" w:space="0" w:color="auto"/>
        <w:left w:val="none" w:sz="0" w:space="0" w:color="auto"/>
        <w:bottom w:val="none" w:sz="0" w:space="0" w:color="auto"/>
        <w:right w:val="none" w:sz="0" w:space="0" w:color="auto"/>
      </w:divBdr>
    </w:div>
    <w:div w:id="830412653">
      <w:bodyDiv w:val="1"/>
      <w:marLeft w:val="0"/>
      <w:marRight w:val="0"/>
      <w:marTop w:val="0"/>
      <w:marBottom w:val="0"/>
      <w:divBdr>
        <w:top w:val="none" w:sz="0" w:space="0" w:color="auto"/>
        <w:left w:val="none" w:sz="0" w:space="0" w:color="auto"/>
        <w:bottom w:val="none" w:sz="0" w:space="0" w:color="auto"/>
        <w:right w:val="none" w:sz="0" w:space="0" w:color="auto"/>
      </w:divBdr>
    </w:div>
    <w:div w:id="830675831">
      <w:bodyDiv w:val="1"/>
      <w:marLeft w:val="0"/>
      <w:marRight w:val="0"/>
      <w:marTop w:val="0"/>
      <w:marBottom w:val="0"/>
      <w:divBdr>
        <w:top w:val="none" w:sz="0" w:space="0" w:color="auto"/>
        <w:left w:val="none" w:sz="0" w:space="0" w:color="auto"/>
        <w:bottom w:val="none" w:sz="0" w:space="0" w:color="auto"/>
        <w:right w:val="none" w:sz="0" w:space="0" w:color="auto"/>
      </w:divBdr>
    </w:div>
    <w:div w:id="830684446">
      <w:bodyDiv w:val="1"/>
      <w:marLeft w:val="0"/>
      <w:marRight w:val="0"/>
      <w:marTop w:val="0"/>
      <w:marBottom w:val="0"/>
      <w:divBdr>
        <w:top w:val="none" w:sz="0" w:space="0" w:color="auto"/>
        <w:left w:val="none" w:sz="0" w:space="0" w:color="auto"/>
        <w:bottom w:val="none" w:sz="0" w:space="0" w:color="auto"/>
        <w:right w:val="none" w:sz="0" w:space="0" w:color="auto"/>
      </w:divBdr>
    </w:div>
    <w:div w:id="830756969">
      <w:bodyDiv w:val="1"/>
      <w:marLeft w:val="0"/>
      <w:marRight w:val="0"/>
      <w:marTop w:val="0"/>
      <w:marBottom w:val="0"/>
      <w:divBdr>
        <w:top w:val="none" w:sz="0" w:space="0" w:color="auto"/>
        <w:left w:val="none" w:sz="0" w:space="0" w:color="auto"/>
        <w:bottom w:val="none" w:sz="0" w:space="0" w:color="auto"/>
        <w:right w:val="none" w:sz="0" w:space="0" w:color="auto"/>
      </w:divBdr>
    </w:div>
    <w:div w:id="830802776">
      <w:bodyDiv w:val="1"/>
      <w:marLeft w:val="0"/>
      <w:marRight w:val="0"/>
      <w:marTop w:val="0"/>
      <w:marBottom w:val="0"/>
      <w:divBdr>
        <w:top w:val="none" w:sz="0" w:space="0" w:color="auto"/>
        <w:left w:val="none" w:sz="0" w:space="0" w:color="auto"/>
        <w:bottom w:val="none" w:sz="0" w:space="0" w:color="auto"/>
        <w:right w:val="none" w:sz="0" w:space="0" w:color="auto"/>
      </w:divBdr>
    </w:div>
    <w:div w:id="830829443">
      <w:bodyDiv w:val="1"/>
      <w:marLeft w:val="0"/>
      <w:marRight w:val="0"/>
      <w:marTop w:val="0"/>
      <w:marBottom w:val="0"/>
      <w:divBdr>
        <w:top w:val="none" w:sz="0" w:space="0" w:color="auto"/>
        <w:left w:val="none" w:sz="0" w:space="0" w:color="auto"/>
        <w:bottom w:val="none" w:sz="0" w:space="0" w:color="auto"/>
        <w:right w:val="none" w:sz="0" w:space="0" w:color="auto"/>
      </w:divBdr>
    </w:div>
    <w:div w:id="831019129">
      <w:bodyDiv w:val="1"/>
      <w:marLeft w:val="0"/>
      <w:marRight w:val="0"/>
      <w:marTop w:val="0"/>
      <w:marBottom w:val="0"/>
      <w:divBdr>
        <w:top w:val="none" w:sz="0" w:space="0" w:color="auto"/>
        <w:left w:val="none" w:sz="0" w:space="0" w:color="auto"/>
        <w:bottom w:val="none" w:sz="0" w:space="0" w:color="auto"/>
        <w:right w:val="none" w:sz="0" w:space="0" w:color="auto"/>
      </w:divBdr>
    </w:div>
    <w:div w:id="831019394">
      <w:bodyDiv w:val="1"/>
      <w:marLeft w:val="0"/>
      <w:marRight w:val="0"/>
      <w:marTop w:val="0"/>
      <w:marBottom w:val="0"/>
      <w:divBdr>
        <w:top w:val="none" w:sz="0" w:space="0" w:color="auto"/>
        <w:left w:val="none" w:sz="0" w:space="0" w:color="auto"/>
        <w:bottom w:val="none" w:sz="0" w:space="0" w:color="auto"/>
        <w:right w:val="none" w:sz="0" w:space="0" w:color="auto"/>
      </w:divBdr>
    </w:div>
    <w:div w:id="831019803">
      <w:bodyDiv w:val="1"/>
      <w:marLeft w:val="0"/>
      <w:marRight w:val="0"/>
      <w:marTop w:val="0"/>
      <w:marBottom w:val="0"/>
      <w:divBdr>
        <w:top w:val="none" w:sz="0" w:space="0" w:color="auto"/>
        <w:left w:val="none" w:sz="0" w:space="0" w:color="auto"/>
        <w:bottom w:val="none" w:sz="0" w:space="0" w:color="auto"/>
        <w:right w:val="none" w:sz="0" w:space="0" w:color="auto"/>
      </w:divBdr>
    </w:div>
    <w:div w:id="831068063">
      <w:bodyDiv w:val="1"/>
      <w:marLeft w:val="0"/>
      <w:marRight w:val="0"/>
      <w:marTop w:val="0"/>
      <w:marBottom w:val="0"/>
      <w:divBdr>
        <w:top w:val="none" w:sz="0" w:space="0" w:color="auto"/>
        <w:left w:val="none" w:sz="0" w:space="0" w:color="auto"/>
        <w:bottom w:val="none" w:sz="0" w:space="0" w:color="auto"/>
        <w:right w:val="none" w:sz="0" w:space="0" w:color="auto"/>
      </w:divBdr>
    </w:div>
    <w:div w:id="831143339">
      <w:bodyDiv w:val="1"/>
      <w:marLeft w:val="0"/>
      <w:marRight w:val="0"/>
      <w:marTop w:val="0"/>
      <w:marBottom w:val="0"/>
      <w:divBdr>
        <w:top w:val="none" w:sz="0" w:space="0" w:color="auto"/>
        <w:left w:val="none" w:sz="0" w:space="0" w:color="auto"/>
        <w:bottom w:val="none" w:sz="0" w:space="0" w:color="auto"/>
        <w:right w:val="none" w:sz="0" w:space="0" w:color="auto"/>
      </w:divBdr>
    </w:div>
    <w:div w:id="831146763">
      <w:bodyDiv w:val="1"/>
      <w:marLeft w:val="0"/>
      <w:marRight w:val="0"/>
      <w:marTop w:val="0"/>
      <w:marBottom w:val="0"/>
      <w:divBdr>
        <w:top w:val="none" w:sz="0" w:space="0" w:color="auto"/>
        <w:left w:val="none" w:sz="0" w:space="0" w:color="auto"/>
        <w:bottom w:val="none" w:sz="0" w:space="0" w:color="auto"/>
        <w:right w:val="none" w:sz="0" w:space="0" w:color="auto"/>
      </w:divBdr>
    </w:div>
    <w:div w:id="831218014">
      <w:bodyDiv w:val="1"/>
      <w:marLeft w:val="0"/>
      <w:marRight w:val="0"/>
      <w:marTop w:val="0"/>
      <w:marBottom w:val="0"/>
      <w:divBdr>
        <w:top w:val="none" w:sz="0" w:space="0" w:color="auto"/>
        <w:left w:val="none" w:sz="0" w:space="0" w:color="auto"/>
        <w:bottom w:val="none" w:sz="0" w:space="0" w:color="auto"/>
        <w:right w:val="none" w:sz="0" w:space="0" w:color="auto"/>
      </w:divBdr>
    </w:div>
    <w:div w:id="831406049">
      <w:bodyDiv w:val="1"/>
      <w:marLeft w:val="0"/>
      <w:marRight w:val="0"/>
      <w:marTop w:val="0"/>
      <w:marBottom w:val="0"/>
      <w:divBdr>
        <w:top w:val="none" w:sz="0" w:space="0" w:color="auto"/>
        <w:left w:val="none" w:sz="0" w:space="0" w:color="auto"/>
        <w:bottom w:val="none" w:sz="0" w:space="0" w:color="auto"/>
        <w:right w:val="none" w:sz="0" w:space="0" w:color="auto"/>
      </w:divBdr>
    </w:div>
    <w:div w:id="831409128">
      <w:bodyDiv w:val="1"/>
      <w:marLeft w:val="0"/>
      <w:marRight w:val="0"/>
      <w:marTop w:val="0"/>
      <w:marBottom w:val="0"/>
      <w:divBdr>
        <w:top w:val="none" w:sz="0" w:space="0" w:color="auto"/>
        <w:left w:val="none" w:sz="0" w:space="0" w:color="auto"/>
        <w:bottom w:val="none" w:sz="0" w:space="0" w:color="auto"/>
        <w:right w:val="none" w:sz="0" w:space="0" w:color="auto"/>
      </w:divBdr>
    </w:div>
    <w:div w:id="831410466">
      <w:bodyDiv w:val="1"/>
      <w:marLeft w:val="0"/>
      <w:marRight w:val="0"/>
      <w:marTop w:val="0"/>
      <w:marBottom w:val="0"/>
      <w:divBdr>
        <w:top w:val="none" w:sz="0" w:space="0" w:color="auto"/>
        <w:left w:val="none" w:sz="0" w:space="0" w:color="auto"/>
        <w:bottom w:val="none" w:sz="0" w:space="0" w:color="auto"/>
        <w:right w:val="none" w:sz="0" w:space="0" w:color="auto"/>
      </w:divBdr>
    </w:div>
    <w:div w:id="831412289">
      <w:bodyDiv w:val="1"/>
      <w:marLeft w:val="0"/>
      <w:marRight w:val="0"/>
      <w:marTop w:val="0"/>
      <w:marBottom w:val="0"/>
      <w:divBdr>
        <w:top w:val="none" w:sz="0" w:space="0" w:color="auto"/>
        <w:left w:val="none" w:sz="0" w:space="0" w:color="auto"/>
        <w:bottom w:val="none" w:sz="0" w:space="0" w:color="auto"/>
        <w:right w:val="none" w:sz="0" w:space="0" w:color="auto"/>
      </w:divBdr>
    </w:div>
    <w:div w:id="831413021">
      <w:bodyDiv w:val="1"/>
      <w:marLeft w:val="0"/>
      <w:marRight w:val="0"/>
      <w:marTop w:val="0"/>
      <w:marBottom w:val="0"/>
      <w:divBdr>
        <w:top w:val="none" w:sz="0" w:space="0" w:color="auto"/>
        <w:left w:val="none" w:sz="0" w:space="0" w:color="auto"/>
        <w:bottom w:val="none" w:sz="0" w:space="0" w:color="auto"/>
        <w:right w:val="none" w:sz="0" w:space="0" w:color="auto"/>
      </w:divBdr>
    </w:div>
    <w:div w:id="831484383">
      <w:bodyDiv w:val="1"/>
      <w:marLeft w:val="0"/>
      <w:marRight w:val="0"/>
      <w:marTop w:val="0"/>
      <w:marBottom w:val="0"/>
      <w:divBdr>
        <w:top w:val="none" w:sz="0" w:space="0" w:color="auto"/>
        <w:left w:val="none" w:sz="0" w:space="0" w:color="auto"/>
        <w:bottom w:val="none" w:sz="0" w:space="0" w:color="auto"/>
        <w:right w:val="none" w:sz="0" w:space="0" w:color="auto"/>
      </w:divBdr>
    </w:div>
    <w:div w:id="831484786">
      <w:bodyDiv w:val="1"/>
      <w:marLeft w:val="0"/>
      <w:marRight w:val="0"/>
      <w:marTop w:val="0"/>
      <w:marBottom w:val="0"/>
      <w:divBdr>
        <w:top w:val="none" w:sz="0" w:space="0" w:color="auto"/>
        <w:left w:val="none" w:sz="0" w:space="0" w:color="auto"/>
        <w:bottom w:val="none" w:sz="0" w:space="0" w:color="auto"/>
        <w:right w:val="none" w:sz="0" w:space="0" w:color="auto"/>
      </w:divBdr>
    </w:div>
    <w:div w:id="831528683">
      <w:bodyDiv w:val="1"/>
      <w:marLeft w:val="0"/>
      <w:marRight w:val="0"/>
      <w:marTop w:val="0"/>
      <w:marBottom w:val="0"/>
      <w:divBdr>
        <w:top w:val="none" w:sz="0" w:space="0" w:color="auto"/>
        <w:left w:val="none" w:sz="0" w:space="0" w:color="auto"/>
        <w:bottom w:val="none" w:sz="0" w:space="0" w:color="auto"/>
        <w:right w:val="none" w:sz="0" w:space="0" w:color="auto"/>
      </w:divBdr>
    </w:div>
    <w:div w:id="831529045">
      <w:bodyDiv w:val="1"/>
      <w:marLeft w:val="0"/>
      <w:marRight w:val="0"/>
      <w:marTop w:val="0"/>
      <w:marBottom w:val="0"/>
      <w:divBdr>
        <w:top w:val="none" w:sz="0" w:space="0" w:color="auto"/>
        <w:left w:val="none" w:sz="0" w:space="0" w:color="auto"/>
        <w:bottom w:val="none" w:sz="0" w:space="0" w:color="auto"/>
        <w:right w:val="none" w:sz="0" w:space="0" w:color="auto"/>
      </w:divBdr>
    </w:div>
    <w:div w:id="831874443">
      <w:bodyDiv w:val="1"/>
      <w:marLeft w:val="0"/>
      <w:marRight w:val="0"/>
      <w:marTop w:val="0"/>
      <w:marBottom w:val="0"/>
      <w:divBdr>
        <w:top w:val="none" w:sz="0" w:space="0" w:color="auto"/>
        <w:left w:val="none" w:sz="0" w:space="0" w:color="auto"/>
        <w:bottom w:val="none" w:sz="0" w:space="0" w:color="auto"/>
        <w:right w:val="none" w:sz="0" w:space="0" w:color="auto"/>
      </w:divBdr>
    </w:div>
    <w:div w:id="831987713">
      <w:bodyDiv w:val="1"/>
      <w:marLeft w:val="0"/>
      <w:marRight w:val="0"/>
      <w:marTop w:val="0"/>
      <w:marBottom w:val="0"/>
      <w:divBdr>
        <w:top w:val="none" w:sz="0" w:space="0" w:color="auto"/>
        <w:left w:val="none" w:sz="0" w:space="0" w:color="auto"/>
        <w:bottom w:val="none" w:sz="0" w:space="0" w:color="auto"/>
        <w:right w:val="none" w:sz="0" w:space="0" w:color="auto"/>
      </w:divBdr>
    </w:div>
    <w:div w:id="832065025">
      <w:bodyDiv w:val="1"/>
      <w:marLeft w:val="0"/>
      <w:marRight w:val="0"/>
      <w:marTop w:val="0"/>
      <w:marBottom w:val="0"/>
      <w:divBdr>
        <w:top w:val="none" w:sz="0" w:space="0" w:color="auto"/>
        <w:left w:val="none" w:sz="0" w:space="0" w:color="auto"/>
        <w:bottom w:val="none" w:sz="0" w:space="0" w:color="auto"/>
        <w:right w:val="none" w:sz="0" w:space="0" w:color="auto"/>
      </w:divBdr>
    </w:div>
    <w:div w:id="832188613">
      <w:bodyDiv w:val="1"/>
      <w:marLeft w:val="0"/>
      <w:marRight w:val="0"/>
      <w:marTop w:val="0"/>
      <w:marBottom w:val="0"/>
      <w:divBdr>
        <w:top w:val="none" w:sz="0" w:space="0" w:color="auto"/>
        <w:left w:val="none" w:sz="0" w:space="0" w:color="auto"/>
        <w:bottom w:val="none" w:sz="0" w:space="0" w:color="auto"/>
        <w:right w:val="none" w:sz="0" w:space="0" w:color="auto"/>
      </w:divBdr>
    </w:div>
    <w:div w:id="832263860">
      <w:bodyDiv w:val="1"/>
      <w:marLeft w:val="0"/>
      <w:marRight w:val="0"/>
      <w:marTop w:val="0"/>
      <w:marBottom w:val="0"/>
      <w:divBdr>
        <w:top w:val="none" w:sz="0" w:space="0" w:color="auto"/>
        <w:left w:val="none" w:sz="0" w:space="0" w:color="auto"/>
        <w:bottom w:val="none" w:sz="0" w:space="0" w:color="auto"/>
        <w:right w:val="none" w:sz="0" w:space="0" w:color="auto"/>
      </w:divBdr>
    </w:div>
    <w:div w:id="832380787">
      <w:bodyDiv w:val="1"/>
      <w:marLeft w:val="0"/>
      <w:marRight w:val="0"/>
      <w:marTop w:val="0"/>
      <w:marBottom w:val="0"/>
      <w:divBdr>
        <w:top w:val="none" w:sz="0" w:space="0" w:color="auto"/>
        <w:left w:val="none" w:sz="0" w:space="0" w:color="auto"/>
        <w:bottom w:val="none" w:sz="0" w:space="0" w:color="auto"/>
        <w:right w:val="none" w:sz="0" w:space="0" w:color="auto"/>
      </w:divBdr>
    </w:div>
    <w:div w:id="832405389">
      <w:bodyDiv w:val="1"/>
      <w:marLeft w:val="0"/>
      <w:marRight w:val="0"/>
      <w:marTop w:val="0"/>
      <w:marBottom w:val="0"/>
      <w:divBdr>
        <w:top w:val="none" w:sz="0" w:space="0" w:color="auto"/>
        <w:left w:val="none" w:sz="0" w:space="0" w:color="auto"/>
        <w:bottom w:val="none" w:sz="0" w:space="0" w:color="auto"/>
        <w:right w:val="none" w:sz="0" w:space="0" w:color="auto"/>
      </w:divBdr>
    </w:div>
    <w:div w:id="832456742">
      <w:bodyDiv w:val="1"/>
      <w:marLeft w:val="0"/>
      <w:marRight w:val="0"/>
      <w:marTop w:val="0"/>
      <w:marBottom w:val="0"/>
      <w:divBdr>
        <w:top w:val="none" w:sz="0" w:space="0" w:color="auto"/>
        <w:left w:val="none" w:sz="0" w:space="0" w:color="auto"/>
        <w:bottom w:val="none" w:sz="0" w:space="0" w:color="auto"/>
        <w:right w:val="none" w:sz="0" w:space="0" w:color="auto"/>
      </w:divBdr>
    </w:div>
    <w:div w:id="832524499">
      <w:bodyDiv w:val="1"/>
      <w:marLeft w:val="0"/>
      <w:marRight w:val="0"/>
      <w:marTop w:val="0"/>
      <w:marBottom w:val="0"/>
      <w:divBdr>
        <w:top w:val="none" w:sz="0" w:space="0" w:color="auto"/>
        <w:left w:val="none" w:sz="0" w:space="0" w:color="auto"/>
        <w:bottom w:val="none" w:sz="0" w:space="0" w:color="auto"/>
        <w:right w:val="none" w:sz="0" w:space="0" w:color="auto"/>
      </w:divBdr>
    </w:div>
    <w:div w:id="832524553">
      <w:bodyDiv w:val="1"/>
      <w:marLeft w:val="0"/>
      <w:marRight w:val="0"/>
      <w:marTop w:val="0"/>
      <w:marBottom w:val="0"/>
      <w:divBdr>
        <w:top w:val="none" w:sz="0" w:space="0" w:color="auto"/>
        <w:left w:val="none" w:sz="0" w:space="0" w:color="auto"/>
        <w:bottom w:val="none" w:sz="0" w:space="0" w:color="auto"/>
        <w:right w:val="none" w:sz="0" w:space="0" w:color="auto"/>
      </w:divBdr>
    </w:div>
    <w:div w:id="832525601">
      <w:bodyDiv w:val="1"/>
      <w:marLeft w:val="0"/>
      <w:marRight w:val="0"/>
      <w:marTop w:val="0"/>
      <w:marBottom w:val="0"/>
      <w:divBdr>
        <w:top w:val="none" w:sz="0" w:space="0" w:color="auto"/>
        <w:left w:val="none" w:sz="0" w:space="0" w:color="auto"/>
        <w:bottom w:val="none" w:sz="0" w:space="0" w:color="auto"/>
        <w:right w:val="none" w:sz="0" w:space="0" w:color="auto"/>
      </w:divBdr>
    </w:div>
    <w:div w:id="832530719">
      <w:bodyDiv w:val="1"/>
      <w:marLeft w:val="0"/>
      <w:marRight w:val="0"/>
      <w:marTop w:val="0"/>
      <w:marBottom w:val="0"/>
      <w:divBdr>
        <w:top w:val="none" w:sz="0" w:space="0" w:color="auto"/>
        <w:left w:val="none" w:sz="0" w:space="0" w:color="auto"/>
        <w:bottom w:val="none" w:sz="0" w:space="0" w:color="auto"/>
        <w:right w:val="none" w:sz="0" w:space="0" w:color="auto"/>
      </w:divBdr>
    </w:div>
    <w:div w:id="832530775">
      <w:bodyDiv w:val="1"/>
      <w:marLeft w:val="0"/>
      <w:marRight w:val="0"/>
      <w:marTop w:val="0"/>
      <w:marBottom w:val="0"/>
      <w:divBdr>
        <w:top w:val="none" w:sz="0" w:space="0" w:color="auto"/>
        <w:left w:val="none" w:sz="0" w:space="0" w:color="auto"/>
        <w:bottom w:val="none" w:sz="0" w:space="0" w:color="auto"/>
        <w:right w:val="none" w:sz="0" w:space="0" w:color="auto"/>
      </w:divBdr>
    </w:div>
    <w:div w:id="832531133">
      <w:bodyDiv w:val="1"/>
      <w:marLeft w:val="0"/>
      <w:marRight w:val="0"/>
      <w:marTop w:val="0"/>
      <w:marBottom w:val="0"/>
      <w:divBdr>
        <w:top w:val="none" w:sz="0" w:space="0" w:color="auto"/>
        <w:left w:val="none" w:sz="0" w:space="0" w:color="auto"/>
        <w:bottom w:val="none" w:sz="0" w:space="0" w:color="auto"/>
        <w:right w:val="none" w:sz="0" w:space="0" w:color="auto"/>
      </w:divBdr>
    </w:div>
    <w:div w:id="832767310">
      <w:bodyDiv w:val="1"/>
      <w:marLeft w:val="0"/>
      <w:marRight w:val="0"/>
      <w:marTop w:val="0"/>
      <w:marBottom w:val="0"/>
      <w:divBdr>
        <w:top w:val="none" w:sz="0" w:space="0" w:color="auto"/>
        <w:left w:val="none" w:sz="0" w:space="0" w:color="auto"/>
        <w:bottom w:val="none" w:sz="0" w:space="0" w:color="auto"/>
        <w:right w:val="none" w:sz="0" w:space="0" w:color="auto"/>
      </w:divBdr>
    </w:div>
    <w:div w:id="832792947">
      <w:bodyDiv w:val="1"/>
      <w:marLeft w:val="0"/>
      <w:marRight w:val="0"/>
      <w:marTop w:val="0"/>
      <w:marBottom w:val="0"/>
      <w:divBdr>
        <w:top w:val="none" w:sz="0" w:space="0" w:color="auto"/>
        <w:left w:val="none" w:sz="0" w:space="0" w:color="auto"/>
        <w:bottom w:val="none" w:sz="0" w:space="0" w:color="auto"/>
        <w:right w:val="none" w:sz="0" w:space="0" w:color="auto"/>
      </w:divBdr>
    </w:div>
    <w:div w:id="832915626">
      <w:bodyDiv w:val="1"/>
      <w:marLeft w:val="0"/>
      <w:marRight w:val="0"/>
      <w:marTop w:val="0"/>
      <w:marBottom w:val="0"/>
      <w:divBdr>
        <w:top w:val="none" w:sz="0" w:space="0" w:color="auto"/>
        <w:left w:val="none" w:sz="0" w:space="0" w:color="auto"/>
        <w:bottom w:val="none" w:sz="0" w:space="0" w:color="auto"/>
        <w:right w:val="none" w:sz="0" w:space="0" w:color="auto"/>
      </w:divBdr>
    </w:div>
    <w:div w:id="832985473">
      <w:bodyDiv w:val="1"/>
      <w:marLeft w:val="0"/>
      <w:marRight w:val="0"/>
      <w:marTop w:val="0"/>
      <w:marBottom w:val="0"/>
      <w:divBdr>
        <w:top w:val="none" w:sz="0" w:space="0" w:color="auto"/>
        <w:left w:val="none" w:sz="0" w:space="0" w:color="auto"/>
        <w:bottom w:val="none" w:sz="0" w:space="0" w:color="auto"/>
        <w:right w:val="none" w:sz="0" w:space="0" w:color="auto"/>
      </w:divBdr>
    </w:div>
    <w:div w:id="833030602">
      <w:bodyDiv w:val="1"/>
      <w:marLeft w:val="0"/>
      <w:marRight w:val="0"/>
      <w:marTop w:val="0"/>
      <w:marBottom w:val="0"/>
      <w:divBdr>
        <w:top w:val="none" w:sz="0" w:space="0" w:color="auto"/>
        <w:left w:val="none" w:sz="0" w:space="0" w:color="auto"/>
        <w:bottom w:val="none" w:sz="0" w:space="0" w:color="auto"/>
        <w:right w:val="none" w:sz="0" w:space="0" w:color="auto"/>
      </w:divBdr>
    </w:div>
    <w:div w:id="833108293">
      <w:bodyDiv w:val="1"/>
      <w:marLeft w:val="0"/>
      <w:marRight w:val="0"/>
      <w:marTop w:val="0"/>
      <w:marBottom w:val="0"/>
      <w:divBdr>
        <w:top w:val="none" w:sz="0" w:space="0" w:color="auto"/>
        <w:left w:val="none" w:sz="0" w:space="0" w:color="auto"/>
        <w:bottom w:val="none" w:sz="0" w:space="0" w:color="auto"/>
        <w:right w:val="none" w:sz="0" w:space="0" w:color="auto"/>
      </w:divBdr>
    </w:div>
    <w:div w:id="833184073">
      <w:bodyDiv w:val="1"/>
      <w:marLeft w:val="0"/>
      <w:marRight w:val="0"/>
      <w:marTop w:val="0"/>
      <w:marBottom w:val="0"/>
      <w:divBdr>
        <w:top w:val="none" w:sz="0" w:space="0" w:color="auto"/>
        <w:left w:val="none" w:sz="0" w:space="0" w:color="auto"/>
        <w:bottom w:val="none" w:sz="0" w:space="0" w:color="auto"/>
        <w:right w:val="none" w:sz="0" w:space="0" w:color="auto"/>
      </w:divBdr>
    </w:div>
    <w:div w:id="833184633">
      <w:bodyDiv w:val="1"/>
      <w:marLeft w:val="0"/>
      <w:marRight w:val="0"/>
      <w:marTop w:val="0"/>
      <w:marBottom w:val="0"/>
      <w:divBdr>
        <w:top w:val="none" w:sz="0" w:space="0" w:color="auto"/>
        <w:left w:val="none" w:sz="0" w:space="0" w:color="auto"/>
        <w:bottom w:val="none" w:sz="0" w:space="0" w:color="auto"/>
        <w:right w:val="none" w:sz="0" w:space="0" w:color="auto"/>
      </w:divBdr>
    </w:div>
    <w:div w:id="833372226">
      <w:bodyDiv w:val="1"/>
      <w:marLeft w:val="0"/>
      <w:marRight w:val="0"/>
      <w:marTop w:val="0"/>
      <w:marBottom w:val="0"/>
      <w:divBdr>
        <w:top w:val="none" w:sz="0" w:space="0" w:color="auto"/>
        <w:left w:val="none" w:sz="0" w:space="0" w:color="auto"/>
        <w:bottom w:val="none" w:sz="0" w:space="0" w:color="auto"/>
        <w:right w:val="none" w:sz="0" w:space="0" w:color="auto"/>
      </w:divBdr>
    </w:div>
    <w:div w:id="833376946">
      <w:bodyDiv w:val="1"/>
      <w:marLeft w:val="0"/>
      <w:marRight w:val="0"/>
      <w:marTop w:val="0"/>
      <w:marBottom w:val="0"/>
      <w:divBdr>
        <w:top w:val="none" w:sz="0" w:space="0" w:color="auto"/>
        <w:left w:val="none" w:sz="0" w:space="0" w:color="auto"/>
        <w:bottom w:val="none" w:sz="0" w:space="0" w:color="auto"/>
        <w:right w:val="none" w:sz="0" w:space="0" w:color="auto"/>
      </w:divBdr>
    </w:div>
    <w:div w:id="833448049">
      <w:bodyDiv w:val="1"/>
      <w:marLeft w:val="0"/>
      <w:marRight w:val="0"/>
      <w:marTop w:val="0"/>
      <w:marBottom w:val="0"/>
      <w:divBdr>
        <w:top w:val="none" w:sz="0" w:space="0" w:color="auto"/>
        <w:left w:val="none" w:sz="0" w:space="0" w:color="auto"/>
        <w:bottom w:val="none" w:sz="0" w:space="0" w:color="auto"/>
        <w:right w:val="none" w:sz="0" w:space="0" w:color="auto"/>
      </w:divBdr>
    </w:div>
    <w:div w:id="833448318">
      <w:bodyDiv w:val="1"/>
      <w:marLeft w:val="0"/>
      <w:marRight w:val="0"/>
      <w:marTop w:val="0"/>
      <w:marBottom w:val="0"/>
      <w:divBdr>
        <w:top w:val="none" w:sz="0" w:space="0" w:color="auto"/>
        <w:left w:val="none" w:sz="0" w:space="0" w:color="auto"/>
        <w:bottom w:val="none" w:sz="0" w:space="0" w:color="auto"/>
        <w:right w:val="none" w:sz="0" w:space="0" w:color="auto"/>
      </w:divBdr>
    </w:div>
    <w:div w:id="833497817">
      <w:bodyDiv w:val="1"/>
      <w:marLeft w:val="0"/>
      <w:marRight w:val="0"/>
      <w:marTop w:val="0"/>
      <w:marBottom w:val="0"/>
      <w:divBdr>
        <w:top w:val="none" w:sz="0" w:space="0" w:color="auto"/>
        <w:left w:val="none" w:sz="0" w:space="0" w:color="auto"/>
        <w:bottom w:val="none" w:sz="0" w:space="0" w:color="auto"/>
        <w:right w:val="none" w:sz="0" w:space="0" w:color="auto"/>
      </w:divBdr>
    </w:div>
    <w:div w:id="833565918">
      <w:bodyDiv w:val="1"/>
      <w:marLeft w:val="0"/>
      <w:marRight w:val="0"/>
      <w:marTop w:val="0"/>
      <w:marBottom w:val="0"/>
      <w:divBdr>
        <w:top w:val="none" w:sz="0" w:space="0" w:color="auto"/>
        <w:left w:val="none" w:sz="0" w:space="0" w:color="auto"/>
        <w:bottom w:val="none" w:sz="0" w:space="0" w:color="auto"/>
        <w:right w:val="none" w:sz="0" w:space="0" w:color="auto"/>
      </w:divBdr>
    </w:div>
    <w:div w:id="833644330">
      <w:bodyDiv w:val="1"/>
      <w:marLeft w:val="0"/>
      <w:marRight w:val="0"/>
      <w:marTop w:val="0"/>
      <w:marBottom w:val="0"/>
      <w:divBdr>
        <w:top w:val="none" w:sz="0" w:space="0" w:color="auto"/>
        <w:left w:val="none" w:sz="0" w:space="0" w:color="auto"/>
        <w:bottom w:val="none" w:sz="0" w:space="0" w:color="auto"/>
        <w:right w:val="none" w:sz="0" w:space="0" w:color="auto"/>
      </w:divBdr>
    </w:div>
    <w:div w:id="833647624">
      <w:bodyDiv w:val="1"/>
      <w:marLeft w:val="0"/>
      <w:marRight w:val="0"/>
      <w:marTop w:val="0"/>
      <w:marBottom w:val="0"/>
      <w:divBdr>
        <w:top w:val="none" w:sz="0" w:space="0" w:color="auto"/>
        <w:left w:val="none" w:sz="0" w:space="0" w:color="auto"/>
        <w:bottom w:val="none" w:sz="0" w:space="0" w:color="auto"/>
        <w:right w:val="none" w:sz="0" w:space="0" w:color="auto"/>
      </w:divBdr>
    </w:div>
    <w:div w:id="833885512">
      <w:bodyDiv w:val="1"/>
      <w:marLeft w:val="0"/>
      <w:marRight w:val="0"/>
      <w:marTop w:val="0"/>
      <w:marBottom w:val="0"/>
      <w:divBdr>
        <w:top w:val="none" w:sz="0" w:space="0" w:color="auto"/>
        <w:left w:val="none" w:sz="0" w:space="0" w:color="auto"/>
        <w:bottom w:val="none" w:sz="0" w:space="0" w:color="auto"/>
        <w:right w:val="none" w:sz="0" w:space="0" w:color="auto"/>
      </w:divBdr>
    </w:div>
    <w:div w:id="833910481">
      <w:bodyDiv w:val="1"/>
      <w:marLeft w:val="0"/>
      <w:marRight w:val="0"/>
      <w:marTop w:val="0"/>
      <w:marBottom w:val="0"/>
      <w:divBdr>
        <w:top w:val="none" w:sz="0" w:space="0" w:color="auto"/>
        <w:left w:val="none" w:sz="0" w:space="0" w:color="auto"/>
        <w:bottom w:val="none" w:sz="0" w:space="0" w:color="auto"/>
        <w:right w:val="none" w:sz="0" w:space="0" w:color="auto"/>
      </w:divBdr>
    </w:div>
    <w:div w:id="833956187">
      <w:bodyDiv w:val="1"/>
      <w:marLeft w:val="0"/>
      <w:marRight w:val="0"/>
      <w:marTop w:val="0"/>
      <w:marBottom w:val="0"/>
      <w:divBdr>
        <w:top w:val="none" w:sz="0" w:space="0" w:color="auto"/>
        <w:left w:val="none" w:sz="0" w:space="0" w:color="auto"/>
        <w:bottom w:val="none" w:sz="0" w:space="0" w:color="auto"/>
        <w:right w:val="none" w:sz="0" w:space="0" w:color="auto"/>
      </w:divBdr>
    </w:div>
    <w:div w:id="834153229">
      <w:bodyDiv w:val="1"/>
      <w:marLeft w:val="0"/>
      <w:marRight w:val="0"/>
      <w:marTop w:val="0"/>
      <w:marBottom w:val="0"/>
      <w:divBdr>
        <w:top w:val="none" w:sz="0" w:space="0" w:color="auto"/>
        <w:left w:val="none" w:sz="0" w:space="0" w:color="auto"/>
        <w:bottom w:val="none" w:sz="0" w:space="0" w:color="auto"/>
        <w:right w:val="none" w:sz="0" w:space="0" w:color="auto"/>
      </w:divBdr>
    </w:div>
    <w:div w:id="834228274">
      <w:bodyDiv w:val="1"/>
      <w:marLeft w:val="0"/>
      <w:marRight w:val="0"/>
      <w:marTop w:val="0"/>
      <w:marBottom w:val="0"/>
      <w:divBdr>
        <w:top w:val="none" w:sz="0" w:space="0" w:color="auto"/>
        <w:left w:val="none" w:sz="0" w:space="0" w:color="auto"/>
        <w:bottom w:val="none" w:sz="0" w:space="0" w:color="auto"/>
        <w:right w:val="none" w:sz="0" w:space="0" w:color="auto"/>
      </w:divBdr>
    </w:div>
    <w:div w:id="834229008">
      <w:bodyDiv w:val="1"/>
      <w:marLeft w:val="0"/>
      <w:marRight w:val="0"/>
      <w:marTop w:val="0"/>
      <w:marBottom w:val="0"/>
      <w:divBdr>
        <w:top w:val="none" w:sz="0" w:space="0" w:color="auto"/>
        <w:left w:val="none" w:sz="0" w:space="0" w:color="auto"/>
        <w:bottom w:val="none" w:sz="0" w:space="0" w:color="auto"/>
        <w:right w:val="none" w:sz="0" w:space="0" w:color="auto"/>
      </w:divBdr>
    </w:div>
    <w:div w:id="834300030">
      <w:bodyDiv w:val="1"/>
      <w:marLeft w:val="0"/>
      <w:marRight w:val="0"/>
      <w:marTop w:val="0"/>
      <w:marBottom w:val="0"/>
      <w:divBdr>
        <w:top w:val="none" w:sz="0" w:space="0" w:color="auto"/>
        <w:left w:val="none" w:sz="0" w:space="0" w:color="auto"/>
        <w:bottom w:val="none" w:sz="0" w:space="0" w:color="auto"/>
        <w:right w:val="none" w:sz="0" w:space="0" w:color="auto"/>
      </w:divBdr>
    </w:div>
    <w:div w:id="834610894">
      <w:bodyDiv w:val="1"/>
      <w:marLeft w:val="0"/>
      <w:marRight w:val="0"/>
      <w:marTop w:val="0"/>
      <w:marBottom w:val="0"/>
      <w:divBdr>
        <w:top w:val="none" w:sz="0" w:space="0" w:color="auto"/>
        <w:left w:val="none" w:sz="0" w:space="0" w:color="auto"/>
        <w:bottom w:val="none" w:sz="0" w:space="0" w:color="auto"/>
        <w:right w:val="none" w:sz="0" w:space="0" w:color="auto"/>
      </w:divBdr>
    </w:div>
    <w:div w:id="834763941">
      <w:bodyDiv w:val="1"/>
      <w:marLeft w:val="0"/>
      <w:marRight w:val="0"/>
      <w:marTop w:val="0"/>
      <w:marBottom w:val="0"/>
      <w:divBdr>
        <w:top w:val="none" w:sz="0" w:space="0" w:color="auto"/>
        <w:left w:val="none" w:sz="0" w:space="0" w:color="auto"/>
        <w:bottom w:val="none" w:sz="0" w:space="0" w:color="auto"/>
        <w:right w:val="none" w:sz="0" w:space="0" w:color="auto"/>
      </w:divBdr>
    </w:div>
    <w:div w:id="834881526">
      <w:bodyDiv w:val="1"/>
      <w:marLeft w:val="0"/>
      <w:marRight w:val="0"/>
      <w:marTop w:val="0"/>
      <w:marBottom w:val="0"/>
      <w:divBdr>
        <w:top w:val="none" w:sz="0" w:space="0" w:color="auto"/>
        <w:left w:val="none" w:sz="0" w:space="0" w:color="auto"/>
        <w:bottom w:val="none" w:sz="0" w:space="0" w:color="auto"/>
        <w:right w:val="none" w:sz="0" w:space="0" w:color="auto"/>
      </w:divBdr>
    </w:div>
    <w:div w:id="835073922">
      <w:bodyDiv w:val="1"/>
      <w:marLeft w:val="0"/>
      <w:marRight w:val="0"/>
      <w:marTop w:val="0"/>
      <w:marBottom w:val="0"/>
      <w:divBdr>
        <w:top w:val="none" w:sz="0" w:space="0" w:color="auto"/>
        <w:left w:val="none" w:sz="0" w:space="0" w:color="auto"/>
        <w:bottom w:val="none" w:sz="0" w:space="0" w:color="auto"/>
        <w:right w:val="none" w:sz="0" w:space="0" w:color="auto"/>
      </w:divBdr>
    </w:div>
    <w:div w:id="835152042">
      <w:bodyDiv w:val="1"/>
      <w:marLeft w:val="0"/>
      <w:marRight w:val="0"/>
      <w:marTop w:val="0"/>
      <w:marBottom w:val="0"/>
      <w:divBdr>
        <w:top w:val="none" w:sz="0" w:space="0" w:color="auto"/>
        <w:left w:val="none" w:sz="0" w:space="0" w:color="auto"/>
        <w:bottom w:val="none" w:sz="0" w:space="0" w:color="auto"/>
        <w:right w:val="none" w:sz="0" w:space="0" w:color="auto"/>
      </w:divBdr>
    </w:div>
    <w:div w:id="835152126">
      <w:bodyDiv w:val="1"/>
      <w:marLeft w:val="0"/>
      <w:marRight w:val="0"/>
      <w:marTop w:val="0"/>
      <w:marBottom w:val="0"/>
      <w:divBdr>
        <w:top w:val="none" w:sz="0" w:space="0" w:color="auto"/>
        <w:left w:val="none" w:sz="0" w:space="0" w:color="auto"/>
        <w:bottom w:val="none" w:sz="0" w:space="0" w:color="auto"/>
        <w:right w:val="none" w:sz="0" w:space="0" w:color="auto"/>
      </w:divBdr>
    </w:div>
    <w:div w:id="835219474">
      <w:bodyDiv w:val="1"/>
      <w:marLeft w:val="0"/>
      <w:marRight w:val="0"/>
      <w:marTop w:val="0"/>
      <w:marBottom w:val="0"/>
      <w:divBdr>
        <w:top w:val="none" w:sz="0" w:space="0" w:color="auto"/>
        <w:left w:val="none" w:sz="0" w:space="0" w:color="auto"/>
        <w:bottom w:val="none" w:sz="0" w:space="0" w:color="auto"/>
        <w:right w:val="none" w:sz="0" w:space="0" w:color="auto"/>
      </w:divBdr>
    </w:div>
    <w:div w:id="835266789">
      <w:bodyDiv w:val="1"/>
      <w:marLeft w:val="0"/>
      <w:marRight w:val="0"/>
      <w:marTop w:val="0"/>
      <w:marBottom w:val="0"/>
      <w:divBdr>
        <w:top w:val="none" w:sz="0" w:space="0" w:color="auto"/>
        <w:left w:val="none" w:sz="0" w:space="0" w:color="auto"/>
        <w:bottom w:val="none" w:sz="0" w:space="0" w:color="auto"/>
        <w:right w:val="none" w:sz="0" w:space="0" w:color="auto"/>
      </w:divBdr>
    </w:div>
    <w:div w:id="835268934">
      <w:bodyDiv w:val="1"/>
      <w:marLeft w:val="0"/>
      <w:marRight w:val="0"/>
      <w:marTop w:val="0"/>
      <w:marBottom w:val="0"/>
      <w:divBdr>
        <w:top w:val="none" w:sz="0" w:space="0" w:color="auto"/>
        <w:left w:val="none" w:sz="0" w:space="0" w:color="auto"/>
        <w:bottom w:val="none" w:sz="0" w:space="0" w:color="auto"/>
        <w:right w:val="none" w:sz="0" w:space="0" w:color="auto"/>
      </w:divBdr>
    </w:div>
    <w:div w:id="835345018">
      <w:bodyDiv w:val="1"/>
      <w:marLeft w:val="0"/>
      <w:marRight w:val="0"/>
      <w:marTop w:val="0"/>
      <w:marBottom w:val="0"/>
      <w:divBdr>
        <w:top w:val="none" w:sz="0" w:space="0" w:color="auto"/>
        <w:left w:val="none" w:sz="0" w:space="0" w:color="auto"/>
        <w:bottom w:val="none" w:sz="0" w:space="0" w:color="auto"/>
        <w:right w:val="none" w:sz="0" w:space="0" w:color="auto"/>
      </w:divBdr>
    </w:div>
    <w:div w:id="835418090">
      <w:bodyDiv w:val="1"/>
      <w:marLeft w:val="0"/>
      <w:marRight w:val="0"/>
      <w:marTop w:val="0"/>
      <w:marBottom w:val="0"/>
      <w:divBdr>
        <w:top w:val="none" w:sz="0" w:space="0" w:color="auto"/>
        <w:left w:val="none" w:sz="0" w:space="0" w:color="auto"/>
        <w:bottom w:val="none" w:sz="0" w:space="0" w:color="auto"/>
        <w:right w:val="none" w:sz="0" w:space="0" w:color="auto"/>
      </w:divBdr>
    </w:div>
    <w:div w:id="835418693">
      <w:bodyDiv w:val="1"/>
      <w:marLeft w:val="0"/>
      <w:marRight w:val="0"/>
      <w:marTop w:val="0"/>
      <w:marBottom w:val="0"/>
      <w:divBdr>
        <w:top w:val="none" w:sz="0" w:space="0" w:color="auto"/>
        <w:left w:val="none" w:sz="0" w:space="0" w:color="auto"/>
        <w:bottom w:val="none" w:sz="0" w:space="0" w:color="auto"/>
        <w:right w:val="none" w:sz="0" w:space="0" w:color="auto"/>
      </w:divBdr>
    </w:div>
    <w:div w:id="835538300">
      <w:bodyDiv w:val="1"/>
      <w:marLeft w:val="0"/>
      <w:marRight w:val="0"/>
      <w:marTop w:val="0"/>
      <w:marBottom w:val="0"/>
      <w:divBdr>
        <w:top w:val="none" w:sz="0" w:space="0" w:color="auto"/>
        <w:left w:val="none" w:sz="0" w:space="0" w:color="auto"/>
        <w:bottom w:val="none" w:sz="0" w:space="0" w:color="auto"/>
        <w:right w:val="none" w:sz="0" w:space="0" w:color="auto"/>
      </w:divBdr>
    </w:div>
    <w:div w:id="835649843">
      <w:bodyDiv w:val="1"/>
      <w:marLeft w:val="0"/>
      <w:marRight w:val="0"/>
      <w:marTop w:val="0"/>
      <w:marBottom w:val="0"/>
      <w:divBdr>
        <w:top w:val="none" w:sz="0" w:space="0" w:color="auto"/>
        <w:left w:val="none" w:sz="0" w:space="0" w:color="auto"/>
        <w:bottom w:val="none" w:sz="0" w:space="0" w:color="auto"/>
        <w:right w:val="none" w:sz="0" w:space="0" w:color="auto"/>
      </w:divBdr>
    </w:div>
    <w:div w:id="835731430">
      <w:bodyDiv w:val="1"/>
      <w:marLeft w:val="0"/>
      <w:marRight w:val="0"/>
      <w:marTop w:val="0"/>
      <w:marBottom w:val="0"/>
      <w:divBdr>
        <w:top w:val="none" w:sz="0" w:space="0" w:color="auto"/>
        <w:left w:val="none" w:sz="0" w:space="0" w:color="auto"/>
        <w:bottom w:val="none" w:sz="0" w:space="0" w:color="auto"/>
        <w:right w:val="none" w:sz="0" w:space="0" w:color="auto"/>
      </w:divBdr>
    </w:div>
    <w:div w:id="835875274">
      <w:bodyDiv w:val="1"/>
      <w:marLeft w:val="0"/>
      <w:marRight w:val="0"/>
      <w:marTop w:val="0"/>
      <w:marBottom w:val="0"/>
      <w:divBdr>
        <w:top w:val="none" w:sz="0" w:space="0" w:color="auto"/>
        <w:left w:val="none" w:sz="0" w:space="0" w:color="auto"/>
        <w:bottom w:val="none" w:sz="0" w:space="0" w:color="auto"/>
        <w:right w:val="none" w:sz="0" w:space="0" w:color="auto"/>
      </w:divBdr>
    </w:div>
    <w:div w:id="835996653">
      <w:bodyDiv w:val="1"/>
      <w:marLeft w:val="0"/>
      <w:marRight w:val="0"/>
      <w:marTop w:val="0"/>
      <w:marBottom w:val="0"/>
      <w:divBdr>
        <w:top w:val="none" w:sz="0" w:space="0" w:color="auto"/>
        <w:left w:val="none" w:sz="0" w:space="0" w:color="auto"/>
        <w:bottom w:val="none" w:sz="0" w:space="0" w:color="auto"/>
        <w:right w:val="none" w:sz="0" w:space="0" w:color="auto"/>
      </w:divBdr>
    </w:div>
    <w:div w:id="836068197">
      <w:bodyDiv w:val="1"/>
      <w:marLeft w:val="0"/>
      <w:marRight w:val="0"/>
      <w:marTop w:val="0"/>
      <w:marBottom w:val="0"/>
      <w:divBdr>
        <w:top w:val="none" w:sz="0" w:space="0" w:color="auto"/>
        <w:left w:val="none" w:sz="0" w:space="0" w:color="auto"/>
        <w:bottom w:val="none" w:sz="0" w:space="0" w:color="auto"/>
        <w:right w:val="none" w:sz="0" w:space="0" w:color="auto"/>
      </w:divBdr>
    </w:div>
    <w:div w:id="836069954">
      <w:bodyDiv w:val="1"/>
      <w:marLeft w:val="0"/>
      <w:marRight w:val="0"/>
      <w:marTop w:val="0"/>
      <w:marBottom w:val="0"/>
      <w:divBdr>
        <w:top w:val="none" w:sz="0" w:space="0" w:color="auto"/>
        <w:left w:val="none" w:sz="0" w:space="0" w:color="auto"/>
        <w:bottom w:val="none" w:sz="0" w:space="0" w:color="auto"/>
        <w:right w:val="none" w:sz="0" w:space="0" w:color="auto"/>
      </w:divBdr>
    </w:div>
    <w:div w:id="836074998">
      <w:bodyDiv w:val="1"/>
      <w:marLeft w:val="0"/>
      <w:marRight w:val="0"/>
      <w:marTop w:val="0"/>
      <w:marBottom w:val="0"/>
      <w:divBdr>
        <w:top w:val="none" w:sz="0" w:space="0" w:color="auto"/>
        <w:left w:val="none" w:sz="0" w:space="0" w:color="auto"/>
        <w:bottom w:val="none" w:sz="0" w:space="0" w:color="auto"/>
        <w:right w:val="none" w:sz="0" w:space="0" w:color="auto"/>
      </w:divBdr>
    </w:div>
    <w:div w:id="836187232">
      <w:bodyDiv w:val="1"/>
      <w:marLeft w:val="0"/>
      <w:marRight w:val="0"/>
      <w:marTop w:val="0"/>
      <w:marBottom w:val="0"/>
      <w:divBdr>
        <w:top w:val="none" w:sz="0" w:space="0" w:color="auto"/>
        <w:left w:val="none" w:sz="0" w:space="0" w:color="auto"/>
        <w:bottom w:val="none" w:sz="0" w:space="0" w:color="auto"/>
        <w:right w:val="none" w:sz="0" w:space="0" w:color="auto"/>
      </w:divBdr>
    </w:div>
    <w:div w:id="836267627">
      <w:bodyDiv w:val="1"/>
      <w:marLeft w:val="0"/>
      <w:marRight w:val="0"/>
      <w:marTop w:val="0"/>
      <w:marBottom w:val="0"/>
      <w:divBdr>
        <w:top w:val="none" w:sz="0" w:space="0" w:color="auto"/>
        <w:left w:val="none" w:sz="0" w:space="0" w:color="auto"/>
        <w:bottom w:val="none" w:sz="0" w:space="0" w:color="auto"/>
        <w:right w:val="none" w:sz="0" w:space="0" w:color="auto"/>
      </w:divBdr>
    </w:div>
    <w:div w:id="836388206">
      <w:bodyDiv w:val="1"/>
      <w:marLeft w:val="0"/>
      <w:marRight w:val="0"/>
      <w:marTop w:val="0"/>
      <w:marBottom w:val="0"/>
      <w:divBdr>
        <w:top w:val="none" w:sz="0" w:space="0" w:color="auto"/>
        <w:left w:val="none" w:sz="0" w:space="0" w:color="auto"/>
        <w:bottom w:val="none" w:sz="0" w:space="0" w:color="auto"/>
        <w:right w:val="none" w:sz="0" w:space="0" w:color="auto"/>
      </w:divBdr>
    </w:div>
    <w:div w:id="836459252">
      <w:bodyDiv w:val="1"/>
      <w:marLeft w:val="0"/>
      <w:marRight w:val="0"/>
      <w:marTop w:val="0"/>
      <w:marBottom w:val="0"/>
      <w:divBdr>
        <w:top w:val="none" w:sz="0" w:space="0" w:color="auto"/>
        <w:left w:val="none" w:sz="0" w:space="0" w:color="auto"/>
        <w:bottom w:val="none" w:sz="0" w:space="0" w:color="auto"/>
        <w:right w:val="none" w:sz="0" w:space="0" w:color="auto"/>
      </w:divBdr>
    </w:div>
    <w:div w:id="836463163">
      <w:bodyDiv w:val="1"/>
      <w:marLeft w:val="0"/>
      <w:marRight w:val="0"/>
      <w:marTop w:val="0"/>
      <w:marBottom w:val="0"/>
      <w:divBdr>
        <w:top w:val="none" w:sz="0" w:space="0" w:color="auto"/>
        <w:left w:val="none" w:sz="0" w:space="0" w:color="auto"/>
        <w:bottom w:val="none" w:sz="0" w:space="0" w:color="auto"/>
        <w:right w:val="none" w:sz="0" w:space="0" w:color="auto"/>
      </w:divBdr>
    </w:div>
    <w:div w:id="836580262">
      <w:bodyDiv w:val="1"/>
      <w:marLeft w:val="0"/>
      <w:marRight w:val="0"/>
      <w:marTop w:val="0"/>
      <w:marBottom w:val="0"/>
      <w:divBdr>
        <w:top w:val="none" w:sz="0" w:space="0" w:color="auto"/>
        <w:left w:val="none" w:sz="0" w:space="0" w:color="auto"/>
        <w:bottom w:val="none" w:sz="0" w:space="0" w:color="auto"/>
        <w:right w:val="none" w:sz="0" w:space="0" w:color="auto"/>
      </w:divBdr>
    </w:div>
    <w:div w:id="836726336">
      <w:bodyDiv w:val="1"/>
      <w:marLeft w:val="0"/>
      <w:marRight w:val="0"/>
      <w:marTop w:val="0"/>
      <w:marBottom w:val="0"/>
      <w:divBdr>
        <w:top w:val="none" w:sz="0" w:space="0" w:color="auto"/>
        <w:left w:val="none" w:sz="0" w:space="0" w:color="auto"/>
        <w:bottom w:val="none" w:sz="0" w:space="0" w:color="auto"/>
        <w:right w:val="none" w:sz="0" w:space="0" w:color="auto"/>
      </w:divBdr>
    </w:div>
    <w:div w:id="836767236">
      <w:bodyDiv w:val="1"/>
      <w:marLeft w:val="0"/>
      <w:marRight w:val="0"/>
      <w:marTop w:val="0"/>
      <w:marBottom w:val="0"/>
      <w:divBdr>
        <w:top w:val="none" w:sz="0" w:space="0" w:color="auto"/>
        <w:left w:val="none" w:sz="0" w:space="0" w:color="auto"/>
        <w:bottom w:val="none" w:sz="0" w:space="0" w:color="auto"/>
        <w:right w:val="none" w:sz="0" w:space="0" w:color="auto"/>
      </w:divBdr>
    </w:div>
    <w:div w:id="836966771">
      <w:bodyDiv w:val="1"/>
      <w:marLeft w:val="0"/>
      <w:marRight w:val="0"/>
      <w:marTop w:val="0"/>
      <w:marBottom w:val="0"/>
      <w:divBdr>
        <w:top w:val="none" w:sz="0" w:space="0" w:color="auto"/>
        <w:left w:val="none" w:sz="0" w:space="0" w:color="auto"/>
        <w:bottom w:val="none" w:sz="0" w:space="0" w:color="auto"/>
        <w:right w:val="none" w:sz="0" w:space="0" w:color="auto"/>
      </w:divBdr>
    </w:div>
    <w:div w:id="837111699">
      <w:bodyDiv w:val="1"/>
      <w:marLeft w:val="0"/>
      <w:marRight w:val="0"/>
      <w:marTop w:val="0"/>
      <w:marBottom w:val="0"/>
      <w:divBdr>
        <w:top w:val="none" w:sz="0" w:space="0" w:color="auto"/>
        <w:left w:val="none" w:sz="0" w:space="0" w:color="auto"/>
        <w:bottom w:val="none" w:sz="0" w:space="0" w:color="auto"/>
        <w:right w:val="none" w:sz="0" w:space="0" w:color="auto"/>
      </w:divBdr>
    </w:div>
    <w:div w:id="837115197">
      <w:bodyDiv w:val="1"/>
      <w:marLeft w:val="0"/>
      <w:marRight w:val="0"/>
      <w:marTop w:val="0"/>
      <w:marBottom w:val="0"/>
      <w:divBdr>
        <w:top w:val="none" w:sz="0" w:space="0" w:color="auto"/>
        <w:left w:val="none" w:sz="0" w:space="0" w:color="auto"/>
        <w:bottom w:val="none" w:sz="0" w:space="0" w:color="auto"/>
        <w:right w:val="none" w:sz="0" w:space="0" w:color="auto"/>
      </w:divBdr>
    </w:div>
    <w:div w:id="837115746">
      <w:bodyDiv w:val="1"/>
      <w:marLeft w:val="0"/>
      <w:marRight w:val="0"/>
      <w:marTop w:val="0"/>
      <w:marBottom w:val="0"/>
      <w:divBdr>
        <w:top w:val="none" w:sz="0" w:space="0" w:color="auto"/>
        <w:left w:val="none" w:sz="0" w:space="0" w:color="auto"/>
        <w:bottom w:val="none" w:sz="0" w:space="0" w:color="auto"/>
        <w:right w:val="none" w:sz="0" w:space="0" w:color="auto"/>
      </w:divBdr>
    </w:div>
    <w:div w:id="837157627">
      <w:bodyDiv w:val="1"/>
      <w:marLeft w:val="0"/>
      <w:marRight w:val="0"/>
      <w:marTop w:val="0"/>
      <w:marBottom w:val="0"/>
      <w:divBdr>
        <w:top w:val="none" w:sz="0" w:space="0" w:color="auto"/>
        <w:left w:val="none" w:sz="0" w:space="0" w:color="auto"/>
        <w:bottom w:val="none" w:sz="0" w:space="0" w:color="auto"/>
        <w:right w:val="none" w:sz="0" w:space="0" w:color="auto"/>
      </w:divBdr>
    </w:div>
    <w:div w:id="837158195">
      <w:bodyDiv w:val="1"/>
      <w:marLeft w:val="0"/>
      <w:marRight w:val="0"/>
      <w:marTop w:val="0"/>
      <w:marBottom w:val="0"/>
      <w:divBdr>
        <w:top w:val="none" w:sz="0" w:space="0" w:color="auto"/>
        <w:left w:val="none" w:sz="0" w:space="0" w:color="auto"/>
        <w:bottom w:val="none" w:sz="0" w:space="0" w:color="auto"/>
        <w:right w:val="none" w:sz="0" w:space="0" w:color="auto"/>
      </w:divBdr>
    </w:div>
    <w:div w:id="837235523">
      <w:bodyDiv w:val="1"/>
      <w:marLeft w:val="0"/>
      <w:marRight w:val="0"/>
      <w:marTop w:val="0"/>
      <w:marBottom w:val="0"/>
      <w:divBdr>
        <w:top w:val="none" w:sz="0" w:space="0" w:color="auto"/>
        <w:left w:val="none" w:sz="0" w:space="0" w:color="auto"/>
        <w:bottom w:val="none" w:sz="0" w:space="0" w:color="auto"/>
        <w:right w:val="none" w:sz="0" w:space="0" w:color="auto"/>
      </w:divBdr>
    </w:div>
    <w:div w:id="837384342">
      <w:bodyDiv w:val="1"/>
      <w:marLeft w:val="0"/>
      <w:marRight w:val="0"/>
      <w:marTop w:val="0"/>
      <w:marBottom w:val="0"/>
      <w:divBdr>
        <w:top w:val="none" w:sz="0" w:space="0" w:color="auto"/>
        <w:left w:val="none" w:sz="0" w:space="0" w:color="auto"/>
        <w:bottom w:val="none" w:sz="0" w:space="0" w:color="auto"/>
        <w:right w:val="none" w:sz="0" w:space="0" w:color="auto"/>
      </w:divBdr>
    </w:div>
    <w:div w:id="837616393">
      <w:bodyDiv w:val="1"/>
      <w:marLeft w:val="0"/>
      <w:marRight w:val="0"/>
      <w:marTop w:val="0"/>
      <w:marBottom w:val="0"/>
      <w:divBdr>
        <w:top w:val="none" w:sz="0" w:space="0" w:color="auto"/>
        <w:left w:val="none" w:sz="0" w:space="0" w:color="auto"/>
        <w:bottom w:val="none" w:sz="0" w:space="0" w:color="auto"/>
        <w:right w:val="none" w:sz="0" w:space="0" w:color="auto"/>
      </w:divBdr>
    </w:div>
    <w:div w:id="837623065">
      <w:bodyDiv w:val="1"/>
      <w:marLeft w:val="0"/>
      <w:marRight w:val="0"/>
      <w:marTop w:val="0"/>
      <w:marBottom w:val="0"/>
      <w:divBdr>
        <w:top w:val="none" w:sz="0" w:space="0" w:color="auto"/>
        <w:left w:val="none" w:sz="0" w:space="0" w:color="auto"/>
        <w:bottom w:val="none" w:sz="0" w:space="0" w:color="auto"/>
        <w:right w:val="none" w:sz="0" w:space="0" w:color="auto"/>
      </w:divBdr>
    </w:div>
    <w:div w:id="837692150">
      <w:bodyDiv w:val="1"/>
      <w:marLeft w:val="0"/>
      <w:marRight w:val="0"/>
      <w:marTop w:val="0"/>
      <w:marBottom w:val="0"/>
      <w:divBdr>
        <w:top w:val="none" w:sz="0" w:space="0" w:color="auto"/>
        <w:left w:val="none" w:sz="0" w:space="0" w:color="auto"/>
        <w:bottom w:val="none" w:sz="0" w:space="0" w:color="auto"/>
        <w:right w:val="none" w:sz="0" w:space="0" w:color="auto"/>
      </w:divBdr>
    </w:div>
    <w:div w:id="837695091">
      <w:bodyDiv w:val="1"/>
      <w:marLeft w:val="0"/>
      <w:marRight w:val="0"/>
      <w:marTop w:val="0"/>
      <w:marBottom w:val="0"/>
      <w:divBdr>
        <w:top w:val="none" w:sz="0" w:space="0" w:color="auto"/>
        <w:left w:val="none" w:sz="0" w:space="0" w:color="auto"/>
        <w:bottom w:val="none" w:sz="0" w:space="0" w:color="auto"/>
        <w:right w:val="none" w:sz="0" w:space="0" w:color="auto"/>
      </w:divBdr>
    </w:div>
    <w:div w:id="837698952">
      <w:bodyDiv w:val="1"/>
      <w:marLeft w:val="0"/>
      <w:marRight w:val="0"/>
      <w:marTop w:val="0"/>
      <w:marBottom w:val="0"/>
      <w:divBdr>
        <w:top w:val="none" w:sz="0" w:space="0" w:color="auto"/>
        <w:left w:val="none" w:sz="0" w:space="0" w:color="auto"/>
        <w:bottom w:val="none" w:sz="0" w:space="0" w:color="auto"/>
        <w:right w:val="none" w:sz="0" w:space="0" w:color="auto"/>
      </w:divBdr>
    </w:div>
    <w:div w:id="837812252">
      <w:bodyDiv w:val="1"/>
      <w:marLeft w:val="0"/>
      <w:marRight w:val="0"/>
      <w:marTop w:val="0"/>
      <w:marBottom w:val="0"/>
      <w:divBdr>
        <w:top w:val="none" w:sz="0" w:space="0" w:color="auto"/>
        <w:left w:val="none" w:sz="0" w:space="0" w:color="auto"/>
        <w:bottom w:val="none" w:sz="0" w:space="0" w:color="auto"/>
        <w:right w:val="none" w:sz="0" w:space="0" w:color="auto"/>
      </w:divBdr>
    </w:div>
    <w:div w:id="837890232">
      <w:bodyDiv w:val="1"/>
      <w:marLeft w:val="0"/>
      <w:marRight w:val="0"/>
      <w:marTop w:val="0"/>
      <w:marBottom w:val="0"/>
      <w:divBdr>
        <w:top w:val="none" w:sz="0" w:space="0" w:color="auto"/>
        <w:left w:val="none" w:sz="0" w:space="0" w:color="auto"/>
        <w:bottom w:val="none" w:sz="0" w:space="0" w:color="auto"/>
        <w:right w:val="none" w:sz="0" w:space="0" w:color="auto"/>
      </w:divBdr>
    </w:div>
    <w:div w:id="837965402">
      <w:bodyDiv w:val="1"/>
      <w:marLeft w:val="0"/>
      <w:marRight w:val="0"/>
      <w:marTop w:val="0"/>
      <w:marBottom w:val="0"/>
      <w:divBdr>
        <w:top w:val="none" w:sz="0" w:space="0" w:color="auto"/>
        <w:left w:val="none" w:sz="0" w:space="0" w:color="auto"/>
        <w:bottom w:val="none" w:sz="0" w:space="0" w:color="auto"/>
        <w:right w:val="none" w:sz="0" w:space="0" w:color="auto"/>
      </w:divBdr>
    </w:div>
    <w:div w:id="838039338">
      <w:bodyDiv w:val="1"/>
      <w:marLeft w:val="0"/>
      <w:marRight w:val="0"/>
      <w:marTop w:val="0"/>
      <w:marBottom w:val="0"/>
      <w:divBdr>
        <w:top w:val="none" w:sz="0" w:space="0" w:color="auto"/>
        <w:left w:val="none" w:sz="0" w:space="0" w:color="auto"/>
        <w:bottom w:val="none" w:sz="0" w:space="0" w:color="auto"/>
        <w:right w:val="none" w:sz="0" w:space="0" w:color="auto"/>
      </w:divBdr>
    </w:div>
    <w:div w:id="838077902">
      <w:bodyDiv w:val="1"/>
      <w:marLeft w:val="0"/>
      <w:marRight w:val="0"/>
      <w:marTop w:val="0"/>
      <w:marBottom w:val="0"/>
      <w:divBdr>
        <w:top w:val="none" w:sz="0" w:space="0" w:color="auto"/>
        <w:left w:val="none" w:sz="0" w:space="0" w:color="auto"/>
        <w:bottom w:val="none" w:sz="0" w:space="0" w:color="auto"/>
        <w:right w:val="none" w:sz="0" w:space="0" w:color="auto"/>
      </w:divBdr>
    </w:div>
    <w:div w:id="838154947">
      <w:bodyDiv w:val="1"/>
      <w:marLeft w:val="0"/>
      <w:marRight w:val="0"/>
      <w:marTop w:val="0"/>
      <w:marBottom w:val="0"/>
      <w:divBdr>
        <w:top w:val="none" w:sz="0" w:space="0" w:color="auto"/>
        <w:left w:val="none" w:sz="0" w:space="0" w:color="auto"/>
        <w:bottom w:val="none" w:sz="0" w:space="0" w:color="auto"/>
        <w:right w:val="none" w:sz="0" w:space="0" w:color="auto"/>
      </w:divBdr>
    </w:div>
    <w:div w:id="838230863">
      <w:bodyDiv w:val="1"/>
      <w:marLeft w:val="0"/>
      <w:marRight w:val="0"/>
      <w:marTop w:val="0"/>
      <w:marBottom w:val="0"/>
      <w:divBdr>
        <w:top w:val="none" w:sz="0" w:space="0" w:color="auto"/>
        <w:left w:val="none" w:sz="0" w:space="0" w:color="auto"/>
        <w:bottom w:val="none" w:sz="0" w:space="0" w:color="auto"/>
        <w:right w:val="none" w:sz="0" w:space="0" w:color="auto"/>
      </w:divBdr>
    </w:div>
    <w:div w:id="838348144">
      <w:bodyDiv w:val="1"/>
      <w:marLeft w:val="0"/>
      <w:marRight w:val="0"/>
      <w:marTop w:val="0"/>
      <w:marBottom w:val="0"/>
      <w:divBdr>
        <w:top w:val="none" w:sz="0" w:space="0" w:color="auto"/>
        <w:left w:val="none" w:sz="0" w:space="0" w:color="auto"/>
        <w:bottom w:val="none" w:sz="0" w:space="0" w:color="auto"/>
        <w:right w:val="none" w:sz="0" w:space="0" w:color="auto"/>
      </w:divBdr>
    </w:div>
    <w:div w:id="838471819">
      <w:bodyDiv w:val="1"/>
      <w:marLeft w:val="0"/>
      <w:marRight w:val="0"/>
      <w:marTop w:val="0"/>
      <w:marBottom w:val="0"/>
      <w:divBdr>
        <w:top w:val="none" w:sz="0" w:space="0" w:color="auto"/>
        <w:left w:val="none" w:sz="0" w:space="0" w:color="auto"/>
        <w:bottom w:val="none" w:sz="0" w:space="0" w:color="auto"/>
        <w:right w:val="none" w:sz="0" w:space="0" w:color="auto"/>
      </w:divBdr>
    </w:div>
    <w:div w:id="838547849">
      <w:bodyDiv w:val="1"/>
      <w:marLeft w:val="0"/>
      <w:marRight w:val="0"/>
      <w:marTop w:val="0"/>
      <w:marBottom w:val="0"/>
      <w:divBdr>
        <w:top w:val="none" w:sz="0" w:space="0" w:color="auto"/>
        <w:left w:val="none" w:sz="0" w:space="0" w:color="auto"/>
        <w:bottom w:val="none" w:sz="0" w:space="0" w:color="auto"/>
        <w:right w:val="none" w:sz="0" w:space="0" w:color="auto"/>
      </w:divBdr>
    </w:div>
    <w:div w:id="838614579">
      <w:bodyDiv w:val="1"/>
      <w:marLeft w:val="0"/>
      <w:marRight w:val="0"/>
      <w:marTop w:val="0"/>
      <w:marBottom w:val="0"/>
      <w:divBdr>
        <w:top w:val="none" w:sz="0" w:space="0" w:color="auto"/>
        <w:left w:val="none" w:sz="0" w:space="0" w:color="auto"/>
        <w:bottom w:val="none" w:sz="0" w:space="0" w:color="auto"/>
        <w:right w:val="none" w:sz="0" w:space="0" w:color="auto"/>
      </w:divBdr>
    </w:div>
    <w:div w:id="838618307">
      <w:bodyDiv w:val="1"/>
      <w:marLeft w:val="0"/>
      <w:marRight w:val="0"/>
      <w:marTop w:val="0"/>
      <w:marBottom w:val="0"/>
      <w:divBdr>
        <w:top w:val="none" w:sz="0" w:space="0" w:color="auto"/>
        <w:left w:val="none" w:sz="0" w:space="0" w:color="auto"/>
        <w:bottom w:val="none" w:sz="0" w:space="0" w:color="auto"/>
        <w:right w:val="none" w:sz="0" w:space="0" w:color="auto"/>
      </w:divBdr>
    </w:div>
    <w:div w:id="838618641">
      <w:bodyDiv w:val="1"/>
      <w:marLeft w:val="0"/>
      <w:marRight w:val="0"/>
      <w:marTop w:val="0"/>
      <w:marBottom w:val="0"/>
      <w:divBdr>
        <w:top w:val="none" w:sz="0" w:space="0" w:color="auto"/>
        <w:left w:val="none" w:sz="0" w:space="0" w:color="auto"/>
        <w:bottom w:val="none" w:sz="0" w:space="0" w:color="auto"/>
        <w:right w:val="none" w:sz="0" w:space="0" w:color="auto"/>
      </w:divBdr>
    </w:div>
    <w:div w:id="838737051">
      <w:bodyDiv w:val="1"/>
      <w:marLeft w:val="0"/>
      <w:marRight w:val="0"/>
      <w:marTop w:val="0"/>
      <w:marBottom w:val="0"/>
      <w:divBdr>
        <w:top w:val="none" w:sz="0" w:space="0" w:color="auto"/>
        <w:left w:val="none" w:sz="0" w:space="0" w:color="auto"/>
        <w:bottom w:val="none" w:sz="0" w:space="0" w:color="auto"/>
        <w:right w:val="none" w:sz="0" w:space="0" w:color="auto"/>
      </w:divBdr>
    </w:div>
    <w:div w:id="838738946">
      <w:bodyDiv w:val="1"/>
      <w:marLeft w:val="0"/>
      <w:marRight w:val="0"/>
      <w:marTop w:val="0"/>
      <w:marBottom w:val="0"/>
      <w:divBdr>
        <w:top w:val="none" w:sz="0" w:space="0" w:color="auto"/>
        <w:left w:val="none" w:sz="0" w:space="0" w:color="auto"/>
        <w:bottom w:val="none" w:sz="0" w:space="0" w:color="auto"/>
        <w:right w:val="none" w:sz="0" w:space="0" w:color="auto"/>
      </w:divBdr>
    </w:div>
    <w:div w:id="838814228">
      <w:bodyDiv w:val="1"/>
      <w:marLeft w:val="0"/>
      <w:marRight w:val="0"/>
      <w:marTop w:val="0"/>
      <w:marBottom w:val="0"/>
      <w:divBdr>
        <w:top w:val="none" w:sz="0" w:space="0" w:color="auto"/>
        <w:left w:val="none" w:sz="0" w:space="0" w:color="auto"/>
        <w:bottom w:val="none" w:sz="0" w:space="0" w:color="auto"/>
        <w:right w:val="none" w:sz="0" w:space="0" w:color="auto"/>
      </w:divBdr>
    </w:div>
    <w:div w:id="838816672">
      <w:bodyDiv w:val="1"/>
      <w:marLeft w:val="0"/>
      <w:marRight w:val="0"/>
      <w:marTop w:val="0"/>
      <w:marBottom w:val="0"/>
      <w:divBdr>
        <w:top w:val="none" w:sz="0" w:space="0" w:color="auto"/>
        <w:left w:val="none" w:sz="0" w:space="0" w:color="auto"/>
        <w:bottom w:val="none" w:sz="0" w:space="0" w:color="auto"/>
        <w:right w:val="none" w:sz="0" w:space="0" w:color="auto"/>
      </w:divBdr>
    </w:div>
    <w:div w:id="838930890">
      <w:bodyDiv w:val="1"/>
      <w:marLeft w:val="0"/>
      <w:marRight w:val="0"/>
      <w:marTop w:val="0"/>
      <w:marBottom w:val="0"/>
      <w:divBdr>
        <w:top w:val="none" w:sz="0" w:space="0" w:color="auto"/>
        <w:left w:val="none" w:sz="0" w:space="0" w:color="auto"/>
        <w:bottom w:val="none" w:sz="0" w:space="0" w:color="auto"/>
        <w:right w:val="none" w:sz="0" w:space="0" w:color="auto"/>
      </w:divBdr>
    </w:div>
    <w:div w:id="839005782">
      <w:bodyDiv w:val="1"/>
      <w:marLeft w:val="0"/>
      <w:marRight w:val="0"/>
      <w:marTop w:val="0"/>
      <w:marBottom w:val="0"/>
      <w:divBdr>
        <w:top w:val="none" w:sz="0" w:space="0" w:color="auto"/>
        <w:left w:val="none" w:sz="0" w:space="0" w:color="auto"/>
        <w:bottom w:val="none" w:sz="0" w:space="0" w:color="auto"/>
        <w:right w:val="none" w:sz="0" w:space="0" w:color="auto"/>
      </w:divBdr>
    </w:div>
    <w:div w:id="839153050">
      <w:bodyDiv w:val="1"/>
      <w:marLeft w:val="0"/>
      <w:marRight w:val="0"/>
      <w:marTop w:val="0"/>
      <w:marBottom w:val="0"/>
      <w:divBdr>
        <w:top w:val="none" w:sz="0" w:space="0" w:color="auto"/>
        <w:left w:val="none" w:sz="0" w:space="0" w:color="auto"/>
        <w:bottom w:val="none" w:sz="0" w:space="0" w:color="auto"/>
        <w:right w:val="none" w:sz="0" w:space="0" w:color="auto"/>
      </w:divBdr>
    </w:div>
    <w:div w:id="839193607">
      <w:bodyDiv w:val="1"/>
      <w:marLeft w:val="0"/>
      <w:marRight w:val="0"/>
      <w:marTop w:val="0"/>
      <w:marBottom w:val="0"/>
      <w:divBdr>
        <w:top w:val="none" w:sz="0" w:space="0" w:color="auto"/>
        <w:left w:val="none" w:sz="0" w:space="0" w:color="auto"/>
        <w:bottom w:val="none" w:sz="0" w:space="0" w:color="auto"/>
        <w:right w:val="none" w:sz="0" w:space="0" w:color="auto"/>
      </w:divBdr>
    </w:div>
    <w:div w:id="839349205">
      <w:bodyDiv w:val="1"/>
      <w:marLeft w:val="0"/>
      <w:marRight w:val="0"/>
      <w:marTop w:val="0"/>
      <w:marBottom w:val="0"/>
      <w:divBdr>
        <w:top w:val="none" w:sz="0" w:space="0" w:color="auto"/>
        <w:left w:val="none" w:sz="0" w:space="0" w:color="auto"/>
        <w:bottom w:val="none" w:sz="0" w:space="0" w:color="auto"/>
        <w:right w:val="none" w:sz="0" w:space="0" w:color="auto"/>
      </w:divBdr>
    </w:div>
    <w:div w:id="839468389">
      <w:bodyDiv w:val="1"/>
      <w:marLeft w:val="0"/>
      <w:marRight w:val="0"/>
      <w:marTop w:val="0"/>
      <w:marBottom w:val="0"/>
      <w:divBdr>
        <w:top w:val="none" w:sz="0" w:space="0" w:color="auto"/>
        <w:left w:val="none" w:sz="0" w:space="0" w:color="auto"/>
        <w:bottom w:val="none" w:sz="0" w:space="0" w:color="auto"/>
        <w:right w:val="none" w:sz="0" w:space="0" w:color="auto"/>
      </w:divBdr>
    </w:div>
    <w:div w:id="839664094">
      <w:bodyDiv w:val="1"/>
      <w:marLeft w:val="0"/>
      <w:marRight w:val="0"/>
      <w:marTop w:val="0"/>
      <w:marBottom w:val="0"/>
      <w:divBdr>
        <w:top w:val="none" w:sz="0" w:space="0" w:color="auto"/>
        <w:left w:val="none" w:sz="0" w:space="0" w:color="auto"/>
        <w:bottom w:val="none" w:sz="0" w:space="0" w:color="auto"/>
        <w:right w:val="none" w:sz="0" w:space="0" w:color="auto"/>
      </w:divBdr>
    </w:div>
    <w:div w:id="839778877">
      <w:bodyDiv w:val="1"/>
      <w:marLeft w:val="0"/>
      <w:marRight w:val="0"/>
      <w:marTop w:val="0"/>
      <w:marBottom w:val="0"/>
      <w:divBdr>
        <w:top w:val="none" w:sz="0" w:space="0" w:color="auto"/>
        <w:left w:val="none" w:sz="0" w:space="0" w:color="auto"/>
        <w:bottom w:val="none" w:sz="0" w:space="0" w:color="auto"/>
        <w:right w:val="none" w:sz="0" w:space="0" w:color="auto"/>
      </w:divBdr>
    </w:div>
    <w:div w:id="839779179">
      <w:bodyDiv w:val="1"/>
      <w:marLeft w:val="0"/>
      <w:marRight w:val="0"/>
      <w:marTop w:val="0"/>
      <w:marBottom w:val="0"/>
      <w:divBdr>
        <w:top w:val="none" w:sz="0" w:space="0" w:color="auto"/>
        <w:left w:val="none" w:sz="0" w:space="0" w:color="auto"/>
        <w:bottom w:val="none" w:sz="0" w:space="0" w:color="auto"/>
        <w:right w:val="none" w:sz="0" w:space="0" w:color="auto"/>
      </w:divBdr>
    </w:div>
    <w:div w:id="839809017">
      <w:bodyDiv w:val="1"/>
      <w:marLeft w:val="0"/>
      <w:marRight w:val="0"/>
      <w:marTop w:val="0"/>
      <w:marBottom w:val="0"/>
      <w:divBdr>
        <w:top w:val="none" w:sz="0" w:space="0" w:color="auto"/>
        <w:left w:val="none" w:sz="0" w:space="0" w:color="auto"/>
        <w:bottom w:val="none" w:sz="0" w:space="0" w:color="auto"/>
        <w:right w:val="none" w:sz="0" w:space="0" w:color="auto"/>
      </w:divBdr>
    </w:div>
    <w:div w:id="839849956">
      <w:bodyDiv w:val="1"/>
      <w:marLeft w:val="0"/>
      <w:marRight w:val="0"/>
      <w:marTop w:val="0"/>
      <w:marBottom w:val="0"/>
      <w:divBdr>
        <w:top w:val="none" w:sz="0" w:space="0" w:color="auto"/>
        <w:left w:val="none" w:sz="0" w:space="0" w:color="auto"/>
        <w:bottom w:val="none" w:sz="0" w:space="0" w:color="auto"/>
        <w:right w:val="none" w:sz="0" w:space="0" w:color="auto"/>
      </w:divBdr>
    </w:div>
    <w:div w:id="839928415">
      <w:bodyDiv w:val="1"/>
      <w:marLeft w:val="0"/>
      <w:marRight w:val="0"/>
      <w:marTop w:val="0"/>
      <w:marBottom w:val="0"/>
      <w:divBdr>
        <w:top w:val="none" w:sz="0" w:space="0" w:color="auto"/>
        <w:left w:val="none" w:sz="0" w:space="0" w:color="auto"/>
        <w:bottom w:val="none" w:sz="0" w:space="0" w:color="auto"/>
        <w:right w:val="none" w:sz="0" w:space="0" w:color="auto"/>
      </w:divBdr>
    </w:div>
    <w:div w:id="840004623">
      <w:bodyDiv w:val="1"/>
      <w:marLeft w:val="0"/>
      <w:marRight w:val="0"/>
      <w:marTop w:val="0"/>
      <w:marBottom w:val="0"/>
      <w:divBdr>
        <w:top w:val="none" w:sz="0" w:space="0" w:color="auto"/>
        <w:left w:val="none" w:sz="0" w:space="0" w:color="auto"/>
        <w:bottom w:val="none" w:sz="0" w:space="0" w:color="auto"/>
        <w:right w:val="none" w:sz="0" w:space="0" w:color="auto"/>
      </w:divBdr>
    </w:div>
    <w:div w:id="840048316">
      <w:bodyDiv w:val="1"/>
      <w:marLeft w:val="0"/>
      <w:marRight w:val="0"/>
      <w:marTop w:val="0"/>
      <w:marBottom w:val="0"/>
      <w:divBdr>
        <w:top w:val="none" w:sz="0" w:space="0" w:color="auto"/>
        <w:left w:val="none" w:sz="0" w:space="0" w:color="auto"/>
        <w:bottom w:val="none" w:sz="0" w:space="0" w:color="auto"/>
        <w:right w:val="none" w:sz="0" w:space="0" w:color="auto"/>
      </w:divBdr>
    </w:div>
    <w:div w:id="840048505">
      <w:bodyDiv w:val="1"/>
      <w:marLeft w:val="0"/>
      <w:marRight w:val="0"/>
      <w:marTop w:val="0"/>
      <w:marBottom w:val="0"/>
      <w:divBdr>
        <w:top w:val="none" w:sz="0" w:space="0" w:color="auto"/>
        <w:left w:val="none" w:sz="0" w:space="0" w:color="auto"/>
        <w:bottom w:val="none" w:sz="0" w:space="0" w:color="auto"/>
        <w:right w:val="none" w:sz="0" w:space="0" w:color="auto"/>
      </w:divBdr>
    </w:div>
    <w:div w:id="840049096">
      <w:bodyDiv w:val="1"/>
      <w:marLeft w:val="0"/>
      <w:marRight w:val="0"/>
      <w:marTop w:val="0"/>
      <w:marBottom w:val="0"/>
      <w:divBdr>
        <w:top w:val="none" w:sz="0" w:space="0" w:color="auto"/>
        <w:left w:val="none" w:sz="0" w:space="0" w:color="auto"/>
        <w:bottom w:val="none" w:sz="0" w:space="0" w:color="auto"/>
        <w:right w:val="none" w:sz="0" w:space="0" w:color="auto"/>
      </w:divBdr>
    </w:div>
    <w:div w:id="840119773">
      <w:bodyDiv w:val="1"/>
      <w:marLeft w:val="0"/>
      <w:marRight w:val="0"/>
      <w:marTop w:val="0"/>
      <w:marBottom w:val="0"/>
      <w:divBdr>
        <w:top w:val="none" w:sz="0" w:space="0" w:color="auto"/>
        <w:left w:val="none" w:sz="0" w:space="0" w:color="auto"/>
        <w:bottom w:val="none" w:sz="0" w:space="0" w:color="auto"/>
        <w:right w:val="none" w:sz="0" w:space="0" w:color="auto"/>
      </w:divBdr>
    </w:div>
    <w:div w:id="840200855">
      <w:bodyDiv w:val="1"/>
      <w:marLeft w:val="0"/>
      <w:marRight w:val="0"/>
      <w:marTop w:val="0"/>
      <w:marBottom w:val="0"/>
      <w:divBdr>
        <w:top w:val="none" w:sz="0" w:space="0" w:color="auto"/>
        <w:left w:val="none" w:sz="0" w:space="0" w:color="auto"/>
        <w:bottom w:val="none" w:sz="0" w:space="0" w:color="auto"/>
        <w:right w:val="none" w:sz="0" w:space="0" w:color="auto"/>
      </w:divBdr>
    </w:div>
    <w:div w:id="840319001">
      <w:bodyDiv w:val="1"/>
      <w:marLeft w:val="0"/>
      <w:marRight w:val="0"/>
      <w:marTop w:val="0"/>
      <w:marBottom w:val="0"/>
      <w:divBdr>
        <w:top w:val="none" w:sz="0" w:space="0" w:color="auto"/>
        <w:left w:val="none" w:sz="0" w:space="0" w:color="auto"/>
        <w:bottom w:val="none" w:sz="0" w:space="0" w:color="auto"/>
        <w:right w:val="none" w:sz="0" w:space="0" w:color="auto"/>
      </w:divBdr>
    </w:div>
    <w:div w:id="840393449">
      <w:bodyDiv w:val="1"/>
      <w:marLeft w:val="0"/>
      <w:marRight w:val="0"/>
      <w:marTop w:val="0"/>
      <w:marBottom w:val="0"/>
      <w:divBdr>
        <w:top w:val="none" w:sz="0" w:space="0" w:color="auto"/>
        <w:left w:val="none" w:sz="0" w:space="0" w:color="auto"/>
        <w:bottom w:val="none" w:sz="0" w:space="0" w:color="auto"/>
        <w:right w:val="none" w:sz="0" w:space="0" w:color="auto"/>
      </w:divBdr>
    </w:div>
    <w:div w:id="840464837">
      <w:bodyDiv w:val="1"/>
      <w:marLeft w:val="0"/>
      <w:marRight w:val="0"/>
      <w:marTop w:val="0"/>
      <w:marBottom w:val="0"/>
      <w:divBdr>
        <w:top w:val="none" w:sz="0" w:space="0" w:color="auto"/>
        <w:left w:val="none" w:sz="0" w:space="0" w:color="auto"/>
        <w:bottom w:val="none" w:sz="0" w:space="0" w:color="auto"/>
        <w:right w:val="none" w:sz="0" w:space="0" w:color="auto"/>
      </w:divBdr>
    </w:div>
    <w:div w:id="840466007">
      <w:bodyDiv w:val="1"/>
      <w:marLeft w:val="0"/>
      <w:marRight w:val="0"/>
      <w:marTop w:val="0"/>
      <w:marBottom w:val="0"/>
      <w:divBdr>
        <w:top w:val="none" w:sz="0" w:space="0" w:color="auto"/>
        <w:left w:val="none" w:sz="0" w:space="0" w:color="auto"/>
        <w:bottom w:val="none" w:sz="0" w:space="0" w:color="auto"/>
        <w:right w:val="none" w:sz="0" w:space="0" w:color="auto"/>
      </w:divBdr>
    </w:div>
    <w:div w:id="840505338">
      <w:bodyDiv w:val="1"/>
      <w:marLeft w:val="0"/>
      <w:marRight w:val="0"/>
      <w:marTop w:val="0"/>
      <w:marBottom w:val="0"/>
      <w:divBdr>
        <w:top w:val="none" w:sz="0" w:space="0" w:color="auto"/>
        <w:left w:val="none" w:sz="0" w:space="0" w:color="auto"/>
        <w:bottom w:val="none" w:sz="0" w:space="0" w:color="auto"/>
        <w:right w:val="none" w:sz="0" w:space="0" w:color="auto"/>
      </w:divBdr>
    </w:div>
    <w:div w:id="840511068">
      <w:bodyDiv w:val="1"/>
      <w:marLeft w:val="0"/>
      <w:marRight w:val="0"/>
      <w:marTop w:val="0"/>
      <w:marBottom w:val="0"/>
      <w:divBdr>
        <w:top w:val="none" w:sz="0" w:space="0" w:color="auto"/>
        <w:left w:val="none" w:sz="0" w:space="0" w:color="auto"/>
        <w:bottom w:val="none" w:sz="0" w:space="0" w:color="auto"/>
        <w:right w:val="none" w:sz="0" w:space="0" w:color="auto"/>
      </w:divBdr>
    </w:div>
    <w:div w:id="840630482">
      <w:bodyDiv w:val="1"/>
      <w:marLeft w:val="0"/>
      <w:marRight w:val="0"/>
      <w:marTop w:val="0"/>
      <w:marBottom w:val="0"/>
      <w:divBdr>
        <w:top w:val="none" w:sz="0" w:space="0" w:color="auto"/>
        <w:left w:val="none" w:sz="0" w:space="0" w:color="auto"/>
        <w:bottom w:val="none" w:sz="0" w:space="0" w:color="auto"/>
        <w:right w:val="none" w:sz="0" w:space="0" w:color="auto"/>
      </w:divBdr>
    </w:div>
    <w:div w:id="840656111">
      <w:bodyDiv w:val="1"/>
      <w:marLeft w:val="0"/>
      <w:marRight w:val="0"/>
      <w:marTop w:val="0"/>
      <w:marBottom w:val="0"/>
      <w:divBdr>
        <w:top w:val="none" w:sz="0" w:space="0" w:color="auto"/>
        <w:left w:val="none" w:sz="0" w:space="0" w:color="auto"/>
        <w:bottom w:val="none" w:sz="0" w:space="0" w:color="auto"/>
        <w:right w:val="none" w:sz="0" w:space="0" w:color="auto"/>
      </w:divBdr>
    </w:div>
    <w:div w:id="840706188">
      <w:bodyDiv w:val="1"/>
      <w:marLeft w:val="0"/>
      <w:marRight w:val="0"/>
      <w:marTop w:val="0"/>
      <w:marBottom w:val="0"/>
      <w:divBdr>
        <w:top w:val="none" w:sz="0" w:space="0" w:color="auto"/>
        <w:left w:val="none" w:sz="0" w:space="0" w:color="auto"/>
        <w:bottom w:val="none" w:sz="0" w:space="0" w:color="auto"/>
        <w:right w:val="none" w:sz="0" w:space="0" w:color="auto"/>
      </w:divBdr>
    </w:div>
    <w:div w:id="840853463">
      <w:bodyDiv w:val="1"/>
      <w:marLeft w:val="0"/>
      <w:marRight w:val="0"/>
      <w:marTop w:val="0"/>
      <w:marBottom w:val="0"/>
      <w:divBdr>
        <w:top w:val="none" w:sz="0" w:space="0" w:color="auto"/>
        <w:left w:val="none" w:sz="0" w:space="0" w:color="auto"/>
        <w:bottom w:val="none" w:sz="0" w:space="0" w:color="auto"/>
        <w:right w:val="none" w:sz="0" w:space="0" w:color="auto"/>
      </w:divBdr>
    </w:div>
    <w:div w:id="840975016">
      <w:bodyDiv w:val="1"/>
      <w:marLeft w:val="0"/>
      <w:marRight w:val="0"/>
      <w:marTop w:val="0"/>
      <w:marBottom w:val="0"/>
      <w:divBdr>
        <w:top w:val="none" w:sz="0" w:space="0" w:color="auto"/>
        <w:left w:val="none" w:sz="0" w:space="0" w:color="auto"/>
        <w:bottom w:val="none" w:sz="0" w:space="0" w:color="auto"/>
        <w:right w:val="none" w:sz="0" w:space="0" w:color="auto"/>
      </w:divBdr>
    </w:div>
    <w:div w:id="840975039">
      <w:bodyDiv w:val="1"/>
      <w:marLeft w:val="0"/>
      <w:marRight w:val="0"/>
      <w:marTop w:val="0"/>
      <w:marBottom w:val="0"/>
      <w:divBdr>
        <w:top w:val="none" w:sz="0" w:space="0" w:color="auto"/>
        <w:left w:val="none" w:sz="0" w:space="0" w:color="auto"/>
        <w:bottom w:val="none" w:sz="0" w:space="0" w:color="auto"/>
        <w:right w:val="none" w:sz="0" w:space="0" w:color="auto"/>
      </w:divBdr>
    </w:div>
    <w:div w:id="841092778">
      <w:bodyDiv w:val="1"/>
      <w:marLeft w:val="0"/>
      <w:marRight w:val="0"/>
      <w:marTop w:val="0"/>
      <w:marBottom w:val="0"/>
      <w:divBdr>
        <w:top w:val="none" w:sz="0" w:space="0" w:color="auto"/>
        <w:left w:val="none" w:sz="0" w:space="0" w:color="auto"/>
        <w:bottom w:val="none" w:sz="0" w:space="0" w:color="auto"/>
        <w:right w:val="none" w:sz="0" w:space="0" w:color="auto"/>
      </w:divBdr>
    </w:div>
    <w:div w:id="841166364">
      <w:bodyDiv w:val="1"/>
      <w:marLeft w:val="0"/>
      <w:marRight w:val="0"/>
      <w:marTop w:val="0"/>
      <w:marBottom w:val="0"/>
      <w:divBdr>
        <w:top w:val="none" w:sz="0" w:space="0" w:color="auto"/>
        <w:left w:val="none" w:sz="0" w:space="0" w:color="auto"/>
        <w:bottom w:val="none" w:sz="0" w:space="0" w:color="auto"/>
        <w:right w:val="none" w:sz="0" w:space="0" w:color="auto"/>
      </w:divBdr>
    </w:div>
    <w:div w:id="841166771">
      <w:bodyDiv w:val="1"/>
      <w:marLeft w:val="0"/>
      <w:marRight w:val="0"/>
      <w:marTop w:val="0"/>
      <w:marBottom w:val="0"/>
      <w:divBdr>
        <w:top w:val="none" w:sz="0" w:space="0" w:color="auto"/>
        <w:left w:val="none" w:sz="0" w:space="0" w:color="auto"/>
        <w:bottom w:val="none" w:sz="0" w:space="0" w:color="auto"/>
        <w:right w:val="none" w:sz="0" w:space="0" w:color="auto"/>
      </w:divBdr>
    </w:div>
    <w:div w:id="841169076">
      <w:bodyDiv w:val="1"/>
      <w:marLeft w:val="0"/>
      <w:marRight w:val="0"/>
      <w:marTop w:val="0"/>
      <w:marBottom w:val="0"/>
      <w:divBdr>
        <w:top w:val="none" w:sz="0" w:space="0" w:color="auto"/>
        <w:left w:val="none" w:sz="0" w:space="0" w:color="auto"/>
        <w:bottom w:val="none" w:sz="0" w:space="0" w:color="auto"/>
        <w:right w:val="none" w:sz="0" w:space="0" w:color="auto"/>
      </w:divBdr>
    </w:div>
    <w:div w:id="841236653">
      <w:bodyDiv w:val="1"/>
      <w:marLeft w:val="0"/>
      <w:marRight w:val="0"/>
      <w:marTop w:val="0"/>
      <w:marBottom w:val="0"/>
      <w:divBdr>
        <w:top w:val="none" w:sz="0" w:space="0" w:color="auto"/>
        <w:left w:val="none" w:sz="0" w:space="0" w:color="auto"/>
        <w:bottom w:val="none" w:sz="0" w:space="0" w:color="auto"/>
        <w:right w:val="none" w:sz="0" w:space="0" w:color="auto"/>
      </w:divBdr>
    </w:div>
    <w:div w:id="841352920">
      <w:bodyDiv w:val="1"/>
      <w:marLeft w:val="0"/>
      <w:marRight w:val="0"/>
      <w:marTop w:val="0"/>
      <w:marBottom w:val="0"/>
      <w:divBdr>
        <w:top w:val="none" w:sz="0" w:space="0" w:color="auto"/>
        <w:left w:val="none" w:sz="0" w:space="0" w:color="auto"/>
        <w:bottom w:val="none" w:sz="0" w:space="0" w:color="auto"/>
        <w:right w:val="none" w:sz="0" w:space="0" w:color="auto"/>
      </w:divBdr>
    </w:div>
    <w:div w:id="841552566">
      <w:bodyDiv w:val="1"/>
      <w:marLeft w:val="0"/>
      <w:marRight w:val="0"/>
      <w:marTop w:val="0"/>
      <w:marBottom w:val="0"/>
      <w:divBdr>
        <w:top w:val="none" w:sz="0" w:space="0" w:color="auto"/>
        <w:left w:val="none" w:sz="0" w:space="0" w:color="auto"/>
        <w:bottom w:val="none" w:sz="0" w:space="0" w:color="auto"/>
        <w:right w:val="none" w:sz="0" w:space="0" w:color="auto"/>
      </w:divBdr>
    </w:div>
    <w:div w:id="841629141">
      <w:bodyDiv w:val="1"/>
      <w:marLeft w:val="0"/>
      <w:marRight w:val="0"/>
      <w:marTop w:val="0"/>
      <w:marBottom w:val="0"/>
      <w:divBdr>
        <w:top w:val="none" w:sz="0" w:space="0" w:color="auto"/>
        <w:left w:val="none" w:sz="0" w:space="0" w:color="auto"/>
        <w:bottom w:val="none" w:sz="0" w:space="0" w:color="auto"/>
        <w:right w:val="none" w:sz="0" w:space="0" w:color="auto"/>
      </w:divBdr>
    </w:div>
    <w:div w:id="841630583">
      <w:bodyDiv w:val="1"/>
      <w:marLeft w:val="0"/>
      <w:marRight w:val="0"/>
      <w:marTop w:val="0"/>
      <w:marBottom w:val="0"/>
      <w:divBdr>
        <w:top w:val="none" w:sz="0" w:space="0" w:color="auto"/>
        <w:left w:val="none" w:sz="0" w:space="0" w:color="auto"/>
        <w:bottom w:val="none" w:sz="0" w:space="0" w:color="auto"/>
        <w:right w:val="none" w:sz="0" w:space="0" w:color="auto"/>
      </w:divBdr>
    </w:div>
    <w:div w:id="841747343">
      <w:bodyDiv w:val="1"/>
      <w:marLeft w:val="0"/>
      <w:marRight w:val="0"/>
      <w:marTop w:val="0"/>
      <w:marBottom w:val="0"/>
      <w:divBdr>
        <w:top w:val="none" w:sz="0" w:space="0" w:color="auto"/>
        <w:left w:val="none" w:sz="0" w:space="0" w:color="auto"/>
        <w:bottom w:val="none" w:sz="0" w:space="0" w:color="auto"/>
        <w:right w:val="none" w:sz="0" w:space="0" w:color="auto"/>
      </w:divBdr>
    </w:div>
    <w:div w:id="841818952">
      <w:bodyDiv w:val="1"/>
      <w:marLeft w:val="0"/>
      <w:marRight w:val="0"/>
      <w:marTop w:val="0"/>
      <w:marBottom w:val="0"/>
      <w:divBdr>
        <w:top w:val="none" w:sz="0" w:space="0" w:color="auto"/>
        <w:left w:val="none" w:sz="0" w:space="0" w:color="auto"/>
        <w:bottom w:val="none" w:sz="0" w:space="0" w:color="auto"/>
        <w:right w:val="none" w:sz="0" w:space="0" w:color="auto"/>
      </w:divBdr>
    </w:div>
    <w:div w:id="841970430">
      <w:bodyDiv w:val="1"/>
      <w:marLeft w:val="0"/>
      <w:marRight w:val="0"/>
      <w:marTop w:val="0"/>
      <w:marBottom w:val="0"/>
      <w:divBdr>
        <w:top w:val="none" w:sz="0" w:space="0" w:color="auto"/>
        <w:left w:val="none" w:sz="0" w:space="0" w:color="auto"/>
        <w:bottom w:val="none" w:sz="0" w:space="0" w:color="auto"/>
        <w:right w:val="none" w:sz="0" w:space="0" w:color="auto"/>
      </w:divBdr>
    </w:div>
    <w:div w:id="842017329">
      <w:bodyDiv w:val="1"/>
      <w:marLeft w:val="0"/>
      <w:marRight w:val="0"/>
      <w:marTop w:val="0"/>
      <w:marBottom w:val="0"/>
      <w:divBdr>
        <w:top w:val="none" w:sz="0" w:space="0" w:color="auto"/>
        <w:left w:val="none" w:sz="0" w:space="0" w:color="auto"/>
        <w:bottom w:val="none" w:sz="0" w:space="0" w:color="auto"/>
        <w:right w:val="none" w:sz="0" w:space="0" w:color="auto"/>
      </w:divBdr>
    </w:div>
    <w:div w:id="842210428">
      <w:bodyDiv w:val="1"/>
      <w:marLeft w:val="0"/>
      <w:marRight w:val="0"/>
      <w:marTop w:val="0"/>
      <w:marBottom w:val="0"/>
      <w:divBdr>
        <w:top w:val="none" w:sz="0" w:space="0" w:color="auto"/>
        <w:left w:val="none" w:sz="0" w:space="0" w:color="auto"/>
        <w:bottom w:val="none" w:sz="0" w:space="0" w:color="auto"/>
        <w:right w:val="none" w:sz="0" w:space="0" w:color="auto"/>
      </w:divBdr>
    </w:div>
    <w:div w:id="842354777">
      <w:bodyDiv w:val="1"/>
      <w:marLeft w:val="0"/>
      <w:marRight w:val="0"/>
      <w:marTop w:val="0"/>
      <w:marBottom w:val="0"/>
      <w:divBdr>
        <w:top w:val="none" w:sz="0" w:space="0" w:color="auto"/>
        <w:left w:val="none" w:sz="0" w:space="0" w:color="auto"/>
        <w:bottom w:val="none" w:sz="0" w:space="0" w:color="auto"/>
        <w:right w:val="none" w:sz="0" w:space="0" w:color="auto"/>
      </w:divBdr>
    </w:div>
    <w:div w:id="842355455">
      <w:bodyDiv w:val="1"/>
      <w:marLeft w:val="0"/>
      <w:marRight w:val="0"/>
      <w:marTop w:val="0"/>
      <w:marBottom w:val="0"/>
      <w:divBdr>
        <w:top w:val="none" w:sz="0" w:space="0" w:color="auto"/>
        <w:left w:val="none" w:sz="0" w:space="0" w:color="auto"/>
        <w:bottom w:val="none" w:sz="0" w:space="0" w:color="auto"/>
        <w:right w:val="none" w:sz="0" w:space="0" w:color="auto"/>
      </w:divBdr>
    </w:div>
    <w:div w:id="842355570">
      <w:bodyDiv w:val="1"/>
      <w:marLeft w:val="0"/>
      <w:marRight w:val="0"/>
      <w:marTop w:val="0"/>
      <w:marBottom w:val="0"/>
      <w:divBdr>
        <w:top w:val="none" w:sz="0" w:space="0" w:color="auto"/>
        <w:left w:val="none" w:sz="0" w:space="0" w:color="auto"/>
        <w:bottom w:val="none" w:sz="0" w:space="0" w:color="auto"/>
        <w:right w:val="none" w:sz="0" w:space="0" w:color="auto"/>
      </w:divBdr>
    </w:div>
    <w:div w:id="842427886">
      <w:bodyDiv w:val="1"/>
      <w:marLeft w:val="0"/>
      <w:marRight w:val="0"/>
      <w:marTop w:val="0"/>
      <w:marBottom w:val="0"/>
      <w:divBdr>
        <w:top w:val="none" w:sz="0" w:space="0" w:color="auto"/>
        <w:left w:val="none" w:sz="0" w:space="0" w:color="auto"/>
        <w:bottom w:val="none" w:sz="0" w:space="0" w:color="auto"/>
        <w:right w:val="none" w:sz="0" w:space="0" w:color="auto"/>
      </w:divBdr>
    </w:div>
    <w:div w:id="842432280">
      <w:bodyDiv w:val="1"/>
      <w:marLeft w:val="0"/>
      <w:marRight w:val="0"/>
      <w:marTop w:val="0"/>
      <w:marBottom w:val="0"/>
      <w:divBdr>
        <w:top w:val="none" w:sz="0" w:space="0" w:color="auto"/>
        <w:left w:val="none" w:sz="0" w:space="0" w:color="auto"/>
        <w:bottom w:val="none" w:sz="0" w:space="0" w:color="auto"/>
        <w:right w:val="none" w:sz="0" w:space="0" w:color="auto"/>
      </w:divBdr>
    </w:div>
    <w:div w:id="842669011">
      <w:bodyDiv w:val="1"/>
      <w:marLeft w:val="0"/>
      <w:marRight w:val="0"/>
      <w:marTop w:val="0"/>
      <w:marBottom w:val="0"/>
      <w:divBdr>
        <w:top w:val="none" w:sz="0" w:space="0" w:color="auto"/>
        <w:left w:val="none" w:sz="0" w:space="0" w:color="auto"/>
        <w:bottom w:val="none" w:sz="0" w:space="0" w:color="auto"/>
        <w:right w:val="none" w:sz="0" w:space="0" w:color="auto"/>
      </w:divBdr>
    </w:div>
    <w:div w:id="842741885">
      <w:bodyDiv w:val="1"/>
      <w:marLeft w:val="0"/>
      <w:marRight w:val="0"/>
      <w:marTop w:val="0"/>
      <w:marBottom w:val="0"/>
      <w:divBdr>
        <w:top w:val="none" w:sz="0" w:space="0" w:color="auto"/>
        <w:left w:val="none" w:sz="0" w:space="0" w:color="auto"/>
        <w:bottom w:val="none" w:sz="0" w:space="0" w:color="auto"/>
        <w:right w:val="none" w:sz="0" w:space="0" w:color="auto"/>
      </w:divBdr>
    </w:div>
    <w:div w:id="842816246">
      <w:bodyDiv w:val="1"/>
      <w:marLeft w:val="0"/>
      <w:marRight w:val="0"/>
      <w:marTop w:val="0"/>
      <w:marBottom w:val="0"/>
      <w:divBdr>
        <w:top w:val="none" w:sz="0" w:space="0" w:color="auto"/>
        <w:left w:val="none" w:sz="0" w:space="0" w:color="auto"/>
        <w:bottom w:val="none" w:sz="0" w:space="0" w:color="auto"/>
        <w:right w:val="none" w:sz="0" w:space="0" w:color="auto"/>
      </w:divBdr>
    </w:div>
    <w:div w:id="842861686">
      <w:bodyDiv w:val="1"/>
      <w:marLeft w:val="0"/>
      <w:marRight w:val="0"/>
      <w:marTop w:val="0"/>
      <w:marBottom w:val="0"/>
      <w:divBdr>
        <w:top w:val="none" w:sz="0" w:space="0" w:color="auto"/>
        <w:left w:val="none" w:sz="0" w:space="0" w:color="auto"/>
        <w:bottom w:val="none" w:sz="0" w:space="0" w:color="auto"/>
        <w:right w:val="none" w:sz="0" w:space="0" w:color="auto"/>
      </w:divBdr>
    </w:div>
    <w:div w:id="843007407">
      <w:bodyDiv w:val="1"/>
      <w:marLeft w:val="0"/>
      <w:marRight w:val="0"/>
      <w:marTop w:val="0"/>
      <w:marBottom w:val="0"/>
      <w:divBdr>
        <w:top w:val="none" w:sz="0" w:space="0" w:color="auto"/>
        <w:left w:val="none" w:sz="0" w:space="0" w:color="auto"/>
        <w:bottom w:val="none" w:sz="0" w:space="0" w:color="auto"/>
        <w:right w:val="none" w:sz="0" w:space="0" w:color="auto"/>
      </w:divBdr>
    </w:div>
    <w:div w:id="843083808">
      <w:bodyDiv w:val="1"/>
      <w:marLeft w:val="0"/>
      <w:marRight w:val="0"/>
      <w:marTop w:val="0"/>
      <w:marBottom w:val="0"/>
      <w:divBdr>
        <w:top w:val="none" w:sz="0" w:space="0" w:color="auto"/>
        <w:left w:val="none" w:sz="0" w:space="0" w:color="auto"/>
        <w:bottom w:val="none" w:sz="0" w:space="0" w:color="auto"/>
        <w:right w:val="none" w:sz="0" w:space="0" w:color="auto"/>
      </w:divBdr>
    </w:div>
    <w:div w:id="843203733">
      <w:bodyDiv w:val="1"/>
      <w:marLeft w:val="0"/>
      <w:marRight w:val="0"/>
      <w:marTop w:val="0"/>
      <w:marBottom w:val="0"/>
      <w:divBdr>
        <w:top w:val="none" w:sz="0" w:space="0" w:color="auto"/>
        <w:left w:val="none" w:sz="0" w:space="0" w:color="auto"/>
        <w:bottom w:val="none" w:sz="0" w:space="0" w:color="auto"/>
        <w:right w:val="none" w:sz="0" w:space="0" w:color="auto"/>
      </w:divBdr>
    </w:div>
    <w:div w:id="843203945">
      <w:bodyDiv w:val="1"/>
      <w:marLeft w:val="0"/>
      <w:marRight w:val="0"/>
      <w:marTop w:val="0"/>
      <w:marBottom w:val="0"/>
      <w:divBdr>
        <w:top w:val="none" w:sz="0" w:space="0" w:color="auto"/>
        <w:left w:val="none" w:sz="0" w:space="0" w:color="auto"/>
        <w:bottom w:val="none" w:sz="0" w:space="0" w:color="auto"/>
        <w:right w:val="none" w:sz="0" w:space="0" w:color="auto"/>
      </w:divBdr>
    </w:div>
    <w:div w:id="843205175">
      <w:bodyDiv w:val="1"/>
      <w:marLeft w:val="0"/>
      <w:marRight w:val="0"/>
      <w:marTop w:val="0"/>
      <w:marBottom w:val="0"/>
      <w:divBdr>
        <w:top w:val="none" w:sz="0" w:space="0" w:color="auto"/>
        <w:left w:val="none" w:sz="0" w:space="0" w:color="auto"/>
        <w:bottom w:val="none" w:sz="0" w:space="0" w:color="auto"/>
        <w:right w:val="none" w:sz="0" w:space="0" w:color="auto"/>
      </w:divBdr>
    </w:div>
    <w:div w:id="843318721">
      <w:bodyDiv w:val="1"/>
      <w:marLeft w:val="0"/>
      <w:marRight w:val="0"/>
      <w:marTop w:val="0"/>
      <w:marBottom w:val="0"/>
      <w:divBdr>
        <w:top w:val="none" w:sz="0" w:space="0" w:color="auto"/>
        <w:left w:val="none" w:sz="0" w:space="0" w:color="auto"/>
        <w:bottom w:val="none" w:sz="0" w:space="0" w:color="auto"/>
        <w:right w:val="none" w:sz="0" w:space="0" w:color="auto"/>
      </w:divBdr>
    </w:div>
    <w:div w:id="843325384">
      <w:bodyDiv w:val="1"/>
      <w:marLeft w:val="0"/>
      <w:marRight w:val="0"/>
      <w:marTop w:val="0"/>
      <w:marBottom w:val="0"/>
      <w:divBdr>
        <w:top w:val="none" w:sz="0" w:space="0" w:color="auto"/>
        <w:left w:val="none" w:sz="0" w:space="0" w:color="auto"/>
        <w:bottom w:val="none" w:sz="0" w:space="0" w:color="auto"/>
        <w:right w:val="none" w:sz="0" w:space="0" w:color="auto"/>
      </w:divBdr>
    </w:div>
    <w:div w:id="843397525">
      <w:bodyDiv w:val="1"/>
      <w:marLeft w:val="0"/>
      <w:marRight w:val="0"/>
      <w:marTop w:val="0"/>
      <w:marBottom w:val="0"/>
      <w:divBdr>
        <w:top w:val="none" w:sz="0" w:space="0" w:color="auto"/>
        <w:left w:val="none" w:sz="0" w:space="0" w:color="auto"/>
        <w:bottom w:val="none" w:sz="0" w:space="0" w:color="auto"/>
        <w:right w:val="none" w:sz="0" w:space="0" w:color="auto"/>
      </w:divBdr>
    </w:div>
    <w:div w:id="843473141">
      <w:bodyDiv w:val="1"/>
      <w:marLeft w:val="0"/>
      <w:marRight w:val="0"/>
      <w:marTop w:val="0"/>
      <w:marBottom w:val="0"/>
      <w:divBdr>
        <w:top w:val="none" w:sz="0" w:space="0" w:color="auto"/>
        <w:left w:val="none" w:sz="0" w:space="0" w:color="auto"/>
        <w:bottom w:val="none" w:sz="0" w:space="0" w:color="auto"/>
        <w:right w:val="none" w:sz="0" w:space="0" w:color="auto"/>
      </w:divBdr>
    </w:div>
    <w:div w:id="843476765">
      <w:bodyDiv w:val="1"/>
      <w:marLeft w:val="0"/>
      <w:marRight w:val="0"/>
      <w:marTop w:val="0"/>
      <w:marBottom w:val="0"/>
      <w:divBdr>
        <w:top w:val="none" w:sz="0" w:space="0" w:color="auto"/>
        <w:left w:val="none" w:sz="0" w:space="0" w:color="auto"/>
        <w:bottom w:val="none" w:sz="0" w:space="0" w:color="auto"/>
        <w:right w:val="none" w:sz="0" w:space="0" w:color="auto"/>
      </w:divBdr>
    </w:div>
    <w:div w:id="843663685">
      <w:bodyDiv w:val="1"/>
      <w:marLeft w:val="0"/>
      <w:marRight w:val="0"/>
      <w:marTop w:val="0"/>
      <w:marBottom w:val="0"/>
      <w:divBdr>
        <w:top w:val="none" w:sz="0" w:space="0" w:color="auto"/>
        <w:left w:val="none" w:sz="0" w:space="0" w:color="auto"/>
        <w:bottom w:val="none" w:sz="0" w:space="0" w:color="auto"/>
        <w:right w:val="none" w:sz="0" w:space="0" w:color="auto"/>
      </w:divBdr>
    </w:div>
    <w:div w:id="843665336">
      <w:bodyDiv w:val="1"/>
      <w:marLeft w:val="0"/>
      <w:marRight w:val="0"/>
      <w:marTop w:val="0"/>
      <w:marBottom w:val="0"/>
      <w:divBdr>
        <w:top w:val="none" w:sz="0" w:space="0" w:color="auto"/>
        <w:left w:val="none" w:sz="0" w:space="0" w:color="auto"/>
        <w:bottom w:val="none" w:sz="0" w:space="0" w:color="auto"/>
        <w:right w:val="none" w:sz="0" w:space="0" w:color="auto"/>
      </w:divBdr>
    </w:div>
    <w:div w:id="843667317">
      <w:bodyDiv w:val="1"/>
      <w:marLeft w:val="0"/>
      <w:marRight w:val="0"/>
      <w:marTop w:val="0"/>
      <w:marBottom w:val="0"/>
      <w:divBdr>
        <w:top w:val="none" w:sz="0" w:space="0" w:color="auto"/>
        <w:left w:val="none" w:sz="0" w:space="0" w:color="auto"/>
        <w:bottom w:val="none" w:sz="0" w:space="0" w:color="auto"/>
        <w:right w:val="none" w:sz="0" w:space="0" w:color="auto"/>
      </w:divBdr>
    </w:div>
    <w:div w:id="843670658">
      <w:bodyDiv w:val="1"/>
      <w:marLeft w:val="0"/>
      <w:marRight w:val="0"/>
      <w:marTop w:val="0"/>
      <w:marBottom w:val="0"/>
      <w:divBdr>
        <w:top w:val="none" w:sz="0" w:space="0" w:color="auto"/>
        <w:left w:val="none" w:sz="0" w:space="0" w:color="auto"/>
        <w:bottom w:val="none" w:sz="0" w:space="0" w:color="auto"/>
        <w:right w:val="none" w:sz="0" w:space="0" w:color="auto"/>
      </w:divBdr>
    </w:div>
    <w:div w:id="843737952">
      <w:bodyDiv w:val="1"/>
      <w:marLeft w:val="0"/>
      <w:marRight w:val="0"/>
      <w:marTop w:val="0"/>
      <w:marBottom w:val="0"/>
      <w:divBdr>
        <w:top w:val="none" w:sz="0" w:space="0" w:color="auto"/>
        <w:left w:val="none" w:sz="0" w:space="0" w:color="auto"/>
        <w:bottom w:val="none" w:sz="0" w:space="0" w:color="auto"/>
        <w:right w:val="none" w:sz="0" w:space="0" w:color="auto"/>
      </w:divBdr>
    </w:div>
    <w:div w:id="843786651">
      <w:bodyDiv w:val="1"/>
      <w:marLeft w:val="0"/>
      <w:marRight w:val="0"/>
      <w:marTop w:val="0"/>
      <w:marBottom w:val="0"/>
      <w:divBdr>
        <w:top w:val="none" w:sz="0" w:space="0" w:color="auto"/>
        <w:left w:val="none" w:sz="0" w:space="0" w:color="auto"/>
        <w:bottom w:val="none" w:sz="0" w:space="0" w:color="auto"/>
        <w:right w:val="none" w:sz="0" w:space="0" w:color="auto"/>
      </w:divBdr>
    </w:div>
    <w:div w:id="843857659">
      <w:bodyDiv w:val="1"/>
      <w:marLeft w:val="0"/>
      <w:marRight w:val="0"/>
      <w:marTop w:val="0"/>
      <w:marBottom w:val="0"/>
      <w:divBdr>
        <w:top w:val="none" w:sz="0" w:space="0" w:color="auto"/>
        <w:left w:val="none" w:sz="0" w:space="0" w:color="auto"/>
        <w:bottom w:val="none" w:sz="0" w:space="0" w:color="auto"/>
        <w:right w:val="none" w:sz="0" w:space="0" w:color="auto"/>
      </w:divBdr>
    </w:div>
    <w:div w:id="843938278">
      <w:bodyDiv w:val="1"/>
      <w:marLeft w:val="0"/>
      <w:marRight w:val="0"/>
      <w:marTop w:val="0"/>
      <w:marBottom w:val="0"/>
      <w:divBdr>
        <w:top w:val="none" w:sz="0" w:space="0" w:color="auto"/>
        <w:left w:val="none" w:sz="0" w:space="0" w:color="auto"/>
        <w:bottom w:val="none" w:sz="0" w:space="0" w:color="auto"/>
        <w:right w:val="none" w:sz="0" w:space="0" w:color="auto"/>
      </w:divBdr>
    </w:div>
    <w:div w:id="843979835">
      <w:bodyDiv w:val="1"/>
      <w:marLeft w:val="0"/>
      <w:marRight w:val="0"/>
      <w:marTop w:val="0"/>
      <w:marBottom w:val="0"/>
      <w:divBdr>
        <w:top w:val="none" w:sz="0" w:space="0" w:color="auto"/>
        <w:left w:val="none" w:sz="0" w:space="0" w:color="auto"/>
        <w:bottom w:val="none" w:sz="0" w:space="0" w:color="auto"/>
        <w:right w:val="none" w:sz="0" w:space="0" w:color="auto"/>
      </w:divBdr>
    </w:div>
    <w:div w:id="844051090">
      <w:bodyDiv w:val="1"/>
      <w:marLeft w:val="0"/>
      <w:marRight w:val="0"/>
      <w:marTop w:val="0"/>
      <w:marBottom w:val="0"/>
      <w:divBdr>
        <w:top w:val="none" w:sz="0" w:space="0" w:color="auto"/>
        <w:left w:val="none" w:sz="0" w:space="0" w:color="auto"/>
        <w:bottom w:val="none" w:sz="0" w:space="0" w:color="auto"/>
        <w:right w:val="none" w:sz="0" w:space="0" w:color="auto"/>
      </w:divBdr>
    </w:div>
    <w:div w:id="844171954">
      <w:bodyDiv w:val="1"/>
      <w:marLeft w:val="0"/>
      <w:marRight w:val="0"/>
      <w:marTop w:val="0"/>
      <w:marBottom w:val="0"/>
      <w:divBdr>
        <w:top w:val="none" w:sz="0" w:space="0" w:color="auto"/>
        <w:left w:val="none" w:sz="0" w:space="0" w:color="auto"/>
        <w:bottom w:val="none" w:sz="0" w:space="0" w:color="auto"/>
        <w:right w:val="none" w:sz="0" w:space="0" w:color="auto"/>
      </w:divBdr>
    </w:div>
    <w:div w:id="844251929">
      <w:bodyDiv w:val="1"/>
      <w:marLeft w:val="0"/>
      <w:marRight w:val="0"/>
      <w:marTop w:val="0"/>
      <w:marBottom w:val="0"/>
      <w:divBdr>
        <w:top w:val="none" w:sz="0" w:space="0" w:color="auto"/>
        <w:left w:val="none" w:sz="0" w:space="0" w:color="auto"/>
        <w:bottom w:val="none" w:sz="0" w:space="0" w:color="auto"/>
        <w:right w:val="none" w:sz="0" w:space="0" w:color="auto"/>
      </w:divBdr>
    </w:div>
    <w:div w:id="844367707">
      <w:bodyDiv w:val="1"/>
      <w:marLeft w:val="0"/>
      <w:marRight w:val="0"/>
      <w:marTop w:val="0"/>
      <w:marBottom w:val="0"/>
      <w:divBdr>
        <w:top w:val="none" w:sz="0" w:space="0" w:color="auto"/>
        <w:left w:val="none" w:sz="0" w:space="0" w:color="auto"/>
        <w:bottom w:val="none" w:sz="0" w:space="0" w:color="auto"/>
        <w:right w:val="none" w:sz="0" w:space="0" w:color="auto"/>
      </w:divBdr>
    </w:div>
    <w:div w:id="844394030">
      <w:bodyDiv w:val="1"/>
      <w:marLeft w:val="0"/>
      <w:marRight w:val="0"/>
      <w:marTop w:val="0"/>
      <w:marBottom w:val="0"/>
      <w:divBdr>
        <w:top w:val="none" w:sz="0" w:space="0" w:color="auto"/>
        <w:left w:val="none" w:sz="0" w:space="0" w:color="auto"/>
        <w:bottom w:val="none" w:sz="0" w:space="0" w:color="auto"/>
        <w:right w:val="none" w:sz="0" w:space="0" w:color="auto"/>
      </w:divBdr>
    </w:div>
    <w:div w:id="844398264">
      <w:bodyDiv w:val="1"/>
      <w:marLeft w:val="0"/>
      <w:marRight w:val="0"/>
      <w:marTop w:val="0"/>
      <w:marBottom w:val="0"/>
      <w:divBdr>
        <w:top w:val="none" w:sz="0" w:space="0" w:color="auto"/>
        <w:left w:val="none" w:sz="0" w:space="0" w:color="auto"/>
        <w:bottom w:val="none" w:sz="0" w:space="0" w:color="auto"/>
        <w:right w:val="none" w:sz="0" w:space="0" w:color="auto"/>
      </w:divBdr>
    </w:div>
    <w:div w:id="844516048">
      <w:bodyDiv w:val="1"/>
      <w:marLeft w:val="0"/>
      <w:marRight w:val="0"/>
      <w:marTop w:val="0"/>
      <w:marBottom w:val="0"/>
      <w:divBdr>
        <w:top w:val="none" w:sz="0" w:space="0" w:color="auto"/>
        <w:left w:val="none" w:sz="0" w:space="0" w:color="auto"/>
        <w:bottom w:val="none" w:sz="0" w:space="0" w:color="auto"/>
        <w:right w:val="none" w:sz="0" w:space="0" w:color="auto"/>
      </w:divBdr>
    </w:div>
    <w:div w:id="844590544">
      <w:bodyDiv w:val="1"/>
      <w:marLeft w:val="0"/>
      <w:marRight w:val="0"/>
      <w:marTop w:val="0"/>
      <w:marBottom w:val="0"/>
      <w:divBdr>
        <w:top w:val="none" w:sz="0" w:space="0" w:color="auto"/>
        <w:left w:val="none" w:sz="0" w:space="0" w:color="auto"/>
        <w:bottom w:val="none" w:sz="0" w:space="0" w:color="auto"/>
        <w:right w:val="none" w:sz="0" w:space="0" w:color="auto"/>
      </w:divBdr>
    </w:div>
    <w:div w:id="844592022">
      <w:bodyDiv w:val="1"/>
      <w:marLeft w:val="0"/>
      <w:marRight w:val="0"/>
      <w:marTop w:val="0"/>
      <w:marBottom w:val="0"/>
      <w:divBdr>
        <w:top w:val="none" w:sz="0" w:space="0" w:color="auto"/>
        <w:left w:val="none" w:sz="0" w:space="0" w:color="auto"/>
        <w:bottom w:val="none" w:sz="0" w:space="0" w:color="auto"/>
        <w:right w:val="none" w:sz="0" w:space="0" w:color="auto"/>
      </w:divBdr>
    </w:div>
    <w:div w:id="844634073">
      <w:bodyDiv w:val="1"/>
      <w:marLeft w:val="0"/>
      <w:marRight w:val="0"/>
      <w:marTop w:val="0"/>
      <w:marBottom w:val="0"/>
      <w:divBdr>
        <w:top w:val="none" w:sz="0" w:space="0" w:color="auto"/>
        <w:left w:val="none" w:sz="0" w:space="0" w:color="auto"/>
        <w:bottom w:val="none" w:sz="0" w:space="0" w:color="auto"/>
        <w:right w:val="none" w:sz="0" w:space="0" w:color="auto"/>
      </w:divBdr>
    </w:div>
    <w:div w:id="844704409">
      <w:bodyDiv w:val="1"/>
      <w:marLeft w:val="0"/>
      <w:marRight w:val="0"/>
      <w:marTop w:val="0"/>
      <w:marBottom w:val="0"/>
      <w:divBdr>
        <w:top w:val="none" w:sz="0" w:space="0" w:color="auto"/>
        <w:left w:val="none" w:sz="0" w:space="0" w:color="auto"/>
        <w:bottom w:val="none" w:sz="0" w:space="0" w:color="auto"/>
        <w:right w:val="none" w:sz="0" w:space="0" w:color="auto"/>
      </w:divBdr>
    </w:div>
    <w:div w:id="844824599">
      <w:bodyDiv w:val="1"/>
      <w:marLeft w:val="0"/>
      <w:marRight w:val="0"/>
      <w:marTop w:val="0"/>
      <w:marBottom w:val="0"/>
      <w:divBdr>
        <w:top w:val="none" w:sz="0" w:space="0" w:color="auto"/>
        <w:left w:val="none" w:sz="0" w:space="0" w:color="auto"/>
        <w:bottom w:val="none" w:sz="0" w:space="0" w:color="auto"/>
        <w:right w:val="none" w:sz="0" w:space="0" w:color="auto"/>
      </w:divBdr>
    </w:div>
    <w:div w:id="844976585">
      <w:bodyDiv w:val="1"/>
      <w:marLeft w:val="0"/>
      <w:marRight w:val="0"/>
      <w:marTop w:val="0"/>
      <w:marBottom w:val="0"/>
      <w:divBdr>
        <w:top w:val="none" w:sz="0" w:space="0" w:color="auto"/>
        <w:left w:val="none" w:sz="0" w:space="0" w:color="auto"/>
        <w:bottom w:val="none" w:sz="0" w:space="0" w:color="auto"/>
        <w:right w:val="none" w:sz="0" w:space="0" w:color="auto"/>
      </w:divBdr>
    </w:div>
    <w:div w:id="845175645">
      <w:bodyDiv w:val="1"/>
      <w:marLeft w:val="0"/>
      <w:marRight w:val="0"/>
      <w:marTop w:val="0"/>
      <w:marBottom w:val="0"/>
      <w:divBdr>
        <w:top w:val="none" w:sz="0" w:space="0" w:color="auto"/>
        <w:left w:val="none" w:sz="0" w:space="0" w:color="auto"/>
        <w:bottom w:val="none" w:sz="0" w:space="0" w:color="auto"/>
        <w:right w:val="none" w:sz="0" w:space="0" w:color="auto"/>
      </w:divBdr>
    </w:div>
    <w:div w:id="845286501">
      <w:bodyDiv w:val="1"/>
      <w:marLeft w:val="0"/>
      <w:marRight w:val="0"/>
      <w:marTop w:val="0"/>
      <w:marBottom w:val="0"/>
      <w:divBdr>
        <w:top w:val="none" w:sz="0" w:space="0" w:color="auto"/>
        <w:left w:val="none" w:sz="0" w:space="0" w:color="auto"/>
        <w:bottom w:val="none" w:sz="0" w:space="0" w:color="auto"/>
        <w:right w:val="none" w:sz="0" w:space="0" w:color="auto"/>
      </w:divBdr>
    </w:div>
    <w:div w:id="845289026">
      <w:bodyDiv w:val="1"/>
      <w:marLeft w:val="0"/>
      <w:marRight w:val="0"/>
      <w:marTop w:val="0"/>
      <w:marBottom w:val="0"/>
      <w:divBdr>
        <w:top w:val="none" w:sz="0" w:space="0" w:color="auto"/>
        <w:left w:val="none" w:sz="0" w:space="0" w:color="auto"/>
        <w:bottom w:val="none" w:sz="0" w:space="0" w:color="auto"/>
        <w:right w:val="none" w:sz="0" w:space="0" w:color="auto"/>
      </w:divBdr>
    </w:div>
    <w:div w:id="845289801">
      <w:bodyDiv w:val="1"/>
      <w:marLeft w:val="0"/>
      <w:marRight w:val="0"/>
      <w:marTop w:val="0"/>
      <w:marBottom w:val="0"/>
      <w:divBdr>
        <w:top w:val="none" w:sz="0" w:space="0" w:color="auto"/>
        <w:left w:val="none" w:sz="0" w:space="0" w:color="auto"/>
        <w:bottom w:val="none" w:sz="0" w:space="0" w:color="auto"/>
        <w:right w:val="none" w:sz="0" w:space="0" w:color="auto"/>
      </w:divBdr>
    </w:div>
    <w:div w:id="845289911">
      <w:bodyDiv w:val="1"/>
      <w:marLeft w:val="0"/>
      <w:marRight w:val="0"/>
      <w:marTop w:val="0"/>
      <w:marBottom w:val="0"/>
      <w:divBdr>
        <w:top w:val="none" w:sz="0" w:space="0" w:color="auto"/>
        <w:left w:val="none" w:sz="0" w:space="0" w:color="auto"/>
        <w:bottom w:val="none" w:sz="0" w:space="0" w:color="auto"/>
        <w:right w:val="none" w:sz="0" w:space="0" w:color="auto"/>
      </w:divBdr>
    </w:div>
    <w:div w:id="845436140">
      <w:bodyDiv w:val="1"/>
      <w:marLeft w:val="0"/>
      <w:marRight w:val="0"/>
      <w:marTop w:val="0"/>
      <w:marBottom w:val="0"/>
      <w:divBdr>
        <w:top w:val="none" w:sz="0" w:space="0" w:color="auto"/>
        <w:left w:val="none" w:sz="0" w:space="0" w:color="auto"/>
        <w:bottom w:val="none" w:sz="0" w:space="0" w:color="auto"/>
        <w:right w:val="none" w:sz="0" w:space="0" w:color="auto"/>
      </w:divBdr>
    </w:div>
    <w:div w:id="845439498">
      <w:bodyDiv w:val="1"/>
      <w:marLeft w:val="0"/>
      <w:marRight w:val="0"/>
      <w:marTop w:val="0"/>
      <w:marBottom w:val="0"/>
      <w:divBdr>
        <w:top w:val="none" w:sz="0" w:space="0" w:color="auto"/>
        <w:left w:val="none" w:sz="0" w:space="0" w:color="auto"/>
        <w:bottom w:val="none" w:sz="0" w:space="0" w:color="auto"/>
        <w:right w:val="none" w:sz="0" w:space="0" w:color="auto"/>
      </w:divBdr>
    </w:div>
    <w:div w:id="845554956">
      <w:bodyDiv w:val="1"/>
      <w:marLeft w:val="0"/>
      <w:marRight w:val="0"/>
      <w:marTop w:val="0"/>
      <w:marBottom w:val="0"/>
      <w:divBdr>
        <w:top w:val="none" w:sz="0" w:space="0" w:color="auto"/>
        <w:left w:val="none" w:sz="0" w:space="0" w:color="auto"/>
        <w:bottom w:val="none" w:sz="0" w:space="0" w:color="auto"/>
        <w:right w:val="none" w:sz="0" w:space="0" w:color="auto"/>
      </w:divBdr>
    </w:div>
    <w:div w:id="845561184">
      <w:bodyDiv w:val="1"/>
      <w:marLeft w:val="0"/>
      <w:marRight w:val="0"/>
      <w:marTop w:val="0"/>
      <w:marBottom w:val="0"/>
      <w:divBdr>
        <w:top w:val="none" w:sz="0" w:space="0" w:color="auto"/>
        <w:left w:val="none" w:sz="0" w:space="0" w:color="auto"/>
        <w:bottom w:val="none" w:sz="0" w:space="0" w:color="auto"/>
        <w:right w:val="none" w:sz="0" w:space="0" w:color="auto"/>
      </w:divBdr>
    </w:div>
    <w:div w:id="845561539">
      <w:bodyDiv w:val="1"/>
      <w:marLeft w:val="0"/>
      <w:marRight w:val="0"/>
      <w:marTop w:val="0"/>
      <w:marBottom w:val="0"/>
      <w:divBdr>
        <w:top w:val="none" w:sz="0" w:space="0" w:color="auto"/>
        <w:left w:val="none" w:sz="0" w:space="0" w:color="auto"/>
        <w:bottom w:val="none" w:sz="0" w:space="0" w:color="auto"/>
        <w:right w:val="none" w:sz="0" w:space="0" w:color="auto"/>
      </w:divBdr>
    </w:div>
    <w:div w:id="845562453">
      <w:bodyDiv w:val="1"/>
      <w:marLeft w:val="0"/>
      <w:marRight w:val="0"/>
      <w:marTop w:val="0"/>
      <w:marBottom w:val="0"/>
      <w:divBdr>
        <w:top w:val="none" w:sz="0" w:space="0" w:color="auto"/>
        <w:left w:val="none" w:sz="0" w:space="0" w:color="auto"/>
        <w:bottom w:val="none" w:sz="0" w:space="0" w:color="auto"/>
        <w:right w:val="none" w:sz="0" w:space="0" w:color="auto"/>
      </w:divBdr>
    </w:div>
    <w:div w:id="845756061">
      <w:bodyDiv w:val="1"/>
      <w:marLeft w:val="0"/>
      <w:marRight w:val="0"/>
      <w:marTop w:val="0"/>
      <w:marBottom w:val="0"/>
      <w:divBdr>
        <w:top w:val="none" w:sz="0" w:space="0" w:color="auto"/>
        <w:left w:val="none" w:sz="0" w:space="0" w:color="auto"/>
        <w:bottom w:val="none" w:sz="0" w:space="0" w:color="auto"/>
        <w:right w:val="none" w:sz="0" w:space="0" w:color="auto"/>
      </w:divBdr>
    </w:div>
    <w:div w:id="845897269">
      <w:bodyDiv w:val="1"/>
      <w:marLeft w:val="0"/>
      <w:marRight w:val="0"/>
      <w:marTop w:val="0"/>
      <w:marBottom w:val="0"/>
      <w:divBdr>
        <w:top w:val="none" w:sz="0" w:space="0" w:color="auto"/>
        <w:left w:val="none" w:sz="0" w:space="0" w:color="auto"/>
        <w:bottom w:val="none" w:sz="0" w:space="0" w:color="auto"/>
        <w:right w:val="none" w:sz="0" w:space="0" w:color="auto"/>
      </w:divBdr>
    </w:div>
    <w:div w:id="845903867">
      <w:bodyDiv w:val="1"/>
      <w:marLeft w:val="0"/>
      <w:marRight w:val="0"/>
      <w:marTop w:val="0"/>
      <w:marBottom w:val="0"/>
      <w:divBdr>
        <w:top w:val="none" w:sz="0" w:space="0" w:color="auto"/>
        <w:left w:val="none" w:sz="0" w:space="0" w:color="auto"/>
        <w:bottom w:val="none" w:sz="0" w:space="0" w:color="auto"/>
        <w:right w:val="none" w:sz="0" w:space="0" w:color="auto"/>
      </w:divBdr>
    </w:div>
    <w:div w:id="845944595">
      <w:bodyDiv w:val="1"/>
      <w:marLeft w:val="0"/>
      <w:marRight w:val="0"/>
      <w:marTop w:val="0"/>
      <w:marBottom w:val="0"/>
      <w:divBdr>
        <w:top w:val="none" w:sz="0" w:space="0" w:color="auto"/>
        <w:left w:val="none" w:sz="0" w:space="0" w:color="auto"/>
        <w:bottom w:val="none" w:sz="0" w:space="0" w:color="auto"/>
        <w:right w:val="none" w:sz="0" w:space="0" w:color="auto"/>
      </w:divBdr>
    </w:div>
    <w:div w:id="846022762">
      <w:bodyDiv w:val="1"/>
      <w:marLeft w:val="0"/>
      <w:marRight w:val="0"/>
      <w:marTop w:val="0"/>
      <w:marBottom w:val="0"/>
      <w:divBdr>
        <w:top w:val="none" w:sz="0" w:space="0" w:color="auto"/>
        <w:left w:val="none" w:sz="0" w:space="0" w:color="auto"/>
        <w:bottom w:val="none" w:sz="0" w:space="0" w:color="auto"/>
        <w:right w:val="none" w:sz="0" w:space="0" w:color="auto"/>
      </w:divBdr>
    </w:div>
    <w:div w:id="846095734">
      <w:bodyDiv w:val="1"/>
      <w:marLeft w:val="0"/>
      <w:marRight w:val="0"/>
      <w:marTop w:val="0"/>
      <w:marBottom w:val="0"/>
      <w:divBdr>
        <w:top w:val="none" w:sz="0" w:space="0" w:color="auto"/>
        <w:left w:val="none" w:sz="0" w:space="0" w:color="auto"/>
        <w:bottom w:val="none" w:sz="0" w:space="0" w:color="auto"/>
        <w:right w:val="none" w:sz="0" w:space="0" w:color="auto"/>
      </w:divBdr>
    </w:div>
    <w:div w:id="846140542">
      <w:bodyDiv w:val="1"/>
      <w:marLeft w:val="0"/>
      <w:marRight w:val="0"/>
      <w:marTop w:val="0"/>
      <w:marBottom w:val="0"/>
      <w:divBdr>
        <w:top w:val="none" w:sz="0" w:space="0" w:color="auto"/>
        <w:left w:val="none" w:sz="0" w:space="0" w:color="auto"/>
        <w:bottom w:val="none" w:sz="0" w:space="0" w:color="auto"/>
        <w:right w:val="none" w:sz="0" w:space="0" w:color="auto"/>
      </w:divBdr>
    </w:div>
    <w:div w:id="846217750">
      <w:bodyDiv w:val="1"/>
      <w:marLeft w:val="0"/>
      <w:marRight w:val="0"/>
      <w:marTop w:val="0"/>
      <w:marBottom w:val="0"/>
      <w:divBdr>
        <w:top w:val="none" w:sz="0" w:space="0" w:color="auto"/>
        <w:left w:val="none" w:sz="0" w:space="0" w:color="auto"/>
        <w:bottom w:val="none" w:sz="0" w:space="0" w:color="auto"/>
        <w:right w:val="none" w:sz="0" w:space="0" w:color="auto"/>
      </w:divBdr>
    </w:div>
    <w:div w:id="846285314">
      <w:bodyDiv w:val="1"/>
      <w:marLeft w:val="0"/>
      <w:marRight w:val="0"/>
      <w:marTop w:val="0"/>
      <w:marBottom w:val="0"/>
      <w:divBdr>
        <w:top w:val="none" w:sz="0" w:space="0" w:color="auto"/>
        <w:left w:val="none" w:sz="0" w:space="0" w:color="auto"/>
        <w:bottom w:val="none" w:sz="0" w:space="0" w:color="auto"/>
        <w:right w:val="none" w:sz="0" w:space="0" w:color="auto"/>
      </w:divBdr>
    </w:div>
    <w:div w:id="846287951">
      <w:bodyDiv w:val="1"/>
      <w:marLeft w:val="0"/>
      <w:marRight w:val="0"/>
      <w:marTop w:val="0"/>
      <w:marBottom w:val="0"/>
      <w:divBdr>
        <w:top w:val="none" w:sz="0" w:space="0" w:color="auto"/>
        <w:left w:val="none" w:sz="0" w:space="0" w:color="auto"/>
        <w:bottom w:val="none" w:sz="0" w:space="0" w:color="auto"/>
        <w:right w:val="none" w:sz="0" w:space="0" w:color="auto"/>
      </w:divBdr>
    </w:div>
    <w:div w:id="846290212">
      <w:bodyDiv w:val="1"/>
      <w:marLeft w:val="0"/>
      <w:marRight w:val="0"/>
      <w:marTop w:val="0"/>
      <w:marBottom w:val="0"/>
      <w:divBdr>
        <w:top w:val="none" w:sz="0" w:space="0" w:color="auto"/>
        <w:left w:val="none" w:sz="0" w:space="0" w:color="auto"/>
        <w:bottom w:val="none" w:sz="0" w:space="0" w:color="auto"/>
        <w:right w:val="none" w:sz="0" w:space="0" w:color="auto"/>
      </w:divBdr>
    </w:div>
    <w:div w:id="846291868">
      <w:bodyDiv w:val="1"/>
      <w:marLeft w:val="0"/>
      <w:marRight w:val="0"/>
      <w:marTop w:val="0"/>
      <w:marBottom w:val="0"/>
      <w:divBdr>
        <w:top w:val="none" w:sz="0" w:space="0" w:color="auto"/>
        <w:left w:val="none" w:sz="0" w:space="0" w:color="auto"/>
        <w:bottom w:val="none" w:sz="0" w:space="0" w:color="auto"/>
        <w:right w:val="none" w:sz="0" w:space="0" w:color="auto"/>
      </w:divBdr>
    </w:div>
    <w:div w:id="846292315">
      <w:bodyDiv w:val="1"/>
      <w:marLeft w:val="0"/>
      <w:marRight w:val="0"/>
      <w:marTop w:val="0"/>
      <w:marBottom w:val="0"/>
      <w:divBdr>
        <w:top w:val="none" w:sz="0" w:space="0" w:color="auto"/>
        <w:left w:val="none" w:sz="0" w:space="0" w:color="auto"/>
        <w:bottom w:val="none" w:sz="0" w:space="0" w:color="auto"/>
        <w:right w:val="none" w:sz="0" w:space="0" w:color="auto"/>
      </w:divBdr>
    </w:div>
    <w:div w:id="846403039">
      <w:bodyDiv w:val="1"/>
      <w:marLeft w:val="0"/>
      <w:marRight w:val="0"/>
      <w:marTop w:val="0"/>
      <w:marBottom w:val="0"/>
      <w:divBdr>
        <w:top w:val="none" w:sz="0" w:space="0" w:color="auto"/>
        <w:left w:val="none" w:sz="0" w:space="0" w:color="auto"/>
        <w:bottom w:val="none" w:sz="0" w:space="0" w:color="auto"/>
        <w:right w:val="none" w:sz="0" w:space="0" w:color="auto"/>
      </w:divBdr>
    </w:div>
    <w:div w:id="846404693">
      <w:bodyDiv w:val="1"/>
      <w:marLeft w:val="0"/>
      <w:marRight w:val="0"/>
      <w:marTop w:val="0"/>
      <w:marBottom w:val="0"/>
      <w:divBdr>
        <w:top w:val="none" w:sz="0" w:space="0" w:color="auto"/>
        <w:left w:val="none" w:sz="0" w:space="0" w:color="auto"/>
        <w:bottom w:val="none" w:sz="0" w:space="0" w:color="auto"/>
        <w:right w:val="none" w:sz="0" w:space="0" w:color="auto"/>
      </w:divBdr>
    </w:div>
    <w:div w:id="846479334">
      <w:bodyDiv w:val="1"/>
      <w:marLeft w:val="0"/>
      <w:marRight w:val="0"/>
      <w:marTop w:val="0"/>
      <w:marBottom w:val="0"/>
      <w:divBdr>
        <w:top w:val="none" w:sz="0" w:space="0" w:color="auto"/>
        <w:left w:val="none" w:sz="0" w:space="0" w:color="auto"/>
        <w:bottom w:val="none" w:sz="0" w:space="0" w:color="auto"/>
        <w:right w:val="none" w:sz="0" w:space="0" w:color="auto"/>
      </w:divBdr>
    </w:div>
    <w:div w:id="846483880">
      <w:bodyDiv w:val="1"/>
      <w:marLeft w:val="0"/>
      <w:marRight w:val="0"/>
      <w:marTop w:val="0"/>
      <w:marBottom w:val="0"/>
      <w:divBdr>
        <w:top w:val="none" w:sz="0" w:space="0" w:color="auto"/>
        <w:left w:val="none" w:sz="0" w:space="0" w:color="auto"/>
        <w:bottom w:val="none" w:sz="0" w:space="0" w:color="auto"/>
        <w:right w:val="none" w:sz="0" w:space="0" w:color="auto"/>
      </w:divBdr>
    </w:div>
    <w:div w:id="846595614">
      <w:bodyDiv w:val="1"/>
      <w:marLeft w:val="0"/>
      <w:marRight w:val="0"/>
      <w:marTop w:val="0"/>
      <w:marBottom w:val="0"/>
      <w:divBdr>
        <w:top w:val="none" w:sz="0" w:space="0" w:color="auto"/>
        <w:left w:val="none" w:sz="0" w:space="0" w:color="auto"/>
        <w:bottom w:val="none" w:sz="0" w:space="0" w:color="auto"/>
        <w:right w:val="none" w:sz="0" w:space="0" w:color="auto"/>
      </w:divBdr>
    </w:div>
    <w:div w:id="846673770">
      <w:bodyDiv w:val="1"/>
      <w:marLeft w:val="0"/>
      <w:marRight w:val="0"/>
      <w:marTop w:val="0"/>
      <w:marBottom w:val="0"/>
      <w:divBdr>
        <w:top w:val="none" w:sz="0" w:space="0" w:color="auto"/>
        <w:left w:val="none" w:sz="0" w:space="0" w:color="auto"/>
        <w:bottom w:val="none" w:sz="0" w:space="0" w:color="auto"/>
        <w:right w:val="none" w:sz="0" w:space="0" w:color="auto"/>
      </w:divBdr>
    </w:div>
    <w:div w:id="846677236">
      <w:bodyDiv w:val="1"/>
      <w:marLeft w:val="0"/>
      <w:marRight w:val="0"/>
      <w:marTop w:val="0"/>
      <w:marBottom w:val="0"/>
      <w:divBdr>
        <w:top w:val="none" w:sz="0" w:space="0" w:color="auto"/>
        <w:left w:val="none" w:sz="0" w:space="0" w:color="auto"/>
        <w:bottom w:val="none" w:sz="0" w:space="0" w:color="auto"/>
        <w:right w:val="none" w:sz="0" w:space="0" w:color="auto"/>
      </w:divBdr>
    </w:div>
    <w:div w:id="846821366">
      <w:bodyDiv w:val="1"/>
      <w:marLeft w:val="0"/>
      <w:marRight w:val="0"/>
      <w:marTop w:val="0"/>
      <w:marBottom w:val="0"/>
      <w:divBdr>
        <w:top w:val="none" w:sz="0" w:space="0" w:color="auto"/>
        <w:left w:val="none" w:sz="0" w:space="0" w:color="auto"/>
        <w:bottom w:val="none" w:sz="0" w:space="0" w:color="auto"/>
        <w:right w:val="none" w:sz="0" w:space="0" w:color="auto"/>
      </w:divBdr>
    </w:div>
    <w:div w:id="846872621">
      <w:bodyDiv w:val="1"/>
      <w:marLeft w:val="0"/>
      <w:marRight w:val="0"/>
      <w:marTop w:val="0"/>
      <w:marBottom w:val="0"/>
      <w:divBdr>
        <w:top w:val="none" w:sz="0" w:space="0" w:color="auto"/>
        <w:left w:val="none" w:sz="0" w:space="0" w:color="auto"/>
        <w:bottom w:val="none" w:sz="0" w:space="0" w:color="auto"/>
        <w:right w:val="none" w:sz="0" w:space="0" w:color="auto"/>
      </w:divBdr>
    </w:div>
    <w:div w:id="846872968">
      <w:bodyDiv w:val="1"/>
      <w:marLeft w:val="0"/>
      <w:marRight w:val="0"/>
      <w:marTop w:val="0"/>
      <w:marBottom w:val="0"/>
      <w:divBdr>
        <w:top w:val="none" w:sz="0" w:space="0" w:color="auto"/>
        <w:left w:val="none" w:sz="0" w:space="0" w:color="auto"/>
        <w:bottom w:val="none" w:sz="0" w:space="0" w:color="auto"/>
        <w:right w:val="none" w:sz="0" w:space="0" w:color="auto"/>
      </w:divBdr>
    </w:div>
    <w:div w:id="847063699">
      <w:bodyDiv w:val="1"/>
      <w:marLeft w:val="0"/>
      <w:marRight w:val="0"/>
      <w:marTop w:val="0"/>
      <w:marBottom w:val="0"/>
      <w:divBdr>
        <w:top w:val="none" w:sz="0" w:space="0" w:color="auto"/>
        <w:left w:val="none" w:sz="0" w:space="0" w:color="auto"/>
        <w:bottom w:val="none" w:sz="0" w:space="0" w:color="auto"/>
        <w:right w:val="none" w:sz="0" w:space="0" w:color="auto"/>
      </w:divBdr>
    </w:div>
    <w:div w:id="847064336">
      <w:bodyDiv w:val="1"/>
      <w:marLeft w:val="0"/>
      <w:marRight w:val="0"/>
      <w:marTop w:val="0"/>
      <w:marBottom w:val="0"/>
      <w:divBdr>
        <w:top w:val="none" w:sz="0" w:space="0" w:color="auto"/>
        <w:left w:val="none" w:sz="0" w:space="0" w:color="auto"/>
        <w:bottom w:val="none" w:sz="0" w:space="0" w:color="auto"/>
        <w:right w:val="none" w:sz="0" w:space="0" w:color="auto"/>
      </w:divBdr>
    </w:div>
    <w:div w:id="847132610">
      <w:bodyDiv w:val="1"/>
      <w:marLeft w:val="0"/>
      <w:marRight w:val="0"/>
      <w:marTop w:val="0"/>
      <w:marBottom w:val="0"/>
      <w:divBdr>
        <w:top w:val="none" w:sz="0" w:space="0" w:color="auto"/>
        <w:left w:val="none" w:sz="0" w:space="0" w:color="auto"/>
        <w:bottom w:val="none" w:sz="0" w:space="0" w:color="auto"/>
        <w:right w:val="none" w:sz="0" w:space="0" w:color="auto"/>
      </w:divBdr>
    </w:div>
    <w:div w:id="847216260">
      <w:bodyDiv w:val="1"/>
      <w:marLeft w:val="0"/>
      <w:marRight w:val="0"/>
      <w:marTop w:val="0"/>
      <w:marBottom w:val="0"/>
      <w:divBdr>
        <w:top w:val="none" w:sz="0" w:space="0" w:color="auto"/>
        <w:left w:val="none" w:sz="0" w:space="0" w:color="auto"/>
        <w:bottom w:val="none" w:sz="0" w:space="0" w:color="auto"/>
        <w:right w:val="none" w:sz="0" w:space="0" w:color="auto"/>
      </w:divBdr>
    </w:div>
    <w:div w:id="847250641">
      <w:bodyDiv w:val="1"/>
      <w:marLeft w:val="0"/>
      <w:marRight w:val="0"/>
      <w:marTop w:val="0"/>
      <w:marBottom w:val="0"/>
      <w:divBdr>
        <w:top w:val="none" w:sz="0" w:space="0" w:color="auto"/>
        <w:left w:val="none" w:sz="0" w:space="0" w:color="auto"/>
        <w:bottom w:val="none" w:sz="0" w:space="0" w:color="auto"/>
        <w:right w:val="none" w:sz="0" w:space="0" w:color="auto"/>
      </w:divBdr>
    </w:div>
    <w:div w:id="847252605">
      <w:bodyDiv w:val="1"/>
      <w:marLeft w:val="0"/>
      <w:marRight w:val="0"/>
      <w:marTop w:val="0"/>
      <w:marBottom w:val="0"/>
      <w:divBdr>
        <w:top w:val="none" w:sz="0" w:space="0" w:color="auto"/>
        <w:left w:val="none" w:sz="0" w:space="0" w:color="auto"/>
        <w:bottom w:val="none" w:sz="0" w:space="0" w:color="auto"/>
        <w:right w:val="none" w:sz="0" w:space="0" w:color="auto"/>
      </w:divBdr>
    </w:div>
    <w:div w:id="847328131">
      <w:bodyDiv w:val="1"/>
      <w:marLeft w:val="0"/>
      <w:marRight w:val="0"/>
      <w:marTop w:val="0"/>
      <w:marBottom w:val="0"/>
      <w:divBdr>
        <w:top w:val="none" w:sz="0" w:space="0" w:color="auto"/>
        <w:left w:val="none" w:sz="0" w:space="0" w:color="auto"/>
        <w:bottom w:val="none" w:sz="0" w:space="0" w:color="auto"/>
        <w:right w:val="none" w:sz="0" w:space="0" w:color="auto"/>
      </w:divBdr>
    </w:div>
    <w:div w:id="847476618">
      <w:bodyDiv w:val="1"/>
      <w:marLeft w:val="0"/>
      <w:marRight w:val="0"/>
      <w:marTop w:val="0"/>
      <w:marBottom w:val="0"/>
      <w:divBdr>
        <w:top w:val="none" w:sz="0" w:space="0" w:color="auto"/>
        <w:left w:val="none" w:sz="0" w:space="0" w:color="auto"/>
        <w:bottom w:val="none" w:sz="0" w:space="0" w:color="auto"/>
        <w:right w:val="none" w:sz="0" w:space="0" w:color="auto"/>
      </w:divBdr>
    </w:div>
    <w:div w:id="847527153">
      <w:bodyDiv w:val="1"/>
      <w:marLeft w:val="0"/>
      <w:marRight w:val="0"/>
      <w:marTop w:val="0"/>
      <w:marBottom w:val="0"/>
      <w:divBdr>
        <w:top w:val="none" w:sz="0" w:space="0" w:color="auto"/>
        <w:left w:val="none" w:sz="0" w:space="0" w:color="auto"/>
        <w:bottom w:val="none" w:sz="0" w:space="0" w:color="auto"/>
        <w:right w:val="none" w:sz="0" w:space="0" w:color="auto"/>
      </w:divBdr>
    </w:div>
    <w:div w:id="847789980">
      <w:bodyDiv w:val="1"/>
      <w:marLeft w:val="0"/>
      <w:marRight w:val="0"/>
      <w:marTop w:val="0"/>
      <w:marBottom w:val="0"/>
      <w:divBdr>
        <w:top w:val="none" w:sz="0" w:space="0" w:color="auto"/>
        <w:left w:val="none" w:sz="0" w:space="0" w:color="auto"/>
        <w:bottom w:val="none" w:sz="0" w:space="0" w:color="auto"/>
        <w:right w:val="none" w:sz="0" w:space="0" w:color="auto"/>
      </w:divBdr>
    </w:div>
    <w:div w:id="847791710">
      <w:bodyDiv w:val="1"/>
      <w:marLeft w:val="0"/>
      <w:marRight w:val="0"/>
      <w:marTop w:val="0"/>
      <w:marBottom w:val="0"/>
      <w:divBdr>
        <w:top w:val="none" w:sz="0" w:space="0" w:color="auto"/>
        <w:left w:val="none" w:sz="0" w:space="0" w:color="auto"/>
        <w:bottom w:val="none" w:sz="0" w:space="0" w:color="auto"/>
        <w:right w:val="none" w:sz="0" w:space="0" w:color="auto"/>
      </w:divBdr>
    </w:div>
    <w:div w:id="847983642">
      <w:bodyDiv w:val="1"/>
      <w:marLeft w:val="0"/>
      <w:marRight w:val="0"/>
      <w:marTop w:val="0"/>
      <w:marBottom w:val="0"/>
      <w:divBdr>
        <w:top w:val="none" w:sz="0" w:space="0" w:color="auto"/>
        <w:left w:val="none" w:sz="0" w:space="0" w:color="auto"/>
        <w:bottom w:val="none" w:sz="0" w:space="0" w:color="auto"/>
        <w:right w:val="none" w:sz="0" w:space="0" w:color="auto"/>
      </w:divBdr>
    </w:div>
    <w:div w:id="848102184">
      <w:bodyDiv w:val="1"/>
      <w:marLeft w:val="0"/>
      <w:marRight w:val="0"/>
      <w:marTop w:val="0"/>
      <w:marBottom w:val="0"/>
      <w:divBdr>
        <w:top w:val="none" w:sz="0" w:space="0" w:color="auto"/>
        <w:left w:val="none" w:sz="0" w:space="0" w:color="auto"/>
        <w:bottom w:val="none" w:sz="0" w:space="0" w:color="auto"/>
        <w:right w:val="none" w:sz="0" w:space="0" w:color="auto"/>
      </w:divBdr>
    </w:div>
    <w:div w:id="848102561">
      <w:bodyDiv w:val="1"/>
      <w:marLeft w:val="0"/>
      <w:marRight w:val="0"/>
      <w:marTop w:val="0"/>
      <w:marBottom w:val="0"/>
      <w:divBdr>
        <w:top w:val="none" w:sz="0" w:space="0" w:color="auto"/>
        <w:left w:val="none" w:sz="0" w:space="0" w:color="auto"/>
        <w:bottom w:val="none" w:sz="0" w:space="0" w:color="auto"/>
        <w:right w:val="none" w:sz="0" w:space="0" w:color="auto"/>
      </w:divBdr>
    </w:div>
    <w:div w:id="848183251">
      <w:bodyDiv w:val="1"/>
      <w:marLeft w:val="0"/>
      <w:marRight w:val="0"/>
      <w:marTop w:val="0"/>
      <w:marBottom w:val="0"/>
      <w:divBdr>
        <w:top w:val="none" w:sz="0" w:space="0" w:color="auto"/>
        <w:left w:val="none" w:sz="0" w:space="0" w:color="auto"/>
        <w:bottom w:val="none" w:sz="0" w:space="0" w:color="auto"/>
        <w:right w:val="none" w:sz="0" w:space="0" w:color="auto"/>
      </w:divBdr>
    </w:div>
    <w:div w:id="848328045">
      <w:bodyDiv w:val="1"/>
      <w:marLeft w:val="0"/>
      <w:marRight w:val="0"/>
      <w:marTop w:val="0"/>
      <w:marBottom w:val="0"/>
      <w:divBdr>
        <w:top w:val="none" w:sz="0" w:space="0" w:color="auto"/>
        <w:left w:val="none" w:sz="0" w:space="0" w:color="auto"/>
        <w:bottom w:val="none" w:sz="0" w:space="0" w:color="auto"/>
        <w:right w:val="none" w:sz="0" w:space="0" w:color="auto"/>
      </w:divBdr>
    </w:div>
    <w:div w:id="848368057">
      <w:bodyDiv w:val="1"/>
      <w:marLeft w:val="0"/>
      <w:marRight w:val="0"/>
      <w:marTop w:val="0"/>
      <w:marBottom w:val="0"/>
      <w:divBdr>
        <w:top w:val="none" w:sz="0" w:space="0" w:color="auto"/>
        <w:left w:val="none" w:sz="0" w:space="0" w:color="auto"/>
        <w:bottom w:val="none" w:sz="0" w:space="0" w:color="auto"/>
        <w:right w:val="none" w:sz="0" w:space="0" w:color="auto"/>
      </w:divBdr>
    </w:div>
    <w:div w:id="848525500">
      <w:bodyDiv w:val="1"/>
      <w:marLeft w:val="0"/>
      <w:marRight w:val="0"/>
      <w:marTop w:val="0"/>
      <w:marBottom w:val="0"/>
      <w:divBdr>
        <w:top w:val="none" w:sz="0" w:space="0" w:color="auto"/>
        <w:left w:val="none" w:sz="0" w:space="0" w:color="auto"/>
        <w:bottom w:val="none" w:sz="0" w:space="0" w:color="auto"/>
        <w:right w:val="none" w:sz="0" w:space="0" w:color="auto"/>
      </w:divBdr>
    </w:div>
    <w:div w:id="848567677">
      <w:bodyDiv w:val="1"/>
      <w:marLeft w:val="0"/>
      <w:marRight w:val="0"/>
      <w:marTop w:val="0"/>
      <w:marBottom w:val="0"/>
      <w:divBdr>
        <w:top w:val="none" w:sz="0" w:space="0" w:color="auto"/>
        <w:left w:val="none" w:sz="0" w:space="0" w:color="auto"/>
        <w:bottom w:val="none" w:sz="0" w:space="0" w:color="auto"/>
        <w:right w:val="none" w:sz="0" w:space="0" w:color="auto"/>
      </w:divBdr>
    </w:div>
    <w:div w:id="848639807">
      <w:bodyDiv w:val="1"/>
      <w:marLeft w:val="0"/>
      <w:marRight w:val="0"/>
      <w:marTop w:val="0"/>
      <w:marBottom w:val="0"/>
      <w:divBdr>
        <w:top w:val="none" w:sz="0" w:space="0" w:color="auto"/>
        <w:left w:val="none" w:sz="0" w:space="0" w:color="auto"/>
        <w:bottom w:val="none" w:sz="0" w:space="0" w:color="auto"/>
        <w:right w:val="none" w:sz="0" w:space="0" w:color="auto"/>
      </w:divBdr>
    </w:div>
    <w:div w:id="848758005">
      <w:bodyDiv w:val="1"/>
      <w:marLeft w:val="0"/>
      <w:marRight w:val="0"/>
      <w:marTop w:val="0"/>
      <w:marBottom w:val="0"/>
      <w:divBdr>
        <w:top w:val="none" w:sz="0" w:space="0" w:color="auto"/>
        <w:left w:val="none" w:sz="0" w:space="0" w:color="auto"/>
        <w:bottom w:val="none" w:sz="0" w:space="0" w:color="auto"/>
        <w:right w:val="none" w:sz="0" w:space="0" w:color="auto"/>
      </w:divBdr>
    </w:div>
    <w:div w:id="848831955">
      <w:bodyDiv w:val="1"/>
      <w:marLeft w:val="0"/>
      <w:marRight w:val="0"/>
      <w:marTop w:val="0"/>
      <w:marBottom w:val="0"/>
      <w:divBdr>
        <w:top w:val="none" w:sz="0" w:space="0" w:color="auto"/>
        <w:left w:val="none" w:sz="0" w:space="0" w:color="auto"/>
        <w:bottom w:val="none" w:sz="0" w:space="0" w:color="auto"/>
        <w:right w:val="none" w:sz="0" w:space="0" w:color="auto"/>
      </w:divBdr>
    </w:div>
    <w:div w:id="848905442">
      <w:bodyDiv w:val="1"/>
      <w:marLeft w:val="0"/>
      <w:marRight w:val="0"/>
      <w:marTop w:val="0"/>
      <w:marBottom w:val="0"/>
      <w:divBdr>
        <w:top w:val="none" w:sz="0" w:space="0" w:color="auto"/>
        <w:left w:val="none" w:sz="0" w:space="0" w:color="auto"/>
        <w:bottom w:val="none" w:sz="0" w:space="0" w:color="auto"/>
        <w:right w:val="none" w:sz="0" w:space="0" w:color="auto"/>
      </w:divBdr>
    </w:div>
    <w:div w:id="848983300">
      <w:bodyDiv w:val="1"/>
      <w:marLeft w:val="0"/>
      <w:marRight w:val="0"/>
      <w:marTop w:val="0"/>
      <w:marBottom w:val="0"/>
      <w:divBdr>
        <w:top w:val="none" w:sz="0" w:space="0" w:color="auto"/>
        <w:left w:val="none" w:sz="0" w:space="0" w:color="auto"/>
        <w:bottom w:val="none" w:sz="0" w:space="0" w:color="auto"/>
        <w:right w:val="none" w:sz="0" w:space="0" w:color="auto"/>
      </w:divBdr>
    </w:div>
    <w:div w:id="849023263">
      <w:bodyDiv w:val="1"/>
      <w:marLeft w:val="0"/>
      <w:marRight w:val="0"/>
      <w:marTop w:val="0"/>
      <w:marBottom w:val="0"/>
      <w:divBdr>
        <w:top w:val="none" w:sz="0" w:space="0" w:color="auto"/>
        <w:left w:val="none" w:sz="0" w:space="0" w:color="auto"/>
        <w:bottom w:val="none" w:sz="0" w:space="0" w:color="auto"/>
        <w:right w:val="none" w:sz="0" w:space="0" w:color="auto"/>
      </w:divBdr>
    </w:div>
    <w:div w:id="849178343">
      <w:bodyDiv w:val="1"/>
      <w:marLeft w:val="0"/>
      <w:marRight w:val="0"/>
      <w:marTop w:val="0"/>
      <w:marBottom w:val="0"/>
      <w:divBdr>
        <w:top w:val="none" w:sz="0" w:space="0" w:color="auto"/>
        <w:left w:val="none" w:sz="0" w:space="0" w:color="auto"/>
        <w:bottom w:val="none" w:sz="0" w:space="0" w:color="auto"/>
        <w:right w:val="none" w:sz="0" w:space="0" w:color="auto"/>
      </w:divBdr>
    </w:div>
    <w:div w:id="849300679">
      <w:bodyDiv w:val="1"/>
      <w:marLeft w:val="0"/>
      <w:marRight w:val="0"/>
      <w:marTop w:val="0"/>
      <w:marBottom w:val="0"/>
      <w:divBdr>
        <w:top w:val="none" w:sz="0" w:space="0" w:color="auto"/>
        <w:left w:val="none" w:sz="0" w:space="0" w:color="auto"/>
        <w:bottom w:val="none" w:sz="0" w:space="0" w:color="auto"/>
        <w:right w:val="none" w:sz="0" w:space="0" w:color="auto"/>
      </w:divBdr>
    </w:div>
    <w:div w:id="849415729">
      <w:bodyDiv w:val="1"/>
      <w:marLeft w:val="0"/>
      <w:marRight w:val="0"/>
      <w:marTop w:val="0"/>
      <w:marBottom w:val="0"/>
      <w:divBdr>
        <w:top w:val="none" w:sz="0" w:space="0" w:color="auto"/>
        <w:left w:val="none" w:sz="0" w:space="0" w:color="auto"/>
        <w:bottom w:val="none" w:sz="0" w:space="0" w:color="auto"/>
        <w:right w:val="none" w:sz="0" w:space="0" w:color="auto"/>
      </w:divBdr>
    </w:div>
    <w:div w:id="849417477">
      <w:bodyDiv w:val="1"/>
      <w:marLeft w:val="0"/>
      <w:marRight w:val="0"/>
      <w:marTop w:val="0"/>
      <w:marBottom w:val="0"/>
      <w:divBdr>
        <w:top w:val="none" w:sz="0" w:space="0" w:color="auto"/>
        <w:left w:val="none" w:sz="0" w:space="0" w:color="auto"/>
        <w:bottom w:val="none" w:sz="0" w:space="0" w:color="auto"/>
        <w:right w:val="none" w:sz="0" w:space="0" w:color="auto"/>
      </w:divBdr>
    </w:div>
    <w:div w:id="849486471">
      <w:bodyDiv w:val="1"/>
      <w:marLeft w:val="0"/>
      <w:marRight w:val="0"/>
      <w:marTop w:val="0"/>
      <w:marBottom w:val="0"/>
      <w:divBdr>
        <w:top w:val="none" w:sz="0" w:space="0" w:color="auto"/>
        <w:left w:val="none" w:sz="0" w:space="0" w:color="auto"/>
        <w:bottom w:val="none" w:sz="0" w:space="0" w:color="auto"/>
        <w:right w:val="none" w:sz="0" w:space="0" w:color="auto"/>
      </w:divBdr>
    </w:div>
    <w:div w:id="849564376">
      <w:bodyDiv w:val="1"/>
      <w:marLeft w:val="0"/>
      <w:marRight w:val="0"/>
      <w:marTop w:val="0"/>
      <w:marBottom w:val="0"/>
      <w:divBdr>
        <w:top w:val="none" w:sz="0" w:space="0" w:color="auto"/>
        <w:left w:val="none" w:sz="0" w:space="0" w:color="auto"/>
        <w:bottom w:val="none" w:sz="0" w:space="0" w:color="auto"/>
        <w:right w:val="none" w:sz="0" w:space="0" w:color="auto"/>
      </w:divBdr>
    </w:div>
    <w:div w:id="849568298">
      <w:bodyDiv w:val="1"/>
      <w:marLeft w:val="0"/>
      <w:marRight w:val="0"/>
      <w:marTop w:val="0"/>
      <w:marBottom w:val="0"/>
      <w:divBdr>
        <w:top w:val="none" w:sz="0" w:space="0" w:color="auto"/>
        <w:left w:val="none" w:sz="0" w:space="0" w:color="auto"/>
        <w:bottom w:val="none" w:sz="0" w:space="0" w:color="auto"/>
        <w:right w:val="none" w:sz="0" w:space="0" w:color="auto"/>
      </w:divBdr>
    </w:div>
    <w:div w:id="849612318">
      <w:bodyDiv w:val="1"/>
      <w:marLeft w:val="0"/>
      <w:marRight w:val="0"/>
      <w:marTop w:val="0"/>
      <w:marBottom w:val="0"/>
      <w:divBdr>
        <w:top w:val="none" w:sz="0" w:space="0" w:color="auto"/>
        <w:left w:val="none" w:sz="0" w:space="0" w:color="auto"/>
        <w:bottom w:val="none" w:sz="0" w:space="0" w:color="auto"/>
        <w:right w:val="none" w:sz="0" w:space="0" w:color="auto"/>
      </w:divBdr>
    </w:div>
    <w:div w:id="849641000">
      <w:bodyDiv w:val="1"/>
      <w:marLeft w:val="0"/>
      <w:marRight w:val="0"/>
      <w:marTop w:val="0"/>
      <w:marBottom w:val="0"/>
      <w:divBdr>
        <w:top w:val="none" w:sz="0" w:space="0" w:color="auto"/>
        <w:left w:val="none" w:sz="0" w:space="0" w:color="auto"/>
        <w:bottom w:val="none" w:sz="0" w:space="0" w:color="auto"/>
        <w:right w:val="none" w:sz="0" w:space="0" w:color="auto"/>
      </w:divBdr>
    </w:div>
    <w:div w:id="849837580">
      <w:bodyDiv w:val="1"/>
      <w:marLeft w:val="0"/>
      <w:marRight w:val="0"/>
      <w:marTop w:val="0"/>
      <w:marBottom w:val="0"/>
      <w:divBdr>
        <w:top w:val="none" w:sz="0" w:space="0" w:color="auto"/>
        <w:left w:val="none" w:sz="0" w:space="0" w:color="auto"/>
        <w:bottom w:val="none" w:sz="0" w:space="0" w:color="auto"/>
        <w:right w:val="none" w:sz="0" w:space="0" w:color="auto"/>
      </w:divBdr>
    </w:div>
    <w:div w:id="849876387">
      <w:bodyDiv w:val="1"/>
      <w:marLeft w:val="0"/>
      <w:marRight w:val="0"/>
      <w:marTop w:val="0"/>
      <w:marBottom w:val="0"/>
      <w:divBdr>
        <w:top w:val="none" w:sz="0" w:space="0" w:color="auto"/>
        <w:left w:val="none" w:sz="0" w:space="0" w:color="auto"/>
        <w:bottom w:val="none" w:sz="0" w:space="0" w:color="auto"/>
        <w:right w:val="none" w:sz="0" w:space="0" w:color="auto"/>
      </w:divBdr>
    </w:div>
    <w:div w:id="850144203">
      <w:bodyDiv w:val="1"/>
      <w:marLeft w:val="0"/>
      <w:marRight w:val="0"/>
      <w:marTop w:val="0"/>
      <w:marBottom w:val="0"/>
      <w:divBdr>
        <w:top w:val="none" w:sz="0" w:space="0" w:color="auto"/>
        <w:left w:val="none" w:sz="0" w:space="0" w:color="auto"/>
        <w:bottom w:val="none" w:sz="0" w:space="0" w:color="auto"/>
        <w:right w:val="none" w:sz="0" w:space="0" w:color="auto"/>
      </w:divBdr>
    </w:div>
    <w:div w:id="850224511">
      <w:bodyDiv w:val="1"/>
      <w:marLeft w:val="0"/>
      <w:marRight w:val="0"/>
      <w:marTop w:val="0"/>
      <w:marBottom w:val="0"/>
      <w:divBdr>
        <w:top w:val="none" w:sz="0" w:space="0" w:color="auto"/>
        <w:left w:val="none" w:sz="0" w:space="0" w:color="auto"/>
        <w:bottom w:val="none" w:sz="0" w:space="0" w:color="auto"/>
        <w:right w:val="none" w:sz="0" w:space="0" w:color="auto"/>
      </w:divBdr>
    </w:div>
    <w:div w:id="850265765">
      <w:bodyDiv w:val="1"/>
      <w:marLeft w:val="0"/>
      <w:marRight w:val="0"/>
      <w:marTop w:val="0"/>
      <w:marBottom w:val="0"/>
      <w:divBdr>
        <w:top w:val="none" w:sz="0" w:space="0" w:color="auto"/>
        <w:left w:val="none" w:sz="0" w:space="0" w:color="auto"/>
        <w:bottom w:val="none" w:sz="0" w:space="0" w:color="auto"/>
        <w:right w:val="none" w:sz="0" w:space="0" w:color="auto"/>
      </w:divBdr>
    </w:div>
    <w:div w:id="850294501">
      <w:bodyDiv w:val="1"/>
      <w:marLeft w:val="0"/>
      <w:marRight w:val="0"/>
      <w:marTop w:val="0"/>
      <w:marBottom w:val="0"/>
      <w:divBdr>
        <w:top w:val="none" w:sz="0" w:space="0" w:color="auto"/>
        <w:left w:val="none" w:sz="0" w:space="0" w:color="auto"/>
        <w:bottom w:val="none" w:sz="0" w:space="0" w:color="auto"/>
        <w:right w:val="none" w:sz="0" w:space="0" w:color="auto"/>
      </w:divBdr>
    </w:div>
    <w:div w:id="850338223">
      <w:bodyDiv w:val="1"/>
      <w:marLeft w:val="0"/>
      <w:marRight w:val="0"/>
      <w:marTop w:val="0"/>
      <w:marBottom w:val="0"/>
      <w:divBdr>
        <w:top w:val="none" w:sz="0" w:space="0" w:color="auto"/>
        <w:left w:val="none" w:sz="0" w:space="0" w:color="auto"/>
        <w:bottom w:val="none" w:sz="0" w:space="0" w:color="auto"/>
        <w:right w:val="none" w:sz="0" w:space="0" w:color="auto"/>
      </w:divBdr>
    </w:div>
    <w:div w:id="850408854">
      <w:bodyDiv w:val="1"/>
      <w:marLeft w:val="0"/>
      <w:marRight w:val="0"/>
      <w:marTop w:val="0"/>
      <w:marBottom w:val="0"/>
      <w:divBdr>
        <w:top w:val="none" w:sz="0" w:space="0" w:color="auto"/>
        <w:left w:val="none" w:sz="0" w:space="0" w:color="auto"/>
        <w:bottom w:val="none" w:sz="0" w:space="0" w:color="auto"/>
        <w:right w:val="none" w:sz="0" w:space="0" w:color="auto"/>
      </w:divBdr>
    </w:div>
    <w:div w:id="850409235">
      <w:bodyDiv w:val="1"/>
      <w:marLeft w:val="0"/>
      <w:marRight w:val="0"/>
      <w:marTop w:val="0"/>
      <w:marBottom w:val="0"/>
      <w:divBdr>
        <w:top w:val="none" w:sz="0" w:space="0" w:color="auto"/>
        <w:left w:val="none" w:sz="0" w:space="0" w:color="auto"/>
        <w:bottom w:val="none" w:sz="0" w:space="0" w:color="auto"/>
        <w:right w:val="none" w:sz="0" w:space="0" w:color="auto"/>
      </w:divBdr>
    </w:div>
    <w:div w:id="850535252">
      <w:bodyDiv w:val="1"/>
      <w:marLeft w:val="0"/>
      <w:marRight w:val="0"/>
      <w:marTop w:val="0"/>
      <w:marBottom w:val="0"/>
      <w:divBdr>
        <w:top w:val="none" w:sz="0" w:space="0" w:color="auto"/>
        <w:left w:val="none" w:sz="0" w:space="0" w:color="auto"/>
        <w:bottom w:val="none" w:sz="0" w:space="0" w:color="auto"/>
        <w:right w:val="none" w:sz="0" w:space="0" w:color="auto"/>
      </w:divBdr>
    </w:div>
    <w:div w:id="850604423">
      <w:bodyDiv w:val="1"/>
      <w:marLeft w:val="0"/>
      <w:marRight w:val="0"/>
      <w:marTop w:val="0"/>
      <w:marBottom w:val="0"/>
      <w:divBdr>
        <w:top w:val="none" w:sz="0" w:space="0" w:color="auto"/>
        <w:left w:val="none" w:sz="0" w:space="0" w:color="auto"/>
        <w:bottom w:val="none" w:sz="0" w:space="0" w:color="auto"/>
        <w:right w:val="none" w:sz="0" w:space="0" w:color="auto"/>
      </w:divBdr>
    </w:div>
    <w:div w:id="850606805">
      <w:bodyDiv w:val="1"/>
      <w:marLeft w:val="0"/>
      <w:marRight w:val="0"/>
      <w:marTop w:val="0"/>
      <w:marBottom w:val="0"/>
      <w:divBdr>
        <w:top w:val="none" w:sz="0" w:space="0" w:color="auto"/>
        <w:left w:val="none" w:sz="0" w:space="0" w:color="auto"/>
        <w:bottom w:val="none" w:sz="0" w:space="0" w:color="auto"/>
        <w:right w:val="none" w:sz="0" w:space="0" w:color="auto"/>
      </w:divBdr>
    </w:div>
    <w:div w:id="850680823">
      <w:bodyDiv w:val="1"/>
      <w:marLeft w:val="0"/>
      <w:marRight w:val="0"/>
      <w:marTop w:val="0"/>
      <w:marBottom w:val="0"/>
      <w:divBdr>
        <w:top w:val="none" w:sz="0" w:space="0" w:color="auto"/>
        <w:left w:val="none" w:sz="0" w:space="0" w:color="auto"/>
        <w:bottom w:val="none" w:sz="0" w:space="0" w:color="auto"/>
        <w:right w:val="none" w:sz="0" w:space="0" w:color="auto"/>
      </w:divBdr>
    </w:div>
    <w:div w:id="850685015">
      <w:bodyDiv w:val="1"/>
      <w:marLeft w:val="0"/>
      <w:marRight w:val="0"/>
      <w:marTop w:val="0"/>
      <w:marBottom w:val="0"/>
      <w:divBdr>
        <w:top w:val="none" w:sz="0" w:space="0" w:color="auto"/>
        <w:left w:val="none" w:sz="0" w:space="0" w:color="auto"/>
        <w:bottom w:val="none" w:sz="0" w:space="0" w:color="auto"/>
        <w:right w:val="none" w:sz="0" w:space="0" w:color="auto"/>
      </w:divBdr>
    </w:div>
    <w:div w:id="850796739">
      <w:bodyDiv w:val="1"/>
      <w:marLeft w:val="0"/>
      <w:marRight w:val="0"/>
      <w:marTop w:val="0"/>
      <w:marBottom w:val="0"/>
      <w:divBdr>
        <w:top w:val="none" w:sz="0" w:space="0" w:color="auto"/>
        <w:left w:val="none" w:sz="0" w:space="0" w:color="auto"/>
        <w:bottom w:val="none" w:sz="0" w:space="0" w:color="auto"/>
        <w:right w:val="none" w:sz="0" w:space="0" w:color="auto"/>
      </w:divBdr>
    </w:div>
    <w:div w:id="850803805">
      <w:bodyDiv w:val="1"/>
      <w:marLeft w:val="0"/>
      <w:marRight w:val="0"/>
      <w:marTop w:val="0"/>
      <w:marBottom w:val="0"/>
      <w:divBdr>
        <w:top w:val="none" w:sz="0" w:space="0" w:color="auto"/>
        <w:left w:val="none" w:sz="0" w:space="0" w:color="auto"/>
        <w:bottom w:val="none" w:sz="0" w:space="0" w:color="auto"/>
        <w:right w:val="none" w:sz="0" w:space="0" w:color="auto"/>
      </w:divBdr>
    </w:div>
    <w:div w:id="850921832">
      <w:bodyDiv w:val="1"/>
      <w:marLeft w:val="0"/>
      <w:marRight w:val="0"/>
      <w:marTop w:val="0"/>
      <w:marBottom w:val="0"/>
      <w:divBdr>
        <w:top w:val="none" w:sz="0" w:space="0" w:color="auto"/>
        <w:left w:val="none" w:sz="0" w:space="0" w:color="auto"/>
        <w:bottom w:val="none" w:sz="0" w:space="0" w:color="auto"/>
        <w:right w:val="none" w:sz="0" w:space="0" w:color="auto"/>
      </w:divBdr>
    </w:div>
    <w:div w:id="850951831">
      <w:bodyDiv w:val="1"/>
      <w:marLeft w:val="0"/>
      <w:marRight w:val="0"/>
      <w:marTop w:val="0"/>
      <w:marBottom w:val="0"/>
      <w:divBdr>
        <w:top w:val="none" w:sz="0" w:space="0" w:color="auto"/>
        <w:left w:val="none" w:sz="0" w:space="0" w:color="auto"/>
        <w:bottom w:val="none" w:sz="0" w:space="0" w:color="auto"/>
        <w:right w:val="none" w:sz="0" w:space="0" w:color="auto"/>
      </w:divBdr>
    </w:div>
    <w:div w:id="850991620">
      <w:bodyDiv w:val="1"/>
      <w:marLeft w:val="0"/>
      <w:marRight w:val="0"/>
      <w:marTop w:val="0"/>
      <w:marBottom w:val="0"/>
      <w:divBdr>
        <w:top w:val="none" w:sz="0" w:space="0" w:color="auto"/>
        <w:left w:val="none" w:sz="0" w:space="0" w:color="auto"/>
        <w:bottom w:val="none" w:sz="0" w:space="0" w:color="auto"/>
        <w:right w:val="none" w:sz="0" w:space="0" w:color="auto"/>
      </w:divBdr>
    </w:div>
    <w:div w:id="851064838">
      <w:bodyDiv w:val="1"/>
      <w:marLeft w:val="0"/>
      <w:marRight w:val="0"/>
      <w:marTop w:val="0"/>
      <w:marBottom w:val="0"/>
      <w:divBdr>
        <w:top w:val="none" w:sz="0" w:space="0" w:color="auto"/>
        <w:left w:val="none" w:sz="0" w:space="0" w:color="auto"/>
        <w:bottom w:val="none" w:sz="0" w:space="0" w:color="auto"/>
        <w:right w:val="none" w:sz="0" w:space="0" w:color="auto"/>
      </w:divBdr>
    </w:div>
    <w:div w:id="851334091">
      <w:bodyDiv w:val="1"/>
      <w:marLeft w:val="0"/>
      <w:marRight w:val="0"/>
      <w:marTop w:val="0"/>
      <w:marBottom w:val="0"/>
      <w:divBdr>
        <w:top w:val="none" w:sz="0" w:space="0" w:color="auto"/>
        <w:left w:val="none" w:sz="0" w:space="0" w:color="auto"/>
        <w:bottom w:val="none" w:sz="0" w:space="0" w:color="auto"/>
        <w:right w:val="none" w:sz="0" w:space="0" w:color="auto"/>
      </w:divBdr>
    </w:div>
    <w:div w:id="851534366">
      <w:bodyDiv w:val="1"/>
      <w:marLeft w:val="0"/>
      <w:marRight w:val="0"/>
      <w:marTop w:val="0"/>
      <w:marBottom w:val="0"/>
      <w:divBdr>
        <w:top w:val="none" w:sz="0" w:space="0" w:color="auto"/>
        <w:left w:val="none" w:sz="0" w:space="0" w:color="auto"/>
        <w:bottom w:val="none" w:sz="0" w:space="0" w:color="auto"/>
        <w:right w:val="none" w:sz="0" w:space="0" w:color="auto"/>
      </w:divBdr>
    </w:div>
    <w:div w:id="851535494">
      <w:bodyDiv w:val="1"/>
      <w:marLeft w:val="0"/>
      <w:marRight w:val="0"/>
      <w:marTop w:val="0"/>
      <w:marBottom w:val="0"/>
      <w:divBdr>
        <w:top w:val="none" w:sz="0" w:space="0" w:color="auto"/>
        <w:left w:val="none" w:sz="0" w:space="0" w:color="auto"/>
        <w:bottom w:val="none" w:sz="0" w:space="0" w:color="auto"/>
        <w:right w:val="none" w:sz="0" w:space="0" w:color="auto"/>
      </w:divBdr>
    </w:div>
    <w:div w:id="851652148">
      <w:bodyDiv w:val="1"/>
      <w:marLeft w:val="0"/>
      <w:marRight w:val="0"/>
      <w:marTop w:val="0"/>
      <w:marBottom w:val="0"/>
      <w:divBdr>
        <w:top w:val="none" w:sz="0" w:space="0" w:color="auto"/>
        <w:left w:val="none" w:sz="0" w:space="0" w:color="auto"/>
        <w:bottom w:val="none" w:sz="0" w:space="0" w:color="auto"/>
        <w:right w:val="none" w:sz="0" w:space="0" w:color="auto"/>
      </w:divBdr>
    </w:div>
    <w:div w:id="851840337">
      <w:bodyDiv w:val="1"/>
      <w:marLeft w:val="0"/>
      <w:marRight w:val="0"/>
      <w:marTop w:val="0"/>
      <w:marBottom w:val="0"/>
      <w:divBdr>
        <w:top w:val="none" w:sz="0" w:space="0" w:color="auto"/>
        <w:left w:val="none" w:sz="0" w:space="0" w:color="auto"/>
        <w:bottom w:val="none" w:sz="0" w:space="0" w:color="auto"/>
        <w:right w:val="none" w:sz="0" w:space="0" w:color="auto"/>
      </w:divBdr>
    </w:div>
    <w:div w:id="851846135">
      <w:bodyDiv w:val="1"/>
      <w:marLeft w:val="0"/>
      <w:marRight w:val="0"/>
      <w:marTop w:val="0"/>
      <w:marBottom w:val="0"/>
      <w:divBdr>
        <w:top w:val="none" w:sz="0" w:space="0" w:color="auto"/>
        <w:left w:val="none" w:sz="0" w:space="0" w:color="auto"/>
        <w:bottom w:val="none" w:sz="0" w:space="0" w:color="auto"/>
        <w:right w:val="none" w:sz="0" w:space="0" w:color="auto"/>
      </w:divBdr>
    </w:div>
    <w:div w:id="852186178">
      <w:bodyDiv w:val="1"/>
      <w:marLeft w:val="0"/>
      <w:marRight w:val="0"/>
      <w:marTop w:val="0"/>
      <w:marBottom w:val="0"/>
      <w:divBdr>
        <w:top w:val="none" w:sz="0" w:space="0" w:color="auto"/>
        <w:left w:val="none" w:sz="0" w:space="0" w:color="auto"/>
        <w:bottom w:val="none" w:sz="0" w:space="0" w:color="auto"/>
        <w:right w:val="none" w:sz="0" w:space="0" w:color="auto"/>
      </w:divBdr>
    </w:div>
    <w:div w:id="852301829">
      <w:bodyDiv w:val="1"/>
      <w:marLeft w:val="0"/>
      <w:marRight w:val="0"/>
      <w:marTop w:val="0"/>
      <w:marBottom w:val="0"/>
      <w:divBdr>
        <w:top w:val="none" w:sz="0" w:space="0" w:color="auto"/>
        <w:left w:val="none" w:sz="0" w:space="0" w:color="auto"/>
        <w:bottom w:val="none" w:sz="0" w:space="0" w:color="auto"/>
        <w:right w:val="none" w:sz="0" w:space="0" w:color="auto"/>
      </w:divBdr>
    </w:div>
    <w:div w:id="852303085">
      <w:bodyDiv w:val="1"/>
      <w:marLeft w:val="0"/>
      <w:marRight w:val="0"/>
      <w:marTop w:val="0"/>
      <w:marBottom w:val="0"/>
      <w:divBdr>
        <w:top w:val="none" w:sz="0" w:space="0" w:color="auto"/>
        <w:left w:val="none" w:sz="0" w:space="0" w:color="auto"/>
        <w:bottom w:val="none" w:sz="0" w:space="0" w:color="auto"/>
        <w:right w:val="none" w:sz="0" w:space="0" w:color="auto"/>
      </w:divBdr>
    </w:div>
    <w:div w:id="852452053">
      <w:bodyDiv w:val="1"/>
      <w:marLeft w:val="0"/>
      <w:marRight w:val="0"/>
      <w:marTop w:val="0"/>
      <w:marBottom w:val="0"/>
      <w:divBdr>
        <w:top w:val="none" w:sz="0" w:space="0" w:color="auto"/>
        <w:left w:val="none" w:sz="0" w:space="0" w:color="auto"/>
        <w:bottom w:val="none" w:sz="0" w:space="0" w:color="auto"/>
        <w:right w:val="none" w:sz="0" w:space="0" w:color="auto"/>
      </w:divBdr>
    </w:div>
    <w:div w:id="852498354">
      <w:bodyDiv w:val="1"/>
      <w:marLeft w:val="0"/>
      <w:marRight w:val="0"/>
      <w:marTop w:val="0"/>
      <w:marBottom w:val="0"/>
      <w:divBdr>
        <w:top w:val="none" w:sz="0" w:space="0" w:color="auto"/>
        <w:left w:val="none" w:sz="0" w:space="0" w:color="auto"/>
        <w:bottom w:val="none" w:sz="0" w:space="0" w:color="auto"/>
        <w:right w:val="none" w:sz="0" w:space="0" w:color="auto"/>
      </w:divBdr>
    </w:div>
    <w:div w:id="852570848">
      <w:bodyDiv w:val="1"/>
      <w:marLeft w:val="0"/>
      <w:marRight w:val="0"/>
      <w:marTop w:val="0"/>
      <w:marBottom w:val="0"/>
      <w:divBdr>
        <w:top w:val="none" w:sz="0" w:space="0" w:color="auto"/>
        <w:left w:val="none" w:sz="0" w:space="0" w:color="auto"/>
        <w:bottom w:val="none" w:sz="0" w:space="0" w:color="auto"/>
        <w:right w:val="none" w:sz="0" w:space="0" w:color="auto"/>
      </w:divBdr>
    </w:div>
    <w:div w:id="852647748">
      <w:bodyDiv w:val="1"/>
      <w:marLeft w:val="0"/>
      <w:marRight w:val="0"/>
      <w:marTop w:val="0"/>
      <w:marBottom w:val="0"/>
      <w:divBdr>
        <w:top w:val="none" w:sz="0" w:space="0" w:color="auto"/>
        <w:left w:val="none" w:sz="0" w:space="0" w:color="auto"/>
        <w:bottom w:val="none" w:sz="0" w:space="0" w:color="auto"/>
        <w:right w:val="none" w:sz="0" w:space="0" w:color="auto"/>
      </w:divBdr>
    </w:div>
    <w:div w:id="852649033">
      <w:bodyDiv w:val="1"/>
      <w:marLeft w:val="0"/>
      <w:marRight w:val="0"/>
      <w:marTop w:val="0"/>
      <w:marBottom w:val="0"/>
      <w:divBdr>
        <w:top w:val="none" w:sz="0" w:space="0" w:color="auto"/>
        <w:left w:val="none" w:sz="0" w:space="0" w:color="auto"/>
        <w:bottom w:val="none" w:sz="0" w:space="0" w:color="auto"/>
        <w:right w:val="none" w:sz="0" w:space="0" w:color="auto"/>
      </w:divBdr>
    </w:div>
    <w:div w:id="852650888">
      <w:bodyDiv w:val="1"/>
      <w:marLeft w:val="0"/>
      <w:marRight w:val="0"/>
      <w:marTop w:val="0"/>
      <w:marBottom w:val="0"/>
      <w:divBdr>
        <w:top w:val="none" w:sz="0" w:space="0" w:color="auto"/>
        <w:left w:val="none" w:sz="0" w:space="0" w:color="auto"/>
        <w:bottom w:val="none" w:sz="0" w:space="0" w:color="auto"/>
        <w:right w:val="none" w:sz="0" w:space="0" w:color="auto"/>
      </w:divBdr>
    </w:div>
    <w:div w:id="852651365">
      <w:bodyDiv w:val="1"/>
      <w:marLeft w:val="0"/>
      <w:marRight w:val="0"/>
      <w:marTop w:val="0"/>
      <w:marBottom w:val="0"/>
      <w:divBdr>
        <w:top w:val="none" w:sz="0" w:space="0" w:color="auto"/>
        <w:left w:val="none" w:sz="0" w:space="0" w:color="auto"/>
        <w:bottom w:val="none" w:sz="0" w:space="0" w:color="auto"/>
        <w:right w:val="none" w:sz="0" w:space="0" w:color="auto"/>
      </w:divBdr>
    </w:div>
    <w:div w:id="852766915">
      <w:bodyDiv w:val="1"/>
      <w:marLeft w:val="0"/>
      <w:marRight w:val="0"/>
      <w:marTop w:val="0"/>
      <w:marBottom w:val="0"/>
      <w:divBdr>
        <w:top w:val="none" w:sz="0" w:space="0" w:color="auto"/>
        <w:left w:val="none" w:sz="0" w:space="0" w:color="auto"/>
        <w:bottom w:val="none" w:sz="0" w:space="0" w:color="auto"/>
        <w:right w:val="none" w:sz="0" w:space="0" w:color="auto"/>
      </w:divBdr>
    </w:div>
    <w:div w:id="852769720">
      <w:bodyDiv w:val="1"/>
      <w:marLeft w:val="0"/>
      <w:marRight w:val="0"/>
      <w:marTop w:val="0"/>
      <w:marBottom w:val="0"/>
      <w:divBdr>
        <w:top w:val="none" w:sz="0" w:space="0" w:color="auto"/>
        <w:left w:val="none" w:sz="0" w:space="0" w:color="auto"/>
        <w:bottom w:val="none" w:sz="0" w:space="0" w:color="auto"/>
        <w:right w:val="none" w:sz="0" w:space="0" w:color="auto"/>
      </w:divBdr>
    </w:div>
    <w:div w:id="853030756">
      <w:bodyDiv w:val="1"/>
      <w:marLeft w:val="0"/>
      <w:marRight w:val="0"/>
      <w:marTop w:val="0"/>
      <w:marBottom w:val="0"/>
      <w:divBdr>
        <w:top w:val="none" w:sz="0" w:space="0" w:color="auto"/>
        <w:left w:val="none" w:sz="0" w:space="0" w:color="auto"/>
        <w:bottom w:val="none" w:sz="0" w:space="0" w:color="auto"/>
        <w:right w:val="none" w:sz="0" w:space="0" w:color="auto"/>
      </w:divBdr>
    </w:div>
    <w:div w:id="853031454">
      <w:bodyDiv w:val="1"/>
      <w:marLeft w:val="0"/>
      <w:marRight w:val="0"/>
      <w:marTop w:val="0"/>
      <w:marBottom w:val="0"/>
      <w:divBdr>
        <w:top w:val="none" w:sz="0" w:space="0" w:color="auto"/>
        <w:left w:val="none" w:sz="0" w:space="0" w:color="auto"/>
        <w:bottom w:val="none" w:sz="0" w:space="0" w:color="auto"/>
        <w:right w:val="none" w:sz="0" w:space="0" w:color="auto"/>
      </w:divBdr>
    </w:div>
    <w:div w:id="853110918">
      <w:bodyDiv w:val="1"/>
      <w:marLeft w:val="0"/>
      <w:marRight w:val="0"/>
      <w:marTop w:val="0"/>
      <w:marBottom w:val="0"/>
      <w:divBdr>
        <w:top w:val="none" w:sz="0" w:space="0" w:color="auto"/>
        <w:left w:val="none" w:sz="0" w:space="0" w:color="auto"/>
        <w:bottom w:val="none" w:sz="0" w:space="0" w:color="auto"/>
        <w:right w:val="none" w:sz="0" w:space="0" w:color="auto"/>
      </w:divBdr>
    </w:div>
    <w:div w:id="853113019">
      <w:bodyDiv w:val="1"/>
      <w:marLeft w:val="0"/>
      <w:marRight w:val="0"/>
      <w:marTop w:val="0"/>
      <w:marBottom w:val="0"/>
      <w:divBdr>
        <w:top w:val="none" w:sz="0" w:space="0" w:color="auto"/>
        <w:left w:val="none" w:sz="0" w:space="0" w:color="auto"/>
        <w:bottom w:val="none" w:sz="0" w:space="0" w:color="auto"/>
        <w:right w:val="none" w:sz="0" w:space="0" w:color="auto"/>
      </w:divBdr>
    </w:div>
    <w:div w:id="853306244">
      <w:bodyDiv w:val="1"/>
      <w:marLeft w:val="0"/>
      <w:marRight w:val="0"/>
      <w:marTop w:val="0"/>
      <w:marBottom w:val="0"/>
      <w:divBdr>
        <w:top w:val="none" w:sz="0" w:space="0" w:color="auto"/>
        <w:left w:val="none" w:sz="0" w:space="0" w:color="auto"/>
        <w:bottom w:val="none" w:sz="0" w:space="0" w:color="auto"/>
        <w:right w:val="none" w:sz="0" w:space="0" w:color="auto"/>
      </w:divBdr>
    </w:div>
    <w:div w:id="853420707">
      <w:bodyDiv w:val="1"/>
      <w:marLeft w:val="0"/>
      <w:marRight w:val="0"/>
      <w:marTop w:val="0"/>
      <w:marBottom w:val="0"/>
      <w:divBdr>
        <w:top w:val="none" w:sz="0" w:space="0" w:color="auto"/>
        <w:left w:val="none" w:sz="0" w:space="0" w:color="auto"/>
        <w:bottom w:val="none" w:sz="0" w:space="0" w:color="auto"/>
        <w:right w:val="none" w:sz="0" w:space="0" w:color="auto"/>
      </w:divBdr>
    </w:div>
    <w:div w:id="853803918">
      <w:bodyDiv w:val="1"/>
      <w:marLeft w:val="0"/>
      <w:marRight w:val="0"/>
      <w:marTop w:val="0"/>
      <w:marBottom w:val="0"/>
      <w:divBdr>
        <w:top w:val="none" w:sz="0" w:space="0" w:color="auto"/>
        <w:left w:val="none" w:sz="0" w:space="0" w:color="auto"/>
        <w:bottom w:val="none" w:sz="0" w:space="0" w:color="auto"/>
        <w:right w:val="none" w:sz="0" w:space="0" w:color="auto"/>
      </w:divBdr>
    </w:div>
    <w:div w:id="853953919">
      <w:bodyDiv w:val="1"/>
      <w:marLeft w:val="0"/>
      <w:marRight w:val="0"/>
      <w:marTop w:val="0"/>
      <w:marBottom w:val="0"/>
      <w:divBdr>
        <w:top w:val="none" w:sz="0" w:space="0" w:color="auto"/>
        <w:left w:val="none" w:sz="0" w:space="0" w:color="auto"/>
        <w:bottom w:val="none" w:sz="0" w:space="0" w:color="auto"/>
        <w:right w:val="none" w:sz="0" w:space="0" w:color="auto"/>
      </w:divBdr>
    </w:div>
    <w:div w:id="853959580">
      <w:bodyDiv w:val="1"/>
      <w:marLeft w:val="0"/>
      <w:marRight w:val="0"/>
      <w:marTop w:val="0"/>
      <w:marBottom w:val="0"/>
      <w:divBdr>
        <w:top w:val="none" w:sz="0" w:space="0" w:color="auto"/>
        <w:left w:val="none" w:sz="0" w:space="0" w:color="auto"/>
        <w:bottom w:val="none" w:sz="0" w:space="0" w:color="auto"/>
        <w:right w:val="none" w:sz="0" w:space="0" w:color="auto"/>
      </w:divBdr>
    </w:div>
    <w:div w:id="854000277">
      <w:bodyDiv w:val="1"/>
      <w:marLeft w:val="0"/>
      <w:marRight w:val="0"/>
      <w:marTop w:val="0"/>
      <w:marBottom w:val="0"/>
      <w:divBdr>
        <w:top w:val="none" w:sz="0" w:space="0" w:color="auto"/>
        <w:left w:val="none" w:sz="0" w:space="0" w:color="auto"/>
        <w:bottom w:val="none" w:sz="0" w:space="0" w:color="auto"/>
        <w:right w:val="none" w:sz="0" w:space="0" w:color="auto"/>
      </w:divBdr>
    </w:div>
    <w:div w:id="854003602">
      <w:bodyDiv w:val="1"/>
      <w:marLeft w:val="0"/>
      <w:marRight w:val="0"/>
      <w:marTop w:val="0"/>
      <w:marBottom w:val="0"/>
      <w:divBdr>
        <w:top w:val="none" w:sz="0" w:space="0" w:color="auto"/>
        <w:left w:val="none" w:sz="0" w:space="0" w:color="auto"/>
        <w:bottom w:val="none" w:sz="0" w:space="0" w:color="auto"/>
        <w:right w:val="none" w:sz="0" w:space="0" w:color="auto"/>
      </w:divBdr>
    </w:div>
    <w:div w:id="854080288">
      <w:bodyDiv w:val="1"/>
      <w:marLeft w:val="0"/>
      <w:marRight w:val="0"/>
      <w:marTop w:val="0"/>
      <w:marBottom w:val="0"/>
      <w:divBdr>
        <w:top w:val="none" w:sz="0" w:space="0" w:color="auto"/>
        <w:left w:val="none" w:sz="0" w:space="0" w:color="auto"/>
        <w:bottom w:val="none" w:sz="0" w:space="0" w:color="auto"/>
        <w:right w:val="none" w:sz="0" w:space="0" w:color="auto"/>
      </w:divBdr>
    </w:div>
    <w:div w:id="854151672">
      <w:bodyDiv w:val="1"/>
      <w:marLeft w:val="0"/>
      <w:marRight w:val="0"/>
      <w:marTop w:val="0"/>
      <w:marBottom w:val="0"/>
      <w:divBdr>
        <w:top w:val="none" w:sz="0" w:space="0" w:color="auto"/>
        <w:left w:val="none" w:sz="0" w:space="0" w:color="auto"/>
        <w:bottom w:val="none" w:sz="0" w:space="0" w:color="auto"/>
        <w:right w:val="none" w:sz="0" w:space="0" w:color="auto"/>
      </w:divBdr>
    </w:div>
    <w:div w:id="854153246">
      <w:bodyDiv w:val="1"/>
      <w:marLeft w:val="0"/>
      <w:marRight w:val="0"/>
      <w:marTop w:val="0"/>
      <w:marBottom w:val="0"/>
      <w:divBdr>
        <w:top w:val="none" w:sz="0" w:space="0" w:color="auto"/>
        <w:left w:val="none" w:sz="0" w:space="0" w:color="auto"/>
        <w:bottom w:val="none" w:sz="0" w:space="0" w:color="auto"/>
        <w:right w:val="none" w:sz="0" w:space="0" w:color="auto"/>
      </w:divBdr>
    </w:div>
    <w:div w:id="854154590">
      <w:bodyDiv w:val="1"/>
      <w:marLeft w:val="0"/>
      <w:marRight w:val="0"/>
      <w:marTop w:val="0"/>
      <w:marBottom w:val="0"/>
      <w:divBdr>
        <w:top w:val="none" w:sz="0" w:space="0" w:color="auto"/>
        <w:left w:val="none" w:sz="0" w:space="0" w:color="auto"/>
        <w:bottom w:val="none" w:sz="0" w:space="0" w:color="auto"/>
        <w:right w:val="none" w:sz="0" w:space="0" w:color="auto"/>
      </w:divBdr>
    </w:div>
    <w:div w:id="854269188">
      <w:bodyDiv w:val="1"/>
      <w:marLeft w:val="0"/>
      <w:marRight w:val="0"/>
      <w:marTop w:val="0"/>
      <w:marBottom w:val="0"/>
      <w:divBdr>
        <w:top w:val="none" w:sz="0" w:space="0" w:color="auto"/>
        <w:left w:val="none" w:sz="0" w:space="0" w:color="auto"/>
        <w:bottom w:val="none" w:sz="0" w:space="0" w:color="auto"/>
        <w:right w:val="none" w:sz="0" w:space="0" w:color="auto"/>
      </w:divBdr>
    </w:div>
    <w:div w:id="854341937">
      <w:bodyDiv w:val="1"/>
      <w:marLeft w:val="0"/>
      <w:marRight w:val="0"/>
      <w:marTop w:val="0"/>
      <w:marBottom w:val="0"/>
      <w:divBdr>
        <w:top w:val="none" w:sz="0" w:space="0" w:color="auto"/>
        <w:left w:val="none" w:sz="0" w:space="0" w:color="auto"/>
        <w:bottom w:val="none" w:sz="0" w:space="0" w:color="auto"/>
        <w:right w:val="none" w:sz="0" w:space="0" w:color="auto"/>
      </w:divBdr>
    </w:div>
    <w:div w:id="854345371">
      <w:bodyDiv w:val="1"/>
      <w:marLeft w:val="0"/>
      <w:marRight w:val="0"/>
      <w:marTop w:val="0"/>
      <w:marBottom w:val="0"/>
      <w:divBdr>
        <w:top w:val="none" w:sz="0" w:space="0" w:color="auto"/>
        <w:left w:val="none" w:sz="0" w:space="0" w:color="auto"/>
        <w:bottom w:val="none" w:sz="0" w:space="0" w:color="auto"/>
        <w:right w:val="none" w:sz="0" w:space="0" w:color="auto"/>
      </w:divBdr>
    </w:div>
    <w:div w:id="854533666">
      <w:bodyDiv w:val="1"/>
      <w:marLeft w:val="0"/>
      <w:marRight w:val="0"/>
      <w:marTop w:val="0"/>
      <w:marBottom w:val="0"/>
      <w:divBdr>
        <w:top w:val="none" w:sz="0" w:space="0" w:color="auto"/>
        <w:left w:val="none" w:sz="0" w:space="0" w:color="auto"/>
        <w:bottom w:val="none" w:sz="0" w:space="0" w:color="auto"/>
        <w:right w:val="none" w:sz="0" w:space="0" w:color="auto"/>
      </w:divBdr>
    </w:div>
    <w:div w:id="854539877">
      <w:bodyDiv w:val="1"/>
      <w:marLeft w:val="0"/>
      <w:marRight w:val="0"/>
      <w:marTop w:val="0"/>
      <w:marBottom w:val="0"/>
      <w:divBdr>
        <w:top w:val="none" w:sz="0" w:space="0" w:color="auto"/>
        <w:left w:val="none" w:sz="0" w:space="0" w:color="auto"/>
        <w:bottom w:val="none" w:sz="0" w:space="0" w:color="auto"/>
        <w:right w:val="none" w:sz="0" w:space="0" w:color="auto"/>
      </w:divBdr>
    </w:div>
    <w:div w:id="854615625">
      <w:bodyDiv w:val="1"/>
      <w:marLeft w:val="0"/>
      <w:marRight w:val="0"/>
      <w:marTop w:val="0"/>
      <w:marBottom w:val="0"/>
      <w:divBdr>
        <w:top w:val="none" w:sz="0" w:space="0" w:color="auto"/>
        <w:left w:val="none" w:sz="0" w:space="0" w:color="auto"/>
        <w:bottom w:val="none" w:sz="0" w:space="0" w:color="auto"/>
        <w:right w:val="none" w:sz="0" w:space="0" w:color="auto"/>
      </w:divBdr>
    </w:div>
    <w:div w:id="854730026">
      <w:bodyDiv w:val="1"/>
      <w:marLeft w:val="0"/>
      <w:marRight w:val="0"/>
      <w:marTop w:val="0"/>
      <w:marBottom w:val="0"/>
      <w:divBdr>
        <w:top w:val="none" w:sz="0" w:space="0" w:color="auto"/>
        <w:left w:val="none" w:sz="0" w:space="0" w:color="auto"/>
        <w:bottom w:val="none" w:sz="0" w:space="0" w:color="auto"/>
        <w:right w:val="none" w:sz="0" w:space="0" w:color="auto"/>
      </w:divBdr>
    </w:div>
    <w:div w:id="854734055">
      <w:bodyDiv w:val="1"/>
      <w:marLeft w:val="0"/>
      <w:marRight w:val="0"/>
      <w:marTop w:val="0"/>
      <w:marBottom w:val="0"/>
      <w:divBdr>
        <w:top w:val="none" w:sz="0" w:space="0" w:color="auto"/>
        <w:left w:val="none" w:sz="0" w:space="0" w:color="auto"/>
        <w:bottom w:val="none" w:sz="0" w:space="0" w:color="auto"/>
        <w:right w:val="none" w:sz="0" w:space="0" w:color="auto"/>
      </w:divBdr>
    </w:div>
    <w:div w:id="854803791">
      <w:bodyDiv w:val="1"/>
      <w:marLeft w:val="0"/>
      <w:marRight w:val="0"/>
      <w:marTop w:val="0"/>
      <w:marBottom w:val="0"/>
      <w:divBdr>
        <w:top w:val="none" w:sz="0" w:space="0" w:color="auto"/>
        <w:left w:val="none" w:sz="0" w:space="0" w:color="auto"/>
        <w:bottom w:val="none" w:sz="0" w:space="0" w:color="auto"/>
        <w:right w:val="none" w:sz="0" w:space="0" w:color="auto"/>
      </w:divBdr>
    </w:div>
    <w:div w:id="854882650">
      <w:bodyDiv w:val="1"/>
      <w:marLeft w:val="0"/>
      <w:marRight w:val="0"/>
      <w:marTop w:val="0"/>
      <w:marBottom w:val="0"/>
      <w:divBdr>
        <w:top w:val="none" w:sz="0" w:space="0" w:color="auto"/>
        <w:left w:val="none" w:sz="0" w:space="0" w:color="auto"/>
        <w:bottom w:val="none" w:sz="0" w:space="0" w:color="auto"/>
        <w:right w:val="none" w:sz="0" w:space="0" w:color="auto"/>
      </w:divBdr>
    </w:div>
    <w:div w:id="854927348">
      <w:bodyDiv w:val="1"/>
      <w:marLeft w:val="0"/>
      <w:marRight w:val="0"/>
      <w:marTop w:val="0"/>
      <w:marBottom w:val="0"/>
      <w:divBdr>
        <w:top w:val="none" w:sz="0" w:space="0" w:color="auto"/>
        <w:left w:val="none" w:sz="0" w:space="0" w:color="auto"/>
        <w:bottom w:val="none" w:sz="0" w:space="0" w:color="auto"/>
        <w:right w:val="none" w:sz="0" w:space="0" w:color="auto"/>
      </w:divBdr>
    </w:div>
    <w:div w:id="855115271">
      <w:bodyDiv w:val="1"/>
      <w:marLeft w:val="0"/>
      <w:marRight w:val="0"/>
      <w:marTop w:val="0"/>
      <w:marBottom w:val="0"/>
      <w:divBdr>
        <w:top w:val="none" w:sz="0" w:space="0" w:color="auto"/>
        <w:left w:val="none" w:sz="0" w:space="0" w:color="auto"/>
        <w:bottom w:val="none" w:sz="0" w:space="0" w:color="auto"/>
        <w:right w:val="none" w:sz="0" w:space="0" w:color="auto"/>
      </w:divBdr>
    </w:div>
    <w:div w:id="855115859">
      <w:bodyDiv w:val="1"/>
      <w:marLeft w:val="0"/>
      <w:marRight w:val="0"/>
      <w:marTop w:val="0"/>
      <w:marBottom w:val="0"/>
      <w:divBdr>
        <w:top w:val="none" w:sz="0" w:space="0" w:color="auto"/>
        <w:left w:val="none" w:sz="0" w:space="0" w:color="auto"/>
        <w:bottom w:val="none" w:sz="0" w:space="0" w:color="auto"/>
        <w:right w:val="none" w:sz="0" w:space="0" w:color="auto"/>
      </w:divBdr>
    </w:div>
    <w:div w:id="855266234">
      <w:bodyDiv w:val="1"/>
      <w:marLeft w:val="0"/>
      <w:marRight w:val="0"/>
      <w:marTop w:val="0"/>
      <w:marBottom w:val="0"/>
      <w:divBdr>
        <w:top w:val="none" w:sz="0" w:space="0" w:color="auto"/>
        <w:left w:val="none" w:sz="0" w:space="0" w:color="auto"/>
        <w:bottom w:val="none" w:sz="0" w:space="0" w:color="auto"/>
        <w:right w:val="none" w:sz="0" w:space="0" w:color="auto"/>
      </w:divBdr>
    </w:div>
    <w:div w:id="855271522">
      <w:bodyDiv w:val="1"/>
      <w:marLeft w:val="0"/>
      <w:marRight w:val="0"/>
      <w:marTop w:val="0"/>
      <w:marBottom w:val="0"/>
      <w:divBdr>
        <w:top w:val="none" w:sz="0" w:space="0" w:color="auto"/>
        <w:left w:val="none" w:sz="0" w:space="0" w:color="auto"/>
        <w:bottom w:val="none" w:sz="0" w:space="0" w:color="auto"/>
        <w:right w:val="none" w:sz="0" w:space="0" w:color="auto"/>
      </w:divBdr>
    </w:div>
    <w:div w:id="855340328">
      <w:bodyDiv w:val="1"/>
      <w:marLeft w:val="0"/>
      <w:marRight w:val="0"/>
      <w:marTop w:val="0"/>
      <w:marBottom w:val="0"/>
      <w:divBdr>
        <w:top w:val="none" w:sz="0" w:space="0" w:color="auto"/>
        <w:left w:val="none" w:sz="0" w:space="0" w:color="auto"/>
        <w:bottom w:val="none" w:sz="0" w:space="0" w:color="auto"/>
        <w:right w:val="none" w:sz="0" w:space="0" w:color="auto"/>
      </w:divBdr>
    </w:div>
    <w:div w:id="855342683">
      <w:bodyDiv w:val="1"/>
      <w:marLeft w:val="0"/>
      <w:marRight w:val="0"/>
      <w:marTop w:val="0"/>
      <w:marBottom w:val="0"/>
      <w:divBdr>
        <w:top w:val="none" w:sz="0" w:space="0" w:color="auto"/>
        <w:left w:val="none" w:sz="0" w:space="0" w:color="auto"/>
        <w:bottom w:val="none" w:sz="0" w:space="0" w:color="auto"/>
        <w:right w:val="none" w:sz="0" w:space="0" w:color="auto"/>
      </w:divBdr>
    </w:div>
    <w:div w:id="855383729">
      <w:bodyDiv w:val="1"/>
      <w:marLeft w:val="0"/>
      <w:marRight w:val="0"/>
      <w:marTop w:val="0"/>
      <w:marBottom w:val="0"/>
      <w:divBdr>
        <w:top w:val="none" w:sz="0" w:space="0" w:color="auto"/>
        <w:left w:val="none" w:sz="0" w:space="0" w:color="auto"/>
        <w:bottom w:val="none" w:sz="0" w:space="0" w:color="auto"/>
        <w:right w:val="none" w:sz="0" w:space="0" w:color="auto"/>
      </w:divBdr>
    </w:div>
    <w:div w:id="855390827">
      <w:bodyDiv w:val="1"/>
      <w:marLeft w:val="0"/>
      <w:marRight w:val="0"/>
      <w:marTop w:val="0"/>
      <w:marBottom w:val="0"/>
      <w:divBdr>
        <w:top w:val="none" w:sz="0" w:space="0" w:color="auto"/>
        <w:left w:val="none" w:sz="0" w:space="0" w:color="auto"/>
        <w:bottom w:val="none" w:sz="0" w:space="0" w:color="auto"/>
        <w:right w:val="none" w:sz="0" w:space="0" w:color="auto"/>
      </w:divBdr>
    </w:div>
    <w:div w:id="855460068">
      <w:bodyDiv w:val="1"/>
      <w:marLeft w:val="0"/>
      <w:marRight w:val="0"/>
      <w:marTop w:val="0"/>
      <w:marBottom w:val="0"/>
      <w:divBdr>
        <w:top w:val="none" w:sz="0" w:space="0" w:color="auto"/>
        <w:left w:val="none" w:sz="0" w:space="0" w:color="auto"/>
        <w:bottom w:val="none" w:sz="0" w:space="0" w:color="auto"/>
        <w:right w:val="none" w:sz="0" w:space="0" w:color="auto"/>
      </w:divBdr>
    </w:div>
    <w:div w:id="855579833">
      <w:bodyDiv w:val="1"/>
      <w:marLeft w:val="0"/>
      <w:marRight w:val="0"/>
      <w:marTop w:val="0"/>
      <w:marBottom w:val="0"/>
      <w:divBdr>
        <w:top w:val="none" w:sz="0" w:space="0" w:color="auto"/>
        <w:left w:val="none" w:sz="0" w:space="0" w:color="auto"/>
        <w:bottom w:val="none" w:sz="0" w:space="0" w:color="auto"/>
        <w:right w:val="none" w:sz="0" w:space="0" w:color="auto"/>
      </w:divBdr>
    </w:div>
    <w:div w:id="855581653">
      <w:bodyDiv w:val="1"/>
      <w:marLeft w:val="0"/>
      <w:marRight w:val="0"/>
      <w:marTop w:val="0"/>
      <w:marBottom w:val="0"/>
      <w:divBdr>
        <w:top w:val="none" w:sz="0" w:space="0" w:color="auto"/>
        <w:left w:val="none" w:sz="0" w:space="0" w:color="auto"/>
        <w:bottom w:val="none" w:sz="0" w:space="0" w:color="auto"/>
        <w:right w:val="none" w:sz="0" w:space="0" w:color="auto"/>
      </w:divBdr>
    </w:div>
    <w:div w:id="855726944">
      <w:bodyDiv w:val="1"/>
      <w:marLeft w:val="0"/>
      <w:marRight w:val="0"/>
      <w:marTop w:val="0"/>
      <w:marBottom w:val="0"/>
      <w:divBdr>
        <w:top w:val="none" w:sz="0" w:space="0" w:color="auto"/>
        <w:left w:val="none" w:sz="0" w:space="0" w:color="auto"/>
        <w:bottom w:val="none" w:sz="0" w:space="0" w:color="auto"/>
        <w:right w:val="none" w:sz="0" w:space="0" w:color="auto"/>
      </w:divBdr>
    </w:div>
    <w:div w:id="855730659">
      <w:bodyDiv w:val="1"/>
      <w:marLeft w:val="0"/>
      <w:marRight w:val="0"/>
      <w:marTop w:val="0"/>
      <w:marBottom w:val="0"/>
      <w:divBdr>
        <w:top w:val="none" w:sz="0" w:space="0" w:color="auto"/>
        <w:left w:val="none" w:sz="0" w:space="0" w:color="auto"/>
        <w:bottom w:val="none" w:sz="0" w:space="0" w:color="auto"/>
        <w:right w:val="none" w:sz="0" w:space="0" w:color="auto"/>
      </w:divBdr>
    </w:div>
    <w:div w:id="855769418">
      <w:bodyDiv w:val="1"/>
      <w:marLeft w:val="0"/>
      <w:marRight w:val="0"/>
      <w:marTop w:val="0"/>
      <w:marBottom w:val="0"/>
      <w:divBdr>
        <w:top w:val="none" w:sz="0" w:space="0" w:color="auto"/>
        <w:left w:val="none" w:sz="0" w:space="0" w:color="auto"/>
        <w:bottom w:val="none" w:sz="0" w:space="0" w:color="auto"/>
        <w:right w:val="none" w:sz="0" w:space="0" w:color="auto"/>
      </w:divBdr>
    </w:div>
    <w:div w:id="855772154">
      <w:bodyDiv w:val="1"/>
      <w:marLeft w:val="0"/>
      <w:marRight w:val="0"/>
      <w:marTop w:val="0"/>
      <w:marBottom w:val="0"/>
      <w:divBdr>
        <w:top w:val="none" w:sz="0" w:space="0" w:color="auto"/>
        <w:left w:val="none" w:sz="0" w:space="0" w:color="auto"/>
        <w:bottom w:val="none" w:sz="0" w:space="0" w:color="auto"/>
        <w:right w:val="none" w:sz="0" w:space="0" w:color="auto"/>
      </w:divBdr>
    </w:div>
    <w:div w:id="855772726">
      <w:bodyDiv w:val="1"/>
      <w:marLeft w:val="0"/>
      <w:marRight w:val="0"/>
      <w:marTop w:val="0"/>
      <w:marBottom w:val="0"/>
      <w:divBdr>
        <w:top w:val="none" w:sz="0" w:space="0" w:color="auto"/>
        <w:left w:val="none" w:sz="0" w:space="0" w:color="auto"/>
        <w:bottom w:val="none" w:sz="0" w:space="0" w:color="auto"/>
        <w:right w:val="none" w:sz="0" w:space="0" w:color="auto"/>
      </w:divBdr>
    </w:div>
    <w:div w:id="855845855">
      <w:bodyDiv w:val="1"/>
      <w:marLeft w:val="0"/>
      <w:marRight w:val="0"/>
      <w:marTop w:val="0"/>
      <w:marBottom w:val="0"/>
      <w:divBdr>
        <w:top w:val="none" w:sz="0" w:space="0" w:color="auto"/>
        <w:left w:val="none" w:sz="0" w:space="0" w:color="auto"/>
        <w:bottom w:val="none" w:sz="0" w:space="0" w:color="auto"/>
        <w:right w:val="none" w:sz="0" w:space="0" w:color="auto"/>
      </w:divBdr>
    </w:div>
    <w:div w:id="856190566">
      <w:bodyDiv w:val="1"/>
      <w:marLeft w:val="0"/>
      <w:marRight w:val="0"/>
      <w:marTop w:val="0"/>
      <w:marBottom w:val="0"/>
      <w:divBdr>
        <w:top w:val="none" w:sz="0" w:space="0" w:color="auto"/>
        <w:left w:val="none" w:sz="0" w:space="0" w:color="auto"/>
        <w:bottom w:val="none" w:sz="0" w:space="0" w:color="auto"/>
        <w:right w:val="none" w:sz="0" w:space="0" w:color="auto"/>
      </w:divBdr>
    </w:div>
    <w:div w:id="856237406">
      <w:bodyDiv w:val="1"/>
      <w:marLeft w:val="0"/>
      <w:marRight w:val="0"/>
      <w:marTop w:val="0"/>
      <w:marBottom w:val="0"/>
      <w:divBdr>
        <w:top w:val="none" w:sz="0" w:space="0" w:color="auto"/>
        <w:left w:val="none" w:sz="0" w:space="0" w:color="auto"/>
        <w:bottom w:val="none" w:sz="0" w:space="0" w:color="auto"/>
        <w:right w:val="none" w:sz="0" w:space="0" w:color="auto"/>
      </w:divBdr>
    </w:div>
    <w:div w:id="856315220">
      <w:bodyDiv w:val="1"/>
      <w:marLeft w:val="0"/>
      <w:marRight w:val="0"/>
      <w:marTop w:val="0"/>
      <w:marBottom w:val="0"/>
      <w:divBdr>
        <w:top w:val="none" w:sz="0" w:space="0" w:color="auto"/>
        <w:left w:val="none" w:sz="0" w:space="0" w:color="auto"/>
        <w:bottom w:val="none" w:sz="0" w:space="0" w:color="auto"/>
        <w:right w:val="none" w:sz="0" w:space="0" w:color="auto"/>
      </w:divBdr>
    </w:div>
    <w:div w:id="856390016">
      <w:bodyDiv w:val="1"/>
      <w:marLeft w:val="0"/>
      <w:marRight w:val="0"/>
      <w:marTop w:val="0"/>
      <w:marBottom w:val="0"/>
      <w:divBdr>
        <w:top w:val="none" w:sz="0" w:space="0" w:color="auto"/>
        <w:left w:val="none" w:sz="0" w:space="0" w:color="auto"/>
        <w:bottom w:val="none" w:sz="0" w:space="0" w:color="auto"/>
        <w:right w:val="none" w:sz="0" w:space="0" w:color="auto"/>
      </w:divBdr>
    </w:div>
    <w:div w:id="856390896">
      <w:bodyDiv w:val="1"/>
      <w:marLeft w:val="0"/>
      <w:marRight w:val="0"/>
      <w:marTop w:val="0"/>
      <w:marBottom w:val="0"/>
      <w:divBdr>
        <w:top w:val="none" w:sz="0" w:space="0" w:color="auto"/>
        <w:left w:val="none" w:sz="0" w:space="0" w:color="auto"/>
        <w:bottom w:val="none" w:sz="0" w:space="0" w:color="auto"/>
        <w:right w:val="none" w:sz="0" w:space="0" w:color="auto"/>
      </w:divBdr>
    </w:div>
    <w:div w:id="856578272">
      <w:bodyDiv w:val="1"/>
      <w:marLeft w:val="0"/>
      <w:marRight w:val="0"/>
      <w:marTop w:val="0"/>
      <w:marBottom w:val="0"/>
      <w:divBdr>
        <w:top w:val="none" w:sz="0" w:space="0" w:color="auto"/>
        <w:left w:val="none" w:sz="0" w:space="0" w:color="auto"/>
        <w:bottom w:val="none" w:sz="0" w:space="0" w:color="auto"/>
        <w:right w:val="none" w:sz="0" w:space="0" w:color="auto"/>
      </w:divBdr>
    </w:div>
    <w:div w:id="856580962">
      <w:bodyDiv w:val="1"/>
      <w:marLeft w:val="0"/>
      <w:marRight w:val="0"/>
      <w:marTop w:val="0"/>
      <w:marBottom w:val="0"/>
      <w:divBdr>
        <w:top w:val="none" w:sz="0" w:space="0" w:color="auto"/>
        <w:left w:val="none" w:sz="0" w:space="0" w:color="auto"/>
        <w:bottom w:val="none" w:sz="0" w:space="0" w:color="auto"/>
        <w:right w:val="none" w:sz="0" w:space="0" w:color="auto"/>
      </w:divBdr>
    </w:div>
    <w:div w:id="856622587">
      <w:bodyDiv w:val="1"/>
      <w:marLeft w:val="0"/>
      <w:marRight w:val="0"/>
      <w:marTop w:val="0"/>
      <w:marBottom w:val="0"/>
      <w:divBdr>
        <w:top w:val="none" w:sz="0" w:space="0" w:color="auto"/>
        <w:left w:val="none" w:sz="0" w:space="0" w:color="auto"/>
        <w:bottom w:val="none" w:sz="0" w:space="0" w:color="auto"/>
        <w:right w:val="none" w:sz="0" w:space="0" w:color="auto"/>
      </w:divBdr>
    </w:div>
    <w:div w:id="856623626">
      <w:bodyDiv w:val="1"/>
      <w:marLeft w:val="0"/>
      <w:marRight w:val="0"/>
      <w:marTop w:val="0"/>
      <w:marBottom w:val="0"/>
      <w:divBdr>
        <w:top w:val="none" w:sz="0" w:space="0" w:color="auto"/>
        <w:left w:val="none" w:sz="0" w:space="0" w:color="auto"/>
        <w:bottom w:val="none" w:sz="0" w:space="0" w:color="auto"/>
        <w:right w:val="none" w:sz="0" w:space="0" w:color="auto"/>
      </w:divBdr>
    </w:div>
    <w:div w:id="856624288">
      <w:bodyDiv w:val="1"/>
      <w:marLeft w:val="0"/>
      <w:marRight w:val="0"/>
      <w:marTop w:val="0"/>
      <w:marBottom w:val="0"/>
      <w:divBdr>
        <w:top w:val="none" w:sz="0" w:space="0" w:color="auto"/>
        <w:left w:val="none" w:sz="0" w:space="0" w:color="auto"/>
        <w:bottom w:val="none" w:sz="0" w:space="0" w:color="auto"/>
        <w:right w:val="none" w:sz="0" w:space="0" w:color="auto"/>
      </w:divBdr>
    </w:div>
    <w:div w:id="856625187">
      <w:bodyDiv w:val="1"/>
      <w:marLeft w:val="0"/>
      <w:marRight w:val="0"/>
      <w:marTop w:val="0"/>
      <w:marBottom w:val="0"/>
      <w:divBdr>
        <w:top w:val="none" w:sz="0" w:space="0" w:color="auto"/>
        <w:left w:val="none" w:sz="0" w:space="0" w:color="auto"/>
        <w:bottom w:val="none" w:sz="0" w:space="0" w:color="auto"/>
        <w:right w:val="none" w:sz="0" w:space="0" w:color="auto"/>
      </w:divBdr>
    </w:div>
    <w:div w:id="856702256">
      <w:bodyDiv w:val="1"/>
      <w:marLeft w:val="0"/>
      <w:marRight w:val="0"/>
      <w:marTop w:val="0"/>
      <w:marBottom w:val="0"/>
      <w:divBdr>
        <w:top w:val="none" w:sz="0" w:space="0" w:color="auto"/>
        <w:left w:val="none" w:sz="0" w:space="0" w:color="auto"/>
        <w:bottom w:val="none" w:sz="0" w:space="0" w:color="auto"/>
        <w:right w:val="none" w:sz="0" w:space="0" w:color="auto"/>
      </w:divBdr>
    </w:div>
    <w:div w:id="856769149">
      <w:bodyDiv w:val="1"/>
      <w:marLeft w:val="0"/>
      <w:marRight w:val="0"/>
      <w:marTop w:val="0"/>
      <w:marBottom w:val="0"/>
      <w:divBdr>
        <w:top w:val="none" w:sz="0" w:space="0" w:color="auto"/>
        <w:left w:val="none" w:sz="0" w:space="0" w:color="auto"/>
        <w:bottom w:val="none" w:sz="0" w:space="0" w:color="auto"/>
        <w:right w:val="none" w:sz="0" w:space="0" w:color="auto"/>
      </w:divBdr>
    </w:div>
    <w:div w:id="856850009">
      <w:bodyDiv w:val="1"/>
      <w:marLeft w:val="0"/>
      <w:marRight w:val="0"/>
      <w:marTop w:val="0"/>
      <w:marBottom w:val="0"/>
      <w:divBdr>
        <w:top w:val="none" w:sz="0" w:space="0" w:color="auto"/>
        <w:left w:val="none" w:sz="0" w:space="0" w:color="auto"/>
        <w:bottom w:val="none" w:sz="0" w:space="0" w:color="auto"/>
        <w:right w:val="none" w:sz="0" w:space="0" w:color="auto"/>
      </w:divBdr>
    </w:div>
    <w:div w:id="856965948">
      <w:bodyDiv w:val="1"/>
      <w:marLeft w:val="0"/>
      <w:marRight w:val="0"/>
      <w:marTop w:val="0"/>
      <w:marBottom w:val="0"/>
      <w:divBdr>
        <w:top w:val="none" w:sz="0" w:space="0" w:color="auto"/>
        <w:left w:val="none" w:sz="0" w:space="0" w:color="auto"/>
        <w:bottom w:val="none" w:sz="0" w:space="0" w:color="auto"/>
        <w:right w:val="none" w:sz="0" w:space="0" w:color="auto"/>
      </w:divBdr>
    </w:div>
    <w:div w:id="857037730">
      <w:bodyDiv w:val="1"/>
      <w:marLeft w:val="0"/>
      <w:marRight w:val="0"/>
      <w:marTop w:val="0"/>
      <w:marBottom w:val="0"/>
      <w:divBdr>
        <w:top w:val="none" w:sz="0" w:space="0" w:color="auto"/>
        <w:left w:val="none" w:sz="0" w:space="0" w:color="auto"/>
        <w:bottom w:val="none" w:sz="0" w:space="0" w:color="auto"/>
        <w:right w:val="none" w:sz="0" w:space="0" w:color="auto"/>
      </w:divBdr>
    </w:div>
    <w:div w:id="857037787">
      <w:bodyDiv w:val="1"/>
      <w:marLeft w:val="0"/>
      <w:marRight w:val="0"/>
      <w:marTop w:val="0"/>
      <w:marBottom w:val="0"/>
      <w:divBdr>
        <w:top w:val="none" w:sz="0" w:space="0" w:color="auto"/>
        <w:left w:val="none" w:sz="0" w:space="0" w:color="auto"/>
        <w:bottom w:val="none" w:sz="0" w:space="0" w:color="auto"/>
        <w:right w:val="none" w:sz="0" w:space="0" w:color="auto"/>
      </w:divBdr>
    </w:div>
    <w:div w:id="857082098">
      <w:bodyDiv w:val="1"/>
      <w:marLeft w:val="0"/>
      <w:marRight w:val="0"/>
      <w:marTop w:val="0"/>
      <w:marBottom w:val="0"/>
      <w:divBdr>
        <w:top w:val="none" w:sz="0" w:space="0" w:color="auto"/>
        <w:left w:val="none" w:sz="0" w:space="0" w:color="auto"/>
        <w:bottom w:val="none" w:sz="0" w:space="0" w:color="auto"/>
        <w:right w:val="none" w:sz="0" w:space="0" w:color="auto"/>
      </w:divBdr>
    </w:div>
    <w:div w:id="857276623">
      <w:bodyDiv w:val="1"/>
      <w:marLeft w:val="0"/>
      <w:marRight w:val="0"/>
      <w:marTop w:val="0"/>
      <w:marBottom w:val="0"/>
      <w:divBdr>
        <w:top w:val="none" w:sz="0" w:space="0" w:color="auto"/>
        <w:left w:val="none" w:sz="0" w:space="0" w:color="auto"/>
        <w:bottom w:val="none" w:sz="0" w:space="0" w:color="auto"/>
        <w:right w:val="none" w:sz="0" w:space="0" w:color="auto"/>
      </w:divBdr>
    </w:div>
    <w:div w:id="857307091">
      <w:bodyDiv w:val="1"/>
      <w:marLeft w:val="0"/>
      <w:marRight w:val="0"/>
      <w:marTop w:val="0"/>
      <w:marBottom w:val="0"/>
      <w:divBdr>
        <w:top w:val="none" w:sz="0" w:space="0" w:color="auto"/>
        <w:left w:val="none" w:sz="0" w:space="0" w:color="auto"/>
        <w:bottom w:val="none" w:sz="0" w:space="0" w:color="auto"/>
        <w:right w:val="none" w:sz="0" w:space="0" w:color="auto"/>
      </w:divBdr>
    </w:div>
    <w:div w:id="857350970">
      <w:bodyDiv w:val="1"/>
      <w:marLeft w:val="0"/>
      <w:marRight w:val="0"/>
      <w:marTop w:val="0"/>
      <w:marBottom w:val="0"/>
      <w:divBdr>
        <w:top w:val="none" w:sz="0" w:space="0" w:color="auto"/>
        <w:left w:val="none" w:sz="0" w:space="0" w:color="auto"/>
        <w:bottom w:val="none" w:sz="0" w:space="0" w:color="auto"/>
        <w:right w:val="none" w:sz="0" w:space="0" w:color="auto"/>
      </w:divBdr>
    </w:div>
    <w:div w:id="857473029">
      <w:bodyDiv w:val="1"/>
      <w:marLeft w:val="0"/>
      <w:marRight w:val="0"/>
      <w:marTop w:val="0"/>
      <w:marBottom w:val="0"/>
      <w:divBdr>
        <w:top w:val="none" w:sz="0" w:space="0" w:color="auto"/>
        <w:left w:val="none" w:sz="0" w:space="0" w:color="auto"/>
        <w:bottom w:val="none" w:sz="0" w:space="0" w:color="auto"/>
        <w:right w:val="none" w:sz="0" w:space="0" w:color="auto"/>
      </w:divBdr>
    </w:div>
    <w:div w:id="857499750">
      <w:bodyDiv w:val="1"/>
      <w:marLeft w:val="0"/>
      <w:marRight w:val="0"/>
      <w:marTop w:val="0"/>
      <w:marBottom w:val="0"/>
      <w:divBdr>
        <w:top w:val="none" w:sz="0" w:space="0" w:color="auto"/>
        <w:left w:val="none" w:sz="0" w:space="0" w:color="auto"/>
        <w:bottom w:val="none" w:sz="0" w:space="0" w:color="auto"/>
        <w:right w:val="none" w:sz="0" w:space="0" w:color="auto"/>
      </w:divBdr>
    </w:div>
    <w:div w:id="857621183">
      <w:bodyDiv w:val="1"/>
      <w:marLeft w:val="0"/>
      <w:marRight w:val="0"/>
      <w:marTop w:val="0"/>
      <w:marBottom w:val="0"/>
      <w:divBdr>
        <w:top w:val="none" w:sz="0" w:space="0" w:color="auto"/>
        <w:left w:val="none" w:sz="0" w:space="0" w:color="auto"/>
        <w:bottom w:val="none" w:sz="0" w:space="0" w:color="auto"/>
        <w:right w:val="none" w:sz="0" w:space="0" w:color="auto"/>
      </w:divBdr>
    </w:div>
    <w:div w:id="857624322">
      <w:bodyDiv w:val="1"/>
      <w:marLeft w:val="0"/>
      <w:marRight w:val="0"/>
      <w:marTop w:val="0"/>
      <w:marBottom w:val="0"/>
      <w:divBdr>
        <w:top w:val="none" w:sz="0" w:space="0" w:color="auto"/>
        <w:left w:val="none" w:sz="0" w:space="0" w:color="auto"/>
        <w:bottom w:val="none" w:sz="0" w:space="0" w:color="auto"/>
        <w:right w:val="none" w:sz="0" w:space="0" w:color="auto"/>
      </w:divBdr>
    </w:div>
    <w:div w:id="857692150">
      <w:bodyDiv w:val="1"/>
      <w:marLeft w:val="0"/>
      <w:marRight w:val="0"/>
      <w:marTop w:val="0"/>
      <w:marBottom w:val="0"/>
      <w:divBdr>
        <w:top w:val="none" w:sz="0" w:space="0" w:color="auto"/>
        <w:left w:val="none" w:sz="0" w:space="0" w:color="auto"/>
        <w:bottom w:val="none" w:sz="0" w:space="0" w:color="auto"/>
        <w:right w:val="none" w:sz="0" w:space="0" w:color="auto"/>
      </w:divBdr>
    </w:div>
    <w:div w:id="857697406">
      <w:bodyDiv w:val="1"/>
      <w:marLeft w:val="0"/>
      <w:marRight w:val="0"/>
      <w:marTop w:val="0"/>
      <w:marBottom w:val="0"/>
      <w:divBdr>
        <w:top w:val="none" w:sz="0" w:space="0" w:color="auto"/>
        <w:left w:val="none" w:sz="0" w:space="0" w:color="auto"/>
        <w:bottom w:val="none" w:sz="0" w:space="0" w:color="auto"/>
        <w:right w:val="none" w:sz="0" w:space="0" w:color="auto"/>
      </w:divBdr>
    </w:div>
    <w:div w:id="857741405">
      <w:bodyDiv w:val="1"/>
      <w:marLeft w:val="0"/>
      <w:marRight w:val="0"/>
      <w:marTop w:val="0"/>
      <w:marBottom w:val="0"/>
      <w:divBdr>
        <w:top w:val="none" w:sz="0" w:space="0" w:color="auto"/>
        <w:left w:val="none" w:sz="0" w:space="0" w:color="auto"/>
        <w:bottom w:val="none" w:sz="0" w:space="0" w:color="auto"/>
        <w:right w:val="none" w:sz="0" w:space="0" w:color="auto"/>
      </w:divBdr>
    </w:div>
    <w:div w:id="857812171">
      <w:bodyDiv w:val="1"/>
      <w:marLeft w:val="0"/>
      <w:marRight w:val="0"/>
      <w:marTop w:val="0"/>
      <w:marBottom w:val="0"/>
      <w:divBdr>
        <w:top w:val="none" w:sz="0" w:space="0" w:color="auto"/>
        <w:left w:val="none" w:sz="0" w:space="0" w:color="auto"/>
        <w:bottom w:val="none" w:sz="0" w:space="0" w:color="auto"/>
        <w:right w:val="none" w:sz="0" w:space="0" w:color="auto"/>
      </w:divBdr>
    </w:div>
    <w:div w:id="857933337">
      <w:bodyDiv w:val="1"/>
      <w:marLeft w:val="0"/>
      <w:marRight w:val="0"/>
      <w:marTop w:val="0"/>
      <w:marBottom w:val="0"/>
      <w:divBdr>
        <w:top w:val="none" w:sz="0" w:space="0" w:color="auto"/>
        <w:left w:val="none" w:sz="0" w:space="0" w:color="auto"/>
        <w:bottom w:val="none" w:sz="0" w:space="0" w:color="auto"/>
        <w:right w:val="none" w:sz="0" w:space="0" w:color="auto"/>
      </w:divBdr>
    </w:div>
    <w:div w:id="857934870">
      <w:bodyDiv w:val="1"/>
      <w:marLeft w:val="0"/>
      <w:marRight w:val="0"/>
      <w:marTop w:val="0"/>
      <w:marBottom w:val="0"/>
      <w:divBdr>
        <w:top w:val="none" w:sz="0" w:space="0" w:color="auto"/>
        <w:left w:val="none" w:sz="0" w:space="0" w:color="auto"/>
        <w:bottom w:val="none" w:sz="0" w:space="0" w:color="auto"/>
        <w:right w:val="none" w:sz="0" w:space="0" w:color="auto"/>
      </w:divBdr>
    </w:div>
    <w:div w:id="857961626">
      <w:bodyDiv w:val="1"/>
      <w:marLeft w:val="0"/>
      <w:marRight w:val="0"/>
      <w:marTop w:val="0"/>
      <w:marBottom w:val="0"/>
      <w:divBdr>
        <w:top w:val="none" w:sz="0" w:space="0" w:color="auto"/>
        <w:left w:val="none" w:sz="0" w:space="0" w:color="auto"/>
        <w:bottom w:val="none" w:sz="0" w:space="0" w:color="auto"/>
        <w:right w:val="none" w:sz="0" w:space="0" w:color="auto"/>
      </w:divBdr>
    </w:div>
    <w:div w:id="858009170">
      <w:bodyDiv w:val="1"/>
      <w:marLeft w:val="0"/>
      <w:marRight w:val="0"/>
      <w:marTop w:val="0"/>
      <w:marBottom w:val="0"/>
      <w:divBdr>
        <w:top w:val="none" w:sz="0" w:space="0" w:color="auto"/>
        <w:left w:val="none" w:sz="0" w:space="0" w:color="auto"/>
        <w:bottom w:val="none" w:sz="0" w:space="0" w:color="auto"/>
        <w:right w:val="none" w:sz="0" w:space="0" w:color="auto"/>
      </w:divBdr>
    </w:div>
    <w:div w:id="858085258">
      <w:bodyDiv w:val="1"/>
      <w:marLeft w:val="0"/>
      <w:marRight w:val="0"/>
      <w:marTop w:val="0"/>
      <w:marBottom w:val="0"/>
      <w:divBdr>
        <w:top w:val="none" w:sz="0" w:space="0" w:color="auto"/>
        <w:left w:val="none" w:sz="0" w:space="0" w:color="auto"/>
        <w:bottom w:val="none" w:sz="0" w:space="0" w:color="auto"/>
        <w:right w:val="none" w:sz="0" w:space="0" w:color="auto"/>
      </w:divBdr>
    </w:div>
    <w:div w:id="858156542">
      <w:bodyDiv w:val="1"/>
      <w:marLeft w:val="0"/>
      <w:marRight w:val="0"/>
      <w:marTop w:val="0"/>
      <w:marBottom w:val="0"/>
      <w:divBdr>
        <w:top w:val="none" w:sz="0" w:space="0" w:color="auto"/>
        <w:left w:val="none" w:sz="0" w:space="0" w:color="auto"/>
        <w:bottom w:val="none" w:sz="0" w:space="0" w:color="auto"/>
        <w:right w:val="none" w:sz="0" w:space="0" w:color="auto"/>
      </w:divBdr>
    </w:div>
    <w:div w:id="858203406">
      <w:bodyDiv w:val="1"/>
      <w:marLeft w:val="0"/>
      <w:marRight w:val="0"/>
      <w:marTop w:val="0"/>
      <w:marBottom w:val="0"/>
      <w:divBdr>
        <w:top w:val="none" w:sz="0" w:space="0" w:color="auto"/>
        <w:left w:val="none" w:sz="0" w:space="0" w:color="auto"/>
        <w:bottom w:val="none" w:sz="0" w:space="0" w:color="auto"/>
        <w:right w:val="none" w:sz="0" w:space="0" w:color="auto"/>
      </w:divBdr>
    </w:div>
    <w:div w:id="858274160">
      <w:bodyDiv w:val="1"/>
      <w:marLeft w:val="0"/>
      <w:marRight w:val="0"/>
      <w:marTop w:val="0"/>
      <w:marBottom w:val="0"/>
      <w:divBdr>
        <w:top w:val="none" w:sz="0" w:space="0" w:color="auto"/>
        <w:left w:val="none" w:sz="0" w:space="0" w:color="auto"/>
        <w:bottom w:val="none" w:sz="0" w:space="0" w:color="auto"/>
        <w:right w:val="none" w:sz="0" w:space="0" w:color="auto"/>
      </w:divBdr>
    </w:div>
    <w:div w:id="858277717">
      <w:bodyDiv w:val="1"/>
      <w:marLeft w:val="0"/>
      <w:marRight w:val="0"/>
      <w:marTop w:val="0"/>
      <w:marBottom w:val="0"/>
      <w:divBdr>
        <w:top w:val="none" w:sz="0" w:space="0" w:color="auto"/>
        <w:left w:val="none" w:sz="0" w:space="0" w:color="auto"/>
        <w:bottom w:val="none" w:sz="0" w:space="0" w:color="auto"/>
        <w:right w:val="none" w:sz="0" w:space="0" w:color="auto"/>
      </w:divBdr>
    </w:div>
    <w:div w:id="858356390">
      <w:bodyDiv w:val="1"/>
      <w:marLeft w:val="0"/>
      <w:marRight w:val="0"/>
      <w:marTop w:val="0"/>
      <w:marBottom w:val="0"/>
      <w:divBdr>
        <w:top w:val="none" w:sz="0" w:space="0" w:color="auto"/>
        <w:left w:val="none" w:sz="0" w:space="0" w:color="auto"/>
        <w:bottom w:val="none" w:sz="0" w:space="0" w:color="auto"/>
        <w:right w:val="none" w:sz="0" w:space="0" w:color="auto"/>
      </w:divBdr>
    </w:div>
    <w:div w:id="858472668">
      <w:bodyDiv w:val="1"/>
      <w:marLeft w:val="0"/>
      <w:marRight w:val="0"/>
      <w:marTop w:val="0"/>
      <w:marBottom w:val="0"/>
      <w:divBdr>
        <w:top w:val="none" w:sz="0" w:space="0" w:color="auto"/>
        <w:left w:val="none" w:sz="0" w:space="0" w:color="auto"/>
        <w:bottom w:val="none" w:sz="0" w:space="0" w:color="auto"/>
        <w:right w:val="none" w:sz="0" w:space="0" w:color="auto"/>
      </w:divBdr>
    </w:div>
    <w:div w:id="858544403">
      <w:bodyDiv w:val="1"/>
      <w:marLeft w:val="0"/>
      <w:marRight w:val="0"/>
      <w:marTop w:val="0"/>
      <w:marBottom w:val="0"/>
      <w:divBdr>
        <w:top w:val="none" w:sz="0" w:space="0" w:color="auto"/>
        <w:left w:val="none" w:sz="0" w:space="0" w:color="auto"/>
        <w:bottom w:val="none" w:sz="0" w:space="0" w:color="auto"/>
        <w:right w:val="none" w:sz="0" w:space="0" w:color="auto"/>
      </w:divBdr>
    </w:div>
    <w:div w:id="858548481">
      <w:bodyDiv w:val="1"/>
      <w:marLeft w:val="0"/>
      <w:marRight w:val="0"/>
      <w:marTop w:val="0"/>
      <w:marBottom w:val="0"/>
      <w:divBdr>
        <w:top w:val="none" w:sz="0" w:space="0" w:color="auto"/>
        <w:left w:val="none" w:sz="0" w:space="0" w:color="auto"/>
        <w:bottom w:val="none" w:sz="0" w:space="0" w:color="auto"/>
        <w:right w:val="none" w:sz="0" w:space="0" w:color="auto"/>
      </w:divBdr>
    </w:div>
    <w:div w:id="858663711">
      <w:bodyDiv w:val="1"/>
      <w:marLeft w:val="0"/>
      <w:marRight w:val="0"/>
      <w:marTop w:val="0"/>
      <w:marBottom w:val="0"/>
      <w:divBdr>
        <w:top w:val="none" w:sz="0" w:space="0" w:color="auto"/>
        <w:left w:val="none" w:sz="0" w:space="0" w:color="auto"/>
        <w:bottom w:val="none" w:sz="0" w:space="0" w:color="auto"/>
        <w:right w:val="none" w:sz="0" w:space="0" w:color="auto"/>
      </w:divBdr>
    </w:div>
    <w:div w:id="858736150">
      <w:bodyDiv w:val="1"/>
      <w:marLeft w:val="0"/>
      <w:marRight w:val="0"/>
      <w:marTop w:val="0"/>
      <w:marBottom w:val="0"/>
      <w:divBdr>
        <w:top w:val="none" w:sz="0" w:space="0" w:color="auto"/>
        <w:left w:val="none" w:sz="0" w:space="0" w:color="auto"/>
        <w:bottom w:val="none" w:sz="0" w:space="0" w:color="auto"/>
        <w:right w:val="none" w:sz="0" w:space="0" w:color="auto"/>
      </w:divBdr>
    </w:div>
    <w:div w:id="858934314">
      <w:bodyDiv w:val="1"/>
      <w:marLeft w:val="0"/>
      <w:marRight w:val="0"/>
      <w:marTop w:val="0"/>
      <w:marBottom w:val="0"/>
      <w:divBdr>
        <w:top w:val="none" w:sz="0" w:space="0" w:color="auto"/>
        <w:left w:val="none" w:sz="0" w:space="0" w:color="auto"/>
        <w:bottom w:val="none" w:sz="0" w:space="0" w:color="auto"/>
        <w:right w:val="none" w:sz="0" w:space="0" w:color="auto"/>
      </w:divBdr>
    </w:div>
    <w:div w:id="859005262">
      <w:bodyDiv w:val="1"/>
      <w:marLeft w:val="0"/>
      <w:marRight w:val="0"/>
      <w:marTop w:val="0"/>
      <w:marBottom w:val="0"/>
      <w:divBdr>
        <w:top w:val="none" w:sz="0" w:space="0" w:color="auto"/>
        <w:left w:val="none" w:sz="0" w:space="0" w:color="auto"/>
        <w:bottom w:val="none" w:sz="0" w:space="0" w:color="auto"/>
        <w:right w:val="none" w:sz="0" w:space="0" w:color="auto"/>
      </w:divBdr>
    </w:div>
    <w:div w:id="859005899">
      <w:bodyDiv w:val="1"/>
      <w:marLeft w:val="0"/>
      <w:marRight w:val="0"/>
      <w:marTop w:val="0"/>
      <w:marBottom w:val="0"/>
      <w:divBdr>
        <w:top w:val="none" w:sz="0" w:space="0" w:color="auto"/>
        <w:left w:val="none" w:sz="0" w:space="0" w:color="auto"/>
        <w:bottom w:val="none" w:sz="0" w:space="0" w:color="auto"/>
        <w:right w:val="none" w:sz="0" w:space="0" w:color="auto"/>
      </w:divBdr>
    </w:div>
    <w:div w:id="859012007">
      <w:bodyDiv w:val="1"/>
      <w:marLeft w:val="0"/>
      <w:marRight w:val="0"/>
      <w:marTop w:val="0"/>
      <w:marBottom w:val="0"/>
      <w:divBdr>
        <w:top w:val="none" w:sz="0" w:space="0" w:color="auto"/>
        <w:left w:val="none" w:sz="0" w:space="0" w:color="auto"/>
        <w:bottom w:val="none" w:sz="0" w:space="0" w:color="auto"/>
        <w:right w:val="none" w:sz="0" w:space="0" w:color="auto"/>
      </w:divBdr>
    </w:div>
    <w:div w:id="859047191">
      <w:bodyDiv w:val="1"/>
      <w:marLeft w:val="0"/>
      <w:marRight w:val="0"/>
      <w:marTop w:val="0"/>
      <w:marBottom w:val="0"/>
      <w:divBdr>
        <w:top w:val="none" w:sz="0" w:space="0" w:color="auto"/>
        <w:left w:val="none" w:sz="0" w:space="0" w:color="auto"/>
        <w:bottom w:val="none" w:sz="0" w:space="0" w:color="auto"/>
        <w:right w:val="none" w:sz="0" w:space="0" w:color="auto"/>
      </w:divBdr>
    </w:div>
    <w:div w:id="859047842">
      <w:bodyDiv w:val="1"/>
      <w:marLeft w:val="0"/>
      <w:marRight w:val="0"/>
      <w:marTop w:val="0"/>
      <w:marBottom w:val="0"/>
      <w:divBdr>
        <w:top w:val="none" w:sz="0" w:space="0" w:color="auto"/>
        <w:left w:val="none" w:sz="0" w:space="0" w:color="auto"/>
        <w:bottom w:val="none" w:sz="0" w:space="0" w:color="auto"/>
        <w:right w:val="none" w:sz="0" w:space="0" w:color="auto"/>
      </w:divBdr>
    </w:div>
    <w:div w:id="859122308">
      <w:bodyDiv w:val="1"/>
      <w:marLeft w:val="0"/>
      <w:marRight w:val="0"/>
      <w:marTop w:val="0"/>
      <w:marBottom w:val="0"/>
      <w:divBdr>
        <w:top w:val="none" w:sz="0" w:space="0" w:color="auto"/>
        <w:left w:val="none" w:sz="0" w:space="0" w:color="auto"/>
        <w:bottom w:val="none" w:sz="0" w:space="0" w:color="auto"/>
        <w:right w:val="none" w:sz="0" w:space="0" w:color="auto"/>
      </w:divBdr>
    </w:div>
    <w:div w:id="859126694">
      <w:bodyDiv w:val="1"/>
      <w:marLeft w:val="0"/>
      <w:marRight w:val="0"/>
      <w:marTop w:val="0"/>
      <w:marBottom w:val="0"/>
      <w:divBdr>
        <w:top w:val="none" w:sz="0" w:space="0" w:color="auto"/>
        <w:left w:val="none" w:sz="0" w:space="0" w:color="auto"/>
        <w:bottom w:val="none" w:sz="0" w:space="0" w:color="auto"/>
        <w:right w:val="none" w:sz="0" w:space="0" w:color="auto"/>
      </w:divBdr>
    </w:div>
    <w:div w:id="859128174">
      <w:bodyDiv w:val="1"/>
      <w:marLeft w:val="0"/>
      <w:marRight w:val="0"/>
      <w:marTop w:val="0"/>
      <w:marBottom w:val="0"/>
      <w:divBdr>
        <w:top w:val="none" w:sz="0" w:space="0" w:color="auto"/>
        <w:left w:val="none" w:sz="0" w:space="0" w:color="auto"/>
        <w:bottom w:val="none" w:sz="0" w:space="0" w:color="auto"/>
        <w:right w:val="none" w:sz="0" w:space="0" w:color="auto"/>
      </w:divBdr>
    </w:div>
    <w:div w:id="859322537">
      <w:bodyDiv w:val="1"/>
      <w:marLeft w:val="0"/>
      <w:marRight w:val="0"/>
      <w:marTop w:val="0"/>
      <w:marBottom w:val="0"/>
      <w:divBdr>
        <w:top w:val="none" w:sz="0" w:space="0" w:color="auto"/>
        <w:left w:val="none" w:sz="0" w:space="0" w:color="auto"/>
        <w:bottom w:val="none" w:sz="0" w:space="0" w:color="auto"/>
        <w:right w:val="none" w:sz="0" w:space="0" w:color="auto"/>
      </w:divBdr>
    </w:div>
    <w:div w:id="859465571">
      <w:bodyDiv w:val="1"/>
      <w:marLeft w:val="0"/>
      <w:marRight w:val="0"/>
      <w:marTop w:val="0"/>
      <w:marBottom w:val="0"/>
      <w:divBdr>
        <w:top w:val="none" w:sz="0" w:space="0" w:color="auto"/>
        <w:left w:val="none" w:sz="0" w:space="0" w:color="auto"/>
        <w:bottom w:val="none" w:sz="0" w:space="0" w:color="auto"/>
        <w:right w:val="none" w:sz="0" w:space="0" w:color="auto"/>
      </w:divBdr>
    </w:div>
    <w:div w:id="859465841">
      <w:bodyDiv w:val="1"/>
      <w:marLeft w:val="0"/>
      <w:marRight w:val="0"/>
      <w:marTop w:val="0"/>
      <w:marBottom w:val="0"/>
      <w:divBdr>
        <w:top w:val="none" w:sz="0" w:space="0" w:color="auto"/>
        <w:left w:val="none" w:sz="0" w:space="0" w:color="auto"/>
        <w:bottom w:val="none" w:sz="0" w:space="0" w:color="auto"/>
        <w:right w:val="none" w:sz="0" w:space="0" w:color="auto"/>
      </w:divBdr>
    </w:div>
    <w:div w:id="859511632">
      <w:bodyDiv w:val="1"/>
      <w:marLeft w:val="0"/>
      <w:marRight w:val="0"/>
      <w:marTop w:val="0"/>
      <w:marBottom w:val="0"/>
      <w:divBdr>
        <w:top w:val="none" w:sz="0" w:space="0" w:color="auto"/>
        <w:left w:val="none" w:sz="0" w:space="0" w:color="auto"/>
        <w:bottom w:val="none" w:sz="0" w:space="0" w:color="auto"/>
        <w:right w:val="none" w:sz="0" w:space="0" w:color="auto"/>
      </w:divBdr>
    </w:div>
    <w:div w:id="859513311">
      <w:bodyDiv w:val="1"/>
      <w:marLeft w:val="0"/>
      <w:marRight w:val="0"/>
      <w:marTop w:val="0"/>
      <w:marBottom w:val="0"/>
      <w:divBdr>
        <w:top w:val="none" w:sz="0" w:space="0" w:color="auto"/>
        <w:left w:val="none" w:sz="0" w:space="0" w:color="auto"/>
        <w:bottom w:val="none" w:sz="0" w:space="0" w:color="auto"/>
        <w:right w:val="none" w:sz="0" w:space="0" w:color="auto"/>
      </w:divBdr>
    </w:div>
    <w:div w:id="859587978">
      <w:bodyDiv w:val="1"/>
      <w:marLeft w:val="0"/>
      <w:marRight w:val="0"/>
      <w:marTop w:val="0"/>
      <w:marBottom w:val="0"/>
      <w:divBdr>
        <w:top w:val="none" w:sz="0" w:space="0" w:color="auto"/>
        <w:left w:val="none" w:sz="0" w:space="0" w:color="auto"/>
        <w:bottom w:val="none" w:sz="0" w:space="0" w:color="auto"/>
        <w:right w:val="none" w:sz="0" w:space="0" w:color="auto"/>
      </w:divBdr>
    </w:div>
    <w:div w:id="859664094">
      <w:bodyDiv w:val="1"/>
      <w:marLeft w:val="0"/>
      <w:marRight w:val="0"/>
      <w:marTop w:val="0"/>
      <w:marBottom w:val="0"/>
      <w:divBdr>
        <w:top w:val="none" w:sz="0" w:space="0" w:color="auto"/>
        <w:left w:val="none" w:sz="0" w:space="0" w:color="auto"/>
        <w:bottom w:val="none" w:sz="0" w:space="0" w:color="auto"/>
        <w:right w:val="none" w:sz="0" w:space="0" w:color="auto"/>
      </w:divBdr>
    </w:div>
    <w:div w:id="859709720">
      <w:bodyDiv w:val="1"/>
      <w:marLeft w:val="0"/>
      <w:marRight w:val="0"/>
      <w:marTop w:val="0"/>
      <w:marBottom w:val="0"/>
      <w:divBdr>
        <w:top w:val="none" w:sz="0" w:space="0" w:color="auto"/>
        <w:left w:val="none" w:sz="0" w:space="0" w:color="auto"/>
        <w:bottom w:val="none" w:sz="0" w:space="0" w:color="auto"/>
        <w:right w:val="none" w:sz="0" w:space="0" w:color="auto"/>
      </w:divBdr>
    </w:div>
    <w:div w:id="859778348">
      <w:bodyDiv w:val="1"/>
      <w:marLeft w:val="0"/>
      <w:marRight w:val="0"/>
      <w:marTop w:val="0"/>
      <w:marBottom w:val="0"/>
      <w:divBdr>
        <w:top w:val="none" w:sz="0" w:space="0" w:color="auto"/>
        <w:left w:val="none" w:sz="0" w:space="0" w:color="auto"/>
        <w:bottom w:val="none" w:sz="0" w:space="0" w:color="auto"/>
        <w:right w:val="none" w:sz="0" w:space="0" w:color="auto"/>
      </w:divBdr>
    </w:div>
    <w:div w:id="859901768">
      <w:bodyDiv w:val="1"/>
      <w:marLeft w:val="0"/>
      <w:marRight w:val="0"/>
      <w:marTop w:val="0"/>
      <w:marBottom w:val="0"/>
      <w:divBdr>
        <w:top w:val="none" w:sz="0" w:space="0" w:color="auto"/>
        <w:left w:val="none" w:sz="0" w:space="0" w:color="auto"/>
        <w:bottom w:val="none" w:sz="0" w:space="0" w:color="auto"/>
        <w:right w:val="none" w:sz="0" w:space="0" w:color="auto"/>
      </w:divBdr>
    </w:div>
    <w:div w:id="859927761">
      <w:bodyDiv w:val="1"/>
      <w:marLeft w:val="0"/>
      <w:marRight w:val="0"/>
      <w:marTop w:val="0"/>
      <w:marBottom w:val="0"/>
      <w:divBdr>
        <w:top w:val="none" w:sz="0" w:space="0" w:color="auto"/>
        <w:left w:val="none" w:sz="0" w:space="0" w:color="auto"/>
        <w:bottom w:val="none" w:sz="0" w:space="0" w:color="auto"/>
        <w:right w:val="none" w:sz="0" w:space="0" w:color="auto"/>
      </w:divBdr>
    </w:div>
    <w:div w:id="860050663">
      <w:bodyDiv w:val="1"/>
      <w:marLeft w:val="0"/>
      <w:marRight w:val="0"/>
      <w:marTop w:val="0"/>
      <w:marBottom w:val="0"/>
      <w:divBdr>
        <w:top w:val="none" w:sz="0" w:space="0" w:color="auto"/>
        <w:left w:val="none" w:sz="0" w:space="0" w:color="auto"/>
        <w:bottom w:val="none" w:sz="0" w:space="0" w:color="auto"/>
        <w:right w:val="none" w:sz="0" w:space="0" w:color="auto"/>
      </w:divBdr>
    </w:div>
    <w:div w:id="860319160">
      <w:bodyDiv w:val="1"/>
      <w:marLeft w:val="0"/>
      <w:marRight w:val="0"/>
      <w:marTop w:val="0"/>
      <w:marBottom w:val="0"/>
      <w:divBdr>
        <w:top w:val="none" w:sz="0" w:space="0" w:color="auto"/>
        <w:left w:val="none" w:sz="0" w:space="0" w:color="auto"/>
        <w:bottom w:val="none" w:sz="0" w:space="0" w:color="auto"/>
        <w:right w:val="none" w:sz="0" w:space="0" w:color="auto"/>
      </w:divBdr>
    </w:div>
    <w:div w:id="860510413">
      <w:bodyDiv w:val="1"/>
      <w:marLeft w:val="0"/>
      <w:marRight w:val="0"/>
      <w:marTop w:val="0"/>
      <w:marBottom w:val="0"/>
      <w:divBdr>
        <w:top w:val="none" w:sz="0" w:space="0" w:color="auto"/>
        <w:left w:val="none" w:sz="0" w:space="0" w:color="auto"/>
        <w:bottom w:val="none" w:sz="0" w:space="0" w:color="auto"/>
        <w:right w:val="none" w:sz="0" w:space="0" w:color="auto"/>
      </w:divBdr>
    </w:div>
    <w:div w:id="860558436">
      <w:bodyDiv w:val="1"/>
      <w:marLeft w:val="0"/>
      <w:marRight w:val="0"/>
      <w:marTop w:val="0"/>
      <w:marBottom w:val="0"/>
      <w:divBdr>
        <w:top w:val="none" w:sz="0" w:space="0" w:color="auto"/>
        <w:left w:val="none" w:sz="0" w:space="0" w:color="auto"/>
        <w:bottom w:val="none" w:sz="0" w:space="0" w:color="auto"/>
        <w:right w:val="none" w:sz="0" w:space="0" w:color="auto"/>
      </w:divBdr>
    </w:div>
    <w:div w:id="860780941">
      <w:bodyDiv w:val="1"/>
      <w:marLeft w:val="0"/>
      <w:marRight w:val="0"/>
      <w:marTop w:val="0"/>
      <w:marBottom w:val="0"/>
      <w:divBdr>
        <w:top w:val="none" w:sz="0" w:space="0" w:color="auto"/>
        <w:left w:val="none" w:sz="0" w:space="0" w:color="auto"/>
        <w:bottom w:val="none" w:sz="0" w:space="0" w:color="auto"/>
        <w:right w:val="none" w:sz="0" w:space="0" w:color="auto"/>
      </w:divBdr>
    </w:div>
    <w:div w:id="860898354">
      <w:bodyDiv w:val="1"/>
      <w:marLeft w:val="0"/>
      <w:marRight w:val="0"/>
      <w:marTop w:val="0"/>
      <w:marBottom w:val="0"/>
      <w:divBdr>
        <w:top w:val="none" w:sz="0" w:space="0" w:color="auto"/>
        <w:left w:val="none" w:sz="0" w:space="0" w:color="auto"/>
        <w:bottom w:val="none" w:sz="0" w:space="0" w:color="auto"/>
        <w:right w:val="none" w:sz="0" w:space="0" w:color="auto"/>
      </w:divBdr>
    </w:div>
    <w:div w:id="860901795">
      <w:bodyDiv w:val="1"/>
      <w:marLeft w:val="0"/>
      <w:marRight w:val="0"/>
      <w:marTop w:val="0"/>
      <w:marBottom w:val="0"/>
      <w:divBdr>
        <w:top w:val="none" w:sz="0" w:space="0" w:color="auto"/>
        <w:left w:val="none" w:sz="0" w:space="0" w:color="auto"/>
        <w:bottom w:val="none" w:sz="0" w:space="0" w:color="auto"/>
        <w:right w:val="none" w:sz="0" w:space="0" w:color="auto"/>
      </w:divBdr>
    </w:div>
    <w:div w:id="861018826">
      <w:bodyDiv w:val="1"/>
      <w:marLeft w:val="0"/>
      <w:marRight w:val="0"/>
      <w:marTop w:val="0"/>
      <w:marBottom w:val="0"/>
      <w:divBdr>
        <w:top w:val="none" w:sz="0" w:space="0" w:color="auto"/>
        <w:left w:val="none" w:sz="0" w:space="0" w:color="auto"/>
        <w:bottom w:val="none" w:sz="0" w:space="0" w:color="auto"/>
        <w:right w:val="none" w:sz="0" w:space="0" w:color="auto"/>
      </w:divBdr>
    </w:div>
    <w:div w:id="861092294">
      <w:bodyDiv w:val="1"/>
      <w:marLeft w:val="0"/>
      <w:marRight w:val="0"/>
      <w:marTop w:val="0"/>
      <w:marBottom w:val="0"/>
      <w:divBdr>
        <w:top w:val="none" w:sz="0" w:space="0" w:color="auto"/>
        <w:left w:val="none" w:sz="0" w:space="0" w:color="auto"/>
        <w:bottom w:val="none" w:sz="0" w:space="0" w:color="auto"/>
        <w:right w:val="none" w:sz="0" w:space="0" w:color="auto"/>
      </w:divBdr>
    </w:div>
    <w:div w:id="861358202">
      <w:bodyDiv w:val="1"/>
      <w:marLeft w:val="0"/>
      <w:marRight w:val="0"/>
      <w:marTop w:val="0"/>
      <w:marBottom w:val="0"/>
      <w:divBdr>
        <w:top w:val="none" w:sz="0" w:space="0" w:color="auto"/>
        <w:left w:val="none" w:sz="0" w:space="0" w:color="auto"/>
        <w:bottom w:val="none" w:sz="0" w:space="0" w:color="auto"/>
        <w:right w:val="none" w:sz="0" w:space="0" w:color="auto"/>
      </w:divBdr>
    </w:div>
    <w:div w:id="861548990">
      <w:bodyDiv w:val="1"/>
      <w:marLeft w:val="0"/>
      <w:marRight w:val="0"/>
      <w:marTop w:val="0"/>
      <w:marBottom w:val="0"/>
      <w:divBdr>
        <w:top w:val="none" w:sz="0" w:space="0" w:color="auto"/>
        <w:left w:val="none" w:sz="0" w:space="0" w:color="auto"/>
        <w:bottom w:val="none" w:sz="0" w:space="0" w:color="auto"/>
        <w:right w:val="none" w:sz="0" w:space="0" w:color="auto"/>
      </w:divBdr>
    </w:div>
    <w:div w:id="861745602">
      <w:bodyDiv w:val="1"/>
      <w:marLeft w:val="0"/>
      <w:marRight w:val="0"/>
      <w:marTop w:val="0"/>
      <w:marBottom w:val="0"/>
      <w:divBdr>
        <w:top w:val="none" w:sz="0" w:space="0" w:color="auto"/>
        <w:left w:val="none" w:sz="0" w:space="0" w:color="auto"/>
        <w:bottom w:val="none" w:sz="0" w:space="0" w:color="auto"/>
        <w:right w:val="none" w:sz="0" w:space="0" w:color="auto"/>
      </w:divBdr>
    </w:div>
    <w:div w:id="861822401">
      <w:bodyDiv w:val="1"/>
      <w:marLeft w:val="0"/>
      <w:marRight w:val="0"/>
      <w:marTop w:val="0"/>
      <w:marBottom w:val="0"/>
      <w:divBdr>
        <w:top w:val="none" w:sz="0" w:space="0" w:color="auto"/>
        <w:left w:val="none" w:sz="0" w:space="0" w:color="auto"/>
        <w:bottom w:val="none" w:sz="0" w:space="0" w:color="auto"/>
        <w:right w:val="none" w:sz="0" w:space="0" w:color="auto"/>
      </w:divBdr>
    </w:div>
    <w:div w:id="861938111">
      <w:bodyDiv w:val="1"/>
      <w:marLeft w:val="0"/>
      <w:marRight w:val="0"/>
      <w:marTop w:val="0"/>
      <w:marBottom w:val="0"/>
      <w:divBdr>
        <w:top w:val="none" w:sz="0" w:space="0" w:color="auto"/>
        <w:left w:val="none" w:sz="0" w:space="0" w:color="auto"/>
        <w:bottom w:val="none" w:sz="0" w:space="0" w:color="auto"/>
        <w:right w:val="none" w:sz="0" w:space="0" w:color="auto"/>
      </w:divBdr>
    </w:div>
    <w:div w:id="862015148">
      <w:bodyDiv w:val="1"/>
      <w:marLeft w:val="0"/>
      <w:marRight w:val="0"/>
      <w:marTop w:val="0"/>
      <w:marBottom w:val="0"/>
      <w:divBdr>
        <w:top w:val="none" w:sz="0" w:space="0" w:color="auto"/>
        <w:left w:val="none" w:sz="0" w:space="0" w:color="auto"/>
        <w:bottom w:val="none" w:sz="0" w:space="0" w:color="auto"/>
        <w:right w:val="none" w:sz="0" w:space="0" w:color="auto"/>
      </w:divBdr>
    </w:div>
    <w:div w:id="862086445">
      <w:bodyDiv w:val="1"/>
      <w:marLeft w:val="0"/>
      <w:marRight w:val="0"/>
      <w:marTop w:val="0"/>
      <w:marBottom w:val="0"/>
      <w:divBdr>
        <w:top w:val="none" w:sz="0" w:space="0" w:color="auto"/>
        <w:left w:val="none" w:sz="0" w:space="0" w:color="auto"/>
        <w:bottom w:val="none" w:sz="0" w:space="0" w:color="auto"/>
        <w:right w:val="none" w:sz="0" w:space="0" w:color="auto"/>
      </w:divBdr>
    </w:div>
    <w:div w:id="862089506">
      <w:bodyDiv w:val="1"/>
      <w:marLeft w:val="0"/>
      <w:marRight w:val="0"/>
      <w:marTop w:val="0"/>
      <w:marBottom w:val="0"/>
      <w:divBdr>
        <w:top w:val="none" w:sz="0" w:space="0" w:color="auto"/>
        <w:left w:val="none" w:sz="0" w:space="0" w:color="auto"/>
        <w:bottom w:val="none" w:sz="0" w:space="0" w:color="auto"/>
        <w:right w:val="none" w:sz="0" w:space="0" w:color="auto"/>
      </w:divBdr>
    </w:div>
    <w:div w:id="862288299">
      <w:bodyDiv w:val="1"/>
      <w:marLeft w:val="0"/>
      <w:marRight w:val="0"/>
      <w:marTop w:val="0"/>
      <w:marBottom w:val="0"/>
      <w:divBdr>
        <w:top w:val="none" w:sz="0" w:space="0" w:color="auto"/>
        <w:left w:val="none" w:sz="0" w:space="0" w:color="auto"/>
        <w:bottom w:val="none" w:sz="0" w:space="0" w:color="auto"/>
        <w:right w:val="none" w:sz="0" w:space="0" w:color="auto"/>
      </w:divBdr>
    </w:div>
    <w:div w:id="862477289">
      <w:bodyDiv w:val="1"/>
      <w:marLeft w:val="0"/>
      <w:marRight w:val="0"/>
      <w:marTop w:val="0"/>
      <w:marBottom w:val="0"/>
      <w:divBdr>
        <w:top w:val="none" w:sz="0" w:space="0" w:color="auto"/>
        <w:left w:val="none" w:sz="0" w:space="0" w:color="auto"/>
        <w:bottom w:val="none" w:sz="0" w:space="0" w:color="auto"/>
        <w:right w:val="none" w:sz="0" w:space="0" w:color="auto"/>
      </w:divBdr>
    </w:div>
    <w:div w:id="862477683">
      <w:bodyDiv w:val="1"/>
      <w:marLeft w:val="0"/>
      <w:marRight w:val="0"/>
      <w:marTop w:val="0"/>
      <w:marBottom w:val="0"/>
      <w:divBdr>
        <w:top w:val="none" w:sz="0" w:space="0" w:color="auto"/>
        <w:left w:val="none" w:sz="0" w:space="0" w:color="auto"/>
        <w:bottom w:val="none" w:sz="0" w:space="0" w:color="auto"/>
        <w:right w:val="none" w:sz="0" w:space="0" w:color="auto"/>
      </w:divBdr>
    </w:div>
    <w:div w:id="862671389">
      <w:bodyDiv w:val="1"/>
      <w:marLeft w:val="0"/>
      <w:marRight w:val="0"/>
      <w:marTop w:val="0"/>
      <w:marBottom w:val="0"/>
      <w:divBdr>
        <w:top w:val="none" w:sz="0" w:space="0" w:color="auto"/>
        <w:left w:val="none" w:sz="0" w:space="0" w:color="auto"/>
        <w:bottom w:val="none" w:sz="0" w:space="0" w:color="auto"/>
        <w:right w:val="none" w:sz="0" w:space="0" w:color="auto"/>
      </w:divBdr>
    </w:div>
    <w:div w:id="862742103">
      <w:bodyDiv w:val="1"/>
      <w:marLeft w:val="0"/>
      <w:marRight w:val="0"/>
      <w:marTop w:val="0"/>
      <w:marBottom w:val="0"/>
      <w:divBdr>
        <w:top w:val="none" w:sz="0" w:space="0" w:color="auto"/>
        <w:left w:val="none" w:sz="0" w:space="0" w:color="auto"/>
        <w:bottom w:val="none" w:sz="0" w:space="0" w:color="auto"/>
        <w:right w:val="none" w:sz="0" w:space="0" w:color="auto"/>
      </w:divBdr>
    </w:div>
    <w:div w:id="862743859">
      <w:bodyDiv w:val="1"/>
      <w:marLeft w:val="0"/>
      <w:marRight w:val="0"/>
      <w:marTop w:val="0"/>
      <w:marBottom w:val="0"/>
      <w:divBdr>
        <w:top w:val="none" w:sz="0" w:space="0" w:color="auto"/>
        <w:left w:val="none" w:sz="0" w:space="0" w:color="auto"/>
        <w:bottom w:val="none" w:sz="0" w:space="0" w:color="auto"/>
        <w:right w:val="none" w:sz="0" w:space="0" w:color="auto"/>
      </w:divBdr>
    </w:div>
    <w:div w:id="862790695">
      <w:bodyDiv w:val="1"/>
      <w:marLeft w:val="0"/>
      <w:marRight w:val="0"/>
      <w:marTop w:val="0"/>
      <w:marBottom w:val="0"/>
      <w:divBdr>
        <w:top w:val="none" w:sz="0" w:space="0" w:color="auto"/>
        <w:left w:val="none" w:sz="0" w:space="0" w:color="auto"/>
        <w:bottom w:val="none" w:sz="0" w:space="0" w:color="auto"/>
        <w:right w:val="none" w:sz="0" w:space="0" w:color="auto"/>
      </w:divBdr>
    </w:div>
    <w:div w:id="862936401">
      <w:bodyDiv w:val="1"/>
      <w:marLeft w:val="0"/>
      <w:marRight w:val="0"/>
      <w:marTop w:val="0"/>
      <w:marBottom w:val="0"/>
      <w:divBdr>
        <w:top w:val="none" w:sz="0" w:space="0" w:color="auto"/>
        <w:left w:val="none" w:sz="0" w:space="0" w:color="auto"/>
        <w:bottom w:val="none" w:sz="0" w:space="0" w:color="auto"/>
        <w:right w:val="none" w:sz="0" w:space="0" w:color="auto"/>
      </w:divBdr>
    </w:div>
    <w:div w:id="862943197">
      <w:bodyDiv w:val="1"/>
      <w:marLeft w:val="0"/>
      <w:marRight w:val="0"/>
      <w:marTop w:val="0"/>
      <w:marBottom w:val="0"/>
      <w:divBdr>
        <w:top w:val="none" w:sz="0" w:space="0" w:color="auto"/>
        <w:left w:val="none" w:sz="0" w:space="0" w:color="auto"/>
        <w:bottom w:val="none" w:sz="0" w:space="0" w:color="auto"/>
        <w:right w:val="none" w:sz="0" w:space="0" w:color="auto"/>
      </w:divBdr>
    </w:div>
    <w:div w:id="862978625">
      <w:bodyDiv w:val="1"/>
      <w:marLeft w:val="0"/>
      <w:marRight w:val="0"/>
      <w:marTop w:val="0"/>
      <w:marBottom w:val="0"/>
      <w:divBdr>
        <w:top w:val="none" w:sz="0" w:space="0" w:color="auto"/>
        <w:left w:val="none" w:sz="0" w:space="0" w:color="auto"/>
        <w:bottom w:val="none" w:sz="0" w:space="0" w:color="auto"/>
        <w:right w:val="none" w:sz="0" w:space="0" w:color="auto"/>
      </w:divBdr>
    </w:div>
    <w:div w:id="862985513">
      <w:bodyDiv w:val="1"/>
      <w:marLeft w:val="0"/>
      <w:marRight w:val="0"/>
      <w:marTop w:val="0"/>
      <w:marBottom w:val="0"/>
      <w:divBdr>
        <w:top w:val="none" w:sz="0" w:space="0" w:color="auto"/>
        <w:left w:val="none" w:sz="0" w:space="0" w:color="auto"/>
        <w:bottom w:val="none" w:sz="0" w:space="0" w:color="auto"/>
        <w:right w:val="none" w:sz="0" w:space="0" w:color="auto"/>
      </w:divBdr>
    </w:div>
    <w:div w:id="863053464">
      <w:bodyDiv w:val="1"/>
      <w:marLeft w:val="0"/>
      <w:marRight w:val="0"/>
      <w:marTop w:val="0"/>
      <w:marBottom w:val="0"/>
      <w:divBdr>
        <w:top w:val="none" w:sz="0" w:space="0" w:color="auto"/>
        <w:left w:val="none" w:sz="0" w:space="0" w:color="auto"/>
        <w:bottom w:val="none" w:sz="0" w:space="0" w:color="auto"/>
        <w:right w:val="none" w:sz="0" w:space="0" w:color="auto"/>
      </w:divBdr>
    </w:div>
    <w:div w:id="863059426">
      <w:bodyDiv w:val="1"/>
      <w:marLeft w:val="0"/>
      <w:marRight w:val="0"/>
      <w:marTop w:val="0"/>
      <w:marBottom w:val="0"/>
      <w:divBdr>
        <w:top w:val="none" w:sz="0" w:space="0" w:color="auto"/>
        <w:left w:val="none" w:sz="0" w:space="0" w:color="auto"/>
        <w:bottom w:val="none" w:sz="0" w:space="0" w:color="auto"/>
        <w:right w:val="none" w:sz="0" w:space="0" w:color="auto"/>
      </w:divBdr>
    </w:div>
    <w:div w:id="863249854">
      <w:bodyDiv w:val="1"/>
      <w:marLeft w:val="0"/>
      <w:marRight w:val="0"/>
      <w:marTop w:val="0"/>
      <w:marBottom w:val="0"/>
      <w:divBdr>
        <w:top w:val="none" w:sz="0" w:space="0" w:color="auto"/>
        <w:left w:val="none" w:sz="0" w:space="0" w:color="auto"/>
        <w:bottom w:val="none" w:sz="0" w:space="0" w:color="auto"/>
        <w:right w:val="none" w:sz="0" w:space="0" w:color="auto"/>
      </w:divBdr>
    </w:div>
    <w:div w:id="863400481">
      <w:bodyDiv w:val="1"/>
      <w:marLeft w:val="0"/>
      <w:marRight w:val="0"/>
      <w:marTop w:val="0"/>
      <w:marBottom w:val="0"/>
      <w:divBdr>
        <w:top w:val="none" w:sz="0" w:space="0" w:color="auto"/>
        <w:left w:val="none" w:sz="0" w:space="0" w:color="auto"/>
        <w:bottom w:val="none" w:sz="0" w:space="0" w:color="auto"/>
        <w:right w:val="none" w:sz="0" w:space="0" w:color="auto"/>
      </w:divBdr>
    </w:div>
    <w:div w:id="863403091">
      <w:bodyDiv w:val="1"/>
      <w:marLeft w:val="0"/>
      <w:marRight w:val="0"/>
      <w:marTop w:val="0"/>
      <w:marBottom w:val="0"/>
      <w:divBdr>
        <w:top w:val="none" w:sz="0" w:space="0" w:color="auto"/>
        <w:left w:val="none" w:sz="0" w:space="0" w:color="auto"/>
        <w:bottom w:val="none" w:sz="0" w:space="0" w:color="auto"/>
        <w:right w:val="none" w:sz="0" w:space="0" w:color="auto"/>
      </w:divBdr>
    </w:div>
    <w:div w:id="863403727">
      <w:bodyDiv w:val="1"/>
      <w:marLeft w:val="0"/>
      <w:marRight w:val="0"/>
      <w:marTop w:val="0"/>
      <w:marBottom w:val="0"/>
      <w:divBdr>
        <w:top w:val="none" w:sz="0" w:space="0" w:color="auto"/>
        <w:left w:val="none" w:sz="0" w:space="0" w:color="auto"/>
        <w:bottom w:val="none" w:sz="0" w:space="0" w:color="auto"/>
        <w:right w:val="none" w:sz="0" w:space="0" w:color="auto"/>
      </w:divBdr>
    </w:div>
    <w:div w:id="863442944">
      <w:bodyDiv w:val="1"/>
      <w:marLeft w:val="0"/>
      <w:marRight w:val="0"/>
      <w:marTop w:val="0"/>
      <w:marBottom w:val="0"/>
      <w:divBdr>
        <w:top w:val="none" w:sz="0" w:space="0" w:color="auto"/>
        <w:left w:val="none" w:sz="0" w:space="0" w:color="auto"/>
        <w:bottom w:val="none" w:sz="0" w:space="0" w:color="auto"/>
        <w:right w:val="none" w:sz="0" w:space="0" w:color="auto"/>
      </w:divBdr>
    </w:div>
    <w:div w:id="863664944">
      <w:bodyDiv w:val="1"/>
      <w:marLeft w:val="0"/>
      <w:marRight w:val="0"/>
      <w:marTop w:val="0"/>
      <w:marBottom w:val="0"/>
      <w:divBdr>
        <w:top w:val="none" w:sz="0" w:space="0" w:color="auto"/>
        <w:left w:val="none" w:sz="0" w:space="0" w:color="auto"/>
        <w:bottom w:val="none" w:sz="0" w:space="0" w:color="auto"/>
        <w:right w:val="none" w:sz="0" w:space="0" w:color="auto"/>
      </w:divBdr>
    </w:div>
    <w:div w:id="863790654">
      <w:bodyDiv w:val="1"/>
      <w:marLeft w:val="0"/>
      <w:marRight w:val="0"/>
      <w:marTop w:val="0"/>
      <w:marBottom w:val="0"/>
      <w:divBdr>
        <w:top w:val="none" w:sz="0" w:space="0" w:color="auto"/>
        <w:left w:val="none" w:sz="0" w:space="0" w:color="auto"/>
        <w:bottom w:val="none" w:sz="0" w:space="0" w:color="auto"/>
        <w:right w:val="none" w:sz="0" w:space="0" w:color="auto"/>
      </w:divBdr>
    </w:div>
    <w:div w:id="863862598">
      <w:bodyDiv w:val="1"/>
      <w:marLeft w:val="0"/>
      <w:marRight w:val="0"/>
      <w:marTop w:val="0"/>
      <w:marBottom w:val="0"/>
      <w:divBdr>
        <w:top w:val="none" w:sz="0" w:space="0" w:color="auto"/>
        <w:left w:val="none" w:sz="0" w:space="0" w:color="auto"/>
        <w:bottom w:val="none" w:sz="0" w:space="0" w:color="auto"/>
        <w:right w:val="none" w:sz="0" w:space="0" w:color="auto"/>
      </w:divBdr>
    </w:div>
    <w:div w:id="863907592">
      <w:bodyDiv w:val="1"/>
      <w:marLeft w:val="0"/>
      <w:marRight w:val="0"/>
      <w:marTop w:val="0"/>
      <w:marBottom w:val="0"/>
      <w:divBdr>
        <w:top w:val="none" w:sz="0" w:space="0" w:color="auto"/>
        <w:left w:val="none" w:sz="0" w:space="0" w:color="auto"/>
        <w:bottom w:val="none" w:sz="0" w:space="0" w:color="auto"/>
        <w:right w:val="none" w:sz="0" w:space="0" w:color="auto"/>
      </w:divBdr>
    </w:div>
    <w:div w:id="864169647">
      <w:bodyDiv w:val="1"/>
      <w:marLeft w:val="0"/>
      <w:marRight w:val="0"/>
      <w:marTop w:val="0"/>
      <w:marBottom w:val="0"/>
      <w:divBdr>
        <w:top w:val="none" w:sz="0" w:space="0" w:color="auto"/>
        <w:left w:val="none" w:sz="0" w:space="0" w:color="auto"/>
        <w:bottom w:val="none" w:sz="0" w:space="0" w:color="auto"/>
        <w:right w:val="none" w:sz="0" w:space="0" w:color="auto"/>
      </w:divBdr>
    </w:div>
    <w:div w:id="864172575">
      <w:bodyDiv w:val="1"/>
      <w:marLeft w:val="0"/>
      <w:marRight w:val="0"/>
      <w:marTop w:val="0"/>
      <w:marBottom w:val="0"/>
      <w:divBdr>
        <w:top w:val="none" w:sz="0" w:space="0" w:color="auto"/>
        <w:left w:val="none" w:sz="0" w:space="0" w:color="auto"/>
        <w:bottom w:val="none" w:sz="0" w:space="0" w:color="auto"/>
        <w:right w:val="none" w:sz="0" w:space="0" w:color="auto"/>
      </w:divBdr>
    </w:div>
    <w:div w:id="864174144">
      <w:bodyDiv w:val="1"/>
      <w:marLeft w:val="0"/>
      <w:marRight w:val="0"/>
      <w:marTop w:val="0"/>
      <w:marBottom w:val="0"/>
      <w:divBdr>
        <w:top w:val="none" w:sz="0" w:space="0" w:color="auto"/>
        <w:left w:val="none" w:sz="0" w:space="0" w:color="auto"/>
        <w:bottom w:val="none" w:sz="0" w:space="0" w:color="auto"/>
        <w:right w:val="none" w:sz="0" w:space="0" w:color="auto"/>
      </w:divBdr>
    </w:div>
    <w:div w:id="864247671">
      <w:bodyDiv w:val="1"/>
      <w:marLeft w:val="0"/>
      <w:marRight w:val="0"/>
      <w:marTop w:val="0"/>
      <w:marBottom w:val="0"/>
      <w:divBdr>
        <w:top w:val="none" w:sz="0" w:space="0" w:color="auto"/>
        <w:left w:val="none" w:sz="0" w:space="0" w:color="auto"/>
        <w:bottom w:val="none" w:sz="0" w:space="0" w:color="auto"/>
        <w:right w:val="none" w:sz="0" w:space="0" w:color="auto"/>
      </w:divBdr>
    </w:div>
    <w:div w:id="864294135">
      <w:bodyDiv w:val="1"/>
      <w:marLeft w:val="0"/>
      <w:marRight w:val="0"/>
      <w:marTop w:val="0"/>
      <w:marBottom w:val="0"/>
      <w:divBdr>
        <w:top w:val="none" w:sz="0" w:space="0" w:color="auto"/>
        <w:left w:val="none" w:sz="0" w:space="0" w:color="auto"/>
        <w:bottom w:val="none" w:sz="0" w:space="0" w:color="auto"/>
        <w:right w:val="none" w:sz="0" w:space="0" w:color="auto"/>
      </w:divBdr>
    </w:div>
    <w:div w:id="864447159">
      <w:bodyDiv w:val="1"/>
      <w:marLeft w:val="0"/>
      <w:marRight w:val="0"/>
      <w:marTop w:val="0"/>
      <w:marBottom w:val="0"/>
      <w:divBdr>
        <w:top w:val="none" w:sz="0" w:space="0" w:color="auto"/>
        <w:left w:val="none" w:sz="0" w:space="0" w:color="auto"/>
        <w:bottom w:val="none" w:sz="0" w:space="0" w:color="auto"/>
        <w:right w:val="none" w:sz="0" w:space="0" w:color="auto"/>
      </w:divBdr>
    </w:div>
    <w:div w:id="864489362">
      <w:bodyDiv w:val="1"/>
      <w:marLeft w:val="0"/>
      <w:marRight w:val="0"/>
      <w:marTop w:val="0"/>
      <w:marBottom w:val="0"/>
      <w:divBdr>
        <w:top w:val="none" w:sz="0" w:space="0" w:color="auto"/>
        <w:left w:val="none" w:sz="0" w:space="0" w:color="auto"/>
        <w:bottom w:val="none" w:sz="0" w:space="0" w:color="auto"/>
        <w:right w:val="none" w:sz="0" w:space="0" w:color="auto"/>
      </w:divBdr>
    </w:div>
    <w:div w:id="864635407">
      <w:bodyDiv w:val="1"/>
      <w:marLeft w:val="0"/>
      <w:marRight w:val="0"/>
      <w:marTop w:val="0"/>
      <w:marBottom w:val="0"/>
      <w:divBdr>
        <w:top w:val="none" w:sz="0" w:space="0" w:color="auto"/>
        <w:left w:val="none" w:sz="0" w:space="0" w:color="auto"/>
        <w:bottom w:val="none" w:sz="0" w:space="0" w:color="auto"/>
        <w:right w:val="none" w:sz="0" w:space="0" w:color="auto"/>
      </w:divBdr>
    </w:div>
    <w:div w:id="864709417">
      <w:bodyDiv w:val="1"/>
      <w:marLeft w:val="0"/>
      <w:marRight w:val="0"/>
      <w:marTop w:val="0"/>
      <w:marBottom w:val="0"/>
      <w:divBdr>
        <w:top w:val="none" w:sz="0" w:space="0" w:color="auto"/>
        <w:left w:val="none" w:sz="0" w:space="0" w:color="auto"/>
        <w:bottom w:val="none" w:sz="0" w:space="0" w:color="auto"/>
        <w:right w:val="none" w:sz="0" w:space="0" w:color="auto"/>
      </w:divBdr>
    </w:div>
    <w:div w:id="864751886">
      <w:bodyDiv w:val="1"/>
      <w:marLeft w:val="0"/>
      <w:marRight w:val="0"/>
      <w:marTop w:val="0"/>
      <w:marBottom w:val="0"/>
      <w:divBdr>
        <w:top w:val="none" w:sz="0" w:space="0" w:color="auto"/>
        <w:left w:val="none" w:sz="0" w:space="0" w:color="auto"/>
        <w:bottom w:val="none" w:sz="0" w:space="0" w:color="auto"/>
        <w:right w:val="none" w:sz="0" w:space="0" w:color="auto"/>
      </w:divBdr>
    </w:div>
    <w:div w:id="864755591">
      <w:bodyDiv w:val="1"/>
      <w:marLeft w:val="0"/>
      <w:marRight w:val="0"/>
      <w:marTop w:val="0"/>
      <w:marBottom w:val="0"/>
      <w:divBdr>
        <w:top w:val="none" w:sz="0" w:space="0" w:color="auto"/>
        <w:left w:val="none" w:sz="0" w:space="0" w:color="auto"/>
        <w:bottom w:val="none" w:sz="0" w:space="0" w:color="auto"/>
        <w:right w:val="none" w:sz="0" w:space="0" w:color="auto"/>
      </w:divBdr>
    </w:div>
    <w:div w:id="864903456">
      <w:bodyDiv w:val="1"/>
      <w:marLeft w:val="0"/>
      <w:marRight w:val="0"/>
      <w:marTop w:val="0"/>
      <w:marBottom w:val="0"/>
      <w:divBdr>
        <w:top w:val="none" w:sz="0" w:space="0" w:color="auto"/>
        <w:left w:val="none" w:sz="0" w:space="0" w:color="auto"/>
        <w:bottom w:val="none" w:sz="0" w:space="0" w:color="auto"/>
        <w:right w:val="none" w:sz="0" w:space="0" w:color="auto"/>
      </w:divBdr>
    </w:div>
    <w:div w:id="864906018">
      <w:bodyDiv w:val="1"/>
      <w:marLeft w:val="0"/>
      <w:marRight w:val="0"/>
      <w:marTop w:val="0"/>
      <w:marBottom w:val="0"/>
      <w:divBdr>
        <w:top w:val="none" w:sz="0" w:space="0" w:color="auto"/>
        <w:left w:val="none" w:sz="0" w:space="0" w:color="auto"/>
        <w:bottom w:val="none" w:sz="0" w:space="0" w:color="auto"/>
        <w:right w:val="none" w:sz="0" w:space="0" w:color="auto"/>
      </w:divBdr>
    </w:div>
    <w:div w:id="865021805">
      <w:bodyDiv w:val="1"/>
      <w:marLeft w:val="0"/>
      <w:marRight w:val="0"/>
      <w:marTop w:val="0"/>
      <w:marBottom w:val="0"/>
      <w:divBdr>
        <w:top w:val="none" w:sz="0" w:space="0" w:color="auto"/>
        <w:left w:val="none" w:sz="0" w:space="0" w:color="auto"/>
        <w:bottom w:val="none" w:sz="0" w:space="0" w:color="auto"/>
        <w:right w:val="none" w:sz="0" w:space="0" w:color="auto"/>
      </w:divBdr>
    </w:div>
    <w:div w:id="865022201">
      <w:bodyDiv w:val="1"/>
      <w:marLeft w:val="0"/>
      <w:marRight w:val="0"/>
      <w:marTop w:val="0"/>
      <w:marBottom w:val="0"/>
      <w:divBdr>
        <w:top w:val="none" w:sz="0" w:space="0" w:color="auto"/>
        <w:left w:val="none" w:sz="0" w:space="0" w:color="auto"/>
        <w:bottom w:val="none" w:sz="0" w:space="0" w:color="auto"/>
        <w:right w:val="none" w:sz="0" w:space="0" w:color="auto"/>
      </w:divBdr>
    </w:div>
    <w:div w:id="865095259">
      <w:bodyDiv w:val="1"/>
      <w:marLeft w:val="0"/>
      <w:marRight w:val="0"/>
      <w:marTop w:val="0"/>
      <w:marBottom w:val="0"/>
      <w:divBdr>
        <w:top w:val="none" w:sz="0" w:space="0" w:color="auto"/>
        <w:left w:val="none" w:sz="0" w:space="0" w:color="auto"/>
        <w:bottom w:val="none" w:sz="0" w:space="0" w:color="auto"/>
        <w:right w:val="none" w:sz="0" w:space="0" w:color="auto"/>
      </w:divBdr>
    </w:div>
    <w:div w:id="865145262">
      <w:bodyDiv w:val="1"/>
      <w:marLeft w:val="0"/>
      <w:marRight w:val="0"/>
      <w:marTop w:val="0"/>
      <w:marBottom w:val="0"/>
      <w:divBdr>
        <w:top w:val="none" w:sz="0" w:space="0" w:color="auto"/>
        <w:left w:val="none" w:sz="0" w:space="0" w:color="auto"/>
        <w:bottom w:val="none" w:sz="0" w:space="0" w:color="auto"/>
        <w:right w:val="none" w:sz="0" w:space="0" w:color="auto"/>
      </w:divBdr>
    </w:div>
    <w:div w:id="865171580">
      <w:bodyDiv w:val="1"/>
      <w:marLeft w:val="0"/>
      <w:marRight w:val="0"/>
      <w:marTop w:val="0"/>
      <w:marBottom w:val="0"/>
      <w:divBdr>
        <w:top w:val="none" w:sz="0" w:space="0" w:color="auto"/>
        <w:left w:val="none" w:sz="0" w:space="0" w:color="auto"/>
        <w:bottom w:val="none" w:sz="0" w:space="0" w:color="auto"/>
        <w:right w:val="none" w:sz="0" w:space="0" w:color="auto"/>
      </w:divBdr>
    </w:div>
    <w:div w:id="865220670">
      <w:bodyDiv w:val="1"/>
      <w:marLeft w:val="0"/>
      <w:marRight w:val="0"/>
      <w:marTop w:val="0"/>
      <w:marBottom w:val="0"/>
      <w:divBdr>
        <w:top w:val="none" w:sz="0" w:space="0" w:color="auto"/>
        <w:left w:val="none" w:sz="0" w:space="0" w:color="auto"/>
        <w:bottom w:val="none" w:sz="0" w:space="0" w:color="auto"/>
        <w:right w:val="none" w:sz="0" w:space="0" w:color="auto"/>
      </w:divBdr>
    </w:div>
    <w:div w:id="865292631">
      <w:bodyDiv w:val="1"/>
      <w:marLeft w:val="0"/>
      <w:marRight w:val="0"/>
      <w:marTop w:val="0"/>
      <w:marBottom w:val="0"/>
      <w:divBdr>
        <w:top w:val="none" w:sz="0" w:space="0" w:color="auto"/>
        <w:left w:val="none" w:sz="0" w:space="0" w:color="auto"/>
        <w:bottom w:val="none" w:sz="0" w:space="0" w:color="auto"/>
        <w:right w:val="none" w:sz="0" w:space="0" w:color="auto"/>
      </w:divBdr>
    </w:div>
    <w:div w:id="865368196">
      <w:bodyDiv w:val="1"/>
      <w:marLeft w:val="0"/>
      <w:marRight w:val="0"/>
      <w:marTop w:val="0"/>
      <w:marBottom w:val="0"/>
      <w:divBdr>
        <w:top w:val="none" w:sz="0" w:space="0" w:color="auto"/>
        <w:left w:val="none" w:sz="0" w:space="0" w:color="auto"/>
        <w:bottom w:val="none" w:sz="0" w:space="0" w:color="auto"/>
        <w:right w:val="none" w:sz="0" w:space="0" w:color="auto"/>
      </w:divBdr>
    </w:div>
    <w:div w:id="865488514">
      <w:bodyDiv w:val="1"/>
      <w:marLeft w:val="0"/>
      <w:marRight w:val="0"/>
      <w:marTop w:val="0"/>
      <w:marBottom w:val="0"/>
      <w:divBdr>
        <w:top w:val="none" w:sz="0" w:space="0" w:color="auto"/>
        <w:left w:val="none" w:sz="0" w:space="0" w:color="auto"/>
        <w:bottom w:val="none" w:sz="0" w:space="0" w:color="auto"/>
        <w:right w:val="none" w:sz="0" w:space="0" w:color="auto"/>
      </w:divBdr>
    </w:div>
    <w:div w:id="865562072">
      <w:bodyDiv w:val="1"/>
      <w:marLeft w:val="0"/>
      <w:marRight w:val="0"/>
      <w:marTop w:val="0"/>
      <w:marBottom w:val="0"/>
      <w:divBdr>
        <w:top w:val="none" w:sz="0" w:space="0" w:color="auto"/>
        <w:left w:val="none" w:sz="0" w:space="0" w:color="auto"/>
        <w:bottom w:val="none" w:sz="0" w:space="0" w:color="auto"/>
        <w:right w:val="none" w:sz="0" w:space="0" w:color="auto"/>
      </w:divBdr>
    </w:div>
    <w:div w:id="865607342">
      <w:bodyDiv w:val="1"/>
      <w:marLeft w:val="0"/>
      <w:marRight w:val="0"/>
      <w:marTop w:val="0"/>
      <w:marBottom w:val="0"/>
      <w:divBdr>
        <w:top w:val="none" w:sz="0" w:space="0" w:color="auto"/>
        <w:left w:val="none" w:sz="0" w:space="0" w:color="auto"/>
        <w:bottom w:val="none" w:sz="0" w:space="0" w:color="auto"/>
        <w:right w:val="none" w:sz="0" w:space="0" w:color="auto"/>
      </w:divBdr>
    </w:div>
    <w:div w:id="865682756">
      <w:bodyDiv w:val="1"/>
      <w:marLeft w:val="0"/>
      <w:marRight w:val="0"/>
      <w:marTop w:val="0"/>
      <w:marBottom w:val="0"/>
      <w:divBdr>
        <w:top w:val="none" w:sz="0" w:space="0" w:color="auto"/>
        <w:left w:val="none" w:sz="0" w:space="0" w:color="auto"/>
        <w:bottom w:val="none" w:sz="0" w:space="0" w:color="auto"/>
        <w:right w:val="none" w:sz="0" w:space="0" w:color="auto"/>
      </w:divBdr>
    </w:div>
    <w:div w:id="865753994">
      <w:bodyDiv w:val="1"/>
      <w:marLeft w:val="0"/>
      <w:marRight w:val="0"/>
      <w:marTop w:val="0"/>
      <w:marBottom w:val="0"/>
      <w:divBdr>
        <w:top w:val="none" w:sz="0" w:space="0" w:color="auto"/>
        <w:left w:val="none" w:sz="0" w:space="0" w:color="auto"/>
        <w:bottom w:val="none" w:sz="0" w:space="0" w:color="auto"/>
        <w:right w:val="none" w:sz="0" w:space="0" w:color="auto"/>
      </w:divBdr>
    </w:div>
    <w:div w:id="865756342">
      <w:bodyDiv w:val="1"/>
      <w:marLeft w:val="0"/>
      <w:marRight w:val="0"/>
      <w:marTop w:val="0"/>
      <w:marBottom w:val="0"/>
      <w:divBdr>
        <w:top w:val="none" w:sz="0" w:space="0" w:color="auto"/>
        <w:left w:val="none" w:sz="0" w:space="0" w:color="auto"/>
        <w:bottom w:val="none" w:sz="0" w:space="0" w:color="auto"/>
        <w:right w:val="none" w:sz="0" w:space="0" w:color="auto"/>
      </w:divBdr>
    </w:div>
    <w:div w:id="865798243">
      <w:bodyDiv w:val="1"/>
      <w:marLeft w:val="0"/>
      <w:marRight w:val="0"/>
      <w:marTop w:val="0"/>
      <w:marBottom w:val="0"/>
      <w:divBdr>
        <w:top w:val="none" w:sz="0" w:space="0" w:color="auto"/>
        <w:left w:val="none" w:sz="0" w:space="0" w:color="auto"/>
        <w:bottom w:val="none" w:sz="0" w:space="0" w:color="auto"/>
        <w:right w:val="none" w:sz="0" w:space="0" w:color="auto"/>
      </w:divBdr>
    </w:div>
    <w:div w:id="865798521">
      <w:bodyDiv w:val="1"/>
      <w:marLeft w:val="0"/>
      <w:marRight w:val="0"/>
      <w:marTop w:val="0"/>
      <w:marBottom w:val="0"/>
      <w:divBdr>
        <w:top w:val="none" w:sz="0" w:space="0" w:color="auto"/>
        <w:left w:val="none" w:sz="0" w:space="0" w:color="auto"/>
        <w:bottom w:val="none" w:sz="0" w:space="0" w:color="auto"/>
        <w:right w:val="none" w:sz="0" w:space="0" w:color="auto"/>
      </w:divBdr>
    </w:div>
    <w:div w:id="866018365">
      <w:bodyDiv w:val="1"/>
      <w:marLeft w:val="0"/>
      <w:marRight w:val="0"/>
      <w:marTop w:val="0"/>
      <w:marBottom w:val="0"/>
      <w:divBdr>
        <w:top w:val="none" w:sz="0" w:space="0" w:color="auto"/>
        <w:left w:val="none" w:sz="0" w:space="0" w:color="auto"/>
        <w:bottom w:val="none" w:sz="0" w:space="0" w:color="auto"/>
        <w:right w:val="none" w:sz="0" w:space="0" w:color="auto"/>
      </w:divBdr>
    </w:div>
    <w:div w:id="866021919">
      <w:bodyDiv w:val="1"/>
      <w:marLeft w:val="0"/>
      <w:marRight w:val="0"/>
      <w:marTop w:val="0"/>
      <w:marBottom w:val="0"/>
      <w:divBdr>
        <w:top w:val="none" w:sz="0" w:space="0" w:color="auto"/>
        <w:left w:val="none" w:sz="0" w:space="0" w:color="auto"/>
        <w:bottom w:val="none" w:sz="0" w:space="0" w:color="auto"/>
        <w:right w:val="none" w:sz="0" w:space="0" w:color="auto"/>
      </w:divBdr>
    </w:div>
    <w:div w:id="866068006">
      <w:bodyDiv w:val="1"/>
      <w:marLeft w:val="0"/>
      <w:marRight w:val="0"/>
      <w:marTop w:val="0"/>
      <w:marBottom w:val="0"/>
      <w:divBdr>
        <w:top w:val="none" w:sz="0" w:space="0" w:color="auto"/>
        <w:left w:val="none" w:sz="0" w:space="0" w:color="auto"/>
        <w:bottom w:val="none" w:sz="0" w:space="0" w:color="auto"/>
        <w:right w:val="none" w:sz="0" w:space="0" w:color="auto"/>
      </w:divBdr>
    </w:div>
    <w:div w:id="866137817">
      <w:bodyDiv w:val="1"/>
      <w:marLeft w:val="0"/>
      <w:marRight w:val="0"/>
      <w:marTop w:val="0"/>
      <w:marBottom w:val="0"/>
      <w:divBdr>
        <w:top w:val="none" w:sz="0" w:space="0" w:color="auto"/>
        <w:left w:val="none" w:sz="0" w:space="0" w:color="auto"/>
        <w:bottom w:val="none" w:sz="0" w:space="0" w:color="auto"/>
        <w:right w:val="none" w:sz="0" w:space="0" w:color="auto"/>
      </w:divBdr>
    </w:div>
    <w:div w:id="866139512">
      <w:bodyDiv w:val="1"/>
      <w:marLeft w:val="0"/>
      <w:marRight w:val="0"/>
      <w:marTop w:val="0"/>
      <w:marBottom w:val="0"/>
      <w:divBdr>
        <w:top w:val="none" w:sz="0" w:space="0" w:color="auto"/>
        <w:left w:val="none" w:sz="0" w:space="0" w:color="auto"/>
        <w:bottom w:val="none" w:sz="0" w:space="0" w:color="auto"/>
        <w:right w:val="none" w:sz="0" w:space="0" w:color="auto"/>
      </w:divBdr>
    </w:div>
    <w:div w:id="866142953">
      <w:bodyDiv w:val="1"/>
      <w:marLeft w:val="0"/>
      <w:marRight w:val="0"/>
      <w:marTop w:val="0"/>
      <w:marBottom w:val="0"/>
      <w:divBdr>
        <w:top w:val="none" w:sz="0" w:space="0" w:color="auto"/>
        <w:left w:val="none" w:sz="0" w:space="0" w:color="auto"/>
        <w:bottom w:val="none" w:sz="0" w:space="0" w:color="auto"/>
        <w:right w:val="none" w:sz="0" w:space="0" w:color="auto"/>
      </w:divBdr>
    </w:div>
    <w:div w:id="866255009">
      <w:bodyDiv w:val="1"/>
      <w:marLeft w:val="0"/>
      <w:marRight w:val="0"/>
      <w:marTop w:val="0"/>
      <w:marBottom w:val="0"/>
      <w:divBdr>
        <w:top w:val="none" w:sz="0" w:space="0" w:color="auto"/>
        <w:left w:val="none" w:sz="0" w:space="0" w:color="auto"/>
        <w:bottom w:val="none" w:sz="0" w:space="0" w:color="auto"/>
        <w:right w:val="none" w:sz="0" w:space="0" w:color="auto"/>
      </w:divBdr>
    </w:div>
    <w:div w:id="866258283">
      <w:bodyDiv w:val="1"/>
      <w:marLeft w:val="0"/>
      <w:marRight w:val="0"/>
      <w:marTop w:val="0"/>
      <w:marBottom w:val="0"/>
      <w:divBdr>
        <w:top w:val="none" w:sz="0" w:space="0" w:color="auto"/>
        <w:left w:val="none" w:sz="0" w:space="0" w:color="auto"/>
        <w:bottom w:val="none" w:sz="0" w:space="0" w:color="auto"/>
        <w:right w:val="none" w:sz="0" w:space="0" w:color="auto"/>
      </w:divBdr>
    </w:div>
    <w:div w:id="866286833">
      <w:bodyDiv w:val="1"/>
      <w:marLeft w:val="0"/>
      <w:marRight w:val="0"/>
      <w:marTop w:val="0"/>
      <w:marBottom w:val="0"/>
      <w:divBdr>
        <w:top w:val="none" w:sz="0" w:space="0" w:color="auto"/>
        <w:left w:val="none" w:sz="0" w:space="0" w:color="auto"/>
        <w:bottom w:val="none" w:sz="0" w:space="0" w:color="auto"/>
        <w:right w:val="none" w:sz="0" w:space="0" w:color="auto"/>
      </w:divBdr>
    </w:div>
    <w:div w:id="866411012">
      <w:bodyDiv w:val="1"/>
      <w:marLeft w:val="0"/>
      <w:marRight w:val="0"/>
      <w:marTop w:val="0"/>
      <w:marBottom w:val="0"/>
      <w:divBdr>
        <w:top w:val="none" w:sz="0" w:space="0" w:color="auto"/>
        <w:left w:val="none" w:sz="0" w:space="0" w:color="auto"/>
        <w:bottom w:val="none" w:sz="0" w:space="0" w:color="auto"/>
        <w:right w:val="none" w:sz="0" w:space="0" w:color="auto"/>
      </w:divBdr>
    </w:div>
    <w:div w:id="866452145">
      <w:bodyDiv w:val="1"/>
      <w:marLeft w:val="0"/>
      <w:marRight w:val="0"/>
      <w:marTop w:val="0"/>
      <w:marBottom w:val="0"/>
      <w:divBdr>
        <w:top w:val="none" w:sz="0" w:space="0" w:color="auto"/>
        <w:left w:val="none" w:sz="0" w:space="0" w:color="auto"/>
        <w:bottom w:val="none" w:sz="0" w:space="0" w:color="auto"/>
        <w:right w:val="none" w:sz="0" w:space="0" w:color="auto"/>
      </w:divBdr>
    </w:div>
    <w:div w:id="866479350">
      <w:bodyDiv w:val="1"/>
      <w:marLeft w:val="0"/>
      <w:marRight w:val="0"/>
      <w:marTop w:val="0"/>
      <w:marBottom w:val="0"/>
      <w:divBdr>
        <w:top w:val="none" w:sz="0" w:space="0" w:color="auto"/>
        <w:left w:val="none" w:sz="0" w:space="0" w:color="auto"/>
        <w:bottom w:val="none" w:sz="0" w:space="0" w:color="auto"/>
        <w:right w:val="none" w:sz="0" w:space="0" w:color="auto"/>
      </w:divBdr>
    </w:div>
    <w:div w:id="866482240">
      <w:bodyDiv w:val="1"/>
      <w:marLeft w:val="0"/>
      <w:marRight w:val="0"/>
      <w:marTop w:val="0"/>
      <w:marBottom w:val="0"/>
      <w:divBdr>
        <w:top w:val="none" w:sz="0" w:space="0" w:color="auto"/>
        <w:left w:val="none" w:sz="0" w:space="0" w:color="auto"/>
        <w:bottom w:val="none" w:sz="0" w:space="0" w:color="auto"/>
        <w:right w:val="none" w:sz="0" w:space="0" w:color="auto"/>
      </w:divBdr>
    </w:div>
    <w:div w:id="866482733">
      <w:bodyDiv w:val="1"/>
      <w:marLeft w:val="0"/>
      <w:marRight w:val="0"/>
      <w:marTop w:val="0"/>
      <w:marBottom w:val="0"/>
      <w:divBdr>
        <w:top w:val="none" w:sz="0" w:space="0" w:color="auto"/>
        <w:left w:val="none" w:sz="0" w:space="0" w:color="auto"/>
        <w:bottom w:val="none" w:sz="0" w:space="0" w:color="auto"/>
        <w:right w:val="none" w:sz="0" w:space="0" w:color="auto"/>
      </w:divBdr>
    </w:div>
    <w:div w:id="866524566">
      <w:bodyDiv w:val="1"/>
      <w:marLeft w:val="0"/>
      <w:marRight w:val="0"/>
      <w:marTop w:val="0"/>
      <w:marBottom w:val="0"/>
      <w:divBdr>
        <w:top w:val="none" w:sz="0" w:space="0" w:color="auto"/>
        <w:left w:val="none" w:sz="0" w:space="0" w:color="auto"/>
        <w:bottom w:val="none" w:sz="0" w:space="0" w:color="auto"/>
        <w:right w:val="none" w:sz="0" w:space="0" w:color="auto"/>
      </w:divBdr>
    </w:div>
    <w:div w:id="866599195">
      <w:bodyDiv w:val="1"/>
      <w:marLeft w:val="0"/>
      <w:marRight w:val="0"/>
      <w:marTop w:val="0"/>
      <w:marBottom w:val="0"/>
      <w:divBdr>
        <w:top w:val="none" w:sz="0" w:space="0" w:color="auto"/>
        <w:left w:val="none" w:sz="0" w:space="0" w:color="auto"/>
        <w:bottom w:val="none" w:sz="0" w:space="0" w:color="auto"/>
        <w:right w:val="none" w:sz="0" w:space="0" w:color="auto"/>
      </w:divBdr>
    </w:div>
    <w:div w:id="866679183">
      <w:bodyDiv w:val="1"/>
      <w:marLeft w:val="0"/>
      <w:marRight w:val="0"/>
      <w:marTop w:val="0"/>
      <w:marBottom w:val="0"/>
      <w:divBdr>
        <w:top w:val="none" w:sz="0" w:space="0" w:color="auto"/>
        <w:left w:val="none" w:sz="0" w:space="0" w:color="auto"/>
        <w:bottom w:val="none" w:sz="0" w:space="0" w:color="auto"/>
        <w:right w:val="none" w:sz="0" w:space="0" w:color="auto"/>
      </w:divBdr>
    </w:div>
    <w:div w:id="866718514">
      <w:bodyDiv w:val="1"/>
      <w:marLeft w:val="0"/>
      <w:marRight w:val="0"/>
      <w:marTop w:val="0"/>
      <w:marBottom w:val="0"/>
      <w:divBdr>
        <w:top w:val="none" w:sz="0" w:space="0" w:color="auto"/>
        <w:left w:val="none" w:sz="0" w:space="0" w:color="auto"/>
        <w:bottom w:val="none" w:sz="0" w:space="0" w:color="auto"/>
        <w:right w:val="none" w:sz="0" w:space="0" w:color="auto"/>
      </w:divBdr>
    </w:div>
    <w:div w:id="866793653">
      <w:bodyDiv w:val="1"/>
      <w:marLeft w:val="0"/>
      <w:marRight w:val="0"/>
      <w:marTop w:val="0"/>
      <w:marBottom w:val="0"/>
      <w:divBdr>
        <w:top w:val="none" w:sz="0" w:space="0" w:color="auto"/>
        <w:left w:val="none" w:sz="0" w:space="0" w:color="auto"/>
        <w:bottom w:val="none" w:sz="0" w:space="0" w:color="auto"/>
        <w:right w:val="none" w:sz="0" w:space="0" w:color="auto"/>
      </w:divBdr>
    </w:div>
    <w:div w:id="866797792">
      <w:bodyDiv w:val="1"/>
      <w:marLeft w:val="0"/>
      <w:marRight w:val="0"/>
      <w:marTop w:val="0"/>
      <w:marBottom w:val="0"/>
      <w:divBdr>
        <w:top w:val="none" w:sz="0" w:space="0" w:color="auto"/>
        <w:left w:val="none" w:sz="0" w:space="0" w:color="auto"/>
        <w:bottom w:val="none" w:sz="0" w:space="0" w:color="auto"/>
        <w:right w:val="none" w:sz="0" w:space="0" w:color="auto"/>
      </w:divBdr>
    </w:div>
    <w:div w:id="866867378">
      <w:bodyDiv w:val="1"/>
      <w:marLeft w:val="0"/>
      <w:marRight w:val="0"/>
      <w:marTop w:val="0"/>
      <w:marBottom w:val="0"/>
      <w:divBdr>
        <w:top w:val="none" w:sz="0" w:space="0" w:color="auto"/>
        <w:left w:val="none" w:sz="0" w:space="0" w:color="auto"/>
        <w:bottom w:val="none" w:sz="0" w:space="0" w:color="auto"/>
        <w:right w:val="none" w:sz="0" w:space="0" w:color="auto"/>
      </w:divBdr>
    </w:div>
    <w:div w:id="866871895">
      <w:bodyDiv w:val="1"/>
      <w:marLeft w:val="0"/>
      <w:marRight w:val="0"/>
      <w:marTop w:val="0"/>
      <w:marBottom w:val="0"/>
      <w:divBdr>
        <w:top w:val="none" w:sz="0" w:space="0" w:color="auto"/>
        <w:left w:val="none" w:sz="0" w:space="0" w:color="auto"/>
        <w:bottom w:val="none" w:sz="0" w:space="0" w:color="auto"/>
        <w:right w:val="none" w:sz="0" w:space="0" w:color="auto"/>
      </w:divBdr>
    </w:div>
    <w:div w:id="867061888">
      <w:bodyDiv w:val="1"/>
      <w:marLeft w:val="0"/>
      <w:marRight w:val="0"/>
      <w:marTop w:val="0"/>
      <w:marBottom w:val="0"/>
      <w:divBdr>
        <w:top w:val="none" w:sz="0" w:space="0" w:color="auto"/>
        <w:left w:val="none" w:sz="0" w:space="0" w:color="auto"/>
        <w:bottom w:val="none" w:sz="0" w:space="0" w:color="auto"/>
        <w:right w:val="none" w:sz="0" w:space="0" w:color="auto"/>
      </w:divBdr>
    </w:div>
    <w:div w:id="867063832">
      <w:bodyDiv w:val="1"/>
      <w:marLeft w:val="0"/>
      <w:marRight w:val="0"/>
      <w:marTop w:val="0"/>
      <w:marBottom w:val="0"/>
      <w:divBdr>
        <w:top w:val="none" w:sz="0" w:space="0" w:color="auto"/>
        <w:left w:val="none" w:sz="0" w:space="0" w:color="auto"/>
        <w:bottom w:val="none" w:sz="0" w:space="0" w:color="auto"/>
        <w:right w:val="none" w:sz="0" w:space="0" w:color="auto"/>
      </w:divBdr>
    </w:div>
    <w:div w:id="867065570">
      <w:bodyDiv w:val="1"/>
      <w:marLeft w:val="0"/>
      <w:marRight w:val="0"/>
      <w:marTop w:val="0"/>
      <w:marBottom w:val="0"/>
      <w:divBdr>
        <w:top w:val="none" w:sz="0" w:space="0" w:color="auto"/>
        <w:left w:val="none" w:sz="0" w:space="0" w:color="auto"/>
        <w:bottom w:val="none" w:sz="0" w:space="0" w:color="auto"/>
        <w:right w:val="none" w:sz="0" w:space="0" w:color="auto"/>
      </w:divBdr>
    </w:div>
    <w:div w:id="867184957">
      <w:bodyDiv w:val="1"/>
      <w:marLeft w:val="0"/>
      <w:marRight w:val="0"/>
      <w:marTop w:val="0"/>
      <w:marBottom w:val="0"/>
      <w:divBdr>
        <w:top w:val="none" w:sz="0" w:space="0" w:color="auto"/>
        <w:left w:val="none" w:sz="0" w:space="0" w:color="auto"/>
        <w:bottom w:val="none" w:sz="0" w:space="0" w:color="auto"/>
        <w:right w:val="none" w:sz="0" w:space="0" w:color="auto"/>
      </w:divBdr>
    </w:div>
    <w:div w:id="867255756">
      <w:bodyDiv w:val="1"/>
      <w:marLeft w:val="0"/>
      <w:marRight w:val="0"/>
      <w:marTop w:val="0"/>
      <w:marBottom w:val="0"/>
      <w:divBdr>
        <w:top w:val="none" w:sz="0" w:space="0" w:color="auto"/>
        <w:left w:val="none" w:sz="0" w:space="0" w:color="auto"/>
        <w:bottom w:val="none" w:sz="0" w:space="0" w:color="auto"/>
        <w:right w:val="none" w:sz="0" w:space="0" w:color="auto"/>
      </w:divBdr>
    </w:div>
    <w:div w:id="867256748">
      <w:bodyDiv w:val="1"/>
      <w:marLeft w:val="0"/>
      <w:marRight w:val="0"/>
      <w:marTop w:val="0"/>
      <w:marBottom w:val="0"/>
      <w:divBdr>
        <w:top w:val="none" w:sz="0" w:space="0" w:color="auto"/>
        <w:left w:val="none" w:sz="0" w:space="0" w:color="auto"/>
        <w:bottom w:val="none" w:sz="0" w:space="0" w:color="auto"/>
        <w:right w:val="none" w:sz="0" w:space="0" w:color="auto"/>
      </w:divBdr>
    </w:div>
    <w:div w:id="867258128">
      <w:bodyDiv w:val="1"/>
      <w:marLeft w:val="0"/>
      <w:marRight w:val="0"/>
      <w:marTop w:val="0"/>
      <w:marBottom w:val="0"/>
      <w:divBdr>
        <w:top w:val="none" w:sz="0" w:space="0" w:color="auto"/>
        <w:left w:val="none" w:sz="0" w:space="0" w:color="auto"/>
        <w:bottom w:val="none" w:sz="0" w:space="0" w:color="auto"/>
        <w:right w:val="none" w:sz="0" w:space="0" w:color="auto"/>
      </w:divBdr>
    </w:div>
    <w:div w:id="867329426">
      <w:bodyDiv w:val="1"/>
      <w:marLeft w:val="0"/>
      <w:marRight w:val="0"/>
      <w:marTop w:val="0"/>
      <w:marBottom w:val="0"/>
      <w:divBdr>
        <w:top w:val="none" w:sz="0" w:space="0" w:color="auto"/>
        <w:left w:val="none" w:sz="0" w:space="0" w:color="auto"/>
        <w:bottom w:val="none" w:sz="0" w:space="0" w:color="auto"/>
        <w:right w:val="none" w:sz="0" w:space="0" w:color="auto"/>
      </w:divBdr>
    </w:div>
    <w:div w:id="867329701">
      <w:bodyDiv w:val="1"/>
      <w:marLeft w:val="0"/>
      <w:marRight w:val="0"/>
      <w:marTop w:val="0"/>
      <w:marBottom w:val="0"/>
      <w:divBdr>
        <w:top w:val="none" w:sz="0" w:space="0" w:color="auto"/>
        <w:left w:val="none" w:sz="0" w:space="0" w:color="auto"/>
        <w:bottom w:val="none" w:sz="0" w:space="0" w:color="auto"/>
        <w:right w:val="none" w:sz="0" w:space="0" w:color="auto"/>
      </w:divBdr>
    </w:div>
    <w:div w:id="867450767">
      <w:bodyDiv w:val="1"/>
      <w:marLeft w:val="0"/>
      <w:marRight w:val="0"/>
      <w:marTop w:val="0"/>
      <w:marBottom w:val="0"/>
      <w:divBdr>
        <w:top w:val="none" w:sz="0" w:space="0" w:color="auto"/>
        <w:left w:val="none" w:sz="0" w:space="0" w:color="auto"/>
        <w:bottom w:val="none" w:sz="0" w:space="0" w:color="auto"/>
        <w:right w:val="none" w:sz="0" w:space="0" w:color="auto"/>
      </w:divBdr>
    </w:div>
    <w:div w:id="867523050">
      <w:bodyDiv w:val="1"/>
      <w:marLeft w:val="0"/>
      <w:marRight w:val="0"/>
      <w:marTop w:val="0"/>
      <w:marBottom w:val="0"/>
      <w:divBdr>
        <w:top w:val="none" w:sz="0" w:space="0" w:color="auto"/>
        <w:left w:val="none" w:sz="0" w:space="0" w:color="auto"/>
        <w:bottom w:val="none" w:sz="0" w:space="0" w:color="auto"/>
        <w:right w:val="none" w:sz="0" w:space="0" w:color="auto"/>
      </w:divBdr>
    </w:div>
    <w:div w:id="867527373">
      <w:bodyDiv w:val="1"/>
      <w:marLeft w:val="0"/>
      <w:marRight w:val="0"/>
      <w:marTop w:val="0"/>
      <w:marBottom w:val="0"/>
      <w:divBdr>
        <w:top w:val="none" w:sz="0" w:space="0" w:color="auto"/>
        <w:left w:val="none" w:sz="0" w:space="0" w:color="auto"/>
        <w:bottom w:val="none" w:sz="0" w:space="0" w:color="auto"/>
        <w:right w:val="none" w:sz="0" w:space="0" w:color="auto"/>
      </w:divBdr>
    </w:div>
    <w:div w:id="867570303">
      <w:bodyDiv w:val="1"/>
      <w:marLeft w:val="0"/>
      <w:marRight w:val="0"/>
      <w:marTop w:val="0"/>
      <w:marBottom w:val="0"/>
      <w:divBdr>
        <w:top w:val="none" w:sz="0" w:space="0" w:color="auto"/>
        <w:left w:val="none" w:sz="0" w:space="0" w:color="auto"/>
        <w:bottom w:val="none" w:sz="0" w:space="0" w:color="auto"/>
        <w:right w:val="none" w:sz="0" w:space="0" w:color="auto"/>
      </w:divBdr>
    </w:div>
    <w:div w:id="867596806">
      <w:bodyDiv w:val="1"/>
      <w:marLeft w:val="0"/>
      <w:marRight w:val="0"/>
      <w:marTop w:val="0"/>
      <w:marBottom w:val="0"/>
      <w:divBdr>
        <w:top w:val="none" w:sz="0" w:space="0" w:color="auto"/>
        <w:left w:val="none" w:sz="0" w:space="0" w:color="auto"/>
        <w:bottom w:val="none" w:sz="0" w:space="0" w:color="auto"/>
        <w:right w:val="none" w:sz="0" w:space="0" w:color="auto"/>
      </w:divBdr>
    </w:div>
    <w:div w:id="867646541">
      <w:bodyDiv w:val="1"/>
      <w:marLeft w:val="0"/>
      <w:marRight w:val="0"/>
      <w:marTop w:val="0"/>
      <w:marBottom w:val="0"/>
      <w:divBdr>
        <w:top w:val="none" w:sz="0" w:space="0" w:color="auto"/>
        <w:left w:val="none" w:sz="0" w:space="0" w:color="auto"/>
        <w:bottom w:val="none" w:sz="0" w:space="0" w:color="auto"/>
        <w:right w:val="none" w:sz="0" w:space="0" w:color="auto"/>
      </w:divBdr>
    </w:div>
    <w:div w:id="867764461">
      <w:bodyDiv w:val="1"/>
      <w:marLeft w:val="0"/>
      <w:marRight w:val="0"/>
      <w:marTop w:val="0"/>
      <w:marBottom w:val="0"/>
      <w:divBdr>
        <w:top w:val="none" w:sz="0" w:space="0" w:color="auto"/>
        <w:left w:val="none" w:sz="0" w:space="0" w:color="auto"/>
        <w:bottom w:val="none" w:sz="0" w:space="0" w:color="auto"/>
        <w:right w:val="none" w:sz="0" w:space="0" w:color="auto"/>
      </w:divBdr>
    </w:div>
    <w:div w:id="867833489">
      <w:bodyDiv w:val="1"/>
      <w:marLeft w:val="0"/>
      <w:marRight w:val="0"/>
      <w:marTop w:val="0"/>
      <w:marBottom w:val="0"/>
      <w:divBdr>
        <w:top w:val="none" w:sz="0" w:space="0" w:color="auto"/>
        <w:left w:val="none" w:sz="0" w:space="0" w:color="auto"/>
        <w:bottom w:val="none" w:sz="0" w:space="0" w:color="auto"/>
        <w:right w:val="none" w:sz="0" w:space="0" w:color="auto"/>
      </w:divBdr>
    </w:div>
    <w:div w:id="867990150">
      <w:bodyDiv w:val="1"/>
      <w:marLeft w:val="0"/>
      <w:marRight w:val="0"/>
      <w:marTop w:val="0"/>
      <w:marBottom w:val="0"/>
      <w:divBdr>
        <w:top w:val="none" w:sz="0" w:space="0" w:color="auto"/>
        <w:left w:val="none" w:sz="0" w:space="0" w:color="auto"/>
        <w:bottom w:val="none" w:sz="0" w:space="0" w:color="auto"/>
        <w:right w:val="none" w:sz="0" w:space="0" w:color="auto"/>
      </w:divBdr>
    </w:div>
    <w:div w:id="867991507">
      <w:bodyDiv w:val="1"/>
      <w:marLeft w:val="0"/>
      <w:marRight w:val="0"/>
      <w:marTop w:val="0"/>
      <w:marBottom w:val="0"/>
      <w:divBdr>
        <w:top w:val="none" w:sz="0" w:space="0" w:color="auto"/>
        <w:left w:val="none" w:sz="0" w:space="0" w:color="auto"/>
        <w:bottom w:val="none" w:sz="0" w:space="0" w:color="auto"/>
        <w:right w:val="none" w:sz="0" w:space="0" w:color="auto"/>
      </w:divBdr>
    </w:div>
    <w:div w:id="868108234">
      <w:bodyDiv w:val="1"/>
      <w:marLeft w:val="0"/>
      <w:marRight w:val="0"/>
      <w:marTop w:val="0"/>
      <w:marBottom w:val="0"/>
      <w:divBdr>
        <w:top w:val="none" w:sz="0" w:space="0" w:color="auto"/>
        <w:left w:val="none" w:sz="0" w:space="0" w:color="auto"/>
        <w:bottom w:val="none" w:sz="0" w:space="0" w:color="auto"/>
        <w:right w:val="none" w:sz="0" w:space="0" w:color="auto"/>
      </w:divBdr>
    </w:div>
    <w:div w:id="868297276">
      <w:bodyDiv w:val="1"/>
      <w:marLeft w:val="0"/>
      <w:marRight w:val="0"/>
      <w:marTop w:val="0"/>
      <w:marBottom w:val="0"/>
      <w:divBdr>
        <w:top w:val="none" w:sz="0" w:space="0" w:color="auto"/>
        <w:left w:val="none" w:sz="0" w:space="0" w:color="auto"/>
        <w:bottom w:val="none" w:sz="0" w:space="0" w:color="auto"/>
        <w:right w:val="none" w:sz="0" w:space="0" w:color="auto"/>
      </w:divBdr>
    </w:div>
    <w:div w:id="868301990">
      <w:bodyDiv w:val="1"/>
      <w:marLeft w:val="0"/>
      <w:marRight w:val="0"/>
      <w:marTop w:val="0"/>
      <w:marBottom w:val="0"/>
      <w:divBdr>
        <w:top w:val="none" w:sz="0" w:space="0" w:color="auto"/>
        <w:left w:val="none" w:sz="0" w:space="0" w:color="auto"/>
        <w:bottom w:val="none" w:sz="0" w:space="0" w:color="auto"/>
        <w:right w:val="none" w:sz="0" w:space="0" w:color="auto"/>
      </w:divBdr>
    </w:div>
    <w:div w:id="868376276">
      <w:bodyDiv w:val="1"/>
      <w:marLeft w:val="0"/>
      <w:marRight w:val="0"/>
      <w:marTop w:val="0"/>
      <w:marBottom w:val="0"/>
      <w:divBdr>
        <w:top w:val="none" w:sz="0" w:space="0" w:color="auto"/>
        <w:left w:val="none" w:sz="0" w:space="0" w:color="auto"/>
        <w:bottom w:val="none" w:sz="0" w:space="0" w:color="auto"/>
        <w:right w:val="none" w:sz="0" w:space="0" w:color="auto"/>
      </w:divBdr>
    </w:div>
    <w:div w:id="868419555">
      <w:bodyDiv w:val="1"/>
      <w:marLeft w:val="0"/>
      <w:marRight w:val="0"/>
      <w:marTop w:val="0"/>
      <w:marBottom w:val="0"/>
      <w:divBdr>
        <w:top w:val="none" w:sz="0" w:space="0" w:color="auto"/>
        <w:left w:val="none" w:sz="0" w:space="0" w:color="auto"/>
        <w:bottom w:val="none" w:sz="0" w:space="0" w:color="auto"/>
        <w:right w:val="none" w:sz="0" w:space="0" w:color="auto"/>
      </w:divBdr>
    </w:div>
    <w:div w:id="868445999">
      <w:bodyDiv w:val="1"/>
      <w:marLeft w:val="0"/>
      <w:marRight w:val="0"/>
      <w:marTop w:val="0"/>
      <w:marBottom w:val="0"/>
      <w:divBdr>
        <w:top w:val="none" w:sz="0" w:space="0" w:color="auto"/>
        <w:left w:val="none" w:sz="0" w:space="0" w:color="auto"/>
        <w:bottom w:val="none" w:sz="0" w:space="0" w:color="auto"/>
        <w:right w:val="none" w:sz="0" w:space="0" w:color="auto"/>
      </w:divBdr>
    </w:div>
    <w:div w:id="868448796">
      <w:bodyDiv w:val="1"/>
      <w:marLeft w:val="0"/>
      <w:marRight w:val="0"/>
      <w:marTop w:val="0"/>
      <w:marBottom w:val="0"/>
      <w:divBdr>
        <w:top w:val="none" w:sz="0" w:space="0" w:color="auto"/>
        <w:left w:val="none" w:sz="0" w:space="0" w:color="auto"/>
        <w:bottom w:val="none" w:sz="0" w:space="0" w:color="auto"/>
        <w:right w:val="none" w:sz="0" w:space="0" w:color="auto"/>
      </w:divBdr>
    </w:div>
    <w:div w:id="868491965">
      <w:bodyDiv w:val="1"/>
      <w:marLeft w:val="0"/>
      <w:marRight w:val="0"/>
      <w:marTop w:val="0"/>
      <w:marBottom w:val="0"/>
      <w:divBdr>
        <w:top w:val="none" w:sz="0" w:space="0" w:color="auto"/>
        <w:left w:val="none" w:sz="0" w:space="0" w:color="auto"/>
        <w:bottom w:val="none" w:sz="0" w:space="0" w:color="auto"/>
        <w:right w:val="none" w:sz="0" w:space="0" w:color="auto"/>
      </w:divBdr>
    </w:div>
    <w:div w:id="868495682">
      <w:bodyDiv w:val="1"/>
      <w:marLeft w:val="0"/>
      <w:marRight w:val="0"/>
      <w:marTop w:val="0"/>
      <w:marBottom w:val="0"/>
      <w:divBdr>
        <w:top w:val="none" w:sz="0" w:space="0" w:color="auto"/>
        <w:left w:val="none" w:sz="0" w:space="0" w:color="auto"/>
        <w:bottom w:val="none" w:sz="0" w:space="0" w:color="auto"/>
        <w:right w:val="none" w:sz="0" w:space="0" w:color="auto"/>
      </w:divBdr>
    </w:div>
    <w:div w:id="868571994">
      <w:bodyDiv w:val="1"/>
      <w:marLeft w:val="0"/>
      <w:marRight w:val="0"/>
      <w:marTop w:val="0"/>
      <w:marBottom w:val="0"/>
      <w:divBdr>
        <w:top w:val="none" w:sz="0" w:space="0" w:color="auto"/>
        <w:left w:val="none" w:sz="0" w:space="0" w:color="auto"/>
        <w:bottom w:val="none" w:sz="0" w:space="0" w:color="auto"/>
        <w:right w:val="none" w:sz="0" w:space="0" w:color="auto"/>
      </w:divBdr>
    </w:div>
    <w:div w:id="868638584">
      <w:bodyDiv w:val="1"/>
      <w:marLeft w:val="0"/>
      <w:marRight w:val="0"/>
      <w:marTop w:val="0"/>
      <w:marBottom w:val="0"/>
      <w:divBdr>
        <w:top w:val="none" w:sz="0" w:space="0" w:color="auto"/>
        <w:left w:val="none" w:sz="0" w:space="0" w:color="auto"/>
        <w:bottom w:val="none" w:sz="0" w:space="0" w:color="auto"/>
        <w:right w:val="none" w:sz="0" w:space="0" w:color="auto"/>
      </w:divBdr>
    </w:div>
    <w:div w:id="868642510">
      <w:bodyDiv w:val="1"/>
      <w:marLeft w:val="0"/>
      <w:marRight w:val="0"/>
      <w:marTop w:val="0"/>
      <w:marBottom w:val="0"/>
      <w:divBdr>
        <w:top w:val="none" w:sz="0" w:space="0" w:color="auto"/>
        <w:left w:val="none" w:sz="0" w:space="0" w:color="auto"/>
        <w:bottom w:val="none" w:sz="0" w:space="0" w:color="auto"/>
        <w:right w:val="none" w:sz="0" w:space="0" w:color="auto"/>
      </w:divBdr>
    </w:div>
    <w:div w:id="868643457">
      <w:bodyDiv w:val="1"/>
      <w:marLeft w:val="0"/>
      <w:marRight w:val="0"/>
      <w:marTop w:val="0"/>
      <w:marBottom w:val="0"/>
      <w:divBdr>
        <w:top w:val="none" w:sz="0" w:space="0" w:color="auto"/>
        <w:left w:val="none" w:sz="0" w:space="0" w:color="auto"/>
        <w:bottom w:val="none" w:sz="0" w:space="0" w:color="auto"/>
        <w:right w:val="none" w:sz="0" w:space="0" w:color="auto"/>
      </w:divBdr>
    </w:div>
    <w:div w:id="868685406">
      <w:bodyDiv w:val="1"/>
      <w:marLeft w:val="0"/>
      <w:marRight w:val="0"/>
      <w:marTop w:val="0"/>
      <w:marBottom w:val="0"/>
      <w:divBdr>
        <w:top w:val="none" w:sz="0" w:space="0" w:color="auto"/>
        <w:left w:val="none" w:sz="0" w:space="0" w:color="auto"/>
        <w:bottom w:val="none" w:sz="0" w:space="0" w:color="auto"/>
        <w:right w:val="none" w:sz="0" w:space="0" w:color="auto"/>
      </w:divBdr>
    </w:div>
    <w:div w:id="868686207">
      <w:bodyDiv w:val="1"/>
      <w:marLeft w:val="0"/>
      <w:marRight w:val="0"/>
      <w:marTop w:val="0"/>
      <w:marBottom w:val="0"/>
      <w:divBdr>
        <w:top w:val="none" w:sz="0" w:space="0" w:color="auto"/>
        <w:left w:val="none" w:sz="0" w:space="0" w:color="auto"/>
        <w:bottom w:val="none" w:sz="0" w:space="0" w:color="auto"/>
        <w:right w:val="none" w:sz="0" w:space="0" w:color="auto"/>
      </w:divBdr>
    </w:div>
    <w:div w:id="868688826">
      <w:bodyDiv w:val="1"/>
      <w:marLeft w:val="0"/>
      <w:marRight w:val="0"/>
      <w:marTop w:val="0"/>
      <w:marBottom w:val="0"/>
      <w:divBdr>
        <w:top w:val="none" w:sz="0" w:space="0" w:color="auto"/>
        <w:left w:val="none" w:sz="0" w:space="0" w:color="auto"/>
        <w:bottom w:val="none" w:sz="0" w:space="0" w:color="auto"/>
        <w:right w:val="none" w:sz="0" w:space="0" w:color="auto"/>
      </w:divBdr>
    </w:div>
    <w:div w:id="868688928">
      <w:bodyDiv w:val="1"/>
      <w:marLeft w:val="0"/>
      <w:marRight w:val="0"/>
      <w:marTop w:val="0"/>
      <w:marBottom w:val="0"/>
      <w:divBdr>
        <w:top w:val="none" w:sz="0" w:space="0" w:color="auto"/>
        <w:left w:val="none" w:sz="0" w:space="0" w:color="auto"/>
        <w:bottom w:val="none" w:sz="0" w:space="0" w:color="auto"/>
        <w:right w:val="none" w:sz="0" w:space="0" w:color="auto"/>
      </w:divBdr>
    </w:div>
    <w:div w:id="868950121">
      <w:bodyDiv w:val="1"/>
      <w:marLeft w:val="0"/>
      <w:marRight w:val="0"/>
      <w:marTop w:val="0"/>
      <w:marBottom w:val="0"/>
      <w:divBdr>
        <w:top w:val="none" w:sz="0" w:space="0" w:color="auto"/>
        <w:left w:val="none" w:sz="0" w:space="0" w:color="auto"/>
        <w:bottom w:val="none" w:sz="0" w:space="0" w:color="auto"/>
        <w:right w:val="none" w:sz="0" w:space="0" w:color="auto"/>
      </w:divBdr>
    </w:div>
    <w:div w:id="868957370">
      <w:bodyDiv w:val="1"/>
      <w:marLeft w:val="0"/>
      <w:marRight w:val="0"/>
      <w:marTop w:val="0"/>
      <w:marBottom w:val="0"/>
      <w:divBdr>
        <w:top w:val="none" w:sz="0" w:space="0" w:color="auto"/>
        <w:left w:val="none" w:sz="0" w:space="0" w:color="auto"/>
        <w:bottom w:val="none" w:sz="0" w:space="0" w:color="auto"/>
        <w:right w:val="none" w:sz="0" w:space="0" w:color="auto"/>
      </w:divBdr>
    </w:div>
    <w:div w:id="869028333">
      <w:bodyDiv w:val="1"/>
      <w:marLeft w:val="0"/>
      <w:marRight w:val="0"/>
      <w:marTop w:val="0"/>
      <w:marBottom w:val="0"/>
      <w:divBdr>
        <w:top w:val="none" w:sz="0" w:space="0" w:color="auto"/>
        <w:left w:val="none" w:sz="0" w:space="0" w:color="auto"/>
        <w:bottom w:val="none" w:sz="0" w:space="0" w:color="auto"/>
        <w:right w:val="none" w:sz="0" w:space="0" w:color="auto"/>
      </w:divBdr>
    </w:div>
    <w:div w:id="869029469">
      <w:bodyDiv w:val="1"/>
      <w:marLeft w:val="0"/>
      <w:marRight w:val="0"/>
      <w:marTop w:val="0"/>
      <w:marBottom w:val="0"/>
      <w:divBdr>
        <w:top w:val="none" w:sz="0" w:space="0" w:color="auto"/>
        <w:left w:val="none" w:sz="0" w:space="0" w:color="auto"/>
        <w:bottom w:val="none" w:sz="0" w:space="0" w:color="auto"/>
        <w:right w:val="none" w:sz="0" w:space="0" w:color="auto"/>
      </w:divBdr>
    </w:div>
    <w:div w:id="869029970">
      <w:bodyDiv w:val="1"/>
      <w:marLeft w:val="0"/>
      <w:marRight w:val="0"/>
      <w:marTop w:val="0"/>
      <w:marBottom w:val="0"/>
      <w:divBdr>
        <w:top w:val="none" w:sz="0" w:space="0" w:color="auto"/>
        <w:left w:val="none" w:sz="0" w:space="0" w:color="auto"/>
        <w:bottom w:val="none" w:sz="0" w:space="0" w:color="auto"/>
        <w:right w:val="none" w:sz="0" w:space="0" w:color="auto"/>
      </w:divBdr>
    </w:div>
    <w:div w:id="869031939">
      <w:bodyDiv w:val="1"/>
      <w:marLeft w:val="0"/>
      <w:marRight w:val="0"/>
      <w:marTop w:val="0"/>
      <w:marBottom w:val="0"/>
      <w:divBdr>
        <w:top w:val="none" w:sz="0" w:space="0" w:color="auto"/>
        <w:left w:val="none" w:sz="0" w:space="0" w:color="auto"/>
        <w:bottom w:val="none" w:sz="0" w:space="0" w:color="auto"/>
        <w:right w:val="none" w:sz="0" w:space="0" w:color="auto"/>
      </w:divBdr>
    </w:div>
    <w:div w:id="869105339">
      <w:bodyDiv w:val="1"/>
      <w:marLeft w:val="0"/>
      <w:marRight w:val="0"/>
      <w:marTop w:val="0"/>
      <w:marBottom w:val="0"/>
      <w:divBdr>
        <w:top w:val="none" w:sz="0" w:space="0" w:color="auto"/>
        <w:left w:val="none" w:sz="0" w:space="0" w:color="auto"/>
        <w:bottom w:val="none" w:sz="0" w:space="0" w:color="auto"/>
        <w:right w:val="none" w:sz="0" w:space="0" w:color="auto"/>
      </w:divBdr>
    </w:div>
    <w:div w:id="869219235">
      <w:bodyDiv w:val="1"/>
      <w:marLeft w:val="0"/>
      <w:marRight w:val="0"/>
      <w:marTop w:val="0"/>
      <w:marBottom w:val="0"/>
      <w:divBdr>
        <w:top w:val="none" w:sz="0" w:space="0" w:color="auto"/>
        <w:left w:val="none" w:sz="0" w:space="0" w:color="auto"/>
        <w:bottom w:val="none" w:sz="0" w:space="0" w:color="auto"/>
        <w:right w:val="none" w:sz="0" w:space="0" w:color="auto"/>
      </w:divBdr>
    </w:div>
    <w:div w:id="869219431">
      <w:bodyDiv w:val="1"/>
      <w:marLeft w:val="0"/>
      <w:marRight w:val="0"/>
      <w:marTop w:val="0"/>
      <w:marBottom w:val="0"/>
      <w:divBdr>
        <w:top w:val="none" w:sz="0" w:space="0" w:color="auto"/>
        <w:left w:val="none" w:sz="0" w:space="0" w:color="auto"/>
        <w:bottom w:val="none" w:sz="0" w:space="0" w:color="auto"/>
        <w:right w:val="none" w:sz="0" w:space="0" w:color="auto"/>
      </w:divBdr>
    </w:div>
    <w:div w:id="869220985">
      <w:bodyDiv w:val="1"/>
      <w:marLeft w:val="0"/>
      <w:marRight w:val="0"/>
      <w:marTop w:val="0"/>
      <w:marBottom w:val="0"/>
      <w:divBdr>
        <w:top w:val="none" w:sz="0" w:space="0" w:color="auto"/>
        <w:left w:val="none" w:sz="0" w:space="0" w:color="auto"/>
        <w:bottom w:val="none" w:sz="0" w:space="0" w:color="auto"/>
        <w:right w:val="none" w:sz="0" w:space="0" w:color="auto"/>
      </w:divBdr>
    </w:div>
    <w:div w:id="869223267">
      <w:bodyDiv w:val="1"/>
      <w:marLeft w:val="0"/>
      <w:marRight w:val="0"/>
      <w:marTop w:val="0"/>
      <w:marBottom w:val="0"/>
      <w:divBdr>
        <w:top w:val="none" w:sz="0" w:space="0" w:color="auto"/>
        <w:left w:val="none" w:sz="0" w:space="0" w:color="auto"/>
        <w:bottom w:val="none" w:sz="0" w:space="0" w:color="auto"/>
        <w:right w:val="none" w:sz="0" w:space="0" w:color="auto"/>
      </w:divBdr>
    </w:div>
    <w:div w:id="869224131">
      <w:bodyDiv w:val="1"/>
      <w:marLeft w:val="0"/>
      <w:marRight w:val="0"/>
      <w:marTop w:val="0"/>
      <w:marBottom w:val="0"/>
      <w:divBdr>
        <w:top w:val="none" w:sz="0" w:space="0" w:color="auto"/>
        <w:left w:val="none" w:sz="0" w:space="0" w:color="auto"/>
        <w:bottom w:val="none" w:sz="0" w:space="0" w:color="auto"/>
        <w:right w:val="none" w:sz="0" w:space="0" w:color="auto"/>
      </w:divBdr>
    </w:div>
    <w:div w:id="869300219">
      <w:bodyDiv w:val="1"/>
      <w:marLeft w:val="0"/>
      <w:marRight w:val="0"/>
      <w:marTop w:val="0"/>
      <w:marBottom w:val="0"/>
      <w:divBdr>
        <w:top w:val="none" w:sz="0" w:space="0" w:color="auto"/>
        <w:left w:val="none" w:sz="0" w:space="0" w:color="auto"/>
        <w:bottom w:val="none" w:sz="0" w:space="0" w:color="auto"/>
        <w:right w:val="none" w:sz="0" w:space="0" w:color="auto"/>
      </w:divBdr>
    </w:div>
    <w:div w:id="869337271">
      <w:bodyDiv w:val="1"/>
      <w:marLeft w:val="0"/>
      <w:marRight w:val="0"/>
      <w:marTop w:val="0"/>
      <w:marBottom w:val="0"/>
      <w:divBdr>
        <w:top w:val="none" w:sz="0" w:space="0" w:color="auto"/>
        <w:left w:val="none" w:sz="0" w:space="0" w:color="auto"/>
        <w:bottom w:val="none" w:sz="0" w:space="0" w:color="auto"/>
        <w:right w:val="none" w:sz="0" w:space="0" w:color="auto"/>
      </w:divBdr>
    </w:div>
    <w:div w:id="869413543">
      <w:bodyDiv w:val="1"/>
      <w:marLeft w:val="0"/>
      <w:marRight w:val="0"/>
      <w:marTop w:val="0"/>
      <w:marBottom w:val="0"/>
      <w:divBdr>
        <w:top w:val="none" w:sz="0" w:space="0" w:color="auto"/>
        <w:left w:val="none" w:sz="0" w:space="0" w:color="auto"/>
        <w:bottom w:val="none" w:sz="0" w:space="0" w:color="auto"/>
        <w:right w:val="none" w:sz="0" w:space="0" w:color="auto"/>
      </w:divBdr>
    </w:div>
    <w:div w:id="869492818">
      <w:bodyDiv w:val="1"/>
      <w:marLeft w:val="0"/>
      <w:marRight w:val="0"/>
      <w:marTop w:val="0"/>
      <w:marBottom w:val="0"/>
      <w:divBdr>
        <w:top w:val="none" w:sz="0" w:space="0" w:color="auto"/>
        <w:left w:val="none" w:sz="0" w:space="0" w:color="auto"/>
        <w:bottom w:val="none" w:sz="0" w:space="0" w:color="auto"/>
        <w:right w:val="none" w:sz="0" w:space="0" w:color="auto"/>
      </w:divBdr>
    </w:div>
    <w:div w:id="869496199">
      <w:bodyDiv w:val="1"/>
      <w:marLeft w:val="0"/>
      <w:marRight w:val="0"/>
      <w:marTop w:val="0"/>
      <w:marBottom w:val="0"/>
      <w:divBdr>
        <w:top w:val="none" w:sz="0" w:space="0" w:color="auto"/>
        <w:left w:val="none" w:sz="0" w:space="0" w:color="auto"/>
        <w:bottom w:val="none" w:sz="0" w:space="0" w:color="auto"/>
        <w:right w:val="none" w:sz="0" w:space="0" w:color="auto"/>
      </w:divBdr>
    </w:div>
    <w:div w:id="869538280">
      <w:bodyDiv w:val="1"/>
      <w:marLeft w:val="0"/>
      <w:marRight w:val="0"/>
      <w:marTop w:val="0"/>
      <w:marBottom w:val="0"/>
      <w:divBdr>
        <w:top w:val="none" w:sz="0" w:space="0" w:color="auto"/>
        <w:left w:val="none" w:sz="0" w:space="0" w:color="auto"/>
        <w:bottom w:val="none" w:sz="0" w:space="0" w:color="auto"/>
        <w:right w:val="none" w:sz="0" w:space="0" w:color="auto"/>
      </w:divBdr>
    </w:div>
    <w:div w:id="869758247">
      <w:bodyDiv w:val="1"/>
      <w:marLeft w:val="0"/>
      <w:marRight w:val="0"/>
      <w:marTop w:val="0"/>
      <w:marBottom w:val="0"/>
      <w:divBdr>
        <w:top w:val="none" w:sz="0" w:space="0" w:color="auto"/>
        <w:left w:val="none" w:sz="0" w:space="0" w:color="auto"/>
        <w:bottom w:val="none" w:sz="0" w:space="0" w:color="auto"/>
        <w:right w:val="none" w:sz="0" w:space="0" w:color="auto"/>
      </w:divBdr>
    </w:div>
    <w:div w:id="869799404">
      <w:bodyDiv w:val="1"/>
      <w:marLeft w:val="0"/>
      <w:marRight w:val="0"/>
      <w:marTop w:val="0"/>
      <w:marBottom w:val="0"/>
      <w:divBdr>
        <w:top w:val="none" w:sz="0" w:space="0" w:color="auto"/>
        <w:left w:val="none" w:sz="0" w:space="0" w:color="auto"/>
        <w:bottom w:val="none" w:sz="0" w:space="0" w:color="auto"/>
        <w:right w:val="none" w:sz="0" w:space="0" w:color="auto"/>
      </w:divBdr>
    </w:div>
    <w:div w:id="869807534">
      <w:bodyDiv w:val="1"/>
      <w:marLeft w:val="0"/>
      <w:marRight w:val="0"/>
      <w:marTop w:val="0"/>
      <w:marBottom w:val="0"/>
      <w:divBdr>
        <w:top w:val="none" w:sz="0" w:space="0" w:color="auto"/>
        <w:left w:val="none" w:sz="0" w:space="0" w:color="auto"/>
        <w:bottom w:val="none" w:sz="0" w:space="0" w:color="auto"/>
        <w:right w:val="none" w:sz="0" w:space="0" w:color="auto"/>
      </w:divBdr>
    </w:div>
    <w:div w:id="869874672">
      <w:bodyDiv w:val="1"/>
      <w:marLeft w:val="0"/>
      <w:marRight w:val="0"/>
      <w:marTop w:val="0"/>
      <w:marBottom w:val="0"/>
      <w:divBdr>
        <w:top w:val="none" w:sz="0" w:space="0" w:color="auto"/>
        <w:left w:val="none" w:sz="0" w:space="0" w:color="auto"/>
        <w:bottom w:val="none" w:sz="0" w:space="0" w:color="auto"/>
        <w:right w:val="none" w:sz="0" w:space="0" w:color="auto"/>
      </w:divBdr>
    </w:div>
    <w:div w:id="869925058">
      <w:bodyDiv w:val="1"/>
      <w:marLeft w:val="0"/>
      <w:marRight w:val="0"/>
      <w:marTop w:val="0"/>
      <w:marBottom w:val="0"/>
      <w:divBdr>
        <w:top w:val="none" w:sz="0" w:space="0" w:color="auto"/>
        <w:left w:val="none" w:sz="0" w:space="0" w:color="auto"/>
        <w:bottom w:val="none" w:sz="0" w:space="0" w:color="auto"/>
        <w:right w:val="none" w:sz="0" w:space="0" w:color="auto"/>
      </w:divBdr>
    </w:div>
    <w:div w:id="869950547">
      <w:bodyDiv w:val="1"/>
      <w:marLeft w:val="0"/>
      <w:marRight w:val="0"/>
      <w:marTop w:val="0"/>
      <w:marBottom w:val="0"/>
      <w:divBdr>
        <w:top w:val="none" w:sz="0" w:space="0" w:color="auto"/>
        <w:left w:val="none" w:sz="0" w:space="0" w:color="auto"/>
        <w:bottom w:val="none" w:sz="0" w:space="0" w:color="auto"/>
        <w:right w:val="none" w:sz="0" w:space="0" w:color="auto"/>
      </w:divBdr>
    </w:div>
    <w:div w:id="869996522">
      <w:bodyDiv w:val="1"/>
      <w:marLeft w:val="0"/>
      <w:marRight w:val="0"/>
      <w:marTop w:val="0"/>
      <w:marBottom w:val="0"/>
      <w:divBdr>
        <w:top w:val="none" w:sz="0" w:space="0" w:color="auto"/>
        <w:left w:val="none" w:sz="0" w:space="0" w:color="auto"/>
        <w:bottom w:val="none" w:sz="0" w:space="0" w:color="auto"/>
        <w:right w:val="none" w:sz="0" w:space="0" w:color="auto"/>
      </w:divBdr>
    </w:div>
    <w:div w:id="870068105">
      <w:bodyDiv w:val="1"/>
      <w:marLeft w:val="0"/>
      <w:marRight w:val="0"/>
      <w:marTop w:val="0"/>
      <w:marBottom w:val="0"/>
      <w:divBdr>
        <w:top w:val="none" w:sz="0" w:space="0" w:color="auto"/>
        <w:left w:val="none" w:sz="0" w:space="0" w:color="auto"/>
        <w:bottom w:val="none" w:sz="0" w:space="0" w:color="auto"/>
        <w:right w:val="none" w:sz="0" w:space="0" w:color="auto"/>
      </w:divBdr>
    </w:div>
    <w:div w:id="870073251">
      <w:bodyDiv w:val="1"/>
      <w:marLeft w:val="0"/>
      <w:marRight w:val="0"/>
      <w:marTop w:val="0"/>
      <w:marBottom w:val="0"/>
      <w:divBdr>
        <w:top w:val="none" w:sz="0" w:space="0" w:color="auto"/>
        <w:left w:val="none" w:sz="0" w:space="0" w:color="auto"/>
        <w:bottom w:val="none" w:sz="0" w:space="0" w:color="auto"/>
        <w:right w:val="none" w:sz="0" w:space="0" w:color="auto"/>
      </w:divBdr>
    </w:div>
    <w:div w:id="870148958">
      <w:bodyDiv w:val="1"/>
      <w:marLeft w:val="0"/>
      <w:marRight w:val="0"/>
      <w:marTop w:val="0"/>
      <w:marBottom w:val="0"/>
      <w:divBdr>
        <w:top w:val="none" w:sz="0" w:space="0" w:color="auto"/>
        <w:left w:val="none" w:sz="0" w:space="0" w:color="auto"/>
        <w:bottom w:val="none" w:sz="0" w:space="0" w:color="auto"/>
        <w:right w:val="none" w:sz="0" w:space="0" w:color="auto"/>
      </w:divBdr>
    </w:div>
    <w:div w:id="870342827">
      <w:bodyDiv w:val="1"/>
      <w:marLeft w:val="0"/>
      <w:marRight w:val="0"/>
      <w:marTop w:val="0"/>
      <w:marBottom w:val="0"/>
      <w:divBdr>
        <w:top w:val="none" w:sz="0" w:space="0" w:color="auto"/>
        <w:left w:val="none" w:sz="0" w:space="0" w:color="auto"/>
        <w:bottom w:val="none" w:sz="0" w:space="0" w:color="auto"/>
        <w:right w:val="none" w:sz="0" w:space="0" w:color="auto"/>
      </w:divBdr>
    </w:div>
    <w:div w:id="870385441">
      <w:bodyDiv w:val="1"/>
      <w:marLeft w:val="0"/>
      <w:marRight w:val="0"/>
      <w:marTop w:val="0"/>
      <w:marBottom w:val="0"/>
      <w:divBdr>
        <w:top w:val="none" w:sz="0" w:space="0" w:color="auto"/>
        <w:left w:val="none" w:sz="0" w:space="0" w:color="auto"/>
        <w:bottom w:val="none" w:sz="0" w:space="0" w:color="auto"/>
        <w:right w:val="none" w:sz="0" w:space="0" w:color="auto"/>
      </w:divBdr>
    </w:div>
    <w:div w:id="870457987">
      <w:bodyDiv w:val="1"/>
      <w:marLeft w:val="0"/>
      <w:marRight w:val="0"/>
      <w:marTop w:val="0"/>
      <w:marBottom w:val="0"/>
      <w:divBdr>
        <w:top w:val="none" w:sz="0" w:space="0" w:color="auto"/>
        <w:left w:val="none" w:sz="0" w:space="0" w:color="auto"/>
        <w:bottom w:val="none" w:sz="0" w:space="0" w:color="auto"/>
        <w:right w:val="none" w:sz="0" w:space="0" w:color="auto"/>
      </w:divBdr>
    </w:div>
    <w:div w:id="870531266">
      <w:bodyDiv w:val="1"/>
      <w:marLeft w:val="0"/>
      <w:marRight w:val="0"/>
      <w:marTop w:val="0"/>
      <w:marBottom w:val="0"/>
      <w:divBdr>
        <w:top w:val="none" w:sz="0" w:space="0" w:color="auto"/>
        <w:left w:val="none" w:sz="0" w:space="0" w:color="auto"/>
        <w:bottom w:val="none" w:sz="0" w:space="0" w:color="auto"/>
        <w:right w:val="none" w:sz="0" w:space="0" w:color="auto"/>
      </w:divBdr>
    </w:div>
    <w:div w:id="870607064">
      <w:bodyDiv w:val="1"/>
      <w:marLeft w:val="0"/>
      <w:marRight w:val="0"/>
      <w:marTop w:val="0"/>
      <w:marBottom w:val="0"/>
      <w:divBdr>
        <w:top w:val="none" w:sz="0" w:space="0" w:color="auto"/>
        <w:left w:val="none" w:sz="0" w:space="0" w:color="auto"/>
        <w:bottom w:val="none" w:sz="0" w:space="0" w:color="auto"/>
        <w:right w:val="none" w:sz="0" w:space="0" w:color="auto"/>
      </w:divBdr>
    </w:div>
    <w:div w:id="870608173">
      <w:bodyDiv w:val="1"/>
      <w:marLeft w:val="0"/>
      <w:marRight w:val="0"/>
      <w:marTop w:val="0"/>
      <w:marBottom w:val="0"/>
      <w:divBdr>
        <w:top w:val="none" w:sz="0" w:space="0" w:color="auto"/>
        <w:left w:val="none" w:sz="0" w:space="0" w:color="auto"/>
        <w:bottom w:val="none" w:sz="0" w:space="0" w:color="auto"/>
        <w:right w:val="none" w:sz="0" w:space="0" w:color="auto"/>
      </w:divBdr>
    </w:div>
    <w:div w:id="870648091">
      <w:bodyDiv w:val="1"/>
      <w:marLeft w:val="0"/>
      <w:marRight w:val="0"/>
      <w:marTop w:val="0"/>
      <w:marBottom w:val="0"/>
      <w:divBdr>
        <w:top w:val="none" w:sz="0" w:space="0" w:color="auto"/>
        <w:left w:val="none" w:sz="0" w:space="0" w:color="auto"/>
        <w:bottom w:val="none" w:sz="0" w:space="0" w:color="auto"/>
        <w:right w:val="none" w:sz="0" w:space="0" w:color="auto"/>
      </w:divBdr>
    </w:div>
    <w:div w:id="870725017">
      <w:bodyDiv w:val="1"/>
      <w:marLeft w:val="0"/>
      <w:marRight w:val="0"/>
      <w:marTop w:val="0"/>
      <w:marBottom w:val="0"/>
      <w:divBdr>
        <w:top w:val="none" w:sz="0" w:space="0" w:color="auto"/>
        <w:left w:val="none" w:sz="0" w:space="0" w:color="auto"/>
        <w:bottom w:val="none" w:sz="0" w:space="0" w:color="auto"/>
        <w:right w:val="none" w:sz="0" w:space="0" w:color="auto"/>
      </w:divBdr>
    </w:div>
    <w:div w:id="870843594">
      <w:bodyDiv w:val="1"/>
      <w:marLeft w:val="0"/>
      <w:marRight w:val="0"/>
      <w:marTop w:val="0"/>
      <w:marBottom w:val="0"/>
      <w:divBdr>
        <w:top w:val="none" w:sz="0" w:space="0" w:color="auto"/>
        <w:left w:val="none" w:sz="0" w:space="0" w:color="auto"/>
        <w:bottom w:val="none" w:sz="0" w:space="0" w:color="auto"/>
        <w:right w:val="none" w:sz="0" w:space="0" w:color="auto"/>
      </w:divBdr>
    </w:div>
    <w:div w:id="870917572">
      <w:bodyDiv w:val="1"/>
      <w:marLeft w:val="0"/>
      <w:marRight w:val="0"/>
      <w:marTop w:val="0"/>
      <w:marBottom w:val="0"/>
      <w:divBdr>
        <w:top w:val="none" w:sz="0" w:space="0" w:color="auto"/>
        <w:left w:val="none" w:sz="0" w:space="0" w:color="auto"/>
        <w:bottom w:val="none" w:sz="0" w:space="0" w:color="auto"/>
        <w:right w:val="none" w:sz="0" w:space="0" w:color="auto"/>
      </w:divBdr>
    </w:div>
    <w:div w:id="871186327">
      <w:bodyDiv w:val="1"/>
      <w:marLeft w:val="0"/>
      <w:marRight w:val="0"/>
      <w:marTop w:val="0"/>
      <w:marBottom w:val="0"/>
      <w:divBdr>
        <w:top w:val="none" w:sz="0" w:space="0" w:color="auto"/>
        <w:left w:val="none" w:sz="0" w:space="0" w:color="auto"/>
        <w:bottom w:val="none" w:sz="0" w:space="0" w:color="auto"/>
        <w:right w:val="none" w:sz="0" w:space="0" w:color="auto"/>
      </w:divBdr>
    </w:div>
    <w:div w:id="871259627">
      <w:bodyDiv w:val="1"/>
      <w:marLeft w:val="0"/>
      <w:marRight w:val="0"/>
      <w:marTop w:val="0"/>
      <w:marBottom w:val="0"/>
      <w:divBdr>
        <w:top w:val="none" w:sz="0" w:space="0" w:color="auto"/>
        <w:left w:val="none" w:sz="0" w:space="0" w:color="auto"/>
        <w:bottom w:val="none" w:sz="0" w:space="0" w:color="auto"/>
        <w:right w:val="none" w:sz="0" w:space="0" w:color="auto"/>
      </w:divBdr>
    </w:div>
    <w:div w:id="871261861">
      <w:bodyDiv w:val="1"/>
      <w:marLeft w:val="0"/>
      <w:marRight w:val="0"/>
      <w:marTop w:val="0"/>
      <w:marBottom w:val="0"/>
      <w:divBdr>
        <w:top w:val="none" w:sz="0" w:space="0" w:color="auto"/>
        <w:left w:val="none" w:sz="0" w:space="0" w:color="auto"/>
        <w:bottom w:val="none" w:sz="0" w:space="0" w:color="auto"/>
        <w:right w:val="none" w:sz="0" w:space="0" w:color="auto"/>
      </w:divBdr>
    </w:div>
    <w:div w:id="871309413">
      <w:bodyDiv w:val="1"/>
      <w:marLeft w:val="0"/>
      <w:marRight w:val="0"/>
      <w:marTop w:val="0"/>
      <w:marBottom w:val="0"/>
      <w:divBdr>
        <w:top w:val="none" w:sz="0" w:space="0" w:color="auto"/>
        <w:left w:val="none" w:sz="0" w:space="0" w:color="auto"/>
        <w:bottom w:val="none" w:sz="0" w:space="0" w:color="auto"/>
        <w:right w:val="none" w:sz="0" w:space="0" w:color="auto"/>
      </w:divBdr>
    </w:div>
    <w:div w:id="871647760">
      <w:bodyDiv w:val="1"/>
      <w:marLeft w:val="0"/>
      <w:marRight w:val="0"/>
      <w:marTop w:val="0"/>
      <w:marBottom w:val="0"/>
      <w:divBdr>
        <w:top w:val="none" w:sz="0" w:space="0" w:color="auto"/>
        <w:left w:val="none" w:sz="0" w:space="0" w:color="auto"/>
        <w:bottom w:val="none" w:sz="0" w:space="0" w:color="auto"/>
        <w:right w:val="none" w:sz="0" w:space="0" w:color="auto"/>
      </w:divBdr>
    </w:div>
    <w:div w:id="871696264">
      <w:bodyDiv w:val="1"/>
      <w:marLeft w:val="0"/>
      <w:marRight w:val="0"/>
      <w:marTop w:val="0"/>
      <w:marBottom w:val="0"/>
      <w:divBdr>
        <w:top w:val="none" w:sz="0" w:space="0" w:color="auto"/>
        <w:left w:val="none" w:sz="0" w:space="0" w:color="auto"/>
        <w:bottom w:val="none" w:sz="0" w:space="0" w:color="auto"/>
        <w:right w:val="none" w:sz="0" w:space="0" w:color="auto"/>
      </w:divBdr>
    </w:div>
    <w:div w:id="871765943">
      <w:bodyDiv w:val="1"/>
      <w:marLeft w:val="0"/>
      <w:marRight w:val="0"/>
      <w:marTop w:val="0"/>
      <w:marBottom w:val="0"/>
      <w:divBdr>
        <w:top w:val="none" w:sz="0" w:space="0" w:color="auto"/>
        <w:left w:val="none" w:sz="0" w:space="0" w:color="auto"/>
        <w:bottom w:val="none" w:sz="0" w:space="0" w:color="auto"/>
        <w:right w:val="none" w:sz="0" w:space="0" w:color="auto"/>
      </w:divBdr>
    </w:div>
    <w:div w:id="871923262">
      <w:bodyDiv w:val="1"/>
      <w:marLeft w:val="0"/>
      <w:marRight w:val="0"/>
      <w:marTop w:val="0"/>
      <w:marBottom w:val="0"/>
      <w:divBdr>
        <w:top w:val="none" w:sz="0" w:space="0" w:color="auto"/>
        <w:left w:val="none" w:sz="0" w:space="0" w:color="auto"/>
        <w:bottom w:val="none" w:sz="0" w:space="0" w:color="auto"/>
        <w:right w:val="none" w:sz="0" w:space="0" w:color="auto"/>
      </w:divBdr>
    </w:div>
    <w:div w:id="871957613">
      <w:bodyDiv w:val="1"/>
      <w:marLeft w:val="0"/>
      <w:marRight w:val="0"/>
      <w:marTop w:val="0"/>
      <w:marBottom w:val="0"/>
      <w:divBdr>
        <w:top w:val="none" w:sz="0" w:space="0" w:color="auto"/>
        <w:left w:val="none" w:sz="0" w:space="0" w:color="auto"/>
        <w:bottom w:val="none" w:sz="0" w:space="0" w:color="auto"/>
        <w:right w:val="none" w:sz="0" w:space="0" w:color="auto"/>
      </w:divBdr>
    </w:div>
    <w:div w:id="871964713">
      <w:bodyDiv w:val="1"/>
      <w:marLeft w:val="0"/>
      <w:marRight w:val="0"/>
      <w:marTop w:val="0"/>
      <w:marBottom w:val="0"/>
      <w:divBdr>
        <w:top w:val="none" w:sz="0" w:space="0" w:color="auto"/>
        <w:left w:val="none" w:sz="0" w:space="0" w:color="auto"/>
        <w:bottom w:val="none" w:sz="0" w:space="0" w:color="auto"/>
        <w:right w:val="none" w:sz="0" w:space="0" w:color="auto"/>
      </w:divBdr>
    </w:div>
    <w:div w:id="872110160">
      <w:bodyDiv w:val="1"/>
      <w:marLeft w:val="0"/>
      <w:marRight w:val="0"/>
      <w:marTop w:val="0"/>
      <w:marBottom w:val="0"/>
      <w:divBdr>
        <w:top w:val="none" w:sz="0" w:space="0" w:color="auto"/>
        <w:left w:val="none" w:sz="0" w:space="0" w:color="auto"/>
        <w:bottom w:val="none" w:sz="0" w:space="0" w:color="auto"/>
        <w:right w:val="none" w:sz="0" w:space="0" w:color="auto"/>
      </w:divBdr>
    </w:div>
    <w:div w:id="872111823">
      <w:bodyDiv w:val="1"/>
      <w:marLeft w:val="0"/>
      <w:marRight w:val="0"/>
      <w:marTop w:val="0"/>
      <w:marBottom w:val="0"/>
      <w:divBdr>
        <w:top w:val="none" w:sz="0" w:space="0" w:color="auto"/>
        <w:left w:val="none" w:sz="0" w:space="0" w:color="auto"/>
        <w:bottom w:val="none" w:sz="0" w:space="0" w:color="auto"/>
        <w:right w:val="none" w:sz="0" w:space="0" w:color="auto"/>
      </w:divBdr>
    </w:div>
    <w:div w:id="872115575">
      <w:bodyDiv w:val="1"/>
      <w:marLeft w:val="0"/>
      <w:marRight w:val="0"/>
      <w:marTop w:val="0"/>
      <w:marBottom w:val="0"/>
      <w:divBdr>
        <w:top w:val="none" w:sz="0" w:space="0" w:color="auto"/>
        <w:left w:val="none" w:sz="0" w:space="0" w:color="auto"/>
        <w:bottom w:val="none" w:sz="0" w:space="0" w:color="auto"/>
        <w:right w:val="none" w:sz="0" w:space="0" w:color="auto"/>
      </w:divBdr>
    </w:div>
    <w:div w:id="872159377">
      <w:bodyDiv w:val="1"/>
      <w:marLeft w:val="0"/>
      <w:marRight w:val="0"/>
      <w:marTop w:val="0"/>
      <w:marBottom w:val="0"/>
      <w:divBdr>
        <w:top w:val="none" w:sz="0" w:space="0" w:color="auto"/>
        <w:left w:val="none" w:sz="0" w:space="0" w:color="auto"/>
        <w:bottom w:val="none" w:sz="0" w:space="0" w:color="auto"/>
        <w:right w:val="none" w:sz="0" w:space="0" w:color="auto"/>
      </w:divBdr>
    </w:div>
    <w:div w:id="872226272">
      <w:bodyDiv w:val="1"/>
      <w:marLeft w:val="0"/>
      <w:marRight w:val="0"/>
      <w:marTop w:val="0"/>
      <w:marBottom w:val="0"/>
      <w:divBdr>
        <w:top w:val="none" w:sz="0" w:space="0" w:color="auto"/>
        <w:left w:val="none" w:sz="0" w:space="0" w:color="auto"/>
        <w:bottom w:val="none" w:sz="0" w:space="0" w:color="auto"/>
        <w:right w:val="none" w:sz="0" w:space="0" w:color="auto"/>
      </w:divBdr>
    </w:div>
    <w:div w:id="872229916">
      <w:bodyDiv w:val="1"/>
      <w:marLeft w:val="0"/>
      <w:marRight w:val="0"/>
      <w:marTop w:val="0"/>
      <w:marBottom w:val="0"/>
      <w:divBdr>
        <w:top w:val="none" w:sz="0" w:space="0" w:color="auto"/>
        <w:left w:val="none" w:sz="0" w:space="0" w:color="auto"/>
        <w:bottom w:val="none" w:sz="0" w:space="0" w:color="auto"/>
        <w:right w:val="none" w:sz="0" w:space="0" w:color="auto"/>
      </w:divBdr>
    </w:div>
    <w:div w:id="872382202">
      <w:bodyDiv w:val="1"/>
      <w:marLeft w:val="0"/>
      <w:marRight w:val="0"/>
      <w:marTop w:val="0"/>
      <w:marBottom w:val="0"/>
      <w:divBdr>
        <w:top w:val="none" w:sz="0" w:space="0" w:color="auto"/>
        <w:left w:val="none" w:sz="0" w:space="0" w:color="auto"/>
        <w:bottom w:val="none" w:sz="0" w:space="0" w:color="auto"/>
        <w:right w:val="none" w:sz="0" w:space="0" w:color="auto"/>
      </w:divBdr>
    </w:div>
    <w:div w:id="872495318">
      <w:bodyDiv w:val="1"/>
      <w:marLeft w:val="0"/>
      <w:marRight w:val="0"/>
      <w:marTop w:val="0"/>
      <w:marBottom w:val="0"/>
      <w:divBdr>
        <w:top w:val="none" w:sz="0" w:space="0" w:color="auto"/>
        <w:left w:val="none" w:sz="0" w:space="0" w:color="auto"/>
        <w:bottom w:val="none" w:sz="0" w:space="0" w:color="auto"/>
        <w:right w:val="none" w:sz="0" w:space="0" w:color="auto"/>
      </w:divBdr>
    </w:div>
    <w:div w:id="872496025">
      <w:bodyDiv w:val="1"/>
      <w:marLeft w:val="0"/>
      <w:marRight w:val="0"/>
      <w:marTop w:val="0"/>
      <w:marBottom w:val="0"/>
      <w:divBdr>
        <w:top w:val="none" w:sz="0" w:space="0" w:color="auto"/>
        <w:left w:val="none" w:sz="0" w:space="0" w:color="auto"/>
        <w:bottom w:val="none" w:sz="0" w:space="0" w:color="auto"/>
        <w:right w:val="none" w:sz="0" w:space="0" w:color="auto"/>
      </w:divBdr>
    </w:div>
    <w:div w:id="872501780">
      <w:bodyDiv w:val="1"/>
      <w:marLeft w:val="0"/>
      <w:marRight w:val="0"/>
      <w:marTop w:val="0"/>
      <w:marBottom w:val="0"/>
      <w:divBdr>
        <w:top w:val="none" w:sz="0" w:space="0" w:color="auto"/>
        <w:left w:val="none" w:sz="0" w:space="0" w:color="auto"/>
        <w:bottom w:val="none" w:sz="0" w:space="0" w:color="auto"/>
        <w:right w:val="none" w:sz="0" w:space="0" w:color="auto"/>
      </w:divBdr>
    </w:div>
    <w:div w:id="872546575">
      <w:bodyDiv w:val="1"/>
      <w:marLeft w:val="0"/>
      <w:marRight w:val="0"/>
      <w:marTop w:val="0"/>
      <w:marBottom w:val="0"/>
      <w:divBdr>
        <w:top w:val="none" w:sz="0" w:space="0" w:color="auto"/>
        <w:left w:val="none" w:sz="0" w:space="0" w:color="auto"/>
        <w:bottom w:val="none" w:sz="0" w:space="0" w:color="auto"/>
        <w:right w:val="none" w:sz="0" w:space="0" w:color="auto"/>
      </w:divBdr>
    </w:div>
    <w:div w:id="872571707">
      <w:bodyDiv w:val="1"/>
      <w:marLeft w:val="0"/>
      <w:marRight w:val="0"/>
      <w:marTop w:val="0"/>
      <w:marBottom w:val="0"/>
      <w:divBdr>
        <w:top w:val="none" w:sz="0" w:space="0" w:color="auto"/>
        <w:left w:val="none" w:sz="0" w:space="0" w:color="auto"/>
        <w:bottom w:val="none" w:sz="0" w:space="0" w:color="auto"/>
        <w:right w:val="none" w:sz="0" w:space="0" w:color="auto"/>
      </w:divBdr>
    </w:div>
    <w:div w:id="872811635">
      <w:bodyDiv w:val="1"/>
      <w:marLeft w:val="0"/>
      <w:marRight w:val="0"/>
      <w:marTop w:val="0"/>
      <w:marBottom w:val="0"/>
      <w:divBdr>
        <w:top w:val="none" w:sz="0" w:space="0" w:color="auto"/>
        <w:left w:val="none" w:sz="0" w:space="0" w:color="auto"/>
        <w:bottom w:val="none" w:sz="0" w:space="0" w:color="auto"/>
        <w:right w:val="none" w:sz="0" w:space="0" w:color="auto"/>
      </w:divBdr>
    </w:div>
    <w:div w:id="872956604">
      <w:bodyDiv w:val="1"/>
      <w:marLeft w:val="0"/>
      <w:marRight w:val="0"/>
      <w:marTop w:val="0"/>
      <w:marBottom w:val="0"/>
      <w:divBdr>
        <w:top w:val="none" w:sz="0" w:space="0" w:color="auto"/>
        <w:left w:val="none" w:sz="0" w:space="0" w:color="auto"/>
        <w:bottom w:val="none" w:sz="0" w:space="0" w:color="auto"/>
        <w:right w:val="none" w:sz="0" w:space="0" w:color="auto"/>
      </w:divBdr>
    </w:div>
    <w:div w:id="873005293">
      <w:bodyDiv w:val="1"/>
      <w:marLeft w:val="0"/>
      <w:marRight w:val="0"/>
      <w:marTop w:val="0"/>
      <w:marBottom w:val="0"/>
      <w:divBdr>
        <w:top w:val="none" w:sz="0" w:space="0" w:color="auto"/>
        <w:left w:val="none" w:sz="0" w:space="0" w:color="auto"/>
        <w:bottom w:val="none" w:sz="0" w:space="0" w:color="auto"/>
        <w:right w:val="none" w:sz="0" w:space="0" w:color="auto"/>
      </w:divBdr>
    </w:div>
    <w:div w:id="873155145">
      <w:bodyDiv w:val="1"/>
      <w:marLeft w:val="0"/>
      <w:marRight w:val="0"/>
      <w:marTop w:val="0"/>
      <w:marBottom w:val="0"/>
      <w:divBdr>
        <w:top w:val="none" w:sz="0" w:space="0" w:color="auto"/>
        <w:left w:val="none" w:sz="0" w:space="0" w:color="auto"/>
        <w:bottom w:val="none" w:sz="0" w:space="0" w:color="auto"/>
        <w:right w:val="none" w:sz="0" w:space="0" w:color="auto"/>
      </w:divBdr>
    </w:div>
    <w:div w:id="873156953">
      <w:bodyDiv w:val="1"/>
      <w:marLeft w:val="0"/>
      <w:marRight w:val="0"/>
      <w:marTop w:val="0"/>
      <w:marBottom w:val="0"/>
      <w:divBdr>
        <w:top w:val="none" w:sz="0" w:space="0" w:color="auto"/>
        <w:left w:val="none" w:sz="0" w:space="0" w:color="auto"/>
        <w:bottom w:val="none" w:sz="0" w:space="0" w:color="auto"/>
        <w:right w:val="none" w:sz="0" w:space="0" w:color="auto"/>
      </w:divBdr>
    </w:div>
    <w:div w:id="873232240">
      <w:bodyDiv w:val="1"/>
      <w:marLeft w:val="0"/>
      <w:marRight w:val="0"/>
      <w:marTop w:val="0"/>
      <w:marBottom w:val="0"/>
      <w:divBdr>
        <w:top w:val="none" w:sz="0" w:space="0" w:color="auto"/>
        <w:left w:val="none" w:sz="0" w:space="0" w:color="auto"/>
        <w:bottom w:val="none" w:sz="0" w:space="0" w:color="auto"/>
        <w:right w:val="none" w:sz="0" w:space="0" w:color="auto"/>
      </w:divBdr>
    </w:div>
    <w:div w:id="873275476">
      <w:bodyDiv w:val="1"/>
      <w:marLeft w:val="0"/>
      <w:marRight w:val="0"/>
      <w:marTop w:val="0"/>
      <w:marBottom w:val="0"/>
      <w:divBdr>
        <w:top w:val="none" w:sz="0" w:space="0" w:color="auto"/>
        <w:left w:val="none" w:sz="0" w:space="0" w:color="auto"/>
        <w:bottom w:val="none" w:sz="0" w:space="0" w:color="auto"/>
        <w:right w:val="none" w:sz="0" w:space="0" w:color="auto"/>
      </w:divBdr>
    </w:div>
    <w:div w:id="873422246">
      <w:bodyDiv w:val="1"/>
      <w:marLeft w:val="0"/>
      <w:marRight w:val="0"/>
      <w:marTop w:val="0"/>
      <w:marBottom w:val="0"/>
      <w:divBdr>
        <w:top w:val="none" w:sz="0" w:space="0" w:color="auto"/>
        <w:left w:val="none" w:sz="0" w:space="0" w:color="auto"/>
        <w:bottom w:val="none" w:sz="0" w:space="0" w:color="auto"/>
        <w:right w:val="none" w:sz="0" w:space="0" w:color="auto"/>
      </w:divBdr>
    </w:div>
    <w:div w:id="873469347">
      <w:bodyDiv w:val="1"/>
      <w:marLeft w:val="0"/>
      <w:marRight w:val="0"/>
      <w:marTop w:val="0"/>
      <w:marBottom w:val="0"/>
      <w:divBdr>
        <w:top w:val="none" w:sz="0" w:space="0" w:color="auto"/>
        <w:left w:val="none" w:sz="0" w:space="0" w:color="auto"/>
        <w:bottom w:val="none" w:sz="0" w:space="0" w:color="auto"/>
        <w:right w:val="none" w:sz="0" w:space="0" w:color="auto"/>
      </w:divBdr>
    </w:div>
    <w:div w:id="873496238">
      <w:bodyDiv w:val="1"/>
      <w:marLeft w:val="0"/>
      <w:marRight w:val="0"/>
      <w:marTop w:val="0"/>
      <w:marBottom w:val="0"/>
      <w:divBdr>
        <w:top w:val="none" w:sz="0" w:space="0" w:color="auto"/>
        <w:left w:val="none" w:sz="0" w:space="0" w:color="auto"/>
        <w:bottom w:val="none" w:sz="0" w:space="0" w:color="auto"/>
        <w:right w:val="none" w:sz="0" w:space="0" w:color="auto"/>
      </w:divBdr>
    </w:div>
    <w:div w:id="873541662">
      <w:bodyDiv w:val="1"/>
      <w:marLeft w:val="0"/>
      <w:marRight w:val="0"/>
      <w:marTop w:val="0"/>
      <w:marBottom w:val="0"/>
      <w:divBdr>
        <w:top w:val="none" w:sz="0" w:space="0" w:color="auto"/>
        <w:left w:val="none" w:sz="0" w:space="0" w:color="auto"/>
        <w:bottom w:val="none" w:sz="0" w:space="0" w:color="auto"/>
        <w:right w:val="none" w:sz="0" w:space="0" w:color="auto"/>
      </w:divBdr>
    </w:div>
    <w:div w:id="873543268">
      <w:bodyDiv w:val="1"/>
      <w:marLeft w:val="0"/>
      <w:marRight w:val="0"/>
      <w:marTop w:val="0"/>
      <w:marBottom w:val="0"/>
      <w:divBdr>
        <w:top w:val="none" w:sz="0" w:space="0" w:color="auto"/>
        <w:left w:val="none" w:sz="0" w:space="0" w:color="auto"/>
        <w:bottom w:val="none" w:sz="0" w:space="0" w:color="auto"/>
        <w:right w:val="none" w:sz="0" w:space="0" w:color="auto"/>
      </w:divBdr>
    </w:div>
    <w:div w:id="873615237">
      <w:bodyDiv w:val="1"/>
      <w:marLeft w:val="0"/>
      <w:marRight w:val="0"/>
      <w:marTop w:val="0"/>
      <w:marBottom w:val="0"/>
      <w:divBdr>
        <w:top w:val="none" w:sz="0" w:space="0" w:color="auto"/>
        <w:left w:val="none" w:sz="0" w:space="0" w:color="auto"/>
        <w:bottom w:val="none" w:sz="0" w:space="0" w:color="auto"/>
        <w:right w:val="none" w:sz="0" w:space="0" w:color="auto"/>
      </w:divBdr>
    </w:div>
    <w:div w:id="873617585">
      <w:bodyDiv w:val="1"/>
      <w:marLeft w:val="0"/>
      <w:marRight w:val="0"/>
      <w:marTop w:val="0"/>
      <w:marBottom w:val="0"/>
      <w:divBdr>
        <w:top w:val="none" w:sz="0" w:space="0" w:color="auto"/>
        <w:left w:val="none" w:sz="0" w:space="0" w:color="auto"/>
        <w:bottom w:val="none" w:sz="0" w:space="0" w:color="auto"/>
        <w:right w:val="none" w:sz="0" w:space="0" w:color="auto"/>
      </w:divBdr>
    </w:div>
    <w:div w:id="873620294">
      <w:bodyDiv w:val="1"/>
      <w:marLeft w:val="0"/>
      <w:marRight w:val="0"/>
      <w:marTop w:val="0"/>
      <w:marBottom w:val="0"/>
      <w:divBdr>
        <w:top w:val="none" w:sz="0" w:space="0" w:color="auto"/>
        <w:left w:val="none" w:sz="0" w:space="0" w:color="auto"/>
        <w:bottom w:val="none" w:sz="0" w:space="0" w:color="auto"/>
        <w:right w:val="none" w:sz="0" w:space="0" w:color="auto"/>
      </w:divBdr>
    </w:div>
    <w:div w:id="873662558">
      <w:bodyDiv w:val="1"/>
      <w:marLeft w:val="0"/>
      <w:marRight w:val="0"/>
      <w:marTop w:val="0"/>
      <w:marBottom w:val="0"/>
      <w:divBdr>
        <w:top w:val="none" w:sz="0" w:space="0" w:color="auto"/>
        <w:left w:val="none" w:sz="0" w:space="0" w:color="auto"/>
        <w:bottom w:val="none" w:sz="0" w:space="0" w:color="auto"/>
        <w:right w:val="none" w:sz="0" w:space="0" w:color="auto"/>
      </w:divBdr>
    </w:div>
    <w:div w:id="873663073">
      <w:bodyDiv w:val="1"/>
      <w:marLeft w:val="0"/>
      <w:marRight w:val="0"/>
      <w:marTop w:val="0"/>
      <w:marBottom w:val="0"/>
      <w:divBdr>
        <w:top w:val="none" w:sz="0" w:space="0" w:color="auto"/>
        <w:left w:val="none" w:sz="0" w:space="0" w:color="auto"/>
        <w:bottom w:val="none" w:sz="0" w:space="0" w:color="auto"/>
        <w:right w:val="none" w:sz="0" w:space="0" w:color="auto"/>
      </w:divBdr>
    </w:div>
    <w:div w:id="873807177">
      <w:bodyDiv w:val="1"/>
      <w:marLeft w:val="0"/>
      <w:marRight w:val="0"/>
      <w:marTop w:val="0"/>
      <w:marBottom w:val="0"/>
      <w:divBdr>
        <w:top w:val="none" w:sz="0" w:space="0" w:color="auto"/>
        <w:left w:val="none" w:sz="0" w:space="0" w:color="auto"/>
        <w:bottom w:val="none" w:sz="0" w:space="0" w:color="auto"/>
        <w:right w:val="none" w:sz="0" w:space="0" w:color="auto"/>
      </w:divBdr>
    </w:div>
    <w:div w:id="873882992">
      <w:bodyDiv w:val="1"/>
      <w:marLeft w:val="0"/>
      <w:marRight w:val="0"/>
      <w:marTop w:val="0"/>
      <w:marBottom w:val="0"/>
      <w:divBdr>
        <w:top w:val="none" w:sz="0" w:space="0" w:color="auto"/>
        <w:left w:val="none" w:sz="0" w:space="0" w:color="auto"/>
        <w:bottom w:val="none" w:sz="0" w:space="0" w:color="auto"/>
        <w:right w:val="none" w:sz="0" w:space="0" w:color="auto"/>
      </w:divBdr>
    </w:div>
    <w:div w:id="873887389">
      <w:bodyDiv w:val="1"/>
      <w:marLeft w:val="0"/>
      <w:marRight w:val="0"/>
      <w:marTop w:val="0"/>
      <w:marBottom w:val="0"/>
      <w:divBdr>
        <w:top w:val="none" w:sz="0" w:space="0" w:color="auto"/>
        <w:left w:val="none" w:sz="0" w:space="0" w:color="auto"/>
        <w:bottom w:val="none" w:sz="0" w:space="0" w:color="auto"/>
        <w:right w:val="none" w:sz="0" w:space="0" w:color="auto"/>
      </w:divBdr>
    </w:div>
    <w:div w:id="874006086">
      <w:bodyDiv w:val="1"/>
      <w:marLeft w:val="0"/>
      <w:marRight w:val="0"/>
      <w:marTop w:val="0"/>
      <w:marBottom w:val="0"/>
      <w:divBdr>
        <w:top w:val="none" w:sz="0" w:space="0" w:color="auto"/>
        <w:left w:val="none" w:sz="0" w:space="0" w:color="auto"/>
        <w:bottom w:val="none" w:sz="0" w:space="0" w:color="auto"/>
        <w:right w:val="none" w:sz="0" w:space="0" w:color="auto"/>
      </w:divBdr>
    </w:div>
    <w:div w:id="874079039">
      <w:bodyDiv w:val="1"/>
      <w:marLeft w:val="0"/>
      <w:marRight w:val="0"/>
      <w:marTop w:val="0"/>
      <w:marBottom w:val="0"/>
      <w:divBdr>
        <w:top w:val="none" w:sz="0" w:space="0" w:color="auto"/>
        <w:left w:val="none" w:sz="0" w:space="0" w:color="auto"/>
        <w:bottom w:val="none" w:sz="0" w:space="0" w:color="auto"/>
        <w:right w:val="none" w:sz="0" w:space="0" w:color="auto"/>
      </w:divBdr>
    </w:div>
    <w:div w:id="874192930">
      <w:bodyDiv w:val="1"/>
      <w:marLeft w:val="0"/>
      <w:marRight w:val="0"/>
      <w:marTop w:val="0"/>
      <w:marBottom w:val="0"/>
      <w:divBdr>
        <w:top w:val="none" w:sz="0" w:space="0" w:color="auto"/>
        <w:left w:val="none" w:sz="0" w:space="0" w:color="auto"/>
        <w:bottom w:val="none" w:sz="0" w:space="0" w:color="auto"/>
        <w:right w:val="none" w:sz="0" w:space="0" w:color="auto"/>
      </w:divBdr>
    </w:div>
    <w:div w:id="874346947">
      <w:bodyDiv w:val="1"/>
      <w:marLeft w:val="0"/>
      <w:marRight w:val="0"/>
      <w:marTop w:val="0"/>
      <w:marBottom w:val="0"/>
      <w:divBdr>
        <w:top w:val="none" w:sz="0" w:space="0" w:color="auto"/>
        <w:left w:val="none" w:sz="0" w:space="0" w:color="auto"/>
        <w:bottom w:val="none" w:sz="0" w:space="0" w:color="auto"/>
        <w:right w:val="none" w:sz="0" w:space="0" w:color="auto"/>
      </w:divBdr>
    </w:div>
    <w:div w:id="874539520">
      <w:bodyDiv w:val="1"/>
      <w:marLeft w:val="0"/>
      <w:marRight w:val="0"/>
      <w:marTop w:val="0"/>
      <w:marBottom w:val="0"/>
      <w:divBdr>
        <w:top w:val="none" w:sz="0" w:space="0" w:color="auto"/>
        <w:left w:val="none" w:sz="0" w:space="0" w:color="auto"/>
        <w:bottom w:val="none" w:sz="0" w:space="0" w:color="auto"/>
        <w:right w:val="none" w:sz="0" w:space="0" w:color="auto"/>
      </w:divBdr>
    </w:div>
    <w:div w:id="874544439">
      <w:bodyDiv w:val="1"/>
      <w:marLeft w:val="0"/>
      <w:marRight w:val="0"/>
      <w:marTop w:val="0"/>
      <w:marBottom w:val="0"/>
      <w:divBdr>
        <w:top w:val="none" w:sz="0" w:space="0" w:color="auto"/>
        <w:left w:val="none" w:sz="0" w:space="0" w:color="auto"/>
        <w:bottom w:val="none" w:sz="0" w:space="0" w:color="auto"/>
        <w:right w:val="none" w:sz="0" w:space="0" w:color="auto"/>
      </w:divBdr>
    </w:div>
    <w:div w:id="874581200">
      <w:bodyDiv w:val="1"/>
      <w:marLeft w:val="0"/>
      <w:marRight w:val="0"/>
      <w:marTop w:val="0"/>
      <w:marBottom w:val="0"/>
      <w:divBdr>
        <w:top w:val="none" w:sz="0" w:space="0" w:color="auto"/>
        <w:left w:val="none" w:sz="0" w:space="0" w:color="auto"/>
        <w:bottom w:val="none" w:sz="0" w:space="0" w:color="auto"/>
        <w:right w:val="none" w:sz="0" w:space="0" w:color="auto"/>
      </w:divBdr>
    </w:div>
    <w:div w:id="874655517">
      <w:bodyDiv w:val="1"/>
      <w:marLeft w:val="0"/>
      <w:marRight w:val="0"/>
      <w:marTop w:val="0"/>
      <w:marBottom w:val="0"/>
      <w:divBdr>
        <w:top w:val="none" w:sz="0" w:space="0" w:color="auto"/>
        <w:left w:val="none" w:sz="0" w:space="0" w:color="auto"/>
        <w:bottom w:val="none" w:sz="0" w:space="0" w:color="auto"/>
        <w:right w:val="none" w:sz="0" w:space="0" w:color="auto"/>
      </w:divBdr>
    </w:div>
    <w:div w:id="874805971">
      <w:bodyDiv w:val="1"/>
      <w:marLeft w:val="0"/>
      <w:marRight w:val="0"/>
      <w:marTop w:val="0"/>
      <w:marBottom w:val="0"/>
      <w:divBdr>
        <w:top w:val="none" w:sz="0" w:space="0" w:color="auto"/>
        <w:left w:val="none" w:sz="0" w:space="0" w:color="auto"/>
        <w:bottom w:val="none" w:sz="0" w:space="0" w:color="auto"/>
        <w:right w:val="none" w:sz="0" w:space="0" w:color="auto"/>
      </w:divBdr>
    </w:div>
    <w:div w:id="874854017">
      <w:bodyDiv w:val="1"/>
      <w:marLeft w:val="0"/>
      <w:marRight w:val="0"/>
      <w:marTop w:val="0"/>
      <w:marBottom w:val="0"/>
      <w:divBdr>
        <w:top w:val="none" w:sz="0" w:space="0" w:color="auto"/>
        <w:left w:val="none" w:sz="0" w:space="0" w:color="auto"/>
        <w:bottom w:val="none" w:sz="0" w:space="0" w:color="auto"/>
        <w:right w:val="none" w:sz="0" w:space="0" w:color="auto"/>
      </w:divBdr>
    </w:div>
    <w:div w:id="875192826">
      <w:bodyDiv w:val="1"/>
      <w:marLeft w:val="0"/>
      <w:marRight w:val="0"/>
      <w:marTop w:val="0"/>
      <w:marBottom w:val="0"/>
      <w:divBdr>
        <w:top w:val="none" w:sz="0" w:space="0" w:color="auto"/>
        <w:left w:val="none" w:sz="0" w:space="0" w:color="auto"/>
        <w:bottom w:val="none" w:sz="0" w:space="0" w:color="auto"/>
        <w:right w:val="none" w:sz="0" w:space="0" w:color="auto"/>
      </w:divBdr>
    </w:div>
    <w:div w:id="875626776">
      <w:bodyDiv w:val="1"/>
      <w:marLeft w:val="0"/>
      <w:marRight w:val="0"/>
      <w:marTop w:val="0"/>
      <w:marBottom w:val="0"/>
      <w:divBdr>
        <w:top w:val="none" w:sz="0" w:space="0" w:color="auto"/>
        <w:left w:val="none" w:sz="0" w:space="0" w:color="auto"/>
        <w:bottom w:val="none" w:sz="0" w:space="0" w:color="auto"/>
        <w:right w:val="none" w:sz="0" w:space="0" w:color="auto"/>
      </w:divBdr>
    </w:div>
    <w:div w:id="875846722">
      <w:bodyDiv w:val="1"/>
      <w:marLeft w:val="0"/>
      <w:marRight w:val="0"/>
      <w:marTop w:val="0"/>
      <w:marBottom w:val="0"/>
      <w:divBdr>
        <w:top w:val="none" w:sz="0" w:space="0" w:color="auto"/>
        <w:left w:val="none" w:sz="0" w:space="0" w:color="auto"/>
        <w:bottom w:val="none" w:sz="0" w:space="0" w:color="auto"/>
        <w:right w:val="none" w:sz="0" w:space="0" w:color="auto"/>
      </w:divBdr>
    </w:div>
    <w:div w:id="875853941">
      <w:bodyDiv w:val="1"/>
      <w:marLeft w:val="0"/>
      <w:marRight w:val="0"/>
      <w:marTop w:val="0"/>
      <w:marBottom w:val="0"/>
      <w:divBdr>
        <w:top w:val="none" w:sz="0" w:space="0" w:color="auto"/>
        <w:left w:val="none" w:sz="0" w:space="0" w:color="auto"/>
        <w:bottom w:val="none" w:sz="0" w:space="0" w:color="auto"/>
        <w:right w:val="none" w:sz="0" w:space="0" w:color="auto"/>
      </w:divBdr>
    </w:div>
    <w:div w:id="875895969">
      <w:bodyDiv w:val="1"/>
      <w:marLeft w:val="0"/>
      <w:marRight w:val="0"/>
      <w:marTop w:val="0"/>
      <w:marBottom w:val="0"/>
      <w:divBdr>
        <w:top w:val="none" w:sz="0" w:space="0" w:color="auto"/>
        <w:left w:val="none" w:sz="0" w:space="0" w:color="auto"/>
        <w:bottom w:val="none" w:sz="0" w:space="0" w:color="auto"/>
        <w:right w:val="none" w:sz="0" w:space="0" w:color="auto"/>
      </w:divBdr>
    </w:div>
    <w:div w:id="875897010">
      <w:bodyDiv w:val="1"/>
      <w:marLeft w:val="0"/>
      <w:marRight w:val="0"/>
      <w:marTop w:val="0"/>
      <w:marBottom w:val="0"/>
      <w:divBdr>
        <w:top w:val="none" w:sz="0" w:space="0" w:color="auto"/>
        <w:left w:val="none" w:sz="0" w:space="0" w:color="auto"/>
        <w:bottom w:val="none" w:sz="0" w:space="0" w:color="auto"/>
        <w:right w:val="none" w:sz="0" w:space="0" w:color="auto"/>
      </w:divBdr>
    </w:div>
    <w:div w:id="875970583">
      <w:bodyDiv w:val="1"/>
      <w:marLeft w:val="0"/>
      <w:marRight w:val="0"/>
      <w:marTop w:val="0"/>
      <w:marBottom w:val="0"/>
      <w:divBdr>
        <w:top w:val="none" w:sz="0" w:space="0" w:color="auto"/>
        <w:left w:val="none" w:sz="0" w:space="0" w:color="auto"/>
        <w:bottom w:val="none" w:sz="0" w:space="0" w:color="auto"/>
        <w:right w:val="none" w:sz="0" w:space="0" w:color="auto"/>
      </w:divBdr>
    </w:div>
    <w:div w:id="876087971">
      <w:bodyDiv w:val="1"/>
      <w:marLeft w:val="0"/>
      <w:marRight w:val="0"/>
      <w:marTop w:val="0"/>
      <w:marBottom w:val="0"/>
      <w:divBdr>
        <w:top w:val="none" w:sz="0" w:space="0" w:color="auto"/>
        <w:left w:val="none" w:sz="0" w:space="0" w:color="auto"/>
        <w:bottom w:val="none" w:sz="0" w:space="0" w:color="auto"/>
        <w:right w:val="none" w:sz="0" w:space="0" w:color="auto"/>
      </w:divBdr>
    </w:div>
    <w:div w:id="876234737">
      <w:bodyDiv w:val="1"/>
      <w:marLeft w:val="0"/>
      <w:marRight w:val="0"/>
      <w:marTop w:val="0"/>
      <w:marBottom w:val="0"/>
      <w:divBdr>
        <w:top w:val="none" w:sz="0" w:space="0" w:color="auto"/>
        <w:left w:val="none" w:sz="0" w:space="0" w:color="auto"/>
        <w:bottom w:val="none" w:sz="0" w:space="0" w:color="auto"/>
        <w:right w:val="none" w:sz="0" w:space="0" w:color="auto"/>
      </w:divBdr>
    </w:div>
    <w:div w:id="876311131">
      <w:bodyDiv w:val="1"/>
      <w:marLeft w:val="0"/>
      <w:marRight w:val="0"/>
      <w:marTop w:val="0"/>
      <w:marBottom w:val="0"/>
      <w:divBdr>
        <w:top w:val="none" w:sz="0" w:space="0" w:color="auto"/>
        <w:left w:val="none" w:sz="0" w:space="0" w:color="auto"/>
        <w:bottom w:val="none" w:sz="0" w:space="0" w:color="auto"/>
        <w:right w:val="none" w:sz="0" w:space="0" w:color="auto"/>
      </w:divBdr>
    </w:div>
    <w:div w:id="876432304">
      <w:bodyDiv w:val="1"/>
      <w:marLeft w:val="0"/>
      <w:marRight w:val="0"/>
      <w:marTop w:val="0"/>
      <w:marBottom w:val="0"/>
      <w:divBdr>
        <w:top w:val="none" w:sz="0" w:space="0" w:color="auto"/>
        <w:left w:val="none" w:sz="0" w:space="0" w:color="auto"/>
        <w:bottom w:val="none" w:sz="0" w:space="0" w:color="auto"/>
        <w:right w:val="none" w:sz="0" w:space="0" w:color="auto"/>
      </w:divBdr>
    </w:div>
    <w:div w:id="876505787">
      <w:bodyDiv w:val="1"/>
      <w:marLeft w:val="0"/>
      <w:marRight w:val="0"/>
      <w:marTop w:val="0"/>
      <w:marBottom w:val="0"/>
      <w:divBdr>
        <w:top w:val="none" w:sz="0" w:space="0" w:color="auto"/>
        <w:left w:val="none" w:sz="0" w:space="0" w:color="auto"/>
        <w:bottom w:val="none" w:sz="0" w:space="0" w:color="auto"/>
        <w:right w:val="none" w:sz="0" w:space="0" w:color="auto"/>
      </w:divBdr>
    </w:div>
    <w:div w:id="876509651">
      <w:bodyDiv w:val="1"/>
      <w:marLeft w:val="0"/>
      <w:marRight w:val="0"/>
      <w:marTop w:val="0"/>
      <w:marBottom w:val="0"/>
      <w:divBdr>
        <w:top w:val="none" w:sz="0" w:space="0" w:color="auto"/>
        <w:left w:val="none" w:sz="0" w:space="0" w:color="auto"/>
        <w:bottom w:val="none" w:sz="0" w:space="0" w:color="auto"/>
        <w:right w:val="none" w:sz="0" w:space="0" w:color="auto"/>
      </w:divBdr>
    </w:div>
    <w:div w:id="876545665">
      <w:bodyDiv w:val="1"/>
      <w:marLeft w:val="0"/>
      <w:marRight w:val="0"/>
      <w:marTop w:val="0"/>
      <w:marBottom w:val="0"/>
      <w:divBdr>
        <w:top w:val="none" w:sz="0" w:space="0" w:color="auto"/>
        <w:left w:val="none" w:sz="0" w:space="0" w:color="auto"/>
        <w:bottom w:val="none" w:sz="0" w:space="0" w:color="auto"/>
        <w:right w:val="none" w:sz="0" w:space="0" w:color="auto"/>
      </w:divBdr>
    </w:div>
    <w:div w:id="876703471">
      <w:bodyDiv w:val="1"/>
      <w:marLeft w:val="0"/>
      <w:marRight w:val="0"/>
      <w:marTop w:val="0"/>
      <w:marBottom w:val="0"/>
      <w:divBdr>
        <w:top w:val="none" w:sz="0" w:space="0" w:color="auto"/>
        <w:left w:val="none" w:sz="0" w:space="0" w:color="auto"/>
        <w:bottom w:val="none" w:sz="0" w:space="0" w:color="auto"/>
        <w:right w:val="none" w:sz="0" w:space="0" w:color="auto"/>
      </w:divBdr>
    </w:div>
    <w:div w:id="876937676">
      <w:bodyDiv w:val="1"/>
      <w:marLeft w:val="0"/>
      <w:marRight w:val="0"/>
      <w:marTop w:val="0"/>
      <w:marBottom w:val="0"/>
      <w:divBdr>
        <w:top w:val="none" w:sz="0" w:space="0" w:color="auto"/>
        <w:left w:val="none" w:sz="0" w:space="0" w:color="auto"/>
        <w:bottom w:val="none" w:sz="0" w:space="0" w:color="auto"/>
        <w:right w:val="none" w:sz="0" w:space="0" w:color="auto"/>
      </w:divBdr>
    </w:div>
    <w:div w:id="877204970">
      <w:bodyDiv w:val="1"/>
      <w:marLeft w:val="0"/>
      <w:marRight w:val="0"/>
      <w:marTop w:val="0"/>
      <w:marBottom w:val="0"/>
      <w:divBdr>
        <w:top w:val="none" w:sz="0" w:space="0" w:color="auto"/>
        <w:left w:val="none" w:sz="0" w:space="0" w:color="auto"/>
        <w:bottom w:val="none" w:sz="0" w:space="0" w:color="auto"/>
        <w:right w:val="none" w:sz="0" w:space="0" w:color="auto"/>
      </w:divBdr>
    </w:div>
    <w:div w:id="877278809">
      <w:bodyDiv w:val="1"/>
      <w:marLeft w:val="0"/>
      <w:marRight w:val="0"/>
      <w:marTop w:val="0"/>
      <w:marBottom w:val="0"/>
      <w:divBdr>
        <w:top w:val="none" w:sz="0" w:space="0" w:color="auto"/>
        <w:left w:val="none" w:sz="0" w:space="0" w:color="auto"/>
        <w:bottom w:val="none" w:sz="0" w:space="0" w:color="auto"/>
        <w:right w:val="none" w:sz="0" w:space="0" w:color="auto"/>
      </w:divBdr>
    </w:div>
    <w:div w:id="877281815">
      <w:bodyDiv w:val="1"/>
      <w:marLeft w:val="0"/>
      <w:marRight w:val="0"/>
      <w:marTop w:val="0"/>
      <w:marBottom w:val="0"/>
      <w:divBdr>
        <w:top w:val="none" w:sz="0" w:space="0" w:color="auto"/>
        <w:left w:val="none" w:sz="0" w:space="0" w:color="auto"/>
        <w:bottom w:val="none" w:sz="0" w:space="0" w:color="auto"/>
        <w:right w:val="none" w:sz="0" w:space="0" w:color="auto"/>
      </w:divBdr>
    </w:div>
    <w:div w:id="877283393">
      <w:bodyDiv w:val="1"/>
      <w:marLeft w:val="0"/>
      <w:marRight w:val="0"/>
      <w:marTop w:val="0"/>
      <w:marBottom w:val="0"/>
      <w:divBdr>
        <w:top w:val="none" w:sz="0" w:space="0" w:color="auto"/>
        <w:left w:val="none" w:sz="0" w:space="0" w:color="auto"/>
        <w:bottom w:val="none" w:sz="0" w:space="0" w:color="auto"/>
        <w:right w:val="none" w:sz="0" w:space="0" w:color="auto"/>
      </w:divBdr>
    </w:div>
    <w:div w:id="877354444">
      <w:bodyDiv w:val="1"/>
      <w:marLeft w:val="0"/>
      <w:marRight w:val="0"/>
      <w:marTop w:val="0"/>
      <w:marBottom w:val="0"/>
      <w:divBdr>
        <w:top w:val="none" w:sz="0" w:space="0" w:color="auto"/>
        <w:left w:val="none" w:sz="0" w:space="0" w:color="auto"/>
        <w:bottom w:val="none" w:sz="0" w:space="0" w:color="auto"/>
        <w:right w:val="none" w:sz="0" w:space="0" w:color="auto"/>
      </w:divBdr>
    </w:div>
    <w:div w:id="877477200">
      <w:bodyDiv w:val="1"/>
      <w:marLeft w:val="0"/>
      <w:marRight w:val="0"/>
      <w:marTop w:val="0"/>
      <w:marBottom w:val="0"/>
      <w:divBdr>
        <w:top w:val="none" w:sz="0" w:space="0" w:color="auto"/>
        <w:left w:val="none" w:sz="0" w:space="0" w:color="auto"/>
        <w:bottom w:val="none" w:sz="0" w:space="0" w:color="auto"/>
        <w:right w:val="none" w:sz="0" w:space="0" w:color="auto"/>
      </w:divBdr>
    </w:div>
    <w:div w:id="877620511">
      <w:bodyDiv w:val="1"/>
      <w:marLeft w:val="0"/>
      <w:marRight w:val="0"/>
      <w:marTop w:val="0"/>
      <w:marBottom w:val="0"/>
      <w:divBdr>
        <w:top w:val="none" w:sz="0" w:space="0" w:color="auto"/>
        <w:left w:val="none" w:sz="0" w:space="0" w:color="auto"/>
        <w:bottom w:val="none" w:sz="0" w:space="0" w:color="auto"/>
        <w:right w:val="none" w:sz="0" w:space="0" w:color="auto"/>
      </w:divBdr>
    </w:div>
    <w:div w:id="877737092">
      <w:bodyDiv w:val="1"/>
      <w:marLeft w:val="0"/>
      <w:marRight w:val="0"/>
      <w:marTop w:val="0"/>
      <w:marBottom w:val="0"/>
      <w:divBdr>
        <w:top w:val="none" w:sz="0" w:space="0" w:color="auto"/>
        <w:left w:val="none" w:sz="0" w:space="0" w:color="auto"/>
        <w:bottom w:val="none" w:sz="0" w:space="0" w:color="auto"/>
        <w:right w:val="none" w:sz="0" w:space="0" w:color="auto"/>
      </w:divBdr>
    </w:div>
    <w:div w:id="877745055">
      <w:bodyDiv w:val="1"/>
      <w:marLeft w:val="0"/>
      <w:marRight w:val="0"/>
      <w:marTop w:val="0"/>
      <w:marBottom w:val="0"/>
      <w:divBdr>
        <w:top w:val="none" w:sz="0" w:space="0" w:color="auto"/>
        <w:left w:val="none" w:sz="0" w:space="0" w:color="auto"/>
        <w:bottom w:val="none" w:sz="0" w:space="0" w:color="auto"/>
        <w:right w:val="none" w:sz="0" w:space="0" w:color="auto"/>
      </w:divBdr>
    </w:div>
    <w:div w:id="877936079">
      <w:bodyDiv w:val="1"/>
      <w:marLeft w:val="0"/>
      <w:marRight w:val="0"/>
      <w:marTop w:val="0"/>
      <w:marBottom w:val="0"/>
      <w:divBdr>
        <w:top w:val="none" w:sz="0" w:space="0" w:color="auto"/>
        <w:left w:val="none" w:sz="0" w:space="0" w:color="auto"/>
        <w:bottom w:val="none" w:sz="0" w:space="0" w:color="auto"/>
        <w:right w:val="none" w:sz="0" w:space="0" w:color="auto"/>
      </w:divBdr>
    </w:div>
    <w:div w:id="878082405">
      <w:bodyDiv w:val="1"/>
      <w:marLeft w:val="0"/>
      <w:marRight w:val="0"/>
      <w:marTop w:val="0"/>
      <w:marBottom w:val="0"/>
      <w:divBdr>
        <w:top w:val="none" w:sz="0" w:space="0" w:color="auto"/>
        <w:left w:val="none" w:sz="0" w:space="0" w:color="auto"/>
        <w:bottom w:val="none" w:sz="0" w:space="0" w:color="auto"/>
        <w:right w:val="none" w:sz="0" w:space="0" w:color="auto"/>
      </w:divBdr>
    </w:div>
    <w:div w:id="878083514">
      <w:bodyDiv w:val="1"/>
      <w:marLeft w:val="0"/>
      <w:marRight w:val="0"/>
      <w:marTop w:val="0"/>
      <w:marBottom w:val="0"/>
      <w:divBdr>
        <w:top w:val="none" w:sz="0" w:space="0" w:color="auto"/>
        <w:left w:val="none" w:sz="0" w:space="0" w:color="auto"/>
        <w:bottom w:val="none" w:sz="0" w:space="0" w:color="auto"/>
        <w:right w:val="none" w:sz="0" w:space="0" w:color="auto"/>
      </w:divBdr>
    </w:div>
    <w:div w:id="878126718">
      <w:bodyDiv w:val="1"/>
      <w:marLeft w:val="0"/>
      <w:marRight w:val="0"/>
      <w:marTop w:val="0"/>
      <w:marBottom w:val="0"/>
      <w:divBdr>
        <w:top w:val="none" w:sz="0" w:space="0" w:color="auto"/>
        <w:left w:val="none" w:sz="0" w:space="0" w:color="auto"/>
        <w:bottom w:val="none" w:sz="0" w:space="0" w:color="auto"/>
        <w:right w:val="none" w:sz="0" w:space="0" w:color="auto"/>
      </w:divBdr>
    </w:div>
    <w:div w:id="878132915">
      <w:bodyDiv w:val="1"/>
      <w:marLeft w:val="0"/>
      <w:marRight w:val="0"/>
      <w:marTop w:val="0"/>
      <w:marBottom w:val="0"/>
      <w:divBdr>
        <w:top w:val="none" w:sz="0" w:space="0" w:color="auto"/>
        <w:left w:val="none" w:sz="0" w:space="0" w:color="auto"/>
        <w:bottom w:val="none" w:sz="0" w:space="0" w:color="auto"/>
        <w:right w:val="none" w:sz="0" w:space="0" w:color="auto"/>
      </w:divBdr>
    </w:div>
    <w:div w:id="878206717">
      <w:bodyDiv w:val="1"/>
      <w:marLeft w:val="0"/>
      <w:marRight w:val="0"/>
      <w:marTop w:val="0"/>
      <w:marBottom w:val="0"/>
      <w:divBdr>
        <w:top w:val="none" w:sz="0" w:space="0" w:color="auto"/>
        <w:left w:val="none" w:sz="0" w:space="0" w:color="auto"/>
        <w:bottom w:val="none" w:sz="0" w:space="0" w:color="auto"/>
        <w:right w:val="none" w:sz="0" w:space="0" w:color="auto"/>
      </w:divBdr>
    </w:div>
    <w:div w:id="878275860">
      <w:bodyDiv w:val="1"/>
      <w:marLeft w:val="0"/>
      <w:marRight w:val="0"/>
      <w:marTop w:val="0"/>
      <w:marBottom w:val="0"/>
      <w:divBdr>
        <w:top w:val="none" w:sz="0" w:space="0" w:color="auto"/>
        <w:left w:val="none" w:sz="0" w:space="0" w:color="auto"/>
        <w:bottom w:val="none" w:sz="0" w:space="0" w:color="auto"/>
        <w:right w:val="none" w:sz="0" w:space="0" w:color="auto"/>
      </w:divBdr>
    </w:div>
    <w:div w:id="878316756">
      <w:bodyDiv w:val="1"/>
      <w:marLeft w:val="0"/>
      <w:marRight w:val="0"/>
      <w:marTop w:val="0"/>
      <w:marBottom w:val="0"/>
      <w:divBdr>
        <w:top w:val="none" w:sz="0" w:space="0" w:color="auto"/>
        <w:left w:val="none" w:sz="0" w:space="0" w:color="auto"/>
        <w:bottom w:val="none" w:sz="0" w:space="0" w:color="auto"/>
        <w:right w:val="none" w:sz="0" w:space="0" w:color="auto"/>
      </w:divBdr>
    </w:div>
    <w:div w:id="878400363">
      <w:bodyDiv w:val="1"/>
      <w:marLeft w:val="0"/>
      <w:marRight w:val="0"/>
      <w:marTop w:val="0"/>
      <w:marBottom w:val="0"/>
      <w:divBdr>
        <w:top w:val="none" w:sz="0" w:space="0" w:color="auto"/>
        <w:left w:val="none" w:sz="0" w:space="0" w:color="auto"/>
        <w:bottom w:val="none" w:sz="0" w:space="0" w:color="auto"/>
        <w:right w:val="none" w:sz="0" w:space="0" w:color="auto"/>
      </w:divBdr>
    </w:div>
    <w:div w:id="878514276">
      <w:bodyDiv w:val="1"/>
      <w:marLeft w:val="0"/>
      <w:marRight w:val="0"/>
      <w:marTop w:val="0"/>
      <w:marBottom w:val="0"/>
      <w:divBdr>
        <w:top w:val="none" w:sz="0" w:space="0" w:color="auto"/>
        <w:left w:val="none" w:sz="0" w:space="0" w:color="auto"/>
        <w:bottom w:val="none" w:sz="0" w:space="0" w:color="auto"/>
        <w:right w:val="none" w:sz="0" w:space="0" w:color="auto"/>
      </w:divBdr>
    </w:div>
    <w:div w:id="878517420">
      <w:bodyDiv w:val="1"/>
      <w:marLeft w:val="0"/>
      <w:marRight w:val="0"/>
      <w:marTop w:val="0"/>
      <w:marBottom w:val="0"/>
      <w:divBdr>
        <w:top w:val="none" w:sz="0" w:space="0" w:color="auto"/>
        <w:left w:val="none" w:sz="0" w:space="0" w:color="auto"/>
        <w:bottom w:val="none" w:sz="0" w:space="0" w:color="auto"/>
        <w:right w:val="none" w:sz="0" w:space="0" w:color="auto"/>
      </w:divBdr>
    </w:div>
    <w:div w:id="878588138">
      <w:bodyDiv w:val="1"/>
      <w:marLeft w:val="0"/>
      <w:marRight w:val="0"/>
      <w:marTop w:val="0"/>
      <w:marBottom w:val="0"/>
      <w:divBdr>
        <w:top w:val="none" w:sz="0" w:space="0" w:color="auto"/>
        <w:left w:val="none" w:sz="0" w:space="0" w:color="auto"/>
        <w:bottom w:val="none" w:sz="0" w:space="0" w:color="auto"/>
        <w:right w:val="none" w:sz="0" w:space="0" w:color="auto"/>
      </w:divBdr>
    </w:div>
    <w:div w:id="878858604">
      <w:bodyDiv w:val="1"/>
      <w:marLeft w:val="0"/>
      <w:marRight w:val="0"/>
      <w:marTop w:val="0"/>
      <w:marBottom w:val="0"/>
      <w:divBdr>
        <w:top w:val="none" w:sz="0" w:space="0" w:color="auto"/>
        <w:left w:val="none" w:sz="0" w:space="0" w:color="auto"/>
        <w:bottom w:val="none" w:sz="0" w:space="0" w:color="auto"/>
        <w:right w:val="none" w:sz="0" w:space="0" w:color="auto"/>
      </w:divBdr>
    </w:div>
    <w:div w:id="878860296">
      <w:bodyDiv w:val="1"/>
      <w:marLeft w:val="0"/>
      <w:marRight w:val="0"/>
      <w:marTop w:val="0"/>
      <w:marBottom w:val="0"/>
      <w:divBdr>
        <w:top w:val="none" w:sz="0" w:space="0" w:color="auto"/>
        <w:left w:val="none" w:sz="0" w:space="0" w:color="auto"/>
        <w:bottom w:val="none" w:sz="0" w:space="0" w:color="auto"/>
        <w:right w:val="none" w:sz="0" w:space="0" w:color="auto"/>
      </w:divBdr>
    </w:div>
    <w:div w:id="878929630">
      <w:bodyDiv w:val="1"/>
      <w:marLeft w:val="0"/>
      <w:marRight w:val="0"/>
      <w:marTop w:val="0"/>
      <w:marBottom w:val="0"/>
      <w:divBdr>
        <w:top w:val="none" w:sz="0" w:space="0" w:color="auto"/>
        <w:left w:val="none" w:sz="0" w:space="0" w:color="auto"/>
        <w:bottom w:val="none" w:sz="0" w:space="0" w:color="auto"/>
        <w:right w:val="none" w:sz="0" w:space="0" w:color="auto"/>
      </w:divBdr>
    </w:div>
    <w:div w:id="878931685">
      <w:bodyDiv w:val="1"/>
      <w:marLeft w:val="0"/>
      <w:marRight w:val="0"/>
      <w:marTop w:val="0"/>
      <w:marBottom w:val="0"/>
      <w:divBdr>
        <w:top w:val="none" w:sz="0" w:space="0" w:color="auto"/>
        <w:left w:val="none" w:sz="0" w:space="0" w:color="auto"/>
        <w:bottom w:val="none" w:sz="0" w:space="0" w:color="auto"/>
        <w:right w:val="none" w:sz="0" w:space="0" w:color="auto"/>
      </w:divBdr>
    </w:div>
    <w:div w:id="878979930">
      <w:bodyDiv w:val="1"/>
      <w:marLeft w:val="0"/>
      <w:marRight w:val="0"/>
      <w:marTop w:val="0"/>
      <w:marBottom w:val="0"/>
      <w:divBdr>
        <w:top w:val="none" w:sz="0" w:space="0" w:color="auto"/>
        <w:left w:val="none" w:sz="0" w:space="0" w:color="auto"/>
        <w:bottom w:val="none" w:sz="0" w:space="0" w:color="auto"/>
        <w:right w:val="none" w:sz="0" w:space="0" w:color="auto"/>
      </w:divBdr>
    </w:div>
    <w:div w:id="879051858">
      <w:bodyDiv w:val="1"/>
      <w:marLeft w:val="0"/>
      <w:marRight w:val="0"/>
      <w:marTop w:val="0"/>
      <w:marBottom w:val="0"/>
      <w:divBdr>
        <w:top w:val="none" w:sz="0" w:space="0" w:color="auto"/>
        <w:left w:val="none" w:sz="0" w:space="0" w:color="auto"/>
        <w:bottom w:val="none" w:sz="0" w:space="0" w:color="auto"/>
        <w:right w:val="none" w:sz="0" w:space="0" w:color="auto"/>
      </w:divBdr>
    </w:div>
    <w:div w:id="879323259">
      <w:bodyDiv w:val="1"/>
      <w:marLeft w:val="0"/>
      <w:marRight w:val="0"/>
      <w:marTop w:val="0"/>
      <w:marBottom w:val="0"/>
      <w:divBdr>
        <w:top w:val="none" w:sz="0" w:space="0" w:color="auto"/>
        <w:left w:val="none" w:sz="0" w:space="0" w:color="auto"/>
        <w:bottom w:val="none" w:sz="0" w:space="0" w:color="auto"/>
        <w:right w:val="none" w:sz="0" w:space="0" w:color="auto"/>
      </w:divBdr>
    </w:div>
    <w:div w:id="879362096">
      <w:bodyDiv w:val="1"/>
      <w:marLeft w:val="0"/>
      <w:marRight w:val="0"/>
      <w:marTop w:val="0"/>
      <w:marBottom w:val="0"/>
      <w:divBdr>
        <w:top w:val="none" w:sz="0" w:space="0" w:color="auto"/>
        <w:left w:val="none" w:sz="0" w:space="0" w:color="auto"/>
        <w:bottom w:val="none" w:sz="0" w:space="0" w:color="auto"/>
        <w:right w:val="none" w:sz="0" w:space="0" w:color="auto"/>
      </w:divBdr>
    </w:div>
    <w:div w:id="879365593">
      <w:bodyDiv w:val="1"/>
      <w:marLeft w:val="0"/>
      <w:marRight w:val="0"/>
      <w:marTop w:val="0"/>
      <w:marBottom w:val="0"/>
      <w:divBdr>
        <w:top w:val="none" w:sz="0" w:space="0" w:color="auto"/>
        <w:left w:val="none" w:sz="0" w:space="0" w:color="auto"/>
        <w:bottom w:val="none" w:sz="0" w:space="0" w:color="auto"/>
        <w:right w:val="none" w:sz="0" w:space="0" w:color="auto"/>
      </w:divBdr>
    </w:div>
    <w:div w:id="879438216">
      <w:bodyDiv w:val="1"/>
      <w:marLeft w:val="0"/>
      <w:marRight w:val="0"/>
      <w:marTop w:val="0"/>
      <w:marBottom w:val="0"/>
      <w:divBdr>
        <w:top w:val="none" w:sz="0" w:space="0" w:color="auto"/>
        <w:left w:val="none" w:sz="0" w:space="0" w:color="auto"/>
        <w:bottom w:val="none" w:sz="0" w:space="0" w:color="auto"/>
        <w:right w:val="none" w:sz="0" w:space="0" w:color="auto"/>
      </w:divBdr>
    </w:div>
    <w:div w:id="879513874">
      <w:bodyDiv w:val="1"/>
      <w:marLeft w:val="0"/>
      <w:marRight w:val="0"/>
      <w:marTop w:val="0"/>
      <w:marBottom w:val="0"/>
      <w:divBdr>
        <w:top w:val="none" w:sz="0" w:space="0" w:color="auto"/>
        <w:left w:val="none" w:sz="0" w:space="0" w:color="auto"/>
        <w:bottom w:val="none" w:sz="0" w:space="0" w:color="auto"/>
        <w:right w:val="none" w:sz="0" w:space="0" w:color="auto"/>
      </w:divBdr>
    </w:div>
    <w:div w:id="879558856">
      <w:bodyDiv w:val="1"/>
      <w:marLeft w:val="0"/>
      <w:marRight w:val="0"/>
      <w:marTop w:val="0"/>
      <w:marBottom w:val="0"/>
      <w:divBdr>
        <w:top w:val="none" w:sz="0" w:space="0" w:color="auto"/>
        <w:left w:val="none" w:sz="0" w:space="0" w:color="auto"/>
        <w:bottom w:val="none" w:sz="0" w:space="0" w:color="auto"/>
        <w:right w:val="none" w:sz="0" w:space="0" w:color="auto"/>
      </w:divBdr>
    </w:div>
    <w:div w:id="879703641">
      <w:bodyDiv w:val="1"/>
      <w:marLeft w:val="0"/>
      <w:marRight w:val="0"/>
      <w:marTop w:val="0"/>
      <w:marBottom w:val="0"/>
      <w:divBdr>
        <w:top w:val="none" w:sz="0" w:space="0" w:color="auto"/>
        <w:left w:val="none" w:sz="0" w:space="0" w:color="auto"/>
        <w:bottom w:val="none" w:sz="0" w:space="0" w:color="auto"/>
        <w:right w:val="none" w:sz="0" w:space="0" w:color="auto"/>
      </w:divBdr>
    </w:div>
    <w:div w:id="879781205">
      <w:bodyDiv w:val="1"/>
      <w:marLeft w:val="0"/>
      <w:marRight w:val="0"/>
      <w:marTop w:val="0"/>
      <w:marBottom w:val="0"/>
      <w:divBdr>
        <w:top w:val="none" w:sz="0" w:space="0" w:color="auto"/>
        <w:left w:val="none" w:sz="0" w:space="0" w:color="auto"/>
        <w:bottom w:val="none" w:sz="0" w:space="0" w:color="auto"/>
        <w:right w:val="none" w:sz="0" w:space="0" w:color="auto"/>
      </w:divBdr>
    </w:div>
    <w:div w:id="879903281">
      <w:bodyDiv w:val="1"/>
      <w:marLeft w:val="0"/>
      <w:marRight w:val="0"/>
      <w:marTop w:val="0"/>
      <w:marBottom w:val="0"/>
      <w:divBdr>
        <w:top w:val="none" w:sz="0" w:space="0" w:color="auto"/>
        <w:left w:val="none" w:sz="0" w:space="0" w:color="auto"/>
        <w:bottom w:val="none" w:sz="0" w:space="0" w:color="auto"/>
        <w:right w:val="none" w:sz="0" w:space="0" w:color="auto"/>
      </w:divBdr>
    </w:div>
    <w:div w:id="880020674">
      <w:bodyDiv w:val="1"/>
      <w:marLeft w:val="0"/>
      <w:marRight w:val="0"/>
      <w:marTop w:val="0"/>
      <w:marBottom w:val="0"/>
      <w:divBdr>
        <w:top w:val="none" w:sz="0" w:space="0" w:color="auto"/>
        <w:left w:val="none" w:sz="0" w:space="0" w:color="auto"/>
        <w:bottom w:val="none" w:sz="0" w:space="0" w:color="auto"/>
        <w:right w:val="none" w:sz="0" w:space="0" w:color="auto"/>
      </w:divBdr>
    </w:div>
    <w:div w:id="880021499">
      <w:bodyDiv w:val="1"/>
      <w:marLeft w:val="0"/>
      <w:marRight w:val="0"/>
      <w:marTop w:val="0"/>
      <w:marBottom w:val="0"/>
      <w:divBdr>
        <w:top w:val="none" w:sz="0" w:space="0" w:color="auto"/>
        <w:left w:val="none" w:sz="0" w:space="0" w:color="auto"/>
        <w:bottom w:val="none" w:sz="0" w:space="0" w:color="auto"/>
        <w:right w:val="none" w:sz="0" w:space="0" w:color="auto"/>
      </w:divBdr>
    </w:div>
    <w:div w:id="880049938">
      <w:bodyDiv w:val="1"/>
      <w:marLeft w:val="0"/>
      <w:marRight w:val="0"/>
      <w:marTop w:val="0"/>
      <w:marBottom w:val="0"/>
      <w:divBdr>
        <w:top w:val="none" w:sz="0" w:space="0" w:color="auto"/>
        <w:left w:val="none" w:sz="0" w:space="0" w:color="auto"/>
        <w:bottom w:val="none" w:sz="0" w:space="0" w:color="auto"/>
        <w:right w:val="none" w:sz="0" w:space="0" w:color="auto"/>
      </w:divBdr>
    </w:div>
    <w:div w:id="880164454">
      <w:bodyDiv w:val="1"/>
      <w:marLeft w:val="0"/>
      <w:marRight w:val="0"/>
      <w:marTop w:val="0"/>
      <w:marBottom w:val="0"/>
      <w:divBdr>
        <w:top w:val="none" w:sz="0" w:space="0" w:color="auto"/>
        <w:left w:val="none" w:sz="0" w:space="0" w:color="auto"/>
        <w:bottom w:val="none" w:sz="0" w:space="0" w:color="auto"/>
        <w:right w:val="none" w:sz="0" w:space="0" w:color="auto"/>
      </w:divBdr>
    </w:div>
    <w:div w:id="880285227">
      <w:bodyDiv w:val="1"/>
      <w:marLeft w:val="0"/>
      <w:marRight w:val="0"/>
      <w:marTop w:val="0"/>
      <w:marBottom w:val="0"/>
      <w:divBdr>
        <w:top w:val="none" w:sz="0" w:space="0" w:color="auto"/>
        <w:left w:val="none" w:sz="0" w:space="0" w:color="auto"/>
        <w:bottom w:val="none" w:sz="0" w:space="0" w:color="auto"/>
        <w:right w:val="none" w:sz="0" w:space="0" w:color="auto"/>
      </w:divBdr>
    </w:div>
    <w:div w:id="880357837">
      <w:bodyDiv w:val="1"/>
      <w:marLeft w:val="0"/>
      <w:marRight w:val="0"/>
      <w:marTop w:val="0"/>
      <w:marBottom w:val="0"/>
      <w:divBdr>
        <w:top w:val="none" w:sz="0" w:space="0" w:color="auto"/>
        <w:left w:val="none" w:sz="0" w:space="0" w:color="auto"/>
        <w:bottom w:val="none" w:sz="0" w:space="0" w:color="auto"/>
        <w:right w:val="none" w:sz="0" w:space="0" w:color="auto"/>
      </w:divBdr>
    </w:div>
    <w:div w:id="880366578">
      <w:bodyDiv w:val="1"/>
      <w:marLeft w:val="0"/>
      <w:marRight w:val="0"/>
      <w:marTop w:val="0"/>
      <w:marBottom w:val="0"/>
      <w:divBdr>
        <w:top w:val="none" w:sz="0" w:space="0" w:color="auto"/>
        <w:left w:val="none" w:sz="0" w:space="0" w:color="auto"/>
        <w:bottom w:val="none" w:sz="0" w:space="0" w:color="auto"/>
        <w:right w:val="none" w:sz="0" w:space="0" w:color="auto"/>
      </w:divBdr>
    </w:div>
    <w:div w:id="880440221">
      <w:bodyDiv w:val="1"/>
      <w:marLeft w:val="0"/>
      <w:marRight w:val="0"/>
      <w:marTop w:val="0"/>
      <w:marBottom w:val="0"/>
      <w:divBdr>
        <w:top w:val="none" w:sz="0" w:space="0" w:color="auto"/>
        <w:left w:val="none" w:sz="0" w:space="0" w:color="auto"/>
        <w:bottom w:val="none" w:sz="0" w:space="0" w:color="auto"/>
        <w:right w:val="none" w:sz="0" w:space="0" w:color="auto"/>
      </w:divBdr>
    </w:div>
    <w:div w:id="880635699">
      <w:bodyDiv w:val="1"/>
      <w:marLeft w:val="0"/>
      <w:marRight w:val="0"/>
      <w:marTop w:val="0"/>
      <w:marBottom w:val="0"/>
      <w:divBdr>
        <w:top w:val="none" w:sz="0" w:space="0" w:color="auto"/>
        <w:left w:val="none" w:sz="0" w:space="0" w:color="auto"/>
        <w:bottom w:val="none" w:sz="0" w:space="0" w:color="auto"/>
        <w:right w:val="none" w:sz="0" w:space="0" w:color="auto"/>
      </w:divBdr>
    </w:div>
    <w:div w:id="880674419">
      <w:bodyDiv w:val="1"/>
      <w:marLeft w:val="0"/>
      <w:marRight w:val="0"/>
      <w:marTop w:val="0"/>
      <w:marBottom w:val="0"/>
      <w:divBdr>
        <w:top w:val="none" w:sz="0" w:space="0" w:color="auto"/>
        <w:left w:val="none" w:sz="0" w:space="0" w:color="auto"/>
        <w:bottom w:val="none" w:sz="0" w:space="0" w:color="auto"/>
        <w:right w:val="none" w:sz="0" w:space="0" w:color="auto"/>
      </w:divBdr>
    </w:div>
    <w:div w:id="880748568">
      <w:bodyDiv w:val="1"/>
      <w:marLeft w:val="0"/>
      <w:marRight w:val="0"/>
      <w:marTop w:val="0"/>
      <w:marBottom w:val="0"/>
      <w:divBdr>
        <w:top w:val="none" w:sz="0" w:space="0" w:color="auto"/>
        <w:left w:val="none" w:sz="0" w:space="0" w:color="auto"/>
        <w:bottom w:val="none" w:sz="0" w:space="0" w:color="auto"/>
        <w:right w:val="none" w:sz="0" w:space="0" w:color="auto"/>
      </w:divBdr>
    </w:div>
    <w:div w:id="880751119">
      <w:bodyDiv w:val="1"/>
      <w:marLeft w:val="0"/>
      <w:marRight w:val="0"/>
      <w:marTop w:val="0"/>
      <w:marBottom w:val="0"/>
      <w:divBdr>
        <w:top w:val="none" w:sz="0" w:space="0" w:color="auto"/>
        <w:left w:val="none" w:sz="0" w:space="0" w:color="auto"/>
        <w:bottom w:val="none" w:sz="0" w:space="0" w:color="auto"/>
        <w:right w:val="none" w:sz="0" w:space="0" w:color="auto"/>
      </w:divBdr>
    </w:div>
    <w:div w:id="880899251">
      <w:bodyDiv w:val="1"/>
      <w:marLeft w:val="0"/>
      <w:marRight w:val="0"/>
      <w:marTop w:val="0"/>
      <w:marBottom w:val="0"/>
      <w:divBdr>
        <w:top w:val="none" w:sz="0" w:space="0" w:color="auto"/>
        <w:left w:val="none" w:sz="0" w:space="0" w:color="auto"/>
        <w:bottom w:val="none" w:sz="0" w:space="0" w:color="auto"/>
        <w:right w:val="none" w:sz="0" w:space="0" w:color="auto"/>
      </w:divBdr>
    </w:div>
    <w:div w:id="880945705">
      <w:bodyDiv w:val="1"/>
      <w:marLeft w:val="0"/>
      <w:marRight w:val="0"/>
      <w:marTop w:val="0"/>
      <w:marBottom w:val="0"/>
      <w:divBdr>
        <w:top w:val="none" w:sz="0" w:space="0" w:color="auto"/>
        <w:left w:val="none" w:sz="0" w:space="0" w:color="auto"/>
        <w:bottom w:val="none" w:sz="0" w:space="0" w:color="auto"/>
        <w:right w:val="none" w:sz="0" w:space="0" w:color="auto"/>
      </w:divBdr>
    </w:div>
    <w:div w:id="881088733">
      <w:bodyDiv w:val="1"/>
      <w:marLeft w:val="0"/>
      <w:marRight w:val="0"/>
      <w:marTop w:val="0"/>
      <w:marBottom w:val="0"/>
      <w:divBdr>
        <w:top w:val="none" w:sz="0" w:space="0" w:color="auto"/>
        <w:left w:val="none" w:sz="0" w:space="0" w:color="auto"/>
        <w:bottom w:val="none" w:sz="0" w:space="0" w:color="auto"/>
        <w:right w:val="none" w:sz="0" w:space="0" w:color="auto"/>
      </w:divBdr>
    </w:div>
    <w:div w:id="881090372">
      <w:bodyDiv w:val="1"/>
      <w:marLeft w:val="0"/>
      <w:marRight w:val="0"/>
      <w:marTop w:val="0"/>
      <w:marBottom w:val="0"/>
      <w:divBdr>
        <w:top w:val="none" w:sz="0" w:space="0" w:color="auto"/>
        <w:left w:val="none" w:sz="0" w:space="0" w:color="auto"/>
        <w:bottom w:val="none" w:sz="0" w:space="0" w:color="auto"/>
        <w:right w:val="none" w:sz="0" w:space="0" w:color="auto"/>
      </w:divBdr>
    </w:div>
    <w:div w:id="881282738">
      <w:bodyDiv w:val="1"/>
      <w:marLeft w:val="0"/>
      <w:marRight w:val="0"/>
      <w:marTop w:val="0"/>
      <w:marBottom w:val="0"/>
      <w:divBdr>
        <w:top w:val="none" w:sz="0" w:space="0" w:color="auto"/>
        <w:left w:val="none" w:sz="0" w:space="0" w:color="auto"/>
        <w:bottom w:val="none" w:sz="0" w:space="0" w:color="auto"/>
        <w:right w:val="none" w:sz="0" w:space="0" w:color="auto"/>
      </w:divBdr>
    </w:div>
    <w:div w:id="881359274">
      <w:bodyDiv w:val="1"/>
      <w:marLeft w:val="0"/>
      <w:marRight w:val="0"/>
      <w:marTop w:val="0"/>
      <w:marBottom w:val="0"/>
      <w:divBdr>
        <w:top w:val="none" w:sz="0" w:space="0" w:color="auto"/>
        <w:left w:val="none" w:sz="0" w:space="0" w:color="auto"/>
        <w:bottom w:val="none" w:sz="0" w:space="0" w:color="auto"/>
        <w:right w:val="none" w:sz="0" w:space="0" w:color="auto"/>
      </w:divBdr>
    </w:div>
    <w:div w:id="881399891">
      <w:bodyDiv w:val="1"/>
      <w:marLeft w:val="0"/>
      <w:marRight w:val="0"/>
      <w:marTop w:val="0"/>
      <w:marBottom w:val="0"/>
      <w:divBdr>
        <w:top w:val="none" w:sz="0" w:space="0" w:color="auto"/>
        <w:left w:val="none" w:sz="0" w:space="0" w:color="auto"/>
        <w:bottom w:val="none" w:sz="0" w:space="0" w:color="auto"/>
        <w:right w:val="none" w:sz="0" w:space="0" w:color="auto"/>
      </w:divBdr>
    </w:div>
    <w:div w:id="881408643">
      <w:bodyDiv w:val="1"/>
      <w:marLeft w:val="0"/>
      <w:marRight w:val="0"/>
      <w:marTop w:val="0"/>
      <w:marBottom w:val="0"/>
      <w:divBdr>
        <w:top w:val="none" w:sz="0" w:space="0" w:color="auto"/>
        <w:left w:val="none" w:sz="0" w:space="0" w:color="auto"/>
        <w:bottom w:val="none" w:sz="0" w:space="0" w:color="auto"/>
        <w:right w:val="none" w:sz="0" w:space="0" w:color="auto"/>
      </w:divBdr>
    </w:div>
    <w:div w:id="881747853">
      <w:bodyDiv w:val="1"/>
      <w:marLeft w:val="0"/>
      <w:marRight w:val="0"/>
      <w:marTop w:val="0"/>
      <w:marBottom w:val="0"/>
      <w:divBdr>
        <w:top w:val="none" w:sz="0" w:space="0" w:color="auto"/>
        <w:left w:val="none" w:sz="0" w:space="0" w:color="auto"/>
        <w:bottom w:val="none" w:sz="0" w:space="0" w:color="auto"/>
        <w:right w:val="none" w:sz="0" w:space="0" w:color="auto"/>
      </w:divBdr>
    </w:div>
    <w:div w:id="881748925">
      <w:bodyDiv w:val="1"/>
      <w:marLeft w:val="0"/>
      <w:marRight w:val="0"/>
      <w:marTop w:val="0"/>
      <w:marBottom w:val="0"/>
      <w:divBdr>
        <w:top w:val="none" w:sz="0" w:space="0" w:color="auto"/>
        <w:left w:val="none" w:sz="0" w:space="0" w:color="auto"/>
        <w:bottom w:val="none" w:sz="0" w:space="0" w:color="auto"/>
        <w:right w:val="none" w:sz="0" w:space="0" w:color="auto"/>
      </w:divBdr>
    </w:div>
    <w:div w:id="881941881">
      <w:bodyDiv w:val="1"/>
      <w:marLeft w:val="0"/>
      <w:marRight w:val="0"/>
      <w:marTop w:val="0"/>
      <w:marBottom w:val="0"/>
      <w:divBdr>
        <w:top w:val="none" w:sz="0" w:space="0" w:color="auto"/>
        <w:left w:val="none" w:sz="0" w:space="0" w:color="auto"/>
        <w:bottom w:val="none" w:sz="0" w:space="0" w:color="auto"/>
        <w:right w:val="none" w:sz="0" w:space="0" w:color="auto"/>
      </w:divBdr>
    </w:div>
    <w:div w:id="881943367">
      <w:bodyDiv w:val="1"/>
      <w:marLeft w:val="0"/>
      <w:marRight w:val="0"/>
      <w:marTop w:val="0"/>
      <w:marBottom w:val="0"/>
      <w:divBdr>
        <w:top w:val="none" w:sz="0" w:space="0" w:color="auto"/>
        <w:left w:val="none" w:sz="0" w:space="0" w:color="auto"/>
        <w:bottom w:val="none" w:sz="0" w:space="0" w:color="auto"/>
        <w:right w:val="none" w:sz="0" w:space="0" w:color="auto"/>
      </w:divBdr>
    </w:div>
    <w:div w:id="881986586">
      <w:bodyDiv w:val="1"/>
      <w:marLeft w:val="0"/>
      <w:marRight w:val="0"/>
      <w:marTop w:val="0"/>
      <w:marBottom w:val="0"/>
      <w:divBdr>
        <w:top w:val="none" w:sz="0" w:space="0" w:color="auto"/>
        <w:left w:val="none" w:sz="0" w:space="0" w:color="auto"/>
        <w:bottom w:val="none" w:sz="0" w:space="0" w:color="auto"/>
        <w:right w:val="none" w:sz="0" w:space="0" w:color="auto"/>
      </w:divBdr>
    </w:div>
    <w:div w:id="881989001">
      <w:bodyDiv w:val="1"/>
      <w:marLeft w:val="0"/>
      <w:marRight w:val="0"/>
      <w:marTop w:val="0"/>
      <w:marBottom w:val="0"/>
      <w:divBdr>
        <w:top w:val="none" w:sz="0" w:space="0" w:color="auto"/>
        <w:left w:val="none" w:sz="0" w:space="0" w:color="auto"/>
        <w:bottom w:val="none" w:sz="0" w:space="0" w:color="auto"/>
        <w:right w:val="none" w:sz="0" w:space="0" w:color="auto"/>
      </w:divBdr>
    </w:div>
    <w:div w:id="882209387">
      <w:bodyDiv w:val="1"/>
      <w:marLeft w:val="0"/>
      <w:marRight w:val="0"/>
      <w:marTop w:val="0"/>
      <w:marBottom w:val="0"/>
      <w:divBdr>
        <w:top w:val="none" w:sz="0" w:space="0" w:color="auto"/>
        <w:left w:val="none" w:sz="0" w:space="0" w:color="auto"/>
        <w:bottom w:val="none" w:sz="0" w:space="0" w:color="auto"/>
        <w:right w:val="none" w:sz="0" w:space="0" w:color="auto"/>
      </w:divBdr>
    </w:div>
    <w:div w:id="882210247">
      <w:bodyDiv w:val="1"/>
      <w:marLeft w:val="0"/>
      <w:marRight w:val="0"/>
      <w:marTop w:val="0"/>
      <w:marBottom w:val="0"/>
      <w:divBdr>
        <w:top w:val="none" w:sz="0" w:space="0" w:color="auto"/>
        <w:left w:val="none" w:sz="0" w:space="0" w:color="auto"/>
        <w:bottom w:val="none" w:sz="0" w:space="0" w:color="auto"/>
        <w:right w:val="none" w:sz="0" w:space="0" w:color="auto"/>
      </w:divBdr>
    </w:div>
    <w:div w:id="882249076">
      <w:bodyDiv w:val="1"/>
      <w:marLeft w:val="0"/>
      <w:marRight w:val="0"/>
      <w:marTop w:val="0"/>
      <w:marBottom w:val="0"/>
      <w:divBdr>
        <w:top w:val="none" w:sz="0" w:space="0" w:color="auto"/>
        <w:left w:val="none" w:sz="0" w:space="0" w:color="auto"/>
        <w:bottom w:val="none" w:sz="0" w:space="0" w:color="auto"/>
        <w:right w:val="none" w:sz="0" w:space="0" w:color="auto"/>
      </w:divBdr>
    </w:div>
    <w:div w:id="882249923">
      <w:bodyDiv w:val="1"/>
      <w:marLeft w:val="0"/>
      <w:marRight w:val="0"/>
      <w:marTop w:val="0"/>
      <w:marBottom w:val="0"/>
      <w:divBdr>
        <w:top w:val="none" w:sz="0" w:space="0" w:color="auto"/>
        <w:left w:val="none" w:sz="0" w:space="0" w:color="auto"/>
        <w:bottom w:val="none" w:sz="0" w:space="0" w:color="auto"/>
        <w:right w:val="none" w:sz="0" w:space="0" w:color="auto"/>
      </w:divBdr>
    </w:div>
    <w:div w:id="882252885">
      <w:bodyDiv w:val="1"/>
      <w:marLeft w:val="0"/>
      <w:marRight w:val="0"/>
      <w:marTop w:val="0"/>
      <w:marBottom w:val="0"/>
      <w:divBdr>
        <w:top w:val="none" w:sz="0" w:space="0" w:color="auto"/>
        <w:left w:val="none" w:sz="0" w:space="0" w:color="auto"/>
        <w:bottom w:val="none" w:sz="0" w:space="0" w:color="auto"/>
        <w:right w:val="none" w:sz="0" w:space="0" w:color="auto"/>
      </w:divBdr>
    </w:div>
    <w:div w:id="882332290">
      <w:bodyDiv w:val="1"/>
      <w:marLeft w:val="0"/>
      <w:marRight w:val="0"/>
      <w:marTop w:val="0"/>
      <w:marBottom w:val="0"/>
      <w:divBdr>
        <w:top w:val="none" w:sz="0" w:space="0" w:color="auto"/>
        <w:left w:val="none" w:sz="0" w:space="0" w:color="auto"/>
        <w:bottom w:val="none" w:sz="0" w:space="0" w:color="auto"/>
        <w:right w:val="none" w:sz="0" w:space="0" w:color="auto"/>
      </w:divBdr>
    </w:div>
    <w:div w:id="882401029">
      <w:bodyDiv w:val="1"/>
      <w:marLeft w:val="0"/>
      <w:marRight w:val="0"/>
      <w:marTop w:val="0"/>
      <w:marBottom w:val="0"/>
      <w:divBdr>
        <w:top w:val="none" w:sz="0" w:space="0" w:color="auto"/>
        <w:left w:val="none" w:sz="0" w:space="0" w:color="auto"/>
        <w:bottom w:val="none" w:sz="0" w:space="0" w:color="auto"/>
        <w:right w:val="none" w:sz="0" w:space="0" w:color="auto"/>
      </w:divBdr>
    </w:div>
    <w:div w:id="882445317">
      <w:bodyDiv w:val="1"/>
      <w:marLeft w:val="0"/>
      <w:marRight w:val="0"/>
      <w:marTop w:val="0"/>
      <w:marBottom w:val="0"/>
      <w:divBdr>
        <w:top w:val="none" w:sz="0" w:space="0" w:color="auto"/>
        <w:left w:val="none" w:sz="0" w:space="0" w:color="auto"/>
        <w:bottom w:val="none" w:sz="0" w:space="0" w:color="auto"/>
        <w:right w:val="none" w:sz="0" w:space="0" w:color="auto"/>
      </w:divBdr>
    </w:div>
    <w:div w:id="882446629">
      <w:bodyDiv w:val="1"/>
      <w:marLeft w:val="0"/>
      <w:marRight w:val="0"/>
      <w:marTop w:val="0"/>
      <w:marBottom w:val="0"/>
      <w:divBdr>
        <w:top w:val="none" w:sz="0" w:space="0" w:color="auto"/>
        <w:left w:val="none" w:sz="0" w:space="0" w:color="auto"/>
        <w:bottom w:val="none" w:sz="0" w:space="0" w:color="auto"/>
        <w:right w:val="none" w:sz="0" w:space="0" w:color="auto"/>
      </w:divBdr>
    </w:div>
    <w:div w:id="882592690">
      <w:bodyDiv w:val="1"/>
      <w:marLeft w:val="0"/>
      <w:marRight w:val="0"/>
      <w:marTop w:val="0"/>
      <w:marBottom w:val="0"/>
      <w:divBdr>
        <w:top w:val="none" w:sz="0" w:space="0" w:color="auto"/>
        <w:left w:val="none" w:sz="0" w:space="0" w:color="auto"/>
        <w:bottom w:val="none" w:sz="0" w:space="0" w:color="auto"/>
        <w:right w:val="none" w:sz="0" w:space="0" w:color="auto"/>
      </w:divBdr>
    </w:div>
    <w:div w:id="882595052">
      <w:bodyDiv w:val="1"/>
      <w:marLeft w:val="0"/>
      <w:marRight w:val="0"/>
      <w:marTop w:val="0"/>
      <w:marBottom w:val="0"/>
      <w:divBdr>
        <w:top w:val="none" w:sz="0" w:space="0" w:color="auto"/>
        <w:left w:val="none" w:sz="0" w:space="0" w:color="auto"/>
        <w:bottom w:val="none" w:sz="0" w:space="0" w:color="auto"/>
        <w:right w:val="none" w:sz="0" w:space="0" w:color="auto"/>
      </w:divBdr>
    </w:div>
    <w:div w:id="882643925">
      <w:bodyDiv w:val="1"/>
      <w:marLeft w:val="0"/>
      <w:marRight w:val="0"/>
      <w:marTop w:val="0"/>
      <w:marBottom w:val="0"/>
      <w:divBdr>
        <w:top w:val="none" w:sz="0" w:space="0" w:color="auto"/>
        <w:left w:val="none" w:sz="0" w:space="0" w:color="auto"/>
        <w:bottom w:val="none" w:sz="0" w:space="0" w:color="auto"/>
        <w:right w:val="none" w:sz="0" w:space="0" w:color="auto"/>
      </w:divBdr>
    </w:div>
    <w:div w:id="882862812">
      <w:bodyDiv w:val="1"/>
      <w:marLeft w:val="0"/>
      <w:marRight w:val="0"/>
      <w:marTop w:val="0"/>
      <w:marBottom w:val="0"/>
      <w:divBdr>
        <w:top w:val="none" w:sz="0" w:space="0" w:color="auto"/>
        <w:left w:val="none" w:sz="0" w:space="0" w:color="auto"/>
        <w:bottom w:val="none" w:sz="0" w:space="0" w:color="auto"/>
        <w:right w:val="none" w:sz="0" w:space="0" w:color="auto"/>
      </w:divBdr>
    </w:div>
    <w:div w:id="882863248">
      <w:bodyDiv w:val="1"/>
      <w:marLeft w:val="0"/>
      <w:marRight w:val="0"/>
      <w:marTop w:val="0"/>
      <w:marBottom w:val="0"/>
      <w:divBdr>
        <w:top w:val="none" w:sz="0" w:space="0" w:color="auto"/>
        <w:left w:val="none" w:sz="0" w:space="0" w:color="auto"/>
        <w:bottom w:val="none" w:sz="0" w:space="0" w:color="auto"/>
        <w:right w:val="none" w:sz="0" w:space="0" w:color="auto"/>
      </w:divBdr>
    </w:div>
    <w:div w:id="882904571">
      <w:bodyDiv w:val="1"/>
      <w:marLeft w:val="0"/>
      <w:marRight w:val="0"/>
      <w:marTop w:val="0"/>
      <w:marBottom w:val="0"/>
      <w:divBdr>
        <w:top w:val="none" w:sz="0" w:space="0" w:color="auto"/>
        <w:left w:val="none" w:sz="0" w:space="0" w:color="auto"/>
        <w:bottom w:val="none" w:sz="0" w:space="0" w:color="auto"/>
        <w:right w:val="none" w:sz="0" w:space="0" w:color="auto"/>
      </w:divBdr>
    </w:div>
    <w:div w:id="882987839">
      <w:bodyDiv w:val="1"/>
      <w:marLeft w:val="0"/>
      <w:marRight w:val="0"/>
      <w:marTop w:val="0"/>
      <w:marBottom w:val="0"/>
      <w:divBdr>
        <w:top w:val="none" w:sz="0" w:space="0" w:color="auto"/>
        <w:left w:val="none" w:sz="0" w:space="0" w:color="auto"/>
        <w:bottom w:val="none" w:sz="0" w:space="0" w:color="auto"/>
        <w:right w:val="none" w:sz="0" w:space="0" w:color="auto"/>
      </w:divBdr>
    </w:div>
    <w:div w:id="883105251">
      <w:bodyDiv w:val="1"/>
      <w:marLeft w:val="0"/>
      <w:marRight w:val="0"/>
      <w:marTop w:val="0"/>
      <w:marBottom w:val="0"/>
      <w:divBdr>
        <w:top w:val="none" w:sz="0" w:space="0" w:color="auto"/>
        <w:left w:val="none" w:sz="0" w:space="0" w:color="auto"/>
        <w:bottom w:val="none" w:sz="0" w:space="0" w:color="auto"/>
        <w:right w:val="none" w:sz="0" w:space="0" w:color="auto"/>
      </w:divBdr>
    </w:div>
    <w:div w:id="883248827">
      <w:bodyDiv w:val="1"/>
      <w:marLeft w:val="0"/>
      <w:marRight w:val="0"/>
      <w:marTop w:val="0"/>
      <w:marBottom w:val="0"/>
      <w:divBdr>
        <w:top w:val="none" w:sz="0" w:space="0" w:color="auto"/>
        <w:left w:val="none" w:sz="0" w:space="0" w:color="auto"/>
        <w:bottom w:val="none" w:sz="0" w:space="0" w:color="auto"/>
        <w:right w:val="none" w:sz="0" w:space="0" w:color="auto"/>
      </w:divBdr>
    </w:div>
    <w:div w:id="883372927">
      <w:bodyDiv w:val="1"/>
      <w:marLeft w:val="0"/>
      <w:marRight w:val="0"/>
      <w:marTop w:val="0"/>
      <w:marBottom w:val="0"/>
      <w:divBdr>
        <w:top w:val="none" w:sz="0" w:space="0" w:color="auto"/>
        <w:left w:val="none" w:sz="0" w:space="0" w:color="auto"/>
        <w:bottom w:val="none" w:sz="0" w:space="0" w:color="auto"/>
        <w:right w:val="none" w:sz="0" w:space="0" w:color="auto"/>
      </w:divBdr>
    </w:div>
    <w:div w:id="883443385">
      <w:bodyDiv w:val="1"/>
      <w:marLeft w:val="0"/>
      <w:marRight w:val="0"/>
      <w:marTop w:val="0"/>
      <w:marBottom w:val="0"/>
      <w:divBdr>
        <w:top w:val="none" w:sz="0" w:space="0" w:color="auto"/>
        <w:left w:val="none" w:sz="0" w:space="0" w:color="auto"/>
        <w:bottom w:val="none" w:sz="0" w:space="0" w:color="auto"/>
        <w:right w:val="none" w:sz="0" w:space="0" w:color="auto"/>
      </w:divBdr>
    </w:div>
    <w:div w:id="883443538">
      <w:bodyDiv w:val="1"/>
      <w:marLeft w:val="0"/>
      <w:marRight w:val="0"/>
      <w:marTop w:val="0"/>
      <w:marBottom w:val="0"/>
      <w:divBdr>
        <w:top w:val="none" w:sz="0" w:space="0" w:color="auto"/>
        <w:left w:val="none" w:sz="0" w:space="0" w:color="auto"/>
        <w:bottom w:val="none" w:sz="0" w:space="0" w:color="auto"/>
        <w:right w:val="none" w:sz="0" w:space="0" w:color="auto"/>
      </w:divBdr>
    </w:div>
    <w:div w:id="883562559">
      <w:bodyDiv w:val="1"/>
      <w:marLeft w:val="0"/>
      <w:marRight w:val="0"/>
      <w:marTop w:val="0"/>
      <w:marBottom w:val="0"/>
      <w:divBdr>
        <w:top w:val="none" w:sz="0" w:space="0" w:color="auto"/>
        <w:left w:val="none" w:sz="0" w:space="0" w:color="auto"/>
        <w:bottom w:val="none" w:sz="0" w:space="0" w:color="auto"/>
        <w:right w:val="none" w:sz="0" w:space="0" w:color="auto"/>
      </w:divBdr>
    </w:div>
    <w:div w:id="883640986">
      <w:bodyDiv w:val="1"/>
      <w:marLeft w:val="0"/>
      <w:marRight w:val="0"/>
      <w:marTop w:val="0"/>
      <w:marBottom w:val="0"/>
      <w:divBdr>
        <w:top w:val="none" w:sz="0" w:space="0" w:color="auto"/>
        <w:left w:val="none" w:sz="0" w:space="0" w:color="auto"/>
        <w:bottom w:val="none" w:sz="0" w:space="0" w:color="auto"/>
        <w:right w:val="none" w:sz="0" w:space="0" w:color="auto"/>
      </w:divBdr>
    </w:div>
    <w:div w:id="883715937">
      <w:bodyDiv w:val="1"/>
      <w:marLeft w:val="0"/>
      <w:marRight w:val="0"/>
      <w:marTop w:val="0"/>
      <w:marBottom w:val="0"/>
      <w:divBdr>
        <w:top w:val="none" w:sz="0" w:space="0" w:color="auto"/>
        <w:left w:val="none" w:sz="0" w:space="0" w:color="auto"/>
        <w:bottom w:val="none" w:sz="0" w:space="0" w:color="auto"/>
        <w:right w:val="none" w:sz="0" w:space="0" w:color="auto"/>
      </w:divBdr>
    </w:div>
    <w:div w:id="883829632">
      <w:bodyDiv w:val="1"/>
      <w:marLeft w:val="0"/>
      <w:marRight w:val="0"/>
      <w:marTop w:val="0"/>
      <w:marBottom w:val="0"/>
      <w:divBdr>
        <w:top w:val="none" w:sz="0" w:space="0" w:color="auto"/>
        <w:left w:val="none" w:sz="0" w:space="0" w:color="auto"/>
        <w:bottom w:val="none" w:sz="0" w:space="0" w:color="auto"/>
        <w:right w:val="none" w:sz="0" w:space="0" w:color="auto"/>
      </w:divBdr>
    </w:div>
    <w:div w:id="883953388">
      <w:bodyDiv w:val="1"/>
      <w:marLeft w:val="0"/>
      <w:marRight w:val="0"/>
      <w:marTop w:val="0"/>
      <w:marBottom w:val="0"/>
      <w:divBdr>
        <w:top w:val="none" w:sz="0" w:space="0" w:color="auto"/>
        <w:left w:val="none" w:sz="0" w:space="0" w:color="auto"/>
        <w:bottom w:val="none" w:sz="0" w:space="0" w:color="auto"/>
        <w:right w:val="none" w:sz="0" w:space="0" w:color="auto"/>
      </w:divBdr>
    </w:div>
    <w:div w:id="883953932">
      <w:bodyDiv w:val="1"/>
      <w:marLeft w:val="0"/>
      <w:marRight w:val="0"/>
      <w:marTop w:val="0"/>
      <w:marBottom w:val="0"/>
      <w:divBdr>
        <w:top w:val="none" w:sz="0" w:space="0" w:color="auto"/>
        <w:left w:val="none" w:sz="0" w:space="0" w:color="auto"/>
        <w:bottom w:val="none" w:sz="0" w:space="0" w:color="auto"/>
        <w:right w:val="none" w:sz="0" w:space="0" w:color="auto"/>
      </w:divBdr>
    </w:div>
    <w:div w:id="883978209">
      <w:bodyDiv w:val="1"/>
      <w:marLeft w:val="0"/>
      <w:marRight w:val="0"/>
      <w:marTop w:val="0"/>
      <w:marBottom w:val="0"/>
      <w:divBdr>
        <w:top w:val="none" w:sz="0" w:space="0" w:color="auto"/>
        <w:left w:val="none" w:sz="0" w:space="0" w:color="auto"/>
        <w:bottom w:val="none" w:sz="0" w:space="0" w:color="auto"/>
        <w:right w:val="none" w:sz="0" w:space="0" w:color="auto"/>
      </w:divBdr>
    </w:div>
    <w:div w:id="883979713">
      <w:bodyDiv w:val="1"/>
      <w:marLeft w:val="0"/>
      <w:marRight w:val="0"/>
      <w:marTop w:val="0"/>
      <w:marBottom w:val="0"/>
      <w:divBdr>
        <w:top w:val="none" w:sz="0" w:space="0" w:color="auto"/>
        <w:left w:val="none" w:sz="0" w:space="0" w:color="auto"/>
        <w:bottom w:val="none" w:sz="0" w:space="0" w:color="auto"/>
        <w:right w:val="none" w:sz="0" w:space="0" w:color="auto"/>
      </w:divBdr>
    </w:div>
    <w:div w:id="884096349">
      <w:bodyDiv w:val="1"/>
      <w:marLeft w:val="0"/>
      <w:marRight w:val="0"/>
      <w:marTop w:val="0"/>
      <w:marBottom w:val="0"/>
      <w:divBdr>
        <w:top w:val="none" w:sz="0" w:space="0" w:color="auto"/>
        <w:left w:val="none" w:sz="0" w:space="0" w:color="auto"/>
        <w:bottom w:val="none" w:sz="0" w:space="0" w:color="auto"/>
        <w:right w:val="none" w:sz="0" w:space="0" w:color="auto"/>
      </w:divBdr>
    </w:div>
    <w:div w:id="884104171">
      <w:bodyDiv w:val="1"/>
      <w:marLeft w:val="0"/>
      <w:marRight w:val="0"/>
      <w:marTop w:val="0"/>
      <w:marBottom w:val="0"/>
      <w:divBdr>
        <w:top w:val="none" w:sz="0" w:space="0" w:color="auto"/>
        <w:left w:val="none" w:sz="0" w:space="0" w:color="auto"/>
        <w:bottom w:val="none" w:sz="0" w:space="0" w:color="auto"/>
        <w:right w:val="none" w:sz="0" w:space="0" w:color="auto"/>
      </w:divBdr>
    </w:div>
    <w:div w:id="884221663">
      <w:bodyDiv w:val="1"/>
      <w:marLeft w:val="0"/>
      <w:marRight w:val="0"/>
      <w:marTop w:val="0"/>
      <w:marBottom w:val="0"/>
      <w:divBdr>
        <w:top w:val="none" w:sz="0" w:space="0" w:color="auto"/>
        <w:left w:val="none" w:sz="0" w:space="0" w:color="auto"/>
        <w:bottom w:val="none" w:sz="0" w:space="0" w:color="auto"/>
        <w:right w:val="none" w:sz="0" w:space="0" w:color="auto"/>
      </w:divBdr>
    </w:div>
    <w:div w:id="884368834">
      <w:bodyDiv w:val="1"/>
      <w:marLeft w:val="0"/>
      <w:marRight w:val="0"/>
      <w:marTop w:val="0"/>
      <w:marBottom w:val="0"/>
      <w:divBdr>
        <w:top w:val="none" w:sz="0" w:space="0" w:color="auto"/>
        <w:left w:val="none" w:sz="0" w:space="0" w:color="auto"/>
        <w:bottom w:val="none" w:sz="0" w:space="0" w:color="auto"/>
        <w:right w:val="none" w:sz="0" w:space="0" w:color="auto"/>
      </w:divBdr>
    </w:div>
    <w:div w:id="884374180">
      <w:bodyDiv w:val="1"/>
      <w:marLeft w:val="0"/>
      <w:marRight w:val="0"/>
      <w:marTop w:val="0"/>
      <w:marBottom w:val="0"/>
      <w:divBdr>
        <w:top w:val="none" w:sz="0" w:space="0" w:color="auto"/>
        <w:left w:val="none" w:sz="0" w:space="0" w:color="auto"/>
        <w:bottom w:val="none" w:sz="0" w:space="0" w:color="auto"/>
        <w:right w:val="none" w:sz="0" w:space="0" w:color="auto"/>
      </w:divBdr>
    </w:div>
    <w:div w:id="884413794">
      <w:bodyDiv w:val="1"/>
      <w:marLeft w:val="0"/>
      <w:marRight w:val="0"/>
      <w:marTop w:val="0"/>
      <w:marBottom w:val="0"/>
      <w:divBdr>
        <w:top w:val="none" w:sz="0" w:space="0" w:color="auto"/>
        <w:left w:val="none" w:sz="0" w:space="0" w:color="auto"/>
        <w:bottom w:val="none" w:sz="0" w:space="0" w:color="auto"/>
        <w:right w:val="none" w:sz="0" w:space="0" w:color="auto"/>
      </w:divBdr>
    </w:div>
    <w:div w:id="884440999">
      <w:bodyDiv w:val="1"/>
      <w:marLeft w:val="0"/>
      <w:marRight w:val="0"/>
      <w:marTop w:val="0"/>
      <w:marBottom w:val="0"/>
      <w:divBdr>
        <w:top w:val="none" w:sz="0" w:space="0" w:color="auto"/>
        <w:left w:val="none" w:sz="0" w:space="0" w:color="auto"/>
        <w:bottom w:val="none" w:sz="0" w:space="0" w:color="auto"/>
        <w:right w:val="none" w:sz="0" w:space="0" w:color="auto"/>
      </w:divBdr>
    </w:div>
    <w:div w:id="884485717">
      <w:bodyDiv w:val="1"/>
      <w:marLeft w:val="0"/>
      <w:marRight w:val="0"/>
      <w:marTop w:val="0"/>
      <w:marBottom w:val="0"/>
      <w:divBdr>
        <w:top w:val="none" w:sz="0" w:space="0" w:color="auto"/>
        <w:left w:val="none" w:sz="0" w:space="0" w:color="auto"/>
        <w:bottom w:val="none" w:sz="0" w:space="0" w:color="auto"/>
        <w:right w:val="none" w:sz="0" w:space="0" w:color="auto"/>
      </w:divBdr>
    </w:div>
    <w:div w:id="884491069">
      <w:bodyDiv w:val="1"/>
      <w:marLeft w:val="0"/>
      <w:marRight w:val="0"/>
      <w:marTop w:val="0"/>
      <w:marBottom w:val="0"/>
      <w:divBdr>
        <w:top w:val="none" w:sz="0" w:space="0" w:color="auto"/>
        <w:left w:val="none" w:sz="0" w:space="0" w:color="auto"/>
        <w:bottom w:val="none" w:sz="0" w:space="0" w:color="auto"/>
        <w:right w:val="none" w:sz="0" w:space="0" w:color="auto"/>
      </w:divBdr>
    </w:div>
    <w:div w:id="884491244">
      <w:bodyDiv w:val="1"/>
      <w:marLeft w:val="0"/>
      <w:marRight w:val="0"/>
      <w:marTop w:val="0"/>
      <w:marBottom w:val="0"/>
      <w:divBdr>
        <w:top w:val="none" w:sz="0" w:space="0" w:color="auto"/>
        <w:left w:val="none" w:sz="0" w:space="0" w:color="auto"/>
        <w:bottom w:val="none" w:sz="0" w:space="0" w:color="auto"/>
        <w:right w:val="none" w:sz="0" w:space="0" w:color="auto"/>
      </w:divBdr>
    </w:div>
    <w:div w:id="884562651">
      <w:bodyDiv w:val="1"/>
      <w:marLeft w:val="0"/>
      <w:marRight w:val="0"/>
      <w:marTop w:val="0"/>
      <w:marBottom w:val="0"/>
      <w:divBdr>
        <w:top w:val="none" w:sz="0" w:space="0" w:color="auto"/>
        <w:left w:val="none" w:sz="0" w:space="0" w:color="auto"/>
        <w:bottom w:val="none" w:sz="0" w:space="0" w:color="auto"/>
        <w:right w:val="none" w:sz="0" w:space="0" w:color="auto"/>
      </w:divBdr>
    </w:div>
    <w:div w:id="884564417">
      <w:bodyDiv w:val="1"/>
      <w:marLeft w:val="0"/>
      <w:marRight w:val="0"/>
      <w:marTop w:val="0"/>
      <w:marBottom w:val="0"/>
      <w:divBdr>
        <w:top w:val="none" w:sz="0" w:space="0" w:color="auto"/>
        <w:left w:val="none" w:sz="0" w:space="0" w:color="auto"/>
        <w:bottom w:val="none" w:sz="0" w:space="0" w:color="auto"/>
        <w:right w:val="none" w:sz="0" w:space="0" w:color="auto"/>
      </w:divBdr>
    </w:div>
    <w:div w:id="884679661">
      <w:bodyDiv w:val="1"/>
      <w:marLeft w:val="0"/>
      <w:marRight w:val="0"/>
      <w:marTop w:val="0"/>
      <w:marBottom w:val="0"/>
      <w:divBdr>
        <w:top w:val="none" w:sz="0" w:space="0" w:color="auto"/>
        <w:left w:val="none" w:sz="0" w:space="0" w:color="auto"/>
        <w:bottom w:val="none" w:sz="0" w:space="0" w:color="auto"/>
        <w:right w:val="none" w:sz="0" w:space="0" w:color="auto"/>
      </w:divBdr>
    </w:div>
    <w:div w:id="884754553">
      <w:bodyDiv w:val="1"/>
      <w:marLeft w:val="0"/>
      <w:marRight w:val="0"/>
      <w:marTop w:val="0"/>
      <w:marBottom w:val="0"/>
      <w:divBdr>
        <w:top w:val="none" w:sz="0" w:space="0" w:color="auto"/>
        <w:left w:val="none" w:sz="0" w:space="0" w:color="auto"/>
        <w:bottom w:val="none" w:sz="0" w:space="0" w:color="auto"/>
        <w:right w:val="none" w:sz="0" w:space="0" w:color="auto"/>
      </w:divBdr>
    </w:div>
    <w:div w:id="884829700">
      <w:bodyDiv w:val="1"/>
      <w:marLeft w:val="0"/>
      <w:marRight w:val="0"/>
      <w:marTop w:val="0"/>
      <w:marBottom w:val="0"/>
      <w:divBdr>
        <w:top w:val="none" w:sz="0" w:space="0" w:color="auto"/>
        <w:left w:val="none" w:sz="0" w:space="0" w:color="auto"/>
        <w:bottom w:val="none" w:sz="0" w:space="0" w:color="auto"/>
        <w:right w:val="none" w:sz="0" w:space="0" w:color="auto"/>
      </w:divBdr>
    </w:div>
    <w:div w:id="884953764">
      <w:bodyDiv w:val="1"/>
      <w:marLeft w:val="0"/>
      <w:marRight w:val="0"/>
      <w:marTop w:val="0"/>
      <w:marBottom w:val="0"/>
      <w:divBdr>
        <w:top w:val="none" w:sz="0" w:space="0" w:color="auto"/>
        <w:left w:val="none" w:sz="0" w:space="0" w:color="auto"/>
        <w:bottom w:val="none" w:sz="0" w:space="0" w:color="auto"/>
        <w:right w:val="none" w:sz="0" w:space="0" w:color="auto"/>
      </w:divBdr>
    </w:div>
    <w:div w:id="885021662">
      <w:bodyDiv w:val="1"/>
      <w:marLeft w:val="0"/>
      <w:marRight w:val="0"/>
      <w:marTop w:val="0"/>
      <w:marBottom w:val="0"/>
      <w:divBdr>
        <w:top w:val="none" w:sz="0" w:space="0" w:color="auto"/>
        <w:left w:val="none" w:sz="0" w:space="0" w:color="auto"/>
        <w:bottom w:val="none" w:sz="0" w:space="0" w:color="auto"/>
        <w:right w:val="none" w:sz="0" w:space="0" w:color="auto"/>
      </w:divBdr>
    </w:div>
    <w:div w:id="885024190">
      <w:bodyDiv w:val="1"/>
      <w:marLeft w:val="0"/>
      <w:marRight w:val="0"/>
      <w:marTop w:val="0"/>
      <w:marBottom w:val="0"/>
      <w:divBdr>
        <w:top w:val="none" w:sz="0" w:space="0" w:color="auto"/>
        <w:left w:val="none" w:sz="0" w:space="0" w:color="auto"/>
        <w:bottom w:val="none" w:sz="0" w:space="0" w:color="auto"/>
        <w:right w:val="none" w:sz="0" w:space="0" w:color="auto"/>
      </w:divBdr>
    </w:div>
    <w:div w:id="885068690">
      <w:bodyDiv w:val="1"/>
      <w:marLeft w:val="0"/>
      <w:marRight w:val="0"/>
      <w:marTop w:val="0"/>
      <w:marBottom w:val="0"/>
      <w:divBdr>
        <w:top w:val="none" w:sz="0" w:space="0" w:color="auto"/>
        <w:left w:val="none" w:sz="0" w:space="0" w:color="auto"/>
        <w:bottom w:val="none" w:sz="0" w:space="0" w:color="auto"/>
        <w:right w:val="none" w:sz="0" w:space="0" w:color="auto"/>
      </w:divBdr>
    </w:div>
    <w:div w:id="885260708">
      <w:bodyDiv w:val="1"/>
      <w:marLeft w:val="0"/>
      <w:marRight w:val="0"/>
      <w:marTop w:val="0"/>
      <w:marBottom w:val="0"/>
      <w:divBdr>
        <w:top w:val="none" w:sz="0" w:space="0" w:color="auto"/>
        <w:left w:val="none" w:sz="0" w:space="0" w:color="auto"/>
        <w:bottom w:val="none" w:sz="0" w:space="0" w:color="auto"/>
        <w:right w:val="none" w:sz="0" w:space="0" w:color="auto"/>
      </w:divBdr>
    </w:div>
    <w:div w:id="885261134">
      <w:bodyDiv w:val="1"/>
      <w:marLeft w:val="0"/>
      <w:marRight w:val="0"/>
      <w:marTop w:val="0"/>
      <w:marBottom w:val="0"/>
      <w:divBdr>
        <w:top w:val="none" w:sz="0" w:space="0" w:color="auto"/>
        <w:left w:val="none" w:sz="0" w:space="0" w:color="auto"/>
        <w:bottom w:val="none" w:sz="0" w:space="0" w:color="auto"/>
        <w:right w:val="none" w:sz="0" w:space="0" w:color="auto"/>
      </w:divBdr>
    </w:div>
    <w:div w:id="885262780">
      <w:bodyDiv w:val="1"/>
      <w:marLeft w:val="0"/>
      <w:marRight w:val="0"/>
      <w:marTop w:val="0"/>
      <w:marBottom w:val="0"/>
      <w:divBdr>
        <w:top w:val="none" w:sz="0" w:space="0" w:color="auto"/>
        <w:left w:val="none" w:sz="0" w:space="0" w:color="auto"/>
        <w:bottom w:val="none" w:sz="0" w:space="0" w:color="auto"/>
        <w:right w:val="none" w:sz="0" w:space="0" w:color="auto"/>
      </w:divBdr>
    </w:div>
    <w:div w:id="885409746">
      <w:bodyDiv w:val="1"/>
      <w:marLeft w:val="0"/>
      <w:marRight w:val="0"/>
      <w:marTop w:val="0"/>
      <w:marBottom w:val="0"/>
      <w:divBdr>
        <w:top w:val="none" w:sz="0" w:space="0" w:color="auto"/>
        <w:left w:val="none" w:sz="0" w:space="0" w:color="auto"/>
        <w:bottom w:val="none" w:sz="0" w:space="0" w:color="auto"/>
        <w:right w:val="none" w:sz="0" w:space="0" w:color="auto"/>
      </w:divBdr>
    </w:div>
    <w:div w:id="885412820">
      <w:bodyDiv w:val="1"/>
      <w:marLeft w:val="0"/>
      <w:marRight w:val="0"/>
      <w:marTop w:val="0"/>
      <w:marBottom w:val="0"/>
      <w:divBdr>
        <w:top w:val="none" w:sz="0" w:space="0" w:color="auto"/>
        <w:left w:val="none" w:sz="0" w:space="0" w:color="auto"/>
        <w:bottom w:val="none" w:sz="0" w:space="0" w:color="auto"/>
        <w:right w:val="none" w:sz="0" w:space="0" w:color="auto"/>
      </w:divBdr>
    </w:div>
    <w:div w:id="885413868">
      <w:bodyDiv w:val="1"/>
      <w:marLeft w:val="0"/>
      <w:marRight w:val="0"/>
      <w:marTop w:val="0"/>
      <w:marBottom w:val="0"/>
      <w:divBdr>
        <w:top w:val="none" w:sz="0" w:space="0" w:color="auto"/>
        <w:left w:val="none" w:sz="0" w:space="0" w:color="auto"/>
        <w:bottom w:val="none" w:sz="0" w:space="0" w:color="auto"/>
        <w:right w:val="none" w:sz="0" w:space="0" w:color="auto"/>
      </w:divBdr>
    </w:div>
    <w:div w:id="885457262">
      <w:bodyDiv w:val="1"/>
      <w:marLeft w:val="0"/>
      <w:marRight w:val="0"/>
      <w:marTop w:val="0"/>
      <w:marBottom w:val="0"/>
      <w:divBdr>
        <w:top w:val="none" w:sz="0" w:space="0" w:color="auto"/>
        <w:left w:val="none" w:sz="0" w:space="0" w:color="auto"/>
        <w:bottom w:val="none" w:sz="0" w:space="0" w:color="auto"/>
        <w:right w:val="none" w:sz="0" w:space="0" w:color="auto"/>
      </w:divBdr>
    </w:div>
    <w:div w:id="885488895">
      <w:bodyDiv w:val="1"/>
      <w:marLeft w:val="0"/>
      <w:marRight w:val="0"/>
      <w:marTop w:val="0"/>
      <w:marBottom w:val="0"/>
      <w:divBdr>
        <w:top w:val="none" w:sz="0" w:space="0" w:color="auto"/>
        <w:left w:val="none" w:sz="0" w:space="0" w:color="auto"/>
        <w:bottom w:val="none" w:sz="0" w:space="0" w:color="auto"/>
        <w:right w:val="none" w:sz="0" w:space="0" w:color="auto"/>
      </w:divBdr>
    </w:div>
    <w:div w:id="885607762">
      <w:bodyDiv w:val="1"/>
      <w:marLeft w:val="0"/>
      <w:marRight w:val="0"/>
      <w:marTop w:val="0"/>
      <w:marBottom w:val="0"/>
      <w:divBdr>
        <w:top w:val="none" w:sz="0" w:space="0" w:color="auto"/>
        <w:left w:val="none" w:sz="0" w:space="0" w:color="auto"/>
        <w:bottom w:val="none" w:sz="0" w:space="0" w:color="auto"/>
        <w:right w:val="none" w:sz="0" w:space="0" w:color="auto"/>
      </w:divBdr>
    </w:div>
    <w:div w:id="885609001">
      <w:bodyDiv w:val="1"/>
      <w:marLeft w:val="0"/>
      <w:marRight w:val="0"/>
      <w:marTop w:val="0"/>
      <w:marBottom w:val="0"/>
      <w:divBdr>
        <w:top w:val="none" w:sz="0" w:space="0" w:color="auto"/>
        <w:left w:val="none" w:sz="0" w:space="0" w:color="auto"/>
        <w:bottom w:val="none" w:sz="0" w:space="0" w:color="auto"/>
        <w:right w:val="none" w:sz="0" w:space="0" w:color="auto"/>
      </w:divBdr>
    </w:div>
    <w:div w:id="885679517">
      <w:bodyDiv w:val="1"/>
      <w:marLeft w:val="0"/>
      <w:marRight w:val="0"/>
      <w:marTop w:val="0"/>
      <w:marBottom w:val="0"/>
      <w:divBdr>
        <w:top w:val="none" w:sz="0" w:space="0" w:color="auto"/>
        <w:left w:val="none" w:sz="0" w:space="0" w:color="auto"/>
        <w:bottom w:val="none" w:sz="0" w:space="0" w:color="auto"/>
        <w:right w:val="none" w:sz="0" w:space="0" w:color="auto"/>
      </w:divBdr>
    </w:div>
    <w:div w:id="885796411">
      <w:bodyDiv w:val="1"/>
      <w:marLeft w:val="0"/>
      <w:marRight w:val="0"/>
      <w:marTop w:val="0"/>
      <w:marBottom w:val="0"/>
      <w:divBdr>
        <w:top w:val="none" w:sz="0" w:space="0" w:color="auto"/>
        <w:left w:val="none" w:sz="0" w:space="0" w:color="auto"/>
        <w:bottom w:val="none" w:sz="0" w:space="0" w:color="auto"/>
        <w:right w:val="none" w:sz="0" w:space="0" w:color="auto"/>
      </w:divBdr>
    </w:div>
    <w:div w:id="886069137">
      <w:bodyDiv w:val="1"/>
      <w:marLeft w:val="0"/>
      <w:marRight w:val="0"/>
      <w:marTop w:val="0"/>
      <w:marBottom w:val="0"/>
      <w:divBdr>
        <w:top w:val="none" w:sz="0" w:space="0" w:color="auto"/>
        <w:left w:val="none" w:sz="0" w:space="0" w:color="auto"/>
        <w:bottom w:val="none" w:sz="0" w:space="0" w:color="auto"/>
        <w:right w:val="none" w:sz="0" w:space="0" w:color="auto"/>
      </w:divBdr>
    </w:div>
    <w:div w:id="886180190">
      <w:bodyDiv w:val="1"/>
      <w:marLeft w:val="0"/>
      <w:marRight w:val="0"/>
      <w:marTop w:val="0"/>
      <w:marBottom w:val="0"/>
      <w:divBdr>
        <w:top w:val="none" w:sz="0" w:space="0" w:color="auto"/>
        <w:left w:val="none" w:sz="0" w:space="0" w:color="auto"/>
        <w:bottom w:val="none" w:sz="0" w:space="0" w:color="auto"/>
        <w:right w:val="none" w:sz="0" w:space="0" w:color="auto"/>
      </w:divBdr>
    </w:div>
    <w:div w:id="886334599">
      <w:bodyDiv w:val="1"/>
      <w:marLeft w:val="0"/>
      <w:marRight w:val="0"/>
      <w:marTop w:val="0"/>
      <w:marBottom w:val="0"/>
      <w:divBdr>
        <w:top w:val="none" w:sz="0" w:space="0" w:color="auto"/>
        <w:left w:val="none" w:sz="0" w:space="0" w:color="auto"/>
        <w:bottom w:val="none" w:sz="0" w:space="0" w:color="auto"/>
        <w:right w:val="none" w:sz="0" w:space="0" w:color="auto"/>
      </w:divBdr>
    </w:div>
    <w:div w:id="886449792">
      <w:bodyDiv w:val="1"/>
      <w:marLeft w:val="0"/>
      <w:marRight w:val="0"/>
      <w:marTop w:val="0"/>
      <w:marBottom w:val="0"/>
      <w:divBdr>
        <w:top w:val="none" w:sz="0" w:space="0" w:color="auto"/>
        <w:left w:val="none" w:sz="0" w:space="0" w:color="auto"/>
        <w:bottom w:val="none" w:sz="0" w:space="0" w:color="auto"/>
        <w:right w:val="none" w:sz="0" w:space="0" w:color="auto"/>
      </w:divBdr>
    </w:div>
    <w:div w:id="886529269">
      <w:bodyDiv w:val="1"/>
      <w:marLeft w:val="0"/>
      <w:marRight w:val="0"/>
      <w:marTop w:val="0"/>
      <w:marBottom w:val="0"/>
      <w:divBdr>
        <w:top w:val="none" w:sz="0" w:space="0" w:color="auto"/>
        <w:left w:val="none" w:sz="0" w:space="0" w:color="auto"/>
        <w:bottom w:val="none" w:sz="0" w:space="0" w:color="auto"/>
        <w:right w:val="none" w:sz="0" w:space="0" w:color="auto"/>
      </w:divBdr>
    </w:div>
    <w:div w:id="886644447">
      <w:bodyDiv w:val="1"/>
      <w:marLeft w:val="0"/>
      <w:marRight w:val="0"/>
      <w:marTop w:val="0"/>
      <w:marBottom w:val="0"/>
      <w:divBdr>
        <w:top w:val="none" w:sz="0" w:space="0" w:color="auto"/>
        <w:left w:val="none" w:sz="0" w:space="0" w:color="auto"/>
        <w:bottom w:val="none" w:sz="0" w:space="0" w:color="auto"/>
        <w:right w:val="none" w:sz="0" w:space="0" w:color="auto"/>
      </w:divBdr>
    </w:div>
    <w:div w:id="886718256">
      <w:bodyDiv w:val="1"/>
      <w:marLeft w:val="0"/>
      <w:marRight w:val="0"/>
      <w:marTop w:val="0"/>
      <w:marBottom w:val="0"/>
      <w:divBdr>
        <w:top w:val="none" w:sz="0" w:space="0" w:color="auto"/>
        <w:left w:val="none" w:sz="0" w:space="0" w:color="auto"/>
        <w:bottom w:val="none" w:sz="0" w:space="0" w:color="auto"/>
        <w:right w:val="none" w:sz="0" w:space="0" w:color="auto"/>
      </w:divBdr>
    </w:div>
    <w:div w:id="886837507">
      <w:bodyDiv w:val="1"/>
      <w:marLeft w:val="0"/>
      <w:marRight w:val="0"/>
      <w:marTop w:val="0"/>
      <w:marBottom w:val="0"/>
      <w:divBdr>
        <w:top w:val="none" w:sz="0" w:space="0" w:color="auto"/>
        <w:left w:val="none" w:sz="0" w:space="0" w:color="auto"/>
        <w:bottom w:val="none" w:sz="0" w:space="0" w:color="auto"/>
        <w:right w:val="none" w:sz="0" w:space="0" w:color="auto"/>
      </w:divBdr>
    </w:div>
    <w:div w:id="886916971">
      <w:bodyDiv w:val="1"/>
      <w:marLeft w:val="0"/>
      <w:marRight w:val="0"/>
      <w:marTop w:val="0"/>
      <w:marBottom w:val="0"/>
      <w:divBdr>
        <w:top w:val="none" w:sz="0" w:space="0" w:color="auto"/>
        <w:left w:val="none" w:sz="0" w:space="0" w:color="auto"/>
        <w:bottom w:val="none" w:sz="0" w:space="0" w:color="auto"/>
        <w:right w:val="none" w:sz="0" w:space="0" w:color="auto"/>
      </w:divBdr>
    </w:div>
    <w:div w:id="886919491">
      <w:bodyDiv w:val="1"/>
      <w:marLeft w:val="0"/>
      <w:marRight w:val="0"/>
      <w:marTop w:val="0"/>
      <w:marBottom w:val="0"/>
      <w:divBdr>
        <w:top w:val="none" w:sz="0" w:space="0" w:color="auto"/>
        <w:left w:val="none" w:sz="0" w:space="0" w:color="auto"/>
        <w:bottom w:val="none" w:sz="0" w:space="0" w:color="auto"/>
        <w:right w:val="none" w:sz="0" w:space="0" w:color="auto"/>
      </w:divBdr>
    </w:div>
    <w:div w:id="886989580">
      <w:bodyDiv w:val="1"/>
      <w:marLeft w:val="0"/>
      <w:marRight w:val="0"/>
      <w:marTop w:val="0"/>
      <w:marBottom w:val="0"/>
      <w:divBdr>
        <w:top w:val="none" w:sz="0" w:space="0" w:color="auto"/>
        <w:left w:val="none" w:sz="0" w:space="0" w:color="auto"/>
        <w:bottom w:val="none" w:sz="0" w:space="0" w:color="auto"/>
        <w:right w:val="none" w:sz="0" w:space="0" w:color="auto"/>
      </w:divBdr>
    </w:div>
    <w:div w:id="887033422">
      <w:bodyDiv w:val="1"/>
      <w:marLeft w:val="0"/>
      <w:marRight w:val="0"/>
      <w:marTop w:val="0"/>
      <w:marBottom w:val="0"/>
      <w:divBdr>
        <w:top w:val="none" w:sz="0" w:space="0" w:color="auto"/>
        <w:left w:val="none" w:sz="0" w:space="0" w:color="auto"/>
        <w:bottom w:val="none" w:sz="0" w:space="0" w:color="auto"/>
        <w:right w:val="none" w:sz="0" w:space="0" w:color="auto"/>
      </w:divBdr>
    </w:div>
    <w:div w:id="887298167">
      <w:bodyDiv w:val="1"/>
      <w:marLeft w:val="0"/>
      <w:marRight w:val="0"/>
      <w:marTop w:val="0"/>
      <w:marBottom w:val="0"/>
      <w:divBdr>
        <w:top w:val="none" w:sz="0" w:space="0" w:color="auto"/>
        <w:left w:val="none" w:sz="0" w:space="0" w:color="auto"/>
        <w:bottom w:val="none" w:sz="0" w:space="0" w:color="auto"/>
        <w:right w:val="none" w:sz="0" w:space="0" w:color="auto"/>
      </w:divBdr>
    </w:div>
    <w:div w:id="887377355">
      <w:bodyDiv w:val="1"/>
      <w:marLeft w:val="0"/>
      <w:marRight w:val="0"/>
      <w:marTop w:val="0"/>
      <w:marBottom w:val="0"/>
      <w:divBdr>
        <w:top w:val="none" w:sz="0" w:space="0" w:color="auto"/>
        <w:left w:val="none" w:sz="0" w:space="0" w:color="auto"/>
        <w:bottom w:val="none" w:sz="0" w:space="0" w:color="auto"/>
        <w:right w:val="none" w:sz="0" w:space="0" w:color="auto"/>
      </w:divBdr>
    </w:div>
    <w:div w:id="887566347">
      <w:bodyDiv w:val="1"/>
      <w:marLeft w:val="0"/>
      <w:marRight w:val="0"/>
      <w:marTop w:val="0"/>
      <w:marBottom w:val="0"/>
      <w:divBdr>
        <w:top w:val="none" w:sz="0" w:space="0" w:color="auto"/>
        <w:left w:val="none" w:sz="0" w:space="0" w:color="auto"/>
        <w:bottom w:val="none" w:sz="0" w:space="0" w:color="auto"/>
        <w:right w:val="none" w:sz="0" w:space="0" w:color="auto"/>
      </w:divBdr>
    </w:div>
    <w:div w:id="887567549">
      <w:bodyDiv w:val="1"/>
      <w:marLeft w:val="0"/>
      <w:marRight w:val="0"/>
      <w:marTop w:val="0"/>
      <w:marBottom w:val="0"/>
      <w:divBdr>
        <w:top w:val="none" w:sz="0" w:space="0" w:color="auto"/>
        <w:left w:val="none" w:sz="0" w:space="0" w:color="auto"/>
        <w:bottom w:val="none" w:sz="0" w:space="0" w:color="auto"/>
        <w:right w:val="none" w:sz="0" w:space="0" w:color="auto"/>
      </w:divBdr>
    </w:div>
    <w:div w:id="887572353">
      <w:bodyDiv w:val="1"/>
      <w:marLeft w:val="0"/>
      <w:marRight w:val="0"/>
      <w:marTop w:val="0"/>
      <w:marBottom w:val="0"/>
      <w:divBdr>
        <w:top w:val="none" w:sz="0" w:space="0" w:color="auto"/>
        <w:left w:val="none" w:sz="0" w:space="0" w:color="auto"/>
        <w:bottom w:val="none" w:sz="0" w:space="0" w:color="auto"/>
        <w:right w:val="none" w:sz="0" w:space="0" w:color="auto"/>
      </w:divBdr>
    </w:div>
    <w:div w:id="887691546">
      <w:bodyDiv w:val="1"/>
      <w:marLeft w:val="0"/>
      <w:marRight w:val="0"/>
      <w:marTop w:val="0"/>
      <w:marBottom w:val="0"/>
      <w:divBdr>
        <w:top w:val="none" w:sz="0" w:space="0" w:color="auto"/>
        <w:left w:val="none" w:sz="0" w:space="0" w:color="auto"/>
        <w:bottom w:val="none" w:sz="0" w:space="0" w:color="auto"/>
        <w:right w:val="none" w:sz="0" w:space="0" w:color="auto"/>
      </w:divBdr>
    </w:div>
    <w:div w:id="887691653">
      <w:bodyDiv w:val="1"/>
      <w:marLeft w:val="0"/>
      <w:marRight w:val="0"/>
      <w:marTop w:val="0"/>
      <w:marBottom w:val="0"/>
      <w:divBdr>
        <w:top w:val="none" w:sz="0" w:space="0" w:color="auto"/>
        <w:left w:val="none" w:sz="0" w:space="0" w:color="auto"/>
        <w:bottom w:val="none" w:sz="0" w:space="0" w:color="auto"/>
        <w:right w:val="none" w:sz="0" w:space="0" w:color="auto"/>
      </w:divBdr>
    </w:div>
    <w:div w:id="887716567">
      <w:bodyDiv w:val="1"/>
      <w:marLeft w:val="0"/>
      <w:marRight w:val="0"/>
      <w:marTop w:val="0"/>
      <w:marBottom w:val="0"/>
      <w:divBdr>
        <w:top w:val="none" w:sz="0" w:space="0" w:color="auto"/>
        <w:left w:val="none" w:sz="0" w:space="0" w:color="auto"/>
        <w:bottom w:val="none" w:sz="0" w:space="0" w:color="auto"/>
        <w:right w:val="none" w:sz="0" w:space="0" w:color="auto"/>
      </w:divBdr>
    </w:div>
    <w:div w:id="887716950">
      <w:bodyDiv w:val="1"/>
      <w:marLeft w:val="0"/>
      <w:marRight w:val="0"/>
      <w:marTop w:val="0"/>
      <w:marBottom w:val="0"/>
      <w:divBdr>
        <w:top w:val="none" w:sz="0" w:space="0" w:color="auto"/>
        <w:left w:val="none" w:sz="0" w:space="0" w:color="auto"/>
        <w:bottom w:val="none" w:sz="0" w:space="0" w:color="auto"/>
        <w:right w:val="none" w:sz="0" w:space="0" w:color="auto"/>
      </w:divBdr>
    </w:div>
    <w:div w:id="887760268">
      <w:bodyDiv w:val="1"/>
      <w:marLeft w:val="0"/>
      <w:marRight w:val="0"/>
      <w:marTop w:val="0"/>
      <w:marBottom w:val="0"/>
      <w:divBdr>
        <w:top w:val="none" w:sz="0" w:space="0" w:color="auto"/>
        <w:left w:val="none" w:sz="0" w:space="0" w:color="auto"/>
        <w:bottom w:val="none" w:sz="0" w:space="0" w:color="auto"/>
        <w:right w:val="none" w:sz="0" w:space="0" w:color="auto"/>
      </w:divBdr>
    </w:div>
    <w:div w:id="887834793">
      <w:bodyDiv w:val="1"/>
      <w:marLeft w:val="0"/>
      <w:marRight w:val="0"/>
      <w:marTop w:val="0"/>
      <w:marBottom w:val="0"/>
      <w:divBdr>
        <w:top w:val="none" w:sz="0" w:space="0" w:color="auto"/>
        <w:left w:val="none" w:sz="0" w:space="0" w:color="auto"/>
        <w:bottom w:val="none" w:sz="0" w:space="0" w:color="auto"/>
        <w:right w:val="none" w:sz="0" w:space="0" w:color="auto"/>
      </w:divBdr>
    </w:div>
    <w:div w:id="887914468">
      <w:bodyDiv w:val="1"/>
      <w:marLeft w:val="0"/>
      <w:marRight w:val="0"/>
      <w:marTop w:val="0"/>
      <w:marBottom w:val="0"/>
      <w:divBdr>
        <w:top w:val="none" w:sz="0" w:space="0" w:color="auto"/>
        <w:left w:val="none" w:sz="0" w:space="0" w:color="auto"/>
        <w:bottom w:val="none" w:sz="0" w:space="0" w:color="auto"/>
        <w:right w:val="none" w:sz="0" w:space="0" w:color="auto"/>
      </w:divBdr>
    </w:div>
    <w:div w:id="887958779">
      <w:bodyDiv w:val="1"/>
      <w:marLeft w:val="0"/>
      <w:marRight w:val="0"/>
      <w:marTop w:val="0"/>
      <w:marBottom w:val="0"/>
      <w:divBdr>
        <w:top w:val="none" w:sz="0" w:space="0" w:color="auto"/>
        <w:left w:val="none" w:sz="0" w:space="0" w:color="auto"/>
        <w:bottom w:val="none" w:sz="0" w:space="0" w:color="auto"/>
        <w:right w:val="none" w:sz="0" w:space="0" w:color="auto"/>
      </w:divBdr>
    </w:div>
    <w:div w:id="888036266">
      <w:bodyDiv w:val="1"/>
      <w:marLeft w:val="0"/>
      <w:marRight w:val="0"/>
      <w:marTop w:val="0"/>
      <w:marBottom w:val="0"/>
      <w:divBdr>
        <w:top w:val="none" w:sz="0" w:space="0" w:color="auto"/>
        <w:left w:val="none" w:sz="0" w:space="0" w:color="auto"/>
        <w:bottom w:val="none" w:sz="0" w:space="0" w:color="auto"/>
        <w:right w:val="none" w:sz="0" w:space="0" w:color="auto"/>
      </w:divBdr>
    </w:div>
    <w:div w:id="888110406">
      <w:bodyDiv w:val="1"/>
      <w:marLeft w:val="0"/>
      <w:marRight w:val="0"/>
      <w:marTop w:val="0"/>
      <w:marBottom w:val="0"/>
      <w:divBdr>
        <w:top w:val="none" w:sz="0" w:space="0" w:color="auto"/>
        <w:left w:val="none" w:sz="0" w:space="0" w:color="auto"/>
        <w:bottom w:val="none" w:sz="0" w:space="0" w:color="auto"/>
        <w:right w:val="none" w:sz="0" w:space="0" w:color="auto"/>
      </w:divBdr>
    </w:div>
    <w:div w:id="888229218">
      <w:bodyDiv w:val="1"/>
      <w:marLeft w:val="0"/>
      <w:marRight w:val="0"/>
      <w:marTop w:val="0"/>
      <w:marBottom w:val="0"/>
      <w:divBdr>
        <w:top w:val="none" w:sz="0" w:space="0" w:color="auto"/>
        <w:left w:val="none" w:sz="0" w:space="0" w:color="auto"/>
        <w:bottom w:val="none" w:sz="0" w:space="0" w:color="auto"/>
        <w:right w:val="none" w:sz="0" w:space="0" w:color="auto"/>
      </w:divBdr>
    </w:div>
    <w:div w:id="888302748">
      <w:bodyDiv w:val="1"/>
      <w:marLeft w:val="0"/>
      <w:marRight w:val="0"/>
      <w:marTop w:val="0"/>
      <w:marBottom w:val="0"/>
      <w:divBdr>
        <w:top w:val="none" w:sz="0" w:space="0" w:color="auto"/>
        <w:left w:val="none" w:sz="0" w:space="0" w:color="auto"/>
        <w:bottom w:val="none" w:sz="0" w:space="0" w:color="auto"/>
        <w:right w:val="none" w:sz="0" w:space="0" w:color="auto"/>
      </w:divBdr>
    </w:div>
    <w:div w:id="888305641">
      <w:bodyDiv w:val="1"/>
      <w:marLeft w:val="0"/>
      <w:marRight w:val="0"/>
      <w:marTop w:val="0"/>
      <w:marBottom w:val="0"/>
      <w:divBdr>
        <w:top w:val="none" w:sz="0" w:space="0" w:color="auto"/>
        <w:left w:val="none" w:sz="0" w:space="0" w:color="auto"/>
        <w:bottom w:val="none" w:sz="0" w:space="0" w:color="auto"/>
        <w:right w:val="none" w:sz="0" w:space="0" w:color="auto"/>
      </w:divBdr>
    </w:div>
    <w:div w:id="888346891">
      <w:bodyDiv w:val="1"/>
      <w:marLeft w:val="0"/>
      <w:marRight w:val="0"/>
      <w:marTop w:val="0"/>
      <w:marBottom w:val="0"/>
      <w:divBdr>
        <w:top w:val="none" w:sz="0" w:space="0" w:color="auto"/>
        <w:left w:val="none" w:sz="0" w:space="0" w:color="auto"/>
        <w:bottom w:val="none" w:sz="0" w:space="0" w:color="auto"/>
        <w:right w:val="none" w:sz="0" w:space="0" w:color="auto"/>
      </w:divBdr>
    </w:div>
    <w:div w:id="888421866">
      <w:bodyDiv w:val="1"/>
      <w:marLeft w:val="0"/>
      <w:marRight w:val="0"/>
      <w:marTop w:val="0"/>
      <w:marBottom w:val="0"/>
      <w:divBdr>
        <w:top w:val="none" w:sz="0" w:space="0" w:color="auto"/>
        <w:left w:val="none" w:sz="0" w:space="0" w:color="auto"/>
        <w:bottom w:val="none" w:sz="0" w:space="0" w:color="auto"/>
        <w:right w:val="none" w:sz="0" w:space="0" w:color="auto"/>
      </w:divBdr>
    </w:div>
    <w:div w:id="888490751">
      <w:bodyDiv w:val="1"/>
      <w:marLeft w:val="0"/>
      <w:marRight w:val="0"/>
      <w:marTop w:val="0"/>
      <w:marBottom w:val="0"/>
      <w:divBdr>
        <w:top w:val="none" w:sz="0" w:space="0" w:color="auto"/>
        <w:left w:val="none" w:sz="0" w:space="0" w:color="auto"/>
        <w:bottom w:val="none" w:sz="0" w:space="0" w:color="auto"/>
        <w:right w:val="none" w:sz="0" w:space="0" w:color="auto"/>
      </w:divBdr>
    </w:div>
    <w:div w:id="888566086">
      <w:bodyDiv w:val="1"/>
      <w:marLeft w:val="0"/>
      <w:marRight w:val="0"/>
      <w:marTop w:val="0"/>
      <w:marBottom w:val="0"/>
      <w:divBdr>
        <w:top w:val="none" w:sz="0" w:space="0" w:color="auto"/>
        <w:left w:val="none" w:sz="0" w:space="0" w:color="auto"/>
        <w:bottom w:val="none" w:sz="0" w:space="0" w:color="auto"/>
        <w:right w:val="none" w:sz="0" w:space="0" w:color="auto"/>
      </w:divBdr>
    </w:div>
    <w:div w:id="888613050">
      <w:bodyDiv w:val="1"/>
      <w:marLeft w:val="0"/>
      <w:marRight w:val="0"/>
      <w:marTop w:val="0"/>
      <w:marBottom w:val="0"/>
      <w:divBdr>
        <w:top w:val="none" w:sz="0" w:space="0" w:color="auto"/>
        <w:left w:val="none" w:sz="0" w:space="0" w:color="auto"/>
        <w:bottom w:val="none" w:sz="0" w:space="0" w:color="auto"/>
        <w:right w:val="none" w:sz="0" w:space="0" w:color="auto"/>
      </w:divBdr>
    </w:div>
    <w:div w:id="888613488">
      <w:bodyDiv w:val="1"/>
      <w:marLeft w:val="0"/>
      <w:marRight w:val="0"/>
      <w:marTop w:val="0"/>
      <w:marBottom w:val="0"/>
      <w:divBdr>
        <w:top w:val="none" w:sz="0" w:space="0" w:color="auto"/>
        <w:left w:val="none" w:sz="0" w:space="0" w:color="auto"/>
        <w:bottom w:val="none" w:sz="0" w:space="0" w:color="auto"/>
        <w:right w:val="none" w:sz="0" w:space="0" w:color="auto"/>
      </w:divBdr>
    </w:div>
    <w:div w:id="888615595">
      <w:bodyDiv w:val="1"/>
      <w:marLeft w:val="0"/>
      <w:marRight w:val="0"/>
      <w:marTop w:val="0"/>
      <w:marBottom w:val="0"/>
      <w:divBdr>
        <w:top w:val="none" w:sz="0" w:space="0" w:color="auto"/>
        <w:left w:val="none" w:sz="0" w:space="0" w:color="auto"/>
        <w:bottom w:val="none" w:sz="0" w:space="0" w:color="auto"/>
        <w:right w:val="none" w:sz="0" w:space="0" w:color="auto"/>
      </w:divBdr>
    </w:div>
    <w:div w:id="888802110">
      <w:bodyDiv w:val="1"/>
      <w:marLeft w:val="0"/>
      <w:marRight w:val="0"/>
      <w:marTop w:val="0"/>
      <w:marBottom w:val="0"/>
      <w:divBdr>
        <w:top w:val="none" w:sz="0" w:space="0" w:color="auto"/>
        <w:left w:val="none" w:sz="0" w:space="0" w:color="auto"/>
        <w:bottom w:val="none" w:sz="0" w:space="0" w:color="auto"/>
        <w:right w:val="none" w:sz="0" w:space="0" w:color="auto"/>
      </w:divBdr>
    </w:div>
    <w:div w:id="888803030">
      <w:bodyDiv w:val="1"/>
      <w:marLeft w:val="0"/>
      <w:marRight w:val="0"/>
      <w:marTop w:val="0"/>
      <w:marBottom w:val="0"/>
      <w:divBdr>
        <w:top w:val="none" w:sz="0" w:space="0" w:color="auto"/>
        <w:left w:val="none" w:sz="0" w:space="0" w:color="auto"/>
        <w:bottom w:val="none" w:sz="0" w:space="0" w:color="auto"/>
        <w:right w:val="none" w:sz="0" w:space="0" w:color="auto"/>
      </w:divBdr>
    </w:div>
    <w:div w:id="888881688">
      <w:bodyDiv w:val="1"/>
      <w:marLeft w:val="0"/>
      <w:marRight w:val="0"/>
      <w:marTop w:val="0"/>
      <w:marBottom w:val="0"/>
      <w:divBdr>
        <w:top w:val="none" w:sz="0" w:space="0" w:color="auto"/>
        <w:left w:val="none" w:sz="0" w:space="0" w:color="auto"/>
        <w:bottom w:val="none" w:sz="0" w:space="0" w:color="auto"/>
        <w:right w:val="none" w:sz="0" w:space="0" w:color="auto"/>
      </w:divBdr>
    </w:div>
    <w:div w:id="889000261">
      <w:bodyDiv w:val="1"/>
      <w:marLeft w:val="0"/>
      <w:marRight w:val="0"/>
      <w:marTop w:val="0"/>
      <w:marBottom w:val="0"/>
      <w:divBdr>
        <w:top w:val="none" w:sz="0" w:space="0" w:color="auto"/>
        <w:left w:val="none" w:sz="0" w:space="0" w:color="auto"/>
        <w:bottom w:val="none" w:sz="0" w:space="0" w:color="auto"/>
        <w:right w:val="none" w:sz="0" w:space="0" w:color="auto"/>
      </w:divBdr>
    </w:div>
    <w:div w:id="889072803">
      <w:bodyDiv w:val="1"/>
      <w:marLeft w:val="0"/>
      <w:marRight w:val="0"/>
      <w:marTop w:val="0"/>
      <w:marBottom w:val="0"/>
      <w:divBdr>
        <w:top w:val="none" w:sz="0" w:space="0" w:color="auto"/>
        <w:left w:val="none" w:sz="0" w:space="0" w:color="auto"/>
        <w:bottom w:val="none" w:sz="0" w:space="0" w:color="auto"/>
        <w:right w:val="none" w:sz="0" w:space="0" w:color="auto"/>
      </w:divBdr>
    </w:div>
    <w:div w:id="889077459">
      <w:bodyDiv w:val="1"/>
      <w:marLeft w:val="0"/>
      <w:marRight w:val="0"/>
      <w:marTop w:val="0"/>
      <w:marBottom w:val="0"/>
      <w:divBdr>
        <w:top w:val="none" w:sz="0" w:space="0" w:color="auto"/>
        <w:left w:val="none" w:sz="0" w:space="0" w:color="auto"/>
        <w:bottom w:val="none" w:sz="0" w:space="0" w:color="auto"/>
        <w:right w:val="none" w:sz="0" w:space="0" w:color="auto"/>
      </w:divBdr>
    </w:div>
    <w:div w:id="889078797">
      <w:bodyDiv w:val="1"/>
      <w:marLeft w:val="0"/>
      <w:marRight w:val="0"/>
      <w:marTop w:val="0"/>
      <w:marBottom w:val="0"/>
      <w:divBdr>
        <w:top w:val="none" w:sz="0" w:space="0" w:color="auto"/>
        <w:left w:val="none" w:sz="0" w:space="0" w:color="auto"/>
        <w:bottom w:val="none" w:sz="0" w:space="0" w:color="auto"/>
        <w:right w:val="none" w:sz="0" w:space="0" w:color="auto"/>
      </w:divBdr>
    </w:div>
    <w:div w:id="889144979">
      <w:bodyDiv w:val="1"/>
      <w:marLeft w:val="0"/>
      <w:marRight w:val="0"/>
      <w:marTop w:val="0"/>
      <w:marBottom w:val="0"/>
      <w:divBdr>
        <w:top w:val="none" w:sz="0" w:space="0" w:color="auto"/>
        <w:left w:val="none" w:sz="0" w:space="0" w:color="auto"/>
        <w:bottom w:val="none" w:sz="0" w:space="0" w:color="auto"/>
        <w:right w:val="none" w:sz="0" w:space="0" w:color="auto"/>
      </w:divBdr>
    </w:div>
    <w:div w:id="889148783">
      <w:bodyDiv w:val="1"/>
      <w:marLeft w:val="0"/>
      <w:marRight w:val="0"/>
      <w:marTop w:val="0"/>
      <w:marBottom w:val="0"/>
      <w:divBdr>
        <w:top w:val="none" w:sz="0" w:space="0" w:color="auto"/>
        <w:left w:val="none" w:sz="0" w:space="0" w:color="auto"/>
        <w:bottom w:val="none" w:sz="0" w:space="0" w:color="auto"/>
        <w:right w:val="none" w:sz="0" w:space="0" w:color="auto"/>
      </w:divBdr>
    </w:div>
    <w:div w:id="889220469">
      <w:bodyDiv w:val="1"/>
      <w:marLeft w:val="0"/>
      <w:marRight w:val="0"/>
      <w:marTop w:val="0"/>
      <w:marBottom w:val="0"/>
      <w:divBdr>
        <w:top w:val="none" w:sz="0" w:space="0" w:color="auto"/>
        <w:left w:val="none" w:sz="0" w:space="0" w:color="auto"/>
        <w:bottom w:val="none" w:sz="0" w:space="0" w:color="auto"/>
        <w:right w:val="none" w:sz="0" w:space="0" w:color="auto"/>
      </w:divBdr>
    </w:div>
    <w:div w:id="889264238">
      <w:bodyDiv w:val="1"/>
      <w:marLeft w:val="0"/>
      <w:marRight w:val="0"/>
      <w:marTop w:val="0"/>
      <w:marBottom w:val="0"/>
      <w:divBdr>
        <w:top w:val="none" w:sz="0" w:space="0" w:color="auto"/>
        <w:left w:val="none" w:sz="0" w:space="0" w:color="auto"/>
        <w:bottom w:val="none" w:sz="0" w:space="0" w:color="auto"/>
        <w:right w:val="none" w:sz="0" w:space="0" w:color="auto"/>
      </w:divBdr>
    </w:div>
    <w:div w:id="889341672">
      <w:bodyDiv w:val="1"/>
      <w:marLeft w:val="0"/>
      <w:marRight w:val="0"/>
      <w:marTop w:val="0"/>
      <w:marBottom w:val="0"/>
      <w:divBdr>
        <w:top w:val="none" w:sz="0" w:space="0" w:color="auto"/>
        <w:left w:val="none" w:sz="0" w:space="0" w:color="auto"/>
        <w:bottom w:val="none" w:sz="0" w:space="0" w:color="auto"/>
        <w:right w:val="none" w:sz="0" w:space="0" w:color="auto"/>
      </w:divBdr>
    </w:div>
    <w:div w:id="889343774">
      <w:bodyDiv w:val="1"/>
      <w:marLeft w:val="0"/>
      <w:marRight w:val="0"/>
      <w:marTop w:val="0"/>
      <w:marBottom w:val="0"/>
      <w:divBdr>
        <w:top w:val="none" w:sz="0" w:space="0" w:color="auto"/>
        <w:left w:val="none" w:sz="0" w:space="0" w:color="auto"/>
        <w:bottom w:val="none" w:sz="0" w:space="0" w:color="auto"/>
        <w:right w:val="none" w:sz="0" w:space="0" w:color="auto"/>
      </w:divBdr>
    </w:div>
    <w:div w:id="889347660">
      <w:bodyDiv w:val="1"/>
      <w:marLeft w:val="0"/>
      <w:marRight w:val="0"/>
      <w:marTop w:val="0"/>
      <w:marBottom w:val="0"/>
      <w:divBdr>
        <w:top w:val="none" w:sz="0" w:space="0" w:color="auto"/>
        <w:left w:val="none" w:sz="0" w:space="0" w:color="auto"/>
        <w:bottom w:val="none" w:sz="0" w:space="0" w:color="auto"/>
        <w:right w:val="none" w:sz="0" w:space="0" w:color="auto"/>
      </w:divBdr>
    </w:div>
    <w:div w:id="889413783">
      <w:bodyDiv w:val="1"/>
      <w:marLeft w:val="0"/>
      <w:marRight w:val="0"/>
      <w:marTop w:val="0"/>
      <w:marBottom w:val="0"/>
      <w:divBdr>
        <w:top w:val="none" w:sz="0" w:space="0" w:color="auto"/>
        <w:left w:val="none" w:sz="0" w:space="0" w:color="auto"/>
        <w:bottom w:val="none" w:sz="0" w:space="0" w:color="auto"/>
        <w:right w:val="none" w:sz="0" w:space="0" w:color="auto"/>
      </w:divBdr>
    </w:div>
    <w:div w:id="889417896">
      <w:bodyDiv w:val="1"/>
      <w:marLeft w:val="0"/>
      <w:marRight w:val="0"/>
      <w:marTop w:val="0"/>
      <w:marBottom w:val="0"/>
      <w:divBdr>
        <w:top w:val="none" w:sz="0" w:space="0" w:color="auto"/>
        <w:left w:val="none" w:sz="0" w:space="0" w:color="auto"/>
        <w:bottom w:val="none" w:sz="0" w:space="0" w:color="auto"/>
        <w:right w:val="none" w:sz="0" w:space="0" w:color="auto"/>
      </w:divBdr>
    </w:div>
    <w:div w:id="889460852">
      <w:bodyDiv w:val="1"/>
      <w:marLeft w:val="0"/>
      <w:marRight w:val="0"/>
      <w:marTop w:val="0"/>
      <w:marBottom w:val="0"/>
      <w:divBdr>
        <w:top w:val="none" w:sz="0" w:space="0" w:color="auto"/>
        <w:left w:val="none" w:sz="0" w:space="0" w:color="auto"/>
        <w:bottom w:val="none" w:sz="0" w:space="0" w:color="auto"/>
        <w:right w:val="none" w:sz="0" w:space="0" w:color="auto"/>
      </w:divBdr>
    </w:div>
    <w:div w:id="889464488">
      <w:bodyDiv w:val="1"/>
      <w:marLeft w:val="0"/>
      <w:marRight w:val="0"/>
      <w:marTop w:val="0"/>
      <w:marBottom w:val="0"/>
      <w:divBdr>
        <w:top w:val="none" w:sz="0" w:space="0" w:color="auto"/>
        <w:left w:val="none" w:sz="0" w:space="0" w:color="auto"/>
        <w:bottom w:val="none" w:sz="0" w:space="0" w:color="auto"/>
        <w:right w:val="none" w:sz="0" w:space="0" w:color="auto"/>
      </w:divBdr>
    </w:div>
    <w:div w:id="889536228">
      <w:bodyDiv w:val="1"/>
      <w:marLeft w:val="0"/>
      <w:marRight w:val="0"/>
      <w:marTop w:val="0"/>
      <w:marBottom w:val="0"/>
      <w:divBdr>
        <w:top w:val="none" w:sz="0" w:space="0" w:color="auto"/>
        <w:left w:val="none" w:sz="0" w:space="0" w:color="auto"/>
        <w:bottom w:val="none" w:sz="0" w:space="0" w:color="auto"/>
        <w:right w:val="none" w:sz="0" w:space="0" w:color="auto"/>
      </w:divBdr>
    </w:div>
    <w:div w:id="889613761">
      <w:bodyDiv w:val="1"/>
      <w:marLeft w:val="0"/>
      <w:marRight w:val="0"/>
      <w:marTop w:val="0"/>
      <w:marBottom w:val="0"/>
      <w:divBdr>
        <w:top w:val="none" w:sz="0" w:space="0" w:color="auto"/>
        <w:left w:val="none" w:sz="0" w:space="0" w:color="auto"/>
        <w:bottom w:val="none" w:sz="0" w:space="0" w:color="auto"/>
        <w:right w:val="none" w:sz="0" w:space="0" w:color="auto"/>
      </w:divBdr>
    </w:div>
    <w:div w:id="889615861">
      <w:bodyDiv w:val="1"/>
      <w:marLeft w:val="0"/>
      <w:marRight w:val="0"/>
      <w:marTop w:val="0"/>
      <w:marBottom w:val="0"/>
      <w:divBdr>
        <w:top w:val="none" w:sz="0" w:space="0" w:color="auto"/>
        <w:left w:val="none" w:sz="0" w:space="0" w:color="auto"/>
        <w:bottom w:val="none" w:sz="0" w:space="0" w:color="auto"/>
        <w:right w:val="none" w:sz="0" w:space="0" w:color="auto"/>
      </w:divBdr>
    </w:div>
    <w:div w:id="889657920">
      <w:bodyDiv w:val="1"/>
      <w:marLeft w:val="0"/>
      <w:marRight w:val="0"/>
      <w:marTop w:val="0"/>
      <w:marBottom w:val="0"/>
      <w:divBdr>
        <w:top w:val="none" w:sz="0" w:space="0" w:color="auto"/>
        <w:left w:val="none" w:sz="0" w:space="0" w:color="auto"/>
        <w:bottom w:val="none" w:sz="0" w:space="0" w:color="auto"/>
        <w:right w:val="none" w:sz="0" w:space="0" w:color="auto"/>
      </w:divBdr>
    </w:div>
    <w:div w:id="889802673">
      <w:bodyDiv w:val="1"/>
      <w:marLeft w:val="0"/>
      <w:marRight w:val="0"/>
      <w:marTop w:val="0"/>
      <w:marBottom w:val="0"/>
      <w:divBdr>
        <w:top w:val="none" w:sz="0" w:space="0" w:color="auto"/>
        <w:left w:val="none" w:sz="0" w:space="0" w:color="auto"/>
        <w:bottom w:val="none" w:sz="0" w:space="0" w:color="auto"/>
        <w:right w:val="none" w:sz="0" w:space="0" w:color="auto"/>
      </w:divBdr>
    </w:div>
    <w:div w:id="889804879">
      <w:bodyDiv w:val="1"/>
      <w:marLeft w:val="0"/>
      <w:marRight w:val="0"/>
      <w:marTop w:val="0"/>
      <w:marBottom w:val="0"/>
      <w:divBdr>
        <w:top w:val="none" w:sz="0" w:space="0" w:color="auto"/>
        <w:left w:val="none" w:sz="0" w:space="0" w:color="auto"/>
        <w:bottom w:val="none" w:sz="0" w:space="0" w:color="auto"/>
        <w:right w:val="none" w:sz="0" w:space="0" w:color="auto"/>
      </w:divBdr>
    </w:div>
    <w:div w:id="889805946">
      <w:bodyDiv w:val="1"/>
      <w:marLeft w:val="0"/>
      <w:marRight w:val="0"/>
      <w:marTop w:val="0"/>
      <w:marBottom w:val="0"/>
      <w:divBdr>
        <w:top w:val="none" w:sz="0" w:space="0" w:color="auto"/>
        <w:left w:val="none" w:sz="0" w:space="0" w:color="auto"/>
        <w:bottom w:val="none" w:sz="0" w:space="0" w:color="auto"/>
        <w:right w:val="none" w:sz="0" w:space="0" w:color="auto"/>
      </w:divBdr>
    </w:div>
    <w:div w:id="890076376">
      <w:bodyDiv w:val="1"/>
      <w:marLeft w:val="0"/>
      <w:marRight w:val="0"/>
      <w:marTop w:val="0"/>
      <w:marBottom w:val="0"/>
      <w:divBdr>
        <w:top w:val="none" w:sz="0" w:space="0" w:color="auto"/>
        <w:left w:val="none" w:sz="0" w:space="0" w:color="auto"/>
        <w:bottom w:val="none" w:sz="0" w:space="0" w:color="auto"/>
        <w:right w:val="none" w:sz="0" w:space="0" w:color="auto"/>
      </w:divBdr>
    </w:div>
    <w:div w:id="890117297">
      <w:bodyDiv w:val="1"/>
      <w:marLeft w:val="0"/>
      <w:marRight w:val="0"/>
      <w:marTop w:val="0"/>
      <w:marBottom w:val="0"/>
      <w:divBdr>
        <w:top w:val="none" w:sz="0" w:space="0" w:color="auto"/>
        <w:left w:val="none" w:sz="0" w:space="0" w:color="auto"/>
        <w:bottom w:val="none" w:sz="0" w:space="0" w:color="auto"/>
        <w:right w:val="none" w:sz="0" w:space="0" w:color="auto"/>
      </w:divBdr>
    </w:div>
    <w:div w:id="890120678">
      <w:bodyDiv w:val="1"/>
      <w:marLeft w:val="0"/>
      <w:marRight w:val="0"/>
      <w:marTop w:val="0"/>
      <w:marBottom w:val="0"/>
      <w:divBdr>
        <w:top w:val="none" w:sz="0" w:space="0" w:color="auto"/>
        <w:left w:val="none" w:sz="0" w:space="0" w:color="auto"/>
        <w:bottom w:val="none" w:sz="0" w:space="0" w:color="auto"/>
        <w:right w:val="none" w:sz="0" w:space="0" w:color="auto"/>
      </w:divBdr>
    </w:div>
    <w:div w:id="890262942">
      <w:bodyDiv w:val="1"/>
      <w:marLeft w:val="0"/>
      <w:marRight w:val="0"/>
      <w:marTop w:val="0"/>
      <w:marBottom w:val="0"/>
      <w:divBdr>
        <w:top w:val="none" w:sz="0" w:space="0" w:color="auto"/>
        <w:left w:val="none" w:sz="0" w:space="0" w:color="auto"/>
        <w:bottom w:val="none" w:sz="0" w:space="0" w:color="auto"/>
        <w:right w:val="none" w:sz="0" w:space="0" w:color="auto"/>
      </w:divBdr>
    </w:div>
    <w:div w:id="890263274">
      <w:bodyDiv w:val="1"/>
      <w:marLeft w:val="0"/>
      <w:marRight w:val="0"/>
      <w:marTop w:val="0"/>
      <w:marBottom w:val="0"/>
      <w:divBdr>
        <w:top w:val="none" w:sz="0" w:space="0" w:color="auto"/>
        <w:left w:val="none" w:sz="0" w:space="0" w:color="auto"/>
        <w:bottom w:val="none" w:sz="0" w:space="0" w:color="auto"/>
        <w:right w:val="none" w:sz="0" w:space="0" w:color="auto"/>
      </w:divBdr>
    </w:div>
    <w:div w:id="890312540">
      <w:bodyDiv w:val="1"/>
      <w:marLeft w:val="0"/>
      <w:marRight w:val="0"/>
      <w:marTop w:val="0"/>
      <w:marBottom w:val="0"/>
      <w:divBdr>
        <w:top w:val="none" w:sz="0" w:space="0" w:color="auto"/>
        <w:left w:val="none" w:sz="0" w:space="0" w:color="auto"/>
        <w:bottom w:val="none" w:sz="0" w:space="0" w:color="auto"/>
        <w:right w:val="none" w:sz="0" w:space="0" w:color="auto"/>
      </w:divBdr>
    </w:div>
    <w:div w:id="890381575">
      <w:bodyDiv w:val="1"/>
      <w:marLeft w:val="0"/>
      <w:marRight w:val="0"/>
      <w:marTop w:val="0"/>
      <w:marBottom w:val="0"/>
      <w:divBdr>
        <w:top w:val="none" w:sz="0" w:space="0" w:color="auto"/>
        <w:left w:val="none" w:sz="0" w:space="0" w:color="auto"/>
        <w:bottom w:val="none" w:sz="0" w:space="0" w:color="auto"/>
        <w:right w:val="none" w:sz="0" w:space="0" w:color="auto"/>
      </w:divBdr>
    </w:div>
    <w:div w:id="890386654">
      <w:bodyDiv w:val="1"/>
      <w:marLeft w:val="0"/>
      <w:marRight w:val="0"/>
      <w:marTop w:val="0"/>
      <w:marBottom w:val="0"/>
      <w:divBdr>
        <w:top w:val="none" w:sz="0" w:space="0" w:color="auto"/>
        <w:left w:val="none" w:sz="0" w:space="0" w:color="auto"/>
        <w:bottom w:val="none" w:sz="0" w:space="0" w:color="auto"/>
        <w:right w:val="none" w:sz="0" w:space="0" w:color="auto"/>
      </w:divBdr>
    </w:div>
    <w:div w:id="890464350">
      <w:bodyDiv w:val="1"/>
      <w:marLeft w:val="0"/>
      <w:marRight w:val="0"/>
      <w:marTop w:val="0"/>
      <w:marBottom w:val="0"/>
      <w:divBdr>
        <w:top w:val="none" w:sz="0" w:space="0" w:color="auto"/>
        <w:left w:val="none" w:sz="0" w:space="0" w:color="auto"/>
        <w:bottom w:val="none" w:sz="0" w:space="0" w:color="auto"/>
        <w:right w:val="none" w:sz="0" w:space="0" w:color="auto"/>
      </w:divBdr>
    </w:div>
    <w:div w:id="890534521">
      <w:bodyDiv w:val="1"/>
      <w:marLeft w:val="0"/>
      <w:marRight w:val="0"/>
      <w:marTop w:val="0"/>
      <w:marBottom w:val="0"/>
      <w:divBdr>
        <w:top w:val="none" w:sz="0" w:space="0" w:color="auto"/>
        <w:left w:val="none" w:sz="0" w:space="0" w:color="auto"/>
        <w:bottom w:val="none" w:sz="0" w:space="0" w:color="auto"/>
        <w:right w:val="none" w:sz="0" w:space="0" w:color="auto"/>
      </w:divBdr>
    </w:div>
    <w:div w:id="890578879">
      <w:bodyDiv w:val="1"/>
      <w:marLeft w:val="0"/>
      <w:marRight w:val="0"/>
      <w:marTop w:val="0"/>
      <w:marBottom w:val="0"/>
      <w:divBdr>
        <w:top w:val="none" w:sz="0" w:space="0" w:color="auto"/>
        <w:left w:val="none" w:sz="0" w:space="0" w:color="auto"/>
        <w:bottom w:val="none" w:sz="0" w:space="0" w:color="auto"/>
        <w:right w:val="none" w:sz="0" w:space="0" w:color="auto"/>
      </w:divBdr>
    </w:div>
    <w:div w:id="890772690">
      <w:bodyDiv w:val="1"/>
      <w:marLeft w:val="0"/>
      <w:marRight w:val="0"/>
      <w:marTop w:val="0"/>
      <w:marBottom w:val="0"/>
      <w:divBdr>
        <w:top w:val="none" w:sz="0" w:space="0" w:color="auto"/>
        <w:left w:val="none" w:sz="0" w:space="0" w:color="auto"/>
        <w:bottom w:val="none" w:sz="0" w:space="0" w:color="auto"/>
        <w:right w:val="none" w:sz="0" w:space="0" w:color="auto"/>
      </w:divBdr>
    </w:div>
    <w:div w:id="890845349">
      <w:bodyDiv w:val="1"/>
      <w:marLeft w:val="0"/>
      <w:marRight w:val="0"/>
      <w:marTop w:val="0"/>
      <w:marBottom w:val="0"/>
      <w:divBdr>
        <w:top w:val="none" w:sz="0" w:space="0" w:color="auto"/>
        <w:left w:val="none" w:sz="0" w:space="0" w:color="auto"/>
        <w:bottom w:val="none" w:sz="0" w:space="0" w:color="auto"/>
        <w:right w:val="none" w:sz="0" w:space="0" w:color="auto"/>
      </w:divBdr>
    </w:div>
    <w:div w:id="890924105">
      <w:bodyDiv w:val="1"/>
      <w:marLeft w:val="0"/>
      <w:marRight w:val="0"/>
      <w:marTop w:val="0"/>
      <w:marBottom w:val="0"/>
      <w:divBdr>
        <w:top w:val="none" w:sz="0" w:space="0" w:color="auto"/>
        <w:left w:val="none" w:sz="0" w:space="0" w:color="auto"/>
        <w:bottom w:val="none" w:sz="0" w:space="0" w:color="auto"/>
        <w:right w:val="none" w:sz="0" w:space="0" w:color="auto"/>
      </w:divBdr>
    </w:div>
    <w:div w:id="890924338">
      <w:bodyDiv w:val="1"/>
      <w:marLeft w:val="0"/>
      <w:marRight w:val="0"/>
      <w:marTop w:val="0"/>
      <w:marBottom w:val="0"/>
      <w:divBdr>
        <w:top w:val="none" w:sz="0" w:space="0" w:color="auto"/>
        <w:left w:val="none" w:sz="0" w:space="0" w:color="auto"/>
        <w:bottom w:val="none" w:sz="0" w:space="0" w:color="auto"/>
        <w:right w:val="none" w:sz="0" w:space="0" w:color="auto"/>
      </w:divBdr>
    </w:div>
    <w:div w:id="891189186">
      <w:bodyDiv w:val="1"/>
      <w:marLeft w:val="0"/>
      <w:marRight w:val="0"/>
      <w:marTop w:val="0"/>
      <w:marBottom w:val="0"/>
      <w:divBdr>
        <w:top w:val="none" w:sz="0" w:space="0" w:color="auto"/>
        <w:left w:val="none" w:sz="0" w:space="0" w:color="auto"/>
        <w:bottom w:val="none" w:sz="0" w:space="0" w:color="auto"/>
        <w:right w:val="none" w:sz="0" w:space="0" w:color="auto"/>
      </w:divBdr>
    </w:div>
    <w:div w:id="891190021">
      <w:bodyDiv w:val="1"/>
      <w:marLeft w:val="0"/>
      <w:marRight w:val="0"/>
      <w:marTop w:val="0"/>
      <w:marBottom w:val="0"/>
      <w:divBdr>
        <w:top w:val="none" w:sz="0" w:space="0" w:color="auto"/>
        <w:left w:val="none" w:sz="0" w:space="0" w:color="auto"/>
        <w:bottom w:val="none" w:sz="0" w:space="0" w:color="auto"/>
        <w:right w:val="none" w:sz="0" w:space="0" w:color="auto"/>
      </w:divBdr>
    </w:div>
    <w:div w:id="891430615">
      <w:bodyDiv w:val="1"/>
      <w:marLeft w:val="0"/>
      <w:marRight w:val="0"/>
      <w:marTop w:val="0"/>
      <w:marBottom w:val="0"/>
      <w:divBdr>
        <w:top w:val="none" w:sz="0" w:space="0" w:color="auto"/>
        <w:left w:val="none" w:sz="0" w:space="0" w:color="auto"/>
        <w:bottom w:val="none" w:sz="0" w:space="0" w:color="auto"/>
        <w:right w:val="none" w:sz="0" w:space="0" w:color="auto"/>
      </w:divBdr>
    </w:div>
    <w:div w:id="891617400">
      <w:bodyDiv w:val="1"/>
      <w:marLeft w:val="0"/>
      <w:marRight w:val="0"/>
      <w:marTop w:val="0"/>
      <w:marBottom w:val="0"/>
      <w:divBdr>
        <w:top w:val="none" w:sz="0" w:space="0" w:color="auto"/>
        <w:left w:val="none" w:sz="0" w:space="0" w:color="auto"/>
        <w:bottom w:val="none" w:sz="0" w:space="0" w:color="auto"/>
        <w:right w:val="none" w:sz="0" w:space="0" w:color="auto"/>
      </w:divBdr>
    </w:div>
    <w:div w:id="891620606">
      <w:bodyDiv w:val="1"/>
      <w:marLeft w:val="0"/>
      <w:marRight w:val="0"/>
      <w:marTop w:val="0"/>
      <w:marBottom w:val="0"/>
      <w:divBdr>
        <w:top w:val="none" w:sz="0" w:space="0" w:color="auto"/>
        <w:left w:val="none" w:sz="0" w:space="0" w:color="auto"/>
        <w:bottom w:val="none" w:sz="0" w:space="0" w:color="auto"/>
        <w:right w:val="none" w:sz="0" w:space="0" w:color="auto"/>
      </w:divBdr>
    </w:div>
    <w:div w:id="891691616">
      <w:bodyDiv w:val="1"/>
      <w:marLeft w:val="0"/>
      <w:marRight w:val="0"/>
      <w:marTop w:val="0"/>
      <w:marBottom w:val="0"/>
      <w:divBdr>
        <w:top w:val="none" w:sz="0" w:space="0" w:color="auto"/>
        <w:left w:val="none" w:sz="0" w:space="0" w:color="auto"/>
        <w:bottom w:val="none" w:sz="0" w:space="0" w:color="auto"/>
        <w:right w:val="none" w:sz="0" w:space="0" w:color="auto"/>
      </w:divBdr>
    </w:div>
    <w:div w:id="891693432">
      <w:bodyDiv w:val="1"/>
      <w:marLeft w:val="0"/>
      <w:marRight w:val="0"/>
      <w:marTop w:val="0"/>
      <w:marBottom w:val="0"/>
      <w:divBdr>
        <w:top w:val="none" w:sz="0" w:space="0" w:color="auto"/>
        <w:left w:val="none" w:sz="0" w:space="0" w:color="auto"/>
        <w:bottom w:val="none" w:sz="0" w:space="0" w:color="auto"/>
        <w:right w:val="none" w:sz="0" w:space="0" w:color="auto"/>
      </w:divBdr>
    </w:div>
    <w:div w:id="891768665">
      <w:bodyDiv w:val="1"/>
      <w:marLeft w:val="0"/>
      <w:marRight w:val="0"/>
      <w:marTop w:val="0"/>
      <w:marBottom w:val="0"/>
      <w:divBdr>
        <w:top w:val="none" w:sz="0" w:space="0" w:color="auto"/>
        <w:left w:val="none" w:sz="0" w:space="0" w:color="auto"/>
        <w:bottom w:val="none" w:sz="0" w:space="0" w:color="auto"/>
        <w:right w:val="none" w:sz="0" w:space="0" w:color="auto"/>
      </w:divBdr>
    </w:div>
    <w:div w:id="891775563">
      <w:bodyDiv w:val="1"/>
      <w:marLeft w:val="0"/>
      <w:marRight w:val="0"/>
      <w:marTop w:val="0"/>
      <w:marBottom w:val="0"/>
      <w:divBdr>
        <w:top w:val="none" w:sz="0" w:space="0" w:color="auto"/>
        <w:left w:val="none" w:sz="0" w:space="0" w:color="auto"/>
        <w:bottom w:val="none" w:sz="0" w:space="0" w:color="auto"/>
        <w:right w:val="none" w:sz="0" w:space="0" w:color="auto"/>
      </w:divBdr>
    </w:div>
    <w:div w:id="891891672">
      <w:bodyDiv w:val="1"/>
      <w:marLeft w:val="0"/>
      <w:marRight w:val="0"/>
      <w:marTop w:val="0"/>
      <w:marBottom w:val="0"/>
      <w:divBdr>
        <w:top w:val="none" w:sz="0" w:space="0" w:color="auto"/>
        <w:left w:val="none" w:sz="0" w:space="0" w:color="auto"/>
        <w:bottom w:val="none" w:sz="0" w:space="0" w:color="auto"/>
        <w:right w:val="none" w:sz="0" w:space="0" w:color="auto"/>
      </w:divBdr>
    </w:div>
    <w:div w:id="891959836">
      <w:bodyDiv w:val="1"/>
      <w:marLeft w:val="0"/>
      <w:marRight w:val="0"/>
      <w:marTop w:val="0"/>
      <w:marBottom w:val="0"/>
      <w:divBdr>
        <w:top w:val="none" w:sz="0" w:space="0" w:color="auto"/>
        <w:left w:val="none" w:sz="0" w:space="0" w:color="auto"/>
        <w:bottom w:val="none" w:sz="0" w:space="0" w:color="auto"/>
        <w:right w:val="none" w:sz="0" w:space="0" w:color="auto"/>
      </w:divBdr>
    </w:div>
    <w:div w:id="891968123">
      <w:bodyDiv w:val="1"/>
      <w:marLeft w:val="0"/>
      <w:marRight w:val="0"/>
      <w:marTop w:val="0"/>
      <w:marBottom w:val="0"/>
      <w:divBdr>
        <w:top w:val="none" w:sz="0" w:space="0" w:color="auto"/>
        <w:left w:val="none" w:sz="0" w:space="0" w:color="auto"/>
        <w:bottom w:val="none" w:sz="0" w:space="0" w:color="auto"/>
        <w:right w:val="none" w:sz="0" w:space="0" w:color="auto"/>
      </w:divBdr>
    </w:div>
    <w:div w:id="892010693">
      <w:bodyDiv w:val="1"/>
      <w:marLeft w:val="0"/>
      <w:marRight w:val="0"/>
      <w:marTop w:val="0"/>
      <w:marBottom w:val="0"/>
      <w:divBdr>
        <w:top w:val="none" w:sz="0" w:space="0" w:color="auto"/>
        <w:left w:val="none" w:sz="0" w:space="0" w:color="auto"/>
        <w:bottom w:val="none" w:sz="0" w:space="0" w:color="auto"/>
        <w:right w:val="none" w:sz="0" w:space="0" w:color="auto"/>
      </w:divBdr>
    </w:div>
    <w:div w:id="892038467">
      <w:bodyDiv w:val="1"/>
      <w:marLeft w:val="0"/>
      <w:marRight w:val="0"/>
      <w:marTop w:val="0"/>
      <w:marBottom w:val="0"/>
      <w:divBdr>
        <w:top w:val="none" w:sz="0" w:space="0" w:color="auto"/>
        <w:left w:val="none" w:sz="0" w:space="0" w:color="auto"/>
        <w:bottom w:val="none" w:sz="0" w:space="0" w:color="auto"/>
        <w:right w:val="none" w:sz="0" w:space="0" w:color="auto"/>
      </w:divBdr>
    </w:div>
    <w:div w:id="892082006">
      <w:bodyDiv w:val="1"/>
      <w:marLeft w:val="0"/>
      <w:marRight w:val="0"/>
      <w:marTop w:val="0"/>
      <w:marBottom w:val="0"/>
      <w:divBdr>
        <w:top w:val="none" w:sz="0" w:space="0" w:color="auto"/>
        <w:left w:val="none" w:sz="0" w:space="0" w:color="auto"/>
        <w:bottom w:val="none" w:sz="0" w:space="0" w:color="auto"/>
        <w:right w:val="none" w:sz="0" w:space="0" w:color="auto"/>
      </w:divBdr>
    </w:div>
    <w:div w:id="892157514">
      <w:bodyDiv w:val="1"/>
      <w:marLeft w:val="0"/>
      <w:marRight w:val="0"/>
      <w:marTop w:val="0"/>
      <w:marBottom w:val="0"/>
      <w:divBdr>
        <w:top w:val="none" w:sz="0" w:space="0" w:color="auto"/>
        <w:left w:val="none" w:sz="0" w:space="0" w:color="auto"/>
        <w:bottom w:val="none" w:sz="0" w:space="0" w:color="auto"/>
        <w:right w:val="none" w:sz="0" w:space="0" w:color="auto"/>
      </w:divBdr>
    </w:div>
    <w:div w:id="892160430">
      <w:bodyDiv w:val="1"/>
      <w:marLeft w:val="0"/>
      <w:marRight w:val="0"/>
      <w:marTop w:val="0"/>
      <w:marBottom w:val="0"/>
      <w:divBdr>
        <w:top w:val="none" w:sz="0" w:space="0" w:color="auto"/>
        <w:left w:val="none" w:sz="0" w:space="0" w:color="auto"/>
        <w:bottom w:val="none" w:sz="0" w:space="0" w:color="auto"/>
        <w:right w:val="none" w:sz="0" w:space="0" w:color="auto"/>
      </w:divBdr>
    </w:div>
    <w:div w:id="892160442">
      <w:bodyDiv w:val="1"/>
      <w:marLeft w:val="0"/>
      <w:marRight w:val="0"/>
      <w:marTop w:val="0"/>
      <w:marBottom w:val="0"/>
      <w:divBdr>
        <w:top w:val="none" w:sz="0" w:space="0" w:color="auto"/>
        <w:left w:val="none" w:sz="0" w:space="0" w:color="auto"/>
        <w:bottom w:val="none" w:sz="0" w:space="0" w:color="auto"/>
        <w:right w:val="none" w:sz="0" w:space="0" w:color="auto"/>
      </w:divBdr>
    </w:div>
    <w:div w:id="892231064">
      <w:bodyDiv w:val="1"/>
      <w:marLeft w:val="0"/>
      <w:marRight w:val="0"/>
      <w:marTop w:val="0"/>
      <w:marBottom w:val="0"/>
      <w:divBdr>
        <w:top w:val="none" w:sz="0" w:space="0" w:color="auto"/>
        <w:left w:val="none" w:sz="0" w:space="0" w:color="auto"/>
        <w:bottom w:val="none" w:sz="0" w:space="0" w:color="auto"/>
        <w:right w:val="none" w:sz="0" w:space="0" w:color="auto"/>
      </w:divBdr>
    </w:div>
    <w:div w:id="892276920">
      <w:bodyDiv w:val="1"/>
      <w:marLeft w:val="0"/>
      <w:marRight w:val="0"/>
      <w:marTop w:val="0"/>
      <w:marBottom w:val="0"/>
      <w:divBdr>
        <w:top w:val="none" w:sz="0" w:space="0" w:color="auto"/>
        <w:left w:val="none" w:sz="0" w:space="0" w:color="auto"/>
        <w:bottom w:val="none" w:sz="0" w:space="0" w:color="auto"/>
        <w:right w:val="none" w:sz="0" w:space="0" w:color="auto"/>
      </w:divBdr>
    </w:div>
    <w:div w:id="892426518">
      <w:bodyDiv w:val="1"/>
      <w:marLeft w:val="0"/>
      <w:marRight w:val="0"/>
      <w:marTop w:val="0"/>
      <w:marBottom w:val="0"/>
      <w:divBdr>
        <w:top w:val="none" w:sz="0" w:space="0" w:color="auto"/>
        <w:left w:val="none" w:sz="0" w:space="0" w:color="auto"/>
        <w:bottom w:val="none" w:sz="0" w:space="0" w:color="auto"/>
        <w:right w:val="none" w:sz="0" w:space="0" w:color="auto"/>
      </w:divBdr>
    </w:div>
    <w:div w:id="892542999">
      <w:bodyDiv w:val="1"/>
      <w:marLeft w:val="0"/>
      <w:marRight w:val="0"/>
      <w:marTop w:val="0"/>
      <w:marBottom w:val="0"/>
      <w:divBdr>
        <w:top w:val="none" w:sz="0" w:space="0" w:color="auto"/>
        <w:left w:val="none" w:sz="0" w:space="0" w:color="auto"/>
        <w:bottom w:val="none" w:sz="0" w:space="0" w:color="auto"/>
        <w:right w:val="none" w:sz="0" w:space="0" w:color="auto"/>
      </w:divBdr>
    </w:div>
    <w:div w:id="892544343">
      <w:bodyDiv w:val="1"/>
      <w:marLeft w:val="0"/>
      <w:marRight w:val="0"/>
      <w:marTop w:val="0"/>
      <w:marBottom w:val="0"/>
      <w:divBdr>
        <w:top w:val="none" w:sz="0" w:space="0" w:color="auto"/>
        <w:left w:val="none" w:sz="0" w:space="0" w:color="auto"/>
        <w:bottom w:val="none" w:sz="0" w:space="0" w:color="auto"/>
        <w:right w:val="none" w:sz="0" w:space="0" w:color="auto"/>
      </w:divBdr>
    </w:div>
    <w:div w:id="892617969">
      <w:bodyDiv w:val="1"/>
      <w:marLeft w:val="0"/>
      <w:marRight w:val="0"/>
      <w:marTop w:val="0"/>
      <w:marBottom w:val="0"/>
      <w:divBdr>
        <w:top w:val="none" w:sz="0" w:space="0" w:color="auto"/>
        <w:left w:val="none" w:sz="0" w:space="0" w:color="auto"/>
        <w:bottom w:val="none" w:sz="0" w:space="0" w:color="auto"/>
        <w:right w:val="none" w:sz="0" w:space="0" w:color="auto"/>
      </w:divBdr>
    </w:div>
    <w:div w:id="892735030">
      <w:bodyDiv w:val="1"/>
      <w:marLeft w:val="0"/>
      <w:marRight w:val="0"/>
      <w:marTop w:val="0"/>
      <w:marBottom w:val="0"/>
      <w:divBdr>
        <w:top w:val="none" w:sz="0" w:space="0" w:color="auto"/>
        <w:left w:val="none" w:sz="0" w:space="0" w:color="auto"/>
        <w:bottom w:val="none" w:sz="0" w:space="0" w:color="auto"/>
        <w:right w:val="none" w:sz="0" w:space="0" w:color="auto"/>
      </w:divBdr>
    </w:div>
    <w:div w:id="892808520">
      <w:bodyDiv w:val="1"/>
      <w:marLeft w:val="0"/>
      <w:marRight w:val="0"/>
      <w:marTop w:val="0"/>
      <w:marBottom w:val="0"/>
      <w:divBdr>
        <w:top w:val="none" w:sz="0" w:space="0" w:color="auto"/>
        <w:left w:val="none" w:sz="0" w:space="0" w:color="auto"/>
        <w:bottom w:val="none" w:sz="0" w:space="0" w:color="auto"/>
        <w:right w:val="none" w:sz="0" w:space="0" w:color="auto"/>
      </w:divBdr>
    </w:div>
    <w:div w:id="892883411">
      <w:bodyDiv w:val="1"/>
      <w:marLeft w:val="0"/>
      <w:marRight w:val="0"/>
      <w:marTop w:val="0"/>
      <w:marBottom w:val="0"/>
      <w:divBdr>
        <w:top w:val="none" w:sz="0" w:space="0" w:color="auto"/>
        <w:left w:val="none" w:sz="0" w:space="0" w:color="auto"/>
        <w:bottom w:val="none" w:sz="0" w:space="0" w:color="auto"/>
        <w:right w:val="none" w:sz="0" w:space="0" w:color="auto"/>
      </w:divBdr>
    </w:div>
    <w:div w:id="892930045">
      <w:bodyDiv w:val="1"/>
      <w:marLeft w:val="0"/>
      <w:marRight w:val="0"/>
      <w:marTop w:val="0"/>
      <w:marBottom w:val="0"/>
      <w:divBdr>
        <w:top w:val="none" w:sz="0" w:space="0" w:color="auto"/>
        <w:left w:val="none" w:sz="0" w:space="0" w:color="auto"/>
        <w:bottom w:val="none" w:sz="0" w:space="0" w:color="auto"/>
        <w:right w:val="none" w:sz="0" w:space="0" w:color="auto"/>
      </w:divBdr>
    </w:div>
    <w:div w:id="892958607">
      <w:bodyDiv w:val="1"/>
      <w:marLeft w:val="0"/>
      <w:marRight w:val="0"/>
      <w:marTop w:val="0"/>
      <w:marBottom w:val="0"/>
      <w:divBdr>
        <w:top w:val="none" w:sz="0" w:space="0" w:color="auto"/>
        <w:left w:val="none" w:sz="0" w:space="0" w:color="auto"/>
        <w:bottom w:val="none" w:sz="0" w:space="0" w:color="auto"/>
        <w:right w:val="none" w:sz="0" w:space="0" w:color="auto"/>
      </w:divBdr>
    </w:div>
    <w:div w:id="893006110">
      <w:bodyDiv w:val="1"/>
      <w:marLeft w:val="0"/>
      <w:marRight w:val="0"/>
      <w:marTop w:val="0"/>
      <w:marBottom w:val="0"/>
      <w:divBdr>
        <w:top w:val="none" w:sz="0" w:space="0" w:color="auto"/>
        <w:left w:val="none" w:sz="0" w:space="0" w:color="auto"/>
        <w:bottom w:val="none" w:sz="0" w:space="0" w:color="auto"/>
        <w:right w:val="none" w:sz="0" w:space="0" w:color="auto"/>
      </w:divBdr>
    </w:div>
    <w:div w:id="893079734">
      <w:bodyDiv w:val="1"/>
      <w:marLeft w:val="0"/>
      <w:marRight w:val="0"/>
      <w:marTop w:val="0"/>
      <w:marBottom w:val="0"/>
      <w:divBdr>
        <w:top w:val="none" w:sz="0" w:space="0" w:color="auto"/>
        <w:left w:val="none" w:sz="0" w:space="0" w:color="auto"/>
        <w:bottom w:val="none" w:sz="0" w:space="0" w:color="auto"/>
        <w:right w:val="none" w:sz="0" w:space="0" w:color="auto"/>
      </w:divBdr>
    </w:div>
    <w:div w:id="893126600">
      <w:bodyDiv w:val="1"/>
      <w:marLeft w:val="0"/>
      <w:marRight w:val="0"/>
      <w:marTop w:val="0"/>
      <w:marBottom w:val="0"/>
      <w:divBdr>
        <w:top w:val="none" w:sz="0" w:space="0" w:color="auto"/>
        <w:left w:val="none" w:sz="0" w:space="0" w:color="auto"/>
        <w:bottom w:val="none" w:sz="0" w:space="0" w:color="auto"/>
        <w:right w:val="none" w:sz="0" w:space="0" w:color="auto"/>
      </w:divBdr>
    </w:div>
    <w:div w:id="893465371">
      <w:bodyDiv w:val="1"/>
      <w:marLeft w:val="0"/>
      <w:marRight w:val="0"/>
      <w:marTop w:val="0"/>
      <w:marBottom w:val="0"/>
      <w:divBdr>
        <w:top w:val="none" w:sz="0" w:space="0" w:color="auto"/>
        <w:left w:val="none" w:sz="0" w:space="0" w:color="auto"/>
        <w:bottom w:val="none" w:sz="0" w:space="0" w:color="auto"/>
        <w:right w:val="none" w:sz="0" w:space="0" w:color="auto"/>
      </w:divBdr>
    </w:div>
    <w:div w:id="893588531">
      <w:bodyDiv w:val="1"/>
      <w:marLeft w:val="0"/>
      <w:marRight w:val="0"/>
      <w:marTop w:val="0"/>
      <w:marBottom w:val="0"/>
      <w:divBdr>
        <w:top w:val="none" w:sz="0" w:space="0" w:color="auto"/>
        <w:left w:val="none" w:sz="0" w:space="0" w:color="auto"/>
        <w:bottom w:val="none" w:sz="0" w:space="0" w:color="auto"/>
        <w:right w:val="none" w:sz="0" w:space="0" w:color="auto"/>
      </w:divBdr>
    </w:div>
    <w:div w:id="893615285">
      <w:bodyDiv w:val="1"/>
      <w:marLeft w:val="0"/>
      <w:marRight w:val="0"/>
      <w:marTop w:val="0"/>
      <w:marBottom w:val="0"/>
      <w:divBdr>
        <w:top w:val="none" w:sz="0" w:space="0" w:color="auto"/>
        <w:left w:val="none" w:sz="0" w:space="0" w:color="auto"/>
        <w:bottom w:val="none" w:sz="0" w:space="0" w:color="auto"/>
        <w:right w:val="none" w:sz="0" w:space="0" w:color="auto"/>
      </w:divBdr>
    </w:div>
    <w:div w:id="893780176">
      <w:bodyDiv w:val="1"/>
      <w:marLeft w:val="0"/>
      <w:marRight w:val="0"/>
      <w:marTop w:val="0"/>
      <w:marBottom w:val="0"/>
      <w:divBdr>
        <w:top w:val="none" w:sz="0" w:space="0" w:color="auto"/>
        <w:left w:val="none" w:sz="0" w:space="0" w:color="auto"/>
        <w:bottom w:val="none" w:sz="0" w:space="0" w:color="auto"/>
        <w:right w:val="none" w:sz="0" w:space="0" w:color="auto"/>
      </w:divBdr>
    </w:div>
    <w:div w:id="893927688">
      <w:bodyDiv w:val="1"/>
      <w:marLeft w:val="0"/>
      <w:marRight w:val="0"/>
      <w:marTop w:val="0"/>
      <w:marBottom w:val="0"/>
      <w:divBdr>
        <w:top w:val="none" w:sz="0" w:space="0" w:color="auto"/>
        <w:left w:val="none" w:sz="0" w:space="0" w:color="auto"/>
        <w:bottom w:val="none" w:sz="0" w:space="0" w:color="auto"/>
        <w:right w:val="none" w:sz="0" w:space="0" w:color="auto"/>
      </w:divBdr>
    </w:div>
    <w:div w:id="894121159">
      <w:bodyDiv w:val="1"/>
      <w:marLeft w:val="0"/>
      <w:marRight w:val="0"/>
      <w:marTop w:val="0"/>
      <w:marBottom w:val="0"/>
      <w:divBdr>
        <w:top w:val="none" w:sz="0" w:space="0" w:color="auto"/>
        <w:left w:val="none" w:sz="0" w:space="0" w:color="auto"/>
        <w:bottom w:val="none" w:sz="0" w:space="0" w:color="auto"/>
        <w:right w:val="none" w:sz="0" w:space="0" w:color="auto"/>
      </w:divBdr>
    </w:div>
    <w:div w:id="894127437">
      <w:bodyDiv w:val="1"/>
      <w:marLeft w:val="0"/>
      <w:marRight w:val="0"/>
      <w:marTop w:val="0"/>
      <w:marBottom w:val="0"/>
      <w:divBdr>
        <w:top w:val="none" w:sz="0" w:space="0" w:color="auto"/>
        <w:left w:val="none" w:sz="0" w:space="0" w:color="auto"/>
        <w:bottom w:val="none" w:sz="0" w:space="0" w:color="auto"/>
        <w:right w:val="none" w:sz="0" w:space="0" w:color="auto"/>
      </w:divBdr>
    </w:div>
    <w:div w:id="894198874">
      <w:bodyDiv w:val="1"/>
      <w:marLeft w:val="0"/>
      <w:marRight w:val="0"/>
      <w:marTop w:val="0"/>
      <w:marBottom w:val="0"/>
      <w:divBdr>
        <w:top w:val="none" w:sz="0" w:space="0" w:color="auto"/>
        <w:left w:val="none" w:sz="0" w:space="0" w:color="auto"/>
        <w:bottom w:val="none" w:sz="0" w:space="0" w:color="auto"/>
        <w:right w:val="none" w:sz="0" w:space="0" w:color="auto"/>
      </w:divBdr>
    </w:div>
    <w:div w:id="894199573">
      <w:bodyDiv w:val="1"/>
      <w:marLeft w:val="0"/>
      <w:marRight w:val="0"/>
      <w:marTop w:val="0"/>
      <w:marBottom w:val="0"/>
      <w:divBdr>
        <w:top w:val="none" w:sz="0" w:space="0" w:color="auto"/>
        <w:left w:val="none" w:sz="0" w:space="0" w:color="auto"/>
        <w:bottom w:val="none" w:sz="0" w:space="0" w:color="auto"/>
        <w:right w:val="none" w:sz="0" w:space="0" w:color="auto"/>
      </w:divBdr>
    </w:div>
    <w:div w:id="894203037">
      <w:bodyDiv w:val="1"/>
      <w:marLeft w:val="0"/>
      <w:marRight w:val="0"/>
      <w:marTop w:val="0"/>
      <w:marBottom w:val="0"/>
      <w:divBdr>
        <w:top w:val="none" w:sz="0" w:space="0" w:color="auto"/>
        <w:left w:val="none" w:sz="0" w:space="0" w:color="auto"/>
        <w:bottom w:val="none" w:sz="0" w:space="0" w:color="auto"/>
        <w:right w:val="none" w:sz="0" w:space="0" w:color="auto"/>
      </w:divBdr>
    </w:div>
    <w:div w:id="894241359">
      <w:bodyDiv w:val="1"/>
      <w:marLeft w:val="0"/>
      <w:marRight w:val="0"/>
      <w:marTop w:val="0"/>
      <w:marBottom w:val="0"/>
      <w:divBdr>
        <w:top w:val="none" w:sz="0" w:space="0" w:color="auto"/>
        <w:left w:val="none" w:sz="0" w:space="0" w:color="auto"/>
        <w:bottom w:val="none" w:sz="0" w:space="0" w:color="auto"/>
        <w:right w:val="none" w:sz="0" w:space="0" w:color="auto"/>
      </w:divBdr>
    </w:div>
    <w:div w:id="894269430">
      <w:bodyDiv w:val="1"/>
      <w:marLeft w:val="0"/>
      <w:marRight w:val="0"/>
      <w:marTop w:val="0"/>
      <w:marBottom w:val="0"/>
      <w:divBdr>
        <w:top w:val="none" w:sz="0" w:space="0" w:color="auto"/>
        <w:left w:val="none" w:sz="0" w:space="0" w:color="auto"/>
        <w:bottom w:val="none" w:sz="0" w:space="0" w:color="auto"/>
        <w:right w:val="none" w:sz="0" w:space="0" w:color="auto"/>
      </w:divBdr>
    </w:div>
    <w:div w:id="894393471">
      <w:bodyDiv w:val="1"/>
      <w:marLeft w:val="0"/>
      <w:marRight w:val="0"/>
      <w:marTop w:val="0"/>
      <w:marBottom w:val="0"/>
      <w:divBdr>
        <w:top w:val="none" w:sz="0" w:space="0" w:color="auto"/>
        <w:left w:val="none" w:sz="0" w:space="0" w:color="auto"/>
        <w:bottom w:val="none" w:sz="0" w:space="0" w:color="auto"/>
        <w:right w:val="none" w:sz="0" w:space="0" w:color="auto"/>
      </w:divBdr>
    </w:div>
    <w:div w:id="894701771">
      <w:bodyDiv w:val="1"/>
      <w:marLeft w:val="0"/>
      <w:marRight w:val="0"/>
      <w:marTop w:val="0"/>
      <w:marBottom w:val="0"/>
      <w:divBdr>
        <w:top w:val="none" w:sz="0" w:space="0" w:color="auto"/>
        <w:left w:val="none" w:sz="0" w:space="0" w:color="auto"/>
        <w:bottom w:val="none" w:sz="0" w:space="0" w:color="auto"/>
        <w:right w:val="none" w:sz="0" w:space="0" w:color="auto"/>
      </w:divBdr>
    </w:div>
    <w:div w:id="894775713">
      <w:bodyDiv w:val="1"/>
      <w:marLeft w:val="0"/>
      <w:marRight w:val="0"/>
      <w:marTop w:val="0"/>
      <w:marBottom w:val="0"/>
      <w:divBdr>
        <w:top w:val="none" w:sz="0" w:space="0" w:color="auto"/>
        <w:left w:val="none" w:sz="0" w:space="0" w:color="auto"/>
        <w:bottom w:val="none" w:sz="0" w:space="0" w:color="auto"/>
        <w:right w:val="none" w:sz="0" w:space="0" w:color="auto"/>
      </w:divBdr>
    </w:div>
    <w:div w:id="894781296">
      <w:bodyDiv w:val="1"/>
      <w:marLeft w:val="0"/>
      <w:marRight w:val="0"/>
      <w:marTop w:val="0"/>
      <w:marBottom w:val="0"/>
      <w:divBdr>
        <w:top w:val="none" w:sz="0" w:space="0" w:color="auto"/>
        <w:left w:val="none" w:sz="0" w:space="0" w:color="auto"/>
        <w:bottom w:val="none" w:sz="0" w:space="0" w:color="auto"/>
        <w:right w:val="none" w:sz="0" w:space="0" w:color="auto"/>
      </w:divBdr>
    </w:div>
    <w:div w:id="894850358">
      <w:bodyDiv w:val="1"/>
      <w:marLeft w:val="0"/>
      <w:marRight w:val="0"/>
      <w:marTop w:val="0"/>
      <w:marBottom w:val="0"/>
      <w:divBdr>
        <w:top w:val="none" w:sz="0" w:space="0" w:color="auto"/>
        <w:left w:val="none" w:sz="0" w:space="0" w:color="auto"/>
        <w:bottom w:val="none" w:sz="0" w:space="0" w:color="auto"/>
        <w:right w:val="none" w:sz="0" w:space="0" w:color="auto"/>
      </w:divBdr>
    </w:div>
    <w:div w:id="894968718">
      <w:bodyDiv w:val="1"/>
      <w:marLeft w:val="0"/>
      <w:marRight w:val="0"/>
      <w:marTop w:val="0"/>
      <w:marBottom w:val="0"/>
      <w:divBdr>
        <w:top w:val="none" w:sz="0" w:space="0" w:color="auto"/>
        <w:left w:val="none" w:sz="0" w:space="0" w:color="auto"/>
        <w:bottom w:val="none" w:sz="0" w:space="0" w:color="auto"/>
        <w:right w:val="none" w:sz="0" w:space="0" w:color="auto"/>
      </w:divBdr>
    </w:div>
    <w:div w:id="895045016">
      <w:bodyDiv w:val="1"/>
      <w:marLeft w:val="0"/>
      <w:marRight w:val="0"/>
      <w:marTop w:val="0"/>
      <w:marBottom w:val="0"/>
      <w:divBdr>
        <w:top w:val="none" w:sz="0" w:space="0" w:color="auto"/>
        <w:left w:val="none" w:sz="0" w:space="0" w:color="auto"/>
        <w:bottom w:val="none" w:sz="0" w:space="0" w:color="auto"/>
        <w:right w:val="none" w:sz="0" w:space="0" w:color="auto"/>
      </w:divBdr>
    </w:div>
    <w:div w:id="895118827">
      <w:bodyDiv w:val="1"/>
      <w:marLeft w:val="0"/>
      <w:marRight w:val="0"/>
      <w:marTop w:val="0"/>
      <w:marBottom w:val="0"/>
      <w:divBdr>
        <w:top w:val="none" w:sz="0" w:space="0" w:color="auto"/>
        <w:left w:val="none" w:sz="0" w:space="0" w:color="auto"/>
        <w:bottom w:val="none" w:sz="0" w:space="0" w:color="auto"/>
        <w:right w:val="none" w:sz="0" w:space="0" w:color="auto"/>
      </w:divBdr>
    </w:div>
    <w:div w:id="895119595">
      <w:bodyDiv w:val="1"/>
      <w:marLeft w:val="0"/>
      <w:marRight w:val="0"/>
      <w:marTop w:val="0"/>
      <w:marBottom w:val="0"/>
      <w:divBdr>
        <w:top w:val="none" w:sz="0" w:space="0" w:color="auto"/>
        <w:left w:val="none" w:sz="0" w:space="0" w:color="auto"/>
        <w:bottom w:val="none" w:sz="0" w:space="0" w:color="auto"/>
        <w:right w:val="none" w:sz="0" w:space="0" w:color="auto"/>
      </w:divBdr>
    </w:div>
    <w:div w:id="895167009">
      <w:bodyDiv w:val="1"/>
      <w:marLeft w:val="0"/>
      <w:marRight w:val="0"/>
      <w:marTop w:val="0"/>
      <w:marBottom w:val="0"/>
      <w:divBdr>
        <w:top w:val="none" w:sz="0" w:space="0" w:color="auto"/>
        <w:left w:val="none" w:sz="0" w:space="0" w:color="auto"/>
        <w:bottom w:val="none" w:sz="0" w:space="0" w:color="auto"/>
        <w:right w:val="none" w:sz="0" w:space="0" w:color="auto"/>
      </w:divBdr>
    </w:div>
    <w:div w:id="895356035">
      <w:bodyDiv w:val="1"/>
      <w:marLeft w:val="0"/>
      <w:marRight w:val="0"/>
      <w:marTop w:val="0"/>
      <w:marBottom w:val="0"/>
      <w:divBdr>
        <w:top w:val="none" w:sz="0" w:space="0" w:color="auto"/>
        <w:left w:val="none" w:sz="0" w:space="0" w:color="auto"/>
        <w:bottom w:val="none" w:sz="0" w:space="0" w:color="auto"/>
        <w:right w:val="none" w:sz="0" w:space="0" w:color="auto"/>
      </w:divBdr>
    </w:div>
    <w:div w:id="895358633">
      <w:bodyDiv w:val="1"/>
      <w:marLeft w:val="0"/>
      <w:marRight w:val="0"/>
      <w:marTop w:val="0"/>
      <w:marBottom w:val="0"/>
      <w:divBdr>
        <w:top w:val="none" w:sz="0" w:space="0" w:color="auto"/>
        <w:left w:val="none" w:sz="0" w:space="0" w:color="auto"/>
        <w:bottom w:val="none" w:sz="0" w:space="0" w:color="auto"/>
        <w:right w:val="none" w:sz="0" w:space="0" w:color="auto"/>
      </w:divBdr>
    </w:div>
    <w:div w:id="895431322">
      <w:bodyDiv w:val="1"/>
      <w:marLeft w:val="0"/>
      <w:marRight w:val="0"/>
      <w:marTop w:val="0"/>
      <w:marBottom w:val="0"/>
      <w:divBdr>
        <w:top w:val="none" w:sz="0" w:space="0" w:color="auto"/>
        <w:left w:val="none" w:sz="0" w:space="0" w:color="auto"/>
        <w:bottom w:val="none" w:sz="0" w:space="0" w:color="auto"/>
        <w:right w:val="none" w:sz="0" w:space="0" w:color="auto"/>
      </w:divBdr>
    </w:div>
    <w:div w:id="895555308">
      <w:bodyDiv w:val="1"/>
      <w:marLeft w:val="0"/>
      <w:marRight w:val="0"/>
      <w:marTop w:val="0"/>
      <w:marBottom w:val="0"/>
      <w:divBdr>
        <w:top w:val="none" w:sz="0" w:space="0" w:color="auto"/>
        <w:left w:val="none" w:sz="0" w:space="0" w:color="auto"/>
        <w:bottom w:val="none" w:sz="0" w:space="0" w:color="auto"/>
        <w:right w:val="none" w:sz="0" w:space="0" w:color="auto"/>
      </w:divBdr>
    </w:div>
    <w:div w:id="895707020">
      <w:bodyDiv w:val="1"/>
      <w:marLeft w:val="0"/>
      <w:marRight w:val="0"/>
      <w:marTop w:val="0"/>
      <w:marBottom w:val="0"/>
      <w:divBdr>
        <w:top w:val="none" w:sz="0" w:space="0" w:color="auto"/>
        <w:left w:val="none" w:sz="0" w:space="0" w:color="auto"/>
        <w:bottom w:val="none" w:sz="0" w:space="0" w:color="auto"/>
        <w:right w:val="none" w:sz="0" w:space="0" w:color="auto"/>
      </w:divBdr>
    </w:div>
    <w:div w:id="895747016">
      <w:bodyDiv w:val="1"/>
      <w:marLeft w:val="0"/>
      <w:marRight w:val="0"/>
      <w:marTop w:val="0"/>
      <w:marBottom w:val="0"/>
      <w:divBdr>
        <w:top w:val="none" w:sz="0" w:space="0" w:color="auto"/>
        <w:left w:val="none" w:sz="0" w:space="0" w:color="auto"/>
        <w:bottom w:val="none" w:sz="0" w:space="0" w:color="auto"/>
        <w:right w:val="none" w:sz="0" w:space="0" w:color="auto"/>
      </w:divBdr>
    </w:div>
    <w:div w:id="895747677">
      <w:bodyDiv w:val="1"/>
      <w:marLeft w:val="0"/>
      <w:marRight w:val="0"/>
      <w:marTop w:val="0"/>
      <w:marBottom w:val="0"/>
      <w:divBdr>
        <w:top w:val="none" w:sz="0" w:space="0" w:color="auto"/>
        <w:left w:val="none" w:sz="0" w:space="0" w:color="auto"/>
        <w:bottom w:val="none" w:sz="0" w:space="0" w:color="auto"/>
        <w:right w:val="none" w:sz="0" w:space="0" w:color="auto"/>
      </w:divBdr>
    </w:div>
    <w:div w:id="895818500">
      <w:bodyDiv w:val="1"/>
      <w:marLeft w:val="0"/>
      <w:marRight w:val="0"/>
      <w:marTop w:val="0"/>
      <w:marBottom w:val="0"/>
      <w:divBdr>
        <w:top w:val="none" w:sz="0" w:space="0" w:color="auto"/>
        <w:left w:val="none" w:sz="0" w:space="0" w:color="auto"/>
        <w:bottom w:val="none" w:sz="0" w:space="0" w:color="auto"/>
        <w:right w:val="none" w:sz="0" w:space="0" w:color="auto"/>
      </w:divBdr>
    </w:div>
    <w:div w:id="895894114">
      <w:bodyDiv w:val="1"/>
      <w:marLeft w:val="0"/>
      <w:marRight w:val="0"/>
      <w:marTop w:val="0"/>
      <w:marBottom w:val="0"/>
      <w:divBdr>
        <w:top w:val="none" w:sz="0" w:space="0" w:color="auto"/>
        <w:left w:val="none" w:sz="0" w:space="0" w:color="auto"/>
        <w:bottom w:val="none" w:sz="0" w:space="0" w:color="auto"/>
        <w:right w:val="none" w:sz="0" w:space="0" w:color="auto"/>
      </w:divBdr>
    </w:div>
    <w:div w:id="895942707">
      <w:bodyDiv w:val="1"/>
      <w:marLeft w:val="0"/>
      <w:marRight w:val="0"/>
      <w:marTop w:val="0"/>
      <w:marBottom w:val="0"/>
      <w:divBdr>
        <w:top w:val="none" w:sz="0" w:space="0" w:color="auto"/>
        <w:left w:val="none" w:sz="0" w:space="0" w:color="auto"/>
        <w:bottom w:val="none" w:sz="0" w:space="0" w:color="auto"/>
        <w:right w:val="none" w:sz="0" w:space="0" w:color="auto"/>
      </w:divBdr>
    </w:div>
    <w:div w:id="896159502">
      <w:bodyDiv w:val="1"/>
      <w:marLeft w:val="0"/>
      <w:marRight w:val="0"/>
      <w:marTop w:val="0"/>
      <w:marBottom w:val="0"/>
      <w:divBdr>
        <w:top w:val="none" w:sz="0" w:space="0" w:color="auto"/>
        <w:left w:val="none" w:sz="0" w:space="0" w:color="auto"/>
        <w:bottom w:val="none" w:sz="0" w:space="0" w:color="auto"/>
        <w:right w:val="none" w:sz="0" w:space="0" w:color="auto"/>
      </w:divBdr>
    </w:div>
    <w:div w:id="896206528">
      <w:bodyDiv w:val="1"/>
      <w:marLeft w:val="0"/>
      <w:marRight w:val="0"/>
      <w:marTop w:val="0"/>
      <w:marBottom w:val="0"/>
      <w:divBdr>
        <w:top w:val="none" w:sz="0" w:space="0" w:color="auto"/>
        <w:left w:val="none" w:sz="0" w:space="0" w:color="auto"/>
        <w:bottom w:val="none" w:sz="0" w:space="0" w:color="auto"/>
        <w:right w:val="none" w:sz="0" w:space="0" w:color="auto"/>
      </w:divBdr>
    </w:div>
    <w:div w:id="896358289">
      <w:bodyDiv w:val="1"/>
      <w:marLeft w:val="0"/>
      <w:marRight w:val="0"/>
      <w:marTop w:val="0"/>
      <w:marBottom w:val="0"/>
      <w:divBdr>
        <w:top w:val="none" w:sz="0" w:space="0" w:color="auto"/>
        <w:left w:val="none" w:sz="0" w:space="0" w:color="auto"/>
        <w:bottom w:val="none" w:sz="0" w:space="0" w:color="auto"/>
        <w:right w:val="none" w:sz="0" w:space="0" w:color="auto"/>
      </w:divBdr>
    </w:div>
    <w:div w:id="896360757">
      <w:bodyDiv w:val="1"/>
      <w:marLeft w:val="0"/>
      <w:marRight w:val="0"/>
      <w:marTop w:val="0"/>
      <w:marBottom w:val="0"/>
      <w:divBdr>
        <w:top w:val="none" w:sz="0" w:space="0" w:color="auto"/>
        <w:left w:val="none" w:sz="0" w:space="0" w:color="auto"/>
        <w:bottom w:val="none" w:sz="0" w:space="0" w:color="auto"/>
        <w:right w:val="none" w:sz="0" w:space="0" w:color="auto"/>
      </w:divBdr>
    </w:div>
    <w:div w:id="896360844">
      <w:bodyDiv w:val="1"/>
      <w:marLeft w:val="0"/>
      <w:marRight w:val="0"/>
      <w:marTop w:val="0"/>
      <w:marBottom w:val="0"/>
      <w:divBdr>
        <w:top w:val="none" w:sz="0" w:space="0" w:color="auto"/>
        <w:left w:val="none" w:sz="0" w:space="0" w:color="auto"/>
        <w:bottom w:val="none" w:sz="0" w:space="0" w:color="auto"/>
        <w:right w:val="none" w:sz="0" w:space="0" w:color="auto"/>
      </w:divBdr>
    </w:div>
    <w:div w:id="896475534">
      <w:bodyDiv w:val="1"/>
      <w:marLeft w:val="0"/>
      <w:marRight w:val="0"/>
      <w:marTop w:val="0"/>
      <w:marBottom w:val="0"/>
      <w:divBdr>
        <w:top w:val="none" w:sz="0" w:space="0" w:color="auto"/>
        <w:left w:val="none" w:sz="0" w:space="0" w:color="auto"/>
        <w:bottom w:val="none" w:sz="0" w:space="0" w:color="auto"/>
        <w:right w:val="none" w:sz="0" w:space="0" w:color="auto"/>
      </w:divBdr>
    </w:div>
    <w:div w:id="896480082">
      <w:bodyDiv w:val="1"/>
      <w:marLeft w:val="0"/>
      <w:marRight w:val="0"/>
      <w:marTop w:val="0"/>
      <w:marBottom w:val="0"/>
      <w:divBdr>
        <w:top w:val="none" w:sz="0" w:space="0" w:color="auto"/>
        <w:left w:val="none" w:sz="0" w:space="0" w:color="auto"/>
        <w:bottom w:val="none" w:sz="0" w:space="0" w:color="auto"/>
        <w:right w:val="none" w:sz="0" w:space="0" w:color="auto"/>
      </w:divBdr>
    </w:div>
    <w:div w:id="896626120">
      <w:bodyDiv w:val="1"/>
      <w:marLeft w:val="0"/>
      <w:marRight w:val="0"/>
      <w:marTop w:val="0"/>
      <w:marBottom w:val="0"/>
      <w:divBdr>
        <w:top w:val="none" w:sz="0" w:space="0" w:color="auto"/>
        <w:left w:val="none" w:sz="0" w:space="0" w:color="auto"/>
        <w:bottom w:val="none" w:sz="0" w:space="0" w:color="auto"/>
        <w:right w:val="none" w:sz="0" w:space="0" w:color="auto"/>
      </w:divBdr>
    </w:div>
    <w:div w:id="896665759">
      <w:bodyDiv w:val="1"/>
      <w:marLeft w:val="0"/>
      <w:marRight w:val="0"/>
      <w:marTop w:val="0"/>
      <w:marBottom w:val="0"/>
      <w:divBdr>
        <w:top w:val="none" w:sz="0" w:space="0" w:color="auto"/>
        <w:left w:val="none" w:sz="0" w:space="0" w:color="auto"/>
        <w:bottom w:val="none" w:sz="0" w:space="0" w:color="auto"/>
        <w:right w:val="none" w:sz="0" w:space="0" w:color="auto"/>
      </w:divBdr>
    </w:div>
    <w:div w:id="896666833">
      <w:bodyDiv w:val="1"/>
      <w:marLeft w:val="0"/>
      <w:marRight w:val="0"/>
      <w:marTop w:val="0"/>
      <w:marBottom w:val="0"/>
      <w:divBdr>
        <w:top w:val="none" w:sz="0" w:space="0" w:color="auto"/>
        <w:left w:val="none" w:sz="0" w:space="0" w:color="auto"/>
        <w:bottom w:val="none" w:sz="0" w:space="0" w:color="auto"/>
        <w:right w:val="none" w:sz="0" w:space="0" w:color="auto"/>
      </w:divBdr>
    </w:div>
    <w:div w:id="896669672">
      <w:bodyDiv w:val="1"/>
      <w:marLeft w:val="0"/>
      <w:marRight w:val="0"/>
      <w:marTop w:val="0"/>
      <w:marBottom w:val="0"/>
      <w:divBdr>
        <w:top w:val="none" w:sz="0" w:space="0" w:color="auto"/>
        <w:left w:val="none" w:sz="0" w:space="0" w:color="auto"/>
        <w:bottom w:val="none" w:sz="0" w:space="0" w:color="auto"/>
        <w:right w:val="none" w:sz="0" w:space="0" w:color="auto"/>
      </w:divBdr>
    </w:div>
    <w:div w:id="896821852">
      <w:bodyDiv w:val="1"/>
      <w:marLeft w:val="0"/>
      <w:marRight w:val="0"/>
      <w:marTop w:val="0"/>
      <w:marBottom w:val="0"/>
      <w:divBdr>
        <w:top w:val="none" w:sz="0" w:space="0" w:color="auto"/>
        <w:left w:val="none" w:sz="0" w:space="0" w:color="auto"/>
        <w:bottom w:val="none" w:sz="0" w:space="0" w:color="auto"/>
        <w:right w:val="none" w:sz="0" w:space="0" w:color="auto"/>
      </w:divBdr>
    </w:div>
    <w:div w:id="896892546">
      <w:bodyDiv w:val="1"/>
      <w:marLeft w:val="0"/>
      <w:marRight w:val="0"/>
      <w:marTop w:val="0"/>
      <w:marBottom w:val="0"/>
      <w:divBdr>
        <w:top w:val="none" w:sz="0" w:space="0" w:color="auto"/>
        <w:left w:val="none" w:sz="0" w:space="0" w:color="auto"/>
        <w:bottom w:val="none" w:sz="0" w:space="0" w:color="auto"/>
        <w:right w:val="none" w:sz="0" w:space="0" w:color="auto"/>
      </w:divBdr>
    </w:div>
    <w:div w:id="896934439">
      <w:bodyDiv w:val="1"/>
      <w:marLeft w:val="0"/>
      <w:marRight w:val="0"/>
      <w:marTop w:val="0"/>
      <w:marBottom w:val="0"/>
      <w:divBdr>
        <w:top w:val="none" w:sz="0" w:space="0" w:color="auto"/>
        <w:left w:val="none" w:sz="0" w:space="0" w:color="auto"/>
        <w:bottom w:val="none" w:sz="0" w:space="0" w:color="auto"/>
        <w:right w:val="none" w:sz="0" w:space="0" w:color="auto"/>
      </w:divBdr>
    </w:div>
    <w:div w:id="897017670">
      <w:bodyDiv w:val="1"/>
      <w:marLeft w:val="0"/>
      <w:marRight w:val="0"/>
      <w:marTop w:val="0"/>
      <w:marBottom w:val="0"/>
      <w:divBdr>
        <w:top w:val="none" w:sz="0" w:space="0" w:color="auto"/>
        <w:left w:val="none" w:sz="0" w:space="0" w:color="auto"/>
        <w:bottom w:val="none" w:sz="0" w:space="0" w:color="auto"/>
        <w:right w:val="none" w:sz="0" w:space="0" w:color="auto"/>
      </w:divBdr>
    </w:div>
    <w:div w:id="897057512">
      <w:bodyDiv w:val="1"/>
      <w:marLeft w:val="0"/>
      <w:marRight w:val="0"/>
      <w:marTop w:val="0"/>
      <w:marBottom w:val="0"/>
      <w:divBdr>
        <w:top w:val="none" w:sz="0" w:space="0" w:color="auto"/>
        <w:left w:val="none" w:sz="0" w:space="0" w:color="auto"/>
        <w:bottom w:val="none" w:sz="0" w:space="0" w:color="auto"/>
        <w:right w:val="none" w:sz="0" w:space="0" w:color="auto"/>
      </w:divBdr>
    </w:div>
    <w:div w:id="897059773">
      <w:bodyDiv w:val="1"/>
      <w:marLeft w:val="0"/>
      <w:marRight w:val="0"/>
      <w:marTop w:val="0"/>
      <w:marBottom w:val="0"/>
      <w:divBdr>
        <w:top w:val="none" w:sz="0" w:space="0" w:color="auto"/>
        <w:left w:val="none" w:sz="0" w:space="0" w:color="auto"/>
        <w:bottom w:val="none" w:sz="0" w:space="0" w:color="auto"/>
        <w:right w:val="none" w:sz="0" w:space="0" w:color="auto"/>
      </w:divBdr>
    </w:div>
    <w:div w:id="897089176">
      <w:bodyDiv w:val="1"/>
      <w:marLeft w:val="0"/>
      <w:marRight w:val="0"/>
      <w:marTop w:val="0"/>
      <w:marBottom w:val="0"/>
      <w:divBdr>
        <w:top w:val="none" w:sz="0" w:space="0" w:color="auto"/>
        <w:left w:val="none" w:sz="0" w:space="0" w:color="auto"/>
        <w:bottom w:val="none" w:sz="0" w:space="0" w:color="auto"/>
        <w:right w:val="none" w:sz="0" w:space="0" w:color="auto"/>
      </w:divBdr>
    </w:div>
    <w:div w:id="897126666">
      <w:bodyDiv w:val="1"/>
      <w:marLeft w:val="0"/>
      <w:marRight w:val="0"/>
      <w:marTop w:val="0"/>
      <w:marBottom w:val="0"/>
      <w:divBdr>
        <w:top w:val="none" w:sz="0" w:space="0" w:color="auto"/>
        <w:left w:val="none" w:sz="0" w:space="0" w:color="auto"/>
        <w:bottom w:val="none" w:sz="0" w:space="0" w:color="auto"/>
        <w:right w:val="none" w:sz="0" w:space="0" w:color="auto"/>
      </w:divBdr>
    </w:div>
    <w:div w:id="897394871">
      <w:bodyDiv w:val="1"/>
      <w:marLeft w:val="0"/>
      <w:marRight w:val="0"/>
      <w:marTop w:val="0"/>
      <w:marBottom w:val="0"/>
      <w:divBdr>
        <w:top w:val="none" w:sz="0" w:space="0" w:color="auto"/>
        <w:left w:val="none" w:sz="0" w:space="0" w:color="auto"/>
        <w:bottom w:val="none" w:sz="0" w:space="0" w:color="auto"/>
        <w:right w:val="none" w:sz="0" w:space="0" w:color="auto"/>
      </w:divBdr>
    </w:div>
    <w:div w:id="897397119">
      <w:bodyDiv w:val="1"/>
      <w:marLeft w:val="0"/>
      <w:marRight w:val="0"/>
      <w:marTop w:val="0"/>
      <w:marBottom w:val="0"/>
      <w:divBdr>
        <w:top w:val="none" w:sz="0" w:space="0" w:color="auto"/>
        <w:left w:val="none" w:sz="0" w:space="0" w:color="auto"/>
        <w:bottom w:val="none" w:sz="0" w:space="0" w:color="auto"/>
        <w:right w:val="none" w:sz="0" w:space="0" w:color="auto"/>
      </w:divBdr>
    </w:div>
    <w:div w:id="897397691">
      <w:bodyDiv w:val="1"/>
      <w:marLeft w:val="0"/>
      <w:marRight w:val="0"/>
      <w:marTop w:val="0"/>
      <w:marBottom w:val="0"/>
      <w:divBdr>
        <w:top w:val="none" w:sz="0" w:space="0" w:color="auto"/>
        <w:left w:val="none" w:sz="0" w:space="0" w:color="auto"/>
        <w:bottom w:val="none" w:sz="0" w:space="0" w:color="auto"/>
        <w:right w:val="none" w:sz="0" w:space="0" w:color="auto"/>
      </w:divBdr>
    </w:div>
    <w:div w:id="897471104">
      <w:bodyDiv w:val="1"/>
      <w:marLeft w:val="0"/>
      <w:marRight w:val="0"/>
      <w:marTop w:val="0"/>
      <w:marBottom w:val="0"/>
      <w:divBdr>
        <w:top w:val="none" w:sz="0" w:space="0" w:color="auto"/>
        <w:left w:val="none" w:sz="0" w:space="0" w:color="auto"/>
        <w:bottom w:val="none" w:sz="0" w:space="0" w:color="auto"/>
        <w:right w:val="none" w:sz="0" w:space="0" w:color="auto"/>
      </w:divBdr>
    </w:div>
    <w:div w:id="897475274">
      <w:bodyDiv w:val="1"/>
      <w:marLeft w:val="0"/>
      <w:marRight w:val="0"/>
      <w:marTop w:val="0"/>
      <w:marBottom w:val="0"/>
      <w:divBdr>
        <w:top w:val="none" w:sz="0" w:space="0" w:color="auto"/>
        <w:left w:val="none" w:sz="0" w:space="0" w:color="auto"/>
        <w:bottom w:val="none" w:sz="0" w:space="0" w:color="auto"/>
        <w:right w:val="none" w:sz="0" w:space="0" w:color="auto"/>
      </w:divBdr>
    </w:div>
    <w:div w:id="897517484">
      <w:bodyDiv w:val="1"/>
      <w:marLeft w:val="0"/>
      <w:marRight w:val="0"/>
      <w:marTop w:val="0"/>
      <w:marBottom w:val="0"/>
      <w:divBdr>
        <w:top w:val="none" w:sz="0" w:space="0" w:color="auto"/>
        <w:left w:val="none" w:sz="0" w:space="0" w:color="auto"/>
        <w:bottom w:val="none" w:sz="0" w:space="0" w:color="auto"/>
        <w:right w:val="none" w:sz="0" w:space="0" w:color="auto"/>
      </w:divBdr>
    </w:div>
    <w:div w:id="897588350">
      <w:bodyDiv w:val="1"/>
      <w:marLeft w:val="0"/>
      <w:marRight w:val="0"/>
      <w:marTop w:val="0"/>
      <w:marBottom w:val="0"/>
      <w:divBdr>
        <w:top w:val="none" w:sz="0" w:space="0" w:color="auto"/>
        <w:left w:val="none" w:sz="0" w:space="0" w:color="auto"/>
        <w:bottom w:val="none" w:sz="0" w:space="0" w:color="auto"/>
        <w:right w:val="none" w:sz="0" w:space="0" w:color="auto"/>
      </w:divBdr>
    </w:div>
    <w:div w:id="897589416">
      <w:bodyDiv w:val="1"/>
      <w:marLeft w:val="0"/>
      <w:marRight w:val="0"/>
      <w:marTop w:val="0"/>
      <w:marBottom w:val="0"/>
      <w:divBdr>
        <w:top w:val="none" w:sz="0" w:space="0" w:color="auto"/>
        <w:left w:val="none" w:sz="0" w:space="0" w:color="auto"/>
        <w:bottom w:val="none" w:sz="0" w:space="0" w:color="auto"/>
        <w:right w:val="none" w:sz="0" w:space="0" w:color="auto"/>
      </w:divBdr>
    </w:div>
    <w:div w:id="897593290">
      <w:bodyDiv w:val="1"/>
      <w:marLeft w:val="0"/>
      <w:marRight w:val="0"/>
      <w:marTop w:val="0"/>
      <w:marBottom w:val="0"/>
      <w:divBdr>
        <w:top w:val="none" w:sz="0" w:space="0" w:color="auto"/>
        <w:left w:val="none" w:sz="0" w:space="0" w:color="auto"/>
        <w:bottom w:val="none" w:sz="0" w:space="0" w:color="auto"/>
        <w:right w:val="none" w:sz="0" w:space="0" w:color="auto"/>
      </w:divBdr>
    </w:div>
    <w:div w:id="897594746">
      <w:bodyDiv w:val="1"/>
      <w:marLeft w:val="0"/>
      <w:marRight w:val="0"/>
      <w:marTop w:val="0"/>
      <w:marBottom w:val="0"/>
      <w:divBdr>
        <w:top w:val="none" w:sz="0" w:space="0" w:color="auto"/>
        <w:left w:val="none" w:sz="0" w:space="0" w:color="auto"/>
        <w:bottom w:val="none" w:sz="0" w:space="0" w:color="auto"/>
        <w:right w:val="none" w:sz="0" w:space="0" w:color="auto"/>
      </w:divBdr>
    </w:div>
    <w:div w:id="897664835">
      <w:bodyDiv w:val="1"/>
      <w:marLeft w:val="0"/>
      <w:marRight w:val="0"/>
      <w:marTop w:val="0"/>
      <w:marBottom w:val="0"/>
      <w:divBdr>
        <w:top w:val="none" w:sz="0" w:space="0" w:color="auto"/>
        <w:left w:val="none" w:sz="0" w:space="0" w:color="auto"/>
        <w:bottom w:val="none" w:sz="0" w:space="0" w:color="auto"/>
        <w:right w:val="none" w:sz="0" w:space="0" w:color="auto"/>
      </w:divBdr>
    </w:div>
    <w:div w:id="897666700">
      <w:bodyDiv w:val="1"/>
      <w:marLeft w:val="0"/>
      <w:marRight w:val="0"/>
      <w:marTop w:val="0"/>
      <w:marBottom w:val="0"/>
      <w:divBdr>
        <w:top w:val="none" w:sz="0" w:space="0" w:color="auto"/>
        <w:left w:val="none" w:sz="0" w:space="0" w:color="auto"/>
        <w:bottom w:val="none" w:sz="0" w:space="0" w:color="auto"/>
        <w:right w:val="none" w:sz="0" w:space="0" w:color="auto"/>
      </w:divBdr>
    </w:div>
    <w:div w:id="897784420">
      <w:bodyDiv w:val="1"/>
      <w:marLeft w:val="0"/>
      <w:marRight w:val="0"/>
      <w:marTop w:val="0"/>
      <w:marBottom w:val="0"/>
      <w:divBdr>
        <w:top w:val="none" w:sz="0" w:space="0" w:color="auto"/>
        <w:left w:val="none" w:sz="0" w:space="0" w:color="auto"/>
        <w:bottom w:val="none" w:sz="0" w:space="0" w:color="auto"/>
        <w:right w:val="none" w:sz="0" w:space="0" w:color="auto"/>
      </w:divBdr>
    </w:div>
    <w:div w:id="897933697">
      <w:bodyDiv w:val="1"/>
      <w:marLeft w:val="0"/>
      <w:marRight w:val="0"/>
      <w:marTop w:val="0"/>
      <w:marBottom w:val="0"/>
      <w:divBdr>
        <w:top w:val="none" w:sz="0" w:space="0" w:color="auto"/>
        <w:left w:val="none" w:sz="0" w:space="0" w:color="auto"/>
        <w:bottom w:val="none" w:sz="0" w:space="0" w:color="auto"/>
        <w:right w:val="none" w:sz="0" w:space="0" w:color="auto"/>
      </w:divBdr>
    </w:div>
    <w:div w:id="897938668">
      <w:bodyDiv w:val="1"/>
      <w:marLeft w:val="0"/>
      <w:marRight w:val="0"/>
      <w:marTop w:val="0"/>
      <w:marBottom w:val="0"/>
      <w:divBdr>
        <w:top w:val="none" w:sz="0" w:space="0" w:color="auto"/>
        <w:left w:val="none" w:sz="0" w:space="0" w:color="auto"/>
        <w:bottom w:val="none" w:sz="0" w:space="0" w:color="auto"/>
        <w:right w:val="none" w:sz="0" w:space="0" w:color="auto"/>
      </w:divBdr>
    </w:div>
    <w:div w:id="897977025">
      <w:bodyDiv w:val="1"/>
      <w:marLeft w:val="0"/>
      <w:marRight w:val="0"/>
      <w:marTop w:val="0"/>
      <w:marBottom w:val="0"/>
      <w:divBdr>
        <w:top w:val="none" w:sz="0" w:space="0" w:color="auto"/>
        <w:left w:val="none" w:sz="0" w:space="0" w:color="auto"/>
        <w:bottom w:val="none" w:sz="0" w:space="0" w:color="auto"/>
        <w:right w:val="none" w:sz="0" w:space="0" w:color="auto"/>
      </w:divBdr>
    </w:div>
    <w:div w:id="898134020">
      <w:bodyDiv w:val="1"/>
      <w:marLeft w:val="0"/>
      <w:marRight w:val="0"/>
      <w:marTop w:val="0"/>
      <w:marBottom w:val="0"/>
      <w:divBdr>
        <w:top w:val="none" w:sz="0" w:space="0" w:color="auto"/>
        <w:left w:val="none" w:sz="0" w:space="0" w:color="auto"/>
        <w:bottom w:val="none" w:sz="0" w:space="0" w:color="auto"/>
        <w:right w:val="none" w:sz="0" w:space="0" w:color="auto"/>
      </w:divBdr>
    </w:div>
    <w:div w:id="898171486">
      <w:bodyDiv w:val="1"/>
      <w:marLeft w:val="0"/>
      <w:marRight w:val="0"/>
      <w:marTop w:val="0"/>
      <w:marBottom w:val="0"/>
      <w:divBdr>
        <w:top w:val="none" w:sz="0" w:space="0" w:color="auto"/>
        <w:left w:val="none" w:sz="0" w:space="0" w:color="auto"/>
        <w:bottom w:val="none" w:sz="0" w:space="0" w:color="auto"/>
        <w:right w:val="none" w:sz="0" w:space="0" w:color="auto"/>
      </w:divBdr>
    </w:div>
    <w:div w:id="898200566">
      <w:bodyDiv w:val="1"/>
      <w:marLeft w:val="0"/>
      <w:marRight w:val="0"/>
      <w:marTop w:val="0"/>
      <w:marBottom w:val="0"/>
      <w:divBdr>
        <w:top w:val="none" w:sz="0" w:space="0" w:color="auto"/>
        <w:left w:val="none" w:sz="0" w:space="0" w:color="auto"/>
        <w:bottom w:val="none" w:sz="0" w:space="0" w:color="auto"/>
        <w:right w:val="none" w:sz="0" w:space="0" w:color="auto"/>
      </w:divBdr>
    </w:div>
    <w:div w:id="898319685">
      <w:bodyDiv w:val="1"/>
      <w:marLeft w:val="0"/>
      <w:marRight w:val="0"/>
      <w:marTop w:val="0"/>
      <w:marBottom w:val="0"/>
      <w:divBdr>
        <w:top w:val="none" w:sz="0" w:space="0" w:color="auto"/>
        <w:left w:val="none" w:sz="0" w:space="0" w:color="auto"/>
        <w:bottom w:val="none" w:sz="0" w:space="0" w:color="auto"/>
        <w:right w:val="none" w:sz="0" w:space="0" w:color="auto"/>
      </w:divBdr>
    </w:div>
    <w:div w:id="898512943">
      <w:bodyDiv w:val="1"/>
      <w:marLeft w:val="0"/>
      <w:marRight w:val="0"/>
      <w:marTop w:val="0"/>
      <w:marBottom w:val="0"/>
      <w:divBdr>
        <w:top w:val="none" w:sz="0" w:space="0" w:color="auto"/>
        <w:left w:val="none" w:sz="0" w:space="0" w:color="auto"/>
        <w:bottom w:val="none" w:sz="0" w:space="0" w:color="auto"/>
        <w:right w:val="none" w:sz="0" w:space="0" w:color="auto"/>
      </w:divBdr>
    </w:div>
    <w:div w:id="898588034">
      <w:bodyDiv w:val="1"/>
      <w:marLeft w:val="0"/>
      <w:marRight w:val="0"/>
      <w:marTop w:val="0"/>
      <w:marBottom w:val="0"/>
      <w:divBdr>
        <w:top w:val="none" w:sz="0" w:space="0" w:color="auto"/>
        <w:left w:val="none" w:sz="0" w:space="0" w:color="auto"/>
        <w:bottom w:val="none" w:sz="0" w:space="0" w:color="auto"/>
        <w:right w:val="none" w:sz="0" w:space="0" w:color="auto"/>
      </w:divBdr>
    </w:div>
    <w:div w:id="898592304">
      <w:bodyDiv w:val="1"/>
      <w:marLeft w:val="0"/>
      <w:marRight w:val="0"/>
      <w:marTop w:val="0"/>
      <w:marBottom w:val="0"/>
      <w:divBdr>
        <w:top w:val="none" w:sz="0" w:space="0" w:color="auto"/>
        <w:left w:val="none" w:sz="0" w:space="0" w:color="auto"/>
        <w:bottom w:val="none" w:sz="0" w:space="0" w:color="auto"/>
        <w:right w:val="none" w:sz="0" w:space="0" w:color="auto"/>
      </w:divBdr>
    </w:div>
    <w:div w:id="898634381">
      <w:bodyDiv w:val="1"/>
      <w:marLeft w:val="0"/>
      <w:marRight w:val="0"/>
      <w:marTop w:val="0"/>
      <w:marBottom w:val="0"/>
      <w:divBdr>
        <w:top w:val="none" w:sz="0" w:space="0" w:color="auto"/>
        <w:left w:val="none" w:sz="0" w:space="0" w:color="auto"/>
        <w:bottom w:val="none" w:sz="0" w:space="0" w:color="auto"/>
        <w:right w:val="none" w:sz="0" w:space="0" w:color="auto"/>
      </w:divBdr>
    </w:div>
    <w:div w:id="898784666">
      <w:bodyDiv w:val="1"/>
      <w:marLeft w:val="0"/>
      <w:marRight w:val="0"/>
      <w:marTop w:val="0"/>
      <w:marBottom w:val="0"/>
      <w:divBdr>
        <w:top w:val="none" w:sz="0" w:space="0" w:color="auto"/>
        <w:left w:val="none" w:sz="0" w:space="0" w:color="auto"/>
        <w:bottom w:val="none" w:sz="0" w:space="0" w:color="auto"/>
        <w:right w:val="none" w:sz="0" w:space="0" w:color="auto"/>
      </w:divBdr>
    </w:div>
    <w:div w:id="899025638">
      <w:bodyDiv w:val="1"/>
      <w:marLeft w:val="0"/>
      <w:marRight w:val="0"/>
      <w:marTop w:val="0"/>
      <w:marBottom w:val="0"/>
      <w:divBdr>
        <w:top w:val="none" w:sz="0" w:space="0" w:color="auto"/>
        <w:left w:val="none" w:sz="0" w:space="0" w:color="auto"/>
        <w:bottom w:val="none" w:sz="0" w:space="0" w:color="auto"/>
        <w:right w:val="none" w:sz="0" w:space="0" w:color="auto"/>
      </w:divBdr>
    </w:div>
    <w:div w:id="899093577">
      <w:bodyDiv w:val="1"/>
      <w:marLeft w:val="0"/>
      <w:marRight w:val="0"/>
      <w:marTop w:val="0"/>
      <w:marBottom w:val="0"/>
      <w:divBdr>
        <w:top w:val="none" w:sz="0" w:space="0" w:color="auto"/>
        <w:left w:val="none" w:sz="0" w:space="0" w:color="auto"/>
        <w:bottom w:val="none" w:sz="0" w:space="0" w:color="auto"/>
        <w:right w:val="none" w:sz="0" w:space="0" w:color="auto"/>
      </w:divBdr>
    </w:div>
    <w:div w:id="899098124">
      <w:bodyDiv w:val="1"/>
      <w:marLeft w:val="0"/>
      <w:marRight w:val="0"/>
      <w:marTop w:val="0"/>
      <w:marBottom w:val="0"/>
      <w:divBdr>
        <w:top w:val="none" w:sz="0" w:space="0" w:color="auto"/>
        <w:left w:val="none" w:sz="0" w:space="0" w:color="auto"/>
        <w:bottom w:val="none" w:sz="0" w:space="0" w:color="auto"/>
        <w:right w:val="none" w:sz="0" w:space="0" w:color="auto"/>
      </w:divBdr>
    </w:div>
    <w:div w:id="899287400">
      <w:bodyDiv w:val="1"/>
      <w:marLeft w:val="0"/>
      <w:marRight w:val="0"/>
      <w:marTop w:val="0"/>
      <w:marBottom w:val="0"/>
      <w:divBdr>
        <w:top w:val="none" w:sz="0" w:space="0" w:color="auto"/>
        <w:left w:val="none" w:sz="0" w:space="0" w:color="auto"/>
        <w:bottom w:val="none" w:sz="0" w:space="0" w:color="auto"/>
        <w:right w:val="none" w:sz="0" w:space="0" w:color="auto"/>
      </w:divBdr>
    </w:div>
    <w:div w:id="899294684">
      <w:bodyDiv w:val="1"/>
      <w:marLeft w:val="0"/>
      <w:marRight w:val="0"/>
      <w:marTop w:val="0"/>
      <w:marBottom w:val="0"/>
      <w:divBdr>
        <w:top w:val="none" w:sz="0" w:space="0" w:color="auto"/>
        <w:left w:val="none" w:sz="0" w:space="0" w:color="auto"/>
        <w:bottom w:val="none" w:sz="0" w:space="0" w:color="auto"/>
        <w:right w:val="none" w:sz="0" w:space="0" w:color="auto"/>
      </w:divBdr>
    </w:div>
    <w:div w:id="899485964">
      <w:bodyDiv w:val="1"/>
      <w:marLeft w:val="0"/>
      <w:marRight w:val="0"/>
      <w:marTop w:val="0"/>
      <w:marBottom w:val="0"/>
      <w:divBdr>
        <w:top w:val="none" w:sz="0" w:space="0" w:color="auto"/>
        <w:left w:val="none" w:sz="0" w:space="0" w:color="auto"/>
        <w:bottom w:val="none" w:sz="0" w:space="0" w:color="auto"/>
        <w:right w:val="none" w:sz="0" w:space="0" w:color="auto"/>
      </w:divBdr>
    </w:div>
    <w:div w:id="899558131">
      <w:bodyDiv w:val="1"/>
      <w:marLeft w:val="0"/>
      <w:marRight w:val="0"/>
      <w:marTop w:val="0"/>
      <w:marBottom w:val="0"/>
      <w:divBdr>
        <w:top w:val="none" w:sz="0" w:space="0" w:color="auto"/>
        <w:left w:val="none" w:sz="0" w:space="0" w:color="auto"/>
        <w:bottom w:val="none" w:sz="0" w:space="0" w:color="auto"/>
        <w:right w:val="none" w:sz="0" w:space="0" w:color="auto"/>
      </w:divBdr>
    </w:div>
    <w:div w:id="899563072">
      <w:bodyDiv w:val="1"/>
      <w:marLeft w:val="0"/>
      <w:marRight w:val="0"/>
      <w:marTop w:val="0"/>
      <w:marBottom w:val="0"/>
      <w:divBdr>
        <w:top w:val="none" w:sz="0" w:space="0" w:color="auto"/>
        <w:left w:val="none" w:sz="0" w:space="0" w:color="auto"/>
        <w:bottom w:val="none" w:sz="0" w:space="0" w:color="auto"/>
        <w:right w:val="none" w:sz="0" w:space="0" w:color="auto"/>
      </w:divBdr>
    </w:div>
    <w:div w:id="899635457">
      <w:bodyDiv w:val="1"/>
      <w:marLeft w:val="0"/>
      <w:marRight w:val="0"/>
      <w:marTop w:val="0"/>
      <w:marBottom w:val="0"/>
      <w:divBdr>
        <w:top w:val="none" w:sz="0" w:space="0" w:color="auto"/>
        <w:left w:val="none" w:sz="0" w:space="0" w:color="auto"/>
        <w:bottom w:val="none" w:sz="0" w:space="0" w:color="auto"/>
        <w:right w:val="none" w:sz="0" w:space="0" w:color="auto"/>
      </w:divBdr>
    </w:div>
    <w:div w:id="899751195">
      <w:bodyDiv w:val="1"/>
      <w:marLeft w:val="0"/>
      <w:marRight w:val="0"/>
      <w:marTop w:val="0"/>
      <w:marBottom w:val="0"/>
      <w:divBdr>
        <w:top w:val="none" w:sz="0" w:space="0" w:color="auto"/>
        <w:left w:val="none" w:sz="0" w:space="0" w:color="auto"/>
        <w:bottom w:val="none" w:sz="0" w:space="0" w:color="auto"/>
        <w:right w:val="none" w:sz="0" w:space="0" w:color="auto"/>
      </w:divBdr>
    </w:div>
    <w:div w:id="899949302">
      <w:bodyDiv w:val="1"/>
      <w:marLeft w:val="0"/>
      <w:marRight w:val="0"/>
      <w:marTop w:val="0"/>
      <w:marBottom w:val="0"/>
      <w:divBdr>
        <w:top w:val="none" w:sz="0" w:space="0" w:color="auto"/>
        <w:left w:val="none" w:sz="0" w:space="0" w:color="auto"/>
        <w:bottom w:val="none" w:sz="0" w:space="0" w:color="auto"/>
        <w:right w:val="none" w:sz="0" w:space="0" w:color="auto"/>
      </w:divBdr>
    </w:div>
    <w:div w:id="900095128">
      <w:bodyDiv w:val="1"/>
      <w:marLeft w:val="0"/>
      <w:marRight w:val="0"/>
      <w:marTop w:val="0"/>
      <w:marBottom w:val="0"/>
      <w:divBdr>
        <w:top w:val="none" w:sz="0" w:space="0" w:color="auto"/>
        <w:left w:val="none" w:sz="0" w:space="0" w:color="auto"/>
        <w:bottom w:val="none" w:sz="0" w:space="0" w:color="auto"/>
        <w:right w:val="none" w:sz="0" w:space="0" w:color="auto"/>
      </w:divBdr>
    </w:div>
    <w:div w:id="900099810">
      <w:bodyDiv w:val="1"/>
      <w:marLeft w:val="0"/>
      <w:marRight w:val="0"/>
      <w:marTop w:val="0"/>
      <w:marBottom w:val="0"/>
      <w:divBdr>
        <w:top w:val="none" w:sz="0" w:space="0" w:color="auto"/>
        <w:left w:val="none" w:sz="0" w:space="0" w:color="auto"/>
        <w:bottom w:val="none" w:sz="0" w:space="0" w:color="auto"/>
        <w:right w:val="none" w:sz="0" w:space="0" w:color="auto"/>
      </w:divBdr>
    </w:div>
    <w:div w:id="900213237">
      <w:bodyDiv w:val="1"/>
      <w:marLeft w:val="0"/>
      <w:marRight w:val="0"/>
      <w:marTop w:val="0"/>
      <w:marBottom w:val="0"/>
      <w:divBdr>
        <w:top w:val="none" w:sz="0" w:space="0" w:color="auto"/>
        <w:left w:val="none" w:sz="0" w:space="0" w:color="auto"/>
        <w:bottom w:val="none" w:sz="0" w:space="0" w:color="auto"/>
        <w:right w:val="none" w:sz="0" w:space="0" w:color="auto"/>
      </w:divBdr>
    </w:div>
    <w:div w:id="900288673">
      <w:bodyDiv w:val="1"/>
      <w:marLeft w:val="0"/>
      <w:marRight w:val="0"/>
      <w:marTop w:val="0"/>
      <w:marBottom w:val="0"/>
      <w:divBdr>
        <w:top w:val="none" w:sz="0" w:space="0" w:color="auto"/>
        <w:left w:val="none" w:sz="0" w:space="0" w:color="auto"/>
        <w:bottom w:val="none" w:sz="0" w:space="0" w:color="auto"/>
        <w:right w:val="none" w:sz="0" w:space="0" w:color="auto"/>
      </w:divBdr>
    </w:div>
    <w:div w:id="900598401">
      <w:bodyDiv w:val="1"/>
      <w:marLeft w:val="0"/>
      <w:marRight w:val="0"/>
      <w:marTop w:val="0"/>
      <w:marBottom w:val="0"/>
      <w:divBdr>
        <w:top w:val="none" w:sz="0" w:space="0" w:color="auto"/>
        <w:left w:val="none" w:sz="0" w:space="0" w:color="auto"/>
        <w:bottom w:val="none" w:sz="0" w:space="0" w:color="auto"/>
        <w:right w:val="none" w:sz="0" w:space="0" w:color="auto"/>
      </w:divBdr>
    </w:div>
    <w:div w:id="900604686">
      <w:bodyDiv w:val="1"/>
      <w:marLeft w:val="0"/>
      <w:marRight w:val="0"/>
      <w:marTop w:val="0"/>
      <w:marBottom w:val="0"/>
      <w:divBdr>
        <w:top w:val="none" w:sz="0" w:space="0" w:color="auto"/>
        <w:left w:val="none" w:sz="0" w:space="0" w:color="auto"/>
        <w:bottom w:val="none" w:sz="0" w:space="0" w:color="auto"/>
        <w:right w:val="none" w:sz="0" w:space="0" w:color="auto"/>
      </w:divBdr>
    </w:div>
    <w:div w:id="900676462">
      <w:bodyDiv w:val="1"/>
      <w:marLeft w:val="0"/>
      <w:marRight w:val="0"/>
      <w:marTop w:val="0"/>
      <w:marBottom w:val="0"/>
      <w:divBdr>
        <w:top w:val="none" w:sz="0" w:space="0" w:color="auto"/>
        <w:left w:val="none" w:sz="0" w:space="0" w:color="auto"/>
        <w:bottom w:val="none" w:sz="0" w:space="0" w:color="auto"/>
        <w:right w:val="none" w:sz="0" w:space="0" w:color="auto"/>
      </w:divBdr>
    </w:div>
    <w:div w:id="900753097">
      <w:bodyDiv w:val="1"/>
      <w:marLeft w:val="0"/>
      <w:marRight w:val="0"/>
      <w:marTop w:val="0"/>
      <w:marBottom w:val="0"/>
      <w:divBdr>
        <w:top w:val="none" w:sz="0" w:space="0" w:color="auto"/>
        <w:left w:val="none" w:sz="0" w:space="0" w:color="auto"/>
        <w:bottom w:val="none" w:sz="0" w:space="0" w:color="auto"/>
        <w:right w:val="none" w:sz="0" w:space="0" w:color="auto"/>
      </w:divBdr>
    </w:div>
    <w:div w:id="900823569">
      <w:bodyDiv w:val="1"/>
      <w:marLeft w:val="0"/>
      <w:marRight w:val="0"/>
      <w:marTop w:val="0"/>
      <w:marBottom w:val="0"/>
      <w:divBdr>
        <w:top w:val="none" w:sz="0" w:space="0" w:color="auto"/>
        <w:left w:val="none" w:sz="0" w:space="0" w:color="auto"/>
        <w:bottom w:val="none" w:sz="0" w:space="0" w:color="auto"/>
        <w:right w:val="none" w:sz="0" w:space="0" w:color="auto"/>
      </w:divBdr>
    </w:div>
    <w:div w:id="900872604">
      <w:bodyDiv w:val="1"/>
      <w:marLeft w:val="0"/>
      <w:marRight w:val="0"/>
      <w:marTop w:val="0"/>
      <w:marBottom w:val="0"/>
      <w:divBdr>
        <w:top w:val="none" w:sz="0" w:space="0" w:color="auto"/>
        <w:left w:val="none" w:sz="0" w:space="0" w:color="auto"/>
        <w:bottom w:val="none" w:sz="0" w:space="0" w:color="auto"/>
        <w:right w:val="none" w:sz="0" w:space="0" w:color="auto"/>
      </w:divBdr>
    </w:div>
    <w:div w:id="900948288">
      <w:bodyDiv w:val="1"/>
      <w:marLeft w:val="0"/>
      <w:marRight w:val="0"/>
      <w:marTop w:val="0"/>
      <w:marBottom w:val="0"/>
      <w:divBdr>
        <w:top w:val="none" w:sz="0" w:space="0" w:color="auto"/>
        <w:left w:val="none" w:sz="0" w:space="0" w:color="auto"/>
        <w:bottom w:val="none" w:sz="0" w:space="0" w:color="auto"/>
        <w:right w:val="none" w:sz="0" w:space="0" w:color="auto"/>
      </w:divBdr>
    </w:div>
    <w:div w:id="901019046">
      <w:bodyDiv w:val="1"/>
      <w:marLeft w:val="0"/>
      <w:marRight w:val="0"/>
      <w:marTop w:val="0"/>
      <w:marBottom w:val="0"/>
      <w:divBdr>
        <w:top w:val="none" w:sz="0" w:space="0" w:color="auto"/>
        <w:left w:val="none" w:sz="0" w:space="0" w:color="auto"/>
        <w:bottom w:val="none" w:sz="0" w:space="0" w:color="auto"/>
        <w:right w:val="none" w:sz="0" w:space="0" w:color="auto"/>
      </w:divBdr>
    </w:div>
    <w:div w:id="901062228">
      <w:bodyDiv w:val="1"/>
      <w:marLeft w:val="0"/>
      <w:marRight w:val="0"/>
      <w:marTop w:val="0"/>
      <w:marBottom w:val="0"/>
      <w:divBdr>
        <w:top w:val="none" w:sz="0" w:space="0" w:color="auto"/>
        <w:left w:val="none" w:sz="0" w:space="0" w:color="auto"/>
        <w:bottom w:val="none" w:sz="0" w:space="0" w:color="auto"/>
        <w:right w:val="none" w:sz="0" w:space="0" w:color="auto"/>
      </w:divBdr>
    </w:div>
    <w:div w:id="901066276">
      <w:bodyDiv w:val="1"/>
      <w:marLeft w:val="0"/>
      <w:marRight w:val="0"/>
      <w:marTop w:val="0"/>
      <w:marBottom w:val="0"/>
      <w:divBdr>
        <w:top w:val="none" w:sz="0" w:space="0" w:color="auto"/>
        <w:left w:val="none" w:sz="0" w:space="0" w:color="auto"/>
        <w:bottom w:val="none" w:sz="0" w:space="0" w:color="auto"/>
        <w:right w:val="none" w:sz="0" w:space="0" w:color="auto"/>
      </w:divBdr>
    </w:div>
    <w:div w:id="901254177">
      <w:bodyDiv w:val="1"/>
      <w:marLeft w:val="0"/>
      <w:marRight w:val="0"/>
      <w:marTop w:val="0"/>
      <w:marBottom w:val="0"/>
      <w:divBdr>
        <w:top w:val="none" w:sz="0" w:space="0" w:color="auto"/>
        <w:left w:val="none" w:sz="0" w:space="0" w:color="auto"/>
        <w:bottom w:val="none" w:sz="0" w:space="0" w:color="auto"/>
        <w:right w:val="none" w:sz="0" w:space="0" w:color="auto"/>
      </w:divBdr>
    </w:div>
    <w:div w:id="901255424">
      <w:bodyDiv w:val="1"/>
      <w:marLeft w:val="0"/>
      <w:marRight w:val="0"/>
      <w:marTop w:val="0"/>
      <w:marBottom w:val="0"/>
      <w:divBdr>
        <w:top w:val="none" w:sz="0" w:space="0" w:color="auto"/>
        <w:left w:val="none" w:sz="0" w:space="0" w:color="auto"/>
        <w:bottom w:val="none" w:sz="0" w:space="0" w:color="auto"/>
        <w:right w:val="none" w:sz="0" w:space="0" w:color="auto"/>
      </w:divBdr>
    </w:div>
    <w:div w:id="901326248">
      <w:bodyDiv w:val="1"/>
      <w:marLeft w:val="0"/>
      <w:marRight w:val="0"/>
      <w:marTop w:val="0"/>
      <w:marBottom w:val="0"/>
      <w:divBdr>
        <w:top w:val="none" w:sz="0" w:space="0" w:color="auto"/>
        <w:left w:val="none" w:sz="0" w:space="0" w:color="auto"/>
        <w:bottom w:val="none" w:sz="0" w:space="0" w:color="auto"/>
        <w:right w:val="none" w:sz="0" w:space="0" w:color="auto"/>
      </w:divBdr>
    </w:div>
    <w:div w:id="901477579">
      <w:bodyDiv w:val="1"/>
      <w:marLeft w:val="0"/>
      <w:marRight w:val="0"/>
      <w:marTop w:val="0"/>
      <w:marBottom w:val="0"/>
      <w:divBdr>
        <w:top w:val="none" w:sz="0" w:space="0" w:color="auto"/>
        <w:left w:val="none" w:sz="0" w:space="0" w:color="auto"/>
        <w:bottom w:val="none" w:sz="0" w:space="0" w:color="auto"/>
        <w:right w:val="none" w:sz="0" w:space="0" w:color="auto"/>
      </w:divBdr>
    </w:div>
    <w:div w:id="901525617">
      <w:bodyDiv w:val="1"/>
      <w:marLeft w:val="0"/>
      <w:marRight w:val="0"/>
      <w:marTop w:val="0"/>
      <w:marBottom w:val="0"/>
      <w:divBdr>
        <w:top w:val="none" w:sz="0" w:space="0" w:color="auto"/>
        <w:left w:val="none" w:sz="0" w:space="0" w:color="auto"/>
        <w:bottom w:val="none" w:sz="0" w:space="0" w:color="auto"/>
        <w:right w:val="none" w:sz="0" w:space="0" w:color="auto"/>
      </w:divBdr>
    </w:div>
    <w:div w:id="901527663">
      <w:bodyDiv w:val="1"/>
      <w:marLeft w:val="0"/>
      <w:marRight w:val="0"/>
      <w:marTop w:val="0"/>
      <w:marBottom w:val="0"/>
      <w:divBdr>
        <w:top w:val="none" w:sz="0" w:space="0" w:color="auto"/>
        <w:left w:val="none" w:sz="0" w:space="0" w:color="auto"/>
        <w:bottom w:val="none" w:sz="0" w:space="0" w:color="auto"/>
        <w:right w:val="none" w:sz="0" w:space="0" w:color="auto"/>
      </w:divBdr>
    </w:div>
    <w:div w:id="901646515">
      <w:bodyDiv w:val="1"/>
      <w:marLeft w:val="0"/>
      <w:marRight w:val="0"/>
      <w:marTop w:val="0"/>
      <w:marBottom w:val="0"/>
      <w:divBdr>
        <w:top w:val="none" w:sz="0" w:space="0" w:color="auto"/>
        <w:left w:val="none" w:sz="0" w:space="0" w:color="auto"/>
        <w:bottom w:val="none" w:sz="0" w:space="0" w:color="auto"/>
        <w:right w:val="none" w:sz="0" w:space="0" w:color="auto"/>
      </w:divBdr>
    </w:div>
    <w:div w:id="901796751">
      <w:bodyDiv w:val="1"/>
      <w:marLeft w:val="0"/>
      <w:marRight w:val="0"/>
      <w:marTop w:val="0"/>
      <w:marBottom w:val="0"/>
      <w:divBdr>
        <w:top w:val="none" w:sz="0" w:space="0" w:color="auto"/>
        <w:left w:val="none" w:sz="0" w:space="0" w:color="auto"/>
        <w:bottom w:val="none" w:sz="0" w:space="0" w:color="auto"/>
        <w:right w:val="none" w:sz="0" w:space="0" w:color="auto"/>
      </w:divBdr>
    </w:div>
    <w:div w:id="901865881">
      <w:bodyDiv w:val="1"/>
      <w:marLeft w:val="0"/>
      <w:marRight w:val="0"/>
      <w:marTop w:val="0"/>
      <w:marBottom w:val="0"/>
      <w:divBdr>
        <w:top w:val="none" w:sz="0" w:space="0" w:color="auto"/>
        <w:left w:val="none" w:sz="0" w:space="0" w:color="auto"/>
        <w:bottom w:val="none" w:sz="0" w:space="0" w:color="auto"/>
        <w:right w:val="none" w:sz="0" w:space="0" w:color="auto"/>
      </w:divBdr>
    </w:div>
    <w:div w:id="901867292">
      <w:bodyDiv w:val="1"/>
      <w:marLeft w:val="0"/>
      <w:marRight w:val="0"/>
      <w:marTop w:val="0"/>
      <w:marBottom w:val="0"/>
      <w:divBdr>
        <w:top w:val="none" w:sz="0" w:space="0" w:color="auto"/>
        <w:left w:val="none" w:sz="0" w:space="0" w:color="auto"/>
        <w:bottom w:val="none" w:sz="0" w:space="0" w:color="auto"/>
        <w:right w:val="none" w:sz="0" w:space="0" w:color="auto"/>
      </w:divBdr>
    </w:div>
    <w:div w:id="901907768">
      <w:bodyDiv w:val="1"/>
      <w:marLeft w:val="0"/>
      <w:marRight w:val="0"/>
      <w:marTop w:val="0"/>
      <w:marBottom w:val="0"/>
      <w:divBdr>
        <w:top w:val="none" w:sz="0" w:space="0" w:color="auto"/>
        <w:left w:val="none" w:sz="0" w:space="0" w:color="auto"/>
        <w:bottom w:val="none" w:sz="0" w:space="0" w:color="auto"/>
        <w:right w:val="none" w:sz="0" w:space="0" w:color="auto"/>
      </w:divBdr>
    </w:div>
    <w:div w:id="901913399">
      <w:bodyDiv w:val="1"/>
      <w:marLeft w:val="0"/>
      <w:marRight w:val="0"/>
      <w:marTop w:val="0"/>
      <w:marBottom w:val="0"/>
      <w:divBdr>
        <w:top w:val="none" w:sz="0" w:space="0" w:color="auto"/>
        <w:left w:val="none" w:sz="0" w:space="0" w:color="auto"/>
        <w:bottom w:val="none" w:sz="0" w:space="0" w:color="auto"/>
        <w:right w:val="none" w:sz="0" w:space="0" w:color="auto"/>
      </w:divBdr>
    </w:div>
    <w:div w:id="902103653">
      <w:bodyDiv w:val="1"/>
      <w:marLeft w:val="0"/>
      <w:marRight w:val="0"/>
      <w:marTop w:val="0"/>
      <w:marBottom w:val="0"/>
      <w:divBdr>
        <w:top w:val="none" w:sz="0" w:space="0" w:color="auto"/>
        <w:left w:val="none" w:sz="0" w:space="0" w:color="auto"/>
        <w:bottom w:val="none" w:sz="0" w:space="0" w:color="auto"/>
        <w:right w:val="none" w:sz="0" w:space="0" w:color="auto"/>
      </w:divBdr>
    </w:div>
    <w:div w:id="902106878">
      <w:bodyDiv w:val="1"/>
      <w:marLeft w:val="0"/>
      <w:marRight w:val="0"/>
      <w:marTop w:val="0"/>
      <w:marBottom w:val="0"/>
      <w:divBdr>
        <w:top w:val="none" w:sz="0" w:space="0" w:color="auto"/>
        <w:left w:val="none" w:sz="0" w:space="0" w:color="auto"/>
        <w:bottom w:val="none" w:sz="0" w:space="0" w:color="auto"/>
        <w:right w:val="none" w:sz="0" w:space="0" w:color="auto"/>
      </w:divBdr>
    </w:div>
    <w:div w:id="902183273">
      <w:bodyDiv w:val="1"/>
      <w:marLeft w:val="0"/>
      <w:marRight w:val="0"/>
      <w:marTop w:val="0"/>
      <w:marBottom w:val="0"/>
      <w:divBdr>
        <w:top w:val="none" w:sz="0" w:space="0" w:color="auto"/>
        <w:left w:val="none" w:sz="0" w:space="0" w:color="auto"/>
        <w:bottom w:val="none" w:sz="0" w:space="0" w:color="auto"/>
        <w:right w:val="none" w:sz="0" w:space="0" w:color="auto"/>
      </w:divBdr>
    </w:div>
    <w:div w:id="902259538">
      <w:bodyDiv w:val="1"/>
      <w:marLeft w:val="0"/>
      <w:marRight w:val="0"/>
      <w:marTop w:val="0"/>
      <w:marBottom w:val="0"/>
      <w:divBdr>
        <w:top w:val="none" w:sz="0" w:space="0" w:color="auto"/>
        <w:left w:val="none" w:sz="0" w:space="0" w:color="auto"/>
        <w:bottom w:val="none" w:sz="0" w:space="0" w:color="auto"/>
        <w:right w:val="none" w:sz="0" w:space="0" w:color="auto"/>
      </w:divBdr>
    </w:div>
    <w:div w:id="902331978">
      <w:bodyDiv w:val="1"/>
      <w:marLeft w:val="0"/>
      <w:marRight w:val="0"/>
      <w:marTop w:val="0"/>
      <w:marBottom w:val="0"/>
      <w:divBdr>
        <w:top w:val="none" w:sz="0" w:space="0" w:color="auto"/>
        <w:left w:val="none" w:sz="0" w:space="0" w:color="auto"/>
        <w:bottom w:val="none" w:sz="0" w:space="0" w:color="auto"/>
        <w:right w:val="none" w:sz="0" w:space="0" w:color="auto"/>
      </w:divBdr>
    </w:div>
    <w:div w:id="902370533">
      <w:bodyDiv w:val="1"/>
      <w:marLeft w:val="0"/>
      <w:marRight w:val="0"/>
      <w:marTop w:val="0"/>
      <w:marBottom w:val="0"/>
      <w:divBdr>
        <w:top w:val="none" w:sz="0" w:space="0" w:color="auto"/>
        <w:left w:val="none" w:sz="0" w:space="0" w:color="auto"/>
        <w:bottom w:val="none" w:sz="0" w:space="0" w:color="auto"/>
        <w:right w:val="none" w:sz="0" w:space="0" w:color="auto"/>
      </w:divBdr>
    </w:div>
    <w:div w:id="902565023">
      <w:bodyDiv w:val="1"/>
      <w:marLeft w:val="0"/>
      <w:marRight w:val="0"/>
      <w:marTop w:val="0"/>
      <w:marBottom w:val="0"/>
      <w:divBdr>
        <w:top w:val="none" w:sz="0" w:space="0" w:color="auto"/>
        <w:left w:val="none" w:sz="0" w:space="0" w:color="auto"/>
        <w:bottom w:val="none" w:sz="0" w:space="0" w:color="auto"/>
        <w:right w:val="none" w:sz="0" w:space="0" w:color="auto"/>
      </w:divBdr>
    </w:div>
    <w:div w:id="902565169">
      <w:bodyDiv w:val="1"/>
      <w:marLeft w:val="0"/>
      <w:marRight w:val="0"/>
      <w:marTop w:val="0"/>
      <w:marBottom w:val="0"/>
      <w:divBdr>
        <w:top w:val="none" w:sz="0" w:space="0" w:color="auto"/>
        <w:left w:val="none" w:sz="0" w:space="0" w:color="auto"/>
        <w:bottom w:val="none" w:sz="0" w:space="0" w:color="auto"/>
        <w:right w:val="none" w:sz="0" w:space="0" w:color="auto"/>
      </w:divBdr>
    </w:div>
    <w:div w:id="902566320">
      <w:bodyDiv w:val="1"/>
      <w:marLeft w:val="0"/>
      <w:marRight w:val="0"/>
      <w:marTop w:val="0"/>
      <w:marBottom w:val="0"/>
      <w:divBdr>
        <w:top w:val="none" w:sz="0" w:space="0" w:color="auto"/>
        <w:left w:val="none" w:sz="0" w:space="0" w:color="auto"/>
        <w:bottom w:val="none" w:sz="0" w:space="0" w:color="auto"/>
        <w:right w:val="none" w:sz="0" w:space="0" w:color="auto"/>
      </w:divBdr>
    </w:div>
    <w:div w:id="902566752">
      <w:bodyDiv w:val="1"/>
      <w:marLeft w:val="0"/>
      <w:marRight w:val="0"/>
      <w:marTop w:val="0"/>
      <w:marBottom w:val="0"/>
      <w:divBdr>
        <w:top w:val="none" w:sz="0" w:space="0" w:color="auto"/>
        <w:left w:val="none" w:sz="0" w:space="0" w:color="auto"/>
        <w:bottom w:val="none" w:sz="0" w:space="0" w:color="auto"/>
        <w:right w:val="none" w:sz="0" w:space="0" w:color="auto"/>
      </w:divBdr>
    </w:div>
    <w:div w:id="902717143">
      <w:bodyDiv w:val="1"/>
      <w:marLeft w:val="0"/>
      <w:marRight w:val="0"/>
      <w:marTop w:val="0"/>
      <w:marBottom w:val="0"/>
      <w:divBdr>
        <w:top w:val="none" w:sz="0" w:space="0" w:color="auto"/>
        <w:left w:val="none" w:sz="0" w:space="0" w:color="auto"/>
        <w:bottom w:val="none" w:sz="0" w:space="0" w:color="auto"/>
        <w:right w:val="none" w:sz="0" w:space="0" w:color="auto"/>
      </w:divBdr>
    </w:div>
    <w:div w:id="902839280">
      <w:bodyDiv w:val="1"/>
      <w:marLeft w:val="0"/>
      <w:marRight w:val="0"/>
      <w:marTop w:val="0"/>
      <w:marBottom w:val="0"/>
      <w:divBdr>
        <w:top w:val="none" w:sz="0" w:space="0" w:color="auto"/>
        <w:left w:val="none" w:sz="0" w:space="0" w:color="auto"/>
        <w:bottom w:val="none" w:sz="0" w:space="0" w:color="auto"/>
        <w:right w:val="none" w:sz="0" w:space="0" w:color="auto"/>
      </w:divBdr>
    </w:div>
    <w:div w:id="903027477">
      <w:bodyDiv w:val="1"/>
      <w:marLeft w:val="0"/>
      <w:marRight w:val="0"/>
      <w:marTop w:val="0"/>
      <w:marBottom w:val="0"/>
      <w:divBdr>
        <w:top w:val="none" w:sz="0" w:space="0" w:color="auto"/>
        <w:left w:val="none" w:sz="0" w:space="0" w:color="auto"/>
        <w:bottom w:val="none" w:sz="0" w:space="0" w:color="auto"/>
        <w:right w:val="none" w:sz="0" w:space="0" w:color="auto"/>
      </w:divBdr>
    </w:div>
    <w:div w:id="903032599">
      <w:bodyDiv w:val="1"/>
      <w:marLeft w:val="0"/>
      <w:marRight w:val="0"/>
      <w:marTop w:val="0"/>
      <w:marBottom w:val="0"/>
      <w:divBdr>
        <w:top w:val="none" w:sz="0" w:space="0" w:color="auto"/>
        <w:left w:val="none" w:sz="0" w:space="0" w:color="auto"/>
        <w:bottom w:val="none" w:sz="0" w:space="0" w:color="auto"/>
        <w:right w:val="none" w:sz="0" w:space="0" w:color="auto"/>
      </w:divBdr>
    </w:div>
    <w:div w:id="903099740">
      <w:bodyDiv w:val="1"/>
      <w:marLeft w:val="0"/>
      <w:marRight w:val="0"/>
      <w:marTop w:val="0"/>
      <w:marBottom w:val="0"/>
      <w:divBdr>
        <w:top w:val="none" w:sz="0" w:space="0" w:color="auto"/>
        <w:left w:val="none" w:sz="0" w:space="0" w:color="auto"/>
        <w:bottom w:val="none" w:sz="0" w:space="0" w:color="auto"/>
        <w:right w:val="none" w:sz="0" w:space="0" w:color="auto"/>
      </w:divBdr>
    </w:div>
    <w:div w:id="903103374">
      <w:bodyDiv w:val="1"/>
      <w:marLeft w:val="0"/>
      <w:marRight w:val="0"/>
      <w:marTop w:val="0"/>
      <w:marBottom w:val="0"/>
      <w:divBdr>
        <w:top w:val="none" w:sz="0" w:space="0" w:color="auto"/>
        <w:left w:val="none" w:sz="0" w:space="0" w:color="auto"/>
        <w:bottom w:val="none" w:sz="0" w:space="0" w:color="auto"/>
        <w:right w:val="none" w:sz="0" w:space="0" w:color="auto"/>
      </w:divBdr>
    </w:div>
    <w:div w:id="903220943">
      <w:bodyDiv w:val="1"/>
      <w:marLeft w:val="0"/>
      <w:marRight w:val="0"/>
      <w:marTop w:val="0"/>
      <w:marBottom w:val="0"/>
      <w:divBdr>
        <w:top w:val="none" w:sz="0" w:space="0" w:color="auto"/>
        <w:left w:val="none" w:sz="0" w:space="0" w:color="auto"/>
        <w:bottom w:val="none" w:sz="0" w:space="0" w:color="auto"/>
        <w:right w:val="none" w:sz="0" w:space="0" w:color="auto"/>
      </w:divBdr>
    </w:div>
    <w:div w:id="903225649">
      <w:bodyDiv w:val="1"/>
      <w:marLeft w:val="0"/>
      <w:marRight w:val="0"/>
      <w:marTop w:val="0"/>
      <w:marBottom w:val="0"/>
      <w:divBdr>
        <w:top w:val="none" w:sz="0" w:space="0" w:color="auto"/>
        <w:left w:val="none" w:sz="0" w:space="0" w:color="auto"/>
        <w:bottom w:val="none" w:sz="0" w:space="0" w:color="auto"/>
        <w:right w:val="none" w:sz="0" w:space="0" w:color="auto"/>
      </w:divBdr>
    </w:div>
    <w:div w:id="903372867">
      <w:bodyDiv w:val="1"/>
      <w:marLeft w:val="0"/>
      <w:marRight w:val="0"/>
      <w:marTop w:val="0"/>
      <w:marBottom w:val="0"/>
      <w:divBdr>
        <w:top w:val="none" w:sz="0" w:space="0" w:color="auto"/>
        <w:left w:val="none" w:sz="0" w:space="0" w:color="auto"/>
        <w:bottom w:val="none" w:sz="0" w:space="0" w:color="auto"/>
        <w:right w:val="none" w:sz="0" w:space="0" w:color="auto"/>
      </w:divBdr>
    </w:div>
    <w:div w:id="903374061">
      <w:bodyDiv w:val="1"/>
      <w:marLeft w:val="0"/>
      <w:marRight w:val="0"/>
      <w:marTop w:val="0"/>
      <w:marBottom w:val="0"/>
      <w:divBdr>
        <w:top w:val="none" w:sz="0" w:space="0" w:color="auto"/>
        <w:left w:val="none" w:sz="0" w:space="0" w:color="auto"/>
        <w:bottom w:val="none" w:sz="0" w:space="0" w:color="auto"/>
        <w:right w:val="none" w:sz="0" w:space="0" w:color="auto"/>
      </w:divBdr>
    </w:div>
    <w:div w:id="903374681">
      <w:bodyDiv w:val="1"/>
      <w:marLeft w:val="0"/>
      <w:marRight w:val="0"/>
      <w:marTop w:val="0"/>
      <w:marBottom w:val="0"/>
      <w:divBdr>
        <w:top w:val="none" w:sz="0" w:space="0" w:color="auto"/>
        <w:left w:val="none" w:sz="0" w:space="0" w:color="auto"/>
        <w:bottom w:val="none" w:sz="0" w:space="0" w:color="auto"/>
        <w:right w:val="none" w:sz="0" w:space="0" w:color="auto"/>
      </w:divBdr>
    </w:div>
    <w:div w:id="903418302">
      <w:bodyDiv w:val="1"/>
      <w:marLeft w:val="0"/>
      <w:marRight w:val="0"/>
      <w:marTop w:val="0"/>
      <w:marBottom w:val="0"/>
      <w:divBdr>
        <w:top w:val="none" w:sz="0" w:space="0" w:color="auto"/>
        <w:left w:val="none" w:sz="0" w:space="0" w:color="auto"/>
        <w:bottom w:val="none" w:sz="0" w:space="0" w:color="auto"/>
        <w:right w:val="none" w:sz="0" w:space="0" w:color="auto"/>
      </w:divBdr>
    </w:div>
    <w:div w:id="903487935">
      <w:bodyDiv w:val="1"/>
      <w:marLeft w:val="0"/>
      <w:marRight w:val="0"/>
      <w:marTop w:val="0"/>
      <w:marBottom w:val="0"/>
      <w:divBdr>
        <w:top w:val="none" w:sz="0" w:space="0" w:color="auto"/>
        <w:left w:val="none" w:sz="0" w:space="0" w:color="auto"/>
        <w:bottom w:val="none" w:sz="0" w:space="0" w:color="auto"/>
        <w:right w:val="none" w:sz="0" w:space="0" w:color="auto"/>
      </w:divBdr>
    </w:div>
    <w:div w:id="903488438">
      <w:bodyDiv w:val="1"/>
      <w:marLeft w:val="0"/>
      <w:marRight w:val="0"/>
      <w:marTop w:val="0"/>
      <w:marBottom w:val="0"/>
      <w:divBdr>
        <w:top w:val="none" w:sz="0" w:space="0" w:color="auto"/>
        <w:left w:val="none" w:sz="0" w:space="0" w:color="auto"/>
        <w:bottom w:val="none" w:sz="0" w:space="0" w:color="auto"/>
        <w:right w:val="none" w:sz="0" w:space="0" w:color="auto"/>
      </w:divBdr>
    </w:div>
    <w:div w:id="903685385">
      <w:bodyDiv w:val="1"/>
      <w:marLeft w:val="0"/>
      <w:marRight w:val="0"/>
      <w:marTop w:val="0"/>
      <w:marBottom w:val="0"/>
      <w:divBdr>
        <w:top w:val="none" w:sz="0" w:space="0" w:color="auto"/>
        <w:left w:val="none" w:sz="0" w:space="0" w:color="auto"/>
        <w:bottom w:val="none" w:sz="0" w:space="0" w:color="auto"/>
        <w:right w:val="none" w:sz="0" w:space="0" w:color="auto"/>
      </w:divBdr>
    </w:div>
    <w:div w:id="903687627">
      <w:bodyDiv w:val="1"/>
      <w:marLeft w:val="0"/>
      <w:marRight w:val="0"/>
      <w:marTop w:val="0"/>
      <w:marBottom w:val="0"/>
      <w:divBdr>
        <w:top w:val="none" w:sz="0" w:space="0" w:color="auto"/>
        <w:left w:val="none" w:sz="0" w:space="0" w:color="auto"/>
        <w:bottom w:val="none" w:sz="0" w:space="0" w:color="auto"/>
        <w:right w:val="none" w:sz="0" w:space="0" w:color="auto"/>
      </w:divBdr>
    </w:div>
    <w:div w:id="903835055">
      <w:bodyDiv w:val="1"/>
      <w:marLeft w:val="0"/>
      <w:marRight w:val="0"/>
      <w:marTop w:val="0"/>
      <w:marBottom w:val="0"/>
      <w:divBdr>
        <w:top w:val="none" w:sz="0" w:space="0" w:color="auto"/>
        <w:left w:val="none" w:sz="0" w:space="0" w:color="auto"/>
        <w:bottom w:val="none" w:sz="0" w:space="0" w:color="auto"/>
        <w:right w:val="none" w:sz="0" w:space="0" w:color="auto"/>
      </w:divBdr>
    </w:div>
    <w:div w:id="903878854">
      <w:bodyDiv w:val="1"/>
      <w:marLeft w:val="0"/>
      <w:marRight w:val="0"/>
      <w:marTop w:val="0"/>
      <w:marBottom w:val="0"/>
      <w:divBdr>
        <w:top w:val="none" w:sz="0" w:space="0" w:color="auto"/>
        <w:left w:val="none" w:sz="0" w:space="0" w:color="auto"/>
        <w:bottom w:val="none" w:sz="0" w:space="0" w:color="auto"/>
        <w:right w:val="none" w:sz="0" w:space="0" w:color="auto"/>
      </w:divBdr>
    </w:div>
    <w:div w:id="903952280">
      <w:bodyDiv w:val="1"/>
      <w:marLeft w:val="0"/>
      <w:marRight w:val="0"/>
      <w:marTop w:val="0"/>
      <w:marBottom w:val="0"/>
      <w:divBdr>
        <w:top w:val="none" w:sz="0" w:space="0" w:color="auto"/>
        <w:left w:val="none" w:sz="0" w:space="0" w:color="auto"/>
        <w:bottom w:val="none" w:sz="0" w:space="0" w:color="auto"/>
        <w:right w:val="none" w:sz="0" w:space="0" w:color="auto"/>
      </w:divBdr>
    </w:div>
    <w:div w:id="903953560">
      <w:bodyDiv w:val="1"/>
      <w:marLeft w:val="0"/>
      <w:marRight w:val="0"/>
      <w:marTop w:val="0"/>
      <w:marBottom w:val="0"/>
      <w:divBdr>
        <w:top w:val="none" w:sz="0" w:space="0" w:color="auto"/>
        <w:left w:val="none" w:sz="0" w:space="0" w:color="auto"/>
        <w:bottom w:val="none" w:sz="0" w:space="0" w:color="auto"/>
        <w:right w:val="none" w:sz="0" w:space="0" w:color="auto"/>
      </w:divBdr>
    </w:div>
    <w:div w:id="904029493">
      <w:bodyDiv w:val="1"/>
      <w:marLeft w:val="0"/>
      <w:marRight w:val="0"/>
      <w:marTop w:val="0"/>
      <w:marBottom w:val="0"/>
      <w:divBdr>
        <w:top w:val="none" w:sz="0" w:space="0" w:color="auto"/>
        <w:left w:val="none" w:sz="0" w:space="0" w:color="auto"/>
        <w:bottom w:val="none" w:sz="0" w:space="0" w:color="auto"/>
        <w:right w:val="none" w:sz="0" w:space="0" w:color="auto"/>
      </w:divBdr>
    </w:div>
    <w:div w:id="904030671">
      <w:bodyDiv w:val="1"/>
      <w:marLeft w:val="0"/>
      <w:marRight w:val="0"/>
      <w:marTop w:val="0"/>
      <w:marBottom w:val="0"/>
      <w:divBdr>
        <w:top w:val="none" w:sz="0" w:space="0" w:color="auto"/>
        <w:left w:val="none" w:sz="0" w:space="0" w:color="auto"/>
        <w:bottom w:val="none" w:sz="0" w:space="0" w:color="auto"/>
        <w:right w:val="none" w:sz="0" w:space="0" w:color="auto"/>
      </w:divBdr>
    </w:div>
    <w:div w:id="904074477">
      <w:bodyDiv w:val="1"/>
      <w:marLeft w:val="0"/>
      <w:marRight w:val="0"/>
      <w:marTop w:val="0"/>
      <w:marBottom w:val="0"/>
      <w:divBdr>
        <w:top w:val="none" w:sz="0" w:space="0" w:color="auto"/>
        <w:left w:val="none" w:sz="0" w:space="0" w:color="auto"/>
        <w:bottom w:val="none" w:sz="0" w:space="0" w:color="auto"/>
        <w:right w:val="none" w:sz="0" w:space="0" w:color="auto"/>
      </w:divBdr>
    </w:div>
    <w:div w:id="904144603">
      <w:bodyDiv w:val="1"/>
      <w:marLeft w:val="0"/>
      <w:marRight w:val="0"/>
      <w:marTop w:val="0"/>
      <w:marBottom w:val="0"/>
      <w:divBdr>
        <w:top w:val="none" w:sz="0" w:space="0" w:color="auto"/>
        <w:left w:val="none" w:sz="0" w:space="0" w:color="auto"/>
        <w:bottom w:val="none" w:sz="0" w:space="0" w:color="auto"/>
        <w:right w:val="none" w:sz="0" w:space="0" w:color="auto"/>
      </w:divBdr>
    </w:div>
    <w:div w:id="904148565">
      <w:bodyDiv w:val="1"/>
      <w:marLeft w:val="0"/>
      <w:marRight w:val="0"/>
      <w:marTop w:val="0"/>
      <w:marBottom w:val="0"/>
      <w:divBdr>
        <w:top w:val="none" w:sz="0" w:space="0" w:color="auto"/>
        <w:left w:val="none" w:sz="0" w:space="0" w:color="auto"/>
        <w:bottom w:val="none" w:sz="0" w:space="0" w:color="auto"/>
        <w:right w:val="none" w:sz="0" w:space="0" w:color="auto"/>
      </w:divBdr>
    </w:div>
    <w:div w:id="904216628">
      <w:bodyDiv w:val="1"/>
      <w:marLeft w:val="0"/>
      <w:marRight w:val="0"/>
      <w:marTop w:val="0"/>
      <w:marBottom w:val="0"/>
      <w:divBdr>
        <w:top w:val="none" w:sz="0" w:space="0" w:color="auto"/>
        <w:left w:val="none" w:sz="0" w:space="0" w:color="auto"/>
        <w:bottom w:val="none" w:sz="0" w:space="0" w:color="auto"/>
        <w:right w:val="none" w:sz="0" w:space="0" w:color="auto"/>
      </w:divBdr>
    </w:div>
    <w:div w:id="904217845">
      <w:bodyDiv w:val="1"/>
      <w:marLeft w:val="0"/>
      <w:marRight w:val="0"/>
      <w:marTop w:val="0"/>
      <w:marBottom w:val="0"/>
      <w:divBdr>
        <w:top w:val="none" w:sz="0" w:space="0" w:color="auto"/>
        <w:left w:val="none" w:sz="0" w:space="0" w:color="auto"/>
        <w:bottom w:val="none" w:sz="0" w:space="0" w:color="auto"/>
        <w:right w:val="none" w:sz="0" w:space="0" w:color="auto"/>
      </w:divBdr>
    </w:div>
    <w:div w:id="904295335">
      <w:bodyDiv w:val="1"/>
      <w:marLeft w:val="0"/>
      <w:marRight w:val="0"/>
      <w:marTop w:val="0"/>
      <w:marBottom w:val="0"/>
      <w:divBdr>
        <w:top w:val="none" w:sz="0" w:space="0" w:color="auto"/>
        <w:left w:val="none" w:sz="0" w:space="0" w:color="auto"/>
        <w:bottom w:val="none" w:sz="0" w:space="0" w:color="auto"/>
        <w:right w:val="none" w:sz="0" w:space="0" w:color="auto"/>
      </w:divBdr>
    </w:div>
    <w:div w:id="904339393">
      <w:bodyDiv w:val="1"/>
      <w:marLeft w:val="0"/>
      <w:marRight w:val="0"/>
      <w:marTop w:val="0"/>
      <w:marBottom w:val="0"/>
      <w:divBdr>
        <w:top w:val="none" w:sz="0" w:space="0" w:color="auto"/>
        <w:left w:val="none" w:sz="0" w:space="0" w:color="auto"/>
        <w:bottom w:val="none" w:sz="0" w:space="0" w:color="auto"/>
        <w:right w:val="none" w:sz="0" w:space="0" w:color="auto"/>
      </w:divBdr>
    </w:div>
    <w:div w:id="904343341">
      <w:bodyDiv w:val="1"/>
      <w:marLeft w:val="0"/>
      <w:marRight w:val="0"/>
      <w:marTop w:val="0"/>
      <w:marBottom w:val="0"/>
      <w:divBdr>
        <w:top w:val="none" w:sz="0" w:space="0" w:color="auto"/>
        <w:left w:val="none" w:sz="0" w:space="0" w:color="auto"/>
        <w:bottom w:val="none" w:sz="0" w:space="0" w:color="auto"/>
        <w:right w:val="none" w:sz="0" w:space="0" w:color="auto"/>
      </w:divBdr>
    </w:div>
    <w:div w:id="904410868">
      <w:bodyDiv w:val="1"/>
      <w:marLeft w:val="0"/>
      <w:marRight w:val="0"/>
      <w:marTop w:val="0"/>
      <w:marBottom w:val="0"/>
      <w:divBdr>
        <w:top w:val="none" w:sz="0" w:space="0" w:color="auto"/>
        <w:left w:val="none" w:sz="0" w:space="0" w:color="auto"/>
        <w:bottom w:val="none" w:sz="0" w:space="0" w:color="auto"/>
        <w:right w:val="none" w:sz="0" w:space="0" w:color="auto"/>
      </w:divBdr>
    </w:div>
    <w:div w:id="904415168">
      <w:bodyDiv w:val="1"/>
      <w:marLeft w:val="0"/>
      <w:marRight w:val="0"/>
      <w:marTop w:val="0"/>
      <w:marBottom w:val="0"/>
      <w:divBdr>
        <w:top w:val="none" w:sz="0" w:space="0" w:color="auto"/>
        <w:left w:val="none" w:sz="0" w:space="0" w:color="auto"/>
        <w:bottom w:val="none" w:sz="0" w:space="0" w:color="auto"/>
        <w:right w:val="none" w:sz="0" w:space="0" w:color="auto"/>
      </w:divBdr>
    </w:div>
    <w:div w:id="904484788">
      <w:bodyDiv w:val="1"/>
      <w:marLeft w:val="0"/>
      <w:marRight w:val="0"/>
      <w:marTop w:val="0"/>
      <w:marBottom w:val="0"/>
      <w:divBdr>
        <w:top w:val="none" w:sz="0" w:space="0" w:color="auto"/>
        <w:left w:val="none" w:sz="0" w:space="0" w:color="auto"/>
        <w:bottom w:val="none" w:sz="0" w:space="0" w:color="auto"/>
        <w:right w:val="none" w:sz="0" w:space="0" w:color="auto"/>
      </w:divBdr>
    </w:div>
    <w:div w:id="904530146">
      <w:bodyDiv w:val="1"/>
      <w:marLeft w:val="0"/>
      <w:marRight w:val="0"/>
      <w:marTop w:val="0"/>
      <w:marBottom w:val="0"/>
      <w:divBdr>
        <w:top w:val="none" w:sz="0" w:space="0" w:color="auto"/>
        <w:left w:val="none" w:sz="0" w:space="0" w:color="auto"/>
        <w:bottom w:val="none" w:sz="0" w:space="0" w:color="auto"/>
        <w:right w:val="none" w:sz="0" w:space="0" w:color="auto"/>
      </w:divBdr>
    </w:div>
    <w:div w:id="904725781">
      <w:bodyDiv w:val="1"/>
      <w:marLeft w:val="0"/>
      <w:marRight w:val="0"/>
      <w:marTop w:val="0"/>
      <w:marBottom w:val="0"/>
      <w:divBdr>
        <w:top w:val="none" w:sz="0" w:space="0" w:color="auto"/>
        <w:left w:val="none" w:sz="0" w:space="0" w:color="auto"/>
        <w:bottom w:val="none" w:sz="0" w:space="0" w:color="auto"/>
        <w:right w:val="none" w:sz="0" w:space="0" w:color="auto"/>
      </w:divBdr>
    </w:div>
    <w:div w:id="904797410">
      <w:bodyDiv w:val="1"/>
      <w:marLeft w:val="0"/>
      <w:marRight w:val="0"/>
      <w:marTop w:val="0"/>
      <w:marBottom w:val="0"/>
      <w:divBdr>
        <w:top w:val="none" w:sz="0" w:space="0" w:color="auto"/>
        <w:left w:val="none" w:sz="0" w:space="0" w:color="auto"/>
        <w:bottom w:val="none" w:sz="0" w:space="0" w:color="auto"/>
        <w:right w:val="none" w:sz="0" w:space="0" w:color="auto"/>
      </w:divBdr>
    </w:div>
    <w:div w:id="904799029">
      <w:bodyDiv w:val="1"/>
      <w:marLeft w:val="0"/>
      <w:marRight w:val="0"/>
      <w:marTop w:val="0"/>
      <w:marBottom w:val="0"/>
      <w:divBdr>
        <w:top w:val="none" w:sz="0" w:space="0" w:color="auto"/>
        <w:left w:val="none" w:sz="0" w:space="0" w:color="auto"/>
        <w:bottom w:val="none" w:sz="0" w:space="0" w:color="auto"/>
        <w:right w:val="none" w:sz="0" w:space="0" w:color="auto"/>
      </w:divBdr>
    </w:div>
    <w:div w:id="904874384">
      <w:bodyDiv w:val="1"/>
      <w:marLeft w:val="0"/>
      <w:marRight w:val="0"/>
      <w:marTop w:val="0"/>
      <w:marBottom w:val="0"/>
      <w:divBdr>
        <w:top w:val="none" w:sz="0" w:space="0" w:color="auto"/>
        <w:left w:val="none" w:sz="0" w:space="0" w:color="auto"/>
        <w:bottom w:val="none" w:sz="0" w:space="0" w:color="auto"/>
        <w:right w:val="none" w:sz="0" w:space="0" w:color="auto"/>
      </w:divBdr>
    </w:div>
    <w:div w:id="904874768">
      <w:bodyDiv w:val="1"/>
      <w:marLeft w:val="0"/>
      <w:marRight w:val="0"/>
      <w:marTop w:val="0"/>
      <w:marBottom w:val="0"/>
      <w:divBdr>
        <w:top w:val="none" w:sz="0" w:space="0" w:color="auto"/>
        <w:left w:val="none" w:sz="0" w:space="0" w:color="auto"/>
        <w:bottom w:val="none" w:sz="0" w:space="0" w:color="auto"/>
        <w:right w:val="none" w:sz="0" w:space="0" w:color="auto"/>
      </w:divBdr>
    </w:div>
    <w:div w:id="904950325">
      <w:bodyDiv w:val="1"/>
      <w:marLeft w:val="0"/>
      <w:marRight w:val="0"/>
      <w:marTop w:val="0"/>
      <w:marBottom w:val="0"/>
      <w:divBdr>
        <w:top w:val="none" w:sz="0" w:space="0" w:color="auto"/>
        <w:left w:val="none" w:sz="0" w:space="0" w:color="auto"/>
        <w:bottom w:val="none" w:sz="0" w:space="0" w:color="auto"/>
        <w:right w:val="none" w:sz="0" w:space="0" w:color="auto"/>
      </w:divBdr>
    </w:div>
    <w:div w:id="905073737">
      <w:bodyDiv w:val="1"/>
      <w:marLeft w:val="0"/>
      <w:marRight w:val="0"/>
      <w:marTop w:val="0"/>
      <w:marBottom w:val="0"/>
      <w:divBdr>
        <w:top w:val="none" w:sz="0" w:space="0" w:color="auto"/>
        <w:left w:val="none" w:sz="0" w:space="0" w:color="auto"/>
        <w:bottom w:val="none" w:sz="0" w:space="0" w:color="auto"/>
        <w:right w:val="none" w:sz="0" w:space="0" w:color="auto"/>
      </w:divBdr>
    </w:div>
    <w:div w:id="905073862">
      <w:bodyDiv w:val="1"/>
      <w:marLeft w:val="0"/>
      <w:marRight w:val="0"/>
      <w:marTop w:val="0"/>
      <w:marBottom w:val="0"/>
      <w:divBdr>
        <w:top w:val="none" w:sz="0" w:space="0" w:color="auto"/>
        <w:left w:val="none" w:sz="0" w:space="0" w:color="auto"/>
        <w:bottom w:val="none" w:sz="0" w:space="0" w:color="auto"/>
        <w:right w:val="none" w:sz="0" w:space="0" w:color="auto"/>
      </w:divBdr>
    </w:div>
    <w:div w:id="905141732">
      <w:bodyDiv w:val="1"/>
      <w:marLeft w:val="0"/>
      <w:marRight w:val="0"/>
      <w:marTop w:val="0"/>
      <w:marBottom w:val="0"/>
      <w:divBdr>
        <w:top w:val="none" w:sz="0" w:space="0" w:color="auto"/>
        <w:left w:val="none" w:sz="0" w:space="0" w:color="auto"/>
        <w:bottom w:val="none" w:sz="0" w:space="0" w:color="auto"/>
        <w:right w:val="none" w:sz="0" w:space="0" w:color="auto"/>
      </w:divBdr>
    </w:div>
    <w:div w:id="905149373">
      <w:bodyDiv w:val="1"/>
      <w:marLeft w:val="0"/>
      <w:marRight w:val="0"/>
      <w:marTop w:val="0"/>
      <w:marBottom w:val="0"/>
      <w:divBdr>
        <w:top w:val="none" w:sz="0" w:space="0" w:color="auto"/>
        <w:left w:val="none" w:sz="0" w:space="0" w:color="auto"/>
        <w:bottom w:val="none" w:sz="0" w:space="0" w:color="auto"/>
        <w:right w:val="none" w:sz="0" w:space="0" w:color="auto"/>
      </w:divBdr>
    </w:div>
    <w:div w:id="905189282">
      <w:bodyDiv w:val="1"/>
      <w:marLeft w:val="0"/>
      <w:marRight w:val="0"/>
      <w:marTop w:val="0"/>
      <w:marBottom w:val="0"/>
      <w:divBdr>
        <w:top w:val="none" w:sz="0" w:space="0" w:color="auto"/>
        <w:left w:val="none" w:sz="0" w:space="0" w:color="auto"/>
        <w:bottom w:val="none" w:sz="0" w:space="0" w:color="auto"/>
        <w:right w:val="none" w:sz="0" w:space="0" w:color="auto"/>
      </w:divBdr>
    </w:div>
    <w:div w:id="905258091">
      <w:bodyDiv w:val="1"/>
      <w:marLeft w:val="0"/>
      <w:marRight w:val="0"/>
      <w:marTop w:val="0"/>
      <w:marBottom w:val="0"/>
      <w:divBdr>
        <w:top w:val="none" w:sz="0" w:space="0" w:color="auto"/>
        <w:left w:val="none" w:sz="0" w:space="0" w:color="auto"/>
        <w:bottom w:val="none" w:sz="0" w:space="0" w:color="auto"/>
        <w:right w:val="none" w:sz="0" w:space="0" w:color="auto"/>
      </w:divBdr>
    </w:div>
    <w:div w:id="905262385">
      <w:bodyDiv w:val="1"/>
      <w:marLeft w:val="0"/>
      <w:marRight w:val="0"/>
      <w:marTop w:val="0"/>
      <w:marBottom w:val="0"/>
      <w:divBdr>
        <w:top w:val="none" w:sz="0" w:space="0" w:color="auto"/>
        <w:left w:val="none" w:sz="0" w:space="0" w:color="auto"/>
        <w:bottom w:val="none" w:sz="0" w:space="0" w:color="auto"/>
        <w:right w:val="none" w:sz="0" w:space="0" w:color="auto"/>
      </w:divBdr>
    </w:div>
    <w:div w:id="905408995">
      <w:bodyDiv w:val="1"/>
      <w:marLeft w:val="0"/>
      <w:marRight w:val="0"/>
      <w:marTop w:val="0"/>
      <w:marBottom w:val="0"/>
      <w:divBdr>
        <w:top w:val="none" w:sz="0" w:space="0" w:color="auto"/>
        <w:left w:val="none" w:sz="0" w:space="0" w:color="auto"/>
        <w:bottom w:val="none" w:sz="0" w:space="0" w:color="auto"/>
        <w:right w:val="none" w:sz="0" w:space="0" w:color="auto"/>
      </w:divBdr>
    </w:div>
    <w:div w:id="905456952">
      <w:bodyDiv w:val="1"/>
      <w:marLeft w:val="0"/>
      <w:marRight w:val="0"/>
      <w:marTop w:val="0"/>
      <w:marBottom w:val="0"/>
      <w:divBdr>
        <w:top w:val="none" w:sz="0" w:space="0" w:color="auto"/>
        <w:left w:val="none" w:sz="0" w:space="0" w:color="auto"/>
        <w:bottom w:val="none" w:sz="0" w:space="0" w:color="auto"/>
        <w:right w:val="none" w:sz="0" w:space="0" w:color="auto"/>
      </w:divBdr>
    </w:div>
    <w:div w:id="905535958">
      <w:bodyDiv w:val="1"/>
      <w:marLeft w:val="0"/>
      <w:marRight w:val="0"/>
      <w:marTop w:val="0"/>
      <w:marBottom w:val="0"/>
      <w:divBdr>
        <w:top w:val="none" w:sz="0" w:space="0" w:color="auto"/>
        <w:left w:val="none" w:sz="0" w:space="0" w:color="auto"/>
        <w:bottom w:val="none" w:sz="0" w:space="0" w:color="auto"/>
        <w:right w:val="none" w:sz="0" w:space="0" w:color="auto"/>
      </w:divBdr>
    </w:div>
    <w:div w:id="905577415">
      <w:bodyDiv w:val="1"/>
      <w:marLeft w:val="0"/>
      <w:marRight w:val="0"/>
      <w:marTop w:val="0"/>
      <w:marBottom w:val="0"/>
      <w:divBdr>
        <w:top w:val="none" w:sz="0" w:space="0" w:color="auto"/>
        <w:left w:val="none" w:sz="0" w:space="0" w:color="auto"/>
        <w:bottom w:val="none" w:sz="0" w:space="0" w:color="auto"/>
        <w:right w:val="none" w:sz="0" w:space="0" w:color="auto"/>
      </w:divBdr>
    </w:div>
    <w:div w:id="905602858">
      <w:bodyDiv w:val="1"/>
      <w:marLeft w:val="0"/>
      <w:marRight w:val="0"/>
      <w:marTop w:val="0"/>
      <w:marBottom w:val="0"/>
      <w:divBdr>
        <w:top w:val="none" w:sz="0" w:space="0" w:color="auto"/>
        <w:left w:val="none" w:sz="0" w:space="0" w:color="auto"/>
        <w:bottom w:val="none" w:sz="0" w:space="0" w:color="auto"/>
        <w:right w:val="none" w:sz="0" w:space="0" w:color="auto"/>
      </w:divBdr>
    </w:div>
    <w:div w:id="905606867">
      <w:bodyDiv w:val="1"/>
      <w:marLeft w:val="0"/>
      <w:marRight w:val="0"/>
      <w:marTop w:val="0"/>
      <w:marBottom w:val="0"/>
      <w:divBdr>
        <w:top w:val="none" w:sz="0" w:space="0" w:color="auto"/>
        <w:left w:val="none" w:sz="0" w:space="0" w:color="auto"/>
        <w:bottom w:val="none" w:sz="0" w:space="0" w:color="auto"/>
        <w:right w:val="none" w:sz="0" w:space="0" w:color="auto"/>
      </w:divBdr>
    </w:div>
    <w:div w:id="905913994">
      <w:bodyDiv w:val="1"/>
      <w:marLeft w:val="0"/>
      <w:marRight w:val="0"/>
      <w:marTop w:val="0"/>
      <w:marBottom w:val="0"/>
      <w:divBdr>
        <w:top w:val="none" w:sz="0" w:space="0" w:color="auto"/>
        <w:left w:val="none" w:sz="0" w:space="0" w:color="auto"/>
        <w:bottom w:val="none" w:sz="0" w:space="0" w:color="auto"/>
        <w:right w:val="none" w:sz="0" w:space="0" w:color="auto"/>
      </w:divBdr>
    </w:div>
    <w:div w:id="905989057">
      <w:bodyDiv w:val="1"/>
      <w:marLeft w:val="0"/>
      <w:marRight w:val="0"/>
      <w:marTop w:val="0"/>
      <w:marBottom w:val="0"/>
      <w:divBdr>
        <w:top w:val="none" w:sz="0" w:space="0" w:color="auto"/>
        <w:left w:val="none" w:sz="0" w:space="0" w:color="auto"/>
        <w:bottom w:val="none" w:sz="0" w:space="0" w:color="auto"/>
        <w:right w:val="none" w:sz="0" w:space="0" w:color="auto"/>
      </w:divBdr>
    </w:div>
    <w:div w:id="905996175">
      <w:bodyDiv w:val="1"/>
      <w:marLeft w:val="0"/>
      <w:marRight w:val="0"/>
      <w:marTop w:val="0"/>
      <w:marBottom w:val="0"/>
      <w:divBdr>
        <w:top w:val="none" w:sz="0" w:space="0" w:color="auto"/>
        <w:left w:val="none" w:sz="0" w:space="0" w:color="auto"/>
        <w:bottom w:val="none" w:sz="0" w:space="0" w:color="auto"/>
        <w:right w:val="none" w:sz="0" w:space="0" w:color="auto"/>
      </w:divBdr>
    </w:div>
    <w:div w:id="906035957">
      <w:bodyDiv w:val="1"/>
      <w:marLeft w:val="0"/>
      <w:marRight w:val="0"/>
      <w:marTop w:val="0"/>
      <w:marBottom w:val="0"/>
      <w:divBdr>
        <w:top w:val="none" w:sz="0" w:space="0" w:color="auto"/>
        <w:left w:val="none" w:sz="0" w:space="0" w:color="auto"/>
        <w:bottom w:val="none" w:sz="0" w:space="0" w:color="auto"/>
        <w:right w:val="none" w:sz="0" w:space="0" w:color="auto"/>
      </w:divBdr>
    </w:div>
    <w:div w:id="906036283">
      <w:bodyDiv w:val="1"/>
      <w:marLeft w:val="0"/>
      <w:marRight w:val="0"/>
      <w:marTop w:val="0"/>
      <w:marBottom w:val="0"/>
      <w:divBdr>
        <w:top w:val="none" w:sz="0" w:space="0" w:color="auto"/>
        <w:left w:val="none" w:sz="0" w:space="0" w:color="auto"/>
        <w:bottom w:val="none" w:sz="0" w:space="0" w:color="auto"/>
        <w:right w:val="none" w:sz="0" w:space="0" w:color="auto"/>
      </w:divBdr>
    </w:div>
    <w:div w:id="906037207">
      <w:bodyDiv w:val="1"/>
      <w:marLeft w:val="0"/>
      <w:marRight w:val="0"/>
      <w:marTop w:val="0"/>
      <w:marBottom w:val="0"/>
      <w:divBdr>
        <w:top w:val="none" w:sz="0" w:space="0" w:color="auto"/>
        <w:left w:val="none" w:sz="0" w:space="0" w:color="auto"/>
        <w:bottom w:val="none" w:sz="0" w:space="0" w:color="auto"/>
        <w:right w:val="none" w:sz="0" w:space="0" w:color="auto"/>
      </w:divBdr>
    </w:div>
    <w:div w:id="906107948">
      <w:bodyDiv w:val="1"/>
      <w:marLeft w:val="0"/>
      <w:marRight w:val="0"/>
      <w:marTop w:val="0"/>
      <w:marBottom w:val="0"/>
      <w:divBdr>
        <w:top w:val="none" w:sz="0" w:space="0" w:color="auto"/>
        <w:left w:val="none" w:sz="0" w:space="0" w:color="auto"/>
        <w:bottom w:val="none" w:sz="0" w:space="0" w:color="auto"/>
        <w:right w:val="none" w:sz="0" w:space="0" w:color="auto"/>
      </w:divBdr>
    </w:div>
    <w:div w:id="906108931">
      <w:bodyDiv w:val="1"/>
      <w:marLeft w:val="0"/>
      <w:marRight w:val="0"/>
      <w:marTop w:val="0"/>
      <w:marBottom w:val="0"/>
      <w:divBdr>
        <w:top w:val="none" w:sz="0" w:space="0" w:color="auto"/>
        <w:left w:val="none" w:sz="0" w:space="0" w:color="auto"/>
        <w:bottom w:val="none" w:sz="0" w:space="0" w:color="auto"/>
        <w:right w:val="none" w:sz="0" w:space="0" w:color="auto"/>
      </w:divBdr>
    </w:div>
    <w:div w:id="906110215">
      <w:bodyDiv w:val="1"/>
      <w:marLeft w:val="0"/>
      <w:marRight w:val="0"/>
      <w:marTop w:val="0"/>
      <w:marBottom w:val="0"/>
      <w:divBdr>
        <w:top w:val="none" w:sz="0" w:space="0" w:color="auto"/>
        <w:left w:val="none" w:sz="0" w:space="0" w:color="auto"/>
        <w:bottom w:val="none" w:sz="0" w:space="0" w:color="auto"/>
        <w:right w:val="none" w:sz="0" w:space="0" w:color="auto"/>
      </w:divBdr>
    </w:div>
    <w:div w:id="906187106">
      <w:bodyDiv w:val="1"/>
      <w:marLeft w:val="0"/>
      <w:marRight w:val="0"/>
      <w:marTop w:val="0"/>
      <w:marBottom w:val="0"/>
      <w:divBdr>
        <w:top w:val="none" w:sz="0" w:space="0" w:color="auto"/>
        <w:left w:val="none" w:sz="0" w:space="0" w:color="auto"/>
        <w:bottom w:val="none" w:sz="0" w:space="0" w:color="auto"/>
        <w:right w:val="none" w:sz="0" w:space="0" w:color="auto"/>
      </w:divBdr>
    </w:div>
    <w:div w:id="906231814">
      <w:bodyDiv w:val="1"/>
      <w:marLeft w:val="0"/>
      <w:marRight w:val="0"/>
      <w:marTop w:val="0"/>
      <w:marBottom w:val="0"/>
      <w:divBdr>
        <w:top w:val="none" w:sz="0" w:space="0" w:color="auto"/>
        <w:left w:val="none" w:sz="0" w:space="0" w:color="auto"/>
        <w:bottom w:val="none" w:sz="0" w:space="0" w:color="auto"/>
        <w:right w:val="none" w:sz="0" w:space="0" w:color="auto"/>
      </w:divBdr>
    </w:div>
    <w:div w:id="906232019">
      <w:bodyDiv w:val="1"/>
      <w:marLeft w:val="0"/>
      <w:marRight w:val="0"/>
      <w:marTop w:val="0"/>
      <w:marBottom w:val="0"/>
      <w:divBdr>
        <w:top w:val="none" w:sz="0" w:space="0" w:color="auto"/>
        <w:left w:val="none" w:sz="0" w:space="0" w:color="auto"/>
        <w:bottom w:val="none" w:sz="0" w:space="0" w:color="auto"/>
        <w:right w:val="none" w:sz="0" w:space="0" w:color="auto"/>
      </w:divBdr>
    </w:div>
    <w:div w:id="906233696">
      <w:bodyDiv w:val="1"/>
      <w:marLeft w:val="0"/>
      <w:marRight w:val="0"/>
      <w:marTop w:val="0"/>
      <w:marBottom w:val="0"/>
      <w:divBdr>
        <w:top w:val="none" w:sz="0" w:space="0" w:color="auto"/>
        <w:left w:val="none" w:sz="0" w:space="0" w:color="auto"/>
        <w:bottom w:val="none" w:sz="0" w:space="0" w:color="auto"/>
        <w:right w:val="none" w:sz="0" w:space="0" w:color="auto"/>
      </w:divBdr>
    </w:div>
    <w:div w:id="906376481">
      <w:bodyDiv w:val="1"/>
      <w:marLeft w:val="0"/>
      <w:marRight w:val="0"/>
      <w:marTop w:val="0"/>
      <w:marBottom w:val="0"/>
      <w:divBdr>
        <w:top w:val="none" w:sz="0" w:space="0" w:color="auto"/>
        <w:left w:val="none" w:sz="0" w:space="0" w:color="auto"/>
        <w:bottom w:val="none" w:sz="0" w:space="0" w:color="auto"/>
        <w:right w:val="none" w:sz="0" w:space="0" w:color="auto"/>
      </w:divBdr>
    </w:div>
    <w:div w:id="906382184">
      <w:bodyDiv w:val="1"/>
      <w:marLeft w:val="0"/>
      <w:marRight w:val="0"/>
      <w:marTop w:val="0"/>
      <w:marBottom w:val="0"/>
      <w:divBdr>
        <w:top w:val="none" w:sz="0" w:space="0" w:color="auto"/>
        <w:left w:val="none" w:sz="0" w:space="0" w:color="auto"/>
        <w:bottom w:val="none" w:sz="0" w:space="0" w:color="auto"/>
        <w:right w:val="none" w:sz="0" w:space="0" w:color="auto"/>
      </w:divBdr>
    </w:div>
    <w:div w:id="906450412">
      <w:bodyDiv w:val="1"/>
      <w:marLeft w:val="0"/>
      <w:marRight w:val="0"/>
      <w:marTop w:val="0"/>
      <w:marBottom w:val="0"/>
      <w:divBdr>
        <w:top w:val="none" w:sz="0" w:space="0" w:color="auto"/>
        <w:left w:val="none" w:sz="0" w:space="0" w:color="auto"/>
        <w:bottom w:val="none" w:sz="0" w:space="0" w:color="auto"/>
        <w:right w:val="none" w:sz="0" w:space="0" w:color="auto"/>
      </w:divBdr>
    </w:div>
    <w:div w:id="906459798">
      <w:bodyDiv w:val="1"/>
      <w:marLeft w:val="0"/>
      <w:marRight w:val="0"/>
      <w:marTop w:val="0"/>
      <w:marBottom w:val="0"/>
      <w:divBdr>
        <w:top w:val="none" w:sz="0" w:space="0" w:color="auto"/>
        <w:left w:val="none" w:sz="0" w:space="0" w:color="auto"/>
        <w:bottom w:val="none" w:sz="0" w:space="0" w:color="auto"/>
        <w:right w:val="none" w:sz="0" w:space="0" w:color="auto"/>
      </w:divBdr>
    </w:div>
    <w:div w:id="906495942">
      <w:bodyDiv w:val="1"/>
      <w:marLeft w:val="0"/>
      <w:marRight w:val="0"/>
      <w:marTop w:val="0"/>
      <w:marBottom w:val="0"/>
      <w:divBdr>
        <w:top w:val="none" w:sz="0" w:space="0" w:color="auto"/>
        <w:left w:val="none" w:sz="0" w:space="0" w:color="auto"/>
        <w:bottom w:val="none" w:sz="0" w:space="0" w:color="auto"/>
        <w:right w:val="none" w:sz="0" w:space="0" w:color="auto"/>
      </w:divBdr>
    </w:div>
    <w:div w:id="906501214">
      <w:bodyDiv w:val="1"/>
      <w:marLeft w:val="0"/>
      <w:marRight w:val="0"/>
      <w:marTop w:val="0"/>
      <w:marBottom w:val="0"/>
      <w:divBdr>
        <w:top w:val="none" w:sz="0" w:space="0" w:color="auto"/>
        <w:left w:val="none" w:sz="0" w:space="0" w:color="auto"/>
        <w:bottom w:val="none" w:sz="0" w:space="0" w:color="auto"/>
        <w:right w:val="none" w:sz="0" w:space="0" w:color="auto"/>
      </w:divBdr>
    </w:div>
    <w:div w:id="906770467">
      <w:bodyDiv w:val="1"/>
      <w:marLeft w:val="0"/>
      <w:marRight w:val="0"/>
      <w:marTop w:val="0"/>
      <w:marBottom w:val="0"/>
      <w:divBdr>
        <w:top w:val="none" w:sz="0" w:space="0" w:color="auto"/>
        <w:left w:val="none" w:sz="0" w:space="0" w:color="auto"/>
        <w:bottom w:val="none" w:sz="0" w:space="0" w:color="auto"/>
        <w:right w:val="none" w:sz="0" w:space="0" w:color="auto"/>
      </w:divBdr>
    </w:div>
    <w:div w:id="906843223">
      <w:bodyDiv w:val="1"/>
      <w:marLeft w:val="0"/>
      <w:marRight w:val="0"/>
      <w:marTop w:val="0"/>
      <w:marBottom w:val="0"/>
      <w:divBdr>
        <w:top w:val="none" w:sz="0" w:space="0" w:color="auto"/>
        <w:left w:val="none" w:sz="0" w:space="0" w:color="auto"/>
        <w:bottom w:val="none" w:sz="0" w:space="0" w:color="auto"/>
        <w:right w:val="none" w:sz="0" w:space="0" w:color="auto"/>
      </w:divBdr>
    </w:div>
    <w:div w:id="906843537">
      <w:bodyDiv w:val="1"/>
      <w:marLeft w:val="0"/>
      <w:marRight w:val="0"/>
      <w:marTop w:val="0"/>
      <w:marBottom w:val="0"/>
      <w:divBdr>
        <w:top w:val="none" w:sz="0" w:space="0" w:color="auto"/>
        <w:left w:val="none" w:sz="0" w:space="0" w:color="auto"/>
        <w:bottom w:val="none" w:sz="0" w:space="0" w:color="auto"/>
        <w:right w:val="none" w:sz="0" w:space="0" w:color="auto"/>
      </w:divBdr>
    </w:div>
    <w:div w:id="907347397">
      <w:bodyDiv w:val="1"/>
      <w:marLeft w:val="0"/>
      <w:marRight w:val="0"/>
      <w:marTop w:val="0"/>
      <w:marBottom w:val="0"/>
      <w:divBdr>
        <w:top w:val="none" w:sz="0" w:space="0" w:color="auto"/>
        <w:left w:val="none" w:sz="0" w:space="0" w:color="auto"/>
        <w:bottom w:val="none" w:sz="0" w:space="0" w:color="auto"/>
        <w:right w:val="none" w:sz="0" w:space="0" w:color="auto"/>
      </w:divBdr>
    </w:div>
    <w:div w:id="907348327">
      <w:bodyDiv w:val="1"/>
      <w:marLeft w:val="0"/>
      <w:marRight w:val="0"/>
      <w:marTop w:val="0"/>
      <w:marBottom w:val="0"/>
      <w:divBdr>
        <w:top w:val="none" w:sz="0" w:space="0" w:color="auto"/>
        <w:left w:val="none" w:sz="0" w:space="0" w:color="auto"/>
        <w:bottom w:val="none" w:sz="0" w:space="0" w:color="auto"/>
        <w:right w:val="none" w:sz="0" w:space="0" w:color="auto"/>
      </w:divBdr>
    </w:div>
    <w:div w:id="907377191">
      <w:bodyDiv w:val="1"/>
      <w:marLeft w:val="0"/>
      <w:marRight w:val="0"/>
      <w:marTop w:val="0"/>
      <w:marBottom w:val="0"/>
      <w:divBdr>
        <w:top w:val="none" w:sz="0" w:space="0" w:color="auto"/>
        <w:left w:val="none" w:sz="0" w:space="0" w:color="auto"/>
        <w:bottom w:val="none" w:sz="0" w:space="0" w:color="auto"/>
        <w:right w:val="none" w:sz="0" w:space="0" w:color="auto"/>
      </w:divBdr>
    </w:div>
    <w:div w:id="907378264">
      <w:bodyDiv w:val="1"/>
      <w:marLeft w:val="0"/>
      <w:marRight w:val="0"/>
      <w:marTop w:val="0"/>
      <w:marBottom w:val="0"/>
      <w:divBdr>
        <w:top w:val="none" w:sz="0" w:space="0" w:color="auto"/>
        <w:left w:val="none" w:sz="0" w:space="0" w:color="auto"/>
        <w:bottom w:val="none" w:sz="0" w:space="0" w:color="auto"/>
        <w:right w:val="none" w:sz="0" w:space="0" w:color="auto"/>
      </w:divBdr>
    </w:div>
    <w:div w:id="907416967">
      <w:bodyDiv w:val="1"/>
      <w:marLeft w:val="0"/>
      <w:marRight w:val="0"/>
      <w:marTop w:val="0"/>
      <w:marBottom w:val="0"/>
      <w:divBdr>
        <w:top w:val="none" w:sz="0" w:space="0" w:color="auto"/>
        <w:left w:val="none" w:sz="0" w:space="0" w:color="auto"/>
        <w:bottom w:val="none" w:sz="0" w:space="0" w:color="auto"/>
        <w:right w:val="none" w:sz="0" w:space="0" w:color="auto"/>
      </w:divBdr>
    </w:div>
    <w:div w:id="907495516">
      <w:bodyDiv w:val="1"/>
      <w:marLeft w:val="0"/>
      <w:marRight w:val="0"/>
      <w:marTop w:val="0"/>
      <w:marBottom w:val="0"/>
      <w:divBdr>
        <w:top w:val="none" w:sz="0" w:space="0" w:color="auto"/>
        <w:left w:val="none" w:sz="0" w:space="0" w:color="auto"/>
        <w:bottom w:val="none" w:sz="0" w:space="0" w:color="auto"/>
        <w:right w:val="none" w:sz="0" w:space="0" w:color="auto"/>
      </w:divBdr>
    </w:div>
    <w:div w:id="907543260">
      <w:bodyDiv w:val="1"/>
      <w:marLeft w:val="0"/>
      <w:marRight w:val="0"/>
      <w:marTop w:val="0"/>
      <w:marBottom w:val="0"/>
      <w:divBdr>
        <w:top w:val="none" w:sz="0" w:space="0" w:color="auto"/>
        <w:left w:val="none" w:sz="0" w:space="0" w:color="auto"/>
        <w:bottom w:val="none" w:sz="0" w:space="0" w:color="auto"/>
        <w:right w:val="none" w:sz="0" w:space="0" w:color="auto"/>
      </w:divBdr>
    </w:div>
    <w:div w:id="907543694">
      <w:bodyDiv w:val="1"/>
      <w:marLeft w:val="0"/>
      <w:marRight w:val="0"/>
      <w:marTop w:val="0"/>
      <w:marBottom w:val="0"/>
      <w:divBdr>
        <w:top w:val="none" w:sz="0" w:space="0" w:color="auto"/>
        <w:left w:val="none" w:sz="0" w:space="0" w:color="auto"/>
        <w:bottom w:val="none" w:sz="0" w:space="0" w:color="auto"/>
        <w:right w:val="none" w:sz="0" w:space="0" w:color="auto"/>
      </w:divBdr>
    </w:div>
    <w:div w:id="907572033">
      <w:bodyDiv w:val="1"/>
      <w:marLeft w:val="0"/>
      <w:marRight w:val="0"/>
      <w:marTop w:val="0"/>
      <w:marBottom w:val="0"/>
      <w:divBdr>
        <w:top w:val="none" w:sz="0" w:space="0" w:color="auto"/>
        <w:left w:val="none" w:sz="0" w:space="0" w:color="auto"/>
        <w:bottom w:val="none" w:sz="0" w:space="0" w:color="auto"/>
        <w:right w:val="none" w:sz="0" w:space="0" w:color="auto"/>
      </w:divBdr>
    </w:div>
    <w:div w:id="907573600">
      <w:bodyDiv w:val="1"/>
      <w:marLeft w:val="0"/>
      <w:marRight w:val="0"/>
      <w:marTop w:val="0"/>
      <w:marBottom w:val="0"/>
      <w:divBdr>
        <w:top w:val="none" w:sz="0" w:space="0" w:color="auto"/>
        <w:left w:val="none" w:sz="0" w:space="0" w:color="auto"/>
        <w:bottom w:val="none" w:sz="0" w:space="0" w:color="auto"/>
        <w:right w:val="none" w:sz="0" w:space="0" w:color="auto"/>
      </w:divBdr>
    </w:div>
    <w:div w:id="907686237">
      <w:bodyDiv w:val="1"/>
      <w:marLeft w:val="0"/>
      <w:marRight w:val="0"/>
      <w:marTop w:val="0"/>
      <w:marBottom w:val="0"/>
      <w:divBdr>
        <w:top w:val="none" w:sz="0" w:space="0" w:color="auto"/>
        <w:left w:val="none" w:sz="0" w:space="0" w:color="auto"/>
        <w:bottom w:val="none" w:sz="0" w:space="0" w:color="auto"/>
        <w:right w:val="none" w:sz="0" w:space="0" w:color="auto"/>
      </w:divBdr>
    </w:div>
    <w:div w:id="907765551">
      <w:bodyDiv w:val="1"/>
      <w:marLeft w:val="0"/>
      <w:marRight w:val="0"/>
      <w:marTop w:val="0"/>
      <w:marBottom w:val="0"/>
      <w:divBdr>
        <w:top w:val="none" w:sz="0" w:space="0" w:color="auto"/>
        <w:left w:val="none" w:sz="0" w:space="0" w:color="auto"/>
        <w:bottom w:val="none" w:sz="0" w:space="0" w:color="auto"/>
        <w:right w:val="none" w:sz="0" w:space="0" w:color="auto"/>
      </w:divBdr>
    </w:div>
    <w:div w:id="907767262">
      <w:bodyDiv w:val="1"/>
      <w:marLeft w:val="0"/>
      <w:marRight w:val="0"/>
      <w:marTop w:val="0"/>
      <w:marBottom w:val="0"/>
      <w:divBdr>
        <w:top w:val="none" w:sz="0" w:space="0" w:color="auto"/>
        <w:left w:val="none" w:sz="0" w:space="0" w:color="auto"/>
        <w:bottom w:val="none" w:sz="0" w:space="0" w:color="auto"/>
        <w:right w:val="none" w:sz="0" w:space="0" w:color="auto"/>
      </w:divBdr>
    </w:div>
    <w:div w:id="907768373">
      <w:bodyDiv w:val="1"/>
      <w:marLeft w:val="0"/>
      <w:marRight w:val="0"/>
      <w:marTop w:val="0"/>
      <w:marBottom w:val="0"/>
      <w:divBdr>
        <w:top w:val="none" w:sz="0" w:space="0" w:color="auto"/>
        <w:left w:val="none" w:sz="0" w:space="0" w:color="auto"/>
        <w:bottom w:val="none" w:sz="0" w:space="0" w:color="auto"/>
        <w:right w:val="none" w:sz="0" w:space="0" w:color="auto"/>
      </w:divBdr>
    </w:div>
    <w:div w:id="907882598">
      <w:bodyDiv w:val="1"/>
      <w:marLeft w:val="0"/>
      <w:marRight w:val="0"/>
      <w:marTop w:val="0"/>
      <w:marBottom w:val="0"/>
      <w:divBdr>
        <w:top w:val="none" w:sz="0" w:space="0" w:color="auto"/>
        <w:left w:val="none" w:sz="0" w:space="0" w:color="auto"/>
        <w:bottom w:val="none" w:sz="0" w:space="0" w:color="auto"/>
        <w:right w:val="none" w:sz="0" w:space="0" w:color="auto"/>
      </w:divBdr>
    </w:div>
    <w:div w:id="908271833">
      <w:bodyDiv w:val="1"/>
      <w:marLeft w:val="0"/>
      <w:marRight w:val="0"/>
      <w:marTop w:val="0"/>
      <w:marBottom w:val="0"/>
      <w:divBdr>
        <w:top w:val="none" w:sz="0" w:space="0" w:color="auto"/>
        <w:left w:val="none" w:sz="0" w:space="0" w:color="auto"/>
        <w:bottom w:val="none" w:sz="0" w:space="0" w:color="auto"/>
        <w:right w:val="none" w:sz="0" w:space="0" w:color="auto"/>
      </w:divBdr>
    </w:div>
    <w:div w:id="908343711">
      <w:bodyDiv w:val="1"/>
      <w:marLeft w:val="0"/>
      <w:marRight w:val="0"/>
      <w:marTop w:val="0"/>
      <w:marBottom w:val="0"/>
      <w:divBdr>
        <w:top w:val="none" w:sz="0" w:space="0" w:color="auto"/>
        <w:left w:val="none" w:sz="0" w:space="0" w:color="auto"/>
        <w:bottom w:val="none" w:sz="0" w:space="0" w:color="auto"/>
        <w:right w:val="none" w:sz="0" w:space="0" w:color="auto"/>
      </w:divBdr>
    </w:div>
    <w:div w:id="908350489">
      <w:bodyDiv w:val="1"/>
      <w:marLeft w:val="0"/>
      <w:marRight w:val="0"/>
      <w:marTop w:val="0"/>
      <w:marBottom w:val="0"/>
      <w:divBdr>
        <w:top w:val="none" w:sz="0" w:space="0" w:color="auto"/>
        <w:left w:val="none" w:sz="0" w:space="0" w:color="auto"/>
        <w:bottom w:val="none" w:sz="0" w:space="0" w:color="auto"/>
        <w:right w:val="none" w:sz="0" w:space="0" w:color="auto"/>
      </w:divBdr>
    </w:div>
    <w:div w:id="908420532">
      <w:bodyDiv w:val="1"/>
      <w:marLeft w:val="0"/>
      <w:marRight w:val="0"/>
      <w:marTop w:val="0"/>
      <w:marBottom w:val="0"/>
      <w:divBdr>
        <w:top w:val="none" w:sz="0" w:space="0" w:color="auto"/>
        <w:left w:val="none" w:sz="0" w:space="0" w:color="auto"/>
        <w:bottom w:val="none" w:sz="0" w:space="0" w:color="auto"/>
        <w:right w:val="none" w:sz="0" w:space="0" w:color="auto"/>
      </w:divBdr>
    </w:div>
    <w:div w:id="908464127">
      <w:bodyDiv w:val="1"/>
      <w:marLeft w:val="0"/>
      <w:marRight w:val="0"/>
      <w:marTop w:val="0"/>
      <w:marBottom w:val="0"/>
      <w:divBdr>
        <w:top w:val="none" w:sz="0" w:space="0" w:color="auto"/>
        <w:left w:val="none" w:sz="0" w:space="0" w:color="auto"/>
        <w:bottom w:val="none" w:sz="0" w:space="0" w:color="auto"/>
        <w:right w:val="none" w:sz="0" w:space="0" w:color="auto"/>
      </w:divBdr>
    </w:div>
    <w:div w:id="908466216">
      <w:bodyDiv w:val="1"/>
      <w:marLeft w:val="0"/>
      <w:marRight w:val="0"/>
      <w:marTop w:val="0"/>
      <w:marBottom w:val="0"/>
      <w:divBdr>
        <w:top w:val="none" w:sz="0" w:space="0" w:color="auto"/>
        <w:left w:val="none" w:sz="0" w:space="0" w:color="auto"/>
        <w:bottom w:val="none" w:sz="0" w:space="0" w:color="auto"/>
        <w:right w:val="none" w:sz="0" w:space="0" w:color="auto"/>
      </w:divBdr>
    </w:div>
    <w:div w:id="908539454">
      <w:bodyDiv w:val="1"/>
      <w:marLeft w:val="0"/>
      <w:marRight w:val="0"/>
      <w:marTop w:val="0"/>
      <w:marBottom w:val="0"/>
      <w:divBdr>
        <w:top w:val="none" w:sz="0" w:space="0" w:color="auto"/>
        <w:left w:val="none" w:sz="0" w:space="0" w:color="auto"/>
        <w:bottom w:val="none" w:sz="0" w:space="0" w:color="auto"/>
        <w:right w:val="none" w:sz="0" w:space="0" w:color="auto"/>
      </w:divBdr>
    </w:div>
    <w:div w:id="908610871">
      <w:bodyDiv w:val="1"/>
      <w:marLeft w:val="0"/>
      <w:marRight w:val="0"/>
      <w:marTop w:val="0"/>
      <w:marBottom w:val="0"/>
      <w:divBdr>
        <w:top w:val="none" w:sz="0" w:space="0" w:color="auto"/>
        <w:left w:val="none" w:sz="0" w:space="0" w:color="auto"/>
        <w:bottom w:val="none" w:sz="0" w:space="0" w:color="auto"/>
        <w:right w:val="none" w:sz="0" w:space="0" w:color="auto"/>
      </w:divBdr>
    </w:div>
    <w:div w:id="908729158">
      <w:bodyDiv w:val="1"/>
      <w:marLeft w:val="0"/>
      <w:marRight w:val="0"/>
      <w:marTop w:val="0"/>
      <w:marBottom w:val="0"/>
      <w:divBdr>
        <w:top w:val="none" w:sz="0" w:space="0" w:color="auto"/>
        <w:left w:val="none" w:sz="0" w:space="0" w:color="auto"/>
        <w:bottom w:val="none" w:sz="0" w:space="0" w:color="auto"/>
        <w:right w:val="none" w:sz="0" w:space="0" w:color="auto"/>
      </w:divBdr>
    </w:div>
    <w:div w:id="908731136">
      <w:bodyDiv w:val="1"/>
      <w:marLeft w:val="0"/>
      <w:marRight w:val="0"/>
      <w:marTop w:val="0"/>
      <w:marBottom w:val="0"/>
      <w:divBdr>
        <w:top w:val="none" w:sz="0" w:space="0" w:color="auto"/>
        <w:left w:val="none" w:sz="0" w:space="0" w:color="auto"/>
        <w:bottom w:val="none" w:sz="0" w:space="0" w:color="auto"/>
        <w:right w:val="none" w:sz="0" w:space="0" w:color="auto"/>
      </w:divBdr>
    </w:div>
    <w:div w:id="908731801">
      <w:bodyDiv w:val="1"/>
      <w:marLeft w:val="0"/>
      <w:marRight w:val="0"/>
      <w:marTop w:val="0"/>
      <w:marBottom w:val="0"/>
      <w:divBdr>
        <w:top w:val="none" w:sz="0" w:space="0" w:color="auto"/>
        <w:left w:val="none" w:sz="0" w:space="0" w:color="auto"/>
        <w:bottom w:val="none" w:sz="0" w:space="0" w:color="auto"/>
        <w:right w:val="none" w:sz="0" w:space="0" w:color="auto"/>
      </w:divBdr>
    </w:div>
    <w:div w:id="908733194">
      <w:bodyDiv w:val="1"/>
      <w:marLeft w:val="0"/>
      <w:marRight w:val="0"/>
      <w:marTop w:val="0"/>
      <w:marBottom w:val="0"/>
      <w:divBdr>
        <w:top w:val="none" w:sz="0" w:space="0" w:color="auto"/>
        <w:left w:val="none" w:sz="0" w:space="0" w:color="auto"/>
        <w:bottom w:val="none" w:sz="0" w:space="0" w:color="auto"/>
        <w:right w:val="none" w:sz="0" w:space="0" w:color="auto"/>
      </w:divBdr>
    </w:div>
    <w:div w:id="908806716">
      <w:bodyDiv w:val="1"/>
      <w:marLeft w:val="0"/>
      <w:marRight w:val="0"/>
      <w:marTop w:val="0"/>
      <w:marBottom w:val="0"/>
      <w:divBdr>
        <w:top w:val="none" w:sz="0" w:space="0" w:color="auto"/>
        <w:left w:val="none" w:sz="0" w:space="0" w:color="auto"/>
        <w:bottom w:val="none" w:sz="0" w:space="0" w:color="auto"/>
        <w:right w:val="none" w:sz="0" w:space="0" w:color="auto"/>
      </w:divBdr>
    </w:div>
    <w:div w:id="908883053">
      <w:bodyDiv w:val="1"/>
      <w:marLeft w:val="0"/>
      <w:marRight w:val="0"/>
      <w:marTop w:val="0"/>
      <w:marBottom w:val="0"/>
      <w:divBdr>
        <w:top w:val="none" w:sz="0" w:space="0" w:color="auto"/>
        <w:left w:val="none" w:sz="0" w:space="0" w:color="auto"/>
        <w:bottom w:val="none" w:sz="0" w:space="0" w:color="auto"/>
        <w:right w:val="none" w:sz="0" w:space="0" w:color="auto"/>
      </w:divBdr>
    </w:div>
    <w:div w:id="909003314">
      <w:bodyDiv w:val="1"/>
      <w:marLeft w:val="0"/>
      <w:marRight w:val="0"/>
      <w:marTop w:val="0"/>
      <w:marBottom w:val="0"/>
      <w:divBdr>
        <w:top w:val="none" w:sz="0" w:space="0" w:color="auto"/>
        <w:left w:val="none" w:sz="0" w:space="0" w:color="auto"/>
        <w:bottom w:val="none" w:sz="0" w:space="0" w:color="auto"/>
        <w:right w:val="none" w:sz="0" w:space="0" w:color="auto"/>
      </w:divBdr>
    </w:div>
    <w:div w:id="909077524">
      <w:bodyDiv w:val="1"/>
      <w:marLeft w:val="0"/>
      <w:marRight w:val="0"/>
      <w:marTop w:val="0"/>
      <w:marBottom w:val="0"/>
      <w:divBdr>
        <w:top w:val="none" w:sz="0" w:space="0" w:color="auto"/>
        <w:left w:val="none" w:sz="0" w:space="0" w:color="auto"/>
        <w:bottom w:val="none" w:sz="0" w:space="0" w:color="auto"/>
        <w:right w:val="none" w:sz="0" w:space="0" w:color="auto"/>
      </w:divBdr>
    </w:div>
    <w:div w:id="909080882">
      <w:bodyDiv w:val="1"/>
      <w:marLeft w:val="0"/>
      <w:marRight w:val="0"/>
      <w:marTop w:val="0"/>
      <w:marBottom w:val="0"/>
      <w:divBdr>
        <w:top w:val="none" w:sz="0" w:space="0" w:color="auto"/>
        <w:left w:val="none" w:sz="0" w:space="0" w:color="auto"/>
        <w:bottom w:val="none" w:sz="0" w:space="0" w:color="auto"/>
        <w:right w:val="none" w:sz="0" w:space="0" w:color="auto"/>
      </w:divBdr>
    </w:div>
    <w:div w:id="909119020">
      <w:bodyDiv w:val="1"/>
      <w:marLeft w:val="0"/>
      <w:marRight w:val="0"/>
      <w:marTop w:val="0"/>
      <w:marBottom w:val="0"/>
      <w:divBdr>
        <w:top w:val="none" w:sz="0" w:space="0" w:color="auto"/>
        <w:left w:val="none" w:sz="0" w:space="0" w:color="auto"/>
        <w:bottom w:val="none" w:sz="0" w:space="0" w:color="auto"/>
        <w:right w:val="none" w:sz="0" w:space="0" w:color="auto"/>
      </w:divBdr>
    </w:div>
    <w:div w:id="909386213">
      <w:bodyDiv w:val="1"/>
      <w:marLeft w:val="0"/>
      <w:marRight w:val="0"/>
      <w:marTop w:val="0"/>
      <w:marBottom w:val="0"/>
      <w:divBdr>
        <w:top w:val="none" w:sz="0" w:space="0" w:color="auto"/>
        <w:left w:val="none" w:sz="0" w:space="0" w:color="auto"/>
        <w:bottom w:val="none" w:sz="0" w:space="0" w:color="auto"/>
        <w:right w:val="none" w:sz="0" w:space="0" w:color="auto"/>
      </w:divBdr>
    </w:div>
    <w:div w:id="909578087">
      <w:bodyDiv w:val="1"/>
      <w:marLeft w:val="0"/>
      <w:marRight w:val="0"/>
      <w:marTop w:val="0"/>
      <w:marBottom w:val="0"/>
      <w:divBdr>
        <w:top w:val="none" w:sz="0" w:space="0" w:color="auto"/>
        <w:left w:val="none" w:sz="0" w:space="0" w:color="auto"/>
        <w:bottom w:val="none" w:sz="0" w:space="0" w:color="auto"/>
        <w:right w:val="none" w:sz="0" w:space="0" w:color="auto"/>
      </w:divBdr>
    </w:div>
    <w:div w:id="909580766">
      <w:bodyDiv w:val="1"/>
      <w:marLeft w:val="0"/>
      <w:marRight w:val="0"/>
      <w:marTop w:val="0"/>
      <w:marBottom w:val="0"/>
      <w:divBdr>
        <w:top w:val="none" w:sz="0" w:space="0" w:color="auto"/>
        <w:left w:val="none" w:sz="0" w:space="0" w:color="auto"/>
        <w:bottom w:val="none" w:sz="0" w:space="0" w:color="auto"/>
        <w:right w:val="none" w:sz="0" w:space="0" w:color="auto"/>
      </w:divBdr>
    </w:div>
    <w:div w:id="909733018">
      <w:bodyDiv w:val="1"/>
      <w:marLeft w:val="0"/>
      <w:marRight w:val="0"/>
      <w:marTop w:val="0"/>
      <w:marBottom w:val="0"/>
      <w:divBdr>
        <w:top w:val="none" w:sz="0" w:space="0" w:color="auto"/>
        <w:left w:val="none" w:sz="0" w:space="0" w:color="auto"/>
        <w:bottom w:val="none" w:sz="0" w:space="0" w:color="auto"/>
        <w:right w:val="none" w:sz="0" w:space="0" w:color="auto"/>
      </w:divBdr>
    </w:div>
    <w:div w:id="909775591">
      <w:bodyDiv w:val="1"/>
      <w:marLeft w:val="0"/>
      <w:marRight w:val="0"/>
      <w:marTop w:val="0"/>
      <w:marBottom w:val="0"/>
      <w:divBdr>
        <w:top w:val="none" w:sz="0" w:space="0" w:color="auto"/>
        <w:left w:val="none" w:sz="0" w:space="0" w:color="auto"/>
        <w:bottom w:val="none" w:sz="0" w:space="0" w:color="auto"/>
        <w:right w:val="none" w:sz="0" w:space="0" w:color="auto"/>
      </w:divBdr>
    </w:div>
    <w:div w:id="910040634">
      <w:bodyDiv w:val="1"/>
      <w:marLeft w:val="0"/>
      <w:marRight w:val="0"/>
      <w:marTop w:val="0"/>
      <w:marBottom w:val="0"/>
      <w:divBdr>
        <w:top w:val="none" w:sz="0" w:space="0" w:color="auto"/>
        <w:left w:val="none" w:sz="0" w:space="0" w:color="auto"/>
        <w:bottom w:val="none" w:sz="0" w:space="0" w:color="auto"/>
        <w:right w:val="none" w:sz="0" w:space="0" w:color="auto"/>
      </w:divBdr>
    </w:div>
    <w:div w:id="910120703">
      <w:bodyDiv w:val="1"/>
      <w:marLeft w:val="0"/>
      <w:marRight w:val="0"/>
      <w:marTop w:val="0"/>
      <w:marBottom w:val="0"/>
      <w:divBdr>
        <w:top w:val="none" w:sz="0" w:space="0" w:color="auto"/>
        <w:left w:val="none" w:sz="0" w:space="0" w:color="auto"/>
        <w:bottom w:val="none" w:sz="0" w:space="0" w:color="auto"/>
        <w:right w:val="none" w:sz="0" w:space="0" w:color="auto"/>
      </w:divBdr>
    </w:div>
    <w:div w:id="910196071">
      <w:bodyDiv w:val="1"/>
      <w:marLeft w:val="0"/>
      <w:marRight w:val="0"/>
      <w:marTop w:val="0"/>
      <w:marBottom w:val="0"/>
      <w:divBdr>
        <w:top w:val="none" w:sz="0" w:space="0" w:color="auto"/>
        <w:left w:val="none" w:sz="0" w:space="0" w:color="auto"/>
        <w:bottom w:val="none" w:sz="0" w:space="0" w:color="auto"/>
        <w:right w:val="none" w:sz="0" w:space="0" w:color="auto"/>
      </w:divBdr>
    </w:div>
    <w:div w:id="910233103">
      <w:bodyDiv w:val="1"/>
      <w:marLeft w:val="0"/>
      <w:marRight w:val="0"/>
      <w:marTop w:val="0"/>
      <w:marBottom w:val="0"/>
      <w:divBdr>
        <w:top w:val="none" w:sz="0" w:space="0" w:color="auto"/>
        <w:left w:val="none" w:sz="0" w:space="0" w:color="auto"/>
        <w:bottom w:val="none" w:sz="0" w:space="0" w:color="auto"/>
        <w:right w:val="none" w:sz="0" w:space="0" w:color="auto"/>
      </w:divBdr>
    </w:div>
    <w:div w:id="910238216">
      <w:bodyDiv w:val="1"/>
      <w:marLeft w:val="0"/>
      <w:marRight w:val="0"/>
      <w:marTop w:val="0"/>
      <w:marBottom w:val="0"/>
      <w:divBdr>
        <w:top w:val="none" w:sz="0" w:space="0" w:color="auto"/>
        <w:left w:val="none" w:sz="0" w:space="0" w:color="auto"/>
        <w:bottom w:val="none" w:sz="0" w:space="0" w:color="auto"/>
        <w:right w:val="none" w:sz="0" w:space="0" w:color="auto"/>
      </w:divBdr>
    </w:div>
    <w:div w:id="910238288">
      <w:bodyDiv w:val="1"/>
      <w:marLeft w:val="0"/>
      <w:marRight w:val="0"/>
      <w:marTop w:val="0"/>
      <w:marBottom w:val="0"/>
      <w:divBdr>
        <w:top w:val="none" w:sz="0" w:space="0" w:color="auto"/>
        <w:left w:val="none" w:sz="0" w:space="0" w:color="auto"/>
        <w:bottom w:val="none" w:sz="0" w:space="0" w:color="auto"/>
        <w:right w:val="none" w:sz="0" w:space="0" w:color="auto"/>
      </w:divBdr>
    </w:div>
    <w:div w:id="910307689">
      <w:bodyDiv w:val="1"/>
      <w:marLeft w:val="0"/>
      <w:marRight w:val="0"/>
      <w:marTop w:val="0"/>
      <w:marBottom w:val="0"/>
      <w:divBdr>
        <w:top w:val="none" w:sz="0" w:space="0" w:color="auto"/>
        <w:left w:val="none" w:sz="0" w:space="0" w:color="auto"/>
        <w:bottom w:val="none" w:sz="0" w:space="0" w:color="auto"/>
        <w:right w:val="none" w:sz="0" w:space="0" w:color="auto"/>
      </w:divBdr>
    </w:div>
    <w:div w:id="910310069">
      <w:bodyDiv w:val="1"/>
      <w:marLeft w:val="0"/>
      <w:marRight w:val="0"/>
      <w:marTop w:val="0"/>
      <w:marBottom w:val="0"/>
      <w:divBdr>
        <w:top w:val="none" w:sz="0" w:space="0" w:color="auto"/>
        <w:left w:val="none" w:sz="0" w:space="0" w:color="auto"/>
        <w:bottom w:val="none" w:sz="0" w:space="0" w:color="auto"/>
        <w:right w:val="none" w:sz="0" w:space="0" w:color="auto"/>
      </w:divBdr>
    </w:div>
    <w:div w:id="910310104">
      <w:bodyDiv w:val="1"/>
      <w:marLeft w:val="0"/>
      <w:marRight w:val="0"/>
      <w:marTop w:val="0"/>
      <w:marBottom w:val="0"/>
      <w:divBdr>
        <w:top w:val="none" w:sz="0" w:space="0" w:color="auto"/>
        <w:left w:val="none" w:sz="0" w:space="0" w:color="auto"/>
        <w:bottom w:val="none" w:sz="0" w:space="0" w:color="auto"/>
        <w:right w:val="none" w:sz="0" w:space="0" w:color="auto"/>
      </w:divBdr>
    </w:div>
    <w:div w:id="910312674">
      <w:bodyDiv w:val="1"/>
      <w:marLeft w:val="0"/>
      <w:marRight w:val="0"/>
      <w:marTop w:val="0"/>
      <w:marBottom w:val="0"/>
      <w:divBdr>
        <w:top w:val="none" w:sz="0" w:space="0" w:color="auto"/>
        <w:left w:val="none" w:sz="0" w:space="0" w:color="auto"/>
        <w:bottom w:val="none" w:sz="0" w:space="0" w:color="auto"/>
        <w:right w:val="none" w:sz="0" w:space="0" w:color="auto"/>
      </w:divBdr>
    </w:div>
    <w:div w:id="910385172">
      <w:bodyDiv w:val="1"/>
      <w:marLeft w:val="0"/>
      <w:marRight w:val="0"/>
      <w:marTop w:val="0"/>
      <w:marBottom w:val="0"/>
      <w:divBdr>
        <w:top w:val="none" w:sz="0" w:space="0" w:color="auto"/>
        <w:left w:val="none" w:sz="0" w:space="0" w:color="auto"/>
        <w:bottom w:val="none" w:sz="0" w:space="0" w:color="auto"/>
        <w:right w:val="none" w:sz="0" w:space="0" w:color="auto"/>
      </w:divBdr>
    </w:div>
    <w:div w:id="910427573">
      <w:bodyDiv w:val="1"/>
      <w:marLeft w:val="0"/>
      <w:marRight w:val="0"/>
      <w:marTop w:val="0"/>
      <w:marBottom w:val="0"/>
      <w:divBdr>
        <w:top w:val="none" w:sz="0" w:space="0" w:color="auto"/>
        <w:left w:val="none" w:sz="0" w:space="0" w:color="auto"/>
        <w:bottom w:val="none" w:sz="0" w:space="0" w:color="auto"/>
        <w:right w:val="none" w:sz="0" w:space="0" w:color="auto"/>
      </w:divBdr>
    </w:div>
    <w:div w:id="910428643">
      <w:bodyDiv w:val="1"/>
      <w:marLeft w:val="0"/>
      <w:marRight w:val="0"/>
      <w:marTop w:val="0"/>
      <w:marBottom w:val="0"/>
      <w:divBdr>
        <w:top w:val="none" w:sz="0" w:space="0" w:color="auto"/>
        <w:left w:val="none" w:sz="0" w:space="0" w:color="auto"/>
        <w:bottom w:val="none" w:sz="0" w:space="0" w:color="auto"/>
        <w:right w:val="none" w:sz="0" w:space="0" w:color="auto"/>
      </w:divBdr>
    </w:div>
    <w:div w:id="910576674">
      <w:bodyDiv w:val="1"/>
      <w:marLeft w:val="0"/>
      <w:marRight w:val="0"/>
      <w:marTop w:val="0"/>
      <w:marBottom w:val="0"/>
      <w:divBdr>
        <w:top w:val="none" w:sz="0" w:space="0" w:color="auto"/>
        <w:left w:val="none" w:sz="0" w:space="0" w:color="auto"/>
        <w:bottom w:val="none" w:sz="0" w:space="0" w:color="auto"/>
        <w:right w:val="none" w:sz="0" w:space="0" w:color="auto"/>
      </w:divBdr>
    </w:div>
    <w:div w:id="910651954">
      <w:bodyDiv w:val="1"/>
      <w:marLeft w:val="0"/>
      <w:marRight w:val="0"/>
      <w:marTop w:val="0"/>
      <w:marBottom w:val="0"/>
      <w:divBdr>
        <w:top w:val="none" w:sz="0" w:space="0" w:color="auto"/>
        <w:left w:val="none" w:sz="0" w:space="0" w:color="auto"/>
        <w:bottom w:val="none" w:sz="0" w:space="0" w:color="auto"/>
        <w:right w:val="none" w:sz="0" w:space="0" w:color="auto"/>
      </w:divBdr>
    </w:div>
    <w:div w:id="910850694">
      <w:bodyDiv w:val="1"/>
      <w:marLeft w:val="0"/>
      <w:marRight w:val="0"/>
      <w:marTop w:val="0"/>
      <w:marBottom w:val="0"/>
      <w:divBdr>
        <w:top w:val="none" w:sz="0" w:space="0" w:color="auto"/>
        <w:left w:val="none" w:sz="0" w:space="0" w:color="auto"/>
        <w:bottom w:val="none" w:sz="0" w:space="0" w:color="auto"/>
        <w:right w:val="none" w:sz="0" w:space="0" w:color="auto"/>
      </w:divBdr>
    </w:div>
    <w:div w:id="910888114">
      <w:bodyDiv w:val="1"/>
      <w:marLeft w:val="0"/>
      <w:marRight w:val="0"/>
      <w:marTop w:val="0"/>
      <w:marBottom w:val="0"/>
      <w:divBdr>
        <w:top w:val="none" w:sz="0" w:space="0" w:color="auto"/>
        <w:left w:val="none" w:sz="0" w:space="0" w:color="auto"/>
        <w:bottom w:val="none" w:sz="0" w:space="0" w:color="auto"/>
        <w:right w:val="none" w:sz="0" w:space="0" w:color="auto"/>
      </w:divBdr>
    </w:div>
    <w:div w:id="910890017">
      <w:bodyDiv w:val="1"/>
      <w:marLeft w:val="0"/>
      <w:marRight w:val="0"/>
      <w:marTop w:val="0"/>
      <w:marBottom w:val="0"/>
      <w:divBdr>
        <w:top w:val="none" w:sz="0" w:space="0" w:color="auto"/>
        <w:left w:val="none" w:sz="0" w:space="0" w:color="auto"/>
        <w:bottom w:val="none" w:sz="0" w:space="0" w:color="auto"/>
        <w:right w:val="none" w:sz="0" w:space="0" w:color="auto"/>
      </w:divBdr>
    </w:div>
    <w:div w:id="911040484">
      <w:bodyDiv w:val="1"/>
      <w:marLeft w:val="0"/>
      <w:marRight w:val="0"/>
      <w:marTop w:val="0"/>
      <w:marBottom w:val="0"/>
      <w:divBdr>
        <w:top w:val="none" w:sz="0" w:space="0" w:color="auto"/>
        <w:left w:val="none" w:sz="0" w:space="0" w:color="auto"/>
        <w:bottom w:val="none" w:sz="0" w:space="0" w:color="auto"/>
        <w:right w:val="none" w:sz="0" w:space="0" w:color="auto"/>
      </w:divBdr>
    </w:div>
    <w:div w:id="911087953">
      <w:bodyDiv w:val="1"/>
      <w:marLeft w:val="0"/>
      <w:marRight w:val="0"/>
      <w:marTop w:val="0"/>
      <w:marBottom w:val="0"/>
      <w:divBdr>
        <w:top w:val="none" w:sz="0" w:space="0" w:color="auto"/>
        <w:left w:val="none" w:sz="0" w:space="0" w:color="auto"/>
        <w:bottom w:val="none" w:sz="0" w:space="0" w:color="auto"/>
        <w:right w:val="none" w:sz="0" w:space="0" w:color="auto"/>
      </w:divBdr>
    </w:div>
    <w:div w:id="911157421">
      <w:bodyDiv w:val="1"/>
      <w:marLeft w:val="0"/>
      <w:marRight w:val="0"/>
      <w:marTop w:val="0"/>
      <w:marBottom w:val="0"/>
      <w:divBdr>
        <w:top w:val="none" w:sz="0" w:space="0" w:color="auto"/>
        <w:left w:val="none" w:sz="0" w:space="0" w:color="auto"/>
        <w:bottom w:val="none" w:sz="0" w:space="0" w:color="auto"/>
        <w:right w:val="none" w:sz="0" w:space="0" w:color="auto"/>
      </w:divBdr>
    </w:div>
    <w:div w:id="911232876">
      <w:bodyDiv w:val="1"/>
      <w:marLeft w:val="0"/>
      <w:marRight w:val="0"/>
      <w:marTop w:val="0"/>
      <w:marBottom w:val="0"/>
      <w:divBdr>
        <w:top w:val="none" w:sz="0" w:space="0" w:color="auto"/>
        <w:left w:val="none" w:sz="0" w:space="0" w:color="auto"/>
        <w:bottom w:val="none" w:sz="0" w:space="0" w:color="auto"/>
        <w:right w:val="none" w:sz="0" w:space="0" w:color="auto"/>
      </w:divBdr>
    </w:div>
    <w:div w:id="911282281">
      <w:bodyDiv w:val="1"/>
      <w:marLeft w:val="0"/>
      <w:marRight w:val="0"/>
      <w:marTop w:val="0"/>
      <w:marBottom w:val="0"/>
      <w:divBdr>
        <w:top w:val="none" w:sz="0" w:space="0" w:color="auto"/>
        <w:left w:val="none" w:sz="0" w:space="0" w:color="auto"/>
        <w:bottom w:val="none" w:sz="0" w:space="0" w:color="auto"/>
        <w:right w:val="none" w:sz="0" w:space="0" w:color="auto"/>
      </w:divBdr>
    </w:div>
    <w:div w:id="911623785">
      <w:bodyDiv w:val="1"/>
      <w:marLeft w:val="0"/>
      <w:marRight w:val="0"/>
      <w:marTop w:val="0"/>
      <w:marBottom w:val="0"/>
      <w:divBdr>
        <w:top w:val="none" w:sz="0" w:space="0" w:color="auto"/>
        <w:left w:val="none" w:sz="0" w:space="0" w:color="auto"/>
        <w:bottom w:val="none" w:sz="0" w:space="0" w:color="auto"/>
        <w:right w:val="none" w:sz="0" w:space="0" w:color="auto"/>
      </w:divBdr>
    </w:div>
    <w:div w:id="911624395">
      <w:bodyDiv w:val="1"/>
      <w:marLeft w:val="0"/>
      <w:marRight w:val="0"/>
      <w:marTop w:val="0"/>
      <w:marBottom w:val="0"/>
      <w:divBdr>
        <w:top w:val="none" w:sz="0" w:space="0" w:color="auto"/>
        <w:left w:val="none" w:sz="0" w:space="0" w:color="auto"/>
        <w:bottom w:val="none" w:sz="0" w:space="0" w:color="auto"/>
        <w:right w:val="none" w:sz="0" w:space="0" w:color="auto"/>
      </w:divBdr>
    </w:div>
    <w:div w:id="911624651">
      <w:bodyDiv w:val="1"/>
      <w:marLeft w:val="0"/>
      <w:marRight w:val="0"/>
      <w:marTop w:val="0"/>
      <w:marBottom w:val="0"/>
      <w:divBdr>
        <w:top w:val="none" w:sz="0" w:space="0" w:color="auto"/>
        <w:left w:val="none" w:sz="0" w:space="0" w:color="auto"/>
        <w:bottom w:val="none" w:sz="0" w:space="0" w:color="auto"/>
        <w:right w:val="none" w:sz="0" w:space="0" w:color="auto"/>
      </w:divBdr>
    </w:div>
    <w:div w:id="911698189">
      <w:bodyDiv w:val="1"/>
      <w:marLeft w:val="0"/>
      <w:marRight w:val="0"/>
      <w:marTop w:val="0"/>
      <w:marBottom w:val="0"/>
      <w:divBdr>
        <w:top w:val="none" w:sz="0" w:space="0" w:color="auto"/>
        <w:left w:val="none" w:sz="0" w:space="0" w:color="auto"/>
        <w:bottom w:val="none" w:sz="0" w:space="0" w:color="auto"/>
        <w:right w:val="none" w:sz="0" w:space="0" w:color="auto"/>
      </w:divBdr>
    </w:div>
    <w:div w:id="911700874">
      <w:bodyDiv w:val="1"/>
      <w:marLeft w:val="0"/>
      <w:marRight w:val="0"/>
      <w:marTop w:val="0"/>
      <w:marBottom w:val="0"/>
      <w:divBdr>
        <w:top w:val="none" w:sz="0" w:space="0" w:color="auto"/>
        <w:left w:val="none" w:sz="0" w:space="0" w:color="auto"/>
        <w:bottom w:val="none" w:sz="0" w:space="0" w:color="auto"/>
        <w:right w:val="none" w:sz="0" w:space="0" w:color="auto"/>
      </w:divBdr>
    </w:div>
    <w:div w:id="911815834">
      <w:bodyDiv w:val="1"/>
      <w:marLeft w:val="0"/>
      <w:marRight w:val="0"/>
      <w:marTop w:val="0"/>
      <w:marBottom w:val="0"/>
      <w:divBdr>
        <w:top w:val="none" w:sz="0" w:space="0" w:color="auto"/>
        <w:left w:val="none" w:sz="0" w:space="0" w:color="auto"/>
        <w:bottom w:val="none" w:sz="0" w:space="0" w:color="auto"/>
        <w:right w:val="none" w:sz="0" w:space="0" w:color="auto"/>
      </w:divBdr>
    </w:div>
    <w:div w:id="911964500">
      <w:bodyDiv w:val="1"/>
      <w:marLeft w:val="0"/>
      <w:marRight w:val="0"/>
      <w:marTop w:val="0"/>
      <w:marBottom w:val="0"/>
      <w:divBdr>
        <w:top w:val="none" w:sz="0" w:space="0" w:color="auto"/>
        <w:left w:val="none" w:sz="0" w:space="0" w:color="auto"/>
        <w:bottom w:val="none" w:sz="0" w:space="0" w:color="auto"/>
        <w:right w:val="none" w:sz="0" w:space="0" w:color="auto"/>
      </w:divBdr>
    </w:div>
    <w:div w:id="911964881">
      <w:bodyDiv w:val="1"/>
      <w:marLeft w:val="0"/>
      <w:marRight w:val="0"/>
      <w:marTop w:val="0"/>
      <w:marBottom w:val="0"/>
      <w:divBdr>
        <w:top w:val="none" w:sz="0" w:space="0" w:color="auto"/>
        <w:left w:val="none" w:sz="0" w:space="0" w:color="auto"/>
        <w:bottom w:val="none" w:sz="0" w:space="0" w:color="auto"/>
        <w:right w:val="none" w:sz="0" w:space="0" w:color="auto"/>
      </w:divBdr>
    </w:div>
    <w:div w:id="912086312">
      <w:bodyDiv w:val="1"/>
      <w:marLeft w:val="0"/>
      <w:marRight w:val="0"/>
      <w:marTop w:val="0"/>
      <w:marBottom w:val="0"/>
      <w:divBdr>
        <w:top w:val="none" w:sz="0" w:space="0" w:color="auto"/>
        <w:left w:val="none" w:sz="0" w:space="0" w:color="auto"/>
        <w:bottom w:val="none" w:sz="0" w:space="0" w:color="auto"/>
        <w:right w:val="none" w:sz="0" w:space="0" w:color="auto"/>
      </w:divBdr>
    </w:div>
    <w:div w:id="912130295">
      <w:bodyDiv w:val="1"/>
      <w:marLeft w:val="0"/>
      <w:marRight w:val="0"/>
      <w:marTop w:val="0"/>
      <w:marBottom w:val="0"/>
      <w:divBdr>
        <w:top w:val="none" w:sz="0" w:space="0" w:color="auto"/>
        <w:left w:val="none" w:sz="0" w:space="0" w:color="auto"/>
        <w:bottom w:val="none" w:sz="0" w:space="0" w:color="auto"/>
        <w:right w:val="none" w:sz="0" w:space="0" w:color="auto"/>
      </w:divBdr>
    </w:div>
    <w:div w:id="912162055">
      <w:bodyDiv w:val="1"/>
      <w:marLeft w:val="0"/>
      <w:marRight w:val="0"/>
      <w:marTop w:val="0"/>
      <w:marBottom w:val="0"/>
      <w:divBdr>
        <w:top w:val="none" w:sz="0" w:space="0" w:color="auto"/>
        <w:left w:val="none" w:sz="0" w:space="0" w:color="auto"/>
        <w:bottom w:val="none" w:sz="0" w:space="0" w:color="auto"/>
        <w:right w:val="none" w:sz="0" w:space="0" w:color="auto"/>
      </w:divBdr>
    </w:div>
    <w:div w:id="912197098">
      <w:bodyDiv w:val="1"/>
      <w:marLeft w:val="0"/>
      <w:marRight w:val="0"/>
      <w:marTop w:val="0"/>
      <w:marBottom w:val="0"/>
      <w:divBdr>
        <w:top w:val="none" w:sz="0" w:space="0" w:color="auto"/>
        <w:left w:val="none" w:sz="0" w:space="0" w:color="auto"/>
        <w:bottom w:val="none" w:sz="0" w:space="0" w:color="auto"/>
        <w:right w:val="none" w:sz="0" w:space="0" w:color="auto"/>
      </w:divBdr>
    </w:div>
    <w:div w:id="912274718">
      <w:bodyDiv w:val="1"/>
      <w:marLeft w:val="0"/>
      <w:marRight w:val="0"/>
      <w:marTop w:val="0"/>
      <w:marBottom w:val="0"/>
      <w:divBdr>
        <w:top w:val="none" w:sz="0" w:space="0" w:color="auto"/>
        <w:left w:val="none" w:sz="0" w:space="0" w:color="auto"/>
        <w:bottom w:val="none" w:sz="0" w:space="0" w:color="auto"/>
        <w:right w:val="none" w:sz="0" w:space="0" w:color="auto"/>
      </w:divBdr>
    </w:div>
    <w:div w:id="912279040">
      <w:bodyDiv w:val="1"/>
      <w:marLeft w:val="0"/>
      <w:marRight w:val="0"/>
      <w:marTop w:val="0"/>
      <w:marBottom w:val="0"/>
      <w:divBdr>
        <w:top w:val="none" w:sz="0" w:space="0" w:color="auto"/>
        <w:left w:val="none" w:sz="0" w:space="0" w:color="auto"/>
        <w:bottom w:val="none" w:sz="0" w:space="0" w:color="auto"/>
        <w:right w:val="none" w:sz="0" w:space="0" w:color="auto"/>
      </w:divBdr>
    </w:div>
    <w:div w:id="912281042">
      <w:bodyDiv w:val="1"/>
      <w:marLeft w:val="0"/>
      <w:marRight w:val="0"/>
      <w:marTop w:val="0"/>
      <w:marBottom w:val="0"/>
      <w:divBdr>
        <w:top w:val="none" w:sz="0" w:space="0" w:color="auto"/>
        <w:left w:val="none" w:sz="0" w:space="0" w:color="auto"/>
        <w:bottom w:val="none" w:sz="0" w:space="0" w:color="auto"/>
        <w:right w:val="none" w:sz="0" w:space="0" w:color="auto"/>
      </w:divBdr>
    </w:div>
    <w:div w:id="912348004">
      <w:bodyDiv w:val="1"/>
      <w:marLeft w:val="0"/>
      <w:marRight w:val="0"/>
      <w:marTop w:val="0"/>
      <w:marBottom w:val="0"/>
      <w:divBdr>
        <w:top w:val="none" w:sz="0" w:space="0" w:color="auto"/>
        <w:left w:val="none" w:sz="0" w:space="0" w:color="auto"/>
        <w:bottom w:val="none" w:sz="0" w:space="0" w:color="auto"/>
        <w:right w:val="none" w:sz="0" w:space="0" w:color="auto"/>
      </w:divBdr>
    </w:div>
    <w:div w:id="912354492">
      <w:bodyDiv w:val="1"/>
      <w:marLeft w:val="0"/>
      <w:marRight w:val="0"/>
      <w:marTop w:val="0"/>
      <w:marBottom w:val="0"/>
      <w:divBdr>
        <w:top w:val="none" w:sz="0" w:space="0" w:color="auto"/>
        <w:left w:val="none" w:sz="0" w:space="0" w:color="auto"/>
        <w:bottom w:val="none" w:sz="0" w:space="0" w:color="auto"/>
        <w:right w:val="none" w:sz="0" w:space="0" w:color="auto"/>
      </w:divBdr>
    </w:div>
    <w:div w:id="912472226">
      <w:bodyDiv w:val="1"/>
      <w:marLeft w:val="0"/>
      <w:marRight w:val="0"/>
      <w:marTop w:val="0"/>
      <w:marBottom w:val="0"/>
      <w:divBdr>
        <w:top w:val="none" w:sz="0" w:space="0" w:color="auto"/>
        <w:left w:val="none" w:sz="0" w:space="0" w:color="auto"/>
        <w:bottom w:val="none" w:sz="0" w:space="0" w:color="auto"/>
        <w:right w:val="none" w:sz="0" w:space="0" w:color="auto"/>
      </w:divBdr>
    </w:div>
    <w:div w:id="912473368">
      <w:bodyDiv w:val="1"/>
      <w:marLeft w:val="0"/>
      <w:marRight w:val="0"/>
      <w:marTop w:val="0"/>
      <w:marBottom w:val="0"/>
      <w:divBdr>
        <w:top w:val="none" w:sz="0" w:space="0" w:color="auto"/>
        <w:left w:val="none" w:sz="0" w:space="0" w:color="auto"/>
        <w:bottom w:val="none" w:sz="0" w:space="0" w:color="auto"/>
        <w:right w:val="none" w:sz="0" w:space="0" w:color="auto"/>
      </w:divBdr>
    </w:div>
    <w:div w:id="912474806">
      <w:bodyDiv w:val="1"/>
      <w:marLeft w:val="0"/>
      <w:marRight w:val="0"/>
      <w:marTop w:val="0"/>
      <w:marBottom w:val="0"/>
      <w:divBdr>
        <w:top w:val="none" w:sz="0" w:space="0" w:color="auto"/>
        <w:left w:val="none" w:sz="0" w:space="0" w:color="auto"/>
        <w:bottom w:val="none" w:sz="0" w:space="0" w:color="auto"/>
        <w:right w:val="none" w:sz="0" w:space="0" w:color="auto"/>
      </w:divBdr>
    </w:div>
    <w:div w:id="912550341">
      <w:bodyDiv w:val="1"/>
      <w:marLeft w:val="0"/>
      <w:marRight w:val="0"/>
      <w:marTop w:val="0"/>
      <w:marBottom w:val="0"/>
      <w:divBdr>
        <w:top w:val="none" w:sz="0" w:space="0" w:color="auto"/>
        <w:left w:val="none" w:sz="0" w:space="0" w:color="auto"/>
        <w:bottom w:val="none" w:sz="0" w:space="0" w:color="auto"/>
        <w:right w:val="none" w:sz="0" w:space="0" w:color="auto"/>
      </w:divBdr>
    </w:div>
    <w:div w:id="912617487">
      <w:bodyDiv w:val="1"/>
      <w:marLeft w:val="0"/>
      <w:marRight w:val="0"/>
      <w:marTop w:val="0"/>
      <w:marBottom w:val="0"/>
      <w:divBdr>
        <w:top w:val="none" w:sz="0" w:space="0" w:color="auto"/>
        <w:left w:val="none" w:sz="0" w:space="0" w:color="auto"/>
        <w:bottom w:val="none" w:sz="0" w:space="0" w:color="auto"/>
        <w:right w:val="none" w:sz="0" w:space="0" w:color="auto"/>
      </w:divBdr>
    </w:div>
    <w:div w:id="912617534">
      <w:bodyDiv w:val="1"/>
      <w:marLeft w:val="0"/>
      <w:marRight w:val="0"/>
      <w:marTop w:val="0"/>
      <w:marBottom w:val="0"/>
      <w:divBdr>
        <w:top w:val="none" w:sz="0" w:space="0" w:color="auto"/>
        <w:left w:val="none" w:sz="0" w:space="0" w:color="auto"/>
        <w:bottom w:val="none" w:sz="0" w:space="0" w:color="auto"/>
        <w:right w:val="none" w:sz="0" w:space="0" w:color="auto"/>
      </w:divBdr>
    </w:div>
    <w:div w:id="912659802">
      <w:bodyDiv w:val="1"/>
      <w:marLeft w:val="0"/>
      <w:marRight w:val="0"/>
      <w:marTop w:val="0"/>
      <w:marBottom w:val="0"/>
      <w:divBdr>
        <w:top w:val="none" w:sz="0" w:space="0" w:color="auto"/>
        <w:left w:val="none" w:sz="0" w:space="0" w:color="auto"/>
        <w:bottom w:val="none" w:sz="0" w:space="0" w:color="auto"/>
        <w:right w:val="none" w:sz="0" w:space="0" w:color="auto"/>
      </w:divBdr>
    </w:div>
    <w:div w:id="912665669">
      <w:bodyDiv w:val="1"/>
      <w:marLeft w:val="0"/>
      <w:marRight w:val="0"/>
      <w:marTop w:val="0"/>
      <w:marBottom w:val="0"/>
      <w:divBdr>
        <w:top w:val="none" w:sz="0" w:space="0" w:color="auto"/>
        <w:left w:val="none" w:sz="0" w:space="0" w:color="auto"/>
        <w:bottom w:val="none" w:sz="0" w:space="0" w:color="auto"/>
        <w:right w:val="none" w:sz="0" w:space="0" w:color="auto"/>
      </w:divBdr>
    </w:div>
    <w:div w:id="912741859">
      <w:bodyDiv w:val="1"/>
      <w:marLeft w:val="0"/>
      <w:marRight w:val="0"/>
      <w:marTop w:val="0"/>
      <w:marBottom w:val="0"/>
      <w:divBdr>
        <w:top w:val="none" w:sz="0" w:space="0" w:color="auto"/>
        <w:left w:val="none" w:sz="0" w:space="0" w:color="auto"/>
        <w:bottom w:val="none" w:sz="0" w:space="0" w:color="auto"/>
        <w:right w:val="none" w:sz="0" w:space="0" w:color="auto"/>
      </w:divBdr>
    </w:div>
    <w:div w:id="912861254">
      <w:bodyDiv w:val="1"/>
      <w:marLeft w:val="0"/>
      <w:marRight w:val="0"/>
      <w:marTop w:val="0"/>
      <w:marBottom w:val="0"/>
      <w:divBdr>
        <w:top w:val="none" w:sz="0" w:space="0" w:color="auto"/>
        <w:left w:val="none" w:sz="0" w:space="0" w:color="auto"/>
        <w:bottom w:val="none" w:sz="0" w:space="0" w:color="auto"/>
        <w:right w:val="none" w:sz="0" w:space="0" w:color="auto"/>
      </w:divBdr>
    </w:div>
    <w:div w:id="912936154">
      <w:bodyDiv w:val="1"/>
      <w:marLeft w:val="0"/>
      <w:marRight w:val="0"/>
      <w:marTop w:val="0"/>
      <w:marBottom w:val="0"/>
      <w:divBdr>
        <w:top w:val="none" w:sz="0" w:space="0" w:color="auto"/>
        <w:left w:val="none" w:sz="0" w:space="0" w:color="auto"/>
        <w:bottom w:val="none" w:sz="0" w:space="0" w:color="auto"/>
        <w:right w:val="none" w:sz="0" w:space="0" w:color="auto"/>
      </w:divBdr>
    </w:div>
    <w:div w:id="913005302">
      <w:bodyDiv w:val="1"/>
      <w:marLeft w:val="0"/>
      <w:marRight w:val="0"/>
      <w:marTop w:val="0"/>
      <w:marBottom w:val="0"/>
      <w:divBdr>
        <w:top w:val="none" w:sz="0" w:space="0" w:color="auto"/>
        <w:left w:val="none" w:sz="0" w:space="0" w:color="auto"/>
        <w:bottom w:val="none" w:sz="0" w:space="0" w:color="auto"/>
        <w:right w:val="none" w:sz="0" w:space="0" w:color="auto"/>
      </w:divBdr>
    </w:div>
    <w:div w:id="913246930">
      <w:bodyDiv w:val="1"/>
      <w:marLeft w:val="0"/>
      <w:marRight w:val="0"/>
      <w:marTop w:val="0"/>
      <w:marBottom w:val="0"/>
      <w:divBdr>
        <w:top w:val="none" w:sz="0" w:space="0" w:color="auto"/>
        <w:left w:val="none" w:sz="0" w:space="0" w:color="auto"/>
        <w:bottom w:val="none" w:sz="0" w:space="0" w:color="auto"/>
        <w:right w:val="none" w:sz="0" w:space="0" w:color="auto"/>
      </w:divBdr>
    </w:div>
    <w:div w:id="913272576">
      <w:bodyDiv w:val="1"/>
      <w:marLeft w:val="0"/>
      <w:marRight w:val="0"/>
      <w:marTop w:val="0"/>
      <w:marBottom w:val="0"/>
      <w:divBdr>
        <w:top w:val="none" w:sz="0" w:space="0" w:color="auto"/>
        <w:left w:val="none" w:sz="0" w:space="0" w:color="auto"/>
        <w:bottom w:val="none" w:sz="0" w:space="0" w:color="auto"/>
        <w:right w:val="none" w:sz="0" w:space="0" w:color="auto"/>
      </w:divBdr>
    </w:div>
    <w:div w:id="913314618">
      <w:bodyDiv w:val="1"/>
      <w:marLeft w:val="0"/>
      <w:marRight w:val="0"/>
      <w:marTop w:val="0"/>
      <w:marBottom w:val="0"/>
      <w:divBdr>
        <w:top w:val="none" w:sz="0" w:space="0" w:color="auto"/>
        <w:left w:val="none" w:sz="0" w:space="0" w:color="auto"/>
        <w:bottom w:val="none" w:sz="0" w:space="0" w:color="auto"/>
        <w:right w:val="none" w:sz="0" w:space="0" w:color="auto"/>
      </w:divBdr>
    </w:div>
    <w:div w:id="913318949">
      <w:bodyDiv w:val="1"/>
      <w:marLeft w:val="0"/>
      <w:marRight w:val="0"/>
      <w:marTop w:val="0"/>
      <w:marBottom w:val="0"/>
      <w:divBdr>
        <w:top w:val="none" w:sz="0" w:space="0" w:color="auto"/>
        <w:left w:val="none" w:sz="0" w:space="0" w:color="auto"/>
        <w:bottom w:val="none" w:sz="0" w:space="0" w:color="auto"/>
        <w:right w:val="none" w:sz="0" w:space="0" w:color="auto"/>
      </w:divBdr>
    </w:div>
    <w:div w:id="913320622">
      <w:bodyDiv w:val="1"/>
      <w:marLeft w:val="0"/>
      <w:marRight w:val="0"/>
      <w:marTop w:val="0"/>
      <w:marBottom w:val="0"/>
      <w:divBdr>
        <w:top w:val="none" w:sz="0" w:space="0" w:color="auto"/>
        <w:left w:val="none" w:sz="0" w:space="0" w:color="auto"/>
        <w:bottom w:val="none" w:sz="0" w:space="0" w:color="auto"/>
        <w:right w:val="none" w:sz="0" w:space="0" w:color="auto"/>
      </w:divBdr>
    </w:div>
    <w:div w:id="913393389">
      <w:bodyDiv w:val="1"/>
      <w:marLeft w:val="0"/>
      <w:marRight w:val="0"/>
      <w:marTop w:val="0"/>
      <w:marBottom w:val="0"/>
      <w:divBdr>
        <w:top w:val="none" w:sz="0" w:space="0" w:color="auto"/>
        <w:left w:val="none" w:sz="0" w:space="0" w:color="auto"/>
        <w:bottom w:val="none" w:sz="0" w:space="0" w:color="auto"/>
        <w:right w:val="none" w:sz="0" w:space="0" w:color="auto"/>
      </w:divBdr>
    </w:div>
    <w:div w:id="913398910">
      <w:bodyDiv w:val="1"/>
      <w:marLeft w:val="0"/>
      <w:marRight w:val="0"/>
      <w:marTop w:val="0"/>
      <w:marBottom w:val="0"/>
      <w:divBdr>
        <w:top w:val="none" w:sz="0" w:space="0" w:color="auto"/>
        <w:left w:val="none" w:sz="0" w:space="0" w:color="auto"/>
        <w:bottom w:val="none" w:sz="0" w:space="0" w:color="auto"/>
        <w:right w:val="none" w:sz="0" w:space="0" w:color="auto"/>
      </w:divBdr>
    </w:div>
    <w:div w:id="913516728">
      <w:bodyDiv w:val="1"/>
      <w:marLeft w:val="0"/>
      <w:marRight w:val="0"/>
      <w:marTop w:val="0"/>
      <w:marBottom w:val="0"/>
      <w:divBdr>
        <w:top w:val="none" w:sz="0" w:space="0" w:color="auto"/>
        <w:left w:val="none" w:sz="0" w:space="0" w:color="auto"/>
        <w:bottom w:val="none" w:sz="0" w:space="0" w:color="auto"/>
        <w:right w:val="none" w:sz="0" w:space="0" w:color="auto"/>
      </w:divBdr>
    </w:div>
    <w:div w:id="913658535">
      <w:bodyDiv w:val="1"/>
      <w:marLeft w:val="0"/>
      <w:marRight w:val="0"/>
      <w:marTop w:val="0"/>
      <w:marBottom w:val="0"/>
      <w:divBdr>
        <w:top w:val="none" w:sz="0" w:space="0" w:color="auto"/>
        <w:left w:val="none" w:sz="0" w:space="0" w:color="auto"/>
        <w:bottom w:val="none" w:sz="0" w:space="0" w:color="auto"/>
        <w:right w:val="none" w:sz="0" w:space="0" w:color="auto"/>
      </w:divBdr>
    </w:div>
    <w:div w:id="913662283">
      <w:bodyDiv w:val="1"/>
      <w:marLeft w:val="0"/>
      <w:marRight w:val="0"/>
      <w:marTop w:val="0"/>
      <w:marBottom w:val="0"/>
      <w:divBdr>
        <w:top w:val="none" w:sz="0" w:space="0" w:color="auto"/>
        <w:left w:val="none" w:sz="0" w:space="0" w:color="auto"/>
        <w:bottom w:val="none" w:sz="0" w:space="0" w:color="auto"/>
        <w:right w:val="none" w:sz="0" w:space="0" w:color="auto"/>
      </w:divBdr>
    </w:div>
    <w:div w:id="913666984">
      <w:bodyDiv w:val="1"/>
      <w:marLeft w:val="0"/>
      <w:marRight w:val="0"/>
      <w:marTop w:val="0"/>
      <w:marBottom w:val="0"/>
      <w:divBdr>
        <w:top w:val="none" w:sz="0" w:space="0" w:color="auto"/>
        <w:left w:val="none" w:sz="0" w:space="0" w:color="auto"/>
        <w:bottom w:val="none" w:sz="0" w:space="0" w:color="auto"/>
        <w:right w:val="none" w:sz="0" w:space="0" w:color="auto"/>
      </w:divBdr>
    </w:div>
    <w:div w:id="913707073">
      <w:bodyDiv w:val="1"/>
      <w:marLeft w:val="0"/>
      <w:marRight w:val="0"/>
      <w:marTop w:val="0"/>
      <w:marBottom w:val="0"/>
      <w:divBdr>
        <w:top w:val="none" w:sz="0" w:space="0" w:color="auto"/>
        <w:left w:val="none" w:sz="0" w:space="0" w:color="auto"/>
        <w:bottom w:val="none" w:sz="0" w:space="0" w:color="auto"/>
        <w:right w:val="none" w:sz="0" w:space="0" w:color="auto"/>
      </w:divBdr>
    </w:div>
    <w:div w:id="913857986">
      <w:bodyDiv w:val="1"/>
      <w:marLeft w:val="0"/>
      <w:marRight w:val="0"/>
      <w:marTop w:val="0"/>
      <w:marBottom w:val="0"/>
      <w:divBdr>
        <w:top w:val="none" w:sz="0" w:space="0" w:color="auto"/>
        <w:left w:val="none" w:sz="0" w:space="0" w:color="auto"/>
        <w:bottom w:val="none" w:sz="0" w:space="0" w:color="auto"/>
        <w:right w:val="none" w:sz="0" w:space="0" w:color="auto"/>
      </w:divBdr>
    </w:div>
    <w:div w:id="913975435">
      <w:bodyDiv w:val="1"/>
      <w:marLeft w:val="0"/>
      <w:marRight w:val="0"/>
      <w:marTop w:val="0"/>
      <w:marBottom w:val="0"/>
      <w:divBdr>
        <w:top w:val="none" w:sz="0" w:space="0" w:color="auto"/>
        <w:left w:val="none" w:sz="0" w:space="0" w:color="auto"/>
        <w:bottom w:val="none" w:sz="0" w:space="0" w:color="auto"/>
        <w:right w:val="none" w:sz="0" w:space="0" w:color="auto"/>
      </w:divBdr>
    </w:div>
    <w:div w:id="914047856">
      <w:bodyDiv w:val="1"/>
      <w:marLeft w:val="0"/>
      <w:marRight w:val="0"/>
      <w:marTop w:val="0"/>
      <w:marBottom w:val="0"/>
      <w:divBdr>
        <w:top w:val="none" w:sz="0" w:space="0" w:color="auto"/>
        <w:left w:val="none" w:sz="0" w:space="0" w:color="auto"/>
        <w:bottom w:val="none" w:sz="0" w:space="0" w:color="auto"/>
        <w:right w:val="none" w:sz="0" w:space="0" w:color="auto"/>
      </w:divBdr>
    </w:div>
    <w:div w:id="914052635">
      <w:bodyDiv w:val="1"/>
      <w:marLeft w:val="0"/>
      <w:marRight w:val="0"/>
      <w:marTop w:val="0"/>
      <w:marBottom w:val="0"/>
      <w:divBdr>
        <w:top w:val="none" w:sz="0" w:space="0" w:color="auto"/>
        <w:left w:val="none" w:sz="0" w:space="0" w:color="auto"/>
        <w:bottom w:val="none" w:sz="0" w:space="0" w:color="auto"/>
        <w:right w:val="none" w:sz="0" w:space="0" w:color="auto"/>
      </w:divBdr>
    </w:div>
    <w:div w:id="914124918">
      <w:bodyDiv w:val="1"/>
      <w:marLeft w:val="0"/>
      <w:marRight w:val="0"/>
      <w:marTop w:val="0"/>
      <w:marBottom w:val="0"/>
      <w:divBdr>
        <w:top w:val="none" w:sz="0" w:space="0" w:color="auto"/>
        <w:left w:val="none" w:sz="0" w:space="0" w:color="auto"/>
        <w:bottom w:val="none" w:sz="0" w:space="0" w:color="auto"/>
        <w:right w:val="none" w:sz="0" w:space="0" w:color="auto"/>
      </w:divBdr>
    </w:div>
    <w:div w:id="914322327">
      <w:bodyDiv w:val="1"/>
      <w:marLeft w:val="0"/>
      <w:marRight w:val="0"/>
      <w:marTop w:val="0"/>
      <w:marBottom w:val="0"/>
      <w:divBdr>
        <w:top w:val="none" w:sz="0" w:space="0" w:color="auto"/>
        <w:left w:val="none" w:sz="0" w:space="0" w:color="auto"/>
        <w:bottom w:val="none" w:sz="0" w:space="0" w:color="auto"/>
        <w:right w:val="none" w:sz="0" w:space="0" w:color="auto"/>
      </w:divBdr>
    </w:div>
    <w:div w:id="914431985">
      <w:bodyDiv w:val="1"/>
      <w:marLeft w:val="0"/>
      <w:marRight w:val="0"/>
      <w:marTop w:val="0"/>
      <w:marBottom w:val="0"/>
      <w:divBdr>
        <w:top w:val="none" w:sz="0" w:space="0" w:color="auto"/>
        <w:left w:val="none" w:sz="0" w:space="0" w:color="auto"/>
        <w:bottom w:val="none" w:sz="0" w:space="0" w:color="auto"/>
        <w:right w:val="none" w:sz="0" w:space="0" w:color="auto"/>
      </w:divBdr>
    </w:div>
    <w:div w:id="914508685">
      <w:bodyDiv w:val="1"/>
      <w:marLeft w:val="0"/>
      <w:marRight w:val="0"/>
      <w:marTop w:val="0"/>
      <w:marBottom w:val="0"/>
      <w:divBdr>
        <w:top w:val="none" w:sz="0" w:space="0" w:color="auto"/>
        <w:left w:val="none" w:sz="0" w:space="0" w:color="auto"/>
        <w:bottom w:val="none" w:sz="0" w:space="0" w:color="auto"/>
        <w:right w:val="none" w:sz="0" w:space="0" w:color="auto"/>
      </w:divBdr>
    </w:div>
    <w:div w:id="914704195">
      <w:bodyDiv w:val="1"/>
      <w:marLeft w:val="0"/>
      <w:marRight w:val="0"/>
      <w:marTop w:val="0"/>
      <w:marBottom w:val="0"/>
      <w:divBdr>
        <w:top w:val="none" w:sz="0" w:space="0" w:color="auto"/>
        <w:left w:val="none" w:sz="0" w:space="0" w:color="auto"/>
        <w:bottom w:val="none" w:sz="0" w:space="0" w:color="auto"/>
        <w:right w:val="none" w:sz="0" w:space="0" w:color="auto"/>
      </w:divBdr>
    </w:div>
    <w:div w:id="915015387">
      <w:bodyDiv w:val="1"/>
      <w:marLeft w:val="0"/>
      <w:marRight w:val="0"/>
      <w:marTop w:val="0"/>
      <w:marBottom w:val="0"/>
      <w:divBdr>
        <w:top w:val="none" w:sz="0" w:space="0" w:color="auto"/>
        <w:left w:val="none" w:sz="0" w:space="0" w:color="auto"/>
        <w:bottom w:val="none" w:sz="0" w:space="0" w:color="auto"/>
        <w:right w:val="none" w:sz="0" w:space="0" w:color="auto"/>
      </w:divBdr>
    </w:div>
    <w:div w:id="915167523">
      <w:bodyDiv w:val="1"/>
      <w:marLeft w:val="0"/>
      <w:marRight w:val="0"/>
      <w:marTop w:val="0"/>
      <w:marBottom w:val="0"/>
      <w:divBdr>
        <w:top w:val="none" w:sz="0" w:space="0" w:color="auto"/>
        <w:left w:val="none" w:sz="0" w:space="0" w:color="auto"/>
        <w:bottom w:val="none" w:sz="0" w:space="0" w:color="auto"/>
        <w:right w:val="none" w:sz="0" w:space="0" w:color="auto"/>
      </w:divBdr>
    </w:div>
    <w:div w:id="915211612">
      <w:bodyDiv w:val="1"/>
      <w:marLeft w:val="0"/>
      <w:marRight w:val="0"/>
      <w:marTop w:val="0"/>
      <w:marBottom w:val="0"/>
      <w:divBdr>
        <w:top w:val="none" w:sz="0" w:space="0" w:color="auto"/>
        <w:left w:val="none" w:sz="0" w:space="0" w:color="auto"/>
        <w:bottom w:val="none" w:sz="0" w:space="0" w:color="auto"/>
        <w:right w:val="none" w:sz="0" w:space="0" w:color="auto"/>
      </w:divBdr>
    </w:div>
    <w:div w:id="915237545">
      <w:bodyDiv w:val="1"/>
      <w:marLeft w:val="0"/>
      <w:marRight w:val="0"/>
      <w:marTop w:val="0"/>
      <w:marBottom w:val="0"/>
      <w:divBdr>
        <w:top w:val="none" w:sz="0" w:space="0" w:color="auto"/>
        <w:left w:val="none" w:sz="0" w:space="0" w:color="auto"/>
        <w:bottom w:val="none" w:sz="0" w:space="0" w:color="auto"/>
        <w:right w:val="none" w:sz="0" w:space="0" w:color="auto"/>
      </w:divBdr>
    </w:div>
    <w:div w:id="915242705">
      <w:bodyDiv w:val="1"/>
      <w:marLeft w:val="0"/>
      <w:marRight w:val="0"/>
      <w:marTop w:val="0"/>
      <w:marBottom w:val="0"/>
      <w:divBdr>
        <w:top w:val="none" w:sz="0" w:space="0" w:color="auto"/>
        <w:left w:val="none" w:sz="0" w:space="0" w:color="auto"/>
        <w:bottom w:val="none" w:sz="0" w:space="0" w:color="auto"/>
        <w:right w:val="none" w:sz="0" w:space="0" w:color="auto"/>
      </w:divBdr>
    </w:div>
    <w:div w:id="915288060">
      <w:bodyDiv w:val="1"/>
      <w:marLeft w:val="0"/>
      <w:marRight w:val="0"/>
      <w:marTop w:val="0"/>
      <w:marBottom w:val="0"/>
      <w:divBdr>
        <w:top w:val="none" w:sz="0" w:space="0" w:color="auto"/>
        <w:left w:val="none" w:sz="0" w:space="0" w:color="auto"/>
        <w:bottom w:val="none" w:sz="0" w:space="0" w:color="auto"/>
        <w:right w:val="none" w:sz="0" w:space="0" w:color="auto"/>
      </w:divBdr>
    </w:div>
    <w:div w:id="915478766">
      <w:bodyDiv w:val="1"/>
      <w:marLeft w:val="0"/>
      <w:marRight w:val="0"/>
      <w:marTop w:val="0"/>
      <w:marBottom w:val="0"/>
      <w:divBdr>
        <w:top w:val="none" w:sz="0" w:space="0" w:color="auto"/>
        <w:left w:val="none" w:sz="0" w:space="0" w:color="auto"/>
        <w:bottom w:val="none" w:sz="0" w:space="0" w:color="auto"/>
        <w:right w:val="none" w:sz="0" w:space="0" w:color="auto"/>
      </w:divBdr>
    </w:div>
    <w:div w:id="915555971">
      <w:bodyDiv w:val="1"/>
      <w:marLeft w:val="0"/>
      <w:marRight w:val="0"/>
      <w:marTop w:val="0"/>
      <w:marBottom w:val="0"/>
      <w:divBdr>
        <w:top w:val="none" w:sz="0" w:space="0" w:color="auto"/>
        <w:left w:val="none" w:sz="0" w:space="0" w:color="auto"/>
        <w:bottom w:val="none" w:sz="0" w:space="0" w:color="auto"/>
        <w:right w:val="none" w:sz="0" w:space="0" w:color="auto"/>
      </w:divBdr>
    </w:div>
    <w:div w:id="915669014">
      <w:bodyDiv w:val="1"/>
      <w:marLeft w:val="0"/>
      <w:marRight w:val="0"/>
      <w:marTop w:val="0"/>
      <w:marBottom w:val="0"/>
      <w:divBdr>
        <w:top w:val="none" w:sz="0" w:space="0" w:color="auto"/>
        <w:left w:val="none" w:sz="0" w:space="0" w:color="auto"/>
        <w:bottom w:val="none" w:sz="0" w:space="0" w:color="auto"/>
        <w:right w:val="none" w:sz="0" w:space="0" w:color="auto"/>
      </w:divBdr>
    </w:div>
    <w:div w:id="915671320">
      <w:bodyDiv w:val="1"/>
      <w:marLeft w:val="0"/>
      <w:marRight w:val="0"/>
      <w:marTop w:val="0"/>
      <w:marBottom w:val="0"/>
      <w:divBdr>
        <w:top w:val="none" w:sz="0" w:space="0" w:color="auto"/>
        <w:left w:val="none" w:sz="0" w:space="0" w:color="auto"/>
        <w:bottom w:val="none" w:sz="0" w:space="0" w:color="auto"/>
        <w:right w:val="none" w:sz="0" w:space="0" w:color="auto"/>
      </w:divBdr>
    </w:div>
    <w:div w:id="915674057">
      <w:bodyDiv w:val="1"/>
      <w:marLeft w:val="0"/>
      <w:marRight w:val="0"/>
      <w:marTop w:val="0"/>
      <w:marBottom w:val="0"/>
      <w:divBdr>
        <w:top w:val="none" w:sz="0" w:space="0" w:color="auto"/>
        <w:left w:val="none" w:sz="0" w:space="0" w:color="auto"/>
        <w:bottom w:val="none" w:sz="0" w:space="0" w:color="auto"/>
        <w:right w:val="none" w:sz="0" w:space="0" w:color="auto"/>
      </w:divBdr>
    </w:div>
    <w:div w:id="915674436">
      <w:bodyDiv w:val="1"/>
      <w:marLeft w:val="0"/>
      <w:marRight w:val="0"/>
      <w:marTop w:val="0"/>
      <w:marBottom w:val="0"/>
      <w:divBdr>
        <w:top w:val="none" w:sz="0" w:space="0" w:color="auto"/>
        <w:left w:val="none" w:sz="0" w:space="0" w:color="auto"/>
        <w:bottom w:val="none" w:sz="0" w:space="0" w:color="auto"/>
        <w:right w:val="none" w:sz="0" w:space="0" w:color="auto"/>
      </w:divBdr>
    </w:div>
    <w:div w:id="915742292">
      <w:bodyDiv w:val="1"/>
      <w:marLeft w:val="0"/>
      <w:marRight w:val="0"/>
      <w:marTop w:val="0"/>
      <w:marBottom w:val="0"/>
      <w:divBdr>
        <w:top w:val="none" w:sz="0" w:space="0" w:color="auto"/>
        <w:left w:val="none" w:sz="0" w:space="0" w:color="auto"/>
        <w:bottom w:val="none" w:sz="0" w:space="0" w:color="auto"/>
        <w:right w:val="none" w:sz="0" w:space="0" w:color="auto"/>
      </w:divBdr>
    </w:div>
    <w:div w:id="915743120">
      <w:bodyDiv w:val="1"/>
      <w:marLeft w:val="0"/>
      <w:marRight w:val="0"/>
      <w:marTop w:val="0"/>
      <w:marBottom w:val="0"/>
      <w:divBdr>
        <w:top w:val="none" w:sz="0" w:space="0" w:color="auto"/>
        <w:left w:val="none" w:sz="0" w:space="0" w:color="auto"/>
        <w:bottom w:val="none" w:sz="0" w:space="0" w:color="auto"/>
        <w:right w:val="none" w:sz="0" w:space="0" w:color="auto"/>
      </w:divBdr>
    </w:div>
    <w:div w:id="915746033">
      <w:bodyDiv w:val="1"/>
      <w:marLeft w:val="0"/>
      <w:marRight w:val="0"/>
      <w:marTop w:val="0"/>
      <w:marBottom w:val="0"/>
      <w:divBdr>
        <w:top w:val="none" w:sz="0" w:space="0" w:color="auto"/>
        <w:left w:val="none" w:sz="0" w:space="0" w:color="auto"/>
        <w:bottom w:val="none" w:sz="0" w:space="0" w:color="auto"/>
        <w:right w:val="none" w:sz="0" w:space="0" w:color="auto"/>
      </w:divBdr>
    </w:div>
    <w:div w:id="915746819">
      <w:bodyDiv w:val="1"/>
      <w:marLeft w:val="0"/>
      <w:marRight w:val="0"/>
      <w:marTop w:val="0"/>
      <w:marBottom w:val="0"/>
      <w:divBdr>
        <w:top w:val="none" w:sz="0" w:space="0" w:color="auto"/>
        <w:left w:val="none" w:sz="0" w:space="0" w:color="auto"/>
        <w:bottom w:val="none" w:sz="0" w:space="0" w:color="auto"/>
        <w:right w:val="none" w:sz="0" w:space="0" w:color="auto"/>
      </w:divBdr>
    </w:div>
    <w:div w:id="915868217">
      <w:bodyDiv w:val="1"/>
      <w:marLeft w:val="0"/>
      <w:marRight w:val="0"/>
      <w:marTop w:val="0"/>
      <w:marBottom w:val="0"/>
      <w:divBdr>
        <w:top w:val="none" w:sz="0" w:space="0" w:color="auto"/>
        <w:left w:val="none" w:sz="0" w:space="0" w:color="auto"/>
        <w:bottom w:val="none" w:sz="0" w:space="0" w:color="auto"/>
        <w:right w:val="none" w:sz="0" w:space="0" w:color="auto"/>
      </w:divBdr>
    </w:div>
    <w:div w:id="915937980">
      <w:bodyDiv w:val="1"/>
      <w:marLeft w:val="0"/>
      <w:marRight w:val="0"/>
      <w:marTop w:val="0"/>
      <w:marBottom w:val="0"/>
      <w:divBdr>
        <w:top w:val="none" w:sz="0" w:space="0" w:color="auto"/>
        <w:left w:val="none" w:sz="0" w:space="0" w:color="auto"/>
        <w:bottom w:val="none" w:sz="0" w:space="0" w:color="auto"/>
        <w:right w:val="none" w:sz="0" w:space="0" w:color="auto"/>
      </w:divBdr>
    </w:div>
    <w:div w:id="915943683">
      <w:bodyDiv w:val="1"/>
      <w:marLeft w:val="0"/>
      <w:marRight w:val="0"/>
      <w:marTop w:val="0"/>
      <w:marBottom w:val="0"/>
      <w:divBdr>
        <w:top w:val="none" w:sz="0" w:space="0" w:color="auto"/>
        <w:left w:val="none" w:sz="0" w:space="0" w:color="auto"/>
        <w:bottom w:val="none" w:sz="0" w:space="0" w:color="auto"/>
        <w:right w:val="none" w:sz="0" w:space="0" w:color="auto"/>
      </w:divBdr>
    </w:div>
    <w:div w:id="915944099">
      <w:bodyDiv w:val="1"/>
      <w:marLeft w:val="0"/>
      <w:marRight w:val="0"/>
      <w:marTop w:val="0"/>
      <w:marBottom w:val="0"/>
      <w:divBdr>
        <w:top w:val="none" w:sz="0" w:space="0" w:color="auto"/>
        <w:left w:val="none" w:sz="0" w:space="0" w:color="auto"/>
        <w:bottom w:val="none" w:sz="0" w:space="0" w:color="auto"/>
        <w:right w:val="none" w:sz="0" w:space="0" w:color="auto"/>
      </w:divBdr>
    </w:div>
    <w:div w:id="916132214">
      <w:bodyDiv w:val="1"/>
      <w:marLeft w:val="0"/>
      <w:marRight w:val="0"/>
      <w:marTop w:val="0"/>
      <w:marBottom w:val="0"/>
      <w:divBdr>
        <w:top w:val="none" w:sz="0" w:space="0" w:color="auto"/>
        <w:left w:val="none" w:sz="0" w:space="0" w:color="auto"/>
        <w:bottom w:val="none" w:sz="0" w:space="0" w:color="auto"/>
        <w:right w:val="none" w:sz="0" w:space="0" w:color="auto"/>
      </w:divBdr>
    </w:div>
    <w:div w:id="916212056">
      <w:bodyDiv w:val="1"/>
      <w:marLeft w:val="0"/>
      <w:marRight w:val="0"/>
      <w:marTop w:val="0"/>
      <w:marBottom w:val="0"/>
      <w:divBdr>
        <w:top w:val="none" w:sz="0" w:space="0" w:color="auto"/>
        <w:left w:val="none" w:sz="0" w:space="0" w:color="auto"/>
        <w:bottom w:val="none" w:sz="0" w:space="0" w:color="auto"/>
        <w:right w:val="none" w:sz="0" w:space="0" w:color="auto"/>
      </w:divBdr>
    </w:div>
    <w:div w:id="916286743">
      <w:bodyDiv w:val="1"/>
      <w:marLeft w:val="0"/>
      <w:marRight w:val="0"/>
      <w:marTop w:val="0"/>
      <w:marBottom w:val="0"/>
      <w:divBdr>
        <w:top w:val="none" w:sz="0" w:space="0" w:color="auto"/>
        <w:left w:val="none" w:sz="0" w:space="0" w:color="auto"/>
        <w:bottom w:val="none" w:sz="0" w:space="0" w:color="auto"/>
        <w:right w:val="none" w:sz="0" w:space="0" w:color="auto"/>
      </w:divBdr>
    </w:div>
    <w:div w:id="916357057">
      <w:bodyDiv w:val="1"/>
      <w:marLeft w:val="0"/>
      <w:marRight w:val="0"/>
      <w:marTop w:val="0"/>
      <w:marBottom w:val="0"/>
      <w:divBdr>
        <w:top w:val="none" w:sz="0" w:space="0" w:color="auto"/>
        <w:left w:val="none" w:sz="0" w:space="0" w:color="auto"/>
        <w:bottom w:val="none" w:sz="0" w:space="0" w:color="auto"/>
        <w:right w:val="none" w:sz="0" w:space="0" w:color="auto"/>
      </w:divBdr>
    </w:div>
    <w:div w:id="916398318">
      <w:bodyDiv w:val="1"/>
      <w:marLeft w:val="0"/>
      <w:marRight w:val="0"/>
      <w:marTop w:val="0"/>
      <w:marBottom w:val="0"/>
      <w:divBdr>
        <w:top w:val="none" w:sz="0" w:space="0" w:color="auto"/>
        <w:left w:val="none" w:sz="0" w:space="0" w:color="auto"/>
        <w:bottom w:val="none" w:sz="0" w:space="0" w:color="auto"/>
        <w:right w:val="none" w:sz="0" w:space="0" w:color="auto"/>
      </w:divBdr>
    </w:div>
    <w:div w:id="916405063">
      <w:bodyDiv w:val="1"/>
      <w:marLeft w:val="0"/>
      <w:marRight w:val="0"/>
      <w:marTop w:val="0"/>
      <w:marBottom w:val="0"/>
      <w:divBdr>
        <w:top w:val="none" w:sz="0" w:space="0" w:color="auto"/>
        <w:left w:val="none" w:sz="0" w:space="0" w:color="auto"/>
        <w:bottom w:val="none" w:sz="0" w:space="0" w:color="auto"/>
        <w:right w:val="none" w:sz="0" w:space="0" w:color="auto"/>
      </w:divBdr>
    </w:div>
    <w:div w:id="916668142">
      <w:bodyDiv w:val="1"/>
      <w:marLeft w:val="0"/>
      <w:marRight w:val="0"/>
      <w:marTop w:val="0"/>
      <w:marBottom w:val="0"/>
      <w:divBdr>
        <w:top w:val="none" w:sz="0" w:space="0" w:color="auto"/>
        <w:left w:val="none" w:sz="0" w:space="0" w:color="auto"/>
        <w:bottom w:val="none" w:sz="0" w:space="0" w:color="auto"/>
        <w:right w:val="none" w:sz="0" w:space="0" w:color="auto"/>
      </w:divBdr>
    </w:div>
    <w:div w:id="916671066">
      <w:bodyDiv w:val="1"/>
      <w:marLeft w:val="0"/>
      <w:marRight w:val="0"/>
      <w:marTop w:val="0"/>
      <w:marBottom w:val="0"/>
      <w:divBdr>
        <w:top w:val="none" w:sz="0" w:space="0" w:color="auto"/>
        <w:left w:val="none" w:sz="0" w:space="0" w:color="auto"/>
        <w:bottom w:val="none" w:sz="0" w:space="0" w:color="auto"/>
        <w:right w:val="none" w:sz="0" w:space="0" w:color="auto"/>
      </w:divBdr>
    </w:div>
    <w:div w:id="916748972">
      <w:bodyDiv w:val="1"/>
      <w:marLeft w:val="0"/>
      <w:marRight w:val="0"/>
      <w:marTop w:val="0"/>
      <w:marBottom w:val="0"/>
      <w:divBdr>
        <w:top w:val="none" w:sz="0" w:space="0" w:color="auto"/>
        <w:left w:val="none" w:sz="0" w:space="0" w:color="auto"/>
        <w:bottom w:val="none" w:sz="0" w:space="0" w:color="auto"/>
        <w:right w:val="none" w:sz="0" w:space="0" w:color="auto"/>
      </w:divBdr>
    </w:div>
    <w:div w:id="916789801">
      <w:bodyDiv w:val="1"/>
      <w:marLeft w:val="0"/>
      <w:marRight w:val="0"/>
      <w:marTop w:val="0"/>
      <w:marBottom w:val="0"/>
      <w:divBdr>
        <w:top w:val="none" w:sz="0" w:space="0" w:color="auto"/>
        <w:left w:val="none" w:sz="0" w:space="0" w:color="auto"/>
        <w:bottom w:val="none" w:sz="0" w:space="0" w:color="auto"/>
        <w:right w:val="none" w:sz="0" w:space="0" w:color="auto"/>
      </w:divBdr>
    </w:div>
    <w:div w:id="916938594">
      <w:bodyDiv w:val="1"/>
      <w:marLeft w:val="0"/>
      <w:marRight w:val="0"/>
      <w:marTop w:val="0"/>
      <w:marBottom w:val="0"/>
      <w:divBdr>
        <w:top w:val="none" w:sz="0" w:space="0" w:color="auto"/>
        <w:left w:val="none" w:sz="0" w:space="0" w:color="auto"/>
        <w:bottom w:val="none" w:sz="0" w:space="0" w:color="auto"/>
        <w:right w:val="none" w:sz="0" w:space="0" w:color="auto"/>
      </w:divBdr>
    </w:div>
    <w:div w:id="917059041">
      <w:bodyDiv w:val="1"/>
      <w:marLeft w:val="0"/>
      <w:marRight w:val="0"/>
      <w:marTop w:val="0"/>
      <w:marBottom w:val="0"/>
      <w:divBdr>
        <w:top w:val="none" w:sz="0" w:space="0" w:color="auto"/>
        <w:left w:val="none" w:sz="0" w:space="0" w:color="auto"/>
        <w:bottom w:val="none" w:sz="0" w:space="0" w:color="auto"/>
        <w:right w:val="none" w:sz="0" w:space="0" w:color="auto"/>
      </w:divBdr>
    </w:div>
    <w:div w:id="917205919">
      <w:bodyDiv w:val="1"/>
      <w:marLeft w:val="0"/>
      <w:marRight w:val="0"/>
      <w:marTop w:val="0"/>
      <w:marBottom w:val="0"/>
      <w:divBdr>
        <w:top w:val="none" w:sz="0" w:space="0" w:color="auto"/>
        <w:left w:val="none" w:sz="0" w:space="0" w:color="auto"/>
        <w:bottom w:val="none" w:sz="0" w:space="0" w:color="auto"/>
        <w:right w:val="none" w:sz="0" w:space="0" w:color="auto"/>
      </w:divBdr>
    </w:div>
    <w:div w:id="917251578">
      <w:bodyDiv w:val="1"/>
      <w:marLeft w:val="0"/>
      <w:marRight w:val="0"/>
      <w:marTop w:val="0"/>
      <w:marBottom w:val="0"/>
      <w:divBdr>
        <w:top w:val="none" w:sz="0" w:space="0" w:color="auto"/>
        <w:left w:val="none" w:sz="0" w:space="0" w:color="auto"/>
        <w:bottom w:val="none" w:sz="0" w:space="0" w:color="auto"/>
        <w:right w:val="none" w:sz="0" w:space="0" w:color="auto"/>
      </w:divBdr>
    </w:div>
    <w:div w:id="917255699">
      <w:bodyDiv w:val="1"/>
      <w:marLeft w:val="0"/>
      <w:marRight w:val="0"/>
      <w:marTop w:val="0"/>
      <w:marBottom w:val="0"/>
      <w:divBdr>
        <w:top w:val="none" w:sz="0" w:space="0" w:color="auto"/>
        <w:left w:val="none" w:sz="0" w:space="0" w:color="auto"/>
        <w:bottom w:val="none" w:sz="0" w:space="0" w:color="auto"/>
        <w:right w:val="none" w:sz="0" w:space="0" w:color="auto"/>
      </w:divBdr>
    </w:div>
    <w:div w:id="917321576">
      <w:bodyDiv w:val="1"/>
      <w:marLeft w:val="0"/>
      <w:marRight w:val="0"/>
      <w:marTop w:val="0"/>
      <w:marBottom w:val="0"/>
      <w:divBdr>
        <w:top w:val="none" w:sz="0" w:space="0" w:color="auto"/>
        <w:left w:val="none" w:sz="0" w:space="0" w:color="auto"/>
        <w:bottom w:val="none" w:sz="0" w:space="0" w:color="auto"/>
        <w:right w:val="none" w:sz="0" w:space="0" w:color="auto"/>
      </w:divBdr>
    </w:div>
    <w:div w:id="917322007">
      <w:bodyDiv w:val="1"/>
      <w:marLeft w:val="0"/>
      <w:marRight w:val="0"/>
      <w:marTop w:val="0"/>
      <w:marBottom w:val="0"/>
      <w:divBdr>
        <w:top w:val="none" w:sz="0" w:space="0" w:color="auto"/>
        <w:left w:val="none" w:sz="0" w:space="0" w:color="auto"/>
        <w:bottom w:val="none" w:sz="0" w:space="0" w:color="auto"/>
        <w:right w:val="none" w:sz="0" w:space="0" w:color="auto"/>
      </w:divBdr>
    </w:div>
    <w:div w:id="917328784">
      <w:bodyDiv w:val="1"/>
      <w:marLeft w:val="0"/>
      <w:marRight w:val="0"/>
      <w:marTop w:val="0"/>
      <w:marBottom w:val="0"/>
      <w:divBdr>
        <w:top w:val="none" w:sz="0" w:space="0" w:color="auto"/>
        <w:left w:val="none" w:sz="0" w:space="0" w:color="auto"/>
        <w:bottom w:val="none" w:sz="0" w:space="0" w:color="auto"/>
        <w:right w:val="none" w:sz="0" w:space="0" w:color="auto"/>
      </w:divBdr>
    </w:div>
    <w:div w:id="917515094">
      <w:bodyDiv w:val="1"/>
      <w:marLeft w:val="0"/>
      <w:marRight w:val="0"/>
      <w:marTop w:val="0"/>
      <w:marBottom w:val="0"/>
      <w:divBdr>
        <w:top w:val="none" w:sz="0" w:space="0" w:color="auto"/>
        <w:left w:val="none" w:sz="0" w:space="0" w:color="auto"/>
        <w:bottom w:val="none" w:sz="0" w:space="0" w:color="auto"/>
        <w:right w:val="none" w:sz="0" w:space="0" w:color="auto"/>
      </w:divBdr>
    </w:div>
    <w:div w:id="917598579">
      <w:bodyDiv w:val="1"/>
      <w:marLeft w:val="0"/>
      <w:marRight w:val="0"/>
      <w:marTop w:val="0"/>
      <w:marBottom w:val="0"/>
      <w:divBdr>
        <w:top w:val="none" w:sz="0" w:space="0" w:color="auto"/>
        <w:left w:val="none" w:sz="0" w:space="0" w:color="auto"/>
        <w:bottom w:val="none" w:sz="0" w:space="0" w:color="auto"/>
        <w:right w:val="none" w:sz="0" w:space="0" w:color="auto"/>
      </w:divBdr>
    </w:div>
    <w:div w:id="917708193">
      <w:bodyDiv w:val="1"/>
      <w:marLeft w:val="0"/>
      <w:marRight w:val="0"/>
      <w:marTop w:val="0"/>
      <w:marBottom w:val="0"/>
      <w:divBdr>
        <w:top w:val="none" w:sz="0" w:space="0" w:color="auto"/>
        <w:left w:val="none" w:sz="0" w:space="0" w:color="auto"/>
        <w:bottom w:val="none" w:sz="0" w:space="0" w:color="auto"/>
        <w:right w:val="none" w:sz="0" w:space="0" w:color="auto"/>
      </w:divBdr>
    </w:div>
    <w:div w:id="917835624">
      <w:bodyDiv w:val="1"/>
      <w:marLeft w:val="0"/>
      <w:marRight w:val="0"/>
      <w:marTop w:val="0"/>
      <w:marBottom w:val="0"/>
      <w:divBdr>
        <w:top w:val="none" w:sz="0" w:space="0" w:color="auto"/>
        <w:left w:val="none" w:sz="0" w:space="0" w:color="auto"/>
        <w:bottom w:val="none" w:sz="0" w:space="0" w:color="auto"/>
        <w:right w:val="none" w:sz="0" w:space="0" w:color="auto"/>
      </w:divBdr>
    </w:div>
    <w:div w:id="917861716">
      <w:bodyDiv w:val="1"/>
      <w:marLeft w:val="0"/>
      <w:marRight w:val="0"/>
      <w:marTop w:val="0"/>
      <w:marBottom w:val="0"/>
      <w:divBdr>
        <w:top w:val="none" w:sz="0" w:space="0" w:color="auto"/>
        <w:left w:val="none" w:sz="0" w:space="0" w:color="auto"/>
        <w:bottom w:val="none" w:sz="0" w:space="0" w:color="auto"/>
        <w:right w:val="none" w:sz="0" w:space="0" w:color="auto"/>
      </w:divBdr>
    </w:div>
    <w:div w:id="917864004">
      <w:bodyDiv w:val="1"/>
      <w:marLeft w:val="0"/>
      <w:marRight w:val="0"/>
      <w:marTop w:val="0"/>
      <w:marBottom w:val="0"/>
      <w:divBdr>
        <w:top w:val="none" w:sz="0" w:space="0" w:color="auto"/>
        <w:left w:val="none" w:sz="0" w:space="0" w:color="auto"/>
        <w:bottom w:val="none" w:sz="0" w:space="0" w:color="auto"/>
        <w:right w:val="none" w:sz="0" w:space="0" w:color="auto"/>
      </w:divBdr>
    </w:div>
    <w:div w:id="917905455">
      <w:bodyDiv w:val="1"/>
      <w:marLeft w:val="0"/>
      <w:marRight w:val="0"/>
      <w:marTop w:val="0"/>
      <w:marBottom w:val="0"/>
      <w:divBdr>
        <w:top w:val="none" w:sz="0" w:space="0" w:color="auto"/>
        <w:left w:val="none" w:sz="0" w:space="0" w:color="auto"/>
        <w:bottom w:val="none" w:sz="0" w:space="0" w:color="auto"/>
        <w:right w:val="none" w:sz="0" w:space="0" w:color="auto"/>
      </w:divBdr>
    </w:div>
    <w:div w:id="917906981">
      <w:bodyDiv w:val="1"/>
      <w:marLeft w:val="0"/>
      <w:marRight w:val="0"/>
      <w:marTop w:val="0"/>
      <w:marBottom w:val="0"/>
      <w:divBdr>
        <w:top w:val="none" w:sz="0" w:space="0" w:color="auto"/>
        <w:left w:val="none" w:sz="0" w:space="0" w:color="auto"/>
        <w:bottom w:val="none" w:sz="0" w:space="0" w:color="auto"/>
        <w:right w:val="none" w:sz="0" w:space="0" w:color="auto"/>
      </w:divBdr>
    </w:div>
    <w:div w:id="917908604">
      <w:bodyDiv w:val="1"/>
      <w:marLeft w:val="0"/>
      <w:marRight w:val="0"/>
      <w:marTop w:val="0"/>
      <w:marBottom w:val="0"/>
      <w:divBdr>
        <w:top w:val="none" w:sz="0" w:space="0" w:color="auto"/>
        <w:left w:val="none" w:sz="0" w:space="0" w:color="auto"/>
        <w:bottom w:val="none" w:sz="0" w:space="0" w:color="auto"/>
        <w:right w:val="none" w:sz="0" w:space="0" w:color="auto"/>
      </w:divBdr>
    </w:div>
    <w:div w:id="918058122">
      <w:bodyDiv w:val="1"/>
      <w:marLeft w:val="0"/>
      <w:marRight w:val="0"/>
      <w:marTop w:val="0"/>
      <w:marBottom w:val="0"/>
      <w:divBdr>
        <w:top w:val="none" w:sz="0" w:space="0" w:color="auto"/>
        <w:left w:val="none" w:sz="0" w:space="0" w:color="auto"/>
        <w:bottom w:val="none" w:sz="0" w:space="0" w:color="auto"/>
        <w:right w:val="none" w:sz="0" w:space="0" w:color="auto"/>
      </w:divBdr>
    </w:div>
    <w:div w:id="918102183">
      <w:bodyDiv w:val="1"/>
      <w:marLeft w:val="0"/>
      <w:marRight w:val="0"/>
      <w:marTop w:val="0"/>
      <w:marBottom w:val="0"/>
      <w:divBdr>
        <w:top w:val="none" w:sz="0" w:space="0" w:color="auto"/>
        <w:left w:val="none" w:sz="0" w:space="0" w:color="auto"/>
        <w:bottom w:val="none" w:sz="0" w:space="0" w:color="auto"/>
        <w:right w:val="none" w:sz="0" w:space="0" w:color="auto"/>
      </w:divBdr>
    </w:div>
    <w:div w:id="918171329">
      <w:bodyDiv w:val="1"/>
      <w:marLeft w:val="0"/>
      <w:marRight w:val="0"/>
      <w:marTop w:val="0"/>
      <w:marBottom w:val="0"/>
      <w:divBdr>
        <w:top w:val="none" w:sz="0" w:space="0" w:color="auto"/>
        <w:left w:val="none" w:sz="0" w:space="0" w:color="auto"/>
        <w:bottom w:val="none" w:sz="0" w:space="0" w:color="auto"/>
        <w:right w:val="none" w:sz="0" w:space="0" w:color="auto"/>
      </w:divBdr>
    </w:div>
    <w:div w:id="918251004">
      <w:bodyDiv w:val="1"/>
      <w:marLeft w:val="0"/>
      <w:marRight w:val="0"/>
      <w:marTop w:val="0"/>
      <w:marBottom w:val="0"/>
      <w:divBdr>
        <w:top w:val="none" w:sz="0" w:space="0" w:color="auto"/>
        <w:left w:val="none" w:sz="0" w:space="0" w:color="auto"/>
        <w:bottom w:val="none" w:sz="0" w:space="0" w:color="auto"/>
        <w:right w:val="none" w:sz="0" w:space="0" w:color="auto"/>
      </w:divBdr>
    </w:div>
    <w:div w:id="918372046">
      <w:bodyDiv w:val="1"/>
      <w:marLeft w:val="0"/>
      <w:marRight w:val="0"/>
      <w:marTop w:val="0"/>
      <w:marBottom w:val="0"/>
      <w:divBdr>
        <w:top w:val="none" w:sz="0" w:space="0" w:color="auto"/>
        <w:left w:val="none" w:sz="0" w:space="0" w:color="auto"/>
        <w:bottom w:val="none" w:sz="0" w:space="0" w:color="auto"/>
        <w:right w:val="none" w:sz="0" w:space="0" w:color="auto"/>
      </w:divBdr>
    </w:div>
    <w:div w:id="918372181">
      <w:bodyDiv w:val="1"/>
      <w:marLeft w:val="0"/>
      <w:marRight w:val="0"/>
      <w:marTop w:val="0"/>
      <w:marBottom w:val="0"/>
      <w:divBdr>
        <w:top w:val="none" w:sz="0" w:space="0" w:color="auto"/>
        <w:left w:val="none" w:sz="0" w:space="0" w:color="auto"/>
        <w:bottom w:val="none" w:sz="0" w:space="0" w:color="auto"/>
        <w:right w:val="none" w:sz="0" w:space="0" w:color="auto"/>
      </w:divBdr>
    </w:div>
    <w:div w:id="918372461">
      <w:bodyDiv w:val="1"/>
      <w:marLeft w:val="0"/>
      <w:marRight w:val="0"/>
      <w:marTop w:val="0"/>
      <w:marBottom w:val="0"/>
      <w:divBdr>
        <w:top w:val="none" w:sz="0" w:space="0" w:color="auto"/>
        <w:left w:val="none" w:sz="0" w:space="0" w:color="auto"/>
        <w:bottom w:val="none" w:sz="0" w:space="0" w:color="auto"/>
        <w:right w:val="none" w:sz="0" w:space="0" w:color="auto"/>
      </w:divBdr>
    </w:div>
    <w:div w:id="918558013">
      <w:bodyDiv w:val="1"/>
      <w:marLeft w:val="0"/>
      <w:marRight w:val="0"/>
      <w:marTop w:val="0"/>
      <w:marBottom w:val="0"/>
      <w:divBdr>
        <w:top w:val="none" w:sz="0" w:space="0" w:color="auto"/>
        <w:left w:val="none" w:sz="0" w:space="0" w:color="auto"/>
        <w:bottom w:val="none" w:sz="0" w:space="0" w:color="auto"/>
        <w:right w:val="none" w:sz="0" w:space="0" w:color="auto"/>
      </w:divBdr>
    </w:div>
    <w:div w:id="918562072">
      <w:bodyDiv w:val="1"/>
      <w:marLeft w:val="0"/>
      <w:marRight w:val="0"/>
      <w:marTop w:val="0"/>
      <w:marBottom w:val="0"/>
      <w:divBdr>
        <w:top w:val="none" w:sz="0" w:space="0" w:color="auto"/>
        <w:left w:val="none" w:sz="0" w:space="0" w:color="auto"/>
        <w:bottom w:val="none" w:sz="0" w:space="0" w:color="auto"/>
        <w:right w:val="none" w:sz="0" w:space="0" w:color="auto"/>
      </w:divBdr>
    </w:div>
    <w:div w:id="918826507">
      <w:bodyDiv w:val="1"/>
      <w:marLeft w:val="0"/>
      <w:marRight w:val="0"/>
      <w:marTop w:val="0"/>
      <w:marBottom w:val="0"/>
      <w:divBdr>
        <w:top w:val="none" w:sz="0" w:space="0" w:color="auto"/>
        <w:left w:val="none" w:sz="0" w:space="0" w:color="auto"/>
        <w:bottom w:val="none" w:sz="0" w:space="0" w:color="auto"/>
        <w:right w:val="none" w:sz="0" w:space="0" w:color="auto"/>
      </w:divBdr>
    </w:div>
    <w:div w:id="919022197">
      <w:bodyDiv w:val="1"/>
      <w:marLeft w:val="0"/>
      <w:marRight w:val="0"/>
      <w:marTop w:val="0"/>
      <w:marBottom w:val="0"/>
      <w:divBdr>
        <w:top w:val="none" w:sz="0" w:space="0" w:color="auto"/>
        <w:left w:val="none" w:sz="0" w:space="0" w:color="auto"/>
        <w:bottom w:val="none" w:sz="0" w:space="0" w:color="auto"/>
        <w:right w:val="none" w:sz="0" w:space="0" w:color="auto"/>
      </w:divBdr>
    </w:div>
    <w:div w:id="919027906">
      <w:bodyDiv w:val="1"/>
      <w:marLeft w:val="0"/>
      <w:marRight w:val="0"/>
      <w:marTop w:val="0"/>
      <w:marBottom w:val="0"/>
      <w:divBdr>
        <w:top w:val="none" w:sz="0" w:space="0" w:color="auto"/>
        <w:left w:val="none" w:sz="0" w:space="0" w:color="auto"/>
        <w:bottom w:val="none" w:sz="0" w:space="0" w:color="auto"/>
        <w:right w:val="none" w:sz="0" w:space="0" w:color="auto"/>
      </w:divBdr>
    </w:div>
    <w:div w:id="919221055">
      <w:bodyDiv w:val="1"/>
      <w:marLeft w:val="0"/>
      <w:marRight w:val="0"/>
      <w:marTop w:val="0"/>
      <w:marBottom w:val="0"/>
      <w:divBdr>
        <w:top w:val="none" w:sz="0" w:space="0" w:color="auto"/>
        <w:left w:val="none" w:sz="0" w:space="0" w:color="auto"/>
        <w:bottom w:val="none" w:sz="0" w:space="0" w:color="auto"/>
        <w:right w:val="none" w:sz="0" w:space="0" w:color="auto"/>
      </w:divBdr>
    </w:div>
    <w:div w:id="919293927">
      <w:bodyDiv w:val="1"/>
      <w:marLeft w:val="0"/>
      <w:marRight w:val="0"/>
      <w:marTop w:val="0"/>
      <w:marBottom w:val="0"/>
      <w:divBdr>
        <w:top w:val="none" w:sz="0" w:space="0" w:color="auto"/>
        <w:left w:val="none" w:sz="0" w:space="0" w:color="auto"/>
        <w:bottom w:val="none" w:sz="0" w:space="0" w:color="auto"/>
        <w:right w:val="none" w:sz="0" w:space="0" w:color="auto"/>
      </w:divBdr>
    </w:div>
    <w:div w:id="919295155">
      <w:bodyDiv w:val="1"/>
      <w:marLeft w:val="0"/>
      <w:marRight w:val="0"/>
      <w:marTop w:val="0"/>
      <w:marBottom w:val="0"/>
      <w:divBdr>
        <w:top w:val="none" w:sz="0" w:space="0" w:color="auto"/>
        <w:left w:val="none" w:sz="0" w:space="0" w:color="auto"/>
        <w:bottom w:val="none" w:sz="0" w:space="0" w:color="auto"/>
        <w:right w:val="none" w:sz="0" w:space="0" w:color="auto"/>
      </w:divBdr>
    </w:div>
    <w:div w:id="919367706">
      <w:bodyDiv w:val="1"/>
      <w:marLeft w:val="0"/>
      <w:marRight w:val="0"/>
      <w:marTop w:val="0"/>
      <w:marBottom w:val="0"/>
      <w:divBdr>
        <w:top w:val="none" w:sz="0" w:space="0" w:color="auto"/>
        <w:left w:val="none" w:sz="0" w:space="0" w:color="auto"/>
        <w:bottom w:val="none" w:sz="0" w:space="0" w:color="auto"/>
        <w:right w:val="none" w:sz="0" w:space="0" w:color="auto"/>
      </w:divBdr>
    </w:div>
    <w:div w:id="919369234">
      <w:bodyDiv w:val="1"/>
      <w:marLeft w:val="0"/>
      <w:marRight w:val="0"/>
      <w:marTop w:val="0"/>
      <w:marBottom w:val="0"/>
      <w:divBdr>
        <w:top w:val="none" w:sz="0" w:space="0" w:color="auto"/>
        <w:left w:val="none" w:sz="0" w:space="0" w:color="auto"/>
        <w:bottom w:val="none" w:sz="0" w:space="0" w:color="auto"/>
        <w:right w:val="none" w:sz="0" w:space="0" w:color="auto"/>
      </w:divBdr>
    </w:div>
    <w:div w:id="919414509">
      <w:bodyDiv w:val="1"/>
      <w:marLeft w:val="0"/>
      <w:marRight w:val="0"/>
      <w:marTop w:val="0"/>
      <w:marBottom w:val="0"/>
      <w:divBdr>
        <w:top w:val="none" w:sz="0" w:space="0" w:color="auto"/>
        <w:left w:val="none" w:sz="0" w:space="0" w:color="auto"/>
        <w:bottom w:val="none" w:sz="0" w:space="0" w:color="auto"/>
        <w:right w:val="none" w:sz="0" w:space="0" w:color="auto"/>
      </w:divBdr>
    </w:div>
    <w:div w:id="919484252">
      <w:bodyDiv w:val="1"/>
      <w:marLeft w:val="0"/>
      <w:marRight w:val="0"/>
      <w:marTop w:val="0"/>
      <w:marBottom w:val="0"/>
      <w:divBdr>
        <w:top w:val="none" w:sz="0" w:space="0" w:color="auto"/>
        <w:left w:val="none" w:sz="0" w:space="0" w:color="auto"/>
        <w:bottom w:val="none" w:sz="0" w:space="0" w:color="auto"/>
        <w:right w:val="none" w:sz="0" w:space="0" w:color="auto"/>
      </w:divBdr>
    </w:div>
    <w:div w:id="919559207">
      <w:bodyDiv w:val="1"/>
      <w:marLeft w:val="0"/>
      <w:marRight w:val="0"/>
      <w:marTop w:val="0"/>
      <w:marBottom w:val="0"/>
      <w:divBdr>
        <w:top w:val="none" w:sz="0" w:space="0" w:color="auto"/>
        <w:left w:val="none" w:sz="0" w:space="0" w:color="auto"/>
        <w:bottom w:val="none" w:sz="0" w:space="0" w:color="auto"/>
        <w:right w:val="none" w:sz="0" w:space="0" w:color="auto"/>
      </w:divBdr>
    </w:div>
    <w:div w:id="919561935">
      <w:bodyDiv w:val="1"/>
      <w:marLeft w:val="0"/>
      <w:marRight w:val="0"/>
      <w:marTop w:val="0"/>
      <w:marBottom w:val="0"/>
      <w:divBdr>
        <w:top w:val="none" w:sz="0" w:space="0" w:color="auto"/>
        <w:left w:val="none" w:sz="0" w:space="0" w:color="auto"/>
        <w:bottom w:val="none" w:sz="0" w:space="0" w:color="auto"/>
        <w:right w:val="none" w:sz="0" w:space="0" w:color="auto"/>
      </w:divBdr>
    </w:div>
    <w:div w:id="919606900">
      <w:bodyDiv w:val="1"/>
      <w:marLeft w:val="0"/>
      <w:marRight w:val="0"/>
      <w:marTop w:val="0"/>
      <w:marBottom w:val="0"/>
      <w:divBdr>
        <w:top w:val="none" w:sz="0" w:space="0" w:color="auto"/>
        <w:left w:val="none" w:sz="0" w:space="0" w:color="auto"/>
        <w:bottom w:val="none" w:sz="0" w:space="0" w:color="auto"/>
        <w:right w:val="none" w:sz="0" w:space="0" w:color="auto"/>
      </w:divBdr>
    </w:div>
    <w:div w:id="919674152">
      <w:bodyDiv w:val="1"/>
      <w:marLeft w:val="0"/>
      <w:marRight w:val="0"/>
      <w:marTop w:val="0"/>
      <w:marBottom w:val="0"/>
      <w:divBdr>
        <w:top w:val="none" w:sz="0" w:space="0" w:color="auto"/>
        <w:left w:val="none" w:sz="0" w:space="0" w:color="auto"/>
        <w:bottom w:val="none" w:sz="0" w:space="0" w:color="auto"/>
        <w:right w:val="none" w:sz="0" w:space="0" w:color="auto"/>
      </w:divBdr>
    </w:div>
    <w:div w:id="919682187">
      <w:bodyDiv w:val="1"/>
      <w:marLeft w:val="0"/>
      <w:marRight w:val="0"/>
      <w:marTop w:val="0"/>
      <w:marBottom w:val="0"/>
      <w:divBdr>
        <w:top w:val="none" w:sz="0" w:space="0" w:color="auto"/>
        <w:left w:val="none" w:sz="0" w:space="0" w:color="auto"/>
        <w:bottom w:val="none" w:sz="0" w:space="0" w:color="auto"/>
        <w:right w:val="none" w:sz="0" w:space="0" w:color="auto"/>
      </w:divBdr>
    </w:div>
    <w:div w:id="919758204">
      <w:bodyDiv w:val="1"/>
      <w:marLeft w:val="0"/>
      <w:marRight w:val="0"/>
      <w:marTop w:val="0"/>
      <w:marBottom w:val="0"/>
      <w:divBdr>
        <w:top w:val="none" w:sz="0" w:space="0" w:color="auto"/>
        <w:left w:val="none" w:sz="0" w:space="0" w:color="auto"/>
        <w:bottom w:val="none" w:sz="0" w:space="0" w:color="auto"/>
        <w:right w:val="none" w:sz="0" w:space="0" w:color="auto"/>
      </w:divBdr>
    </w:div>
    <w:div w:id="919798524">
      <w:bodyDiv w:val="1"/>
      <w:marLeft w:val="0"/>
      <w:marRight w:val="0"/>
      <w:marTop w:val="0"/>
      <w:marBottom w:val="0"/>
      <w:divBdr>
        <w:top w:val="none" w:sz="0" w:space="0" w:color="auto"/>
        <w:left w:val="none" w:sz="0" w:space="0" w:color="auto"/>
        <w:bottom w:val="none" w:sz="0" w:space="0" w:color="auto"/>
        <w:right w:val="none" w:sz="0" w:space="0" w:color="auto"/>
      </w:divBdr>
    </w:div>
    <w:div w:id="919799604">
      <w:bodyDiv w:val="1"/>
      <w:marLeft w:val="0"/>
      <w:marRight w:val="0"/>
      <w:marTop w:val="0"/>
      <w:marBottom w:val="0"/>
      <w:divBdr>
        <w:top w:val="none" w:sz="0" w:space="0" w:color="auto"/>
        <w:left w:val="none" w:sz="0" w:space="0" w:color="auto"/>
        <w:bottom w:val="none" w:sz="0" w:space="0" w:color="auto"/>
        <w:right w:val="none" w:sz="0" w:space="0" w:color="auto"/>
      </w:divBdr>
    </w:div>
    <w:div w:id="919867883">
      <w:bodyDiv w:val="1"/>
      <w:marLeft w:val="0"/>
      <w:marRight w:val="0"/>
      <w:marTop w:val="0"/>
      <w:marBottom w:val="0"/>
      <w:divBdr>
        <w:top w:val="none" w:sz="0" w:space="0" w:color="auto"/>
        <w:left w:val="none" w:sz="0" w:space="0" w:color="auto"/>
        <w:bottom w:val="none" w:sz="0" w:space="0" w:color="auto"/>
        <w:right w:val="none" w:sz="0" w:space="0" w:color="auto"/>
      </w:divBdr>
    </w:div>
    <w:div w:id="919868771">
      <w:bodyDiv w:val="1"/>
      <w:marLeft w:val="0"/>
      <w:marRight w:val="0"/>
      <w:marTop w:val="0"/>
      <w:marBottom w:val="0"/>
      <w:divBdr>
        <w:top w:val="none" w:sz="0" w:space="0" w:color="auto"/>
        <w:left w:val="none" w:sz="0" w:space="0" w:color="auto"/>
        <w:bottom w:val="none" w:sz="0" w:space="0" w:color="auto"/>
        <w:right w:val="none" w:sz="0" w:space="0" w:color="auto"/>
      </w:divBdr>
    </w:div>
    <w:div w:id="919870957">
      <w:bodyDiv w:val="1"/>
      <w:marLeft w:val="0"/>
      <w:marRight w:val="0"/>
      <w:marTop w:val="0"/>
      <w:marBottom w:val="0"/>
      <w:divBdr>
        <w:top w:val="none" w:sz="0" w:space="0" w:color="auto"/>
        <w:left w:val="none" w:sz="0" w:space="0" w:color="auto"/>
        <w:bottom w:val="none" w:sz="0" w:space="0" w:color="auto"/>
        <w:right w:val="none" w:sz="0" w:space="0" w:color="auto"/>
      </w:divBdr>
    </w:div>
    <w:div w:id="920257121">
      <w:bodyDiv w:val="1"/>
      <w:marLeft w:val="0"/>
      <w:marRight w:val="0"/>
      <w:marTop w:val="0"/>
      <w:marBottom w:val="0"/>
      <w:divBdr>
        <w:top w:val="none" w:sz="0" w:space="0" w:color="auto"/>
        <w:left w:val="none" w:sz="0" w:space="0" w:color="auto"/>
        <w:bottom w:val="none" w:sz="0" w:space="0" w:color="auto"/>
        <w:right w:val="none" w:sz="0" w:space="0" w:color="auto"/>
      </w:divBdr>
    </w:div>
    <w:div w:id="920257214">
      <w:bodyDiv w:val="1"/>
      <w:marLeft w:val="0"/>
      <w:marRight w:val="0"/>
      <w:marTop w:val="0"/>
      <w:marBottom w:val="0"/>
      <w:divBdr>
        <w:top w:val="none" w:sz="0" w:space="0" w:color="auto"/>
        <w:left w:val="none" w:sz="0" w:space="0" w:color="auto"/>
        <w:bottom w:val="none" w:sz="0" w:space="0" w:color="auto"/>
        <w:right w:val="none" w:sz="0" w:space="0" w:color="auto"/>
      </w:divBdr>
    </w:div>
    <w:div w:id="920262738">
      <w:bodyDiv w:val="1"/>
      <w:marLeft w:val="0"/>
      <w:marRight w:val="0"/>
      <w:marTop w:val="0"/>
      <w:marBottom w:val="0"/>
      <w:divBdr>
        <w:top w:val="none" w:sz="0" w:space="0" w:color="auto"/>
        <w:left w:val="none" w:sz="0" w:space="0" w:color="auto"/>
        <w:bottom w:val="none" w:sz="0" w:space="0" w:color="auto"/>
        <w:right w:val="none" w:sz="0" w:space="0" w:color="auto"/>
      </w:divBdr>
    </w:div>
    <w:div w:id="920289273">
      <w:bodyDiv w:val="1"/>
      <w:marLeft w:val="0"/>
      <w:marRight w:val="0"/>
      <w:marTop w:val="0"/>
      <w:marBottom w:val="0"/>
      <w:divBdr>
        <w:top w:val="none" w:sz="0" w:space="0" w:color="auto"/>
        <w:left w:val="none" w:sz="0" w:space="0" w:color="auto"/>
        <w:bottom w:val="none" w:sz="0" w:space="0" w:color="auto"/>
        <w:right w:val="none" w:sz="0" w:space="0" w:color="auto"/>
      </w:divBdr>
    </w:div>
    <w:div w:id="920673280">
      <w:bodyDiv w:val="1"/>
      <w:marLeft w:val="0"/>
      <w:marRight w:val="0"/>
      <w:marTop w:val="0"/>
      <w:marBottom w:val="0"/>
      <w:divBdr>
        <w:top w:val="none" w:sz="0" w:space="0" w:color="auto"/>
        <w:left w:val="none" w:sz="0" w:space="0" w:color="auto"/>
        <w:bottom w:val="none" w:sz="0" w:space="0" w:color="auto"/>
        <w:right w:val="none" w:sz="0" w:space="0" w:color="auto"/>
      </w:divBdr>
    </w:div>
    <w:div w:id="920679178">
      <w:bodyDiv w:val="1"/>
      <w:marLeft w:val="0"/>
      <w:marRight w:val="0"/>
      <w:marTop w:val="0"/>
      <w:marBottom w:val="0"/>
      <w:divBdr>
        <w:top w:val="none" w:sz="0" w:space="0" w:color="auto"/>
        <w:left w:val="none" w:sz="0" w:space="0" w:color="auto"/>
        <w:bottom w:val="none" w:sz="0" w:space="0" w:color="auto"/>
        <w:right w:val="none" w:sz="0" w:space="0" w:color="auto"/>
      </w:divBdr>
    </w:div>
    <w:div w:id="920716196">
      <w:bodyDiv w:val="1"/>
      <w:marLeft w:val="0"/>
      <w:marRight w:val="0"/>
      <w:marTop w:val="0"/>
      <w:marBottom w:val="0"/>
      <w:divBdr>
        <w:top w:val="none" w:sz="0" w:space="0" w:color="auto"/>
        <w:left w:val="none" w:sz="0" w:space="0" w:color="auto"/>
        <w:bottom w:val="none" w:sz="0" w:space="0" w:color="auto"/>
        <w:right w:val="none" w:sz="0" w:space="0" w:color="auto"/>
      </w:divBdr>
    </w:div>
    <w:div w:id="920869024">
      <w:bodyDiv w:val="1"/>
      <w:marLeft w:val="0"/>
      <w:marRight w:val="0"/>
      <w:marTop w:val="0"/>
      <w:marBottom w:val="0"/>
      <w:divBdr>
        <w:top w:val="none" w:sz="0" w:space="0" w:color="auto"/>
        <w:left w:val="none" w:sz="0" w:space="0" w:color="auto"/>
        <w:bottom w:val="none" w:sz="0" w:space="0" w:color="auto"/>
        <w:right w:val="none" w:sz="0" w:space="0" w:color="auto"/>
      </w:divBdr>
    </w:div>
    <w:div w:id="920873365">
      <w:bodyDiv w:val="1"/>
      <w:marLeft w:val="0"/>
      <w:marRight w:val="0"/>
      <w:marTop w:val="0"/>
      <w:marBottom w:val="0"/>
      <w:divBdr>
        <w:top w:val="none" w:sz="0" w:space="0" w:color="auto"/>
        <w:left w:val="none" w:sz="0" w:space="0" w:color="auto"/>
        <w:bottom w:val="none" w:sz="0" w:space="0" w:color="auto"/>
        <w:right w:val="none" w:sz="0" w:space="0" w:color="auto"/>
      </w:divBdr>
    </w:div>
    <w:div w:id="920915327">
      <w:bodyDiv w:val="1"/>
      <w:marLeft w:val="0"/>
      <w:marRight w:val="0"/>
      <w:marTop w:val="0"/>
      <w:marBottom w:val="0"/>
      <w:divBdr>
        <w:top w:val="none" w:sz="0" w:space="0" w:color="auto"/>
        <w:left w:val="none" w:sz="0" w:space="0" w:color="auto"/>
        <w:bottom w:val="none" w:sz="0" w:space="0" w:color="auto"/>
        <w:right w:val="none" w:sz="0" w:space="0" w:color="auto"/>
      </w:divBdr>
    </w:div>
    <w:div w:id="920916212">
      <w:bodyDiv w:val="1"/>
      <w:marLeft w:val="0"/>
      <w:marRight w:val="0"/>
      <w:marTop w:val="0"/>
      <w:marBottom w:val="0"/>
      <w:divBdr>
        <w:top w:val="none" w:sz="0" w:space="0" w:color="auto"/>
        <w:left w:val="none" w:sz="0" w:space="0" w:color="auto"/>
        <w:bottom w:val="none" w:sz="0" w:space="0" w:color="auto"/>
        <w:right w:val="none" w:sz="0" w:space="0" w:color="auto"/>
      </w:divBdr>
    </w:div>
    <w:div w:id="921179055">
      <w:bodyDiv w:val="1"/>
      <w:marLeft w:val="0"/>
      <w:marRight w:val="0"/>
      <w:marTop w:val="0"/>
      <w:marBottom w:val="0"/>
      <w:divBdr>
        <w:top w:val="none" w:sz="0" w:space="0" w:color="auto"/>
        <w:left w:val="none" w:sz="0" w:space="0" w:color="auto"/>
        <w:bottom w:val="none" w:sz="0" w:space="0" w:color="auto"/>
        <w:right w:val="none" w:sz="0" w:space="0" w:color="auto"/>
      </w:divBdr>
    </w:div>
    <w:div w:id="921184170">
      <w:bodyDiv w:val="1"/>
      <w:marLeft w:val="0"/>
      <w:marRight w:val="0"/>
      <w:marTop w:val="0"/>
      <w:marBottom w:val="0"/>
      <w:divBdr>
        <w:top w:val="none" w:sz="0" w:space="0" w:color="auto"/>
        <w:left w:val="none" w:sz="0" w:space="0" w:color="auto"/>
        <w:bottom w:val="none" w:sz="0" w:space="0" w:color="auto"/>
        <w:right w:val="none" w:sz="0" w:space="0" w:color="auto"/>
      </w:divBdr>
    </w:div>
    <w:div w:id="921305235">
      <w:bodyDiv w:val="1"/>
      <w:marLeft w:val="0"/>
      <w:marRight w:val="0"/>
      <w:marTop w:val="0"/>
      <w:marBottom w:val="0"/>
      <w:divBdr>
        <w:top w:val="none" w:sz="0" w:space="0" w:color="auto"/>
        <w:left w:val="none" w:sz="0" w:space="0" w:color="auto"/>
        <w:bottom w:val="none" w:sz="0" w:space="0" w:color="auto"/>
        <w:right w:val="none" w:sz="0" w:space="0" w:color="auto"/>
      </w:divBdr>
    </w:div>
    <w:div w:id="921330342">
      <w:bodyDiv w:val="1"/>
      <w:marLeft w:val="0"/>
      <w:marRight w:val="0"/>
      <w:marTop w:val="0"/>
      <w:marBottom w:val="0"/>
      <w:divBdr>
        <w:top w:val="none" w:sz="0" w:space="0" w:color="auto"/>
        <w:left w:val="none" w:sz="0" w:space="0" w:color="auto"/>
        <w:bottom w:val="none" w:sz="0" w:space="0" w:color="auto"/>
        <w:right w:val="none" w:sz="0" w:space="0" w:color="auto"/>
      </w:divBdr>
    </w:div>
    <w:div w:id="921333763">
      <w:bodyDiv w:val="1"/>
      <w:marLeft w:val="0"/>
      <w:marRight w:val="0"/>
      <w:marTop w:val="0"/>
      <w:marBottom w:val="0"/>
      <w:divBdr>
        <w:top w:val="none" w:sz="0" w:space="0" w:color="auto"/>
        <w:left w:val="none" w:sz="0" w:space="0" w:color="auto"/>
        <w:bottom w:val="none" w:sz="0" w:space="0" w:color="auto"/>
        <w:right w:val="none" w:sz="0" w:space="0" w:color="auto"/>
      </w:divBdr>
    </w:div>
    <w:div w:id="921450163">
      <w:bodyDiv w:val="1"/>
      <w:marLeft w:val="0"/>
      <w:marRight w:val="0"/>
      <w:marTop w:val="0"/>
      <w:marBottom w:val="0"/>
      <w:divBdr>
        <w:top w:val="none" w:sz="0" w:space="0" w:color="auto"/>
        <w:left w:val="none" w:sz="0" w:space="0" w:color="auto"/>
        <w:bottom w:val="none" w:sz="0" w:space="0" w:color="auto"/>
        <w:right w:val="none" w:sz="0" w:space="0" w:color="auto"/>
      </w:divBdr>
    </w:div>
    <w:div w:id="921453501">
      <w:bodyDiv w:val="1"/>
      <w:marLeft w:val="0"/>
      <w:marRight w:val="0"/>
      <w:marTop w:val="0"/>
      <w:marBottom w:val="0"/>
      <w:divBdr>
        <w:top w:val="none" w:sz="0" w:space="0" w:color="auto"/>
        <w:left w:val="none" w:sz="0" w:space="0" w:color="auto"/>
        <w:bottom w:val="none" w:sz="0" w:space="0" w:color="auto"/>
        <w:right w:val="none" w:sz="0" w:space="0" w:color="auto"/>
      </w:divBdr>
    </w:div>
    <w:div w:id="921530151">
      <w:bodyDiv w:val="1"/>
      <w:marLeft w:val="0"/>
      <w:marRight w:val="0"/>
      <w:marTop w:val="0"/>
      <w:marBottom w:val="0"/>
      <w:divBdr>
        <w:top w:val="none" w:sz="0" w:space="0" w:color="auto"/>
        <w:left w:val="none" w:sz="0" w:space="0" w:color="auto"/>
        <w:bottom w:val="none" w:sz="0" w:space="0" w:color="auto"/>
        <w:right w:val="none" w:sz="0" w:space="0" w:color="auto"/>
      </w:divBdr>
    </w:div>
    <w:div w:id="921568156">
      <w:bodyDiv w:val="1"/>
      <w:marLeft w:val="0"/>
      <w:marRight w:val="0"/>
      <w:marTop w:val="0"/>
      <w:marBottom w:val="0"/>
      <w:divBdr>
        <w:top w:val="none" w:sz="0" w:space="0" w:color="auto"/>
        <w:left w:val="none" w:sz="0" w:space="0" w:color="auto"/>
        <w:bottom w:val="none" w:sz="0" w:space="0" w:color="auto"/>
        <w:right w:val="none" w:sz="0" w:space="0" w:color="auto"/>
      </w:divBdr>
    </w:div>
    <w:div w:id="921572108">
      <w:bodyDiv w:val="1"/>
      <w:marLeft w:val="0"/>
      <w:marRight w:val="0"/>
      <w:marTop w:val="0"/>
      <w:marBottom w:val="0"/>
      <w:divBdr>
        <w:top w:val="none" w:sz="0" w:space="0" w:color="auto"/>
        <w:left w:val="none" w:sz="0" w:space="0" w:color="auto"/>
        <w:bottom w:val="none" w:sz="0" w:space="0" w:color="auto"/>
        <w:right w:val="none" w:sz="0" w:space="0" w:color="auto"/>
      </w:divBdr>
    </w:div>
    <w:div w:id="921573166">
      <w:bodyDiv w:val="1"/>
      <w:marLeft w:val="0"/>
      <w:marRight w:val="0"/>
      <w:marTop w:val="0"/>
      <w:marBottom w:val="0"/>
      <w:divBdr>
        <w:top w:val="none" w:sz="0" w:space="0" w:color="auto"/>
        <w:left w:val="none" w:sz="0" w:space="0" w:color="auto"/>
        <w:bottom w:val="none" w:sz="0" w:space="0" w:color="auto"/>
        <w:right w:val="none" w:sz="0" w:space="0" w:color="auto"/>
      </w:divBdr>
    </w:div>
    <w:div w:id="921643580">
      <w:bodyDiv w:val="1"/>
      <w:marLeft w:val="0"/>
      <w:marRight w:val="0"/>
      <w:marTop w:val="0"/>
      <w:marBottom w:val="0"/>
      <w:divBdr>
        <w:top w:val="none" w:sz="0" w:space="0" w:color="auto"/>
        <w:left w:val="none" w:sz="0" w:space="0" w:color="auto"/>
        <w:bottom w:val="none" w:sz="0" w:space="0" w:color="auto"/>
        <w:right w:val="none" w:sz="0" w:space="0" w:color="auto"/>
      </w:divBdr>
    </w:div>
    <w:div w:id="921909762">
      <w:bodyDiv w:val="1"/>
      <w:marLeft w:val="0"/>
      <w:marRight w:val="0"/>
      <w:marTop w:val="0"/>
      <w:marBottom w:val="0"/>
      <w:divBdr>
        <w:top w:val="none" w:sz="0" w:space="0" w:color="auto"/>
        <w:left w:val="none" w:sz="0" w:space="0" w:color="auto"/>
        <w:bottom w:val="none" w:sz="0" w:space="0" w:color="auto"/>
        <w:right w:val="none" w:sz="0" w:space="0" w:color="auto"/>
      </w:divBdr>
    </w:div>
    <w:div w:id="921911037">
      <w:bodyDiv w:val="1"/>
      <w:marLeft w:val="0"/>
      <w:marRight w:val="0"/>
      <w:marTop w:val="0"/>
      <w:marBottom w:val="0"/>
      <w:divBdr>
        <w:top w:val="none" w:sz="0" w:space="0" w:color="auto"/>
        <w:left w:val="none" w:sz="0" w:space="0" w:color="auto"/>
        <w:bottom w:val="none" w:sz="0" w:space="0" w:color="auto"/>
        <w:right w:val="none" w:sz="0" w:space="0" w:color="auto"/>
      </w:divBdr>
    </w:div>
    <w:div w:id="921911546">
      <w:bodyDiv w:val="1"/>
      <w:marLeft w:val="0"/>
      <w:marRight w:val="0"/>
      <w:marTop w:val="0"/>
      <w:marBottom w:val="0"/>
      <w:divBdr>
        <w:top w:val="none" w:sz="0" w:space="0" w:color="auto"/>
        <w:left w:val="none" w:sz="0" w:space="0" w:color="auto"/>
        <w:bottom w:val="none" w:sz="0" w:space="0" w:color="auto"/>
        <w:right w:val="none" w:sz="0" w:space="0" w:color="auto"/>
      </w:divBdr>
    </w:div>
    <w:div w:id="921985633">
      <w:bodyDiv w:val="1"/>
      <w:marLeft w:val="0"/>
      <w:marRight w:val="0"/>
      <w:marTop w:val="0"/>
      <w:marBottom w:val="0"/>
      <w:divBdr>
        <w:top w:val="none" w:sz="0" w:space="0" w:color="auto"/>
        <w:left w:val="none" w:sz="0" w:space="0" w:color="auto"/>
        <w:bottom w:val="none" w:sz="0" w:space="0" w:color="auto"/>
        <w:right w:val="none" w:sz="0" w:space="0" w:color="auto"/>
      </w:divBdr>
    </w:div>
    <w:div w:id="922028247">
      <w:bodyDiv w:val="1"/>
      <w:marLeft w:val="0"/>
      <w:marRight w:val="0"/>
      <w:marTop w:val="0"/>
      <w:marBottom w:val="0"/>
      <w:divBdr>
        <w:top w:val="none" w:sz="0" w:space="0" w:color="auto"/>
        <w:left w:val="none" w:sz="0" w:space="0" w:color="auto"/>
        <w:bottom w:val="none" w:sz="0" w:space="0" w:color="auto"/>
        <w:right w:val="none" w:sz="0" w:space="0" w:color="auto"/>
      </w:divBdr>
    </w:div>
    <w:div w:id="922031563">
      <w:bodyDiv w:val="1"/>
      <w:marLeft w:val="0"/>
      <w:marRight w:val="0"/>
      <w:marTop w:val="0"/>
      <w:marBottom w:val="0"/>
      <w:divBdr>
        <w:top w:val="none" w:sz="0" w:space="0" w:color="auto"/>
        <w:left w:val="none" w:sz="0" w:space="0" w:color="auto"/>
        <w:bottom w:val="none" w:sz="0" w:space="0" w:color="auto"/>
        <w:right w:val="none" w:sz="0" w:space="0" w:color="auto"/>
      </w:divBdr>
    </w:div>
    <w:div w:id="922371206">
      <w:bodyDiv w:val="1"/>
      <w:marLeft w:val="0"/>
      <w:marRight w:val="0"/>
      <w:marTop w:val="0"/>
      <w:marBottom w:val="0"/>
      <w:divBdr>
        <w:top w:val="none" w:sz="0" w:space="0" w:color="auto"/>
        <w:left w:val="none" w:sz="0" w:space="0" w:color="auto"/>
        <w:bottom w:val="none" w:sz="0" w:space="0" w:color="auto"/>
        <w:right w:val="none" w:sz="0" w:space="0" w:color="auto"/>
      </w:divBdr>
    </w:div>
    <w:div w:id="922371230">
      <w:bodyDiv w:val="1"/>
      <w:marLeft w:val="0"/>
      <w:marRight w:val="0"/>
      <w:marTop w:val="0"/>
      <w:marBottom w:val="0"/>
      <w:divBdr>
        <w:top w:val="none" w:sz="0" w:space="0" w:color="auto"/>
        <w:left w:val="none" w:sz="0" w:space="0" w:color="auto"/>
        <w:bottom w:val="none" w:sz="0" w:space="0" w:color="auto"/>
        <w:right w:val="none" w:sz="0" w:space="0" w:color="auto"/>
      </w:divBdr>
    </w:div>
    <w:div w:id="922419795">
      <w:bodyDiv w:val="1"/>
      <w:marLeft w:val="0"/>
      <w:marRight w:val="0"/>
      <w:marTop w:val="0"/>
      <w:marBottom w:val="0"/>
      <w:divBdr>
        <w:top w:val="none" w:sz="0" w:space="0" w:color="auto"/>
        <w:left w:val="none" w:sz="0" w:space="0" w:color="auto"/>
        <w:bottom w:val="none" w:sz="0" w:space="0" w:color="auto"/>
        <w:right w:val="none" w:sz="0" w:space="0" w:color="auto"/>
      </w:divBdr>
    </w:div>
    <w:div w:id="922420041">
      <w:bodyDiv w:val="1"/>
      <w:marLeft w:val="0"/>
      <w:marRight w:val="0"/>
      <w:marTop w:val="0"/>
      <w:marBottom w:val="0"/>
      <w:divBdr>
        <w:top w:val="none" w:sz="0" w:space="0" w:color="auto"/>
        <w:left w:val="none" w:sz="0" w:space="0" w:color="auto"/>
        <w:bottom w:val="none" w:sz="0" w:space="0" w:color="auto"/>
        <w:right w:val="none" w:sz="0" w:space="0" w:color="auto"/>
      </w:divBdr>
    </w:div>
    <w:div w:id="922566877">
      <w:bodyDiv w:val="1"/>
      <w:marLeft w:val="0"/>
      <w:marRight w:val="0"/>
      <w:marTop w:val="0"/>
      <w:marBottom w:val="0"/>
      <w:divBdr>
        <w:top w:val="none" w:sz="0" w:space="0" w:color="auto"/>
        <w:left w:val="none" w:sz="0" w:space="0" w:color="auto"/>
        <w:bottom w:val="none" w:sz="0" w:space="0" w:color="auto"/>
        <w:right w:val="none" w:sz="0" w:space="0" w:color="auto"/>
      </w:divBdr>
    </w:div>
    <w:div w:id="922643856">
      <w:bodyDiv w:val="1"/>
      <w:marLeft w:val="0"/>
      <w:marRight w:val="0"/>
      <w:marTop w:val="0"/>
      <w:marBottom w:val="0"/>
      <w:divBdr>
        <w:top w:val="none" w:sz="0" w:space="0" w:color="auto"/>
        <w:left w:val="none" w:sz="0" w:space="0" w:color="auto"/>
        <w:bottom w:val="none" w:sz="0" w:space="0" w:color="auto"/>
        <w:right w:val="none" w:sz="0" w:space="0" w:color="auto"/>
      </w:divBdr>
    </w:div>
    <w:div w:id="922835622">
      <w:bodyDiv w:val="1"/>
      <w:marLeft w:val="0"/>
      <w:marRight w:val="0"/>
      <w:marTop w:val="0"/>
      <w:marBottom w:val="0"/>
      <w:divBdr>
        <w:top w:val="none" w:sz="0" w:space="0" w:color="auto"/>
        <w:left w:val="none" w:sz="0" w:space="0" w:color="auto"/>
        <w:bottom w:val="none" w:sz="0" w:space="0" w:color="auto"/>
        <w:right w:val="none" w:sz="0" w:space="0" w:color="auto"/>
      </w:divBdr>
    </w:div>
    <w:div w:id="922956233">
      <w:bodyDiv w:val="1"/>
      <w:marLeft w:val="0"/>
      <w:marRight w:val="0"/>
      <w:marTop w:val="0"/>
      <w:marBottom w:val="0"/>
      <w:divBdr>
        <w:top w:val="none" w:sz="0" w:space="0" w:color="auto"/>
        <w:left w:val="none" w:sz="0" w:space="0" w:color="auto"/>
        <w:bottom w:val="none" w:sz="0" w:space="0" w:color="auto"/>
        <w:right w:val="none" w:sz="0" w:space="0" w:color="auto"/>
      </w:divBdr>
    </w:div>
    <w:div w:id="922957633">
      <w:bodyDiv w:val="1"/>
      <w:marLeft w:val="0"/>
      <w:marRight w:val="0"/>
      <w:marTop w:val="0"/>
      <w:marBottom w:val="0"/>
      <w:divBdr>
        <w:top w:val="none" w:sz="0" w:space="0" w:color="auto"/>
        <w:left w:val="none" w:sz="0" w:space="0" w:color="auto"/>
        <w:bottom w:val="none" w:sz="0" w:space="0" w:color="auto"/>
        <w:right w:val="none" w:sz="0" w:space="0" w:color="auto"/>
      </w:divBdr>
    </w:div>
    <w:div w:id="923145472">
      <w:bodyDiv w:val="1"/>
      <w:marLeft w:val="0"/>
      <w:marRight w:val="0"/>
      <w:marTop w:val="0"/>
      <w:marBottom w:val="0"/>
      <w:divBdr>
        <w:top w:val="none" w:sz="0" w:space="0" w:color="auto"/>
        <w:left w:val="none" w:sz="0" w:space="0" w:color="auto"/>
        <w:bottom w:val="none" w:sz="0" w:space="0" w:color="auto"/>
        <w:right w:val="none" w:sz="0" w:space="0" w:color="auto"/>
      </w:divBdr>
    </w:div>
    <w:div w:id="923147257">
      <w:bodyDiv w:val="1"/>
      <w:marLeft w:val="0"/>
      <w:marRight w:val="0"/>
      <w:marTop w:val="0"/>
      <w:marBottom w:val="0"/>
      <w:divBdr>
        <w:top w:val="none" w:sz="0" w:space="0" w:color="auto"/>
        <w:left w:val="none" w:sz="0" w:space="0" w:color="auto"/>
        <w:bottom w:val="none" w:sz="0" w:space="0" w:color="auto"/>
        <w:right w:val="none" w:sz="0" w:space="0" w:color="auto"/>
      </w:divBdr>
    </w:div>
    <w:div w:id="923227982">
      <w:bodyDiv w:val="1"/>
      <w:marLeft w:val="0"/>
      <w:marRight w:val="0"/>
      <w:marTop w:val="0"/>
      <w:marBottom w:val="0"/>
      <w:divBdr>
        <w:top w:val="none" w:sz="0" w:space="0" w:color="auto"/>
        <w:left w:val="none" w:sz="0" w:space="0" w:color="auto"/>
        <w:bottom w:val="none" w:sz="0" w:space="0" w:color="auto"/>
        <w:right w:val="none" w:sz="0" w:space="0" w:color="auto"/>
      </w:divBdr>
    </w:div>
    <w:div w:id="923369426">
      <w:bodyDiv w:val="1"/>
      <w:marLeft w:val="0"/>
      <w:marRight w:val="0"/>
      <w:marTop w:val="0"/>
      <w:marBottom w:val="0"/>
      <w:divBdr>
        <w:top w:val="none" w:sz="0" w:space="0" w:color="auto"/>
        <w:left w:val="none" w:sz="0" w:space="0" w:color="auto"/>
        <w:bottom w:val="none" w:sz="0" w:space="0" w:color="auto"/>
        <w:right w:val="none" w:sz="0" w:space="0" w:color="auto"/>
      </w:divBdr>
    </w:div>
    <w:div w:id="923415262">
      <w:bodyDiv w:val="1"/>
      <w:marLeft w:val="0"/>
      <w:marRight w:val="0"/>
      <w:marTop w:val="0"/>
      <w:marBottom w:val="0"/>
      <w:divBdr>
        <w:top w:val="none" w:sz="0" w:space="0" w:color="auto"/>
        <w:left w:val="none" w:sz="0" w:space="0" w:color="auto"/>
        <w:bottom w:val="none" w:sz="0" w:space="0" w:color="auto"/>
        <w:right w:val="none" w:sz="0" w:space="0" w:color="auto"/>
      </w:divBdr>
    </w:div>
    <w:div w:id="923418648">
      <w:bodyDiv w:val="1"/>
      <w:marLeft w:val="0"/>
      <w:marRight w:val="0"/>
      <w:marTop w:val="0"/>
      <w:marBottom w:val="0"/>
      <w:divBdr>
        <w:top w:val="none" w:sz="0" w:space="0" w:color="auto"/>
        <w:left w:val="none" w:sz="0" w:space="0" w:color="auto"/>
        <w:bottom w:val="none" w:sz="0" w:space="0" w:color="auto"/>
        <w:right w:val="none" w:sz="0" w:space="0" w:color="auto"/>
      </w:divBdr>
    </w:div>
    <w:div w:id="923487775">
      <w:bodyDiv w:val="1"/>
      <w:marLeft w:val="0"/>
      <w:marRight w:val="0"/>
      <w:marTop w:val="0"/>
      <w:marBottom w:val="0"/>
      <w:divBdr>
        <w:top w:val="none" w:sz="0" w:space="0" w:color="auto"/>
        <w:left w:val="none" w:sz="0" w:space="0" w:color="auto"/>
        <w:bottom w:val="none" w:sz="0" w:space="0" w:color="auto"/>
        <w:right w:val="none" w:sz="0" w:space="0" w:color="auto"/>
      </w:divBdr>
    </w:div>
    <w:div w:id="923493277">
      <w:bodyDiv w:val="1"/>
      <w:marLeft w:val="0"/>
      <w:marRight w:val="0"/>
      <w:marTop w:val="0"/>
      <w:marBottom w:val="0"/>
      <w:divBdr>
        <w:top w:val="none" w:sz="0" w:space="0" w:color="auto"/>
        <w:left w:val="none" w:sz="0" w:space="0" w:color="auto"/>
        <w:bottom w:val="none" w:sz="0" w:space="0" w:color="auto"/>
        <w:right w:val="none" w:sz="0" w:space="0" w:color="auto"/>
      </w:divBdr>
    </w:div>
    <w:div w:id="923496718">
      <w:bodyDiv w:val="1"/>
      <w:marLeft w:val="0"/>
      <w:marRight w:val="0"/>
      <w:marTop w:val="0"/>
      <w:marBottom w:val="0"/>
      <w:divBdr>
        <w:top w:val="none" w:sz="0" w:space="0" w:color="auto"/>
        <w:left w:val="none" w:sz="0" w:space="0" w:color="auto"/>
        <w:bottom w:val="none" w:sz="0" w:space="0" w:color="auto"/>
        <w:right w:val="none" w:sz="0" w:space="0" w:color="auto"/>
      </w:divBdr>
    </w:div>
    <w:div w:id="923538128">
      <w:bodyDiv w:val="1"/>
      <w:marLeft w:val="0"/>
      <w:marRight w:val="0"/>
      <w:marTop w:val="0"/>
      <w:marBottom w:val="0"/>
      <w:divBdr>
        <w:top w:val="none" w:sz="0" w:space="0" w:color="auto"/>
        <w:left w:val="none" w:sz="0" w:space="0" w:color="auto"/>
        <w:bottom w:val="none" w:sz="0" w:space="0" w:color="auto"/>
        <w:right w:val="none" w:sz="0" w:space="0" w:color="auto"/>
      </w:divBdr>
    </w:div>
    <w:div w:id="923731062">
      <w:bodyDiv w:val="1"/>
      <w:marLeft w:val="0"/>
      <w:marRight w:val="0"/>
      <w:marTop w:val="0"/>
      <w:marBottom w:val="0"/>
      <w:divBdr>
        <w:top w:val="none" w:sz="0" w:space="0" w:color="auto"/>
        <w:left w:val="none" w:sz="0" w:space="0" w:color="auto"/>
        <w:bottom w:val="none" w:sz="0" w:space="0" w:color="auto"/>
        <w:right w:val="none" w:sz="0" w:space="0" w:color="auto"/>
      </w:divBdr>
    </w:div>
    <w:div w:id="923756257">
      <w:bodyDiv w:val="1"/>
      <w:marLeft w:val="0"/>
      <w:marRight w:val="0"/>
      <w:marTop w:val="0"/>
      <w:marBottom w:val="0"/>
      <w:divBdr>
        <w:top w:val="none" w:sz="0" w:space="0" w:color="auto"/>
        <w:left w:val="none" w:sz="0" w:space="0" w:color="auto"/>
        <w:bottom w:val="none" w:sz="0" w:space="0" w:color="auto"/>
        <w:right w:val="none" w:sz="0" w:space="0" w:color="auto"/>
      </w:divBdr>
    </w:div>
    <w:div w:id="923882887">
      <w:bodyDiv w:val="1"/>
      <w:marLeft w:val="0"/>
      <w:marRight w:val="0"/>
      <w:marTop w:val="0"/>
      <w:marBottom w:val="0"/>
      <w:divBdr>
        <w:top w:val="none" w:sz="0" w:space="0" w:color="auto"/>
        <w:left w:val="none" w:sz="0" w:space="0" w:color="auto"/>
        <w:bottom w:val="none" w:sz="0" w:space="0" w:color="auto"/>
        <w:right w:val="none" w:sz="0" w:space="0" w:color="auto"/>
      </w:divBdr>
    </w:div>
    <w:div w:id="923953513">
      <w:bodyDiv w:val="1"/>
      <w:marLeft w:val="0"/>
      <w:marRight w:val="0"/>
      <w:marTop w:val="0"/>
      <w:marBottom w:val="0"/>
      <w:divBdr>
        <w:top w:val="none" w:sz="0" w:space="0" w:color="auto"/>
        <w:left w:val="none" w:sz="0" w:space="0" w:color="auto"/>
        <w:bottom w:val="none" w:sz="0" w:space="0" w:color="auto"/>
        <w:right w:val="none" w:sz="0" w:space="0" w:color="auto"/>
      </w:divBdr>
    </w:div>
    <w:div w:id="924000771">
      <w:bodyDiv w:val="1"/>
      <w:marLeft w:val="0"/>
      <w:marRight w:val="0"/>
      <w:marTop w:val="0"/>
      <w:marBottom w:val="0"/>
      <w:divBdr>
        <w:top w:val="none" w:sz="0" w:space="0" w:color="auto"/>
        <w:left w:val="none" w:sz="0" w:space="0" w:color="auto"/>
        <w:bottom w:val="none" w:sz="0" w:space="0" w:color="auto"/>
        <w:right w:val="none" w:sz="0" w:space="0" w:color="auto"/>
      </w:divBdr>
    </w:div>
    <w:div w:id="924068451">
      <w:bodyDiv w:val="1"/>
      <w:marLeft w:val="0"/>
      <w:marRight w:val="0"/>
      <w:marTop w:val="0"/>
      <w:marBottom w:val="0"/>
      <w:divBdr>
        <w:top w:val="none" w:sz="0" w:space="0" w:color="auto"/>
        <w:left w:val="none" w:sz="0" w:space="0" w:color="auto"/>
        <w:bottom w:val="none" w:sz="0" w:space="0" w:color="auto"/>
        <w:right w:val="none" w:sz="0" w:space="0" w:color="auto"/>
      </w:divBdr>
    </w:div>
    <w:div w:id="924190790">
      <w:bodyDiv w:val="1"/>
      <w:marLeft w:val="0"/>
      <w:marRight w:val="0"/>
      <w:marTop w:val="0"/>
      <w:marBottom w:val="0"/>
      <w:divBdr>
        <w:top w:val="none" w:sz="0" w:space="0" w:color="auto"/>
        <w:left w:val="none" w:sz="0" w:space="0" w:color="auto"/>
        <w:bottom w:val="none" w:sz="0" w:space="0" w:color="auto"/>
        <w:right w:val="none" w:sz="0" w:space="0" w:color="auto"/>
      </w:divBdr>
    </w:div>
    <w:div w:id="924387826">
      <w:bodyDiv w:val="1"/>
      <w:marLeft w:val="0"/>
      <w:marRight w:val="0"/>
      <w:marTop w:val="0"/>
      <w:marBottom w:val="0"/>
      <w:divBdr>
        <w:top w:val="none" w:sz="0" w:space="0" w:color="auto"/>
        <w:left w:val="none" w:sz="0" w:space="0" w:color="auto"/>
        <w:bottom w:val="none" w:sz="0" w:space="0" w:color="auto"/>
        <w:right w:val="none" w:sz="0" w:space="0" w:color="auto"/>
      </w:divBdr>
    </w:div>
    <w:div w:id="924611466">
      <w:bodyDiv w:val="1"/>
      <w:marLeft w:val="0"/>
      <w:marRight w:val="0"/>
      <w:marTop w:val="0"/>
      <w:marBottom w:val="0"/>
      <w:divBdr>
        <w:top w:val="none" w:sz="0" w:space="0" w:color="auto"/>
        <w:left w:val="none" w:sz="0" w:space="0" w:color="auto"/>
        <w:bottom w:val="none" w:sz="0" w:space="0" w:color="auto"/>
        <w:right w:val="none" w:sz="0" w:space="0" w:color="auto"/>
      </w:divBdr>
    </w:div>
    <w:div w:id="924647529">
      <w:bodyDiv w:val="1"/>
      <w:marLeft w:val="0"/>
      <w:marRight w:val="0"/>
      <w:marTop w:val="0"/>
      <w:marBottom w:val="0"/>
      <w:divBdr>
        <w:top w:val="none" w:sz="0" w:space="0" w:color="auto"/>
        <w:left w:val="none" w:sz="0" w:space="0" w:color="auto"/>
        <w:bottom w:val="none" w:sz="0" w:space="0" w:color="auto"/>
        <w:right w:val="none" w:sz="0" w:space="0" w:color="auto"/>
      </w:divBdr>
    </w:div>
    <w:div w:id="924724634">
      <w:bodyDiv w:val="1"/>
      <w:marLeft w:val="0"/>
      <w:marRight w:val="0"/>
      <w:marTop w:val="0"/>
      <w:marBottom w:val="0"/>
      <w:divBdr>
        <w:top w:val="none" w:sz="0" w:space="0" w:color="auto"/>
        <w:left w:val="none" w:sz="0" w:space="0" w:color="auto"/>
        <w:bottom w:val="none" w:sz="0" w:space="0" w:color="auto"/>
        <w:right w:val="none" w:sz="0" w:space="0" w:color="auto"/>
      </w:divBdr>
    </w:div>
    <w:div w:id="924925008">
      <w:bodyDiv w:val="1"/>
      <w:marLeft w:val="0"/>
      <w:marRight w:val="0"/>
      <w:marTop w:val="0"/>
      <w:marBottom w:val="0"/>
      <w:divBdr>
        <w:top w:val="none" w:sz="0" w:space="0" w:color="auto"/>
        <w:left w:val="none" w:sz="0" w:space="0" w:color="auto"/>
        <w:bottom w:val="none" w:sz="0" w:space="0" w:color="auto"/>
        <w:right w:val="none" w:sz="0" w:space="0" w:color="auto"/>
      </w:divBdr>
    </w:div>
    <w:div w:id="925190884">
      <w:bodyDiv w:val="1"/>
      <w:marLeft w:val="0"/>
      <w:marRight w:val="0"/>
      <w:marTop w:val="0"/>
      <w:marBottom w:val="0"/>
      <w:divBdr>
        <w:top w:val="none" w:sz="0" w:space="0" w:color="auto"/>
        <w:left w:val="none" w:sz="0" w:space="0" w:color="auto"/>
        <w:bottom w:val="none" w:sz="0" w:space="0" w:color="auto"/>
        <w:right w:val="none" w:sz="0" w:space="0" w:color="auto"/>
      </w:divBdr>
    </w:div>
    <w:div w:id="925501729">
      <w:bodyDiv w:val="1"/>
      <w:marLeft w:val="0"/>
      <w:marRight w:val="0"/>
      <w:marTop w:val="0"/>
      <w:marBottom w:val="0"/>
      <w:divBdr>
        <w:top w:val="none" w:sz="0" w:space="0" w:color="auto"/>
        <w:left w:val="none" w:sz="0" w:space="0" w:color="auto"/>
        <w:bottom w:val="none" w:sz="0" w:space="0" w:color="auto"/>
        <w:right w:val="none" w:sz="0" w:space="0" w:color="auto"/>
      </w:divBdr>
    </w:div>
    <w:div w:id="925529974">
      <w:bodyDiv w:val="1"/>
      <w:marLeft w:val="0"/>
      <w:marRight w:val="0"/>
      <w:marTop w:val="0"/>
      <w:marBottom w:val="0"/>
      <w:divBdr>
        <w:top w:val="none" w:sz="0" w:space="0" w:color="auto"/>
        <w:left w:val="none" w:sz="0" w:space="0" w:color="auto"/>
        <w:bottom w:val="none" w:sz="0" w:space="0" w:color="auto"/>
        <w:right w:val="none" w:sz="0" w:space="0" w:color="auto"/>
      </w:divBdr>
    </w:div>
    <w:div w:id="925571200">
      <w:bodyDiv w:val="1"/>
      <w:marLeft w:val="0"/>
      <w:marRight w:val="0"/>
      <w:marTop w:val="0"/>
      <w:marBottom w:val="0"/>
      <w:divBdr>
        <w:top w:val="none" w:sz="0" w:space="0" w:color="auto"/>
        <w:left w:val="none" w:sz="0" w:space="0" w:color="auto"/>
        <w:bottom w:val="none" w:sz="0" w:space="0" w:color="auto"/>
        <w:right w:val="none" w:sz="0" w:space="0" w:color="auto"/>
      </w:divBdr>
    </w:div>
    <w:div w:id="925575778">
      <w:bodyDiv w:val="1"/>
      <w:marLeft w:val="0"/>
      <w:marRight w:val="0"/>
      <w:marTop w:val="0"/>
      <w:marBottom w:val="0"/>
      <w:divBdr>
        <w:top w:val="none" w:sz="0" w:space="0" w:color="auto"/>
        <w:left w:val="none" w:sz="0" w:space="0" w:color="auto"/>
        <w:bottom w:val="none" w:sz="0" w:space="0" w:color="auto"/>
        <w:right w:val="none" w:sz="0" w:space="0" w:color="auto"/>
      </w:divBdr>
    </w:div>
    <w:div w:id="925578415">
      <w:bodyDiv w:val="1"/>
      <w:marLeft w:val="0"/>
      <w:marRight w:val="0"/>
      <w:marTop w:val="0"/>
      <w:marBottom w:val="0"/>
      <w:divBdr>
        <w:top w:val="none" w:sz="0" w:space="0" w:color="auto"/>
        <w:left w:val="none" w:sz="0" w:space="0" w:color="auto"/>
        <w:bottom w:val="none" w:sz="0" w:space="0" w:color="auto"/>
        <w:right w:val="none" w:sz="0" w:space="0" w:color="auto"/>
      </w:divBdr>
    </w:div>
    <w:div w:id="925727258">
      <w:bodyDiv w:val="1"/>
      <w:marLeft w:val="0"/>
      <w:marRight w:val="0"/>
      <w:marTop w:val="0"/>
      <w:marBottom w:val="0"/>
      <w:divBdr>
        <w:top w:val="none" w:sz="0" w:space="0" w:color="auto"/>
        <w:left w:val="none" w:sz="0" w:space="0" w:color="auto"/>
        <w:bottom w:val="none" w:sz="0" w:space="0" w:color="auto"/>
        <w:right w:val="none" w:sz="0" w:space="0" w:color="auto"/>
      </w:divBdr>
    </w:div>
    <w:div w:id="925919487">
      <w:bodyDiv w:val="1"/>
      <w:marLeft w:val="0"/>
      <w:marRight w:val="0"/>
      <w:marTop w:val="0"/>
      <w:marBottom w:val="0"/>
      <w:divBdr>
        <w:top w:val="none" w:sz="0" w:space="0" w:color="auto"/>
        <w:left w:val="none" w:sz="0" w:space="0" w:color="auto"/>
        <w:bottom w:val="none" w:sz="0" w:space="0" w:color="auto"/>
        <w:right w:val="none" w:sz="0" w:space="0" w:color="auto"/>
      </w:divBdr>
    </w:div>
    <w:div w:id="925924846">
      <w:bodyDiv w:val="1"/>
      <w:marLeft w:val="0"/>
      <w:marRight w:val="0"/>
      <w:marTop w:val="0"/>
      <w:marBottom w:val="0"/>
      <w:divBdr>
        <w:top w:val="none" w:sz="0" w:space="0" w:color="auto"/>
        <w:left w:val="none" w:sz="0" w:space="0" w:color="auto"/>
        <w:bottom w:val="none" w:sz="0" w:space="0" w:color="auto"/>
        <w:right w:val="none" w:sz="0" w:space="0" w:color="auto"/>
      </w:divBdr>
    </w:div>
    <w:div w:id="925959604">
      <w:bodyDiv w:val="1"/>
      <w:marLeft w:val="0"/>
      <w:marRight w:val="0"/>
      <w:marTop w:val="0"/>
      <w:marBottom w:val="0"/>
      <w:divBdr>
        <w:top w:val="none" w:sz="0" w:space="0" w:color="auto"/>
        <w:left w:val="none" w:sz="0" w:space="0" w:color="auto"/>
        <w:bottom w:val="none" w:sz="0" w:space="0" w:color="auto"/>
        <w:right w:val="none" w:sz="0" w:space="0" w:color="auto"/>
      </w:divBdr>
    </w:div>
    <w:div w:id="926038968">
      <w:bodyDiv w:val="1"/>
      <w:marLeft w:val="0"/>
      <w:marRight w:val="0"/>
      <w:marTop w:val="0"/>
      <w:marBottom w:val="0"/>
      <w:divBdr>
        <w:top w:val="none" w:sz="0" w:space="0" w:color="auto"/>
        <w:left w:val="none" w:sz="0" w:space="0" w:color="auto"/>
        <w:bottom w:val="none" w:sz="0" w:space="0" w:color="auto"/>
        <w:right w:val="none" w:sz="0" w:space="0" w:color="auto"/>
      </w:divBdr>
    </w:div>
    <w:div w:id="926113999">
      <w:bodyDiv w:val="1"/>
      <w:marLeft w:val="0"/>
      <w:marRight w:val="0"/>
      <w:marTop w:val="0"/>
      <w:marBottom w:val="0"/>
      <w:divBdr>
        <w:top w:val="none" w:sz="0" w:space="0" w:color="auto"/>
        <w:left w:val="none" w:sz="0" w:space="0" w:color="auto"/>
        <w:bottom w:val="none" w:sz="0" w:space="0" w:color="auto"/>
        <w:right w:val="none" w:sz="0" w:space="0" w:color="auto"/>
      </w:divBdr>
    </w:div>
    <w:div w:id="926114975">
      <w:bodyDiv w:val="1"/>
      <w:marLeft w:val="0"/>
      <w:marRight w:val="0"/>
      <w:marTop w:val="0"/>
      <w:marBottom w:val="0"/>
      <w:divBdr>
        <w:top w:val="none" w:sz="0" w:space="0" w:color="auto"/>
        <w:left w:val="none" w:sz="0" w:space="0" w:color="auto"/>
        <w:bottom w:val="none" w:sz="0" w:space="0" w:color="auto"/>
        <w:right w:val="none" w:sz="0" w:space="0" w:color="auto"/>
      </w:divBdr>
    </w:div>
    <w:div w:id="926117842">
      <w:bodyDiv w:val="1"/>
      <w:marLeft w:val="0"/>
      <w:marRight w:val="0"/>
      <w:marTop w:val="0"/>
      <w:marBottom w:val="0"/>
      <w:divBdr>
        <w:top w:val="none" w:sz="0" w:space="0" w:color="auto"/>
        <w:left w:val="none" w:sz="0" w:space="0" w:color="auto"/>
        <w:bottom w:val="none" w:sz="0" w:space="0" w:color="auto"/>
        <w:right w:val="none" w:sz="0" w:space="0" w:color="auto"/>
      </w:divBdr>
    </w:div>
    <w:div w:id="926307233">
      <w:bodyDiv w:val="1"/>
      <w:marLeft w:val="0"/>
      <w:marRight w:val="0"/>
      <w:marTop w:val="0"/>
      <w:marBottom w:val="0"/>
      <w:divBdr>
        <w:top w:val="none" w:sz="0" w:space="0" w:color="auto"/>
        <w:left w:val="none" w:sz="0" w:space="0" w:color="auto"/>
        <w:bottom w:val="none" w:sz="0" w:space="0" w:color="auto"/>
        <w:right w:val="none" w:sz="0" w:space="0" w:color="auto"/>
      </w:divBdr>
    </w:div>
    <w:div w:id="926308613">
      <w:bodyDiv w:val="1"/>
      <w:marLeft w:val="0"/>
      <w:marRight w:val="0"/>
      <w:marTop w:val="0"/>
      <w:marBottom w:val="0"/>
      <w:divBdr>
        <w:top w:val="none" w:sz="0" w:space="0" w:color="auto"/>
        <w:left w:val="none" w:sz="0" w:space="0" w:color="auto"/>
        <w:bottom w:val="none" w:sz="0" w:space="0" w:color="auto"/>
        <w:right w:val="none" w:sz="0" w:space="0" w:color="auto"/>
      </w:divBdr>
    </w:div>
    <w:div w:id="926428668">
      <w:bodyDiv w:val="1"/>
      <w:marLeft w:val="0"/>
      <w:marRight w:val="0"/>
      <w:marTop w:val="0"/>
      <w:marBottom w:val="0"/>
      <w:divBdr>
        <w:top w:val="none" w:sz="0" w:space="0" w:color="auto"/>
        <w:left w:val="none" w:sz="0" w:space="0" w:color="auto"/>
        <w:bottom w:val="none" w:sz="0" w:space="0" w:color="auto"/>
        <w:right w:val="none" w:sz="0" w:space="0" w:color="auto"/>
      </w:divBdr>
    </w:div>
    <w:div w:id="926615323">
      <w:bodyDiv w:val="1"/>
      <w:marLeft w:val="0"/>
      <w:marRight w:val="0"/>
      <w:marTop w:val="0"/>
      <w:marBottom w:val="0"/>
      <w:divBdr>
        <w:top w:val="none" w:sz="0" w:space="0" w:color="auto"/>
        <w:left w:val="none" w:sz="0" w:space="0" w:color="auto"/>
        <w:bottom w:val="none" w:sz="0" w:space="0" w:color="auto"/>
        <w:right w:val="none" w:sz="0" w:space="0" w:color="auto"/>
      </w:divBdr>
    </w:div>
    <w:div w:id="926765814">
      <w:bodyDiv w:val="1"/>
      <w:marLeft w:val="0"/>
      <w:marRight w:val="0"/>
      <w:marTop w:val="0"/>
      <w:marBottom w:val="0"/>
      <w:divBdr>
        <w:top w:val="none" w:sz="0" w:space="0" w:color="auto"/>
        <w:left w:val="none" w:sz="0" w:space="0" w:color="auto"/>
        <w:bottom w:val="none" w:sz="0" w:space="0" w:color="auto"/>
        <w:right w:val="none" w:sz="0" w:space="0" w:color="auto"/>
      </w:divBdr>
    </w:div>
    <w:div w:id="926886980">
      <w:bodyDiv w:val="1"/>
      <w:marLeft w:val="0"/>
      <w:marRight w:val="0"/>
      <w:marTop w:val="0"/>
      <w:marBottom w:val="0"/>
      <w:divBdr>
        <w:top w:val="none" w:sz="0" w:space="0" w:color="auto"/>
        <w:left w:val="none" w:sz="0" w:space="0" w:color="auto"/>
        <w:bottom w:val="none" w:sz="0" w:space="0" w:color="auto"/>
        <w:right w:val="none" w:sz="0" w:space="0" w:color="auto"/>
      </w:divBdr>
    </w:div>
    <w:div w:id="926961018">
      <w:bodyDiv w:val="1"/>
      <w:marLeft w:val="0"/>
      <w:marRight w:val="0"/>
      <w:marTop w:val="0"/>
      <w:marBottom w:val="0"/>
      <w:divBdr>
        <w:top w:val="none" w:sz="0" w:space="0" w:color="auto"/>
        <w:left w:val="none" w:sz="0" w:space="0" w:color="auto"/>
        <w:bottom w:val="none" w:sz="0" w:space="0" w:color="auto"/>
        <w:right w:val="none" w:sz="0" w:space="0" w:color="auto"/>
      </w:divBdr>
    </w:div>
    <w:div w:id="927007584">
      <w:bodyDiv w:val="1"/>
      <w:marLeft w:val="0"/>
      <w:marRight w:val="0"/>
      <w:marTop w:val="0"/>
      <w:marBottom w:val="0"/>
      <w:divBdr>
        <w:top w:val="none" w:sz="0" w:space="0" w:color="auto"/>
        <w:left w:val="none" w:sz="0" w:space="0" w:color="auto"/>
        <w:bottom w:val="none" w:sz="0" w:space="0" w:color="auto"/>
        <w:right w:val="none" w:sz="0" w:space="0" w:color="auto"/>
      </w:divBdr>
    </w:div>
    <w:div w:id="927084620">
      <w:bodyDiv w:val="1"/>
      <w:marLeft w:val="0"/>
      <w:marRight w:val="0"/>
      <w:marTop w:val="0"/>
      <w:marBottom w:val="0"/>
      <w:divBdr>
        <w:top w:val="none" w:sz="0" w:space="0" w:color="auto"/>
        <w:left w:val="none" w:sz="0" w:space="0" w:color="auto"/>
        <w:bottom w:val="none" w:sz="0" w:space="0" w:color="auto"/>
        <w:right w:val="none" w:sz="0" w:space="0" w:color="auto"/>
      </w:divBdr>
    </w:div>
    <w:div w:id="927154551">
      <w:bodyDiv w:val="1"/>
      <w:marLeft w:val="0"/>
      <w:marRight w:val="0"/>
      <w:marTop w:val="0"/>
      <w:marBottom w:val="0"/>
      <w:divBdr>
        <w:top w:val="none" w:sz="0" w:space="0" w:color="auto"/>
        <w:left w:val="none" w:sz="0" w:space="0" w:color="auto"/>
        <w:bottom w:val="none" w:sz="0" w:space="0" w:color="auto"/>
        <w:right w:val="none" w:sz="0" w:space="0" w:color="auto"/>
      </w:divBdr>
    </w:div>
    <w:div w:id="927275519">
      <w:bodyDiv w:val="1"/>
      <w:marLeft w:val="0"/>
      <w:marRight w:val="0"/>
      <w:marTop w:val="0"/>
      <w:marBottom w:val="0"/>
      <w:divBdr>
        <w:top w:val="none" w:sz="0" w:space="0" w:color="auto"/>
        <w:left w:val="none" w:sz="0" w:space="0" w:color="auto"/>
        <w:bottom w:val="none" w:sz="0" w:space="0" w:color="auto"/>
        <w:right w:val="none" w:sz="0" w:space="0" w:color="auto"/>
      </w:divBdr>
    </w:div>
    <w:div w:id="927276607">
      <w:bodyDiv w:val="1"/>
      <w:marLeft w:val="0"/>
      <w:marRight w:val="0"/>
      <w:marTop w:val="0"/>
      <w:marBottom w:val="0"/>
      <w:divBdr>
        <w:top w:val="none" w:sz="0" w:space="0" w:color="auto"/>
        <w:left w:val="none" w:sz="0" w:space="0" w:color="auto"/>
        <w:bottom w:val="none" w:sz="0" w:space="0" w:color="auto"/>
        <w:right w:val="none" w:sz="0" w:space="0" w:color="auto"/>
      </w:divBdr>
    </w:div>
    <w:div w:id="927346768">
      <w:bodyDiv w:val="1"/>
      <w:marLeft w:val="0"/>
      <w:marRight w:val="0"/>
      <w:marTop w:val="0"/>
      <w:marBottom w:val="0"/>
      <w:divBdr>
        <w:top w:val="none" w:sz="0" w:space="0" w:color="auto"/>
        <w:left w:val="none" w:sz="0" w:space="0" w:color="auto"/>
        <w:bottom w:val="none" w:sz="0" w:space="0" w:color="auto"/>
        <w:right w:val="none" w:sz="0" w:space="0" w:color="auto"/>
      </w:divBdr>
    </w:div>
    <w:div w:id="927347464">
      <w:bodyDiv w:val="1"/>
      <w:marLeft w:val="0"/>
      <w:marRight w:val="0"/>
      <w:marTop w:val="0"/>
      <w:marBottom w:val="0"/>
      <w:divBdr>
        <w:top w:val="none" w:sz="0" w:space="0" w:color="auto"/>
        <w:left w:val="none" w:sz="0" w:space="0" w:color="auto"/>
        <w:bottom w:val="none" w:sz="0" w:space="0" w:color="auto"/>
        <w:right w:val="none" w:sz="0" w:space="0" w:color="auto"/>
      </w:divBdr>
    </w:div>
    <w:div w:id="927350413">
      <w:bodyDiv w:val="1"/>
      <w:marLeft w:val="0"/>
      <w:marRight w:val="0"/>
      <w:marTop w:val="0"/>
      <w:marBottom w:val="0"/>
      <w:divBdr>
        <w:top w:val="none" w:sz="0" w:space="0" w:color="auto"/>
        <w:left w:val="none" w:sz="0" w:space="0" w:color="auto"/>
        <w:bottom w:val="none" w:sz="0" w:space="0" w:color="auto"/>
        <w:right w:val="none" w:sz="0" w:space="0" w:color="auto"/>
      </w:divBdr>
    </w:div>
    <w:div w:id="927350999">
      <w:bodyDiv w:val="1"/>
      <w:marLeft w:val="0"/>
      <w:marRight w:val="0"/>
      <w:marTop w:val="0"/>
      <w:marBottom w:val="0"/>
      <w:divBdr>
        <w:top w:val="none" w:sz="0" w:space="0" w:color="auto"/>
        <w:left w:val="none" w:sz="0" w:space="0" w:color="auto"/>
        <w:bottom w:val="none" w:sz="0" w:space="0" w:color="auto"/>
        <w:right w:val="none" w:sz="0" w:space="0" w:color="auto"/>
      </w:divBdr>
    </w:div>
    <w:div w:id="927497627">
      <w:bodyDiv w:val="1"/>
      <w:marLeft w:val="0"/>
      <w:marRight w:val="0"/>
      <w:marTop w:val="0"/>
      <w:marBottom w:val="0"/>
      <w:divBdr>
        <w:top w:val="none" w:sz="0" w:space="0" w:color="auto"/>
        <w:left w:val="none" w:sz="0" w:space="0" w:color="auto"/>
        <w:bottom w:val="none" w:sz="0" w:space="0" w:color="auto"/>
        <w:right w:val="none" w:sz="0" w:space="0" w:color="auto"/>
      </w:divBdr>
    </w:div>
    <w:div w:id="927540196">
      <w:bodyDiv w:val="1"/>
      <w:marLeft w:val="0"/>
      <w:marRight w:val="0"/>
      <w:marTop w:val="0"/>
      <w:marBottom w:val="0"/>
      <w:divBdr>
        <w:top w:val="none" w:sz="0" w:space="0" w:color="auto"/>
        <w:left w:val="none" w:sz="0" w:space="0" w:color="auto"/>
        <w:bottom w:val="none" w:sz="0" w:space="0" w:color="auto"/>
        <w:right w:val="none" w:sz="0" w:space="0" w:color="auto"/>
      </w:divBdr>
    </w:div>
    <w:div w:id="927614765">
      <w:bodyDiv w:val="1"/>
      <w:marLeft w:val="0"/>
      <w:marRight w:val="0"/>
      <w:marTop w:val="0"/>
      <w:marBottom w:val="0"/>
      <w:divBdr>
        <w:top w:val="none" w:sz="0" w:space="0" w:color="auto"/>
        <w:left w:val="none" w:sz="0" w:space="0" w:color="auto"/>
        <w:bottom w:val="none" w:sz="0" w:space="0" w:color="auto"/>
        <w:right w:val="none" w:sz="0" w:space="0" w:color="auto"/>
      </w:divBdr>
    </w:div>
    <w:div w:id="927693069">
      <w:bodyDiv w:val="1"/>
      <w:marLeft w:val="0"/>
      <w:marRight w:val="0"/>
      <w:marTop w:val="0"/>
      <w:marBottom w:val="0"/>
      <w:divBdr>
        <w:top w:val="none" w:sz="0" w:space="0" w:color="auto"/>
        <w:left w:val="none" w:sz="0" w:space="0" w:color="auto"/>
        <w:bottom w:val="none" w:sz="0" w:space="0" w:color="auto"/>
        <w:right w:val="none" w:sz="0" w:space="0" w:color="auto"/>
      </w:divBdr>
    </w:div>
    <w:div w:id="927805687">
      <w:bodyDiv w:val="1"/>
      <w:marLeft w:val="0"/>
      <w:marRight w:val="0"/>
      <w:marTop w:val="0"/>
      <w:marBottom w:val="0"/>
      <w:divBdr>
        <w:top w:val="none" w:sz="0" w:space="0" w:color="auto"/>
        <w:left w:val="none" w:sz="0" w:space="0" w:color="auto"/>
        <w:bottom w:val="none" w:sz="0" w:space="0" w:color="auto"/>
        <w:right w:val="none" w:sz="0" w:space="0" w:color="auto"/>
      </w:divBdr>
    </w:div>
    <w:div w:id="927886610">
      <w:bodyDiv w:val="1"/>
      <w:marLeft w:val="0"/>
      <w:marRight w:val="0"/>
      <w:marTop w:val="0"/>
      <w:marBottom w:val="0"/>
      <w:divBdr>
        <w:top w:val="none" w:sz="0" w:space="0" w:color="auto"/>
        <w:left w:val="none" w:sz="0" w:space="0" w:color="auto"/>
        <w:bottom w:val="none" w:sz="0" w:space="0" w:color="auto"/>
        <w:right w:val="none" w:sz="0" w:space="0" w:color="auto"/>
      </w:divBdr>
    </w:div>
    <w:div w:id="928074407">
      <w:bodyDiv w:val="1"/>
      <w:marLeft w:val="0"/>
      <w:marRight w:val="0"/>
      <w:marTop w:val="0"/>
      <w:marBottom w:val="0"/>
      <w:divBdr>
        <w:top w:val="none" w:sz="0" w:space="0" w:color="auto"/>
        <w:left w:val="none" w:sz="0" w:space="0" w:color="auto"/>
        <w:bottom w:val="none" w:sz="0" w:space="0" w:color="auto"/>
        <w:right w:val="none" w:sz="0" w:space="0" w:color="auto"/>
      </w:divBdr>
    </w:div>
    <w:div w:id="928126301">
      <w:bodyDiv w:val="1"/>
      <w:marLeft w:val="0"/>
      <w:marRight w:val="0"/>
      <w:marTop w:val="0"/>
      <w:marBottom w:val="0"/>
      <w:divBdr>
        <w:top w:val="none" w:sz="0" w:space="0" w:color="auto"/>
        <w:left w:val="none" w:sz="0" w:space="0" w:color="auto"/>
        <w:bottom w:val="none" w:sz="0" w:space="0" w:color="auto"/>
        <w:right w:val="none" w:sz="0" w:space="0" w:color="auto"/>
      </w:divBdr>
    </w:div>
    <w:div w:id="928151930">
      <w:bodyDiv w:val="1"/>
      <w:marLeft w:val="0"/>
      <w:marRight w:val="0"/>
      <w:marTop w:val="0"/>
      <w:marBottom w:val="0"/>
      <w:divBdr>
        <w:top w:val="none" w:sz="0" w:space="0" w:color="auto"/>
        <w:left w:val="none" w:sz="0" w:space="0" w:color="auto"/>
        <w:bottom w:val="none" w:sz="0" w:space="0" w:color="auto"/>
        <w:right w:val="none" w:sz="0" w:space="0" w:color="auto"/>
      </w:divBdr>
    </w:div>
    <w:div w:id="928152900">
      <w:bodyDiv w:val="1"/>
      <w:marLeft w:val="0"/>
      <w:marRight w:val="0"/>
      <w:marTop w:val="0"/>
      <w:marBottom w:val="0"/>
      <w:divBdr>
        <w:top w:val="none" w:sz="0" w:space="0" w:color="auto"/>
        <w:left w:val="none" w:sz="0" w:space="0" w:color="auto"/>
        <w:bottom w:val="none" w:sz="0" w:space="0" w:color="auto"/>
        <w:right w:val="none" w:sz="0" w:space="0" w:color="auto"/>
      </w:divBdr>
    </w:div>
    <w:div w:id="928199130">
      <w:bodyDiv w:val="1"/>
      <w:marLeft w:val="0"/>
      <w:marRight w:val="0"/>
      <w:marTop w:val="0"/>
      <w:marBottom w:val="0"/>
      <w:divBdr>
        <w:top w:val="none" w:sz="0" w:space="0" w:color="auto"/>
        <w:left w:val="none" w:sz="0" w:space="0" w:color="auto"/>
        <w:bottom w:val="none" w:sz="0" w:space="0" w:color="auto"/>
        <w:right w:val="none" w:sz="0" w:space="0" w:color="auto"/>
      </w:divBdr>
    </w:div>
    <w:div w:id="928386831">
      <w:bodyDiv w:val="1"/>
      <w:marLeft w:val="0"/>
      <w:marRight w:val="0"/>
      <w:marTop w:val="0"/>
      <w:marBottom w:val="0"/>
      <w:divBdr>
        <w:top w:val="none" w:sz="0" w:space="0" w:color="auto"/>
        <w:left w:val="none" w:sz="0" w:space="0" w:color="auto"/>
        <w:bottom w:val="none" w:sz="0" w:space="0" w:color="auto"/>
        <w:right w:val="none" w:sz="0" w:space="0" w:color="auto"/>
      </w:divBdr>
    </w:div>
    <w:div w:id="928462652">
      <w:bodyDiv w:val="1"/>
      <w:marLeft w:val="0"/>
      <w:marRight w:val="0"/>
      <w:marTop w:val="0"/>
      <w:marBottom w:val="0"/>
      <w:divBdr>
        <w:top w:val="none" w:sz="0" w:space="0" w:color="auto"/>
        <w:left w:val="none" w:sz="0" w:space="0" w:color="auto"/>
        <w:bottom w:val="none" w:sz="0" w:space="0" w:color="auto"/>
        <w:right w:val="none" w:sz="0" w:space="0" w:color="auto"/>
      </w:divBdr>
    </w:div>
    <w:div w:id="928466846">
      <w:bodyDiv w:val="1"/>
      <w:marLeft w:val="0"/>
      <w:marRight w:val="0"/>
      <w:marTop w:val="0"/>
      <w:marBottom w:val="0"/>
      <w:divBdr>
        <w:top w:val="none" w:sz="0" w:space="0" w:color="auto"/>
        <w:left w:val="none" w:sz="0" w:space="0" w:color="auto"/>
        <w:bottom w:val="none" w:sz="0" w:space="0" w:color="auto"/>
        <w:right w:val="none" w:sz="0" w:space="0" w:color="auto"/>
      </w:divBdr>
    </w:div>
    <w:div w:id="928586726">
      <w:bodyDiv w:val="1"/>
      <w:marLeft w:val="0"/>
      <w:marRight w:val="0"/>
      <w:marTop w:val="0"/>
      <w:marBottom w:val="0"/>
      <w:divBdr>
        <w:top w:val="none" w:sz="0" w:space="0" w:color="auto"/>
        <w:left w:val="none" w:sz="0" w:space="0" w:color="auto"/>
        <w:bottom w:val="none" w:sz="0" w:space="0" w:color="auto"/>
        <w:right w:val="none" w:sz="0" w:space="0" w:color="auto"/>
      </w:divBdr>
    </w:div>
    <w:div w:id="928587709">
      <w:bodyDiv w:val="1"/>
      <w:marLeft w:val="0"/>
      <w:marRight w:val="0"/>
      <w:marTop w:val="0"/>
      <w:marBottom w:val="0"/>
      <w:divBdr>
        <w:top w:val="none" w:sz="0" w:space="0" w:color="auto"/>
        <w:left w:val="none" w:sz="0" w:space="0" w:color="auto"/>
        <w:bottom w:val="none" w:sz="0" w:space="0" w:color="auto"/>
        <w:right w:val="none" w:sz="0" w:space="0" w:color="auto"/>
      </w:divBdr>
    </w:div>
    <w:div w:id="928663147">
      <w:bodyDiv w:val="1"/>
      <w:marLeft w:val="0"/>
      <w:marRight w:val="0"/>
      <w:marTop w:val="0"/>
      <w:marBottom w:val="0"/>
      <w:divBdr>
        <w:top w:val="none" w:sz="0" w:space="0" w:color="auto"/>
        <w:left w:val="none" w:sz="0" w:space="0" w:color="auto"/>
        <w:bottom w:val="none" w:sz="0" w:space="0" w:color="auto"/>
        <w:right w:val="none" w:sz="0" w:space="0" w:color="auto"/>
      </w:divBdr>
    </w:div>
    <w:div w:id="928851998">
      <w:bodyDiv w:val="1"/>
      <w:marLeft w:val="0"/>
      <w:marRight w:val="0"/>
      <w:marTop w:val="0"/>
      <w:marBottom w:val="0"/>
      <w:divBdr>
        <w:top w:val="none" w:sz="0" w:space="0" w:color="auto"/>
        <w:left w:val="none" w:sz="0" w:space="0" w:color="auto"/>
        <w:bottom w:val="none" w:sz="0" w:space="0" w:color="auto"/>
        <w:right w:val="none" w:sz="0" w:space="0" w:color="auto"/>
      </w:divBdr>
    </w:div>
    <w:div w:id="929048044">
      <w:bodyDiv w:val="1"/>
      <w:marLeft w:val="0"/>
      <w:marRight w:val="0"/>
      <w:marTop w:val="0"/>
      <w:marBottom w:val="0"/>
      <w:divBdr>
        <w:top w:val="none" w:sz="0" w:space="0" w:color="auto"/>
        <w:left w:val="none" w:sz="0" w:space="0" w:color="auto"/>
        <w:bottom w:val="none" w:sz="0" w:space="0" w:color="auto"/>
        <w:right w:val="none" w:sz="0" w:space="0" w:color="auto"/>
      </w:divBdr>
    </w:div>
    <w:div w:id="929193261">
      <w:bodyDiv w:val="1"/>
      <w:marLeft w:val="0"/>
      <w:marRight w:val="0"/>
      <w:marTop w:val="0"/>
      <w:marBottom w:val="0"/>
      <w:divBdr>
        <w:top w:val="none" w:sz="0" w:space="0" w:color="auto"/>
        <w:left w:val="none" w:sz="0" w:space="0" w:color="auto"/>
        <w:bottom w:val="none" w:sz="0" w:space="0" w:color="auto"/>
        <w:right w:val="none" w:sz="0" w:space="0" w:color="auto"/>
      </w:divBdr>
    </w:div>
    <w:div w:id="929309749">
      <w:bodyDiv w:val="1"/>
      <w:marLeft w:val="0"/>
      <w:marRight w:val="0"/>
      <w:marTop w:val="0"/>
      <w:marBottom w:val="0"/>
      <w:divBdr>
        <w:top w:val="none" w:sz="0" w:space="0" w:color="auto"/>
        <w:left w:val="none" w:sz="0" w:space="0" w:color="auto"/>
        <w:bottom w:val="none" w:sz="0" w:space="0" w:color="auto"/>
        <w:right w:val="none" w:sz="0" w:space="0" w:color="auto"/>
      </w:divBdr>
    </w:div>
    <w:div w:id="929316808">
      <w:bodyDiv w:val="1"/>
      <w:marLeft w:val="0"/>
      <w:marRight w:val="0"/>
      <w:marTop w:val="0"/>
      <w:marBottom w:val="0"/>
      <w:divBdr>
        <w:top w:val="none" w:sz="0" w:space="0" w:color="auto"/>
        <w:left w:val="none" w:sz="0" w:space="0" w:color="auto"/>
        <w:bottom w:val="none" w:sz="0" w:space="0" w:color="auto"/>
        <w:right w:val="none" w:sz="0" w:space="0" w:color="auto"/>
      </w:divBdr>
    </w:div>
    <w:div w:id="929391679">
      <w:bodyDiv w:val="1"/>
      <w:marLeft w:val="0"/>
      <w:marRight w:val="0"/>
      <w:marTop w:val="0"/>
      <w:marBottom w:val="0"/>
      <w:divBdr>
        <w:top w:val="none" w:sz="0" w:space="0" w:color="auto"/>
        <w:left w:val="none" w:sz="0" w:space="0" w:color="auto"/>
        <w:bottom w:val="none" w:sz="0" w:space="0" w:color="auto"/>
        <w:right w:val="none" w:sz="0" w:space="0" w:color="auto"/>
      </w:divBdr>
    </w:div>
    <w:div w:id="929432671">
      <w:bodyDiv w:val="1"/>
      <w:marLeft w:val="0"/>
      <w:marRight w:val="0"/>
      <w:marTop w:val="0"/>
      <w:marBottom w:val="0"/>
      <w:divBdr>
        <w:top w:val="none" w:sz="0" w:space="0" w:color="auto"/>
        <w:left w:val="none" w:sz="0" w:space="0" w:color="auto"/>
        <w:bottom w:val="none" w:sz="0" w:space="0" w:color="auto"/>
        <w:right w:val="none" w:sz="0" w:space="0" w:color="auto"/>
      </w:divBdr>
    </w:div>
    <w:div w:id="929435337">
      <w:bodyDiv w:val="1"/>
      <w:marLeft w:val="0"/>
      <w:marRight w:val="0"/>
      <w:marTop w:val="0"/>
      <w:marBottom w:val="0"/>
      <w:divBdr>
        <w:top w:val="none" w:sz="0" w:space="0" w:color="auto"/>
        <w:left w:val="none" w:sz="0" w:space="0" w:color="auto"/>
        <w:bottom w:val="none" w:sz="0" w:space="0" w:color="auto"/>
        <w:right w:val="none" w:sz="0" w:space="0" w:color="auto"/>
      </w:divBdr>
    </w:div>
    <w:div w:id="929629030">
      <w:bodyDiv w:val="1"/>
      <w:marLeft w:val="0"/>
      <w:marRight w:val="0"/>
      <w:marTop w:val="0"/>
      <w:marBottom w:val="0"/>
      <w:divBdr>
        <w:top w:val="none" w:sz="0" w:space="0" w:color="auto"/>
        <w:left w:val="none" w:sz="0" w:space="0" w:color="auto"/>
        <w:bottom w:val="none" w:sz="0" w:space="0" w:color="auto"/>
        <w:right w:val="none" w:sz="0" w:space="0" w:color="auto"/>
      </w:divBdr>
    </w:div>
    <w:div w:id="929699323">
      <w:bodyDiv w:val="1"/>
      <w:marLeft w:val="0"/>
      <w:marRight w:val="0"/>
      <w:marTop w:val="0"/>
      <w:marBottom w:val="0"/>
      <w:divBdr>
        <w:top w:val="none" w:sz="0" w:space="0" w:color="auto"/>
        <w:left w:val="none" w:sz="0" w:space="0" w:color="auto"/>
        <w:bottom w:val="none" w:sz="0" w:space="0" w:color="auto"/>
        <w:right w:val="none" w:sz="0" w:space="0" w:color="auto"/>
      </w:divBdr>
    </w:div>
    <w:div w:id="929699534">
      <w:bodyDiv w:val="1"/>
      <w:marLeft w:val="0"/>
      <w:marRight w:val="0"/>
      <w:marTop w:val="0"/>
      <w:marBottom w:val="0"/>
      <w:divBdr>
        <w:top w:val="none" w:sz="0" w:space="0" w:color="auto"/>
        <w:left w:val="none" w:sz="0" w:space="0" w:color="auto"/>
        <w:bottom w:val="none" w:sz="0" w:space="0" w:color="auto"/>
        <w:right w:val="none" w:sz="0" w:space="0" w:color="auto"/>
      </w:divBdr>
    </w:div>
    <w:div w:id="929776385">
      <w:bodyDiv w:val="1"/>
      <w:marLeft w:val="0"/>
      <w:marRight w:val="0"/>
      <w:marTop w:val="0"/>
      <w:marBottom w:val="0"/>
      <w:divBdr>
        <w:top w:val="none" w:sz="0" w:space="0" w:color="auto"/>
        <w:left w:val="none" w:sz="0" w:space="0" w:color="auto"/>
        <w:bottom w:val="none" w:sz="0" w:space="0" w:color="auto"/>
        <w:right w:val="none" w:sz="0" w:space="0" w:color="auto"/>
      </w:divBdr>
    </w:div>
    <w:div w:id="929896253">
      <w:bodyDiv w:val="1"/>
      <w:marLeft w:val="0"/>
      <w:marRight w:val="0"/>
      <w:marTop w:val="0"/>
      <w:marBottom w:val="0"/>
      <w:divBdr>
        <w:top w:val="none" w:sz="0" w:space="0" w:color="auto"/>
        <w:left w:val="none" w:sz="0" w:space="0" w:color="auto"/>
        <w:bottom w:val="none" w:sz="0" w:space="0" w:color="auto"/>
        <w:right w:val="none" w:sz="0" w:space="0" w:color="auto"/>
      </w:divBdr>
    </w:div>
    <w:div w:id="930048818">
      <w:bodyDiv w:val="1"/>
      <w:marLeft w:val="0"/>
      <w:marRight w:val="0"/>
      <w:marTop w:val="0"/>
      <w:marBottom w:val="0"/>
      <w:divBdr>
        <w:top w:val="none" w:sz="0" w:space="0" w:color="auto"/>
        <w:left w:val="none" w:sz="0" w:space="0" w:color="auto"/>
        <w:bottom w:val="none" w:sz="0" w:space="0" w:color="auto"/>
        <w:right w:val="none" w:sz="0" w:space="0" w:color="auto"/>
      </w:divBdr>
    </w:div>
    <w:div w:id="930091229">
      <w:bodyDiv w:val="1"/>
      <w:marLeft w:val="0"/>
      <w:marRight w:val="0"/>
      <w:marTop w:val="0"/>
      <w:marBottom w:val="0"/>
      <w:divBdr>
        <w:top w:val="none" w:sz="0" w:space="0" w:color="auto"/>
        <w:left w:val="none" w:sz="0" w:space="0" w:color="auto"/>
        <w:bottom w:val="none" w:sz="0" w:space="0" w:color="auto"/>
        <w:right w:val="none" w:sz="0" w:space="0" w:color="auto"/>
      </w:divBdr>
    </w:div>
    <w:div w:id="930092179">
      <w:bodyDiv w:val="1"/>
      <w:marLeft w:val="0"/>
      <w:marRight w:val="0"/>
      <w:marTop w:val="0"/>
      <w:marBottom w:val="0"/>
      <w:divBdr>
        <w:top w:val="none" w:sz="0" w:space="0" w:color="auto"/>
        <w:left w:val="none" w:sz="0" w:space="0" w:color="auto"/>
        <w:bottom w:val="none" w:sz="0" w:space="0" w:color="auto"/>
        <w:right w:val="none" w:sz="0" w:space="0" w:color="auto"/>
      </w:divBdr>
    </w:div>
    <w:div w:id="930116941">
      <w:bodyDiv w:val="1"/>
      <w:marLeft w:val="0"/>
      <w:marRight w:val="0"/>
      <w:marTop w:val="0"/>
      <w:marBottom w:val="0"/>
      <w:divBdr>
        <w:top w:val="none" w:sz="0" w:space="0" w:color="auto"/>
        <w:left w:val="none" w:sz="0" w:space="0" w:color="auto"/>
        <w:bottom w:val="none" w:sz="0" w:space="0" w:color="auto"/>
        <w:right w:val="none" w:sz="0" w:space="0" w:color="auto"/>
      </w:divBdr>
    </w:div>
    <w:div w:id="930116998">
      <w:bodyDiv w:val="1"/>
      <w:marLeft w:val="0"/>
      <w:marRight w:val="0"/>
      <w:marTop w:val="0"/>
      <w:marBottom w:val="0"/>
      <w:divBdr>
        <w:top w:val="none" w:sz="0" w:space="0" w:color="auto"/>
        <w:left w:val="none" w:sz="0" w:space="0" w:color="auto"/>
        <w:bottom w:val="none" w:sz="0" w:space="0" w:color="auto"/>
        <w:right w:val="none" w:sz="0" w:space="0" w:color="auto"/>
      </w:divBdr>
    </w:div>
    <w:div w:id="930242288">
      <w:bodyDiv w:val="1"/>
      <w:marLeft w:val="0"/>
      <w:marRight w:val="0"/>
      <w:marTop w:val="0"/>
      <w:marBottom w:val="0"/>
      <w:divBdr>
        <w:top w:val="none" w:sz="0" w:space="0" w:color="auto"/>
        <w:left w:val="none" w:sz="0" w:space="0" w:color="auto"/>
        <w:bottom w:val="none" w:sz="0" w:space="0" w:color="auto"/>
        <w:right w:val="none" w:sz="0" w:space="0" w:color="auto"/>
      </w:divBdr>
    </w:div>
    <w:div w:id="930353364">
      <w:bodyDiv w:val="1"/>
      <w:marLeft w:val="0"/>
      <w:marRight w:val="0"/>
      <w:marTop w:val="0"/>
      <w:marBottom w:val="0"/>
      <w:divBdr>
        <w:top w:val="none" w:sz="0" w:space="0" w:color="auto"/>
        <w:left w:val="none" w:sz="0" w:space="0" w:color="auto"/>
        <w:bottom w:val="none" w:sz="0" w:space="0" w:color="auto"/>
        <w:right w:val="none" w:sz="0" w:space="0" w:color="auto"/>
      </w:divBdr>
    </w:div>
    <w:div w:id="930355007">
      <w:bodyDiv w:val="1"/>
      <w:marLeft w:val="0"/>
      <w:marRight w:val="0"/>
      <w:marTop w:val="0"/>
      <w:marBottom w:val="0"/>
      <w:divBdr>
        <w:top w:val="none" w:sz="0" w:space="0" w:color="auto"/>
        <w:left w:val="none" w:sz="0" w:space="0" w:color="auto"/>
        <w:bottom w:val="none" w:sz="0" w:space="0" w:color="auto"/>
        <w:right w:val="none" w:sz="0" w:space="0" w:color="auto"/>
      </w:divBdr>
    </w:div>
    <w:div w:id="930356156">
      <w:bodyDiv w:val="1"/>
      <w:marLeft w:val="0"/>
      <w:marRight w:val="0"/>
      <w:marTop w:val="0"/>
      <w:marBottom w:val="0"/>
      <w:divBdr>
        <w:top w:val="none" w:sz="0" w:space="0" w:color="auto"/>
        <w:left w:val="none" w:sz="0" w:space="0" w:color="auto"/>
        <w:bottom w:val="none" w:sz="0" w:space="0" w:color="auto"/>
        <w:right w:val="none" w:sz="0" w:space="0" w:color="auto"/>
      </w:divBdr>
    </w:div>
    <w:div w:id="930427111">
      <w:bodyDiv w:val="1"/>
      <w:marLeft w:val="0"/>
      <w:marRight w:val="0"/>
      <w:marTop w:val="0"/>
      <w:marBottom w:val="0"/>
      <w:divBdr>
        <w:top w:val="none" w:sz="0" w:space="0" w:color="auto"/>
        <w:left w:val="none" w:sz="0" w:space="0" w:color="auto"/>
        <w:bottom w:val="none" w:sz="0" w:space="0" w:color="auto"/>
        <w:right w:val="none" w:sz="0" w:space="0" w:color="auto"/>
      </w:divBdr>
    </w:div>
    <w:div w:id="930430682">
      <w:bodyDiv w:val="1"/>
      <w:marLeft w:val="0"/>
      <w:marRight w:val="0"/>
      <w:marTop w:val="0"/>
      <w:marBottom w:val="0"/>
      <w:divBdr>
        <w:top w:val="none" w:sz="0" w:space="0" w:color="auto"/>
        <w:left w:val="none" w:sz="0" w:space="0" w:color="auto"/>
        <w:bottom w:val="none" w:sz="0" w:space="0" w:color="auto"/>
        <w:right w:val="none" w:sz="0" w:space="0" w:color="auto"/>
      </w:divBdr>
    </w:div>
    <w:div w:id="930507372">
      <w:bodyDiv w:val="1"/>
      <w:marLeft w:val="0"/>
      <w:marRight w:val="0"/>
      <w:marTop w:val="0"/>
      <w:marBottom w:val="0"/>
      <w:divBdr>
        <w:top w:val="none" w:sz="0" w:space="0" w:color="auto"/>
        <w:left w:val="none" w:sz="0" w:space="0" w:color="auto"/>
        <w:bottom w:val="none" w:sz="0" w:space="0" w:color="auto"/>
        <w:right w:val="none" w:sz="0" w:space="0" w:color="auto"/>
      </w:divBdr>
    </w:div>
    <w:div w:id="930507385">
      <w:bodyDiv w:val="1"/>
      <w:marLeft w:val="0"/>
      <w:marRight w:val="0"/>
      <w:marTop w:val="0"/>
      <w:marBottom w:val="0"/>
      <w:divBdr>
        <w:top w:val="none" w:sz="0" w:space="0" w:color="auto"/>
        <w:left w:val="none" w:sz="0" w:space="0" w:color="auto"/>
        <w:bottom w:val="none" w:sz="0" w:space="0" w:color="auto"/>
        <w:right w:val="none" w:sz="0" w:space="0" w:color="auto"/>
      </w:divBdr>
    </w:div>
    <w:div w:id="930510764">
      <w:bodyDiv w:val="1"/>
      <w:marLeft w:val="0"/>
      <w:marRight w:val="0"/>
      <w:marTop w:val="0"/>
      <w:marBottom w:val="0"/>
      <w:divBdr>
        <w:top w:val="none" w:sz="0" w:space="0" w:color="auto"/>
        <w:left w:val="none" w:sz="0" w:space="0" w:color="auto"/>
        <w:bottom w:val="none" w:sz="0" w:space="0" w:color="auto"/>
        <w:right w:val="none" w:sz="0" w:space="0" w:color="auto"/>
      </w:divBdr>
    </w:div>
    <w:div w:id="930623777">
      <w:bodyDiv w:val="1"/>
      <w:marLeft w:val="0"/>
      <w:marRight w:val="0"/>
      <w:marTop w:val="0"/>
      <w:marBottom w:val="0"/>
      <w:divBdr>
        <w:top w:val="none" w:sz="0" w:space="0" w:color="auto"/>
        <w:left w:val="none" w:sz="0" w:space="0" w:color="auto"/>
        <w:bottom w:val="none" w:sz="0" w:space="0" w:color="auto"/>
        <w:right w:val="none" w:sz="0" w:space="0" w:color="auto"/>
      </w:divBdr>
    </w:div>
    <w:div w:id="930743458">
      <w:bodyDiv w:val="1"/>
      <w:marLeft w:val="0"/>
      <w:marRight w:val="0"/>
      <w:marTop w:val="0"/>
      <w:marBottom w:val="0"/>
      <w:divBdr>
        <w:top w:val="none" w:sz="0" w:space="0" w:color="auto"/>
        <w:left w:val="none" w:sz="0" w:space="0" w:color="auto"/>
        <w:bottom w:val="none" w:sz="0" w:space="0" w:color="auto"/>
        <w:right w:val="none" w:sz="0" w:space="0" w:color="auto"/>
      </w:divBdr>
    </w:div>
    <w:div w:id="930744452">
      <w:bodyDiv w:val="1"/>
      <w:marLeft w:val="0"/>
      <w:marRight w:val="0"/>
      <w:marTop w:val="0"/>
      <w:marBottom w:val="0"/>
      <w:divBdr>
        <w:top w:val="none" w:sz="0" w:space="0" w:color="auto"/>
        <w:left w:val="none" w:sz="0" w:space="0" w:color="auto"/>
        <w:bottom w:val="none" w:sz="0" w:space="0" w:color="auto"/>
        <w:right w:val="none" w:sz="0" w:space="0" w:color="auto"/>
      </w:divBdr>
    </w:div>
    <w:div w:id="930966671">
      <w:bodyDiv w:val="1"/>
      <w:marLeft w:val="0"/>
      <w:marRight w:val="0"/>
      <w:marTop w:val="0"/>
      <w:marBottom w:val="0"/>
      <w:divBdr>
        <w:top w:val="none" w:sz="0" w:space="0" w:color="auto"/>
        <w:left w:val="none" w:sz="0" w:space="0" w:color="auto"/>
        <w:bottom w:val="none" w:sz="0" w:space="0" w:color="auto"/>
        <w:right w:val="none" w:sz="0" w:space="0" w:color="auto"/>
      </w:divBdr>
    </w:div>
    <w:div w:id="931011600">
      <w:bodyDiv w:val="1"/>
      <w:marLeft w:val="0"/>
      <w:marRight w:val="0"/>
      <w:marTop w:val="0"/>
      <w:marBottom w:val="0"/>
      <w:divBdr>
        <w:top w:val="none" w:sz="0" w:space="0" w:color="auto"/>
        <w:left w:val="none" w:sz="0" w:space="0" w:color="auto"/>
        <w:bottom w:val="none" w:sz="0" w:space="0" w:color="auto"/>
        <w:right w:val="none" w:sz="0" w:space="0" w:color="auto"/>
      </w:divBdr>
    </w:div>
    <w:div w:id="931013776">
      <w:bodyDiv w:val="1"/>
      <w:marLeft w:val="0"/>
      <w:marRight w:val="0"/>
      <w:marTop w:val="0"/>
      <w:marBottom w:val="0"/>
      <w:divBdr>
        <w:top w:val="none" w:sz="0" w:space="0" w:color="auto"/>
        <w:left w:val="none" w:sz="0" w:space="0" w:color="auto"/>
        <w:bottom w:val="none" w:sz="0" w:space="0" w:color="auto"/>
        <w:right w:val="none" w:sz="0" w:space="0" w:color="auto"/>
      </w:divBdr>
    </w:div>
    <w:div w:id="931013972">
      <w:bodyDiv w:val="1"/>
      <w:marLeft w:val="0"/>
      <w:marRight w:val="0"/>
      <w:marTop w:val="0"/>
      <w:marBottom w:val="0"/>
      <w:divBdr>
        <w:top w:val="none" w:sz="0" w:space="0" w:color="auto"/>
        <w:left w:val="none" w:sz="0" w:space="0" w:color="auto"/>
        <w:bottom w:val="none" w:sz="0" w:space="0" w:color="auto"/>
        <w:right w:val="none" w:sz="0" w:space="0" w:color="auto"/>
      </w:divBdr>
    </w:div>
    <w:div w:id="931085365">
      <w:bodyDiv w:val="1"/>
      <w:marLeft w:val="0"/>
      <w:marRight w:val="0"/>
      <w:marTop w:val="0"/>
      <w:marBottom w:val="0"/>
      <w:divBdr>
        <w:top w:val="none" w:sz="0" w:space="0" w:color="auto"/>
        <w:left w:val="none" w:sz="0" w:space="0" w:color="auto"/>
        <w:bottom w:val="none" w:sz="0" w:space="0" w:color="auto"/>
        <w:right w:val="none" w:sz="0" w:space="0" w:color="auto"/>
      </w:divBdr>
    </w:div>
    <w:div w:id="931204816">
      <w:bodyDiv w:val="1"/>
      <w:marLeft w:val="0"/>
      <w:marRight w:val="0"/>
      <w:marTop w:val="0"/>
      <w:marBottom w:val="0"/>
      <w:divBdr>
        <w:top w:val="none" w:sz="0" w:space="0" w:color="auto"/>
        <w:left w:val="none" w:sz="0" w:space="0" w:color="auto"/>
        <w:bottom w:val="none" w:sz="0" w:space="0" w:color="auto"/>
        <w:right w:val="none" w:sz="0" w:space="0" w:color="auto"/>
      </w:divBdr>
    </w:div>
    <w:div w:id="931402087">
      <w:bodyDiv w:val="1"/>
      <w:marLeft w:val="0"/>
      <w:marRight w:val="0"/>
      <w:marTop w:val="0"/>
      <w:marBottom w:val="0"/>
      <w:divBdr>
        <w:top w:val="none" w:sz="0" w:space="0" w:color="auto"/>
        <w:left w:val="none" w:sz="0" w:space="0" w:color="auto"/>
        <w:bottom w:val="none" w:sz="0" w:space="0" w:color="auto"/>
        <w:right w:val="none" w:sz="0" w:space="0" w:color="auto"/>
      </w:divBdr>
    </w:div>
    <w:div w:id="931429103">
      <w:bodyDiv w:val="1"/>
      <w:marLeft w:val="0"/>
      <w:marRight w:val="0"/>
      <w:marTop w:val="0"/>
      <w:marBottom w:val="0"/>
      <w:divBdr>
        <w:top w:val="none" w:sz="0" w:space="0" w:color="auto"/>
        <w:left w:val="none" w:sz="0" w:space="0" w:color="auto"/>
        <w:bottom w:val="none" w:sz="0" w:space="0" w:color="auto"/>
        <w:right w:val="none" w:sz="0" w:space="0" w:color="auto"/>
      </w:divBdr>
    </w:div>
    <w:div w:id="931429796">
      <w:bodyDiv w:val="1"/>
      <w:marLeft w:val="0"/>
      <w:marRight w:val="0"/>
      <w:marTop w:val="0"/>
      <w:marBottom w:val="0"/>
      <w:divBdr>
        <w:top w:val="none" w:sz="0" w:space="0" w:color="auto"/>
        <w:left w:val="none" w:sz="0" w:space="0" w:color="auto"/>
        <w:bottom w:val="none" w:sz="0" w:space="0" w:color="auto"/>
        <w:right w:val="none" w:sz="0" w:space="0" w:color="auto"/>
      </w:divBdr>
    </w:div>
    <w:div w:id="931472244">
      <w:bodyDiv w:val="1"/>
      <w:marLeft w:val="0"/>
      <w:marRight w:val="0"/>
      <w:marTop w:val="0"/>
      <w:marBottom w:val="0"/>
      <w:divBdr>
        <w:top w:val="none" w:sz="0" w:space="0" w:color="auto"/>
        <w:left w:val="none" w:sz="0" w:space="0" w:color="auto"/>
        <w:bottom w:val="none" w:sz="0" w:space="0" w:color="auto"/>
        <w:right w:val="none" w:sz="0" w:space="0" w:color="auto"/>
      </w:divBdr>
    </w:div>
    <w:div w:id="931548103">
      <w:bodyDiv w:val="1"/>
      <w:marLeft w:val="0"/>
      <w:marRight w:val="0"/>
      <w:marTop w:val="0"/>
      <w:marBottom w:val="0"/>
      <w:divBdr>
        <w:top w:val="none" w:sz="0" w:space="0" w:color="auto"/>
        <w:left w:val="none" w:sz="0" w:space="0" w:color="auto"/>
        <w:bottom w:val="none" w:sz="0" w:space="0" w:color="auto"/>
        <w:right w:val="none" w:sz="0" w:space="0" w:color="auto"/>
      </w:divBdr>
    </w:div>
    <w:div w:id="931595546">
      <w:bodyDiv w:val="1"/>
      <w:marLeft w:val="0"/>
      <w:marRight w:val="0"/>
      <w:marTop w:val="0"/>
      <w:marBottom w:val="0"/>
      <w:divBdr>
        <w:top w:val="none" w:sz="0" w:space="0" w:color="auto"/>
        <w:left w:val="none" w:sz="0" w:space="0" w:color="auto"/>
        <w:bottom w:val="none" w:sz="0" w:space="0" w:color="auto"/>
        <w:right w:val="none" w:sz="0" w:space="0" w:color="auto"/>
      </w:divBdr>
    </w:div>
    <w:div w:id="931624841">
      <w:bodyDiv w:val="1"/>
      <w:marLeft w:val="0"/>
      <w:marRight w:val="0"/>
      <w:marTop w:val="0"/>
      <w:marBottom w:val="0"/>
      <w:divBdr>
        <w:top w:val="none" w:sz="0" w:space="0" w:color="auto"/>
        <w:left w:val="none" w:sz="0" w:space="0" w:color="auto"/>
        <w:bottom w:val="none" w:sz="0" w:space="0" w:color="auto"/>
        <w:right w:val="none" w:sz="0" w:space="0" w:color="auto"/>
      </w:divBdr>
    </w:div>
    <w:div w:id="931625019">
      <w:bodyDiv w:val="1"/>
      <w:marLeft w:val="0"/>
      <w:marRight w:val="0"/>
      <w:marTop w:val="0"/>
      <w:marBottom w:val="0"/>
      <w:divBdr>
        <w:top w:val="none" w:sz="0" w:space="0" w:color="auto"/>
        <w:left w:val="none" w:sz="0" w:space="0" w:color="auto"/>
        <w:bottom w:val="none" w:sz="0" w:space="0" w:color="auto"/>
        <w:right w:val="none" w:sz="0" w:space="0" w:color="auto"/>
      </w:divBdr>
    </w:div>
    <w:div w:id="931817068">
      <w:bodyDiv w:val="1"/>
      <w:marLeft w:val="0"/>
      <w:marRight w:val="0"/>
      <w:marTop w:val="0"/>
      <w:marBottom w:val="0"/>
      <w:divBdr>
        <w:top w:val="none" w:sz="0" w:space="0" w:color="auto"/>
        <w:left w:val="none" w:sz="0" w:space="0" w:color="auto"/>
        <w:bottom w:val="none" w:sz="0" w:space="0" w:color="auto"/>
        <w:right w:val="none" w:sz="0" w:space="0" w:color="auto"/>
      </w:divBdr>
    </w:div>
    <w:div w:id="931857165">
      <w:bodyDiv w:val="1"/>
      <w:marLeft w:val="0"/>
      <w:marRight w:val="0"/>
      <w:marTop w:val="0"/>
      <w:marBottom w:val="0"/>
      <w:divBdr>
        <w:top w:val="none" w:sz="0" w:space="0" w:color="auto"/>
        <w:left w:val="none" w:sz="0" w:space="0" w:color="auto"/>
        <w:bottom w:val="none" w:sz="0" w:space="0" w:color="auto"/>
        <w:right w:val="none" w:sz="0" w:space="0" w:color="auto"/>
      </w:divBdr>
    </w:div>
    <w:div w:id="931936081">
      <w:bodyDiv w:val="1"/>
      <w:marLeft w:val="0"/>
      <w:marRight w:val="0"/>
      <w:marTop w:val="0"/>
      <w:marBottom w:val="0"/>
      <w:divBdr>
        <w:top w:val="none" w:sz="0" w:space="0" w:color="auto"/>
        <w:left w:val="none" w:sz="0" w:space="0" w:color="auto"/>
        <w:bottom w:val="none" w:sz="0" w:space="0" w:color="auto"/>
        <w:right w:val="none" w:sz="0" w:space="0" w:color="auto"/>
      </w:divBdr>
    </w:div>
    <w:div w:id="931939433">
      <w:bodyDiv w:val="1"/>
      <w:marLeft w:val="0"/>
      <w:marRight w:val="0"/>
      <w:marTop w:val="0"/>
      <w:marBottom w:val="0"/>
      <w:divBdr>
        <w:top w:val="none" w:sz="0" w:space="0" w:color="auto"/>
        <w:left w:val="none" w:sz="0" w:space="0" w:color="auto"/>
        <w:bottom w:val="none" w:sz="0" w:space="0" w:color="auto"/>
        <w:right w:val="none" w:sz="0" w:space="0" w:color="auto"/>
      </w:divBdr>
    </w:div>
    <w:div w:id="932012252">
      <w:bodyDiv w:val="1"/>
      <w:marLeft w:val="0"/>
      <w:marRight w:val="0"/>
      <w:marTop w:val="0"/>
      <w:marBottom w:val="0"/>
      <w:divBdr>
        <w:top w:val="none" w:sz="0" w:space="0" w:color="auto"/>
        <w:left w:val="none" w:sz="0" w:space="0" w:color="auto"/>
        <w:bottom w:val="none" w:sz="0" w:space="0" w:color="auto"/>
        <w:right w:val="none" w:sz="0" w:space="0" w:color="auto"/>
      </w:divBdr>
    </w:div>
    <w:div w:id="932014260">
      <w:bodyDiv w:val="1"/>
      <w:marLeft w:val="0"/>
      <w:marRight w:val="0"/>
      <w:marTop w:val="0"/>
      <w:marBottom w:val="0"/>
      <w:divBdr>
        <w:top w:val="none" w:sz="0" w:space="0" w:color="auto"/>
        <w:left w:val="none" w:sz="0" w:space="0" w:color="auto"/>
        <w:bottom w:val="none" w:sz="0" w:space="0" w:color="auto"/>
        <w:right w:val="none" w:sz="0" w:space="0" w:color="auto"/>
      </w:divBdr>
    </w:div>
    <w:div w:id="932591203">
      <w:bodyDiv w:val="1"/>
      <w:marLeft w:val="0"/>
      <w:marRight w:val="0"/>
      <w:marTop w:val="0"/>
      <w:marBottom w:val="0"/>
      <w:divBdr>
        <w:top w:val="none" w:sz="0" w:space="0" w:color="auto"/>
        <w:left w:val="none" w:sz="0" w:space="0" w:color="auto"/>
        <w:bottom w:val="none" w:sz="0" w:space="0" w:color="auto"/>
        <w:right w:val="none" w:sz="0" w:space="0" w:color="auto"/>
      </w:divBdr>
    </w:div>
    <w:div w:id="932594364">
      <w:bodyDiv w:val="1"/>
      <w:marLeft w:val="0"/>
      <w:marRight w:val="0"/>
      <w:marTop w:val="0"/>
      <w:marBottom w:val="0"/>
      <w:divBdr>
        <w:top w:val="none" w:sz="0" w:space="0" w:color="auto"/>
        <w:left w:val="none" w:sz="0" w:space="0" w:color="auto"/>
        <w:bottom w:val="none" w:sz="0" w:space="0" w:color="auto"/>
        <w:right w:val="none" w:sz="0" w:space="0" w:color="auto"/>
      </w:divBdr>
    </w:div>
    <w:div w:id="932595478">
      <w:bodyDiv w:val="1"/>
      <w:marLeft w:val="0"/>
      <w:marRight w:val="0"/>
      <w:marTop w:val="0"/>
      <w:marBottom w:val="0"/>
      <w:divBdr>
        <w:top w:val="none" w:sz="0" w:space="0" w:color="auto"/>
        <w:left w:val="none" w:sz="0" w:space="0" w:color="auto"/>
        <w:bottom w:val="none" w:sz="0" w:space="0" w:color="auto"/>
        <w:right w:val="none" w:sz="0" w:space="0" w:color="auto"/>
      </w:divBdr>
    </w:div>
    <w:div w:id="932665639">
      <w:bodyDiv w:val="1"/>
      <w:marLeft w:val="0"/>
      <w:marRight w:val="0"/>
      <w:marTop w:val="0"/>
      <w:marBottom w:val="0"/>
      <w:divBdr>
        <w:top w:val="none" w:sz="0" w:space="0" w:color="auto"/>
        <w:left w:val="none" w:sz="0" w:space="0" w:color="auto"/>
        <w:bottom w:val="none" w:sz="0" w:space="0" w:color="auto"/>
        <w:right w:val="none" w:sz="0" w:space="0" w:color="auto"/>
      </w:divBdr>
    </w:div>
    <w:div w:id="932710741">
      <w:bodyDiv w:val="1"/>
      <w:marLeft w:val="0"/>
      <w:marRight w:val="0"/>
      <w:marTop w:val="0"/>
      <w:marBottom w:val="0"/>
      <w:divBdr>
        <w:top w:val="none" w:sz="0" w:space="0" w:color="auto"/>
        <w:left w:val="none" w:sz="0" w:space="0" w:color="auto"/>
        <w:bottom w:val="none" w:sz="0" w:space="0" w:color="auto"/>
        <w:right w:val="none" w:sz="0" w:space="0" w:color="auto"/>
      </w:divBdr>
    </w:div>
    <w:div w:id="932980268">
      <w:bodyDiv w:val="1"/>
      <w:marLeft w:val="0"/>
      <w:marRight w:val="0"/>
      <w:marTop w:val="0"/>
      <w:marBottom w:val="0"/>
      <w:divBdr>
        <w:top w:val="none" w:sz="0" w:space="0" w:color="auto"/>
        <w:left w:val="none" w:sz="0" w:space="0" w:color="auto"/>
        <w:bottom w:val="none" w:sz="0" w:space="0" w:color="auto"/>
        <w:right w:val="none" w:sz="0" w:space="0" w:color="auto"/>
      </w:divBdr>
    </w:div>
    <w:div w:id="933054977">
      <w:bodyDiv w:val="1"/>
      <w:marLeft w:val="0"/>
      <w:marRight w:val="0"/>
      <w:marTop w:val="0"/>
      <w:marBottom w:val="0"/>
      <w:divBdr>
        <w:top w:val="none" w:sz="0" w:space="0" w:color="auto"/>
        <w:left w:val="none" w:sz="0" w:space="0" w:color="auto"/>
        <w:bottom w:val="none" w:sz="0" w:space="0" w:color="auto"/>
        <w:right w:val="none" w:sz="0" w:space="0" w:color="auto"/>
      </w:divBdr>
    </w:div>
    <w:div w:id="933366649">
      <w:bodyDiv w:val="1"/>
      <w:marLeft w:val="0"/>
      <w:marRight w:val="0"/>
      <w:marTop w:val="0"/>
      <w:marBottom w:val="0"/>
      <w:divBdr>
        <w:top w:val="none" w:sz="0" w:space="0" w:color="auto"/>
        <w:left w:val="none" w:sz="0" w:space="0" w:color="auto"/>
        <w:bottom w:val="none" w:sz="0" w:space="0" w:color="auto"/>
        <w:right w:val="none" w:sz="0" w:space="0" w:color="auto"/>
      </w:divBdr>
    </w:div>
    <w:div w:id="933391894">
      <w:bodyDiv w:val="1"/>
      <w:marLeft w:val="0"/>
      <w:marRight w:val="0"/>
      <w:marTop w:val="0"/>
      <w:marBottom w:val="0"/>
      <w:divBdr>
        <w:top w:val="none" w:sz="0" w:space="0" w:color="auto"/>
        <w:left w:val="none" w:sz="0" w:space="0" w:color="auto"/>
        <w:bottom w:val="none" w:sz="0" w:space="0" w:color="auto"/>
        <w:right w:val="none" w:sz="0" w:space="0" w:color="auto"/>
      </w:divBdr>
    </w:div>
    <w:div w:id="933514111">
      <w:bodyDiv w:val="1"/>
      <w:marLeft w:val="0"/>
      <w:marRight w:val="0"/>
      <w:marTop w:val="0"/>
      <w:marBottom w:val="0"/>
      <w:divBdr>
        <w:top w:val="none" w:sz="0" w:space="0" w:color="auto"/>
        <w:left w:val="none" w:sz="0" w:space="0" w:color="auto"/>
        <w:bottom w:val="none" w:sz="0" w:space="0" w:color="auto"/>
        <w:right w:val="none" w:sz="0" w:space="0" w:color="auto"/>
      </w:divBdr>
    </w:div>
    <w:div w:id="933587982">
      <w:bodyDiv w:val="1"/>
      <w:marLeft w:val="0"/>
      <w:marRight w:val="0"/>
      <w:marTop w:val="0"/>
      <w:marBottom w:val="0"/>
      <w:divBdr>
        <w:top w:val="none" w:sz="0" w:space="0" w:color="auto"/>
        <w:left w:val="none" w:sz="0" w:space="0" w:color="auto"/>
        <w:bottom w:val="none" w:sz="0" w:space="0" w:color="auto"/>
        <w:right w:val="none" w:sz="0" w:space="0" w:color="auto"/>
      </w:divBdr>
    </w:div>
    <w:div w:id="933590823">
      <w:bodyDiv w:val="1"/>
      <w:marLeft w:val="0"/>
      <w:marRight w:val="0"/>
      <w:marTop w:val="0"/>
      <w:marBottom w:val="0"/>
      <w:divBdr>
        <w:top w:val="none" w:sz="0" w:space="0" w:color="auto"/>
        <w:left w:val="none" w:sz="0" w:space="0" w:color="auto"/>
        <w:bottom w:val="none" w:sz="0" w:space="0" w:color="auto"/>
        <w:right w:val="none" w:sz="0" w:space="0" w:color="auto"/>
      </w:divBdr>
    </w:div>
    <w:div w:id="933704668">
      <w:bodyDiv w:val="1"/>
      <w:marLeft w:val="0"/>
      <w:marRight w:val="0"/>
      <w:marTop w:val="0"/>
      <w:marBottom w:val="0"/>
      <w:divBdr>
        <w:top w:val="none" w:sz="0" w:space="0" w:color="auto"/>
        <w:left w:val="none" w:sz="0" w:space="0" w:color="auto"/>
        <w:bottom w:val="none" w:sz="0" w:space="0" w:color="auto"/>
        <w:right w:val="none" w:sz="0" w:space="0" w:color="auto"/>
      </w:divBdr>
    </w:div>
    <w:div w:id="933785506">
      <w:bodyDiv w:val="1"/>
      <w:marLeft w:val="0"/>
      <w:marRight w:val="0"/>
      <w:marTop w:val="0"/>
      <w:marBottom w:val="0"/>
      <w:divBdr>
        <w:top w:val="none" w:sz="0" w:space="0" w:color="auto"/>
        <w:left w:val="none" w:sz="0" w:space="0" w:color="auto"/>
        <w:bottom w:val="none" w:sz="0" w:space="0" w:color="auto"/>
        <w:right w:val="none" w:sz="0" w:space="0" w:color="auto"/>
      </w:divBdr>
    </w:div>
    <w:div w:id="933830355">
      <w:bodyDiv w:val="1"/>
      <w:marLeft w:val="0"/>
      <w:marRight w:val="0"/>
      <w:marTop w:val="0"/>
      <w:marBottom w:val="0"/>
      <w:divBdr>
        <w:top w:val="none" w:sz="0" w:space="0" w:color="auto"/>
        <w:left w:val="none" w:sz="0" w:space="0" w:color="auto"/>
        <w:bottom w:val="none" w:sz="0" w:space="0" w:color="auto"/>
        <w:right w:val="none" w:sz="0" w:space="0" w:color="auto"/>
      </w:divBdr>
    </w:div>
    <w:div w:id="933896610">
      <w:bodyDiv w:val="1"/>
      <w:marLeft w:val="0"/>
      <w:marRight w:val="0"/>
      <w:marTop w:val="0"/>
      <w:marBottom w:val="0"/>
      <w:divBdr>
        <w:top w:val="none" w:sz="0" w:space="0" w:color="auto"/>
        <w:left w:val="none" w:sz="0" w:space="0" w:color="auto"/>
        <w:bottom w:val="none" w:sz="0" w:space="0" w:color="auto"/>
        <w:right w:val="none" w:sz="0" w:space="0" w:color="auto"/>
      </w:divBdr>
    </w:div>
    <w:div w:id="933900865">
      <w:bodyDiv w:val="1"/>
      <w:marLeft w:val="0"/>
      <w:marRight w:val="0"/>
      <w:marTop w:val="0"/>
      <w:marBottom w:val="0"/>
      <w:divBdr>
        <w:top w:val="none" w:sz="0" w:space="0" w:color="auto"/>
        <w:left w:val="none" w:sz="0" w:space="0" w:color="auto"/>
        <w:bottom w:val="none" w:sz="0" w:space="0" w:color="auto"/>
        <w:right w:val="none" w:sz="0" w:space="0" w:color="auto"/>
      </w:divBdr>
    </w:div>
    <w:div w:id="934019633">
      <w:bodyDiv w:val="1"/>
      <w:marLeft w:val="0"/>
      <w:marRight w:val="0"/>
      <w:marTop w:val="0"/>
      <w:marBottom w:val="0"/>
      <w:divBdr>
        <w:top w:val="none" w:sz="0" w:space="0" w:color="auto"/>
        <w:left w:val="none" w:sz="0" w:space="0" w:color="auto"/>
        <w:bottom w:val="none" w:sz="0" w:space="0" w:color="auto"/>
        <w:right w:val="none" w:sz="0" w:space="0" w:color="auto"/>
      </w:divBdr>
    </w:div>
    <w:div w:id="934048305">
      <w:bodyDiv w:val="1"/>
      <w:marLeft w:val="0"/>
      <w:marRight w:val="0"/>
      <w:marTop w:val="0"/>
      <w:marBottom w:val="0"/>
      <w:divBdr>
        <w:top w:val="none" w:sz="0" w:space="0" w:color="auto"/>
        <w:left w:val="none" w:sz="0" w:space="0" w:color="auto"/>
        <w:bottom w:val="none" w:sz="0" w:space="0" w:color="auto"/>
        <w:right w:val="none" w:sz="0" w:space="0" w:color="auto"/>
      </w:divBdr>
    </w:div>
    <w:div w:id="934051332">
      <w:bodyDiv w:val="1"/>
      <w:marLeft w:val="0"/>
      <w:marRight w:val="0"/>
      <w:marTop w:val="0"/>
      <w:marBottom w:val="0"/>
      <w:divBdr>
        <w:top w:val="none" w:sz="0" w:space="0" w:color="auto"/>
        <w:left w:val="none" w:sz="0" w:space="0" w:color="auto"/>
        <w:bottom w:val="none" w:sz="0" w:space="0" w:color="auto"/>
        <w:right w:val="none" w:sz="0" w:space="0" w:color="auto"/>
      </w:divBdr>
    </w:div>
    <w:div w:id="934169057">
      <w:bodyDiv w:val="1"/>
      <w:marLeft w:val="0"/>
      <w:marRight w:val="0"/>
      <w:marTop w:val="0"/>
      <w:marBottom w:val="0"/>
      <w:divBdr>
        <w:top w:val="none" w:sz="0" w:space="0" w:color="auto"/>
        <w:left w:val="none" w:sz="0" w:space="0" w:color="auto"/>
        <w:bottom w:val="none" w:sz="0" w:space="0" w:color="auto"/>
        <w:right w:val="none" w:sz="0" w:space="0" w:color="auto"/>
      </w:divBdr>
    </w:div>
    <w:div w:id="934290714">
      <w:bodyDiv w:val="1"/>
      <w:marLeft w:val="0"/>
      <w:marRight w:val="0"/>
      <w:marTop w:val="0"/>
      <w:marBottom w:val="0"/>
      <w:divBdr>
        <w:top w:val="none" w:sz="0" w:space="0" w:color="auto"/>
        <w:left w:val="none" w:sz="0" w:space="0" w:color="auto"/>
        <w:bottom w:val="none" w:sz="0" w:space="0" w:color="auto"/>
        <w:right w:val="none" w:sz="0" w:space="0" w:color="auto"/>
      </w:divBdr>
    </w:div>
    <w:div w:id="934359592">
      <w:bodyDiv w:val="1"/>
      <w:marLeft w:val="0"/>
      <w:marRight w:val="0"/>
      <w:marTop w:val="0"/>
      <w:marBottom w:val="0"/>
      <w:divBdr>
        <w:top w:val="none" w:sz="0" w:space="0" w:color="auto"/>
        <w:left w:val="none" w:sz="0" w:space="0" w:color="auto"/>
        <w:bottom w:val="none" w:sz="0" w:space="0" w:color="auto"/>
        <w:right w:val="none" w:sz="0" w:space="0" w:color="auto"/>
      </w:divBdr>
    </w:div>
    <w:div w:id="934361664">
      <w:bodyDiv w:val="1"/>
      <w:marLeft w:val="0"/>
      <w:marRight w:val="0"/>
      <w:marTop w:val="0"/>
      <w:marBottom w:val="0"/>
      <w:divBdr>
        <w:top w:val="none" w:sz="0" w:space="0" w:color="auto"/>
        <w:left w:val="none" w:sz="0" w:space="0" w:color="auto"/>
        <w:bottom w:val="none" w:sz="0" w:space="0" w:color="auto"/>
        <w:right w:val="none" w:sz="0" w:space="0" w:color="auto"/>
      </w:divBdr>
    </w:div>
    <w:div w:id="934364806">
      <w:bodyDiv w:val="1"/>
      <w:marLeft w:val="0"/>
      <w:marRight w:val="0"/>
      <w:marTop w:val="0"/>
      <w:marBottom w:val="0"/>
      <w:divBdr>
        <w:top w:val="none" w:sz="0" w:space="0" w:color="auto"/>
        <w:left w:val="none" w:sz="0" w:space="0" w:color="auto"/>
        <w:bottom w:val="none" w:sz="0" w:space="0" w:color="auto"/>
        <w:right w:val="none" w:sz="0" w:space="0" w:color="auto"/>
      </w:divBdr>
    </w:div>
    <w:div w:id="934440221">
      <w:bodyDiv w:val="1"/>
      <w:marLeft w:val="0"/>
      <w:marRight w:val="0"/>
      <w:marTop w:val="0"/>
      <w:marBottom w:val="0"/>
      <w:divBdr>
        <w:top w:val="none" w:sz="0" w:space="0" w:color="auto"/>
        <w:left w:val="none" w:sz="0" w:space="0" w:color="auto"/>
        <w:bottom w:val="none" w:sz="0" w:space="0" w:color="auto"/>
        <w:right w:val="none" w:sz="0" w:space="0" w:color="auto"/>
      </w:divBdr>
    </w:div>
    <w:div w:id="934479082">
      <w:bodyDiv w:val="1"/>
      <w:marLeft w:val="0"/>
      <w:marRight w:val="0"/>
      <w:marTop w:val="0"/>
      <w:marBottom w:val="0"/>
      <w:divBdr>
        <w:top w:val="none" w:sz="0" w:space="0" w:color="auto"/>
        <w:left w:val="none" w:sz="0" w:space="0" w:color="auto"/>
        <w:bottom w:val="none" w:sz="0" w:space="0" w:color="auto"/>
        <w:right w:val="none" w:sz="0" w:space="0" w:color="auto"/>
      </w:divBdr>
    </w:div>
    <w:div w:id="934509557">
      <w:bodyDiv w:val="1"/>
      <w:marLeft w:val="0"/>
      <w:marRight w:val="0"/>
      <w:marTop w:val="0"/>
      <w:marBottom w:val="0"/>
      <w:divBdr>
        <w:top w:val="none" w:sz="0" w:space="0" w:color="auto"/>
        <w:left w:val="none" w:sz="0" w:space="0" w:color="auto"/>
        <w:bottom w:val="none" w:sz="0" w:space="0" w:color="auto"/>
        <w:right w:val="none" w:sz="0" w:space="0" w:color="auto"/>
      </w:divBdr>
    </w:div>
    <w:div w:id="934557287">
      <w:bodyDiv w:val="1"/>
      <w:marLeft w:val="0"/>
      <w:marRight w:val="0"/>
      <w:marTop w:val="0"/>
      <w:marBottom w:val="0"/>
      <w:divBdr>
        <w:top w:val="none" w:sz="0" w:space="0" w:color="auto"/>
        <w:left w:val="none" w:sz="0" w:space="0" w:color="auto"/>
        <w:bottom w:val="none" w:sz="0" w:space="0" w:color="auto"/>
        <w:right w:val="none" w:sz="0" w:space="0" w:color="auto"/>
      </w:divBdr>
    </w:div>
    <w:div w:id="934630900">
      <w:bodyDiv w:val="1"/>
      <w:marLeft w:val="0"/>
      <w:marRight w:val="0"/>
      <w:marTop w:val="0"/>
      <w:marBottom w:val="0"/>
      <w:divBdr>
        <w:top w:val="none" w:sz="0" w:space="0" w:color="auto"/>
        <w:left w:val="none" w:sz="0" w:space="0" w:color="auto"/>
        <w:bottom w:val="none" w:sz="0" w:space="0" w:color="auto"/>
        <w:right w:val="none" w:sz="0" w:space="0" w:color="auto"/>
      </w:divBdr>
    </w:div>
    <w:div w:id="934632932">
      <w:bodyDiv w:val="1"/>
      <w:marLeft w:val="0"/>
      <w:marRight w:val="0"/>
      <w:marTop w:val="0"/>
      <w:marBottom w:val="0"/>
      <w:divBdr>
        <w:top w:val="none" w:sz="0" w:space="0" w:color="auto"/>
        <w:left w:val="none" w:sz="0" w:space="0" w:color="auto"/>
        <w:bottom w:val="none" w:sz="0" w:space="0" w:color="auto"/>
        <w:right w:val="none" w:sz="0" w:space="0" w:color="auto"/>
      </w:divBdr>
    </w:div>
    <w:div w:id="934702995">
      <w:bodyDiv w:val="1"/>
      <w:marLeft w:val="0"/>
      <w:marRight w:val="0"/>
      <w:marTop w:val="0"/>
      <w:marBottom w:val="0"/>
      <w:divBdr>
        <w:top w:val="none" w:sz="0" w:space="0" w:color="auto"/>
        <w:left w:val="none" w:sz="0" w:space="0" w:color="auto"/>
        <w:bottom w:val="none" w:sz="0" w:space="0" w:color="auto"/>
        <w:right w:val="none" w:sz="0" w:space="0" w:color="auto"/>
      </w:divBdr>
    </w:div>
    <w:div w:id="934703808">
      <w:bodyDiv w:val="1"/>
      <w:marLeft w:val="0"/>
      <w:marRight w:val="0"/>
      <w:marTop w:val="0"/>
      <w:marBottom w:val="0"/>
      <w:divBdr>
        <w:top w:val="none" w:sz="0" w:space="0" w:color="auto"/>
        <w:left w:val="none" w:sz="0" w:space="0" w:color="auto"/>
        <w:bottom w:val="none" w:sz="0" w:space="0" w:color="auto"/>
        <w:right w:val="none" w:sz="0" w:space="0" w:color="auto"/>
      </w:divBdr>
    </w:div>
    <w:div w:id="934747096">
      <w:bodyDiv w:val="1"/>
      <w:marLeft w:val="0"/>
      <w:marRight w:val="0"/>
      <w:marTop w:val="0"/>
      <w:marBottom w:val="0"/>
      <w:divBdr>
        <w:top w:val="none" w:sz="0" w:space="0" w:color="auto"/>
        <w:left w:val="none" w:sz="0" w:space="0" w:color="auto"/>
        <w:bottom w:val="none" w:sz="0" w:space="0" w:color="auto"/>
        <w:right w:val="none" w:sz="0" w:space="0" w:color="auto"/>
      </w:divBdr>
    </w:div>
    <w:div w:id="934821789">
      <w:bodyDiv w:val="1"/>
      <w:marLeft w:val="0"/>
      <w:marRight w:val="0"/>
      <w:marTop w:val="0"/>
      <w:marBottom w:val="0"/>
      <w:divBdr>
        <w:top w:val="none" w:sz="0" w:space="0" w:color="auto"/>
        <w:left w:val="none" w:sz="0" w:space="0" w:color="auto"/>
        <w:bottom w:val="none" w:sz="0" w:space="0" w:color="auto"/>
        <w:right w:val="none" w:sz="0" w:space="0" w:color="auto"/>
      </w:divBdr>
    </w:div>
    <w:div w:id="934871852">
      <w:bodyDiv w:val="1"/>
      <w:marLeft w:val="0"/>
      <w:marRight w:val="0"/>
      <w:marTop w:val="0"/>
      <w:marBottom w:val="0"/>
      <w:divBdr>
        <w:top w:val="none" w:sz="0" w:space="0" w:color="auto"/>
        <w:left w:val="none" w:sz="0" w:space="0" w:color="auto"/>
        <w:bottom w:val="none" w:sz="0" w:space="0" w:color="auto"/>
        <w:right w:val="none" w:sz="0" w:space="0" w:color="auto"/>
      </w:divBdr>
    </w:div>
    <w:div w:id="934941423">
      <w:bodyDiv w:val="1"/>
      <w:marLeft w:val="0"/>
      <w:marRight w:val="0"/>
      <w:marTop w:val="0"/>
      <w:marBottom w:val="0"/>
      <w:divBdr>
        <w:top w:val="none" w:sz="0" w:space="0" w:color="auto"/>
        <w:left w:val="none" w:sz="0" w:space="0" w:color="auto"/>
        <w:bottom w:val="none" w:sz="0" w:space="0" w:color="auto"/>
        <w:right w:val="none" w:sz="0" w:space="0" w:color="auto"/>
      </w:divBdr>
    </w:div>
    <w:div w:id="934943394">
      <w:bodyDiv w:val="1"/>
      <w:marLeft w:val="0"/>
      <w:marRight w:val="0"/>
      <w:marTop w:val="0"/>
      <w:marBottom w:val="0"/>
      <w:divBdr>
        <w:top w:val="none" w:sz="0" w:space="0" w:color="auto"/>
        <w:left w:val="none" w:sz="0" w:space="0" w:color="auto"/>
        <w:bottom w:val="none" w:sz="0" w:space="0" w:color="auto"/>
        <w:right w:val="none" w:sz="0" w:space="0" w:color="auto"/>
      </w:divBdr>
    </w:div>
    <w:div w:id="934946952">
      <w:bodyDiv w:val="1"/>
      <w:marLeft w:val="0"/>
      <w:marRight w:val="0"/>
      <w:marTop w:val="0"/>
      <w:marBottom w:val="0"/>
      <w:divBdr>
        <w:top w:val="none" w:sz="0" w:space="0" w:color="auto"/>
        <w:left w:val="none" w:sz="0" w:space="0" w:color="auto"/>
        <w:bottom w:val="none" w:sz="0" w:space="0" w:color="auto"/>
        <w:right w:val="none" w:sz="0" w:space="0" w:color="auto"/>
      </w:divBdr>
    </w:div>
    <w:div w:id="935017889">
      <w:bodyDiv w:val="1"/>
      <w:marLeft w:val="0"/>
      <w:marRight w:val="0"/>
      <w:marTop w:val="0"/>
      <w:marBottom w:val="0"/>
      <w:divBdr>
        <w:top w:val="none" w:sz="0" w:space="0" w:color="auto"/>
        <w:left w:val="none" w:sz="0" w:space="0" w:color="auto"/>
        <w:bottom w:val="none" w:sz="0" w:space="0" w:color="auto"/>
        <w:right w:val="none" w:sz="0" w:space="0" w:color="auto"/>
      </w:divBdr>
    </w:div>
    <w:div w:id="935093864">
      <w:bodyDiv w:val="1"/>
      <w:marLeft w:val="0"/>
      <w:marRight w:val="0"/>
      <w:marTop w:val="0"/>
      <w:marBottom w:val="0"/>
      <w:divBdr>
        <w:top w:val="none" w:sz="0" w:space="0" w:color="auto"/>
        <w:left w:val="none" w:sz="0" w:space="0" w:color="auto"/>
        <w:bottom w:val="none" w:sz="0" w:space="0" w:color="auto"/>
        <w:right w:val="none" w:sz="0" w:space="0" w:color="auto"/>
      </w:divBdr>
    </w:div>
    <w:div w:id="935139061">
      <w:bodyDiv w:val="1"/>
      <w:marLeft w:val="0"/>
      <w:marRight w:val="0"/>
      <w:marTop w:val="0"/>
      <w:marBottom w:val="0"/>
      <w:divBdr>
        <w:top w:val="none" w:sz="0" w:space="0" w:color="auto"/>
        <w:left w:val="none" w:sz="0" w:space="0" w:color="auto"/>
        <w:bottom w:val="none" w:sz="0" w:space="0" w:color="auto"/>
        <w:right w:val="none" w:sz="0" w:space="0" w:color="auto"/>
      </w:divBdr>
    </w:div>
    <w:div w:id="935288913">
      <w:bodyDiv w:val="1"/>
      <w:marLeft w:val="0"/>
      <w:marRight w:val="0"/>
      <w:marTop w:val="0"/>
      <w:marBottom w:val="0"/>
      <w:divBdr>
        <w:top w:val="none" w:sz="0" w:space="0" w:color="auto"/>
        <w:left w:val="none" w:sz="0" w:space="0" w:color="auto"/>
        <w:bottom w:val="none" w:sz="0" w:space="0" w:color="auto"/>
        <w:right w:val="none" w:sz="0" w:space="0" w:color="auto"/>
      </w:divBdr>
    </w:div>
    <w:div w:id="935289926">
      <w:bodyDiv w:val="1"/>
      <w:marLeft w:val="0"/>
      <w:marRight w:val="0"/>
      <w:marTop w:val="0"/>
      <w:marBottom w:val="0"/>
      <w:divBdr>
        <w:top w:val="none" w:sz="0" w:space="0" w:color="auto"/>
        <w:left w:val="none" w:sz="0" w:space="0" w:color="auto"/>
        <w:bottom w:val="none" w:sz="0" w:space="0" w:color="auto"/>
        <w:right w:val="none" w:sz="0" w:space="0" w:color="auto"/>
      </w:divBdr>
    </w:div>
    <w:div w:id="935291871">
      <w:bodyDiv w:val="1"/>
      <w:marLeft w:val="0"/>
      <w:marRight w:val="0"/>
      <w:marTop w:val="0"/>
      <w:marBottom w:val="0"/>
      <w:divBdr>
        <w:top w:val="none" w:sz="0" w:space="0" w:color="auto"/>
        <w:left w:val="none" w:sz="0" w:space="0" w:color="auto"/>
        <w:bottom w:val="none" w:sz="0" w:space="0" w:color="auto"/>
        <w:right w:val="none" w:sz="0" w:space="0" w:color="auto"/>
      </w:divBdr>
    </w:div>
    <w:div w:id="935527818">
      <w:bodyDiv w:val="1"/>
      <w:marLeft w:val="0"/>
      <w:marRight w:val="0"/>
      <w:marTop w:val="0"/>
      <w:marBottom w:val="0"/>
      <w:divBdr>
        <w:top w:val="none" w:sz="0" w:space="0" w:color="auto"/>
        <w:left w:val="none" w:sz="0" w:space="0" w:color="auto"/>
        <w:bottom w:val="none" w:sz="0" w:space="0" w:color="auto"/>
        <w:right w:val="none" w:sz="0" w:space="0" w:color="auto"/>
      </w:divBdr>
    </w:div>
    <w:div w:id="935555612">
      <w:bodyDiv w:val="1"/>
      <w:marLeft w:val="0"/>
      <w:marRight w:val="0"/>
      <w:marTop w:val="0"/>
      <w:marBottom w:val="0"/>
      <w:divBdr>
        <w:top w:val="none" w:sz="0" w:space="0" w:color="auto"/>
        <w:left w:val="none" w:sz="0" w:space="0" w:color="auto"/>
        <w:bottom w:val="none" w:sz="0" w:space="0" w:color="auto"/>
        <w:right w:val="none" w:sz="0" w:space="0" w:color="auto"/>
      </w:divBdr>
    </w:div>
    <w:div w:id="935792224">
      <w:bodyDiv w:val="1"/>
      <w:marLeft w:val="0"/>
      <w:marRight w:val="0"/>
      <w:marTop w:val="0"/>
      <w:marBottom w:val="0"/>
      <w:divBdr>
        <w:top w:val="none" w:sz="0" w:space="0" w:color="auto"/>
        <w:left w:val="none" w:sz="0" w:space="0" w:color="auto"/>
        <w:bottom w:val="none" w:sz="0" w:space="0" w:color="auto"/>
        <w:right w:val="none" w:sz="0" w:space="0" w:color="auto"/>
      </w:divBdr>
    </w:div>
    <w:div w:id="935794929">
      <w:bodyDiv w:val="1"/>
      <w:marLeft w:val="0"/>
      <w:marRight w:val="0"/>
      <w:marTop w:val="0"/>
      <w:marBottom w:val="0"/>
      <w:divBdr>
        <w:top w:val="none" w:sz="0" w:space="0" w:color="auto"/>
        <w:left w:val="none" w:sz="0" w:space="0" w:color="auto"/>
        <w:bottom w:val="none" w:sz="0" w:space="0" w:color="auto"/>
        <w:right w:val="none" w:sz="0" w:space="0" w:color="auto"/>
      </w:divBdr>
    </w:div>
    <w:div w:id="935937643">
      <w:bodyDiv w:val="1"/>
      <w:marLeft w:val="0"/>
      <w:marRight w:val="0"/>
      <w:marTop w:val="0"/>
      <w:marBottom w:val="0"/>
      <w:divBdr>
        <w:top w:val="none" w:sz="0" w:space="0" w:color="auto"/>
        <w:left w:val="none" w:sz="0" w:space="0" w:color="auto"/>
        <w:bottom w:val="none" w:sz="0" w:space="0" w:color="auto"/>
        <w:right w:val="none" w:sz="0" w:space="0" w:color="auto"/>
      </w:divBdr>
    </w:div>
    <w:div w:id="935938643">
      <w:bodyDiv w:val="1"/>
      <w:marLeft w:val="0"/>
      <w:marRight w:val="0"/>
      <w:marTop w:val="0"/>
      <w:marBottom w:val="0"/>
      <w:divBdr>
        <w:top w:val="none" w:sz="0" w:space="0" w:color="auto"/>
        <w:left w:val="none" w:sz="0" w:space="0" w:color="auto"/>
        <w:bottom w:val="none" w:sz="0" w:space="0" w:color="auto"/>
        <w:right w:val="none" w:sz="0" w:space="0" w:color="auto"/>
      </w:divBdr>
    </w:div>
    <w:div w:id="935987487">
      <w:bodyDiv w:val="1"/>
      <w:marLeft w:val="0"/>
      <w:marRight w:val="0"/>
      <w:marTop w:val="0"/>
      <w:marBottom w:val="0"/>
      <w:divBdr>
        <w:top w:val="none" w:sz="0" w:space="0" w:color="auto"/>
        <w:left w:val="none" w:sz="0" w:space="0" w:color="auto"/>
        <w:bottom w:val="none" w:sz="0" w:space="0" w:color="auto"/>
        <w:right w:val="none" w:sz="0" w:space="0" w:color="auto"/>
      </w:divBdr>
    </w:div>
    <w:div w:id="936063318">
      <w:bodyDiv w:val="1"/>
      <w:marLeft w:val="0"/>
      <w:marRight w:val="0"/>
      <w:marTop w:val="0"/>
      <w:marBottom w:val="0"/>
      <w:divBdr>
        <w:top w:val="none" w:sz="0" w:space="0" w:color="auto"/>
        <w:left w:val="none" w:sz="0" w:space="0" w:color="auto"/>
        <w:bottom w:val="none" w:sz="0" w:space="0" w:color="auto"/>
        <w:right w:val="none" w:sz="0" w:space="0" w:color="auto"/>
      </w:divBdr>
    </w:div>
    <w:div w:id="936249794">
      <w:bodyDiv w:val="1"/>
      <w:marLeft w:val="0"/>
      <w:marRight w:val="0"/>
      <w:marTop w:val="0"/>
      <w:marBottom w:val="0"/>
      <w:divBdr>
        <w:top w:val="none" w:sz="0" w:space="0" w:color="auto"/>
        <w:left w:val="none" w:sz="0" w:space="0" w:color="auto"/>
        <w:bottom w:val="none" w:sz="0" w:space="0" w:color="auto"/>
        <w:right w:val="none" w:sz="0" w:space="0" w:color="auto"/>
      </w:divBdr>
    </w:div>
    <w:div w:id="936251119">
      <w:bodyDiv w:val="1"/>
      <w:marLeft w:val="0"/>
      <w:marRight w:val="0"/>
      <w:marTop w:val="0"/>
      <w:marBottom w:val="0"/>
      <w:divBdr>
        <w:top w:val="none" w:sz="0" w:space="0" w:color="auto"/>
        <w:left w:val="none" w:sz="0" w:space="0" w:color="auto"/>
        <w:bottom w:val="none" w:sz="0" w:space="0" w:color="auto"/>
        <w:right w:val="none" w:sz="0" w:space="0" w:color="auto"/>
      </w:divBdr>
    </w:div>
    <w:div w:id="936324900">
      <w:bodyDiv w:val="1"/>
      <w:marLeft w:val="0"/>
      <w:marRight w:val="0"/>
      <w:marTop w:val="0"/>
      <w:marBottom w:val="0"/>
      <w:divBdr>
        <w:top w:val="none" w:sz="0" w:space="0" w:color="auto"/>
        <w:left w:val="none" w:sz="0" w:space="0" w:color="auto"/>
        <w:bottom w:val="none" w:sz="0" w:space="0" w:color="auto"/>
        <w:right w:val="none" w:sz="0" w:space="0" w:color="auto"/>
      </w:divBdr>
    </w:div>
    <w:div w:id="936449050">
      <w:bodyDiv w:val="1"/>
      <w:marLeft w:val="0"/>
      <w:marRight w:val="0"/>
      <w:marTop w:val="0"/>
      <w:marBottom w:val="0"/>
      <w:divBdr>
        <w:top w:val="none" w:sz="0" w:space="0" w:color="auto"/>
        <w:left w:val="none" w:sz="0" w:space="0" w:color="auto"/>
        <w:bottom w:val="none" w:sz="0" w:space="0" w:color="auto"/>
        <w:right w:val="none" w:sz="0" w:space="0" w:color="auto"/>
      </w:divBdr>
    </w:div>
    <w:div w:id="936450302">
      <w:bodyDiv w:val="1"/>
      <w:marLeft w:val="0"/>
      <w:marRight w:val="0"/>
      <w:marTop w:val="0"/>
      <w:marBottom w:val="0"/>
      <w:divBdr>
        <w:top w:val="none" w:sz="0" w:space="0" w:color="auto"/>
        <w:left w:val="none" w:sz="0" w:space="0" w:color="auto"/>
        <w:bottom w:val="none" w:sz="0" w:space="0" w:color="auto"/>
        <w:right w:val="none" w:sz="0" w:space="0" w:color="auto"/>
      </w:divBdr>
    </w:div>
    <w:div w:id="936517465">
      <w:bodyDiv w:val="1"/>
      <w:marLeft w:val="0"/>
      <w:marRight w:val="0"/>
      <w:marTop w:val="0"/>
      <w:marBottom w:val="0"/>
      <w:divBdr>
        <w:top w:val="none" w:sz="0" w:space="0" w:color="auto"/>
        <w:left w:val="none" w:sz="0" w:space="0" w:color="auto"/>
        <w:bottom w:val="none" w:sz="0" w:space="0" w:color="auto"/>
        <w:right w:val="none" w:sz="0" w:space="0" w:color="auto"/>
      </w:divBdr>
    </w:div>
    <w:div w:id="936519075">
      <w:bodyDiv w:val="1"/>
      <w:marLeft w:val="0"/>
      <w:marRight w:val="0"/>
      <w:marTop w:val="0"/>
      <w:marBottom w:val="0"/>
      <w:divBdr>
        <w:top w:val="none" w:sz="0" w:space="0" w:color="auto"/>
        <w:left w:val="none" w:sz="0" w:space="0" w:color="auto"/>
        <w:bottom w:val="none" w:sz="0" w:space="0" w:color="auto"/>
        <w:right w:val="none" w:sz="0" w:space="0" w:color="auto"/>
      </w:divBdr>
    </w:div>
    <w:div w:id="936668176">
      <w:bodyDiv w:val="1"/>
      <w:marLeft w:val="0"/>
      <w:marRight w:val="0"/>
      <w:marTop w:val="0"/>
      <w:marBottom w:val="0"/>
      <w:divBdr>
        <w:top w:val="none" w:sz="0" w:space="0" w:color="auto"/>
        <w:left w:val="none" w:sz="0" w:space="0" w:color="auto"/>
        <w:bottom w:val="none" w:sz="0" w:space="0" w:color="auto"/>
        <w:right w:val="none" w:sz="0" w:space="0" w:color="auto"/>
      </w:divBdr>
    </w:div>
    <w:div w:id="936713695">
      <w:bodyDiv w:val="1"/>
      <w:marLeft w:val="0"/>
      <w:marRight w:val="0"/>
      <w:marTop w:val="0"/>
      <w:marBottom w:val="0"/>
      <w:divBdr>
        <w:top w:val="none" w:sz="0" w:space="0" w:color="auto"/>
        <w:left w:val="none" w:sz="0" w:space="0" w:color="auto"/>
        <w:bottom w:val="none" w:sz="0" w:space="0" w:color="auto"/>
        <w:right w:val="none" w:sz="0" w:space="0" w:color="auto"/>
      </w:divBdr>
    </w:div>
    <w:div w:id="936905103">
      <w:bodyDiv w:val="1"/>
      <w:marLeft w:val="0"/>
      <w:marRight w:val="0"/>
      <w:marTop w:val="0"/>
      <w:marBottom w:val="0"/>
      <w:divBdr>
        <w:top w:val="none" w:sz="0" w:space="0" w:color="auto"/>
        <w:left w:val="none" w:sz="0" w:space="0" w:color="auto"/>
        <w:bottom w:val="none" w:sz="0" w:space="0" w:color="auto"/>
        <w:right w:val="none" w:sz="0" w:space="0" w:color="auto"/>
      </w:divBdr>
    </w:div>
    <w:div w:id="936910269">
      <w:bodyDiv w:val="1"/>
      <w:marLeft w:val="0"/>
      <w:marRight w:val="0"/>
      <w:marTop w:val="0"/>
      <w:marBottom w:val="0"/>
      <w:divBdr>
        <w:top w:val="none" w:sz="0" w:space="0" w:color="auto"/>
        <w:left w:val="none" w:sz="0" w:space="0" w:color="auto"/>
        <w:bottom w:val="none" w:sz="0" w:space="0" w:color="auto"/>
        <w:right w:val="none" w:sz="0" w:space="0" w:color="auto"/>
      </w:divBdr>
    </w:div>
    <w:div w:id="936912873">
      <w:bodyDiv w:val="1"/>
      <w:marLeft w:val="0"/>
      <w:marRight w:val="0"/>
      <w:marTop w:val="0"/>
      <w:marBottom w:val="0"/>
      <w:divBdr>
        <w:top w:val="none" w:sz="0" w:space="0" w:color="auto"/>
        <w:left w:val="none" w:sz="0" w:space="0" w:color="auto"/>
        <w:bottom w:val="none" w:sz="0" w:space="0" w:color="auto"/>
        <w:right w:val="none" w:sz="0" w:space="0" w:color="auto"/>
      </w:divBdr>
    </w:div>
    <w:div w:id="936912898">
      <w:bodyDiv w:val="1"/>
      <w:marLeft w:val="0"/>
      <w:marRight w:val="0"/>
      <w:marTop w:val="0"/>
      <w:marBottom w:val="0"/>
      <w:divBdr>
        <w:top w:val="none" w:sz="0" w:space="0" w:color="auto"/>
        <w:left w:val="none" w:sz="0" w:space="0" w:color="auto"/>
        <w:bottom w:val="none" w:sz="0" w:space="0" w:color="auto"/>
        <w:right w:val="none" w:sz="0" w:space="0" w:color="auto"/>
      </w:divBdr>
    </w:div>
    <w:div w:id="936982870">
      <w:bodyDiv w:val="1"/>
      <w:marLeft w:val="0"/>
      <w:marRight w:val="0"/>
      <w:marTop w:val="0"/>
      <w:marBottom w:val="0"/>
      <w:divBdr>
        <w:top w:val="none" w:sz="0" w:space="0" w:color="auto"/>
        <w:left w:val="none" w:sz="0" w:space="0" w:color="auto"/>
        <w:bottom w:val="none" w:sz="0" w:space="0" w:color="auto"/>
        <w:right w:val="none" w:sz="0" w:space="0" w:color="auto"/>
      </w:divBdr>
    </w:div>
    <w:div w:id="936984843">
      <w:bodyDiv w:val="1"/>
      <w:marLeft w:val="0"/>
      <w:marRight w:val="0"/>
      <w:marTop w:val="0"/>
      <w:marBottom w:val="0"/>
      <w:divBdr>
        <w:top w:val="none" w:sz="0" w:space="0" w:color="auto"/>
        <w:left w:val="none" w:sz="0" w:space="0" w:color="auto"/>
        <w:bottom w:val="none" w:sz="0" w:space="0" w:color="auto"/>
        <w:right w:val="none" w:sz="0" w:space="0" w:color="auto"/>
      </w:divBdr>
    </w:div>
    <w:div w:id="937061491">
      <w:bodyDiv w:val="1"/>
      <w:marLeft w:val="0"/>
      <w:marRight w:val="0"/>
      <w:marTop w:val="0"/>
      <w:marBottom w:val="0"/>
      <w:divBdr>
        <w:top w:val="none" w:sz="0" w:space="0" w:color="auto"/>
        <w:left w:val="none" w:sz="0" w:space="0" w:color="auto"/>
        <w:bottom w:val="none" w:sz="0" w:space="0" w:color="auto"/>
        <w:right w:val="none" w:sz="0" w:space="0" w:color="auto"/>
      </w:divBdr>
    </w:div>
    <w:div w:id="937063491">
      <w:bodyDiv w:val="1"/>
      <w:marLeft w:val="0"/>
      <w:marRight w:val="0"/>
      <w:marTop w:val="0"/>
      <w:marBottom w:val="0"/>
      <w:divBdr>
        <w:top w:val="none" w:sz="0" w:space="0" w:color="auto"/>
        <w:left w:val="none" w:sz="0" w:space="0" w:color="auto"/>
        <w:bottom w:val="none" w:sz="0" w:space="0" w:color="auto"/>
        <w:right w:val="none" w:sz="0" w:space="0" w:color="auto"/>
      </w:divBdr>
    </w:div>
    <w:div w:id="937099797">
      <w:bodyDiv w:val="1"/>
      <w:marLeft w:val="0"/>
      <w:marRight w:val="0"/>
      <w:marTop w:val="0"/>
      <w:marBottom w:val="0"/>
      <w:divBdr>
        <w:top w:val="none" w:sz="0" w:space="0" w:color="auto"/>
        <w:left w:val="none" w:sz="0" w:space="0" w:color="auto"/>
        <w:bottom w:val="none" w:sz="0" w:space="0" w:color="auto"/>
        <w:right w:val="none" w:sz="0" w:space="0" w:color="auto"/>
      </w:divBdr>
    </w:div>
    <w:div w:id="937102520">
      <w:bodyDiv w:val="1"/>
      <w:marLeft w:val="0"/>
      <w:marRight w:val="0"/>
      <w:marTop w:val="0"/>
      <w:marBottom w:val="0"/>
      <w:divBdr>
        <w:top w:val="none" w:sz="0" w:space="0" w:color="auto"/>
        <w:left w:val="none" w:sz="0" w:space="0" w:color="auto"/>
        <w:bottom w:val="none" w:sz="0" w:space="0" w:color="auto"/>
        <w:right w:val="none" w:sz="0" w:space="0" w:color="auto"/>
      </w:divBdr>
    </w:div>
    <w:div w:id="937175060">
      <w:bodyDiv w:val="1"/>
      <w:marLeft w:val="0"/>
      <w:marRight w:val="0"/>
      <w:marTop w:val="0"/>
      <w:marBottom w:val="0"/>
      <w:divBdr>
        <w:top w:val="none" w:sz="0" w:space="0" w:color="auto"/>
        <w:left w:val="none" w:sz="0" w:space="0" w:color="auto"/>
        <w:bottom w:val="none" w:sz="0" w:space="0" w:color="auto"/>
        <w:right w:val="none" w:sz="0" w:space="0" w:color="auto"/>
      </w:divBdr>
    </w:div>
    <w:div w:id="937251043">
      <w:bodyDiv w:val="1"/>
      <w:marLeft w:val="0"/>
      <w:marRight w:val="0"/>
      <w:marTop w:val="0"/>
      <w:marBottom w:val="0"/>
      <w:divBdr>
        <w:top w:val="none" w:sz="0" w:space="0" w:color="auto"/>
        <w:left w:val="none" w:sz="0" w:space="0" w:color="auto"/>
        <w:bottom w:val="none" w:sz="0" w:space="0" w:color="auto"/>
        <w:right w:val="none" w:sz="0" w:space="0" w:color="auto"/>
      </w:divBdr>
    </w:div>
    <w:div w:id="937370756">
      <w:bodyDiv w:val="1"/>
      <w:marLeft w:val="0"/>
      <w:marRight w:val="0"/>
      <w:marTop w:val="0"/>
      <w:marBottom w:val="0"/>
      <w:divBdr>
        <w:top w:val="none" w:sz="0" w:space="0" w:color="auto"/>
        <w:left w:val="none" w:sz="0" w:space="0" w:color="auto"/>
        <w:bottom w:val="none" w:sz="0" w:space="0" w:color="auto"/>
        <w:right w:val="none" w:sz="0" w:space="0" w:color="auto"/>
      </w:divBdr>
    </w:div>
    <w:div w:id="937443514">
      <w:bodyDiv w:val="1"/>
      <w:marLeft w:val="0"/>
      <w:marRight w:val="0"/>
      <w:marTop w:val="0"/>
      <w:marBottom w:val="0"/>
      <w:divBdr>
        <w:top w:val="none" w:sz="0" w:space="0" w:color="auto"/>
        <w:left w:val="none" w:sz="0" w:space="0" w:color="auto"/>
        <w:bottom w:val="none" w:sz="0" w:space="0" w:color="auto"/>
        <w:right w:val="none" w:sz="0" w:space="0" w:color="auto"/>
      </w:divBdr>
    </w:div>
    <w:div w:id="937449243">
      <w:bodyDiv w:val="1"/>
      <w:marLeft w:val="0"/>
      <w:marRight w:val="0"/>
      <w:marTop w:val="0"/>
      <w:marBottom w:val="0"/>
      <w:divBdr>
        <w:top w:val="none" w:sz="0" w:space="0" w:color="auto"/>
        <w:left w:val="none" w:sz="0" w:space="0" w:color="auto"/>
        <w:bottom w:val="none" w:sz="0" w:space="0" w:color="auto"/>
        <w:right w:val="none" w:sz="0" w:space="0" w:color="auto"/>
      </w:divBdr>
    </w:div>
    <w:div w:id="937520594">
      <w:bodyDiv w:val="1"/>
      <w:marLeft w:val="0"/>
      <w:marRight w:val="0"/>
      <w:marTop w:val="0"/>
      <w:marBottom w:val="0"/>
      <w:divBdr>
        <w:top w:val="none" w:sz="0" w:space="0" w:color="auto"/>
        <w:left w:val="none" w:sz="0" w:space="0" w:color="auto"/>
        <w:bottom w:val="none" w:sz="0" w:space="0" w:color="auto"/>
        <w:right w:val="none" w:sz="0" w:space="0" w:color="auto"/>
      </w:divBdr>
    </w:div>
    <w:div w:id="937560459">
      <w:bodyDiv w:val="1"/>
      <w:marLeft w:val="0"/>
      <w:marRight w:val="0"/>
      <w:marTop w:val="0"/>
      <w:marBottom w:val="0"/>
      <w:divBdr>
        <w:top w:val="none" w:sz="0" w:space="0" w:color="auto"/>
        <w:left w:val="none" w:sz="0" w:space="0" w:color="auto"/>
        <w:bottom w:val="none" w:sz="0" w:space="0" w:color="auto"/>
        <w:right w:val="none" w:sz="0" w:space="0" w:color="auto"/>
      </w:divBdr>
    </w:div>
    <w:div w:id="937562465">
      <w:bodyDiv w:val="1"/>
      <w:marLeft w:val="0"/>
      <w:marRight w:val="0"/>
      <w:marTop w:val="0"/>
      <w:marBottom w:val="0"/>
      <w:divBdr>
        <w:top w:val="none" w:sz="0" w:space="0" w:color="auto"/>
        <w:left w:val="none" w:sz="0" w:space="0" w:color="auto"/>
        <w:bottom w:val="none" w:sz="0" w:space="0" w:color="auto"/>
        <w:right w:val="none" w:sz="0" w:space="0" w:color="auto"/>
      </w:divBdr>
    </w:div>
    <w:div w:id="937566741">
      <w:bodyDiv w:val="1"/>
      <w:marLeft w:val="0"/>
      <w:marRight w:val="0"/>
      <w:marTop w:val="0"/>
      <w:marBottom w:val="0"/>
      <w:divBdr>
        <w:top w:val="none" w:sz="0" w:space="0" w:color="auto"/>
        <w:left w:val="none" w:sz="0" w:space="0" w:color="auto"/>
        <w:bottom w:val="none" w:sz="0" w:space="0" w:color="auto"/>
        <w:right w:val="none" w:sz="0" w:space="0" w:color="auto"/>
      </w:divBdr>
    </w:div>
    <w:div w:id="937755158">
      <w:bodyDiv w:val="1"/>
      <w:marLeft w:val="0"/>
      <w:marRight w:val="0"/>
      <w:marTop w:val="0"/>
      <w:marBottom w:val="0"/>
      <w:divBdr>
        <w:top w:val="none" w:sz="0" w:space="0" w:color="auto"/>
        <w:left w:val="none" w:sz="0" w:space="0" w:color="auto"/>
        <w:bottom w:val="none" w:sz="0" w:space="0" w:color="auto"/>
        <w:right w:val="none" w:sz="0" w:space="0" w:color="auto"/>
      </w:divBdr>
    </w:div>
    <w:div w:id="937761677">
      <w:bodyDiv w:val="1"/>
      <w:marLeft w:val="0"/>
      <w:marRight w:val="0"/>
      <w:marTop w:val="0"/>
      <w:marBottom w:val="0"/>
      <w:divBdr>
        <w:top w:val="none" w:sz="0" w:space="0" w:color="auto"/>
        <w:left w:val="none" w:sz="0" w:space="0" w:color="auto"/>
        <w:bottom w:val="none" w:sz="0" w:space="0" w:color="auto"/>
        <w:right w:val="none" w:sz="0" w:space="0" w:color="auto"/>
      </w:divBdr>
    </w:div>
    <w:div w:id="937787109">
      <w:bodyDiv w:val="1"/>
      <w:marLeft w:val="0"/>
      <w:marRight w:val="0"/>
      <w:marTop w:val="0"/>
      <w:marBottom w:val="0"/>
      <w:divBdr>
        <w:top w:val="none" w:sz="0" w:space="0" w:color="auto"/>
        <w:left w:val="none" w:sz="0" w:space="0" w:color="auto"/>
        <w:bottom w:val="none" w:sz="0" w:space="0" w:color="auto"/>
        <w:right w:val="none" w:sz="0" w:space="0" w:color="auto"/>
      </w:divBdr>
    </w:div>
    <w:div w:id="937835529">
      <w:bodyDiv w:val="1"/>
      <w:marLeft w:val="0"/>
      <w:marRight w:val="0"/>
      <w:marTop w:val="0"/>
      <w:marBottom w:val="0"/>
      <w:divBdr>
        <w:top w:val="none" w:sz="0" w:space="0" w:color="auto"/>
        <w:left w:val="none" w:sz="0" w:space="0" w:color="auto"/>
        <w:bottom w:val="none" w:sz="0" w:space="0" w:color="auto"/>
        <w:right w:val="none" w:sz="0" w:space="0" w:color="auto"/>
      </w:divBdr>
    </w:div>
    <w:div w:id="938026049">
      <w:bodyDiv w:val="1"/>
      <w:marLeft w:val="0"/>
      <w:marRight w:val="0"/>
      <w:marTop w:val="0"/>
      <w:marBottom w:val="0"/>
      <w:divBdr>
        <w:top w:val="none" w:sz="0" w:space="0" w:color="auto"/>
        <w:left w:val="none" w:sz="0" w:space="0" w:color="auto"/>
        <w:bottom w:val="none" w:sz="0" w:space="0" w:color="auto"/>
        <w:right w:val="none" w:sz="0" w:space="0" w:color="auto"/>
      </w:divBdr>
    </w:div>
    <w:div w:id="938029099">
      <w:bodyDiv w:val="1"/>
      <w:marLeft w:val="0"/>
      <w:marRight w:val="0"/>
      <w:marTop w:val="0"/>
      <w:marBottom w:val="0"/>
      <w:divBdr>
        <w:top w:val="none" w:sz="0" w:space="0" w:color="auto"/>
        <w:left w:val="none" w:sz="0" w:space="0" w:color="auto"/>
        <w:bottom w:val="none" w:sz="0" w:space="0" w:color="auto"/>
        <w:right w:val="none" w:sz="0" w:space="0" w:color="auto"/>
      </w:divBdr>
    </w:div>
    <w:div w:id="938415310">
      <w:bodyDiv w:val="1"/>
      <w:marLeft w:val="0"/>
      <w:marRight w:val="0"/>
      <w:marTop w:val="0"/>
      <w:marBottom w:val="0"/>
      <w:divBdr>
        <w:top w:val="none" w:sz="0" w:space="0" w:color="auto"/>
        <w:left w:val="none" w:sz="0" w:space="0" w:color="auto"/>
        <w:bottom w:val="none" w:sz="0" w:space="0" w:color="auto"/>
        <w:right w:val="none" w:sz="0" w:space="0" w:color="auto"/>
      </w:divBdr>
    </w:div>
    <w:div w:id="938560708">
      <w:bodyDiv w:val="1"/>
      <w:marLeft w:val="0"/>
      <w:marRight w:val="0"/>
      <w:marTop w:val="0"/>
      <w:marBottom w:val="0"/>
      <w:divBdr>
        <w:top w:val="none" w:sz="0" w:space="0" w:color="auto"/>
        <w:left w:val="none" w:sz="0" w:space="0" w:color="auto"/>
        <w:bottom w:val="none" w:sz="0" w:space="0" w:color="auto"/>
        <w:right w:val="none" w:sz="0" w:space="0" w:color="auto"/>
      </w:divBdr>
    </w:div>
    <w:div w:id="938608684">
      <w:bodyDiv w:val="1"/>
      <w:marLeft w:val="0"/>
      <w:marRight w:val="0"/>
      <w:marTop w:val="0"/>
      <w:marBottom w:val="0"/>
      <w:divBdr>
        <w:top w:val="none" w:sz="0" w:space="0" w:color="auto"/>
        <w:left w:val="none" w:sz="0" w:space="0" w:color="auto"/>
        <w:bottom w:val="none" w:sz="0" w:space="0" w:color="auto"/>
        <w:right w:val="none" w:sz="0" w:space="0" w:color="auto"/>
      </w:divBdr>
    </w:div>
    <w:div w:id="938635000">
      <w:bodyDiv w:val="1"/>
      <w:marLeft w:val="0"/>
      <w:marRight w:val="0"/>
      <w:marTop w:val="0"/>
      <w:marBottom w:val="0"/>
      <w:divBdr>
        <w:top w:val="none" w:sz="0" w:space="0" w:color="auto"/>
        <w:left w:val="none" w:sz="0" w:space="0" w:color="auto"/>
        <w:bottom w:val="none" w:sz="0" w:space="0" w:color="auto"/>
        <w:right w:val="none" w:sz="0" w:space="0" w:color="auto"/>
      </w:divBdr>
    </w:div>
    <w:div w:id="938636906">
      <w:bodyDiv w:val="1"/>
      <w:marLeft w:val="0"/>
      <w:marRight w:val="0"/>
      <w:marTop w:val="0"/>
      <w:marBottom w:val="0"/>
      <w:divBdr>
        <w:top w:val="none" w:sz="0" w:space="0" w:color="auto"/>
        <w:left w:val="none" w:sz="0" w:space="0" w:color="auto"/>
        <w:bottom w:val="none" w:sz="0" w:space="0" w:color="auto"/>
        <w:right w:val="none" w:sz="0" w:space="0" w:color="auto"/>
      </w:divBdr>
    </w:div>
    <w:div w:id="938835663">
      <w:bodyDiv w:val="1"/>
      <w:marLeft w:val="0"/>
      <w:marRight w:val="0"/>
      <w:marTop w:val="0"/>
      <w:marBottom w:val="0"/>
      <w:divBdr>
        <w:top w:val="none" w:sz="0" w:space="0" w:color="auto"/>
        <w:left w:val="none" w:sz="0" w:space="0" w:color="auto"/>
        <w:bottom w:val="none" w:sz="0" w:space="0" w:color="auto"/>
        <w:right w:val="none" w:sz="0" w:space="0" w:color="auto"/>
      </w:divBdr>
    </w:div>
    <w:div w:id="938873469">
      <w:bodyDiv w:val="1"/>
      <w:marLeft w:val="0"/>
      <w:marRight w:val="0"/>
      <w:marTop w:val="0"/>
      <w:marBottom w:val="0"/>
      <w:divBdr>
        <w:top w:val="none" w:sz="0" w:space="0" w:color="auto"/>
        <w:left w:val="none" w:sz="0" w:space="0" w:color="auto"/>
        <w:bottom w:val="none" w:sz="0" w:space="0" w:color="auto"/>
        <w:right w:val="none" w:sz="0" w:space="0" w:color="auto"/>
      </w:divBdr>
    </w:div>
    <w:div w:id="938876859">
      <w:bodyDiv w:val="1"/>
      <w:marLeft w:val="0"/>
      <w:marRight w:val="0"/>
      <w:marTop w:val="0"/>
      <w:marBottom w:val="0"/>
      <w:divBdr>
        <w:top w:val="none" w:sz="0" w:space="0" w:color="auto"/>
        <w:left w:val="none" w:sz="0" w:space="0" w:color="auto"/>
        <w:bottom w:val="none" w:sz="0" w:space="0" w:color="auto"/>
        <w:right w:val="none" w:sz="0" w:space="0" w:color="auto"/>
      </w:divBdr>
    </w:div>
    <w:div w:id="938877718">
      <w:bodyDiv w:val="1"/>
      <w:marLeft w:val="0"/>
      <w:marRight w:val="0"/>
      <w:marTop w:val="0"/>
      <w:marBottom w:val="0"/>
      <w:divBdr>
        <w:top w:val="none" w:sz="0" w:space="0" w:color="auto"/>
        <w:left w:val="none" w:sz="0" w:space="0" w:color="auto"/>
        <w:bottom w:val="none" w:sz="0" w:space="0" w:color="auto"/>
        <w:right w:val="none" w:sz="0" w:space="0" w:color="auto"/>
      </w:divBdr>
    </w:div>
    <w:div w:id="939143251">
      <w:bodyDiv w:val="1"/>
      <w:marLeft w:val="0"/>
      <w:marRight w:val="0"/>
      <w:marTop w:val="0"/>
      <w:marBottom w:val="0"/>
      <w:divBdr>
        <w:top w:val="none" w:sz="0" w:space="0" w:color="auto"/>
        <w:left w:val="none" w:sz="0" w:space="0" w:color="auto"/>
        <w:bottom w:val="none" w:sz="0" w:space="0" w:color="auto"/>
        <w:right w:val="none" w:sz="0" w:space="0" w:color="auto"/>
      </w:divBdr>
    </w:div>
    <w:div w:id="939290751">
      <w:bodyDiv w:val="1"/>
      <w:marLeft w:val="0"/>
      <w:marRight w:val="0"/>
      <w:marTop w:val="0"/>
      <w:marBottom w:val="0"/>
      <w:divBdr>
        <w:top w:val="none" w:sz="0" w:space="0" w:color="auto"/>
        <w:left w:val="none" w:sz="0" w:space="0" w:color="auto"/>
        <w:bottom w:val="none" w:sz="0" w:space="0" w:color="auto"/>
        <w:right w:val="none" w:sz="0" w:space="0" w:color="auto"/>
      </w:divBdr>
    </w:div>
    <w:div w:id="939293443">
      <w:bodyDiv w:val="1"/>
      <w:marLeft w:val="0"/>
      <w:marRight w:val="0"/>
      <w:marTop w:val="0"/>
      <w:marBottom w:val="0"/>
      <w:divBdr>
        <w:top w:val="none" w:sz="0" w:space="0" w:color="auto"/>
        <w:left w:val="none" w:sz="0" w:space="0" w:color="auto"/>
        <w:bottom w:val="none" w:sz="0" w:space="0" w:color="auto"/>
        <w:right w:val="none" w:sz="0" w:space="0" w:color="auto"/>
      </w:divBdr>
    </w:div>
    <w:div w:id="939531256">
      <w:bodyDiv w:val="1"/>
      <w:marLeft w:val="0"/>
      <w:marRight w:val="0"/>
      <w:marTop w:val="0"/>
      <w:marBottom w:val="0"/>
      <w:divBdr>
        <w:top w:val="none" w:sz="0" w:space="0" w:color="auto"/>
        <w:left w:val="none" w:sz="0" w:space="0" w:color="auto"/>
        <w:bottom w:val="none" w:sz="0" w:space="0" w:color="auto"/>
        <w:right w:val="none" w:sz="0" w:space="0" w:color="auto"/>
      </w:divBdr>
    </w:div>
    <w:div w:id="939605764">
      <w:bodyDiv w:val="1"/>
      <w:marLeft w:val="0"/>
      <w:marRight w:val="0"/>
      <w:marTop w:val="0"/>
      <w:marBottom w:val="0"/>
      <w:divBdr>
        <w:top w:val="none" w:sz="0" w:space="0" w:color="auto"/>
        <w:left w:val="none" w:sz="0" w:space="0" w:color="auto"/>
        <w:bottom w:val="none" w:sz="0" w:space="0" w:color="auto"/>
        <w:right w:val="none" w:sz="0" w:space="0" w:color="auto"/>
      </w:divBdr>
    </w:div>
    <w:div w:id="939676918">
      <w:bodyDiv w:val="1"/>
      <w:marLeft w:val="0"/>
      <w:marRight w:val="0"/>
      <w:marTop w:val="0"/>
      <w:marBottom w:val="0"/>
      <w:divBdr>
        <w:top w:val="none" w:sz="0" w:space="0" w:color="auto"/>
        <w:left w:val="none" w:sz="0" w:space="0" w:color="auto"/>
        <w:bottom w:val="none" w:sz="0" w:space="0" w:color="auto"/>
        <w:right w:val="none" w:sz="0" w:space="0" w:color="auto"/>
      </w:divBdr>
    </w:div>
    <w:div w:id="939679494">
      <w:bodyDiv w:val="1"/>
      <w:marLeft w:val="0"/>
      <w:marRight w:val="0"/>
      <w:marTop w:val="0"/>
      <w:marBottom w:val="0"/>
      <w:divBdr>
        <w:top w:val="none" w:sz="0" w:space="0" w:color="auto"/>
        <w:left w:val="none" w:sz="0" w:space="0" w:color="auto"/>
        <w:bottom w:val="none" w:sz="0" w:space="0" w:color="auto"/>
        <w:right w:val="none" w:sz="0" w:space="0" w:color="auto"/>
      </w:divBdr>
    </w:div>
    <w:div w:id="939680998">
      <w:bodyDiv w:val="1"/>
      <w:marLeft w:val="0"/>
      <w:marRight w:val="0"/>
      <w:marTop w:val="0"/>
      <w:marBottom w:val="0"/>
      <w:divBdr>
        <w:top w:val="none" w:sz="0" w:space="0" w:color="auto"/>
        <w:left w:val="none" w:sz="0" w:space="0" w:color="auto"/>
        <w:bottom w:val="none" w:sz="0" w:space="0" w:color="auto"/>
        <w:right w:val="none" w:sz="0" w:space="0" w:color="auto"/>
      </w:divBdr>
    </w:div>
    <w:div w:id="939684446">
      <w:bodyDiv w:val="1"/>
      <w:marLeft w:val="0"/>
      <w:marRight w:val="0"/>
      <w:marTop w:val="0"/>
      <w:marBottom w:val="0"/>
      <w:divBdr>
        <w:top w:val="none" w:sz="0" w:space="0" w:color="auto"/>
        <w:left w:val="none" w:sz="0" w:space="0" w:color="auto"/>
        <w:bottom w:val="none" w:sz="0" w:space="0" w:color="auto"/>
        <w:right w:val="none" w:sz="0" w:space="0" w:color="auto"/>
      </w:divBdr>
    </w:div>
    <w:div w:id="939724828">
      <w:bodyDiv w:val="1"/>
      <w:marLeft w:val="0"/>
      <w:marRight w:val="0"/>
      <w:marTop w:val="0"/>
      <w:marBottom w:val="0"/>
      <w:divBdr>
        <w:top w:val="none" w:sz="0" w:space="0" w:color="auto"/>
        <w:left w:val="none" w:sz="0" w:space="0" w:color="auto"/>
        <w:bottom w:val="none" w:sz="0" w:space="0" w:color="auto"/>
        <w:right w:val="none" w:sz="0" w:space="0" w:color="auto"/>
      </w:divBdr>
    </w:div>
    <w:div w:id="939798310">
      <w:bodyDiv w:val="1"/>
      <w:marLeft w:val="0"/>
      <w:marRight w:val="0"/>
      <w:marTop w:val="0"/>
      <w:marBottom w:val="0"/>
      <w:divBdr>
        <w:top w:val="none" w:sz="0" w:space="0" w:color="auto"/>
        <w:left w:val="none" w:sz="0" w:space="0" w:color="auto"/>
        <w:bottom w:val="none" w:sz="0" w:space="0" w:color="auto"/>
        <w:right w:val="none" w:sz="0" w:space="0" w:color="auto"/>
      </w:divBdr>
    </w:div>
    <w:div w:id="939872527">
      <w:bodyDiv w:val="1"/>
      <w:marLeft w:val="0"/>
      <w:marRight w:val="0"/>
      <w:marTop w:val="0"/>
      <w:marBottom w:val="0"/>
      <w:divBdr>
        <w:top w:val="none" w:sz="0" w:space="0" w:color="auto"/>
        <w:left w:val="none" w:sz="0" w:space="0" w:color="auto"/>
        <w:bottom w:val="none" w:sz="0" w:space="0" w:color="auto"/>
        <w:right w:val="none" w:sz="0" w:space="0" w:color="auto"/>
      </w:divBdr>
    </w:div>
    <w:div w:id="939875288">
      <w:bodyDiv w:val="1"/>
      <w:marLeft w:val="0"/>
      <w:marRight w:val="0"/>
      <w:marTop w:val="0"/>
      <w:marBottom w:val="0"/>
      <w:divBdr>
        <w:top w:val="none" w:sz="0" w:space="0" w:color="auto"/>
        <w:left w:val="none" w:sz="0" w:space="0" w:color="auto"/>
        <w:bottom w:val="none" w:sz="0" w:space="0" w:color="auto"/>
        <w:right w:val="none" w:sz="0" w:space="0" w:color="auto"/>
      </w:divBdr>
    </w:div>
    <w:div w:id="940067781">
      <w:bodyDiv w:val="1"/>
      <w:marLeft w:val="0"/>
      <w:marRight w:val="0"/>
      <w:marTop w:val="0"/>
      <w:marBottom w:val="0"/>
      <w:divBdr>
        <w:top w:val="none" w:sz="0" w:space="0" w:color="auto"/>
        <w:left w:val="none" w:sz="0" w:space="0" w:color="auto"/>
        <w:bottom w:val="none" w:sz="0" w:space="0" w:color="auto"/>
        <w:right w:val="none" w:sz="0" w:space="0" w:color="auto"/>
      </w:divBdr>
    </w:div>
    <w:div w:id="940068090">
      <w:bodyDiv w:val="1"/>
      <w:marLeft w:val="0"/>
      <w:marRight w:val="0"/>
      <w:marTop w:val="0"/>
      <w:marBottom w:val="0"/>
      <w:divBdr>
        <w:top w:val="none" w:sz="0" w:space="0" w:color="auto"/>
        <w:left w:val="none" w:sz="0" w:space="0" w:color="auto"/>
        <w:bottom w:val="none" w:sz="0" w:space="0" w:color="auto"/>
        <w:right w:val="none" w:sz="0" w:space="0" w:color="auto"/>
      </w:divBdr>
    </w:div>
    <w:div w:id="940068433">
      <w:bodyDiv w:val="1"/>
      <w:marLeft w:val="0"/>
      <w:marRight w:val="0"/>
      <w:marTop w:val="0"/>
      <w:marBottom w:val="0"/>
      <w:divBdr>
        <w:top w:val="none" w:sz="0" w:space="0" w:color="auto"/>
        <w:left w:val="none" w:sz="0" w:space="0" w:color="auto"/>
        <w:bottom w:val="none" w:sz="0" w:space="0" w:color="auto"/>
        <w:right w:val="none" w:sz="0" w:space="0" w:color="auto"/>
      </w:divBdr>
    </w:div>
    <w:div w:id="940069065">
      <w:bodyDiv w:val="1"/>
      <w:marLeft w:val="0"/>
      <w:marRight w:val="0"/>
      <w:marTop w:val="0"/>
      <w:marBottom w:val="0"/>
      <w:divBdr>
        <w:top w:val="none" w:sz="0" w:space="0" w:color="auto"/>
        <w:left w:val="none" w:sz="0" w:space="0" w:color="auto"/>
        <w:bottom w:val="none" w:sz="0" w:space="0" w:color="auto"/>
        <w:right w:val="none" w:sz="0" w:space="0" w:color="auto"/>
      </w:divBdr>
    </w:div>
    <w:div w:id="940181120">
      <w:bodyDiv w:val="1"/>
      <w:marLeft w:val="0"/>
      <w:marRight w:val="0"/>
      <w:marTop w:val="0"/>
      <w:marBottom w:val="0"/>
      <w:divBdr>
        <w:top w:val="none" w:sz="0" w:space="0" w:color="auto"/>
        <w:left w:val="none" w:sz="0" w:space="0" w:color="auto"/>
        <w:bottom w:val="none" w:sz="0" w:space="0" w:color="auto"/>
        <w:right w:val="none" w:sz="0" w:space="0" w:color="auto"/>
      </w:divBdr>
    </w:div>
    <w:div w:id="940340528">
      <w:bodyDiv w:val="1"/>
      <w:marLeft w:val="0"/>
      <w:marRight w:val="0"/>
      <w:marTop w:val="0"/>
      <w:marBottom w:val="0"/>
      <w:divBdr>
        <w:top w:val="none" w:sz="0" w:space="0" w:color="auto"/>
        <w:left w:val="none" w:sz="0" w:space="0" w:color="auto"/>
        <w:bottom w:val="none" w:sz="0" w:space="0" w:color="auto"/>
        <w:right w:val="none" w:sz="0" w:space="0" w:color="auto"/>
      </w:divBdr>
    </w:div>
    <w:div w:id="940408469">
      <w:bodyDiv w:val="1"/>
      <w:marLeft w:val="0"/>
      <w:marRight w:val="0"/>
      <w:marTop w:val="0"/>
      <w:marBottom w:val="0"/>
      <w:divBdr>
        <w:top w:val="none" w:sz="0" w:space="0" w:color="auto"/>
        <w:left w:val="none" w:sz="0" w:space="0" w:color="auto"/>
        <w:bottom w:val="none" w:sz="0" w:space="0" w:color="auto"/>
        <w:right w:val="none" w:sz="0" w:space="0" w:color="auto"/>
      </w:divBdr>
    </w:div>
    <w:div w:id="940525199">
      <w:bodyDiv w:val="1"/>
      <w:marLeft w:val="0"/>
      <w:marRight w:val="0"/>
      <w:marTop w:val="0"/>
      <w:marBottom w:val="0"/>
      <w:divBdr>
        <w:top w:val="none" w:sz="0" w:space="0" w:color="auto"/>
        <w:left w:val="none" w:sz="0" w:space="0" w:color="auto"/>
        <w:bottom w:val="none" w:sz="0" w:space="0" w:color="auto"/>
        <w:right w:val="none" w:sz="0" w:space="0" w:color="auto"/>
      </w:divBdr>
    </w:div>
    <w:div w:id="940643158">
      <w:bodyDiv w:val="1"/>
      <w:marLeft w:val="0"/>
      <w:marRight w:val="0"/>
      <w:marTop w:val="0"/>
      <w:marBottom w:val="0"/>
      <w:divBdr>
        <w:top w:val="none" w:sz="0" w:space="0" w:color="auto"/>
        <w:left w:val="none" w:sz="0" w:space="0" w:color="auto"/>
        <w:bottom w:val="none" w:sz="0" w:space="0" w:color="auto"/>
        <w:right w:val="none" w:sz="0" w:space="0" w:color="auto"/>
      </w:divBdr>
    </w:div>
    <w:div w:id="940650027">
      <w:bodyDiv w:val="1"/>
      <w:marLeft w:val="0"/>
      <w:marRight w:val="0"/>
      <w:marTop w:val="0"/>
      <w:marBottom w:val="0"/>
      <w:divBdr>
        <w:top w:val="none" w:sz="0" w:space="0" w:color="auto"/>
        <w:left w:val="none" w:sz="0" w:space="0" w:color="auto"/>
        <w:bottom w:val="none" w:sz="0" w:space="0" w:color="auto"/>
        <w:right w:val="none" w:sz="0" w:space="0" w:color="auto"/>
      </w:divBdr>
    </w:div>
    <w:div w:id="940650681">
      <w:bodyDiv w:val="1"/>
      <w:marLeft w:val="0"/>
      <w:marRight w:val="0"/>
      <w:marTop w:val="0"/>
      <w:marBottom w:val="0"/>
      <w:divBdr>
        <w:top w:val="none" w:sz="0" w:space="0" w:color="auto"/>
        <w:left w:val="none" w:sz="0" w:space="0" w:color="auto"/>
        <w:bottom w:val="none" w:sz="0" w:space="0" w:color="auto"/>
        <w:right w:val="none" w:sz="0" w:space="0" w:color="auto"/>
      </w:divBdr>
    </w:div>
    <w:div w:id="940726671">
      <w:bodyDiv w:val="1"/>
      <w:marLeft w:val="0"/>
      <w:marRight w:val="0"/>
      <w:marTop w:val="0"/>
      <w:marBottom w:val="0"/>
      <w:divBdr>
        <w:top w:val="none" w:sz="0" w:space="0" w:color="auto"/>
        <w:left w:val="none" w:sz="0" w:space="0" w:color="auto"/>
        <w:bottom w:val="none" w:sz="0" w:space="0" w:color="auto"/>
        <w:right w:val="none" w:sz="0" w:space="0" w:color="auto"/>
      </w:divBdr>
    </w:div>
    <w:div w:id="940727160">
      <w:bodyDiv w:val="1"/>
      <w:marLeft w:val="0"/>
      <w:marRight w:val="0"/>
      <w:marTop w:val="0"/>
      <w:marBottom w:val="0"/>
      <w:divBdr>
        <w:top w:val="none" w:sz="0" w:space="0" w:color="auto"/>
        <w:left w:val="none" w:sz="0" w:space="0" w:color="auto"/>
        <w:bottom w:val="none" w:sz="0" w:space="0" w:color="auto"/>
        <w:right w:val="none" w:sz="0" w:space="0" w:color="auto"/>
      </w:divBdr>
    </w:div>
    <w:div w:id="940844600">
      <w:bodyDiv w:val="1"/>
      <w:marLeft w:val="0"/>
      <w:marRight w:val="0"/>
      <w:marTop w:val="0"/>
      <w:marBottom w:val="0"/>
      <w:divBdr>
        <w:top w:val="none" w:sz="0" w:space="0" w:color="auto"/>
        <w:left w:val="none" w:sz="0" w:space="0" w:color="auto"/>
        <w:bottom w:val="none" w:sz="0" w:space="0" w:color="auto"/>
        <w:right w:val="none" w:sz="0" w:space="0" w:color="auto"/>
      </w:divBdr>
    </w:div>
    <w:div w:id="940911256">
      <w:bodyDiv w:val="1"/>
      <w:marLeft w:val="0"/>
      <w:marRight w:val="0"/>
      <w:marTop w:val="0"/>
      <w:marBottom w:val="0"/>
      <w:divBdr>
        <w:top w:val="none" w:sz="0" w:space="0" w:color="auto"/>
        <w:left w:val="none" w:sz="0" w:space="0" w:color="auto"/>
        <w:bottom w:val="none" w:sz="0" w:space="0" w:color="auto"/>
        <w:right w:val="none" w:sz="0" w:space="0" w:color="auto"/>
      </w:divBdr>
    </w:div>
    <w:div w:id="940912564">
      <w:bodyDiv w:val="1"/>
      <w:marLeft w:val="0"/>
      <w:marRight w:val="0"/>
      <w:marTop w:val="0"/>
      <w:marBottom w:val="0"/>
      <w:divBdr>
        <w:top w:val="none" w:sz="0" w:space="0" w:color="auto"/>
        <w:left w:val="none" w:sz="0" w:space="0" w:color="auto"/>
        <w:bottom w:val="none" w:sz="0" w:space="0" w:color="auto"/>
        <w:right w:val="none" w:sz="0" w:space="0" w:color="auto"/>
      </w:divBdr>
    </w:div>
    <w:div w:id="940913471">
      <w:bodyDiv w:val="1"/>
      <w:marLeft w:val="0"/>
      <w:marRight w:val="0"/>
      <w:marTop w:val="0"/>
      <w:marBottom w:val="0"/>
      <w:divBdr>
        <w:top w:val="none" w:sz="0" w:space="0" w:color="auto"/>
        <w:left w:val="none" w:sz="0" w:space="0" w:color="auto"/>
        <w:bottom w:val="none" w:sz="0" w:space="0" w:color="auto"/>
        <w:right w:val="none" w:sz="0" w:space="0" w:color="auto"/>
      </w:divBdr>
    </w:div>
    <w:div w:id="940989676">
      <w:bodyDiv w:val="1"/>
      <w:marLeft w:val="0"/>
      <w:marRight w:val="0"/>
      <w:marTop w:val="0"/>
      <w:marBottom w:val="0"/>
      <w:divBdr>
        <w:top w:val="none" w:sz="0" w:space="0" w:color="auto"/>
        <w:left w:val="none" w:sz="0" w:space="0" w:color="auto"/>
        <w:bottom w:val="none" w:sz="0" w:space="0" w:color="auto"/>
        <w:right w:val="none" w:sz="0" w:space="0" w:color="auto"/>
      </w:divBdr>
    </w:div>
    <w:div w:id="940991046">
      <w:bodyDiv w:val="1"/>
      <w:marLeft w:val="0"/>
      <w:marRight w:val="0"/>
      <w:marTop w:val="0"/>
      <w:marBottom w:val="0"/>
      <w:divBdr>
        <w:top w:val="none" w:sz="0" w:space="0" w:color="auto"/>
        <w:left w:val="none" w:sz="0" w:space="0" w:color="auto"/>
        <w:bottom w:val="none" w:sz="0" w:space="0" w:color="auto"/>
        <w:right w:val="none" w:sz="0" w:space="0" w:color="auto"/>
      </w:divBdr>
    </w:div>
    <w:div w:id="940995389">
      <w:bodyDiv w:val="1"/>
      <w:marLeft w:val="0"/>
      <w:marRight w:val="0"/>
      <w:marTop w:val="0"/>
      <w:marBottom w:val="0"/>
      <w:divBdr>
        <w:top w:val="none" w:sz="0" w:space="0" w:color="auto"/>
        <w:left w:val="none" w:sz="0" w:space="0" w:color="auto"/>
        <w:bottom w:val="none" w:sz="0" w:space="0" w:color="auto"/>
        <w:right w:val="none" w:sz="0" w:space="0" w:color="auto"/>
      </w:divBdr>
    </w:div>
    <w:div w:id="941033215">
      <w:bodyDiv w:val="1"/>
      <w:marLeft w:val="0"/>
      <w:marRight w:val="0"/>
      <w:marTop w:val="0"/>
      <w:marBottom w:val="0"/>
      <w:divBdr>
        <w:top w:val="none" w:sz="0" w:space="0" w:color="auto"/>
        <w:left w:val="none" w:sz="0" w:space="0" w:color="auto"/>
        <w:bottom w:val="none" w:sz="0" w:space="0" w:color="auto"/>
        <w:right w:val="none" w:sz="0" w:space="0" w:color="auto"/>
      </w:divBdr>
    </w:div>
    <w:div w:id="941187141">
      <w:bodyDiv w:val="1"/>
      <w:marLeft w:val="0"/>
      <w:marRight w:val="0"/>
      <w:marTop w:val="0"/>
      <w:marBottom w:val="0"/>
      <w:divBdr>
        <w:top w:val="none" w:sz="0" w:space="0" w:color="auto"/>
        <w:left w:val="none" w:sz="0" w:space="0" w:color="auto"/>
        <w:bottom w:val="none" w:sz="0" w:space="0" w:color="auto"/>
        <w:right w:val="none" w:sz="0" w:space="0" w:color="auto"/>
      </w:divBdr>
    </w:div>
    <w:div w:id="941188450">
      <w:bodyDiv w:val="1"/>
      <w:marLeft w:val="0"/>
      <w:marRight w:val="0"/>
      <w:marTop w:val="0"/>
      <w:marBottom w:val="0"/>
      <w:divBdr>
        <w:top w:val="none" w:sz="0" w:space="0" w:color="auto"/>
        <w:left w:val="none" w:sz="0" w:space="0" w:color="auto"/>
        <w:bottom w:val="none" w:sz="0" w:space="0" w:color="auto"/>
        <w:right w:val="none" w:sz="0" w:space="0" w:color="auto"/>
      </w:divBdr>
    </w:div>
    <w:div w:id="941188550">
      <w:bodyDiv w:val="1"/>
      <w:marLeft w:val="0"/>
      <w:marRight w:val="0"/>
      <w:marTop w:val="0"/>
      <w:marBottom w:val="0"/>
      <w:divBdr>
        <w:top w:val="none" w:sz="0" w:space="0" w:color="auto"/>
        <w:left w:val="none" w:sz="0" w:space="0" w:color="auto"/>
        <w:bottom w:val="none" w:sz="0" w:space="0" w:color="auto"/>
        <w:right w:val="none" w:sz="0" w:space="0" w:color="auto"/>
      </w:divBdr>
    </w:div>
    <w:div w:id="941189420">
      <w:bodyDiv w:val="1"/>
      <w:marLeft w:val="0"/>
      <w:marRight w:val="0"/>
      <w:marTop w:val="0"/>
      <w:marBottom w:val="0"/>
      <w:divBdr>
        <w:top w:val="none" w:sz="0" w:space="0" w:color="auto"/>
        <w:left w:val="none" w:sz="0" w:space="0" w:color="auto"/>
        <w:bottom w:val="none" w:sz="0" w:space="0" w:color="auto"/>
        <w:right w:val="none" w:sz="0" w:space="0" w:color="auto"/>
      </w:divBdr>
    </w:div>
    <w:div w:id="941231882">
      <w:bodyDiv w:val="1"/>
      <w:marLeft w:val="0"/>
      <w:marRight w:val="0"/>
      <w:marTop w:val="0"/>
      <w:marBottom w:val="0"/>
      <w:divBdr>
        <w:top w:val="none" w:sz="0" w:space="0" w:color="auto"/>
        <w:left w:val="none" w:sz="0" w:space="0" w:color="auto"/>
        <w:bottom w:val="none" w:sz="0" w:space="0" w:color="auto"/>
        <w:right w:val="none" w:sz="0" w:space="0" w:color="auto"/>
      </w:divBdr>
    </w:div>
    <w:div w:id="941255096">
      <w:bodyDiv w:val="1"/>
      <w:marLeft w:val="0"/>
      <w:marRight w:val="0"/>
      <w:marTop w:val="0"/>
      <w:marBottom w:val="0"/>
      <w:divBdr>
        <w:top w:val="none" w:sz="0" w:space="0" w:color="auto"/>
        <w:left w:val="none" w:sz="0" w:space="0" w:color="auto"/>
        <w:bottom w:val="none" w:sz="0" w:space="0" w:color="auto"/>
        <w:right w:val="none" w:sz="0" w:space="0" w:color="auto"/>
      </w:divBdr>
    </w:div>
    <w:div w:id="941255323">
      <w:bodyDiv w:val="1"/>
      <w:marLeft w:val="0"/>
      <w:marRight w:val="0"/>
      <w:marTop w:val="0"/>
      <w:marBottom w:val="0"/>
      <w:divBdr>
        <w:top w:val="none" w:sz="0" w:space="0" w:color="auto"/>
        <w:left w:val="none" w:sz="0" w:space="0" w:color="auto"/>
        <w:bottom w:val="none" w:sz="0" w:space="0" w:color="auto"/>
        <w:right w:val="none" w:sz="0" w:space="0" w:color="auto"/>
      </w:divBdr>
    </w:div>
    <w:div w:id="941299635">
      <w:bodyDiv w:val="1"/>
      <w:marLeft w:val="0"/>
      <w:marRight w:val="0"/>
      <w:marTop w:val="0"/>
      <w:marBottom w:val="0"/>
      <w:divBdr>
        <w:top w:val="none" w:sz="0" w:space="0" w:color="auto"/>
        <w:left w:val="none" w:sz="0" w:space="0" w:color="auto"/>
        <w:bottom w:val="none" w:sz="0" w:space="0" w:color="auto"/>
        <w:right w:val="none" w:sz="0" w:space="0" w:color="auto"/>
      </w:divBdr>
    </w:div>
    <w:div w:id="941301716">
      <w:bodyDiv w:val="1"/>
      <w:marLeft w:val="0"/>
      <w:marRight w:val="0"/>
      <w:marTop w:val="0"/>
      <w:marBottom w:val="0"/>
      <w:divBdr>
        <w:top w:val="none" w:sz="0" w:space="0" w:color="auto"/>
        <w:left w:val="none" w:sz="0" w:space="0" w:color="auto"/>
        <w:bottom w:val="none" w:sz="0" w:space="0" w:color="auto"/>
        <w:right w:val="none" w:sz="0" w:space="0" w:color="auto"/>
      </w:divBdr>
    </w:div>
    <w:div w:id="941452514">
      <w:bodyDiv w:val="1"/>
      <w:marLeft w:val="0"/>
      <w:marRight w:val="0"/>
      <w:marTop w:val="0"/>
      <w:marBottom w:val="0"/>
      <w:divBdr>
        <w:top w:val="none" w:sz="0" w:space="0" w:color="auto"/>
        <w:left w:val="none" w:sz="0" w:space="0" w:color="auto"/>
        <w:bottom w:val="none" w:sz="0" w:space="0" w:color="auto"/>
        <w:right w:val="none" w:sz="0" w:space="0" w:color="auto"/>
      </w:divBdr>
    </w:div>
    <w:div w:id="941452869">
      <w:bodyDiv w:val="1"/>
      <w:marLeft w:val="0"/>
      <w:marRight w:val="0"/>
      <w:marTop w:val="0"/>
      <w:marBottom w:val="0"/>
      <w:divBdr>
        <w:top w:val="none" w:sz="0" w:space="0" w:color="auto"/>
        <w:left w:val="none" w:sz="0" w:space="0" w:color="auto"/>
        <w:bottom w:val="none" w:sz="0" w:space="0" w:color="auto"/>
        <w:right w:val="none" w:sz="0" w:space="0" w:color="auto"/>
      </w:divBdr>
    </w:div>
    <w:div w:id="941499807">
      <w:bodyDiv w:val="1"/>
      <w:marLeft w:val="0"/>
      <w:marRight w:val="0"/>
      <w:marTop w:val="0"/>
      <w:marBottom w:val="0"/>
      <w:divBdr>
        <w:top w:val="none" w:sz="0" w:space="0" w:color="auto"/>
        <w:left w:val="none" w:sz="0" w:space="0" w:color="auto"/>
        <w:bottom w:val="none" w:sz="0" w:space="0" w:color="auto"/>
        <w:right w:val="none" w:sz="0" w:space="0" w:color="auto"/>
      </w:divBdr>
    </w:div>
    <w:div w:id="941568893">
      <w:bodyDiv w:val="1"/>
      <w:marLeft w:val="0"/>
      <w:marRight w:val="0"/>
      <w:marTop w:val="0"/>
      <w:marBottom w:val="0"/>
      <w:divBdr>
        <w:top w:val="none" w:sz="0" w:space="0" w:color="auto"/>
        <w:left w:val="none" w:sz="0" w:space="0" w:color="auto"/>
        <w:bottom w:val="none" w:sz="0" w:space="0" w:color="auto"/>
        <w:right w:val="none" w:sz="0" w:space="0" w:color="auto"/>
      </w:divBdr>
    </w:div>
    <w:div w:id="941642911">
      <w:bodyDiv w:val="1"/>
      <w:marLeft w:val="0"/>
      <w:marRight w:val="0"/>
      <w:marTop w:val="0"/>
      <w:marBottom w:val="0"/>
      <w:divBdr>
        <w:top w:val="none" w:sz="0" w:space="0" w:color="auto"/>
        <w:left w:val="none" w:sz="0" w:space="0" w:color="auto"/>
        <w:bottom w:val="none" w:sz="0" w:space="0" w:color="auto"/>
        <w:right w:val="none" w:sz="0" w:space="0" w:color="auto"/>
      </w:divBdr>
    </w:div>
    <w:div w:id="941760078">
      <w:bodyDiv w:val="1"/>
      <w:marLeft w:val="0"/>
      <w:marRight w:val="0"/>
      <w:marTop w:val="0"/>
      <w:marBottom w:val="0"/>
      <w:divBdr>
        <w:top w:val="none" w:sz="0" w:space="0" w:color="auto"/>
        <w:left w:val="none" w:sz="0" w:space="0" w:color="auto"/>
        <w:bottom w:val="none" w:sz="0" w:space="0" w:color="auto"/>
        <w:right w:val="none" w:sz="0" w:space="0" w:color="auto"/>
      </w:divBdr>
    </w:div>
    <w:div w:id="941769027">
      <w:bodyDiv w:val="1"/>
      <w:marLeft w:val="0"/>
      <w:marRight w:val="0"/>
      <w:marTop w:val="0"/>
      <w:marBottom w:val="0"/>
      <w:divBdr>
        <w:top w:val="none" w:sz="0" w:space="0" w:color="auto"/>
        <w:left w:val="none" w:sz="0" w:space="0" w:color="auto"/>
        <w:bottom w:val="none" w:sz="0" w:space="0" w:color="auto"/>
        <w:right w:val="none" w:sz="0" w:space="0" w:color="auto"/>
      </w:divBdr>
    </w:div>
    <w:div w:id="941958911">
      <w:bodyDiv w:val="1"/>
      <w:marLeft w:val="0"/>
      <w:marRight w:val="0"/>
      <w:marTop w:val="0"/>
      <w:marBottom w:val="0"/>
      <w:divBdr>
        <w:top w:val="none" w:sz="0" w:space="0" w:color="auto"/>
        <w:left w:val="none" w:sz="0" w:space="0" w:color="auto"/>
        <w:bottom w:val="none" w:sz="0" w:space="0" w:color="auto"/>
        <w:right w:val="none" w:sz="0" w:space="0" w:color="auto"/>
      </w:divBdr>
    </w:div>
    <w:div w:id="941959030">
      <w:bodyDiv w:val="1"/>
      <w:marLeft w:val="0"/>
      <w:marRight w:val="0"/>
      <w:marTop w:val="0"/>
      <w:marBottom w:val="0"/>
      <w:divBdr>
        <w:top w:val="none" w:sz="0" w:space="0" w:color="auto"/>
        <w:left w:val="none" w:sz="0" w:space="0" w:color="auto"/>
        <w:bottom w:val="none" w:sz="0" w:space="0" w:color="auto"/>
        <w:right w:val="none" w:sz="0" w:space="0" w:color="auto"/>
      </w:divBdr>
    </w:div>
    <w:div w:id="941959362">
      <w:bodyDiv w:val="1"/>
      <w:marLeft w:val="0"/>
      <w:marRight w:val="0"/>
      <w:marTop w:val="0"/>
      <w:marBottom w:val="0"/>
      <w:divBdr>
        <w:top w:val="none" w:sz="0" w:space="0" w:color="auto"/>
        <w:left w:val="none" w:sz="0" w:space="0" w:color="auto"/>
        <w:bottom w:val="none" w:sz="0" w:space="0" w:color="auto"/>
        <w:right w:val="none" w:sz="0" w:space="0" w:color="auto"/>
      </w:divBdr>
    </w:div>
    <w:div w:id="942032008">
      <w:bodyDiv w:val="1"/>
      <w:marLeft w:val="0"/>
      <w:marRight w:val="0"/>
      <w:marTop w:val="0"/>
      <w:marBottom w:val="0"/>
      <w:divBdr>
        <w:top w:val="none" w:sz="0" w:space="0" w:color="auto"/>
        <w:left w:val="none" w:sz="0" w:space="0" w:color="auto"/>
        <w:bottom w:val="none" w:sz="0" w:space="0" w:color="auto"/>
        <w:right w:val="none" w:sz="0" w:space="0" w:color="auto"/>
      </w:divBdr>
    </w:div>
    <w:div w:id="942035058">
      <w:bodyDiv w:val="1"/>
      <w:marLeft w:val="0"/>
      <w:marRight w:val="0"/>
      <w:marTop w:val="0"/>
      <w:marBottom w:val="0"/>
      <w:divBdr>
        <w:top w:val="none" w:sz="0" w:space="0" w:color="auto"/>
        <w:left w:val="none" w:sz="0" w:space="0" w:color="auto"/>
        <w:bottom w:val="none" w:sz="0" w:space="0" w:color="auto"/>
        <w:right w:val="none" w:sz="0" w:space="0" w:color="auto"/>
      </w:divBdr>
    </w:div>
    <w:div w:id="942035767">
      <w:bodyDiv w:val="1"/>
      <w:marLeft w:val="0"/>
      <w:marRight w:val="0"/>
      <w:marTop w:val="0"/>
      <w:marBottom w:val="0"/>
      <w:divBdr>
        <w:top w:val="none" w:sz="0" w:space="0" w:color="auto"/>
        <w:left w:val="none" w:sz="0" w:space="0" w:color="auto"/>
        <w:bottom w:val="none" w:sz="0" w:space="0" w:color="auto"/>
        <w:right w:val="none" w:sz="0" w:space="0" w:color="auto"/>
      </w:divBdr>
    </w:div>
    <w:div w:id="942107186">
      <w:bodyDiv w:val="1"/>
      <w:marLeft w:val="0"/>
      <w:marRight w:val="0"/>
      <w:marTop w:val="0"/>
      <w:marBottom w:val="0"/>
      <w:divBdr>
        <w:top w:val="none" w:sz="0" w:space="0" w:color="auto"/>
        <w:left w:val="none" w:sz="0" w:space="0" w:color="auto"/>
        <w:bottom w:val="none" w:sz="0" w:space="0" w:color="auto"/>
        <w:right w:val="none" w:sz="0" w:space="0" w:color="auto"/>
      </w:divBdr>
    </w:div>
    <w:div w:id="942155586">
      <w:bodyDiv w:val="1"/>
      <w:marLeft w:val="0"/>
      <w:marRight w:val="0"/>
      <w:marTop w:val="0"/>
      <w:marBottom w:val="0"/>
      <w:divBdr>
        <w:top w:val="none" w:sz="0" w:space="0" w:color="auto"/>
        <w:left w:val="none" w:sz="0" w:space="0" w:color="auto"/>
        <w:bottom w:val="none" w:sz="0" w:space="0" w:color="auto"/>
        <w:right w:val="none" w:sz="0" w:space="0" w:color="auto"/>
      </w:divBdr>
    </w:div>
    <w:div w:id="942230452">
      <w:bodyDiv w:val="1"/>
      <w:marLeft w:val="0"/>
      <w:marRight w:val="0"/>
      <w:marTop w:val="0"/>
      <w:marBottom w:val="0"/>
      <w:divBdr>
        <w:top w:val="none" w:sz="0" w:space="0" w:color="auto"/>
        <w:left w:val="none" w:sz="0" w:space="0" w:color="auto"/>
        <w:bottom w:val="none" w:sz="0" w:space="0" w:color="auto"/>
        <w:right w:val="none" w:sz="0" w:space="0" w:color="auto"/>
      </w:divBdr>
    </w:div>
    <w:div w:id="942372603">
      <w:bodyDiv w:val="1"/>
      <w:marLeft w:val="0"/>
      <w:marRight w:val="0"/>
      <w:marTop w:val="0"/>
      <w:marBottom w:val="0"/>
      <w:divBdr>
        <w:top w:val="none" w:sz="0" w:space="0" w:color="auto"/>
        <w:left w:val="none" w:sz="0" w:space="0" w:color="auto"/>
        <w:bottom w:val="none" w:sz="0" w:space="0" w:color="auto"/>
        <w:right w:val="none" w:sz="0" w:space="0" w:color="auto"/>
      </w:divBdr>
    </w:div>
    <w:div w:id="942414979">
      <w:bodyDiv w:val="1"/>
      <w:marLeft w:val="0"/>
      <w:marRight w:val="0"/>
      <w:marTop w:val="0"/>
      <w:marBottom w:val="0"/>
      <w:divBdr>
        <w:top w:val="none" w:sz="0" w:space="0" w:color="auto"/>
        <w:left w:val="none" w:sz="0" w:space="0" w:color="auto"/>
        <w:bottom w:val="none" w:sz="0" w:space="0" w:color="auto"/>
        <w:right w:val="none" w:sz="0" w:space="0" w:color="auto"/>
      </w:divBdr>
    </w:div>
    <w:div w:id="942539932">
      <w:bodyDiv w:val="1"/>
      <w:marLeft w:val="0"/>
      <w:marRight w:val="0"/>
      <w:marTop w:val="0"/>
      <w:marBottom w:val="0"/>
      <w:divBdr>
        <w:top w:val="none" w:sz="0" w:space="0" w:color="auto"/>
        <w:left w:val="none" w:sz="0" w:space="0" w:color="auto"/>
        <w:bottom w:val="none" w:sz="0" w:space="0" w:color="auto"/>
        <w:right w:val="none" w:sz="0" w:space="0" w:color="auto"/>
      </w:divBdr>
    </w:div>
    <w:div w:id="942608583">
      <w:bodyDiv w:val="1"/>
      <w:marLeft w:val="0"/>
      <w:marRight w:val="0"/>
      <w:marTop w:val="0"/>
      <w:marBottom w:val="0"/>
      <w:divBdr>
        <w:top w:val="none" w:sz="0" w:space="0" w:color="auto"/>
        <w:left w:val="none" w:sz="0" w:space="0" w:color="auto"/>
        <w:bottom w:val="none" w:sz="0" w:space="0" w:color="auto"/>
        <w:right w:val="none" w:sz="0" w:space="0" w:color="auto"/>
      </w:divBdr>
    </w:div>
    <w:div w:id="942614050">
      <w:bodyDiv w:val="1"/>
      <w:marLeft w:val="0"/>
      <w:marRight w:val="0"/>
      <w:marTop w:val="0"/>
      <w:marBottom w:val="0"/>
      <w:divBdr>
        <w:top w:val="none" w:sz="0" w:space="0" w:color="auto"/>
        <w:left w:val="none" w:sz="0" w:space="0" w:color="auto"/>
        <w:bottom w:val="none" w:sz="0" w:space="0" w:color="auto"/>
        <w:right w:val="none" w:sz="0" w:space="0" w:color="auto"/>
      </w:divBdr>
    </w:div>
    <w:div w:id="942617265">
      <w:bodyDiv w:val="1"/>
      <w:marLeft w:val="0"/>
      <w:marRight w:val="0"/>
      <w:marTop w:val="0"/>
      <w:marBottom w:val="0"/>
      <w:divBdr>
        <w:top w:val="none" w:sz="0" w:space="0" w:color="auto"/>
        <w:left w:val="none" w:sz="0" w:space="0" w:color="auto"/>
        <w:bottom w:val="none" w:sz="0" w:space="0" w:color="auto"/>
        <w:right w:val="none" w:sz="0" w:space="0" w:color="auto"/>
      </w:divBdr>
    </w:div>
    <w:div w:id="942801752">
      <w:bodyDiv w:val="1"/>
      <w:marLeft w:val="0"/>
      <w:marRight w:val="0"/>
      <w:marTop w:val="0"/>
      <w:marBottom w:val="0"/>
      <w:divBdr>
        <w:top w:val="none" w:sz="0" w:space="0" w:color="auto"/>
        <w:left w:val="none" w:sz="0" w:space="0" w:color="auto"/>
        <w:bottom w:val="none" w:sz="0" w:space="0" w:color="auto"/>
        <w:right w:val="none" w:sz="0" w:space="0" w:color="auto"/>
      </w:divBdr>
    </w:div>
    <w:div w:id="942884421">
      <w:bodyDiv w:val="1"/>
      <w:marLeft w:val="0"/>
      <w:marRight w:val="0"/>
      <w:marTop w:val="0"/>
      <w:marBottom w:val="0"/>
      <w:divBdr>
        <w:top w:val="none" w:sz="0" w:space="0" w:color="auto"/>
        <w:left w:val="none" w:sz="0" w:space="0" w:color="auto"/>
        <w:bottom w:val="none" w:sz="0" w:space="0" w:color="auto"/>
        <w:right w:val="none" w:sz="0" w:space="0" w:color="auto"/>
      </w:divBdr>
    </w:div>
    <w:div w:id="942886282">
      <w:bodyDiv w:val="1"/>
      <w:marLeft w:val="0"/>
      <w:marRight w:val="0"/>
      <w:marTop w:val="0"/>
      <w:marBottom w:val="0"/>
      <w:divBdr>
        <w:top w:val="none" w:sz="0" w:space="0" w:color="auto"/>
        <w:left w:val="none" w:sz="0" w:space="0" w:color="auto"/>
        <w:bottom w:val="none" w:sz="0" w:space="0" w:color="auto"/>
        <w:right w:val="none" w:sz="0" w:space="0" w:color="auto"/>
      </w:divBdr>
    </w:div>
    <w:div w:id="942958474">
      <w:bodyDiv w:val="1"/>
      <w:marLeft w:val="0"/>
      <w:marRight w:val="0"/>
      <w:marTop w:val="0"/>
      <w:marBottom w:val="0"/>
      <w:divBdr>
        <w:top w:val="none" w:sz="0" w:space="0" w:color="auto"/>
        <w:left w:val="none" w:sz="0" w:space="0" w:color="auto"/>
        <w:bottom w:val="none" w:sz="0" w:space="0" w:color="auto"/>
        <w:right w:val="none" w:sz="0" w:space="0" w:color="auto"/>
      </w:divBdr>
    </w:div>
    <w:div w:id="943002963">
      <w:bodyDiv w:val="1"/>
      <w:marLeft w:val="0"/>
      <w:marRight w:val="0"/>
      <w:marTop w:val="0"/>
      <w:marBottom w:val="0"/>
      <w:divBdr>
        <w:top w:val="none" w:sz="0" w:space="0" w:color="auto"/>
        <w:left w:val="none" w:sz="0" w:space="0" w:color="auto"/>
        <w:bottom w:val="none" w:sz="0" w:space="0" w:color="auto"/>
        <w:right w:val="none" w:sz="0" w:space="0" w:color="auto"/>
      </w:divBdr>
    </w:div>
    <w:div w:id="943028995">
      <w:bodyDiv w:val="1"/>
      <w:marLeft w:val="0"/>
      <w:marRight w:val="0"/>
      <w:marTop w:val="0"/>
      <w:marBottom w:val="0"/>
      <w:divBdr>
        <w:top w:val="none" w:sz="0" w:space="0" w:color="auto"/>
        <w:left w:val="none" w:sz="0" w:space="0" w:color="auto"/>
        <w:bottom w:val="none" w:sz="0" w:space="0" w:color="auto"/>
        <w:right w:val="none" w:sz="0" w:space="0" w:color="auto"/>
      </w:divBdr>
    </w:div>
    <w:div w:id="943070222">
      <w:bodyDiv w:val="1"/>
      <w:marLeft w:val="0"/>
      <w:marRight w:val="0"/>
      <w:marTop w:val="0"/>
      <w:marBottom w:val="0"/>
      <w:divBdr>
        <w:top w:val="none" w:sz="0" w:space="0" w:color="auto"/>
        <w:left w:val="none" w:sz="0" w:space="0" w:color="auto"/>
        <w:bottom w:val="none" w:sz="0" w:space="0" w:color="auto"/>
        <w:right w:val="none" w:sz="0" w:space="0" w:color="auto"/>
      </w:divBdr>
    </w:div>
    <w:div w:id="943273061">
      <w:bodyDiv w:val="1"/>
      <w:marLeft w:val="0"/>
      <w:marRight w:val="0"/>
      <w:marTop w:val="0"/>
      <w:marBottom w:val="0"/>
      <w:divBdr>
        <w:top w:val="none" w:sz="0" w:space="0" w:color="auto"/>
        <w:left w:val="none" w:sz="0" w:space="0" w:color="auto"/>
        <w:bottom w:val="none" w:sz="0" w:space="0" w:color="auto"/>
        <w:right w:val="none" w:sz="0" w:space="0" w:color="auto"/>
      </w:divBdr>
    </w:div>
    <w:div w:id="943417771">
      <w:bodyDiv w:val="1"/>
      <w:marLeft w:val="0"/>
      <w:marRight w:val="0"/>
      <w:marTop w:val="0"/>
      <w:marBottom w:val="0"/>
      <w:divBdr>
        <w:top w:val="none" w:sz="0" w:space="0" w:color="auto"/>
        <w:left w:val="none" w:sz="0" w:space="0" w:color="auto"/>
        <w:bottom w:val="none" w:sz="0" w:space="0" w:color="auto"/>
        <w:right w:val="none" w:sz="0" w:space="0" w:color="auto"/>
      </w:divBdr>
    </w:div>
    <w:div w:id="943418579">
      <w:bodyDiv w:val="1"/>
      <w:marLeft w:val="0"/>
      <w:marRight w:val="0"/>
      <w:marTop w:val="0"/>
      <w:marBottom w:val="0"/>
      <w:divBdr>
        <w:top w:val="none" w:sz="0" w:space="0" w:color="auto"/>
        <w:left w:val="none" w:sz="0" w:space="0" w:color="auto"/>
        <w:bottom w:val="none" w:sz="0" w:space="0" w:color="auto"/>
        <w:right w:val="none" w:sz="0" w:space="0" w:color="auto"/>
      </w:divBdr>
    </w:div>
    <w:div w:id="943459276">
      <w:bodyDiv w:val="1"/>
      <w:marLeft w:val="0"/>
      <w:marRight w:val="0"/>
      <w:marTop w:val="0"/>
      <w:marBottom w:val="0"/>
      <w:divBdr>
        <w:top w:val="none" w:sz="0" w:space="0" w:color="auto"/>
        <w:left w:val="none" w:sz="0" w:space="0" w:color="auto"/>
        <w:bottom w:val="none" w:sz="0" w:space="0" w:color="auto"/>
        <w:right w:val="none" w:sz="0" w:space="0" w:color="auto"/>
      </w:divBdr>
    </w:div>
    <w:div w:id="943536005">
      <w:bodyDiv w:val="1"/>
      <w:marLeft w:val="0"/>
      <w:marRight w:val="0"/>
      <w:marTop w:val="0"/>
      <w:marBottom w:val="0"/>
      <w:divBdr>
        <w:top w:val="none" w:sz="0" w:space="0" w:color="auto"/>
        <w:left w:val="none" w:sz="0" w:space="0" w:color="auto"/>
        <w:bottom w:val="none" w:sz="0" w:space="0" w:color="auto"/>
        <w:right w:val="none" w:sz="0" w:space="0" w:color="auto"/>
      </w:divBdr>
    </w:div>
    <w:div w:id="943850787">
      <w:bodyDiv w:val="1"/>
      <w:marLeft w:val="0"/>
      <w:marRight w:val="0"/>
      <w:marTop w:val="0"/>
      <w:marBottom w:val="0"/>
      <w:divBdr>
        <w:top w:val="none" w:sz="0" w:space="0" w:color="auto"/>
        <w:left w:val="none" w:sz="0" w:space="0" w:color="auto"/>
        <w:bottom w:val="none" w:sz="0" w:space="0" w:color="auto"/>
        <w:right w:val="none" w:sz="0" w:space="0" w:color="auto"/>
      </w:divBdr>
    </w:div>
    <w:div w:id="943926313">
      <w:bodyDiv w:val="1"/>
      <w:marLeft w:val="0"/>
      <w:marRight w:val="0"/>
      <w:marTop w:val="0"/>
      <w:marBottom w:val="0"/>
      <w:divBdr>
        <w:top w:val="none" w:sz="0" w:space="0" w:color="auto"/>
        <w:left w:val="none" w:sz="0" w:space="0" w:color="auto"/>
        <w:bottom w:val="none" w:sz="0" w:space="0" w:color="auto"/>
        <w:right w:val="none" w:sz="0" w:space="0" w:color="auto"/>
      </w:divBdr>
    </w:div>
    <w:div w:id="944002588">
      <w:bodyDiv w:val="1"/>
      <w:marLeft w:val="0"/>
      <w:marRight w:val="0"/>
      <w:marTop w:val="0"/>
      <w:marBottom w:val="0"/>
      <w:divBdr>
        <w:top w:val="none" w:sz="0" w:space="0" w:color="auto"/>
        <w:left w:val="none" w:sz="0" w:space="0" w:color="auto"/>
        <w:bottom w:val="none" w:sz="0" w:space="0" w:color="auto"/>
        <w:right w:val="none" w:sz="0" w:space="0" w:color="auto"/>
      </w:divBdr>
    </w:div>
    <w:div w:id="944003245">
      <w:bodyDiv w:val="1"/>
      <w:marLeft w:val="0"/>
      <w:marRight w:val="0"/>
      <w:marTop w:val="0"/>
      <w:marBottom w:val="0"/>
      <w:divBdr>
        <w:top w:val="none" w:sz="0" w:space="0" w:color="auto"/>
        <w:left w:val="none" w:sz="0" w:space="0" w:color="auto"/>
        <w:bottom w:val="none" w:sz="0" w:space="0" w:color="auto"/>
        <w:right w:val="none" w:sz="0" w:space="0" w:color="auto"/>
      </w:divBdr>
    </w:div>
    <w:div w:id="944070112">
      <w:bodyDiv w:val="1"/>
      <w:marLeft w:val="0"/>
      <w:marRight w:val="0"/>
      <w:marTop w:val="0"/>
      <w:marBottom w:val="0"/>
      <w:divBdr>
        <w:top w:val="none" w:sz="0" w:space="0" w:color="auto"/>
        <w:left w:val="none" w:sz="0" w:space="0" w:color="auto"/>
        <w:bottom w:val="none" w:sz="0" w:space="0" w:color="auto"/>
        <w:right w:val="none" w:sz="0" w:space="0" w:color="auto"/>
      </w:divBdr>
    </w:div>
    <w:div w:id="944070983">
      <w:bodyDiv w:val="1"/>
      <w:marLeft w:val="0"/>
      <w:marRight w:val="0"/>
      <w:marTop w:val="0"/>
      <w:marBottom w:val="0"/>
      <w:divBdr>
        <w:top w:val="none" w:sz="0" w:space="0" w:color="auto"/>
        <w:left w:val="none" w:sz="0" w:space="0" w:color="auto"/>
        <w:bottom w:val="none" w:sz="0" w:space="0" w:color="auto"/>
        <w:right w:val="none" w:sz="0" w:space="0" w:color="auto"/>
      </w:divBdr>
    </w:div>
    <w:div w:id="944309627">
      <w:bodyDiv w:val="1"/>
      <w:marLeft w:val="0"/>
      <w:marRight w:val="0"/>
      <w:marTop w:val="0"/>
      <w:marBottom w:val="0"/>
      <w:divBdr>
        <w:top w:val="none" w:sz="0" w:space="0" w:color="auto"/>
        <w:left w:val="none" w:sz="0" w:space="0" w:color="auto"/>
        <w:bottom w:val="none" w:sz="0" w:space="0" w:color="auto"/>
        <w:right w:val="none" w:sz="0" w:space="0" w:color="auto"/>
      </w:divBdr>
    </w:div>
    <w:div w:id="944389905">
      <w:bodyDiv w:val="1"/>
      <w:marLeft w:val="0"/>
      <w:marRight w:val="0"/>
      <w:marTop w:val="0"/>
      <w:marBottom w:val="0"/>
      <w:divBdr>
        <w:top w:val="none" w:sz="0" w:space="0" w:color="auto"/>
        <w:left w:val="none" w:sz="0" w:space="0" w:color="auto"/>
        <w:bottom w:val="none" w:sz="0" w:space="0" w:color="auto"/>
        <w:right w:val="none" w:sz="0" w:space="0" w:color="auto"/>
      </w:divBdr>
    </w:div>
    <w:div w:id="944465001">
      <w:bodyDiv w:val="1"/>
      <w:marLeft w:val="0"/>
      <w:marRight w:val="0"/>
      <w:marTop w:val="0"/>
      <w:marBottom w:val="0"/>
      <w:divBdr>
        <w:top w:val="none" w:sz="0" w:space="0" w:color="auto"/>
        <w:left w:val="none" w:sz="0" w:space="0" w:color="auto"/>
        <w:bottom w:val="none" w:sz="0" w:space="0" w:color="auto"/>
        <w:right w:val="none" w:sz="0" w:space="0" w:color="auto"/>
      </w:divBdr>
    </w:div>
    <w:div w:id="944504843">
      <w:bodyDiv w:val="1"/>
      <w:marLeft w:val="0"/>
      <w:marRight w:val="0"/>
      <w:marTop w:val="0"/>
      <w:marBottom w:val="0"/>
      <w:divBdr>
        <w:top w:val="none" w:sz="0" w:space="0" w:color="auto"/>
        <w:left w:val="none" w:sz="0" w:space="0" w:color="auto"/>
        <w:bottom w:val="none" w:sz="0" w:space="0" w:color="auto"/>
        <w:right w:val="none" w:sz="0" w:space="0" w:color="auto"/>
      </w:divBdr>
    </w:div>
    <w:div w:id="944577748">
      <w:bodyDiv w:val="1"/>
      <w:marLeft w:val="0"/>
      <w:marRight w:val="0"/>
      <w:marTop w:val="0"/>
      <w:marBottom w:val="0"/>
      <w:divBdr>
        <w:top w:val="none" w:sz="0" w:space="0" w:color="auto"/>
        <w:left w:val="none" w:sz="0" w:space="0" w:color="auto"/>
        <w:bottom w:val="none" w:sz="0" w:space="0" w:color="auto"/>
        <w:right w:val="none" w:sz="0" w:space="0" w:color="auto"/>
      </w:divBdr>
    </w:div>
    <w:div w:id="944580557">
      <w:bodyDiv w:val="1"/>
      <w:marLeft w:val="0"/>
      <w:marRight w:val="0"/>
      <w:marTop w:val="0"/>
      <w:marBottom w:val="0"/>
      <w:divBdr>
        <w:top w:val="none" w:sz="0" w:space="0" w:color="auto"/>
        <w:left w:val="none" w:sz="0" w:space="0" w:color="auto"/>
        <w:bottom w:val="none" w:sz="0" w:space="0" w:color="auto"/>
        <w:right w:val="none" w:sz="0" w:space="0" w:color="auto"/>
      </w:divBdr>
    </w:div>
    <w:div w:id="944733289">
      <w:bodyDiv w:val="1"/>
      <w:marLeft w:val="0"/>
      <w:marRight w:val="0"/>
      <w:marTop w:val="0"/>
      <w:marBottom w:val="0"/>
      <w:divBdr>
        <w:top w:val="none" w:sz="0" w:space="0" w:color="auto"/>
        <w:left w:val="none" w:sz="0" w:space="0" w:color="auto"/>
        <w:bottom w:val="none" w:sz="0" w:space="0" w:color="auto"/>
        <w:right w:val="none" w:sz="0" w:space="0" w:color="auto"/>
      </w:divBdr>
    </w:div>
    <w:div w:id="944920146">
      <w:bodyDiv w:val="1"/>
      <w:marLeft w:val="0"/>
      <w:marRight w:val="0"/>
      <w:marTop w:val="0"/>
      <w:marBottom w:val="0"/>
      <w:divBdr>
        <w:top w:val="none" w:sz="0" w:space="0" w:color="auto"/>
        <w:left w:val="none" w:sz="0" w:space="0" w:color="auto"/>
        <w:bottom w:val="none" w:sz="0" w:space="0" w:color="auto"/>
        <w:right w:val="none" w:sz="0" w:space="0" w:color="auto"/>
      </w:divBdr>
    </w:div>
    <w:div w:id="944966832">
      <w:bodyDiv w:val="1"/>
      <w:marLeft w:val="0"/>
      <w:marRight w:val="0"/>
      <w:marTop w:val="0"/>
      <w:marBottom w:val="0"/>
      <w:divBdr>
        <w:top w:val="none" w:sz="0" w:space="0" w:color="auto"/>
        <w:left w:val="none" w:sz="0" w:space="0" w:color="auto"/>
        <w:bottom w:val="none" w:sz="0" w:space="0" w:color="auto"/>
        <w:right w:val="none" w:sz="0" w:space="0" w:color="auto"/>
      </w:divBdr>
    </w:div>
    <w:div w:id="945118759">
      <w:bodyDiv w:val="1"/>
      <w:marLeft w:val="0"/>
      <w:marRight w:val="0"/>
      <w:marTop w:val="0"/>
      <w:marBottom w:val="0"/>
      <w:divBdr>
        <w:top w:val="none" w:sz="0" w:space="0" w:color="auto"/>
        <w:left w:val="none" w:sz="0" w:space="0" w:color="auto"/>
        <w:bottom w:val="none" w:sz="0" w:space="0" w:color="auto"/>
        <w:right w:val="none" w:sz="0" w:space="0" w:color="auto"/>
      </w:divBdr>
    </w:div>
    <w:div w:id="945119285">
      <w:bodyDiv w:val="1"/>
      <w:marLeft w:val="0"/>
      <w:marRight w:val="0"/>
      <w:marTop w:val="0"/>
      <w:marBottom w:val="0"/>
      <w:divBdr>
        <w:top w:val="none" w:sz="0" w:space="0" w:color="auto"/>
        <w:left w:val="none" w:sz="0" w:space="0" w:color="auto"/>
        <w:bottom w:val="none" w:sz="0" w:space="0" w:color="auto"/>
        <w:right w:val="none" w:sz="0" w:space="0" w:color="auto"/>
      </w:divBdr>
    </w:div>
    <w:div w:id="945308258">
      <w:bodyDiv w:val="1"/>
      <w:marLeft w:val="0"/>
      <w:marRight w:val="0"/>
      <w:marTop w:val="0"/>
      <w:marBottom w:val="0"/>
      <w:divBdr>
        <w:top w:val="none" w:sz="0" w:space="0" w:color="auto"/>
        <w:left w:val="none" w:sz="0" w:space="0" w:color="auto"/>
        <w:bottom w:val="none" w:sz="0" w:space="0" w:color="auto"/>
        <w:right w:val="none" w:sz="0" w:space="0" w:color="auto"/>
      </w:divBdr>
    </w:div>
    <w:div w:id="945379985">
      <w:bodyDiv w:val="1"/>
      <w:marLeft w:val="0"/>
      <w:marRight w:val="0"/>
      <w:marTop w:val="0"/>
      <w:marBottom w:val="0"/>
      <w:divBdr>
        <w:top w:val="none" w:sz="0" w:space="0" w:color="auto"/>
        <w:left w:val="none" w:sz="0" w:space="0" w:color="auto"/>
        <w:bottom w:val="none" w:sz="0" w:space="0" w:color="auto"/>
        <w:right w:val="none" w:sz="0" w:space="0" w:color="auto"/>
      </w:divBdr>
    </w:div>
    <w:div w:id="945423697">
      <w:bodyDiv w:val="1"/>
      <w:marLeft w:val="0"/>
      <w:marRight w:val="0"/>
      <w:marTop w:val="0"/>
      <w:marBottom w:val="0"/>
      <w:divBdr>
        <w:top w:val="none" w:sz="0" w:space="0" w:color="auto"/>
        <w:left w:val="none" w:sz="0" w:space="0" w:color="auto"/>
        <w:bottom w:val="none" w:sz="0" w:space="0" w:color="auto"/>
        <w:right w:val="none" w:sz="0" w:space="0" w:color="auto"/>
      </w:divBdr>
    </w:div>
    <w:div w:id="945425382">
      <w:bodyDiv w:val="1"/>
      <w:marLeft w:val="0"/>
      <w:marRight w:val="0"/>
      <w:marTop w:val="0"/>
      <w:marBottom w:val="0"/>
      <w:divBdr>
        <w:top w:val="none" w:sz="0" w:space="0" w:color="auto"/>
        <w:left w:val="none" w:sz="0" w:space="0" w:color="auto"/>
        <w:bottom w:val="none" w:sz="0" w:space="0" w:color="auto"/>
        <w:right w:val="none" w:sz="0" w:space="0" w:color="auto"/>
      </w:divBdr>
    </w:div>
    <w:div w:id="945505795">
      <w:bodyDiv w:val="1"/>
      <w:marLeft w:val="0"/>
      <w:marRight w:val="0"/>
      <w:marTop w:val="0"/>
      <w:marBottom w:val="0"/>
      <w:divBdr>
        <w:top w:val="none" w:sz="0" w:space="0" w:color="auto"/>
        <w:left w:val="none" w:sz="0" w:space="0" w:color="auto"/>
        <w:bottom w:val="none" w:sz="0" w:space="0" w:color="auto"/>
        <w:right w:val="none" w:sz="0" w:space="0" w:color="auto"/>
      </w:divBdr>
    </w:div>
    <w:div w:id="945506219">
      <w:bodyDiv w:val="1"/>
      <w:marLeft w:val="0"/>
      <w:marRight w:val="0"/>
      <w:marTop w:val="0"/>
      <w:marBottom w:val="0"/>
      <w:divBdr>
        <w:top w:val="none" w:sz="0" w:space="0" w:color="auto"/>
        <w:left w:val="none" w:sz="0" w:space="0" w:color="auto"/>
        <w:bottom w:val="none" w:sz="0" w:space="0" w:color="auto"/>
        <w:right w:val="none" w:sz="0" w:space="0" w:color="auto"/>
      </w:divBdr>
    </w:div>
    <w:div w:id="945506688">
      <w:bodyDiv w:val="1"/>
      <w:marLeft w:val="0"/>
      <w:marRight w:val="0"/>
      <w:marTop w:val="0"/>
      <w:marBottom w:val="0"/>
      <w:divBdr>
        <w:top w:val="none" w:sz="0" w:space="0" w:color="auto"/>
        <w:left w:val="none" w:sz="0" w:space="0" w:color="auto"/>
        <w:bottom w:val="none" w:sz="0" w:space="0" w:color="auto"/>
        <w:right w:val="none" w:sz="0" w:space="0" w:color="auto"/>
      </w:divBdr>
    </w:div>
    <w:div w:id="945577930">
      <w:bodyDiv w:val="1"/>
      <w:marLeft w:val="0"/>
      <w:marRight w:val="0"/>
      <w:marTop w:val="0"/>
      <w:marBottom w:val="0"/>
      <w:divBdr>
        <w:top w:val="none" w:sz="0" w:space="0" w:color="auto"/>
        <w:left w:val="none" w:sz="0" w:space="0" w:color="auto"/>
        <w:bottom w:val="none" w:sz="0" w:space="0" w:color="auto"/>
        <w:right w:val="none" w:sz="0" w:space="0" w:color="auto"/>
      </w:divBdr>
    </w:div>
    <w:div w:id="945619376">
      <w:bodyDiv w:val="1"/>
      <w:marLeft w:val="0"/>
      <w:marRight w:val="0"/>
      <w:marTop w:val="0"/>
      <w:marBottom w:val="0"/>
      <w:divBdr>
        <w:top w:val="none" w:sz="0" w:space="0" w:color="auto"/>
        <w:left w:val="none" w:sz="0" w:space="0" w:color="auto"/>
        <w:bottom w:val="none" w:sz="0" w:space="0" w:color="auto"/>
        <w:right w:val="none" w:sz="0" w:space="0" w:color="auto"/>
      </w:divBdr>
    </w:div>
    <w:div w:id="945619712">
      <w:bodyDiv w:val="1"/>
      <w:marLeft w:val="0"/>
      <w:marRight w:val="0"/>
      <w:marTop w:val="0"/>
      <w:marBottom w:val="0"/>
      <w:divBdr>
        <w:top w:val="none" w:sz="0" w:space="0" w:color="auto"/>
        <w:left w:val="none" w:sz="0" w:space="0" w:color="auto"/>
        <w:bottom w:val="none" w:sz="0" w:space="0" w:color="auto"/>
        <w:right w:val="none" w:sz="0" w:space="0" w:color="auto"/>
      </w:divBdr>
    </w:div>
    <w:div w:id="945768196">
      <w:bodyDiv w:val="1"/>
      <w:marLeft w:val="0"/>
      <w:marRight w:val="0"/>
      <w:marTop w:val="0"/>
      <w:marBottom w:val="0"/>
      <w:divBdr>
        <w:top w:val="none" w:sz="0" w:space="0" w:color="auto"/>
        <w:left w:val="none" w:sz="0" w:space="0" w:color="auto"/>
        <w:bottom w:val="none" w:sz="0" w:space="0" w:color="auto"/>
        <w:right w:val="none" w:sz="0" w:space="0" w:color="auto"/>
      </w:divBdr>
    </w:div>
    <w:div w:id="945770626">
      <w:bodyDiv w:val="1"/>
      <w:marLeft w:val="0"/>
      <w:marRight w:val="0"/>
      <w:marTop w:val="0"/>
      <w:marBottom w:val="0"/>
      <w:divBdr>
        <w:top w:val="none" w:sz="0" w:space="0" w:color="auto"/>
        <w:left w:val="none" w:sz="0" w:space="0" w:color="auto"/>
        <w:bottom w:val="none" w:sz="0" w:space="0" w:color="auto"/>
        <w:right w:val="none" w:sz="0" w:space="0" w:color="auto"/>
      </w:divBdr>
    </w:div>
    <w:div w:id="946160031">
      <w:bodyDiv w:val="1"/>
      <w:marLeft w:val="0"/>
      <w:marRight w:val="0"/>
      <w:marTop w:val="0"/>
      <w:marBottom w:val="0"/>
      <w:divBdr>
        <w:top w:val="none" w:sz="0" w:space="0" w:color="auto"/>
        <w:left w:val="none" w:sz="0" w:space="0" w:color="auto"/>
        <w:bottom w:val="none" w:sz="0" w:space="0" w:color="auto"/>
        <w:right w:val="none" w:sz="0" w:space="0" w:color="auto"/>
      </w:divBdr>
    </w:div>
    <w:div w:id="946160875">
      <w:bodyDiv w:val="1"/>
      <w:marLeft w:val="0"/>
      <w:marRight w:val="0"/>
      <w:marTop w:val="0"/>
      <w:marBottom w:val="0"/>
      <w:divBdr>
        <w:top w:val="none" w:sz="0" w:space="0" w:color="auto"/>
        <w:left w:val="none" w:sz="0" w:space="0" w:color="auto"/>
        <w:bottom w:val="none" w:sz="0" w:space="0" w:color="auto"/>
        <w:right w:val="none" w:sz="0" w:space="0" w:color="auto"/>
      </w:divBdr>
    </w:div>
    <w:div w:id="946230933">
      <w:bodyDiv w:val="1"/>
      <w:marLeft w:val="0"/>
      <w:marRight w:val="0"/>
      <w:marTop w:val="0"/>
      <w:marBottom w:val="0"/>
      <w:divBdr>
        <w:top w:val="none" w:sz="0" w:space="0" w:color="auto"/>
        <w:left w:val="none" w:sz="0" w:space="0" w:color="auto"/>
        <w:bottom w:val="none" w:sz="0" w:space="0" w:color="auto"/>
        <w:right w:val="none" w:sz="0" w:space="0" w:color="auto"/>
      </w:divBdr>
    </w:div>
    <w:div w:id="946231484">
      <w:bodyDiv w:val="1"/>
      <w:marLeft w:val="0"/>
      <w:marRight w:val="0"/>
      <w:marTop w:val="0"/>
      <w:marBottom w:val="0"/>
      <w:divBdr>
        <w:top w:val="none" w:sz="0" w:space="0" w:color="auto"/>
        <w:left w:val="none" w:sz="0" w:space="0" w:color="auto"/>
        <w:bottom w:val="none" w:sz="0" w:space="0" w:color="auto"/>
        <w:right w:val="none" w:sz="0" w:space="0" w:color="auto"/>
      </w:divBdr>
    </w:div>
    <w:div w:id="946236517">
      <w:bodyDiv w:val="1"/>
      <w:marLeft w:val="0"/>
      <w:marRight w:val="0"/>
      <w:marTop w:val="0"/>
      <w:marBottom w:val="0"/>
      <w:divBdr>
        <w:top w:val="none" w:sz="0" w:space="0" w:color="auto"/>
        <w:left w:val="none" w:sz="0" w:space="0" w:color="auto"/>
        <w:bottom w:val="none" w:sz="0" w:space="0" w:color="auto"/>
        <w:right w:val="none" w:sz="0" w:space="0" w:color="auto"/>
      </w:divBdr>
    </w:div>
    <w:div w:id="946278136">
      <w:bodyDiv w:val="1"/>
      <w:marLeft w:val="0"/>
      <w:marRight w:val="0"/>
      <w:marTop w:val="0"/>
      <w:marBottom w:val="0"/>
      <w:divBdr>
        <w:top w:val="none" w:sz="0" w:space="0" w:color="auto"/>
        <w:left w:val="none" w:sz="0" w:space="0" w:color="auto"/>
        <w:bottom w:val="none" w:sz="0" w:space="0" w:color="auto"/>
        <w:right w:val="none" w:sz="0" w:space="0" w:color="auto"/>
      </w:divBdr>
    </w:div>
    <w:div w:id="946278303">
      <w:bodyDiv w:val="1"/>
      <w:marLeft w:val="0"/>
      <w:marRight w:val="0"/>
      <w:marTop w:val="0"/>
      <w:marBottom w:val="0"/>
      <w:divBdr>
        <w:top w:val="none" w:sz="0" w:space="0" w:color="auto"/>
        <w:left w:val="none" w:sz="0" w:space="0" w:color="auto"/>
        <w:bottom w:val="none" w:sz="0" w:space="0" w:color="auto"/>
        <w:right w:val="none" w:sz="0" w:space="0" w:color="auto"/>
      </w:divBdr>
    </w:div>
    <w:div w:id="946279288">
      <w:bodyDiv w:val="1"/>
      <w:marLeft w:val="0"/>
      <w:marRight w:val="0"/>
      <w:marTop w:val="0"/>
      <w:marBottom w:val="0"/>
      <w:divBdr>
        <w:top w:val="none" w:sz="0" w:space="0" w:color="auto"/>
        <w:left w:val="none" w:sz="0" w:space="0" w:color="auto"/>
        <w:bottom w:val="none" w:sz="0" w:space="0" w:color="auto"/>
        <w:right w:val="none" w:sz="0" w:space="0" w:color="auto"/>
      </w:divBdr>
    </w:div>
    <w:div w:id="946352426">
      <w:bodyDiv w:val="1"/>
      <w:marLeft w:val="0"/>
      <w:marRight w:val="0"/>
      <w:marTop w:val="0"/>
      <w:marBottom w:val="0"/>
      <w:divBdr>
        <w:top w:val="none" w:sz="0" w:space="0" w:color="auto"/>
        <w:left w:val="none" w:sz="0" w:space="0" w:color="auto"/>
        <w:bottom w:val="none" w:sz="0" w:space="0" w:color="auto"/>
        <w:right w:val="none" w:sz="0" w:space="0" w:color="auto"/>
      </w:divBdr>
    </w:div>
    <w:div w:id="946498413">
      <w:bodyDiv w:val="1"/>
      <w:marLeft w:val="0"/>
      <w:marRight w:val="0"/>
      <w:marTop w:val="0"/>
      <w:marBottom w:val="0"/>
      <w:divBdr>
        <w:top w:val="none" w:sz="0" w:space="0" w:color="auto"/>
        <w:left w:val="none" w:sz="0" w:space="0" w:color="auto"/>
        <w:bottom w:val="none" w:sz="0" w:space="0" w:color="auto"/>
        <w:right w:val="none" w:sz="0" w:space="0" w:color="auto"/>
      </w:divBdr>
    </w:div>
    <w:div w:id="946549160">
      <w:bodyDiv w:val="1"/>
      <w:marLeft w:val="0"/>
      <w:marRight w:val="0"/>
      <w:marTop w:val="0"/>
      <w:marBottom w:val="0"/>
      <w:divBdr>
        <w:top w:val="none" w:sz="0" w:space="0" w:color="auto"/>
        <w:left w:val="none" w:sz="0" w:space="0" w:color="auto"/>
        <w:bottom w:val="none" w:sz="0" w:space="0" w:color="auto"/>
        <w:right w:val="none" w:sz="0" w:space="0" w:color="auto"/>
      </w:divBdr>
    </w:div>
    <w:div w:id="946619610">
      <w:bodyDiv w:val="1"/>
      <w:marLeft w:val="0"/>
      <w:marRight w:val="0"/>
      <w:marTop w:val="0"/>
      <w:marBottom w:val="0"/>
      <w:divBdr>
        <w:top w:val="none" w:sz="0" w:space="0" w:color="auto"/>
        <w:left w:val="none" w:sz="0" w:space="0" w:color="auto"/>
        <w:bottom w:val="none" w:sz="0" w:space="0" w:color="auto"/>
        <w:right w:val="none" w:sz="0" w:space="0" w:color="auto"/>
      </w:divBdr>
    </w:div>
    <w:div w:id="946623895">
      <w:bodyDiv w:val="1"/>
      <w:marLeft w:val="0"/>
      <w:marRight w:val="0"/>
      <w:marTop w:val="0"/>
      <w:marBottom w:val="0"/>
      <w:divBdr>
        <w:top w:val="none" w:sz="0" w:space="0" w:color="auto"/>
        <w:left w:val="none" w:sz="0" w:space="0" w:color="auto"/>
        <w:bottom w:val="none" w:sz="0" w:space="0" w:color="auto"/>
        <w:right w:val="none" w:sz="0" w:space="0" w:color="auto"/>
      </w:divBdr>
    </w:div>
    <w:div w:id="946733090">
      <w:bodyDiv w:val="1"/>
      <w:marLeft w:val="0"/>
      <w:marRight w:val="0"/>
      <w:marTop w:val="0"/>
      <w:marBottom w:val="0"/>
      <w:divBdr>
        <w:top w:val="none" w:sz="0" w:space="0" w:color="auto"/>
        <w:left w:val="none" w:sz="0" w:space="0" w:color="auto"/>
        <w:bottom w:val="none" w:sz="0" w:space="0" w:color="auto"/>
        <w:right w:val="none" w:sz="0" w:space="0" w:color="auto"/>
      </w:divBdr>
    </w:div>
    <w:div w:id="946736775">
      <w:bodyDiv w:val="1"/>
      <w:marLeft w:val="0"/>
      <w:marRight w:val="0"/>
      <w:marTop w:val="0"/>
      <w:marBottom w:val="0"/>
      <w:divBdr>
        <w:top w:val="none" w:sz="0" w:space="0" w:color="auto"/>
        <w:left w:val="none" w:sz="0" w:space="0" w:color="auto"/>
        <w:bottom w:val="none" w:sz="0" w:space="0" w:color="auto"/>
        <w:right w:val="none" w:sz="0" w:space="0" w:color="auto"/>
      </w:divBdr>
    </w:div>
    <w:div w:id="946887711">
      <w:bodyDiv w:val="1"/>
      <w:marLeft w:val="0"/>
      <w:marRight w:val="0"/>
      <w:marTop w:val="0"/>
      <w:marBottom w:val="0"/>
      <w:divBdr>
        <w:top w:val="none" w:sz="0" w:space="0" w:color="auto"/>
        <w:left w:val="none" w:sz="0" w:space="0" w:color="auto"/>
        <w:bottom w:val="none" w:sz="0" w:space="0" w:color="auto"/>
        <w:right w:val="none" w:sz="0" w:space="0" w:color="auto"/>
      </w:divBdr>
    </w:div>
    <w:div w:id="947009906">
      <w:bodyDiv w:val="1"/>
      <w:marLeft w:val="0"/>
      <w:marRight w:val="0"/>
      <w:marTop w:val="0"/>
      <w:marBottom w:val="0"/>
      <w:divBdr>
        <w:top w:val="none" w:sz="0" w:space="0" w:color="auto"/>
        <w:left w:val="none" w:sz="0" w:space="0" w:color="auto"/>
        <w:bottom w:val="none" w:sz="0" w:space="0" w:color="auto"/>
        <w:right w:val="none" w:sz="0" w:space="0" w:color="auto"/>
      </w:divBdr>
    </w:div>
    <w:div w:id="947084392">
      <w:bodyDiv w:val="1"/>
      <w:marLeft w:val="0"/>
      <w:marRight w:val="0"/>
      <w:marTop w:val="0"/>
      <w:marBottom w:val="0"/>
      <w:divBdr>
        <w:top w:val="none" w:sz="0" w:space="0" w:color="auto"/>
        <w:left w:val="none" w:sz="0" w:space="0" w:color="auto"/>
        <w:bottom w:val="none" w:sz="0" w:space="0" w:color="auto"/>
        <w:right w:val="none" w:sz="0" w:space="0" w:color="auto"/>
      </w:divBdr>
    </w:div>
    <w:div w:id="947156114">
      <w:bodyDiv w:val="1"/>
      <w:marLeft w:val="0"/>
      <w:marRight w:val="0"/>
      <w:marTop w:val="0"/>
      <w:marBottom w:val="0"/>
      <w:divBdr>
        <w:top w:val="none" w:sz="0" w:space="0" w:color="auto"/>
        <w:left w:val="none" w:sz="0" w:space="0" w:color="auto"/>
        <w:bottom w:val="none" w:sz="0" w:space="0" w:color="auto"/>
        <w:right w:val="none" w:sz="0" w:space="0" w:color="auto"/>
      </w:divBdr>
    </w:div>
    <w:div w:id="947196090">
      <w:bodyDiv w:val="1"/>
      <w:marLeft w:val="0"/>
      <w:marRight w:val="0"/>
      <w:marTop w:val="0"/>
      <w:marBottom w:val="0"/>
      <w:divBdr>
        <w:top w:val="none" w:sz="0" w:space="0" w:color="auto"/>
        <w:left w:val="none" w:sz="0" w:space="0" w:color="auto"/>
        <w:bottom w:val="none" w:sz="0" w:space="0" w:color="auto"/>
        <w:right w:val="none" w:sz="0" w:space="0" w:color="auto"/>
      </w:divBdr>
    </w:div>
    <w:div w:id="947198738">
      <w:bodyDiv w:val="1"/>
      <w:marLeft w:val="0"/>
      <w:marRight w:val="0"/>
      <w:marTop w:val="0"/>
      <w:marBottom w:val="0"/>
      <w:divBdr>
        <w:top w:val="none" w:sz="0" w:space="0" w:color="auto"/>
        <w:left w:val="none" w:sz="0" w:space="0" w:color="auto"/>
        <w:bottom w:val="none" w:sz="0" w:space="0" w:color="auto"/>
        <w:right w:val="none" w:sz="0" w:space="0" w:color="auto"/>
      </w:divBdr>
    </w:div>
    <w:div w:id="947201105">
      <w:bodyDiv w:val="1"/>
      <w:marLeft w:val="0"/>
      <w:marRight w:val="0"/>
      <w:marTop w:val="0"/>
      <w:marBottom w:val="0"/>
      <w:divBdr>
        <w:top w:val="none" w:sz="0" w:space="0" w:color="auto"/>
        <w:left w:val="none" w:sz="0" w:space="0" w:color="auto"/>
        <w:bottom w:val="none" w:sz="0" w:space="0" w:color="auto"/>
        <w:right w:val="none" w:sz="0" w:space="0" w:color="auto"/>
      </w:divBdr>
    </w:div>
    <w:div w:id="947203759">
      <w:bodyDiv w:val="1"/>
      <w:marLeft w:val="0"/>
      <w:marRight w:val="0"/>
      <w:marTop w:val="0"/>
      <w:marBottom w:val="0"/>
      <w:divBdr>
        <w:top w:val="none" w:sz="0" w:space="0" w:color="auto"/>
        <w:left w:val="none" w:sz="0" w:space="0" w:color="auto"/>
        <w:bottom w:val="none" w:sz="0" w:space="0" w:color="auto"/>
        <w:right w:val="none" w:sz="0" w:space="0" w:color="auto"/>
      </w:divBdr>
    </w:div>
    <w:div w:id="947272679">
      <w:bodyDiv w:val="1"/>
      <w:marLeft w:val="0"/>
      <w:marRight w:val="0"/>
      <w:marTop w:val="0"/>
      <w:marBottom w:val="0"/>
      <w:divBdr>
        <w:top w:val="none" w:sz="0" w:space="0" w:color="auto"/>
        <w:left w:val="none" w:sz="0" w:space="0" w:color="auto"/>
        <w:bottom w:val="none" w:sz="0" w:space="0" w:color="auto"/>
        <w:right w:val="none" w:sz="0" w:space="0" w:color="auto"/>
      </w:divBdr>
    </w:div>
    <w:div w:id="947277154">
      <w:bodyDiv w:val="1"/>
      <w:marLeft w:val="0"/>
      <w:marRight w:val="0"/>
      <w:marTop w:val="0"/>
      <w:marBottom w:val="0"/>
      <w:divBdr>
        <w:top w:val="none" w:sz="0" w:space="0" w:color="auto"/>
        <w:left w:val="none" w:sz="0" w:space="0" w:color="auto"/>
        <w:bottom w:val="none" w:sz="0" w:space="0" w:color="auto"/>
        <w:right w:val="none" w:sz="0" w:space="0" w:color="auto"/>
      </w:divBdr>
    </w:div>
    <w:div w:id="947355103">
      <w:bodyDiv w:val="1"/>
      <w:marLeft w:val="0"/>
      <w:marRight w:val="0"/>
      <w:marTop w:val="0"/>
      <w:marBottom w:val="0"/>
      <w:divBdr>
        <w:top w:val="none" w:sz="0" w:space="0" w:color="auto"/>
        <w:left w:val="none" w:sz="0" w:space="0" w:color="auto"/>
        <w:bottom w:val="none" w:sz="0" w:space="0" w:color="auto"/>
        <w:right w:val="none" w:sz="0" w:space="0" w:color="auto"/>
      </w:divBdr>
    </w:div>
    <w:div w:id="947464099">
      <w:bodyDiv w:val="1"/>
      <w:marLeft w:val="0"/>
      <w:marRight w:val="0"/>
      <w:marTop w:val="0"/>
      <w:marBottom w:val="0"/>
      <w:divBdr>
        <w:top w:val="none" w:sz="0" w:space="0" w:color="auto"/>
        <w:left w:val="none" w:sz="0" w:space="0" w:color="auto"/>
        <w:bottom w:val="none" w:sz="0" w:space="0" w:color="auto"/>
        <w:right w:val="none" w:sz="0" w:space="0" w:color="auto"/>
      </w:divBdr>
    </w:div>
    <w:div w:id="947544430">
      <w:bodyDiv w:val="1"/>
      <w:marLeft w:val="0"/>
      <w:marRight w:val="0"/>
      <w:marTop w:val="0"/>
      <w:marBottom w:val="0"/>
      <w:divBdr>
        <w:top w:val="none" w:sz="0" w:space="0" w:color="auto"/>
        <w:left w:val="none" w:sz="0" w:space="0" w:color="auto"/>
        <w:bottom w:val="none" w:sz="0" w:space="0" w:color="auto"/>
        <w:right w:val="none" w:sz="0" w:space="0" w:color="auto"/>
      </w:divBdr>
    </w:div>
    <w:div w:id="947732894">
      <w:bodyDiv w:val="1"/>
      <w:marLeft w:val="0"/>
      <w:marRight w:val="0"/>
      <w:marTop w:val="0"/>
      <w:marBottom w:val="0"/>
      <w:divBdr>
        <w:top w:val="none" w:sz="0" w:space="0" w:color="auto"/>
        <w:left w:val="none" w:sz="0" w:space="0" w:color="auto"/>
        <w:bottom w:val="none" w:sz="0" w:space="0" w:color="auto"/>
        <w:right w:val="none" w:sz="0" w:space="0" w:color="auto"/>
      </w:divBdr>
    </w:div>
    <w:div w:id="947738982">
      <w:bodyDiv w:val="1"/>
      <w:marLeft w:val="0"/>
      <w:marRight w:val="0"/>
      <w:marTop w:val="0"/>
      <w:marBottom w:val="0"/>
      <w:divBdr>
        <w:top w:val="none" w:sz="0" w:space="0" w:color="auto"/>
        <w:left w:val="none" w:sz="0" w:space="0" w:color="auto"/>
        <w:bottom w:val="none" w:sz="0" w:space="0" w:color="auto"/>
        <w:right w:val="none" w:sz="0" w:space="0" w:color="auto"/>
      </w:divBdr>
    </w:div>
    <w:div w:id="947740405">
      <w:bodyDiv w:val="1"/>
      <w:marLeft w:val="0"/>
      <w:marRight w:val="0"/>
      <w:marTop w:val="0"/>
      <w:marBottom w:val="0"/>
      <w:divBdr>
        <w:top w:val="none" w:sz="0" w:space="0" w:color="auto"/>
        <w:left w:val="none" w:sz="0" w:space="0" w:color="auto"/>
        <w:bottom w:val="none" w:sz="0" w:space="0" w:color="auto"/>
        <w:right w:val="none" w:sz="0" w:space="0" w:color="auto"/>
      </w:divBdr>
    </w:div>
    <w:div w:id="947782304">
      <w:bodyDiv w:val="1"/>
      <w:marLeft w:val="0"/>
      <w:marRight w:val="0"/>
      <w:marTop w:val="0"/>
      <w:marBottom w:val="0"/>
      <w:divBdr>
        <w:top w:val="none" w:sz="0" w:space="0" w:color="auto"/>
        <w:left w:val="none" w:sz="0" w:space="0" w:color="auto"/>
        <w:bottom w:val="none" w:sz="0" w:space="0" w:color="auto"/>
        <w:right w:val="none" w:sz="0" w:space="0" w:color="auto"/>
      </w:divBdr>
    </w:div>
    <w:div w:id="947808983">
      <w:bodyDiv w:val="1"/>
      <w:marLeft w:val="0"/>
      <w:marRight w:val="0"/>
      <w:marTop w:val="0"/>
      <w:marBottom w:val="0"/>
      <w:divBdr>
        <w:top w:val="none" w:sz="0" w:space="0" w:color="auto"/>
        <w:left w:val="none" w:sz="0" w:space="0" w:color="auto"/>
        <w:bottom w:val="none" w:sz="0" w:space="0" w:color="auto"/>
        <w:right w:val="none" w:sz="0" w:space="0" w:color="auto"/>
      </w:divBdr>
    </w:div>
    <w:div w:id="947809576">
      <w:bodyDiv w:val="1"/>
      <w:marLeft w:val="0"/>
      <w:marRight w:val="0"/>
      <w:marTop w:val="0"/>
      <w:marBottom w:val="0"/>
      <w:divBdr>
        <w:top w:val="none" w:sz="0" w:space="0" w:color="auto"/>
        <w:left w:val="none" w:sz="0" w:space="0" w:color="auto"/>
        <w:bottom w:val="none" w:sz="0" w:space="0" w:color="auto"/>
        <w:right w:val="none" w:sz="0" w:space="0" w:color="auto"/>
      </w:divBdr>
    </w:div>
    <w:div w:id="947813318">
      <w:bodyDiv w:val="1"/>
      <w:marLeft w:val="0"/>
      <w:marRight w:val="0"/>
      <w:marTop w:val="0"/>
      <w:marBottom w:val="0"/>
      <w:divBdr>
        <w:top w:val="none" w:sz="0" w:space="0" w:color="auto"/>
        <w:left w:val="none" w:sz="0" w:space="0" w:color="auto"/>
        <w:bottom w:val="none" w:sz="0" w:space="0" w:color="auto"/>
        <w:right w:val="none" w:sz="0" w:space="0" w:color="auto"/>
      </w:divBdr>
    </w:div>
    <w:div w:id="947930501">
      <w:bodyDiv w:val="1"/>
      <w:marLeft w:val="0"/>
      <w:marRight w:val="0"/>
      <w:marTop w:val="0"/>
      <w:marBottom w:val="0"/>
      <w:divBdr>
        <w:top w:val="none" w:sz="0" w:space="0" w:color="auto"/>
        <w:left w:val="none" w:sz="0" w:space="0" w:color="auto"/>
        <w:bottom w:val="none" w:sz="0" w:space="0" w:color="auto"/>
        <w:right w:val="none" w:sz="0" w:space="0" w:color="auto"/>
      </w:divBdr>
    </w:div>
    <w:div w:id="948003370">
      <w:bodyDiv w:val="1"/>
      <w:marLeft w:val="0"/>
      <w:marRight w:val="0"/>
      <w:marTop w:val="0"/>
      <w:marBottom w:val="0"/>
      <w:divBdr>
        <w:top w:val="none" w:sz="0" w:space="0" w:color="auto"/>
        <w:left w:val="none" w:sz="0" w:space="0" w:color="auto"/>
        <w:bottom w:val="none" w:sz="0" w:space="0" w:color="auto"/>
        <w:right w:val="none" w:sz="0" w:space="0" w:color="auto"/>
      </w:divBdr>
    </w:div>
    <w:div w:id="948004183">
      <w:bodyDiv w:val="1"/>
      <w:marLeft w:val="0"/>
      <w:marRight w:val="0"/>
      <w:marTop w:val="0"/>
      <w:marBottom w:val="0"/>
      <w:divBdr>
        <w:top w:val="none" w:sz="0" w:space="0" w:color="auto"/>
        <w:left w:val="none" w:sz="0" w:space="0" w:color="auto"/>
        <w:bottom w:val="none" w:sz="0" w:space="0" w:color="auto"/>
        <w:right w:val="none" w:sz="0" w:space="0" w:color="auto"/>
      </w:divBdr>
    </w:div>
    <w:div w:id="948008019">
      <w:bodyDiv w:val="1"/>
      <w:marLeft w:val="0"/>
      <w:marRight w:val="0"/>
      <w:marTop w:val="0"/>
      <w:marBottom w:val="0"/>
      <w:divBdr>
        <w:top w:val="none" w:sz="0" w:space="0" w:color="auto"/>
        <w:left w:val="none" w:sz="0" w:space="0" w:color="auto"/>
        <w:bottom w:val="none" w:sz="0" w:space="0" w:color="auto"/>
        <w:right w:val="none" w:sz="0" w:space="0" w:color="auto"/>
      </w:divBdr>
    </w:div>
    <w:div w:id="948121858">
      <w:bodyDiv w:val="1"/>
      <w:marLeft w:val="0"/>
      <w:marRight w:val="0"/>
      <w:marTop w:val="0"/>
      <w:marBottom w:val="0"/>
      <w:divBdr>
        <w:top w:val="none" w:sz="0" w:space="0" w:color="auto"/>
        <w:left w:val="none" w:sz="0" w:space="0" w:color="auto"/>
        <w:bottom w:val="none" w:sz="0" w:space="0" w:color="auto"/>
        <w:right w:val="none" w:sz="0" w:space="0" w:color="auto"/>
      </w:divBdr>
    </w:div>
    <w:div w:id="948243786">
      <w:bodyDiv w:val="1"/>
      <w:marLeft w:val="0"/>
      <w:marRight w:val="0"/>
      <w:marTop w:val="0"/>
      <w:marBottom w:val="0"/>
      <w:divBdr>
        <w:top w:val="none" w:sz="0" w:space="0" w:color="auto"/>
        <w:left w:val="none" w:sz="0" w:space="0" w:color="auto"/>
        <w:bottom w:val="none" w:sz="0" w:space="0" w:color="auto"/>
        <w:right w:val="none" w:sz="0" w:space="0" w:color="auto"/>
      </w:divBdr>
    </w:div>
    <w:div w:id="948314776">
      <w:bodyDiv w:val="1"/>
      <w:marLeft w:val="0"/>
      <w:marRight w:val="0"/>
      <w:marTop w:val="0"/>
      <w:marBottom w:val="0"/>
      <w:divBdr>
        <w:top w:val="none" w:sz="0" w:space="0" w:color="auto"/>
        <w:left w:val="none" w:sz="0" w:space="0" w:color="auto"/>
        <w:bottom w:val="none" w:sz="0" w:space="0" w:color="auto"/>
        <w:right w:val="none" w:sz="0" w:space="0" w:color="auto"/>
      </w:divBdr>
    </w:div>
    <w:div w:id="948315064">
      <w:bodyDiv w:val="1"/>
      <w:marLeft w:val="0"/>
      <w:marRight w:val="0"/>
      <w:marTop w:val="0"/>
      <w:marBottom w:val="0"/>
      <w:divBdr>
        <w:top w:val="none" w:sz="0" w:space="0" w:color="auto"/>
        <w:left w:val="none" w:sz="0" w:space="0" w:color="auto"/>
        <w:bottom w:val="none" w:sz="0" w:space="0" w:color="auto"/>
        <w:right w:val="none" w:sz="0" w:space="0" w:color="auto"/>
      </w:divBdr>
    </w:div>
    <w:div w:id="948392979">
      <w:bodyDiv w:val="1"/>
      <w:marLeft w:val="0"/>
      <w:marRight w:val="0"/>
      <w:marTop w:val="0"/>
      <w:marBottom w:val="0"/>
      <w:divBdr>
        <w:top w:val="none" w:sz="0" w:space="0" w:color="auto"/>
        <w:left w:val="none" w:sz="0" w:space="0" w:color="auto"/>
        <w:bottom w:val="none" w:sz="0" w:space="0" w:color="auto"/>
        <w:right w:val="none" w:sz="0" w:space="0" w:color="auto"/>
      </w:divBdr>
    </w:div>
    <w:div w:id="948396526">
      <w:bodyDiv w:val="1"/>
      <w:marLeft w:val="0"/>
      <w:marRight w:val="0"/>
      <w:marTop w:val="0"/>
      <w:marBottom w:val="0"/>
      <w:divBdr>
        <w:top w:val="none" w:sz="0" w:space="0" w:color="auto"/>
        <w:left w:val="none" w:sz="0" w:space="0" w:color="auto"/>
        <w:bottom w:val="none" w:sz="0" w:space="0" w:color="auto"/>
        <w:right w:val="none" w:sz="0" w:space="0" w:color="auto"/>
      </w:divBdr>
    </w:div>
    <w:div w:id="948463020">
      <w:bodyDiv w:val="1"/>
      <w:marLeft w:val="0"/>
      <w:marRight w:val="0"/>
      <w:marTop w:val="0"/>
      <w:marBottom w:val="0"/>
      <w:divBdr>
        <w:top w:val="none" w:sz="0" w:space="0" w:color="auto"/>
        <w:left w:val="none" w:sz="0" w:space="0" w:color="auto"/>
        <w:bottom w:val="none" w:sz="0" w:space="0" w:color="auto"/>
        <w:right w:val="none" w:sz="0" w:space="0" w:color="auto"/>
      </w:divBdr>
    </w:div>
    <w:div w:id="948508522">
      <w:bodyDiv w:val="1"/>
      <w:marLeft w:val="0"/>
      <w:marRight w:val="0"/>
      <w:marTop w:val="0"/>
      <w:marBottom w:val="0"/>
      <w:divBdr>
        <w:top w:val="none" w:sz="0" w:space="0" w:color="auto"/>
        <w:left w:val="none" w:sz="0" w:space="0" w:color="auto"/>
        <w:bottom w:val="none" w:sz="0" w:space="0" w:color="auto"/>
        <w:right w:val="none" w:sz="0" w:space="0" w:color="auto"/>
      </w:divBdr>
    </w:div>
    <w:div w:id="948510367">
      <w:bodyDiv w:val="1"/>
      <w:marLeft w:val="0"/>
      <w:marRight w:val="0"/>
      <w:marTop w:val="0"/>
      <w:marBottom w:val="0"/>
      <w:divBdr>
        <w:top w:val="none" w:sz="0" w:space="0" w:color="auto"/>
        <w:left w:val="none" w:sz="0" w:space="0" w:color="auto"/>
        <w:bottom w:val="none" w:sz="0" w:space="0" w:color="auto"/>
        <w:right w:val="none" w:sz="0" w:space="0" w:color="auto"/>
      </w:divBdr>
    </w:div>
    <w:div w:id="948582828">
      <w:bodyDiv w:val="1"/>
      <w:marLeft w:val="0"/>
      <w:marRight w:val="0"/>
      <w:marTop w:val="0"/>
      <w:marBottom w:val="0"/>
      <w:divBdr>
        <w:top w:val="none" w:sz="0" w:space="0" w:color="auto"/>
        <w:left w:val="none" w:sz="0" w:space="0" w:color="auto"/>
        <w:bottom w:val="none" w:sz="0" w:space="0" w:color="auto"/>
        <w:right w:val="none" w:sz="0" w:space="0" w:color="auto"/>
      </w:divBdr>
    </w:div>
    <w:div w:id="948665490">
      <w:bodyDiv w:val="1"/>
      <w:marLeft w:val="0"/>
      <w:marRight w:val="0"/>
      <w:marTop w:val="0"/>
      <w:marBottom w:val="0"/>
      <w:divBdr>
        <w:top w:val="none" w:sz="0" w:space="0" w:color="auto"/>
        <w:left w:val="none" w:sz="0" w:space="0" w:color="auto"/>
        <w:bottom w:val="none" w:sz="0" w:space="0" w:color="auto"/>
        <w:right w:val="none" w:sz="0" w:space="0" w:color="auto"/>
      </w:divBdr>
    </w:div>
    <w:div w:id="948705431">
      <w:bodyDiv w:val="1"/>
      <w:marLeft w:val="0"/>
      <w:marRight w:val="0"/>
      <w:marTop w:val="0"/>
      <w:marBottom w:val="0"/>
      <w:divBdr>
        <w:top w:val="none" w:sz="0" w:space="0" w:color="auto"/>
        <w:left w:val="none" w:sz="0" w:space="0" w:color="auto"/>
        <w:bottom w:val="none" w:sz="0" w:space="0" w:color="auto"/>
        <w:right w:val="none" w:sz="0" w:space="0" w:color="auto"/>
      </w:divBdr>
    </w:div>
    <w:div w:id="948708419">
      <w:bodyDiv w:val="1"/>
      <w:marLeft w:val="0"/>
      <w:marRight w:val="0"/>
      <w:marTop w:val="0"/>
      <w:marBottom w:val="0"/>
      <w:divBdr>
        <w:top w:val="none" w:sz="0" w:space="0" w:color="auto"/>
        <w:left w:val="none" w:sz="0" w:space="0" w:color="auto"/>
        <w:bottom w:val="none" w:sz="0" w:space="0" w:color="auto"/>
        <w:right w:val="none" w:sz="0" w:space="0" w:color="auto"/>
      </w:divBdr>
    </w:div>
    <w:div w:id="948856591">
      <w:bodyDiv w:val="1"/>
      <w:marLeft w:val="0"/>
      <w:marRight w:val="0"/>
      <w:marTop w:val="0"/>
      <w:marBottom w:val="0"/>
      <w:divBdr>
        <w:top w:val="none" w:sz="0" w:space="0" w:color="auto"/>
        <w:left w:val="none" w:sz="0" w:space="0" w:color="auto"/>
        <w:bottom w:val="none" w:sz="0" w:space="0" w:color="auto"/>
        <w:right w:val="none" w:sz="0" w:space="0" w:color="auto"/>
      </w:divBdr>
    </w:div>
    <w:div w:id="948856755">
      <w:bodyDiv w:val="1"/>
      <w:marLeft w:val="0"/>
      <w:marRight w:val="0"/>
      <w:marTop w:val="0"/>
      <w:marBottom w:val="0"/>
      <w:divBdr>
        <w:top w:val="none" w:sz="0" w:space="0" w:color="auto"/>
        <w:left w:val="none" w:sz="0" w:space="0" w:color="auto"/>
        <w:bottom w:val="none" w:sz="0" w:space="0" w:color="auto"/>
        <w:right w:val="none" w:sz="0" w:space="0" w:color="auto"/>
      </w:divBdr>
    </w:div>
    <w:div w:id="948926126">
      <w:bodyDiv w:val="1"/>
      <w:marLeft w:val="0"/>
      <w:marRight w:val="0"/>
      <w:marTop w:val="0"/>
      <w:marBottom w:val="0"/>
      <w:divBdr>
        <w:top w:val="none" w:sz="0" w:space="0" w:color="auto"/>
        <w:left w:val="none" w:sz="0" w:space="0" w:color="auto"/>
        <w:bottom w:val="none" w:sz="0" w:space="0" w:color="auto"/>
        <w:right w:val="none" w:sz="0" w:space="0" w:color="auto"/>
      </w:divBdr>
    </w:div>
    <w:div w:id="948968727">
      <w:bodyDiv w:val="1"/>
      <w:marLeft w:val="0"/>
      <w:marRight w:val="0"/>
      <w:marTop w:val="0"/>
      <w:marBottom w:val="0"/>
      <w:divBdr>
        <w:top w:val="none" w:sz="0" w:space="0" w:color="auto"/>
        <w:left w:val="none" w:sz="0" w:space="0" w:color="auto"/>
        <w:bottom w:val="none" w:sz="0" w:space="0" w:color="auto"/>
        <w:right w:val="none" w:sz="0" w:space="0" w:color="auto"/>
      </w:divBdr>
    </w:div>
    <w:div w:id="948973634">
      <w:bodyDiv w:val="1"/>
      <w:marLeft w:val="0"/>
      <w:marRight w:val="0"/>
      <w:marTop w:val="0"/>
      <w:marBottom w:val="0"/>
      <w:divBdr>
        <w:top w:val="none" w:sz="0" w:space="0" w:color="auto"/>
        <w:left w:val="none" w:sz="0" w:space="0" w:color="auto"/>
        <w:bottom w:val="none" w:sz="0" w:space="0" w:color="auto"/>
        <w:right w:val="none" w:sz="0" w:space="0" w:color="auto"/>
      </w:divBdr>
    </w:div>
    <w:div w:id="949092441">
      <w:bodyDiv w:val="1"/>
      <w:marLeft w:val="0"/>
      <w:marRight w:val="0"/>
      <w:marTop w:val="0"/>
      <w:marBottom w:val="0"/>
      <w:divBdr>
        <w:top w:val="none" w:sz="0" w:space="0" w:color="auto"/>
        <w:left w:val="none" w:sz="0" w:space="0" w:color="auto"/>
        <w:bottom w:val="none" w:sz="0" w:space="0" w:color="auto"/>
        <w:right w:val="none" w:sz="0" w:space="0" w:color="auto"/>
      </w:divBdr>
    </w:div>
    <w:div w:id="949164745">
      <w:bodyDiv w:val="1"/>
      <w:marLeft w:val="0"/>
      <w:marRight w:val="0"/>
      <w:marTop w:val="0"/>
      <w:marBottom w:val="0"/>
      <w:divBdr>
        <w:top w:val="none" w:sz="0" w:space="0" w:color="auto"/>
        <w:left w:val="none" w:sz="0" w:space="0" w:color="auto"/>
        <w:bottom w:val="none" w:sz="0" w:space="0" w:color="auto"/>
        <w:right w:val="none" w:sz="0" w:space="0" w:color="auto"/>
      </w:divBdr>
    </w:div>
    <w:div w:id="949241320">
      <w:bodyDiv w:val="1"/>
      <w:marLeft w:val="0"/>
      <w:marRight w:val="0"/>
      <w:marTop w:val="0"/>
      <w:marBottom w:val="0"/>
      <w:divBdr>
        <w:top w:val="none" w:sz="0" w:space="0" w:color="auto"/>
        <w:left w:val="none" w:sz="0" w:space="0" w:color="auto"/>
        <w:bottom w:val="none" w:sz="0" w:space="0" w:color="auto"/>
        <w:right w:val="none" w:sz="0" w:space="0" w:color="auto"/>
      </w:divBdr>
    </w:div>
    <w:div w:id="949361180">
      <w:bodyDiv w:val="1"/>
      <w:marLeft w:val="0"/>
      <w:marRight w:val="0"/>
      <w:marTop w:val="0"/>
      <w:marBottom w:val="0"/>
      <w:divBdr>
        <w:top w:val="none" w:sz="0" w:space="0" w:color="auto"/>
        <w:left w:val="none" w:sz="0" w:space="0" w:color="auto"/>
        <w:bottom w:val="none" w:sz="0" w:space="0" w:color="auto"/>
        <w:right w:val="none" w:sz="0" w:space="0" w:color="auto"/>
      </w:divBdr>
    </w:div>
    <w:div w:id="949433751">
      <w:bodyDiv w:val="1"/>
      <w:marLeft w:val="0"/>
      <w:marRight w:val="0"/>
      <w:marTop w:val="0"/>
      <w:marBottom w:val="0"/>
      <w:divBdr>
        <w:top w:val="none" w:sz="0" w:space="0" w:color="auto"/>
        <w:left w:val="none" w:sz="0" w:space="0" w:color="auto"/>
        <w:bottom w:val="none" w:sz="0" w:space="0" w:color="auto"/>
        <w:right w:val="none" w:sz="0" w:space="0" w:color="auto"/>
      </w:divBdr>
    </w:div>
    <w:div w:id="949773574">
      <w:bodyDiv w:val="1"/>
      <w:marLeft w:val="0"/>
      <w:marRight w:val="0"/>
      <w:marTop w:val="0"/>
      <w:marBottom w:val="0"/>
      <w:divBdr>
        <w:top w:val="none" w:sz="0" w:space="0" w:color="auto"/>
        <w:left w:val="none" w:sz="0" w:space="0" w:color="auto"/>
        <w:bottom w:val="none" w:sz="0" w:space="0" w:color="auto"/>
        <w:right w:val="none" w:sz="0" w:space="0" w:color="auto"/>
      </w:divBdr>
    </w:div>
    <w:div w:id="949778601">
      <w:bodyDiv w:val="1"/>
      <w:marLeft w:val="0"/>
      <w:marRight w:val="0"/>
      <w:marTop w:val="0"/>
      <w:marBottom w:val="0"/>
      <w:divBdr>
        <w:top w:val="none" w:sz="0" w:space="0" w:color="auto"/>
        <w:left w:val="none" w:sz="0" w:space="0" w:color="auto"/>
        <w:bottom w:val="none" w:sz="0" w:space="0" w:color="auto"/>
        <w:right w:val="none" w:sz="0" w:space="0" w:color="auto"/>
      </w:divBdr>
    </w:div>
    <w:div w:id="949892085">
      <w:bodyDiv w:val="1"/>
      <w:marLeft w:val="0"/>
      <w:marRight w:val="0"/>
      <w:marTop w:val="0"/>
      <w:marBottom w:val="0"/>
      <w:divBdr>
        <w:top w:val="none" w:sz="0" w:space="0" w:color="auto"/>
        <w:left w:val="none" w:sz="0" w:space="0" w:color="auto"/>
        <w:bottom w:val="none" w:sz="0" w:space="0" w:color="auto"/>
        <w:right w:val="none" w:sz="0" w:space="0" w:color="auto"/>
      </w:divBdr>
    </w:div>
    <w:div w:id="949896230">
      <w:bodyDiv w:val="1"/>
      <w:marLeft w:val="0"/>
      <w:marRight w:val="0"/>
      <w:marTop w:val="0"/>
      <w:marBottom w:val="0"/>
      <w:divBdr>
        <w:top w:val="none" w:sz="0" w:space="0" w:color="auto"/>
        <w:left w:val="none" w:sz="0" w:space="0" w:color="auto"/>
        <w:bottom w:val="none" w:sz="0" w:space="0" w:color="auto"/>
        <w:right w:val="none" w:sz="0" w:space="0" w:color="auto"/>
      </w:divBdr>
    </w:div>
    <w:div w:id="949974601">
      <w:bodyDiv w:val="1"/>
      <w:marLeft w:val="0"/>
      <w:marRight w:val="0"/>
      <w:marTop w:val="0"/>
      <w:marBottom w:val="0"/>
      <w:divBdr>
        <w:top w:val="none" w:sz="0" w:space="0" w:color="auto"/>
        <w:left w:val="none" w:sz="0" w:space="0" w:color="auto"/>
        <w:bottom w:val="none" w:sz="0" w:space="0" w:color="auto"/>
        <w:right w:val="none" w:sz="0" w:space="0" w:color="auto"/>
      </w:divBdr>
    </w:div>
    <w:div w:id="950160467">
      <w:bodyDiv w:val="1"/>
      <w:marLeft w:val="0"/>
      <w:marRight w:val="0"/>
      <w:marTop w:val="0"/>
      <w:marBottom w:val="0"/>
      <w:divBdr>
        <w:top w:val="none" w:sz="0" w:space="0" w:color="auto"/>
        <w:left w:val="none" w:sz="0" w:space="0" w:color="auto"/>
        <w:bottom w:val="none" w:sz="0" w:space="0" w:color="auto"/>
        <w:right w:val="none" w:sz="0" w:space="0" w:color="auto"/>
      </w:divBdr>
    </w:div>
    <w:div w:id="950281254">
      <w:bodyDiv w:val="1"/>
      <w:marLeft w:val="0"/>
      <w:marRight w:val="0"/>
      <w:marTop w:val="0"/>
      <w:marBottom w:val="0"/>
      <w:divBdr>
        <w:top w:val="none" w:sz="0" w:space="0" w:color="auto"/>
        <w:left w:val="none" w:sz="0" w:space="0" w:color="auto"/>
        <w:bottom w:val="none" w:sz="0" w:space="0" w:color="auto"/>
        <w:right w:val="none" w:sz="0" w:space="0" w:color="auto"/>
      </w:divBdr>
    </w:div>
    <w:div w:id="950353453">
      <w:bodyDiv w:val="1"/>
      <w:marLeft w:val="0"/>
      <w:marRight w:val="0"/>
      <w:marTop w:val="0"/>
      <w:marBottom w:val="0"/>
      <w:divBdr>
        <w:top w:val="none" w:sz="0" w:space="0" w:color="auto"/>
        <w:left w:val="none" w:sz="0" w:space="0" w:color="auto"/>
        <w:bottom w:val="none" w:sz="0" w:space="0" w:color="auto"/>
        <w:right w:val="none" w:sz="0" w:space="0" w:color="auto"/>
      </w:divBdr>
    </w:div>
    <w:div w:id="950435204">
      <w:bodyDiv w:val="1"/>
      <w:marLeft w:val="0"/>
      <w:marRight w:val="0"/>
      <w:marTop w:val="0"/>
      <w:marBottom w:val="0"/>
      <w:divBdr>
        <w:top w:val="none" w:sz="0" w:space="0" w:color="auto"/>
        <w:left w:val="none" w:sz="0" w:space="0" w:color="auto"/>
        <w:bottom w:val="none" w:sz="0" w:space="0" w:color="auto"/>
        <w:right w:val="none" w:sz="0" w:space="0" w:color="auto"/>
      </w:divBdr>
    </w:div>
    <w:div w:id="950435224">
      <w:bodyDiv w:val="1"/>
      <w:marLeft w:val="0"/>
      <w:marRight w:val="0"/>
      <w:marTop w:val="0"/>
      <w:marBottom w:val="0"/>
      <w:divBdr>
        <w:top w:val="none" w:sz="0" w:space="0" w:color="auto"/>
        <w:left w:val="none" w:sz="0" w:space="0" w:color="auto"/>
        <w:bottom w:val="none" w:sz="0" w:space="0" w:color="auto"/>
        <w:right w:val="none" w:sz="0" w:space="0" w:color="auto"/>
      </w:divBdr>
    </w:div>
    <w:div w:id="950471658">
      <w:bodyDiv w:val="1"/>
      <w:marLeft w:val="0"/>
      <w:marRight w:val="0"/>
      <w:marTop w:val="0"/>
      <w:marBottom w:val="0"/>
      <w:divBdr>
        <w:top w:val="none" w:sz="0" w:space="0" w:color="auto"/>
        <w:left w:val="none" w:sz="0" w:space="0" w:color="auto"/>
        <w:bottom w:val="none" w:sz="0" w:space="0" w:color="auto"/>
        <w:right w:val="none" w:sz="0" w:space="0" w:color="auto"/>
      </w:divBdr>
    </w:div>
    <w:div w:id="950480925">
      <w:bodyDiv w:val="1"/>
      <w:marLeft w:val="0"/>
      <w:marRight w:val="0"/>
      <w:marTop w:val="0"/>
      <w:marBottom w:val="0"/>
      <w:divBdr>
        <w:top w:val="none" w:sz="0" w:space="0" w:color="auto"/>
        <w:left w:val="none" w:sz="0" w:space="0" w:color="auto"/>
        <w:bottom w:val="none" w:sz="0" w:space="0" w:color="auto"/>
        <w:right w:val="none" w:sz="0" w:space="0" w:color="auto"/>
      </w:divBdr>
    </w:div>
    <w:div w:id="950547490">
      <w:bodyDiv w:val="1"/>
      <w:marLeft w:val="0"/>
      <w:marRight w:val="0"/>
      <w:marTop w:val="0"/>
      <w:marBottom w:val="0"/>
      <w:divBdr>
        <w:top w:val="none" w:sz="0" w:space="0" w:color="auto"/>
        <w:left w:val="none" w:sz="0" w:space="0" w:color="auto"/>
        <w:bottom w:val="none" w:sz="0" w:space="0" w:color="auto"/>
        <w:right w:val="none" w:sz="0" w:space="0" w:color="auto"/>
      </w:divBdr>
    </w:div>
    <w:div w:id="950665707">
      <w:bodyDiv w:val="1"/>
      <w:marLeft w:val="0"/>
      <w:marRight w:val="0"/>
      <w:marTop w:val="0"/>
      <w:marBottom w:val="0"/>
      <w:divBdr>
        <w:top w:val="none" w:sz="0" w:space="0" w:color="auto"/>
        <w:left w:val="none" w:sz="0" w:space="0" w:color="auto"/>
        <w:bottom w:val="none" w:sz="0" w:space="0" w:color="auto"/>
        <w:right w:val="none" w:sz="0" w:space="0" w:color="auto"/>
      </w:divBdr>
    </w:div>
    <w:div w:id="950666349">
      <w:bodyDiv w:val="1"/>
      <w:marLeft w:val="0"/>
      <w:marRight w:val="0"/>
      <w:marTop w:val="0"/>
      <w:marBottom w:val="0"/>
      <w:divBdr>
        <w:top w:val="none" w:sz="0" w:space="0" w:color="auto"/>
        <w:left w:val="none" w:sz="0" w:space="0" w:color="auto"/>
        <w:bottom w:val="none" w:sz="0" w:space="0" w:color="auto"/>
        <w:right w:val="none" w:sz="0" w:space="0" w:color="auto"/>
      </w:divBdr>
    </w:div>
    <w:div w:id="950669214">
      <w:bodyDiv w:val="1"/>
      <w:marLeft w:val="0"/>
      <w:marRight w:val="0"/>
      <w:marTop w:val="0"/>
      <w:marBottom w:val="0"/>
      <w:divBdr>
        <w:top w:val="none" w:sz="0" w:space="0" w:color="auto"/>
        <w:left w:val="none" w:sz="0" w:space="0" w:color="auto"/>
        <w:bottom w:val="none" w:sz="0" w:space="0" w:color="auto"/>
        <w:right w:val="none" w:sz="0" w:space="0" w:color="auto"/>
      </w:divBdr>
    </w:div>
    <w:div w:id="950697487">
      <w:bodyDiv w:val="1"/>
      <w:marLeft w:val="0"/>
      <w:marRight w:val="0"/>
      <w:marTop w:val="0"/>
      <w:marBottom w:val="0"/>
      <w:divBdr>
        <w:top w:val="none" w:sz="0" w:space="0" w:color="auto"/>
        <w:left w:val="none" w:sz="0" w:space="0" w:color="auto"/>
        <w:bottom w:val="none" w:sz="0" w:space="0" w:color="auto"/>
        <w:right w:val="none" w:sz="0" w:space="0" w:color="auto"/>
      </w:divBdr>
    </w:div>
    <w:div w:id="950747661">
      <w:bodyDiv w:val="1"/>
      <w:marLeft w:val="0"/>
      <w:marRight w:val="0"/>
      <w:marTop w:val="0"/>
      <w:marBottom w:val="0"/>
      <w:divBdr>
        <w:top w:val="none" w:sz="0" w:space="0" w:color="auto"/>
        <w:left w:val="none" w:sz="0" w:space="0" w:color="auto"/>
        <w:bottom w:val="none" w:sz="0" w:space="0" w:color="auto"/>
        <w:right w:val="none" w:sz="0" w:space="0" w:color="auto"/>
      </w:divBdr>
    </w:div>
    <w:div w:id="950822596">
      <w:bodyDiv w:val="1"/>
      <w:marLeft w:val="0"/>
      <w:marRight w:val="0"/>
      <w:marTop w:val="0"/>
      <w:marBottom w:val="0"/>
      <w:divBdr>
        <w:top w:val="none" w:sz="0" w:space="0" w:color="auto"/>
        <w:left w:val="none" w:sz="0" w:space="0" w:color="auto"/>
        <w:bottom w:val="none" w:sz="0" w:space="0" w:color="auto"/>
        <w:right w:val="none" w:sz="0" w:space="0" w:color="auto"/>
      </w:divBdr>
    </w:div>
    <w:div w:id="950823823">
      <w:bodyDiv w:val="1"/>
      <w:marLeft w:val="0"/>
      <w:marRight w:val="0"/>
      <w:marTop w:val="0"/>
      <w:marBottom w:val="0"/>
      <w:divBdr>
        <w:top w:val="none" w:sz="0" w:space="0" w:color="auto"/>
        <w:left w:val="none" w:sz="0" w:space="0" w:color="auto"/>
        <w:bottom w:val="none" w:sz="0" w:space="0" w:color="auto"/>
        <w:right w:val="none" w:sz="0" w:space="0" w:color="auto"/>
      </w:divBdr>
    </w:div>
    <w:div w:id="950935049">
      <w:bodyDiv w:val="1"/>
      <w:marLeft w:val="0"/>
      <w:marRight w:val="0"/>
      <w:marTop w:val="0"/>
      <w:marBottom w:val="0"/>
      <w:divBdr>
        <w:top w:val="none" w:sz="0" w:space="0" w:color="auto"/>
        <w:left w:val="none" w:sz="0" w:space="0" w:color="auto"/>
        <w:bottom w:val="none" w:sz="0" w:space="0" w:color="auto"/>
        <w:right w:val="none" w:sz="0" w:space="0" w:color="auto"/>
      </w:divBdr>
    </w:div>
    <w:div w:id="951204488">
      <w:bodyDiv w:val="1"/>
      <w:marLeft w:val="0"/>
      <w:marRight w:val="0"/>
      <w:marTop w:val="0"/>
      <w:marBottom w:val="0"/>
      <w:divBdr>
        <w:top w:val="none" w:sz="0" w:space="0" w:color="auto"/>
        <w:left w:val="none" w:sz="0" w:space="0" w:color="auto"/>
        <w:bottom w:val="none" w:sz="0" w:space="0" w:color="auto"/>
        <w:right w:val="none" w:sz="0" w:space="0" w:color="auto"/>
      </w:divBdr>
    </w:div>
    <w:div w:id="951211211">
      <w:bodyDiv w:val="1"/>
      <w:marLeft w:val="0"/>
      <w:marRight w:val="0"/>
      <w:marTop w:val="0"/>
      <w:marBottom w:val="0"/>
      <w:divBdr>
        <w:top w:val="none" w:sz="0" w:space="0" w:color="auto"/>
        <w:left w:val="none" w:sz="0" w:space="0" w:color="auto"/>
        <w:bottom w:val="none" w:sz="0" w:space="0" w:color="auto"/>
        <w:right w:val="none" w:sz="0" w:space="0" w:color="auto"/>
      </w:divBdr>
    </w:div>
    <w:div w:id="951279086">
      <w:bodyDiv w:val="1"/>
      <w:marLeft w:val="0"/>
      <w:marRight w:val="0"/>
      <w:marTop w:val="0"/>
      <w:marBottom w:val="0"/>
      <w:divBdr>
        <w:top w:val="none" w:sz="0" w:space="0" w:color="auto"/>
        <w:left w:val="none" w:sz="0" w:space="0" w:color="auto"/>
        <w:bottom w:val="none" w:sz="0" w:space="0" w:color="auto"/>
        <w:right w:val="none" w:sz="0" w:space="0" w:color="auto"/>
      </w:divBdr>
    </w:div>
    <w:div w:id="951279536">
      <w:bodyDiv w:val="1"/>
      <w:marLeft w:val="0"/>
      <w:marRight w:val="0"/>
      <w:marTop w:val="0"/>
      <w:marBottom w:val="0"/>
      <w:divBdr>
        <w:top w:val="none" w:sz="0" w:space="0" w:color="auto"/>
        <w:left w:val="none" w:sz="0" w:space="0" w:color="auto"/>
        <w:bottom w:val="none" w:sz="0" w:space="0" w:color="auto"/>
        <w:right w:val="none" w:sz="0" w:space="0" w:color="auto"/>
      </w:divBdr>
    </w:div>
    <w:div w:id="951325428">
      <w:bodyDiv w:val="1"/>
      <w:marLeft w:val="0"/>
      <w:marRight w:val="0"/>
      <w:marTop w:val="0"/>
      <w:marBottom w:val="0"/>
      <w:divBdr>
        <w:top w:val="none" w:sz="0" w:space="0" w:color="auto"/>
        <w:left w:val="none" w:sz="0" w:space="0" w:color="auto"/>
        <w:bottom w:val="none" w:sz="0" w:space="0" w:color="auto"/>
        <w:right w:val="none" w:sz="0" w:space="0" w:color="auto"/>
      </w:divBdr>
    </w:div>
    <w:div w:id="951520321">
      <w:bodyDiv w:val="1"/>
      <w:marLeft w:val="0"/>
      <w:marRight w:val="0"/>
      <w:marTop w:val="0"/>
      <w:marBottom w:val="0"/>
      <w:divBdr>
        <w:top w:val="none" w:sz="0" w:space="0" w:color="auto"/>
        <w:left w:val="none" w:sz="0" w:space="0" w:color="auto"/>
        <w:bottom w:val="none" w:sz="0" w:space="0" w:color="auto"/>
        <w:right w:val="none" w:sz="0" w:space="0" w:color="auto"/>
      </w:divBdr>
    </w:div>
    <w:div w:id="951549656">
      <w:bodyDiv w:val="1"/>
      <w:marLeft w:val="0"/>
      <w:marRight w:val="0"/>
      <w:marTop w:val="0"/>
      <w:marBottom w:val="0"/>
      <w:divBdr>
        <w:top w:val="none" w:sz="0" w:space="0" w:color="auto"/>
        <w:left w:val="none" w:sz="0" w:space="0" w:color="auto"/>
        <w:bottom w:val="none" w:sz="0" w:space="0" w:color="auto"/>
        <w:right w:val="none" w:sz="0" w:space="0" w:color="auto"/>
      </w:divBdr>
    </w:div>
    <w:div w:id="951590358">
      <w:bodyDiv w:val="1"/>
      <w:marLeft w:val="0"/>
      <w:marRight w:val="0"/>
      <w:marTop w:val="0"/>
      <w:marBottom w:val="0"/>
      <w:divBdr>
        <w:top w:val="none" w:sz="0" w:space="0" w:color="auto"/>
        <w:left w:val="none" w:sz="0" w:space="0" w:color="auto"/>
        <w:bottom w:val="none" w:sz="0" w:space="0" w:color="auto"/>
        <w:right w:val="none" w:sz="0" w:space="0" w:color="auto"/>
      </w:divBdr>
    </w:div>
    <w:div w:id="951666807">
      <w:bodyDiv w:val="1"/>
      <w:marLeft w:val="0"/>
      <w:marRight w:val="0"/>
      <w:marTop w:val="0"/>
      <w:marBottom w:val="0"/>
      <w:divBdr>
        <w:top w:val="none" w:sz="0" w:space="0" w:color="auto"/>
        <w:left w:val="none" w:sz="0" w:space="0" w:color="auto"/>
        <w:bottom w:val="none" w:sz="0" w:space="0" w:color="auto"/>
        <w:right w:val="none" w:sz="0" w:space="0" w:color="auto"/>
      </w:divBdr>
    </w:div>
    <w:div w:id="951744768">
      <w:bodyDiv w:val="1"/>
      <w:marLeft w:val="0"/>
      <w:marRight w:val="0"/>
      <w:marTop w:val="0"/>
      <w:marBottom w:val="0"/>
      <w:divBdr>
        <w:top w:val="none" w:sz="0" w:space="0" w:color="auto"/>
        <w:left w:val="none" w:sz="0" w:space="0" w:color="auto"/>
        <w:bottom w:val="none" w:sz="0" w:space="0" w:color="auto"/>
        <w:right w:val="none" w:sz="0" w:space="0" w:color="auto"/>
      </w:divBdr>
    </w:div>
    <w:div w:id="951745897">
      <w:bodyDiv w:val="1"/>
      <w:marLeft w:val="0"/>
      <w:marRight w:val="0"/>
      <w:marTop w:val="0"/>
      <w:marBottom w:val="0"/>
      <w:divBdr>
        <w:top w:val="none" w:sz="0" w:space="0" w:color="auto"/>
        <w:left w:val="none" w:sz="0" w:space="0" w:color="auto"/>
        <w:bottom w:val="none" w:sz="0" w:space="0" w:color="auto"/>
        <w:right w:val="none" w:sz="0" w:space="0" w:color="auto"/>
      </w:divBdr>
    </w:div>
    <w:div w:id="951746348">
      <w:bodyDiv w:val="1"/>
      <w:marLeft w:val="0"/>
      <w:marRight w:val="0"/>
      <w:marTop w:val="0"/>
      <w:marBottom w:val="0"/>
      <w:divBdr>
        <w:top w:val="none" w:sz="0" w:space="0" w:color="auto"/>
        <w:left w:val="none" w:sz="0" w:space="0" w:color="auto"/>
        <w:bottom w:val="none" w:sz="0" w:space="0" w:color="auto"/>
        <w:right w:val="none" w:sz="0" w:space="0" w:color="auto"/>
      </w:divBdr>
    </w:div>
    <w:div w:id="951860069">
      <w:bodyDiv w:val="1"/>
      <w:marLeft w:val="0"/>
      <w:marRight w:val="0"/>
      <w:marTop w:val="0"/>
      <w:marBottom w:val="0"/>
      <w:divBdr>
        <w:top w:val="none" w:sz="0" w:space="0" w:color="auto"/>
        <w:left w:val="none" w:sz="0" w:space="0" w:color="auto"/>
        <w:bottom w:val="none" w:sz="0" w:space="0" w:color="auto"/>
        <w:right w:val="none" w:sz="0" w:space="0" w:color="auto"/>
      </w:divBdr>
    </w:div>
    <w:div w:id="951861169">
      <w:bodyDiv w:val="1"/>
      <w:marLeft w:val="0"/>
      <w:marRight w:val="0"/>
      <w:marTop w:val="0"/>
      <w:marBottom w:val="0"/>
      <w:divBdr>
        <w:top w:val="none" w:sz="0" w:space="0" w:color="auto"/>
        <w:left w:val="none" w:sz="0" w:space="0" w:color="auto"/>
        <w:bottom w:val="none" w:sz="0" w:space="0" w:color="auto"/>
        <w:right w:val="none" w:sz="0" w:space="0" w:color="auto"/>
      </w:divBdr>
    </w:div>
    <w:div w:id="951976410">
      <w:bodyDiv w:val="1"/>
      <w:marLeft w:val="0"/>
      <w:marRight w:val="0"/>
      <w:marTop w:val="0"/>
      <w:marBottom w:val="0"/>
      <w:divBdr>
        <w:top w:val="none" w:sz="0" w:space="0" w:color="auto"/>
        <w:left w:val="none" w:sz="0" w:space="0" w:color="auto"/>
        <w:bottom w:val="none" w:sz="0" w:space="0" w:color="auto"/>
        <w:right w:val="none" w:sz="0" w:space="0" w:color="auto"/>
      </w:divBdr>
    </w:div>
    <w:div w:id="951982199">
      <w:bodyDiv w:val="1"/>
      <w:marLeft w:val="0"/>
      <w:marRight w:val="0"/>
      <w:marTop w:val="0"/>
      <w:marBottom w:val="0"/>
      <w:divBdr>
        <w:top w:val="none" w:sz="0" w:space="0" w:color="auto"/>
        <w:left w:val="none" w:sz="0" w:space="0" w:color="auto"/>
        <w:bottom w:val="none" w:sz="0" w:space="0" w:color="auto"/>
        <w:right w:val="none" w:sz="0" w:space="0" w:color="auto"/>
      </w:divBdr>
    </w:div>
    <w:div w:id="952008473">
      <w:bodyDiv w:val="1"/>
      <w:marLeft w:val="0"/>
      <w:marRight w:val="0"/>
      <w:marTop w:val="0"/>
      <w:marBottom w:val="0"/>
      <w:divBdr>
        <w:top w:val="none" w:sz="0" w:space="0" w:color="auto"/>
        <w:left w:val="none" w:sz="0" w:space="0" w:color="auto"/>
        <w:bottom w:val="none" w:sz="0" w:space="0" w:color="auto"/>
        <w:right w:val="none" w:sz="0" w:space="0" w:color="auto"/>
      </w:divBdr>
    </w:div>
    <w:div w:id="952059100">
      <w:bodyDiv w:val="1"/>
      <w:marLeft w:val="0"/>
      <w:marRight w:val="0"/>
      <w:marTop w:val="0"/>
      <w:marBottom w:val="0"/>
      <w:divBdr>
        <w:top w:val="none" w:sz="0" w:space="0" w:color="auto"/>
        <w:left w:val="none" w:sz="0" w:space="0" w:color="auto"/>
        <w:bottom w:val="none" w:sz="0" w:space="0" w:color="auto"/>
        <w:right w:val="none" w:sz="0" w:space="0" w:color="auto"/>
      </w:divBdr>
    </w:div>
    <w:div w:id="952174416">
      <w:bodyDiv w:val="1"/>
      <w:marLeft w:val="0"/>
      <w:marRight w:val="0"/>
      <w:marTop w:val="0"/>
      <w:marBottom w:val="0"/>
      <w:divBdr>
        <w:top w:val="none" w:sz="0" w:space="0" w:color="auto"/>
        <w:left w:val="none" w:sz="0" w:space="0" w:color="auto"/>
        <w:bottom w:val="none" w:sz="0" w:space="0" w:color="auto"/>
        <w:right w:val="none" w:sz="0" w:space="0" w:color="auto"/>
      </w:divBdr>
    </w:div>
    <w:div w:id="952319675">
      <w:bodyDiv w:val="1"/>
      <w:marLeft w:val="0"/>
      <w:marRight w:val="0"/>
      <w:marTop w:val="0"/>
      <w:marBottom w:val="0"/>
      <w:divBdr>
        <w:top w:val="none" w:sz="0" w:space="0" w:color="auto"/>
        <w:left w:val="none" w:sz="0" w:space="0" w:color="auto"/>
        <w:bottom w:val="none" w:sz="0" w:space="0" w:color="auto"/>
        <w:right w:val="none" w:sz="0" w:space="0" w:color="auto"/>
      </w:divBdr>
    </w:div>
    <w:div w:id="952438338">
      <w:bodyDiv w:val="1"/>
      <w:marLeft w:val="0"/>
      <w:marRight w:val="0"/>
      <w:marTop w:val="0"/>
      <w:marBottom w:val="0"/>
      <w:divBdr>
        <w:top w:val="none" w:sz="0" w:space="0" w:color="auto"/>
        <w:left w:val="none" w:sz="0" w:space="0" w:color="auto"/>
        <w:bottom w:val="none" w:sz="0" w:space="0" w:color="auto"/>
        <w:right w:val="none" w:sz="0" w:space="0" w:color="auto"/>
      </w:divBdr>
    </w:div>
    <w:div w:id="952441315">
      <w:bodyDiv w:val="1"/>
      <w:marLeft w:val="0"/>
      <w:marRight w:val="0"/>
      <w:marTop w:val="0"/>
      <w:marBottom w:val="0"/>
      <w:divBdr>
        <w:top w:val="none" w:sz="0" w:space="0" w:color="auto"/>
        <w:left w:val="none" w:sz="0" w:space="0" w:color="auto"/>
        <w:bottom w:val="none" w:sz="0" w:space="0" w:color="auto"/>
        <w:right w:val="none" w:sz="0" w:space="0" w:color="auto"/>
      </w:divBdr>
    </w:div>
    <w:div w:id="952517144">
      <w:bodyDiv w:val="1"/>
      <w:marLeft w:val="0"/>
      <w:marRight w:val="0"/>
      <w:marTop w:val="0"/>
      <w:marBottom w:val="0"/>
      <w:divBdr>
        <w:top w:val="none" w:sz="0" w:space="0" w:color="auto"/>
        <w:left w:val="none" w:sz="0" w:space="0" w:color="auto"/>
        <w:bottom w:val="none" w:sz="0" w:space="0" w:color="auto"/>
        <w:right w:val="none" w:sz="0" w:space="0" w:color="auto"/>
      </w:divBdr>
    </w:div>
    <w:div w:id="952713125">
      <w:bodyDiv w:val="1"/>
      <w:marLeft w:val="0"/>
      <w:marRight w:val="0"/>
      <w:marTop w:val="0"/>
      <w:marBottom w:val="0"/>
      <w:divBdr>
        <w:top w:val="none" w:sz="0" w:space="0" w:color="auto"/>
        <w:left w:val="none" w:sz="0" w:space="0" w:color="auto"/>
        <w:bottom w:val="none" w:sz="0" w:space="0" w:color="auto"/>
        <w:right w:val="none" w:sz="0" w:space="0" w:color="auto"/>
      </w:divBdr>
    </w:div>
    <w:div w:id="952713142">
      <w:bodyDiv w:val="1"/>
      <w:marLeft w:val="0"/>
      <w:marRight w:val="0"/>
      <w:marTop w:val="0"/>
      <w:marBottom w:val="0"/>
      <w:divBdr>
        <w:top w:val="none" w:sz="0" w:space="0" w:color="auto"/>
        <w:left w:val="none" w:sz="0" w:space="0" w:color="auto"/>
        <w:bottom w:val="none" w:sz="0" w:space="0" w:color="auto"/>
        <w:right w:val="none" w:sz="0" w:space="0" w:color="auto"/>
      </w:divBdr>
    </w:div>
    <w:div w:id="952789434">
      <w:bodyDiv w:val="1"/>
      <w:marLeft w:val="0"/>
      <w:marRight w:val="0"/>
      <w:marTop w:val="0"/>
      <w:marBottom w:val="0"/>
      <w:divBdr>
        <w:top w:val="none" w:sz="0" w:space="0" w:color="auto"/>
        <w:left w:val="none" w:sz="0" w:space="0" w:color="auto"/>
        <w:bottom w:val="none" w:sz="0" w:space="0" w:color="auto"/>
        <w:right w:val="none" w:sz="0" w:space="0" w:color="auto"/>
      </w:divBdr>
    </w:div>
    <w:div w:id="952828937">
      <w:bodyDiv w:val="1"/>
      <w:marLeft w:val="0"/>
      <w:marRight w:val="0"/>
      <w:marTop w:val="0"/>
      <w:marBottom w:val="0"/>
      <w:divBdr>
        <w:top w:val="none" w:sz="0" w:space="0" w:color="auto"/>
        <w:left w:val="none" w:sz="0" w:space="0" w:color="auto"/>
        <w:bottom w:val="none" w:sz="0" w:space="0" w:color="auto"/>
        <w:right w:val="none" w:sz="0" w:space="0" w:color="auto"/>
      </w:divBdr>
    </w:div>
    <w:div w:id="952831291">
      <w:bodyDiv w:val="1"/>
      <w:marLeft w:val="0"/>
      <w:marRight w:val="0"/>
      <w:marTop w:val="0"/>
      <w:marBottom w:val="0"/>
      <w:divBdr>
        <w:top w:val="none" w:sz="0" w:space="0" w:color="auto"/>
        <w:left w:val="none" w:sz="0" w:space="0" w:color="auto"/>
        <w:bottom w:val="none" w:sz="0" w:space="0" w:color="auto"/>
        <w:right w:val="none" w:sz="0" w:space="0" w:color="auto"/>
      </w:divBdr>
    </w:div>
    <w:div w:id="952832168">
      <w:bodyDiv w:val="1"/>
      <w:marLeft w:val="0"/>
      <w:marRight w:val="0"/>
      <w:marTop w:val="0"/>
      <w:marBottom w:val="0"/>
      <w:divBdr>
        <w:top w:val="none" w:sz="0" w:space="0" w:color="auto"/>
        <w:left w:val="none" w:sz="0" w:space="0" w:color="auto"/>
        <w:bottom w:val="none" w:sz="0" w:space="0" w:color="auto"/>
        <w:right w:val="none" w:sz="0" w:space="0" w:color="auto"/>
      </w:divBdr>
    </w:div>
    <w:div w:id="952908303">
      <w:bodyDiv w:val="1"/>
      <w:marLeft w:val="0"/>
      <w:marRight w:val="0"/>
      <w:marTop w:val="0"/>
      <w:marBottom w:val="0"/>
      <w:divBdr>
        <w:top w:val="none" w:sz="0" w:space="0" w:color="auto"/>
        <w:left w:val="none" w:sz="0" w:space="0" w:color="auto"/>
        <w:bottom w:val="none" w:sz="0" w:space="0" w:color="auto"/>
        <w:right w:val="none" w:sz="0" w:space="0" w:color="auto"/>
      </w:divBdr>
    </w:div>
    <w:div w:id="952977087">
      <w:bodyDiv w:val="1"/>
      <w:marLeft w:val="0"/>
      <w:marRight w:val="0"/>
      <w:marTop w:val="0"/>
      <w:marBottom w:val="0"/>
      <w:divBdr>
        <w:top w:val="none" w:sz="0" w:space="0" w:color="auto"/>
        <w:left w:val="none" w:sz="0" w:space="0" w:color="auto"/>
        <w:bottom w:val="none" w:sz="0" w:space="0" w:color="auto"/>
        <w:right w:val="none" w:sz="0" w:space="0" w:color="auto"/>
      </w:divBdr>
    </w:div>
    <w:div w:id="953169445">
      <w:bodyDiv w:val="1"/>
      <w:marLeft w:val="0"/>
      <w:marRight w:val="0"/>
      <w:marTop w:val="0"/>
      <w:marBottom w:val="0"/>
      <w:divBdr>
        <w:top w:val="none" w:sz="0" w:space="0" w:color="auto"/>
        <w:left w:val="none" w:sz="0" w:space="0" w:color="auto"/>
        <w:bottom w:val="none" w:sz="0" w:space="0" w:color="auto"/>
        <w:right w:val="none" w:sz="0" w:space="0" w:color="auto"/>
      </w:divBdr>
    </w:div>
    <w:div w:id="953245889">
      <w:bodyDiv w:val="1"/>
      <w:marLeft w:val="0"/>
      <w:marRight w:val="0"/>
      <w:marTop w:val="0"/>
      <w:marBottom w:val="0"/>
      <w:divBdr>
        <w:top w:val="none" w:sz="0" w:space="0" w:color="auto"/>
        <w:left w:val="none" w:sz="0" w:space="0" w:color="auto"/>
        <w:bottom w:val="none" w:sz="0" w:space="0" w:color="auto"/>
        <w:right w:val="none" w:sz="0" w:space="0" w:color="auto"/>
      </w:divBdr>
    </w:div>
    <w:div w:id="953364997">
      <w:bodyDiv w:val="1"/>
      <w:marLeft w:val="0"/>
      <w:marRight w:val="0"/>
      <w:marTop w:val="0"/>
      <w:marBottom w:val="0"/>
      <w:divBdr>
        <w:top w:val="none" w:sz="0" w:space="0" w:color="auto"/>
        <w:left w:val="none" w:sz="0" w:space="0" w:color="auto"/>
        <w:bottom w:val="none" w:sz="0" w:space="0" w:color="auto"/>
        <w:right w:val="none" w:sz="0" w:space="0" w:color="auto"/>
      </w:divBdr>
    </w:div>
    <w:div w:id="953560090">
      <w:bodyDiv w:val="1"/>
      <w:marLeft w:val="0"/>
      <w:marRight w:val="0"/>
      <w:marTop w:val="0"/>
      <w:marBottom w:val="0"/>
      <w:divBdr>
        <w:top w:val="none" w:sz="0" w:space="0" w:color="auto"/>
        <w:left w:val="none" w:sz="0" w:space="0" w:color="auto"/>
        <w:bottom w:val="none" w:sz="0" w:space="0" w:color="auto"/>
        <w:right w:val="none" w:sz="0" w:space="0" w:color="auto"/>
      </w:divBdr>
    </w:div>
    <w:div w:id="953562651">
      <w:bodyDiv w:val="1"/>
      <w:marLeft w:val="0"/>
      <w:marRight w:val="0"/>
      <w:marTop w:val="0"/>
      <w:marBottom w:val="0"/>
      <w:divBdr>
        <w:top w:val="none" w:sz="0" w:space="0" w:color="auto"/>
        <w:left w:val="none" w:sz="0" w:space="0" w:color="auto"/>
        <w:bottom w:val="none" w:sz="0" w:space="0" w:color="auto"/>
        <w:right w:val="none" w:sz="0" w:space="0" w:color="auto"/>
      </w:divBdr>
    </w:div>
    <w:div w:id="953563147">
      <w:bodyDiv w:val="1"/>
      <w:marLeft w:val="0"/>
      <w:marRight w:val="0"/>
      <w:marTop w:val="0"/>
      <w:marBottom w:val="0"/>
      <w:divBdr>
        <w:top w:val="none" w:sz="0" w:space="0" w:color="auto"/>
        <w:left w:val="none" w:sz="0" w:space="0" w:color="auto"/>
        <w:bottom w:val="none" w:sz="0" w:space="0" w:color="auto"/>
        <w:right w:val="none" w:sz="0" w:space="0" w:color="auto"/>
      </w:divBdr>
    </w:div>
    <w:div w:id="953633610">
      <w:bodyDiv w:val="1"/>
      <w:marLeft w:val="0"/>
      <w:marRight w:val="0"/>
      <w:marTop w:val="0"/>
      <w:marBottom w:val="0"/>
      <w:divBdr>
        <w:top w:val="none" w:sz="0" w:space="0" w:color="auto"/>
        <w:left w:val="none" w:sz="0" w:space="0" w:color="auto"/>
        <w:bottom w:val="none" w:sz="0" w:space="0" w:color="auto"/>
        <w:right w:val="none" w:sz="0" w:space="0" w:color="auto"/>
      </w:divBdr>
    </w:div>
    <w:div w:id="953635606">
      <w:bodyDiv w:val="1"/>
      <w:marLeft w:val="0"/>
      <w:marRight w:val="0"/>
      <w:marTop w:val="0"/>
      <w:marBottom w:val="0"/>
      <w:divBdr>
        <w:top w:val="none" w:sz="0" w:space="0" w:color="auto"/>
        <w:left w:val="none" w:sz="0" w:space="0" w:color="auto"/>
        <w:bottom w:val="none" w:sz="0" w:space="0" w:color="auto"/>
        <w:right w:val="none" w:sz="0" w:space="0" w:color="auto"/>
      </w:divBdr>
    </w:div>
    <w:div w:id="953709198">
      <w:bodyDiv w:val="1"/>
      <w:marLeft w:val="0"/>
      <w:marRight w:val="0"/>
      <w:marTop w:val="0"/>
      <w:marBottom w:val="0"/>
      <w:divBdr>
        <w:top w:val="none" w:sz="0" w:space="0" w:color="auto"/>
        <w:left w:val="none" w:sz="0" w:space="0" w:color="auto"/>
        <w:bottom w:val="none" w:sz="0" w:space="0" w:color="auto"/>
        <w:right w:val="none" w:sz="0" w:space="0" w:color="auto"/>
      </w:divBdr>
    </w:div>
    <w:div w:id="953755762">
      <w:bodyDiv w:val="1"/>
      <w:marLeft w:val="0"/>
      <w:marRight w:val="0"/>
      <w:marTop w:val="0"/>
      <w:marBottom w:val="0"/>
      <w:divBdr>
        <w:top w:val="none" w:sz="0" w:space="0" w:color="auto"/>
        <w:left w:val="none" w:sz="0" w:space="0" w:color="auto"/>
        <w:bottom w:val="none" w:sz="0" w:space="0" w:color="auto"/>
        <w:right w:val="none" w:sz="0" w:space="0" w:color="auto"/>
      </w:divBdr>
    </w:div>
    <w:div w:id="953756928">
      <w:bodyDiv w:val="1"/>
      <w:marLeft w:val="0"/>
      <w:marRight w:val="0"/>
      <w:marTop w:val="0"/>
      <w:marBottom w:val="0"/>
      <w:divBdr>
        <w:top w:val="none" w:sz="0" w:space="0" w:color="auto"/>
        <w:left w:val="none" w:sz="0" w:space="0" w:color="auto"/>
        <w:bottom w:val="none" w:sz="0" w:space="0" w:color="auto"/>
        <w:right w:val="none" w:sz="0" w:space="0" w:color="auto"/>
      </w:divBdr>
    </w:div>
    <w:div w:id="953830730">
      <w:bodyDiv w:val="1"/>
      <w:marLeft w:val="0"/>
      <w:marRight w:val="0"/>
      <w:marTop w:val="0"/>
      <w:marBottom w:val="0"/>
      <w:divBdr>
        <w:top w:val="none" w:sz="0" w:space="0" w:color="auto"/>
        <w:left w:val="none" w:sz="0" w:space="0" w:color="auto"/>
        <w:bottom w:val="none" w:sz="0" w:space="0" w:color="auto"/>
        <w:right w:val="none" w:sz="0" w:space="0" w:color="auto"/>
      </w:divBdr>
    </w:div>
    <w:div w:id="953899098">
      <w:bodyDiv w:val="1"/>
      <w:marLeft w:val="0"/>
      <w:marRight w:val="0"/>
      <w:marTop w:val="0"/>
      <w:marBottom w:val="0"/>
      <w:divBdr>
        <w:top w:val="none" w:sz="0" w:space="0" w:color="auto"/>
        <w:left w:val="none" w:sz="0" w:space="0" w:color="auto"/>
        <w:bottom w:val="none" w:sz="0" w:space="0" w:color="auto"/>
        <w:right w:val="none" w:sz="0" w:space="0" w:color="auto"/>
      </w:divBdr>
    </w:div>
    <w:div w:id="953905122">
      <w:bodyDiv w:val="1"/>
      <w:marLeft w:val="0"/>
      <w:marRight w:val="0"/>
      <w:marTop w:val="0"/>
      <w:marBottom w:val="0"/>
      <w:divBdr>
        <w:top w:val="none" w:sz="0" w:space="0" w:color="auto"/>
        <w:left w:val="none" w:sz="0" w:space="0" w:color="auto"/>
        <w:bottom w:val="none" w:sz="0" w:space="0" w:color="auto"/>
        <w:right w:val="none" w:sz="0" w:space="0" w:color="auto"/>
      </w:divBdr>
    </w:div>
    <w:div w:id="953945130">
      <w:bodyDiv w:val="1"/>
      <w:marLeft w:val="0"/>
      <w:marRight w:val="0"/>
      <w:marTop w:val="0"/>
      <w:marBottom w:val="0"/>
      <w:divBdr>
        <w:top w:val="none" w:sz="0" w:space="0" w:color="auto"/>
        <w:left w:val="none" w:sz="0" w:space="0" w:color="auto"/>
        <w:bottom w:val="none" w:sz="0" w:space="0" w:color="auto"/>
        <w:right w:val="none" w:sz="0" w:space="0" w:color="auto"/>
      </w:divBdr>
    </w:div>
    <w:div w:id="953945993">
      <w:bodyDiv w:val="1"/>
      <w:marLeft w:val="0"/>
      <w:marRight w:val="0"/>
      <w:marTop w:val="0"/>
      <w:marBottom w:val="0"/>
      <w:divBdr>
        <w:top w:val="none" w:sz="0" w:space="0" w:color="auto"/>
        <w:left w:val="none" w:sz="0" w:space="0" w:color="auto"/>
        <w:bottom w:val="none" w:sz="0" w:space="0" w:color="auto"/>
        <w:right w:val="none" w:sz="0" w:space="0" w:color="auto"/>
      </w:divBdr>
    </w:div>
    <w:div w:id="953947936">
      <w:bodyDiv w:val="1"/>
      <w:marLeft w:val="0"/>
      <w:marRight w:val="0"/>
      <w:marTop w:val="0"/>
      <w:marBottom w:val="0"/>
      <w:divBdr>
        <w:top w:val="none" w:sz="0" w:space="0" w:color="auto"/>
        <w:left w:val="none" w:sz="0" w:space="0" w:color="auto"/>
        <w:bottom w:val="none" w:sz="0" w:space="0" w:color="auto"/>
        <w:right w:val="none" w:sz="0" w:space="0" w:color="auto"/>
      </w:divBdr>
    </w:div>
    <w:div w:id="953948005">
      <w:bodyDiv w:val="1"/>
      <w:marLeft w:val="0"/>
      <w:marRight w:val="0"/>
      <w:marTop w:val="0"/>
      <w:marBottom w:val="0"/>
      <w:divBdr>
        <w:top w:val="none" w:sz="0" w:space="0" w:color="auto"/>
        <w:left w:val="none" w:sz="0" w:space="0" w:color="auto"/>
        <w:bottom w:val="none" w:sz="0" w:space="0" w:color="auto"/>
        <w:right w:val="none" w:sz="0" w:space="0" w:color="auto"/>
      </w:divBdr>
    </w:div>
    <w:div w:id="953948983">
      <w:bodyDiv w:val="1"/>
      <w:marLeft w:val="0"/>
      <w:marRight w:val="0"/>
      <w:marTop w:val="0"/>
      <w:marBottom w:val="0"/>
      <w:divBdr>
        <w:top w:val="none" w:sz="0" w:space="0" w:color="auto"/>
        <w:left w:val="none" w:sz="0" w:space="0" w:color="auto"/>
        <w:bottom w:val="none" w:sz="0" w:space="0" w:color="auto"/>
        <w:right w:val="none" w:sz="0" w:space="0" w:color="auto"/>
      </w:divBdr>
    </w:div>
    <w:div w:id="954094039">
      <w:bodyDiv w:val="1"/>
      <w:marLeft w:val="0"/>
      <w:marRight w:val="0"/>
      <w:marTop w:val="0"/>
      <w:marBottom w:val="0"/>
      <w:divBdr>
        <w:top w:val="none" w:sz="0" w:space="0" w:color="auto"/>
        <w:left w:val="none" w:sz="0" w:space="0" w:color="auto"/>
        <w:bottom w:val="none" w:sz="0" w:space="0" w:color="auto"/>
        <w:right w:val="none" w:sz="0" w:space="0" w:color="auto"/>
      </w:divBdr>
    </w:div>
    <w:div w:id="954210798">
      <w:bodyDiv w:val="1"/>
      <w:marLeft w:val="0"/>
      <w:marRight w:val="0"/>
      <w:marTop w:val="0"/>
      <w:marBottom w:val="0"/>
      <w:divBdr>
        <w:top w:val="none" w:sz="0" w:space="0" w:color="auto"/>
        <w:left w:val="none" w:sz="0" w:space="0" w:color="auto"/>
        <w:bottom w:val="none" w:sz="0" w:space="0" w:color="auto"/>
        <w:right w:val="none" w:sz="0" w:space="0" w:color="auto"/>
      </w:divBdr>
    </w:div>
    <w:div w:id="954214075">
      <w:bodyDiv w:val="1"/>
      <w:marLeft w:val="0"/>
      <w:marRight w:val="0"/>
      <w:marTop w:val="0"/>
      <w:marBottom w:val="0"/>
      <w:divBdr>
        <w:top w:val="none" w:sz="0" w:space="0" w:color="auto"/>
        <w:left w:val="none" w:sz="0" w:space="0" w:color="auto"/>
        <w:bottom w:val="none" w:sz="0" w:space="0" w:color="auto"/>
        <w:right w:val="none" w:sz="0" w:space="0" w:color="auto"/>
      </w:divBdr>
    </w:div>
    <w:div w:id="954288407">
      <w:bodyDiv w:val="1"/>
      <w:marLeft w:val="0"/>
      <w:marRight w:val="0"/>
      <w:marTop w:val="0"/>
      <w:marBottom w:val="0"/>
      <w:divBdr>
        <w:top w:val="none" w:sz="0" w:space="0" w:color="auto"/>
        <w:left w:val="none" w:sz="0" w:space="0" w:color="auto"/>
        <w:bottom w:val="none" w:sz="0" w:space="0" w:color="auto"/>
        <w:right w:val="none" w:sz="0" w:space="0" w:color="auto"/>
      </w:divBdr>
    </w:div>
    <w:div w:id="954363180">
      <w:bodyDiv w:val="1"/>
      <w:marLeft w:val="0"/>
      <w:marRight w:val="0"/>
      <w:marTop w:val="0"/>
      <w:marBottom w:val="0"/>
      <w:divBdr>
        <w:top w:val="none" w:sz="0" w:space="0" w:color="auto"/>
        <w:left w:val="none" w:sz="0" w:space="0" w:color="auto"/>
        <w:bottom w:val="none" w:sz="0" w:space="0" w:color="auto"/>
        <w:right w:val="none" w:sz="0" w:space="0" w:color="auto"/>
      </w:divBdr>
    </w:div>
    <w:div w:id="954364283">
      <w:bodyDiv w:val="1"/>
      <w:marLeft w:val="0"/>
      <w:marRight w:val="0"/>
      <w:marTop w:val="0"/>
      <w:marBottom w:val="0"/>
      <w:divBdr>
        <w:top w:val="none" w:sz="0" w:space="0" w:color="auto"/>
        <w:left w:val="none" w:sz="0" w:space="0" w:color="auto"/>
        <w:bottom w:val="none" w:sz="0" w:space="0" w:color="auto"/>
        <w:right w:val="none" w:sz="0" w:space="0" w:color="auto"/>
      </w:divBdr>
    </w:div>
    <w:div w:id="954367432">
      <w:bodyDiv w:val="1"/>
      <w:marLeft w:val="0"/>
      <w:marRight w:val="0"/>
      <w:marTop w:val="0"/>
      <w:marBottom w:val="0"/>
      <w:divBdr>
        <w:top w:val="none" w:sz="0" w:space="0" w:color="auto"/>
        <w:left w:val="none" w:sz="0" w:space="0" w:color="auto"/>
        <w:bottom w:val="none" w:sz="0" w:space="0" w:color="auto"/>
        <w:right w:val="none" w:sz="0" w:space="0" w:color="auto"/>
      </w:divBdr>
    </w:div>
    <w:div w:id="954412357">
      <w:bodyDiv w:val="1"/>
      <w:marLeft w:val="0"/>
      <w:marRight w:val="0"/>
      <w:marTop w:val="0"/>
      <w:marBottom w:val="0"/>
      <w:divBdr>
        <w:top w:val="none" w:sz="0" w:space="0" w:color="auto"/>
        <w:left w:val="none" w:sz="0" w:space="0" w:color="auto"/>
        <w:bottom w:val="none" w:sz="0" w:space="0" w:color="auto"/>
        <w:right w:val="none" w:sz="0" w:space="0" w:color="auto"/>
      </w:divBdr>
    </w:div>
    <w:div w:id="954478726">
      <w:bodyDiv w:val="1"/>
      <w:marLeft w:val="0"/>
      <w:marRight w:val="0"/>
      <w:marTop w:val="0"/>
      <w:marBottom w:val="0"/>
      <w:divBdr>
        <w:top w:val="none" w:sz="0" w:space="0" w:color="auto"/>
        <w:left w:val="none" w:sz="0" w:space="0" w:color="auto"/>
        <w:bottom w:val="none" w:sz="0" w:space="0" w:color="auto"/>
        <w:right w:val="none" w:sz="0" w:space="0" w:color="auto"/>
      </w:divBdr>
    </w:div>
    <w:div w:id="954481864">
      <w:bodyDiv w:val="1"/>
      <w:marLeft w:val="0"/>
      <w:marRight w:val="0"/>
      <w:marTop w:val="0"/>
      <w:marBottom w:val="0"/>
      <w:divBdr>
        <w:top w:val="none" w:sz="0" w:space="0" w:color="auto"/>
        <w:left w:val="none" w:sz="0" w:space="0" w:color="auto"/>
        <w:bottom w:val="none" w:sz="0" w:space="0" w:color="auto"/>
        <w:right w:val="none" w:sz="0" w:space="0" w:color="auto"/>
      </w:divBdr>
    </w:div>
    <w:div w:id="954560582">
      <w:bodyDiv w:val="1"/>
      <w:marLeft w:val="0"/>
      <w:marRight w:val="0"/>
      <w:marTop w:val="0"/>
      <w:marBottom w:val="0"/>
      <w:divBdr>
        <w:top w:val="none" w:sz="0" w:space="0" w:color="auto"/>
        <w:left w:val="none" w:sz="0" w:space="0" w:color="auto"/>
        <w:bottom w:val="none" w:sz="0" w:space="0" w:color="auto"/>
        <w:right w:val="none" w:sz="0" w:space="0" w:color="auto"/>
      </w:divBdr>
    </w:div>
    <w:div w:id="954941209">
      <w:bodyDiv w:val="1"/>
      <w:marLeft w:val="0"/>
      <w:marRight w:val="0"/>
      <w:marTop w:val="0"/>
      <w:marBottom w:val="0"/>
      <w:divBdr>
        <w:top w:val="none" w:sz="0" w:space="0" w:color="auto"/>
        <w:left w:val="none" w:sz="0" w:space="0" w:color="auto"/>
        <w:bottom w:val="none" w:sz="0" w:space="0" w:color="auto"/>
        <w:right w:val="none" w:sz="0" w:space="0" w:color="auto"/>
      </w:divBdr>
    </w:div>
    <w:div w:id="955018249">
      <w:bodyDiv w:val="1"/>
      <w:marLeft w:val="0"/>
      <w:marRight w:val="0"/>
      <w:marTop w:val="0"/>
      <w:marBottom w:val="0"/>
      <w:divBdr>
        <w:top w:val="none" w:sz="0" w:space="0" w:color="auto"/>
        <w:left w:val="none" w:sz="0" w:space="0" w:color="auto"/>
        <w:bottom w:val="none" w:sz="0" w:space="0" w:color="auto"/>
        <w:right w:val="none" w:sz="0" w:space="0" w:color="auto"/>
      </w:divBdr>
    </w:div>
    <w:div w:id="955020550">
      <w:bodyDiv w:val="1"/>
      <w:marLeft w:val="0"/>
      <w:marRight w:val="0"/>
      <w:marTop w:val="0"/>
      <w:marBottom w:val="0"/>
      <w:divBdr>
        <w:top w:val="none" w:sz="0" w:space="0" w:color="auto"/>
        <w:left w:val="none" w:sz="0" w:space="0" w:color="auto"/>
        <w:bottom w:val="none" w:sz="0" w:space="0" w:color="auto"/>
        <w:right w:val="none" w:sz="0" w:space="0" w:color="auto"/>
      </w:divBdr>
    </w:div>
    <w:div w:id="955022384">
      <w:bodyDiv w:val="1"/>
      <w:marLeft w:val="0"/>
      <w:marRight w:val="0"/>
      <w:marTop w:val="0"/>
      <w:marBottom w:val="0"/>
      <w:divBdr>
        <w:top w:val="none" w:sz="0" w:space="0" w:color="auto"/>
        <w:left w:val="none" w:sz="0" w:space="0" w:color="auto"/>
        <w:bottom w:val="none" w:sz="0" w:space="0" w:color="auto"/>
        <w:right w:val="none" w:sz="0" w:space="0" w:color="auto"/>
      </w:divBdr>
    </w:div>
    <w:div w:id="955063610">
      <w:bodyDiv w:val="1"/>
      <w:marLeft w:val="0"/>
      <w:marRight w:val="0"/>
      <w:marTop w:val="0"/>
      <w:marBottom w:val="0"/>
      <w:divBdr>
        <w:top w:val="none" w:sz="0" w:space="0" w:color="auto"/>
        <w:left w:val="none" w:sz="0" w:space="0" w:color="auto"/>
        <w:bottom w:val="none" w:sz="0" w:space="0" w:color="auto"/>
        <w:right w:val="none" w:sz="0" w:space="0" w:color="auto"/>
      </w:divBdr>
    </w:div>
    <w:div w:id="955067885">
      <w:bodyDiv w:val="1"/>
      <w:marLeft w:val="0"/>
      <w:marRight w:val="0"/>
      <w:marTop w:val="0"/>
      <w:marBottom w:val="0"/>
      <w:divBdr>
        <w:top w:val="none" w:sz="0" w:space="0" w:color="auto"/>
        <w:left w:val="none" w:sz="0" w:space="0" w:color="auto"/>
        <w:bottom w:val="none" w:sz="0" w:space="0" w:color="auto"/>
        <w:right w:val="none" w:sz="0" w:space="0" w:color="auto"/>
      </w:divBdr>
    </w:div>
    <w:div w:id="955138968">
      <w:bodyDiv w:val="1"/>
      <w:marLeft w:val="0"/>
      <w:marRight w:val="0"/>
      <w:marTop w:val="0"/>
      <w:marBottom w:val="0"/>
      <w:divBdr>
        <w:top w:val="none" w:sz="0" w:space="0" w:color="auto"/>
        <w:left w:val="none" w:sz="0" w:space="0" w:color="auto"/>
        <w:bottom w:val="none" w:sz="0" w:space="0" w:color="auto"/>
        <w:right w:val="none" w:sz="0" w:space="0" w:color="auto"/>
      </w:divBdr>
    </w:div>
    <w:div w:id="955329043">
      <w:bodyDiv w:val="1"/>
      <w:marLeft w:val="0"/>
      <w:marRight w:val="0"/>
      <w:marTop w:val="0"/>
      <w:marBottom w:val="0"/>
      <w:divBdr>
        <w:top w:val="none" w:sz="0" w:space="0" w:color="auto"/>
        <w:left w:val="none" w:sz="0" w:space="0" w:color="auto"/>
        <w:bottom w:val="none" w:sz="0" w:space="0" w:color="auto"/>
        <w:right w:val="none" w:sz="0" w:space="0" w:color="auto"/>
      </w:divBdr>
    </w:div>
    <w:div w:id="955411807">
      <w:bodyDiv w:val="1"/>
      <w:marLeft w:val="0"/>
      <w:marRight w:val="0"/>
      <w:marTop w:val="0"/>
      <w:marBottom w:val="0"/>
      <w:divBdr>
        <w:top w:val="none" w:sz="0" w:space="0" w:color="auto"/>
        <w:left w:val="none" w:sz="0" w:space="0" w:color="auto"/>
        <w:bottom w:val="none" w:sz="0" w:space="0" w:color="auto"/>
        <w:right w:val="none" w:sz="0" w:space="0" w:color="auto"/>
      </w:divBdr>
    </w:div>
    <w:div w:id="955480633">
      <w:bodyDiv w:val="1"/>
      <w:marLeft w:val="0"/>
      <w:marRight w:val="0"/>
      <w:marTop w:val="0"/>
      <w:marBottom w:val="0"/>
      <w:divBdr>
        <w:top w:val="none" w:sz="0" w:space="0" w:color="auto"/>
        <w:left w:val="none" w:sz="0" w:space="0" w:color="auto"/>
        <w:bottom w:val="none" w:sz="0" w:space="0" w:color="auto"/>
        <w:right w:val="none" w:sz="0" w:space="0" w:color="auto"/>
      </w:divBdr>
    </w:div>
    <w:div w:id="955596397">
      <w:bodyDiv w:val="1"/>
      <w:marLeft w:val="0"/>
      <w:marRight w:val="0"/>
      <w:marTop w:val="0"/>
      <w:marBottom w:val="0"/>
      <w:divBdr>
        <w:top w:val="none" w:sz="0" w:space="0" w:color="auto"/>
        <w:left w:val="none" w:sz="0" w:space="0" w:color="auto"/>
        <w:bottom w:val="none" w:sz="0" w:space="0" w:color="auto"/>
        <w:right w:val="none" w:sz="0" w:space="0" w:color="auto"/>
      </w:divBdr>
    </w:div>
    <w:div w:id="955604716">
      <w:bodyDiv w:val="1"/>
      <w:marLeft w:val="0"/>
      <w:marRight w:val="0"/>
      <w:marTop w:val="0"/>
      <w:marBottom w:val="0"/>
      <w:divBdr>
        <w:top w:val="none" w:sz="0" w:space="0" w:color="auto"/>
        <w:left w:val="none" w:sz="0" w:space="0" w:color="auto"/>
        <w:bottom w:val="none" w:sz="0" w:space="0" w:color="auto"/>
        <w:right w:val="none" w:sz="0" w:space="0" w:color="auto"/>
      </w:divBdr>
    </w:div>
    <w:div w:id="955673339">
      <w:bodyDiv w:val="1"/>
      <w:marLeft w:val="0"/>
      <w:marRight w:val="0"/>
      <w:marTop w:val="0"/>
      <w:marBottom w:val="0"/>
      <w:divBdr>
        <w:top w:val="none" w:sz="0" w:space="0" w:color="auto"/>
        <w:left w:val="none" w:sz="0" w:space="0" w:color="auto"/>
        <w:bottom w:val="none" w:sz="0" w:space="0" w:color="auto"/>
        <w:right w:val="none" w:sz="0" w:space="0" w:color="auto"/>
      </w:divBdr>
    </w:div>
    <w:div w:id="955790628">
      <w:bodyDiv w:val="1"/>
      <w:marLeft w:val="0"/>
      <w:marRight w:val="0"/>
      <w:marTop w:val="0"/>
      <w:marBottom w:val="0"/>
      <w:divBdr>
        <w:top w:val="none" w:sz="0" w:space="0" w:color="auto"/>
        <w:left w:val="none" w:sz="0" w:space="0" w:color="auto"/>
        <w:bottom w:val="none" w:sz="0" w:space="0" w:color="auto"/>
        <w:right w:val="none" w:sz="0" w:space="0" w:color="auto"/>
      </w:divBdr>
    </w:div>
    <w:div w:id="955983043">
      <w:bodyDiv w:val="1"/>
      <w:marLeft w:val="0"/>
      <w:marRight w:val="0"/>
      <w:marTop w:val="0"/>
      <w:marBottom w:val="0"/>
      <w:divBdr>
        <w:top w:val="none" w:sz="0" w:space="0" w:color="auto"/>
        <w:left w:val="none" w:sz="0" w:space="0" w:color="auto"/>
        <w:bottom w:val="none" w:sz="0" w:space="0" w:color="auto"/>
        <w:right w:val="none" w:sz="0" w:space="0" w:color="auto"/>
      </w:divBdr>
    </w:div>
    <w:div w:id="955990049">
      <w:bodyDiv w:val="1"/>
      <w:marLeft w:val="0"/>
      <w:marRight w:val="0"/>
      <w:marTop w:val="0"/>
      <w:marBottom w:val="0"/>
      <w:divBdr>
        <w:top w:val="none" w:sz="0" w:space="0" w:color="auto"/>
        <w:left w:val="none" w:sz="0" w:space="0" w:color="auto"/>
        <w:bottom w:val="none" w:sz="0" w:space="0" w:color="auto"/>
        <w:right w:val="none" w:sz="0" w:space="0" w:color="auto"/>
      </w:divBdr>
    </w:div>
    <w:div w:id="956058468">
      <w:bodyDiv w:val="1"/>
      <w:marLeft w:val="0"/>
      <w:marRight w:val="0"/>
      <w:marTop w:val="0"/>
      <w:marBottom w:val="0"/>
      <w:divBdr>
        <w:top w:val="none" w:sz="0" w:space="0" w:color="auto"/>
        <w:left w:val="none" w:sz="0" w:space="0" w:color="auto"/>
        <w:bottom w:val="none" w:sz="0" w:space="0" w:color="auto"/>
        <w:right w:val="none" w:sz="0" w:space="0" w:color="auto"/>
      </w:divBdr>
    </w:div>
    <w:div w:id="956060807">
      <w:bodyDiv w:val="1"/>
      <w:marLeft w:val="0"/>
      <w:marRight w:val="0"/>
      <w:marTop w:val="0"/>
      <w:marBottom w:val="0"/>
      <w:divBdr>
        <w:top w:val="none" w:sz="0" w:space="0" w:color="auto"/>
        <w:left w:val="none" w:sz="0" w:space="0" w:color="auto"/>
        <w:bottom w:val="none" w:sz="0" w:space="0" w:color="auto"/>
        <w:right w:val="none" w:sz="0" w:space="0" w:color="auto"/>
      </w:divBdr>
    </w:div>
    <w:div w:id="956105422">
      <w:bodyDiv w:val="1"/>
      <w:marLeft w:val="0"/>
      <w:marRight w:val="0"/>
      <w:marTop w:val="0"/>
      <w:marBottom w:val="0"/>
      <w:divBdr>
        <w:top w:val="none" w:sz="0" w:space="0" w:color="auto"/>
        <w:left w:val="none" w:sz="0" w:space="0" w:color="auto"/>
        <w:bottom w:val="none" w:sz="0" w:space="0" w:color="auto"/>
        <w:right w:val="none" w:sz="0" w:space="0" w:color="auto"/>
      </w:divBdr>
    </w:div>
    <w:div w:id="956520035">
      <w:bodyDiv w:val="1"/>
      <w:marLeft w:val="0"/>
      <w:marRight w:val="0"/>
      <w:marTop w:val="0"/>
      <w:marBottom w:val="0"/>
      <w:divBdr>
        <w:top w:val="none" w:sz="0" w:space="0" w:color="auto"/>
        <w:left w:val="none" w:sz="0" w:space="0" w:color="auto"/>
        <w:bottom w:val="none" w:sz="0" w:space="0" w:color="auto"/>
        <w:right w:val="none" w:sz="0" w:space="0" w:color="auto"/>
      </w:divBdr>
    </w:div>
    <w:div w:id="956525078">
      <w:bodyDiv w:val="1"/>
      <w:marLeft w:val="0"/>
      <w:marRight w:val="0"/>
      <w:marTop w:val="0"/>
      <w:marBottom w:val="0"/>
      <w:divBdr>
        <w:top w:val="none" w:sz="0" w:space="0" w:color="auto"/>
        <w:left w:val="none" w:sz="0" w:space="0" w:color="auto"/>
        <w:bottom w:val="none" w:sz="0" w:space="0" w:color="auto"/>
        <w:right w:val="none" w:sz="0" w:space="0" w:color="auto"/>
      </w:divBdr>
    </w:div>
    <w:div w:id="956527031">
      <w:bodyDiv w:val="1"/>
      <w:marLeft w:val="0"/>
      <w:marRight w:val="0"/>
      <w:marTop w:val="0"/>
      <w:marBottom w:val="0"/>
      <w:divBdr>
        <w:top w:val="none" w:sz="0" w:space="0" w:color="auto"/>
        <w:left w:val="none" w:sz="0" w:space="0" w:color="auto"/>
        <w:bottom w:val="none" w:sz="0" w:space="0" w:color="auto"/>
        <w:right w:val="none" w:sz="0" w:space="0" w:color="auto"/>
      </w:divBdr>
    </w:div>
    <w:div w:id="956565107">
      <w:bodyDiv w:val="1"/>
      <w:marLeft w:val="0"/>
      <w:marRight w:val="0"/>
      <w:marTop w:val="0"/>
      <w:marBottom w:val="0"/>
      <w:divBdr>
        <w:top w:val="none" w:sz="0" w:space="0" w:color="auto"/>
        <w:left w:val="none" w:sz="0" w:space="0" w:color="auto"/>
        <w:bottom w:val="none" w:sz="0" w:space="0" w:color="auto"/>
        <w:right w:val="none" w:sz="0" w:space="0" w:color="auto"/>
      </w:divBdr>
    </w:div>
    <w:div w:id="956643167">
      <w:bodyDiv w:val="1"/>
      <w:marLeft w:val="0"/>
      <w:marRight w:val="0"/>
      <w:marTop w:val="0"/>
      <w:marBottom w:val="0"/>
      <w:divBdr>
        <w:top w:val="none" w:sz="0" w:space="0" w:color="auto"/>
        <w:left w:val="none" w:sz="0" w:space="0" w:color="auto"/>
        <w:bottom w:val="none" w:sz="0" w:space="0" w:color="auto"/>
        <w:right w:val="none" w:sz="0" w:space="0" w:color="auto"/>
      </w:divBdr>
    </w:div>
    <w:div w:id="956762351">
      <w:bodyDiv w:val="1"/>
      <w:marLeft w:val="0"/>
      <w:marRight w:val="0"/>
      <w:marTop w:val="0"/>
      <w:marBottom w:val="0"/>
      <w:divBdr>
        <w:top w:val="none" w:sz="0" w:space="0" w:color="auto"/>
        <w:left w:val="none" w:sz="0" w:space="0" w:color="auto"/>
        <w:bottom w:val="none" w:sz="0" w:space="0" w:color="auto"/>
        <w:right w:val="none" w:sz="0" w:space="0" w:color="auto"/>
      </w:divBdr>
    </w:div>
    <w:div w:id="956839041">
      <w:bodyDiv w:val="1"/>
      <w:marLeft w:val="0"/>
      <w:marRight w:val="0"/>
      <w:marTop w:val="0"/>
      <w:marBottom w:val="0"/>
      <w:divBdr>
        <w:top w:val="none" w:sz="0" w:space="0" w:color="auto"/>
        <w:left w:val="none" w:sz="0" w:space="0" w:color="auto"/>
        <w:bottom w:val="none" w:sz="0" w:space="0" w:color="auto"/>
        <w:right w:val="none" w:sz="0" w:space="0" w:color="auto"/>
      </w:divBdr>
    </w:div>
    <w:div w:id="956912586">
      <w:bodyDiv w:val="1"/>
      <w:marLeft w:val="0"/>
      <w:marRight w:val="0"/>
      <w:marTop w:val="0"/>
      <w:marBottom w:val="0"/>
      <w:divBdr>
        <w:top w:val="none" w:sz="0" w:space="0" w:color="auto"/>
        <w:left w:val="none" w:sz="0" w:space="0" w:color="auto"/>
        <w:bottom w:val="none" w:sz="0" w:space="0" w:color="auto"/>
        <w:right w:val="none" w:sz="0" w:space="0" w:color="auto"/>
      </w:divBdr>
    </w:div>
    <w:div w:id="956914332">
      <w:bodyDiv w:val="1"/>
      <w:marLeft w:val="0"/>
      <w:marRight w:val="0"/>
      <w:marTop w:val="0"/>
      <w:marBottom w:val="0"/>
      <w:divBdr>
        <w:top w:val="none" w:sz="0" w:space="0" w:color="auto"/>
        <w:left w:val="none" w:sz="0" w:space="0" w:color="auto"/>
        <w:bottom w:val="none" w:sz="0" w:space="0" w:color="auto"/>
        <w:right w:val="none" w:sz="0" w:space="0" w:color="auto"/>
      </w:divBdr>
    </w:div>
    <w:div w:id="957108511">
      <w:bodyDiv w:val="1"/>
      <w:marLeft w:val="0"/>
      <w:marRight w:val="0"/>
      <w:marTop w:val="0"/>
      <w:marBottom w:val="0"/>
      <w:divBdr>
        <w:top w:val="none" w:sz="0" w:space="0" w:color="auto"/>
        <w:left w:val="none" w:sz="0" w:space="0" w:color="auto"/>
        <w:bottom w:val="none" w:sz="0" w:space="0" w:color="auto"/>
        <w:right w:val="none" w:sz="0" w:space="0" w:color="auto"/>
      </w:divBdr>
    </w:div>
    <w:div w:id="957180979">
      <w:bodyDiv w:val="1"/>
      <w:marLeft w:val="0"/>
      <w:marRight w:val="0"/>
      <w:marTop w:val="0"/>
      <w:marBottom w:val="0"/>
      <w:divBdr>
        <w:top w:val="none" w:sz="0" w:space="0" w:color="auto"/>
        <w:left w:val="none" w:sz="0" w:space="0" w:color="auto"/>
        <w:bottom w:val="none" w:sz="0" w:space="0" w:color="auto"/>
        <w:right w:val="none" w:sz="0" w:space="0" w:color="auto"/>
      </w:divBdr>
    </w:div>
    <w:div w:id="957223141">
      <w:bodyDiv w:val="1"/>
      <w:marLeft w:val="0"/>
      <w:marRight w:val="0"/>
      <w:marTop w:val="0"/>
      <w:marBottom w:val="0"/>
      <w:divBdr>
        <w:top w:val="none" w:sz="0" w:space="0" w:color="auto"/>
        <w:left w:val="none" w:sz="0" w:space="0" w:color="auto"/>
        <w:bottom w:val="none" w:sz="0" w:space="0" w:color="auto"/>
        <w:right w:val="none" w:sz="0" w:space="0" w:color="auto"/>
      </w:divBdr>
    </w:div>
    <w:div w:id="957292847">
      <w:bodyDiv w:val="1"/>
      <w:marLeft w:val="0"/>
      <w:marRight w:val="0"/>
      <w:marTop w:val="0"/>
      <w:marBottom w:val="0"/>
      <w:divBdr>
        <w:top w:val="none" w:sz="0" w:space="0" w:color="auto"/>
        <w:left w:val="none" w:sz="0" w:space="0" w:color="auto"/>
        <w:bottom w:val="none" w:sz="0" w:space="0" w:color="auto"/>
        <w:right w:val="none" w:sz="0" w:space="0" w:color="auto"/>
      </w:divBdr>
    </w:div>
    <w:div w:id="957299330">
      <w:bodyDiv w:val="1"/>
      <w:marLeft w:val="0"/>
      <w:marRight w:val="0"/>
      <w:marTop w:val="0"/>
      <w:marBottom w:val="0"/>
      <w:divBdr>
        <w:top w:val="none" w:sz="0" w:space="0" w:color="auto"/>
        <w:left w:val="none" w:sz="0" w:space="0" w:color="auto"/>
        <w:bottom w:val="none" w:sz="0" w:space="0" w:color="auto"/>
        <w:right w:val="none" w:sz="0" w:space="0" w:color="auto"/>
      </w:divBdr>
    </w:div>
    <w:div w:id="957302509">
      <w:bodyDiv w:val="1"/>
      <w:marLeft w:val="0"/>
      <w:marRight w:val="0"/>
      <w:marTop w:val="0"/>
      <w:marBottom w:val="0"/>
      <w:divBdr>
        <w:top w:val="none" w:sz="0" w:space="0" w:color="auto"/>
        <w:left w:val="none" w:sz="0" w:space="0" w:color="auto"/>
        <w:bottom w:val="none" w:sz="0" w:space="0" w:color="auto"/>
        <w:right w:val="none" w:sz="0" w:space="0" w:color="auto"/>
      </w:divBdr>
    </w:div>
    <w:div w:id="957369074">
      <w:bodyDiv w:val="1"/>
      <w:marLeft w:val="0"/>
      <w:marRight w:val="0"/>
      <w:marTop w:val="0"/>
      <w:marBottom w:val="0"/>
      <w:divBdr>
        <w:top w:val="none" w:sz="0" w:space="0" w:color="auto"/>
        <w:left w:val="none" w:sz="0" w:space="0" w:color="auto"/>
        <w:bottom w:val="none" w:sz="0" w:space="0" w:color="auto"/>
        <w:right w:val="none" w:sz="0" w:space="0" w:color="auto"/>
      </w:divBdr>
    </w:div>
    <w:div w:id="957415545">
      <w:bodyDiv w:val="1"/>
      <w:marLeft w:val="0"/>
      <w:marRight w:val="0"/>
      <w:marTop w:val="0"/>
      <w:marBottom w:val="0"/>
      <w:divBdr>
        <w:top w:val="none" w:sz="0" w:space="0" w:color="auto"/>
        <w:left w:val="none" w:sz="0" w:space="0" w:color="auto"/>
        <w:bottom w:val="none" w:sz="0" w:space="0" w:color="auto"/>
        <w:right w:val="none" w:sz="0" w:space="0" w:color="auto"/>
      </w:divBdr>
    </w:div>
    <w:div w:id="957416916">
      <w:bodyDiv w:val="1"/>
      <w:marLeft w:val="0"/>
      <w:marRight w:val="0"/>
      <w:marTop w:val="0"/>
      <w:marBottom w:val="0"/>
      <w:divBdr>
        <w:top w:val="none" w:sz="0" w:space="0" w:color="auto"/>
        <w:left w:val="none" w:sz="0" w:space="0" w:color="auto"/>
        <w:bottom w:val="none" w:sz="0" w:space="0" w:color="auto"/>
        <w:right w:val="none" w:sz="0" w:space="0" w:color="auto"/>
      </w:divBdr>
    </w:div>
    <w:div w:id="957444063">
      <w:bodyDiv w:val="1"/>
      <w:marLeft w:val="0"/>
      <w:marRight w:val="0"/>
      <w:marTop w:val="0"/>
      <w:marBottom w:val="0"/>
      <w:divBdr>
        <w:top w:val="none" w:sz="0" w:space="0" w:color="auto"/>
        <w:left w:val="none" w:sz="0" w:space="0" w:color="auto"/>
        <w:bottom w:val="none" w:sz="0" w:space="0" w:color="auto"/>
        <w:right w:val="none" w:sz="0" w:space="0" w:color="auto"/>
      </w:divBdr>
    </w:div>
    <w:div w:id="957490831">
      <w:bodyDiv w:val="1"/>
      <w:marLeft w:val="0"/>
      <w:marRight w:val="0"/>
      <w:marTop w:val="0"/>
      <w:marBottom w:val="0"/>
      <w:divBdr>
        <w:top w:val="none" w:sz="0" w:space="0" w:color="auto"/>
        <w:left w:val="none" w:sz="0" w:space="0" w:color="auto"/>
        <w:bottom w:val="none" w:sz="0" w:space="0" w:color="auto"/>
        <w:right w:val="none" w:sz="0" w:space="0" w:color="auto"/>
      </w:divBdr>
    </w:div>
    <w:div w:id="957563037">
      <w:bodyDiv w:val="1"/>
      <w:marLeft w:val="0"/>
      <w:marRight w:val="0"/>
      <w:marTop w:val="0"/>
      <w:marBottom w:val="0"/>
      <w:divBdr>
        <w:top w:val="none" w:sz="0" w:space="0" w:color="auto"/>
        <w:left w:val="none" w:sz="0" w:space="0" w:color="auto"/>
        <w:bottom w:val="none" w:sz="0" w:space="0" w:color="auto"/>
        <w:right w:val="none" w:sz="0" w:space="0" w:color="auto"/>
      </w:divBdr>
    </w:div>
    <w:div w:id="957681394">
      <w:bodyDiv w:val="1"/>
      <w:marLeft w:val="0"/>
      <w:marRight w:val="0"/>
      <w:marTop w:val="0"/>
      <w:marBottom w:val="0"/>
      <w:divBdr>
        <w:top w:val="none" w:sz="0" w:space="0" w:color="auto"/>
        <w:left w:val="none" w:sz="0" w:space="0" w:color="auto"/>
        <w:bottom w:val="none" w:sz="0" w:space="0" w:color="auto"/>
        <w:right w:val="none" w:sz="0" w:space="0" w:color="auto"/>
      </w:divBdr>
    </w:div>
    <w:div w:id="957762101">
      <w:bodyDiv w:val="1"/>
      <w:marLeft w:val="0"/>
      <w:marRight w:val="0"/>
      <w:marTop w:val="0"/>
      <w:marBottom w:val="0"/>
      <w:divBdr>
        <w:top w:val="none" w:sz="0" w:space="0" w:color="auto"/>
        <w:left w:val="none" w:sz="0" w:space="0" w:color="auto"/>
        <w:bottom w:val="none" w:sz="0" w:space="0" w:color="auto"/>
        <w:right w:val="none" w:sz="0" w:space="0" w:color="auto"/>
      </w:divBdr>
    </w:div>
    <w:div w:id="957764287">
      <w:bodyDiv w:val="1"/>
      <w:marLeft w:val="0"/>
      <w:marRight w:val="0"/>
      <w:marTop w:val="0"/>
      <w:marBottom w:val="0"/>
      <w:divBdr>
        <w:top w:val="none" w:sz="0" w:space="0" w:color="auto"/>
        <w:left w:val="none" w:sz="0" w:space="0" w:color="auto"/>
        <w:bottom w:val="none" w:sz="0" w:space="0" w:color="auto"/>
        <w:right w:val="none" w:sz="0" w:space="0" w:color="auto"/>
      </w:divBdr>
    </w:div>
    <w:div w:id="957906123">
      <w:bodyDiv w:val="1"/>
      <w:marLeft w:val="0"/>
      <w:marRight w:val="0"/>
      <w:marTop w:val="0"/>
      <w:marBottom w:val="0"/>
      <w:divBdr>
        <w:top w:val="none" w:sz="0" w:space="0" w:color="auto"/>
        <w:left w:val="none" w:sz="0" w:space="0" w:color="auto"/>
        <w:bottom w:val="none" w:sz="0" w:space="0" w:color="auto"/>
        <w:right w:val="none" w:sz="0" w:space="0" w:color="auto"/>
      </w:divBdr>
    </w:div>
    <w:div w:id="957951587">
      <w:bodyDiv w:val="1"/>
      <w:marLeft w:val="0"/>
      <w:marRight w:val="0"/>
      <w:marTop w:val="0"/>
      <w:marBottom w:val="0"/>
      <w:divBdr>
        <w:top w:val="none" w:sz="0" w:space="0" w:color="auto"/>
        <w:left w:val="none" w:sz="0" w:space="0" w:color="auto"/>
        <w:bottom w:val="none" w:sz="0" w:space="0" w:color="auto"/>
        <w:right w:val="none" w:sz="0" w:space="0" w:color="auto"/>
      </w:divBdr>
    </w:div>
    <w:div w:id="957952358">
      <w:bodyDiv w:val="1"/>
      <w:marLeft w:val="0"/>
      <w:marRight w:val="0"/>
      <w:marTop w:val="0"/>
      <w:marBottom w:val="0"/>
      <w:divBdr>
        <w:top w:val="none" w:sz="0" w:space="0" w:color="auto"/>
        <w:left w:val="none" w:sz="0" w:space="0" w:color="auto"/>
        <w:bottom w:val="none" w:sz="0" w:space="0" w:color="auto"/>
        <w:right w:val="none" w:sz="0" w:space="0" w:color="auto"/>
      </w:divBdr>
    </w:div>
    <w:div w:id="958026976">
      <w:bodyDiv w:val="1"/>
      <w:marLeft w:val="0"/>
      <w:marRight w:val="0"/>
      <w:marTop w:val="0"/>
      <w:marBottom w:val="0"/>
      <w:divBdr>
        <w:top w:val="none" w:sz="0" w:space="0" w:color="auto"/>
        <w:left w:val="none" w:sz="0" w:space="0" w:color="auto"/>
        <w:bottom w:val="none" w:sz="0" w:space="0" w:color="auto"/>
        <w:right w:val="none" w:sz="0" w:space="0" w:color="auto"/>
      </w:divBdr>
    </w:div>
    <w:div w:id="958030832">
      <w:bodyDiv w:val="1"/>
      <w:marLeft w:val="0"/>
      <w:marRight w:val="0"/>
      <w:marTop w:val="0"/>
      <w:marBottom w:val="0"/>
      <w:divBdr>
        <w:top w:val="none" w:sz="0" w:space="0" w:color="auto"/>
        <w:left w:val="none" w:sz="0" w:space="0" w:color="auto"/>
        <w:bottom w:val="none" w:sz="0" w:space="0" w:color="auto"/>
        <w:right w:val="none" w:sz="0" w:space="0" w:color="auto"/>
      </w:divBdr>
    </w:div>
    <w:div w:id="958296822">
      <w:bodyDiv w:val="1"/>
      <w:marLeft w:val="0"/>
      <w:marRight w:val="0"/>
      <w:marTop w:val="0"/>
      <w:marBottom w:val="0"/>
      <w:divBdr>
        <w:top w:val="none" w:sz="0" w:space="0" w:color="auto"/>
        <w:left w:val="none" w:sz="0" w:space="0" w:color="auto"/>
        <w:bottom w:val="none" w:sz="0" w:space="0" w:color="auto"/>
        <w:right w:val="none" w:sz="0" w:space="0" w:color="auto"/>
      </w:divBdr>
    </w:div>
    <w:div w:id="958297524">
      <w:bodyDiv w:val="1"/>
      <w:marLeft w:val="0"/>
      <w:marRight w:val="0"/>
      <w:marTop w:val="0"/>
      <w:marBottom w:val="0"/>
      <w:divBdr>
        <w:top w:val="none" w:sz="0" w:space="0" w:color="auto"/>
        <w:left w:val="none" w:sz="0" w:space="0" w:color="auto"/>
        <w:bottom w:val="none" w:sz="0" w:space="0" w:color="auto"/>
        <w:right w:val="none" w:sz="0" w:space="0" w:color="auto"/>
      </w:divBdr>
    </w:div>
    <w:div w:id="958298287">
      <w:bodyDiv w:val="1"/>
      <w:marLeft w:val="0"/>
      <w:marRight w:val="0"/>
      <w:marTop w:val="0"/>
      <w:marBottom w:val="0"/>
      <w:divBdr>
        <w:top w:val="none" w:sz="0" w:space="0" w:color="auto"/>
        <w:left w:val="none" w:sz="0" w:space="0" w:color="auto"/>
        <w:bottom w:val="none" w:sz="0" w:space="0" w:color="auto"/>
        <w:right w:val="none" w:sz="0" w:space="0" w:color="auto"/>
      </w:divBdr>
    </w:div>
    <w:div w:id="958491339">
      <w:bodyDiv w:val="1"/>
      <w:marLeft w:val="0"/>
      <w:marRight w:val="0"/>
      <w:marTop w:val="0"/>
      <w:marBottom w:val="0"/>
      <w:divBdr>
        <w:top w:val="none" w:sz="0" w:space="0" w:color="auto"/>
        <w:left w:val="none" w:sz="0" w:space="0" w:color="auto"/>
        <w:bottom w:val="none" w:sz="0" w:space="0" w:color="auto"/>
        <w:right w:val="none" w:sz="0" w:space="0" w:color="auto"/>
      </w:divBdr>
    </w:div>
    <w:div w:id="958531890">
      <w:bodyDiv w:val="1"/>
      <w:marLeft w:val="0"/>
      <w:marRight w:val="0"/>
      <w:marTop w:val="0"/>
      <w:marBottom w:val="0"/>
      <w:divBdr>
        <w:top w:val="none" w:sz="0" w:space="0" w:color="auto"/>
        <w:left w:val="none" w:sz="0" w:space="0" w:color="auto"/>
        <w:bottom w:val="none" w:sz="0" w:space="0" w:color="auto"/>
        <w:right w:val="none" w:sz="0" w:space="0" w:color="auto"/>
      </w:divBdr>
    </w:div>
    <w:div w:id="958606361">
      <w:bodyDiv w:val="1"/>
      <w:marLeft w:val="0"/>
      <w:marRight w:val="0"/>
      <w:marTop w:val="0"/>
      <w:marBottom w:val="0"/>
      <w:divBdr>
        <w:top w:val="none" w:sz="0" w:space="0" w:color="auto"/>
        <w:left w:val="none" w:sz="0" w:space="0" w:color="auto"/>
        <w:bottom w:val="none" w:sz="0" w:space="0" w:color="auto"/>
        <w:right w:val="none" w:sz="0" w:space="0" w:color="auto"/>
      </w:divBdr>
    </w:div>
    <w:div w:id="958685640">
      <w:bodyDiv w:val="1"/>
      <w:marLeft w:val="0"/>
      <w:marRight w:val="0"/>
      <w:marTop w:val="0"/>
      <w:marBottom w:val="0"/>
      <w:divBdr>
        <w:top w:val="none" w:sz="0" w:space="0" w:color="auto"/>
        <w:left w:val="none" w:sz="0" w:space="0" w:color="auto"/>
        <w:bottom w:val="none" w:sz="0" w:space="0" w:color="auto"/>
        <w:right w:val="none" w:sz="0" w:space="0" w:color="auto"/>
      </w:divBdr>
    </w:div>
    <w:div w:id="958729649">
      <w:bodyDiv w:val="1"/>
      <w:marLeft w:val="0"/>
      <w:marRight w:val="0"/>
      <w:marTop w:val="0"/>
      <w:marBottom w:val="0"/>
      <w:divBdr>
        <w:top w:val="none" w:sz="0" w:space="0" w:color="auto"/>
        <w:left w:val="none" w:sz="0" w:space="0" w:color="auto"/>
        <w:bottom w:val="none" w:sz="0" w:space="0" w:color="auto"/>
        <w:right w:val="none" w:sz="0" w:space="0" w:color="auto"/>
      </w:divBdr>
    </w:div>
    <w:div w:id="958730822">
      <w:bodyDiv w:val="1"/>
      <w:marLeft w:val="0"/>
      <w:marRight w:val="0"/>
      <w:marTop w:val="0"/>
      <w:marBottom w:val="0"/>
      <w:divBdr>
        <w:top w:val="none" w:sz="0" w:space="0" w:color="auto"/>
        <w:left w:val="none" w:sz="0" w:space="0" w:color="auto"/>
        <w:bottom w:val="none" w:sz="0" w:space="0" w:color="auto"/>
        <w:right w:val="none" w:sz="0" w:space="0" w:color="auto"/>
      </w:divBdr>
    </w:div>
    <w:div w:id="958805021">
      <w:bodyDiv w:val="1"/>
      <w:marLeft w:val="0"/>
      <w:marRight w:val="0"/>
      <w:marTop w:val="0"/>
      <w:marBottom w:val="0"/>
      <w:divBdr>
        <w:top w:val="none" w:sz="0" w:space="0" w:color="auto"/>
        <w:left w:val="none" w:sz="0" w:space="0" w:color="auto"/>
        <w:bottom w:val="none" w:sz="0" w:space="0" w:color="auto"/>
        <w:right w:val="none" w:sz="0" w:space="0" w:color="auto"/>
      </w:divBdr>
    </w:div>
    <w:div w:id="958953612">
      <w:bodyDiv w:val="1"/>
      <w:marLeft w:val="0"/>
      <w:marRight w:val="0"/>
      <w:marTop w:val="0"/>
      <w:marBottom w:val="0"/>
      <w:divBdr>
        <w:top w:val="none" w:sz="0" w:space="0" w:color="auto"/>
        <w:left w:val="none" w:sz="0" w:space="0" w:color="auto"/>
        <w:bottom w:val="none" w:sz="0" w:space="0" w:color="auto"/>
        <w:right w:val="none" w:sz="0" w:space="0" w:color="auto"/>
      </w:divBdr>
    </w:div>
    <w:div w:id="958955122">
      <w:bodyDiv w:val="1"/>
      <w:marLeft w:val="0"/>
      <w:marRight w:val="0"/>
      <w:marTop w:val="0"/>
      <w:marBottom w:val="0"/>
      <w:divBdr>
        <w:top w:val="none" w:sz="0" w:space="0" w:color="auto"/>
        <w:left w:val="none" w:sz="0" w:space="0" w:color="auto"/>
        <w:bottom w:val="none" w:sz="0" w:space="0" w:color="auto"/>
        <w:right w:val="none" w:sz="0" w:space="0" w:color="auto"/>
      </w:divBdr>
    </w:div>
    <w:div w:id="959259486">
      <w:bodyDiv w:val="1"/>
      <w:marLeft w:val="0"/>
      <w:marRight w:val="0"/>
      <w:marTop w:val="0"/>
      <w:marBottom w:val="0"/>
      <w:divBdr>
        <w:top w:val="none" w:sz="0" w:space="0" w:color="auto"/>
        <w:left w:val="none" w:sz="0" w:space="0" w:color="auto"/>
        <w:bottom w:val="none" w:sz="0" w:space="0" w:color="auto"/>
        <w:right w:val="none" w:sz="0" w:space="0" w:color="auto"/>
      </w:divBdr>
    </w:div>
    <w:div w:id="959261306">
      <w:bodyDiv w:val="1"/>
      <w:marLeft w:val="0"/>
      <w:marRight w:val="0"/>
      <w:marTop w:val="0"/>
      <w:marBottom w:val="0"/>
      <w:divBdr>
        <w:top w:val="none" w:sz="0" w:space="0" w:color="auto"/>
        <w:left w:val="none" w:sz="0" w:space="0" w:color="auto"/>
        <w:bottom w:val="none" w:sz="0" w:space="0" w:color="auto"/>
        <w:right w:val="none" w:sz="0" w:space="0" w:color="auto"/>
      </w:divBdr>
    </w:div>
    <w:div w:id="959264602">
      <w:bodyDiv w:val="1"/>
      <w:marLeft w:val="0"/>
      <w:marRight w:val="0"/>
      <w:marTop w:val="0"/>
      <w:marBottom w:val="0"/>
      <w:divBdr>
        <w:top w:val="none" w:sz="0" w:space="0" w:color="auto"/>
        <w:left w:val="none" w:sz="0" w:space="0" w:color="auto"/>
        <w:bottom w:val="none" w:sz="0" w:space="0" w:color="auto"/>
        <w:right w:val="none" w:sz="0" w:space="0" w:color="auto"/>
      </w:divBdr>
    </w:div>
    <w:div w:id="959268267">
      <w:bodyDiv w:val="1"/>
      <w:marLeft w:val="0"/>
      <w:marRight w:val="0"/>
      <w:marTop w:val="0"/>
      <w:marBottom w:val="0"/>
      <w:divBdr>
        <w:top w:val="none" w:sz="0" w:space="0" w:color="auto"/>
        <w:left w:val="none" w:sz="0" w:space="0" w:color="auto"/>
        <w:bottom w:val="none" w:sz="0" w:space="0" w:color="auto"/>
        <w:right w:val="none" w:sz="0" w:space="0" w:color="auto"/>
      </w:divBdr>
    </w:div>
    <w:div w:id="959343663">
      <w:bodyDiv w:val="1"/>
      <w:marLeft w:val="0"/>
      <w:marRight w:val="0"/>
      <w:marTop w:val="0"/>
      <w:marBottom w:val="0"/>
      <w:divBdr>
        <w:top w:val="none" w:sz="0" w:space="0" w:color="auto"/>
        <w:left w:val="none" w:sz="0" w:space="0" w:color="auto"/>
        <w:bottom w:val="none" w:sz="0" w:space="0" w:color="auto"/>
        <w:right w:val="none" w:sz="0" w:space="0" w:color="auto"/>
      </w:divBdr>
    </w:div>
    <w:div w:id="959384618">
      <w:bodyDiv w:val="1"/>
      <w:marLeft w:val="0"/>
      <w:marRight w:val="0"/>
      <w:marTop w:val="0"/>
      <w:marBottom w:val="0"/>
      <w:divBdr>
        <w:top w:val="none" w:sz="0" w:space="0" w:color="auto"/>
        <w:left w:val="none" w:sz="0" w:space="0" w:color="auto"/>
        <w:bottom w:val="none" w:sz="0" w:space="0" w:color="auto"/>
        <w:right w:val="none" w:sz="0" w:space="0" w:color="auto"/>
      </w:divBdr>
    </w:div>
    <w:div w:id="959413428">
      <w:bodyDiv w:val="1"/>
      <w:marLeft w:val="0"/>
      <w:marRight w:val="0"/>
      <w:marTop w:val="0"/>
      <w:marBottom w:val="0"/>
      <w:divBdr>
        <w:top w:val="none" w:sz="0" w:space="0" w:color="auto"/>
        <w:left w:val="none" w:sz="0" w:space="0" w:color="auto"/>
        <w:bottom w:val="none" w:sz="0" w:space="0" w:color="auto"/>
        <w:right w:val="none" w:sz="0" w:space="0" w:color="auto"/>
      </w:divBdr>
    </w:div>
    <w:div w:id="959452383">
      <w:bodyDiv w:val="1"/>
      <w:marLeft w:val="0"/>
      <w:marRight w:val="0"/>
      <w:marTop w:val="0"/>
      <w:marBottom w:val="0"/>
      <w:divBdr>
        <w:top w:val="none" w:sz="0" w:space="0" w:color="auto"/>
        <w:left w:val="none" w:sz="0" w:space="0" w:color="auto"/>
        <w:bottom w:val="none" w:sz="0" w:space="0" w:color="auto"/>
        <w:right w:val="none" w:sz="0" w:space="0" w:color="auto"/>
      </w:divBdr>
    </w:div>
    <w:div w:id="959535184">
      <w:bodyDiv w:val="1"/>
      <w:marLeft w:val="0"/>
      <w:marRight w:val="0"/>
      <w:marTop w:val="0"/>
      <w:marBottom w:val="0"/>
      <w:divBdr>
        <w:top w:val="none" w:sz="0" w:space="0" w:color="auto"/>
        <w:left w:val="none" w:sz="0" w:space="0" w:color="auto"/>
        <w:bottom w:val="none" w:sz="0" w:space="0" w:color="auto"/>
        <w:right w:val="none" w:sz="0" w:space="0" w:color="auto"/>
      </w:divBdr>
    </w:div>
    <w:div w:id="959579044">
      <w:bodyDiv w:val="1"/>
      <w:marLeft w:val="0"/>
      <w:marRight w:val="0"/>
      <w:marTop w:val="0"/>
      <w:marBottom w:val="0"/>
      <w:divBdr>
        <w:top w:val="none" w:sz="0" w:space="0" w:color="auto"/>
        <w:left w:val="none" w:sz="0" w:space="0" w:color="auto"/>
        <w:bottom w:val="none" w:sz="0" w:space="0" w:color="auto"/>
        <w:right w:val="none" w:sz="0" w:space="0" w:color="auto"/>
      </w:divBdr>
    </w:div>
    <w:div w:id="959604415">
      <w:bodyDiv w:val="1"/>
      <w:marLeft w:val="0"/>
      <w:marRight w:val="0"/>
      <w:marTop w:val="0"/>
      <w:marBottom w:val="0"/>
      <w:divBdr>
        <w:top w:val="none" w:sz="0" w:space="0" w:color="auto"/>
        <w:left w:val="none" w:sz="0" w:space="0" w:color="auto"/>
        <w:bottom w:val="none" w:sz="0" w:space="0" w:color="auto"/>
        <w:right w:val="none" w:sz="0" w:space="0" w:color="auto"/>
      </w:divBdr>
    </w:div>
    <w:div w:id="959650116">
      <w:bodyDiv w:val="1"/>
      <w:marLeft w:val="0"/>
      <w:marRight w:val="0"/>
      <w:marTop w:val="0"/>
      <w:marBottom w:val="0"/>
      <w:divBdr>
        <w:top w:val="none" w:sz="0" w:space="0" w:color="auto"/>
        <w:left w:val="none" w:sz="0" w:space="0" w:color="auto"/>
        <w:bottom w:val="none" w:sz="0" w:space="0" w:color="auto"/>
        <w:right w:val="none" w:sz="0" w:space="0" w:color="auto"/>
      </w:divBdr>
    </w:div>
    <w:div w:id="959725333">
      <w:bodyDiv w:val="1"/>
      <w:marLeft w:val="0"/>
      <w:marRight w:val="0"/>
      <w:marTop w:val="0"/>
      <w:marBottom w:val="0"/>
      <w:divBdr>
        <w:top w:val="none" w:sz="0" w:space="0" w:color="auto"/>
        <w:left w:val="none" w:sz="0" w:space="0" w:color="auto"/>
        <w:bottom w:val="none" w:sz="0" w:space="0" w:color="auto"/>
        <w:right w:val="none" w:sz="0" w:space="0" w:color="auto"/>
      </w:divBdr>
    </w:div>
    <w:div w:id="959728587">
      <w:bodyDiv w:val="1"/>
      <w:marLeft w:val="0"/>
      <w:marRight w:val="0"/>
      <w:marTop w:val="0"/>
      <w:marBottom w:val="0"/>
      <w:divBdr>
        <w:top w:val="none" w:sz="0" w:space="0" w:color="auto"/>
        <w:left w:val="none" w:sz="0" w:space="0" w:color="auto"/>
        <w:bottom w:val="none" w:sz="0" w:space="0" w:color="auto"/>
        <w:right w:val="none" w:sz="0" w:space="0" w:color="auto"/>
      </w:divBdr>
    </w:div>
    <w:div w:id="959796138">
      <w:bodyDiv w:val="1"/>
      <w:marLeft w:val="0"/>
      <w:marRight w:val="0"/>
      <w:marTop w:val="0"/>
      <w:marBottom w:val="0"/>
      <w:divBdr>
        <w:top w:val="none" w:sz="0" w:space="0" w:color="auto"/>
        <w:left w:val="none" w:sz="0" w:space="0" w:color="auto"/>
        <w:bottom w:val="none" w:sz="0" w:space="0" w:color="auto"/>
        <w:right w:val="none" w:sz="0" w:space="0" w:color="auto"/>
      </w:divBdr>
    </w:div>
    <w:div w:id="959800378">
      <w:bodyDiv w:val="1"/>
      <w:marLeft w:val="0"/>
      <w:marRight w:val="0"/>
      <w:marTop w:val="0"/>
      <w:marBottom w:val="0"/>
      <w:divBdr>
        <w:top w:val="none" w:sz="0" w:space="0" w:color="auto"/>
        <w:left w:val="none" w:sz="0" w:space="0" w:color="auto"/>
        <w:bottom w:val="none" w:sz="0" w:space="0" w:color="auto"/>
        <w:right w:val="none" w:sz="0" w:space="0" w:color="auto"/>
      </w:divBdr>
    </w:div>
    <w:div w:id="959872447">
      <w:bodyDiv w:val="1"/>
      <w:marLeft w:val="0"/>
      <w:marRight w:val="0"/>
      <w:marTop w:val="0"/>
      <w:marBottom w:val="0"/>
      <w:divBdr>
        <w:top w:val="none" w:sz="0" w:space="0" w:color="auto"/>
        <w:left w:val="none" w:sz="0" w:space="0" w:color="auto"/>
        <w:bottom w:val="none" w:sz="0" w:space="0" w:color="auto"/>
        <w:right w:val="none" w:sz="0" w:space="0" w:color="auto"/>
      </w:divBdr>
    </w:div>
    <w:div w:id="959872518">
      <w:bodyDiv w:val="1"/>
      <w:marLeft w:val="0"/>
      <w:marRight w:val="0"/>
      <w:marTop w:val="0"/>
      <w:marBottom w:val="0"/>
      <w:divBdr>
        <w:top w:val="none" w:sz="0" w:space="0" w:color="auto"/>
        <w:left w:val="none" w:sz="0" w:space="0" w:color="auto"/>
        <w:bottom w:val="none" w:sz="0" w:space="0" w:color="auto"/>
        <w:right w:val="none" w:sz="0" w:space="0" w:color="auto"/>
      </w:divBdr>
    </w:div>
    <w:div w:id="959992892">
      <w:bodyDiv w:val="1"/>
      <w:marLeft w:val="0"/>
      <w:marRight w:val="0"/>
      <w:marTop w:val="0"/>
      <w:marBottom w:val="0"/>
      <w:divBdr>
        <w:top w:val="none" w:sz="0" w:space="0" w:color="auto"/>
        <w:left w:val="none" w:sz="0" w:space="0" w:color="auto"/>
        <w:bottom w:val="none" w:sz="0" w:space="0" w:color="auto"/>
        <w:right w:val="none" w:sz="0" w:space="0" w:color="auto"/>
      </w:divBdr>
    </w:div>
    <w:div w:id="960184300">
      <w:bodyDiv w:val="1"/>
      <w:marLeft w:val="0"/>
      <w:marRight w:val="0"/>
      <w:marTop w:val="0"/>
      <w:marBottom w:val="0"/>
      <w:divBdr>
        <w:top w:val="none" w:sz="0" w:space="0" w:color="auto"/>
        <w:left w:val="none" w:sz="0" w:space="0" w:color="auto"/>
        <w:bottom w:val="none" w:sz="0" w:space="0" w:color="auto"/>
        <w:right w:val="none" w:sz="0" w:space="0" w:color="auto"/>
      </w:divBdr>
    </w:div>
    <w:div w:id="960258515">
      <w:bodyDiv w:val="1"/>
      <w:marLeft w:val="0"/>
      <w:marRight w:val="0"/>
      <w:marTop w:val="0"/>
      <w:marBottom w:val="0"/>
      <w:divBdr>
        <w:top w:val="none" w:sz="0" w:space="0" w:color="auto"/>
        <w:left w:val="none" w:sz="0" w:space="0" w:color="auto"/>
        <w:bottom w:val="none" w:sz="0" w:space="0" w:color="auto"/>
        <w:right w:val="none" w:sz="0" w:space="0" w:color="auto"/>
      </w:divBdr>
    </w:div>
    <w:div w:id="960307829">
      <w:bodyDiv w:val="1"/>
      <w:marLeft w:val="0"/>
      <w:marRight w:val="0"/>
      <w:marTop w:val="0"/>
      <w:marBottom w:val="0"/>
      <w:divBdr>
        <w:top w:val="none" w:sz="0" w:space="0" w:color="auto"/>
        <w:left w:val="none" w:sz="0" w:space="0" w:color="auto"/>
        <w:bottom w:val="none" w:sz="0" w:space="0" w:color="auto"/>
        <w:right w:val="none" w:sz="0" w:space="0" w:color="auto"/>
      </w:divBdr>
    </w:div>
    <w:div w:id="960383036">
      <w:bodyDiv w:val="1"/>
      <w:marLeft w:val="0"/>
      <w:marRight w:val="0"/>
      <w:marTop w:val="0"/>
      <w:marBottom w:val="0"/>
      <w:divBdr>
        <w:top w:val="none" w:sz="0" w:space="0" w:color="auto"/>
        <w:left w:val="none" w:sz="0" w:space="0" w:color="auto"/>
        <w:bottom w:val="none" w:sz="0" w:space="0" w:color="auto"/>
        <w:right w:val="none" w:sz="0" w:space="0" w:color="auto"/>
      </w:divBdr>
    </w:div>
    <w:div w:id="960453466">
      <w:bodyDiv w:val="1"/>
      <w:marLeft w:val="0"/>
      <w:marRight w:val="0"/>
      <w:marTop w:val="0"/>
      <w:marBottom w:val="0"/>
      <w:divBdr>
        <w:top w:val="none" w:sz="0" w:space="0" w:color="auto"/>
        <w:left w:val="none" w:sz="0" w:space="0" w:color="auto"/>
        <w:bottom w:val="none" w:sz="0" w:space="0" w:color="auto"/>
        <w:right w:val="none" w:sz="0" w:space="0" w:color="auto"/>
      </w:divBdr>
    </w:div>
    <w:div w:id="960956646">
      <w:bodyDiv w:val="1"/>
      <w:marLeft w:val="0"/>
      <w:marRight w:val="0"/>
      <w:marTop w:val="0"/>
      <w:marBottom w:val="0"/>
      <w:divBdr>
        <w:top w:val="none" w:sz="0" w:space="0" w:color="auto"/>
        <w:left w:val="none" w:sz="0" w:space="0" w:color="auto"/>
        <w:bottom w:val="none" w:sz="0" w:space="0" w:color="auto"/>
        <w:right w:val="none" w:sz="0" w:space="0" w:color="auto"/>
      </w:divBdr>
    </w:div>
    <w:div w:id="960965461">
      <w:bodyDiv w:val="1"/>
      <w:marLeft w:val="0"/>
      <w:marRight w:val="0"/>
      <w:marTop w:val="0"/>
      <w:marBottom w:val="0"/>
      <w:divBdr>
        <w:top w:val="none" w:sz="0" w:space="0" w:color="auto"/>
        <w:left w:val="none" w:sz="0" w:space="0" w:color="auto"/>
        <w:bottom w:val="none" w:sz="0" w:space="0" w:color="auto"/>
        <w:right w:val="none" w:sz="0" w:space="0" w:color="auto"/>
      </w:divBdr>
    </w:div>
    <w:div w:id="961109118">
      <w:bodyDiv w:val="1"/>
      <w:marLeft w:val="0"/>
      <w:marRight w:val="0"/>
      <w:marTop w:val="0"/>
      <w:marBottom w:val="0"/>
      <w:divBdr>
        <w:top w:val="none" w:sz="0" w:space="0" w:color="auto"/>
        <w:left w:val="none" w:sz="0" w:space="0" w:color="auto"/>
        <w:bottom w:val="none" w:sz="0" w:space="0" w:color="auto"/>
        <w:right w:val="none" w:sz="0" w:space="0" w:color="auto"/>
      </w:divBdr>
    </w:div>
    <w:div w:id="961112566">
      <w:bodyDiv w:val="1"/>
      <w:marLeft w:val="0"/>
      <w:marRight w:val="0"/>
      <w:marTop w:val="0"/>
      <w:marBottom w:val="0"/>
      <w:divBdr>
        <w:top w:val="none" w:sz="0" w:space="0" w:color="auto"/>
        <w:left w:val="none" w:sz="0" w:space="0" w:color="auto"/>
        <w:bottom w:val="none" w:sz="0" w:space="0" w:color="auto"/>
        <w:right w:val="none" w:sz="0" w:space="0" w:color="auto"/>
      </w:divBdr>
    </w:div>
    <w:div w:id="961155969">
      <w:bodyDiv w:val="1"/>
      <w:marLeft w:val="0"/>
      <w:marRight w:val="0"/>
      <w:marTop w:val="0"/>
      <w:marBottom w:val="0"/>
      <w:divBdr>
        <w:top w:val="none" w:sz="0" w:space="0" w:color="auto"/>
        <w:left w:val="none" w:sz="0" w:space="0" w:color="auto"/>
        <w:bottom w:val="none" w:sz="0" w:space="0" w:color="auto"/>
        <w:right w:val="none" w:sz="0" w:space="0" w:color="auto"/>
      </w:divBdr>
    </w:div>
    <w:div w:id="961349643">
      <w:bodyDiv w:val="1"/>
      <w:marLeft w:val="0"/>
      <w:marRight w:val="0"/>
      <w:marTop w:val="0"/>
      <w:marBottom w:val="0"/>
      <w:divBdr>
        <w:top w:val="none" w:sz="0" w:space="0" w:color="auto"/>
        <w:left w:val="none" w:sz="0" w:space="0" w:color="auto"/>
        <w:bottom w:val="none" w:sz="0" w:space="0" w:color="auto"/>
        <w:right w:val="none" w:sz="0" w:space="0" w:color="auto"/>
      </w:divBdr>
    </w:div>
    <w:div w:id="961419246">
      <w:bodyDiv w:val="1"/>
      <w:marLeft w:val="0"/>
      <w:marRight w:val="0"/>
      <w:marTop w:val="0"/>
      <w:marBottom w:val="0"/>
      <w:divBdr>
        <w:top w:val="none" w:sz="0" w:space="0" w:color="auto"/>
        <w:left w:val="none" w:sz="0" w:space="0" w:color="auto"/>
        <w:bottom w:val="none" w:sz="0" w:space="0" w:color="auto"/>
        <w:right w:val="none" w:sz="0" w:space="0" w:color="auto"/>
      </w:divBdr>
    </w:div>
    <w:div w:id="961502533">
      <w:bodyDiv w:val="1"/>
      <w:marLeft w:val="0"/>
      <w:marRight w:val="0"/>
      <w:marTop w:val="0"/>
      <w:marBottom w:val="0"/>
      <w:divBdr>
        <w:top w:val="none" w:sz="0" w:space="0" w:color="auto"/>
        <w:left w:val="none" w:sz="0" w:space="0" w:color="auto"/>
        <w:bottom w:val="none" w:sz="0" w:space="0" w:color="auto"/>
        <w:right w:val="none" w:sz="0" w:space="0" w:color="auto"/>
      </w:divBdr>
    </w:div>
    <w:div w:id="961569316">
      <w:bodyDiv w:val="1"/>
      <w:marLeft w:val="0"/>
      <w:marRight w:val="0"/>
      <w:marTop w:val="0"/>
      <w:marBottom w:val="0"/>
      <w:divBdr>
        <w:top w:val="none" w:sz="0" w:space="0" w:color="auto"/>
        <w:left w:val="none" w:sz="0" w:space="0" w:color="auto"/>
        <w:bottom w:val="none" w:sz="0" w:space="0" w:color="auto"/>
        <w:right w:val="none" w:sz="0" w:space="0" w:color="auto"/>
      </w:divBdr>
    </w:div>
    <w:div w:id="961574896">
      <w:bodyDiv w:val="1"/>
      <w:marLeft w:val="0"/>
      <w:marRight w:val="0"/>
      <w:marTop w:val="0"/>
      <w:marBottom w:val="0"/>
      <w:divBdr>
        <w:top w:val="none" w:sz="0" w:space="0" w:color="auto"/>
        <w:left w:val="none" w:sz="0" w:space="0" w:color="auto"/>
        <w:bottom w:val="none" w:sz="0" w:space="0" w:color="auto"/>
        <w:right w:val="none" w:sz="0" w:space="0" w:color="auto"/>
      </w:divBdr>
    </w:div>
    <w:div w:id="961693035">
      <w:bodyDiv w:val="1"/>
      <w:marLeft w:val="0"/>
      <w:marRight w:val="0"/>
      <w:marTop w:val="0"/>
      <w:marBottom w:val="0"/>
      <w:divBdr>
        <w:top w:val="none" w:sz="0" w:space="0" w:color="auto"/>
        <w:left w:val="none" w:sz="0" w:space="0" w:color="auto"/>
        <w:bottom w:val="none" w:sz="0" w:space="0" w:color="auto"/>
        <w:right w:val="none" w:sz="0" w:space="0" w:color="auto"/>
      </w:divBdr>
    </w:div>
    <w:div w:id="961695388">
      <w:bodyDiv w:val="1"/>
      <w:marLeft w:val="0"/>
      <w:marRight w:val="0"/>
      <w:marTop w:val="0"/>
      <w:marBottom w:val="0"/>
      <w:divBdr>
        <w:top w:val="none" w:sz="0" w:space="0" w:color="auto"/>
        <w:left w:val="none" w:sz="0" w:space="0" w:color="auto"/>
        <w:bottom w:val="none" w:sz="0" w:space="0" w:color="auto"/>
        <w:right w:val="none" w:sz="0" w:space="0" w:color="auto"/>
      </w:divBdr>
    </w:div>
    <w:div w:id="961765538">
      <w:bodyDiv w:val="1"/>
      <w:marLeft w:val="0"/>
      <w:marRight w:val="0"/>
      <w:marTop w:val="0"/>
      <w:marBottom w:val="0"/>
      <w:divBdr>
        <w:top w:val="none" w:sz="0" w:space="0" w:color="auto"/>
        <w:left w:val="none" w:sz="0" w:space="0" w:color="auto"/>
        <w:bottom w:val="none" w:sz="0" w:space="0" w:color="auto"/>
        <w:right w:val="none" w:sz="0" w:space="0" w:color="auto"/>
      </w:divBdr>
    </w:div>
    <w:div w:id="961767717">
      <w:bodyDiv w:val="1"/>
      <w:marLeft w:val="0"/>
      <w:marRight w:val="0"/>
      <w:marTop w:val="0"/>
      <w:marBottom w:val="0"/>
      <w:divBdr>
        <w:top w:val="none" w:sz="0" w:space="0" w:color="auto"/>
        <w:left w:val="none" w:sz="0" w:space="0" w:color="auto"/>
        <w:bottom w:val="none" w:sz="0" w:space="0" w:color="auto"/>
        <w:right w:val="none" w:sz="0" w:space="0" w:color="auto"/>
      </w:divBdr>
    </w:div>
    <w:div w:id="961767872">
      <w:bodyDiv w:val="1"/>
      <w:marLeft w:val="0"/>
      <w:marRight w:val="0"/>
      <w:marTop w:val="0"/>
      <w:marBottom w:val="0"/>
      <w:divBdr>
        <w:top w:val="none" w:sz="0" w:space="0" w:color="auto"/>
        <w:left w:val="none" w:sz="0" w:space="0" w:color="auto"/>
        <w:bottom w:val="none" w:sz="0" w:space="0" w:color="auto"/>
        <w:right w:val="none" w:sz="0" w:space="0" w:color="auto"/>
      </w:divBdr>
    </w:div>
    <w:div w:id="961812589">
      <w:bodyDiv w:val="1"/>
      <w:marLeft w:val="0"/>
      <w:marRight w:val="0"/>
      <w:marTop w:val="0"/>
      <w:marBottom w:val="0"/>
      <w:divBdr>
        <w:top w:val="none" w:sz="0" w:space="0" w:color="auto"/>
        <w:left w:val="none" w:sz="0" w:space="0" w:color="auto"/>
        <w:bottom w:val="none" w:sz="0" w:space="0" w:color="auto"/>
        <w:right w:val="none" w:sz="0" w:space="0" w:color="auto"/>
      </w:divBdr>
    </w:div>
    <w:div w:id="961889054">
      <w:bodyDiv w:val="1"/>
      <w:marLeft w:val="0"/>
      <w:marRight w:val="0"/>
      <w:marTop w:val="0"/>
      <w:marBottom w:val="0"/>
      <w:divBdr>
        <w:top w:val="none" w:sz="0" w:space="0" w:color="auto"/>
        <w:left w:val="none" w:sz="0" w:space="0" w:color="auto"/>
        <w:bottom w:val="none" w:sz="0" w:space="0" w:color="auto"/>
        <w:right w:val="none" w:sz="0" w:space="0" w:color="auto"/>
      </w:divBdr>
    </w:div>
    <w:div w:id="961957191">
      <w:bodyDiv w:val="1"/>
      <w:marLeft w:val="0"/>
      <w:marRight w:val="0"/>
      <w:marTop w:val="0"/>
      <w:marBottom w:val="0"/>
      <w:divBdr>
        <w:top w:val="none" w:sz="0" w:space="0" w:color="auto"/>
        <w:left w:val="none" w:sz="0" w:space="0" w:color="auto"/>
        <w:bottom w:val="none" w:sz="0" w:space="0" w:color="auto"/>
        <w:right w:val="none" w:sz="0" w:space="0" w:color="auto"/>
      </w:divBdr>
    </w:div>
    <w:div w:id="962004252">
      <w:bodyDiv w:val="1"/>
      <w:marLeft w:val="0"/>
      <w:marRight w:val="0"/>
      <w:marTop w:val="0"/>
      <w:marBottom w:val="0"/>
      <w:divBdr>
        <w:top w:val="none" w:sz="0" w:space="0" w:color="auto"/>
        <w:left w:val="none" w:sz="0" w:space="0" w:color="auto"/>
        <w:bottom w:val="none" w:sz="0" w:space="0" w:color="auto"/>
        <w:right w:val="none" w:sz="0" w:space="0" w:color="auto"/>
      </w:divBdr>
    </w:div>
    <w:div w:id="962075033">
      <w:bodyDiv w:val="1"/>
      <w:marLeft w:val="0"/>
      <w:marRight w:val="0"/>
      <w:marTop w:val="0"/>
      <w:marBottom w:val="0"/>
      <w:divBdr>
        <w:top w:val="none" w:sz="0" w:space="0" w:color="auto"/>
        <w:left w:val="none" w:sz="0" w:space="0" w:color="auto"/>
        <w:bottom w:val="none" w:sz="0" w:space="0" w:color="auto"/>
        <w:right w:val="none" w:sz="0" w:space="0" w:color="auto"/>
      </w:divBdr>
    </w:div>
    <w:div w:id="962225219">
      <w:bodyDiv w:val="1"/>
      <w:marLeft w:val="0"/>
      <w:marRight w:val="0"/>
      <w:marTop w:val="0"/>
      <w:marBottom w:val="0"/>
      <w:divBdr>
        <w:top w:val="none" w:sz="0" w:space="0" w:color="auto"/>
        <w:left w:val="none" w:sz="0" w:space="0" w:color="auto"/>
        <w:bottom w:val="none" w:sz="0" w:space="0" w:color="auto"/>
        <w:right w:val="none" w:sz="0" w:space="0" w:color="auto"/>
      </w:divBdr>
    </w:div>
    <w:div w:id="962227863">
      <w:bodyDiv w:val="1"/>
      <w:marLeft w:val="0"/>
      <w:marRight w:val="0"/>
      <w:marTop w:val="0"/>
      <w:marBottom w:val="0"/>
      <w:divBdr>
        <w:top w:val="none" w:sz="0" w:space="0" w:color="auto"/>
        <w:left w:val="none" w:sz="0" w:space="0" w:color="auto"/>
        <w:bottom w:val="none" w:sz="0" w:space="0" w:color="auto"/>
        <w:right w:val="none" w:sz="0" w:space="0" w:color="auto"/>
      </w:divBdr>
    </w:div>
    <w:div w:id="962230017">
      <w:bodyDiv w:val="1"/>
      <w:marLeft w:val="0"/>
      <w:marRight w:val="0"/>
      <w:marTop w:val="0"/>
      <w:marBottom w:val="0"/>
      <w:divBdr>
        <w:top w:val="none" w:sz="0" w:space="0" w:color="auto"/>
        <w:left w:val="none" w:sz="0" w:space="0" w:color="auto"/>
        <w:bottom w:val="none" w:sz="0" w:space="0" w:color="auto"/>
        <w:right w:val="none" w:sz="0" w:space="0" w:color="auto"/>
      </w:divBdr>
    </w:div>
    <w:div w:id="962344914">
      <w:bodyDiv w:val="1"/>
      <w:marLeft w:val="0"/>
      <w:marRight w:val="0"/>
      <w:marTop w:val="0"/>
      <w:marBottom w:val="0"/>
      <w:divBdr>
        <w:top w:val="none" w:sz="0" w:space="0" w:color="auto"/>
        <w:left w:val="none" w:sz="0" w:space="0" w:color="auto"/>
        <w:bottom w:val="none" w:sz="0" w:space="0" w:color="auto"/>
        <w:right w:val="none" w:sz="0" w:space="0" w:color="auto"/>
      </w:divBdr>
    </w:div>
    <w:div w:id="962345816">
      <w:bodyDiv w:val="1"/>
      <w:marLeft w:val="0"/>
      <w:marRight w:val="0"/>
      <w:marTop w:val="0"/>
      <w:marBottom w:val="0"/>
      <w:divBdr>
        <w:top w:val="none" w:sz="0" w:space="0" w:color="auto"/>
        <w:left w:val="none" w:sz="0" w:space="0" w:color="auto"/>
        <w:bottom w:val="none" w:sz="0" w:space="0" w:color="auto"/>
        <w:right w:val="none" w:sz="0" w:space="0" w:color="auto"/>
      </w:divBdr>
    </w:div>
    <w:div w:id="962467444">
      <w:bodyDiv w:val="1"/>
      <w:marLeft w:val="0"/>
      <w:marRight w:val="0"/>
      <w:marTop w:val="0"/>
      <w:marBottom w:val="0"/>
      <w:divBdr>
        <w:top w:val="none" w:sz="0" w:space="0" w:color="auto"/>
        <w:left w:val="none" w:sz="0" w:space="0" w:color="auto"/>
        <w:bottom w:val="none" w:sz="0" w:space="0" w:color="auto"/>
        <w:right w:val="none" w:sz="0" w:space="0" w:color="auto"/>
      </w:divBdr>
    </w:div>
    <w:div w:id="962467602">
      <w:bodyDiv w:val="1"/>
      <w:marLeft w:val="0"/>
      <w:marRight w:val="0"/>
      <w:marTop w:val="0"/>
      <w:marBottom w:val="0"/>
      <w:divBdr>
        <w:top w:val="none" w:sz="0" w:space="0" w:color="auto"/>
        <w:left w:val="none" w:sz="0" w:space="0" w:color="auto"/>
        <w:bottom w:val="none" w:sz="0" w:space="0" w:color="auto"/>
        <w:right w:val="none" w:sz="0" w:space="0" w:color="auto"/>
      </w:divBdr>
    </w:div>
    <w:div w:id="962537618">
      <w:bodyDiv w:val="1"/>
      <w:marLeft w:val="0"/>
      <w:marRight w:val="0"/>
      <w:marTop w:val="0"/>
      <w:marBottom w:val="0"/>
      <w:divBdr>
        <w:top w:val="none" w:sz="0" w:space="0" w:color="auto"/>
        <w:left w:val="none" w:sz="0" w:space="0" w:color="auto"/>
        <w:bottom w:val="none" w:sz="0" w:space="0" w:color="auto"/>
        <w:right w:val="none" w:sz="0" w:space="0" w:color="auto"/>
      </w:divBdr>
    </w:div>
    <w:div w:id="962733948">
      <w:bodyDiv w:val="1"/>
      <w:marLeft w:val="0"/>
      <w:marRight w:val="0"/>
      <w:marTop w:val="0"/>
      <w:marBottom w:val="0"/>
      <w:divBdr>
        <w:top w:val="none" w:sz="0" w:space="0" w:color="auto"/>
        <w:left w:val="none" w:sz="0" w:space="0" w:color="auto"/>
        <w:bottom w:val="none" w:sz="0" w:space="0" w:color="auto"/>
        <w:right w:val="none" w:sz="0" w:space="0" w:color="auto"/>
      </w:divBdr>
    </w:div>
    <w:div w:id="963121797">
      <w:bodyDiv w:val="1"/>
      <w:marLeft w:val="0"/>
      <w:marRight w:val="0"/>
      <w:marTop w:val="0"/>
      <w:marBottom w:val="0"/>
      <w:divBdr>
        <w:top w:val="none" w:sz="0" w:space="0" w:color="auto"/>
        <w:left w:val="none" w:sz="0" w:space="0" w:color="auto"/>
        <w:bottom w:val="none" w:sz="0" w:space="0" w:color="auto"/>
        <w:right w:val="none" w:sz="0" w:space="0" w:color="auto"/>
      </w:divBdr>
    </w:div>
    <w:div w:id="963191948">
      <w:bodyDiv w:val="1"/>
      <w:marLeft w:val="0"/>
      <w:marRight w:val="0"/>
      <w:marTop w:val="0"/>
      <w:marBottom w:val="0"/>
      <w:divBdr>
        <w:top w:val="none" w:sz="0" w:space="0" w:color="auto"/>
        <w:left w:val="none" w:sz="0" w:space="0" w:color="auto"/>
        <w:bottom w:val="none" w:sz="0" w:space="0" w:color="auto"/>
        <w:right w:val="none" w:sz="0" w:space="0" w:color="auto"/>
      </w:divBdr>
    </w:div>
    <w:div w:id="963387019">
      <w:bodyDiv w:val="1"/>
      <w:marLeft w:val="0"/>
      <w:marRight w:val="0"/>
      <w:marTop w:val="0"/>
      <w:marBottom w:val="0"/>
      <w:divBdr>
        <w:top w:val="none" w:sz="0" w:space="0" w:color="auto"/>
        <w:left w:val="none" w:sz="0" w:space="0" w:color="auto"/>
        <w:bottom w:val="none" w:sz="0" w:space="0" w:color="auto"/>
        <w:right w:val="none" w:sz="0" w:space="0" w:color="auto"/>
      </w:divBdr>
    </w:div>
    <w:div w:id="963537934">
      <w:bodyDiv w:val="1"/>
      <w:marLeft w:val="0"/>
      <w:marRight w:val="0"/>
      <w:marTop w:val="0"/>
      <w:marBottom w:val="0"/>
      <w:divBdr>
        <w:top w:val="none" w:sz="0" w:space="0" w:color="auto"/>
        <w:left w:val="none" w:sz="0" w:space="0" w:color="auto"/>
        <w:bottom w:val="none" w:sz="0" w:space="0" w:color="auto"/>
        <w:right w:val="none" w:sz="0" w:space="0" w:color="auto"/>
      </w:divBdr>
    </w:div>
    <w:div w:id="963582447">
      <w:bodyDiv w:val="1"/>
      <w:marLeft w:val="0"/>
      <w:marRight w:val="0"/>
      <w:marTop w:val="0"/>
      <w:marBottom w:val="0"/>
      <w:divBdr>
        <w:top w:val="none" w:sz="0" w:space="0" w:color="auto"/>
        <w:left w:val="none" w:sz="0" w:space="0" w:color="auto"/>
        <w:bottom w:val="none" w:sz="0" w:space="0" w:color="auto"/>
        <w:right w:val="none" w:sz="0" w:space="0" w:color="auto"/>
      </w:divBdr>
    </w:div>
    <w:div w:id="963654879">
      <w:bodyDiv w:val="1"/>
      <w:marLeft w:val="0"/>
      <w:marRight w:val="0"/>
      <w:marTop w:val="0"/>
      <w:marBottom w:val="0"/>
      <w:divBdr>
        <w:top w:val="none" w:sz="0" w:space="0" w:color="auto"/>
        <w:left w:val="none" w:sz="0" w:space="0" w:color="auto"/>
        <w:bottom w:val="none" w:sz="0" w:space="0" w:color="auto"/>
        <w:right w:val="none" w:sz="0" w:space="0" w:color="auto"/>
      </w:divBdr>
    </w:div>
    <w:div w:id="963804485">
      <w:bodyDiv w:val="1"/>
      <w:marLeft w:val="0"/>
      <w:marRight w:val="0"/>
      <w:marTop w:val="0"/>
      <w:marBottom w:val="0"/>
      <w:divBdr>
        <w:top w:val="none" w:sz="0" w:space="0" w:color="auto"/>
        <w:left w:val="none" w:sz="0" w:space="0" w:color="auto"/>
        <w:bottom w:val="none" w:sz="0" w:space="0" w:color="auto"/>
        <w:right w:val="none" w:sz="0" w:space="0" w:color="auto"/>
      </w:divBdr>
    </w:div>
    <w:div w:id="963846038">
      <w:bodyDiv w:val="1"/>
      <w:marLeft w:val="0"/>
      <w:marRight w:val="0"/>
      <w:marTop w:val="0"/>
      <w:marBottom w:val="0"/>
      <w:divBdr>
        <w:top w:val="none" w:sz="0" w:space="0" w:color="auto"/>
        <w:left w:val="none" w:sz="0" w:space="0" w:color="auto"/>
        <w:bottom w:val="none" w:sz="0" w:space="0" w:color="auto"/>
        <w:right w:val="none" w:sz="0" w:space="0" w:color="auto"/>
      </w:divBdr>
    </w:div>
    <w:div w:id="963849775">
      <w:bodyDiv w:val="1"/>
      <w:marLeft w:val="0"/>
      <w:marRight w:val="0"/>
      <w:marTop w:val="0"/>
      <w:marBottom w:val="0"/>
      <w:divBdr>
        <w:top w:val="none" w:sz="0" w:space="0" w:color="auto"/>
        <w:left w:val="none" w:sz="0" w:space="0" w:color="auto"/>
        <w:bottom w:val="none" w:sz="0" w:space="0" w:color="auto"/>
        <w:right w:val="none" w:sz="0" w:space="0" w:color="auto"/>
      </w:divBdr>
    </w:div>
    <w:div w:id="963928044">
      <w:bodyDiv w:val="1"/>
      <w:marLeft w:val="0"/>
      <w:marRight w:val="0"/>
      <w:marTop w:val="0"/>
      <w:marBottom w:val="0"/>
      <w:divBdr>
        <w:top w:val="none" w:sz="0" w:space="0" w:color="auto"/>
        <w:left w:val="none" w:sz="0" w:space="0" w:color="auto"/>
        <w:bottom w:val="none" w:sz="0" w:space="0" w:color="auto"/>
        <w:right w:val="none" w:sz="0" w:space="0" w:color="auto"/>
      </w:divBdr>
    </w:div>
    <w:div w:id="963971206">
      <w:bodyDiv w:val="1"/>
      <w:marLeft w:val="0"/>
      <w:marRight w:val="0"/>
      <w:marTop w:val="0"/>
      <w:marBottom w:val="0"/>
      <w:divBdr>
        <w:top w:val="none" w:sz="0" w:space="0" w:color="auto"/>
        <w:left w:val="none" w:sz="0" w:space="0" w:color="auto"/>
        <w:bottom w:val="none" w:sz="0" w:space="0" w:color="auto"/>
        <w:right w:val="none" w:sz="0" w:space="0" w:color="auto"/>
      </w:divBdr>
    </w:div>
    <w:div w:id="963997359">
      <w:bodyDiv w:val="1"/>
      <w:marLeft w:val="0"/>
      <w:marRight w:val="0"/>
      <w:marTop w:val="0"/>
      <w:marBottom w:val="0"/>
      <w:divBdr>
        <w:top w:val="none" w:sz="0" w:space="0" w:color="auto"/>
        <w:left w:val="none" w:sz="0" w:space="0" w:color="auto"/>
        <w:bottom w:val="none" w:sz="0" w:space="0" w:color="auto"/>
        <w:right w:val="none" w:sz="0" w:space="0" w:color="auto"/>
      </w:divBdr>
    </w:div>
    <w:div w:id="963997718">
      <w:bodyDiv w:val="1"/>
      <w:marLeft w:val="0"/>
      <w:marRight w:val="0"/>
      <w:marTop w:val="0"/>
      <w:marBottom w:val="0"/>
      <w:divBdr>
        <w:top w:val="none" w:sz="0" w:space="0" w:color="auto"/>
        <w:left w:val="none" w:sz="0" w:space="0" w:color="auto"/>
        <w:bottom w:val="none" w:sz="0" w:space="0" w:color="auto"/>
        <w:right w:val="none" w:sz="0" w:space="0" w:color="auto"/>
      </w:divBdr>
    </w:div>
    <w:div w:id="964122402">
      <w:bodyDiv w:val="1"/>
      <w:marLeft w:val="0"/>
      <w:marRight w:val="0"/>
      <w:marTop w:val="0"/>
      <w:marBottom w:val="0"/>
      <w:divBdr>
        <w:top w:val="none" w:sz="0" w:space="0" w:color="auto"/>
        <w:left w:val="none" w:sz="0" w:space="0" w:color="auto"/>
        <w:bottom w:val="none" w:sz="0" w:space="0" w:color="auto"/>
        <w:right w:val="none" w:sz="0" w:space="0" w:color="auto"/>
      </w:divBdr>
    </w:div>
    <w:div w:id="964195587">
      <w:bodyDiv w:val="1"/>
      <w:marLeft w:val="0"/>
      <w:marRight w:val="0"/>
      <w:marTop w:val="0"/>
      <w:marBottom w:val="0"/>
      <w:divBdr>
        <w:top w:val="none" w:sz="0" w:space="0" w:color="auto"/>
        <w:left w:val="none" w:sz="0" w:space="0" w:color="auto"/>
        <w:bottom w:val="none" w:sz="0" w:space="0" w:color="auto"/>
        <w:right w:val="none" w:sz="0" w:space="0" w:color="auto"/>
      </w:divBdr>
    </w:div>
    <w:div w:id="964237554">
      <w:bodyDiv w:val="1"/>
      <w:marLeft w:val="0"/>
      <w:marRight w:val="0"/>
      <w:marTop w:val="0"/>
      <w:marBottom w:val="0"/>
      <w:divBdr>
        <w:top w:val="none" w:sz="0" w:space="0" w:color="auto"/>
        <w:left w:val="none" w:sz="0" w:space="0" w:color="auto"/>
        <w:bottom w:val="none" w:sz="0" w:space="0" w:color="auto"/>
        <w:right w:val="none" w:sz="0" w:space="0" w:color="auto"/>
      </w:divBdr>
    </w:div>
    <w:div w:id="964310344">
      <w:bodyDiv w:val="1"/>
      <w:marLeft w:val="0"/>
      <w:marRight w:val="0"/>
      <w:marTop w:val="0"/>
      <w:marBottom w:val="0"/>
      <w:divBdr>
        <w:top w:val="none" w:sz="0" w:space="0" w:color="auto"/>
        <w:left w:val="none" w:sz="0" w:space="0" w:color="auto"/>
        <w:bottom w:val="none" w:sz="0" w:space="0" w:color="auto"/>
        <w:right w:val="none" w:sz="0" w:space="0" w:color="auto"/>
      </w:divBdr>
    </w:div>
    <w:div w:id="964383052">
      <w:bodyDiv w:val="1"/>
      <w:marLeft w:val="0"/>
      <w:marRight w:val="0"/>
      <w:marTop w:val="0"/>
      <w:marBottom w:val="0"/>
      <w:divBdr>
        <w:top w:val="none" w:sz="0" w:space="0" w:color="auto"/>
        <w:left w:val="none" w:sz="0" w:space="0" w:color="auto"/>
        <w:bottom w:val="none" w:sz="0" w:space="0" w:color="auto"/>
        <w:right w:val="none" w:sz="0" w:space="0" w:color="auto"/>
      </w:divBdr>
    </w:div>
    <w:div w:id="964431788">
      <w:bodyDiv w:val="1"/>
      <w:marLeft w:val="0"/>
      <w:marRight w:val="0"/>
      <w:marTop w:val="0"/>
      <w:marBottom w:val="0"/>
      <w:divBdr>
        <w:top w:val="none" w:sz="0" w:space="0" w:color="auto"/>
        <w:left w:val="none" w:sz="0" w:space="0" w:color="auto"/>
        <w:bottom w:val="none" w:sz="0" w:space="0" w:color="auto"/>
        <w:right w:val="none" w:sz="0" w:space="0" w:color="auto"/>
      </w:divBdr>
    </w:div>
    <w:div w:id="964503812">
      <w:bodyDiv w:val="1"/>
      <w:marLeft w:val="0"/>
      <w:marRight w:val="0"/>
      <w:marTop w:val="0"/>
      <w:marBottom w:val="0"/>
      <w:divBdr>
        <w:top w:val="none" w:sz="0" w:space="0" w:color="auto"/>
        <w:left w:val="none" w:sz="0" w:space="0" w:color="auto"/>
        <w:bottom w:val="none" w:sz="0" w:space="0" w:color="auto"/>
        <w:right w:val="none" w:sz="0" w:space="0" w:color="auto"/>
      </w:divBdr>
    </w:div>
    <w:div w:id="964508163">
      <w:bodyDiv w:val="1"/>
      <w:marLeft w:val="0"/>
      <w:marRight w:val="0"/>
      <w:marTop w:val="0"/>
      <w:marBottom w:val="0"/>
      <w:divBdr>
        <w:top w:val="none" w:sz="0" w:space="0" w:color="auto"/>
        <w:left w:val="none" w:sz="0" w:space="0" w:color="auto"/>
        <w:bottom w:val="none" w:sz="0" w:space="0" w:color="auto"/>
        <w:right w:val="none" w:sz="0" w:space="0" w:color="auto"/>
      </w:divBdr>
    </w:div>
    <w:div w:id="964508981">
      <w:bodyDiv w:val="1"/>
      <w:marLeft w:val="0"/>
      <w:marRight w:val="0"/>
      <w:marTop w:val="0"/>
      <w:marBottom w:val="0"/>
      <w:divBdr>
        <w:top w:val="none" w:sz="0" w:space="0" w:color="auto"/>
        <w:left w:val="none" w:sz="0" w:space="0" w:color="auto"/>
        <w:bottom w:val="none" w:sz="0" w:space="0" w:color="auto"/>
        <w:right w:val="none" w:sz="0" w:space="0" w:color="auto"/>
      </w:divBdr>
    </w:div>
    <w:div w:id="964626354">
      <w:bodyDiv w:val="1"/>
      <w:marLeft w:val="0"/>
      <w:marRight w:val="0"/>
      <w:marTop w:val="0"/>
      <w:marBottom w:val="0"/>
      <w:divBdr>
        <w:top w:val="none" w:sz="0" w:space="0" w:color="auto"/>
        <w:left w:val="none" w:sz="0" w:space="0" w:color="auto"/>
        <w:bottom w:val="none" w:sz="0" w:space="0" w:color="auto"/>
        <w:right w:val="none" w:sz="0" w:space="0" w:color="auto"/>
      </w:divBdr>
    </w:div>
    <w:div w:id="964652434">
      <w:bodyDiv w:val="1"/>
      <w:marLeft w:val="0"/>
      <w:marRight w:val="0"/>
      <w:marTop w:val="0"/>
      <w:marBottom w:val="0"/>
      <w:divBdr>
        <w:top w:val="none" w:sz="0" w:space="0" w:color="auto"/>
        <w:left w:val="none" w:sz="0" w:space="0" w:color="auto"/>
        <w:bottom w:val="none" w:sz="0" w:space="0" w:color="auto"/>
        <w:right w:val="none" w:sz="0" w:space="0" w:color="auto"/>
      </w:divBdr>
    </w:div>
    <w:div w:id="964769364">
      <w:bodyDiv w:val="1"/>
      <w:marLeft w:val="0"/>
      <w:marRight w:val="0"/>
      <w:marTop w:val="0"/>
      <w:marBottom w:val="0"/>
      <w:divBdr>
        <w:top w:val="none" w:sz="0" w:space="0" w:color="auto"/>
        <w:left w:val="none" w:sz="0" w:space="0" w:color="auto"/>
        <w:bottom w:val="none" w:sz="0" w:space="0" w:color="auto"/>
        <w:right w:val="none" w:sz="0" w:space="0" w:color="auto"/>
      </w:divBdr>
    </w:div>
    <w:div w:id="964850225">
      <w:bodyDiv w:val="1"/>
      <w:marLeft w:val="0"/>
      <w:marRight w:val="0"/>
      <w:marTop w:val="0"/>
      <w:marBottom w:val="0"/>
      <w:divBdr>
        <w:top w:val="none" w:sz="0" w:space="0" w:color="auto"/>
        <w:left w:val="none" w:sz="0" w:space="0" w:color="auto"/>
        <w:bottom w:val="none" w:sz="0" w:space="0" w:color="auto"/>
        <w:right w:val="none" w:sz="0" w:space="0" w:color="auto"/>
      </w:divBdr>
    </w:div>
    <w:div w:id="964887423">
      <w:bodyDiv w:val="1"/>
      <w:marLeft w:val="0"/>
      <w:marRight w:val="0"/>
      <w:marTop w:val="0"/>
      <w:marBottom w:val="0"/>
      <w:divBdr>
        <w:top w:val="none" w:sz="0" w:space="0" w:color="auto"/>
        <w:left w:val="none" w:sz="0" w:space="0" w:color="auto"/>
        <w:bottom w:val="none" w:sz="0" w:space="0" w:color="auto"/>
        <w:right w:val="none" w:sz="0" w:space="0" w:color="auto"/>
      </w:divBdr>
    </w:div>
    <w:div w:id="965084272">
      <w:bodyDiv w:val="1"/>
      <w:marLeft w:val="0"/>
      <w:marRight w:val="0"/>
      <w:marTop w:val="0"/>
      <w:marBottom w:val="0"/>
      <w:divBdr>
        <w:top w:val="none" w:sz="0" w:space="0" w:color="auto"/>
        <w:left w:val="none" w:sz="0" w:space="0" w:color="auto"/>
        <w:bottom w:val="none" w:sz="0" w:space="0" w:color="auto"/>
        <w:right w:val="none" w:sz="0" w:space="0" w:color="auto"/>
      </w:divBdr>
    </w:div>
    <w:div w:id="965086185">
      <w:bodyDiv w:val="1"/>
      <w:marLeft w:val="0"/>
      <w:marRight w:val="0"/>
      <w:marTop w:val="0"/>
      <w:marBottom w:val="0"/>
      <w:divBdr>
        <w:top w:val="none" w:sz="0" w:space="0" w:color="auto"/>
        <w:left w:val="none" w:sz="0" w:space="0" w:color="auto"/>
        <w:bottom w:val="none" w:sz="0" w:space="0" w:color="auto"/>
        <w:right w:val="none" w:sz="0" w:space="0" w:color="auto"/>
      </w:divBdr>
    </w:div>
    <w:div w:id="965113842">
      <w:bodyDiv w:val="1"/>
      <w:marLeft w:val="0"/>
      <w:marRight w:val="0"/>
      <w:marTop w:val="0"/>
      <w:marBottom w:val="0"/>
      <w:divBdr>
        <w:top w:val="none" w:sz="0" w:space="0" w:color="auto"/>
        <w:left w:val="none" w:sz="0" w:space="0" w:color="auto"/>
        <w:bottom w:val="none" w:sz="0" w:space="0" w:color="auto"/>
        <w:right w:val="none" w:sz="0" w:space="0" w:color="auto"/>
      </w:divBdr>
    </w:div>
    <w:div w:id="965114704">
      <w:bodyDiv w:val="1"/>
      <w:marLeft w:val="0"/>
      <w:marRight w:val="0"/>
      <w:marTop w:val="0"/>
      <w:marBottom w:val="0"/>
      <w:divBdr>
        <w:top w:val="none" w:sz="0" w:space="0" w:color="auto"/>
        <w:left w:val="none" w:sz="0" w:space="0" w:color="auto"/>
        <w:bottom w:val="none" w:sz="0" w:space="0" w:color="auto"/>
        <w:right w:val="none" w:sz="0" w:space="0" w:color="auto"/>
      </w:divBdr>
    </w:div>
    <w:div w:id="965236900">
      <w:bodyDiv w:val="1"/>
      <w:marLeft w:val="0"/>
      <w:marRight w:val="0"/>
      <w:marTop w:val="0"/>
      <w:marBottom w:val="0"/>
      <w:divBdr>
        <w:top w:val="none" w:sz="0" w:space="0" w:color="auto"/>
        <w:left w:val="none" w:sz="0" w:space="0" w:color="auto"/>
        <w:bottom w:val="none" w:sz="0" w:space="0" w:color="auto"/>
        <w:right w:val="none" w:sz="0" w:space="0" w:color="auto"/>
      </w:divBdr>
    </w:div>
    <w:div w:id="965353387">
      <w:bodyDiv w:val="1"/>
      <w:marLeft w:val="0"/>
      <w:marRight w:val="0"/>
      <w:marTop w:val="0"/>
      <w:marBottom w:val="0"/>
      <w:divBdr>
        <w:top w:val="none" w:sz="0" w:space="0" w:color="auto"/>
        <w:left w:val="none" w:sz="0" w:space="0" w:color="auto"/>
        <w:bottom w:val="none" w:sz="0" w:space="0" w:color="auto"/>
        <w:right w:val="none" w:sz="0" w:space="0" w:color="auto"/>
      </w:divBdr>
    </w:div>
    <w:div w:id="965353511">
      <w:bodyDiv w:val="1"/>
      <w:marLeft w:val="0"/>
      <w:marRight w:val="0"/>
      <w:marTop w:val="0"/>
      <w:marBottom w:val="0"/>
      <w:divBdr>
        <w:top w:val="none" w:sz="0" w:space="0" w:color="auto"/>
        <w:left w:val="none" w:sz="0" w:space="0" w:color="auto"/>
        <w:bottom w:val="none" w:sz="0" w:space="0" w:color="auto"/>
        <w:right w:val="none" w:sz="0" w:space="0" w:color="auto"/>
      </w:divBdr>
    </w:div>
    <w:div w:id="965429293">
      <w:bodyDiv w:val="1"/>
      <w:marLeft w:val="0"/>
      <w:marRight w:val="0"/>
      <w:marTop w:val="0"/>
      <w:marBottom w:val="0"/>
      <w:divBdr>
        <w:top w:val="none" w:sz="0" w:space="0" w:color="auto"/>
        <w:left w:val="none" w:sz="0" w:space="0" w:color="auto"/>
        <w:bottom w:val="none" w:sz="0" w:space="0" w:color="auto"/>
        <w:right w:val="none" w:sz="0" w:space="0" w:color="auto"/>
      </w:divBdr>
    </w:div>
    <w:div w:id="965500312">
      <w:bodyDiv w:val="1"/>
      <w:marLeft w:val="0"/>
      <w:marRight w:val="0"/>
      <w:marTop w:val="0"/>
      <w:marBottom w:val="0"/>
      <w:divBdr>
        <w:top w:val="none" w:sz="0" w:space="0" w:color="auto"/>
        <w:left w:val="none" w:sz="0" w:space="0" w:color="auto"/>
        <w:bottom w:val="none" w:sz="0" w:space="0" w:color="auto"/>
        <w:right w:val="none" w:sz="0" w:space="0" w:color="auto"/>
      </w:divBdr>
    </w:div>
    <w:div w:id="965501729">
      <w:bodyDiv w:val="1"/>
      <w:marLeft w:val="0"/>
      <w:marRight w:val="0"/>
      <w:marTop w:val="0"/>
      <w:marBottom w:val="0"/>
      <w:divBdr>
        <w:top w:val="none" w:sz="0" w:space="0" w:color="auto"/>
        <w:left w:val="none" w:sz="0" w:space="0" w:color="auto"/>
        <w:bottom w:val="none" w:sz="0" w:space="0" w:color="auto"/>
        <w:right w:val="none" w:sz="0" w:space="0" w:color="auto"/>
      </w:divBdr>
    </w:div>
    <w:div w:id="965693772">
      <w:bodyDiv w:val="1"/>
      <w:marLeft w:val="0"/>
      <w:marRight w:val="0"/>
      <w:marTop w:val="0"/>
      <w:marBottom w:val="0"/>
      <w:divBdr>
        <w:top w:val="none" w:sz="0" w:space="0" w:color="auto"/>
        <w:left w:val="none" w:sz="0" w:space="0" w:color="auto"/>
        <w:bottom w:val="none" w:sz="0" w:space="0" w:color="auto"/>
        <w:right w:val="none" w:sz="0" w:space="0" w:color="auto"/>
      </w:divBdr>
    </w:div>
    <w:div w:id="965697321">
      <w:bodyDiv w:val="1"/>
      <w:marLeft w:val="0"/>
      <w:marRight w:val="0"/>
      <w:marTop w:val="0"/>
      <w:marBottom w:val="0"/>
      <w:divBdr>
        <w:top w:val="none" w:sz="0" w:space="0" w:color="auto"/>
        <w:left w:val="none" w:sz="0" w:space="0" w:color="auto"/>
        <w:bottom w:val="none" w:sz="0" w:space="0" w:color="auto"/>
        <w:right w:val="none" w:sz="0" w:space="0" w:color="auto"/>
      </w:divBdr>
    </w:div>
    <w:div w:id="965743196">
      <w:bodyDiv w:val="1"/>
      <w:marLeft w:val="0"/>
      <w:marRight w:val="0"/>
      <w:marTop w:val="0"/>
      <w:marBottom w:val="0"/>
      <w:divBdr>
        <w:top w:val="none" w:sz="0" w:space="0" w:color="auto"/>
        <w:left w:val="none" w:sz="0" w:space="0" w:color="auto"/>
        <w:bottom w:val="none" w:sz="0" w:space="0" w:color="auto"/>
        <w:right w:val="none" w:sz="0" w:space="0" w:color="auto"/>
      </w:divBdr>
    </w:div>
    <w:div w:id="965743585">
      <w:bodyDiv w:val="1"/>
      <w:marLeft w:val="0"/>
      <w:marRight w:val="0"/>
      <w:marTop w:val="0"/>
      <w:marBottom w:val="0"/>
      <w:divBdr>
        <w:top w:val="none" w:sz="0" w:space="0" w:color="auto"/>
        <w:left w:val="none" w:sz="0" w:space="0" w:color="auto"/>
        <w:bottom w:val="none" w:sz="0" w:space="0" w:color="auto"/>
        <w:right w:val="none" w:sz="0" w:space="0" w:color="auto"/>
      </w:divBdr>
    </w:div>
    <w:div w:id="965813608">
      <w:bodyDiv w:val="1"/>
      <w:marLeft w:val="0"/>
      <w:marRight w:val="0"/>
      <w:marTop w:val="0"/>
      <w:marBottom w:val="0"/>
      <w:divBdr>
        <w:top w:val="none" w:sz="0" w:space="0" w:color="auto"/>
        <w:left w:val="none" w:sz="0" w:space="0" w:color="auto"/>
        <w:bottom w:val="none" w:sz="0" w:space="0" w:color="auto"/>
        <w:right w:val="none" w:sz="0" w:space="0" w:color="auto"/>
      </w:divBdr>
    </w:div>
    <w:div w:id="965813779">
      <w:bodyDiv w:val="1"/>
      <w:marLeft w:val="0"/>
      <w:marRight w:val="0"/>
      <w:marTop w:val="0"/>
      <w:marBottom w:val="0"/>
      <w:divBdr>
        <w:top w:val="none" w:sz="0" w:space="0" w:color="auto"/>
        <w:left w:val="none" w:sz="0" w:space="0" w:color="auto"/>
        <w:bottom w:val="none" w:sz="0" w:space="0" w:color="auto"/>
        <w:right w:val="none" w:sz="0" w:space="0" w:color="auto"/>
      </w:divBdr>
    </w:div>
    <w:div w:id="966081442">
      <w:bodyDiv w:val="1"/>
      <w:marLeft w:val="0"/>
      <w:marRight w:val="0"/>
      <w:marTop w:val="0"/>
      <w:marBottom w:val="0"/>
      <w:divBdr>
        <w:top w:val="none" w:sz="0" w:space="0" w:color="auto"/>
        <w:left w:val="none" w:sz="0" w:space="0" w:color="auto"/>
        <w:bottom w:val="none" w:sz="0" w:space="0" w:color="auto"/>
        <w:right w:val="none" w:sz="0" w:space="0" w:color="auto"/>
      </w:divBdr>
    </w:div>
    <w:div w:id="966157373">
      <w:bodyDiv w:val="1"/>
      <w:marLeft w:val="0"/>
      <w:marRight w:val="0"/>
      <w:marTop w:val="0"/>
      <w:marBottom w:val="0"/>
      <w:divBdr>
        <w:top w:val="none" w:sz="0" w:space="0" w:color="auto"/>
        <w:left w:val="none" w:sz="0" w:space="0" w:color="auto"/>
        <w:bottom w:val="none" w:sz="0" w:space="0" w:color="auto"/>
        <w:right w:val="none" w:sz="0" w:space="0" w:color="auto"/>
      </w:divBdr>
    </w:div>
    <w:div w:id="966164459">
      <w:bodyDiv w:val="1"/>
      <w:marLeft w:val="0"/>
      <w:marRight w:val="0"/>
      <w:marTop w:val="0"/>
      <w:marBottom w:val="0"/>
      <w:divBdr>
        <w:top w:val="none" w:sz="0" w:space="0" w:color="auto"/>
        <w:left w:val="none" w:sz="0" w:space="0" w:color="auto"/>
        <w:bottom w:val="none" w:sz="0" w:space="0" w:color="auto"/>
        <w:right w:val="none" w:sz="0" w:space="0" w:color="auto"/>
      </w:divBdr>
    </w:div>
    <w:div w:id="966199321">
      <w:bodyDiv w:val="1"/>
      <w:marLeft w:val="0"/>
      <w:marRight w:val="0"/>
      <w:marTop w:val="0"/>
      <w:marBottom w:val="0"/>
      <w:divBdr>
        <w:top w:val="none" w:sz="0" w:space="0" w:color="auto"/>
        <w:left w:val="none" w:sz="0" w:space="0" w:color="auto"/>
        <w:bottom w:val="none" w:sz="0" w:space="0" w:color="auto"/>
        <w:right w:val="none" w:sz="0" w:space="0" w:color="auto"/>
      </w:divBdr>
    </w:div>
    <w:div w:id="966354743">
      <w:bodyDiv w:val="1"/>
      <w:marLeft w:val="0"/>
      <w:marRight w:val="0"/>
      <w:marTop w:val="0"/>
      <w:marBottom w:val="0"/>
      <w:divBdr>
        <w:top w:val="none" w:sz="0" w:space="0" w:color="auto"/>
        <w:left w:val="none" w:sz="0" w:space="0" w:color="auto"/>
        <w:bottom w:val="none" w:sz="0" w:space="0" w:color="auto"/>
        <w:right w:val="none" w:sz="0" w:space="0" w:color="auto"/>
      </w:divBdr>
    </w:div>
    <w:div w:id="966473513">
      <w:bodyDiv w:val="1"/>
      <w:marLeft w:val="0"/>
      <w:marRight w:val="0"/>
      <w:marTop w:val="0"/>
      <w:marBottom w:val="0"/>
      <w:divBdr>
        <w:top w:val="none" w:sz="0" w:space="0" w:color="auto"/>
        <w:left w:val="none" w:sz="0" w:space="0" w:color="auto"/>
        <w:bottom w:val="none" w:sz="0" w:space="0" w:color="auto"/>
        <w:right w:val="none" w:sz="0" w:space="0" w:color="auto"/>
      </w:divBdr>
    </w:div>
    <w:div w:id="966474646">
      <w:bodyDiv w:val="1"/>
      <w:marLeft w:val="0"/>
      <w:marRight w:val="0"/>
      <w:marTop w:val="0"/>
      <w:marBottom w:val="0"/>
      <w:divBdr>
        <w:top w:val="none" w:sz="0" w:space="0" w:color="auto"/>
        <w:left w:val="none" w:sz="0" w:space="0" w:color="auto"/>
        <w:bottom w:val="none" w:sz="0" w:space="0" w:color="auto"/>
        <w:right w:val="none" w:sz="0" w:space="0" w:color="auto"/>
      </w:divBdr>
    </w:div>
    <w:div w:id="966665842">
      <w:bodyDiv w:val="1"/>
      <w:marLeft w:val="0"/>
      <w:marRight w:val="0"/>
      <w:marTop w:val="0"/>
      <w:marBottom w:val="0"/>
      <w:divBdr>
        <w:top w:val="none" w:sz="0" w:space="0" w:color="auto"/>
        <w:left w:val="none" w:sz="0" w:space="0" w:color="auto"/>
        <w:bottom w:val="none" w:sz="0" w:space="0" w:color="auto"/>
        <w:right w:val="none" w:sz="0" w:space="0" w:color="auto"/>
      </w:divBdr>
    </w:div>
    <w:div w:id="966667403">
      <w:bodyDiv w:val="1"/>
      <w:marLeft w:val="0"/>
      <w:marRight w:val="0"/>
      <w:marTop w:val="0"/>
      <w:marBottom w:val="0"/>
      <w:divBdr>
        <w:top w:val="none" w:sz="0" w:space="0" w:color="auto"/>
        <w:left w:val="none" w:sz="0" w:space="0" w:color="auto"/>
        <w:bottom w:val="none" w:sz="0" w:space="0" w:color="auto"/>
        <w:right w:val="none" w:sz="0" w:space="0" w:color="auto"/>
      </w:divBdr>
    </w:div>
    <w:div w:id="966736523">
      <w:bodyDiv w:val="1"/>
      <w:marLeft w:val="0"/>
      <w:marRight w:val="0"/>
      <w:marTop w:val="0"/>
      <w:marBottom w:val="0"/>
      <w:divBdr>
        <w:top w:val="none" w:sz="0" w:space="0" w:color="auto"/>
        <w:left w:val="none" w:sz="0" w:space="0" w:color="auto"/>
        <w:bottom w:val="none" w:sz="0" w:space="0" w:color="auto"/>
        <w:right w:val="none" w:sz="0" w:space="0" w:color="auto"/>
      </w:divBdr>
    </w:div>
    <w:div w:id="966857663">
      <w:bodyDiv w:val="1"/>
      <w:marLeft w:val="0"/>
      <w:marRight w:val="0"/>
      <w:marTop w:val="0"/>
      <w:marBottom w:val="0"/>
      <w:divBdr>
        <w:top w:val="none" w:sz="0" w:space="0" w:color="auto"/>
        <w:left w:val="none" w:sz="0" w:space="0" w:color="auto"/>
        <w:bottom w:val="none" w:sz="0" w:space="0" w:color="auto"/>
        <w:right w:val="none" w:sz="0" w:space="0" w:color="auto"/>
      </w:divBdr>
    </w:div>
    <w:div w:id="966857855">
      <w:bodyDiv w:val="1"/>
      <w:marLeft w:val="0"/>
      <w:marRight w:val="0"/>
      <w:marTop w:val="0"/>
      <w:marBottom w:val="0"/>
      <w:divBdr>
        <w:top w:val="none" w:sz="0" w:space="0" w:color="auto"/>
        <w:left w:val="none" w:sz="0" w:space="0" w:color="auto"/>
        <w:bottom w:val="none" w:sz="0" w:space="0" w:color="auto"/>
        <w:right w:val="none" w:sz="0" w:space="0" w:color="auto"/>
      </w:divBdr>
    </w:div>
    <w:div w:id="966933059">
      <w:bodyDiv w:val="1"/>
      <w:marLeft w:val="0"/>
      <w:marRight w:val="0"/>
      <w:marTop w:val="0"/>
      <w:marBottom w:val="0"/>
      <w:divBdr>
        <w:top w:val="none" w:sz="0" w:space="0" w:color="auto"/>
        <w:left w:val="none" w:sz="0" w:space="0" w:color="auto"/>
        <w:bottom w:val="none" w:sz="0" w:space="0" w:color="auto"/>
        <w:right w:val="none" w:sz="0" w:space="0" w:color="auto"/>
      </w:divBdr>
    </w:div>
    <w:div w:id="966934152">
      <w:bodyDiv w:val="1"/>
      <w:marLeft w:val="0"/>
      <w:marRight w:val="0"/>
      <w:marTop w:val="0"/>
      <w:marBottom w:val="0"/>
      <w:divBdr>
        <w:top w:val="none" w:sz="0" w:space="0" w:color="auto"/>
        <w:left w:val="none" w:sz="0" w:space="0" w:color="auto"/>
        <w:bottom w:val="none" w:sz="0" w:space="0" w:color="auto"/>
        <w:right w:val="none" w:sz="0" w:space="0" w:color="auto"/>
      </w:divBdr>
    </w:div>
    <w:div w:id="967055666">
      <w:bodyDiv w:val="1"/>
      <w:marLeft w:val="0"/>
      <w:marRight w:val="0"/>
      <w:marTop w:val="0"/>
      <w:marBottom w:val="0"/>
      <w:divBdr>
        <w:top w:val="none" w:sz="0" w:space="0" w:color="auto"/>
        <w:left w:val="none" w:sz="0" w:space="0" w:color="auto"/>
        <w:bottom w:val="none" w:sz="0" w:space="0" w:color="auto"/>
        <w:right w:val="none" w:sz="0" w:space="0" w:color="auto"/>
      </w:divBdr>
    </w:div>
    <w:div w:id="967130842">
      <w:bodyDiv w:val="1"/>
      <w:marLeft w:val="0"/>
      <w:marRight w:val="0"/>
      <w:marTop w:val="0"/>
      <w:marBottom w:val="0"/>
      <w:divBdr>
        <w:top w:val="none" w:sz="0" w:space="0" w:color="auto"/>
        <w:left w:val="none" w:sz="0" w:space="0" w:color="auto"/>
        <w:bottom w:val="none" w:sz="0" w:space="0" w:color="auto"/>
        <w:right w:val="none" w:sz="0" w:space="0" w:color="auto"/>
      </w:divBdr>
    </w:div>
    <w:div w:id="967199589">
      <w:bodyDiv w:val="1"/>
      <w:marLeft w:val="0"/>
      <w:marRight w:val="0"/>
      <w:marTop w:val="0"/>
      <w:marBottom w:val="0"/>
      <w:divBdr>
        <w:top w:val="none" w:sz="0" w:space="0" w:color="auto"/>
        <w:left w:val="none" w:sz="0" w:space="0" w:color="auto"/>
        <w:bottom w:val="none" w:sz="0" w:space="0" w:color="auto"/>
        <w:right w:val="none" w:sz="0" w:space="0" w:color="auto"/>
      </w:divBdr>
    </w:div>
    <w:div w:id="967201529">
      <w:bodyDiv w:val="1"/>
      <w:marLeft w:val="0"/>
      <w:marRight w:val="0"/>
      <w:marTop w:val="0"/>
      <w:marBottom w:val="0"/>
      <w:divBdr>
        <w:top w:val="none" w:sz="0" w:space="0" w:color="auto"/>
        <w:left w:val="none" w:sz="0" w:space="0" w:color="auto"/>
        <w:bottom w:val="none" w:sz="0" w:space="0" w:color="auto"/>
        <w:right w:val="none" w:sz="0" w:space="0" w:color="auto"/>
      </w:divBdr>
    </w:div>
    <w:div w:id="967392436">
      <w:bodyDiv w:val="1"/>
      <w:marLeft w:val="0"/>
      <w:marRight w:val="0"/>
      <w:marTop w:val="0"/>
      <w:marBottom w:val="0"/>
      <w:divBdr>
        <w:top w:val="none" w:sz="0" w:space="0" w:color="auto"/>
        <w:left w:val="none" w:sz="0" w:space="0" w:color="auto"/>
        <w:bottom w:val="none" w:sz="0" w:space="0" w:color="auto"/>
        <w:right w:val="none" w:sz="0" w:space="0" w:color="auto"/>
      </w:divBdr>
    </w:div>
    <w:div w:id="967397583">
      <w:bodyDiv w:val="1"/>
      <w:marLeft w:val="0"/>
      <w:marRight w:val="0"/>
      <w:marTop w:val="0"/>
      <w:marBottom w:val="0"/>
      <w:divBdr>
        <w:top w:val="none" w:sz="0" w:space="0" w:color="auto"/>
        <w:left w:val="none" w:sz="0" w:space="0" w:color="auto"/>
        <w:bottom w:val="none" w:sz="0" w:space="0" w:color="auto"/>
        <w:right w:val="none" w:sz="0" w:space="0" w:color="auto"/>
      </w:divBdr>
    </w:div>
    <w:div w:id="967472561">
      <w:bodyDiv w:val="1"/>
      <w:marLeft w:val="0"/>
      <w:marRight w:val="0"/>
      <w:marTop w:val="0"/>
      <w:marBottom w:val="0"/>
      <w:divBdr>
        <w:top w:val="none" w:sz="0" w:space="0" w:color="auto"/>
        <w:left w:val="none" w:sz="0" w:space="0" w:color="auto"/>
        <w:bottom w:val="none" w:sz="0" w:space="0" w:color="auto"/>
        <w:right w:val="none" w:sz="0" w:space="0" w:color="auto"/>
      </w:divBdr>
    </w:div>
    <w:div w:id="967511117">
      <w:bodyDiv w:val="1"/>
      <w:marLeft w:val="0"/>
      <w:marRight w:val="0"/>
      <w:marTop w:val="0"/>
      <w:marBottom w:val="0"/>
      <w:divBdr>
        <w:top w:val="none" w:sz="0" w:space="0" w:color="auto"/>
        <w:left w:val="none" w:sz="0" w:space="0" w:color="auto"/>
        <w:bottom w:val="none" w:sz="0" w:space="0" w:color="auto"/>
        <w:right w:val="none" w:sz="0" w:space="0" w:color="auto"/>
      </w:divBdr>
    </w:div>
    <w:div w:id="967513479">
      <w:bodyDiv w:val="1"/>
      <w:marLeft w:val="0"/>
      <w:marRight w:val="0"/>
      <w:marTop w:val="0"/>
      <w:marBottom w:val="0"/>
      <w:divBdr>
        <w:top w:val="none" w:sz="0" w:space="0" w:color="auto"/>
        <w:left w:val="none" w:sz="0" w:space="0" w:color="auto"/>
        <w:bottom w:val="none" w:sz="0" w:space="0" w:color="auto"/>
        <w:right w:val="none" w:sz="0" w:space="0" w:color="auto"/>
      </w:divBdr>
    </w:div>
    <w:div w:id="967592294">
      <w:bodyDiv w:val="1"/>
      <w:marLeft w:val="0"/>
      <w:marRight w:val="0"/>
      <w:marTop w:val="0"/>
      <w:marBottom w:val="0"/>
      <w:divBdr>
        <w:top w:val="none" w:sz="0" w:space="0" w:color="auto"/>
        <w:left w:val="none" w:sz="0" w:space="0" w:color="auto"/>
        <w:bottom w:val="none" w:sz="0" w:space="0" w:color="auto"/>
        <w:right w:val="none" w:sz="0" w:space="0" w:color="auto"/>
      </w:divBdr>
    </w:div>
    <w:div w:id="967592295">
      <w:bodyDiv w:val="1"/>
      <w:marLeft w:val="0"/>
      <w:marRight w:val="0"/>
      <w:marTop w:val="0"/>
      <w:marBottom w:val="0"/>
      <w:divBdr>
        <w:top w:val="none" w:sz="0" w:space="0" w:color="auto"/>
        <w:left w:val="none" w:sz="0" w:space="0" w:color="auto"/>
        <w:bottom w:val="none" w:sz="0" w:space="0" w:color="auto"/>
        <w:right w:val="none" w:sz="0" w:space="0" w:color="auto"/>
      </w:divBdr>
    </w:div>
    <w:div w:id="967660768">
      <w:bodyDiv w:val="1"/>
      <w:marLeft w:val="0"/>
      <w:marRight w:val="0"/>
      <w:marTop w:val="0"/>
      <w:marBottom w:val="0"/>
      <w:divBdr>
        <w:top w:val="none" w:sz="0" w:space="0" w:color="auto"/>
        <w:left w:val="none" w:sz="0" w:space="0" w:color="auto"/>
        <w:bottom w:val="none" w:sz="0" w:space="0" w:color="auto"/>
        <w:right w:val="none" w:sz="0" w:space="0" w:color="auto"/>
      </w:divBdr>
    </w:div>
    <w:div w:id="967663362">
      <w:bodyDiv w:val="1"/>
      <w:marLeft w:val="0"/>
      <w:marRight w:val="0"/>
      <w:marTop w:val="0"/>
      <w:marBottom w:val="0"/>
      <w:divBdr>
        <w:top w:val="none" w:sz="0" w:space="0" w:color="auto"/>
        <w:left w:val="none" w:sz="0" w:space="0" w:color="auto"/>
        <w:bottom w:val="none" w:sz="0" w:space="0" w:color="auto"/>
        <w:right w:val="none" w:sz="0" w:space="0" w:color="auto"/>
      </w:divBdr>
    </w:div>
    <w:div w:id="967706417">
      <w:bodyDiv w:val="1"/>
      <w:marLeft w:val="0"/>
      <w:marRight w:val="0"/>
      <w:marTop w:val="0"/>
      <w:marBottom w:val="0"/>
      <w:divBdr>
        <w:top w:val="none" w:sz="0" w:space="0" w:color="auto"/>
        <w:left w:val="none" w:sz="0" w:space="0" w:color="auto"/>
        <w:bottom w:val="none" w:sz="0" w:space="0" w:color="auto"/>
        <w:right w:val="none" w:sz="0" w:space="0" w:color="auto"/>
      </w:divBdr>
    </w:div>
    <w:div w:id="967786354">
      <w:bodyDiv w:val="1"/>
      <w:marLeft w:val="0"/>
      <w:marRight w:val="0"/>
      <w:marTop w:val="0"/>
      <w:marBottom w:val="0"/>
      <w:divBdr>
        <w:top w:val="none" w:sz="0" w:space="0" w:color="auto"/>
        <w:left w:val="none" w:sz="0" w:space="0" w:color="auto"/>
        <w:bottom w:val="none" w:sz="0" w:space="0" w:color="auto"/>
        <w:right w:val="none" w:sz="0" w:space="0" w:color="auto"/>
      </w:divBdr>
    </w:div>
    <w:div w:id="967857063">
      <w:bodyDiv w:val="1"/>
      <w:marLeft w:val="0"/>
      <w:marRight w:val="0"/>
      <w:marTop w:val="0"/>
      <w:marBottom w:val="0"/>
      <w:divBdr>
        <w:top w:val="none" w:sz="0" w:space="0" w:color="auto"/>
        <w:left w:val="none" w:sz="0" w:space="0" w:color="auto"/>
        <w:bottom w:val="none" w:sz="0" w:space="0" w:color="auto"/>
        <w:right w:val="none" w:sz="0" w:space="0" w:color="auto"/>
      </w:divBdr>
    </w:div>
    <w:div w:id="967857844">
      <w:bodyDiv w:val="1"/>
      <w:marLeft w:val="0"/>
      <w:marRight w:val="0"/>
      <w:marTop w:val="0"/>
      <w:marBottom w:val="0"/>
      <w:divBdr>
        <w:top w:val="none" w:sz="0" w:space="0" w:color="auto"/>
        <w:left w:val="none" w:sz="0" w:space="0" w:color="auto"/>
        <w:bottom w:val="none" w:sz="0" w:space="0" w:color="auto"/>
        <w:right w:val="none" w:sz="0" w:space="0" w:color="auto"/>
      </w:divBdr>
    </w:div>
    <w:div w:id="968126819">
      <w:bodyDiv w:val="1"/>
      <w:marLeft w:val="0"/>
      <w:marRight w:val="0"/>
      <w:marTop w:val="0"/>
      <w:marBottom w:val="0"/>
      <w:divBdr>
        <w:top w:val="none" w:sz="0" w:space="0" w:color="auto"/>
        <w:left w:val="none" w:sz="0" w:space="0" w:color="auto"/>
        <w:bottom w:val="none" w:sz="0" w:space="0" w:color="auto"/>
        <w:right w:val="none" w:sz="0" w:space="0" w:color="auto"/>
      </w:divBdr>
    </w:div>
    <w:div w:id="968164650">
      <w:bodyDiv w:val="1"/>
      <w:marLeft w:val="0"/>
      <w:marRight w:val="0"/>
      <w:marTop w:val="0"/>
      <w:marBottom w:val="0"/>
      <w:divBdr>
        <w:top w:val="none" w:sz="0" w:space="0" w:color="auto"/>
        <w:left w:val="none" w:sz="0" w:space="0" w:color="auto"/>
        <w:bottom w:val="none" w:sz="0" w:space="0" w:color="auto"/>
        <w:right w:val="none" w:sz="0" w:space="0" w:color="auto"/>
      </w:divBdr>
    </w:div>
    <w:div w:id="968172930">
      <w:bodyDiv w:val="1"/>
      <w:marLeft w:val="0"/>
      <w:marRight w:val="0"/>
      <w:marTop w:val="0"/>
      <w:marBottom w:val="0"/>
      <w:divBdr>
        <w:top w:val="none" w:sz="0" w:space="0" w:color="auto"/>
        <w:left w:val="none" w:sz="0" w:space="0" w:color="auto"/>
        <w:bottom w:val="none" w:sz="0" w:space="0" w:color="auto"/>
        <w:right w:val="none" w:sz="0" w:space="0" w:color="auto"/>
      </w:divBdr>
    </w:div>
    <w:div w:id="968322752">
      <w:bodyDiv w:val="1"/>
      <w:marLeft w:val="0"/>
      <w:marRight w:val="0"/>
      <w:marTop w:val="0"/>
      <w:marBottom w:val="0"/>
      <w:divBdr>
        <w:top w:val="none" w:sz="0" w:space="0" w:color="auto"/>
        <w:left w:val="none" w:sz="0" w:space="0" w:color="auto"/>
        <w:bottom w:val="none" w:sz="0" w:space="0" w:color="auto"/>
        <w:right w:val="none" w:sz="0" w:space="0" w:color="auto"/>
      </w:divBdr>
    </w:div>
    <w:div w:id="968361867">
      <w:bodyDiv w:val="1"/>
      <w:marLeft w:val="0"/>
      <w:marRight w:val="0"/>
      <w:marTop w:val="0"/>
      <w:marBottom w:val="0"/>
      <w:divBdr>
        <w:top w:val="none" w:sz="0" w:space="0" w:color="auto"/>
        <w:left w:val="none" w:sz="0" w:space="0" w:color="auto"/>
        <w:bottom w:val="none" w:sz="0" w:space="0" w:color="auto"/>
        <w:right w:val="none" w:sz="0" w:space="0" w:color="auto"/>
      </w:divBdr>
    </w:div>
    <w:div w:id="968438068">
      <w:bodyDiv w:val="1"/>
      <w:marLeft w:val="0"/>
      <w:marRight w:val="0"/>
      <w:marTop w:val="0"/>
      <w:marBottom w:val="0"/>
      <w:divBdr>
        <w:top w:val="none" w:sz="0" w:space="0" w:color="auto"/>
        <w:left w:val="none" w:sz="0" w:space="0" w:color="auto"/>
        <w:bottom w:val="none" w:sz="0" w:space="0" w:color="auto"/>
        <w:right w:val="none" w:sz="0" w:space="0" w:color="auto"/>
      </w:divBdr>
    </w:div>
    <w:div w:id="968441265">
      <w:bodyDiv w:val="1"/>
      <w:marLeft w:val="0"/>
      <w:marRight w:val="0"/>
      <w:marTop w:val="0"/>
      <w:marBottom w:val="0"/>
      <w:divBdr>
        <w:top w:val="none" w:sz="0" w:space="0" w:color="auto"/>
        <w:left w:val="none" w:sz="0" w:space="0" w:color="auto"/>
        <w:bottom w:val="none" w:sz="0" w:space="0" w:color="auto"/>
        <w:right w:val="none" w:sz="0" w:space="0" w:color="auto"/>
      </w:divBdr>
    </w:div>
    <w:div w:id="968511365">
      <w:bodyDiv w:val="1"/>
      <w:marLeft w:val="0"/>
      <w:marRight w:val="0"/>
      <w:marTop w:val="0"/>
      <w:marBottom w:val="0"/>
      <w:divBdr>
        <w:top w:val="none" w:sz="0" w:space="0" w:color="auto"/>
        <w:left w:val="none" w:sz="0" w:space="0" w:color="auto"/>
        <w:bottom w:val="none" w:sz="0" w:space="0" w:color="auto"/>
        <w:right w:val="none" w:sz="0" w:space="0" w:color="auto"/>
      </w:divBdr>
    </w:div>
    <w:div w:id="968514723">
      <w:bodyDiv w:val="1"/>
      <w:marLeft w:val="0"/>
      <w:marRight w:val="0"/>
      <w:marTop w:val="0"/>
      <w:marBottom w:val="0"/>
      <w:divBdr>
        <w:top w:val="none" w:sz="0" w:space="0" w:color="auto"/>
        <w:left w:val="none" w:sz="0" w:space="0" w:color="auto"/>
        <w:bottom w:val="none" w:sz="0" w:space="0" w:color="auto"/>
        <w:right w:val="none" w:sz="0" w:space="0" w:color="auto"/>
      </w:divBdr>
    </w:div>
    <w:div w:id="968587552">
      <w:bodyDiv w:val="1"/>
      <w:marLeft w:val="0"/>
      <w:marRight w:val="0"/>
      <w:marTop w:val="0"/>
      <w:marBottom w:val="0"/>
      <w:divBdr>
        <w:top w:val="none" w:sz="0" w:space="0" w:color="auto"/>
        <w:left w:val="none" w:sz="0" w:space="0" w:color="auto"/>
        <w:bottom w:val="none" w:sz="0" w:space="0" w:color="auto"/>
        <w:right w:val="none" w:sz="0" w:space="0" w:color="auto"/>
      </w:divBdr>
    </w:div>
    <w:div w:id="968626927">
      <w:bodyDiv w:val="1"/>
      <w:marLeft w:val="0"/>
      <w:marRight w:val="0"/>
      <w:marTop w:val="0"/>
      <w:marBottom w:val="0"/>
      <w:divBdr>
        <w:top w:val="none" w:sz="0" w:space="0" w:color="auto"/>
        <w:left w:val="none" w:sz="0" w:space="0" w:color="auto"/>
        <w:bottom w:val="none" w:sz="0" w:space="0" w:color="auto"/>
        <w:right w:val="none" w:sz="0" w:space="0" w:color="auto"/>
      </w:divBdr>
    </w:div>
    <w:div w:id="968630383">
      <w:bodyDiv w:val="1"/>
      <w:marLeft w:val="0"/>
      <w:marRight w:val="0"/>
      <w:marTop w:val="0"/>
      <w:marBottom w:val="0"/>
      <w:divBdr>
        <w:top w:val="none" w:sz="0" w:space="0" w:color="auto"/>
        <w:left w:val="none" w:sz="0" w:space="0" w:color="auto"/>
        <w:bottom w:val="none" w:sz="0" w:space="0" w:color="auto"/>
        <w:right w:val="none" w:sz="0" w:space="0" w:color="auto"/>
      </w:divBdr>
    </w:div>
    <w:div w:id="968708779">
      <w:bodyDiv w:val="1"/>
      <w:marLeft w:val="0"/>
      <w:marRight w:val="0"/>
      <w:marTop w:val="0"/>
      <w:marBottom w:val="0"/>
      <w:divBdr>
        <w:top w:val="none" w:sz="0" w:space="0" w:color="auto"/>
        <w:left w:val="none" w:sz="0" w:space="0" w:color="auto"/>
        <w:bottom w:val="none" w:sz="0" w:space="0" w:color="auto"/>
        <w:right w:val="none" w:sz="0" w:space="0" w:color="auto"/>
      </w:divBdr>
    </w:div>
    <w:div w:id="968822672">
      <w:bodyDiv w:val="1"/>
      <w:marLeft w:val="0"/>
      <w:marRight w:val="0"/>
      <w:marTop w:val="0"/>
      <w:marBottom w:val="0"/>
      <w:divBdr>
        <w:top w:val="none" w:sz="0" w:space="0" w:color="auto"/>
        <w:left w:val="none" w:sz="0" w:space="0" w:color="auto"/>
        <w:bottom w:val="none" w:sz="0" w:space="0" w:color="auto"/>
        <w:right w:val="none" w:sz="0" w:space="0" w:color="auto"/>
      </w:divBdr>
    </w:div>
    <w:div w:id="968828262">
      <w:bodyDiv w:val="1"/>
      <w:marLeft w:val="0"/>
      <w:marRight w:val="0"/>
      <w:marTop w:val="0"/>
      <w:marBottom w:val="0"/>
      <w:divBdr>
        <w:top w:val="none" w:sz="0" w:space="0" w:color="auto"/>
        <w:left w:val="none" w:sz="0" w:space="0" w:color="auto"/>
        <w:bottom w:val="none" w:sz="0" w:space="0" w:color="auto"/>
        <w:right w:val="none" w:sz="0" w:space="0" w:color="auto"/>
      </w:divBdr>
    </w:div>
    <w:div w:id="968973575">
      <w:bodyDiv w:val="1"/>
      <w:marLeft w:val="0"/>
      <w:marRight w:val="0"/>
      <w:marTop w:val="0"/>
      <w:marBottom w:val="0"/>
      <w:divBdr>
        <w:top w:val="none" w:sz="0" w:space="0" w:color="auto"/>
        <w:left w:val="none" w:sz="0" w:space="0" w:color="auto"/>
        <w:bottom w:val="none" w:sz="0" w:space="0" w:color="auto"/>
        <w:right w:val="none" w:sz="0" w:space="0" w:color="auto"/>
      </w:divBdr>
    </w:div>
    <w:div w:id="969096097">
      <w:bodyDiv w:val="1"/>
      <w:marLeft w:val="0"/>
      <w:marRight w:val="0"/>
      <w:marTop w:val="0"/>
      <w:marBottom w:val="0"/>
      <w:divBdr>
        <w:top w:val="none" w:sz="0" w:space="0" w:color="auto"/>
        <w:left w:val="none" w:sz="0" w:space="0" w:color="auto"/>
        <w:bottom w:val="none" w:sz="0" w:space="0" w:color="auto"/>
        <w:right w:val="none" w:sz="0" w:space="0" w:color="auto"/>
      </w:divBdr>
    </w:div>
    <w:div w:id="969214778">
      <w:bodyDiv w:val="1"/>
      <w:marLeft w:val="0"/>
      <w:marRight w:val="0"/>
      <w:marTop w:val="0"/>
      <w:marBottom w:val="0"/>
      <w:divBdr>
        <w:top w:val="none" w:sz="0" w:space="0" w:color="auto"/>
        <w:left w:val="none" w:sz="0" w:space="0" w:color="auto"/>
        <w:bottom w:val="none" w:sz="0" w:space="0" w:color="auto"/>
        <w:right w:val="none" w:sz="0" w:space="0" w:color="auto"/>
      </w:divBdr>
    </w:div>
    <w:div w:id="969214872">
      <w:bodyDiv w:val="1"/>
      <w:marLeft w:val="0"/>
      <w:marRight w:val="0"/>
      <w:marTop w:val="0"/>
      <w:marBottom w:val="0"/>
      <w:divBdr>
        <w:top w:val="none" w:sz="0" w:space="0" w:color="auto"/>
        <w:left w:val="none" w:sz="0" w:space="0" w:color="auto"/>
        <w:bottom w:val="none" w:sz="0" w:space="0" w:color="auto"/>
        <w:right w:val="none" w:sz="0" w:space="0" w:color="auto"/>
      </w:divBdr>
    </w:div>
    <w:div w:id="969242359">
      <w:bodyDiv w:val="1"/>
      <w:marLeft w:val="0"/>
      <w:marRight w:val="0"/>
      <w:marTop w:val="0"/>
      <w:marBottom w:val="0"/>
      <w:divBdr>
        <w:top w:val="none" w:sz="0" w:space="0" w:color="auto"/>
        <w:left w:val="none" w:sz="0" w:space="0" w:color="auto"/>
        <w:bottom w:val="none" w:sz="0" w:space="0" w:color="auto"/>
        <w:right w:val="none" w:sz="0" w:space="0" w:color="auto"/>
      </w:divBdr>
    </w:div>
    <w:div w:id="969287669">
      <w:bodyDiv w:val="1"/>
      <w:marLeft w:val="0"/>
      <w:marRight w:val="0"/>
      <w:marTop w:val="0"/>
      <w:marBottom w:val="0"/>
      <w:divBdr>
        <w:top w:val="none" w:sz="0" w:space="0" w:color="auto"/>
        <w:left w:val="none" w:sz="0" w:space="0" w:color="auto"/>
        <w:bottom w:val="none" w:sz="0" w:space="0" w:color="auto"/>
        <w:right w:val="none" w:sz="0" w:space="0" w:color="auto"/>
      </w:divBdr>
    </w:div>
    <w:div w:id="969359593">
      <w:bodyDiv w:val="1"/>
      <w:marLeft w:val="0"/>
      <w:marRight w:val="0"/>
      <w:marTop w:val="0"/>
      <w:marBottom w:val="0"/>
      <w:divBdr>
        <w:top w:val="none" w:sz="0" w:space="0" w:color="auto"/>
        <w:left w:val="none" w:sz="0" w:space="0" w:color="auto"/>
        <w:bottom w:val="none" w:sz="0" w:space="0" w:color="auto"/>
        <w:right w:val="none" w:sz="0" w:space="0" w:color="auto"/>
      </w:divBdr>
    </w:div>
    <w:div w:id="969360215">
      <w:bodyDiv w:val="1"/>
      <w:marLeft w:val="0"/>
      <w:marRight w:val="0"/>
      <w:marTop w:val="0"/>
      <w:marBottom w:val="0"/>
      <w:divBdr>
        <w:top w:val="none" w:sz="0" w:space="0" w:color="auto"/>
        <w:left w:val="none" w:sz="0" w:space="0" w:color="auto"/>
        <w:bottom w:val="none" w:sz="0" w:space="0" w:color="auto"/>
        <w:right w:val="none" w:sz="0" w:space="0" w:color="auto"/>
      </w:divBdr>
    </w:div>
    <w:div w:id="969365093">
      <w:bodyDiv w:val="1"/>
      <w:marLeft w:val="0"/>
      <w:marRight w:val="0"/>
      <w:marTop w:val="0"/>
      <w:marBottom w:val="0"/>
      <w:divBdr>
        <w:top w:val="none" w:sz="0" w:space="0" w:color="auto"/>
        <w:left w:val="none" w:sz="0" w:space="0" w:color="auto"/>
        <w:bottom w:val="none" w:sz="0" w:space="0" w:color="auto"/>
        <w:right w:val="none" w:sz="0" w:space="0" w:color="auto"/>
      </w:divBdr>
    </w:div>
    <w:div w:id="969441029">
      <w:bodyDiv w:val="1"/>
      <w:marLeft w:val="0"/>
      <w:marRight w:val="0"/>
      <w:marTop w:val="0"/>
      <w:marBottom w:val="0"/>
      <w:divBdr>
        <w:top w:val="none" w:sz="0" w:space="0" w:color="auto"/>
        <w:left w:val="none" w:sz="0" w:space="0" w:color="auto"/>
        <w:bottom w:val="none" w:sz="0" w:space="0" w:color="auto"/>
        <w:right w:val="none" w:sz="0" w:space="0" w:color="auto"/>
      </w:divBdr>
    </w:div>
    <w:div w:id="969625471">
      <w:bodyDiv w:val="1"/>
      <w:marLeft w:val="0"/>
      <w:marRight w:val="0"/>
      <w:marTop w:val="0"/>
      <w:marBottom w:val="0"/>
      <w:divBdr>
        <w:top w:val="none" w:sz="0" w:space="0" w:color="auto"/>
        <w:left w:val="none" w:sz="0" w:space="0" w:color="auto"/>
        <w:bottom w:val="none" w:sz="0" w:space="0" w:color="auto"/>
        <w:right w:val="none" w:sz="0" w:space="0" w:color="auto"/>
      </w:divBdr>
    </w:div>
    <w:div w:id="969672757">
      <w:bodyDiv w:val="1"/>
      <w:marLeft w:val="0"/>
      <w:marRight w:val="0"/>
      <w:marTop w:val="0"/>
      <w:marBottom w:val="0"/>
      <w:divBdr>
        <w:top w:val="none" w:sz="0" w:space="0" w:color="auto"/>
        <w:left w:val="none" w:sz="0" w:space="0" w:color="auto"/>
        <w:bottom w:val="none" w:sz="0" w:space="0" w:color="auto"/>
        <w:right w:val="none" w:sz="0" w:space="0" w:color="auto"/>
      </w:divBdr>
    </w:div>
    <w:div w:id="969674704">
      <w:bodyDiv w:val="1"/>
      <w:marLeft w:val="0"/>
      <w:marRight w:val="0"/>
      <w:marTop w:val="0"/>
      <w:marBottom w:val="0"/>
      <w:divBdr>
        <w:top w:val="none" w:sz="0" w:space="0" w:color="auto"/>
        <w:left w:val="none" w:sz="0" w:space="0" w:color="auto"/>
        <w:bottom w:val="none" w:sz="0" w:space="0" w:color="auto"/>
        <w:right w:val="none" w:sz="0" w:space="0" w:color="auto"/>
      </w:divBdr>
    </w:div>
    <w:div w:id="969867276">
      <w:bodyDiv w:val="1"/>
      <w:marLeft w:val="0"/>
      <w:marRight w:val="0"/>
      <w:marTop w:val="0"/>
      <w:marBottom w:val="0"/>
      <w:divBdr>
        <w:top w:val="none" w:sz="0" w:space="0" w:color="auto"/>
        <w:left w:val="none" w:sz="0" w:space="0" w:color="auto"/>
        <w:bottom w:val="none" w:sz="0" w:space="0" w:color="auto"/>
        <w:right w:val="none" w:sz="0" w:space="0" w:color="auto"/>
      </w:divBdr>
    </w:div>
    <w:div w:id="969894776">
      <w:bodyDiv w:val="1"/>
      <w:marLeft w:val="0"/>
      <w:marRight w:val="0"/>
      <w:marTop w:val="0"/>
      <w:marBottom w:val="0"/>
      <w:divBdr>
        <w:top w:val="none" w:sz="0" w:space="0" w:color="auto"/>
        <w:left w:val="none" w:sz="0" w:space="0" w:color="auto"/>
        <w:bottom w:val="none" w:sz="0" w:space="0" w:color="auto"/>
        <w:right w:val="none" w:sz="0" w:space="0" w:color="auto"/>
      </w:divBdr>
    </w:div>
    <w:div w:id="969940022">
      <w:bodyDiv w:val="1"/>
      <w:marLeft w:val="0"/>
      <w:marRight w:val="0"/>
      <w:marTop w:val="0"/>
      <w:marBottom w:val="0"/>
      <w:divBdr>
        <w:top w:val="none" w:sz="0" w:space="0" w:color="auto"/>
        <w:left w:val="none" w:sz="0" w:space="0" w:color="auto"/>
        <w:bottom w:val="none" w:sz="0" w:space="0" w:color="auto"/>
        <w:right w:val="none" w:sz="0" w:space="0" w:color="auto"/>
      </w:divBdr>
    </w:div>
    <w:div w:id="970011968">
      <w:bodyDiv w:val="1"/>
      <w:marLeft w:val="0"/>
      <w:marRight w:val="0"/>
      <w:marTop w:val="0"/>
      <w:marBottom w:val="0"/>
      <w:divBdr>
        <w:top w:val="none" w:sz="0" w:space="0" w:color="auto"/>
        <w:left w:val="none" w:sz="0" w:space="0" w:color="auto"/>
        <w:bottom w:val="none" w:sz="0" w:space="0" w:color="auto"/>
        <w:right w:val="none" w:sz="0" w:space="0" w:color="auto"/>
      </w:divBdr>
    </w:div>
    <w:div w:id="970015713">
      <w:bodyDiv w:val="1"/>
      <w:marLeft w:val="0"/>
      <w:marRight w:val="0"/>
      <w:marTop w:val="0"/>
      <w:marBottom w:val="0"/>
      <w:divBdr>
        <w:top w:val="none" w:sz="0" w:space="0" w:color="auto"/>
        <w:left w:val="none" w:sz="0" w:space="0" w:color="auto"/>
        <w:bottom w:val="none" w:sz="0" w:space="0" w:color="auto"/>
        <w:right w:val="none" w:sz="0" w:space="0" w:color="auto"/>
      </w:divBdr>
    </w:div>
    <w:div w:id="970090428">
      <w:bodyDiv w:val="1"/>
      <w:marLeft w:val="0"/>
      <w:marRight w:val="0"/>
      <w:marTop w:val="0"/>
      <w:marBottom w:val="0"/>
      <w:divBdr>
        <w:top w:val="none" w:sz="0" w:space="0" w:color="auto"/>
        <w:left w:val="none" w:sz="0" w:space="0" w:color="auto"/>
        <w:bottom w:val="none" w:sz="0" w:space="0" w:color="auto"/>
        <w:right w:val="none" w:sz="0" w:space="0" w:color="auto"/>
      </w:divBdr>
    </w:div>
    <w:div w:id="970139027">
      <w:bodyDiv w:val="1"/>
      <w:marLeft w:val="0"/>
      <w:marRight w:val="0"/>
      <w:marTop w:val="0"/>
      <w:marBottom w:val="0"/>
      <w:divBdr>
        <w:top w:val="none" w:sz="0" w:space="0" w:color="auto"/>
        <w:left w:val="none" w:sz="0" w:space="0" w:color="auto"/>
        <w:bottom w:val="none" w:sz="0" w:space="0" w:color="auto"/>
        <w:right w:val="none" w:sz="0" w:space="0" w:color="auto"/>
      </w:divBdr>
    </w:div>
    <w:div w:id="970206254">
      <w:bodyDiv w:val="1"/>
      <w:marLeft w:val="0"/>
      <w:marRight w:val="0"/>
      <w:marTop w:val="0"/>
      <w:marBottom w:val="0"/>
      <w:divBdr>
        <w:top w:val="none" w:sz="0" w:space="0" w:color="auto"/>
        <w:left w:val="none" w:sz="0" w:space="0" w:color="auto"/>
        <w:bottom w:val="none" w:sz="0" w:space="0" w:color="auto"/>
        <w:right w:val="none" w:sz="0" w:space="0" w:color="auto"/>
      </w:divBdr>
    </w:div>
    <w:div w:id="970209494">
      <w:bodyDiv w:val="1"/>
      <w:marLeft w:val="0"/>
      <w:marRight w:val="0"/>
      <w:marTop w:val="0"/>
      <w:marBottom w:val="0"/>
      <w:divBdr>
        <w:top w:val="none" w:sz="0" w:space="0" w:color="auto"/>
        <w:left w:val="none" w:sz="0" w:space="0" w:color="auto"/>
        <w:bottom w:val="none" w:sz="0" w:space="0" w:color="auto"/>
        <w:right w:val="none" w:sz="0" w:space="0" w:color="auto"/>
      </w:divBdr>
    </w:div>
    <w:div w:id="970286458">
      <w:bodyDiv w:val="1"/>
      <w:marLeft w:val="0"/>
      <w:marRight w:val="0"/>
      <w:marTop w:val="0"/>
      <w:marBottom w:val="0"/>
      <w:divBdr>
        <w:top w:val="none" w:sz="0" w:space="0" w:color="auto"/>
        <w:left w:val="none" w:sz="0" w:space="0" w:color="auto"/>
        <w:bottom w:val="none" w:sz="0" w:space="0" w:color="auto"/>
        <w:right w:val="none" w:sz="0" w:space="0" w:color="auto"/>
      </w:divBdr>
    </w:div>
    <w:div w:id="970477074">
      <w:bodyDiv w:val="1"/>
      <w:marLeft w:val="0"/>
      <w:marRight w:val="0"/>
      <w:marTop w:val="0"/>
      <w:marBottom w:val="0"/>
      <w:divBdr>
        <w:top w:val="none" w:sz="0" w:space="0" w:color="auto"/>
        <w:left w:val="none" w:sz="0" w:space="0" w:color="auto"/>
        <w:bottom w:val="none" w:sz="0" w:space="0" w:color="auto"/>
        <w:right w:val="none" w:sz="0" w:space="0" w:color="auto"/>
      </w:divBdr>
    </w:div>
    <w:div w:id="970483138">
      <w:bodyDiv w:val="1"/>
      <w:marLeft w:val="0"/>
      <w:marRight w:val="0"/>
      <w:marTop w:val="0"/>
      <w:marBottom w:val="0"/>
      <w:divBdr>
        <w:top w:val="none" w:sz="0" w:space="0" w:color="auto"/>
        <w:left w:val="none" w:sz="0" w:space="0" w:color="auto"/>
        <w:bottom w:val="none" w:sz="0" w:space="0" w:color="auto"/>
        <w:right w:val="none" w:sz="0" w:space="0" w:color="auto"/>
      </w:divBdr>
    </w:div>
    <w:div w:id="970666910">
      <w:bodyDiv w:val="1"/>
      <w:marLeft w:val="0"/>
      <w:marRight w:val="0"/>
      <w:marTop w:val="0"/>
      <w:marBottom w:val="0"/>
      <w:divBdr>
        <w:top w:val="none" w:sz="0" w:space="0" w:color="auto"/>
        <w:left w:val="none" w:sz="0" w:space="0" w:color="auto"/>
        <w:bottom w:val="none" w:sz="0" w:space="0" w:color="auto"/>
        <w:right w:val="none" w:sz="0" w:space="0" w:color="auto"/>
      </w:divBdr>
    </w:div>
    <w:div w:id="970860704">
      <w:bodyDiv w:val="1"/>
      <w:marLeft w:val="0"/>
      <w:marRight w:val="0"/>
      <w:marTop w:val="0"/>
      <w:marBottom w:val="0"/>
      <w:divBdr>
        <w:top w:val="none" w:sz="0" w:space="0" w:color="auto"/>
        <w:left w:val="none" w:sz="0" w:space="0" w:color="auto"/>
        <w:bottom w:val="none" w:sz="0" w:space="0" w:color="auto"/>
        <w:right w:val="none" w:sz="0" w:space="0" w:color="auto"/>
      </w:divBdr>
    </w:div>
    <w:div w:id="970861296">
      <w:bodyDiv w:val="1"/>
      <w:marLeft w:val="0"/>
      <w:marRight w:val="0"/>
      <w:marTop w:val="0"/>
      <w:marBottom w:val="0"/>
      <w:divBdr>
        <w:top w:val="none" w:sz="0" w:space="0" w:color="auto"/>
        <w:left w:val="none" w:sz="0" w:space="0" w:color="auto"/>
        <w:bottom w:val="none" w:sz="0" w:space="0" w:color="auto"/>
        <w:right w:val="none" w:sz="0" w:space="0" w:color="auto"/>
      </w:divBdr>
    </w:div>
    <w:div w:id="970935509">
      <w:bodyDiv w:val="1"/>
      <w:marLeft w:val="0"/>
      <w:marRight w:val="0"/>
      <w:marTop w:val="0"/>
      <w:marBottom w:val="0"/>
      <w:divBdr>
        <w:top w:val="none" w:sz="0" w:space="0" w:color="auto"/>
        <w:left w:val="none" w:sz="0" w:space="0" w:color="auto"/>
        <w:bottom w:val="none" w:sz="0" w:space="0" w:color="auto"/>
        <w:right w:val="none" w:sz="0" w:space="0" w:color="auto"/>
      </w:divBdr>
    </w:div>
    <w:div w:id="970939376">
      <w:bodyDiv w:val="1"/>
      <w:marLeft w:val="0"/>
      <w:marRight w:val="0"/>
      <w:marTop w:val="0"/>
      <w:marBottom w:val="0"/>
      <w:divBdr>
        <w:top w:val="none" w:sz="0" w:space="0" w:color="auto"/>
        <w:left w:val="none" w:sz="0" w:space="0" w:color="auto"/>
        <w:bottom w:val="none" w:sz="0" w:space="0" w:color="auto"/>
        <w:right w:val="none" w:sz="0" w:space="0" w:color="auto"/>
      </w:divBdr>
    </w:div>
    <w:div w:id="971014087">
      <w:bodyDiv w:val="1"/>
      <w:marLeft w:val="0"/>
      <w:marRight w:val="0"/>
      <w:marTop w:val="0"/>
      <w:marBottom w:val="0"/>
      <w:divBdr>
        <w:top w:val="none" w:sz="0" w:space="0" w:color="auto"/>
        <w:left w:val="none" w:sz="0" w:space="0" w:color="auto"/>
        <w:bottom w:val="none" w:sz="0" w:space="0" w:color="auto"/>
        <w:right w:val="none" w:sz="0" w:space="0" w:color="auto"/>
      </w:divBdr>
    </w:div>
    <w:div w:id="971179576">
      <w:bodyDiv w:val="1"/>
      <w:marLeft w:val="0"/>
      <w:marRight w:val="0"/>
      <w:marTop w:val="0"/>
      <w:marBottom w:val="0"/>
      <w:divBdr>
        <w:top w:val="none" w:sz="0" w:space="0" w:color="auto"/>
        <w:left w:val="none" w:sz="0" w:space="0" w:color="auto"/>
        <w:bottom w:val="none" w:sz="0" w:space="0" w:color="auto"/>
        <w:right w:val="none" w:sz="0" w:space="0" w:color="auto"/>
      </w:divBdr>
    </w:div>
    <w:div w:id="971180045">
      <w:bodyDiv w:val="1"/>
      <w:marLeft w:val="0"/>
      <w:marRight w:val="0"/>
      <w:marTop w:val="0"/>
      <w:marBottom w:val="0"/>
      <w:divBdr>
        <w:top w:val="none" w:sz="0" w:space="0" w:color="auto"/>
        <w:left w:val="none" w:sz="0" w:space="0" w:color="auto"/>
        <w:bottom w:val="none" w:sz="0" w:space="0" w:color="auto"/>
        <w:right w:val="none" w:sz="0" w:space="0" w:color="auto"/>
      </w:divBdr>
    </w:div>
    <w:div w:id="971206420">
      <w:bodyDiv w:val="1"/>
      <w:marLeft w:val="0"/>
      <w:marRight w:val="0"/>
      <w:marTop w:val="0"/>
      <w:marBottom w:val="0"/>
      <w:divBdr>
        <w:top w:val="none" w:sz="0" w:space="0" w:color="auto"/>
        <w:left w:val="none" w:sz="0" w:space="0" w:color="auto"/>
        <w:bottom w:val="none" w:sz="0" w:space="0" w:color="auto"/>
        <w:right w:val="none" w:sz="0" w:space="0" w:color="auto"/>
      </w:divBdr>
    </w:div>
    <w:div w:id="971206465">
      <w:bodyDiv w:val="1"/>
      <w:marLeft w:val="0"/>
      <w:marRight w:val="0"/>
      <w:marTop w:val="0"/>
      <w:marBottom w:val="0"/>
      <w:divBdr>
        <w:top w:val="none" w:sz="0" w:space="0" w:color="auto"/>
        <w:left w:val="none" w:sz="0" w:space="0" w:color="auto"/>
        <w:bottom w:val="none" w:sz="0" w:space="0" w:color="auto"/>
        <w:right w:val="none" w:sz="0" w:space="0" w:color="auto"/>
      </w:divBdr>
    </w:div>
    <w:div w:id="971255624">
      <w:bodyDiv w:val="1"/>
      <w:marLeft w:val="0"/>
      <w:marRight w:val="0"/>
      <w:marTop w:val="0"/>
      <w:marBottom w:val="0"/>
      <w:divBdr>
        <w:top w:val="none" w:sz="0" w:space="0" w:color="auto"/>
        <w:left w:val="none" w:sz="0" w:space="0" w:color="auto"/>
        <w:bottom w:val="none" w:sz="0" w:space="0" w:color="auto"/>
        <w:right w:val="none" w:sz="0" w:space="0" w:color="auto"/>
      </w:divBdr>
    </w:div>
    <w:div w:id="971326805">
      <w:bodyDiv w:val="1"/>
      <w:marLeft w:val="0"/>
      <w:marRight w:val="0"/>
      <w:marTop w:val="0"/>
      <w:marBottom w:val="0"/>
      <w:divBdr>
        <w:top w:val="none" w:sz="0" w:space="0" w:color="auto"/>
        <w:left w:val="none" w:sz="0" w:space="0" w:color="auto"/>
        <w:bottom w:val="none" w:sz="0" w:space="0" w:color="auto"/>
        <w:right w:val="none" w:sz="0" w:space="0" w:color="auto"/>
      </w:divBdr>
    </w:div>
    <w:div w:id="971329496">
      <w:bodyDiv w:val="1"/>
      <w:marLeft w:val="0"/>
      <w:marRight w:val="0"/>
      <w:marTop w:val="0"/>
      <w:marBottom w:val="0"/>
      <w:divBdr>
        <w:top w:val="none" w:sz="0" w:space="0" w:color="auto"/>
        <w:left w:val="none" w:sz="0" w:space="0" w:color="auto"/>
        <w:bottom w:val="none" w:sz="0" w:space="0" w:color="auto"/>
        <w:right w:val="none" w:sz="0" w:space="0" w:color="auto"/>
      </w:divBdr>
    </w:div>
    <w:div w:id="971667709">
      <w:bodyDiv w:val="1"/>
      <w:marLeft w:val="0"/>
      <w:marRight w:val="0"/>
      <w:marTop w:val="0"/>
      <w:marBottom w:val="0"/>
      <w:divBdr>
        <w:top w:val="none" w:sz="0" w:space="0" w:color="auto"/>
        <w:left w:val="none" w:sz="0" w:space="0" w:color="auto"/>
        <w:bottom w:val="none" w:sz="0" w:space="0" w:color="auto"/>
        <w:right w:val="none" w:sz="0" w:space="0" w:color="auto"/>
      </w:divBdr>
    </w:div>
    <w:div w:id="971790153">
      <w:bodyDiv w:val="1"/>
      <w:marLeft w:val="0"/>
      <w:marRight w:val="0"/>
      <w:marTop w:val="0"/>
      <w:marBottom w:val="0"/>
      <w:divBdr>
        <w:top w:val="none" w:sz="0" w:space="0" w:color="auto"/>
        <w:left w:val="none" w:sz="0" w:space="0" w:color="auto"/>
        <w:bottom w:val="none" w:sz="0" w:space="0" w:color="auto"/>
        <w:right w:val="none" w:sz="0" w:space="0" w:color="auto"/>
      </w:divBdr>
    </w:div>
    <w:div w:id="971861652">
      <w:bodyDiv w:val="1"/>
      <w:marLeft w:val="0"/>
      <w:marRight w:val="0"/>
      <w:marTop w:val="0"/>
      <w:marBottom w:val="0"/>
      <w:divBdr>
        <w:top w:val="none" w:sz="0" w:space="0" w:color="auto"/>
        <w:left w:val="none" w:sz="0" w:space="0" w:color="auto"/>
        <w:bottom w:val="none" w:sz="0" w:space="0" w:color="auto"/>
        <w:right w:val="none" w:sz="0" w:space="0" w:color="auto"/>
      </w:divBdr>
    </w:div>
    <w:div w:id="971978329">
      <w:bodyDiv w:val="1"/>
      <w:marLeft w:val="0"/>
      <w:marRight w:val="0"/>
      <w:marTop w:val="0"/>
      <w:marBottom w:val="0"/>
      <w:divBdr>
        <w:top w:val="none" w:sz="0" w:space="0" w:color="auto"/>
        <w:left w:val="none" w:sz="0" w:space="0" w:color="auto"/>
        <w:bottom w:val="none" w:sz="0" w:space="0" w:color="auto"/>
        <w:right w:val="none" w:sz="0" w:space="0" w:color="auto"/>
      </w:divBdr>
    </w:div>
    <w:div w:id="971978947">
      <w:bodyDiv w:val="1"/>
      <w:marLeft w:val="0"/>
      <w:marRight w:val="0"/>
      <w:marTop w:val="0"/>
      <w:marBottom w:val="0"/>
      <w:divBdr>
        <w:top w:val="none" w:sz="0" w:space="0" w:color="auto"/>
        <w:left w:val="none" w:sz="0" w:space="0" w:color="auto"/>
        <w:bottom w:val="none" w:sz="0" w:space="0" w:color="auto"/>
        <w:right w:val="none" w:sz="0" w:space="0" w:color="auto"/>
      </w:divBdr>
    </w:div>
    <w:div w:id="972054335">
      <w:bodyDiv w:val="1"/>
      <w:marLeft w:val="0"/>
      <w:marRight w:val="0"/>
      <w:marTop w:val="0"/>
      <w:marBottom w:val="0"/>
      <w:divBdr>
        <w:top w:val="none" w:sz="0" w:space="0" w:color="auto"/>
        <w:left w:val="none" w:sz="0" w:space="0" w:color="auto"/>
        <w:bottom w:val="none" w:sz="0" w:space="0" w:color="auto"/>
        <w:right w:val="none" w:sz="0" w:space="0" w:color="auto"/>
      </w:divBdr>
    </w:div>
    <w:div w:id="972057856">
      <w:bodyDiv w:val="1"/>
      <w:marLeft w:val="0"/>
      <w:marRight w:val="0"/>
      <w:marTop w:val="0"/>
      <w:marBottom w:val="0"/>
      <w:divBdr>
        <w:top w:val="none" w:sz="0" w:space="0" w:color="auto"/>
        <w:left w:val="none" w:sz="0" w:space="0" w:color="auto"/>
        <w:bottom w:val="none" w:sz="0" w:space="0" w:color="auto"/>
        <w:right w:val="none" w:sz="0" w:space="0" w:color="auto"/>
      </w:divBdr>
    </w:div>
    <w:div w:id="972060051">
      <w:bodyDiv w:val="1"/>
      <w:marLeft w:val="0"/>
      <w:marRight w:val="0"/>
      <w:marTop w:val="0"/>
      <w:marBottom w:val="0"/>
      <w:divBdr>
        <w:top w:val="none" w:sz="0" w:space="0" w:color="auto"/>
        <w:left w:val="none" w:sz="0" w:space="0" w:color="auto"/>
        <w:bottom w:val="none" w:sz="0" w:space="0" w:color="auto"/>
        <w:right w:val="none" w:sz="0" w:space="0" w:color="auto"/>
      </w:divBdr>
    </w:div>
    <w:div w:id="972100488">
      <w:bodyDiv w:val="1"/>
      <w:marLeft w:val="0"/>
      <w:marRight w:val="0"/>
      <w:marTop w:val="0"/>
      <w:marBottom w:val="0"/>
      <w:divBdr>
        <w:top w:val="none" w:sz="0" w:space="0" w:color="auto"/>
        <w:left w:val="none" w:sz="0" w:space="0" w:color="auto"/>
        <w:bottom w:val="none" w:sz="0" w:space="0" w:color="auto"/>
        <w:right w:val="none" w:sz="0" w:space="0" w:color="auto"/>
      </w:divBdr>
    </w:div>
    <w:div w:id="972255257">
      <w:bodyDiv w:val="1"/>
      <w:marLeft w:val="0"/>
      <w:marRight w:val="0"/>
      <w:marTop w:val="0"/>
      <w:marBottom w:val="0"/>
      <w:divBdr>
        <w:top w:val="none" w:sz="0" w:space="0" w:color="auto"/>
        <w:left w:val="none" w:sz="0" w:space="0" w:color="auto"/>
        <w:bottom w:val="none" w:sz="0" w:space="0" w:color="auto"/>
        <w:right w:val="none" w:sz="0" w:space="0" w:color="auto"/>
      </w:divBdr>
    </w:div>
    <w:div w:id="972297750">
      <w:bodyDiv w:val="1"/>
      <w:marLeft w:val="0"/>
      <w:marRight w:val="0"/>
      <w:marTop w:val="0"/>
      <w:marBottom w:val="0"/>
      <w:divBdr>
        <w:top w:val="none" w:sz="0" w:space="0" w:color="auto"/>
        <w:left w:val="none" w:sz="0" w:space="0" w:color="auto"/>
        <w:bottom w:val="none" w:sz="0" w:space="0" w:color="auto"/>
        <w:right w:val="none" w:sz="0" w:space="0" w:color="auto"/>
      </w:divBdr>
    </w:div>
    <w:div w:id="972632865">
      <w:bodyDiv w:val="1"/>
      <w:marLeft w:val="0"/>
      <w:marRight w:val="0"/>
      <w:marTop w:val="0"/>
      <w:marBottom w:val="0"/>
      <w:divBdr>
        <w:top w:val="none" w:sz="0" w:space="0" w:color="auto"/>
        <w:left w:val="none" w:sz="0" w:space="0" w:color="auto"/>
        <w:bottom w:val="none" w:sz="0" w:space="0" w:color="auto"/>
        <w:right w:val="none" w:sz="0" w:space="0" w:color="auto"/>
      </w:divBdr>
    </w:div>
    <w:div w:id="972709339">
      <w:bodyDiv w:val="1"/>
      <w:marLeft w:val="0"/>
      <w:marRight w:val="0"/>
      <w:marTop w:val="0"/>
      <w:marBottom w:val="0"/>
      <w:divBdr>
        <w:top w:val="none" w:sz="0" w:space="0" w:color="auto"/>
        <w:left w:val="none" w:sz="0" w:space="0" w:color="auto"/>
        <w:bottom w:val="none" w:sz="0" w:space="0" w:color="auto"/>
        <w:right w:val="none" w:sz="0" w:space="0" w:color="auto"/>
      </w:divBdr>
    </w:div>
    <w:div w:id="972710232">
      <w:bodyDiv w:val="1"/>
      <w:marLeft w:val="0"/>
      <w:marRight w:val="0"/>
      <w:marTop w:val="0"/>
      <w:marBottom w:val="0"/>
      <w:divBdr>
        <w:top w:val="none" w:sz="0" w:space="0" w:color="auto"/>
        <w:left w:val="none" w:sz="0" w:space="0" w:color="auto"/>
        <w:bottom w:val="none" w:sz="0" w:space="0" w:color="auto"/>
        <w:right w:val="none" w:sz="0" w:space="0" w:color="auto"/>
      </w:divBdr>
    </w:div>
    <w:div w:id="972751334">
      <w:bodyDiv w:val="1"/>
      <w:marLeft w:val="0"/>
      <w:marRight w:val="0"/>
      <w:marTop w:val="0"/>
      <w:marBottom w:val="0"/>
      <w:divBdr>
        <w:top w:val="none" w:sz="0" w:space="0" w:color="auto"/>
        <w:left w:val="none" w:sz="0" w:space="0" w:color="auto"/>
        <w:bottom w:val="none" w:sz="0" w:space="0" w:color="auto"/>
        <w:right w:val="none" w:sz="0" w:space="0" w:color="auto"/>
      </w:divBdr>
    </w:div>
    <w:div w:id="972751823">
      <w:bodyDiv w:val="1"/>
      <w:marLeft w:val="0"/>
      <w:marRight w:val="0"/>
      <w:marTop w:val="0"/>
      <w:marBottom w:val="0"/>
      <w:divBdr>
        <w:top w:val="none" w:sz="0" w:space="0" w:color="auto"/>
        <w:left w:val="none" w:sz="0" w:space="0" w:color="auto"/>
        <w:bottom w:val="none" w:sz="0" w:space="0" w:color="auto"/>
        <w:right w:val="none" w:sz="0" w:space="0" w:color="auto"/>
      </w:divBdr>
    </w:div>
    <w:div w:id="973028081">
      <w:bodyDiv w:val="1"/>
      <w:marLeft w:val="0"/>
      <w:marRight w:val="0"/>
      <w:marTop w:val="0"/>
      <w:marBottom w:val="0"/>
      <w:divBdr>
        <w:top w:val="none" w:sz="0" w:space="0" w:color="auto"/>
        <w:left w:val="none" w:sz="0" w:space="0" w:color="auto"/>
        <w:bottom w:val="none" w:sz="0" w:space="0" w:color="auto"/>
        <w:right w:val="none" w:sz="0" w:space="0" w:color="auto"/>
      </w:divBdr>
    </w:div>
    <w:div w:id="973102680">
      <w:bodyDiv w:val="1"/>
      <w:marLeft w:val="0"/>
      <w:marRight w:val="0"/>
      <w:marTop w:val="0"/>
      <w:marBottom w:val="0"/>
      <w:divBdr>
        <w:top w:val="none" w:sz="0" w:space="0" w:color="auto"/>
        <w:left w:val="none" w:sz="0" w:space="0" w:color="auto"/>
        <w:bottom w:val="none" w:sz="0" w:space="0" w:color="auto"/>
        <w:right w:val="none" w:sz="0" w:space="0" w:color="auto"/>
      </w:divBdr>
    </w:div>
    <w:div w:id="973175180">
      <w:bodyDiv w:val="1"/>
      <w:marLeft w:val="0"/>
      <w:marRight w:val="0"/>
      <w:marTop w:val="0"/>
      <w:marBottom w:val="0"/>
      <w:divBdr>
        <w:top w:val="none" w:sz="0" w:space="0" w:color="auto"/>
        <w:left w:val="none" w:sz="0" w:space="0" w:color="auto"/>
        <w:bottom w:val="none" w:sz="0" w:space="0" w:color="auto"/>
        <w:right w:val="none" w:sz="0" w:space="0" w:color="auto"/>
      </w:divBdr>
    </w:div>
    <w:div w:id="973220671">
      <w:bodyDiv w:val="1"/>
      <w:marLeft w:val="0"/>
      <w:marRight w:val="0"/>
      <w:marTop w:val="0"/>
      <w:marBottom w:val="0"/>
      <w:divBdr>
        <w:top w:val="none" w:sz="0" w:space="0" w:color="auto"/>
        <w:left w:val="none" w:sz="0" w:space="0" w:color="auto"/>
        <w:bottom w:val="none" w:sz="0" w:space="0" w:color="auto"/>
        <w:right w:val="none" w:sz="0" w:space="0" w:color="auto"/>
      </w:divBdr>
    </w:div>
    <w:div w:id="973220809">
      <w:bodyDiv w:val="1"/>
      <w:marLeft w:val="0"/>
      <w:marRight w:val="0"/>
      <w:marTop w:val="0"/>
      <w:marBottom w:val="0"/>
      <w:divBdr>
        <w:top w:val="none" w:sz="0" w:space="0" w:color="auto"/>
        <w:left w:val="none" w:sz="0" w:space="0" w:color="auto"/>
        <w:bottom w:val="none" w:sz="0" w:space="0" w:color="auto"/>
        <w:right w:val="none" w:sz="0" w:space="0" w:color="auto"/>
      </w:divBdr>
    </w:div>
    <w:div w:id="973294373">
      <w:bodyDiv w:val="1"/>
      <w:marLeft w:val="0"/>
      <w:marRight w:val="0"/>
      <w:marTop w:val="0"/>
      <w:marBottom w:val="0"/>
      <w:divBdr>
        <w:top w:val="none" w:sz="0" w:space="0" w:color="auto"/>
        <w:left w:val="none" w:sz="0" w:space="0" w:color="auto"/>
        <w:bottom w:val="none" w:sz="0" w:space="0" w:color="auto"/>
        <w:right w:val="none" w:sz="0" w:space="0" w:color="auto"/>
      </w:divBdr>
    </w:div>
    <w:div w:id="973296265">
      <w:bodyDiv w:val="1"/>
      <w:marLeft w:val="0"/>
      <w:marRight w:val="0"/>
      <w:marTop w:val="0"/>
      <w:marBottom w:val="0"/>
      <w:divBdr>
        <w:top w:val="none" w:sz="0" w:space="0" w:color="auto"/>
        <w:left w:val="none" w:sz="0" w:space="0" w:color="auto"/>
        <w:bottom w:val="none" w:sz="0" w:space="0" w:color="auto"/>
        <w:right w:val="none" w:sz="0" w:space="0" w:color="auto"/>
      </w:divBdr>
    </w:div>
    <w:div w:id="973365819">
      <w:bodyDiv w:val="1"/>
      <w:marLeft w:val="0"/>
      <w:marRight w:val="0"/>
      <w:marTop w:val="0"/>
      <w:marBottom w:val="0"/>
      <w:divBdr>
        <w:top w:val="none" w:sz="0" w:space="0" w:color="auto"/>
        <w:left w:val="none" w:sz="0" w:space="0" w:color="auto"/>
        <w:bottom w:val="none" w:sz="0" w:space="0" w:color="auto"/>
        <w:right w:val="none" w:sz="0" w:space="0" w:color="auto"/>
      </w:divBdr>
    </w:div>
    <w:div w:id="973606562">
      <w:bodyDiv w:val="1"/>
      <w:marLeft w:val="0"/>
      <w:marRight w:val="0"/>
      <w:marTop w:val="0"/>
      <w:marBottom w:val="0"/>
      <w:divBdr>
        <w:top w:val="none" w:sz="0" w:space="0" w:color="auto"/>
        <w:left w:val="none" w:sz="0" w:space="0" w:color="auto"/>
        <w:bottom w:val="none" w:sz="0" w:space="0" w:color="auto"/>
        <w:right w:val="none" w:sz="0" w:space="0" w:color="auto"/>
      </w:divBdr>
    </w:div>
    <w:div w:id="973683224">
      <w:bodyDiv w:val="1"/>
      <w:marLeft w:val="0"/>
      <w:marRight w:val="0"/>
      <w:marTop w:val="0"/>
      <w:marBottom w:val="0"/>
      <w:divBdr>
        <w:top w:val="none" w:sz="0" w:space="0" w:color="auto"/>
        <w:left w:val="none" w:sz="0" w:space="0" w:color="auto"/>
        <w:bottom w:val="none" w:sz="0" w:space="0" w:color="auto"/>
        <w:right w:val="none" w:sz="0" w:space="0" w:color="auto"/>
      </w:divBdr>
    </w:div>
    <w:div w:id="973801098">
      <w:bodyDiv w:val="1"/>
      <w:marLeft w:val="0"/>
      <w:marRight w:val="0"/>
      <w:marTop w:val="0"/>
      <w:marBottom w:val="0"/>
      <w:divBdr>
        <w:top w:val="none" w:sz="0" w:space="0" w:color="auto"/>
        <w:left w:val="none" w:sz="0" w:space="0" w:color="auto"/>
        <w:bottom w:val="none" w:sz="0" w:space="0" w:color="auto"/>
        <w:right w:val="none" w:sz="0" w:space="0" w:color="auto"/>
      </w:divBdr>
    </w:div>
    <w:div w:id="973829072">
      <w:bodyDiv w:val="1"/>
      <w:marLeft w:val="0"/>
      <w:marRight w:val="0"/>
      <w:marTop w:val="0"/>
      <w:marBottom w:val="0"/>
      <w:divBdr>
        <w:top w:val="none" w:sz="0" w:space="0" w:color="auto"/>
        <w:left w:val="none" w:sz="0" w:space="0" w:color="auto"/>
        <w:bottom w:val="none" w:sz="0" w:space="0" w:color="auto"/>
        <w:right w:val="none" w:sz="0" w:space="0" w:color="auto"/>
      </w:divBdr>
    </w:div>
    <w:div w:id="973830381">
      <w:bodyDiv w:val="1"/>
      <w:marLeft w:val="0"/>
      <w:marRight w:val="0"/>
      <w:marTop w:val="0"/>
      <w:marBottom w:val="0"/>
      <w:divBdr>
        <w:top w:val="none" w:sz="0" w:space="0" w:color="auto"/>
        <w:left w:val="none" w:sz="0" w:space="0" w:color="auto"/>
        <w:bottom w:val="none" w:sz="0" w:space="0" w:color="auto"/>
        <w:right w:val="none" w:sz="0" w:space="0" w:color="auto"/>
      </w:divBdr>
    </w:div>
    <w:div w:id="973874134">
      <w:bodyDiv w:val="1"/>
      <w:marLeft w:val="0"/>
      <w:marRight w:val="0"/>
      <w:marTop w:val="0"/>
      <w:marBottom w:val="0"/>
      <w:divBdr>
        <w:top w:val="none" w:sz="0" w:space="0" w:color="auto"/>
        <w:left w:val="none" w:sz="0" w:space="0" w:color="auto"/>
        <w:bottom w:val="none" w:sz="0" w:space="0" w:color="auto"/>
        <w:right w:val="none" w:sz="0" w:space="0" w:color="auto"/>
      </w:divBdr>
    </w:div>
    <w:div w:id="974022672">
      <w:bodyDiv w:val="1"/>
      <w:marLeft w:val="0"/>
      <w:marRight w:val="0"/>
      <w:marTop w:val="0"/>
      <w:marBottom w:val="0"/>
      <w:divBdr>
        <w:top w:val="none" w:sz="0" w:space="0" w:color="auto"/>
        <w:left w:val="none" w:sz="0" w:space="0" w:color="auto"/>
        <w:bottom w:val="none" w:sz="0" w:space="0" w:color="auto"/>
        <w:right w:val="none" w:sz="0" w:space="0" w:color="auto"/>
      </w:divBdr>
    </w:div>
    <w:div w:id="974065915">
      <w:bodyDiv w:val="1"/>
      <w:marLeft w:val="0"/>
      <w:marRight w:val="0"/>
      <w:marTop w:val="0"/>
      <w:marBottom w:val="0"/>
      <w:divBdr>
        <w:top w:val="none" w:sz="0" w:space="0" w:color="auto"/>
        <w:left w:val="none" w:sz="0" w:space="0" w:color="auto"/>
        <w:bottom w:val="none" w:sz="0" w:space="0" w:color="auto"/>
        <w:right w:val="none" w:sz="0" w:space="0" w:color="auto"/>
      </w:divBdr>
    </w:div>
    <w:div w:id="974066201">
      <w:bodyDiv w:val="1"/>
      <w:marLeft w:val="0"/>
      <w:marRight w:val="0"/>
      <w:marTop w:val="0"/>
      <w:marBottom w:val="0"/>
      <w:divBdr>
        <w:top w:val="none" w:sz="0" w:space="0" w:color="auto"/>
        <w:left w:val="none" w:sz="0" w:space="0" w:color="auto"/>
        <w:bottom w:val="none" w:sz="0" w:space="0" w:color="auto"/>
        <w:right w:val="none" w:sz="0" w:space="0" w:color="auto"/>
      </w:divBdr>
    </w:div>
    <w:div w:id="974139517">
      <w:bodyDiv w:val="1"/>
      <w:marLeft w:val="0"/>
      <w:marRight w:val="0"/>
      <w:marTop w:val="0"/>
      <w:marBottom w:val="0"/>
      <w:divBdr>
        <w:top w:val="none" w:sz="0" w:space="0" w:color="auto"/>
        <w:left w:val="none" w:sz="0" w:space="0" w:color="auto"/>
        <w:bottom w:val="none" w:sz="0" w:space="0" w:color="auto"/>
        <w:right w:val="none" w:sz="0" w:space="0" w:color="auto"/>
      </w:divBdr>
    </w:div>
    <w:div w:id="974213534">
      <w:bodyDiv w:val="1"/>
      <w:marLeft w:val="0"/>
      <w:marRight w:val="0"/>
      <w:marTop w:val="0"/>
      <w:marBottom w:val="0"/>
      <w:divBdr>
        <w:top w:val="none" w:sz="0" w:space="0" w:color="auto"/>
        <w:left w:val="none" w:sz="0" w:space="0" w:color="auto"/>
        <w:bottom w:val="none" w:sz="0" w:space="0" w:color="auto"/>
        <w:right w:val="none" w:sz="0" w:space="0" w:color="auto"/>
      </w:divBdr>
    </w:div>
    <w:div w:id="974259544">
      <w:bodyDiv w:val="1"/>
      <w:marLeft w:val="0"/>
      <w:marRight w:val="0"/>
      <w:marTop w:val="0"/>
      <w:marBottom w:val="0"/>
      <w:divBdr>
        <w:top w:val="none" w:sz="0" w:space="0" w:color="auto"/>
        <w:left w:val="none" w:sz="0" w:space="0" w:color="auto"/>
        <w:bottom w:val="none" w:sz="0" w:space="0" w:color="auto"/>
        <w:right w:val="none" w:sz="0" w:space="0" w:color="auto"/>
      </w:divBdr>
    </w:div>
    <w:div w:id="974409626">
      <w:bodyDiv w:val="1"/>
      <w:marLeft w:val="0"/>
      <w:marRight w:val="0"/>
      <w:marTop w:val="0"/>
      <w:marBottom w:val="0"/>
      <w:divBdr>
        <w:top w:val="none" w:sz="0" w:space="0" w:color="auto"/>
        <w:left w:val="none" w:sz="0" w:space="0" w:color="auto"/>
        <w:bottom w:val="none" w:sz="0" w:space="0" w:color="auto"/>
        <w:right w:val="none" w:sz="0" w:space="0" w:color="auto"/>
      </w:divBdr>
    </w:div>
    <w:div w:id="974531694">
      <w:bodyDiv w:val="1"/>
      <w:marLeft w:val="0"/>
      <w:marRight w:val="0"/>
      <w:marTop w:val="0"/>
      <w:marBottom w:val="0"/>
      <w:divBdr>
        <w:top w:val="none" w:sz="0" w:space="0" w:color="auto"/>
        <w:left w:val="none" w:sz="0" w:space="0" w:color="auto"/>
        <w:bottom w:val="none" w:sz="0" w:space="0" w:color="auto"/>
        <w:right w:val="none" w:sz="0" w:space="0" w:color="auto"/>
      </w:divBdr>
    </w:div>
    <w:div w:id="974605961">
      <w:bodyDiv w:val="1"/>
      <w:marLeft w:val="0"/>
      <w:marRight w:val="0"/>
      <w:marTop w:val="0"/>
      <w:marBottom w:val="0"/>
      <w:divBdr>
        <w:top w:val="none" w:sz="0" w:space="0" w:color="auto"/>
        <w:left w:val="none" w:sz="0" w:space="0" w:color="auto"/>
        <w:bottom w:val="none" w:sz="0" w:space="0" w:color="auto"/>
        <w:right w:val="none" w:sz="0" w:space="0" w:color="auto"/>
      </w:divBdr>
    </w:div>
    <w:div w:id="974675601">
      <w:bodyDiv w:val="1"/>
      <w:marLeft w:val="0"/>
      <w:marRight w:val="0"/>
      <w:marTop w:val="0"/>
      <w:marBottom w:val="0"/>
      <w:divBdr>
        <w:top w:val="none" w:sz="0" w:space="0" w:color="auto"/>
        <w:left w:val="none" w:sz="0" w:space="0" w:color="auto"/>
        <w:bottom w:val="none" w:sz="0" w:space="0" w:color="auto"/>
        <w:right w:val="none" w:sz="0" w:space="0" w:color="auto"/>
      </w:divBdr>
    </w:div>
    <w:div w:id="974676265">
      <w:bodyDiv w:val="1"/>
      <w:marLeft w:val="0"/>
      <w:marRight w:val="0"/>
      <w:marTop w:val="0"/>
      <w:marBottom w:val="0"/>
      <w:divBdr>
        <w:top w:val="none" w:sz="0" w:space="0" w:color="auto"/>
        <w:left w:val="none" w:sz="0" w:space="0" w:color="auto"/>
        <w:bottom w:val="none" w:sz="0" w:space="0" w:color="auto"/>
        <w:right w:val="none" w:sz="0" w:space="0" w:color="auto"/>
      </w:divBdr>
    </w:div>
    <w:div w:id="974677770">
      <w:bodyDiv w:val="1"/>
      <w:marLeft w:val="0"/>
      <w:marRight w:val="0"/>
      <w:marTop w:val="0"/>
      <w:marBottom w:val="0"/>
      <w:divBdr>
        <w:top w:val="none" w:sz="0" w:space="0" w:color="auto"/>
        <w:left w:val="none" w:sz="0" w:space="0" w:color="auto"/>
        <w:bottom w:val="none" w:sz="0" w:space="0" w:color="auto"/>
        <w:right w:val="none" w:sz="0" w:space="0" w:color="auto"/>
      </w:divBdr>
    </w:div>
    <w:div w:id="974678016">
      <w:bodyDiv w:val="1"/>
      <w:marLeft w:val="0"/>
      <w:marRight w:val="0"/>
      <w:marTop w:val="0"/>
      <w:marBottom w:val="0"/>
      <w:divBdr>
        <w:top w:val="none" w:sz="0" w:space="0" w:color="auto"/>
        <w:left w:val="none" w:sz="0" w:space="0" w:color="auto"/>
        <w:bottom w:val="none" w:sz="0" w:space="0" w:color="auto"/>
        <w:right w:val="none" w:sz="0" w:space="0" w:color="auto"/>
      </w:divBdr>
    </w:div>
    <w:div w:id="974719095">
      <w:bodyDiv w:val="1"/>
      <w:marLeft w:val="0"/>
      <w:marRight w:val="0"/>
      <w:marTop w:val="0"/>
      <w:marBottom w:val="0"/>
      <w:divBdr>
        <w:top w:val="none" w:sz="0" w:space="0" w:color="auto"/>
        <w:left w:val="none" w:sz="0" w:space="0" w:color="auto"/>
        <w:bottom w:val="none" w:sz="0" w:space="0" w:color="auto"/>
        <w:right w:val="none" w:sz="0" w:space="0" w:color="auto"/>
      </w:divBdr>
    </w:div>
    <w:div w:id="974868290">
      <w:bodyDiv w:val="1"/>
      <w:marLeft w:val="0"/>
      <w:marRight w:val="0"/>
      <w:marTop w:val="0"/>
      <w:marBottom w:val="0"/>
      <w:divBdr>
        <w:top w:val="none" w:sz="0" w:space="0" w:color="auto"/>
        <w:left w:val="none" w:sz="0" w:space="0" w:color="auto"/>
        <w:bottom w:val="none" w:sz="0" w:space="0" w:color="auto"/>
        <w:right w:val="none" w:sz="0" w:space="0" w:color="auto"/>
      </w:divBdr>
    </w:div>
    <w:div w:id="974874219">
      <w:bodyDiv w:val="1"/>
      <w:marLeft w:val="0"/>
      <w:marRight w:val="0"/>
      <w:marTop w:val="0"/>
      <w:marBottom w:val="0"/>
      <w:divBdr>
        <w:top w:val="none" w:sz="0" w:space="0" w:color="auto"/>
        <w:left w:val="none" w:sz="0" w:space="0" w:color="auto"/>
        <w:bottom w:val="none" w:sz="0" w:space="0" w:color="auto"/>
        <w:right w:val="none" w:sz="0" w:space="0" w:color="auto"/>
      </w:divBdr>
    </w:div>
    <w:div w:id="974914834">
      <w:bodyDiv w:val="1"/>
      <w:marLeft w:val="0"/>
      <w:marRight w:val="0"/>
      <w:marTop w:val="0"/>
      <w:marBottom w:val="0"/>
      <w:divBdr>
        <w:top w:val="none" w:sz="0" w:space="0" w:color="auto"/>
        <w:left w:val="none" w:sz="0" w:space="0" w:color="auto"/>
        <w:bottom w:val="none" w:sz="0" w:space="0" w:color="auto"/>
        <w:right w:val="none" w:sz="0" w:space="0" w:color="auto"/>
      </w:divBdr>
    </w:div>
    <w:div w:id="974990350">
      <w:bodyDiv w:val="1"/>
      <w:marLeft w:val="0"/>
      <w:marRight w:val="0"/>
      <w:marTop w:val="0"/>
      <w:marBottom w:val="0"/>
      <w:divBdr>
        <w:top w:val="none" w:sz="0" w:space="0" w:color="auto"/>
        <w:left w:val="none" w:sz="0" w:space="0" w:color="auto"/>
        <w:bottom w:val="none" w:sz="0" w:space="0" w:color="auto"/>
        <w:right w:val="none" w:sz="0" w:space="0" w:color="auto"/>
      </w:divBdr>
    </w:div>
    <w:div w:id="974991546">
      <w:bodyDiv w:val="1"/>
      <w:marLeft w:val="0"/>
      <w:marRight w:val="0"/>
      <w:marTop w:val="0"/>
      <w:marBottom w:val="0"/>
      <w:divBdr>
        <w:top w:val="none" w:sz="0" w:space="0" w:color="auto"/>
        <w:left w:val="none" w:sz="0" w:space="0" w:color="auto"/>
        <w:bottom w:val="none" w:sz="0" w:space="0" w:color="auto"/>
        <w:right w:val="none" w:sz="0" w:space="0" w:color="auto"/>
      </w:divBdr>
    </w:div>
    <w:div w:id="975111037">
      <w:bodyDiv w:val="1"/>
      <w:marLeft w:val="0"/>
      <w:marRight w:val="0"/>
      <w:marTop w:val="0"/>
      <w:marBottom w:val="0"/>
      <w:divBdr>
        <w:top w:val="none" w:sz="0" w:space="0" w:color="auto"/>
        <w:left w:val="none" w:sz="0" w:space="0" w:color="auto"/>
        <w:bottom w:val="none" w:sz="0" w:space="0" w:color="auto"/>
        <w:right w:val="none" w:sz="0" w:space="0" w:color="auto"/>
      </w:divBdr>
    </w:div>
    <w:div w:id="975137416">
      <w:bodyDiv w:val="1"/>
      <w:marLeft w:val="0"/>
      <w:marRight w:val="0"/>
      <w:marTop w:val="0"/>
      <w:marBottom w:val="0"/>
      <w:divBdr>
        <w:top w:val="none" w:sz="0" w:space="0" w:color="auto"/>
        <w:left w:val="none" w:sz="0" w:space="0" w:color="auto"/>
        <w:bottom w:val="none" w:sz="0" w:space="0" w:color="auto"/>
        <w:right w:val="none" w:sz="0" w:space="0" w:color="auto"/>
      </w:divBdr>
    </w:div>
    <w:div w:id="975259060">
      <w:bodyDiv w:val="1"/>
      <w:marLeft w:val="0"/>
      <w:marRight w:val="0"/>
      <w:marTop w:val="0"/>
      <w:marBottom w:val="0"/>
      <w:divBdr>
        <w:top w:val="none" w:sz="0" w:space="0" w:color="auto"/>
        <w:left w:val="none" w:sz="0" w:space="0" w:color="auto"/>
        <w:bottom w:val="none" w:sz="0" w:space="0" w:color="auto"/>
        <w:right w:val="none" w:sz="0" w:space="0" w:color="auto"/>
      </w:divBdr>
    </w:div>
    <w:div w:id="975263038">
      <w:bodyDiv w:val="1"/>
      <w:marLeft w:val="0"/>
      <w:marRight w:val="0"/>
      <w:marTop w:val="0"/>
      <w:marBottom w:val="0"/>
      <w:divBdr>
        <w:top w:val="none" w:sz="0" w:space="0" w:color="auto"/>
        <w:left w:val="none" w:sz="0" w:space="0" w:color="auto"/>
        <w:bottom w:val="none" w:sz="0" w:space="0" w:color="auto"/>
        <w:right w:val="none" w:sz="0" w:space="0" w:color="auto"/>
      </w:divBdr>
    </w:div>
    <w:div w:id="975374365">
      <w:bodyDiv w:val="1"/>
      <w:marLeft w:val="0"/>
      <w:marRight w:val="0"/>
      <w:marTop w:val="0"/>
      <w:marBottom w:val="0"/>
      <w:divBdr>
        <w:top w:val="none" w:sz="0" w:space="0" w:color="auto"/>
        <w:left w:val="none" w:sz="0" w:space="0" w:color="auto"/>
        <w:bottom w:val="none" w:sz="0" w:space="0" w:color="auto"/>
        <w:right w:val="none" w:sz="0" w:space="0" w:color="auto"/>
      </w:divBdr>
    </w:div>
    <w:div w:id="975378486">
      <w:bodyDiv w:val="1"/>
      <w:marLeft w:val="0"/>
      <w:marRight w:val="0"/>
      <w:marTop w:val="0"/>
      <w:marBottom w:val="0"/>
      <w:divBdr>
        <w:top w:val="none" w:sz="0" w:space="0" w:color="auto"/>
        <w:left w:val="none" w:sz="0" w:space="0" w:color="auto"/>
        <w:bottom w:val="none" w:sz="0" w:space="0" w:color="auto"/>
        <w:right w:val="none" w:sz="0" w:space="0" w:color="auto"/>
      </w:divBdr>
    </w:div>
    <w:div w:id="975380700">
      <w:bodyDiv w:val="1"/>
      <w:marLeft w:val="0"/>
      <w:marRight w:val="0"/>
      <w:marTop w:val="0"/>
      <w:marBottom w:val="0"/>
      <w:divBdr>
        <w:top w:val="none" w:sz="0" w:space="0" w:color="auto"/>
        <w:left w:val="none" w:sz="0" w:space="0" w:color="auto"/>
        <w:bottom w:val="none" w:sz="0" w:space="0" w:color="auto"/>
        <w:right w:val="none" w:sz="0" w:space="0" w:color="auto"/>
      </w:divBdr>
    </w:div>
    <w:div w:id="975452272">
      <w:bodyDiv w:val="1"/>
      <w:marLeft w:val="0"/>
      <w:marRight w:val="0"/>
      <w:marTop w:val="0"/>
      <w:marBottom w:val="0"/>
      <w:divBdr>
        <w:top w:val="none" w:sz="0" w:space="0" w:color="auto"/>
        <w:left w:val="none" w:sz="0" w:space="0" w:color="auto"/>
        <w:bottom w:val="none" w:sz="0" w:space="0" w:color="auto"/>
        <w:right w:val="none" w:sz="0" w:space="0" w:color="auto"/>
      </w:divBdr>
    </w:div>
    <w:div w:id="975524353">
      <w:bodyDiv w:val="1"/>
      <w:marLeft w:val="0"/>
      <w:marRight w:val="0"/>
      <w:marTop w:val="0"/>
      <w:marBottom w:val="0"/>
      <w:divBdr>
        <w:top w:val="none" w:sz="0" w:space="0" w:color="auto"/>
        <w:left w:val="none" w:sz="0" w:space="0" w:color="auto"/>
        <w:bottom w:val="none" w:sz="0" w:space="0" w:color="auto"/>
        <w:right w:val="none" w:sz="0" w:space="0" w:color="auto"/>
      </w:divBdr>
    </w:div>
    <w:div w:id="975528244">
      <w:bodyDiv w:val="1"/>
      <w:marLeft w:val="0"/>
      <w:marRight w:val="0"/>
      <w:marTop w:val="0"/>
      <w:marBottom w:val="0"/>
      <w:divBdr>
        <w:top w:val="none" w:sz="0" w:space="0" w:color="auto"/>
        <w:left w:val="none" w:sz="0" w:space="0" w:color="auto"/>
        <w:bottom w:val="none" w:sz="0" w:space="0" w:color="auto"/>
        <w:right w:val="none" w:sz="0" w:space="0" w:color="auto"/>
      </w:divBdr>
    </w:div>
    <w:div w:id="975600332">
      <w:bodyDiv w:val="1"/>
      <w:marLeft w:val="0"/>
      <w:marRight w:val="0"/>
      <w:marTop w:val="0"/>
      <w:marBottom w:val="0"/>
      <w:divBdr>
        <w:top w:val="none" w:sz="0" w:space="0" w:color="auto"/>
        <w:left w:val="none" w:sz="0" w:space="0" w:color="auto"/>
        <w:bottom w:val="none" w:sz="0" w:space="0" w:color="auto"/>
        <w:right w:val="none" w:sz="0" w:space="0" w:color="auto"/>
      </w:divBdr>
    </w:div>
    <w:div w:id="975601517">
      <w:bodyDiv w:val="1"/>
      <w:marLeft w:val="0"/>
      <w:marRight w:val="0"/>
      <w:marTop w:val="0"/>
      <w:marBottom w:val="0"/>
      <w:divBdr>
        <w:top w:val="none" w:sz="0" w:space="0" w:color="auto"/>
        <w:left w:val="none" w:sz="0" w:space="0" w:color="auto"/>
        <w:bottom w:val="none" w:sz="0" w:space="0" w:color="auto"/>
        <w:right w:val="none" w:sz="0" w:space="0" w:color="auto"/>
      </w:divBdr>
    </w:div>
    <w:div w:id="975838101">
      <w:bodyDiv w:val="1"/>
      <w:marLeft w:val="0"/>
      <w:marRight w:val="0"/>
      <w:marTop w:val="0"/>
      <w:marBottom w:val="0"/>
      <w:divBdr>
        <w:top w:val="none" w:sz="0" w:space="0" w:color="auto"/>
        <w:left w:val="none" w:sz="0" w:space="0" w:color="auto"/>
        <w:bottom w:val="none" w:sz="0" w:space="0" w:color="auto"/>
        <w:right w:val="none" w:sz="0" w:space="0" w:color="auto"/>
      </w:divBdr>
    </w:div>
    <w:div w:id="975842015">
      <w:bodyDiv w:val="1"/>
      <w:marLeft w:val="0"/>
      <w:marRight w:val="0"/>
      <w:marTop w:val="0"/>
      <w:marBottom w:val="0"/>
      <w:divBdr>
        <w:top w:val="none" w:sz="0" w:space="0" w:color="auto"/>
        <w:left w:val="none" w:sz="0" w:space="0" w:color="auto"/>
        <w:bottom w:val="none" w:sz="0" w:space="0" w:color="auto"/>
        <w:right w:val="none" w:sz="0" w:space="0" w:color="auto"/>
      </w:divBdr>
    </w:div>
    <w:div w:id="975915639">
      <w:bodyDiv w:val="1"/>
      <w:marLeft w:val="0"/>
      <w:marRight w:val="0"/>
      <w:marTop w:val="0"/>
      <w:marBottom w:val="0"/>
      <w:divBdr>
        <w:top w:val="none" w:sz="0" w:space="0" w:color="auto"/>
        <w:left w:val="none" w:sz="0" w:space="0" w:color="auto"/>
        <w:bottom w:val="none" w:sz="0" w:space="0" w:color="auto"/>
        <w:right w:val="none" w:sz="0" w:space="0" w:color="auto"/>
      </w:divBdr>
    </w:div>
    <w:div w:id="975915685">
      <w:bodyDiv w:val="1"/>
      <w:marLeft w:val="0"/>
      <w:marRight w:val="0"/>
      <w:marTop w:val="0"/>
      <w:marBottom w:val="0"/>
      <w:divBdr>
        <w:top w:val="none" w:sz="0" w:space="0" w:color="auto"/>
        <w:left w:val="none" w:sz="0" w:space="0" w:color="auto"/>
        <w:bottom w:val="none" w:sz="0" w:space="0" w:color="auto"/>
        <w:right w:val="none" w:sz="0" w:space="0" w:color="auto"/>
      </w:divBdr>
    </w:div>
    <w:div w:id="975916450">
      <w:bodyDiv w:val="1"/>
      <w:marLeft w:val="0"/>
      <w:marRight w:val="0"/>
      <w:marTop w:val="0"/>
      <w:marBottom w:val="0"/>
      <w:divBdr>
        <w:top w:val="none" w:sz="0" w:space="0" w:color="auto"/>
        <w:left w:val="none" w:sz="0" w:space="0" w:color="auto"/>
        <w:bottom w:val="none" w:sz="0" w:space="0" w:color="auto"/>
        <w:right w:val="none" w:sz="0" w:space="0" w:color="auto"/>
      </w:divBdr>
    </w:div>
    <w:div w:id="976110409">
      <w:bodyDiv w:val="1"/>
      <w:marLeft w:val="0"/>
      <w:marRight w:val="0"/>
      <w:marTop w:val="0"/>
      <w:marBottom w:val="0"/>
      <w:divBdr>
        <w:top w:val="none" w:sz="0" w:space="0" w:color="auto"/>
        <w:left w:val="none" w:sz="0" w:space="0" w:color="auto"/>
        <w:bottom w:val="none" w:sz="0" w:space="0" w:color="auto"/>
        <w:right w:val="none" w:sz="0" w:space="0" w:color="auto"/>
      </w:divBdr>
    </w:div>
    <w:div w:id="976225977">
      <w:bodyDiv w:val="1"/>
      <w:marLeft w:val="0"/>
      <w:marRight w:val="0"/>
      <w:marTop w:val="0"/>
      <w:marBottom w:val="0"/>
      <w:divBdr>
        <w:top w:val="none" w:sz="0" w:space="0" w:color="auto"/>
        <w:left w:val="none" w:sz="0" w:space="0" w:color="auto"/>
        <w:bottom w:val="none" w:sz="0" w:space="0" w:color="auto"/>
        <w:right w:val="none" w:sz="0" w:space="0" w:color="auto"/>
      </w:divBdr>
    </w:div>
    <w:div w:id="976296885">
      <w:bodyDiv w:val="1"/>
      <w:marLeft w:val="0"/>
      <w:marRight w:val="0"/>
      <w:marTop w:val="0"/>
      <w:marBottom w:val="0"/>
      <w:divBdr>
        <w:top w:val="none" w:sz="0" w:space="0" w:color="auto"/>
        <w:left w:val="none" w:sz="0" w:space="0" w:color="auto"/>
        <w:bottom w:val="none" w:sz="0" w:space="0" w:color="auto"/>
        <w:right w:val="none" w:sz="0" w:space="0" w:color="auto"/>
      </w:divBdr>
    </w:div>
    <w:div w:id="976303251">
      <w:bodyDiv w:val="1"/>
      <w:marLeft w:val="0"/>
      <w:marRight w:val="0"/>
      <w:marTop w:val="0"/>
      <w:marBottom w:val="0"/>
      <w:divBdr>
        <w:top w:val="none" w:sz="0" w:space="0" w:color="auto"/>
        <w:left w:val="none" w:sz="0" w:space="0" w:color="auto"/>
        <w:bottom w:val="none" w:sz="0" w:space="0" w:color="auto"/>
        <w:right w:val="none" w:sz="0" w:space="0" w:color="auto"/>
      </w:divBdr>
    </w:div>
    <w:div w:id="976371656">
      <w:bodyDiv w:val="1"/>
      <w:marLeft w:val="0"/>
      <w:marRight w:val="0"/>
      <w:marTop w:val="0"/>
      <w:marBottom w:val="0"/>
      <w:divBdr>
        <w:top w:val="none" w:sz="0" w:space="0" w:color="auto"/>
        <w:left w:val="none" w:sz="0" w:space="0" w:color="auto"/>
        <w:bottom w:val="none" w:sz="0" w:space="0" w:color="auto"/>
        <w:right w:val="none" w:sz="0" w:space="0" w:color="auto"/>
      </w:divBdr>
    </w:div>
    <w:div w:id="976496504">
      <w:bodyDiv w:val="1"/>
      <w:marLeft w:val="0"/>
      <w:marRight w:val="0"/>
      <w:marTop w:val="0"/>
      <w:marBottom w:val="0"/>
      <w:divBdr>
        <w:top w:val="none" w:sz="0" w:space="0" w:color="auto"/>
        <w:left w:val="none" w:sz="0" w:space="0" w:color="auto"/>
        <w:bottom w:val="none" w:sz="0" w:space="0" w:color="auto"/>
        <w:right w:val="none" w:sz="0" w:space="0" w:color="auto"/>
      </w:divBdr>
    </w:div>
    <w:div w:id="976497210">
      <w:bodyDiv w:val="1"/>
      <w:marLeft w:val="0"/>
      <w:marRight w:val="0"/>
      <w:marTop w:val="0"/>
      <w:marBottom w:val="0"/>
      <w:divBdr>
        <w:top w:val="none" w:sz="0" w:space="0" w:color="auto"/>
        <w:left w:val="none" w:sz="0" w:space="0" w:color="auto"/>
        <w:bottom w:val="none" w:sz="0" w:space="0" w:color="auto"/>
        <w:right w:val="none" w:sz="0" w:space="0" w:color="auto"/>
      </w:divBdr>
    </w:div>
    <w:div w:id="976643951">
      <w:bodyDiv w:val="1"/>
      <w:marLeft w:val="0"/>
      <w:marRight w:val="0"/>
      <w:marTop w:val="0"/>
      <w:marBottom w:val="0"/>
      <w:divBdr>
        <w:top w:val="none" w:sz="0" w:space="0" w:color="auto"/>
        <w:left w:val="none" w:sz="0" w:space="0" w:color="auto"/>
        <w:bottom w:val="none" w:sz="0" w:space="0" w:color="auto"/>
        <w:right w:val="none" w:sz="0" w:space="0" w:color="auto"/>
      </w:divBdr>
    </w:div>
    <w:div w:id="976645343">
      <w:bodyDiv w:val="1"/>
      <w:marLeft w:val="0"/>
      <w:marRight w:val="0"/>
      <w:marTop w:val="0"/>
      <w:marBottom w:val="0"/>
      <w:divBdr>
        <w:top w:val="none" w:sz="0" w:space="0" w:color="auto"/>
        <w:left w:val="none" w:sz="0" w:space="0" w:color="auto"/>
        <w:bottom w:val="none" w:sz="0" w:space="0" w:color="auto"/>
        <w:right w:val="none" w:sz="0" w:space="0" w:color="auto"/>
      </w:divBdr>
    </w:div>
    <w:div w:id="976839513">
      <w:bodyDiv w:val="1"/>
      <w:marLeft w:val="0"/>
      <w:marRight w:val="0"/>
      <w:marTop w:val="0"/>
      <w:marBottom w:val="0"/>
      <w:divBdr>
        <w:top w:val="none" w:sz="0" w:space="0" w:color="auto"/>
        <w:left w:val="none" w:sz="0" w:space="0" w:color="auto"/>
        <w:bottom w:val="none" w:sz="0" w:space="0" w:color="auto"/>
        <w:right w:val="none" w:sz="0" w:space="0" w:color="auto"/>
      </w:divBdr>
    </w:div>
    <w:div w:id="976954423">
      <w:bodyDiv w:val="1"/>
      <w:marLeft w:val="0"/>
      <w:marRight w:val="0"/>
      <w:marTop w:val="0"/>
      <w:marBottom w:val="0"/>
      <w:divBdr>
        <w:top w:val="none" w:sz="0" w:space="0" w:color="auto"/>
        <w:left w:val="none" w:sz="0" w:space="0" w:color="auto"/>
        <w:bottom w:val="none" w:sz="0" w:space="0" w:color="auto"/>
        <w:right w:val="none" w:sz="0" w:space="0" w:color="auto"/>
      </w:divBdr>
    </w:div>
    <w:div w:id="976955514">
      <w:bodyDiv w:val="1"/>
      <w:marLeft w:val="0"/>
      <w:marRight w:val="0"/>
      <w:marTop w:val="0"/>
      <w:marBottom w:val="0"/>
      <w:divBdr>
        <w:top w:val="none" w:sz="0" w:space="0" w:color="auto"/>
        <w:left w:val="none" w:sz="0" w:space="0" w:color="auto"/>
        <w:bottom w:val="none" w:sz="0" w:space="0" w:color="auto"/>
        <w:right w:val="none" w:sz="0" w:space="0" w:color="auto"/>
      </w:divBdr>
    </w:div>
    <w:div w:id="977031735">
      <w:bodyDiv w:val="1"/>
      <w:marLeft w:val="0"/>
      <w:marRight w:val="0"/>
      <w:marTop w:val="0"/>
      <w:marBottom w:val="0"/>
      <w:divBdr>
        <w:top w:val="none" w:sz="0" w:space="0" w:color="auto"/>
        <w:left w:val="none" w:sz="0" w:space="0" w:color="auto"/>
        <w:bottom w:val="none" w:sz="0" w:space="0" w:color="auto"/>
        <w:right w:val="none" w:sz="0" w:space="0" w:color="auto"/>
      </w:divBdr>
    </w:div>
    <w:div w:id="977035101">
      <w:bodyDiv w:val="1"/>
      <w:marLeft w:val="0"/>
      <w:marRight w:val="0"/>
      <w:marTop w:val="0"/>
      <w:marBottom w:val="0"/>
      <w:divBdr>
        <w:top w:val="none" w:sz="0" w:space="0" w:color="auto"/>
        <w:left w:val="none" w:sz="0" w:space="0" w:color="auto"/>
        <w:bottom w:val="none" w:sz="0" w:space="0" w:color="auto"/>
        <w:right w:val="none" w:sz="0" w:space="0" w:color="auto"/>
      </w:divBdr>
    </w:div>
    <w:div w:id="977105633">
      <w:bodyDiv w:val="1"/>
      <w:marLeft w:val="0"/>
      <w:marRight w:val="0"/>
      <w:marTop w:val="0"/>
      <w:marBottom w:val="0"/>
      <w:divBdr>
        <w:top w:val="none" w:sz="0" w:space="0" w:color="auto"/>
        <w:left w:val="none" w:sz="0" w:space="0" w:color="auto"/>
        <w:bottom w:val="none" w:sz="0" w:space="0" w:color="auto"/>
        <w:right w:val="none" w:sz="0" w:space="0" w:color="auto"/>
      </w:divBdr>
    </w:div>
    <w:div w:id="977153857">
      <w:bodyDiv w:val="1"/>
      <w:marLeft w:val="0"/>
      <w:marRight w:val="0"/>
      <w:marTop w:val="0"/>
      <w:marBottom w:val="0"/>
      <w:divBdr>
        <w:top w:val="none" w:sz="0" w:space="0" w:color="auto"/>
        <w:left w:val="none" w:sz="0" w:space="0" w:color="auto"/>
        <w:bottom w:val="none" w:sz="0" w:space="0" w:color="auto"/>
        <w:right w:val="none" w:sz="0" w:space="0" w:color="auto"/>
      </w:divBdr>
    </w:div>
    <w:div w:id="977225208">
      <w:bodyDiv w:val="1"/>
      <w:marLeft w:val="0"/>
      <w:marRight w:val="0"/>
      <w:marTop w:val="0"/>
      <w:marBottom w:val="0"/>
      <w:divBdr>
        <w:top w:val="none" w:sz="0" w:space="0" w:color="auto"/>
        <w:left w:val="none" w:sz="0" w:space="0" w:color="auto"/>
        <w:bottom w:val="none" w:sz="0" w:space="0" w:color="auto"/>
        <w:right w:val="none" w:sz="0" w:space="0" w:color="auto"/>
      </w:divBdr>
    </w:div>
    <w:div w:id="977302211">
      <w:bodyDiv w:val="1"/>
      <w:marLeft w:val="0"/>
      <w:marRight w:val="0"/>
      <w:marTop w:val="0"/>
      <w:marBottom w:val="0"/>
      <w:divBdr>
        <w:top w:val="none" w:sz="0" w:space="0" w:color="auto"/>
        <w:left w:val="none" w:sz="0" w:space="0" w:color="auto"/>
        <w:bottom w:val="none" w:sz="0" w:space="0" w:color="auto"/>
        <w:right w:val="none" w:sz="0" w:space="0" w:color="auto"/>
      </w:divBdr>
    </w:div>
    <w:div w:id="977303967">
      <w:bodyDiv w:val="1"/>
      <w:marLeft w:val="0"/>
      <w:marRight w:val="0"/>
      <w:marTop w:val="0"/>
      <w:marBottom w:val="0"/>
      <w:divBdr>
        <w:top w:val="none" w:sz="0" w:space="0" w:color="auto"/>
        <w:left w:val="none" w:sz="0" w:space="0" w:color="auto"/>
        <w:bottom w:val="none" w:sz="0" w:space="0" w:color="auto"/>
        <w:right w:val="none" w:sz="0" w:space="0" w:color="auto"/>
      </w:divBdr>
    </w:div>
    <w:div w:id="977492550">
      <w:bodyDiv w:val="1"/>
      <w:marLeft w:val="0"/>
      <w:marRight w:val="0"/>
      <w:marTop w:val="0"/>
      <w:marBottom w:val="0"/>
      <w:divBdr>
        <w:top w:val="none" w:sz="0" w:space="0" w:color="auto"/>
        <w:left w:val="none" w:sz="0" w:space="0" w:color="auto"/>
        <w:bottom w:val="none" w:sz="0" w:space="0" w:color="auto"/>
        <w:right w:val="none" w:sz="0" w:space="0" w:color="auto"/>
      </w:divBdr>
    </w:div>
    <w:div w:id="977536663">
      <w:bodyDiv w:val="1"/>
      <w:marLeft w:val="0"/>
      <w:marRight w:val="0"/>
      <w:marTop w:val="0"/>
      <w:marBottom w:val="0"/>
      <w:divBdr>
        <w:top w:val="none" w:sz="0" w:space="0" w:color="auto"/>
        <w:left w:val="none" w:sz="0" w:space="0" w:color="auto"/>
        <w:bottom w:val="none" w:sz="0" w:space="0" w:color="auto"/>
        <w:right w:val="none" w:sz="0" w:space="0" w:color="auto"/>
      </w:divBdr>
    </w:div>
    <w:div w:id="977802933">
      <w:bodyDiv w:val="1"/>
      <w:marLeft w:val="0"/>
      <w:marRight w:val="0"/>
      <w:marTop w:val="0"/>
      <w:marBottom w:val="0"/>
      <w:divBdr>
        <w:top w:val="none" w:sz="0" w:space="0" w:color="auto"/>
        <w:left w:val="none" w:sz="0" w:space="0" w:color="auto"/>
        <w:bottom w:val="none" w:sz="0" w:space="0" w:color="auto"/>
        <w:right w:val="none" w:sz="0" w:space="0" w:color="auto"/>
      </w:divBdr>
    </w:div>
    <w:div w:id="977876233">
      <w:bodyDiv w:val="1"/>
      <w:marLeft w:val="0"/>
      <w:marRight w:val="0"/>
      <w:marTop w:val="0"/>
      <w:marBottom w:val="0"/>
      <w:divBdr>
        <w:top w:val="none" w:sz="0" w:space="0" w:color="auto"/>
        <w:left w:val="none" w:sz="0" w:space="0" w:color="auto"/>
        <w:bottom w:val="none" w:sz="0" w:space="0" w:color="auto"/>
        <w:right w:val="none" w:sz="0" w:space="0" w:color="auto"/>
      </w:divBdr>
    </w:div>
    <w:div w:id="977877215">
      <w:bodyDiv w:val="1"/>
      <w:marLeft w:val="0"/>
      <w:marRight w:val="0"/>
      <w:marTop w:val="0"/>
      <w:marBottom w:val="0"/>
      <w:divBdr>
        <w:top w:val="none" w:sz="0" w:space="0" w:color="auto"/>
        <w:left w:val="none" w:sz="0" w:space="0" w:color="auto"/>
        <w:bottom w:val="none" w:sz="0" w:space="0" w:color="auto"/>
        <w:right w:val="none" w:sz="0" w:space="0" w:color="auto"/>
      </w:divBdr>
    </w:div>
    <w:div w:id="978000709">
      <w:bodyDiv w:val="1"/>
      <w:marLeft w:val="0"/>
      <w:marRight w:val="0"/>
      <w:marTop w:val="0"/>
      <w:marBottom w:val="0"/>
      <w:divBdr>
        <w:top w:val="none" w:sz="0" w:space="0" w:color="auto"/>
        <w:left w:val="none" w:sz="0" w:space="0" w:color="auto"/>
        <w:bottom w:val="none" w:sz="0" w:space="0" w:color="auto"/>
        <w:right w:val="none" w:sz="0" w:space="0" w:color="auto"/>
      </w:divBdr>
    </w:div>
    <w:div w:id="978002382">
      <w:bodyDiv w:val="1"/>
      <w:marLeft w:val="0"/>
      <w:marRight w:val="0"/>
      <w:marTop w:val="0"/>
      <w:marBottom w:val="0"/>
      <w:divBdr>
        <w:top w:val="none" w:sz="0" w:space="0" w:color="auto"/>
        <w:left w:val="none" w:sz="0" w:space="0" w:color="auto"/>
        <w:bottom w:val="none" w:sz="0" w:space="0" w:color="auto"/>
        <w:right w:val="none" w:sz="0" w:space="0" w:color="auto"/>
      </w:divBdr>
    </w:div>
    <w:div w:id="978190345">
      <w:bodyDiv w:val="1"/>
      <w:marLeft w:val="0"/>
      <w:marRight w:val="0"/>
      <w:marTop w:val="0"/>
      <w:marBottom w:val="0"/>
      <w:divBdr>
        <w:top w:val="none" w:sz="0" w:space="0" w:color="auto"/>
        <w:left w:val="none" w:sz="0" w:space="0" w:color="auto"/>
        <w:bottom w:val="none" w:sz="0" w:space="0" w:color="auto"/>
        <w:right w:val="none" w:sz="0" w:space="0" w:color="auto"/>
      </w:divBdr>
    </w:div>
    <w:div w:id="978338192">
      <w:bodyDiv w:val="1"/>
      <w:marLeft w:val="0"/>
      <w:marRight w:val="0"/>
      <w:marTop w:val="0"/>
      <w:marBottom w:val="0"/>
      <w:divBdr>
        <w:top w:val="none" w:sz="0" w:space="0" w:color="auto"/>
        <w:left w:val="none" w:sz="0" w:space="0" w:color="auto"/>
        <w:bottom w:val="none" w:sz="0" w:space="0" w:color="auto"/>
        <w:right w:val="none" w:sz="0" w:space="0" w:color="auto"/>
      </w:divBdr>
    </w:div>
    <w:div w:id="978412335">
      <w:bodyDiv w:val="1"/>
      <w:marLeft w:val="0"/>
      <w:marRight w:val="0"/>
      <w:marTop w:val="0"/>
      <w:marBottom w:val="0"/>
      <w:divBdr>
        <w:top w:val="none" w:sz="0" w:space="0" w:color="auto"/>
        <w:left w:val="none" w:sz="0" w:space="0" w:color="auto"/>
        <w:bottom w:val="none" w:sz="0" w:space="0" w:color="auto"/>
        <w:right w:val="none" w:sz="0" w:space="0" w:color="auto"/>
      </w:divBdr>
    </w:div>
    <w:div w:id="978726090">
      <w:bodyDiv w:val="1"/>
      <w:marLeft w:val="0"/>
      <w:marRight w:val="0"/>
      <w:marTop w:val="0"/>
      <w:marBottom w:val="0"/>
      <w:divBdr>
        <w:top w:val="none" w:sz="0" w:space="0" w:color="auto"/>
        <w:left w:val="none" w:sz="0" w:space="0" w:color="auto"/>
        <w:bottom w:val="none" w:sz="0" w:space="0" w:color="auto"/>
        <w:right w:val="none" w:sz="0" w:space="0" w:color="auto"/>
      </w:divBdr>
    </w:div>
    <w:div w:id="978807051">
      <w:bodyDiv w:val="1"/>
      <w:marLeft w:val="0"/>
      <w:marRight w:val="0"/>
      <w:marTop w:val="0"/>
      <w:marBottom w:val="0"/>
      <w:divBdr>
        <w:top w:val="none" w:sz="0" w:space="0" w:color="auto"/>
        <w:left w:val="none" w:sz="0" w:space="0" w:color="auto"/>
        <w:bottom w:val="none" w:sz="0" w:space="0" w:color="auto"/>
        <w:right w:val="none" w:sz="0" w:space="0" w:color="auto"/>
      </w:divBdr>
    </w:div>
    <w:div w:id="978807954">
      <w:bodyDiv w:val="1"/>
      <w:marLeft w:val="0"/>
      <w:marRight w:val="0"/>
      <w:marTop w:val="0"/>
      <w:marBottom w:val="0"/>
      <w:divBdr>
        <w:top w:val="none" w:sz="0" w:space="0" w:color="auto"/>
        <w:left w:val="none" w:sz="0" w:space="0" w:color="auto"/>
        <w:bottom w:val="none" w:sz="0" w:space="0" w:color="auto"/>
        <w:right w:val="none" w:sz="0" w:space="0" w:color="auto"/>
      </w:divBdr>
    </w:div>
    <w:div w:id="978924040">
      <w:bodyDiv w:val="1"/>
      <w:marLeft w:val="0"/>
      <w:marRight w:val="0"/>
      <w:marTop w:val="0"/>
      <w:marBottom w:val="0"/>
      <w:divBdr>
        <w:top w:val="none" w:sz="0" w:space="0" w:color="auto"/>
        <w:left w:val="none" w:sz="0" w:space="0" w:color="auto"/>
        <w:bottom w:val="none" w:sz="0" w:space="0" w:color="auto"/>
        <w:right w:val="none" w:sz="0" w:space="0" w:color="auto"/>
      </w:divBdr>
    </w:div>
    <w:div w:id="978996986">
      <w:bodyDiv w:val="1"/>
      <w:marLeft w:val="0"/>
      <w:marRight w:val="0"/>
      <w:marTop w:val="0"/>
      <w:marBottom w:val="0"/>
      <w:divBdr>
        <w:top w:val="none" w:sz="0" w:space="0" w:color="auto"/>
        <w:left w:val="none" w:sz="0" w:space="0" w:color="auto"/>
        <w:bottom w:val="none" w:sz="0" w:space="0" w:color="auto"/>
        <w:right w:val="none" w:sz="0" w:space="0" w:color="auto"/>
      </w:divBdr>
    </w:div>
    <w:div w:id="978997238">
      <w:bodyDiv w:val="1"/>
      <w:marLeft w:val="0"/>
      <w:marRight w:val="0"/>
      <w:marTop w:val="0"/>
      <w:marBottom w:val="0"/>
      <w:divBdr>
        <w:top w:val="none" w:sz="0" w:space="0" w:color="auto"/>
        <w:left w:val="none" w:sz="0" w:space="0" w:color="auto"/>
        <w:bottom w:val="none" w:sz="0" w:space="0" w:color="auto"/>
        <w:right w:val="none" w:sz="0" w:space="0" w:color="auto"/>
      </w:divBdr>
    </w:div>
    <w:div w:id="979074765">
      <w:bodyDiv w:val="1"/>
      <w:marLeft w:val="0"/>
      <w:marRight w:val="0"/>
      <w:marTop w:val="0"/>
      <w:marBottom w:val="0"/>
      <w:divBdr>
        <w:top w:val="none" w:sz="0" w:space="0" w:color="auto"/>
        <w:left w:val="none" w:sz="0" w:space="0" w:color="auto"/>
        <w:bottom w:val="none" w:sz="0" w:space="0" w:color="auto"/>
        <w:right w:val="none" w:sz="0" w:space="0" w:color="auto"/>
      </w:divBdr>
    </w:div>
    <w:div w:id="979261835">
      <w:bodyDiv w:val="1"/>
      <w:marLeft w:val="0"/>
      <w:marRight w:val="0"/>
      <w:marTop w:val="0"/>
      <w:marBottom w:val="0"/>
      <w:divBdr>
        <w:top w:val="none" w:sz="0" w:space="0" w:color="auto"/>
        <w:left w:val="none" w:sz="0" w:space="0" w:color="auto"/>
        <w:bottom w:val="none" w:sz="0" w:space="0" w:color="auto"/>
        <w:right w:val="none" w:sz="0" w:space="0" w:color="auto"/>
      </w:divBdr>
    </w:div>
    <w:div w:id="979382942">
      <w:bodyDiv w:val="1"/>
      <w:marLeft w:val="0"/>
      <w:marRight w:val="0"/>
      <w:marTop w:val="0"/>
      <w:marBottom w:val="0"/>
      <w:divBdr>
        <w:top w:val="none" w:sz="0" w:space="0" w:color="auto"/>
        <w:left w:val="none" w:sz="0" w:space="0" w:color="auto"/>
        <w:bottom w:val="none" w:sz="0" w:space="0" w:color="auto"/>
        <w:right w:val="none" w:sz="0" w:space="0" w:color="auto"/>
      </w:divBdr>
    </w:div>
    <w:div w:id="979385673">
      <w:bodyDiv w:val="1"/>
      <w:marLeft w:val="0"/>
      <w:marRight w:val="0"/>
      <w:marTop w:val="0"/>
      <w:marBottom w:val="0"/>
      <w:divBdr>
        <w:top w:val="none" w:sz="0" w:space="0" w:color="auto"/>
        <w:left w:val="none" w:sz="0" w:space="0" w:color="auto"/>
        <w:bottom w:val="none" w:sz="0" w:space="0" w:color="auto"/>
        <w:right w:val="none" w:sz="0" w:space="0" w:color="auto"/>
      </w:divBdr>
    </w:div>
    <w:div w:id="979455607">
      <w:bodyDiv w:val="1"/>
      <w:marLeft w:val="0"/>
      <w:marRight w:val="0"/>
      <w:marTop w:val="0"/>
      <w:marBottom w:val="0"/>
      <w:divBdr>
        <w:top w:val="none" w:sz="0" w:space="0" w:color="auto"/>
        <w:left w:val="none" w:sz="0" w:space="0" w:color="auto"/>
        <w:bottom w:val="none" w:sz="0" w:space="0" w:color="auto"/>
        <w:right w:val="none" w:sz="0" w:space="0" w:color="auto"/>
      </w:divBdr>
    </w:div>
    <w:div w:id="979462982">
      <w:bodyDiv w:val="1"/>
      <w:marLeft w:val="0"/>
      <w:marRight w:val="0"/>
      <w:marTop w:val="0"/>
      <w:marBottom w:val="0"/>
      <w:divBdr>
        <w:top w:val="none" w:sz="0" w:space="0" w:color="auto"/>
        <w:left w:val="none" w:sz="0" w:space="0" w:color="auto"/>
        <w:bottom w:val="none" w:sz="0" w:space="0" w:color="auto"/>
        <w:right w:val="none" w:sz="0" w:space="0" w:color="auto"/>
      </w:divBdr>
    </w:div>
    <w:div w:id="979505672">
      <w:bodyDiv w:val="1"/>
      <w:marLeft w:val="0"/>
      <w:marRight w:val="0"/>
      <w:marTop w:val="0"/>
      <w:marBottom w:val="0"/>
      <w:divBdr>
        <w:top w:val="none" w:sz="0" w:space="0" w:color="auto"/>
        <w:left w:val="none" w:sz="0" w:space="0" w:color="auto"/>
        <w:bottom w:val="none" w:sz="0" w:space="0" w:color="auto"/>
        <w:right w:val="none" w:sz="0" w:space="0" w:color="auto"/>
      </w:divBdr>
    </w:div>
    <w:div w:id="979649581">
      <w:bodyDiv w:val="1"/>
      <w:marLeft w:val="0"/>
      <w:marRight w:val="0"/>
      <w:marTop w:val="0"/>
      <w:marBottom w:val="0"/>
      <w:divBdr>
        <w:top w:val="none" w:sz="0" w:space="0" w:color="auto"/>
        <w:left w:val="none" w:sz="0" w:space="0" w:color="auto"/>
        <w:bottom w:val="none" w:sz="0" w:space="0" w:color="auto"/>
        <w:right w:val="none" w:sz="0" w:space="0" w:color="auto"/>
      </w:divBdr>
    </w:div>
    <w:div w:id="979723449">
      <w:bodyDiv w:val="1"/>
      <w:marLeft w:val="0"/>
      <w:marRight w:val="0"/>
      <w:marTop w:val="0"/>
      <w:marBottom w:val="0"/>
      <w:divBdr>
        <w:top w:val="none" w:sz="0" w:space="0" w:color="auto"/>
        <w:left w:val="none" w:sz="0" w:space="0" w:color="auto"/>
        <w:bottom w:val="none" w:sz="0" w:space="0" w:color="auto"/>
        <w:right w:val="none" w:sz="0" w:space="0" w:color="auto"/>
      </w:divBdr>
    </w:div>
    <w:div w:id="979766444">
      <w:bodyDiv w:val="1"/>
      <w:marLeft w:val="0"/>
      <w:marRight w:val="0"/>
      <w:marTop w:val="0"/>
      <w:marBottom w:val="0"/>
      <w:divBdr>
        <w:top w:val="none" w:sz="0" w:space="0" w:color="auto"/>
        <w:left w:val="none" w:sz="0" w:space="0" w:color="auto"/>
        <w:bottom w:val="none" w:sz="0" w:space="0" w:color="auto"/>
        <w:right w:val="none" w:sz="0" w:space="0" w:color="auto"/>
      </w:divBdr>
    </w:div>
    <w:div w:id="979769691">
      <w:bodyDiv w:val="1"/>
      <w:marLeft w:val="0"/>
      <w:marRight w:val="0"/>
      <w:marTop w:val="0"/>
      <w:marBottom w:val="0"/>
      <w:divBdr>
        <w:top w:val="none" w:sz="0" w:space="0" w:color="auto"/>
        <w:left w:val="none" w:sz="0" w:space="0" w:color="auto"/>
        <w:bottom w:val="none" w:sz="0" w:space="0" w:color="auto"/>
        <w:right w:val="none" w:sz="0" w:space="0" w:color="auto"/>
      </w:divBdr>
    </w:div>
    <w:div w:id="979774687">
      <w:bodyDiv w:val="1"/>
      <w:marLeft w:val="0"/>
      <w:marRight w:val="0"/>
      <w:marTop w:val="0"/>
      <w:marBottom w:val="0"/>
      <w:divBdr>
        <w:top w:val="none" w:sz="0" w:space="0" w:color="auto"/>
        <w:left w:val="none" w:sz="0" w:space="0" w:color="auto"/>
        <w:bottom w:val="none" w:sz="0" w:space="0" w:color="auto"/>
        <w:right w:val="none" w:sz="0" w:space="0" w:color="auto"/>
      </w:divBdr>
    </w:div>
    <w:div w:id="979846486">
      <w:bodyDiv w:val="1"/>
      <w:marLeft w:val="0"/>
      <w:marRight w:val="0"/>
      <w:marTop w:val="0"/>
      <w:marBottom w:val="0"/>
      <w:divBdr>
        <w:top w:val="none" w:sz="0" w:space="0" w:color="auto"/>
        <w:left w:val="none" w:sz="0" w:space="0" w:color="auto"/>
        <w:bottom w:val="none" w:sz="0" w:space="0" w:color="auto"/>
        <w:right w:val="none" w:sz="0" w:space="0" w:color="auto"/>
      </w:divBdr>
    </w:div>
    <w:div w:id="979847760">
      <w:bodyDiv w:val="1"/>
      <w:marLeft w:val="0"/>
      <w:marRight w:val="0"/>
      <w:marTop w:val="0"/>
      <w:marBottom w:val="0"/>
      <w:divBdr>
        <w:top w:val="none" w:sz="0" w:space="0" w:color="auto"/>
        <w:left w:val="none" w:sz="0" w:space="0" w:color="auto"/>
        <w:bottom w:val="none" w:sz="0" w:space="0" w:color="auto"/>
        <w:right w:val="none" w:sz="0" w:space="0" w:color="auto"/>
      </w:divBdr>
    </w:div>
    <w:div w:id="979847825">
      <w:bodyDiv w:val="1"/>
      <w:marLeft w:val="0"/>
      <w:marRight w:val="0"/>
      <w:marTop w:val="0"/>
      <w:marBottom w:val="0"/>
      <w:divBdr>
        <w:top w:val="none" w:sz="0" w:space="0" w:color="auto"/>
        <w:left w:val="none" w:sz="0" w:space="0" w:color="auto"/>
        <w:bottom w:val="none" w:sz="0" w:space="0" w:color="auto"/>
        <w:right w:val="none" w:sz="0" w:space="0" w:color="auto"/>
      </w:divBdr>
    </w:div>
    <w:div w:id="980037528">
      <w:bodyDiv w:val="1"/>
      <w:marLeft w:val="0"/>
      <w:marRight w:val="0"/>
      <w:marTop w:val="0"/>
      <w:marBottom w:val="0"/>
      <w:divBdr>
        <w:top w:val="none" w:sz="0" w:space="0" w:color="auto"/>
        <w:left w:val="none" w:sz="0" w:space="0" w:color="auto"/>
        <w:bottom w:val="none" w:sz="0" w:space="0" w:color="auto"/>
        <w:right w:val="none" w:sz="0" w:space="0" w:color="auto"/>
      </w:divBdr>
    </w:div>
    <w:div w:id="980228552">
      <w:bodyDiv w:val="1"/>
      <w:marLeft w:val="0"/>
      <w:marRight w:val="0"/>
      <w:marTop w:val="0"/>
      <w:marBottom w:val="0"/>
      <w:divBdr>
        <w:top w:val="none" w:sz="0" w:space="0" w:color="auto"/>
        <w:left w:val="none" w:sz="0" w:space="0" w:color="auto"/>
        <w:bottom w:val="none" w:sz="0" w:space="0" w:color="auto"/>
        <w:right w:val="none" w:sz="0" w:space="0" w:color="auto"/>
      </w:divBdr>
    </w:div>
    <w:div w:id="980232835">
      <w:bodyDiv w:val="1"/>
      <w:marLeft w:val="0"/>
      <w:marRight w:val="0"/>
      <w:marTop w:val="0"/>
      <w:marBottom w:val="0"/>
      <w:divBdr>
        <w:top w:val="none" w:sz="0" w:space="0" w:color="auto"/>
        <w:left w:val="none" w:sz="0" w:space="0" w:color="auto"/>
        <w:bottom w:val="none" w:sz="0" w:space="0" w:color="auto"/>
        <w:right w:val="none" w:sz="0" w:space="0" w:color="auto"/>
      </w:divBdr>
    </w:div>
    <w:div w:id="980306407">
      <w:bodyDiv w:val="1"/>
      <w:marLeft w:val="0"/>
      <w:marRight w:val="0"/>
      <w:marTop w:val="0"/>
      <w:marBottom w:val="0"/>
      <w:divBdr>
        <w:top w:val="none" w:sz="0" w:space="0" w:color="auto"/>
        <w:left w:val="none" w:sz="0" w:space="0" w:color="auto"/>
        <w:bottom w:val="none" w:sz="0" w:space="0" w:color="auto"/>
        <w:right w:val="none" w:sz="0" w:space="0" w:color="auto"/>
      </w:divBdr>
    </w:div>
    <w:div w:id="980426025">
      <w:bodyDiv w:val="1"/>
      <w:marLeft w:val="0"/>
      <w:marRight w:val="0"/>
      <w:marTop w:val="0"/>
      <w:marBottom w:val="0"/>
      <w:divBdr>
        <w:top w:val="none" w:sz="0" w:space="0" w:color="auto"/>
        <w:left w:val="none" w:sz="0" w:space="0" w:color="auto"/>
        <w:bottom w:val="none" w:sz="0" w:space="0" w:color="auto"/>
        <w:right w:val="none" w:sz="0" w:space="0" w:color="auto"/>
      </w:divBdr>
    </w:div>
    <w:div w:id="980773197">
      <w:bodyDiv w:val="1"/>
      <w:marLeft w:val="0"/>
      <w:marRight w:val="0"/>
      <w:marTop w:val="0"/>
      <w:marBottom w:val="0"/>
      <w:divBdr>
        <w:top w:val="none" w:sz="0" w:space="0" w:color="auto"/>
        <w:left w:val="none" w:sz="0" w:space="0" w:color="auto"/>
        <w:bottom w:val="none" w:sz="0" w:space="0" w:color="auto"/>
        <w:right w:val="none" w:sz="0" w:space="0" w:color="auto"/>
      </w:divBdr>
    </w:div>
    <w:div w:id="980814137">
      <w:bodyDiv w:val="1"/>
      <w:marLeft w:val="0"/>
      <w:marRight w:val="0"/>
      <w:marTop w:val="0"/>
      <w:marBottom w:val="0"/>
      <w:divBdr>
        <w:top w:val="none" w:sz="0" w:space="0" w:color="auto"/>
        <w:left w:val="none" w:sz="0" w:space="0" w:color="auto"/>
        <w:bottom w:val="none" w:sz="0" w:space="0" w:color="auto"/>
        <w:right w:val="none" w:sz="0" w:space="0" w:color="auto"/>
      </w:divBdr>
    </w:div>
    <w:div w:id="980958514">
      <w:bodyDiv w:val="1"/>
      <w:marLeft w:val="0"/>
      <w:marRight w:val="0"/>
      <w:marTop w:val="0"/>
      <w:marBottom w:val="0"/>
      <w:divBdr>
        <w:top w:val="none" w:sz="0" w:space="0" w:color="auto"/>
        <w:left w:val="none" w:sz="0" w:space="0" w:color="auto"/>
        <w:bottom w:val="none" w:sz="0" w:space="0" w:color="auto"/>
        <w:right w:val="none" w:sz="0" w:space="0" w:color="auto"/>
      </w:divBdr>
    </w:div>
    <w:div w:id="980961913">
      <w:bodyDiv w:val="1"/>
      <w:marLeft w:val="0"/>
      <w:marRight w:val="0"/>
      <w:marTop w:val="0"/>
      <w:marBottom w:val="0"/>
      <w:divBdr>
        <w:top w:val="none" w:sz="0" w:space="0" w:color="auto"/>
        <w:left w:val="none" w:sz="0" w:space="0" w:color="auto"/>
        <w:bottom w:val="none" w:sz="0" w:space="0" w:color="auto"/>
        <w:right w:val="none" w:sz="0" w:space="0" w:color="auto"/>
      </w:divBdr>
    </w:div>
    <w:div w:id="981083007">
      <w:bodyDiv w:val="1"/>
      <w:marLeft w:val="0"/>
      <w:marRight w:val="0"/>
      <w:marTop w:val="0"/>
      <w:marBottom w:val="0"/>
      <w:divBdr>
        <w:top w:val="none" w:sz="0" w:space="0" w:color="auto"/>
        <w:left w:val="none" w:sz="0" w:space="0" w:color="auto"/>
        <w:bottom w:val="none" w:sz="0" w:space="0" w:color="auto"/>
        <w:right w:val="none" w:sz="0" w:space="0" w:color="auto"/>
      </w:divBdr>
    </w:div>
    <w:div w:id="981083470">
      <w:bodyDiv w:val="1"/>
      <w:marLeft w:val="0"/>
      <w:marRight w:val="0"/>
      <w:marTop w:val="0"/>
      <w:marBottom w:val="0"/>
      <w:divBdr>
        <w:top w:val="none" w:sz="0" w:space="0" w:color="auto"/>
        <w:left w:val="none" w:sz="0" w:space="0" w:color="auto"/>
        <w:bottom w:val="none" w:sz="0" w:space="0" w:color="auto"/>
        <w:right w:val="none" w:sz="0" w:space="0" w:color="auto"/>
      </w:divBdr>
    </w:div>
    <w:div w:id="981152976">
      <w:bodyDiv w:val="1"/>
      <w:marLeft w:val="0"/>
      <w:marRight w:val="0"/>
      <w:marTop w:val="0"/>
      <w:marBottom w:val="0"/>
      <w:divBdr>
        <w:top w:val="none" w:sz="0" w:space="0" w:color="auto"/>
        <w:left w:val="none" w:sz="0" w:space="0" w:color="auto"/>
        <w:bottom w:val="none" w:sz="0" w:space="0" w:color="auto"/>
        <w:right w:val="none" w:sz="0" w:space="0" w:color="auto"/>
      </w:divBdr>
    </w:div>
    <w:div w:id="981153417">
      <w:bodyDiv w:val="1"/>
      <w:marLeft w:val="0"/>
      <w:marRight w:val="0"/>
      <w:marTop w:val="0"/>
      <w:marBottom w:val="0"/>
      <w:divBdr>
        <w:top w:val="none" w:sz="0" w:space="0" w:color="auto"/>
        <w:left w:val="none" w:sz="0" w:space="0" w:color="auto"/>
        <w:bottom w:val="none" w:sz="0" w:space="0" w:color="auto"/>
        <w:right w:val="none" w:sz="0" w:space="0" w:color="auto"/>
      </w:divBdr>
    </w:div>
    <w:div w:id="981155168">
      <w:bodyDiv w:val="1"/>
      <w:marLeft w:val="0"/>
      <w:marRight w:val="0"/>
      <w:marTop w:val="0"/>
      <w:marBottom w:val="0"/>
      <w:divBdr>
        <w:top w:val="none" w:sz="0" w:space="0" w:color="auto"/>
        <w:left w:val="none" w:sz="0" w:space="0" w:color="auto"/>
        <w:bottom w:val="none" w:sz="0" w:space="0" w:color="auto"/>
        <w:right w:val="none" w:sz="0" w:space="0" w:color="auto"/>
      </w:divBdr>
    </w:div>
    <w:div w:id="981231670">
      <w:bodyDiv w:val="1"/>
      <w:marLeft w:val="0"/>
      <w:marRight w:val="0"/>
      <w:marTop w:val="0"/>
      <w:marBottom w:val="0"/>
      <w:divBdr>
        <w:top w:val="none" w:sz="0" w:space="0" w:color="auto"/>
        <w:left w:val="none" w:sz="0" w:space="0" w:color="auto"/>
        <w:bottom w:val="none" w:sz="0" w:space="0" w:color="auto"/>
        <w:right w:val="none" w:sz="0" w:space="0" w:color="auto"/>
      </w:divBdr>
    </w:div>
    <w:div w:id="981235684">
      <w:bodyDiv w:val="1"/>
      <w:marLeft w:val="0"/>
      <w:marRight w:val="0"/>
      <w:marTop w:val="0"/>
      <w:marBottom w:val="0"/>
      <w:divBdr>
        <w:top w:val="none" w:sz="0" w:space="0" w:color="auto"/>
        <w:left w:val="none" w:sz="0" w:space="0" w:color="auto"/>
        <w:bottom w:val="none" w:sz="0" w:space="0" w:color="auto"/>
        <w:right w:val="none" w:sz="0" w:space="0" w:color="auto"/>
      </w:divBdr>
    </w:div>
    <w:div w:id="981271598">
      <w:bodyDiv w:val="1"/>
      <w:marLeft w:val="0"/>
      <w:marRight w:val="0"/>
      <w:marTop w:val="0"/>
      <w:marBottom w:val="0"/>
      <w:divBdr>
        <w:top w:val="none" w:sz="0" w:space="0" w:color="auto"/>
        <w:left w:val="none" w:sz="0" w:space="0" w:color="auto"/>
        <w:bottom w:val="none" w:sz="0" w:space="0" w:color="auto"/>
        <w:right w:val="none" w:sz="0" w:space="0" w:color="auto"/>
      </w:divBdr>
    </w:div>
    <w:div w:id="981345864">
      <w:bodyDiv w:val="1"/>
      <w:marLeft w:val="0"/>
      <w:marRight w:val="0"/>
      <w:marTop w:val="0"/>
      <w:marBottom w:val="0"/>
      <w:divBdr>
        <w:top w:val="none" w:sz="0" w:space="0" w:color="auto"/>
        <w:left w:val="none" w:sz="0" w:space="0" w:color="auto"/>
        <w:bottom w:val="none" w:sz="0" w:space="0" w:color="auto"/>
        <w:right w:val="none" w:sz="0" w:space="0" w:color="auto"/>
      </w:divBdr>
    </w:div>
    <w:div w:id="981348585">
      <w:bodyDiv w:val="1"/>
      <w:marLeft w:val="0"/>
      <w:marRight w:val="0"/>
      <w:marTop w:val="0"/>
      <w:marBottom w:val="0"/>
      <w:divBdr>
        <w:top w:val="none" w:sz="0" w:space="0" w:color="auto"/>
        <w:left w:val="none" w:sz="0" w:space="0" w:color="auto"/>
        <w:bottom w:val="none" w:sz="0" w:space="0" w:color="auto"/>
        <w:right w:val="none" w:sz="0" w:space="0" w:color="auto"/>
      </w:divBdr>
    </w:div>
    <w:div w:id="981421576">
      <w:bodyDiv w:val="1"/>
      <w:marLeft w:val="0"/>
      <w:marRight w:val="0"/>
      <w:marTop w:val="0"/>
      <w:marBottom w:val="0"/>
      <w:divBdr>
        <w:top w:val="none" w:sz="0" w:space="0" w:color="auto"/>
        <w:left w:val="none" w:sz="0" w:space="0" w:color="auto"/>
        <w:bottom w:val="none" w:sz="0" w:space="0" w:color="auto"/>
        <w:right w:val="none" w:sz="0" w:space="0" w:color="auto"/>
      </w:divBdr>
    </w:div>
    <w:div w:id="981427304">
      <w:bodyDiv w:val="1"/>
      <w:marLeft w:val="0"/>
      <w:marRight w:val="0"/>
      <w:marTop w:val="0"/>
      <w:marBottom w:val="0"/>
      <w:divBdr>
        <w:top w:val="none" w:sz="0" w:space="0" w:color="auto"/>
        <w:left w:val="none" w:sz="0" w:space="0" w:color="auto"/>
        <w:bottom w:val="none" w:sz="0" w:space="0" w:color="auto"/>
        <w:right w:val="none" w:sz="0" w:space="0" w:color="auto"/>
      </w:divBdr>
    </w:div>
    <w:div w:id="981499884">
      <w:bodyDiv w:val="1"/>
      <w:marLeft w:val="0"/>
      <w:marRight w:val="0"/>
      <w:marTop w:val="0"/>
      <w:marBottom w:val="0"/>
      <w:divBdr>
        <w:top w:val="none" w:sz="0" w:space="0" w:color="auto"/>
        <w:left w:val="none" w:sz="0" w:space="0" w:color="auto"/>
        <w:bottom w:val="none" w:sz="0" w:space="0" w:color="auto"/>
        <w:right w:val="none" w:sz="0" w:space="0" w:color="auto"/>
      </w:divBdr>
    </w:div>
    <w:div w:id="981543307">
      <w:bodyDiv w:val="1"/>
      <w:marLeft w:val="0"/>
      <w:marRight w:val="0"/>
      <w:marTop w:val="0"/>
      <w:marBottom w:val="0"/>
      <w:divBdr>
        <w:top w:val="none" w:sz="0" w:space="0" w:color="auto"/>
        <w:left w:val="none" w:sz="0" w:space="0" w:color="auto"/>
        <w:bottom w:val="none" w:sz="0" w:space="0" w:color="auto"/>
        <w:right w:val="none" w:sz="0" w:space="0" w:color="auto"/>
      </w:divBdr>
    </w:div>
    <w:div w:id="981615974">
      <w:bodyDiv w:val="1"/>
      <w:marLeft w:val="0"/>
      <w:marRight w:val="0"/>
      <w:marTop w:val="0"/>
      <w:marBottom w:val="0"/>
      <w:divBdr>
        <w:top w:val="none" w:sz="0" w:space="0" w:color="auto"/>
        <w:left w:val="none" w:sz="0" w:space="0" w:color="auto"/>
        <w:bottom w:val="none" w:sz="0" w:space="0" w:color="auto"/>
        <w:right w:val="none" w:sz="0" w:space="0" w:color="auto"/>
      </w:divBdr>
    </w:div>
    <w:div w:id="981616080">
      <w:bodyDiv w:val="1"/>
      <w:marLeft w:val="0"/>
      <w:marRight w:val="0"/>
      <w:marTop w:val="0"/>
      <w:marBottom w:val="0"/>
      <w:divBdr>
        <w:top w:val="none" w:sz="0" w:space="0" w:color="auto"/>
        <w:left w:val="none" w:sz="0" w:space="0" w:color="auto"/>
        <w:bottom w:val="none" w:sz="0" w:space="0" w:color="auto"/>
        <w:right w:val="none" w:sz="0" w:space="0" w:color="auto"/>
      </w:divBdr>
    </w:div>
    <w:div w:id="981732043">
      <w:bodyDiv w:val="1"/>
      <w:marLeft w:val="0"/>
      <w:marRight w:val="0"/>
      <w:marTop w:val="0"/>
      <w:marBottom w:val="0"/>
      <w:divBdr>
        <w:top w:val="none" w:sz="0" w:space="0" w:color="auto"/>
        <w:left w:val="none" w:sz="0" w:space="0" w:color="auto"/>
        <w:bottom w:val="none" w:sz="0" w:space="0" w:color="auto"/>
        <w:right w:val="none" w:sz="0" w:space="0" w:color="auto"/>
      </w:divBdr>
    </w:div>
    <w:div w:id="981739154">
      <w:bodyDiv w:val="1"/>
      <w:marLeft w:val="0"/>
      <w:marRight w:val="0"/>
      <w:marTop w:val="0"/>
      <w:marBottom w:val="0"/>
      <w:divBdr>
        <w:top w:val="none" w:sz="0" w:space="0" w:color="auto"/>
        <w:left w:val="none" w:sz="0" w:space="0" w:color="auto"/>
        <w:bottom w:val="none" w:sz="0" w:space="0" w:color="auto"/>
        <w:right w:val="none" w:sz="0" w:space="0" w:color="auto"/>
      </w:divBdr>
    </w:div>
    <w:div w:id="981810957">
      <w:bodyDiv w:val="1"/>
      <w:marLeft w:val="0"/>
      <w:marRight w:val="0"/>
      <w:marTop w:val="0"/>
      <w:marBottom w:val="0"/>
      <w:divBdr>
        <w:top w:val="none" w:sz="0" w:space="0" w:color="auto"/>
        <w:left w:val="none" w:sz="0" w:space="0" w:color="auto"/>
        <w:bottom w:val="none" w:sz="0" w:space="0" w:color="auto"/>
        <w:right w:val="none" w:sz="0" w:space="0" w:color="auto"/>
      </w:divBdr>
    </w:div>
    <w:div w:id="981813796">
      <w:bodyDiv w:val="1"/>
      <w:marLeft w:val="0"/>
      <w:marRight w:val="0"/>
      <w:marTop w:val="0"/>
      <w:marBottom w:val="0"/>
      <w:divBdr>
        <w:top w:val="none" w:sz="0" w:space="0" w:color="auto"/>
        <w:left w:val="none" w:sz="0" w:space="0" w:color="auto"/>
        <w:bottom w:val="none" w:sz="0" w:space="0" w:color="auto"/>
        <w:right w:val="none" w:sz="0" w:space="0" w:color="auto"/>
      </w:divBdr>
    </w:div>
    <w:div w:id="981883131">
      <w:bodyDiv w:val="1"/>
      <w:marLeft w:val="0"/>
      <w:marRight w:val="0"/>
      <w:marTop w:val="0"/>
      <w:marBottom w:val="0"/>
      <w:divBdr>
        <w:top w:val="none" w:sz="0" w:space="0" w:color="auto"/>
        <w:left w:val="none" w:sz="0" w:space="0" w:color="auto"/>
        <w:bottom w:val="none" w:sz="0" w:space="0" w:color="auto"/>
        <w:right w:val="none" w:sz="0" w:space="0" w:color="auto"/>
      </w:divBdr>
    </w:div>
    <w:div w:id="981885506">
      <w:bodyDiv w:val="1"/>
      <w:marLeft w:val="0"/>
      <w:marRight w:val="0"/>
      <w:marTop w:val="0"/>
      <w:marBottom w:val="0"/>
      <w:divBdr>
        <w:top w:val="none" w:sz="0" w:space="0" w:color="auto"/>
        <w:left w:val="none" w:sz="0" w:space="0" w:color="auto"/>
        <w:bottom w:val="none" w:sz="0" w:space="0" w:color="auto"/>
        <w:right w:val="none" w:sz="0" w:space="0" w:color="auto"/>
      </w:divBdr>
    </w:div>
    <w:div w:id="981926615">
      <w:bodyDiv w:val="1"/>
      <w:marLeft w:val="0"/>
      <w:marRight w:val="0"/>
      <w:marTop w:val="0"/>
      <w:marBottom w:val="0"/>
      <w:divBdr>
        <w:top w:val="none" w:sz="0" w:space="0" w:color="auto"/>
        <w:left w:val="none" w:sz="0" w:space="0" w:color="auto"/>
        <w:bottom w:val="none" w:sz="0" w:space="0" w:color="auto"/>
        <w:right w:val="none" w:sz="0" w:space="0" w:color="auto"/>
      </w:divBdr>
    </w:div>
    <w:div w:id="982077205">
      <w:bodyDiv w:val="1"/>
      <w:marLeft w:val="0"/>
      <w:marRight w:val="0"/>
      <w:marTop w:val="0"/>
      <w:marBottom w:val="0"/>
      <w:divBdr>
        <w:top w:val="none" w:sz="0" w:space="0" w:color="auto"/>
        <w:left w:val="none" w:sz="0" w:space="0" w:color="auto"/>
        <w:bottom w:val="none" w:sz="0" w:space="0" w:color="auto"/>
        <w:right w:val="none" w:sz="0" w:space="0" w:color="auto"/>
      </w:divBdr>
    </w:div>
    <w:div w:id="982126831">
      <w:bodyDiv w:val="1"/>
      <w:marLeft w:val="0"/>
      <w:marRight w:val="0"/>
      <w:marTop w:val="0"/>
      <w:marBottom w:val="0"/>
      <w:divBdr>
        <w:top w:val="none" w:sz="0" w:space="0" w:color="auto"/>
        <w:left w:val="none" w:sz="0" w:space="0" w:color="auto"/>
        <w:bottom w:val="none" w:sz="0" w:space="0" w:color="auto"/>
        <w:right w:val="none" w:sz="0" w:space="0" w:color="auto"/>
      </w:divBdr>
    </w:div>
    <w:div w:id="982150999">
      <w:bodyDiv w:val="1"/>
      <w:marLeft w:val="0"/>
      <w:marRight w:val="0"/>
      <w:marTop w:val="0"/>
      <w:marBottom w:val="0"/>
      <w:divBdr>
        <w:top w:val="none" w:sz="0" w:space="0" w:color="auto"/>
        <w:left w:val="none" w:sz="0" w:space="0" w:color="auto"/>
        <w:bottom w:val="none" w:sz="0" w:space="0" w:color="auto"/>
        <w:right w:val="none" w:sz="0" w:space="0" w:color="auto"/>
      </w:divBdr>
    </w:div>
    <w:div w:id="982195278">
      <w:bodyDiv w:val="1"/>
      <w:marLeft w:val="0"/>
      <w:marRight w:val="0"/>
      <w:marTop w:val="0"/>
      <w:marBottom w:val="0"/>
      <w:divBdr>
        <w:top w:val="none" w:sz="0" w:space="0" w:color="auto"/>
        <w:left w:val="none" w:sz="0" w:space="0" w:color="auto"/>
        <w:bottom w:val="none" w:sz="0" w:space="0" w:color="auto"/>
        <w:right w:val="none" w:sz="0" w:space="0" w:color="auto"/>
      </w:divBdr>
    </w:div>
    <w:div w:id="982271371">
      <w:bodyDiv w:val="1"/>
      <w:marLeft w:val="0"/>
      <w:marRight w:val="0"/>
      <w:marTop w:val="0"/>
      <w:marBottom w:val="0"/>
      <w:divBdr>
        <w:top w:val="none" w:sz="0" w:space="0" w:color="auto"/>
        <w:left w:val="none" w:sz="0" w:space="0" w:color="auto"/>
        <w:bottom w:val="none" w:sz="0" w:space="0" w:color="auto"/>
        <w:right w:val="none" w:sz="0" w:space="0" w:color="auto"/>
      </w:divBdr>
    </w:div>
    <w:div w:id="982350651">
      <w:bodyDiv w:val="1"/>
      <w:marLeft w:val="0"/>
      <w:marRight w:val="0"/>
      <w:marTop w:val="0"/>
      <w:marBottom w:val="0"/>
      <w:divBdr>
        <w:top w:val="none" w:sz="0" w:space="0" w:color="auto"/>
        <w:left w:val="none" w:sz="0" w:space="0" w:color="auto"/>
        <w:bottom w:val="none" w:sz="0" w:space="0" w:color="auto"/>
        <w:right w:val="none" w:sz="0" w:space="0" w:color="auto"/>
      </w:divBdr>
    </w:div>
    <w:div w:id="982466801">
      <w:bodyDiv w:val="1"/>
      <w:marLeft w:val="0"/>
      <w:marRight w:val="0"/>
      <w:marTop w:val="0"/>
      <w:marBottom w:val="0"/>
      <w:divBdr>
        <w:top w:val="none" w:sz="0" w:space="0" w:color="auto"/>
        <w:left w:val="none" w:sz="0" w:space="0" w:color="auto"/>
        <w:bottom w:val="none" w:sz="0" w:space="0" w:color="auto"/>
        <w:right w:val="none" w:sz="0" w:space="0" w:color="auto"/>
      </w:divBdr>
    </w:div>
    <w:div w:id="982469630">
      <w:bodyDiv w:val="1"/>
      <w:marLeft w:val="0"/>
      <w:marRight w:val="0"/>
      <w:marTop w:val="0"/>
      <w:marBottom w:val="0"/>
      <w:divBdr>
        <w:top w:val="none" w:sz="0" w:space="0" w:color="auto"/>
        <w:left w:val="none" w:sz="0" w:space="0" w:color="auto"/>
        <w:bottom w:val="none" w:sz="0" w:space="0" w:color="auto"/>
        <w:right w:val="none" w:sz="0" w:space="0" w:color="auto"/>
      </w:divBdr>
    </w:div>
    <w:div w:id="982540400">
      <w:bodyDiv w:val="1"/>
      <w:marLeft w:val="0"/>
      <w:marRight w:val="0"/>
      <w:marTop w:val="0"/>
      <w:marBottom w:val="0"/>
      <w:divBdr>
        <w:top w:val="none" w:sz="0" w:space="0" w:color="auto"/>
        <w:left w:val="none" w:sz="0" w:space="0" w:color="auto"/>
        <w:bottom w:val="none" w:sz="0" w:space="0" w:color="auto"/>
        <w:right w:val="none" w:sz="0" w:space="0" w:color="auto"/>
      </w:divBdr>
    </w:div>
    <w:div w:id="982583310">
      <w:bodyDiv w:val="1"/>
      <w:marLeft w:val="0"/>
      <w:marRight w:val="0"/>
      <w:marTop w:val="0"/>
      <w:marBottom w:val="0"/>
      <w:divBdr>
        <w:top w:val="none" w:sz="0" w:space="0" w:color="auto"/>
        <w:left w:val="none" w:sz="0" w:space="0" w:color="auto"/>
        <w:bottom w:val="none" w:sz="0" w:space="0" w:color="auto"/>
        <w:right w:val="none" w:sz="0" w:space="0" w:color="auto"/>
      </w:divBdr>
    </w:div>
    <w:div w:id="982612513">
      <w:bodyDiv w:val="1"/>
      <w:marLeft w:val="0"/>
      <w:marRight w:val="0"/>
      <w:marTop w:val="0"/>
      <w:marBottom w:val="0"/>
      <w:divBdr>
        <w:top w:val="none" w:sz="0" w:space="0" w:color="auto"/>
        <w:left w:val="none" w:sz="0" w:space="0" w:color="auto"/>
        <w:bottom w:val="none" w:sz="0" w:space="0" w:color="auto"/>
        <w:right w:val="none" w:sz="0" w:space="0" w:color="auto"/>
      </w:divBdr>
    </w:div>
    <w:div w:id="982807121">
      <w:bodyDiv w:val="1"/>
      <w:marLeft w:val="0"/>
      <w:marRight w:val="0"/>
      <w:marTop w:val="0"/>
      <w:marBottom w:val="0"/>
      <w:divBdr>
        <w:top w:val="none" w:sz="0" w:space="0" w:color="auto"/>
        <w:left w:val="none" w:sz="0" w:space="0" w:color="auto"/>
        <w:bottom w:val="none" w:sz="0" w:space="0" w:color="auto"/>
        <w:right w:val="none" w:sz="0" w:space="0" w:color="auto"/>
      </w:divBdr>
    </w:div>
    <w:div w:id="982853379">
      <w:bodyDiv w:val="1"/>
      <w:marLeft w:val="0"/>
      <w:marRight w:val="0"/>
      <w:marTop w:val="0"/>
      <w:marBottom w:val="0"/>
      <w:divBdr>
        <w:top w:val="none" w:sz="0" w:space="0" w:color="auto"/>
        <w:left w:val="none" w:sz="0" w:space="0" w:color="auto"/>
        <w:bottom w:val="none" w:sz="0" w:space="0" w:color="auto"/>
        <w:right w:val="none" w:sz="0" w:space="0" w:color="auto"/>
      </w:divBdr>
    </w:div>
    <w:div w:id="982853385">
      <w:bodyDiv w:val="1"/>
      <w:marLeft w:val="0"/>
      <w:marRight w:val="0"/>
      <w:marTop w:val="0"/>
      <w:marBottom w:val="0"/>
      <w:divBdr>
        <w:top w:val="none" w:sz="0" w:space="0" w:color="auto"/>
        <w:left w:val="none" w:sz="0" w:space="0" w:color="auto"/>
        <w:bottom w:val="none" w:sz="0" w:space="0" w:color="auto"/>
        <w:right w:val="none" w:sz="0" w:space="0" w:color="auto"/>
      </w:divBdr>
    </w:div>
    <w:div w:id="983240642">
      <w:bodyDiv w:val="1"/>
      <w:marLeft w:val="0"/>
      <w:marRight w:val="0"/>
      <w:marTop w:val="0"/>
      <w:marBottom w:val="0"/>
      <w:divBdr>
        <w:top w:val="none" w:sz="0" w:space="0" w:color="auto"/>
        <w:left w:val="none" w:sz="0" w:space="0" w:color="auto"/>
        <w:bottom w:val="none" w:sz="0" w:space="0" w:color="auto"/>
        <w:right w:val="none" w:sz="0" w:space="0" w:color="auto"/>
      </w:divBdr>
    </w:div>
    <w:div w:id="983242080">
      <w:bodyDiv w:val="1"/>
      <w:marLeft w:val="0"/>
      <w:marRight w:val="0"/>
      <w:marTop w:val="0"/>
      <w:marBottom w:val="0"/>
      <w:divBdr>
        <w:top w:val="none" w:sz="0" w:space="0" w:color="auto"/>
        <w:left w:val="none" w:sz="0" w:space="0" w:color="auto"/>
        <w:bottom w:val="none" w:sz="0" w:space="0" w:color="auto"/>
        <w:right w:val="none" w:sz="0" w:space="0" w:color="auto"/>
      </w:divBdr>
    </w:div>
    <w:div w:id="983267595">
      <w:bodyDiv w:val="1"/>
      <w:marLeft w:val="0"/>
      <w:marRight w:val="0"/>
      <w:marTop w:val="0"/>
      <w:marBottom w:val="0"/>
      <w:divBdr>
        <w:top w:val="none" w:sz="0" w:space="0" w:color="auto"/>
        <w:left w:val="none" w:sz="0" w:space="0" w:color="auto"/>
        <w:bottom w:val="none" w:sz="0" w:space="0" w:color="auto"/>
        <w:right w:val="none" w:sz="0" w:space="0" w:color="auto"/>
      </w:divBdr>
    </w:div>
    <w:div w:id="983316916">
      <w:bodyDiv w:val="1"/>
      <w:marLeft w:val="0"/>
      <w:marRight w:val="0"/>
      <w:marTop w:val="0"/>
      <w:marBottom w:val="0"/>
      <w:divBdr>
        <w:top w:val="none" w:sz="0" w:space="0" w:color="auto"/>
        <w:left w:val="none" w:sz="0" w:space="0" w:color="auto"/>
        <w:bottom w:val="none" w:sz="0" w:space="0" w:color="auto"/>
        <w:right w:val="none" w:sz="0" w:space="0" w:color="auto"/>
      </w:divBdr>
    </w:div>
    <w:div w:id="983389290">
      <w:bodyDiv w:val="1"/>
      <w:marLeft w:val="0"/>
      <w:marRight w:val="0"/>
      <w:marTop w:val="0"/>
      <w:marBottom w:val="0"/>
      <w:divBdr>
        <w:top w:val="none" w:sz="0" w:space="0" w:color="auto"/>
        <w:left w:val="none" w:sz="0" w:space="0" w:color="auto"/>
        <w:bottom w:val="none" w:sz="0" w:space="0" w:color="auto"/>
        <w:right w:val="none" w:sz="0" w:space="0" w:color="auto"/>
      </w:divBdr>
    </w:div>
    <w:div w:id="983587665">
      <w:bodyDiv w:val="1"/>
      <w:marLeft w:val="0"/>
      <w:marRight w:val="0"/>
      <w:marTop w:val="0"/>
      <w:marBottom w:val="0"/>
      <w:divBdr>
        <w:top w:val="none" w:sz="0" w:space="0" w:color="auto"/>
        <w:left w:val="none" w:sz="0" w:space="0" w:color="auto"/>
        <w:bottom w:val="none" w:sz="0" w:space="0" w:color="auto"/>
        <w:right w:val="none" w:sz="0" w:space="0" w:color="auto"/>
      </w:divBdr>
    </w:div>
    <w:div w:id="983699410">
      <w:bodyDiv w:val="1"/>
      <w:marLeft w:val="0"/>
      <w:marRight w:val="0"/>
      <w:marTop w:val="0"/>
      <w:marBottom w:val="0"/>
      <w:divBdr>
        <w:top w:val="none" w:sz="0" w:space="0" w:color="auto"/>
        <w:left w:val="none" w:sz="0" w:space="0" w:color="auto"/>
        <w:bottom w:val="none" w:sz="0" w:space="0" w:color="auto"/>
        <w:right w:val="none" w:sz="0" w:space="0" w:color="auto"/>
      </w:divBdr>
    </w:div>
    <w:div w:id="983778868">
      <w:bodyDiv w:val="1"/>
      <w:marLeft w:val="0"/>
      <w:marRight w:val="0"/>
      <w:marTop w:val="0"/>
      <w:marBottom w:val="0"/>
      <w:divBdr>
        <w:top w:val="none" w:sz="0" w:space="0" w:color="auto"/>
        <w:left w:val="none" w:sz="0" w:space="0" w:color="auto"/>
        <w:bottom w:val="none" w:sz="0" w:space="0" w:color="auto"/>
        <w:right w:val="none" w:sz="0" w:space="0" w:color="auto"/>
      </w:divBdr>
    </w:div>
    <w:div w:id="983855637">
      <w:bodyDiv w:val="1"/>
      <w:marLeft w:val="0"/>
      <w:marRight w:val="0"/>
      <w:marTop w:val="0"/>
      <w:marBottom w:val="0"/>
      <w:divBdr>
        <w:top w:val="none" w:sz="0" w:space="0" w:color="auto"/>
        <w:left w:val="none" w:sz="0" w:space="0" w:color="auto"/>
        <w:bottom w:val="none" w:sz="0" w:space="0" w:color="auto"/>
        <w:right w:val="none" w:sz="0" w:space="0" w:color="auto"/>
      </w:divBdr>
    </w:div>
    <w:div w:id="983968958">
      <w:bodyDiv w:val="1"/>
      <w:marLeft w:val="0"/>
      <w:marRight w:val="0"/>
      <w:marTop w:val="0"/>
      <w:marBottom w:val="0"/>
      <w:divBdr>
        <w:top w:val="none" w:sz="0" w:space="0" w:color="auto"/>
        <w:left w:val="none" w:sz="0" w:space="0" w:color="auto"/>
        <w:bottom w:val="none" w:sz="0" w:space="0" w:color="auto"/>
        <w:right w:val="none" w:sz="0" w:space="0" w:color="auto"/>
      </w:divBdr>
    </w:div>
    <w:div w:id="984045623">
      <w:bodyDiv w:val="1"/>
      <w:marLeft w:val="0"/>
      <w:marRight w:val="0"/>
      <w:marTop w:val="0"/>
      <w:marBottom w:val="0"/>
      <w:divBdr>
        <w:top w:val="none" w:sz="0" w:space="0" w:color="auto"/>
        <w:left w:val="none" w:sz="0" w:space="0" w:color="auto"/>
        <w:bottom w:val="none" w:sz="0" w:space="0" w:color="auto"/>
        <w:right w:val="none" w:sz="0" w:space="0" w:color="auto"/>
      </w:divBdr>
    </w:div>
    <w:div w:id="984091634">
      <w:bodyDiv w:val="1"/>
      <w:marLeft w:val="0"/>
      <w:marRight w:val="0"/>
      <w:marTop w:val="0"/>
      <w:marBottom w:val="0"/>
      <w:divBdr>
        <w:top w:val="none" w:sz="0" w:space="0" w:color="auto"/>
        <w:left w:val="none" w:sz="0" w:space="0" w:color="auto"/>
        <w:bottom w:val="none" w:sz="0" w:space="0" w:color="auto"/>
        <w:right w:val="none" w:sz="0" w:space="0" w:color="auto"/>
      </w:divBdr>
    </w:div>
    <w:div w:id="984167423">
      <w:bodyDiv w:val="1"/>
      <w:marLeft w:val="0"/>
      <w:marRight w:val="0"/>
      <w:marTop w:val="0"/>
      <w:marBottom w:val="0"/>
      <w:divBdr>
        <w:top w:val="none" w:sz="0" w:space="0" w:color="auto"/>
        <w:left w:val="none" w:sz="0" w:space="0" w:color="auto"/>
        <w:bottom w:val="none" w:sz="0" w:space="0" w:color="auto"/>
        <w:right w:val="none" w:sz="0" w:space="0" w:color="auto"/>
      </w:divBdr>
    </w:div>
    <w:div w:id="984236994">
      <w:bodyDiv w:val="1"/>
      <w:marLeft w:val="0"/>
      <w:marRight w:val="0"/>
      <w:marTop w:val="0"/>
      <w:marBottom w:val="0"/>
      <w:divBdr>
        <w:top w:val="none" w:sz="0" w:space="0" w:color="auto"/>
        <w:left w:val="none" w:sz="0" w:space="0" w:color="auto"/>
        <w:bottom w:val="none" w:sz="0" w:space="0" w:color="auto"/>
        <w:right w:val="none" w:sz="0" w:space="0" w:color="auto"/>
      </w:divBdr>
    </w:div>
    <w:div w:id="984315351">
      <w:bodyDiv w:val="1"/>
      <w:marLeft w:val="0"/>
      <w:marRight w:val="0"/>
      <w:marTop w:val="0"/>
      <w:marBottom w:val="0"/>
      <w:divBdr>
        <w:top w:val="none" w:sz="0" w:space="0" w:color="auto"/>
        <w:left w:val="none" w:sz="0" w:space="0" w:color="auto"/>
        <w:bottom w:val="none" w:sz="0" w:space="0" w:color="auto"/>
        <w:right w:val="none" w:sz="0" w:space="0" w:color="auto"/>
      </w:divBdr>
    </w:div>
    <w:div w:id="984316857">
      <w:bodyDiv w:val="1"/>
      <w:marLeft w:val="0"/>
      <w:marRight w:val="0"/>
      <w:marTop w:val="0"/>
      <w:marBottom w:val="0"/>
      <w:divBdr>
        <w:top w:val="none" w:sz="0" w:space="0" w:color="auto"/>
        <w:left w:val="none" w:sz="0" w:space="0" w:color="auto"/>
        <w:bottom w:val="none" w:sz="0" w:space="0" w:color="auto"/>
        <w:right w:val="none" w:sz="0" w:space="0" w:color="auto"/>
      </w:divBdr>
    </w:div>
    <w:div w:id="984353681">
      <w:bodyDiv w:val="1"/>
      <w:marLeft w:val="0"/>
      <w:marRight w:val="0"/>
      <w:marTop w:val="0"/>
      <w:marBottom w:val="0"/>
      <w:divBdr>
        <w:top w:val="none" w:sz="0" w:space="0" w:color="auto"/>
        <w:left w:val="none" w:sz="0" w:space="0" w:color="auto"/>
        <w:bottom w:val="none" w:sz="0" w:space="0" w:color="auto"/>
        <w:right w:val="none" w:sz="0" w:space="0" w:color="auto"/>
      </w:divBdr>
    </w:div>
    <w:div w:id="984355415">
      <w:bodyDiv w:val="1"/>
      <w:marLeft w:val="0"/>
      <w:marRight w:val="0"/>
      <w:marTop w:val="0"/>
      <w:marBottom w:val="0"/>
      <w:divBdr>
        <w:top w:val="none" w:sz="0" w:space="0" w:color="auto"/>
        <w:left w:val="none" w:sz="0" w:space="0" w:color="auto"/>
        <w:bottom w:val="none" w:sz="0" w:space="0" w:color="auto"/>
        <w:right w:val="none" w:sz="0" w:space="0" w:color="auto"/>
      </w:divBdr>
    </w:div>
    <w:div w:id="984356072">
      <w:bodyDiv w:val="1"/>
      <w:marLeft w:val="0"/>
      <w:marRight w:val="0"/>
      <w:marTop w:val="0"/>
      <w:marBottom w:val="0"/>
      <w:divBdr>
        <w:top w:val="none" w:sz="0" w:space="0" w:color="auto"/>
        <w:left w:val="none" w:sz="0" w:space="0" w:color="auto"/>
        <w:bottom w:val="none" w:sz="0" w:space="0" w:color="auto"/>
        <w:right w:val="none" w:sz="0" w:space="0" w:color="auto"/>
      </w:divBdr>
    </w:div>
    <w:div w:id="984432935">
      <w:bodyDiv w:val="1"/>
      <w:marLeft w:val="0"/>
      <w:marRight w:val="0"/>
      <w:marTop w:val="0"/>
      <w:marBottom w:val="0"/>
      <w:divBdr>
        <w:top w:val="none" w:sz="0" w:space="0" w:color="auto"/>
        <w:left w:val="none" w:sz="0" w:space="0" w:color="auto"/>
        <w:bottom w:val="none" w:sz="0" w:space="0" w:color="auto"/>
        <w:right w:val="none" w:sz="0" w:space="0" w:color="auto"/>
      </w:divBdr>
    </w:div>
    <w:div w:id="984512205">
      <w:bodyDiv w:val="1"/>
      <w:marLeft w:val="0"/>
      <w:marRight w:val="0"/>
      <w:marTop w:val="0"/>
      <w:marBottom w:val="0"/>
      <w:divBdr>
        <w:top w:val="none" w:sz="0" w:space="0" w:color="auto"/>
        <w:left w:val="none" w:sz="0" w:space="0" w:color="auto"/>
        <w:bottom w:val="none" w:sz="0" w:space="0" w:color="auto"/>
        <w:right w:val="none" w:sz="0" w:space="0" w:color="auto"/>
      </w:divBdr>
    </w:div>
    <w:div w:id="984512442">
      <w:bodyDiv w:val="1"/>
      <w:marLeft w:val="0"/>
      <w:marRight w:val="0"/>
      <w:marTop w:val="0"/>
      <w:marBottom w:val="0"/>
      <w:divBdr>
        <w:top w:val="none" w:sz="0" w:space="0" w:color="auto"/>
        <w:left w:val="none" w:sz="0" w:space="0" w:color="auto"/>
        <w:bottom w:val="none" w:sz="0" w:space="0" w:color="auto"/>
        <w:right w:val="none" w:sz="0" w:space="0" w:color="auto"/>
      </w:divBdr>
    </w:div>
    <w:div w:id="984553083">
      <w:bodyDiv w:val="1"/>
      <w:marLeft w:val="0"/>
      <w:marRight w:val="0"/>
      <w:marTop w:val="0"/>
      <w:marBottom w:val="0"/>
      <w:divBdr>
        <w:top w:val="none" w:sz="0" w:space="0" w:color="auto"/>
        <w:left w:val="none" w:sz="0" w:space="0" w:color="auto"/>
        <w:bottom w:val="none" w:sz="0" w:space="0" w:color="auto"/>
        <w:right w:val="none" w:sz="0" w:space="0" w:color="auto"/>
      </w:divBdr>
    </w:div>
    <w:div w:id="984621070">
      <w:bodyDiv w:val="1"/>
      <w:marLeft w:val="0"/>
      <w:marRight w:val="0"/>
      <w:marTop w:val="0"/>
      <w:marBottom w:val="0"/>
      <w:divBdr>
        <w:top w:val="none" w:sz="0" w:space="0" w:color="auto"/>
        <w:left w:val="none" w:sz="0" w:space="0" w:color="auto"/>
        <w:bottom w:val="none" w:sz="0" w:space="0" w:color="auto"/>
        <w:right w:val="none" w:sz="0" w:space="0" w:color="auto"/>
      </w:divBdr>
    </w:div>
    <w:div w:id="984703121">
      <w:bodyDiv w:val="1"/>
      <w:marLeft w:val="0"/>
      <w:marRight w:val="0"/>
      <w:marTop w:val="0"/>
      <w:marBottom w:val="0"/>
      <w:divBdr>
        <w:top w:val="none" w:sz="0" w:space="0" w:color="auto"/>
        <w:left w:val="none" w:sz="0" w:space="0" w:color="auto"/>
        <w:bottom w:val="none" w:sz="0" w:space="0" w:color="auto"/>
        <w:right w:val="none" w:sz="0" w:space="0" w:color="auto"/>
      </w:divBdr>
    </w:div>
    <w:div w:id="984745898">
      <w:bodyDiv w:val="1"/>
      <w:marLeft w:val="0"/>
      <w:marRight w:val="0"/>
      <w:marTop w:val="0"/>
      <w:marBottom w:val="0"/>
      <w:divBdr>
        <w:top w:val="none" w:sz="0" w:space="0" w:color="auto"/>
        <w:left w:val="none" w:sz="0" w:space="0" w:color="auto"/>
        <w:bottom w:val="none" w:sz="0" w:space="0" w:color="auto"/>
        <w:right w:val="none" w:sz="0" w:space="0" w:color="auto"/>
      </w:divBdr>
    </w:div>
    <w:div w:id="984774612">
      <w:bodyDiv w:val="1"/>
      <w:marLeft w:val="0"/>
      <w:marRight w:val="0"/>
      <w:marTop w:val="0"/>
      <w:marBottom w:val="0"/>
      <w:divBdr>
        <w:top w:val="none" w:sz="0" w:space="0" w:color="auto"/>
        <w:left w:val="none" w:sz="0" w:space="0" w:color="auto"/>
        <w:bottom w:val="none" w:sz="0" w:space="0" w:color="auto"/>
        <w:right w:val="none" w:sz="0" w:space="0" w:color="auto"/>
      </w:divBdr>
    </w:div>
    <w:div w:id="984895086">
      <w:bodyDiv w:val="1"/>
      <w:marLeft w:val="0"/>
      <w:marRight w:val="0"/>
      <w:marTop w:val="0"/>
      <w:marBottom w:val="0"/>
      <w:divBdr>
        <w:top w:val="none" w:sz="0" w:space="0" w:color="auto"/>
        <w:left w:val="none" w:sz="0" w:space="0" w:color="auto"/>
        <w:bottom w:val="none" w:sz="0" w:space="0" w:color="auto"/>
        <w:right w:val="none" w:sz="0" w:space="0" w:color="auto"/>
      </w:divBdr>
    </w:div>
    <w:div w:id="985015334">
      <w:bodyDiv w:val="1"/>
      <w:marLeft w:val="0"/>
      <w:marRight w:val="0"/>
      <w:marTop w:val="0"/>
      <w:marBottom w:val="0"/>
      <w:divBdr>
        <w:top w:val="none" w:sz="0" w:space="0" w:color="auto"/>
        <w:left w:val="none" w:sz="0" w:space="0" w:color="auto"/>
        <w:bottom w:val="none" w:sz="0" w:space="0" w:color="auto"/>
        <w:right w:val="none" w:sz="0" w:space="0" w:color="auto"/>
      </w:divBdr>
    </w:div>
    <w:div w:id="985086746">
      <w:bodyDiv w:val="1"/>
      <w:marLeft w:val="0"/>
      <w:marRight w:val="0"/>
      <w:marTop w:val="0"/>
      <w:marBottom w:val="0"/>
      <w:divBdr>
        <w:top w:val="none" w:sz="0" w:space="0" w:color="auto"/>
        <w:left w:val="none" w:sz="0" w:space="0" w:color="auto"/>
        <w:bottom w:val="none" w:sz="0" w:space="0" w:color="auto"/>
        <w:right w:val="none" w:sz="0" w:space="0" w:color="auto"/>
      </w:divBdr>
    </w:div>
    <w:div w:id="985164532">
      <w:bodyDiv w:val="1"/>
      <w:marLeft w:val="0"/>
      <w:marRight w:val="0"/>
      <w:marTop w:val="0"/>
      <w:marBottom w:val="0"/>
      <w:divBdr>
        <w:top w:val="none" w:sz="0" w:space="0" w:color="auto"/>
        <w:left w:val="none" w:sz="0" w:space="0" w:color="auto"/>
        <w:bottom w:val="none" w:sz="0" w:space="0" w:color="auto"/>
        <w:right w:val="none" w:sz="0" w:space="0" w:color="auto"/>
      </w:divBdr>
    </w:div>
    <w:div w:id="985210208">
      <w:bodyDiv w:val="1"/>
      <w:marLeft w:val="0"/>
      <w:marRight w:val="0"/>
      <w:marTop w:val="0"/>
      <w:marBottom w:val="0"/>
      <w:divBdr>
        <w:top w:val="none" w:sz="0" w:space="0" w:color="auto"/>
        <w:left w:val="none" w:sz="0" w:space="0" w:color="auto"/>
        <w:bottom w:val="none" w:sz="0" w:space="0" w:color="auto"/>
        <w:right w:val="none" w:sz="0" w:space="0" w:color="auto"/>
      </w:divBdr>
    </w:div>
    <w:div w:id="985281995">
      <w:bodyDiv w:val="1"/>
      <w:marLeft w:val="0"/>
      <w:marRight w:val="0"/>
      <w:marTop w:val="0"/>
      <w:marBottom w:val="0"/>
      <w:divBdr>
        <w:top w:val="none" w:sz="0" w:space="0" w:color="auto"/>
        <w:left w:val="none" w:sz="0" w:space="0" w:color="auto"/>
        <w:bottom w:val="none" w:sz="0" w:space="0" w:color="auto"/>
        <w:right w:val="none" w:sz="0" w:space="0" w:color="auto"/>
      </w:divBdr>
    </w:div>
    <w:div w:id="985429589">
      <w:bodyDiv w:val="1"/>
      <w:marLeft w:val="0"/>
      <w:marRight w:val="0"/>
      <w:marTop w:val="0"/>
      <w:marBottom w:val="0"/>
      <w:divBdr>
        <w:top w:val="none" w:sz="0" w:space="0" w:color="auto"/>
        <w:left w:val="none" w:sz="0" w:space="0" w:color="auto"/>
        <w:bottom w:val="none" w:sz="0" w:space="0" w:color="auto"/>
        <w:right w:val="none" w:sz="0" w:space="0" w:color="auto"/>
      </w:divBdr>
    </w:div>
    <w:div w:id="985552789">
      <w:bodyDiv w:val="1"/>
      <w:marLeft w:val="0"/>
      <w:marRight w:val="0"/>
      <w:marTop w:val="0"/>
      <w:marBottom w:val="0"/>
      <w:divBdr>
        <w:top w:val="none" w:sz="0" w:space="0" w:color="auto"/>
        <w:left w:val="none" w:sz="0" w:space="0" w:color="auto"/>
        <w:bottom w:val="none" w:sz="0" w:space="0" w:color="auto"/>
        <w:right w:val="none" w:sz="0" w:space="0" w:color="auto"/>
      </w:divBdr>
    </w:div>
    <w:div w:id="985626579">
      <w:bodyDiv w:val="1"/>
      <w:marLeft w:val="0"/>
      <w:marRight w:val="0"/>
      <w:marTop w:val="0"/>
      <w:marBottom w:val="0"/>
      <w:divBdr>
        <w:top w:val="none" w:sz="0" w:space="0" w:color="auto"/>
        <w:left w:val="none" w:sz="0" w:space="0" w:color="auto"/>
        <w:bottom w:val="none" w:sz="0" w:space="0" w:color="auto"/>
        <w:right w:val="none" w:sz="0" w:space="0" w:color="auto"/>
      </w:divBdr>
    </w:div>
    <w:div w:id="985671169">
      <w:bodyDiv w:val="1"/>
      <w:marLeft w:val="0"/>
      <w:marRight w:val="0"/>
      <w:marTop w:val="0"/>
      <w:marBottom w:val="0"/>
      <w:divBdr>
        <w:top w:val="none" w:sz="0" w:space="0" w:color="auto"/>
        <w:left w:val="none" w:sz="0" w:space="0" w:color="auto"/>
        <w:bottom w:val="none" w:sz="0" w:space="0" w:color="auto"/>
        <w:right w:val="none" w:sz="0" w:space="0" w:color="auto"/>
      </w:divBdr>
    </w:div>
    <w:div w:id="985738109">
      <w:bodyDiv w:val="1"/>
      <w:marLeft w:val="0"/>
      <w:marRight w:val="0"/>
      <w:marTop w:val="0"/>
      <w:marBottom w:val="0"/>
      <w:divBdr>
        <w:top w:val="none" w:sz="0" w:space="0" w:color="auto"/>
        <w:left w:val="none" w:sz="0" w:space="0" w:color="auto"/>
        <w:bottom w:val="none" w:sz="0" w:space="0" w:color="auto"/>
        <w:right w:val="none" w:sz="0" w:space="0" w:color="auto"/>
      </w:divBdr>
    </w:div>
    <w:div w:id="985743576">
      <w:bodyDiv w:val="1"/>
      <w:marLeft w:val="0"/>
      <w:marRight w:val="0"/>
      <w:marTop w:val="0"/>
      <w:marBottom w:val="0"/>
      <w:divBdr>
        <w:top w:val="none" w:sz="0" w:space="0" w:color="auto"/>
        <w:left w:val="none" w:sz="0" w:space="0" w:color="auto"/>
        <w:bottom w:val="none" w:sz="0" w:space="0" w:color="auto"/>
        <w:right w:val="none" w:sz="0" w:space="0" w:color="auto"/>
      </w:divBdr>
    </w:div>
    <w:div w:id="985861906">
      <w:bodyDiv w:val="1"/>
      <w:marLeft w:val="0"/>
      <w:marRight w:val="0"/>
      <w:marTop w:val="0"/>
      <w:marBottom w:val="0"/>
      <w:divBdr>
        <w:top w:val="none" w:sz="0" w:space="0" w:color="auto"/>
        <w:left w:val="none" w:sz="0" w:space="0" w:color="auto"/>
        <w:bottom w:val="none" w:sz="0" w:space="0" w:color="auto"/>
        <w:right w:val="none" w:sz="0" w:space="0" w:color="auto"/>
      </w:divBdr>
    </w:div>
    <w:div w:id="986007080">
      <w:bodyDiv w:val="1"/>
      <w:marLeft w:val="0"/>
      <w:marRight w:val="0"/>
      <w:marTop w:val="0"/>
      <w:marBottom w:val="0"/>
      <w:divBdr>
        <w:top w:val="none" w:sz="0" w:space="0" w:color="auto"/>
        <w:left w:val="none" w:sz="0" w:space="0" w:color="auto"/>
        <w:bottom w:val="none" w:sz="0" w:space="0" w:color="auto"/>
        <w:right w:val="none" w:sz="0" w:space="0" w:color="auto"/>
      </w:divBdr>
    </w:div>
    <w:div w:id="986200543">
      <w:bodyDiv w:val="1"/>
      <w:marLeft w:val="0"/>
      <w:marRight w:val="0"/>
      <w:marTop w:val="0"/>
      <w:marBottom w:val="0"/>
      <w:divBdr>
        <w:top w:val="none" w:sz="0" w:space="0" w:color="auto"/>
        <w:left w:val="none" w:sz="0" w:space="0" w:color="auto"/>
        <w:bottom w:val="none" w:sz="0" w:space="0" w:color="auto"/>
        <w:right w:val="none" w:sz="0" w:space="0" w:color="auto"/>
      </w:divBdr>
    </w:div>
    <w:div w:id="986207816">
      <w:bodyDiv w:val="1"/>
      <w:marLeft w:val="0"/>
      <w:marRight w:val="0"/>
      <w:marTop w:val="0"/>
      <w:marBottom w:val="0"/>
      <w:divBdr>
        <w:top w:val="none" w:sz="0" w:space="0" w:color="auto"/>
        <w:left w:val="none" w:sz="0" w:space="0" w:color="auto"/>
        <w:bottom w:val="none" w:sz="0" w:space="0" w:color="auto"/>
        <w:right w:val="none" w:sz="0" w:space="0" w:color="auto"/>
      </w:divBdr>
    </w:div>
    <w:div w:id="986280214">
      <w:bodyDiv w:val="1"/>
      <w:marLeft w:val="0"/>
      <w:marRight w:val="0"/>
      <w:marTop w:val="0"/>
      <w:marBottom w:val="0"/>
      <w:divBdr>
        <w:top w:val="none" w:sz="0" w:space="0" w:color="auto"/>
        <w:left w:val="none" w:sz="0" w:space="0" w:color="auto"/>
        <w:bottom w:val="none" w:sz="0" w:space="0" w:color="auto"/>
        <w:right w:val="none" w:sz="0" w:space="0" w:color="auto"/>
      </w:divBdr>
    </w:div>
    <w:div w:id="986475724">
      <w:bodyDiv w:val="1"/>
      <w:marLeft w:val="0"/>
      <w:marRight w:val="0"/>
      <w:marTop w:val="0"/>
      <w:marBottom w:val="0"/>
      <w:divBdr>
        <w:top w:val="none" w:sz="0" w:space="0" w:color="auto"/>
        <w:left w:val="none" w:sz="0" w:space="0" w:color="auto"/>
        <w:bottom w:val="none" w:sz="0" w:space="0" w:color="auto"/>
        <w:right w:val="none" w:sz="0" w:space="0" w:color="auto"/>
      </w:divBdr>
    </w:div>
    <w:div w:id="986476956">
      <w:bodyDiv w:val="1"/>
      <w:marLeft w:val="0"/>
      <w:marRight w:val="0"/>
      <w:marTop w:val="0"/>
      <w:marBottom w:val="0"/>
      <w:divBdr>
        <w:top w:val="none" w:sz="0" w:space="0" w:color="auto"/>
        <w:left w:val="none" w:sz="0" w:space="0" w:color="auto"/>
        <w:bottom w:val="none" w:sz="0" w:space="0" w:color="auto"/>
        <w:right w:val="none" w:sz="0" w:space="0" w:color="auto"/>
      </w:divBdr>
    </w:div>
    <w:div w:id="986514754">
      <w:bodyDiv w:val="1"/>
      <w:marLeft w:val="0"/>
      <w:marRight w:val="0"/>
      <w:marTop w:val="0"/>
      <w:marBottom w:val="0"/>
      <w:divBdr>
        <w:top w:val="none" w:sz="0" w:space="0" w:color="auto"/>
        <w:left w:val="none" w:sz="0" w:space="0" w:color="auto"/>
        <w:bottom w:val="none" w:sz="0" w:space="0" w:color="auto"/>
        <w:right w:val="none" w:sz="0" w:space="0" w:color="auto"/>
      </w:divBdr>
    </w:div>
    <w:div w:id="986595336">
      <w:bodyDiv w:val="1"/>
      <w:marLeft w:val="0"/>
      <w:marRight w:val="0"/>
      <w:marTop w:val="0"/>
      <w:marBottom w:val="0"/>
      <w:divBdr>
        <w:top w:val="none" w:sz="0" w:space="0" w:color="auto"/>
        <w:left w:val="none" w:sz="0" w:space="0" w:color="auto"/>
        <w:bottom w:val="none" w:sz="0" w:space="0" w:color="auto"/>
        <w:right w:val="none" w:sz="0" w:space="0" w:color="auto"/>
      </w:divBdr>
    </w:div>
    <w:div w:id="986666780">
      <w:bodyDiv w:val="1"/>
      <w:marLeft w:val="0"/>
      <w:marRight w:val="0"/>
      <w:marTop w:val="0"/>
      <w:marBottom w:val="0"/>
      <w:divBdr>
        <w:top w:val="none" w:sz="0" w:space="0" w:color="auto"/>
        <w:left w:val="none" w:sz="0" w:space="0" w:color="auto"/>
        <w:bottom w:val="none" w:sz="0" w:space="0" w:color="auto"/>
        <w:right w:val="none" w:sz="0" w:space="0" w:color="auto"/>
      </w:divBdr>
    </w:div>
    <w:div w:id="986741938">
      <w:bodyDiv w:val="1"/>
      <w:marLeft w:val="0"/>
      <w:marRight w:val="0"/>
      <w:marTop w:val="0"/>
      <w:marBottom w:val="0"/>
      <w:divBdr>
        <w:top w:val="none" w:sz="0" w:space="0" w:color="auto"/>
        <w:left w:val="none" w:sz="0" w:space="0" w:color="auto"/>
        <w:bottom w:val="none" w:sz="0" w:space="0" w:color="auto"/>
        <w:right w:val="none" w:sz="0" w:space="0" w:color="auto"/>
      </w:divBdr>
    </w:div>
    <w:div w:id="986855201">
      <w:bodyDiv w:val="1"/>
      <w:marLeft w:val="0"/>
      <w:marRight w:val="0"/>
      <w:marTop w:val="0"/>
      <w:marBottom w:val="0"/>
      <w:divBdr>
        <w:top w:val="none" w:sz="0" w:space="0" w:color="auto"/>
        <w:left w:val="none" w:sz="0" w:space="0" w:color="auto"/>
        <w:bottom w:val="none" w:sz="0" w:space="0" w:color="auto"/>
        <w:right w:val="none" w:sz="0" w:space="0" w:color="auto"/>
      </w:divBdr>
    </w:div>
    <w:div w:id="986933195">
      <w:bodyDiv w:val="1"/>
      <w:marLeft w:val="0"/>
      <w:marRight w:val="0"/>
      <w:marTop w:val="0"/>
      <w:marBottom w:val="0"/>
      <w:divBdr>
        <w:top w:val="none" w:sz="0" w:space="0" w:color="auto"/>
        <w:left w:val="none" w:sz="0" w:space="0" w:color="auto"/>
        <w:bottom w:val="none" w:sz="0" w:space="0" w:color="auto"/>
        <w:right w:val="none" w:sz="0" w:space="0" w:color="auto"/>
      </w:divBdr>
    </w:div>
    <w:div w:id="986981908">
      <w:bodyDiv w:val="1"/>
      <w:marLeft w:val="0"/>
      <w:marRight w:val="0"/>
      <w:marTop w:val="0"/>
      <w:marBottom w:val="0"/>
      <w:divBdr>
        <w:top w:val="none" w:sz="0" w:space="0" w:color="auto"/>
        <w:left w:val="none" w:sz="0" w:space="0" w:color="auto"/>
        <w:bottom w:val="none" w:sz="0" w:space="0" w:color="auto"/>
        <w:right w:val="none" w:sz="0" w:space="0" w:color="auto"/>
      </w:divBdr>
    </w:div>
    <w:div w:id="987049445">
      <w:bodyDiv w:val="1"/>
      <w:marLeft w:val="0"/>
      <w:marRight w:val="0"/>
      <w:marTop w:val="0"/>
      <w:marBottom w:val="0"/>
      <w:divBdr>
        <w:top w:val="none" w:sz="0" w:space="0" w:color="auto"/>
        <w:left w:val="none" w:sz="0" w:space="0" w:color="auto"/>
        <w:bottom w:val="none" w:sz="0" w:space="0" w:color="auto"/>
        <w:right w:val="none" w:sz="0" w:space="0" w:color="auto"/>
      </w:divBdr>
    </w:div>
    <w:div w:id="987049463">
      <w:bodyDiv w:val="1"/>
      <w:marLeft w:val="0"/>
      <w:marRight w:val="0"/>
      <w:marTop w:val="0"/>
      <w:marBottom w:val="0"/>
      <w:divBdr>
        <w:top w:val="none" w:sz="0" w:space="0" w:color="auto"/>
        <w:left w:val="none" w:sz="0" w:space="0" w:color="auto"/>
        <w:bottom w:val="none" w:sz="0" w:space="0" w:color="auto"/>
        <w:right w:val="none" w:sz="0" w:space="0" w:color="auto"/>
      </w:divBdr>
    </w:div>
    <w:div w:id="987050277">
      <w:bodyDiv w:val="1"/>
      <w:marLeft w:val="0"/>
      <w:marRight w:val="0"/>
      <w:marTop w:val="0"/>
      <w:marBottom w:val="0"/>
      <w:divBdr>
        <w:top w:val="none" w:sz="0" w:space="0" w:color="auto"/>
        <w:left w:val="none" w:sz="0" w:space="0" w:color="auto"/>
        <w:bottom w:val="none" w:sz="0" w:space="0" w:color="auto"/>
        <w:right w:val="none" w:sz="0" w:space="0" w:color="auto"/>
      </w:divBdr>
    </w:div>
    <w:div w:id="987057300">
      <w:bodyDiv w:val="1"/>
      <w:marLeft w:val="0"/>
      <w:marRight w:val="0"/>
      <w:marTop w:val="0"/>
      <w:marBottom w:val="0"/>
      <w:divBdr>
        <w:top w:val="none" w:sz="0" w:space="0" w:color="auto"/>
        <w:left w:val="none" w:sz="0" w:space="0" w:color="auto"/>
        <w:bottom w:val="none" w:sz="0" w:space="0" w:color="auto"/>
        <w:right w:val="none" w:sz="0" w:space="0" w:color="auto"/>
      </w:divBdr>
    </w:div>
    <w:div w:id="987125984">
      <w:bodyDiv w:val="1"/>
      <w:marLeft w:val="0"/>
      <w:marRight w:val="0"/>
      <w:marTop w:val="0"/>
      <w:marBottom w:val="0"/>
      <w:divBdr>
        <w:top w:val="none" w:sz="0" w:space="0" w:color="auto"/>
        <w:left w:val="none" w:sz="0" w:space="0" w:color="auto"/>
        <w:bottom w:val="none" w:sz="0" w:space="0" w:color="auto"/>
        <w:right w:val="none" w:sz="0" w:space="0" w:color="auto"/>
      </w:divBdr>
    </w:div>
    <w:div w:id="987132925">
      <w:bodyDiv w:val="1"/>
      <w:marLeft w:val="0"/>
      <w:marRight w:val="0"/>
      <w:marTop w:val="0"/>
      <w:marBottom w:val="0"/>
      <w:divBdr>
        <w:top w:val="none" w:sz="0" w:space="0" w:color="auto"/>
        <w:left w:val="none" w:sz="0" w:space="0" w:color="auto"/>
        <w:bottom w:val="none" w:sz="0" w:space="0" w:color="auto"/>
        <w:right w:val="none" w:sz="0" w:space="0" w:color="auto"/>
      </w:divBdr>
    </w:div>
    <w:div w:id="987175614">
      <w:bodyDiv w:val="1"/>
      <w:marLeft w:val="0"/>
      <w:marRight w:val="0"/>
      <w:marTop w:val="0"/>
      <w:marBottom w:val="0"/>
      <w:divBdr>
        <w:top w:val="none" w:sz="0" w:space="0" w:color="auto"/>
        <w:left w:val="none" w:sz="0" w:space="0" w:color="auto"/>
        <w:bottom w:val="none" w:sz="0" w:space="0" w:color="auto"/>
        <w:right w:val="none" w:sz="0" w:space="0" w:color="auto"/>
      </w:divBdr>
    </w:div>
    <w:div w:id="987242259">
      <w:bodyDiv w:val="1"/>
      <w:marLeft w:val="0"/>
      <w:marRight w:val="0"/>
      <w:marTop w:val="0"/>
      <w:marBottom w:val="0"/>
      <w:divBdr>
        <w:top w:val="none" w:sz="0" w:space="0" w:color="auto"/>
        <w:left w:val="none" w:sz="0" w:space="0" w:color="auto"/>
        <w:bottom w:val="none" w:sz="0" w:space="0" w:color="auto"/>
        <w:right w:val="none" w:sz="0" w:space="0" w:color="auto"/>
      </w:divBdr>
    </w:div>
    <w:div w:id="987323093">
      <w:bodyDiv w:val="1"/>
      <w:marLeft w:val="0"/>
      <w:marRight w:val="0"/>
      <w:marTop w:val="0"/>
      <w:marBottom w:val="0"/>
      <w:divBdr>
        <w:top w:val="none" w:sz="0" w:space="0" w:color="auto"/>
        <w:left w:val="none" w:sz="0" w:space="0" w:color="auto"/>
        <w:bottom w:val="none" w:sz="0" w:space="0" w:color="auto"/>
        <w:right w:val="none" w:sz="0" w:space="0" w:color="auto"/>
      </w:divBdr>
    </w:div>
    <w:div w:id="987397287">
      <w:bodyDiv w:val="1"/>
      <w:marLeft w:val="0"/>
      <w:marRight w:val="0"/>
      <w:marTop w:val="0"/>
      <w:marBottom w:val="0"/>
      <w:divBdr>
        <w:top w:val="none" w:sz="0" w:space="0" w:color="auto"/>
        <w:left w:val="none" w:sz="0" w:space="0" w:color="auto"/>
        <w:bottom w:val="none" w:sz="0" w:space="0" w:color="auto"/>
        <w:right w:val="none" w:sz="0" w:space="0" w:color="auto"/>
      </w:divBdr>
    </w:div>
    <w:div w:id="987436691">
      <w:bodyDiv w:val="1"/>
      <w:marLeft w:val="0"/>
      <w:marRight w:val="0"/>
      <w:marTop w:val="0"/>
      <w:marBottom w:val="0"/>
      <w:divBdr>
        <w:top w:val="none" w:sz="0" w:space="0" w:color="auto"/>
        <w:left w:val="none" w:sz="0" w:space="0" w:color="auto"/>
        <w:bottom w:val="none" w:sz="0" w:space="0" w:color="auto"/>
        <w:right w:val="none" w:sz="0" w:space="0" w:color="auto"/>
      </w:divBdr>
    </w:div>
    <w:div w:id="987704190">
      <w:bodyDiv w:val="1"/>
      <w:marLeft w:val="0"/>
      <w:marRight w:val="0"/>
      <w:marTop w:val="0"/>
      <w:marBottom w:val="0"/>
      <w:divBdr>
        <w:top w:val="none" w:sz="0" w:space="0" w:color="auto"/>
        <w:left w:val="none" w:sz="0" w:space="0" w:color="auto"/>
        <w:bottom w:val="none" w:sz="0" w:space="0" w:color="auto"/>
        <w:right w:val="none" w:sz="0" w:space="0" w:color="auto"/>
      </w:divBdr>
    </w:div>
    <w:div w:id="987708081">
      <w:bodyDiv w:val="1"/>
      <w:marLeft w:val="0"/>
      <w:marRight w:val="0"/>
      <w:marTop w:val="0"/>
      <w:marBottom w:val="0"/>
      <w:divBdr>
        <w:top w:val="none" w:sz="0" w:space="0" w:color="auto"/>
        <w:left w:val="none" w:sz="0" w:space="0" w:color="auto"/>
        <w:bottom w:val="none" w:sz="0" w:space="0" w:color="auto"/>
        <w:right w:val="none" w:sz="0" w:space="0" w:color="auto"/>
      </w:divBdr>
    </w:div>
    <w:div w:id="987710862">
      <w:bodyDiv w:val="1"/>
      <w:marLeft w:val="0"/>
      <w:marRight w:val="0"/>
      <w:marTop w:val="0"/>
      <w:marBottom w:val="0"/>
      <w:divBdr>
        <w:top w:val="none" w:sz="0" w:space="0" w:color="auto"/>
        <w:left w:val="none" w:sz="0" w:space="0" w:color="auto"/>
        <w:bottom w:val="none" w:sz="0" w:space="0" w:color="auto"/>
        <w:right w:val="none" w:sz="0" w:space="0" w:color="auto"/>
      </w:divBdr>
    </w:div>
    <w:div w:id="987855476">
      <w:bodyDiv w:val="1"/>
      <w:marLeft w:val="0"/>
      <w:marRight w:val="0"/>
      <w:marTop w:val="0"/>
      <w:marBottom w:val="0"/>
      <w:divBdr>
        <w:top w:val="none" w:sz="0" w:space="0" w:color="auto"/>
        <w:left w:val="none" w:sz="0" w:space="0" w:color="auto"/>
        <w:bottom w:val="none" w:sz="0" w:space="0" w:color="auto"/>
        <w:right w:val="none" w:sz="0" w:space="0" w:color="auto"/>
      </w:divBdr>
    </w:div>
    <w:div w:id="987902891">
      <w:bodyDiv w:val="1"/>
      <w:marLeft w:val="0"/>
      <w:marRight w:val="0"/>
      <w:marTop w:val="0"/>
      <w:marBottom w:val="0"/>
      <w:divBdr>
        <w:top w:val="none" w:sz="0" w:space="0" w:color="auto"/>
        <w:left w:val="none" w:sz="0" w:space="0" w:color="auto"/>
        <w:bottom w:val="none" w:sz="0" w:space="0" w:color="auto"/>
        <w:right w:val="none" w:sz="0" w:space="0" w:color="auto"/>
      </w:divBdr>
    </w:div>
    <w:div w:id="987904301">
      <w:bodyDiv w:val="1"/>
      <w:marLeft w:val="0"/>
      <w:marRight w:val="0"/>
      <w:marTop w:val="0"/>
      <w:marBottom w:val="0"/>
      <w:divBdr>
        <w:top w:val="none" w:sz="0" w:space="0" w:color="auto"/>
        <w:left w:val="none" w:sz="0" w:space="0" w:color="auto"/>
        <w:bottom w:val="none" w:sz="0" w:space="0" w:color="auto"/>
        <w:right w:val="none" w:sz="0" w:space="0" w:color="auto"/>
      </w:divBdr>
    </w:div>
    <w:div w:id="987905423">
      <w:bodyDiv w:val="1"/>
      <w:marLeft w:val="0"/>
      <w:marRight w:val="0"/>
      <w:marTop w:val="0"/>
      <w:marBottom w:val="0"/>
      <w:divBdr>
        <w:top w:val="none" w:sz="0" w:space="0" w:color="auto"/>
        <w:left w:val="none" w:sz="0" w:space="0" w:color="auto"/>
        <w:bottom w:val="none" w:sz="0" w:space="0" w:color="auto"/>
        <w:right w:val="none" w:sz="0" w:space="0" w:color="auto"/>
      </w:divBdr>
    </w:div>
    <w:div w:id="987974059">
      <w:bodyDiv w:val="1"/>
      <w:marLeft w:val="0"/>
      <w:marRight w:val="0"/>
      <w:marTop w:val="0"/>
      <w:marBottom w:val="0"/>
      <w:divBdr>
        <w:top w:val="none" w:sz="0" w:space="0" w:color="auto"/>
        <w:left w:val="none" w:sz="0" w:space="0" w:color="auto"/>
        <w:bottom w:val="none" w:sz="0" w:space="0" w:color="auto"/>
        <w:right w:val="none" w:sz="0" w:space="0" w:color="auto"/>
      </w:divBdr>
    </w:div>
    <w:div w:id="988099745">
      <w:bodyDiv w:val="1"/>
      <w:marLeft w:val="0"/>
      <w:marRight w:val="0"/>
      <w:marTop w:val="0"/>
      <w:marBottom w:val="0"/>
      <w:divBdr>
        <w:top w:val="none" w:sz="0" w:space="0" w:color="auto"/>
        <w:left w:val="none" w:sz="0" w:space="0" w:color="auto"/>
        <w:bottom w:val="none" w:sz="0" w:space="0" w:color="auto"/>
        <w:right w:val="none" w:sz="0" w:space="0" w:color="auto"/>
      </w:divBdr>
    </w:div>
    <w:div w:id="988173903">
      <w:bodyDiv w:val="1"/>
      <w:marLeft w:val="0"/>
      <w:marRight w:val="0"/>
      <w:marTop w:val="0"/>
      <w:marBottom w:val="0"/>
      <w:divBdr>
        <w:top w:val="none" w:sz="0" w:space="0" w:color="auto"/>
        <w:left w:val="none" w:sz="0" w:space="0" w:color="auto"/>
        <w:bottom w:val="none" w:sz="0" w:space="0" w:color="auto"/>
        <w:right w:val="none" w:sz="0" w:space="0" w:color="auto"/>
      </w:divBdr>
    </w:div>
    <w:div w:id="988175285">
      <w:bodyDiv w:val="1"/>
      <w:marLeft w:val="0"/>
      <w:marRight w:val="0"/>
      <w:marTop w:val="0"/>
      <w:marBottom w:val="0"/>
      <w:divBdr>
        <w:top w:val="none" w:sz="0" w:space="0" w:color="auto"/>
        <w:left w:val="none" w:sz="0" w:space="0" w:color="auto"/>
        <w:bottom w:val="none" w:sz="0" w:space="0" w:color="auto"/>
        <w:right w:val="none" w:sz="0" w:space="0" w:color="auto"/>
      </w:divBdr>
    </w:div>
    <w:div w:id="988289078">
      <w:bodyDiv w:val="1"/>
      <w:marLeft w:val="0"/>
      <w:marRight w:val="0"/>
      <w:marTop w:val="0"/>
      <w:marBottom w:val="0"/>
      <w:divBdr>
        <w:top w:val="none" w:sz="0" w:space="0" w:color="auto"/>
        <w:left w:val="none" w:sz="0" w:space="0" w:color="auto"/>
        <w:bottom w:val="none" w:sz="0" w:space="0" w:color="auto"/>
        <w:right w:val="none" w:sz="0" w:space="0" w:color="auto"/>
      </w:divBdr>
    </w:div>
    <w:div w:id="988364848">
      <w:bodyDiv w:val="1"/>
      <w:marLeft w:val="0"/>
      <w:marRight w:val="0"/>
      <w:marTop w:val="0"/>
      <w:marBottom w:val="0"/>
      <w:divBdr>
        <w:top w:val="none" w:sz="0" w:space="0" w:color="auto"/>
        <w:left w:val="none" w:sz="0" w:space="0" w:color="auto"/>
        <w:bottom w:val="none" w:sz="0" w:space="0" w:color="auto"/>
        <w:right w:val="none" w:sz="0" w:space="0" w:color="auto"/>
      </w:divBdr>
    </w:div>
    <w:div w:id="988559174">
      <w:bodyDiv w:val="1"/>
      <w:marLeft w:val="0"/>
      <w:marRight w:val="0"/>
      <w:marTop w:val="0"/>
      <w:marBottom w:val="0"/>
      <w:divBdr>
        <w:top w:val="none" w:sz="0" w:space="0" w:color="auto"/>
        <w:left w:val="none" w:sz="0" w:space="0" w:color="auto"/>
        <w:bottom w:val="none" w:sz="0" w:space="0" w:color="auto"/>
        <w:right w:val="none" w:sz="0" w:space="0" w:color="auto"/>
      </w:divBdr>
    </w:div>
    <w:div w:id="988707800">
      <w:bodyDiv w:val="1"/>
      <w:marLeft w:val="0"/>
      <w:marRight w:val="0"/>
      <w:marTop w:val="0"/>
      <w:marBottom w:val="0"/>
      <w:divBdr>
        <w:top w:val="none" w:sz="0" w:space="0" w:color="auto"/>
        <w:left w:val="none" w:sz="0" w:space="0" w:color="auto"/>
        <w:bottom w:val="none" w:sz="0" w:space="0" w:color="auto"/>
        <w:right w:val="none" w:sz="0" w:space="0" w:color="auto"/>
      </w:divBdr>
    </w:div>
    <w:div w:id="988747129">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89212621">
      <w:bodyDiv w:val="1"/>
      <w:marLeft w:val="0"/>
      <w:marRight w:val="0"/>
      <w:marTop w:val="0"/>
      <w:marBottom w:val="0"/>
      <w:divBdr>
        <w:top w:val="none" w:sz="0" w:space="0" w:color="auto"/>
        <w:left w:val="none" w:sz="0" w:space="0" w:color="auto"/>
        <w:bottom w:val="none" w:sz="0" w:space="0" w:color="auto"/>
        <w:right w:val="none" w:sz="0" w:space="0" w:color="auto"/>
      </w:divBdr>
    </w:div>
    <w:div w:id="989212680">
      <w:bodyDiv w:val="1"/>
      <w:marLeft w:val="0"/>
      <w:marRight w:val="0"/>
      <w:marTop w:val="0"/>
      <w:marBottom w:val="0"/>
      <w:divBdr>
        <w:top w:val="none" w:sz="0" w:space="0" w:color="auto"/>
        <w:left w:val="none" w:sz="0" w:space="0" w:color="auto"/>
        <w:bottom w:val="none" w:sz="0" w:space="0" w:color="auto"/>
        <w:right w:val="none" w:sz="0" w:space="0" w:color="auto"/>
      </w:divBdr>
    </w:div>
    <w:div w:id="989333152">
      <w:bodyDiv w:val="1"/>
      <w:marLeft w:val="0"/>
      <w:marRight w:val="0"/>
      <w:marTop w:val="0"/>
      <w:marBottom w:val="0"/>
      <w:divBdr>
        <w:top w:val="none" w:sz="0" w:space="0" w:color="auto"/>
        <w:left w:val="none" w:sz="0" w:space="0" w:color="auto"/>
        <w:bottom w:val="none" w:sz="0" w:space="0" w:color="auto"/>
        <w:right w:val="none" w:sz="0" w:space="0" w:color="auto"/>
      </w:divBdr>
    </w:div>
    <w:div w:id="989401268">
      <w:bodyDiv w:val="1"/>
      <w:marLeft w:val="0"/>
      <w:marRight w:val="0"/>
      <w:marTop w:val="0"/>
      <w:marBottom w:val="0"/>
      <w:divBdr>
        <w:top w:val="none" w:sz="0" w:space="0" w:color="auto"/>
        <w:left w:val="none" w:sz="0" w:space="0" w:color="auto"/>
        <w:bottom w:val="none" w:sz="0" w:space="0" w:color="auto"/>
        <w:right w:val="none" w:sz="0" w:space="0" w:color="auto"/>
      </w:divBdr>
    </w:div>
    <w:div w:id="989482003">
      <w:bodyDiv w:val="1"/>
      <w:marLeft w:val="0"/>
      <w:marRight w:val="0"/>
      <w:marTop w:val="0"/>
      <w:marBottom w:val="0"/>
      <w:divBdr>
        <w:top w:val="none" w:sz="0" w:space="0" w:color="auto"/>
        <w:left w:val="none" w:sz="0" w:space="0" w:color="auto"/>
        <w:bottom w:val="none" w:sz="0" w:space="0" w:color="auto"/>
        <w:right w:val="none" w:sz="0" w:space="0" w:color="auto"/>
      </w:divBdr>
    </w:div>
    <w:div w:id="989559394">
      <w:bodyDiv w:val="1"/>
      <w:marLeft w:val="0"/>
      <w:marRight w:val="0"/>
      <w:marTop w:val="0"/>
      <w:marBottom w:val="0"/>
      <w:divBdr>
        <w:top w:val="none" w:sz="0" w:space="0" w:color="auto"/>
        <w:left w:val="none" w:sz="0" w:space="0" w:color="auto"/>
        <w:bottom w:val="none" w:sz="0" w:space="0" w:color="auto"/>
        <w:right w:val="none" w:sz="0" w:space="0" w:color="auto"/>
      </w:divBdr>
    </w:div>
    <w:div w:id="989673856">
      <w:bodyDiv w:val="1"/>
      <w:marLeft w:val="0"/>
      <w:marRight w:val="0"/>
      <w:marTop w:val="0"/>
      <w:marBottom w:val="0"/>
      <w:divBdr>
        <w:top w:val="none" w:sz="0" w:space="0" w:color="auto"/>
        <w:left w:val="none" w:sz="0" w:space="0" w:color="auto"/>
        <w:bottom w:val="none" w:sz="0" w:space="0" w:color="auto"/>
        <w:right w:val="none" w:sz="0" w:space="0" w:color="auto"/>
      </w:divBdr>
    </w:div>
    <w:div w:id="989677630">
      <w:bodyDiv w:val="1"/>
      <w:marLeft w:val="0"/>
      <w:marRight w:val="0"/>
      <w:marTop w:val="0"/>
      <w:marBottom w:val="0"/>
      <w:divBdr>
        <w:top w:val="none" w:sz="0" w:space="0" w:color="auto"/>
        <w:left w:val="none" w:sz="0" w:space="0" w:color="auto"/>
        <w:bottom w:val="none" w:sz="0" w:space="0" w:color="auto"/>
        <w:right w:val="none" w:sz="0" w:space="0" w:color="auto"/>
      </w:divBdr>
    </w:div>
    <w:div w:id="989745776">
      <w:bodyDiv w:val="1"/>
      <w:marLeft w:val="0"/>
      <w:marRight w:val="0"/>
      <w:marTop w:val="0"/>
      <w:marBottom w:val="0"/>
      <w:divBdr>
        <w:top w:val="none" w:sz="0" w:space="0" w:color="auto"/>
        <w:left w:val="none" w:sz="0" w:space="0" w:color="auto"/>
        <w:bottom w:val="none" w:sz="0" w:space="0" w:color="auto"/>
        <w:right w:val="none" w:sz="0" w:space="0" w:color="auto"/>
      </w:divBdr>
    </w:div>
    <w:div w:id="989947110">
      <w:bodyDiv w:val="1"/>
      <w:marLeft w:val="0"/>
      <w:marRight w:val="0"/>
      <w:marTop w:val="0"/>
      <w:marBottom w:val="0"/>
      <w:divBdr>
        <w:top w:val="none" w:sz="0" w:space="0" w:color="auto"/>
        <w:left w:val="none" w:sz="0" w:space="0" w:color="auto"/>
        <w:bottom w:val="none" w:sz="0" w:space="0" w:color="auto"/>
        <w:right w:val="none" w:sz="0" w:space="0" w:color="auto"/>
      </w:divBdr>
    </w:div>
    <w:div w:id="990015733">
      <w:bodyDiv w:val="1"/>
      <w:marLeft w:val="0"/>
      <w:marRight w:val="0"/>
      <w:marTop w:val="0"/>
      <w:marBottom w:val="0"/>
      <w:divBdr>
        <w:top w:val="none" w:sz="0" w:space="0" w:color="auto"/>
        <w:left w:val="none" w:sz="0" w:space="0" w:color="auto"/>
        <w:bottom w:val="none" w:sz="0" w:space="0" w:color="auto"/>
        <w:right w:val="none" w:sz="0" w:space="0" w:color="auto"/>
      </w:divBdr>
    </w:div>
    <w:div w:id="990016225">
      <w:bodyDiv w:val="1"/>
      <w:marLeft w:val="0"/>
      <w:marRight w:val="0"/>
      <w:marTop w:val="0"/>
      <w:marBottom w:val="0"/>
      <w:divBdr>
        <w:top w:val="none" w:sz="0" w:space="0" w:color="auto"/>
        <w:left w:val="none" w:sz="0" w:space="0" w:color="auto"/>
        <w:bottom w:val="none" w:sz="0" w:space="0" w:color="auto"/>
        <w:right w:val="none" w:sz="0" w:space="0" w:color="auto"/>
      </w:divBdr>
    </w:div>
    <w:div w:id="990059319">
      <w:bodyDiv w:val="1"/>
      <w:marLeft w:val="0"/>
      <w:marRight w:val="0"/>
      <w:marTop w:val="0"/>
      <w:marBottom w:val="0"/>
      <w:divBdr>
        <w:top w:val="none" w:sz="0" w:space="0" w:color="auto"/>
        <w:left w:val="none" w:sz="0" w:space="0" w:color="auto"/>
        <w:bottom w:val="none" w:sz="0" w:space="0" w:color="auto"/>
        <w:right w:val="none" w:sz="0" w:space="0" w:color="auto"/>
      </w:divBdr>
    </w:div>
    <w:div w:id="990060813">
      <w:bodyDiv w:val="1"/>
      <w:marLeft w:val="0"/>
      <w:marRight w:val="0"/>
      <w:marTop w:val="0"/>
      <w:marBottom w:val="0"/>
      <w:divBdr>
        <w:top w:val="none" w:sz="0" w:space="0" w:color="auto"/>
        <w:left w:val="none" w:sz="0" w:space="0" w:color="auto"/>
        <w:bottom w:val="none" w:sz="0" w:space="0" w:color="auto"/>
        <w:right w:val="none" w:sz="0" w:space="0" w:color="auto"/>
      </w:divBdr>
    </w:div>
    <w:div w:id="990061127">
      <w:bodyDiv w:val="1"/>
      <w:marLeft w:val="0"/>
      <w:marRight w:val="0"/>
      <w:marTop w:val="0"/>
      <w:marBottom w:val="0"/>
      <w:divBdr>
        <w:top w:val="none" w:sz="0" w:space="0" w:color="auto"/>
        <w:left w:val="none" w:sz="0" w:space="0" w:color="auto"/>
        <w:bottom w:val="none" w:sz="0" w:space="0" w:color="auto"/>
        <w:right w:val="none" w:sz="0" w:space="0" w:color="auto"/>
      </w:divBdr>
    </w:div>
    <w:div w:id="990063426">
      <w:bodyDiv w:val="1"/>
      <w:marLeft w:val="0"/>
      <w:marRight w:val="0"/>
      <w:marTop w:val="0"/>
      <w:marBottom w:val="0"/>
      <w:divBdr>
        <w:top w:val="none" w:sz="0" w:space="0" w:color="auto"/>
        <w:left w:val="none" w:sz="0" w:space="0" w:color="auto"/>
        <w:bottom w:val="none" w:sz="0" w:space="0" w:color="auto"/>
        <w:right w:val="none" w:sz="0" w:space="0" w:color="auto"/>
      </w:divBdr>
    </w:div>
    <w:div w:id="990139223">
      <w:bodyDiv w:val="1"/>
      <w:marLeft w:val="0"/>
      <w:marRight w:val="0"/>
      <w:marTop w:val="0"/>
      <w:marBottom w:val="0"/>
      <w:divBdr>
        <w:top w:val="none" w:sz="0" w:space="0" w:color="auto"/>
        <w:left w:val="none" w:sz="0" w:space="0" w:color="auto"/>
        <w:bottom w:val="none" w:sz="0" w:space="0" w:color="auto"/>
        <w:right w:val="none" w:sz="0" w:space="0" w:color="auto"/>
      </w:divBdr>
    </w:div>
    <w:div w:id="990140929">
      <w:bodyDiv w:val="1"/>
      <w:marLeft w:val="0"/>
      <w:marRight w:val="0"/>
      <w:marTop w:val="0"/>
      <w:marBottom w:val="0"/>
      <w:divBdr>
        <w:top w:val="none" w:sz="0" w:space="0" w:color="auto"/>
        <w:left w:val="none" w:sz="0" w:space="0" w:color="auto"/>
        <w:bottom w:val="none" w:sz="0" w:space="0" w:color="auto"/>
        <w:right w:val="none" w:sz="0" w:space="0" w:color="auto"/>
      </w:divBdr>
    </w:div>
    <w:div w:id="990212499">
      <w:bodyDiv w:val="1"/>
      <w:marLeft w:val="0"/>
      <w:marRight w:val="0"/>
      <w:marTop w:val="0"/>
      <w:marBottom w:val="0"/>
      <w:divBdr>
        <w:top w:val="none" w:sz="0" w:space="0" w:color="auto"/>
        <w:left w:val="none" w:sz="0" w:space="0" w:color="auto"/>
        <w:bottom w:val="none" w:sz="0" w:space="0" w:color="auto"/>
        <w:right w:val="none" w:sz="0" w:space="0" w:color="auto"/>
      </w:divBdr>
    </w:div>
    <w:div w:id="990212832">
      <w:bodyDiv w:val="1"/>
      <w:marLeft w:val="0"/>
      <w:marRight w:val="0"/>
      <w:marTop w:val="0"/>
      <w:marBottom w:val="0"/>
      <w:divBdr>
        <w:top w:val="none" w:sz="0" w:space="0" w:color="auto"/>
        <w:left w:val="none" w:sz="0" w:space="0" w:color="auto"/>
        <w:bottom w:val="none" w:sz="0" w:space="0" w:color="auto"/>
        <w:right w:val="none" w:sz="0" w:space="0" w:color="auto"/>
      </w:divBdr>
    </w:div>
    <w:div w:id="990249718">
      <w:bodyDiv w:val="1"/>
      <w:marLeft w:val="0"/>
      <w:marRight w:val="0"/>
      <w:marTop w:val="0"/>
      <w:marBottom w:val="0"/>
      <w:divBdr>
        <w:top w:val="none" w:sz="0" w:space="0" w:color="auto"/>
        <w:left w:val="none" w:sz="0" w:space="0" w:color="auto"/>
        <w:bottom w:val="none" w:sz="0" w:space="0" w:color="auto"/>
        <w:right w:val="none" w:sz="0" w:space="0" w:color="auto"/>
      </w:divBdr>
    </w:div>
    <w:div w:id="990325644">
      <w:bodyDiv w:val="1"/>
      <w:marLeft w:val="0"/>
      <w:marRight w:val="0"/>
      <w:marTop w:val="0"/>
      <w:marBottom w:val="0"/>
      <w:divBdr>
        <w:top w:val="none" w:sz="0" w:space="0" w:color="auto"/>
        <w:left w:val="none" w:sz="0" w:space="0" w:color="auto"/>
        <w:bottom w:val="none" w:sz="0" w:space="0" w:color="auto"/>
        <w:right w:val="none" w:sz="0" w:space="0" w:color="auto"/>
      </w:divBdr>
    </w:div>
    <w:div w:id="990326850">
      <w:bodyDiv w:val="1"/>
      <w:marLeft w:val="0"/>
      <w:marRight w:val="0"/>
      <w:marTop w:val="0"/>
      <w:marBottom w:val="0"/>
      <w:divBdr>
        <w:top w:val="none" w:sz="0" w:space="0" w:color="auto"/>
        <w:left w:val="none" w:sz="0" w:space="0" w:color="auto"/>
        <w:bottom w:val="none" w:sz="0" w:space="0" w:color="auto"/>
        <w:right w:val="none" w:sz="0" w:space="0" w:color="auto"/>
      </w:divBdr>
    </w:div>
    <w:div w:id="990404504">
      <w:bodyDiv w:val="1"/>
      <w:marLeft w:val="0"/>
      <w:marRight w:val="0"/>
      <w:marTop w:val="0"/>
      <w:marBottom w:val="0"/>
      <w:divBdr>
        <w:top w:val="none" w:sz="0" w:space="0" w:color="auto"/>
        <w:left w:val="none" w:sz="0" w:space="0" w:color="auto"/>
        <w:bottom w:val="none" w:sz="0" w:space="0" w:color="auto"/>
        <w:right w:val="none" w:sz="0" w:space="0" w:color="auto"/>
      </w:divBdr>
    </w:div>
    <w:div w:id="990522215">
      <w:bodyDiv w:val="1"/>
      <w:marLeft w:val="0"/>
      <w:marRight w:val="0"/>
      <w:marTop w:val="0"/>
      <w:marBottom w:val="0"/>
      <w:divBdr>
        <w:top w:val="none" w:sz="0" w:space="0" w:color="auto"/>
        <w:left w:val="none" w:sz="0" w:space="0" w:color="auto"/>
        <w:bottom w:val="none" w:sz="0" w:space="0" w:color="auto"/>
        <w:right w:val="none" w:sz="0" w:space="0" w:color="auto"/>
      </w:divBdr>
    </w:div>
    <w:div w:id="990525900">
      <w:bodyDiv w:val="1"/>
      <w:marLeft w:val="0"/>
      <w:marRight w:val="0"/>
      <w:marTop w:val="0"/>
      <w:marBottom w:val="0"/>
      <w:divBdr>
        <w:top w:val="none" w:sz="0" w:space="0" w:color="auto"/>
        <w:left w:val="none" w:sz="0" w:space="0" w:color="auto"/>
        <w:bottom w:val="none" w:sz="0" w:space="0" w:color="auto"/>
        <w:right w:val="none" w:sz="0" w:space="0" w:color="auto"/>
      </w:divBdr>
    </w:div>
    <w:div w:id="990645487">
      <w:bodyDiv w:val="1"/>
      <w:marLeft w:val="0"/>
      <w:marRight w:val="0"/>
      <w:marTop w:val="0"/>
      <w:marBottom w:val="0"/>
      <w:divBdr>
        <w:top w:val="none" w:sz="0" w:space="0" w:color="auto"/>
        <w:left w:val="none" w:sz="0" w:space="0" w:color="auto"/>
        <w:bottom w:val="none" w:sz="0" w:space="0" w:color="auto"/>
        <w:right w:val="none" w:sz="0" w:space="0" w:color="auto"/>
      </w:divBdr>
    </w:div>
    <w:div w:id="990716903">
      <w:bodyDiv w:val="1"/>
      <w:marLeft w:val="0"/>
      <w:marRight w:val="0"/>
      <w:marTop w:val="0"/>
      <w:marBottom w:val="0"/>
      <w:divBdr>
        <w:top w:val="none" w:sz="0" w:space="0" w:color="auto"/>
        <w:left w:val="none" w:sz="0" w:space="0" w:color="auto"/>
        <w:bottom w:val="none" w:sz="0" w:space="0" w:color="auto"/>
        <w:right w:val="none" w:sz="0" w:space="0" w:color="auto"/>
      </w:divBdr>
    </w:div>
    <w:div w:id="990790153">
      <w:bodyDiv w:val="1"/>
      <w:marLeft w:val="0"/>
      <w:marRight w:val="0"/>
      <w:marTop w:val="0"/>
      <w:marBottom w:val="0"/>
      <w:divBdr>
        <w:top w:val="none" w:sz="0" w:space="0" w:color="auto"/>
        <w:left w:val="none" w:sz="0" w:space="0" w:color="auto"/>
        <w:bottom w:val="none" w:sz="0" w:space="0" w:color="auto"/>
        <w:right w:val="none" w:sz="0" w:space="0" w:color="auto"/>
      </w:divBdr>
    </w:div>
    <w:div w:id="990793508">
      <w:bodyDiv w:val="1"/>
      <w:marLeft w:val="0"/>
      <w:marRight w:val="0"/>
      <w:marTop w:val="0"/>
      <w:marBottom w:val="0"/>
      <w:divBdr>
        <w:top w:val="none" w:sz="0" w:space="0" w:color="auto"/>
        <w:left w:val="none" w:sz="0" w:space="0" w:color="auto"/>
        <w:bottom w:val="none" w:sz="0" w:space="0" w:color="auto"/>
        <w:right w:val="none" w:sz="0" w:space="0" w:color="auto"/>
      </w:divBdr>
    </w:div>
    <w:div w:id="990871347">
      <w:bodyDiv w:val="1"/>
      <w:marLeft w:val="0"/>
      <w:marRight w:val="0"/>
      <w:marTop w:val="0"/>
      <w:marBottom w:val="0"/>
      <w:divBdr>
        <w:top w:val="none" w:sz="0" w:space="0" w:color="auto"/>
        <w:left w:val="none" w:sz="0" w:space="0" w:color="auto"/>
        <w:bottom w:val="none" w:sz="0" w:space="0" w:color="auto"/>
        <w:right w:val="none" w:sz="0" w:space="0" w:color="auto"/>
      </w:divBdr>
    </w:div>
    <w:div w:id="990907699">
      <w:bodyDiv w:val="1"/>
      <w:marLeft w:val="0"/>
      <w:marRight w:val="0"/>
      <w:marTop w:val="0"/>
      <w:marBottom w:val="0"/>
      <w:divBdr>
        <w:top w:val="none" w:sz="0" w:space="0" w:color="auto"/>
        <w:left w:val="none" w:sz="0" w:space="0" w:color="auto"/>
        <w:bottom w:val="none" w:sz="0" w:space="0" w:color="auto"/>
        <w:right w:val="none" w:sz="0" w:space="0" w:color="auto"/>
      </w:divBdr>
    </w:div>
    <w:div w:id="990982642">
      <w:bodyDiv w:val="1"/>
      <w:marLeft w:val="0"/>
      <w:marRight w:val="0"/>
      <w:marTop w:val="0"/>
      <w:marBottom w:val="0"/>
      <w:divBdr>
        <w:top w:val="none" w:sz="0" w:space="0" w:color="auto"/>
        <w:left w:val="none" w:sz="0" w:space="0" w:color="auto"/>
        <w:bottom w:val="none" w:sz="0" w:space="0" w:color="auto"/>
        <w:right w:val="none" w:sz="0" w:space="0" w:color="auto"/>
      </w:divBdr>
    </w:div>
    <w:div w:id="991371525">
      <w:bodyDiv w:val="1"/>
      <w:marLeft w:val="0"/>
      <w:marRight w:val="0"/>
      <w:marTop w:val="0"/>
      <w:marBottom w:val="0"/>
      <w:divBdr>
        <w:top w:val="none" w:sz="0" w:space="0" w:color="auto"/>
        <w:left w:val="none" w:sz="0" w:space="0" w:color="auto"/>
        <w:bottom w:val="none" w:sz="0" w:space="0" w:color="auto"/>
        <w:right w:val="none" w:sz="0" w:space="0" w:color="auto"/>
      </w:divBdr>
    </w:div>
    <w:div w:id="991569417">
      <w:bodyDiv w:val="1"/>
      <w:marLeft w:val="0"/>
      <w:marRight w:val="0"/>
      <w:marTop w:val="0"/>
      <w:marBottom w:val="0"/>
      <w:divBdr>
        <w:top w:val="none" w:sz="0" w:space="0" w:color="auto"/>
        <w:left w:val="none" w:sz="0" w:space="0" w:color="auto"/>
        <w:bottom w:val="none" w:sz="0" w:space="0" w:color="auto"/>
        <w:right w:val="none" w:sz="0" w:space="0" w:color="auto"/>
      </w:divBdr>
    </w:div>
    <w:div w:id="991786983">
      <w:bodyDiv w:val="1"/>
      <w:marLeft w:val="0"/>
      <w:marRight w:val="0"/>
      <w:marTop w:val="0"/>
      <w:marBottom w:val="0"/>
      <w:divBdr>
        <w:top w:val="none" w:sz="0" w:space="0" w:color="auto"/>
        <w:left w:val="none" w:sz="0" w:space="0" w:color="auto"/>
        <w:bottom w:val="none" w:sz="0" w:space="0" w:color="auto"/>
        <w:right w:val="none" w:sz="0" w:space="0" w:color="auto"/>
      </w:divBdr>
    </w:div>
    <w:div w:id="991787749">
      <w:bodyDiv w:val="1"/>
      <w:marLeft w:val="0"/>
      <w:marRight w:val="0"/>
      <w:marTop w:val="0"/>
      <w:marBottom w:val="0"/>
      <w:divBdr>
        <w:top w:val="none" w:sz="0" w:space="0" w:color="auto"/>
        <w:left w:val="none" w:sz="0" w:space="0" w:color="auto"/>
        <w:bottom w:val="none" w:sz="0" w:space="0" w:color="auto"/>
        <w:right w:val="none" w:sz="0" w:space="0" w:color="auto"/>
      </w:divBdr>
    </w:div>
    <w:div w:id="991836365">
      <w:bodyDiv w:val="1"/>
      <w:marLeft w:val="0"/>
      <w:marRight w:val="0"/>
      <w:marTop w:val="0"/>
      <w:marBottom w:val="0"/>
      <w:divBdr>
        <w:top w:val="none" w:sz="0" w:space="0" w:color="auto"/>
        <w:left w:val="none" w:sz="0" w:space="0" w:color="auto"/>
        <w:bottom w:val="none" w:sz="0" w:space="0" w:color="auto"/>
        <w:right w:val="none" w:sz="0" w:space="0" w:color="auto"/>
      </w:divBdr>
    </w:div>
    <w:div w:id="991907119">
      <w:bodyDiv w:val="1"/>
      <w:marLeft w:val="0"/>
      <w:marRight w:val="0"/>
      <w:marTop w:val="0"/>
      <w:marBottom w:val="0"/>
      <w:divBdr>
        <w:top w:val="none" w:sz="0" w:space="0" w:color="auto"/>
        <w:left w:val="none" w:sz="0" w:space="0" w:color="auto"/>
        <w:bottom w:val="none" w:sz="0" w:space="0" w:color="auto"/>
        <w:right w:val="none" w:sz="0" w:space="0" w:color="auto"/>
      </w:divBdr>
    </w:div>
    <w:div w:id="991911745">
      <w:bodyDiv w:val="1"/>
      <w:marLeft w:val="0"/>
      <w:marRight w:val="0"/>
      <w:marTop w:val="0"/>
      <w:marBottom w:val="0"/>
      <w:divBdr>
        <w:top w:val="none" w:sz="0" w:space="0" w:color="auto"/>
        <w:left w:val="none" w:sz="0" w:space="0" w:color="auto"/>
        <w:bottom w:val="none" w:sz="0" w:space="0" w:color="auto"/>
        <w:right w:val="none" w:sz="0" w:space="0" w:color="auto"/>
      </w:divBdr>
    </w:div>
    <w:div w:id="991979834">
      <w:bodyDiv w:val="1"/>
      <w:marLeft w:val="0"/>
      <w:marRight w:val="0"/>
      <w:marTop w:val="0"/>
      <w:marBottom w:val="0"/>
      <w:divBdr>
        <w:top w:val="none" w:sz="0" w:space="0" w:color="auto"/>
        <w:left w:val="none" w:sz="0" w:space="0" w:color="auto"/>
        <w:bottom w:val="none" w:sz="0" w:space="0" w:color="auto"/>
        <w:right w:val="none" w:sz="0" w:space="0" w:color="auto"/>
      </w:divBdr>
    </w:div>
    <w:div w:id="992219029">
      <w:bodyDiv w:val="1"/>
      <w:marLeft w:val="0"/>
      <w:marRight w:val="0"/>
      <w:marTop w:val="0"/>
      <w:marBottom w:val="0"/>
      <w:divBdr>
        <w:top w:val="none" w:sz="0" w:space="0" w:color="auto"/>
        <w:left w:val="none" w:sz="0" w:space="0" w:color="auto"/>
        <w:bottom w:val="none" w:sz="0" w:space="0" w:color="auto"/>
        <w:right w:val="none" w:sz="0" w:space="0" w:color="auto"/>
      </w:divBdr>
    </w:div>
    <w:div w:id="992221117">
      <w:bodyDiv w:val="1"/>
      <w:marLeft w:val="0"/>
      <w:marRight w:val="0"/>
      <w:marTop w:val="0"/>
      <w:marBottom w:val="0"/>
      <w:divBdr>
        <w:top w:val="none" w:sz="0" w:space="0" w:color="auto"/>
        <w:left w:val="none" w:sz="0" w:space="0" w:color="auto"/>
        <w:bottom w:val="none" w:sz="0" w:space="0" w:color="auto"/>
        <w:right w:val="none" w:sz="0" w:space="0" w:color="auto"/>
      </w:divBdr>
    </w:div>
    <w:div w:id="992221798">
      <w:bodyDiv w:val="1"/>
      <w:marLeft w:val="0"/>
      <w:marRight w:val="0"/>
      <w:marTop w:val="0"/>
      <w:marBottom w:val="0"/>
      <w:divBdr>
        <w:top w:val="none" w:sz="0" w:space="0" w:color="auto"/>
        <w:left w:val="none" w:sz="0" w:space="0" w:color="auto"/>
        <w:bottom w:val="none" w:sz="0" w:space="0" w:color="auto"/>
        <w:right w:val="none" w:sz="0" w:space="0" w:color="auto"/>
      </w:divBdr>
    </w:div>
    <w:div w:id="992222125">
      <w:bodyDiv w:val="1"/>
      <w:marLeft w:val="0"/>
      <w:marRight w:val="0"/>
      <w:marTop w:val="0"/>
      <w:marBottom w:val="0"/>
      <w:divBdr>
        <w:top w:val="none" w:sz="0" w:space="0" w:color="auto"/>
        <w:left w:val="none" w:sz="0" w:space="0" w:color="auto"/>
        <w:bottom w:val="none" w:sz="0" w:space="0" w:color="auto"/>
        <w:right w:val="none" w:sz="0" w:space="0" w:color="auto"/>
      </w:divBdr>
    </w:div>
    <w:div w:id="992294189">
      <w:bodyDiv w:val="1"/>
      <w:marLeft w:val="0"/>
      <w:marRight w:val="0"/>
      <w:marTop w:val="0"/>
      <w:marBottom w:val="0"/>
      <w:divBdr>
        <w:top w:val="none" w:sz="0" w:space="0" w:color="auto"/>
        <w:left w:val="none" w:sz="0" w:space="0" w:color="auto"/>
        <w:bottom w:val="none" w:sz="0" w:space="0" w:color="auto"/>
        <w:right w:val="none" w:sz="0" w:space="0" w:color="auto"/>
      </w:divBdr>
    </w:div>
    <w:div w:id="992300016">
      <w:bodyDiv w:val="1"/>
      <w:marLeft w:val="0"/>
      <w:marRight w:val="0"/>
      <w:marTop w:val="0"/>
      <w:marBottom w:val="0"/>
      <w:divBdr>
        <w:top w:val="none" w:sz="0" w:space="0" w:color="auto"/>
        <w:left w:val="none" w:sz="0" w:space="0" w:color="auto"/>
        <w:bottom w:val="none" w:sz="0" w:space="0" w:color="auto"/>
        <w:right w:val="none" w:sz="0" w:space="0" w:color="auto"/>
      </w:divBdr>
    </w:div>
    <w:div w:id="992373854">
      <w:bodyDiv w:val="1"/>
      <w:marLeft w:val="0"/>
      <w:marRight w:val="0"/>
      <w:marTop w:val="0"/>
      <w:marBottom w:val="0"/>
      <w:divBdr>
        <w:top w:val="none" w:sz="0" w:space="0" w:color="auto"/>
        <w:left w:val="none" w:sz="0" w:space="0" w:color="auto"/>
        <w:bottom w:val="none" w:sz="0" w:space="0" w:color="auto"/>
        <w:right w:val="none" w:sz="0" w:space="0" w:color="auto"/>
      </w:divBdr>
    </w:div>
    <w:div w:id="992373880">
      <w:bodyDiv w:val="1"/>
      <w:marLeft w:val="0"/>
      <w:marRight w:val="0"/>
      <w:marTop w:val="0"/>
      <w:marBottom w:val="0"/>
      <w:divBdr>
        <w:top w:val="none" w:sz="0" w:space="0" w:color="auto"/>
        <w:left w:val="none" w:sz="0" w:space="0" w:color="auto"/>
        <w:bottom w:val="none" w:sz="0" w:space="0" w:color="auto"/>
        <w:right w:val="none" w:sz="0" w:space="0" w:color="auto"/>
      </w:divBdr>
    </w:div>
    <w:div w:id="992414965">
      <w:bodyDiv w:val="1"/>
      <w:marLeft w:val="0"/>
      <w:marRight w:val="0"/>
      <w:marTop w:val="0"/>
      <w:marBottom w:val="0"/>
      <w:divBdr>
        <w:top w:val="none" w:sz="0" w:space="0" w:color="auto"/>
        <w:left w:val="none" w:sz="0" w:space="0" w:color="auto"/>
        <w:bottom w:val="none" w:sz="0" w:space="0" w:color="auto"/>
        <w:right w:val="none" w:sz="0" w:space="0" w:color="auto"/>
      </w:divBdr>
    </w:div>
    <w:div w:id="992486590">
      <w:bodyDiv w:val="1"/>
      <w:marLeft w:val="0"/>
      <w:marRight w:val="0"/>
      <w:marTop w:val="0"/>
      <w:marBottom w:val="0"/>
      <w:divBdr>
        <w:top w:val="none" w:sz="0" w:space="0" w:color="auto"/>
        <w:left w:val="none" w:sz="0" w:space="0" w:color="auto"/>
        <w:bottom w:val="none" w:sz="0" w:space="0" w:color="auto"/>
        <w:right w:val="none" w:sz="0" w:space="0" w:color="auto"/>
      </w:divBdr>
    </w:div>
    <w:div w:id="992560999">
      <w:bodyDiv w:val="1"/>
      <w:marLeft w:val="0"/>
      <w:marRight w:val="0"/>
      <w:marTop w:val="0"/>
      <w:marBottom w:val="0"/>
      <w:divBdr>
        <w:top w:val="none" w:sz="0" w:space="0" w:color="auto"/>
        <w:left w:val="none" w:sz="0" w:space="0" w:color="auto"/>
        <w:bottom w:val="none" w:sz="0" w:space="0" w:color="auto"/>
        <w:right w:val="none" w:sz="0" w:space="0" w:color="auto"/>
      </w:divBdr>
    </w:div>
    <w:div w:id="992561272">
      <w:bodyDiv w:val="1"/>
      <w:marLeft w:val="0"/>
      <w:marRight w:val="0"/>
      <w:marTop w:val="0"/>
      <w:marBottom w:val="0"/>
      <w:divBdr>
        <w:top w:val="none" w:sz="0" w:space="0" w:color="auto"/>
        <w:left w:val="none" w:sz="0" w:space="0" w:color="auto"/>
        <w:bottom w:val="none" w:sz="0" w:space="0" w:color="auto"/>
        <w:right w:val="none" w:sz="0" w:space="0" w:color="auto"/>
      </w:divBdr>
    </w:div>
    <w:div w:id="992567285">
      <w:bodyDiv w:val="1"/>
      <w:marLeft w:val="0"/>
      <w:marRight w:val="0"/>
      <w:marTop w:val="0"/>
      <w:marBottom w:val="0"/>
      <w:divBdr>
        <w:top w:val="none" w:sz="0" w:space="0" w:color="auto"/>
        <w:left w:val="none" w:sz="0" w:space="0" w:color="auto"/>
        <w:bottom w:val="none" w:sz="0" w:space="0" w:color="auto"/>
        <w:right w:val="none" w:sz="0" w:space="0" w:color="auto"/>
      </w:divBdr>
    </w:div>
    <w:div w:id="992759422">
      <w:bodyDiv w:val="1"/>
      <w:marLeft w:val="0"/>
      <w:marRight w:val="0"/>
      <w:marTop w:val="0"/>
      <w:marBottom w:val="0"/>
      <w:divBdr>
        <w:top w:val="none" w:sz="0" w:space="0" w:color="auto"/>
        <w:left w:val="none" w:sz="0" w:space="0" w:color="auto"/>
        <w:bottom w:val="none" w:sz="0" w:space="0" w:color="auto"/>
        <w:right w:val="none" w:sz="0" w:space="0" w:color="auto"/>
      </w:divBdr>
    </w:div>
    <w:div w:id="992871628">
      <w:bodyDiv w:val="1"/>
      <w:marLeft w:val="0"/>
      <w:marRight w:val="0"/>
      <w:marTop w:val="0"/>
      <w:marBottom w:val="0"/>
      <w:divBdr>
        <w:top w:val="none" w:sz="0" w:space="0" w:color="auto"/>
        <w:left w:val="none" w:sz="0" w:space="0" w:color="auto"/>
        <w:bottom w:val="none" w:sz="0" w:space="0" w:color="auto"/>
        <w:right w:val="none" w:sz="0" w:space="0" w:color="auto"/>
      </w:divBdr>
    </w:div>
    <w:div w:id="992872931">
      <w:bodyDiv w:val="1"/>
      <w:marLeft w:val="0"/>
      <w:marRight w:val="0"/>
      <w:marTop w:val="0"/>
      <w:marBottom w:val="0"/>
      <w:divBdr>
        <w:top w:val="none" w:sz="0" w:space="0" w:color="auto"/>
        <w:left w:val="none" w:sz="0" w:space="0" w:color="auto"/>
        <w:bottom w:val="none" w:sz="0" w:space="0" w:color="auto"/>
        <w:right w:val="none" w:sz="0" w:space="0" w:color="auto"/>
      </w:divBdr>
    </w:div>
    <w:div w:id="992879922">
      <w:bodyDiv w:val="1"/>
      <w:marLeft w:val="0"/>
      <w:marRight w:val="0"/>
      <w:marTop w:val="0"/>
      <w:marBottom w:val="0"/>
      <w:divBdr>
        <w:top w:val="none" w:sz="0" w:space="0" w:color="auto"/>
        <w:left w:val="none" w:sz="0" w:space="0" w:color="auto"/>
        <w:bottom w:val="none" w:sz="0" w:space="0" w:color="auto"/>
        <w:right w:val="none" w:sz="0" w:space="0" w:color="auto"/>
      </w:divBdr>
    </w:div>
    <w:div w:id="992950264">
      <w:bodyDiv w:val="1"/>
      <w:marLeft w:val="0"/>
      <w:marRight w:val="0"/>
      <w:marTop w:val="0"/>
      <w:marBottom w:val="0"/>
      <w:divBdr>
        <w:top w:val="none" w:sz="0" w:space="0" w:color="auto"/>
        <w:left w:val="none" w:sz="0" w:space="0" w:color="auto"/>
        <w:bottom w:val="none" w:sz="0" w:space="0" w:color="auto"/>
        <w:right w:val="none" w:sz="0" w:space="0" w:color="auto"/>
      </w:divBdr>
    </w:div>
    <w:div w:id="993027723">
      <w:bodyDiv w:val="1"/>
      <w:marLeft w:val="0"/>
      <w:marRight w:val="0"/>
      <w:marTop w:val="0"/>
      <w:marBottom w:val="0"/>
      <w:divBdr>
        <w:top w:val="none" w:sz="0" w:space="0" w:color="auto"/>
        <w:left w:val="none" w:sz="0" w:space="0" w:color="auto"/>
        <w:bottom w:val="none" w:sz="0" w:space="0" w:color="auto"/>
        <w:right w:val="none" w:sz="0" w:space="0" w:color="auto"/>
      </w:divBdr>
    </w:div>
    <w:div w:id="993068263">
      <w:bodyDiv w:val="1"/>
      <w:marLeft w:val="0"/>
      <w:marRight w:val="0"/>
      <w:marTop w:val="0"/>
      <w:marBottom w:val="0"/>
      <w:divBdr>
        <w:top w:val="none" w:sz="0" w:space="0" w:color="auto"/>
        <w:left w:val="none" w:sz="0" w:space="0" w:color="auto"/>
        <w:bottom w:val="none" w:sz="0" w:space="0" w:color="auto"/>
        <w:right w:val="none" w:sz="0" w:space="0" w:color="auto"/>
      </w:divBdr>
    </w:div>
    <w:div w:id="993069699">
      <w:bodyDiv w:val="1"/>
      <w:marLeft w:val="0"/>
      <w:marRight w:val="0"/>
      <w:marTop w:val="0"/>
      <w:marBottom w:val="0"/>
      <w:divBdr>
        <w:top w:val="none" w:sz="0" w:space="0" w:color="auto"/>
        <w:left w:val="none" w:sz="0" w:space="0" w:color="auto"/>
        <w:bottom w:val="none" w:sz="0" w:space="0" w:color="auto"/>
        <w:right w:val="none" w:sz="0" w:space="0" w:color="auto"/>
      </w:divBdr>
    </w:div>
    <w:div w:id="993072844">
      <w:bodyDiv w:val="1"/>
      <w:marLeft w:val="0"/>
      <w:marRight w:val="0"/>
      <w:marTop w:val="0"/>
      <w:marBottom w:val="0"/>
      <w:divBdr>
        <w:top w:val="none" w:sz="0" w:space="0" w:color="auto"/>
        <w:left w:val="none" w:sz="0" w:space="0" w:color="auto"/>
        <w:bottom w:val="none" w:sz="0" w:space="0" w:color="auto"/>
        <w:right w:val="none" w:sz="0" w:space="0" w:color="auto"/>
      </w:divBdr>
    </w:div>
    <w:div w:id="993218330">
      <w:bodyDiv w:val="1"/>
      <w:marLeft w:val="0"/>
      <w:marRight w:val="0"/>
      <w:marTop w:val="0"/>
      <w:marBottom w:val="0"/>
      <w:divBdr>
        <w:top w:val="none" w:sz="0" w:space="0" w:color="auto"/>
        <w:left w:val="none" w:sz="0" w:space="0" w:color="auto"/>
        <w:bottom w:val="none" w:sz="0" w:space="0" w:color="auto"/>
        <w:right w:val="none" w:sz="0" w:space="0" w:color="auto"/>
      </w:divBdr>
    </w:div>
    <w:div w:id="993263771">
      <w:bodyDiv w:val="1"/>
      <w:marLeft w:val="0"/>
      <w:marRight w:val="0"/>
      <w:marTop w:val="0"/>
      <w:marBottom w:val="0"/>
      <w:divBdr>
        <w:top w:val="none" w:sz="0" w:space="0" w:color="auto"/>
        <w:left w:val="none" w:sz="0" w:space="0" w:color="auto"/>
        <w:bottom w:val="none" w:sz="0" w:space="0" w:color="auto"/>
        <w:right w:val="none" w:sz="0" w:space="0" w:color="auto"/>
      </w:divBdr>
    </w:div>
    <w:div w:id="993294741">
      <w:bodyDiv w:val="1"/>
      <w:marLeft w:val="0"/>
      <w:marRight w:val="0"/>
      <w:marTop w:val="0"/>
      <w:marBottom w:val="0"/>
      <w:divBdr>
        <w:top w:val="none" w:sz="0" w:space="0" w:color="auto"/>
        <w:left w:val="none" w:sz="0" w:space="0" w:color="auto"/>
        <w:bottom w:val="none" w:sz="0" w:space="0" w:color="auto"/>
        <w:right w:val="none" w:sz="0" w:space="0" w:color="auto"/>
      </w:divBdr>
    </w:div>
    <w:div w:id="993337437">
      <w:bodyDiv w:val="1"/>
      <w:marLeft w:val="0"/>
      <w:marRight w:val="0"/>
      <w:marTop w:val="0"/>
      <w:marBottom w:val="0"/>
      <w:divBdr>
        <w:top w:val="none" w:sz="0" w:space="0" w:color="auto"/>
        <w:left w:val="none" w:sz="0" w:space="0" w:color="auto"/>
        <w:bottom w:val="none" w:sz="0" w:space="0" w:color="auto"/>
        <w:right w:val="none" w:sz="0" w:space="0" w:color="auto"/>
      </w:divBdr>
    </w:div>
    <w:div w:id="993340631">
      <w:bodyDiv w:val="1"/>
      <w:marLeft w:val="0"/>
      <w:marRight w:val="0"/>
      <w:marTop w:val="0"/>
      <w:marBottom w:val="0"/>
      <w:divBdr>
        <w:top w:val="none" w:sz="0" w:space="0" w:color="auto"/>
        <w:left w:val="none" w:sz="0" w:space="0" w:color="auto"/>
        <w:bottom w:val="none" w:sz="0" w:space="0" w:color="auto"/>
        <w:right w:val="none" w:sz="0" w:space="0" w:color="auto"/>
      </w:divBdr>
    </w:div>
    <w:div w:id="993341552">
      <w:bodyDiv w:val="1"/>
      <w:marLeft w:val="0"/>
      <w:marRight w:val="0"/>
      <w:marTop w:val="0"/>
      <w:marBottom w:val="0"/>
      <w:divBdr>
        <w:top w:val="none" w:sz="0" w:space="0" w:color="auto"/>
        <w:left w:val="none" w:sz="0" w:space="0" w:color="auto"/>
        <w:bottom w:val="none" w:sz="0" w:space="0" w:color="auto"/>
        <w:right w:val="none" w:sz="0" w:space="0" w:color="auto"/>
      </w:divBdr>
    </w:div>
    <w:div w:id="993414940">
      <w:bodyDiv w:val="1"/>
      <w:marLeft w:val="0"/>
      <w:marRight w:val="0"/>
      <w:marTop w:val="0"/>
      <w:marBottom w:val="0"/>
      <w:divBdr>
        <w:top w:val="none" w:sz="0" w:space="0" w:color="auto"/>
        <w:left w:val="none" w:sz="0" w:space="0" w:color="auto"/>
        <w:bottom w:val="none" w:sz="0" w:space="0" w:color="auto"/>
        <w:right w:val="none" w:sz="0" w:space="0" w:color="auto"/>
      </w:divBdr>
    </w:div>
    <w:div w:id="993492547">
      <w:bodyDiv w:val="1"/>
      <w:marLeft w:val="0"/>
      <w:marRight w:val="0"/>
      <w:marTop w:val="0"/>
      <w:marBottom w:val="0"/>
      <w:divBdr>
        <w:top w:val="none" w:sz="0" w:space="0" w:color="auto"/>
        <w:left w:val="none" w:sz="0" w:space="0" w:color="auto"/>
        <w:bottom w:val="none" w:sz="0" w:space="0" w:color="auto"/>
        <w:right w:val="none" w:sz="0" w:space="0" w:color="auto"/>
      </w:divBdr>
    </w:div>
    <w:div w:id="993492898">
      <w:bodyDiv w:val="1"/>
      <w:marLeft w:val="0"/>
      <w:marRight w:val="0"/>
      <w:marTop w:val="0"/>
      <w:marBottom w:val="0"/>
      <w:divBdr>
        <w:top w:val="none" w:sz="0" w:space="0" w:color="auto"/>
        <w:left w:val="none" w:sz="0" w:space="0" w:color="auto"/>
        <w:bottom w:val="none" w:sz="0" w:space="0" w:color="auto"/>
        <w:right w:val="none" w:sz="0" w:space="0" w:color="auto"/>
      </w:divBdr>
    </w:div>
    <w:div w:id="993526150">
      <w:bodyDiv w:val="1"/>
      <w:marLeft w:val="0"/>
      <w:marRight w:val="0"/>
      <w:marTop w:val="0"/>
      <w:marBottom w:val="0"/>
      <w:divBdr>
        <w:top w:val="none" w:sz="0" w:space="0" w:color="auto"/>
        <w:left w:val="none" w:sz="0" w:space="0" w:color="auto"/>
        <w:bottom w:val="none" w:sz="0" w:space="0" w:color="auto"/>
        <w:right w:val="none" w:sz="0" w:space="0" w:color="auto"/>
      </w:divBdr>
    </w:div>
    <w:div w:id="993526505">
      <w:bodyDiv w:val="1"/>
      <w:marLeft w:val="0"/>
      <w:marRight w:val="0"/>
      <w:marTop w:val="0"/>
      <w:marBottom w:val="0"/>
      <w:divBdr>
        <w:top w:val="none" w:sz="0" w:space="0" w:color="auto"/>
        <w:left w:val="none" w:sz="0" w:space="0" w:color="auto"/>
        <w:bottom w:val="none" w:sz="0" w:space="0" w:color="auto"/>
        <w:right w:val="none" w:sz="0" w:space="0" w:color="auto"/>
      </w:divBdr>
    </w:div>
    <w:div w:id="993527217">
      <w:bodyDiv w:val="1"/>
      <w:marLeft w:val="0"/>
      <w:marRight w:val="0"/>
      <w:marTop w:val="0"/>
      <w:marBottom w:val="0"/>
      <w:divBdr>
        <w:top w:val="none" w:sz="0" w:space="0" w:color="auto"/>
        <w:left w:val="none" w:sz="0" w:space="0" w:color="auto"/>
        <w:bottom w:val="none" w:sz="0" w:space="0" w:color="auto"/>
        <w:right w:val="none" w:sz="0" w:space="0" w:color="auto"/>
      </w:divBdr>
    </w:div>
    <w:div w:id="993529153">
      <w:bodyDiv w:val="1"/>
      <w:marLeft w:val="0"/>
      <w:marRight w:val="0"/>
      <w:marTop w:val="0"/>
      <w:marBottom w:val="0"/>
      <w:divBdr>
        <w:top w:val="none" w:sz="0" w:space="0" w:color="auto"/>
        <w:left w:val="none" w:sz="0" w:space="0" w:color="auto"/>
        <w:bottom w:val="none" w:sz="0" w:space="0" w:color="auto"/>
        <w:right w:val="none" w:sz="0" w:space="0" w:color="auto"/>
      </w:divBdr>
    </w:div>
    <w:div w:id="993676887">
      <w:bodyDiv w:val="1"/>
      <w:marLeft w:val="0"/>
      <w:marRight w:val="0"/>
      <w:marTop w:val="0"/>
      <w:marBottom w:val="0"/>
      <w:divBdr>
        <w:top w:val="none" w:sz="0" w:space="0" w:color="auto"/>
        <w:left w:val="none" w:sz="0" w:space="0" w:color="auto"/>
        <w:bottom w:val="none" w:sz="0" w:space="0" w:color="auto"/>
        <w:right w:val="none" w:sz="0" w:space="0" w:color="auto"/>
      </w:divBdr>
    </w:div>
    <w:div w:id="993796892">
      <w:bodyDiv w:val="1"/>
      <w:marLeft w:val="0"/>
      <w:marRight w:val="0"/>
      <w:marTop w:val="0"/>
      <w:marBottom w:val="0"/>
      <w:divBdr>
        <w:top w:val="none" w:sz="0" w:space="0" w:color="auto"/>
        <w:left w:val="none" w:sz="0" w:space="0" w:color="auto"/>
        <w:bottom w:val="none" w:sz="0" w:space="0" w:color="auto"/>
        <w:right w:val="none" w:sz="0" w:space="0" w:color="auto"/>
      </w:divBdr>
    </w:div>
    <w:div w:id="993797935">
      <w:bodyDiv w:val="1"/>
      <w:marLeft w:val="0"/>
      <w:marRight w:val="0"/>
      <w:marTop w:val="0"/>
      <w:marBottom w:val="0"/>
      <w:divBdr>
        <w:top w:val="none" w:sz="0" w:space="0" w:color="auto"/>
        <w:left w:val="none" w:sz="0" w:space="0" w:color="auto"/>
        <w:bottom w:val="none" w:sz="0" w:space="0" w:color="auto"/>
        <w:right w:val="none" w:sz="0" w:space="0" w:color="auto"/>
      </w:divBdr>
    </w:div>
    <w:div w:id="993799678">
      <w:bodyDiv w:val="1"/>
      <w:marLeft w:val="0"/>
      <w:marRight w:val="0"/>
      <w:marTop w:val="0"/>
      <w:marBottom w:val="0"/>
      <w:divBdr>
        <w:top w:val="none" w:sz="0" w:space="0" w:color="auto"/>
        <w:left w:val="none" w:sz="0" w:space="0" w:color="auto"/>
        <w:bottom w:val="none" w:sz="0" w:space="0" w:color="auto"/>
        <w:right w:val="none" w:sz="0" w:space="0" w:color="auto"/>
      </w:divBdr>
    </w:div>
    <w:div w:id="993800444">
      <w:bodyDiv w:val="1"/>
      <w:marLeft w:val="0"/>
      <w:marRight w:val="0"/>
      <w:marTop w:val="0"/>
      <w:marBottom w:val="0"/>
      <w:divBdr>
        <w:top w:val="none" w:sz="0" w:space="0" w:color="auto"/>
        <w:left w:val="none" w:sz="0" w:space="0" w:color="auto"/>
        <w:bottom w:val="none" w:sz="0" w:space="0" w:color="auto"/>
        <w:right w:val="none" w:sz="0" w:space="0" w:color="auto"/>
      </w:divBdr>
    </w:div>
    <w:div w:id="993802422">
      <w:bodyDiv w:val="1"/>
      <w:marLeft w:val="0"/>
      <w:marRight w:val="0"/>
      <w:marTop w:val="0"/>
      <w:marBottom w:val="0"/>
      <w:divBdr>
        <w:top w:val="none" w:sz="0" w:space="0" w:color="auto"/>
        <w:left w:val="none" w:sz="0" w:space="0" w:color="auto"/>
        <w:bottom w:val="none" w:sz="0" w:space="0" w:color="auto"/>
        <w:right w:val="none" w:sz="0" w:space="0" w:color="auto"/>
      </w:divBdr>
    </w:div>
    <w:div w:id="993874368">
      <w:bodyDiv w:val="1"/>
      <w:marLeft w:val="0"/>
      <w:marRight w:val="0"/>
      <w:marTop w:val="0"/>
      <w:marBottom w:val="0"/>
      <w:divBdr>
        <w:top w:val="none" w:sz="0" w:space="0" w:color="auto"/>
        <w:left w:val="none" w:sz="0" w:space="0" w:color="auto"/>
        <w:bottom w:val="none" w:sz="0" w:space="0" w:color="auto"/>
        <w:right w:val="none" w:sz="0" w:space="0" w:color="auto"/>
      </w:divBdr>
    </w:div>
    <w:div w:id="993947746">
      <w:bodyDiv w:val="1"/>
      <w:marLeft w:val="0"/>
      <w:marRight w:val="0"/>
      <w:marTop w:val="0"/>
      <w:marBottom w:val="0"/>
      <w:divBdr>
        <w:top w:val="none" w:sz="0" w:space="0" w:color="auto"/>
        <w:left w:val="none" w:sz="0" w:space="0" w:color="auto"/>
        <w:bottom w:val="none" w:sz="0" w:space="0" w:color="auto"/>
        <w:right w:val="none" w:sz="0" w:space="0" w:color="auto"/>
      </w:divBdr>
    </w:div>
    <w:div w:id="993988658">
      <w:bodyDiv w:val="1"/>
      <w:marLeft w:val="0"/>
      <w:marRight w:val="0"/>
      <w:marTop w:val="0"/>
      <w:marBottom w:val="0"/>
      <w:divBdr>
        <w:top w:val="none" w:sz="0" w:space="0" w:color="auto"/>
        <w:left w:val="none" w:sz="0" w:space="0" w:color="auto"/>
        <w:bottom w:val="none" w:sz="0" w:space="0" w:color="auto"/>
        <w:right w:val="none" w:sz="0" w:space="0" w:color="auto"/>
      </w:divBdr>
    </w:div>
    <w:div w:id="993989670">
      <w:bodyDiv w:val="1"/>
      <w:marLeft w:val="0"/>
      <w:marRight w:val="0"/>
      <w:marTop w:val="0"/>
      <w:marBottom w:val="0"/>
      <w:divBdr>
        <w:top w:val="none" w:sz="0" w:space="0" w:color="auto"/>
        <w:left w:val="none" w:sz="0" w:space="0" w:color="auto"/>
        <w:bottom w:val="none" w:sz="0" w:space="0" w:color="auto"/>
        <w:right w:val="none" w:sz="0" w:space="0" w:color="auto"/>
      </w:divBdr>
    </w:div>
    <w:div w:id="993989917">
      <w:bodyDiv w:val="1"/>
      <w:marLeft w:val="0"/>
      <w:marRight w:val="0"/>
      <w:marTop w:val="0"/>
      <w:marBottom w:val="0"/>
      <w:divBdr>
        <w:top w:val="none" w:sz="0" w:space="0" w:color="auto"/>
        <w:left w:val="none" w:sz="0" w:space="0" w:color="auto"/>
        <w:bottom w:val="none" w:sz="0" w:space="0" w:color="auto"/>
        <w:right w:val="none" w:sz="0" w:space="0" w:color="auto"/>
      </w:divBdr>
    </w:div>
    <w:div w:id="994063331">
      <w:bodyDiv w:val="1"/>
      <w:marLeft w:val="0"/>
      <w:marRight w:val="0"/>
      <w:marTop w:val="0"/>
      <w:marBottom w:val="0"/>
      <w:divBdr>
        <w:top w:val="none" w:sz="0" w:space="0" w:color="auto"/>
        <w:left w:val="none" w:sz="0" w:space="0" w:color="auto"/>
        <w:bottom w:val="none" w:sz="0" w:space="0" w:color="auto"/>
        <w:right w:val="none" w:sz="0" w:space="0" w:color="auto"/>
      </w:divBdr>
    </w:div>
    <w:div w:id="994264054">
      <w:bodyDiv w:val="1"/>
      <w:marLeft w:val="0"/>
      <w:marRight w:val="0"/>
      <w:marTop w:val="0"/>
      <w:marBottom w:val="0"/>
      <w:divBdr>
        <w:top w:val="none" w:sz="0" w:space="0" w:color="auto"/>
        <w:left w:val="none" w:sz="0" w:space="0" w:color="auto"/>
        <w:bottom w:val="none" w:sz="0" w:space="0" w:color="auto"/>
        <w:right w:val="none" w:sz="0" w:space="0" w:color="auto"/>
      </w:divBdr>
    </w:div>
    <w:div w:id="994407206">
      <w:bodyDiv w:val="1"/>
      <w:marLeft w:val="0"/>
      <w:marRight w:val="0"/>
      <w:marTop w:val="0"/>
      <w:marBottom w:val="0"/>
      <w:divBdr>
        <w:top w:val="none" w:sz="0" w:space="0" w:color="auto"/>
        <w:left w:val="none" w:sz="0" w:space="0" w:color="auto"/>
        <w:bottom w:val="none" w:sz="0" w:space="0" w:color="auto"/>
        <w:right w:val="none" w:sz="0" w:space="0" w:color="auto"/>
      </w:divBdr>
    </w:div>
    <w:div w:id="994450919">
      <w:bodyDiv w:val="1"/>
      <w:marLeft w:val="0"/>
      <w:marRight w:val="0"/>
      <w:marTop w:val="0"/>
      <w:marBottom w:val="0"/>
      <w:divBdr>
        <w:top w:val="none" w:sz="0" w:space="0" w:color="auto"/>
        <w:left w:val="none" w:sz="0" w:space="0" w:color="auto"/>
        <w:bottom w:val="none" w:sz="0" w:space="0" w:color="auto"/>
        <w:right w:val="none" w:sz="0" w:space="0" w:color="auto"/>
      </w:divBdr>
    </w:div>
    <w:div w:id="994652120">
      <w:bodyDiv w:val="1"/>
      <w:marLeft w:val="0"/>
      <w:marRight w:val="0"/>
      <w:marTop w:val="0"/>
      <w:marBottom w:val="0"/>
      <w:divBdr>
        <w:top w:val="none" w:sz="0" w:space="0" w:color="auto"/>
        <w:left w:val="none" w:sz="0" w:space="0" w:color="auto"/>
        <w:bottom w:val="none" w:sz="0" w:space="0" w:color="auto"/>
        <w:right w:val="none" w:sz="0" w:space="0" w:color="auto"/>
      </w:divBdr>
    </w:div>
    <w:div w:id="994796376">
      <w:bodyDiv w:val="1"/>
      <w:marLeft w:val="0"/>
      <w:marRight w:val="0"/>
      <w:marTop w:val="0"/>
      <w:marBottom w:val="0"/>
      <w:divBdr>
        <w:top w:val="none" w:sz="0" w:space="0" w:color="auto"/>
        <w:left w:val="none" w:sz="0" w:space="0" w:color="auto"/>
        <w:bottom w:val="none" w:sz="0" w:space="0" w:color="auto"/>
        <w:right w:val="none" w:sz="0" w:space="0" w:color="auto"/>
      </w:divBdr>
    </w:div>
    <w:div w:id="994800547">
      <w:bodyDiv w:val="1"/>
      <w:marLeft w:val="0"/>
      <w:marRight w:val="0"/>
      <w:marTop w:val="0"/>
      <w:marBottom w:val="0"/>
      <w:divBdr>
        <w:top w:val="none" w:sz="0" w:space="0" w:color="auto"/>
        <w:left w:val="none" w:sz="0" w:space="0" w:color="auto"/>
        <w:bottom w:val="none" w:sz="0" w:space="0" w:color="auto"/>
        <w:right w:val="none" w:sz="0" w:space="0" w:color="auto"/>
      </w:divBdr>
    </w:div>
    <w:div w:id="995035914">
      <w:bodyDiv w:val="1"/>
      <w:marLeft w:val="0"/>
      <w:marRight w:val="0"/>
      <w:marTop w:val="0"/>
      <w:marBottom w:val="0"/>
      <w:divBdr>
        <w:top w:val="none" w:sz="0" w:space="0" w:color="auto"/>
        <w:left w:val="none" w:sz="0" w:space="0" w:color="auto"/>
        <w:bottom w:val="none" w:sz="0" w:space="0" w:color="auto"/>
        <w:right w:val="none" w:sz="0" w:space="0" w:color="auto"/>
      </w:divBdr>
    </w:div>
    <w:div w:id="995038401">
      <w:bodyDiv w:val="1"/>
      <w:marLeft w:val="0"/>
      <w:marRight w:val="0"/>
      <w:marTop w:val="0"/>
      <w:marBottom w:val="0"/>
      <w:divBdr>
        <w:top w:val="none" w:sz="0" w:space="0" w:color="auto"/>
        <w:left w:val="none" w:sz="0" w:space="0" w:color="auto"/>
        <w:bottom w:val="none" w:sz="0" w:space="0" w:color="auto"/>
        <w:right w:val="none" w:sz="0" w:space="0" w:color="auto"/>
      </w:divBdr>
    </w:div>
    <w:div w:id="995262452">
      <w:bodyDiv w:val="1"/>
      <w:marLeft w:val="0"/>
      <w:marRight w:val="0"/>
      <w:marTop w:val="0"/>
      <w:marBottom w:val="0"/>
      <w:divBdr>
        <w:top w:val="none" w:sz="0" w:space="0" w:color="auto"/>
        <w:left w:val="none" w:sz="0" w:space="0" w:color="auto"/>
        <w:bottom w:val="none" w:sz="0" w:space="0" w:color="auto"/>
        <w:right w:val="none" w:sz="0" w:space="0" w:color="auto"/>
      </w:divBdr>
    </w:div>
    <w:div w:id="995308099">
      <w:bodyDiv w:val="1"/>
      <w:marLeft w:val="0"/>
      <w:marRight w:val="0"/>
      <w:marTop w:val="0"/>
      <w:marBottom w:val="0"/>
      <w:divBdr>
        <w:top w:val="none" w:sz="0" w:space="0" w:color="auto"/>
        <w:left w:val="none" w:sz="0" w:space="0" w:color="auto"/>
        <w:bottom w:val="none" w:sz="0" w:space="0" w:color="auto"/>
        <w:right w:val="none" w:sz="0" w:space="0" w:color="auto"/>
      </w:divBdr>
    </w:div>
    <w:div w:id="995572666">
      <w:bodyDiv w:val="1"/>
      <w:marLeft w:val="0"/>
      <w:marRight w:val="0"/>
      <w:marTop w:val="0"/>
      <w:marBottom w:val="0"/>
      <w:divBdr>
        <w:top w:val="none" w:sz="0" w:space="0" w:color="auto"/>
        <w:left w:val="none" w:sz="0" w:space="0" w:color="auto"/>
        <w:bottom w:val="none" w:sz="0" w:space="0" w:color="auto"/>
        <w:right w:val="none" w:sz="0" w:space="0" w:color="auto"/>
      </w:divBdr>
    </w:div>
    <w:div w:id="995688632">
      <w:bodyDiv w:val="1"/>
      <w:marLeft w:val="0"/>
      <w:marRight w:val="0"/>
      <w:marTop w:val="0"/>
      <w:marBottom w:val="0"/>
      <w:divBdr>
        <w:top w:val="none" w:sz="0" w:space="0" w:color="auto"/>
        <w:left w:val="none" w:sz="0" w:space="0" w:color="auto"/>
        <w:bottom w:val="none" w:sz="0" w:space="0" w:color="auto"/>
        <w:right w:val="none" w:sz="0" w:space="0" w:color="auto"/>
      </w:divBdr>
    </w:div>
    <w:div w:id="995765289">
      <w:bodyDiv w:val="1"/>
      <w:marLeft w:val="0"/>
      <w:marRight w:val="0"/>
      <w:marTop w:val="0"/>
      <w:marBottom w:val="0"/>
      <w:divBdr>
        <w:top w:val="none" w:sz="0" w:space="0" w:color="auto"/>
        <w:left w:val="none" w:sz="0" w:space="0" w:color="auto"/>
        <w:bottom w:val="none" w:sz="0" w:space="0" w:color="auto"/>
        <w:right w:val="none" w:sz="0" w:space="0" w:color="auto"/>
      </w:divBdr>
    </w:div>
    <w:div w:id="995838890">
      <w:bodyDiv w:val="1"/>
      <w:marLeft w:val="0"/>
      <w:marRight w:val="0"/>
      <w:marTop w:val="0"/>
      <w:marBottom w:val="0"/>
      <w:divBdr>
        <w:top w:val="none" w:sz="0" w:space="0" w:color="auto"/>
        <w:left w:val="none" w:sz="0" w:space="0" w:color="auto"/>
        <w:bottom w:val="none" w:sz="0" w:space="0" w:color="auto"/>
        <w:right w:val="none" w:sz="0" w:space="0" w:color="auto"/>
      </w:divBdr>
    </w:div>
    <w:div w:id="995839742">
      <w:bodyDiv w:val="1"/>
      <w:marLeft w:val="0"/>
      <w:marRight w:val="0"/>
      <w:marTop w:val="0"/>
      <w:marBottom w:val="0"/>
      <w:divBdr>
        <w:top w:val="none" w:sz="0" w:space="0" w:color="auto"/>
        <w:left w:val="none" w:sz="0" w:space="0" w:color="auto"/>
        <w:bottom w:val="none" w:sz="0" w:space="0" w:color="auto"/>
        <w:right w:val="none" w:sz="0" w:space="0" w:color="auto"/>
      </w:divBdr>
    </w:div>
    <w:div w:id="995954480">
      <w:bodyDiv w:val="1"/>
      <w:marLeft w:val="0"/>
      <w:marRight w:val="0"/>
      <w:marTop w:val="0"/>
      <w:marBottom w:val="0"/>
      <w:divBdr>
        <w:top w:val="none" w:sz="0" w:space="0" w:color="auto"/>
        <w:left w:val="none" w:sz="0" w:space="0" w:color="auto"/>
        <w:bottom w:val="none" w:sz="0" w:space="0" w:color="auto"/>
        <w:right w:val="none" w:sz="0" w:space="0" w:color="auto"/>
      </w:divBdr>
    </w:div>
    <w:div w:id="995959252">
      <w:bodyDiv w:val="1"/>
      <w:marLeft w:val="0"/>
      <w:marRight w:val="0"/>
      <w:marTop w:val="0"/>
      <w:marBottom w:val="0"/>
      <w:divBdr>
        <w:top w:val="none" w:sz="0" w:space="0" w:color="auto"/>
        <w:left w:val="none" w:sz="0" w:space="0" w:color="auto"/>
        <w:bottom w:val="none" w:sz="0" w:space="0" w:color="auto"/>
        <w:right w:val="none" w:sz="0" w:space="0" w:color="auto"/>
      </w:divBdr>
    </w:div>
    <w:div w:id="995959853">
      <w:bodyDiv w:val="1"/>
      <w:marLeft w:val="0"/>
      <w:marRight w:val="0"/>
      <w:marTop w:val="0"/>
      <w:marBottom w:val="0"/>
      <w:divBdr>
        <w:top w:val="none" w:sz="0" w:space="0" w:color="auto"/>
        <w:left w:val="none" w:sz="0" w:space="0" w:color="auto"/>
        <w:bottom w:val="none" w:sz="0" w:space="0" w:color="auto"/>
        <w:right w:val="none" w:sz="0" w:space="0" w:color="auto"/>
      </w:divBdr>
    </w:div>
    <w:div w:id="995960176">
      <w:bodyDiv w:val="1"/>
      <w:marLeft w:val="0"/>
      <w:marRight w:val="0"/>
      <w:marTop w:val="0"/>
      <w:marBottom w:val="0"/>
      <w:divBdr>
        <w:top w:val="none" w:sz="0" w:space="0" w:color="auto"/>
        <w:left w:val="none" w:sz="0" w:space="0" w:color="auto"/>
        <w:bottom w:val="none" w:sz="0" w:space="0" w:color="auto"/>
        <w:right w:val="none" w:sz="0" w:space="0" w:color="auto"/>
      </w:divBdr>
    </w:div>
    <w:div w:id="996030337">
      <w:bodyDiv w:val="1"/>
      <w:marLeft w:val="0"/>
      <w:marRight w:val="0"/>
      <w:marTop w:val="0"/>
      <w:marBottom w:val="0"/>
      <w:divBdr>
        <w:top w:val="none" w:sz="0" w:space="0" w:color="auto"/>
        <w:left w:val="none" w:sz="0" w:space="0" w:color="auto"/>
        <w:bottom w:val="none" w:sz="0" w:space="0" w:color="auto"/>
        <w:right w:val="none" w:sz="0" w:space="0" w:color="auto"/>
      </w:divBdr>
    </w:div>
    <w:div w:id="996031149">
      <w:bodyDiv w:val="1"/>
      <w:marLeft w:val="0"/>
      <w:marRight w:val="0"/>
      <w:marTop w:val="0"/>
      <w:marBottom w:val="0"/>
      <w:divBdr>
        <w:top w:val="none" w:sz="0" w:space="0" w:color="auto"/>
        <w:left w:val="none" w:sz="0" w:space="0" w:color="auto"/>
        <w:bottom w:val="none" w:sz="0" w:space="0" w:color="auto"/>
        <w:right w:val="none" w:sz="0" w:space="0" w:color="auto"/>
      </w:divBdr>
    </w:div>
    <w:div w:id="996036748">
      <w:bodyDiv w:val="1"/>
      <w:marLeft w:val="0"/>
      <w:marRight w:val="0"/>
      <w:marTop w:val="0"/>
      <w:marBottom w:val="0"/>
      <w:divBdr>
        <w:top w:val="none" w:sz="0" w:space="0" w:color="auto"/>
        <w:left w:val="none" w:sz="0" w:space="0" w:color="auto"/>
        <w:bottom w:val="none" w:sz="0" w:space="0" w:color="auto"/>
        <w:right w:val="none" w:sz="0" w:space="0" w:color="auto"/>
      </w:divBdr>
    </w:div>
    <w:div w:id="996149207">
      <w:bodyDiv w:val="1"/>
      <w:marLeft w:val="0"/>
      <w:marRight w:val="0"/>
      <w:marTop w:val="0"/>
      <w:marBottom w:val="0"/>
      <w:divBdr>
        <w:top w:val="none" w:sz="0" w:space="0" w:color="auto"/>
        <w:left w:val="none" w:sz="0" w:space="0" w:color="auto"/>
        <w:bottom w:val="none" w:sz="0" w:space="0" w:color="auto"/>
        <w:right w:val="none" w:sz="0" w:space="0" w:color="auto"/>
      </w:divBdr>
    </w:div>
    <w:div w:id="996149368">
      <w:bodyDiv w:val="1"/>
      <w:marLeft w:val="0"/>
      <w:marRight w:val="0"/>
      <w:marTop w:val="0"/>
      <w:marBottom w:val="0"/>
      <w:divBdr>
        <w:top w:val="none" w:sz="0" w:space="0" w:color="auto"/>
        <w:left w:val="none" w:sz="0" w:space="0" w:color="auto"/>
        <w:bottom w:val="none" w:sz="0" w:space="0" w:color="auto"/>
        <w:right w:val="none" w:sz="0" w:space="0" w:color="auto"/>
      </w:divBdr>
    </w:div>
    <w:div w:id="996231918">
      <w:bodyDiv w:val="1"/>
      <w:marLeft w:val="0"/>
      <w:marRight w:val="0"/>
      <w:marTop w:val="0"/>
      <w:marBottom w:val="0"/>
      <w:divBdr>
        <w:top w:val="none" w:sz="0" w:space="0" w:color="auto"/>
        <w:left w:val="none" w:sz="0" w:space="0" w:color="auto"/>
        <w:bottom w:val="none" w:sz="0" w:space="0" w:color="auto"/>
        <w:right w:val="none" w:sz="0" w:space="0" w:color="auto"/>
      </w:divBdr>
    </w:div>
    <w:div w:id="996347499">
      <w:bodyDiv w:val="1"/>
      <w:marLeft w:val="0"/>
      <w:marRight w:val="0"/>
      <w:marTop w:val="0"/>
      <w:marBottom w:val="0"/>
      <w:divBdr>
        <w:top w:val="none" w:sz="0" w:space="0" w:color="auto"/>
        <w:left w:val="none" w:sz="0" w:space="0" w:color="auto"/>
        <w:bottom w:val="none" w:sz="0" w:space="0" w:color="auto"/>
        <w:right w:val="none" w:sz="0" w:space="0" w:color="auto"/>
      </w:divBdr>
    </w:div>
    <w:div w:id="996416978">
      <w:bodyDiv w:val="1"/>
      <w:marLeft w:val="0"/>
      <w:marRight w:val="0"/>
      <w:marTop w:val="0"/>
      <w:marBottom w:val="0"/>
      <w:divBdr>
        <w:top w:val="none" w:sz="0" w:space="0" w:color="auto"/>
        <w:left w:val="none" w:sz="0" w:space="0" w:color="auto"/>
        <w:bottom w:val="none" w:sz="0" w:space="0" w:color="auto"/>
        <w:right w:val="none" w:sz="0" w:space="0" w:color="auto"/>
      </w:divBdr>
    </w:div>
    <w:div w:id="996496228">
      <w:bodyDiv w:val="1"/>
      <w:marLeft w:val="0"/>
      <w:marRight w:val="0"/>
      <w:marTop w:val="0"/>
      <w:marBottom w:val="0"/>
      <w:divBdr>
        <w:top w:val="none" w:sz="0" w:space="0" w:color="auto"/>
        <w:left w:val="none" w:sz="0" w:space="0" w:color="auto"/>
        <w:bottom w:val="none" w:sz="0" w:space="0" w:color="auto"/>
        <w:right w:val="none" w:sz="0" w:space="0" w:color="auto"/>
      </w:divBdr>
    </w:div>
    <w:div w:id="996617474">
      <w:bodyDiv w:val="1"/>
      <w:marLeft w:val="0"/>
      <w:marRight w:val="0"/>
      <w:marTop w:val="0"/>
      <w:marBottom w:val="0"/>
      <w:divBdr>
        <w:top w:val="none" w:sz="0" w:space="0" w:color="auto"/>
        <w:left w:val="none" w:sz="0" w:space="0" w:color="auto"/>
        <w:bottom w:val="none" w:sz="0" w:space="0" w:color="auto"/>
        <w:right w:val="none" w:sz="0" w:space="0" w:color="auto"/>
      </w:divBdr>
    </w:div>
    <w:div w:id="996687938">
      <w:bodyDiv w:val="1"/>
      <w:marLeft w:val="0"/>
      <w:marRight w:val="0"/>
      <w:marTop w:val="0"/>
      <w:marBottom w:val="0"/>
      <w:divBdr>
        <w:top w:val="none" w:sz="0" w:space="0" w:color="auto"/>
        <w:left w:val="none" w:sz="0" w:space="0" w:color="auto"/>
        <w:bottom w:val="none" w:sz="0" w:space="0" w:color="auto"/>
        <w:right w:val="none" w:sz="0" w:space="0" w:color="auto"/>
      </w:divBdr>
    </w:div>
    <w:div w:id="996688384">
      <w:bodyDiv w:val="1"/>
      <w:marLeft w:val="0"/>
      <w:marRight w:val="0"/>
      <w:marTop w:val="0"/>
      <w:marBottom w:val="0"/>
      <w:divBdr>
        <w:top w:val="none" w:sz="0" w:space="0" w:color="auto"/>
        <w:left w:val="none" w:sz="0" w:space="0" w:color="auto"/>
        <w:bottom w:val="none" w:sz="0" w:space="0" w:color="auto"/>
        <w:right w:val="none" w:sz="0" w:space="0" w:color="auto"/>
      </w:divBdr>
    </w:div>
    <w:div w:id="996766815">
      <w:bodyDiv w:val="1"/>
      <w:marLeft w:val="0"/>
      <w:marRight w:val="0"/>
      <w:marTop w:val="0"/>
      <w:marBottom w:val="0"/>
      <w:divBdr>
        <w:top w:val="none" w:sz="0" w:space="0" w:color="auto"/>
        <w:left w:val="none" w:sz="0" w:space="0" w:color="auto"/>
        <w:bottom w:val="none" w:sz="0" w:space="0" w:color="auto"/>
        <w:right w:val="none" w:sz="0" w:space="0" w:color="auto"/>
      </w:divBdr>
    </w:div>
    <w:div w:id="996884778">
      <w:bodyDiv w:val="1"/>
      <w:marLeft w:val="0"/>
      <w:marRight w:val="0"/>
      <w:marTop w:val="0"/>
      <w:marBottom w:val="0"/>
      <w:divBdr>
        <w:top w:val="none" w:sz="0" w:space="0" w:color="auto"/>
        <w:left w:val="none" w:sz="0" w:space="0" w:color="auto"/>
        <w:bottom w:val="none" w:sz="0" w:space="0" w:color="auto"/>
        <w:right w:val="none" w:sz="0" w:space="0" w:color="auto"/>
      </w:divBdr>
    </w:div>
    <w:div w:id="996962484">
      <w:bodyDiv w:val="1"/>
      <w:marLeft w:val="0"/>
      <w:marRight w:val="0"/>
      <w:marTop w:val="0"/>
      <w:marBottom w:val="0"/>
      <w:divBdr>
        <w:top w:val="none" w:sz="0" w:space="0" w:color="auto"/>
        <w:left w:val="none" w:sz="0" w:space="0" w:color="auto"/>
        <w:bottom w:val="none" w:sz="0" w:space="0" w:color="auto"/>
        <w:right w:val="none" w:sz="0" w:space="0" w:color="auto"/>
      </w:divBdr>
    </w:div>
    <w:div w:id="997003110">
      <w:bodyDiv w:val="1"/>
      <w:marLeft w:val="0"/>
      <w:marRight w:val="0"/>
      <w:marTop w:val="0"/>
      <w:marBottom w:val="0"/>
      <w:divBdr>
        <w:top w:val="none" w:sz="0" w:space="0" w:color="auto"/>
        <w:left w:val="none" w:sz="0" w:space="0" w:color="auto"/>
        <w:bottom w:val="none" w:sz="0" w:space="0" w:color="auto"/>
        <w:right w:val="none" w:sz="0" w:space="0" w:color="auto"/>
      </w:divBdr>
    </w:div>
    <w:div w:id="997028835">
      <w:bodyDiv w:val="1"/>
      <w:marLeft w:val="0"/>
      <w:marRight w:val="0"/>
      <w:marTop w:val="0"/>
      <w:marBottom w:val="0"/>
      <w:divBdr>
        <w:top w:val="none" w:sz="0" w:space="0" w:color="auto"/>
        <w:left w:val="none" w:sz="0" w:space="0" w:color="auto"/>
        <w:bottom w:val="none" w:sz="0" w:space="0" w:color="auto"/>
        <w:right w:val="none" w:sz="0" w:space="0" w:color="auto"/>
      </w:divBdr>
    </w:div>
    <w:div w:id="997074431">
      <w:bodyDiv w:val="1"/>
      <w:marLeft w:val="0"/>
      <w:marRight w:val="0"/>
      <w:marTop w:val="0"/>
      <w:marBottom w:val="0"/>
      <w:divBdr>
        <w:top w:val="none" w:sz="0" w:space="0" w:color="auto"/>
        <w:left w:val="none" w:sz="0" w:space="0" w:color="auto"/>
        <w:bottom w:val="none" w:sz="0" w:space="0" w:color="auto"/>
        <w:right w:val="none" w:sz="0" w:space="0" w:color="auto"/>
      </w:divBdr>
    </w:div>
    <w:div w:id="997153129">
      <w:bodyDiv w:val="1"/>
      <w:marLeft w:val="0"/>
      <w:marRight w:val="0"/>
      <w:marTop w:val="0"/>
      <w:marBottom w:val="0"/>
      <w:divBdr>
        <w:top w:val="none" w:sz="0" w:space="0" w:color="auto"/>
        <w:left w:val="none" w:sz="0" w:space="0" w:color="auto"/>
        <w:bottom w:val="none" w:sz="0" w:space="0" w:color="auto"/>
        <w:right w:val="none" w:sz="0" w:space="0" w:color="auto"/>
      </w:divBdr>
    </w:div>
    <w:div w:id="997272303">
      <w:bodyDiv w:val="1"/>
      <w:marLeft w:val="0"/>
      <w:marRight w:val="0"/>
      <w:marTop w:val="0"/>
      <w:marBottom w:val="0"/>
      <w:divBdr>
        <w:top w:val="none" w:sz="0" w:space="0" w:color="auto"/>
        <w:left w:val="none" w:sz="0" w:space="0" w:color="auto"/>
        <w:bottom w:val="none" w:sz="0" w:space="0" w:color="auto"/>
        <w:right w:val="none" w:sz="0" w:space="0" w:color="auto"/>
      </w:divBdr>
    </w:div>
    <w:div w:id="997272476">
      <w:bodyDiv w:val="1"/>
      <w:marLeft w:val="0"/>
      <w:marRight w:val="0"/>
      <w:marTop w:val="0"/>
      <w:marBottom w:val="0"/>
      <w:divBdr>
        <w:top w:val="none" w:sz="0" w:space="0" w:color="auto"/>
        <w:left w:val="none" w:sz="0" w:space="0" w:color="auto"/>
        <w:bottom w:val="none" w:sz="0" w:space="0" w:color="auto"/>
        <w:right w:val="none" w:sz="0" w:space="0" w:color="auto"/>
      </w:divBdr>
    </w:div>
    <w:div w:id="997414846">
      <w:bodyDiv w:val="1"/>
      <w:marLeft w:val="0"/>
      <w:marRight w:val="0"/>
      <w:marTop w:val="0"/>
      <w:marBottom w:val="0"/>
      <w:divBdr>
        <w:top w:val="none" w:sz="0" w:space="0" w:color="auto"/>
        <w:left w:val="none" w:sz="0" w:space="0" w:color="auto"/>
        <w:bottom w:val="none" w:sz="0" w:space="0" w:color="auto"/>
        <w:right w:val="none" w:sz="0" w:space="0" w:color="auto"/>
      </w:divBdr>
    </w:div>
    <w:div w:id="997423843">
      <w:bodyDiv w:val="1"/>
      <w:marLeft w:val="0"/>
      <w:marRight w:val="0"/>
      <w:marTop w:val="0"/>
      <w:marBottom w:val="0"/>
      <w:divBdr>
        <w:top w:val="none" w:sz="0" w:space="0" w:color="auto"/>
        <w:left w:val="none" w:sz="0" w:space="0" w:color="auto"/>
        <w:bottom w:val="none" w:sz="0" w:space="0" w:color="auto"/>
        <w:right w:val="none" w:sz="0" w:space="0" w:color="auto"/>
      </w:divBdr>
    </w:div>
    <w:div w:id="997459553">
      <w:bodyDiv w:val="1"/>
      <w:marLeft w:val="0"/>
      <w:marRight w:val="0"/>
      <w:marTop w:val="0"/>
      <w:marBottom w:val="0"/>
      <w:divBdr>
        <w:top w:val="none" w:sz="0" w:space="0" w:color="auto"/>
        <w:left w:val="none" w:sz="0" w:space="0" w:color="auto"/>
        <w:bottom w:val="none" w:sz="0" w:space="0" w:color="auto"/>
        <w:right w:val="none" w:sz="0" w:space="0" w:color="auto"/>
      </w:divBdr>
    </w:div>
    <w:div w:id="997459906">
      <w:bodyDiv w:val="1"/>
      <w:marLeft w:val="0"/>
      <w:marRight w:val="0"/>
      <w:marTop w:val="0"/>
      <w:marBottom w:val="0"/>
      <w:divBdr>
        <w:top w:val="none" w:sz="0" w:space="0" w:color="auto"/>
        <w:left w:val="none" w:sz="0" w:space="0" w:color="auto"/>
        <w:bottom w:val="none" w:sz="0" w:space="0" w:color="auto"/>
        <w:right w:val="none" w:sz="0" w:space="0" w:color="auto"/>
      </w:divBdr>
    </w:div>
    <w:div w:id="997538221">
      <w:bodyDiv w:val="1"/>
      <w:marLeft w:val="0"/>
      <w:marRight w:val="0"/>
      <w:marTop w:val="0"/>
      <w:marBottom w:val="0"/>
      <w:divBdr>
        <w:top w:val="none" w:sz="0" w:space="0" w:color="auto"/>
        <w:left w:val="none" w:sz="0" w:space="0" w:color="auto"/>
        <w:bottom w:val="none" w:sz="0" w:space="0" w:color="auto"/>
        <w:right w:val="none" w:sz="0" w:space="0" w:color="auto"/>
      </w:divBdr>
    </w:div>
    <w:div w:id="997687024">
      <w:bodyDiv w:val="1"/>
      <w:marLeft w:val="0"/>
      <w:marRight w:val="0"/>
      <w:marTop w:val="0"/>
      <w:marBottom w:val="0"/>
      <w:divBdr>
        <w:top w:val="none" w:sz="0" w:space="0" w:color="auto"/>
        <w:left w:val="none" w:sz="0" w:space="0" w:color="auto"/>
        <w:bottom w:val="none" w:sz="0" w:space="0" w:color="auto"/>
        <w:right w:val="none" w:sz="0" w:space="0" w:color="auto"/>
      </w:divBdr>
    </w:div>
    <w:div w:id="997728984">
      <w:bodyDiv w:val="1"/>
      <w:marLeft w:val="0"/>
      <w:marRight w:val="0"/>
      <w:marTop w:val="0"/>
      <w:marBottom w:val="0"/>
      <w:divBdr>
        <w:top w:val="none" w:sz="0" w:space="0" w:color="auto"/>
        <w:left w:val="none" w:sz="0" w:space="0" w:color="auto"/>
        <w:bottom w:val="none" w:sz="0" w:space="0" w:color="auto"/>
        <w:right w:val="none" w:sz="0" w:space="0" w:color="auto"/>
      </w:divBdr>
    </w:div>
    <w:div w:id="997731014">
      <w:bodyDiv w:val="1"/>
      <w:marLeft w:val="0"/>
      <w:marRight w:val="0"/>
      <w:marTop w:val="0"/>
      <w:marBottom w:val="0"/>
      <w:divBdr>
        <w:top w:val="none" w:sz="0" w:space="0" w:color="auto"/>
        <w:left w:val="none" w:sz="0" w:space="0" w:color="auto"/>
        <w:bottom w:val="none" w:sz="0" w:space="0" w:color="auto"/>
        <w:right w:val="none" w:sz="0" w:space="0" w:color="auto"/>
      </w:divBdr>
    </w:div>
    <w:div w:id="997735649">
      <w:bodyDiv w:val="1"/>
      <w:marLeft w:val="0"/>
      <w:marRight w:val="0"/>
      <w:marTop w:val="0"/>
      <w:marBottom w:val="0"/>
      <w:divBdr>
        <w:top w:val="none" w:sz="0" w:space="0" w:color="auto"/>
        <w:left w:val="none" w:sz="0" w:space="0" w:color="auto"/>
        <w:bottom w:val="none" w:sz="0" w:space="0" w:color="auto"/>
        <w:right w:val="none" w:sz="0" w:space="0" w:color="auto"/>
      </w:divBdr>
    </w:div>
    <w:div w:id="997881542">
      <w:bodyDiv w:val="1"/>
      <w:marLeft w:val="0"/>
      <w:marRight w:val="0"/>
      <w:marTop w:val="0"/>
      <w:marBottom w:val="0"/>
      <w:divBdr>
        <w:top w:val="none" w:sz="0" w:space="0" w:color="auto"/>
        <w:left w:val="none" w:sz="0" w:space="0" w:color="auto"/>
        <w:bottom w:val="none" w:sz="0" w:space="0" w:color="auto"/>
        <w:right w:val="none" w:sz="0" w:space="0" w:color="auto"/>
      </w:divBdr>
    </w:div>
    <w:div w:id="997925384">
      <w:bodyDiv w:val="1"/>
      <w:marLeft w:val="0"/>
      <w:marRight w:val="0"/>
      <w:marTop w:val="0"/>
      <w:marBottom w:val="0"/>
      <w:divBdr>
        <w:top w:val="none" w:sz="0" w:space="0" w:color="auto"/>
        <w:left w:val="none" w:sz="0" w:space="0" w:color="auto"/>
        <w:bottom w:val="none" w:sz="0" w:space="0" w:color="auto"/>
        <w:right w:val="none" w:sz="0" w:space="0" w:color="auto"/>
      </w:divBdr>
    </w:div>
    <w:div w:id="998072456">
      <w:bodyDiv w:val="1"/>
      <w:marLeft w:val="0"/>
      <w:marRight w:val="0"/>
      <w:marTop w:val="0"/>
      <w:marBottom w:val="0"/>
      <w:divBdr>
        <w:top w:val="none" w:sz="0" w:space="0" w:color="auto"/>
        <w:left w:val="none" w:sz="0" w:space="0" w:color="auto"/>
        <w:bottom w:val="none" w:sz="0" w:space="0" w:color="auto"/>
        <w:right w:val="none" w:sz="0" w:space="0" w:color="auto"/>
      </w:divBdr>
    </w:div>
    <w:div w:id="998077341">
      <w:bodyDiv w:val="1"/>
      <w:marLeft w:val="0"/>
      <w:marRight w:val="0"/>
      <w:marTop w:val="0"/>
      <w:marBottom w:val="0"/>
      <w:divBdr>
        <w:top w:val="none" w:sz="0" w:space="0" w:color="auto"/>
        <w:left w:val="none" w:sz="0" w:space="0" w:color="auto"/>
        <w:bottom w:val="none" w:sz="0" w:space="0" w:color="auto"/>
        <w:right w:val="none" w:sz="0" w:space="0" w:color="auto"/>
      </w:divBdr>
    </w:div>
    <w:div w:id="998194897">
      <w:bodyDiv w:val="1"/>
      <w:marLeft w:val="0"/>
      <w:marRight w:val="0"/>
      <w:marTop w:val="0"/>
      <w:marBottom w:val="0"/>
      <w:divBdr>
        <w:top w:val="none" w:sz="0" w:space="0" w:color="auto"/>
        <w:left w:val="none" w:sz="0" w:space="0" w:color="auto"/>
        <w:bottom w:val="none" w:sz="0" w:space="0" w:color="auto"/>
        <w:right w:val="none" w:sz="0" w:space="0" w:color="auto"/>
      </w:divBdr>
    </w:div>
    <w:div w:id="998271187">
      <w:bodyDiv w:val="1"/>
      <w:marLeft w:val="0"/>
      <w:marRight w:val="0"/>
      <w:marTop w:val="0"/>
      <w:marBottom w:val="0"/>
      <w:divBdr>
        <w:top w:val="none" w:sz="0" w:space="0" w:color="auto"/>
        <w:left w:val="none" w:sz="0" w:space="0" w:color="auto"/>
        <w:bottom w:val="none" w:sz="0" w:space="0" w:color="auto"/>
        <w:right w:val="none" w:sz="0" w:space="0" w:color="auto"/>
      </w:divBdr>
    </w:div>
    <w:div w:id="998340964">
      <w:bodyDiv w:val="1"/>
      <w:marLeft w:val="0"/>
      <w:marRight w:val="0"/>
      <w:marTop w:val="0"/>
      <w:marBottom w:val="0"/>
      <w:divBdr>
        <w:top w:val="none" w:sz="0" w:space="0" w:color="auto"/>
        <w:left w:val="none" w:sz="0" w:space="0" w:color="auto"/>
        <w:bottom w:val="none" w:sz="0" w:space="0" w:color="auto"/>
        <w:right w:val="none" w:sz="0" w:space="0" w:color="auto"/>
      </w:divBdr>
    </w:div>
    <w:div w:id="998461472">
      <w:bodyDiv w:val="1"/>
      <w:marLeft w:val="0"/>
      <w:marRight w:val="0"/>
      <w:marTop w:val="0"/>
      <w:marBottom w:val="0"/>
      <w:divBdr>
        <w:top w:val="none" w:sz="0" w:space="0" w:color="auto"/>
        <w:left w:val="none" w:sz="0" w:space="0" w:color="auto"/>
        <w:bottom w:val="none" w:sz="0" w:space="0" w:color="auto"/>
        <w:right w:val="none" w:sz="0" w:space="0" w:color="auto"/>
      </w:divBdr>
    </w:div>
    <w:div w:id="998506761">
      <w:bodyDiv w:val="1"/>
      <w:marLeft w:val="0"/>
      <w:marRight w:val="0"/>
      <w:marTop w:val="0"/>
      <w:marBottom w:val="0"/>
      <w:divBdr>
        <w:top w:val="none" w:sz="0" w:space="0" w:color="auto"/>
        <w:left w:val="none" w:sz="0" w:space="0" w:color="auto"/>
        <w:bottom w:val="none" w:sz="0" w:space="0" w:color="auto"/>
        <w:right w:val="none" w:sz="0" w:space="0" w:color="auto"/>
      </w:divBdr>
    </w:div>
    <w:div w:id="998535031">
      <w:bodyDiv w:val="1"/>
      <w:marLeft w:val="0"/>
      <w:marRight w:val="0"/>
      <w:marTop w:val="0"/>
      <w:marBottom w:val="0"/>
      <w:divBdr>
        <w:top w:val="none" w:sz="0" w:space="0" w:color="auto"/>
        <w:left w:val="none" w:sz="0" w:space="0" w:color="auto"/>
        <w:bottom w:val="none" w:sz="0" w:space="0" w:color="auto"/>
        <w:right w:val="none" w:sz="0" w:space="0" w:color="auto"/>
      </w:divBdr>
    </w:div>
    <w:div w:id="998579342">
      <w:bodyDiv w:val="1"/>
      <w:marLeft w:val="0"/>
      <w:marRight w:val="0"/>
      <w:marTop w:val="0"/>
      <w:marBottom w:val="0"/>
      <w:divBdr>
        <w:top w:val="none" w:sz="0" w:space="0" w:color="auto"/>
        <w:left w:val="none" w:sz="0" w:space="0" w:color="auto"/>
        <w:bottom w:val="none" w:sz="0" w:space="0" w:color="auto"/>
        <w:right w:val="none" w:sz="0" w:space="0" w:color="auto"/>
      </w:divBdr>
    </w:div>
    <w:div w:id="998581386">
      <w:bodyDiv w:val="1"/>
      <w:marLeft w:val="0"/>
      <w:marRight w:val="0"/>
      <w:marTop w:val="0"/>
      <w:marBottom w:val="0"/>
      <w:divBdr>
        <w:top w:val="none" w:sz="0" w:space="0" w:color="auto"/>
        <w:left w:val="none" w:sz="0" w:space="0" w:color="auto"/>
        <w:bottom w:val="none" w:sz="0" w:space="0" w:color="auto"/>
        <w:right w:val="none" w:sz="0" w:space="0" w:color="auto"/>
      </w:divBdr>
    </w:div>
    <w:div w:id="998581742">
      <w:bodyDiv w:val="1"/>
      <w:marLeft w:val="0"/>
      <w:marRight w:val="0"/>
      <w:marTop w:val="0"/>
      <w:marBottom w:val="0"/>
      <w:divBdr>
        <w:top w:val="none" w:sz="0" w:space="0" w:color="auto"/>
        <w:left w:val="none" w:sz="0" w:space="0" w:color="auto"/>
        <w:bottom w:val="none" w:sz="0" w:space="0" w:color="auto"/>
        <w:right w:val="none" w:sz="0" w:space="0" w:color="auto"/>
      </w:divBdr>
    </w:div>
    <w:div w:id="998582772">
      <w:bodyDiv w:val="1"/>
      <w:marLeft w:val="0"/>
      <w:marRight w:val="0"/>
      <w:marTop w:val="0"/>
      <w:marBottom w:val="0"/>
      <w:divBdr>
        <w:top w:val="none" w:sz="0" w:space="0" w:color="auto"/>
        <w:left w:val="none" w:sz="0" w:space="0" w:color="auto"/>
        <w:bottom w:val="none" w:sz="0" w:space="0" w:color="auto"/>
        <w:right w:val="none" w:sz="0" w:space="0" w:color="auto"/>
      </w:divBdr>
    </w:div>
    <w:div w:id="998582791">
      <w:bodyDiv w:val="1"/>
      <w:marLeft w:val="0"/>
      <w:marRight w:val="0"/>
      <w:marTop w:val="0"/>
      <w:marBottom w:val="0"/>
      <w:divBdr>
        <w:top w:val="none" w:sz="0" w:space="0" w:color="auto"/>
        <w:left w:val="none" w:sz="0" w:space="0" w:color="auto"/>
        <w:bottom w:val="none" w:sz="0" w:space="0" w:color="auto"/>
        <w:right w:val="none" w:sz="0" w:space="0" w:color="auto"/>
      </w:divBdr>
    </w:div>
    <w:div w:id="998656154">
      <w:bodyDiv w:val="1"/>
      <w:marLeft w:val="0"/>
      <w:marRight w:val="0"/>
      <w:marTop w:val="0"/>
      <w:marBottom w:val="0"/>
      <w:divBdr>
        <w:top w:val="none" w:sz="0" w:space="0" w:color="auto"/>
        <w:left w:val="none" w:sz="0" w:space="0" w:color="auto"/>
        <w:bottom w:val="none" w:sz="0" w:space="0" w:color="auto"/>
        <w:right w:val="none" w:sz="0" w:space="0" w:color="auto"/>
      </w:divBdr>
    </w:div>
    <w:div w:id="998657727">
      <w:bodyDiv w:val="1"/>
      <w:marLeft w:val="0"/>
      <w:marRight w:val="0"/>
      <w:marTop w:val="0"/>
      <w:marBottom w:val="0"/>
      <w:divBdr>
        <w:top w:val="none" w:sz="0" w:space="0" w:color="auto"/>
        <w:left w:val="none" w:sz="0" w:space="0" w:color="auto"/>
        <w:bottom w:val="none" w:sz="0" w:space="0" w:color="auto"/>
        <w:right w:val="none" w:sz="0" w:space="0" w:color="auto"/>
      </w:divBdr>
    </w:div>
    <w:div w:id="998658530">
      <w:bodyDiv w:val="1"/>
      <w:marLeft w:val="0"/>
      <w:marRight w:val="0"/>
      <w:marTop w:val="0"/>
      <w:marBottom w:val="0"/>
      <w:divBdr>
        <w:top w:val="none" w:sz="0" w:space="0" w:color="auto"/>
        <w:left w:val="none" w:sz="0" w:space="0" w:color="auto"/>
        <w:bottom w:val="none" w:sz="0" w:space="0" w:color="auto"/>
        <w:right w:val="none" w:sz="0" w:space="0" w:color="auto"/>
      </w:divBdr>
    </w:div>
    <w:div w:id="998728919">
      <w:bodyDiv w:val="1"/>
      <w:marLeft w:val="0"/>
      <w:marRight w:val="0"/>
      <w:marTop w:val="0"/>
      <w:marBottom w:val="0"/>
      <w:divBdr>
        <w:top w:val="none" w:sz="0" w:space="0" w:color="auto"/>
        <w:left w:val="none" w:sz="0" w:space="0" w:color="auto"/>
        <w:bottom w:val="none" w:sz="0" w:space="0" w:color="auto"/>
        <w:right w:val="none" w:sz="0" w:space="0" w:color="auto"/>
      </w:divBdr>
    </w:div>
    <w:div w:id="998729604">
      <w:bodyDiv w:val="1"/>
      <w:marLeft w:val="0"/>
      <w:marRight w:val="0"/>
      <w:marTop w:val="0"/>
      <w:marBottom w:val="0"/>
      <w:divBdr>
        <w:top w:val="none" w:sz="0" w:space="0" w:color="auto"/>
        <w:left w:val="none" w:sz="0" w:space="0" w:color="auto"/>
        <w:bottom w:val="none" w:sz="0" w:space="0" w:color="auto"/>
        <w:right w:val="none" w:sz="0" w:space="0" w:color="auto"/>
      </w:divBdr>
    </w:div>
    <w:div w:id="999231499">
      <w:bodyDiv w:val="1"/>
      <w:marLeft w:val="0"/>
      <w:marRight w:val="0"/>
      <w:marTop w:val="0"/>
      <w:marBottom w:val="0"/>
      <w:divBdr>
        <w:top w:val="none" w:sz="0" w:space="0" w:color="auto"/>
        <w:left w:val="none" w:sz="0" w:space="0" w:color="auto"/>
        <w:bottom w:val="none" w:sz="0" w:space="0" w:color="auto"/>
        <w:right w:val="none" w:sz="0" w:space="0" w:color="auto"/>
      </w:divBdr>
    </w:div>
    <w:div w:id="999390131">
      <w:bodyDiv w:val="1"/>
      <w:marLeft w:val="0"/>
      <w:marRight w:val="0"/>
      <w:marTop w:val="0"/>
      <w:marBottom w:val="0"/>
      <w:divBdr>
        <w:top w:val="none" w:sz="0" w:space="0" w:color="auto"/>
        <w:left w:val="none" w:sz="0" w:space="0" w:color="auto"/>
        <w:bottom w:val="none" w:sz="0" w:space="0" w:color="auto"/>
        <w:right w:val="none" w:sz="0" w:space="0" w:color="auto"/>
      </w:divBdr>
    </w:div>
    <w:div w:id="999424571">
      <w:bodyDiv w:val="1"/>
      <w:marLeft w:val="0"/>
      <w:marRight w:val="0"/>
      <w:marTop w:val="0"/>
      <w:marBottom w:val="0"/>
      <w:divBdr>
        <w:top w:val="none" w:sz="0" w:space="0" w:color="auto"/>
        <w:left w:val="none" w:sz="0" w:space="0" w:color="auto"/>
        <w:bottom w:val="none" w:sz="0" w:space="0" w:color="auto"/>
        <w:right w:val="none" w:sz="0" w:space="0" w:color="auto"/>
      </w:divBdr>
    </w:div>
    <w:div w:id="999425837">
      <w:bodyDiv w:val="1"/>
      <w:marLeft w:val="0"/>
      <w:marRight w:val="0"/>
      <w:marTop w:val="0"/>
      <w:marBottom w:val="0"/>
      <w:divBdr>
        <w:top w:val="none" w:sz="0" w:space="0" w:color="auto"/>
        <w:left w:val="none" w:sz="0" w:space="0" w:color="auto"/>
        <w:bottom w:val="none" w:sz="0" w:space="0" w:color="auto"/>
        <w:right w:val="none" w:sz="0" w:space="0" w:color="auto"/>
      </w:divBdr>
    </w:div>
    <w:div w:id="999432616">
      <w:bodyDiv w:val="1"/>
      <w:marLeft w:val="0"/>
      <w:marRight w:val="0"/>
      <w:marTop w:val="0"/>
      <w:marBottom w:val="0"/>
      <w:divBdr>
        <w:top w:val="none" w:sz="0" w:space="0" w:color="auto"/>
        <w:left w:val="none" w:sz="0" w:space="0" w:color="auto"/>
        <w:bottom w:val="none" w:sz="0" w:space="0" w:color="auto"/>
        <w:right w:val="none" w:sz="0" w:space="0" w:color="auto"/>
      </w:divBdr>
    </w:div>
    <w:div w:id="999578497">
      <w:bodyDiv w:val="1"/>
      <w:marLeft w:val="0"/>
      <w:marRight w:val="0"/>
      <w:marTop w:val="0"/>
      <w:marBottom w:val="0"/>
      <w:divBdr>
        <w:top w:val="none" w:sz="0" w:space="0" w:color="auto"/>
        <w:left w:val="none" w:sz="0" w:space="0" w:color="auto"/>
        <w:bottom w:val="none" w:sz="0" w:space="0" w:color="auto"/>
        <w:right w:val="none" w:sz="0" w:space="0" w:color="auto"/>
      </w:divBdr>
    </w:div>
    <w:div w:id="999580981">
      <w:bodyDiv w:val="1"/>
      <w:marLeft w:val="0"/>
      <w:marRight w:val="0"/>
      <w:marTop w:val="0"/>
      <w:marBottom w:val="0"/>
      <w:divBdr>
        <w:top w:val="none" w:sz="0" w:space="0" w:color="auto"/>
        <w:left w:val="none" w:sz="0" w:space="0" w:color="auto"/>
        <w:bottom w:val="none" w:sz="0" w:space="0" w:color="auto"/>
        <w:right w:val="none" w:sz="0" w:space="0" w:color="auto"/>
      </w:divBdr>
    </w:div>
    <w:div w:id="999698661">
      <w:bodyDiv w:val="1"/>
      <w:marLeft w:val="0"/>
      <w:marRight w:val="0"/>
      <w:marTop w:val="0"/>
      <w:marBottom w:val="0"/>
      <w:divBdr>
        <w:top w:val="none" w:sz="0" w:space="0" w:color="auto"/>
        <w:left w:val="none" w:sz="0" w:space="0" w:color="auto"/>
        <w:bottom w:val="none" w:sz="0" w:space="0" w:color="auto"/>
        <w:right w:val="none" w:sz="0" w:space="0" w:color="auto"/>
      </w:divBdr>
    </w:div>
    <w:div w:id="999700697">
      <w:bodyDiv w:val="1"/>
      <w:marLeft w:val="0"/>
      <w:marRight w:val="0"/>
      <w:marTop w:val="0"/>
      <w:marBottom w:val="0"/>
      <w:divBdr>
        <w:top w:val="none" w:sz="0" w:space="0" w:color="auto"/>
        <w:left w:val="none" w:sz="0" w:space="0" w:color="auto"/>
        <w:bottom w:val="none" w:sz="0" w:space="0" w:color="auto"/>
        <w:right w:val="none" w:sz="0" w:space="0" w:color="auto"/>
      </w:divBdr>
    </w:div>
    <w:div w:id="999701456">
      <w:bodyDiv w:val="1"/>
      <w:marLeft w:val="0"/>
      <w:marRight w:val="0"/>
      <w:marTop w:val="0"/>
      <w:marBottom w:val="0"/>
      <w:divBdr>
        <w:top w:val="none" w:sz="0" w:space="0" w:color="auto"/>
        <w:left w:val="none" w:sz="0" w:space="0" w:color="auto"/>
        <w:bottom w:val="none" w:sz="0" w:space="0" w:color="auto"/>
        <w:right w:val="none" w:sz="0" w:space="0" w:color="auto"/>
      </w:divBdr>
    </w:div>
    <w:div w:id="999889829">
      <w:bodyDiv w:val="1"/>
      <w:marLeft w:val="0"/>
      <w:marRight w:val="0"/>
      <w:marTop w:val="0"/>
      <w:marBottom w:val="0"/>
      <w:divBdr>
        <w:top w:val="none" w:sz="0" w:space="0" w:color="auto"/>
        <w:left w:val="none" w:sz="0" w:space="0" w:color="auto"/>
        <w:bottom w:val="none" w:sz="0" w:space="0" w:color="auto"/>
        <w:right w:val="none" w:sz="0" w:space="0" w:color="auto"/>
      </w:divBdr>
    </w:div>
    <w:div w:id="999892128">
      <w:bodyDiv w:val="1"/>
      <w:marLeft w:val="0"/>
      <w:marRight w:val="0"/>
      <w:marTop w:val="0"/>
      <w:marBottom w:val="0"/>
      <w:divBdr>
        <w:top w:val="none" w:sz="0" w:space="0" w:color="auto"/>
        <w:left w:val="none" w:sz="0" w:space="0" w:color="auto"/>
        <w:bottom w:val="none" w:sz="0" w:space="0" w:color="auto"/>
        <w:right w:val="none" w:sz="0" w:space="0" w:color="auto"/>
      </w:divBdr>
    </w:div>
    <w:div w:id="999892985">
      <w:bodyDiv w:val="1"/>
      <w:marLeft w:val="0"/>
      <w:marRight w:val="0"/>
      <w:marTop w:val="0"/>
      <w:marBottom w:val="0"/>
      <w:divBdr>
        <w:top w:val="none" w:sz="0" w:space="0" w:color="auto"/>
        <w:left w:val="none" w:sz="0" w:space="0" w:color="auto"/>
        <w:bottom w:val="none" w:sz="0" w:space="0" w:color="auto"/>
        <w:right w:val="none" w:sz="0" w:space="0" w:color="auto"/>
      </w:divBdr>
    </w:div>
    <w:div w:id="1000039024">
      <w:bodyDiv w:val="1"/>
      <w:marLeft w:val="0"/>
      <w:marRight w:val="0"/>
      <w:marTop w:val="0"/>
      <w:marBottom w:val="0"/>
      <w:divBdr>
        <w:top w:val="none" w:sz="0" w:space="0" w:color="auto"/>
        <w:left w:val="none" w:sz="0" w:space="0" w:color="auto"/>
        <w:bottom w:val="none" w:sz="0" w:space="0" w:color="auto"/>
        <w:right w:val="none" w:sz="0" w:space="0" w:color="auto"/>
      </w:divBdr>
    </w:div>
    <w:div w:id="1000079555">
      <w:bodyDiv w:val="1"/>
      <w:marLeft w:val="0"/>
      <w:marRight w:val="0"/>
      <w:marTop w:val="0"/>
      <w:marBottom w:val="0"/>
      <w:divBdr>
        <w:top w:val="none" w:sz="0" w:space="0" w:color="auto"/>
        <w:left w:val="none" w:sz="0" w:space="0" w:color="auto"/>
        <w:bottom w:val="none" w:sz="0" w:space="0" w:color="auto"/>
        <w:right w:val="none" w:sz="0" w:space="0" w:color="auto"/>
      </w:divBdr>
    </w:div>
    <w:div w:id="1000081418">
      <w:bodyDiv w:val="1"/>
      <w:marLeft w:val="0"/>
      <w:marRight w:val="0"/>
      <w:marTop w:val="0"/>
      <w:marBottom w:val="0"/>
      <w:divBdr>
        <w:top w:val="none" w:sz="0" w:space="0" w:color="auto"/>
        <w:left w:val="none" w:sz="0" w:space="0" w:color="auto"/>
        <w:bottom w:val="none" w:sz="0" w:space="0" w:color="auto"/>
        <w:right w:val="none" w:sz="0" w:space="0" w:color="auto"/>
      </w:divBdr>
    </w:div>
    <w:div w:id="1000158701">
      <w:bodyDiv w:val="1"/>
      <w:marLeft w:val="0"/>
      <w:marRight w:val="0"/>
      <w:marTop w:val="0"/>
      <w:marBottom w:val="0"/>
      <w:divBdr>
        <w:top w:val="none" w:sz="0" w:space="0" w:color="auto"/>
        <w:left w:val="none" w:sz="0" w:space="0" w:color="auto"/>
        <w:bottom w:val="none" w:sz="0" w:space="0" w:color="auto"/>
        <w:right w:val="none" w:sz="0" w:space="0" w:color="auto"/>
      </w:divBdr>
    </w:div>
    <w:div w:id="1000160901">
      <w:bodyDiv w:val="1"/>
      <w:marLeft w:val="0"/>
      <w:marRight w:val="0"/>
      <w:marTop w:val="0"/>
      <w:marBottom w:val="0"/>
      <w:divBdr>
        <w:top w:val="none" w:sz="0" w:space="0" w:color="auto"/>
        <w:left w:val="none" w:sz="0" w:space="0" w:color="auto"/>
        <w:bottom w:val="none" w:sz="0" w:space="0" w:color="auto"/>
        <w:right w:val="none" w:sz="0" w:space="0" w:color="auto"/>
      </w:divBdr>
    </w:div>
    <w:div w:id="1000231698">
      <w:bodyDiv w:val="1"/>
      <w:marLeft w:val="0"/>
      <w:marRight w:val="0"/>
      <w:marTop w:val="0"/>
      <w:marBottom w:val="0"/>
      <w:divBdr>
        <w:top w:val="none" w:sz="0" w:space="0" w:color="auto"/>
        <w:left w:val="none" w:sz="0" w:space="0" w:color="auto"/>
        <w:bottom w:val="none" w:sz="0" w:space="0" w:color="auto"/>
        <w:right w:val="none" w:sz="0" w:space="0" w:color="auto"/>
      </w:divBdr>
    </w:div>
    <w:div w:id="1000281378">
      <w:bodyDiv w:val="1"/>
      <w:marLeft w:val="0"/>
      <w:marRight w:val="0"/>
      <w:marTop w:val="0"/>
      <w:marBottom w:val="0"/>
      <w:divBdr>
        <w:top w:val="none" w:sz="0" w:space="0" w:color="auto"/>
        <w:left w:val="none" w:sz="0" w:space="0" w:color="auto"/>
        <w:bottom w:val="none" w:sz="0" w:space="0" w:color="auto"/>
        <w:right w:val="none" w:sz="0" w:space="0" w:color="auto"/>
      </w:divBdr>
    </w:div>
    <w:div w:id="1000304643">
      <w:bodyDiv w:val="1"/>
      <w:marLeft w:val="0"/>
      <w:marRight w:val="0"/>
      <w:marTop w:val="0"/>
      <w:marBottom w:val="0"/>
      <w:divBdr>
        <w:top w:val="none" w:sz="0" w:space="0" w:color="auto"/>
        <w:left w:val="none" w:sz="0" w:space="0" w:color="auto"/>
        <w:bottom w:val="none" w:sz="0" w:space="0" w:color="auto"/>
        <w:right w:val="none" w:sz="0" w:space="0" w:color="auto"/>
      </w:divBdr>
    </w:div>
    <w:div w:id="1000356278">
      <w:bodyDiv w:val="1"/>
      <w:marLeft w:val="0"/>
      <w:marRight w:val="0"/>
      <w:marTop w:val="0"/>
      <w:marBottom w:val="0"/>
      <w:divBdr>
        <w:top w:val="none" w:sz="0" w:space="0" w:color="auto"/>
        <w:left w:val="none" w:sz="0" w:space="0" w:color="auto"/>
        <w:bottom w:val="none" w:sz="0" w:space="0" w:color="auto"/>
        <w:right w:val="none" w:sz="0" w:space="0" w:color="auto"/>
      </w:divBdr>
    </w:div>
    <w:div w:id="1000622156">
      <w:bodyDiv w:val="1"/>
      <w:marLeft w:val="0"/>
      <w:marRight w:val="0"/>
      <w:marTop w:val="0"/>
      <w:marBottom w:val="0"/>
      <w:divBdr>
        <w:top w:val="none" w:sz="0" w:space="0" w:color="auto"/>
        <w:left w:val="none" w:sz="0" w:space="0" w:color="auto"/>
        <w:bottom w:val="none" w:sz="0" w:space="0" w:color="auto"/>
        <w:right w:val="none" w:sz="0" w:space="0" w:color="auto"/>
      </w:divBdr>
    </w:div>
    <w:div w:id="1000625176">
      <w:bodyDiv w:val="1"/>
      <w:marLeft w:val="0"/>
      <w:marRight w:val="0"/>
      <w:marTop w:val="0"/>
      <w:marBottom w:val="0"/>
      <w:divBdr>
        <w:top w:val="none" w:sz="0" w:space="0" w:color="auto"/>
        <w:left w:val="none" w:sz="0" w:space="0" w:color="auto"/>
        <w:bottom w:val="none" w:sz="0" w:space="0" w:color="auto"/>
        <w:right w:val="none" w:sz="0" w:space="0" w:color="auto"/>
      </w:divBdr>
    </w:div>
    <w:div w:id="1000696655">
      <w:bodyDiv w:val="1"/>
      <w:marLeft w:val="0"/>
      <w:marRight w:val="0"/>
      <w:marTop w:val="0"/>
      <w:marBottom w:val="0"/>
      <w:divBdr>
        <w:top w:val="none" w:sz="0" w:space="0" w:color="auto"/>
        <w:left w:val="none" w:sz="0" w:space="0" w:color="auto"/>
        <w:bottom w:val="none" w:sz="0" w:space="0" w:color="auto"/>
        <w:right w:val="none" w:sz="0" w:space="0" w:color="auto"/>
      </w:divBdr>
    </w:div>
    <w:div w:id="1000698715">
      <w:bodyDiv w:val="1"/>
      <w:marLeft w:val="0"/>
      <w:marRight w:val="0"/>
      <w:marTop w:val="0"/>
      <w:marBottom w:val="0"/>
      <w:divBdr>
        <w:top w:val="none" w:sz="0" w:space="0" w:color="auto"/>
        <w:left w:val="none" w:sz="0" w:space="0" w:color="auto"/>
        <w:bottom w:val="none" w:sz="0" w:space="0" w:color="auto"/>
        <w:right w:val="none" w:sz="0" w:space="0" w:color="auto"/>
      </w:divBdr>
    </w:div>
    <w:div w:id="1000936252">
      <w:bodyDiv w:val="1"/>
      <w:marLeft w:val="0"/>
      <w:marRight w:val="0"/>
      <w:marTop w:val="0"/>
      <w:marBottom w:val="0"/>
      <w:divBdr>
        <w:top w:val="none" w:sz="0" w:space="0" w:color="auto"/>
        <w:left w:val="none" w:sz="0" w:space="0" w:color="auto"/>
        <w:bottom w:val="none" w:sz="0" w:space="0" w:color="auto"/>
        <w:right w:val="none" w:sz="0" w:space="0" w:color="auto"/>
      </w:divBdr>
    </w:div>
    <w:div w:id="1000962654">
      <w:bodyDiv w:val="1"/>
      <w:marLeft w:val="0"/>
      <w:marRight w:val="0"/>
      <w:marTop w:val="0"/>
      <w:marBottom w:val="0"/>
      <w:divBdr>
        <w:top w:val="none" w:sz="0" w:space="0" w:color="auto"/>
        <w:left w:val="none" w:sz="0" w:space="0" w:color="auto"/>
        <w:bottom w:val="none" w:sz="0" w:space="0" w:color="auto"/>
        <w:right w:val="none" w:sz="0" w:space="0" w:color="auto"/>
      </w:divBdr>
    </w:div>
    <w:div w:id="1001011747">
      <w:bodyDiv w:val="1"/>
      <w:marLeft w:val="0"/>
      <w:marRight w:val="0"/>
      <w:marTop w:val="0"/>
      <w:marBottom w:val="0"/>
      <w:divBdr>
        <w:top w:val="none" w:sz="0" w:space="0" w:color="auto"/>
        <w:left w:val="none" w:sz="0" w:space="0" w:color="auto"/>
        <w:bottom w:val="none" w:sz="0" w:space="0" w:color="auto"/>
        <w:right w:val="none" w:sz="0" w:space="0" w:color="auto"/>
      </w:divBdr>
    </w:div>
    <w:div w:id="1001012047">
      <w:bodyDiv w:val="1"/>
      <w:marLeft w:val="0"/>
      <w:marRight w:val="0"/>
      <w:marTop w:val="0"/>
      <w:marBottom w:val="0"/>
      <w:divBdr>
        <w:top w:val="none" w:sz="0" w:space="0" w:color="auto"/>
        <w:left w:val="none" w:sz="0" w:space="0" w:color="auto"/>
        <w:bottom w:val="none" w:sz="0" w:space="0" w:color="auto"/>
        <w:right w:val="none" w:sz="0" w:space="0" w:color="auto"/>
      </w:divBdr>
    </w:div>
    <w:div w:id="1001158228">
      <w:bodyDiv w:val="1"/>
      <w:marLeft w:val="0"/>
      <w:marRight w:val="0"/>
      <w:marTop w:val="0"/>
      <w:marBottom w:val="0"/>
      <w:divBdr>
        <w:top w:val="none" w:sz="0" w:space="0" w:color="auto"/>
        <w:left w:val="none" w:sz="0" w:space="0" w:color="auto"/>
        <w:bottom w:val="none" w:sz="0" w:space="0" w:color="auto"/>
        <w:right w:val="none" w:sz="0" w:space="0" w:color="auto"/>
      </w:divBdr>
    </w:div>
    <w:div w:id="1001159511">
      <w:bodyDiv w:val="1"/>
      <w:marLeft w:val="0"/>
      <w:marRight w:val="0"/>
      <w:marTop w:val="0"/>
      <w:marBottom w:val="0"/>
      <w:divBdr>
        <w:top w:val="none" w:sz="0" w:space="0" w:color="auto"/>
        <w:left w:val="none" w:sz="0" w:space="0" w:color="auto"/>
        <w:bottom w:val="none" w:sz="0" w:space="0" w:color="auto"/>
        <w:right w:val="none" w:sz="0" w:space="0" w:color="auto"/>
      </w:divBdr>
    </w:div>
    <w:div w:id="1001354513">
      <w:bodyDiv w:val="1"/>
      <w:marLeft w:val="0"/>
      <w:marRight w:val="0"/>
      <w:marTop w:val="0"/>
      <w:marBottom w:val="0"/>
      <w:divBdr>
        <w:top w:val="none" w:sz="0" w:space="0" w:color="auto"/>
        <w:left w:val="none" w:sz="0" w:space="0" w:color="auto"/>
        <w:bottom w:val="none" w:sz="0" w:space="0" w:color="auto"/>
        <w:right w:val="none" w:sz="0" w:space="0" w:color="auto"/>
      </w:divBdr>
    </w:div>
    <w:div w:id="1001391348">
      <w:bodyDiv w:val="1"/>
      <w:marLeft w:val="0"/>
      <w:marRight w:val="0"/>
      <w:marTop w:val="0"/>
      <w:marBottom w:val="0"/>
      <w:divBdr>
        <w:top w:val="none" w:sz="0" w:space="0" w:color="auto"/>
        <w:left w:val="none" w:sz="0" w:space="0" w:color="auto"/>
        <w:bottom w:val="none" w:sz="0" w:space="0" w:color="auto"/>
        <w:right w:val="none" w:sz="0" w:space="0" w:color="auto"/>
      </w:divBdr>
    </w:div>
    <w:div w:id="1001391949">
      <w:bodyDiv w:val="1"/>
      <w:marLeft w:val="0"/>
      <w:marRight w:val="0"/>
      <w:marTop w:val="0"/>
      <w:marBottom w:val="0"/>
      <w:divBdr>
        <w:top w:val="none" w:sz="0" w:space="0" w:color="auto"/>
        <w:left w:val="none" w:sz="0" w:space="0" w:color="auto"/>
        <w:bottom w:val="none" w:sz="0" w:space="0" w:color="auto"/>
        <w:right w:val="none" w:sz="0" w:space="0" w:color="auto"/>
      </w:divBdr>
    </w:div>
    <w:div w:id="1001393387">
      <w:bodyDiv w:val="1"/>
      <w:marLeft w:val="0"/>
      <w:marRight w:val="0"/>
      <w:marTop w:val="0"/>
      <w:marBottom w:val="0"/>
      <w:divBdr>
        <w:top w:val="none" w:sz="0" w:space="0" w:color="auto"/>
        <w:left w:val="none" w:sz="0" w:space="0" w:color="auto"/>
        <w:bottom w:val="none" w:sz="0" w:space="0" w:color="auto"/>
        <w:right w:val="none" w:sz="0" w:space="0" w:color="auto"/>
      </w:divBdr>
    </w:div>
    <w:div w:id="1001471370">
      <w:bodyDiv w:val="1"/>
      <w:marLeft w:val="0"/>
      <w:marRight w:val="0"/>
      <w:marTop w:val="0"/>
      <w:marBottom w:val="0"/>
      <w:divBdr>
        <w:top w:val="none" w:sz="0" w:space="0" w:color="auto"/>
        <w:left w:val="none" w:sz="0" w:space="0" w:color="auto"/>
        <w:bottom w:val="none" w:sz="0" w:space="0" w:color="auto"/>
        <w:right w:val="none" w:sz="0" w:space="0" w:color="auto"/>
      </w:divBdr>
    </w:div>
    <w:div w:id="1001541319">
      <w:bodyDiv w:val="1"/>
      <w:marLeft w:val="0"/>
      <w:marRight w:val="0"/>
      <w:marTop w:val="0"/>
      <w:marBottom w:val="0"/>
      <w:divBdr>
        <w:top w:val="none" w:sz="0" w:space="0" w:color="auto"/>
        <w:left w:val="none" w:sz="0" w:space="0" w:color="auto"/>
        <w:bottom w:val="none" w:sz="0" w:space="0" w:color="auto"/>
        <w:right w:val="none" w:sz="0" w:space="0" w:color="auto"/>
      </w:divBdr>
    </w:div>
    <w:div w:id="1001547805">
      <w:bodyDiv w:val="1"/>
      <w:marLeft w:val="0"/>
      <w:marRight w:val="0"/>
      <w:marTop w:val="0"/>
      <w:marBottom w:val="0"/>
      <w:divBdr>
        <w:top w:val="none" w:sz="0" w:space="0" w:color="auto"/>
        <w:left w:val="none" w:sz="0" w:space="0" w:color="auto"/>
        <w:bottom w:val="none" w:sz="0" w:space="0" w:color="auto"/>
        <w:right w:val="none" w:sz="0" w:space="0" w:color="auto"/>
      </w:divBdr>
    </w:div>
    <w:div w:id="1001659514">
      <w:bodyDiv w:val="1"/>
      <w:marLeft w:val="0"/>
      <w:marRight w:val="0"/>
      <w:marTop w:val="0"/>
      <w:marBottom w:val="0"/>
      <w:divBdr>
        <w:top w:val="none" w:sz="0" w:space="0" w:color="auto"/>
        <w:left w:val="none" w:sz="0" w:space="0" w:color="auto"/>
        <w:bottom w:val="none" w:sz="0" w:space="0" w:color="auto"/>
        <w:right w:val="none" w:sz="0" w:space="0" w:color="auto"/>
      </w:divBdr>
    </w:div>
    <w:div w:id="1001855657">
      <w:bodyDiv w:val="1"/>
      <w:marLeft w:val="0"/>
      <w:marRight w:val="0"/>
      <w:marTop w:val="0"/>
      <w:marBottom w:val="0"/>
      <w:divBdr>
        <w:top w:val="none" w:sz="0" w:space="0" w:color="auto"/>
        <w:left w:val="none" w:sz="0" w:space="0" w:color="auto"/>
        <w:bottom w:val="none" w:sz="0" w:space="0" w:color="auto"/>
        <w:right w:val="none" w:sz="0" w:space="0" w:color="auto"/>
      </w:divBdr>
    </w:div>
    <w:div w:id="1001859750">
      <w:bodyDiv w:val="1"/>
      <w:marLeft w:val="0"/>
      <w:marRight w:val="0"/>
      <w:marTop w:val="0"/>
      <w:marBottom w:val="0"/>
      <w:divBdr>
        <w:top w:val="none" w:sz="0" w:space="0" w:color="auto"/>
        <w:left w:val="none" w:sz="0" w:space="0" w:color="auto"/>
        <w:bottom w:val="none" w:sz="0" w:space="0" w:color="auto"/>
        <w:right w:val="none" w:sz="0" w:space="0" w:color="auto"/>
      </w:divBdr>
    </w:div>
    <w:div w:id="1002048492">
      <w:bodyDiv w:val="1"/>
      <w:marLeft w:val="0"/>
      <w:marRight w:val="0"/>
      <w:marTop w:val="0"/>
      <w:marBottom w:val="0"/>
      <w:divBdr>
        <w:top w:val="none" w:sz="0" w:space="0" w:color="auto"/>
        <w:left w:val="none" w:sz="0" w:space="0" w:color="auto"/>
        <w:bottom w:val="none" w:sz="0" w:space="0" w:color="auto"/>
        <w:right w:val="none" w:sz="0" w:space="0" w:color="auto"/>
      </w:divBdr>
    </w:div>
    <w:div w:id="1002048944">
      <w:bodyDiv w:val="1"/>
      <w:marLeft w:val="0"/>
      <w:marRight w:val="0"/>
      <w:marTop w:val="0"/>
      <w:marBottom w:val="0"/>
      <w:divBdr>
        <w:top w:val="none" w:sz="0" w:space="0" w:color="auto"/>
        <w:left w:val="none" w:sz="0" w:space="0" w:color="auto"/>
        <w:bottom w:val="none" w:sz="0" w:space="0" w:color="auto"/>
        <w:right w:val="none" w:sz="0" w:space="0" w:color="auto"/>
      </w:divBdr>
    </w:div>
    <w:div w:id="1002246709">
      <w:bodyDiv w:val="1"/>
      <w:marLeft w:val="0"/>
      <w:marRight w:val="0"/>
      <w:marTop w:val="0"/>
      <w:marBottom w:val="0"/>
      <w:divBdr>
        <w:top w:val="none" w:sz="0" w:space="0" w:color="auto"/>
        <w:left w:val="none" w:sz="0" w:space="0" w:color="auto"/>
        <w:bottom w:val="none" w:sz="0" w:space="0" w:color="auto"/>
        <w:right w:val="none" w:sz="0" w:space="0" w:color="auto"/>
      </w:divBdr>
    </w:div>
    <w:div w:id="1002317877">
      <w:bodyDiv w:val="1"/>
      <w:marLeft w:val="0"/>
      <w:marRight w:val="0"/>
      <w:marTop w:val="0"/>
      <w:marBottom w:val="0"/>
      <w:divBdr>
        <w:top w:val="none" w:sz="0" w:space="0" w:color="auto"/>
        <w:left w:val="none" w:sz="0" w:space="0" w:color="auto"/>
        <w:bottom w:val="none" w:sz="0" w:space="0" w:color="auto"/>
        <w:right w:val="none" w:sz="0" w:space="0" w:color="auto"/>
      </w:divBdr>
    </w:div>
    <w:div w:id="1002507569">
      <w:bodyDiv w:val="1"/>
      <w:marLeft w:val="0"/>
      <w:marRight w:val="0"/>
      <w:marTop w:val="0"/>
      <w:marBottom w:val="0"/>
      <w:divBdr>
        <w:top w:val="none" w:sz="0" w:space="0" w:color="auto"/>
        <w:left w:val="none" w:sz="0" w:space="0" w:color="auto"/>
        <w:bottom w:val="none" w:sz="0" w:space="0" w:color="auto"/>
        <w:right w:val="none" w:sz="0" w:space="0" w:color="auto"/>
      </w:divBdr>
    </w:div>
    <w:div w:id="1002584257">
      <w:bodyDiv w:val="1"/>
      <w:marLeft w:val="0"/>
      <w:marRight w:val="0"/>
      <w:marTop w:val="0"/>
      <w:marBottom w:val="0"/>
      <w:divBdr>
        <w:top w:val="none" w:sz="0" w:space="0" w:color="auto"/>
        <w:left w:val="none" w:sz="0" w:space="0" w:color="auto"/>
        <w:bottom w:val="none" w:sz="0" w:space="0" w:color="auto"/>
        <w:right w:val="none" w:sz="0" w:space="0" w:color="auto"/>
      </w:divBdr>
    </w:div>
    <w:div w:id="1002589737">
      <w:bodyDiv w:val="1"/>
      <w:marLeft w:val="0"/>
      <w:marRight w:val="0"/>
      <w:marTop w:val="0"/>
      <w:marBottom w:val="0"/>
      <w:divBdr>
        <w:top w:val="none" w:sz="0" w:space="0" w:color="auto"/>
        <w:left w:val="none" w:sz="0" w:space="0" w:color="auto"/>
        <w:bottom w:val="none" w:sz="0" w:space="0" w:color="auto"/>
        <w:right w:val="none" w:sz="0" w:space="0" w:color="auto"/>
      </w:divBdr>
    </w:div>
    <w:div w:id="1002659711">
      <w:bodyDiv w:val="1"/>
      <w:marLeft w:val="0"/>
      <w:marRight w:val="0"/>
      <w:marTop w:val="0"/>
      <w:marBottom w:val="0"/>
      <w:divBdr>
        <w:top w:val="none" w:sz="0" w:space="0" w:color="auto"/>
        <w:left w:val="none" w:sz="0" w:space="0" w:color="auto"/>
        <w:bottom w:val="none" w:sz="0" w:space="0" w:color="auto"/>
        <w:right w:val="none" w:sz="0" w:space="0" w:color="auto"/>
      </w:divBdr>
    </w:div>
    <w:div w:id="1002851562">
      <w:bodyDiv w:val="1"/>
      <w:marLeft w:val="0"/>
      <w:marRight w:val="0"/>
      <w:marTop w:val="0"/>
      <w:marBottom w:val="0"/>
      <w:divBdr>
        <w:top w:val="none" w:sz="0" w:space="0" w:color="auto"/>
        <w:left w:val="none" w:sz="0" w:space="0" w:color="auto"/>
        <w:bottom w:val="none" w:sz="0" w:space="0" w:color="auto"/>
        <w:right w:val="none" w:sz="0" w:space="0" w:color="auto"/>
      </w:divBdr>
    </w:div>
    <w:div w:id="1003123947">
      <w:bodyDiv w:val="1"/>
      <w:marLeft w:val="0"/>
      <w:marRight w:val="0"/>
      <w:marTop w:val="0"/>
      <w:marBottom w:val="0"/>
      <w:divBdr>
        <w:top w:val="none" w:sz="0" w:space="0" w:color="auto"/>
        <w:left w:val="none" w:sz="0" w:space="0" w:color="auto"/>
        <w:bottom w:val="none" w:sz="0" w:space="0" w:color="auto"/>
        <w:right w:val="none" w:sz="0" w:space="0" w:color="auto"/>
      </w:divBdr>
    </w:div>
    <w:div w:id="1003125667">
      <w:bodyDiv w:val="1"/>
      <w:marLeft w:val="0"/>
      <w:marRight w:val="0"/>
      <w:marTop w:val="0"/>
      <w:marBottom w:val="0"/>
      <w:divBdr>
        <w:top w:val="none" w:sz="0" w:space="0" w:color="auto"/>
        <w:left w:val="none" w:sz="0" w:space="0" w:color="auto"/>
        <w:bottom w:val="none" w:sz="0" w:space="0" w:color="auto"/>
        <w:right w:val="none" w:sz="0" w:space="0" w:color="auto"/>
      </w:divBdr>
    </w:div>
    <w:div w:id="1003239810">
      <w:bodyDiv w:val="1"/>
      <w:marLeft w:val="0"/>
      <w:marRight w:val="0"/>
      <w:marTop w:val="0"/>
      <w:marBottom w:val="0"/>
      <w:divBdr>
        <w:top w:val="none" w:sz="0" w:space="0" w:color="auto"/>
        <w:left w:val="none" w:sz="0" w:space="0" w:color="auto"/>
        <w:bottom w:val="none" w:sz="0" w:space="0" w:color="auto"/>
        <w:right w:val="none" w:sz="0" w:space="0" w:color="auto"/>
      </w:divBdr>
    </w:div>
    <w:div w:id="1003315490">
      <w:bodyDiv w:val="1"/>
      <w:marLeft w:val="0"/>
      <w:marRight w:val="0"/>
      <w:marTop w:val="0"/>
      <w:marBottom w:val="0"/>
      <w:divBdr>
        <w:top w:val="none" w:sz="0" w:space="0" w:color="auto"/>
        <w:left w:val="none" w:sz="0" w:space="0" w:color="auto"/>
        <w:bottom w:val="none" w:sz="0" w:space="0" w:color="auto"/>
        <w:right w:val="none" w:sz="0" w:space="0" w:color="auto"/>
      </w:divBdr>
    </w:div>
    <w:div w:id="1003318753">
      <w:bodyDiv w:val="1"/>
      <w:marLeft w:val="0"/>
      <w:marRight w:val="0"/>
      <w:marTop w:val="0"/>
      <w:marBottom w:val="0"/>
      <w:divBdr>
        <w:top w:val="none" w:sz="0" w:space="0" w:color="auto"/>
        <w:left w:val="none" w:sz="0" w:space="0" w:color="auto"/>
        <w:bottom w:val="none" w:sz="0" w:space="0" w:color="auto"/>
        <w:right w:val="none" w:sz="0" w:space="0" w:color="auto"/>
      </w:divBdr>
    </w:div>
    <w:div w:id="1003320791">
      <w:bodyDiv w:val="1"/>
      <w:marLeft w:val="0"/>
      <w:marRight w:val="0"/>
      <w:marTop w:val="0"/>
      <w:marBottom w:val="0"/>
      <w:divBdr>
        <w:top w:val="none" w:sz="0" w:space="0" w:color="auto"/>
        <w:left w:val="none" w:sz="0" w:space="0" w:color="auto"/>
        <w:bottom w:val="none" w:sz="0" w:space="0" w:color="auto"/>
        <w:right w:val="none" w:sz="0" w:space="0" w:color="auto"/>
      </w:divBdr>
    </w:div>
    <w:div w:id="1003363597">
      <w:bodyDiv w:val="1"/>
      <w:marLeft w:val="0"/>
      <w:marRight w:val="0"/>
      <w:marTop w:val="0"/>
      <w:marBottom w:val="0"/>
      <w:divBdr>
        <w:top w:val="none" w:sz="0" w:space="0" w:color="auto"/>
        <w:left w:val="none" w:sz="0" w:space="0" w:color="auto"/>
        <w:bottom w:val="none" w:sz="0" w:space="0" w:color="auto"/>
        <w:right w:val="none" w:sz="0" w:space="0" w:color="auto"/>
      </w:divBdr>
    </w:div>
    <w:div w:id="1003435275">
      <w:bodyDiv w:val="1"/>
      <w:marLeft w:val="0"/>
      <w:marRight w:val="0"/>
      <w:marTop w:val="0"/>
      <w:marBottom w:val="0"/>
      <w:divBdr>
        <w:top w:val="none" w:sz="0" w:space="0" w:color="auto"/>
        <w:left w:val="none" w:sz="0" w:space="0" w:color="auto"/>
        <w:bottom w:val="none" w:sz="0" w:space="0" w:color="auto"/>
        <w:right w:val="none" w:sz="0" w:space="0" w:color="auto"/>
      </w:divBdr>
    </w:div>
    <w:div w:id="1003553222">
      <w:bodyDiv w:val="1"/>
      <w:marLeft w:val="0"/>
      <w:marRight w:val="0"/>
      <w:marTop w:val="0"/>
      <w:marBottom w:val="0"/>
      <w:divBdr>
        <w:top w:val="none" w:sz="0" w:space="0" w:color="auto"/>
        <w:left w:val="none" w:sz="0" w:space="0" w:color="auto"/>
        <w:bottom w:val="none" w:sz="0" w:space="0" w:color="auto"/>
        <w:right w:val="none" w:sz="0" w:space="0" w:color="auto"/>
      </w:divBdr>
    </w:div>
    <w:div w:id="1003632210">
      <w:bodyDiv w:val="1"/>
      <w:marLeft w:val="0"/>
      <w:marRight w:val="0"/>
      <w:marTop w:val="0"/>
      <w:marBottom w:val="0"/>
      <w:divBdr>
        <w:top w:val="none" w:sz="0" w:space="0" w:color="auto"/>
        <w:left w:val="none" w:sz="0" w:space="0" w:color="auto"/>
        <w:bottom w:val="none" w:sz="0" w:space="0" w:color="auto"/>
        <w:right w:val="none" w:sz="0" w:space="0" w:color="auto"/>
      </w:divBdr>
    </w:div>
    <w:div w:id="1003701123">
      <w:bodyDiv w:val="1"/>
      <w:marLeft w:val="0"/>
      <w:marRight w:val="0"/>
      <w:marTop w:val="0"/>
      <w:marBottom w:val="0"/>
      <w:divBdr>
        <w:top w:val="none" w:sz="0" w:space="0" w:color="auto"/>
        <w:left w:val="none" w:sz="0" w:space="0" w:color="auto"/>
        <w:bottom w:val="none" w:sz="0" w:space="0" w:color="auto"/>
        <w:right w:val="none" w:sz="0" w:space="0" w:color="auto"/>
      </w:divBdr>
    </w:div>
    <w:div w:id="1003819523">
      <w:bodyDiv w:val="1"/>
      <w:marLeft w:val="0"/>
      <w:marRight w:val="0"/>
      <w:marTop w:val="0"/>
      <w:marBottom w:val="0"/>
      <w:divBdr>
        <w:top w:val="none" w:sz="0" w:space="0" w:color="auto"/>
        <w:left w:val="none" w:sz="0" w:space="0" w:color="auto"/>
        <w:bottom w:val="none" w:sz="0" w:space="0" w:color="auto"/>
        <w:right w:val="none" w:sz="0" w:space="0" w:color="auto"/>
      </w:divBdr>
    </w:div>
    <w:div w:id="1003893414">
      <w:bodyDiv w:val="1"/>
      <w:marLeft w:val="0"/>
      <w:marRight w:val="0"/>
      <w:marTop w:val="0"/>
      <w:marBottom w:val="0"/>
      <w:divBdr>
        <w:top w:val="none" w:sz="0" w:space="0" w:color="auto"/>
        <w:left w:val="none" w:sz="0" w:space="0" w:color="auto"/>
        <w:bottom w:val="none" w:sz="0" w:space="0" w:color="auto"/>
        <w:right w:val="none" w:sz="0" w:space="0" w:color="auto"/>
      </w:divBdr>
    </w:div>
    <w:div w:id="1003898709">
      <w:bodyDiv w:val="1"/>
      <w:marLeft w:val="0"/>
      <w:marRight w:val="0"/>
      <w:marTop w:val="0"/>
      <w:marBottom w:val="0"/>
      <w:divBdr>
        <w:top w:val="none" w:sz="0" w:space="0" w:color="auto"/>
        <w:left w:val="none" w:sz="0" w:space="0" w:color="auto"/>
        <w:bottom w:val="none" w:sz="0" w:space="0" w:color="auto"/>
        <w:right w:val="none" w:sz="0" w:space="0" w:color="auto"/>
      </w:divBdr>
    </w:div>
    <w:div w:id="1004017071">
      <w:bodyDiv w:val="1"/>
      <w:marLeft w:val="0"/>
      <w:marRight w:val="0"/>
      <w:marTop w:val="0"/>
      <w:marBottom w:val="0"/>
      <w:divBdr>
        <w:top w:val="none" w:sz="0" w:space="0" w:color="auto"/>
        <w:left w:val="none" w:sz="0" w:space="0" w:color="auto"/>
        <w:bottom w:val="none" w:sz="0" w:space="0" w:color="auto"/>
        <w:right w:val="none" w:sz="0" w:space="0" w:color="auto"/>
      </w:divBdr>
    </w:div>
    <w:div w:id="1004213024">
      <w:bodyDiv w:val="1"/>
      <w:marLeft w:val="0"/>
      <w:marRight w:val="0"/>
      <w:marTop w:val="0"/>
      <w:marBottom w:val="0"/>
      <w:divBdr>
        <w:top w:val="none" w:sz="0" w:space="0" w:color="auto"/>
        <w:left w:val="none" w:sz="0" w:space="0" w:color="auto"/>
        <w:bottom w:val="none" w:sz="0" w:space="0" w:color="auto"/>
        <w:right w:val="none" w:sz="0" w:space="0" w:color="auto"/>
      </w:divBdr>
    </w:div>
    <w:div w:id="1004286926">
      <w:bodyDiv w:val="1"/>
      <w:marLeft w:val="0"/>
      <w:marRight w:val="0"/>
      <w:marTop w:val="0"/>
      <w:marBottom w:val="0"/>
      <w:divBdr>
        <w:top w:val="none" w:sz="0" w:space="0" w:color="auto"/>
        <w:left w:val="none" w:sz="0" w:space="0" w:color="auto"/>
        <w:bottom w:val="none" w:sz="0" w:space="0" w:color="auto"/>
        <w:right w:val="none" w:sz="0" w:space="0" w:color="auto"/>
      </w:divBdr>
    </w:div>
    <w:div w:id="1004356191">
      <w:bodyDiv w:val="1"/>
      <w:marLeft w:val="0"/>
      <w:marRight w:val="0"/>
      <w:marTop w:val="0"/>
      <w:marBottom w:val="0"/>
      <w:divBdr>
        <w:top w:val="none" w:sz="0" w:space="0" w:color="auto"/>
        <w:left w:val="none" w:sz="0" w:space="0" w:color="auto"/>
        <w:bottom w:val="none" w:sz="0" w:space="0" w:color="auto"/>
        <w:right w:val="none" w:sz="0" w:space="0" w:color="auto"/>
      </w:divBdr>
    </w:div>
    <w:div w:id="1004357820">
      <w:bodyDiv w:val="1"/>
      <w:marLeft w:val="0"/>
      <w:marRight w:val="0"/>
      <w:marTop w:val="0"/>
      <w:marBottom w:val="0"/>
      <w:divBdr>
        <w:top w:val="none" w:sz="0" w:space="0" w:color="auto"/>
        <w:left w:val="none" w:sz="0" w:space="0" w:color="auto"/>
        <w:bottom w:val="none" w:sz="0" w:space="0" w:color="auto"/>
        <w:right w:val="none" w:sz="0" w:space="0" w:color="auto"/>
      </w:divBdr>
    </w:div>
    <w:div w:id="1004631718">
      <w:bodyDiv w:val="1"/>
      <w:marLeft w:val="0"/>
      <w:marRight w:val="0"/>
      <w:marTop w:val="0"/>
      <w:marBottom w:val="0"/>
      <w:divBdr>
        <w:top w:val="none" w:sz="0" w:space="0" w:color="auto"/>
        <w:left w:val="none" w:sz="0" w:space="0" w:color="auto"/>
        <w:bottom w:val="none" w:sz="0" w:space="0" w:color="auto"/>
        <w:right w:val="none" w:sz="0" w:space="0" w:color="auto"/>
      </w:divBdr>
    </w:div>
    <w:div w:id="1004673772">
      <w:bodyDiv w:val="1"/>
      <w:marLeft w:val="0"/>
      <w:marRight w:val="0"/>
      <w:marTop w:val="0"/>
      <w:marBottom w:val="0"/>
      <w:divBdr>
        <w:top w:val="none" w:sz="0" w:space="0" w:color="auto"/>
        <w:left w:val="none" w:sz="0" w:space="0" w:color="auto"/>
        <w:bottom w:val="none" w:sz="0" w:space="0" w:color="auto"/>
        <w:right w:val="none" w:sz="0" w:space="0" w:color="auto"/>
      </w:divBdr>
    </w:div>
    <w:div w:id="1004743184">
      <w:bodyDiv w:val="1"/>
      <w:marLeft w:val="0"/>
      <w:marRight w:val="0"/>
      <w:marTop w:val="0"/>
      <w:marBottom w:val="0"/>
      <w:divBdr>
        <w:top w:val="none" w:sz="0" w:space="0" w:color="auto"/>
        <w:left w:val="none" w:sz="0" w:space="0" w:color="auto"/>
        <w:bottom w:val="none" w:sz="0" w:space="0" w:color="auto"/>
        <w:right w:val="none" w:sz="0" w:space="0" w:color="auto"/>
      </w:divBdr>
    </w:div>
    <w:div w:id="1004824889">
      <w:bodyDiv w:val="1"/>
      <w:marLeft w:val="0"/>
      <w:marRight w:val="0"/>
      <w:marTop w:val="0"/>
      <w:marBottom w:val="0"/>
      <w:divBdr>
        <w:top w:val="none" w:sz="0" w:space="0" w:color="auto"/>
        <w:left w:val="none" w:sz="0" w:space="0" w:color="auto"/>
        <w:bottom w:val="none" w:sz="0" w:space="0" w:color="auto"/>
        <w:right w:val="none" w:sz="0" w:space="0" w:color="auto"/>
      </w:divBdr>
    </w:div>
    <w:div w:id="1004895818">
      <w:bodyDiv w:val="1"/>
      <w:marLeft w:val="0"/>
      <w:marRight w:val="0"/>
      <w:marTop w:val="0"/>
      <w:marBottom w:val="0"/>
      <w:divBdr>
        <w:top w:val="none" w:sz="0" w:space="0" w:color="auto"/>
        <w:left w:val="none" w:sz="0" w:space="0" w:color="auto"/>
        <w:bottom w:val="none" w:sz="0" w:space="0" w:color="auto"/>
        <w:right w:val="none" w:sz="0" w:space="0" w:color="auto"/>
      </w:divBdr>
    </w:div>
    <w:div w:id="1004939825">
      <w:bodyDiv w:val="1"/>
      <w:marLeft w:val="0"/>
      <w:marRight w:val="0"/>
      <w:marTop w:val="0"/>
      <w:marBottom w:val="0"/>
      <w:divBdr>
        <w:top w:val="none" w:sz="0" w:space="0" w:color="auto"/>
        <w:left w:val="none" w:sz="0" w:space="0" w:color="auto"/>
        <w:bottom w:val="none" w:sz="0" w:space="0" w:color="auto"/>
        <w:right w:val="none" w:sz="0" w:space="0" w:color="auto"/>
      </w:divBdr>
    </w:div>
    <w:div w:id="1005009766">
      <w:bodyDiv w:val="1"/>
      <w:marLeft w:val="0"/>
      <w:marRight w:val="0"/>
      <w:marTop w:val="0"/>
      <w:marBottom w:val="0"/>
      <w:divBdr>
        <w:top w:val="none" w:sz="0" w:space="0" w:color="auto"/>
        <w:left w:val="none" w:sz="0" w:space="0" w:color="auto"/>
        <w:bottom w:val="none" w:sz="0" w:space="0" w:color="auto"/>
        <w:right w:val="none" w:sz="0" w:space="0" w:color="auto"/>
      </w:divBdr>
    </w:div>
    <w:div w:id="1005090146">
      <w:bodyDiv w:val="1"/>
      <w:marLeft w:val="0"/>
      <w:marRight w:val="0"/>
      <w:marTop w:val="0"/>
      <w:marBottom w:val="0"/>
      <w:divBdr>
        <w:top w:val="none" w:sz="0" w:space="0" w:color="auto"/>
        <w:left w:val="none" w:sz="0" w:space="0" w:color="auto"/>
        <w:bottom w:val="none" w:sz="0" w:space="0" w:color="auto"/>
        <w:right w:val="none" w:sz="0" w:space="0" w:color="auto"/>
      </w:divBdr>
    </w:div>
    <w:div w:id="1005130227">
      <w:bodyDiv w:val="1"/>
      <w:marLeft w:val="0"/>
      <w:marRight w:val="0"/>
      <w:marTop w:val="0"/>
      <w:marBottom w:val="0"/>
      <w:divBdr>
        <w:top w:val="none" w:sz="0" w:space="0" w:color="auto"/>
        <w:left w:val="none" w:sz="0" w:space="0" w:color="auto"/>
        <w:bottom w:val="none" w:sz="0" w:space="0" w:color="auto"/>
        <w:right w:val="none" w:sz="0" w:space="0" w:color="auto"/>
      </w:divBdr>
    </w:div>
    <w:div w:id="1005202993">
      <w:bodyDiv w:val="1"/>
      <w:marLeft w:val="0"/>
      <w:marRight w:val="0"/>
      <w:marTop w:val="0"/>
      <w:marBottom w:val="0"/>
      <w:divBdr>
        <w:top w:val="none" w:sz="0" w:space="0" w:color="auto"/>
        <w:left w:val="none" w:sz="0" w:space="0" w:color="auto"/>
        <w:bottom w:val="none" w:sz="0" w:space="0" w:color="auto"/>
        <w:right w:val="none" w:sz="0" w:space="0" w:color="auto"/>
      </w:divBdr>
    </w:div>
    <w:div w:id="1005281068">
      <w:bodyDiv w:val="1"/>
      <w:marLeft w:val="0"/>
      <w:marRight w:val="0"/>
      <w:marTop w:val="0"/>
      <w:marBottom w:val="0"/>
      <w:divBdr>
        <w:top w:val="none" w:sz="0" w:space="0" w:color="auto"/>
        <w:left w:val="none" w:sz="0" w:space="0" w:color="auto"/>
        <w:bottom w:val="none" w:sz="0" w:space="0" w:color="auto"/>
        <w:right w:val="none" w:sz="0" w:space="0" w:color="auto"/>
      </w:divBdr>
    </w:div>
    <w:div w:id="1005354066">
      <w:bodyDiv w:val="1"/>
      <w:marLeft w:val="0"/>
      <w:marRight w:val="0"/>
      <w:marTop w:val="0"/>
      <w:marBottom w:val="0"/>
      <w:divBdr>
        <w:top w:val="none" w:sz="0" w:space="0" w:color="auto"/>
        <w:left w:val="none" w:sz="0" w:space="0" w:color="auto"/>
        <w:bottom w:val="none" w:sz="0" w:space="0" w:color="auto"/>
        <w:right w:val="none" w:sz="0" w:space="0" w:color="auto"/>
      </w:divBdr>
    </w:div>
    <w:div w:id="1005396635">
      <w:bodyDiv w:val="1"/>
      <w:marLeft w:val="0"/>
      <w:marRight w:val="0"/>
      <w:marTop w:val="0"/>
      <w:marBottom w:val="0"/>
      <w:divBdr>
        <w:top w:val="none" w:sz="0" w:space="0" w:color="auto"/>
        <w:left w:val="none" w:sz="0" w:space="0" w:color="auto"/>
        <w:bottom w:val="none" w:sz="0" w:space="0" w:color="auto"/>
        <w:right w:val="none" w:sz="0" w:space="0" w:color="auto"/>
      </w:divBdr>
    </w:div>
    <w:div w:id="1005522261">
      <w:bodyDiv w:val="1"/>
      <w:marLeft w:val="0"/>
      <w:marRight w:val="0"/>
      <w:marTop w:val="0"/>
      <w:marBottom w:val="0"/>
      <w:divBdr>
        <w:top w:val="none" w:sz="0" w:space="0" w:color="auto"/>
        <w:left w:val="none" w:sz="0" w:space="0" w:color="auto"/>
        <w:bottom w:val="none" w:sz="0" w:space="0" w:color="auto"/>
        <w:right w:val="none" w:sz="0" w:space="0" w:color="auto"/>
      </w:divBdr>
    </w:div>
    <w:div w:id="1005598316">
      <w:bodyDiv w:val="1"/>
      <w:marLeft w:val="0"/>
      <w:marRight w:val="0"/>
      <w:marTop w:val="0"/>
      <w:marBottom w:val="0"/>
      <w:divBdr>
        <w:top w:val="none" w:sz="0" w:space="0" w:color="auto"/>
        <w:left w:val="none" w:sz="0" w:space="0" w:color="auto"/>
        <w:bottom w:val="none" w:sz="0" w:space="0" w:color="auto"/>
        <w:right w:val="none" w:sz="0" w:space="0" w:color="auto"/>
      </w:divBdr>
    </w:div>
    <w:div w:id="1005672125">
      <w:bodyDiv w:val="1"/>
      <w:marLeft w:val="0"/>
      <w:marRight w:val="0"/>
      <w:marTop w:val="0"/>
      <w:marBottom w:val="0"/>
      <w:divBdr>
        <w:top w:val="none" w:sz="0" w:space="0" w:color="auto"/>
        <w:left w:val="none" w:sz="0" w:space="0" w:color="auto"/>
        <w:bottom w:val="none" w:sz="0" w:space="0" w:color="auto"/>
        <w:right w:val="none" w:sz="0" w:space="0" w:color="auto"/>
      </w:divBdr>
    </w:div>
    <w:div w:id="1005741858">
      <w:bodyDiv w:val="1"/>
      <w:marLeft w:val="0"/>
      <w:marRight w:val="0"/>
      <w:marTop w:val="0"/>
      <w:marBottom w:val="0"/>
      <w:divBdr>
        <w:top w:val="none" w:sz="0" w:space="0" w:color="auto"/>
        <w:left w:val="none" w:sz="0" w:space="0" w:color="auto"/>
        <w:bottom w:val="none" w:sz="0" w:space="0" w:color="auto"/>
        <w:right w:val="none" w:sz="0" w:space="0" w:color="auto"/>
      </w:divBdr>
    </w:div>
    <w:div w:id="1005865232">
      <w:bodyDiv w:val="1"/>
      <w:marLeft w:val="0"/>
      <w:marRight w:val="0"/>
      <w:marTop w:val="0"/>
      <w:marBottom w:val="0"/>
      <w:divBdr>
        <w:top w:val="none" w:sz="0" w:space="0" w:color="auto"/>
        <w:left w:val="none" w:sz="0" w:space="0" w:color="auto"/>
        <w:bottom w:val="none" w:sz="0" w:space="0" w:color="auto"/>
        <w:right w:val="none" w:sz="0" w:space="0" w:color="auto"/>
      </w:divBdr>
    </w:div>
    <w:div w:id="1006247849">
      <w:bodyDiv w:val="1"/>
      <w:marLeft w:val="0"/>
      <w:marRight w:val="0"/>
      <w:marTop w:val="0"/>
      <w:marBottom w:val="0"/>
      <w:divBdr>
        <w:top w:val="none" w:sz="0" w:space="0" w:color="auto"/>
        <w:left w:val="none" w:sz="0" w:space="0" w:color="auto"/>
        <w:bottom w:val="none" w:sz="0" w:space="0" w:color="auto"/>
        <w:right w:val="none" w:sz="0" w:space="0" w:color="auto"/>
      </w:divBdr>
    </w:div>
    <w:div w:id="1006322901">
      <w:bodyDiv w:val="1"/>
      <w:marLeft w:val="0"/>
      <w:marRight w:val="0"/>
      <w:marTop w:val="0"/>
      <w:marBottom w:val="0"/>
      <w:divBdr>
        <w:top w:val="none" w:sz="0" w:space="0" w:color="auto"/>
        <w:left w:val="none" w:sz="0" w:space="0" w:color="auto"/>
        <w:bottom w:val="none" w:sz="0" w:space="0" w:color="auto"/>
        <w:right w:val="none" w:sz="0" w:space="0" w:color="auto"/>
      </w:divBdr>
    </w:div>
    <w:div w:id="1006400057">
      <w:bodyDiv w:val="1"/>
      <w:marLeft w:val="0"/>
      <w:marRight w:val="0"/>
      <w:marTop w:val="0"/>
      <w:marBottom w:val="0"/>
      <w:divBdr>
        <w:top w:val="none" w:sz="0" w:space="0" w:color="auto"/>
        <w:left w:val="none" w:sz="0" w:space="0" w:color="auto"/>
        <w:bottom w:val="none" w:sz="0" w:space="0" w:color="auto"/>
        <w:right w:val="none" w:sz="0" w:space="0" w:color="auto"/>
      </w:divBdr>
    </w:div>
    <w:div w:id="1006445580">
      <w:bodyDiv w:val="1"/>
      <w:marLeft w:val="0"/>
      <w:marRight w:val="0"/>
      <w:marTop w:val="0"/>
      <w:marBottom w:val="0"/>
      <w:divBdr>
        <w:top w:val="none" w:sz="0" w:space="0" w:color="auto"/>
        <w:left w:val="none" w:sz="0" w:space="0" w:color="auto"/>
        <w:bottom w:val="none" w:sz="0" w:space="0" w:color="auto"/>
        <w:right w:val="none" w:sz="0" w:space="0" w:color="auto"/>
      </w:divBdr>
    </w:div>
    <w:div w:id="1006445768">
      <w:bodyDiv w:val="1"/>
      <w:marLeft w:val="0"/>
      <w:marRight w:val="0"/>
      <w:marTop w:val="0"/>
      <w:marBottom w:val="0"/>
      <w:divBdr>
        <w:top w:val="none" w:sz="0" w:space="0" w:color="auto"/>
        <w:left w:val="none" w:sz="0" w:space="0" w:color="auto"/>
        <w:bottom w:val="none" w:sz="0" w:space="0" w:color="auto"/>
        <w:right w:val="none" w:sz="0" w:space="0" w:color="auto"/>
      </w:divBdr>
    </w:div>
    <w:div w:id="1006446532">
      <w:bodyDiv w:val="1"/>
      <w:marLeft w:val="0"/>
      <w:marRight w:val="0"/>
      <w:marTop w:val="0"/>
      <w:marBottom w:val="0"/>
      <w:divBdr>
        <w:top w:val="none" w:sz="0" w:space="0" w:color="auto"/>
        <w:left w:val="none" w:sz="0" w:space="0" w:color="auto"/>
        <w:bottom w:val="none" w:sz="0" w:space="0" w:color="auto"/>
        <w:right w:val="none" w:sz="0" w:space="0" w:color="auto"/>
      </w:divBdr>
    </w:div>
    <w:div w:id="1006635342">
      <w:bodyDiv w:val="1"/>
      <w:marLeft w:val="0"/>
      <w:marRight w:val="0"/>
      <w:marTop w:val="0"/>
      <w:marBottom w:val="0"/>
      <w:divBdr>
        <w:top w:val="none" w:sz="0" w:space="0" w:color="auto"/>
        <w:left w:val="none" w:sz="0" w:space="0" w:color="auto"/>
        <w:bottom w:val="none" w:sz="0" w:space="0" w:color="auto"/>
        <w:right w:val="none" w:sz="0" w:space="0" w:color="auto"/>
      </w:divBdr>
    </w:div>
    <w:div w:id="1006637800">
      <w:bodyDiv w:val="1"/>
      <w:marLeft w:val="0"/>
      <w:marRight w:val="0"/>
      <w:marTop w:val="0"/>
      <w:marBottom w:val="0"/>
      <w:divBdr>
        <w:top w:val="none" w:sz="0" w:space="0" w:color="auto"/>
        <w:left w:val="none" w:sz="0" w:space="0" w:color="auto"/>
        <w:bottom w:val="none" w:sz="0" w:space="0" w:color="auto"/>
        <w:right w:val="none" w:sz="0" w:space="0" w:color="auto"/>
      </w:divBdr>
    </w:div>
    <w:div w:id="1006710596">
      <w:bodyDiv w:val="1"/>
      <w:marLeft w:val="0"/>
      <w:marRight w:val="0"/>
      <w:marTop w:val="0"/>
      <w:marBottom w:val="0"/>
      <w:divBdr>
        <w:top w:val="none" w:sz="0" w:space="0" w:color="auto"/>
        <w:left w:val="none" w:sz="0" w:space="0" w:color="auto"/>
        <w:bottom w:val="none" w:sz="0" w:space="0" w:color="auto"/>
        <w:right w:val="none" w:sz="0" w:space="0" w:color="auto"/>
      </w:divBdr>
    </w:div>
    <w:div w:id="1006833020">
      <w:bodyDiv w:val="1"/>
      <w:marLeft w:val="0"/>
      <w:marRight w:val="0"/>
      <w:marTop w:val="0"/>
      <w:marBottom w:val="0"/>
      <w:divBdr>
        <w:top w:val="none" w:sz="0" w:space="0" w:color="auto"/>
        <w:left w:val="none" w:sz="0" w:space="0" w:color="auto"/>
        <w:bottom w:val="none" w:sz="0" w:space="0" w:color="auto"/>
        <w:right w:val="none" w:sz="0" w:space="0" w:color="auto"/>
      </w:divBdr>
    </w:div>
    <w:div w:id="1007057553">
      <w:bodyDiv w:val="1"/>
      <w:marLeft w:val="0"/>
      <w:marRight w:val="0"/>
      <w:marTop w:val="0"/>
      <w:marBottom w:val="0"/>
      <w:divBdr>
        <w:top w:val="none" w:sz="0" w:space="0" w:color="auto"/>
        <w:left w:val="none" w:sz="0" w:space="0" w:color="auto"/>
        <w:bottom w:val="none" w:sz="0" w:space="0" w:color="auto"/>
        <w:right w:val="none" w:sz="0" w:space="0" w:color="auto"/>
      </w:divBdr>
    </w:div>
    <w:div w:id="1007095674">
      <w:bodyDiv w:val="1"/>
      <w:marLeft w:val="0"/>
      <w:marRight w:val="0"/>
      <w:marTop w:val="0"/>
      <w:marBottom w:val="0"/>
      <w:divBdr>
        <w:top w:val="none" w:sz="0" w:space="0" w:color="auto"/>
        <w:left w:val="none" w:sz="0" w:space="0" w:color="auto"/>
        <w:bottom w:val="none" w:sz="0" w:space="0" w:color="auto"/>
        <w:right w:val="none" w:sz="0" w:space="0" w:color="auto"/>
      </w:divBdr>
    </w:div>
    <w:div w:id="1007253032">
      <w:bodyDiv w:val="1"/>
      <w:marLeft w:val="0"/>
      <w:marRight w:val="0"/>
      <w:marTop w:val="0"/>
      <w:marBottom w:val="0"/>
      <w:divBdr>
        <w:top w:val="none" w:sz="0" w:space="0" w:color="auto"/>
        <w:left w:val="none" w:sz="0" w:space="0" w:color="auto"/>
        <w:bottom w:val="none" w:sz="0" w:space="0" w:color="auto"/>
        <w:right w:val="none" w:sz="0" w:space="0" w:color="auto"/>
      </w:divBdr>
    </w:div>
    <w:div w:id="1007558820">
      <w:bodyDiv w:val="1"/>
      <w:marLeft w:val="0"/>
      <w:marRight w:val="0"/>
      <w:marTop w:val="0"/>
      <w:marBottom w:val="0"/>
      <w:divBdr>
        <w:top w:val="none" w:sz="0" w:space="0" w:color="auto"/>
        <w:left w:val="none" w:sz="0" w:space="0" w:color="auto"/>
        <w:bottom w:val="none" w:sz="0" w:space="0" w:color="auto"/>
        <w:right w:val="none" w:sz="0" w:space="0" w:color="auto"/>
      </w:divBdr>
    </w:div>
    <w:div w:id="1007562118">
      <w:bodyDiv w:val="1"/>
      <w:marLeft w:val="0"/>
      <w:marRight w:val="0"/>
      <w:marTop w:val="0"/>
      <w:marBottom w:val="0"/>
      <w:divBdr>
        <w:top w:val="none" w:sz="0" w:space="0" w:color="auto"/>
        <w:left w:val="none" w:sz="0" w:space="0" w:color="auto"/>
        <w:bottom w:val="none" w:sz="0" w:space="0" w:color="auto"/>
        <w:right w:val="none" w:sz="0" w:space="0" w:color="auto"/>
      </w:divBdr>
    </w:div>
    <w:div w:id="1007752082">
      <w:bodyDiv w:val="1"/>
      <w:marLeft w:val="0"/>
      <w:marRight w:val="0"/>
      <w:marTop w:val="0"/>
      <w:marBottom w:val="0"/>
      <w:divBdr>
        <w:top w:val="none" w:sz="0" w:space="0" w:color="auto"/>
        <w:left w:val="none" w:sz="0" w:space="0" w:color="auto"/>
        <w:bottom w:val="none" w:sz="0" w:space="0" w:color="auto"/>
        <w:right w:val="none" w:sz="0" w:space="0" w:color="auto"/>
      </w:divBdr>
    </w:div>
    <w:div w:id="1007823963">
      <w:bodyDiv w:val="1"/>
      <w:marLeft w:val="0"/>
      <w:marRight w:val="0"/>
      <w:marTop w:val="0"/>
      <w:marBottom w:val="0"/>
      <w:divBdr>
        <w:top w:val="none" w:sz="0" w:space="0" w:color="auto"/>
        <w:left w:val="none" w:sz="0" w:space="0" w:color="auto"/>
        <w:bottom w:val="none" w:sz="0" w:space="0" w:color="auto"/>
        <w:right w:val="none" w:sz="0" w:space="0" w:color="auto"/>
      </w:divBdr>
    </w:div>
    <w:div w:id="1007830883">
      <w:bodyDiv w:val="1"/>
      <w:marLeft w:val="0"/>
      <w:marRight w:val="0"/>
      <w:marTop w:val="0"/>
      <w:marBottom w:val="0"/>
      <w:divBdr>
        <w:top w:val="none" w:sz="0" w:space="0" w:color="auto"/>
        <w:left w:val="none" w:sz="0" w:space="0" w:color="auto"/>
        <w:bottom w:val="none" w:sz="0" w:space="0" w:color="auto"/>
        <w:right w:val="none" w:sz="0" w:space="0" w:color="auto"/>
      </w:divBdr>
    </w:div>
    <w:div w:id="1007899467">
      <w:bodyDiv w:val="1"/>
      <w:marLeft w:val="0"/>
      <w:marRight w:val="0"/>
      <w:marTop w:val="0"/>
      <w:marBottom w:val="0"/>
      <w:divBdr>
        <w:top w:val="none" w:sz="0" w:space="0" w:color="auto"/>
        <w:left w:val="none" w:sz="0" w:space="0" w:color="auto"/>
        <w:bottom w:val="none" w:sz="0" w:space="0" w:color="auto"/>
        <w:right w:val="none" w:sz="0" w:space="0" w:color="auto"/>
      </w:divBdr>
    </w:div>
    <w:div w:id="1008169460">
      <w:bodyDiv w:val="1"/>
      <w:marLeft w:val="0"/>
      <w:marRight w:val="0"/>
      <w:marTop w:val="0"/>
      <w:marBottom w:val="0"/>
      <w:divBdr>
        <w:top w:val="none" w:sz="0" w:space="0" w:color="auto"/>
        <w:left w:val="none" w:sz="0" w:space="0" w:color="auto"/>
        <w:bottom w:val="none" w:sz="0" w:space="0" w:color="auto"/>
        <w:right w:val="none" w:sz="0" w:space="0" w:color="auto"/>
      </w:divBdr>
    </w:div>
    <w:div w:id="1008211110">
      <w:bodyDiv w:val="1"/>
      <w:marLeft w:val="0"/>
      <w:marRight w:val="0"/>
      <w:marTop w:val="0"/>
      <w:marBottom w:val="0"/>
      <w:divBdr>
        <w:top w:val="none" w:sz="0" w:space="0" w:color="auto"/>
        <w:left w:val="none" w:sz="0" w:space="0" w:color="auto"/>
        <w:bottom w:val="none" w:sz="0" w:space="0" w:color="auto"/>
        <w:right w:val="none" w:sz="0" w:space="0" w:color="auto"/>
      </w:divBdr>
    </w:div>
    <w:div w:id="1008220188">
      <w:bodyDiv w:val="1"/>
      <w:marLeft w:val="0"/>
      <w:marRight w:val="0"/>
      <w:marTop w:val="0"/>
      <w:marBottom w:val="0"/>
      <w:divBdr>
        <w:top w:val="none" w:sz="0" w:space="0" w:color="auto"/>
        <w:left w:val="none" w:sz="0" w:space="0" w:color="auto"/>
        <w:bottom w:val="none" w:sz="0" w:space="0" w:color="auto"/>
        <w:right w:val="none" w:sz="0" w:space="0" w:color="auto"/>
      </w:divBdr>
    </w:div>
    <w:div w:id="1008405734">
      <w:bodyDiv w:val="1"/>
      <w:marLeft w:val="0"/>
      <w:marRight w:val="0"/>
      <w:marTop w:val="0"/>
      <w:marBottom w:val="0"/>
      <w:divBdr>
        <w:top w:val="none" w:sz="0" w:space="0" w:color="auto"/>
        <w:left w:val="none" w:sz="0" w:space="0" w:color="auto"/>
        <w:bottom w:val="none" w:sz="0" w:space="0" w:color="auto"/>
        <w:right w:val="none" w:sz="0" w:space="0" w:color="auto"/>
      </w:divBdr>
    </w:div>
    <w:div w:id="1008479859">
      <w:bodyDiv w:val="1"/>
      <w:marLeft w:val="0"/>
      <w:marRight w:val="0"/>
      <w:marTop w:val="0"/>
      <w:marBottom w:val="0"/>
      <w:divBdr>
        <w:top w:val="none" w:sz="0" w:space="0" w:color="auto"/>
        <w:left w:val="none" w:sz="0" w:space="0" w:color="auto"/>
        <w:bottom w:val="none" w:sz="0" w:space="0" w:color="auto"/>
        <w:right w:val="none" w:sz="0" w:space="0" w:color="auto"/>
      </w:divBdr>
    </w:div>
    <w:div w:id="1008562930">
      <w:bodyDiv w:val="1"/>
      <w:marLeft w:val="0"/>
      <w:marRight w:val="0"/>
      <w:marTop w:val="0"/>
      <w:marBottom w:val="0"/>
      <w:divBdr>
        <w:top w:val="none" w:sz="0" w:space="0" w:color="auto"/>
        <w:left w:val="none" w:sz="0" w:space="0" w:color="auto"/>
        <w:bottom w:val="none" w:sz="0" w:space="0" w:color="auto"/>
        <w:right w:val="none" w:sz="0" w:space="0" w:color="auto"/>
      </w:divBdr>
    </w:div>
    <w:div w:id="1008629927">
      <w:bodyDiv w:val="1"/>
      <w:marLeft w:val="0"/>
      <w:marRight w:val="0"/>
      <w:marTop w:val="0"/>
      <w:marBottom w:val="0"/>
      <w:divBdr>
        <w:top w:val="none" w:sz="0" w:space="0" w:color="auto"/>
        <w:left w:val="none" w:sz="0" w:space="0" w:color="auto"/>
        <w:bottom w:val="none" w:sz="0" w:space="0" w:color="auto"/>
        <w:right w:val="none" w:sz="0" w:space="0" w:color="auto"/>
      </w:divBdr>
    </w:div>
    <w:div w:id="1008673270">
      <w:bodyDiv w:val="1"/>
      <w:marLeft w:val="0"/>
      <w:marRight w:val="0"/>
      <w:marTop w:val="0"/>
      <w:marBottom w:val="0"/>
      <w:divBdr>
        <w:top w:val="none" w:sz="0" w:space="0" w:color="auto"/>
        <w:left w:val="none" w:sz="0" w:space="0" w:color="auto"/>
        <w:bottom w:val="none" w:sz="0" w:space="0" w:color="auto"/>
        <w:right w:val="none" w:sz="0" w:space="0" w:color="auto"/>
      </w:divBdr>
    </w:div>
    <w:div w:id="1008677198">
      <w:bodyDiv w:val="1"/>
      <w:marLeft w:val="0"/>
      <w:marRight w:val="0"/>
      <w:marTop w:val="0"/>
      <w:marBottom w:val="0"/>
      <w:divBdr>
        <w:top w:val="none" w:sz="0" w:space="0" w:color="auto"/>
        <w:left w:val="none" w:sz="0" w:space="0" w:color="auto"/>
        <w:bottom w:val="none" w:sz="0" w:space="0" w:color="auto"/>
        <w:right w:val="none" w:sz="0" w:space="0" w:color="auto"/>
      </w:divBdr>
    </w:div>
    <w:div w:id="1008823729">
      <w:bodyDiv w:val="1"/>
      <w:marLeft w:val="0"/>
      <w:marRight w:val="0"/>
      <w:marTop w:val="0"/>
      <w:marBottom w:val="0"/>
      <w:divBdr>
        <w:top w:val="none" w:sz="0" w:space="0" w:color="auto"/>
        <w:left w:val="none" w:sz="0" w:space="0" w:color="auto"/>
        <w:bottom w:val="none" w:sz="0" w:space="0" w:color="auto"/>
        <w:right w:val="none" w:sz="0" w:space="0" w:color="auto"/>
      </w:divBdr>
    </w:div>
    <w:div w:id="1008823992">
      <w:bodyDiv w:val="1"/>
      <w:marLeft w:val="0"/>
      <w:marRight w:val="0"/>
      <w:marTop w:val="0"/>
      <w:marBottom w:val="0"/>
      <w:divBdr>
        <w:top w:val="none" w:sz="0" w:space="0" w:color="auto"/>
        <w:left w:val="none" w:sz="0" w:space="0" w:color="auto"/>
        <w:bottom w:val="none" w:sz="0" w:space="0" w:color="auto"/>
        <w:right w:val="none" w:sz="0" w:space="0" w:color="auto"/>
      </w:divBdr>
    </w:div>
    <w:div w:id="1008824704">
      <w:bodyDiv w:val="1"/>
      <w:marLeft w:val="0"/>
      <w:marRight w:val="0"/>
      <w:marTop w:val="0"/>
      <w:marBottom w:val="0"/>
      <w:divBdr>
        <w:top w:val="none" w:sz="0" w:space="0" w:color="auto"/>
        <w:left w:val="none" w:sz="0" w:space="0" w:color="auto"/>
        <w:bottom w:val="none" w:sz="0" w:space="0" w:color="auto"/>
        <w:right w:val="none" w:sz="0" w:space="0" w:color="auto"/>
      </w:divBdr>
    </w:div>
    <w:div w:id="1008872936">
      <w:bodyDiv w:val="1"/>
      <w:marLeft w:val="0"/>
      <w:marRight w:val="0"/>
      <w:marTop w:val="0"/>
      <w:marBottom w:val="0"/>
      <w:divBdr>
        <w:top w:val="none" w:sz="0" w:space="0" w:color="auto"/>
        <w:left w:val="none" w:sz="0" w:space="0" w:color="auto"/>
        <w:bottom w:val="none" w:sz="0" w:space="0" w:color="auto"/>
        <w:right w:val="none" w:sz="0" w:space="0" w:color="auto"/>
      </w:divBdr>
    </w:div>
    <w:div w:id="1009018826">
      <w:bodyDiv w:val="1"/>
      <w:marLeft w:val="0"/>
      <w:marRight w:val="0"/>
      <w:marTop w:val="0"/>
      <w:marBottom w:val="0"/>
      <w:divBdr>
        <w:top w:val="none" w:sz="0" w:space="0" w:color="auto"/>
        <w:left w:val="none" w:sz="0" w:space="0" w:color="auto"/>
        <w:bottom w:val="none" w:sz="0" w:space="0" w:color="auto"/>
        <w:right w:val="none" w:sz="0" w:space="0" w:color="auto"/>
      </w:divBdr>
    </w:div>
    <w:div w:id="1009068700">
      <w:bodyDiv w:val="1"/>
      <w:marLeft w:val="0"/>
      <w:marRight w:val="0"/>
      <w:marTop w:val="0"/>
      <w:marBottom w:val="0"/>
      <w:divBdr>
        <w:top w:val="none" w:sz="0" w:space="0" w:color="auto"/>
        <w:left w:val="none" w:sz="0" w:space="0" w:color="auto"/>
        <w:bottom w:val="none" w:sz="0" w:space="0" w:color="auto"/>
        <w:right w:val="none" w:sz="0" w:space="0" w:color="auto"/>
      </w:divBdr>
    </w:div>
    <w:div w:id="1009135285">
      <w:bodyDiv w:val="1"/>
      <w:marLeft w:val="0"/>
      <w:marRight w:val="0"/>
      <w:marTop w:val="0"/>
      <w:marBottom w:val="0"/>
      <w:divBdr>
        <w:top w:val="none" w:sz="0" w:space="0" w:color="auto"/>
        <w:left w:val="none" w:sz="0" w:space="0" w:color="auto"/>
        <w:bottom w:val="none" w:sz="0" w:space="0" w:color="auto"/>
        <w:right w:val="none" w:sz="0" w:space="0" w:color="auto"/>
      </w:divBdr>
    </w:div>
    <w:div w:id="1009137054">
      <w:bodyDiv w:val="1"/>
      <w:marLeft w:val="0"/>
      <w:marRight w:val="0"/>
      <w:marTop w:val="0"/>
      <w:marBottom w:val="0"/>
      <w:divBdr>
        <w:top w:val="none" w:sz="0" w:space="0" w:color="auto"/>
        <w:left w:val="none" w:sz="0" w:space="0" w:color="auto"/>
        <w:bottom w:val="none" w:sz="0" w:space="0" w:color="auto"/>
        <w:right w:val="none" w:sz="0" w:space="0" w:color="auto"/>
      </w:divBdr>
    </w:div>
    <w:div w:id="1009143404">
      <w:bodyDiv w:val="1"/>
      <w:marLeft w:val="0"/>
      <w:marRight w:val="0"/>
      <w:marTop w:val="0"/>
      <w:marBottom w:val="0"/>
      <w:divBdr>
        <w:top w:val="none" w:sz="0" w:space="0" w:color="auto"/>
        <w:left w:val="none" w:sz="0" w:space="0" w:color="auto"/>
        <w:bottom w:val="none" w:sz="0" w:space="0" w:color="auto"/>
        <w:right w:val="none" w:sz="0" w:space="0" w:color="auto"/>
      </w:divBdr>
    </w:div>
    <w:div w:id="1009258000">
      <w:bodyDiv w:val="1"/>
      <w:marLeft w:val="0"/>
      <w:marRight w:val="0"/>
      <w:marTop w:val="0"/>
      <w:marBottom w:val="0"/>
      <w:divBdr>
        <w:top w:val="none" w:sz="0" w:space="0" w:color="auto"/>
        <w:left w:val="none" w:sz="0" w:space="0" w:color="auto"/>
        <w:bottom w:val="none" w:sz="0" w:space="0" w:color="auto"/>
        <w:right w:val="none" w:sz="0" w:space="0" w:color="auto"/>
      </w:divBdr>
    </w:div>
    <w:div w:id="1009332322">
      <w:bodyDiv w:val="1"/>
      <w:marLeft w:val="0"/>
      <w:marRight w:val="0"/>
      <w:marTop w:val="0"/>
      <w:marBottom w:val="0"/>
      <w:divBdr>
        <w:top w:val="none" w:sz="0" w:space="0" w:color="auto"/>
        <w:left w:val="none" w:sz="0" w:space="0" w:color="auto"/>
        <w:bottom w:val="none" w:sz="0" w:space="0" w:color="auto"/>
        <w:right w:val="none" w:sz="0" w:space="0" w:color="auto"/>
      </w:divBdr>
    </w:div>
    <w:div w:id="1009404843">
      <w:bodyDiv w:val="1"/>
      <w:marLeft w:val="0"/>
      <w:marRight w:val="0"/>
      <w:marTop w:val="0"/>
      <w:marBottom w:val="0"/>
      <w:divBdr>
        <w:top w:val="none" w:sz="0" w:space="0" w:color="auto"/>
        <w:left w:val="none" w:sz="0" w:space="0" w:color="auto"/>
        <w:bottom w:val="none" w:sz="0" w:space="0" w:color="auto"/>
        <w:right w:val="none" w:sz="0" w:space="0" w:color="auto"/>
      </w:divBdr>
    </w:div>
    <w:div w:id="1009483252">
      <w:bodyDiv w:val="1"/>
      <w:marLeft w:val="0"/>
      <w:marRight w:val="0"/>
      <w:marTop w:val="0"/>
      <w:marBottom w:val="0"/>
      <w:divBdr>
        <w:top w:val="none" w:sz="0" w:space="0" w:color="auto"/>
        <w:left w:val="none" w:sz="0" w:space="0" w:color="auto"/>
        <w:bottom w:val="none" w:sz="0" w:space="0" w:color="auto"/>
        <w:right w:val="none" w:sz="0" w:space="0" w:color="auto"/>
      </w:divBdr>
    </w:div>
    <w:div w:id="1009604104">
      <w:bodyDiv w:val="1"/>
      <w:marLeft w:val="0"/>
      <w:marRight w:val="0"/>
      <w:marTop w:val="0"/>
      <w:marBottom w:val="0"/>
      <w:divBdr>
        <w:top w:val="none" w:sz="0" w:space="0" w:color="auto"/>
        <w:left w:val="none" w:sz="0" w:space="0" w:color="auto"/>
        <w:bottom w:val="none" w:sz="0" w:space="0" w:color="auto"/>
        <w:right w:val="none" w:sz="0" w:space="0" w:color="auto"/>
      </w:divBdr>
    </w:div>
    <w:div w:id="1009714959">
      <w:bodyDiv w:val="1"/>
      <w:marLeft w:val="0"/>
      <w:marRight w:val="0"/>
      <w:marTop w:val="0"/>
      <w:marBottom w:val="0"/>
      <w:divBdr>
        <w:top w:val="none" w:sz="0" w:space="0" w:color="auto"/>
        <w:left w:val="none" w:sz="0" w:space="0" w:color="auto"/>
        <w:bottom w:val="none" w:sz="0" w:space="0" w:color="auto"/>
        <w:right w:val="none" w:sz="0" w:space="0" w:color="auto"/>
      </w:divBdr>
    </w:div>
    <w:div w:id="1009722692">
      <w:bodyDiv w:val="1"/>
      <w:marLeft w:val="0"/>
      <w:marRight w:val="0"/>
      <w:marTop w:val="0"/>
      <w:marBottom w:val="0"/>
      <w:divBdr>
        <w:top w:val="none" w:sz="0" w:space="0" w:color="auto"/>
        <w:left w:val="none" w:sz="0" w:space="0" w:color="auto"/>
        <w:bottom w:val="none" w:sz="0" w:space="0" w:color="auto"/>
        <w:right w:val="none" w:sz="0" w:space="0" w:color="auto"/>
      </w:divBdr>
    </w:div>
    <w:div w:id="1009793477">
      <w:bodyDiv w:val="1"/>
      <w:marLeft w:val="0"/>
      <w:marRight w:val="0"/>
      <w:marTop w:val="0"/>
      <w:marBottom w:val="0"/>
      <w:divBdr>
        <w:top w:val="none" w:sz="0" w:space="0" w:color="auto"/>
        <w:left w:val="none" w:sz="0" w:space="0" w:color="auto"/>
        <w:bottom w:val="none" w:sz="0" w:space="0" w:color="auto"/>
        <w:right w:val="none" w:sz="0" w:space="0" w:color="auto"/>
      </w:divBdr>
    </w:div>
    <w:div w:id="1009872646">
      <w:bodyDiv w:val="1"/>
      <w:marLeft w:val="0"/>
      <w:marRight w:val="0"/>
      <w:marTop w:val="0"/>
      <w:marBottom w:val="0"/>
      <w:divBdr>
        <w:top w:val="none" w:sz="0" w:space="0" w:color="auto"/>
        <w:left w:val="none" w:sz="0" w:space="0" w:color="auto"/>
        <w:bottom w:val="none" w:sz="0" w:space="0" w:color="auto"/>
        <w:right w:val="none" w:sz="0" w:space="0" w:color="auto"/>
      </w:divBdr>
    </w:div>
    <w:div w:id="1010060202">
      <w:bodyDiv w:val="1"/>
      <w:marLeft w:val="0"/>
      <w:marRight w:val="0"/>
      <w:marTop w:val="0"/>
      <w:marBottom w:val="0"/>
      <w:divBdr>
        <w:top w:val="none" w:sz="0" w:space="0" w:color="auto"/>
        <w:left w:val="none" w:sz="0" w:space="0" w:color="auto"/>
        <w:bottom w:val="none" w:sz="0" w:space="0" w:color="auto"/>
        <w:right w:val="none" w:sz="0" w:space="0" w:color="auto"/>
      </w:divBdr>
    </w:div>
    <w:div w:id="1010179545">
      <w:bodyDiv w:val="1"/>
      <w:marLeft w:val="0"/>
      <w:marRight w:val="0"/>
      <w:marTop w:val="0"/>
      <w:marBottom w:val="0"/>
      <w:divBdr>
        <w:top w:val="none" w:sz="0" w:space="0" w:color="auto"/>
        <w:left w:val="none" w:sz="0" w:space="0" w:color="auto"/>
        <w:bottom w:val="none" w:sz="0" w:space="0" w:color="auto"/>
        <w:right w:val="none" w:sz="0" w:space="0" w:color="auto"/>
      </w:divBdr>
    </w:div>
    <w:div w:id="1010328023">
      <w:bodyDiv w:val="1"/>
      <w:marLeft w:val="0"/>
      <w:marRight w:val="0"/>
      <w:marTop w:val="0"/>
      <w:marBottom w:val="0"/>
      <w:divBdr>
        <w:top w:val="none" w:sz="0" w:space="0" w:color="auto"/>
        <w:left w:val="none" w:sz="0" w:space="0" w:color="auto"/>
        <w:bottom w:val="none" w:sz="0" w:space="0" w:color="auto"/>
        <w:right w:val="none" w:sz="0" w:space="0" w:color="auto"/>
      </w:divBdr>
    </w:div>
    <w:div w:id="1010328660">
      <w:bodyDiv w:val="1"/>
      <w:marLeft w:val="0"/>
      <w:marRight w:val="0"/>
      <w:marTop w:val="0"/>
      <w:marBottom w:val="0"/>
      <w:divBdr>
        <w:top w:val="none" w:sz="0" w:space="0" w:color="auto"/>
        <w:left w:val="none" w:sz="0" w:space="0" w:color="auto"/>
        <w:bottom w:val="none" w:sz="0" w:space="0" w:color="auto"/>
        <w:right w:val="none" w:sz="0" w:space="0" w:color="auto"/>
      </w:divBdr>
    </w:div>
    <w:div w:id="1010378483">
      <w:bodyDiv w:val="1"/>
      <w:marLeft w:val="0"/>
      <w:marRight w:val="0"/>
      <w:marTop w:val="0"/>
      <w:marBottom w:val="0"/>
      <w:divBdr>
        <w:top w:val="none" w:sz="0" w:space="0" w:color="auto"/>
        <w:left w:val="none" w:sz="0" w:space="0" w:color="auto"/>
        <w:bottom w:val="none" w:sz="0" w:space="0" w:color="auto"/>
        <w:right w:val="none" w:sz="0" w:space="0" w:color="auto"/>
      </w:divBdr>
    </w:div>
    <w:div w:id="1010566784">
      <w:bodyDiv w:val="1"/>
      <w:marLeft w:val="0"/>
      <w:marRight w:val="0"/>
      <w:marTop w:val="0"/>
      <w:marBottom w:val="0"/>
      <w:divBdr>
        <w:top w:val="none" w:sz="0" w:space="0" w:color="auto"/>
        <w:left w:val="none" w:sz="0" w:space="0" w:color="auto"/>
        <w:bottom w:val="none" w:sz="0" w:space="0" w:color="auto"/>
        <w:right w:val="none" w:sz="0" w:space="0" w:color="auto"/>
      </w:divBdr>
    </w:div>
    <w:div w:id="1010640115">
      <w:bodyDiv w:val="1"/>
      <w:marLeft w:val="0"/>
      <w:marRight w:val="0"/>
      <w:marTop w:val="0"/>
      <w:marBottom w:val="0"/>
      <w:divBdr>
        <w:top w:val="none" w:sz="0" w:space="0" w:color="auto"/>
        <w:left w:val="none" w:sz="0" w:space="0" w:color="auto"/>
        <w:bottom w:val="none" w:sz="0" w:space="0" w:color="auto"/>
        <w:right w:val="none" w:sz="0" w:space="0" w:color="auto"/>
      </w:divBdr>
    </w:div>
    <w:div w:id="1010642850">
      <w:bodyDiv w:val="1"/>
      <w:marLeft w:val="0"/>
      <w:marRight w:val="0"/>
      <w:marTop w:val="0"/>
      <w:marBottom w:val="0"/>
      <w:divBdr>
        <w:top w:val="none" w:sz="0" w:space="0" w:color="auto"/>
        <w:left w:val="none" w:sz="0" w:space="0" w:color="auto"/>
        <w:bottom w:val="none" w:sz="0" w:space="0" w:color="auto"/>
        <w:right w:val="none" w:sz="0" w:space="0" w:color="auto"/>
      </w:divBdr>
    </w:div>
    <w:div w:id="1010643439">
      <w:bodyDiv w:val="1"/>
      <w:marLeft w:val="0"/>
      <w:marRight w:val="0"/>
      <w:marTop w:val="0"/>
      <w:marBottom w:val="0"/>
      <w:divBdr>
        <w:top w:val="none" w:sz="0" w:space="0" w:color="auto"/>
        <w:left w:val="none" w:sz="0" w:space="0" w:color="auto"/>
        <w:bottom w:val="none" w:sz="0" w:space="0" w:color="auto"/>
        <w:right w:val="none" w:sz="0" w:space="0" w:color="auto"/>
      </w:divBdr>
    </w:div>
    <w:div w:id="1010644233">
      <w:bodyDiv w:val="1"/>
      <w:marLeft w:val="0"/>
      <w:marRight w:val="0"/>
      <w:marTop w:val="0"/>
      <w:marBottom w:val="0"/>
      <w:divBdr>
        <w:top w:val="none" w:sz="0" w:space="0" w:color="auto"/>
        <w:left w:val="none" w:sz="0" w:space="0" w:color="auto"/>
        <w:bottom w:val="none" w:sz="0" w:space="0" w:color="auto"/>
        <w:right w:val="none" w:sz="0" w:space="0" w:color="auto"/>
      </w:divBdr>
    </w:div>
    <w:div w:id="1010719046">
      <w:bodyDiv w:val="1"/>
      <w:marLeft w:val="0"/>
      <w:marRight w:val="0"/>
      <w:marTop w:val="0"/>
      <w:marBottom w:val="0"/>
      <w:divBdr>
        <w:top w:val="none" w:sz="0" w:space="0" w:color="auto"/>
        <w:left w:val="none" w:sz="0" w:space="0" w:color="auto"/>
        <w:bottom w:val="none" w:sz="0" w:space="0" w:color="auto"/>
        <w:right w:val="none" w:sz="0" w:space="0" w:color="auto"/>
      </w:divBdr>
    </w:div>
    <w:div w:id="1010790129">
      <w:bodyDiv w:val="1"/>
      <w:marLeft w:val="0"/>
      <w:marRight w:val="0"/>
      <w:marTop w:val="0"/>
      <w:marBottom w:val="0"/>
      <w:divBdr>
        <w:top w:val="none" w:sz="0" w:space="0" w:color="auto"/>
        <w:left w:val="none" w:sz="0" w:space="0" w:color="auto"/>
        <w:bottom w:val="none" w:sz="0" w:space="0" w:color="auto"/>
        <w:right w:val="none" w:sz="0" w:space="0" w:color="auto"/>
      </w:divBdr>
    </w:div>
    <w:div w:id="1010907104">
      <w:bodyDiv w:val="1"/>
      <w:marLeft w:val="0"/>
      <w:marRight w:val="0"/>
      <w:marTop w:val="0"/>
      <w:marBottom w:val="0"/>
      <w:divBdr>
        <w:top w:val="none" w:sz="0" w:space="0" w:color="auto"/>
        <w:left w:val="none" w:sz="0" w:space="0" w:color="auto"/>
        <w:bottom w:val="none" w:sz="0" w:space="0" w:color="auto"/>
        <w:right w:val="none" w:sz="0" w:space="0" w:color="auto"/>
      </w:divBdr>
    </w:div>
    <w:div w:id="1010907109">
      <w:bodyDiv w:val="1"/>
      <w:marLeft w:val="0"/>
      <w:marRight w:val="0"/>
      <w:marTop w:val="0"/>
      <w:marBottom w:val="0"/>
      <w:divBdr>
        <w:top w:val="none" w:sz="0" w:space="0" w:color="auto"/>
        <w:left w:val="none" w:sz="0" w:space="0" w:color="auto"/>
        <w:bottom w:val="none" w:sz="0" w:space="0" w:color="auto"/>
        <w:right w:val="none" w:sz="0" w:space="0" w:color="auto"/>
      </w:divBdr>
    </w:div>
    <w:div w:id="1010987380">
      <w:bodyDiv w:val="1"/>
      <w:marLeft w:val="0"/>
      <w:marRight w:val="0"/>
      <w:marTop w:val="0"/>
      <w:marBottom w:val="0"/>
      <w:divBdr>
        <w:top w:val="none" w:sz="0" w:space="0" w:color="auto"/>
        <w:left w:val="none" w:sz="0" w:space="0" w:color="auto"/>
        <w:bottom w:val="none" w:sz="0" w:space="0" w:color="auto"/>
        <w:right w:val="none" w:sz="0" w:space="0" w:color="auto"/>
      </w:divBdr>
    </w:div>
    <w:div w:id="1011027332">
      <w:bodyDiv w:val="1"/>
      <w:marLeft w:val="0"/>
      <w:marRight w:val="0"/>
      <w:marTop w:val="0"/>
      <w:marBottom w:val="0"/>
      <w:divBdr>
        <w:top w:val="none" w:sz="0" w:space="0" w:color="auto"/>
        <w:left w:val="none" w:sz="0" w:space="0" w:color="auto"/>
        <w:bottom w:val="none" w:sz="0" w:space="0" w:color="auto"/>
        <w:right w:val="none" w:sz="0" w:space="0" w:color="auto"/>
      </w:divBdr>
    </w:div>
    <w:div w:id="1011101180">
      <w:bodyDiv w:val="1"/>
      <w:marLeft w:val="0"/>
      <w:marRight w:val="0"/>
      <w:marTop w:val="0"/>
      <w:marBottom w:val="0"/>
      <w:divBdr>
        <w:top w:val="none" w:sz="0" w:space="0" w:color="auto"/>
        <w:left w:val="none" w:sz="0" w:space="0" w:color="auto"/>
        <w:bottom w:val="none" w:sz="0" w:space="0" w:color="auto"/>
        <w:right w:val="none" w:sz="0" w:space="0" w:color="auto"/>
      </w:divBdr>
    </w:div>
    <w:div w:id="1011225633">
      <w:bodyDiv w:val="1"/>
      <w:marLeft w:val="0"/>
      <w:marRight w:val="0"/>
      <w:marTop w:val="0"/>
      <w:marBottom w:val="0"/>
      <w:divBdr>
        <w:top w:val="none" w:sz="0" w:space="0" w:color="auto"/>
        <w:left w:val="none" w:sz="0" w:space="0" w:color="auto"/>
        <w:bottom w:val="none" w:sz="0" w:space="0" w:color="auto"/>
        <w:right w:val="none" w:sz="0" w:space="0" w:color="auto"/>
      </w:divBdr>
    </w:div>
    <w:div w:id="1011564299">
      <w:bodyDiv w:val="1"/>
      <w:marLeft w:val="0"/>
      <w:marRight w:val="0"/>
      <w:marTop w:val="0"/>
      <w:marBottom w:val="0"/>
      <w:divBdr>
        <w:top w:val="none" w:sz="0" w:space="0" w:color="auto"/>
        <w:left w:val="none" w:sz="0" w:space="0" w:color="auto"/>
        <w:bottom w:val="none" w:sz="0" w:space="0" w:color="auto"/>
        <w:right w:val="none" w:sz="0" w:space="0" w:color="auto"/>
      </w:divBdr>
    </w:div>
    <w:div w:id="1011613908">
      <w:bodyDiv w:val="1"/>
      <w:marLeft w:val="0"/>
      <w:marRight w:val="0"/>
      <w:marTop w:val="0"/>
      <w:marBottom w:val="0"/>
      <w:divBdr>
        <w:top w:val="none" w:sz="0" w:space="0" w:color="auto"/>
        <w:left w:val="none" w:sz="0" w:space="0" w:color="auto"/>
        <w:bottom w:val="none" w:sz="0" w:space="0" w:color="auto"/>
        <w:right w:val="none" w:sz="0" w:space="0" w:color="auto"/>
      </w:divBdr>
    </w:div>
    <w:div w:id="1011830993">
      <w:bodyDiv w:val="1"/>
      <w:marLeft w:val="0"/>
      <w:marRight w:val="0"/>
      <w:marTop w:val="0"/>
      <w:marBottom w:val="0"/>
      <w:divBdr>
        <w:top w:val="none" w:sz="0" w:space="0" w:color="auto"/>
        <w:left w:val="none" w:sz="0" w:space="0" w:color="auto"/>
        <w:bottom w:val="none" w:sz="0" w:space="0" w:color="auto"/>
        <w:right w:val="none" w:sz="0" w:space="0" w:color="auto"/>
      </w:divBdr>
    </w:div>
    <w:div w:id="1011835487">
      <w:bodyDiv w:val="1"/>
      <w:marLeft w:val="0"/>
      <w:marRight w:val="0"/>
      <w:marTop w:val="0"/>
      <w:marBottom w:val="0"/>
      <w:divBdr>
        <w:top w:val="none" w:sz="0" w:space="0" w:color="auto"/>
        <w:left w:val="none" w:sz="0" w:space="0" w:color="auto"/>
        <w:bottom w:val="none" w:sz="0" w:space="0" w:color="auto"/>
        <w:right w:val="none" w:sz="0" w:space="0" w:color="auto"/>
      </w:divBdr>
    </w:div>
    <w:div w:id="1011876224">
      <w:bodyDiv w:val="1"/>
      <w:marLeft w:val="0"/>
      <w:marRight w:val="0"/>
      <w:marTop w:val="0"/>
      <w:marBottom w:val="0"/>
      <w:divBdr>
        <w:top w:val="none" w:sz="0" w:space="0" w:color="auto"/>
        <w:left w:val="none" w:sz="0" w:space="0" w:color="auto"/>
        <w:bottom w:val="none" w:sz="0" w:space="0" w:color="auto"/>
        <w:right w:val="none" w:sz="0" w:space="0" w:color="auto"/>
      </w:divBdr>
    </w:div>
    <w:div w:id="1011882122">
      <w:bodyDiv w:val="1"/>
      <w:marLeft w:val="0"/>
      <w:marRight w:val="0"/>
      <w:marTop w:val="0"/>
      <w:marBottom w:val="0"/>
      <w:divBdr>
        <w:top w:val="none" w:sz="0" w:space="0" w:color="auto"/>
        <w:left w:val="none" w:sz="0" w:space="0" w:color="auto"/>
        <w:bottom w:val="none" w:sz="0" w:space="0" w:color="auto"/>
        <w:right w:val="none" w:sz="0" w:space="0" w:color="auto"/>
      </w:divBdr>
    </w:div>
    <w:div w:id="1011907694">
      <w:bodyDiv w:val="1"/>
      <w:marLeft w:val="0"/>
      <w:marRight w:val="0"/>
      <w:marTop w:val="0"/>
      <w:marBottom w:val="0"/>
      <w:divBdr>
        <w:top w:val="none" w:sz="0" w:space="0" w:color="auto"/>
        <w:left w:val="none" w:sz="0" w:space="0" w:color="auto"/>
        <w:bottom w:val="none" w:sz="0" w:space="0" w:color="auto"/>
        <w:right w:val="none" w:sz="0" w:space="0" w:color="auto"/>
      </w:divBdr>
    </w:div>
    <w:div w:id="1011950539">
      <w:bodyDiv w:val="1"/>
      <w:marLeft w:val="0"/>
      <w:marRight w:val="0"/>
      <w:marTop w:val="0"/>
      <w:marBottom w:val="0"/>
      <w:divBdr>
        <w:top w:val="none" w:sz="0" w:space="0" w:color="auto"/>
        <w:left w:val="none" w:sz="0" w:space="0" w:color="auto"/>
        <w:bottom w:val="none" w:sz="0" w:space="0" w:color="auto"/>
        <w:right w:val="none" w:sz="0" w:space="0" w:color="auto"/>
      </w:divBdr>
    </w:div>
    <w:div w:id="1011952828">
      <w:bodyDiv w:val="1"/>
      <w:marLeft w:val="0"/>
      <w:marRight w:val="0"/>
      <w:marTop w:val="0"/>
      <w:marBottom w:val="0"/>
      <w:divBdr>
        <w:top w:val="none" w:sz="0" w:space="0" w:color="auto"/>
        <w:left w:val="none" w:sz="0" w:space="0" w:color="auto"/>
        <w:bottom w:val="none" w:sz="0" w:space="0" w:color="auto"/>
        <w:right w:val="none" w:sz="0" w:space="0" w:color="auto"/>
      </w:divBdr>
    </w:div>
    <w:div w:id="1011953305">
      <w:bodyDiv w:val="1"/>
      <w:marLeft w:val="0"/>
      <w:marRight w:val="0"/>
      <w:marTop w:val="0"/>
      <w:marBottom w:val="0"/>
      <w:divBdr>
        <w:top w:val="none" w:sz="0" w:space="0" w:color="auto"/>
        <w:left w:val="none" w:sz="0" w:space="0" w:color="auto"/>
        <w:bottom w:val="none" w:sz="0" w:space="0" w:color="auto"/>
        <w:right w:val="none" w:sz="0" w:space="0" w:color="auto"/>
      </w:divBdr>
    </w:div>
    <w:div w:id="1011957123">
      <w:bodyDiv w:val="1"/>
      <w:marLeft w:val="0"/>
      <w:marRight w:val="0"/>
      <w:marTop w:val="0"/>
      <w:marBottom w:val="0"/>
      <w:divBdr>
        <w:top w:val="none" w:sz="0" w:space="0" w:color="auto"/>
        <w:left w:val="none" w:sz="0" w:space="0" w:color="auto"/>
        <w:bottom w:val="none" w:sz="0" w:space="0" w:color="auto"/>
        <w:right w:val="none" w:sz="0" w:space="0" w:color="auto"/>
      </w:divBdr>
    </w:div>
    <w:div w:id="1012224571">
      <w:bodyDiv w:val="1"/>
      <w:marLeft w:val="0"/>
      <w:marRight w:val="0"/>
      <w:marTop w:val="0"/>
      <w:marBottom w:val="0"/>
      <w:divBdr>
        <w:top w:val="none" w:sz="0" w:space="0" w:color="auto"/>
        <w:left w:val="none" w:sz="0" w:space="0" w:color="auto"/>
        <w:bottom w:val="none" w:sz="0" w:space="0" w:color="auto"/>
        <w:right w:val="none" w:sz="0" w:space="0" w:color="auto"/>
      </w:divBdr>
    </w:div>
    <w:div w:id="1012225243">
      <w:bodyDiv w:val="1"/>
      <w:marLeft w:val="0"/>
      <w:marRight w:val="0"/>
      <w:marTop w:val="0"/>
      <w:marBottom w:val="0"/>
      <w:divBdr>
        <w:top w:val="none" w:sz="0" w:space="0" w:color="auto"/>
        <w:left w:val="none" w:sz="0" w:space="0" w:color="auto"/>
        <w:bottom w:val="none" w:sz="0" w:space="0" w:color="auto"/>
        <w:right w:val="none" w:sz="0" w:space="0" w:color="auto"/>
      </w:divBdr>
    </w:div>
    <w:div w:id="1012296173">
      <w:bodyDiv w:val="1"/>
      <w:marLeft w:val="0"/>
      <w:marRight w:val="0"/>
      <w:marTop w:val="0"/>
      <w:marBottom w:val="0"/>
      <w:divBdr>
        <w:top w:val="none" w:sz="0" w:space="0" w:color="auto"/>
        <w:left w:val="none" w:sz="0" w:space="0" w:color="auto"/>
        <w:bottom w:val="none" w:sz="0" w:space="0" w:color="auto"/>
        <w:right w:val="none" w:sz="0" w:space="0" w:color="auto"/>
      </w:divBdr>
    </w:div>
    <w:div w:id="1012342942">
      <w:bodyDiv w:val="1"/>
      <w:marLeft w:val="0"/>
      <w:marRight w:val="0"/>
      <w:marTop w:val="0"/>
      <w:marBottom w:val="0"/>
      <w:divBdr>
        <w:top w:val="none" w:sz="0" w:space="0" w:color="auto"/>
        <w:left w:val="none" w:sz="0" w:space="0" w:color="auto"/>
        <w:bottom w:val="none" w:sz="0" w:space="0" w:color="auto"/>
        <w:right w:val="none" w:sz="0" w:space="0" w:color="auto"/>
      </w:divBdr>
    </w:div>
    <w:div w:id="1012343884">
      <w:bodyDiv w:val="1"/>
      <w:marLeft w:val="0"/>
      <w:marRight w:val="0"/>
      <w:marTop w:val="0"/>
      <w:marBottom w:val="0"/>
      <w:divBdr>
        <w:top w:val="none" w:sz="0" w:space="0" w:color="auto"/>
        <w:left w:val="none" w:sz="0" w:space="0" w:color="auto"/>
        <w:bottom w:val="none" w:sz="0" w:space="0" w:color="auto"/>
        <w:right w:val="none" w:sz="0" w:space="0" w:color="auto"/>
      </w:divBdr>
    </w:div>
    <w:div w:id="1012410849">
      <w:bodyDiv w:val="1"/>
      <w:marLeft w:val="0"/>
      <w:marRight w:val="0"/>
      <w:marTop w:val="0"/>
      <w:marBottom w:val="0"/>
      <w:divBdr>
        <w:top w:val="none" w:sz="0" w:space="0" w:color="auto"/>
        <w:left w:val="none" w:sz="0" w:space="0" w:color="auto"/>
        <w:bottom w:val="none" w:sz="0" w:space="0" w:color="auto"/>
        <w:right w:val="none" w:sz="0" w:space="0" w:color="auto"/>
      </w:divBdr>
    </w:div>
    <w:div w:id="1012414481">
      <w:bodyDiv w:val="1"/>
      <w:marLeft w:val="0"/>
      <w:marRight w:val="0"/>
      <w:marTop w:val="0"/>
      <w:marBottom w:val="0"/>
      <w:divBdr>
        <w:top w:val="none" w:sz="0" w:space="0" w:color="auto"/>
        <w:left w:val="none" w:sz="0" w:space="0" w:color="auto"/>
        <w:bottom w:val="none" w:sz="0" w:space="0" w:color="auto"/>
        <w:right w:val="none" w:sz="0" w:space="0" w:color="auto"/>
      </w:divBdr>
    </w:div>
    <w:div w:id="1012420244">
      <w:bodyDiv w:val="1"/>
      <w:marLeft w:val="0"/>
      <w:marRight w:val="0"/>
      <w:marTop w:val="0"/>
      <w:marBottom w:val="0"/>
      <w:divBdr>
        <w:top w:val="none" w:sz="0" w:space="0" w:color="auto"/>
        <w:left w:val="none" w:sz="0" w:space="0" w:color="auto"/>
        <w:bottom w:val="none" w:sz="0" w:space="0" w:color="auto"/>
        <w:right w:val="none" w:sz="0" w:space="0" w:color="auto"/>
      </w:divBdr>
    </w:div>
    <w:div w:id="1012493311">
      <w:bodyDiv w:val="1"/>
      <w:marLeft w:val="0"/>
      <w:marRight w:val="0"/>
      <w:marTop w:val="0"/>
      <w:marBottom w:val="0"/>
      <w:divBdr>
        <w:top w:val="none" w:sz="0" w:space="0" w:color="auto"/>
        <w:left w:val="none" w:sz="0" w:space="0" w:color="auto"/>
        <w:bottom w:val="none" w:sz="0" w:space="0" w:color="auto"/>
        <w:right w:val="none" w:sz="0" w:space="0" w:color="auto"/>
      </w:divBdr>
    </w:div>
    <w:div w:id="1012495168">
      <w:bodyDiv w:val="1"/>
      <w:marLeft w:val="0"/>
      <w:marRight w:val="0"/>
      <w:marTop w:val="0"/>
      <w:marBottom w:val="0"/>
      <w:divBdr>
        <w:top w:val="none" w:sz="0" w:space="0" w:color="auto"/>
        <w:left w:val="none" w:sz="0" w:space="0" w:color="auto"/>
        <w:bottom w:val="none" w:sz="0" w:space="0" w:color="auto"/>
        <w:right w:val="none" w:sz="0" w:space="0" w:color="auto"/>
      </w:divBdr>
    </w:div>
    <w:div w:id="1012610828">
      <w:bodyDiv w:val="1"/>
      <w:marLeft w:val="0"/>
      <w:marRight w:val="0"/>
      <w:marTop w:val="0"/>
      <w:marBottom w:val="0"/>
      <w:divBdr>
        <w:top w:val="none" w:sz="0" w:space="0" w:color="auto"/>
        <w:left w:val="none" w:sz="0" w:space="0" w:color="auto"/>
        <w:bottom w:val="none" w:sz="0" w:space="0" w:color="auto"/>
        <w:right w:val="none" w:sz="0" w:space="0" w:color="auto"/>
      </w:divBdr>
    </w:div>
    <w:div w:id="1012681900">
      <w:bodyDiv w:val="1"/>
      <w:marLeft w:val="0"/>
      <w:marRight w:val="0"/>
      <w:marTop w:val="0"/>
      <w:marBottom w:val="0"/>
      <w:divBdr>
        <w:top w:val="none" w:sz="0" w:space="0" w:color="auto"/>
        <w:left w:val="none" w:sz="0" w:space="0" w:color="auto"/>
        <w:bottom w:val="none" w:sz="0" w:space="0" w:color="auto"/>
        <w:right w:val="none" w:sz="0" w:space="0" w:color="auto"/>
      </w:divBdr>
    </w:div>
    <w:div w:id="1012686233">
      <w:bodyDiv w:val="1"/>
      <w:marLeft w:val="0"/>
      <w:marRight w:val="0"/>
      <w:marTop w:val="0"/>
      <w:marBottom w:val="0"/>
      <w:divBdr>
        <w:top w:val="none" w:sz="0" w:space="0" w:color="auto"/>
        <w:left w:val="none" w:sz="0" w:space="0" w:color="auto"/>
        <w:bottom w:val="none" w:sz="0" w:space="0" w:color="auto"/>
        <w:right w:val="none" w:sz="0" w:space="0" w:color="auto"/>
      </w:divBdr>
    </w:div>
    <w:div w:id="1012797463">
      <w:bodyDiv w:val="1"/>
      <w:marLeft w:val="0"/>
      <w:marRight w:val="0"/>
      <w:marTop w:val="0"/>
      <w:marBottom w:val="0"/>
      <w:divBdr>
        <w:top w:val="none" w:sz="0" w:space="0" w:color="auto"/>
        <w:left w:val="none" w:sz="0" w:space="0" w:color="auto"/>
        <w:bottom w:val="none" w:sz="0" w:space="0" w:color="auto"/>
        <w:right w:val="none" w:sz="0" w:space="0" w:color="auto"/>
      </w:divBdr>
    </w:div>
    <w:div w:id="1012873006">
      <w:bodyDiv w:val="1"/>
      <w:marLeft w:val="0"/>
      <w:marRight w:val="0"/>
      <w:marTop w:val="0"/>
      <w:marBottom w:val="0"/>
      <w:divBdr>
        <w:top w:val="none" w:sz="0" w:space="0" w:color="auto"/>
        <w:left w:val="none" w:sz="0" w:space="0" w:color="auto"/>
        <w:bottom w:val="none" w:sz="0" w:space="0" w:color="auto"/>
        <w:right w:val="none" w:sz="0" w:space="0" w:color="auto"/>
      </w:divBdr>
    </w:div>
    <w:div w:id="1012949562">
      <w:bodyDiv w:val="1"/>
      <w:marLeft w:val="0"/>
      <w:marRight w:val="0"/>
      <w:marTop w:val="0"/>
      <w:marBottom w:val="0"/>
      <w:divBdr>
        <w:top w:val="none" w:sz="0" w:space="0" w:color="auto"/>
        <w:left w:val="none" w:sz="0" w:space="0" w:color="auto"/>
        <w:bottom w:val="none" w:sz="0" w:space="0" w:color="auto"/>
        <w:right w:val="none" w:sz="0" w:space="0" w:color="auto"/>
      </w:divBdr>
    </w:div>
    <w:div w:id="1012996575">
      <w:bodyDiv w:val="1"/>
      <w:marLeft w:val="0"/>
      <w:marRight w:val="0"/>
      <w:marTop w:val="0"/>
      <w:marBottom w:val="0"/>
      <w:divBdr>
        <w:top w:val="none" w:sz="0" w:space="0" w:color="auto"/>
        <w:left w:val="none" w:sz="0" w:space="0" w:color="auto"/>
        <w:bottom w:val="none" w:sz="0" w:space="0" w:color="auto"/>
        <w:right w:val="none" w:sz="0" w:space="0" w:color="auto"/>
      </w:divBdr>
    </w:div>
    <w:div w:id="1012999206">
      <w:bodyDiv w:val="1"/>
      <w:marLeft w:val="0"/>
      <w:marRight w:val="0"/>
      <w:marTop w:val="0"/>
      <w:marBottom w:val="0"/>
      <w:divBdr>
        <w:top w:val="none" w:sz="0" w:space="0" w:color="auto"/>
        <w:left w:val="none" w:sz="0" w:space="0" w:color="auto"/>
        <w:bottom w:val="none" w:sz="0" w:space="0" w:color="auto"/>
        <w:right w:val="none" w:sz="0" w:space="0" w:color="auto"/>
      </w:divBdr>
    </w:div>
    <w:div w:id="1013066423">
      <w:bodyDiv w:val="1"/>
      <w:marLeft w:val="0"/>
      <w:marRight w:val="0"/>
      <w:marTop w:val="0"/>
      <w:marBottom w:val="0"/>
      <w:divBdr>
        <w:top w:val="none" w:sz="0" w:space="0" w:color="auto"/>
        <w:left w:val="none" w:sz="0" w:space="0" w:color="auto"/>
        <w:bottom w:val="none" w:sz="0" w:space="0" w:color="auto"/>
        <w:right w:val="none" w:sz="0" w:space="0" w:color="auto"/>
      </w:divBdr>
    </w:div>
    <w:div w:id="1013147568">
      <w:bodyDiv w:val="1"/>
      <w:marLeft w:val="0"/>
      <w:marRight w:val="0"/>
      <w:marTop w:val="0"/>
      <w:marBottom w:val="0"/>
      <w:divBdr>
        <w:top w:val="none" w:sz="0" w:space="0" w:color="auto"/>
        <w:left w:val="none" w:sz="0" w:space="0" w:color="auto"/>
        <w:bottom w:val="none" w:sz="0" w:space="0" w:color="auto"/>
        <w:right w:val="none" w:sz="0" w:space="0" w:color="auto"/>
      </w:divBdr>
    </w:div>
    <w:div w:id="1013189148">
      <w:bodyDiv w:val="1"/>
      <w:marLeft w:val="0"/>
      <w:marRight w:val="0"/>
      <w:marTop w:val="0"/>
      <w:marBottom w:val="0"/>
      <w:divBdr>
        <w:top w:val="none" w:sz="0" w:space="0" w:color="auto"/>
        <w:left w:val="none" w:sz="0" w:space="0" w:color="auto"/>
        <w:bottom w:val="none" w:sz="0" w:space="0" w:color="auto"/>
        <w:right w:val="none" w:sz="0" w:space="0" w:color="auto"/>
      </w:divBdr>
    </w:div>
    <w:div w:id="1013532026">
      <w:bodyDiv w:val="1"/>
      <w:marLeft w:val="0"/>
      <w:marRight w:val="0"/>
      <w:marTop w:val="0"/>
      <w:marBottom w:val="0"/>
      <w:divBdr>
        <w:top w:val="none" w:sz="0" w:space="0" w:color="auto"/>
        <w:left w:val="none" w:sz="0" w:space="0" w:color="auto"/>
        <w:bottom w:val="none" w:sz="0" w:space="0" w:color="auto"/>
        <w:right w:val="none" w:sz="0" w:space="0" w:color="auto"/>
      </w:divBdr>
    </w:div>
    <w:div w:id="1013609234">
      <w:bodyDiv w:val="1"/>
      <w:marLeft w:val="0"/>
      <w:marRight w:val="0"/>
      <w:marTop w:val="0"/>
      <w:marBottom w:val="0"/>
      <w:divBdr>
        <w:top w:val="none" w:sz="0" w:space="0" w:color="auto"/>
        <w:left w:val="none" w:sz="0" w:space="0" w:color="auto"/>
        <w:bottom w:val="none" w:sz="0" w:space="0" w:color="auto"/>
        <w:right w:val="none" w:sz="0" w:space="0" w:color="auto"/>
      </w:divBdr>
    </w:div>
    <w:div w:id="1013798450">
      <w:bodyDiv w:val="1"/>
      <w:marLeft w:val="0"/>
      <w:marRight w:val="0"/>
      <w:marTop w:val="0"/>
      <w:marBottom w:val="0"/>
      <w:divBdr>
        <w:top w:val="none" w:sz="0" w:space="0" w:color="auto"/>
        <w:left w:val="none" w:sz="0" w:space="0" w:color="auto"/>
        <w:bottom w:val="none" w:sz="0" w:space="0" w:color="auto"/>
        <w:right w:val="none" w:sz="0" w:space="0" w:color="auto"/>
      </w:divBdr>
    </w:div>
    <w:div w:id="1013800541">
      <w:bodyDiv w:val="1"/>
      <w:marLeft w:val="0"/>
      <w:marRight w:val="0"/>
      <w:marTop w:val="0"/>
      <w:marBottom w:val="0"/>
      <w:divBdr>
        <w:top w:val="none" w:sz="0" w:space="0" w:color="auto"/>
        <w:left w:val="none" w:sz="0" w:space="0" w:color="auto"/>
        <w:bottom w:val="none" w:sz="0" w:space="0" w:color="auto"/>
        <w:right w:val="none" w:sz="0" w:space="0" w:color="auto"/>
      </w:divBdr>
    </w:div>
    <w:div w:id="1014039861">
      <w:bodyDiv w:val="1"/>
      <w:marLeft w:val="0"/>
      <w:marRight w:val="0"/>
      <w:marTop w:val="0"/>
      <w:marBottom w:val="0"/>
      <w:divBdr>
        <w:top w:val="none" w:sz="0" w:space="0" w:color="auto"/>
        <w:left w:val="none" w:sz="0" w:space="0" w:color="auto"/>
        <w:bottom w:val="none" w:sz="0" w:space="0" w:color="auto"/>
        <w:right w:val="none" w:sz="0" w:space="0" w:color="auto"/>
      </w:divBdr>
    </w:div>
    <w:div w:id="1014040241">
      <w:bodyDiv w:val="1"/>
      <w:marLeft w:val="0"/>
      <w:marRight w:val="0"/>
      <w:marTop w:val="0"/>
      <w:marBottom w:val="0"/>
      <w:divBdr>
        <w:top w:val="none" w:sz="0" w:space="0" w:color="auto"/>
        <w:left w:val="none" w:sz="0" w:space="0" w:color="auto"/>
        <w:bottom w:val="none" w:sz="0" w:space="0" w:color="auto"/>
        <w:right w:val="none" w:sz="0" w:space="0" w:color="auto"/>
      </w:divBdr>
    </w:div>
    <w:div w:id="1014184666">
      <w:bodyDiv w:val="1"/>
      <w:marLeft w:val="0"/>
      <w:marRight w:val="0"/>
      <w:marTop w:val="0"/>
      <w:marBottom w:val="0"/>
      <w:divBdr>
        <w:top w:val="none" w:sz="0" w:space="0" w:color="auto"/>
        <w:left w:val="none" w:sz="0" w:space="0" w:color="auto"/>
        <w:bottom w:val="none" w:sz="0" w:space="0" w:color="auto"/>
        <w:right w:val="none" w:sz="0" w:space="0" w:color="auto"/>
      </w:divBdr>
    </w:div>
    <w:div w:id="1014185522">
      <w:bodyDiv w:val="1"/>
      <w:marLeft w:val="0"/>
      <w:marRight w:val="0"/>
      <w:marTop w:val="0"/>
      <w:marBottom w:val="0"/>
      <w:divBdr>
        <w:top w:val="none" w:sz="0" w:space="0" w:color="auto"/>
        <w:left w:val="none" w:sz="0" w:space="0" w:color="auto"/>
        <w:bottom w:val="none" w:sz="0" w:space="0" w:color="auto"/>
        <w:right w:val="none" w:sz="0" w:space="0" w:color="auto"/>
      </w:divBdr>
    </w:div>
    <w:div w:id="1014191444">
      <w:bodyDiv w:val="1"/>
      <w:marLeft w:val="0"/>
      <w:marRight w:val="0"/>
      <w:marTop w:val="0"/>
      <w:marBottom w:val="0"/>
      <w:divBdr>
        <w:top w:val="none" w:sz="0" w:space="0" w:color="auto"/>
        <w:left w:val="none" w:sz="0" w:space="0" w:color="auto"/>
        <w:bottom w:val="none" w:sz="0" w:space="0" w:color="auto"/>
        <w:right w:val="none" w:sz="0" w:space="0" w:color="auto"/>
      </w:divBdr>
    </w:div>
    <w:div w:id="1014260083">
      <w:bodyDiv w:val="1"/>
      <w:marLeft w:val="0"/>
      <w:marRight w:val="0"/>
      <w:marTop w:val="0"/>
      <w:marBottom w:val="0"/>
      <w:divBdr>
        <w:top w:val="none" w:sz="0" w:space="0" w:color="auto"/>
        <w:left w:val="none" w:sz="0" w:space="0" w:color="auto"/>
        <w:bottom w:val="none" w:sz="0" w:space="0" w:color="auto"/>
        <w:right w:val="none" w:sz="0" w:space="0" w:color="auto"/>
      </w:divBdr>
    </w:div>
    <w:div w:id="1014301831">
      <w:bodyDiv w:val="1"/>
      <w:marLeft w:val="0"/>
      <w:marRight w:val="0"/>
      <w:marTop w:val="0"/>
      <w:marBottom w:val="0"/>
      <w:divBdr>
        <w:top w:val="none" w:sz="0" w:space="0" w:color="auto"/>
        <w:left w:val="none" w:sz="0" w:space="0" w:color="auto"/>
        <w:bottom w:val="none" w:sz="0" w:space="0" w:color="auto"/>
        <w:right w:val="none" w:sz="0" w:space="0" w:color="auto"/>
      </w:divBdr>
    </w:div>
    <w:div w:id="1014575941">
      <w:bodyDiv w:val="1"/>
      <w:marLeft w:val="0"/>
      <w:marRight w:val="0"/>
      <w:marTop w:val="0"/>
      <w:marBottom w:val="0"/>
      <w:divBdr>
        <w:top w:val="none" w:sz="0" w:space="0" w:color="auto"/>
        <w:left w:val="none" w:sz="0" w:space="0" w:color="auto"/>
        <w:bottom w:val="none" w:sz="0" w:space="0" w:color="auto"/>
        <w:right w:val="none" w:sz="0" w:space="0" w:color="auto"/>
      </w:divBdr>
    </w:div>
    <w:div w:id="1014963209">
      <w:bodyDiv w:val="1"/>
      <w:marLeft w:val="0"/>
      <w:marRight w:val="0"/>
      <w:marTop w:val="0"/>
      <w:marBottom w:val="0"/>
      <w:divBdr>
        <w:top w:val="none" w:sz="0" w:space="0" w:color="auto"/>
        <w:left w:val="none" w:sz="0" w:space="0" w:color="auto"/>
        <w:bottom w:val="none" w:sz="0" w:space="0" w:color="auto"/>
        <w:right w:val="none" w:sz="0" w:space="0" w:color="auto"/>
      </w:divBdr>
    </w:div>
    <w:div w:id="1015041414">
      <w:bodyDiv w:val="1"/>
      <w:marLeft w:val="0"/>
      <w:marRight w:val="0"/>
      <w:marTop w:val="0"/>
      <w:marBottom w:val="0"/>
      <w:divBdr>
        <w:top w:val="none" w:sz="0" w:space="0" w:color="auto"/>
        <w:left w:val="none" w:sz="0" w:space="0" w:color="auto"/>
        <w:bottom w:val="none" w:sz="0" w:space="0" w:color="auto"/>
        <w:right w:val="none" w:sz="0" w:space="0" w:color="auto"/>
      </w:divBdr>
    </w:div>
    <w:div w:id="1015108668">
      <w:bodyDiv w:val="1"/>
      <w:marLeft w:val="0"/>
      <w:marRight w:val="0"/>
      <w:marTop w:val="0"/>
      <w:marBottom w:val="0"/>
      <w:divBdr>
        <w:top w:val="none" w:sz="0" w:space="0" w:color="auto"/>
        <w:left w:val="none" w:sz="0" w:space="0" w:color="auto"/>
        <w:bottom w:val="none" w:sz="0" w:space="0" w:color="auto"/>
        <w:right w:val="none" w:sz="0" w:space="0" w:color="auto"/>
      </w:divBdr>
    </w:div>
    <w:div w:id="1015154359">
      <w:bodyDiv w:val="1"/>
      <w:marLeft w:val="0"/>
      <w:marRight w:val="0"/>
      <w:marTop w:val="0"/>
      <w:marBottom w:val="0"/>
      <w:divBdr>
        <w:top w:val="none" w:sz="0" w:space="0" w:color="auto"/>
        <w:left w:val="none" w:sz="0" w:space="0" w:color="auto"/>
        <w:bottom w:val="none" w:sz="0" w:space="0" w:color="auto"/>
        <w:right w:val="none" w:sz="0" w:space="0" w:color="auto"/>
      </w:divBdr>
    </w:div>
    <w:div w:id="1015231793">
      <w:bodyDiv w:val="1"/>
      <w:marLeft w:val="0"/>
      <w:marRight w:val="0"/>
      <w:marTop w:val="0"/>
      <w:marBottom w:val="0"/>
      <w:divBdr>
        <w:top w:val="none" w:sz="0" w:space="0" w:color="auto"/>
        <w:left w:val="none" w:sz="0" w:space="0" w:color="auto"/>
        <w:bottom w:val="none" w:sz="0" w:space="0" w:color="auto"/>
        <w:right w:val="none" w:sz="0" w:space="0" w:color="auto"/>
      </w:divBdr>
    </w:div>
    <w:div w:id="1015303233">
      <w:bodyDiv w:val="1"/>
      <w:marLeft w:val="0"/>
      <w:marRight w:val="0"/>
      <w:marTop w:val="0"/>
      <w:marBottom w:val="0"/>
      <w:divBdr>
        <w:top w:val="none" w:sz="0" w:space="0" w:color="auto"/>
        <w:left w:val="none" w:sz="0" w:space="0" w:color="auto"/>
        <w:bottom w:val="none" w:sz="0" w:space="0" w:color="auto"/>
        <w:right w:val="none" w:sz="0" w:space="0" w:color="auto"/>
      </w:divBdr>
    </w:div>
    <w:div w:id="1015309040">
      <w:bodyDiv w:val="1"/>
      <w:marLeft w:val="0"/>
      <w:marRight w:val="0"/>
      <w:marTop w:val="0"/>
      <w:marBottom w:val="0"/>
      <w:divBdr>
        <w:top w:val="none" w:sz="0" w:space="0" w:color="auto"/>
        <w:left w:val="none" w:sz="0" w:space="0" w:color="auto"/>
        <w:bottom w:val="none" w:sz="0" w:space="0" w:color="auto"/>
        <w:right w:val="none" w:sz="0" w:space="0" w:color="auto"/>
      </w:divBdr>
    </w:div>
    <w:div w:id="1015377958">
      <w:bodyDiv w:val="1"/>
      <w:marLeft w:val="0"/>
      <w:marRight w:val="0"/>
      <w:marTop w:val="0"/>
      <w:marBottom w:val="0"/>
      <w:divBdr>
        <w:top w:val="none" w:sz="0" w:space="0" w:color="auto"/>
        <w:left w:val="none" w:sz="0" w:space="0" w:color="auto"/>
        <w:bottom w:val="none" w:sz="0" w:space="0" w:color="auto"/>
        <w:right w:val="none" w:sz="0" w:space="0" w:color="auto"/>
      </w:divBdr>
    </w:div>
    <w:div w:id="1015424299">
      <w:bodyDiv w:val="1"/>
      <w:marLeft w:val="0"/>
      <w:marRight w:val="0"/>
      <w:marTop w:val="0"/>
      <w:marBottom w:val="0"/>
      <w:divBdr>
        <w:top w:val="none" w:sz="0" w:space="0" w:color="auto"/>
        <w:left w:val="none" w:sz="0" w:space="0" w:color="auto"/>
        <w:bottom w:val="none" w:sz="0" w:space="0" w:color="auto"/>
        <w:right w:val="none" w:sz="0" w:space="0" w:color="auto"/>
      </w:divBdr>
    </w:div>
    <w:div w:id="1015502684">
      <w:bodyDiv w:val="1"/>
      <w:marLeft w:val="0"/>
      <w:marRight w:val="0"/>
      <w:marTop w:val="0"/>
      <w:marBottom w:val="0"/>
      <w:divBdr>
        <w:top w:val="none" w:sz="0" w:space="0" w:color="auto"/>
        <w:left w:val="none" w:sz="0" w:space="0" w:color="auto"/>
        <w:bottom w:val="none" w:sz="0" w:space="0" w:color="auto"/>
        <w:right w:val="none" w:sz="0" w:space="0" w:color="auto"/>
      </w:divBdr>
    </w:div>
    <w:div w:id="1015503267">
      <w:bodyDiv w:val="1"/>
      <w:marLeft w:val="0"/>
      <w:marRight w:val="0"/>
      <w:marTop w:val="0"/>
      <w:marBottom w:val="0"/>
      <w:divBdr>
        <w:top w:val="none" w:sz="0" w:space="0" w:color="auto"/>
        <w:left w:val="none" w:sz="0" w:space="0" w:color="auto"/>
        <w:bottom w:val="none" w:sz="0" w:space="0" w:color="auto"/>
        <w:right w:val="none" w:sz="0" w:space="0" w:color="auto"/>
      </w:divBdr>
    </w:div>
    <w:div w:id="1015572853">
      <w:bodyDiv w:val="1"/>
      <w:marLeft w:val="0"/>
      <w:marRight w:val="0"/>
      <w:marTop w:val="0"/>
      <w:marBottom w:val="0"/>
      <w:divBdr>
        <w:top w:val="none" w:sz="0" w:space="0" w:color="auto"/>
        <w:left w:val="none" w:sz="0" w:space="0" w:color="auto"/>
        <w:bottom w:val="none" w:sz="0" w:space="0" w:color="auto"/>
        <w:right w:val="none" w:sz="0" w:space="0" w:color="auto"/>
      </w:divBdr>
    </w:div>
    <w:div w:id="1015695583">
      <w:bodyDiv w:val="1"/>
      <w:marLeft w:val="0"/>
      <w:marRight w:val="0"/>
      <w:marTop w:val="0"/>
      <w:marBottom w:val="0"/>
      <w:divBdr>
        <w:top w:val="none" w:sz="0" w:space="0" w:color="auto"/>
        <w:left w:val="none" w:sz="0" w:space="0" w:color="auto"/>
        <w:bottom w:val="none" w:sz="0" w:space="0" w:color="auto"/>
        <w:right w:val="none" w:sz="0" w:space="0" w:color="auto"/>
      </w:divBdr>
    </w:div>
    <w:div w:id="1015813527">
      <w:bodyDiv w:val="1"/>
      <w:marLeft w:val="0"/>
      <w:marRight w:val="0"/>
      <w:marTop w:val="0"/>
      <w:marBottom w:val="0"/>
      <w:divBdr>
        <w:top w:val="none" w:sz="0" w:space="0" w:color="auto"/>
        <w:left w:val="none" w:sz="0" w:space="0" w:color="auto"/>
        <w:bottom w:val="none" w:sz="0" w:space="0" w:color="auto"/>
        <w:right w:val="none" w:sz="0" w:space="0" w:color="auto"/>
      </w:divBdr>
    </w:div>
    <w:div w:id="1015883565">
      <w:bodyDiv w:val="1"/>
      <w:marLeft w:val="0"/>
      <w:marRight w:val="0"/>
      <w:marTop w:val="0"/>
      <w:marBottom w:val="0"/>
      <w:divBdr>
        <w:top w:val="none" w:sz="0" w:space="0" w:color="auto"/>
        <w:left w:val="none" w:sz="0" w:space="0" w:color="auto"/>
        <w:bottom w:val="none" w:sz="0" w:space="0" w:color="auto"/>
        <w:right w:val="none" w:sz="0" w:space="0" w:color="auto"/>
      </w:divBdr>
    </w:div>
    <w:div w:id="1015888032">
      <w:bodyDiv w:val="1"/>
      <w:marLeft w:val="0"/>
      <w:marRight w:val="0"/>
      <w:marTop w:val="0"/>
      <w:marBottom w:val="0"/>
      <w:divBdr>
        <w:top w:val="none" w:sz="0" w:space="0" w:color="auto"/>
        <w:left w:val="none" w:sz="0" w:space="0" w:color="auto"/>
        <w:bottom w:val="none" w:sz="0" w:space="0" w:color="auto"/>
        <w:right w:val="none" w:sz="0" w:space="0" w:color="auto"/>
      </w:divBdr>
    </w:div>
    <w:div w:id="1015958339">
      <w:bodyDiv w:val="1"/>
      <w:marLeft w:val="0"/>
      <w:marRight w:val="0"/>
      <w:marTop w:val="0"/>
      <w:marBottom w:val="0"/>
      <w:divBdr>
        <w:top w:val="none" w:sz="0" w:space="0" w:color="auto"/>
        <w:left w:val="none" w:sz="0" w:space="0" w:color="auto"/>
        <w:bottom w:val="none" w:sz="0" w:space="0" w:color="auto"/>
        <w:right w:val="none" w:sz="0" w:space="0" w:color="auto"/>
      </w:divBdr>
    </w:div>
    <w:div w:id="1016078999">
      <w:bodyDiv w:val="1"/>
      <w:marLeft w:val="0"/>
      <w:marRight w:val="0"/>
      <w:marTop w:val="0"/>
      <w:marBottom w:val="0"/>
      <w:divBdr>
        <w:top w:val="none" w:sz="0" w:space="0" w:color="auto"/>
        <w:left w:val="none" w:sz="0" w:space="0" w:color="auto"/>
        <w:bottom w:val="none" w:sz="0" w:space="0" w:color="auto"/>
        <w:right w:val="none" w:sz="0" w:space="0" w:color="auto"/>
      </w:divBdr>
    </w:div>
    <w:div w:id="1016276151">
      <w:bodyDiv w:val="1"/>
      <w:marLeft w:val="0"/>
      <w:marRight w:val="0"/>
      <w:marTop w:val="0"/>
      <w:marBottom w:val="0"/>
      <w:divBdr>
        <w:top w:val="none" w:sz="0" w:space="0" w:color="auto"/>
        <w:left w:val="none" w:sz="0" w:space="0" w:color="auto"/>
        <w:bottom w:val="none" w:sz="0" w:space="0" w:color="auto"/>
        <w:right w:val="none" w:sz="0" w:space="0" w:color="auto"/>
      </w:divBdr>
    </w:div>
    <w:div w:id="1016352052">
      <w:bodyDiv w:val="1"/>
      <w:marLeft w:val="0"/>
      <w:marRight w:val="0"/>
      <w:marTop w:val="0"/>
      <w:marBottom w:val="0"/>
      <w:divBdr>
        <w:top w:val="none" w:sz="0" w:space="0" w:color="auto"/>
        <w:left w:val="none" w:sz="0" w:space="0" w:color="auto"/>
        <w:bottom w:val="none" w:sz="0" w:space="0" w:color="auto"/>
        <w:right w:val="none" w:sz="0" w:space="0" w:color="auto"/>
      </w:divBdr>
    </w:div>
    <w:div w:id="1016493324">
      <w:bodyDiv w:val="1"/>
      <w:marLeft w:val="0"/>
      <w:marRight w:val="0"/>
      <w:marTop w:val="0"/>
      <w:marBottom w:val="0"/>
      <w:divBdr>
        <w:top w:val="none" w:sz="0" w:space="0" w:color="auto"/>
        <w:left w:val="none" w:sz="0" w:space="0" w:color="auto"/>
        <w:bottom w:val="none" w:sz="0" w:space="0" w:color="auto"/>
        <w:right w:val="none" w:sz="0" w:space="0" w:color="auto"/>
      </w:divBdr>
    </w:div>
    <w:div w:id="1016494629">
      <w:bodyDiv w:val="1"/>
      <w:marLeft w:val="0"/>
      <w:marRight w:val="0"/>
      <w:marTop w:val="0"/>
      <w:marBottom w:val="0"/>
      <w:divBdr>
        <w:top w:val="none" w:sz="0" w:space="0" w:color="auto"/>
        <w:left w:val="none" w:sz="0" w:space="0" w:color="auto"/>
        <w:bottom w:val="none" w:sz="0" w:space="0" w:color="auto"/>
        <w:right w:val="none" w:sz="0" w:space="0" w:color="auto"/>
      </w:divBdr>
    </w:div>
    <w:div w:id="1016495015">
      <w:bodyDiv w:val="1"/>
      <w:marLeft w:val="0"/>
      <w:marRight w:val="0"/>
      <w:marTop w:val="0"/>
      <w:marBottom w:val="0"/>
      <w:divBdr>
        <w:top w:val="none" w:sz="0" w:space="0" w:color="auto"/>
        <w:left w:val="none" w:sz="0" w:space="0" w:color="auto"/>
        <w:bottom w:val="none" w:sz="0" w:space="0" w:color="auto"/>
        <w:right w:val="none" w:sz="0" w:space="0" w:color="auto"/>
      </w:divBdr>
    </w:div>
    <w:div w:id="1016495246">
      <w:bodyDiv w:val="1"/>
      <w:marLeft w:val="0"/>
      <w:marRight w:val="0"/>
      <w:marTop w:val="0"/>
      <w:marBottom w:val="0"/>
      <w:divBdr>
        <w:top w:val="none" w:sz="0" w:space="0" w:color="auto"/>
        <w:left w:val="none" w:sz="0" w:space="0" w:color="auto"/>
        <w:bottom w:val="none" w:sz="0" w:space="0" w:color="auto"/>
        <w:right w:val="none" w:sz="0" w:space="0" w:color="auto"/>
      </w:divBdr>
    </w:div>
    <w:div w:id="1016536533">
      <w:bodyDiv w:val="1"/>
      <w:marLeft w:val="0"/>
      <w:marRight w:val="0"/>
      <w:marTop w:val="0"/>
      <w:marBottom w:val="0"/>
      <w:divBdr>
        <w:top w:val="none" w:sz="0" w:space="0" w:color="auto"/>
        <w:left w:val="none" w:sz="0" w:space="0" w:color="auto"/>
        <w:bottom w:val="none" w:sz="0" w:space="0" w:color="auto"/>
        <w:right w:val="none" w:sz="0" w:space="0" w:color="auto"/>
      </w:divBdr>
    </w:div>
    <w:div w:id="1016613218">
      <w:bodyDiv w:val="1"/>
      <w:marLeft w:val="0"/>
      <w:marRight w:val="0"/>
      <w:marTop w:val="0"/>
      <w:marBottom w:val="0"/>
      <w:divBdr>
        <w:top w:val="none" w:sz="0" w:space="0" w:color="auto"/>
        <w:left w:val="none" w:sz="0" w:space="0" w:color="auto"/>
        <w:bottom w:val="none" w:sz="0" w:space="0" w:color="auto"/>
        <w:right w:val="none" w:sz="0" w:space="0" w:color="auto"/>
      </w:divBdr>
    </w:div>
    <w:div w:id="1016620282">
      <w:bodyDiv w:val="1"/>
      <w:marLeft w:val="0"/>
      <w:marRight w:val="0"/>
      <w:marTop w:val="0"/>
      <w:marBottom w:val="0"/>
      <w:divBdr>
        <w:top w:val="none" w:sz="0" w:space="0" w:color="auto"/>
        <w:left w:val="none" w:sz="0" w:space="0" w:color="auto"/>
        <w:bottom w:val="none" w:sz="0" w:space="0" w:color="auto"/>
        <w:right w:val="none" w:sz="0" w:space="0" w:color="auto"/>
      </w:divBdr>
    </w:div>
    <w:div w:id="1016734586">
      <w:bodyDiv w:val="1"/>
      <w:marLeft w:val="0"/>
      <w:marRight w:val="0"/>
      <w:marTop w:val="0"/>
      <w:marBottom w:val="0"/>
      <w:divBdr>
        <w:top w:val="none" w:sz="0" w:space="0" w:color="auto"/>
        <w:left w:val="none" w:sz="0" w:space="0" w:color="auto"/>
        <w:bottom w:val="none" w:sz="0" w:space="0" w:color="auto"/>
        <w:right w:val="none" w:sz="0" w:space="0" w:color="auto"/>
      </w:divBdr>
    </w:div>
    <w:div w:id="1016804718">
      <w:bodyDiv w:val="1"/>
      <w:marLeft w:val="0"/>
      <w:marRight w:val="0"/>
      <w:marTop w:val="0"/>
      <w:marBottom w:val="0"/>
      <w:divBdr>
        <w:top w:val="none" w:sz="0" w:space="0" w:color="auto"/>
        <w:left w:val="none" w:sz="0" w:space="0" w:color="auto"/>
        <w:bottom w:val="none" w:sz="0" w:space="0" w:color="auto"/>
        <w:right w:val="none" w:sz="0" w:space="0" w:color="auto"/>
      </w:divBdr>
    </w:div>
    <w:div w:id="1016884515">
      <w:bodyDiv w:val="1"/>
      <w:marLeft w:val="0"/>
      <w:marRight w:val="0"/>
      <w:marTop w:val="0"/>
      <w:marBottom w:val="0"/>
      <w:divBdr>
        <w:top w:val="none" w:sz="0" w:space="0" w:color="auto"/>
        <w:left w:val="none" w:sz="0" w:space="0" w:color="auto"/>
        <w:bottom w:val="none" w:sz="0" w:space="0" w:color="auto"/>
        <w:right w:val="none" w:sz="0" w:space="0" w:color="auto"/>
      </w:divBdr>
    </w:div>
    <w:div w:id="1016886061">
      <w:bodyDiv w:val="1"/>
      <w:marLeft w:val="0"/>
      <w:marRight w:val="0"/>
      <w:marTop w:val="0"/>
      <w:marBottom w:val="0"/>
      <w:divBdr>
        <w:top w:val="none" w:sz="0" w:space="0" w:color="auto"/>
        <w:left w:val="none" w:sz="0" w:space="0" w:color="auto"/>
        <w:bottom w:val="none" w:sz="0" w:space="0" w:color="auto"/>
        <w:right w:val="none" w:sz="0" w:space="0" w:color="auto"/>
      </w:divBdr>
    </w:div>
    <w:div w:id="1016926551">
      <w:bodyDiv w:val="1"/>
      <w:marLeft w:val="0"/>
      <w:marRight w:val="0"/>
      <w:marTop w:val="0"/>
      <w:marBottom w:val="0"/>
      <w:divBdr>
        <w:top w:val="none" w:sz="0" w:space="0" w:color="auto"/>
        <w:left w:val="none" w:sz="0" w:space="0" w:color="auto"/>
        <w:bottom w:val="none" w:sz="0" w:space="0" w:color="auto"/>
        <w:right w:val="none" w:sz="0" w:space="0" w:color="auto"/>
      </w:divBdr>
    </w:div>
    <w:div w:id="1017077348">
      <w:bodyDiv w:val="1"/>
      <w:marLeft w:val="0"/>
      <w:marRight w:val="0"/>
      <w:marTop w:val="0"/>
      <w:marBottom w:val="0"/>
      <w:divBdr>
        <w:top w:val="none" w:sz="0" w:space="0" w:color="auto"/>
        <w:left w:val="none" w:sz="0" w:space="0" w:color="auto"/>
        <w:bottom w:val="none" w:sz="0" w:space="0" w:color="auto"/>
        <w:right w:val="none" w:sz="0" w:space="0" w:color="auto"/>
      </w:divBdr>
    </w:div>
    <w:div w:id="1017078213">
      <w:bodyDiv w:val="1"/>
      <w:marLeft w:val="0"/>
      <w:marRight w:val="0"/>
      <w:marTop w:val="0"/>
      <w:marBottom w:val="0"/>
      <w:divBdr>
        <w:top w:val="none" w:sz="0" w:space="0" w:color="auto"/>
        <w:left w:val="none" w:sz="0" w:space="0" w:color="auto"/>
        <w:bottom w:val="none" w:sz="0" w:space="0" w:color="auto"/>
        <w:right w:val="none" w:sz="0" w:space="0" w:color="auto"/>
      </w:divBdr>
    </w:div>
    <w:div w:id="1017150532">
      <w:bodyDiv w:val="1"/>
      <w:marLeft w:val="0"/>
      <w:marRight w:val="0"/>
      <w:marTop w:val="0"/>
      <w:marBottom w:val="0"/>
      <w:divBdr>
        <w:top w:val="none" w:sz="0" w:space="0" w:color="auto"/>
        <w:left w:val="none" w:sz="0" w:space="0" w:color="auto"/>
        <w:bottom w:val="none" w:sz="0" w:space="0" w:color="auto"/>
        <w:right w:val="none" w:sz="0" w:space="0" w:color="auto"/>
      </w:divBdr>
    </w:div>
    <w:div w:id="1017266686">
      <w:bodyDiv w:val="1"/>
      <w:marLeft w:val="0"/>
      <w:marRight w:val="0"/>
      <w:marTop w:val="0"/>
      <w:marBottom w:val="0"/>
      <w:divBdr>
        <w:top w:val="none" w:sz="0" w:space="0" w:color="auto"/>
        <w:left w:val="none" w:sz="0" w:space="0" w:color="auto"/>
        <w:bottom w:val="none" w:sz="0" w:space="0" w:color="auto"/>
        <w:right w:val="none" w:sz="0" w:space="0" w:color="auto"/>
      </w:divBdr>
    </w:div>
    <w:div w:id="1017347556">
      <w:bodyDiv w:val="1"/>
      <w:marLeft w:val="0"/>
      <w:marRight w:val="0"/>
      <w:marTop w:val="0"/>
      <w:marBottom w:val="0"/>
      <w:divBdr>
        <w:top w:val="none" w:sz="0" w:space="0" w:color="auto"/>
        <w:left w:val="none" w:sz="0" w:space="0" w:color="auto"/>
        <w:bottom w:val="none" w:sz="0" w:space="0" w:color="auto"/>
        <w:right w:val="none" w:sz="0" w:space="0" w:color="auto"/>
      </w:divBdr>
    </w:div>
    <w:div w:id="1017388864">
      <w:bodyDiv w:val="1"/>
      <w:marLeft w:val="0"/>
      <w:marRight w:val="0"/>
      <w:marTop w:val="0"/>
      <w:marBottom w:val="0"/>
      <w:divBdr>
        <w:top w:val="none" w:sz="0" w:space="0" w:color="auto"/>
        <w:left w:val="none" w:sz="0" w:space="0" w:color="auto"/>
        <w:bottom w:val="none" w:sz="0" w:space="0" w:color="auto"/>
        <w:right w:val="none" w:sz="0" w:space="0" w:color="auto"/>
      </w:divBdr>
    </w:div>
    <w:div w:id="1017466108">
      <w:bodyDiv w:val="1"/>
      <w:marLeft w:val="0"/>
      <w:marRight w:val="0"/>
      <w:marTop w:val="0"/>
      <w:marBottom w:val="0"/>
      <w:divBdr>
        <w:top w:val="none" w:sz="0" w:space="0" w:color="auto"/>
        <w:left w:val="none" w:sz="0" w:space="0" w:color="auto"/>
        <w:bottom w:val="none" w:sz="0" w:space="0" w:color="auto"/>
        <w:right w:val="none" w:sz="0" w:space="0" w:color="auto"/>
      </w:divBdr>
    </w:div>
    <w:div w:id="1017468420">
      <w:bodyDiv w:val="1"/>
      <w:marLeft w:val="0"/>
      <w:marRight w:val="0"/>
      <w:marTop w:val="0"/>
      <w:marBottom w:val="0"/>
      <w:divBdr>
        <w:top w:val="none" w:sz="0" w:space="0" w:color="auto"/>
        <w:left w:val="none" w:sz="0" w:space="0" w:color="auto"/>
        <w:bottom w:val="none" w:sz="0" w:space="0" w:color="auto"/>
        <w:right w:val="none" w:sz="0" w:space="0" w:color="auto"/>
      </w:divBdr>
    </w:div>
    <w:div w:id="1017534956">
      <w:bodyDiv w:val="1"/>
      <w:marLeft w:val="0"/>
      <w:marRight w:val="0"/>
      <w:marTop w:val="0"/>
      <w:marBottom w:val="0"/>
      <w:divBdr>
        <w:top w:val="none" w:sz="0" w:space="0" w:color="auto"/>
        <w:left w:val="none" w:sz="0" w:space="0" w:color="auto"/>
        <w:bottom w:val="none" w:sz="0" w:space="0" w:color="auto"/>
        <w:right w:val="none" w:sz="0" w:space="0" w:color="auto"/>
      </w:divBdr>
    </w:div>
    <w:div w:id="1017538002">
      <w:bodyDiv w:val="1"/>
      <w:marLeft w:val="0"/>
      <w:marRight w:val="0"/>
      <w:marTop w:val="0"/>
      <w:marBottom w:val="0"/>
      <w:divBdr>
        <w:top w:val="none" w:sz="0" w:space="0" w:color="auto"/>
        <w:left w:val="none" w:sz="0" w:space="0" w:color="auto"/>
        <w:bottom w:val="none" w:sz="0" w:space="0" w:color="auto"/>
        <w:right w:val="none" w:sz="0" w:space="0" w:color="auto"/>
      </w:divBdr>
    </w:div>
    <w:div w:id="1017578280">
      <w:bodyDiv w:val="1"/>
      <w:marLeft w:val="0"/>
      <w:marRight w:val="0"/>
      <w:marTop w:val="0"/>
      <w:marBottom w:val="0"/>
      <w:divBdr>
        <w:top w:val="none" w:sz="0" w:space="0" w:color="auto"/>
        <w:left w:val="none" w:sz="0" w:space="0" w:color="auto"/>
        <w:bottom w:val="none" w:sz="0" w:space="0" w:color="auto"/>
        <w:right w:val="none" w:sz="0" w:space="0" w:color="auto"/>
      </w:divBdr>
    </w:div>
    <w:div w:id="1017586875">
      <w:bodyDiv w:val="1"/>
      <w:marLeft w:val="0"/>
      <w:marRight w:val="0"/>
      <w:marTop w:val="0"/>
      <w:marBottom w:val="0"/>
      <w:divBdr>
        <w:top w:val="none" w:sz="0" w:space="0" w:color="auto"/>
        <w:left w:val="none" w:sz="0" w:space="0" w:color="auto"/>
        <w:bottom w:val="none" w:sz="0" w:space="0" w:color="auto"/>
        <w:right w:val="none" w:sz="0" w:space="0" w:color="auto"/>
      </w:divBdr>
    </w:div>
    <w:div w:id="1017729044">
      <w:bodyDiv w:val="1"/>
      <w:marLeft w:val="0"/>
      <w:marRight w:val="0"/>
      <w:marTop w:val="0"/>
      <w:marBottom w:val="0"/>
      <w:divBdr>
        <w:top w:val="none" w:sz="0" w:space="0" w:color="auto"/>
        <w:left w:val="none" w:sz="0" w:space="0" w:color="auto"/>
        <w:bottom w:val="none" w:sz="0" w:space="0" w:color="auto"/>
        <w:right w:val="none" w:sz="0" w:space="0" w:color="auto"/>
      </w:divBdr>
    </w:div>
    <w:div w:id="1017735064">
      <w:bodyDiv w:val="1"/>
      <w:marLeft w:val="0"/>
      <w:marRight w:val="0"/>
      <w:marTop w:val="0"/>
      <w:marBottom w:val="0"/>
      <w:divBdr>
        <w:top w:val="none" w:sz="0" w:space="0" w:color="auto"/>
        <w:left w:val="none" w:sz="0" w:space="0" w:color="auto"/>
        <w:bottom w:val="none" w:sz="0" w:space="0" w:color="auto"/>
        <w:right w:val="none" w:sz="0" w:space="0" w:color="auto"/>
      </w:divBdr>
    </w:div>
    <w:div w:id="1017774153">
      <w:bodyDiv w:val="1"/>
      <w:marLeft w:val="0"/>
      <w:marRight w:val="0"/>
      <w:marTop w:val="0"/>
      <w:marBottom w:val="0"/>
      <w:divBdr>
        <w:top w:val="none" w:sz="0" w:space="0" w:color="auto"/>
        <w:left w:val="none" w:sz="0" w:space="0" w:color="auto"/>
        <w:bottom w:val="none" w:sz="0" w:space="0" w:color="auto"/>
        <w:right w:val="none" w:sz="0" w:space="0" w:color="auto"/>
      </w:divBdr>
    </w:div>
    <w:div w:id="1017775268">
      <w:bodyDiv w:val="1"/>
      <w:marLeft w:val="0"/>
      <w:marRight w:val="0"/>
      <w:marTop w:val="0"/>
      <w:marBottom w:val="0"/>
      <w:divBdr>
        <w:top w:val="none" w:sz="0" w:space="0" w:color="auto"/>
        <w:left w:val="none" w:sz="0" w:space="0" w:color="auto"/>
        <w:bottom w:val="none" w:sz="0" w:space="0" w:color="auto"/>
        <w:right w:val="none" w:sz="0" w:space="0" w:color="auto"/>
      </w:divBdr>
    </w:div>
    <w:div w:id="1017778520">
      <w:bodyDiv w:val="1"/>
      <w:marLeft w:val="0"/>
      <w:marRight w:val="0"/>
      <w:marTop w:val="0"/>
      <w:marBottom w:val="0"/>
      <w:divBdr>
        <w:top w:val="none" w:sz="0" w:space="0" w:color="auto"/>
        <w:left w:val="none" w:sz="0" w:space="0" w:color="auto"/>
        <w:bottom w:val="none" w:sz="0" w:space="0" w:color="auto"/>
        <w:right w:val="none" w:sz="0" w:space="0" w:color="auto"/>
      </w:divBdr>
    </w:div>
    <w:div w:id="1017848981">
      <w:bodyDiv w:val="1"/>
      <w:marLeft w:val="0"/>
      <w:marRight w:val="0"/>
      <w:marTop w:val="0"/>
      <w:marBottom w:val="0"/>
      <w:divBdr>
        <w:top w:val="none" w:sz="0" w:space="0" w:color="auto"/>
        <w:left w:val="none" w:sz="0" w:space="0" w:color="auto"/>
        <w:bottom w:val="none" w:sz="0" w:space="0" w:color="auto"/>
        <w:right w:val="none" w:sz="0" w:space="0" w:color="auto"/>
      </w:divBdr>
    </w:div>
    <w:div w:id="1017922712">
      <w:bodyDiv w:val="1"/>
      <w:marLeft w:val="0"/>
      <w:marRight w:val="0"/>
      <w:marTop w:val="0"/>
      <w:marBottom w:val="0"/>
      <w:divBdr>
        <w:top w:val="none" w:sz="0" w:space="0" w:color="auto"/>
        <w:left w:val="none" w:sz="0" w:space="0" w:color="auto"/>
        <w:bottom w:val="none" w:sz="0" w:space="0" w:color="auto"/>
        <w:right w:val="none" w:sz="0" w:space="0" w:color="auto"/>
      </w:divBdr>
    </w:div>
    <w:div w:id="1017925295">
      <w:bodyDiv w:val="1"/>
      <w:marLeft w:val="0"/>
      <w:marRight w:val="0"/>
      <w:marTop w:val="0"/>
      <w:marBottom w:val="0"/>
      <w:divBdr>
        <w:top w:val="none" w:sz="0" w:space="0" w:color="auto"/>
        <w:left w:val="none" w:sz="0" w:space="0" w:color="auto"/>
        <w:bottom w:val="none" w:sz="0" w:space="0" w:color="auto"/>
        <w:right w:val="none" w:sz="0" w:space="0" w:color="auto"/>
      </w:divBdr>
    </w:div>
    <w:div w:id="1017971430">
      <w:bodyDiv w:val="1"/>
      <w:marLeft w:val="0"/>
      <w:marRight w:val="0"/>
      <w:marTop w:val="0"/>
      <w:marBottom w:val="0"/>
      <w:divBdr>
        <w:top w:val="none" w:sz="0" w:space="0" w:color="auto"/>
        <w:left w:val="none" w:sz="0" w:space="0" w:color="auto"/>
        <w:bottom w:val="none" w:sz="0" w:space="0" w:color="auto"/>
        <w:right w:val="none" w:sz="0" w:space="0" w:color="auto"/>
      </w:divBdr>
    </w:div>
    <w:div w:id="1017973272">
      <w:bodyDiv w:val="1"/>
      <w:marLeft w:val="0"/>
      <w:marRight w:val="0"/>
      <w:marTop w:val="0"/>
      <w:marBottom w:val="0"/>
      <w:divBdr>
        <w:top w:val="none" w:sz="0" w:space="0" w:color="auto"/>
        <w:left w:val="none" w:sz="0" w:space="0" w:color="auto"/>
        <w:bottom w:val="none" w:sz="0" w:space="0" w:color="auto"/>
        <w:right w:val="none" w:sz="0" w:space="0" w:color="auto"/>
      </w:divBdr>
    </w:div>
    <w:div w:id="1018317068">
      <w:bodyDiv w:val="1"/>
      <w:marLeft w:val="0"/>
      <w:marRight w:val="0"/>
      <w:marTop w:val="0"/>
      <w:marBottom w:val="0"/>
      <w:divBdr>
        <w:top w:val="none" w:sz="0" w:space="0" w:color="auto"/>
        <w:left w:val="none" w:sz="0" w:space="0" w:color="auto"/>
        <w:bottom w:val="none" w:sz="0" w:space="0" w:color="auto"/>
        <w:right w:val="none" w:sz="0" w:space="0" w:color="auto"/>
      </w:divBdr>
    </w:div>
    <w:div w:id="1018392201">
      <w:bodyDiv w:val="1"/>
      <w:marLeft w:val="0"/>
      <w:marRight w:val="0"/>
      <w:marTop w:val="0"/>
      <w:marBottom w:val="0"/>
      <w:divBdr>
        <w:top w:val="none" w:sz="0" w:space="0" w:color="auto"/>
        <w:left w:val="none" w:sz="0" w:space="0" w:color="auto"/>
        <w:bottom w:val="none" w:sz="0" w:space="0" w:color="auto"/>
        <w:right w:val="none" w:sz="0" w:space="0" w:color="auto"/>
      </w:divBdr>
    </w:div>
    <w:div w:id="1018509797">
      <w:bodyDiv w:val="1"/>
      <w:marLeft w:val="0"/>
      <w:marRight w:val="0"/>
      <w:marTop w:val="0"/>
      <w:marBottom w:val="0"/>
      <w:divBdr>
        <w:top w:val="none" w:sz="0" w:space="0" w:color="auto"/>
        <w:left w:val="none" w:sz="0" w:space="0" w:color="auto"/>
        <w:bottom w:val="none" w:sz="0" w:space="0" w:color="auto"/>
        <w:right w:val="none" w:sz="0" w:space="0" w:color="auto"/>
      </w:divBdr>
    </w:div>
    <w:div w:id="1018583924">
      <w:bodyDiv w:val="1"/>
      <w:marLeft w:val="0"/>
      <w:marRight w:val="0"/>
      <w:marTop w:val="0"/>
      <w:marBottom w:val="0"/>
      <w:divBdr>
        <w:top w:val="none" w:sz="0" w:space="0" w:color="auto"/>
        <w:left w:val="none" w:sz="0" w:space="0" w:color="auto"/>
        <w:bottom w:val="none" w:sz="0" w:space="0" w:color="auto"/>
        <w:right w:val="none" w:sz="0" w:space="0" w:color="auto"/>
      </w:divBdr>
    </w:div>
    <w:div w:id="1018628504">
      <w:bodyDiv w:val="1"/>
      <w:marLeft w:val="0"/>
      <w:marRight w:val="0"/>
      <w:marTop w:val="0"/>
      <w:marBottom w:val="0"/>
      <w:divBdr>
        <w:top w:val="none" w:sz="0" w:space="0" w:color="auto"/>
        <w:left w:val="none" w:sz="0" w:space="0" w:color="auto"/>
        <w:bottom w:val="none" w:sz="0" w:space="0" w:color="auto"/>
        <w:right w:val="none" w:sz="0" w:space="0" w:color="auto"/>
      </w:divBdr>
    </w:div>
    <w:div w:id="1018770812">
      <w:bodyDiv w:val="1"/>
      <w:marLeft w:val="0"/>
      <w:marRight w:val="0"/>
      <w:marTop w:val="0"/>
      <w:marBottom w:val="0"/>
      <w:divBdr>
        <w:top w:val="none" w:sz="0" w:space="0" w:color="auto"/>
        <w:left w:val="none" w:sz="0" w:space="0" w:color="auto"/>
        <w:bottom w:val="none" w:sz="0" w:space="0" w:color="auto"/>
        <w:right w:val="none" w:sz="0" w:space="0" w:color="auto"/>
      </w:divBdr>
    </w:div>
    <w:div w:id="1018774402">
      <w:bodyDiv w:val="1"/>
      <w:marLeft w:val="0"/>
      <w:marRight w:val="0"/>
      <w:marTop w:val="0"/>
      <w:marBottom w:val="0"/>
      <w:divBdr>
        <w:top w:val="none" w:sz="0" w:space="0" w:color="auto"/>
        <w:left w:val="none" w:sz="0" w:space="0" w:color="auto"/>
        <w:bottom w:val="none" w:sz="0" w:space="0" w:color="auto"/>
        <w:right w:val="none" w:sz="0" w:space="0" w:color="auto"/>
      </w:divBdr>
    </w:div>
    <w:div w:id="1018778197">
      <w:bodyDiv w:val="1"/>
      <w:marLeft w:val="0"/>
      <w:marRight w:val="0"/>
      <w:marTop w:val="0"/>
      <w:marBottom w:val="0"/>
      <w:divBdr>
        <w:top w:val="none" w:sz="0" w:space="0" w:color="auto"/>
        <w:left w:val="none" w:sz="0" w:space="0" w:color="auto"/>
        <w:bottom w:val="none" w:sz="0" w:space="0" w:color="auto"/>
        <w:right w:val="none" w:sz="0" w:space="0" w:color="auto"/>
      </w:divBdr>
    </w:div>
    <w:div w:id="1018972206">
      <w:bodyDiv w:val="1"/>
      <w:marLeft w:val="0"/>
      <w:marRight w:val="0"/>
      <w:marTop w:val="0"/>
      <w:marBottom w:val="0"/>
      <w:divBdr>
        <w:top w:val="none" w:sz="0" w:space="0" w:color="auto"/>
        <w:left w:val="none" w:sz="0" w:space="0" w:color="auto"/>
        <w:bottom w:val="none" w:sz="0" w:space="0" w:color="auto"/>
        <w:right w:val="none" w:sz="0" w:space="0" w:color="auto"/>
      </w:divBdr>
    </w:div>
    <w:div w:id="1019042269">
      <w:bodyDiv w:val="1"/>
      <w:marLeft w:val="0"/>
      <w:marRight w:val="0"/>
      <w:marTop w:val="0"/>
      <w:marBottom w:val="0"/>
      <w:divBdr>
        <w:top w:val="none" w:sz="0" w:space="0" w:color="auto"/>
        <w:left w:val="none" w:sz="0" w:space="0" w:color="auto"/>
        <w:bottom w:val="none" w:sz="0" w:space="0" w:color="auto"/>
        <w:right w:val="none" w:sz="0" w:space="0" w:color="auto"/>
      </w:divBdr>
    </w:div>
    <w:div w:id="1019042859">
      <w:bodyDiv w:val="1"/>
      <w:marLeft w:val="0"/>
      <w:marRight w:val="0"/>
      <w:marTop w:val="0"/>
      <w:marBottom w:val="0"/>
      <w:divBdr>
        <w:top w:val="none" w:sz="0" w:space="0" w:color="auto"/>
        <w:left w:val="none" w:sz="0" w:space="0" w:color="auto"/>
        <w:bottom w:val="none" w:sz="0" w:space="0" w:color="auto"/>
        <w:right w:val="none" w:sz="0" w:space="0" w:color="auto"/>
      </w:divBdr>
    </w:div>
    <w:div w:id="1019046045">
      <w:bodyDiv w:val="1"/>
      <w:marLeft w:val="0"/>
      <w:marRight w:val="0"/>
      <w:marTop w:val="0"/>
      <w:marBottom w:val="0"/>
      <w:divBdr>
        <w:top w:val="none" w:sz="0" w:space="0" w:color="auto"/>
        <w:left w:val="none" w:sz="0" w:space="0" w:color="auto"/>
        <w:bottom w:val="none" w:sz="0" w:space="0" w:color="auto"/>
        <w:right w:val="none" w:sz="0" w:space="0" w:color="auto"/>
      </w:divBdr>
    </w:div>
    <w:div w:id="1019085001">
      <w:bodyDiv w:val="1"/>
      <w:marLeft w:val="0"/>
      <w:marRight w:val="0"/>
      <w:marTop w:val="0"/>
      <w:marBottom w:val="0"/>
      <w:divBdr>
        <w:top w:val="none" w:sz="0" w:space="0" w:color="auto"/>
        <w:left w:val="none" w:sz="0" w:space="0" w:color="auto"/>
        <w:bottom w:val="none" w:sz="0" w:space="0" w:color="auto"/>
        <w:right w:val="none" w:sz="0" w:space="0" w:color="auto"/>
      </w:divBdr>
    </w:div>
    <w:div w:id="1019088672">
      <w:bodyDiv w:val="1"/>
      <w:marLeft w:val="0"/>
      <w:marRight w:val="0"/>
      <w:marTop w:val="0"/>
      <w:marBottom w:val="0"/>
      <w:divBdr>
        <w:top w:val="none" w:sz="0" w:space="0" w:color="auto"/>
        <w:left w:val="none" w:sz="0" w:space="0" w:color="auto"/>
        <w:bottom w:val="none" w:sz="0" w:space="0" w:color="auto"/>
        <w:right w:val="none" w:sz="0" w:space="0" w:color="auto"/>
      </w:divBdr>
    </w:div>
    <w:div w:id="1019162967">
      <w:bodyDiv w:val="1"/>
      <w:marLeft w:val="0"/>
      <w:marRight w:val="0"/>
      <w:marTop w:val="0"/>
      <w:marBottom w:val="0"/>
      <w:divBdr>
        <w:top w:val="none" w:sz="0" w:space="0" w:color="auto"/>
        <w:left w:val="none" w:sz="0" w:space="0" w:color="auto"/>
        <w:bottom w:val="none" w:sz="0" w:space="0" w:color="auto"/>
        <w:right w:val="none" w:sz="0" w:space="0" w:color="auto"/>
      </w:divBdr>
    </w:div>
    <w:div w:id="1019238708">
      <w:bodyDiv w:val="1"/>
      <w:marLeft w:val="0"/>
      <w:marRight w:val="0"/>
      <w:marTop w:val="0"/>
      <w:marBottom w:val="0"/>
      <w:divBdr>
        <w:top w:val="none" w:sz="0" w:space="0" w:color="auto"/>
        <w:left w:val="none" w:sz="0" w:space="0" w:color="auto"/>
        <w:bottom w:val="none" w:sz="0" w:space="0" w:color="auto"/>
        <w:right w:val="none" w:sz="0" w:space="0" w:color="auto"/>
      </w:divBdr>
    </w:div>
    <w:div w:id="1019240533">
      <w:bodyDiv w:val="1"/>
      <w:marLeft w:val="0"/>
      <w:marRight w:val="0"/>
      <w:marTop w:val="0"/>
      <w:marBottom w:val="0"/>
      <w:divBdr>
        <w:top w:val="none" w:sz="0" w:space="0" w:color="auto"/>
        <w:left w:val="none" w:sz="0" w:space="0" w:color="auto"/>
        <w:bottom w:val="none" w:sz="0" w:space="0" w:color="auto"/>
        <w:right w:val="none" w:sz="0" w:space="0" w:color="auto"/>
      </w:divBdr>
    </w:div>
    <w:div w:id="1019357024">
      <w:bodyDiv w:val="1"/>
      <w:marLeft w:val="0"/>
      <w:marRight w:val="0"/>
      <w:marTop w:val="0"/>
      <w:marBottom w:val="0"/>
      <w:divBdr>
        <w:top w:val="none" w:sz="0" w:space="0" w:color="auto"/>
        <w:left w:val="none" w:sz="0" w:space="0" w:color="auto"/>
        <w:bottom w:val="none" w:sz="0" w:space="0" w:color="auto"/>
        <w:right w:val="none" w:sz="0" w:space="0" w:color="auto"/>
      </w:divBdr>
    </w:div>
    <w:div w:id="1019357125">
      <w:bodyDiv w:val="1"/>
      <w:marLeft w:val="0"/>
      <w:marRight w:val="0"/>
      <w:marTop w:val="0"/>
      <w:marBottom w:val="0"/>
      <w:divBdr>
        <w:top w:val="none" w:sz="0" w:space="0" w:color="auto"/>
        <w:left w:val="none" w:sz="0" w:space="0" w:color="auto"/>
        <w:bottom w:val="none" w:sz="0" w:space="0" w:color="auto"/>
        <w:right w:val="none" w:sz="0" w:space="0" w:color="auto"/>
      </w:divBdr>
    </w:div>
    <w:div w:id="1019425426">
      <w:bodyDiv w:val="1"/>
      <w:marLeft w:val="0"/>
      <w:marRight w:val="0"/>
      <w:marTop w:val="0"/>
      <w:marBottom w:val="0"/>
      <w:divBdr>
        <w:top w:val="none" w:sz="0" w:space="0" w:color="auto"/>
        <w:left w:val="none" w:sz="0" w:space="0" w:color="auto"/>
        <w:bottom w:val="none" w:sz="0" w:space="0" w:color="auto"/>
        <w:right w:val="none" w:sz="0" w:space="0" w:color="auto"/>
      </w:divBdr>
    </w:div>
    <w:div w:id="1019429434">
      <w:bodyDiv w:val="1"/>
      <w:marLeft w:val="0"/>
      <w:marRight w:val="0"/>
      <w:marTop w:val="0"/>
      <w:marBottom w:val="0"/>
      <w:divBdr>
        <w:top w:val="none" w:sz="0" w:space="0" w:color="auto"/>
        <w:left w:val="none" w:sz="0" w:space="0" w:color="auto"/>
        <w:bottom w:val="none" w:sz="0" w:space="0" w:color="auto"/>
        <w:right w:val="none" w:sz="0" w:space="0" w:color="auto"/>
      </w:divBdr>
    </w:div>
    <w:div w:id="1019429567">
      <w:bodyDiv w:val="1"/>
      <w:marLeft w:val="0"/>
      <w:marRight w:val="0"/>
      <w:marTop w:val="0"/>
      <w:marBottom w:val="0"/>
      <w:divBdr>
        <w:top w:val="none" w:sz="0" w:space="0" w:color="auto"/>
        <w:left w:val="none" w:sz="0" w:space="0" w:color="auto"/>
        <w:bottom w:val="none" w:sz="0" w:space="0" w:color="auto"/>
        <w:right w:val="none" w:sz="0" w:space="0" w:color="auto"/>
      </w:divBdr>
    </w:div>
    <w:div w:id="1019432116">
      <w:bodyDiv w:val="1"/>
      <w:marLeft w:val="0"/>
      <w:marRight w:val="0"/>
      <w:marTop w:val="0"/>
      <w:marBottom w:val="0"/>
      <w:divBdr>
        <w:top w:val="none" w:sz="0" w:space="0" w:color="auto"/>
        <w:left w:val="none" w:sz="0" w:space="0" w:color="auto"/>
        <w:bottom w:val="none" w:sz="0" w:space="0" w:color="auto"/>
        <w:right w:val="none" w:sz="0" w:space="0" w:color="auto"/>
      </w:divBdr>
    </w:div>
    <w:div w:id="1019544800">
      <w:bodyDiv w:val="1"/>
      <w:marLeft w:val="0"/>
      <w:marRight w:val="0"/>
      <w:marTop w:val="0"/>
      <w:marBottom w:val="0"/>
      <w:divBdr>
        <w:top w:val="none" w:sz="0" w:space="0" w:color="auto"/>
        <w:left w:val="none" w:sz="0" w:space="0" w:color="auto"/>
        <w:bottom w:val="none" w:sz="0" w:space="0" w:color="auto"/>
        <w:right w:val="none" w:sz="0" w:space="0" w:color="auto"/>
      </w:divBdr>
    </w:div>
    <w:div w:id="1019544899">
      <w:bodyDiv w:val="1"/>
      <w:marLeft w:val="0"/>
      <w:marRight w:val="0"/>
      <w:marTop w:val="0"/>
      <w:marBottom w:val="0"/>
      <w:divBdr>
        <w:top w:val="none" w:sz="0" w:space="0" w:color="auto"/>
        <w:left w:val="none" w:sz="0" w:space="0" w:color="auto"/>
        <w:bottom w:val="none" w:sz="0" w:space="0" w:color="auto"/>
        <w:right w:val="none" w:sz="0" w:space="0" w:color="auto"/>
      </w:divBdr>
    </w:div>
    <w:div w:id="1019618871">
      <w:bodyDiv w:val="1"/>
      <w:marLeft w:val="0"/>
      <w:marRight w:val="0"/>
      <w:marTop w:val="0"/>
      <w:marBottom w:val="0"/>
      <w:divBdr>
        <w:top w:val="none" w:sz="0" w:space="0" w:color="auto"/>
        <w:left w:val="none" w:sz="0" w:space="0" w:color="auto"/>
        <w:bottom w:val="none" w:sz="0" w:space="0" w:color="auto"/>
        <w:right w:val="none" w:sz="0" w:space="0" w:color="auto"/>
      </w:divBdr>
    </w:div>
    <w:div w:id="1019624731">
      <w:bodyDiv w:val="1"/>
      <w:marLeft w:val="0"/>
      <w:marRight w:val="0"/>
      <w:marTop w:val="0"/>
      <w:marBottom w:val="0"/>
      <w:divBdr>
        <w:top w:val="none" w:sz="0" w:space="0" w:color="auto"/>
        <w:left w:val="none" w:sz="0" w:space="0" w:color="auto"/>
        <w:bottom w:val="none" w:sz="0" w:space="0" w:color="auto"/>
        <w:right w:val="none" w:sz="0" w:space="0" w:color="auto"/>
      </w:divBdr>
    </w:div>
    <w:div w:id="1019626921">
      <w:bodyDiv w:val="1"/>
      <w:marLeft w:val="0"/>
      <w:marRight w:val="0"/>
      <w:marTop w:val="0"/>
      <w:marBottom w:val="0"/>
      <w:divBdr>
        <w:top w:val="none" w:sz="0" w:space="0" w:color="auto"/>
        <w:left w:val="none" w:sz="0" w:space="0" w:color="auto"/>
        <w:bottom w:val="none" w:sz="0" w:space="0" w:color="auto"/>
        <w:right w:val="none" w:sz="0" w:space="0" w:color="auto"/>
      </w:divBdr>
    </w:div>
    <w:div w:id="1019698752">
      <w:bodyDiv w:val="1"/>
      <w:marLeft w:val="0"/>
      <w:marRight w:val="0"/>
      <w:marTop w:val="0"/>
      <w:marBottom w:val="0"/>
      <w:divBdr>
        <w:top w:val="none" w:sz="0" w:space="0" w:color="auto"/>
        <w:left w:val="none" w:sz="0" w:space="0" w:color="auto"/>
        <w:bottom w:val="none" w:sz="0" w:space="0" w:color="auto"/>
        <w:right w:val="none" w:sz="0" w:space="0" w:color="auto"/>
      </w:divBdr>
    </w:div>
    <w:div w:id="1019892269">
      <w:bodyDiv w:val="1"/>
      <w:marLeft w:val="0"/>
      <w:marRight w:val="0"/>
      <w:marTop w:val="0"/>
      <w:marBottom w:val="0"/>
      <w:divBdr>
        <w:top w:val="none" w:sz="0" w:space="0" w:color="auto"/>
        <w:left w:val="none" w:sz="0" w:space="0" w:color="auto"/>
        <w:bottom w:val="none" w:sz="0" w:space="0" w:color="auto"/>
        <w:right w:val="none" w:sz="0" w:space="0" w:color="auto"/>
      </w:divBdr>
    </w:div>
    <w:div w:id="1020011046">
      <w:bodyDiv w:val="1"/>
      <w:marLeft w:val="0"/>
      <w:marRight w:val="0"/>
      <w:marTop w:val="0"/>
      <w:marBottom w:val="0"/>
      <w:divBdr>
        <w:top w:val="none" w:sz="0" w:space="0" w:color="auto"/>
        <w:left w:val="none" w:sz="0" w:space="0" w:color="auto"/>
        <w:bottom w:val="none" w:sz="0" w:space="0" w:color="auto"/>
        <w:right w:val="none" w:sz="0" w:space="0" w:color="auto"/>
      </w:divBdr>
    </w:div>
    <w:div w:id="1020011594">
      <w:bodyDiv w:val="1"/>
      <w:marLeft w:val="0"/>
      <w:marRight w:val="0"/>
      <w:marTop w:val="0"/>
      <w:marBottom w:val="0"/>
      <w:divBdr>
        <w:top w:val="none" w:sz="0" w:space="0" w:color="auto"/>
        <w:left w:val="none" w:sz="0" w:space="0" w:color="auto"/>
        <w:bottom w:val="none" w:sz="0" w:space="0" w:color="auto"/>
        <w:right w:val="none" w:sz="0" w:space="0" w:color="auto"/>
      </w:divBdr>
    </w:div>
    <w:div w:id="1020200925">
      <w:bodyDiv w:val="1"/>
      <w:marLeft w:val="0"/>
      <w:marRight w:val="0"/>
      <w:marTop w:val="0"/>
      <w:marBottom w:val="0"/>
      <w:divBdr>
        <w:top w:val="none" w:sz="0" w:space="0" w:color="auto"/>
        <w:left w:val="none" w:sz="0" w:space="0" w:color="auto"/>
        <w:bottom w:val="none" w:sz="0" w:space="0" w:color="auto"/>
        <w:right w:val="none" w:sz="0" w:space="0" w:color="auto"/>
      </w:divBdr>
    </w:div>
    <w:div w:id="1020398778">
      <w:bodyDiv w:val="1"/>
      <w:marLeft w:val="0"/>
      <w:marRight w:val="0"/>
      <w:marTop w:val="0"/>
      <w:marBottom w:val="0"/>
      <w:divBdr>
        <w:top w:val="none" w:sz="0" w:space="0" w:color="auto"/>
        <w:left w:val="none" w:sz="0" w:space="0" w:color="auto"/>
        <w:bottom w:val="none" w:sz="0" w:space="0" w:color="auto"/>
        <w:right w:val="none" w:sz="0" w:space="0" w:color="auto"/>
      </w:divBdr>
    </w:div>
    <w:div w:id="1020549840">
      <w:bodyDiv w:val="1"/>
      <w:marLeft w:val="0"/>
      <w:marRight w:val="0"/>
      <w:marTop w:val="0"/>
      <w:marBottom w:val="0"/>
      <w:divBdr>
        <w:top w:val="none" w:sz="0" w:space="0" w:color="auto"/>
        <w:left w:val="none" w:sz="0" w:space="0" w:color="auto"/>
        <w:bottom w:val="none" w:sz="0" w:space="0" w:color="auto"/>
        <w:right w:val="none" w:sz="0" w:space="0" w:color="auto"/>
      </w:divBdr>
    </w:div>
    <w:div w:id="1020593831">
      <w:bodyDiv w:val="1"/>
      <w:marLeft w:val="0"/>
      <w:marRight w:val="0"/>
      <w:marTop w:val="0"/>
      <w:marBottom w:val="0"/>
      <w:divBdr>
        <w:top w:val="none" w:sz="0" w:space="0" w:color="auto"/>
        <w:left w:val="none" w:sz="0" w:space="0" w:color="auto"/>
        <w:bottom w:val="none" w:sz="0" w:space="0" w:color="auto"/>
        <w:right w:val="none" w:sz="0" w:space="0" w:color="auto"/>
      </w:divBdr>
    </w:div>
    <w:div w:id="1020668698">
      <w:bodyDiv w:val="1"/>
      <w:marLeft w:val="0"/>
      <w:marRight w:val="0"/>
      <w:marTop w:val="0"/>
      <w:marBottom w:val="0"/>
      <w:divBdr>
        <w:top w:val="none" w:sz="0" w:space="0" w:color="auto"/>
        <w:left w:val="none" w:sz="0" w:space="0" w:color="auto"/>
        <w:bottom w:val="none" w:sz="0" w:space="0" w:color="auto"/>
        <w:right w:val="none" w:sz="0" w:space="0" w:color="auto"/>
      </w:divBdr>
    </w:div>
    <w:div w:id="1020669038">
      <w:bodyDiv w:val="1"/>
      <w:marLeft w:val="0"/>
      <w:marRight w:val="0"/>
      <w:marTop w:val="0"/>
      <w:marBottom w:val="0"/>
      <w:divBdr>
        <w:top w:val="none" w:sz="0" w:space="0" w:color="auto"/>
        <w:left w:val="none" w:sz="0" w:space="0" w:color="auto"/>
        <w:bottom w:val="none" w:sz="0" w:space="0" w:color="auto"/>
        <w:right w:val="none" w:sz="0" w:space="0" w:color="auto"/>
      </w:divBdr>
    </w:div>
    <w:div w:id="1020736482">
      <w:bodyDiv w:val="1"/>
      <w:marLeft w:val="0"/>
      <w:marRight w:val="0"/>
      <w:marTop w:val="0"/>
      <w:marBottom w:val="0"/>
      <w:divBdr>
        <w:top w:val="none" w:sz="0" w:space="0" w:color="auto"/>
        <w:left w:val="none" w:sz="0" w:space="0" w:color="auto"/>
        <w:bottom w:val="none" w:sz="0" w:space="0" w:color="auto"/>
        <w:right w:val="none" w:sz="0" w:space="0" w:color="auto"/>
      </w:divBdr>
    </w:div>
    <w:div w:id="1020819058">
      <w:bodyDiv w:val="1"/>
      <w:marLeft w:val="0"/>
      <w:marRight w:val="0"/>
      <w:marTop w:val="0"/>
      <w:marBottom w:val="0"/>
      <w:divBdr>
        <w:top w:val="none" w:sz="0" w:space="0" w:color="auto"/>
        <w:left w:val="none" w:sz="0" w:space="0" w:color="auto"/>
        <w:bottom w:val="none" w:sz="0" w:space="0" w:color="auto"/>
        <w:right w:val="none" w:sz="0" w:space="0" w:color="auto"/>
      </w:divBdr>
    </w:div>
    <w:div w:id="1020858513">
      <w:bodyDiv w:val="1"/>
      <w:marLeft w:val="0"/>
      <w:marRight w:val="0"/>
      <w:marTop w:val="0"/>
      <w:marBottom w:val="0"/>
      <w:divBdr>
        <w:top w:val="none" w:sz="0" w:space="0" w:color="auto"/>
        <w:left w:val="none" w:sz="0" w:space="0" w:color="auto"/>
        <w:bottom w:val="none" w:sz="0" w:space="0" w:color="auto"/>
        <w:right w:val="none" w:sz="0" w:space="0" w:color="auto"/>
      </w:divBdr>
    </w:div>
    <w:div w:id="1020860214">
      <w:bodyDiv w:val="1"/>
      <w:marLeft w:val="0"/>
      <w:marRight w:val="0"/>
      <w:marTop w:val="0"/>
      <w:marBottom w:val="0"/>
      <w:divBdr>
        <w:top w:val="none" w:sz="0" w:space="0" w:color="auto"/>
        <w:left w:val="none" w:sz="0" w:space="0" w:color="auto"/>
        <w:bottom w:val="none" w:sz="0" w:space="0" w:color="auto"/>
        <w:right w:val="none" w:sz="0" w:space="0" w:color="auto"/>
      </w:divBdr>
    </w:div>
    <w:div w:id="1020930025">
      <w:bodyDiv w:val="1"/>
      <w:marLeft w:val="0"/>
      <w:marRight w:val="0"/>
      <w:marTop w:val="0"/>
      <w:marBottom w:val="0"/>
      <w:divBdr>
        <w:top w:val="none" w:sz="0" w:space="0" w:color="auto"/>
        <w:left w:val="none" w:sz="0" w:space="0" w:color="auto"/>
        <w:bottom w:val="none" w:sz="0" w:space="0" w:color="auto"/>
        <w:right w:val="none" w:sz="0" w:space="0" w:color="auto"/>
      </w:divBdr>
    </w:div>
    <w:div w:id="1021011222">
      <w:bodyDiv w:val="1"/>
      <w:marLeft w:val="0"/>
      <w:marRight w:val="0"/>
      <w:marTop w:val="0"/>
      <w:marBottom w:val="0"/>
      <w:divBdr>
        <w:top w:val="none" w:sz="0" w:space="0" w:color="auto"/>
        <w:left w:val="none" w:sz="0" w:space="0" w:color="auto"/>
        <w:bottom w:val="none" w:sz="0" w:space="0" w:color="auto"/>
        <w:right w:val="none" w:sz="0" w:space="0" w:color="auto"/>
      </w:divBdr>
    </w:div>
    <w:div w:id="1021123862">
      <w:bodyDiv w:val="1"/>
      <w:marLeft w:val="0"/>
      <w:marRight w:val="0"/>
      <w:marTop w:val="0"/>
      <w:marBottom w:val="0"/>
      <w:divBdr>
        <w:top w:val="none" w:sz="0" w:space="0" w:color="auto"/>
        <w:left w:val="none" w:sz="0" w:space="0" w:color="auto"/>
        <w:bottom w:val="none" w:sz="0" w:space="0" w:color="auto"/>
        <w:right w:val="none" w:sz="0" w:space="0" w:color="auto"/>
      </w:divBdr>
    </w:div>
    <w:div w:id="1021126639">
      <w:bodyDiv w:val="1"/>
      <w:marLeft w:val="0"/>
      <w:marRight w:val="0"/>
      <w:marTop w:val="0"/>
      <w:marBottom w:val="0"/>
      <w:divBdr>
        <w:top w:val="none" w:sz="0" w:space="0" w:color="auto"/>
        <w:left w:val="none" w:sz="0" w:space="0" w:color="auto"/>
        <w:bottom w:val="none" w:sz="0" w:space="0" w:color="auto"/>
        <w:right w:val="none" w:sz="0" w:space="0" w:color="auto"/>
      </w:divBdr>
    </w:div>
    <w:div w:id="1021199913">
      <w:bodyDiv w:val="1"/>
      <w:marLeft w:val="0"/>
      <w:marRight w:val="0"/>
      <w:marTop w:val="0"/>
      <w:marBottom w:val="0"/>
      <w:divBdr>
        <w:top w:val="none" w:sz="0" w:space="0" w:color="auto"/>
        <w:left w:val="none" w:sz="0" w:space="0" w:color="auto"/>
        <w:bottom w:val="none" w:sz="0" w:space="0" w:color="auto"/>
        <w:right w:val="none" w:sz="0" w:space="0" w:color="auto"/>
      </w:divBdr>
    </w:div>
    <w:div w:id="1021316874">
      <w:bodyDiv w:val="1"/>
      <w:marLeft w:val="0"/>
      <w:marRight w:val="0"/>
      <w:marTop w:val="0"/>
      <w:marBottom w:val="0"/>
      <w:divBdr>
        <w:top w:val="none" w:sz="0" w:space="0" w:color="auto"/>
        <w:left w:val="none" w:sz="0" w:space="0" w:color="auto"/>
        <w:bottom w:val="none" w:sz="0" w:space="0" w:color="auto"/>
        <w:right w:val="none" w:sz="0" w:space="0" w:color="auto"/>
      </w:divBdr>
    </w:div>
    <w:div w:id="1021322173">
      <w:bodyDiv w:val="1"/>
      <w:marLeft w:val="0"/>
      <w:marRight w:val="0"/>
      <w:marTop w:val="0"/>
      <w:marBottom w:val="0"/>
      <w:divBdr>
        <w:top w:val="none" w:sz="0" w:space="0" w:color="auto"/>
        <w:left w:val="none" w:sz="0" w:space="0" w:color="auto"/>
        <w:bottom w:val="none" w:sz="0" w:space="0" w:color="auto"/>
        <w:right w:val="none" w:sz="0" w:space="0" w:color="auto"/>
      </w:divBdr>
    </w:div>
    <w:div w:id="1021467923">
      <w:bodyDiv w:val="1"/>
      <w:marLeft w:val="0"/>
      <w:marRight w:val="0"/>
      <w:marTop w:val="0"/>
      <w:marBottom w:val="0"/>
      <w:divBdr>
        <w:top w:val="none" w:sz="0" w:space="0" w:color="auto"/>
        <w:left w:val="none" w:sz="0" w:space="0" w:color="auto"/>
        <w:bottom w:val="none" w:sz="0" w:space="0" w:color="auto"/>
        <w:right w:val="none" w:sz="0" w:space="0" w:color="auto"/>
      </w:divBdr>
    </w:div>
    <w:div w:id="1021471151">
      <w:bodyDiv w:val="1"/>
      <w:marLeft w:val="0"/>
      <w:marRight w:val="0"/>
      <w:marTop w:val="0"/>
      <w:marBottom w:val="0"/>
      <w:divBdr>
        <w:top w:val="none" w:sz="0" w:space="0" w:color="auto"/>
        <w:left w:val="none" w:sz="0" w:space="0" w:color="auto"/>
        <w:bottom w:val="none" w:sz="0" w:space="0" w:color="auto"/>
        <w:right w:val="none" w:sz="0" w:space="0" w:color="auto"/>
      </w:divBdr>
    </w:div>
    <w:div w:id="1021473733">
      <w:bodyDiv w:val="1"/>
      <w:marLeft w:val="0"/>
      <w:marRight w:val="0"/>
      <w:marTop w:val="0"/>
      <w:marBottom w:val="0"/>
      <w:divBdr>
        <w:top w:val="none" w:sz="0" w:space="0" w:color="auto"/>
        <w:left w:val="none" w:sz="0" w:space="0" w:color="auto"/>
        <w:bottom w:val="none" w:sz="0" w:space="0" w:color="auto"/>
        <w:right w:val="none" w:sz="0" w:space="0" w:color="auto"/>
      </w:divBdr>
    </w:div>
    <w:div w:id="1021586598">
      <w:bodyDiv w:val="1"/>
      <w:marLeft w:val="0"/>
      <w:marRight w:val="0"/>
      <w:marTop w:val="0"/>
      <w:marBottom w:val="0"/>
      <w:divBdr>
        <w:top w:val="none" w:sz="0" w:space="0" w:color="auto"/>
        <w:left w:val="none" w:sz="0" w:space="0" w:color="auto"/>
        <w:bottom w:val="none" w:sz="0" w:space="0" w:color="auto"/>
        <w:right w:val="none" w:sz="0" w:space="0" w:color="auto"/>
      </w:divBdr>
    </w:div>
    <w:div w:id="1021590409">
      <w:bodyDiv w:val="1"/>
      <w:marLeft w:val="0"/>
      <w:marRight w:val="0"/>
      <w:marTop w:val="0"/>
      <w:marBottom w:val="0"/>
      <w:divBdr>
        <w:top w:val="none" w:sz="0" w:space="0" w:color="auto"/>
        <w:left w:val="none" w:sz="0" w:space="0" w:color="auto"/>
        <w:bottom w:val="none" w:sz="0" w:space="0" w:color="auto"/>
        <w:right w:val="none" w:sz="0" w:space="0" w:color="auto"/>
      </w:divBdr>
    </w:div>
    <w:div w:id="1021664787">
      <w:bodyDiv w:val="1"/>
      <w:marLeft w:val="0"/>
      <w:marRight w:val="0"/>
      <w:marTop w:val="0"/>
      <w:marBottom w:val="0"/>
      <w:divBdr>
        <w:top w:val="none" w:sz="0" w:space="0" w:color="auto"/>
        <w:left w:val="none" w:sz="0" w:space="0" w:color="auto"/>
        <w:bottom w:val="none" w:sz="0" w:space="0" w:color="auto"/>
        <w:right w:val="none" w:sz="0" w:space="0" w:color="auto"/>
      </w:divBdr>
    </w:div>
    <w:div w:id="1021779172">
      <w:bodyDiv w:val="1"/>
      <w:marLeft w:val="0"/>
      <w:marRight w:val="0"/>
      <w:marTop w:val="0"/>
      <w:marBottom w:val="0"/>
      <w:divBdr>
        <w:top w:val="none" w:sz="0" w:space="0" w:color="auto"/>
        <w:left w:val="none" w:sz="0" w:space="0" w:color="auto"/>
        <w:bottom w:val="none" w:sz="0" w:space="0" w:color="auto"/>
        <w:right w:val="none" w:sz="0" w:space="0" w:color="auto"/>
      </w:divBdr>
    </w:div>
    <w:div w:id="1022055233">
      <w:bodyDiv w:val="1"/>
      <w:marLeft w:val="0"/>
      <w:marRight w:val="0"/>
      <w:marTop w:val="0"/>
      <w:marBottom w:val="0"/>
      <w:divBdr>
        <w:top w:val="none" w:sz="0" w:space="0" w:color="auto"/>
        <w:left w:val="none" w:sz="0" w:space="0" w:color="auto"/>
        <w:bottom w:val="none" w:sz="0" w:space="0" w:color="auto"/>
        <w:right w:val="none" w:sz="0" w:space="0" w:color="auto"/>
      </w:divBdr>
    </w:div>
    <w:div w:id="1022167675">
      <w:bodyDiv w:val="1"/>
      <w:marLeft w:val="0"/>
      <w:marRight w:val="0"/>
      <w:marTop w:val="0"/>
      <w:marBottom w:val="0"/>
      <w:divBdr>
        <w:top w:val="none" w:sz="0" w:space="0" w:color="auto"/>
        <w:left w:val="none" w:sz="0" w:space="0" w:color="auto"/>
        <w:bottom w:val="none" w:sz="0" w:space="0" w:color="auto"/>
        <w:right w:val="none" w:sz="0" w:space="0" w:color="auto"/>
      </w:divBdr>
    </w:div>
    <w:div w:id="1022172768">
      <w:bodyDiv w:val="1"/>
      <w:marLeft w:val="0"/>
      <w:marRight w:val="0"/>
      <w:marTop w:val="0"/>
      <w:marBottom w:val="0"/>
      <w:divBdr>
        <w:top w:val="none" w:sz="0" w:space="0" w:color="auto"/>
        <w:left w:val="none" w:sz="0" w:space="0" w:color="auto"/>
        <w:bottom w:val="none" w:sz="0" w:space="0" w:color="auto"/>
        <w:right w:val="none" w:sz="0" w:space="0" w:color="auto"/>
      </w:divBdr>
    </w:div>
    <w:div w:id="1022321599">
      <w:bodyDiv w:val="1"/>
      <w:marLeft w:val="0"/>
      <w:marRight w:val="0"/>
      <w:marTop w:val="0"/>
      <w:marBottom w:val="0"/>
      <w:divBdr>
        <w:top w:val="none" w:sz="0" w:space="0" w:color="auto"/>
        <w:left w:val="none" w:sz="0" w:space="0" w:color="auto"/>
        <w:bottom w:val="none" w:sz="0" w:space="0" w:color="auto"/>
        <w:right w:val="none" w:sz="0" w:space="0" w:color="auto"/>
      </w:divBdr>
    </w:div>
    <w:div w:id="1022322465">
      <w:bodyDiv w:val="1"/>
      <w:marLeft w:val="0"/>
      <w:marRight w:val="0"/>
      <w:marTop w:val="0"/>
      <w:marBottom w:val="0"/>
      <w:divBdr>
        <w:top w:val="none" w:sz="0" w:space="0" w:color="auto"/>
        <w:left w:val="none" w:sz="0" w:space="0" w:color="auto"/>
        <w:bottom w:val="none" w:sz="0" w:space="0" w:color="auto"/>
        <w:right w:val="none" w:sz="0" w:space="0" w:color="auto"/>
      </w:divBdr>
    </w:div>
    <w:div w:id="1022324091">
      <w:bodyDiv w:val="1"/>
      <w:marLeft w:val="0"/>
      <w:marRight w:val="0"/>
      <w:marTop w:val="0"/>
      <w:marBottom w:val="0"/>
      <w:divBdr>
        <w:top w:val="none" w:sz="0" w:space="0" w:color="auto"/>
        <w:left w:val="none" w:sz="0" w:space="0" w:color="auto"/>
        <w:bottom w:val="none" w:sz="0" w:space="0" w:color="auto"/>
        <w:right w:val="none" w:sz="0" w:space="0" w:color="auto"/>
      </w:divBdr>
    </w:div>
    <w:div w:id="1022365375">
      <w:bodyDiv w:val="1"/>
      <w:marLeft w:val="0"/>
      <w:marRight w:val="0"/>
      <w:marTop w:val="0"/>
      <w:marBottom w:val="0"/>
      <w:divBdr>
        <w:top w:val="none" w:sz="0" w:space="0" w:color="auto"/>
        <w:left w:val="none" w:sz="0" w:space="0" w:color="auto"/>
        <w:bottom w:val="none" w:sz="0" w:space="0" w:color="auto"/>
        <w:right w:val="none" w:sz="0" w:space="0" w:color="auto"/>
      </w:divBdr>
    </w:div>
    <w:div w:id="1022585835">
      <w:bodyDiv w:val="1"/>
      <w:marLeft w:val="0"/>
      <w:marRight w:val="0"/>
      <w:marTop w:val="0"/>
      <w:marBottom w:val="0"/>
      <w:divBdr>
        <w:top w:val="none" w:sz="0" w:space="0" w:color="auto"/>
        <w:left w:val="none" w:sz="0" w:space="0" w:color="auto"/>
        <w:bottom w:val="none" w:sz="0" w:space="0" w:color="auto"/>
        <w:right w:val="none" w:sz="0" w:space="0" w:color="auto"/>
      </w:divBdr>
    </w:div>
    <w:div w:id="1022590366">
      <w:bodyDiv w:val="1"/>
      <w:marLeft w:val="0"/>
      <w:marRight w:val="0"/>
      <w:marTop w:val="0"/>
      <w:marBottom w:val="0"/>
      <w:divBdr>
        <w:top w:val="none" w:sz="0" w:space="0" w:color="auto"/>
        <w:left w:val="none" w:sz="0" w:space="0" w:color="auto"/>
        <w:bottom w:val="none" w:sz="0" w:space="0" w:color="auto"/>
        <w:right w:val="none" w:sz="0" w:space="0" w:color="auto"/>
      </w:divBdr>
    </w:div>
    <w:div w:id="1022782194">
      <w:bodyDiv w:val="1"/>
      <w:marLeft w:val="0"/>
      <w:marRight w:val="0"/>
      <w:marTop w:val="0"/>
      <w:marBottom w:val="0"/>
      <w:divBdr>
        <w:top w:val="none" w:sz="0" w:space="0" w:color="auto"/>
        <w:left w:val="none" w:sz="0" w:space="0" w:color="auto"/>
        <w:bottom w:val="none" w:sz="0" w:space="0" w:color="auto"/>
        <w:right w:val="none" w:sz="0" w:space="0" w:color="auto"/>
      </w:divBdr>
    </w:div>
    <w:div w:id="1023021864">
      <w:bodyDiv w:val="1"/>
      <w:marLeft w:val="0"/>
      <w:marRight w:val="0"/>
      <w:marTop w:val="0"/>
      <w:marBottom w:val="0"/>
      <w:divBdr>
        <w:top w:val="none" w:sz="0" w:space="0" w:color="auto"/>
        <w:left w:val="none" w:sz="0" w:space="0" w:color="auto"/>
        <w:bottom w:val="none" w:sz="0" w:space="0" w:color="auto"/>
        <w:right w:val="none" w:sz="0" w:space="0" w:color="auto"/>
      </w:divBdr>
    </w:div>
    <w:div w:id="1023357119">
      <w:bodyDiv w:val="1"/>
      <w:marLeft w:val="0"/>
      <w:marRight w:val="0"/>
      <w:marTop w:val="0"/>
      <w:marBottom w:val="0"/>
      <w:divBdr>
        <w:top w:val="none" w:sz="0" w:space="0" w:color="auto"/>
        <w:left w:val="none" w:sz="0" w:space="0" w:color="auto"/>
        <w:bottom w:val="none" w:sz="0" w:space="0" w:color="auto"/>
        <w:right w:val="none" w:sz="0" w:space="0" w:color="auto"/>
      </w:divBdr>
    </w:div>
    <w:div w:id="1023477186">
      <w:bodyDiv w:val="1"/>
      <w:marLeft w:val="0"/>
      <w:marRight w:val="0"/>
      <w:marTop w:val="0"/>
      <w:marBottom w:val="0"/>
      <w:divBdr>
        <w:top w:val="none" w:sz="0" w:space="0" w:color="auto"/>
        <w:left w:val="none" w:sz="0" w:space="0" w:color="auto"/>
        <w:bottom w:val="none" w:sz="0" w:space="0" w:color="auto"/>
        <w:right w:val="none" w:sz="0" w:space="0" w:color="auto"/>
      </w:divBdr>
    </w:div>
    <w:div w:id="1023626126">
      <w:bodyDiv w:val="1"/>
      <w:marLeft w:val="0"/>
      <w:marRight w:val="0"/>
      <w:marTop w:val="0"/>
      <w:marBottom w:val="0"/>
      <w:divBdr>
        <w:top w:val="none" w:sz="0" w:space="0" w:color="auto"/>
        <w:left w:val="none" w:sz="0" w:space="0" w:color="auto"/>
        <w:bottom w:val="none" w:sz="0" w:space="0" w:color="auto"/>
        <w:right w:val="none" w:sz="0" w:space="0" w:color="auto"/>
      </w:divBdr>
    </w:div>
    <w:div w:id="1023745977">
      <w:bodyDiv w:val="1"/>
      <w:marLeft w:val="0"/>
      <w:marRight w:val="0"/>
      <w:marTop w:val="0"/>
      <w:marBottom w:val="0"/>
      <w:divBdr>
        <w:top w:val="none" w:sz="0" w:space="0" w:color="auto"/>
        <w:left w:val="none" w:sz="0" w:space="0" w:color="auto"/>
        <w:bottom w:val="none" w:sz="0" w:space="0" w:color="auto"/>
        <w:right w:val="none" w:sz="0" w:space="0" w:color="auto"/>
      </w:divBdr>
    </w:div>
    <w:div w:id="1023942311">
      <w:bodyDiv w:val="1"/>
      <w:marLeft w:val="0"/>
      <w:marRight w:val="0"/>
      <w:marTop w:val="0"/>
      <w:marBottom w:val="0"/>
      <w:divBdr>
        <w:top w:val="none" w:sz="0" w:space="0" w:color="auto"/>
        <w:left w:val="none" w:sz="0" w:space="0" w:color="auto"/>
        <w:bottom w:val="none" w:sz="0" w:space="0" w:color="auto"/>
        <w:right w:val="none" w:sz="0" w:space="0" w:color="auto"/>
      </w:divBdr>
    </w:div>
    <w:div w:id="1024095855">
      <w:bodyDiv w:val="1"/>
      <w:marLeft w:val="0"/>
      <w:marRight w:val="0"/>
      <w:marTop w:val="0"/>
      <w:marBottom w:val="0"/>
      <w:divBdr>
        <w:top w:val="none" w:sz="0" w:space="0" w:color="auto"/>
        <w:left w:val="none" w:sz="0" w:space="0" w:color="auto"/>
        <w:bottom w:val="none" w:sz="0" w:space="0" w:color="auto"/>
        <w:right w:val="none" w:sz="0" w:space="0" w:color="auto"/>
      </w:divBdr>
    </w:div>
    <w:div w:id="1024281579">
      <w:bodyDiv w:val="1"/>
      <w:marLeft w:val="0"/>
      <w:marRight w:val="0"/>
      <w:marTop w:val="0"/>
      <w:marBottom w:val="0"/>
      <w:divBdr>
        <w:top w:val="none" w:sz="0" w:space="0" w:color="auto"/>
        <w:left w:val="none" w:sz="0" w:space="0" w:color="auto"/>
        <w:bottom w:val="none" w:sz="0" w:space="0" w:color="auto"/>
        <w:right w:val="none" w:sz="0" w:space="0" w:color="auto"/>
      </w:divBdr>
    </w:div>
    <w:div w:id="1024328902">
      <w:bodyDiv w:val="1"/>
      <w:marLeft w:val="0"/>
      <w:marRight w:val="0"/>
      <w:marTop w:val="0"/>
      <w:marBottom w:val="0"/>
      <w:divBdr>
        <w:top w:val="none" w:sz="0" w:space="0" w:color="auto"/>
        <w:left w:val="none" w:sz="0" w:space="0" w:color="auto"/>
        <w:bottom w:val="none" w:sz="0" w:space="0" w:color="auto"/>
        <w:right w:val="none" w:sz="0" w:space="0" w:color="auto"/>
      </w:divBdr>
    </w:div>
    <w:div w:id="1024399186">
      <w:bodyDiv w:val="1"/>
      <w:marLeft w:val="0"/>
      <w:marRight w:val="0"/>
      <w:marTop w:val="0"/>
      <w:marBottom w:val="0"/>
      <w:divBdr>
        <w:top w:val="none" w:sz="0" w:space="0" w:color="auto"/>
        <w:left w:val="none" w:sz="0" w:space="0" w:color="auto"/>
        <w:bottom w:val="none" w:sz="0" w:space="0" w:color="auto"/>
        <w:right w:val="none" w:sz="0" w:space="0" w:color="auto"/>
      </w:divBdr>
    </w:div>
    <w:div w:id="1024406568">
      <w:bodyDiv w:val="1"/>
      <w:marLeft w:val="0"/>
      <w:marRight w:val="0"/>
      <w:marTop w:val="0"/>
      <w:marBottom w:val="0"/>
      <w:divBdr>
        <w:top w:val="none" w:sz="0" w:space="0" w:color="auto"/>
        <w:left w:val="none" w:sz="0" w:space="0" w:color="auto"/>
        <w:bottom w:val="none" w:sz="0" w:space="0" w:color="auto"/>
        <w:right w:val="none" w:sz="0" w:space="0" w:color="auto"/>
      </w:divBdr>
    </w:div>
    <w:div w:id="1024478506">
      <w:bodyDiv w:val="1"/>
      <w:marLeft w:val="0"/>
      <w:marRight w:val="0"/>
      <w:marTop w:val="0"/>
      <w:marBottom w:val="0"/>
      <w:divBdr>
        <w:top w:val="none" w:sz="0" w:space="0" w:color="auto"/>
        <w:left w:val="none" w:sz="0" w:space="0" w:color="auto"/>
        <w:bottom w:val="none" w:sz="0" w:space="0" w:color="auto"/>
        <w:right w:val="none" w:sz="0" w:space="0" w:color="auto"/>
      </w:divBdr>
    </w:div>
    <w:div w:id="1024479902">
      <w:bodyDiv w:val="1"/>
      <w:marLeft w:val="0"/>
      <w:marRight w:val="0"/>
      <w:marTop w:val="0"/>
      <w:marBottom w:val="0"/>
      <w:divBdr>
        <w:top w:val="none" w:sz="0" w:space="0" w:color="auto"/>
        <w:left w:val="none" w:sz="0" w:space="0" w:color="auto"/>
        <w:bottom w:val="none" w:sz="0" w:space="0" w:color="auto"/>
        <w:right w:val="none" w:sz="0" w:space="0" w:color="auto"/>
      </w:divBdr>
    </w:div>
    <w:div w:id="1024483498">
      <w:bodyDiv w:val="1"/>
      <w:marLeft w:val="0"/>
      <w:marRight w:val="0"/>
      <w:marTop w:val="0"/>
      <w:marBottom w:val="0"/>
      <w:divBdr>
        <w:top w:val="none" w:sz="0" w:space="0" w:color="auto"/>
        <w:left w:val="none" w:sz="0" w:space="0" w:color="auto"/>
        <w:bottom w:val="none" w:sz="0" w:space="0" w:color="auto"/>
        <w:right w:val="none" w:sz="0" w:space="0" w:color="auto"/>
      </w:divBdr>
    </w:div>
    <w:div w:id="1024553742">
      <w:bodyDiv w:val="1"/>
      <w:marLeft w:val="0"/>
      <w:marRight w:val="0"/>
      <w:marTop w:val="0"/>
      <w:marBottom w:val="0"/>
      <w:divBdr>
        <w:top w:val="none" w:sz="0" w:space="0" w:color="auto"/>
        <w:left w:val="none" w:sz="0" w:space="0" w:color="auto"/>
        <w:bottom w:val="none" w:sz="0" w:space="0" w:color="auto"/>
        <w:right w:val="none" w:sz="0" w:space="0" w:color="auto"/>
      </w:divBdr>
    </w:div>
    <w:div w:id="1024593074">
      <w:bodyDiv w:val="1"/>
      <w:marLeft w:val="0"/>
      <w:marRight w:val="0"/>
      <w:marTop w:val="0"/>
      <w:marBottom w:val="0"/>
      <w:divBdr>
        <w:top w:val="none" w:sz="0" w:space="0" w:color="auto"/>
        <w:left w:val="none" w:sz="0" w:space="0" w:color="auto"/>
        <w:bottom w:val="none" w:sz="0" w:space="0" w:color="auto"/>
        <w:right w:val="none" w:sz="0" w:space="0" w:color="auto"/>
      </w:divBdr>
    </w:div>
    <w:div w:id="1024599123">
      <w:bodyDiv w:val="1"/>
      <w:marLeft w:val="0"/>
      <w:marRight w:val="0"/>
      <w:marTop w:val="0"/>
      <w:marBottom w:val="0"/>
      <w:divBdr>
        <w:top w:val="none" w:sz="0" w:space="0" w:color="auto"/>
        <w:left w:val="none" w:sz="0" w:space="0" w:color="auto"/>
        <w:bottom w:val="none" w:sz="0" w:space="0" w:color="auto"/>
        <w:right w:val="none" w:sz="0" w:space="0" w:color="auto"/>
      </w:divBdr>
    </w:div>
    <w:div w:id="1024600993">
      <w:bodyDiv w:val="1"/>
      <w:marLeft w:val="0"/>
      <w:marRight w:val="0"/>
      <w:marTop w:val="0"/>
      <w:marBottom w:val="0"/>
      <w:divBdr>
        <w:top w:val="none" w:sz="0" w:space="0" w:color="auto"/>
        <w:left w:val="none" w:sz="0" w:space="0" w:color="auto"/>
        <w:bottom w:val="none" w:sz="0" w:space="0" w:color="auto"/>
        <w:right w:val="none" w:sz="0" w:space="0" w:color="auto"/>
      </w:divBdr>
    </w:div>
    <w:div w:id="1024862287">
      <w:bodyDiv w:val="1"/>
      <w:marLeft w:val="0"/>
      <w:marRight w:val="0"/>
      <w:marTop w:val="0"/>
      <w:marBottom w:val="0"/>
      <w:divBdr>
        <w:top w:val="none" w:sz="0" w:space="0" w:color="auto"/>
        <w:left w:val="none" w:sz="0" w:space="0" w:color="auto"/>
        <w:bottom w:val="none" w:sz="0" w:space="0" w:color="auto"/>
        <w:right w:val="none" w:sz="0" w:space="0" w:color="auto"/>
      </w:divBdr>
    </w:div>
    <w:div w:id="1024938726">
      <w:bodyDiv w:val="1"/>
      <w:marLeft w:val="0"/>
      <w:marRight w:val="0"/>
      <w:marTop w:val="0"/>
      <w:marBottom w:val="0"/>
      <w:divBdr>
        <w:top w:val="none" w:sz="0" w:space="0" w:color="auto"/>
        <w:left w:val="none" w:sz="0" w:space="0" w:color="auto"/>
        <w:bottom w:val="none" w:sz="0" w:space="0" w:color="auto"/>
        <w:right w:val="none" w:sz="0" w:space="0" w:color="auto"/>
      </w:divBdr>
    </w:div>
    <w:div w:id="1024940524">
      <w:bodyDiv w:val="1"/>
      <w:marLeft w:val="0"/>
      <w:marRight w:val="0"/>
      <w:marTop w:val="0"/>
      <w:marBottom w:val="0"/>
      <w:divBdr>
        <w:top w:val="none" w:sz="0" w:space="0" w:color="auto"/>
        <w:left w:val="none" w:sz="0" w:space="0" w:color="auto"/>
        <w:bottom w:val="none" w:sz="0" w:space="0" w:color="auto"/>
        <w:right w:val="none" w:sz="0" w:space="0" w:color="auto"/>
      </w:divBdr>
    </w:div>
    <w:div w:id="1024945471">
      <w:bodyDiv w:val="1"/>
      <w:marLeft w:val="0"/>
      <w:marRight w:val="0"/>
      <w:marTop w:val="0"/>
      <w:marBottom w:val="0"/>
      <w:divBdr>
        <w:top w:val="none" w:sz="0" w:space="0" w:color="auto"/>
        <w:left w:val="none" w:sz="0" w:space="0" w:color="auto"/>
        <w:bottom w:val="none" w:sz="0" w:space="0" w:color="auto"/>
        <w:right w:val="none" w:sz="0" w:space="0" w:color="auto"/>
      </w:divBdr>
    </w:div>
    <w:div w:id="1024985138">
      <w:bodyDiv w:val="1"/>
      <w:marLeft w:val="0"/>
      <w:marRight w:val="0"/>
      <w:marTop w:val="0"/>
      <w:marBottom w:val="0"/>
      <w:divBdr>
        <w:top w:val="none" w:sz="0" w:space="0" w:color="auto"/>
        <w:left w:val="none" w:sz="0" w:space="0" w:color="auto"/>
        <w:bottom w:val="none" w:sz="0" w:space="0" w:color="auto"/>
        <w:right w:val="none" w:sz="0" w:space="0" w:color="auto"/>
      </w:divBdr>
    </w:div>
    <w:div w:id="1025014524">
      <w:bodyDiv w:val="1"/>
      <w:marLeft w:val="0"/>
      <w:marRight w:val="0"/>
      <w:marTop w:val="0"/>
      <w:marBottom w:val="0"/>
      <w:divBdr>
        <w:top w:val="none" w:sz="0" w:space="0" w:color="auto"/>
        <w:left w:val="none" w:sz="0" w:space="0" w:color="auto"/>
        <w:bottom w:val="none" w:sz="0" w:space="0" w:color="auto"/>
        <w:right w:val="none" w:sz="0" w:space="0" w:color="auto"/>
      </w:divBdr>
    </w:div>
    <w:div w:id="1025058621">
      <w:bodyDiv w:val="1"/>
      <w:marLeft w:val="0"/>
      <w:marRight w:val="0"/>
      <w:marTop w:val="0"/>
      <w:marBottom w:val="0"/>
      <w:divBdr>
        <w:top w:val="none" w:sz="0" w:space="0" w:color="auto"/>
        <w:left w:val="none" w:sz="0" w:space="0" w:color="auto"/>
        <w:bottom w:val="none" w:sz="0" w:space="0" w:color="auto"/>
        <w:right w:val="none" w:sz="0" w:space="0" w:color="auto"/>
      </w:divBdr>
    </w:div>
    <w:div w:id="1025063103">
      <w:bodyDiv w:val="1"/>
      <w:marLeft w:val="0"/>
      <w:marRight w:val="0"/>
      <w:marTop w:val="0"/>
      <w:marBottom w:val="0"/>
      <w:divBdr>
        <w:top w:val="none" w:sz="0" w:space="0" w:color="auto"/>
        <w:left w:val="none" w:sz="0" w:space="0" w:color="auto"/>
        <w:bottom w:val="none" w:sz="0" w:space="0" w:color="auto"/>
        <w:right w:val="none" w:sz="0" w:space="0" w:color="auto"/>
      </w:divBdr>
    </w:div>
    <w:div w:id="1025132624">
      <w:bodyDiv w:val="1"/>
      <w:marLeft w:val="0"/>
      <w:marRight w:val="0"/>
      <w:marTop w:val="0"/>
      <w:marBottom w:val="0"/>
      <w:divBdr>
        <w:top w:val="none" w:sz="0" w:space="0" w:color="auto"/>
        <w:left w:val="none" w:sz="0" w:space="0" w:color="auto"/>
        <w:bottom w:val="none" w:sz="0" w:space="0" w:color="auto"/>
        <w:right w:val="none" w:sz="0" w:space="0" w:color="auto"/>
      </w:divBdr>
    </w:div>
    <w:div w:id="1025133375">
      <w:bodyDiv w:val="1"/>
      <w:marLeft w:val="0"/>
      <w:marRight w:val="0"/>
      <w:marTop w:val="0"/>
      <w:marBottom w:val="0"/>
      <w:divBdr>
        <w:top w:val="none" w:sz="0" w:space="0" w:color="auto"/>
        <w:left w:val="none" w:sz="0" w:space="0" w:color="auto"/>
        <w:bottom w:val="none" w:sz="0" w:space="0" w:color="auto"/>
        <w:right w:val="none" w:sz="0" w:space="0" w:color="auto"/>
      </w:divBdr>
    </w:div>
    <w:div w:id="1025248478">
      <w:bodyDiv w:val="1"/>
      <w:marLeft w:val="0"/>
      <w:marRight w:val="0"/>
      <w:marTop w:val="0"/>
      <w:marBottom w:val="0"/>
      <w:divBdr>
        <w:top w:val="none" w:sz="0" w:space="0" w:color="auto"/>
        <w:left w:val="none" w:sz="0" w:space="0" w:color="auto"/>
        <w:bottom w:val="none" w:sz="0" w:space="0" w:color="auto"/>
        <w:right w:val="none" w:sz="0" w:space="0" w:color="auto"/>
      </w:divBdr>
    </w:div>
    <w:div w:id="1025326616">
      <w:bodyDiv w:val="1"/>
      <w:marLeft w:val="0"/>
      <w:marRight w:val="0"/>
      <w:marTop w:val="0"/>
      <w:marBottom w:val="0"/>
      <w:divBdr>
        <w:top w:val="none" w:sz="0" w:space="0" w:color="auto"/>
        <w:left w:val="none" w:sz="0" w:space="0" w:color="auto"/>
        <w:bottom w:val="none" w:sz="0" w:space="0" w:color="auto"/>
        <w:right w:val="none" w:sz="0" w:space="0" w:color="auto"/>
      </w:divBdr>
    </w:div>
    <w:div w:id="1025327281">
      <w:bodyDiv w:val="1"/>
      <w:marLeft w:val="0"/>
      <w:marRight w:val="0"/>
      <w:marTop w:val="0"/>
      <w:marBottom w:val="0"/>
      <w:divBdr>
        <w:top w:val="none" w:sz="0" w:space="0" w:color="auto"/>
        <w:left w:val="none" w:sz="0" w:space="0" w:color="auto"/>
        <w:bottom w:val="none" w:sz="0" w:space="0" w:color="auto"/>
        <w:right w:val="none" w:sz="0" w:space="0" w:color="auto"/>
      </w:divBdr>
    </w:div>
    <w:div w:id="1025399264">
      <w:bodyDiv w:val="1"/>
      <w:marLeft w:val="0"/>
      <w:marRight w:val="0"/>
      <w:marTop w:val="0"/>
      <w:marBottom w:val="0"/>
      <w:divBdr>
        <w:top w:val="none" w:sz="0" w:space="0" w:color="auto"/>
        <w:left w:val="none" w:sz="0" w:space="0" w:color="auto"/>
        <w:bottom w:val="none" w:sz="0" w:space="0" w:color="auto"/>
        <w:right w:val="none" w:sz="0" w:space="0" w:color="auto"/>
      </w:divBdr>
    </w:div>
    <w:div w:id="1025400237">
      <w:bodyDiv w:val="1"/>
      <w:marLeft w:val="0"/>
      <w:marRight w:val="0"/>
      <w:marTop w:val="0"/>
      <w:marBottom w:val="0"/>
      <w:divBdr>
        <w:top w:val="none" w:sz="0" w:space="0" w:color="auto"/>
        <w:left w:val="none" w:sz="0" w:space="0" w:color="auto"/>
        <w:bottom w:val="none" w:sz="0" w:space="0" w:color="auto"/>
        <w:right w:val="none" w:sz="0" w:space="0" w:color="auto"/>
      </w:divBdr>
    </w:div>
    <w:div w:id="1025522978">
      <w:bodyDiv w:val="1"/>
      <w:marLeft w:val="0"/>
      <w:marRight w:val="0"/>
      <w:marTop w:val="0"/>
      <w:marBottom w:val="0"/>
      <w:divBdr>
        <w:top w:val="none" w:sz="0" w:space="0" w:color="auto"/>
        <w:left w:val="none" w:sz="0" w:space="0" w:color="auto"/>
        <w:bottom w:val="none" w:sz="0" w:space="0" w:color="auto"/>
        <w:right w:val="none" w:sz="0" w:space="0" w:color="auto"/>
      </w:divBdr>
    </w:div>
    <w:div w:id="1025523713">
      <w:bodyDiv w:val="1"/>
      <w:marLeft w:val="0"/>
      <w:marRight w:val="0"/>
      <w:marTop w:val="0"/>
      <w:marBottom w:val="0"/>
      <w:divBdr>
        <w:top w:val="none" w:sz="0" w:space="0" w:color="auto"/>
        <w:left w:val="none" w:sz="0" w:space="0" w:color="auto"/>
        <w:bottom w:val="none" w:sz="0" w:space="0" w:color="auto"/>
        <w:right w:val="none" w:sz="0" w:space="0" w:color="auto"/>
      </w:divBdr>
    </w:div>
    <w:div w:id="1025638815">
      <w:bodyDiv w:val="1"/>
      <w:marLeft w:val="0"/>
      <w:marRight w:val="0"/>
      <w:marTop w:val="0"/>
      <w:marBottom w:val="0"/>
      <w:divBdr>
        <w:top w:val="none" w:sz="0" w:space="0" w:color="auto"/>
        <w:left w:val="none" w:sz="0" w:space="0" w:color="auto"/>
        <w:bottom w:val="none" w:sz="0" w:space="0" w:color="auto"/>
        <w:right w:val="none" w:sz="0" w:space="0" w:color="auto"/>
      </w:divBdr>
    </w:div>
    <w:div w:id="1025711038">
      <w:bodyDiv w:val="1"/>
      <w:marLeft w:val="0"/>
      <w:marRight w:val="0"/>
      <w:marTop w:val="0"/>
      <w:marBottom w:val="0"/>
      <w:divBdr>
        <w:top w:val="none" w:sz="0" w:space="0" w:color="auto"/>
        <w:left w:val="none" w:sz="0" w:space="0" w:color="auto"/>
        <w:bottom w:val="none" w:sz="0" w:space="0" w:color="auto"/>
        <w:right w:val="none" w:sz="0" w:space="0" w:color="auto"/>
      </w:divBdr>
    </w:div>
    <w:div w:id="1025718887">
      <w:bodyDiv w:val="1"/>
      <w:marLeft w:val="0"/>
      <w:marRight w:val="0"/>
      <w:marTop w:val="0"/>
      <w:marBottom w:val="0"/>
      <w:divBdr>
        <w:top w:val="none" w:sz="0" w:space="0" w:color="auto"/>
        <w:left w:val="none" w:sz="0" w:space="0" w:color="auto"/>
        <w:bottom w:val="none" w:sz="0" w:space="0" w:color="auto"/>
        <w:right w:val="none" w:sz="0" w:space="0" w:color="auto"/>
      </w:divBdr>
    </w:div>
    <w:div w:id="1025789010">
      <w:bodyDiv w:val="1"/>
      <w:marLeft w:val="0"/>
      <w:marRight w:val="0"/>
      <w:marTop w:val="0"/>
      <w:marBottom w:val="0"/>
      <w:divBdr>
        <w:top w:val="none" w:sz="0" w:space="0" w:color="auto"/>
        <w:left w:val="none" w:sz="0" w:space="0" w:color="auto"/>
        <w:bottom w:val="none" w:sz="0" w:space="0" w:color="auto"/>
        <w:right w:val="none" w:sz="0" w:space="0" w:color="auto"/>
      </w:divBdr>
    </w:div>
    <w:div w:id="1025791939">
      <w:bodyDiv w:val="1"/>
      <w:marLeft w:val="0"/>
      <w:marRight w:val="0"/>
      <w:marTop w:val="0"/>
      <w:marBottom w:val="0"/>
      <w:divBdr>
        <w:top w:val="none" w:sz="0" w:space="0" w:color="auto"/>
        <w:left w:val="none" w:sz="0" w:space="0" w:color="auto"/>
        <w:bottom w:val="none" w:sz="0" w:space="0" w:color="auto"/>
        <w:right w:val="none" w:sz="0" w:space="0" w:color="auto"/>
      </w:divBdr>
    </w:div>
    <w:div w:id="1025906592">
      <w:bodyDiv w:val="1"/>
      <w:marLeft w:val="0"/>
      <w:marRight w:val="0"/>
      <w:marTop w:val="0"/>
      <w:marBottom w:val="0"/>
      <w:divBdr>
        <w:top w:val="none" w:sz="0" w:space="0" w:color="auto"/>
        <w:left w:val="none" w:sz="0" w:space="0" w:color="auto"/>
        <w:bottom w:val="none" w:sz="0" w:space="0" w:color="auto"/>
        <w:right w:val="none" w:sz="0" w:space="0" w:color="auto"/>
      </w:divBdr>
    </w:div>
    <w:div w:id="1025910541">
      <w:bodyDiv w:val="1"/>
      <w:marLeft w:val="0"/>
      <w:marRight w:val="0"/>
      <w:marTop w:val="0"/>
      <w:marBottom w:val="0"/>
      <w:divBdr>
        <w:top w:val="none" w:sz="0" w:space="0" w:color="auto"/>
        <w:left w:val="none" w:sz="0" w:space="0" w:color="auto"/>
        <w:bottom w:val="none" w:sz="0" w:space="0" w:color="auto"/>
        <w:right w:val="none" w:sz="0" w:space="0" w:color="auto"/>
      </w:divBdr>
    </w:div>
    <w:div w:id="1026055928">
      <w:bodyDiv w:val="1"/>
      <w:marLeft w:val="0"/>
      <w:marRight w:val="0"/>
      <w:marTop w:val="0"/>
      <w:marBottom w:val="0"/>
      <w:divBdr>
        <w:top w:val="none" w:sz="0" w:space="0" w:color="auto"/>
        <w:left w:val="none" w:sz="0" w:space="0" w:color="auto"/>
        <w:bottom w:val="none" w:sz="0" w:space="0" w:color="auto"/>
        <w:right w:val="none" w:sz="0" w:space="0" w:color="auto"/>
      </w:divBdr>
    </w:div>
    <w:div w:id="1026056768">
      <w:bodyDiv w:val="1"/>
      <w:marLeft w:val="0"/>
      <w:marRight w:val="0"/>
      <w:marTop w:val="0"/>
      <w:marBottom w:val="0"/>
      <w:divBdr>
        <w:top w:val="none" w:sz="0" w:space="0" w:color="auto"/>
        <w:left w:val="none" w:sz="0" w:space="0" w:color="auto"/>
        <w:bottom w:val="none" w:sz="0" w:space="0" w:color="auto"/>
        <w:right w:val="none" w:sz="0" w:space="0" w:color="auto"/>
      </w:divBdr>
    </w:div>
    <w:div w:id="1026060361">
      <w:bodyDiv w:val="1"/>
      <w:marLeft w:val="0"/>
      <w:marRight w:val="0"/>
      <w:marTop w:val="0"/>
      <w:marBottom w:val="0"/>
      <w:divBdr>
        <w:top w:val="none" w:sz="0" w:space="0" w:color="auto"/>
        <w:left w:val="none" w:sz="0" w:space="0" w:color="auto"/>
        <w:bottom w:val="none" w:sz="0" w:space="0" w:color="auto"/>
        <w:right w:val="none" w:sz="0" w:space="0" w:color="auto"/>
      </w:divBdr>
    </w:div>
    <w:div w:id="1026174125">
      <w:bodyDiv w:val="1"/>
      <w:marLeft w:val="0"/>
      <w:marRight w:val="0"/>
      <w:marTop w:val="0"/>
      <w:marBottom w:val="0"/>
      <w:divBdr>
        <w:top w:val="none" w:sz="0" w:space="0" w:color="auto"/>
        <w:left w:val="none" w:sz="0" w:space="0" w:color="auto"/>
        <w:bottom w:val="none" w:sz="0" w:space="0" w:color="auto"/>
        <w:right w:val="none" w:sz="0" w:space="0" w:color="auto"/>
      </w:divBdr>
    </w:div>
    <w:div w:id="1026252456">
      <w:bodyDiv w:val="1"/>
      <w:marLeft w:val="0"/>
      <w:marRight w:val="0"/>
      <w:marTop w:val="0"/>
      <w:marBottom w:val="0"/>
      <w:divBdr>
        <w:top w:val="none" w:sz="0" w:space="0" w:color="auto"/>
        <w:left w:val="none" w:sz="0" w:space="0" w:color="auto"/>
        <w:bottom w:val="none" w:sz="0" w:space="0" w:color="auto"/>
        <w:right w:val="none" w:sz="0" w:space="0" w:color="auto"/>
      </w:divBdr>
    </w:div>
    <w:div w:id="1026372187">
      <w:bodyDiv w:val="1"/>
      <w:marLeft w:val="0"/>
      <w:marRight w:val="0"/>
      <w:marTop w:val="0"/>
      <w:marBottom w:val="0"/>
      <w:divBdr>
        <w:top w:val="none" w:sz="0" w:space="0" w:color="auto"/>
        <w:left w:val="none" w:sz="0" w:space="0" w:color="auto"/>
        <w:bottom w:val="none" w:sz="0" w:space="0" w:color="auto"/>
        <w:right w:val="none" w:sz="0" w:space="0" w:color="auto"/>
      </w:divBdr>
    </w:div>
    <w:div w:id="1026449030">
      <w:bodyDiv w:val="1"/>
      <w:marLeft w:val="0"/>
      <w:marRight w:val="0"/>
      <w:marTop w:val="0"/>
      <w:marBottom w:val="0"/>
      <w:divBdr>
        <w:top w:val="none" w:sz="0" w:space="0" w:color="auto"/>
        <w:left w:val="none" w:sz="0" w:space="0" w:color="auto"/>
        <w:bottom w:val="none" w:sz="0" w:space="0" w:color="auto"/>
        <w:right w:val="none" w:sz="0" w:space="0" w:color="auto"/>
      </w:divBdr>
    </w:div>
    <w:div w:id="1026517290">
      <w:bodyDiv w:val="1"/>
      <w:marLeft w:val="0"/>
      <w:marRight w:val="0"/>
      <w:marTop w:val="0"/>
      <w:marBottom w:val="0"/>
      <w:divBdr>
        <w:top w:val="none" w:sz="0" w:space="0" w:color="auto"/>
        <w:left w:val="none" w:sz="0" w:space="0" w:color="auto"/>
        <w:bottom w:val="none" w:sz="0" w:space="0" w:color="auto"/>
        <w:right w:val="none" w:sz="0" w:space="0" w:color="auto"/>
      </w:divBdr>
    </w:div>
    <w:div w:id="1026519226">
      <w:bodyDiv w:val="1"/>
      <w:marLeft w:val="0"/>
      <w:marRight w:val="0"/>
      <w:marTop w:val="0"/>
      <w:marBottom w:val="0"/>
      <w:divBdr>
        <w:top w:val="none" w:sz="0" w:space="0" w:color="auto"/>
        <w:left w:val="none" w:sz="0" w:space="0" w:color="auto"/>
        <w:bottom w:val="none" w:sz="0" w:space="0" w:color="auto"/>
        <w:right w:val="none" w:sz="0" w:space="0" w:color="auto"/>
      </w:divBdr>
    </w:div>
    <w:div w:id="1026560570">
      <w:bodyDiv w:val="1"/>
      <w:marLeft w:val="0"/>
      <w:marRight w:val="0"/>
      <w:marTop w:val="0"/>
      <w:marBottom w:val="0"/>
      <w:divBdr>
        <w:top w:val="none" w:sz="0" w:space="0" w:color="auto"/>
        <w:left w:val="none" w:sz="0" w:space="0" w:color="auto"/>
        <w:bottom w:val="none" w:sz="0" w:space="0" w:color="auto"/>
        <w:right w:val="none" w:sz="0" w:space="0" w:color="auto"/>
      </w:divBdr>
    </w:div>
    <w:div w:id="1026640258">
      <w:bodyDiv w:val="1"/>
      <w:marLeft w:val="0"/>
      <w:marRight w:val="0"/>
      <w:marTop w:val="0"/>
      <w:marBottom w:val="0"/>
      <w:divBdr>
        <w:top w:val="none" w:sz="0" w:space="0" w:color="auto"/>
        <w:left w:val="none" w:sz="0" w:space="0" w:color="auto"/>
        <w:bottom w:val="none" w:sz="0" w:space="0" w:color="auto"/>
        <w:right w:val="none" w:sz="0" w:space="0" w:color="auto"/>
      </w:divBdr>
    </w:div>
    <w:div w:id="1026832420">
      <w:bodyDiv w:val="1"/>
      <w:marLeft w:val="0"/>
      <w:marRight w:val="0"/>
      <w:marTop w:val="0"/>
      <w:marBottom w:val="0"/>
      <w:divBdr>
        <w:top w:val="none" w:sz="0" w:space="0" w:color="auto"/>
        <w:left w:val="none" w:sz="0" w:space="0" w:color="auto"/>
        <w:bottom w:val="none" w:sz="0" w:space="0" w:color="auto"/>
        <w:right w:val="none" w:sz="0" w:space="0" w:color="auto"/>
      </w:divBdr>
    </w:div>
    <w:div w:id="1027026490">
      <w:bodyDiv w:val="1"/>
      <w:marLeft w:val="0"/>
      <w:marRight w:val="0"/>
      <w:marTop w:val="0"/>
      <w:marBottom w:val="0"/>
      <w:divBdr>
        <w:top w:val="none" w:sz="0" w:space="0" w:color="auto"/>
        <w:left w:val="none" w:sz="0" w:space="0" w:color="auto"/>
        <w:bottom w:val="none" w:sz="0" w:space="0" w:color="auto"/>
        <w:right w:val="none" w:sz="0" w:space="0" w:color="auto"/>
      </w:divBdr>
    </w:div>
    <w:div w:id="1027175042">
      <w:bodyDiv w:val="1"/>
      <w:marLeft w:val="0"/>
      <w:marRight w:val="0"/>
      <w:marTop w:val="0"/>
      <w:marBottom w:val="0"/>
      <w:divBdr>
        <w:top w:val="none" w:sz="0" w:space="0" w:color="auto"/>
        <w:left w:val="none" w:sz="0" w:space="0" w:color="auto"/>
        <w:bottom w:val="none" w:sz="0" w:space="0" w:color="auto"/>
        <w:right w:val="none" w:sz="0" w:space="0" w:color="auto"/>
      </w:divBdr>
    </w:div>
    <w:div w:id="1027370566">
      <w:bodyDiv w:val="1"/>
      <w:marLeft w:val="0"/>
      <w:marRight w:val="0"/>
      <w:marTop w:val="0"/>
      <w:marBottom w:val="0"/>
      <w:divBdr>
        <w:top w:val="none" w:sz="0" w:space="0" w:color="auto"/>
        <w:left w:val="none" w:sz="0" w:space="0" w:color="auto"/>
        <w:bottom w:val="none" w:sz="0" w:space="0" w:color="auto"/>
        <w:right w:val="none" w:sz="0" w:space="0" w:color="auto"/>
      </w:divBdr>
    </w:div>
    <w:div w:id="1027605749">
      <w:bodyDiv w:val="1"/>
      <w:marLeft w:val="0"/>
      <w:marRight w:val="0"/>
      <w:marTop w:val="0"/>
      <w:marBottom w:val="0"/>
      <w:divBdr>
        <w:top w:val="none" w:sz="0" w:space="0" w:color="auto"/>
        <w:left w:val="none" w:sz="0" w:space="0" w:color="auto"/>
        <w:bottom w:val="none" w:sz="0" w:space="0" w:color="auto"/>
        <w:right w:val="none" w:sz="0" w:space="0" w:color="auto"/>
      </w:divBdr>
    </w:div>
    <w:div w:id="1027633564">
      <w:bodyDiv w:val="1"/>
      <w:marLeft w:val="0"/>
      <w:marRight w:val="0"/>
      <w:marTop w:val="0"/>
      <w:marBottom w:val="0"/>
      <w:divBdr>
        <w:top w:val="none" w:sz="0" w:space="0" w:color="auto"/>
        <w:left w:val="none" w:sz="0" w:space="0" w:color="auto"/>
        <w:bottom w:val="none" w:sz="0" w:space="0" w:color="auto"/>
        <w:right w:val="none" w:sz="0" w:space="0" w:color="auto"/>
      </w:divBdr>
    </w:div>
    <w:div w:id="1027678551">
      <w:bodyDiv w:val="1"/>
      <w:marLeft w:val="0"/>
      <w:marRight w:val="0"/>
      <w:marTop w:val="0"/>
      <w:marBottom w:val="0"/>
      <w:divBdr>
        <w:top w:val="none" w:sz="0" w:space="0" w:color="auto"/>
        <w:left w:val="none" w:sz="0" w:space="0" w:color="auto"/>
        <w:bottom w:val="none" w:sz="0" w:space="0" w:color="auto"/>
        <w:right w:val="none" w:sz="0" w:space="0" w:color="auto"/>
      </w:divBdr>
    </w:div>
    <w:div w:id="1027681059">
      <w:bodyDiv w:val="1"/>
      <w:marLeft w:val="0"/>
      <w:marRight w:val="0"/>
      <w:marTop w:val="0"/>
      <w:marBottom w:val="0"/>
      <w:divBdr>
        <w:top w:val="none" w:sz="0" w:space="0" w:color="auto"/>
        <w:left w:val="none" w:sz="0" w:space="0" w:color="auto"/>
        <w:bottom w:val="none" w:sz="0" w:space="0" w:color="auto"/>
        <w:right w:val="none" w:sz="0" w:space="0" w:color="auto"/>
      </w:divBdr>
    </w:div>
    <w:div w:id="1027827984">
      <w:bodyDiv w:val="1"/>
      <w:marLeft w:val="0"/>
      <w:marRight w:val="0"/>
      <w:marTop w:val="0"/>
      <w:marBottom w:val="0"/>
      <w:divBdr>
        <w:top w:val="none" w:sz="0" w:space="0" w:color="auto"/>
        <w:left w:val="none" w:sz="0" w:space="0" w:color="auto"/>
        <w:bottom w:val="none" w:sz="0" w:space="0" w:color="auto"/>
        <w:right w:val="none" w:sz="0" w:space="0" w:color="auto"/>
      </w:divBdr>
    </w:div>
    <w:div w:id="1027868647">
      <w:bodyDiv w:val="1"/>
      <w:marLeft w:val="0"/>
      <w:marRight w:val="0"/>
      <w:marTop w:val="0"/>
      <w:marBottom w:val="0"/>
      <w:divBdr>
        <w:top w:val="none" w:sz="0" w:space="0" w:color="auto"/>
        <w:left w:val="none" w:sz="0" w:space="0" w:color="auto"/>
        <w:bottom w:val="none" w:sz="0" w:space="0" w:color="auto"/>
        <w:right w:val="none" w:sz="0" w:space="0" w:color="auto"/>
      </w:divBdr>
    </w:div>
    <w:div w:id="1027872048">
      <w:bodyDiv w:val="1"/>
      <w:marLeft w:val="0"/>
      <w:marRight w:val="0"/>
      <w:marTop w:val="0"/>
      <w:marBottom w:val="0"/>
      <w:divBdr>
        <w:top w:val="none" w:sz="0" w:space="0" w:color="auto"/>
        <w:left w:val="none" w:sz="0" w:space="0" w:color="auto"/>
        <w:bottom w:val="none" w:sz="0" w:space="0" w:color="auto"/>
        <w:right w:val="none" w:sz="0" w:space="0" w:color="auto"/>
      </w:divBdr>
    </w:div>
    <w:div w:id="1027946658">
      <w:bodyDiv w:val="1"/>
      <w:marLeft w:val="0"/>
      <w:marRight w:val="0"/>
      <w:marTop w:val="0"/>
      <w:marBottom w:val="0"/>
      <w:divBdr>
        <w:top w:val="none" w:sz="0" w:space="0" w:color="auto"/>
        <w:left w:val="none" w:sz="0" w:space="0" w:color="auto"/>
        <w:bottom w:val="none" w:sz="0" w:space="0" w:color="auto"/>
        <w:right w:val="none" w:sz="0" w:space="0" w:color="auto"/>
      </w:divBdr>
    </w:div>
    <w:div w:id="1027950793">
      <w:bodyDiv w:val="1"/>
      <w:marLeft w:val="0"/>
      <w:marRight w:val="0"/>
      <w:marTop w:val="0"/>
      <w:marBottom w:val="0"/>
      <w:divBdr>
        <w:top w:val="none" w:sz="0" w:space="0" w:color="auto"/>
        <w:left w:val="none" w:sz="0" w:space="0" w:color="auto"/>
        <w:bottom w:val="none" w:sz="0" w:space="0" w:color="auto"/>
        <w:right w:val="none" w:sz="0" w:space="0" w:color="auto"/>
      </w:divBdr>
    </w:div>
    <w:div w:id="1028067357">
      <w:bodyDiv w:val="1"/>
      <w:marLeft w:val="0"/>
      <w:marRight w:val="0"/>
      <w:marTop w:val="0"/>
      <w:marBottom w:val="0"/>
      <w:divBdr>
        <w:top w:val="none" w:sz="0" w:space="0" w:color="auto"/>
        <w:left w:val="none" w:sz="0" w:space="0" w:color="auto"/>
        <w:bottom w:val="none" w:sz="0" w:space="0" w:color="auto"/>
        <w:right w:val="none" w:sz="0" w:space="0" w:color="auto"/>
      </w:divBdr>
    </w:div>
    <w:div w:id="1028215520">
      <w:bodyDiv w:val="1"/>
      <w:marLeft w:val="0"/>
      <w:marRight w:val="0"/>
      <w:marTop w:val="0"/>
      <w:marBottom w:val="0"/>
      <w:divBdr>
        <w:top w:val="none" w:sz="0" w:space="0" w:color="auto"/>
        <w:left w:val="none" w:sz="0" w:space="0" w:color="auto"/>
        <w:bottom w:val="none" w:sz="0" w:space="0" w:color="auto"/>
        <w:right w:val="none" w:sz="0" w:space="0" w:color="auto"/>
      </w:divBdr>
    </w:div>
    <w:div w:id="1028334427">
      <w:bodyDiv w:val="1"/>
      <w:marLeft w:val="0"/>
      <w:marRight w:val="0"/>
      <w:marTop w:val="0"/>
      <w:marBottom w:val="0"/>
      <w:divBdr>
        <w:top w:val="none" w:sz="0" w:space="0" w:color="auto"/>
        <w:left w:val="none" w:sz="0" w:space="0" w:color="auto"/>
        <w:bottom w:val="none" w:sz="0" w:space="0" w:color="auto"/>
        <w:right w:val="none" w:sz="0" w:space="0" w:color="auto"/>
      </w:divBdr>
    </w:div>
    <w:div w:id="1028488334">
      <w:bodyDiv w:val="1"/>
      <w:marLeft w:val="0"/>
      <w:marRight w:val="0"/>
      <w:marTop w:val="0"/>
      <w:marBottom w:val="0"/>
      <w:divBdr>
        <w:top w:val="none" w:sz="0" w:space="0" w:color="auto"/>
        <w:left w:val="none" w:sz="0" w:space="0" w:color="auto"/>
        <w:bottom w:val="none" w:sz="0" w:space="0" w:color="auto"/>
        <w:right w:val="none" w:sz="0" w:space="0" w:color="auto"/>
      </w:divBdr>
    </w:div>
    <w:div w:id="1028530501">
      <w:bodyDiv w:val="1"/>
      <w:marLeft w:val="0"/>
      <w:marRight w:val="0"/>
      <w:marTop w:val="0"/>
      <w:marBottom w:val="0"/>
      <w:divBdr>
        <w:top w:val="none" w:sz="0" w:space="0" w:color="auto"/>
        <w:left w:val="none" w:sz="0" w:space="0" w:color="auto"/>
        <w:bottom w:val="none" w:sz="0" w:space="0" w:color="auto"/>
        <w:right w:val="none" w:sz="0" w:space="0" w:color="auto"/>
      </w:divBdr>
    </w:div>
    <w:div w:id="1028604208">
      <w:bodyDiv w:val="1"/>
      <w:marLeft w:val="0"/>
      <w:marRight w:val="0"/>
      <w:marTop w:val="0"/>
      <w:marBottom w:val="0"/>
      <w:divBdr>
        <w:top w:val="none" w:sz="0" w:space="0" w:color="auto"/>
        <w:left w:val="none" w:sz="0" w:space="0" w:color="auto"/>
        <w:bottom w:val="none" w:sz="0" w:space="0" w:color="auto"/>
        <w:right w:val="none" w:sz="0" w:space="0" w:color="auto"/>
      </w:divBdr>
    </w:div>
    <w:div w:id="1028677763">
      <w:bodyDiv w:val="1"/>
      <w:marLeft w:val="0"/>
      <w:marRight w:val="0"/>
      <w:marTop w:val="0"/>
      <w:marBottom w:val="0"/>
      <w:divBdr>
        <w:top w:val="none" w:sz="0" w:space="0" w:color="auto"/>
        <w:left w:val="none" w:sz="0" w:space="0" w:color="auto"/>
        <w:bottom w:val="none" w:sz="0" w:space="0" w:color="auto"/>
        <w:right w:val="none" w:sz="0" w:space="0" w:color="auto"/>
      </w:divBdr>
    </w:div>
    <w:div w:id="1028750852">
      <w:bodyDiv w:val="1"/>
      <w:marLeft w:val="0"/>
      <w:marRight w:val="0"/>
      <w:marTop w:val="0"/>
      <w:marBottom w:val="0"/>
      <w:divBdr>
        <w:top w:val="none" w:sz="0" w:space="0" w:color="auto"/>
        <w:left w:val="none" w:sz="0" w:space="0" w:color="auto"/>
        <w:bottom w:val="none" w:sz="0" w:space="0" w:color="auto"/>
        <w:right w:val="none" w:sz="0" w:space="0" w:color="auto"/>
      </w:divBdr>
    </w:div>
    <w:div w:id="1028798510">
      <w:bodyDiv w:val="1"/>
      <w:marLeft w:val="0"/>
      <w:marRight w:val="0"/>
      <w:marTop w:val="0"/>
      <w:marBottom w:val="0"/>
      <w:divBdr>
        <w:top w:val="none" w:sz="0" w:space="0" w:color="auto"/>
        <w:left w:val="none" w:sz="0" w:space="0" w:color="auto"/>
        <w:bottom w:val="none" w:sz="0" w:space="0" w:color="auto"/>
        <w:right w:val="none" w:sz="0" w:space="0" w:color="auto"/>
      </w:divBdr>
    </w:div>
    <w:div w:id="1028874305">
      <w:bodyDiv w:val="1"/>
      <w:marLeft w:val="0"/>
      <w:marRight w:val="0"/>
      <w:marTop w:val="0"/>
      <w:marBottom w:val="0"/>
      <w:divBdr>
        <w:top w:val="none" w:sz="0" w:space="0" w:color="auto"/>
        <w:left w:val="none" w:sz="0" w:space="0" w:color="auto"/>
        <w:bottom w:val="none" w:sz="0" w:space="0" w:color="auto"/>
        <w:right w:val="none" w:sz="0" w:space="0" w:color="auto"/>
      </w:divBdr>
    </w:div>
    <w:div w:id="1028874905">
      <w:bodyDiv w:val="1"/>
      <w:marLeft w:val="0"/>
      <w:marRight w:val="0"/>
      <w:marTop w:val="0"/>
      <w:marBottom w:val="0"/>
      <w:divBdr>
        <w:top w:val="none" w:sz="0" w:space="0" w:color="auto"/>
        <w:left w:val="none" w:sz="0" w:space="0" w:color="auto"/>
        <w:bottom w:val="none" w:sz="0" w:space="0" w:color="auto"/>
        <w:right w:val="none" w:sz="0" w:space="0" w:color="auto"/>
      </w:divBdr>
    </w:div>
    <w:div w:id="1028991231">
      <w:bodyDiv w:val="1"/>
      <w:marLeft w:val="0"/>
      <w:marRight w:val="0"/>
      <w:marTop w:val="0"/>
      <w:marBottom w:val="0"/>
      <w:divBdr>
        <w:top w:val="none" w:sz="0" w:space="0" w:color="auto"/>
        <w:left w:val="none" w:sz="0" w:space="0" w:color="auto"/>
        <w:bottom w:val="none" w:sz="0" w:space="0" w:color="auto"/>
        <w:right w:val="none" w:sz="0" w:space="0" w:color="auto"/>
      </w:divBdr>
    </w:div>
    <w:div w:id="1029111926">
      <w:bodyDiv w:val="1"/>
      <w:marLeft w:val="0"/>
      <w:marRight w:val="0"/>
      <w:marTop w:val="0"/>
      <w:marBottom w:val="0"/>
      <w:divBdr>
        <w:top w:val="none" w:sz="0" w:space="0" w:color="auto"/>
        <w:left w:val="none" w:sz="0" w:space="0" w:color="auto"/>
        <w:bottom w:val="none" w:sz="0" w:space="0" w:color="auto"/>
        <w:right w:val="none" w:sz="0" w:space="0" w:color="auto"/>
      </w:divBdr>
    </w:div>
    <w:div w:id="1029141954">
      <w:bodyDiv w:val="1"/>
      <w:marLeft w:val="0"/>
      <w:marRight w:val="0"/>
      <w:marTop w:val="0"/>
      <w:marBottom w:val="0"/>
      <w:divBdr>
        <w:top w:val="none" w:sz="0" w:space="0" w:color="auto"/>
        <w:left w:val="none" w:sz="0" w:space="0" w:color="auto"/>
        <w:bottom w:val="none" w:sz="0" w:space="0" w:color="auto"/>
        <w:right w:val="none" w:sz="0" w:space="0" w:color="auto"/>
      </w:divBdr>
    </w:div>
    <w:div w:id="1029185832">
      <w:bodyDiv w:val="1"/>
      <w:marLeft w:val="0"/>
      <w:marRight w:val="0"/>
      <w:marTop w:val="0"/>
      <w:marBottom w:val="0"/>
      <w:divBdr>
        <w:top w:val="none" w:sz="0" w:space="0" w:color="auto"/>
        <w:left w:val="none" w:sz="0" w:space="0" w:color="auto"/>
        <w:bottom w:val="none" w:sz="0" w:space="0" w:color="auto"/>
        <w:right w:val="none" w:sz="0" w:space="0" w:color="auto"/>
      </w:divBdr>
    </w:div>
    <w:div w:id="1029452517">
      <w:bodyDiv w:val="1"/>
      <w:marLeft w:val="0"/>
      <w:marRight w:val="0"/>
      <w:marTop w:val="0"/>
      <w:marBottom w:val="0"/>
      <w:divBdr>
        <w:top w:val="none" w:sz="0" w:space="0" w:color="auto"/>
        <w:left w:val="none" w:sz="0" w:space="0" w:color="auto"/>
        <w:bottom w:val="none" w:sz="0" w:space="0" w:color="auto"/>
        <w:right w:val="none" w:sz="0" w:space="0" w:color="auto"/>
      </w:divBdr>
    </w:div>
    <w:div w:id="1029525886">
      <w:bodyDiv w:val="1"/>
      <w:marLeft w:val="0"/>
      <w:marRight w:val="0"/>
      <w:marTop w:val="0"/>
      <w:marBottom w:val="0"/>
      <w:divBdr>
        <w:top w:val="none" w:sz="0" w:space="0" w:color="auto"/>
        <w:left w:val="none" w:sz="0" w:space="0" w:color="auto"/>
        <w:bottom w:val="none" w:sz="0" w:space="0" w:color="auto"/>
        <w:right w:val="none" w:sz="0" w:space="0" w:color="auto"/>
      </w:divBdr>
    </w:div>
    <w:div w:id="1029530825">
      <w:bodyDiv w:val="1"/>
      <w:marLeft w:val="0"/>
      <w:marRight w:val="0"/>
      <w:marTop w:val="0"/>
      <w:marBottom w:val="0"/>
      <w:divBdr>
        <w:top w:val="none" w:sz="0" w:space="0" w:color="auto"/>
        <w:left w:val="none" w:sz="0" w:space="0" w:color="auto"/>
        <w:bottom w:val="none" w:sz="0" w:space="0" w:color="auto"/>
        <w:right w:val="none" w:sz="0" w:space="0" w:color="auto"/>
      </w:divBdr>
    </w:div>
    <w:div w:id="1029573962">
      <w:bodyDiv w:val="1"/>
      <w:marLeft w:val="0"/>
      <w:marRight w:val="0"/>
      <w:marTop w:val="0"/>
      <w:marBottom w:val="0"/>
      <w:divBdr>
        <w:top w:val="none" w:sz="0" w:space="0" w:color="auto"/>
        <w:left w:val="none" w:sz="0" w:space="0" w:color="auto"/>
        <w:bottom w:val="none" w:sz="0" w:space="0" w:color="auto"/>
        <w:right w:val="none" w:sz="0" w:space="0" w:color="auto"/>
      </w:divBdr>
    </w:div>
    <w:div w:id="1029646799">
      <w:bodyDiv w:val="1"/>
      <w:marLeft w:val="0"/>
      <w:marRight w:val="0"/>
      <w:marTop w:val="0"/>
      <w:marBottom w:val="0"/>
      <w:divBdr>
        <w:top w:val="none" w:sz="0" w:space="0" w:color="auto"/>
        <w:left w:val="none" w:sz="0" w:space="0" w:color="auto"/>
        <w:bottom w:val="none" w:sz="0" w:space="0" w:color="auto"/>
        <w:right w:val="none" w:sz="0" w:space="0" w:color="auto"/>
      </w:divBdr>
    </w:div>
    <w:div w:id="1029647249">
      <w:bodyDiv w:val="1"/>
      <w:marLeft w:val="0"/>
      <w:marRight w:val="0"/>
      <w:marTop w:val="0"/>
      <w:marBottom w:val="0"/>
      <w:divBdr>
        <w:top w:val="none" w:sz="0" w:space="0" w:color="auto"/>
        <w:left w:val="none" w:sz="0" w:space="0" w:color="auto"/>
        <w:bottom w:val="none" w:sz="0" w:space="0" w:color="auto"/>
        <w:right w:val="none" w:sz="0" w:space="0" w:color="auto"/>
      </w:divBdr>
    </w:div>
    <w:div w:id="1029917840">
      <w:bodyDiv w:val="1"/>
      <w:marLeft w:val="0"/>
      <w:marRight w:val="0"/>
      <w:marTop w:val="0"/>
      <w:marBottom w:val="0"/>
      <w:divBdr>
        <w:top w:val="none" w:sz="0" w:space="0" w:color="auto"/>
        <w:left w:val="none" w:sz="0" w:space="0" w:color="auto"/>
        <w:bottom w:val="none" w:sz="0" w:space="0" w:color="auto"/>
        <w:right w:val="none" w:sz="0" w:space="0" w:color="auto"/>
      </w:divBdr>
    </w:div>
    <w:div w:id="1030061624">
      <w:bodyDiv w:val="1"/>
      <w:marLeft w:val="0"/>
      <w:marRight w:val="0"/>
      <w:marTop w:val="0"/>
      <w:marBottom w:val="0"/>
      <w:divBdr>
        <w:top w:val="none" w:sz="0" w:space="0" w:color="auto"/>
        <w:left w:val="none" w:sz="0" w:space="0" w:color="auto"/>
        <w:bottom w:val="none" w:sz="0" w:space="0" w:color="auto"/>
        <w:right w:val="none" w:sz="0" w:space="0" w:color="auto"/>
      </w:divBdr>
    </w:div>
    <w:div w:id="1030105817">
      <w:bodyDiv w:val="1"/>
      <w:marLeft w:val="0"/>
      <w:marRight w:val="0"/>
      <w:marTop w:val="0"/>
      <w:marBottom w:val="0"/>
      <w:divBdr>
        <w:top w:val="none" w:sz="0" w:space="0" w:color="auto"/>
        <w:left w:val="none" w:sz="0" w:space="0" w:color="auto"/>
        <w:bottom w:val="none" w:sz="0" w:space="0" w:color="auto"/>
        <w:right w:val="none" w:sz="0" w:space="0" w:color="auto"/>
      </w:divBdr>
    </w:div>
    <w:div w:id="1030108782">
      <w:bodyDiv w:val="1"/>
      <w:marLeft w:val="0"/>
      <w:marRight w:val="0"/>
      <w:marTop w:val="0"/>
      <w:marBottom w:val="0"/>
      <w:divBdr>
        <w:top w:val="none" w:sz="0" w:space="0" w:color="auto"/>
        <w:left w:val="none" w:sz="0" w:space="0" w:color="auto"/>
        <w:bottom w:val="none" w:sz="0" w:space="0" w:color="auto"/>
        <w:right w:val="none" w:sz="0" w:space="0" w:color="auto"/>
      </w:divBdr>
    </w:div>
    <w:div w:id="1030304659">
      <w:bodyDiv w:val="1"/>
      <w:marLeft w:val="0"/>
      <w:marRight w:val="0"/>
      <w:marTop w:val="0"/>
      <w:marBottom w:val="0"/>
      <w:divBdr>
        <w:top w:val="none" w:sz="0" w:space="0" w:color="auto"/>
        <w:left w:val="none" w:sz="0" w:space="0" w:color="auto"/>
        <w:bottom w:val="none" w:sz="0" w:space="0" w:color="auto"/>
        <w:right w:val="none" w:sz="0" w:space="0" w:color="auto"/>
      </w:divBdr>
    </w:div>
    <w:div w:id="1030376130">
      <w:bodyDiv w:val="1"/>
      <w:marLeft w:val="0"/>
      <w:marRight w:val="0"/>
      <w:marTop w:val="0"/>
      <w:marBottom w:val="0"/>
      <w:divBdr>
        <w:top w:val="none" w:sz="0" w:space="0" w:color="auto"/>
        <w:left w:val="none" w:sz="0" w:space="0" w:color="auto"/>
        <w:bottom w:val="none" w:sz="0" w:space="0" w:color="auto"/>
        <w:right w:val="none" w:sz="0" w:space="0" w:color="auto"/>
      </w:divBdr>
    </w:div>
    <w:div w:id="1030490016">
      <w:bodyDiv w:val="1"/>
      <w:marLeft w:val="0"/>
      <w:marRight w:val="0"/>
      <w:marTop w:val="0"/>
      <w:marBottom w:val="0"/>
      <w:divBdr>
        <w:top w:val="none" w:sz="0" w:space="0" w:color="auto"/>
        <w:left w:val="none" w:sz="0" w:space="0" w:color="auto"/>
        <w:bottom w:val="none" w:sz="0" w:space="0" w:color="auto"/>
        <w:right w:val="none" w:sz="0" w:space="0" w:color="auto"/>
      </w:divBdr>
    </w:div>
    <w:div w:id="1030569539">
      <w:bodyDiv w:val="1"/>
      <w:marLeft w:val="0"/>
      <w:marRight w:val="0"/>
      <w:marTop w:val="0"/>
      <w:marBottom w:val="0"/>
      <w:divBdr>
        <w:top w:val="none" w:sz="0" w:space="0" w:color="auto"/>
        <w:left w:val="none" w:sz="0" w:space="0" w:color="auto"/>
        <w:bottom w:val="none" w:sz="0" w:space="0" w:color="auto"/>
        <w:right w:val="none" w:sz="0" w:space="0" w:color="auto"/>
      </w:divBdr>
    </w:div>
    <w:div w:id="1030759558">
      <w:bodyDiv w:val="1"/>
      <w:marLeft w:val="0"/>
      <w:marRight w:val="0"/>
      <w:marTop w:val="0"/>
      <w:marBottom w:val="0"/>
      <w:divBdr>
        <w:top w:val="none" w:sz="0" w:space="0" w:color="auto"/>
        <w:left w:val="none" w:sz="0" w:space="0" w:color="auto"/>
        <w:bottom w:val="none" w:sz="0" w:space="0" w:color="auto"/>
        <w:right w:val="none" w:sz="0" w:space="0" w:color="auto"/>
      </w:divBdr>
    </w:div>
    <w:div w:id="1030909009">
      <w:bodyDiv w:val="1"/>
      <w:marLeft w:val="0"/>
      <w:marRight w:val="0"/>
      <w:marTop w:val="0"/>
      <w:marBottom w:val="0"/>
      <w:divBdr>
        <w:top w:val="none" w:sz="0" w:space="0" w:color="auto"/>
        <w:left w:val="none" w:sz="0" w:space="0" w:color="auto"/>
        <w:bottom w:val="none" w:sz="0" w:space="0" w:color="auto"/>
        <w:right w:val="none" w:sz="0" w:space="0" w:color="auto"/>
      </w:divBdr>
    </w:div>
    <w:div w:id="1030911933">
      <w:bodyDiv w:val="1"/>
      <w:marLeft w:val="0"/>
      <w:marRight w:val="0"/>
      <w:marTop w:val="0"/>
      <w:marBottom w:val="0"/>
      <w:divBdr>
        <w:top w:val="none" w:sz="0" w:space="0" w:color="auto"/>
        <w:left w:val="none" w:sz="0" w:space="0" w:color="auto"/>
        <w:bottom w:val="none" w:sz="0" w:space="0" w:color="auto"/>
        <w:right w:val="none" w:sz="0" w:space="0" w:color="auto"/>
      </w:divBdr>
    </w:div>
    <w:div w:id="1031032468">
      <w:bodyDiv w:val="1"/>
      <w:marLeft w:val="0"/>
      <w:marRight w:val="0"/>
      <w:marTop w:val="0"/>
      <w:marBottom w:val="0"/>
      <w:divBdr>
        <w:top w:val="none" w:sz="0" w:space="0" w:color="auto"/>
        <w:left w:val="none" w:sz="0" w:space="0" w:color="auto"/>
        <w:bottom w:val="none" w:sz="0" w:space="0" w:color="auto"/>
        <w:right w:val="none" w:sz="0" w:space="0" w:color="auto"/>
      </w:divBdr>
    </w:div>
    <w:div w:id="1031104848">
      <w:bodyDiv w:val="1"/>
      <w:marLeft w:val="0"/>
      <w:marRight w:val="0"/>
      <w:marTop w:val="0"/>
      <w:marBottom w:val="0"/>
      <w:divBdr>
        <w:top w:val="none" w:sz="0" w:space="0" w:color="auto"/>
        <w:left w:val="none" w:sz="0" w:space="0" w:color="auto"/>
        <w:bottom w:val="none" w:sz="0" w:space="0" w:color="auto"/>
        <w:right w:val="none" w:sz="0" w:space="0" w:color="auto"/>
      </w:divBdr>
    </w:div>
    <w:div w:id="1031228728">
      <w:bodyDiv w:val="1"/>
      <w:marLeft w:val="0"/>
      <w:marRight w:val="0"/>
      <w:marTop w:val="0"/>
      <w:marBottom w:val="0"/>
      <w:divBdr>
        <w:top w:val="none" w:sz="0" w:space="0" w:color="auto"/>
        <w:left w:val="none" w:sz="0" w:space="0" w:color="auto"/>
        <w:bottom w:val="none" w:sz="0" w:space="0" w:color="auto"/>
        <w:right w:val="none" w:sz="0" w:space="0" w:color="auto"/>
      </w:divBdr>
    </w:div>
    <w:div w:id="1031340248">
      <w:bodyDiv w:val="1"/>
      <w:marLeft w:val="0"/>
      <w:marRight w:val="0"/>
      <w:marTop w:val="0"/>
      <w:marBottom w:val="0"/>
      <w:divBdr>
        <w:top w:val="none" w:sz="0" w:space="0" w:color="auto"/>
        <w:left w:val="none" w:sz="0" w:space="0" w:color="auto"/>
        <w:bottom w:val="none" w:sz="0" w:space="0" w:color="auto"/>
        <w:right w:val="none" w:sz="0" w:space="0" w:color="auto"/>
      </w:divBdr>
    </w:div>
    <w:div w:id="1031420685">
      <w:bodyDiv w:val="1"/>
      <w:marLeft w:val="0"/>
      <w:marRight w:val="0"/>
      <w:marTop w:val="0"/>
      <w:marBottom w:val="0"/>
      <w:divBdr>
        <w:top w:val="none" w:sz="0" w:space="0" w:color="auto"/>
        <w:left w:val="none" w:sz="0" w:space="0" w:color="auto"/>
        <w:bottom w:val="none" w:sz="0" w:space="0" w:color="auto"/>
        <w:right w:val="none" w:sz="0" w:space="0" w:color="auto"/>
      </w:divBdr>
    </w:div>
    <w:div w:id="1031491340">
      <w:bodyDiv w:val="1"/>
      <w:marLeft w:val="0"/>
      <w:marRight w:val="0"/>
      <w:marTop w:val="0"/>
      <w:marBottom w:val="0"/>
      <w:divBdr>
        <w:top w:val="none" w:sz="0" w:space="0" w:color="auto"/>
        <w:left w:val="none" w:sz="0" w:space="0" w:color="auto"/>
        <w:bottom w:val="none" w:sz="0" w:space="0" w:color="auto"/>
        <w:right w:val="none" w:sz="0" w:space="0" w:color="auto"/>
      </w:divBdr>
    </w:div>
    <w:div w:id="1031539185">
      <w:bodyDiv w:val="1"/>
      <w:marLeft w:val="0"/>
      <w:marRight w:val="0"/>
      <w:marTop w:val="0"/>
      <w:marBottom w:val="0"/>
      <w:divBdr>
        <w:top w:val="none" w:sz="0" w:space="0" w:color="auto"/>
        <w:left w:val="none" w:sz="0" w:space="0" w:color="auto"/>
        <w:bottom w:val="none" w:sz="0" w:space="0" w:color="auto"/>
        <w:right w:val="none" w:sz="0" w:space="0" w:color="auto"/>
      </w:divBdr>
    </w:div>
    <w:div w:id="1031691622">
      <w:bodyDiv w:val="1"/>
      <w:marLeft w:val="0"/>
      <w:marRight w:val="0"/>
      <w:marTop w:val="0"/>
      <w:marBottom w:val="0"/>
      <w:divBdr>
        <w:top w:val="none" w:sz="0" w:space="0" w:color="auto"/>
        <w:left w:val="none" w:sz="0" w:space="0" w:color="auto"/>
        <w:bottom w:val="none" w:sz="0" w:space="0" w:color="auto"/>
        <w:right w:val="none" w:sz="0" w:space="0" w:color="auto"/>
      </w:divBdr>
    </w:div>
    <w:div w:id="1031758317">
      <w:bodyDiv w:val="1"/>
      <w:marLeft w:val="0"/>
      <w:marRight w:val="0"/>
      <w:marTop w:val="0"/>
      <w:marBottom w:val="0"/>
      <w:divBdr>
        <w:top w:val="none" w:sz="0" w:space="0" w:color="auto"/>
        <w:left w:val="none" w:sz="0" w:space="0" w:color="auto"/>
        <w:bottom w:val="none" w:sz="0" w:space="0" w:color="auto"/>
        <w:right w:val="none" w:sz="0" w:space="0" w:color="auto"/>
      </w:divBdr>
    </w:div>
    <w:div w:id="1031880582">
      <w:bodyDiv w:val="1"/>
      <w:marLeft w:val="0"/>
      <w:marRight w:val="0"/>
      <w:marTop w:val="0"/>
      <w:marBottom w:val="0"/>
      <w:divBdr>
        <w:top w:val="none" w:sz="0" w:space="0" w:color="auto"/>
        <w:left w:val="none" w:sz="0" w:space="0" w:color="auto"/>
        <w:bottom w:val="none" w:sz="0" w:space="0" w:color="auto"/>
        <w:right w:val="none" w:sz="0" w:space="0" w:color="auto"/>
      </w:divBdr>
    </w:div>
    <w:div w:id="1032073821">
      <w:bodyDiv w:val="1"/>
      <w:marLeft w:val="0"/>
      <w:marRight w:val="0"/>
      <w:marTop w:val="0"/>
      <w:marBottom w:val="0"/>
      <w:divBdr>
        <w:top w:val="none" w:sz="0" w:space="0" w:color="auto"/>
        <w:left w:val="none" w:sz="0" w:space="0" w:color="auto"/>
        <w:bottom w:val="none" w:sz="0" w:space="0" w:color="auto"/>
        <w:right w:val="none" w:sz="0" w:space="0" w:color="auto"/>
      </w:divBdr>
    </w:div>
    <w:div w:id="1032340885">
      <w:bodyDiv w:val="1"/>
      <w:marLeft w:val="0"/>
      <w:marRight w:val="0"/>
      <w:marTop w:val="0"/>
      <w:marBottom w:val="0"/>
      <w:divBdr>
        <w:top w:val="none" w:sz="0" w:space="0" w:color="auto"/>
        <w:left w:val="none" w:sz="0" w:space="0" w:color="auto"/>
        <w:bottom w:val="none" w:sz="0" w:space="0" w:color="auto"/>
        <w:right w:val="none" w:sz="0" w:space="0" w:color="auto"/>
      </w:divBdr>
    </w:div>
    <w:div w:id="1032389665">
      <w:bodyDiv w:val="1"/>
      <w:marLeft w:val="0"/>
      <w:marRight w:val="0"/>
      <w:marTop w:val="0"/>
      <w:marBottom w:val="0"/>
      <w:divBdr>
        <w:top w:val="none" w:sz="0" w:space="0" w:color="auto"/>
        <w:left w:val="none" w:sz="0" w:space="0" w:color="auto"/>
        <w:bottom w:val="none" w:sz="0" w:space="0" w:color="auto"/>
        <w:right w:val="none" w:sz="0" w:space="0" w:color="auto"/>
      </w:divBdr>
    </w:div>
    <w:div w:id="1032458282">
      <w:bodyDiv w:val="1"/>
      <w:marLeft w:val="0"/>
      <w:marRight w:val="0"/>
      <w:marTop w:val="0"/>
      <w:marBottom w:val="0"/>
      <w:divBdr>
        <w:top w:val="none" w:sz="0" w:space="0" w:color="auto"/>
        <w:left w:val="none" w:sz="0" w:space="0" w:color="auto"/>
        <w:bottom w:val="none" w:sz="0" w:space="0" w:color="auto"/>
        <w:right w:val="none" w:sz="0" w:space="0" w:color="auto"/>
      </w:divBdr>
    </w:div>
    <w:div w:id="1032460981">
      <w:bodyDiv w:val="1"/>
      <w:marLeft w:val="0"/>
      <w:marRight w:val="0"/>
      <w:marTop w:val="0"/>
      <w:marBottom w:val="0"/>
      <w:divBdr>
        <w:top w:val="none" w:sz="0" w:space="0" w:color="auto"/>
        <w:left w:val="none" w:sz="0" w:space="0" w:color="auto"/>
        <w:bottom w:val="none" w:sz="0" w:space="0" w:color="auto"/>
        <w:right w:val="none" w:sz="0" w:space="0" w:color="auto"/>
      </w:divBdr>
    </w:div>
    <w:div w:id="1032464073">
      <w:bodyDiv w:val="1"/>
      <w:marLeft w:val="0"/>
      <w:marRight w:val="0"/>
      <w:marTop w:val="0"/>
      <w:marBottom w:val="0"/>
      <w:divBdr>
        <w:top w:val="none" w:sz="0" w:space="0" w:color="auto"/>
        <w:left w:val="none" w:sz="0" w:space="0" w:color="auto"/>
        <w:bottom w:val="none" w:sz="0" w:space="0" w:color="auto"/>
        <w:right w:val="none" w:sz="0" w:space="0" w:color="auto"/>
      </w:divBdr>
    </w:div>
    <w:div w:id="1032464270">
      <w:bodyDiv w:val="1"/>
      <w:marLeft w:val="0"/>
      <w:marRight w:val="0"/>
      <w:marTop w:val="0"/>
      <w:marBottom w:val="0"/>
      <w:divBdr>
        <w:top w:val="none" w:sz="0" w:space="0" w:color="auto"/>
        <w:left w:val="none" w:sz="0" w:space="0" w:color="auto"/>
        <w:bottom w:val="none" w:sz="0" w:space="0" w:color="auto"/>
        <w:right w:val="none" w:sz="0" w:space="0" w:color="auto"/>
      </w:divBdr>
    </w:div>
    <w:div w:id="1032656333">
      <w:bodyDiv w:val="1"/>
      <w:marLeft w:val="0"/>
      <w:marRight w:val="0"/>
      <w:marTop w:val="0"/>
      <w:marBottom w:val="0"/>
      <w:divBdr>
        <w:top w:val="none" w:sz="0" w:space="0" w:color="auto"/>
        <w:left w:val="none" w:sz="0" w:space="0" w:color="auto"/>
        <w:bottom w:val="none" w:sz="0" w:space="0" w:color="auto"/>
        <w:right w:val="none" w:sz="0" w:space="0" w:color="auto"/>
      </w:divBdr>
    </w:div>
    <w:div w:id="1032725535">
      <w:bodyDiv w:val="1"/>
      <w:marLeft w:val="0"/>
      <w:marRight w:val="0"/>
      <w:marTop w:val="0"/>
      <w:marBottom w:val="0"/>
      <w:divBdr>
        <w:top w:val="none" w:sz="0" w:space="0" w:color="auto"/>
        <w:left w:val="none" w:sz="0" w:space="0" w:color="auto"/>
        <w:bottom w:val="none" w:sz="0" w:space="0" w:color="auto"/>
        <w:right w:val="none" w:sz="0" w:space="0" w:color="auto"/>
      </w:divBdr>
    </w:div>
    <w:div w:id="1032849635">
      <w:bodyDiv w:val="1"/>
      <w:marLeft w:val="0"/>
      <w:marRight w:val="0"/>
      <w:marTop w:val="0"/>
      <w:marBottom w:val="0"/>
      <w:divBdr>
        <w:top w:val="none" w:sz="0" w:space="0" w:color="auto"/>
        <w:left w:val="none" w:sz="0" w:space="0" w:color="auto"/>
        <w:bottom w:val="none" w:sz="0" w:space="0" w:color="auto"/>
        <w:right w:val="none" w:sz="0" w:space="0" w:color="auto"/>
      </w:divBdr>
    </w:div>
    <w:div w:id="1032874896">
      <w:bodyDiv w:val="1"/>
      <w:marLeft w:val="0"/>
      <w:marRight w:val="0"/>
      <w:marTop w:val="0"/>
      <w:marBottom w:val="0"/>
      <w:divBdr>
        <w:top w:val="none" w:sz="0" w:space="0" w:color="auto"/>
        <w:left w:val="none" w:sz="0" w:space="0" w:color="auto"/>
        <w:bottom w:val="none" w:sz="0" w:space="0" w:color="auto"/>
        <w:right w:val="none" w:sz="0" w:space="0" w:color="auto"/>
      </w:divBdr>
    </w:div>
    <w:div w:id="1033002245">
      <w:bodyDiv w:val="1"/>
      <w:marLeft w:val="0"/>
      <w:marRight w:val="0"/>
      <w:marTop w:val="0"/>
      <w:marBottom w:val="0"/>
      <w:divBdr>
        <w:top w:val="none" w:sz="0" w:space="0" w:color="auto"/>
        <w:left w:val="none" w:sz="0" w:space="0" w:color="auto"/>
        <w:bottom w:val="none" w:sz="0" w:space="0" w:color="auto"/>
        <w:right w:val="none" w:sz="0" w:space="0" w:color="auto"/>
      </w:divBdr>
    </w:div>
    <w:div w:id="1033068838">
      <w:bodyDiv w:val="1"/>
      <w:marLeft w:val="0"/>
      <w:marRight w:val="0"/>
      <w:marTop w:val="0"/>
      <w:marBottom w:val="0"/>
      <w:divBdr>
        <w:top w:val="none" w:sz="0" w:space="0" w:color="auto"/>
        <w:left w:val="none" w:sz="0" w:space="0" w:color="auto"/>
        <w:bottom w:val="none" w:sz="0" w:space="0" w:color="auto"/>
        <w:right w:val="none" w:sz="0" w:space="0" w:color="auto"/>
      </w:divBdr>
    </w:div>
    <w:div w:id="1033069805">
      <w:bodyDiv w:val="1"/>
      <w:marLeft w:val="0"/>
      <w:marRight w:val="0"/>
      <w:marTop w:val="0"/>
      <w:marBottom w:val="0"/>
      <w:divBdr>
        <w:top w:val="none" w:sz="0" w:space="0" w:color="auto"/>
        <w:left w:val="none" w:sz="0" w:space="0" w:color="auto"/>
        <w:bottom w:val="none" w:sz="0" w:space="0" w:color="auto"/>
        <w:right w:val="none" w:sz="0" w:space="0" w:color="auto"/>
      </w:divBdr>
    </w:div>
    <w:div w:id="1033073355">
      <w:bodyDiv w:val="1"/>
      <w:marLeft w:val="0"/>
      <w:marRight w:val="0"/>
      <w:marTop w:val="0"/>
      <w:marBottom w:val="0"/>
      <w:divBdr>
        <w:top w:val="none" w:sz="0" w:space="0" w:color="auto"/>
        <w:left w:val="none" w:sz="0" w:space="0" w:color="auto"/>
        <w:bottom w:val="none" w:sz="0" w:space="0" w:color="auto"/>
        <w:right w:val="none" w:sz="0" w:space="0" w:color="auto"/>
      </w:divBdr>
    </w:div>
    <w:div w:id="1033119081">
      <w:bodyDiv w:val="1"/>
      <w:marLeft w:val="0"/>
      <w:marRight w:val="0"/>
      <w:marTop w:val="0"/>
      <w:marBottom w:val="0"/>
      <w:divBdr>
        <w:top w:val="none" w:sz="0" w:space="0" w:color="auto"/>
        <w:left w:val="none" w:sz="0" w:space="0" w:color="auto"/>
        <w:bottom w:val="none" w:sz="0" w:space="0" w:color="auto"/>
        <w:right w:val="none" w:sz="0" w:space="0" w:color="auto"/>
      </w:divBdr>
    </w:div>
    <w:div w:id="1033530874">
      <w:bodyDiv w:val="1"/>
      <w:marLeft w:val="0"/>
      <w:marRight w:val="0"/>
      <w:marTop w:val="0"/>
      <w:marBottom w:val="0"/>
      <w:divBdr>
        <w:top w:val="none" w:sz="0" w:space="0" w:color="auto"/>
        <w:left w:val="none" w:sz="0" w:space="0" w:color="auto"/>
        <w:bottom w:val="none" w:sz="0" w:space="0" w:color="auto"/>
        <w:right w:val="none" w:sz="0" w:space="0" w:color="auto"/>
      </w:divBdr>
    </w:div>
    <w:div w:id="1033535044">
      <w:bodyDiv w:val="1"/>
      <w:marLeft w:val="0"/>
      <w:marRight w:val="0"/>
      <w:marTop w:val="0"/>
      <w:marBottom w:val="0"/>
      <w:divBdr>
        <w:top w:val="none" w:sz="0" w:space="0" w:color="auto"/>
        <w:left w:val="none" w:sz="0" w:space="0" w:color="auto"/>
        <w:bottom w:val="none" w:sz="0" w:space="0" w:color="auto"/>
        <w:right w:val="none" w:sz="0" w:space="0" w:color="auto"/>
      </w:divBdr>
    </w:div>
    <w:div w:id="1033575918">
      <w:bodyDiv w:val="1"/>
      <w:marLeft w:val="0"/>
      <w:marRight w:val="0"/>
      <w:marTop w:val="0"/>
      <w:marBottom w:val="0"/>
      <w:divBdr>
        <w:top w:val="none" w:sz="0" w:space="0" w:color="auto"/>
        <w:left w:val="none" w:sz="0" w:space="0" w:color="auto"/>
        <w:bottom w:val="none" w:sz="0" w:space="0" w:color="auto"/>
        <w:right w:val="none" w:sz="0" w:space="0" w:color="auto"/>
      </w:divBdr>
    </w:div>
    <w:div w:id="1033581908">
      <w:bodyDiv w:val="1"/>
      <w:marLeft w:val="0"/>
      <w:marRight w:val="0"/>
      <w:marTop w:val="0"/>
      <w:marBottom w:val="0"/>
      <w:divBdr>
        <w:top w:val="none" w:sz="0" w:space="0" w:color="auto"/>
        <w:left w:val="none" w:sz="0" w:space="0" w:color="auto"/>
        <w:bottom w:val="none" w:sz="0" w:space="0" w:color="auto"/>
        <w:right w:val="none" w:sz="0" w:space="0" w:color="auto"/>
      </w:divBdr>
    </w:div>
    <w:div w:id="1033649604">
      <w:bodyDiv w:val="1"/>
      <w:marLeft w:val="0"/>
      <w:marRight w:val="0"/>
      <w:marTop w:val="0"/>
      <w:marBottom w:val="0"/>
      <w:divBdr>
        <w:top w:val="none" w:sz="0" w:space="0" w:color="auto"/>
        <w:left w:val="none" w:sz="0" w:space="0" w:color="auto"/>
        <w:bottom w:val="none" w:sz="0" w:space="0" w:color="auto"/>
        <w:right w:val="none" w:sz="0" w:space="0" w:color="auto"/>
      </w:divBdr>
    </w:div>
    <w:div w:id="1033726336">
      <w:bodyDiv w:val="1"/>
      <w:marLeft w:val="0"/>
      <w:marRight w:val="0"/>
      <w:marTop w:val="0"/>
      <w:marBottom w:val="0"/>
      <w:divBdr>
        <w:top w:val="none" w:sz="0" w:space="0" w:color="auto"/>
        <w:left w:val="none" w:sz="0" w:space="0" w:color="auto"/>
        <w:bottom w:val="none" w:sz="0" w:space="0" w:color="auto"/>
        <w:right w:val="none" w:sz="0" w:space="0" w:color="auto"/>
      </w:divBdr>
    </w:div>
    <w:div w:id="1033729363">
      <w:bodyDiv w:val="1"/>
      <w:marLeft w:val="0"/>
      <w:marRight w:val="0"/>
      <w:marTop w:val="0"/>
      <w:marBottom w:val="0"/>
      <w:divBdr>
        <w:top w:val="none" w:sz="0" w:space="0" w:color="auto"/>
        <w:left w:val="none" w:sz="0" w:space="0" w:color="auto"/>
        <w:bottom w:val="none" w:sz="0" w:space="0" w:color="auto"/>
        <w:right w:val="none" w:sz="0" w:space="0" w:color="auto"/>
      </w:divBdr>
    </w:div>
    <w:div w:id="1033922975">
      <w:bodyDiv w:val="1"/>
      <w:marLeft w:val="0"/>
      <w:marRight w:val="0"/>
      <w:marTop w:val="0"/>
      <w:marBottom w:val="0"/>
      <w:divBdr>
        <w:top w:val="none" w:sz="0" w:space="0" w:color="auto"/>
        <w:left w:val="none" w:sz="0" w:space="0" w:color="auto"/>
        <w:bottom w:val="none" w:sz="0" w:space="0" w:color="auto"/>
        <w:right w:val="none" w:sz="0" w:space="0" w:color="auto"/>
      </w:divBdr>
    </w:div>
    <w:div w:id="1034043087">
      <w:bodyDiv w:val="1"/>
      <w:marLeft w:val="0"/>
      <w:marRight w:val="0"/>
      <w:marTop w:val="0"/>
      <w:marBottom w:val="0"/>
      <w:divBdr>
        <w:top w:val="none" w:sz="0" w:space="0" w:color="auto"/>
        <w:left w:val="none" w:sz="0" w:space="0" w:color="auto"/>
        <w:bottom w:val="none" w:sz="0" w:space="0" w:color="auto"/>
        <w:right w:val="none" w:sz="0" w:space="0" w:color="auto"/>
      </w:divBdr>
    </w:div>
    <w:div w:id="1034113074">
      <w:bodyDiv w:val="1"/>
      <w:marLeft w:val="0"/>
      <w:marRight w:val="0"/>
      <w:marTop w:val="0"/>
      <w:marBottom w:val="0"/>
      <w:divBdr>
        <w:top w:val="none" w:sz="0" w:space="0" w:color="auto"/>
        <w:left w:val="none" w:sz="0" w:space="0" w:color="auto"/>
        <w:bottom w:val="none" w:sz="0" w:space="0" w:color="auto"/>
        <w:right w:val="none" w:sz="0" w:space="0" w:color="auto"/>
      </w:divBdr>
    </w:div>
    <w:div w:id="1034160136">
      <w:bodyDiv w:val="1"/>
      <w:marLeft w:val="0"/>
      <w:marRight w:val="0"/>
      <w:marTop w:val="0"/>
      <w:marBottom w:val="0"/>
      <w:divBdr>
        <w:top w:val="none" w:sz="0" w:space="0" w:color="auto"/>
        <w:left w:val="none" w:sz="0" w:space="0" w:color="auto"/>
        <w:bottom w:val="none" w:sz="0" w:space="0" w:color="auto"/>
        <w:right w:val="none" w:sz="0" w:space="0" w:color="auto"/>
      </w:divBdr>
    </w:div>
    <w:div w:id="1034187468">
      <w:bodyDiv w:val="1"/>
      <w:marLeft w:val="0"/>
      <w:marRight w:val="0"/>
      <w:marTop w:val="0"/>
      <w:marBottom w:val="0"/>
      <w:divBdr>
        <w:top w:val="none" w:sz="0" w:space="0" w:color="auto"/>
        <w:left w:val="none" w:sz="0" w:space="0" w:color="auto"/>
        <w:bottom w:val="none" w:sz="0" w:space="0" w:color="auto"/>
        <w:right w:val="none" w:sz="0" w:space="0" w:color="auto"/>
      </w:divBdr>
    </w:div>
    <w:div w:id="1034303413">
      <w:bodyDiv w:val="1"/>
      <w:marLeft w:val="0"/>
      <w:marRight w:val="0"/>
      <w:marTop w:val="0"/>
      <w:marBottom w:val="0"/>
      <w:divBdr>
        <w:top w:val="none" w:sz="0" w:space="0" w:color="auto"/>
        <w:left w:val="none" w:sz="0" w:space="0" w:color="auto"/>
        <w:bottom w:val="none" w:sz="0" w:space="0" w:color="auto"/>
        <w:right w:val="none" w:sz="0" w:space="0" w:color="auto"/>
      </w:divBdr>
    </w:div>
    <w:div w:id="1034497311">
      <w:bodyDiv w:val="1"/>
      <w:marLeft w:val="0"/>
      <w:marRight w:val="0"/>
      <w:marTop w:val="0"/>
      <w:marBottom w:val="0"/>
      <w:divBdr>
        <w:top w:val="none" w:sz="0" w:space="0" w:color="auto"/>
        <w:left w:val="none" w:sz="0" w:space="0" w:color="auto"/>
        <w:bottom w:val="none" w:sz="0" w:space="0" w:color="auto"/>
        <w:right w:val="none" w:sz="0" w:space="0" w:color="auto"/>
      </w:divBdr>
    </w:div>
    <w:div w:id="1034497446">
      <w:bodyDiv w:val="1"/>
      <w:marLeft w:val="0"/>
      <w:marRight w:val="0"/>
      <w:marTop w:val="0"/>
      <w:marBottom w:val="0"/>
      <w:divBdr>
        <w:top w:val="none" w:sz="0" w:space="0" w:color="auto"/>
        <w:left w:val="none" w:sz="0" w:space="0" w:color="auto"/>
        <w:bottom w:val="none" w:sz="0" w:space="0" w:color="auto"/>
        <w:right w:val="none" w:sz="0" w:space="0" w:color="auto"/>
      </w:divBdr>
    </w:div>
    <w:div w:id="1034501668">
      <w:bodyDiv w:val="1"/>
      <w:marLeft w:val="0"/>
      <w:marRight w:val="0"/>
      <w:marTop w:val="0"/>
      <w:marBottom w:val="0"/>
      <w:divBdr>
        <w:top w:val="none" w:sz="0" w:space="0" w:color="auto"/>
        <w:left w:val="none" w:sz="0" w:space="0" w:color="auto"/>
        <w:bottom w:val="none" w:sz="0" w:space="0" w:color="auto"/>
        <w:right w:val="none" w:sz="0" w:space="0" w:color="auto"/>
      </w:divBdr>
    </w:div>
    <w:div w:id="1034767137">
      <w:bodyDiv w:val="1"/>
      <w:marLeft w:val="0"/>
      <w:marRight w:val="0"/>
      <w:marTop w:val="0"/>
      <w:marBottom w:val="0"/>
      <w:divBdr>
        <w:top w:val="none" w:sz="0" w:space="0" w:color="auto"/>
        <w:left w:val="none" w:sz="0" w:space="0" w:color="auto"/>
        <w:bottom w:val="none" w:sz="0" w:space="0" w:color="auto"/>
        <w:right w:val="none" w:sz="0" w:space="0" w:color="auto"/>
      </w:divBdr>
    </w:div>
    <w:div w:id="1034963258">
      <w:bodyDiv w:val="1"/>
      <w:marLeft w:val="0"/>
      <w:marRight w:val="0"/>
      <w:marTop w:val="0"/>
      <w:marBottom w:val="0"/>
      <w:divBdr>
        <w:top w:val="none" w:sz="0" w:space="0" w:color="auto"/>
        <w:left w:val="none" w:sz="0" w:space="0" w:color="auto"/>
        <w:bottom w:val="none" w:sz="0" w:space="0" w:color="auto"/>
        <w:right w:val="none" w:sz="0" w:space="0" w:color="auto"/>
      </w:divBdr>
    </w:div>
    <w:div w:id="1035039281">
      <w:bodyDiv w:val="1"/>
      <w:marLeft w:val="0"/>
      <w:marRight w:val="0"/>
      <w:marTop w:val="0"/>
      <w:marBottom w:val="0"/>
      <w:divBdr>
        <w:top w:val="none" w:sz="0" w:space="0" w:color="auto"/>
        <w:left w:val="none" w:sz="0" w:space="0" w:color="auto"/>
        <w:bottom w:val="none" w:sz="0" w:space="0" w:color="auto"/>
        <w:right w:val="none" w:sz="0" w:space="0" w:color="auto"/>
      </w:divBdr>
    </w:div>
    <w:div w:id="1035076505">
      <w:bodyDiv w:val="1"/>
      <w:marLeft w:val="0"/>
      <w:marRight w:val="0"/>
      <w:marTop w:val="0"/>
      <w:marBottom w:val="0"/>
      <w:divBdr>
        <w:top w:val="none" w:sz="0" w:space="0" w:color="auto"/>
        <w:left w:val="none" w:sz="0" w:space="0" w:color="auto"/>
        <w:bottom w:val="none" w:sz="0" w:space="0" w:color="auto"/>
        <w:right w:val="none" w:sz="0" w:space="0" w:color="auto"/>
      </w:divBdr>
    </w:div>
    <w:div w:id="1035081958">
      <w:bodyDiv w:val="1"/>
      <w:marLeft w:val="0"/>
      <w:marRight w:val="0"/>
      <w:marTop w:val="0"/>
      <w:marBottom w:val="0"/>
      <w:divBdr>
        <w:top w:val="none" w:sz="0" w:space="0" w:color="auto"/>
        <w:left w:val="none" w:sz="0" w:space="0" w:color="auto"/>
        <w:bottom w:val="none" w:sz="0" w:space="0" w:color="auto"/>
        <w:right w:val="none" w:sz="0" w:space="0" w:color="auto"/>
      </w:divBdr>
    </w:div>
    <w:div w:id="1035157350">
      <w:bodyDiv w:val="1"/>
      <w:marLeft w:val="0"/>
      <w:marRight w:val="0"/>
      <w:marTop w:val="0"/>
      <w:marBottom w:val="0"/>
      <w:divBdr>
        <w:top w:val="none" w:sz="0" w:space="0" w:color="auto"/>
        <w:left w:val="none" w:sz="0" w:space="0" w:color="auto"/>
        <w:bottom w:val="none" w:sz="0" w:space="0" w:color="auto"/>
        <w:right w:val="none" w:sz="0" w:space="0" w:color="auto"/>
      </w:divBdr>
    </w:div>
    <w:div w:id="1035160616">
      <w:bodyDiv w:val="1"/>
      <w:marLeft w:val="0"/>
      <w:marRight w:val="0"/>
      <w:marTop w:val="0"/>
      <w:marBottom w:val="0"/>
      <w:divBdr>
        <w:top w:val="none" w:sz="0" w:space="0" w:color="auto"/>
        <w:left w:val="none" w:sz="0" w:space="0" w:color="auto"/>
        <w:bottom w:val="none" w:sz="0" w:space="0" w:color="auto"/>
        <w:right w:val="none" w:sz="0" w:space="0" w:color="auto"/>
      </w:divBdr>
    </w:div>
    <w:div w:id="1035229148">
      <w:bodyDiv w:val="1"/>
      <w:marLeft w:val="0"/>
      <w:marRight w:val="0"/>
      <w:marTop w:val="0"/>
      <w:marBottom w:val="0"/>
      <w:divBdr>
        <w:top w:val="none" w:sz="0" w:space="0" w:color="auto"/>
        <w:left w:val="none" w:sz="0" w:space="0" w:color="auto"/>
        <w:bottom w:val="none" w:sz="0" w:space="0" w:color="auto"/>
        <w:right w:val="none" w:sz="0" w:space="0" w:color="auto"/>
      </w:divBdr>
    </w:div>
    <w:div w:id="1035233406">
      <w:bodyDiv w:val="1"/>
      <w:marLeft w:val="0"/>
      <w:marRight w:val="0"/>
      <w:marTop w:val="0"/>
      <w:marBottom w:val="0"/>
      <w:divBdr>
        <w:top w:val="none" w:sz="0" w:space="0" w:color="auto"/>
        <w:left w:val="none" w:sz="0" w:space="0" w:color="auto"/>
        <w:bottom w:val="none" w:sz="0" w:space="0" w:color="auto"/>
        <w:right w:val="none" w:sz="0" w:space="0" w:color="auto"/>
      </w:divBdr>
    </w:div>
    <w:div w:id="1035693756">
      <w:bodyDiv w:val="1"/>
      <w:marLeft w:val="0"/>
      <w:marRight w:val="0"/>
      <w:marTop w:val="0"/>
      <w:marBottom w:val="0"/>
      <w:divBdr>
        <w:top w:val="none" w:sz="0" w:space="0" w:color="auto"/>
        <w:left w:val="none" w:sz="0" w:space="0" w:color="auto"/>
        <w:bottom w:val="none" w:sz="0" w:space="0" w:color="auto"/>
        <w:right w:val="none" w:sz="0" w:space="0" w:color="auto"/>
      </w:divBdr>
    </w:div>
    <w:div w:id="1035696592">
      <w:bodyDiv w:val="1"/>
      <w:marLeft w:val="0"/>
      <w:marRight w:val="0"/>
      <w:marTop w:val="0"/>
      <w:marBottom w:val="0"/>
      <w:divBdr>
        <w:top w:val="none" w:sz="0" w:space="0" w:color="auto"/>
        <w:left w:val="none" w:sz="0" w:space="0" w:color="auto"/>
        <w:bottom w:val="none" w:sz="0" w:space="0" w:color="auto"/>
        <w:right w:val="none" w:sz="0" w:space="0" w:color="auto"/>
      </w:divBdr>
    </w:div>
    <w:div w:id="1035698025">
      <w:bodyDiv w:val="1"/>
      <w:marLeft w:val="0"/>
      <w:marRight w:val="0"/>
      <w:marTop w:val="0"/>
      <w:marBottom w:val="0"/>
      <w:divBdr>
        <w:top w:val="none" w:sz="0" w:space="0" w:color="auto"/>
        <w:left w:val="none" w:sz="0" w:space="0" w:color="auto"/>
        <w:bottom w:val="none" w:sz="0" w:space="0" w:color="auto"/>
        <w:right w:val="none" w:sz="0" w:space="0" w:color="auto"/>
      </w:divBdr>
    </w:div>
    <w:div w:id="1035735835">
      <w:bodyDiv w:val="1"/>
      <w:marLeft w:val="0"/>
      <w:marRight w:val="0"/>
      <w:marTop w:val="0"/>
      <w:marBottom w:val="0"/>
      <w:divBdr>
        <w:top w:val="none" w:sz="0" w:space="0" w:color="auto"/>
        <w:left w:val="none" w:sz="0" w:space="0" w:color="auto"/>
        <w:bottom w:val="none" w:sz="0" w:space="0" w:color="auto"/>
        <w:right w:val="none" w:sz="0" w:space="0" w:color="auto"/>
      </w:divBdr>
    </w:div>
    <w:div w:id="1035815587">
      <w:bodyDiv w:val="1"/>
      <w:marLeft w:val="0"/>
      <w:marRight w:val="0"/>
      <w:marTop w:val="0"/>
      <w:marBottom w:val="0"/>
      <w:divBdr>
        <w:top w:val="none" w:sz="0" w:space="0" w:color="auto"/>
        <w:left w:val="none" w:sz="0" w:space="0" w:color="auto"/>
        <w:bottom w:val="none" w:sz="0" w:space="0" w:color="auto"/>
        <w:right w:val="none" w:sz="0" w:space="0" w:color="auto"/>
      </w:divBdr>
    </w:div>
    <w:div w:id="1035890365">
      <w:bodyDiv w:val="1"/>
      <w:marLeft w:val="0"/>
      <w:marRight w:val="0"/>
      <w:marTop w:val="0"/>
      <w:marBottom w:val="0"/>
      <w:divBdr>
        <w:top w:val="none" w:sz="0" w:space="0" w:color="auto"/>
        <w:left w:val="none" w:sz="0" w:space="0" w:color="auto"/>
        <w:bottom w:val="none" w:sz="0" w:space="0" w:color="auto"/>
        <w:right w:val="none" w:sz="0" w:space="0" w:color="auto"/>
      </w:divBdr>
    </w:div>
    <w:div w:id="1035932476">
      <w:bodyDiv w:val="1"/>
      <w:marLeft w:val="0"/>
      <w:marRight w:val="0"/>
      <w:marTop w:val="0"/>
      <w:marBottom w:val="0"/>
      <w:divBdr>
        <w:top w:val="none" w:sz="0" w:space="0" w:color="auto"/>
        <w:left w:val="none" w:sz="0" w:space="0" w:color="auto"/>
        <w:bottom w:val="none" w:sz="0" w:space="0" w:color="auto"/>
        <w:right w:val="none" w:sz="0" w:space="0" w:color="auto"/>
      </w:divBdr>
    </w:div>
    <w:div w:id="1035959859">
      <w:bodyDiv w:val="1"/>
      <w:marLeft w:val="0"/>
      <w:marRight w:val="0"/>
      <w:marTop w:val="0"/>
      <w:marBottom w:val="0"/>
      <w:divBdr>
        <w:top w:val="none" w:sz="0" w:space="0" w:color="auto"/>
        <w:left w:val="none" w:sz="0" w:space="0" w:color="auto"/>
        <w:bottom w:val="none" w:sz="0" w:space="0" w:color="auto"/>
        <w:right w:val="none" w:sz="0" w:space="0" w:color="auto"/>
      </w:divBdr>
    </w:div>
    <w:div w:id="1036009137">
      <w:bodyDiv w:val="1"/>
      <w:marLeft w:val="0"/>
      <w:marRight w:val="0"/>
      <w:marTop w:val="0"/>
      <w:marBottom w:val="0"/>
      <w:divBdr>
        <w:top w:val="none" w:sz="0" w:space="0" w:color="auto"/>
        <w:left w:val="none" w:sz="0" w:space="0" w:color="auto"/>
        <w:bottom w:val="none" w:sz="0" w:space="0" w:color="auto"/>
        <w:right w:val="none" w:sz="0" w:space="0" w:color="auto"/>
      </w:divBdr>
    </w:div>
    <w:div w:id="1036081357">
      <w:bodyDiv w:val="1"/>
      <w:marLeft w:val="0"/>
      <w:marRight w:val="0"/>
      <w:marTop w:val="0"/>
      <w:marBottom w:val="0"/>
      <w:divBdr>
        <w:top w:val="none" w:sz="0" w:space="0" w:color="auto"/>
        <w:left w:val="none" w:sz="0" w:space="0" w:color="auto"/>
        <w:bottom w:val="none" w:sz="0" w:space="0" w:color="auto"/>
        <w:right w:val="none" w:sz="0" w:space="0" w:color="auto"/>
      </w:divBdr>
    </w:div>
    <w:div w:id="1036126396">
      <w:bodyDiv w:val="1"/>
      <w:marLeft w:val="0"/>
      <w:marRight w:val="0"/>
      <w:marTop w:val="0"/>
      <w:marBottom w:val="0"/>
      <w:divBdr>
        <w:top w:val="none" w:sz="0" w:space="0" w:color="auto"/>
        <w:left w:val="none" w:sz="0" w:space="0" w:color="auto"/>
        <w:bottom w:val="none" w:sz="0" w:space="0" w:color="auto"/>
        <w:right w:val="none" w:sz="0" w:space="0" w:color="auto"/>
      </w:divBdr>
    </w:div>
    <w:div w:id="1036127238">
      <w:bodyDiv w:val="1"/>
      <w:marLeft w:val="0"/>
      <w:marRight w:val="0"/>
      <w:marTop w:val="0"/>
      <w:marBottom w:val="0"/>
      <w:divBdr>
        <w:top w:val="none" w:sz="0" w:space="0" w:color="auto"/>
        <w:left w:val="none" w:sz="0" w:space="0" w:color="auto"/>
        <w:bottom w:val="none" w:sz="0" w:space="0" w:color="auto"/>
        <w:right w:val="none" w:sz="0" w:space="0" w:color="auto"/>
      </w:divBdr>
    </w:div>
    <w:div w:id="1036153742">
      <w:bodyDiv w:val="1"/>
      <w:marLeft w:val="0"/>
      <w:marRight w:val="0"/>
      <w:marTop w:val="0"/>
      <w:marBottom w:val="0"/>
      <w:divBdr>
        <w:top w:val="none" w:sz="0" w:space="0" w:color="auto"/>
        <w:left w:val="none" w:sz="0" w:space="0" w:color="auto"/>
        <w:bottom w:val="none" w:sz="0" w:space="0" w:color="auto"/>
        <w:right w:val="none" w:sz="0" w:space="0" w:color="auto"/>
      </w:divBdr>
    </w:div>
    <w:div w:id="1036194920">
      <w:bodyDiv w:val="1"/>
      <w:marLeft w:val="0"/>
      <w:marRight w:val="0"/>
      <w:marTop w:val="0"/>
      <w:marBottom w:val="0"/>
      <w:divBdr>
        <w:top w:val="none" w:sz="0" w:space="0" w:color="auto"/>
        <w:left w:val="none" w:sz="0" w:space="0" w:color="auto"/>
        <w:bottom w:val="none" w:sz="0" w:space="0" w:color="auto"/>
        <w:right w:val="none" w:sz="0" w:space="0" w:color="auto"/>
      </w:divBdr>
    </w:div>
    <w:div w:id="1036201816">
      <w:bodyDiv w:val="1"/>
      <w:marLeft w:val="0"/>
      <w:marRight w:val="0"/>
      <w:marTop w:val="0"/>
      <w:marBottom w:val="0"/>
      <w:divBdr>
        <w:top w:val="none" w:sz="0" w:space="0" w:color="auto"/>
        <w:left w:val="none" w:sz="0" w:space="0" w:color="auto"/>
        <w:bottom w:val="none" w:sz="0" w:space="0" w:color="auto"/>
        <w:right w:val="none" w:sz="0" w:space="0" w:color="auto"/>
      </w:divBdr>
    </w:div>
    <w:div w:id="1036345688">
      <w:bodyDiv w:val="1"/>
      <w:marLeft w:val="0"/>
      <w:marRight w:val="0"/>
      <w:marTop w:val="0"/>
      <w:marBottom w:val="0"/>
      <w:divBdr>
        <w:top w:val="none" w:sz="0" w:space="0" w:color="auto"/>
        <w:left w:val="none" w:sz="0" w:space="0" w:color="auto"/>
        <w:bottom w:val="none" w:sz="0" w:space="0" w:color="auto"/>
        <w:right w:val="none" w:sz="0" w:space="0" w:color="auto"/>
      </w:divBdr>
    </w:div>
    <w:div w:id="1036387024">
      <w:bodyDiv w:val="1"/>
      <w:marLeft w:val="0"/>
      <w:marRight w:val="0"/>
      <w:marTop w:val="0"/>
      <w:marBottom w:val="0"/>
      <w:divBdr>
        <w:top w:val="none" w:sz="0" w:space="0" w:color="auto"/>
        <w:left w:val="none" w:sz="0" w:space="0" w:color="auto"/>
        <w:bottom w:val="none" w:sz="0" w:space="0" w:color="auto"/>
        <w:right w:val="none" w:sz="0" w:space="0" w:color="auto"/>
      </w:divBdr>
    </w:div>
    <w:div w:id="1036467829">
      <w:bodyDiv w:val="1"/>
      <w:marLeft w:val="0"/>
      <w:marRight w:val="0"/>
      <w:marTop w:val="0"/>
      <w:marBottom w:val="0"/>
      <w:divBdr>
        <w:top w:val="none" w:sz="0" w:space="0" w:color="auto"/>
        <w:left w:val="none" w:sz="0" w:space="0" w:color="auto"/>
        <w:bottom w:val="none" w:sz="0" w:space="0" w:color="auto"/>
        <w:right w:val="none" w:sz="0" w:space="0" w:color="auto"/>
      </w:divBdr>
    </w:div>
    <w:div w:id="1036544161">
      <w:bodyDiv w:val="1"/>
      <w:marLeft w:val="0"/>
      <w:marRight w:val="0"/>
      <w:marTop w:val="0"/>
      <w:marBottom w:val="0"/>
      <w:divBdr>
        <w:top w:val="none" w:sz="0" w:space="0" w:color="auto"/>
        <w:left w:val="none" w:sz="0" w:space="0" w:color="auto"/>
        <w:bottom w:val="none" w:sz="0" w:space="0" w:color="auto"/>
        <w:right w:val="none" w:sz="0" w:space="0" w:color="auto"/>
      </w:divBdr>
    </w:div>
    <w:div w:id="1036732752">
      <w:bodyDiv w:val="1"/>
      <w:marLeft w:val="0"/>
      <w:marRight w:val="0"/>
      <w:marTop w:val="0"/>
      <w:marBottom w:val="0"/>
      <w:divBdr>
        <w:top w:val="none" w:sz="0" w:space="0" w:color="auto"/>
        <w:left w:val="none" w:sz="0" w:space="0" w:color="auto"/>
        <w:bottom w:val="none" w:sz="0" w:space="0" w:color="auto"/>
        <w:right w:val="none" w:sz="0" w:space="0" w:color="auto"/>
      </w:divBdr>
    </w:div>
    <w:div w:id="1036811085">
      <w:bodyDiv w:val="1"/>
      <w:marLeft w:val="0"/>
      <w:marRight w:val="0"/>
      <w:marTop w:val="0"/>
      <w:marBottom w:val="0"/>
      <w:divBdr>
        <w:top w:val="none" w:sz="0" w:space="0" w:color="auto"/>
        <w:left w:val="none" w:sz="0" w:space="0" w:color="auto"/>
        <w:bottom w:val="none" w:sz="0" w:space="0" w:color="auto"/>
        <w:right w:val="none" w:sz="0" w:space="0" w:color="auto"/>
      </w:divBdr>
    </w:div>
    <w:div w:id="1037001888">
      <w:bodyDiv w:val="1"/>
      <w:marLeft w:val="0"/>
      <w:marRight w:val="0"/>
      <w:marTop w:val="0"/>
      <w:marBottom w:val="0"/>
      <w:divBdr>
        <w:top w:val="none" w:sz="0" w:space="0" w:color="auto"/>
        <w:left w:val="none" w:sz="0" w:space="0" w:color="auto"/>
        <w:bottom w:val="none" w:sz="0" w:space="0" w:color="auto"/>
        <w:right w:val="none" w:sz="0" w:space="0" w:color="auto"/>
      </w:divBdr>
    </w:div>
    <w:div w:id="1037002926">
      <w:bodyDiv w:val="1"/>
      <w:marLeft w:val="0"/>
      <w:marRight w:val="0"/>
      <w:marTop w:val="0"/>
      <w:marBottom w:val="0"/>
      <w:divBdr>
        <w:top w:val="none" w:sz="0" w:space="0" w:color="auto"/>
        <w:left w:val="none" w:sz="0" w:space="0" w:color="auto"/>
        <w:bottom w:val="none" w:sz="0" w:space="0" w:color="auto"/>
        <w:right w:val="none" w:sz="0" w:space="0" w:color="auto"/>
      </w:divBdr>
    </w:div>
    <w:div w:id="1037003171">
      <w:bodyDiv w:val="1"/>
      <w:marLeft w:val="0"/>
      <w:marRight w:val="0"/>
      <w:marTop w:val="0"/>
      <w:marBottom w:val="0"/>
      <w:divBdr>
        <w:top w:val="none" w:sz="0" w:space="0" w:color="auto"/>
        <w:left w:val="none" w:sz="0" w:space="0" w:color="auto"/>
        <w:bottom w:val="none" w:sz="0" w:space="0" w:color="auto"/>
        <w:right w:val="none" w:sz="0" w:space="0" w:color="auto"/>
      </w:divBdr>
    </w:div>
    <w:div w:id="1037008332">
      <w:bodyDiv w:val="1"/>
      <w:marLeft w:val="0"/>
      <w:marRight w:val="0"/>
      <w:marTop w:val="0"/>
      <w:marBottom w:val="0"/>
      <w:divBdr>
        <w:top w:val="none" w:sz="0" w:space="0" w:color="auto"/>
        <w:left w:val="none" w:sz="0" w:space="0" w:color="auto"/>
        <w:bottom w:val="none" w:sz="0" w:space="0" w:color="auto"/>
        <w:right w:val="none" w:sz="0" w:space="0" w:color="auto"/>
      </w:divBdr>
    </w:div>
    <w:div w:id="1037046539">
      <w:bodyDiv w:val="1"/>
      <w:marLeft w:val="0"/>
      <w:marRight w:val="0"/>
      <w:marTop w:val="0"/>
      <w:marBottom w:val="0"/>
      <w:divBdr>
        <w:top w:val="none" w:sz="0" w:space="0" w:color="auto"/>
        <w:left w:val="none" w:sz="0" w:space="0" w:color="auto"/>
        <w:bottom w:val="none" w:sz="0" w:space="0" w:color="auto"/>
        <w:right w:val="none" w:sz="0" w:space="0" w:color="auto"/>
      </w:divBdr>
    </w:div>
    <w:div w:id="1037050329">
      <w:bodyDiv w:val="1"/>
      <w:marLeft w:val="0"/>
      <w:marRight w:val="0"/>
      <w:marTop w:val="0"/>
      <w:marBottom w:val="0"/>
      <w:divBdr>
        <w:top w:val="none" w:sz="0" w:space="0" w:color="auto"/>
        <w:left w:val="none" w:sz="0" w:space="0" w:color="auto"/>
        <w:bottom w:val="none" w:sz="0" w:space="0" w:color="auto"/>
        <w:right w:val="none" w:sz="0" w:space="0" w:color="auto"/>
      </w:divBdr>
    </w:div>
    <w:div w:id="1037193845">
      <w:bodyDiv w:val="1"/>
      <w:marLeft w:val="0"/>
      <w:marRight w:val="0"/>
      <w:marTop w:val="0"/>
      <w:marBottom w:val="0"/>
      <w:divBdr>
        <w:top w:val="none" w:sz="0" w:space="0" w:color="auto"/>
        <w:left w:val="none" w:sz="0" w:space="0" w:color="auto"/>
        <w:bottom w:val="none" w:sz="0" w:space="0" w:color="auto"/>
        <w:right w:val="none" w:sz="0" w:space="0" w:color="auto"/>
      </w:divBdr>
    </w:div>
    <w:div w:id="1037197241">
      <w:bodyDiv w:val="1"/>
      <w:marLeft w:val="0"/>
      <w:marRight w:val="0"/>
      <w:marTop w:val="0"/>
      <w:marBottom w:val="0"/>
      <w:divBdr>
        <w:top w:val="none" w:sz="0" w:space="0" w:color="auto"/>
        <w:left w:val="none" w:sz="0" w:space="0" w:color="auto"/>
        <w:bottom w:val="none" w:sz="0" w:space="0" w:color="auto"/>
        <w:right w:val="none" w:sz="0" w:space="0" w:color="auto"/>
      </w:divBdr>
    </w:div>
    <w:div w:id="1037242621">
      <w:bodyDiv w:val="1"/>
      <w:marLeft w:val="0"/>
      <w:marRight w:val="0"/>
      <w:marTop w:val="0"/>
      <w:marBottom w:val="0"/>
      <w:divBdr>
        <w:top w:val="none" w:sz="0" w:space="0" w:color="auto"/>
        <w:left w:val="none" w:sz="0" w:space="0" w:color="auto"/>
        <w:bottom w:val="none" w:sz="0" w:space="0" w:color="auto"/>
        <w:right w:val="none" w:sz="0" w:space="0" w:color="auto"/>
      </w:divBdr>
    </w:div>
    <w:div w:id="1037243948">
      <w:bodyDiv w:val="1"/>
      <w:marLeft w:val="0"/>
      <w:marRight w:val="0"/>
      <w:marTop w:val="0"/>
      <w:marBottom w:val="0"/>
      <w:divBdr>
        <w:top w:val="none" w:sz="0" w:space="0" w:color="auto"/>
        <w:left w:val="none" w:sz="0" w:space="0" w:color="auto"/>
        <w:bottom w:val="none" w:sz="0" w:space="0" w:color="auto"/>
        <w:right w:val="none" w:sz="0" w:space="0" w:color="auto"/>
      </w:divBdr>
    </w:div>
    <w:div w:id="1037315277">
      <w:bodyDiv w:val="1"/>
      <w:marLeft w:val="0"/>
      <w:marRight w:val="0"/>
      <w:marTop w:val="0"/>
      <w:marBottom w:val="0"/>
      <w:divBdr>
        <w:top w:val="none" w:sz="0" w:space="0" w:color="auto"/>
        <w:left w:val="none" w:sz="0" w:space="0" w:color="auto"/>
        <w:bottom w:val="none" w:sz="0" w:space="0" w:color="auto"/>
        <w:right w:val="none" w:sz="0" w:space="0" w:color="auto"/>
      </w:divBdr>
    </w:div>
    <w:div w:id="1037438071">
      <w:bodyDiv w:val="1"/>
      <w:marLeft w:val="0"/>
      <w:marRight w:val="0"/>
      <w:marTop w:val="0"/>
      <w:marBottom w:val="0"/>
      <w:divBdr>
        <w:top w:val="none" w:sz="0" w:space="0" w:color="auto"/>
        <w:left w:val="none" w:sz="0" w:space="0" w:color="auto"/>
        <w:bottom w:val="none" w:sz="0" w:space="0" w:color="auto"/>
        <w:right w:val="none" w:sz="0" w:space="0" w:color="auto"/>
      </w:divBdr>
    </w:div>
    <w:div w:id="1037582278">
      <w:bodyDiv w:val="1"/>
      <w:marLeft w:val="0"/>
      <w:marRight w:val="0"/>
      <w:marTop w:val="0"/>
      <w:marBottom w:val="0"/>
      <w:divBdr>
        <w:top w:val="none" w:sz="0" w:space="0" w:color="auto"/>
        <w:left w:val="none" w:sz="0" w:space="0" w:color="auto"/>
        <w:bottom w:val="none" w:sz="0" w:space="0" w:color="auto"/>
        <w:right w:val="none" w:sz="0" w:space="0" w:color="auto"/>
      </w:divBdr>
    </w:div>
    <w:div w:id="1037585246">
      <w:bodyDiv w:val="1"/>
      <w:marLeft w:val="0"/>
      <w:marRight w:val="0"/>
      <w:marTop w:val="0"/>
      <w:marBottom w:val="0"/>
      <w:divBdr>
        <w:top w:val="none" w:sz="0" w:space="0" w:color="auto"/>
        <w:left w:val="none" w:sz="0" w:space="0" w:color="auto"/>
        <w:bottom w:val="none" w:sz="0" w:space="0" w:color="auto"/>
        <w:right w:val="none" w:sz="0" w:space="0" w:color="auto"/>
      </w:divBdr>
    </w:div>
    <w:div w:id="1037776622">
      <w:bodyDiv w:val="1"/>
      <w:marLeft w:val="0"/>
      <w:marRight w:val="0"/>
      <w:marTop w:val="0"/>
      <w:marBottom w:val="0"/>
      <w:divBdr>
        <w:top w:val="none" w:sz="0" w:space="0" w:color="auto"/>
        <w:left w:val="none" w:sz="0" w:space="0" w:color="auto"/>
        <w:bottom w:val="none" w:sz="0" w:space="0" w:color="auto"/>
        <w:right w:val="none" w:sz="0" w:space="0" w:color="auto"/>
      </w:divBdr>
    </w:div>
    <w:div w:id="1037924067">
      <w:bodyDiv w:val="1"/>
      <w:marLeft w:val="0"/>
      <w:marRight w:val="0"/>
      <w:marTop w:val="0"/>
      <w:marBottom w:val="0"/>
      <w:divBdr>
        <w:top w:val="none" w:sz="0" w:space="0" w:color="auto"/>
        <w:left w:val="none" w:sz="0" w:space="0" w:color="auto"/>
        <w:bottom w:val="none" w:sz="0" w:space="0" w:color="auto"/>
        <w:right w:val="none" w:sz="0" w:space="0" w:color="auto"/>
      </w:divBdr>
    </w:div>
    <w:div w:id="1037924408">
      <w:bodyDiv w:val="1"/>
      <w:marLeft w:val="0"/>
      <w:marRight w:val="0"/>
      <w:marTop w:val="0"/>
      <w:marBottom w:val="0"/>
      <w:divBdr>
        <w:top w:val="none" w:sz="0" w:space="0" w:color="auto"/>
        <w:left w:val="none" w:sz="0" w:space="0" w:color="auto"/>
        <w:bottom w:val="none" w:sz="0" w:space="0" w:color="auto"/>
        <w:right w:val="none" w:sz="0" w:space="0" w:color="auto"/>
      </w:divBdr>
    </w:div>
    <w:div w:id="1037924830">
      <w:bodyDiv w:val="1"/>
      <w:marLeft w:val="0"/>
      <w:marRight w:val="0"/>
      <w:marTop w:val="0"/>
      <w:marBottom w:val="0"/>
      <w:divBdr>
        <w:top w:val="none" w:sz="0" w:space="0" w:color="auto"/>
        <w:left w:val="none" w:sz="0" w:space="0" w:color="auto"/>
        <w:bottom w:val="none" w:sz="0" w:space="0" w:color="auto"/>
        <w:right w:val="none" w:sz="0" w:space="0" w:color="auto"/>
      </w:divBdr>
    </w:div>
    <w:div w:id="1038042098">
      <w:bodyDiv w:val="1"/>
      <w:marLeft w:val="0"/>
      <w:marRight w:val="0"/>
      <w:marTop w:val="0"/>
      <w:marBottom w:val="0"/>
      <w:divBdr>
        <w:top w:val="none" w:sz="0" w:space="0" w:color="auto"/>
        <w:left w:val="none" w:sz="0" w:space="0" w:color="auto"/>
        <w:bottom w:val="none" w:sz="0" w:space="0" w:color="auto"/>
        <w:right w:val="none" w:sz="0" w:space="0" w:color="auto"/>
      </w:divBdr>
    </w:div>
    <w:div w:id="1038045188">
      <w:bodyDiv w:val="1"/>
      <w:marLeft w:val="0"/>
      <w:marRight w:val="0"/>
      <w:marTop w:val="0"/>
      <w:marBottom w:val="0"/>
      <w:divBdr>
        <w:top w:val="none" w:sz="0" w:space="0" w:color="auto"/>
        <w:left w:val="none" w:sz="0" w:space="0" w:color="auto"/>
        <w:bottom w:val="none" w:sz="0" w:space="0" w:color="auto"/>
        <w:right w:val="none" w:sz="0" w:space="0" w:color="auto"/>
      </w:divBdr>
    </w:div>
    <w:div w:id="1038118105">
      <w:bodyDiv w:val="1"/>
      <w:marLeft w:val="0"/>
      <w:marRight w:val="0"/>
      <w:marTop w:val="0"/>
      <w:marBottom w:val="0"/>
      <w:divBdr>
        <w:top w:val="none" w:sz="0" w:space="0" w:color="auto"/>
        <w:left w:val="none" w:sz="0" w:space="0" w:color="auto"/>
        <w:bottom w:val="none" w:sz="0" w:space="0" w:color="auto"/>
        <w:right w:val="none" w:sz="0" w:space="0" w:color="auto"/>
      </w:divBdr>
    </w:div>
    <w:div w:id="1038160480">
      <w:bodyDiv w:val="1"/>
      <w:marLeft w:val="0"/>
      <w:marRight w:val="0"/>
      <w:marTop w:val="0"/>
      <w:marBottom w:val="0"/>
      <w:divBdr>
        <w:top w:val="none" w:sz="0" w:space="0" w:color="auto"/>
        <w:left w:val="none" w:sz="0" w:space="0" w:color="auto"/>
        <w:bottom w:val="none" w:sz="0" w:space="0" w:color="auto"/>
        <w:right w:val="none" w:sz="0" w:space="0" w:color="auto"/>
      </w:divBdr>
    </w:div>
    <w:div w:id="1038238606">
      <w:bodyDiv w:val="1"/>
      <w:marLeft w:val="0"/>
      <w:marRight w:val="0"/>
      <w:marTop w:val="0"/>
      <w:marBottom w:val="0"/>
      <w:divBdr>
        <w:top w:val="none" w:sz="0" w:space="0" w:color="auto"/>
        <w:left w:val="none" w:sz="0" w:space="0" w:color="auto"/>
        <w:bottom w:val="none" w:sz="0" w:space="0" w:color="auto"/>
        <w:right w:val="none" w:sz="0" w:space="0" w:color="auto"/>
      </w:divBdr>
    </w:div>
    <w:div w:id="1038317976">
      <w:bodyDiv w:val="1"/>
      <w:marLeft w:val="0"/>
      <w:marRight w:val="0"/>
      <w:marTop w:val="0"/>
      <w:marBottom w:val="0"/>
      <w:divBdr>
        <w:top w:val="none" w:sz="0" w:space="0" w:color="auto"/>
        <w:left w:val="none" w:sz="0" w:space="0" w:color="auto"/>
        <w:bottom w:val="none" w:sz="0" w:space="0" w:color="auto"/>
        <w:right w:val="none" w:sz="0" w:space="0" w:color="auto"/>
      </w:divBdr>
    </w:div>
    <w:div w:id="1038357195">
      <w:bodyDiv w:val="1"/>
      <w:marLeft w:val="0"/>
      <w:marRight w:val="0"/>
      <w:marTop w:val="0"/>
      <w:marBottom w:val="0"/>
      <w:divBdr>
        <w:top w:val="none" w:sz="0" w:space="0" w:color="auto"/>
        <w:left w:val="none" w:sz="0" w:space="0" w:color="auto"/>
        <w:bottom w:val="none" w:sz="0" w:space="0" w:color="auto"/>
        <w:right w:val="none" w:sz="0" w:space="0" w:color="auto"/>
      </w:divBdr>
    </w:div>
    <w:div w:id="1038430800">
      <w:bodyDiv w:val="1"/>
      <w:marLeft w:val="0"/>
      <w:marRight w:val="0"/>
      <w:marTop w:val="0"/>
      <w:marBottom w:val="0"/>
      <w:divBdr>
        <w:top w:val="none" w:sz="0" w:space="0" w:color="auto"/>
        <w:left w:val="none" w:sz="0" w:space="0" w:color="auto"/>
        <w:bottom w:val="none" w:sz="0" w:space="0" w:color="auto"/>
        <w:right w:val="none" w:sz="0" w:space="0" w:color="auto"/>
      </w:divBdr>
    </w:div>
    <w:div w:id="1038432102">
      <w:bodyDiv w:val="1"/>
      <w:marLeft w:val="0"/>
      <w:marRight w:val="0"/>
      <w:marTop w:val="0"/>
      <w:marBottom w:val="0"/>
      <w:divBdr>
        <w:top w:val="none" w:sz="0" w:space="0" w:color="auto"/>
        <w:left w:val="none" w:sz="0" w:space="0" w:color="auto"/>
        <w:bottom w:val="none" w:sz="0" w:space="0" w:color="auto"/>
        <w:right w:val="none" w:sz="0" w:space="0" w:color="auto"/>
      </w:divBdr>
    </w:div>
    <w:div w:id="1038434471">
      <w:bodyDiv w:val="1"/>
      <w:marLeft w:val="0"/>
      <w:marRight w:val="0"/>
      <w:marTop w:val="0"/>
      <w:marBottom w:val="0"/>
      <w:divBdr>
        <w:top w:val="none" w:sz="0" w:space="0" w:color="auto"/>
        <w:left w:val="none" w:sz="0" w:space="0" w:color="auto"/>
        <w:bottom w:val="none" w:sz="0" w:space="0" w:color="auto"/>
        <w:right w:val="none" w:sz="0" w:space="0" w:color="auto"/>
      </w:divBdr>
    </w:div>
    <w:div w:id="1038437800">
      <w:bodyDiv w:val="1"/>
      <w:marLeft w:val="0"/>
      <w:marRight w:val="0"/>
      <w:marTop w:val="0"/>
      <w:marBottom w:val="0"/>
      <w:divBdr>
        <w:top w:val="none" w:sz="0" w:space="0" w:color="auto"/>
        <w:left w:val="none" w:sz="0" w:space="0" w:color="auto"/>
        <w:bottom w:val="none" w:sz="0" w:space="0" w:color="auto"/>
        <w:right w:val="none" w:sz="0" w:space="0" w:color="auto"/>
      </w:divBdr>
    </w:div>
    <w:div w:id="1038550198">
      <w:bodyDiv w:val="1"/>
      <w:marLeft w:val="0"/>
      <w:marRight w:val="0"/>
      <w:marTop w:val="0"/>
      <w:marBottom w:val="0"/>
      <w:divBdr>
        <w:top w:val="none" w:sz="0" w:space="0" w:color="auto"/>
        <w:left w:val="none" w:sz="0" w:space="0" w:color="auto"/>
        <w:bottom w:val="none" w:sz="0" w:space="0" w:color="auto"/>
        <w:right w:val="none" w:sz="0" w:space="0" w:color="auto"/>
      </w:divBdr>
    </w:div>
    <w:div w:id="1038550749">
      <w:bodyDiv w:val="1"/>
      <w:marLeft w:val="0"/>
      <w:marRight w:val="0"/>
      <w:marTop w:val="0"/>
      <w:marBottom w:val="0"/>
      <w:divBdr>
        <w:top w:val="none" w:sz="0" w:space="0" w:color="auto"/>
        <w:left w:val="none" w:sz="0" w:space="0" w:color="auto"/>
        <w:bottom w:val="none" w:sz="0" w:space="0" w:color="auto"/>
        <w:right w:val="none" w:sz="0" w:space="0" w:color="auto"/>
      </w:divBdr>
    </w:div>
    <w:div w:id="1038697625">
      <w:bodyDiv w:val="1"/>
      <w:marLeft w:val="0"/>
      <w:marRight w:val="0"/>
      <w:marTop w:val="0"/>
      <w:marBottom w:val="0"/>
      <w:divBdr>
        <w:top w:val="none" w:sz="0" w:space="0" w:color="auto"/>
        <w:left w:val="none" w:sz="0" w:space="0" w:color="auto"/>
        <w:bottom w:val="none" w:sz="0" w:space="0" w:color="auto"/>
        <w:right w:val="none" w:sz="0" w:space="0" w:color="auto"/>
      </w:divBdr>
    </w:div>
    <w:div w:id="1039014829">
      <w:bodyDiv w:val="1"/>
      <w:marLeft w:val="0"/>
      <w:marRight w:val="0"/>
      <w:marTop w:val="0"/>
      <w:marBottom w:val="0"/>
      <w:divBdr>
        <w:top w:val="none" w:sz="0" w:space="0" w:color="auto"/>
        <w:left w:val="none" w:sz="0" w:space="0" w:color="auto"/>
        <w:bottom w:val="none" w:sz="0" w:space="0" w:color="auto"/>
        <w:right w:val="none" w:sz="0" w:space="0" w:color="auto"/>
      </w:divBdr>
    </w:div>
    <w:div w:id="1039083976">
      <w:bodyDiv w:val="1"/>
      <w:marLeft w:val="0"/>
      <w:marRight w:val="0"/>
      <w:marTop w:val="0"/>
      <w:marBottom w:val="0"/>
      <w:divBdr>
        <w:top w:val="none" w:sz="0" w:space="0" w:color="auto"/>
        <w:left w:val="none" w:sz="0" w:space="0" w:color="auto"/>
        <w:bottom w:val="none" w:sz="0" w:space="0" w:color="auto"/>
        <w:right w:val="none" w:sz="0" w:space="0" w:color="auto"/>
      </w:divBdr>
    </w:div>
    <w:div w:id="1039091333">
      <w:bodyDiv w:val="1"/>
      <w:marLeft w:val="0"/>
      <w:marRight w:val="0"/>
      <w:marTop w:val="0"/>
      <w:marBottom w:val="0"/>
      <w:divBdr>
        <w:top w:val="none" w:sz="0" w:space="0" w:color="auto"/>
        <w:left w:val="none" w:sz="0" w:space="0" w:color="auto"/>
        <w:bottom w:val="none" w:sz="0" w:space="0" w:color="auto"/>
        <w:right w:val="none" w:sz="0" w:space="0" w:color="auto"/>
      </w:divBdr>
    </w:div>
    <w:div w:id="1039210714">
      <w:bodyDiv w:val="1"/>
      <w:marLeft w:val="0"/>
      <w:marRight w:val="0"/>
      <w:marTop w:val="0"/>
      <w:marBottom w:val="0"/>
      <w:divBdr>
        <w:top w:val="none" w:sz="0" w:space="0" w:color="auto"/>
        <w:left w:val="none" w:sz="0" w:space="0" w:color="auto"/>
        <w:bottom w:val="none" w:sz="0" w:space="0" w:color="auto"/>
        <w:right w:val="none" w:sz="0" w:space="0" w:color="auto"/>
      </w:divBdr>
    </w:div>
    <w:div w:id="1039277774">
      <w:bodyDiv w:val="1"/>
      <w:marLeft w:val="0"/>
      <w:marRight w:val="0"/>
      <w:marTop w:val="0"/>
      <w:marBottom w:val="0"/>
      <w:divBdr>
        <w:top w:val="none" w:sz="0" w:space="0" w:color="auto"/>
        <w:left w:val="none" w:sz="0" w:space="0" w:color="auto"/>
        <w:bottom w:val="none" w:sz="0" w:space="0" w:color="auto"/>
        <w:right w:val="none" w:sz="0" w:space="0" w:color="auto"/>
      </w:divBdr>
    </w:div>
    <w:div w:id="1039550326">
      <w:bodyDiv w:val="1"/>
      <w:marLeft w:val="0"/>
      <w:marRight w:val="0"/>
      <w:marTop w:val="0"/>
      <w:marBottom w:val="0"/>
      <w:divBdr>
        <w:top w:val="none" w:sz="0" w:space="0" w:color="auto"/>
        <w:left w:val="none" w:sz="0" w:space="0" w:color="auto"/>
        <w:bottom w:val="none" w:sz="0" w:space="0" w:color="auto"/>
        <w:right w:val="none" w:sz="0" w:space="0" w:color="auto"/>
      </w:divBdr>
    </w:div>
    <w:div w:id="1039551546">
      <w:bodyDiv w:val="1"/>
      <w:marLeft w:val="0"/>
      <w:marRight w:val="0"/>
      <w:marTop w:val="0"/>
      <w:marBottom w:val="0"/>
      <w:divBdr>
        <w:top w:val="none" w:sz="0" w:space="0" w:color="auto"/>
        <w:left w:val="none" w:sz="0" w:space="0" w:color="auto"/>
        <w:bottom w:val="none" w:sz="0" w:space="0" w:color="auto"/>
        <w:right w:val="none" w:sz="0" w:space="0" w:color="auto"/>
      </w:divBdr>
    </w:div>
    <w:div w:id="1039740743">
      <w:bodyDiv w:val="1"/>
      <w:marLeft w:val="0"/>
      <w:marRight w:val="0"/>
      <w:marTop w:val="0"/>
      <w:marBottom w:val="0"/>
      <w:divBdr>
        <w:top w:val="none" w:sz="0" w:space="0" w:color="auto"/>
        <w:left w:val="none" w:sz="0" w:space="0" w:color="auto"/>
        <w:bottom w:val="none" w:sz="0" w:space="0" w:color="auto"/>
        <w:right w:val="none" w:sz="0" w:space="0" w:color="auto"/>
      </w:divBdr>
    </w:div>
    <w:div w:id="1039742675">
      <w:bodyDiv w:val="1"/>
      <w:marLeft w:val="0"/>
      <w:marRight w:val="0"/>
      <w:marTop w:val="0"/>
      <w:marBottom w:val="0"/>
      <w:divBdr>
        <w:top w:val="none" w:sz="0" w:space="0" w:color="auto"/>
        <w:left w:val="none" w:sz="0" w:space="0" w:color="auto"/>
        <w:bottom w:val="none" w:sz="0" w:space="0" w:color="auto"/>
        <w:right w:val="none" w:sz="0" w:space="0" w:color="auto"/>
      </w:divBdr>
    </w:div>
    <w:div w:id="1039814281">
      <w:bodyDiv w:val="1"/>
      <w:marLeft w:val="0"/>
      <w:marRight w:val="0"/>
      <w:marTop w:val="0"/>
      <w:marBottom w:val="0"/>
      <w:divBdr>
        <w:top w:val="none" w:sz="0" w:space="0" w:color="auto"/>
        <w:left w:val="none" w:sz="0" w:space="0" w:color="auto"/>
        <w:bottom w:val="none" w:sz="0" w:space="0" w:color="auto"/>
        <w:right w:val="none" w:sz="0" w:space="0" w:color="auto"/>
      </w:divBdr>
    </w:div>
    <w:div w:id="1039819820">
      <w:bodyDiv w:val="1"/>
      <w:marLeft w:val="0"/>
      <w:marRight w:val="0"/>
      <w:marTop w:val="0"/>
      <w:marBottom w:val="0"/>
      <w:divBdr>
        <w:top w:val="none" w:sz="0" w:space="0" w:color="auto"/>
        <w:left w:val="none" w:sz="0" w:space="0" w:color="auto"/>
        <w:bottom w:val="none" w:sz="0" w:space="0" w:color="auto"/>
        <w:right w:val="none" w:sz="0" w:space="0" w:color="auto"/>
      </w:divBdr>
    </w:div>
    <w:div w:id="1039938992">
      <w:bodyDiv w:val="1"/>
      <w:marLeft w:val="0"/>
      <w:marRight w:val="0"/>
      <w:marTop w:val="0"/>
      <w:marBottom w:val="0"/>
      <w:divBdr>
        <w:top w:val="none" w:sz="0" w:space="0" w:color="auto"/>
        <w:left w:val="none" w:sz="0" w:space="0" w:color="auto"/>
        <w:bottom w:val="none" w:sz="0" w:space="0" w:color="auto"/>
        <w:right w:val="none" w:sz="0" w:space="0" w:color="auto"/>
      </w:divBdr>
    </w:div>
    <w:div w:id="1040007847">
      <w:bodyDiv w:val="1"/>
      <w:marLeft w:val="0"/>
      <w:marRight w:val="0"/>
      <w:marTop w:val="0"/>
      <w:marBottom w:val="0"/>
      <w:divBdr>
        <w:top w:val="none" w:sz="0" w:space="0" w:color="auto"/>
        <w:left w:val="none" w:sz="0" w:space="0" w:color="auto"/>
        <w:bottom w:val="none" w:sz="0" w:space="0" w:color="auto"/>
        <w:right w:val="none" w:sz="0" w:space="0" w:color="auto"/>
      </w:divBdr>
    </w:div>
    <w:div w:id="1040128188">
      <w:bodyDiv w:val="1"/>
      <w:marLeft w:val="0"/>
      <w:marRight w:val="0"/>
      <w:marTop w:val="0"/>
      <w:marBottom w:val="0"/>
      <w:divBdr>
        <w:top w:val="none" w:sz="0" w:space="0" w:color="auto"/>
        <w:left w:val="none" w:sz="0" w:space="0" w:color="auto"/>
        <w:bottom w:val="none" w:sz="0" w:space="0" w:color="auto"/>
        <w:right w:val="none" w:sz="0" w:space="0" w:color="auto"/>
      </w:divBdr>
    </w:div>
    <w:div w:id="1040203350">
      <w:bodyDiv w:val="1"/>
      <w:marLeft w:val="0"/>
      <w:marRight w:val="0"/>
      <w:marTop w:val="0"/>
      <w:marBottom w:val="0"/>
      <w:divBdr>
        <w:top w:val="none" w:sz="0" w:space="0" w:color="auto"/>
        <w:left w:val="none" w:sz="0" w:space="0" w:color="auto"/>
        <w:bottom w:val="none" w:sz="0" w:space="0" w:color="auto"/>
        <w:right w:val="none" w:sz="0" w:space="0" w:color="auto"/>
      </w:divBdr>
    </w:div>
    <w:div w:id="1040206277">
      <w:bodyDiv w:val="1"/>
      <w:marLeft w:val="0"/>
      <w:marRight w:val="0"/>
      <w:marTop w:val="0"/>
      <w:marBottom w:val="0"/>
      <w:divBdr>
        <w:top w:val="none" w:sz="0" w:space="0" w:color="auto"/>
        <w:left w:val="none" w:sz="0" w:space="0" w:color="auto"/>
        <w:bottom w:val="none" w:sz="0" w:space="0" w:color="auto"/>
        <w:right w:val="none" w:sz="0" w:space="0" w:color="auto"/>
      </w:divBdr>
    </w:div>
    <w:div w:id="1040279194">
      <w:bodyDiv w:val="1"/>
      <w:marLeft w:val="0"/>
      <w:marRight w:val="0"/>
      <w:marTop w:val="0"/>
      <w:marBottom w:val="0"/>
      <w:divBdr>
        <w:top w:val="none" w:sz="0" w:space="0" w:color="auto"/>
        <w:left w:val="none" w:sz="0" w:space="0" w:color="auto"/>
        <w:bottom w:val="none" w:sz="0" w:space="0" w:color="auto"/>
        <w:right w:val="none" w:sz="0" w:space="0" w:color="auto"/>
      </w:divBdr>
    </w:div>
    <w:div w:id="1040285249">
      <w:bodyDiv w:val="1"/>
      <w:marLeft w:val="0"/>
      <w:marRight w:val="0"/>
      <w:marTop w:val="0"/>
      <w:marBottom w:val="0"/>
      <w:divBdr>
        <w:top w:val="none" w:sz="0" w:space="0" w:color="auto"/>
        <w:left w:val="none" w:sz="0" w:space="0" w:color="auto"/>
        <w:bottom w:val="none" w:sz="0" w:space="0" w:color="auto"/>
        <w:right w:val="none" w:sz="0" w:space="0" w:color="auto"/>
      </w:divBdr>
    </w:div>
    <w:div w:id="1040322320">
      <w:bodyDiv w:val="1"/>
      <w:marLeft w:val="0"/>
      <w:marRight w:val="0"/>
      <w:marTop w:val="0"/>
      <w:marBottom w:val="0"/>
      <w:divBdr>
        <w:top w:val="none" w:sz="0" w:space="0" w:color="auto"/>
        <w:left w:val="none" w:sz="0" w:space="0" w:color="auto"/>
        <w:bottom w:val="none" w:sz="0" w:space="0" w:color="auto"/>
        <w:right w:val="none" w:sz="0" w:space="0" w:color="auto"/>
      </w:divBdr>
    </w:div>
    <w:div w:id="1040328115">
      <w:bodyDiv w:val="1"/>
      <w:marLeft w:val="0"/>
      <w:marRight w:val="0"/>
      <w:marTop w:val="0"/>
      <w:marBottom w:val="0"/>
      <w:divBdr>
        <w:top w:val="none" w:sz="0" w:space="0" w:color="auto"/>
        <w:left w:val="none" w:sz="0" w:space="0" w:color="auto"/>
        <w:bottom w:val="none" w:sz="0" w:space="0" w:color="auto"/>
        <w:right w:val="none" w:sz="0" w:space="0" w:color="auto"/>
      </w:divBdr>
    </w:div>
    <w:div w:id="1040478932">
      <w:bodyDiv w:val="1"/>
      <w:marLeft w:val="0"/>
      <w:marRight w:val="0"/>
      <w:marTop w:val="0"/>
      <w:marBottom w:val="0"/>
      <w:divBdr>
        <w:top w:val="none" w:sz="0" w:space="0" w:color="auto"/>
        <w:left w:val="none" w:sz="0" w:space="0" w:color="auto"/>
        <w:bottom w:val="none" w:sz="0" w:space="0" w:color="auto"/>
        <w:right w:val="none" w:sz="0" w:space="0" w:color="auto"/>
      </w:divBdr>
    </w:div>
    <w:div w:id="1040591135">
      <w:bodyDiv w:val="1"/>
      <w:marLeft w:val="0"/>
      <w:marRight w:val="0"/>
      <w:marTop w:val="0"/>
      <w:marBottom w:val="0"/>
      <w:divBdr>
        <w:top w:val="none" w:sz="0" w:space="0" w:color="auto"/>
        <w:left w:val="none" w:sz="0" w:space="0" w:color="auto"/>
        <w:bottom w:val="none" w:sz="0" w:space="0" w:color="auto"/>
        <w:right w:val="none" w:sz="0" w:space="0" w:color="auto"/>
      </w:divBdr>
    </w:div>
    <w:div w:id="1040591475">
      <w:bodyDiv w:val="1"/>
      <w:marLeft w:val="0"/>
      <w:marRight w:val="0"/>
      <w:marTop w:val="0"/>
      <w:marBottom w:val="0"/>
      <w:divBdr>
        <w:top w:val="none" w:sz="0" w:space="0" w:color="auto"/>
        <w:left w:val="none" w:sz="0" w:space="0" w:color="auto"/>
        <w:bottom w:val="none" w:sz="0" w:space="0" w:color="auto"/>
        <w:right w:val="none" w:sz="0" w:space="0" w:color="auto"/>
      </w:divBdr>
    </w:div>
    <w:div w:id="1040593419">
      <w:bodyDiv w:val="1"/>
      <w:marLeft w:val="0"/>
      <w:marRight w:val="0"/>
      <w:marTop w:val="0"/>
      <w:marBottom w:val="0"/>
      <w:divBdr>
        <w:top w:val="none" w:sz="0" w:space="0" w:color="auto"/>
        <w:left w:val="none" w:sz="0" w:space="0" w:color="auto"/>
        <w:bottom w:val="none" w:sz="0" w:space="0" w:color="auto"/>
        <w:right w:val="none" w:sz="0" w:space="0" w:color="auto"/>
      </w:divBdr>
    </w:div>
    <w:div w:id="1040667096">
      <w:bodyDiv w:val="1"/>
      <w:marLeft w:val="0"/>
      <w:marRight w:val="0"/>
      <w:marTop w:val="0"/>
      <w:marBottom w:val="0"/>
      <w:divBdr>
        <w:top w:val="none" w:sz="0" w:space="0" w:color="auto"/>
        <w:left w:val="none" w:sz="0" w:space="0" w:color="auto"/>
        <w:bottom w:val="none" w:sz="0" w:space="0" w:color="auto"/>
        <w:right w:val="none" w:sz="0" w:space="0" w:color="auto"/>
      </w:divBdr>
    </w:div>
    <w:div w:id="1040668355">
      <w:bodyDiv w:val="1"/>
      <w:marLeft w:val="0"/>
      <w:marRight w:val="0"/>
      <w:marTop w:val="0"/>
      <w:marBottom w:val="0"/>
      <w:divBdr>
        <w:top w:val="none" w:sz="0" w:space="0" w:color="auto"/>
        <w:left w:val="none" w:sz="0" w:space="0" w:color="auto"/>
        <w:bottom w:val="none" w:sz="0" w:space="0" w:color="auto"/>
        <w:right w:val="none" w:sz="0" w:space="0" w:color="auto"/>
      </w:divBdr>
    </w:div>
    <w:div w:id="1040669593">
      <w:bodyDiv w:val="1"/>
      <w:marLeft w:val="0"/>
      <w:marRight w:val="0"/>
      <w:marTop w:val="0"/>
      <w:marBottom w:val="0"/>
      <w:divBdr>
        <w:top w:val="none" w:sz="0" w:space="0" w:color="auto"/>
        <w:left w:val="none" w:sz="0" w:space="0" w:color="auto"/>
        <w:bottom w:val="none" w:sz="0" w:space="0" w:color="auto"/>
        <w:right w:val="none" w:sz="0" w:space="0" w:color="auto"/>
      </w:divBdr>
    </w:div>
    <w:div w:id="1040781076">
      <w:bodyDiv w:val="1"/>
      <w:marLeft w:val="0"/>
      <w:marRight w:val="0"/>
      <w:marTop w:val="0"/>
      <w:marBottom w:val="0"/>
      <w:divBdr>
        <w:top w:val="none" w:sz="0" w:space="0" w:color="auto"/>
        <w:left w:val="none" w:sz="0" w:space="0" w:color="auto"/>
        <w:bottom w:val="none" w:sz="0" w:space="0" w:color="auto"/>
        <w:right w:val="none" w:sz="0" w:space="0" w:color="auto"/>
      </w:divBdr>
    </w:div>
    <w:div w:id="1040789989">
      <w:bodyDiv w:val="1"/>
      <w:marLeft w:val="0"/>
      <w:marRight w:val="0"/>
      <w:marTop w:val="0"/>
      <w:marBottom w:val="0"/>
      <w:divBdr>
        <w:top w:val="none" w:sz="0" w:space="0" w:color="auto"/>
        <w:left w:val="none" w:sz="0" w:space="0" w:color="auto"/>
        <w:bottom w:val="none" w:sz="0" w:space="0" w:color="auto"/>
        <w:right w:val="none" w:sz="0" w:space="0" w:color="auto"/>
      </w:divBdr>
    </w:div>
    <w:div w:id="1040860201">
      <w:bodyDiv w:val="1"/>
      <w:marLeft w:val="0"/>
      <w:marRight w:val="0"/>
      <w:marTop w:val="0"/>
      <w:marBottom w:val="0"/>
      <w:divBdr>
        <w:top w:val="none" w:sz="0" w:space="0" w:color="auto"/>
        <w:left w:val="none" w:sz="0" w:space="0" w:color="auto"/>
        <w:bottom w:val="none" w:sz="0" w:space="0" w:color="auto"/>
        <w:right w:val="none" w:sz="0" w:space="0" w:color="auto"/>
      </w:divBdr>
    </w:div>
    <w:div w:id="1040981976">
      <w:bodyDiv w:val="1"/>
      <w:marLeft w:val="0"/>
      <w:marRight w:val="0"/>
      <w:marTop w:val="0"/>
      <w:marBottom w:val="0"/>
      <w:divBdr>
        <w:top w:val="none" w:sz="0" w:space="0" w:color="auto"/>
        <w:left w:val="none" w:sz="0" w:space="0" w:color="auto"/>
        <w:bottom w:val="none" w:sz="0" w:space="0" w:color="auto"/>
        <w:right w:val="none" w:sz="0" w:space="0" w:color="auto"/>
      </w:divBdr>
    </w:div>
    <w:div w:id="1041052994">
      <w:bodyDiv w:val="1"/>
      <w:marLeft w:val="0"/>
      <w:marRight w:val="0"/>
      <w:marTop w:val="0"/>
      <w:marBottom w:val="0"/>
      <w:divBdr>
        <w:top w:val="none" w:sz="0" w:space="0" w:color="auto"/>
        <w:left w:val="none" w:sz="0" w:space="0" w:color="auto"/>
        <w:bottom w:val="none" w:sz="0" w:space="0" w:color="auto"/>
        <w:right w:val="none" w:sz="0" w:space="0" w:color="auto"/>
      </w:divBdr>
    </w:div>
    <w:div w:id="1041056378">
      <w:bodyDiv w:val="1"/>
      <w:marLeft w:val="0"/>
      <w:marRight w:val="0"/>
      <w:marTop w:val="0"/>
      <w:marBottom w:val="0"/>
      <w:divBdr>
        <w:top w:val="none" w:sz="0" w:space="0" w:color="auto"/>
        <w:left w:val="none" w:sz="0" w:space="0" w:color="auto"/>
        <w:bottom w:val="none" w:sz="0" w:space="0" w:color="auto"/>
        <w:right w:val="none" w:sz="0" w:space="0" w:color="auto"/>
      </w:divBdr>
    </w:div>
    <w:div w:id="1041325248">
      <w:bodyDiv w:val="1"/>
      <w:marLeft w:val="0"/>
      <w:marRight w:val="0"/>
      <w:marTop w:val="0"/>
      <w:marBottom w:val="0"/>
      <w:divBdr>
        <w:top w:val="none" w:sz="0" w:space="0" w:color="auto"/>
        <w:left w:val="none" w:sz="0" w:space="0" w:color="auto"/>
        <w:bottom w:val="none" w:sz="0" w:space="0" w:color="auto"/>
        <w:right w:val="none" w:sz="0" w:space="0" w:color="auto"/>
      </w:divBdr>
    </w:div>
    <w:div w:id="1041515912">
      <w:bodyDiv w:val="1"/>
      <w:marLeft w:val="0"/>
      <w:marRight w:val="0"/>
      <w:marTop w:val="0"/>
      <w:marBottom w:val="0"/>
      <w:divBdr>
        <w:top w:val="none" w:sz="0" w:space="0" w:color="auto"/>
        <w:left w:val="none" w:sz="0" w:space="0" w:color="auto"/>
        <w:bottom w:val="none" w:sz="0" w:space="0" w:color="auto"/>
        <w:right w:val="none" w:sz="0" w:space="0" w:color="auto"/>
      </w:divBdr>
    </w:div>
    <w:div w:id="1041590757">
      <w:bodyDiv w:val="1"/>
      <w:marLeft w:val="0"/>
      <w:marRight w:val="0"/>
      <w:marTop w:val="0"/>
      <w:marBottom w:val="0"/>
      <w:divBdr>
        <w:top w:val="none" w:sz="0" w:space="0" w:color="auto"/>
        <w:left w:val="none" w:sz="0" w:space="0" w:color="auto"/>
        <w:bottom w:val="none" w:sz="0" w:space="0" w:color="auto"/>
        <w:right w:val="none" w:sz="0" w:space="0" w:color="auto"/>
      </w:divBdr>
    </w:div>
    <w:div w:id="1041633414">
      <w:bodyDiv w:val="1"/>
      <w:marLeft w:val="0"/>
      <w:marRight w:val="0"/>
      <w:marTop w:val="0"/>
      <w:marBottom w:val="0"/>
      <w:divBdr>
        <w:top w:val="none" w:sz="0" w:space="0" w:color="auto"/>
        <w:left w:val="none" w:sz="0" w:space="0" w:color="auto"/>
        <w:bottom w:val="none" w:sz="0" w:space="0" w:color="auto"/>
        <w:right w:val="none" w:sz="0" w:space="0" w:color="auto"/>
      </w:divBdr>
    </w:div>
    <w:div w:id="1041903595">
      <w:bodyDiv w:val="1"/>
      <w:marLeft w:val="0"/>
      <w:marRight w:val="0"/>
      <w:marTop w:val="0"/>
      <w:marBottom w:val="0"/>
      <w:divBdr>
        <w:top w:val="none" w:sz="0" w:space="0" w:color="auto"/>
        <w:left w:val="none" w:sz="0" w:space="0" w:color="auto"/>
        <w:bottom w:val="none" w:sz="0" w:space="0" w:color="auto"/>
        <w:right w:val="none" w:sz="0" w:space="0" w:color="auto"/>
      </w:divBdr>
    </w:div>
    <w:div w:id="1041906792">
      <w:bodyDiv w:val="1"/>
      <w:marLeft w:val="0"/>
      <w:marRight w:val="0"/>
      <w:marTop w:val="0"/>
      <w:marBottom w:val="0"/>
      <w:divBdr>
        <w:top w:val="none" w:sz="0" w:space="0" w:color="auto"/>
        <w:left w:val="none" w:sz="0" w:space="0" w:color="auto"/>
        <w:bottom w:val="none" w:sz="0" w:space="0" w:color="auto"/>
        <w:right w:val="none" w:sz="0" w:space="0" w:color="auto"/>
      </w:divBdr>
    </w:div>
    <w:div w:id="1042049504">
      <w:bodyDiv w:val="1"/>
      <w:marLeft w:val="0"/>
      <w:marRight w:val="0"/>
      <w:marTop w:val="0"/>
      <w:marBottom w:val="0"/>
      <w:divBdr>
        <w:top w:val="none" w:sz="0" w:space="0" w:color="auto"/>
        <w:left w:val="none" w:sz="0" w:space="0" w:color="auto"/>
        <w:bottom w:val="none" w:sz="0" w:space="0" w:color="auto"/>
        <w:right w:val="none" w:sz="0" w:space="0" w:color="auto"/>
      </w:divBdr>
    </w:div>
    <w:div w:id="1042249245">
      <w:bodyDiv w:val="1"/>
      <w:marLeft w:val="0"/>
      <w:marRight w:val="0"/>
      <w:marTop w:val="0"/>
      <w:marBottom w:val="0"/>
      <w:divBdr>
        <w:top w:val="none" w:sz="0" w:space="0" w:color="auto"/>
        <w:left w:val="none" w:sz="0" w:space="0" w:color="auto"/>
        <w:bottom w:val="none" w:sz="0" w:space="0" w:color="auto"/>
        <w:right w:val="none" w:sz="0" w:space="0" w:color="auto"/>
      </w:divBdr>
    </w:div>
    <w:div w:id="1042290963">
      <w:bodyDiv w:val="1"/>
      <w:marLeft w:val="0"/>
      <w:marRight w:val="0"/>
      <w:marTop w:val="0"/>
      <w:marBottom w:val="0"/>
      <w:divBdr>
        <w:top w:val="none" w:sz="0" w:space="0" w:color="auto"/>
        <w:left w:val="none" w:sz="0" w:space="0" w:color="auto"/>
        <w:bottom w:val="none" w:sz="0" w:space="0" w:color="auto"/>
        <w:right w:val="none" w:sz="0" w:space="0" w:color="auto"/>
      </w:divBdr>
    </w:div>
    <w:div w:id="1042291508">
      <w:bodyDiv w:val="1"/>
      <w:marLeft w:val="0"/>
      <w:marRight w:val="0"/>
      <w:marTop w:val="0"/>
      <w:marBottom w:val="0"/>
      <w:divBdr>
        <w:top w:val="none" w:sz="0" w:space="0" w:color="auto"/>
        <w:left w:val="none" w:sz="0" w:space="0" w:color="auto"/>
        <w:bottom w:val="none" w:sz="0" w:space="0" w:color="auto"/>
        <w:right w:val="none" w:sz="0" w:space="0" w:color="auto"/>
      </w:divBdr>
    </w:div>
    <w:div w:id="1042437844">
      <w:bodyDiv w:val="1"/>
      <w:marLeft w:val="0"/>
      <w:marRight w:val="0"/>
      <w:marTop w:val="0"/>
      <w:marBottom w:val="0"/>
      <w:divBdr>
        <w:top w:val="none" w:sz="0" w:space="0" w:color="auto"/>
        <w:left w:val="none" w:sz="0" w:space="0" w:color="auto"/>
        <w:bottom w:val="none" w:sz="0" w:space="0" w:color="auto"/>
        <w:right w:val="none" w:sz="0" w:space="0" w:color="auto"/>
      </w:divBdr>
    </w:div>
    <w:div w:id="1042636054">
      <w:bodyDiv w:val="1"/>
      <w:marLeft w:val="0"/>
      <w:marRight w:val="0"/>
      <w:marTop w:val="0"/>
      <w:marBottom w:val="0"/>
      <w:divBdr>
        <w:top w:val="none" w:sz="0" w:space="0" w:color="auto"/>
        <w:left w:val="none" w:sz="0" w:space="0" w:color="auto"/>
        <w:bottom w:val="none" w:sz="0" w:space="0" w:color="auto"/>
        <w:right w:val="none" w:sz="0" w:space="0" w:color="auto"/>
      </w:divBdr>
    </w:div>
    <w:div w:id="1042823729">
      <w:bodyDiv w:val="1"/>
      <w:marLeft w:val="0"/>
      <w:marRight w:val="0"/>
      <w:marTop w:val="0"/>
      <w:marBottom w:val="0"/>
      <w:divBdr>
        <w:top w:val="none" w:sz="0" w:space="0" w:color="auto"/>
        <w:left w:val="none" w:sz="0" w:space="0" w:color="auto"/>
        <w:bottom w:val="none" w:sz="0" w:space="0" w:color="auto"/>
        <w:right w:val="none" w:sz="0" w:space="0" w:color="auto"/>
      </w:divBdr>
    </w:div>
    <w:div w:id="1042828300">
      <w:bodyDiv w:val="1"/>
      <w:marLeft w:val="0"/>
      <w:marRight w:val="0"/>
      <w:marTop w:val="0"/>
      <w:marBottom w:val="0"/>
      <w:divBdr>
        <w:top w:val="none" w:sz="0" w:space="0" w:color="auto"/>
        <w:left w:val="none" w:sz="0" w:space="0" w:color="auto"/>
        <w:bottom w:val="none" w:sz="0" w:space="0" w:color="auto"/>
        <w:right w:val="none" w:sz="0" w:space="0" w:color="auto"/>
      </w:divBdr>
    </w:div>
    <w:div w:id="1042899255">
      <w:bodyDiv w:val="1"/>
      <w:marLeft w:val="0"/>
      <w:marRight w:val="0"/>
      <w:marTop w:val="0"/>
      <w:marBottom w:val="0"/>
      <w:divBdr>
        <w:top w:val="none" w:sz="0" w:space="0" w:color="auto"/>
        <w:left w:val="none" w:sz="0" w:space="0" w:color="auto"/>
        <w:bottom w:val="none" w:sz="0" w:space="0" w:color="auto"/>
        <w:right w:val="none" w:sz="0" w:space="0" w:color="auto"/>
      </w:divBdr>
    </w:div>
    <w:div w:id="1042901046">
      <w:bodyDiv w:val="1"/>
      <w:marLeft w:val="0"/>
      <w:marRight w:val="0"/>
      <w:marTop w:val="0"/>
      <w:marBottom w:val="0"/>
      <w:divBdr>
        <w:top w:val="none" w:sz="0" w:space="0" w:color="auto"/>
        <w:left w:val="none" w:sz="0" w:space="0" w:color="auto"/>
        <w:bottom w:val="none" w:sz="0" w:space="0" w:color="auto"/>
        <w:right w:val="none" w:sz="0" w:space="0" w:color="auto"/>
      </w:divBdr>
    </w:div>
    <w:div w:id="1042944193">
      <w:bodyDiv w:val="1"/>
      <w:marLeft w:val="0"/>
      <w:marRight w:val="0"/>
      <w:marTop w:val="0"/>
      <w:marBottom w:val="0"/>
      <w:divBdr>
        <w:top w:val="none" w:sz="0" w:space="0" w:color="auto"/>
        <w:left w:val="none" w:sz="0" w:space="0" w:color="auto"/>
        <w:bottom w:val="none" w:sz="0" w:space="0" w:color="auto"/>
        <w:right w:val="none" w:sz="0" w:space="0" w:color="auto"/>
      </w:divBdr>
    </w:div>
    <w:div w:id="1043022089">
      <w:bodyDiv w:val="1"/>
      <w:marLeft w:val="0"/>
      <w:marRight w:val="0"/>
      <w:marTop w:val="0"/>
      <w:marBottom w:val="0"/>
      <w:divBdr>
        <w:top w:val="none" w:sz="0" w:space="0" w:color="auto"/>
        <w:left w:val="none" w:sz="0" w:space="0" w:color="auto"/>
        <w:bottom w:val="none" w:sz="0" w:space="0" w:color="auto"/>
        <w:right w:val="none" w:sz="0" w:space="0" w:color="auto"/>
      </w:divBdr>
    </w:div>
    <w:div w:id="1043022552">
      <w:bodyDiv w:val="1"/>
      <w:marLeft w:val="0"/>
      <w:marRight w:val="0"/>
      <w:marTop w:val="0"/>
      <w:marBottom w:val="0"/>
      <w:divBdr>
        <w:top w:val="none" w:sz="0" w:space="0" w:color="auto"/>
        <w:left w:val="none" w:sz="0" w:space="0" w:color="auto"/>
        <w:bottom w:val="none" w:sz="0" w:space="0" w:color="auto"/>
        <w:right w:val="none" w:sz="0" w:space="0" w:color="auto"/>
      </w:divBdr>
    </w:div>
    <w:div w:id="1043023629">
      <w:bodyDiv w:val="1"/>
      <w:marLeft w:val="0"/>
      <w:marRight w:val="0"/>
      <w:marTop w:val="0"/>
      <w:marBottom w:val="0"/>
      <w:divBdr>
        <w:top w:val="none" w:sz="0" w:space="0" w:color="auto"/>
        <w:left w:val="none" w:sz="0" w:space="0" w:color="auto"/>
        <w:bottom w:val="none" w:sz="0" w:space="0" w:color="auto"/>
        <w:right w:val="none" w:sz="0" w:space="0" w:color="auto"/>
      </w:divBdr>
    </w:div>
    <w:div w:id="1043208442">
      <w:bodyDiv w:val="1"/>
      <w:marLeft w:val="0"/>
      <w:marRight w:val="0"/>
      <w:marTop w:val="0"/>
      <w:marBottom w:val="0"/>
      <w:divBdr>
        <w:top w:val="none" w:sz="0" w:space="0" w:color="auto"/>
        <w:left w:val="none" w:sz="0" w:space="0" w:color="auto"/>
        <w:bottom w:val="none" w:sz="0" w:space="0" w:color="auto"/>
        <w:right w:val="none" w:sz="0" w:space="0" w:color="auto"/>
      </w:divBdr>
    </w:div>
    <w:div w:id="1043482637">
      <w:bodyDiv w:val="1"/>
      <w:marLeft w:val="0"/>
      <w:marRight w:val="0"/>
      <w:marTop w:val="0"/>
      <w:marBottom w:val="0"/>
      <w:divBdr>
        <w:top w:val="none" w:sz="0" w:space="0" w:color="auto"/>
        <w:left w:val="none" w:sz="0" w:space="0" w:color="auto"/>
        <w:bottom w:val="none" w:sz="0" w:space="0" w:color="auto"/>
        <w:right w:val="none" w:sz="0" w:space="0" w:color="auto"/>
      </w:divBdr>
    </w:div>
    <w:div w:id="1043553263">
      <w:bodyDiv w:val="1"/>
      <w:marLeft w:val="0"/>
      <w:marRight w:val="0"/>
      <w:marTop w:val="0"/>
      <w:marBottom w:val="0"/>
      <w:divBdr>
        <w:top w:val="none" w:sz="0" w:space="0" w:color="auto"/>
        <w:left w:val="none" w:sz="0" w:space="0" w:color="auto"/>
        <w:bottom w:val="none" w:sz="0" w:space="0" w:color="auto"/>
        <w:right w:val="none" w:sz="0" w:space="0" w:color="auto"/>
      </w:divBdr>
    </w:div>
    <w:div w:id="1043672113">
      <w:bodyDiv w:val="1"/>
      <w:marLeft w:val="0"/>
      <w:marRight w:val="0"/>
      <w:marTop w:val="0"/>
      <w:marBottom w:val="0"/>
      <w:divBdr>
        <w:top w:val="none" w:sz="0" w:space="0" w:color="auto"/>
        <w:left w:val="none" w:sz="0" w:space="0" w:color="auto"/>
        <w:bottom w:val="none" w:sz="0" w:space="0" w:color="auto"/>
        <w:right w:val="none" w:sz="0" w:space="0" w:color="auto"/>
      </w:divBdr>
    </w:div>
    <w:div w:id="1043749211">
      <w:bodyDiv w:val="1"/>
      <w:marLeft w:val="0"/>
      <w:marRight w:val="0"/>
      <w:marTop w:val="0"/>
      <w:marBottom w:val="0"/>
      <w:divBdr>
        <w:top w:val="none" w:sz="0" w:space="0" w:color="auto"/>
        <w:left w:val="none" w:sz="0" w:space="0" w:color="auto"/>
        <w:bottom w:val="none" w:sz="0" w:space="0" w:color="auto"/>
        <w:right w:val="none" w:sz="0" w:space="0" w:color="auto"/>
      </w:divBdr>
    </w:div>
    <w:div w:id="1043753234">
      <w:bodyDiv w:val="1"/>
      <w:marLeft w:val="0"/>
      <w:marRight w:val="0"/>
      <w:marTop w:val="0"/>
      <w:marBottom w:val="0"/>
      <w:divBdr>
        <w:top w:val="none" w:sz="0" w:space="0" w:color="auto"/>
        <w:left w:val="none" w:sz="0" w:space="0" w:color="auto"/>
        <w:bottom w:val="none" w:sz="0" w:space="0" w:color="auto"/>
        <w:right w:val="none" w:sz="0" w:space="0" w:color="auto"/>
      </w:divBdr>
    </w:div>
    <w:div w:id="1043753834">
      <w:bodyDiv w:val="1"/>
      <w:marLeft w:val="0"/>
      <w:marRight w:val="0"/>
      <w:marTop w:val="0"/>
      <w:marBottom w:val="0"/>
      <w:divBdr>
        <w:top w:val="none" w:sz="0" w:space="0" w:color="auto"/>
        <w:left w:val="none" w:sz="0" w:space="0" w:color="auto"/>
        <w:bottom w:val="none" w:sz="0" w:space="0" w:color="auto"/>
        <w:right w:val="none" w:sz="0" w:space="0" w:color="auto"/>
      </w:divBdr>
    </w:div>
    <w:div w:id="1043866581">
      <w:bodyDiv w:val="1"/>
      <w:marLeft w:val="0"/>
      <w:marRight w:val="0"/>
      <w:marTop w:val="0"/>
      <w:marBottom w:val="0"/>
      <w:divBdr>
        <w:top w:val="none" w:sz="0" w:space="0" w:color="auto"/>
        <w:left w:val="none" w:sz="0" w:space="0" w:color="auto"/>
        <w:bottom w:val="none" w:sz="0" w:space="0" w:color="auto"/>
        <w:right w:val="none" w:sz="0" w:space="0" w:color="auto"/>
      </w:divBdr>
    </w:div>
    <w:div w:id="1043871767">
      <w:bodyDiv w:val="1"/>
      <w:marLeft w:val="0"/>
      <w:marRight w:val="0"/>
      <w:marTop w:val="0"/>
      <w:marBottom w:val="0"/>
      <w:divBdr>
        <w:top w:val="none" w:sz="0" w:space="0" w:color="auto"/>
        <w:left w:val="none" w:sz="0" w:space="0" w:color="auto"/>
        <w:bottom w:val="none" w:sz="0" w:space="0" w:color="auto"/>
        <w:right w:val="none" w:sz="0" w:space="0" w:color="auto"/>
      </w:divBdr>
    </w:div>
    <w:div w:id="1044132269">
      <w:bodyDiv w:val="1"/>
      <w:marLeft w:val="0"/>
      <w:marRight w:val="0"/>
      <w:marTop w:val="0"/>
      <w:marBottom w:val="0"/>
      <w:divBdr>
        <w:top w:val="none" w:sz="0" w:space="0" w:color="auto"/>
        <w:left w:val="none" w:sz="0" w:space="0" w:color="auto"/>
        <w:bottom w:val="none" w:sz="0" w:space="0" w:color="auto"/>
        <w:right w:val="none" w:sz="0" w:space="0" w:color="auto"/>
      </w:divBdr>
    </w:div>
    <w:div w:id="1044208688">
      <w:bodyDiv w:val="1"/>
      <w:marLeft w:val="0"/>
      <w:marRight w:val="0"/>
      <w:marTop w:val="0"/>
      <w:marBottom w:val="0"/>
      <w:divBdr>
        <w:top w:val="none" w:sz="0" w:space="0" w:color="auto"/>
        <w:left w:val="none" w:sz="0" w:space="0" w:color="auto"/>
        <w:bottom w:val="none" w:sz="0" w:space="0" w:color="auto"/>
        <w:right w:val="none" w:sz="0" w:space="0" w:color="auto"/>
      </w:divBdr>
    </w:div>
    <w:div w:id="1044209172">
      <w:bodyDiv w:val="1"/>
      <w:marLeft w:val="0"/>
      <w:marRight w:val="0"/>
      <w:marTop w:val="0"/>
      <w:marBottom w:val="0"/>
      <w:divBdr>
        <w:top w:val="none" w:sz="0" w:space="0" w:color="auto"/>
        <w:left w:val="none" w:sz="0" w:space="0" w:color="auto"/>
        <w:bottom w:val="none" w:sz="0" w:space="0" w:color="auto"/>
        <w:right w:val="none" w:sz="0" w:space="0" w:color="auto"/>
      </w:divBdr>
    </w:div>
    <w:div w:id="1044210916">
      <w:bodyDiv w:val="1"/>
      <w:marLeft w:val="0"/>
      <w:marRight w:val="0"/>
      <w:marTop w:val="0"/>
      <w:marBottom w:val="0"/>
      <w:divBdr>
        <w:top w:val="none" w:sz="0" w:space="0" w:color="auto"/>
        <w:left w:val="none" w:sz="0" w:space="0" w:color="auto"/>
        <w:bottom w:val="none" w:sz="0" w:space="0" w:color="auto"/>
        <w:right w:val="none" w:sz="0" w:space="0" w:color="auto"/>
      </w:divBdr>
    </w:div>
    <w:div w:id="1044250942">
      <w:bodyDiv w:val="1"/>
      <w:marLeft w:val="0"/>
      <w:marRight w:val="0"/>
      <w:marTop w:val="0"/>
      <w:marBottom w:val="0"/>
      <w:divBdr>
        <w:top w:val="none" w:sz="0" w:space="0" w:color="auto"/>
        <w:left w:val="none" w:sz="0" w:space="0" w:color="auto"/>
        <w:bottom w:val="none" w:sz="0" w:space="0" w:color="auto"/>
        <w:right w:val="none" w:sz="0" w:space="0" w:color="auto"/>
      </w:divBdr>
    </w:div>
    <w:div w:id="1044327295">
      <w:bodyDiv w:val="1"/>
      <w:marLeft w:val="0"/>
      <w:marRight w:val="0"/>
      <w:marTop w:val="0"/>
      <w:marBottom w:val="0"/>
      <w:divBdr>
        <w:top w:val="none" w:sz="0" w:space="0" w:color="auto"/>
        <w:left w:val="none" w:sz="0" w:space="0" w:color="auto"/>
        <w:bottom w:val="none" w:sz="0" w:space="0" w:color="auto"/>
        <w:right w:val="none" w:sz="0" w:space="0" w:color="auto"/>
      </w:divBdr>
    </w:div>
    <w:div w:id="1044333793">
      <w:bodyDiv w:val="1"/>
      <w:marLeft w:val="0"/>
      <w:marRight w:val="0"/>
      <w:marTop w:val="0"/>
      <w:marBottom w:val="0"/>
      <w:divBdr>
        <w:top w:val="none" w:sz="0" w:space="0" w:color="auto"/>
        <w:left w:val="none" w:sz="0" w:space="0" w:color="auto"/>
        <w:bottom w:val="none" w:sz="0" w:space="0" w:color="auto"/>
        <w:right w:val="none" w:sz="0" w:space="0" w:color="auto"/>
      </w:divBdr>
    </w:div>
    <w:div w:id="1044404127">
      <w:bodyDiv w:val="1"/>
      <w:marLeft w:val="0"/>
      <w:marRight w:val="0"/>
      <w:marTop w:val="0"/>
      <w:marBottom w:val="0"/>
      <w:divBdr>
        <w:top w:val="none" w:sz="0" w:space="0" w:color="auto"/>
        <w:left w:val="none" w:sz="0" w:space="0" w:color="auto"/>
        <w:bottom w:val="none" w:sz="0" w:space="0" w:color="auto"/>
        <w:right w:val="none" w:sz="0" w:space="0" w:color="auto"/>
      </w:divBdr>
    </w:div>
    <w:div w:id="1044448869">
      <w:bodyDiv w:val="1"/>
      <w:marLeft w:val="0"/>
      <w:marRight w:val="0"/>
      <w:marTop w:val="0"/>
      <w:marBottom w:val="0"/>
      <w:divBdr>
        <w:top w:val="none" w:sz="0" w:space="0" w:color="auto"/>
        <w:left w:val="none" w:sz="0" w:space="0" w:color="auto"/>
        <w:bottom w:val="none" w:sz="0" w:space="0" w:color="auto"/>
        <w:right w:val="none" w:sz="0" w:space="0" w:color="auto"/>
      </w:divBdr>
    </w:div>
    <w:div w:id="1044519380">
      <w:bodyDiv w:val="1"/>
      <w:marLeft w:val="0"/>
      <w:marRight w:val="0"/>
      <w:marTop w:val="0"/>
      <w:marBottom w:val="0"/>
      <w:divBdr>
        <w:top w:val="none" w:sz="0" w:space="0" w:color="auto"/>
        <w:left w:val="none" w:sz="0" w:space="0" w:color="auto"/>
        <w:bottom w:val="none" w:sz="0" w:space="0" w:color="auto"/>
        <w:right w:val="none" w:sz="0" w:space="0" w:color="auto"/>
      </w:divBdr>
    </w:div>
    <w:div w:id="1044525493">
      <w:bodyDiv w:val="1"/>
      <w:marLeft w:val="0"/>
      <w:marRight w:val="0"/>
      <w:marTop w:val="0"/>
      <w:marBottom w:val="0"/>
      <w:divBdr>
        <w:top w:val="none" w:sz="0" w:space="0" w:color="auto"/>
        <w:left w:val="none" w:sz="0" w:space="0" w:color="auto"/>
        <w:bottom w:val="none" w:sz="0" w:space="0" w:color="auto"/>
        <w:right w:val="none" w:sz="0" w:space="0" w:color="auto"/>
      </w:divBdr>
    </w:div>
    <w:div w:id="1044792141">
      <w:bodyDiv w:val="1"/>
      <w:marLeft w:val="0"/>
      <w:marRight w:val="0"/>
      <w:marTop w:val="0"/>
      <w:marBottom w:val="0"/>
      <w:divBdr>
        <w:top w:val="none" w:sz="0" w:space="0" w:color="auto"/>
        <w:left w:val="none" w:sz="0" w:space="0" w:color="auto"/>
        <w:bottom w:val="none" w:sz="0" w:space="0" w:color="auto"/>
        <w:right w:val="none" w:sz="0" w:space="0" w:color="auto"/>
      </w:divBdr>
    </w:div>
    <w:div w:id="1044870150">
      <w:bodyDiv w:val="1"/>
      <w:marLeft w:val="0"/>
      <w:marRight w:val="0"/>
      <w:marTop w:val="0"/>
      <w:marBottom w:val="0"/>
      <w:divBdr>
        <w:top w:val="none" w:sz="0" w:space="0" w:color="auto"/>
        <w:left w:val="none" w:sz="0" w:space="0" w:color="auto"/>
        <w:bottom w:val="none" w:sz="0" w:space="0" w:color="auto"/>
        <w:right w:val="none" w:sz="0" w:space="0" w:color="auto"/>
      </w:divBdr>
    </w:div>
    <w:div w:id="1044906270">
      <w:bodyDiv w:val="1"/>
      <w:marLeft w:val="0"/>
      <w:marRight w:val="0"/>
      <w:marTop w:val="0"/>
      <w:marBottom w:val="0"/>
      <w:divBdr>
        <w:top w:val="none" w:sz="0" w:space="0" w:color="auto"/>
        <w:left w:val="none" w:sz="0" w:space="0" w:color="auto"/>
        <w:bottom w:val="none" w:sz="0" w:space="0" w:color="auto"/>
        <w:right w:val="none" w:sz="0" w:space="0" w:color="auto"/>
      </w:divBdr>
    </w:div>
    <w:div w:id="1044914737">
      <w:bodyDiv w:val="1"/>
      <w:marLeft w:val="0"/>
      <w:marRight w:val="0"/>
      <w:marTop w:val="0"/>
      <w:marBottom w:val="0"/>
      <w:divBdr>
        <w:top w:val="none" w:sz="0" w:space="0" w:color="auto"/>
        <w:left w:val="none" w:sz="0" w:space="0" w:color="auto"/>
        <w:bottom w:val="none" w:sz="0" w:space="0" w:color="auto"/>
        <w:right w:val="none" w:sz="0" w:space="0" w:color="auto"/>
      </w:divBdr>
    </w:div>
    <w:div w:id="1044989304">
      <w:bodyDiv w:val="1"/>
      <w:marLeft w:val="0"/>
      <w:marRight w:val="0"/>
      <w:marTop w:val="0"/>
      <w:marBottom w:val="0"/>
      <w:divBdr>
        <w:top w:val="none" w:sz="0" w:space="0" w:color="auto"/>
        <w:left w:val="none" w:sz="0" w:space="0" w:color="auto"/>
        <w:bottom w:val="none" w:sz="0" w:space="0" w:color="auto"/>
        <w:right w:val="none" w:sz="0" w:space="0" w:color="auto"/>
      </w:divBdr>
    </w:div>
    <w:div w:id="1045175224">
      <w:bodyDiv w:val="1"/>
      <w:marLeft w:val="0"/>
      <w:marRight w:val="0"/>
      <w:marTop w:val="0"/>
      <w:marBottom w:val="0"/>
      <w:divBdr>
        <w:top w:val="none" w:sz="0" w:space="0" w:color="auto"/>
        <w:left w:val="none" w:sz="0" w:space="0" w:color="auto"/>
        <w:bottom w:val="none" w:sz="0" w:space="0" w:color="auto"/>
        <w:right w:val="none" w:sz="0" w:space="0" w:color="auto"/>
      </w:divBdr>
    </w:div>
    <w:div w:id="1045259268">
      <w:bodyDiv w:val="1"/>
      <w:marLeft w:val="0"/>
      <w:marRight w:val="0"/>
      <w:marTop w:val="0"/>
      <w:marBottom w:val="0"/>
      <w:divBdr>
        <w:top w:val="none" w:sz="0" w:space="0" w:color="auto"/>
        <w:left w:val="none" w:sz="0" w:space="0" w:color="auto"/>
        <w:bottom w:val="none" w:sz="0" w:space="0" w:color="auto"/>
        <w:right w:val="none" w:sz="0" w:space="0" w:color="auto"/>
      </w:divBdr>
    </w:div>
    <w:div w:id="1045446310">
      <w:bodyDiv w:val="1"/>
      <w:marLeft w:val="0"/>
      <w:marRight w:val="0"/>
      <w:marTop w:val="0"/>
      <w:marBottom w:val="0"/>
      <w:divBdr>
        <w:top w:val="none" w:sz="0" w:space="0" w:color="auto"/>
        <w:left w:val="none" w:sz="0" w:space="0" w:color="auto"/>
        <w:bottom w:val="none" w:sz="0" w:space="0" w:color="auto"/>
        <w:right w:val="none" w:sz="0" w:space="0" w:color="auto"/>
      </w:divBdr>
    </w:div>
    <w:div w:id="1045641041">
      <w:bodyDiv w:val="1"/>
      <w:marLeft w:val="0"/>
      <w:marRight w:val="0"/>
      <w:marTop w:val="0"/>
      <w:marBottom w:val="0"/>
      <w:divBdr>
        <w:top w:val="none" w:sz="0" w:space="0" w:color="auto"/>
        <w:left w:val="none" w:sz="0" w:space="0" w:color="auto"/>
        <w:bottom w:val="none" w:sz="0" w:space="0" w:color="auto"/>
        <w:right w:val="none" w:sz="0" w:space="0" w:color="auto"/>
      </w:divBdr>
    </w:div>
    <w:div w:id="1045641474">
      <w:bodyDiv w:val="1"/>
      <w:marLeft w:val="0"/>
      <w:marRight w:val="0"/>
      <w:marTop w:val="0"/>
      <w:marBottom w:val="0"/>
      <w:divBdr>
        <w:top w:val="none" w:sz="0" w:space="0" w:color="auto"/>
        <w:left w:val="none" w:sz="0" w:space="0" w:color="auto"/>
        <w:bottom w:val="none" w:sz="0" w:space="0" w:color="auto"/>
        <w:right w:val="none" w:sz="0" w:space="0" w:color="auto"/>
      </w:divBdr>
    </w:div>
    <w:div w:id="1045714228">
      <w:bodyDiv w:val="1"/>
      <w:marLeft w:val="0"/>
      <w:marRight w:val="0"/>
      <w:marTop w:val="0"/>
      <w:marBottom w:val="0"/>
      <w:divBdr>
        <w:top w:val="none" w:sz="0" w:space="0" w:color="auto"/>
        <w:left w:val="none" w:sz="0" w:space="0" w:color="auto"/>
        <w:bottom w:val="none" w:sz="0" w:space="0" w:color="auto"/>
        <w:right w:val="none" w:sz="0" w:space="0" w:color="auto"/>
      </w:divBdr>
    </w:div>
    <w:div w:id="1045913731">
      <w:bodyDiv w:val="1"/>
      <w:marLeft w:val="0"/>
      <w:marRight w:val="0"/>
      <w:marTop w:val="0"/>
      <w:marBottom w:val="0"/>
      <w:divBdr>
        <w:top w:val="none" w:sz="0" w:space="0" w:color="auto"/>
        <w:left w:val="none" w:sz="0" w:space="0" w:color="auto"/>
        <w:bottom w:val="none" w:sz="0" w:space="0" w:color="auto"/>
        <w:right w:val="none" w:sz="0" w:space="0" w:color="auto"/>
      </w:divBdr>
    </w:div>
    <w:div w:id="1045983262">
      <w:bodyDiv w:val="1"/>
      <w:marLeft w:val="0"/>
      <w:marRight w:val="0"/>
      <w:marTop w:val="0"/>
      <w:marBottom w:val="0"/>
      <w:divBdr>
        <w:top w:val="none" w:sz="0" w:space="0" w:color="auto"/>
        <w:left w:val="none" w:sz="0" w:space="0" w:color="auto"/>
        <w:bottom w:val="none" w:sz="0" w:space="0" w:color="auto"/>
        <w:right w:val="none" w:sz="0" w:space="0" w:color="auto"/>
      </w:divBdr>
    </w:div>
    <w:div w:id="1046023677">
      <w:bodyDiv w:val="1"/>
      <w:marLeft w:val="0"/>
      <w:marRight w:val="0"/>
      <w:marTop w:val="0"/>
      <w:marBottom w:val="0"/>
      <w:divBdr>
        <w:top w:val="none" w:sz="0" w:space="0" w:color="auto"/>
        <w:left w:val="none" w:sz="0" w:space="0" w:color="auto"/>
        <w:bottom w:val="none" w:sz="0" w:space="0" w:color="auto"/>
        <w:right w:val="none" w:sz="0" w:space="0" w:color="auto"/>
      </w:divBdr>
    </w:div>
    <w:div w:id="1046217821">
      <w:bodyDiv w:val="1"/>
      <w:marLeft w:val="0"/>
      <w:marRight w:val="0"/>
      <w:marTop w:val="0"/>
      <w:marBottom w:val="0"/>
      <w:divBdr>
        <w:top w:val="none" w:sz="0" w:space="0" w:color="auto"/>
        <w:left w:val="none" w:sz="0" w:space="0" w:color="auto"/>
        <w:bottom w:val="none" w:sz="0" w:space="0" w:color="auto"/>
        <w:right w:val="none" w:sz="0" w:space="0" w:color="auto"/>
      </w:divBdr>
    </w:div>
    <w:div w:id="1046291365">
      <w:bodyDiv w:val="1"/>
      <w:marLeft w:val="0"/>
      <w:marRight w:val="0"/>
      <w:marTop w:val="0"/>
      <w:marBottom w:val="0"/>
      <w:divBdr>
        <w:top w:val="none" w:sz="0" w:space="0" w:color="auto"/>
        <w:left w:val="none" w:sz="0" w:space="0" w:color="auto"/>
        <w:bottom w:val="none" w:sz="0" w:space="0" w:color="auto"/>
        <w:right w:val="none" w:sz="0" w:space="0" w:color="auto"/>
      </w:divBdr>
    </w:div>
    <w:div w:id="1046375378">
      <w:bodyDiv w:val="1"/>
      <w:marLeft w:val="0"/>
      <w:marRight w:val="0"/>
      <w:marTop w:val="0"/>
      <w:marBottom w:val="0"/>
      <w:divBdr>
        <w:top w:val="none" w:sz="0" w:space="0" w:color="auto"/>
        <w:left w:val="none" w:sz="0" w:space="0" w:color="auto"/>
        <w:bottom w:val="none" w:sz="0" w:space="0" w:color="auto"/>
        <w:right w:val="none" w:sz="0" w:space="0" w:color="auto"/>
      </w:divBdr>
    </w:div>
    <w:div w:id="1046563665">
      <w:bodyDiv w:val="1"/>
      <w:marLeft w:val="0"/>
      <w:marRight w:val="0"/>
      <w:marTop w:val="0"/>
      <w:marBottom w:val="0"/>
      <w:divBdr>
        <w:top w:val="none" w:sz="0" w:space="0" w:color="auto"/>
        <w:left w:val="none" w:sz="0" w:space="0" w:color="auto"/>
        <w:bottom w:val="none" w:sz="0" w:space="0" w:color="auto"/>
        <w:right w:val="none" w:sz="0" w:space="0" w:color="auto"/>
      </w:divBdr>
    </w:div>
    <w:div w:id="1046564149">
      <w:bodyDiv w:val="1"/>
      <w:marLeft w:val="0"/>
      <w:marRight w:val="0"/>
      <w:marTop w:val="0"/>
      <w:marBottom w:val="0"/>
      <w:divBdr>
        <w:top w:val="none" w:sz="0" w:space="0" w:color="auto"/>
        <w:left w:val="none" w:sz="0" w:space="0" w:color="auto"/>
        <w:bottom w:val="none" w:sz="0" w:space="0" w:color="auto"/>
        <w:right w:val="none" w:sz="0" w:space="0" w:color="auto"/>
      </w:divBdr>
    </w:div>
    <w:div w:id="1046636577">
      <w:bodyDiv w:val="1"/>
      <w:marLeft w:val="0"/>
      <w:marRight w:val="0"/>
      <w:marTop w:val="0"/>
      <w:marBottom w:val="0"/>
      <w:divBdr>
        <w:top w:val="none" w:sz="0" w:space="0" w:color="auto"/>
        <w:left w:val="none" w:sz="0" w:space="0" w:color="auto"/>
        <w:bottom w:val="none" w:sz="0" w:space="0" w:color="auto"/>
        <w:right w:val="none" w:sz="0" w:space="0" w:color="auto"/>
      </w:divBdr>
    </w:div>
    <w:div w:id="1046641279">
      <w:bodyDiv w:val="1"/>
      <w:marLeft w:val="0"/>
      <w:marRight w:val="0"/>
      <w:marTop w:val="0"/>
      <w:marBottom w:val="0"/>
      <w:divBdr>
        <w:top w:val="none" w:sz="0" w:space="0" w:color="auto"/>
        <w:left w:val="none" w:sz="0" w:space="0" w:color="auto"/>
        <w:bottom w:val="none" w:sz="0" w:space="0" w:color="auto"/>
        <w:right w:val="none" w:sz="0" w:space="0" w:color="auto"/>
      </w:divBdr>
    </w:div>
    <w:div w:id="1046680909">
      <w:bodyDiv w:val="1"/>
      <w:marLeft w:val="0"/>
      <w:marRight w:val="0"/>
      <w:marTop w:val="0"/>
      <w:marBottom w:val="0"/>
      <w:divBdr>
        <w:top w:val="none" w:sz="0" w:space="0" w:color="auto"/>
        <w:left w:val="none" w:sz="0" w:space="0" w:color="auto"/>
        <w:bottom w:val="none" w:sz="0" w:space="0" w:color="auto"/>
        <w:right w:val="none" w:sz="0" w:space="0" w:color="auto"/>
      </w:divBdr>
    </w:div>
    <w:div w:id="1046686645">
      <w:bodyDiv w:val="1"/>
      <w:marLeft w:val="0"/>
      <w:marRight w:val="0"/>
      <w:marTop w:val="0"/>
      <w:marBottom w:val="0"/>
      <w:divBdr>
        <w:top w:val="none" w:sz="0" w:space="0" w:color="auto"/>
        <w:left w:val="none" w:sz="0" w:space="0" w:color="auto"/>
        <w:bottom w:val="none" w:sz="0" w:space="0" w:color="auto"/>
        <w:right w:val="none" w:sz="0" w:space="0" w:color="auto"/>
      </w:divBdr>
    </w:div>
    <w:div w:id="1046829766">
      <w:bodyDiv w:val="1"/>
      <w:marLeft w:val="0"/>
      <w:marRight w:val="0"/>
      <w:marTop w:val="0"/>
      <w:marBottom w:val="0"/>
      <w:divBdr>
        <w:top w:val="none" w:sz="0" w:space="0" w:color="auto"/>
        <w:left w:val="none" w:sz="0" w:space="0" w:color="auto"/>
        <w:bottom w:val="none" w:sz="0" w:space="0" w:color="auto"/>
        <w:right w:val="none" w:sz="0" w:space="0" w:color="auto"/>
      </w:divBdr>
    </w:div>
    <w:div w:id="1046950838">
      <w:bodyDiv w:val="1"/>
      <w:marLeft w:val="0"/>
      <w:marRight w:val="0"/>
      <w:marTop w:val="0"/>
      <w:marBottom w:val="0"/>
      <w:divBdr>
        <w:top w:val="none" w:sz="0" w:space="0" w:color="auto"/>
        <w:left w:val="none" w:sz="0" w:space="0" w:color="auto"/>
        <w:bottom w:val="none" w:sz="0" w:space="0" w:color="auto"/>
        <w:right w:val="none" w:sz="0" w:space="0" w:color="auto"/>
      </w:divBdr>
    </w:div>
    <w:div w:id="1047024134">
      <w:bodyDiv w:val="1"/>
      <w:marLeft w:val="0"/>
      <w:marRight w:val="0"/>
      <w:marTop w:val="0"/>
      <w:marBottom w:val="0"/>
      <w:divBdr>
        <w:top w:val="none" w:sz="0" w:space="0" w:color="auto"/>
        <w:left w:val="none" w:sz="0" w:space="0" w:color="auto"/>
        <w:bottom w:val="none" w:sz="0" w:space="0" w:color="auto"/>
        <w:right w:val="none" w:sz="0" w:space="0" w:color="auto"/>
      </w:divBdr>
    </w:div>
    <w:div w:id="1047028138">
      <w:bodyDiv w:val="1"/>
      <w:marLeft w:val="0"/>
      <w:marRight w:val="0"/>
      <w:marTop w:val="0"/>
      <w:marBottom w:val="0"/>
      <w:divBdr>
        <w:top w:val="none" w:sz="0" w:space="0" w:color="auto"/>
        <w:left w:val="none" w:sz="0" w:space="0" w:color="auto"/>
        <w:bottom w:val="none" w:sz="0" w:space="0" w:color="auto"/>
        <w:right w:val="none" w:sz="0" w:space="0" w:color="auto"/>
      </w:divBdr>
    </w:div>
    <w:div w:id="1047071818">
      <w:bodyDiv w:val="1"/>
      <w:marLeft w:val="0"/>
      <w:marRight w:val="0"/>
      <w:marTop w:val="0"/>
      <w:marBottom w:val="0"/>
      <w:divBdr>
        <w:top w:val="none" w:sz="0" w:space="0" w:color="auto"/>
        <w:left w:val="none" w:sz="0" w:space="0" w:color="auto"/>
        <w:bottom w:val="none" w:sz="0" w:space="0" w:color="auto"/>
        <w:right w:val="none" w:sz="0" w:space="0" w:color="auto"/>
      </w:divBdr>
    </w:div>
    <w:div w:id="1047225048">
      <w:bodyDiv w:val="1"/>
      <w:marLeft w:val="0"/>
      <w:marRight w:val="0"/>
      <w:marTop w:val="0"/>
      <w:marBottom w:val="0"/>
      <w:divBdr>
        <w:top w:val="none" w:sz="0" w:space="0" w:color="auto"/>
        <w:left w:val="none" w:sz="0" w:space="0" w:color="auto"/>
        <w:bottom w:val="none" w:sz="0" w:space="0" w:color="auto"/>
        <w:right w:val="none" w:sz="0" w:space="0" w:color="auto"/>
      </w:divBdr>
    </w:div>
    <w:div w:id="1047416140">
      <w:bodyDiv w:val="1"/>
      <w:marLeft w:val="0"/>
      <w:marRight w:val="0"/>
      <w:marTop w:val="0"/>
      <w:marBottom w:val="0"/>
      <w:divBdr>
        <w:top w:val="none" w:sz="0" w:space="0" w:color="auto"/>
        <w:left w:val="none" w:sz="0" w:space="0" w:color="auto"/>
        <w:bottom w:val="none" w:sz="0" w:space="0" w:color="auto"/>
        <w:right w:val="none" w:sz="0" w:space="0" w:color="auto"/>
      </w:divBdr>
    </w:div>
    <w:div w:id="1047491976">
      <w:bodyDiv w:val="1"/>
      <w:marLeft w:val="0"/>
      <w:marRight w:val="0"/>
      <w:marTop w:val="0"/>
      <w:marBottom w:val="0"/>
      <w:divBdr>
        <w:top w:val="none" w:sz="0" w:space="0" w:color="auto"/>
        <w:left w:val="none" w:sz="0" w:space="0" w:color="auto"/>
        <w:bottom w:val="none" w:sz="0" w:space="0" w:color="auto"/>
        <w:right w:val="none" w:sz="0" w:space="0" w:color="auto"/>
      </w:divBdr>
    </w:div>
    <w:div w:id="1047531399">
      <w:bodyDiv w:val="1"/>
      <w:marLeft w:val="0"/>
      <w:marRight w:val="0"/>
      <w:marTop w:val="0"/>
      <w:marBottom w:val="0"/>
      <w:divBdr>
        <w:top w:val="none" w:sz="0" w:space="0" w:color="auto"/>
        <w:left w:val="none" w:sz="0" w:space="0" w:color="auto"/>
        <w:bottom w:val="none" w:sz="0" w:space="0" w:color="auto"/>
        <w:right w:val="none" w:sz="0" w:space="0" w:color="auto"/>
      </w:divBdr>
    </w:div>
    <w:div w:id="1047532411">
      <w:bodyDiv w:val="1"/>
      <w:marLeft w:val="0"/>
      <w:marRight w:val="0"/>
      <w:marTop w:val="0"/>
      <w:marBottom w:val="0"/>
      <w:divBdr>
        <w:top w:val="none" w:sz="0" w:space="0" w:color="auto"/>
        <w:left w:val="none" w:sz="0" w:space="0" w:color="auto"/>
        <w:bottom w:val="none" w:sz="0" w:space="0" w:color="auto"/>
        <w:right w:val="none" w:sz="0" w:space="0" w:color="auto"/>
      </w:divBdr>
    </w:div>
    <w:div w:id="1047602365">
      <w:bodyDiv w:val="1"/>
      <w:marLeft w:val="0"/>
      <w:marRight w:val="0"/>
      <w:marTop w:val="0"/>
      <w:marBottom w:val="0"/>
      <w:divBdr>
        <w:top w:val="none" w:sz="0" w:space="0" w:color="auto"/>
        <w:left w:val="none" w:sz="0" w:space="0" w:color="auto"/>
        <w:bottom w:val="none" w:sz="0" w:space="0" w:color="auto"/>
        <w:right w:val="none" w:sz="0" w:space="0" w:color="auto"/>
      </w:divBdr>
    </w:div>
    <w:div w:id="1047678408">
      <w:bodyDiv w:val="1"/>
      <w:marLeft w:val="0"/>
      <w:marRight w:val="0"/>
      <w:marTop w:val="0"/>
      <w:marBottom w:val="0"/>
      <w:divBdr>
        <w:top w:val="none" w:sz="0" w:space="0" w:color="auto"/>
        <w:left w:val="none" w:sz="0" w:space="0" w:color="auto"/>
        <w:bottom w:val="none" w:sz="0" w:space="0" w:color="auto"/>
        <w:right w:val="none" w:sz="0" w:space="0" w:color="auto"/>
      </w:divBdr>
    </w:div>
    <w:div w:id="1047685343">
      <w:bodyDiv w:val="1"/>
      <w:marLeft w:val="0"/>
      <w:marRight w:val="0"/>
      <w:marTop w:val="0"/>
      <w:marBottom w:val="0"/>
      <w:divBdr>
        <w:top w:val="none" w:sz="0" w:space="0" w:color="auto"/>
        <w:left w:val="none" w:sz="0" w:space="0" w:color="auto"/>
        <w:bottom w:val="none" w:sz="0" w:space="0" w:color="auto"/>
        <w:right w:val="none" w:sz="0" w:space="0" w:color="auto"/>
      </w:divBdr>
    </w:div>
    <w:div w:id="1047724813">
      <w:bodyDiv w:val="1"/>
      <w:marLeft w:val="0"/>
      <w:marRight w:val="0"/>
      <w:marTop w:val="0"/>
      <w:marBottom w:val="0"/>
      <w:divBdr>
        <w:top w:val="none" w:sz="0" w:space="0" w:color="auto"/>
        <w:left w:val="none" w:sz="0" w:space="0" w:color="auto"/>
        <w:bottom w:val="none" w:sz="0" w:space="0" w:color="auto"/>
        <w:right w:val="none" w:sz="0" w:space="0" w:color="auto"/>
      </w:divBdr>
    </w:div>
    <w:div w:id="1047797733">
      <w:bodyDiv w:val="1"/>
      <w:marLeft w:val="0"/>
      <w:marRight w:val="0"/>
      <w:marTop w:val="0"/>
      <w:marBottom w:val="0"/>
      <w:divBdr>
        <w:top w:val="none" w:sz="0" w:space="0" w:color="auto"/>
        <w:left w:val="none" w:sz="0" w:space="0" w:color="auto"/>
        <w:bottom w:val="none" w:sz="0" w:space="0" w:color="auto"/>
        <w:right w:val="none" w:sz="0" w:space="0" w:color="auto"/>
      </w:divBdr>
    </w:div>
    <w:div w:id="1047871440">
      <w:bodyDiv w:val="1"/>
      <w:marLeft w:val="0"/>
      <w:marRight w:val="0"/>
      <w:marTop w:val="0"/>
      <w:marBottom w:val="0"/>
      <w:divBdr>
        <w:top w:val="none" w:sz="0" w:space="0" w:color="auto"/>
        <w:left w:val="none" w:sz="0" w:space="0" w:color="auto"/>
        <w:bottom w:val="none" w:sz="0" w:space="0" w:color="auto"/>
        <w:right w:val="none" w:sz="0" w:space="0" w:color="auto"/>
      </w:divBdr>
    </w:div>
    <w:div w:id="1047873096">
      <w:bodyDiv w:val="1"/>
      <w:marLeft w:val="0"/>
      <w:marRight w:val="0"/>
      <w:marTop w:val="0"/>
      <w:marBottom w:val="0"/>
      <w:divBdr>
        <w:top w:val="none" w:sz="0" w:space="0" w:color="auto"/>
        <w:left w:val="none" w:sz="0" w:space="0" w:color="auto"/>
        <w:bottom w:val="none" w:sz="0" w:space="0" w:color="auto"/>
        <w:right w:val="none" w:sz="0" w:space="0" w:color="auto"/>
      </w:divBdr>
    </w:div>
    <w:div w:id="1047878943">
      <w:bodyDiv w:val="1"/>
      <w:marLeft w:val="0"/>
      <w:marRight w:val="0"/>
      <w:marTop w:val="0"/>
      <w:marBottom w:val="0"/>
      <w:divBdr>
        <w:top w:val="none" w:sz="0" w:space="0" w:color="auto"/>
        <w:left w:val="none" w:sz="0" w:space="0" w:color="auto"/>
        <w:bottom w:val="none" w:sz="0" w:space="0" w:color="auto"/>
        <w:right w:val="none" w:sz="0" w:space="0" w:color="auto"/>
      </w:divBdr>
    </w:div>
    <w:div w:id="1047921159">
      <w:bodyDiv w:val="1"/>
      <w:marLeft w:val="0"/>
      <w:marRight w:val="0"/>
      <w:marTop w:val="0"/>
      <w:marBottom w:val="0"/>
      <w:divBdr>
        <w:top w:val="none" w:sz="0" w:space="0" w:color="auto"/>
        <w:left w:val="none" w:sz="0" w:space="0" w:color="auto"/>
        <w:bottom w:val="none" w:sz="0" w:space="0" w:color="auto"/>
        <w:right w:val="none" w:sz="0" w:space="0" w:color="auto"/>
      </w:divBdr>
    </w:div>
    <w:div w:id="1048065480">
      <w:bodyDiv w:val="1"/>
      <w:marLeft w:val="0"/>
      <w:marRight w:val="0"/>
      <w:marTop w:val="0"/>
      <w:marBottom w:val="0"/>
      <w:divBdr>
        <w:top w:val="none" w:sz="0" w:space="0" w:color="auto"/>
        <w:left w:val="none" w:sz="0" w:space="0" w:color="auto"/>
        <w:bottom w:val="none" w:sz="0" w:space="0" w:color="auto"/>
        <w:right w:val="none" w:sz="0" w:space="0" w:color="auto"/>
      </w:divBdr>
    </w:div>
    <w:div w:id="1048141841">
      <w:bodyDiv w:val="1"/>
      <w:marLeft w:val="0"/>
      <w:marRight w:val="0"/>
      <w:marTop w:val="0"/>
      <w:marBottom w:val="0"/>
      <w:divBdr>
        <w:top w:val="none" w:sz="0" w:space="0" w:color="auto"/>
        <w:left w:val="none" w:sz="0" w:space="0" w:color="auto"/>
        <w:bottom w:val="none" w:sz="0" w:space="0" w:color="auto"/>
        <w:right w:val="none" w:sz="0" w:space="0" w:color="auto"/>
      </w:divBdr>
    </w:div>
    <w:div w:id="1048339691">
      <w:bodyDiv w:val="1"/>
      <w:marLeft w:val="0"/>
      <w:marRight w:val="0"/>
      <w:marTop w:val="0"/>
      <w:marBottom w:val="0"/>
      <w:divBdr>
        <w:top w:val="none" w:sz="0" w:space="0" w:color="auto"/>
        <w:left w:val="none" w:sz="0" w:space="0" w:color="auto"/>
        <w:bottom w:val="none" w:sz="0" w:space="0" w:color="auto"/>
        <w:right w:val="none" w:sz="0" w:space="0" w:color="auto"/>
      </w:divBdr>
    </w:div>
    <w:div w:id="1048340521">
      <w:bodyDiv w:val="1"/>
      <w:marLeft w:val="0"/>
      <w:marRight w:val="0"/>
      <w:marTop w:val="0"/>
      <w:marBottom w:val="0"/>
      <w:divBdr>
        <w:top w:val="none" w:sz="0" w:space="0" w:color="auto"/>
        <w:left w:val="none" w:sz="0" w:space="0" w:color="auto"/>
        <w:bottom w:val="none" w:sz="0" w:space="0" w:color="auto"/>
        <w:right w:val="none" w:sz="0" w:space="0" w:color="auto"/>
      </w:divBdr>
    </w:div>
    <w:div w:id="1048381283">
      <w:bodyDiv w:val="1"/>
      <w:marLeft w:val="0"/>
      <w:marRight w:val="0"/>
      <w:marTop w:val="0"/>
      <w:marBottom w:val="0"/>
      <w:divBdr>
        <w:top w:val="none" w:sz="0" w:space="0" w:color="auto"/>
        <w:left w:val="none" w:sz="0" w:space="0" w:color="auto"/>
        <w:bottom w:val="none" w:sz="0" w:space="0" w:color="auto"/>
        <w:right w:val="none" w:sz="0" w:space="0" w:color="auto"/>
      </w:divBdr>
    </w:div>
    <w:div w:id="1048383691">
      <w:bodyDiv w:val="1"/>
      <w:marLeft w:val="0"/>
      <w:marRight w:val="0"/>
      <w:marTop w:val="0"/>
      <w:marBottom w:val="0"/>
      <w:divBdr>
        <w:top w:val="none" w:sz="0" w:space="0" w:color="auto"/>
        <w:left w:val="none" w:sz="0" w:space="0" w:color="auto"/>
        <w:bottom w:val="none" w:sz="0" w:space="0" w:color="auto"/>
        <w:right w:val="none" w:sz="0" w:space="0" w:color="auto"/>
      </w:divBdr>
    </w:div>
    <w:div w:id="1048408393">
      <w:bodyDiv w:val="1"/>
      <w:marLeft w:val="0"/>
      <w:marRight w:val="0"/>
      <w:marTop w:val="0"/>
      <w:marBottom w:val="0"/>
      <w:divBdr>
        <w:top w:val="none" w:sz="0" w:space="0" w:color="auto"/>
        <w:left w:val="none" w:sz="0" w:space="0" w:color="auto"/>
        <w:bottom w:val="none" w:sz="0" w:space="0" w:color="auto"/>
        <w:right w:val="none" w:sz="0" w:space="0" w:color="auto"/>
      </w:divBdr>
    </w:div>
    <w:div w:id="1048527327">
      <w:bodyDiv w:val="1"/>
      <w:marLeft w:val="0"/>
      <w:marRight w:val="0"/>
      <w:marTop w:val="0"/>
      <w:marBottom w:val="0"/>
      <w:divBdr>
        <w:top w:val="none" w:sz="0" w:space="0" w:color="auto"/>
        <w:left w:val="none" w:sz="0" w:space="0" w:color="auto"/>
        <w:bottom w:val="none" w:sz="0" w:space="0" w:color="auto"/>
        <w:right w:val="none" w:sz="0" w:space="0" w:color="auto"/>
      </w:divBdr>
    </w:div>
    <w:div w:id="1048650101">
      <w:bodyDiv w:val="1"/>
      <w:marLeft w:val="0"/>
      <w:marRight w:val="0"/>
      <w:marTop w:val="0"/>
      <w:marBottom w:val="0"/>
      <w:divBdr>
        <w:top w:val="none" w:sz="0" w:space="0" w:color="auto"/>
        <w:left w:val="none" w:sz="0" w:space="0" w:color="auto"/>
        <w:bottom w:val="none" w:sz="0" w:space="0" w:color="auto"/>
        <w:right w:val="none" w:sz="0" w:space="0" w:color="auto"/>
      </w:divBdr>
    </w:div>
    <w:div w:id="1048843428">
      <w:bodyDiv w:val="1"/>
      <w:marLeft w:val="0"/>
      <w:marRight w:val="0"/>
      <w:marTop w:val="0"/>
      <w:marBottom w:val="0"/>
      <w:divBdr>
        <w:top w:val="none" w:sz="0" w:space="0" w:color="auto"/>
        <w:left w:val="none" w:sz="0" w:space="0" w:color="auto"/>
        <w:bottom w:val="none" w:sz="0" w:space="0" w:color="auto"/>
        <w:right w:val="none" w:sz="0" w:space="0" w:color="auto"/>
      </w:divBdr>
    </w:div>
    <w:div w:id="1048846072">
      <w:bodyDiv w:val="1"/>
      <w:marLeft w:val="0"/>
      <w:marRight w:val="0"/>
      <w:marTop w:val="0"/>
      <w:marBottom w:val="0"/>
      <w:divBdr>
        <w:top w:val="none" w:sz="0" w:space="0" w:color="auto"/>
        <w:left w:val="none" w:sz="0" w:space="0" w:color="auto"/>
        <w:bottom w:val="none" w:sz="0" w:space="0" w:color="auto"/>
        <w:right w:val="none" w:sz="0" w:space="0" w:color="auto"/>
      </w:divBdr>
    </w:div>
    <w:div w:id="1048919674">
      <w:bodyDiv w:val="1"/>
      <w:marLeft w:val="0"/>
      <w:marRight w:val="0"/>
      <w:marTop w:val="0"/>
      <w:marBottom w:val="0"/>
      <w:divBdr>
        <w:top w:val="none" w:sz="0" w:space="0" w:color="auto"/>
        <w:left w:val="none" w:sz="0" w:space="0" w:color="auto"/>
        <w:bottom w:val="none" w:sz="0" w:space="0" w:color="auto"/>
        <w:right w:val="none" w:sz="0" w:space="0" w:color="auto"/>
      </w:divBdr>
    </w:div>
    <w:div w:id="1049189212">
      <w:bodyDiv w:val="1"/>
      <w:marLeft w:val="0"/>
      <w:marRight w:val="0"/>
      <w:marTop w:val="0"/>
      <w:marBottom w:val="0"/>
      <w:divBdr>
        <w:top w:val="none" w:sz="0" w:space="0" w:color="auto"/>
        <w:left w:val="none" w:sz="0" w:space="0" w:color="auto"/>
        <w:bottom w:val="none" w:sz="0" w:space="0" w:color="auto"/>
        <w:right w:val="none" w:sz="0" w:space="0" w:color="auto"/>
      </w:divBdr>
    </w:div>
    <w:div w:id="1049259960">
      <w:bodyDiv w:val="1"/>
      <w:marLeft w:val="0"/>
      <w:marRight w:val="0"/>
      <w:marTop w:val="0"/>
      <w:marBottom w:val="0"/>
      <w:divBdr>
        <w:top w:val="none" w:sz="0" w:space="0" w:color="auto"/>
        <w:left w:val="none" w:sz="0" w:space="0" w:color="auto"/>
        <w:bottom w:val="none" w:sz="0" w:space="0" w:color="auto"/>
        <w:right w:val="none" w:sz="0" w:space="0" w:color="auto"/>
      </w:divBdr>
    </w:div>
    <w:div w:id="1049457309">
      <w:bodyDiv w:val="1"/>
      <w:marLeft w:val="0"/>
      <w:marRight w:val="0"/>
      <w:marTop w:val="0"/>
      <w:marBottom w:val="0"/>
      <w:divBdr>
        <w:top w:val="none" w:sz="0" w:space="0" w:color="auto"/>
        <w:left w:val="none" w:sz="0" w:space="0" w:color="auto"/>
        <w:bottom w:val="none" w:sz="0" w:space="0" w:color="auto"/>
        <w:right w:val="none" w:sz="0" w:space="0" w:color="auto"/>
      </w:divBdr>
    </w:div>
    <w:div w:id="1049645186">
      <w:bodyDiv w:val="1"/>
      <w:marLeft w:val="0"/>
      <w:marRight w:val="0"/>
      <w:marTop w:val="0"/>
      <w:marBottom w:val="0"/>
      <w:divBdr>
        <w:top w:val="none" w:sz="0" w:space="0" w:color="auto"/>
        <w:left w:val="none" w:sz="0" w:space="0" w:color="auto"/>
        <w:bottom w:val="none" w:sz="0" w:space="0" w:color="auto"/>
        <w:right w:val="none" w:sz="0" w:space="0" w:color="auto"/>
      </w:divBdr>
    </w:div>
    <w:div w:id="1049650703">
      <w:bodyDiv w:val="1"/>
      <w:marLeft w:val="0"/>
      <w:marRight w:val="0"/>
      <w:marTop w:val="0"/>
      <w:marBottom w:val="0"/>
      <w:divBdr>
        <w:top w:val="none" w:sz="0" w:space="0" w:color="auto"/>
        <w:left w:val="none" w:sz="0" w:space="0" w:color="auto"/>
        <w:bottom w:val="none" w:sz="0" w:space="0" w:color="auto"/>
        <w:right w:val="none" w:sz="0" w:space="0" w:color="auto"/>
      </w:divBdr>
    </w:div>
    <w:div w:id="1049693223">
      <w:bodyDiv w:val="1"/>
      <w:marLeft w:val="0"/>
      <w:marRight w:val="0"/>
      <w:marTop w:val="0"/>
      <w:marBottom w:val="0"/>
      <w:divBdr>
        <w:top w:val="none" w:sz="0" w:space="0" w:color="auto"/>
        <w:left w:val="none" w:sz="0" w:space="0" w:color="auto"/>
        <w:bottom w:val="none" w:sz="0" w:space="0" w:color="auto"/>
        <w:right w:val="none" w:sz="0" w:space="0" w:color="auto"/>
      </w:divBdr>
    </w:div>
    <w:div w:id="1049956859">
      <w:bodyDiv w:val="1"/>
      <w:marLeft w:val="0"/>
      <w:marRight w:val="0"/>
      <w:marTop w:val="0"/>
      <w:marBottom w:val="0"/>
      <w:divBdr>
        <w:top w:val="none" w:sz="0" w:space="0" w:color="auto"/>
        <w:left w:val="none" w:sz="0" w:space="0" w:color="auto"/>
        <w:bottom w:val="none" w:sz="0" w:space="0" w:color="auto"/>
        <w:right w:val="none" w:sz="0" w:space="0" w:color="auto"/>
      </w:divBdr>
    </w:div>
    <w:div w:id="1050150048">
      <w:bodyDiv w:val="1"/>
      <w:marLeft w:val="0"/>
      <w:marRight w:val="0"/>
      <w:marTop w:val="0"/>
      <w:marBottom w:val="0"/>
      <w:divBdr>
        <w:top w:val="none" w:sz="0" w:space="0" w:color="auto"/>
        <w:left w:val="none" w:sz="0" w:space="0" w:color="auto"/>
        <w:bottom w:val="none" w:sz="0" w:space="0" w:color="auto"/>
        <w:right w:val="none" w:sz="0" w:space="0" w:color="auto"/>
      </w:divBdr>
    </w:div>
    <w:div w:id="1050232305">
      <w:bodyDiv w:val="1"/>
      <w:marLeft w:val="0"/>
      <w:marRight w:val="0"/>
      <w:marTop w:val="0"/>
      <w:marBottom w:val="0"/>
      <w:divBdr>
        <w:top w:val="none" w:sz="0" w:space="0" w:color="auto"/>
        <w:left w:val="none" w:sz="0" w:space="0" w:color="auto"/>
        <w:bottom w:val="none" w:sz="0" w:space="0" w:color="auto"/>
        <w:right w:val="none" w:sz="0" w:space="0" w:color="auto"/>
      </w:divBdr>
    </w:div>
    <w:div w:id="1050302986">
      <w:bodyDiv w:val="1"/>
      <w:marLeft w:val="0"/>
      <w:marRight w:val="0"/>
      <w:marTop w:val="0"/>
      <w:marBottom w:val="0"/>
      <w:divBdr>
        <w:top w:val="none" w:sz="0" w:space="0" w:color="auto"/>
        <w:left w:val="none" w:sz="0" w:space="0" w:color="auto"/>
        <w:bottom w:val="none" w:sz="0" w:space="0" w:color="auto"/>
        <w:right w:val="none" w:sz="0" w:space="0" w:color="auto"/>
      </w:divBdr>
    </w:div>
    <w:div w:id="1050347315">
      <w:bodyDiv w:val="1"/>
      <w:marLeft w:val="0"/>
      <w:marRight w:val="0"/>
      <w:marTop w:val="0"/>
      <w:marBottom w:val="0"/>
      <w:divBdr>
        <w:top w:val="none" w:sz="0" w:space="0" w:color="auto"/>
        <w:left w:val="none" w:sz="0" w:space="0" w:color="auto"/>
        <w:bottom w:val="none" w:sz="0" w:space="0" w:color="auto"/>
        <w:right w:val="none" w:sz="0" w:space="0" w:color="auto"/>
      </w:divBdr>
    </w:div>
    <w:div w:id="1050425843">
      <w:bodyDiv w:val="1"/>
      <w:marLeft w:val="0"/>
      <w:marRight w:val="0"/>
      <w:marTop w:val="0"/>
      <w:marBottom w:val="0"/>
      <w:divBdr>
        <w:top w:val="none" w:sz="0" w:space="0" w:color="auto"/>
        <w:left w:val="none" w:sz="0" w:space="0" w:color="auto"/>
        <w:bottom w:val="none" w:sz="0" w:space="0" w:color="auto"/>
        <w:right w:val="none" w:sz="0" w:space="0" w:color="auto"/>
      </w:divBdr>
    </w:div>
    <w:div w:id="1050567285">
      <w:bodyDiv w:val="1"/>
      <w:marLeft w:val="0"/>
      <w:marRight w:val="0"/>
      <w:marTop w:val="0"/>
      <w:marBottom w:val="0"/>
      <w:divBdr>
        <w:top w:val="none" w:sz="0" w:space="0" w:color="auto"/>
        <w:left w:val="none" w:sz="0" w:space="0" w:color="auto"/>
        <w:bottom w:val="none" w:sz="0" w:space="0" w:color="auto"/>
        <w:right w:val="none" w:sz="0" w:space="0" w:color="auto"/>
      </w:divBdr>
    </w:div>
    <w:div w:id="1050571697">
      <w:bodyDiv w:val="1"/>
      <w:marLeft w:val="0"/>
      <w:marRight w:val="0"/>
      <w:marTop w:val="0"/>
      <w:marBottom w:val="0"/>
      <w:divBdr>
        <w:top w:val="none" w:sz="0" w:space="0" w:color="auto"/>
        <w:left w:val="none" w:sz="0" w:space="0" w:color="auto"/>
        <w:bottom w:val="none" w:sz="0" w:space="0" w:color="auto"/>
        <w:right w:val="none" w:sz="0" w:space="0" w:color="auto"/>
      </w:divBdr>
    </w:div>
    <w:div w:id="1050612036">
      <w:bodyDiv w:val="1"/>
      <w:marLeft w:val="0"/>
      <w:marRight w:val="0"/>
      <w:marTop w:val="0"/>
      <w:marBottom w:val="0"/>
      <w:divBdr>
        <w:top w:val="none" w:sz="0" w:space="0" w:color="auto"/>
        <w:left w:val="none" w:sz="0" w:space="0" w:color="auto"/>
        <w:bottom w:val="none" w:sz="0" w:space="0" w:color="auto"/>
        <w:right w:val="none" w:sz="0" w:space="0" w:color="auto"/>
      </w:divBdr>
    </w:div>
    <w:div w:id="1050693721">
      <w:bodyDiv w:val="1"/>
      <w:marLeft w:val="0"/>
      <w:marRight w:val="0"/>
      <w:marTop w:val="0"/>
      <w:marBottom w:val="0"/>
      <w:divBdr>
        <w:top w:val="none" w:sz="0" w:space="0" w:color="auto"/>
        <w:left w:val="none" w:sz="0" w:space="0" w:color="auto"/>
        <w:bottom w:val="none" w:sz="0" w:space="0" w:color="auto"/>
        <w:right w:val="none" w:sz="0" w:space="0" w:color="auto"/>
      </w:divBdr>
    </w:div>
    <w:div w:id="1050804733">
      <w:bodyDiv w:val="1"/>
      <w:marLeft w:val="0"/>
      <w:marRight w:val="0"/>
      <w:marTop w:val="0"/>
      <w:marBottom w:val="0"/>
      <w:divBdr>
        <w:top w:val="none" w:sz="0" w:space="0" w:color="auto"/>
        <w:left w:val="none" w:sz="0" w:space="0" w:color="auto"/>
        <w:bottom w:val="none" w:sz="0" w:space="0" w:color="auto"/>
        <w:right w:val="none" w:sz="0" w:space="0" w:color="auto"/>
      </w:divBdr>
    </w:div>
    <w:div w:id="1050887654">
      <w:bodyDiv w:val="1"/>
      <w:marLeft w:val="0"/>
      <w:marRight w:val="0"/>
      <w:marTop w:val="0"/>
      <w:marBottom w:val="0"/>
      <w:divBdr>
        <w:top w:val="none" w:sz="0" w:space="0" w:color="auto"/>
        <w:left w:val="none" w:sz="0" w:space="0" w:color="auto"/>
        <w:bottom w:val="none" w:sz="0" w:space="0" w:color="auto"/>
        <w:right w:val="none" w:sz="0" w:space="0" w:color="auto"/>
      </w:divBdr>
    </w:div>
    <w:div w:id="1050957762">
      <w:bodyDiv w:val="1"/>
      <w:marLeft w:val="0"/>
      <w:marRight w:val="0"/>
      <w:marTop w:val="0"/>
      <w:marBottom w:val="0"/>
      <w:divBdr>
        <w:top w:val="none" w:sz="0" w:space="0" w:color="auto"/>
        <w:left w:val="none" w:sz="0" w:space="0" w:color="auto"/>
        <w:bottom w:val="none" w:sz="0" w:space="0" w:color="auto"/>
        <w:right w:val="none" w:sz="0" w:space="0" w:color="auto"/>
      </w:divBdr>
    </w:div>
    <w:div w:id="1051001781">
      <w:bodyDiv w:val="1"/>
      <w:marLeft w:val="0"/>
      <w:marRight w:val="0"/>
      <w:marTop w:val="0"/>
      <w:marBottom w:val="0"/>
      <w:divBdr>
        <w:top w:val="none" w:sz="0" w:space="0" w:color="auto"/>
        <w:left w:val="none" w:sz="0" w:space="0" w:color="auto"/>
        <w:bottom w:val="none" w:sz="0" w:space="0" w:color="auto"/>
        <w:right w:val="none" w:sz="0" w:space="0" w:color="auto"/>
      </w:divBdr>
    </w:div>
    <w:div w:id="1051198854">
      <w:bodyDiv w:val="1"/>
      <w:marLeft w:val="0"/>
      <w:marRight w:val="0"/>
      <w:marTop w:val="0"/>
      <w:marBottom w:val="0"/>
      <w:divBdr>
        <w:top w:val="none" w:sz="0" w:space="0" w:color="auto"/>
        <w:left w:val="none" w:sz="0" w:space="0" w:color="auto"/>
        <w:bottom w:val="none" w:sz="0" w:space="0" w:color="auto"/>
        <w:right w:val="none" w:sz="0" w:space="0" w:color="auto"/>
      </w:divBdr>
    </w:div>
    <w:div w:id="1051229066">
      <w:bodyDiv w:val="1"/>
      <w:marLeft w:val="0"/>
      <w:marRight w:val="0"/>
      <w:marTop w:val="0"/>
      <w:marBottom w:val="0"/>
      <w:divBdr>
        <w:top w:val="none" w:sz="0" w:space="0" w:color="auto"/>
        <w:left w:val="none" w:sz="0" w:space="0" w:color="auto"/>
        <w:bottom w:val="none" w:sz="0" w:space="0" w:color="auto"/>
        <w:right w:val="none" w:sz="0" w:space="0" w:color="auto"/>
      </w:divBdr>
    </w:div>
    <w:div w:id="1051271716">
      <w:bodyDiv w:val="1"/>
      <w:marLeft w:val="0"/>
      <w:marRight w:val="0"/>
      <w:marTop w:val="0"/>
      <w:marBottom w:val="0"/>
      <w:divBdr>
        <w:top w:val="none" w:sz="0" w:space="0" w:color="auto"/>
        <w:left w:val="none" w:sz="0" w:space="0" w:color="auto"/>
        <w:bottom w:val="none" w:sz="0" w:space="0" w:color="auto"/>
        <w:right w:val="none" w:sz="0" w:space="0" w:color="auto"/>
      </w:divBdr>
    </w:div>
    <w:div w:id="1051341281">
      <w:bodyDiv w:val="1"/>
      <w:marLeft w:val="0"/>
      <w:marRight w:val="0"/>
      <w:marTop w:val="0"/>
      <w:marBottom w:val="0"/>
      <w:divBdr>
        <w:top w:val="none" w:sz="0" w:space="0" w:color="auto"/>
        <w:left w:val="none" w:sz="0" w:space="0" w:color="auto"/>
        <w:bottom w:val="none" w:sz="0" w:space="0" w:color="auto"/>
        <w:right w:val="none" w:sz="0" w:space="0" w:color="auto"/>
      </w:divBdr>
    </w:div>
    <w:div w:id="1051347657">
      <w:bodyDiv w:val="1"/>
      <w:marLeft w:val="0"/>
      <w:marRight w:val="0"/>
      <w:marTop w:val="0"/>
      <w:marBottom w:val="0"/>
      <w:divBdr>
        <w:top w:val="none" w:sz="0" w:space="0" w:color="auto"/>
        <w:left w:val="none" w:sz="0" w:space="0" w:color="auto"/>
        <w:bottom w:val="none" w:sz="0" w:space="0" w:color="auto"/>
        <w:right w:val="none" w:sz="0" w:space="0" w:color="auto"/>
      </w:divBdr>
    </w:div>
    <w:div w:id="1051614749">
      <w:bodyDiv w:val="1"/>
      <w:marLeft w:val="0"/>
      <w:marRight w:val="0"/>
      <w:marTop w:val="0"/>
      <w:marBottom w:val="0"/>
      <w:divBdr>
        <w:top w:val="none" w:sz="0" w:space="0" w:color="auto"/>
        <w:left w:val="none" w:sz="0" w:space="0" w:color="auto"/>
        <w:bottom w:val="none" w:sz="0" w:space="0" w:color="auto"/>
        <w:right w:val="none" w:sz="0" w:space="0" w:color="auto"/>
      </w:divBdr>
    </w:div>
    <w:div w:id="1051617528">
      <w:bodyDiv w:val="1"/>
      <w:marLeft w:val="0"/>
      <w:marRight w:val="0"/>
      <w:marTop w:val="0"/>
      <w:marBottom w:val="0"/>
      <w:divBdr>
        <w:top w:val="none" w:sz="0" w:space="0" w:color="auto"/>
        <w:left w:val="none" w:sz="0" w:space="0" w:color="auto"/>
        <w:bottom w:val="none" w:sz="0" w:space="0" w:color="auto"/>
        <w:right w:val="none" w:sz="0" w:space="0" w:color="auto"/>
      </w:divBdr>
    </w:div>
    <w:div w:id="1051658826">
      <w:bodyDiv w:val="1"/>
      <w:marLeft w:val="0"/>
      <w:marRight w:val="0"/>
      <w:marTop w:val="0"/>
      <w:marBottom w:val="0"/>
      <w:divBdr>
        <w:top w:val="none" w:sz="0" w:space="0" w:color="auto"/>
        <w:left w:val="none" w:sz="0" w:space="0" w:color="auto"/>
        <w:bottom w:val="none" w:sz="0" w:space="0" w:color="auto"/>
        <w:right w:val="none" w:sz="0" w:space="0" w:color="auto"/>
      </w:divBdr>
    </w:div>
    <w:div w:id="1051729016">
      <w:bodyDiv w:val="1"/>
      <w:marLeft w:val="0"/>
      <w:marRight w:val="0"/>
      <w:marTop w:val="0"/>
      <w:marBottom w:val="0"/>
      <w:divBdr>
        <w:top w:val="none" w:sz="0" w:space="0" w:color="auto"/>
        <w:left w:val="none" w:sz="0" w:space="0" w:color="auto"/>
        <w:bottom w:val="none" w:sz="0" w:space="0" w:color="auto"/>
        <w:right w:val="none" w:sz="0" w:space="0" w:color="auto"/>
      </w:divBdr>
    </w:div>
    <w:div w:id="1051734248">
      <w:bodyDiv w:val="1"/>
      <w:marLeft w:val="0"/>
      <w:marRight w:val="0"/>
      <w:marTop w:val="0"/>
      <w:marBottom w:val="0"/>
      <w:divBdr>
        <w:top w:val="none" w:sz="0" w:space="0" w:color="auto"/>
        <w:left w:val="none" w:sz="0" w:space="0" w:color="auto"/>
        <w:bottom w:val="none" w:sz="0" w:space="0" w:color="auto"/>
        <w:right w:val="none" w:sz="0" w:space="0" w:color="auto"/>
      </w:divBdr>
    </w:div>
    <w:div w:id="1051810477">
      <w:bodyDiv w:val="1"/>
      <w:marLeft w:val="0"/>
      <w:marRight w:val="0"/>
      <w:marTop w:val="0"/>
      <w:marBottom w:val="0"/>
      <w:divBdr>
        <w:top w:val="none" w:sz="0" w:space="0" w:color="auto"/>
        <w:left w:val="none" w:sz="0" w:space="0" w:color="auto"/>
        <w:bottom w:val="none" w:sz="0" w:space="0" w:color="auto"/>
        <w:right w:val="none" w:sz="0" w:space="0" w:color="auto"/>
      </w:divBdr>
    </w:div>
    <w:div w:id="1051853545">
      <w:bodyDiv w:val="1"/>
      <w:marLeft w:val="0"/>
      <w:marRight w:val="0"/>
      <w:marTop w:val="0"/>
      <w:marBottom w:val="0"/>
      <w:divBdr>
        <w:top w:val="none" w:sz="0" w:space="0" w:color="auto"/>
        <w:left w:val="none" w:sz="0" w:space="0" w:color="auto"/>
        <w:bottom w:val="none" w:sz="0" w:space="0" w:color="auto"/>
        <w:right w:val="none" w:sz="0" w:space="0" w:color="auto"/>
      </w:divBdr>
    </w:div>
    <w:div w:id="1051880200">
      <w:bodyDiv w:val="1"/>
      <w:marLeft w:val="0"/>
      <w:marRight w:val="0"/>
      <w:marTop w:val="0"/>
      <w:marBottom w:val="0"/>
      <w:divBdr>
        <w:top w:val="none" w:sz="0" w:space="0" w:color="auto"/>
        <w:left w:val="none" w:sz="0" w:space="0" w:color="auto"/>
        <w:bottom w:val="none" w:sz="0" w:space="0" w:color="auto"/>
        <w:right w:val="none" w:sz="0" w:space="0" w:color="auto"/>
      </w:divBdr>
    </w:div>
    <w:div w:id="1052072412">
      <w:bodyDiv w:val="1"/>
      <w:marLeft w:val="0"/>
      <w:marRight w:val="0"/>
      <w:marTop w:val="0"/>
      <w:marBottom w:val="0"/>
      <w:divBdr>
        <w:top w:val="none" w:sz="0" w:space="0" w:color="auto"/>
        <w:left w:val="none" w:sz="0" w:space="0" w:color="auto"/>
        <w:bottom w:val="none" w:sz="0" w:space="0" w:color="auto"/>
        <w:right w:val="none" w:sz="0" w:space="0" w:color="auto"/>
      </w:divBdr>
    </w:div>
    <w:div w:id="1052073373">
      <w:bodyDiv w:val="1"/>
      <w:marLeft w:val="0"/>
      <w:marRight w:val="0"/>
      <w:marTop w:val="0"/>
      <w:marBottom w:val="0"/>
      <w:divBdr>
        <w:top w:val="none" w:sz="0" w:space="0" w:color="auto"/>
        <w:left w:val="none" w:sz="0" w:space="0" w:color="auto"/>
        <w:bottom w:val="none" w:sz="0" w:space="0" w:color="auto"/>
        <w:right w:val="none" w:sz="0" w:space="0" w:color="auto"/>
      </w:divBdr>
    </w:div>
    <w:div w:id="1052079867">
      <w:bodyDiv w:val="1"/>
      <w:marLeft w:val="0"/>
      <w:marRight w:val="0"/>
      <w:marTop w:val="0"/>
      <w:marBottom w:val="0"/>
      <w:divBdr>
        <w:top w:val="none" w:sz="0" w:space="0" w:color="auto"/>
        <w:left w:val="none" w:sz="0" w:space="0" w:color="auto"/>
        <w:bottom w:val="none" w:sz="0" w:space="0" w:color="auto"/>
        <w:right w:val="none" w:sz="0" w:space="0" w:color="auto"/>
      </w:divBdr>
    </w:div>
    <w:div w:id="1052118504">
      <w:bodyDiv w:val="1"/>
      <w:marLeft w:val="0"/>
      <w:marRight w:val="0"/>
      <w:marTop w:val="0"/>
      <w:marBottom w:val="0"/>
      <w:divBdr>
        <w:top w:val="none" w:sz="0" w:space="0" w:color="auto"/>
        <w:left w:val="none" w:sz="0" w:space="0" w:color="auto"/>
        <w:bottom w:val="none" w:sz="0" w:space="0" w:color="auto"/>
        <w:right w:val="none" w:sz="0" w:space="0" w:color="auto"/>
      </w:divBdr>
    </w:div>
    <w:div w:id="1052190480">
      <w:bodyDiv w:val="1"/>
      <w:marLeft w:val="0"/>
      <w:marRight w:val="0"/>
      <w:marTop w:val="0"/>
      <w:marBottom w:val="0"/>
      <w:divBdr>
        <w:top w:val="none" w:sz="0" w:space="0" w:color="auto"/>
        <w:left w:val="none" w:sz="0" w:space="0" w:color="auto"/>
        <w:bottom w:val="none" w:sz="0" w:space="0" w:color="auto"/>
        <w:right w:val="none" w:sz="0" w:space="0" w:color="auto"/>
      </w:divBdr>
    </w:div>
    <w:div w:id="1052192365">
      <w:bodyDiv w:val="1"/>
      <w:marLeft w:val="0"/>
      <w:marRight w:val="0"/>
      <w:marTop w:val="0"/>
      <w:marBottom w:val="0"/>
      <w:divBdr>
        <w:top w:val="none" w:sz="0" w:space="0" w:color="auto"/>
        <w:left w:val="none" w:sz="0" w:space="0" w:color="auto"/>
        <w:bottom w:val="none" w:sz="0" w:space="0" w:color="auto"/>
        <w:right w:val="none" w:sz="0" w:space="0" w:color="auto"/>
      </w:divBdr>
    </w:div>
    <w:div w:id="1052342122">
      <w:bodyDiv w:val="1"/>
      <w:marLeft w:val="0"/>
      <w:marRight w:val="0"/>
      <w:marTop w:val="0"/>
      <w:marBottom w:val="0"/>
      <w:divBdr>
        <w:top w:val="none" w:sz="0" w:space="0" w:color="auto"/>
        <w:left w:val="none" w:sz="0" w:space="0" w:color="auto"/>
        <w:bottom w:val="none" w:sz="0" w:space="0" w:color="auto"/>
        <w:right w:val="none" w:sz="0" w:space="0" w:color="auto"/>
      </w:divBdr>
    </w:div>
    <w:div w:id="1052460277">
      <w:bodyDiv w:val="1"/>
      <w:marLeft w:val="0"/>
      <w:marRight w:val="0"/>
      <w:marTop w:val="0"/>
      <w:marBottom w:val="0"/>
      <w:divBdr>
        <w:top w:val="none" w:sz="0" w:space="0" w:color="auto"/>
        <w:left w:val="none" w:sz="0" w:space="0" w:color="auto"/>
        <w:bottom w:val="none" w:sz="0" w:space="0" w:color="auto"/>
        <w:right w:val="none" w:sz="0" w:space="0" w:color="auto"/>
      </w:divBdr>
    </w:div>
    <w:div w:id="1052465280">
      <w:bodyDiv w:val="1"/>
      <w:marLeft w:val="0"/>
      <w:marRight w:val="0"/>
      <w:marTop w:val="0"/>
      <w:marBottom w:val="0"/>
      <w:divBdr>
        <w:top w:val="none" w:sz="0" w:space="0" w:color="auto"/>
        <w:left w:val="none" w:sz="0" w:space="0" w:color="auto"/>
        <w:bottom w:val="none" w:sz="0" w:space="0" w:color="auto"/>
        <w:right w:val="none" w:sz="0" w:space="0" w:color="auto"/>
      </w:divBdr>
    </w:div>
    <w:div w:id="1052581594">
      <w:bodyDiv w:val="1"/>
      <w:marLeft w:val="0"/>
      <w:marRight w:val="0"/>
      <w:marTop w:val="0"/>
      <w:marBottom w:val="0"/>
      <w:divBdr>
        <w:top w:val="none" w:sz="0" w:space="0" w:color="auto"/>
        <w:left w:val="none" w:sz="0" w:space="0" w:color="auto"/>
        <w:bottom w:val="none" w:sz="0" w:space="0" w:color="auto"/>
        <w:right w:val="none" w:sz="0" w:space="0" w:color="auto"/>
      </w:divBdr>
    </w:div>
    <w:div w:id="1052654162">
      <w:bodyDiv w:val="1"/>
      <w:marLeft w:val="0"/>
      <w:marRight w:val="0"/>
      <w:marTop w:val="0"/>
      <w:marBottom w:val="0"/>
      <w:divBdr>
        <w:top w:val="none" w:sz="0" w:space="0" w:color="auto"/>
        <w:left w:val="none" w:sz="0" w:space="0" w:color="auto"/>
        <w:bottom w:val="none" w:sz="0" w:space="0" w:color="auto"/>
        <w:right w:val="none" w:sz="0" w:space="0" w:color="auto"/>
      </w:divBdr>
    </w:div>
    <w:div w:id="1052654172">
      <w:bodyDiv w:val="1"/>
      <w:marLeft w:val="0"/>
      <w:marRight w:val="0"/>
      <w:marTop w:val="0"/>
      <w:marBottom w:val="0"/>
      <w:divBdr>
        <w:top w:val="none" w:sz="0" w:space="0" w:color="auto"/>
        <w:left w:val="none" w:sz="0" w:space="0" w:color="auto"/>
        <w:bottom w:val="none" w:sz="0" w:space="0" w:color="auto"/>
        <w:right w:val="none" w:sz="0" w:space="0" w:color="auto"/>
      </w:divBdr>
    </w:div>
    <w:div w:id="1052659051">
      <w:bodyDiv w:val="1"/>
      <w:marLeft w:val="0"/>
      <w:marRight w:val="0"/>
      <w:marTop w:val="0"/>
      <w:marBottom w:val="0"/>
      <w:divBdr>
        <w:top w:val="none" w:sz="0" w:space="0" w:color="auto"/>
        <w:left w:val="none" w:sz="0" w:space="0" w:color="auto"/>
        <w:bottom w:val="none" w:sz="0" w:space="0" w:color="auto"/>
        <w:right w:val="none" w:sz="0" w:space="0" w:color="auto"/>
      </w:divBdr>
    </w:div>
    <w:div w:id="1052660182">
      <w:bodyDiv w:val="1"/>
      <w:marLeft w:val="0"/>
      <w:marRight w:val="0"/>
      <w:marTop w:val="0"/>
      <w:marBottom w:val="0"/>
      <w:divBdr>
        <w:top w:val="none" w:sz="0" w:space="0" w:color="auto"/>
        <w:left w:val="none" w:sz="0" w:space="0" w:color="auto"/>
        <w:bottom w:val="none" w:sz="0" w:space="0" w:color="auto"/>
        <w:right w:val="none" w:sz="0" w:space="0" w:color="auto"/>
      </w:divBdr>
    </w:div>
    <w:div w:id="1052777830">
      <w:bodyDiv w:val="1"/>
      <w:marLeft w:val="0"/>
      <w:marRight w:val="0"/>
      <w:marTop w:val="0"/>
      <w:marBottom w:val="0"/>
      <w:divBdr>
        <w:top w:val="none" w:sz="0" w:space="0" w:color="auto"/>
        <w:left w:val="none" w:sz="0" w:space="0" w:color="auto"/>
        <w:bottom w:val="none" w:sz="0" w:space="0" w:color="auto"/>
        <w:right w:val="none" w:sz="0" w:space="0" w:color="auto"/>
      </w:divBdr>
    </w:div>
    <w:div w:id="1052848404">
      <w:bodyDiv w:val="1"/>
      <w:marLeft w:val="0"/>
      <w:marRight w:val="0"/>
      <w:marTop w:val="0"/>
      <w:marBottom w:val="0"/>
      <w:divBdr>
        <w:top w:val="none" w:sz="0" w:space="0" w:color="auto"/>
        <w:left w:val="none" w:sz="0" w:space="0" w:color="auto"/>
        <w:bottom w:val="none" w:sz="0" w:space="0" w:color="auto"/>
        <w:right w:val="none" w:sz="0" w:space="0" w:color="auto"/>
      </w:divBdr>
    </w:div>
    <w:div w:id="1052970258">
      <w:bodyDiv w:val="1"/>
      <w:marLeft w:val="0"/>
      <w:marRight w:val="0"/>
      <w:marTop w:val="0"/>
      <w:marBottom w:val="0"/>
      <w:divBdr>
        <w:top w:val="none" w:sz="0" w:space="0" w:color="auto"/>
        <w:left w:val="none" w:sz="0" w:space="0" w:color="auto"/>
        <w:bottom w:val="none" w:sz="0" w:space="0" w:color="auto"/>
        <w:right w:val="none" w:sz="0" w:space="0" w:color="auto"/>
      </w:divBdr>
    </w:div>
    <w:div w:id="1053117190">
      <w:bodyDiv w:val="1"/>
      <w:marLeft w:val="0"/>
      <w:marRight w:val="0"/>
      <w:marTop w:val="0"/>
      <w:marBottom w:val="0"/>
      <w:divBdr>
        <w:top w:val="none" w:sz="0" w:space="0" w:color="auto"/>
        <w:left w:val="none" w:sz="0" w:space="0" w:color="auto"/>
        <w:bottom w:val="none" w:sz="0" w:space="0" w:color="auto"/>
        <w:right w:val="none" w:sz="0" w:space="0" w:color="auto"/>
      </w:divBdr>
    </w:div>
    <w:div w:id="1053193171">
      <w:bodyDiv w:val="1"/>
      <w:marLeft w:val="0"/>
      <w:marRight w:val="0"/>
      <w:marTop w:val="0"/>
      <w:marBottom w:val="0"/>
      <w:divBdr>
        <w:top w:val="none" w:sz="0" w:space="0" w:color="auto"/>
        <w:left w:val="none" w:sz="0" w:space="0" w:color="auto"/>
        <w:bottom w:val="none" w:sz="0" w:space="0" w:color="auto"/>
        <w:right w:val="none" w:sz="0" w:space="0" w:color="auto"/>
      </w:divBdr>
    </w:div>
    <w:div w:id="1053382316">
      <w:bodyDiv w:val="1"/>
      <w:marLeft w:val="0"/>
      <w:marRight w:val="0"/>
      <w:marTop w:val="0"/>
      <w:marBottom w:val="0"/>
      <w:divBdr>
        <w:top w:val="none" w:sz="0" w:space="0" w:color="auto"/>
        <w:left w:val="none" w:sz="0" w:space="0" w:color="auto"/>
        <w:bottom w:val="none" w:sz="0" w:space="0" w:color="auto"/>
        <w:right w:val="none" w:sz="0" w:space="0" w:color="auto"/>
      </w:divBdr>
    </w:div>
    <w:div w:id="1053432046">
      <w:bodyDiv w:val="1"/>
      <w:marLeft w:val="0"/>
      <w:marRight w:val="0"/>
      <w:marTop w:val="0"/>
      <w:marBottom w:val="0"/>
      <w:divBdr>
        <w:top w:val="none" w:sz="0" w:space="0" w:color="auto"/>
        <w:left w:val="none" w:sz="0" w:space="0" w:color="auto"/>
        <w:bottom w:val="none" w:sz="0" w:space="0" w:color="auto"/>
        <w:right w:val="none" w:sz="0" w:space="0" w:color="auto"/>
      </w:divBdr>
    </w:div>
    <w:div w:id="1053499607">
      <w:bodyDiv w:val="1"/>
      <w:marLeft w:val="0"/>
      <w:marRight w:val="0"/>
      <w:marTop w:val="0"/>
      <w:marBottom w:val="0"/>
      <w:divBdr>
        <w:top w:val="none" w:sz="0" w:space="0" w:color="auto"/>
        <w:left w:val="none" w:sz="0" w:space="0" w:color="auto"/>
        <w:bottom w:val="none" w:sz="0" w:space="0" w:color="auto"/>
        <w:right w:val="none" w:sz="0" w:space="0" w:color="auto"/>
      </w:divBdr>
    </w:div>
    <w:div w:id="1053652906">
      <w:bodyDiv w:val="1"/>
      <w:marLeft w:val="0"/>
      <w:marRight w:val="0"/>
      <w:marTop w:val="0"/>
      <w:marBottom w:val="0"/>
      <w:divBdr>
        <w:top w:val="none" w:sz="0" w:space="0" w:color="auto"/>
        <w:left w:val="none" w:sz="0" w:space="0" w:color="auto"/>
        <w:bottom w:val="none" w:sz="0" w:space="0" w:color="auto"/>
        <w:right w:val="none" w:sz="0" w:space="0" w:color="auto"/>
      </w:divBdr>
    </w:div>
    <w:div w:id="1053693815">
      <w:bodyDiv w:val="1"/>
      <w:marLeft w:val="0"/>
      <w:marRight w:val="0"/>
      <w:marTop w:val="0"/>
      <w:marBottom w:val="0"/>
      <w:divBdr>
        <w:top w:val="none" w:sz="0" w:space="0" w:color="auto"/>
        <w:left w:val="none" w:sz="0" w:space="0" w:color="auto"/>
        <w:bottom w:val="none" w:sz="0" w:space="0" w:color="auto"/>
        <w:right w:val="none" w:sz="0" w:space="0" w:color="auto"/>
      </w:divBdr>
    </w:div>
    <w:div w:id="1053886420">
      <w:bodyDiv w:val="1"/>
      <w:marLeft w:val="0"/>
      <w:marRight w:val="0"/>
      <w:marTop w:val="0"/>
      <w:marBottom w:val="0"/>
      <w:divBdr>
        <w:top w:val="none" w:sz="0" w:space="0" w:color="auto"/>
        <w:left w:val="none" w:sz="0" w:space="0" w:color="auto"/>
        <w:bottom w:val="none" w:sz="0" w:space="0" w:color="auto"/>
        <w:right w:val="none" w:sz="0" w:space="0" w:color="auto"/>
      </w:divBdr>
    </w:div>
    <w:div w:id="1053965519">
      <w:bodyDiv w:val="1"/>
      <w:marLeft w:val="0"/>
      <w:marRight w:val="0"/>
      <w:marTop w:val="0"/>
      <w:marBottom w:val="0"/>
      <w:divBdr>
        <w:top w:val="none" w:sz="0" w:space="0" w:color="auto"/>
        <w:left w:val="none" w:sz="0" w:space="0" w:color="auto"/>
        <w:bottom w:val="none" w:sz="0" w:space="0" w:color="auto"/>
        <w:right w:val="none" w:sz="0" w:space="0" w:color="auto"/>
      </w:divBdr>
    </w:div>
    <w:div w:id="1054155805">
      <w:bodyDiv w:val="1"/>
      <w:marLeft w:val="0"/>
      <w:marRight w:val="0"/>
      <w:marTop w:val="0"/>
      <w:marBottom w:val="0"/>
      <w:divBdr>
        <w:top w:val="none" w:sz="0" w:space="0" w:color="auto"/>
        <w:left w:val="none" w:sz="0" w:space="0" w:color="auto"/>
        <w:bottom w:val="none" w:sz="0" w:space="0" w:color="auto"/>
        <w:right w:val="none" w:sz="0" w:space="0" w:color="auto"/>
      </w:divBdr>
    </w:div>
    <w:div w:id="1054236300">
      <w:bodyDiv w:val="1"/>
      <w:marLeft w:val="0"/>
      <w:marRight w:val="0"/>
      <w:marTop w:val="0"/>
      <w:marBottom w:val="0"/>
      <w:divBdr>
        <w:top w:val="none" w:sz="0" w:space="0" w:color="auto"/>
        <w:left w:val="none" w:sz="0" w:space="0" w:color="auto"/>
        <w:bottom w:val="none" w:sz="0" w:space="0" w:color="auto"/>
        <w:right w:val="none" w:sz="0" w:space="0" w:color="auto"/>
      </w:divBdr>
    </w:div>
    <w:div w:id="1054432139">
      <w:bodyDiv w:val="1"/>
      <w:marLeft w:val="0"/>
      <w:marRight w:val="0"/>
      <w:marTop w:val="0"/>
      <w:marBottom w:val="0"/>
      <w:divBdr>
        <w:top w:val="none" w:sz="0" w:space="0" w:color="auto"/>
        <w:left w:val="none" w:sz="0" w:space="0" w:color="auto"/>
        <w:bottom w:val="none" w:sz="0" w:space="0" w:color="auto"/>
        <w:right w:val="none" w:sz="0" w:space="0" w:color="auto"/>
      </w:divBdr>
    </w:div>
    <w:div w:id="1054549801">
      <w:bodyDiv w:val="1"/>
      <w:marLeft w:val="0"/>
      <w:marRight w:val="0"/>
      <w:marTop w:val="0"/>
      <w:marBottom w:val="0"/>
      <w:divBdr>
        <w:top w:val="none" w:sz="0" w:space="0" w:color="auto"/>
        <w:left w:val="none" w:sz="0" w:space="0" w:color="auto"/>
        <w:bottom w:val="none" w:sz="0" w:space="0" w:color="auto"/>
        <w:right w:val="none" w:sz="0" w:space="0" w:color="auto"/>
      </w:divBdr>
    </w:div>
    <w:div w:id="1054620165">
      <w:bodyDiv w:val="1"/>
      <w:marLeft w:val="0"/>
      <w:marRight w:val="0"/>
      <w:marTop w:val="0"/>
      <w:marBottom w:val="0"/>
      <w:divBdr>
        <w:top w:val="none" w:sz="0" w:space="0" w:color="auto"/>
        <w:left w:val="none" w:sz="0" w:space="0" w:color="auto"/>
        <w:bottom w:val="none" w:sz="0" w:space="0" w:color="auto"/>
        <w:right w:val="none" w:sz="0" w:space="0" w:color="auto"/>
      </w:divBdr>
    </w:div>
    <w:div w:id="1054620754">
      <w:bodyDiv w:val="1"/>
      <w:marLeft w:val="0"/>
      <w:marRight w:val="0"/>
      <w:marTop w:val="0"/>
      <w:marBottom w:val="0"/>
      <w:divBdr>
        <w:top w:val="none" w:sz="0" w:space="0" w:color="auto"/>
        <w:left w:val="none" w:sz="0" w:space="0" w:color="auto"/>
        <w:bottom w:val="none" w:sz="0" w:space="0" w:color="auto"/>
        <w:right w:val="none" w:sz="0" w:space="0" w:color="auto"/>
      </w:divBdr>
    </w:div>
    <w:div w:id="1054736435">
      <w:bodyDiv w:val="1"/>
      <w:marLeft w:val="0"/>
      <w:marRight w:val="0"/>
      <w:marTop w:val="0"/>
      <w:marBottom w:val="0"/>
      <w:divBdr>
        <w:top w:val="none" w:sz="0" w:space="0" w:color="auto"/>
        <w:left w:val="none" w:sz="0" w:space="0" w:color="auto"/>
        <w:bottom w:val="none" w:sz="0" w:space="0" w:color="auto"/>
        <w:right w:val="none" w:sz="0" w:space="0" w:color="auto"/>
      </w:divBdr>
    </w:div>
    <w:div w:id="1054814773">
      <w:bodyDiv w:val="1"/>
      <w:marLeft w:val="0"/>
      <w:marRight w:val="0"/>
      <w:marTop w:val="0"/>
      <w:marBottom w:val="0"/>
      <w:divBdr>
        <w:top w:val="none" w:sz="0" w:space="0" w:color="auto"/>
        <w:left w:val="none" w:sz="0" w:space="0" w:color="auto"/>
        <w:bottom w:val="none" w:sz="0" w:space="0" w:color="auto"/>
        <w:right w:val="none" w:sz="0" w:space="0" w:color="auto"/>
      </w:divBdr>
    </w:div>
    <w:div w:id="1054890209">
      <w:bodyDiv w:val="1"/>
      <w:marLeft w:val="0"/>
      <w:marRight w:val="0"/>
      <w:marTop w:val="0"/>
      <w:marBottom w:val="0"/>
      <w:divBdr>
        <w:top w:val="none" w:sz="0" w:space="0" w:color="auto"/>
        <w:left w:val="none" w:sz="0" w:space="0" w:color="auto"/>
        <w:bottom w:val="none" w:sz="0" w:space="0" w:color="auto"/>
        <w:right w:val="none" w:sz="0" w:space="0" w:color="auto"/>
      </w:divBdr>
    </w:div>
    <w:div w:id="1055006149">
      <w:bodyDiv w:val="1"/>
      <w:marLeft w:val="0"/>
      <w:marRight w:val="0"/>
      <w:marTop w:val="0"/>
      <w:marBottom w:val="0"/>
      <w:divBdr>
        <w:top w:val="none" w:sz="0" w:space="0" w:color="auto"/>
        <w:left w:val="none" w:sz="0" w:space="0" w:color="auto"/>
        <w:bottom w:val="none" w:sz="0" w:space="0" w:color="auto"/>
        <w:right w:val="none" w:sz="0" w:space="0" w:color="auto"/>
      </w:divBdr>
    </w:div>
    <w:div w:id="1055083770">
      <w:bodyDiv w:val="1"/>
      <w:marLeft w:val="0"/>
      <w:marRight w:val="0"/>
      <w:marTop w:val="0"/>
      <w:marBottom w:val="0"/>
      <w:divBdr>
        <w:top w:val="none" w:sz="0" w:space="0" w:color="auto"/>
        <w:left w:val="none" w:sz="0" w:space="0" w:color="auto"/>
        <w:bottom w:val="none" w:sz="0" w:space="0" w:color="auto"/>
        <w:right w:val="none" w:sz="0" w:space="0" w:color="auto"/>
      </w:divBdr>
    </w:div>
    <w:div w:id="1055154274">
      <w:bodyDiv w:val="1"/>
      <w:marLeft w:val="0"/>
      <w:marRight w:val="0"/>
      <w:marTop w:val="0"/>
      <w:marBottom w:val="0"/>
      <w:divBdr>
        <w:top w:val="none" w:sz="0" w:space="0" w:color="auto"/>
        <w:left w:val="none" w:sz="0" w:space="0" w:color="auto"/>
        <w:bottom w:val="none" w:sz="0" w:space="0" w:color="auto"/>
        <w:right w:val="none" w:sz="0" w:space="0" w:color="auto"/>
      </w:divBdr>
    </w:div>
    <w:div w:id="1055157051">
      <w:bodyDiv w:val="1"/>
      <w:marLeft w:val="0"/>
      <w:marRight w:val="0"/>
      <w:marTop w:val="0"/>
      <w:marBottom w:val="0"/>
      <w:divBdr>
        <w:top w:val="none" w:sz="0" w:space="0" w:color="auto"/>
        <w:left w:val="none" w:sz="0" w:space="0" w:color="auto"/>
        <w:bottom w:val="none" w:sz="0" w:space="0" w:color="auto"/>
        <w:right w:val="none" w:sz="0" w:space="0" w:color="auto"/>
      </w:divBdr>
    </w:div>
    <w:div w:id="1055157544">
      <w:bodyDiv w:val="1"/>
      <w:marLeft w:val="0"/>
      <w:marRight w:val="0"/>
      <w:marTop w:val="0"/>
      <w:marBottom w:val="0"/>
      <w:divBdr>
        <w:top w:val="none" w:sz="0" w:space="0" w:color="auto"/>
        <w:left w:val="none" w:sz="0" w:space="0" w:color="auto"/>
        <w:bottom w:val="none" w:sz="0" w:space="0" w:color="auto"/>
        <w:right w:val="none" w:sz="0" w:space="0" w:color="auto"/>
      </w:divBdr>
    </w:div>
    <w:div w:id="1055162046">
      <w:bodyDiv w:val="1"/>
      <w:marLeft w:val="0"/>
      <w:marRight w:val="0"/>
      <w:marTop w:val="0"/>
      <w:marBottom w:val="0"/>
      <w:divBdr>
        <w:top w:val="none" w:sz="0" w:space="0" w:color="auto"/>
        <w:left w:val="none" w:sz="0" w:space="0" w:color="auto"/>
        <w:bottom w:val="none" w:sz="0" w:space="0" w:color="auto"/>
        <w:right w:val="none" w:sz="0" w:space="0" w:color="auto"/>
      </w:divBdr>
    </w:div>
    <w:div w:id="1055197309">
      <w:bodyDiv w:val="1"/>
      <w:marLeft w:val="0"/>
      <w:marRight w:val="0"/>
      <w:marTop w:val="0"/>
      <w:marBottom w:val="0"/>
      <w:divBdr>
        <w:top w:val="none" w:sz="0" w:space="0" w:color="auto"/>
        <w:left w:val="none" w:sz="0" w:space="0" w:color="auto"/>
        <w:bottom w:val="none" w:sz="0" w:space="0" w:color="auto"/>
        <w:right w:val="none" w:sz="0" w:space="0" w:color="auto"/>
      </w:divBdr>
    </w:div>
    <w:div w:id="1055201421">
      <w:bodyDiv w:val="1"/>
      <w:marLeft w:val="0"/>
      <w:marRight w:val="0"/>
      <w:marTop w:val="0"/>
      <w:marBottom w:val="0"/>
      <w:divBdr>
        <w:top w:val="none" w:sz="0" w:space="0" w:color="auto"/>
        <w:left w:val="none" w:sz="0" w:space="0" w:color="auto"/>
        <w:bottom w:val="none" w:sz="0" w:space="0" w:color="auto"/>
        <w:right w:val="none" w:sz="0" w:space="0" w:color="auto"/>
      </w:divBdr>
    </w:div>
    <w:div w:id="1055273020">
      <w:bodyDiv w:val="1"/>
      <w:marLeft w:val="0"/>
      <w:marRight w:val="0"/>
      <w:marTop w:val="0"/>
      <w:marBottom w:val="0"/>
      <w:divBdr>
        <w:top w:val="none" w:sz="0" w:space="0" w:color="auto"/>
        <w:left w:val="none" w:sz="0" w:space="0" w:color="auto"/>
        <w:bottom w:val="none" w:sz="0" w:space="0" w:color="auto"/>
        <w:right w:val="none" w:sz="0" w:space="0" w:color="auto"/>
      </w:divBdr>
    </w:div>
    <w:div w:id="1055470456">
      <w:bodyDiv w:val="1"/>
      <w:marLeft w:val="0"/>
      <w:marRight w:val="0"/>
      <w:marTop w:val="0"/>
      <w:marBottom w:val="0"/>
      <w:divBdr>
        <w:top w:val="none" w:sz="0" w:space="0" w:color="auto"/>
        <w:left w:val="none" w:sz="0" w:space="0" w:color="auto"/>
        <w:bottom w:val="none" w:sz="0" w:space="0" w:color="auto"/>
        <w:right w:val="none" w:sz="0" w:space="0" w:color="auto"/>
      </w:divBdr>
    </w:div>
    <w:div w:id="1055473260">
      <w:bodyDiv w:val="1"/>
      <w:marLeft w:val="0"/>
      <w:marRight w:val="0"/>
      <w:marTop w:val="0"/>
      <w:marBottom w:val="0"/>
      <w:divBdr>
        <w:top w:val="none" w:sz="0" w:space="0" w:color="auto"/>
        <w:left w:val="none" w:sz="0" w:space="0" w:color="auto"/>
        <w:bottom w:val="none" w:sz="0" w:space="0" w:color="auto"/>
        <w:right w:val="none" w:sz="0" w:space="0" w:color="auto"/>
      </w:divBdr>
    </w:div>
    <w:div w:id="1055543844">
      <w:bodyDiv w:val="1"/>
      <w:marLeft w:val="0"/>
      <w:marRight w:val="0"/>
      <w:marTop w:val="0"/>
      <w:marBottom w:val="0"/>
      <w:divBdr>
        <w:top w:val="none" w:sz="0" w:space="0" w:color="auto"/>
        <w:left w:val="none" w:sz="0" w:space="0" w:color="auto"/>
        <w:bottom w:val="none" w:sz="0" w:space="0" w:color="auto"/>
        <w:right w:val="none" w:sz="0" w:space="0" w:color="auto"/>
      </w:divBdr>
    </w:div>
    <w:div w:id="1055549456">
      <w:bodyDiv w:val="1"/>
      <w:marLeft w:val="0"/>
      <w:marRight w:val="0"/>
      <w:marTop w:val="0"/>
      <w:marBottom w:val="0"/>
      <w:divBdr>
        <w:top w:val="none" w:sz="0" w:space="0" w:color="auto"/>
        <w:left w:val="none" w:sz="0" w:space="0" w:color="auto"/>
        <w:bottom w:val="none" w:sz="0" w:space="0" w:color="auto"/>
        <w:right w:val="none" w:sz="0" w:space="0" w:color="auto"/>
      </w:divBdr>
    </w:div>
    <w:div w:id="1055661383">
      <w:bodyDiv w:val="1"/>
      <w:marLeft w:val="0"/>
      <w:marRight w:val="0"/>
      <w:marTop w:val="0"/>
      <w:marBottom w:val="0"/>
      <w:divBdr>
        <w:top w:val="none" w:sz="0" w:space="0" w:color="auto"/>
        <w:left w:val="none" w:sz="0" w:space="0" w:color="auto"/>
        <w:bottom w:val="none" w:sz="0" w:space="0" w:color="auto"/>
        <w:right w:val="none" w:sz="0" w:space="0" w:color="auto"/>
      </w:divBdr>
    </w:div>
    <w:div w:id="1055734194">
      <w:bodyDiv w:val="1"/>
      <w:marLeft w:val="0"/>
      <w:marRight w:val="0"/>
      <w:marTop w:val="0"/>
      <w:marBottom w:val="0"/>
      <w:divBdr>
        <w:top w:val="none" w:sz="0" w:space="0" w:color="auto"/>
        <w:left w:val="none" w:sz="0" w:space="0" w:color="auto"/>
        <w:bottom w:val="none" w:sz="0" w:space="0" w:color="auto"/>
        <w:right w:val="none" w:sz="0" w:space="0" w:color="auto"/>
      </w:divBdr>
    </w:div>
    <w:div w:id="1055736266">
      <w:bodyDiv w:val="1"/>
      <w:marLeft w:val="0"/>
      <w:marRight w:val="0"/>
      <w:marTop w:val="0"/>
      <w:marBottom w:val="0"/>
      <w:divBdr>
        <w:top w:val="none" w:sz="0" w:space="0" w:color="auto"/>
        <w:left w:val="none" w:sz="0" w:space="0" w:color="auto"/>
        <w:bottom w:val="none" w:sz="0" w:space="0" w:color="auto"/>
        <w:right w:val="none" w:sz="0" w:space="0" w:color="auto"/>
      </w:divBdr>
    </w:div>
    <w:div w:id="1055855105">
      <w:bodyDiv w:val="1"/>
      <w:marLeft w:val="0"/>
      <w:marRight w:val="0"/>
      <w:marTop w:val="0"/>
      <w:marBottom w:val="0"/>
      <w:divBdr>
        <w:top w:val="none" w:sz="0" w:space="0" w:color="auto"/>
        <w:left w:val="none" w:sz="0" w:space="0" w:color="auto"/>
        <w:bottom w:val="none" w:sz="0" w:space="0" w:color="auto"/>
        <w:right w:val="none" w:sz="0" w:space="0" w:color="auto"/>
      </w:divBdr>
    </w:div>
    <w:div w:id="1056123437">
      <w:bodyDiv w:val="1"/>
      <w:marLeft w:val="0"/>
      <w:marRight w:val="0"/>
      <w:marTop w:val="0"/>
      <w:marBottom w:val="0"/>
      <w:divBdr>
        <w:top w:val="none" w:sz="0" w:space="0" w:color="auto"/>
        <w:left w:val="none" w:sz="0" w:space="0" w:color="auto"/>
        <w:bottom w:val="none" w:sz="0" w:space="0" w:color="auto"/>
        <w:right w:val="none" w:sz="0" w:space="0" w:color="auto"/>
      </w:divBdr>
    </w:div>
    <w:div w:id="1056322976">
      <w:bodyDiv w:val="1"/>
      <w:marLeft w:val="0"/>
      <w:marRight w:val="0"/>
      <w:marTop w:val="0"/>
      <w:marBottom w:val="0"/>
      <w:divBdr>
        <w:top w:val="none" w:sz="0" w:space="0" w:color="auto"/>
        <w:left w:val="none" w:sz="0" w:space="0" w:color="auto"/>
        <w:bottom w:val="none" w:sz="0" w:space="0" w:color="auto"/>
        <w:right w:val="none" w:sz="0" w:space="0" w:color="auto"/>
      </w:divBdr>
    </w:div>
    <w:div w:id="1056469210">
      <w:bodyDiv w:val="1"/>
      <w:marLeft w:val="0"/>
      <w:marRight w:val="0"/>
      <w:marTop w:val="0"/>
      <w:marBottom w:val="0"/>
      <w:divBdr>
        <w:top w:val="none" w:sz="0" w:space="0" w:color="auto"/>
        <w:left w:val="none" w:sz="0" w:space="0" w:color="auto"/>
        <w:bottom w:val="none" w:sz="0" w:space="0" w:color="auto"/>
        <w:right w:val="none" w:sz="0" w:space="0" w:color="auto"/>
      </w:divBdr>
    </w:div>
    <w:div w:id="1056511693">
      <w:bodyDiv w:val="1"/>
      <w:marLeft w:val="0"/>
      <w:marRight w:val="0"/>
      <w:marTop w:val="0"/>
      <w:marBottom w:val="0"/>
      <w:divBdr>
        <w:top w:val="none" w:sz="0" w:space="0" w:color="auto"/>
        <w:left w:val="none" w:sz="0" w:space="0" w:color="auto"/>
        <w:bottom w:val="none" w:sz="0" w:space="0" w:color="auto"/>
        <w:right w:val="none" w:sz="0" w:space="0" w:color="auto"/>
      </w:divBdr>
    </w:div>
    <w:div w:id="1056660003">
      <w:bodyDiv w:val="1"/>
      <w:marLeft w:val="0"/>
      <w:marRight w:val="0"/>
      <w:marTop w:val="0"/>
      <w:marBottom w:val="0"/>
      <w:divBdr>
        <w:top w:val="none" w:sz="0" w:space="0" w:color="auto"/>
        <w:left w:val="none" w:sz="0" w:space="0" w:color="auto"/>
        <w:bottom w:val="none" w:sz="0" w:space="0" w:color="auto"/>
        <w:right w:val="none" w:sz="0" w:space="0" w:color="auto"/>
      </w:divBdr>
    </w:div>
    <w:div w:id="1056663369">
      <w:bodyDiv w:val="1"/>
      <w:marLeft w:val="0"/>
      <w:marRight w:val="0"/>
      <w:marTop w:val="0"/>
      <w:marBottom w:val="0"/>
      <w:divBdr>
        <w:top w:val="none" w:sz="0" w:space="0" w:color="auto"/>
        <w:left w:val="none" w:sz="0" w:space="0" w:color="auto"/>
        <w:bottom w:val="none" w:sz="0" w:space="0" w:color="auto"/>
        <w:right w:val="none" w:sz="0" w:space="0" w:color="auto"/>
      </w:divBdr>
    </w:div>
    <w:div w:id="1056704474">
      <w:bodyDiv w:val="1"/>
      <w:marLeft w:val="0"/>
      <w:marRight w:val="0"/>
      <w:marTop w:val="0"/>
      <w:marBottom w:val="0"/>
      <w:divBdr>
        <w:top w:val="none" w:sz="0" w:space="0" w:color="auto"/>
        <w:left w:val="none" w:sz="0" w:space="0" w:color="auto"/>
        <w:bottom w:val="none" w:sz="0" w:space="0" w:color="auto"/>
        <w:right w:val="none" w:sz="0" w:space="0" w:color="auto"/>
      </w:divBdr>
    </w:div>
    <w:div w:id="1056706489">
      <w:bodyDiv w:val="1"/>
      <w:marLeft w:val="0"/>
      <w:marRight w:val="0"/>
      <w:marTop w:val="0"/>
      <w:marBottom w:val="0"/>
      <w:divBdr>
        <w:top w:val="none" w:sz="0" w:space="0" w:color="auto"/>
        <w:left w:val="none" w:sz="0" w:space="0" w:color="auto"/>
        <w:bottom w:val="none" w:sz="0" w:space="0" w:color="auto"/>
        <w:right w:val="none" w:sz="0" w:space="0" w:color="auto"/>
      </w:divBdr>
    </w:div>
    <w:div w:id="1056709548">
      <w:bodyDiv w:val="1"/>
      <w:marLeft w:val="0"/>
      <w:marRight w:val="0"/>
      <w:marTop w:val="0"/>
      <w:marBottom w:val="0"/>
      <w:divBdr>
        <w:top w:val="none" w:sz="0" w:space="0" w:color="auto"/>
        <w:left w:val="none" w:sz="0" w:space="0" w:color="auto"/>
        <w:bottom w:val="none" w:sz="0" w:space="0" w:color="auto"/>
        <w:right w:val="none" w:sz="0" w:space="0" w:color="auto"/>
      </w:divBdr>
    </w:div>
    <w:div w:id="1056785040">
      <w:bodyDiv w:val="1"/>
      <w:marLeft w:val="0"/>
      <w:marRight w:val="0"/>
      <w:marTop w:val="0"/>
      <w:marBottom w:val="0"/>
      <w:divBdr>
        <w:top w:val="none" w:sz="0" w:space="0" w:color="auto"/>
        <w:left w:val="none" w:sz="0" w:space="0" w:color="auto"/>
        <w:bottom w:val="none" w:sz="0" w:space="0" w:color="auto"/>
        <w:right w:val="none" w:sz="0" w:space="0" w:color="auto"/>
      </w:divBdr>
    </w:div>
    <w:div w:id="1056858754">
      <w:bodyDiv w:val="1"/>
      <w:marLeft w:val="0"/>
      <w:marRight w:val="0"/>
      <w:marTop w:val="0"/>
      <w:marBottom w:val="0"/>
      <w:divBdr>
        <w:top w:val="none" w:sz="0" w:space="0" w:color="auto"/>
        <w:left w:val="none" w:sz="0" w:space="0" w:color="auto"/>
        <w:bottom w:val="none" w:sz="0" w:space="0" w:color="auto"/>
        <w:right w:val="none" w:sz="0" w:space="0" w:color="auto"/>
      </w:divBdr>
    </w:div>
    <w:div w:id="1056902962">
      <w:bodyDiv w:val="1"/>
      <w:marLeft w:val="0"/>
      <w:marRight w:val="0"/>
      <w:marTop w:val="0"/>
      <w:marBottom w:val="0"/>
      <w:divBdr>
        <w:top w:val="none" w:sz="0" w:space="0" w:color="auto"/>
        <w:left w:val="none" w:sz="0" w:space="0" w:color="auto"/>
        <w:bottom w:val="none" w:sz="0" w:space="0" w:color="auto"/>
        <w:right w:val="none" w:sz="0" w:space="0" w:color="auto"/>
      </w:divBdr>
    </w:div>
    <w:div w:id="1056969425">
      <w:bodyDiv w:val="1"/>
      <w:marLeft w:val="0"/>
      <w:marRight w:val="0"/>
      <w:marTop w:val="0"/>
      <w:marBottom w:val="0"/>
      <w:divBdr>
        <w:top w:val="none" w:sz="0" w:space="0" w:color="auto"/>
        <w:left w:val="none" w:sz="0" w:space="0" w:color="auto"/>
        <w:bottom w:val="none" w:sz="0" w:space="0" w:color="auto"/>
        <w:right w:val="none" w:sz="0" w:space="0" w:color="auto"/>
      </w:divBdr>
    </w:div>
    <w:div w:id="1057050519">
      <w:bodyDiv w:val="1"/>
      <w:marLeft w:val="0"/>
      <w:marRight w:val="0"/>
      <w:marTop w:val="0"/>
      <w:marBottom w:val="0"/>
      <w:divBdr>
        <w:top w:val="none" w:sz="0" w:space="0" w:color="auto"/>
        <w:left w:val="none" w:sz="0" w:space="0" w:color="auto"/>
        <w:bottom w:val="none" w:sz="0" w:space="0" w:color="auto"/>
        <w:right w:val="none" w:sz="0" w:space="0" w:color="auto"/>
      </w:divBdr>
    </w:div>
    <w:div w:id="1057169944">
      <w:bodyDiv w:val="1"/>
      <w:marLeft w:val="0"/>
      <w:marRight w:val="0"/>
      <w:marTop w:val="0"/>
      <w:marBottom w:val="0"/>
      <w:divBdr>
        <w:top w:val="none" w:sz="0" w:space="0" w:color="auto"/>
        <w:left w:val="none" w:sz="0" w:space="0" w:color="auto"/>
        <w:bottom w:val="none" w:sz="0" w:space="0" w:color="auto"/>
        <w:right w:val="none" w:sz="0" w:space="0" w:color="auto"/>
      </w:divBdr>
    </w:div>
    <w:div w:id="1057171020">
      <w:bodyDiv w:val="1"/>
      <w:marLeft w:val="0"/>
      <w:marRight w:val="0"/>
      <w:marTop w:val="0"/>
      <w:marBottom w:val="0"/>
      <w:divBdr>
        <w:top w:val="none" w:sz="0" w:space="0" w:color="auto"/>
        <w:left w:val="none" w:sz="0" w:space="0" w:color="auto"/>
        <w:bottom w:val="none" w:sz="0" w:space="0" w:color="auto"/>
        <w:right w:val="none" w:sz="0" w:space="0" w:color="auto"/>
      </w:divBdr>
    </w:div>
    <w:div w:id="1057243021">
      <w:bodyDiv w:val="1"/>
      <w:marLeft w:val="0"/>
      <w:marRight w:val="0"/>
      <w:marTop w:val="0"/>
      <w:marBottom w:val="0"/>
      <w:divBdr>
        <w:top w:val="none" w:sz="0" w:space="0" w:color="auto"/>
        <w:left w:val="none" w:sz="0" w:space="0" w:color="auto"/>
        <w:bottom w:val="none" w:sz="0" w:space="0" w:color="auto"/>
        <w:right w:val="none" w:sz="0" w:space="0" w:color="auto"/>
      </w:divBdr>
    </w:div>
    <w:div w:id="1057362177">
      <w:bodyDiv w:val="1"/>
      <w:marLeft w:val="0"/>
      <w:marRight w:val="0"/>
      <w:marTop w:val="0"/>
      <w:marBottom w:val="0"/>
      <w:divBdr>
        <w:top w:val="none" w:sz="0" w:space="0" w:color="auto"/>
        <w:left w:val="none" w:sz="0" w:space="0" w:color="auto"/>
        <w:bottom w:val="none" w:sz="0" w:space="0" w:color="auto"/>
        <w:right w:val="none" w:sz="0" w:space="0" w:color="auto"/>
      </w:divBdr>
    </w:div>
    <w:div w:id="1057433649">
      <w:bodyDiv w:val="1"/>
      <w:marLeft w:val="0"/>
      <w:marRight w:val="0"/>
      <w:marTop w:val="0"/>
      <w:marBottom w:val="0"/>
      <w:divBdr>
        <w:top w:val="none" w:sz="0" w:space="0" w:color="auto"/>
        <w:left w:val="none" w:sz="0" w:space="0" w:color="auto"/>
        <w:bottom w:val="none" w:sz="0" w:space="0" w:color="auto"/>
        <w:right w:val="none" w:sz="0" w:space="0" w:color="auto"/>
      </w:divBdr>
    </w:div>
    <w:div w:id="1057440074">
      <w:bodyDiv w:val="1"/>
      <w:marLeft w:val="0"/>
      <w:marRight w:val="0"/>
      <w:marTop w:val="0"/>
      <w:marBottom w:val="0"/>
      <w:divBdr>
        <w:top w:val="none" w:sz="0" w:space="0" w:color="auto"/>
        <w:left w:val="none" w:sz="0" w:space="0" w:color="auto"/>
        <w:bottom w:val="none" w:sz="0" w:space="0" w:color="auto"/>
        <w:right w:val="none" w:sz="0" w:space="0" w:color="auto"/>
      </w:divBdr>
    </w:div>
    <w:div w:id="1057510597">
      <w:bodyDiv w:val="1"/>
      <w:marLeft w:val="0"/>
      <w:marRight w:val="0"/>
      <w:marTop w:val="0"/>
      <w:marBottom w:val="0"/>
      <w:divBdr>
        <w:top w:val="none" w:sz="0" w:space="0" w:color="auto"/>
        <w:left w:val="none" w:sz="0" w:space="0" w:color="auto"/>
        <w:bottom w:val="none" w:sz="0" w:space="0" w:color="auto"/>
        <w:right w:val="none" w:sz="0" w:space="0" w:color="auto"/>
      </w:divBdr>
    </w:div>
    <w:div w:id="1057514718">
      <w:bodyDiv w:val="1"/>
      <w:marLeft w:val="0"/>
      <w:marRight w:val="0"/>
      <w:marTop w:val="0"/>
      <w:marBottom w:val="0"/>
      <w:divBdr>
        <w:top w:val="none" w:sz="0" w:space="0" w:color="auto"/>
        <w:left w:val="none" w:sz="0" w:space="0" w:color="auto"/>
        <w:bottom w:val="none" w:sz="0" w:space="0" w:color="auto"/>
        <w:right w:val="none" w:sz="0" w:space="0" w:color="auto"/>
      </w:divBdr>
    </w:div>
    <w:div w:id="1057625893">
      <w:bodyDiv w:val="1"/>
      <w:marLeft w:val="0"/>
      <w:marRight w:val="0"/>
      <w:marTop w:val="0"/>
      <w:marBottom w:val="0"/>
      <w:divBdr>
        <w:top w:val="none" w:sz="0" w:space="0" w:color="auto"/>
        <w:left w:val="none" w:sz="0" w:space="0" w:color="auto"/>
        <w:bottom w:val="none" w:sz="0" w:space="0" w:color="auto"/>
        <w:right w:val="none" w:sz="0" w:space="0" w:color="auto"/>
      </w:divBdr>
    </w:div>
    <w:div w:id="1057627375">
      <w:bodyDiv w:val="1"/>
      <w:marLeft w:val="0"/>
      <w:marRight w:val="0"/>
      <w:marTop w:val="0"/>
      <w:marBottom w:val="0"/>
      <w:divBdr>
        <w:top w:val="none" w:sz="0" w:space="0" w:color="auto"/>
        <w:left w:val="none" w:sz="0" w:space="0" w:color="auto"/>
        <w:bottom w:val="none" w:sz="0" w:space="0" w:color="auto"/>
        <w:right w:val="none" w:sz="0" w:space="0" w:color="auto"/>
      </w:divBdr>
    </w:div>
    <w:div w:id="1057632504">
      <w:bodyDiv w:val="1"/>
      <w:marLeft w:val="0"/>
      <w:marRight w:val="0"/>
      <w:marTop w:val="0"/>
      <w:marBottom w:val="0"/>
      <w:divBdr>
        <w:top w:val="none" w:sz="0" w:space="0" w:color="auto"/>
        <w:left w:val="none" w:sz="0" w:space="0" w:color="auto"/>
        <w:bottom w:val="none" w:sz="0" w:space="0" w:color="auto"/>
        <w:right w:val="none" w:sz="0" w:space="0" w:color="auto"/>
      </w:divBdr>
    </w:div>
    <w:div w:id="1057779763">
      <w:bodyDiv w:val="1"/>
      <w:marLeft w:val="0"/>
      <w:marRight w:val="0"/>
      <w:marTop w:val="0"/>
      <w:marBottom w:val="0"/>
      <w:divBdr>
        <w:top w:val="none" w:sz="0" w:space="0" w:color="auto"/>
        <w:left w:val="none" w:sz="0" w:space="0" w:color="auto"/>
        <w:bottom w:val="none" w:sz="0" w:space="0" w:color="auto"/>
        <w:right w:val="none" w:sz="0" w:space="0" w:color="auto"/>
      </w:divBdr>
    </w:div>
    <w:div w:id="1057780270">
      <w:bodyDiv w:val="1"/>
      <w:marLeft w:val="0"/>
      <w:marRight w:val="0"/>
      <w:marTop w:val="0"/>
      <w:marBottom w:val="0"/>
      <w:divBdr>
        <w:top w:val="none" w:sz="0" w:space="0" w:color="auto"/>
        <w:left w:val="none" w:sz="0" w:space="0" w:color="auto"/>
        <w:bottom w:val="none" w:sz="0" w:space="0" w:color="auto"/>
        <w:right w:val="none" w:sz="0" w:space="0" w:color="auto"/>
      </w:divBdr>
    </w:div>
    <w:div w:id="1057826209">
      <w:bodyDiv w:val="1"/>
      <w:marLeft w:val="0"/>
      <w:marRight w:val="0"/>
      <w:marTop w:val="0"/>
      <w:marBottom w:val="0"/>
      <w:divBdr>
        <w:top w:val="none" w:sz="0" w:space="0" w:color="auto"/>
        <w:left w:val="none" w:sz="0" w:space="0" w:color="auto"/>
        <w:bottom w:val="none" w:sz="0" w:space="0" w:color="auto"/>
        <w:right w:val="none" w:sz="0" w:space="0" w:color="auto"/>
      </w:divBdr>
    </w:div>
    <w:div w:id="1057901015">
      <w:bodyDiv w:val="1"/>
      <w:marLeft w:val="0"/>
      <w:marRight w:val="0"/>
      <w:marTop w:val="0"/>
      <w:marBottom w:val="0"/>
      <w:divBdr>
        <w:top w:val="none" w:sz="0" w:space="0" w:color="auto"/>
        <w:left w:val="none" w:sz="0" w:space="0" w:color="auto"/>
        <w:bottom w:val="none" w:sz="0" w:space="0" w:color="auto"/>
        <w:right w:val="none" w:sz="0" w:space="0" w:color="auto"/>
      </w:divBdr>
    </w:div>
    <w:div w:id="1057901237">
      <w:bodyDiv w:val="1"/>
      <w:marLeft w:val="0"/>
      <w:marRight w:val="0"/>
      <w:marTop w:val="0"/>
      <w:marBottom w:val="0"/>
      <w:divBdr>
        <w:top w:val="none" w:sz="0" w:space="0" w:color="auto"/>
        <w:left w:val="none" w:sz="0" w:space="0" w:color="auto"/>
        <w:bottom w:val="none" w:sz="0" w:space="0" w:color="auto"/>
        <w:right w:val="none" w:sz="0" w:space="0" w:color="auto"/>
      </w:divBdr>
    </w:div>
    <w:div w:id="1057973217">
      <w:bodyDiv w:val="1"/>
      <w:marLeft w:val="0"/>
      <w:marRight w:val="0"/>
      <w:marTop w:val="0"/>
      <w:marBottom w:val="0"/>
      <w:divBdr>
        <w:top w:val="none" w:sz="0" w:space="0" w:color="auto"/>
        <w:left w:val="none" w:sz="0" w:space="0" w:color="auto"/>
        <w:bottom w:val="none" w:sz="0" w:space="0" w:color="auto"/>
        <w:right w:val="none" w:sz="0" w:space="0" w:color="auto"/>
      </w:divBdr>
    </w:div>
    <w:div w:id="1057977333">
      <w:bodyDiv w:val="1"/>
      <w:marLeft w:val="0"/>
      <w:marRight w:val="0"/>
      <w:marTop w:val="0"/>
      <w:marBottom w:val="0"/>
      <w:divBdr>
        <w:top w:val="none" w:sz="0" w:space="0" w:color="auto"/>
        <w:left w:val="none" w:sz="0" w:space="0" w:color="auto"/>
        <w:bottom w:val="none" w:sz="0" w:space="0" w:color="auto"/>
        <w:right w:val="none" w:sz="0" w:space="0" w:color="auto"/>
      </w:divBdr>
    </w:div>
    <w:div w:id="1058016994">
      <w:bodyDiv w:val="1"/>
      <w:marLeft w:val="0"/>
      <w:marRight w:val="0"/>
      <w:marTop w:val="0"/>
      <w:marBottom w:val="0"/>
      <w:divBdr>
        <w:top w:val="none" w:sz="0" w:space="0" w:color="auto"/>
        <w:left w:val="none" w:sz="0" w:space="0" w:color="auto"/>
        <w:bottom w:val="none" w:sz="0" w:space="0" w:color="auto"/>
        <w:right w:val="none" w:sz="0" w:space="0" w:color="auto"/>
      </w:divBdr>
    </w:div>
    <w:div w:id="1058088599">
      <w:bodyDiv w:val="1"/>
      <w:marLeft w:val="0"/>
      <w:marRight w:val="0"/>
      <w:marTop w:val="0"/>
      <w:marBottom w:val="0"/>
      <w:divBdr>
        <w:top w:val="none" w:sz="0" w:space="0" w:color="auto"/>
        <w:left w:val="none" w:sz="0" w:space="0" w:color="auto"/>
        <w:bottom w:val="none" w:sz="0" w:space="0" w:color="auto"/>
        <w:right w:val="none" w:sz="0" w:space="0" w:color="auto"/>
      </w:divBdr>
    </w:div>
    <w:div w:id="1058169070">
      <w:bodyDiv w:val="1"/>
      <w:marLeft w:val="0"/>
      <w:marRight w:val="0"/>
      <w:marTop w:val="0"/>
      <w:marBottom w:val="0"/>
      <w:divBdr>
        <w:top w:val="none" w:sz="0" w:space="0" w:color="auto"/>
        <w:left w:val="none" w:sz="0" w:space="0" w:color="auto"/>
        <w:bottom w:val="none" w:sz="0" w:space="0" w:color="auto"/>
        <w:right w:val="none" w:sz="0" w:space="0" w:color="auto"/>
      </w:divBdr>
    </w:div>
    <w:div w:id="1058481832">
      <w:bodyDiv w:val="1"/>
      <w:marLeft w:val="0"/>
      <w:marRight w:val="0"/>
      <w:marTop w:val="0"/>
      <w:marBottom w:val="0"/>
      <w:divBdr>
        <w:top w:val="none" w:sz="0" w:space="0" w:color="auto"/>
        <w:left w:val="none" w:sz="0" w:space="0" w:color="auto"/>
        <w:bottom w:val="none" w:sz="0" w:space="0" w:color="auto"/>
        <w:right w:val="none" w:sz="0" w:space="0" w:color="auto"/>
      </w:divBdr>
    </w:div>
    <w:div w:id="1058625439">
      <w:bodyDiv w:val="1"/>
      <w:marLeft w:val="0"/>
      <w:marRight w:val="0"/>
      <w:marTop w:val="0"/>
      <w:marBottom w:val="0"/>
      <w:divBdr>
        <w:top w:val="none" w:sz="0" w:space="0" w:color="auto"/>
        <w:left w:val="none" w:sz="0" w:space="0" w:color="auto"/>
        <w:bottom w:val="none" w:sz="0" w:space="0" w:color="auto"/>
        <w:right w:val="none" w:sz="0" w:space="0" w:color="auto"/>
      </w:divBdr>
    </w:div>
    <w:div w:id="1058626793">
      <w:bodyDiv w:val="1"/>
      <w:marLeft w:val="0"/>
      <w:marRight w:val="0"/>
      <w:marTop w:val="0"/>
      <w:marBottom w:val="0"/>
      <w:divBdr>
        <w:top w:val="none" w:sz="0" w:space="0" w:color="auto"/>
        <w:left w:val="none" w:sz="0" w:space="0" w:color="auto"/>
        <w:bottom w:val="none" w:sz="0" w:space="0" w:color="auto"/>
        <w:right w:val="none" w:sz="0" w:space="0" w:color="auto"/>
      </w:divBdr>
    </w:div>
    <w:div w:id="1058628347">
      <w:bodyDiv w:val="1"/>
      <w:marLeft w:val="0"/>
      <w:marRight w:val="0"/>
      <w:marTop w:val="0"/>
      <w:marBottom w:val="0"/>
      <w:divBdr>
        <w:top w:val="none" w:sz="0" w:space="0" w:color="auto"/>
        <w:left w:val="none" w:sz="0" w:space="0" w:color="auto"/>
        <w:bottom w:val="none" w:sz="0" w:space="0" w:color="auto"/>
        <w:right w:val="none" w:sz="0" w:space="0" w:color="auto"/>
      </w:divBdr>
    </w:div>
    <w:div w:id="1058631036">
      <w:bodyDiv w:val="1"/>
      <w:marLeft w:val="0"/>
      <w:marRight w:val="0"/>
      <w:marTop w:val="0"/>
      <w:marBottom w:val="0"/>
      <w:divBdr>
        <w:top w:val="none" w:sz="0" w:space="0" w:color="auto"/>
        <w:left w:val="none" w:sz="0" w:space="0" w:color="auto"/>
        <w:bottom w:val="none" w:sz="0" w:space="0" w:color="auto"/>
        <w:right w:val="none" w:sz="0" w:space="0" w:color="auto"/>
      </w:divBdr>
    </w:div>
    <w:div w:id="1058631953">
      <w:bodyDiv w:val="1"/>
      <w:marLeft w:val="0"/>
      <w:marRight w:val="0"/>
      <w:marTop w:val="0"/>
      <w:marBottom w:val="0"/>
      <w:divBdr>
        <w:top w:val="none" w:sz="0" w:space="0" w:color="auto"/>
        <w:left w:val="none" w:sz="0" w:space="0" w:color="auto"/>
        <w:bottom w:val="none" w:sz="0" w:space="0" w:color="auto"/>
        <w:right w:val="none" w:sz="0" w:space="0" w:color="auto"/>
      </w:divBdr>
    </w:div>
    <w:div w:id="1058669304">
      <w:bodyDiv w:val="1"/>
      <w:marLeft w:val="0"/>
      <w:marRight w:val="0"/>
      <w:marTop w:val="0"/>
      <w:marBottom w:val="0"/>
      <w:divBdr>
        <w:top w:val="none" w:sz="0" w:space="0" w:color="auto"/>
        <w:left w:val="none" w:sz="0" w:space="0" w:color="auto"/>
        <w:bottom w:val="none" w:sz="0" w:space="0" w:color="auto"/>
        <w:right w:val="none" w:sz="0" w:space="0" w:color="auto"/>
      </w:divBdr>
    </w:div>
    <w:div w:id="1058867767">
      <w:bodyDiv w:val="1"/>
      <w:marLeft w:val="0"/>
      <w:marRight w:val="0"/>
      <w:marTop w:val="0"/>
      <w:marBottom w:val="0"/>
      <w:divBdr>
        <w:top w:val="none" w:sz="0" w:space="0" w:color="auto"/>
        <w:left w:val="none" w:sz="0" w:space="0" w:color="auto"/>
        <w:bottom w:val="none" w:sz="0" w:space="0" w:color="auto"/>
        <w:right w:val="none" w:sz="0" w:space="0" w:color="auto"/>
      </w:divBdr>
    </w:div>
    <w:div w:id="1058934778">
      <w:bodyDiv w:val="1"/>
      <w:marLeft w:val="0"/>
      <w:marRight w:val="0"/>
      <w:marTop w:val="0"/>
      <w:marBottom w:val="0"/>
      <w:divBdr>
        <w:top w:val="none" w:sz="0" w:space="0" w:color="auto"/>
        <w:left w:val="none" w:sz="0" w:space="0" w:color="auto"/>
        <w:bottom w:val="none" w:sz="0" w:space="0" w:color="auto"/>
        <w:right w:val="none" w:sz="0" w:space="0" w:color="auto"/>
      </w:divBdr>
    </w:div>
    <w:div w:id="1058935875">
      <w:bodyDiv w:val="1"/>
      <w:marLeft w:val="0"/>
      <w:marRight w:val="0"/>
      <w:marTop w:val="0"/>
      <w:marBottom w:val="0"/>
      <w:divBdr>
        <w:top w:val="none" w:sz="0" w:space="0" w:color="auto"/>
        <w:left w:val="none" w:sz="0" w:space="0" w:color="auto"/>
        <w:bottom w:val="none" w:sz="0" w:space="0" w:color="auto"/>
        <w:right w:val="none" w:sz="0" w:space="0" w:color="auto"/>
      </w:divBdr>
    </w:div>
    <w:div w:id="1059016424">
      <w:bodyDiv w:val="1"/>
      <w:marLeft w:val="0"/>
      <w:marRight w:val="0"/>
      <w:marTop w:val="0"/>
      <w:marBottom w:val="0"/>
      <w:divBdr>
        <w:top w:val="none" w:sz="0" w:space="0" w:color="auto"/>
        <w:left w:val="none" w:sz="0" w:space="0" w:color="auto"/>
        <w:bottom w:val="none" w:sz="0" w:space="0" w:color="auto"/>
        <w:right w:val="none" w:sz="0" w:space="0" w:color="auto"/>
      </w:divBdr>
    </w:div>
    <w:div w:id="1059016841">
      <w:bodyDiv w:val="1"/>
      <w:marLeft w:val="0"/>
      <w:marRight w:val="0"/>
      <w:marTop w:val="0"/>
      <w:marBottom w:val="0"/>
      <w:divBdr>
        <w:top w:val="none" w:sz="0" w:space="0" w:color="auto"/>
        <w:left w:val="none" w:sz="0" w:space="0" w:color="auto"/>
        <w:bottom w:val="none" w:sz="0" w:space="0" w:color="auto"/>
        <w:right w:val="none" w:sz="0" w:space="0" w:color="auto"/>
      </w:divBdr>
    </w:div>
    <w:div w:id="1059017723">
      <w:bodyDiv w:val="1"/>
      <w:marLeft w:val="0"/>
      <w:marRight w:val="0"/>
      <w:marTop w:val="0"/>
      <w:marBottom w:val="0"/>
      <w:divBdr>
        <w:top w:val="none" w:sz="0" w:space="0" w:color="auto"/>
        <w:left w:val="none" w:sz="0" w:space="0" w:color="auto"/>
        <w:bottom w:val="none" w:sz="0" w:space="0" w:color="auto"/>
        <w:right w:val="none" w:sz="0" w:space="0" w:color="auto"/>
      </w:divBdr>
    </w:div>
    <w:div w:id="1059093934">
      <w:bodyDiv w:val="1"/>
      <w:marLeft w:val="0"/>
      <w:marRight w:val="0"/>
      <w:marTop w:val="0"/>
      <w:marBottom w:val="0"/>
      <w:divBdr>
        <w:top w:val="none" w:sz="0" w:space="0" w:color="auto"/>
        <w:left w:val="none" w:sz="0" w:space="0" w:color="auto"/>
        <w:bottom w:val="none" w:sz="0" w:space="0" w:color="auto"/>
        <w:right w:val="none" w:sz="0" w:space="0" w:color="auto"/>
      </w:divBdr>
    </w:div>
    <w:div w:id="1059131459">
      <w:bodyDiv w:val="1"/>
      <w:marLeft w:val="0"/>
      <w:marRight w:val="0"/>
      <w:marTop w:val="0"/>
      <w:marBottom w:val="0"/>
      <w:divBdr>
        <w:top w:val="none" w:sz="0" w:space="0" w:color="auto"/>
        <w:left w:val="none" w:sz="0" w:space="0" w:color="auto"/>
        <w:bottom w:val="none" w:sz="0" w:space="0" w:color="auto"/>
        <w:right w:val="none" w:sz="0" w:space="0" w:color="auto"/>
      </w:divBdr>
    </w:div>
    <w:div w:id="1059284075">
      <w:bodyDiv w:val="1"/>
      <w:marLeft w:val="0"/>
      <w:marRight w:val="0"/>
      <w:marTop w:val="0"/>
      <w:marBottom w:val="0"/>
      <w:divBdr>
        <w:top w:val="none" w:sz="0" w:space="0" w:color="auto"/>
        <w:left w:val="none" w:sz="0" w:space="0" w:color="auto"/>
        <w:bottom w:val="none" w:sz="0" w:space="0" w:color="auto"/>
        <w:right w:val="none" w:sz="0" w:space="0" w:color="auto"/>
      </w:divBdr>
    </w:div>
    <w:div w:id="1059329891">
      <w:bodyDiv w:val="1"/>
      <w:marLeft w:val="0"/>
      <w:marRight w:val="0"/>
      <w:marTop w:val="0"/>
      <w:marBottom w:val="0"/>
      <w:divBdr>
        <w:top w:val="none" w:sz="0" w:space="0" w:color="auto"/>
        <w:left w:val="none" w:sz="0" w:space="0" w:color="auto"/>
        <w:bottom w:val="none" w:sz="0" w:space="0" w:color="auto"/>
        <w:right w:val="none" w:sz="0" w:space="0" w:color="auto"/>
      </w:divBdr>
    </w:div>
    <w:div w:id="1059401379">
      <w:bodyDiv w:val="1"/>
      <w:marLeft w:val="0"/>
      <w:marRight w:val="0"/>
      <w:marTop w:val="0"/>
      <w:marBottom w:val="0"/>
      <w:divBdr>
        <w:top w:val="none" w:sz="0" w:space="0" w:color="auto"/>
        <w:left w:val="none" w:sz="0" w:space="0" w:color="auto"/>
        <w:bottom w:val="none" w:sz="0" w:space="0" w:color="auto"/>
        <w:right w:val="none" w:sz="0" w:space="0" w:color="auto"/>
      </w:divBdr>
    </w:div>
    <w:div w:id="1059473744">
      <w:bodyDiv w:val="1"/>
      <w:marLeft w:val="0"/>
      <w:marRight w:val="0"/>
      <w:marTop w:val="0"/>
      <w:marBottom w:val="0"/>
      <w:divBdr>
        <w:top w:val="none" w:sz="0" w:space="0" w:color="auto"/>
        <w:left w:val="none" w:sz="0" w:space="0" w:color="auto"/>
        <w:bottom w:val="none" w:sz="0" w:space="0" w:color="auto"/>
        <w:right w:val="none" w:sz="0" w:space="0" w:color="auto"/>
      </w:divBdr>
    </w:div>
    <w:div w:id="1059475968">
      <w:bodyDiv w:val="1"/>
      <w:marLeft w:val="0"/>
      <w:marRight w:val="0"/>
      <w:marTop w:val="0"/>
      <w:marBottom w:val="0"/>
      <w:divBdr>
        <w:top w:val="none" w:sz="0" w:space="0" w:color="auto"/>
        <w:left w:val="none" w:sz="0" w:space="0" w:color="auto"/>
        <w:bottom w:val="none" w:sz="0" w:space="0" w:color="auto"/>
        <w:right w:val="none" w:sz="0" w:space="0" w:color="auto"/>
      </w:divBdr>
    </w:div>
    <w:div w:id="1059481581">
      <w:bodyDiv w:val="1"/>
      <w:marLeft w:val="0"/>
      <w:marRight w:val="0"/>
      <w:marTop w:val="0"/>
      <w:marBottom w:val="0"/>
      <w:divBdr>
        <w:top w:val="none" w:sz="0" w:space="0" w:color="auto"/>
        <w:left w:val="none" w:sz="0" w:space="0" w:color="auto"/>
        <w:bottom w:val="none" w:sz="0" w:space="0" w:color="auto"/>
        <w:right w:val="none" w:sz="0" w:space="0" w:color="auto"/>
      </w:divBdr>
    </w:div>
    <w:div w:id="1059521600">
      <w:bodyDiv w:val="1"/>
      <w:marLeft w:val="0"/>
      <w:marRight w:val="0"/>
      <w:marTop w:val="0"/>
      <w:marBottom w:val="0"/>
      <w:divBdr>
        <w:top w:val="none" w:sz="0" w:space="0" w:color="auto"/>
        <w:left w:val="none" w:sz="0" w:space="0" w:color="auto"/>
        <w:bottom w:val="none" w:sz="0" w:space="0" w:color="auto"/>
        <w:right w:val="none" w:sz="0" w:space="0" w:color="auto"/>
      </w:divBdr>
    </w:div>
    <w:div w:id="1059674595">
      <w:bodyDiv w:val="1"/>
      <w:marLeft w:val="0"/>
      <w:marRight w:val="0"/>
      <w:marTop w:val="0"/>
      <w:marBottom w:val="0"/>
      <w:divBdr>
        <w:top w:val="none" w:sz="0" w:space="0" w:color="auto"/>
        <w:left w:val="none" w:sz="0" w:space="0" w:color="auto"/>
        <w:bottom w:val="none" w:sz="0" w:space="0" w:color="auto"/>
        <w:right w:val="none" w:sz="0" w:space="0" w:color="auto"/>
      </w:divBdr>
    </w:div>
    <w:div w:id="1059746073">
      <w:bodyDiv w:val="1"/>
      <w:marLeft w:val="0"/>
      <w:marRight w:val="0"/>
      <w:marTop w:val="0"/>
      <w:marBottom w:val="0"/>
      <w:divBdr>
        <w:top w:val="none" w:sz="0" w:space="0" w:color="auto"/>
        <w:left w:val="none" w:sz="0" w:space="0" w:color="auto"/>
        <w:bottom w:val="none" w:sz="0" w:space="0" w:color="auto"/>
        <w:right w:val="none" w:sz="0" w:space="0" w:color="auto"/>
      </w:divBdr>
    </w:div>
    <w:div w:id="1059784575">
      <w:bodyDiv w:val="1"/>
      <w:marLeft w:val="0"/>
      <w:marRight w:val="0"/>
      <w:marTop w:val="0"/>
      <w:marBottom w:val="0"/>
      <w:divBdr>
        <w:top w:val="none" w:sz="0" w:space="0" w:color="auto"/>
        <w:left w:val="none" w:sz="0" w:space="0" w:color="auto"/>
        <w:bottom w:val="none" w:sz="0" w:space="0" w:color="auto"/>
        <w:right w:val="none" w:sz="0" w:space="0" w:color="auto"/>
      </w:divBdr>
    </w:div>
    <w:div w:id="1059785873">
      <w:bodyDiv w:val="1"/>
      <w:marLeft w:val="0"/>
      <w:marRight w:val="0"/>
      <w:marTop w:val="0"/>
      <w:marBottom w:val="0"/>
      <w:divBdr>
        <w:top w:val="none" w:sz="0" w:space="0" w:color="auto"/>
        <w:left w:val="none" w:sz="0" w:space="0" w:color="auto"/>
        <w:bottom w:val="none" w:sz="0" w:space="0" w:color="auto"/>
        <w:right w:val="none" w:sz="0" w:space="0" w:color="auto"/>
      </w:divBdr>
    </w:div>
    <w:div w:id="1059862794">
      <w:bodyDiv w:val="1"/>
      <w:marLeft w:val="0"/>
      <w:marRight w:val="0"/>
      <w:marTop w:val="0"/>
      <w:marBottom w:val="0"/>
      <w:divBdr>
        <w:top w:val="none" w:sz="0" w:space="0" w:color="auto"/>
        <w:left w:val="none" w:sz="0" w:space="0" w:color="auto"/>
        <w:bottom w:val="none" w:sz="0" w:space="0" w:color="auto"/>
        <w:right w:val="none" w:sz="0" w:space="0" w:color="auto"/>
      </w:divBdr>
    </w:div>
    <w:div w:id="1059981262">
      <w:bodyDiv w:val="1"/>
      <w:marLeft w:val="0"/>
      <w:marRight w:val="0"/>
      <w:marTop w:val="0"/>
      <w:marBottom w:val="0"/>
      <w:divBdr>
        <w:top w:val="none" w:sz="0" w:space="0" w:color="auto"/>
        <w:left w:val="none" w:sz="0" w:space="0" w:color="auto"/>
        <w:bottom w:val="none" w:sz="0" w:space="0" w:color="auto"/>
        <w:right w:val="none" w:sz="0" w:space="0" w:color="auto"/>
      </w:divBdr>
    </w:div>
    <w:div w:id="1060011898">
      <w:bodyDiv w:val="1"/>
      <w:marLeft w:val="0"/>
      <w:marRight w:val="0"/>
      <w:marTop w:val="0"/>
      <w:marBottom w:val="0"/>
      <w:divBdr>
        <w:top w:val="none" w:sz="0" w:space="0" w:color="auto"/>
        <w:left w:val="none" w:sz="0" w:space="0" w:color="auto"/>
        <w:bottom w:val="none" w:sz="0" w:space="0" w:color="auto"/>
        <w:right w:val="none" w:sz="0" w:space="0" w:color="auto"/>
      </w:divBdr>
    </w:div>
    <w:div w:id="1060054516">
      <w:bodyDiv w:val="1"/>
      <w:marLeft w:val="0"/>
      <w:marRight w:val="0"/>
      <w:marTop w:val="0"/>
      <w:marBottom w:val="0"/>
      <w:divBdr>
        <w:top w:val="none" w:sz="0" w:space="0" w:color="auto"/>
        <w:left w:val="none" w:sz="0" w:space="0" w:color="auto"/>
        <w:bottom w:val="none" w:sz="0" w:space="0" w:color="auto"/>
        <w:right w:val="none" w:sz="0" w:space="0" w:color="auto"/>
      </w:divBdr>
    </w:div>
    <w:div w:id="1060059111">
      <w:bodyDiv w:val="1"/>
      <w:marLeft w:val="0"/>
      <w:marRight w:val="0"/>
      <w:marTop w:val="0"/>
      <w:marBottom w:val="0"/>
      <w:divBdr>
        <w:top w:val="none" w:sz="0" w:space="0" w:color="auto"/>
        <w:left w:val="none" w:sz="0" w:space="0" w:color="auto"/>
        <w:bottom w:val="none" w:sz="0" w:space="0" w:color="auto"/>
        <w:right w:val="none" w:sz="0" w:space="0" w:color="auto"/>
      </w:divBdr>
    </w:div>
    <w:div w:id="1060128340">
      <w:bodyDiv w:val="1"/>
      <w:marLeft w:val="0"/>
      <w:marRight w:val="0"/>
      <w:marTop w:val="0"/>
      <w:marBottom w:val="0"/>
      <w:divBdr>
        <w:top w:val="none" w:sz="0" w:space="0" w:color="auto"/>
        <w:left w:val="none" w:sz="0" w:space="0" w:color="auto"/>
        <w:bottom w:val="none" w:sz="0" w:space="0" w:color="auto"/>
        <w:right w:val="none" w:sz="0" w:space="0" w:color="auto"/>
      </w:divBdr>
    </w:div>
    <w:div w:id="1060204314">
      <w:bodyDiv w:val="1"/>
      <w:marLeft w:val="0"/>
      <w:marRight w:val="0"/>
      <w:marTop w:val="0"/>
      <w:marBottom w:val="0"/>
      <w:divBdr>
        <w:top w:val="none" w:sz="0" w:space="0" w:color="auto"/>
        <w:left w:val="none" w:sz="0" w:space="0" w:color="auto"/>
        <w:bottom w:val="none" w:sz="0" w:space="0" w:color="auto"/>
        <w:right w:val="none" w:sz="0" w:space="0" w:color="auto"/>
      </w:divBdr>
    </w:div>
    <w:div w:id="1060522039">
      <w:bodyDiv w:val="1"/>
      <w:marLeft w:val="0"/>
      <w:marRight w:val="0"/>
      <w:marTop w:val="0"/>
      <w:marBottom w:val="0"/>
      <w:divBdr>
        <w:top w:val="none" w:sz="0" w:space="0" w:color="auto"/>
        <w:left w:val="none" w:sz="0" w:space="0" w:color="auto"/>
        <w:bottom w:val="none" w:sz="0" w:space="0" w:color="auto"/>
        <w:right w:val="none" w:sz="0" w:space="0" w:color="auto"/>
      </w:divBdr>
    </w:div>
    <w:div w:id="1060594407">
      <w:bodyDiv w:val="1"/>
      <w:marLeft w:val="0"/>
      <w:marRight w:val="0"/>
      <w:marTop w:val="0"/>
      <w:marBottom w:val="0"/>
      <w:divBdr>
        <w:top w:val="none" w:sz="0" w:space="0" w:color="auto"/>
        <w:left w:val="none" w:sz="0" w:space="0" w:color="auto"/>
        <w:bottom w:val="none" w:sz="0" w:space="0" w:color="auto"/>
        <w:right w:val="none" w:sz="0" w:space="0" w:color="auto"/>
      </w:divBdr>
    </w:div>
    <w:div w:id="1060708809">
      <w:bodyDiv w:val="1"/>
      <w:marLeft w:val="0"/>
      <w:marRight w:val="0"/>
      <w:marTop w:val="0"/>
      <w:marBottom w:val="0"/>
      <w:divBdr>
        <w:top w:val="none" w:sz="0" w:space="0" w:color="auto"/>
        <w:left w:val="none" w:sz="0" w:space="0" w:color="auto"/>
        <w:bottom w:val="none" w:sz="0" w:space="0" w:color="auto"/>
        <w:right w:val="none" w:sz="0" w:space="0" w:color="auto"/>
      </w:divBdr>
    </w:div>
    <w:div w:id="1060905024">
      <w:bodyDiv w:val="1"/>
      <w:marLeft w:val="0"/>
      <w:marRight w:val="0"/>
      <w:marTop w:val="0"/>
      <w:marBottom w:val="0"/>
      <w:divBdr>
        <w:top w:val="none" w:sz="0" w:space="0" w:color="auto"/>
        <w:left w:val="none" w:sz="0" w:space="0" w:color="auto"/>
        <w:bottom w:val="none" w:sz="0" w:space="0" w:color="auto"/>
        <w:right w:val="none" w:sz="0" w:space="0" w:color="auto"/>
      </w:divBdr>
    </w:div>
    <w:div w:id="1060976721">
      <w:bodyDiv w:val="1"/>
      <w:marLeft w:val="0"/>
      <w:marRight w:val="0"/>
      <w:marTop w:val="0"/>
      <w:marBottom w:val="0"/>
      <w:divBdr>
        <w:top w:val="none" w:sz="0" w:space="0" w:color="auto"/>
        <w:left w:val="none" w:sz="0" w:space="0" w:color="auto"/>
        <w:bottom w:val="none" w:sz="0" w:space="0" w:color="auto"/>
        <w:right w:val="none" w:sz="0" w:space="0" w:color="auto"/>
      </w:divBdr>
    </w:div>
    <w:div w:id="1060977916">
      <w:bodyDiv w:val="1"/>
      <w:marLeft w:val="0"/>
      <w:marRight w:val="0"/>
      <w:marTop w:val="0"/>
      <w:marBottom w:val="0"/>
      <w:divBdr>
        <w:top w:val="none" w:sz="0" w:space="0" w:color="auto"/>
        <w:left w:val="none" w:sz="0" w:space="0" w:color="auto"/>
        <w:bottom w:val="none" w:sz="0" w:space="0" w:color="auto"/>
        <w:right w:val="none" w:sz="0" w:space="0" w:color="auto"/>
      </w:divBdr>
    </w:div>
    <w:div w:id="1060984230">
      <w:bodyDiv w:val="1"/>
      <w:marLeft w:val="0"/>
      <w:marRight w:val="0"/>
      <w:marTop w:val="0"/>
      <w:marBottom w:val="0"/>
      <w:divBdr>
        <w:top w:val="none" w:sz="0" w:space="0" w:color="auto"/>
        <w:left w:val="none" w:sz="0" w:space="0" w:color="auto"/>
        <w:bottom w:val="none" w:sz="0" w:space="0" w:color="auto"/>
        <w:right w:val="none" w:sz="0" w:space="0" w:color="auto"/>
      </w:divBdr>
    </w:div>
    <w:div w:id="1061094061">
      <w:bodyDiv w:val="1"/>
      <w:marLeft w:val="0"/>
      <w:marRight w:val="0"/>
      <w:marTop w:val="0"/>
      <w:marBottom w:val="0"/>
      <w:divBdr>
        <w:top w:val="none" w:sz="0" w:space="0" w:color="auto"/>
        <w:left w:val="none" w:sz="0" w:space="0" w:color="auto"/>
        <w:bottom w:val="none" w:sz="0" w:space="0" w:color="auto"/>
        <w:right w:val="none" w:sz="0" w:space="0" w:color="auto"/>
      </w:divBdr>
    </w:div>
    <w:div w:id="1061169717">
      <w:bodyDiv w:val="1"/>
      <w:marLeft w:val="0"/>
      <w:marRight w:val="0"/>
      <w:marTop w:val="0"/>
      <w:marBottom w:val="0"/>
      <w:divBdr>
        <w:top w:val="none" w:sz="0" w:space="0" w:color="auto"/>
        <w:left w:val="none" w:sz="0" w:space="0" w:color="auto"/>
        <w:bottom w:val="none" w:sz="0" w:space="0" w:color="auto"/>
        <w:right w:val="none" w:sz="0" w:space="0" w:color="auto"/>
      </w:divBdr>
    </w:div>
    <w:div w:id="1061175746">
      <w:bodyDiv w:val="1"/>
      <w:marLeft w:val="0"/>
      <w:marRight w:val="0"/>
      <w:marTop w:val="0"/>
      <w:marBottom w:val="0"/>
      <w:divBdr>
        <w:top w:val="none" w:sz="0" w:space="0" w:color="auto"/>
        <w:left w:val="none" w:sz="0" w:space="0" w:color="auto"/>
        <w:bottom w:val="none" w:sz="0" w:space="0" w:color="auto"/>
        <w:right w:val="none" w:sz="0" w:space="0" w:color="auto"/>
      </w:divBdr>
    </w:div>
    <w:div w:id="1061248934">
      <w:bodyDiv w:val="1"/>
      <w:marLeft w:val="0"/>
      <w:marRight w:val="0"/>
      <w:marTop w:val="0"/>
      <w:marBottom w:val="0"/>
      <w:divBdr>
        <w:top w:val="none" w:sz="0" w:space="0" w:color="auto"/>
        <w:left w:val="none" w:sz="0" w:space="0" w:color="auto"/>
        <w:bottom w:val="none" w:sz="0" w:space="0" w:color="auto"/>
        <w:right w:val="none" w:sz="0" w:space="0" w:color="auto"/>
      </w:divBdr>
    </w:div>
    <w:div w:id="1061296062">
      <w:bodyDiv w:val="1"/>
      <w:marLeft w:val="0"/>
      <w:marRight w:val="0"/>
      <w:marTop w:val="0"/>
      <w:marBottom w:val="0"/>
      <w:divBdr>
        <w:top w:val="none" w:sz="0" w:space="0" w:color="auto"/>
        <w:left w:val="none" w:sz="0" w:space="0" w:color="auto"/>
        <w:bottom w:val="none" w:sz="0" w:space="0" w:color="auto"/>
        <w:right w:val="none" w:sz="0" w:space="0" w:color="auto"/>
      </w:divBdr>
    </w:div>
    <w:div w:id="1061296380">
      <w:bodyDiv w:val="1"/>
      <w:marLeft w:val="0"/>
      <w:marRight w:val="0"/>
      <w:marTop w:val="0"/>
      <w:marBottom w:val="0"/>
      <w:divBdr>
        <w:top w:val="none" w:sz="0" w:space="0" w:color="auto"/>
        <w:left w:val="none" w:sz="0" w:space="0" w:color="auto"/>
        <w:bottom w:val="none" w:sz="0" w:space="0" w:color="auto"/>
        <w:right w:val="none" w:sz="0" w:space="0" w:color="auto"/>
      </w:divBdr>
    </w:div>
    <w:div w:id="1061362920">
      <w:bodyDiv w:val="1"/>
      <w:marLeft w:val="0"/>
      <w:marRight w:val="0"/>
      <w:marTop w:val="0"/>
      <w:marBottom w:val="0"/>
      <w:divBdr>
        <w:top w:val="none" w:sz="0" w:space="0" w:color="auto"/>
        <w:left w:val="none" w:sz="0" w:space="0" w:color="auto"/>
        <w:bottom w:val="none" w:sz="0" w:space="0" w:color="auto"/>
        <w:right w:val="none" w:sz="0" w:space="0" w:color="auto"/>
      </w:divBdr>
    </w:div>
    <w:div w:id="1061441368">
      <w:bodyDiv w:val="1"/>
      <w:marLeft w:val="0"/>
      <w:marRight w:val="0"/>
      <w:marTop w:val="0"/>
      <w:marBottom w:val="0"/>
      <w:divBdr>
        <w:top w:val="none" w:sz="0" w:space="0" w:color="auto"/>
        <w:left w:val="none" w:sz="0" w:space="0" w:color="auto"/>
        <w:bottom w:val="none" w:sz="0" w:space="0" w:color="auto"/>
        <w:right w:val="none" w:sz="0" w:space="0" w:color="auto"/>
      </w:divBdr>
    </w:div>
    <w:div w:id="1061441505">
      <w:bodyDiv w:val="1"/>
      <w:marLeft w:val="0"/>
      <w:marRight w:val="0"/>
      <w:marTop w:val="0"/>
      <w:marBottom w:val="0"/>
      <w:divBdr>
        <w:top w:val="none" w:sz="0" w:space="0" w:color="auto"/>
        <w:left w:val="none" w:sz="0" w:space="0" w:color="auto"/>
        <w:bottom w:val="none" w:sz="0" w:space="0" w:color="auto"/>
        <w:right w:val="none" w:sz="0" w:space="0" w:color="auto"/>
      </w:divBdr>
    </w:div>
    <w:div w:id="1061707161">
      <w:bodyDiv w:val="1"/>
      <w:marLeft w:val="0"/>
      <w:marRight w:val="0"/>
      <w:marTop w:val="0"/>
      <w:marBottom w:val="0"/>
      <w:divBdr>
        <w:top w:val="none" w:sz="0" w:space="0" w:color="auto"/>
        <w:left w:val="none" w:sz="0" w:space="0" w:color="auto"/>
        <w:bottom w:val="none" w:sz="0" w:space="0" w:color="auto"/>
        <w:right w:val="none" w:sz="0" w:space="0" w:color="auto"/>
      </w:divBdr>
    </w:div>
    <w:div w:id="1061712244">
      <w:bodyDiv w:val="1"/>
      <w:marLeft w:val="0"/>
      <w:marRight w:val="0"/>
      <w:marTop w:val="0"/>
      <w:marBottom w:val="0"/>
      <w:divBdr>
        <w:top w:val="none" w:sz="0" w:space="0" w:color="auto"/>
        <w:left w:val="none" w:sz="0" w:space="0" w:color="auto"/>
        <w:bottom w:val="none" w:sz="0" w:space="0" w:color="auto"/>
        <w:right w:val="none" w:sz="0" w:space="0" w:color="auto"/>
      </w:divBdr>
    </w:div>
    <w:div w:id="1061752881">
      <w:bodyDiv w:val="1"/>
      <w:marLeft w:val="0"/>
      <w:marRight w:val="0"/>
      <w:marTop w:val="0"/>
      <w:marBottom w:val="0"/>
      <w:divBdr>
        <w:top w:val="none" w:sz="0" w:space="0" w:color="auto"/>
        <w:left w:val="none" w:sz="0" w:space="0" w:color="auto"/>
        <w:bottom w:val="none" w:sz="0" w:space="0" w:color="auto"/>
        <w:right w:val="none" w:sz="0" w:space="0" w:color="auto"/>
      </w:divBdr>
    </w:div>
    <w:div w:id="1061756317">
      <w:bodyDiv w:val="1"/>
      <w:marLeft w:val="0"/>
      <w:marRight w:val="0"/>
      <w:marTop w:val="0"/>
      <w:marBottom w:val="0"/>
      <w:divBdr>
        <w:top w:val="none" w:sz="0" w:space="0" w:color="auto"/>
        <w:left w:val="none" w:sz="0" w:space="0" w:color="auto"/>
        <w:bottom w:val="none" w:sz="0" w:space="0" w:color="auto"/>
        <w:right w:val="none" w:sz="0" w:space="0" w:color="auto"/>
      </w:divBdr>
    </w:div>
    <w:div w:id="1061829541">
      <w:bodyDiv w:val="1"/>
      <w:marLeft w:val="0"/>
      <w:marRight w:val="0"/>
      <w:marTop w:val="0"/>
      <w:marBottom w:val="0"/>
      <w:divBdr>
        <w:top w:val="none" w:sz="0" w:space="0" w:color="auto"/>
        <w:left w:val="none" w:sz="0" w:space="0" w:color="auto"/>
        <w:bottom w:val="none" w:sz="0" w:space="0" w:color="auto"/>
        <w:right w:val="none" w:sz="0" w:space="0" w:color="auto"/>
      </w:divBdr>
    </w:div>
    <w:div w:id="1061977091">
      <w:bodyDiv w:val="1"/>
      <w:marLeft w:val="0"/>
      <w:marRight w:val="0"/>
      <w:marTop w:val="0"/>
      <w:marBottom w:val="0"/>
      <w:divBdr>
        <w:top w:val="none" w:sz="0" w:space="0" w:color="auto"/>
        <w:left w:val="none" w:sz="0" w:space="0" w:color="auto"/>
        <w:bottom w:val="none" w:sz="0" w:space="0" w:color="auto"/>
        <w:right w:val="none" w:sz="0" w:space="0" w:color="auto"/>
      </w:divBdr>
    </w:div>
    <w:div w:id="1062022599">
      <w:bodyDiv w:val="1"/>
      <w:marLeft w:val="0"/>
      <w:marRight w:val="0"/>
      <w:marTop w:val="0"/>
      <w:marBottom w:val="0"/>
      <w:divBdr>
        <w:top w:val="none" w:sz="0" w:space="0" w:color="auto"/>
        <w:left w:val="none" w:sz="0" w:space="0" w:color="auto"/>
        <w:bottom w:val="none" w:sz="0" w:space="0" w:color="auto"/>
        <w:right w:val="none" w:sz="0" w:space="0" w:color="auto"/>
      </w:divBdr>
    </w:div>
    <w:div w:id="1062144145">
      <w:bodyDiv w:val="1"/>
      <w:marLeft w:val="0"/>
      <w:marRight w:val="0"/>
      <w:marTop w:val="0"/>
      <w:marBottom w:val="0"/>
      <w:divBdr>
        <w:top w:val="none" w:sz="0" w:space="0" w:color="auto"/>
        <w:left w:val="none" w:sz="0" w:space="0" w:color="auto"/>
        <w:bottom w:val="none" w:sz="0" w:space="0" w:color="auto"/>
        <w:right w:val="none" w:sz="0" w:space="0" w:color="auto"/>
      </w:divBdr>
    </w:div>
    <w:div w:id="1062218008">
      <w:bodyDiv w:val="1"/>
      <w:marLeft w:val="0"/>
      <w:marRight w:val="0"/>
      <w:marTop w:val="0"/>
      <w:marBottom w:val="0"/>
      <w:divBdr>
        <w:top w:val="none" w:sz="0" w:space="0" w:color="auto"/>
        <w:left w:val="none" w:sz="0" w:space="0" w:color="auto"/>
        <w:bottom w:val="none" w:sz="0" w:space="0" w:color="auto"/>
        <w:right w:val="none" w:sz="0" w:space="0" w:color="auto"/>
      </w:divBdr>
    </w:div>
    <w:div w:id="1062290117">
      <w:bodyDiv w:val="1"/>
      <w:marLeft w:val="0"/>
      <w:marRight w:val="0"/>
      <w:marTop w:val="0"/>
      <w:marBottom w:val="0"/>
      <w:divBdr>
        <w:top w:val="none" w:sz="0" w:space="0" w:color="auto"/>
        <w:left w:val="none" w:sz="0" w:space="0" w:color="auto"/>
        <w:bottom w:val="none" w:sz="0" w:space="0" w:color="auto"/>
        <w:right w:val="none" w:sz="0" w:space="0" w:color="auto"/>
      </w:divBdr>
    </w:div>
    <w:div w:id="1062293497">
      <w:bodyDiv w:val="1"/>
      <w:marLeft w:val="0"/>
      <w:marRight w:val="0"/>
      <w:marTop w:val="0"/>
      <w:marBottom w:val="0"/>
      <w:divBdr>
        <w:top w:val="none" w:sz="0" w:space="0" w:color="auto"/>
        <w:left w:val="none" w:sz="0" w:space="0" w:color="auto"/>
        <w:bottom w:val="none" w:sz="0" w:space="0" w:color="auto"/>
        <w:right w:val="none" w:sz="0" w:space="0" w:color="auto"/>
      </w:divBdr>
    </w:div>
    <w:div w:id="1062365643">
      <w:bodyDiv w:val="1"/>
      <w:marLeft w:val="0"/>
      <w:marRight w:val="0"/>
      <w:marTop w:val="0"/>
      <w:marBottom w:val="0"/>
      <w:divBdr>
        <w:top w:val="none" w:sz="0" w:space="0" w:color="auto"/>
        <w:left w:val="none" w:sz="0" w:space="0" w:color="auto"/>
        <w:bottom w:val="none" w:sz="0" w:space="0" w:color="auto"/>
        <w:right w:val="none" w:sz="0" w:space="0" w:color="auto"/>
      </w:divBdr>
    </w:div>
    <w:div w:id="1062408829">
      <w:bodyDiv w:val="1"/>
      <w:marLeft w:val="0"/>
      <w:marRight w:val="0"/>
      <w:marTop w:val="0"/>
      <w:marBottom w:val="0"/>
      <w:divBdr>
        <w:top w:val="none" w:sz="0" w:space="0" w:color="auto"/>
        <w:left w:val="none" w:sz="0" w:space="0" w:color="auto"/>
        <w:bottom w:val="none" w:sz="0" w:space="0" w:color="auto"/>
        <w:right w:val="none" w:sz="0" w:space="0" w:color="auto"/>
      </w:divBdr>
    </w:div>
    <w:div w:id="1062482997">
      <w:bodyDiv w:val="1"/>
      <w:marLeft w:val="0"/>
      <w:marRight w:val="0"/>
      <w:marTop w:val="0"/>
      <w:marBottom w:val="0"/>
      <w:divBdr>
        <w:top w:val="none" w:sz="0" w:space="0" w:color="auto"/>
        <w:left w:val="none" w:sz="0" w:space="0" w:color="auto"/>
        <w:bottom w:val="none" w:sz="0" w:space="0" w:color="auto"/>
        <w:right w:val="none" w:sz="0" w:space="0" w:color="auto"/>
      </w:divBdr>
    </w:div>
    <w:div w:id="1062485813">
      <w:bodyDiv w:val="1"/>
      <w:marLeft w:val="0"/>
      <w:marRight w:val="0"/>
      <w:marTop w:val="0"/>
      <w:marBottom w:val="0"/>
      <w:divBdr>
        <w:top w:val="none" w:sz="0" w:space="0" w:color="auto"/>
        <w:left w:val="none" w:sz="0" w:space="0" w:color="auto"/>
        <w:bottom w:val="none" w:sz="0" w:space="0" w:color="auto"/>
        <w:right w:val="none" w:sz="0" w:space="0" w:color="auto"/>
      </w:divBdr>
    </w:div>
    <w:div w:id="1062488018">
      <w:bodyDiv w:val="1"/>
      <w:marLeft w:val="0"/>
      <w:marRight w:val="0"/>
      <w:marTop w:val="0"/>
      <w:marBottom w:val="0"/>
      <w:divBdr>
        <w:top w:val="none" w:sz="0" w:space="0" w:color="auto"/>
        <w:left w:val="none" w:sz="0" w:space="0" w:color="auto"/>
        <w:bottom w:val="none" w:sz="0" w:space="0" w:color="auto"/>
        <w:right w:val="none" w:sz="0" w:space="0" w:color="auto"/>
      </w:divBdr>
    </w:div>
    <w:div w:id="1062604105">
      <w:bodyDiv w:val="1"/>
      <w:marLeft w:val="0"/>
      <w:marRight w:val="0"/>
      <w:marTop w:val="0"/>
      <w:marBottom w:val="0"/>
      <w:divBdr>
        <w:top w:val="none" w:sz="0" w:space="0" w:color="auto"/>
        <w:left w:val="none" w:sz="0" w:space="0" w:color="auto"/>
        <w:bottom w:val="none" w:sz="0" w:space="0" w:color="auto"/>
        <w:right w:val="none" w:sz="0" w:space="0" w:color="auto"/>
      </w:divBdr>
    </w:div>
    <w:div w:id="1062749277">
      <w:bodyDiv w:val="1"/>
      <w:marLeft w:val="0"/>
      <w:marRight w:val="0"/>
      <w:marTop w:val="0"/>
      <w:marBottom w:val="0"/>
      <w:divBdr>
        <w:top w:val="none" w:sz="0" w:space="0" w:color="auto"/>
        <w:left w:val="none" w:sz="0" w:space="0" w:color="auto"/>
        <w:bottom w:val="none" w:sz="0" w:space="0" w:color="auto"/>
        <w:right w:val="none" w:sz="0" w:space="0" w:color="auto"/>
      </w:divBdr>
    </w:div>
    <w:div w:id="1062753059">
      <w:bodyDiv w:val="1"/>
      <w:marLeft w:val="0"/>
      <w:marRight w:val="0"/>
      <w:marTop w:val="0"/>
      <w:marBottom w:val="0"/>
      <w:divBdr>
        <w:top w:val="none" w:sz="0" w:space="0" w:color="auto"/>
        <w:left w:val="none" w:sz="0" w:space="0" w:color="auto"/>
        <w:bottom w:val="none" w:sz="0" w:space="0" w:color="auto"/>
        <w:right w:val="none" w:sz="0" w:space="0" w:color="auto"/>
      </w:divBdr>
    </w:div>
    <w:div w:id="1062758150">
      <w:bodyDiv w:val="1"/>
      <w:marLeft w:val="0"/>
      <w:marRight w:val="0"/>
      <w:marTop w:val="0"/>
      <w:marBottom w:val="0"/>
      <w:divBdr>
        <w:top w:val="none" w:sz="0" w:space="0" w:color="auto"/>
        <w:left w:val="none" w:sz="0" w:space="0" w:color="auto"/>
        <w:bottom w:val="none" w:sz="0" w:space="0" w:color="auto"/>
        <w:right w:val="none" w:sz="0" w:space="0" w:color="auto"/>
      </w:divBdr>
    </w:div>
    <w:div w:id="1062826280">
      <w:bodyDiv w:val="1"/>
      <w:marLeft w:val="0"/>
      <w:marRight w:val="0"/>
      <w:marTop w:val="0"/>
      <w:marBottom w:val="0"/>
      <w:divBdr>
        <w:top w:val="none" w:sz="0" w:space="0" w:color="auto"/>
        <w:left w:val="none" w:sz="0" w:space="0" w:color="auto"/>
        <w:bottom w:val="none" w:sz="0" w:space="0" w:color="auto"/>
        <w:right w:val="none" w:sz="0" w:space="0" w:color="auto"/>
      </w:divBdr>
    </w:div>
    <w:div w:id="1062866679">
      <w:bodyDiv w:val="1"/>
      <w:marLeft w:val="0"/>
      <w:marRight w:val="0"/>
      <w:marTop w:val="0"/>
      <w:marBottom w:val="0"/>
      <w:divBdr>
        <w:top w:val="none" w:sz="0" w:space="0" w:color="auto"/>
        <w:left w:val="none" w:sz="0" w:space="0" w:color="auto"/>
        <w:bottom w:val="none" w:sz="0" w:space="0" w:color="auto"/>
        <w:right w:val="none" w:sz="0" w:space="0" w:color="auto"/>
      </w:divBdr>
    </w:div>
    <w:div w:id="1062945123">
      <w:bodyDiv w:val="1"/>
      <w:marLeft w:val="0"/>
      <w:marRight w:val="0"/>
      <w:marTop w:val="0"/>
      <w:marBottom w:val="0"/>
      <w:divBdr>
        <w:top w:val="none" w:sz="0" w:space="0" w:color="auto"/>
        <w:left w:val="none" w:sz="0" w:space="0" w:color="auto"/>
        <w:bottom w:val="none" w:sz="0" w:space="0" w:color="auto"/>
        <w:right w:val="none" w:sz="0" w:space="0" w:color="auto"/>
      </w:divBdr>
    </w:div>
    <w:div w:id="1062993998">
      <w:bodyDiv w:val="1"/>
      <w:marLeft w:val="0"/>
      <w:marRight w:val="0"/>
      <w:marTop w:val="0"/>
      <w:marBottom w:val="0"/>
      <w:divBdr>
        <w:top w:val="none" w:sz="0" w:space="0" w:color="auto"/>
        <w:left w:val="none" w:sz="0" w:space="0" w:color="auto"/>
        <w:bottom w:val="none" w:sz="0" w:space="0" w:color="auto"/>
        <w:right w:val="none" w:sz="0" w:space="0" w:color="auto"/>
      </w:divBdr>
    </w:div>
    <w:div w:id="1063025859">
      <w:bodyDiv w:val="1"/>
      <w:marLeft w:val="0"/>
      <w:marRight w:val="0"/>
      <w:marTop w:val="0"/>
      <w:marBottom w:val="0"/>
      <w:divBdr>
        <w:top w:val="none" w:sz="0" w:space="0" w:color="auto"/>
        <w:left w:val="none" w:sz="0" w:space="0" w:color="auto"/>
        <w:bottom w:val="none" w:sz="0" w:space="0" w:color="auto"/>
        <w:right w:val="none" w:sz="0" w:space="0" w:color="auto"/>
      </w:divBdr>
    </w:div>
    <w:div w:id="1063140770">
      <w:bodyDiv w:val="1"/>
      <w:marLeft w:val="0"/>
      <w:marRight w:val="0"/>
      <w:marTop w:val="0"/>
      <w:marBottom w:val="0"/>
      <w:divBdr>
        <w:top w:val="none" w:sz="0" w:space="0" w:color="auto"/>
        <w:left w:val="none" w:sz="0" w:space="0" w:color="auto"/>
        <w:bottom w:val="none" w:sz="0" w:space="0" w:color="auto"/>
        <w:right w:val="none" w:sz="0" w:space="0" w:color="auto"/>
      </w:divBdr>
    </w:div>
    <w:div w:id="1063409094">
      <w:bodyDiv w:val="1"/>
      <w:marLeft w:val="0"/>
      <w:marRight w:val="0"/>
      <w:marTop w:val="0"/>
      <w:marBottom w:val="0"/>
      <w:divBdr>
        <w:top w:val="none" w:sz="0" w:space="0" w:color="auto"/>
        <w:left w:val="none" w:sz="0" w:space="0" w:color="auto"/>
        <w:bottom w:val="none" w:sz="0" w:space="0" w:color="auto"/>
        <w:right w:val="none" w:sz="0" w:space="0" w:color="auto"/>
      </w:divBdr>
    </w:div>
    <w:div w:id="1063412541">
      <w:bodyDiv w:val="1"/>
      <w:marLeft w:val="0"/>
      <w:marRight w:val="0"/>
      <w:marTop w:val="0"/>
      <w:marBottom w:val="0"/>
      <w:divBdr>
        <w:top w:val="none" w:sz="0" w:space="0" w:color="auto"/>
        <w:left w:val="none" w:sz="0" w:space="0" w:color="auto"/>
        <w:bottom w:val="none" w:sz="0" w:space="0" w:color="auto"/>
        <w:right w:val="none" w:sz="0" w:space="0" w:color="auto"/>
      </w:divBdr>
    </w:div>
    <w:div w:id="1063530377">
      <w:bodyDiv w:val="1"/>
      <w:marLeft w:val="0"/>
      <w:marRight w:val="0"/>
      <w:marTop w:val="0"/>
      <w:marBottom w:val="0"/>
      <w:divBdr>
        <w:top w:val="none" w:sz="0" w:space="0" w:color="auto"/>
        <w:left w:val="none" w:sz="0" w:space="0" w:color="auto"/>
        <w:bottom w:val="none" w:sz="0" w:space="0" w:color="auto"/>
        <w:right w:val="none" w:sz="0" w:space="0" w:color="auto"/>
      </w:divBdr>
    </w:div>
    <w:div w:id="1063796015">
      <w:bodyDiv w:val="1"/>
      <w:marLeft w:val="0"/>
      <w:marRight w:val="0"/>
      <w:marTop w:val="0"/>
      <w:marBottom w:val="0"/>
      <w:divBdr>
        <w:top w:val="none" w:sz="0" w:space="0" w:color="auto"/>
        <w:left w:val="none" w:sz="0" w:space="0" w:color="auto"/>
        <w:bottom w:val="none" w:sz="0" w:space="0" w:color="auto"/>
        <w:right w:val="none" w:sz="0" w:space="0" w:color="auto"/>
      </w:divBdr>
    </w:div>
    <w:div w:id="1063799278">
      <w:bodyDiv w:val="1"/>
      <w:marLeft w:val="0"/>
      <w:marRight w:val="0"/>
      <w:marTop w:val="0"/>
      <w:marBottom w:val="0"/>
      <w:divBdr>
        <w:top w:val="none" w:sz="0" w:space="0" w:color="auto"/>
        <w:left w:val="none" w:sz="0" w:space="0" w:color="auto"/>
        <w:bottom w:val="none" w:sz="0" w:space="0" w:color="auto"/>
        <w:right w:val="none" w:sz="0" w:space="0" w:color="auto"/>
      </w:divBdr>
    </w:div>
    <w:div w:id="1063872388">
      <w:bodyDiv w:val="1"/>
      <w:marLeft w:val="0"/>
      <w:marRight w:val="0"/>
      <w:marTop w:val="0"/>
      <w:marBottom w:val="0"/>
      <w:divBdr>
        <w:top w:val="none" w:sz="0" w:space="0" w:color="auto"/>
        <w:left w:val="none" w:sz="0" w:space="0" w:color="auto"/>
        <w:bottom w:val="none" w:sz="0" w:space="0" w:color="auto"/>
        <w:right w:val="none" w:sz="0" w:space="0" w:color="auto"/>
      </w:divBdr>
    </w:div>
    <w:div w:id="1063872503">
      <w:bodyDiv w:val="1"/>
      <w:marLeft w:val="0"/>
      <w:marRight w:val="0"/>
      <w:marTop w:val="0"/>
      <w:marBottom w:val="0"/>
      <w:divBdr>
        <w:top w:val="none" w:sz="0" w:space="0" w:color="auto"/>
        <w:left w:val="none" w:sz="0" w:space="0" w:color="auto"/>
        <w:bottom w:val="none" w:sz="0" w:space="0" w:color="auto"/>
        <w:right w:val="none" w:sz="0" w:space="0" w:color="auto"/>
      </w:divBdr>
    </w:div>
    <w:div w:id="1063875334">
      <w:bodyDiv w:val="1"/>
      <w:marLeft w:val="0"/>
      <w:marRight w:val="0"/>
      <w:marTop w:val="0"/>
      <w:marBottom w:val="0"/>
      <w:divBdr>
        <w:top w:val="none" w:sz="0" w:space="0" w:color="auto"/>
        <w:left w:val="none" w:sz="0" w:space="0" w:color="auto"/>
        <w:bottom w:val="none" w:sz="0" w:space="0" w:color="auto"/>
        <w:right w:val="none" w:sz="0" w:space="0" w:color="auto"/>
      </w:divBdr>
    </w:div>
    <w:div w:id="1063918016">
      <w:bodyDiv w:val="1"/>
      <w:marLeft w:val="0"/>
      <w:marRight w:val="0"/>
      <w:marTop w:val="0"/>
      <w:marBottom w:val="0"/>
      <w:divBdr>
        <w:top w:val="none" w:sz="0" w:space="0" w:color="auto"/>
        <w:left w:val="none" w:sz="0" w:space="0" w:color="auto"/>
        <w:bottom w:val="none" w:sz="0" w:space="0" w:color="auto"/>
        <w:right w:val="none" w:sz="0" w:space="0" w:color="auto"/>
      </w:divBdr>
    </w:div>
    <w:div w:id="1063941289">
      <w:bodyDiv w:val="1"/>
      <w:marLeft w:val="0"/>
      <w:marRight w:val="0"/>
      <w:marTop w:val="0"/>
      <w:marBottom w:val="0"/>
      <w:divBdr>
        <w:top w:val="none" w:sz="0" w:space="0" w:color="auto"/>
        <w:left w:val="none" w:sz="0" w:space="0" w:color="auto"/>
        <w:bottom w:val="none" w:sz="0" w:space="0" w:color="auto"/>
        <w:right w:val="none" w:sz="0" w:space="0" w:color="auto"/>
      </w:divBdr>
    </w:div>
    <w:div w:id="1063985375">
      <w:bodyDiv w:val="1"/>
      <w:marLeft w:val="0"/>
      <w:marRight w:val="0"/>
      <w:marTop w:val="0"/>
      <w:marBottom w:val="0"/>
      <w:divBdr>
        <w:top w:val="none" w:sz="0" w:space="0" w:color="auto"/>
        <w:left w:val="none" w:sz="0" w:space="0" w:color="auto"/>
        <w:bottom w:val="none" w:sz="0" w:space="0" w:color="auto"/>
        <w:right w:val="none" w:sz="0" w:space="0" w:color="auto"/>
      </w:divBdr>
    </w:div>
    <w:div w:id="1064063530">
      <w:bodyDiv w:val="1"/>
      <w:marLeft w:val="0"/>
      <w:marRight w:val="0"/>
      <w:marTop w:val="0"/>
      <w:marBottom w:val="0"/>
      <w:divBdr>
        <w:top w:val="none" w:sz="0" w:space="0" w:color="auto"/>
        <w:left w:val="none" w:sz="0" w:space="0" w:color="auto"/>
        <w:bottom w:val="none" w:sz="0" w:space="0" w:color="auto"/>
        <w:right w:val="none" w:sz="0" w:space="0" w:color="auto"/>
      </w:divBdr>
    </w:div>
    <w:div w:id="1064110163">
      <w:bodyDiv w:val="1"/>
      <w:marLeft w:val="0"/>
      <w:marRight w:val="0"/>
      <w:marTop w:val="0"/>
      <w:marBottom w:val="0"/>
      <w:divBdr>
        <w:top w:val="none" w:sz="0" w:space="0" w:color="auto"/>
        <w:left w:val="none" w:sz="0" w:space="0" w:color="auto"/>
        <w:bottom w:val="none" w:sz="0" w:space="0" w:color="auto"/>
        <w:right w:val="none" w:sz="0" w:space="0" w:color="auto"/>
      </w:divBdr>
    </w:div>
    <w:div w:id="1064136810">
      <w:bodyDiv w:val="1"/>
      <w:marLeft w:val="0"/>
      <w:marRight w:val="0"/>
      <w:marTop w:val="0"/>
      <w:marBottom w:val="0"/>
      <w:divBdr>
        <w:top w:val="none" w:sz="0" w:space="0" w:color="auto"/>
        <w:left w:val="none" w:sz="0" w:space="0" w:color="auto"/>
        <w:bottom w:val="none" w:sz="0" w:space="0" w:color="auto"/>
        <w:right w:val="none" w:sz="0" w:space="0" w:color="auto"/>
      </w:divBdr>
    </w:div>
    <w:div w:id="1064179229">
      <w:bodyDiv w:val="1"/>
      <w:marLeft w:val="0"/>
      <w:marRight w:val="0"/>
      <w:marTop w:val="0"/>
      <w:marBottom w:val="0"/>
      <w:divBdr>
        <w:top w:val="none" w:sz="0" w:space="0" w:color="auto"/>
        <w:left w:val="none" w:sz="0" w:space="0" w:color="auto"/>
        <w:bottom w:val="none" w:sz="0" w:space="0" w:color="auto"/>
        <w:right w:val="none" w:sz="0" w:space="0" w:color="auto"/>
      </w:divBdr>
    </w:div>
    <w:div w:id="1064255884">
      <w:bodyDiv w:val="1"/>
      <w:marLeft w:val="0"/>
      <w:marRight w:val="0"/>
      <w:marTop w:val="0"/>
      <w:marBottom w:val="0"/>
      <w:divBdr>
        <w:top w:val="none" w:sz="0" w:space="0" w:color="auto"/>
        <w:left w:val="none" w:sz="0" w:space="0" w:color="auto"/>
        <w:bottom w:val="none" w:sz="0" w:space="0" w:color="auto"/>
        <w:right w:val="none" w:sz="0" w:space="0" w:color="auto"/>
      </w:divBdr>
    </w:div>
    <w:div w:id="1064257533">
      <w:bodyDiv w:val="1"/>
      <w:marLeft w:val="0"/>
      <w:marRight w:val="0"/>
      <w:marTop w:val="0"/>
      <w:marBottom w:val="0"/>
      <w:divBdr>
        <w:top w:val="none" w:sz="0" w:space="0" w:color="auto"/>
        <w:left w:val="none" w:sz="0" w:space="0" w:color="auto"/>
        <w:bottom w:val="none" w:sz="0" w:space="0" w:color="auto"/>
        <w:right w:val="none" w:sz="0" w:space="0" w:color="auto"/>
      </w:divBdr>
    </w:div>
    <w:div w:id="1064571296">
      <w:bodyDiv w:val="1"/>
      <w:marLeft w:val="0"/>
      <w:marRight w:val="0"/>
      <w:marTop w:val="0"/>
      <w:marBottom w:val="0"/>
      <w:divBdr>
        <w:top w:val="none" w:sz="0" w:space="0" w:color="auto"/>
        <w:left w:val="none" w:sz="0" w:space="0" w:color="auto"/>
        <w:bottom w:val="none" w:sz="0" w:space="0" w:color="auto"/>
        <w:right w:val="none" w:sz="0" w:space="0" w:color="auto"/>
      </w:divBdr>
    </w:div>
    <w:div w:id="1064597431">
      <w:bodyDiv w:val="1"/>
      <w:marLeft w:val="0"/>
      <w:marRight w:val="0"/>
      <w:marTop w:val="0"/>
      <w:marBottom w:val="0"/>
      <w:divBdr>
        <w:top w:val="none" w:sz="0" w:space="0" w:color="auto"/>
        <w:left w:val="none" w:sz="0" w:space="0" w:color="auto"/>
        <w:bottom w:val="none" w:sz="0" w:space="0" w:color="auto"/>
        <w:right w:val="none" w:sz="0" w:space="0" w:color="auto"/>
      </w:divBdr>
    </w:div>
    <w:div w:id="1064646949">
      <w:bodyDiv w:val="1"/>
      <w:marLeft w:val="0"/>
      <w:marRight w:val="0"/>
      <w:marTop w:val="0"/>
      <w:marBottom w:val="0"/>
      <w:divBdr>
        <w:top w:val="none" w:sz="0" w:space="0" w:color="auto"/>
        <w:left w:val="none" w:sz="0" w:space="0" w:color="auto"/>
        <w:bottom w:val="none" w:sz="0" w:space="0" w:color="auto"/>
        <w:right w:val="none" w:sz="0" w:space="0" w:color="auto"/>
      </w:divBdr>
    </w:div>
    <w:div w:id="1064718792">
      <w:bodyDiv w:val="1"/>
      <w:marLeft w:val="0"/>
      <w:marRight w:val="0"/>
      <w:marTop w:val="0"/>
      <w:marBottom w:val="0"/>
      <w:divBdr>
        <w:top w:val="none" w:sz="0" w:space="0" w:color="auto"/>
        <w:left w:val="none" w:sz="0" w:space="0" w:color="auto"/>
        <w:bottom w:val="none" w:sz="0" w:space="0" w:color="auto"/>
        <w:right w:val="none" w:sz="0" w:space="0" w:color="auto"/>
      </w:divBdr>
    </w:div>
    <w:div w:id="1064720153">
      <w:bodyDiv w:val="1"/>
      <w:marLeft w:val="0"/>
      <w:marRight w:val="0"/>
      <w:marTop w:val="0"/>
      <w:marBottom w:val="0"/>
      <w:divBdr>
        <w:top w:val="none" w:sz="0" w:space="0" w:color="auto"/>
        <w:left w:val="none" w:sz="0" w:space="0" w:color="auto"/>
        <w:bottom w:val="none" w:sz="0" w:space="0" w:color="auto"/>
        <w:right w:val="none" w:sz="0" w:space="0" w:color="auto"/>
      </w:divBdr>
    </w:div>
    <w:div w:id="1064915390">
      <w:bodyDiv w:val="1"/>
      <w:marLeft w:val="0"/>
      <w:marRight w:val="0"/>
      <w:marTop w:val="0"/>
      <w:marBottom w:val="0"/>
      <w:divBdr>
        <w:top w:val="none" w:sz="0" w:space="0" w:color="auto"/>
        <w:left w:val="none" w:sz="0" w:space="0" w:color="auto"/>
        <w:bottom w:val="none" w:sz="0" w:space="0" w:color="auto"/>
        <w:right w:val="none" w:sz="0" w:space="0" w:color="auto"/>
      </w:divBdr>
    </w:div>
    <w:div w:id="1064986035">
      <w:bodyDiv w:val="1"/>
      <w:marLeft w:val="0"/>
      <w:marRight w:val="0"/>
      <w:marTop w:val="0"/>
      <w:marBottom w:val="0"/>
      <w:divBdr>
        <w:top w:val="none" w:sz="0" w:space="0" w:color="auto"/>
        <w:left w:val="none" w:sz="0" w:space="0" w:color="auto"/>
        <w:bottom w:val="none" w:sz="0" w:space="0" w:color="auto"/>
        <w:right w:val="none" w:sz="0" w:space="0" w:color="auto"/>
      </w:divBdr>
    </w:div>
    <w:div w:id="1064988903">
      <w:bodyDiv w:val="1"/>
      <w:marLeft w:val="0"/>
      <w:marRight w:val="0"/>
      <w:marTop w:val="0"/>
      <w:marBottom w:val="0"/>
      <w:divBdr>
        <w:top w:val="none" w:sz="0" w:space="0" w:color="auto"/>
        <w:left w:val="none" w:sz="0" w:space="0" w:color="auto"/>
        <w:bottom w:val="none" w:sz="0" w:space="0" w:color="auto"/>
        <w:right w:val="none" w:sz="0" w:space="0" w:color="auto"/>
      </w:divBdr>
    </w:div>
    <w:div w:id="1065177105">
      <w:bodyDiv w:val="1"/>
      <w:marLeft w:val="0"/>
      <w:marRight w:val="0"/>
      <w:marTop w:val="0"/>
      <w:marBottom w:val="0"/>
      <w:divBdr>
        <w:top w:val="none" w:sz="0" w:space="0" w:color="auto"/>
        <w:left w:val="none" w:sz="0" w:space="0" w:color="auto"/>
        <w:bottom w:val="none" w:sz="0" w:space="0" w:color="auto"/>
        <w:right w:val="none" w:sz="0" w:space="0" w:color="auto"/>
      </w:divBdr>
    </w:div>
    <w:div w:id="1065303260">
      <w:bodyDiv w:val="1"/>
      <w:marLeft w:val="0"/>
      <w:marRight w:val="0"/>
      <w:marTop w:val="0"/>
      <w:marBottom w:val="0"/>
      <w:divBdr>
        <w:top w:val="none" w:sz="0" w:space="0" w:color="auto"/>
        <w:left w:val="none" w:sz="0" w:space="0" w:color="auto"/>
        <w:bottom w:val="none" w:sz="0" w:space="0" w:color="auto"/>
        <w:right w:val="none" w:sz="0" w:space="0" w:color="auto"/>
      </w:divBdr>
    </w:div>
    <w:div w:id="1065377340">
      <w:bodyDiv w:val="1"/>
      <w:marLeft w:val="0"/>
      <w:marRight w:val="0"/>
      <w:marTop w:val="0"/>
      <w:marBottom w:val="0"/>
      <w:divBdr>
        <w:top w:val="none" w:sz="0" w:space="0" w:color="auto"/>
        <w:left w:val="none" w:sz="0" w:space="0" w:color="auto"/>
        <w:bottom w:val="none" w:sz="0" w:space="0" w:color="auto"/>
        <w:right w:val="none" w:sz="0" w:space="0" w:color="auto"/>
      </w:divBdr>
    </w:div>
    <w:div w:id="1065378884">
      <w:bodyDiv w:val="1"/>
      <w:marLeft w:val="0"/>
      <w:marRight w:val="0"/>
      <w:marTop w:val="0"/>
      <w:marBottom w:val="0"/>
      <w:divBdr>
        <w:top w:val="none" w:sz="0" w:space="0" w:color="auto"/>
        <w:left w:val="none" w:sz="0" w:space="0" w:color="auto"/>
        <w:bottom w:val="none" w:sz="0" w:space="0" w:color="auto"/>
        <w:right w:val="none" w:sz="0" w:space="0" w:color="auto"/>
      </w:divBdr>
    </w:div>
    <w:div w:id="1065447643">
      <w:bodyDiv w:val="1"/>
      <w:marLeft w:val="0"/>
      <w:marRight w:val="0"/>
      <w:marTop w:val="0"/>
      <w:marBottom w:val="0"/>
      <w:divBdr>
        <w:top w:val="none" w:sz="0" w:space="0" w:color="auto"/>
        <w:left w:val="none" w:sz="0" w:space="0" w:color="auto"/>
        <w:bottom w:val="none" w:sz="0" w:space="0" w:color="auto"/>
        <w:right w:val="none" w:sz="0" w:space="0" w:color="auto"/>
      </w:divBdr>
    </w:div>
    <w:div w:id="1065564589">
      <w:bodyDiv w:val="1"/>
      <w:marLeft w:val="0"/>
      <w:marRight w:val="0"/>
      <w:marTop w:val="0"/>
      <w:marBottom w:val="0"/>
      <w:divBdr>
        <w:top w:val="none" w:sz="0" w:space="0" w:color="auto"/>
        <w:left w:val="none" w:sz="0" w:space="0" w:color="auto"/>
        <w:bottom w:val="none" w:sz="0" w:space="0" w:color="auto"/>
        <w:right w:val="none" w:sz="0" w:space="0" w:color="auto"/>
      </w:divBdr>
    </w:div>
    <w:div w:id="1065566065">
      <w:bodyDiv w:val="1"/>
      <w:marLeft w:val="0"/>
      <w:marRight w:val="0"/>
      <w:marTop w:val="0"/>
      <w:marBottom w:val="0"/>
      <w:divBdr>
        <w:top w:val="none" w:sz="0" w:space="0" w:color="auto"/>
        <w:left w:val="none" w:sz="0" w:space="0" w:color="auto"/>
        <w:bottom w:val="none" w:sz="0" w:space="0" w:color="auto"/>
        <w:right w:val="none" w:sz="0" w:space="0" w:color="auto"/>
      </w:divBdr>
    </w:div>
    <w:div w:id="1065568251">
      <w:bodyDiv w:val="1"/>
      <w:marLeft w:val="0"/>
      <w:marRight w:val="0"/>
      <w:marTop w:val="0"/>
      <w:marBottom w:val="0"/>
      <w:divBdr>
        <w:top w:val="none" w:sz="0" w:space="0" w:color="auto"/>
        <w:left w:val="none" w:sz="0" w:space="0" w:color="auto"/>
        <w:bottom w:val="none" w:sz="0" w:space="0" w:color="auto"/>
        <w:right w:val="none" w:sz="0" w:space="0" w:color="auto"/>
      </w:divBdr>
    </w:div>
    <w:div w:id="1065877926">
      <w:bodyDiv w:val="1"/>
      <w:marLeft w:val="0"/>
      <w:marRight w:val="0"/>
      <w:marTop w:val="0"/>
      <w:marBottom w:val="0"/>
      <w:divBdr>
        <w:top w:val="none" w:sz="0" w:space="0" w:color="auto"/>
        <w:left w:val="none" w:sz="0" w:space="0" w:color="auto"/>
        <w:bottom w:val="none" w:sz="0" w:space="0" w:color="auto"/>
        <w:right w:val="none" w:sz="0" w:space="0" w:color="auto"/>
      </w:divBdr>
    </w:div>
    <w:div w:id="1065878791">
      <w:bodyDiv w:val="1"/>
      <w:marLeft w:val="0"/>
      <w:marRight w:val="0"/>
      <w:marTop w:val="0"/>
      <w:marBottom w:val="0"/>
      <w:divBdr>
        <w:top w:val="none" w:sz="0" w:space="0" w:color="auto"/>
        <w:left w:val="none" w:sz="0" w:space="0" w:color="auto"/>
        <w:bottom w:val="none" w:sz="0" w:space="0" w:color="auto"/>
        <w:right w:val="none" w:sz="0" w:space="0" w:color="auto"/>
      </w:divBdr>
    </w:div>
    <w:div w:id="1065958804">
      <w:bodyDiv w:val="1"/>
      <w:marLeft w:val="0"/>
      <w:marRight w:val="0"/>
      <w:marTop w:val="0"/>
      <w:marBottom w:val="0"/>
      <w:divBdr>
        <w:top w:val="none" w:sz="0" w:space="0" w:color="auto"/>
        <w:left w:val="none" w:sz="0" w:space="0" w:color="auto"/>
        <w:bottom w:val="none" w:sz="0" w:space="0" w:color="auto"/>
        <w:right w:val="none" w:sz="0" w:space="0" w:color="auto"/>
      </w:divBdr>
    </w:div>
    <w:div w:id="1066030945">
      <w:bodyDiv w:val="1"/>
      <w:marLeft w:val="0"/>
      <w:marRight w:val="0"/>
      <w:marTop w:val="0"/>
      <w:marBottom w:val="0"/>
      <w:divBdr>
        <w:top w:val="none" w:sz="0" w:space="0" w:color="auto"/>
        <w:left w:val="none" w:sz="0" w:space="0" w:color="auto"/>
        <w:bottom w:val="none" w:sz="0" w:space="0" w:color="auto"/>
        <w:right w:val="none" w:sz="0" w:space="0" w:color="auto"/>
      </w:divBdr>
    </w:div>
    <w:div w:id="1066106237">
      <w:bodyDiv w:val="1"/>
      <w:marLeft w:val="0"/>
      <w:marRight w:val="0"/>
      <w:marTop w:val="0"/>
      <w:marBottom w:val="0"/>
      <w:divBdr>
        <w:top w:val="none" w:sz="0" w:space="0" w:color="auto"/>
        <w:left w:val="none" w:sz="0" w:space="0" w:color="auto"/>
        <w:bottom w:val="none" w:sz="0" w:space="0" w:color="auto"/>
        <w:right w:val="none" w:sz="0" w:space="0" w:color="auto"/>
      </w:divBdr>
    </w:div>
    <w:div w:id="1066218870">
      <w:bodyDiv w:val="1"/>
      <w:marLeft w:val="0"/>
      <w:marRight w:val="0"/>
      <w:marTop w:val="0"/>
      <w:marBottom w:val="0"/>
      <w:divBdr>
        <w:top w:val="none" w:sz="0" w:space="0" w:color="auto"/>
        <w:left w:val="none" w:sz="0" w:space="0" w:color="auto"/>
        <w:bottom w:val="none" w:sz="0" w:space="0" w:color="auto"/>
        <w:right w:val="none" w:sz="0" w:space="0" w:color="auto"/>
      </w:divBdr>
    </w:div>
    <w:div w:id="1066222702">
      <w:bodyDiv w:val="1"/>
      <w:marLeft w:val="0"/>
      <w:marRight w:val="0"/>
      <w:marTop w:val="0"/>
      <w:marBottom w:val="0"/>
      <w:divBdr>
        <w:top w:val="none" w:sz="0" w:space="0" w:color="auto"/>
        <w:left w:val="none" w:sz="0" w:space="0" w:color="auto"/>
        <w:bottom w:val="none" w:sz="0" w:space="0" w:color="auto"/>
        <w:right w:val="none" w:sz="0" w:space="0" w:color="auto"/>
      </w:divBdr>
    </w:div>
    <w:div w:id="1066300052">
      <w:bodyDiv w:val="1"/>
      <w:marLeft w:val="0"/>
      <w:marRight w:val="0"/>
      <w:marTop w:val="0"/>
      <w:marBottom w:val="0"/>
      <w:divBdr>
        <w:top w:val="none" w:sz="0" w:space="0" w:color="auto"/>
        <w:left w:val="none" w:sz="0" w:space="0" w:color="auto"/>
        <w:bottom w:val="none" w:sz="0" w:space="0" w:color="auto"/>
        <w:right w:val="none" w:sz="0" w:space="0" w:color="auto"/>
      </w:divBdr>
    </w:div>
    <w:div w:id="1066340642">
      <w:bodyDiv w:val="1"/>
      <w:marLeft w:val="0"/>
      <w:marRight w:val="0"/>
      <w:marTop w:val="0"/>
      <w:marBottom w:val="0"/>
      <w:divBdr>
        <w:top w:val="none" w:sz="0" w:space="0" w:color="auto"/>
        <w:left w:val="none" w:sz="0" w:space="0" w:color="auto"/>
        <w:bottom w:val="none" w:sz="0" w:space="0" w:color="auto"/>
        <w:right w:val="none" w:sz="0" w:space="0" w:color="auto"/>
      </w:divBdr>
    </w:div>
    <w:div w:id="1066341601">
      <w:bodyDiv w:val="1"/>
      <w:marLeft w:val="0"/>
      <w:marRight w:val="0"/>
      <w:marTop w:val="0"/>
      <w:marBottom w:val="0"/>
      <w:divBdr>
        <w:top w:val="none" w:sz="0" w:space="0" w:color="auto"/>
        <w:left w:val="none" w:sz="0" w:space="0" w:color="auto"/>
        <w:bottom w:val="none" w:sz="0" w:space="0" w:color="auto"/>
        <w:right w:val="none" w:sz="0" w:space="0" w:color="auto"/>
      </w:divBdr>
    </w:div>
    <w:div w:id="1066492025">
      <w:bodyDiv w:val="1"/>
      <w:marLeft w:val="0"/>
      <w:marRight w:val="0"/>
      <w:marTop w:val="0"/>
      <w:marBottom w:val="0"/>
      <w:divBdr>
        <w:top w:val="none" w:sz="0" w:space="0" w:color="auto"/>
        <w:left w:val="none" w:sz="0" w:space="0" w:color="auto"/>
        <w:bottom w:val="none" w:sz="0" w:space="0" w:color="auto"/>
        <w:right w:val="none" w:sz="0" w:space="0" w:color="auto"/>
      </w:divBdr>
    </w:div>
    <w:div w:id="1066494531">
      <w:bodyDiv w:val="1"/>
      <w:marLeft w:val="0"/>
      <w:marRight w:val="0"/>
      <w:marTop w:val="0"/>
      <w:marBottom w:val="0"/>
      <w:divBdr>
        <w:top w:val="none" w:sz="0" w:space="0" w:color="auto"/>
        <w:left w:val="none" w:sz="0" w:space="0" w:color="auto"/>
        <w:bottom w:val="none" w:sz="0" w:space="0" w:color="auto"/>
        <w:right w:val="none" w:sz="0" w:space="0" w:color="auto"/>
      </w:divBdr>
    </w:div>
    <w:div w:id="1066495780">
      <w:bodyDiv w:val="1"/>
      <w:marLeft w:val="0"/>
      <w:marRight w:val="0"/>
      <w:marTop w:val="0"/>
      <w:marBottom w:val="0"/>
      <w:divBdr>
        <w:top w:val="none" w:sz="0" w:space="0" w:color="auto"/>
        <w:left w:val="none" w:sz="0" w:space="0" w:color="auto"/>
        <w:bottom w:val="none" w:sz="0" w:space="0" w:color="auto"/>
        <w:right w:val="none" w:sz="0" w:space="0" w:color="auto"/>
      </w:divBdr>
    </w:div>
    <w:div w:id="1066534460">
      <w:bodyDiv w:val="1"/>
      <w:marLeft w:val="0"/>
      <w:marRight w:val="0"/>
      <w:marTop w:val="0"/>
      <w:marBottom w:val="0"/>
      <w:divBdr>
        <w:top w:val="none" w:sz="0" w:space="0" w:color="auto"/>
        <w:left w:val="none" w:sz="0" w:space="0" w:color="auto"/>
        <w:bottom w:val="none" w:sz="0" w:space="0" w:color="auto"/>
        <w:right w:val="none" w:sz="0" w:space="0" w:color="auto"/>
      </w:divBdr>
    </w:div>
    <w:div w:id="1066538052">
      <w:bodyDiv w:val="1"/>
      <w:marLeft w:val="0"/>
      <w:marRight w:val="0"/>
      <w:marTop w:val="0"/>
      <w:marBottom w:val="0"/>
      <w:divBdr>
        <w:top w:val="none" w:sz="0" w:space="0" w:color="auto"/>
        <w:left w:val="none" w:sz="0" w:space="0" w:color="auto"/>
        <w:bottom w:val="none" w:sz="0" w:space="0" w:color="auto"/>
        <w:right w:val="none" w:sz="0" w:space="0" w:color="auto"/>
      </w:divBdr>
    </w:div>
    <w:div w:id="1066684213">
      <w:bodyDiv w:val="1"/>
      <w:marLeft w:val="0"/>
      <w:marRight w:val="0"/>
      <w:marTop w:val="0"/>
      <w:marBottom w:val="0"/>
      <w:divBdr>
        <w:top w:val="none" w:sz="0" w:space="0" w:color="auto"/>
        <w:left w:val="none" w:sz="0" w:space="0" w:color="auto"/>
        <w:bottom w:val="none" w:sz="0" w:space="0" w:color="auto"/>
        <w:right w:val="none" w:sz="0" w:space="0" w:color="auto"/>
      </w:divBdr>
    </w:div>
    <w:div w:id="1066686787">
      <w:bodyDiv w:val="1"/>
      <w:marLeft w:val="0"/>
      <w:marRight w:val="0"/>
      <w:marTop w:val="0"/>
      <w:marBottom w:val="0"/>
      <w:divBdr>
        <w:top w:val="none" w:sz="0" w:space="0" w:color="auto"/>
        <w:left w:val="none" w:sz="0" w:space="0" w:color="auto"/>
        <w:bottom w:val="none" w:sz="0" w:space="0" w:color="auto"/>
        <w:right w:val="none" w:sz="0" w:space="0" w:color="auto"/>
      </w:divBdr>
    </w:div>
    <w:div w:id="1066732391">
      <w:bodyDiv w:val="1"/>
      <w:marLeft w:val="0"/>
      <w:marRight w:val="0"/>
      <w:marTop w:val="0"/>
      <w:marBottom w:val="0"/>
      <w:divBdr>
        <w:top w:val="none" w:sz="0" w:space="0" w:color="auto"/>
        <w:left w:val="none" w:sz="0" w:space="0" w:color="auto"/>
        <w:bottom w:val="none" w:sz="0" w:space="0" w:color="auto"/>
        <w:right w:val="none" w:sz="0" w:space="0" w:color="auto"/>
      </w:divBdr>
    </w:div>
    <w:div w:id="1066802348">
      <w:bodyDiv w:val="1"/>
      <w:marLeft w:val="0"/>
      <w:marRight w:val="0"/>
      <w:marTop w:val="0"/>
      <w:marBottom w:val="0"/>
      <w:divBdr>
        <w:top w:val="none" w:sz="0" w:space="0" w:color="auto"/>
        <w:left w:val="none" w:sz="0" w:space="0" w:color="auto"/>
        <w:bottom w:val="none" w:sz="0" w:space="0" w:color="auto"/>
        <w:right w:val="none" w:sz="0" w:space="0" w:color="auto"/>
      </w:divBdr>
    </w:div>
    <w:div w:id="1066877421">
      <w:bodyDiv w:val="1"/>
      <w:marLeft w:val="0"/>
      <w:marRight w:val="0"/>
      <w:marTop w:val="0"/>
      <w:marBottom w:val="0"/>
      <w:divBdr>
        <w:top w:val="none" w:sz="0" w:space="0" w:color="auto"/>
        <w:left w:val="none" w:sz="0" w:space="0" w:color="auto"/>
        <w:bottom w:val="none" w:sz="0" w:space="0" w:color="auto"/>
        <w:right w:val="none" w:sz="0" w:space="0" w:color="auto"/>
      </w:divBdr>
    </w:div>
    <w:div w:id="1066880682">
      <w:bodyDiv w:val="1"/>
      <w:marLeft w:val="0"/>
      <w:marRight w:val="0"/>
      <w:marTop w:val="0"/>
      <w:marBottom w:val="0"/>
      <w:divBdr>
        <w:top w:val="none" w:sz="0" w:space="0" w:color="auto"/>
        <w:left w:val="none" w:sz="0" w:space="0" w:color="auto"/>
        <w:bottom w:val="none" w:sz="0" w:space="0" w:color="auto"/>
        <w:right w:val="none" w:sz="0" w:space="0" w:color="auto"/>
      </w:divBdr>
    </w:div>
    <w:div w:id="1066955367">
      <w:bodyDiv w:val="1"/>
      <w:marLeft w:val="0"/>
      <w:marRight w:val="0"/>
      <w:marTop w:val="0"/>
      <w:marBottom w:val="0"/>
      <w:divBdr>
        <w:top w:val="none" w:sz="0" w:space="0" w:color="auto"/>
        <w:left w:val="none" w:sz="0" w:space="0" w:color="auto"/>
        <w:bottom w:val="none" w:sz="0" w:space="0" w:color="auto"/>
        <w:right w:val="none" w:sz="0" w:space="0" w:color="auto"/>
      </w:divBdr>
    </w:div>
    <w:div w:id="1066993051">
      <w:bodyDiv w:val="1"/>
      <w:marLeft w:val="0"/>
      <w:marRight w:val="0"/>
      <w:marTop w:val="0"/>
      <w:marBottom w:val="0"/>
      <w:divBdr>
        <w:top w:val="none" w:sz="0" w:space="0" w:color="auto"/>
        <w:left w:val="none" w:sz="0" w:space="0" w:color="auto"/>
        <w:bottom w:val="none" w:sz="0" w:space="0" w:color="auto"/>
        <w:right w:val="none" w:sz="0" w:space="0" w:color="auto"/>
      </w:divBdr>
    </w:div>
    <w:div w:id="1066995323">
      <w:bodyDiv w:val="1"/>
      <w:marLeft w:val="0"/>
      <w:marRight w:val="0"/>
      <w:marTop w:val="0"/>
      <w:marBottom w:val="0"/>
      <w:divBdr>
        <w:top w:val="none" w:sz="0" w:space="0" w:color="auto"/>
        <w:left w:val="none" w:sz="0" w:space="0" w:color="auto"/>
        <w:bottom w:val="none" w:sz="0" w:space="0" w:color="auto"/>
        <w:right w:val="none" w:sz="0" w:space="0" w:color="auto"/>
      </w:divBdr>
    </w:div>
    <w:div w:id="1066999606">
      <w:bodyDiv w:val="1"/>
      <w:marLeft w:val="0"/>
      <w:marRight w:val="0"/>
      <w:marTop w:val="0"/>
      <w:marBottom w:val="0"/>
      <w:divBdr>
        <w:top w:val="none" w:sz="0" w:space="0" w:color="auto"/>
        <w:left w:val="none" w:sz="0" w:space="0" w:color="auto"/>
        <w:bottom w:val="none" w:sz="0" w:space="0" w:color="auto"/>
        <w:right w:val="none" w:sz="0" w:space="0" w:color="auto"/>
      </w:divBdr>
    </w:div>
    <w:div w:id="1067070669">
      <w:bodyDiv w:val="1"/>
      <w:marLeft w:val="0"/>
      <w:marRight w:val="0"/>
      <w:marTop w:val="0"/>
      <w:marBottom w:val="0"/>
      <w:divBdr>
        <w:top w:val="none" w:sz="0" w:space="0" w:color="auto"/>
        <w:left w:val="none" w:sz="0" w:space="0" w:color="auto"/>
        <w:bottom w:val="none" w:sz="0" w:space="0" w:color="auto"/>
        <w:right w:val="none" w:sz="0" w:space="0" w:color="auto"/>
      </w:divBdr>
    </w:div>
    <w:div w:id="1067143080">
      <w:bodyDiv w:val="1"/>
      <w:marLeft w:val="0"/>
      <w:marRight w:val="0"/>
      <w:marTop w:val="0"/>
      <w:marBottom w:val="0"/>
      <w:divBdr>
        <w:top w:val="none" w:sz="0" w:space="0" w:color="auto"/>
        <w:left w:val="none" w:sz="0" w:space="0" w:color="auto"/>
        <w:bottom w:val="none" w:sz="0" w:space="0" w:color="auto"/>
        <w:right w:val="none" w:sz="0" w:space="0" w:color="auto"/>
      </w:divBdr>
    </w:div>
    <w:div w:id="1067146529">
      <w:bodyDiv w:val="1"/>
      <w:marLeft w:val="0"/>
      <w:marRight w:val="0"/>
      <w:marTop w:val="0"/>
      <w:marBottom w:val="0"/>
      <w:divBdr>
        <w:top w:val="none" w:sz="0" w:space="0" w:color="auto"/>
        <w:left w:val="none" w:sz="0" w:space="0" w:color="auto"/>
        <w:bottom w:val="none" w:sz="0" w:space="0" w:color="auto"/>
        <w:right w:val="none" w:sz="0" w:space="0" w:color="auto"/>
      </w:divBdr>
    </w:div>
    <w:div w:id="1067192891">
      <w:bodyDiv w:val="1"/>
      <w:marLeft w:val="0"/>
      <w:marRight w:val="0"/>
      <w:marTop w:val="0"/>
      <w:marBottom w:val="0"/>
      <w:divBdr>
        <w:top w:val="none" w:sz="0" w:space="0" w:color="auto"/>
        <w:left w:val="none" w:sz="0" w:space="0" w:color="auto"/>
        <w:bottom w:val="none" w:sz="0" w:space="0" w:color="auto"/>
        <w:right w:val="none" w:sz="0" w:space="0" w:color="auto"/>
      </w:divBdr>
    </w:div>
    <w:div w:id="1067462287">
      <w:bodyDiv w:val="1"/>
      <w:marLeft w:val="0"/>
      <w:marRight w:val="0"/>
      <w:marTop w:val="0"/>
      <w:marBottom w:val="0"/>
      <w:divBdr>
        <w:top w:val="none" w:sz="0" w:space="0" w:color="auto"/>
        <w:left w:val="none" w:sz="0" w:space="0" w:color="auto"/>
        <w:bottom w:val="none" w:sz="0" w:space="0" w:color="auto"/>
        <w:right w:val="none" w:sz="0" w:space="0" w:color="auto"/>
      </w:divBdr>
    </w:div>
    <w:div w:id="1067532364">
      <w:bodyDiv w:val="1"/>
      <w:marLeft w:val="0"/>
      <w:marRight w:val="0"/>
      <w:marTop w:val="0"/>
      <w:marBottom w:val="0"/>
      <w:divBdr>
        <w:top w:val="none" w:sz="0" w:space="0" w:color="auto"/>
        <w:left w:val="none" w:sz="0" w:space="0" w:color="auto"/>
        <w:bottom w:val="none" w:sz="0" w:space="0" w:color="auto"/>
        <w:right w:val="none" w:sz="0" w:space="0" w:color="auto"/>
      </w:divBdr>
    </w:div>
    <w:div w:id="1067604080">
      <w:bodyDiv w:val="1"/>
      <w:marLeft w:val="0"/>
      <w:marRight w:val="0"/>
      <w:marTop w:val="0"/>
      <w:marBottom w:val="0"/>
      <w:divBdr>
        <w:top w:val="none" w:sz="0" w:space="0" w:color="auto"/>
        <w:left w:val="none" w:sz="0" w:space="0" w:color="auto"/>
        <w:bottom w:val="none" w:sz="0" w:space="0" w:color="auto"/>
        <w:right w:val="none" w:sz="0" w:space="0" w:color="auto"/>
      </w:divBdr>
    </w:div>
    <w:div w:id="1067611200">
      <w:bodyDiv w:val="1"/>
      <w:marLeft w:val="0"/>
      <w:marRight w:val="0"/>
      <w:marTop w:val="0"/>
      <w:marBottom w:val="0"/>
      <w:divBdr>
        <w:top w:val="none" w:sz="0" w:space="0" w:color="auto"/>
        <w:left w:val="none" w:sz="0" w:space="0" w:color="auto"/>
        <w:bottom w:val="none" w:sz="0" w:space="0" w:color="auto"/>
        <w:right w:val="none" w:sz="0" w:space="0" w:color="auto"/>
      </w:divBdr>
    </w:div>
    <w:div w:id="1067649460">
      <w:bodyDiv w:val="1"/>
      <w:marLeft w:val="0"/>
      <w:marRight w:val="0"/>
      <w:marTop w:val="0"/>
      <w:marBottom w:val="0"/>
      <w:divBdr>
        <w:top w:val="none" w:sz="0" w:space="0" w:color="auto"/>
        <w:left w:val="none" w:sz="0" w:space="0" w:color="auto"/>
        <w:bottom w:val="none" w:sz="0" w:space="0" w:color="auto"/>
        <w:right w:val="none" w:sz="0" w:space="0" w:color="auto"/>
      </w:divBdr>
    </w:div>
    <w:div w:id="1067999648">
      <w:bodyDiv w:val="1"/>
      <w:marLeft w:val="0"/>
      <w:marRight w:val="0"/>
      <w:marTop w:val="0"/>
      <w:marBottom w:val="0"/>
      <w:divBdr>
        <w:top w:val="none" w:sz="0" w:space="0" w:color="auto"/>
        <w:left w:val="none" w:sz="0" w:space="0" w:color="auto"/>
        <w:bottom w:val="none" w:sz="0" w:space="0" w:color="auto"/>
        <w:right w:val="none" w:sz="0" w:space="0" w:color="auto"/>
      </w:divBdr>
    </w:div>
    <w:div w:id="1068000047">
      <w:bodyDiv w:val="1"/>
      <w:marLeft w:val="0"/>
      <w:marRight w:val="0"/>
      <w:marTop w:val="0"/>
      <w:marBottom w:val="0"/>
      <w:divBdr>
        <w:top w:val="none" w:sz="0" w:space="0" w:color="auto"/>
        <w:left w:val="none" w:sz="0" w:space="0" w:color="auto"/>
        <w:bottom w:val="none" w:sz="0" w:space="0" w:color="auto"/>
        <w:right w:val="none" w:sz="0" w:space="0" w:color="auto"/>
      </w:divBdr>
    </w:div>
    <w:div w:id="1068000168">
      <w:bodyDiv w:val="1"/>
      <w:marLeft w:val="0"/>
      <w:marRight w:val="0"/>
      <w:marTop w:val="0"/>
      <w:marBottom w:val="0"/>
      <w:divBdr>
        <w:top w:val="none" w:sz="0" w:space="0" w:color="auto"/>
        <w:left w:val="none" w:sz="0" w:space="0" w:color="auto"/>
        <w:bottom w:val="none" w:sz="0" w:space="0" w:color="auto"/>
        <w:right w:val="none" w:sz="0" w:space="0" w:color="auto"/>
      </w:divBdr>
    </w:div>
    <w:div w:id="1068187515">
      <w:bodyDiv w:val="1"/>
      <w:marLeft w:val="0"/>
      <w:marRight w:val="0"/>
      <w:marTop w:val="0"/>
      <w:marBottom w:val="0"/>
      <w:divBdr>
        <w:top w:val="none" w:sz="0" w:space="0" w:color="auto"/>
        <w:left w:val="none" w:sz="0" w:space="0" w:color="auto"/>
        <w:bottom w:val="none" w:sz="0" w:space="0" w:color="auto"/>
        <w:right w:val="none" w:sz="0" w:space="0" w:color="auto"/>
      </w:divBdr>
    </w:div>
    <w:div w:id="1068193309">
      <w:bodyDiv w:val="1"/>
      <w:marLeft w:val="0"/>
      <w:marRight w:val="0"/>
      <w:marTop w:val="0"/>
      <w:marBottom w:val="0"/>
      <w:divBdr>
        <w:top w:val="none" w:sz="0" w:space="0" w:color="auto"/>
        <w:left w:val="none" w:sz="0" w:space="0" w:color="auto"/>
        <w:bottom w:val="none" w:sz="0" w:space="0" w:color="auto"/>
        <w:right w:val="none" w:sz="0" w:space="0" w:color="auto"/>
      </w:divBdr>
    </w:div>
    <w:div w:id="1068193363">
      <w:bodyDiv w:val="1"/>
      <w:marLeft w:val="0"/>
      <w:marRight w:val="0"/>
      <w:marTop w:val="0"/>
      <w:marBottom w:val="0"/>
      <w:divBdr>
        <w:top w:val="none" w:sz="0" w:space="0" w:color="auto"/>
        <w:left w:val="none" w:sz="0" w:space="0" w:color="auto"/>
        <w:bottom w:val="none" w:sz="0" w:space="0" w:color="auto"/>
        <w:right w:val="none" w:sz="0" w:space="0" w:color="auto"/>
      </w:divBdr>
    </w:div>
    <w:div w:id="1068308812">
      <w:bodyDiv w:val="1"/>
      <w:marLeft w:val="0"/>
      <w:marRight w:val="0"/>
      <w:marTop w:val="0"/>
      <w:marBottom w:val="0"/>
      <w:divBdr>
        <w:top w:val="none" w:sz="0" w:space="0" w:color="auto"/>
        <w:left w:val="none" w:sz="0" w:space="0" w:color="auto"/>
        <w:bottom w:val="none" w:sz="0" w:space="0" w:color="auto"/>
        <w:right w:val="none" w:sz="0" w:space="0" w:color="auto"/>
      </w:divBdr>
    </w:div>
    <w:div w:id="1068378468">
      <w:bodyDiv w:val="1"/>
      <w:marLeft w:val="0"/>
      <w:marRight w:val="0"/>
      <w:marTop w:val="0"/>
      <w:marBottom w:val="0"/>
      <w:divBdr>
        <w:top w:val="none" w:sz="0" w:space="0" w:color="auto"/>
        <w:left w:val="none" w:sz="0" w:space="0" w:color="auto"/>
        <w:bottom w:val="none" w:sz="0" w:space="0" w:color="auto"/>
        <w:right w:val="none" w:sz="0" w:space="0" w:color="auto"/>
      </w:divBdr>
    </w:div>
    <w:div w:id="1068385356">
      <w:bodyDiv w:val="1"/>
      <w:marLeft w:val="0"/>
      <w:marRight w:val="0"/>
      <w:marTop w:val="0"/>
      <w:marBottom w:val="0"/>
      <w:divBdr>
        <w:top w:val="none" w:sz="0" w:space="0" w:color="auto"/>
        <w:left w:val="none" w:sz="0" w:space="0" w:color="auto"/>
        <w:bottom w:val="none" w:sz="0" w:space="0" w:color="auto"/>
        <w:right w:val="none" w:sz="0" w:space="0" w:color="auto"/>
      </w:divBdr>
    </w:div>
    <w:div w:id="1068386074">
      <w:bodyDiv w:val="1"/>
      <w:marLeft w:val="0"/>
      <w:marRight w:val="0"/>
      <w:marTop w:val="0"/>
      <w:marBottom w:val="0"/>
      <w:divBdr>
        <w:top w:val="none" w:sz="0" w:space="0" w:color="auto"/>
        <w:left w:val="none" w:sz="0" w:space="0" w:color="auto"/>
        <w:bottom w:val="none" w:sz="0" w:space="0" w:color="auto"/>
        <w:right w:val="none" w:sz="0" w:space="0" w:color="auto"/>
      </w:divBdr>
    </w:div>
    <w:div w:id="1068573633">
      <w:bodyDiv w:val="1"/>
      <w:marLeft w:val="0"/>
      <w:marRight w:val="0"/>
      <w:marTop w:val="0"/>
      <w:marBottom w:val="0"/>
      <w:divBdr>
        <w:top w:val="none" w:sz="0" w:space="0" w:color="auto"/>
        <w:left w:val="none" w:sz="0" w:space="0" w:color="auto"/>
        <w:bottom w:val="none" w:sz="0" w:space="0" w:color="auto"/>
        <w:right w:val="none" w:sz="0" w:space="0" w:color="auto"/>
      </w:divBdr>
    </w:div>
    <w:div w:id="1068577027">
      <w:bodyDiv w:val="1"/>
      <w:marLeft w:val="0"/>
      <w:marRight w:val="0"/>
      <w:marTop w:val="0"/>
      <w:marBottom w:val="0"/>
      <w:divBdr>
        <w:top w:val="none" w:sz="0" w:space="0" w:color="auto"/>
        <w:left w:val="none" w:sz="0" w:space="0" w:color="auto"/>
        <w:bottom w:val="none" w:sz="0" w:space="0" w:color="auto"/>
        <w:right w:val="none" w:sz="0" w:space="0" w:color="auto"/>
      </w:divBdr>
    </w:div>
    <w:div w:id="1068723623">
      <w:bodyDiv w:val="1"/>
      <w:marLeft w:val="0"/>
      <w:marRight w:val="0"/>
      <w:marTop w:val="0"/>
      <w:marBottom w:val="0"/>
      <w:divBdr>
        <w:top w:val="none" w:sz="0" w:space="0" w:color="auto"/>
        <w:left w:val="none" w:sz="0" w:space="0" w:color="auto"/>
        <w:bottom w:val="none" w:sz="0" w:space="0" w:color="auto"/>
        <w:right w:val="none" w:sz="0" w:space="0" w:color="auto"/>
      </w:divBdr>
    </w:div>
    <w:div w:id="1068724686">
      <w:bodyDiv w:val="1"/>
      <w:marLeft w:val="0"/>
      <w:marRight w:val="0"/>
      <w:marTop w:val="0"/>
      <w:marBottom w:val="0"/>
      <w:divBdr>
        <w:top w:val="none" w:sz="0" w:space="0" w:color="auto"/>
        <w:left w:val="none" w:sz="0" w:space="0" w:color="auto"/>
        <w:bottom w:val="none" w:sz="0" w:space="0" w:color="auto"/>
        <w:right w:val="none" w:sz="0" w:space="0" w:color="auto"/>
      </w:divBdr>
    </w:div>
    <w:div w:id="1068725333">
      <w:bodyDiv w:val="1"/>
      <w:marLeft w:val="0"/>
      <w:marRight w:val="0"/>
      <w:marTop w:val="0"/>
      <w:marBottom w:val="0"/>
      <w:divBdr>
        <w:top w:val="none" w:sz="0" w:space="0" w:color="auto"/>
        <w:left w:val="none" w:sz="0" w:space="0" w:color="auto"/>
        <w:bottom w:val="none" w:sz="0" w:space="0" w:color="auto"/>
        <w:right w:val="none" w:sz="0" w:space="0" w:color="auto"/>
      </w:divBdr>
    </w:div>
    <w:div w:id="1068764792">
      <w:bodyDiv w:val="1"/>
      <w:marLeft w:val="0"/>
      <w:marRight w:val="0"/>
      <w:marTop w:val="0"/>
      <w:marBottom w:val="0"/>
      <w:divBdr>
        <w:top w:val="none" w:sz="0" w:space="0" w:color="auto"/>
        <w:left w:val="none" w:sz="0" w:space="0" w:color="auto"/>
        <w:bottom w:val="none" w:sz="0" w:space="0" w:color="auto"/>
        <w:right w:val="none" w:sz="0" w:space="0" w:color="auto"/>
      </w:divBdr>
    </w:div>
    <w:div w:id="1068841782">
      <w:bodyDiv w:val="1"/>
      <w:marLeft w:val="0"/>
      <w:marRight w:val="0"/>
      <w:marTop w:val="0"/>
      <w:marBottom w:val="0"/>
      <w:divBdr>
        <w:top w:val="none" w:sz="0" w:space="0" w:color="auto"/>
        <w:left w:val="none" w:sz="0" w:space="0" w:color="auto"/>
        <w:bottom w:val="none" w:sz="0" w:space="0" w:color="auto"/>
        <w:right w:val="none" w:sz="0" w:space="0" w:color="auto"/>
      </w:divBdr>
    </w:div>
    <w:div w:id="1068844918">
      <w:bodyDiv w:val="1"/>
      <w:marLeft w:val="0"/>
      <w:marRight w:val="0"/>
      <w:marTop w:val="0"/>
      <w:marBottom w:val="0"/>
      <w:divBdr>
        <w:top w:val="none" w:sz="0" w:space="0" w:color="auto"/>
        <w:left w:val="none" w:sz="0" w:space="0" w:color="auto"/>
        <w:bottom w:val="none" w:sz="0" w:space="0" w:color="auto"/>
        <w:right w:val="none" w:sz="0" w:space="0" w:color="auto"/>
      </w:divBdr>
    </w:div>
    <w:div w:id="1068920540">
      <w:bodyDiv w:val="1"/>
      <w:marLeft w:val="0"/>
      <w:marRight w:val="0"/>
      <w:marTop w:val="0"/>
      <w:marBottom w:val="0"/>
      <w:divBdr>
        <w:top w:val="none" w:sz="0" w:space="0" w:color="auto"/>
        <w:left w:val="none" w:sz="0" w:space="0" w:color="auto"/>
        <w:bottom w:val="none" w:sz="0" w:space="0" w:color="auto"/>
        <w:right w:val="none" w:sz="0" w:space="0" w:color="auto"/>
      </w:divBdr>
    </w:div>
    <w:div w:id="1068923643">
      <w:bodyDiv w:val="1"/>
      <w:marLeft w:val="0"/>
      <w:marRight w:val="0"/>
      <w:marTop w:val="0"/>
      <w:marBottom w:val="0"/>
      <w:divBdr>
        <w:top w:val="none" w:sz="0" w:space="0" w:color="auto"/>
        <w:left w:val="none" w:sz="0" w:space="0" w:color="auto"/>
        <w:bottom w:val="none" w:sz="0" w:space="0" w:color="auto"/>
        <w:right w:val="none" w:sz="0" w:space="0" w:color="auto"/>
      </w:divBdr>
    </w:div>
    <w:div w:id="1068959726">
      <w:bodyDiv w:val="1"/>
      <w:marLeft w:val="0"/>
      <w:marRight w:val="0"/>
      <w:marTop w:val="0"/>
      <w:marBottom w:val="0"/>
      <w:divBdr>
        <w:top w:val="none" w:sz="0" w:space="0" w:color="auto"/>
        <w:left w:val="none" w:sz="0" w:space="0" w:color="auto"/>
        <w:bottom w:val="none" w:sz="0" w:space="0" w:color="auto"/>
        <w:right w:val="none" w:sz="0" w:space="0" w:color="auto"/>
      </w:divBdr>
    </w:div>
    <w:div w:id="1068964518">
      <w:bodyDiv w:val="1"/>
      <w:marLeft w:val="0"/>
      <w:marRight w:val="0"/>
      <w:marTop w:val="0"/>
      <w:marBottom w:val="0"/>
      <w:divBdr>
        <w:top w:val="none" w:sz="0" w:space="0" w:color="auto"/>
        <w:left w:val="none" w:sz="0" w:space="0" w:color="auto"/>
        <w:bottom w:val="none" w:sz="0" w:space="0" w:color="auto"/>
        <w:right w:val="none" w:sz="0" w:space="0" w:color="auto"/>
      </w:divBdr>
    </w:div>
    <w:div w:id="1069036050">
      <w:bodyDiv w:val="1"/>
      <w:marLeft w:val="0"/>
      <w:marRight w:val="0"/>
      <w:marTop w:val="0"/>
      <w:marBottom w:val="0"/>
      <w:divBdr>
        <w:top w:val="none" w:sz="0" w:space="0" w:color="auto"/>
        <w:left w:val="none" w:sz="0" w:space="0" w:color="auto"/>
        <w:bottom w:val="none" w:sz="0" w:space="0" w:color="auto"/>
        <w:right w:val="none" w:sz="0" w:space="0" w:color="auto"/>
      </w:divBdr>
    </w:div>
    <w:div w:id="1069112524">
      <w:bodyDiv w:val="1"/>
      <w:marLeft w:val="0"/>
      <w:marRight w:val="0"/>
      <w:marTop w:val="0"/>
      <w:marBottom w:val="0"/>
      <w:divBdr>
        <w:top w:val="none" w:sz="0" w:space="0" w:color="auto"/>
        <w:left w:val="none" w:sz="0" w:space="0" w:color="auto"/>
        <w:bottom w:val="none" w:sz="0" w:space="0" w:color="auto"/>
        <w:right w:val="none" w:sz="0" w:space="0" w:color="auto"/>
      </w:divBdr>
    </w:div>
    <w:div w:id="1069155235">
      <w:bodyDiv w:val="1"/>
      <w:marLeft w:val="0"/>
      <w:marRight w:val="0"/>
      <w:marTop w:val="0"/>
      <w:marBottom w:val="0"/>
      <w:divBdr>
        <w:top w:val="none" w:sz="0" w:space="0" w:color="auto"/>
        <w:left w:val="none" w:sz="0" w:space="0" w:color="auto"/>
        <w:bottom w:val="none" w:sz="0" w:space="0" w:color="auto"/>
        <w:right w:val="none" w:sz="0" w:space="0" w:color="auto"/>
      </w:divBdr>
    </w:div>
    <w:div w:id="1069231337">
      <w:bodyDiv w:val="1"/>
      <w:marLeft w:val="0"/>
      <w:marRight w:val="0"/>
      <w:marTop w:val="0"/>
      <w:marBottom w:val="0"/>
      <w:divBdr>
        <w:top w:val="none" w:sz="0" w:space="0" w:color="auto"/>
        <w:left w:val="none" w:sz="0" w:space="0" w:color="auto"/>
        <w:bottom w:val="none" w:sz="0" w:space="0" w:color="auto"/>
        <w:right w:val="none" w:sz="0" w:space="0" w:color="auto"/>
      </w:divBdr>
    </w:div>
    <w:div w:id="1069382800">
      <w:bodyDiv w:val="1"/>
      <w:marLeft w:val="0"/>
      <w:marRight w:val="0"/>
      <w:marTop w:val="0"/>
      <w:marBottom w:val="0"/>
      <w:divBdr>
        <w:top w:val="none" w:sz="0" w:space="0" w:color="auto"/>
        <w:left w:val="none" w:sz="0" w:space="0" w:color="auto"/>
        <w:bottom w:val="none" w:sz="0" w:space="0" w:color="auto"/>
        <w:right w:val="none" w:sz="0" w:space="0" w:color="auto"/>
      </w:divBdr>
    </w:div>
    <w:div w:id="1069419223">
      <w:bodyDiv w:val="1"/>
      <w:marLeft w:val="0"/>
      <w:marRight w:val="0"/>
      <w:marTop w:val="0"/>
      <w:marBottom w:val="0"/>
      <w:divBdr>
        <w:top w:val="none" w:sz="0" w:space="0" w:color="auto"/>
        <w:left w:val="none" w:sz="0" w:space="0" w:color="auto"/>
        <w:bottom w:val="none" w:sz="0" w:space="0" w:color="auto"/>
        <w:right w:val="none" w:sz="0" w:space="0" w:color="auto"/>
      </w:divBdr>
    </w:div>
    <w:div w:id="1069424935">
      <w:bodyDiv w:val="1"/>
      <w:marLeft w:val="0"/>
      <w:marRight w:val="0"/>
      <w:marTop w:val="0"/>
      <w:marBottom w:val="0"/>
      <w:divBdr>
        <w:top w:val="none" w:sz="0" w:space="0" w:color="auto"/>
        <w:left w:val="none" w:sz="0" w:space="0" w:color="auto"/>
        <w:bottom w:val="none" w:sz="0" w:space="0" w:color="auto"/>
        <w:right w:val="none" w:sz="0" w:space="0" w:color="auto"/>
      </w:divBdr>
    </w:div>
    <w:div w:id="1069498152">
      <w:bodyDiv w:val="1"/>
      <w:marLeft w:val="0"/>
      <w:marRight w:val="0"/>
      <w:marTop w:val="0"/>
      <w:marBottom w:val="0"/>
      <w:divBdr>
        <w:top w:val="none" w:sz="0" w:space="0" w:color="auto"/>
        <w:left w:val="none" w:sz="0" w:space="0" w:color="auto"/>
        <w:bottom w:val="none" w:sz="0" w:space="0" w:color="auto"/>
        <w:right w:val="none" w:sz="0" w:space="0" w:color="auto"/>
      </w:divBdr>
    </w:div>
    <w:div w:id="1069573904">
      <w:bodyDiv w:val="1"/>
      <w:marLeft w:val="0"/>
      <w:marRight w:val="0"/>
      <w:marTop w:val="0"/>
      <w:marBottom w:val="0"/>
      <w:divBdr>
        <w:top w:val="none" w:sz="0" w:space="0" w:color="auto"/>
        <w:left w:val="none" w:sz="0" w:space="0" w:color="auto"/>
        <w:bottom w:val="none" w:sz="0" w:space="0" w:color="auto"/>
        <w:right w:val="none" w:sz="0" w:space="0" w:color="auto"/>
      </w:divBdr>
    </w:div>
    <w:div w:id="1069688103">
      <w:bodyDiv w:val="1"/>
      <w:marLeft w:val="0"/>
      <w:marRight w:val="0"/>
      <w:marTop w:val="0"/>
      <w:marBottom w:val="0"/>
      <w:divBdr>
        <w:top w:val="none" w:sz="0" w:space="0" w:color="auto"/>
        <w:left w:val="none" w:sz="0" w:space="0" w:color="auto"/>
        <w:bottom w:val="none" w:sz="0" w:space="0" w:color="auto"/>
        <w:right w:val="none" w:sz="0" w:space="0" w:color="auto"/>
      </w:divBdr>
    </w:div>
    <w:div w:id="1069696526">
      <w:bodyDiv w:val="1"/>
      <w:marLeft w:val="0"/>
      <w:marRight w:val="0"/>
      <w:marTop w:val="0"/>
      <w:marBottom w:val="0"/>
      <w:divBdr>
        <w:top w:val="none" w:sz="0" w:space="0" w:color="auto"/>
        <w:left w:val="none" w:sz="0" w:space="0" w:color="auto"/>
        <w:bottom w:val="none" w:sz="0" w:space="0" w:color="auto"/>
        <w:right w:val="none" w:sz="0" w:space="0" w:color="auto"/>
      </w:divBdr>
    </w:div>
    <w:div w:id="1069767956">
      <w:bodyDiv w:val="1"/>
      <w:marLeft w:val="0"/>
      <w:marRight w:val="0"/>
      <w:marTop w:val="0"/>
      <w:marBottom w:val="0"/>
      <w:divBdr>
        <w:top w:val="none" w:sz="0" w:space="0" w:color="auto"/>
        <w:left w:val="none" w:sz="0" w:space="0" w:color="auto"/>
        <w:bottom w:val="none" w:sz="0" w:space="0" w:color="auto"/>
        <w:right w:val="none" w:sz="0" w:space="0" w:color="auto"/>
      </w:divBdr>
    </w:div>
    <w:div w:id="1069814629">
      <w:bodyDiv w:val="1"/>
      <w:marLeft w:val="0"/>
      <w:marRight w:val="0"/>
      <w:marTop w:val="0"/>
      <w:marBottom w:val="0"/>
      <w:divBdr>
        <w:top w:val="none" w:sz="0" w:space="0" w:color="auto"/>
        <w:left w:val="none" w:sz="0" w:space="0" w:color="auto"/>
        <w:bottom w:val="none" w:sz="0" w:space="0" w:color="auto"/>
        <w:right w:val="none" w:sz="0" w:space="0" w:color="auto"/>
      </w:divBdr>
    </w:div>
    <w:div w:id="1069884387">
      <w:bodyDiv w:val="1"/>
      <w:marLeft w:val="0"/>
      <w:marRight w:val="0"/>
      <w:marTop w:val="0"/>
      <w:marBottom w:val="0"/>
      <w:divBdr>
        <w:top w:val="none" w:sz="0" w:space="0" w:color="auto"/>
        <w:left w:val="none" w:sz="0" w:space="0" w:color="auto"/>
        <w:bottom w:val="none" w:sz="0" w:space="0" w:color="auto"/>
        <w:right w:val="none" w:sz="0" w:space="0" w:color="auto"/>
      </w:divBdr>
    </w:div>
    <w:div w:id="1069963556">
      <w:bodyDiv w:val="1"/>
      <w:marLeft w:val="0"/>
      <w:marRight w:val="0"/>
      <w:marTop w:val="0"/>
      <w:marBottom w:val="0"/>
      <w:divBdr>
        <w:top w:val="none" w:sz="0" w:space="0" w:color="auto"/>
        <w:left w:val="none" w:sz="0" w:space="0" w:color="auto"/>
        <w:bottom w:val="none" w:sz="0" w:space="0" w:color="auto"/>
        <w:right w:val="none" w:sz="0" w:space="0" w:color="auto"/>
      </w:divBdr>
    </w:div>
    <w:div w:id="1070225863">
      <w:bodyDiv w:val="1"/>
      <w:marLeft w:val="0"/>
      <w:marRight w:val="0"/>
      <w:marTop w:val="0"/>
      <w:marBottom w:val="0"/>
      <w:divBdr>
        <w:top w:val="none" w:sz="0" w:space="0" w:color="auto"/>
        <w:left w:val="none" w:sz="0" w:space="0" w:color="auto"/>
        <w:bottom w:val="none" w:sz="0" w:space="0" w:color="auto"/>
        <w:right w:val="none" w:sz="0" w:space="0" w:color="auto"/>
      </w:divBdr>
    </w:div>
    <w:div w:id="1070227525">
      <w:bodyDiv w:val="1"/>
      <w:marLeft w:val="0"/>
      <w:marRight w:val="0"/>
      <w:marTop w:val="0"/>
      <w:marBottom w:val="0"/>
      <w:divBdr>
        <w:top w:val="none" w:sz="0" w:space="0" w:color="auto"/>
        <w:left w:val="none" w:sz="0" w:space="0" w:color="auto"/>
        <w:bottom w:val="none" w:sz="0" w:space="0" w:color="auto"/>
        <w:right w:val="none" w:sz="0" w:space="0" w:color="auto"/>
      </w:divBdr>
    </w:div>
    <w:div w:id="1070231844">
      <w:bodyDiv w:val="1"/>
      <w:marLeft w:val="0"/>
      <w:marRight w:val="0"/>
      <w:marTop w:val="0"/>
      <w:marBottom w:val="0"/>
      <w:divBdr>
        <w:top w:val="none" w:sz="0" w:space="0" w:color="auto"/>
        <w:left w:val="none" w:sz="0" w:space="0" w:color="auto"/>
        <w:bottom w:val="none" w:sz="0" w:space="0" w:color="auto"/>
        <w:right w:val="none" w:sz="0" w:space="0" w:color="auto"/>
      </w:divBdr>
    </w:div>
    <w:div w:id="1070269038">
      <w:bodyDiv w:val="1"/>
      <w:marLeft w:val="0"/>
      <w:marRight w:val="0"/>
      <w:marTop w:val="0"/>
      <w:marBottom w:val="0"/>
      <w:divBdr>
        <w:top w:val="none" w:sz="0" w:space="0" w:color="auto"/>
        <w:left w:val="none" w:sz="0" w:space="0" w:color="auto"/>
        <w:bottom w:val="none" w:sz="0" w:space="0" w:color="auto"/>
        <w:right w:val="none" w:sz="0" w:space="0" w:color="auto"/>
      </w:divBdr>
    </w:div>
    <w:div w:id="1070269381">
      <w:bodyDiv w:val="1"/>
      <w:marLeft w:val="0"/>
      <w:marRight w:val="0"/>
      <w:marTop w:val="0"/>
      <w:marBottom w:val="0"/>
      <w:divBdr>
        <w:top w:val="none" w:sz="0" w:space="0" w:color="auto"/>
        <w:left w:val="none" w:sz="0" w:space="0" w:color="auto"/>
        <w:bottom w:val="none" w:sz="0" w:space="0" w:color="auto"/>
        <w:right w:val="none" w:sz="0" w:space="0" w:color="auto"/>
      </w:divBdr>
    </w:div>
    <w:div w:id="1070346606">
      <w:bodyDiv w:val="1"/>
      <w:marLeft w:val="0"/>
      <w:marRight w:val="0"/>
      <w:marTop w:val="0"/>
      <w:marBottom w:val="0"/>
      <w:divBdr>
        <w:top w:val="none" w:sz="0" w:space="0" w:color="auto"/>
        <w:left w:val="none" w:sz="0" w:space="0" w:color="auto"/>
        <w:bottom w:val="none" w:sz="0" w:space="0" w:color="auto"/>
        <w:right w:val="none" w:sz="0" w:space="0" w:color="auto"/>
      </w:divBdr>
    </w:div>
    <w:div w:id="1070420340">
      <w:bodyDiv w:val="1"/>
      <w:marLeft w:val="0"/>
      <w:marRight w:val="0"/>
      <w:marTop w:val="0"/>
      <w:marBottom w:val="0"/>
      <w:divBdr>
        <w:top w:val="none" w:sz="0" w:space="0" w:color="auto"/>
        <w:left w:val="none" w:sz="0" w:space="0" w:color="auto"/>
        <w:bottom w:val="none" w:sz="0" w:space="0" w:color="auto"/>
        <w:right w:val="none" w:sz="0" w:space="0" w:color="auto"/>
      </w:divBdr>
    </w:div>
    <w:div w:id="1070421979">
      <w:bodyDiv w:val="1"/>
      <w:marLeft w:val="0"/>
      <w:marRight w:val="0"/>
      <w:marTop w:val="0"/>
      <w:marBottom w:val="0"/>
      <w:divBdr>
        <w:top w:val="none" w:sz="0" w:space="0" w:color="auto"/>
        <w:left w:val="none" w:sz="0" w:space="0" w:color="auto"/>
        <w:bottom w:val="none" w:sz="0" w:space="0" w:color="auto"/>
        <w:right w:val="none" w:sz="0" w:space="0" w:color="auto"/>
      </w:divBdr>
    </w:div>
    <w:div w:id="1070470459">
      <w:bodyDiv w:val="1"/>
      <w:marLeft w:val="0"/>
      <w:marRight w:val="0"/>
      <w:marTop w:val="0"/>
      <w:marBottom w:val="0"/>
      <w:divBdr>
        <w:top w:val="none" w:sz="0" w:space="0" w:color="auto"/>
        <w:left w:val="none" w:sz="0" w:space="0" w:color="auto"/>
        <w:bottom w:val="none" w:sz="0" w:space="0" w:color="auto"/>
        <w:right w:val="none" w:sz="0" w:space="0" w:color="auto"/>
      </w:divBdr>
    </w:div>
    <w:div w:id="1070536622">
      <w:bodyDiv w:val="1"/>
      <w:marLeft w:val="0"/>
      <w:marRight w:val="0"/>
      <w:marTop w:val="0"/>
      <w:marBottom w:val="0"/>
      <w:divBdr>
        <w:top w:val="none" w:sz="0" w:space="0" w:color="auto"/>
        <w:left w:val="none" w:sz="0" w:space="0" w:color="auto"/>
        <w:bottom w:val="none" w:sz="0" w:space="0" w:color="auto"/>
        <w:right w:val="none" w:sz="0" w:space="0" w:color="auto"/>
      </w:divBdr>
    </w:div>
    <w:div w:id="1070539508">
      <w:bodyDiv w:val="1"/>
      <w:marLeft w:val="0"/>
      <w:marRight w:val="0"/>
      <w:marTop w:val="0"/>
      <w:marBottom w:val="0"/>
      <w:divBdr>
        <w:top w:val="none" w:sz="0" w:space="0" w:color="auto"/>
        <w:left w:val="none" w:sz="0" w:space="0" w:color="auto"/>
        <w:bottom w:val="none" w:sz="0" w:space="0" w:color="auto"/>
        <w:right w:val="none" w:sz="0" w:space="0" w:color="auto"/>
      </w:divBdr>
    </w:div>
    <w:div w:id="1070619182">
      <w:bodyDiv w:val="1"/>
      <w:marLeft w:val="0"/>
      <w:marRight w:val="0"/>
      <w:marTop w:val="0"/>
      <w:marBottom w:val="0"/>
      <w:divBdr>
        <w:top w:val="none" w:sz="0" w:space="0" w:color="auto"/>
        <w:left w:val="none" w:sz="0" w:space="0" w:color="auto"/>
        <w:bottom w:val="none" w:sz="0" w:space="0" w:color="auto"/>
        <w:right w:val="none" w:sz="0" w:space="0" w:color="auto"/>
      </w:divBdr>
    </w:div>
    <w:div w:id="1070620341">
      <w:bodyDiv w:val="1"/>
      <w:marLeft w:val="0"/>
      <w:marRight w:val="0"/>
      <w:marTop w:val="0"/>
      <w:marBottom w:val="0"/>
      <w:divBdr>
        <w:top w:val="none" w:sz="0" w:space="0" w:color="auto"/>
        <w:left w:val="none" w:sz="0" w:space="0" w:color="auto"/>
        <w:bottom w:val="none" w:sz="0" w:space="0" w:color="auto"/>
        <w:right w:val="none" w:sz="0" w:space="0" w:color="auto"/>
      </w:divBdr>
    </w:div>
    <w:div w:id="1070693551">
      <w:bodyDiv w:val="1"/>
      <w:marLeft w:val="0"/>
      <w:marRight w:val="0"/>
      <w:marTop w:val="0"/>
      <w:marBottom w:val="0"/>
      <w:divBdr>
        <w:top w:val="none" w:sz="0" w:space="0" w:color="auto"/>
        <w:left w:val="none" w:sz="0" w:space="0" w:color="auto"/>
        <w:bottom w:val="none" w:sz="0" w:space="0" w:color="auto"/>
        <w:right w:val="none" w:sz="0" w:space="0" w:color="auto"/>
      </w:divBdr>
    </w:div>
    <w:div w:id="1070730357">
      <w:bodyDiv w:val="1"/>
      <w:marLeft w:val="0"/>
      <w:marRight w:val="0"/>
      <w:marTop w:val="0"/>
      <w:marBottom w:val="0"/>
      <w:divBdr>
        <w:top w:val="none" w:sz="0" w:space="0" w:color="auto"/>
        <w:left w:val="none" w:sz="0" w:space="0" w:color="auto"/>
        <w:bottom w:val="none" w:sz="0" w:space="0" w:color="auto"/>
        <w:right w:val="none" w:sz="0" w:space="0" w:color="auto"/>
      </w:divBdr>
    </w:div>
    <w:div w:id="1070737647">
      <w:bodyDiv w:val="1"/>
      <w:marLeft w:val="0"/>
      <w:marRight w:val="0"/>
      <w:marTop w:val="0"/>
      <w:marBottom w:val="0"/>
      <w:divBdr>
        <w:top w:val="none" w:sz="0" w:space="0" w:color="auto"/>
        <w:left w:val="none" w:sz="0" w:space="0" w:color="auto"/>
        <w:bottom w:val="none" w:sz="0" w:space="0" w:color="auto"/>
        <w:right w:val="none" w:sz="0" w:space="0" w:color="auto"/>
      </w:divBdr>
    </w:div>
    <w:div w:id="1070884081">
      <w:bodyDiv w:val="1"/>
      <w:marLeft w:val="0"/>
      <w:marRight w:val="0"/>
      <w:marTop w:val="0"/>
      <w:marBottom w:val="0"/>
      <w:divBdr>
        <w:top w:val="none" w:sz="0" w:space="0" w:color="auto"/>
        <w:left w:val="none" w:sz="0" w:space="0" w:color="auto"/>
        <w:bottom w:val="none" w:sz="0" w:space="0" w:color="auto"/>
        <w:right w:val="none" w:sz="0" w:space="0" w:color="auto"/>
      </w:divBdr>
    </w:div>
    <w:div w:id="1070885828">
      <w:bodyDiv w:val="1"/>
      <w:marLeft w:val="0"/>
      <w:marRight w:val="0"/>
      <w:marTop w:val="0"/>
      <w:marBottom w:val="0"/>
      <w:divBdr>
        <w:top w:val="none" w:sz="0" w:space="0" w:color="auto"/>
        <w:left w:val="none" w:sz="0" w:space="0" w:color="auto"/>
        <w:bottom w:val="none" w:sz="0" w:space="0" w:color="auto"/>
        <w:right w:val="none" w:sz="0" w:space="0" w:color="auto"/>
      </w:divBdr>
    </w:div>
    <w:div w:id="1070927343">
      <w:bodyDiv w:val="1"/>
      <w:marLeft w:val="0"/>
      <w:marRight w:val="0"/>
      <w:marTop w:val="0"/>
      <w:marBottom w:val="0"/>
      <w:divBdr>
        <w:top w:val="none" w:sz="0" w:space="0" w:color="auto"/>
        <w:left w:val="none" w:sz="0" w:space="0" w:color="auto"/>
        <w:bottom w:val="none" w:sz="0" w:space="0" w:color="auto"/>
        <w:right w:val="none" w:sz="0" w:space="0" w:color="auto"/>
      </w:divBdr>
    </w:div>
    <w:div w:id="1070932577">
      <w:bodyDiv w:val="1"/>
      <w:marLeft w:val="0"/>
      <w:marRight w:val="0"/>
      <w:marTop w:val="0"/>
      <w:marBottom w:val="0"/>
      <w:divBdr>
        <w:top w:val="none" w:sz="0" w:space="0" w:color="auto"/>
        <w:left w:val="none" w:sz="0" w:space="0" w:color="auto"/>
        <w:bottom w:val="none" w:sz="0" w:space="0" w:color="auto"/>
        <w:right w:val="none" w:sz="0" w:space="0" w:color="auto"/>
      </w:divBdr>
    </w:div>
    <w:div w:id="1071121992">
      <w:bodyDiv w:val="1"/>
      <w:marLeft w:val="0"/>
      <w:marRight w:val="0"/>
      <w:marTop w:val="0"/>
      <w:marBottom w:val="0"/>
      <w:divBdr>
        <w:top w:val="none" w:sz="0" w:space="0" w:color="auto"/>
        <w:left w:val="none" w:sz="0" w:space="0" w:color="auto"/>
        <w:bottom w:val="none" w:sz="0" w:space="0" w:color="auto"/>
        <w:right w:val="none" w:sz="0" w:space="0" w:color="auto"/>
      </w:divBdr>
    </w:div>
    <w:div w:id="1071271758">
      <w:bodyDiv w:val="1"/>
      <w:marLeft w:val="0"/>
      <w:marRight w:val="0"/>
      <w:marTop w:val="0"/>
      <w:marBottom w:val="0"/>
      <w:divBdr>
        <w:top w:val="none" w:sz="0" w:space="0" w:color="auto"/>
        <w:left w:val="none" w:sz="0" w:space="0" w:color="auto"/>
        <w:bottom w:val="none" w:sz="0" w:space="0" w:color="auto"/>
        <w:right w:val="none" w:sz="0" w:space="0" w:color="auto"/>
      </w:divBdr>
    </w:div>
    <w:div w:id="1071460496">
      <w:bodyDiv w:val="1"/>
      <w:marLeft w:val="0"/>
      <w:marRight w:val="0"/>
      <w:marTop w:val="0"/>
      <w:marBottom w:val="0"/>
      <w:divBdr>
        <w:top w:val="none" w:sz="0" w:space="0" w:color="auto"/>
        <w:left w:val="none" w:sz="0" w:space="0" w:color="auto"/>
        <w:bottom w:val="none" w:sz="0" w:space="0" w:color="auto"/>
        <w:right w:val="none" w:sz="0" w:space="0" w:color="auto"/>
      </w:divBdr>
    </w:div>
    <w:div w:id="1071462618">
      <w:bodyDiv w:val="1"/>
      <w:marLeft w:val="0"/>
      <w:marRight w:val="0"/>
      <w:marTop w:val="0"/>
      <w:marBottom w:val="0"/>
      <w:divBdr>
        <w:top w:val="none" w:sz="0" w:space="0" w:color="auto"/>
        <w:left w:val="none" w:sz="0" w:space="0" w:color="auto"/>
        <w:bottom w:val="none" w:sz="0" w:space="0" w:color="auto"/>
        <w:right w:val="none" w:sz="0" w:space="0" w:color="auto"/>
      </w:divBdr>
    </w:div>
    <w:div w:id="1071465188">
      <w:bodyDiv w:val="1"/>
      <w:marLeft w:val="0"/>
      <w:marRight w:val="0"/>
      <w:marTop w:val="0"/>
      <w:marBottom w:val="0"/>
      <w:divBdr>
        <w:top w:val="none" w:sz="0" w:space="0" w:color="auto"/>
        <w:left w:val="none" w:sz="0" w:space="0" w:color="auto"/>
        <w:bottom w:val="none" w:sz="0" w:space="0" w:color="auto"/>
        <w:right w:val="none" w:sz="0" w:space="0" w:color="auto"/>
      </w:divBdr>
    </w:div>
    <w:div w:id="1071468062">
      <w:bodyDiv w:val="1"/>
      <w:marLeft w:val="0"/>
      <w:marRight w:val="0"/>
      <w:marTop w:val="0"/>
      <w:marBottom w:val="0"/>
      <w:divBdr>
        <w:top w:val="none" w:sz="0" w:space="0" w:color="auto"/>
        <w:left w:val="none" w:sz="0" w:space="0" w:color="auto"/>
        <w:bottom w:val="none" w:sz="0" w:space="0" w:color="auto"/>
        <w:right w:val="none" w:sz="0" w:space="0" w:color="auto"/>
      </w:divBdr>
    </w:div>
    <w:div w:id="1071536284">
      <w:bodyDiv w:val="1"/>
      <w:marLeft w:val="0"/>
      <w:marRight w:val="0"/>
      <w:marTop w:val="0"/>
      <w:marBottom w:val="0"/>
      <w:divBdr>
        <w:top w:val="none" w:sz="0" w:space="0" w:color="auto"/>
        <w:left w:val="none" w:sz="0" w:space="0" w:color="auto"/>
        <w:bottom w:val="none" w:sz="0" w:space="0" w:color="auto"/>
        <w:right w:val="none" w:sz="0" w:space="0" w:color="auto"/>
      </w:divBdr>
    </w:div>
    <w:div w:id="1071538503">
      <w:bodyDiv w:val="1"/>
      <w:marLeft w:val="0"/>
      <w:marRight w:val="0"/>
      <w:marTop w:val="0"/>
      <w:marBottom w:val="0"/>
      <w:divBdr>
        <w:top w:val="none" w:sz="0" w:space="0" w:color="auto"/>
        <w:left w:val="none" w:sz="0" w:space="0" w:color="auto"/>
        <w:bottom w:val="none" w:sz="0" w:space="0" w:color="auto"/>
        <w:right w:val="none" w:sz="0" w:space="0" w:color="auto"/>
      </w:divBdr>
    </w:div>
    <w:div w:id="1071543148">
      <w:bodyDiv w:val="1"/>
      <w:marLeft w:val="0"/>
      <w:marRight w:val="0"/>
      <w:marTop w:val="0"/>
      <w:marBottom w:val="0"/>
      <w:divBdr>
        <w:top w:val="none" w:sz="0" w:space="0" w:color="auto"/>
        <w:left w:val="none" w:sz="0" w:space="0" w:color="auto"/>
        <w:bottom w:val="none" w:sz="0" w:space="0" w:color="auto"/>
        <w:right w:val="none" w:sz="0" w:space="0" w:color="auto"/>
      </w:divBdr>
    </w:div>
    <w:div w:id="1071654785">
      <w:bodyDiv w:val="1"/>
      <w:marLeft w:val="0"/>
      <w:marRight w:val="0"/>
      <w:marTop w:val="0"/>
      <w:marBottom w:val="0"/>
      <w:divBdr>
        <w:top w:val="none" w:sz="0" w:space="0" w:color="auto"/>
        <w:left w:val="none" w:sz="0" w:space="0" w:color="auto"/>
        <w:bottom w:val="none" w:sz="0" w:space="0" w:color="auto"/>
        <w:right w:val="none" w:sz="0" w:space="0" w:color="auto"/>
      </w:divBdr>
    </w:div>
    <w:div w:id="1071657551">
      <w:bodyDiv w:val="1"/>
      <w:marLeft w:val="0"/>
      <w:marRight w:val="0"/>
      <w:marTop w:val="0"/>
      <w:marBottom w:val="0"/>
      <w:divBdr>
        <w:top w:val="none" w:sz="0" w:space="0" w:color="auto"/>
        <w:left w:val="none" w:sz="0" w:space="0" w:color="auto"/>
        <w:bottom w:val="none" w:sz="0" w:space="0" w:color="auto"/>
        <w:right w:val="none" w:sz="0" w:space="0" w:color="auto"/>
      </w:divBdr>
    </w:div>
    <w:div w:id="1071657700">
      <w:bodyDiv w:val="1"/>
      <w:marLeft w:val="0"/>
      <w:marRight w:val="0"/>
      <w:marTop w:val="0"/>
      <w:marBottom w:val="0"/>
      <w:divBdr>
        <w:top w:val="none" w:sz="0" w:space="0" w:color="auto"/>
        <w:left w:val="none" w:sz="0" w:space="0" w:color="auto"/>
        <w:bottom w:val="none" w:sz="0" w:space="0" w:color="auto"/>
        <w:right w:val="none" w:sz="0" w:space="0" w:color="auto"/>
      </w:divBdr>
    </w:div>
    <w:div w:id="1071658614">
      <w:bodyDiv w:val="1"/>
      <w:marLeft w:val="0"/>
      <w:marRight w:val="0"/>
      <w:marTop w:val="0"/>
      <w:marBottom w:val="0"/>
      <w:divBdr>
        <w:top w:val="none" w:sz="0" w:space="0" w:color="auto"/>
        <w:left w:val="none" w:sz="0" w:space="0" w:color="auto"/>
        <w:bottom w:val="none" w:sz="0" w:space="0" w:color="auto"/>
        <w:right w:val="none" w:sz="0" w:space="0" w:color="auto"/>
      </w:divBdr>
    </w:div>
    <w:div w:id="1071733333">
      <w:bodyDiv w:val="1"/>
      <w:marLeft w:val="0"/>
      <w:marRight w:val="0"/>
      <w:marTop w:val="0"/>
      <w:marBottom w:val="0"/>
      <w:divBdr>
        <w:top w:val="none" w:sz="0" w:space="0" w:color="auto"/>
        <w:left w:val="none" w:sz="0" w:space="0" w:color="auto"/>
        <w:bottom w:val="none" w:sz="0" w:space="0" w:color="auto"/>
        <w:right w:val="none" w:sz="0" w:space="0" w:color="auto"/>
      </w:divBdr>
    </w:div>
    <w:div w:id="1071850721">
      <w:bodyDiv w:val="1"/>
      <w:marLeft w:val="0"/>
      <w:marRight w:val="0"/>
      <w:marTop w:val="0"/>
      <w:marBottom w:val="0"/>
      <w:divBdr>
        <w:top w:val="none" w:sz="0" w:space="0" w:color="auto"/>
        <w:left w:val="none" w:sz="0" w:space="0" w:color="auto"/>
        <w:bottom w:val="none" w:sz="0" w:space="0" w:color="auto"/>
        <w:right w:val="none" w:sz="0" w:space="0" w:color="auto"/>
      </w:divBdr>
    </w:div>
    <w:div w:id="1071928371">
      <w:bodyDiv w:val="1"/>
      <w:marLeft w:val="0"/>
      <w:marRight w:val="0"/>
      <w:marTop w:val="0"/>
      <w:marBottom w:val="0"/>
      <w:divBdr>
        <w:top w:val="none" w:sz="0" w:space="0" w:color="auto"/>
        <w:left w:val="none" w:sz="0" w:space="0" w:color="auto"/>
        <w:bottom w:val="none" w:sz="0" w:space="0" w:color="auto"/>
        <w:right w:val="none" w:sz="0" w:space="0" w:color="auto"/>
      </w:divBdr>
    </w:div>
    <w:div w:id="1071998902">
      <w:bodyDiv w:val="1"/>
      <w:marLeft w:val="0"/>
      <w:marRight w:val="0"/>
      <w:marTop w:val="0"/>
      <w:marBottom w:val="0"/>
      <w:divBdr>
        <w:top w:val="none" w:sz="0" w:space="0" w:color="auto"/>
        <w:left w:val="none" w:sz="0" w:space="0" w:color="auto"/>
        <w:bottom w:val="none" w:sz="0" w:space="0" w:color="auto"/>
        <w:right w:val="none" w:sz="0" w:space="0" w:color="auto"/>
      </w:divBdr>
    </w:div>
    <w:div w:id="1072003135">
      <w:bodyDiv w:val="1"/>
      <w:marLeft w:val="0"/>
      <w:marRight w:val="0"/>
      <w:marTop w:val="0"/>
      <w:marBottom w:val="0"/>
      <w:divBdr>
        <w:top w:val="none" w:sz="0" w:space="0" w:color="auto"/>
        <w:left w:val="none" w:sz="0" w:space="0" w:color="auto"/>
        <w:bottom w:val="none" w:sz="0" w:space="0" w:color="auto"/>
        <w:right w:val="none" w:sz="0" w:space="0" w:color="auto"/>
      </w:divBdr>
    </w:div>
    <w:div w:id="1072121694">
      <w:bodyDiv w:val="1"/>
      <w:marLeft w:val="0"/>
      <w:marRight w:val="0"/>
      <w:marTop w:val="0"/>
      <w:marBottom w:val="0"/>
      <w:divBdr>
        <w:top w:val="none" w:sz="0" w:space="0" w:color="auto"/>
        <w:left w:val="none" w:sz="0" w:space="0" w:color="auto"/>
        <w:bottom w:val="none" w:sz="0" w:space="0" w:color="auto"/>
        <w:right w:val="none" w:sz="0" w:space="0" w:color="auto"/>
      </w:divBdr>
    </w:div>
    <w:div w:id="1072122971">
      <w:bodyDiv w:val="1"/>
      <w:marLeft w:val="0"/>
      <w:marRight w:val="0"/>
      <w:marTop w:val="0"/>
      <w:marBottom w:val="0"/>
      <w:divBdr>
        <w:top w:val="none" w:sz="0" w:space="0" w:color="auto"/>
        <w:left w:val="none" w:sz="0" w:space="0" w:color="auto"/>
        <w:bottom w:val="none" w:sz="0" w:space="0" w:color="auto"/>
        <w:right w:val="none" w:sz="0" w:space="0" w:color="auto"/>
      </w:divBdr>
    </w:div>
    <w:div w:id="1072311949">
      <w:bodyDiv w:val="1"/>
      <w:marLeft w:val="0"/>
      <w:marRight w:val="0"/>
      <w:marTop w:val="0"/>
      <w:marBottom w:val="0"/>
      <w:divBdr>
        <w:top w:val="none" w:sz="0" w:space="0" w:color="auto"/>
        <w:left w:val="none" w:sz="0" w:space="0" w:color="auto"/>
        <w:bottom w:val="none" w:sz="0" w:space="0" w:color="auto"/>
        <w:right w:val="none" w:sz="0" w:space="0" w:color="auto"/>
      </w:divBdr>
    </w:div>
    <w:div w:id="1072315509">
      <w:bodyDiv w:val="1"/>
      <w:marLeft w:val="0"/>
      <w:marRight w:val="0"/>
      <w:marTop w:val="0"/>
      <w:marBottom w:val="0"/>
      <w:divBdr>
        <w:top w:val="none" w:sz="0" w:space="0" w:color="auto"/>
        <w:left w:val="none" w:sz="0" w:space="0" w:color="auto"/>
        <w:bottom w:val="none" w:sz="0" w:space="0" w:color="auto"/>
        <w:right w:val="none" w:sz="0" w:space="0" w:color="auto"/>
      </w:divBdr>
    </w:div>
    <w:div w:id="1072386031">
      <w:bodyDiv w:val="1"/>
      <w:marLeft w:val="0"/>
      <w:marRight w:val="0"/>
      <w:marTop w:val="0"/>
      <w:marBottom w:val="0"/>
      <w:divBdr>
        <w:top w:val="none" w:sz="0" w:space="0" w:color="auto"/>
        <w:left w:val="none" w:sz="0" w:space="0" w:color="auto"/>
        <w:bottom w:val="none" w:sz="0" w:space="0" w:color="auto"/>
        <w:right w:val="none" w:sz="0" w:space="0" w:color="auto"/>
      </w:divBdr>
    </w:div>
    <w:div w:id="1072393590">
      <w:bodyDiv w:val="1"/>
      <w:marLeft w:val="0"/>
      <w:marRight w:val="0"/>
      <w:marTop w:val="0"/>
      <w:marBottom w:val="0"/>
      <w:divBdr>
        <w:top w:val="none" w:sz="0" w:space="0" w:color="auto"/>
        <w:left w:val="none" w:sz="0" w:space="0" w:color="auto"/>
        <w:bottom w:val="none" w:sz="0" w:space="0" w:color="auto"/>
        <w:right w:val="none" w:sz="0" w:space="0" w:color="auto"/>
      </w:divBdr>
    </w:div>
    <w:div w:id="1072459512">
      <w:bodyDiv w:val="1"/>
      <w:marLeft w:val="0"/>
      <w:marRight w:val="0"/>
      <w:marTop w:val="0"/>
      <w:marBottom w:val="0"/>
      <w:divBdr>
        <w:top w:val="none" w:sz="0" w:space="0" w:color="auto"/>
        <w:left w:val="none" w:sz="0" w:space="0" w:color="auto"/>
        <w:bottom w:val="none" w:sz="0" w:space="0" w:color="auto"/>
        <w:right w:val="none" w:sz="0" w:space="0" w:color="auto"/>
      </w:divBdr>
    </w:div>
    <w:div w:id="1072460273">
      <w:bodyDiv w:val="1"/>
      <w:marLeft w:val="0"/>
      <w:marRight w:val="0"/>
      <w:marTop w:val="0"/>
      <w:marBottom w:val="0"/>
      <w:divBdr>
        <w:top w:val="none" w:sz="0" w:space="0" w:color="auto"/>
        <w:left w:val="none" w:sz="0" w:space="0" w:color="auto"/>
        <w:bottom w:val="none" w:sz="0" w:space="0" w:color="auto"/>
        <w:right w:val="none" w:sz="0" w:space="0" w:color="auto"/>
      </w:divBdr>
    </w:div>
    <w:div w:id="1072509683">
      <w:bodyDiv w:val="1"/>
      <w:marLeft w:val="0"/>
      <w:marRight w:val="0"/>
      <w:marTop w:val="0"/>
      <w:marBottom w:val="0"/>
      <w:divBdr>
        <w:top w:val="none" w:sz="0" w:space="0" w:color="auto"/>
        <w:left w:val="none" w:sz="0" w:space="0" w:color="auto"/>
        <w:bottom w:val="none" w:sz="0" w:space="0" w:color="auto"/>
        <w:right w:val="none" w:sz="0" w:space="0" w:color="auto"/>
      </w:divBdr>
    </w:div>
    <w:div w:id="1072775688">
      <w:bodyDiv w:val="1"/>
      <w:marLeft w:val="0"/>
      <w:marRight w:val="0"/>
      <w:marTop w:val="0"/>
      <w:marBottom w:val="0"/>
      <w:divBdr>
        <w:top w:val="none" w:sz="0" w:space="0" w:color="auto"/>
        <w:left w:val="none" w:sz="0" w:space="0" w:color="auto"/>
        <w:bottom w:val="none" w:sz="0" w:space="0" w:color="auto"/>
        <w:right w:val="none" w:sz="0" w:space="0" w:color="auto"/>
      </w:divBdr>
    </w:div>
    <w:div w:id="1072778909">
      <w:bodyDiv w:val="1"/>
      <w:marLeft w:val="0"/>
      <w:marRight w:val="0"/>
      <w:marTop w:val="0"/>
      <w:marBottom w:val="0"/>
      <w:divBdr>
        <w:top w:val="none" w:sz="0" w:space="0" w:color="auto"/>
        <w:left w:val="none" w:sz="0" w:space="0" w:color="auto"/>
        <w:bottom w:val="none" w:sz="0" w:space="0" w:color="auto"/>
        <w:right w:val="none" w:sz="0" w:space="0" w:color="auto"/>
      </w:divBdr>
    </w:div>
    <w:div w:id="1072893461">
      <w:bodyDiv w:val="1"/>
      <w:marLeft w:val="0"/>
      <w:marRight w:val="0"/>
      <w:marTop w:val="0"/>
      <w:marBottom w:val="0"/>
      <w:divBdr>
        <w:top w:val="none" w:sz="0" w:space="0" w:color="auto"/>
        <w:left w:val="none" w:sz="0" w:space="0" w:color="auto"/>
        <w:bottom w:val="none" w:sz="0" w:space="0" w:color="auto"/>
        <w:right w:val="none" w:sz="0" w:space="0" w:color="auto"/>
      </w:divBdr>
    </w:div>
    <w:div w:id="1073048475">
      <w:bodyDiv w:val="1"/>
      <w:marLeft w:val="0"/>
      <w:marRight w:val="0"/>
      <w:marTop w:val="0"/>
      <w:marBottom w:val="0"/>
      <w:divBdr>
        <w:top w:val="none" w:sz="0" w:space="0" w:color="auto"/>
        <w:left w:val="none" w:sz="0" w:space="0" w:color="auto"/>
        <w:bottom w:val="none" w:sz="0" w:space="0" w:color="auto"/>
        <w:right w:val="none" w:sz="0" w:space="0" w:color="auto"/>
      </w:divBdr>
    </w:div>
    <w:div w:id="1073159953">
      <w:bodyDiv w:val="1"/>
      <w:marLeft w:val="0"/>
      <w:marRight w:val="0"/>
      <w:marTop w:val="0"/>
      <w:marBottom w:val="0"/>
      <w:divBdr>
        <w:top w:val="none" w:sz="0" w:space="0" w:color="auto"/>
        <w:left w:val="none" w:sz="0" w:space="0" w:color="auto"/>
        <w:bottom w:val="none" w:sz="0" w:space="0" w:color="auto"/>
        <w:right w:val="none" w:sz="0" w:space="0" w:color="auto"/>
      </w:divBdr>
    </w:div>
    <w:div w:id="1073162142">
      <w:bodyDiv w:val="1"/>
      <w:marLeft w:val="0"/>
      <w:marRight w:val="0"/>
      <w:marTop w:val="0"/>
      <w:marBottom w:val="0"/>
      <w:divBdr>
        <w:top w:val="none" w:sz="0" w:space="0" w:color="auto"/>
        <w:left w:val="none" w:sz="0" w:space="0" w:color="auto"/>
        <w:bottom w:val="none" w:sz="0" w:space="0" w:color="auto"/>
        <w:right w:val="none" w:sz="0" w:space="0" w:color="auto"/>
      </w:divBdr>
    </w:div>
    <w:div w:id="1073235089">
      <w:bodyDiv w:val="1"/>
      <w:marLeft w:val="0"/>
      <w:marRight w:val="0"/>
      <w:marTop w:val="0"/>
      <w:marBottom w:val="0"/>
      <w:divBdr>
        <w:top w:val="none" w:sz="0" w:space="0" w:color="auto"/>
        <w:left w:val="none" w:sz="0" w:space="0" w:color="auto"/>
        <w:bottom w:val="none" w:sz="0" w:space="0" w:color="auto"/>
        <w:right w:val="none" w:sz="0" w:space="0" w:color="auto"/>
      </w:divBdr>
    </w:div>
    <w:div w:id="1073311419">
      <w:bodyDiv w:val="1"/>
      <w:marLeft w:val="0"/>
      <w:marRight w:val="0"/>
      <w:marTop w:val="0"/>
      <w:marBottom w:val="0"/>
      <w:divBdr>
        <w:top w:val="none" w:sz="0" w:space="0" w:color="auto"/>
        <w:left w:val="none" w:sz="0" w:space="0" w:color="auto"/>
        <w:bottom w:val="none" w:sz="0" w:space="0" w:color="auto"/>
        <w:right w:val="none" w:sz="0" w:space="0" w:color="auto"/>
      </w:divBdr>
    </w:div>
    <w:div w:id="1073359263">
      <w:bodyDiv w:val="1"/>
      <w:marLeft w:val="0"/>
      <w:marRight w:val="0"/>
      <w:marTop w:val="0"/>
      <w:marBottom w:val="0"/>
      <w:divBdr>
        <w:top w:val="none" w:sz="0" w:space="0" w:color="auto"/>
        <w:left w:val="none" w:sz="0" w:space="0" w:color="auto"/>
        <w:bottom w:val="none" w:sz="0" w:space="0" w:color="auto"/>
        <w:right w:val="none" w:sz="0" w:space="0" w:color="auto"/>
      </w:divBdr>
    </w:div>
    <w:div w:id="1073551652">
      <w:bodyDiv w:val="1"/>
      <w:marLeft w:val="0"/>
      <w:marRight w:val="0"/>
      <w:marTop w:val="0"/>
      <w:marBottom w:val="0"/>
      <w:divBdr>
        <w:top w:val="none" w:sz="0" w:space="0" w:color="auto"/>
        <w:left w:val="none" w:sz="0" w:space="0" w:color="auto"/>
        <w:bottom w:val="none" w:sz="0" w:space="0" w:color="auto"/>
        <w:right w:val="none" w:sz="0" w:space="0" w:color="auto"/>
      </w:divBdr>
    </w:div>
    <w:div w:id="1073742871">
      <w:bodyDiv w:val="1"/>
      <w:marLeft w:val="0"/>
      <w:marRight w:val="0"/>
      <w:marTop w:val="0"/>
      <w:marBottom w:val="0"/>
      <w:divBdr>
        <w:top w:val="none" w:sz="0" w:space="0" w:color="auto"/>
        <w:left w:val="none" w:sz="0" w:space="0" w:color="auto"/>
        <w:bottom w:val="none" w:sz="0" w:space="0" w:color="auto"/>
        <w:right w:val="none" w:sz="0" w:space="0" w:color="auto"/>
      </w:divBdr>
    </w:div>
    <w:div w:id="1073819323">
      <w:bodyDiv w:val="1"/>
      <w:marLeft w:val="0"/>
      <w:marRight w:val="0"/>
      <w:marTop w:val="0"/>
      <w:marBottom w:val="0"/>
      <w:divBdr>
        <w:top w:val="none" w:sz="0" w:space="0" w:color="auto"/>
        <w:left w:val="none" w:sz="0" w:space="0" w:color="auto"/>
        <w:bottom w:val="none" w:sz="0" w:space="0" w:color="auto"/>
        <w:right w:val="none" w:sz="0" w:space="0" w:color="auto"/>
      </w:divBdr>
    </w:div>
    <w:div w:id="1073969517">
      <w:bodyDiv w:val="1"/>
      <w:marLeft w:val="0"/>
      <w:marRight w:val="0"/>
      <w:marTop w:val="0"/>
      <w:marBottom w:val="0"/>
      <w:divBdr>
        <w:top w:val="none" w:sz="0" w:space="0" w:color="auto"/>
        <w:left w:val="none" w:sz="0" w:space="0" w:color="auto"/>
        <w:bottom w:val="none" w:sz="0" w:space="0" w:color="auto"/>
        <w:right w:val="none" w:sz="0" w:space="0" w:color="auto"/>
      </w:divBdr>
    </w:div>
    <w:div w:id="1074351907">
      <w:bodyDiv w:val="1"/>
      <w:marLeft w:val="0"/>
      <w:marRight w:val="0"/>
      <w:marTop w:val="0"/>
      <w:marBottom w:val="0"/>
      <w:divBdr>
        <w:top w:val="none" w:sz="0" w:space="0" w:color="auto"/>
        <w:left w:val="none" w:sz="0" w:space="0" w:color="auto"/>
        <w:bottom w:val="none" w:sz="0" w:space="0" w:color="auto"/>
        <w:right w:val="none" w:sz="0" w:space="0" w:color="auto"/>
      </w:divBdr>
    </w:div>
    <w:div w:id="1074398366">
      <w:bodyDiv w:val="1"/>
      <w:marLeft w:val="0"/>
      <w:marRight w:val="0"/>
      <w:marTop w:val="0"/>
      <w:marBottom w:val="0"/>
      <w:divBdr>
        <w:top w:val="none" w:sz="0" w:space="0" w:color="auto"/>
        <w:left w:val="none" w:sz="0" w:space="0" w:color="auto"/>
        <w:bottom w:val="none" w:sz="0" w:space="0" w:color="auto"/>
        <w:right w:val="none" w:sz="0" w:space="0" w:color="auto"/>
      </w:divBdr>
    </w:div>
    <w:div w:id="1074625809">
      <w:bodyDiv w:val="1"/>
      <w:marLeft w:val="0"/>
      <w:marRight w:val="0"/>
      <w:marTop w:val="0"/>
      <w:marBottom w:val="0"/>
      <w:divBdr>
        <w:top w:val="none" w:sz="0" w:space="0" w:color="auto"/>
        <w:left w:val="none" w:sz="0" w:space="0" w:color="auto"/>
        <w:bottom w:val="none" w:sz="0" w:space="0" w:color="auto"/>
        <w:right w:val="none" w:sz="0" w:space="0" w:color="auto"/>
      </w:divBdr>
    </w:div>
    <w:div w:id="1074665024">
      <w:bodyDiv w:val="1"/>
      <w:marLeft w:val="0"/>
      <w:marRight w:val="0"/>
      <w:marTop w:val="0"/>
      <w:marBottom w:val="0"/>
      <w:divBdr>
        <w:top w:val="none" w:sz="0" w:space="0" w:color="auto"/>
        <w:left w:val="none" w:sz="0" w:space="0" w:color="auto"/>
        <w:bottom w:val="none" w:sz="0" w:space="0" w:color="auto"/>
        <w:right w:val="none" w:sz="0" w:space="0" w:color="auto"/>
      </w:divBdr>
    </w:div>
    <w:div w:id="1074665161">
      <w:bodyDiv w:val="1"/>
      <w:marLeft w:val="0"/>
      <w:marRight w:val="0"/>
      <w:marTop w:val="0"/>
      <w:marBottom w:val="0"/>
      <w:divBdr>
        <w:top w:val="none" w:sz="0" w:space="0" w:color="auto"/>
        <w:left w:val="none" w:sz="0" w:space="0" w:color="auto"/>
        <w:bottom w:val="none" w:sz="0" w:space="0" w:color="auto"/>
        <w:right w:val="none" w:sz="0" w:space="0" w:color="auto"/>
      </w:divBdr>
    </w:div>
    <w:div w:id="1074738287">
      <w:bodyDiv w:val="1"/>
      <w:marLeft w:val="0"/>
      <w:marRight w:val="0"/>
      <w:marTop w:val="0"/>
      <w:marBottom w:val="0"/>
      <w:divBdr>
        <w:top w:val="none" w:sz="0" w:space="0" w:color="auto"/>
        <w:left w:val="none" w:sz="0" w:space="0" w:color="auto"/>
        <w:bottom w:val="none" w:sz="0" w:space="0" w:color="auto"/>
        <w:right w:val="none" w:sz="0" w:space="0" w:color="auto"/>
      </w:divBdr>
    </w:div>
    <w:div w:id="1074859110">
      <w:bodyDiv w:val="1"/>
      <w:marLeft w:val="0"/>
      <w:marRight w:val="0"/>
      <w:marTop w:val="0"/>
      <w:marBottom w:val="0"/>
      <w:divBdr>
        <w:top w:val="none" w:sz="0" w:space="0" w:color="auto"/>
        <w:left w:val="none" w:sz="0" w:space="0" w:color="auto"/>
        <w:bottom w:val="none" w:sz="0" w:space="0" w:color="auto"/>
        <w:right w:val="none" w:sz="0" w:space="0" w:color="auto"/>
      </w:divBdr>
    </w:div>
    <w:div w:id="1074936811">
      <w:bodyDiv w:val="1"/>
      <w:marLeft w:val="0"/>
      <w:marRight w:val="0"/>
      <w:marTop w:val="0"/>
      <w:marBottom w:val="0"/>
      <w:divBdr>
        <w:top w:val="none" w:sz="0" w:space="0" w:color="auto"/>
        <w:left w:val="none" w:sz="0" w:space="0" w:color="auto"/>
        <w:bottom w:val="none" w:sz="0" w:space="0" w:color="auto"/>
        <w:right w:val="none" w:sz="0" w:space="0" w:color="auto"/>
      </w:divBdr>
    </w:div>
    <w:div w:id="1074937155">
      <w:bodyDiv w:val="1"/>
      <w:marLeft w:val="0"/>
      <w:marRight w:val="0"/>
      <w:marTop w:val="0"/>
      <w:marBottom w:val="0"/>
      <w:divBdr>
        <w:top w:val="none" w:sz="0" w:space="0" w:color="auto"/>
        <w:left w:val="none" w:sz="0" w:space="0" w:color="auto"/>
        <w:bottom w:val="none" w:sz="0" w:space="0" w:color="auto"/>
        <w:right w:val="none" w:sz="0" w:space="0" w:color="auto"/>
      </w:divBdr>
    </w:div>
    <w:div w:id="1075010806">
      <w:bodyDiv w:val="1"/>
      <w:marLeft w:val="0"/>
      <w:marRight w:val="0"/>
      <w:marTop w:val="0"/>
      <w:marBottom w:val="0"/>
      <w:divBdr>
        <w:top w:val="none" w:sz="0" w:space="0" w:color="auto"/>
        <w:left w:val="none" w:sz="0" w:space="0" w:color="auto"/>
        <w:bottom w:val="none" w:sz="0" w:space="0" w:color="auto"/>
        <w:right w:val="none" w:sz="0" w:space="0" w:color="auto"/>
      </w:divBdr>
    </w:div>
    <w:div w:id="1075084412">
      <w:bodyDiv w:val="1"/>
      <w:marLeft w:val="0"/>
      <w:marRight w:val="0"/>
      <w:marTop w:val="0"/>
      <w:marBottom w:val="0"/>
      <w:divBdr>
        <w:top w:val="none" w:sz="0" w:space="0" w:color="auto"/>
        <w:left w:val="none" w:sz="0" w:space="0" w:color="auto"/>
        <w:bottom w:val="none" w:sz="0" w:space="0" w:color="auto"/>
        <w:right w:val="none" w:sz="0" w:space="0" w:color="auto"/>
      </w:divBdr>
    </w:div>
    <w:div w:id="1075085281">
      <w:bodyDiv w:val="1"/>
      <w:marLeft w:val="0"/>
      <w:marRight w:val="0"/>
      <w:marTop w:val="0"/>
      <w:marBottom w:val="0"/>
      <w:divBdr>
        <w:top w:val="none" w:sz="0" w:space="0" w:color="auto"/>
        <w:left w:val="none" w:sz="0" w:space="0" w:color="auto"/>
        <w:bottom w:val="none" w:sz="0" w:space="0" w:color="auto"/>
        <w:right w:val="none" w:sz="0" w:space="0" w:color="auto"/>
      </w:divBdr>
    </w:div>
    <w:div w:id="1075126472">
      <w:bodyDiv w:val="1"/>
      <w:marLeft w:val="0"/>
      <w:marRight w:val="0"/>
      <w:marTop w:val="0"/>
      <w:marBottom w:val="0"/>
      <w:divBdr>
        <w:top w:val="none" w:sz="0" w:space="0" w:color="auto"/>
        <w:left w:val="none" w:sz="0" w:space="0" w:color="auto"/>
        <w:bottom w:val="none" w:sz="0" w:space="0" w:color="auto"/>
        <w:right w:val="none" w:sz="0" w:space="0" w:color="auto"/>
      </w:divBdr>
    </w:div>
    <w:div w:id="1075127638">
      <w:bodyDiv w:val="1"/>
      <w:marLeft w:val="0"/>
      <w:marRight w:val="0"/>
      <w:marTop w:val="0"/>
      <w:marBottom w:val="0"/>
      <w:divBdr>
        <w:top w:val="none" w:sz="0" w:space="0" w:color="auto"/>
        <w:left w:val="none" w:sz="0" w:space="0" w:color="auto"/>
        <w:bottom w:val="none" w:sz="0" w:space="0" w:color="auto"/>
        <w:right w:val="none" w:sz="0" w:space="0" w:color="auto"/>
      </w:divBdr>
    </w:div>
    <w:div w:id="1075395457">
      <w:bodyDiv w:val="1"/>
      <w:marLeft w:val="0"/>
      <w:marRight w:val="0"/>
      <w:marTop w:val="0"/>
      <w:marBottom w:val="0"/>
      <w:divBdr>
        <w:top w:val="none" w:sz="0" w:space="0" w:color="auto"/>
        <w:left w:val="none" w:sz="0" w:space="0" w:color="auto"/>
        <w:bottom w:val="none" w:sz="0" w:space="0" w:color="auto"/>
        <w:right w:val="none" w:sz="0" w:space="0" w:color="auto"/>
      </w:divBdr>
    </w:div>
    <w:div w:id="1075469325">
      <w:bodyDiv w:val="1"/>
      <w:marLeft w:val="0"/>
      <w:marRight w:val="0"/>
      <w:marTop w:val="0"/>
      <w:marBottom w:val="0"/>
      <w:divBdr>
        <w:top w:val="none" w:sz="0" w:space="0" w:color="auto"/>
        <w:left w:val="none" w:sz="0" w:space="0" w:color="auto"/>
        <w:bottom w:val="none" w:sz="0" w:space="0" w:color="auto"/>
        <w:right w:val="none" w:sz="0" w:space="0" w:color="auto"/>
      </w:divBdr>
    </w:div>
    <w:div w:id="1075518968">
      <w:bodyDiv w:val="1"/>
      <w:marLeft w:val="0"/>
      <w:marRight w:val="0"/>
      <w:marTop w:val="0"/>
      <w:marBottom w:val="0"/>
      <w:divBdr>
        <w:top w:val="none" w:sz="0" w:space="0" w:color="auto"/>
        <w:left w:val="none" w:sz="0" w:space="0" w:color="auto"/>
        <w:bottom w:val="none" w:sz="0" w:space="0" w:color="auto"/>
        <w:right w:val="none" w:sz="0" w:space="0" w:color="auto"/>
      </w:divBdr>
    </w:div>
    <w:div w:id="1075542599">
      <w:bodyDiv w:val="1"/>
      <w:marLeft w:val="0"/>
      <w:marRight w:val="0"/>
      <w:marTop w:val="0"/>
      <w:marBottom w:val="0"/>
      <w:divBdr>
        <w:top w:val="none" w:sz="0" w:space="0" w:color="auto"/>
        <w:left w:val="none" w:sz="0" w:space="0" w:color="auto"/>
        <w:bottom w:val="none" w:sz="0" w:space="0" w:color="auto"/>
        <w:right w:val="none" w:sz="0" w:space="0" w:color="auto"/>
      </w:divBdr>
    </w:div>
    <w:div w:id="1075591849">
      <w:bodyDiv w:val="1"/>
      <w:marLeft w:val="0"/>
      <w:marRight w:val="0"/>
      <w:marTop w:val="0"/>
      <w:marBottom w:val="0"/>
      <w:divBdr>
        <w:top w:val="none" w:sz="0" w:space="0" w:color="auto"/>
        <w:left w:val="none" w:sz="0" w:space="0" w:color="auto"/>
        <w:bottom w:val="none" w:sz="0" w:space="0" w:color="auto"/>
        <w:right w:val="none" w:sz="0" w:space="0" w:color="auto"/>
      </w:divBdr>
    </w:div>
    <w:div w:id="1075593428">
      <w:bodyDiv w:val="1"/>
      <w:marLeft w:val="0"/>
      <w:marRight w:val="0"/>
      <w:marTop w:val="0"/>
      <w:marBottom w:val="0"/>
      <w:divBdr>
        <w:top w:val="none" w:sz="0" w:space="0" w:color="auto"/>
        <w:left w:val="none" w:sz="0" w:space="0" w:color="auto"/>
        <w:bottom w:val="none" w:sz="0" w:space="0" w:color="auto"/>
        <w:right w:val="none" w:sz="0" w:space="0" w:color="auto"/>
      </w:divBdr>
    </w:div>
    <w:div w:id="1075784467">
      <w:bodyDiv w:val="1"/>
      <w:marLeft w:val="0"/>
      <w:marRight w:val="0"/>
      <w:marTop w:val="0"/>
      <w:marBottom w:val="0"/>
      <w:divBdr>
        <w:top w:val="none" w:sz="0" w:space="0" w:color="auto"/>
        <w:left w:val="none" w:sz="0" w:space="0" w:color="auto"/>
        <w:bottom w:val="none" w:sz="0" w:space="0" w:color="auto"/>
        <w:right w:val="none" w:sz="0" w:space="0" w:color="auto"/>
      </w:divBdr>
    </w:div>
    <w:div w:id="1075856238">
      <w:bodyDiv w:val="1"/>
      <w:marLeft w:val="0"/>
      <w:marRight w:val="0"/>
      <w:marTop w:val="0"/>
      <w:marBottom w:val="0"/>
      <w:divBdr>
        <w:top w:val="none" w:sz="0" w:space="0" w:color="auto"/>
        <w:left w:val="none" w:sz="0" w:space="0" w:color="auto"/>
        <w:bottom w:val="none" w:sz="0" w:space="0" w:color="auto"/>
        <w:right w:val="none" w:sz="0" w:space="0" w:color="auto"/>
      </w:divBdr>
    </w:div>
    <w:div w:id="1075931831">
      <w:bodyDiv w:val="1"/>
      <w:marLeft w:val="0"/>
      <w:marRight w:val="0"/>
      <w:marTop w:val="0"/>
      <w:marBottom w:val="0"/>
      <w:divBdr>
        <w:top w:val="none" w:sz="0" w:space="0" w:color="auto"/>
        <w:left w:val="none" w:sz="0" w:space="0" w:color="auto"/>
        <w:bottom w:val="none" w:sz="0" w:space="0" w:color="auto"/>
        <w:right w:val="none" w:sz="0" w:space="0" w:color="auto"/>
      </w:divBdr>
    </w:div>
    <w:div w:id="1075977548">
      <w:bodyDiv w:val="1"/>
      <w:marLeft w:val="0"/>
      <w:marRight w:val="0"/>
      <w:marTop w:val="0"/>
      <w:marBottom w:val="0"/>
      <w:divBdr>
        <w:top w:val="none" w:sz="0" w:space="0" w:color="auto"/>
        <w:left w:val="none" w:sz="0" w:space="0" w:color="auto"/>
        <w:bottom w:val="none" w:sz="0" w:space="0" w:color="auto"/>
        <w:right w:val="none" w:sz="0" w:space="0" w:color="auto"/>
      </w:divBdr>
    </w:div>
    <w:div w:id="1075978634">
      <w:bodyDiv w:val="1"/>
      <w:marLeft w:val="0"/>
      <w:marRight w:val="0"/>
      <w:marTop w:val="0"/>
      <w:marBottom w:val="0"/>
      <w:divBdr>
        <w:top w:val="none" w:sz="0" w:space="0" w:color="auto"/>
        <w:left w:val="none" w:sz="0" w:space="0" w:color="auto"/>
        <w:bottom w:val="none" w:sz="0" w:space="0" w:color="auto"/>
        <w:right w:val="none" w:sz="0" w:space="0" w:color="auto"/>
      </w:divBdr>
    </w:div>
    <w:div w:id="1076129173">
      <w:bodyDiv w:val="1"/>
      <w:marLeft w:val="0"/>
      <w:marRight w:val="0"/>
      <w:marTop w:val="0"/>
      <w:marBottom w:val="0"/>
      <w:divBdr>
        <w:top w:val="none" w:sz="0" w:space="0" w:color="auto"/>
        <w:left w:val="none" w:sz="0" w:space="0" w:color="auto"/>
        <w:bottom w:val="none" w:sz="0" w:space="0" w:color="auto"/>
        <w:right w:val="none" w:sz="0" w:space="0" w:color="auto"/>
      </w:divBdr>
    </w:div>
    <w:div w:id="1076169370">
      <w:bodyDiv w:val="1"/>
      <w:marLeft w:val="0"/>
      <w:marRight w:val="0"/>
      <w:marTop w:val="0"/>
      <w:marBottom w:val="0"/>
      <w:divBdr>
        <w:top w:val="none" w:sz="0" w:space="0" w:color="auto"/>
        <w:left w:val="none" w:sz="0" w:space="0" w:color="auto"/>
        <w:bottom w:val="none" w:sz="0" w:space="0" w:color="auto"/>
        <w:right w:val="none" w:sz="0" w:space="0" w:color="auto"/>
      </w:divBdr>
    </w:div>
    <w:div w:id="1076199289">
      <w:bodyDiv w:val="1"/>
      <w:marLeft w:val="0"/>
      <w:marRight w:val="0"/>
      <w:marTop w:val="0"/>
      <w:marBottom w:val="0"/>
      <w:divBdr>
        <w:top w:val="none" w:sz="0" w:space="0" w:color="auto"/>
        <w:left w:val="none" w:sz="0" w:space="0" w:color="auto"/>
        <w:bottom w:val="none" w:sz="0" w:space="0" w:color="auto"/>
        <w:right w:val="none" w:sz="0" w:space="0" w:color="auto"/>
      </w:divBdr>
    </w:div>
    <w:div w:id="1076247596">
      <w:bodyDiv w:val="1"/>
      <w:marLeft w:val="0"/>
      <w:marRight w:val="0"/>
      <w:marTop w:val="0"/>
      <w:marBottom w:val="0"/>
      <w:divBdr>
        <w:top w:val="none" w:sz="0" w:space="0" w:color="auto"/>
        <w:left w:val="none" w:sz="0" w:space="0" w:color="auto"/>
        <w:bottom w:val="none" w:sz="0" w:space="0" w:color="auto"/>
        <w:right w:val="none" w:sz="0" w:space="0" w:color="auto"/>
      </w:divBdr>
    </w:div>
    <w:div w:id="1076364228">
      <w:bodyDiv w:val="1"/>
      <w:marLeft w:val="0"/>
      <w:marRight w:val="0"/>
      <w:marTop w:val="0"/>
      <w:marBottom w:val="0"/>
      <w:divBdr>
        <w:top w:val="none" w:sz="0" w:space="0" w:color="auto"/>
        <w:left w:val="none" w:sz="0" w:space="0" w:color="auto"/>
        <w:bottom w:val="none" w:sz="0" w:space="0" w:color="auto"/>
        <w:right w:val="none" w:sz="0" w:space="0" w:color="auto"/>
      </w:divBdr>
    </w:div>
    <w:div w:id="1076518468">
      <w:bodyDiv w:val="1"/>
      <w:marLeft w:val="0"/>
      <w:marRight w:val="0"/>
      <w:marTop w:val="0"/>
      <w:marBottom w:val="0"/>
      <w:divBdr>
        <w:top w:val="none" w:sz="0" w:space="0" w:color="auto"/>
        <w:left w:val="none" w:sz="0" w:space="0" w:color="auto"/>
        <w:bottom w:val="none" w:sz="0" w:space="0" w:color="auto"/>
        <w:right w:val="none" w:sz="0" w:space="0" w:color="auto"/>
      </w:divBdr>
    </w:div>
    <w:div w:id="1076518536">
      <w:bodyDiv w:val="1"/>
      <w:marLeft w:val="0"/>
      <w:marRight w:val="0"/>
      <w:marTop w:val="0"/>
      <w:marBottom w:val="0"/>
      <w:divBdr>
        <w:top w:val="none" w:sz="0" w:space="0" w:color="auto"/>
        <w:left w:val="none" w:sz="0" w:space="0" w:color="auto"/>
        <w:bottom w:val="none" w:sz="0" w:space="0" w:color="auto"/>
        <w:right w:val="none" w:sz="0" w:space="0" w:color="auto"/>
      </w:divBdr>
    </w:div>
    <w:div w:id="1076588994">
      <w:bodyDiv w:val="1"/>
      <w:marLeft w:val="0"/>
      <w:marRight w:val="0"/>
      <w:marTop w:val="0"/>
      <w:marBottom w:val="0"/>
      <w:divBdr>
        <w:top w:val="none" w:sz="0" w:space="0" w:color="auto"/>
        <w:left w:val="none" w:sz="0" w:space="0" w:color="auto"/>
        <w:bottom w:val="none" w:sz="0" w:space="0" w:color="auto"/>
        <w:right w:val="none" w:sz="0" w:space="0" w:color="auto"/>
      </w:divBdr>
    </w:div>
    <w:div w:id="1076591146">
      <w:bodyDiv w:val="1"/>
      <w:marLeft w:val="0"/>
      <w:marRight w:val="0"/>
      <w:marTop w:val="0"/>
      <w:marBottom w:val="0"/>
      <w:divBdr>
        <w:top w:val="none" w:sz="0" w:space="0" w:color="auto"/>
        <w:left w:val="none" w:sz="0" w:space="0" w:color="auto"/>
        <w:bottom w:val="none" w:sz="0" w:space="0" w:color="auto"/>
        <w:right w:val="none" w:sz="0" w:space="0" w:color="auto"/>
      </w:divBdr>
    </w:div>
    <w:div w:id="1076705240">
      <w:bodyDiv w:val="1"/>
      <w:marLeft w:val="0"/>
      <w:marRight w:val="0"/>
      <w:marTop w:val="0"/>
      <w:marBottom w:val="0"/>
      <w:divBdr>
        <w:top w:val="none" w:sz="0" w:space="0" w:color="auto"/>
        <w:left w:val="none" w:sz="0" w:space="0" w:color="auto"/>
        <w:bottom w:val="none" w:sz="0" w:space="0" w:color="auto"/>
        <w:right w:val="none" w:sz="0" w:space="0" w:color="auto"/>
      </w:divBdr>
    </w:div>
    <w:div w:id="1076707626">
      <w:bodyDiv w:val="1"/>
      <w:marLeft w:val="0"/>
      <w:marRight w:val="0"/>
      <w:marTop w:val="0"/>
      <w:marBottom w:val="0"/>
      <w:divBdr>
        <w:top w:val="none" w:sz="0" w:space="0" w:color="auto"/>
        <w:left w:val="none" w:sz="0" w:space="0" w:color="auto"/>
        <w:bottom w:val="none" w:sz="0" w:space="0" w:color="auto"/>
        <w:right w:val="none" w:sz="0" w:space="0" w:color="auto"/>
      </w:divBdr>
    </w:div>
    <w:div w:id="1076708846">
      <w:bodyDiv w:val="1"/>
      <w:marLeft w:val="0"/>
      <w:marRight w:val="0"/>
      <w:marTop w:val="0"/>
      <w:marBottom w:val="0"/>
      <w:divBdr>
        <w:top w:val="none" w:sz="0" w:space="0" w:color="auto"/>
        <w:left w:val="none" w:sz="0" w:space="0" w:color="auto"/>
        <w:bottom w:val="none" w:sz="0" w:space="0" w:color="auto"/>
        <w:right w:val="none" w:sz="0" w:space="0" w:color="auto"/>
      </w:divBdr>
    </w:div>
    <w:div w:id="1076710699">
      <w:bodyDiv w:val="1"/>
      <w:marLeft w:val="0"/>
      <w:marRight w:val="0"/>
      <w:marTop w:val="0"/>
      <w:marBottom w:val="0"/>
      <w:divBdr>
        <w:top w:val="none" w:sz="0" w:space="0" w:color="auto"/>
        <w:left w:val="none" w:sz="0" w:space="0" w:color="auto"/>
        <w:bottom w:val="none" w:sz="0" w:space="0" w:color="auto"/>
        <w:right w:val="none" w:sz="0" w:space="0" w:color="auto"/>
      </w:divBdr>
    </w:div>
    <w:div w:id="1076828009">
      <w:bodyDiv w:val="1"/>
      <w:marLeft w:val="0"/>
      <w:marRight w:val="0"/>
      <w:marTop w:val="0"/>
      <w:marBottom w:val="0"/>
      <w:divBdr>
        <w:top w:val="none" w:sz="0" w:space="0" w:color="auto"/>
        <w:left w:val="none" w:sz="0" w:space="0" w:color="auto"/>
        <w:bottom w:val="none" w:sz="0" w:space="0" w:color="auto"/>
        <w:right w:val="none" w:sz="0" w:space="0" w:color="auto"/>
      </w:divBdr>
    </w:div>
    <w:div w:id="1076897150">
      <w:bodyDiv w:val="1"/>
      <w:marLeft w:val="0"/>
      <w:marRight w:val="0"/>
      <w:marTop w:val="0"/>
      <w:marBottom w:val="0"/>
      <w:divBdr>
        <w:top w:val="none" w:sz="0" w:space="0" w:color="auto"/>
        <w:left w:val="none" w:sz="0" w:space="0" w:color="auto"/>
        <w:bottom w:val="none" w:sz="0" w:space="0" w:color="auto"/>
        <w:right w:val="none" w:sz="0" w:space="0" w:color="auto"/>
      </w:divBdr>
    </w:div>
    <w:div w:id="1076978826">
      <w:bodyDiv w:val="1"/>
      <w:marLeft w:val="0"/>
      <w:marRight w:val="0"/>
      <w:marTop w:val="0"/>
      <w:marBottom w:val="0"/>
      <w:divBdr>
        <w:top w:val="none" w:sz="0" w:space="0" w:color="auto"/>
        <w:left w:val="none" w:sz="0" w:space="0" w:color="auto"/>
        <w:bottom w:val="none" w:sz="0" w:space="0" w:color="auto"/>
        <w:right w:val="none" w:sz="0" w:space="0" w:color="auto"/>
      </w:divBdr>
    </w:div>
    <w:div w:id="1077046983">
      <w:bodyDiv w:val="1"/>
      <w:marLeft w:val="0"/>
      <w:marRight w:val="0"/>
      <w:marTop w:val="0"/>
      <w:marBottom w:val="0"/>
      <w:divBdr>
        <w:top w:val="none" w:sz="0" w:space="0" w:color="auto"/>
        <w:left w:val="none" w:sz="0" w:space="0" w:color="auto"/>
        <w:bottom w:val="none" w:sz="0" w:space="0" w:color="auto"/>
        <w:right w:val="none" w:sz="0" w:space="0" w:color="auto"/>
      </w:divBdr>
    </w:div>
    <w:div w:id="1077095085">
      <w:bodyDiv w:val="1"/>
      <w:marLeft w:val="0"/>
      <w:marRight w:val="0"/>
      <w:marTop w:val="0"/>
      <w:marBottom w:val="0"/>
      <w:divBdr>
        <w:top w:val="none" w:sz="0" w:space="0" w:color="auto"/>
        <w:left w:val="none" w:sz="0" w:space="0" w:color="auto"/>
        <w:bottom w:val="none" w:sz="0" w:space="0" w:color="auto"/>
        <w:right w:val="none" w:sz="0" w:space="0" w:color="auto"/>
      </w:divBdr>
    </w:div>
    <w:div w:id="1077245239">
      <w:bodyDiv w:val="1"/>
      <w:marLeft w:val="0"/>
      <w:marRight w:val="0"/>
      <w:marTop w:val="0"/>
      <w:marBottom w:val="0"/>
      <w:divBdr>
        <w:top w:val="none" w:sz="0" w:space="0" w:color="auto"/>
        <w:left w:val="none" w:sz="0" w:space="0" w:color="auto"/>
        <w:bottom w:val="none" w:sz="0" w:space="0" w:color="auto"/>
        <w:right w:val="none" w:sz="0" w:space="0" w:color="auto"/>
      </w:divBdr>
    </w:div>
    <w:div w:id="1077284918">
      <w:bodyDiv w:val="1"/>
      <w:marLeft w:val="0"/>
      <w:marRight w:val="0"/>
      <w:marTop w:val="0"/>
      <w:marBottom w:val="0"/>
      <w:divBdr>
        <w:top w:val="none" w:sz="0" w:space="0" w:color="auto"/>
        <w:left w:val="none" w:sz="0" w:space="0" w:color="auto"/>
        <w:bottom w:val="none" w:sz="0" w:space="0" w:color="auto"/>
        <w:right w:val="none" w:sz="0" w:space="0" w:color="auto"/>
      </w:divBdr>
    </w:div>
    <w:div w:id="1077286993">
      <w:bodyDiv w:val="1"/>
      <w:marLeft w:val="0"/>
      <w:marRight w:val="0"/>
      <w:marTop w:val="0"/>
      <w:marBottom w:val="0"/>
      <w:divBdr>
        <w:top w:val="none" w:sz="0" w:space="0" w:color="auto"/>
        <w:left w:val="none" w:sz="0" w:space="0" w:color="auto"/>
        <w:bottom w:val="none" w:sz="0" w:space="0" w:color="auto"/>
        <w:right w:val="none" w:sz="0" w:space="0" w:color="auto"/>
      </w:divBdr>
    </w:div>
    <w:div w:id="1077288964">
      <w:bodyDiv w:val="1"/>
      <w:marLeft w:val="0"/>
      <w:marRight w:val="0"/>
      <w:marTop w:val="0"/>
      <w:marBottom w:val="0"/>
      <w:divBdr>
        <w:top w:val="none" w:sz="0" w:space="0" w:color="auto"/>
        <w:left w:val="none" w:sz="0" w:space="0" w:color="auto"/>
        <w:bottom w:val="none" w:sz="0" w:space="0" w:color="auto"/>
        <w:right w:val="none" w:sz="0" w:space="0" w:color="auto"/>
      </w:divBdr>
    </w:div>
    <w:div w:id="1077358757">
      <w:bodyDiv w:val="1"/>
      <w:marLeft w:val="0"/>
      <w:marRight w:val="0"/>
      <w:marTop w:val="0"/>
      <w:marBottom w:val="0"/>
      <w:divBdr>
        <w:top w:val="none" w:sz="0" w:space="0" w:color="auto"/>
        <w:left w:val="none" w:sz="0" w:space="0" w:color="auto"/>
        <w:bottom w:val="none" w:sz="0" w:space="0" w:color="auto"/>
        <w:right w:val="none" w:sz="0" w:space="0" w:color="auto"/>
      </w:divBdr>
    </w:div>
    <w:div w:id="1077440388">
      <w:bodyDiv w:val="1"/>
      <w:marLeft w:val="0"/>
      <w:marRight w:val="0"/>
      <w:marTop w:val="0"/>
      <w:marBottom w:val="0"/>
      <w:divBdr>
        <w:top w:val="none" w:sz="0" w:space="0" w:color="auto"/>
        <w:left w:val="none" w:sz="0" w:space="0" w:color="auto"/>
        <w:bottom w:val="none" w:sz="0" w:space="0" w:color="auto"/>
        <w:right w:val="none" w:sz="0" w:space="0" w:color="auto"/>
      </w:divBdr>
    </w:div>
    <w:div w:id="1077441718">
      <w:bodyDiv w:val="1"/>
      <w:marLeft w:val="0"/>
      <w:marRight w:val="0"/>
      <w:marTop w:val="0"/>
      <w:marBottom w:val="0"/>
      <w:divBdr>
        <w:top w:val="none" w:sz="0" w:space="0" w:color="auto"/>
        <w:left w:val="none" w:sz="0" w:space="0" w:color="auto"/>
        <w:bottom w:val="none" w:sz="0" w:space="0" w:color="auto"/>
        <w:right w:val="none" w:sz="0" w:space="0" w:color="auto"/>
      </w:divBdr>
    </w:div>
    <w:div w:id="1077635394">
      <w:bodyDiv w:val="1"/>
      <w:marLeft w:val="0"/>
      <w:marRight w:val="0"/>
      <w:marTop w:val="0"/>
      <w:marBottom w:val="0"/>
      <w:divBdr>
        <w:top w:val="none" w:sz="0" w:space="0" w:color="auto"/>
        <w:left w:val="none" w:sz="0" w:space="0" w:color="auto"/>
        <w:bottom w:val="none" w:sz="0" w:space="0" w:color="auto"/>
        <w:right w:val="none" w:sz="0" w:space="0" w:color="auto"/>
      </w:divBdr>
    </w:div>
    <w:div w:id="1077901205">
      <w:bodyDiv w:val="1"/>
      <w:marLeft w:val="0"/>
      <w:marRight w:val="0"/>
      <w:marTop w:val="0"/>
      <w:marBottom w:val="0"/>
      <w:divBdr>
        <w:top w:val="none" w:sz="0" w:space="0" w:color="auto"/>
        <w:left w:val="none" w:sz="0" w:space="0" w:color="auto"/>
        <w:bottom w:val="none" w:sz="0" w:space="0" w:color="auto"/>
        <w:right w:val="none" w:sz="0" w:space="0" w:color="auto"/>
      </w:divBdr>
    </w:div>
    <w:div w:id="1078017336">
      <w:bodyDiv w:val="1"/>
      <w:marLeft w:val="0"/>
      <w:marRight w:val="0"/>
      <w:marTop w:val="0"/>
      <w:marBottom w:val="0"/>
      <w:divBdr>
        <w:top w:val="none" w:sz="0" w:space="0" w:color="auto"/>
        <w:left w:val="none" w:sz="0" w:space="0" w:color="auto"/>
        <w:bottom w:val="none" w:sz="0" w:space="0" w:color="auto"/>
        <w:right w:val="none" w:sz="0" w:space="0" w:color="auto"/>
      </w:divBdr>
    </w:div>
    <w:div w:id="1078020706">
      <w:bodyDiv w:val="1"/>
      <w:marLeft w:val="0"/>
      <w:marRight w:val="0"/>
      <w:marTop w:val="0"/>
      <w:marBottom w:val="0"/>
      <w:divBdr>
        <w:top w:val="none" w:sz="0" w:space="0" w:color="auto"/>
        <w:left w:val="none" w:sz="0" w:space="0" w:color="auto"/>
        <w:bottom w:val="none" w:sz="0" w:space="0" w:color="auto"/>
        <w:right w:val="none" w:sz="0" w:space="0" w:color="auto"/>
      </w:divBdr>
    </w:div>
    <w:div w:id="1078022183">
      <w:bodyDiv w:val="1"/>
      <w:marLeft w:val="0"/>
      <w:marRight w:val="0"/>
      <w:marTop w:val="0"/>
      <w:marBottom w:val="0"/>
      <w:divBdr>
        <w:top w:val="none" w:sz="0" w:space="0" w:color="auto"/>
        <w:left w:val="none" w:sz="0" w:space="0" w:color="auto"/>
        <w:bottom w:val="none" w:sz="0" w:space="0" w:color="auto"/>
        <w:right w:val="none" w:sz="0" w:space="0" w:color="auto"/>
      </w:divBdr>
    </w:div>
    <w:div w:id="1078093674">
      <w:bodyDiv w:val="1"/>
      <w:marLeft w:val="0"/>
      <w:marRight w:val="0"/>
      <w:marTop w:val="0"/>
      <w:marBottom w:val="0"/>
      <w:divBdr>
        <w:top w:val="none" w:sz="0" w:space="0" w:color="auto"/>
        <w:left w:val="none" w:sz="0" w:space="0" w:color="auto"/>
        <w:bottom w:val="none" w:sz="0" w:space="0" w:color="auto"/>
        <w:right w:val="none" w:sz="0" w:space="0" w:color="auto"/>
      </w:divBdr>
    </w:div>
    <w:div w:id="1078135095">
      <w:bodyDiv w:val="1"/>
      <w:marLeft w:val="0"/>
      <w:marRight w:val="0"/>
      <w:marTop w:val="0"/>
      <w:marBottom w:val="0"/>
      <w:divBdr>
        <w:top w:val="none" w:sz="0" w:space="0" w:color="auto"/>
        <w:left w:val="none" w:sz="0" w:space="0" w:color="auto"/>
        <w:bottom w:val="none" w:sz="0" w:space="0" w:color="auto"/>
        <w:right w:val="none" w:sz="0" w:space="0" w:color="auto"/>
      </w:divBdr>
    </w:div>
    <w:div w:id="1078208848">
      <w:bodyDiv w:val="1"/>
      <w:marLeft w:val="0"/>
      <w:marRight w:val="0"/>
      <w:marTop w:val="0"/>
      <w:marBottom w:val="0"/>
      <w:divBdr>
        <w:top w:val="none" w:sz="0" w:space="0" w:color="auto"/>
        <w:left w:val="none" w:sz="0" w:space="0" w:color="auto"/>
        <w:bottom w:val="none" w:sz="0" w:space="0" w:color="auto"/>
        <w:right w:val="none" w:sz="0" w:space="0" w:color="auto"/>
      </w:divBdr>
    </w:div>
    <w:div w:id="1078212534">
      <w:bodyDiv w:val="1"/>
      <w:marLeft w:val="0"/>
      <w:marRight w:val="0"/>
      <w:marTop w:val="0"/>
      <w:marBottom w:val="0"/>
      <w:divBdr>
        <w:top w:val="none" w:sz="0" w:space="0" w:color="auto"/>
        <w:left w:val="none" w:sz="0" w:space="0" w:color="auto"/>
        <w:bottom w:val="none" w:sz="0" w:space="0" w:color="auto"/>
        <w:right w:val="none" w:sz="0" w:space="0" w:color="auto"/>
      </w:divBdr>
    </w:div>
    <w:div w:id="1078212769">
      <w:bodyDiv w:val="1"/>
      <w:marLeft w:val="0"/>
      <w:marRight w:val="0"/>
      <w:marTop w:val="0"/>
      <w:marBottom w:val="0"/>
      <w:divBdr>
        <w:top w:val="none" w:sz="0" w:space="0" w:color="auto"/>
        <w:left w:val="none" w:sz="0" w:space="0" w:color="auto"/>
        <w:bottom w:val="none" w:sz="0" w:space="0" w:color="auto"/>
        <w:right w:val="none" w:sz="0" w:space="0" w:color="auto"/>
      </w:divBdr>
    </w:div>
    <w:div w:id="1078291308">
      <w:bodyDiv w:val="1"/>
      <w:marLeft w:val="0"/>
      <w:marRight w:val="0"/>
      <w:marTop w:val="0"/>
      <w:marBottom w:val="0"/>
      <w:divBdr>
        <w:top w:val="none" w:sz="0" w:space="0" w:color="auto"/>
        <w:left w:val="none" w:sz="0" w:space="0" w:color="auto"/>
        <w:bottom w:val="none" w:sz="0" w:space="0" w:color="auto"/>
        <w:right w:val="none" w:sz="0" w:space="0" w:color="auto"/>
      </w:divBdr>
    </w:div>
    <w:div w:id="1078361094">
      <w:bodyDiv w:val="1"/>
      <w:marLeft w:val="0"/>
      <w:marRight w:val="0"/>
      <w:marTop w:val="0"/>
      <w:marBottom w:val="0"/>
      <w:divBdr>
        <w:top w:val="none" w:sz="0" w:space="0" w:color="auto"/>
        <w:left w:val="none" w:sz="0" w:space="0" w:color="auto"/>
        <w:bottom w:val="none" w:sz="0" w:space="0" w:color="auto"/>
        <w:right w:val="none" w:sz="0" w:space="0" w:color="auto"/>
      </w:divBdr>
    </w:div>
    <w:div w:id="1078400310">
      <w:bodyDiv w:val="1"/>
      <w:marLeft w:val="0"/>
      <w:marRight w:val="0"/>
      <w:marTop w:val="0"/>
      <w:marBottom w:val="0"/>
      <w:divBdr>
        <w:top w:val="none" w:sz="0" w:space="0" w:color="auto"/>
        <w:left w:val="none" w:sz="0" w:space="0" w:color="auto"/>
        <w:bottom w:val="none" w:sz="0" w:space="0" w:color="auto"/>
        <w:right w:val="none" w:sz="0" w:space="0" w:color="auto"/>
      </w:divBdr>
    </w:div>
    <w:div w:id="1078554751">
      <w:bodyDiv w:val="1"/>
      <w:marLeft w:val="0"/>
      <w:marRight w:val="0"/>
      <w:marTop w:val="0"/>
      <w:marBottom w:val="0"/>
      <w:divBdr>
        <w:top w:val="none" w:sz="0" w:space="0" w:color="auto"/>
        <w:left w:val="none" w:sz="0" w:space="0" w:color="auto"/>
        <w:bottom w:val="none" w:sz="0" w:space="0" w:color="auto"/>
        <w:right w:val="none" w:sz="0" w:space="0" w:color="auto"/>
      </w:divBdr>
    </w:div>
    <w:div w:id="1078556908">
      <w:bodyDiv w:val="1"/>
      <w:marLeft w:val="0"/>
      <w:marRight w:val="0"/>
      <w:marTop w:val="0"/>
      <w:marBottom w:val="0"/>
      <w:divBdr>
        <w:top w:val="none" w:sz="0" w:space="0" w:color="auto"/>
        <w:left w:val="none" w:sz="0" w:space="0" w:color="auto"/>
        <w:bottom w:val="none" w:sz="0" w:space="0" w:color="auto"/>
        <w:right w:val="none" w:sz="0" w:space="0" w:color="auto"/>
      </w:divBdr>
    </w:div>
    <w:div w:id="1078862872">
      <w:bodyDiv w:val="1"/>
      <w:marLeft w:val="0"/>
      <w:marRight w:val="0"/>
      <w:marTop w:val="0"/>
      <w:marBottom w:val="0"/>
      <w:divBdr>
        <w:top w:val="none" w:sz="0" w:space="0" w:color="auto"/>
        <w:left w:val="none" w:sz="0" w:space="0" w:color="auto"/>
        <w:bottom w:val="none" w:sz="0" w:space="0" w:color="auto"/>
        <w:right w:val="none" w:sz="0" w:space="0" w:color="auto"/>
      </w:divBdr>
    </w:div>
    <w:div w:id="1078870232">
      <w:bodyDiv w:val="1"/>
      <w:marLeft w:val="0"/>
      <w:marRight w:val="0"/>
      <w:marTop w:val="0"/>
      <w:marBottom w:val="0"/>
      <w:divBdr>
        <w:top w:val="none" w:sz="0" w:space="0" w:color="auto"/>
        <w:left w:val="none" w:sz="0" w:space="0" w:color="auto"/>
        <w:bottom w:val="none" w:sz="0" w:space="0" w:color="auto"/>
        <w:right w:val="none" w:sz="0" w:space="0" w:color="auto"/>
      </w:divBdr>
    </w:div>
    <w:div w:id="1078938482">
      <w:bodyDiv w:val="1"/>
      <w:marLeft w:val="0"/>
      <w:marRight w:val="0"/>
      <w:marTop w:val="0"/>
      <w:marBottom w:val="0"/>
      <w:divBdr>
        <w:top w:val="none" w:sz="0" w:space="0" w:color="auto"/>
        <w:left w:val="none" w:sz="0" w:space="0" w:color="auto"/>
        <w:bottom w:val="none" w:sz="0" w:space="0" w:color="auto"/>
        <w:right w:val="none" w:sz="0" w:space="0" w:color="auto"/>
      </w:divBdr>
    </w:div>
    <w:div w:id="1078945178">
      <w:bodyDiv w:val="1"/>
      <w:marLeft w:val="0"/>
      <w:marRight w:val="0"/>
      <w:marTop w:val="0"/>
      <w:marBottom w:val="0"/>
      <w:divBdr>
        <w:top w:val="none" w:sz="0" w:space="0" w:color="auto"/>
        <w:left w:val="none" w:sz="0" w:space="0" w:color="auto"/>
        <w:bottom w:val="none" w:sz="0" w:space="0" w:color="auto"/>
        <w:right w:val="none" w:sz="0" w:space="0" w:color="auto"/>
      </w:divBdr>
    </w:div>
    <w:div w:id="1079059214">
      <w:bodyDiv w:val="1"/>
      <w:marLeft w:val="0"/>
      <w:marRight w:val="0"/>
      <w:marTop w:val="0"/>
      <w:marBottom w:val="0"/>
      <w:divBdr>
        <w:top w:val="none" w:sz="0" w:space="0" w:color="auto"/>
        <w:left w:val="none" w:sz="0" w:space="0" w:color="auto"/>
        <w:bottom w:val="none" w:sz="0" w:space="0" w:color="auto"/>
        <w:right w:val="none" w:sz="0" w:space="0" w:color="auto"/>
      </w:divBdr>
    </w:div>
    <w:div w:id="1079131303">
      <w:bodyDiv w:val="1"/>
      <w:marLeft w:val="0"/>
      <w:marRight w:val="0"/>
      <w:marTop w:val="0"/>
      <w:marBottom w:val="0"/>
      <w:divBdr>
        <w:top w:val="none" w:sz="0" w:space="0" w:color="auto"/>
        <w:left w:val="none" w:sz="0" w:space="0" w:color="auto"/>
        <w:bottom w:val="none" w:sz="0" w:space="0" w:color="auto"/>
        <w:right w:val="none" w:sz="0" w:space="0" w:color="auto"/>
      </w:divBdr>
    </w:div>
    <w:div w:id="1079255395">
      <w:bodyDiv w:val="1"/>
      <w:marLeft w:val="0"/>
      <w:marRight w:val="0"/>
      <w:marTop w:val="0"/>
      <w:marBottom w:val="0"/>
      <w:divBdr>
        <w:top w:val="none" w:sz="0" w:space="0" w:color="auto"/>
        <w:left w:val="none" w:sz="0" w:space="0" w:color="auto"/>
        <w:bottom w:val="none" w:sz="0" w:space="0" w:color="auto"/>
        <w:right w:val="none" w:sz="0" w:space="0" w:color="auto"/>
      </w:divBdr>
    </w:div>
    <w:div w:id="1079323807">
      <w:bodyDiv w:val="1"/>
      <w:marLeft w:val="0"/>
      <w:marRight w:val="0"/>
      <w:marTop w:val="0"/>
      <w:marBottom w:val="0"/>
      <w:divBdr>
        <w:top w:val="none" w:sz="0" w:space="0" w:color="auto"/>
        <w:left w:val="none" w:sz="0" w:space="0" w:color="auto"/>
        <w:bottom w:val="none" w:sz="0" w:space="0" w:color="auto"/>
        <w:right w:val="none" w:sz="0" w:space="0" w:color="auto"/>
      </w:divBdr>
    </w:div>
    <w:div w:id="1079326286">
      <w:bodyDiv w:val="1"/>
      <w:marLeft w:val="0"/>
      <w:marRight w:val="0"/>
      <w:marTop w:val="0"/>
      <w:marBottom w:val="0"/>
      <w:divBdr>
        <w:top w:val="none" w:sz="0" w:space="0" w:color="auto"/>
        <w:left w:val="none" w:sz="0" w:space="0" w:color="auto"/>
        <w:bottom w:val="none" w:sz="0" w:space="0" w:color="auto"/>
        <w:right w:val="none" w:sz="0" w:space="0" w:color="auto"/>
      </w:divBdr>
    </w:div>
    <w:div w:id="1079329234">
      <w:bodyDiv w:val="1"/>
      <w:marLeft w:val="0"/>
      <w:marRight w:val="0"/>
      <w:marTop w:val="0"/>
      <w:marBottom w:val="0"/>
      <w:divBdr>
        <w:top w:val="none" w:sz="0" w:space="0" w:color="auto"/>
        <w:left w:val="none" w:sz="0" w:space="0" w:color="auto"/>
        <w:bottom w:val="none" w:sz="0" w:space="0" w:color="auto"/>
        <w:right w:val="none" w:sz="0" w:space="0" w:color="auto"/>
      </w:divBdr>
    </w:div>
    <w:div w:id="1079329706">
      <w:bodyDiv w:val="1"/>
      <w:marLeft w:val="0"/>
      <w:marRight w:val="0"/>
      <w:marTop w:val="0"/>
      <w:marBottom w:val="0"/>
      <w:divBdr>
        <w:top w:val="none" w:sz="0" w:space="0" w:color="auto"/>
        <w:left w:val="none" w:sz="0" w:space="0" w:color="auto"/>
        <w:bottom w:val="none" w:sz="0" w:space="0" w:color="auto"/>
        <w:right w:val="none" w:sz="0" w:space="0" w:color="auto"/>
      </w:divBdr>
    </w:div>
    <w:div w:id="1079402508">
      <w:bodyDiv w:val="1"/>
      <w:marLeft w:val="0"/>
      <w:marRight w:val="0"/>
      <w:marTop w:val="0"/>
      <w:marBottom w:val="0"/>
      <w:divBdr>
        <w:top w:val="none" w:sz="0" w:space="0" w:color="auto"/>
        <w:left w:val="none" w:sz="0" w:space="0" w:color="auto"/>
        <w:bottom w:val="none" w:sz="0" w:space="0" w:color="auto"/>
        <w:right w:val="none" w:sz="0" w:space="0" w:color="auto"/>
      </w:divBdr>
    </w:div>
    <w:div w:id="1079519383">
      <w:bodyDiv w:val="1"/>
      <w:marLeft w:val="0"/>
      <w:marRight w:val="0"/>
      <w:marTop w:val="0"/>
      <w:marBottom w:val="0"/>
      <w:divBdr>
        <w:top w:val="none" w:sz="0" w:space="0" w:color="auto"/>
        <w:left w:val="none" w:sz="0" w:space="0" w:color="auto"/>
        <w:bottom w:val="none" w:sz="0" w:space="0" w:color="auto"/>
        <w:right w:val="none" w:sz="0" w:space="0" w:color="auto"/>
      </w:divBdr>
    </w:div>
    <w:div w:id="1079519870">
      <w:bodyDiv w:val="1"/>
      <w:marLeft w:val="0"/>
      <w:marRight w:val="0"/>
      <w:marTop w:val="0"/>
      <w:marBottom w:val="0"/>
      <w:divBdr>
        <w:top w:val="none" w:sz="0" w:space="0" w:color="auto"/>
        <w:left w:val="none" w:sz="0" w:space="0" w:color="auto"/>
        <w:bottom w:val="none" w:sz="0" w:space="0" w:color="auto"/>
        <w:right w:val="none" w:sz="0" w:space="0" w:color="auto"/>
      </w:divBdr>
    </w:div>
    <w:div w:id="1079600849">
      <w:bodyDiv w:val="1"/>
      <w:marLeft w:val="0"/>
      <w:marRight w:val="0"/>
      <w:marTop w:val="0"/>
      <w:marBottom w:val="0"/>
      <w:divBdr>
        <w:top w:val="none" w:sz="0" w:space="0" w:color="auto"/>
        <w:left w:val="none" w:sz="0" w:space="0" w:color="auto"/>
        <w:bottom w:val="none" w:sz="0" w:space="0" w:color="auto"/>
        <w:right w:val="none" w:sz="0" w:space="0" w:color="auto"/>
      </w:divBdr>
    </w:div>
    <w:div w:id="1079717618">
      <w:bodyDiv w:val="1"/>
      <w:marLeft w:val="0"/>
      <w:marRight w:val="0"/>
      <w:marTop w:val="0"/>
      <w:marBottom w:val="0"/>
      <w:divBdr>
        <w:top w:val="none" w:sz="0" w:space="0" w:color="auto"/>
        <w:left w:val="none" w:sz="0" w:space="0" w:color="auto"/>
        <w:bottom w:val="none" w:sz="0" w:space="0" w:color="auto"/>
        <w:right w:val="none" w:sz="0" w:space="0" w:color="auto"/>
      </w:divBdr>
    </w:div>
    <w:div w:id="1080058895">
      <w:bodyDiv w:val="1"/>
      <w:marLeft w:val="0"/>
      <w:marRight w:val="0"/>
      <w:marTop w:val="0"/>
      <w:marBottom w:val="0"/>
      <w:divBdr>
        <w:top w:val="none" w:sz="0" w:space="0" w:color="auto"/>
        <w:left w:val="none" w:sz="0" w:space="0" w:color="auto"/>
        <w:bottom w:val="none" w:sz="0" w:space="0" w:color="auto"/>
        <w:right w:val="none" w:sz="0" w:space="0" w:color="auto"/>
      </w:divBdr>
    </w:div>
    <w:div w:id="1080131402">
      <w:bodyDiv w:val="1"/>
      <w:marLeft w:val="0"/>
      <w:marRight w:val="0"/>
      <w:marTop w:val="0"/>
      <w:marBottom w:val="0"/>
      <w:divBdr>
        <w:top w:val="none" w:sz="0" w:space="0" w:color="auto"/>
        <w:left w:val="none" w:sz="0" w:space="0" w:color="auto"/>
        <w:bottom w:val="none" w:sz="0" w:space="0" w:color="auto"/>
        <w:right w:val="none" w:sz="0" w:space="0" w:color="auto"/>
      </w:divBdr>
    </w:div>
    <w:div w:id="1080175050">
      <w:bodyDiv w:val="1"/>
      <w:marLeft w:val="0"/>
      <w:marRight w:val="0"/>
      <w:marTop w:val="0"/>
      <w:marBottom w:val="0"/>
      <w:divBdr>
        <w:top w:val="none" w:sz="0" w:space="0" w:color="auto"/>
        <w:left w:val="none" w:sz="0" w:space="0" w:color="auto"/>
        <w:bottom w:val="none" w:sz="0" w:space="0" w:color="auto"/>
        <w:right w:val="none" w:sz="0" w:space="0" w:color="auto"/>
      </w:divBdr>
    </w:div>
    <w:div w:id="1080178646">
      <w:bodyDiv w:val="1"/>
      <w:marLeft w:val="0"/>
      <w:marRight w:val="0"/>
      <w:marTop w:val="0"/>
      <w:marBottom w:val="0"/>
      <w:divBdr>
        <w:top w:val="none" w:sz="0" w:space="0" w:color="auto"/>
        <w:left w:val="none" w:sz="0" w:space="0" w:color="auto"/>
        <w:bottom w:val="none" w:sz="0" w:space="0" w:color="auto"/>
        <w:right w:val="none" w:sz="0" w:space="0" w:color="auto"/>
      </w:divBdr>
    </w:div>
    <w:div w:id="1080179978">
      <w:bodyDiv w:val="1"/>
      <w:marLeft w:val="0"/>
      <w:marRight w:val="0"/>
      <w:marTop w:val="0"/>
      <w:marBottom w:val="0"/>
      <w:divBdr>
        <w:top w:val="none" w:sz="0" w:space="0" w:color="auto"/>
        <w:left w:val="none" w:sz="0" w:space="0" w:color="auto"/>
        <w:bottom w:val="none" w:sz="0" w:space="0" w:color="auto"/>
        <w:right w:val="none" w:sz="0" w:space="0" w:color="auto"/>
      </w:divBdr>
    </w:div>
    <w:div w:id="1080296220">
      <w:bodyDiv w:val="1"/>
      <w:marLeft w:val="0"/>
      <w:marRight w:val="0"/>
      <w:marTop w:val="0"/>
      <w:marBottom w:val="0"/>
      <w:divBdr>
        <w:top w:val="none" w:sz="0" w:space="0" w:color="auto"/>
        <w:left w:val="none" w:sz="0" w:space="0" w:color="auto"/>
        <w:bottom w:val="none" w:sz="0" w:space="0" w:color="auto"/>
        <w:right w:val="none" w:sz="0" w:space="0" w:color="auto"/>
      </w:divBdr>
    </w:div>
    <w:div w:id="1080299041">
      <w:bodyDiv w:val="1"/>
      <w:marLeft w:val="0"/>
      <w:marRight w:val="0"/>
      <w:marTop w:val="0"/>
      <w:marBottom w:val="0"/>
      <w:divBdr>
        <w:top w:val="none" w:sz="0" w:space="0" w:color="auto"/>
        <w:left w:val="none" w:sz="0" w:space="0" w:color="auto"/>
        <w:bottom w:val="none" w:sz="0" w:space="0" w:color="auto"/>
        <w:right w:val="none" w:sz="0" w:space="0" w:color="auto"/>
      </w:divBdr>
    </w:div>
    <w:div w:id="1080326497">
      <w:bodyDiv w:val="1"/>
      <w:marLeft w:val="0"/>
      <w:marRight w:val="0"/>
      <w:marTop w:val="0"/>
      <w:marBottom w:val="0"/>
      <w:divBdr>
        <w:top w:val="none" w:sz="0" w:space="0" w:color="auto"/>
        <w:left w:val="none" w:sz="0" w:space="0" w:color="auto"/>
        <w:bottom w:val="none" w:sz="0" w:space="0" w:color="auto"/>
        <w:right w:val="none" w:sz="0" w:space="0" w:color="auto"/>
      </w:divBdr>
    </w:div>
    <w:div w:id="1080374147">
      <w:bodyDiv w:val="1"/>
      <w:marLeft w:val="0"/>
      <w:marRight w:val="0"/>
      <w:marTop w:val="0"/>
      <w:marBottom w:val="0"/>
      <w:divBdr>
        <w:top w:val="none" w:sz="0" w:space="0" w:color="auto"/>
        <w:left w:val="none" w:sz="0" w:space="0" w:color="auto"/>
        <w:bottom w:val="none" w:sz="0" w:space="0" w:color="auto"/>
        <w:right w:val="none" w:sz="0" w:space="0" w:color="auto"/>
      </w:divBdr>
    </w:div>
    <w:div w:id="1080443368">
      <w:bodyDiv w:val="1"/>
      <w:marLeft w:val="0"/>
      <w:marRight w:val="0"/>
      <w:marTop w:val="0"/>
      <w:marBottom w:val="0"/>
      <w:divBdr>
        <w:top w:val="none" w:sz="0" w:space="0" w:color="auto"/>
        <w:left w:val="none" w:sz="0" w:space="0" w:color="auto"/>
        <w:bottom w:val="none" w:sz="0" w:space="0" w:color="auto"/>
        <w:right w:val="none" w:sz="0" w:space="0" w:color="auto"/>
      </w:divBdr>
    </w:div>
    <w:div w:id="1080449277">
      <w:bodyDiv w:val="1"/>
      <w:marLeft w:val="0"/>
      <w:marRight w:val="0"/>
      <w:marTop w:val="0"/>
      <w:marBottom w:val="0"/>
      <w:divBdr>
        <w:top w:val="none" w:sz="0" w:space="0" w:color="auto"/>
        <w:left w:val="none" w:sz="0" w:space="0" w:color="auto"/>
        <w:bottom w:val="none" w:sz="0" w:space="0" w:color="auto"/>
        <w:right w:val="none" w:sz="0" w:space="0" w:color="auto"/>
      </w:divBdr>
    </w:div>
    <w:div w:id="1080516600">
      <w:bodyDiv w:val="1"/>
      <w:marLeft w:val="0"/>
      <w:marRight w:val="0"/>
      <w:marTop w:val="0"/>
      <w:marBottom w:val="0"/>
      <w:divBdr>
        <w:top w:val="none" w:sz="0" w:space="0" w:color="auto"/>
        <w:left w:val="none" w:sz="0" w:space="0" w:color="auto"/>
        <w:bottom w:val="none" w:sz="0" w:space="0" w:color="auto"/>
        <w:right w:val="none" w:sz="0" w:space="0" w:color="auto"/>
      </w:divBdr>
    </w:div>
    <w:div w:id="1080517660">
      <w:bodyDiv w:val="1"/>
      <w:marLeft w:val="0"/>
      <w:marRight w:val="0"/>
      <w:marTop w:val="0"/>
      <w:marBottom w:val="0"/>
      <w:divBdr>
        <w:top w:val="none" w:sz="0" w:space="0" w:color="auto"/>
        <w:left w:val="none" w:sz="0" w:space="0" w:color="auto"/>
        <w:bottom w:val="none" w:sz="0" w:space="0" w:color="auto"/>
        <w:right w:val="none" w:sz="0" w:space="0" w:color="auto"/>
      </w:divBdr>
    </w:div>
    <w:div w:id="1080715131">
      <w:bodyDiv w:val="1"/>
      <w:marLeft w:val="0"/>
      <w:marRight w:val="0"/>
      <w:marTop w:val="0"/>
      <w:marBottom w:val="0"/>
      <w:divBdr>
        <w:top w:val="none" w:sz="0" w:space="0" w:color="auto"/>
        <w:left w:val="none" w:sz="0" w:space="0" w:color="auto"/>
        <w:bottom w:val="none" w:sz="0" w:space="0" w:color="auto"/>
        <w:right w:val="none" w:sz="0" w:space="0" w:color="auto"/>
      </w:divBdr>
    </w:div>
    <w:div w:id="1080716400">
      <w:bodyDiv w:val="1"/>
      <w:marLeft w:val="0"/>
      <w:marRight w:val="0"/>
      <w:marTop w:val="0"/>
      <w:marBottom w:val="0"/>
      <w:divBdr>
        <w:top w:val="none" w:sz="0" w:space="0" w:color="auto"/>
        <w:left w:val="none" w:sz="0" w:space="0" w:color="auto"/>
        <w:bottom w:val="none" w:sz="0" w:space="0" w:color="auto"/>
        <w:right w:val="none" w:sz="0" w:space="0" w:color="auto"/>
      </w:divBdr>
    </w:div>
    <w:div w:id="1080829994">
      <w:bodyDiv w:val="1"/>
      <w:marLeft w:val="0"/>
      <w:marRight w:val="0"/>
      <w:marTop w:val="0"/>
      <w:marBottom w:val="0"/>
      <w:divBdr>
        <w:top w:val="none" w:sz="0" w:space="0" w:color="auto"/>
        <w:left w:val="none" w:sz="0" w:space="0" w:color="auto"/>
        <w:bottom w:val="none" w:sz="0" w:space="0" w:color="auto"/>
        <w:right w:val="none" w:sz="0" w:space="0" w:color="auto"/>
      </w:divBdr>
    </w:div>
    <w:div w:id="1080980372">
      <w:bodyDiv w:val="1"/>
      <w:marLeft w:val="0"/>
      <w:marRight w:val="0"/>
      <w:marTop w:val="0"/>
      <w:marBottom w:val="0"/>
      <w:divBdr>
        <w:top w:val="none" w:sz="0" w:space="0" w:color="auto"/>
        <w:left w:val="none" w:sz="0" w:space="0" w:color="auto"/>
        <w:bottom w:val="none" w:sz="0" w:space="0" w:color="auto"/>
        <w:right w:val="none" w:sz="0" w:space="0" w:color="auto"/>
      </w:divBdr>
    </w:div>
    <w:div w:id="1081020997">
      <w:bodyDiv w:val="1"/>
      <w:marLeft w:val="0"/>
      <w:marRight w:val="0"/>
      <w:marTop w:val="0"/>
      <w:marBottom w:val="0"/>
      <w:divBdr>
        <w:top w:val="none" w:sz="0" w:space="0" w:color="auto"/>
        <w:left w:val="none" w:sz="0" w:space="0" w:color="auto"/>
        <w:bottom w:val="none" w:sz="0" w:space="0" w:color="auto"/>
        <w:right w:val="none" w:sz="0" w:space="0" w:color="auto"/>
      </w:divBdr>
    </w:div>
    <w:div w:id="1081175561">
      <w:bodyDiv w:val="1"/>
      <w:marLeft w:val="0"/>
      <w:marRight w:val="0"/>
      <w:marTop w:val="0"/>
      <w:marBottom w:val="0"/>
      <w:divBdr>
        <w:top w:val="none" w:sz="0" w:space="0" w:color="auto"/>
        <w:left w:val="none" w:sz="0" w:space="0" w:color="auto"/>
        <w:bottom w:val="none" w:sz="0" w:space="0" w:color="auto"/>
        <w:right w:val="none" w:sz="0" w:space="0" w:color="auto"/>
      </w:divBdr>
    </w:div>
    <w:div w:id="1081295127">
      <w:bodyDiv w:val="1"/>
      <w:marLeft w:val="0"/>
      <w:marRight w:val="0"/>
      <w:marTop w:val="0"/>
      <w:marBottom w:val="0"/>
      <w:divBdr>
        <w:top w:val="none" w:sz="0" w:space="0" w:color="auto"/>
        <w:left w:val="none" w:sz="0" w:space="0" w:color="auto"/>
        <w:bottom w:val="none" w:sz="0" w:space="0" w:color="auto"/>
        <w:right w:val="none" w:sz="0" w:space="0" w:color="auto"/>
      </w:divBdr>
    </w:div>
    <w:div w:id="1081364792">
      <w:bodyDiv w:val="1"/>
      <w:marLeft w:val="0"/>
      <w:marRight w:val="0"/>
      <w:marTop w:val="0"/>
      <w:marBottom w:val="0"/>
      <w:divBdr>
        <w:top w:val="none" w:sz="0" w:space="0" w:color="auto"/>
        <w:left w:val="none" w:sz="0" w:space="0" w:color="auto"/>
        <w:bottom w:val="none" w:sz="0" w:space="0" w:color="auto"/>
        <w:right w:val="none" w:sz="0" w:space="0" w:color="auto"/>
      </w:divBdr>
    </w:div>
    <w:div w:id="1081369091">
      <w:bodyDiv w:val="1"/>
      <w:marLeft w:val="0"/>
      <w:marRight w:val="0"/>
      <w:marTop w:val="0"/>
      <w:marBottom w:val="0"/>
      <w:divBdr>
        <w:top w:val="none" w:sz="0" w:space="0" w:color="auto"/>
        <w:left w:val="none" w:sz="0" w:space="0" w:color="auto"/>
        <w:bottom w:val="none" w:sz="0" w:space="0" w:color="auto"/>
        <w:right w:val="none" w:sz="0" w:space="0" w:color="auto"/>
      </w:divBdr>
    </w:div>
    <w:div w:id="1081369829">
      <w:bodyDiv w:val="1"/>
      <w:marLeft w:val="0"/>
      <w:marRight w:val="0"/>
      <w:marTop w:val="0"/>
      <w:marBottom w:val="0"/>
      <w:divBdr>
        <w:top w:val="none" w:sz="0" w:space="0" w:color="auto"/>
        <w:left w:val="none" w:sz="0" w:space="0" w:color="auto"/>
        <w:bottom w:val="none" w:sz="0" w:space="0" w:color="auto"/>
        <w:right w:val="none" w:sz="0" w:space="0" w:color="auto"/>
      </w:divBdr>
    </w:div>
    <w:div w:id="1081370448">
      <w:bodyDiv w:val="1"/>
      <w:marLeft w:val="0"/>
      <w:marRight w:val="0"/>
      <w:marTop w:val="0"/>
      <w:marBottom w:val="0"/>
      <w:divBdr>
        <w:top w:val="none" w:sz="0" w:space="0" w:color="auto"/>
        <w:left w:val="none" w:sz="0" w:space="0" w:color="auto"/>
        <w:bottom w:val="none" w:sz="0" w:space="0" w:color="auto"/>
        <w:right w:val="none" w:sz="0" w:space="0" w:color="auto"/>
      </w:divBdr>
    </w:div>
    <w:div w:id="1081410398">
      <w:bodyDiv w:val="1"/>
      <w:marLeft w:val="0"/>
      <w:marRight w:val="0"/>
      <w:marTop w:val="0"/>
      <w:marBottom w:val="0"/>
      <w:divBdr>
        <w:top w:val="none" w:sz="0" w:space="0" w:color="auto"/>
        <w:left w:val="none" w:sz="0" w:space="0" w:color="auto"/>
        <w:bottom w:val="none" w:sz="0" w:space="0" w:color="auto"/>
        <w:right w:val="none" w:sz="0" w:space="0" w:color="auto"/>
      </w:divBdr>
    </w:div>
    <w:div w:id="1081414500">
      <w:bodyDiv w:val="1"/>
      <w:marLeft w:val="0"/>
      <w:marRight w:val="0"/>
      <w:marTop w:val="0"/>
      <w:marBottom w:val="0"/>
      <w:divBdr>
        <w:top w:val="none" w:sz="0" w:space="0" w:color="auto"/>
        <w:left w:val="none" w:sz="0" w:space="0" w:color="auto"/>
        <w:bottom w:val="none" w:sz="0" w:space="0" w:color="auto"/>
        <w:right w:val="none" w:sz="0" w:space="0" w:color="auto"/>
      </w:divBdr>
    </w:div>
    <w:div w:id="1081442120">
      <w:bodyDiv w:val="1"/>
      <w:marLeft w:val="0"/>
      <w:marRight w:val="0"/>
      <w:marTop w:val="0"/>
      <w:marBottom w:val="0"/>
      <w:divBdr>
        <w:top w:val="none" w:sz="0" w:space="0" w:color="auto"/>
        <w:left w:val="none" w:sz="0" w:space="0" w:color="auto"/>
        <w:bottom w:val="none" w:sz="0" w:space="0" w:color="auto"/>
        <w:right w:val="none" w:sz="0" w:space="0" w:color="auto"/>
      </w:divBdr>
    </w:div>
    <w:div w:id="1081483864">
      <w:bodyDiv w:val="1"/>
      <w:marLeft w:val="0"/>
      <w:marRight w:val="0"/>
      <w:marTop w:val="0"/>
      <w:marBottom w:val="0"/>
      <w:divBdr>
        <w:top w:val="none" w:sz="0" w:space="0" w:color="auto"/>
        <w:left w:val="none" w:sz="0" w:space="0" w:color="auto"/>
        <w:bottom w:val="none" w:sz="0" w:space="0" w:color="auto"/>
        <w:right w:val="none" w:sz="0" w:space="0" w:color="auto"/>
      </w:divBdr>
    </w:div>
    <w:div w:id="1081490730">
      <w:bodyDiv w:val="1"/>
      <w:marLeft w:val="0"/>
      <w:marRight w:val="0"/>
      <w:marTop w:val="0"/>
      <w:marBottom w:val="0"/>
      <w:divBdr>
        <w:top w:val="none" w:sz="0" w:space="0" w:color="auto"/>
        <w:left w:val="none" w:sz="0" w:space="0" w:color="auto"/>
        <w:bottom w:val="none" w:sz="0" w:space="0" w:color="auto"/>
        <w:right w:val="none" w:sz="0" w:space="0" w:color="auto"/>
      </w:divBdr>
    </w:div>
    <w:div w:id="1081563336">
      <w:bodyDiv w:val="1"/>
      <w:marLeft w:val="0"/>
      <w:marRight w:val="0"/>
      <w:marTop w:val="0"/>
      <w:marBottom w:val="0"/>
      <w:divBdr>
        <w:top w:val="none" w:sz="0" w:space="0" w:color="auto"/>
        <w:left w:val="none" w:sz="0" w:space="0" w:color="auto"/>
        <w:bottom w:val="none" w:sz="0" w:space="0" w:color="auto"/>
        <w:right w:val="none" w:sz="0" w:space="0" w:color="auto"/>
      </w:divBdr>
    </w:div>
    <w:div w:id="1081684491">
      <w:bodyDiv w:val="1"/>
      <w:marLeft w:val="0"/>
      <w:marRight w:val="0"/>
      <w:marTop w:val="0"/>
      <w:marBottom w:val="0"/>
      <w:divBdr>
        <w:top w:val="none" w:sz="0" w:space="0" w:color="auto"/>
        <w:left w:val="none" w:sz="0" w:space="0" w:color="auto"/>
        <w:bottom w:val="none" w:sz="0" w:space="0" w:color="auto"/>
        <w:right w:val="none" w:sz="0" w:space="0" w:color="auto"/>
      </w:divBdr>
    </w:div>
    <w:div w:id="1081756183">
      <w:bodyDiv w:val="1"/>
      <w:marLeft w:val="0"/>
      <w:marRight w:val="0"/>
      <w:marTop w:val="0"/>
      <w:marBottom w:val="0"/>
      <w:divBdr>
        <w:top w:val="none" w:sz="0" w:space="0" w:color="auto"/>
        <w:left w:val="none" w:sz="0" w:space="0" w:color="auto"/>
        <w:bottom w:val="none" w:sz="0" w:space="0" w:color="auto"/>
        <w:right w:val="none" w:sz="0" w:space="0" w:color="auto"/>
      </w:divBdr>
    </w:div>
    <w:div w:id="1081758597">
      <w:bodyDiv w:val="1"/>
      <w:marLeft w:val="0"/>
      <w:marRight w:val="0"/>
      <w:marTop w:val="0"/>
      <w:marBottom w:val="0"/>
      <w:divBdr>
        <w:top w:val="none" w:sz="0" w:space="0" w:color="auto"/>
        <w:left w:val="none" w:sz="0" w:space="0" w:color="auto"/>
        <w:bottom w:val="none" w:sz="0" w:space="0" w:color="auto"/>
        <w:right w:val="none" w:sz="0" w:space="0" w:color="auto"/>
      </w:divBdr>
    </w:div>
    <w:div w:id="1081877506">
      <w:bodyDiv w:val="1"/>
      <w:marLeft w:val="0"/>
      <w:marRight w:val="0"/>
      <w:marTop w:val="0"/>
      <w:marBottom w:val="0"/>
      <w:divBdr>
        <w:top w:val="none" w:sz="0" w:space="0" w:color="auto"/>
        <w:left w:val="none" w:sz="0" w:space="0" w:color="auto"/>
        <w:bottom w:val="none" w:sz="0" w:space="0" w:color="auto"/>
        <w:right w:val="none" w:sz="0" w:space="0" w:color="auto"/>
      </w:divBdr>
    </w:div>
    <w:div w:id="1081948120">
      <w:bodyDiv w:val="1"/>
      <w:marLeft w:val="0"/>
      <w:marRight w:val="0"/>
      <w:marTop w:val="0"/>
      <w:marBottom w:val="0"/>
      <w:divBdr>
        <w:top w:val="none" w:sz="0" w:space="0" w:color="auto"/>
        <w:left w:val="none" w:sz="0" w:space="0" w:color="auto"/>
        <w:bottom w:val="none" w:sz="0" w:space="0" w:color="auto"/>
        <w:right w:val="none" w:sz="0" w:space="0" w:color="auto"/>
      </w:divBdr>
    </w:div>
    <w:div w:id="1082138355">
      <w:bodyDiv w:val="1"/>
      <w:marLeft w:val="0"/>
      <w:marRight w:val="0"/>
      <w:marTop w:val="0"/>
      <w:marBottom w:val="0"/>
      <w:divBdr>
        <w:top w:val="none" w:sz="0" w:space="0" w:color="auto"/>
        <w:left w:val="none" w:sz="0" w:space="0" w:color="auto"/>
        <w:bottom w:val="none" w:sz="0" w:space="0" w:color="auto"/>
        <w:right w:val="none" w:sz="0" w:space="0" w:color="auto"/>
      </w:divBdr>
    </w:div>
    <w:div w:id="1082139849">
      <w:bodyDiv w:val="1"/>
      <w:marLeft w:val="0"/>
      <w:marRight w:val="0"/>
      <w:marTop w:val="0"/>
      <w:marBottom w:val="0"/>
      <w:divBdr>
        <w:top w:val="none" w:sz="0" w:space="0" w:color="auto"/>
        <w:left w:val="none" w:sz="0" w:space="0" w:color="auto"/>
        <w:bottom w:val="none" w:sz="0" w:space="0" w:color="auto"/>
        <w:right w:val="none" w:sz="0" w:space="0" w:color="auto"/>
      </w:divBdr>
    </w:div>
    <w:div w:id="1082143707">
      <w:bodyDiv w:val="1"/>
      <w:marLeft w:val="0"/>
      <w:marRight w:val="0"/>
      <w:marTop w:val="0"/>
      <w:marBottom w:val="0"/>
      <w:divBdr>
        <w:top w:val="none" w:sz="0" w:space="0" w:color="auto"/>
        <w:left w:val="none" w:sz="0" w:space="0" w:color="auto"/>
        <w:bottom w:val="none" w:sz="0" w:space="0" w:color="auto"/>
        <w:right w:val="none" w:sz="0" w:space="0" w:color="auto"/>
      </w:divBdr>
    </w:div>
    <w:div w:id="1082145912">
      <w:bodyDiv w:val="1"/>
      <w:marLeft w:val="0"/>
      <w:marRight w:val="0"/>
      <w:marTop w:val="0"/>
      <w:marBottom w:val="0"/>
      <w:divBdr>
        <w:top w:val="none" w:sz="0" w:space="0" w:color="auto"/>
        <w:left w:val="none" w:sz="0" w:space="0" w:color="auto"/>
        <w:bottom w:val="none" w:sz="0" w:space="0" w:color="auto"/>
        <w:right w:val="none" w:sz="0" w:space="0" w:color="auto"/>
      </w:divBdr>
    </w:div>
    <w:div w:id="1082220053">
      <w:bodyDiv w:val="1"/>
      <w:marLeft w:val="0"/>
      <w:marRight w:val="0"/>
      <w:marTop w:val="0"/>
      <w:marBottom w:val="0"/>
      <w:divBdr>
        <w:top w:val="none" w:sz="0" w:space="0" w:color="auto"/>
        <w:left w:val="none" w:sz="0" w:space="0" w:color="auto"/>
        <w:bottom w:val="none" w:sz="0" w:space="0" w:color="auto"/>
        <w:right w:val="none" w:sz="0" w:space="0" w:color="auto"/>
      </w:divBdr>
    </w:div>
    <w:div w:id="1082263303">
      <w:bodyDiv w:val="1"/>
      <w:marLeft w:val="0"/>
      <w:marRight w:val="0"/>
      <w:marTop w:val="0"/>
      <w:marBottom w:val="0"/>
      <w:divBdr>
        <w:top w:val="none" w:sz="0" w:space="0" w:color="auto"/>
        <w:left w:val="none" w:sz="0" w:space="0" w:color="auto"/>
        <w:bottom w:val="none" w:sz="0" w:space="0" w:color="auto"/>
        <w:right w:val="none" w:sz="0" w:space="0" w:color="auto"/>
      </w:divBdr>
    </w:div>
    <w:div w:id="1082290634">
      <w:bodyDiv w:val="1"/>
      <w:marLeft w:val="0"/>
      <w:marRight w:val="0"/>
      <w:marTop w:val="0"/>
      <w:marBottom w:val="0"/>
      <w:divBdr>
        <w:top w:val="none" w:sz="0" w:space="0" w:color="auto"/>
        <w:left w:val="none" w:sz="0" w:space="0" w:color="auto"/>
        <w:bottom w:val="none" w:sz="0" w:space="0" w:color="auto"/>
        <w:right w:val="none" w:sz="0" w:space="0" w:color="auto"/>
      </w:divBdr>
    </w:div>
    <w:div w:id="1082291301">
      <w:bodyDiv w:val="1"/>
      <w:marLeft w:val="0"/>
      <w:marRight w:val="0"/>
      <w:marTop w:val="0"/>
      <w:marBottom w:val="0"/>
      <w:divBdr>
        <w:top w:val="none" w:sz="0" w:space="0" w:color="auto"/>
        <w:left w:val="none" w:sz="0" w:space="0" w:color="auto"/>
        <w:bottom w:val="none" w:sz="0" w:space="0" w:color="auto"/>
        <w:right w:val="none" w:sz="0" w:space="0" w:color="auto"/>
      </w:divBdr>
    </w:div>
    <w:div w:id="1082292934">
      <w:bodyDiv w:val="1"/>
      <w:marLeft w:val="0"/>
      <w:marRight w:val="0"/>
      <w:marTop w:val="0"/>
      <w:marBottom w:val="0"/>
      <w:divBdr>
        <w:top w:val="none" w:sz="0" w:space="0" w:color="auto"/>
        <w:left w:val="none" w:sz="0" w:space="0" w:color="auto"/>
        <w:bottom w:val="none" w:sz="0" w:space="0" w:color="auto"/>
        <w:right w:val="none" w:sz="0" w:space="0" w:color="auto"/>
      </w:divBdr>
    </w:div>
    <w:div w:id="1082412659">
      <w:bodyDiv w:val="1"/>
      <w:marLeft w:val="0"/>
      <w:marRight w:val="0"/>
      <w:marTop w:val="0"/>
      <w:marBottom w:val="0"/>
      <w:divBdr>
        <w:top w:val="none" w:sz="0" w:space="0" w:color="auto"/>
        <w:left w:val="none" w:sz="0" w:space="0" w:color="auto"/>
        <w:bottom w:val="none" w:sz="0" w:space="0" w:color="auto"/>
        <w:right w:val="none" w:sz="0" w:space="0" w:color="auto"/>
      </w:divBdr>
    </w:div>
    <w:div w:id="1082485550">
      <w:bodyDiv w:val="1"/>
      <w:marLeft w:val="0"/>
      <w:marRight w:val="0"/>
      <w:marTop w:val="0"/>
      <w:marBottom w:val="0"/>
      <w:divBdr>
        <w:top w:val="none" w:sz="0" w:space="0" w:color="auto"/>
        <w:left w:val="none" w:sz="0" w:space="0" w:color="auto"/>
        <w:bottom w:val="none" w:sz="0" w:space="0" w:color="auto"/>
        <w:right w:val="none" w:sz="0" w:space="0" w:color="auto"/>
      </w:divBdr>
    </w:div>
    <w:div w:id="1082490485">
      <w:bodyDiv w:val="1"/>
      <w:marLeft w:val="0"/>
      <w:marRight w:val="0"/>
      <w:marTop w:val="0"/>
      <w:marBottom w:val="0"/>
      <w:divBdr>
        <w:top w:val="none" w:sz="0" w:space="0" w:color="auto"/>
        <w:left w:val="none" w:sz="0" w:space="0" w:color="auto"/>
        <w:bottom w:val="none" w:sz="0" w:space="0" w:color="auto"/>
        <w:right w:val="none" w:sz="0" w:space="0" w:color="auto"/>
      </w:divBdr>
    </w:div>
    <w:div w:id="1082721381">
      <w:bodyDiv w:val="1"/>
      <w:marLeft w:val="0"/>
      <w:marRight w:val="0"/>
      <w:marTop w:val="0"/>
      <w:marBottom w:val="0"/>
      <w:divBdr>
        <w:top w:val="none" w:sz="0" w:space="0" w:color="auto"/>
        <w:left w:val="none" w:sz="0" w:space="0" w:color="auto"/>
        <w:bottom w:val="none" w:sz="0" w:space="0" w:color="auto"/>
        <w:right w:val="none" w:sz="0" w:space="0" w:color="auto"/>
      </w:divBdr>
    </w:div>
    <w:div w:id="1082724659">
      <w:bodyDiv w:val="1"/>
      <w:marLeft w:val="0"/>
      <w:marRight w:val="0"/>
      <w:marTop w:val="0"/>
      <w:marBottom w:val="0"/>
      <w:divBdr>
        <w:top w:val="none" w:sz="0" w:space="0" w:color="auto"/>
        <w:left w:val="none" w:sz="0" w:space="0" w:color="auto"/>
        <w:bottom w:val="none" w:sz="0" w:space="0" w:color="auto"/>
        <w:right w:val="none" w:sz="0" w:space="0" w:color="auto"/>
      </w:divBdr>
    </w:div>
    <w:div w:id="1082870700">
      <w:bodyDiv w:val="1"/>
      <w:marLeft w:val="0"/>
      <w:marRight w:val="0"/>
      <w:marTop w:val="0"/>
      <w:marBottom w:val="0"/>
      <w:divBdr>
        <w:top w:val="none" w:sz="0" w:space="0" w:color="auto"/>
        <w:left w:val="none" w:sz="0" w:space="0" w:color="auto"/>
        <w:bottom w:val="none" w:sz="0" w:space="0" w:color="auto"/>
        <w:right w:val="none" w:sz="0" w:space="0" w:color="auto"/>
      </w:divBdr>
    </w:div>
    <w:div w:id="1082871913">
      <w:bodyDiv w:val="1"/>
      <w:marLeft w:val="0"/>
      <w:marRight w:val="0"/>
      <w:marTop w:val="0"/>
      <w:marBottom w:val="0"/>
      <w:divBdr>
        <w:top w:val="none" w:sz="0" w:space="0" w:color="auto"/>
        <w:left w:val="none" w:sz="0" w:space="0" w:color="auto"/>
        <w:bottom w:val="none" w:sz="0" w:space="0" w:color="auto"/>
        <w:right w:val="none" w:sz="0" w:space="0" w:color="auto"/>
      </w:divBdr>
    </w:div>
    <w:div w:id="1082876928">
      <w:bodyDiv w:val="1"/>
      <w:marLeft w:val="0"/>
      <w:marRight w:val="0"/>
      <w:marTop w:val="0"/>
      <w:marBottom w:val="0"/>
      <w:divBdr>
        <w:top w:val="none" w:sz="0" w:space="0" w:color="auto"/>
        <w:left w:val="none" w:sz="0" w:space="0" w:color="auto"/>
        <w:bottom w:val="none" w:sz="0" w:space="0" w:color="auto"/>
        <w:right w:val="none" w:sz="0" w:space="0" w:color="auto"/>
      </w:divBdr>
    </w:div>
    <w:div w:id="1082944297">
      <w:bodyDiv w:val="1"/>
      <w:marLeft w:val="0"/>
      <w:marRight w:val="0"/>
      <w:marTop w:val="0"/>
      <w:marBottom w:val="0"/>
      <w:divBdr>
        <w:top w:val="none" w:sz="0" w:space="0" w:color="auto"/>
        <w:left w:val="none" w:sz="0" w:space="0" w:color="auto"/>
        <w:bottom w:val="none" w:sz="0" w:space="0" w:color="auto"/>
        <w:right w:val="none" w:sz="0" w:space="0" w:color="auto"/>
      </w:divBdr>
    </w:div>
    <w:div w:id="1082991892">
      <w:bodyDiv w:val="1"/>
      <w:marLeft w:val="0"/>
      <w:marRight w:val="0"/>
      <w:marTop w:val="0"/>
      <w:marBottom w:val="0"/>
      <w:divBdr>
        <w:top w:val="none" w:sz="0" w:space="0" w:color="auto"/>
        <w:left w:val="none" w:sz="0" w:space="0" w:color="auto"/>
        <w:bottom w:val="none" w:sz="0" w:space="0" w:color="auto"/>
        <w:right w:val="none" w:sz="0" w:space="0" w:color="auto"/>
      </w:divBdr>
    </w:div>
    <w:div w:id="1083069355">
      <w:bodyDiv w:val="1"/>
      <w:marLeft w:val="0"/>
      <w:marRight w:val="0"/>
      <w:marTop w:val="0"/>
      <w:marBottom w:val="0"/>
      <w:divBdr>
        <w:top w:val="none" w:sz="0" w:space="0" w:color="auto"/>
        <w:left w:val="none" w:sz="0" w:space="0" w:color="auto"/>
        <w:bottom w:val="none" w:sz="0" w:space="0" w:color="auto"/>
        <w:right w:val="none" w:sz="0" w:space="0" w:color="auto"/>
      </w:divBdr>
    </w:div>
    <w:div w:id="1083181105">
      <w:bodyDiv w:val="1"/>
      <w:marLeft w:val="0"/>
      <w:marRight w:val="0"/>
      <w:marTop w:val="0"/>
      <w:marBottom w:val="0"/>
      <w:divBdr>
        <w:top w:val="none" w:sz="0" w:space="0" w:color="auto"/>
        <w:left w:val="none" w:sz="0" w:space="0" w:color="auto"/>
        <w:bottom w:val="none" w:sz="0" w:space="0" w:color="auto"/>
        <w:right w:val="none" w:sz="0" w:space="0" w:color="auto"/>
      </w:divBdr>
    </w:div>
    <w:div w:id="1083258530">
      <w:bodyDiv w:val="1"/>
      <w:marLeft w:val="0"/>
      <w:marRight w:val="0"/>
      <w:marTop w:val="0"/>
      <w:marBottom w:val="0"/>
      <w:divBdr>
        <w:top w:val="none" w:sz="0" w:space="0" w:color="auto"/>
        <w:left w:val="none" w:sz="0" w:space="0" w:color="auto"/>
        <w:bottom w:val="none" w:sz="0" w:space="0" w:color="auto"/>
        <w:right w:val="none" w:sz="0" w:space="0" w:color="auto"/>
      </w:divBdr>
    </w:div>
    <w:div w:id="1083259668">
      <w:bodyDiv w:val="1"/>
      <w:marLeft w:val="0"/>
      <w:marRight w:val="0"/>
      <w:marTop w:val="0"/>
      <w:marBottom w:val="0"/>
      <w:divBdr>
        <w:top w:val="none" w:sz="0" w:space="0" w:color="auto"/>
        <w:left w:val="none" w:sz="0" w:space="0" w:color="auto"/>
        <w:bottom w:val="none" w:sz="0" w:space="0" w:color="auto"/>
        <w:right w:val="none" w:sz="0" w:space="0" w:color="auto"/>
      </w:divBdr>
    </w:div>
    <w:div w:id="1083375696">
      <w:bodyDiv w:val="1"/>
      <w:marLeft w:val="0"/>
      <w:marRight w:val="0"/>
      <w:marTop w:val="0"/>
      <w:marBottom w:val="0"/>
      <w:divBdr>
        <w:top w:val="none" w:sz="0" w:space="0" w:color="auto"/>
        <w:left w:val="none" w:sz="0" w:space="0" w:color="auto"/>
        <w:bottom w:val="none" w:sz="0" w:space="0" w:color="auto"/>
        <w:right w:val="none" w:sz="0" w:space="0" w:color="auto"/>
      </w:divBdr>
    </w:div>
    <w:div w:id="1083376138">
      <w:bodyDiv w:val="1"/>
      <w:marLeft w:val="0"/>
      <w:marRight w:val="0"/>
      <w:marTop w:val="0"/>
      <w:marBottom w:val="0"/>
      <w:divBdr>
        <w:top w:val="none" w:sz="0" w:space="0" w:color="auto"/>
        <w:left w:val="none" w:sz="0" w:space="0" w:color="auto"/>
        <w:bottom w:val="none" w:sz="0" w:space="0" w:color="auto"/>
        <w:right w:val="none" w:sz="0" w:space="0" w:color="auto"/>
      </w:divBdr>
    </w:div>
    <w:div w:id="1083454366">
      <w:bodyDiv w:val="1"/>
      <w:marLeft w:val="0"/>
      <w:marRight w:val="0"/>
      <w:marTop w:val="0"/>
      <w:marBottom w:val="0"/>
      <w:divBdr>
        <w:top w:val="none" w:sz="0" w:space="0" w:color="auto"/>
        <w:left w:val="none" w:sz="0" w:space="0" w:color="auto"/>
        <w:bottom w:val="none" w:sz="0" w:space="0" w:color="auto"/>
        <w:right w:val="none" w:sz="0" w:space="0" w:color="auto"/>
      </w:divBdr>
    </w:div>
    <w:div w:id="1083573406">
      <w:bodyDiv w:val="1"/>
      <w:marLeft w:val="0"/>
      <w:marRight w:val="0"/>
      <w:marTop w:val="0"/>
      <w:marBottom w:val="0"/>
      <w:divBdr>
        <w:top w:val="none" w:sz="0" w:space="0" w:color="auto"/>
        <w:left w:val="none" w:sz="0" w:space="0" w:color="auto"/>
        <w:bottom w:val="none" w:sz="0" w:space="0" w:color="auto"/>
        <w:right w:val="none" w:sz="0" w:space="0" w:color="auto"/>
      </w:divBdr>
    </w:div>
    <w:div w:id="1083645691">
      <w:bodyDiv w:val="1"/>
      <w:marLeft w:val="0"/>
      <w:marRight w:val="0"/>
      <w:marTop w:val="0"/>
      <w:marBottom w:val="0"/>
      <w:divBdr>
        <w:top w:val="none" w:sz="0" w:space="0" w:color="auto"/>
        <w:left w:val="none" w:sz="0" w:space="0" w:color="auto"/>
        <w:bottom w:val="none" w:sz="0" w:space="0" w:color="auto"/>
        <w:right w:val="none" w:sz="0" w:space="0" w:color="auto"/>
      </w:divBdr>
    </w:div>
    <w:div w:id="1083916650">
      <w:bodyDiv w:val="1"/>
      <w:marLeft w:val="0"/>
      <w:marRight w:val="0"/>
      <w:marTop w:val="0"/>
      <w:marBottom w:val="0"/>
      <w:divBdr>
        <w:top w:val="none" w:sz="0" w:space="0" w:color="auto"/>
        <w:left w:val="none" w:sz="0" w:space="0" w:color="auto"/>
        <w:bottom w:val="none" w:sz="0" w:space="0" w:color="auto"/>
        <w:right w:val="none" w:sz="0" w:space="0" w:color="auto"/>
      </w:divBdr>
    </w:div>
    <w:div w:id="1084063692">
      <w:bodyDiv w:val="1"/>
      <w:marLeft w:val="0"/>
      <w:marRight w:val="0"/>
      <w:marTop w:val="0"/>
      <w:marBottom w:val="0"/>
      <w:divBdr>
        <w:top w:val="none" w:sz="0" w:space="0" w:color="auto"/>
        <w:left w:val="none" w:sz="0" w:space="0" w:color="auto"/>
        <w:bottom w:val="none" w:sz="0" w:space="0" w:color="auto"/>
        <w:right w:val="none" w:sz="0" w:space="0" w:color="auto"/>
      </w:divBdr>
    </w:div>
    <w:div w:id="1084107225">
      <w:bodyDiv w:val="1"/>
      <w:marLeft w:val="0"/>
      <w:marRight w:val="0"/>
      <w:marTop w:val="0"/>
      <w:marBottom w:val="0"/>
      <w:divBdr>
        <w:top w:val="none" w:sz="0" w:space="0" w:color="auto"/>
        <w:left w:val="none" w:sz="0" w:space="0" w:color="auto"/>
        <w:bottom w:val="none" w:sz="0" w:space="0" w:color="auto"/>
        <w:right w:val="none" w:sz="0" w:space="0" w:color="auto"/>
      </w:divBdr>
    </w:div>
    <w:div w:id="1084186262">
      <w:bodyDiv w:val="1"/>
      <w:marLeft w:val="0"/>
      <w:marRight w:val="0"/>
      <w:marTop w:val="0"/>
      <w:marBottom w:val="0"/>
      <w:divBdr>
        <w:top w:val="none" w:sz="0" w:space="0" w:color="auto"/>
        <w:left w:val="none" w:sz="0" w:space="0" w:color="auto"/>
        <w:bottom w:val="none" w:sz="0" w:space="0" w:color="auto"/>
        <w:right w:val="none" w:sz="0" w:space="0" w:color="auto"/>
      </w:divBdr>
    </w:div>
    <w:div w:id="1084306743">
      <w:bodyDiv w:val="1"/>
      <w:marLeft w:val="0"/>
      <w:marRight w:val="0"/>
      <w:marTop w:val="0"/>
      <w:marBottom w:val="0"/>
      <w:divBdr>
        <w:top w:val="none" w:sz="0" w:space="0" w:color="auto"/>
        <w:left w:val="none" w:sz="0" w:space="0" w:color="auto"/>
        <w:bottom w:val="none" w:sz="0" w:space="0" w:color="auto"/>
        <w:right w:val="none" w:sz="0" w:space="0" w:color="auto"/>
      </w:divBdr>
    </w:div>
    <w:div w:id="1084452706">
      <w:bodyDiv w:val="1"/>
      <w:marLeft w:val="0"/>
      <w:marRight w:val="0"/>
      <w:marTop w:val="0"/>
      <w:marBottom w:val="0"/>
      <w:divBdr>
        <w:top w:val="none" w:sz="0" w:space="0" w:color="auto"/>
        <w:left w:val="none" w:sz="0" w:space="0" w:color="auto"/>
        <w:bottom w:val="none" w:sz="0" w:space="0" w:color="auto"/>
        <w:right w:val="none" w:sz="0" w:space="0" w:color="auto"/>
      </w:divBdr>
    </w:div>
    <w:div w:id="1084492060">
      <w:bodyDiv w:val="1"/>
      <w:marLeft w:val="0"/>
      <w:marRight w:val="0"/>
      <w:marTop w:val="0"/>
      <w:marBottom w:val="0"/>
      <w:divBdr>
        <w:top w:val="none" w:sz="0" w:space="0" w:color="auto"/>
        <w:left w:val="none" w:sz="0" w:space="0" w:color="auto"/>
        <w:bottom w:val="none" w:sz="0" w:space="0" w:color="auto"/>
        <w:right w:val="none" w:sz="0" w:space="0" w:color="auto"/>
      </w:divBdr>
    </w:div>
    <w:div w:id="1084492929">
      <w:bodyDiv w:val="1"/>
      <w:marLeft w:val="0"/>
      <w:marRight w:val="0"/>
      <w:marTop w:val="0"/>
      <w:marBottom w:val="0"/>
      <w:divBdr>
        <w:top w:val="none" w:sz="0" w:space="0" w:color="auto"/>
        <w:left w:val="none" w:sz="0" w:space="0" w:color="auto"/>
        <w:bottom w:val="none" w:sz="0" w:space="0" w:color="auto"/>
        <w:right w:val="none" w:sz="0" w:space="0" w:color="auto"/>
      </w:divBdr>
    </w:div>
    <w:div w:id="1084571570">
      <w:bodyDiv w:val="1"/>
      <w:marLeft w:val="0"/>
      <w:marRight w:val="0"/>
      <w:marTop w:val="0"/>
      <w:marBottom w:val="0"/>
      <w:divBdr>
        <w:top w:val="none" w:sz="0" w:space="0" w:color="auto"/>
        <w:left w:val="none" w:sz="0" w:space="0" w:color="auto"/>
        <w:bottom w:val="none" w:sz="0" w:space="0" w:color="auto"/>
        <w:right w:val="none" w:sz="0" w:space="0" w:color="auto"/>
      </w:divBdr>
    </w:div>
    <w:div w:id="1084573613">
      <w:bodyDiv w:val="1"/>
      <w:marLeft w:val="0"/>
      <w:marRight w:val="0"/>
      <w:marTop w:val="0"/>
      <w:marBottom w:val="0"/>
      <w:divBdr>
        <w:top w:val="none" w:sz="0" w:space="0" w:color="auto"/>
        <w:left w:val="none" w:sz="0" w:space="0" w:color="auto"/>
        <w:bottom w:val="none" w:sz="0" w:space="0" w:color="auto"/>
        <w:right w:val="none" w:sz="0" w:space="0" w:color="auto"/>
      </w:divBdr>
    </w:div>
    <w:div w:id="1084642458">
      <w:bodyDiv w:val="1"/>
      <w:marLeft w:val="0"/>
      <w:marRight w:val="0"/>
      <w:marTop w:val="0"/>
      <w:marBottom w:val="0"/>
      <w:divBdr>
        <w:top w:val="none" w:sz="0" w:space="0" w:color="auto"/>
        <w:left w:val="none" w:sz="0" w:space="0" w:color="auto"/>
        <w:bottom w:val="none" w:sz="0" w:space="0" w:color="auto"/>
        <w:right w:val="none" w:sz="0" w:space="0" w:color="auto"/>
      </w:divBdr>
    </w:div>
    <w:div w:id="1084645065">
      <w:bodyDiv w:val="1"/>
      <w:marLeft w:val="0"/>
      <w:marRight w:val="0"/>
      <w:marTop w:val="0"/>
      <w:marBottom w:val="0"/>
      <w:divBdr>
        <w:top w:val="none" w:sz="0" w:space="0" w:color="auto"/>
        <w:left w:val="none" w:sz="0" w:space="0" w:color="auto"/>
        <w:bottom w:val="none" w:sz="0" w:space="0" w:color="auto"/>
        <w:right w:val="none" w:sz="0" w:space="0" w:color="auto"/>
      </w:divBdr>
    </w:div>
    <w:div w:id="1084760824">
      <w:bodyDiv w:val="1"/>
      <w:marLeft w:val="0"/>
      <w:marRight w:val="0"/>
      <w:marTop w:val="0"/>
      <w:marBottom w:val="0"/>
      <w:divBdr>
        <w:top w:val="none" w:sz="0" w:space="0" w:color="auto"/>
        <w:left w:val="none" w:sz="0" w:space="0" w:color="auto"/>
        <w:bottom w:val="none" w:sz="0" w:space="0" w:color="auto"/>
        <w:right w:val="none" w:sz="0" w:space="0" w:color="auto"/>
      </w:divBdr>
    </w:div>
    <w:div w:id="1084836543">
      <w:bodyDiv w:val="1"/>
      <w:marLeft w:val="0"/>
      <w:marRight w:val="0"/>
      <w:marTop w:val="0"/>
      <w:marBottom w:val="0"/>
      <w:divBdr>
        <w:top w:val="none" w:sz="0" w:space="0" w:color="auto"/>
        <w:left w:val="none" w:sz="0" w:space="0" w:color="auto"/>
        <w:bottom w:val="none" w:sz="0" w:space="0" w:color="auto"/>
        <w:right w:val="none" w:sz="0" w:space="0" w:color="auto"/>
      </w:divBdr>
    </w:div>
    <w:div w:id="1084837981">
      <w:bodyDiv w:val="1"/>
      <w:marLeft w:val="0"/>
      <w:marRight w:val="0"/>
      <w:marTop w:val="0"/>
      <w:marBottom w:val="0"/>
      <w:divBdr>
        <w:top w:val="none" w:sz="0" w:space="0" w:color="auto"/>
        <w:left w:val="none" w:sz="0" w:space="0" w:color="auto"/>
        <w:bottom w:val="none" w:sz="0" w:space="0" w:color="auto"/>
        <w:right w:val="none" w:sz="0" w:space="0" w:color="auto"/>
      </w:divBdr>
    </w:div>
    <w:div w:id="1084840732">
      <w:bodyDiv w:val="1"/>
      <w:marLeft w:val="0"/>
      <w:marRight w:val="0"/>
      <w:marTop w:val="0"/>
      <w:marBottom w:val="0"/>
      <w:divBdr>
        <w:top w:val="none" w:sz="0" w:space="0" w:color="auto"/>
        <w:left w:val="none" w:sz="0" w:space="0" w:color="auto"/>
        <w:bottom w:val="none" w:sz="0" w:space="0" w:color="auto"/>
        <w:right w:val="none" w:sz="0" w:space="0" w:color="auto"/>
      </w:divBdr>
    </w:div>
    <w:div w:id="1084841360">
      <w:bodyDiv w:val="1"/>
      <w:marLeft w:val="0"/>
      <w:marRight w:val="0"/>
      <w:marTop w:val="0"/>
      <w:marBottom w:val="0"/>
      <w:divBdr>
        <w:top w:val="none" w:sz="0" w:space="0" w:color="auto"/>
        <w:left w:val="none" w:sz="0" w:space="0" w:color="auto"/>
        <w:bottom w:val="none" w:sz="0" w:space="0" w:color="auto"/>
        <w:right w:val="none" w:sz="0" w:space="0" w:color="auto"/>
      </w:divBdr>
    </w:div>
    <w:div w:id="1084956108">
      <w:bodyDiv w:val="1"/>
      <w:marLeft w:val="0"/>
      <w:marRight w:val="0"/>
      <w:marTop w:val="0"/>
      <w:marBottom w:val="0"/>
      <w:divBdr>
        <w:top w:val="none" w:sz="0" w:space="0" w:color="auto"/>
        <w:left w:val="none" w:sz="0" w:space="0" w:color="auto"/>
        <w:bottom w:val="none" w:sz="0" w:space="0" w:color="auto"/>
        <w:right w:val="none" w:sz="0" w:space="0" w:color="auto"/>
      </w:divBdr>
    </w:div>
    <w:div w:id="1084958880">
      <w:bodyDiv w:val="1"/>
      <w:marLeft w:val="0"/>
      <w:marRight w:val="0"/>
      <w:marTop w:val="0"/>
      <w:marBottom w:val="0"/>
      <w:divBdr>
        <w:top w:val="none" w:sz="0" w:space="0" w:color="auto"/>
        <w:left w:val="none" w:sz="0" w:space="0" w:color="auto"/>
        <w:bottom w:val="none" w:sz="0" w:space="0" w:color="auto"/>
        <w:right w:val="none" w:sz="0" w:space="0" w:color="auto"/>
      </w:divBdr>
    </w:div>
    <w:div w:id="1084959108">
      <w:bodyDiv w:val="1"/>
      <w:marLeft w:val="0"/>
      <w:marRight w:val="0"/>
      <w:marTop w:val="0"/>
      <w:marBottom w:val="0"/>
      <w:divBdr>
        <w:top w:val="none" w:sz="0" w:space="0" w:color="auto"/>
        <w:left w:val="none" w:sz="0" w:space="0" w:color="auto"/>
        <w:bottom w:val="none" w:sz="0" w:space="0" w:color="auto"/>
        <w:right w:val="none" w:sz="0" w:space="0" w:color="auto"/>
      </w:divBdr>
    </w:div>
    <w:div w:id="1084959284">
      <w:bodyDiv w:val="1"/>
      <w:marLeft w:val="0"/>
      <w:marRight w:val="0"/>
      <w:marTop w:val="0"/>
      <w:marBottom w:val="0"/>
      <w:divBdr>
        <w:top w:val="none" w:sz="0" w:space="0" w:color="auto"/>
        <w:left w:val="none" w:sz="0" w:space="0" w:color="auto"/>
        <w:bottom w:val="none" w:sz="0" w:space="0" w:color="auto"/>
        <w:right w:val="none" w:sz="0" w:space="0" w:color="auto"/>
      </w:divBdr>
    </w:div>
    <w:div w:id="1085033149">
      <w:bodyDiv w:val="1"/>
      <w:marLeft w:val="0"/>
      <w:marRight w:val="0"/>
      <w:marTop w:val="0"/>
      <w:marBottom w:val="0"/>
      <w:divBdr>
        <w:top w:val="none" w:sz="0" w:space="0" w:color="auto"/>
        <w:left w:val="none" w:sz="0" w:space="0" w:color="auto"/>
        <w:bottom w:val="none" w:sz="0" w:space="0" w:color="auto"/>
        <w:right w:val="none" w:sz="0" w:space="0" w:color="auto"/>
      </w:divBdr>
    </w:div>
    <w:div w:id="1085036772">
      <w:bodyDiv w:val="1"/>
      <w:marLeft w:val="0"/>
      <w:marRight w:val="0"/>
      <w:marTop w:val="0"/>
      <w:marBottom w:val="0"/>
      <w:divBdr>
        <w:top w:val="none" w:sz="0" w:space="0" w:color="auto"/>
        <w:left w:val="none" w:sz="0" w:space="0" w:color="auto"/>
        <w:bottom w:val="none" w:sz="0" w:space="0" w:color="auto"/>
        <w:right w:val="none" w:sz="0" w:space="0" w:color="auto"/>
      </w:divBdr>
    </w:div>
    <w:div w:id="1085036815">
      <w:bodyDiv w:val="1"/>
      <w:marLeft w:val="0"/>
      <w:marRight w:val="0"/>
      <w:marTop w:val="0"/>
      <w:marBottom w:val="0"/>
      <w:divBdr>
        <w:top w:val="none" w:sz="0" w:space="0" w:color="auto"/>
        <w:left w:val="none" w:sz="0" w:space="0" w:color="auto"/>
        <w:bottom w:val="none" w:sz="0" w:space="0" w:color="auto"/>
        <w:right w:val="none" w:sz="0" w:space="0" w:color="auto"/>
      </w:divBdr>
    </w:div>
    <w:div w:id="1085105895">
      <w:bodyDiv w:val="1"/>
      <w:marLeft w:val="0"/>
      <w:marRight w:val="0"/>
      <w:marTop w:val="0"/>
      <w:marBottom w:val="0"/>
      <w:divBdr>
        <w:top w:val="none" w:sz="0" w:space="0" w:color="auto"/>
        <w:left w:val="none" w:sz="0" w:space="0" w:color="auto"/>
        <w:bottom w:val="none" w:sz="0" w:space="0" w:color="auto"/>
        <w:right w:val="none" w:sz="0" w:space="0" w:color="auto"/>
      </w:divBdr>
    </w:div>
    <w:div w:id="1085303817">
      <w:bodyDiv w:val="1"/>
      <w:marLeft w:val="0"/>
      <w:marRight w:val="0"/>
      <w:marTop w:val="0"/>
      <w:marBottom w:val="0"/>
      <w:divBdr>
        <w:top w:val="none" w:sz="0" w:space="0" w:color="auto"/>
        <w:left w:val="none" w:sz="0" w:space="0" w:color="auto"/>
        <w:bottom w:val="none" w:sz="0" w:space="0" w:color="auto"/>
        <w:right w:val="none" w:sz="0" w:space="0" w:color="auto"/>
      </w:divBdr>
    </w:div>
    <w:div w:id="1085342007">
      <w:bodyDiv w:val="1"/>
      <w:marLeft w:val="0"/>
      <w:marRight w:val="0"/>
      <w:marTop w:val="0"/>
      <w:marBottom w:val="0"/>
      <w:divBdr>
        <w:top w:val="none" w:sz="0" w:space="0" w:color="auto"/>
        <w:left w:val="none" w:sz="0" w:space="0" w:color="auto"/>
        <w:bottom w:val="none" w:sz="0" w:space="0" w:color="auto"/>
        <w:right w:val="none" w:sz="0" w:space="0" w:color="auto"/>
      </w:divBdr>
    </w:div>
    <w:div w:id="1085373820">
      <w:bodyDiv w:val="1"/>
      <w:marLeft w:val="0"/>
      <w:marRight w:val="0"/>
      <w:marTop w:val="0"/>
      <w:marBottom w:val="0"/>
      <w:divBdr>
        <w:top w:val="none" w:sz="0" w:space="0" w:color="auto"/>
        <w:left w:val="none" w:sz="0" w:space="0" w:color="auto"/>
        <w:bottom w:val="none" w:sz="0" w:space="0" w:color="auto"/>
        <w:right w:val="none" w:sz="0" w:space="0" w:color="auto"/>
      </w:divBdr>
    </w:div>
    <w:div w:id="1085421910">
      <w:bodyDiv w:val="1"/>
      <w:marLeft w:val="0"/>
      <w:marRight w:val="0"/>
      <w:marTop w:val="0"/>
      <w:marBottom w:val="0"/>
      <w:divBdr>
        <w:top w:val="none" w:sz="0" w:space="0" w:color="auto"/>
        <w:left w:val="none" w:sz="0" w:space="0" w:color="auto"/>
        <w:bottom w:val="none" w:sz="0" w:space="0" w:color="auto"/>
        <w:right w:val="none" w:sz="0" w:space="0" w:color="auto"/>
      </w:divBdr>
    </w:div>
    <w:div w:id="1085423465">
      <w:bodyDiv w:val="1"/>
      <w:marLeft w:val="0"/>
      <w:marRight w:val="0"/>
      <w:marTop w:val="0"/>
      <w:marBottom w:val="0"/>
      <w:divBdr>
        <w:top w:val="none" w:sz="0" w:space="0" w:color="auto"/>
        <w:left w:val="none" w:sz="0" w:space="0" w:color="auto"/>
        <w:bottom w:val="none" w:sz="0" w:space="0" w:color="auto"/>
        <w:right w:val="none" w:sz="0" w:space="0" w:color="auto"/>
      </w:divBdr>
    </w:div>
    <w:div w:id="1085541271">
      <w:bodyDiv w:val="1"/>
      <w:marLeft w:val="0"/>
      <w:marRight w:val="0"/>
      <w:marTop w:val="0"/>
      <w:marBottom w:val="0"/>
      <w:divBdr>
        <w:top w:val="none" w:sz="0" w:space="0" w:color="auto"/>
        <w:left w:val="none" w:sz="0" w:space="0" w:color="auto"/>
        <w:bottom w:val="none" w:sz="0" w:space="0" w:color="auto"/>
        <w:right w:val="none" w:sz="0" w:space="0" w:color="auto"/>
      </w:divBdr>
    </w:div>
    <w:div w:id="1085565240">
      <w:bodyDiv w:val="1"/>
      <w:marLeft w:val="0"/>
      <w:marRight w:val="0"/>
      <w:marTop w:val="0"/>
      <w:marBottom w:val="0"/>
      <w:divBdr>
        <w:top w:val="none" w:sz="0" w:space="0" w:color="auto"/>
        <w:left w:val="none" w:sz="0" w:space="0" w:color="auto"/>
        <w:bottom w:val="none" w:sz="0" w:space="0" w:color="auto"/>
        <w:right w:val="none" w:sz="0" w:space="0" w:color="auto"/>
      </w:divBdr>
    </w:div>
    <w:div w:id="1085565388">
      <w:bodyDiv w:val="1"/>
      <w:marLeft w:val="0"/>
      <w:marRight w:val="0"/>
      <w:marTop w:val="0"/>
      <w:marBottom w:val="0"/>
      <w:divBdr>
        <w:top w:val="none" w:sz="0" w:space="0" w:color="auto"/>
        <w:left w:val="none" w:sz="0" w:space="0" w:color="auto"/>
        <w:bottom w:val="none" w:sz="0" w:space="0" w:color="auto"/>
        <w:right w:val="none" w:sz="0" w:space="0" w:color="auto"/>
      </w:divBdr>
    </w:div>
    <w:div w:id="1085688522">
      <w:bodyDiv w:val="1"/>
      <w:marLeft w:val="0"/>
      <w:marRight w:val="0"/>
      <w:marTop w:val="0"/>
      <w:marBottom w:val="0"/>
      <w:divBdr>
        <w:top w:val="none" w:sz="0" w:space="0" w:color="auto"/>
        <w:left w:val="none" w:sz="0" w:space="0" w:color="auto"/>
        <w:bottom w:val="none" w:sz="0" w:space="0" w:color="auto"/>
        <w:right w:val="none" w:sz="0" w:space="0" w:color="auto"/>
      </w:divBdr>
    </w:div>
    <w:div w:id="1085801797">
      <w:bodyDiv w:val="1"/>
      <w:marLeft w:val="0"/>
      <w:marRight w:val="0"/>
      <w:marTop w:val="0"/>
      <w:marBottom w:val="0"/>
      <w:divBdr>
        <w:top w:val="none" w:sz="0" w:space="0" w:color="auto"/>
        <w:left w:val="none" w:sz="0" w:space="0" w:color="auto"/>
        <w:bottom w:val="none" w:sz="0" w:space="0" w:color="auto"/>
        <w:right w:val="none" w:sz="0" w:space="0" w:color="auto"/>
      </w:divBdr>
    </w:div>
    <w:div w:id="1085877224">
      <w:bodyDiv w:val="1"/>
      <w:marLeft w:val="0"/>
      <w:marRight w:val="0"/>
      <w:marTop w:val="0"/>
      <w:marBottom w:val="0"/>
      <w:divBdr>
        <w:top w:val="none" w:sz="0" w:space="0" w:color="auto"/>
        <w:left w:val="none" w:sz="0" w:space="0" w:color="auto"/>
        <w:bottom w:val="none" w:sz="0" w:space="0" w:color="auto"/>
        <w:right w:val="none" w:sz="0" w:space="0" w:color="auto"/>
      </w:divBdr>
    </w:div>
    <w:div w:id="1086145517">
      <w:bodyDiv w:val="1"/>
      <w:marLeft w:val="0"/>
      <w:marRight w:val="0"/>
      <w:marTop w:val="0"/>
      <w:marBottom w:val="0"/>
      <w:divBdr>
        <w:top w:val="none" w:sz="0" w:space="0" w:color="auto"/>
        <w:left w:val="none" w:sz="0" w:space="0" w:color="auto"/>
        <w:bottom w:val="none" w:sz="0" w:space="0" w:color="auto"/>
        <w:right w:val="none" w:sz="0" w:space="0" w:color="auto"/>
      </w:divBdr>
    </w:div>
    <w:div w:id="1086150394">
      <w:bodyDiv w:val="1"/>
      <w:marLeft w:val="0"/>
      <w:marRight w:val="0"/>
      <w:marTop w:val="0"/>
      <w:marBottom w:val="0"/>
      <w:divBdr>
        <w:top w:val="none" w:sz="0" w:space="0" w:color="auto"/>
        <w:left w:val="none" w:sz="0" w:space="0" w:color="auto"/>
        <w:bottom w:val="none" w:sz="0" w:space="0" w:color="auto"/>
        <w:right w:val="none" w:sz="0" w:space="0" w:color="auto"/>
      </w:divBdr>
    </w:div>
    <w:div w:id="1086152674">
      <w:bodyDiv w:val="1"/>
      <w:marLeft w:val="0"/>
      <w:marRight w:val="0"/>
      <w:marTop w:val="0"/>
      <w:marBottom w:val="0"/>
      <w:divBdr>
        <w:top w:val="none" w:sz="0" w:space="0" w:color="auto"/>
        <w:left w:val="none" w:sz="0" w:space="0" w:color="auto"/>
        <w:bottom w:val="none" w:sz="0" w:space="0" w:color="auto"/>
        <w:right w:val="none" w:sz="0" w:space="0" w:color="auto"/>
      </w:divBdr>
    </w:div>
    <w:div w:id="1086608395">
      <w:bodyDiv w:val="1"/>
      <w:marLeft w:val="0"/>
      <w:marRight w:val="0"/>
      <w:marTop w:val="0"/>
      <w:marBottom w:val="0"/>
      <w:divBdr>
        <w:top w:val="none" w:sz="0" w:space="0" w:color="auto"/>
        <w:left w:val="none" w:sz="0" w:space="0" w:color="auto"/>
        <w:bottom w:val="none" w:sz="0" w:space="0" w:color="auto"/>
        <w:right w:val="none" w:sz="0" w:space="0" w:color="auto"/>
      </w:divBdr>
    </w:div>
    <w:div w:id="1086614093">
      <w:bodyDiv w:val="1"/>
      <w:marLeft w:val="0"/>
      <w:marRight w:val="0"/>
      <w:marTop w:val="0"/>
      <w:marBottom w:val="0"/>
      <w:divBdr>
        <w:top w:val="none" w:sz="0" w:space="0" w:color="auto"/>
        <w:left w:val="none" w:sz="0" w:space="0" w:color="auto"/>
        <w:bottom w:val="none" w:sz="0" w:space="0" w:color="auto"/>
        <w:right w:val="none" w:sz="0" w:space="0" w:color="auto"/>
      </w:divBdr>
    </w:div>
    <w:div w:id="1086655165">
      <w:bodyDiv w:val="1"/>
      <w:marLeft w:val="0"/>
      <w:marRight w:val="0"/>
      <w:marTop w:val="0"/>
      <w:marBottom w:val="0"/>
      <w:divBdr>
        <w:top w:val="none" w:sz="0" w:space="0" w:color="auto"/>
        <w:left w:val="none" w:sz="0" w:space="0" w:color="auto"/>
        <w:bottom w:val="none" w:sz="0" w:space="0" w:color="auto"/>
        <w:right w:val="none" w:sz="0" w:space="0" w:color="auto"/>
      </w:divBdr>
    </w:div>
    <w:div w:id="1086728266">
      <w:bodyDiv w:val="1"/>
      <w:marLeft w:val="0"/>
      <w:marRight w:val="0"/>
      <w:marTop w:val="0"/>
      <w:marBottom w:val="0"/>
      <w:divBdr>
        <w:top w:val="none" w:sz="0" w:space="0" w:color="auto"/>
        <w:left w:val="none" w:sz="0" w:space="0" w:color="auto"/>
        <w:bottom w:val="none" w:sz="0" w:space="0" w:color="auto"/>
        <w:right w:val="none" w:sz="0" w:space="0" w:color="auto"/>
      </w:divBdr>
    </w:div>
    <w:div w:id="1086728797">
      <w:bodyDiv w:val="1"/>
      <w:marLeft w:val="0"/>
      <w:marRight w:val="0"/>
      <w:marTop w:val="0"/>
      <w:marBottom w:val="0"/>
      <w:divBdr>
        <w:top w:val="none" w:sz="0" w:space="0" w:color="auto"/>
        <w:left w:val="none" w:sz="0" w:space="0" w:color="auto"/>
        <w:bottom w:val="none" w:sz="0" w:space="0" w:color="auto"/>
        <w:right w:val="none" w:sz="0" w:space="0" w:color="auto"/>
      </w:divBdr>
    </w:div>
    <w:div w:id="1086729000">
      <w:bodyDiv w:val="1"/>
      <w:marLeft w:val="0"/>
      <w:marRight w:val="0"/>
      <w:marTop w:val="0"/>
      <w:marBottom w:val="0"/>
      <w:divBdr>
        <w:top w:val="none" w:sz="0" w:space="0" w:color="auto"/>
        <w:left w:val="none" w:sz="0" w:space="0" w:color="auto"/>
        <w:bottom w:val="none" w:sz="0" w:space="0" w:color="auto"/>
        <w:right w:val="none" w:sz="0" w:space="0" w:color="auto"/>
      </w:divBdr>
    </w:div>
    <w:div w:id="1086730778">
      <w:bodyDiv w:val="1"/>
      <w:marLeft w:val="0"/>
      <w:marRight w:val="0"/>
      <w:marTop w:val="0"/>
      <w:marBottom w:val="0"/>
      <w:divBdr>
        <w:top w:val="none" w:sz="0" w:space="0" w:color="auto"/>
        <w:left w:val="none" w:sz="0" w:space="0" w:color="auto"/>
        <w:bottom w:val="none" w:sz="0" w:space="0" w:color="auto"/>
        <w:right w:val="none" w:sz="0" w:space="0" w:color="auto"/>
      </w:divBdr>
    </w:div>
    <w:div w:id="1086808341">
      <w:bodyDiv w:val="1"/>
      <w:marLeft w:val="0"/>
      <w:marRight w:val="0"/>
      <w:marTop w:val="0"/>
      <w:marBottom w:val="0"/>
      <w:divBdr>
        <w:top w:val="none" w:sz="0" w:space="0" w:color="auto"/>
        <w:left w:val="none" w:sz="0" w:space="0" w:color="auto"/>
        <w:bottom w:val="none" w:sz="0" w:space="0" w:color="auto"/>
        <w:right w:val="none" w:sz="0" w:space="0" w:color="auto"/>
      </w:divBdr>
    </w:div>
    <w:div w:id="1086995693">
      <w:bodyDiv w:val="1"/>
      <w:marLeft w:val="0"/>
      <w:marRight w:val="0"/>
      <w:marTop w:val="0"/>
      <w:marBottom w:val="0"/>
      <w:divBdr>
        <w:top w:val="none" w:sz="0" w:space="0" w:color="auto"/>
        <w:left w:val="none" w:sz="0" w:space="0" w:color="auto"/>
        <w:bottom w:val="none" w:sz="0" w:space="0" w:color="auto"/>
        <w:right w:val="none" w:sz="0" w:space="0" w:color="auto"/>
      </w:divBdr>
    </w:div>
    <w:div w:id="1087193740">
      <w:bodyDiv w:val="1"/>
      <w:marLeft w:val="0"/>
      <w:marRight w:val="0"/>
      <w:marTop w:val="0"/>
      <w:marBottom w:val="0"/>
      <w:divBdr>
        <w:top w:val="none" w:sz="0" w:space="0" w:color="auto"/>
        <w:left w:val="none" w:sz="0" w:space="0" w:color="auto"/>
        <w:bottom w:val="none" w:sz="0" w:space="0" w:color="auto"/>
        <w:right w:val="none" w:sz="0" w:space="0" w:color="auto"/>
      </w:divBdr>
    </w:div>
    <w:div w:id="1087266616">
      <w:bodyDiv w:val="1"/>
      <w:marLeft w:val="0"/>
      <w:marRight w:val="0"/>
      <w:marTop w:val="0"/>
      <w:marBottom w:val="0"/>
      <w:divBdr>
        <w:top w:val="none" w:sz="0" w:space="0" w:color="auto"/>
        <w:left w:val="none" w:sz="0" w:space="0" w:color="auto"/>
        <w:bottom w:val="none" w:sz="0" w:space="0" w:color="auto"/>
        <w:right w:val="none" w:sz="0" w:space="0" w:color="auto"/>
      </w:divBdr>
    </w:div>
    <w:div w:id="1087463807">
      <w:bodyDiv w:val="1"/>
      <w:marLeft w:val="0"/>
      <w:marRight w:val="0"/>
      <w:marTop w:val="0"/>
      <w:marBottom w:val="0"/>
      <w:divBdr>
        <w:top w:val="none" w:sz="0" w:space="0" w:color="auto"/>
        <w:left w:val="none" w:sz="0" w:space="0" w:color="auto"/>
        <w:bottom w:val="none" w:sz="0" w:space="0" w:color="auto"/>
        <w:right w:val="none" w:sz="0" w:space="0" w:color="auto"/>
      </w:divBdr>
    </w:div>
    <w:div w:id="1087581197">
      <w:bodyDiv w:val="1"/>
      <w:marLeft w:val="0"/>
      <w:marRight w:val="0"/>
      <w:marTop w:val="0"/>
      <w:marBottom w:val="0"/>
      <w:divBdr>
        <w:top w:val="none" w:sz="0" w:space="0" w:color="auto"/>
        <w:left w:val="none" w:sz="0" w:space="0" w:color="auto"/>
        <w:bottom w:val="none" w:sz="0" w:space="0" w:color="auto"/>
        <w:right w:val="none" w:sz="0" w:space="0" w:color="auto"/>
      </w:divBdr>
    </w:div>
    <w:div w:id="1087581673">
      <w:bodyDiv w:val="1"/>
      <w:marLeft w:val="0"/>
      <w:marRight w:val="0"/>
      <w:marTop w:val="0"/>
      <w:marBottom w:val="0"/>
      <w:divBdr>
        <w:top w:val="none" w:sz="0" w:space="0" w:color="auto"/>
        <w:left w:val="none" w:sz="0" w:space="0" w:color="auto"/>
        <w:bottom w:val="none" w:sz="0" w:space="0" w:color="auto"/>
        <w:right w:val="none" w:sz="0" w:space="0" w:color="auto"/>
      </w:divBdr>
    </w:div>
    <w:div w:id="1087650917">
      <w:bodyDiv w:val="1"/>
      <w:marLeft w:val="0"/>
      <w:marRight w:val="0"/>
      <w:marTop w:val="0"/>
      <w:marBottom w:val="0"/>
      <w:divBdr>
        <w:top w:val="none" w:sz="0" w:space="0" w:color="auto"/>
        <w:left w:val="none" w:sz="0" w:space="0" w:color="auto"/>
        <w:bottom w:val="none" w:sz="0" w:space="0" w:color="auto"/>
        <w:right w:val="none" w:sz="0" w:space="0" w:color="auto"/>
      </w:divBdr>
    </w:div>
    <w:div w:id="1087728486">
      <w:bodyDiv w:val="1"/>
      <w:marLeft w:val="0"/>
      <w:marRight w:val="0"/>
      <w:marTop w:val="0"/>
      <w:marBottom w:val="0"/>
      <w:divBdr>
        <w:top w:val="none" w:sz="0" w:space="0" w:color="auto"/>
        <w:left w:val="none" w:sz="0" w:space="0" w:color="auto"/>
        <w:bottom w:val="none" w:sz="0" w:space="0" w:color="auto"/>
        <w:right w:val="none" w:sz="0" w:space="0" w:color="auto"/>
      </w:divBdr>
    </w:div>
    <w:div w:id="1087848531">
      <w:bodyDiv w:val="1"/>
      <w:marLeft w:val="0"/>
      <w:marRight w:val="0"/>
      <w:marTop w:val="0"/>
      <w:marBottom w:val="0"/>
      <w:divBdr>
        <w:top w:val="none" w:sz="0" w:space="0" w:color="auto"/>
        <w:left w:val="none" w:sz="0" w:space="0" w:color="auto"/>
        <w:bottom w:val="none" w:sz="0" w:space="0" w:color="auto"/>
        <w:right w:val="none" w:sz="0" w:space="0" w:color="auto"/>
      </w:divBdr>
    </w:div>
    <w:div w:id="1088160506">
      <w:bodyDiv w:val="1"/>
      <w:marLeft w:val="0"/>
      <w:marRight w:val="0"/>
      <w:marTop w:val="0"/>
      <w:marBottom w:val="0"/>
      <w:divBdr>
        <w:top w:val="none" w:sz="0" w:space="0" w:color="auto"/>
        <w:left w:val="none" w:sz="0" w:space="0" w:color="auto"/>
        <w:bottom w:val="none" w:sz="0" w:space="0" w:color="auto"/>
        <w:right w:val="none" w:sz="0" w:space="0" w:color="auto"/>
      </w:divBdr>
    </w:div>
    <w:div w:id="1088188239">
      <w:bodyDiv w:val="1"/>
      <w:marLeft w:val="0"/>
      <w:marRight w:val="0"/>
      <w:marTop w:val="0"/>
      <w:marBottom w:val="0"/>
      <w:divBdr>
        <w:top w:val="none" w:sz="0" w:space="0" w:color="auto"/>
        <w:left w:val="none" w:sz="0" w:space="0" w:color="auto"/>
        <w:bottom w:val="none" w:sz="0" w:space="0" w:color="auto"/>
        <w:right w:val="none" w:sz="0" w:space="0" w:color="auto"/>
      </w:divBdr>
    </w:div>
    <w:div w:id="1088233858">
      <w:bodyDiv w:val="1"/>
      <w:marLeft w:val="0"/>
      <w:marRight w:val="0"/>
      <w:marTop w:val="0"/>
      <w:marBottom w:val="0"/>
      <w:divBdr>
        <w:top w:val="none" w:sz="0" w:space="0" w:color="auto"/>
        <w:left w:val="none" w:sz="0" w:space="0" w:color="auto"/>
        <w:bottom w:val="none" w:sz="0" w:space="0" w:color="auto"/>
        <w:right w:val="none" w:sz="0" w:space="0" w:color="auto"/>
      </w:divBdr>
    </w:div>
    <w:div w:id="1088309413">
      <w:bodyDiv w:val="1"/>
      <w:marLeft w:val="0"/>
      <w:marRight w:val="0"/>
      <w:marTop w:val="0"/>
      <w:marBottom w:val="0"/>
      <w:divBdr>
        <w:top w:val="none" w:sz="0" w:space="0" w:color="auto"/>
        <w:left w:val="none" w:sz="0" w:space="0" w:color="auto"/>
        <w:bottom w:val="none" w:sz="0" w:space="0" w:color="auto"/>
        <w:right w:val="none" w:sz="0" w:space="0" w:color="auto"/>
      </w:divBdr>
    </w:div>
    <w:div w:id="1088384709">
      <w:bodyDiv w:val="1"/>
      <w:marLeft w:val="0"/>
      <w:marRight w:val="0"/>
      <w:marTop w:val="0"/>
      <w:marBottom w:val="0"/>
      <w:divBdr>
        <w:top w:val="none" w:sz="0" w:space="0" w:color="auto"/>
        <w:left w:val="none" w:sz="0" w:space="0" w:color="auto"/>
        <w:bottom w:val="none" w:sz="0" w:space="0" w:color="auto"/>
        <w:right w:val="none" w:sz="0" w:space="0" w:color="auto"/>
      </w:divBdr>
    </w:div>
    <w:div w:id="1088426462">
      <w:bodyDiv w:val="1"/>
      <w:marLeft w:val="0"/>
      <w:marRight w:val="0"/>
      <w:marTop w:val="0"/>
      <w:marBottom w:val="0"/>
      <w:divBdr>
        <w:top w:val="none" w:sz="0" w:space="0" w:color="auto"/>
        <w:left w:val="none" w:sz="0" w:space="0" w:color="auto"/>
        <w:bottom w:val="none" w:sz="0" w:space="0" w:color="auto"/>
        <w:right w:val="none" w:sz="0" w:space="0" w:color="auto"/>
      </w:divBdr>
    </w:div>
    <w:div w:id="1088427240">
      <w:bodyDiv w:val="1"/>
      <w:marLeft w:val="0"/>
      <w:marRight w:val="0"/>
      <w:marTop w:val="0"/>
      <w:marBottom w:val="0"/>
      <w:divBdr>
        <w:top w:val="none" w:sz="0" w:space="0" w:color="auto"/>
        <w:left w:val="none" w:sz="0" w:space="0" w:color="auto"/>
        <w:bottom w:val="none" w:sz="0" w:space="0" w:color="auto"/>
        <w:right w:val="none" w:sz="0" w:space="0" w:color="auto"/>
      </w:divBdr>
    </w:div>
    <w:div w:id="1088501914">
      <w:bodyDiv w:val="1"/>
      <w:marLeft w:val="0"/>
      <w:marRight w:val="0"/>
      <w:marTop w:val="0"/>
      <w:marBottom w:val="0"/>
      <w:divBdr>
        <w:top w:val="none" w:sz="0" w:space="0" w:color="auto"/>
        <w:left w:val="none" w:sz="0" w:space="0" w:color="auto"/>
        <w:bottom w:val="none" w:sz="0" w:space="0" w:color="auto"/>
        <w:right w:val="none" w:sz="0" w:space="0" w:color="auto"/>
      </w:divBdr>
    </w:div>
    <w:div w:id="1088622038">
      <w:bodyDiv w:val="1"/>
      <w:marLeft w:val="0"/>
      <w:marRight w:val="0"/>
      <w:marTop w:val="0"/>
      <w:marBottom w:val="0"/>
      <w:divBdr>
        <w:top w:val="none" w:sz="0" w:space="0" w:color="auto"/>
        <w:left w:val="none" w:sz="0" w:space="0" w:color="auto"/>
        <w:bottom w:val="none" w:sz="0" w:space="0" w:color="auto"/>
        <w:right w:val="none" w:sz="0" w:space="0" w:color="auto"/>
      </w:divBdr>
    </w:div>
    <w:div w:id="1088622814">
      <w:bodyDiv w:val="1"/>
      <w:marLeft w:val="0"/>
      <w:marRight w:val="0"/>
      <w:marTop w:val="0"/>
      <w:marBottom w:val="0"/>
      <w:divBdr>
        <w:top w:val="none" w:sz="0" w:space="0" w:color="auto"/>
        <w:left w:val="none" w:sz="0" w:space="0" w:color="auto"/>
        <w:bottom w:val="none" w:sz="0" w:space="0" w:color="auto"/>
        <w:right w:val="none" w:sz="0" w:space="0" w:color="auto"/>
      </w:divBdr>
    </w:div>
    <w:div w:id="1088693904">
      <w:bodyDiv w:val="1"/>
      <w:marLeft w:val="0"/>
      <w:marRight w:val="0"/>
      <w:marTop w:val="0"/>
      <w:marBottom w:val="0"/>
      <w:divBdr>
        <w:top w:val="none" w:sz="0" w:space="0" w:color="auto"/>
        <w:left w:val="none" w:sz="0" w:space="0" w:color="auto"/>
        <w:bottom w:val="none" w:sz="0" w:space="0" w:color="auto"/>
        <w:right w:val="none" w:sz="0" w:space="0" w:color="auto"/>
      </w:divBdr>
    </w:div>
    <w:div w:id="1088700101">
      <w:bodyDiv w:val="1"/>
      <w:marLeft w:val="0"/>
      <w:marRight w:val="0"/>
      <w:marTop w:val="0"/>
      <w:marBottom w:val="0"/>
      <w:divBdr>
        <w:top w:val="none" w:sz="0" w:space="0" w:color="auto"/>
        <w:left w:val="none" w:sz="0" w:space="0" w:color="auto"/>
        <w:bottom w:val="none" w:sz="0" w:space="0" w:color="auto"/>
        <w:right w:val="none" w:sz="0" w:space="0" w:color="auto"/>
      </w:divBdr>
    </w:div>
    <w:div w:id="1088884768">
      <w:bodyDiv w:val="1"/>
      <w:marLeft w:val="0"/>
      <w:marRight w:val="0"/>
      <w:marTop w:val="0"/>
      <w:marBottom w:val="0"/>
      <w:divBdr>
        <w:top w:val="none" w:sz="0" w:space="0" w:color="auto"/>
        <w:left w:val="none" w:sz="0" w:space="0" w:color="auto"/>
        <w:bottom w:val="none" w:sz="0" w:space="0" w:color="auto"/>
        <w:right w:val="none" w:sz="0" w:space="0" w:color="auto"/>
      </w:divBdr>
    </w:div>
    <w:div w:id="1088893037">
      <w:bodyDiv w:val="1"/>
      <w:marLeft w:val="0"/>
      <w:marRight w:val="0"/>
      <w:marTop w:val="0"/>
      <w:marBottom w:val="0"/>
      <w:divBdr>
        <w:top w:val="none" w:sz="0" w:space="0" w:color="auto"/>
        <w:left w:val="none" w:sz="0" w:space="0" w:color="auto"/>
        <w:bottom w:val="none" w:sz="0" w:space="0" w:color="auto"/>
        <w:right w:val="none" w:sz="0" w:space="0" w:color="auto"/>
      </w:divBdr>
    </w:div>
    <w:div w:id="1089037097">
      <w:bodyDiv w:val="1"/>
      <w:marLeft w:val="0"/>
      <w:marRight w:val="0"/>
      <w:marTop w:val="0"/>
      <w:marBottom w:val="0"/>
      <w:divBdr>
        <w:top w:val="none" w:sz="0" w:space="0" w:color="auto"/>
        <w:left w:val="none" w:sz="0" w:space="0" w:color="auto"/>
        <w:bottom w:val="none" w:sz="0" w:space="0" w:color="auto"/>
        <w:right w:val="none" w:sz="0" w:space="0" w:color="auto"/>
      </w:divBdr>
    </w:div>
    <w:div w:id="1089042496">
      <w:bodyDiv w:val="1"/>
      <w:marLeft w:val="0"/>
      <w:marRight w:val="0"/>
      <w:marTop w:val="0"/>
      <w:marBottom w:val="0"/>
      <w:divBdr>
        <w:top w:val="none" w:sz="0" w:space="0" w:color="auto"/>
        <w:left w:val="none" w:sz="0" w:space="0" w:color="auto"/>
        <w:bottom w:val="none" w:sz="0" w:space="0" w:color="auto"/>
        <w:right w:val="none" w:sz="0" w:space="0" w:color="auto"/>
      </w:divBdr>
    </w:div>
    <w:div w:id="1089079226">
      <w:bodyDiv w:val="1"/>
      <w:marLeft w:val="0"/>
      <w:marRight w:val="0"/>
      <w:marTop w:val="0"/>
      <w:marBottom w:val="0"/>
      <w:divBdr>
        <w:top w:val="none" w:sz="0" w:space="0" w:color="auto"/>
        <w:left w:val="none" w:sz="0" w:space="0" w:color="auto"/>
        <w:bottom w:val="none" w:sz="0" w:space="0" w:color="auto"/>
        <w:right w:val="none" w:sz="0" w:space="0" w:color="auto"/>
      </w:divBdr>
    </w:div>
    <w:div w:id="1089276148">
      <w:bodyDiv w:val="1"/>
      <w:marLeft w:val="0"/>
      <w:marRight w:val="0"/>
      <w:marTop w:val="0"/>
      <w:marBottom w:val="0"/>
      <w:divBdr>
        <w:top w:val="none" w:sz="0" w:space="0" w:color="auto"/>
        <w:left w:val="none" w:sz="0" w:space="0" w:color="auto"/>
        <w:bottom w:val="none" w:sz="0" w:space="0" w:color="auto"/>
        <w:right w:val="none" w:sz="0" w:space="0" w:color="auto"/>
      </w:divBdr>
    </w:div>
    <w:div w:id="1089425215">
      <w:bodyDiv w:val="1"/>
      <w:marLeft w:val="0"/>
      <w:marRight w:val="0"/>
      <w:marTop w:val="0"/>
      <w:marBottom w:val="0"/>
      <w:divBdr>
        <w:top w:val="none" w:sz="0" w:space="0" w:color="auto"/>
        <w:left w:val="none" w:sz="0" w:space="0" w:color="auto"/>
        <w:bottom w:val="none" w:sz="0" w:space="0" w:color="auto"/>
        <w:right w:val="none" w:sz="0" w:space="0" w:color="auto"/>
      </w:divBdr>
    </w:div>
    <w:div w:id="1089617306">
      <w:bodyDiv w:val="1"/>
      <w:marLeft w:val="0"/>
      <w:marRight w:val="0"/>
      <w:marTop w:val="0"/>
      <w:marBottom w:val="0"/>
      <w:divBdr>
        <w:top w:val="none" w:sz="0" w:space="0" w:color="auto"/>
        <w:left w:val="none" w:sz="0" w:space="0" w:color="auto"/>
        <w:bottom w:val="none" w:sz="0" w:space="0" w:color="auto"/>
        <w:right w:val="none" w:sz="0" w:space="0" w:color="auto"/>
      </w:divBdr>
    </w:div>
    <w:div w:id="1089620467">
      <w:bodyDiv w:val="1"/>
      <w:marLeft w:val="0"/>
      <w:marRight w:val="0"/>
      <w:marTop w:val="0"/>
      <w:marBottom w:val="0"/>
      <w:divBdr>
        <w:top w:val="none" w:sz="0" w:space="0" w:color="auto"/>
        <w:left w:val="none" w:sz="0" w:space="0" w:color="auto"/>
        <w:bottom w:val="none" w:sz="0" w:space="0" w:color="auto"/>
        <w:right w:val="none" w:sz="0" w:space="0" w:color="auto"/>
      </w:divBdr>
    </w:div>
    <w:div w:id="1089690519">
      <w:bodyDiv w:val="1"/>
      <w:marLeft w:val="0"/>
      <w:marRight w:val="0"/>
      <w:marTop w:val="0"/>
      <w:marBottom w:val="0"/>
      <w:divBdr>
        <w:top w:val="none" w:sz="0" w:space="0" w:color="auto"/>
        <w:left w:val="none" w:sz="0" w:space="0" w:color="auto"/>
        <w:bottom w:val="none" w:sz="0" w:space="0" w:color="auto"/>
        <w:right w:val="none" w:sz="0" w:space="0" w:color="auto"/>
      </w:divBdr>
    </w:div>
    <w:div w:id="1089733128">
      <w:bodyDiv w:val="1"/>
      <w:marLeft w:val="0"/>
      <w:marRight w:val="0"/>
      <w:marTop w:val="0"/>
      <w:marBottom w:val="0"/>
      <w:divBdr>
        <w:top w:val="none" w:sz="0" w:space="0" w:color="auto"/>
        <w:left w:val="none" w:sz="0" w:space="0" w:color="auto"/>
        <w:bottom w:val="none" w:sz="0" w:space="0" w:color="auto"/>
        <w:right w:val="none" w:sz="0" w:space="0" w:color="auto"/>
      </w:divBdr>
    </w:div>
    <w:div w:id="1089887500">
      <w:bodyDiv w:val="1"/>
      <w:marLeft w:val="0"/>
      <w:marRight w:val="0"/>
      <w:marTop w:val="0"/>
      <w:marBottom w:val="0"/>
      <w:divBdr>
        <w:top w:val="none" w:sz="0" w:space="0" w:color="auto"/>
        <w:left w:val="none" w:sz="0" w:space="0" w:color="auto"/>
        <w:bottom w:val="none" w:sz="0" w:space="0" w:color="auto"/>
        <w:right w:val="none" w:sz="0" w:space="0" w:color="auto"/>
      </w:divBdr>
    </w:div>
    <w:div w:id="1089888208">
      <w:bodyDiv w:val="1"/>
      <w:marLeft w:val="0"/>
      <w:marRight w:val="0"/>
      <w:marTop w:val="0"/>
      <w:marBottom w:val="0"/>
      <w:divBdr>
        <w:top w:val="none" w:sz="0" w:space="0" w:color="auto"/>
        <w:left w:val="none" w:sz="0" w:space="0" w:color="auto"/>
        <w:bottom w:val="none" w:sz="0" w:space="0" w:color="auto"/>
        <w:right w:val="none" w:sz="0" w:space="0" w:color="auto"/>
      </w:divBdr>
    </w:div>
    <w:div w:id="1089931341">
      <w:bodyDiv w:val="1"/>
      <w:marLeft w:val="0"/>
      <w:marRight w:val="0"/>
      <w:marTop w:val="0"/>
      <w:marBottom w:val="0"/>
      <w:divBdr>
        <w:top w:val="none" w:sz="0" w:space="0" w:color="auto"/>
        <w:left w:val="none" w:sz="0" w:space="0" w:color="auto"/>
        <w:bottom w:val="none" w:sz="0" w:space="0" w:color="auto"/>
        <w:right w:val="none" w:sz="0" w:space="0" w:color="auto"/>
      </w:divBdr>
    </w:div>
    <w:div w:id="1090156208">
      <w:bodyDiv w:val="1"/>
      <w:marLeft w:val="0"/>
      <w:marRight w:val="0"/>
      <w:marTop w:val="0"/>
      <w:marBottom w:val="0"/>
      <w:divBdr>
        <w:top w:val="none" w:sz="0" w:space="0" w:color="auto"/>
        <w:left w:val="none" w:sz="0" w:space="0" w:color="auto"/>
        <w:bottom w:val="none" w:sz="0" w:space="0" w:color="auto"/>
        <w:right w:val="none" w:sz="0" w:space="0" w:color="auto"/>
      </w:divBdr>
    </w:div>
    <w:div w:id="1090201439">
      <w:bodyDiv w:val="1"/>
      <w:marLeft w:val="0"/>
      <w:marRight w:val="0"/>
      <w:marTop w:val="0"/>
      <w:marBottom w:val="0"/>
      <w:divBdr>
        <w:top w:val="none" w:sz="0" w:space="0" w:color="auto"/>
        <w:left w:val="none" w:sz="0" w:space="0" w:color="auto"/>
        <w:bottom w:val="none" w:sz="0" w:space="0" w:color="auto"/>
        <w:right w:val="none" w:sz="0" w:space="0" w:color="auto"/>
      </w:divBdr>
    </w:div>
    <w:div w:id="1090350355">
      <w:bodyDiv w:val="1"/>
      <w:marLeft w:val="0"/>
      <w:marRight w:val="0"/>
      <w:marTop w:val="0"/>
      <w:marBottom w:val="0"/>
      <w:divBdr>
        <w:top w:val="none" w:sz="0" w:space="0" w:color="auto"/>
        <w:left w:val="none" w:sz="0" w:space="0" w:color="auto"/>
        <w:bottom w:val="none" w:sz="0" w:space="0" w:color="auto"/>
        <w:right w:val="none" w:sz="0" w:space="0" w:color="auto"/>
      </w:divBdr>
    </w:div>
    <w:div w:id="1090350992">
      <w:bodyDiv w:val="1"/>
      <w:marLeft w:val="0"/>
      <w:marRight w:val="0"/>
      <w:marTop w:val="0"/>
      <w:marBottom w:val="0"/>
      <w:divBdr>
        <w:top w:val="none" w:sz="0" w:space="0" w:color="auto"/>
        <w:left w:val="none" w:sz="0" w:space="0" w:color="auto"/>
        <w:bottom w:val="none" w:sz="0" w:space="0" w:color="auto"/>
        <w:right w:val="none" w:sz="0" w:space="0" w:color="auto"/>
      </w:divBdr>
    </w:div>
    <w:div w:id="1090463177">
      <w:bodyDiv w:val="1"/>
      <w:marLeft w:val="0"/>
      <w:marRight w:val="0"/>
      <w:marTop w:val="0"/>
      <w:marBottom w:val="0"/>
      <w:divBdr>
        <w:top w:val="none" w:sz="0" w:space="0" w:color="auto"/>
        <w:left w:val="none" w:sz="0" w:space="0" w:color="auto"/>
        <w:bottom w:val="none" w:sz="0" w:space="0" w:color="auto"/>
        <w:right w:val="none" w:sz="0" w:space="0" w:color="auto"/>
      </w:divBdr>
    </w:div>
    <w:div w:id="1090464289">
      <w:bodyDiv w:val="1"/>
      <w:marLeft w:val="0"/>
      <w:marRight w:val="0"/>
      <w:marTop w:val="0"/>
      <w:marBottom w:val="0"/>
      <w:divBdr>
        <w:top w:val="none" w:sz="0" w:space="0" w:color="auto"/>
        <w:left w:val="none" w:sz="0" w:space="0" w:color="auto"/>
        <w:bottom w:val="none" w:sz="0" w:space="0" w:color="auto"/>
        <w:right w:val="none" w:sz="0" w:space="0" w:color="auto"/>
      </w:divBdr>
    </w:div>
    <w:div w:id="1090546351">
      <w:bodyDiv w:val="1"/>
      <w:marLeft w:val="0"/>
      <w:marRight w:val="0"/>
      <w:marTop w:val="0"/>
      <w:marBottom w:val="0"/>
      <w:divBdr>
        <w:top w:val="none" w:sz="0" w:space="0" w:color="auto"/>
        <w:left w:val="none" w:sz="0" w:space="0" w:color="auto"/>
        <w:bottom w:val="none" w:sz="0" w:space="0" w:color="auto"/>
        <w:right w:val="none" w:sz="0" w:space="0" w:color="auto"/>
      </w:divBdr>
    </w:div>
    <w:div w:id="1090586159">
      <w:bodyDiv w:val="1"/>
      <w:marLeft w:val="0"/>
      <w:marRight w:val="0"/>
      <w:marTop w:val="0"/>
      <w:marBottom w:val="0"/>
      <w:divBdr>
        <w:top w:val="none" w:sz="0" w:space="0" w:color="auto"/>
        <w:left w:val="none" w:sz="0" w:space="0" w:color="auto"/>
        <w:bottom w:val="none" w:sz="0" w:space="0" w:color="auto"/>
        <w:right w:val="none" w:sz="0" w:space="0" w:color="auto"/>
      </w:divBdr>
    </w:div>
    <w:div w:id="1090590525">
      <w:bodyDiv w:val="1"/>
      <w:marLeft w:val="0"/>
      <w:marRight w:val="0"/>
      <w:marTop w:val="0"/>
      <w:marBottom w:val="0"/>
      <w:divBdr>
        <w:top w:val="none" w:sz="0" w:space="0" w:color="auto"/>
        <w:left w:val="none" w:sz="0" w:space="0" w:color="auto"/>
        <w:bottom w:val="none" w:sz="0" w:space="0" w:color="auto"/>
        <w:right w:val="none" w:sz="0" w:space="0" w:color="auto"/>
      </w:divBdr>
    </w:div>
    <w:div w:id="1090663317">
      <w:bodyDiv w:val="1"/>
      <w:marLeft w:val="0"/>
      <w:marRight w:val="0"/>
      <w:marTop w:val="0"/>
      <w:marBottom w:val="0"/>
      <w:divBdr>
        <w:top w:val="none" w:sz="0" w:space="0" w:color="auto"/>
        <w:left w:val="none" w:sz="0" w:space="0" w:color="auto"/>
        <w:bottom w:val="none" w:sz="0" w:space="0" w:color="auto"/>
        <w:right w:val="none" w:sz="0" w:space="0" w:color="auto"/>
      </w:divBdr>
    </w:div>
    <w:div w:id="1090663347">
      <w:bodyDiv w:val="1"/>
      <w:marLeft w:val="0"/>
      <w:marRight w:val="0"/>
      <w:marTop w:val="0"/>
      <w:marBottom w:val="0"/>
      <w:divBdr>
        <w:top w:val="none" w:sz="0" w:space="0" w:color="auto"/>
        <w:left w:val="none" w:sz="0" w:space="0" w:color="auto"/>
        <w:bottom w:val="none" w:sz="0" w:space="0" w:color="auto"/>
        <w:right w:val="none" w:sz="0" w:space="0" w:color="auto"/>
      </w:divBdr>
    </w:div>
    <w:div w:id="1090664306">
      <w:bodyDiv w:val="1"/>
      <w:marLeft w:val="0"/>
      <w:marRight w:val="0"/>
      <w:marTop w:val="0"/>
      <w:marBottom w:val="0"/>
      <w:divBdr>
        <w:top w:val="none" w:sz="0" w:space="0" w:color="auto"/>
        <w:left w:val="none" w:sz="0" w:space="0" w:color="auto"/>
        <w:bottom w:val="none" w:sz="0" w:space="0" w:color="auto"/>
        <w:right w:val="none" w:sz="0" w:space="0" w:color="auto"/>
      </w:divBdr>
    </w:div>
    <w:div w:id="1090734653">
      <w:bodyDiv w:val="1"/>
      <w:marLeft w:val="0"/>
      <w:marRight w:val="0"/>
      <w:marTop w:val="0"/>
      <w:marBottom w:val="0"/>
      <w:divBdr>
        <w:top w:val="none" w:sz="0" w:space="0" w:color="auto"/>
        <w:left w:val="none" w:sz="0" w:space="0" w:color="auto"/>
        <w:bottom w:val="none" w:sz="0" w:space="0" w:color="auto"/>
        <w:right w:val="none" w:sz="0" w:space="0" w:color="auto"/>
      </w:divBdr>
    </w:div>
    <w:div w:id="1090782942">
      <w:bodyDiv w:val="1"/>
      <w:marLeft w:val="0"/>
      <w:marRight w:val="0"/>
      <w:marTop w:val="0"/>
      <w:marBottom w:val="0"/>
      <w:divBdr>
        <w:top w:val="none" w:sz="0" w:space="0" w:color="auto"/>
        <w:left w:val="none" w:sz="0" w:space="0" w:color="auto"/>
        <w:bottom w:val="none" w:sz="0" w:space="0" w:color="auto"/>
        <w:right w:val="none" w:sz="0" w:space="0" w:color="auto"/>
      </w:divBdr>
    </w:div>
    <w:div w:id="1090809048">
      <w:bodyDiv w:val="1"/>
      <w:marLeft w:val="0"/>
      <w:marRight w:val="0"/>
      <w:marTop w:val="0"/>
      <w:marBottom w:val="0"/>
      <w:divBdr>
        <w:top w:val="none" w:sz="0" w:space="0" w:color="auto"/>
        <w:left w:val="none" w:sz="0" w:space="0" w:color="auto"/>
        <w:bottom w:val="none" w:sz="0" w:space="0" w:color="auto"/>
        <w:right w:val="none" w:sz="0" w:space="0" w:color="auto"/>
      </w:divBdr>
    </w:div>
    <w:div w:id="1090927060">
      <w:bodyDiv w:val="1"/>
      <w:marLeft w:val="0"/>
      <w:marRight w:val="0"/>
      <w:marTop w:val="0"/>
      <w:marBottom w:val="0"/>
      <w:divBdr>
        <w:top w:val="none" w:sz="0" w:space="0" w:color="auto"/>
        <w:left w:val="none" w:sz="0" w:space="0" w:color="auto"/>
        <w:bottom w:val="none" w:sz="0" w:space="0" w:color="auto"/>
        <w:right w:val="none" w:sz="0" w:space="0" w:color="auto"/>
      </w:divBdr>
    </w:div>
    <w:div w:id="1091051374">
      <w:bodyDiv w:val="1"/>
      <w:marLeft w:val="0"/>
      <w:marRight w:val="0"/>
      <w:marTop w:val="0"/>
      <w:marBottom w:val="0"/>
      <w:divBdr>
        <w:top w:val="none" w:sz="0" w:space="0" w:color="auto"/>
        <w:left w:val="none" w:sz="0" w:space="0" w:color="auto"/>
        <w:bottom w:val="none" w:sz="0" w:space="0" w:color="auto"/>
        <w:right w:val="none" w:sz="0" w:space="0" w:color="auto"/>
      </w:divBdr>
    </w:div>
    <w:div w:id="1091195494">
      <w:bodyDiv w:val="1"/>
      <w:marLeft w:val="0"/>
      <w:marRight w:val="0"/>
      <w:marTop w:val="0"/>
      <w:marBottom w:val="0"/>
      <w:divBdr>
        <w:top w:val="none" w:sz="0" w:space="0" w:color="auto"/>
        <w:left w:val="none" w:sz="0" w:space="0" w:color="auto"/>
        <w:bottom w:val="none" w:sz="0" w:space="0" w:color="auto"/>
        <w:right w:val="none" w:sz="0" w:space="0" w:color="auto"/>
      </w:divBdr>
    </w:div>
    <w:div w:id="1091196114">
      <w:bodyDiv w:val="1"/>
      <w:marLeft w:val="0"/>
      <w:marRight w:val="0"/>
      <w:marTop w:val="0"/>
      <w:marBottom w:val="0"/>
      <w:divBdr>
        <w:top w:val="none" w:sz="0" w:space="0" w:color="auto"/>
        <w:left w:val="none" w:sz="0" w:space="0" w:color="auto"/>
        <w:bottom w:val="none" w:sz="0" w:space="0" w:color="auto"/>
        <w:right w:val="none" w:sz="0" w:space="0" w:color="auto"/>
      </w:divBdr>
    </w:div>
    <w:div w:id="1091200684">
      <w:bodyDiv w:val="1"/>
      <w:marLeft w:val="0"/>
      <w:marRight w:val="0"/>
      <w:marTop w:val="0"/>
      <w:marBottom w:val="0"/>
      <w:divBdr>
        <w:top w:val="none" w:sz="0" w:space="0" w:color="auto"/>
        <w:left w:val="none" w:sz="0" w:space="0" w:color="auto"/>
        <w:bottom w:val="none" w:sz="0" w:space="0" w:color="auto"/>
        <w:right w:val="none" w:sz="0" w:space="0" w:color="auto"/>
      </w:divBdr>
    </w:div>
    <w:div w:id="1091312459">
      <w:bodyDiv w:val="1"/>
      <w:marLeft w:val="0"/>
      <w:marRight w:val="0"/>
      <w:marTop w:val="0"/>
      <w:marBottom w:val="0"/>
      <w:divBdr>
        <w:top w:val="none" w:sz="0" w:space="0" w:color="auto"/>
        <w:left w:val="none" w:sz="0" w:space="0" w:color="auto"/>
        <w:bottom w:val="none" w:sz="0" w:space="0" w:color="auto"/>
        <w:right w:val="none" w:sz="0" w:space="0" w:color="auto"/>
      </w:divBdr>
    </w:div>
    <w:div w:id="1091391287">
      <w:bodyDiv w:val="1"/>
      <w:marLeft w:val="0"/>
      <w:marRight w:val="0"/>
      <w:marTop w:val="0"/>
      <w:marBottom w:val="0"/>
      <w:divBdr>
        <w:top w:val="none" w:sz="0" w:space="0" w:color="auto"/>
        <w:left w:val="none" w:sz="0" w:space="0" w:color="auto"/>
        <w:bottom w:val="none" w:sz="0" w:space="0" w:color="auto"/>
        <w:right w:val="none" w:sz="0" w:space="0" w:color="auto"/>
      </w:divBdr>
    </w:div>
    <w:div w:id="1091507846">
      <w:bodyDiv w:val="1"/>
      <w:marLeft w:val="0"/>
      <w:marRight w:val="0"/>
      <w:marTop w:val="0"/>
      <w:marBottom w:val="0"/>
      <w:divBdr>
        <w:top w:val="none" w:sz="0" w:space="0" w:color="auto"/>
        <w:left w:val="none" w:sz="0" w:space="0" w:color="auto"/>
        <w:bottom w:val="none" w:sz="0" w:space="0" w:color="auto"/>
        <w:right w:val="none" w:sz="0" w:space="0" w:color="auto"/>
      </w:divBdr>
    </w:div>
    <w:div w:id="1091508482">
      <w:bodyDiv w:val="1"/>
      <w:marLeft w:val="0"/>
      <w:marRight w:val="0"/>
      <w:marTop w:val="0"/>
      <w:marBottom w:val="0"/>
      <w:divBdr>
        <w:top w:val="none" w:sz="0" w:space="0" w:color="auto"/>
        <w:left w:val="none" w:sz="0" w:space="0" w:color="auto"/>
        <w:bottom w:val="none" w:sz="0" w:space="0" w:color="auto"/>
        <w:right w:val="none" w:sz="0" w:space="0" w:color="auto"/>
      </w:divBdr>
    </w:div>
    <w:div w:id="1091705594">
      <w:bodyDiv w:val="1"/>
      <w:marLeft w:val="0"/>
      <w:marRight w:val="0"/>
      <w:marTop w:val="0"/>
      <w:marBottom w:val="0"/>
      <w:divBdr>
        <w:top w:val="none" w:sz="0" w:space="0" w:color="auto"/>
        <w:left w:val="none" w:sz="0" w:space="0" w:color="auto"/>
        <w:bottom w:val="none" w:sz="0" w:space="0" w:color="auto"/>
        <w:right w:val="none" w:sz="0" w:space="0" w:color="auto"/>
      </w:divBdr>
    </w:div>
    <w:div w:id="1091706693">
      <w:bodyDiv w:val="1"/>
      <w:marLeft w:val="0"/>
      <w:marRight w:val="0"/>
      <w:marTop w:val="0"/>
      <w:marBottom w:val="0"/>
      <w:divBdr>
        <w:top w:val="none" w:sz="0" w:space="0" w:color="auto"/>
        <w:left w:val="none" w:sz="0" w:space="0" w:color="auto"/>
        <w:bottom w:val="none" w:sz="0" w:space="0" w:color="auto"/>
        <w:right w:val="none" w:sz="0" w:space="0" w:color="auto"/>
      </w:divBdr>
    </w:div>
    <w:div w:id="1091780598">
      <w:bodyDiv w:val="1"/>
      <w:marLeft w:val="0"/>
      <w:marRight w:val="0"/>
      <w:marTop w:val="0"/>
      <w:marBottom w:val="0"/>
      <w:divBdr>
        <w:top w:val="none" w:sz="0" w:space="0" w:color="auto"/>
        <w:left w:val="none" w:sz="0" w:space="0" w:color="auto"/>
        <w:bottom w:val="none" w:sz="0" w:space="0" w:color="auto"/>
        <w:right w:val="none" w:sz="0" w:space="0" w:color="auto"/>
      </w:divBdr>
    </w:div>
    <w:div w:id="1091783158">
      <w:bodyDiv w:val="1"/>
      <w:marLeft w:val="0"/>
      <w:marRight w:val="0"/>
      <w:marTop w:val="0"/>
      <w:marBottom w:val="0"/>
      <w:divBdr>
        <w:top w:val="none" w:sz="0" w:space="0" w:color="auto"/>
        <w:left w:val="none" w:sz="0" w:space="0" w:color="auto"/>
        <w:bottom w:val="none" w:sz="0" w:space="0" w:color="auto"/>
        <w:right w:val="none" w:sz="0" w:space="0" w:color="auto"/>
      </w:divBdr>
    </w:div>
    <w:div w:id="1091849032">
      <w:bodyDiv w:val="1"/>
      <w:marLeft w:val="0"/>
      <w:marRight w:val="0"/>
      <w:marTop w:val="0"/>
      <w:marBottom w:val="0"/>
      <w:divBdr>
        <w:top w:val="none" w:sz="0" w:space="0" w:color="auto"/>
        <w:left w:val="none" w:sz="0" w:space="0" w:color="auto"/>
        <w:bottom w:val="none" w:sz="0" w:space="0" w:color="auto"/>
        <w:right w:val="none" w:sz="0" w:space="0" w:color="auto"/>
      </w:divBdr>
    </w:div>
    <w:div w:id="1091851838">
      <w:bodyDiv w:val="1"/>
      <w:marLeft w:val="0"/>
      <w:marRight w:val="0"/>
      <w:marTop w:val="0"/>
      <w:marBottom w:val="0"/>
      <w:divBdr>
        <w:top w:val="none" w:sz="0" w:space="0" w:color="auto"/>
        <w:left w:val="none" w:sz="0" w:space="0" w:color="auto"/>
        <w:bottom w:val="none" w:sz="0" w:space="0" w:color="auto"/>
        <w:right w:val="none" w:sz="0" w:space="0" w:color="auto"/>
      </w:divBdr>
    </w:div>
    <w:div w:id="1091852552">
      <w:bodyDiv w:val="1"/>
      <w:marLeft w:val="0"/>
      <w:marRight w:val="0"/>
      <w:marTop w:val="0"/>
      <w:marBottom w:val="0"/>
      <w:divBdr>
        <w:top w:val="none" w:sz="0" w:space="0" w:color="auto"/>
        <w:left w:val="none" w:sz="0" w:space="0" w:color="auto"/>
        <w:bottom w:val="none" w:sz="0" w:space="0" w:color="auto"/>
        <w:right w:val="none" w:sz="0" w:space="0" w:color="auto"/>
      </w:divBdr>
    </w:div>
    <w:div w:id="1091970914">
      <w:bodyDiv w:val="1"/>
      <w:marLeft w:val="0"/>
      <w:marRight w:val="0"/>
      <w:marTop w:val="0"/>
      <w:marBottom w:val="0"/>
      <w:divBdr>
        <w:top w:val="none" w:sz="0" w:space="0" w:color="auto"/>
        <w:left w:val="none" w:sz="0" w:space="0" w:color="auto"/>
        <w:bottom w:val="none" w:sz="0" w:space="0" w:color="auto"/>
        <w:right w:val="none" w:sz="0" w:space="0" w:color="auto"/>
      </w:divBdr>
    </w:div>
    <w:div w:id="1091972864">
      <w:bodyDiv w:val="1"/>
      <w:marLeft w:val="0"/>
      <w:marRight w:val="0"/>
      <w:marTop w:val="0"/>
      <w:marBottom w:val="0"/>
      <w:divBdr>
        <w:top w:val="none" w:sz="0" w:space="0" w:color="auto"/>
        <w:left w:val="none" w:sz="0" w:space="0" w:color="auto"/>
        <w:bottom w:val="none" w:sz="0" w:space="0" w:color="auto"/>
        <w:right w:val="none" w:sz="0" w:space="0" w:color="auto"/>
      </w:divBdr>
    </w:div>
    <w:div w:id="1092118275">
      <w:bodyDiv w:val="1"/>
      <w:marLeft w:val="0"/>
      <w:marRight w:val="0"/>
      <w:marTop w:val="0"/>
      <w:marBottom w:val="0"/>
      <w:divBdr>
        <w:top w:val="none" w:sz="0" w:space="0" w:color="auto"/>
        <w:left w:val="none" w:sz="0" w:space="0" w:color="auto"/>
        <w:bottom w:val="none" w:sz="0" w:space="0" w:color="auto"/>
        <w:right w:val="none" w:sz="0" w:space="0" w:color="auto"/>
      </w:divBdr>
    </w:div>
    <w:div w:id="1092162574">
      <w:bodyDiv w:val="1"/>
      <w:marLeft w:val="0"/>
      <w:marRight w:val="0"/>
      <w:marTop w:val="0"/>
      <w:marBottom w:val="0"/>
      <w:divBdr>
        <w:top w:val="none" w:sz="0" w:space="0" w:color="auto"/>
        <w:left w:val="none" w:sz="0" w:space="0" w:color="auto"/>
        <w:bottom w:val="none" w:sz="0" w:space="0" w:color="auto"/>
        <w:right w:val="none" w:sz="0" w:space="0" w:color="auto"/>
      </w:divBdr>
    </w:div>
    <w:div w:id="1092163560">
      <w:bodyDiv w:val="1"/>
      <w:marLeft w:val="0"/>
      <w:marRight w:val="0"/>
      <w:marTop w:val="0"/>
      <w:marBottom w:val="0"/>
      <w:divBdr>
        <w:top w:val="none" w:sz="0" w:space="0" w:color="auto"/>
        <w:left w:val="none" w:sz="0" w:space="0" w:color="auto"/>
        <w:bottom w:val="none" w:sz="0" w:space="0" w:color="auto"/>
        <w:right w:val="none" w:sz="0" w:space="0" w:color="auto"/>
      </w:divBdr>
    </w:div>
    <w:div w:id="1092168167">
      <w:bodyDiv w:val="1"/>
      <w:marLeft w:val="0"/>
      <w:marRight w:val="0"/>
      <w:marTop w:val="0"/>
      <w:marBottom w:val="0"/>
      <w:divBdr>
        <w:top w:val="none" w:sz="0" w:space="0" w:color="auto"/>
        <w:left w:val="none" w:sz="0" w:space="0" w:color="auto"/>
        <w:bottom w:val="none" w:sz="0" w:space="0" w:color="auto"/>
        <w:right w:val="none" w:sz="0" w:space="0" w:color="auto"/>
      </w:divBdr>
    </w:div>
    <w:div w:id="1092317602">
      <w:bodyDiv w:val="1"/>
      <w:marLeft w:val="0"/>
      <w:marRight w:val="0"/>
      <w:marTop w:val="0"/>
      <w:marBottom w:val="0"/>
      <w:divBdr>
        <w:top w:val="none" w:sz="0" w:space="0" w:color="auto"/>
        <w:left w:val="none" w:sz="0" w:space="0" w:color="auto"/>
        <w:bottom w:val="none" w:sz="0" w:space="0" w:color="auto"/>
        <w:right w:val="none" w:sz="0" w:space="0" w:color="auto"/>
      </w:divBdr>
    </w:div>
    <w:div w:id="1092362205">
      <w:bodyDiv w:val="1"/>
      <w:marLeft w:val="0"/>
      <w:marRight w:val="0"/>
      <w:marTop w:val="0"/>
      <w:marBottom w:val="0"/>
      <w:divBdr>
        <w:top w:val="none" w:sz="0" w:space="0" w:color="auto"/>
        <w:left w:val="none" w:sz="0" w:space="0" w:color="auto"/>
        <w:bottom w:val="none" w:sz="0" w:space="0" w:color="auto"/>
        <w:right w:val="none" w:sz="0" w:space="0" w:color="auto"/>
      </w:divBdr>
    </w:div>
    <w:div w:id="1092433868">
      <w:bodyDiv w:val="1"/>
      <w:marLeft w:val="0"/>
      <w:marRight w:val="0"/>
      <w:marTop w:val="0"/>
      <w:marBottom w:val="0"/>
      <w:divBdr>
        <w:top w:val="none" w:sz="0" w:space="0" w:color="auto"/>
        <w:left w:val="none" w:sz="0" w:space="0" w:color="auto"/>
        <w:bottom w:val="none" w:sz="0" w:space="0" w:color="auto"/>
        <w:right w:val="none" w:sz="0" w:space="0" w:color="auto"/>
      </w:divBdr>
    </w:div>
    <w:div w:id="1092434469">
      <w:bodyDiv w:val="1"/>
      <w:marLeft w:val="0"/>
      <w:marRight w:val="0"/>
      <w:marTop w:val="0"/>
      <w:marBottom w:val="0"/>
      <w:divBdr>
        <w:top w:val="none" w:sz="0" w:space="0" w:color="auto"/>
        <w:left w:val="none" w:sz="0" w:space="0" w:color="auto"/>
        <w:bottom w:val="none" w:sz="0" w:space="0" w:color="auto"/>
        <w:right w:val="none" w:sz="0" w:space="0" w:color="auto"/>
      </w:divBdr>
    </w:div>
    <w:div w:id="1092438053">
      <w:bodyDiv w:val="1"/>
      <w:marLeft w:val="0"/>
      <w:marRight w:val="0"/>
      <w:marTop w:val="0"/>
      <w:marBottom w:val="0"/>
      <w:divBdr>
        <w:top w:val="none" w:sz="0" w:space="0" w:color="auto"/>
        <w:left w:val="none" w:sz="0" w:space="0" w:color="auto"/>
        <w:bottom w:val="none" w:sz="0" w:space="0" w:color="auto"/>
        <w:right w:val="none" w:sz="0" w:space="0" w:color="auto"/>
      </w:divBdr>
    </w:div>
    <w:div w:id="1092505008">
      <w:bodyDiv w:val="1"/>
      <w:marLeft w:val="0"/>
      <w:marRight w:val="0"/>
      <w:marTop w:val="0"/>
      <w:marBottom w:val="0"/>
      <w:divBdr>
        <w:top w:val="none" w:sz="0" w:space="0" w:color="auto"/>
        <w:left w:val="none" w:sz="0" w:space="0" w:color="auto"/>
        <w:bottom w:val="none" w:sz="0" w:space="0" w:color="auto"/>
        <w:right w:val="none" w:sz="0" w:space="0" w:color="auto"/>
      </w:divBdr>
    </w:div>
    <w:div w:id="1092506430">
      <w:bodyDiv w:val="1"/>
      <w:marLeft w:val="0"/>
      <w:marRight w:val="0"/>
      <w:marTop w:val="0"/>
      <w:marBottom w:val="0"/>
      <w:divBdr>
        <w:top w:val="none" w:sz="0" w:space="0" w:color="auto"/>
        <w:left w:val="none" w:sz="0" w:space="0" w:color="auto"/>
        <w:bottom w:val="none" w:sz="0" w:space="0" w:color="auto"/>
        <w:right w:val="none" w:sz="0" w:space="0" w:color="auto"/>
      </w:divBdr>
    </w:div>
    <w:div w:id="1092508092">
      <w:bodyDiv w:val="1"/>
      <w:marLeft w:val="0"/>
      <w:marRight w:val="0"/>
      <w:marTop w:val="0"/>
      <w:marBottom w:val="0"/>
      <w:divBdr>
        <w:top w:val="none" w:sz="0" w:space="0" w:color="auto"/>
        <w:left w:val="none" w:sz="0" w:space="0" w:color="auto"/>
        <w:bottom w:val="none" w:sz="0" w:space="0" w:color="auto"/>
        <w:right w:val="none" w:sz="0" w:space="0" w:color="auto"/>
      </w:divBdr>
    </w:div>
    <w:div w:id="1092556090">
      <w:bodyDiv w:val="1"/>
      <w:marLeft w:val="0"/>
      <w:marRight w:val="0"/>
      <w:marTop w:val="0"/>
      <w:marBottom w:val="0"/>
      <w:divBdr>
        <w:top w:val="none" w:sz="0" w:space="0" w:color="auto"/>
        <w:left w:val="none" w:sz="0" w:space="0" w:color="auto"/>
        <w:bottom w:val="none" w:sz="0" w:space="0" w:color="auto"/>
        <w:right w:val="none" w:sz="0" w:space="0" w:color="auto"/>
      </w:divBdr>
    </w:div>
    <w:div w:id="1092773402">
      <w:bodyDiv w:val="1"/>
      <w:marLeft w:val="0"/>
      <w:marRight w:val="0"/>
      <w:marTop w:val="0"/>
      <w:marBottom w:val="0"/>
      <w:divBdr>
        <w:top w:val="none" w:sz="0" w:space="0" w:color="auto"/>
        <w:left w:val="none" w:sz="0" w:space="0" w:color="auto"/>
        <w:bottom w:val="none" w:sz="0" w:space="0" w:color="auto"/>
        <w:right w:val="none" w:sz="0" w:space="0" w:color="auto"/>
      </w:divBdr>
    </w:div>
    <w:div w:id="1092773710">
      <w:bodyDiv w:val="1"/>
      <w:marLeft w:val="0"/>
      <w:marRight w:val="0"/>
      <w:marTop w:val="0"/>
      <w:marBottom w:val="0"/>
      <w:divBdr>
        <w:top w:val="none" w:sz="0" w:space="0" w:color="auto"/>
        <w:left w:val="none" w:sz="0" w:space="0" w:color="auto"/>
        <w:bottom w:val="none" w:sz="0" w:space="0" w:color="auto"/>
        <w:right w:val="none" w:sz="0" w:space="0" w:color="auto"/>
      </w:divBdr>
    </w:div>
    <w:div w:id="1092892573">
      <w:bodyDiv w:val="1"/>
      <w:marLeft w:val="0"/>
      <w:marRight w:val="0"/>
      <w:marTop w:val="0"/>
      <w:marBottom w:val="0"/>
      <w:divBdr>
        <w:top w:val="none" w:sz="0" w:space="0" w:color="auto"/>
        <w:left w:val="none" w:sz="0" w:space="0" w:color="auto"/>
        <w:bottom w:val="none" w:sz="0" w:space="0" w:color="auto"/>
        <w:right w:val="none" w:sz="0" w:space="0" w:color="auto"/>
      </w:divBdr>
    </w:div>
    <w:div w:id="1092893281">
      <w:bodyDiv w:val="1"/>
      <w:marLeft w:val="0"/>
      <w:marRight w:val="0"/>
      <w:marTop w:val="0"/>
      <w:marBottom w:val="0"/>
      <w:divBdr>
        <w:top w:val="none" w:sz="0" w:space="0" w:color="auto"/>
        <w:left w:val="none" w:sz="0" w:space="0" w:color="auto"/>
        <w:bottom w:val="none" w:sz="0" w:space="0" w:color="auto"/>
        <w:right w:val="none" w:sz="0" w:space="0" w:color="auto"/>
      </w:divBdr>
    </w:div>
    <w:div w:id="1092899005">
      <w:bodyDiv w:val="1"/>
      <w:marLeft w:val="0"/>
      <w:marRight w:val="0"/>
      <w:marTop w:val="0"/>
      <w:marBottom w:val="0"/>
      <w:divBdr>
        <w:top w:val="none" w:sz="0" w:space="0" w:color="auto"/>
        <w:left w:val="none" w:sz="0" w:space="0" w:color="auto"/>
        <w:bottom w:val="none" w:sz="0" w:space="0" w:color="auto"/>
        <w:right w:val="none" w:sz="0" w:space="0" w:color="auto"/>
      </w:divBdr>
    </w:div>
    <w:div w:id="1092975511">
      <w:bodyDiv w:val="1"/>
      <w:marLeft w:val="0"/>
      <w:marRight w:val="0"/>
      <w:marTop w:val="0"/>
      <w:marBottom w:val="0"/>
      <w:divBdr>
        <w:top w:val="none" w:sz="0" w:space="0" w:color="auto"/>
        <w:left w:val="none" w:sz="0" w:space="0" w:color="auto"/>
        <w:bottom w:val="none" w:sz="0" w:space="0" w:color="auto"/>
        <w:right w:val="none" w:sz="0" w:space="0" w:color="auto"/>
      </w:divBdr>
    </w:div>
    <w:div w:id="1093013373">
      <w:bodyDiv w:val="1"/>
      <w:marLeft w:val="0"/>
      <w:marRight w:val="0"/>
      <w:marTop w:val="0"/>
      <w:marBottom w:val="0"/>
      <w:divBdr>
        <w:top w:val="none" w:sz="0" w:space="0" w:color="auto"/>
        <w:left w:val="none" w:sz="0" w:space="0" w:color="auto"/>
        <w:bottom w:val="none" w:sz="0" w:space="0" w:color="auto"/>
        <w:right w:val="none" w:sz="0" w:space="0" w:color="auto"/>
      </w:divBdr>
    </w:div>
    <w:div w:id="1093159843">
      <w:bodyDiv w:val="1"/>
      <w:marLeft w:val="0"/>
      <w:marRight w:val="0"/>
      <w:marTop w:val="0"/>
      <w:marBottom w:val="0"/>
      <w:divBdr>
        <w:top w:val="none" w:sz="0" w:space="0" w:color="auto"/>
        <w:left w:val="none" w:sz="0" w:space="0" w:color="auto"/>
        <w:bottom w:val="none" w:sz="0" w:space="0" w:color="auto"/>
        <w:right w:val="none" w:sz="0" w:space="0" w:color="auto"/>
      </w:divBdr>
    </w:div>
    <w:div w:id="1093168264">
      <w:bodyDiv w:val="1"/>
      <w:marLeft w:val="0"/>
      <w:marRight w:val="0"/>
      <w:marTop w:val="0"/>
      <w:marBottom w:val="0"/>
      <w:divBdr>
        <w:top w:val="none" w:sz="0" w:space="0" w:color="auto"/>
        <w:left w:val="none" w:sz="0" w:space="0" w:color="auto"/>
        <w:bottom w:val="none" w:sz="0" w:space="0" w:color="auto"/>
        <w:right w:val="none" w:sz="0" w:space="0" w:color="auto"/>
      </w:divBdr>
    </w:div>
    <w:div w:id="1093208433">
      <w:bodyDiv w:val="1"/>
      <w:marLeft w:val="0"/>
      <w:marRight w:val="0"/>
      <w:marTop w:val="0"/>
      <w:marBottom w:val="0"/>
      <w:divBdr>
        <w:top w:val="none" w:sz="0" w:space="0" w:color="auto"/>
        <w:left w:val="none" w:sz="0" w:space="0" w:color="auto"/>
        <w:bottom w:val="none" w:sz="0" w:space="0" w:color="auto"/>
        <w:right w:val="none" w:sz="0" w:space="0" w:color="auto"/>
      </w:divBdr>
    </w:div>
    <w:div w:id="1093279553">
      <w:bodyDiv w:val="1"/>
      <w:marLeft w:val="0"/>
      <w:marRight w:val="0"/>
      <w:marTop w:val="0"/>
      <w:marBottom w:val="0"/>
      <w:divBdr>
        <w:top w:val="none" w:sz="0" w:space="0" w:color="auto"/>
        <w:left w:val="none" w:sz="0" w:space="0" w:color="auto"/>
        <w:bottom w:val="none" w:sz="0" w:space="0" w:color="auto"/>
        <w:right w:val="none" w:sz="0" w:space="0" w:color="auto"/>
      </w:divBdr>
    </w:div>
    <w:div w:id="1093286134">
      <w:bodyDiv w:val="1"/>
      <w:marLeft w:val="0"/>
      <w:marRight w:val="0"/>
      <w:marTop w:val="0"/>
      <w:marBottom w:val="0"/>
      <w:divBdr>
        <w:top w:val="none" w:sz="0" w:space="0" w:color="auto"/>
        <w:left w:val="none" w:sz="0" w:space="0" w:color="auto"/>
        <w:bottom w:val="none" w:sz="0" w:space="0" w:color="auto"/>
        <w:right w:val="none" w:sz="0" w:space="0" w:color="auto"/>
      </w:divBdr>
    </w:div>
    <w:div w:id="1093403869">
      <w:bodyDiv w:val="1"/>
      <w:marLeft w:val="0"/>
      <w:marRight w:val="0"/>
      <w:marTop w:val="0"/>
      <w:marBottom w:val="0"/>
      <w:divBdr>
        <w:top w:val="none" w:sz="0" w:space="0" w:color="auto"/>
        <w:left w:val="none" w:sz="0" w:space="0" w:color="auto"/>
        <w:bottom w:val="none" w:sz="0" w:space="0" w:color="auto"/>
        <w:right w:val="none" w:sz="0" w:space="0" w:color="auto"/>
      </w:divBdr>
    </w:div>
    <w:div w:id="1093428395">
      <w:bodyDiv w:val="1"/>
      <w:marLeft w:val="0"/>
      <w:marRight w:val="0"/>
      <w:marTop w:val="0"/>
      <w:marBottom w:val="0"/>
      <w:divBdr>
        <w:top w:val="none" w:sz="0" w:space="0" w:color="auto"/>
        <w:left w:val="none" w:sz="0" w:space="0" w:color="auto"/>
        <w:bottom w:val="none" w:sz="0" w:space="0" w:color="auto"/>
        <w:right w:val="none" w:sz="0" w:space="0" w:color="auto"/>
      </w:divBdr>
    </w:div>
    <w:div w:id="1093474427">
      <w:bodyDiv w:val="1"/>
      <w:marLeft w:val="0"/>
      <w:marRight w:val="0"/>
      <w:marTop w:val="0"/>
      <w:marBottom w:val="0"/>
      <w:divBdr>
        <w:top w:val="none" w:sz="0" w:space="0" w:color="auto"/>
        <w:left w:val="none" w:sz="0" w:space="0" w:color="auto"/>
        <w:bottom w:val="none" w:sz="0" w:space="0" w:color="auto"/>
        <w:right w:val="none" w:sz="0" w:space="0" w:color="auto"/>
      </w:divBdr>
    </w:div>
    <w:div w:id="1093627632">
      <w:bodyDiv w:val="1"/>
      <w:marLeft w:val="0"/>
      <w:marRight w:val="0"/>
      <w:marTop w:val="0"/>
      <w:marBottom w:val="0"/>
      <w:divBdr>
        <w:top w:val="none" w:sz="0" w:space="0" w:color="auto"/>
        <w:left w:val="none" w:sz="0" w:space="0" w:color="auto"/>
        <w:bottom w:val="none" w:sz="0" w:space="0" w:color="auto"/>
        <w:right w:val="none" w:sz="0" w:space="0" w:color="auto"/>
      </w:divBdr>
    </w:div>
    <w:div w:id="1093631234">
      <w:bodyDiv w:val="1"/>
      <w:marLeft w:val="0"/>
      <w:marRight w:val="0"/>
      <w:marTop w:val="0"/>
      <w:marBottom w:val="0"/>
      <w:divBdr>
        <w:top w:val="none" w:sz="0" w:space="0" w:color="auto"/>
        <w:left w:val="none" w:sz="0" w:space="0" w:color="auto"/>
        <w:bottom w:val="none" w:sz="0" w:space="0" w:color="auto"/>
        <w:right w:val="none" w:sz="0" w:space="0" w:color="auto"/>
      </w:divBdr>
    </w:div>
    <w:div w:id="1093815759">
      <w:bodyDiv w:val="1"/>
      <w:marLeft w:val="0"/>
      <w:marRight w:val="0"/>
      <w:marTop w:val="0"/>
      <w:marBottom w:val="0"/>
      <w:divBdr>
        <w:top w:val="none" w:sz="0" w:space="0" w:color="auto"/>
        <w:left w:val="none" w:sz="0" w:space="0" w:color="auto"/>
        <w:bottom w:val="none" w:sz="0" w:space="0" w:color="auto"/>
        <w:right w:val="none" w:sz="0" w:space="0" w:color="auto"/>
      </w:divBdr>
    </w:div>
    <w:div w:id="1094016942">
      <w:bodyDiv w:val="1"/>
      <w:marLeft w:val="0"/>
      <w:marRight w:val="0"/>
      <w:marTop w:val="0"/>
      <w:marBottom w:val="0"/>
      <w:divBdr>
        <w:top w:val="none" w:sz="0" w:space="0" w:color="auto"/>
        <w:left w:val="none" w:sz="0" w:space="0" w:color="auto"/>
        <w:bottom w:val="none" w:sz="0" w:space="0" w:color="auto"/>
        <w:right w:val="none" w:sz="0" w:space="0" w:color="auto"/>
      </w:divBdr>
    </w:div>
    <w:div w:id="1094084700">
      <w:bodyDiv w:val="1"/>
      <w:marLeft w:val="0"/>
      <w:marRight w:val="0"/>
      <w:marTop w:val="0"/>
      <w:marBottom w:val="0"/>
      <w:divBdr>
        <w:top w:val="none" w:sz="0" w:space="0" w:color="auto"/>
        <w:left w:val="none" w:sz="0" w:space="0" w:color="auto"/>
        <w:bottom w:val="none" w:sz="0" w:space="0" w:color="auto"/>
        <w:right w:val="none" w:sz="0" w:space="0" w:color="auto"/>
      </w:divBdr>
    </w:div>
    <w:div w:id="1094133877">
      <w:bodyDiv w:val="1"/>
      <w:marLeft w:val="0"/>
      <w:marRight w:val="0"/>
      <w:marTop w:val="0"/>
      <w:marBottom w:val="0"/>
      <w:divBdr>
        <w:top w:val="none" w:sz="0" w:space="0" w:color="auto"/>
        <w:left w:val="none" w:sz="0" w:space="0" w:color="auto"/>
        <w:bottom w:val="none" w:sz="0" w:space="0" w:color="auto"/>
        <w:right w:val="none" w:sz="0" w:space="0" w:color="auto"/>
      </w:divBdr>
    </w:div>
    <w:div w:id="1094206423">
      <w:bodyDiv w:val="1"/>
      <w:marLeft w:val="0"/>
      <w:marRight w:val="0"/>
      <w:marTop w:val="0"/>
      <w:marBottom w:val="0"/>
      <w:divBdr>
        <w:top w:val="none" w:sz="0" w:space="0" w:color="auto"/>
        <w:left w:val="none" w:sz="0" w:space="0" w:color="auto"/>
        <w:bottom w:val="none" w:sz="0" w:space="0" w:color="auto"/>
        <w:right w:val="none" w:sz="0" w:space="0" w:color="auto"/>
      </w:divBdr>
    </w:div>
    <w:div w:id="1094285289">
      <w:bodyDiv w:val="1"/>
      <w:marLeft w:val="0"/>
      <w:marRight w:val="0"/>
      <w:marTop w:val="0"/>
      <w:marBottom w:val="0"/>
      <w:divBdr>
        <w:top w:val="none" w:sz="0" w:space="0" w:color="auto"/>
        <w:left w:val="none" w:sz="0" w:space="0" w:color="auto"/>
        <w:bottom w:val="none" w:sz="0" w:space="0" w:color="auto"/>
        <w:right w:val="none" w:sz="0" w:space="0" w:color="auto"/>
      </w:divBdr>
    </w:div>
    <w:div w:id="1094321796">
      <w:bodyDiv w:val="1"/>
      <w:marLeft w:val="0"/>
      <w:marRight w:val="0"/>
      <w:marTop w:val="0"/>
      <w:marBottom w:val="0"/>
      <w:divBdr>
        <w:top w:val="none" w:sz="0" w:space="0" w:color="auto"/>
        <w:left w:val="none" w:sz="0" w:space="0" w:color="auto"/>
        <w:bottom w:val="none" w:sz="0" w:space="0" w:color="auto"/>
        <w:right w:val="none" w:sz="0" w:space="0" w:color="auto"/>
      </w:divBdr>
    </w:div>
    <w:div w:id="1094328748">
      <w:bodyDiv w:val="1"/>
      <w:marLeft w:val="0"/>
      <w:marRight w:val="0"/>
      <w:marTop w:val="0"/>
      <w:marBottom w:val="0"/>
      <w:divBdr>
        <w:top w:val="none" w:sz="0" w:space="0" w:color="auto"/>
        <w:left w:val="none" w:sz="0" w:space="0" w:color="auto"/>
        <w:bottom w:val="none" w:sz="0" w:space="0" w:color="auto"/>
        <w:right w:val="none" w:sz="0" w:space="0" w:color="auto"/>
      </w:divBdr>
    </w:div>
    <w:div w:id="1094395453">
      <w:bodyDiv w:val="1"/>
      <w:marLeft w:val="0"/>
      <w:marRight w:val="0"/>
      <w:marTop w:val="0"/>
      <w:marBottom w:val="0"/>
      <w:divBdr>
        <w:top w:val="none" w:sz="0" w:space="0" w:color="auto"/>
        <w:left w:val="none" w:sz="0" w:space="0" w:color="auto"/>
        <w:bottom w:val="none" w:sz="0" w:space="0" w:color="auto"/>
        <w:right w:val="none" w:sz="0" w:space="0" w:color="auto"/>
      </w:divBdr>
    </w:div>
    <w:div w:id="1094520539">
      <w:bodyDiv w:val="1"/>
      <w:marLeft w:val="0"/>
      <w:marRight w:val="0"/>
      <w:marTop w:val="0"/>
      <w:marBottom w:val="0"/>
      <w:divBdr>
        <w:top w:val="none" w:sz="0" w:space="0" w:color="auto"/>
        <w:left w:val="none" w:sz="0" w:space="0" w:color="auto"/>
        <w:bottom w:val="none" w:sz="0" w:space="0" w:color="auto"/>
        <w:right w:val="none" w:sz="0" w:space="0" w:color="auto"/>
      </w:divBdr>
    </w:div>
    <w:div w:id="1094588793">
      <w:bodyDiv w:val="1"/>
      <w:marLeft w:val="0"/>
      <w:marRight w:val="0"/>
      <w:marTop w:val="0"/>
      <w:marBottom w:val="0"/>
      <w:divBdr>
        <w:top w:val="none" w:sz="0" w:space="0" w:color="auto"/>
        <w:left w:val="none" w:sz="0" w:space="0" w:color="auto"/>
        <w:bottom w:val="none" w:sz="0" w:space="0" w:color="auto"/>
        <w:right w:val="none" w:sz="0" w:space="0" w:color="auto"/>
      </w:divBdr>
    </w:div>
    <w:div w:id="1094593973">
      <w:bodyDiv w:val="1"/>
      <w:marLeft w:val="0"/>
      <w:marRight w:val="0"/>
      <w:marTop w:val="0"/>
      <w:marBottom w:val="0"/>
      <w:divBdr>
        <w:top w:val="none" w:sz="0" w:space="0" w:color="auto"/>
        <w:left w:val="none" w:sz="0" w:space="0" w:color="auto"/>
        <w:bottom w:val="none" w:sz="0" w:space="0" w:color="auto"/>
        <w:right w:val="none" w:sz="0" w:space="0" w:color="auto"/>
      </w:divBdr>
    </w:div>
    <w:div w:id="1094666513">
      <w:bodyDiv w:val="1"/>
      <w:marLeft w:val="0"/>
      <w:marRight w:val="0"/>
      <w:marTop w:val="0"/>
      <w:marBottom w:val="0"/>
      <w:divBdr>
        <w:top w:val="none" w:sz="0" w:space="0" w:color="auto"/>
        <w:left w:val="none" w:sz="0" w:space="0" w:color="auto"/>
        <w:bottom w:val="none" w:sz="0" w:space="0" w:color="auto"/>
        <w:right w:val="none" w:sz="0" w:space="0" w:color="auto"/>
      </w:divBdr>
    </w:div>
    <w:div w:id="1094672879">
      <w:bodyDiv w:val="1"/>
      <w:marLeft w:val="0"/>
      <w:marRight w:val="0"/>
      <w:marTop w:val="0"/>
      <w:marBottom w:val="0"/>
      <w:divBdr>
        <w:top w:val="none" w:sz="0" w:space="0" w:color="auto"/>
        <w:left w:val="none" w:sz="0" w:space="0" w:color="auto"/>
        <w:bottom w:val="none" w:sz="0" w:space="0" w:color="auto"/>
        <w:right w:val="none" w:sz="0" w:space="0" w:color="auto"/>
      </w:divBdr>
    </w:div>
    <w:div w:id="1094938293">
      <w:bodyDiv w:val="1"/>
      <w:marLeft w:val="0"/>
      <w:marRight w:val="0"/>
      <w:marTop w:val="0"/>
      <w:marBottom w:val="0"/>
      <w:divBdr>
        <w:top w:val="none" w:sz="0" w:space="0" w:color="auto"/>
        <w:left w:val="none" w:sz="0" w:space="0" w:color="auto"/>
        <w:bottom w:val="none" w:sz="0" w:space="0" w:color="auto"/>
        <w:right w:val="none" w:sz="0" w:space="0" w:color="auto"/>
      </w:divBdr>
    </w:div>
    <w:div w:id="1094939893">
      <w:bodyDiv w:val="1"/>
      <w:marLeft w:val="0"/>
      <w:marRight w:val="0"/>
      <w:marTop w:val="0"/>
      <w:marBottom w:val="0"/>
      <w:divBdr>
        <w:top w:val="none" w:sz="0" w:space="0" w:color="auto"/>
        <w:left w:val="none" w:sz="0" w:space="0" w:color="auto"/>
        <w:bottom w:val="none" w:sz="0" w:space="0" w:color="auto"/>
        <w:right w:val="none" w:sz="0" w:space="0" w:color="auto"/>
      </w:divBdr>
    </w:div>
    <w:div w:id="1094940475">
      <w:bodyDiv w:val="1"/>
      <w:marLeft w:val="0"/>
      <w:marRight w:val="0"/>
      <w:marTop w:val="0"/>
      <w:marBottom w:val="0"/>
      <w:divBdr>
        <w:top w:val="none" w:sz="0" w:space="0" w:color="auto"/>
        <w:left w:val="none" w:sz="0" w:space="0" w:color="auto"/>
        <w:bottom w:val="none" w:sz="0" w:space="0" w:color="auto"/>
        <w:right w:val="none" w:sz="0" w:space="0" w:color="auto"/>
      </w:divBdr>
    </w:div>
    <w:div w:id="1094941281">
      <w:bodyDiv w:val="1"/>
      <w:marLeft w:val="0"/>
      <w:marRight w:val="0"/>
      <w:marTop w:val="0"/>
      <w:marBottom w:val="0"/>
      <w:divBdr>
        <w:top w:val="none" w:sz="0" w:space="0" w:color="auto"/>
        <w:left w:val="none" w:sz="0" w:space="0" w:color="auto"/>
        <w:bottom w:val="none" w:sz="0" w:space="0" w:color="auto"/>
        <w:right w:val="none" w:sz="0" w:space="0" w:color="auto"/>
      </w:divBdr>
    </w:div>
    <w:div w:id="1094980315">
      <w:bodyDiv w:val="1"/>
      <w:marLeft w:val="0"/>
      <w:marRight w:val="0"/>
      <w:marTop w:val="0"/>
      <w:marBottom w:val="0"/>
      <w:divBdr>
        <w:top w:val="none" w:sz="0" w:space="0" w:color="auto"/>
        <w:left w:val="none" w:sz="0" w:space="0" w:color="auto"/>
        <w:bottom w:val="none" w:sz="0" w:space="0" w:color="auto"/>
        <w:right w:val="none" w:sz="0" w:space="0" w:color="auto"/>
      </w:divBdr>
    </w:div>
    <w:div w:id="1095052669">
      <w:bodyDiv w:val="1"/>
      <w:marLeft w:val="0"/>
      <w:marRight w:val="0"/>
      <w:marTop w:val="0"/>
      <w:marBottom w:val="0"/>
      <w:divBdr>
        <w:top w:val="none" w:sz="0" w:space="0" w:color="auto"/>
        <w:left w:val="none" w:sz="0" w:space="0" w:color="auto"/>
        <w:bottom w:val="none" w:sz="0" w:space="0" w:color="auto"/>
        <w:right w:val="none" w:sz="0" w:space="0" w:color="auto"/>
      </w:divBdr>
    </w:div>
    <w:div w:id="1095129660">
      <w:bodyDiv w:val="1"/>
      <w:marLeft w:val="0"/>
      <w:marRight w:val="0"/>
      <w:marTop w:val="0"/>
      <w:marBottom w:val="0"/>
      <w:divBdr>
        <w:top w:val="none" w:sz="0" w:space="0" w:color="auto"/>
        <w:left w:val="none" w:sz="0" w:space="0" w:color="auto"/>
        <w:bottom w:val="none" w:sz="0" w:space="0" w:color="auto"/>
        <w:right w:val="none" w:sz="0" w:space="0" w:color="auto"/>
      </w:divBdr>
    </w:div>
    <w:div w:id="1095201355">
      <w:bodyDiv w:val="1"/>
      <w:marLeft w:val="0"/>
      <w:marRight w:val="0"/>
      <w:marTop w:val="0"/>
      <w:marBottom w:val="0"/>
      <w:divBdr>
        <w:top w:val="none" w:sz="0" w:space="0" w:color="auto"/>
        <w:left w:val="none" w:sz="0" w:space="0" w:color="auto"/>
        <w:bottom w:val="none" w:sz="0" w:space="0" w:color="auto"/>
        <w:right w:val="none" w:sz="0" w:space="0" w:color="auto"/>
      </w:divBdr>
    </w:div>
    <w:div w:id="1095250865">
      <w:bodyDiv w:val="1"/>
      <w:marLeft w:val="0"/>
      <w:marRight w:val="0"/>
      <w:marTop w:val="0"/>
      <w:marBottom w:val="0"/>
      <w:divBdr>
        <w:top w:val="none" w:sz="0" w:space="0" w:color="auto"/>
        <w:left w:val="none" w:sz="0" w:space="0" w:color="auto"/>
        <w:bottom w:val="none" w:sz="0" w:space="0" w:color="auto"/>
        <w:right w:val="none" w:sz="0" w:space="0" w:color="auto"/>
      </w:divBdr>
    </w:div>
    <w:div w:id="1095369550">
      <w:bodyDiv w:val="1"/>
      <w:marLeft w:val="0"/>
      <w:marRight w:val="0"/>
      <w:marTop w:val="0"/>
      <w:marBottom w:val="0"/>
      <w:divBdr>
        <w:top w:val="none" w:sz="0" w:space="0" w:color="auto"/>
        <w:left w:val="none" w:sz="0" w:space="0" w:color="auto"/>
        <w:bottom w:val="none" w:sz="0" w:space="0" w:color="auto"/>
        <w:right w:val="none" w:sz="0" w:space="0" w:color="auto"/>
      </w:divBdr>
    </w:div>
    <w:div w:id="1095397540">
      <w:bodyDiv w:val="1"/>
      <w:marLeft w:val="0"/>
      <w:marRight w:val="0"/>
      <w:marTop w:val="0"/>
      <w:marBottom w:val="0"/>
      <w:divBdr>
        <w:top w:val="none" w:sz="0" w:space="0" w:color="auto"/>
        <w:left w:val="none" w:sz="0" w:space="0" w:color="auto"/>
        <w:bottom w:val="none" w:sz="0" w:space="0" w:color="auto"/>
        <w:right w:val="none" w:sz="0" w:space="0" w:color="auto"/>
      </w:divBdr>
    </w:div>
    <w:div w:id="1095438120">
      <w:bodyDiv w:val="1"/>
      <w:marLeft w:val="0"/>
      <w:marRight w:val="0"/>
      <w:marTop w:val="0"/>
      <w:marBottom w:val="0"/>
      <w:divBdr>
        <w:top w:val="none" w:sz="0" w:space="0" w:color="auto"/>
        <w:left w:val="none" w:sz="0" w:space="0" w:color="auto"/>
        <w:bottom w:val="none" w:sz="0" w:space="0" w:color="auto"/>
        <w:right w:val="none" w:sz="0" w:space="0" w:color="auto"/>
      </w:divBdr>
    </w:div>
    <w:div w:id="1095441176">
      <w:bodyDiv w:val="1"/>
      <w:marLeft w:val="0"/>
      <w:marRight w:val="0"/>
      <w:marTop w:val="0"/>
      <w:marBottom w:val="0"/>
      <w:divBdr>
        <w:top w:val="none" w:sz="0" w:space="0" w:color="auto"/>
        <w:left w:val="none" w:sz="0" w:space="0" w:color="auto"/>
        <w:bottom w:val="none" w:sz="0" w:space="0" w:color="auto"/>
        <w:right w:val="none" w:sz="0" w:space="0" w:color="auto"/>
      </w:divBdr>
    </w:div>
    <w:div w:id="1095637350">
      <w:bodyDiv w:val="1"/>
      <w:marLeft w:val="0"/>
      <w:marRight w:val="0"/>
      <w:marTop w:val="0"/>
      <w:marBottom w:val="0"/>
      <w:divBdr>
        <w:top w:val="none" w:sz="0" w:space="0" w:color="auto"/>
        <w:left w:val="none" w:sz="0" w:space="0" w:color="auto"/>
        <w:bottom w:val="none" w:sz="0" w:space="0" w:color="auto"/>
        <w:right w:val="none" w:sz="0" w:space="0" w:color="auto"/>
      </w:divBdr>
    </w:div>
    <w:div w:id="1095708554">
      <w:bodyDiv w:val="1"/>
      <w:marLeft w:val="0"/>
      <w:marRight w:val="0"/>
      <w:marTop w:val="0"/>
      <w:marBottom w:val="0"/>
      <w:divBdr>
        <w:top w:val="none" w:sz="0" w:space="0" w:color="auto"/>
        <w:left w:val="none" w:sz="0" w:space="0" w:color="auto"/>
        <w:bottom w:val="none" w:sz="0" w:space="0" w:color="auto"/>
        <w:right w:val="none" w:sz="0" w:space="0" w:color="auto"/>
      </w:divBdr>
    </w:div>
    <w:div w:id="1095710205">
      <w:bodyDiv w:val="1"/>
      <w:marLeft w:val="0"/>
      <w:marRight w:val="0"/>
      <w:marTop w:val="0"/>
      <w:marBottom w:val="0"/>
      <w:divBdr>
        <w:top w:val="none" w:sz="0" w:space="0" w:color="auto"/>
        <w:left w:val="none" w:sz="0" w:space="0" w:color="auto"/>
        <w:bottom w:val="none" w:sz="0" w:space="0" w:color="auto"/>
        <w:right w:val="none" w:sz="0" w:space="0" w:color="auto"/>
      </w:divBdr>
    </w:div>
    <w:div w:id="1095903028">
      <w:bodyDiv w:val="1"/>
      <w:marLeft w:val="0"/>
      <w:marRight w:val="0"/>
      <w:marTop w:val="0"/>
      <w:marBottom w:val="0"/>
      <w:divBdr>
        <w:top w:val="none" w:sz="0" w:space="0" w:color="auto"/>
        <w:left w:val="none" w:sz="0" w:space="0" w:color="auto"/>
        <w:bottom w:val="none" w:sz="0" w:space="0" w:color="auto"/>
        <w:right w:val="none" w:sz="0" w:space="0" w:color="auto"/>
      </w:divBdr>
    </w:div>
    <w:div w:id="1096054089">
      <w:bodyDiv w:val="1"/>
      <w:marLeft w:val="0"/>
      <w:marRight w:val="0"/>
      <w:marTop w:val="0"/>
      <w:marBottom w:val="0"/>
      <w:divBdr>
        <w:top w:val="none" w:sz="0" w:space="0" w:color="auto"/>
        <w:left w:val="none" w:sz="0" w:space="0" w:color="auto"/>
        <w:bottom w:val="none" w:sz="0" w:space="0" w:color="auto"/>
        <w:right w:val="none" w:sz="0" w:space="0" w:color="auto"/>
      </w:divBdr>
    </w:div>
    <w:div w:id="1096097741">
      <w:bodyDiv w:val="1"/>
      <w:marLeft w:val="0"/>
      <w:marRight w:val="0"/>
      <w:marTop w:val="0"/>
      <w:marBottom w:val="0"/>
      <w:divBdr>
        <w:top w:val="none" w:sz="0" w:space="0" w:color="auto"/>
        <w:left w:val="none" w:sz="0" w:space="0" w:color="auto"/>
        <w:bottom w:val="none" w:sz="0" w:space="0" w:color="auto"/>
        <w:right w:val="none" w:sz="0" w:space="0" w:color="auto"/>
      </w:divBdr>
    </w:div>
    <w:div w:id="1096097958">
      <w:bodyDiv w:val="1"/>
      <w:marLeft w:val="0"/>
      <w:marRight w:val="0"/>
      <w:marTop w:val="0"/>
      <w:marBottom w:val="0"/>
      <w:divBdr>
        <w:top w:val="none" w:sz="0" w:space="0" w:color="auto"/>
        <w:left w:val="none" w:sz="0" w:space="0" w:color="auto"/>
        <w:bottom w:val="none" w:sz="0" w:space="0" w:color="auto"/>
        <w:right w:val="none" w:sz="0" w:space="0" w:color="auto"/>
      </w:divBdr>
    </w:div>
    <w:div w:id="1096246735">
      <w:bodyDiv w:val="1"/>
      <w:marLeft w:val="0"/>
      <w:marRight w:val="0"/>
      <w:marTop w:val="0"/>
      <w:marBottom w:val="0"/>
      <w:divBdr>
        <w:top w:val="none" w:sz="0" w:space="0" w:color="auto"/>
        <w:left w:val="none" w:sz="0" w:space="0" w:color="auto"/>
        <w:bottom w:val="none" w:sz="0" w:space="0" w:color="auto"/>
        <w:right w:val="none" w:sz="0" w:space="0" w:color="auto"/>
      </w:divBdr>
    </w:div>
    <w:div w:id="1096248765">
      <w:bodyDiv w:val="1"/>
      <w:marLeft w:val="0"/>
      <w:marRight w:val="0"/>
      <w:marTop w:val="0"/>
      <w:marBottom w:val="0"/>
      <w:divBdr>
        <w:top w:val="none" w:sz="0" w:space="0" w:color="auto"/>
        <w:left w:val="none" w:sz="0" w:space="0" w:color="auto"/>
        <w:bottom w:val="none" w:sz="0" w:space="0" w:color="auto"/>
        <w:right w:val="none" w:sz="0" w:space="0" w:color="auto"/>
      </w:divBdr>
    </w:div>
    <w:div w:id="1096318806">
      <w:bodyDiv w:val="1"/>
      <w:marLeft w:val="0"/>
      <w:marRight w:val="0"/>
      <w:marTop w:val="0"/>
      <w:marBottom w:val="0"/>
      <w:divBdr>
        <w:top w:val="none" w:sz="0" w:space="0" w:color="auto"/>
        <w:left w:val="none" w:sz="0" w:space="0" w:color="auto"/>
        <w:bottom w:val="none" w:sz="0" w:space="0" w:color="auto"/>
        <w:right w:val="none" w:sz="0" w:space="0" w:color="auto"/>
      </w:divBdr>
    </w:div>
    <w:div w:id="1096441024">
      <w:bodyDiv w:val="1"/>
      <w:marLeft w:val="0"/>
      <w:marRight w:val="0"/>
      <w:marTop w:val="0"/>
      <w:marBottom w:val="0"/>
      <w:divBdr>
        <w:top w:val="none" w:sz="0" w:space="0" w:color="auto"/>
        <w:left w:val="none" w:sz="0" w:space="0" w:color="auto"/>
        <w:bottom w:val="none" w:sz="0" w:space="0" w:color="auto"/>
        <w:right w:val="none" w:sz="0" w:space="0" w:color="auto"/>
      </w:divBdr>
    </w:div>
    <w:div w:id="1096443297">
      <w:bodyDiv w:val="1"/>
      <w:marLeft w:val="0"/>
      <w:marRight w:val="0"/>
      <w:marTop w:val="0"/>
      <w:marBottom w:val="0"/>
      <w:divBdr>
        <w:top w:val="none" w:sz="0" w:space="0" w:color="auto"/>
        <w:left w:val="none" w:sz="0" w:space="0" w:color="auto"/>
        <w:bottom w:val="none" w:sz="0" w:space="0" w:color="auto"/>
        <w:right w:val="none" w:sz="0" w:space="0" w:color="auto"/>
      </w:divBdr>
    </w:div>
    <w:div w:id="1096555922">
      <w:bodyDiv w:val="1"/>
      <w:marLeft w:val="0"/>
      <w:marRight w:val="0"/>
      <w:marTop w:val="0"/>
      <w:marBottom w:val="0"/>
      <w:divBdr>
        <w:top w:val="none" w:sz="0" w:space="0" w:color="auto"/>
        <w:left w:val="none" w:sz="0" w:space="0" w:color="auto"/>
        <w:bottom w:val="none" w:sz="0" w:space="0" w:color="auto"/>
        <w:right w:val="none" w:sz="0" w:space="0" w:color="auto"/>
      </w:divBdr>
    </w:div>
    <w:div w:id="1096638574">
      <w:bodyDiv w:val="1"/>
      <w:marLeft w:val="0"/>
      <w:marRight w:val="0"/>
      <w:marTop w:val="0"/>
      <w:marBottom w:val="0"/>
      <w:divBdr>
        <w:top w:val="none" w:sz="0" w:space="0" w:color="auto"/>
        <w:left w:val="none" w:sz="0" w:space="0" w:color="auto"/>
        <w:bottom w:val="none" w:sz="0" w:space="0" w:color="auto"/>
        <w:right w:val="none" w:sz="0" w:space="0" w:color="auto"/>
      </w:divBdr>
    </w:div>
    <w:div w:id="1096705347">
      <w:bodyDiv w:val="1"/>
      <w:marLeft w:val="0"/>
      <w:marRight w:val="0"/>
      <w:marTop w:val="0"/>
      <w:marBottom w:val="0"/>
      <w:divBdr>
        <w:top w:val="none" w:sz="0" w:space="0" w:color="auto"/>
        <w:left w:val="none" w:sz="0" w:space="0" w:color="auto"/>
        <w:bottom w:val="none" w:sz="0" w:space="0" w:color="auto"/>
        <w:right w:val="none" w:sz="0" w:space="0" w:color="auto"/>
      </w:divBdr>
    </w:div>
    <w:div w:id="1096711971">
      <w:bodyDiv w:val="1"/>
      <w:marLeft w:val="0"/>
      <w:marRight w:val="0"/>
      <w:marTop w:val="0"/>
      <w:marBottom w:val="0"/>
      <w:divBdr>
        <w:top w:val="none" w:sz="0" w:space="0" w:color="auto"/>
        <w:left w:val="none" w:sz="0" w:space="0" w:color="auto"/>
        <w:bottom w:val="none" w:sz="0" w:space="0" w:color="auto"/>
        <w:right w:val="none" w:sz="0" w:space="0" w:color="auto"/>
      </w:divBdr>
    </w:div>
    <w:div w:id="1096900581">
      <w:bodyDiv w:val="1"/>
      <w:marLeft w:val="0"/>
      <w:marRight w:val="0"/>
      <w:marTop w:val="0"/>
      <w:marBottom w:val="0"/>
      <w:divBdr>
        <w:top w:val="none" w:sz="0" w:space="0" w:color="auto"/>
        <w:left w:val="none" w:sz="0" w:space="0" w:color="auto"/>
        <w:bottom w:val="none" w:sz="0" w:space="0" w:color="auto"/>
        <w:right w:val="none" w:sz="0" w:space="0" w:color="auto"/>
      </w:divBdr>
    </w:div>
    <w:div w:id="1097017492">
      <w:bodyDiv w:val="1"/>
      <w:marLeft w:val="0"/>
      <w:marRight w:val="0"/>
      <w:marTop w:val="0"/>
      <w:marBottom w:val="0"/>
      <w:divBdr>
        <w:top w:val="none" w:sz="0" w:space="0" w:color="auto"/>
        <w:left w:val="none" w:sz="0" w:space="0" w:color="auto"/>
        <w:bottom w:val="none" w:sz="0" w:space="0" w:color="auto"/>
        <w:right w:val="none" w:sz="0" w:space="0" w:color="auto"/>
      </w:divBdr>
    </w:div>
    <w:div w:id="1097019954">
      <w:bodyDiv w:val="1"/>
      <w:marLeft w:val="0"/>
      <w:marRight w:val="0"/>
      <w:marTop w:val="0"/>
      <w:marBottom w:val="0"/>
      <w:divBdr>
        <w:top w:val="none" w:sz="0" w:space="0" w:color="auto"/>
        <w:left w:val="none" w:sz="0" w:space="0" w:color="auto"/>
        <w:bottom w:val="none" w:sz="0" w:space="0" w:color="auto"/>
        <w:right w:val="none" w:sz="0" w:space="0" w:color="auto"/>
      </w:divBdr>
    </w:div>
    <w:div w:id="1097022175">
      <w:bodyDiv w:val="1"/>
      <w:marLeft w:val="0"/>
      <w:marRight w:val="0"/>
      <w:marTop w:val="0"/>
      <w:marBottom w:val="0"/>
      <w:divBdr>
        <w:top w:val="none" w:sz="0" w:space="0" w:color="auto"/>
        <w:left w:val="none" w:sz="0" w:space="0" w:color="auto"/>
        <w:bottom w:val="none" w:sz="0" w:space="0" w:color="auto"/>
        <w:right w:val="none" w:sz="0" w:space="0" w:color="auto"/>
      </w:divBdr>
    </w:div>
    <w:div w:id="1097168310">
      <w:bodyDiv w:val="1"/>
      <w:marLeft w:val="0"/>
      <w:marRight w:val="0"/>
      <w:marTop w:val="0"/>
      <w:marBottom w:val="0"/>
      <w:divBdr>
        <w:top w:val="none" w:sz="0" w:space="0" w:color="auto"/>
        <w:left w:val="none" w:sz="0" w:space="0" w:color="auto"/>
        <w:bottom w:val="none" w:sz="0" w:space="0" w:color="auto"/>
        <w:right w:val="none" w:sz="0" w:space="0" w:color="auto"/>
      </w:divBdr>
    </w:div>
    <w:div w:id="1097170791">
      <w:bodyDiv w:val="1"/>
      <w:marLeft w:val="0"/>
      <w:marRight w:val="0"/>
      <w:marTop w:val="0"/>
      <w:marBottom w:val="0"/>
      <w:divBdr>
        <w:top w:val="none" w:sz="0" w:space="0" w:color="auto"/>
        <w:left w:val="none" w:sz="0" w:space="0" w:color="auto"/>
        <w:bottom w:val="none" w:sz="0" w:space="0" w:color="auto"/>
        <w:right w:val="none" w:sz="0" w:space="0" w:color="auto"/>
      </w:divBdr>
    </w:div>
    <w:div w:id="1097216627">
      <w:bodyDiv w:val="1"/>
      <w:marLeft w:val="0"/>
      <w:marRight w:val="0"/>
      <w:marTop w:val="0"/>
      <w:marBottom w:val="0"/>
      <w:divBdr>
        <w:top w:val="none" w:sz="0" w:space="0" w:color="auto"/>
        <w:left w:val="none" w:sz="0" w:space="0" w:color="auto"/>
        <w:bottom w:val="none" w:sz="0" w:space="0" w:color="auto"/>
        <w:right w:val="none" w:sz="0" w:space="0" w:color="auto"/>
      </w:divBdr>
    </w:div>
    <w:div w:id="1097403431">
      <w:bodyDiv w:val="1"/>
      <w:marLeft w:val="0"/>
      <w:marRight w:val="0"/>
      <w:marTop w:val="0"/>
      <w:marBottom w:val="0"/>
      <w:divBdr>
        <w:top w:val="none" w:sz="0" w:space="0" w:color="auto"/>
        <w:left w:val="none" w:sz="0" w:space="0" w:color="auto"/>
        <w:bottom w:val="none" w:sz="0" w:space="0" w:color="auto"/>
        <w:right w:val="none" w:sz="0" w:space="0" w:color="auto"/>
      </w:divBdr>
    </w:div>
    <w:div w:id="1097407638">
      <w:bodyDiv w:val="1"/>
      <w:marLeft w:val="0"/>
      <w:marRight w:val="0"/>
      <w:marTop w:val="0"/>
      <w:marBottom w:val="0"/>
      <w:divBdr>
        <w:top w:val="none" w:sz="0" w:space="0" w:color="auto"/>
        <w:left w:val="none" w:sz="0" w:space="0" w:color="auto"/>
        <w:bottom w:val="none" w:sz="0" w:space="0" w:color="auto"/>
        <w:right w:val="none" w:sz="0" w:space="0" w:color="auto"/>
      </w:divBdr>
    </w:div>
    <w:div w:id="1097480632">
      <w:bodyDiv w:val="1"/>
      <w:marLeft w:val="0"/>
      <w:marRight w:val="0"/>
      <w:marTop w:val="0"/>
      <w:marBottom w:val="0"/>
      <w:divBdr>
        <w:top w:val="none" w:sz="0" w:space="0" w:color="auto"/>
        <w:left w:val="none" w:sz="0" w:space="0" w:color="auto"/>
        <w:bottom w:val="none" w:sz="0" w:space="0" w:color="auto"/>
        <w:right w:val="none" w:sz="0" w:space="0" w:color="auto"/>
      </w:divBdr>
    </w:div>
    <w:div w:id="1097598249">
      <w:bodyDiv w:val="1"/>
      <w:marLeft w:val="0"/>
      <w:marRight w:val="0"/>
      <w:marTop w:val="0"/>
      <w:marBottom w:val="0"/>
      <w:divBdr>
        <w:top w:val="none" w:sz="0" w:space="0" w:color="auto"/>
        <w:left w:val="none" w:sz="0" w:space="0" w:color="auto"/>
        <w:bottom w:val="none" w:sz="0" w:space="0" w:color="auto"/>
        <w:right w:val="none" w:sz="0" w:space="0" w:color="auto"/>
      </w:divBdr>
    </w:div>
    <w:div w:id="1097678340">
      <w:bodyDiv w:val="1"/>
      <w:marLeft w:val="0"/>
      <w:marRight w:val="0"/>
      <w:marTop w:val="0"/>
      <w:marBottom w:val="0"/>
      <w:divBdr>
        <w:top w:val="none" w:sz="0" w:space="0" w:color="auto"/>
        <w:left w:val="none" w:sz="0" w:space="0" w:color="auto"/>
        <w:bottom w:val="none" w:sz="0" w:space="0" w:color="auto"/>
        <w:right w:val="none" w:sz="0" w:space="0" w:color="auto"/>
      </w:divBdr>
    </w:div>
    <w:div w:id="1097748417">
      <w:bodyDiv w:val="1"/>
      <w:marLeft w:val="0"/>
      <w:marRight w:val="0"/>
      <w:marTop w:val="0"/>
      <w:marBottom w:val="0"/>
      <w:divBdr>
        <w:top w:val="none" w:sz="0" w:space="0" w:color="auto"/>
        <w:left w:val="none" w:sz="0" w:space="0" w:color="auto"/>
        <w:bottom w:val="none" w:sz="0" w:space="0" w:color="auto"/>
        <w:right w:val="none" w:sz="0" w:space="0" w:color="auto"/>
      </w:divBdr>
    </w:div>
    <w:div w:id="1097866271">
      <w:bodyDiv w:val="1"/>
      <w:marLeft w:val="0"/>
      <w:marRight w:val="0"/>
      <w:marTop w:val="0"/>
      <w:marBottom w:val="0"/>
      <w:divBdr>
        <w:top w:val="none" w:sz="0" w:space="0" w:color="auto"/>
        <w:left w:val="none" w:sz="0" w:space="0" w:color="auto"/>
        <w:bottom w:val="none" w:sz="0" w:space="0" w:color="auto"/>
        <w:right w:val="none" w:sz="0" w:space="0" w:color="auto"/>
      </w:divBdr>
    </w:div>
    <w:div w:id="1097870333">
      <w:bodyDiv w:val="1"/>
      <w:marLeft w:val="0"/>
      <w:marRight w:val="0"/>
      <w:marTop w:val="0"/>
      <w:marBottom w:val="0"/>
      <w:divBdr>
        <w:top w:val="none" w:sz="0" w:space="0" w:color="auto"/>
        <w:left w:val="none" w:sz="0" w:space="0" w:color="auto"/>
        <w:bottom w:val="none" w:sz="0" w:space="0" w:color="auto"/>
        <w:right w:val="none" w:sz="0" w:space="0" w:color="auto"/>
      </w:divBdr>
    </w:div>
    <w:div w:id="1097870688">
      <w:bodyDiv w:val="1"/>
      <w:marLeft w:val="0"/>
      <w:marRight w:val="0"/>
      <w:marTop w:val="0"/>
      <w:marBottom w:val="0"/>
      <w:divBdr>
        <w:top w:val="none" w:sz="0" w:space="0" w:color="auto"/>
        <w:left w:val="none" w:sz="0" w:space="0" w:color="auto"/>
        <w:bottom w:val="none" w:sz="0" w:space="0" w:color="auto"/>
        <w:right w:val="none" w:sz="0" w:space="0" w:color="auto"/>
      </w:divBdr>
    </w:div>
    <w:div w:id="1098060937">
      <w:bodyDiv w:val="1"/>
      <w:marLeft w:val="0"/>
      <w:marRight w:val="0"/>
      <w:marTop w:val="0"/>
      <w:marBottom w:val="0"/>
      <w:divBdr>
        <w:top w:val="none" w:sz="0" w:space="0" w:color="auto"/>
        <w:left w:val="none" w:sz="0" w:space="0" w:color="auto"/>
        <w:bottom w:val="none" w:sz="0" w:space="0" w:color="auto"/>
        <w:right w:val="none" w:sz="0" w:space="0" w:color="auto"/>
      </w:divBdr>
    </w:div>
    <w:div w:id="1098136915">
      <w:bodyDiv w:val="1"/>
      <w:marLeft w:val="0"/>
      <w:marRight w:val="0"/>
      <w:marTop w:val="0"/>
      <w:marBottom w:val="0"/>
      <w:divBdr>
        <w:top w:val="none" w:sz="0" w:space="0" w:color="auto"/>
        <w:left w:val="none" w:sz="0" w:space="0" w:color="auto"/>
        <w:bottom w:val="none" w:sz="0" w:space="0" w:color="auto"/>
        <w:right w:val="none" w:sz="0" w:space="0" w:color="auto"/>
      </w:divBdr>
    </w:div>
    <w:div w:id="1098138094">
      <w:bodyDiv w:val="1"/>
      <w:marLeft w:val="0"/>
      <w:marRight w:val="0"/>
      <w:marTop w:val="0"/>
      <w:marBottom w:val="0"/>
      <w:divBdr>
        <w:top w:val="none" w:sz="0" w:space="0" w:color="auto"/>
        <w:left w:val="none" w:sz="0" w:space="0" w:color="auto"/>
        <w:bottom w:val="none" w:sz="0" w:space="0" w:color="auto"/>
        <w:right w:val="none" w:sz="0" w:space="0" w:color="auto"/>
      </w:divBdr>
    </w:div>
    <w:div w:id="1098215105">
      <w:bodyDiv w:val="1"/>
      <w:marLeft w:val="0"/>
      <w:marRight w:val="0"/>
      <w:marTop w:val="0"/>
      <w:marBottom w:val="0"/>
      <w:divBdr>
        <w:top w:val="none" w:sz="0" w:space="0" w:color="auto"/>
        <w:left w:val="none" w:sz="0" w:space="0" w:color="auto"/>
        <w:bottom w:val="none" w:sz="0" w:space="0" w:color="auto"/>
        <w:right w:val="none" w:sz="0" w:space="0" w:color="auto"/>
      </w:divBdr>
    </w:div>
    <w:div w:id="1098216114">
      <w:bodyDiv w:val="1"/>
      <w:marLeft w:val="0"/>
      <w:marRight w:val="0"/>
      <w:marTop w:val="0"/>
      <w:marBottom w:val="0"/>
      <w:divBdr>
        <w:top w:val="none" w:sz="0" w:space="0" w:color="auto"/>
        <w:left w:val="none" w:sz="0" w:space="0" w:color="auto"/>
        <w:bottom w:val="none" w:sz="0" w:space="0" w:color="auto"/>
        <w:right w:val="none" w:sz="0" w:space="0" w:color="auto"/>
      </w:divBdr>
    </w:div>
    <w:div w:id="1098284877">
      <w:bodyDiv w:val="1"/>
      <w:marLeft w:val="0"/>
      <w:marRight w:val="0"/>
      <w:marTop w:val="0"/>
      <w:marBottom w:val="0"/>
      <w:divBdr>
        <w:top w:val="none" w:sz="0" w:space="0" w:color="auto"/>
        <w:left w:val="none" w:sz="0" w:space="0" w:color="auto"/>
        <w:bottom w:val="none" w:sz="0" w:space="0" w:color="auto"/>
        <w:right w:val="none" w:sz="0" w:space="0" w:color="auto"/>
      </w:divBdr>
    </w:div>
    <w:div w:id="1098408671">
      <w:bodyDiv w:val="1"/>
      <w:marLeft w:val="0"/>
      <w:marRight w:val="0"/>
      <w:marTop w:val="0"/>
      <w:marBottom w:val="0"/>
      <w:divBdr>
        <w:top w:val="none" w:sz="0" w:space="0" w:color="auto"/>
        <w:left w:val="none" w:sz="0" w:space="0" w:color="auto"/>
        <w:bottom w:val="none" w:sz="0" w:space="0" w:color="auto"/>
        <w:right w:val="none" w:sz="0" w:space="0" w:color="auto"/>
      </w:divBdr>
    </w:div>
    <w:div w:id="1098410520">
      <w:bodyDiv w:val="1"/>
      <w:marLeft w:val="0"/>
      <w:marRight w:val="0"/>
      <w:marTop w:val="0"/>
      <w:marBottom w:val="0"/>
      <w:divBdr>
        <w:top w:val="none" w:sz="0" w:space="0" w:color="auto"/>
        <w:left w:val="none" w:sz="0" w:space="0" w:color="auto"/>
        <w:bottom w:val="none" w:sz="0" w:space="0" w:color="auto"/>
        <w:right w:val="none" w:sz="0" w:space="0" w:color="auto"/>
      </w:divBdr>
    </w:div>
    <w:div w:id="1098713818">
      <w:bodyDiv w:val="1"/>
      <w:marLeft w:val="0"/>
      <w:marRight w:val="0"/>
      <w:marTop w:val="0"/>
      <w:marBottom w:val="0"/>
      <w:divBdr>
        <w:top w:val="none" w:sz="0" w:space="0" w:color="auto"/>
        <w:left w:val="none" w:sz="0" w:space="0" w:color="auto"/>
        <w:bottom w:val="none" w:sz="0" w:space="0" w:color="auto"/>
        <w:right w:val="none" w:sz="0" w:space="0" w:color="auto"/>
      </w:divBdr>
    </w:div>
    <w:div w:id="1098721413">
      <w:bodyDiv w:val="1"/>
      <w:marLeft w:val="0"/>
      <w:marRight w:val="0"/>
      <w:marTop w:val="0"/>
      <w:marBottom w:val="0"/>
      <w:divBdr>
        <w:top w:val="none" w:sz="0" w:space="0" w:color="auto"/>
        <w:left w:val="none" w:sz="0" w:space="0" w:color="auto"/>
        <w:bottom w:val="none" w:sz="0" w:space="0" w:color="auto"/>
        <w:right w:val="none" w:sz="0" w:space="0" w:color="auto"/>
      </w:divBdr>
    </w:div>
    <w:div w:id="1098788559">
      <w:bodyDiv w:val="1"/>
      <w:marLeft w:val="0"/>
      <w:marRight w:val="0"/>
      <w:marTop w:val="0"/>
      <w:marBottom w:val="0"/>
      <w:divBdr>
        <w:top w:val="none" w:sz="0" w:space="0" w:color="auto"/>
        <w:left w:val="none" w:sz="0" w:space="0" w:color="auto"/>
        <w:bottom w:val="none" w:sz="0" w:space="0" w:color="auto"/>
        <w:right w:val="none" w:sz="0" w:space="0" w:color="auto"/>
      </w:divBdr>
    </w:div>
    <w:div w:id="1098789779">
      <w:bodyDiv w:val="1"/>
      <w:marLeft w:val="0"/>
      <w:marRight w:val="0"/>
      <w:marTop w:val="0"/>
      <w:marBottom w:val="0"/>
      <w:divBdr>
        <w:top w:val="none" w:sz="0" w:space="0" w:color="auto"/>
        <w:left w:val="none" w:sz="0" w:space="0" w:color="auto"/>
        <w:bottom w:val="none" w:sz="0" w:space="0" w:color="auto"/>
        <w:right w:val="none" w:sz="0" w:space="0" w:color="auto"/>
      </w:divBdr>
    </w:div>
    <w:div w:id="1098790791">
      <w:bodyDiv w:val="1"/>
      <w:marLeft w:val="0"/>
      <w:marRight w:val="0"/>
      <w:marTop w:val="0"/>
      <w:marBottom w:val="0"/>
      <w:divBdr>
        <w:top w:val="none" w:sz="0" w:space="0" w:color="auto"/>
        <w:left w:val="none" w:sz="0" w:space="0" w:color="auto"/>
        <w:bottom w:val="none" w:sz="0" w:space="0" w:color="auto"/>
        <w:right w:val="none" w:sz="0" w:space="0" w:color="auto"/>
      </w:divBdr>
    </w:div>
    <w:div w:id="1098871394">
      <w:bodyDiv w:val="1"/>
      <w:marLeft w:val="0"/>
      <w:marRight w:val="0"/>
      <w:marTop w:val="0"/>
      <w:marBottom w:val="0"/>
      <w:divBdr>
        <w:top w:val="none" w:sz="0" w:space="0" w:color="auto"/>
        <w:left w:val="none" w:sz="0" w:space="0" w:color="auto"/>
        <w:bottom w:val="none" w:sz="0" w:space="0" w:color="auto"/>
        <w:right w:val="none" w:sz="0" w:space="0" w:color="auto"/>
      </w:divBdr>
    </w:div>
    <w:div w:id="1098872389">
      <w:bodyDiv w:val="1"/>
      <w:marLeft w:val="0"/>
      <w:marRight w:val="0"/>
      <w:marTop w:val="0"/>
      <w:marBottom w:val="0"/>
      <w:divBdr>
        <w:top w:val="none" w:sz="0" w:space="0" w:color="auto"/>
        <w:left w:val="none" w:sz="0" w:space="0" w:color="auto"/>
        <w:bottom w:val="none" w:sz="0" w:space="0" w:color="auto"/>
        <w:right w:val="none" w:sz="0" w:space="0" w:color="auto"/>
      </w:divBdr>
    </w:div>
    <w:div w:id="1098908612">
      <w:bodyDiv w:val="1"/>
      <w:marLeft w:val="0"/>
      <w:marRight w:val="0"/>
      <w:marTop w:val="0"/>
      <w:marBottom w:val="0"/>
      <w:divBdr>
        <w:top w:val="none" w:sz="0" w:space="0" w:color="auto"/>
        <w:left w:val="none" w:sz="0" w:space="0" w:color="auto"/>
        <w:bottom w:val="none" w:sz="0" w:space="0" w:color="auto"/>
        <w:right w:val="none" w:sz="0" w:space="0" w:color="auto"/>
      </w:divBdr>
    </w:div>
    <w:div w:id="1099060249">
      <w:bodyDiv w:val="1"/>
      <w:marLeft w:val="0"/>
      <w:marRight w:val="0"/>
      <w:marTop w:val="0"/>
      <w:marBottom w:val="0"/>
      <w:divBdr>
        <w:top w:val="none" w:sz="0" w:space="0" w:color="auto"/>
        <w:left w:val="none" w:sz="0" w:space="0" w:color="auto"/>
        <w:bottom w:val="none" w:sz="0" w:space="0" w:color="auto"/>
        <w:right w:val="none" w:sz="0" w:space="0" w:color="auto"/>
      </w:divBdr>
    </w:div>
    <w:div w:id="1099256068">
      <w:bodyDiv w:val="1"/>
      <w:marLeft w:val="0"/>
      <w:marRight w:val="0"/>
      <w:marTop w:val="0"/>
      <w:marBottom w:val="0"/>
      <w:divBdr>
        <w:top w:val="none" w:sz="0" w:space="0" w:color="auto"/>
        <w:left w:val="none" w:sz="0" w:space="0" w:color="auto"/>
        <w:bottom w:val="none" w:sz="0" w:space="0" w:color="auto"/>
        <w:right w:val="none" w:sz="0" w:space="0" w:color="auto"/>
      </w:divBdr>
    </w:div>
    <w:div w:id="1099368216">
      <w:bodyDiv w:val="1"/>
      <w:marLeft w:val="0"/>
      <w:marRight w:val="0"/>
      <w:marTop w:val="0"/>
      <w:marBottom w:val="0"/>
      <w:divBdr>
        <w:top w:val="none" w:sz="0" w:space="0" w:color="auto"/>
        <w:left w:val="none" w:sz="0" w:space="0" w:color="auto"/>
        <w:bottom w:val="none" w:sz="0" w:space="0" w:color="auto"/>
        <w:right w:val="none" w:sz="0" w:space="0" w:color="auto"/>
      </w:divBdr>
    </w:div>
    <w:div w:id="1099446942">
      <w:bodyDiv w:val="1"/>
      <w:marLeft w:val="0"/>
      <w:marRight w:val="0"/>
      <w:marTop w:val="0"/>
      <w:marBottom w:val="0"/>
      <w:divBdr>
        <w:top w:val="none" w:sz="0" w:space="0" w:color="auto"/>
        <w:left w:val="none" w:sz="0" w:space="0" w:color="auto"/>
        <w:bottom w:val="none" w:sz="0" w:space="0" w:color="auto"/>
        <w:right w:val="none" w:sz="0" w:space="0" w:color="auto"/>
      </w:divBdr>
    </w:div>
    <w:div w:id="1099447329">
      <w:bodyDiv w:val="1"/>
      <w:marLeft w:val="0"/>
      <w:marRight w:val="0"/>
      <w:marTop w:val="0"/>
      <w:marBottom w:val="0"/>
      <w:divBdr>
        <w:top w:val="none" w:sz="0" w:space="0" w:color="auto"/>
        <w:left w:val="none" w:sz="0" w:space="0" w:color="auto"/>
        <w:bottom w:val="none" w:sz="0" w:space="0" w:color="auto"/>
        <w:right w:val="none" w:sz="0" w:space="0" w:color="auto"/>
      </w:divBdr>
    </w:div>
    <w:div w:id="1099524075">
      <w:bodyDiv w:val="1"/>
      <w:marLeft w:val="0"/>
      <w:marRight w:val="0"/>
      <w:marTop w:val="0"/>
      <w:marBottom w:val="0"/>
      <w:divBdr>
        <w:top w:val="none" w:sz="0" w:space="0" w:color="auto"/>
        <w:left w:val="none" w:sz="0" w:space="0" w:color="auto"/>
        <w:bottom w:val="none" w:sz="0" w:space="0" w:color="auto"/>
        <w:right w:val="none" w:sz="0" w:space="0" w:color="auto"/>
      </w:divBdr>
    </w:div>
    <w:div w:id="1099528142">
      <w:bodyDiv w:val="1"/>
      <w:marLeft w:val="0"/>
      <w:marRight w:val="0"/>
      <w:marTop w:val="0"/>
      <w:marBottom w:val="0"/>
      <w:divBdr>
        <w:top w:val="none" w:sz="0" w:space="0" w:color="auto"/>
        <w:left w:val="none" w:sz="0" w:space="0" w:color="auto"/>
        <w:bottom w:val="none" w:sz="0" w:space="0" w:color="auto"/>
        <w:right w:val="none" w:sz="0" w:space="0" w:color="auto"/>
      </w:divBdr>
    </w:div>
    <w:div w:id="1099638969">
      <w:bodyDiv w:val="1"/>
      <w:marLeft w:val="0"/>
      <w:marRight w:val="0"/>
      <w:marTop w:val="0"/>
      <w:marBottom w:val="0"/>
      <w:divBdr>
        <w:top w:val="none" w:sz="0" w:space="0" w:color="auto"/>
        <w:left w:val="none" w:sz="0" w:space="0" w:color="auto"/>
        <w:bottom w:val="none" w:sz="0" w:space="0" w:color="auto"/>
        <w:right w:val="none" w:sz="0" w:space="0" w:color="auto"/>
      </w:divBdr>
    </w:div>
    <w:div w:id="1099642894">
      <w:bodyDiv w:val="1"/>
      <w:marLeft w:val="0"/>
      <w:marRight w:val="0"/>
      <w:marTop w:val="0"/>
      <w:marBottom w:val="0"/>
      <w:divBdr>
        <w:top w:val="none" w:sz="0" w:space="0" w:color="auto"/>
        <w:left w:val="none" w:sz="0" w:space="0" w:color="auto"/>
        <w:bottom w:val="none" w:sz="0" w:space="0" w:color="auto"/>
        <w:right w:val="none" w:sz="0" w:space="0" w:color="auto"/>
      </w:divBdr>
    </w:div>
    <w:div w:id="1099832048">
      <w:bodyDiv w:val="1"/>
      <w:marLeft w:val="0"/>
      <w:marRight w:val="0"/>
      <w:marTop w:val="0"/>
      <w:marBottom w:val="0"/>
      <w:divBdr>
        <w:top w:val="none" w:sz="0" w:space="0" w:color="auto"/>
        <w:left w:val="none" w:sz="0" w:space="0" w:color="auto"/>
        <w:bottom w:val="none" w:sz="0" w:space="0" w:color="auto"/>
        <w:right w:val="none" w:sz="0" w:space="0" w:color="auto"/>
      </w:divBdr>
    </w:div>
    <w:div w:id="1099911779">
      <w:bodyDiv w:val="1"/>
      <w:marLeft w:val="0"/>
      <w:marRight w:val="0"/>
      <w:marTop w:val="0"/>
      <w:marBottom w:val="0"/>
      <w:divBdr>
        <w:top w:val="none" w:sz="0" w:space="0" w:color="auto"/>
        <w:left w:val="none" w:sz="0" w:space="0" w:color="auto"/>
        <w:bottom w:val="none" w:sz="0" w:space="0" w:color="auto"/>
        <w:right w:val="none" w:sz="0" w:space="0" w:color="auto"/>
      </w:divBdr>
    </w:div>
    <w:div w:id="1100103111">
      <w:bodyDiv w:val="1"/>
      <w:marLeft w:val="0"/>
      <w:marRight w:val="0"/>
      <w:marTop w:val="0"/>
      <w:marBottom w:val="0"/>
      <w:divBdr>
        <w:top w:val="none" w:sz="0" w:space="0" w:color="auto"/>
        <w:left w:val="none" w:sz="0" w:space="0" w:color="auto"/>
        <w:bottom w:val="none" w:sz="0" w:space="0" w:color="auto"/>
        <w:right w:val="none" w:sz="0" w:space="0" w:color="auto"/>
      </w:divBdr>
    </w:div>
    <w:div w:id="1100177732">
      <w:bodyDiv w:val="1"/>
      <w:marLeft w:val="0"/>
      <w:marRight w:val="0"/>
      <w:marTop w:val="0"/>
      <w:marBottom w:val="0"/>
      <w:divBdr>
        <w:top w:val="none" w:sz="0" w:space="0" w:color="auto"/>
        <w:left w:val="none" w:sz="0" w:space="0" w:color="auto"/>
        <w:bottom w:val="none" w:sz="0" w:space="0" w:color="auto"/>
        <w:right w:val="none" w:sz="0" w:space="0" w:color="auto"/>
      </w:divBdr>
    </w:div>
    <w:div w:id="1100222326">
      <w:bodyDiv w:val="1"/>
      <w:marLeft w:val="0"/>
      <w:marRight w:val="0"/>
      <w:marTop w:val="0"/>
      <w:marBottom w:val="0"/>
      <w:divBdr>
        <w:top w:val="none" w:sz="0" w:space="0" w:color="auto"/>
        <w:left w:val="none" w:sz="0" w:space="0" w:color="auto"/>
        <w:bottom w:val="none" w:sz="0" w:space="0" w:color="auto"/>
        <w:right w:val="none" w:sz="0" w:space="0" w:color="auto"/>
      </w:divBdr>
    </w:div>
    <w:div w:id="1100292248">
      <w:bodyDiv w:val="1"/>
      <w:marLeft w:val="0"/>
      <w:marRight w:val="0"/>
      <w:marTop w:val="0"/>
      <w:marBottom w:val="0"/>
      <w:divBdr>
        <w:top w:val="none" w:sz="0" w:space="0" w:color="auto"/>
        <w:left w:val="none" w:sz="0" w:space="0" w:color="auto"/>
        <w:bottom w:val="none" w:sz="0" w:space="0" w:color="auto"/>
        <w:right w:val="none" w:sz="0" w:space="0" w:color="auto"/>
      </w:divBdr>
    </w:div>
    <w:div w:id="1100292462">
      <w:bodyDiv w:val="1"/>
      <w:marLeft w:val="0"/>
      <w:marRight w:val="0"/>
      <w:marTop w:val="0"/>
      <w:marBottom w:val="0"/>
      <w:divBdr>
        <w:top w:val="none" w:sz="0" w:space="0" w:color="auto"/>
        <w:left w:val="none" w:sz="0" w:space="0" w:color="auto"/>
        <w:bottom w:val="none" w:sz="0" w:space="0" w:color="auto"/>
        <w:right w:val="none" w:sz="0" w:space="0" w:color="auto"/>
      </w:divBdr>
    </w:div>
    <w:div w:id="1100296021">
      <w:bodyDiv w:val="1"/>
      <w:marLeft w:val="0"/>
      <w:marRight w:val="0"/>
      <w:marTop w:val="0"/>
      <w:marBottom w:val="0"/>
      <w:divBdr>
        <w:top w:val="none" w:sz="0" w:space="0" w:color="auto"/>
        <w:left w:val="none" w:sz="0" w:space="0" w:color="auto"/>
        <w:bottom w:val="none" w:sz="0" w:space="0" w:color="auto"/>
        <w:right w:val="none" w:sz="0" w:space="0" w:color="auto"/>
      </w:divBdr>
    </w:div>
    <w:div w:id="1100300955">
      <w:bodyDiv w:val="1"/>
      <w:marLeft w:val="0"/>
      <w:marRight w:val="0"/>
      <w:marTop w:val="0"/>
      <w:marBottom w:val="0"/>
      <w:divBdr>
        <w:top w:val="none" w:sz="0" w:space="0" w:color="auto"/>
        <w:left w:val="none" w:sz="0" w:space="0" w:color="auto"/>
        <w:bottom w:val="none" w:sz="0" w:space="0" w:color="auto"/>
        <w:right w:val="none" w:sz="0" w:space="0" w:color="auto"/>
      </w:divBdr>
    </w:div>
    <w:div w:id="1100301115">
      <w:bodyDiv w:val="1"/>
      <w:marLeft w:val="0"/>
      <w:marRight w:val="0"/>
      <w:marTop w:val="0"/>
      <w:marBottom w:val="0"/>
      <w:divBdr>
        <w:top w:val="none" w:sz="0" w:space="0" w:color="auto"/>
        <w:left w:val="none" w:sz="0" w:space="0" w:color="auto"/>
        <w:bottom w:val="none" w:sz="0" w:space="0" w:color="auto"/>
        <w:right w:val="none" w:sz="0" w:space="0" w:color="auto"/>
      </w:divBdr>
    </w:div>
    <w:div w:id="1100367462">
      <w:bodyDiv w:val="1"/>
      <w:marLeft w:val="0"/>
      <w:marRight w:val="0"/>
      <w:marTop w:val="0"/>
      <w:marBottom w:val="0"/>
      <w:divBdr>
        <w:top w:val="none" w:sz="0" w:space="0" w:color="auto"/>
        <w:left w:val="none" w:sz="0" w:space="0" w:color="auto"/>
        <w:bottom w:val="none" w:sz="0" w:space="0" w:color="auto"/>
        <w:right w:val="none" w:sz="0" w:space="0" w:color="auto"/>
      </w:divBdr>
    </w:div>
    <w:div w:id="1100417086">
      <w:bodyDiv w:val="1"/>
      <w:marLeft w:val="0"/>
      <w:marRight w:val="0"/>
      <w:marTop w:val="0"/>
      <w:marBottom w:val="0"/>
      <w:divBdr>
        <w:top w:val="none" w:sz="0" w:space="0" w:color="auto"/>
        <w:left w:val="none" w:sz="0" w:space="0" w:color="auto"/>
        <w:bottom w:val="none" w:sz="0" w:space="0" w:color="auto"/>
        <w:right w:val="none" w:sz="0" w:space="0" w:color="auto"/>
      </w:divBdr>
    </w:div>
    <w:div w:id="1100419660">
      <w:bodyDiv w:val="1"/>
      <w:marLeft w:val="0"/>
      <w:marRight w:val="0"/>
      <w:marTop w:val="0"/>
      <w:marBottom w:val="0"/>
      <w:divBdr>
        <w:top w:val="none" w:sz="0" w:space="0" w:color="auto"/>
        <w:left w:val="none" w:sz="0" w:space="0" w:color="auto"/>
        <w:bottom w:val="none" w:sz="0" w:space="0" w:color="auto"/>
        <w:right w:val="none" w:sz="0" w:space="0" w:color="auto"/>
      </w:divBdr>
    </w:div>
    <w:div w:id="1100493408">
      <w:bodyDiv w:val="1"/>
      <w:marLeft w:val="0"/>
      <w:marRight w:val="0"/>
      <w:marTop w:val="0"/>
      <w:marBottom w:val="0"/>
      <w:divBdr>
        <w:top w:val="none" w:sz="0" w:space="0" w:color="auto"/>
        <w:left w:val="none" w:sz="0" w:space="0" w:color="auto"/>
        <w:bottom w:val="none" w:sz="0" w:space="0" w:color="auto"/>
        <w:right w:val="none" w:sz="0" w:space="0" w:color="auto"/>
      </w:divBdr>
    </w:div>
    <w:div w:id="1100566785">
      <w:bodyDiv w:val="1"/>
      <w:marLeft w:val="0"/>
      <w:marRight w:val="0"/>
      <w:marTop w:val="0"/>
      <w:marBottom w:val="0"/>
      <w:divBdr>
        <w:top w:val="none" w:sz="0" w:space="0" w:color="auto"/>
        <w:left w:val="none" w:sz="0" w:space="0" w:color="auto"/>
        <w:bottom w:val="none" w:sz="0" w:space="0" w:color="auto"/>
        <w:right w:val="none" w:sz="0" w:space="0" w:color="auto"/>
      </w:divBdr>
    </w:div>
    <w:div w:id="1100570084">
      <w:bodyDiv w:val="1"/>
      <w:marLeft w:val="0"/>
      <w:marRight w:val="0"/>
      <w:marTop w:val="0"/>
      <w:marBottom w:val="0"/>
      <w:divBdr>
        <w:top w:val="none" w:sz="0" w:space="0" w:color="auto"/>
        <w:left w:val="none" w:sz="0" w:space="0" w:color="auto"/>
        <w:bottom w:val="none" w:sz="0" w:space="0" w:color="auto"/>
        <w:right w:val="none" w:sz="0" w:space="0" w:color="auto"/>
      </w:divBdr>
    </w:div>
    <w:div w:id="1100761217">
      <w:bodyDiv w:val="1"/>
      <w:marLeft w:val="0"/>
      <w:marRight w:val="0"/>
      <w:marTop w:val="0"/>
      <w:marBottom w:val="0"/>
      <w:divBdr>
        <w:top w:val="none" w:sz="0" w:space="0" w:color="auto"/>
        <w:left w:val="none" w:sz="0" w:space="0" w:color="auto"/>
        <w:bottom w:val="none" w:sz="0" w:space="0" w:color="auto"/>
        <w:right w:val="none" w:sz="0" w:space="0" w:color="auto"/>
      </w:divBdr>
    </w:div>
    <w:div w:id="1100881257">
      <w:bodyDiv w:val="1"/>
      <w:marLeft w:val="0"/>
      <w:marRight w:val="0"/>
      <w:marTop w:val="0"/>
      <w:marBottom w:val="0"/>
      <w:divBdr>
        <w:top w:val="none" w:sz="0" w:space="0" w:color="auto"/>
        <w:left w:val="none" w:sz="0" w:space="0" w:color="auto"/>
        <w:bottom w:val="none" w:sz="0" w:space="0" w:color="auto"/>
        <w:right w:val="none" w:sz="0" w:space="0" w:color="auto"/>
      </w:divBdr>
    </w:div>
    <w:div w:id="1100956610">
      <w:bodyDiv w:val="1"/>
      <w:marLeft w:val="0"/>
      <w:marRight w:val="0"/>
      <w:marTop w:val="0"/>
      <w:marBottom w:val="0"/>
      <w:divBdr>
        <w:top w:val="none" w:sz="0" w:space="0" w:color="auto"/>
        <w:left w:val="none" w:sz="0" w:space="0" w:color="auto"/>
        <w:bottom w:val="none" w:sz="0" w:space="0" w:color="auto"/>
        <w:right w:val="none" w:sz="0" w:space="0" w:color="auto"/>
      </w:divBdr>
    </w:div>
    <w:div w:id="1101027532">
      <w:bodyDiv w:val="1"/>
      <w:marLeft w:val="0"/>
      <w:marRight w:val="0"/>
      <w:marTop w:val="0"/>
      <w:marBottom w:val="0"/>
      <w:divBdr>
        <w:top w:val="none" w:sz="0" w:space="0" w:color="auto"/>
        <w:left w:val="none" w:sz="0" w:space="0" w:color="auto"/>
        <w:bottom w:val="none" w:sz="0" w:space="0" w:color="auto"/>
        <w:right w:val="none" w:sz="0" w:space="0" w:color="auto"/>
      </w:divBdr>
    </w:div>
    <w:div w:id="1101028743">
      <w:bodyDiv w:val="1"/>
      <w:marLeft w:val="0"/>
      <w:marRight w:val="0"/>
      <w:marTop w:val="0"/>
      <w:marBottom w:val="0"/>
      <w:divBdr>
        <w:top w:val="none" w:sz="0" w:space="0" w:color="auto"/>
        <w:left w:val="none" w:sz="0" w:space="0" w:color="auto"/>
        <w:bottom w:val="none" w:sz="0" w:space="0" w:color="auto"/>
        <w:right w:val="none" w:sz="0" w:space="0" w:color="auto"/>
      </w:divBdr>
    </w:div>
    <w:div w:id="1101074296">
      <w:bodyDiv w:val="1"/>
      <w:marLeft w:val="0"/>
      <w:marRight w:val="0"/>
      <w:marTop w:val="0"/>
      <w:marBottom w:val="0"/>
      <w:divBdr>
        <w:top w:val="none" w:sz="0" w:space="0" w:color="auto"/>
        <w:left w:val="none" w:sz="0" w:space="0" w:color="auto"/>
        <w:bottom w:val="none" w:sz="0" w:space="0" w:color="auto"/>
        <w:right w:val="none" w:sz="0" w:space="0" w:color="auto"/>
      </w:divBdr>
    </w:div>
    <w:div w:id="1101144568">
      <w:bodyDiv w:val="1"/>
      <w:marLeft w:val="0"/>
      <w:marRight w:val="0"/>
      <w:marTop w:val="0"/>
      <w:marBottom w:val="0"/>
      <w:divBdr>
        <w:top w:val="none" w:sz="0" w:space="0" w:color="auto"/>
        <w:left w:val="none" w:sz="0" w:space="0" w:color="auto"/>
        <w:bottom w:val="none" w:sz="0" w:space="0" w:color="auto"/>
        <w:right w:val="none" w:sz="0" w:space="0" w:color="auto"/>
      </w:divBdr>
    </w:div>
    <w:div w:id="1101147637">
      <w:bodyDiv w:val="1"/>
      <w:marLeft w:val="0"/>
      <w:marRight w:val="0"/>
      <w:marTop w:val="0"/>
      <w:marBottom w:val="0"/>
      <w:divBdr>
        <w:top w:val="none" w:sz="0" w:space="0" w:color="auto"/>
        <w:left w:val="none" w:sz="0" w:space="0" w:color="auto"/>
        <w:bottom w:val="none" w:sz="0" w:space="0" w:color="auto"/>
        <w:right w:val="none" w:sz="0" w:space="0" w:color="auto"/>
      </w:divBdr>
    </w:div>
    <w:div w:id="1101218352">
      <w:bodyDiv w:val="1"/>
      <w:marLeft w:val="0"/>
      <w:marRight w:val="0"/>
      <w:marTop w:val="0"/>
      <w:marBottom w:val="0"/>
      <w:divBdr>
        <w:top w:val="none" w:sz="0" w:space="0" w:color="auto"/>
        <w:left w:val="none" w:sz="0" w:space="0" w:color="auto"/>
        <w:bottom w:val="none" w:sz="0" w:space="0" w:color="auto"/>
        <w:right w:val="none" w:sz="0" w:space="0" w:color="auto"/>
      </w:divBdr>
    </w:div>
    <w:div w:id="1101220258">
      <w:bodyDiv w:val="1"/>
      <w:marLeft w:val="0"/>
      <w:marRight w:val="0"/>
      <w:marTop w:val="0"/>
      <w:marBottom w:val="0"/>
      <w:divBdr>
        <w:top w:val="none" w:sz="0" w:space="0" w:color="auto"/>
        <w:left w:val="none" w:sz="0" w:space="0" w:color="auto"/>
        <w:bottom w:val="none" w:sz="0" w:space="0" w:color="auto"/>
        <w:right w:val="none" w:sz="0" w:space="0" w:color="auto"/>
      </w:divBdr>
    </w:div>
    <w:div w:id="1101223819">
      <w:bodyDiv w:val="1"/>
      <w:marLeft w:val="0"/>
      <w:marRight w:val="0"/>
      <w:marTop w:val="0"/>
      <w:marBottom w:val="0"/>
      <w:divBdr>
        <w:top w:val="none" w:sz="0" w:space="0" w:color="auto"/>
        <w:left w:val="none" w:sz="0" w:space="0" w:color="auto"/>
        <w:bottom w:val="none" w:sz="0" w:space="0" w:color="auto"/>
        <w:right w:val="none" w:sz="0" w:space="0" w:color="auto"/>
      </w:divBdr>
    </w:div>
    <w:div w:id="1101292125">
      <w:bodyDiv w:val="1"/>
      <w:marLeft w:val="0"/>
      <w:marRight w:val="0"/>
      <w:marTop w:val="0"/>
      <w:marBottom w:val="0"/>
      <w:divBdr>
        <w:top w:val="none" w:sz="0" w:space="0" w:color="auto"/>
        <w:left w:val="none" w:sz="0" w:space="0" w:color="auto"/>
        <w:bottom w:val="none" w:sz="0" w:space="0" w:color="auto"/>
        <w:right w:val="none" w:sz="0" w:space="0" w:color="auto"/>
      </w:divBdr>
    </w:div>
    <w:div w:id="1101337722">
      <w:bodyDiv w:val="1"/>
      <w:marLeft w:val="0"/>
      <w:marRight w:val="0"/>
      <w:marTop w:val="0"/>
      <w:marBottom w:val="0"/>
      <w:divBdr>
        <w:top w:val="none" w:sz="0" w:space="0" w:color="auto"/>
        <w:left w:val="none" w:sz="0" w:space="0" w:color="auto"/>
        <w:bottom w:val="none" w:sz="0" w:space="0" w:color="auto"/>
        <w:right w:val="none" w:sz="0" w:space="0" w:color="auto"/>
      </w:divBdr>
    </w:div>
    <w:div w:id="1101338787">
      <w:bodyDiv w:val="1"/>
      <w:marLeft w:val="0"/>
      <w:marRight w:val="0"/>
      <w:marTop w:val="0"/>
      <w:marBottom w:val="0"/>
      <w:divBdr>
        <w:top w:val="none" w:sz="0" w:space="0" w:color="auto"/>
        <w:left w:val="none" w:sz="0" w:space="0" w:color="auto"/>
        <w:bottom w:val="none" w:sz="0" w:space="0" w:color="auto"/>
        <w:right w:val="none" w:sz="0" w:space="0" w:color="auto"/>
      </w:divBdr>
    </w:div>
    <w:div w:id="1101342769">
      <w:bodyDiv w:val="1"/>
      <w:marLeft w:val="0"/>
      <w:marRight w:val="0"/>
      <w:marTop w:val="0"/>
      <w:marBottom w:val="0"/>
      <w:divBdr>
        <w:top w:val="none" w:sz="0" w:space="0" w:color="auto"/>
        <w:left w:val="none" w:sz="0" w:space="0" w:color="auto"/>
        <w:bottom w:val="none" w:sz="0" w:space="0" w:color="auto"/>
        <w:right w:val="none" w:sz="0" w:space="0" w:color="auto"/>
      </w:divBdr>
    </w:div>
    <w:div w:id="1101489251">
      <w:bodyDiv w:val="1"/>
      <w:marLeft w:val="0"/>
      <w:marRight w:val="0"/>
      <w:marTop w:val="0"/>
      <w:marBottom w:val="0"/>
      <w:divBdr>
        <w:top w:val="none" w:sz="0" w:space="0" w:color="auto"/>
        <w:left w:val="none" w:sz="0" w:space="0" w:color="auto"/>
        <w:bottom w:val="none" w:sz="0" w:space="0" w:color="auto"/>
        <w:right w:val="none" w:sz="0" w:space="0" w:color="auto"/>
      </w:divBdr>
    </w:div>
    <w:div w:id="1101493494">
      <w:bodyDiv w:val="1"/>
      <w:marLeft w:val="0"/>
      <w:marRight w:val="0"/>
      <w:marTop w:val="0"/>
      <w:marBottom w:val="0"/>
      <w:divBdr>
        <w:top w:val="none" w:sz="0" w:space="0" w:color="auto"/>
        <w:left w:val="none" w:sz="0" w:space="0" w:color="auto"/>
        <w:bottom w:val="none" w:sz="0" w:space="0" w:color="auto"/>
        <w:right w:val="none" w:sz="0" w:space="0" w:color="auto"/>
      </w:divBdr>
    </w:div>
    <w:div w:id="1101534683">
      <w:bodyDiv w:val="1"/>
      <w:marLeft w:val="0"/>
      <w:marRight w:val="0"/>
      <w:marTop w:val="0"/>
      <w:marBottom w:val="0"/>
      <w:divBdr>
        <w:top w:val="none" w:sz="0" w:space="0" w:color="auto"/>
        <w:left w:val="none" w:sz="0" w:space="0" w:color="auto"/>
        <w:bottom w:val="none" w:sz="0" w:space="0" w:color="auto"/>
        <w:right w:val="none" w:sz="0" w:space="0" w:color="auto"/>
      </w:divBdr>
    </w:div>
    <w:div w:id="1101536383">
      <w:bodyDiv w:val="1"/>
      <w:marLeft w:val="0"/>
      <w:marRight w:val="0"/>
      <w:marTop w:val="0"/>
      <w:marBottom w:val="0"/>
      <w:divBdr>
        <w:top w:val="none" w:sz="0" w:space="0" w:color="auto"/>
        <w:left w:val="none" w:sz="0" w:space="0" w:color="auto"/>
        <w:bottom w:val="none" w:sz="0" w:space="0" w:color="auto"/>
        <w:right w:val="none" w:sz="0" w:space="0" w:color="auto"/>
      </w:divBdr>
    </w:div>
    <w:div w:id="1101605251">
      <w:bodyDiv w:val="1"/>
      <w:marLeft w:val="0"/>
      <w:marRight w:val="0"/>
      <w:marTop w:val="0"/>
      <w:marBottom w:val="0"/>
      <w:divBdr>
        <w:top w:val="none" w:sz="0" w:space="0" w:color="auto"/>
        <w:left w:val="none" w:sz="0" w:space="0" w:color="auto"/>
        <w:bottom w:val="none" w:sz="0" w:space="0" w:color="auto"/>
        <w:right w:val="none" w:sz="0" w:space="0" w:color="auto"/>
      </w:divBdr>
    </w:div>
    <w:div w:id="1101681471">
      <w:bodyDiv w:val="1"/>
      <w:marLeft w:val="0"/>
      <w:marRight w:val="0"/>
      <w:marTop w:val="0"/>
      <w:marBottom w:val="0"/>
      <w:divBdr>
        <w:top w:val="none" w:sz="0" w:space="0" w:color="auto"/>
        <w:left w:val="none" w:sz="0" w:space="0" w:color="auto"/>
        <w:bottom w:val="none" w:sz="0" w:space="0" w:color="auto"/>
        <w:right w:val="none" w:sz="0" w:space="0" w:color="auto"/>
      </w:divBdr>
    </w:div>
    <w:div w:id="1101681915">
      <w:bodyDiv w:val="1"/>
      <w:marLeft w:val="0"/>
      <w:marRight w:val="0"/>
      <w:marTop w:val="0"/>
      <w:marBottom w:val="0"/>
      <w:divBdr>
        <w:top w:val="none" w:sz="0" w:space="0" w:color="auto"/>
        <w:left w:val="none" w:sz="0" w:space="0" w:color="auto"/>
        <w:bottom w:val="none" w:sz="0" w:space="0" w:color="auto"/>
        <w:right w:val="none" w:sz="0" w:space="0" w:color="auto"/>
      </w:divBdr>
    </w:div>
    <w:div w:id="1101684955">
      <w:bodyDiv w:val="1"/>
      <w:marLeft w:val="0"/>
      <w:marRight w:val="0"/>
      <w:marTop w:val="0"/>
      <w:marBottom w:val="0"/>
      <w:divBdr>
        <w:top w:val="none" w:sz="0" w:space="0" w:color="auto"/>
        <w:left w:val="none" w:sz="0" w:space="0" w:color="auto"/>
        <w:bottom w:val="none" w:sz="0" w:space="0" w:color="auto"/>
        <w:right w:val="none" w:sz="0" w:space="0" w:color="auto"/>
      </w:divBdr>
    </w:div>
    <w:div w:id="1101729249">
      <w:bodyDiv w:val="1"/>
      <w:marLeft w:val="0"/>
      <w:marRight w:val="0"/>
      <w:marTop w:val="0"/>
      <w:marBottom w:val="0"/>
      <w:divBdr>
        <w:top w:val="none" w:sz="0" w:space="0" w:color="auto"/>
        <w:left w:val="none" w:sz="0" w:space="0" w:color="auto"/>
        <w:bottom w:val="none" w:sz="0" w:space="0" w:color="auto"/>
        <w:right w:val="none" w:sz="0" w:space="0" w:color="auto"/>
      </w:divBdr>
    </w:div>
    <w:div w:id="1101802746">
      <w:bodyDiv w:val="1"/>
      <w:marLeft w:val="0"/>
      <w:marRight w:val="0"/>
      <w:marTop w:val="0"/>
      <w:marBottom w:val="0"/>
      <w:divBdr>
        <w:top w:val="none" w:sz="0" w:space="0" w:color="auto"/>
        <w:left w:val="none" w:sz="0" w:space="0" w:color="auto"/>
        <w:bottom w:val="none" w:sz="0" w:space="0" w:color="auto"/>
        <w:right w:val="none" w:sz="0" w:space="0" w:color="auto"/>
      </w:divBdr>
    </w:div>
    <w:div w:id="1101803766">
      <w:bodyDiv w:val="1"/>
      <w:marLeft w:val="0"/>
      <w:marRight w:val="0"/>
      <w:marTop w:val="0"/>
      <w:marBottom w:val="0"/>
      <w:divBdr>
        <w:top w:val="none" w:sz="0" w:space="0" w:color="auto"/>
        <w:left w:val="none" w:sz="0" w:space="0" w:color="auto"/>
        <w:bottom w:val="none" w:sz="0" w:space="0" w:color="auto"/>
        <w:right w:val="none" w:sz="0" w:space="0" w:color="auto"/>
      </w:divBdr>
    </w:div>
    <w:div w:id="1101948105">
      <w:bodyDiv w:val="1"/>
      <w:marLeft w:val="0"/>
      <w:marRight w:val="0"/>
      <w:marTop w:val="0"/>
      <w:marBottom w:val="0"/>
      <w:divBdr>
        <w:top w:val="none" w:sz="0" w:space="0" w:color="auto"/>
        <w:left w:val="none" w:sz="0" w:space="0" w:color="auto"/>
        <w:bottom w:val="none" w:sz="0" w:space="0" w:color="auto"/>
        <w:right w:val="none" w:sz="0" w:space="0" w:color="auto"/>
      </w:divBdr>
    </w:div>
    <w:div w:id="1102072489">
      <w:bodyDiv w:val="1"/>
      <w:marLeft w:val="0"/>
      <w:marRight w:val="0"/>
      <w:marTop w:val="0"/>
      <w:marBottom w:val="0"/>
      <w:divBdr>
        <w:top w:val="none" w:sz="0" w:space="0" w:color="auto"/>
        <w:left w:val="none" w:sz="0" w:space="0" w:color="auto"/>
        <w:bottom w:val="none" w:sz="0" w:space="0" w:color="auto"/>
        <w:right w:val="none" w:sz="0" w:space="0" w:color="auto"/>
      </w:divBdr>
    </w:div>
    <w:div w:id="1102146111">
      <w:bodyDiv w:val="1"/>
      <w:marLeft w:val="0"/>
      <w:marRight w:val="0"/>
      <w:marTop w:val="0"/>
      <w:marBottom w:val="0"/>
      <w:divBdr>
        <w:top w:val="none" w:sz="0" w:space="0" w:color="auto"/>
        <w:left w:val="none" w:sz="0" w:space="0" w:color="auto"/>
        <w:bottom w:val="none" w:sz="0" w:space="0" w:color="auto"/>
        <w:right w:val="none" w:sz="0" w:space="0" w:color="auto"/>
      </w:divBdr>
    </w:div>
    <w:div w:id="1102189090">
      <w:bodyDiv w:val="1"/>
      <w:marLeft w:val="0"/>
      <w:marRight w:val="0"/>
      <w:marTop w:val="0"/>
      <w:marBottom w:val="0"/>
      <w:divBdr>
        <w:top w:val="none" w:sz="0" w:space="0" w:color="auto"/>
        <w:left w:val="none" w:sz="0" w:space="0" w:color="auto"/>
        <w:bottom w:val="none" w:sz="0" w:space="0" w:color="auto"/>
        <w:right w:val="none" w:sz="0" w:space="0" w:color="auto"/>
      </w:divBdr>
    </w:div>
    <w:div w:id="1102339937">
      <w:bodyDiv w:val="1"/>
      <w:marLeft w:val="0"/>
      <w:marRight w:val="0"/>
      <w:marTop w:val="0"/>
      <w:marBottom w:val="0"/>
      <w:divBdr>
        <w:top w:val="none" w:sz="0" w:space="0" w:color="auto"/>
        <w:left w:val="none" w:sz="0" w:space="0" w:color="auto"/>
        <w:bottom w:val="none" w:sz="0" w:space="0" w:color="auto"/>
        <w:right w:val="none" w:sz="0" w:space="0" w:color="auto"/>
      </w:divBdr>
    </w:div>
    <w:div w:id="1102382833">
      <w:bodyDiv w:val="1"/>
      <w:marLeft w:val="0"/>
      <w:marRight w:val="0"/>
      <w:marTop w:val="0"/>
      <w:marBottom w:val="0"/>
      <w:divBdr>
        <w:top w:val="none" w:sz="0" w:space="0" w:color="auto"/>
        <w:left w:val="none" w:sz="0" w:space="0" w:color="auto"/>
        <w:bottom w:val="none" w:sz="0" w:space="0" w:color="auto"/>
        <w:right w:val="none" w:sz="0" w:space="0" w:color="auto"/>
      </w:divBdr>
    </w:div>
    <w:div w:id="1102412916">
      <w:bodyDiv w:val="1"/>
      <w:marLeft w:val="0"/>
      <w:marRight w:val="0"/>
      <w:marTop w:val="0"/>
      <w:marBottom w:val="0"/>
      <w:divBdr>
        <w:top w:val="none" w:sz="0" w:space="0" w:color="auto"/>
        <w:left w:val="none" w:sz="0" w:space="0" w:color="auto"/>
        <w:bottom w:val="none" w:sz="0" w:space="0" w:color="auto"/>
        <w:right w:val="none" w:sz="0" w:space="0" w:color="auto"/>
      </w:divBdr>
    </w:div>
    <w:div w:id="1102413342">
      <w:bodyDiv w:val="1"/>
      <w:marLeft w:val="0"/>
      <w:marRight w:val="0"/>
      <w:marTop w:val="0"/>
      <w:marBottom w:val="0"/>
      <w:divBdr>
        <w:top w:val="none" w:sz="0" w:space="0" w:color="auto"/>
        <w:left w:val="none" w:sz="0" w:space="0" w:color="auto"/>
        <w:bottom w:val="none" w:sz="0" w:space="0" w:color="auto"/>
        <w:right w:val="none" w:sz="0" w:space="0" w:color="auto"/>
      </w:divBdr>
    </w:div>
    <w:div w:id="1102527565">
      <w:bodyDiv w:val="1"/>
      <w:marLeft w:val="0"/>
      <w:marRight w:val="0"/>
      <w:marTop w:val="0"/>
      <w:marBottom w:val="0"/>
      <w:divBdr>
        <w:top w:val="none" w:sz="0" w:space="0" w:color="auto"/>
        <w:left w:val="none" w:sz="0" w:space="0" w:color="auto"/>
        <w:bottom w:val="none" w:sz="0" w:space="0" w:color="auto"/>
        <w:right w:val="none" w:sz="0" w:space="0" w:color="auto"/>
      </w:divBdr>
    </w:div>
    <w:div w:id="1102606763">
      <w:bodyDiv w:val="1"/>
      <w:marLeft w:val="0"/>
      <w:marRight w:val="0"/>
      <w:marTop w:val="0"/>
      <w:marBottom w:val="0"/>
      <w:divBdr>
        <w:top w:val="none" w:sz="0" w:space="0" w:color="auto"/>
        <w:left w:val="none" w:sz="0" w:space="0" w:color="auto"/>
        <w:bottom w:val="none" w:sz="0" w:space="0" w:color="auto"/>
        <w:right w:val="none" w:sz="0" w:space="0" w:color="auto"/>
      </w:divBdr>
    </w:div>
    <w:div w:id="1102649824">
      <w:bodyDiv w:val="1"/>
      <w:marLeft w:val="0"/>
      <w:marRight w:val="0"/>
      <w:marTop w:val="0"/>
      <w:marBottom w:val="0"/>
      <w:divBdr>
        <w:top w:val="none" w:sz="0" w:space="0" w:color="auto"/>
        <w:left w:val="none" w:sz="0" w:space="0" w:color="auto"/>
        <w:bottom w:val="none" w:sz="0" w:space="0" w:color="auto"/>
        <w:right w:val="none" w:sz="0" w:space="0" w:color="auto"/>
      </w:divBdr>
    </w:div>
    <w:div w:id="1102728207">
      <w:bodyDiv w:val="1"/>
      <w:marLeft w:val="0"/>
      <w:marRight w:val="0"/>
      <w:marTop w:val="0"/>
      <w:marBottom w:val="0"/>
      <w:divBdr>
        <w:top w:val="none" w:sz="0" w:space="0" w:color="auto"/>
        <w:left w:val="none" w:sz="0" w:space="0" w:color="auto"/>
        <w:bottom w:val="none" w:sz="0" w:space="0" w:color="auto"/>
        <w:right w:val="none" w:sz="0" w:space="0" w:color="auto"/>
      </w:divBdr>
    </w:div>
    <w:div w:id="1102803619">
      <w:bodyDiv w:val="1"/>
      <w:marLeft w:val="0"/>
      <w:marRight w:val="0"/>
      <w:marTop w:val="0"/>
      <w:marBottom w:val="0"/>
      <w:divBdr>
        <w:top w:val="none" w:sz="0" w:space="0" w:color="auto"/>
        <w:left w:val="none" w:sz="0" w:space="0" w:color="auto"/>
        <w:bottom w:val="none" w:sz="0" w:space="0" w:color="auto"/>
        <w:right w:val="none" w:sz="0" w:space="0" w:color="auto"/>
      </w:divBdr>
    </w:div>
    <w:div w:id="1102994567">
      <w:bodyDiv w:val="1"/>
      <w:marLeft w:val="0"/>
      <w:marRight w:val="0"/>
      <w:marTop w:val="0"/>
      <w:marBottom w:val="0"/>
      <w:divBdr>
        <w:top w:val="none" w:sz="0" w:space="0" w:color="auto"/>
        <w:left w:val="none" w:sz="0" w:space="0" w:color="auto"/>
        <w:bottom w:val="none" w:sz="0" w:space="0" w:color="auto"/>
        <w:right w:val="none" w:sz="0" w:space="0" w:color="auto"/>
      </w:divBdr>
    </w:div>
    <w:div w:id="1103299798">
      <w:bodyDiv w:val="1"/>
      <w:marLeft w:val="0"/>
      <w:marRight w:val="0"/>
      <w:marTop w:val="0"/>
      <w:marBottom w:val="0"/>
      <w:divBdr>
        <w:top w:val="none" w:sz="0" w:space="0" w:color="auto"/>
        <w:left w:val="none" w:sz="0" w:space="0" w:color="auto"/>
        <w:bottom w:val="none" w:sz="0" w:space="0" w:color="auto"/>
        <w:right w:val="none" w:sz="0" w:space="0" w:color="auto"/>
      </w:divBdr>
    </w:div>
    <w:div w:id="1103303962">
      <w:bodyDiv w:val="1"/>
      <w:marLeft w:val="0"/>
      <w:marRight w:val="0"/>
      <w:marTop w:val="0"/>
      <w:marBottom w:val="0"/>
      <w:divBdr>
        <w:top w:val="none" w:sz="0" w:space="0" w:color="auto"/>
        <w:left w:val="none" w:sz="0" w:space="0" w:color="auto"/>
        <w:bottom w:val="none" w:sz="0" w:space="0" w:color="auto"/>
        <w:right w:val="none" w:sz="0" w:space="0" w:color="auto"/>
      </w:divBdr>
    </w:div>
    <w:div w:id="1103304904">
      <w:bodyDiv w:val="1"/>
      <w:marLeft w:val="0"/>
      <w:marRight w:val="0"/>
      <w:marTop w:val="0"/>
      <w:marBottom w:val="0"/>
      <w:divBdr>
        <w:top w:val="none" w:sz="0" w:space="0" w:color="auto"/>
        <w:left w:val="none" w:sz="0" w:space="0" w:color="auto"/>
        <w:bottom w:val="none" w:sz="0" w:space="0" w:color="auto"/>
        <w:right w:val="none" w:sz="0" w:space="0" w:color="auto"/>
      </w:divBdr>
    </w:div>
    <w:div w:id="1103305447">
      <w:bodyDiv w:val="1"/>
      <w:marLeft w:val="0"/>
      <w:marRight w:val="0"/>
      <w:marTop w:val="0"/>
      <w:marBottom w:val="0"/>
      <w:divBdr>
        <w:top w:val="none" w:sz="0" w:space="0" w:color="auto"/>
        <w:left w:val="none" w:sz="0" w:space="0" w:color="auto"/>
        <w:bottom w:val="none" w:sz="0" w:space="0" w:color="auto"/>
        <w:right w:val="none" w:sz="0" w:space="0" w:color="auto"/>
      </w:divBdr>
    </w:div>
    <w:div w:id="1103375987">
      <w:bodyDiv w:val="1"/>
      <w:marLeft w:val="0"/>
      <w:marRight w:val="0"/>
      <w:marTop w:val="0"/>
      <w:marBottom w:val="0"/>
      <w:divBdr>
        <w:top w:val="none" w:sz="0" w:space="0" w:color="auto"/>
        <w:left w:val="none" w:sz="0" w:space="0" w:color="auto"/>
        <w:bottom w:val="none" w:sz="0" w:space="0" w:color="auto"/>
        <w:right w:val="none" w:sz="0" w:space="0" w:color="auto"/>
      </w:divBdr>
    </w:div>
    <w:div w:id="1103454963">
      <w:bodyDiv w:val="1"/>
      <w:marLeft w:val="0"/>
      <w:marRight w:val="0"/>
      <w:marTop w:val="0"/>
      <w:marBottom w:val="0"/>
      <w:divBdr>
        <w:top w:val="none" w:sz="0" w:space="0" w:color="auto"/>
        <w:left w:val="none" w:sz="0" w:space="0" w:color="auto"/>
        <w:bottom w:val="none" w:sz="0" w:space="0" w:color="auto"/>
        <w:right w:val="none" w:sz="0" w:space="0" w:color="auto"/>
      </w:divBdr>
    </w:div>
    <w:div w:id="1103695602">
      <w:bodyDiv w:val="1"/>
      <w:marLeft w:val="0"/>
      <w:marRight w:val="0"/>
      <w:marTop w:val="0"/>
      <w:marBottom w:val="0"/>
      <w:divBdr>
        <w:top w:val="none" w:sz="0" w:space="0" w:color="auto"/>
        <w:left w:val="none" w:sz="0" w:space="0" w:color="auto"/>
        <w:bottom w:val="none" w:sz="0" w:space="0" w:color="auto"/>
        <w:right w:val="none" w:sz="0" w:space="0" w:color="auto"/>
      </w:divBdr>
    </w:div>
    <w:div w:id="1103762888">
      <w:bodyDiv w:val="1"/>
      <w:marLeft w:val="0"/>
      <w:marRight w:val="0"/>
      <w:marTop w:val="0"/>
      <w:marBottom w:val="0"/>
      <w:divBdr>
        <w:top w:val="none" w:sz="0" w:space="0" w:color="auto"/>
        <w:left w:val="none" w:sz="0" w:space="0" w:color="auto"/>
        <w:bottom w:val="none" w:sz="0" w:space="0" w:color="auto"/>
        <w:right w:val="none" w:sz="0" w:space="0" w:color="auto"/>
      </w:divBdr>
    </w:div>
    <w:div w:id="1103962232">
      <w:bodyDiv w:val="1"/>
      <w:marLeft w:val="0"/>
      <w:marRight w:val="0"/>
      <w:marTop w:val="0"/>
      <w:marBottom w:val="0"/>
      <w:divBdr>
        <w:top w:val="none" w:sz="0" w:space="0" w:color="auto"/>
        <w:left w:val="none" w:sz="0" w:space="0" w:color="auto"/>
        <w:bottom w:val="none" w:sz="0" w:space="0" w:color="auto"/>
        <w:right w:val="none" w:sz="0" w:space="0" w:color="auto"/>
      </w:divBdr>
    </w:div>
    <w:div w:id="1103963929">
      <w:bodyDiv w:val="1"/>
      <w:marLeft w:val="0"/>
      <w:marRight w:val="0"/>
      <w:marTop w:val="0"/>
      <w:marBottom w:val="0"/>
      <w:divBdr>
        <w:top w:val="none" w:sz="0" w:space="0" w:color="auto"/>
        <w:left w:val="none" w:sz="0" w:space="0" w:color="auto"/>
        <w:bottom w:val="none" w:sz="0" w:space="0" w:color="auto"/>
        <w:right w:val="none" w:sz="0" w:space="0" w:color="auto"/>
      </w:divBdr>
    </w:div>
    <w:div w:id="1104038441">
      <w:bodyDiv w:val="1"/>
      <w:marLeft w:val="0"/>
      <w:marRight w:val="0"/>
      <w:marTop w:val="0"/>
      <w:marBottom w:val="0"/>
      <w:divBdr>
        <w:top w:val="none" w:sz="0" w:space="0" w:color="auto"/>
        <w:left w:val="none" w:sz="0" w:space="0" w:color="auto"/>
        <w:bottom w:val="none" w:sz="0" w:space="0" w:color="auto"/>
        <w:right w:val="none" w:sz="0" w:space="0" w:color="auto"/>
      </w:divBdr>
    </w:div>
    <w:div w:id="1104039300">
      <w:bodyDiv w:val="1"/>
      <w:marLeft w:val="0"/>
      <w:marRight w:val="0"/>
      <w:marTop w:val="0"/>
      <w:marBottom w:val="0"/>
      <w:divBdr>
        <w:top w:val="none" w:sz="0" w:space="0" w:color="auto"/>
        <w:left w:val="none" w:sz="0" w:space="0" w:color="auto"/>
        <w:bottom w:val="none" w:sz="0" w:space="0" w:color="auto"/>
        <w:right w:val="none" w:sz="0" w:space="0" w:color="auto"/>
      </w:divBdr>
    </w:div>
    <w:div w:id="1104111638">
      <w:bodyDiv w:val="1"/>
      <w:marLeft w:val="0"/>
      <w:marRight w:val="0"/>
      <w:marTop w:val="0"/>
      <w:marBottom w:val="0"/>
      <w:divBdr>
        <w:top w:val="none" w:sz="0" w:space="0" w:color="auto"/>
        <w:left w:val="none" w:sz="0" w:space="0" w:color="auto"/>
        <w:bottom w:val="none" w:sz="0" w:space="0" w:color="auto"/>
        <w:right w:val="none" w:sz="0" w:space="0" w:color="auto"/>
      </w:divBdr>
    </w:div>
    <w:div w:id="1104114575">
      <w:bodyDiv w:val="1"/>
      <w:marLeft w:val="0"/>
      <w:marRight w:val="0"/>
      <w:marTop w:val="0"/>
      <w:marBottom w:val="0"/>
      <w:divBdr>
        <w:top w:val="none" w:sz="0" w:space="0" w:color="auto"/>
        <w:left w:val="none" w:sz="0" w:space="0" w:color="auto"/>
        <w:bottom w:val="none" w:sz="0" w:space="0" w:color="auto"/>
        <w:right w:val="none" w:sz="0" w:space="0" w:color="auto"/>
      </w:divBdr>
    </w:div>
    <w:div w:id="1104183119">
      <w:bodyDiv w:val="1"/>
      <w:marLeft w:val="0"/>
      <w:marRight w:val="0"/>
      <w:marTop w:val="0"/>
      <w:marBottom w:val="0"/>
      <w:divBdr>
        <w:top w:val="none" w:sz="0" w:space="0" w:color="auto"/>
        <w:left w:val="none" w:sz="0" w:space="0" w:color="auto"/>
        <w:bottom w:val="none" w:sz="0" w:space="0" w:color="auto"/>
        <w:right w:val="none" w:sz="0" w:space="0" w:color="auto"/>
      </w:divBdr>
    </w:div>
    <w:div w:id="1104227694">
      <w:bodyDiv w:val="1"/>
      <w:marLeft w:val="0"/>
      <w:marRight w:val="0"/>
      <w:marTop w:val="0"/>
      <w:marBottom w:val="0"/>
      <w:divBdr>
        <w:top w:val="none" w:sz="0" w:space="0" w:color="auto"/>
        <w:left w:val="none" w:sz="0" w:space="0" w:color="auto"/>
        <w:bottom w:val="none" w:sz="0" w:space="0" w:color="auto"/>
        <w:right w:val="none" w:sz="0" w:space="0" w:color="auto"/>
      </w:divBdr>
    </w:div>
    <w:div w:id="1104229692">
      <w:bodyDiv w:val="1"/>
      <w:marLeft w:val="0"/>
      <w:marRight w:val="0"/>
      <w:marTop w:val="0"/>
      <w:marBottom w:val="0"/>
      <w:divBdr>
        <w:top w:val="none" w:sz="0" w:space="0" w:color="auto"/>
        <w:left w:val="none" w:sz="0" w:space="0" w:color="auto"/>
        <w:bottom w:val="none" w:sz="0" w:space="0" w:color="auto"/>
        <w:right w:val="none" w:sz="0" w:space="0" w:color="auto"/>
      </w:divBdr>
    </w:div>
    <w:div w:id="1104232583">
      <w:bodyDiv w:val="1"/>
      <w:marLeft w:val="0"/>
      <w:marRight w:val="0"/>
      <w:marTop w:val="0"/>
      <w:marBottom w:val="0"/>
      <w:divBdr>
        <w:top w:val="none" w:sz="0" w:space="0" w:color="auto"/>
        <w:left w:val="none" w:sz="0" w:space="0" w:color="auto"/>
        <w:bottom w:val="none" w:sz="0" w:space="0" w:color="auto"/>
        <w:right w:val="none" w:sz="0" w:space="0" w:color="auto"/>
      </w:divBdr>
    </w:div>
    <w:div w:id="1104232811">
      <w:bodyDiv w:val="1"/>
      <w:marLeft w:val="0"/>
      <w:marRight w:val="0"/>
      <w:marTop w:val="0"/>
      <w:marBottom w:val="0"/>
      <w:divBdr>
        <w:top w:val="none" w:sz="0" w:space="0" w:color="auto"/>
        <w:left w:val="none" w:sz="0" w:space="0" w:color="auto"/>
        <w:bottom w:val="none" w:sz="0" w:space="0" w:color="auto"/>
        <w:right w:val="none" w:sz="0" w:space="0" w:color="auto"/>
      </w:divBdr>
    </w:div>
    <w:div w:id="1104306802">
      <w:bodyDiv w:val="1"/>
      <w:marLeft w:val="0"/>
      <w:marRight w:val="0"/>
      <w:marTop w:val="0"/>
      <w:marBottom w:val="0"/>
      <w:divBdr>
        <w:top w:val="none" w:sz="0" w:space="0" w:color="auto"/>
        <w:left w:val="none" w:sz="0" w:space="0" w:color="auto"/>
        <w:bottom w:val="none" w:sz="0" w:space="0" w:color="auto"/>
        <w:right w:val="none" w:sz="0" w:space="0" w:color="auto"/>
      </w:divBdr>
    </w:div>
    <w:div w:id="1104379409">
      <w:bodyDiv w:val="1"/>
      <w:marLeft w:val="0"/>
      <w:marRight w:val="0"/>
      <w:marTop w:val="0"/>
      <w:marBottom w:val="0"/>
      <w:divBdr>
        <w:top w:val="none" w:sz="0" w:space="0" w:color="auto"/>
        <w:left w:val="none" w:sz="0" w:space="0" w:color="auto"/>
        <w:bottom w:val="none" w:sz="0" w:space="0" w:color="auto"/>
        <w:right w:val="none" w:sz="0" w:space="0" w:color="auto"/>
      </w:divBdr>
    </w:div>
    <w:div w:id="1104423792">
      <w:bodyDiv w:val="1"/>
      <w:marLeft w:val="0"/>
      <w:marRight w:val="0"/>
      <w:marTop w:val="0"/>
      <w:marBottom w:val="0"/>
      <w:divBdr>
        <w:top w:val="none" w:sz="0" w:space="0" w:color="auto"/>
        <w:left w:val="none" w:sz="0" w:space="0" w:color="auto"/>
        <w:bottom w:val="none" w:sz="0" w:space="0" w:color="auto"/>
        <w:right w:val="none" w:sz="0" w:space="0" w:color="auto"/>
      </w:divBdr>
    </w:div>
    <w:div w:id="1104492847">
      <w:bodyDiv w:val="1"/>
      <w:marLeft w:val="0"/>
      <w:marRight w:val="0"/>
      <w:marTop w:val="0"/>
      <w:marBottom w:val="0"/>
      <w:divBdr>
        <w:top w:val="none" w:sz="0" w:space="0" w:color="auto"/>
        <w:left w:val="none" w:sz="0" w:space="0" w:color="auto"/>
        <w:bottom w:val="none" w:sz="0" w:space="0" w:color="auto"/>
        <w:right w:val="none" w:sz="0" w:space="0" w:color="auto"/>
      </w:divBdr>
    </w:div>
    <w:div w:id="1104618015">
      <w:bodyDiv w:val="1"/>
      <w:marLeft w:val="0"/>
      <w:marRight w:val="0"/>
      <w:marTop w:val="0"/>
      <w:marBottom w:val="0"/>
      <w:divBdr>
        <w:top w:val="none" w:sz="0" w:space="0" w:color="auto"/>
        <w:left w:val="none" w:sz="0" w:space="0" w:color="auto"/>
        <w:bottom w:val="none" w:sz="0" w:space="0" w:color="auto"/>
        <w:right w:val="none" w:sz="0" w:space="0" w:color="auto"/>
      </w:divBdr>
    </w:div>
    <w:div w:id="1104761021">
      <w:bodyDiv w:val="1"/>
      <w:marLeft w:val="0"/>
      <w:marRight w:val="0"/>
      <w:marTop w:val="0"/>
      <w:marBottom w:val="0"/>
      <w:divBdr>
        <w:top w:val="none" w:sz="0" w:space="0" w:color="auto"/>
        <w:left w:val="none" w:sz="0" w:space="0" w:color="auto"/>
        <w:bottom w:val="none" w:sz="0" w:space="0" w:color="auto"/>
        <w:right w:val="none" w:sz="0" w:space="0" w:color="auto"/>
      </w:divBdr>
    </w:div>
    <w:div w:id="1104810435">
      <w:bodyDiv w:val="1"/>
      <w:marLeft w:val="0"/>
      <w:marRight w:val="0"/>
      <w:marTop w:val="0"/>
      <w:marBottom w:val="0"/>
      <w:divBdr>
        <w:top w:val="none" w:sz="0" w:space="0" w:color="auto"/>
        <w:left w:val="none" w:sz="0" w:space="0" w:color="auto"/>
        <w:bottom w:val="none" w:sz="0" w:space="0" w:color="auto"/>
        <w:right w:val="none" w:sz="0" w:space="0" w:color="auto"/>
      </w:divBdr>
    </w:div>
    <w:div w:id="1104812333">
      <w:bodyDiv w:val="1"/>
      <w:marLeft w:val="0"/>
      <w:marRight w:val="0"/>
      <w:marTop w:val="0"/>
      <w:marBottom w:val="0"/>
      <w:divBdr>
        <w:top w:val="none" w:sz="0" w:space="0" w:color="auto"/>
        <w:left w:val="none" w:sz="0" w:space="0" w:color="auto"/>
        <w:bottom w:val="none" w:sz="0" w:space="0" w:color="auto"/>
        <w:right w:val="none" w:sz="0" w:space="0" w:color="auto"/>
      </w:divBdr>
    </w:div>
    <w:div w:id="1104885286">
      <w:bodyDiv w:val="1"/>
      <w:marLeft w:val="0"/>
      <w:marRight w:val="0"/>
      <w:marTop w:val="0"/>
      <w:marBottom w:val="0"/>
      <w:divBdr>
        <w:top w:val="none" w:sz="0" w:space="0" w:color="auto"/>
        <w:left w:val="none" w:sz="0" w:space="0" w:color="auto"/>
        <w:bottom w:val="none" w:sz="0" w:space="0" w:color="auto"/>
        <w:right w:val="none" w:sz="0" w:space="0" w:color="auto"/>
      </w:divBdr>
    </w:div>
    <w:div w:id="1104956698">
      <w:bodyDiv w:val="1"/>
      <w:marLeft w:val="0"/>
      <w:marRight w:val="0"/>
      <w:marTop w:val="0"/>
      <w:marBottom w:val="0"/>
      <w:divBdr>
        <w:top w:val="none" w:sz="0" w:space="0" w:color="auto"/>
        <w:left w:val="none" w:sz="0" w:space="0" w:color="auto"/>
        <w:bottom w:val="none" w:sz="0" w:space="0" w:color="auto"/>
        <w:right w:val="none" w:sz="0" w:space="0" w:color="auto"/>
      </w:divBdr>
    </w:div>
    <w:div w:id="1105003242">
      <w:bodyDiv w:val="1"/>
      <w:marLeft w:val="0"/>
      <w:marRight w:val="0"/>
      <w:marTop w:val="0"/>
      <w:marBottom w:val="0"/>
      <w:divBdr>
        <w:top w:val="none" w:sz="0" w:space="0" w:color="auto"/>
        <w:left w:val="none" w:sz="0" w:space="0" w:color="auto"/>
        <w:bottom w:val="none" w:sz="0" w:space="0" w:color="auto"/>
        <w:right w:val="none" w:sz="0" w:space="0" w:color="auto"/>
      </w:divBdr>
    </w:div>
    <w:div w:id="1105005620">
      <w:bodyDiv w:val="1"/>
      <w:marLeft w:val="0"/>
      <w:marRight w:val="0"/>
      <w:marTop w:val="0"/>
      <w:marBottom w:val="0"/>
      <w:divBdr>
        <w:top w:val="none" w:sz="0" w:space="0" w:color="auto"/>
        <w:left w:val="none" w:sz="0" w:space="0" w:color="auto"/>
        <w:bottom w:val="none" w:sz="0" w:space="0" w:color="auto"/>
        <w:right w:val="none" w:sz="0" w:space="0" w:color="auto"/>
      </w:divBdr>
    </w:div>
    <w:div w:id="1105029752">
      <w:bodyDiv w:val="1"/>
      <w:marLeft w:val="0"/>
      <w:marRight w:val="0"/>
      <w:marTop w:val="0"/>
      <w:marBottom w:val="0"/>
      <w:divBdr>
        <w:top w:val="none" w:sz="0" w:space="0" w:color="auto"/>
        <w:left w:val="none" w:sz="0" w:space="0" w:color="auto"/>
        <w:bottom w:val="none" w:sz="0" w:space="0" w:color="auto"/>
        <w:right w:val="none" w:sz="0" w:space="0" w:color="auto"/>
      </w:divBdr>
    </w:div>
    <w:div w:id="1105032563">
      <w:bodyDiv w:val="1"/>
      <w:marLeft w:val="0"/>
      <w:marRight w:val="0"/>
      <w:marTop w:val="0"/>
      <w:marBottom w:val="0"/>
      <w:divBdr>
        <w:top w:val="none" w:sz="0" w:space="0" w:color="auto"/>
        <w:left w:val="none" w:sz="0" w:space="0" w:color="auto"/>
        <w:bottom w:val="none" w:sz="0" w:space="0" w:color="auto"/>
        <w:right w:val="none" w:sz="0" w:space="0" w:color="auto"/>
      </w:divBdr>
    </w:div>
    <w:div w:id="1105075599">
      <w:bodyDiv w:val="1"/>
      <w:marLeft w:val="0"/>
      <w:marRight w:val="0"/>
      <w:marTop w:val="0"/>
      <w:marBottom w:val="0"/>
      <w:divBdr>
        <w:top w:val="none" w:sz="0" w:space="0" w:color="auto"/>
        <w:left w:val="none" w:sz="0" w:space="0" w:color="auto"/>
        <w:bottom w:val="none" w:sz="0" w:space="0" w:color="auto"/>
        <w:right w:val="none" w:sz="0" w:space="0" w:color="auto"/>
      </w:divBdr>
    </w:div>
    <w:div w:id="1105151946">
      <w:bodyDiv w:val="1"/>
      <w:marLeft w:val="0"/>
      <w:marRight w:val="0"/>
      <w:marTop w:val="0"/>
      <w:marBottom w:val="0"/>
      <w:divBdr>
        <w:top w:val="none" w:sz="0" w:space="0" w:color="auto"/>
        <w:left w:val="none" w:sz="0" w:space="0" w:color="auto"/>
        <w:bottom w:val="none" w:sz="0" w:space="0" w:color="auto"/>
        <w:right w:val="none" w:sz="0" w:space="0" w:color="auto"/>
      </w:divBdr>
    </w:div>
    <w:div w:id="1105230707">
      <w:bodyDiv w:val="1"/>
      <w:marLeft w:val="0"/>
      <w:marRight w:val="0"/>
      <w:marTop w:val="0"/>
      <w:marBottom w:val="0"/>
      <w:divBdr>
        <w:top w:val="none" w:sz="0" w:space="0" w:color="auto"/>
        <w:left w:val="none" w:sz="0" w:space="0" w:color="auto"/>
        <w:bottom w:val="none" w:sz="0" w:space="0" w:color="auto"/>
        <w:right w:val="none" w:sz="0" w:space="0" w:color="auto"/>
      </w:divBdr>
    </w:div>
    <w:div w:id="1105266266">
      <w:bodyDiv w:val="1"/>
      <w:marLeft w:val="0"/>
      <w:marRight w:val="0"/>
      <w:marTop w:val="0"/>
      <w:marBottom w:val="0"/>
      <w:divBdr>
        <w:top w:val="none" w:sz="0" w:space="0" w:color="auto"/>
        <w:left w:val="none" w:sz="0" w:space="0" w:color="auto"/>
        <w:bottom w:val="none" w:sz="0" w:space="0" w:color="auto"/>
        <w:right w:val="none" w:sz="0" w:space="0" w:color="auto"/>
      </w:divBdr>
    </w:div>
    <w:div w:id="1105274495">
      <w:bodyDiv w:val="1"/>
      <w:marLeft w:val="0"/>
      <w:marRight w:val="0"/>
      <w:marTop w:val="0"/>
      <w:marBottom w:val="0"/>
      <w:divBdr>
        <w:top w:val="none" w:sz="0" w:space="0" w:color="auto"/>
        <w:left w:val="none" w:sz="0" w:space="0" w:color="auto"/>
        <w:bottom w:val="none" w:sz="0" w:space="0" w:color="auto"/>
        <w:right w:val="none" w:sz="0" w:space="0" w:color="auto"/>
      </w:divBdr>
    </w:div>
    <w:div w:id="1105465750">
      <w:bodyDiv w:val="1"/>
      <w:marLeft w:val="0"/>
      <w:marRight w:val="0"/>
      <w:marTop w:val="0"/>
      <w:marBottom w:val="0"/>
      <w:divBdr>
        <w:top w:val="none" w:sz="0" w:space="0" w:color="auto"/>
        <w:left w:val="none" w:sz="0" w:space="0" w:color="auto"/>
        <w:bottom w:val="none" w:sz="0" w:space="0" w:color="auto"/>
        <w:right w:val="none" w:sz="0" w:space="0" w:color="auto"/>
      </w:divBdr>
    </w:div>
    <w:div w:id="1105809494">
      <w:bodyDiv w:val="1"/>
      <w:marLeft w:val="0"/>
      <w:marRight w:val="0"/>
      <w:marTop w:val="0"/>
      <w:marBottom w:val="0"/>
      <w:divBdr>
        <w:top w:val="none" w:sz="0" w:space="0" w:color="auto"/>
        <w:left w:val="none" w:sz="0" w:space="0" w:color="auto"/>
        <w:bottom w:val="none" w:sz="0" w:space="0" w:color="auto"/>
        <w:right w:val="none" w:sz="0" w:space="0" w:color="auto"/>
      </w:divBdr>
    </w:div>
    <w:div w:id="1105883768">
      <w:bodyDiv w:val="1"/>
      <w:marLeft w:val="0"/>
      <w:marRight w:val="0"/>
      <w:marTop w:val="0"/>
      <w:marBottom w:val="0"/>
      <w:divBdr>
        <w:top w:val="none" w:sz="0" w:space="0" w:color="auto"/>
        <w:left w:val="none" w:sz="0" w:space="0" w:color="auto"/>
        <w:bottom w:val="none" w:sz="0" w:space="0" w:color="auto"/>
        <w:right w:val="none" w:sz="0" w:space="0" w:color="auto"/>
      </w:divBdr>
    </w:div>
    <w:div w:id="1105926986">
      <w:bodyDiv w:val="1"/>
      <w:marLeft w:val="0"/>
      <w:marRight w:val="0"/>
      <w:marTop w:val="0"/>
      <w:marBottom w:val="0"/>
      <w:divBdr>
        <w:top w:val="none" w:sz="0" w:space="0" w:color="auto"/>
        <w:left w:val="none" w:sz="0" w:space="0" w:color="auto"/>
        <w:bottom w:val="none" w:sz="0" w:space="0" w:color="auto"/>
        <w:right w:val="none" w:sz="0" w:space="0" w:color="auto"/>
      </w:divBdr>
    </w:div>
    <w:div w:id="1105928233">
      <w:bodyDiv w:val="1"/>
      <w:marLeft w:val="0"/>
      <w:marRight w:val="0"/>
      <w:marTop w:val="0"/>
      <w:marBottom w:val="0"/>
      <w:divBdr>
        <w:top w:val="none" w:sz="0" w:space="0" w:color="auto"/>
        <w:left w:val="none" w:sz="0" w:space="0" w:color="auto"/>
        <w:bottom w:val="none" w:sz="0" w:space="0" w:color="auto"/>
        <w:right w:val="none" w:sz="0" w:space="0" w:color="auto"/>
      </w:divBdr>
    </w:div>
    <w:div w:id="1106078032">
      <w:bodyDiv w:val="1"/>
      <w:marLeft w:val="0"/>
      <w:marRight w:val="0"/>
      <w:marTop w:val="0"/>
      <w:marBottom w:val="0"/>
      <w:divBdr>
        <w:top w:val="none" w:sz="0" w:space="0" w:color="auto"/>
        <w:left w:val="none" w:sz="0" w:space="0" w:color="auto"/>
        <w:bottom w:val="none" w:sz="0" w:space="0" w:color="auto"/>
        <w:right w:val="none" w:sz="0" w:space="0" w:color="auto"/>
      </w:divBdr>
    </w:div>
    <w:div w:id="1106147701">
      <w:bodyDiv w:val="1"/>
      <w:marLeft w:val="0"/>
      <w:marRight w:val="0"/>
      <w:marTop w:val="0"/>
      <w:marBottom w:val="0"/>
      <w:divBdr>
        <w:top w:val="none" w:sz="0" w:space="0" w:color="auto"/>
        <w:left w:val="none" w:sz="0" w:space="0" w:color="auto"/>
        <w:bottom w:val="none" w:sz="0" w:space="0" w:color="auto"/>
        <w:right w:val="none" w:sz="0" w:space="0" w:color="auto"/>
      </w:divBdr>
    </w:div>
    <w:div w:id="1106191371">
      <w:bodyDiv w:val="1"/>
      <w:marLeft w:val="0"/>
      <w:marRight w:val="0"/>
      <w:marTop w:val="0"/>
      <w:marBottom w:val="0"/>
      <w:divBdr>
        <w:top w:val="none" w:sz="0" w:space="0" w:color="auto"/>
        <w:left w:val="none" w:sz="0" w:space="0" w:color="auto"/>
        <w:bottom w:val="none" w:sz="0" w:space="0" w:color="auto"/>
        <w:right w:val="none" w:sz="0" w:space="0" w:color="auto"/>
      </w:divBdr>
    </w:div>
    <w:div w:id="1106195408">
      <w:bodyDiv w:val="1"/>
      <w:marLeft w:val="0"/>
      <w:marRight w:val="0"/>
      <w:marTop w:val="0"/>
      <w:marBottom w:val="0"/>
      <w:divBdr>
        <w:top w:val="none" w:sz="0" w:space="0" w:color="auto"/>
        <w:left w:val="none" w:sz="0" w:space="0" w:color="auto"/>
        <w:bottom w:val="none" w:sz="0" w:space="0" w:color="auto"/>
        <w:right w:val="none" w:sz="0" w:space="0" w:color="auto"/>
      </w:divBdr>
    </w:div>
    <w:div w:id="1106198631">
      <w:bodyDiv w:val="1"/>
      <w:marLeft w:val="0"/>
      <w:marRight w:val="0"/>
      <w:marTop w:val="0"/>
      <w:marBottom w:val="0"/>
      <w:divBdr>
        <w:top w:val="none" w:sz="0" w:space="0" w:color="auto"/>
        <w:left w:val="none" w:sz="0" w:space="0" w:color="auto"/>
        <w:bottom w:val="none" w:sz="0" w:space="0" w:color="auto"/>
        <w:right w:val="none" w:sz="0" w:space="0" w:color="auto"/>
      </w:divBdr>
    </w:div>
    <w:div w:id="1106266187">
      <w:bodyDiv w:val="1"/>
      <w:marLeft w:val="0"/>
      <w:marRight w:val="0"/>
      <w:marTop w:val="0"/>
      <w:marBottom w:val="0"/>
      <w:divBdr>
        <w:top w:val="none" w:sz="0" w:space="0" w:color="auto"/>
        <w:left w:val="none" w:sz="0" w:space="0" w:color="auto"/>
        <w:bottom w:val="none" w:sz="0" w:space="0" w:color="auto"/>
        <w:right w:val="none" w:sz="0" w:space="0" w:color="auto"/>
      </w:divBdr>
    </w:div>
    <w:div w:id="1106314339">
      <w:bodyDiv w:val="1"/>
      <w:marLeft w:val="0"/>
      <w:marRight w:val="0"/>
      <w:marTop w:val="0"/>
      <w:marBottom w:val="0"/>
      <w:divBdr>
        <w:top w:val="none" w:sz="0" w:space="0" w:color="auto"/>
        <w:left w:val="none" w:sz="0" w:space="0" w:color="auto"/>
        <w:bottom w:val="none" w:sz="0" w:space="0" w:color="auto"/>
        <w:right w:val="none" w:sz="0" w:space="0" w:color="auto"/>
      </w:divBdr>
    </w:div>
    <w:div w:id="1106385518">
      <w:bodyDiv w:val="1"/>
      <w:marLeft w:val="0"/>
      <w:marRight w:val="0"/>
      <w:marTop w:val="0"/>
      <w:marBottom w:val="0"/>
      <w:divBdr>
        <w:top w:val="none" w:sz="0" w:space="0" w:color="auto"/>
        <w:left w:val="none" w:sz="0" w:space="0" w:color="auto"/>
        <w:bottom w:val="none" w:sz="0" w:space="0" w:color="auto"/>
        <w:right w:val="none" w:sz="0" w:space="0" w:color="auto"/>
      </w:divBdr>
    </w:div>
    <w:div w:id="1106660442">
      <w:bodyDiv w:val="1"/>
      <w:marLeft w:val="0"/>
      <w:marRight w:val="0"/>
      <w:marTop w:val="0"/>
      <w:marBottom w:val="0"/>
      <w:divBdr>
        <w:top w:val="none" w:sz="0" w:space="0" w:color="auto"/>
        <w:left w:val="none" w:sz="0" w:space="0" w:color="auto"/>
        <w:bottom w:val="none" w:sz="0" w:space="0" w:color="auto"/>
        <w:right w:val="none" w:sz="0" w:space="0" w:color="auto"/>
      </w:divBdr>
    </w:div>
    <w:div w:id="1106733353">
      <w:bodyDiv w:val="1"/>
      <w:marLeft w:val="0"/>
      <w:marRight w:val="0"/>
      <w:marTop w:val="0"/>
      <w:marBottom w:val="0"/>
      <w:divBdr>
        <w:top w:val="none" w:sz="0" w:space="0" w:color="auto"/>
        <w:left w:val="none" w:sz="0" w:space="0" w:color="auto"/>
        <w:bottom w:val="none" w:sz="0" w:space="0" w:color="auto"/>
        <w:right w:val="none" w:sz="0" w:space="0" w:color="auto"/>
      </w:divBdr>
    </w:div>
    <w:div w:id="1106803919">
      <w:bodyDiv w:val="1"/>
      <w:marLeft w:val="0"/>
      <w:marRight w:val="0"/>
      <w:marTop w:val="0"/>
      <w:marBottom w:val="0"/>
      <w:divBdr>
        <w:top w:val="none" w:sz="0" w:space="0" w:color="auto"/>
        <w:left w:val="none" w:sz="0" w:space="0" w:color="auto"/>
        <w:bottom w:val="none" w:sz="0" w:space="0" w:color="auto"/>
        <w:right w:val="none" w:sz="0" w:space="0" w:color="auto"/>
      </w:divBdr>
    </w:div>
    <w:div w:id="1106850523">
      <w:bodyDiv w:val="1"/>
      <w:marLeft w:val="0"/>
      <w:marRight w:val="0"/>
      <w:marTop w:val="0"/>
      <w:marBottom w:val="0"/>
      <w:divBdr>
        <w:top w:val="none" w:sz="0" w:space="0" w:color="auto"/>
        <w:left w:val="none" w:sz="0" w:space="0" w:color="auto"/>
        <w:bottom w:val="none" w:sz="0" w:space="0" w:color="auto"/>
        <w:right w:val="none" w:sz="0" w:space="0" w:color="auto"/>
      </w:divBdr>
    </w:div>
    <w:div w:id="1106850683">
      <w:bodyDiv w:val="1"/>
      <w:marLeft w:val="0"/>
      <w:marRight w:val="0"/>
      <w:marTop w:val="0"/>
      <w:marBottom w:val="0"/>
      <w:divBdr>
        <w:top w:val="none" w:sz="0" w:space="0" w:color="auto"/>
        <w:left w:val="none" w:sz="0" w:space="0" w:color="auto"/>
        <w:bottom w:val="none" w:sz="0" w:space="0" w:color="auto"/>
        <w:right w:val="none" w:sz="0" w:space="0" w:color="auto"/>
      </w:divBdr>
    </w:div>
    <w:div w:id="1106929845">
      <w:bodyDiv w:val="1"/>
      <w:marLeft w:val="0"/>
      <w:marRight w:val="0"/>
      <w:marTop w:val="0"/>
      <w:marBottom w:val="0"/>
      <w:divBdr>
        <w:top w:val="none" w:sz="0" w:space="0" w:color="auto"/>
        <w:left w:val="none" w:sz="0" w:space="0" w:color="auto"/>
        <w:bottom w:val="none" w:sz="0" w:space="0" w:color="auto"/>
        <w:right w:val="none" w:sz="0" w:space="0" w:color="auto"/>
      </w:divBdr>
    </w:div>
    <w:div w:id="1107113886">
      <w:bodyDiv w:val="1"/>
      <w:marLeft w:val="0"/>
      <w:marRight w:val="0"/>
      <w:marTop w:val="0"/>
      <w:marBottom w:val="0"/>
      <w:divBdr>
        <w:top w:val="none" w:sz="0" w:space="0" w:color="auto"/>
        <w:left w:val="none" w:sz="0" w:space="0" w:color="auto"/>
        <w:bottom w:val="none" w:sz="0" w:space="0" w:color="auto"/>
        <w:right w:val="none" w:sz="0" w:space="0" w:color="auto"/>
      </w:divBdr>
    </w:div>
    <w:div w:id="1107119151">
      <w:bodyDiv w:val="1"/>
      <w:marLeft w:val="0"/>
      <w:marRight w:val="0"/>
      <w:marTop w:val="0"/>
      <w:marBottom w:val="0"/>
      <w:divBdr>
        <w:top w:val="none" w:sz="0" w:space="0" w:color="auto"/>
        <w:left w:val="none" w:sz="0" w:space="0" w:color="auto"/>
        <w:bottom w:val="none" w:sz="0" w:space="0" w:color="auto"/>
        <w:right w:val="none" w:sz="0" w:space="0" w:color="auto"/>
      </w:divBdr>
    </w:div>
    <w:div w:id="1107190509">
      <w:bodyDiv w:val="1"/>
      <w:marLeft w:val="0"/>
      <w:marRight w:val="0"/>
      <w:marTop w:val="0"/>
      <w:marBottom w:val="0"/>
      <w:divBdr>
        <w:top w:val="none" w:sz="0" w:space="0" w:color="auto"/>
        <w:left w:val="none" w:sz="0" w:space="0" w:color="auto"/>
        <w:bottom w:val="none" w:sz="0" w:space="0" w:color="auto"/>
        <w:right w:val="none" w:sz="0" w:space="0" w:color="auto"/>
      </w:divBdr>
    </w:div>
    <w:div w:id="1107193633">
      <w:bodyDiv w:val="1"/>
      <w:marLeft w:val="0"/>
      <w:marRight w:val="0"/>
      <w:marTop w:val="0"/>
      <w:marBottom w:val="0"/>
      <w:divBdr>
        <w:top w:val="none" w:sz="0" w:space="0" w:color="auto"/>
        <w:left w:val="none" w:sz="0" w:space="0" w:color="auto"/>
        <w:bottom w:val="none" w:sz="0" w:space="0" w:color="auto"/>
        <w:right w:val="none" w:sz="0" w:space="0" w:color="auto"/>
      </w:divBdr>
    </w:div>
    <w:div w:id="1107231623">
      <w:bodyDiv w:val="1"/>
      <w:marLeft w:val="0"/>
      <w:marRight w:val="0"/>
      <w:marTop w:val="0"/>
      <w:marBottom w:val="0"/>
      <w:divBdr>
        <w:top w:val="none" w:sz="0" w:space="0" w:color="auto"/>
        <w:left w:val="none" w:sz="0" w:space="0" w:color="auto"/>
        <w:bottom w:val="none" w:sz="0" w:space="0" w:color="auto"/>
        <w:right w:val="none" w:sz="0" w:space="0" w:color="auto"/>
      </w:divBdr>
    </w:div>
    <w:div w:id="1107238490">
      <w:bodyDiv w:val="1"/>
      <w:marLeft w:val="0"/>
      <w:marRight w:val="0"/>
      <w:marTop w:val="0"/>
      <w:marBottom w:val="0"/>
      <w:divBdr>
        <w:top w:val="none" w:sz="0" w:space="0" w:color="auto"/>
        <w:left w:val="none" w:sz="0" w:space="0" w:color="auto"/>
        <w:bottom w:val="none" w:sz="0" w:space="0" w:color="auto"/>
        <w:right w:val="none" w:sz="0" w:space="0" w:color="auto"/>
      </w:divBdr>
    </w:div>
    <w:div w:id="1107313800">
      <w:bodyDiv w:val="1"/>
      <w:marLeft w:val="0"/>
      <w:marRight w:val="0"/>
      <w:marTop w:val="0"/>
      <w:marBottom w:val="0"/>
      <w:divBdr>
        <w:top w:val="none" w:sz="0" w:space="0" w:color="auto"/>
        <w:left w:val="none" w:sz="0" w:space="0" w:color="auto"/>
        <w:bottom w:val="none" w:sz="0" w:space="0" w:color="auto"/>
        <w:right w:val="none" w:sz="0" w:space="0" w:color="auto"/>
      </w:divBdr>
    </w:div>
    <w:div w:id="1107505924">
      <w:bodyDiv w:val="1"/>
      <w:marLeft w:val="0"/>
      <w:marRight w:val="0"/>
      <w:marTop w:val="0"/>
      <w:marBottom w:val="0"/>
      <w:divBdr>
        <w:top w:val="none" w:sz="0" w:space="0" w:color="auto"/>
        <w:left w:val="none" w:sz="0" w:space="0" w:color="auto"/>
        <w:bottom w:val="none" w:sz="0" w:space="0" w:color="auto"/>
        <w:right w:val="none" w:sz="0" w:space="0" w:color="auto"/>
      </w:divBdr>
    </w:div>
    <w:div w:id="1107506695">
      <w:bodyDiv w:val="1"/>
      <w:marLeft w:val="0"/>
      <w:marRight w:val="0"/>
      <w:marTop w:val="0"/>
      <w:marBottom w:val="0"/>
      <w:divBdr>
        <w:top w:val="none" w:sz="0" w:space="0" w:color="auto"/>
        <w:left w:val="none" w:sz="0" w:space="0" w:color="auto"/>
        <w:bottom w:val="none" w:sz="0" w:space="0" w:color="auto"/>
        <w:right w:val="none" w:sz="0" w:space="0" w:color="auto"/>
      </w:divBdr>
    </w:div>
    <w:div w:id="1107508695">
      <w:bodyDiv w:val="1"/>
      <w:marLeft w:val="0"/>
      <w:marRight w:val="0"/>
      <w:marTop w:val="0"/>
      <w:marBottom w:val="0"/>
      <w:divBdr>
        <w:top w:val="none" w:sz="0" w:space="0" w:color="auto"/>
        <w:left w:val="none" w:sz="0" w:space="0" w:color="auto"/>
        <w:bottom w:val="none" w:sz="0" w:space="0" w:color="auto"/>
        <w:right w:val="none" w:sz="0" w:space="0" w:color="auto"/>
      </w:divBdr>
    </w:div>
    <w:div w:id="1107772552">
      <w:bodyDiv w:val="1"/>
      <w:marLeft w:val="0"/>
      <w:marRight w:val="0"/>
      <w:marTop w:val="0"/>
      <w:marBottom w:val="0"/>
      <w:divBdr>
        <w:top w:val="none" w:sz="0" w:space="0" w:color="auto"/>
        <w:left w:val="none" w:sz="0" w:space="0" w:color="auto"/>
        <w:bottom w:val="none" w:sz="0" w:space="0" w:color="auto"/>
        <w:right w:val="none" w:sz="0" w:space="0" w:color="auto"/>
      </w:divBdr>
    </w:div>
    <w:div w:id="1107846685">
      <w:bodyDiv w:val="1"/>
      <w:marLeft w:val="0"/>
      <w:marRight w:val="0"/>
      <w:marTop w:val="0"/>
      <w:marBottom w:val="0"/>
      <w:divBdr>
        <w:top w:val="none" w:sz="0" w:space="0" w:color="auto"/>
        <w:left w:val="none" w:sz="0" w:space="0" w:color="auto"/>
        <w:bottom w:val="none" w:sz="0" w:space="0" w:color="auto"/>
        <w:right w:val="none" w:sz="0" w:space="0" w:color="auto"/>
      </w:divBdr>
    </w:div>
    <w:div w:id="1107849899">
      <w:bodyDiv w:val="1"/>
      <w:marLeft w:val="0"/>
      <w:marRight w:val="0"/>
      <w:marTop w:val="0"/>
      <w:marBottom w:val="0"/>
      <w:divBdr>
        <w:top w:val="none" w:sz="0" w:space="0" w:color="auto"/>
        <w:left w:val="none" w:sz="0" w:space="0" w:color="auto"/>
        <w:bottom w:val="none" w:sz="0" w:space="0" w:color="auto"/>
        <w:right w:val="none" w:sz="0" w:space="0" w:color="auto"/>
      </w:divBdr>
    </w:div>
    <w:div w:id="1107893133">
      <w:bodyDiv w:val="1"/>
      <w:marLeft w:val="0"/>
      <w:marRight w:val="0"/>
      <w:marTop w:val="0"/>
      <w:marBottom w:val="0"/>
      <w:divBdr>
        <w:top w:val="none" w:sz="0" w:space="0" w:color="auto"/>
        <w:left w:val="none" w:sz="0" w:space="0" w:color="auto"/>
        <w:bottom w:val="none" w:sz="0" w:space="0" w:color="auto"/>
        <w:right w:val="none" w:sz="0" w:space="0" w:color="auto"/>
      </w:divBdr>
    </w:div>
    <w:div w:id="1107894554">
      <w:bodyDiv w:val="1"/>
      <w:marLeft w:val="0"/>
      <w:marRight w:val="0"/>
      <w:marTop w:val="0"/>
      <w:marBottom w:val="0"/>
      <w:divBdr>
        <w:top w:val="none" w:sz="0" w:space="0" w:color="auto"/>
        <w:left w:val="none" w:sz="0" w:space="0" w:color="auto"/>
        <w:bottom w:val="none" w:sz="0" w:space="0" w:color="auto"/>
        <w:right w:val="none" w:sz="0" w:space="0" w:color="auto"/>
      </w:divBdr>
    </w:div>
    <w:div w:id="1108163333">
      <w:bodyDiv w:val="1"/>
      <w:marLeft w:val="0"/>
      <w:marRight w:val="0"/>
      <w:marTop w:val="0"/>
      <w:marBottom w:val="0"/>
      <w:divBdr>
        <w:top w:val="none" w:sz="0" w:space="0" w:color="auto"/>
        <w:left w:val="none" w:sz="0" w:space="0" w:color="auto"/>
        <w:bottom w:val="none" w:sz="0" w:space="0" w:color="auto"/>
        <w:right w:val="none" w:sz="0" w:space="0" w:color="auto"/>
      </w:divBdr>
    </w:div>
    <w:div w:id="1108231638">
      <w:bodyDiv w:val="1"/>
      <w:marLeft w:val="0"/>
      <w:marRight w:val="0"/>
      <w:marTop w:val="0"/>
      <w:marBottom w:val="0"/>
      <w:divBdr>
        <w:top w:val="none" w:sz="0" w:space="0" w:color="auto"/>
        <w:left w:val="none" w:sz="0" w:space="0" w:color="auto"/>
        <w:bottom w:val="none" w:sz="0" w:space="0" w:color="auto"/>
        <w:right w:val="none" w:sz="0" w:space="0" w:color="auto"/>
      </w:divBdr>
    </w:div>
    <w:div w:id="1108237266">
      <w:bodyDiv w:val="1"/>
      <w:marLeft w:val="0"/>
      <w:marRight w:val="0"/>
      <w:marTop w:val="0"/>
      <w:marBottom w:val="0"/>
      <w:divBdr>
        <w:top w:val="none" w:sz="0" w:space="0" w:color="auto"/>
        <w:left w:val="none" w:sz="0" w:space="0" w:color="auto"/>
        <w:bottom w:val="none" w:sz="0" w:space="0" w:color="auto"/>
        <w:right w:val="none" w:sz="0" w:space="0" w:color="auto"/>
      </w:divBdr>
    </w:div>
    <w:div w:id="1108237751">
      <w:bodyDiv w:val="1"/>
      <w:marLeft w:val="0"/>
      <w:marRight w:val="0"/>
      <w:marTop w:val="0"/>
      <w:marBottom w:val="0"/>
      <w:divBdr>
        <w:top w:val="none" w:sz="0" w:space="0" w:color="auto"/>
        <w:left w:val="none" w:sz="0" w:space="0" w:color="auto"/>
        <w:bottom w:val="none" w:sz="0" w:space="0" w:color="auto"/>
        <w:right w:val="none" w:sz="0" w:space="0" w:color="auto"/>
      </w:divBdr>
    </w:div>
    <w:div w:id="1108357878">
      <w:bodyDiv w:val="1"/>
      <w:marLeft w:val="0"/>
      <w:marRight w:val="0"/>
      <w:marTop w:val="0"/>
      <w:marBottom w:val="0"/>
      <w:divBdr>
        <w:top w:val="none" w:sz="0" w:space="0" w:color="auto"/>
        <w:left w:val="none" w:sz="0" w:space="0" w:color="auto"/>
        <w:bottom w:val="none" w:sz="0" w:space="0" w:color="auto"/>
        <w:right w:val="none" w:sz="0" w:space="0" w:color="auto"/>
      </w:divBdr>
    </w:div>
    <w:div w:id="1108433437">
      <w:bodyDiv w:val="1"/>
      <w:marLeft w:val="0"/>
      <w:marRight w:val="0"/>
      <w:marTop w:val="0"/>
      <w:marBottom w:val="0"/>
      <w:divBdr>
        <w:top w:val="none" w:sz="0" w:space="0" w:color="auto"/>
        <w:left w:val="none" w:sz="0" w:space="0" w:color="auto"/>
        <w:bottom w:val="none" w:sz="0" w:space="0" w:color="auto"/>
        <w:right w:val="none" w:sz="0" w:space="0" w:color="auto"/>
      </w:divBdr>
    </w:div>
    <w:div w:id="1108500268">
      <w:bodyDiv w:val="1"/>
      <w:marLeft w:val="0"/>
      <w:marRight w:val="0"/>
      <w:marTop w:val="0"/>
      <w:marBottom w:val="0"/>
      <w:divBdr>
        <w:top w:val="none" w:sz="0" w:space="0" w:color="auto"/>
        <w:left w:val="none" w:sz="0" w:space="0" w:color="auto"/>
        <w:bottom w:val="none" w:sz="0" w:space="0" w:color="auto"/>
        <w:right w:val="none" w:sz="0" w:space="0" w:color="auto"/>
      </w:divBdr>
    </w:div>
    <w:div w:id="1108507391">
      <w:bodyDiv w:val="1"/>
      <w:marLeft w:val="0"/>
      <w:marRight w:val="0"/>
      <w:marTop w:val="0"/>
      <w:marBottom w:val="0"/>
      <w:divBdr>
        <w:top w:val="none" w:sz="0" w:space="0" w:color="auto"/>
        <w:left w:val="none" w:sz="0" w:space="0" w:color="auto"/>
        <w:bottom w:val="none" w:sz="0" w:space="0" w:color="auto"/>
        <w:right w:val="none" w:sz="0" w:space="0" w:color="auto"/>
      </w:divBdr>
    </w:div>
    <w:div w:id="1108617258">
      <w:bodyDiv w:val="1"/>
      <w:marLeft w:val="0"/>
      <w:marRight w:val="0"/>
      <w:marTop w:val="0"/>
      <w:marBottom w:val="0"/>
      <w:divBdr>
        <w:top w:val="none" w:sz="0" w:space="0" w:color="auto"/>
        <w:left w:val="none" w:sz="0" w:space="0" w:color="auto"/>
        <w:bottom w:val="none" w:sz="0" w:space="0" w:color="auto"/>
        <w:right w:val="none" w:sz="0" w:space="0" w:color="auto"/>
      </w:divBdr>
    </w:div>
    <w:div w:id="1108700428">
      <w:bodyDiv w:val="1"/>
      <w:marLeft w:val="0"/>
      <w:marRight w:val="0"/>
      <w:marTop w:val="0"/>
      <w:marBottom w:val="0"/>
      <w:divBdr>
        <w:top w:val="none" w:sz="0" w:space="0" w:color="auto"/>
        <w:left w:val="none" w:sz="0" w:space="0" w:color="auto"/>
        <w:bottom w:val="none" w:sz="0" w:space="0" w:color="auto"/>
        <w:right w:val="none" w:sz="0" w:space="0" w:color="auto"/>
      </w:divBdr>
    </w:div>
    <w:div w:id="1108700670">
      <w:bodyDiv w:val="1"/>
      <w:marLeft w:val="0"/>
      <w:marRight w:val="0"/>
      <w:marTop w:val="0"/>
      <w:marBottom w:val="0"/>
      <w:divBdr>
        <w:top w:val="none" w:sz="0" w:space="0" w:color="auto"/>
        <w:left w:val="none" w:sz="0" w:space="0" w:color="auto"/>
        <w:bottom w:val="none" w:sz="0" w:space="0" w:color="auto"/>
        <w:right w:val="none" w:sz="0" w:space="0" w:color="auto"/>
      </w:divBdr>
    </w:div>
    <w:div w:id="1108811093">
      <w:bodyDiv w:val="1"/>
      <w:marLeft w:val="0"/>
      <w:marRight w:val="0"/>
      <w:marTop w:val="0"/>
      <w:marBottom w:val="0"/>
      <w:divBdr>
        <w:top w:val="none" w:sz="0" w:space="0" w:color="auto"/>
        <w:left w:val="none" w:sz="0" w:space="0" w:color="auto"/>
        <w:bottom w:val="none" w:sz="0" w:space="0" w:color="auto"/>
        <w:right w:val="none" w:sz="0" w:space="0" w:color="auto"/>
      </w:divBdr>
    </w:div>
    <w:div w:id="1108813790">
      <w:bodyDiv w:val="1"/>
      <w:marLeft w:val="0"/>
      <w:marRight w:val="0"/>
      <w:marTop w:val="0"/>
      <w:marBottom w:val="0"/>
      <w:divBdr>
        <w:top w:val="none" w:sz="0" w:space="0" w:color="auto"/>
        <w:left w:val="none" w:sz="0" w:space="0" w:color="auto"/>
        <w:bottom w:val="none" w:sz="0" w:space="0" w:color="auto"/>
        <w:right w:val="none" w:sz="0" w:space="0" w:color="auto"/>
      </w:divBdr>
    </w:div>
    <w:div w:id="1108814604">
      <w:bodyDiv w:val="1"/>
      <w:marLeft w:val="0"/>
      <w:marRight w:val="0"/>
      <w:marTop w:val="0"/>
      <w:marBottom w:val="0"/>
      <w:divBdr>
        <w:top w:val="none" w:sz="0" w:space="0" w:color="auto"/>
        <w:left w:val="none" w:sz="0" w:space="0" w:color="auto"/>
        <w:bottom w:val="none" w:sz="0" w:space="0" w:color="auto"/>
        <w:right w:val="none" w:sz="0" w:space="0" w:color="auto"/>
      </w:divBdr>
    </w:div>
    <w:div w:id="1108890192">
      <w:bodyDiv w:val="1"/>
      <w:marLeft w:val="0"/>
      <w:marRight w:val="0"/>
      <w:marTop w:val="0"/>
      <w:marBottom w:val="0"/>
      <w:divBdr>
        <w:top w:val="none" w:sz="0" w:space="0" w:color="auto"/>
        <w:left w:val="none" w:sz="0" w:space="0" w:color="auto"/>
        <w:bottom w:val="none" w:sz="0" w:space="0" w:color="auto"/>
        <w:right w:val="none" w:sz="0" w:space="0" w:color="auto"/>
      </w:divBdr>
    </w:div>
    <w:div w:id="1109013031">
      <w:bodyDiv w:val="1"/>
      <w:marLeft w:val="0"/>
      <w:marRight w:val="0"/>
      <w:marTop w:val="0"/>
      <w:marBottom w:val="0"/>
      <w:divBdr>
        <w:top w:val="none" w:sz="0" w:space="0" w:color="auto"/>
        <w:left w:val="none" w:sz="0" w:space="0" w:color="auto"/>
        <w:bottom w:val="none" w:sz="0" w:space="0" w:color="auto"/>
        <w:right w:val="none" w:sz="0" w:space="0" w:color="auto"/>
      </w:divBdr>
    </w:div>
    <w:div w:id="1109468473">
      <w:bodyDiv w:val="1"/>
      <w:marLeft w:val="0"/>
      <w:marRight w:val="0"/>
      <w:marTop w:val="0"/>
      <w:marBottom w:val="0"/>
      <w:divBdr>
        <w:top w:val="none" w:sz="0" w:space="0" w:color="auto"/>
        <w:left w:val="none" w:sz="0" w:space="0" w:color="auto"/>
        <w:bottom w:val="none" w:sz="0" w:space="0" w:color="auto"/>
        <w:right w:val="none" w:sz="0" w:space="0" w:color="auto"/>
      </w:divBdr>
    </w:div>
    <w:div w:id="1109546299">
      <w:bodyDiv w:val="1"/>
      <w:marLeft w:val="0"/>
      <w:marRight w:val="0"/>
      <w:marTop w:val="0"/>
      <w:marBottom w:val="0"/>
      <w:divBdr>
        <w:top w:val="none" w:sz="0" w:space="0" w:color="auto"/>
        <w:left w:val="none" w:sz="0" w:space="0" w:color="auto"/>
        <w:bottom w:val="none" w:sz="0" w:space="0" w:color="auto"/>
        <w:right w:val="none" w:sz="0" w:space="0" w:color="auto"/>
      </w:divBdr>
    </w:div>
    <w:div w:id="1109548813">
      <w:bodyDiv w:val="1"/>
      <w:marLeft w:val="0"/>
      <w:marRight w:val="0"/>
      <w:marTop w:val="0"/>
      <w:marBottom w:val="0"/>
      <w:divBdr>
        <w:top w:val="none" w:sz="0" w:space="0" w:color="auto"/>
        <w:left w:val="none" w:sz="0" w:space="0" w:color="auto"/>
        <w:bottom w:val="none" w:sz="0" w:space="0" w:color="auto"/>
        <w:right w:val="none" w:sz="0" w:space="0" w:color="auto"/>
      </w:divBdr>
    </w:div>
    <w:div w:id="1109591853">
      <w:bodyDiv w:val="1"/>
      <w:marLeft w:val="0"/>
      <w:marRight w:val="0"/>
      <w:marTop w:val="0"/>
      <w:marBottom w:val="0"/>
      <w:divBdr>
        <w:top w:val="none" w:sz="0" w:space="0" w:color="auto"/>
        <w:left w:val="none" w:sz="0" w:space="0" w:color="auto"/>
        <w:bottom w:val="none" w:sz="0" w:space="0" w:color="auto"/>
        <w:right w:val="none" w:sz="0" w:space="0" w:color="auto"/>
      </w:divBdr>
    </w:div>
    <w:div w:id="1109664523">
      <w:bodyDiv w:val="1"/>
      <w:marLeft w:val="0"/>
      <w:marRight w:val="0"/>
      <w:marTop w:val="0"/>
      <w:marBottom w:val="0"/>
      <w:divBdr>
        <w:top w:val="none" w:sz="0" w:space="0" w:color="auto"/>
        <w:left w:val="none" w:sz="0" w:space="0" w:color="auto"/>
        <w:bottom w:val="none" w:sz="0" w:space="0" w:color="auto"/>
        <w:right w:val="none" w:sz="0" w:space="0" w:color="auto"/>
      </w:divBdr>
    </w:div>
    <w:div w:id="1109741932">
      <w:bodyDiv w:val="1"/>
      <w:marLeft w:val="0"/>
      <w:marRight w:val="0"/>
      <w:marTop w:val="0"/>
      <w:marBottom w:val="0"/>
      <w:divBdr>
        <w:top w:val="none" w:sz="0" w:space="0" w:color="auto"/>
        <w:left w:val="none" w:sz="0" w:space="0" w:color="auto"/>
        <w:bottom w:val="none" w:sz="0" w:space="0" w:color="auto"/>
        <w:right w:val="none" w:sz="0" w:space="0" w:color="auto"/>
      </w:divBdr>
    </w:div>
    <w:div w:id="1109743097">
      <w:bodyDiv w:val="1"/>
      <w:marLeft w:val="0"/>
      <w:marRight w:val="0"/>
      <w:marTop w:val="0"/>
      <w:marBottom w:val="0"/>
      <w:divBdr>
        <w:top w:val="none" w:sz="0" w:space="0" w:color="auto"/>
        <w:left w:val="none" w:sz="0" w:space="0" w:color="auto"/>
        <w:bottom w:val="none" w:sz="0" w:space="0" w:color="auto"/>
        <w:right w:val="none" w:sz="0" w:space="0" w:color="auto"/>
      </w:divBdr>
    </w:div>
    <w:div w:id="1109744049">
      <w:bodyDiv w:val="1"/>
      <w:marLeft w:val="0"/>
      <w:marRight w:val="0"/>
      <w:marTop w:val="0"/>
      <w:marBottom w:val="0"/>
      <w:divBdr>
        <w:top w:val="none" w:sz="0" w:space="0" w:color="auto"/>
        <w:left w:val="none" w:sz="0" w:space="0" w:color="auto"/>
        <w:bottom w:val="none" w:sz="0" w:space="0" w:color="auto"/>
        <w:right w:val="none" w:sz="0" w:space="0" w:color="auto"/>
      </w:divBdr>
    </w:div>
    <w:div w:id="1109855545">
      <w:bodyDiv w:val="1"/>
      <w:marLeft w:val="0"/>
      <w:marRight w:val="0"/>
      <w:marTop w:val="0"/>
      <w:marBottom w:val="0"/>
      <w:divBdr>
        <w:top w:val="none" w:sz="0" w:space="0" w:color="auto"/>
        <w:left w:val="none" w:sz="0" w:space="0" w:color="auto"/>
        <w:bottom w:val="none" w:sz="0" w:space="0" w:color="auto"/>
        <w:right w:val="none" w:sz="0" w:space="0" w:color="auto"/>
      </w:divBdr>
    </w:div>
    <w:div w:id="1109856189">
      <w:bodyDiv w:val="1"/>
      <w:marLeft w:val="0"/>
      <w:marRight w:val="0"/>
      <w:marTop w:val="0"/>
      <w:marBottom w:val="0"/>
      <w:divBdr>
        <w:top w:val="none" w:sz="0" w:space="0" w:color="auto"/>
        <w:left w:val="none" w:sz="0" w:space="0" w:color="auto"/>
        <w:bottom w:val="none" w:sz="0" w:space="0" w:color="auto"/>
        <w:right w:val="none" w:sz="0" w:space="0" w:color="auto"/>
      </w:divBdr>
    </w:div>
    <w:div w:id="1109931889">
      <w:bodyDiv w:val="1"/>
      <w:marLeft w:val="0"/>
      <w:marRight w:val="0"/>
      <w:marTop w:val="0"/>
      <w:marBottom w:val="0"/>
      <w:divBdr>
        <w:top w:val="none" w:sz="0" w:space="0" w:color="auto"/>
        <w:left w:val="none" w:sz="0" w:space="0" w:color="auto"/>
        <w:bottom w:val="none" w:sz="0" w:space="0" w:color="auto"/>
        <w:right w:val="none" w:sz="0" w:space="0" w:color="auto"/>
      </w:divBdr>
    </w:div>
    <w:div w:id="1110055218">
      <w:bodyDiv w:val="1"/>
      <w:marLeft w:val="0"/>
      <w:marRight w:val="0"/>
      <w:marTop w:val="0"/>
      <w:marBottom w:val="0"/>
      <w:divBdr>
        <w:top w:val="none" w:sz="0" w:space="0" w:color="auto"/>
        <w:left w:val="none" w:sz="0" w:space="0" w:color="auto"/>
        <w:bottom w:val="none" w:sz="0" w:space="0" w:color="auto"/>
        <w:right w:val="none" w:sz="0" w:space="0" w:color="auto"/>
      </w:divBdr>
    </w:div>
    <w:div w:id="1110275575">
      <w:bodyDiv w:val="1"/>
      <w:marLeft w:val="0"/>
      <w:marRight w:val="0"/>
      <w:marTop w:val="0"/>
      <w:marBottom w:val="0"/>
      <w:divBdr>
        <w:top w:val="none" w:sz="0" w:space="0" w:color="auto"/>
        <w:left w:val="none" w:sz="0" w:space="0" w:color="auto"/>
        <w:bottom w:val="none" w:sz="0" w:space="0" w:color="auto"/>
        <w:right w:val="none" w:sz="0" w:space="0" w:color="auto"/>
      </w:divBdr>
    </w:div>
    <w:div w:id="1110316086">
      <w:bodyDiv w:val="1"/>
      <w:marLeft w:val="0"/>
      <w:marRight w:val="0"/>
      <w:marTop w:val="0"/>
      <w:marBottom w:val="0"/>
      <w:divBdr>
        <w:top w:val="none" w:sz="0" w:space="0" w:color="auto"/>
        <w:left w:val="none" w:sz="0" w:space="0" w:color="auto"/>
        <w:bottom w:val="none" w:sz="0" w:space="0" w:color="auto"/>
        <w:right w:val="none" w:sz="0" w:space="0" w:color="auto"/>
      </w:divBdr>
    </w:div>
    <w:div w:id="1110316700">
      <w:bodyDiv w:val="1"/>
      <w:marLeft w:val="0"/>
      <w:marRight w:val="0"/>
      <w:marTop w:val="0"/>
      <w:marBottom w:val="0"/>
      <w:divBdr>
        <w:top w:val="none" w:sz="0" w:space="0" w:color="auto"/>
        <w:left w:val="none" w:sz="0" w:space="0" w:color="auto"/>
        <w:bottom w:val="none" w:sz="0" w:space="0" w:color="auto"/>
        <w:right w:val="none" w:sz="0" w:space="0" w:color="auto"/>
      </w:divBdr>
    </w:div>
    <w:div w:id="1110323159">
      <w:bodyDiv w:val="1"/>
      <w:marLeft w:val="0"/>
      <w:marRight w:val="0"/>
      <w:marTop w:val="0"/>
      <w:marBottom w:val="0"/>
      <w:divBdr>
        <w:top w:val="none" w:sz="0" w:space="0" w:color="auto"/>
        <w:left w:val="none" w:sz="0" w:space="0" w:color="auto"/>
        <w:bottom w:val="none" w:sz="0" w:space="0" w:color="auto"/>
        <w:right w:val="none" w:sz="0" w:space="0" w:color="auto"/>
      </w:divBdr>
    </w:div>
    <w:div w:id="1110469762">
      <w:bodyDiv w:val="1"/>
      <w:marLeft w:val="0"/>
      <w:marRight w:val="0"/>
      <w:marTop w:val="0"/>
      <w:marBottom w:val="0"/>
      <w:divBdr>
        <w:top w:val="none" w:sz="0" w:space="0" w:color="auto"/>
        <w:left w:val="none" w:sz="0" w:space="0" w:color="auto"/>
        <w:bottom w:val="none" w:sz="0" w:space="0" w:color="auto"/>
        <w:right w:val="none" w:sz="0" w:space="0" w:color="auto"/>
      </w:divBdr>
    </w:div>
    <w:div w:id="1110508935">
      <w:bodyDiv w:val="1"/>
      <w:marLeft w:val="0"/>
      <w:marRight w:val="0"/>
      <w:marTop w:val="0"/>
      <w:marBottom w:val="0"/>
      <w:divBdr>
        <w:top w:val="none" w:sz="0" w:space="0" w:color="auto"/>
        <w:left w:val="none" w:sz="0" w:space="0" w:color="auto"/>
        <w:bottom w:val="none" w:sz="0" w:space="0" w:color="auto"/>
        <w:right w:val="none" w:sz="0" w:space="0" w:color="auto"/>
      </w:divBdr>
    </w:div>
    <w:div w:id="1110515271">
      <w:bodyDiv w:val="1"/>
      <w:marLeft w:val="0"/>
      <w:marRight w:val="0"/>
      <w:marTop w:val="0"/>
      <w:marBottom w:val="0"/>
      <w:divBdr>
        <w:top w:val="none" w:sz="0" w:space="0" w:color="auto"/>
        <w:left w:val="none" w:sz="0" w:space="0" w:color="auto"/>
        <w:bottom w:val="none" w:sz="0" w:space="0" w:color="auto"/>
        <w:right w:val="none" w:sz="0" w:space="0" w:color="auto"/>
      </w:divBdr>
    </w:div>
    <w:div w:id="1110583889">
      <w:bodyDiv w:val="1"/>
      <w:marLeft w:val="0"/>
      <w:marRight w:val="0"/>
      <w:marTop w:val="0"/>
      <w:marBottom w:val="0"/>
      <w:divBdr>
        <w:top w:val="none" w:sz="0" w:space="0" w:color="auto"/>
        <w:left w:val="none" w:sz="0" w:space="0" w:color="auto"/>
        <w:bottom w:val="none" w:sz="0" w:space="0" w:color="auto"/>
        <w:right w:val="none" w:sz="0" w:space="0" w:color="auto"/>
      </w:divBdr>
    </w:div>
    <w:div w:id="1110660882">
      <w:bodyDiv w:val="1"/>
      <w:marLeft w:val="0"/>
      <w:marRight w:val="0"/>
      <w:marTop w:val="0"/>
      <w:marBottom w:val="0"/>
      <w:divBdr>
        <w:top w:val="none" w:sz="0" w:space="0" w:color="auto"/>
        <w:left w:val="none" w:sz="0" w:space="0" w:color="auto"/>
        <w:bottom w:val="none" w:sz="0" w:space="0" w:color="auto"/>
        <w:right w:val="none" w:sz="0" w:space="0" w:color="auto"/>
      </w:divBdr>
    </w:div>
    <w:div w:id="1110663740">
      <w:bodyDiv w:val="1"/>
      <w:marLeft w:val="0"/>
      <w:marRight w:val="0"/>
      <w:marTop w:val="0"/>
      <w:marBottom w:val="0"/>
      <w:divBdr>
        <w:top w:val="none" w:sz="0" w:space="0" w:color="auto"/>
        <w:left w:val="none" w:sz="0" w:space="0" w:color="auto"/>
        <w:bottom w:val="none" w:sz="0" w:space="0" w:color="auto"/>
        <w:right w:val="none" w:sz="0" w:space="0" w:color="auto"/>
      </w:divBdr>
    </w:div>
    <w:div w:id="1110704614">
      <w:bodyDiv w:val="1"/>
      <w:marLeft w:val="0"/>
      <w:marRight w:val="0"/>
      <w:marTop w:val="0"/>
      <w:marBottom w:val="0"/>
      <w:divBdr>
        <w:top w:val="none" w:sz="0" w:space="0" w:color="auto"/>
        <w:left w:val="none" w:sz="0" w:space="0" w:color="auto"/>
        <w:bottom w:val="none" w:sz="0" w:space="0" w:color="auto"/>
        <w:right w:val="none" w:sz="0" w:space="0" w:color="auto"/>
      </w:divBdr>
    </w:div>
    <w:div w:id="1110705487">
      <w:bodyDiv w:val="1"/>
      <w:marLeft w:val="0"/>
      <w:marRight w:val="0"/>
      <w:marTop w:val="0"/>
      <w:marBottom w:val="0"/>
      <w:divBdr>
        <w:top w:val="none" w:sz="0" w:space="0" w:color="auto"/>
        <w:left w:val="none" w:sz="0" w:space="0" w:color="auto"/>
        <w:bottom w:val="none" w:sz="0" w:space="0" w:color="auto"/>
        <w:right w:val="none" w:sz="0" w:space="0" w:color="auto"/>
      </w:divBdr>
    </w:div>
    <w:div w:id="1110710277">
      <w:bodyDiv w:val="1"/>
      <w:marLeft w:val="0"/>
      <w:marRight w:val="0"/>
      <w:marTop w:val="0"/>
      <w:marBottom w:val="0"/>
      <w:divBdr>
        <w:top w:val="none" w:sz="0" w:space="0" w:color="auto"/>
        <w:left w:val="none" w:sz="0" w:space="0" w:color="auto"/>
        <w:bottom w:val="none" w:sz="0" w:space="0" w:color="auto"/>
        <w:right w:val="none" w:sz="0" w:space="0" w:color="auto"/>
      </w:divBdr>
    </w:div>
    <w:div w:id="1110900917">
      <w:bodyDiv w:val="1"/>
      <w:marLeft w:val="0"/>
      <w:marRight w:val="0"/>
      <w:marTop w:val="0"/>
      <w:marBottom w:val="0"/>
      <w:divBdr>
        <w:top w:val="none" w:sz="0" w:space="0" w:color="auto"/>
        <w:left w:val="none" w:sz="0" w:space="0" w:color="auto"/>
        <w:bottom w:val="none" w:sz="0" w:space="0" w:color="auto"/>
        <w:right w:val="none" w:sz="0" w:space="0" w:color="auto"/>
      </w:divBdr>
    </w:div>
    <w:div w:id="1110929094">
      <w:bodyDiv w:val="1"/>
      <w:marLeft w:val="0"/>
      <w:marRight w:val="0"/>
      <w:marTop w:val="0"/>
      <w:marBottom w:val="0"/>
      <w:divBdr>
        <w:top w:val="none" w:sz="0" w:space="0" w:color="auto"/>
        <w:left w:val="none" w:sz="0" w:space="0" w:color="auto"/>
        <w:bottom w:val="none" w:sz="0" w:space="0" w:color="auto"/>
        <w:right w:val="none" w:sz="0" w:space="0" w:color="auto"/>
      </w:divBdr>
    </w:div>
    <w:div w:id="1110930113">
      <w:bodyDiv w:val="1"/>
      <w:marLeft w:val="0"/>
      <w:marRight w:val="0"/>
      <w:marTop w:val="0"/>
      <w:marBottom w:val="0"/>
      <w:divBdr>
        <w:top w:val="none" w:sz="0" w:space="0" w:color="auto"/>
        <w:left w:val="none" w:sz="0" w:space="0" w:color="auto"/>
        <w:bottom w:val="none" w:sz="0" w:space="0" w:color="auto"/>
        <w:right w:val="none" w:sz="0" w:space="0" w:color="auto"/>
      </w:divBdr>
    </w:div>
    <w:div w:id="1110930615">
      <w:bodyDiv w:val="1"/>
      <w:marLeft w:val="0"/>
      <w:marRight w:val="0"/>
      <w:marTop w:val="0"/>
      <w:marBottom w:val="0"/>
      <w:divBdr>
        <w:top w:val="none" w:sz="0" w:space="0" w:color="auto"/>
        <w:left w:val="none" w:sz="0" w:space="0" w:color="auto"/>
        <w:bottom w:val="none" w:sz="0" w:space="0" w:color="auto"/>
        <w:right w:val="none" w:sz="0" w:space="0" w:color="auto"/>
      </w:divBdr>
    </w:div>
    <w:div w:id="1111129024">
      <w:bodyDiv w:val="1"/>
      <w:marLeft w:val="0"/>
      <w:marRight w:val="0"/>
      <w:marTop w:val="0"/>
      <w:marBottom w:val="0"/>
      <w:divBdr>
        <w:top w:val="none" w:sz="0" w:space="0" w:color="auto"/>
        <w:left w:val="none" w:sz="0" w:space="0" w:color="auto"/>
        <w:bottom w:val="none" w:sz="0" w:space="0" w:color="auto"/>
        <w:right w:val="none" w:sz="0" w:space="0" w:color="auto"/>
      </w:divBdr>
    </w:div>
    <w:div w:id="1111130027">
      <w:bodyDiv w:val="1"/>
      <w:marLeft w:val="0"/>
      <w:marRight w:val="0"/>
      <w:marTop w:val="0"/>
      <w:marBottom w:val="0"/>
      <w:divBdr>
        <w:top w:val="none" w:sz="0" w:space="0" w:color="auto"/>
        <w:left w:val="none" w:sz="0" w:space="0" w:color="auto"/>
        <w:bottom w:val="none" w:sz="0" w:space="0" w:color="auto"/>
        <w:right w:val="none" w:sz="0" w:space="0" w:color="auto"/>
      </w:divBdr>
    </w:div>
    <w:div w:id="1111166055">
      <w:bodyDiv w:val="1"/>
      <w:marLeft w:val="0"/>
      <w:marRight w:val="0"/>
      <w:marTop w:val="0"/>
      <w:marBottom w:val="0"/>
      <w:divBdr>
        <w:top w:val="none" w:sz="0" w:space="0" w:color="auto"/>
        <w:left w:val="none" w:sz="0" w:space="0" w:color="auto"/>
        <w:bottom w:val="none" w:sz="0" w:space="0" w:color="auto"/>
        <w:right w:val="none" w:sz="0" w:space="0" w:color="auto"/>
      </w:divBdr>
    </w:div>
    <w:div w:id="1111242381">
      <w:bodyDiv w:val="1"/>
      <w:marLeft w:val="0"/>
      <w:marRight w:val="0"/>
      <w:marTop w:val="0"/>
      <w:marBottom w:val="0"/>
      <w:divBdr>
        <w:top w:val="none" w:sz="0" w:space="0" w:color="auto"/>
        <w:left w:val="none" w:sz="0" w:space="0" w:color="auto"/>
        <w:bottom w:val="none" w:sz="0" w:space="0" w:color="auto"/>
        <w:right w:val="none" w:sz="0" w:space="0" w:color="auto"/>
      </w:divBdr>
    </w:div>
    <w:div w:id="1111361762">
      <w:bodyDiv w:val="1"/>
      <w:marLeft w:val="0"/>
      <w:marRight w:val="0"/>
      <w:marTop w:val="0"/>
      <w:marBottom w:val="0"/>
      <w:divBdr>
        <w:top w:val="none" w:sz="0" w:space="0" w:color="auto"/>
        <w:left w:val="none" w:sz="0" w:space="0" w:color="auto"/>
        <w:bottom w:val="none" w:sz="0" w:space="0" w:color="auto"/>
        <w:right w:val="none" w:sz="0" w:space="0" w:color="auto"/>
      </w:divBdr>
    </w:div>
    <w:div w:id="1111433488">
      <w:bodyDiv w:val="1"/>
      <w:marLeft w:val="0"/>
      <w:marRight w:val="0"/>
      <w:marTop w:val="0"/>
      <w:marBottom w:val="0"/>
      <w:divBdr>
        <w:top w:val="none" w:sz="0" w:space="0" w:color="auto"/>
        <w:left w:val="none" w:sz="0" w:space="0" w:color="auto"/>
        <w:bottom w:val="none" w:sz="0" w:space="0" w:color="auto"/>
        <w:right w:val="none" w:sz="0" w:space="0" w:color="auto"/>
      </w:divBdr>
    </w:div>
    <w:div w:id="1111436390">
      <w:bodyDiv w:val="1"/>
      <w:marLeft w:val="0"/>
      <w:marRight w:val="0"/>
      <w:marTop w:val="0"/>
      <w:marBottom w:val="0"/>
      <w:divBdr>
        <w:top w:val="none" w:sz="0" w:space="0" w:color="auto"/>
        <w:left w:val="none" w:sz="0" w:space="0" w:color="auto"/>
        <w:bottom w:val="none" w:sz="0" w:space="0" w:color="auto"/>
        <w:right w:val="none" w:sz="0" w:space="0" w:color="auto"/>
      </w:divBdr>
    </w:div>
    <w:div w:id="1111631141">
      <w:bodyDiv w:val="1"/>
      <w:marLeft w:val="0"/>
      <w:marRight w:val="0"/>
      <w:marTop w:val="0"/>
      <w:marBottom w:val="0"/>
      <w:divBdr>
        <w:top w:val="none" w:sz="0" w:space="0" w:color="auto"/>
        <w:left w:val="none" w:sz="0" w:space="0" w:color="auto"/>
        <w:bottom w:val="none" w:sz="0" w:space="0" w:color="auto"/>
        <w:right w:val="none" w:sz="0" w:space="0" w:color="auto"/>
      </w:divBdr>
    </w:div>
    <w:div w:id="1111632280">
      <w:bodyDiv w:val="1"/>
      <w:marLeft w:val="0"/>
      <w:marRight w:val="0"/>
      <w:marTop w:val="0"/>
      <w:marBottom w:val="0"/>
      <w:divBdr>
        <w:top w:val="none" w:sz="0" w:space="0" w:color="auto"/>
        <w:left w:val="none" w:sz="0" w:space="0" w:color="auto"/>
        <w:bottom w:val="none" w:sz="0" w:space="0" w:color="auto"/>
        <w:right w:val="none" w:sz="0" w:space="0" w:color="auto"/>
      </w:divBdr>
    </w:div>
    <w:div w:id="1111703658">
      <w:bodyDiv w:val="1"/>
      <w:marLeft w:val="0"/>
      <w:marRight w:val="0"/>
      <w:marTop w:val="0"/>
      <w:marBottom w:val="0"/>
      <w:divBdr>
        <w:top w:val="none" w:sz="0" w:space="0" w:color="auto"/>
        <w:left w:val="none" w:sz="0" w:space="0" w:color="auto"/>
        <w:bottom w:val="none" w:sz="0" w:space="0" w:color="auto"/>
        <w:right w:val="none" w:sz="0" w:space="0" w:color="auto"/>
      </w:divBdr>
    </w:div>
    <w:div w:id="1111783235">
      <w:bodyDiv w:val="1"/>
      <w:marLeft w:val="0"/>
      <w:marRight w:val="0"/>
      <w:marTop w:val="0"/>
      <w:marBottom w:val="0"/>
      <w:divBdr>
        <w:top w:val="none" w:sz="0" w:space="0" w:color="auto"/>
        <w:left w:val="none" w:sz="0" w:space="0" w:color="auto"/>
        <w:bottom w:val="none" w:sz="0" w:space="0" w:color="auto"/>
        <w:right w:val="none" w:sz="0" w:space="0" w:color="auto"/>
      </w:divBdr>
    </w:div>
    <w:div w:id="1111819887">
      <w:bodyDiv w:val="1"/>
      <w:marLeft w:val="0"/>
      <w:marRight w:val="0"/>
      <w:marTop w:val="0"/>
      <w:marBottom w:val="0"/>
      <w:divBdr>
        <w:top w:val="none" w:sz="0" w:space="0" w:color="auto"/>
        <w:left w:val="none" w:sz="0" w:space="0" w:color="auto"/>
        <w:bottom w:val="none" w:sz="0" w:space="0" w:color="auto"/>
        <w:right w:val="none" w:sz="0" w:space="0" w:color="auto"/>
      </w:divBdr>
    </w:div>
    <w:div w:id="1111822554">
      <w:bodyDiv w:val="1"/>
      <w:marLeft w:val="0"/>
      <w:marRight w:val="0"/>
      <w:marTop w:val="0"/>
      <w:marBottom w:val="0"/>
      <w:divBdr>
        <w:top w:val="none" w:sz="0" w:space="0" w:color="auto"/>
        <w:left w:val="none" w:sz="0" w:space="0" w:color="auto"/>
        <w:bottom w:val="none" w:sz="0" w:space="0" w:color="auto"/>
        <w:right w:val="none" w:sz="0" w:space="0" w:color="auto"/>
      </w:divBdr>
    </w:div>
    <w:div w:id="1111898041">
      <w:bodyDiv w:val="1"/>
      <w:marLeft w:val="0"/>
      <w:marRight w:val="0"/>
      <w:marTop w:val="0"/>
      <w:marBottom w:val="0"/>
      <w:divBdr>
        <w:top w:val="none" w:sz="0" w:space="0" w:color="auto"/>
        <w:left w:val="none" w:sz="0" w:space="0" w:color="auto"/>
        <w:bottom w:val="none" w:sz="0" w:space="0" w:color="auto"/>
        <w:right w:val="none" w:sz="0" w:space="0" w:color="auto"/>
      </w:divBdr>
    </w:div>
    <w:div w:id="1112087278">
      <w:bodyDiv w:val="1"/>
      <w:marLeft w:val="0"/>
      <w:marRight w:val="0"/>
      <w:marTop w:val="0"/>
      <w:marBottom w:val="0"/>
      <w:divBdr>
        <w:top w:val="none" w:sz="0" w:space="0" w:color="auto"/>
        <w:left w:val="none" w:sz="0" w:space="0" w:color="auto"/>
        <w:bottom w:val="none" w:sz="0" w:space="0" w:color="auto"/>
        <w:right w:val="none" w:sz="0" w:space="0" w:color="auto"/>
      </w:divBdr>
    </w:div>
    <w:div w:id="1112092231">
      <w:bodyDiv w:val="1"/>
      <w:marLeft w:val="0"/>
      <w:marRight w:val="0"/>
      <w:marTop w:val="0"/>
      <w:marBottom w:val="0"/>
      <w:divBdr>
        <w:top w:val="none" w:sz="0" w:space="0" w:color="auto"/>
        <w:left w:val="none" w:sz="0" w:space="0" w:color="auto"/>
        <w:bottom w:val="none" w:sz="0" w:space="0" w:color="auto"/>
        <w:right w:val="none" w:sz="0" w:space="0" w:color="auto"/>
      </w:divBdr>
    </w:div>
    <w:div w:id="1112095529">
      <w:bodyDiv w:val="1"/>
      <w:marLeft w:val="0"/>
      <w:marRight w:val="0"/>
      <w:marTop w:val="0"/>
      <w:marBottom w:val="0"/>
      <w:divBdr>
        <w:top w:val="none" w:sz="0" w:space="0" w:color="auto"/>
        <w:left w:val="none" w:sz="0" w:space="0" w:color="auto"/>
        <w:bottom w:val="none" w:sz="0" w:space="0" w:color="auto"/>
        <w:right w:val="none" w:sz="0" w:space="0" w:color="auto"/>
      </w:divBdr>
    </w:div>
    <w:div w:id="1112165501">
      <w:bodyDiv w:val="1"/>
      <w:marLeft w:val="0"/>
      <w:marRight w:val="0"/>
      <w:marTop w:val="0"/>
      <w:marBottom w:val="0"/>
      <w:divBdr>
        <w:top w:val="none" w:sz="0" w:space="0" w:color="auto"/>
        <w:left w:val="none" w:sz="0" w:space="0" w:color="auto"/>
        <w:bottom w:val="none" w:sz="0" w:space="0" w:color="auto"/>
        <w:right w:val="none" w:sz="0" w:space="0" w:color="auto"/>
      </w:divBdr>
    </w:div>
    <w:div w:id="1112238354">
      <w:bodyDiv w:val="1"/>
      <w:marLeft w:val="0"/>
      <w:marRight w:val="0"/>
      <w:marTop w:val="0"/>
      <w:marBottom w:val="0"/>
      <w:divBdr>
        <w:top w:val="none" w:sz="0" w:space="0" w:color="auto"/>
        <w:left w:val="none" w:sz="0" w:space="0" w:color="auto"/>
        <w:bottom w:val="none" w:sz="0" w:space="0" w:color="auto"/>
        <w:right w:val="none" w:sz="0" w:space="0" w:color="auto"/>
      </w:divBdr>
    </w:div>
    <w:div w:id="1112243149">
      <w:bodyDiv w:val="1"/>
      <w:marLeft w:val="0"/>
      <w:marRight w:val="0"/>
      <w:marTop w:val="0"/>
      <w:marBottom w:val="0"/>
      <w:divBdr>
        <w:top w:val="none" w:sz="0" w:space="0" w:color="auto"/>
        <w:left w:val="none" w:sz="0" w:space="0" w:color="auto"/>
        <w:bottom w:val="none" w:sz="0" w:space="0" w:color="auto"/>
        <w:right w:val="none" w:sz="0" w:space="0" w:color="auto"/>
      </w:divBdr>
    </w:div>
    <w:div w:id="1112243741">
      <w:bodyDiv w:val="1"/>
      <w:marLeft w:val="0"/>
      <w:marRight w:val="0"/>
      <w:marTop w:val="0"/>
      <w:marBottom w:val="0"/>
      <w:divBdr>
        <w:top w:val="none" w:sz="0" w:space="0" w:color="auto"/>
        <w:left w:val="none" w:sz="0" w:space="0" w:color="auto"/>
        <w:bottom w:val="none" w:sz="0" w:space="0" w:color="auto"/>
        <w:right w:val="none" w:sz="0" w:space="0" w:color="auto"/>
      </w:divBdr>
    </w:div>
    <w:div w:id="1112283302">
      <w:bodyDiv w:val="1"/>
      <w:marLeft w:val="0"/>
      <w:marRight w:val="0"/>
      <w:marTop w:val="0"/>
      <w:marBottom w:val="0"/>
      <w:divBdr>
        <w:top w:val="none" w:sz="0" w:space="0" w:color="auto"/>
        <w:left w:val="none" w:sz="0" w:space="0" w:color="auto"/>
        <w:bottom w:val="none" w:sz="0" w:space="0" w:color="auto"/>
        <w:right w:val="none" w:sz="0" w:space="0" w:color="auto"/>
      </w:divBdr>
    </w:div>
    <w:div w:id="1112361151">
      <w:bodyDiv w:val="1"/>
      <w:marLeft w:val="0"/>
      <w:marRight w:val="0"/>
      <w:marTop w:val="0"/>
      <w:marBottom w:val="0"/>
      <w:divBdr>
        <w:top w:val="none" w:sz="0" w:space="0" w:color="auto"/>
        <w:left w:val="none" w:sz="0" w:space="0" w:color="auto"/>
        <w:bottom w:val="none" w:sz="0" w:space="0" w:color="auto"/>
        <w:right w:val="none" w:sz="0" w:space="0" w:color="auto"/>
      </w:divBdr>
    </w:div>
    <w:div w:id="1112438000">
      <w:bodyDiv w:val="1"/>
      <w:marLeft w:val="0"/>
      <w:marRight w:val="0"/>
      <w:marTop w:val="0"/>
      <w:marBottom w:val="0"/>
      <w:divBdr>
        <w:top w:val="none" w:sz="0" w:space="0" w:color="auto"/>
        <w:left w:val="none" w:sz="0" w:space="0" w:color="auto"/>
        <w:bottom w:val="none" w:sz="0" w:space="0" w:color="auto"/>
        <w:right w:val="none" w:sz="0" w:space="0" w:color="auto"/>
      </w:divBdr>
    </w:div>
    <w:div w:id="1112483147">
      <w:bodyDiv w:val="1"/>
      <w:marLeft w:val="0"/>
      <w:marRight w:val="0"/>
      <w:marTop w:val="0"/>
      <w:marBottom w:val="0"/>
      <w:divBdr>
        <w:top w:val="none" w:sz="0" w:space="0" w:color="auto"/>
        <w:left w:val="none" w:sz="0" w:space="0" w:color="auto"/>
        <w:bottom w:val="none" w:sz="0" w:space="0" w:color="auto"/>
        <w:right w:val="none" w:sz="0" w:space="0" w:color="auto"/>
      </w:divBdr>
    </w:div>
    <w:div w:id="1112549598">
      <w:bodyDiv w:val="1"/>
      <w:marLeft w:val="0"/>
      <w:marRight w:val="0"/>
      <w:marTop w:val="0"/>
      <w:marBottom w:val="0"/>
      <w:divBdr>
        <w:top w:val="none" w:sz="0" w:space="0" w:color="auto"/>
        <w:left w:val="none" w:sz="0" w:space="0" w:color="auto"/>
        <w:bottom w:val="none" w:sz="0" w:space="0" w:color="auto"/>
        <w:right w:val="none" w:sz="0" w:space="0" w:color="auto"/>
      </w:divBdr>
    </w:div>
    <w:div w:id="1112632446">
      <w:bodyDiv w:val="1"/>
      <w:marLeft w:val="0"/>
      <w:marRight w:val="0"/>
      <w:marTop w:val="0"/>
      <w:marBottom w:val="0"/>
      <w:divBdr>
        <w:top w:val="none" w:sz="0" w:space="0" w:color="auto"/>
        <w:left w:val="none" w:sz="0" w:space="0" w:color="auto"/>
        <w:bottom w:val="none" w:sz="0" w:space="0" w:color="auto"/>
        <w:right w:val="none" w:sz="0" w:space="0" w:color="auto"/>
      </w:divBdr>
    </w:div>
    <w:div w:id="1112633115">
      <w:bodyDiv w:val="1"/>
      <w:marLeft w:val="0"/>
      <w:marRight w:val="0"/>
      <w:marTop w:val="0"/>
      <w:marBottom w:val="0"/>
      <w:divBdr>
        <w:top w:val="none" w:sz="0" w:space="0" w:color="auto"/>
        <w:left w:val="none" w:sz="0" w:space="0" w:color="auto"/>
        <w:bottom w:val="none" w:sz="0" w:space="0" w:color="auto"/>
        <w:right w:val="none" w:sz="0" w:space="0" w:color="auto"/>
      </w:divBdr>
    </w:div>
    <w:div w:id="1112700033">
      <w:bodyDiv w:val="1"/>
      <w:marLeft w:val="0"/>
      <w:marRight w:val="0"/>
      <w:marTop w:val="0"/>
      <w:marBottom w:val="0"/>
      <w:divBdr>
        <w:top w:val="none" w:sz="0" w:space="0" w:color="auto"/>
        <w:left w:val="none" w:sz="0" w:space="0" w:color="auto"/>
        <w:bottom w:val="none" w:sz="0" w:space="0" w:color="auto"/>
        <w:right w:val="none" w:sz="0" w:space="0" w:color="auto"/>
      </w:divBdr>
    </w:div>
    <w:div w:id="1112750496">
      <w:bodyDiv w:val="1"/>
      <w:marLeft w:val="0"/>
      <w:marRight w:val="0"/>
      <w:marTop w:val="0"/>
      <w:marBottom w:val="0"/>
      <w:divBdr>
        <w:top w:val="none" w:sz="0" w:space="0" w:color="auto"/>
        <w:left w:val="none" w:sz="0" w:space="0" w:color="auto"/>
        <w:bottom w:val="none" w:sz="0" w:space="0" w:color="auto"/>
        <w:right w:val="none" w:sz="0" w:space="0" w:color="auto"/>
      </w:divBdr>
    </w:div>
    <w:div w:id="1112943985">
      <w:bodyDiv w:val="1"/>
      <w:marLeft w:val="0"/>
      <w:marRight w:val="0"/>
      <w:marTop w:val="0"/>
      <w:marBottom w:val="0"/>
      <w:divBdr>
        <w:top w:val="none" w:sz="0" w:space="0" w:color="auto"/>
        <w:left w:val="none" w:sz="0" w:space="0" w:color="auto"/>
        <w:bottom w:val="none" w:sz="0" w:space="0" w:color="auto"/>
        <w:right w:val="none" w:sz="0" w:space="0" w:color="auto"/>
      </w:divBdr>
    </w:div>
    <w:div w:id="1113017343">
      <w:bodyDiv w:val="1"/>
      <w:marLeft w:val="0"/>
      <w:marRight w:val="0"/>
      <w:marTop w:val="0"/>
      <w:marBottom w:val="0"/>
      <w:divBdr>
        <w:top w:val="none" w:sz="0" w:space="0" w:color="auto"/>
        <w:left w:val="none" w:sz="0" w:space="0" w:color="auto"/>
        <w:bottom w:val="none" w:sz="0" w:space="0" w:color="auto"/>
        <w:right w:val="none" w:sz="0" w:space="0" w:color="auto"/>
      </w:divBdr>
    </w:div>
    <w:div w:id="1113129075">
      <w:bodyDiv w:val="1"/>
      <w:marLeft w:val="0"/>
      <w:marRight w:val="0"/>
      <w:marTop w:val="0"/>
      <w:marBottom w:val="0"/>
      <w:divBdr>
        <w:top w:val="none" w:sz="0" w:space="0" w:color="auto"/>
        <w:left w:val="none" w:sz="0" w:space="0" w:color="auto"/>
        <w:bottom w:val="none" w:sz="0" w:space="0" w:color="auto"/>
        <w:right w:val="none" w:sz="0" w:space="0" w:color="auto"/>
      </w:divBdr>
    </w:div>
    <w:div w:id="1113283446">
      <w:bodyDiv w:val="1"/>
      <w:marLeft w:val="0"/>
      <w:marRight w:val="0"/>
      <w:marTop w:val="0"/>
      <w:marBottom w:val="0"/>
      <w:divBdr>
        <w:top w:val="none" w:sz="0" w:space="0" w:color="auto"/>
        <w:left w:val="none" w:sz="0" w:space="0" w:color="auto"/>
        <w:bottom w:val="none" w:sz="0" w:space="0" w:color="auto"/>
        <w:right w:val="none" w:sz="0" w:space="0" w:color="auto"/>
      </w:divBdr>
    </w:div>
    <w:div w:id="1113287927">
      <w:bodyDiv w:val="1"/>
      <w:marLeft w:val="0"/>
      <w:marRight w:val="0"/>
      <w:marTop w:val="0"/>
      <w:marBottom w:val="0"/>
      <w:divBdr>
        <w:top w:val="none" w:sz="0" w:space="0" w:color="auto"/>
        <w:left w:val="none" w:sz="0" w:space="0" w:color="auto"/>
        <w:bottom w:val="none" w:sz="0" w:space="0" w:color="auto"/>
        <w:right w:val="none" w:sz="0" w:space="0" w:color="auto"/>
      </w:divBdr>
    </w:div>
    <w:div w:id="1113400054">
      <w:bodyDiv w:val="1"/>
      <w:marLeft w:val="0"/>
      <w:marRight w:val="0"/>
      <w:marTop w:val="0"/>
      <w:marBottom w:val="0"/>
      <w:divBdr>
        <w:top w:val="none" w:sz="0" w:space="0" w:color="auto"/>
        <w:left w:val="none" w:sz="0" w:space="0" w:color="auto"/>
        <w:bottom w:val="none" w:sz="0" w:space="0" w:color="auto"/>
        <w:right w:val="none" w:sz="0" w:space="0" w:color="auto"/>
      </w:divBdr>
    </w:div>
    <w:div w:id="1113550760">
      <w:bodyDiv w:val="1"/>
      <w:marLeft w:val="0"/>
      <w:marRight w:val="0"/>
      <w:marTop w:val="0"/>
      <w:marBottom w:val="0"/>
      <w:divBdr>
        <w:top w:val="none" w:sz="0" w:space="0" w:color="auto"/>
        <w:left w:val="none" w:sz="0" w:space="0" w:color="auto"/>
        <w:bottom w:val="none" w:sz="0" w:space="0" w:color="auto"/>
        <w:right w:val="none" w:sz="0" w:space="0" w:color="auto"/>
      </w:divBdr>
    </w:div>
    <w:div w:id="1113600293">
      <w:bodyDiv w:val="1"/>
      <w:marLeft w:val="0"/>
      <w:marRight w:val="0"/>
      <w:marTop w:val="0"/>
      <w:marBottom w:val="0"/>
      <w:divBdr>
        <w:top w:val="none" w:sz="0" w:space="0" w:color="auto"/>
        <w:left w:val="none" w:sz="0" w:space="0" w:color="auto"/>
        <w:bottom w:val="none" w:sz="0" w:space="0" w:color="auto"/>
        <w:right w:val="none" w:sz="0" w:space="0" w:color="auto"/>
      </w:divBdr>
    </w:div>
    <w:div w:id="1113863571">
      <w:bodyDiv w:val="1"/>
      <w:marLeft w:val="0"/>
      <w:marRight w:val="0"/>
      <w:marTop w:val="0"/>
      <w:marBottom w:val="0"/>
      <w:divBdr>
        <w:top w:val="none" w:sz="0" w:space="0" w:color="auto"/>
        <w:left w:val="none" w:sz="0" w:space="0" w:color="auto"/>
        <w:bottom w:val="none" w:sz="0" w:space="0" w:color="auto"/>
        <w:right w:val="none" w:sz="0" w:space="0" w:color="auto"/>
      </w:divBdr>
    </w:div>
    <w:div w:id="1113868224">
      <w:bodyDiv w:val="1"/>
      <w:marLeft w:val="0"/>
      <w:marRight w:val="0"/>
      <w:marTop w:val="0"/>
      <w:marBottom w:val="0"/>
      <w:divBdr>
        <w:top w:val="none" w:sz="0" w:space="0" w:color="auto"/>
        <w:left w:val="none" w:sz="0" w:space="0" w:color="auto"/>
        <w:bottom w:val="none" w:sz="0" w:space="0" w:color="auto"/>
        <w:right w:val="none" w:sz="0" w:space="0" w:color="auto"/>
      </w:divBdr>
    </w:div>
    <w:div w:id="1113939212">
      <w:bodyDiv w:val="1"/>
      <w:marLeft w:val="0"/>
      <w:marRight w:val="0"/>
      <w:marTop w:val="0"/>
      <w:marBottom w:val="0"/>
      <w:divBdr>
        <w:top w:val="none" w:sz="0" w:space="0" w:color="auto"/>
        <w:left w:val="none" w:sz="0" w:space="0" w:color="auto"/>
        <w:bottom w:val="none" w:sz="0" w:space="0" w:color="auto"/>
        <w:right w:val="none" w:sz="0" w:space="0" w:color="auto"/>
      </w:divBdr>
    </w:div>
    <w:div w:id="1113940234">
      <w:bodyDiv w:val="1"/>
      <w:marLeft w:val="0"/>
      <w:marRight w:val="0"/>
      <w:marTop w:val="0"/>
      <w:marBottom w:val="0"/>
      <w:divBdr>
        <w:top w:val="none" w:sz="0" w:space="0" w:color="auto"/>
        <w:left w:val="none" w:sz="0" w:space="0" w:color="auto"/>
        <w:bottom w:val="none" w:sz="0" w:space="0" w:color="auto"/>
        <w:right w:val="none" w:sz="0" w:space="0" w:color="auto"/>
      </w:divBdr>
    </w:div>
    <w:div w:id="1114013436">
      <w:bodyDiv w:val="1"/>
      <w:marLeft w:val="0"/>
      <w:marRight w:val="0"/>
      <w:marTop w:val="0"/>
      <w:marBottom w:val="0"/>
      <w:divBdr>
        <w:top w:val="none" w:sz="0" w:space="0" w:color="auto"/>
        <w:left w:val="none" w:sz="0" w:space="0" w:color="auto"/>
        <w:bottom w:val="none" w:sz="0" w:space="0" w:color="auto"/>
        <w:right w:val="none" w:sz="0" w:space="0" w:color="auto"/>
      </w:divBdr>
    </w:div>
    <w:div w:id="1114057571">
      <w:bodyDiv w:val="1"/>
      <w:marLeft w:val="0"/>
      <w:marRight w:val="0"/>
      <w:marTop w:val="0"/>
      <w:marBottom w:val="0"/>
      <w:divBdr>
        <w:top w:val="none" w:sz="0" w:space="0" w:color="auto"/>
        <w:left w:val="none" w:sz="0" w:space="0" w:color="auto"/>
        <w:bottom w:val="none" w:sz="0" w:space="0" w:color="auto"/>
        <w:right w:val="none" w:sz="0" w:space="0" w:color="auto"/>
      </w:divBdr>
    </w:div>
    <w:div w:id="1114060490">
      <w:bodyDiv w:val="1"/>
      <w:marLeft w:val="0"/>
      <w:marRight w:val="0"/>
      <w:marTop w:val="0"/>
      <w:marBottom w:val="0"/>
      <w:divBdr>
        <w:top w:val="none" w:sz="0" w:space="0" w:color="auto"/>
        <w:left w:val="none" w:sz="0" w:space="0" w:color="auto"/>
        <w:bottom w:val="none" w:sz="0" w:space="0" w:color="auto"/>
        <w:right w:val="none" w:sz="0" w:space="0" w:color="auto"/>
      </w:divBdr>
    </w:div>
    <w:div w:id="1114131193">
      <w:bodyDiv w:val="1"/>
      <w:marLeft w:val="0"/>
      <w:marRight w:val="0"/>
      <w:marTop w:val="0"/>
      <w:marBottom w:val="0"/>
      <w:divBdr>
        <w:top w:val="none" w:sz="0" w:space="0" w:color="auto"/>
        <w:left w:val="none" w:sz="0" w:space="0" w:color="auto"/>
        <w:bottom w:val="none" w:sz="0" w:space="0" w:color="auto"/>
        <w:right w:val="none" w:sz="0" w:space="0" w:color="auto"/>
      </w:divBdr>
    </w:div>
    <w:div w:id="1114131662">
      <w:bodyDiv w:val="1"/>
      <w:marLeft w:val="0"/>
      <w:marRight w:val="0"/>
      <w:marTop w:val="0"/>
      <w:marBottom w:val="0"/>
      <w:divBdr>
        <w:top w:val="none" w:sz="0" w:space="0" w:color="auto"/>
        <w:left w:val="none" w:sz="0" w:space="0" w:color="auto"/>
        <w:bottom w:val="none" w:sz="0" w:space="0" w:color="auto"/>
        <w:right w:val="none" w:sz="0" w:space="0" w:color="auto"/>
      </w:divBdr>
    </w:div>
    <w:div w:id="1114178451">
      <w:bodyDiv w:val="1"/>
      <w:marLeft w:val="0"/>
      <w:marRight w:val="0"/>
      <w:marTop w:val="0"/>
      <w:marBottom w:val="0"/>
      <w:divBdr>
        <w:top w:val="none" w:sz="0" w:space="0" w:color="auto"/>
        <w:left w:val="none" w:sz="0" w:space="0" w:color="auto"/>
        <w:bottom w:val="none" w:sz="0" w:space="0" w:color="auto"/>
        <w:right w:val="none" w:sz="0" w:space="0" w:color="auto"/>
      </w:divBdr>
    </w:div>
    <w:div w:id="1114246114">
      <w:bodyDiv w:val="1"/>
      <w:marLeft w:val="0"/>
      <w:marRight w:val="0"/>
      <w:marTop w:val="0"/>
      <w:marBottom w:val="0"/>
      <w:divBdr>
        <w:top w:val="none" w:sz="0" w:space="0" w:color="auto"/>
        <w:left w:val="none" w:sz="0" w:space="0" w:color="auto"/>
        <w:bottom w:val="none" w:sz="0" w:space="0" w:color="auto"/>
        <w:right w:val="none" w:sz="0" w:space="0" w:color="auto"/>
      </w:divBdr>
    </w:div>
    <w:div w:id="1114250481">
      <w:bodyDiv w:val="1"/>
      <w:marLeft w:val="0"/>
      <w:marRight w:val="0"/>
      <w:marTop w:val="0"/>
      <w:marBottom w:val="0"/>
      <w:divBdr>
        <w:top w:val="none" w:sz="0" w:space="0" w:color="auto"/>
        <w:left w:val="none" w:sz="0" w:space="0" w:color="auto"/>
        <w:bottom w:val="none" w:sz="0" w:space="0" w:color="auto"/>
        <w:right w:val="none" w:sz="0" w:space="0" w:color="auto"/>
      </w:divBdr>
    </w:div>
    <w:div w:id="1114251532">
      <w:bodyDiv w:val="1"/>
      <w:marLeft w:val="0"/>
      <w:marRight w:val="0"/>
      <w:marTop w:val="0"/>
      <w:marBottom w:val="0"/>
      <w:divBdr>
        <w:top w:val="none" w:sz="0" w:space="0" w:color="auto"/>
        <w:left w:val="none" w:sz="0" w:space="0" w:color="auto"/>
        <w:bottom w:val="none" w:sz="0" w:space="0" w:color="auto"/>
        <w:right w:val="none" w:sz="0" w:space="0" w:color="auto"/>
      </w:divBdr>
    </w:div>
    <w:div w:id="1114324568">
      <w:bodyDiv w:val="1"/>
      <w:marLeft w:val="0"/>
      <w:marRight w:val="0"/>
      <w:marTop w:val="0"/>
      <w:marBottom w:val="0"/>
      <w:divBdr>
        <w:top w:val="none" w:sz="0" w:space="0" w:color="auto"/>
        <w:left w:val="none" w:sz="0" w:space="0" w:color="auto"/>
        <w:bottom w:val="none" w:sz="0" w:space="0" w:color="auto"/>
        <w:right w:val="none" w:sz="0" w:space="0" w:color="auto"/>
      </w:divBdr>
    </w:div>
    <w:div w:id="1114326333">
      <w:bodyDiv w:val="1"/>
      <w:marLeft w:val="0"/>
      <w:marRight w:val="0"/>
      <w:marTop w:val="0"/>
      <w:marBottom w:val="0"/>
      <w:divBdr>
        <w:top w:val="none" w:sz="0" w:space="0" w:color="auto"/>
        <w:left w:val="none" w:sz="0" w:space="0" w:color="auto"/>
        <w:bottom w:val="none" w:sz="0" w:space="0" w:color="auto"/>
        <w:right w:val="none" w:sz="0" w:space="0" w:color="auto"/>
      </w:divBdr>
    </w:div>
    <w:div w:id="1114327471">
      <w:bodyDiv w:val="1"/>
      <w:marLeft w:val="0"/>
      <w:marRight w:val="0"/>
      <w:marTop w:val="0"/>
      <w:marBottom w:val="0"/>
      <w:divBdr>
        <w:top w:val="none" w:sz="0" w:space="0" w:color="auto"/>
        <w:left w:val="none" w:sz="0" w:space="0" w:color="auto"/>
        <w:bottom w:val="none" w:sz="0" w:space="0" w:color="auto"/>
        <w:right w:val="none" w:sz="0" w:space="0" w:color="auto"/>
      </w:divBdr>
    </w:div>
    <w:div w:id="1114398065">
      <w:bodyDiv w:val="1"/>
      <w:marLeft w:val="0"/>
      <w:marRight w:val="0"/>
      <w:marTop w:val="0"/>
      <w:marBottom w:val="0"/>
      <w:divBdr>
        <w:top w:val="none" w:sz="0" w:space="0" w:color="auto"/>
        <w:left w:val="none" w:sz="0" w:space="0" w:color="auto"/>
        <w:bottom w:val="none" w:sz="0" w:space="0" w:color="auto"/>
        <w:right w:val="none" w:sz="0" w:space="0" w:color="auto"/>
      </w:divBdr>
    </w:div>
    <w:div w:id="1114439751">
      <w:bodyDiv w:val="1"/>
      <w:marLeft w:val="0"/>
      <w:marRight w:val="0"/>
      <w:marTop w:val="0"/>
      <w:marBottom w:val="0"/>
      <w:divBdr>
        <w:top w:val="none" w:sz="0" w:space="0" w:color="auto"/>
        <w:left w:val="none" w:sz="0" w:space="0" w:color="auto"/>
        <w:bottom w:val="none" w:sz="0" w:space="0" w:color="auto"/>
        <w:right w:val="none" w:sz="0" w:space="0" w:color="auto"/>
      </w:divBdr>
    </w:div>
    <w:div w:id="1114442903">
      <w:bodyDiv w:val="1"/>
      <w:marLeft w:val="0"/>
      <w:marRight w:val="0"/>
      <w:marTop w:val="0"/>
      <w:marBottom w:val="0"/>
      <w:divBdr>
        <w:top w:val="none" w:sz="0" w:space="0" w:color="auto"/>
        <w:left w:val="none" w:sz="0" w:space="0" w:color="auto"/>
        <w:bottom w:val="none" w:sz="0" w:space="0" w:color="auto"/>
        <w:right w:val="none" w:sz="0" w:space="0" w:color="auto"/>
      </w:divBdr>
    </w:div>
    <w:div w:id="1114519092">
      <w:bodyDiv w:val="1"/>
      <w:marLeft w:val="0"/>
      <w:marRight w:val="0"/>
      <w:marTop w:val="0"/>
      <w:marBottom w:val="0"/>
      <w:divBdr>
        <w:top w:val="none" w:sz="0" w:space="0" w:color="auto"/>
        <w:left w:val="none" w:sz="0" w:space="0" w:color="auto"/>
        <w:bottom w:val="none" w:sz="0" w:space="0" w:color="auto"/>
        <w:right w:val="none" w:sz="0" w:space="0" w:color="auto"/>
      </w:divBdr>
    </w:div>
    <w:div w:id="1114522517">
      <w:bodyDiv w:val="1"/>
      <w:marLeft w:val="0"/>
      <w:marRight w:val="0"/>
      <w:marTop w:val="0"/>
      <w:marBottom w:val="0"/>
      <w:divBdr>
        <w:top w:val="none" w:sz="0" w:space="0" w:color="auto"/>
        <w:left w:val="none" w:sz="0" w:space="0" w:color="auto"/>
        <w:bottom w:val="none" w:sz="0" w:space="0" w:color="auto"/>
        <w:right w:val="none" w:sz="0" w:space="0" w:color="auto"/>
      </w:divBdr>
    </w:div>
    <w:div w:id="1114522638">
      <w:bodyDiv w:val="1"/>
      <w:marLeft w:val="0"/>
      <w:marRight w:val="0"/>
      <w:marTop w:val="0"/>
      <w:marBottom w:val="0"/>
      <w:divBdr>
        <w:top w:val="none" w:sz="0" w:space="0" w:color="auto"/>
        <w:left w:val="none" w:sz="0" w:space="0" w:color="auto"/>
        <w:bottom w:val="none" w:sz="0" w:space="0" w:color="auto"/>
        <w:right w:val="none" w:sz="0" w:space="0" w:color="auto"/>
      </w:divBdr>
    </w:div>
    <w:div w:id="1114862441">
      <w:bodyDiv w:val="1"/>
      <w:marLeft w:val="0"/>
      <w:marRight w:val="0"/>
      <w:marTop w:val="0"/>
      <w:marBottom w:val="0"/>
      <w:divBdr>
        <w:top w:val="none" w:sz="0" w:space="0" w:color="auto"/>
        <w:left w:val="none" w:sz="0" w:space="0" w:color="auto"/>
        <w:bottom w:val="none" w:sz="0" w:space="0" w:color="auto"/>
        <w:right w:val="none" w:sz="0" w:space="0" w:color="auto"/>
      </w:divBdr>
    </w:div>
    <w:div w:id="1114981064">
      <w:bodyDiv w:val="1"/>
      <w:marLeft w:val="0"/>
      <w:marRight w:val="0"/>
      <w:marTop w:val="0"/>
      <w:marBottom w:val="0"/>
      <w:divBdr>
        <w:top w:val="none" w:sz="0" w:space="0" w:color="auto"/>
        <w:left w:val="none" w:sz="0" w:space="0" w:color="auto"/>
        <w:bottom w:val="none" w:sz="0" w:space="0" w:color="auto"/>
        <w:right w:val="none" w:sz="0" w:space="0" w:color="auto"/>
      </w:divBdr>
    </w:div>
    <w:div w:id="1114984968">
      <w:bodyDiv w:val="1"/>
      <w:marLeft w:val="0"/>
      <w:marRight w:val="0"/>
      <w:marTop w:val="0"/>
      <w:marBottom w:val="0"/>
      <w:divBdr>
        <w:top w:val="none" w:sz="0" w:space="0" w:color="auto"/>
        <w:left w:val="none" w:sz="0" w:space="0" w:color="auto"/>
        <w:bottom w:val="none" w:sz="0" w:space="0" w:color="auto"/>
        <w:right w:val="none" w:sz="0" w:space="0" w:color="auto"/>
      </w:divBdr>
    </w:div>
    <w:div w:id="1115060220">
      <w:bodyDiv w:val="1"/>
      <w:marLeft w:val="0"/>
      <w:marRight w:val="0"/>
      <w:marTop w:val="0"/>
      <w:marBottom w:val="0"/>
      <w:divBdr>
        <w:top w:val="none" w:sz="0" w:space="0" w:color="auto"/>
        <w:left w:val="none" w:sz="0" w:space="0" w:color="auto"/>
        <w:bottom w:val="none" w:sz="0" w:space="0" w:color="auto"/>
        <w:right w:val="none" w:sz="0" w:space="0" w:color="auto"/>
      </w:divBdr>
    </w:div>
    <w:div w:id="1115172892">
      <w:bodyDiv w:val="1"/>
      <w:marLeft w:val="0"/>
      <w:marRight w:val="0"/>
      <w:marTop w:val="0"/>
      <w:marBottom w:val="0"/>
      <w:divBdr>
        <w:top w:val="none" w:sz="0" w:space="0" w:color="auto"/>
        <w:left w:val="none" w:sz="0" w:space="0" w:color="auto"/>
        <w:bottom w:val="none" w:sz="0" w:space="0" w:color="auto"/>
        <w:right w:val="none" w:sz="0" w:space="0" w:color="auto"/>
      </w:divBdr>
    </w:div>
    <w:div w:id="1115247186">
      <w:bodyDiv w:val="1"/>
      <w:marLeft w:val="0"/>
      <w:marRight w:val="0"/>
      <w:marTop w:val="0"/>
      <w:marBottom w:val="0"/>
      <w:divBdr>
        <w:top w:val="none" w:sz="0" w:space="0" w:color="auto"/>
        <w:left w:val="none" w:sz="0" w:space="0" w:color="auto"/>
        <w:bottom w:val="none" w:sz="0" w:space="0" w:color="auto"/>
        <w:right w:val="none" w:sz="0" w:space="0" w:color="auto"/>
      </w:divBdr>
    </w:div>
    <w:div w:id="1115247452">
      <w:bodyDiv w:val="1"/>
      <w:marLeft w:val="0"/>
      <w:marRight w:val="0"/>
      <w:marTop w:val="0"/>
      <w:marBottom w:val="0"/>
      <w:divBdr>
        <w:top w:val="none" w:sz="0" w:space="0" w:color="auto"/>
        <w:left w:val="none" w:sz="0" w:space="0" w:color="auto"/>
        <w:bottom w:val="none" w:sz="0" w:space="0" w:color="auto"/>
        <w:right w:val="none" w:sz="0" w:space="0" w:color="auto"/>
      </w:divBdr>
    </w:div>
    <w:div w:id="1115324389">
      <w:bodyDiv w:val="1"/>
      <w:marLeft w:val="0"/>
      <w:marRight w:val="0"/>
      <w:marTop w:val="0"/>
      <w:marBottom w:val="0"/>
      <w:divBdr>
        <w:top w:val="none" w:sz="0" w:space="0" w:color="auto"/>
        <w:left w:val="none" w:sz="0" w:space="0" w:color="auto"/>
        <w:bottom w:val="none" w:sz="0" w:space="0" w:color="auto"/>
        <w:right w:val="none" w:sz="0" w:space="0" w:color="auto"/>
      </w:divBdr>
    </w:div>
    <w:div w:id="1115363430">
      <w:bodyDiv w:val="1"/>
      <w:marLeft w:val="0"/>
      <w:marRight w:val="0"/>
      <w:marTop w:val="0"/>
      <w:marBottom w:val="0"/>
      <w:divBdr>
        <w:top w:val="none" w:sz="0" w:space="0" w:color="auto"/>
        <w:left w:val="none" w:sz="0" w:space="0" w:color="auto"/>
        <w:bottom w:val="none" w:sz="0" w:space="0" w:color="auto"/>
        <w:right w:val="none" w:sz="0" w:space="0" w:color="auto"/>
      </w:divBdr>
    </w:div>
    <w:div w:id="1115366683">
      <w:bodyDiv w:val="1"/>
      <w:marLeft w:val="0"/>
      <w:marRight w:val="0"/>
      <w:marTop w:val="0"/>
      <w:marBottom w:val="0"/>
      <w:divBdr>
        <w:top w:val="none" w:sz="0" w:space="0" w:color="auto"/>
        <w:left w:val="none" w:sz="0" w:space="0" w:color="auto"/>
        <w:bottom w:val="none" w:sz="0" w:space="0" w:color="auto"/>
        <w:right w:val="none" w:sz="0" w:space="0" w:color="auto"/>
      </w:divBdr>
    </w:div>
    <w:div w:id="1115447921">
      <w:bodyDiv w:val="1"/>
      <w:marLeft w:val="0"/>
      <w:marRight w:val="0"/>
      <w:marTop w:val="0"/>
      <w:marBottom w:val="0"/>
      <w:divBdr>
        <w:top w:val="none" w:sz="0" w:space="0" w:color="auto"/>
        <w:left w:val="none" w:sz="0" w:space="0" w:color="auto"/>
        <w:bottom w:val="none" w:sz="0" w:space="0" w:color="auto"/>
        <w:right w:val="none" w:sz="0" w:space="0" w:color="auto"/>
      </w:divBdr>
    </w:div>
    <w:div w:id="1115631971">
      <w:bodyDiv w:val="1"/>
      <w:marLeft w:val="0"/>
      <w:marRight w:val="0"/>
      <w:marTop w:val="0"/>
      <w:marBottom w:val="0"/>
      <w:divBdr>
        <w:top w:val="none" w:sz="0" w:space="0" w:color="auto"/>
        <w:left w:val="none" w:sz="0" w:space="0" w:color="auto"/>
        <w:bottom w:val="none" w:sz="0" w:space="0" w:color="auto"/>
        <w:right w:val="none" w:sz="0" w:space="0" w:color="auto"/>
      </w:divBdr>
    </w:div>
    <w:div w:id="1115635430">
      <w:bodyDiv w:val="1"/>
      <w:marLeft w:val="0"/>
      <w:marRight w:val="0"/>
      <w:marTop w:val="0"/>
      <w:marBottom w:val="0"/>
      <w:divBdr>
        <w:top w:val="none" w:sz="0" w:space="0" w:color="auto"/>
        <w:left w:val="none" w:sz="0" w:space="0" w:color="auto"/>
        <w:bottom w:val="none" w:sz="0" w:space="0" w:color="auto"/>
        <w:right w:val="none" w:sz="0" w:space="0" w:color="auto"/>
      </w:divBdr>
    </w:div>
    <w:div w:id="1115636037">
      <w:bodyDiv w:val="1"/>
      <w:marLeft w:val="0"/>
      <w:marRight w:val="0"/>
      <w:marTop w:val="0"/>
      <w:marBottom w:val="0"/>
      <w:divBdr>
        <w:top w:val="none" w:sz="0" w:space="0" w:color="auto"/>
        <w:left w:val="none" w:sz="0" w:space="0" w:color="auto"/>
        <w:bottom w:val="none" w:sz="0" w:space="0" w:color="auto"/>
        <w:right w:val="none" w:sz="0" w:space="0" w:color="auto"/>
      </w:divBdr>
    </w:div>
    <w:div w:id="1115751139">
      <w:bodyDiv w:val="1"/>
      <w:marLeft w:val="0"/>
      <w:marRight w:val="0"/>
      <w:marTop w:val="0"/>
      <w:marBottom w:val="0"/>
      <w:divBdr>
        <w:top w:val="none" w:sz="0" w:space="0" w:color="auto"/>
        <w:left w:val="none" w:sz="0" w:space="0" w:color="auto"/>
        <w:bottom w:val="none" w:sz="0" w:space="0" w:color="auto"/>
        <w:right w:val="none" w:sz="0" w:space="0" w:color="auto"/>
      </w:divBdr>
    </w:div>
    <w:div w:id="1115755302">
      <w:bodyDiv w:val="1"/>
      <w:marLeft w:val="0"/>
      <w:marRight w:val="0"/>
      <w:marTop w:val="0"/>
      <w:marBottom w:val="0"/>
      <w:divBdr>
        <w:top w:val="none" w:sz="0" w:space="0" w:color="auto"/>
        <w:left w:val="none" w:sz="0" w:space="0" w:color="auto"/>
        <w:bottom w:val="none" w:sz="0" w:space="0" w:color="auto"/>
        <w:right w:val="none" w:sz="0" w:space="0" w:color="auto"/>
      </w:divBdr>
    </w:div>
    <w:div w:id="1115829001">
      <w:bodyDiv w:val="1"/>
      <w:marLeft w:val="0"/>
      <w:marRight w:val="0"/>
      <w:marTop w:val="0"/>
      <w:marBottom w:val="0"/>
      <w:divBdr>
        <w:top w:val="none" w:sz="0" w:space="0" w:color="auto"/>
        <w:left w:val="none" w:sz="0" w:space="0" w:color="auto"/>
        <w:bottom w:val="none" w:sz="0" w:space="0" w:color="auto"/>
        <w:right w:val="none" w:sz="0" w:space="0" w:color="auto"/>
      </w:divBdr>
    </w:div>
    <w:div w:id="1115830290">
      <w:bodyDiv w:val="1"/>
      <w:marLeft w:val="0"/>
      <w:marRight w:val="0"/>
      <w:marTop w:val="0"/>
      <w:marBottom w:val="0"/>
      <w:divBdr>
        <w:top w:val="none" w:sz="0" w:space="0" w:color="auto"/>
        <w:left w:val="none" w:sz="0" w:space="0" w:color="auto"/>
        <w:bottom w:val="none" w:sz="0" w:space="0" w:color="auto"/>
        <w:right w:val="none" w:sz="0" w:space="0" w:color="auto"/>
      </w:divBdr>
    </w:div>
    <w:div w:id="1115831247">
      <w:bodyDiv w:val="1"/>
      <w:marLeft w:val="0"/>
      <w:marRight w:val="0"/>
      <w:marTop w:val="0"/>
      <w:marBottom w:val="0"/>
      <w:divBdr>
        <w:top w:val="none" w:sz="0" w:space="0" w:color="auto"/>
        <w:left w:val="none" w:sz="0" w:space="0" w:color="auto"/>
        <w:bottom w:val="none" w:sz="0" w:space="0" w:color="auto"/>
        <w:right w:val="none" w:sz="0" w:space="0" w:color="auto"/>
      </w:divBdr>
    </w:div>
    <w:div w:id="1115832716">
      <w:bodyDiv w:val="1"/>
      <w:marLeft w:val="0"/>
      <w:marRight w:val="0"/>
      <w:marTop w:val="0"/>
      <w:marBottom w:val="0"/>
      <w:divBdr>
        <w:top w:val="none" w:sz="0" w:space="0" w:color="auto"/>
        <w:left w:val="none" w:sz="0" w:space="0" w:color="auto"/>
        <w:bottom w:val="none" w:sz="0" w:space="0" w:color="auto"/>
        <w:right w:val="none" w:sz="0" w:space="0" w:color="auto"/>
      </w:divBdr>
    </w:div>
    <w:div w:id="1115950965">
      <w:bodyDiv w:val="1"/>
      <w:marLeft w:val="0"/>
      <w:marRight w:val="0"/>
      <w:marTop w:val="0"/>
      <w:marBottom w:val="0"/>
      <w:divBdr>
        <w:top w:val="none" w:sz="0" w:space="0" w:color="auto"/>
        <w:left w:val="none" w:sz="0" w:space="0" w:color="auto"/>
        <w:bottom w:val="none" w:sz="0" w:space="0" w:color="auto"/>
        <w:right w:val="none" w:sz="0" w:space="0" w:color="auto"/>
      </w:divBdr>
    </w:div>
    <w:div w:id="1115951202">
      <w:bodyDiv w:val="1"/>
      <w:marLeft w:val="0"/>
      <w:marRight w:val="0"/>
      <w:marTop w:val="0"/>
      <w:marBottom w:val="0"/>
      <w:divBdr>
        <w:top w:val="none" w:sz="0" w:space="0" w:color="auto"/>
        <w:left w:val="none" w:sz="0" w:space="0" w:color="auto"/>
        <w:bottom w:val="none" w:sz="0" w:space="0" w:color="auto"/>
        <w:right w:val="none" w:sz="0" w:space="0" w:color="auto"/>
      </w:divBdr>
    </w:div>
    <w:div w:id="1115978469">
      <w:bodyDiv w:val="1"/>
      <w:marLeft w:val="0"/>
      <w:marRight w:val="0"/>
      <w:marTop w:val="0"/>
      <w:marBottom w:val="0"/>
      <w:divBdr>
        <w:top w:val="none" w:sz="0" w:space="0" w:color="auto"/>
        <w:left w:val="none" w:sz="0" w:space="0" w:color="auto"/>
        <w:bottom w:val="none" w:sz="0" w:space="0" w:color="auto"/>
        <w:right w:val="none" w:sz="0" w:space="0" w:color="auto"/>
      </w:divBdr>
    </w:div>
    <w:div w:id="1116145304">
      <w:bodyDiv w:val="1"/>
      <w:marLeft w:val="0"/>
      <w:marRight w:val="0"/>
      <w:marTop w:val="0"/>
      <w:marBottom w:val="0"/>
      <w:divBdr>
        <w:top w:val="none" w:sz="0" w:space="0" w:color="auto"/>
        <w:left w:val="none" w:sz="0" w:space="0" w:color="auto"/>
        <w:bottom w:val="none" w:sz="0" w:space="0" w:color="auto"/>
        <w:right w:val="none" w:sz="0" w:space="0" w:color="auto"/>
      </w:divBdr>
    </w:div>
    <w:div w:id="1116291600">
      <w:bodyDiv w:val="1"/>
      <w:marLeft w:val="0"/>
      <w:marRight w:val="0"/>
      <w:marTop w:val="0"/>
      <w:marBottom w:val="0"/>
      <w:divBdr>
        <w:top w:val="none" w:sz="0" w:space="0" w:color="auto"/>
        <w:left w:val="none" w:sz="0" w:space="0" w:color="auto"/>
        <w:bottom w:val="none" w:sz="0" w:space="0" w:color="auto"/>
        <w:right w:val="none" w:sz="0" w:space="0" w:color="auto"/>
      </w:divBdr>
    </w:div>
    <w:div w:id="1116558549">
      <w:bodyDiv w:val="1"/>
      <w:marLeft w:val="0"/>
      <w:marRight w:val="0"/>
      <w:marTop w:val="0"/>
      <w:marBottom w:val="0"/>
      <w:divBdr>
        <w:top w:val="none" w:sz="0" w:space="0" w:color="auto"/>
        <w:left w:val="none" w:sz="0" w:space="0" w:color="auto"/>
        <w:bottom w:val="none" w:sz="0" w:space="0" w:color="auto"/>
        <w:right w:val="none" w:sz="0" w:space="0" w:color="auto"/>
      </w:divBdr>
    </w:div>
    <w:div w:id="1116603524">
      <w:bodyDiv w:val="1"/>
      <w:marLeft w:val="0"/>
      <w:marRight w:val="0"/>
      <w:marTop w:val="0"/>
      <w:marBottom w:val="0"/>
      <w:divBdr>
        <w:top w:val="none" w:sz="0" w:space="0" w:color="auto"/>
        <w:left w:val="none" w:sz="0" w:space="0" w:color="auto"/>
        <w:bottom w:val="none" w:sz="0" w:space="0" w:color="auto"/>
        <w:right w:val="none" w:sz="0" w:space="0" w:color="auto"/>
      </w:divBdr>
    </w:div>
    <w:div w:id="1116753841">
      <w:bodyDiv w:val="1"/>
      <w:marLeft w:val="0"/>
      <w:marRight w:val="0"/>
      <w:marTop w:val="0"/>
      <w:marBottom w:val="0"/>
      <w:divBdr>
        <w:top w:val="none" w:sz="0" w:space="0" w:color="auto"/>
        <w:left w:val="none" w:sz="0" w:space="0" w:color="auto"/>
        <w:bottom w:val="none" w:sz="0" w:space="0" w:color="auto"/>
        <w:right w:val="none" w:sz="0" w:space="0" w:color="auto"/>
      </w:divBdr>
    </w:div>
    <w:div w:id="1116755376">
      <w:bodyDiv w:val="1"/>
      <w:marLeft w:val="0"/>
      <w:marRight w:val="0"/>
      <w:marTop w:val="0"/>
      <w:marBottom w:val="0"/>
      <w:divBdr>
        <w:top w:val="none" w:sz="0" w:space="0" w:color="auto"/>
        <w:left w:val="none" w:sz="0" w:space="0" w:color="auto"/>
        <w:bottom w:val="none" w:sz="0" w:space="0" w:color="auto"/>
        <w:right w:val="none" w:sz="0" w:space="0" w:color="auto"/>
      </w:divBdr>
    </w:div>
    <w:div w:id="1116825740">
      <w:bodyDiv w:val="1"/>
      <w:marLeft w:val="0"/>
      <w:marRight w:val="0"/>
      <w:marTop w:val="0"/>
      <w:marBottom w:val="0"/>
      <w:divBdr>
        <w:top w:val="none" w:sz="0" w:space="0" w:color="auto"/>
        <w:left w:val="none" w:sz="0" w:space="0" w:color="auto"/>
        <w:bottom w:val="none" w:sz="0" w:space="0" w:color="auto"/>
        <w:right w:val="none" w:sz="0" w:space="0" w:color="auto"/>
      </w:divBdr>
    </w:div>
    <w:div w:id="1117024878">
      <w:bodyDiv w:val="1"/>
      <w:marLeft w:val="0"/>
      <w:marRight w:val="0"/>
      <w:marTop w:val="0"/>
      <w:marBottom w:val="0"/>
      <w:divBdr>
        <w:top w:val="none" w:sz="0" w:space="0" w:color="auto"/>
        <w:left w:val="none" w:sz="0" w:space="0" w:color="auto"/>
        <w:bottom w:val="none" w:sz="0" w:space="0" w:color="auto"/>
        <w:right w:val="none" w:sz="0" w:space="0" w:color="auto"/>
      </w:divBdr>
    </w:div>
    <w:div w:id="1117093719">
      <w:bodyDiv w:val="1"/>
      <w:marLeft w:val="0"/>
      <w:marRight w:val="0"/>
      <w:marTop w:val="0"/>
      <w:marBottom w:val="0"/>
      <w:divBdr>
        <w:top w:val="none" w:sz="0" w:space="0" w:color="auto"/>
        <w:left w:val="none" w:sz="0" w:space="0" w:color="auto"/>
        <w:bottom w:val="none" w:sz="0" w:space="0" w:color="auto"/>
        <w:right w:val="none" w:sz="0" w:space="0" w:color="auto"/>
      </w:divBdr>
    </w:div>
    <w:div w:id="1117212863">
      <w:bodyDiv w:val="1"/>
      <w:marLeft w:val="0"/>
      <w:marRight w:val="0"/>
      <w:marTop w:val="0"/>
      <w:marBottom w:val="0"/>
      <w:divBdr>
        <w:top w:val="none" w:sz="0" w:space="0" w:color="auto"/>
        <w:left w:val="none" w:sz="0" w:space="0" w:color="auto"/>
        <w:bottom w:val="none" w:sz="0" w:space="0" w:color="auto"/>
        <w:right w:val="none" w:sz="0" w:space="0" w:color="auto"/>
      </w:divBdr>
    </w:div>
    <w:div w:id="1117289753">
      <w:bodyDiv w:val="1"/>
      <w:marLeft w:val="0"/>
      <w:marRight w:val="0"/>
      <w:marTop w:val="0"/>
      <w:marBottom w:val="0"/>
      <w:divBdr>
        <w:top w:val="none" w:sz="0" w:space="0" w:color="auto"/>
        <w:left w:val="none" w:sz="0" w:space="0" w:color="auto"/>
        <w:bottom w:val="none" w:sz="0" w:space="0" w:color="auto"/>
        <w:right w:val="none" w:sz="0" w:space="0" w:color="auto"/>
      </w:divBdr>
    </w:div>
    <w:div w:id="1117405122">
      <w:bodyDiv w:val="1"/>
      <w:marLeft w:val="0"/>
      <w:marRight w:val="0"/>
      <w:marTop w:val="0"/>
      <w:marBottom w:val="0"/>
      <w:divBdr>
        <w:top w:val="none" w:sz="0" w:space="0" w:color="auto"/>
        <w:left w:val="none" w:sz="0" w:space="0" w:color="auto"/>
        <w:bottom w:val="none" w:sz="0" w:space="0" w:color="auto"/>
        <w:right w:val="none" w:sz="0" w:space="0" w:color="auto"/>
      </w:divBdr>
    </w:div>
    <w:div w:id="1117406233">
      <w:bodyDiv w:val="1"/>
      <w:marLeft w:val="0"/>
      <w:marRight w:val="0"/>
      <w:marTop w:val="0"/>
      <w:marBottom w:val="0"/>
      <w:divBdr>
        <w:top w:val="none" w:sz="0" w:space="0" w:color="auto"/>
        <w:left w:val="none" w:sz="0" w:space="0" w:color="auto"/>
        <w:bottom w:val="none" w:sz="0" w:space="0" w:color="auto"/>
        <w:right w:val="none" w:sz="0" w:space="0" w:color="auto"/>
      </w:divBdr>
    </w:div>
    <w:div w:id="1117412457">
      <w:bodyDiv w:val="1"/>
      <w:marLeft w:val="0"/>
      <w:marRight w:val="0"/>
      <w:marTop w:val="0"/>
      <w:marBottom w:val="0"/>
      <w:divBdr>
        <w:top w:val="none" w:sz="0" w:space="0" w:color="auto"/>
        <w:left w:val="none" w:sz="0" w:space="0" w:color="auto"/>
        <w:bottom w:val="none" w:sz="0" w:space="0" w:color="auto"/>
        <w:right w:val="none" w:sz="0" w:space="0" w:color="auto"/>
      </w:divBdr>
    </w:div>
    <w:div w:id="1117456493">
      <w:bodyDiv w:val="1"/>
      <w:marLeft w:val="0"/>
      <w:marRight w:val="0"/>
      <w:marTop w:val="0"/>
      <w:marBottom w:val="0"/>
      <w:divBdr>
        <w:top w:val="none" w:sz="0" w:space="0" w:color="auto"/>
        <w:left w:val="none" w:sz="0" w:space="0" w:color="auto"/>
        <w:bottom w:val="none" w:sz="0" w:space="0" w:color="auto"/>
        <w:right w:val="none" w:sz="0" w:space="0" w:color="auto"/>
      </w:divBdr>
    </w:div>
    <w:div w:id="1117483150">
      <w:bodyDiv w:val="1"/>
      <w:marLeft w:val="0"/>
      <w:marRight w:val="0"/>
      <w:marTop w:val="0"/>
      <w:marBottom w:val="0"/>
      <w:divBdr>
        <w:top w:val="none" w:sz="0" w:space="0" w:color="auto"/>
        <w:left w:val="none" w:sz="0" w:space="0" w:color="auto"/>
        <w:bottom w:val="none" w:sz="0" w:space="0" w:color="auto"/>
        <w:right w:val="none" w:sz="0" w:space="0" w:color="auto"/>
      </w:divBdr>
    </w:div>
    <w:div w:id="1117483599">
      <w:bodyDiv w:val="1"/>
      <w:marLeft w:val="0"/>
      <w:marRight w:val="0"/>
      <w:marTop w:val="0"/>
      <w:marBottom w:val="0"/>
      <w:divBdr>
        <w:top w:val="none" w:sz="0" w:space="0" w:color="auto"/>
        <w:left w:val="none" w:sz="0" w:space="0" w:color="auto"/>
        <w:bottom w:val="none" w:sz="0" w:space="0" w:color="auto"/>
        <w:right w:val="none" w:sz="0" w:space="0" w:color="auto"/>
      </w:divBdr>
    </w:div>
    <w:div w:id="1117524826">
      <w:bodyDiv w:val="1"/>
      <w:marLeft w:val="0"/>
      <w:marRight w:val="0"/>
      <w:marTop w:val="0"/>
      <w:marBottom w:val="0"/>
      <w:divBdr>
        <w:top w:val="none" w:sz="0" w:space="0" w:color="auto"/>
        <w:left w:val="none" w:sz="0" w:space="0" w:color="auto"/>
        <w:bottom w:val="none" w:sz="0" w:space="0" w:color="auto"/>
        <w:right w:val="none" w:sz="0" w:space="0" w:color="auto"/>
      </w:divBdr>
    </w:div>
    <w:div w:id="1117795632">
      <w:bodyDiv w:val="1"/>
      <w:marLeft w:val="0"/>
      <w:marRight w:val="0"/>
      <w:marTop w:val="0"/>
      <w:marBottom w:val="0"/>
      <w:divBdr>
        <w:top w:val="none" w:sz="0" w:space="0" w:color="auto"/>
        <w:left w:val="none" w:sz="0" w:space="0" w:color="auto"/>
        <w:bottom w:val="none" w:sz="0" w:space="0" w:color="auto"/>
        <w:right w:val="none" w:sz="0" w:space="0" w:color="auto"/>
      </w:divBdr>
    </w:div>
    <w:div w:id="1117943572">
      <w:bodyDiv w:val="1"/>
      <w:marLeft w:val="0"/>
      <w:marRight w:val="0"/>
      <w:marTop w:val="0"/>
      <w:marBottom w:val="0"/>
      <w:divBdr>
        <w:top w:val="none" w:sz="0" w:space="0" w:color="auto"/>
        <w:left w:val="none" w:sz="0" w:space="0" w:color="auto"/>
        <w:bottom w:val="none" w:sz="0" w:space="0" w:color="auto"/>
        <w:right w:val="none" w:sz="0" w:space="0" w:color="auto"/>
      </w:divBdr>
    </w:div>
    <w:div w:id="1118061818">
      <w:bodyDiv w:val="1"/>
      <w:marLeft w:val="0"/>
      <w:marRight w:val="0"/>
      <w:marTop w:val="0"/>
      <w:marBottom w:val="0"/>
      <w:divBdr>
        <w:top w:val="none" w:sz="0" w:space="0" w:color="auto"/>
        <w:left w:val="none" w:sz="0" w:space="0" w:color="auto"/>
        <w:bottom w:val="none" w:sz="0" w:space="0" w:color="auto"/>
        <w:right w:val="none" w:sz="0" w:space="0" w:color="auto"/>
      </w:divBdr>
    </w:div>
    <w:div w:id="1118183992">
      <w:bodyDiv w:val="1"/>
      <w:marLeft w:val="0"/>
      <w:marRight w:val="0"/>
      <w:marTop w:val="0"/>
      <w:marBottom w:val="0"/>
      <w:divBdr>
        <w:top w:val="none" w:sz="0" w:space="0" w:color="auto"/>
        <w:left w:val="none" w:sz="0" w:space="0" w:color="auto"/>
        <w:bottom w:val="none" w:sz="0" w:space="0" w:color="auto"/>
        <w:right w:val="none" w:sz="0" w:space="0" w:color="auto"/>
      </w:divBdr>
    </w:div>
    <w:div w:id="1118328427">
      <w:bodyDiv w:val="1"/>
      <w:marLeft w:val="0"/>
      <w:marRight w:val="0"/>
      <w:marTop w:val="0"/>
      <w:marBottom w:val="0"/>
      <w:divBdr>
        <w:top w:val="none" w:sz="0" w:space="0" w:color="auto"/>
        <w:left w:val="none" w:sz="0" w:space="0" w:color="auto"/>
        <w:bottom w:val="none" w:sz="0" w:space="0" w:color="auto"/>
        <w:right w:val="none" w:sz="0" w:space="0" w:color="auto"/>
      </w:divBdr>
    </w:div>
    <w:div w:id="1118449386">
      <w:bodyDiv w:val="1"/>
      <w:marLeft w:val="0"/>
      <w:marRight w:val="0"/>
      <w:marTop w:val="0"/>
      <w:marBottom w:val="0"/>
      <w:divBdr>
        <w:top w:val="none" w:sz="0" w:space="0" w:color="auto"/>
        <w:left w:val="none" w:sz="0" w:space="0" w:color="auto"/>
        <w:bottom w:val="none" w:sz="0" w:space="0" w:color="auto"/>
        <w:right w:val="none" w:sz="0" w:space="0" w:color="auto"/>
      </w:divBdr>
    </w:div>
    <w:div w:id="1118450628">
      <w:bodyDiv w:val="1"/>
      <w:marLeft w:val="0"/>
      <w:marRight w:val="0"/>
      <w:marTop w:val="0"/>
      <w:marBottom w:val="0"/>
      <w:divBdr>
        <w:top w:val="none" w:sz="0" w:space="0" w:color="auto"/>
        <w:left w:val="none" w:sz="0" w:space="0" w:color="auto"/>
        <w:bottom w:val="none" w:sz="0" w:space="0" w:color="auto"/>
        <w:right w:val="none" w:sz="0" w:space="0" w:color="auto"/>
      </w:divBdr>
    </w:div>
    <w:div w:id="1118568706">
      <w:bodyDiv w:val="1"/>
      <w:marLeft w:val="0"/>
      <w:marRight w:val="0"/>
      <w:marTop w:val="0"/>
      <w:marBottom w:val="0"/>
      <w:divBdr>
        <w:top w:val="none" w:sz="0" w:space="0" w:color="auto"/>
        <w:left w:val="none" w:sz="0" w:space="0" w:color="auto"/>
        <w:bottom w:val="none" w:sz="0" w:space="0" w:color="auto"/>
        <w:right w:val="none" w:sz="0" w:space="0" w:color="auto"/>
      </w:divBdr>
    </w:div>
    <w:div w:id="1118572252">
      <w:bodyDiv w:val="1"/>
      <w:marLeft w:val="0"/>
      <w:marRight w:val="0"/>
      <w:marTop w:val="0"/>
      <w:marBottom w:val="0"/>
      <w:divBdr>
        <w:top w:val="none" w:sz="0" w:space="0" w:color="auto"/>
        <w:left w:val="none" w:sz="0" w:space="0" w:color="auto"/>
        <w:bottom w:val="none" w:sz="0" w:space="0" w:color="auto"/>
        <w:right w:val="none" w:sz="0" w:space="0" w:color="auto"/>
      </w:divBdr>
    </w:div>
    <w:div w:id="1118599555">
      <w:bodyDiv w:val="1"/>
      <w:marLeft w:val="0"/>
      <w:marRight w:val="0"/>
      <w:marTop w:val="0"/>
      <w:marBottom w:val="0"/>
      <w:divBdr>
        <w:top w:val="none" w:sz="0" w:space="0" w:color="auto"/>
        <w:left w:val="none" w:sz="0" w:space="0" w:color="auto"/>
        <w:bottom w:val="none" w:sz="0" w:space="0" w:color="auto"/>
        <w:right w:val="none" w:sz="0" w:space="0" w:color="auto"/>
      </w:divBdr>
    </w:div>
    <w:div w:id="1118719462">
      <w:bodyDiv w:val="1"/>
      <w:marLeft w:val="0"/>
      <w:marRight w:val="0"/>
      <w:marTop w:val="0"/>
      <w:marBottom w:val="0"/>
      <w:divBdr>
        <w:top w:val="none" w:sz="0" w:space="0" w:color="auto"/>
        <w:left w:val="none" w:sz="0" w:space="0" w:color="auto"/>
        <w:bottom w:val="none" w:sz="0" w:space="0" w:color="auto"/>
        <w:right w:val="none" w:sz="0" w:space="0" w:color="auto"/>
      </w:divBdr>
    </w:div>
    <w:div w:id="1118721858">
      <w:bodyDiv w:val="1"/>
      <w:marLeft w:val="0"/>
      <w:marRight w:val="0"/>
      <w:marTop w:val="0"/>
      <w:marBottom w:val="0"/>
      <w:divBdr>
        <w:top w:val="none" w:sz="0" w:space="0" w:color="auto"/>
        <w:left w:val="none" w:sz="0" w:space="0" w:color="auto"/>
        <w:bottom w:val="none" w:sz="0" w:space="0" w:color="auto"/>
        <w:right w:val="none" w:sz="0" w:space="0" w:color="auto"/>
      </w:divBdr>
    </w:div>
    <w:div w:id="1118766292">
      <w:bodyDiv w:val="1"/>
      <w:marLeft w:val="0"/>
      <w:marRight w:val="0"/>
      <w:marTop w:val="0"/>
      <w:marBottom w:val="0"/>
      <w:divBdr>
        <w:top w:val="none" w:sz="0" w:space="0" w:color="auto"/>
        <w:left w:val="none" w:sz="0" w:space="0" w:color="auto"/>
        <w:bottom w:val="none" w:sz="0" w:space="0" w:color="auto"/>
        <w:right w:val="none" w:sz="0" w:space="0" w:color="auto"/>
      </w:divBdr>
    </w:div>
    <w:div w:id="1118990123">
      <w:bodyDiv w:val="1"/>
      <w:marLeft w:val="0"/>
      <w:marRight w:val="0"/>
      <w:marTop w:val="0"/>
      <w:marBottom w:val="0"/>
      <w:divBdr>
        <w:top w:val="none" w:sz="0" w:space="0" w:color="auto"/>
        <w:left w:val="none" w:sz="0" w:space="0" w:color="auto"/>
        <w:bottom w:val="none" w:sz="0" w:space="0" w:color="auto"/>
        <w:right w:val="none" w:sz="0" w:space="0" w:color="auto"/>
      </w:divBdr>
    </w:div>
    <w:div w:id="1119177388">
      <w:bodyDiv w:val="1"/>
      <w:marLeft w:val="0"/>
      <w:marRight w:val="0"/>
      <w:marTop w:val="0"/>
      <w:marBottom w:val="0"/>
      <w:divBdr>
        <w:top w:val="none" w:sz="0" w:space="0" w:color="auto"/>
        <w:left w:val="none" w:sz="0" w:space="0" w:color="auto"/>
        <w:bottom w:val="none" w:sz="0" w:space="0" w:color="auto"/>
        <w:right w:val="none" w:sz="0" w:space="0" w:color="auto"/>
      </w:divBdr>
    </w:div>
    <w:div w:id="1119225086">
      <w:bodyDiv w:val="1"/>
      <w:marLeft w:val="0"/>
      <w:marRight w:val="0"/>
      <w:marTop w:val="0"/>
      <w:marBottom w:val="0"/>
      <w:divBdr>
        <w:top w:val="none" w:sz="0" w:space="0" w:color="auto"/>
        <w:left w:val="none" w:sz="0" w:space="0" w:color="auto"/>
        <w:bottom w:val="none" w:sz="0" w:space="0" w:color="auto"/>
        <w:right w:val="none" w:sz="0" w:space="0" w:color="auto"/>
      </w:divBdr>
    </w:div>
    <w:div w:id="1119297490">
      <w:bodyDiv w:val="1"/>
      <w:marLeft w:val="0"/>
      <w:marRight w:val="0"/>
      <w:marTop w:val="0"/>
      <w:marBottom w:val="0"/>
      <w:divBdr>
        <w:top w:val="none" w:sz="0" w:space="0" w:color="auto"/>
        <w:left w:val="none" w:sz="0" w:space="0" w:color="auto"/>
        <w:bottom w:val="none" w:sz="0" w:space="0" w:color="auto"/>
        <w:right w:val="none" w:sz="0" w:space="0" w:color="auto"/>
      </w:divBdr>
    </w:div>
    <w:div w:id="1119445937">
      <w:bodyDiv w:val="1"/>
      <w:marLeft w:val="0"/>
      <w:marRight w:val="0"/>
      <w:marTop w:val="0"/>
      <w:marBottom w:val="0"/>
      <w:divBdr>
        <w:top w:val="none" w:sz="0" w:space="0" w:color="auto"/>
        <w:left w:val="none" w:sz="0" w:space="0" w:color="auto"/>
        <w:bottom w:val="none" w:sz="0" w:space="0" w:color="auto"/>
        <w:right w:val="none" w:sz="0" w:space="0" w:color="auto"/>
      </w:divBdr>
    </w:div>
    <w:div w:id="1119687414">
      <w:bodyDiv w:val="1"/>
      <w:marLeft w:val="0"/>
      <w:marRight w:val="0"/>
      <w:marTop w:val="0"/>
      <w:marBottom w:val="0"/>
      <w:divBdr>
        <w:top w:val="none" w:sz="0" w:space="0" w:color="auto"/>
        <w:left w:val="none" w:sz="0" w:space="0" w:color="auto"/>
        <w:bottom w:val="none" w:sz="0" w:space="0" w:color="auto"/>
        <w:right w:val="none" w:sz="0" w:space="0" w:color="auto"/>
      </w:divBdr>
    </w:div>
    <w:div w:id="1119841118">
      <w:bodyDiv w:val="1"/>
      <w:marLeft w:val="0"/>
      <w:marRight w:val="0"/>
      <w:marTop w:val="0"/>
      <w:marBottom w:val="0"/>
      <w:divBdr>
        <w:top w:val="none" w:sz="0" w:space="0" w:color="auto"/>
        <w:left w:val="none" w:sz="0" w:space="0" w:color="auto"/>
        <w:bottom w:val="none" w:sz="0" w:space="0" w:color="auto"/>
        <w:right w:val="none" w:sz="0" w:space="0" w:color="auto"/>
      </w:divBdr>
    </w:div>
    <w:div w:id="1119883475">
      <w:bodyDiv w:val="1"/>
      <w:marLeft w:val="0"/>
      <w:marRight w:val="0"/>
      <w:marTop w:val="0"/>
      <w:marBottom w:val="0"/>
      <w:divBdr>
        <w:top w:val="none" w:sz="0" w:space="0" w:color="auto"/>
        <w:left w:val="none" w:sz="0" w:space="0" w:color="auto"/>
        <w:bottom w:val="none" w:sz="0" w:space="0" w:color="auto"/>
        <w:right w:val="none" w:sz="0" w:space="0" w:color="auto"/>
      </w:divBdr>
    </w:div>
    <w:div w:id="1119954701">
      <w:bodyDiv w:val="1"/>
      <w:marLeft w:val="0"/>
      <w:marRight w:val="0"/>
      <w:marTop w:val="0"/>
      <w:marBottom w:val="0"/>
      <w:divBdr>
        <w:top w:val="none" w:sz="0" w:space="0" w:color="auto"/>
        <w:left w:val="none" w:sz="0" w:space="0" w:color="auto"/>
        <w:bottom w:val="none" w:sz="0" w:space="0" w:color="auto"/>
        <w:right w:val="none" w:sz="0" w:space="0" w:color="auto"/>
      </w:divBdr>
    </w:div>
    <w:div w:id="1120027639">
      <w:bodyDiv w:val="1"/>
      <w:marLeft w:val="0"/>
      <w:marRight w:val="0"/>
      <w:marTop w:val="0"/>
      <w:marBottom w:val="0"/>
      <w:divBdr>
        <w:top w:val="none" w:sz="0" w:space="0" w:color="auto"/>
        <w:left w:val="none" w:sz="0" w:space="0" w:color="auto"/>
        <w:bottom w:val="none" w:sz="0" w:space="0" w:color="auto"/>
        <w:right w:val="none" w:sz="0" w:space="0" w:color="auto"/>
      </w:divBdr>
    </w:div>
    <w:div w:id="1120076989">
      <w:bodyDiv w:val="1"/>
      <w:marLeft w:val="0"/>
      <w:marRight w:val="0"/>
      <w:marTop w:val="0"/>
      <w:marBottom w:val="0"/>
      <w:divBdr>
        <w:top w:val="none" w:sz="0" w:space="0" w:color="auto"/>
        <w:left w:val="none" w:sz="0" w:space="0" w:color="auto"/>
        <w:bottom w:val="none" w:sz="0" w:space="0" w:color="auto"/>
        <w:right w:val="none" w:sz="0" w:space="0" w:color="auto"/>
      </w:divBdr>
    </w:div>
    <w:div w:id="1120224315">
      <w:bodyDiv w:val="1"/>
      <w:marLeft w:val="0"/>
      <w:marRight w:val="0"/>
      <w:marTop w:val="0"/>
      <w:marBottom w:val="0"/>
      <w:divBdr>
        <w:top w:val="none" w:sz="0" w:space="0" w:color="auto"/>
        <w:left w:val="none" w:sz="0" w:space="0" w:color="auto"/>
        <w:bottom w:val="none" w:sz="0" w:space="0" w:color="auto"/>
        <w:right w:val="none" w:sz="0" w:space="0" w:color="auto"/>
      </w:divBdr>
    </w:div>
    <w:div w:id="1120228259">
      <w:bodyDiv w:val="1"/>
      <w:marLeft w:val="0"/>
      <w:marRight w:val="0"/>
      <w:marTop w:val="0"/>
      <w:marBottom w:val="0"/>
      <w:divBdr>
        <w:top w:val="none" w:sz="0" w:space="0" w:color="auto"/>
        <w:left w:val="none" w:sz="0" w:space="0" w:color="auto"/>
        <w:bottom w:val="none" w:sz="0" w:space="0" w:color="auto"/>
        <w:right w:val="none" w:sz="0" w:space="0" w:color="auto"/>
      </w:divBdr>
    </w:div>
    <w:div w:id="1120296831">
      <w:bodyDiv w:val="1"/>
      <w:marLeft w:val="0"/>
      <w:marRight w:val="0"/>
      <w:marTop w:val="0"/>
      <w:marBottom w:val="0"/>
      <w:divBdr>
        <w:top w:val="none" w:sz="0" w:space="0" w:color="auto"/>
        <w:left w:val="none" w:sz="0" w:space="0" w:color="auto"/>
        <w:bottom w:val="none" w:sz="0" w:space="0" w:color="auto"/>
        <w:right w:val="none" w:sz="0" w:space="0" w:color="auto"/>
      </w:divBdr>
    </w:div>
    <w:div w:id="1120302981">
      <w:bodyDiv w:val="1"/>
      <w:marLeft w:val="0"/>
      <w:marRight w:val="0"/>
      <w:marTop w:val="0"/>
      <w:marBottom w:val="0"/>
      <w:divBdr>
        <w:top w:val="none" w:sz="0" w:space="0" w:color="auto"/>
        <w:left w:val="none" w:sz="0" w:space="0" w:color="auto"/>
        <w:bottom w:val="none" w:sz="0" w:space="0" w:color="auto"/>
        <w:right w:val="none" w:sz="0" w:space="0" w:color="auto"/>
      </w:divBdr>
    </w:div>
    <w:div w:id="1120536156">
      <w:bodyDiv w:val="1"/>
      <w:marLeft w:val="0"/>
      <w:marRight w:val="0"/>
      <w:marTop w:val="0"/>
      <w:marBottom w:val="0"/>
      <w:divBdr>
        <w:top w:val="none" w:sz="0" w:space="0" w:color="auto"/>
        <w:left w:val="none" w:sz="0" w:space="0" w:color="auto"/>
        <w:bottom w:val="none" w:sz="0" w:space="0" w:color="auto"/>
        <w:right w:val="none" w:sz="0" w:space="0" w:color="auto"/>
      </w:divBdr>
    </w:div>
    <w:div w:id="1120539088">
      <w:bodyDiv w:val="1"/>
      <w:marLeft w:val="0"/>
      <w:marRight w:val="0"/>
      <w:marTop w:val="0"/>
      <w:marBottom w:val="0"/>
      <w:divBdr>
        <w:top w:val="none" w:sz="0" w:space="0" w:color="auto"/>
        <w:left w:val="none" w:sz="0" w:space="0" w:color="auto"/>
        <w:bottom w:val="none" w:sz="0" w:space="0" w:color="auto"/>
        <w:right w:val="none" w:sz="0" w:space="0" w:color="auto"/>
      </w:divBdr>
    </w:div>
    <w:div w:id="1120613769">
      <w:bodyDiv w:val="1"/>
      <w:marLeft w:val="0"/>
      <w:marRight w:val="0"/>
      <w:marTop w:val="0"/>
      <w:marBottom w:val="0"/>
      <w:divBdr>
        <w:top w:val="none" w:sz="0" w:space="0" w:color="auto"/>
        <w:left w:val="none" w:sz="0" w:space="0" w:color="auto"/>
        <w:bottom w:val="none" w:sz="0" w:space="0" w:color="auto"/>
        <w:right w:val="none" w:sz="0" w:space="0" w:color="auto"/>
      </w:divBdr>
    </w:div>
    <w:div w:id="1120613971">
      <w:bodyDiv w:val="1"/>
      <w:marLeft w:val="0"/>
      <w:marRight w:val="0"/>
      <w:marTop w:val="0"/>
      <w:marBottom w:val="0"/>
      <w:divBdr>
        <w:top w:val="none" w:sz="0" w:space="0" w:color="auto"/>
        <w:left w:val="none" w:sz="0" w:space="0" w:color="auto"/>
        <w:bottom w:val="none" w:sz="0" w:space="0" w:color="auto"/>
        <w:right w:val="none" w:sz="0" w:space="0" w:color="auto"/>
      </w:divBdr>
    </w:div>
    <w:div w:id="1120685428">
      <w:bodyDiv w:val="1"/>
      <w:marLeft w:val="0"/>
      <w:marRight w:val="0"/>
      <w:marTop w:val="0"/>
      <w:marBottom w:val="0"/>
      <w:divBdr>
        <w:top w:val="none" w:sz="0" w:space="0" w:color="auto"/>
        <w:left w:val="none" w:sz="0" w:space="0" w:color="auto"/>
        <w:bottom w:val="none" w:sz="0" w:space="0" w:color="auto"/>
        <w:right w:val="none" w:sz="0" w:space="0" w:color="auto"/>
      </w:divBdr>
    </w:div>
    <w:div w:id="1120689974">
      <w:bodyDiv w:val="1"/>
      <w:marLeft w:val="0"/>
      <w:marRight w:val="0"/>
      <w:marTop w:val="0"/>
      <w:marBottom w:val="0"/>
      <w:divBdr>
        <w:top w:val="none" w:sz="0" w:space="0" w:color="auto"/>
        <w:left w:val="none" w:sz="0" w:space="0" w:color="auto"/>
        <w:bottom w:val="none" w:sz="0" w:space="0" w:color="auto"/>
        <w:right w:val="none" w:sz="0" w:space="0" w:color="auto"/>
      </w:divBdr>
    </w:div>
    <w:div w:id="1120759543">
      <w:bodyDiv w:val="1"/>
      <w:marLeft w:val="0"/>
      <w:marRight w:val="0"/>
      <w:marTop w:val="0"/>
      <w:marBottom w:val="0"/>
      <w:divBdr>
        <w:top w:val="none" w:sz="0" w:space="0" w:color="auto"/>
        <w:left w:val="none" w:sz="0" w:space="0" w:color="auto"/>
        <w:bottom w:val="none" w:sz="0" w:space="0" w:color="auto"/>
        <w:right w:val="none" w:sz="0" w:space="0" w:color="auto"/>
      </w:divBdr>
    </w:div>
    <w:div w:id="1120806580">
      <w:bodyDiv w:val="1"/>
      <w:marLeft w:val="0"/>
      <w:marRight w:val="0"/>
      <w:marTop w:val="0"/>
      <w:marBottom w:val="0"/>
      <w:divBdr>
        <w:top w:val="none" w:sz="0" w:space="0" w:color="auto"/>
        <w:left w:val="none" w:sz="0" w:space="0" w:color="auto"/>
        <w:bottom w:val="none" w:sz="0" w:space="0" w:color="auto"/>
        <w:right w:val="none" w:sz="0" w:space="0" w:color="auto"/>
      </w:divBdr>
    </w:div>
    <w:div w:id="1120879795">
      <w:bodyDiv w:val="1"/>
      <w:marLeft w:val="0"/>
      <w:marRight w:val="0"/>
      <w:marTop w:val="0"/>
      <w:marBottom w:val="0"/>
      <w:divBdr>
        <w:top w:val="none" w:sz="0" w:space="0" w:color="auto"/>
        <w:left w:val="none" w:sz="0" w:space="0" w:color="auto"/>
        <w:bottom w:val="none" w:sz="0" w:space="0" w:color="auto"/>
        <w:right w:val="none" w:sz="0" w:space="0" w:color="auto"/>
      </w:divBdr>
    </w:div>
    <w:div w:id="1120951494">
      <w:bodyDiv w:val="1"/>
      <w:marLeft w:val="0"/>
      <w:marRight w:val="0"/>
      <w:marTop w:val="0"/>
      <w:marBottom w:val="0"/>
      <w:divBdr>
        <w:top w:val="none" w:sz="0" w:space="0" w:color="auto"/>
        <w:left w:val="none" w:sz="0" w:space="0" w:color="auto"/>
        <w:bottom w:val="none" w:sz="0" w:space="0" w:color="auto"/>
        <w:right w:val="none" w:sz="0" w:space="0" w:color="auto"/>
      </w:divBdr>
    </w:div>
    <w:div w:id="1120951754">
      <w:bodyDiv w:val="1"/>
      <w:marLeft w:val="0"/>
      <w:marRight w:val="0"/>
      <w:marTop w:val="0"/>
      <w:marBottom w:val="0"/>
      <w:divBdr>
        <w:top w:val="none" w:sz="0" w:space="0" w:color="auto"/>
        <w:left w:val="none" w:sz="0" w:space="0" w:color="auto"/>
        <w:bottom w:val="none" w:sz="0" w:space="0" w:color="auto"/>
        <w:right w:val="none" w:sz="0" w:space="0" w:color="auto"/>
      </w:divBdr>
    </w:div>
    <w:div w:id="1120957899">
      <w:bodyDiv w:val="1"/>
      <w:marLeft w:val="0"/>
      <w:marRight w:val="0"/>
      <w:marTop w:val="0"/>
      <w:marBottom w:val="0"/>
      <w:divBdr>
        <w:top w:val="none" w:sz="0" w:space="0" w:color="auto"/>
        <w:left w:val="none" w:sz="0" w:space="0" w:color="auto"/>
        <w:bottom w:val="none" w:sz="0" w:space="0" w:color="auto"/>
        <w:right w:val="none" w:sz="0" w:space="0" w:color="auto"/>
      </w:divBdr>
    </w:div>
    <w:div w:id="1120993669">
      <w:bodyDiv w:val="1"/>
      <w:marLeft w:val="0"/>
      <w:marRight w:val="0"/>
      <w:marTop w:val="0"/>
      <w:marBottom w:val="0"/>
      <w:divBdr>
        <w:top w:val="none" w:sz="0" w:space="0" w:color="auto"/>
        <w:left w:val="none" w:sz="0" w:space="0" w:color="auto"/>
        <w:bottom w:val="none" w:sz="0" w:space="0" w:color="auto"/>
        <w:right w:val="none" w:sz="0" w:space="0" w:color="auto"/>
      </w:divBdr>
    </w:div>
    <w:div w:id="1120998011">
      <w:bodyDiv w:val="1"/>
      <w:marLeft w:val="0"/>
      <w:marRight w:val="0"/>
      <w:marTop w:val="0"/>
      <w:marBottom w:val="0"/>
      <w:divBdr>
        <w:top w:val="none" w:sz="0" w:space="0" w:color="auto"/>
        <w:left w:val="none" w:sz="0" w:space="0" w:color="auto"/>
        <w:bottom w:val="none" w:sz="0" w:space="0" w:color="auto"/>
        <w:right w:val="none" w:sz="0" w:space="0" w:color="auto"/>
      </w:divBdr>
    </w:div>
    <w:div w:id="1121000770">
      <w:bodyDiv w:val="1"/>
      <w:marLeft w:val="0"/>
      <w:marRight w:val="0"/>
      <w:marTop w:val="0"/>
      <w:marBottom w:val="0"/>
      <w:divBdr>
        <w:top w:val="none" w:sz="0" w:space="0" w:color="auto"/>
        <w:left w:val="none" w:sz="0" w:space="0" w:color="auto"/>
        <w:bottom w:val="none" w:sz="0" w:space="0" w:color="auto"/>
        <w:right w:val="none" w:sz="0" w:space="0" w:color="auto"/>
      </w:divBdr>
    </w:div>
    <w:div w:id="1121025369">
      <w:bodyDiv w:val="1"/>
      <w:marLeft w:val="0"/>
      <w:marRight w:val="0"/>
      <w:marTop w:val="0"/>
      <w:marBottom w:val="0"/>
      <w:divBdr>
        <w:top w:val="none" w:sz="0" w:space="0" w:color="auto"/>
        <w:left w:val="none" w:sz="0" w:space="0" w:color="auto"/>
        <w:bottom w:val="none" w:sz="0" w:space="0" w:color="auto"/>
        <w:right w:val="none" w:sz="0" w:space="0" w:color="auto"/>
      </w:divBdr>
    </w:div>
    <w:div w:id="1121072588">
      <w:bodyDiv w:val="1"/>
      <w:marLeft w:val="0"/>
      <w:marRight w:val="0"/>
      <w:marTop w:val="0"/>
      <w:marBottom w:val="0"/>
      <w:divBdr>
        <w:top w:val="none" w:sz="0" w:space="0" w:color="auto"/>
        <w:left w:val="none" w:sz="0" w:space="0" w:color="auto"/>
        <w:bottom w:val="none" w:sz="0" w:space="0" w:color="auto"/>
        <w:right w:val="none" w:sz="0" w:space="0" w:color="auto"/>
      </w:divBdr>
    </w:div>
    <w:div w:id="1121147220">
      <w:bodyDiv w:val="1"/>
      <w:marLeft w:val="0"/>
      <w:marRight w:val="0"/>
      <w:marTop w:val="0"/>
      <w:marBottom w:val="0"/>
      <w:divBdr>
        <w:top w:val="none" w:sz="0" w:space="0" w:color="auto"/>
        <w:left w:val="none" w:sz="0" w:space="0" w:color="auto"/>
        <w:bottom w:val="none" w:sz="0" w:space="0" w:color="auto"/>
        <w:right w:val="none" w:sz="0" w:space="0" w:color="auto"/>
      </w:divBdr>
    </w:div>
    <w:div w:id="1121148949">
      <w:bodyDiv w:val="1"/>
      <w:marLeft w:val="0"/>
      <w:marRight w:val="0"/>
      <w:marTop w:val="0"/>
      <w:marBottom w:val="0"/>
      <w:divBdr>
        <w:top w:val="none" w:sz="0" w:space="0" w:color="auto"/>
        <w:left w:val="none" w:sz="0" w:space="0" w:color="auto"/>
        <w:bottom w:val="none" w:sz="0" w:space="0" w:color="auto"/>
        <w:right w:val="none" w:sz="0" w:space="0" w:color="auto"/>
      </w:divBdr>
    </w:div>
    <w:div w:id="1121151863">
      <w:bodyDiv w:val="1"/>
      <w:marLeft w:val="0"/>
      <w:marRight w:val="0"/>
      <w:marTop w:val="0"/>
      <w:marBottom w:val="0"/>
      <w:divBdr>
        <w:top w:val="none" w:sz="0" w:space="0" w:color="auto"/>
        <w:left w:val="none" w:sz="0" w:space="0" w:color="auto"/>
        <w:bottom w:val="none" w:sz="0" w:space="0" w:color="auto"/>
        <w:right w:val="none" w:sz="0" w:space="0" w:color="auto"/>
      </w:divBdr>
    </w:div>
    <w:div w:id="1121267322">
      <w:bodyDiv w:val="1"/>
      <w:marLeft w:val="0"/>
      <w:marRight w:val="0"/>
      <w:marTop w:val="0"/>
      <w:marBottom w:val="0"/>
      <w:divBdr>
        <w:top w:val="none" w:sz="0" w:space="0" w:color="auto"/>
        <w:left w:val="none" w:sz="0" w:space="0" w:color="auto"/>
        <w:bottom w:val="none" w:sz="0" w:space="0" w:color="auto"/>
        <w:right w:val="none" w:sz="0" w:space="0" w:color="auto"/>
      </w:divBdr>
    </w:div>
    <w:div w:id="1121340399">
      <w:bodyDiv w:val="1"/>
      <w:marLeft w:val="0"/>
      <w:marRight w:val="0"/>
      <w:marTop w:val="0"/>
      <w:marBottom w:val="0"/>
      <w:divBdr>
        <w:top w:val="none" w:sz="0" w:space="0" w:color="auto"/>
        <w:left w:val="none" w:sz="0" w:space="0" w:color="auto"/>
        <w:bottom w:val="none" w:sz="0" w:space="0" w:color="auto"/>
        <w:right w:val="none" w:sz="0" w:space="0" w:color="auto"/>
      </w:divBdr>
    </w:div>
    <w:div w:id="1121606104">
      <w:bodyDiv w:val="1"/>
      <w:marLeft w:val="0"/>
      <w:marRight w:val="0"/>
      <w:marTop w:val="0"/>
      <w:marBottom w:val="0"/>
      <w:divBdr>
        <w:top w:val="none" w:sz="0" w:space="0" w:color="auto"/>
        <w:left w:val="none" w:sz="0" w:space="0" w:color="auto"/>
        <w:bottom w:val="none" w:sz="0" w:space="0" w:color="auto"/>
        <w:right w:val="none" w:sz="0" w:space="0" w:color="auto"/>
      </w:divBdr>
    </w:div>
    <w:div w:id="1121648664">
      <w:bodyDiv w:val="1"/>
      <w:marLeft w:val="0"/>
      <w:marRight w:val="0"/>
      <w:marTop w:val="0"/>
      <w:marBottom w:val="0"/>
      <w:divBdr>
        <w:top w:val="none" w:sz="0" w:space="0" w:color="auto"/>
        <w:left w:val="none" w:sz="0" w:space="0" w:color="auto"/>
        <w:bottom w:val="none" w:sz="0" w:space="0" w:color="auto"/>
        <w:right w:val="none" w:sz="0" w:space="0" w:color="auto"/>
      </w:divBdr>
    </w:div>
    <w:div w:id="1121655853">
      <w:bodyDiv w:val="1"/>
      <w:marLeft w:val="0"/>
      <w:marRight w:val="0"/>
      <w:marTop w:val="0"/>
      <w:marBottom w:val="0"/>
      <w:divBdr>
        <w:top w:val="none" w:sz="0" w:space="0" w:color="auto"/>
        <w:left w:val="none" w:sz="0" w:space="0" w:color="auto"/>
        <w:bottom w:val="none" w:sz="0" w:space="0" w:color="auto"/>
        <w:right w:val="none" w:sz="0" w:space="0" w:color="auto"/>
      </w:divBdr>
    </w:div>
    <w:div w:id="1121802902">
      <w:bodyDiv w:val="1"/>
      <w:marLeft w:val="0"/>
      <w:marRight w:val="0"/>
      <w:marTop w:val="0"/>
      <w:marBottom w:val="0"/>
      <w:divBdr>
        <w:top w:val="none" w:sz="0" w:space="0" w:color="auto"/>
        <w:left w:val="none" w:sz="0" w:space="0" w:color="auto"/>
        <w:bottom w:val="none" w:sz="0" w:space="0" w:color="auto"/>
        <w:right w:val="none" w:sz="0" w:space="0" w:color="auto"/>
      </w:divBdr>
    </w:div>
    <w:div w:id="1121848336">
      <w:bodyDiv w:val="1"/>
      <w:marLeft w:val="0"/>
      <w:marRight w:val="0"/>
      <w:marTop w:val="0"/>
      <w:marBottom w:val="0"/>
      <w:divBdr>
        <w:top w:val="none" w:sz="0" w:space="0" w:color="auto"/>
        <w:left w:val="none" w:sz="0" w:space="0" w:color="auto"/>
        <w:bottom w:val="none" w:sz="0" w:space="0" w:color="auto"/>
        <w:right w:val="none" w:sz="0" w:space="0" w:color="auto"/>
      </w:divBdr>
    </w:div>
    <w:div w:id="1121924035">
      <w:bodyDiv w:val="1"/>
      <w:marLeft w:val="0"/>
      <w:marRight w:val="0"/>
      <w:marTop w:val="0"/>
      <w:marBottom w:val="0"/>
      <w:divBdr>
        <w:top w:val="none" w:sz="0" w:space="0" w:color="auto"/>
        <w:left w:val="none" w:sz="0" w:space="0" w:color="auto"/>
        <w:bottom w:val="none" w:sz="0" w:space="0" w:color="auto"/>
        <w:right w:val="none" w:sz="0" w:space="0" w:color="auto"/>
      </w:divBdr>
    </w:div>
    <w:div w:id="1121925745">
      <w:bodyDiv w:val="1"/>
      <w:marLeft w:val="0"/>
      <w:marRight w:val="0"/>
      <w:marTop w:val="0"/>
      <w:marBottom w:val="0"/>
      <w:divBdr>
        <w:top w:val="none" w:sz="0" w:space="0" w:color="auto"/>
        <w:left w:val="none" w:sz="0" w:space="0" w:color="auto"/>
        <w:bottom w:val="none" w:sz="0" w:space="0" w:color="auto"/>
        <w:right w:val="none" w:sz="0" w:space="0" w:color="auto"/>
      </w:divBdr>
    </w:div>
    <w:div w:id="1121998712">
      <w:bodyDiv w:val="1"/>
      <w:marLeft w:val="0"/>
      <w:marRight w:val="0"/>
      <w:marTop w:val="0"/>
      <w:marBottom w:val="0"/>
      <w:divBdr>
        <w:top w:val="none" w:sz="0" w:space="0" w:color="auto"/>
        <w:left w:val="none" w:sz="0" w:space="0" w:color="auto"/>
        <w:bottom w:val="none" w:sz="0" w:space="0" w:color="auto"/>
        <w:right w:val="none" w:sz="0" w:space="0" w:color="auto"/>
      </w:divBdr>
    </w:div>
    <w:div w:id="1122109337">
      <w:bodyDiv w:val="1"/>
      <w:marLeft w:val="0"/>
      <w:marRight w:val="0"/>
      <w:marTop w:val="0"/>
      <w:marBottom w:val="0"/>
      <w:divBdr>
        <w:top w:val="none" w:sz="0" w:space="0" w:color="auto"/>
        <w:left w:val="none" w:sz="0" w:space="0" w:color="auto"/>
        <w:bottom w:val="none" w:sz="0" w:space="0" w:color="auto"/>
        <w:right w:val="none" w:sz="0" w:space="0" w:color="auto"/>
      </w:divBdr>
    </w:div>
    <w:div w:id="1122111337">
      <w:bodyDiv w:val="1"/>
      <w:marLeft w:val="0"/>
      <w:marRight w:val="0"/>
      <w:marTop w:val="0"/>
      <w:marBottom w:val="0"/>
      <w:divBdr>
        <w:top w:val="none" w:sz="0" w:space="0" w:color="auto"/>
        <w:left w:val="none" w:sz="0" w:space="0" w:color="auto"/>
        <w:bottom w:val="none" w:sz="0" w:space="0" w:color="auto"/>
        <w:right w:val="none" w:sz="0" w:space="0" w:color="auto"/>
      </w:divBdr>
    </w:div>
    <w:div w:id="1122306216">
      <w:bodyDiv w:val="1"/>
      <w:marLeft w:val="0"/>
      <w:marRight w:val="0"/>
      <w:marTop w:val="0"/>
      <w:marBottom w:val="0"/>
      <w:divBdr>
        <w:top w:val="none" w:sz="0" w:space="0" w:color="auto"/>
        <w:left w:val="none" w:sz="0" w:space="0" w:color="auto"/>
        <w:bottom w:val="none" w:sz="0" w:space="0" w:color="auto"/>
        <w:right w:val="none" w:sz="0" w:space="0" w:color="auto"/>
      </w:divBdr>
    </w:div>
    <w:div w:id="1122306375">
      <w:bodyDiv w:val="1"/>
      <w:marLeft w:val="0"/>
      <w:marRight w:val="0"/>
      <w:marTop w:val="0"/>
      <w:marBottom w:val="0"/>
      <w:divBdr>
        <w:top w:val="none" w:sz="0" w:space="0" w:color="auto"/>
        <w:left w:val="none" w:sz="0" w:space="0" w:color="auto"/>
        <w:bottom w:val="none" w:sz="0" w:space="0" w:color="auto"/>
        <w:right w:val="none" w:sz="0" w:space="0" w:color="auto"/>
      </w:divBdr>
    </w:div>
    <w:div w:id="1122312012">
      <w:bodyDiv w:val="1"/>
      <w:marLeft w:val="0"/>
      <w:marRight w:val="0"/>
      <w:marTop w:val="0"/>
      <w:marBottom w:val="0"/>
      <w:divBdr>
        <w:top w:val="none" w:sz="0" w:space="0" w:color="auto"/>
        <w:left w:val="none" w:sz="0" w:space="0" w:color="auto"/>
        <w:bottom w:val="none" w:sz="0" w:space="0" w:color="auto"/>
        <w:right w:val="none" w:sz="0" w:space="0" w:color="auto"/>
      </w:divBdr>
    </w:div>
    <w:div w:id="1122382565">
      <w:bodyDiv w:val="1"/>
      <w:marLeft w:val="0"/>
      <w:marRight w:val="0"/>
      <w:marTop w:val="0"/>
      <w:marBottom w:val="0"/>
      <w:divBdr>
        <w:top w:val="none" w:sz="0" w:space="0" w:color="auto"/>
        <w:left w:val="none" w:sz="0" w:space="0" w:color="auto"/>
        <w:bottom w:val="none" w:sz="0" w:space="0" w:color="auto"/>
        <w:right w:val="none" w:sz="0" w:space="0" w:color="auto"/>
      </w:divBdr>
    </w:div>
    <w:div w:id="1122455989">
      <w:bodyDiv w:val="1"/>
      <w:marLeft w:val="0"/>
      <w:marRight w:val="0"/>
      <w:marTop w:val="0"/>
      <w:marBottom w:val="0"/>
      <w:divBdr>
        <w:top w:val="none" w:sz="0" w:space="0" w:color="auto"/>
        <w:left w:val="none" w:sz="0" w:space="0" w:color="auto"/>
        <w:bottom w:val="none" w:sz="0" w:space="0" w:color="auto"/>
        <w:right w:val="none" w:sz="0" w:space="0" w:color="auto"/>
      </w:divBdr>
    </w:div>
    <w:div w:id="1122727440">
      <w:bodyDiv w:val="1"/>
      <w:marLeft w:val="0"/>
      <w:marRight w:val="0"/>
      <w:marTop w:val="0"/>
      <w:marBottom w:val="0"/>
      <w:divBdr>
        <w:top w:val="none" w:sz="0" w:space="0" w:color="auto"/>
        <w:left w:val="none" w:sz="0" w:space="0" w:color="auto"/>
        <w:bottom w:val="none" w:sz="0" w:space="0" w:color="auto"/>
        <w:right w:val="none" w:sz="0" w:space="0" w:color="auto"/>
      </w:divBdr>
    </w:div>
    <w:div w:id="1122841011">
      <w:bodyDiv w:val="1"/>
      <w:marLeft w:val="0"/>
      <w:marRight w:val="0"/>
      <w:marTop w:val="0"/>
      <w:marBottom w:val="0"/>
      <w:divBdr>
        <w:top w:val="none" w:sz="0" w:space="0" w:color="auto"/>
        <w:left w:val="none" w:sz="0" w:space="0" w:color="auto"/>
        <w:bottom w:val="none" w:sz="0" w:space="0" w:color="auto"/>
        <w:right w:val="none" w:sz="0" w:space="0" w:color="auto"/>
      </w:divBdr>
    </w:div>
    <w:div w:id="1122920959">
      <w:bodyDiv w:val="1"/>
      <w:marLeft w:val="0"/>
      <w:marRight w:val="0"/>
      <w:marTop w:val="0"/>
      <w:marBottom w:val="0"/>
      <w:divBdr>
        <w:top w:val="none" w:sz="0" w:space="0" w:color="auto"/>
        <w:left w:val="none" w:sz="0" w:space="0" w:color="auto"/>
        <w:bottom w:val="none" w:sz="0" w:space="0" w:color="auto"/>
        <w:right w:val="none" w:sz="0" w:space="0" w:color="auto"/>
      </w:divBdr>
    </w:div>
    <w:div w:id="1122964457">
      <w:bodyDiv w:val="1"/>
      <w:marLeft w:val="0"/>
      <w:marRight w:val="0"/>
      <w:marTop w:val="0"/>
      <w:marBottom w:val="0"/>
      <w:divBdr>
        <w:top w:val="none" w:sz="0" w:space="0" w:color="auto"/>
        <w:left w:val="none" w:sz="0" w:space="0" w:color="auto"/>
        <w:bottom w:val="none" w:sz="0" w:space="0" w:color="auto"/>
        <w:right w:val="none" w:sz="0" w:space="0" w:color="auto"/>
      </w:divBdr>
    </w:div>
    <w:div w:id="1122966775">
      <w:bodyDiv w:val="1"/>
      <w:marLeft w:val="0"/>
      <w:marRight w:val="0"/>
      <w:marTop w:val="0"/>
      <w:marBottom w:val="0"/>
      <w:divBdr>
        <w:top w:val="none" w:sz="0" w:space="0" w:color="auto"/>
        <w:left w:val="none" w:sz="0" w:space="0" w:color="auto"/>
        <w:bottom w:val="none" w:sz="0" w:space="0" w:color="auto"/>
        <w:right w:val="none" w:sz="0" w:space="0" w:color="auto"/>
      </w:divBdr>
    </w:div>
    <w:div w:id="1122990789">
      <w:bodyDiv w:val="1"/>
      <w:marLeft w:val="0"/>
      <w:marRight w:val="0"/>
      <w:marTop w:val="0"/>
      <w:marBottom w:val="0"/>
      <w:divBdr>
        <w:top w:val="none" w:sz="0" w:space="0" w:color="auto"/>
        <w:left w:val="none" w:sz="0" w:space="0" w:color="auto"/>
        <w:bottom w:val="none" w:sz="0" w:space="0" w:color="auto"/>
        <w:right w:val="none" w:sz="0" w:space="0" w:color="auto"/>
      </w:divBdr>
    </w:div>
    <w:div w:id="1123038825">
      <w:bodyDiv w:val="1"/>
      <w:marLeft w:val="0"/>
      <w:marRight w:val="0"/>
      <w:marTop w:val="0"/>
      <w:marBottom w:val="0"/>
      <w:divBdr>
        <w:top w:val="none" w:sz="0" w:space="0" w:color="auto"/>
        <w:left w:val="none" w:sz="0" w:space="0" w:color="auto"/>
        <w:bottom w:val="none" w:sz="0" w:space="0" w:color="auto"/>
        <w:right w:val="none" w:sz="0" w:space="0" w:color="auto"/>
      </w:divBdr>
    </w:div>
    <w:div w:id="1123186675">
      <w:bodyDiv w:val="1"/>
      <w:marLeft w:val="0"/>
      <w:marRight w:val="0"/>
      <w:marTop w:val="0"/>
      <w:marBottom w:val="0"/>
      <w:divBdr>
        <w:top w:val="none" w:sz="0" w:space="0" w:color="auto"/>
        <w:left w:val="none" w:sz="0" w:space="0" w:color="auto"/>
        <w:bottom w:val="none" w:sz="0" w:space="0" w:color="auto"/>
        <w:right w:val="none" w:sz="0" w:space="0" w:color="auto"/>
      </w:divBdr>
    </w:div>
    <w:div w:id="1123188414">
      <w:bodyDiv w:val="1"/>
      <w:marLeft w:val="0"/>
      <w:marRight w:val="0"/>
      <w:marTop w:val="0"/>
      <w:marBottom w:val="0"/>
      <w:divBdr>
        <w:top w:val="none" w:sz="0" w:space="0" w:color="auto"/>
        <w:left w:val="none" w:sz="0" w:space="0" w:color="auto"/>
        <w:bottom w:val="none" w:sz="0" w:space="0" w:color="auto"/>
        <w:right w:val="none" w:sz="0" w:space="0" w:color="auto"/>
      </w:divBdr>
    </w:div>
    <w:div w:id="1123226887">
      <w:bodyDiv w:val="1"/>
      <w:marLeft w:val="0"/>
      <w:marRight w:val="0"/>
      <w:marTop w:val="0"/>
      <w:marBottom w:val="0"/>
      <w:divBdr>
        <w:top w:val="none" w:sz="0" w:space="0" w:color="auto"/>
        <w:left w:val="none" w:sz="0" w:space="0" w:color="auto"/>
        <w:bottom w:val="none" w:sz="0" w:space="0" w:color="auto"/>
        <w:right w:val="none" w:sz="0" w:space="0" w:color="auto"/>
      </w:divBdr>
    </w:div>
    <w:div w:id="1123382121">
      <w:bodyDiv w:val="1"/>
      <w:marLeft w:val="0"/>
      <w:marRight w:val="0"/>
      <w:marTop w:val="0"/>
      <w:marBottom w:val="0"/>
      <w:divBdr>
        <w:top w:val="none" w:sz="0" w:space="0" w:color="auto"/>
        <w:left w:val="none" w:sz="0" w:space="0" w:color="auto"/>
        <w:bottom w:val="none" w:sz="0" w:space="0" w:color="auto"/>
        <w:right w:val="none" w:sz="0" w:space="0" w:color="auto"/>
      </w:divBdr>
    </w:div>
    <w:div w:id="1123383856">
      <w:bodyDiv w:val="1"/>
      <w:marLeft w:val="0"/>
      <w:marRight w:val="0"/>
      <w:marTop w:val="0"/>
      <w:marBottom w:val="0"/>
      <w:divBdr>
        <w:top w:val="none" w:sz="0" w:space="0" w:color="auto"/>
        <w:left w:val="none" w:sz="0" w:space="0" w:color="auto"/>
        <w:bottom w:val="none" w:sz="0" w:space="0" w:color="auto"/>
        <w:right w:val="none" w:sz="0" w:space="0" w:color="auto"/>
      </w:divBdr>
    </w:div>
    <w:div w:id="1123428297">
      <w:bodyDiv w:val="1"/>
      <w:marLeft w:val="0"/>
      <w:marRight w:val="0"/>
      <w:marTop w:val="0"/>
      <w:marBottom w:val="0"/>
      <w:divBdr>
        <w:top w:val="none" w:sz="0" w:space="0" w:color="auto"/>
        <w:left w:val="none" w:sz="0" w:space="0" w:color="auto"/>
        <w:bottom w:val="none" w:sz="0" w:space="0" w:color="auto"/>
        <w:right w:val="none" w:sz="0" w:space="0" w:color="auto"/>
      </w:divBdr>
    </w:div>
    <w:div w:id="1123500717">
      <w:bodyDiv w:val="1"/>
      <w:marLeft w:val="0"/>
      <w:marRight w:val="0"/>
      <w:marTop w:val="0"/>
      <w:marBottom w:val="0"/>
      <w:divBdr>
        <w:top w:val="none" w:sz="0" w:space="0" w:color="auto"/>
        <w:left w:val="none" w:sz="0" w:space="0" w:color="auto"/>
        <w:bottom w:val="none" w:sz="0" w:space="0" w:color="auto"/>
        <w:right w:val="none" w:sz="0" w:space="0" w:color="auto"/>
      </w:divBdr>
    </w:div>
    <w:div w:id="1123571095">
      <w:bodyDiv w:val="1"/>
      <w:marLeft w:val="0"/>
      <w:marRight w:val="0"/>
      <w:marTop w:val="0"/>
      <w:marBottom w:val="0"/>
      <w:divBdr>
        <w:top w:val="none" w:sz="0" w:space="0" w:color="auto"/>
        <w:left w:val="none" w:sz="0" w:space="0" w:color="auto"/>
        <w:bottom w:val="none" w:sz="0" w:space="0" w:color="auto"/>
        <w:right w:val="none" w:sz="0" w:space="0" w:color="auto"/>
      </w:divBdr>
    </w:div>
    <w:div w:id="1123619347">
      <w:bodyDiv w:val="1"/>
      <w:marLeft w:val="0"/>
      <w:marRight w:val="0"/>
      <w:marTop w:val="0"/>
      <w:marBottom w:val="0"/>
      <w:divBdr>
        <w:top w:val="none" w:sz="0" w:space="0" w:color="auto"/>
        <w:left w:val="none" w:sz="0" w:space="0" w:color="auto"/>
        <w:bottom w:val="none" w:sz="0" w:space="0" w:color="auto"/>
        <w:right w:val="none" w:sz="0" w:space="0" w:color="auto"/>
      </w:divBdr>
    </w:div>
    <w:div w:id="1123692134">
      <w:bodyDiv w:val="1"/>
      <w:marLeft w:val="0"/>
      <w:marRight w:val="0"/>
      <w:marTop w:val="0"/>
      <w:marBottom w:val="0"/>
      <w:divBdr>
        <w:top w:val="none" w:sz="0" w:space="0" w:color="auto"/>
        <w:left w:val="none" w:sz="0" w:space="0" w:color="auto"/>
        <w:bottom w:val="none" w:sz="0" w:space="0" w:color="auto"/>
        <w:right w:val="none" w:sz="0" w:space="0" w:color="auto"/>
      </w:divBdr>
    </w:div>
    <w:div w:id="1123768050">
      <w:bodyDiv w:val="1"/>
      <w:marLeft w:val="0"/>
      <w:marRight w:val="0"/>
      <w:marTop w:val="0"/>
      <w:marBottom w:val="0"/>
      <w:divBdr>
        <w:top w:val="none" w:sz="0" w:space="0" w:color="auto"/>
        <w:left w:val="none" w:sz="0" w:space="0" w:color="auto"/>
        <w:bottom w:val="none" w:sz="0" w:space="0" w:color="auto"/>
        <w:right w:val="none" w:sz="0" w:space="0" w:color="auto"/>
      </w:divBdr>
    </w:div>
    <w:div w:id="1123881950">
      <w:bodyDiv w:val="1"/>
      <w:marLeft w:val="0"/>
      <w:marRight w:val="0"/>
      <w:marTop w:val="0"/>
      <w:marBottom w:val="0"/>
      <w:divBdr>
        <w:top w:val="none" w:sz="0" w:space="0" w:color="auto"/>
        <w:left w:val="none" w:sz="0" w:space="0" w:color="auto"/>
        <w:bottom w:val="none" w:sz="0" w:space="0" w:color="auto"/>
        <w:right w:val="none" w:sz="0" w:space="0" w:color="auto"/>
      </w:divBdr>
    </w:div>
    <w:div w:id="1123888009">
      <w:bodyDiv w:val="1"/>
      <w:marLeft w:val="0"/>
      <w:marRight w:val="0"/>
      <w:marTop w:val="0"/>
      <w:marBottom w:val="0"/>
      <w:divBdr>
        <w:top w:val="none" w:sz="0" w:space="0" w:color="auto"/>
        <w:left w:val="none" w:sz="0" w:space="0" w:color="auto"/>
        <w:bottom w:val="none" w:sz="0" w:space="0" w:color="auto"/>
        <w:right w:val="none" w:sz="0" w:space="0" w:color="auto"/>
      </w:divBdr>
    </w:div>
    <w:div w:id="1123960629">
      <w:bodyDiv w:val="1"/>
      <w:marLeft w:val="0"/>
      <w:marRight w:val="0"/>
      <w:marTop w:val="0"/>
      <w:marBottom w:val="0"/>
      <w:divBdr>
        <w:top w:val="none" w:sz="0" w:space="0" w:color="auto"/>
        <w:left w:val="none" w:sz="0" w:space="0" w:color="auto"/>
        <w:bottom w:val="none" w:sz="0" w:space="0" w:color="auto"/>
        <w:right w:val="none" w:sz="0" w:space="0" w:color="auto"/>
      </w:divBdr>
    </w:div>
    <w:div w:id="1123965925">
      <w:bodyDiv w:val="1"/>
      <w:marLeft w:val="0"/>
      <w:marRight w:val="0"/>
      <w:marTop w:val="0"/>
      <w:marBottom w:val="0"/>
      <w:divBdr>
        <w:top w:val="none" w:sz="0" w:space="0" w:color="auto"/>
        <w:left w:val="none" w:sz="0" w:space="0" w:color="auto"/>
        <w:bottom w:val="none" w:sz="0" w:space="0" w:color="auto"/>
        <w:right w:val="none" w:sz="0" w:space="0" w:color="auto"/>
      </w:divBdr>
    </w:div>
    <w:div w:id="1124075662">
      <w:bodyDiv w:val="1"/>
      <w:marLeft w:val="0"/>
      <w:marRight w:val="0"/>
      <w:marTop w:val="0"/>
      <w:marBottom w:val="0"/>
      <w:divBdr>
        <w:top w:val="none" w:sz="0" w:space="0" w:color="auto"/>
        <w:left w:val="none" w:sz="0" w:space="0" w:color="auto"/>
        <w:bottom w:val="none" w:sz="0" w:space="0" w:color="auto"/>
        <w:right w:val="none" w:sz="0" w:space="0" w:color="auto"/>
      </w:divBdr>
    </w:div>
    <w:div w:id="1124152244">
      <w:bodyDiv w:val="1"/>
      <w:marLeft w:val="0"/>
      <w:marRight w:val="0"/>
      <w:marTop w:val="0"/>
      <w:marBottom w:val="0"/>
      <w:divBdr>
        <w:top w:val="none" w:sz="0" w:space="0" w:color="auto"/>
        <w:left w:val="none" w:sz="0" w:space="0" w:color="auto"/>
        <w:bottom w:val="none" w:sz="0" w:space="0" w:color="auto"/>
        <w:right w:val="none" w:sz="0" w:space="0" w:color="auto"/>
      </w:divBdr>
    </w:div>
    <w:div w:id="1124302434">
      <w:bodyDiv w:val="1"/>
      <w:marLeft w:val="0"/>
      <w:marRight w:val="0"/>
      <w:marTop w:val="0"/>
      <w:marBottom w:val="0"/>
      <w:divBdr>
        <w:top w:val="none" w:sz="0" w:space="0" w:color="auto"/>
        <w:left w:val="none" w:sz="0" w:space="0" w:color="auto"/>
        <w:bottom w:val="none" w:sz="0" w:space="0" w:color="auto"/>
        <w:right w:val="none" w:sz="0" w:space="0" w:color="auto"/>
      </w:divBdr>
    </w:div>
    <w:div w:id="1124352235">
      <w:bodyDiv w:val="1"/>
      <w:marLeft w:val="0"/>
      <w:marRight w:val="0"/>
      <w:marTop w:val="0"/>
      <w:marBottom w:val="0"/>
      <w:divBdr>
        <w:top w:val="none" w:sz="0" w:space="0" w:color="auto"/>
        <w:left w:val="none" w:sz="0" w:space="0" w:color="auto"/>
        <w:bottom w:val="none" w:sz="0" w:space="0" w:color="auto"/>
        <w:right w:val="none" w:sz="0" w:space="0" w:color="auto"/>
      </w:divBdr>
    </w:div>
    <w:div w:id="1124421105">
      <w:bodyDiv w:val="1"/>
      <w:marLeft w:val="0"/>
      <w:marRight w:val="0"/>
      <w:marTop w:val="0"/>
      <w:marBottom w:val="0"/>
      <w:divBdr>
        <w:top w:val="none" w:sz="0" w:space="0" w:color="auto"/>
        <w:left w:val="none" w:sz="0" w:space="0" w:color="auto"/>
        <w:bottom w:val="none" w:sz="0" w:space="0" w:color="auto"/>
        <w:right w:val="none" w:sz="0" w:space="0" w:color="auto"/>
      </w:divBdr>
    </w:div>
    <w:div w:id="1124425231">
      <w:bodyDiv w:val="1"/>
      <w:marLeft w:val="0"/>
      <w:marRight w:val="0"/>
      <w:marTop w:val="0"/>
      <w:marBottom w:val="0"/>
      <w:divBdr>
        <w:top w:val="none" w:sz="0" w:space="0" w:color="auto"/>
        <w:left w:val="none" w:sz="0" w:space="0" w:color="auto"/>
        <w:bottom w:val="none" w:sz="0" w:space="0" w:color="auto"/>
        <w:right w:val="none" w:sz="0" w:space="0" w:color="auto"/>
      </w:divBdr>
    </w:div>
    <w:div w:id="1124496899">
      <w:bodyDiv w:val="1"/>
      <w:marLeft w:val="0"/>
      <w:marRight w:val="0"/>
      <w:marTop w:val="0"/>
      <w:marBottom w:val="0"/>
      <w:divBdr>
        <w:top w:val="none" w:sz="0" w:space="0" w:color="auto"/>
        <w:left w:val="none" w:sz="0" w:space="0" w:color="auto"/>
        <w:bottom w:val="none" w:sz="0" w:space="0" w:color="auto"/>
        <w:right w:val="none" w:sz="0" w:space="0" w:color="auto"/>
      </w:divBdr>
    </w:div>
    <w:div w:id="1124695685">
      <w:bodyDiv w:val="1"/>
      <w:marLeft w:val="0"/>
      <w:marRight w:val="0"/>
      <w:marTop w:val="0"/>
      <w:marBottom w:val="0"/>
      <w:divBdr>
        <w:top w:val="none" w:sz="0" w:space="0" w:color="auto"/>
        <w:left w:val="none" w:sz="0" w:space="0" w:color="auto"/>
        <w:bottom w:val="none" w:sz="0" w:space="0" w:color="auto"/>
        <w:right w:val="none" w:sz="0" w:space="0" w:color="auto"/>
      </w:divBdr>
    </w:div>
    <w:div w:id="1124808829">
      <w:bodyDiv w:val="1"/>
      <w:marLeft w:val="0"/>
      <w:marRight w:val="0"/>
      <w:marTop w:val="0"/>
      <w:marBottom w:val="0"/>
      <w:divBdr>
        <w:top w:val="none" w:sz="0" w:space="0" w:color="auto"/>
        <w:left w:val="none" w:sz="0" w:space="0" w:color="auto"/>
        <w:bottom w:val="none" w:sz="0" w:space="0" w:color="auto"/>
        <w:right w:val="none" w:sz="0" w:space="0" w:color="auto"/>
      </w:divBdr>
    </w:div>
    <w:div w:id="1124814839">
      <w:bodyDiv w:val="1"/>
      <w:marLeft w:val="0"/>
      <w:marRight w:val="0"/>
      <w:marTop w:val="0"/>
      <w:marBottom w:val="0"/>
      <w:divBdr>
        <w:top w:val="none" w:sz="0" w:space="0" w:color="auto"/>
        <w:left w:val="none" w:sz="0" w:space="0" w:color="auto"/>
        <w:bottom w:val="none" w:sz="0" w:space="0" w:color="auto"/>
        <w:right w:val="none" w:sz="0" w:space="0" w:color="auto"/>
      </w:divBdr>
    </w:div>
    <w:div w:id="1124882504">
      <w:bodyDiv w:val="1"/>
      <w:marLeft w:val="0"/>
      <w:marRight w:val="0"/>
      <w:marTop w:val="0"/>
      <w:marBottom w:val="0"/>
      <w:divBdr>
        <w:top w:val="none" w:sz="0" w:space="0" w:color="auto"/>
        <w:left w:val="none" w:sz="0" w:space="0" w:color="auto"/>
        <w:bottom w:val="none" w:sz="0" w:space="0" w:color="auto"/>
        <w:right w:val="none" w:sz="0" w:space="0" w:color="auto"/>
      </w:divBdr>
    </w:div>
    <w:div w:id="1124925547">
      <w:bodyDiv w:val="1"/>
      <w:marLeft w:val="0"/>
      <w:marRight w:val="0"/>
      <w:marTop w:val="0"/>
      <w:marBottom w:val="0"/>
      <w:divBdr>
        <w:top w:val="none" w:sz="0" w:space="0" w:color="auto"/>
        <w:left w:val="none" w:sz="0" w:space="0" w:color="auto"/>
        <w:bottom w:val="none" w:sz="0" w:space="0" w:color="auto"/>
        <w:right w:val="none" w:sz="0" w:space="0" w:color="auto"/>
      </w:divBdr>
    </w:div>
    <w:div w:id="1124926015">
      <w:bodyDiv w:val="1"/>
      <w:marLeft w:val="0"/>
      <w:marRight w:val="0"/>
      <w:marTop w:val="0"/>
      <w:marBottom w:val="0"/>
      <w:divBdr>
        <w:top w:val="none" w:sz="0" w:space="0" w:color="auto"/>
        <w:left w:val="none" w:sz="0" w:space="0" w:color="auto"/>
        <w:bottom w:val="none" w:sz="0" w:space="0" w:color="auto"/>
        <w:right w:val="none" w:sz="0" w:space="0" w:color="auto"/>
      </w:divBdr>
    </w:div>
    <w:div w:id="1125003881">
      <w:bodyDiv w:val="1"/>
      <w:marLeft w:val="0"/>
      <w:marRight w:val="0"/>
      <w:marTop w:val="0"/>
      <w:marBottom w:val="0"/>
      <w:divBdr>
        <w:top w:val="none" w:sz="0" w:space="0" w:color="auto"/>
        <w:left w:val="none" w:sz="0" w:space="0" w:color="auto"/>
        <w:bottom w:val="none" w:sz="0" w:space="0" w:color="auto"/>
        <w:right w:val="none" w:sz="0" w:space="0" w:color="auto"/>
      </w:divBdr>
    </w:div>
    <w:div w:id="1125193712">
      <w:bodyDiv w:val="1"/>
      <w:marLeft w:val="0"/>
      <w:marRight w:val="0"/>
      <w:marTop w:val="0"/>
      <w:marBottom w:val="0"/>
      <w:divBdr>
        <w:top w:val="none" w:sz="0" w:space="0" w:color="auto"/>
        <w:left w:val="none" w:sz="0" w:space="0" w:color="auto"/>
        <w:bottom w:val="none" w:sz="0" w:space="0" w:color="auto"/>
        <w:right w:val="none" w:sz="0" w:space="0" w:color="auto"/>
      </w:divBdr>
    </w:div>
    <w:div w:id="1125320017">
      <w:bodyDiv w:val="1"/>
      <w:marLeft w:val="0"/>
      <w:marRight w:val="0"/>
      <w:marTop w:val="0"/>
      <w:marBottom w:val="0"/>
      <w:divBdr>
        <w:top w:val="none" w:sz="0" w:space="0" w:color="auto"/>
        <w:left w:val="none" w:sz="0" w:space="0" w:color="auto"/>
        <w:bottom w:val="none" w:sz="0" w:space="0" w:color="auto"/>
        <w:right w:val="none" w:sz="0" w:space="0" w:color="auto"/>
      </w:divBdr>
    </w:div>
    <w:div w:id="1125344017">
      <w:bodyDiv w:val="1"/>
      <w:marLeft w:val="0"/>
      <w:marRight w:val="0"/>
      <w:marTop w:val="0"/>
      <w:marBottom w:val="0"/>
      <w:divBdr>
        <w:top w:val="none" w:sz="0" w:space="0" w:color="auto"/>
        <w:left w:val="none" w:sz="0" w:space="0" w:color="auto"/>
        <w:bottom w:val="none" w:sz="0" w:space="0" w:color="auto"/>
        <w:right w:val="none" w:sz="0" w:space="0" w:color="auto"/>
      </w:divBdr>
    </w:div>
    <w:div w:id="1125386730">
      <w:bodyDiv w:val="1"/>
      <w:marLeft w:val="0"/>
      <w:marRight w:val="0"/>
      <w:marTop w:val="0"/>
      <w:marBottom w:val="0"/>
      <w:divBdr>
        <w:top w:val="none" w:sz="0" w:space="0" w:color="auto"/>
        <w:left w:val="none" w:sz="0" w:space="0" w:color="auto"/>
        <w:bottom w:val="none" w:sz="0" w:space="0" w:color="auto"/>
        <w:right w:val="none" w:sz="0" w:space="0" w:color="auto"/>
      </w:divBdr>
    </w:div>
    <w:div w:id="1125388694">
      <w:bodyDiv w:val="1"/>
      <w:marLeft w:val="0"/>
      <w:marRight w:val="0"/>
      <w:marTop w:val="0"/>
      <w:marBottom w:val="0"/>
      <w:divBdr>
        <w:top w:val="none" w:sz="0" w:space="0" w:color="auto"/>
        <w:left w:val="none" w:sz="0" w:space="0" w:color="auto"/>
        <w:bottom w:val="none" w:sz="0" w:space="0" w:color="auto"/>
        <w:right w:val="none" w:sz="0" w:space="0" w:color="auto"/>
      </w:divBdr>
    </w:div>
    <w:div w:id="1125392680">
      <w:bodyDiv w:val="1"/>
      <w:marLeft w:val="0"/>
      <w:marRight w:val="0"/>
      <w:marTop w:val="0"/>
      <w:marBottom w:val="0"/>
      <w:divBdr>
        <w:top w:val="none" w:sz="0" w:space="0" w:color="auto"/>
        <w:left w:val="none" w:sz="0" w:space="0" w:color="auto"/>
        <w:bottom w:val="none" w:sz="0" w:space="0" w:color="auto"/>
        <w:right w:val="none" w:sz="0" w:space="0" w:color="auto"/>
      </w:divBdr>
    </w:div>
    <w:div w:id="1125546086">
      <w:bodyDiv w:val="1"/>
      <w:marLeft w:val="0"/>
      <w:marRight w:val="0"/>
      <w:marTop w:val="0"/>
      <w:marBottom w:val="0"/>
      <w:divBdr>
        <w:top w:val="none" w:sz="0" w:space="0" w:color="auto"/>
        <w:left w:val="none" w:sz="0" w:space="0" w:color="auto"/>
        <w:bottom w:val="none" w:sz="0" w:space="0" w:color="auto"/>
        <w:right w:val="none" w:sz="0" w:space="0" w:color="auto"/>
      </w:divBdr>
    </w:div>
    <w:div w:id="1125585891">
      <w:bodyDiv w:val="1"/>
      <w:marLeft w:val="0"/>
      <w:marRight w:val="0"/>
      <w:marTop w:val="0"/>
      <w:marBottom w:val="0"/>
      <w:divBdr>
        <w:top w:val="none" w:sz="0" w:space="0" w:color="auto"/>
        <w:left w:val="none" w:sz="0" w:space="0" w:color="auto"/>
        <w:bottom w:val="none" w:sz="0" w:space="0" w:color="auto"/>
        <w:right w:val="none" w:sz="0" w:space="0" w:color="auto"/>
      </w:divBdr>
    </w:div>
    <w:div w:id="1125611767">
      <w:bodyDiv w:val="1"/>
      <w:marLeft w:val="0"/>
      <w:marRight w:val="0"/>
      <w:marTop w:val="0"/>
      <w:marBottom w:val="0"/>
      <w:divBdr>
        <w:top w:val="none" w:sz="0" w:space="0" w:color="auto"/>
        <w:left w:val="none" w:sz="0" w:space="0" w:color="auto"/>
        <w:bottom w:val="none" w:sz="0" w:space="0" w:color="auto"/>
        <w:right w:val="none" w:sz="0" w:space="0" w:color="auto"/>
      </w:divBdr>
    </w:div>
    <w:div w:id="1125732329">
      <w:bodyDiv w:val="1"/>
      <w:marLeft w:val="0"/>
      <w:marRight w:val="0"/>
      <w:marTop w:val="0"/>
      <w:marBottom w:val="0"/>
      <w:divBdr>
        <w:top w:val="none" w:sz="0" w:space="0" w:color="auto"/>
        <w:left w:val="none" w:sz="0" w:space="0" w:color="auto"/>
        <w:bottom w:val="none" w:sz="0" w:space="0" w:color="auto"/>
        <w:right w:val="none" w:sz="0" w:space="0" w:color="auto"/>
      </w:divBdr>
    </w:div>
    <w:div w:id="1125925000">
      <w:bodyDiv w:val="1"/>
      <w:marLeft w:val="0"/>
      <w:marRight w:val="0"/>
      <w:marTop w:val="0"/>
      <w:marBottom w:val="0"/>
      <w:divBdr>
        <w:top w:val="none" w:sz="0" w:space="0" w:color="auto"/>
        <w:left w:val="none" w:sz="0" w:space="0" w:color="auto"/>
        <w:bottom w:val="none" w:sz="0" w:space="0" w:color="auto"/>
        <w:right w:val="none" w:sz="0" w:space="0" w:color="auto"/>
      </w:divBdr>
    </w:div>
    <w:div w:id="1126003620">
      <w:bodyDiv w:val="1"/>
      <w:marLeft w:val="0"/>
      <w:marRight w:val="0"/>
      <w:marTop w:val="0"/>
      <w:marBottom w:val="0"/>
      <w:divBdr>
        <w:top w:val="none" w:sz="0" w:space="0" w:color="auto"/>
        <w:left w:val="none" w:sz="0" w:space="0" w:color="auto"/>
        <w:bottom w:val="none" w:sz="0" w:space="0" w:color="auto"/>
        <w:right w:val="none" w:sz="0" w:space="0" w:color="auto"/>
      </w:divBdr>
    </w:div>
    <w:div w:id="1126005426">
      <w:bodyDiv w:val="1"/>
      <w:marLeft w:val="0"/>
      <w:marRight w:val="0"/>
      <w:marTop w:val="0"/>
      <w:marBottom w:val="0"/>
      <w:divBdr>
        <w:top w:val="none" w:sz="0" w:space="0" w:color="auto"/>
        <w:left w:val="none" w:sz="0" w:space="0" w:color="auto"/>
        <w:bottom w:val="none" w:sz="0" w:space="0" w:color="auto"/>
        <w:right w:val="none" w:sz="0" w:space="0" w:color="auto"/>
      </w:divBdr>
    </w:div>
    <w:div w:id="1126116675">
      <w:bodyDiv w:val="1"/>
      <w:marLeft w:val="0"/>
      <w:marRight w:val="0"/>
      <w:marTop w:val="0"/>
      <w:marBottom w:val="0"/>
      <w:divBdr>
        <w:top w:val="none" w:sz="0" w:space="0" w:color="auto"/>
        <w:left w:val="none" w:sz="0" w:space="0" w:color="auto"/>
        <w:bottom w:val="none" w:sz="0" w:space="0" w:color="auto"/>
        <w:right w:val="none" w:sz="0" w:space="0" w:color="auto"/>
      </w:divBdr>
    </w:div>
    <w:div w:id="1126200624">
      <w:bodyDiv w:val="1"/>
      <w:marLeft w:val="0"/>
      <w:marRight w:val="0"/>
      <w:marTop w:val="0"/>
      <w:marBottom w:val="0"/>
      <w:divBdr>
        <w:top w:val="none" w:sz="0" w:space="0" w:color="auto"/>
        <w:left w:val="none" w:sz="0" w:space="0" w:color="auto"/>
        <w:bottom w:val="none" w:sz="0" w:space="0" w:color="auto"/>
        <w:right w:val="none" w:sz="0" w:space="0" w:color="auto"/>
      </w:divBdr>
    </w:div>
    <w:div w:id="1126434776">
      <w:bodyDiv w:val="1"/>
      <w:marLeft w:val="0"/>
      <w:marRight w:val="0"/>
      <w:marTop w:val="0"/>
      <w:marBottom w:val="0"/>
      <w:divBdr>
        <w:top w:val="none" w:sz="0" w:space="0" w:color="auto"/>
        <w:left w:val="none" w:sz="0" w:space="0" w:color="auto"/>
        <w:bottom w:val="none" w:sz="0" w:space="0" w:color="auto"/>
        <w:right w:val="none" w:sz="0" w:space="0" w:color="auto"/>
      </w:divBdr>
    </w:div>
    <w:div w:id="1126465048">
      <w:bodyDiv w:val="1"/>
      <w:marLeft w:val="0"/>
      <w:marRight w:val="0"/>
      <w:marTop w:val="0"/>
      <w:marBottom w:val="0"/>
      <w:divBdr>
        <w:top w:val="none" w:sz="0" w:space="0" w:color="auto"/>
        <w:left w:val="none" w:sz="0" w:space="0" w:color="auto"/>
        <w:bottom w:val="none" w:sz="0" w:space="0" w:color="auto"/>
        <w:right w:val="none" w:sz="0" w:space="0" w:color="auto"/>
      </w:divBdr>
    </w:div>
    <w:div w:id="1126586675">
      <w:bodyDiv w:val="1"/>
      <w:marLeft w:val="0"/>
      <w:marRight w:val="0"/>
      <w:marTop w:val="0"/>
      <w:marBottom w:val="0"/>
      <w:divBdr>
        <w:top w:val="none" w:sz="0" w:space="0" w:color="auto"/>
        <w:left w:val="none" w:sz="0" w:space="0" w:color="auto"/>
        <w:bottom w:val="none" w:sz="0" w:space="0" w:color="auto"/>
        <w:right w:val="none" w:sz="0" w:space="0" w:color="auto"/>
      </w:divBdr>
    </w:div>
    <w:div w:id="1126772951">
      <w:bodyDiv w:val="1"/>
      <w:marLeft w:val="0"/>
      <w:marRight w:val="0"/>
      <w:marTop w:val="0"/>
      <w:marBottom w:val="0"/>
      <w:divBdr>
        <w:top w:val="none" w:sz="0" w:space="0" w:color="auto"/>
        <w:left w:val="none" w:sz="0" w:space="0" w:color="auto"/>
        <w:bottom w:val="none" w:sz="0" w:space="0" w:color="auto"/>
        <w:right w:val="none" w:sz="0" w:space="0" w:color="auto"/>
      </w:divBdr>
    </w:div>
    <w:div w:id="1126775008">
      <w:bodyDiv w:val="1"/>
      <w:marLeft w:val="0"/>
      <w:marRight w:val="0"/>
      <w:marTop w:val="0"/>
      <w:marBottom w:val="0"/>
      <w:divBdr>
        <w:top w:val="none" w:sz="0" w:space="0" w:color="auto"/>
        <w:left w:val="none" w:sz="0" w:space="0" w:color="auto"/>
        <w:bottom w:val="none" w:sz="0" w:space="0" w:color="auto"/>
        <w:right w:val="none" w:sz="0" w:space="0" w:color="auto"/>
      </w:divBdr>
    </w:div>
    <w:div w:id="1126850317">
      <w:bodyDiv w:val="1"/>
      <w:marLeft w:val="0"/>
      <w:marRight w:val="0"/>
      <w:marTop w:val="0"/>
      <w:marBottom w:val="0"/>
      <w:divBdr>
        <w:top w:val="none" w:sz="0" w:space="0" w:color="auto"/>
        <w:left w:val="none" w:sz="0" w:space="0" w:color="auto"/>
        <w:bottom w:val="none" w:sz="0" w:space="0" w:color="auto"/>
        <w:right w:val="none" w:sz="0" w:space="0" w:color="auto"/>
      </w:divBdr>
    </w:div>
    <w:div w:id="1126965446">
      <w:bodyDiv w:val="1"/>
      <w:marLeft w:val="0"/>
      <w:marRight w:val="0"/>
      <w:marTop w:val="0"/>
      <w:marBottom w:val="0"/>
      <w:divBdr>
        <w:top w:val="none" w:sz="0" w:space="0" w:color="auto"/>
        <w:left w:val="none" w:sz="0" w:space="0" w:color="auto"/>
        <w:bottom w:val="none" w:sz="0" w:space="0" w:color="auto"/>
        <w:right w:val="none" w:sz="0" w:space="0" w:color="auto"/>
      </w:divBdr>
    </w:div>
    <w:div w:id="1126967965">
      <w:bodyDiv w:val="1"/>
      <w:marLeft w:val="0"/>
      <w:marRight w:val="0"/>
      <w:marTop w:val="0"/>
      <w:marBottom w:val="0"/>
      <w:divBdr>
        <w:top w:val="none" w:sz="0" w:space="0" w:color="auto"/>
        <w:left w:val="none" w:sz="0" w:space="0" w:color="auto"/>
        <w:bottom w:val="none" w:sz="0" w:space="0" w:color="auto"/>
        <w:right w:val="none" w:sz="0" w:space="0" w:color="auto"/>
      </w:divBdr>
    </w:div>
    <w:div w:id="1127159295">
      <w:bodyDiv w:val="1"/>
      <w:marLeft w:val="0"/>
      <w:marRight w:val="0"/>
      <w:marTop w:val="0"/>
      <w:marBottom w:val="0"/>
      <w:divBdr>
        <w:top w:val="none" w:sz="0" w:space="0" w:color="auto"/>
        <w:left w:val="none" w:sz="0" w:space="0" w:color="auto"/>
        <w:bottom w:val="none" w:sz="0" w:space="0" w:color="auto"/>
        <w:right w:val="none" w:sz="0" w:space="0" w:color="auto"/>
      </w:divBdr>
    </w:div>
    <w:div w:id="1127351960">
      <w:bodyDiv w:val="1"/>
      <w:marLeft w:val="0"/>
      <w:marRight w:val="0"/>
      <w:marTop w:val="0"/>
      <w:marBottom w:val="0"/>
      <w:divBdr>
        <w:top w:val="none" w:sz="0" w:space="0" w:color="auto"/>
        <w:left w:val="none" w:sz="0" w:space="0" w:color="auto"/>
        <w:bottom w:val="none" w:sz="0" w:space="0" w:color="auto"/>
        <w:right w:val="none" w:sz="0" w:space="0" w:color="auto"/>
      </w:divBdr>
    </w:div>
    <w:div w:id="1127352555">
      <w:bodyDiv w:val="1"/>
      <w:marLeft w:val="0"/>
      <w:marRight w:val="0"/>
      <w:marTop w:val="0"/>
      <w:marBottom w:val="0"/>
      <w:divBdr>
        <w:top w:val="none" w:sz="0" w:space="0" w:color="auto"/>
        <w:left w:val="none" w:sz="0" w:space="0" w:color="auto"/>
        <w:bottom w:val="none" w:sz="0" w:space="0" w:color="auto"/>
        <w:right w:val="none" w:sz="0" w:space="0" w:color="auto"/>
      </w:divBdr>
    </w:div>
    <w:div w:id="1127697156">
      <w:bodyDiv w:val="1"/>
      <w:marLeft w:val="0"/>
      <w:marRight w:val="0"/>
      <w:marTop w:val="0"/>
      <w:marBottom w:val="0"/>
      <w:divBdr>
        <w:top w:val="none" w:sz="0" w:space="0" w:color="auto"/>
        <w:left w:val="none" w:sz="0" w:space="0" w:color="auto"/>
        <w:bottom w:val="none" w:sz="0" w:space="0" w:color="auto"/>
        <w:right w:val="none" w:sz="0" w:space="0" w:color="auto"/>
      </w:divBdr>
    </w:div>
    <w:div w:id="1127813994">
      <w:bodyDiv w:val="1"/>
      <w:marLeft w:val="0"/>
      <w:marRight w:val="0"/>
      <w:marTop w:val="0"/>
      <w:marBottom w:val="0"/>
      <w:divBdr>
        <w:top w:val="none" w:sz="0" w:space="0" w:color="auto"/>
        <w:left w:val="none" w:sz="0" w:space="0" w:color="auto"/>
        <w:bottom w:val="none" w:sz="0" w:space="0" w:color="auto"/>
        <w:right w:val="none" w:sz="0" w:space="0" w:color="auto"/>
      </w:divBdr>
    </w:div>
    <w:div w:id="1127894799">
      <w:bodyDiv w:val="1"/>
      <w:marLeft w:val="0"/>
      <w:marRight w:val="0"/>
      <w:marTop w:val="0"/>
      <w:marBottom w:val="0"/>
      <w:divBdr>
        <w:top w:val="none" w:sz="0" w:space="0" w:color="auto"/>
        <w:left w:val="none" w:sz="0" w:space="0" w:color="auto"/>
        <w:bottom w:val="none" w:sz="0" w:space="0" w:color="auto"/>
        <w:right w:val="none" w:sz="0" w:space="0" w:color="auto"/>
      </w:divBdr>
    </w:div>
    <w:div w:id="1128277044">
      <w:bodyDiv w:val="1"/>
      <w:marLeft w:val="0"/>
      <w:marRight w:val="0"/>
      <w:marTop w:val="0"/>
      <w:marBottom w:val="0"/>
      <w:divBdr>
        <w:top w:val="none" w:sz="0" w:space="0" w:color="auto"/>
        <w:left w:val="none" w:sz="0" w:space="0" w:color="auto"/>
        <w:bottom w:val="none" w:sz="0" w:space="0" w:color="auto"/>
        <w:right w:val="none" w:sz="0" w:space="0" w:color="auto"/>
      </w:divBdr>
    </w:div>
    <w:div w:id="1128352479">
      <w:bodyDiv w:val="1"/>
      <w:marLeft w:val="0"/>
      <w:marRight w:val="0"/>
      <w:marTop w:val="0"/>
      <w:marBottom w:val="0"/>
      <w:divBdr>
        <w:top w:val="none" w:sz="0" w:space="0" w:color="auto"/>
        <w:left w:val="none" w:sz="0" w:space="0" w:color="auto"/>
        <w:bottom w:val="none" w:sz="0" w:space="0" w:color="auto"/>
        <w:right w:val="none" w:sz="0" w:space="0" w:color="auto"/>
      </w:divBdr>
    </w:div>
    <w:div w:id="1128352987">
      <w:bodyDiv w:val="1"/>
      <w:marLeft w:val="0"/>
      <w:marRight w:val="0"/>
      <w:marTop w:val="0"/>
      <w:marBottom w:val="0"/>
      <w:divBdr>
        <w:top w:val="none" w:sz="0" w:space="0" w:color="auto"/>
        <w:left w:val="none" w:sz="0" w:space="0" w:color="auto"/>
        <w:bottom w:val="none" w:sz="0" w:space="0" w:color="auto"/>
        <w:right w:val="none" w:sz="0" w:space="0" w:color="auto"/>
      </w:divBdr>
    </w:div>
    <w:div w:id="1128355630">
      <w:bodyDiv w:val="1"/>
      <w:marLeft w:val="0"/>
      <w:marRight w:val="0"/>
      <w:marTop w:val="0"/>
      <w:marBottom w:val="0"/>
      <w:divBdr>
        <w:top w:val="none" w:sz="0" w:space="0" w:color="auto"/>
        <w:left w:val="none" w:sz="0" w:space="0" w:color="auto"/>
        <w:bottom w:val="none" w:sz="0" w:space="0" w:color="auto"/>
        <w:right w:val="none" w:sz="0" w:space="0" w:color="auto"/>
      </w:divBdr>
    </w:div>
    <w:div w:id="1128399376">
      <w:bodyDiv w:val="1"/>
      <w:marLeft w:val="0"/>
      <w:marRight w:val="0"/>
      <w:marTop w:val="0"/>
      <w:marBottom w:val="0"/>
      <w:divBdr>
        <w:top w:val="none" w:sz="0" w:space="0" w:color="auto"/>
        <w:left w:val="none" w:sz="0" w:space="0" w:color="auto"/>
        <w:bottom w:val="none" w:sz="0" w:space="0" w:color="auto"/>
        <w:right w:val="none" w:sz="0" w:space="0" w:color="auto"/>
      </w:divBdr>
    </w:div>
    <w:div w:id="1128401166">
      <w:bodyDiv w:val="1"/>
      <w:marLeft w:val="0"/>
      <w:marRight w:val="0"/>
      <w:marTop w:val="0"/>
      <w:marBottom w:val="0"/>
      <w:divBdr>
        <w:top w:val="none" w:sz="0" w:space="0" w:color="auto"/>
        <w:left w:val="none" w:sz="0" w:space="0" w:color="auto"/>
        <w:bottom w:val="none" w:sz="0" w:space="0" w:color="auto"/>
        <w:right w:val="none" w:sz="0" w:space="0" w:color="auto"/>
      </w:divBdr>
    </w:div>
    <w:div w:id="1128402423">
      <w:bodyDiv w:val="1"/>
      <w:marLeft w:val="0"/>
      <w:marRight w:val="0"/>
      <w:marTop w:val="0"/>
      <w:marBottom w:val="0"/>
      <w:divBdr>
        <w:top w:val="none" w:sz="0" w:space="0" w:color="auto"/>
        <w:left w:val="none" w:sz="0" w:space="0" w:color="auto"/>
        <w:bottom w:val="none" w:sz="0" w:space="0" w:color="auto"/>
        <w:right w:val="none" w:sz="0" w:space="0" w:color="auto"/>
      </w:divBdr>
    </w:div>
    <w:div w:id="1128596038">
      <w:bodyDiv w:val="1"/>
      <w:marLeft w:val="0"/>
      <w:marRight w:val="0"/>
      <w:marTop w:val="0"/>
      <w:marBottom w:val="0"/>
      <w:divBdr>
        <w:top w:val="none" w:sz="0" w:space="0" w:color="auto"/>
        <w:left w:val="none" w:sz="0" w:space="0" w:color="auto"/>
        <w:bottom w:val="none" w:sz="0" w:space="0" w:color="auto"/>
        <w:right w:val="none" w:sz="0" w:space="0" w:color="auto"/>
      </w:divBdr>
    </w:div>
    <w:div w:id="1128619409">
      <w:bodyDiv w:val="1"/>
      <w:marLeft w:val="0"/>
      <w:marRight w:val="0"/>
      <w:marTop w:val="0"/>
      <w:marBottom w:val="0"/>
      <w:divBdr>
        <w:top w:val="none" w:sz="0" w:space="0" w:color="auto"/>
        <w:left w:val="none" w:sz="0" w:space="0" w:color="auto"/>
        <w:bottom w:val="none" w:sz="0" w:space="0" w:color="auto"/>
        <w:right w:val="none" w:sz="0" w:space="0" w:color="auto"/>
      </w:divBdr>
    </w:div>
    <w:div w:id="1128662328">
      <w:bodyDiv w:val="1"/>
      <w:marLeft w:val="0"/>
      <w:marRight w:val="0"/>
      <w:marTop w:val="0"/>
      <w:marBottom w:val="0"/>
      <w:divBdr>
        <w:top w:val="none" w:sz="0" w:space="0" w:color="auto"/>
        <w:left w:val="none" w:sz="0" w:space="0" w:color="auto"/>
        <w:bottom w:val="none" w:sz="0" w:space="0" w:color="auto"/>
        <w:right w:val="none" w:sz="0" w:space="0" w:color="auto"/>
      </w:divBdr>
    </w:div>
    <w:div w:id="1128932878">
      <w:bodyDiv w:val="1"/>
      <w:marLeft w:val="0"/>
      <w:marRight w:val="0"/>
      <w:marTop w:val="0"/>
      <w:marBottom w:val="0"/>
      <w:divBdr>
        <w:top w:val="none" w:sz="0" w:space="0" w:color="auto"/>
        <w:left w:val="none" w:sz="0" w:space="0" w:color="auto"/>
        <w:bottom w:val="none" w:sz="0" w:space="0" w:color="auto"/>
        <w:right w:val="none" w:sz="0" w:space="0" w:color="auto"/>
      </w:divBdr>
    </w:div>
    <w:div w:id="1129055379">
      <w:bodyDiv w:val="1"/>
      <w:marLeft w:val="0"/>
      <w:marRight w:val="0"/>
      <w:marTop w:val="0"/>
      <w:marBottom w:val="0"/>
      <w:divBdr>
        <w:top w:val="none" w:sz="0" w:space="0" w:color="auto"/>
        <w:left w:val="none" w:sz="0" w:space="0" w:color="auto"/>
        <w:bottom w:val="none" w:sz="0" w:space="0" w:color="auto"/>
        <w:right w:val="none" w:sz="0" w:space="0" w:color="auto"/>
      </w:divBdr>
    </w:div>
    <w:div w:id="1129057762">
      <w:bodyDiv w:val="1"/>
      <w:marLeft w:val="0"/>
      <w:marRight w:val="0"/>
      <w:marTop w:val="0"/>
      <w:marBottom w:val="0"/>
      <w:divBdr>
        <w:top w:val="none" w:sz="0" w:space="0" w:color="auto"/>
        <w:left w:val="none" w:sz="0" w:space="0" w:color="auto"/>
        <w:bottom w:val="none" w:sz="0" w:space="0" w:color="auto"/>
        <w:right w:val="none" w:sz="0" w:space="0" w:color="auto"/>
      </w:divBdr>
    </w:div>
    <w:div w:id="1129126858">
      <w:bodyDiv w:val="1"/>
      <w:marLeft w:val="0"/>
      <w:marRight w:val="0"/>
      <w:marTop w:val="0"/>
      <w:marBottom w:val="0"/>
      <w:divBdr>
        <w:top w:val="none" w:sz="0" w:space="0" w:color="auto"/>
        <w:left w:val="none" w:sz="0" w:space="0" w:color="auto"/>
        <w:bottom w:val="none" w:sz="0" w:space="0" w:color="auto"/>
        <w:right w:val="none" w:sz="0" w:space="0" w:color="auto"/>
      </w:divBdr>
    </w:div>
    <w:div w:id="1129277260">
      <w:bodyDiv w:val="1"/>
      <w:marLeft w:val="0"/>
      <w:marRight w:val="0"/>
      <w:marTop w:val="0"/>
      <w:marBottom w:val="0"/>
      <w:divBdr>
        <w:top w:val="none" w:sz="0" w:space="0" w:color="auto"/>
        <w:left w:val="none" w:sz="0" w:space="0" w:color="auto"/>
        <w:bottom w:val="none" w:sz="0" w:space="0" w:color="auto"/>
        <w:right w:val="none" w:sz="0" w:space="0" w:color="auto"/>
      </w:divBdr>
    </w:div>
    <w:div w:id="1129281996">
      <w:bodyDiv w:val="1"/>
      <w:marLeft w:val="0"/>
      <w:marRight w:val="0"/>
      <w:marTop w:val="0"/>
      <w:marBottom w:val="0"/>
      <w:divBdr>
        <w:top w:val="none" w:sz="0" w:space="0" w:color="auto"/>
        <w:left w:val="none" w:sz="0" w:space="0" w:color="auto"/>
        <w:bottom w:val="none" w:sz="0" w:space="0" w:color="auto"/>
        <w:right w:val="none" w:sz="0" w:space="0" w:color="auto"/>
      </w:divBdr>
    </w:div>
    <w:div w:id="1129283048">
      <w:bodyDiv w:val="1"/>
      <w:marLeft w:val="0"/>
      <w:marRight w:val="0"/>
      <w:marTop w:val="0"/>
      <w:marBottom w:val="0"/>
      <w:divBdr>
        <w:top w:val="none" w:sz="0" w:space="0" w:color="auto"/>
        <w:left w:val="none" w:sz="0" w:space="0" w:color="auto"/>
        <w:bottom w:val="none" w:sz="0" w:space="0" w:color="auto"/>
        <w:right w:val="none" w:sz="0" w:space="0" w:color="auto"/>
      </w:divBdr>
    </w:div>
    <w:div w:id="1129283131">
      <w:bodyDiv w:val="1"/>
      <w:marLeft w:val="0"/>
      <w:marRight w:val="0"/>
      <w:marTop w:val="0"/>
      <w:marBottom w:val="0"/>
      <w:divBdr>
        <w:top w:val="none" w:sz="0" w:space="0" w:color="auto"/>
        <w:left w:val="none" w:sz="0" w:space="0" w:color="auto"/>
        <w:bottom w:val="none" w:sz="0" w:space="0" w:color="auto"/>
        <w:right w:val="none" w:sz="0" w:space="0" w:color="auto"/>
      </w:divBdr>
    </w:div>
    <w:div w:id="1129320147">
      <w:bodyDiv w:val="1"/>
      <w:marLeft w:val="0"/>
      <w:marRight w:val="0"/>
      <w:marTop w:val="0"/>
      <w:marBottom w:val="0"/>
      <w:divBdr>
        <w:top w:val="none" w:sz="0" w:space="0" w:color="auto"/>
        <w:left w:val="none" w:sz="0" w:space="0" w:color="auto"/>
        <w:bottom w:val="none" w:sz="0" w:space="0" w:color="auto"/>
        <w:right w:val="none" w:sz="0" w:space="0" w:color="auto"/>
      </w:divBdr>
    </w:div>
    <w:div w:id="1129325098">
      <w:bodyDiv w:val="1"/>
      <w:marLeft w:val="0"/>
      <w:marRight w:val="0"/>
      <w:marTop w:val="0"/>
      <w:marBottom w:val="0"/>
      <w:divBdr>
        <w:top w:val="none" w:sz="0" w:space="0" w:color="auto"/>
        <w:left w:val="none" w:sz="0" w:space="0" w:color="auto"/>
        <w:bottom w:val="none" w:sz="0" w:space="0" w:color="auto"/>
        <w:right w:val="none" w:sz="0" w:space="0" w:color="auto"/>
      </w:divBdr>
    </w:div>
    <w:div w:id="1129515883">
      <w:bodyDiv w:val="1"/>
      <w:marLeft w:val="0"/>
      <w:marRight w:val="0"/>
      <w:marTop w:val="0"/>
      <w:marBottom w:val="0"/>
      <w:divBdr>
        <w:top w:val="none" w:sz="0" w:space="0" w:color="auto"/>
        <w:left w:val="none" w:sz="0" w:space="0" w:color="auto"/>
        <w:bottom w:val="none" w:sz="0" w:space="0" w:color="auto"/>
        <w:right w:val="none" w:sz="0" w:space="0" w:color="auto"/>
      </w:divBdr>
    </w:div>
    <w:div w:id="1129520105">
      <w:bodyDiv w:val="1"/>
      <w:marLeft w:val="0"/>
      <w:marRight w:val="0"/>
      <w:marTop w:val="0"/>
      <w:marBottom w:val="0"/>
      <w:divBdr>
        <w:top w:val="none" w:sz="0" w:space="0" w:color="auto"/>
        <w:left w:val="none" w:sz="0" w:space="0" w:color="auto"/>
        <w:bottom w:val="none" w:sz="0" w:space="0" w:color="auto"/>
        <w:right w:val="none" w:sz="0" w:space="0" w:color="auto"/>
      </w:divBdr>
    </w:div>
    <w:div w:id="1129591372">
      <w:bodyDiv w:val="1"/>
      <w:marLeft w:val="0"/>
      <w:marRight w:val="0"/>
      <w:marTop w:val="0"/>
      <w:marBottom w:val="0"/>
      <w:divBdr>
        <w:top w:val="none" w:sz="0" w:space="0" w:color="auto"/>
        <w:left w:val="none" w:sz="0" w:space="0" w:color="auto"/>
        <w:bottom w:val="none" w:sz="0" w:space="0" w:color="auto"/>
        <w:right w:val="none" w:sz="0" w:space="0" w:color="auto"/>
      </w:divBdr>
    </w:div>
    <w:div w:id="1129668715">
      <w:bodyDiv w:val="1"/>
      <w:marLeft w:val="0"/>
      <w:marRight w:val="0"/>
      <w:marTop w:val="0"/>
      <w:marBottom w:val="0"/>
      <w:divBdr>
        <w:top w:val="none" w:sz="0" w:space="0" w:color="auto"/>
        <w:left w:val="none" w:sz="0" w:space="0" w:color="auto"/>
        <w:bottom w:val="none" w:sz="0" w:space="0" w:color="auto"/>
        <w:right w:val="none" w:sz="0" w:space="0" w:color="auto"/>
      </w:divBdr>
    </w:div>
    <w:div w:id="1129669091">
      <w:bodyDiv w:val="1"/>
      <w:marLeft w:val="0"/>
      <w:marRight w:val="0"/>
      <w:marTop w:val="0"/>
      <w:marBottom w:val="0"/>
      <w:divBdr>
        <w:top w:val="none" w:sz="0" w:space="0" w:color="auto"/>
        <w:left w:val="none" w:sz="0" w:space="0" w:color="auto"/>
        <w:bottom w:val="none" w:sz="0" w:space="0" w:color="auto"/>
        <w:right w:val="none" w:sz="0" w:space="0" w:color="auto"/>
      </w:divBdr>
    </w:div>
    <w:div w:id="1129779722">
      <w:bodyDiv w:val="1"/>
      <w:marLeft w:val="0"/>
      <w:marRight w:val="0"/>
      <w:marTop w:val="0"/>
      <w:marBottom w:val="0"/>
      <w:divBdr>
        <w:top w:val="none" w:sz="0" w:space="0" w:color="auto"/>
        <w:left w:val="none" w:sz="0" w:space="0" w:color="auto"/>
        <w:bottom w:val="none" w:sz="0" w:space="0" w:color="auto"/>
        <w:right w:val="none" w:sz="0" w:space="0" w:color="auto"/>
      </w:divBdr>
    </w:div>
    <w:div w:id="1129788621">
      <w:bodyDiv w:val="1"/>
      <w:marLeft w:val="0"/>
      <w:marRight w:val="0"/>
      <w:marTop w:val="0"/>
      <w:marBottom w:val="0"/>
      <w:divBdr>
        <w:top w:val="none" w:sz="0" w:space="0" w:color="auto"/>
        <w:left w:val="none" w:sz="0" w:space="0" w:color="auto"/>
        <w:bottom w:val="none" w:sz="0" w:space="0" w:color="auto"/>
        <w:right w:val="none" w:sz="0" w:space="0" w:color="auto"/>
      </w:divBdr>
    </w:div>
    <w:div w:id="1129857379">
      <w:bodyDiv w:val="1"/>
      <w:marLeft w:val="0"/>
      <w:marRight w:val="0"/>
      <w:marTop w:val="0"/>
      <w:marBottom w:val="0"/>
      <w:divBdr>
        <w:top w:val="none" w:sz="0" w:space="0" w:color="auto"/>
        <w:left w:val="none" w:sz="0" w:space="0" w:color="auto"/>
        <w:bottom w:val="none" w:sz="0" w:space="0" w:color="auto"/>
        <w:right w:val="none" w:sz="0" w:space="0" w:color="auto"/>
      </w:divBdr>
    </w:div>
    <w:div w:id="1129857628">
      <w:bodyDiv w:val="1"/>
      <w:marLeft w:val="0"/>
      <w:marRight w:val="0"/>
      <w:marTop w:val="0"/>
      <w:marBottom w:val="0"/>
      <w:divBdr>
        <w:top w:val="none" w:sz="0" w:space="0" w:color="auto"/>
        <w:left w:val="none" w:sz="0" w:space="0" w:color="auto"/>
        <w:bottom w:val="none" w:sz="0" w:space="0" w:color="auto"/>
        <w:right w:val="none" w:sz="0" w:space="0" w:color="auto"/>
      </w:divBdr>
    </w:div>
    <w:div w:id="1129930404">
      <w:bodyDiv w:val="1"/>
      <w:marLeft w:val="0"/>
      <w:marRight w:val="0"/>
      <w:marTop w:val="0"/>
      <w:marBottom w:val="0"/>
      <w:divBdr>
        <w:top w:val="none" w:sz="0" w:space="0" w:color="auto"/>
        <w:left w:val="none" w:sz="0" w:space="0" w:color="auto"/>
        <w:bottom w:val="none" w:sz="0" w:space="0" w:color="auto"/>
        <w:right w:val="none" w:sz="0" w:space="0" w:color="auto"/>
      </w:divBdr>
    </w:div>
    <w:div w:id="1130049864">
      <w:bodyDiv w:val="1"/>
      <w:marLeft w:val="0"/>
      <w:marRight w:val="0"/>
      <w:marTop w:val="0"/>
      <w:marBottom w:val="0"/>
      <w:divBdr>
        <w:top w:val="none" w:sz="0" w:space="0" w:color="auto"/>
        <w:left w:val="none" w:sz="0" w:space="0" w:color="auto"/>
        <w:bottom w:val="none" w:sz="0" w:space="0" w:color="auto"/>
        <w:right w:val="none" w:sz="0" w:space="0" w:color="auto"/>
      </w:divBdr>
    </w:div>
    <w:div w:id="1130198787">
      <w:bodyDiv w:val="1"/>
      <w:marLeft w:val="0"/>
      <w:marRight w:val="0"/>
      <w:marTop w:val="0"/>
      <w:marBottom w:val="0"/>
      <w:divBdr>
        <w:top w:val="none" w:sz="0" w:space="0" w:color="auto"/>
        <w:left w:val="none" w:sz="0" w:space="0" w:color="auto"/>
        <w:bottom w:val="none" w:sz="0" w:space="0" w:color="auto"/>
        <w:right w:val="none" w:sz="0" w:space="0" w:color="auto"/>
      </w:divBdr>
    </w:div>
    <w:div w:id="1130248330">
      <w:bodyDiv w:val="1"/>
      <w:marLeft w:val="0"/>
      <w:marRight w:val="0"/>
      <w:marTop w:val="0"/>
      <w:marBottom w:val="0"/>
      <w:divBdr>
        <w:top w:val="none" w:sz="0" w:space="0" w:color="auto"/>
        <w:left w:val="none" w:sz="0" w:space="0" w:color="auto"/>
        <w:bottom w:val="none" w:sz="0" w:space="0" w:color="auto"/>
        <w:right w:val="none" w:sz="0" w:space="0" w:color="auto"/>
      </w:divBdr>
    </w:div>
    <w:div w:id="1130250690">
      <w:bodyDiv w:val="1"/>
      <w:marLeft w:val="0"/>
      <w:marRight w:val="0"/>
      <w:marTop w:val="0"/>
      <w:marBottom w:val="0"/>
      <w:divBdr>
        <w:top w:val="none" w:sz="0" w:space="0" w:color="auto"/>
        <w:left w:val="none" w:sz="0" w:space="0" w:color="auto"/>
        <w:bottom w:val="none" w:sz="0" w:space="0" w:color="auto"/>
        <w:right w:val="none" w:sz="0" w:space="0" w:color="auto"/>
      </w:divBdr>
    </w:div>
    <w:div w:id="1130318639">
      <w:bodyDiv w:val="1"/>
      <w:marLeft w:val="0"/>
      <w:marRight w:val="0"/>
      <w:marTop w:val="0"/>
      <w:marBottom w:val="0"/>
      <w:divBdr>
        <w:top w:val="none" w:sz="0" w:space="0" w:color="auto"/>
        <w:left w:val="none" w:sz="0" w:space="0" w:color="auto"/>
        <w:bottom w:val="none" w:sz="0" w:space="0" w:color="auto"/>
        <w:right w:val="none" w:sz="0" w:space="0" w:color="auto"/>
      </w:divBdr>
    </w:div>
    <w:div w:id="1130392464">
      <w:bodyDiv w:val="1"/>
      <w:marLeft w:val="0"/>
      <w:marRight w:val="0"/>
      <w:marTop w:val="0"/>
      <w:marBottom w:val="0"/>
      <w:divBdr>
        <w:top w:val="none" w:sz="0" w:space="0" w:color="auto"/>
        <w:left w:val="none" w:sz="0" w:space="0" w:color="auto"/>
        <w:bottom w:val="none" w:sz="0" w:space="0" w:color="auto"/>
        <w:right w:val="none" w:sz="0" w:space="0" w:color="auto"/>
      </w:divBdr>
    </w:div>
    <w:div w:id="1130440999">
      <w:bodyDiv w:val="1"/>
      <w:marLeft w:val="0"/>
      <w:marRight w:val="0"/>
      <w:marTop w:val="0"/>
      <w:marBottom w:val="0"/>
      <w:divBdr>
        <w:top w:val="none" w:sz="0" w:space="0" w:color="auto"/>
        <w:left w:val="none" w:sz="0" w:space="0" w:color="auto"/>
        <w:bottom w:val="none" w:sz="0" w:space="0" w:color="auto"/>
        <w:right w:val="none" w:sz="0" w:space="0" w:color="auto"/>
      </w:divBdr>
    </w:div>
    <w:div w:id="1130511525">
      <w:bodyDiv w:val="1"/>
      <w:marLeft w:val="0"/>
      <w:marRight w:val="0"/>
      <w:marTop w:val="0"/>
      <w:marBottom w:val="0"/>
      <w:divBdr>
        <w:top w:val="none" w:sz="0" w:space="0" w:color="auto"/>
        <w:left w:val="none" w:sz="0" w:space="0" w:color="auto"/>
        <w:bottom w:val="none" w:sz="0" w:space="0" w:color="auto"/>
        <w:right w:val="none" w:sz="0" w:space="0" w:color="auto"/>
      </w:divBdr>
    </w:div>
    <w:div w:id="1130781923">
      <w:bodyDiv w:val="1"/>
      <w:marLeft w:val="0"/>
      <w:marRight w:val="0"/>
      <w:marTop w:val="0"/>
      <w:marBottom w:val="0"/>
      <w:divBdr>
        <w:top w:val="none" w:sz="0" w:space="0" w:color="auto"/>
        <w:left w:val="none" w:sz="0" w:space="0" w:color="auto"/>
        <w:bottom w:val="none" w:sz="0" w:space="0" w:color="auto"/>
        <w:right w:val="none" w:sz="0" w:space="0" w:color="auto"/>
      </w:divBdr>
    </w:div>
    <w:div w:id="1130903075">
      <w:bodyDiv w:val="1"/>
      <w:marLeft w:val="0"/>
      <w:marRight w:val="0"/>
      <w:marTop w:val="0"/>
      <w:marBottom w:val="0"/>
      <w:divBdr>
        <w:top w:val="none" w:sz="0" w:space="0" w:color="auto"/>
        <w:left w:val="none" w:sz="0" w:space="0" w:color="auto"/>
        <w:bottom w:val="none" w:sz="0" w:space="0" w:color="auto"/>
        <w:right w:val="none" w:sz="0" w:space="0" w:color="auto"/>
      </w:divBdr>
    </w:div>
    <w:div w:id="1130976698">
      <w:bodyDiv w:val="1"/>
      <w:marLeft w:val="0"/>
      <w:marRight w:val="0"/>
      <w:marTop w:val="0"/>
      <w:marBottom w:val="0"/>
      <w:divBdr>
        <w:top w:val="none" w:sz="0" w:space="0" w:color="auto"/>
        <w:left w:val="none" w:sz="0" w:space="0" w:color="auto"/>
        <w:bottom w:val="none" w:sz="0" w:space="0" w:color="auto"/>
        <w:right w:val="none" w:sz="0" w:space="0" w:color="auto"/>
      </w:divBdr>
    </w:div>
    <w:div w:id="1131094173">
      <w:bodyDiv w:val="1"/>
      <w:marLeft w:val="0"/>
      <w:marRight w:val="0"/>
      <w:marTop w:val="0"/>
      <w:marBottom w:val="0"/>
      <w:divBdr>
        <w:top w:val="none" w:sz="0" w:space="0" w:color="auto"/>
        <w:left w:val="none" w:sz="0" w:space="0" w:color="auto"/>
        <w:bottom w:val="none" w:sz="0" w:space="0" w:color="auto"/>
        <w:right w:val="none" w:sz="0" w:space="0" w:color="auto"/>
      </w:divBdr>
    </w:div>
    <w:div w:id="1131240477">
      <w:bodyDiv w:val="1"/>
      <w:marLeft w:val="0"/>
      <w:marRight w:val="0"/>
      <w:marTop w:val="0"/>
      <w:marBottom w:val="0"/>
      <w:divBdr>
        <w:top w:val="none" w:sz="0" w:space="0" w:color="auto"/>
        <w:left w:val="none" w:sz="0" w:space="0" w:color="auto"/>
        <w:bottom w:val="none" w:sz="0" w:space="0" w:color="auto"/>
        <w:right w:val="none" w:sz="0" w:space="0" w:color="auto"/>
      </w:divBdr>
    </w:div>
    <w:div w:id="1131249276">
      <w:bodyDiv w:val="1"/>
      <w:marLeft w:val="0"/>
      <w:marRight w:val="0"/>
      <w:marTop w:val="0"/>
      <w:marBottom w:val="0"/>
      <w:divBdr>
        <w:top w:val="none" w:sz="0" w:space="0" w:color="auto"/>
        <w:left w:val="none" w:sz="0" w:space="0" w:color="auto"/>
        <w:bottom w:val="none" w:sz="0" w:space="0" w:color="auto"/>
        <w:right w:val="none" w:sz="0" w:space="0" w:color="auto"/>
      </w:divBdr>
    </w:div>
    <w:div w:id="1131290393">
      <w:bodyDiv w:val="1"/>
      <w:marLeft w:val="0"/>
      <w:marRight w:val="0"/>
      <w:marTop w:val="0"/>
      <w:marBottom w:val="0"/>
      <w:divBdr>
        <w:top w:val="none" w:sz="0" w:space="0" w:color="auto"/>
        <w:left w:val="none" w:sz="0" w:space="0" w:color="auto"/>
        <w:bottom w:val="none" w:sz="0" w:space="0" w:color="auto"/>
        <w:right w:val="none" w:sz="0" w:space="0" w:color="auto"/>
      </w:divBdr>
    </w:div>
    <w:div w:id="1131435499">
      <w:bodyDiv w:val="1"/>
      <w:marLeft w:val="0"/>
      <w:marRight w:val="0"/>
      <w:marTop w:val="0"/>
      <w:marBottom w:val="0"/>
      <w:divBdr>
        <w:top w:val="none" w:sz="0" w:space="0" w:color="auto"/>
        <w:left w:val="none" w:sz="0" w:space="0" w:color="auto"/>
        <w:bottom w:val="none" w:sz="0" w:space="0" w:color="auto"/>
        <w:right w:val="none" w:sz="0" w:space="0" w:color="auto"/>
      </w:divBdr>
    </w:div>
    <w:div w:id="1131437171">
      <w:bodyDiv w:val="1"/>
      <w:marLeft w:val="0"/>
      <w:marRight w:val="0"/>
      <w:marTop w:val="0"/>
      <w:marBottom w:val="0"/>
      <w:divBdr>
        <w:top w:val="none" w:sz="0" w:space="0" w:color="auto"/>
        <w:left w:val="none" w:sz="0" w:space="0" w:color="auto"/>
        <w:bottom w:val="none" w:sz="0" w:space="0" w:color="auto"/>
        <w:right w:val="none" w:sz="0" w:space="0" w:color="auto"/>
      </w:divBdr>
    </w:div>
    <w:div w:id="1131481491">
      <w:bodyDiv w:val="1"/>
      <w:marLeft w:val="0"/>
      <w:marRight w:val="0"/>
      <w:marTop w:val="0"/>
      <w:marBottom w:val="0"/>
      <w:divBdr>
        <w:top w:val="none" w:sz="0" w:space="0" w:color="auto"/>
        <w:left w:val="none" w:sz="0" w:space="0" w:color="auto"/>
        <w:bottom w:val="none" w:sz="0" w:space="0" w:color="auto"/>
        <w:right w:val="none" w:sz="0" w:space="0" w:color="auto"/>
      </w:divBdr>
    </w:div>
    <w:div w:id="1131486054">
      <w:bodyDiv w:val="1"/>
      <w:marLeft w:val="0"/>
      <w:marRight w:val="0"/>
      <w:marTop w:val="0"/>
      <w:marBottom w:val="0"/>
      <w:divBdr>
        <w:top w:val="none" w:sz="0" w:space="0" w:color="auto"/>
        <w:left w:val="none" w:sz="0" w:space="0" w:color="auto"/>
        <w:bottom w:val="none" w:sz="0" w:space="0" w:color="auto"/>
        <w:right w:val="none" w:sz="0" w:space="0" w:color="auto"/>
      </w:divBdr>
    </w:div>
    <w:div w:id="1131509383">
      <w:bodyDiv w:val="1"/>
      <w:marLeft w:val="0"/>
      <w:marRight w:val="0"/>
      <w:marTop w:val="0"/>
      <w:marBottom w:val="0"/>
      <w:divBdr>
        <w:top w:val="none" w:sz="0" w:space="0" w:color="auto"/>
        <w:left w:val="none" w:sz="0" w:space="0" w:color="auto"/>
        <w:bottom w:val="none" w:sz="0" w:space="0" w:color="auto"/>
        <w:right w:val="none" w:sz="0" w:space="0" w:color="auto"/>
      </w:divBdr>
    </w:div>
    <w:div w:id="1131552032">
      <w:bodyDiv w:val="1"/>
      <w:marLeft w:val="0"/>
      <w:marRight w:val="0"/>
      <w:marTop w:val="0"/>
      <w:marBottom w:val="0"/>
      <w:divBdr>
        <w:top w:val="none" w:sz="0" w:space="0" w:color="auto"/>
        <w:left w:val="none" w:sz="0" w:space="0" w:color="auto"/>
        <w:bottom w:val="none" w:sz="0" w:space="0" w:color="auto"/>
        <w:right w:val="none" w:sz="0" w:space="0" w:color="auto"/>
      </w:divBdr>
    </w:div>
    <w:div w:id="1131554569">
      <w:bodyDiv w:val="1"/>
      <w:marLeft w:val="0"/>
      <w:marRight w:val="0"/>
      <w:marTop w:val="0"/>
      <w:marBottom w:val="0"/>
      <w:divBdr>
        <w:top w:val="none" w:sz="0" w:space="0" w:color="auto"/>
        <w:left w:val="none" w:sz="0" w:space="0" w:color="auto"/>
        <w:bottom w:val="none" w:sz="0" w:space="0" w:color="auto"/>
        <w:right w:val="none" w:sz="0" w:space="0" w:color="auto"/>
      </w:divBdr>
    </w:div>
    <w:div w:id="1131630027">
      <w:bodyDiv w:val="1"/>
      <w:marLeft w:val="0"/>
      <w:marRight w:val="0"/>
      <w:marTop w:val="0"/>
      <w:marBottom w:val="0"/>
      <w:divBdr>
        <w:top w:val="none" w:sz="0" w:space="0" w:color="auto"/>
        <w:left w:val="none" w:sz="0" w:space="0" w:color="auto"/>
        <w:bottom w:val="none" w:sz="0" w:space="0" w:color="auto"/>
        <w:right w:val="none" w:sz="0" w:space="0" w:color="auto"/>
      </w:divBdr>
    </w:div>
    <w:div w:id="1131747344">
      <w:bodyDiv w:val="1"/>
      <w:marLeft w:val="0"/>
      <w:marRight w:val="0"/>
      <w:marTop w:val="0"/>
      <w:marBottom w:val="0"/>
      <w:divBdr>
        <w:top w:val="none" w:sz="0" w:space="0" w:color="auto"/>
        <w:left w:val="none" w:sz="0" w:space="0" w:color="auto"/>
        <w:bottom w:val="none" w:sz="0" w:space="0" w:color="auto"/>
        <w:right w:val="none" w:sz="0" w:space="0" w:color="auto"/>
      </w:divBdr>
    </w:div>
    <w:div w:id="1131828065">
      <w:bodyDiv w:val="1"/>
      <w:marLeft w:val="0"/>
      <w:marRight w:val="0"/>
      <w:marTop w:val="0"/>
      <w:marBottom w:val="0"/>
      <w:divBdr>
        <w:top w:val="none" w:sz="0" w:space="0" w:color="auto"/>
        <w:left w:val="none" w:sz="0" w:space="0" w:color="auto"/>
        <w:bottom w:val="none" w:sz="0" w:space="0" w:color="auto"/>
        <w:right w:val="none" w:sz="0" w:space="0" w:color="auto"/>
      </w:divBdr>
    </w:div>
    <w:div w:id="1131898666">
      <w:bodyDiv w:val="1"/>
      <w:marLeft w:val="0"/>
      <w:marRight w:val="0"/>
      <w:marTop w:val="0"/>
      <w:marBottom w:val="0"/>
      <w:divBdr>
        <w:top w:val="none" w:sz="0" w:space="0" w:color="auto"/>
        <w:left w:val="none" w:sz="0" w:space="0" w:color="auto"/>
        <w:bottom w:val="none" w:sz="0" w:space="0" w:color="auto"/>
        <w:right w:val="none" w:sz="0" w:space="0" w:color="auto"/>
      </w:divBdr>
    </w:div>
    <w:div w:id="1132098026">
      <w:bodyDiv w:val="1"/>
      <w:marLeft w:val="0"/>
      <w:marRight w:val="0"/>
      <w:marTop w:val="0"/>
      <w:marBottom w:val="0"/>
      <w:divBdr>
        <w:top w:val="none" w:sz="0" w:space="0" w:color="auto"/>
        <w:left w:val="none" w:sz="0" w:space="0" w:color="auto"/>
        <w:bottom w:val="none" w:sz="0" w:space="0" w:color="auto"/>
        <w:right w:val="none" w:sz="0" w:space="0" w:color="auto"/>
      </w:divBdr>
    </w:div>
    <w:div w:id="1132282373">
      <w:bodyDiv w:val="1"/>
      <w:marLeft w:val="0"/>
      <w:marRight w:val="0"/>
      <w:marTop w:val="0"/>
      <w:marBottom w:val="0"/>
      <w:divBdr>
        <w:top w:val="none" w:sz="0" w:space="0" w:color="auto"/>
        <w:left w:val="none" w:sz="0" w:space="0" w:color="auto"/>
        <w:bottom w:val="none" w:sz="0" w:space="0" w:color="auto"/>
        <w:right w:val="none" w:sz="0" w:space="0" w:color="auto"/>
      </w:divBdr>
    </w:div>
    <w:div w:id="1132287613">
      <w:bodyDiv w:val="1"/>
      <w:marLeft w:val="0"/>
      <w:marRight w:val="0"/>
      <w:marTop w:val="0"/>
      <w:marBottom w:val="0"/>
      <w:divBdr>
        <w:top w:val="none" w:sz="0" w:space="0" w:color="auto"/>
        <w:left w:val="none" w:sz="0" w:space="0" w:color="auto"/>
        <w:bottom w:val="none" w:sz="0" w:space="0" w:color="auto"/>
        <w:right w:val="none" w:sz="0" w:space="0" w:color="auto"/>
      </w:divBdr>
    </w:div>
    <w:div w:id="1132291820">
      <w:bodyDiv w:val="1"/>
      <w:marLeft w:val="0"/>
      <w:marRight w:val="0"/>
      <w:marTop w:val="0"/>
      <w:marBottom w:val="0"/>
      <w:divBdr>
        <w:top w:val="none" w:sz="0" w:space="0" w:color="auto"/>
        <w:left w:val="none" w:sz="0" w:space="0" w:color="auto"/>
        <w:bottom w:val="none" w:sz="0" w:space="0" w:color="auto"/>
        <w:right w:val="none" w:sz="0" w:space="0" w:color="auto"/>
      </w:divBdr>
    </w:div>
    <w:div w:id="1132292059">
      <w:bodyDiv w:val="1"/>
      <w:marLeft w:val="0"/>
      <w:marRight w:val="0"/>
      <w:marTop w:val="0"/>
      <w:marBottom w:val="0"/>
      <w:divBdr>
        <w:top w:val="none" w:sz="0" w:space="0" w:color="auto"/>
        <w:left w:val="none" w:sz="0" w:space="0" w:color="auto"/>
        <w:bottom w:val="none" w:sz="0" w:space="0" w:color="auto"/>
        <w:right w:val="none" w:sz="0" w:space="0" w:color="auto"/>
      </w:divBdr>
    </w:div>
    <w:div w:id="1132359521">
      <w:bodyDiv w:val="1"/>
      <w:marLeft w:val="0"/>
      <w:marRight w:val="0"/>
      <w:marTop w:val="0"/>
      <w:marBottom w:val="0"/>
      <w:divBdr>
        <w:top w:val="none" w:sz="0" w:space="0" w:color="auto"/>
        <w:left w:val="none" w:sz="0" w:space="0" w:color="auto"/>
        <w:bottom w:val="none" w:sz="0" w:space="0" w:color="auto"/>
        <w:right w:val="none" w:sz="0" w:space="0" w:color="auto"/>
      </w:divBdr>
    </w:div>
    <w:div w:id="1132361769">
      <w:bodyDiv w:val="1"/>
      <w:marLeft w:val="0"/>
      <w:marRight w:val="0"/>
      <w:marTop w:val="0"/>
      <w:marBottom w:val="0"/>
      <w:divBdr>
        <w:top w:val="none" w:sz="0" w:space="0" w:color="auto"/>
        <w:left w:val="none" w:sz="0" w:space="0" w:color="auto"/>
        <w:bottom w:val="none" w:sz="0" w:space="0" w:color="auto"/>
        <w:right w:val="none" w:sz="0" w:space="0" w:color="auto"/>
      </w:divBdr>
    </w:div>
    <w:div w:id="1132404021">
      <w:bodyDiv w:val="1"/>
      <w:marLeft w:val="0"/>
      <w:marRight w:val="0"/>
      <w:marTop w:val="0"/>
      <w:marBottom w:val="0"/>
      <w:divBdr>
        <w:top w:val="none" w:sz="0" w:space="0" w:color="auto"/>
        <w:left w:val="none" w:sz="0" w:space="0" w:color="auto"/>
        <w:bottom w:val="none" w:sz="0" w:space="0" w:color="auto"/>
        <w:right w:val="none" w:sz="0" w:space="0" w:color="auto"/>
      </w:divBdr>
    </w:div>
    <w:div w:id="1132406963">
      <w:bodyDiv w:val="1"/>
      <w:marLeft w:val="0"/>
      <w:marRight w:val="0"/>
      <w:marTop w:val="0"/>
      <w:marBottom w:val="0"/>
      <w:divBdr>
        <w:top w:val="none" w:sz="0" w:space="0" w:color="auto"/>
        <w:left w:val="none" w:sz="0" w:space="0" w:color="auto"/>
        <w:bottom w:val="none" w:sz="0" w:space="0" w:color="auto"/>
        <w:right w:val="none" w:sz="0" w:space="0" w:color="auto"/>
      </w:divBdr>
    </w:div>
    <w:div w:id="1132409080">
      <w:bodyDiv w:val="1"/>
      <w:marLeft w:val="0"/>
      <w:marRight w:val="0"/>
      <w:marTop w:val="0"/>
      <w:marBottom w:val="0"/>
      <w:divBdr>
        <w:top w:val="none" w:sz="0" w:space="0" w:color="auto"/>
        <w:left w:val="none" w:sz="0" w:space="0" w:color="auto"/>
        <w:bottom w:val="none" w:sz="0" w:space="0" w:color="auto"/>
        <w:right w:val="none" w:sz="0" w:space="0" w:color="auto"/>
      </w:divBdr>
    </w:div>
    <w:div w:id="1132678583">
      <w:bodyDiv w:val="1"/>
      <w:marLeft w:val="0"/>
      <w:marRight w:val="0"/>
      <w:marTop w:val="0"/>
      <w:marBottom w:val="0"/>
      <w:divBdr>
        <w:top w:val="none" w:sz="0" w:space="0" w:color="auto"/>
        <w:left w:val="none" w:sz="0" w:space="0" w:color="auto"/>
        <w:bottom w:val="none" w:sz="0" w:space="0" w:color="auto"/>
        <w:right w:val="none" w:sz="0" w:space="0" w:color="auto"/>
      </w:divBdr>
    </w:div>
    <w:div w:id="1132792941">
      <w:bodyDiv w:val="1"/>
      <w:marLeft w:val="0"/>
      <w:marRight w:val="0"/>
      <w:marTop w:val="0"/>
      <w:marBottom w:val="0"/>
      <w:divBdr>
        <w:top w:val="none" w:sz="0" w:space="0" w:color="auto"/>
        <w:left w:val="none" w:sz="0" w:space="0" w:color="auto"/>
        <w:bottom w:val="none" w:sz="0" w:space="0" w:color="auto"/>
        <w:right w:val="none" w:sz="0" w:space="0" w:color="auto"/>
      </w:divBdr>
    </w:div>
    <w:div w:id="1132862267">
      <w:bodyDiv w:val="1"/>
      <w:marLeft w:val="0"/>
      <w:marRight w:val="0"/>
      <w:marTop w:val="0"/>
      <w:marBottom w:val="0"/>
      <w:divBdr>
        <w:top w:val="none" w:sz="0" w:space="0" w:color="auto"/>
        <w:left w:val="none" w:sz="0" w:space="0" w:color="auto"/>
        <w:bottom w:val="none" w:sz="0" w:space="0" w:color="auto"/>
        <w:right w:val="none" w:sz="0" w:space="0" w:color="auto"/>
      </w:divBdr>
    </w:div>
    <w:div w:id="1133016954">
      <w:bodyDiv w:val="1"/>
      <w:marLeft w:val="0"/>
      <w:marRight w:val="0"/>
      <w:marTop w:val="0"/>
      <w:marBottom w:val="0"/>
      <w:divBdr>
        <w:top w:val="none" w:sz="0" w:space="0" w:color="auto"/>
        <w:left w:val="none" w:sz="0" w:space="0" w:color="auto"/>
        <w:bottom w:val="none" w:sz="0" w:space="0" w:color="auto"/>
        <w:right w:val="none" w:sz="0" w:space="0" w:color="auto"/>
      </w:divBdr>
    </w:div>
    <w:div w:id="1133057295">
      <w:bodyDiv w:val="1"/>
      <w:marLeft w:val="0"/>
      <w:marRight w:val="0"/>
      <w:marTop w:val="0"/>
      <w:marBottom w:val="0"/>
      <w:divBdr>
        <w:top w:val="none" w:sz="0" w:space="0" w:color="auto"/>
        <w:left w:val="none" w:sz="0" w:space="0" w:color="auto"/>
        <w:bottom w:val="none" w:sz="0" w:space="0" w:color="auto"/>
        <w:right w:val="none" w:sz="0" w:space="0" w:color="auto"/>
      </w:divBdr>
    </w:div>
    <w:div w:id="1133063289">
      <w:bodyDiv w:val="1"/>
      <w:marLeft w:val="0"/>
      <w:marRight w:val="0"/>
      <w:marTop w:val="0"/>
      <w:marBottom w:val="0"/>
      <w:divBdr>
        <w:top w:val="none" w:sz="0" w:space="0" w:color="auto"/>
        <w:left w:val="none" w:sz="0" w:space="0" w:color="auto"/>
        <w:bottom w:val="none" w:sz="0" w:space="0" w:color="auto"/>
        <w:right w:val="none" w:sz="0" w:space="0" w:color="auto"/>
      </w:divBdr>
    </w:div>
    <w:div w:id="1133064689">
      <w:bodyDiv w:val="1"/>
      <w:marLeft w:val="0"/>
      <w:marRight w:val="0"/>
      <w:marTop w:val="0"/>
      <w:marBottom w:val="0"/>
      <w:divBdr>
        <w:top w:val="none" w:sz="0" w:space="0" w:color="auto"/>
        <w:left w:val="none" w:sz="0" w:space="0" w:color="auto"/>
        <w:bottom w:val="none" w:sz="0" w:space="0" w:color="auto"/>
        <w:right w:val="none" w:sz="0" w:space="0" w:color="auto"/>
      </w:divBdr>
    </w:div>
    <w:div w:id="1133134282">
      <w:bodyDiv w:val="1"/>
      <w:marLeft w:val="0"/>
      <w:marRight w:val="0"/>
      <w:marTop w:val="0"/>
      <w:marBottom w:val="0"/>
      <w:divBdr>
        <w:top w:val="none" w:sz="0" w:space="0" w:color="auto"/>
        <w:left w:val="none" w:sz="0" w:space="0" w:color="auto"/>
        <w:bottom w:val="none" w:sz="0" w:space="0" w:color="auto"/>
        <w:right w:val="none" w:sz="0" w:space="0" w:color="auto"/>
      </w:divBdr>
    </w:div>
    <w:div w:id="1133138189">
      <w:bodyDiv w:val="1"/>
      <w:marLeft w:val="0"/>
      <w:marRight w:val="0"/>
      <w:marTop w:val="0"/>
      <w:marBottom w:val="0"/>
      <w:divBdr>
        <w:top w:val="none" w:sz="0" w:space="0" w:color="auto"/>
        <w:left w:val="none" w:sz="0" w:space="0" w:color="auto"/>
        <w:bottom w:val="none" w:sz="0" w:space="0" w:color="auto"/>
        <w:right w:val="none" w:sz="0" w:space="0" w:color="auto"/>
      </w:divBdr>
    </w:div>
    <w:div w:id="1133208726">
      <w:bodyDiv w:val="1"/>
      <w:marLeft w:val="0"/>
      <w:marRight w:val="0"/>
      <w:marTop w:val="0"/>
      <w:marBottom w:val="0"/>
      <w:divBdr>
        <w:top w:val="none" w:sz="0" w:space="0" w:color="auto"/>
        <w:left w:val="none" w:sz="0" w:space="0" w:color="auto"/>
        <w:bottom w:val="none" w:sz="0" w:space="0" w:color="auto"/>
        <w:right w:val="none" w:sz="0" w:space="0" w:color="auto"/>
      </w:divBdr>
    </w:div>
    <w:div w:id="1133210749">
      <w:bodyDiv w:val="1"/>
      <w:marLeft w:val="0"/>
      <w:marRight w:val="0"/>
      <w:marTop w:val="0"/>
      <w:marBottom w:val="0"/>
      <w:divBdr>
        <w:top w:val="none" w:sz="0" w:space="0" w:color="auto"/>
        <w:left w:val="none" w:sz="0" w:space="0" w:color="auto"/>
        <w:bottom w:val="none" w:sz="0" w:space="0" w:color="auto"/>
        <w:right w:val="none" w:sz="0" w:space="0" w:color="auto"/>
      </w:divBdr>
    </w:div>
    <w:div w:id="1133249319">
      <w:bodyDiv w:val="1"/>
      <w:marLeft w:val="0"/>
      <w:marRight w:val="0"/>
      <w:marTop w:val="0"/>
      <w:marBottom w:val="0"/>
      <w:divBdr>
        <w:top w:val="none" w:sz="0" w:space="0" w:color="auto"/>
        <w:left w:val="none" w:sz="0" w:space="0" w:color="auto"/>
        <w:bottom w:val="none" w:sz="0" w:space="0" w:color="auto"/>
        <w:right w:val="none" w:sz="0" w:space="0" w:color="auto"/>
      </w:divBdr>
    </w:div>
    <w:div w:id="1133404840">
      <w:bodyDiv w:val="1"/>
      <w:marLeft w:val="0"/>
      <w:marRight w:val="0"/>
      <w:marTop w:val="0"/>
      <w:marBottom w:val="0"/>
      <w:divBdr>
        <w:top w:val="none" w:sz="0" w:space="0" w:color="auto"/>
        <w:left w:val="none" w:sz="0" w:space="0" w:color="auto"/>
        <w:bottom w:val="none" w:sz="0" w:space="0" w:color="auto"/>
        <w:right w:val="none" w:sz="0" w:space="0" w:color="auto"/>
      </w:divBdr>
    </w:div>
    <w:div w:id="1133526996">
      <w:bodyDiv w:val="1"/>
      <w:marLeft w:val="0"/>
      <w:marRight w:val="0"/>
      <w:marTop w:val="0"/>
      <w:marBottom w:val="0"/>
      <w:divBdr>
        <w:top w:val="none" w:sz="0" w:space="0" w:color="auto"/>
        <w:left w:val="none" w:sz="0" w:space="0" w:color="auto"/>
        <w:bottom w:val="none" w:sz="0" w:space="0" w:color="auto"/>
        <w:right w:val="none" w:sz="0" w:space="0" w:color="auto"/>
      </w:divBdr>
    </w:div>
    <w:div w:id="1133866900">
      <w:bodyDiv w:val="1"/>
      <w:marLeft w:val="0"/>
      <w:marRight w:val="0"/>
      <w:marTop w:val="0"/>
      <w:marBottom w:val="0"/>
      <w:divBdr>
        <w:top w:val="none" w:sz="0" w:space="0" w:color="auto"/>
        <w:left w:val="none" w:sz="0" w:space="0" w:color="auto"/>
        <w:bottom w:val="none" w:sz="0" w:space="0" w:color="auto"/>
        <w:right w:val="none" w:sz="0" w:space="0" w:color="auto"/>
      </w:divBdr>
    </w:div>
    <w:div w:id="1133913778">
      <w:bodyDiv w:val="1"/>
      <w:marLeft w:val="0"/>
      <w:marRight w:val="0"/>
      <w:marTop w:val="0"/>
      <w:marBottom w:val="0"/>
      <w:divBdr>
        <w:top w:val="none" w:sz="0" w:space="0" w:color="auto"/>
        <w:left w:val="none" w:sz="0" w:space="0" w:color="auto"/>
        <w:bottom w:val="none" w:sz="0" w:space="0" w:color="auto"/>
        <w:right w:val="none" w:sz="0" w:space="0" w:color="auto"/>
      </w:divBdr>
    </w:div>
    <w:div w:id="1134130710">
      <w:bodyDiv w:val="1"/>
      <w:marLeft w:val="0"/>
      <w:marRight w:val="0"/>
      <w:marTop w:val="0"/>
      <w:marBottom w:val="0"/>
      <w:divBdr>
        <w:top w:val="none" w:sz="0" w:space="0" w:color="auto"/>
        <w:left w:val="none" w:sz="0" w:space="0" w:color="auto"/>
        <w:bottom w:val="none" w:sz="0" w:space="0" w:color="auto"/>
        <w:right w:val="none" w:sz="0" w:space="0" w:color="auto"/>
      </w:divBdr>
    </w:div>
    <w:div w:id="1134326866">
      <w:bodyDiv w:val="1"/>
      <w:marLeft w:val="0"/>
      <w:marRight w:val="0"/>
      <w:marTop w:val="0"/>
      <w:marBottom w:val="0"/>
      <w:divBdr>
        <w:top w:val="none" w:sz="0" w:space="0" w:color="auto"/>
        <w:left w:val="none" w:sz="0" w:space="0" w:color="auto"/>
        <w:bottom w:val="none" w:sz="0" w:space="0" w:color="auto"/>
        <w:right w:val="none" w:sz="0" w:space="0" w:color="auto"/>
      </w:divBdr>
    </w:div>
    <w:div w:id="1134371829">
      <w:bodyDiv w:val="1"/>
      <w:marLeft w:val="0"/>
      <w:marRight w:val="0"/>
      <w:marTop w:val="0"/>
      <w:marBottom w:val="0"/>
      <w:divBdr>
        <w:top w:val="none" w:sz="0" w:space="0" w:color="auto"/>
        <w:left w:val="none" w:sz="0" w:space="0" w:color="auto"/>
        <w:bottom w:val="none" w:sz="0" w:space="0" w:color="auto"/>
        <w:right w:val="none" w:sz="0" w:space="0" w:color="auto"/>
      </w:divBdr>
    </w:div>
    <w:div w:id="1134719241">
      <w:bodyDiv w:val="1"/>
      <w:marLeft w:val="0"/>
      <w:marRight w:val="0"/>
      <w:marTop w:val="0"/>
      <w:marBottom w:val="0"/>
      <w:divBdr>
        <w:top w:val="none" w:sz="0" w:space="0" w:color="auto"/>
        <w:left w:val="none" w:sz="0" w:space="0" w:color="auto"/>
        <w:bottom w:val="none" w:sz="0" w:space="0" w:color="auto"/>
        <w:right w:val="none" w:sz="0" w:space="0" w:color="auto"/>
      </w:divBdr>
    </w:div>
    <w:div w:id="1134983295">
      <w:bodyDiv w:val="1"/>
      <w:marLeft w:val="0"/>
      <w:marRight w:val="0"/>
      <w:marTop w:val="0"/>
      <w:marBottom w:val="0"/>
      <w:divBdr>
        <w:top w:val="none" w:sz="0" w:space="0" w:color="auto"/>
        <w:left w:val="none" w:sz="0" w:space="0" w:color="auto"/>
        <w:bottom w:val="none" w:sz="0" w:space="0" w:color="auto"/>
        <w:right w:val="none" w:sz="0" w:space="0" w:color="auto"/>
      </w:divBdr>
    </w:div>
    <w:div w:id="1135174029">
      <w:bodyDiv w:val="1"/>
      <w:marLeft w:val="0"/>
      <w:marRight w:val="0"/>
      <w:marTop w:val="0"/>
      <w:marBottom w:val="0"/>
      <w:divBdr>
        <w:top w:val="none" w:sz="0" w:space="0" w:color="auto"/>
        <w:left w:val="none" w:sz="0" w:space="0" w:color="auto"/>
        <w:bottom w:val="none" w:sz="0" w:space="0" w:color="auto"/>
        <w:right w:val="none" w:sz="0" w:space="0" w:color="auto"/>
      </w:divBdr>
    </w:div>
    <w:div w:id="1135220178">
      <w:bodyDiv w:val="1"/>
      <w:marLeft w:val="0"/>
      <w:marRight w:val="0"/>
      <w:marTop w:val="0"/>
      <w:marBottom w:val="0"/>
      <w:divBdr>
        <w:top w:val="none" w:sz="0" w:space="0" w:color="auto"/>
        <w:left w:val="none" w:sz="0" w:space="0" w:color="auto"/>
        <w:bottom w:val="none" w:sz="0" w:space="0" w:color="auto"/>
        <w:right w:val="none" w:sz="0" w:space="0" w:color="auto"/>
      </w:divBdr>
    </w:div>
    <w:div w:id="1135365482">
      <w:bodyDiv w:val="1"/>
      <w:marLeft w:val="0"/>
      <w:marRight w:val="0"/>
      <w:marTop w:val="0"/>
      <w:marBottom w:val="0"/>
      <w:divBdr>
        <w:top w:val="none" w:sz="0" w:space="0" w:color="auto"/>
        <w:left w:val="none" w:sz="0" w:space="0" w:color="auto"/>
        <w:bottom w:val="none" w:sz="0" w:space="0" w:color="auto"/>
        <w:right w:val="none" w:sz="0" w:space="0" w:color="auto"/>
      </w:divBdr>
    </w:div>
    <w:div w:id="1135442030">
      <w:bodyDiv w:val="1"/>
      <w:marLeft w:val="0"/>
      <w:marRight w:val="0"/>
      <w:marTop w:val="0"/>
      <w:marBottom w:val="0"/>
      <w:divBdr>
        <w:top w:val="none" w:sz="0" w:space="0" w:color="auto"/>
        <w:left w:val="none" w:sz="0" w:space="0" w:color="auto"/>
        <w:bottom w:val="none" w:sz="0" w:space="0" w:color="auto"/>
        <w:right w:val="none" w:sz="0" w:space="0" w:color="auto"/>
      </w:divBdr>
    </w:div>
    <w:div w:id="1135484099">
      <w:bodyDiv w:val="1"/>
      <w:marLeft w:val="0"/>
      <w:marRight w:val="0"/>
      <w:marTop w:val="0"/>
      <w:marBottom w:val="0"/>
      <w:divBdr>
        <w:top w:val="none" w:sz="0" w:space="0" w:color="auto"/>
        <w:left w:val="none" w:sz="0" w:space="0" w:color="auto"/>
        <w:bottom w:val="none" w:sz="0" w:space="0" w:color="auto"/>
        <w:right w:val="none" w:sz="0" w:space="0" w:color="auto"/>
      </w:divBdr>
    </w:div>
    <w:div w:id="1135484840">
      <w:bodyDiv w:val="1"/>
      <w:marLeft w:val="0"/>
      <w:marRight w:val="0"/>
      <w:marTop w:val="0"/>
      <w:marBottom w:val="0"/>
      <w:divBdr>
        <w:top w:val="none" w:sz="0" w:space="0" w:color="auto"/>
        <w:left w:val="none" w:sz="0" w:space="0" w:color="auto"/>
        <w:bottom w:val="none" w:sz="0" w:space="0" w:color="auto"/>
        <w:right w:val="none" w:sz="0" w:space="0" w:color="auto"/>
      </w:divBdr>
    </w:div>
    <w:div w:id="1135492946">
      <w:bodyDiv w:val="1"/>
      <w:marLeft w:val="0"/>
      <w:marRight w:val="0"/>
      <w:marTop w:val="0"/>
      <w:marBottom w:val="0"/>
      <w:divBdr>
        <w:top w:val="none" w:sz="0" w:space="0" w:color="auto"/>
        <w:left w:val="none" w:sz="0" w:space="0" w:color="auto"/>
        <w:bottom w:val="none" w:sz="0" w:space="0" w:color="auto"/>
        <w:right w:val="none" w:sz="0" w:space="0" w:color="auto"/>
      </w:divBdr>
    </w:div>
    <w:div w:id="1135636039">
      <w:bodyDiv w:val="1"/>
      <w:marLeft w:val="0"/>
      <w:marRight w:val="0"/>
      <w:marTop w:val="0"/>
      <w:marBottom w:val="0"/>
      <w:divBdr>
        <w:top w:val="none" w:sz="0" w:space="0" w:color="auto"/>
        <w:left w:val="none" w:sz="0" w:space="0" w:color="auto"/>
        <w:bottom w:val="none" w:sz="0" w:space="0" w:color="auto"/>
        <w:right w:val="none" w:sz="0" w:space="0" w:color="auto"/>
      </w:divBdr>
    </w:div>
    <w:div w:id="1135677211">
      <w:bodyDiv w:val="1"/>
      <w:marLeft w:val="0"/>
      <w:marRight w:val="0"/>
      <w:marTop w:val="0"/>
      <w:marBottom w:val="0"/>
      <w:divBdr>
        <w:top w:val="none" w:sz="0" w:space="0" w:color="auto"/>
        <w:left w:val="none" w:sz="0" w:space="0" w:color="auto"/>
        <w:bottom w:val="none" w:sz="0" w:space="0" w:color="auto"/>
        <w:right w:val="none" w:sz="0" w:space="0" w:color="auto"/>
      </w:divBdr>
    </w:div>
    <w:div w:id="1135680593">
      <w:bodyDiv w:val="1"/>
      <w:marLeft w:val="0"/>
      <w:marRight w:val="0"/>
      <w:marTop w:val="0"/>
      <w:marBottom w:val="0"/>
      <w:divBdr>
        <w:top w:val="none" w:sz="0" w:space="0" w:color="auto"/>
        <w:left w:val="none" w:sz="0" w:space="0" w:color="auto"/>
        <w:bottom w:val="none" w:sz="0" w:space="0" w:color="auto"/>
        <w:right w:val="none" w:sz="0" w:space="0" w:color="auto"/>
      </w:divBdr>
    </w:div>
    <w:div w:id="1135755371">
      <w:bodyDiv w:val="1"/>
      <w:marLeft w:val="0"/>
      <w:marRight w:val="0"/>
      <w:marTop w:val="0"/>
      <w:marBottom w:val="0"/>
      <w:divBdr>
        <w:top w:val="none" w:sz="0" w:space="0" w:color="auto"/>
        <w:left w:val="none" w:sz="0" w:space="0" w:color="auto"/>
        <w:bottom w:val="none" w:sz="0" w:space="0" w:color="auto"/>
        <w:right w:val="none" w:sz="0" w:space="0" w:color="auto"/>
      </w:divBdr>
    </w:div>
    <w:div w:id="1135757616">
      <w:bodyDiv w:val="1"/>
      <w:marLeft w:val="0"/>
      <w:marRight w:val="0"/>
      <w:marTop w:val="0"/>
      <w:marBottom w:val="0"/>
      <w:divBdr>
        <w:top w:val="none" w:sz="0" w:space="0" w:color="auto"/>
        <w:left w:val="none" w:sz="0" w:space="0" w:color="auto"/>
        <w:bottom w:val="none" w:sz="0" w:space="0" w:color="auto"/>
        <w:right w:val="none" w:sz="0" w:space="0" w:color="auto"/>
      </w:divBdr>
    </w:div>
    <w:div w:id="1135828552">
      <w:bodyDiv w:val="1"/>
      <w:marLeft w:val="0"/>
      <w:marRight w:val="0"/>
      <w:marTop w:val="0"/>
      <w:marBottom w:val="0"/>
      <w:divBdr>
        <w:top w:val="none" w:sz="0" w:space="0" w:color="auto"/>
        <w:left w:val="none" w:sz="0" w:space="0" w:color="auto"/>
        <w:bottom w:val="none" w:sz="0" w:space="0" w:color="auto"/>
        <w:right w:val="none" w:sz="0" w:space="0" w:color="auto"/>
      </w:divBdr>
    </w:div>
    <w:div w:id="1135830446">
      <w:bodyDiv w:val="1"/>
      <w:marLeft w:val="0"/>
      <w:marRight w:val="0"/>
      <w:marTop w:val="0"/>
      <w:marBottom w:val="0"/>
      <w:divBdr>
        <w:top w:val="none" w:sz="0" w:space="0" w:color="auto"/>
        <w:left w:val="none" w:sz="0" w:space="0" w:color="auto"/>
        <w:bottom w:val="none" w:sz="0" w:space="0" w:color="auto"/>
        <w:right w:val="none" w:sz="0" w:space="0" w:color="auto"/>
      </w:divBdr>
    </w:div>
    <w:div w:id="1135833331">
      <w:bodyDiv w:val="1"/>
      <w:marLeft w:val="0"/>
      <w:marRight w:val="0"/>
      <w:marTop w:val="0"/>
      <w:marBottom w:val="0"/>
      <w:divBdr>
        <w:top w:val="none" w:sz="0" w:space="0" w:color="auto"/>
        <w:left w:val="none" w:sz="0" w:space="0" w:color="auto"/>
        <w:bottom w:val="none" w:sz="0" w:space="0" w:color="auto"/>
        <w:right w:val="none" w:sz="0" w:space="0" w:color="auto"/>
      </w:divBdr>
    </w:div>
    <w:div w:id="1135947304">
      <w:bodyDiv w:val="1"/>
      <w:marLeft w:val="0"/>
      <w:marRight w:val="0"/>
      <w:marTop w:val="0"/>
      <w:marBottom w:val="0"/>
      <w:divBdr>
        <w:top w:val="none" w:sz="0" w:space="0" w:color="auto"/>
        <w:left w:val="none" w:sz="0" w:space="0" w:color="auto"/>
        <w:bottom w:val="none" w:sz="0" w:space="0" w:color="auto"/>
        <w:right w:val="none" w:sz="0" w:space="0" w:color="auto"/>
      </w:divBdr>
    </w:div>
    <w:div w:id="1136265566">
      <w:bodyDiv w:val="1"/>
      <w:marLeft w:val="0"/>
      <w:marRight w:val="0"/>
      <w:marTop w:val="0"/>
      <w:marBottom w:val="0"/>
      <w:divBdr>
        <w:top w:val="none" w:sz="0" w:space="0" w:color="auto"/>
        <w:left w:val="none" w:sz="0" w:space="0" w:color="auto"/>
        <w:bottom w:val="none" w:sz="0" w:space="0" w:color="auto"/>
        <w:right w:val="none" w:sz="0" w:space="0" w:color="auto"/>
      </w:divBdr>
    </w:div>
    <w:div w:id="1136292321">
      <w:bodyDiv w:val="1"/>
      <w:marLeft w:val="0"/>
      <w:marRight w:val="0"/>
      <w:marTop w:val="0"/>
      <w:marBottom w:val="0"/>
      <w:divBdr>
        <w:top w:val="none" w:sz="0" w:space="0" w:color="auto"/>
        <w:left w:val="none" w:sz="0" w:space="0" w:color="auto"/>
        <w:bottom w:val="none" w:sz="0" w:space="0" w:color="auto"/>
        <w:right w:val="none" w:sz="0" w:space="0" w:color="auto"/>
      </w:divBdr>
    </w:div>
    <w:div w:id="1136487707">
      <w:bodyDiv w:val="1"/>
      <w:marLeft w:val="0"/>
      <w:marRight w:val="0"/>
      <w:marTop w:val="0"/>
      <w:marBottom w:val="0"/>
      <w:divBdr>
        <w:top w:val="none" w:sz="0" w:space="0" w:color="auto"/>
        <w:left w:val="none" w:sz="0" w:space="0" w:color="auto"/>
        <w:bottom w:val="none" w:sz="0" w:space="0" w:color="auto"/>
        <w:right w:val="none" w:sz="0" w:space="0" w:color="auto"/>
      </w:divBdr>
    </w:div>
    <w:div w:id="1136602854">
      <w:bodyDiv w:val="1"/>
      <w:marLeft w:val="0"/>
      <w:marRight w:val="0"/>
      <w:marTop w:val="0"/>
      <w:marBottom w:val="0"/>
      <w:divBdr>
        <w:top w:val="none" w:sz="0" w:space="0" w:color="auto"/>
        <w:left w:val="none" w:sz="0" w:space="0" w:color="auto"/>
        <w:bottom w:val="none" w:sz="0" w:space="0" w:color="auto"/>
        <w:right w:val="none" w:sz="0" w:space="0" w:color="auto"/>
      </w:divBdr>
    </w:div>
    <w:div w:id="1136607552">
      <w:bodyDiv w:val="1"/>
      <w:marLeft w:val="0"/>
      <w:marRight w:val="0"/>
      <w:marTop w:val="0"/>
      <w:marBottom w:val="0"/>
      <w:divBdr>
        <w:top w:val="none" w:sz="0" w:space="0" w:color="auto"/>
        <w:left w:val="none" w:sz="0" w:space="0" w:color="auto"/>
        <w:bottom w:val="none" w:sz="0" w:space="0" w:color="auto"/>
        <w:right w:val="none" w:sz="0" w:space="0" w:color="auto"/>
      </w:divBdr>
    </w:div>
    <w:div w:id="1136608997">
      <w:bodyDiv w:val="1"/>
      <w:marLeft w:val="0"/>
      <w:marRight w:val="0"/>
      <w:marTop w:val="0"/>
      <w:marBottom w:val="0"/>
      <w:divBdr>
        <w:top w:val="none" w:sz="0" w:space="0" w:color="auto"/>
        <w:left w:val="none" w:sz="0" w:space="0" w:color="auto"/>
        <w:bottom w:val="none" w:sz="0" w:space="0" w:color="auto"/>
        <w:right w:val="none" w:sz="0" w:space="0" w:color="auto"/>
      </w:divBdr>
    </w:div>
    <w:div w:id="1136725998">
      <w:bodyDiv w:val="1"/>
      <w:marLeft w:val="0"/>
      <w:marRight w:val="0"/>
      <w:marTop w:val="0"/>
      <w:marBottom w:val="0"/>
      <w:divBdr>
        <w:top w:val="none" w:sz="0" w:space="0" w:color="auto"/>
        <w:left w:val="none" w:sz="0" w:space="0" w:color="auto"/>
        <w:bottom w:val="none" w:sz="0" w:space="0" w:color="auto"/>
        <w:right w:val="none" w:sz="0" w:space="0" w:color="auto"/>
      </w:divBdr>
    </w:div>
    <w:div w:id="1136726672">
      <w:bodyDiv w:val="1"/>
      <w:marLeft w:val="0"/>
      <w:marRight w:val="0"/>
      <w:marTop w:val="0"/>
      <w:marBottom w:val="0"/>
      <w:divBdr>
        <w:top w:val="none" w:sz="0" w:space="0" w:color="auto"/>
        <w:left w:val="none" w:sz="0" w:space="0" w:color="auto"/>
        <w:bottom w:val="none" w:sz="0" w:space="0" w:color="auto"/>
        <w:right w:val="none" w:sz="0" w:space="0" w:color="auto"/>
      </w:divBdr>
    </w:div>
    <w:div w:id="1136728163">
      <w:bodyDiv w:val="1"/>
      <w:marLeft w:val="0"/>
      <w:marRight w:val="0"/>
      <w:marTop w:val="0"/>
      <w:marBottom w:val="0"/>
      <w:divBdr>
        <w:top w:val="none" w:sz="0" w:space="0" w:color="auto"/>
        <w:left w:val="none" w:sz="0" w:space="0" w:color="auto"/>
        <w:bottom w:val="none" w:sz="0" w:space="0" w:color="auto"/>
        <w:right w:val="none" w:sz="0" w:space="0" w:color="auto"/>
      </w:divBdr>
    </w:div>
    <w:div w:id="1136874485">
      <w:bodyDiv w:val="1"/>
      <w:marLeft w:val="0"/>
      <w:marRight w:val="0"/>
      <w:marTop w:val="0"/>
      <w:marBottom w:val="0"/>
      <w:divBdr>
        <w:top w:val="none" w:sz="0" w:space="0" w:color="auto"/>
        <w:left w:val="none" w:sz="0" w:space="0" w:color="auto"/>
        <w:bottom w:val="none" w:sz="0" w:space="0" w:color="auto"/>
        <w:right w:val="none" w:sz="0" w:space="0" w:color="auto"/>
      </w:divBdr>
    </w:div>
    <w:div w:id="1136948284">
      <w:bodyDiv w:val="1"/>
      <w:marLeft w:val="0"/>
      <w:marRight w:val="0"/>
      <w:marTop w:val="0"/>
      <w:marBottom w:val="0"/>
      <w:divBdr>
        <w:top w:val="none" w:sz="0" w:space="0" w:color="auto"/>
        <w:left w:val="none" w:sz="0" w:space="0" w:color="auto"/>
        <w:bottom w:val="none" w:sz="0" w:space="0" w:color="auto"/>
        <w:right w:val="none" w:sz="0" w:space="0" w:color="auto"/>
      </w:divBdr>
    </w:div>
    <w:div w:id="1136949624">
      <w:bodyDiv w:val="1"/>
      <w:marLeft w:val="0"/>
      <w:marRight w:val="0"/>
      <w:marTop w:val="0"/>
      <w:marBottom w:val="0"/>
      <w:divBdr>
        <w:top w:val="none" w:sz="0" w:space="0" w:color="auto"/>
        <w:left w:val="none" w:sz="0" w:space="0" w:color="auto"/>
        <w:bottom w:val="none" w:sz="0" w:space="0" w:color="auto"/>
        <w:right w:val="none" w:sz="0" w:space="0" w:color="auto"/>
      </w:divBdr>
    </w:div>
    <w:div w:id="1136989962">
      <w:bodyDiv w:val="1"/>
      <w:marLeft w:val="0"/>
      <w:marRight w:val="0"/>
      <w:marTop w:val="0"/>
      <w:marBottom w:val="0"/>
      <w:divBdr>
        <w:top w:val="none" w:sz="0" w:space="0" w:color="auto"/>
        <w:left w:val="none" w:sz="0" w:space="0" w:color="auto"/>
        <w:bottom w:val="none" w:sz="0" w:space="0" w:color="auto"/>
        <w:right w:val="none" w:sz="0" w:space="0" w:color="auto"/>
      </w:divBdr>
    </w:div>
    <w:div w:id="1137069995">
      <w:bodyDiv w:val="1"/>
      <w:marLeft w:val="0"/>
      <w:marRight w:val="0"/>
      <w:marTop w:val="0"/>
      <w:marBottom w:val="0"/>
      <w:divBdr>
        <w:top w:val="none" w:sz="0" w:space="0" w:color="auto"/>
        <w:left w:val="none" w:sz="0" w:space="0" w:color="auto"/>
        <w:bottom w:val="none" w:sz="0" w:space="0" w:color="auto"/>
        <w:right w:val="none" w:sz="0" w:space="0" w:color="auto"/>
      </w:divBdr>
    </w:div>
    <w:div w:id="1137256631">
      <w:bodyDiv w:val="1"/>
      <w:marLeft w:val="0"/>
      <w:marRight w:val="0"/>
      <w:marTop w:val="0"/>
      <w:marBottom w:val="0"/>
      <w:divBdr>
        <w:top w:val="none" w:sz="0" w:space="0" w:color="auto"/>
        <w:left w:val="none" w:sz="0" w:space="0" w:color="auto"/>
        <w:bottom w:val="none" w:sz="0" w:space="0" w:color="auto"/>
        <w:right w:val="none" w:sz="0" w:space="0" w:color="auto"/>
      </w:divBdr>
    </w:div>
    <w:div w:id="1137263235">
      <w:bodyDiv w:val="1"/>
      <w:marLeft w:val="0"/>
      <w:marRight w:val="0"/>
      <w:marTop w:val="0"/>
      <w:marBottom w:val="0"/>
      <w:divBdr>
        <w:top w:val="none" w:sz="0" w:space="0" w:color="auto"/>
        <w:left w:val="none" w:sz="0" w:space="0" w:color="auto"/>
        <w:bottom w:val="none" w:sz="0" w:space="0" w:color="auto"/>
        <w:right w:val="none" w:sz="0" w:space="0" w:color="auto"/>
      </w:divBdr>
    </w:div>
    <w:div w:id="1137331496">
      <w:bodyDiv w:val="1"/>
      <w:marLeft w:val="0"/>
      <w:marRight w:val="0"/>
      <w:marTop w:val="0"/>
      <w:marBottom w:val="0"/>
      <w:divBdr>
        <w:top w:val="none" w:sz="0" w:space="0" w:color="auto"/>
        <w:left w:val="none" w:sz="0" w:space="0" w:color="auto"/>
        <w:bottom w:val="none" w:sz="0" w:space="0" w:color="auto"/>
        <w:right w:val="none" w:sz="0" w:space="0" w:color="auto"/>
      </w:divBdr>
    </w:div>
    <w:div w:id="1137377527">
      <w:bodyDiv w:val="1"/>
      <w:marLeft w:val="0"/>
      <w:marRight w:val="0"/>
      <w:marTop w:val="0"/>
      <w:marBottom w:val="0"/>
      <w:divBdr>
        <w:top w:val="none" w:sz="0" w:space="0" w:color="auto"/>
        <w:left w:val="none" w:sz="0" w:space="0" w:color="auto"/>
        <w:bottom w:val="none" w:sz="0" w:space="0" w:color="auto"/>
        <w:right w:val="none" w:sz="0" w:space="0" w:color="auto"/>
      </w:divBdr>
    </w:div>
    <w:div w:id="1137454954">
      <w:bodyDiv w:val="1"/>
      <w:marLeft w:val="0"/>
      <w:marRight w:val="0"/>
      <w:marTop w:val="0"/>
      <w:marBottom w:val="0"/>
      <w:divBdr>
        <w:top w:val="none" w:sz="0" w:space="0" w:color="auto"/>
        <w:left w:val="none" w:sz="0" w:space="0" w:color="auto"/>
        <w:bottom w:val="none" w:sz="0" w:space="0" w:color="auto"/>
        <w:right w:val="none" w:sz="0" w:space="0" w:color="auto"/>
      </w:divBdr>
    </w:div>
    <w:div w:id="1137527505">
      <w:bodyDiv w:val="1"/>
      <w:marLeft w:val="0"/>
      <w:marRight w:val="0"/>
      <w:marTop w:val="0"/>
      <w:marBottom w:val="0"/>
      <w:divBdr>
        <w:top w:val="none" w:sz="0" w:space="0" w:color="auto"/>
        <w:left w:val="none" w:sz="0" w:space="0" w:color="auto"/>
        <w:bottom w:val="none" w:sz="0" w:space="0" w:color="auto"/>
        <w:right w:val="none" w:sz="0" w:space="0" w:color="auto"/>
      </w:divBdr>
    </w:div>
    <w:div w:id="1137574037">
      <w:bodyDiv w:val="1"/>
      <w:marLeft w:val="0"/>
      <w:marRight w:val="0"/>
      <w:marTop w:val="0"/>
      <w:marBottom w:val="0"/>
      <w:divBdr>
        <w:top w:val="none" w:sz="0" w:space="0" w:color="auto"/>
        <w:left w:val="none" w:sz="0" w:space="0" w:color="auto"/>
        <w:bottom w:val="none" w:sz="0" w:space="0" w:color="auto"/>
        <w:right w:val="none" w:sz="0" w:space="0" w:color="auto"/>
      </w:divBdr>
    </w:div>
    <w:div w:id="1137721018">
      <w:bodyDiv w:val="1"/>
      <w:marLeft w:val="0"/>
      <w:marRight w:val="0"/>
      <w:marTop w:val="0"/>
      <w:marBottom w:val="0"/>
      <w:divBdr>
        <w:top w:val="none" w:sz="0" w:space="0" w:color="auto"/>
        <w:left w:val="none" w:sz="0" w:space="0" w:color="auto"/>
        <w:bottom w:val="none" w:sz="0" w:space="0" w:color="auto"/>
        <w:right w:val="none" w:sz="0" w:space="0" w:color="auto"/>
      </w:divBdr>
    </w:div>
    <w:div w:id="1137802025">
      <w:bodyDiv w:val="1"/>
      <w:marLeft w:val="0"/>
      <w:marRight w:val="0"/>
      <w:marTop w:val="0"/>
      <w:marBottom w:val="0"/>
      <w:divBdr>
        <w:top w:val="none" w:sz="0" w:space="0" w:color="auto"/>
        <w:left w:val="none" w:sz="0" w:space="0" w:color="auto"/>
        <w:bottom w:val="none" w:sz="0" w:space="0" w:color="auto"/>
        <w:right w:val="none" w:sz="0" w:space="0" w:color="auto"/>
      </w:divBdr>
    </w:div>
    <w:div w:id="1137992722">
      <w:bodyDiv w:val="1"/>
      <w:marLeft w:val="0"/>
      <w:marRight w:val="0"/>
      <w:marTop w:val="0"/>
      <w:marBottom w:val="0"/>
      <w:divBdr>
        <w:top w:val="none" w:sz="0" w:space="0" w:color="auto"/>
        <w:left w:val="none" w:sz="0" w:space="0" w:color="auto"/>
        <w:bottom w:val="none" w:sz="0" w:space="0" w:color="auto"/>
        <w:right w:val="none" w:sz="0" w:space="0" w:color="auto"/>
      </w:divBdr>
    </w:div>
    <w:div w:id="1138033706">
      <w:bodyDiv w:val="1"/>
      <w:marLeft w:val="0"/>
      <w:marRight w:val="0"/>
      <w:marTop w:val="0"/>
      <w:marBottom w:val="0"/>
      <w:divBdr>
        <w:top w:val="none" w:sz="0" w:space="0" w:color="auto"/>
        <w:left w:val="none" w:sz="0" w:space="0" w:color="auto"/>
        <w:bottom w:val="none" w:sz="0" w:space="0" w:color="auto"/>
        <w:right w:val="none" w:sz="0" w:space="0" w:color="auto"/>
      </w:divBdr>
    </w:div>
    <w:div w:id="1138109231">
      <w:bodyDiv w:val="1"/>
      <w:marLeft w:val="0"/>
      <w:marRight w:val="0"/>
      <w:marTop w:val="0"/>
      <w:marBottom w:val="0"/>
      <w:divBdr>
        <w:top w:val="none" w:sz="0" w:space="0" w:color="auto"/>
        <w:left w:val="none" w:sz="0" w:space="0" w:color="auto"/>
        <w:bottom w:val="none" w:sz="0" w:space="0" w:color="auto"/>
        <w:right w:val="none" w:sz="0" w:space="0" w:color="auto"/>
      </w:divBdr>
    </w:div>
    <w:div w:id="1138255508">
      <w:bodyDiv w:val="1"/>
      <w:marLeft w:val="0"/>
      <w:marRight w:val="0"/>
      <w:marTop w:val="0"/>
      <w:marBottom w:val="0"/>
      <w:divBdr>
        <w:top w:val="none" w:sz="0" w:space="0" w:color="auto"/>
        <w:left w:val="none" w:sz="0" w:space="0" w:color="auto"/>
        <w:bottom w:val="none" w:sz="0" w:space="0" w:color="auto"/>
        <w:right w:val="none" w:sz="0" w:space="0" w:color="auto"/>
      </w:divBdr>
    </w:div>
    <w:div w:id="1138257212">
      <w:bodyDiv w:val="1"/>
      <w:marLeft w:val="0"/>
      <w:marRight w:val="0"/>
      <w:marTop w:val="0"/>
      <w:marBottom w:val="0"/>
      <w:divBdr>
        <w:top w:val="none" w:sz="0" w:space="0" w:color="auto"/>
        <w:left w:val="none" w:sz="0" w:space="0" w:color="auto"/>
        <w:bottom w:val="none" w:sz="0" w:space="0" w:color="auto"/>
        <w:right w:val="none" w:sz="0" w:space="0" w:color="auto"/>
      </w:divBdr>
    </w:div>
    <w:div w:id="1138301880">
      <w:bodyDiv w:val="1"/>
      <w:marLeft w:val="0"/>
      <w:marRight w:val="0"/>
      <w:marTop w:val="0"/>
      <w:marBottom w:val="0"/>
      <w:divBdr>
        <w:top w:val="none" w:sz="0" w:space="0" w:color="auto"/>
        <w:left w:val="none" w:sz="0" w:space="0" w:color="auto"/>
        <w:bottom w:val="none" w:sz="0" w:space="0" w:color="auto"/>
        <w:right w:val="none" w:sz="0" w:space="0" w:color="auto"/>
      </w:divBdr>
    </w:div>
    <w:div w:id="1138302445">
      <w:bodyDiv w:val="1"/>
      <w:marLeft w:val="0"/>
      <w:marRight w:val="0"/>
      <w:marTop w:val="0"/>
      <w:marBottom w:val="0"/>
      <w:divBdr>
        <w:top w:val="none" w:sz="0" w:space="0" w:color="auto"/>
        <w:left w:val="none" w:sz="0" w:space="0" w:color="auto"/>
        <w:bottom w:val="none" w:sz="0" w:space="0" w:color="auto"/>
        <w:right w:val="none" w:sz="0" w:space="0" w:color="auto"/>
      </w:divBdr>
    </w:div>
    <w:div w:id="1138455611">
      <w:bodyDiv w:val="1"/>
      <w:marLeft w:val="0"/>
      <w:marRight w:val="0"/>
      <w:marTop w:val="0"/>
      <w:marBottom w:val="0"/>
      <w:divBdr>
        <w:top w:val="none" w:sz="0" w:space="0" w:color="auto"/>
        <w:left w:val="none" w:sz="0" w:space="0" w:color="auto"/>
        <w:bottom w:val="none" w:sz="0" w:space="0" w:color="auto"/>
        <w:right w:val="none" w:sz="0" w:space="0" w:color="auto"/>
      </w:divBdr>
    </w:div>
    <w:div w:id="1138494061">
      <w:bodyDiv w:val="1"/>
      <w:marLeft w:val="0"/>
      <w:marRight w:val="0"/>
      <w:marTop w:val="0"/>
      <w:marBottom w:val="0"/>
      <w:divBdr>
        <w:top w:val="none" w:sz="0" w:space="0" w:color="auto"/>
        <w:left w:val="none" w:sz="0" w:space="0" w:color="auto"/>
        <w:bottom w:val="none" w:sz="0" w:space="0" w:color="auto"/>
        <w:right w:val="none" w:sz="0" w:space="0" w:color="auto"/>
      </w:divBdr>
    </w:div>
    <w:div w:id="1138643491">
      <w:bodyDiv w:val="1"/>
      <w:marLeft w:val="0"/>
      <w:marRight w:val="0"/>
      <w:marTop w:val="0"/>
      <w:marBottom w:val="0"/>
      <w:divBdr>
        <w:top w:val="none" w:sz="0" w:space="0" w:color="auto"/>
        <w:left w:val="none" w:sz="0" w:space="0" w:color="auto"/>
        <w:bottom w:val="none" w:sz="0" w:space="0" w:color="auto"/>
        <w:right w:val="none" w:sz="0" w:space="0" w:color="auto"/>
      </w:divBdr>
    </w:div>
    <w:div w:id="1138691656">
      <w:bodyDiv w:val="1"/>
      <w:marLeft w:val="0"/>
      <w:marRight w:val="0"/>
      <w:marTop w:val="0"/>
      <w:marBottom w:val="0"/>
      <w:divBdr>
        <w:top w:val="none" w:sz="0" w:space="0" w:color="auto"/>
        <w:left w:val="none" w:sz="0" w:space="0" w:color="auto"/>
        <w:bottom w:val="none" w:sz="0" w:space="0" w:color="auto"/>
        <w:right w:val="none" w:sz="0" w:space="0" w:color="auto"/>
      </w:divBdr>
    </w:div>
    <w:div w:id="1138836647">
      <w:bodyDiv w:val="1"/>
      <w:marLeft w:val="0"/>
      <w:marRight w:val="0"/>
      <w:marTop w:val="0"/>
      <w:marBottom w:val="0"/>
      <w:divBdr>
        <w:top w:val="none" w:sz="0" w:space="0" w:color="auto"/>
        <w:left w:val="none" w:sz="0" w:space="0" w:color="auto"/>
        <w:bottom w:val="none" w:sz="0" w:space="0" w:color="auto"/>
        <w:right w:val="none" w:sz="0" w:space="0" w:color="auto"/>
      </w:divBdr>
    </w:div>
    <w:div w:id="1138843559">
      <w:bodyDiv w:val="1"/>
      <w:marLeft w:val="0"/>
      <w:marRight w:val="0"/>
      <w:marTop w:val="0"/>
      <w:marBottom w:val="0"/>
      <w:divBdr>
        <w:top w:val="none" w:sz="0" w:space="0" w:color="auto"/>
        <w:left w:val="none" w:sz="0" w:space="0" w:color="auto"/>
        <w:bottom w:val="none" w:sz="0" w:space="0" w:color="auto"/>
        <w:right w:val="none" w:sz="0" w:space="0" w:color="auto"/>
      </w:divBdr>
    </w:div>
    <w:div w:id="1138885856">
      <w:bodyDiv w:val="1"/>
      <w:marLeft w:val="0"/>
      <w:marRight w:val="0"/>
      <w:marTop w:val="0"/>
      <w:marBottom w:val="0"/>
      <w:divBdr>
        <w:top w:val="none" w:sz="0" w:space="0" w:color="auto"/>
        <w:left w:val="none" w:sz="0" w:space="0" w:color="auto"/>
        <w:bottom w:val="none" w:sz="0" w:space="0" w:color="auto"/>
        <w:right w:val="none" w:sz="0" w:space="0" w:color="auto"/>
      </w:divBdr>
    </w:div>
    <w:div w:id="1138913754">
      <w:bodyDiv w:val="1"/>
      <w:marLeft w:val="0"/>
      <w:marRight w:val="0"/>
      <w:marTop w:val="0"/>
      <w:marBottom w:val="0"/>
      <w:divBdr>
        <w:top w:val="none" w:sz="0" w:space="0" w:color="auto"/>
        <w:left w:val="none" w:sz="0" w:space="0" w:color="auto"/>
        <w:bottom w:val="none" w:sz="0" w:space="0" w:color="auto"/>
        <w:right w:val="none" w:sz="0" w:space="0" w:color="auto"/>
      </w:divBdr>
    </w:div>
    <w:div w:id="1138916348">
      <w:bodyDiv w:val="1"/>
      <w:marLeft w:val="0"/>
      <w:marRight w:val="0"/>
      <w:marTop w:val="0"/>
      <w:marBottom w:val="0"/>
      <w:divBdr>
        <w:top w:val="none" w:sz="0" w:space="0" w:color="auto"/>
        <w:left w:val="none" w:sz="0" w:space="0" w:color="auto"/>
        <w:bottom w:val="none" w:sz="0" w:space="0" w:color="auto"/>
        <w:right w:val="none" w:sz="0" w:space="0" w:color="auto"/>
      </w:divBdr>
    </w:div>
    <w:div w:id="1138953543">
      <w:bodyDiv w:val="1"/>
      <w:marLeft w:val="0"/>
      <w:marRight w:val="0"/>
      <w:marTop w:val="0"/>
      <w:marBottom w:val="0"/>
      <w:divBdr>
        <w:top w:val="none" w:sz="0" w:space="0" w:color="auto"/>
        <w:left w:val="none" w:sz="0" w:space="0" w:color="auto"/>
        <w:bottom w:val="none" w:sz="0" w:space="0" w:color="auto"/>
        <w:right w:val="none" w:sz="0" w:space="0" w:color="auto"/>
      </w:divBdr>
    </w:div>
    <w:div w:id="1139112781">
      <w:bodyDiv w:val="1"/>
      <w:marLeft w:val="0"/>
      <w:marRight w:val="0"/>
      <w:marTop w:val="0"/>
      <w:marBottom w:val="0"/>
      <w:divBdr>
        <w:top w:val="none" w:sz="0" w:space="0" w:color="auto"/>
        <w:left w:val="none" w:sz="0" w:space="0" w:color="auto"/>
        <w:bottom w:val="none" w:sz="0" w:space="0" w:color="auto"/>
        <w:right w:val="none" w:sz="0" w:space="0" w:color="auto"/>
      </w:divBdr>
    </w:div>
    <w:div w:id="1139151279">
      <w:bodyDiv w:val="1"/>
      <w:marLeft w:val="0"/>
      <w:marRight w:val="0"/>
      <w:marTop w:val="0"/>
      <w:marBottom w:val="0"/>
      <w:divBdr>
        <w:top w:val="none" w:sz="0" w:space="0" w:color="auto"/>
        <w:left w:val="none" w:sz="0" w:space="0" w:color="auto"/>
        <w:bottom w:val="none" w:sz="0" w:space="0" w:color="auto"/>
        <w:right w:val="none" w:sz="0" w:space="0" w:color="auto"/>
      </w:divBdr>
    </w:div>
    <w:div w:id="1139223370">
      <w:bodyDiv w:val="1"/>
      <w:marLeft w:val="0"/>
      <w:marRight w:val="0"/>
      <w:marTop w:val="0"/>
      <w:marBottom w:val="0"/>
      <w:divBdr>
        <w:top w:val="none" w:sz="0" w:space="0" w:color="auto"/>
        <w:left w:val="none" w:sz="0" w:space="0" w:color="auto"/>
        <w:bottom w:val="none" w:sz="0" w:space="0" w:color="auto"/>
        <w:right w:val="none" w:sz="0" w:space="0" w:color="auto"/>
      </w:divBdr>
    </w:div>
    <w:div w:id="1139344402">
      <w:bodyDiv w:val="1"/>
      <w:marLeft w:val="0"/>
      <w:marRight w:val="0"/>
      <w:marTop w:val="0"/>
      <w:marBottom w:val="0"/>
      <w:divBdr>
        <w:top w:val="none" w:sz="0" w:space="0" w:color="auto"/>
        <w:left w:val="none" w:sz="0" w:space="0" w:color="auto"/>
        <w:bottom w:val="none" w:sz="0" w:space="0" w:color="auto"/>
        <w:right w:val="none" w:sz="0" w:space="0" w:color="auto"/>
      </w:divBdr>
    </w:div>
    <w:div w:id="1139418409">
      <w:bodyDiv w:val="1"/>
      <w:marLeft w:val="0"/>
      <w:marRight w:val="0"/>
      <w:marTop w:val="0"/>
      <w:marBottom w:val="0"/>
      <w:divBdr>
        <w:top w:val="none" w:sz="0" w:space="0" w:color="auto"/>
        <w:left w:val="none" w:sz="0" w:space="0" w:color="auto"/>
        <w:bottom w:val="none" w:sz="0" w:space="0" w:color="auto"/>
        <w:right w:val="none" w:sz="0" w:space="0" w:color="auto"/>
      </w:divBdr>
    </w:div>
    <w:div w:id="1139570695">
      <w:bodyDiv w:val="1"/>
      <w:marLeft w:val="0"/>
      <w:marRight w:val="0"/>
      <w:marTop w:val="0"/>
      <w:marBottom w:val="0"/>
      <w:divBdr>
        <w:top w:val="none" w:sz="0" w:space="0" w:color="auto"/>
        <w:left w:val="none" w:sz="0" w:space="0" w:color="auto"/>
        <w:bottom w:val="none" w:sz="0" w:space="0" w:color="auto"/>
        <w:right w:val="none" w:sz="0" w:space="0" w:color="auto"/>
      </w:divBdr>
    </w:div>
    <w:div w:id="1139610466">
      <w:bodyDiv w:val="1"/>
      <w:marLeft w:val="0"/>
      <w:marRight w:val="0"/>
      <w:marTop w:val="0"/>
      <w:marBottom w:val="0"/>
      <w:divBdr>
        <w:top w:val="none" w:sz="0" w:space="0" w:color="auto"/>
        <w:left w:val="none" w:sz="0" w:space="0" w:color="auto"/>
        <w:bottom w:val="none" w:sz="0" w:space="0" w:color="auto"/>
        <w:right w:val="none" w:sz="0" w:space="0" w:color="auto"/>
      </w:divBdr>
    </w:div>
    <w:div w:id="1139610774">
      <w:bodyDiv w:val="1"/>
      <w:marLeft w:val="0"/>
      <w:marRight w:val="0"/>
      <w:marTop w:val="0"/>
      <w:marBottom w:val="0"/>
      <w:divBdr>
        <w:top w:val="none" w:sz="0" w:space="0" w:color="auto"/>
        <w:left w:val="none" w:sz="0" w:space="0" w:color="auto"/>
        <w:bottom w:val="none" w:sz="0" w:space="0" w:color="auto"/>
        <w:right w:val="none" w:sz="0" w:space="0" w:color="auto"/>
      </w:divBdr>
    </w:div>
    <w:div w:id="1139687579">
      <w:bodyDiv w:val="1"/>
      <w:marLeft w:val="0"/>
      <w:marRight w:val="0"/>
      <w:marTop w:val="0"/>
      <w:marBottom w:val="0"/>
      <w:divBdr>
        <w:top w:val="none" w:sz="0" w:space="0" w:color="auto"/>
        <w:left w:val="none" w:sz="0" w:space="0" w:color="auto"/>
        <w:bottom w:val="none" w:sz="0" w:space="0" w:color="auto"/>
        <w:right w:val="none" w:sz="0" w:space="0" w:color="auto"/>
      </w:divBdr>
    </w:div>
    <w:div w:id="1139834266">
      <w:bodyDiv w:val="1"/>
      <w:marLeft w:val="0"/>
      <w:marRight w:val="0"/>
      <w:marTop w:val="0"/>
      <w:marBottom w:val="0"/>
      <w:divBdr>
        <w:top w:val="none" w:sz="0" w:space="0" w:color="auto"/>
        <w:left w:val="none" w:sz="0" w:space="0" w:color="auto"/>
        <w:bottom w:val="none" w:sz="0" w:space="0" w:color="auto"/>
        <w:right w:val="none" w:sz="0" w:space="0" w:color="auto"/>
      </w:divBdr>
    </w:div>
    <w:div w:id="1139881935">
      <w:bodyDiv w:val="1"/>
      <w:marLeft w:val="0"/>
      <w:marRight w:val="0"/>
      <w:marTop w:val="0"/>
      <w:marBottom w:val="0"/>
      <w:divBdr>
        <w:top w:val="none" w:sz="0" w:space="0" w:color="auto"/>
        <w:left w:val="none" w:sz="0" w:space="0" w:color="auto"/>
        <w:bottom w:val="none" w:sz="0" w:space="0" w:color="auto"/>
        <w:right w:val="none" w:sz="0" w:space="0" w:color="auto"/>
      </w:divBdr>
    </w:div>
    <w:div w:id="1139885525">
      <w:bodyDiv w:val="1"/>
      <w:marLeft w:val="0"/>
      <w:marRight w:val="0"/>
      <w:marTop w:val="0"/>
      <w:marBottom w:val="0"/>
      <w:divBdr>
        <w:top w:val="none" w:sz="0" w:space="0" w:color="auto"/>
        <w:left w:val="none" w:sz="0" w:space="0" w:color="auto"/>
        <w:bottom w:val="none" w:sz="0" w:space="0" w:color="auto"/>
        <w:right w:val="none" w:sz="0" w:space="0" w:color="auto"/>
      </w:divBdr>
    </w:div>
    <w:div w:id="1139999612">
      <w:bodyDiv w:val="1"/>
      <w:marLeft w:val="0"/>
      <w:marRight w:val="0"/>
      <w:marTop w:val="0"/>
      <w:marBottom w:val="0"/>
      <w:divBdr>
        <w:top w:val="none" w:sz="0" w:space="0" w:color="auto"/>
        <w:left w:val="none" w:sz="0" w:space="0" w:color="auto"/>
        <w:bottom w:val="none" w:sz="0" w:space="0" w:color="auto"/>
        <w:right w:val="none" w:sz="0" w:space="0" w:color="auto"/>
      </w:divBdr>
    </w:div>
    <w:div w:id="1140003115">
      <w:bodyDiv w:val="1"/>
      <w:marLeft w:val="0"/>
      <w:marRight w:val="0"/>
      <w:marTop w:val="0"/>
      <w:marBottom w:val="0"/>
      <w:divBdr>
        <w:top w:val="none" w:sz="0" w:space="0" w:color="auto"/>
        <w:left w:val="none" w:sz="0" w:space="0" w:color="auto"/>
        <w:bottom w:val="none" w:sz="0" w:space="0" w:color="auto"/>
        <w:right w:val="none" w:sz="0" w:space="0" w:color="auto"/>
      </w:divBdr>
    </w:div>
    <w:div w:id="1140145959">
      <w:bodyDiv w:val="1"/>
      <w:marLeft w:val="0"/>
      <w:marRight w:val="0"/>
      <w:marTop w:val="0"/>
      <w:marBottom w:val="0"/>
      <w:divBdr>
        <w:top w:val="none" w:sz="0" w:space="0" w:color="auto"/>
        <w:left w:val="none" w:sz="0" w:space="0" w:color="auto"/>
        <w:bottom w:val="none" w:sz="0" w:space="0" w:color="auto"/>
        <w:right w:val="none" w:sz="0" w:space="0" w:color="auto"/>
      </w:divBdr>
    </w:div>
    <w:div w:id="1140149436">
      <w:bodyDiv w:val="1"/>
      <w:marLeft w:val="0"/>
      <w:marRight w:val="0"/>
      <w:marTop w:val="0"/>
      <w:marBottom w:val="0"/>
      <w:divBdr>
        <w:top w:val="none" w:sz="0" w:space="0" w:color="auto"/>
        <w:left w:val="none" w:sz="0" w:space="0" w:color="auto"/>
        <w:bottom w:val="none" w:sz="0" w:space="0" w:color="auto"/>
        <w:right w:val="none" w:sz="0" w:space="0" w:color="auto"/>
      </w:divBdr>
    </w:div>
    <w:div w:id="1140268301">
      <w:bodyDiv w:val="1"/>
      <w:marLeft w:val="0"/>
      <w:marRight w:val="0"/>
      <w:marTop w:val="0"/>
      <w:marBottom w:val="0"/>
      <w:divBdr>
        <w:top w:val="none" w:sz="0" w:space="0" w:color="auto"/>
        <w:left w:val="none" w:sz="0" w:space="0" w:color="auto"/>
        <w:bottom w:val="none" w:sz="0" w:space="0" w:color="auto"/>
        <w:right w:val="none" w:sz="0" w:space="0" w:color="auto"/>
      </w:divBdr>
    </w:div>
    <w:div w:id="1140269240">
      <w:bodyDiv w:val="1"/>
      <w:marLeft w:val="0"/>
      <w:marRight w:val="0"/>
      <w:marTop w:val="0"/>
      <w:marBottom w:val="0"/>
      <w:divBdr>
        <w:top w:val="none" w:sz="0" w:space="0" w:color="auto"/>
        <w:left w:val="none" w:sz="0" w:space="0" w:color="auto"/>
        <w:bottom w:val="none" w:sz="0" w:space="0" w:color="auto"/>
        <w:right w:val="none" w:sz="0" w:space="0" w:color="auto"/>
      </w:divBdr>
    </w:div>
    <w:div w:id="1140341875">
      <w:bodyDiv w:val="1"/>
      <w:marLeft w:val="0"/>
      <w:marRight w:val="0"/>
      <w:marTop w:val="0"/>
      <w:marBottom w:val="0"/>
      <w:divBdr>
        <w:top w:val="none" w:sz="0" w:space="0" w:color="auto"/>
        <w:left w:val="none" w:sz="0" w:space="0" w:color="auto"/>
        <w:bottom w:val="none" w:sz="0" w:space="0" w:color="auto"/>
        <w:right w:val="none" w:sz="0" w:space="0" w:color="auto"/>
      </w:divBdr>
    </w:div>
    <w:div w:id="1140418124">
      <w:bodyDiv w:val="1"/>
      <w:marLeft w:val="0"/>
      <w:marRight w:val="0"/>
      <w:marTop w:val="0"/>
      <w:marBottom w:val="0"/>
      <w:divBdr>
        <w:top w:val="none" w:sz="0" w:space="0" w:color="auto"/>
        <w:left w:val="none" w:sz="0" w:space="0" w:color="auto"/>
        <w:bottom w:val="none" w:sz="0" w:space="0" w:color="auto"/>
        <w:right w:val="none" w:sz="0" w:space="0" w:color="auto"/>
      </w:divBdr>
    </w:div>
    <w:div w:id="1140464722">
      <w:bodyDiv w:val="1"/>
      <w:marLeft w:val="0"/>
      <w:marRight w:val="0"/>
      <w:marTop w:val="0"/>
      <w:marBottom w:val="0"/>
      <w:divBdr>
        <w:top w:val="none" w:sz="0" w:space="0" w:color="auto"/>
        <w:left w:val="none" w:sz="0" w:space="0" w:color="auto"/>
        <w:bottom w:val="none" w:sz="0" w:space="0" w:color="auto"/>
        <w:right w:val="none" w:sz="0" w:space="0" w:color="auto"/>
      </w:divBdr>
    </w:div>
    <w:div w:id="1140465276">
      <w:bodyDiv w:val="1"/>
      <w:marLeft w:val="0"/>
      <w:marRight w:val="0"/>
      <w:marTop w:val="0"/>
      <w:marBottom w:val="0"/>
      <w:divBdr>
        <w:top w:val="none" w:sz="0" w:space="0" w:color="auto"/>
        <w:left w:val="none" w:sz="0" w:space="0" w:color="auto"/>
        <w:bottom w:val="none" w:sz="0" w:space="0" w:color="auto"/>
        <w:right w:val="none" w:sz="0" w:space="0" w:color="auto"/>
      </w:divBdr>
    </w:div>
    <w:div w:id="1140614324">
      <w:bodyDiv w:val="1"/>
      <w:marLeft w:val="0"/>
      <w:marRight w:val="0"/>
      <w:marTop w:val="0"/>
      <w:marBottom w:val="0"/>
      <w:divBdr>
        <w:top w:val="none" w:sz="0" w:space="0" w:color="auto"/>
        <w:left w:val="none" w:sz="0" w:space="0" w:color="auto"/>
        <w:bottom w:val="none" w:sz="0" w:space="0" w:color="auto"/>
        <w:right w:val="none" w:sz="0" w:space="0" w:color="auto"/>
      </w:divBdr>
    </w:div>
    <w:div w:id="1140728466">
      <w:bodyDiv w:val="1"/>
      <w:marLeft w:val="0"/>
      <w:marRight w:val="0"/>
      <w:marTop w:val="0"/>
      <w:marBottom w:val="0"/>
      <w:divBdr>
        <w:top w:val="none" w:sz="0" w:space="0" w:color="auto"/>
        <w:left w:val="none" w:sz="0" w:space="0" w:color="auto"/>
        <w:bottom w:val="none" w:sz="0" w:space="0" w:color="auto"/>
        <w:right w:val="none" w:sz="0" w:space="0" w:color="auto"/>
      </w:divBdr>
    </w:div>
    <w:div w:id="1140731990">
      <w:bodyDiv w:val="1"/>
      <w:marLeft w:val="0"/>
      <w:marRight w:val="0"/>
      <w:marTop w:val="0"/>
      <w:marBottom w:val="0"/>
      <w:divBdr>
        <w:top w:val="none" w:sz="0" w:space="0" w:color="auto"/>
        <w:left w:val="none" w:sz="0" w:space="0" w:color="auto"/>
        <w:bottom w:val="none" w:sz="0" w:space="0" w:color="auto"/>
        <w:right w:val="none" w:sz="0" w:space="0" w:color="auto"/>
      </w:divBdr>
    </w:div>
    <w:div w:id="1140802149">
      <w:bodyDiv w:val="1"/>
      <w:marLeft w:val="0"/>
      <w:marRight w:val="0"/>
      <w:marTop w:val="0"/>
      <w:marBottom w:val="0"/>
      <w:divBdr>
        <w:top w:val="none" w:sz="0" w:space="0" w:color="auto"/>
        <w:left w:val="none" w:sz="0" w:space="0" w:color="auto"/>
        <w:bottom w:val="none" w:sz="0" w:space="0" w:color="auto"/>
        <w:right w:val="none" w:sz="0" w:space="0" w:color="auto"/>
      </w:divBdr>
    </w:div>
    <w:div w:id="1140851236">
      <w:bodyDiv w:val="1"/>
      <w:marLeft w:val="0"/>
      <w:marRight w:val="0"/>
      <w:marTop w:val="0"/>
      <w:marBottom w:val="0"/>
      <w:divBdr>
        <w:top w:val="none" w:sz="0" w:space="0" w:color="auto"/>
        <w:left w:val="none" w:sz="0" w:space="0" w:color="auto"/>
        <w:bottom w:val="none" w:sz="0" w:space="0" w:color="auto"/>
        <w:right w:val="none" w:sz="0" w:space="0" w:color="auto"/>
      </w:divBdr>
    </w:div>
    <w:div w:id="1140851270">
      <w:bodyDiv w:val="1"/>
      <w:marLeft w:val="0"/>
      <w:marRight w:val="0"/>
      <w:marTop w:val="0"/>
      <w:marBottom w:val="0"/>
      <w:divBdr>
        <w:top w:val="none" w:sz="0" w:space="0" w:color="auto"/>
        <w:left w:val="none" w:sz="0" w:space="0" w:color="auto"/>
        <w:bottom w:val="none" w:sz="0" w:space="0" w:color="auto"/>
        <w:right w:val="none" w:sz="0" w:space="0" w:color="auto"/>
      </w:divBdr>
    </w:div>
    <w:div w:id="1140921762">
      <w:bodyDiv w:val="1"/>
      <w:marLeft w:val="0"/>
      <w:marRight w:val="0"/>
      <w:marTop w:val="0"/>
      <w:marBottom w:val="0"/>
      <w:divBdr>
        <w:top w:val="none" w:sz="0" w:space="0" w:color="auto"/>
        <w:left w:val="none" w:sz="0" w:space="0" w:color="auto"/>
        <w:bottom w:val="none" w:sz="0" w:space="0" w:color="auto"/>
        <w:right w:val="none" w:sz="0" w:space="0" w:color="auto"/>
      </w:divBdr>
    </w:div>
    <w:div w:id="1140994827">
      <w:bodyDiv w:val="1"/>
      <w:marLeft w:val="0"/>
      <w:marRight w:val="0"/>
      <w:marTop w:val="0"/>
      <w:marBottom w:val="0"/>
      <w:divBdr>
        <w:top w:val="none" w:sz="0" w:space="0" w:color="auto"/>
        <w:left w:val="none" w:sz="0" w:space="0" w:color="auto"/>
        <w:bottom w:val="none" w:sz="0" w:space="0" w:color="auto"/>
        <w:right w:val="none" w:sz="0" w:space="0" w:color="auto"/>
      </w:divBdr>
    </w:div>
    <w:div w:id="1141003801">
      <w:bodyDiv w:val="1"/>
      <w:marLeft w:val="0"/>
      <w:marRight w:val="0"/>
      <w:marTop w:val="0"/>
      <w:marBottom w:val="0"/>
      <w:divBdr>
        <w:top w:val="none" w:sz="0" w:space="0" w:color="auto"/>
        <w:left w:val="none" w:sz="0" w:space="0" w:color="auto"/>
        <w:bottom w:val="none" w:sz="0" w:space="0" w:color="auto"/>
        <w:right w:val="none" w:sz="0" w:space="0" w:color="auto"/>
      </w:divBdr>
    </w:div>
    <w:div w:id="1141077412">
      <w:bodyDiv w:val="1"/>
      <w:marLeft w:val="0"/>
      <w:marRight w:val="0"/>
      <w:marTop w:val="0"/>
      <w:marBottom w:val="0"/>
      <w:divBdr>
        <w:top w:val="none" w:sz="0" w:space="0" w:color="auto"/>
        <w:left w:val="none" w:sz="0" w:space="0" w:color="auto"/>
        <w:bottom w:val="none" w:sz="0" w:space="0" w:color="auto"/>
        <w:right w:val="none" w:sz="0" w:space="0" w:color="auto"/>
      </w:divBdr>
    </w:div>
    <w:div w:id="1141116965">
      <w:bodyDiv w:val="1"/>
      <w:marLeft w:val="0"/>
      <w:marRight w:val="0"/>
      <w:marTop w:val="0"/>
      <w:marBottom w:val="0"/>
      <w:divBdr>
        <w:top w:val="none" w:sz="0" w:space="0" w:color="auto"/>
        <w:left w:val="none" w:sz="0" w:space="0" w:color="auto"/>
        <w:bottom w:val="none" w:sz="0" w:space="0" w:color="auto"/>
        <w:right w:val="none" w:sz="0" w:space="0" w:color="auto"/>
      </w:divBdr>
    </w:div>
    <w:div w:id="1141118544">
      <w:bodyDiv w:val="1"/>
      <w:marLeft w:val="0"/>
      <w:marRight w:val="0"/>
      <w:marTop w:val="0"/>
      <w:marBottom w:val="0"/>
      <w:divBdr>
        <w:top w:val="none" w:sz="0" w:space="0" w:color="auto"/>
        <w:left w:val="none" w:sz="0" w:space="0" w:color="auto"/>
        <w:bottom w:val="none" w:sz="0" w:space="0" w:color="auto"/>
        <w:right w:val="none" w:sz="0" w:space="0" w:color="auto"/>
      </w:divBdr>
    </w:div>
    <w:div w:id="1141196123">
      <w:bodyDiv w:val="1"/>
      <w:marLeft w:val="0"/>
      <w:marRight w:val="0"/>
      <w:marTop w:val="0"/>
      <w:marBottom w:val="0"/>
      <w:divBdr>
        <w:top w:val="none" w:sz="0" w:space="0" w:color="auto"/>
        <w:left w:val="none" w:sz="0" w:space="0" w:color="auto"/>
        <w:bottom w:val="none" w:sz="0" w:space="0" w:color="auto"/>
        <w:right w:val="none" w:sz="0" w:space="0" w:color="auto"/>
      </w:divBdr>
    </w:div>
    <w:div w:id="1141264759">
      <w:bodyDiv w:val="1"/>
      <w:marLeft w:val="0"/>
      <w:marRight w:val="0"/>
      <w:marTop w:val="0"/>
      <w:marBottom w:val="0"/>
      <w:divBdr>
        <w:top w:val="none" w:sz="0" w:space="0" w:color="auto"/>
        <w:left w:val="none" w:sz="0" w:space="0" w:color="auto"/>
        <w:bottom w:val="none" w:sz="0" w:space="0" w:color="auto"/>
        <w:right w:val="none" w:sz="0" w:space="0" w:color="auto"/>
      </w:divBdr>
    </w:div>
    <w:div w:id="1141313755">
      <w:bodyDiv w:val="1"/>
      <w:marLeft w:val="0"/>
      <w:marRight w:val="0"/>
      <w:marTop w:val="0"/>
      <w:marBottom w:val="0"/>
      <w:divBdr>
        <w:top w:val="none" w:sz="0" w:space="0" w:color="auto"/>
        <w:left w:val="none" w:sz="0" w:space="0" w:color="auto"/>
        <w:bottom w:val="none" w:sz="0" w:space="0" w:color="auto"/>
        <w:right w:val="none" w:sz="0" w:space="0" w:color="auto"/>
      </w:divBdr>
    </w:div>
    <w:div w:id="1141388422">
      <w:bodyDiv w:val="1"/>
      <w:marLeft w:val="0"/>
      <w:marRight w:val="0"/>
      <w:marTop w:val="0"/>
      <w:marBottom w:val="0"/>
      <w:divBdr>
        <w:top w:val="none" w:sz="0" w:space="0" w:color="auto"/>
        <w:left w:val="none" w:sz="0" w:space="0" w:color="auto"/>
        <w:bottom w:val="none" w:sz="0" w:space="0" w:color="auto"/>
        <w:right w:val="none" w:sz="0" w:space="0" w:color="auto"/>
      </w:divBdr>
    </w:div>
    <w:div w:id="1141578527">
      <w:bodyDiv w:val="1"/>
      <w:marLeft w:val="0"/>
      <w:marRight w:val="0"/>
      <w:marTop w:val="0"/>
      <w:marBottom w:val="0"/>
      <w:divBdr>
        <w:top w:val="none" w:sz="0" w:space="0" w:color="auto"/>
        <w:left w:val="none" w:sz="0" w:space="0" w:color="auto"/>
        <w:bottom w:val="none" w:sz="0" w:space="0" w:color="auto"/>
        <w:right w:val="none" w:sz="0" w:space="0" w:color="auto"/>
      </w:divBdr>
    </w:div>
    <w:div w:id="1141583691">
      <w:bodyDiv w:val="1"/>
      <w:marLeft w:val="0"/>
      <w:marRight w:val="0"/>
      <w:marTop w:val="0"/>
      <w:marBottom w:val="0"/>
      <w:divBdr>
        <w:top w:val="none" w:sz="0" w:space="0" w:color="auto"/>
        <w:left w:val="none" w:sz="0" w:space="0" w:color="auto"/>
        <w:bottom w:val="none" w:sz="0" w:space="0" w:color="auto"/>
        <w:right w:val="none" w:sz="0" w:space="0" w:color="auto"/>
      </w:divBdr>
    </w:div>
    <w:div w:id="1141652509">
      <w:bodyDiv w:val="1"/>
      <w:marLeft w:val="0"/>
      <w:marRight w:val="0"/>
      <w:marTop w:val="0"/>
      <w:marBottom w:val="0"/>
      <w:divBdr>
        <w:top w:val="none" w:sz="0" w:space="0" w:color="auto"/>
        <w:left w:val="none" w:sz="0" w:space="0" w:color="auto"/>
        <w:bottom w:val="none" w:sz="0" w:space="0" w:color="auto"/>
        <w:right w:val="none" w:sz="0" w:space="0" w:color="auto"/>
      </w:divBdr>
    </w:div>
    <w:div w:id="1141768534">
      <w:bodyDiv w:val="1"/>
      <w:marLeft w:val="0"/>
      <w:marRight w:val="0"/>
      <w:marTop w:val="0"/>
      <w:marBottom w:val="0"/>
      <w:divBdr>
        <w:top w:val="none" w:sz="0" w:space="0" w:color="auto"/>
        <w:left w:val="none" w:sz="0" w:space="0" w:color="auto"/>
        <w:bottom w:val="none" w:sz="0" w:space="0" w:color="auto"/>
        <w:right w:val="none" w:sz="0" w:space="0" w:color="auto"/>
      </w:divBdr>
    </w:div>
    <w:div w:id="1141773407">
      <w:bodyDiv w:val="1"/>
      <w:marLeft w:val="0"/>
      <w:marRight w:val="0"/>
      <w:marTop w:val="0"/>
      <w:marBottom w:val="0"/>
      <w:divBdr>
        <w:top w:val="none" w:sz="0" w:space="0" w:color="auto"/>
        <w:left w:val="none" w:sz="0" w:space="0" w:color="auto"/>
        <w:bottom w:val="none" w:sz="0" w:space="0" w:color="auto"/>
        <w:right w:val="none" w:sz="0" w:space="0" w:color="auto"/>
      </w:divBdr>
    </w:div>
    <w:div w:id="1141848468">
      <w:bodyDiv w:val="1"/>
      <w:marLeft w:val="0"/>
      <w:marRight w:val="0"/>
      <w:marTop w:val="0"/>
      <w:marBottom w:val="0"/>
      <w:divBdr>
        <w:top w:val="none" w:sz="0" w:space="0" w:color="auto"/>
        <w:left w:val="none" w:sz="0" w:space="0" w:color="auto"/>
        <w:bottom w:val="none" w:sz="0" w:space="0" w:color="auto"/>
        <w:right w:val="none" w:sz="0" w:space="0" w:color="auto"/>
      </w:divBdr>
    </w:div>
    <w:div w:id="1142186973">
      <w:bodyDiv w:val="1"/>
      <w:marLeft w:val="0"/>
      <w:marRight w:val="0"/>
      <w:marTop w:val="0"/>
      <w:marBottom w:val="0"/>
      <w:divBdr>
        <w:top w:val="none" w:sz="0" w:space="0" w:color="auto"/>
        <w:left w:val="none" w:sz="0" w:space="0" w:color="auto"/>
        <w:bottom w:val="none" w:sz="0" w:space="0" w:color="auto"/>
        <w:right w:val="none" w:sz="0" w:space="0" w:color="auto"/>
      </w:divBdr>
    </w:div>
    <w:div w:id="1142187213">
      <w:bodyDiv w:val="1"/>
      <w:marLeft w:val="0"/>
      <w:marRight w:val="0"/>
      <w:marTop w:val="0"/>
      <w:marBottom w:val="0"/>
      <w:divBdr>
        <w:top w:val="none" w:sz="0" w:space="0" w:color="auto"/>
        <w:left w:val="none" w:sz="0" w:space="0" w:color="auto"/>
        <w:bottom w:val="none" w:sz="0" w:space="0" w:color="auto"/>
        <w:right w:val="none" w:sz="0" w:space="0" w:color="auto"/>
      </w:divBdr>
    </w:div>
    <w:div w:id="1142234191">
      <w:bodyDiv w:val="1"/>
      <w:marLeft w:val="0"/>
      <w:marRight w:val="0"/>
      <w:marTop w:val="0"/>
      <w:marBottom w:val="0"/>
      <w:divBdr>
        <w:top w:val="none" w:sz="0" w:space="0" w:color="auto"/>
        <w:left w:val="none" w:sz="0" w:space="0" w:color="auto"/>
        <w:bottom w:val="none" w:sz="0" w:space="0" w:color="auto"/>
        <w:right w:val="none" w:sz="0" w:space="0" w:color="auto"/>
      </w:divBdr>
    </w:div>
    <w:div w:id="1142308377">
      <w:bodyDiv w:val="1"/>
      <w:marLeft w:val="0"/>
      <w:marRight w:val="0"/>
      <w:marTop w:val="0"/>
      <w:marBottom w:val="0"/>
      <w:divBdr>
        <w:top w:val="none" w:sz="0" w:space="0" w:color="auto"/>
        <w:left w:val="none" w:sz="0" w:space="0" w:color="auto"/>
        <w:bottom w:val="none" w:sz="0" w:space="0" w:color="auto"/>
        <w:right w:val="none" w:sz="0" w:space="0" w:color="auto"/>
      </w:divBdr>
    </w:div>
    <w:div w:id="1142382929">
      <w:bodyDiv w:val="1"/>
      <w:marLeft w:val="0"/>
      <w:marRight w:val="0"/>
      <w:marTop w:val="0"/>
      <w:marBottom w:val="0"/>
      <w:divBdr>
        <w:top w:val="none" w:sz="0" w:space="0" w:color="auto"/>
        <w:left w:val="none" w:sz="0" w:space="0" w:color="auto"/>
        <w:bottom w:val="none" w:sz="0" w:space="0" w:color="auto"/>
        <w:right w:val="none" w:sz="0" w:space="0" w:color="auto"/>
      </w:divBdr>
    </w:div>
    <w:div w:id="1142384244">
      <w:bodyDiv w:val="1"/>
      <w:marLeft w:val="0"/>
      <w:marRight w:val="0"/>
      <w:marTop w:val="0"/>
      <w:marBottom w:val="0"/>
      <w:divBdr>
        <w:top w:val="none" w:sz="0" w:space="0" w:color="auto"/>
        <w:left w:val="none" w:sz="0" w:space="0" w:color="auto"/>
        <w:bottom w:val="none" w:sz="0" w:space="0" w:color="auto"/>
        <w:right w:val="none" w:sz="0" w:space="0" w:color="auto"/>
      </w:divBdr>
    </w:div>
    <w:div w:id="1142573563">
      <w:bodyDiv w:val="1"/>
      <w:marLeft w:val="0"/>
      <w:marRight w:val="0"/>
      <w:marTop w:val="0"/>
      <w:marBottom w:val="0"/>
      <w:divBdr>
        <w:top w:val="none" w:sz="0" w:space="0" w:color="auto"/>
        <w:left w:val="none" w:sz="0" w:space="0" w:color="auto"/>
        <w:bottom w:val="none" w:sz="0" w:space="0" w:color="auto"/>
        <w:right w:val="none" w:sz="0" w:space="0" w:color="auto"/>
      </w:divBdr>
    </w:div>
    <w:div w:id="1142576370">
      <w:bodyDiv w:val="1"/>
      <w:marLeft w:val="0"/>
      <w:marRight w:val="0"/>
      <w:marTop w:val="0"/>
      <w:marBottom w:val="0"/>
      <w:divBdr>
        <w:top w:val="none" w:sz="0" w:space="0" w:color="auto"/>
        <w:left w:val="none" w:sz="0" w:space="0" w:color="auto"/>
        <w:bottom w:val="none" w:sz="0" w:space="0" w:color="auto"/>
        <w:right w:val="none" w:sz="0" w:space="0" w:color="auto"/>
      </w:divBdr>
    </w:div>
    <w:div w:id="1142696339">
      <w:bodyDiv w:val="1"/>
      <w:marLeft w:val="0"/>
      <w:marRight w:val="0"/>
      <w:marTop w:val="0"/>
      <w:marBottom w:val="0"/>
      <w:divBdr>
        <w:top w:val="none" w:sz="0" w:space="0" w:color="auto"/>
        <w:left w:val="none" w:sz="0" w:space="0" w:color="auto"/>
        <w:bottom w:val="none" w:sz="0" w:space="0" w:color="auto"/>
        <w:right w:val="none" w:sz="0" w:space="0" w:color="auto"/>
      </w:divBdr>
    </w:div>
    <w:div w:id="1142696405">
      <w:bodyDiv w:val="1"/>
      <w:marLeft w:val="0"/>
      <w:marRight w:val="0"/>
      <w:marTop w:val="0"/>
      <w:marBottom w:val="0"/>
      <w:divBdr>
        <w:top w:val="none" w:sz="0" w:space="0" w:color="auto"/>
        <w:left w:val="none" w:sz="0" w:space="0" w:color="auto"/>
        <w:bottom w:val="none" w:sz="0" w:space="0" w:color="auto"/>
        <w:right w:val="none" w:sz="0" w:space="0" w:color="auto"/>
      </w:divBdr>
    </w:div>
    <w:div w:id="1142772694">
      <w:bodyDiv w:val="1"/>
      <w:marLeft w:val="0"/>
      <w:marRight w:val="0"/>
      <w:marTop w:val="0"/>
      <w:marBottom w:val="0"/>
      <w:divBdr>
        <w:top w:val="none" w:sz="0" w:space="0" w:color="auto"/>
        <w:left w:val="none" w:sz="0" w:space="0" w:color="auto"/>
        <w:bottom w:val="none" w:sz="0" w:space="0" w:color="auto"/>
        <w:right w:val="none" w:sz="0" w:space="0" w:color="auto"/>
      </w:divBdr>
    </w:div>
    <w:div w:id="1142776140">
      <w:bodyDiv w:val="1"/>
      <w:marLeft w:val="0"/>
      <w:marRight w:val="0"/>
      <w:marTop w:val="0"/>
      <w:marBottom w:val="0"/>
      <w:divBdr>
        <w:top w:val="none" w:sz="0" w:space="0" w:color="auto"/>
        <w:left w:val="none" w:sz="0" w:space="0" w:color="auto"/>
        <w:bottom w:val="none" w:sz="0" w:space="0" w:color="auto"/>
        <w:right w:val="none" w:sz="0" w:space="0" w:color="auto"/>
      </w:divBdr>
    </w:div>
    <w:div w:id="1142844449">
      <w:bodyDiv w:val="1"/>
      <w:marLeft w:val="0"/>
      <w:marRight w:val="0"/>
      <w:marTop w:val="0"/>
      <w:marBottom w:val="0"/>
      <w:divBdr>
        <w:top w:val="none" w:sz="0" w:space="0" w:color="auto"/>
        <w:left w:val="none" w:sz="0" w:space="0" w:color="auto"/>
        <w:bottom w:val="none" w:sz="0" w:space="0" w:color="auto"/>
        <w:right w:val="none" w:sz="0" w:space="0" w:color="auto"/>
      </w:divBdr>
    </w:div>
    <w:div w:id="1142888945">
      <w:bodyDiv w:val="1"/>
      <w:marLeft w:val="0"/>
      <w:marRight w:val="0"/>
      <w:marTop w:val="0"/>
      <w:marBottom w:val="0"/>
      <w:divBdr>
        <w:top w:val="none" w:sz="0" w:space="0" w:color="auto"/>
        <w:left w:val="none" w:sz="0" w:space="0" w:color="auto"/>
        <w:bottom w:val="none" w:sz="0" w:space="0" w:color="auto"/>
        <w:right w:val="none" w:sz="0" w:space="0" w:color="auto"/>
      </w:divBdr>
    </w:div>
    <w:div w:id="1142893754">
      <w:bodyDiv w:val="1"/>
      <w:marLeft w:val="0"/>
      <w:marRight w:val="0"/>
      <w:marTop w:val="0"/>
      <w:marBottom w:val="0"/>
      <w:divBdr>
        <w:top w:val="none" w:sz="0" w:space="0" w:color="auto"/>
        <w:left w:val="none" w:sz="0" w:space="0" w:color="auto"/>
        <w:bottom w:val="none" w:sz="0" w:space="0" w:color="auto"/>
        <w:right w:val="none" w:sz="0" w:space="0" w:color="auto"/>
      </w:divBdr>
    </w:div>
    <w:div w:id="1143044295">
      <w:bodyDiv w:val="1"/>
      <w:marLeft w:val="0"/>
      <w:marRight w:val="0"/>
      <w:marTop w:val="0"/>
      <w:marBottom w:val="0"/>
      <w:divBdr>
        <w:top w:val="none" w:sz="0" w:space="0" w:color="auto"/>
        <w:left w:val="none" w:sz="0" w:space="0" w:color="auto"/>
        <w:bottom w:val="none" w:sz="0" w:space="0" w:color="auto"/>
        <w:right w:val="none" w:sz="0" w:space="0" w:color="auto"/>
      </w:divBdr>
    </w:div>
    <w:div w:id="1143158074">
      <w:bodyDiv w:val="1"/>
      <w:marLeft w:val="0"/>
      <w:marRight w:val="0"/>
      <w:marTop w:val="0"/>
      <w:marBottom w:val="0"/>
      <w:divBdr>
        <w:top w:val="none" w:sz="0" w:space="0" w:color="auto"/>
        <w:left w:val="none" w:sz="0" w:space="0" w:color="auto"/>
        <w:bottom w:val="none" w:sz="0" w:space="0" w:color="auto"/>
        <w:right w:val="none" w:sz="0" w:space="0" w:color="auto"/>
      </w:divBdr>
    </w:div>
    <w:div w:id="1143275863">
      <w:bodyDiv w:val="1"/>
      <w:marLeft w:val="0"/>
      <w:marRight w:val="0"/>
      <w:marTop w:val="0"/>
      <w:marBottom w:val="0"/>
      <w:divBdr>
        <w:top w:val="none" w:sz="0" w:space="0" w:color="auto"/>
        <w:left w:val="none" w:sz="0" w:space="0" w:color="auto"/>
        <w:bottom w:val="none" w:sz="0" w:space="0" w:color="auto"/>
        <w:right w:val="none" w:sz="0" w:space="0" w:color="auto"/>
      </w:divBdr>
    </w:div>
    <w:div w:id="1143305346">
      <w:bodyDiv w:val="1"/>
      <w:marLeft w:val="0"/>
      <w:marRight w:val="0"/>
      <w:marTop w:val="0"/>
      <w:marBottom w:val="0"/>
      <w:divBdr>
        <w:top w:val="none" w:sz="0" w:space="0" w:color="auto"/>
        <w:left w:val="none" w:sz="0" w:space="0" w:color="auto"/>
        <w:bottom w:val="none" w:sz="0" w:space="0" w:color="auto"/>
        <w:right w:val="none" w:sz="0" w:space="0" w:color="auto"/>
      </w:divBdr>
    </w:div>
    <w:div w:id="1143351755">
      <w:bodyDiv w:val="1"/>
      <w:marLeft w:val="0"/>
      <w:marRight w:val="0"/>
      <w:marTop w:val="0"/>
      <w:marBottom w:val="0"/>
      <w:divBdr>
        <w:top w:val="none" w:sz="0" w:space="0" w:color="auto"/>
        <w:left w:val="none" w:sz="0" w:space="0" w:color="auto"/>
        <w:bottom w:val="none" w:sz="0" w:space="0" w:color="auto"/>
        <w:right w:val="none" w:sz="0" w:space="0" w:color="auto"/>
      </w:divBdr>
    </w:div>
    <w:div w:id="1143355977">
      <w:bodyDiv w:val="1"/>
      <w:marLeft w:val="0"/>
      <w:marRight w:val="0"/>
      <w:marTop w:val="0"/>
      <w:marBottom w:val="0"/>
      <w:divBdr>
        <w:top w:val="none" w:sz="0" w:space="0" w:color="auto"/>
        <w:left w:val="none" w:sz="0" w:space="0" w:color="auto"/>
        <w:bottom w:val="none" w:sz="0" w:space="0" w:color="auto"/>
        <w:right w:val="none" w:sz="0" w:space="0" w:color="auto"/>
      </w:divBdr>
    </w:div>
    <w:div w:id="1143431544">
      <w:bodyDiv w:val="1"/>
      <w:marLeft w:val="0"/>
      <w:marRight w:val="0"/>
      <w:marTop w:val="0"/>
      <w:marBottom w:val="0"/>
      <w:divBdr>
        <w:top w:val="none" w:sz="0" w:space="0" w:color="auto"/>
        <w:left w:val="none" w:sz="0" w:space="0" w:color="auto"/>
        <w:bottom w:val="none" w:sz="0" w:space="0" w:color="auto"/>
        <w:right w:val="none" w:sz="0" w:space="0" w:color="auto"/>
      </w:divBdr>
    </w:div>
    <w:div w:id="1143615486">
      <w:bodyDiv w:val="1"/>
      <w:marLeft w:val="0"/>
      <w:marRight w:val="0"/>
      <w:marTop w:val="0"/>
      <w:marBottom w:val="0"/>
      <w:divBdr>
        <w:top w:val="none" w:sz="0" w:space="0" w:color="auto"/>
        <w:left w:val="none" w:sz="0" w:space="0" w:color="auto"/>
        <w:bottom w:val="none" w:sz="0" w:space="0" w:color="auto"/>
        <w:right w:val="none" w:sz="0" w:space="0" w:color="auto"/>
      </w:divBdr>
    </w:div>
    <w:div w:id="1143766313">
      <w:bodyDiv w:val="1"/>
      <w:marLeft w:val="0"/>
      <w:marRight w:val="0"/>
      <w:marTop w:val="0"/>
      <w:marBottom w:val="0"/>
      <w:divBdr>
        <w:top w:val="none" w:sz="0" w:space="0" w:color="auto"/>
        <w:left w:val="none" w:sz="0" w:space="0" w:color="auto"/>
        <w:bottom w:val="none" w:sz="0" w:space="0" w:color="auto"/>
        <w:right w:val="none" w:sz="0" w:space="0" w:color="auto"/>
      </w:divBdr>
    </w:div>
    <w:div w:id="1143810483">
      <w:bodyDiv w:val="1"/>
      <w:marLeft w:val="0"/>
      <w:marRight w:val="0"/>
      <w:marTop w:val="0"/>
      <w:marBottom w:val="0"/>
      <w:divBdr>
        <w:top w:val="none" w:sz="0" w:space="0" w:color="auto"/>
        <w:left w:val="none" w:sz="0" w:space="0" w:color="auto"/>
        <w:bottom w:val="none" w:sz="0" w:space="0" w:color="auto"/>
        <w:right w:val="none" w:sz="0" w:space="0" w:color="auto"/>
      </w:divBdr>
    </w:div>
    <w:div w:id="1143812746">
      <w:bodyDiv w:val="1"/>
      <w:marLeft w:val="0"/>
      <w:marRight w:val="0"/>
      <w:marTop w:val="0"/>
      <w:marBottom w:val="0"/>
      <w:divBdr>
        <w:top w:val="none" w:sz="0" w:space="0" w:color="auto"/>
        <w:left w:val="none" w:sz="0" w:space="0" w:color="auto"/>
        <w:bottom w:val="none" w:sz="0" w:space="0" w:color="auto"/>
        <w:right w:val="none" w:sz="0" w:space="0" w:color="auto"/>
      </w:divBdr>
    </w:div>
    <w:div w:id="1143961939">
      <w:bodyDiv w:val="1"/>
      <w:marLeft w:val="0"/>
      <w:marRight w:val="0"/>
      <w:marTop w:val="0"/>
      <w:marBottom w:val="0"/>
      <w:divBdr>
        <w:top w:val="none" w:sz="0" w:space="0" w:color="auto"/>
        <w:left w:val="none" w:sz="0" w:space="0" w:color="auto"/>
        <w:bottom w:val="none" w:sz="0" w:space="0" w:color="auto"/>
        <w:right w:val="none" w:sz="0" w:space="0" w:color="auto"/>
      </w:divBdr>
    </w:div>
    <w:div w:id="1144006966">
      <w:bodyDiv w:val="1"/>
      <w:marLeft w:val="0"/>
      <w:marRight w:val="0"/>
      <w:marTop w:val="0"/>
      <w:marBottom w:val="0"/>
      <w:divBdr>
        <w:top w:val="none" w:sz="0" w:space="0" w:color="auto"/>
        <w:left w:val="none" w:sz="0" w:space="0" w:color="auto"/>
        <w:bottom w:val="none" w:sz="0" w:space="0" w:color="auto"/>
        <w:right w:val="none" w:sz="0" w:space="0" w:color="auto"/>
      </w:divBdr>
    </w:div>
    <w:div w:id="1144079850">
      <w:bodyDiv w:val="1"/>
      <w:marLeft w:val="0"/>
      <w:marRight w:val="0"/>
      <w:marTop w:val="0"/>
      <w:marBottom w:val="0"/>
      <w:divBdr>
        <w:top w:val="none" w:sz="0" w:space="0" w:color="auto"/>
        <w:left w:val="none" w:sz="0" w:space="0" w:color="auto"/>
        <w:bottom w:val="none" w:sz="0" w:space="0" w:color="auto"/>
        <w:right w:val="none" w:sz="0" w:space="0" w:color="auto"/>
      </w:divBdr>
    </w:div>
    <w:div w:id="1144084415">
      <w:bodyDiv w:val="1"/>
      <w:marLeft w:val="0"/>
      <w:marRight w:val="0"/>
      <w:marTop w:val="0"/>
      <w:marBottom w:val="0"/>
      <w:divBdr>
        <w:top w:val="none" w:sz="0" w:space="0" w:color="auto"/>
        <w:left w:val="none" w:sz="0" w:space="0" w:color="auto"/>
        <w:bottom w:val="none" w:sz="0" w:space="0" w:color="auto"/>
        <w:right w:val="none" w:sz="0" w:space="0" w:color="auto"/>
      </w:divBdr>
    </w:div>
    <w:div w:id="1144085309">
      <w:bodyDiv w:val="1"/>
      <w:marLeft w:val="0"/>
      <w:marRight w:val="0"/>
      <w:marTop w:val="0"/>
      <w:marBottom w:val="0"/>
      <w:divBdr>
        <w:top w:val="none" w:sz="0" w:space="0" w:color="auto"/>
        <w:left w:val="none" w:sz="0" w:space="0" w:color="auto"/>
        <w:bottom w:val="none" w:sz="0" w:space="0" w:color="auto"/>
        <w:right w:val="none" w:sz="0" w:space="0" w:color="auto"/>
      </w:divBdr>
    </w:div>
    <w:div w:id="1144128722">
      <w:bodyDiv w:val="1"/>
      <w:marLeft w:val="0"/>
      <w:marRight w:val="0"/>
      <w:marTop w:val="0"/>
      <w:marBottom w:val="0"/>
      <w:divBdr>
        <w:top w:val="none" w:sz="0" w:space="0" w:color="auto"/>
        <w:left w:val="none" w:sz="0" w:space="0" w:color="auto"/>
        <w:bottom w:val="none" w:sz="0" w:space="0" w:color="auto"/>
        <w:right w:val="none" w:sz="0" w:space="0" w:color="auto"/>
      </w:divBdr>
    </w:div>
    <w:div w:id="1144157434">
      <w:bodyDiv w:val="1"/>
      <w:marLeft w:val="0"/>
      <w:marRight w:val="0"/>
      <w:marTop w:val="0"/>
      <w:marBottom w:val="0"/>
      <w:divBdr>
        <w:top w:val="none" w:sz="0" w:space="0" w:color="auto"/>
        <w:left w:val="none" w:sz="0" w:space="0" w:color="auto"/>
        <w:bottom w:val="none" w:sz="0" w:space="0" w:color="auto"/>
        <w:right w:val="none" w:sz="0" w:space="0" w:color="auto"/>
      </w:divBdr>
    </w:div>
    <w:div w:id="1144197716">
      <w:bodyDiv w:val="1"/>
      <w:marLeft w:val="0"/>
      <w:marRight w:val="0"/>
      <w:marTop w:val="0"/>
      <w:marBottom w:val="0"/>
      <w:divBdr>
        <w:top w:val="none" w:sz="0" w:space="0" w:color="auto"/>
        <w:left w:val="none" w:sz="0" w:space="0" w:color="auto"/>
        <w:bottom w:val="none" w:sz="0" w:space="0" w:color="auto"/>
        <w:right w:val="none" w:sz="0" w:space="0" w:color="auto"/>
      </w:divBdr>
    </w:div>
    <w:div w:id="1144202971">
      <w:bodyDiv w:val="1"/>
      <w:marLeft w:val="0"/>
      <w:marRight w:val="0"/>
      <w:marTop w:val="0"/>
      <w:marBottom w:val="0"/>
      <w:divBdr>
        <w:top w:val="none" w:sz="0" w:space="0" w:color="auto"/>
        <w:left w:val="none" w:sz="0" w:space="0" w:color="auto"/>
        <w:bottom w:val="none" w:sz="0" w:space="0" w:color="auto"/>
        <w:right w:val="none" w:sz="0" w:space="0" w:color="auto"/>
      </w:divBdr>
    </w:div>
    <w:div w:id="1144272127">
      <w:bodyDiv w:val="1"/>
      <w:marLeft w:val="0"/>
      <w:marRight w:val="0"/>
      <w:marTop w:val="0"/>
      <w:marBottom w:val="0"/>
      <w:divBdr>
        <w:top w:val="none" w:sz="0" w:space="0" w:color="auto"/>
        <w:left w:val="none" w:sz="0" w:space="0" w:color="auto"/>
        <w:bottom w:val="none" w:sz="0" w:space="0" w:color="auto"/>
        <w:right w:val="none" w:sz="0" w:space="0" w:color="auto"/>
      </w:divBdr>
    </w:div>
    <w:div w:id="1144541461">
      <w:bodyDiv w:val="1"/>
      <w:marLeft w:val="0"/>
      <w:marRight w:val="0"/>
      <w:marTop w:val="0"/>
      <w:marBottom w:val="0"/>
      <w:divBdr>
        <w:top w:val="none" w:sz="0" w:space="0" w:color="auto"/>
        <w:left w:val="none" w:sz="0" w:space="0" w:color="auto"/>
        <w:bottom w:val="none" w:sz="0" w:space="0" w:color="auto"/>
        <w:right w:val="none" w:sz="0" w:space="0" w:color="auto"/>
      </w:divBdr>
    </w:div>
    <w:div w:id="1144546511">
      <w:bodyDiv w:val="1"/>
      <w:marLeft w:val="0"/>
      <w:marRight w:val="0"/>
      <w:marTop w:val="0"/>
      <w:marBottom w:val="0"/>
      <w:divBdr>
        <w:top w:val="none" w:sz="0" w:space="0" w:color="auto"/>
        <w:left w:val="none" w:sz="0" w:space="0" w:color="auto"/>
        <w:bottom w:val="none" w:sz="0" w:space="0" w:color="auto"/>
        <w:right w:val="none" w:sz="0" w:space="0" w:color="auto"/>
      </w:divBdr>
    </w:div>
    <w:div w:id="1144588670">
      <w:bodyDiv w:val="1"/>
      <w:marLeft w:val="0"/>
      <w:marRight w:val="0"/>
      <w:marTop w:val="0"/>
      <w:marBottom w:val="0"/>
      <w:divBdr>
        <w:top w:val="none" w:sz="0" w:space="0" w:color="auto"/>
        <w:left w:val="none" w:sz="0" w:space="0" w:color="auto"/>
        <w:bottom w:val="none" w:sz="0" w:space="0" w:color="auto"/>
        <w:right w:val="none" w:sz="0" w:space="0" w:color="auto"/>
      </w:divBdr>
    </w:div>
    <w:div w:id="1144617236">
      <w:bodyDiv w:val="1"/>
      <w:marLeft w:val="0"/>
      <w:marRight w:val="0"/>
      <w:marTop w:val="0"/>
      <w:marBottom w:val="0"/>
      <w:divBdr>
        <w:top w:val="none" w:sz="0" w:space="0" w:color="auto"/>
        <w:left w:val="none" w:sz="0" w:space="0" w:color="auto"/>
        <w:bottom w:val="none" w:sz="0" w:space="0" w:color="auto"/>
        <w:right w:val="none" w:sz="0" w:space="0" w:color="auto"/>
      </w:divBdr>
    </w:div>
    <w:div w:id="1144665372">
      <w:bodyDiv w:val="1"/>
      <w:marLeft w:val="0"/>
      <w:marRight w:val="0"/>
      <w:marTop w:val="0"/>
      <w:marBottom w:val="0"/>
      <w:divBdr>
        <w:top w:val="none" w:sz="0" w:space="0" w:color="auto"/>
        <w:left w:val="none" w:sz="0" w:space="0" w:color="auto"/>
        <w:bottom w:val="none" w:sz="0" w:space="0" w:color="auto"/>
        <w:right w:val="none" w:sz="0" w:space="0" w:color="auto"/>
      </w:divBdr>
    </w:div>
    <w:div w:id="1144812053">
      <w:bodyDiv w:val="1"/>
      <w:marLeft w:val="0"/>
      <w:marRight w:val="0"/>
      <w:marTop w:val="0"/>
      <w:marBottom w:val="0"/>
      <w:divBdr>
        <w:top w:val="none" w:sz="0" w:space="0" w:color="auto"/>
        <w:left w:val="none" w:sz="0" w:space="0" w:color="auto"/>
        <w:bottom w:val="none" w:sz="0" w:space="0" w:color="auto"/>
        <w:right w:val="none" w:sz="0" w:space="0" w:color="auto"/>
      </w:divBdr>
    </w:div>
    <w:div w:id="1144934421">
      <w:bodyDiv w:val="1"/>
      <w:marLeft w:val="0"/>
      <w:marRight w:val="0"/>
      <w:marTop w:val="0"/>
      <w:marBottom w:val="0"/>
      <w:divBdr>
        <w:top w:val="none" w:sz="0" w:space="0" w:color="auto"/>
        <w:left w:val="none" w:sz="0" w:space="0" w:color="auto"/>
        <w:bottom w:val="none" w:sz="0" w:space="0" w:color="auto"/>
        <w:right w:val="none" w:sz="0" w:space="0" w:color="auto"/>
      </w:divBdr>
    </w:div>
    <w:div w:id="1145002337">
      <w:bodyDiv w:val="1"/>
      <w:marLeft w:val="0"/>
      <w:marRight w:val="0"/>
      <w:marTop w:val="0"/>
      <w:marBottom w:val="0"/>
      <w:divBdr>
        <w:top w:val="none" w:sz="0" w:space="0" w:color="auto"/>
        <w:left w:val="none" w:sz="0" w:space="0" w:color="auto"/>
        <w:bottom w:val="none" w:sz="0" w:space="0" w:color="auto"/>
        <w:right w:val="none" w:sz="0" w:space="0" w:color="auto"/>
      </w:divBdr>
    </w:div>
    <w:div w:id="1145006978">
      <w:bodyDiv w:val="1"/>
      <w:marLeft w:val="0"/>
      <w:marRight w:val="0"/>
      <w:marTop w:val="0"/>
      <w:marBottom w:val="0"/>
      <w:divBdr>
        <w:top w:val="none" w:sz="0" w:space="0" w:color="auto"/>
        <w:left w:val="none" w:sz="0" w:space="0" w:color="auto"/>
        <w:bottom w:val="none" w:sz="0" w:space="0" w:color="auto"/>
        <w:right w:val="none" w:sz="0" w:space="0" w:color="auto"/>
      </w:divBdr>
    </w:div>
    <w:div w:id="1145048334">
      <w:bodyDiv w:val="1"/>
      <w:marLeft w:val="0"/>
      <w:marRight w:val="0"/>
      <w:marTop w:val="0"/>
      <w:marBottom w:val="0"/>
      <w:divBdr>
        <w:top w:val="none" w:sz="0" w:space="0" w:color="auto"/>
        <w:left w:val="none" w:sz="0" w:space="0" w:color="auto"/>
        <w:bottom w:val="none" w:sz="0" w:space="0" w:color="auto"/>
        <w:right w:val="none" w:sz="0" w:space="0" w:color="auto"/>
      </w:divBdr>
    </w:div>
    <w:div w:id="1145051594">
      <w:bodyDiv w:val="1"/>
      <w:marLeft w:val="0"/>
      <w:marRight w:val="0"/>
      <w:marTop w:val="0"/>
      <w:marBottom w:val="0"/>
      <w:divBdr>
        <w:top w:val="none" w:sz="0" w:space="0" w:color="auto"/>
        <w:left w:val="none" w:sz="0" w:space="0" w:color="auto"/>
        <w:bottom w:val="none" w:sz="0" w:space="0" w:color="auto"/>
        <w:right w:val="none" w:sz="0" w:space="0" w:color="auto"/>
      </w:divBdr>
    </w:div>
    <w:div w:id="1145388267">
      <w:bodyDiv w:val="1"/>
      <w:marLeft w:val="0"/>
      <w:marRight w:val="0"/>
      <w:marTop w:val="0"/>
      <w:marBottom w:val="0"/>
      <w:divBdr>
        <w:top w:val="none" w:sz="0" w:space="0" w:color="auto"/>
        <w:left w:val="none" w:sz="0" w:space="0" w:color="auto"/>
        <w:bottom w:val="none" w:sz="0" w:space="0" w:color="auto"/>
        <w:right w:val="none" w:sz="0" w:space="0" w:color="auto"/>
      </w:divBdr>
    </w:div>
    <w:div w:id="1145463207">
      <w:bodyDiv w:val="1"/>
      <w:marLeft w:val="0"/>
      <w:marRight w:val="0"/>
      <w:marTop w:val="0"/>
      <w:marBottom w:val="0"/>
      <w:divBdr>
        <w:top w:val="none" w:sz="0" w:space="0" w:color="auto"/>
        <w:left w:val="none" w:sz="0" w:space="0" w:color="auto"/>
        <w:bottom w:val="none" w:sz="0" w:space="0" w:color="auto"/>
        <w:right w:val="none" w:sz="0" w:space="0" w:color="auto"/>
      </w:divBdr>
    </w:div>
    <w:div w:id="1145514579">
      <w:bodyDiv w:val="1"/>
      <w:marLeft w:val="0"/>
      <w:marRight w:val="0"/>
      <w:marTop w:val="0"/>
      <w:marBottom w:val="0"/>
      <w:divBdr>
        <w:top w:val="none" w:sz="0" w:space="0" w:color="auto"/>
        <w:left w:val="none" w:sz="0" w:space="0" w:color="auto"/>
        <w:bottom w:val="none" w:sz="0" w:space="0" w:color="auto"/>
        <w:right w:val="none" w:sz="0" w:space="0" w:color="auto"/>
      </w:divBdr>
    </w:div>
    <w:div w:id="1145732607">
      <w:bodyDiv w:val="1"/>
      <w:marLeft w:val="0"/>
      <w:marRight w:val="0"/>
      <w:marTop w:val="0"/>
      <w:marBottom w:val="0"/>
      <w:divBdr>
        <w:top w:val="none" w:sz="0" w:space="0" w:color="auto"/>
        <w:left w:val="none" w:sz="0" w:space="0" w:color="auto"/>
        <w:bottom w:val="none" w:sz="0" w:space="0" w:color="auto"/>
        <w:right w:val="none" w:sz="0" w:space="0" w:color="auto"/>
      </w:divBdr>
    </w:div>
    <w:div w:id="1145853357">
      <w:bodyDiv w:val="1"/>
      <w:marLeft w:val="0"/>
      <w:marRight w:val="0"/>
      <w:marTop w:val="0"/>
      <w:marBottom w:val="0"/>
      <w:divBdr>
        <w:top w:val="none" w:sz="0" w:space="0" w:color="auto"/>
        <w:left w:val="none" w:sz="0" w:space="0" w:color="auto"/>
        <w:bottom w:val="none" w:sz="0" w:space="0" w:color="auto"/>
        <w:right w:val="none" w:sz="0" w:space="0" w:color="auto"/>
      </w:divBdr>
    </w:div>
    <w:div w:id="1145853515">
      <w:bodyDiv w:val="1"/>
      <w:marLeft w:val="0"/>
      <w:marRight w:val="0"/>
      <w:marTop w:val="0"/>
      <w:marBottom w:val="0"/>
      <w:divBdr>
        <w:top w:val="none" w:sz="0" w:space="0" w:color="auto"/>
        <w:left w:val="none" w:sz="0" w:space="0" w:color="auto"/>
        <w:bottom w:val="none" w:sz="0" w:space="0" w:color="auto"/>
        <w:right w:val="none" w:sz="0" w:space="0" w:color="auto"/>
      </w:divBdr>
    </w:div>
    <w:div w:id="1146052411">
      <w:bodyDiv w:val="1"/>
      <w:marLeft w:val="0"/>
      <w:marRight w:val="0"/>
      <w:marTop w:val="0"/>
      <w:marBottom w:val="0"/>
      <w:divBdr>
        <w:top w:val="none" w:sz="0" w:space="0" w:color="auto"/>
        <w:left w:val="none" w:sz="0" w:space="0" w:color="auto"/>
        <w:bottom w:val="none" w:sz="0" w:space="0" w:color="auto"/>
        <w:right w:val="none" w:sz="0" w:space="0" w:color="auto"/>
      </w:divBdr>
    </w:div>
    <w:div w:id="1146121433">
      <w:bodyDiv w:val="1"/>
      <w:marLeft w:val="0"/>
      <w:marRight w:val="0"/>
      <w:marTop w:val="0"/>
      <w:marBottom w:val="0"/>
      <w:divBdr>
        <w:top w:val="none" w:sz="0" w:space="0" w:color="auto"/>
        <w:left w:val="none" w:sz="0" w:space="0" w:color="auto"/>
        <w:bottom w:val="none" w:sz="0" w:space="0" w:color="auto"/>
        <w:right w:val="none" w:sz="0" w:space="0" w:color="auto"/>
      </w:divBdr>
    </w:div>
    <w:div w:id="1146121883">
      <w:bodyDiv w:val="1"/>
      <w:marLeft w:val="0"/>
      <w:marRight w:val="0"/>
      <w:marTop w:val="0"/>
      <w:marBottom w:val="0"/>
      <w:divBdr>
        <w:top w:val="none" w:sz="0" w:space="0" w:color="auto"/>
        <w:left w:val="none" w:sz="0" w:space="0" w:color="auto"/>
        <w:bottom w:val="none" w:sz="0" w:space="0" w:color="auto"/>
        <w:right w:val="none" w:sz="0" w:space="0" w:color="auto"/>
      </w:divBdr>
    </w:div>
    <w:div w:id="1146162121">
      <w:bodyDiv w:val="1"/>
      <w:marLeft w:val="0"/>
      <w:marRight w:val="0"/>
      <w:marTop w:val="0"/>
      <w:marBottom w:val="0"/>
      <w:divBdr>
        <w:top w:val="none" w:sz="0" w:space="0" w:color="auto"/>
        <w:left w:val="none" w:sz="0" w:space="0" w:color="auto"/>
        <w:bottom w:val="none" w:sz="0" w:space="0" w:color="auto"/>
        <w:right w:val="none" w:sz="0" w:space="0" w:color="auto"/>
      </w:divBdr>
    </w:div>
    <w:div w:id="1146238810">
      <w:bodyDiv w:val="1"/>
      <w:marLeft w:val="0"/>
      <w:marRight w:val="0"/>
      <w:marTop w:val="0"/>
      <w:marBottom w:val="0"/>
      <w:divBdr>
        <w:top w:val="none" w:sz="0" w:space="0" w:color="auto"/>
        <w:left w:val="none" w:sz="0" w:space="0" w:color="auto"/>
        <w:bottom w:val="none" w:sz="0" w:space="0" w:color="auto"/>
        <w:right w:val="none" w:sz="0" w:space="0" w:color="auto"/>
      </w:divBdr>
    </w:div>
    <w:div w:id="1146239733">
      <w:bodyDiv w:val="1"/>
      <w:marLeft w:val="0"/>
      <w:marRight w:val="0"/>
      <w:marTop w:val="0"/>
      <w:marBottom w:val="0"/>
      <w:divBdr>
        <w:top w:val="none" w:sz="0" w:space="0" w:color="auto"/>
        <w:left w:val="none" w:sz="0" w:space="0" w:color="auto"/>
        <w:bottom w:val="none" w:sz="0" w:space="0" w:color="auto"/>
        <w:right w:val="none" w:sz="0" w:space="0" w:color="auto"/>
      </w:divBdr>
    </w:div>
    <w:div w:id="1146507265">
      <w:bodyDiv w:val="1"/>
      <w:marLeft w:val="0"/>
      <w:marRight w:val="0"/>
      <w:marTop w:val="0"/>
      <w:marBottom w:val="0"/>
      <w:divBdr>
        <w:top w:val="none" w:sz="0" w:space="0" w:color="auto"/>
        <w:left w:val="none" w:sz="0" w:space="0" w:color="auto"/>
        <w:bottom w:val="none" w:sz="0" w:space="0" w:color="auto"/>
        <w:right w:val="none" w:sz="0" w:space="0" w:color="auto"/>
      </w:divBdr>
    </w:div>
    <w:div w:id="1146509630">
      <w:bodyDiv w:val="1"/>
      <w:marLeft w:val="0"/>
      <w:marRight w:val="0"/>
      <w:marTop w:val="0"/>
      <w:marBottom w:val="0"/>
      <w:divBdr>
        <w:top w:val="none" w:sz="0" w:space="0" w:color="auto"/>
        <w:left w:val="none" w:sz="0" w:space="0" w:color="auto"/>
        <w:bottom w:val="none" w:sz="0" w:space="0" w:color="auto"/>
        <w:right w:val="none" w:sz="0" w:space="0" w:color="auto"/>
      </w:divBdr>
    </w:div>
    <w:div w:id="1146583467">
      <w:bodyDiv w:val="1"/>
      <w:marLeft w:val="0"/>
      <w:marRight w:val="0"/>
      <w:marTop w:val="0"/>
      <w:marBottom w:val="0"/>
      <w:divBdr>
        <w:top w:val="none" w:sz="0" w:space="0" w:color="auto"/>
        <w:left w:val="none" w:sz="0" w:space="0" w:color="auto"/>
        <w:bottom w:val="none" w:sz="0" w:space="0" w:color="auto"/>
        <w:right w:val="none" w:sz="0" w:space="0" w:color="auto"/>
      </w:divBdr>
    </w:div>
    <w:div w:id="1146778603">
      <w:bodyDiv w:val="1"/>
      <w:marLeft w:val="0"/>
      <w:marRight w:val="0"/>
      <w:marTop w:val="0"/>
      <w:marBottom w:val="0"/>
      <w:divBdr>
        <w:top w:val="none" w:sz="0" w:space="0" w:color="auto"/>
        <w:left w:val="none" w:sz="0" w:space="0" w:color="auto"/>
        <w:bottom w:val="none" w:sz="0" w:space="0" w:color="auto"/>
        <w:right w:val="none" w:sz="0" w:space="0" w:color="auto"/>
      </w:divBdr>
    </w:div>
    <w:div w:id="1146821629">
      <w:bodyDiv w:val="1"/>
      <w:marLeft w:val="0"/>
      <w:marRight w:val="0"/>
      <w:marTop w:val="0"/>
      <w:marBottom w:val="0"/>
      <w:divBdr>
        <w:top w:val="none" w:sz="0" w:space="0" w:color="auto"/>
        <w:left w:val="none" w:sz="0" w:space="0" w:color="auto"/>
        <w:bottom w:val="none" w:sz="0" w:space="0" w:color="auto"/>
        <w:right w:val="none" w:sz="0" w:space="0" w:color="auto"/>
      </w:divBdr>
    </w:div>
    <w:div w:id="1146825343">
      <w:bodyDiv w:val="1"/>
      <w:marLeft w:val="0"/>
      <w:marRight w:val="0"/>
      <w:marTop w:val="0"/>
      <w:marBottom w:val="0"/>
      <w:divBdr>
        <w:top w:val="none" w:sz="0" w:space="0" w:color="auto"/>
        <w:left w:val="none" w:sz="0" w:space="0" w:color="auto"/>
        <w:bottom w:val="none" w:sz="0" w:space="0" w:color="auto"/>
        <w:right w:val="none" w:sz="0" w:space="0" w:color="auto"/>
      </w:divBdr>
    </w:div>
    <w:div w:id="1147085332">
      <w:bodyDiv w:val="1"/>
      <w:marLeft w:val="0"/>
      <w:marRight w:val="0"/>
      <w:marTop w:val="0"/>
      <w:marBottom w:val="0"/>
      <w:divBdr>
        <w:top w:val="none" w:sz="0" w:space="0" w:color="auto"/>
        <w:left w:val="none" w:sz="0" w:space="0" w:color="auto"/>
        <w:bottom w:val="none" w:sz="0" w:space="0" w:color="auto"/>
        <w:right w:val="none" w:sz="0" w:space="0" w:color="auto"/>
      </w:divBdr>
    </w:div>
    <w:div w:id="1147090957">
      <w:bodyDiv w:val="1"/>
      <w:marLeft w:val="0"/>
      <w:marRight w:val="0"/>
      <w:marTop w:val="0"/>
      <w:marBottom w:val="0"/>
      <w:divBdr>
        <w:top w:val="none" w:sz="0" w:space="0" w:color="auto"/>
        <w:left w:val="none" w:sz="0" w:space="0" w:color="auto"/>
        <w:bottom w:val="none" w:sz="0" w:space="0" w:color="auto"/>
        <w:right w:val="none" w:sz="0" w:space="0" w:color="auto"/>
      </w:divBdr>
    </w:div>
    <w:div w:id="1147278161">
      <w:bodyDiv w:val="1"/>
      <w:marLeft w:val="0"/>
      <w:marRight w:val="0"/>
      <w:marTop w:val="0"/>
      <w:marBottom w:val="0"/>
      <w:divBdr>
        <w:top w:val="none" w:sz="0" w:space="0" w:color="auto"/>
        <w:left w:val="none" w:sz="0" w:space="0" w:color="auto"/>
        <w:bottom w:val="none" w:sz="0" w:space="0" w:color="auto"/>
        <w:right w:val="none" w:sz="0" w:space="0" w:color="auto"/>
      </w:divBdr>
    </w:div>
    <w:div w:id="1147281398">
      <w:bodyDiv w:val="1"/>
      <w:marLeft w:val="0"/>
      <w:marRight w:val="0"/>
      <w:marTop w:val="0"/>
      <w:marBottom w:val="0"/>
      <w:divBdr>
        <w:top w:val="none" w:sz="0" w:space="0" w:color="auto"/>
        <w:left w:val="none" w:sz="0" w:space="0" w:color="auto"/>
        <w:bottom w:val="none" w:sz="0" w:space="0" w:color="auto"/>
        <w:right w:val="none" w:sz="0" w:space="0" w:color="auto"/>
      </w:divBdr>
    </w:div>
    <w:div w:id="1147356710">
      <w:bodyDiv w:val="1"/>
      <w:marLeft w:val="0"/>
      <w:marRight w:val="0"/>
      <w:marTop w:val="0"/>
      <w:marBottom w:val="0"/>
      <w:divBdr>
        <w:top w:val="none" w:sz="0" w:space="0" w:color="auto"/>
        <w:left w:val="none" w:sz="0" w:space="0" w:color="auto"/>
        <w:bottom w:val="none" w:sz="0" w:space="0" w:color="auto"/>
        <w:right w:val="none" w:sz="0" w:space="0" w:color="auto"/>
      </w:divBdr>
    </w:div>
    <w:div w:id="1147556122">
      <w:bodyDiv w:val="1"/>
      <w:marLeft w:val="0"/>
      <w:marRight w:val="0"/>
      <w:marTop w:val="0"/>
      <w:marBottom w:val="0"/>
      <w:divBdr>
        <w:top w:val="none" w:sz="0" w:space="0" w:color="auto"/>
        <w:left w:val="none" w:sz="0" w:space="0" w:color="auto"/>
        <w:bottom w:val="none" w:sz="0" w:space="0" w:color="auto"/>
        <w:right w:val="none" w:sz="0" w:space="0" w:color="auto"/>
      </w:divBdr>
    </w:div>
    <w:div w:id="1147667610">
      <w:bodyDiv w:val="1"/>
      <w:marLeft w:val="0"/>
      <w:marRight w:val="0"/>
      <w:marTop w:val="0"/>
      <w:marBottom w:val="0"/>
      <w:divBdr>
        <w:top w:val="none" w:sz="0" w:space="0" w:color="auto"/>
        <w:left w:val="none" w:sz="0" w:space="0" w:color="auto"/>
        <w:bottom w:val="none" w:sz="0" w:space="0" w:color="auto"/>
        <w:right w:val="none" w:sz="0" w:space="0" w:color="auto"/>
      </w:divBdr>
    </w:div>
    <w:div w:id="1147820912">
      <w:bodyDiv w:val="1"/>
      <w:marLeft w:val="0"/>
      <w:marRight w:val="0"/>
      <w:marTop w:val="0"/>
      <w:marBottom w:val="0"/>
      <w:divBdr>
        <w:top w:val="none" w:sz="0" w:space="0" w:color="auto"/>
        <w:left w:val="none" w:sz="0" w:space="0" w:color="auto"/>
        <w:bottom w:val="none" w:sz="0" w:space="0" w:color="auto"/>
        <w:right w:val="none" w:sz="0" w:space="0" w:color="auto"/>
      </w:divBdr>
    </w:div>
    <w:div w:id="1147865613">
      <w:bodyDiv w:val="1"/>
      <w:marLeft w:val="0"/>
      <w:marRight w:val="0"/>
      <w:marTop w:val="0"/>
      <w:marBottom w:val="0"/>
      <w:divBdr>
        <w:top w:val="none" w:sz="0" w:space="0" w:color="auto"/>
        <w:left w:val="none" w:sz="0" w:space="0" w:color="auto"/>
        <w:bottom w:val="none" w:sz="0" w:space="0" w:color="auto"/>
        <w:right w:val="none" w:sz="0" w:space="0" w:color="auto"/>
      </w:divBdr>
    </w:div>
    <w:div w:id="1147934763">
      <w:bodyDiv w:val="1"/>
      <w:marLeft w:val="0"/>
      <w:marRight w:val="0"/>
      <w:marTop w:val="0"/>
      <w:marBottom w:val="0"/>
      <w:divBdr>
        <w:top w:val="none" w:sz="0" w:space="0" w:color="auto"/>
        <w:left w:val="none" w:sz="0" w:space="0" w:color="auto"/>
        <w:bottom w:val="none" w:sz="0" w:space="0" w:color="auto"/>
        <w:right w:val="none" w:sz="0" w:space="0" w:color="auto"/>
      </w:divBdr>
    </w:div>
    <w:div w:id="1147935903">
      <w:bodyDiv w:val="1"/>
      <w:marLeft w:val="0"/>
      <w:marRight w:val="0"/>
      <w:marTop w:val="0"/>
      <w:marBottom w:val="0"/>
      <w:divBdr>
        <w:top w:val="none" w:sz="0" w:space="0" w:color="auto"/>
        <w:left w:val="none" w:sz="0" w:space="0" w:color="auto"/>
        <w:bottom w:val="none" w:sz="0" w:space="0" w:color="auto"/>
        <w:right w:val="none" w:sz="0" w:space="0" w:color="auto"/>
      </w:divBdr>
    </w:div>
    <w:div w:id="1148278682">
      <w:bodyDiv w:val="1"/>
      <w:marLeft w:val="0"/>
      <w:marRight w:val="0"/>
      <w:marTop w:val="0"/>
      <w:marBottom w:val="0"/>
      <w:divBdr>
        <w:top w:val="none" w:sz="0" w:space="0" w:color="auto"/>
        <w:left w:val="none" w:sz="0" w:space="0" w:color="auto"/>
        <w:bottom w:val="none" w:sz="0" w:space="0" w:color="auto"/>
        <w:right w:val="none" w:sz="0" w:space="0" w:color="auto"/>
      </w:divBdr>
    </w:div>
    <w:div w:id="1148473825">
      <w:bodyDiv w:val="1"/>
      <w:marLeft w:val="0"/>
      <w:marRight w:val="0"/>
      <w:marTop w:val="0"/>
      <w:marBottom w:val="0"/>
      <w:divBdr>
        <w:top w:val="none" w:sz="0" w:space="0" w:color="auto"/>
        <w:left w:val="none" w:sz="0" w:space="0" w:color="auto"/>
        <w:bottom w:val="none" w:sz="0" w:space="0" w:color="auto"/>
        <w:right w:val="none" w:sz="0" w:space="0" w:color="auto"/>
      </w:divBdr>
    </w:div>
    <w:div w:id="1148518914">
      <w:bodyDiv w:val="1"/>
      <w:marLeft w:val="0"/>
      <w:marRight w:val="0"/>
      <w:marTop w:val="0"/>
      <w:marBottom w:val="0"/>
      <w:divBdr>
        <w:top w:val="none" w:sz="0" w:space="0" w:color="auto"/>
        <w:left w:val="none" w:sz="0" w:space="0" w:color="auto"/>
        <w:bottom w:val="none" w:sz="0" w:space="0" w:color="auto"/>
        <w:right w:val="none" w:sz="0" w:space="0" w:color="auto"/>
      </w:divBdr>
    </w:div>
    <w:div w:id="1148670778">
      <w:bodyDiv w:val="1"/>
      <w:marLeft w:val="0"/>
      <w:marRight w:val="0"/>
      <w:marTop w:val="0"/>
      <w:marBottom w:val="0"/>
      <w:divBdr>
        <w:top w:val="none" w:sz="0" w:space="0" w:color="auto"/>
        <w:left w:val="none" w:sz="0" w:space="0" w:color="auto"/>
        <w:bottom w:val="none" w:sz="0" w:space="0" w:color="auto"/>
        <w:right w:val="none" w:sz="0" w:space="0" w:color="auto"/>
      </w:divBdr>
    </w:div>
    <w:div w:id="1148671737">
      <w:bodyDiv w:val="1"/>
      <w:marLeft w:val="0"/>
      <w:marRight w:val="0"/>
      <w:marTop w:val="0"/>
      <w:marBottom w:val="0"/>
      <w:divBdr>
        <w:top w:val="none" w:sz="0" w:space="0" w:color="auto"/>
        <w:left w:val="none" w:sz="0" w:space="0" w:color="auto"/>
        <w:bottom w:val="none" w:sz="0" w:space="0" w:color="auto"/>
        <w:right w:val="none" w:sz="0" w:space="0" w:color="auto"/>
      </w:divBdr>
    </w:div>
    <w:div w:id="1148791752">
      <w:bodyDiv w:val="1"/>
      <w:marLeft w:val="0"/>
      <w:marRight w:val="0"/>
      <w:marTop w:val="0"/>
      <w:marBottom w:val="0"/>
      <w:divBdr>
        <w:top w:val="none" w:sz="0" w:space="0" w:color="auto"/>
        <w:left w:val="none" w:sz="0" w:space="0" w:color="auto"/>
        <w:bottom w:val="none" w:sz="0" w:space="0" w:color="auto"/>
        <w:right w:val="none" w:sz="0" w:space="0" w:color="auto"/>
      </w:divBdr>
    </w:div>
    <w:div w:id="1148857731">
      <w:bodyDiv w:val="1"/>
      <w:marLeft w:val="0"/>
      <w:marRight w:val="0"/>
      <w:marTop w:val="0"/>
      <w:marBottom w:val="0"/>
      <w:divBdr>
        <w:top w:val="none" w:sz="0" w:space="0" w:color="auto"/>
        <w:left w:val="none" w:sz="0" w:space="0" w:color="auto"/>
        <w:bottom w:val="none" w:sz="0" w:space="0" w:color="auto"/>
        <w:right w:val="none" w:sz="0" w:space="0" w:color="auto"/>
      </w:divBdr>
    </w:div>
    <w:div w:id="1148935714">
      <w:bodyDiv w:val="1"/>
      <w:marLeft w:val="0"/>
      <w:marRight w:val="0"/>
      <w:marTop w:val="0"/>
      <w:marBottom w:val="0"/>
      <w:divBdr>
        <w:top w:val="none" w:sz="0" w:space="0" w:color="auto"/>
        <w:left w:val="none" w:sz="0" w:space="0" w:color="auto"/>
        <w:bottom w:val="none" w:sz="0" w:space="0" w:color="auto"/>
        <w:right w:val="none" w:sz="0" w:space="0" w:color="auto"/>
      </w:divBdr>
    </w:div>
    <w:div w:id="1148942146">
      <w:bodyDiv w:val="1"/>
      <w:marLeft w:val="0"/>
      <w:marRight w:val="0"/>
      <w:marTop w:val="0"/>
      <w:marBottom w:val="0"/>
      <w:divBdr>
        <w:top w:val="none" w:sz="0" w:space="0" w:color="auto"/>
        <w:left w:val="none" w:sz="0" w:space="0" w:color="auto"/>
        <w:bottom w:val="none" w:sz="0" w:space="0" w:color="auto"/>
        <w:right w:val="none" w:sz="0" w:space="0" w:color="auto"/>
      </w:divBdr>
    </w:div>
    <w:div w:id="1149053275">
      <w:bodyDiv w:val="1"/>
      <w:marLeft w:val="0"/>
      <w:marRight w:val="0"/>
      <w:marTop w:val="0"/>
      <w:marBottom w:val="0"/>
      <w:divBdr>
        <w:top w:val="none" w:sz="0" w:space="0" w:color="auto"/>
        <w:left w:val="none" w:sz="0" w:space="0" w:color="auto"/>
        <w:bottom w:val="none" w:sz="0" w:space="0" w:color="auto"/>
        <w:right w:val="none" w:sz="0" w:space="0" w:color="auto"/>
      </w:divBdr>
    </w:div>
    <w:div w:id="1149058977">
      <w:bodyDiv w:val="1"/>
      <w:marLeft w:val="0"/>
      <w:marRight w:val="0"/>
      <w:marTop w:val="0"/>
      <w:marBottom w:val="0"/>
      <w:divBdr>
        <w:top w:val="none" w:sz="0" w:space="0" w:color="auto"/>
        <w:left w:val="none" w:sz="0" w:space="0" w:color="auto"/>
        <w:bottom w:val="none" w:sz="0" w:space="0" w:color="auto"/>
        <w:right w:val="none" w:sz="0" w:space="0" w:color="auto"/>
      </w:divBdr>
    </w:div>
    <w:div w:id="1149128886">
      <w:bodyDiv w:val="1"/>
      <w:marLeft w:val="0"/>
      <w:marRight w:val="0"/>
      <w:marTop w:val="0"/>
      <w:marBottom w:val="0"/>
      <w:divBdr>
        <w:top w:val="none" w:sz="0" w:space="0" w:color="auto"/>
        <w:left w:val="none" w:sz="0" w:space="0" w:color="auto"/>
        <w:bottom w:val="none" w:sz="0" w:space="0" w:color="auto"/>
        <w:right w:val="none" w:sz="0" w:space="0" w:color="auto"/>
      </w:divBdr>
    </w:div>
    <w:div w:id="1149132245">
      <w:bodyDiv w:val="1"/>
      <w:marLeft w:val="0"/>
      <w:marRight w:val="0"/>
      <w:marTop w:val="0"/>
      <w:marBottom w:val="0"/>
      <w:divBdr>
        <w:top w:val="none" w:sz="0" w:space="0" w:color="auto"/>
        <w:left w:val="none" w:sz="0" w:space="0" w:color="auto"/>
        <w:bottom w:val="none" w:sz="0" w:space="0" w:color="auto"/>
        <w:right w:val="none" w:sz="0" w:space="0" w:color="auto"/>
      </w:divBdr>
    </w:div>
    <w:div w:id="1149176119">
      <w:bodyDiv w:val="1"/>
      <w:marLeft w:val="0"/>
      <w:marRight w:val="0"/>
      <w:marTop w:val="0"/>
      <w:marBottom w:val="0"/>
      <w:divBdr>
        <w:top w:val="none" w:sz="0" w:space="0" w:color="auto"/>
        <w:left w:val="none" w:sz="0" w:space="0" w:color="auto"/>
        <w:bottom w:val="none" w:sz="0" w:space="0" w:color="auto"/>
        <w:right w:val="none" w:sz="0" w:space="0" w:color="auto"/>
      </w:divBdr>
    </w:div>
    <w:div w:id="1149177729">
      <w:bodyDiv w:val="1"/>
      <w:marLeft w:val="0"/>
      <w:marRight w:val="0"/>
      <w:marTop w:val="0"/>
      <w:marBottom w:val="0"/>
      <w:divBdr>
        <w:top w:val="none" w:sz="0" w:space="0" w:color="auto"/>
        <w:left w:val="none" w:sz="0" w:space="0" w:color="auto"/>
        <w:bottom w:val="none" w:sz="0" w:space="0" w:color="auto"/>
        <w:right w:val="none" w:sz="0" w:space="0" w:color="auto"/>
      </w:divBdr>
    </w:div>
    <w:div w:id="1149244570">
      <w:bodyDiv w:val="1"/>
      <w:marLeft w:val="0"/>
      <w:marRight w:val="0"/>
      <w:marTop w:val="0"/>
      <w:marBottom w:val="0"/>
      <w:divBdr>
        <w:top w:val="none" w:sz="0" w:space="0" w:color="auto"/>
        <w:left w:val="none" w:sz="0" w:space="0" w:color="auto"/>
        <w:bottom w:val="none" w:sz="0" w:space="0" w:color="auto"/>
        <w:right w:val="none" w:sz="0" w:space="0" w:color="auto"/>
      </w:divBdr>
    </w:div>
    <w:div w:id="1149443628">
      <w:bodyDiv w:val="1"/>
      <w:marLeft w:val="0"/>
      <w:marRight w:val="0"/>
      <w:marTop w:val="0"/>
      <w:marBottom w:val="0"/>
      <w:divBdr>
        <w:top w:val="none" w:sz="0" w:space="0" w:color="auto"/>
        <w:left w:val="none" w:sz="0" w:space="0" w:color="auto"/>
        <w:bottom w:val="none" w:sz="0" w:space="0" w:color="auto"/>
        <w:right w:val="none" w:sz="0" w:space="0" w:color="auto"/>
      </w:divBdr>
    </w:div>
    <w:div w:id="1149590186">
      <w:bodyDiv w:val="1"/>
      <w:marLeft w:val="0"/>
      <w:marRight w:val="0"/>
      <w:marTop w:val="0"/>
      <w:marBottom w:val="0"/>
      <w:divBdr>
        <w:top w:val="none" w:sz="0" w:space="0" w:color="auto"/>
        <w:left w:val="none" w:sz="0" w:space="0" w:color="auto"/>
        <w:bottom w:val="none" w:sz="0" w:space="0" w:color="auto"/>
        <w:right w:val="none" w:sz="0" w:space="0" w:color="auto"/>
      </w:divBdr>
    </w:div>
    <w:div w:id="1149592338">
      <w:bodyDiv w:val="1"/>
      <w:marLeft w:val="0"/>
      <w:marRight w:val="0"/>
      <w:marTop w:val="0"/>
      <w:marBottom w:val="0"/>
      <w:divBdr>
        <w:top w:val="none" w:sz="0" w:space="0" w:color="auto"/>
        <w:left w:val="none" w:sz="0" w:space="0" w:color="auto"/>
        <w:bottom w:val="none" w:sz="0" w:space="0" w:color="auto"/>
        <w:right w:val="none" w:sz="0" w:space="0" w:color="auto"/>
      </w:divBdr>
    </w:div>
    <w:div w:id="1149633259">
      <w:bodyDiv w:val="1"/>
      <w:marLeft w:val="0"/>
      <w:marRight w:val="0"/>
      <w:marTop w:val="0"/>
      <w:marBottom w:val="0"/>
      <w:divBdr>
        <w:top w:val="none" w:sz="0" w:space="0" w:color="auto"/>
        <w:left w:val="none" w:sz="0" w:space="0" w:color="auto"/>
        <w:bottom w:val="none" w:sz="0" w:space="0" w:color="auto"/>
        <w:right w:val="none" w:sz="0" w:space="0" w:color="auto"/>
      </w:divBdr>
    </w:div>
    <w:div w:id="1149637738">
      <w:bodyDiv w:val="1"/>
      <w:marLeft w:val="0"/>
      <w:marRight w:val="0"/>
      <w:marTop w:val="0"/>
      <w:marBottom w:val="0"/>
      <w:divBdr>
        <w:top w:val="none" w:sz="0" w:space="0" w:color="auto"/>
        <w:left w:val="none" w:sz="0" w:space="0" w:color="auto"/>
        <w:bottom w:val="none" w:sz="0" w:space="0" w:color="auto"/>
        <w:right w:val="none" w:sz="0" w:space="0" w:color="auto"/>
      </w:divBdr>
    </w:div>
    <w:div w:id="1149781573">
      <w:bodyDiv w:val="1"/>
      <w:marLeft w:val="0"/>
      <w:marRight w:val="0"/>
      <w:marTop w:val="0"/>
      <w:marBottom w:val="0"/>
      <w:divBdr>
        <w:top w:val="none" w:sz="0" w:space="0" w:color="auto"/>
        <w:left w:val="none" w:sz="0" w:space="0" w:color="auto"/>
        <w:bottom w:val="none" w:sz="0" w:space="0" w:color="auto"/>
        <w:right w:val="none" w:sz="0" w:space="0" w:color="auto"/>
      </w:divBdr>
    </w:div>
    <w:div w:id="1149786431">
      <w:bodyDiv w:val="1"/>
      <w:marLeft w:val="0"/>
      <w:marRight w:val="0"/>
      <w:marTop w:val="0"/>
      <w:marBottom w:val="0"/>
      <w:divBdr>
        <w:top w:val="none" w:sz="0" w:space="0" w:color="auto"/>
        <w:left w:val="none" w:sz="0" w:space="0" w:color="auto"/>
        <w:bottom w:val="none" w:sz="0" w:space="0" w:color="auto"/>
        <w:right w:val="none" w:sz="0" w:space="0" w:color="auto"/>
      </w:divBdr>
    </w:div>
    <w:div w:id="1149831496">
      <w:bodyDiv w:val="1"/>
      <w:marLeft w:val="0"/>
      <w:marRight w:val="0"/>
      <w:marTop w:val="0"/>
      <w:marBottom w:val="0"/>
      <w:divBdr>
        <w:top w:val="none" w:sz="0" w:space="0" w:color="auto"/>
        <w:left w:val="none" w:sz="0" w:space="0" w:color="auto"/>
        <w:bottom w:val="none" w:sz="0" w:space="0" w:color="auto"/>
        <w:right w:val="none" w:sz="0" w:space="0" w:color="auto"/>
      </w:divBdr>
    </w:div>
    <w:div w:id="1149859286">
      <w:bodyDiv w:val="1"/>
      <w:marLeft w:val="0"/>
      <w:marRight w:val="0"/>
      <w:marTop w:val="0"/>
      <w:marBottom w:val="0"/>
      <w:divBdr>
        <w:top w:val="none" w:sz="0" w:space="0" w:color="auto"/>
        <w:left w:val="none" w:sz="0" w:space="0" w:color="auto"/>
        <w:bottom w:val="none" w:sz="0" w:space="0" w:color="auto"/>
        <w:right w:val="none" w:sz="0" w:space="0" w:color="auto"/>
      </w:divBdr>
    </w:div>
    <w:div w:id="1149900963">
      <w:bodyDiv w:val="1"/>
      <w:marLeft w:val="0"/>
      <w:marRight w:val="0"/>
      <w:marTop w:val="0"/>
      <w:marBottom w:val="0"/>
      <w:divBdr>
        <w:top w:val="none" w:sz="0" w:space="0" w:color="auto"/>
        <w:left w:val="none" w:sz="0" w:space="0" w:color="auto"/>
        <w:bottom w:val="none" w:sz="0" w:space="0" w:color="auto"/>
        <w:right w:val="none" w:sz="0" w:space="0" w:color="auto"/>
      </w:divBdr>
    </w:div>
    <w:div w:id="1149902375">
      <w:bodyDiv w:val="1"/>
      <w:marLeft w:val="0"/>
      <w:marRight w:val="0"/>
      <w:marTop w:val="0"/>
      <w:marBottom w:val="0"/>
      <w:divBdr>
        <w:top w:val="none" w:sz="0" w:space="0" w:color="auto"/>
        <w:left w:val="none" w:sz="0" w:space="0" w:color="auto"/>
        <w:bottom w:val="none" w:sz="0" w:space="0" w:color="auto"/>
        <w:right w:val="none" w:sz="0" w:space="0" w:color="auto"/>
      </w:divBdr>
    </w:div>
    <w:div w:id="1149978713">
      <w:bodyDiv w:val="1"/>
      <w:marLeft w:val="0"/>
      <w:marRight w:val="0"/>
      <w:marTop w:val="0"/>
      <w:marBottom w:val="0"/>
      <w:divBdr>
        <w:top w:val="none" w:sz="0" w:space="0" w:color="auto"/>
        <w:left w:val="none" w:sz="0" w:space="0" w:color="auto"/>
        <w:bottom w:val="none" w:sz="0" w:space="0" w:color="auto"/>
        <w:right w:val="none" w:sz="0" w:space="0" w:color="auto"/>
      </w:divBdr>
    </w:div>
    <w:div w:id="1149983550">
      <w:bodyDiv w:val="1"/>
      <w:marLeft w:val="0"/>
      <w:marRight w:val="0"/>
      <w:marTop w:val="0"/>
      <w:marBottom w:val="0"/>
      <w:divBdr>
        <w:top w:val="none" w:sz="0" w:space="0" w:color="auto"/>
        <w:left w:val="none" w:sz="0" w:space="0" w:color="auto"/>
        <w:bottom w:val="none" w:sz="0" w:space="0" w:color="auto"/>
        <w:right w:val="none" w:sz="0" w:space="0" w:color="auto"/>
      </w:divBdr>
    </w:div>
    <w:div w:id="1150098698">
      <w:bodyDiv w:val="1"/>
      <w:marLeft w:val="0"/>
      <w:marRight w:val="0"/>
      <w:marTop w:val="0"/>
      <w:marBottom w:val="0"/>
      <w:divBdr>
        <w:top w:val="none" w:sz="0" w:space="0" w:color="auto"/>
        <w:left w:val="none" w:sz="0" w:space="0" w:color="auto"/>
        <w:bottom w:val="none" w:sz="0" w:space="0" w:color="auto"/>
        <w:right w:val="none" w:sz="0" w:space="0" w:color="auto"/>
      </w:divBdr>
    </w:div>
    <w:div w:id="1150170536">
      <w:bodyDiv w:val="1"/>
      <w:marLeft w:val="0"/>
      <w:marRight w:val="0"/>
      <w:marTop w:val="0"/>
      <w:marBottom w:val="0"/>
      <w:divBdr>
        <w:top w:val="none" w:sz="0" w:space="0" w:color="auto"/>
        <w:left w:val="none" w:sz="0" w:space="0" w:color="auto"/>
        <w:bottom w:val="none" w:sz="0" w:space="0" w:color="auto"/>
        <w:right w:val="none" w:sz="0" w:space="0" w:color="auto"/>
      </w:divBdr>
    </w:div>
    <w:div w:id="1150172890">
      <w:bodyDiv w:val="1"/>
      <w:marLeft w:val="0"/>
      <w:marRight w:val="0"/>
      <w:marTop w:val="0"/>
      <w:marBottom w:val="0"/>
      <w:divBdr>
        <w:top w:val="none" w:sz="0" w:space="0" w:color="auto"/>
        <w:left w:val="none" w:sz="0" w:space="0" w:color="auto"/>
        <w:bottom w:val="none" w:sz="0" w:space="0" w:color="auto"/>
        <w:right w:val="none" w:sz="0" w:space="0" w:color="auto"/>
      </w:divBdr>
    </w:div>
    <w:div w:id="1150247477">
      <w:bodyDiv w:val="1"/>
      <w:marLeft w:val="0"/>
      <w:marRight w:val="0"/>
      <w:marTop w:val="0"/>
      <w:marBottom w:val="0"/>
      <w:divBdr>
        <w:top w:val="none" w:sz="0" w:space="0" w:color="auto"/>
        <w:left w:val="none" w:sz="0" w:space="0" w:color="auto"/>
        <w:bottom w:val="none" w:sz="0" w:space="0" w:color="auto"/>
        <w:right w:val="none" w:sz="0" w:space="0" w:color="auto"/>
      </w:divBdr>
    </w:div>
    <w:div w:id="1150289373">
      <w:bodyDiv w:val="1"/>
      <w:marLeft w:val="0"/>
      <w:marRight w:val="0"/>
      <w:marTop w:val="0"/>
      <w:marBottom w:val="0"/>
      <w:divBdr>
        <w:top w:val="none" w:sz="0" w:space="0" w:color="auto"/>
        <w:left w:val="none" w:sz="0" w:space="0" w:color="auto"/>
        <w:bottom w:val="none" w:sz="0" w:space="0" w:color="auto"/>
        <w:right w:val="none" w:sz="0" w:space="0" w:color="auto"/>
      </w:divBdr>
    </w:div>
    <w:div w:id="1150365074">
      <w:bodyDiv w:val="1"/>
      <w:marLeft w:val="0"/>
      <w:marRight w:val="0"/>
      <w:marTop w:val="0"/>
      <w:marBottom w:val="0"/>
      <w:divBdr>
        <w:top w:val="none" w:sz="0" w:space="0" w:color="auto"/>
        <w:left w:val="none" w:sz="0" w:space="0" w:color="auto"/>
        <w:bottom w:val="none" w:sz="0" w:space="0" w:color="auto"/>
        <w:right w:val="none" w:sz="0" w:space="0" w:color="auto"/>
      </w:divBdr>
    </w:div>
    <w:div w:id="1150366321">
      <w:bodyDiv w:val="1"/>
      <w:marLeft w:val="0"/>
      <w:marRight w:val="0"/>
      <w:marTop w:val="0"/>
      <w:marBottom w:val="0"/>
      <w:divBdr>
        <w:top w:val="none" w:sz="0" w:space="0" w:color="auto"/>
        <w:left w:val="none" w:sz="0" w:space="0" w:color="auto"/>
        <w:bottom w:val="none" w:sz="0" w:space="0" w:color="auto"/>
        <w:right w:val="none" w:sz="0" w:space="0" w:color="auto"/>
      </w:divBdr>
    </w:div>
    <w:div w:id="1150366340">
      <w:bodyDiv w:val="1"/>
      <w:marLeft w:val="0"/>
      <w:marRight w:val="0"/>
      <w:marTop w:val="0"/>
      <w:marBottom w:val="0"/>
      <w:divBdr>
        <w:top w:val="none" w:sz="0" w:space="0" w:color="auto"/>
        <w:left w:val="none" w:sz="0" w:space="0" w:color="auto"/>
        <w:bottom w:val="none" w:sz="0" w:space="0" w:color="auto"/>
        <w:right w:val="none" w:sz="0" w:space="0" w:color="auto"/>
      </w:divBdr>
    </w:div>
    <w:div w:id="1150486219">
      <w:bodyDiv w:val="1"/>
      <w:marLeft w:val="0"/>
      <w:marRight w:val="0"/>
      <w:marTop w:val="0"/>
      <w:marBottom w:val="0"/>
      <w:divBdr>
        <w:top w:val="none" w:sz="0" w:space="0" w:color="auto"/>
        <w:left w:val="none" w:sz="0" w:space="0" w:color="auto"/>
        <w:bottom w:val="none" w:sz="0" w:space="0" w:color="auto"/>
        <w:right w:val="none" w:sz="0" w:space="0" w:color="auto"/>
      </w:divBdr>
    </w:div>
    <w:div w:id="1150639188">
      <w:bodyDiv w:val="1"/>
      <w:marLeft w:val="0"/>
      <w:marRight w:val="0"/>
      <w:marTop w:val="0"/>
      <w:marBottom w:val="0"/>
      <w:divBdr>
        <w:top w:val="none" w:sz="0" w:space="0" w:color="auto"/>
        <w:left w:val="none" w:sz="0" w:space="0" w:color="auto"/>
        <w:bottom w:val="none" w:sz="0" w:space="0" w:color="auto"/>
        <w:right w:val="none" w:sz="0" w:space="0" w:color="auto"/>
      </w:divBdr>
    </w:div>
    <w:div w:id="1150681125">
      <w:bodyDiv w:val="1"/>
      <w:marLeft w:val="0"/>
      <w:marRight w:val="0"/>
      <w:marTop w:val="0"/>
      <w:marBottom w:val="0"/>
      <w:divBdr>
        <w:top w:val="none" w:sz="0" w:space="0" w:color="auto"/>
        <w:left w:val="none" w:sz="0" w:space="0" w:color="auto"/>
        <w:bottom w:val="none" w:sz="0" w:space="0" w:color="auto"/>
        <w:right w:val="none" w:sz="0" w:space="0" w:color="auto"/>
      </w:divBdr>
    </w:div>
    <w:div w:id="1150711187">
      <w:bodyDiv w:val="1"/>
      <w:marLeft w:val="0"/>
      <w:marRight w:val="0"/>
      <w:marTop w:val="0"/>
      <w:marBottom w:val="0"/>
      <w:divBdr>
        <w:top w:val="none" w:sz="0" w:space="0" w:color="auto"/>
        <w:left w:val="none" w:sz="0" w:space="0" w:color="auto"/>
        <w:bottom w:val="none" w:sz="0" w:space="0" w:color="auto"/>
        <w:right w:val="none" w:sz="0" w:space="0" w:color="auto"/>
      </w:divBdr>
    </w:div>
    <w:div w:id="1150750555">
      <w:bodyDiv w:val="1"/>
      <w:marLeft w:val="0"/>
      <w:marRight w:val="0"/>
      <w:marTop w:val="0"/>
      <w:marBottom w:val="0"/>
      <w:divBdr>
        <w:top w:val="none" w:sz="0" w:space="0" w:color="auto"/>
        <w:left w:val="none" w:sz="0" w:space="0" w:color="auto"/>
        <w:bottom w:val="none" w:sz="0" w:space="0" w:color="auto"/>
        <w:right w:val="none" w:sz="0" w:space="0" w:color="auto"/>
      </w:divBdr>
    </w:div>
    <w:div w:id="1150828534">
      <w:bodyDiv w:val="1"/>
      <w:marLeft w:val="0"/>
      <w:marRight w:val="0"/>
      <w:marTop w:val="0"/>
      <w:marBottom w:val="0"/>
      <w:divBdr>
        <w:top w:val="none" w:sz="0" w:space="0" w:color="auto"/>
        <w:left w:val="none" w:sz="0" w:space="0" w:color="auto"/>
        <w:bottom w:val="none" w:sz="0" w:space="0" w:color="auto"/>
        <w:right w:val="none" w:sz="0" w:space="0" w:color="auto"/>
      </w:divBdr>
    </w:div>
    <w:div w:id="1150830753">
      <w:bodyDiv w:val="1"/>
      <w:marLeft w:val="0"/>
      <w:marRight w:val="0"/>
      <w:marTop w:val="0"/>
      <w:marBottom w:val="0"/>
      <w:divBdr>
        <w:top w:val="none" w:sz="0" w:space="0" w:color="auto"/>
        <w:left w:val="none" w:sz="0" w:space="0" w:color="auto"/>
        <w:bottom w:val="none" w:sz="0" w:space="0" w:color="auto"/>
        <w:right w:val="none" w:sz="0" w:space="0" w:color="auto"/>
      </w:divBdr>
    </w:div>
    <w:div w:id="1151019498">
      <w:bodyDiv w:val="1"/>
      <w:marLeft w:val="0"/>
      <w:marRight w:val="0"/>
      <w:marTop w:val="0"/>
      <w:marBottom w:val="0"/>
      <w:divBdr>
        <w:top w:val="none" w:sz="0" w:space="0" w:color="auto"/>
        <w:left w:val="none" w:sz="0" w:space="0" w:color="auto"/>
        <w:bottom w:val="none" w:sz="0" w:space="0" w:color="auto"/>
        <w:right w:val="none" w:sz="0" w:space="0" w:color="auto"/>
      </w:divBdr>
    </w:div>
    <w:div w:id="1151020612">
      <w:bodyDiv w:val="1"/>
      <w:marLeft w:val="0"/>
      <w:marRight w:val="0"/>
      <w:marTop w:val="0"/>
      <w:marBottom w:val="0"/>
      <w:divBdr>
        <w:top w:val="none" w:sz="0" w:space="0" w:color="auto"/>
        <w:left w:val="none" w:sz="0" w:space="0" w:color="auto"/>
        <w:bottom w:val="none" w:sz="0" w:space="0" w:color="auto"/>
        <w:right w:val="none" w:sz="0" w:space="0" w:color="auto"/>
      </w:divBdr>
    </w:div>
    <w:div w:id="1151023969">
      <w:bodyDiv w:val="1"/>
      <w:marLeft w:val="0"/>
      <w:marRight w:val="0"/>
      <w:marTop w:val="0"/>
      <w:marBottom w:val="0"/>
      <w:divBdr>
        <w:top w:val="none" w:sz="0" w:space="0" w:color="auto"/>
        <w:left w:val="none" w:sz="0" w:space="0" w:color="auto"/>
        <w:bottom w:val="none" w:sz="0" w:space="0" w:color="auto"/>
        <w:right w:val="none" w:sz="0" w:space="0" w:color="auto"/>
      </w:divBdr>
    </w:div>
    <w:div w:id="1151094500">
      <w:bodyDiv w:val="1"/>
      <w:marLeft w:val="0"/>
      <w:marRight w:val="0"/>
      <w:marTop w:val="0"/>
      <w:marBottom w:val="0"/>
      <w:divBdr>
        <w:top w:val="none" w:sz="0" w:space="0" w:color="auto"/>
        <w:left w:val="none" w:sz="0" w:space="0" w:color="auto"/>
        <w:bottom w:val="none" w:sz="0" w:space="0" w:color="auto"/>
        <w:right w:val="none" w:sz="0" w:space="0" w:color="auto"/>
      </w:divBdr>
    </w:div>
    <w:div w:id="1151210627">
      <w:bodyDiv w:val="1"/>
      <w:marLeft w:val="0"/>
      <w:marRight w:val="0"/>
      <w:marTop w:val="0"/>
      <w:marBottom w:val="0"/>
      <w:divBdr>
        <w:top w:val="none" w:sz="0" w:space="0" w:color="auto"/>
        <w:left w:val="none" w:sz="0" w:space="0" w:color="auto"/>
        <w:bottom w:val="none" w:sz="0" w:space="0" w:color="auto"/>
        <w:right w:val="none" w:sz="0" w:space="0" w:color="auto"/>
      </w:divBdr>
    </w:div>
    <w:div w:id="1151362931">
      <w:bodyDiv w:val="1"/>
      <w:marLeft w:val="0"/>
      <w:marRight w:val="0"/>
      <w:marTop w:val="0"/>
      <w:marBottom w:val="0"/>
      <w:divBdr>
        <w:top w:val="none" w:sz="0" w:space="0" w:color="auto"/>
        <w:left w:val="none" w:sz="0" w:space="0" w:color="auto"/>
        <w:bottom w:val="none" w:sz="0" w:space="0" w:color="auto"/>
        <w:right w:val="none" w:sz="0" w:space="0" w:color="auto"/>
      </w:divBdr>
    </w:div>
    <w:div w:id="1151600854">
      <w:bodyDiv w:val="1"/>
      <w:marLeft w:val="0"/>
      <w:marRight w:val="0"/>
      <w:marTop w:val="0"/>
      <w:marBottom w:val="0"/>
      <w:divBdr>
        <w:top w:val="none" w:sz="0" w:space="0" w:color="auto"/>
        <w:left w:val="none" w:sz="0" w:space="0" w:color="auto"/>
        <w:bottom w:val="none" w:sz="0" w:space="0" w:color="auto"/>
        <w:right w:val="none" w:sz="0" w:space="0" w:color="auto"/>
      </w:divBdr>
    </w:div>
    <w:div w:id="1151629733">
      <w:bodyDiv w:val="1"/>
      <w:marLeft w:val="0"/>
      <w:marRight w:val="0"/>
      <w:marTop w:val="0"/>
      <w:marBottom w:val="0"/>
      <w:divBdr>
        <w:top w:val="none" w:sz="0" w:space="0" w:color="auto"/>
        <w:left w:val="none" w:sz="0" w:space="0" w:color="auto"/>
        <w:bottom w:val="none" w:sz="0" w:space="0" w:color="auto"/>
        <w:right w:val="none" w:sz="0" w:space="0" w:color="auto"/>
      </w:divBdr>
    </w:div>
    <w:div w:id="1151673383">
      <w:bodyDiv w:val="1"/>
      <w:marLeft w:val="0"/>
      <w:marRight w:val="0"/>
      <w:marTop w:val="0"/>
      <w:marBottom w:val="0"/>
      <w:divBdr>
        <w:top w:val="none" w:sz="0" w:space="0" w:color="auto"/>
        <w:left w:val="none" w:sz="0" w:space="0" w:color="auto"/>
        <w:bottom w:val="none" w:sz="0" w:space="0" w:color="auto"/>
        <w:right w:val="none" w:sz="0" w:space="0" w:color="auto"/>
      </w:divBdr>
    </w:div>
    <w:div w:id="1151681392">
      <w:bodyDiv w:val="1"/>
      <w:marLeft w:val="0"/>
      <w:marRight w:val="0"/>
      <w:marTop w:val="0"/>
      <w:marBottom w:val="0"/>
      <w:divBdr>
        <w:top w:val="none" w:sz="0" w:space="0" w:color="auto"/>
        <w:left w:val="none" w:sz="0" w:space="0" w:color="auto"/>
        <w:bottom w:val="none" w:sz="0" w:space="0" w:color="auto"/>
        <w:right w:val="none" w:sz="0" w:space="0" w:color="auto"/>
      </w:divBdr>
    </w:div>
    <w:div w:id="1151867555">
      <w:bodyDiv w:val="1"/>
      <w:marLeft w:val="0"/>
      <w:marRight w:val="0"/>
      <w:marTop w:val="0"/>
      <w:marBottom w:val="0"/>
      <w:divBdr>
        <w:top w:val="none" w:sz="0" w:space="0" w:color="auto"/>
        <w:left w:val="none" w:sz="0" w:space="0" w:color="auto"/>
        <w:bottom w:val="none" w:sz="0" w:space="0" w:color="auto"/>
        <w:right w:val="none" w:sz="0" w:space="0" w:color="auto"/>
      </w:divBdr>
    </w:div>
    <w:div w:id="1151871601">
      <w:bodyDiv w:val="1"/>
      <w:marLeft w:val="0"/>
      <w:marRight w:val="0"/>
      <w:marTop w:val="0"/>
      <w:marBottom w:val="0"/>
      <w:divBdr>
        <w:top w:val="none" w:sz="0" w:space="0" w:color="auto"/>
        <w:left w:val="none" w:sz="0" w:space="0" w:color="auto"/>
        <w:bottom w:val="none" w:sz="0" w:space="0" w:color="auto"/>
        <w:right w:val="none" w:sz="0" w:space="0" w:color="auto"/>
      </w:divBdr>
    </w:div>
    <w:div w:id="1152209943">
      <w:bodyDiv w:val="1"/>
      <w:marLeft w:val="0"/>
      <w:marRight w:val="0"/>
      <w:marTop w:val="0"/>
      <w:marBottom w:val="0"/>
      <w:divBdr>
        <w:top w:val="none" w:sz="0" w:space="0" w:color="auto"/>
        <w:left w:val="none" w:sz="0" w:space="0" w:color="auto"/>
        <w:bottom w:val="none" w:sz="0" w:space="0" w:color="auto"/>
        <w:right w:val="none" w:sz="0" w:space="0" w:color="auto"/>
      </w:divBdr>
    </w:div>
    <w:div w:id="1152212360">
      <w:bodyDiv w:val="1"/>
      <w:marLeft w:val="0"/>
      <w:marRight w:val="0"/>
      <w:marTop w:val="0"/>
      <w:marBottom w:val="0"/>
      <w:divBdr>
        <w:top w:val="none" w:sz="0" w:space="0" w:color="auto"/>
        <w:left w:val="none" w:sz="0" w:space="0" w:color="auto"/>
        <w:bottom w:val="none" w:sz="0" w:space="0" w:color="auto"/>
        <w:right w:val="none" w:sz="0" w:space="0" w:color="auto"/>
      </w:divBdr>
    </w:div>
    <w:div w:id="1152215899">
      <w:bodyDiv w:val="1"/>
      <w:marLeft w:val="0"/>
      <w:marRight w:val="0"/>
      <w:marTop w:val="0"/>
      <w:marBottom w:val="0"/>
      <w:divBdr>
        <w:top w:val="none" w:sz="0" w:space="0" w:color="auto"/>
        <w:left w:val="none" w:sz="0" w:space="0" w:color="auto"/>
        <w:bottom w:val="none" w:sz="0" w:space="0" w:color="auto"/>
        <w:right w:val="none" w:sz="0" w:space="0" w:color="auto"/>
      </w:divBdr>
    </w:div>
    <w:div w:id="1152255644">
      <w:bodyDiv w:val="1"/>
      <w:marLeft w:val="0"/>
      <w:marRight w:val="0"/>
      <w:marTop w:val="0"/>
      <w:marBottom w:val="0"/>
      <w:divBdr>
        <w:top w:val="none" w:sz="0" w:space="0" w:color="auto"/>
        <w:left w:val="none" w:sz="0" w:space="0" w:color="auto"/>
        <w:bottom w:val="none" w:sz="0" w:space="0" w:color="auto"/>
        <w:right w:val="none" w:sz="0" w:space="0" w:color="auto"/>
      </w:divBdr>
    </w:div>
    <w:div w:id="1152261370">
      <w:bodyDiv w:val="1"/>
      <w:marLeft w:val="0"/>
      <w:marRight w:val="0"/>
      <w:marTop w:val="0"/>
      <w:marBottom w:val="0"/>
      <w:divBdr>
        <w:top w:val="none" w:sz="0" w:space="0" w:color="auto"/>
        <w:left w:val="none" w:sz="0" w:space="0" w:color="auto"/>
        <w:bottom w:val="none" w:sz="0" w:space="0" w:color="auto"/>
        <w:right w:val="none" w:sz="0" w:space="0" w:color="auto"/>
      </w:divBdr>
    </w:div>
    <w:div w:id="1152328534">
      <w:bodyDiv w:val="1"/>
      <w:marLeft w:val="0"/>
      <w:marRight w:val="0"/>
      <w:marTop w:val="0"/>
      <w:marBottom w:val="0"/>
      <w:divBdr>
        <w:top w:val="none" w:sz="0" w:space="0" w:color="auto"/>
        <w:left w:val="none" w:sz="0" w:space="0" w:color="auto"/>
        <w:bottom w:val="none" w:sz="0" w:space="0" w:color="auto"/>
        <w:right w:val="none" w:sz="0" w:space="0" w:color="auto"/>
      </w:divBdr>
    </w:div>
    <w:div w:id="1152329146">
      <w:bodyDiv w:val="1"/>
      <w:marLeft w:val="0"/>
      <w:marRight w:val="0"/>
      <w:marTop w:val="0"/>
      <w:marBottom w:val="0"/>
      <w:divBdr>
        <w:top w:val="none" w:sz="0" w:space="0" w:color="auto"/>
        <w:left w:val="none" w:sz="0" w:space="0" w:color="auto"/>
        <w:bottom w:val="none" w:sz="0" w:space="0" w:color="auto"/>
        <w:right w:val="none" w:sz="0" w:space="0" w:color="auto"/>
      </w:divBdr>
    </w:div>
    <w:div w:id="1152336091">
      <w:bodyDiv w:val="1"/>
      <w:marLeft w:val="0"/>
      <w:marRight w:val="0"/>
      <w:marTop w:val="0"/>
      <w:marBottom w:val="0"/>
      <w:divBdr>
        <w:top w:val="none" w:sz="0" w:space="0" w:color="auto"/>
        <w:left w:val="none" w:sz="0" w:space="0" w:color="auto"/>
        <w:bottom w:val="none" w:sz="0" w:space="0" w:color="auto"/>
        <w:right w:val="none" w:sz="0" w:space="0" w:color="auto"/>
      </w:divBdr>
    </w:div>
    <w:div w:id="1152406362">
      <w:bodyDiv w:val="1"/>
      <w:marLeft w:val="0"/>
      <w:marRight w:val="0"/>
      <w:marTop w:val="0"/>
      <w:marBottom w:val="0"/>
      <w:divBdr>
        <w:top w:val="none" w:sz="0" w:space="0" w:color="auto"/>
        <w:left w:val="none" w:sz="0" w:space="0" w:color="auto"/>
        <w:bottom w:val="none" w:sz="0" w:space="0" w:color="auto"/>
        <w:right w:val="none" w:sz="0" w:space="0" w:color="auto"/>
      </w:divBdr>
    </w:div>
    <w:div w:id="1152604935">
      <w:bodyDiv w:val="1"/>
      <w:marLeft w:val="0"/>
      <w:marRight w:val="0"/>
      <w:marTop w:val="0"/>
      <w:marBottom w:val="0"/>
      <w:divBdr>
        <w:top w:val="none" w:sz="0" w:space="0" w:color="auto"/>
        <w:left w:val="none" w:sz="0" w:space="0" w:color="auto"/>
        <w:bottom w:val="none" w:sz="0" w:space="0" w:color="auto"/>
        <w:right w:val="none" w:sz="0" w:space="0" w:color="auto"/>
      </w:divBdr>
    </w:div>
    <w:div w:id="1152676259">
      <w:bodyDiv w:val="1"/>
      <w:marLeft w:val="0"/>
      <w:marRight w:val="0"/>
      <w:marTop w:val="0"/>
      <w:marBottom w:val="0"/>
      <w:divBdr>
        <w:top w:val="none" w:sz="0" w:space="0" w:color="auto"/>
        <w:left w:val="none" w:sz="0" w:space="0" w:color="auto"/>
        <w:bottom w:val="none" w:sz="0" w:space="0" w:color="auto"/>
        <w:right w:val="none" w:sz="0" w:space="0" w:color="auto"/>
      </w:divBdr>
    </w:div>
    <w:div w:id="1152679042">
      <w:bodyDiv w:val="1"/>
      <w:marLeft w:val="0"/>
      <w:marRight w:val="0"/>
      <w:marTop w:val="0"/>
      <w:marBottom w:val="0"/>
      <w:divBdr>
        <w:top w:val="none" w:sz="0" w:space="0" w:color="auto"/>
        <w:left w:val="none" w:sz="0" w:space="0" w:color="auto"/>
        <w:bottom w:val="none" w:sz="0" w:space="0" w:color="auto"/>
        <w:right w:val="none" w:sz="0" w:space="0" w:color="auto"/>
      </w:divBdr>
    </w:div>
    <w:div w:id="1152793368">
      <w:bodyDiv w:val="1"/>
      <w:marLeft w:val="0"/>
      <w:marRight w:val="0"/>
      <w:marTop w:val="0"/>
      <w:marBottom w:val="0"/>
      <w:divBdr>
        <w:top w:val="none" w:sz="0" w:space="0" w:color="auto"/>
        <w:left w:val="none" w:sz="0" w:space="0" w:color="auto"/>
        <w:bottom w:val="none" w:sz="0" w:space="0" w:color="auto"/>
        <w:right w:val="none" w:sz="0" w:space="0" w:color="auto"/>
      </w:divBdr>
    </w:div>
    <w:div w:id="1152864843">
      <w:bodyDiv w:val="1"/>
      <w:marLeft w:val="0"/>
      <w:marRight w:val="0"/>
      <w:marTop w:val="0"/>
      <w:marBottom w:val="0"/>
      <w:divBdr>
        <w:top w:val="none" w:sz="0" w:space="0" w:color="auto"/>
        <w:left w:val="none" w:sz="0" w:space="0" w:color="auto"/>
        <w:bottom w:val="none" w:sz="0" w:space="0" w:color="auto"/>
        <w:right w:val="none" w:sz="0" w:space="0" w:color="auto"/>
      </w:divBdr>
    </w:div>
    <w:div w:id="1152867885">
      <w:bodyDiv w:val="1"/>
      <w:marLeft w:val="0"/>
      <w:marRight w:val="0"/>
      <w:marTop w:val="0"/>
      <w:marBottom w:val="0"/>
      <w:divBdr>
        <w:top w:val="none" w:sz="0" w:space="0" w:color="auto"/>
        <w:left w:val="none" w:sz="0" w:space="0" w:color="auto"/>
        <w:bottom w:val="none" w:sz="0" w:space="0" w:color="auto"/>
        <w:right w:val="none" w:sz="0" w:space="0" w:color="auto"/>
      </w:divBdr>
    </w:div>
    <w:div w:id="1152913356">
      <w:bodyDiv w:val="1"/>
      <w:marLeft w:val="0"/>
      <w:marRight w:val="0"/>
      <w:marTop w:val="0"/>
      <w:marBottom w:val="0"/>
      <w:divBdr>
        <w:top w:val="none" w:sz="0" w:space="0" w:color="auto"/>
        <w:left w:val="none" w:sz="0" w:space="0" w:color="auto"/>
        <w:bottom w:val="none" w:sz="0" w:space="0" w:color="auto"/>
        <w:right w:val="none" w:sz="0" w:space="0" w:color="auto"/>
      </w:divBdr>
    </w:div>
    <w:div w:id="1153253161">
      <w:bodyDiv w:val="1"/>
      <w:marLeft w:val="0"/>
      <w:marRight w:val="0"/>
      <w:marTop w:val="0"/>
      <w:marBottom w:val="0"/>
      <w:divBdr>
        <w:top w:val="none" w:sz="0" w:space="0" w:color="auto"/>
        <w:left w:val="none" w:sz="0" w:space="0" w:color="auto"/>
        <w:bottom w:val="none" w:sz="0" w:space="0" w:color="auto"/>
        <w:right w:val="none" w:sz="0" w:space="0" w:color="auto"/>
      </w:divBdr>
    </w:div>
    <w:div w:id="1153260608">
      <w:bodyDiv w:val="1"/>
      <w:marLeft w:val="0"/>
      <w:marRight w:val="0"/>
      <w:marTop w:val="0"/>
      <w:marBottom w:val="0"/>
      <w:divBdr>
        <w:top w:val="none" w:sz="0" w:space="0" w:color="auto"/>
        <w:left w:val="none" w:sz="0" w:space="0" w:color="auto"/>
        <w:bottom w:val="none" w:sz="0" w:space="0" w:color="auto"/>
        <w:right w:val="none" w:sz="0" w:space="0" w:color="auto"/>
      </w:divBdr>
    </w:div>
    <w:div w:id="1153334031">
      <w:bodyDiv w:val="1"/>
      <w:marLeft w:val="0"/>
      <w:marRight w:val="0"/>
      <w:marTop w:val="0"/>
      <w:marBottom w:val="0"/>
      <w:divBdr>
        <w:top w:val="none" w:sz="0" w:space="0" w:color="auto"/>
        <w:left w:val="none" w:sz="0" w:space="0" w:color="auto"/>
        <w:bottom w:val="none" w:sz="0" w:space="0" w:color="auto"/>
        <w:right w:val="none" w:sz="0" w:space="0" w:color="auto"/>
      </w:divBdr>
    </w:div>
    <w:div w:id="1153445311">
      <w:bodyDiv w:val="1"/>
      <w:marLeft w:val="0"/>
      <w:marRight w:val="0"/>
      <w:marTop w:val="0"/>
      <w:marBottom w:val="0"/>
      <w:divBdr>
        <w:top w:val="none" w:sz="0" w:space="0" w:color="auto"/>
        <w:left w:val="none" w:sz="0" w:space="0" w:color="auto"/>
        <w:bottom w:val="none" w:sz="0" w:space="0" w:color="auto"/>
        <w:right w:val="none" w:sz="0" w:space="0" w:color="auto"/>
      </w:divBdr>
    </w:div>
    <w:div w:id="1153449251">
      <w:bodyDiv w:val="1"/>
      <w:marLeft w:val="0"/>
      <w:marRight w:val="0"/>
      <w:marTop w:val="0"/>
      <w:marBottom w:val="0"/>
      <w:divBdr>
        <w:top w:val="none" w:sz="0" w:space="0" w:color="auto"/>
        <w:left w:val="none" w:sz="0" w:space="0" w:color="auto"/>
        <w:bottom w:val="none" w:sz="0" w:space="0" w:color="auto"/>
        <w:right w:val="none" w:sz="0" w:space="0" w:color="auto"/>
      </w:divBdr>
    </w:div>
    <w:div w:id="1153527388">
      <w:bodyDiv w:val="1"/>
      <w:marLeft w:val="0"/>
      <w:marRight w:val="0"/>
      <w:marTop w:val="0"/>
      <w:marBottom w:val="0"/>
      <w:divBdr>
        <w:top w:val="none" w:sz="0" w:space="0" w:color="auto"/>
        <w:left w:val="none" w:sz="0" w:space="0" w:color="auto"/>
        <w:bottom w:val="none" w:sz="0" w:space="0" w:color="auto"/>
        <w:right w:val="none" w:sz="0" w:space="0" w:color="auto"/>
      </w:divBdr>
    </w:div>
    <w:div w:id="1153564855">
      <w:bodyDiv w:val="1"/>
      <w:marLeft w:val="0"/>
      <w:marRight w:val="0"/>
      <w:marTop w:val="0"/>
      <w:marBottom w:val="0"/>
      <w:divBdr>
        <w:top w:val="none" w:sz="0" w:space="0" w:color="auto"/>
        <w:left w:val="none" w:sz="0" w:space="0" w:color="auto"/>
        <w:bottom w:val="none" w:sz="0" w:space="0" w:color="auto"/>
        <w:right w:val="none" w:sz="0" w:space="0" w:color="auto"/>
      </w:divBdr>
    </w:div>
    <w:div w:id="1153644067">
      <w:bodyDiv w:val="1"/>
      <w:marLeft w:val="0"/>
      <w:marRight w:val="0"/>
      <w:marTop w:val="0"/>
      <w:marBottom w:val="0"/>
      <w:divBdr>
        <w:top w:val="none" w:sz="0" w:space="0" w:color="auto"/>
        <w:left w:val="none" w:sz="0" w:space="0" w:color="auto"/>
        <w:bottom w:val="none" w:sz="0" w:space="0" w:color="auto"/>
        <w:right w:val="none" w:sz="0" w:space="0" w:color="auto"/>
      </w:divBdr>
    </w:div>
    <w:div w:id="1153762523">
      <w:bodyDiv w:val="1"/>
      <w:marLeft w:val="0"/>
      <w:marRight w:val="0"/>
      <w:marTop w:val="0"/>
      <w:marBottom w:val="0"/>
      <w:divBdr>
        <w:top w:val="none" w:sz="0" w:space="0" w:color="auto"/>
        <w:left w:val="none" w:sz="0" w:space="0" w:color="auto"/>
        <w:bottom w:val="none" w:sz="0" w:space="0" w:color="auto"/>
        <w:right w:val="none" w:sz="0" w:space="0" w:color="auto"/>
      </w:divBdr>
    </w:div>
    <w:div w:id="1153832025">
      <w:bodyDiv w:val="1"/>
      <w:marLeft w:val="0"/>
      <w:marRight w:val="0"/>
      <w:marTop w:val="0"/>
      <w:marBottom w:val="0"/>
      <w:divBdr>
        <w:top w:val="none" w:sz="0" w:space="0" w:color="auto"/>
        <w:left w:val="none" w:sz="0" w:space="0" w:color="auto"/>
        <w:bottom w:val="none" w:sz="0" w:space="0" w:color="auto"/>
        <w:right w:val="none" w:sz="0" w:space="0" w:color="auto"/>
      </w:divBdr>
    </w:div>
    <w:div w:id="1153836918">
      <w:bodyDiv w:val="1"/>
      <w:marLeft w:val="0"/>
      <w:marRight w:val="0"/>
      <w:marTop w:val="0"/>
      <w:marBottom w:val="0"/>
      <w:divBdr>
        <w:top w:val="none" w:sz="0" w:space="0" w:color="auto"/>
        <w:left w:val="none" w:sz="0" w:space="0" w:color="auto"/>
        <w:bottom w:val="none" w:sz="0" w:space="0" w:color="auto"/>
        <w:right w:val="none" w:sz="0" w:space="0" w:color="auto"/>
      </w:divBdr>
    </w:div>
    <w:div w:id="1153906692">
      <w:bodyDiv w:val="1"/>
      <w:marLeft w:val="0"/>
      <w:marRight w:val="0"/>
      <w:marTop w:val="0"/>
      <w:marBottom w:val="0"/>
      <w:divBdr>
        <w:top w:val="none" w:sz="0" w:space="0" w:color="auto"/>
        <w:left w:val="none" w:sz="0" w:space="0" w:color="auto"/>
        <w:bottom w:val="none" w:sz="0" w:space="0" w:color="auto"/>
        <w:right w:val="none" w:sz="0" w:space="0" w:color="auto"/>
      </w:divBdr>
    </w:div>
    <w:div w:id="1153908824">
      <w:bodyDiv w:val="1"/>
      <w:marLeft w:val="0"/>
      <w:marRight w:val="0"/>
      <w:marTop w:val="0"/>
      <w:marBottom w:val="0"/>
      <w:divBdr>
        <w:top w:val="none" w:sz="0" w:space="0" w:color="auto"/>
        <w:left w:val="none" w:sz="0" w:space="0" w:color="auto"/>
        <w:bottom w:val="none" w:sz="0" w:space="0" w:color="auto"/>
        <w:right w:val="none" w:sz="0" w:space="0" w:color="auto"/>
      </w:divBdr>
    </w:div>
    <w:div w:id="1153983301">
      <w:bodyDiv w:val="1"/>
      <w:marLeft w:val="0"/>
      <w:marRight w:val="0"/>
      <w:marTop w:val="0"/>
      <w:marBottom w:val="0"/>
      <w:divBdr>
        <w:top w:val="none" w:sz="0" w:space="0" w:color="auto"/>
        <w:left w:val="none" w:sz="0" w:space="0" w:color="auto"/>
        <w:bottom w:val="none" w:sz="0" w:space="0" w:color="auto"/>
        <w:right w:val="none" w:sz="0" w:space="0" w:color="auto"/>
      </w:divBdr>
    </w:div>
    <w:div w:id="1154178145">
      <w:bodyDiv w:val="1"/>
      <w:marLeft w:val="0"/>
      <w:marRight w:val="0"/>
      <w:marTop w:val="0"/>
      <w:marBottom w:val="0"/>
      <w:divBdr>
        <w:top w:val="none" w:sz="0" w:space="0" w:color="auto"/>
        <w:left w:val="none" w:sz="0" w:space="0" w:color="auto"/>
        <w:bottom w:val="none" w:sz="0" w:space="0" w:color="auto"/>
        <w:right w:val="none" w:sz="0" w:space="0" w:color="auto"/>
      </w:divBdr>
    </w:div>
    <w:div w:id="1154181318">
      <w:bodyDiv w:val="1"/>
      <w:marLeft w:val="0"/>
      <w:marRight w:val="0"/>
      <w:marTop w:val="0"/>
      <w:marBottom w:val="0"/>
      <w:divBdr>
        <w:top w:val="none" w:sz="0" w:space="0" w:color="auto"/>
        <w:left w:val="none" w:sz="0" w:space="0" w:color="auto"/>
        <w:bottom w:val="none" w:sz="0" w:space="0" w:color="auto"/>
        <w:right w:val="none" w:sz="0" w:space="0" w:color="auto"/>
      </w:divBdr>
    </w:div>
    <w:div w:id="1154297502">
      <w:bodyDiv w:val="1"/>
      <w:marLeft w:val="0"/>
      <w:marRight w:val="0"/>
      <w:marTop w:val="0"/>
      <w:marBottom w:val="0"/>
      <w:divBdr>
        <w:top w:val="none" w:sz="0" w:space="0" w:color="auto"/>
        <w:left w:val="none" w:sz="0" w:space="0" w:color="auto"/>
        <w:bottom w:val="none" w:sz="0" w:space="0" w:color="auto"/>
        <w:right w:val="none" w:sz="0" w:space="0" w:color="auto"/>
      </w:divBdr>
    </w:div>
    <w:div w:id="1154300052">
      <w:bodyDiv w:val="1"/>
      <w:marLeft w:val="0"/>
      <w:marRight w:val="0"/>
      <w:marTop w:val="0"/>
      <w:marBottom w:val="0"/>
      <w:divBdr>
        <w:top w:val="none" w:sz="0" w:space="0" w:color="auto"/>
        <w:left w:val="none" w:sz="0" w:space="0" w:color="auto"/>
        <w:bottom w:val="none" w:sz="0" w:space="0" w:color="auto"/>
        <w:right w:val="none" w:sz="0" w:space="0" w:color="auto"/>
      </w:divBdr>
    </w:div>
    <w:div w:id="1154375723">
      <w:bodyDiv w:val="1"/>
      <w:marLeft w:val="0"/>
      <w:marRight w:val="0"/>
      <w:marTop w:val="0"/>
      <w:marBottom w:val="0"/>
      <w:divBdr>
        <w:top w:val="none" w:sz="0" w:space="0" w:color="auto"/>
        <w:left w:val="none" w:sz="0" w:space="0" w:color="auto"/>
        <w:bottom w:val="none" w:sz="0" w:space="0" w:color="auto"/>
        <w:right w:val="none" w:sz="0" w:space="0" w:color="auto"/>
      </w:divBdr>
    </w:div>
    <w:div w:id="1154419435">
      <w:bodyDiv w:val="1"/>
      <w:marLeft w:val="0"/>
      <w:marRight w:val="0"/>
      <w:marTop w:val="0"/>
      <w:marBottom w:val="0"/>
      <w:divBdr>
        <w:top w:val="none" w:sz="0" w:space="0" w:color="auto"/>
        <w:left w:val="none" w:sz="0" w:space="0" w:color="auto"/>
        <w:bottom w:val="none" w:sz="0" w:space="0" w:color="auto"/>
        <w:right w:val="none" w:sz="0" w:space="0" w:color="auto"/>
      </w:divBdr>
    </w:div>
    <w:div w:id="1154446099">
      <w:bodyDiv w:val="1"/>
      <w:marLeft w:val="0"/>
      <w:marRight w:val="0"/>
      <w:marTop w:val="0"/>
      <w:marBottom w:val="0"/>
      <w:divBdr>
        <w:top w:val="none" w:sz="0" w:space="0" w:color="auto"/>
        <w:left w:val="none" w:sz="0" w:space="0" w:color="auto"/>
        <w:bottom w:val="none" w:sz="0" w:space="0" w:color="auto"/>
        <w:right w:val="none" w:sz="0" w:space="0" w:color="auto"/>
      </w:divBdr>
    </w:div>
    <w:div w:id="1154492260">
      <w:bodyDiv w:val="1"/>
      <w:marLeft w:val="0"/>
      <w:marRight w:val="0"/>
      <w:marTop w:val="0"/>
      <w:marBottom w:val="0"/>
      <w:divBdr>
        <w:top w:val="none" w:sz="0" w:space="0" w:color="auto"/>
        <w:left w:val="none" w:sz="0" w:space="0" w:color="auto"/>
        <w:bottom w:val="none" w:sz="0" w:space="0" w:color="auto"/>
        <w:right w:val="none" w:sz="0" w:space="0" w:color="auto"/>
      </w:divBdr>
    </w:div>
    <w:div w:id="1154567873">
      <w:bodyDiv w:val="1"/>
      <w:marLeft w:val="0"/>
      <w:marRight w:val="0"/>
      <w:marTop w:val="0"/>
      <w:marBottom w:val="0"/>
      <w:divBdr>
        <w:top w:val="none" w:sz="0" w:space="0" w:color="auto"/>
        <w:left w:val="none" w:sz="0" w:space="0" w:color="auto"/>
        <w:bottom w:val="none" w:sz="0" w:space="0" w:color="auto"/>
        <w:right w:val="none" w:sz="0" w:space="0" w:color="auto"/>
      </w:divBdr>
    </w:div>
    <w:div w:id="1154613657">
      <w:bodyDiv w:val="1"/>
      <w:marLeft w:val="0"/>
      <w:marRight w:val="0"/>
      <w:marTop w:val="0"/>
      <w:marBottom w:val="0"/>
      <w:divBdr>
        <w:top w:val="none" w:sz="0" w:space="0" w:color="auto"/>
        <w:left w:val="none" w:sz="0" w:space="0" w:color="auto"/>
        <w:bottom w:val="none" w:sz="0" w:space="0" w:color="auto"/>
        <w:right w:val="none" w:sz="0" w:space="0" w:color="auto"/>
      </w:divBdr>
    </w:div>
    <w:div w:id="1154756451">
      <w:bodyDiv w:val="1"/>
      <w:marLeft w:val="0"/>
      <w:marRight w:val="0"/>
      <w:marTop w:val="0"/>
      <w:marBottom w:val="0"/>
      <w:divBdr>
        <w:top w:val="none" w:sz="0" w:space="0" w:color="auto"/>
        <w:left w:val="none" w:sz="0" w:space="0" w:color="auto"/>
        <w:bottom w:val="none" w:sz="0" w:space="0" w:color="auto"/>
        <w:right w:val="none" w:sz="0" w:space="0" w:color="auto"/>
      </w:divBdr>
    </w:div>
    <w:div w:id="1154831701">
      <w:bodyDiv w:val="1"/>
      <w:marLeft w:val="0"/>
      <w:marRight w:val="0"/>
      <w:marTop w:val="0"/>
      <w:marBottom w:val="0"/>
      <w:divBdr>
        <w:top w:val="none" w:sz="0" w:space="0" w:color="auto"/>
        <w:left w:val="none" w:sz="0" w:space="0" w:color="auto"/>
        <w:bottom w:val="none" w:sz="0" w:space="0" w:color="auto"/>
        <w:right w:val="none" w:sz="0" w:space="0" w:color="auto"/>
      </w:divBdr>
    </w:div>
    <w:div w:id="1154881517">
      <w:bodyDiv w:val="1"/>
      <w:marLeft w:val="0"/>
      <w:marRight w:val="0"/>
      <w:marTop w:val="0"/>
      <w:marBottom w:val="0"/>
      <w:divBdr>
        <w:top w:val="none" w:sz="0" w:space="0" w:color="auto"/>
        <w:left w:val="none" w:sz="0" w:space="0" w:color="auto"/>
        <w:bottom w:val="none" w:sz="0" w:space="0" w:color="auto"/>
        <w:right w:val="none" w:sz="0" w:space="0" w:color="auto"/>
      </w:divBdr>
    </w:div>
    <w:div w:id="1154951679">
      <w:bodyDiv w:val="1"/>
      <w:marLeft w:val="0"/>
      <w:marRight w:val="0"/>
      <w:marTop w:val="0"/>
      <w:marBottom w:val="0"/>
      <w:divBdr>
        <w:top w:val="none" w:sz="0" w:space="0" w:color="auto"/>
        <w:left w:val="none" w:sz="0" w:space="0" w:color="auto"/>
        <w:bottom w:val="none" w:sz="0" w:space="0" w:color="auto"/>
        <w:right w:val="none" w:sz="0" w:space="0" w:color="auto"/>
      </w:divBdr>
    </w:div>
    <w:div w:id="1154955003">
      <w:bodyDiv w:val="1"/>
      <w:marLeft w:val="0"/>
      <w:marRight w:val="0"/>
      <w:marTop w:val="0"/>
      <w:marBottom w:val="0"/>
      <w:divBdr>
        <w:top w:val="none" w:sz="0" w:space="0" w:color="auto"/>
        <w:left w:val="none" w:sz="0" w:space="0" w:color="auto"/>
        <w:bottom w:val="none" w:sz="0" w:space="0" w:color="auto"/>
        <w:right w:val="none" w:sz="0" w:space="0" w:color="auto"/>
      </w:divBdr>
    </w:div>
    <w:div w:id="1155098853">
      <w:bodyDiv w:val="1"/>
      <w:marLeft w:val="0"/>
      <w:marRight w:val="0"/>
      <w:marTop w:val="0"/>
      <w:marBottom w:val="0"/>
      <w:divBdr>
        <w:top w:val="none" w:sz="0" w:space="0" w:color="auto"/>
        <w:left w:val="none" w:sz="0" w:space="0" w:color="auto"/>
        <w:bottom w:val="none" w:sz="0" w:space="0" w:color="auto"/>
        <w:right w:val="none" w:sz="0" w:space="0" w:color="auto"/>
      </w:divBdr>
    </w:div>
    <w:div w:id="1155100556">
      <w:bodyDiv w:val="1"/>
      <w:marLeft w:val="0"/>
      <w:marRight w:val="0"/>
      <w:marTop w:val="0"/>
      <w:marBottom w:val="0"/>
      <w:divBdr>
        <w:top w:val="none" w:sz="0" w:space="0" w:color="auto"/>
        <w:left w:val="none" w:sz="0" w:space="0" w:color="auto"/>
        <w:bottom w:val="none" w:sz="0" w:space="0" w:color="auto"/>
        <w:right w:val="none" w:sz="0" w:space="0" w:color="auto"/>
      </w:divBdr>
    </w:div>
    <w:div w:id="1155147455">
      <w:bodyDiv w:val="1"/>
      <w:marLeft w:val="0"/>
      <w:marRight w:val="0"/>
      <w:marTop w:val="0"/>
      <w:marBottom w:val="0"/>
      <w:divBdr>
        <w:top w:val="none" w:sz="0" w:space="0" w:color="auto"/>
        <w:left w:val="none" w:sz="0" w:space="0" w:color="auto"/>
        <w:bottom w:val="none" w:sz="0" w:space="0" w:color="auto"/>
        <w:right w:val="none" w:sz="0" w:space="0" w:color="auto"/>
      </w:divBdr>
    </w:div>
    <w:div w:id="1155221295">
      <w:bodyDiv w:val="1"/>
      <w:marLeft w:val="0"/>
      <w:marRight w:val="0"/>
      <w:marTop w:val="0"/>
      <w:marBottom w:val="0"/>
      <w:divBdr>
        <w:top w:val="none" w:sz="0" w:space="0" w:color="auto"/>
        <w:left w:val="none" w:sz="0" w:space="0" w:color="auto"/>
        <w:bottom w:val="none" w:sz="0" w:space="0" w:color="auto"/>
        <w:right w:val="none" w:sz="0" w:space="0" w:color="auto"/>
      </w:divBdr>
    </w:div>
    <w:div w:id="1155301161">
      <w:bodyDiv w:val="1"/>
      <w:marLeft w:val="0"/>
      <w:marRight w:val="0"/>
      <w:marTop w:val="0"/>
      <w:marBottom w:val="0"/>
      <w:divBdr>
        <w:top w:val="none" w:sz="0" w:space="0" w:color="auto"/>
        <w:left w:val="none" w:sz="0" w:space="0" w:color="auto"/>
        <w:bottom w:val="none" w:sz="0" w:space="0" w:color="auto"/>
        <w:right w:val="none" w:sz="0" w:space="0" w:color="auto"/>
      </w:divBdr>
    </w:div>
    <w:div w:id="1155336071">
      <w:bodyDiv w:val="1"/>
      <w:marLeft w:val="0"/>
      <w:marRight w:val="0"/>
      <w:marTop w:val="0"/>
      <w:marBottom w:val="0"/>
      <w:divBdr>
        <w:top w:val="none" w:sz="0" w:space="0" w:color="auto"/>
        <w:left w:val="none" w:sz="0" w:space="0" w:color="auto"/>
        <w:bottom w:val="none" w:sz="0" w:space="0" w:color="auto"/>
        <w:right w:val="none" w:sz="0" w:space="0" w:color="auto"/>
      </w:divBdr>
    </w:div>
    <w:div w:id="1155339934">
      <w:bodyDiv w:val="1"/>
      <w:marLeft w:val="0"/>
      <w:marRight w:val="0"/>
      <w:marTop w:val="0"/>
      <w:marBottom w:val="0"/>
      <w:divBdr>
        <w:top w:val="none" w:sz="0" w:space="0" w:color="auto"/>
        <w:left w:val="none" w:sz="0" w:space="0" w:color="auto"/>
        <w:bottom w:val="none" w:sz="0" w:space="0" w:color="auto"/>
        <w:right w:val="none" w:sz="0" w:space="0" w:color="auto"/>
      </w:divBdr>
    </w:div>
    <w:div w:id="1155412384">
      <w:bodyDiv w:val="1"/>
      <w:marLeft w:val="0"/>
      <w:marRight w:val="0"/>
      <w:marTop w:val="0"/>
      <w:marBottom w:val="0"/>
      <w:divBdr>
        <w:top w:val="none" w:sz="0" w:space="0" w:color="auto"/>
        <w:left w:val="none" w:sz="0" w:space="0" w:color="auto"/>
        <w:bottom w:val="none" w:sz="0" w:space="0" w:color="auto"/>
        <w:right w:val="none" w:sz="0" w:space="0" w:color="auto"/>
      </w:divBdr>
    </w:div>
    <w:div w:id="1155414047">
      <w:bodyDiv w:val="1"/>
      <w:marLeft w:val="0"/>
      <w:marRight w:val="0"/>
      <w:marTop w:val="0"/>
      <w:marBottom w:val="0"/>
      <w:divBdr>
        <w:top w:val="none" w:sz="0" w:space="0" w:color="auto"/>
        <w:left w:val="none" w:sz="0" w:space="0" w:color="auto"/>
        <w:bottom w:val="none" w:sz="0" w:space="0" w:color="auto"/>
        <w:right w:val="none" w:sz="0" w:space="0" w:color="auto"/>
      </w:divBdr>
    </w:div>
    <w:div w:id="1155419522">
      <w:bodyDiv w:val="1"/>
      <w:marLeft w:val="0"/>
      <w:marRight w:val="0"/>
      <w:marTop w:val="0"/>
      <w:marBottom w:val="0"/>
      <w:divBdr>
        <w:top w:val="none" w:sz="0" w:space="0" w:color="auto"/>
        <w:left w:val="none" w:sz="0" w:space="0" w:color="auto"/>
        <w:bottom w:val="none" w:sz="0" w:space="0" w:color="auto"/>
        <w:right w:val="none" w:sz="0" w:space="0" w:color="auto"/>
      </w:divBdr>
    </w:div>
    <w:div w:id="1155948542">
      <w:bodyDiv w:val="1"/>
      <w:marLeft w:val="0"/>
      <w:marRight w:val="0"/>
      <w:marTop w:val="0"/>
      <w:marBottom w:val="0"/>
      <w:divBdr>
        <w:top w:val="none" w:sz="0" w:space="0" w:color="auto"/>
        <w:left w:val="none" w:sz="0" w:space="0" w:color="auto"/>
        <w:bottom w:val="none" w:sz="0" w:space="0" w:color="auto"/>
        <w:right w:val="none" w:sz="0" w:space="0" w:color="auto"/>
      </w:divBdr>
    </w:div>
    <w:div w:id="1155954027">
      <w:bodyDiv w:val="1"/>
      <w:marLeft w:val="0"/>
      <w:marRight w:val="0"/>
      <w:marTop w:val="0"/>
      <w:marBottom w:val="0"/>
      <w:divBdr>
        <w:top w:val="none" w:sz="0" w:space="0" w:color="auto"/>
        <w:left w:val="none" w:sz="0" w:space="0" w:color="auto"/>
        <w:bottom w:val="none" w:sz="0" w:space="0" w:color="auto"/>
        <w:right w:val="none" w:sz="0" w:space="0" w:color="auto"/>
      </w:divBdr>
    </w:div>
    <w:div w:id="1155990117">
      <w:bodyDiv w:val="1"/>
      <w:marLeft w:val="0"/>
      <w:marRight w:val="0"/>
      <w:marTop w:val="0"/>
      <w:marBottom w:val="0"/>
      <w:divBdr>
        <w:top w:val="none" w:sz="0" w:space="0" w:color="auto"/>
        <w:left w:val="none" w:sz="0" w:space="0" w:color="auto"/>
        <w:bottom w:val="none" w:sz="0" w:space="0" w:color="auto"/>
        <w:right w:val="none" w:sz="0" w:space="0" w:color="auto"/>
      </w:divBdr>
    </w:div>
    <w:div w:id="1155998764">
      <w:bodyDiv w:val="1"/>
      <w:marLeft w:val="0"/>
      <w:marRight w:val="0"/>
      <w:marTop w:val="0"/>
      <w:marBottom w:val="0"/>
      <w:divBdr>
        <w:top w:val="none" w:sz="0" w:space="0" w:color="auto"/>
        <w:left w:val="none" w:sz="0" w:space="0" w:color="auto"/>
        <w:bottom w:val="none" w:sz="0" w:space="0" w:color="auto"/>
        <w:right w:val="none" w:sz="0" w:space="0" w:color="auto"/>
      </w:divBdr>
    </w:div>
    <w:div w:id="1156070223">
      <w:bodyDiv w:val="1"/>
      <w:marLeft w:val="0"/>
      <w:marRight w:val="0"/>
      <w:marTop w:val="0"/>
      <w:marBottom w:val="0"/>
      <w:divBdr>
        <w:top w:val="none" w:sz="0" w:space="0" w:color="auto"/>
        <w:left w:val="none" w:sz="0" w:space="0" w:color="auto"/>
        <w:bottom w:val="none" w:sz="0" w:space="0" w:color="auto"/>
        <w:right w:val="none" w:sz="0" w:space="0" w:color="auto"/>
      </w:divBdr>
    </w:div>
    <w:div w:id="1156074846">
      <w:bodyDiv w:val="1"/>
      <w:marLeft w:val="0"/>
      <w:marRight w:val="0"/>
      <w:marTop w:val="0"/>
      <w:marBottom w:val="0"/>
      <w:divBdr>
        <w:top w:val="none" w:sz="0" w:space="0" w:color="auto"/>
        <w:left w:val="none" w:sz="0" w:space="0" w:color="auto"/>
        <w:bottom w:val="none" w:sz="0" w:space="0" w:color="auto"/>
        <w:right w:val="none" w:sz="0" w:space="0" w:color="auto"/>
      </w:divBdr>
    </w:div>
    <w:div w:id="1156192575">
      <w:bodyDiv w:val="1"/>
      <w:marLeft w:val="0"/>
      <w:marRight w:val="0"/>
      <w:marTop w:val="0"/>
      <w:marBottom w:val="0"/>
      <w:divBdr>
        <w:top w:val="none" w:sz="0" w:space="0" w:color="auto"/>
        <w:left w:val="none" w:sz="0" w:space="0" w:color="auto"/>
        <w:bottom w:val="none" w:sz="0" w:space="0" w:color="auto"/>
        <w:right w:val="none" w:sz="0" w:space="0" w:color="auto"/>
      </w:divBdr>
    </w:div>
    <w:div w:id="1156217868">
      <w:bodyDiv w:val="1"/>
      <w:marLeft w:val="0"/>
      <w:marRight w:val="0"/>
      <w:marTop w:val="0"/>
      <w:marBottom w:val="0"/>
      <w:divBdr>
        <w:top w:val="none" w:sz="0" w:space="0" w:color="auto"/>
        <w:left w:val="none" w:sz="0" w:space="0" w:color="auto"/>
        <w:bottom w:val="none" w:sz="0" w:space="0" w:color="auto"/>
        <w:right w:val="none" w:sz="0" w:space="0" w:color="auto"/>
      </w:divBdr>
    </w:div>
    <w:div w:id="1156266660">
      <w:bodyDiv w:val="1"/>
      <w:marLeft w:val="0"/>
      <w:marRight w:val="0"/>
      <w:marTop w:val="0"/>
      <w:marBottom w:val="0"/>
      <w:divBdr>
        <w:top w:val="none" w:sz="0" w:space="0" w:color="auto"/>
        <w:left w:val="none" w:sz="0" w:space="0" w:color="auto"/>
        <w:bottom w:val="none" w:sz="0" w:space="0" w:color="auto"/>
        <w:right w:val="none" w:sz="0" w:space="0" w:color="auto"/>
      </w:divBdr>
    </w:div>
    <w:div w:id="1156267236">
      <w:bodyDiv w:val="1"/>
      <w:marLeft w:val="0"/>
      <w:marRight w:val="0"/>
      <w:marTop w:val="0"/>
      <w:marBottom w:val="0"/>
      <w:divBdr>
        <w:top w:val="none" w:sz="0" w:space="0" w:color="auto"/>
        <w:left w:val="none" w:sz="0" w:space="0" w:color="auto"/>
        <w:bottom w:val="none" w:sz="0" w:space="0" w:color="auto"/>
        <w:right w:val="none" w:sz="0" w:space="0" w:color="auto"/>
      </w:divBdr>
    </w:div>
    <w:div w:id="1156342014">
      <w:bodyDiv w:val="1"/>
      <w:marLeft w:val="0"/>
      <w:marRight w:val="0"/>
      <w:marTop w:val="0"/>
      <w:marBottom w:val="0"/>
      <w:divBdr>
        <w:top w:val="none" w:sz="0" w:space="0" w:color="auto"/>
        <w:left w:val="none" w:sz="0" w:space="0" w:color="auto"/>
        <w:bottom w:val="none" w:sz="0" w:space="0" w:color="auto"/>
        <w:right w:val="none" w:sz="0" w:space="0" w:color="auto"/>
      </w:divBdr>
    </w:div>
    <w:div w:id="1156458773">
      <w:bodyDiv w:val="1"/>
      <w:marLeft w:val="0"/>
      <w:marRight w:val="0"/>
      <w:marTop w:val="0"/>
      <w:marBottom w:val="0"/>
      <w:divBdr>
        <w:top w:val="none" w:sz="0" w:space="0" w:color="auto"/>
        <w:left w:val="none" w:sz="0" w:space="0" w:color="auto"/>
        <w:bottom w:val="none" w:sz="0" w:space="0" w:color="auto"/>
        <w:right w:val="none" w:sz="0" w:space="0" w:color="auto"/>
      </w:divBdr>
    </w:div>
    <w:div w:id="1156647137">
      <w:bodyDiv w:val="1"/>
      <w:marLeft w:val="0"/>
      <w:marRight w:val="0"/>
      <w:marTop w:val="0"/>
      <w:marBottom w:val="0"/>
      <w:divBdr>
        <w:top w:val="none" w:sz="0" w:space="0" w:color="auto"/>
        <w:left w:val="none" w:sz="0" w:space="0" w:color="auto"/>
        <w:bottom w:val="none" w:sz="0" w:space="0" w:color="auto"/>
        <w:right w:val="none" w:sz="0" w:space="0" w:color="auto"/>
      </w:divBdr>
    </w:div>
    <w:div w:id="1156653191">
      <w:bodyDiv w:val="1"/>
      <w:marLeft w:val="0"/>
      <w:marRight w:val="0"/>
      <w:marTop w:val="0"/>
      <w:marBottom w:val="0"/>
      <w:divBdr>
        <w:top w:val="none" w:sz="0" w:space="0" w:color="auto"/>
        <w:left w:val="none" w:sz="0" w:space="0" w:color="auto"/>
        <w:bottom w:val="none" w:sz="0" w:space="0" w:color="auto"/>
        <w:right w:val="none" w:sz="0" w:space="0" w:color="auto"/>
      </w:divBdr>
    </w:div>
    <w:div w:id="1156798937">
      <w:bodyDiv w:val="1"/>
      <w:marLeft w:val="0"/>
      <w:marRight w:val="0"/>
      <w:marTop w:val="0"/>
      <w:marBottom w:val="0"/>
      <w:divBdr>
        <w:top w:val="none" w:sz="0" w:space="0" w:color="auto"/>
        <w:left w:val="none" w:sz="0" w:space="0" w:color="auto"/>
        <w:bottom w:val="none" w:sz="0" w:space="0" w:color="auto"/>
        <w:right w:val="none" w:sz="0" w:space="0" w:color="auto"/>
      </w:divBdr>
    </w:div>
    <w:div w:id="1156916103">
      <w:bodyDiv w:val="1"/>
      <w:marLeft w:val="0"/>
      <w:marRight w:val="0"/>
      <w:marTop w:val="0"/>
      <w:marBottom w:val="0"/>
      <w:divBdr>
        <w:top w:val="none" w:sz="0" w:space="0" w:color="auto"/>
        <w:left w:val="none" w:sz="0" w:space="0" w:color="auto"/>
        <w:bottom w:val="none" w:sz="0" w:space="0" w:color="auto"/>
        <w:right w:val="none" w:sz="0" w:space="0" w:color="auto"/>
      </w:divBdr>
    </w:div>
    <w:div w:id="1156993988">
      <w:bodyDiv w:val="1"/>
      <w:marLeft w:val="0"/>
      <w:marRight w:val="0"/>
      <w:marTop w:val="0"/>
      <w:marBottom w:val="0"/>
      <w:divBdr>
        <w:top w:val="none" w:sz="0" w:space="0" w:color="auto"/>
        <w:left w:val="none" w:sz="0" w:space="0" w:color="auto"/>
        <w:bottom w:val="none" w:sz="0" w:space="0" w:color="auto"/>
        <w:right w:val="none" w:sz="0" w:space="0" w:color="auto"/>
      </w:divBdr>
    </w:div>
    <w:div w:id="1156994101">
      <w:bodyDiv w:val="1"/>
      <w:marLeft w:val="0"/>
      <w:marRight w:val="0"/>
      <w:marTop w:val="0"/>
      <w:marBottom w:val="0"/>
      <w:divBdr>
        <w:top w:val="none" w:sz="0" w:space="0" w:color="auto"/>
        <w:left w:val="none" w:sz="0" w:space="0" w:color="auto"/>
        <w:bottom w:val="none" w:sz="0" w:space="0" w:color="auto"/>
        <w:right w:val="none" w:sz="0" w:space="0" w:color="auto"/>
      </w:divBdr>
    </w:div>
    <w:div w:id="1156994726">
      <w:bodyDiv w:val="1"/>
      <w:marLeft w:val="0"/>
      <w:marRight w:val="0"/>
      <w:marTop w:val="0"/>
      <w:marBottom w:val="0"/>
      <w:divBdr>
        <w:top w:val="none" w:sz="0" w:space="0" w:color="auto"/>
        <w:left w:val="none" w:sz="0" w:space="0" w:color="auto"/>
        <w:bottom w:val="none" w:sz="0" w:space="0" w:color="auto"/>
        <w:right w:val="none" w:sz="0" w:space="0" w:color="auto"/>
      </w:divBdr>
    </w:div>
    <w:div w:id="1157259488">
      <w:bodyDiv w:val="1"/>
      <w:marLeft w:val="0"/>
      <w:marRight w:val="0"/>
      <w:marTop w:val="0"/>
      <w:marBottom w:val="0"/>
      <w:divBdr>
        <w:top w:val="none" w:sz="0" w:space="0" w:color="auto"/>
        <w:left w:val="none" w:sz="0" w:space="0" w:color="auto"/>
        <w:bottom w:val="none" w:sz="0" w:space="0" w:color="auto"/>
        <w:right w:val="none" w:sz="0" w:space="0" w:color="auto"/>
      </w:divBdr>
    </w:div>
    <w:div w:id="1157265067">
      <w:bodyDiv w:val="1"/>
      <w:marLeft w:val="0"/>
      <w:marRight w:val="0"/>
      <w:marTop w:val="0"/>
      <w:marBottom w:val="0"/>
      <w:divBdr>
        <w:top w:val="none" w:sz="0" w:space="0" w:color="auto"/>
        <w:left w:val="none" w:sz="0" w:space="0" w:color="auto"/>
        <w:bottom w:val="none" w:sz="0" w:space="0" w:color="auto"/>
        <w:right w:val="none" w:sz="0" w:space="0" w:color="auto"/>
      </w:divBdr>
    </w:div>
    <w:div w:id="1157305820">
      <w:bodyDiv w:val="1"/>
      <w:marLeft w:val="0"/>
      <w:marRight w:val="0"/>
      <w:marTop w:val="0"/>
      <w:marBottom w:val="0"/>
      <w:divBdr>
        <w:top w:val="none" w:sz="0" w:space="0" w:color="auto"/>
        <w:left w:val="none" w:sz="0" w:space="0" w:color="auto"/>
        <w:bottom w:val="none" w:sz="0" w:space="0" w:color="auto"/>
        <w:right w:val="none" w:sz="0" w:space="0" w:color="auto"/>
      </w:divBdr>
    </w:div>
    <w:div w:id="1157497631">
      <w:bodyDiv w:val="1"/>
      <w:marLeft w:val="0"/>
      <w:marRight w:val="0"/>
      <w:marTop w:val="0"/>
      <w:marBottom w:val="0"/>
      <w:divBdr>
        <w:top w:val="none" w:sz="0" w:space="0" w:color="auto"/>
        <w:left w:val="none" w:sz="0" w:space="0" w:color="auto"/>
        <w:bottom w:val="none" w:sz="0" w:space="0" w:color="auto"/>
        <w:right w:val="none" w:sz="0" w:space="0" w:color="auto"/>
      </w:divBdr>
    </w:div>
    <w:div w:id="1157696647">
      <w:bodyDiv w:val="1"/>
      <w:marLeft w:val="0"/>
      <w:marRight w:val="0"/>
      <w:marTop w:val="0"/>
      <w:marBottom w:val="0"/>
      <w:divBdr>
        <w:top w:val="none" w:sz="0" w:space="0" w:color="auto"/>
        <w:left w:val="none" w:sz="0" w:space="0" w:color="auto"/>
        <w:bottom w:val="none" w:sz="0" w:space="0" w:color="auto"/>
        <w:right w:val="none" w:sz="0" w:space="0" w:color="auto"/>
      </w:divBdr>
    </w:div>
    <w:div w:id="1157841499">
      <w:bodyDiv w:val="1"/>
      <w:marLeft w:val="0"/>
      <w:marRight w:val="0"/>
      <w:marTop w:val="0"/>
      <w:marBottom w:val="0"/>
      <w:divBdr>
        <w:top w:val="none" w:sz="0" w:space="0" w:color="auto"/>
        <w:left w:val="none" w:sz="0" w:space="0" w:color="auto"/>
        <w:bottom w:val="none" w:sz="0" w:space="0" w:color="auto"/>
        <w:right w:val="none" w:sz="0" w:space="0" w:color="auto"/>
      </w:divBdr>
    </w:div>
    <w:div w:id="1157916416">
      <w:bodyDiv w:val="1"/>
      <w:marLeft w:val="0"/>
      <w:marRight w:val="0"/>
      <w:marTop w:val="0"/>
      <w:marBottom w:val="0"/>
      <w:divBdr>
        <w:top w:val="none" w:sz="0" w:space="0" w:color="auto"/>
        <w:left w:val="none" w:sz="0" w:space="0" w:color="auto"/>
        <w:bottom w:val="none" w:sz="0" w:space="0" w:color="auto"/>
        <w:right w:val="none" w:sz="0" w:space="0" w:color="auto"/>
      </w:divBdr>
    </w:div>
    <w:div w:id="1157956418">
      <w:bodyDiv w:val="1"/>
      <w:marLeft w:val="0"/>
      <w:marRight w:val="0"/>
      <w:marTop w:val="0"/>
      <w:marBottom w:val="0"/>
      <w:divBdr>
        <w:top w:val="none" w:sz="0" w:space="0" w:color="auto"/>
        <w:left w:val="none" w:sz="0" w:space="0" w:color="auto"/>
        <w:bottom w:val="none" w:sz="0" w:space="0" w:color="auto"/>
        <w:right w:val="none" w:sz="0" w:space="0" w:color="auto"/>
      </w:divBdr>
    </w:div>
    <w:div w:id="1158035128">
      <w:bodyDiv w:val="1"/>
      <w:marLeft w:val="0"/>
      <w:marRight w:val="0"/>
      <w:marTop w:val="0"/>
      <w:marBottom w:val="0"/>
      <w:divBdr>
        <w:top w:val="none" w:sz="0" w:space="0" w:color="auto"/>
        <w:left w:val="none" w:sz="0" w:space="0" w:color="auto"/>
        <w:bottom w:val="none" w:sz="0" w:space="0" w:color="auto"/>
        <w:right w:val="none" w:sz="0" w:space="0" w:color="auto"/>
      </w:divBdr>
    </w:div>
    <w:div w:id="1158035133">
      <w:bodyDiv w:val="1"/>
      <w:marLeft w:val="0"/>
      <w:marRight w:val="0"/>
      <w:marTop w:val="0"/>
      <w:marBottom w:val="0"/>
      <w:divBdr>
        <w:top w:val="none" w:sz="0" w:space="0" w:color="auto"/>
        <w:left w:val="none" w:sz="0" w:space="0" w:color="auto"/>
        <w:bottom w:val="none" w:sz="0" w:space="0" w:color="auto"/>
        <w:right w:val="none" w:sz="0" w:space="0" w:color="auto"/>
      </w:divBdr>
    </w:div>
    <w:div w:id="1158039744">
      <w:bodyDiv w:val="1"/>
      <w:marLeft w:val="0"/>
      <w:marRight w:val="0"/>
      <w:marTop w:val="0"/>
      <w:marBottom w:val="0"/>
      <w:divBdr>
        <w:top w:val="none" w:sz="0" w:space="0" w:color="auto"/>
        <w:left w:val="none" w:sz="0" w:space="0" w:color="auto"/>
        <w:bottom w:val="none" w:sz="0" w:space="0" w:color="auto"/>
        <w:right w:val="none" w:sz="0" w:space="0" w:color="auto"/>
      </w:divBdr>
    </w:div>
    <w:div w:id="1158115554">
      <w:bodyDiv w:val="1"/>
      <w:marLeft w:val="0"/>
      <w:marRight w:val="0"/>
      <w:marTop w:val="0"/>
      <w:marBottom w:val="0"/>
      <w:divBdr>
        <w:top w:val="none" w:sz="0" w:space="0" w:color="auto"/>
        <w:left w:val="none" w:sz="0" w:space="0" w:color="auto"/>
        <w:bottom w:val="none" w:sz="0" w:space="0" w:color="auto"/>
        <w:right w:val="none" w:sz="0" w:space="0" w:color="auto"/>
      </w:divBdr>
    </w:div>
    <w:div w:id="1158381096">
      <w:bodyDiv w:val="1"/>
      <w:marLeft w:val="0"/>
      <w:marRight w:val="0"/>
      <w:marTop w:val="0"/>
      <w:marBottom w:val="0"/>
      <w:divBdr>
        <w:top w:val="none" w:sz="0" w:space="0" w:color="auto"/>
        <w:left w:val="none" w:sz="0" w:space="0" w:color="auto"/>
        <w:bottom w:val="none" w:sz="0" w:space="0" w:color="auto"/>
        <w:right w:val="none" w:sz="0" w:space="0" w:color="auto"/>
      </w:divBdr>
    </w:div>
    <w:div w:id="1158499167">
      <w:bodyDiv w:val="1"/>
      <w:marLeft w:val="0"/>
      <w:marRight w:val="0"/>
      <w:marTop w:val="0"/>
      <w:marBottom w:val="0"/>
      <w:divBdr>
        <w:top w:val="none" w:sz="0" w:space="0" w:color="auto"/>
        <w:left w:val="none" w:sz="0" w:space="0" w:color="auto"/>
        <w:bottom w:val="none" w:sz="0" w:space="0" w:color="auto"/>
        <w:right w:val="none" w:sz="0" w:space="0" w:color="auto"/>
      </w:divBdr>
    </w:div>
    <w:div w:id="1158502855">
      <w:bodyDiv w:val="1"/>
      <w:marLeft w:val="0"/>
      <w:marRight w:val="0"/>
      <w:marTop w:val="0"/>
      <w:marBottom w:val="0"/>
      <w:divBdr>
        <w:top w:val="none" w:sz="0" w:space="0" w:color="auto"/>
        <w:left w:val="none" w:sz="0" w:space="0" w:color="auto"/>
        <w:bottom w:val="none" w:sz="0" w:space="0" w:color="auto"/>
        <w:right w:val="none" w:sz="0" w:space="0" w:color="auto"/>
      </w:divBdr>
    </w:div>
    <w:div w:id="1158616125">
      <w:bodyDiv w:val="1"/>
      <w:marLeft w:val="0"/>
      <w:marRight w:val="0"/>
      <w:marTop w:val="0"/>
      <w:marBottom w:val="0"/>
      <w:divBdr>
        <w:top w:val="none" w:sz="0" w:space="0" w:color="auto"/>
        <w:left w:val="none" w:sz="0" w:space="0" w:color="auto"/>
        <w:bottom w:val="none" w:sz="0" w:space="0" w:color="auto"/>
        <w:right w:val="none" w:sz="0" w:space="0" w:color="auto"/>
      </w:divBdr>
    </w:div>
    <w:div w:id="1158618532">
      <w:bodyDiv w:val="1"/>
      <w:marLeft w:val="0"/>
      <w:marRight w:val="0"/>
      <w:marTop w:val="0"/>
      <w:marBottom w:val="0"/>
      <w:divBdr>
        <w:top w:val="none" w:sz="0" w:space="0" w:color="auto"/>
        <w:left w:val="none" w:sz="0" w:space="0" w:color="auto"/>
        <w:bottom w:val="none" w:sz="0" w:space="0" w:color="auto"/>
        <w:right w:val="none" w:sz="0" w:space="0" w:color="auto"/>
      </w:divBdr>
    </w:div>
    <w:div w:id="1158767535">
      <w:bodyDiv w:val="1"/>
      <w:marLeft w:val="0"/>
      <w:marRight w:val="0"/>
      <w:marTop w:val="0"/>
      <w:marBottom w:val="0"/>
      <w:divBdr>
        <w:top w:val="none" w:sz="0" w:space="0" w:color="auto"/>
        <w:left w:val="none" w:sz="0" w:space="0" w:color="auto"/>
        <w:bottom w:val="none" w:sz="0" w:space="0" w:color="auto"/>
        <w:right w:val="none" w:sz="0" w:space="0" w:color="auto"/>
      </w:divBdr>
    </w:div>
    <w:div w:id="1158888063">
      <w:bodyDiv w:val="1"/>
      <w:marLeft w:val="0"/>
      <w:marRight w:val="0"/>
      <w:marTop w:val="0"/>
      <w:marBottom w:val="0"/>
      <w:divBdr>
        <w:top w:val="none" w:sz="0" w:space="0" w:color="auto"/>
        <w:left w:val="none" w:sz="0" w:space="0" w:color="auto"/>
        <w:bottom w:val="none" w:sz="0" w:space="0" w:color="auto"/>
        <w:right w:val="none" w:sz="0" w:space="0" w:color="auto"/>
      </w:divBdr>
    </w:div>
    <w:div w:id="1158889118">
      <w:bodyDiv w:val="1"/>
      <w:marLeft w:val="0"/>
      <w:marRight w:val="0"/>
      <w:marTop w:val="0"/>
      <w:marBottom w:val="0"/>
      <w:divBdr>
        <w:top w:val="none" w:sz="0" w:space="0" w:color="auto"/>
        <w:left w:val="none" w:sz="0" w:space="0" w:color="auto"/>
        <w:bottom w:val="none" w:sz="0" w:space="0" w:color="auto"/>
        <w:right w:val="none" w:sz="0" w:space="0" w:color="auto"/>
      </w:divBdr>
    </w:div>
    <w:div w:id="1158955286">
      <w:bodyDiv w:val="1"/>
      <w:marLeft w:val="0"/>
      <w:marRight w:val="0"/>
      <w:marTop w:val="0"/>
      <w:marBottom w:val="0"/>
      <w:divBdr>
        <w:top w:val="none" w:sz="0" w:space="0" w:color="auto"/>
        <w:left w:val="none" w:sz="0" w:space="0" w:color="auto"/>
        <w:bottom w:val="none" w:sz="0" w:space="0" w:color="auto"/>
        <w:right w:val="none" w:sz="0" w:space="0" w:color="auto"/>
      </w:divBdr>
    </w:div>
    <w:div w:id="1159075471">
      <w:bodyDiv w:val="1"/>
      <w:marLeft w:val="0"/>
      <w:marRight w:val="0"/>
      <w:marTop w:val="0"/>
      <w:marBottom w:val="0"/>
      <w:divBdr>
        <w:top w:val="none" w:sz="0" w:space="0" w:color="auto"/>
        <w:left w:val="none" w:sz="0" w:space="0" w:color="auto"/>
        <w:bottom w:val="none" w:sz="0" w:space="0" w:color="auto"/>
        <w:right w:val="none" w:sz="0" w:space="0" w:color="auto"/>
      </w:divBdr>
    </w:div>
    <w:div w:id="1159076890">
      <w:bodyDiv w:val="1"/>
      <w:marLeft w:val="0"/>
      <w:marRight w:val="0"/>
      <w:marTop w:val="0"/>
      <w:marBottom w:val="0"/>
      <w:divBdr>
        <w:top w:val="none" w:sz="0" w:space="0" w:color="auto"/>
        <w:left w:val="none" w:sz="0" w:space="0" w:color="auto"/>
        <w:bottom w:val="none" w:sz="0" w:space="0" w:color="auto"/>
        <w:right w:val="none" w:sz="0" w:space="0" w:color="auto"/>
      </w:divBdr>
    </w:div>
    <w:div w:id="1159082554">
      <w:bodyDiv w:val="1"/>
      <w:marLeft w:val="0"/>
      <w:marRight w:val="0"/>
      <w:marTop w:val="0"/>
      <w:marBottom w:val="0"/>
      <w:divBdr>
        <w:top w:val="none" w:sz="0" w:space="0" w:color="auto"/>
        <w:left w:val="none" w:sz="0" w:space="0" w:color="auto"/>
        <w:bottom w:val="none" w:sz="0" w:space="0" w:color="auto"/>
        <w:right w:val="none" w:sz="0" w:space="0" w:color="auto"/>
      </w:divBdr>
    </w:div>
    <w:div w:id="1159227383">
      <w:bodyDiv w:val="1"/>
      <w:marLeft w:val="0"/>
      <w:marRight w:val="0"/>
      <w:marTop w:val="0"/>
      <w:marBottom w:val="0"/>
      <w:divBdr>
        <w:top w:val="none" w:sz="0" w:space="0" w:color="auto"/>
        <w:left w:val="none" w:sz="0" w:space="0" w:color="auto"/>
        <w:bottom w:val="none" w:sz="0" w:space="0" w:color="auto"/>
        <w:right w:val="none" w:sz="0" w:space="0" w:color="auto"/>
      </w:divBdr>
    </w:div>
    <w:div w:id="1159422007">
      <w:bodyDiv w:val="1"/>
      <w:marLeft w:val="0"/>
      <w:marRight w:val="0"/>
      <w:marTop w:val="0"/>
      <w:marBottom w:val="0"/>
      <w:divBdr>
        <w:top w:val="none" w:sz="0" w:space="0" w:color="auto"/>
        <w:left w:val="none" w:sz="0" w:space="0" w:color="auto"/>
        <w:bottom w:val="none" w:sz="0" w:space="0" w:color="auto"/>
        <w:right w:val="none" w:sz="0" w:space="0" w:color="auto"/>
      </w:divBdr>
    </w:div>
    <w:div w:id="1159422889">
      <w:bodyDiv w:val="1"/>
      <w:marLeft w:val="0"/>
      <w:marRight w:val="0"/>
      <w:marTop w:val="0"/>
      <w:marBottom w:val="0"/>
      <w:divBdr>
        <w:top w:val="none" w:sz="0" w:space="0" w:color="auto"/>
        <w:left w:val="none" w:sz="0" w:space="0" w:color="auto"/>
        <w:bottom w:val="none" w:sz="0" w:space="0" w:color="auto"/>
        <w:right w:val="none" w:sz="0" w:space="0" w:color="auto"/>
      </w:divBdr>
    </w:div>
    <w:div w:id="1159543673">
      <w:bodyDiv w:val="1"/>
      <w:marLeft w:val="0"/>
      <w:marRight w:val="0"/>
      <w:marTop w:val="0"/>
      <w:marBottom w:val="0"/>
      <w:divBdr>
        <w:top w:val="none" w:sz="0" w:space="0" w:color="auto"/>
        <w:left w:val="none" w:sz="0" w:space="0" w:color="auto"/>
        <w:bottom w:val="none" w:sz="0" w:space="0" w:color="auto"/>
        <w:right w:val="none" w:sz="0" w:space="0" w:color="auto"/>
      </w:divBdr>
    </w:div>
    <w:div w:id="1159619195">
      <w:bodyDiv w:val="1"/>
      <w:marLeft w:val="0"/>
      <w:marRight w:val="0"/>
      <w:marTop w:val="0"/>
      <w:marBottom w:val="0"/>
      <w:divBdr>
        <w:top w:val="none" w:sz="0" w:space="0" w:color="auto"/>
        <w:left w:val="none" w:sz="0" w:space="0" w:color="auto"/>
        <w:bottom w:val="none" w:sz="0" w:space="0" w:color="auto"/>
        <w:right w:val="none" w:sz="0" w:space="0" w:color="auto"/>
      </w:divBdr>
    </w:div>
    <w:div w:id="1159731662">
      <w:bodyDiv w:val="1"/>
      <w:marLeft w:val="0"/>
      <w:marRight w:val="0"/>
      <w:marTop w:val="0"/>
      <w:marBottom w:val="0"/>
      <w:divBdr>
        <w:top w:val="none" w:sz="0" w:space="0" w:color="auto"/>
        <w:left w:val="none" w:sz="0" w:space="0" w:color="auto"/>
        <w:bottom w:val="none" w:sz="0" w:space="0" w:color="auto"/>
        <w:right w:val="none" w:sz="0" w:space="0" w:color="auto"/>
      </w:divBdr>
    </w:div>
    <w:div w:id="1160122450">
      <w:bodyDiv w:val="1"/>
      <w:marLeft w:val="0"/>
      <w:marRight w:val="0"/>
      <w:marTop w:val="0"/>
      <w:marBottom w:val="0"/>
      <w:divBdr>
        <w:top w:val="none" w:sz="0" w:space="0" w:color="auto"/>
        <w:left w:val="none" w:sz="0" w:space="0" w:color="auto"/>
        <w:bottom w:val="none" w:sz="0" w:space="0" w:color="auto"/>
        <w:right w:val="none" w:sz="0" w:space="0" w:color="auto"/>
      </w:divBdr>
    </w:div>
    <w:div w:id="1160123281">
      <w:bodyDiv w:val="1"/>
      <w:marLeft w:val="0"/>
      <w:marRight w:val="0"/>
      <w:marTop w:val="0"/>
      <w:marBottom w:val="0"/>
      <w:divBdr>
        <w:top w:val="none" w:sz="0" w:space="0" w:color="auto"/>
        <w:left w:val="none" w:sz="0" w:space="0" w:color="auto"/>
        <w:bottom w:val="none" w:sz="0" w:space="0" w:color="auto"/>
        <w:right w:val="none" w:sz="0" w:space="0" w:color="auto"/>
      </w:divBdr>
    </w:div>
    <w:div w:id="1160317411">
      <w:bodyDiv w:val="1"/>
      <w:marLeft w:val="0"/>
      <w:marRight w:val="0"/>
      <w:marTop w:val="0"/>
      <w:marBottom w:val="0"/>
      <w:divBdr>
        <w:top w:val="none" w:sz="0" w:space="0" w:color="auto"/>
        <w:left w:val="none" w:sz="0" w:space="0" w:color="auto"/>
        <w:bottom w:val="none" w:sz="0" w:space="0" w:color="auto"/>
        <w:right w:val="none" w:sz="0" w:space="0" w:color="auto"/>
      </w:divBdr>
    </w:div>
    <w:div w:id="1160342152">
      <w:bodyDiv w:val="1"/>
      <w:marLeft w:val="0"/>
      <w:marRight w:val="0"/>
      <w:marTop w:val="0"/>
      <w:marBottom w:val="0"/>
      <w:divBdr>
        <w:top w:val="none" w:sz="0" w:space="0" w:color="auto"/>
        <w:left w:val="none" w:sz="0" w:space="0" w:color="auto"/>
        <w:bottom w:val="none" w:sz="0" w:space="0" w:color="auto"/>
        <w:right w:val="none" w:sz="0" w:space="0" w:color="auto"/>
      </w:divBdr>
    </w:div>
    <w:div w:id="1160384505">
      <w:bodyDiv w:val="1"/>
      <w:marLeft w:val="0"/>
      <w:marRight w:val="0"/>
      <w:marTop w:val="0"/>
      <w:marBottom w:val="0"/>
      <w:divBdr>
        <w:top w:val="none" w:sz="0" w:space="0" w:color="auto"/>
        <w:left w:val="none" w:sz="0" w:space="0" w:color="auto"/>
        <w:bottom w:val="none" w:sz="0" w:space="0" w:color="auto"/>
        <w:right w:val="none" w:sz="0" w:space="0" w:color="auto"/>
      </w:divBdr>
    </w:div>
    <w:div w:id="1160467984">
      <w:bodyDiv w:val="1"/>
      <w:marLeft w:val="0"/>
      <w:marRight w:val="0"/>
      <w:marTop w:val="0"/>
      <w:marBottom w:val="0"/>
      <w:divBdr>
        <w:top w:val="none" w:sz="0" w:space="0" w:color="auto"/>
        <w:left w:val="none" w:sz="0" w:space="0" w:color="auto"/>
        <w:bottom w:val="none" w:sz="0" w:space="0" w:color="auto"/>
        <w:right w:val="none" w:sz="0" w:space="0" w:color="auto"/>
      </w:divBdr>
    </w:div>
    <w:div w:id="1160543526">
      <w:bodyDiv w:val="1"/>
      <w:marLeft w:val="0"/>
      <w:marRight w:val="0"/>
      <w:marTop w:val="0"/>
      <w:marBottom w:val="0"/>
      <w:divBdr>
        <w:top w:val="none" w:sz="0" w:space="0" w:color="auto"/>
        <w:left w:val="none" w:sz="0" w:space="0" w:color="auto"/>
        <w:bottom w:val="none" w:sz="0" w:space="0" w:color="auto"/>
        <w:right w:val="none" w:sz="0" w:space="0" w:color="auto"/>
      </w:divBdr>
    </w:div>
    <w:div w:id="1160577688">
      <w:bodyDiv w:val="1"/>
      <w:marLeft w:val="0"/>
      <w:marRight w:val="0"/>
      <w:marTop w:val="0"/>
      <w:marBottom w:val="0"/>
      <w:divBdr>
        <w:top w:val="none" w:sz="0" w:space="0" w:color="auto"/>
        <w:left w:val="none" w:sz="0" w:space="0" w:color="auto"/>
        <w:bottom w:val="none" w:sz="0" w:space="0" w:color="auto"/>
        <w:right w:val="none" w:sz="0" w:space="0" w:color="auto"/>
      </w:divBdr>
    </w:div>
    <w:div w:id="1160652370">
      <w:bodyDiv w:val="1"/>
      <w:marLeft w:val="0"/>
      <w:marRight w:val="0"/>
      <w:marTop w:val="0"/>
      <w:marBottom w:val="0"/>
      <w:divBdr>
        <w:top w:val="none" w:sz="0" w:space="0" w:color="auto"/>
        <w:left w:val="none" w:sz="0" w:space="0" w:color="auto"/>
        <w:bottom w:val="none" w:sz="0" w:space="0" w:color="auto"/>
        <w:right w:val="none" w:sz="0" w:space="0" w:color="auto"/>
      </w:divBdr>
    </w:div>
    <w:div w:id="1160660729">
      <w:bodyDiv w:val="1"/>
      <w:marLeft w:val="0"/>
      <w:marRight w:val="0"/>
      <w:marTop w:val="0"/>
      <w:marBottom w:val="0"/>
      <w:divBdr>
        <w:top w:val="none" w:sz="0" w:space="0" w:color="auto"/>
        <w:left w:val="none" w:sz="0" w:space="0" w:color="auto"/>
        <w:bottom w:val="none" w:sz="0" w:space="0" w:color="auto"/>
        <w:right w:val="none" w:sz="0" w:space="0" w:color="auto"/>
      </w:divBdr>
    </w:div>
    <w:div w:id="1160776979">
      <w:bodyDiv w:val="1"/>
      <w:marLeft w:val="0"/>
      <w:marRight w:val="0"/>
      <w:marTop w:val="0"/>
      <w:marBottom w:val="0"/>
      <w:divBdr>
        <w:top w:val="none" w:sz="0" w:space="0" w:color="auto"/>
        <w:left w:val="none" w:sz="0" w:space="0" w:color="auto"/>
        <w:bottom w:val="none" w:sz="0" w:space="0" w:color="auto"/>
        <w:right w:val="none" w:sz="0" w:space="0" w:color="auto"/>
      </w:divBdr>
    </w:div>
    <w:div w:id="1160922695">
      <w:bodyDiv w:val="1"/>
      <w:marLeft w:val="0"/>
      <w:marRight w:val="0"/>
      <w:marTop w:val="0"/>
      <w:marBottom w:val="0"/>
      <w:divBdr>
        <w:top w:val="none" w:sz="0" w:space="0" w:color="auto"/>
        <w:left w:val="none" w:sz="0" w:space="0" w:color="auto"/>
        <w:bottom w:val="none" w:sz="0" w:space="0" w:color="auto"/>
        <w:right w:val="none" w:sz="0" w:space="0" w:color="auto"/>
      </w:divBdr>
    </w:div>
    <w:div w:id="1160923001">
      <w:bodyDiv w:val="1"/>
      <w:marLeft w:val="0"/>
      <w:marRight w:val="0"/>
      <w:marTop w:val="0"/>
      <w:marBottom w:val="0"/>
      <w:divBdr>
        <w:top w:val="none" w:sz="0" w:space="0" w:color="auto"/>
        <w:left w:val="none" w:sz="0" w:space="0" w:color="auto"/>
        <w:bottom w:val="none" w:sz="0" w:space="0" w:color="auto"/>
        <w:right w:val="none" w:sz="0" w:space="0" w:color="auto"/>
      </w:divBdr>
    </w:div>
    <w:div w:id="1161038981">
      <w:bodyDiv w:val="1"/>
      <w:marLeft w:val="0"/>
      <w:marRight w:val="0"/>
      <w:marTop w:val="0"/>
      <w:marBottom w:val="0"/>
      <w:divBdr>
        <w:top w:val="none" w:sz="0" w:space="0" w:color="auto"/>
        <w:left w:val="none" w:sz="0" w:space="0" w:color="auto"/>
        <w:bottom w:val="none" w:sz="0" w:space="0" w:color="auto"/>
        <w:right w:val="none" w:sz="0" w:space="0" w:color="auto"/>
      </w:divBdr>
    </w:div>
    <w:div w:id="1161192479">
      <w:bodyDiv w:val="1"/>
      <w:marLeft w:val="0"/>
      <w:marRight w:val="0"/>
      <w:marTop w:val="0"/>
      <w:marBottom w:val="0"/>
      <w:divBdr>
        <w:top w:val="none" w:sz="0" w:space="0" w:color="auto"/>
        <w:left w:val="none" w:sz="0" w:space="0" w:color="auto"/>
        <w:bottom w:val="none" w:sz="0" w:space="0" w:color="auto"/>
        <w:right w:val="none" w:sz="0" w:space="0" w:color="auto"/>
      </w:divBdr>
    </w:div>
    <w:div w:id="1161196410">
      <w:bodyDiv w:val="1"/>
      <w:marLeft w:val="0"/>
      <w:marRight w:val="0"/>
      <w:marTop w:val="0"/>
      <w:marBottom w:val="0"/>
      <w:divBdr>
        <w:top w:val="none" w:sz="0" w:space="0" w:color="auto"/>
        <w:left w:val="none" w:sz="0" w:space="0" w:color="auto"/>
        <w:bottom w:val="none" w:sz="0" w:space="0" w:color="auto"/>
        <w:right w:val="none" w:sz="0" w:space="0" w:color="auto"/>
      </w:divBdr>
    </w:div>
    <w:div w:id="1161197368">
      <w:bodyDiv w:val="1"/>
      <w:marLeft w:val="0"/>
      <w:marRight w:val="0"/>
      <w:marTop w:val="0"/>
      <w:marBottom w:val="0"/>
      <w:divBdr>
        <w:top w:val="none" w:sz="0" w:space="0" w:color="auto"/>
        <w:left w:val="none" w:sz="0" w:space="0" w:color="auto"/>
        <w:bottom w:val="none" w:sz="0" w:space="0" w:color="auto"/>
        <w:right w:val="none" w:sz="0" w:space="0" w:color="auto"/>
      </w:divBdr>
    </w:div>
    <w:div w:id="1161241526">
      <w:bodyDiv w:val="1"/>
      <w:marLeft w:val="0"/>
      <w:marRight w:val="0"/>
      <w:marTop w:val="0"/>
      <w:marBottom w:val="0"/>
      <w:divBdr>
        <w:top w:val="none" w:sz="0" w:space="0" w:color="auto"/>
        <w:left w:val="none" w:sz="0" w:space="0" w:color="auto"/>
        <w:bottom w:val="none" w:sz="0" w:space="0" w:color="auto"/>
        <w:right w:val="none" w:sz="0" w:space="0" w:color="auto"/>
      </w:divBdr>
    </w:div>
    <w:div w:id="1161313515">
      <w:bodyDiv w:val="1"/>
      <w:marLeft w:val="0"/>
      <w:marRight w:val="0"/>
      <w:marTop w:val="0"/>
      <w:marBottom w:val="0"/>
      <w:divBdr>
        <w:top w:val="none" w:sz="0" w:space="0" w:color="auto"/>
        <w:left w:val="none" w:sz="0" w:space="0" w:color="auto"/>
        <w:bottom w:val="none" w:sz="0" w:space="0" w:color="auto"/>
        <w:right w:val="none" w:sz="0" w:space="0" w:color="auto"/>
      </w:divBdr>
    </w:div>
    <w:div w:id="1161315835">
      <w:bodyDiv w:val="1"/>
      <w:marLeft w:val="0"/>
      <w:marRight w:val="0"/>
      <w:marTop w:val="0"/>
      <w:marBottom w:val="0"/>
      <w:divBdr>
        <w:top w:val="none" w:sz="0" w:space="0" w:color="auto"/>
        <w:left w:val="none" w:sz="0" w:space="0" w:color="auto"/>
        <w:bottom w:val="none" w:sz="0" w:space="0" w:color="auto"/>
        <w:right w:val="none" w:sz="0" w:space="0" w:color="auto"/>
      </w:divBdr>
    </w:div>
    <w:div w:id="1161432495">
      <w:bodyDiv w:val="1"/>
      <w:marLeft w:val="0"/>
      <w:marRight w:val="0"/>
      <w:marTop w:val="0"/>
      <w:marBottom w:val="0"/>
      <w:divBdr>
        <w:top w:val="none" w:sz="0" w:space="0" w:color="auto"/>
        <w:left w:val="none" w:sz="0" w:space="0" w:color="auto"/>
        <w:bottom w:val="none" w:sz="0" w:space="0" w:color="auto"/>
        <w:right w:val="none" w:sz="0" w:space="0" w:color="auto"/>
      </w:divBdr>
    </w:div>
    <w:div w:id="1161433905">
      <w:bodyDiv w:val="1"/>
      <w:marLeft w:val="0"/>
      <w:marRight w:val="0"/>
      <w:marTop w:val="0"/>
      <w:marBottom w:val="0"/>
      <w:divBdr>
        <w:top w:val="none" w:sz="0" w:space="0" w:color="auto"/>
        <w:left w:val="none" w:sz="0" w:space="0" w:color="auto"/>
        <w:bottom w:val="none" w:sz="0" w:space="0" w:color="auto"/>
        <w:right w:val="none" w:sz="0" w:space="0" w:color="auto"/>
      </w:divBdr>
    </w:div>
    <w:div w:id="1161582225">
      <w:bodyDiv w:val="1"/>
      <w:marLeft w:val="0"/>
      <w:marRight w:val="0"/>
      <w:marTop w:val="0"/>
      <w:marBottom w:val="0"/>
      <w:divBdr>
        <w:top w:val="none" w:sz="0" w:space="0" w:color="auto"/>
        <w:left w:val="none" w:sz="0" w:space="0" w:color="auto"/>
        <w:bottom w:val="none" w:sz="0" w:space="0" w:color="auto"/>
        <w:right w:val="none" w:sz="0" w:space="0" w:color="auto"/>
      </w:divBdr>
    </w:div>
    <w:div w:id="1161770537">
      <w:bodyDiv w:val="1"/>
      <w:marLeft w:val="0"/>
      <w:marRight w:val="0"/>
      <w:marTop w:val="0"/>
      <w:marBottom w:val="0"/>
      <w:divBdr>
        <w:top w:val="none" w:sz="0" w:space="0" w:color="auto"/>
        <w:left w:val="none" w:sz="0" w:space="0" w:color="auto"/>
        <w:bottom w:val="none" w:sz="0" w:space="0" w:color="auto"/>
        <w:right w:val="none" w:sz="0" w:space="0" w:color="auto"/>
      </w:divBdr>
    </w:div>
    <w:div w:id="1161849978">
      <w:bodyDiv w:val="1"/>
      <w:marLeft w:val="0"/>
      <w:marRight w:val="0"/>
      <w:marTop w:val="0"/>
      <w:marBottom w:val="0"/>
      <w:divBdr>
        <w:top w:val="none" w:sz="0" w:space="0" w:color="auto"/>
        <w:left w:val="none" w:sz="0" w:space="0" w:color="auto"/>
        <w:bottom w:val="none" w:sz="0" w:space="0" w:color="auto"/>
        <w:right w:val="none" w:sz="0" w:space="0" w:color="auto"/>
      </w:divBdr>
    </w:div>
    <w:div w:id="1161969531">
      <w:bodyDiv w:val="1"/>
      <w:marLeft w:val="0"/>
      <w:marRight w:val="0"/>
      <w:marTop w:val="0"/>
      <w:marBottom w:val="0"/>
      <w:divBdr>
        <w:top w:val="none" w:sz="0" w:space="0" w:color="auto"/>
        <w:left w:val="none" w:sz="0" w:space="0" w:color="auto"/>
        <w:bottom w:val="none" w:sz="0" w:space="0" w:color="auto"/>
        <w:right w:val="none" w:sz="0" w:space="0" w:color="auto"/>
      </w:divBdr>
    </w:div>
    <w:div w:id="1161972482">
      <w:bodyDiv w:val="1"/>
      <w:marLeft w:val="0"/>
      <w:marRight w:val="0"/>
      <w:marTop w:val="0"/>
      <w:marBottom w:val="0"/>
      <w:divBdr>
        <w:top w:val="none" w:sz="0" w:space="0" w:color="auto"/>
        <w:left w:val="none" w:sz="0" w:space="0" w:color="auto"/>
        <w:bottom w:val="none" w:sz="0" w:space="0" w:color="auto"/>
        <w:right w:val="none" w:sz="0" w:space="0" w:color="auto"/>
      </w:divBdr>
    </w:div>
    <w:div w:id="1162086648">
      <w:bodyDiv w:val="1"/>
      <w:marLeft w:val="0"/>
      <w:marRight w:val="0"/>
      <w:marTop w:val="0"/>
      <w:marBottom w:val="0"/>
      <w:divBdr>
        <w:top w:val="none" w:sz="0" w:space="0" w:color="auto"/>
        <w:left w:val="none" w:sz="0" w:space="0" w:color="auto"/>
        <w:bottom w:val="none" w:sz="0" w:space="0" w:color="auto"/>
        <w:right w:val="none" w:sz="0" w:space="0" w:color="auto"/>
      </w:divBdr>
    </w:div>
    <w:div w:id="1162087173">
      <w:bodyDiv w:val="1"/>
      <w:marLeft w:val="0"/>
      <w:marRight w:val="0"/>
      <w:marTop w:val="0"/>
      <w:marBottom w:val="0"/>
      <w:divBdr>
        <w:top w:val="none" w:sz="0" w:space="0" w:color="auto"/>
        <w:left w:val="none" w:sz="0" w:space="0" w:color="auto"/>
        <w:bottom w:val="none" w:sz="0" w:space="0" w:color="auto"/>
        <w:right w:val="none" w:sz="0" w:space="0" w:color="auto"/>
      </w:divBdr>
    </w:div>
    <w:div w:id="1162231803">
      <w:bodyDiv w:val="1"/>
      <w:marLeft w:val="0"/>
      <w:marRight w:val="0"/>
      <w:marTop w:val="0"/>
      <w:marBottom w:val="0"/>
      <w:divBdr>
        <w:top w:val="none" w:sz="0" w:space="0" w:color="auto"/>
        <w:left w:val="none" w:sz="0" w:space="0" w:color="auto"/>
        <w:bottom w:val="none" w:sz="0" w:space="0" w:color="auto"/>
        <w:right w:val="none" w:sz="0" w:space="0" w:color="auto"/>
      </w:divBdr>
    </w:div>
    <w:div w:id="1162241057">
      <w:bodyDiv w:val="1"/>
      <w:marLeft w:val="0"/>
      <w:marRight w:val="0"/>
      <w:marTop w:val="0"/>
      <w:marBottom w:val="0"/>
      <w:divBdr>
        <w:top w:val="none" w:sz="0" w:space="0" w:color="auto"/>
        <w:left w:val="none" w:sz="0" w:space="0" w:color="auto"/>
        <w:bottom w:val="none" w:sz="0" w:space="0" w:color="auto"/>
        <w:right w:val="none" w:sz="0" w:space="0" w:color="auto"/>
      </w:divBdr>
    </w:div>
    <w:div w:id="1162349877">
      <w:bodyDiv w:val="1"/>
      <w:marLeft w:val="0"/>
      <w:marRight w:val="0"/>
      <w:marTop w:val="0"/>
      <w:marBottom w:val="0"/>
      <w:divBdr>
        <w:top w:val="none" w:sz="0" w:space="0" w:color="auto"/>
        <w:left w:val="none" w:sz="0" w:space="0" w:color="auto"/>
        <w:bottom w:val="none" w:sz="0" w:space="0" w:color="auto"/>
        <w:right w:val="none" w:sz="0" w:space="0" w:color="auto"/>
      </w:divBdr>
    </w:div>
    <w:div w:id="1162426591">
      <w:bodyDiv w:val="1"/>
      <w:marLeft w:val="0"/>
      <w:marRight w:val="0"/>
      <w:marTop w:val="0"/>
      <w:marBottom w:val="0"/>
      <w:divBdr>
        <w:top w:val="none" w:sz="0" w:space="0" w:color="auto"/>
        <w:left w:val="none" w:sz="0" w:space="0" w:color="auto"/>
        <w:bottom w:val="none" w:sz="0" w:space="0" w:color="auto"/>
        <w:right w:val="none" w:sz="0" w:space="0" w:color="auto"/>
      </w:divBdr>
    </w:div>
    <w:div w:id="1162544302">
      <w:bodyDiv w:val="1"/>
      <w:marLeft w:val="0"/>
      <w:marRight w:val="0"/>
      <w:marTop w:val="0"/>
      <w:marBottom w:val="0"/>
      <w:divBdr>
        <w:top w:val="none" w:sz="0" w:space="0" w:color="auto"/>
        <w:left w:val="none" w:sz="0" w:space="0" w:color="auto"/>
        <w:bottom w:val="none" w:sz="0" w:space="0" w:color="auto"/>
        <w:right w:val="none" w:sz="0" w:space="0" w:color="auto"/>
      </w:divBdr>
    </w:div>
    <w:div w:id="1162544484">
      <w:bodyDiv w:val="1"/>
      <w:marLeft w:val="0"/>
      <w:marRight w:val="0"/>
      <w:marTop w:val="0"/>
      <w:marBottom w:val="0"/>
      <w:divBdr>
        <w:top w:val="none" w:sz="0" w:space="0" w:color="auto"/>
        <w:left w:val="none" w:sz="0" w:space="0" w:color="auto"/>
        <w:bottom w:val="none" w:sz="0" w:space="0" w:color="auto"/>
        <w:right w:val="none" w:sz="0" w:space="0" w:color="auto"/>
      </w:divBdr>
    </w:div>
    <w:div w:id="1162695961">
      <w:bodyDiv w:val="1"/>
      <w:marLeft w:val="0"/>
      <w:marRight w:val="0"/>
      <w:marTop w:val="0"/>
      <w:marBottom w:val="0"/>
      <w:divBdr>
        <w:top w:val="none" w:sz="0" w:space="0" w:color="auto"/>
        <w:left w:val="none" w:sz="0" w:space="0" w:color="auto"/>
        <w:bottom w:val="none" w:sz="0" w:space="0" w:color="auto"/>
        <w:right w:val="none" w:sz="0" w:space="0" w:color="auto"/>
      </w:divBdr>
    </w:div>
    <w:div w:id="1162819387">
      <w:bodyDiv w:val="1"/>
      <w:marLeft w:val="0"/>
      <w:marRight w:val="0"/>
      <w:marTop w:val="0"/>
      <w:marBottom w:val="0"/>
      <w:divBdr>
        <w:top w:val="none" w:sz="0" w:space="0" w:color="auto"/>
        <w:left w:val="none" w:sz="0" w:space="0" w:color="auto"/>
        <w:bottom w:val="none" w:sz="0" w:space="0" w:color="auto"/>
        <w:right w:val="none" w:sz="0" w:space="0" w:color="auto"/>
      </w:divBdr>
    </w:div>
    <w:div w:id="1162896077">
      <w:bodyDiv w:val="1"/>
      <w:marLeft w:val="0"/>
      <w:marRight w:val="0"/>
      <w:marTop w:val="0"/>
      <w:marBottom w:val="0"/>
      <w:divBdr>
        <w:top w:val="none" w:sz="0" w:space="0" w:color="auto"/>
        <w:left w:val="none" w:sz="0" w:space="0" w:color="auto"/>
        <w:bottom w:val="none" w:sz="0" w:space="0" w:color="auto"/>
        <w:right w:val="none" w:sz="0" w:space="0" w:color="auto"/>
      </w:divBdr>
    </w:div>
    <w:div w:id="1163008899">
      <w:bodyDiv w:val="1"/>
      <w:marLeft w:val="0"/>
      <w:marRight w:val="0"/>
      <w:marTop w:val="0"/>
      <w:marBottom w:val="0"/>
      <w:divBdr>
        <w:top w:val="none" w:sz="0" w:space="0" w:color="auto"/>
        <w:left w:val="none" w:sz="0" w:space="0" w:color="auto"/>
        <w:bottom w:val="none" w:sz="0" w:space="0" w:color="auto"/>
        <w:right w:val="none" w:sz="0" w:space="0" w:color="auto"/>
      </w:divBdr>
    </w:div>
    <w:div w:id="1163083988">
      <w:bodyDiv w:val="1"/>
      <w:marLeft w:val="0"/>
      <w:marRight w:val="0"/>
      <w:marTop w:val="0"/>
      <w:marBottom w:val="0"/>
      <w:divBdr>
        <w:top w:val="none" w:sz="0" w:space="0" w:color="auto"/>
        <w:left w:val="none" w:sz="0" w:space="0" w:color="auto"/>
        <w:bottom w:val="none" w:sz="0" w:space="0" w:color="auto"/>
        <w:right w:val="none" w:sz="0" w:space="0" w:color="auto"/>
      </w:divBdr>
    </w:div>
    <w:div w:id="1163204793">
      <w:bodyDiv w:val="1"/>
      <w:marLeft w:val="0"/>
      <w:marRight w:val="0"/>
      <w:marTop w:val="0"/>
      <w:marBottom w:val="0"/>
      <w:divBdr>
        <w:top w:val="none" w:sz="0" w:space="0" w:color="auto"/>
        <w:left w:val="none" w:sz="0" w:space="0" w:color="auto"/>
        <w:bottom w:val="none" w:sz="0" w:space="0" w:color="auto"/>
        <w:right w:val="none" w:sz="0" w:space="0" w:color="auto"/>
      </w:divBdr>
    </w:div>
    <w:div w:id="1163349538">
      <w:bodyDiv w:val="1"/>
      <w:marLeft w:val="0"/>
      <w:marRight w:val="0"/>
      <w:marTop w:val="0"/>
      <w:marBottom w:val="0"/>
      <w:divBdr>
        <w:top w:val="none" w:sz="0" w:space="0" w:color="auto"/>
        <w:left w:val="none" w:sz="0" w:space="0" w:color="auto"/>
        <w:bottom w:val="none" w:sz="0" w:space="0" w:color="auto"/>
        <w:right w:val="none" w:sz="0" w:space="0" w:color="auto"/>
      </w:divBdr>
    </w:div>
    <w:div w:id="1163357140">
      <w:bodyDiv w:val="1"/>
      <w:marLeft w:val="0"/>
      <w:marRight w:val="0"/>
      <w:marTop w:val="0"/>
      <w:marBottom w:val="0"/>
      <w:divBdr>
        <w:top w:val="none" w:sz="0" w:space="0" w:color="auto"/>
        <w:left w:val="none" w:sz="0" w:space="0" w:color="auto"/>
        <w:bottom w:val="none" w:sz="0" w:space="0" w:color="auto"/>
        <w:right w:val="none" w:sz="0" w:space="0" w:color="auto"/>
      </w:divBdr>
    </w:div>
    <w:div w:id="1163400899">
      <w:bodyDiv w:val="1"/>
      <w:marLeft w:val="0"/>
      <w:marRight w:val="0"/>
      <w:marTop w:val="0"/>
      <w:marBottom w:val="0"/>
      <w:divBdr>
        <w:top w:val="none" w:sz="0" w:space="0" w:color="auto"/>
        <w:left w:val="none" w:sz="0" w:space="0" w:color="auto"/>
        <w:bottom w:val="none" w:sz="0" w:space="0" w:color="auto"/>
        <w:right w:val="none" w:sz="0" w:space="0" w:color="auto"/>
      </w:divBdr>
    </w:div>
    <w:div w:id="1163619576">
      <w:bodyDiv w:val="1"/>
      <w:marLeft w:val="0"/>
      <w:marRight w:val="0"/>
      <w:marTop w:val="0"/>
      <w:marBottom w:val="0"/>
      <w:divBdr>
        <w:top w:val="none" w:sz="0" w:space="0" w:color="auto"/>
        <w:left w:val="none" w:sz="0" w:space="0" w:color="auto"/>
        <w:bottom w:val="none" w:sz="0" w:space="0" w:color="auto"/>
        <w:right w:val="none" w:sz="0" w:space="0" w:color="auto"/>
      </w:divBdr>
    </w:div>
    <w:div w:id="1163661664">
      <w:bodyDiv w:val="1"/>
      <w:marLeft w:val="0"/>
      <w:marRight w:val="0"/>
      <w:marTop w:val="0"/>
      <w:marBottom w:val="0"/>
      <w:divBdr>
        <w:top w:val="none" w:sz="0" w:space="0" w:color="auto"/>
        <w:left w:val="none" w:sz="0" w:space="0" w:color="auto"/>
        <w:bottom w:val="none" w:sz="0" w:space="0" w:color="auto"/>
        <w:right w:val="none" w:sz="0" w:space="0" w:color="auto"/>
      </w:divBdr>
    </w:div>
    <w:div w:id="1163934486">
      <w:bodyDiv w:val="1"/>
      <w:marLeft w:val="0"/>
      <w:marRight w:val="0"/>
      <w:marTop w:val="0"/>
      <w:marBottom w:val="0"/>
      <w:divBdr>
        <w:top w:val="none" w:sz="0" w:space="0" w:color="auto"/>
        <w:left w:val="none" w:sz="0" w:space="0" w:color="auto"/>
        <w:bottom w:val="none" w:sz="0" w:space="0" w:color="auto"/>
        <w:right w:val="none" w:sz="0" w:space="0" w:color="auto"/>
      </w:divBdr>
    </w:div>
    <w:div w:id="1164122070">
      <w:bodyDiv w:val="1"/>
      <w:marLeft w:val="0"/>
      <w:marRight w:val="0"/>
      <w:marTop w:val="0"/>
      <w:marBottom w:val="0"/>
      <w:divBdr>
        <w:top w:val="none" w:sz="0" w:space="0" w:color="auto"/>
        <w:left w:val="none" w:sz="0" w:space="0" w:color="auto"/>
        <w:bottom w:val="none" w:sz="0" w:space="0" w:color="auto"/>
        <w:right w:val="none" w:sz="0" w:space="0" w:color="auto"/>
      </w:divBdr>
    </w:div>
    <w:div w:id="1164127470">
      <w:bodyDiv w:val="1"/>
      <w:marLeft w:val="0"/>
      <w:marRight w:val="0"/>
      <w:marTop w:val="0"/>
      <w:marBottom w:val="0"/>
      <w:divBdr>
        <w:top w:val="none" w:sz="0" w:space="0" w:color="auto"/>
        <w:left w:val="none" w:sz="0" w:space="0" w:color="auto"/>
        <w:bottom w:val="none" w:sz="0" w:space="0" w:color="auto"/>
        <w:right w:val="none" w:sz="0" w:space="0" w:color="auto"/>
      </w:divBdr>
    </w:div>
    <w:div w:id="1164276141">
      <w:bodyDiv w:val="1"/>
      <w:marLeft w:val="0"/>
      <w:marRight w:val="0"/>
      <w:marTop w:val="0"/>
      <w:marBottom w:val="0"/>
      <w:divBdr>
        <w:top w:val="none" w:sz="0" w:space="0" w:color="auto"/>
        <w:left w:val="none" w:sz="0" w:space="0" w:color="auto"/>
        <w:bottom w:val="none" w:sz="0" w:space="0" w:color="auto"/>
        <w:right w:val="none" w:sz="0" w:space="0" w:color="auto"/>
      </w:divBdr>
    </w:div>
    <w:div w:id="1164392432">
      <w:bodyDiv w:val="1"/>
      <w:marLeft w:val="0"/>
      <w:marRight w:val="0"/>
      <w:marTop w:val="0"/>
      <w:marBottom w:val="0"/>
      <w:divBdr>
        <w:top w:val="none" w:sz="0" w:space="0" w:color="auto"/>
        <w:left w:val="none" w:sz="0" w:space="0" w:color="auto"/>
        <w:bottom w:val="none" w:sz="0" w:space="0" w:color="auto"/>
        <w:right w:val="none" w:sz="0" w:space="0" w:color="auto"/>
      </w:divBdr>
    </w:div>
    <w:div w:id="1164394307">
      <w:bodyDiv w:val="1"/>
      <w:marLeft w:val="0"/>
      <w:marRight w:val="0"/>
      <w:marTop w:val="0"/>
      <w:marBottom w:val="0"/>
      <w:divBdr>
        <w:top w:val="none" w:sz="0" w:space="0" w:color="auto"/>
        <w:left w:val="none" w:sz="0" w:space="0" w:color="auto"/>
        <w:bottom w:val="none" w:sz="0" w:space="0" w:color="auto"/>
        <w:right w:val="none" w:sz="0" w:space="0" w:color="auto"/>
      </w:divBdr>
    </w:div>
    <w:div w:id="1164470950">
      <w:bodyDiv w:val="1"/>
      <w:marLeft w:val="0"/>
      <w:marRight w:val="0"/>
      <w:marTop w:val="0"/>
      <w:marBottom w:val="0"/>
      <w:divBdr>
        <w:top w:val="none" w:sz="0" w:space="0" w:color="auto"/>
        <w:left w:val="none" w:sz="0" w:space="0" w:color="auto"/>
        <w:bottom w:val="none" w:sz="0" w:space="0" w:color="auto"/>
        <w:right w:val="none" w:sz="0" w:space="0" w:color="auto"/>
      </w:divBdr>
    </w:div>
    <w:div w:id="1164516016">
      <w:bodyDiv w:val="1"/>
      <w:marLeft w:val="0"/>
      <w:marRight w:val="0"/>
      <w:marTop w:val="0"/>
      <w:marBottom w:val="0"/>
      <w:divBdr>
        <w:top w:val="none" w:sz="0" w:space="0" w:color="auto"/>
        <w:left w:val="none" w:sz="0" w:space="0" w:color="auto"/>
        <w:bottom w:val="none" w:sz="0" w:space="0" w:color="auto"/>
        <w:right w:val="none" w:sz="0" w:space="0" w:color="auto"/>
      </w:divBdr>
    </w:div>
    <w:div w:id="1164585679">
      <w:bodyDiv w:val="1"/>
      <w:marLeft w:val="0"/>
      <w:marRight w:val="0"/>
      <w:marTop w:val="0"/>
      <w:marBottom w:val="0"/>
      <w:divBdr>
        <w:top w:val="none" w:sz="0" w:space="0" w:color="auto"/>
        <w:left w:val="none" w:sz="0" w:space="0" w:color="auto"/>
        <w:bottom w:val="none" w:sz="0" w:space="0" w:color="auto"/>
        <w:right w:val="none" w:sz="0" w:space="0" w:color="auto"/>
      </w:divBdr>
    </w:div>
    <w:div w:id="1164663989">
      <w:bodyDiv w:val="1"/>
      <w:marLeft w:val="0"/>
      <w:marRight w:val="0"/>
      <w:marTop w:val="0"/>
      <w:marBottom w:val="0"/>
      <w:divBdr>
        <w:top w:val="none" w:sz="0" w:space="0" w:color="auto"/>
        <w:left w:val="none" w:sz="0" w:space="0" w:color="auto"/>
        <w:bottom w:val="none" w:sz="0" w:space="0" w:color="auto"/>
        <w:right w:val="none" w:sz="0" w:space="0" w:color="auto"/>
      </w:divBdr>
    </w:div>
    <w:div w:id="1164859743">
      <w:bodyDiv w:val="1"/>
      <w:marLeft w:val="0"/>
      <w:marRight w:val="0"/>
      <w:marTop w:val="0"/>
      <w:marBottom w:val="0"/>
      <w:divBdr>
        <w:top w:val="none" w:sz="0" w:space="0" w:color="auto"/>
        <w:left w:val="none" w:sz="0" w:space="0" w:color="auto"/>
        <w:bottom w:val="none" w:sz="0" w:space="0" w:color="auto"/>
        <w:right w:val="none" w:sz="0" w:space="0" w:color="auto"/>
      </w:divBdr>
    </w:div>
    <w:div w:id="1164977162">
      <w:bodyDiv w:val="1"/>
      <w:marLeft w:val="0"/>
      <w:marRight w:val="0"/>
      <w:marTop w:val="0"/>
      <w:marBottom w:val="0"/>
      <w:divBdr>
        <w:top w:val="none" w:sz="0" w:space="0" w:color="auto"/>
        <w:left w:val="none" w:sz="0" w:space="0" w:color="auto"/>
        <w:bottom w:val="none" w:sz="0" w:space="0" w:color="auto"/>
        <w:right w:val="none" w:sz="0" w:space="0" w:color="auto"/>
      </w:divBdr>
    </w:div>
    <w:div w:id="1165123555">
      <w:bodyDiv w:val="1"/>
      <w:marLeft w:val="0"/>
      <w:marRight w:val="0"/>
      <w:marTop w:val="0"/>
      <w:marBottom w:val="0"/>
      <w:divBdr>
        <w:top w:val="none" w:sz="0" w:space="0" w:color="auto"/>
        <w:left w:val="none" w:sz="0" w:space="0" w:color="auto"/>
        <w:bottom w:val="none" w:sz="0" w:space="0" w:color="auto"/>
        <w:right w:val="none" w:sz="0" w:space="0" w:color="auto"/>
      </w:divBdr>
    </w:div>
    <w:div w:id="1165169021">
      <w:bodyDiv w:val="1"/>
      <w:marLeft w:val="0"/>
      <w:marRight w:val="0"/>
      <w:marTop w:val="0"/>
      <w:marBottom w:val="0"/>
      <w:divBdr>
        <w:top w:val="none" w:sz="0" w:space="0" w:color="auto"/>
        <w:left w:val="none" w:sz="0" w:space="0" w:color="auto"/>
        <w:bottom w:val="none" w:sz="0" w:space="0" w:color="auto"/>
        <w:right w:val="none" w:sz="0" w:space="0" w:color="auto"/>
      </w:divBdr>
    </w:div>
    <w:div w:id="1165171765">
      <w:bodyDiv w:val="1"/>
      <w:marLeft w:val="0"/>
      <w:marRight w:val="0"/>
      <w:marTop w:val="0"/>
      <w:marBottom w:val="0"/>
      <w:divBdr>
        <w:top w:val="none" w:sz="0" w:space="0" w:color="auto"/>
        <w:left w:val="none" w:sz="0" w:space="0" w:color="auto"/>
        <w:bottom w:val="none" w:sz="0" w:space="0" w:color="auto"/>
        <w:right w:val="none" w:sz="0" w:space="0" w:color="auto"/>
      </w:divBdr>
    </w:div>
    <w:div w:id="1165391546">
      <w:bodyDiv w:val="1"/>
      <w:marLeft w:val="0"/>
      <w:marRight w:val="0"/>
      <w:marTop w:val="0"/>
      <w:marBottom w:val="0"/>
      <w:divBdr>
        <w:top w:val="none" w:sz="0" w:space="0" w:color="auto"/>
        <w:left w:val="none" w:sz="0" w:space="0" w:color="auto"/>
        <w:bottom w:val="none" w:sz="0" w:space="0" w:color="auto"/>
        <w:right w:val="none" w:sz="0" w:space="0" w:color="auto"/>
      </w:divBdr>
    </w:div>
    <w:div w:id="1165434876">
      <w:bodyDiv w:val="1"/>
      <w:marLeft w:val="0"/>
      <w:marRight w:val="0"/>
      <w:marTop w:val="0"/>
      <w:marBottom w:val="0"/>
      <w:divBdr>
        <w:top w:val="none" w:sz="0" w:space="0" w:color="auto"/>
        <w:left w:val="none" w:sz="0" w:space="0" w:color="auto"/>
        <w:bottom w:val="none" w:sz="0" w:space="0" w:color="auto"/>
        <w:right w:val="none" w:sz="0" w:space="0" w:color="auto"/>
      </w:divBdr>
    </w:div>
    <w:div w:id="1165509179">
      <w:bodyDiv w:val="1"/>
      <w:marLeft w:val="0"/>
      <w:marRight w:val="0"/>
      <w:marTop w:val="0"/>
      <w:marBottom w:val="0"/>
      <w:divBdr>
        <w:top w:val="none" w:sz="0" w:space="0" w:color="auto"/>
        <w:left w:val="none" w:sz="0" w:space="0" w:color="auto"/>
        <w:bottom w:val="none" w:sz="0" w:space="0" w:color="auto"/>
        <w:right w:val="none" w:sz="0" w:space="0" w:color="auto"/>
      </w:divBdr>
    </w:div>
    <w:div w:id="1165780077">
      <w:bodyDiv w:val="1"/>
      <w:marLeft w:val="0"/>
      <w:marRight w:val="0"/>
      <w:marTop w:val="0"/>
      <w:marBottom w:val="0"/>
      <w:divBdr>
        <w:top w:val="none" w:sz="0" w:space="0" w:color="auto"/>
        <w:left w:val="none" w:sz="0" w:space="0" w:color="auto"/>
        <w:bottom w:val="none" w:sz="0" w:space="0" w:color="auto"/>
        <w:right w:val="none" w:sz="0" w:space="0" w:color="auto"/>
      </w:divBdr>
    </w:div>
    <w:div w:id="1165898363">
      <w:bodyDiv w:val="1"/>
      <w:marLeft w:val="0"/>
      <w:marRight w:val="0"/>
      <w:marTop w:val="0"/>
      <w:marBottom w:val="0"/>
      <w:divBdr>
        <w:top w:val="none" w:sz="0" w:space="0" w:color="auto"/>
        <w:left w:val="none" w:sz="0" w:space="0" w:color="auto"/>
        <w:bottom w:val="none" w:sz="0" w:space="0" w:color="auto"/>
        <w:right w:val="none" w:sz="0" w:space="0" w:color="auto"/>
      </w:divBdr>
    </w:div>
    <w:div w:id="1165969937">
      <w:bodyDiv w:val="1"/>
      <w:marLeft w:val="0"/>
      <w:marRight w:val="0"/>
      <w:marTop w:val="0"/>
      <w:marBottom w:val="0"/>
      <w:divBdr>
        <w:top w:val="none" w:sz="0" w:space="0" w:color="auto"/>
        <w:left w:val="none" w:sz="0" w:space="0" w:color="auto"/>
        <w:bottom w:val="none" w:sz="0" w:space="0" w:color="auto"/>
        <w:right w:val="none" w:sz="0" w:space="0" w:color="auto"/>
      </w:divBdr>
    </w:div>
    <w:div w:id="1166093472">
      <w:bodyDiv w:val="1"/>
      <w:marLeft w:val="0"/>
      <w:marRight w:val="0"/>
      <w:marTop w:val="0"/>
      <w:marBottom w:val="0"/>
      <w:divBdr>
        <w:top w:val="none" w:sz="0" w:space="0" w:color="auto"/>
        <w:left w:val="none" w:sz="0" w:space="0" w:color="auto"/>
        <w:bottom w:val="none" w:sz="0" w:space="0" w:color="auto"/>
        <w:right w:val="none" w:sz="0" w:space="0" w:color="auto"/>
      </w:divBdr>
    </w:div>
    <w:div w:id="1166240045">
      <w:bodyDiv w:val="1"/>
      <w:marLeft w:val="0"/>
      <w:marRight w:val="0"/>
      <w:marTop w:val="0"/>
      <w:marBottom w:val="0"/>
      <w:divBdr>
        <w:top w:val="none" w:sz="0" w:space="0" w:color="auto"/>
        <w:left w:val="none" w:sz="0" w:space="0" w:color="auto"/>
        <w:bottom w:val="none" w:sz="0" w:space="0" w:color="auto"/>
        <w:right w:val="none" w:sz="0" w:space="0" w:color="auto"/>
      </w:divBdr>
    </w:div>
    <w:div w:id="1166431823">
      <w:bodyDiv w:val="1"/>
      <w:marLeft w:val="0"/>
      <w:marRight w:val="0"/>
      <w:marTop w:val="0"/>
      <w:marBottom w:val="0"/>
      <w:divBdr>
        <w:top w:val="none" w:sz="0" w:space="0" w:color="auto"/>
        <w:left w:val="none" w:sz="0" w:space="0" w:color="auto"/>
        <w:bottom w:val="none" w:sz="0" w:space="0" w:color="auto"/>
        <w:right w:val="none" w:sz="0" w:space="0" w:color="auto"/>
      </w:divBdr>
    </w:div>
    <w:div w:id="1166438593">
      <w:bodyDiv w:val="1"/>
      <w:marLeft w:val="0"/>
      <w:marRight w:val="0"/>
      <w:marTop w:val="0"/>
      <w:marBottom w:val="0"/>
      <w:divBdr>
        <w:top w:val="none" w:sz="0" w:space="0" w:color="auto"/>
        <w:left w:val="none" w:sz="0" w:space="0" w:color="auto"/>
        <w:bottom w:val="none" w:sz="0" w:space="0" w:color="auto"/>
        <w:right w:val="none" w:sz="0" w:space="0" w:color="auto"/>
      </w:divBdr>
    </w:div>
    <w:div w:id="1166438993">
      <w:bodyDiv w:val="1"/>
      <w:marLeft w:val="0"/>
      <w:marRight w:val="0"/>
      <w:marTop w:val="0"/>
      <w:marBottom w:val="0"/>
      <w:divBdr>
        <w:top w:val="none" w:sz="0" w:space="0" w:color="auto"/>
        <w:left w:val="none" w:sz="0" w:space="0" w:color="auto"/>
        <w:bottom w:val="none" w:sz="0" w:space="0" w:color="auto"/>
        <w:right w:val="none" w:sz="0" w:space="0" w:color="auto"/>
      </w:divBdr>
    </w:div>
    <w:div w:id="1166630675">
      <w:bodyDiv w:val="1"/>
      <w:marLeft w:val="0"/>
      <w:marRight w:val="0"/>
      <w:marTop w:val="0"/>
      <w:marBottom w:val="0"/>
      <w:divBdr>
        <w:top w:val="none" w:sz="0" w:space="0" w:color="auto"/>
        <w:left w:val="none" w:sz="0" w:space="0" w:color="auto"/>
        <w:bottom w:val="none" w:sz="0" w:space="0" w:color="auto"/>
        <w:right w:val="none" w:sz="0" w:space="0" w:color="auto"/>
      </w:divBdr>
    </w:div>
    <w:div w:id="1166632151">
      <w:bodyDiv w:val="1"/>
      <w:marLeft w:val="0"/>
      <w:marRight w:val="0"/>
      <w:marTop w:val="0"/>
      <w:marBottom w:val="0"/>
      <w:divBdr>
        <w:top w:val="none" w:sz="0" w:space="0" w:color="auto"/>
        <w:left w:val="none" w:sz="0" w:space="0" w:color="auto"/>
        <w:bottom w:val="none" w:sz="0" w:space="0" w:color="auto"/>
        <w:right w:val="none" w:sz="0" w:space="0" w:color="auto"/>
      </w:divBdr>
    </w:div>
    <w:div w:id="1166672314">
      <w:bodyDiv w:val="1"/>
      <w:marLeft w:val="0"/>
      <w:marRight w:val="0"/>
      <w:marTop w:val="0"/>
      <w:marBottom w:val="0"/>
      <w:divBdr>
        <w:top w:val="none" w:sz="0" w:space="0" w:color="auto"/>
        <w:left w:val="none" w:sz="0" w:space="0" w:color="auto"/>
        <w:bottom w:val="none" w:sz="0" w:space="0" w:color="auto"/>
        <w:right w:val="none" w:sz="0" w:space="0" w:color="auto"/>
      </w:divBdr>
    </w:div>
    <w:div w:id="1166677322">
      <w:bodyDiv w:val="1"/>
      <w:marLeft w:val="0"/>
      <w:marRight w:val="0"/>
      <w:marTop w:val="0"/>
      <w:marBottom w:val="0"/>
      <w:divBdr>
        <w:top w:val="none" w:sz="0" w:space="0" w:color="auto"/>
        <w:left w:val="none" w:sz="0" w:space="0" w:color="auto"/>
        <w:bottom w:val="none" w:sz="0" w:space="0" w:color="auto"/>
        <w:right w:val="none" w:sz="0" w:space="0" w:color="auto"/>
      </w:divBdr>
    </w:div>
    <w:div w:id="1166748377">
      <w:bodyDiv w:val="1"/>
      <w:marLeft w:val="0"/>
      <w:marRight w:val="0"/>
      <w:marTop w:val="0"/>
      <w:marBottom w:val="0"/>
      <w:divBdr>
        <w:top w:val="none" w:sz="0" w:space="0" w:color="auto"/>
        <w:left w:val="none" w:sz="0" w:space="0" w:color="auto"/>
        <w:bottom w:val="none" w:sz="0" w:space="0" w:color="auto"/>
        <w:right w:val="none" w:sz="0" w:space="0" w:color="auto"/>
      </w:divBdr>
    </w:div>
    <w:div w:id="1166751229">
      <w:bodyDiv w:val="1"/>
      <w:marLeft w:val="0"/>
      <w:marRight w:val="0"/>
      <w:marTop w:val="0"/>
      <w:marBottom w:val="0"/>
      <w:divBdr>
        <w:top w:val="none" w:sz="0" w:space="0" w:color="auto"/>
        <w:left w:val="none" w:sz="0" w:space="0" w:color="auto"/>
        <w:bottom w:val="none" w:sz="0" w:space="0" w:color="auto"/>
        <w:right w:val="none" w:sz="0" w:space="0" w:color="auto"/>
      </w:divBdr>
    </w:div>
    <w:div w:id="1166820214">
      <w:bodyDiv w:val="1"/>
      <w:marLeft w:val="0"/>
      <w:marRight w:val="0"/>
      <w:marTop w:val="0"/>
      <w:marBottom w:val="0"/>
      <w:divBdr>
        <w:top w:val="none" w:sz="0" w:space="0" w:color="auto"/>
        <w:left w:val="none" w:sz="0" w:space="0" w:color="auto"/>
        <w:bottom w:val="none" w:sz="0" w:space="0" w:color="auto"/>
        <w:right w:val="none" w:sz="0" w:space="0" w:color="auto"/>
      </w:divBdr>
    </w:div>
    <w:div w:id="1166869035">
      <w:bodyDiv w:val="1"/>
      <w:marLeft w:val="0"/>
      <w:marRight w:val="0"/>
      <w:marTop w:val="0"/>
      <w:marBottom w:val="0"/>
      <w:divBdr>
        <w:top w:val="none" w:sz="0" w:space="0" w:color="auto"/>
        <w:left w:val="none" w:sz="0" w:space="0" w:color="auto"/>
        <w:bottom w:val="none" w:sz="0" w:space="0" w:color="auto"/>
        <w:right w:val="none" w:sz="0" w:space="0" w:color="auto"/>
      </w:divBdr>
    </w:div>
    <w:div w:id="1166899965">
      <w:bodyDiv w:val="1"/>
      <w:marLeft w:val="0"/>
      <w:marRight w:val="0"/>
      <w:marTop w:val="0"/>
      <w:marBottom w:val="0"/>
      <w:divBdr>
        <w:top w:val="none" w:sz="0" w:space="0" w:color="auto"/>
        <w:left w:val="none" w:sz="0" w:space="0" w:color="auto"/>
        <w:bottom w:val="none" w:sz="0" w:space="0" w:color="auto"/>
        <w:right w:val="none" w:sz="0" w:space="0" w:color="auto"/>
      </w:divBdr>
    </w:div>
    <w:div w:id="1166900890">
      <w:bodyDiv w:val="1"/>
      <w:marLeft w:val="0"/>
      <w:marRight w:val="0"/>
      <w:marTop w:val="0"/>
      <w:marBottom w:val="0"/>
      <w:divBdr>
        <w:top w:val="none" w:sz="0" w:space="0" w:color="auto"/>
        <w:left w:val="none" w:sz="0" w:space="0" w:color="auto"/>
        <w:bottom w:val="none" w:sz="0" w:space="0" w:color="auto"/>
        <w:right w:val="none" w:sz="0" w:space="0" w:color="auto"/>
      </w:divBdr>
    </w:div>
    <w:div w:id="1167011685">
      <w:bodyDiv w:val="1"/>
      <w:marLeft w:val="0"/>
      <w:marRight w:val="0"/>
      <w:marTop w:val="0"/>
      <w:marBottom w:val="0"/>
      <w:divBdr>
        <w:top w:val="none" w:sz="0" w:space="0" w:color="auto"/>
        <w:left w:val="none" w:sz="0" w:space="0" w:color="auto"/>
        <w:bottom w:val="none" w:sz="0" w:space="0" w:color="auto"/>
        <w:right w:val="none" w:sz="0" w:space="0" w:color="auto"/>
      </w:divBdr>
    </w:div>
    <w:div w:id="1167015674">
      <w:bodyDiv w:val="1"/>
      <w:marLeft w:val="0"/>
      <w:marRight w:val="0"/>
      <w:marTop w:val="0"/>
      <w:marBottom w:val="0"/>
      <w:divBdr>
        <w:top w:val="none" w:sz="0" w:space="0" w:color="auto"/>
        <w:left w:val="none" w:sz="0" w:space="0" w:color="auto"/>
        <w:bottom w:val="none" w:sz="0" w:space="0" w:color="auto"/>
        <w:right w:val="none" w:sz="0" w:space="0" w:color="auto"/>
      </w:divBdr>
    </w:div>
    <w:div w:id="1167096060">
      <w:bodyDiv w:val="1"/>
      <w:marLeft w:val="0"/>
      <w:marRight w:val="0"/>
      <w:marTop w:val="0"/>
      <w:marBottom w:val="0"/>
      <w:divBdr>
        <w:top w:val="none" w:sz="0" w:space="0" w:color="auto"/>
        <w:left w:val="none" w:sz="0" w:space="0" w:color="auto"/>
        <w:bottom w:val="none" w:sz="0" w:space="0" w:color="auto"/>
        <w:right w:val="none" w:sz="0" w:space="0" w:color="auto"/>
      </w:divBdr>
    </w:div>
    <w:div w:id="1167131117">
      <w:bodyDiv w:val="1"/>
      <w:marLeft w:val="0"/>
      <w:marRight w:val="0"/>
      <w:marTop w:val="0"/>
      <w:marBottom w:val="0"/>
      <w:divBdr>
        <w:top w:val="none" w:sz="0" w:space="0" w:color="auto"/>
        <w:left w:val="none" w:sz="0" w:space="0" w:color="auto"/>
        <w:bottom w:val="none" w:sz="0" w:space="0" w:color="auto"/>
        <w:right w:val="none" w:sz="0" w:space="0" w:color="auto"/>
      </w:divBdr>
    </w:div>
    <w:div w:id="1167285628">
      <w:bodyDiv w:val="1"/>
      <w:marLeft w:val="0"/>
      <w:marRight w:val="0"/>
      <w:marTop w:val="0"/>
      <w:marBottom w:val="0"/>
      <w:divBdr>
        <w:top w:val="none" w:sz="0" w:space="0" w:color="auto"/>
        <w:left w:val="none" w:sz="0" w:space="0" w:color="auto"/>
        <w:bottom w:val="none" w:sz="0" w:space="0" w:color="auto"/>
        <w:right w:val="none" w:sz="0" w:space="0" w:color="auto"/>
      </w:divBdr>
    </w:div>
    <w:div w:id="1167287841">
      <w:bodyDiv w:val="1"/>
      <w:marLeft w:val="0"/>
      <w:marRight w:val="0"/>
      <w:marTop w:val="0"/>
      <w:marBottom w:val="0"/>
      <w:divBdr>
        <w:top w:val="none" w:sz="0" w:space="0" w:color="auto"/>
        <w:left w:val="none" w:sz="0" w:space="0" w:color="auto"/>
        <w:bottom w:val="none" w:sz="0" w:space="0" w:color="auto"/>
        <w:right w:val="none" w:sz="0" w:space="0" w:color="auto"/>
      </w:divBdr>
    </w:div>
    <w:div w:id="1167288307">
      <w:bodyDiv w:val="1"/>
      <w:marLeft w:val="0"/>
      <w:marRight w:val="0"/>
      <w:marTop w:val="0"/>
      <w:marBottom w:val="0"/>
      <w:divBdr>
        <w:top w:val="none" w:sz="0" w:space="0" w:color="auto"/>
        <w:left w:val="none" w:sz="0" w:space="0" w:color="auto"/>
        <w:bottom w:val="none" w:sz="0" w:space="0" w:color="auto"/>
        <w:right w:val="none" w:sz="0" w:space="0" w:color="auto"/>
      </w:divBdr>
    </w:div>
    <w:div w:id="1167473615">
      <w:bodyDiv w:val="1"/>
      <w:marLeft w:val="0"/>
      <w:marRight w:val="0"/>
      <w:marTop w:val="0"/>
      <w:marBottom w:val="0"/>
      <w:divBdr>
        <w:top w:val="none" w:sz="0" w:space="0" w:color="auto"/>
        <w:left w:val="none" w:sz="0" w:space="0" w:color="auto"/>
        <w:bottom w:val="none" w:sz="0" w:space="0" w:color="auto"/>
        <w:right w:val="none" w:sz="0" w:space="0" w:color="auto"/>
      </w:divBdr>
    </w:div>
    <w:div w:id="1167482512">
      <w:bodyDiv w:val="1"/>
      <w:marLeft w:val="0"/>
      <w:marRight w:val="0"/>
      <w:marTop w:val="0"/>
      <w:marBottom w:val="0"/>
      <w:divBdr>
        <w:top w:val="none" w:sz="0" w:space="0" w:color="auto"/>
        <w:left w:val="none" w:sz="0" w:space="0" w:color="auto"/>
        <w:bottom w:val="none" w:sz="0" w:space="0" w:color="auto"/>
        <w:right w:val="none" w:sz="0" w:space="0" w:color="auto"/>
      </w:divBdr>
    </w:div>
    <w:div w:id="1167555584">
      <w:bodyDiv w:val="1"/>
      <w:marLeft w:val="0"/>
      <w:marRight w:val="0"/>
      <w:marTop w:val="0"/>
      <w:marBottom w:val="0"/>
      <w:divBdr>
        <w:top w:val="none" w:sz="0" w:space="0" w:color="auto"/>
        <w:left w:val="none" w:sz="0" w:space="0" w:color="auto"/>
        <w:bottom w:val="none" w:sz="0" w:space="0" w:color="auto"/>
        <w:right w:val="none" w:sz="0" w:space="0" w:color="auto"/>
      </w:divBdr>
    </w:div>
    <w:div w:id="1167599383">
      <w:bodyDiv w:val="1"/>
      <w:marLeft w:val="0"/>
      <w:marRight w:val="0"/>
      <w:marTop w:val="0"/>
      <w:marBottom w:val="0"/>
      <w:divBdr>
        <w:top w:val="none" w:sz="0" w:space="0" w:color="auto"/>
        <w:left w:val="none" w:sz="0" w:space="0" w:color="auto"/>
        <w:bottom w:val="none" w:sz="0" w:space="0" w:color="auto"/>
        <w:right w:val="none" w:sz="0" w:space="0" w:color="auto"/>
      </w:divBdr>
    </w:div>
    <w:div w:id="1167676022">
      <w:bodyDiv w:val="1"/>
      <w:marLeft w:val="0"/>
      <w:marRight w:val="0"/>
      <w:marTop w:val="0"/>
      <w:marBottom w:val="0"/>
      <w:divBdr>
        <w:top w:val="none" w:sz="0" w:space="0" w:color="auto"/>
        <w:left w:val="none" w:sz="0" w:space="0" w:color="auto"/>
        <w:bottom w:val="none" w:sz="0" w:space="0" w:color="auto"/>
        <w:right w:val="none" w:sz="0" w:space="0" w:color="auto"/>
      </w:divBdr>
    </w:div>
    <w:div w:id="1167792781">
      <w:bodyDiv w:val="1"/>
      <w:marLeft w:val="0"/>
      <w:marRight w:val="0"/>
      <w:marTop w:val="0"/>
      <w:marBottom w:val="0"/>
      <w:divBdr>
        <w:top w:val="none" w:sz="0" w:space="0" w:color="auto"/>
        <w:left w:val="none" w:sz="0" w:space="0" w:color="auto"/>
        <w:bottom w:val="none" w:sz="0" w:space="0" w:color="auto"/>
        <w:right w:val="none" w:sz="0" w:space="0" w:color="auto"/>
      </w:divBdr>
    </w:div>
    <w:div w:id="1167793984">
      <w:bodyDiv w:val="1"/>
      <w:marLeft w:val="0"/>
      <w:marRight w:val="0"/>
      <w:marTop w:val="0"/>
      <w:marBottom w:val="0"/>
      <w:divBdr>
        <w:top w:val="none" w:sz="0" w:space="0" w:color="auto"/>
        <w:left w:val="none" w:sz="0" w:space="0" w:color="auto"/>
        <w:bottom w:val="none" w:sz="0" w:space="0" w:color="auto"/>
        <w:right w:val="none" w:sz="0" w:space="0" w:color="auto"/>
      </w:divBdr>
    </w:div>
    <w:div w:id="1167865800">
      <w:bodyDiv w:val="1"/>
      <w:marLeft w:val="0"/>
      <w:marRight w:val="0"/>
      <w:marTop w:val="0"/>
      <w:marBottom w:val="0"/>
      <w:divBdr>
        <w:top w:val="none" w:sz="0" w:space="0" w:color="auto"/>
        <w:left w:val="none" w:sz="0" w:space="0" w:color="auto"/>
        <w:bottom w:val="none" w:sz="0" w:space="0" w:color="auto"/>
        <w:right w:val="none" w:sz="0" w:space="0" w:color="auto"/>
      </w:divBdr>
    </w:div>
    <w:div w:id="1167868132">
      <w:bodyDiv w:val="1"/>
      <w:marLeft w:val="0"/>
      <w:marRight w:val="0"/>
      <w:marTop w:val="0"/>
      <w:marBottom w:val="0"/>
      <w:divBdr>
        <w:top w:val="none" w:sz="0" w:space="0" w:color="auto"/>
        <w:left w:val="none" w:sz="0" w:space="0" w:color="auto"/>
        <w:bottom w:val="none" w:sz="0" w:space="0" w:color="auto"/>
        <w:right w:val="none" w:sz="0" w:space="0" w:color="auto"/>
      </w:divBdr>
    </w:div>
    <w:div w:id="1167937718">
      <w:bodyDiv w:val="1"/>
      <w:marLeft w:val="0"/>
      <w:marRight w:val="0"/>
      <w:marTop w:val="0"/>
      <w:marBottom w:val="0"/>
      <w:divBdr>
        <w:top w:val="none" w:sz="0" w:space="0" w:color="auto"/>
        <w:left w:val="none" w:sz="0" w:space="0" w:color="auto"/>
        <w:bottom w:val="none" w:sz="0" w:space="0" w:color="auto"/>
        <w:right w:val="none" w:sz="0" w:space="0" w:color="auto"/>
      </w:divBdr>
    </w:div>
    <w:div w:id="1168059549">
      <w:bodyDiv w:val="1"/>
      <w:marLeft w:val="0"/>
      <w:marRight w:val="0"/>
      <w:marTop w:val="0"/>
      <w:marBottom w:val="0"/>
      <w:divBdr>
        <w:top w:val="none" w:sz="0" w:space="0" w:color="auto"/>
        <w:left w:val="none" w:sz="0" w:space="0" w:color="auto"/>
        <w:bottom w:val="none" w:sz="0" w:space="0" w:color="auto"/>
        <w:right w:val="none" w:sz="0" w:space="0" w:color="auto"/>
      </w:divBdr>
    </w:div>
    <w:div w:id="1168059788">
      <w:bodyDiv w:val="1"/>
      <w:marLeft w:val="0"/>
      <w:marRight w:val="0"/>
      <w:marTop w:val="0"/>
      <w:marBottom w:val="0"/>
      <w:divBdr>
        <w:top w:val="none" w:sz="0" w:space="0" w:color="auto"/>
        <w:left w:val="none" w:sz="0" w:space="0" w:color="auto"/>
        <w:bottom w:val="none" w:sz="0" w:space="0" w:color="auto"/>
        <w:right w:val="none" w:sz="0" w:space="0" w:color="auto"/>
      </w:divBdr>
    </w:div>
    <w:div w:id="1168130791">
      <w:bodyDiv w:val="1"/>
      <w:marLeft w:val="0"/>
      <w:marRight w:val="0"/>
      <w:marTop w:val="0"/>
      <w:marBottom w:val="0"/>
      <w:divBdr>
        <w:top w:val="none" w:sz="0" w:space="0" w:color="auto"/>
        <w:left w:val="none" w:sz="0" w:space="0" w:color="auto"/>
        <w:bottom w:val="none" w:sz="0" w:space="0" w:color="auto"/>
        <w:right w:val="none" w:sz="0" w:space="0" w:color="auto"/>
      </w:divBdr>
    </w:div>
    <w:div w:id="1168135015">
      <w:bodyDiv w:val="1"/>
      <w:marLeft w:val="0"/>
      <w:marRight w:val="0"/>
      <w:marTop w:val="0"/>
      <w:marBottom w:val="0"/>
      <w:divBdr>
        <w:top w:val="none" w:sz="0" w:space="0" w:color="auto"/>
        <w:left w:val="none" w:sz="0" w:space="0" w:color="auto"/>
        <w:bottom w:val="none" w:sz="0" w:space="0" w:color="auto"/>
        <w:right w:val="none" w:sz="0" w:space="0" w:color="auto"/>
      </w:divBdr>
    </w:div>
    <w:div w:id="1168322362">
      <w:bodyDiv w:val="1"/>
      <w:marLeft w:val="0"/>
      <w:marRight w:val="0"/>
      <w:marTop w:val="0"/>
      <w:marBottom w:val="0"/>
      <w:divBdr>
        <w:top w:val="none" w:sz="0" w:space="0" w:color="auto"/>
        <w:left w:val="none" w:sz="0" w:space="0" w:color="auto"/>
        <w:bottom w:val="none" w:sz="0" w:space="0" w:color="auto"/>
        <w:right w:val="none" w:sz="0" w:space="0" w:color="auto"/>
      </w:divBdr>
    </w:div>
    <w:div w:id="1168331659">
      <w:bodyDiv w:val="1"/>
      <w:marLeft w:val="0"/>
      <w:marRight w:val="0"/>
      <w:marTop w:val="0"/>
      <w:marBottom w:val="0"/>
      <w:divBdr>
        <w:top w:val="none" w:sz="0" w:space="0" w:color="auto"/>
        <w:left w:val="none" w:sz="0" w:space="0" w:color="auto"/>
        <w:bottom w:val="none" w:sz="0" w:space="0" w:color="auto"/>
        <w:right w:val="none" w:sz="0" w:space="0" w:color="auto"/>
      </w:divBdr>
    </w:div>
    <w:div w:id="1168446252">
      <w:bodyDiv w:val="1"/>
      <w:marLeft w:val="0"/>
      <w:marRight w:val="0"/>
      <w:marTop w:val="0"/>
      <w:marBottom w:val="0"/>
      <w:divBdr>
        <w:top w:val="none" w:sz="0" w:space="0" w:color="auto"/>
        <w:left w:val="none" w:sz="0" w:space="0" w:color="auto"/>
        <w:bottom w:val="none" w:sz="0" w:space="0" w:color="auto"/>
        <w:right w:val="none" w:sz="0" w:space="0" w:color="auto"/>
      </w:divBdr>
    </w:div>
    <w:div w:id="1168524887">
      <w:bodyDiv w:val="1"/>
      <w:marLeft w:val="0"/>
      <w:marRight w:val="0"/>
      <w:marTop w:val="0"/>
      <w:marBottom w:val="0"/>
      <w:divBdr>
        <w:top w:val="none" w:sz="0" w:space="0" w:color="auto"/>
        <w:left w:val="none" w:sz="0" w:space="0" w:color="auto"/>
        <w:bottom w:val="none" w:sz="0" w:space="0" w:color="auto"/>
        <w:right w:val="none" w:sz="0" w:space="0" w:color="auto"/>
      </w:divBdr>
    </w:div>
    <w:div w:id="1168591840">
      <w:bodyDiv w:val="1"/>
      <w:marLeft w:val="0"/>
      <w:marRight w:val="0"/>
      <w:marTop w:val="0"/>
      <w:marBottom w:val="0"/>
      <w:divBdr>
        <w:top w:val="none" w:sz="0" w:space="0" w:color="auto"/>
        <w:left w:val="none" w:sz="0" w:space="0" w:color="auto"/>
        <w:bottom w:val="none" w:sz="0" w:space="0" w:color="auto"/>
        <w:right w:val="none" w:sz="0" w:space="0" w:color="auto"/>
      </w:divBdr>
    </w:div>
    <w:div w:id="1168592625">
      <w:bodyDiv w:val="1"/>
      <w:marLeft w:val="0"/>
      <w:marRight w:val="0"/>
      <w:marTop w:val="0"/>
      <w:marBottom w:val="0"/>
      <w:divBdr>
        <w:top w:val="none" w:sz="0" w:space="0" w:color="auto"/>
        <w:left w:val="none" w:sz="0" w:space="0" w:color="auto"/>
        <w:bottom w:val="none" w:sz="0" w:space="0" w:color="auto"/>
        <w:right w:val="none" w:sz="0" w:space="0" w:color="auto"/>
      </w:divBdr>
    </w:div>
    <w:div w:id="1168860257">
      <w:bodyDiv w:val="1"/>
      <w:marLeft w:val="0"/>
      <w:marRight w:val="0"/>
      <w:marTop w:val="0"/>
      <w:marBottom w:val="0"/>
      <w:divBdr>
        <w:top w:val="none" w:sz="0" w:space="0" w:color="auto"/>
        <w:left w:val="none" w:sz="0" w:space="0" w:color="auto"/>
        <w:bottom w:val="none" w:sz="0" w:space="0" w:color="auto"/>
        <w:right w:val="none" w:sz="0" w:space="0" w:color="auto"/>
      </w:divBdr>
    </w:div>
    <w:div w:id="1168864629">
      <w:bodyDiv w:val="1"/>
      <w:marLeft w:val="0"/>
      <w:marRight w:val="0"/>
      <w:marTop w:val="0"/>
      <w:marBottom w:val="0"/>
      <w:divBdr>
        <w:top w:val="none" w:sz="0" w:space="0" w:color="auto"/>
        <w:left w:val="none" w:sz="0" w:space="0" w:color="auto"/>
        <w:bottom w:val="none" w:sz="0" w:space="0" w:color="auto"/>
        <w:right w:val="none" w:sz="0" w:space="0" w:color="auto"/>
      </w:divBdr>
    </w:div>
    <w:div w:id="1168980485">
      <w:bodyDiv w:val="1"/>
      <w:marLeft w:val="0"/>
      <w:marRight w:val="0"/>
      <w:marTop w:val="0"/>
      <w:marBottom w:val="0"/>
      <w:divBdr>
        <w:top w:val="none" w:sz="0" w:space="0" w:color="auto"/>
        <w:left w:val="none" w:sz="0" w:space="0" w:color="auto"/>
        <w:bottom w:val="none" w:sz="0" w:space="0" w:color="auto"/>
        <w:right w:val="none" w:sz="0" w:space="0" w:color="auto"/>
      </w:divBdr>
    </w:div>
    <w:div w:id="1169128338">
      <w:bodyDiv w:val="1"/>
      <w:marLeft w:val="0"/>
      <w:marRight w:val="0"/>
      <w:marTop w:val="0"/>
      <w:marBottom w:val="0"/>
      <w:divBdr>
        <w:top w:val="none" w:sz="0" w:space="0" w:color="auto"/>
        <w:left w:val="none" w:sz="0" w:space="0" w:color="auto"/>
        <w:bottom w:val="none" w:sz="0" w:space="0" w:color="auto"/>
        <w:right w:val="none" w:sz="0" w:space="0" w:color="auto"/>
      </w:divBdr>
    </w:div>
    <w:div w:id="1169172688">
      <w:bodyDiv w:val="1"/>
      <w:marLeft w:val="0"/>
      <w:marRight w:val="0"/>
      <w:marTop w:val="0"/>
      <w:marBottom w:val="0"/>
      <w:divBdr>
        <w:top w:val="none" w:sz="0" w:space="0" w:color="auto"/>
        <w:left w:val="none" w:sz="0" w:space="0" w:color="auto"/>
        <w:bottom w:val="none" w:sz="0" w:space="0" w:color="auto"/>
        <w:right w:val="none" w:sz="0" w:space="0" w:color="auto"/>
      </w:divBdr>
    </w:div>
    <w:div w:id="1169250867">
      <w:bodyDiv w:val="1"/>
      <w:marLeft w:val="0"/>
      <w:marRight w:val="0"/>
      <w:marTop w:val="0"/>
      <w:marBottom w:val="0"/>
      <w:divBdr>
        <w:top w:val="none" w:sz="0" w:space="0" w:color="auto"/>
        <w:left w:val="none" w:sz="0" w:space="0" w:color="auto"/>
        <w:bottom w:val="none" w:sz="0" w:space="0" w:color="auto"/>
        <w:right w:val="none" w:sz="0" w:space="0" w:color="auto"/>
      </w:divBdr>
    </w:div>
    <w:div w:id="1169325165">
      <w:bodyDiv w:val="1"/>
      <w:marLeft w:val="0"/>
      <w:marRight w:val="0"/>
      <w:marTop w:val="0"/>
      <w:marBottom w:val="0"/>
      <w:divBdr>
        <w:top w:val="none" w:sz="0" w:space="0" w:color="auto"/>
        <w:left w:val="none" w:sz="0" w:space="0" w:color="auto"/>
        <w:bottom w:val="none" w:sz="0" w:space="0" w:color="auto"/>
        <w:right w:val="none" w:sz="0" w:space="0" w:color="auto"/>
      </w:divBdr>
    </w:div>
    <w:div w:id="1169369728">
      <w:bodyDiv w:val="1"/>
      <w:marLeft w:val="0"/>
      <w:marRight w:val="0"/>
      <w:marTop w:val="0"/>
      <w:marBottom w:val="0"/>
      <w:divBdr>
        <w:top w:val="none" w:sz="0" w:space="0" w:color="auto"/>
        <w:left w:val="none" w:sz="0" w:space="0" w:color="auto"/>
        <w:bottom w:val="none" w:sz="0" w:space="0" w:color="auto"/>
        <w:right w:val="none" w:sz="0" w:space="0" w:color="auto"/>
      </w:divBdr>
    </w:div>
    <w:div w:id="1169712979">
      <w:bodyDiv w:val="1"/>
      <w:marLeft w:val="0"/>
      <w:marRight w:val="0"/>
      <w:marTop w:val="0"/>
      <w:marBottom w:val="0"/>
      <w:divBdr>
        <w:top w:val="none" w:sz="0" w:space="0" w:color="auto"/>
        <w:left w:val="none" w:sz="0" w:space="0" w:color="auto"/>
        <w:bottom w:val="none" w:sz="0" w:space="0" w:color="auto"/>
        <w:right w:val="none" w:sz="0" w:space="0" w:color="auto"/>
      </w:divBdr>
    </w:div>
    <w:div w:id="1170028513">
      <w:bodyDiv w:val="1"/>
      <w:marLeft w:val="0"/>
      <w:marRight w:val="0"/>
      <w:marTop w:val="0"/>
      <w:marBottom w:val="0"/>
      <w:divBdr>
        <w:top w:val="none" w:sz="0" w:space="0" w:color="auto"/>
        <w:left w:val="none" w:sz="0" w:space="0" w:color="auto"/>
        <w:bottom w:val="none" w:sz="0" w:space="0" w:color="auto"/>
        <w:right w:val="none" w:sz="0" w:space="0" w:color="auto"/>
      </w:divBdr>
    </w:div>
    <w:div w:id="1170216868">
      <w:bodyDiv w:val="1"/>
      <w:marLeft w:val="0"/>
      <w:marRight w:val="0"/>
      <w:marTop w:val="0"/>
      <w:marBottom w:val="0"/>
      <w:divBdr>
        <w:top w:val="none" w:sz="0" w:space="0" w:color="auto"/>
        <w:left w:val="none" w:sz="0" w:space="0" w:color="auto"/>
        <w:bottom w:val="none" w:sz="0" w:space="0" w:color="auto"/>
        <w:right w:val="none" w:sz="0" w:space="0" w:color="auto"/>
      </w:divBdr>
    </w:div>
    <w:div w:id="1170219415">
      <w:bodyDiv w:val="1"/>
      <w:marLeft w:val="0"/>
      <w:marRight w:val="0"/>
      <w:marTop w:val="0"/>
      <w:marBottom w:val="0"/>
      <w:divBdr>
        <w:top w:val="none" w:sz="0" w:space="0" w:color="auto"/>
        <w:left w:val="none" w:sz="0" w:space="0" w:color="auto"/>
        <w:bottom w:val="none" w:sz="0" w:space="0" w:color="auto"/>
        <w:right w:val="none" w:sz="0" w:space="0" w:color="auto"/>
      </w:divBdr>
    </w:div>
    <w:div w:id="1170369112">
      <w:bodyDiv w:val="1"/>
      <w:marLeft w:val="0"/>
      <w:marRight w:val="0"/>
      <w:marTop w:val="0"/>
      <w:marBottom w:val="0"/>
      <w:divBdr>
        <w:top w:val="none" w:sz="0" w:space="0" w:color="auto"/>
        <w:left w:val="none" w:sz="0" w:space="0" w:color="auto"/>
        <w:bottom w:val="none" w:sz="0" w:space="0" w:color="auto"/>
        <w:right w:val="none" w:sz="0" w:space="0" w:color="auto"/>
      </w:divBdr>
    </w:div>
    <w:div w:id="1170369290">
      <w:bodyDiv w:val="1"/>
      <w:marLeft w:val="0"/>
      <w:marRight w:val="0"/>
      <w:marTop w:val="0"/>
      <w:marBottom w:val="0"/>
      <w:divBdr>
        <w:top w:val="none" w:sz="0" w:space="0" w:color="auto"/>
        <w:left w:val="none" w:sz="0" w:space="0" w:color="auto"/>
        <w:bottom w:val="none" w:sz="0" w:space="0" w:color="auto"/>
        <w:right w:val="none" w:sz="0" w:space="0" w:color="auto"/>
      </w:divBdr>
    </w:div>
    <w:div w:id="1170410776">
      <w:bodyDiv w:val="1"/>
      <w:marLeft w:val="0"/>
      <w:marRight w:val="0"/>
      <w:marTop w:val="0"/>
      <w:marBottom w:val="0"/>
      <w:divBdr>
        <w:top w:val="none" w:sz="0" w:space="0" w:color="auto"/>
        <w:left w:val="none" w:sz="0" w:space="0" w:color="auto"/>
        <w:bottom w:val="none" w:sz="0" w:space="0" w:color="auto"/>
        <w:right w:val="none" w:sz="0" w:space="0" w:color="auto"/>
      </w:divBdr>
    </w:div>
    <w:div w:id="1170410838">
      <w:bodyDiv w:val="1"/>
      <w:marLeft w:val="0"/>
      <w:marRight w:val="0"/>
      <w:marTop w:val="0"/>
      <w:marBottom w:val="0"/>
      <w:divBdr>
        <w:top w:val="none" w:sz="0" w:space="0" w:color="auto"/>
        <w:left w:val="none" w:sz="0" w:space="0" w:color="auto"/>
        <w:bottom w:val="none" w:sz="0" w:space="0" w:color="auto"/>
        <w:right w:val="none" w:sz="0" w:space="0" w:color="auto"/>
      </w:divBdr>
    </w:div>
    <w:div w:id="1170411040">
      <w:bodyDiv w:val="1"/>
      <w:marLeft w:val="0"/>
      <w:marRight w:val="0"/>
      <w:marTop w:val="0"/>
      <w:marBottom w:val="0"/>
      <w:divBdr>
        <w:top w:val="none" w:sz="0" w:space="0" w:color="auto"/>
        <w:left w:val="none" w:sz="0" w:space="0" w:color="auto"/>
        <w:bottom w:val="none" w:sz="0" w:space="0" w:color="auto"/>
        <w:right w:val="none" w:sz="0" w:space="0" w:color="auto"/>
      </w:divBdr>
    </w:div>
    <w:div w:id="1170481957">
      <w:bodyDiv w:val="1"/>
      <w:marLeft w:val="0"/>
      <w:marRight w:val="0"/>
      <w:marTop w:val="0"/>
      <w:marBottom w:val="0"/>
      <w:divBdr>
        <w:top w:val="none" w:sz="0" w:space="0" w:color="auto"/>
        <w:left w:val="none" w:sz="0" w:space="0" w:color="auto"/>
        <w:bottom w:val="none" w:sz="0" w:space="0" w:color="auto"/>
        <w:right w:val="none" w:sz="0" w:space="0" w:color="auto"/>
      </w:divBdr>
    </w:div>
    <w:div w:id="1170563113">
      <w:bodyDiv w:val="1"/>
      <w:marLeft w:val="0"/>
      <w:marRight w:val="0"/>
      <w:marTop w:val="0"/>
      <w:marBottom w:val="0"/>
      <w:divBdr>
        <w:top w:val="none" w:sz="0" w:space="0" w:color="auto"/>
        <w:left w:val="none" w:sz="0" w:space="0" w:color="auto"/>
        <w:bottom w:val="none" w:sz="0" w:space="0" w:color="auto"/>
        <w:right w:val="none" w:sz="0" w:space="0" w:color="auto"/>
      </w:divBdr>
    </w:div>
    <w:div w:id="1170676616">
      <w:bodyDiv w:val="1"/>
      <w:marLeft w:val="0"/>
      <w:marRight w:val="0"/>
      <w:marTop w:val="0"/>
      <w:marBottom w:val="0"/>
      <w:divBdr>
        <w:top w:val="none" w:sz="0" w:space="0" w:color="auto"/>
        <w:left w:val="none" w:sz="0" w:space="0" w:color="auto"/>
        <w:bottom w:val="none" w:sz="0" w:space="0" w:color="auto"/>
        <w:right w:val="none" w:sz="0" w:space="0" w:color="auto"/>
      </w:divBdr>
    </w:div>
    <w:div w:id="1170827290">
      <w:bodyDiv w:val="1"/>
      <w:marLeft w:val="0"/>
      <w:marRight w:val="0"/>
      <w:marTop w:val="0"/>
      <w:marBottom w:val="0"/>
      <w:divBdr>
        <w:top w:val="none" w:sz="0" w:space="0" w:color="auto"/>
        <w:left w:val="none" w:sz="0" w:space="0" w:color="auto"/>
        <w:bottom w:val="none" w:sz="0" w:space="0" w:color="auto"/>
        <w:right w:val="none" w:sz="0" w:space="0" w:color="auto"/>
      </w:divBdr>
    </w:div>
    <w:div w:id="1170946791">
      <w:bodyDiv w:val="1"/>
      <w:marLeft w:val="0"/>
      <w:marRight w:val="0"/>
      <w:marTop w:val="0"/>
      <w:marBottom w:val="0"/>
      <w:divBdr>
        <w:top w:val="none" w:sz="0" w:space="0" w:color="auto"/>
        <w:left w:val="none" w:sz="0" w:space="0" w:color="auto"/>
        <w:bottom w:val="none" w:sz="0" w:space="0" w:color="auto"/>
        <w:right w:val="none" w:sz="0" w:space="0" w:color="auto"/>
      </w:divBdr>
    </w:div>
    <w:div w:id="1171068165">
      <w:bodyDiv w:val="1"/>
      <w:marLeft w:val="0"/>
      <w:marRight w:val="0"/>
      <w:marTop w:val="0"/>
      <w:marBottom w:val="0"/>
      <w:divBdr>
        <w:top w:val="none" w:sz="0" w:space="0" w:color="auto"/>
        <w:left w:val="none" w:sz="0" w:space="0" w:color="auto"/>
        <w:bottom w:val="none" w:sz="0" w:space="0" w:color="auto"/>
        <w:right w:val="none" w:sz="0" w:space="0" w:color="auto"/>
      </w:divBdr>
    </w:div>
    <w:div w:id="1171290610">
      <w:bodyDiv w:val="1"/>
      <w:marLeft w:val="0"/>
      <w:marRight w:val="0"/>
      <w:marTop w:val="0"/>
      <w:marBottom w:val="0"/>
      <w:divBdr>
        <w:top w:val="none" w:sz="0" w:space="0" w:color="auto"/>
        <w:left w:val="none" w:sz="0" w:space="0" w:color="auto"/>
        <w:bottom w:val="none" w:sz="0" w:space="0" w:color="auto"/>
        <w:right w:val="none" w:sz="0" w:space="0" w:color="auto"/>
      </w:divBdr>
    </w:div>
    <w:div w:id="1171408067">
      <w:bodyDiv w:val="1"/>
      <w:marLeft w:val="0"/>
      <w:marRight w:val="0"/>
      <w:marTop w:val="0"/>
      <w:marBottom w:val="0"/>
      <w:divBdr>
        <w:top w:val="none" w:sz="0" w:space="0" w:color="auto"/>
        <w:left w:val="none" w:sz="0" w:space="0" w:color="auto"/>
        <w:bottom w:val="none" w:sz="0" w:space="0" w:color="auto"/>
        <w:right w:val="none" w:sz="0" w:space="0" w:color="auto"/>
      </w:divBdr>
    </w:div>
    <w:div w:id="1171413643">
      <w:bodyDiv w:val="1"/>
      <w:marLeft w:val="0"/>
      <w:marRight w:val="0"/>
      <w:marTop w:val="0"/>
      <w:marBottom w:val="0"/>
      <w:divBdr>
        <w:top w:val="none" w:sz="0" w:space="0" w:color="auto"/>
        <w:left w:val="none" w:sz="0" w:space="0" w:color="auto"/>
        <w:bottom w:val="none" w:sz="0" w:space="0" w:color="auto"/>
        <w:right w:val="none" w:sz="0" w:space="0" w:color="auto"/>
      </w:divBdr>
    </w:div>
    <w:div w:id="1171530194">
      <w:bodyDiv w:val="1"/>
      <w:marLeft w:val="0"/>
      <w:marRight w:val="0"/>
      <w:marTop w:val="0"/>
      <w:marBottom w:val="0"/>
      <w:divBdr>
        <w:top w:val="none" w:sz="0" w:space="0" w:color="auto"/>
        <w:left w:val="none" w:sz="0" w:space="0" w:color="auto"/>
        <w:bottom w:val="none" w:sz="0" w:space="0" w:color="auto"/>
        <w:right w:val="none" w:sz="0" w:space="0" w:color="auto"/>
      </w:divBdr>
    </w:div>
    <w:div w:id="1171532223">
      <w:bodyDiv w:val="1"/>
      <w:marLeft w:val="0"/>
      <w:marRight w:val="0"/>
      <w:marTop w:val="0"/>
      <w:marBottom w:val="0"/>
      <w:divBdr>
        <w:top w:val="none" w:sz="0" w:space="0" w:color="auto"/>
        <w:left w:val="none" w:sz="0" w:space="0" w:color="auto"/>
        <w:bottom w:val="none" w:sz="0" w:space="0" w:color="auto"/>
        <w:right w:val="none" w:sz="0" w:space="0" w:color="auto"/>
      </w:divBdr>
    </w:div>
    <w:div w:id="1171599604">
      <w:bodyDiv w:val="1"/>
      <w:marLeft w:val="0"/>
      <w:marRight w:val="0"/>
      <w:marTop w:val="0"/>
      <w:marBottom w:val="0"/>
      <w:divBdr>
        <w:top w:val="none" w:sz="0" w:space="0" w:color="auto"/>
        <w:left w:val="none" w:sz="0" w:space="0" w:color="auto"/>
        <w:bottom w:val="none" w:sz="0" w:space="0" w:color="auto"/>
        <w:right w:val="none" w:sz="0" w:space="0" w:color="auto"/>
      </w:divBdr>
    </w:div>
    <w:div w:id="1171600904">
      <w:bodyDiv w:val="1"/>
      <w:marLeft w:val="0"/>
      <w:marRight w:val="0"/>
      <w:marTop w:val="0"/>
      <w:marBottom w:val="0"/>
      <w:divBdr>
        <w:top w:val="none" w:sz="0" w:space="0" w:color="auto"/>
        <w:left w:val="none" w:sz="0" w:space="0" w:color="auto"/>
        <w:bottom w:val="none" w:sz="0" w:space="0" w:color="auto"/>
        <w:right w:val="none" w:sz="0" w:space="0" w:color="auto"/>
      </w:divBdr>
    </w:div>
    <w:div w:id="1171601946">
      <w:bodyDiv w:val="1"/>
      <w:marLeft w:val="0"/>
      <w:marRight w:val="0"/>
      <w:marTop w:val="0"/>
      <w:marBottom w:val="0"/>
      <w:divBdr>
        <w:top w:val="none" w:sz="0" w:space="0" w:color="auto"/>
        <w:left w:val="none" w:sz="0" w:space="0" w:color="auto"/>
        <w:bottom w:val="none" w:sz="0" w:space="0" w:color="auto"/>
        <w:right w:val="none" w:sz="0" w:space="0" w:color="auto"/>
      </w:divBdr>
    </w:div>
    <w:div w:id="1171719000">
      <w:bodyDiv w:val="1"/>
      <w:marLeft w:val="0"/>
      <w:marRight w:val="0"/>
      <w:marTop w:val="0"/>
      <w:marBottom w:val="0"/>
      <w:divBdr>
        <w:top w:val="none" w:sz="0" w:space="0" w:color="auto"/>
        <w:left w:val="none" w:sz="0" w:space="0" w:color="auto"/>
        <w:bottom w:val="none" w:sz="0" w:space="0" w:color="auto"/>
        <w:right w:val="none" w:sz="0" w:space="0" w:color="auto"/>
      </w:divBdr>
    </w:div>
    <w:div w:id="1171793433">
      <w:bodyDiv w:val="1"/>
      <w:marLeft w:val="0"/>
      <w:marRight w:val="0"/>
      <w:marTop w:val="0"/>
      <w:marBottom w:val="0"/>
      <w:divBdr>
        <w:top w:val="none" w:sz="0" w:space="0" w:color="auto"/>
        <w:left w:val="none" w:sz="0" w:space="0" w:color="auto"/>
        <w:bottom w:val="none" w:sz="0" w:space="0" w:color="auto"/>
        <w:right w:val="none" w:sz="0" w:space="0" w:color="auto"/>
      </w:divBdr>
    </w:div>
    <w:div w:id="1171796809">
      <w:bodyDiv w:val="1"/>
      <w:marLeft w:val="0"/>
      <w:marRight w:val="0"/>
      <w:marTop w:val="0"/>
      <w:marBottom w:val="0"/>
      <w:divBdr>
        <w:top w:val="none" w:sz="0" w:space="0" w:color="auto"/>
        <w:left w:val="none" w:sz="0" w:space="0" w:color="auto"/>
        <w:bottom w:val="none" w:sz="0" w:space="0" w:color="auto"/>
        <w:right w:val="none" w:sz="0" w:space="0" w:color="auto"/>
      </w:divBdr>
    </w:div>
    <w:div w:id="1171798945">
      <w:bodyDiv w:val="1"/>
      <w:marLeft w:val="0"/>
      <w:marRight w:val="0"/>
      <w:marTop w:val="0"/>
      <w:marBottom w:val="0"/>
      <w:divBdr>
        <w:top w:val="none" w:sz="0" w:space="0" w:color="auto"/>
        <w:left w:val="none" w:sz="0" w:space="0" w:color="auto"/>
        <w:bottom w:val="none" w:sz="0" w:space="0" w:color="auto"/>
        <w:right w:val="none" w:sz="0" w:space="0" w:color="auto"/>
      </w:divBdr>
    </w:div>
    <w:div w:id="1171869459">
      <w:bodyDiv w:val="1"/>
      <w:marLeft w:val="0"/>
      <w:marRight w:val="0"/>
      <w:marTop w:val="0"/>
      <w:marBottom w:val="0"/>
      <w:divBdr>
        <w:top w:val="none" w:sz="0" w:space="0" w:color="auto"/>
        <w:left w:val="none" w:sz="0" w:space="0" w:color="auto"/>
        <w:bottom w:val="none" w:sz="0" w:space="0" w:color="auto"/>
        <w:right w:val="none" w:sz="0" w:space="0" w:color="auto"/>
      </w:divBdr>
    </w:div>
    <w:div w:id="1171943232">
      <w:bodyDiv w:val="1"/>
      <w:marLeft w:val="0"/>
      <w:marRight w:val="0"/>
      <w:marTop w:val="0"/>
      <w:marBottom w:val="0"/>
      <w:divBdr>
        <w:top w:val="none" w:sz="0" w:space="0" w:color="auto"/>
        <w:left w:val="none" w:sz="0" w:space="0" w:color="auto"/>
        <w:bottom w:val="none" w:sz="0" w:space="0" w:color="auto"/>
        <w:right w:val="none" w:sz="0" w:space="0" w:color="auto"/>
      </w:divBdr>
    </w:div>
    <w:div w:id="1171992012">
      <w:bodyDiv w:val="1"/>
      <w:marLeft w:val="0"/>
      <w:marRight w:val="0"/>
      <w:marTop w:val="0"/>
      <w:marBottom w:val="0"/>
      <w:divBdr>
        <w:top w:val="none" w:sz="0" w:space="0" w:color="auto"/>
        <w:left w:val="none" w:sz="0" w:space="0" w:color="auto"/>
        <w:bottom w:val="none" w:sz="0" w:space="0" w:color="auto"/>
        <w:right w:val="none" w:sz="0" w:space="0" w:color="auto"/>
      </w:divBdr>
    </w:div>
    <w:div w:id="1172065160">
      <w:bodyDiv w:val="1"/>
      <w:marLeft w:val="0"/>
      <w:marRight w:val="0"/>
      <w:marTop w:val="0"/>
      <w:marBottom w:val="0"/>
      <w:divBdr>
        <w:top w:val="none" w:sz="0" w:space="0" w:color="auto"/>
        <w:left w:val="none" w:sz="0" w:space="0" w:color="auto"/>
        <w:bottom w:val="none" w:sz="0" w:space="0" w:color="auto"/>
        <w:right w:val="none" w:sz="0" w:space="0" w:color="auto"/>
      </w:divBdr>
    </w:div>
    <w:div w:id="1172138787">
      <w:bodyDiv w:val="1"/>
      <w:marLeft w:val="0"/>
      <w:marRight w:val="0"/>
      <w:marTop w:val="0"/>
      <w:marBottom w:val="0"/>
      <w:divBdr>
        <w:top w:val="none" w:sz="0" w:space="0" w:color="auto"/>
        <w:left w:val="none" w:sz="0" w:space="0" w:color="auto"/>
        <w:bottom w:val="none" w:sz="0" w:space="0" w:color="auto"/>
        <w:right w:val="none" w:sz="0" w:space="0" w:color="auto"/>
      </w:divBdr>
    </w:div>
    <w:div w:id="1172139169">
      <w:bodyDiv w:val="1"/>
      <w:marLeft w:val="0"/>
      <w:marRight w:val="0"/>
      <w:marTop w:val="0"/>
      <w:marBottom w:val="0"/>
      <w:divBdr>
        <w:top w:val="none" w:sz="0" w:space="0" w:color="auto"/>
        <w:left w:val="none" w:sz="0" w:space="0" w:color="auto"/>
        <w:bottom w:val="none" w:sz="0" w:space="0" w:color="auto"/>
        <w:right w:val="none" w:sz="0" w:space="0" w:color="auto"/>
      </w:divBdr>
    </w:div>
    <w:div w:id="1172256073">
      <w:bodyDiv w:val="1"/>
      <w:marLeft w:val="0"/>
      <w:marRight w:val="0"/>
      <w:marTop w:val="0"/>
      <w:marBottom w:val="0"/>
      <w:divBdr>
        <w:top w:val="none" w:sz="0" w:space="0" w:color="auto"/>
        <w:left w:val="none" w:sz="0" w:space="0" w:color="auto"/>
        <w:bottom w:val="none" w:sz="0" w:space="0" w:color="auto"/>
        <w:right w:val="none" w:sz="0" w:space="0" w:color="auto"/>
      </w:divBdr>
    </w:div>
    <w:div w:id="1172333216">
      <w:bodyDiv w:val="1"/>
      <w:marLeft w:val="0"/>
      <w:marRight w:val="0"/>
      <w:marTop w:val="0"/>
      <w:marBottom w:val="0"/>
      <w:divBdr>
        <w:top w:val="none" w:sz="0" w:space="0" w:color="auto"/>
        <w:left w:val="none" w:sz="0" w:space="0" w:color="auto"/>
        <w:bottom w:val="none" w:sz="0" w:space="0" w:color="auto"/>
        <w:right w:val="none" w:sz="0" w:space="0" w:color="auto"/>
      </w:divBdr>
    </w:div>
    <w:div w:id="1172373638">
      <w:bodyDiv w:val="1"/>
      <w:marLeft w:val="0"/>
      <w:marRight w:val="0"/>
      <w:marTop w:val="0"/>
      <w:marBottom w:val="0"/>
      <w:divBdr>
        <w:top w:val="none" w:sz="0" w:space="0" w:color="auto"/>
        <w:left w:val="none" w:sz="0" w:space="0" w:color="auto"/>
        <w:bottom w:val="none" w:sz="0" w:space="0" w:color="auto"/>
        <w:right w:val="none" w:sz="0" w:space="0" w:color="auto"/>
      </w:divBdr>
    </w:div>
    <w:div w:id="1172380953">
      <w:bodyDiv w:val="1"/>
      <w:marLeft w:val="0"/>
      <w:marRight w:val="0"/>
      <w:marTop w:val="0"/>
      <w:marBottom w:val="0"/>
      <w:divBdr>
        <w:top w:val="none" w:sz="0" w:space="0" w:color="auto"/>
        <w:left w:val="none" w:sz="0" w:space="0" w:color="auto"/>
        <w:bottom w:val="none" w:sz="0" w:space="0" w:color="auto"/>
        <w:right w:val="none" w:sz="0" w:space="0" w:color="auto"/>
      </w:divBdr>
    </w:div>
    <w:div w:id="1172450952">
      <w:bodyDiv w:val="1"/>
      <w:marLeft w:val="0"/>
      <w:marRight w:val="0"/>
      <w:marTop w:val="0"/>
      <w:marBottom w:val="0"/>
      <w:divBdr>
        <w:top w:val="none" w:sz="0" w:space="0" w:color="auto"/>
        <w:left w:val="none" w:sz="0" w:space="0" w:color="auto"/>
        <w:bottom w:val="none" w:sz="0" w:space="0" w:color="auto"/>
        <w:right w:val="none" w:sz="0" w:space="0" w:color="auto"/>
      </w:divBdr>
    </w:div>
    <w:div w:id="1172795160">
      <w:bodyDiv w:val="1"/>
      <w:marLeft w:val="0"/>
      <w:marRight w:val="0"/>
      <w:marTop w:val="0"/>
      <w:marBottom w:val="0"/>
      <w:divBdr>
        <w:top w:val="none" w:sz="0" w:space="0" w:color="auto"/>
        <w:left w:val="none" w:sz="0" w:space="0" w:color="auto"/>
        <w:bottom w:val="none" w:sz="0" w:space="0" w:color="auto"/>
        <w:right w:val="none" w:sz="0" w:space="0" w:color="auto"/>
      </w:divBdr>
    </w:div>
    <w:div w:id="1172795342">
      <w:bodyDiv w:val="1"/>
      <w:marLeft w:val="0"/>
      <w:marRight w:val="0"/>
      <w:marTop w:val="0"/>
      <w:marBottom w:val="0"/>
      <w:divBdr>
        <w:top w:val="none" w:sz="0" w:space="0" w:color="auto"/>
        <w:left w:val="none" w:sz="0" w:space="0" w:color="auto"/>
        <w:bottom w:val="none" w:sz="0" w:space="0" w:color="auto"/>
        <w:right w:val="none" w:sz="0" w:space="0" w:color="auto"/>
      </w:divBdr>
    </w:div>
    <w:div w:id="1172989851">
      <w:bodyDiv w:val="1"/>
      <w:marLeft w:val="0"/>
      <w:marRight w:val="0"/>
      <w:marTop w:val="0"/>
      <w:marBottom w:val="0"/>
      <w:divBdr>
        <w:top w:val="none" w:sz="0" w:space="0" w:color="auto"/>
        <w:left w:val="none" w:sz="0" w:space="0" w:color="auto"/>
        <w:bottom w:val="none" w:sz="0" w:space="0" w:color="auto"/>
        <w:right w:val="none" w:sz="0" w:space="0" w:color="auto"/>
      </w:divBdr>
    </w:div>
    <w:div w:id="1173031849">
      <w:bodyDiv w:val="1"/>
      <w:marLeft w:val="0"/>
      <w:marRight w:val="0"/>
      <w:marTop w:val="0"/>
      <w:marBottom w:val="0"/>
      <w:divBdr>
        <w:top w:val="none" w:sz="0" w:space="0" w:color="auto"/>
        <w:left w:val="none" w:sz="0" w:space="0" w:color="auto"/>
        <w:bottom w:val="none" w:sz="0" w:space="0" w:color="auto"/>
        <w:right w:val="none" w:sz="0" w:space="0" w:color="auto"/>
      </w:divBdr>
    </w:div>
    <w:div w:id="1173035771">
      <w:bodyDiv w:val="1"/>
      <w:marLeft w:val="0"/>
      <w:marRight w:val="0"/>
      <w:marTop w:val="0"/>
      <w:marBottom w:val="0"/>
      <w:divBdr>
        <w:top w:val="none" w:sz="0" w:space="0" w:color="auto"/>
        <w:left w:val="none" w:sz="0" w:space="0" w:color="auto"/>
        <w:bottom w:val="none" w:sz="0" w:space="0" w:color="auto"/>
        <w:right w:val="none" w:sz="0" w:space="0" w:color="auto"/>
      </w:divBdr>
    </w:div>
    <w:div w:id="1173102323">
      <w:bodyDiv w:val="1"/>
      <w:marLeft w:val="0"/>
      <w:marRight w:val="0"/>
      <w:marTop w:val="0"/>
      <w:marBottom w:val="0"/>
      <w:divBdr>
        <w:top w:val="none" w:sz="0" w:space="0" w:color="auto"/>
        <w:left w:val="none" w:sz="0" w:space="0" w:color="auto"/>
        <w:bottom w:val="none" w:sz="0" w:space="0" w:color="auto"/>
        <w:right w:val="none" w:sz="0" w:space="0" w:color="auto"/>
      </w:divBdr>
    </w:div>
    <w:div w:id="1173106438">
      <w:bodyDiv w:val="1"/>
      <w:marLeft w:val="0"/>
      <w:marRight w:val="0"/>
      <w:marTop w:val="0"/>
      <w:marBottom w:val="0"/>
      <w:divBdr>
        <w:top w:val="none" w:sz="0" w:space="0" w:color="auto"/>
        <w:left w:val="none" w:sz="0" w:space="0" w:color="auto"/>
        <w:bottom w:val="none" w:sz="0" w:space="0" w:color="auto"/>
        <w:right w:val="none" w:sz="0" w:space="0" w:color="auto"/>
      </w:divBdr>
    </w:div>
    <w:div w:id="1173179937">
      <w:bodyDiv w:val="1"/>
      <w:marLeft w:val="0"/>
      <w:marRight w:val="0"/>
      <w:marTop w:val="0"/>
      <w:marBottom w:val="0"/>
      <w:divBdr>
        <w:top w:val="none" w:sz="0" w:space="0" w:color="auto"/>
        <w:left w:val="none" w:sz="0" w:space="0" w:color="auto"/>
        <w:bottom w:val="none" w:sz="0" w:space="0" w:color="auto"/>
        <w:right w:val="none" w:sz="0" w:space="0" w:color="auto"/>
      </w:divBdr>
    </w:div>
    <w:div w:id="1173181998">
      <w:bodyDiv w:val="1"/>
      <w:marLeft w:val="0"/>
      <w:marRight w:val="0"/>
      <w:marTop w:val="0"/>
      <w:marBottom w:val="0"/>
      <w:divBdr>
        <w:top w:val="none" w:sz="0" w:space="0" w:color="auto"/>
        <w:left w:val="none" w:sz="0" w:space="0" w:color="auto"/>
        <w:bottom w:val="none" w:sz="0" w:space="0" w:color="auto"/>
        <w:right w:val="none" w:sz="0" w:space="0" w:color="auto"/>
      </w:divBdr>
    </w:div>
    <w:div w:id="1173372481">
      <w:bodyDiv w:val="1"/>
      <w:marLeft w:val="0"/>
      <w:marRight w:val="0"/>
      <w:marTop w:val="0"/>
      <w:marBottom w:val="0"/>
      <w:divBdr>
        <w:top w:val="none" w:sz="0" w:space="0" w:color="auto"/>
        <w:left w:val="none" w:sz="0" w:space="0" w:color="auto"/>
        <w:bottom w:val="none" w:sz="0" w:space="0" w:color="auto"/>
        <w:right w:val="none" w:sz="0" w:space="0" w:color="auto"/>
      </w:divBdr>
    </w:div>
    <w:div w:id="1173451429">
      <w:bodyDiv w:val="1"/>
      <w:marLeft w:val="0"/>
      <w:marRight w:val="0"/>
      <w:marTop w:val="0"/>
      <w:marBottom w:val="0"/>
      <w:divBdr>
        <w:top w:val="none" w:sz="0" w:space="0" w:color="auto"/>
        <w:left w:val="none" w:sz="0" w:space="0" w:color="auto"/>
        <w:bottom w:val="none" w:sz="0" w:space="0" w:color="auto"/>
        <w:right w:val="none" w:sz="0" w:space="0" w:color="auto"/>
      </w:divBdr>
    </w:div>
    <w:div w:id="1173495536">
      <w:bodyDiv w:val="1"/>
      <w:marLeft w:val="0"/>
      <w:marRight w:val="0"/>
      <w:marTop w:val="0"/>
      <w:marBottom w:val="0"/>
      <w:divBdr>
        <w:top w:val="none" w:sz="0" w:space="0" w:color="auto"/>
        <w:left w:val="none" w:sz="0" w:space="0" w:color="auto"/>
        <w:bottom w:val="none" w:sz="0" w:space="0" w:color="auto"/>
        <w:right w:val="none" w:sz="0" w:space="0" w:color="auto"/>
      </w:divBdr>
    </w:div>
    <w:div w:id="1173495672">
      <w:bodyDiv w:val="1"/>
      <w:marLeft w:val="0"/>
      <w:marRight w:val="0"/>
      <w:marTop w:val="0"/>
      <w:marBottom w:val="0"/>
      <w:divBdr>
        <w:top w:val="none" w:sz="0" w:space="0" w:color="auto"/>
        <w:left w:val="none" w:sz="0" w:space="0" w:color="auto"/>
        <w:bottom w:val="none" w:sz="0" w:space="0" w:color="auto"/>
        <w:right w:val="none" w:sz="0" w:space="0" w:color="auto"/>
      </w:divBdr>
    </w:div>
    <w:div w:id="1173648831">
      <w:bodyDiv w:val="1"/>
      <w:marLeft w:val="0"/>
      <w:marRight w:val="0"/>
      <w:marTop w:val="0"/>
      <w:marBottom w:val="0"/>
      <w:divBdr>
        <w:top w:val="none" w:sz="0" w:space="0" w:color="auto"/>
        <w:left w:val="none" w:sz="0" w:space="0" w:color="auto"/>
        <w:bottom w:val="none" w:sz="0" w:space="0" w:color="auto"/>
        <w:right w:val="none" w:sz="0" w:space="0" w:color="auto"/>
      </w:divBdr>
    </w:div>
    <w:div w:id="1173836089">
      <w:bodyDiv w:val="1"/>
      <w:marLeft w:val="0"/>
      <w:marRight w:val="0"/>
      <w:marTop w:val="0"/>
      <w:marBottom w:val="0"/>
      <w:divBdr>
        <w:top w:val="none" w:sz="0" w:space="0" w:color="auto"/>
        <w:left w:val="none" w:sz="0" w:space="0" w:color="auto"/>
        <w:bottom w:val="none" w:sz="0" w:space="0" w:color="auto"/>
        <w:right w:val="none" w:sz="0" w:space="0" w:color="auto"/>
      </w:divBdr>
    </w:div>
    <w:div w:id="1173911093">
      <w:bodyDiv w:val="1"/>
      <w:marLeft w:val="0"/>
      <w:marRight w:val="0"/>
      <w:marTop w:val="0"/>
      <w:marBottom w:val="0"/>
      <w:divBdr>
        <w:top w:val="none" w:sz="0" w:space="0" w:color="auto"/>
        <w:left w:val="none" w:sz="0" w:space="0" w:color="auto"/>
        <w:bottom w:val="none" w:sz="0" w:space="0" w:color="auto"/>
        <w:right w:val="none" w:sz="0" w:space="0" w:color="auto"/>
      </w:divBdr>
    </w:div>
    <w:div w:id="1174030218">
      <w:bodyDiv w:val="1"/>
      <w:marLeft w:val="0"/>
      <w:marRight w:val="0"/>
      <w:marTop w:val="0"/>
      <w:marBottom w:val="0"/>
      <w:divBdr>
        <w:top w:val="none" w:sz="0" w:space="0" w:color="auto"/>
        <w:left w:val="none" w:sz="0" w:space="0" w:color="auto"/>
        <w:bottom w:val="none" w:sz="0" w:space="0" w:color="auto"/>
        <w:right w:val="none" w:sz="0" w:space="0" w:color="auto"/>
      </w:divBdr>
    </w:div>
    <w:div w:id="1174033215">
      <w:bodyDiv w:val="1"/>
      <w:marLeft w:val="0"/>
      <w:marRight w:val="0"/>
      <w:marTop w:val="0"/>
      <w:marBottom w:val="0"/>
      <w:divBdr>
        <w:top w:val="none" w:sz="0" w:space="0" w:color="auto"/>
        <w:left w:val="none" w:sz="0" w:space="0" w:color="auto"/>
        <w:bottom w:val="none" w:sz="0" w:space="0" w:color="auto"/>
        <w:right w:val="none" w:sz="0" w:space="0" w:color="auto"/>
      </w:divBdr>
    </w:div>
    <w:div w:id="1174108363">
      <w:bodyDiv w:val="1"/>
      <w:marLeft w:val="0"/>
      <w:marRight w:val="0"/>
      <w:marTop w:val="0"/>
      <w:marBottom w:val="0"/>
      <w:divBdr>
        <w:top w:val="none" w:sz="0" w:space="0" w:color="auto"/>
        <w:left w:val="none" w:sz="0" w:space="0" w:color="auto"/>
        <w:bottom w:val="none" w:sz="0" w:space="0" w:color="auto"/>
        <w:right w:val="none" w:sz="0" w:space="0" w:color="auto"/>
      </w:divBdr>
    </w:div>
    <w:div w:id="1174109434">
      <w:bodyDiv w:val="1"/>
      <w:marLeft w:val="0"/>
      <w:marRight w:val="0"/>
      <w:marTop w:val="0"/>
      <w:marBottom w:val="0"/>
      <w:divBdr>
        <w:top w:val="none" w:sz="0" w:space="0" w:color="auto"/>
        <w:left w:val="none" w:sz="0" w:space="0" w:color="auto"/>
        <w:bottom w:val="none" w:sz="0" w:space="0" w:color="auto"/>
        <w:right w:val="none" w:sz="0" w:space="0" w:color="auto"/>
      </w:divBdr>
    </w:div>
    <w:div w:id="1174224960">
      <w:bodyDiv w:val="1"/>
      <w:marLeft w:val="0"/>
      <w:marRight w:val="0"/>
      <w:marTop w:val="0"/>
      <w:marBottom w:val="0"/>
      <w:divBdr>
        <w:top w:val="none" w:sz="0" w:space="0" w:color="auto"/>
        <w:left w:val="none" w:sz="0" w:space="0" w:color="auto"/>
        <w:bottom w:val="none" w:sz="0" w:space="0" w:color="auto"/>
        <w:right w:val="none" w:sz="0" w:space="0" w:color="auto"/>
      </w:divBdr>
    </w:div>
    <w:div w:id="1174347144">
      <w:bodyDiv w:val="1"/>
      <w:marLeft w:val="0"/>
      <w:marRight w:val="0"/>
      <w:marTop w:val="0"/>
      <w:marBottom w:val="0"/>
      <w:divBdr>
        <w:top w:val="none" w:sz="0" w:space="0" w:color="auto"/>
        <w:left w:val="none" w:sz="0" w:space="0" w:color="auto"/>
        <w:bottom w:val="none" w:sz="0" w:space="0" w:color="auto"/>
        <w:right w:val="none" w:sz="0" w:space="0" w:color="auto"/>
      </w:divBdr>
    </w:div>
    <w:div w:id="1174422181">
      <w:bodyDiv w:val="1"/>
      <w:marLeft w:val="0"/>
      <w:marRight w:val="0"/>
      <w:marTop w:val="0"/>
      <w:marBottom w:val="0"/>
      <w:divBdr>
        <w:top w:val="none" w:sz="0" w:space="0" w:color="auto"/>
        <w:left w:val="none" w:sz="0" w:space="0" w:color="auto"/>
        <w:bottom w:val="none" w:sz="0" w:space="0" w:color="auto"/>
        <w:right w:val="none" w:sz="0" w:space="0" w:color="auto"/>
      </w:divBdr>
    </w:div>
    <w:div w:id="1174801322">
      <w:bodyDiv w:val="1"/>
      <w:marLeft w:val="0"/>
      <w:marRight w:val="0"/>
      <w:marTop w:val="0"/>
      <w:marBottom w:val="0"/>
      <w:divBdr>
        <w:top w:val="none" w:sz="0" w:space="0" w:color="auto"/>
        <w:left w:val="none" w:sz="0" w:space="0" w:color="auto"/>
        <w:bottom w:val="none" w:sz="0" w:space="0" w:color="auto"/>
        <w:right w:val="none" w:sz="0" w:space="0" w:color="auto"/>
      </w:divBdr>
    </w:div>
    <w:div w:id="1174808146">
      <w:bodyDiv w:val="1"/>
      <w:marLeft w:val="0"/>
      <w:marRight w:val="0"/>
      <w:marTop w:val="0"/>
      <w:marBottom w:val="0"/>
      <w:divBdr>
        <w:top w:val="none" w:sz="0" w:space="0" w:color="auto"/>
        <w:left w:val="none" w:sz="0" w:space="0" w:color="auto"/>
        <w:bottom w:val="none" w:sz="0" w:space="0" w:color="auto"/>
        <w:right w:val="none" w:sz="0" w:space="0" w:color="auto"/>
      </w:divBdr>
    </w:div>
    <w:div w:id="1174883085">
      <w:bodyDiv w:val="1"/>
      <w:marLeft w:val="0"/>
      <w:marRight w:val="0"/>
      <w:marTop w:val="0"/>
      <w:marBottom w:val="0"/>
      <w:divBdr>
        <w:top w:val="none" w:sz="0" w:space="0" w:color="auto"/>
        <w:left w:val="none" w:sz="0" w:space="0" w:color="auto"/>
        <w:bottom w:val="none" w:sz="0" w:space="0" w:color="auto"/>
        <w:right w:val="none" w:sz="0" w:space="0" w:color="auto"/>
      </w:divBdr>
    </w:div>
    <w:div w:id="1174959068">
      <w:bodyDiv w:val="1"/>
      <w:marLeft w:val="0"/>
      <w:marRight w:val="0"/>
      <w:marTop w:val="0"/>
      <w:marBottom w:val="0"/>
      <w:divBdr>
        <w:top w:val="none" w:sz="0" w:space="0" w:color="auto"/>
        <w:left w:val="none" w:sz="0" w:space="0" w:color="auto"/>
        <w:bottom w:val="none" w:sz="0" w:space="0" w:color="auto"/>
        <w:right w:val="none" w:sz="0" w:space="0" w:color="auto"/>
      </w:divBdr>
    </w:div>
    <w:div w:id="1175027044">
      <w:bodyDiv w:val="1"/>
      <w:marLeft w:val="0"/>
      <w:marRight w:val="0"/>
      <w:marTop w:val="0"/>
      <w:marBottom w:val="0"/>
      <w:divBdr>
        <w:top w:val="none" w:sz="0" w:space="0" w:color="auto"/>
        <w:left w:val="none" w:sz="0" w:space="0" w:color="auto"/>
        <w:bottom w:val="none" w:sz="0" w:space="0" w:color="auto"/>
        <w:right w:val="none" w:sz="0" w:space="0" w:color="auto"/>
      </w:divBdr>
    </w:div>
    <w:div w:id="1175151937">
      <w:bodyDiv w:val="1"/>
      <w:marLeft w:val="0"/>
      <w:marRight w:val="0"/>
      <w:marTop w:val="0"/>
      <w:marBottom w:val="0"/>
      <w:divBdr>
        <w:top w:val="none" w:sz="0" w:space="0" w:color="auto"/>
        <w:left w:val="none" w:sz="0" w:space="0" w:color="auto"/>
        <w:bottom w:val="none" w:sz="0" w:space="0" w:color="auto"/>
        <w:right w:val="none" w:sz="0" w:space="0" w:color="auto"/>
      </w:divBdr>
    </w:div>
    <w:div w:id="1175270544">
      <w:bodyDiv w:val="1"/>
      <w:marLeft w:val="0"/>
      <w:marRight w:val="0"/>
      <w:marTop w:val="0"/>
      <w:marBottom w:val="0"/>
      <w:divBdr>
        <w:top w:val="none" w:sz="0" w:space="0" w:color="auto"/>
        <w:left w:val="none" w:sz="0" w:space="0" w:color="auto"/>
        <w:bottom w:val="none" w:sz="0" w:space="0" w:color="auto"/>
        <w:right w:val="none" w:sz="0" w:space="0" w:color="auto"/>
      </w:divBdr>
    </w:div>
    <w:div w:id="1175339606">
      <w:bodyDiv w:val="1"/>
      <w:marLeft w:val="0"/>
      <w:marRight w:val="0"/>
      <w:marTop w:val="0"/>
      <w:marBottom w:val="0"/>
      <w:divBdr>
        <w:top w:val="none" w:sz="0" w:space="0" w:color="auto"/>
        <w:left w:val="none" w:sz="0" w:space="0" w:color="auto"/>
        <w:bottom w:val="none" w:sz="0" w:space="0" w:color="auto"/>
        <w:right w:val="none" w:sz="0" w:space="0" w:color="auto"/>
      </w:divBdr>
    </w:div>
    <w:div w:id="1175412398">
      <w:bodyDiv w:val="1"/>
      <w:marLeft w:val="0"/>
      <w:marRight w:val="0"/>
      <w:marTop w:val="0"/>
      <w:marBottom w:val="0"/>
      <w:divBdr>
        <w:top w:val="none" w:sz="0" w:space="0" w:color="auto"/>
        <w:left w:val="none" w:sz="0" w:space="0" w:color="auto"/>
        <w:bottom w:val="none" w:sz="0" w:space="0" w:color="auto"/>
        <w:right w:val="none" w:sz="0" w:space="0" w:color="auto"/>
      </w:divBdr>
    </w:div>
    <w:div w:id="1175417548">
      <w:bodyDiv w:val="1"/>
      <w:marLeft w:val="0"/>
      <w:marRight w:val="0"/>
      <w:marTop w:val="0"/>
      <w:marBottom w:val="0"/>
      <w:divBdr>
        <w:top w:val="none" w:sz="0" w:space="0" w:color="auto"/>
        <w:left w:val="none" w:sz="0" w:space="0" w:color="auto"/>
        <w:bottom w:val="none" w:sz="0" w:space="0" w:color="auto"/>
        <w:right w:val="none" w:sz="0" w:space="0" w:color="auto"/>
      </w:divBdr>
    </w:div>
    <w:div w:id="1175418429">
      <w:bodyDiv w:val="1"/>
      <w:marLeft w:val="0"/>
      <w:marRight w:val="0"/>
      <w:marTop w:val="0"/>
      <w:marBottom w:val="0"/>
      <w:divBdr>
        <w:top w:val="none" w:sz="0" w:space="0" w:color="auto"/>
        <w:left w:val="none" w:sz="0" w:space="0" w:color="auto"/>
        <w:bottom w:val="none" w:sz="0" w:space="0" w:color="auto"/>
        <w:right w:val="none" w:sz="0" w:space="0" w:color="auto"/>
      </w:divBdr>
    </w:div>
    <w:div w:id="1175457231">
      <w:bodyDiv w:val="1"/>
      <w:marLeft w:val="0"/>
      <w:marRight w:val="0"/>
      <w:marTop w:val="0"/>
      <w:marBottom w:val="0"/>
      <w:divBdr>
        <w:top w:val="none" w:sz="0" w:space="0" w:color="auto"/>
        <w:left w:val="none" w:sz="0" w:space="0" w:color="auto"/>
        <w:bottom w:val="none" w:sz="0" w:space="0" w:color="auto"/>
        <w:right w:val="none" w:sz="0" w:space="0" w:color="auto"/>
      </w:divBdr>
    </w:div>
    <w:div w:id="1175463500">
      <w:bodyDiv w:val="1"/>
      <w:marLeft w:val="0"/>
      <w:marRight w:val="0"/>
      <w:marTop w:val="0"/>
      <w:marBottom w:val="0"/>
      <w:divBdr>
        <w:top w:val="none" w:sz="0" w:space="0" w:color="auto"/>
        <w:left w:val="none" w:sz="0" w:space="0" w:color="auto"/>
        <w:bottom w:val="none" w:sz="0" w:space="0" w:color="auto"/>
        <w:right w:val="none" w:sz="0" w:space="0" w:color="auto"/>
      </w:divBdr>
    </w:div>
    <w:div w:id="1175533521">
      <w:bodyDiv w:val="1"/>
      <w:marLeft w:val="0"/>
      <w:marRight w:val="0"/>
      <w:marTop w:val="0"/>
      <w:marBottom w:val="0"/>
      <w:divBdr>
        <w:top w:val="none" w:sz="0" w:space="0" w:color="auto"/>
        <w:left w:val="none" w:sz="0" w:space="0" w:color="auto"/>
        <w:bottom w:val="none" w:sz="0" w:space="0" w:color="auto"/>
        <w:right w:val="none" w:sz="0" w:space="0" w:color="auto"/>
      </w:divBdr>
    </w:div>
    <w:div w:id="1175535739">
      <w:bodyDiv w:val="1"/>
      <w:marLeft w:val="0"/>
      <w:marRight w:val="0"/>
      <w:marTop w:val="0"/>
      <w:marBottom w:val="0"/>
      <w:divBdr>
        <w:top w:val="none" w:sz="0" w:space="0" w:color="auto"/>
        <w:left w:val="none" w:sz="0" w:space="0" w:color="auto"/>
        <w:bottom w:val="none" w:sz="0" w:space="0" w:color="auto"/>
        <w:right w:val="none" w:sz="0" w:space="0" w:color="auto"/>
      </w:divBdr>
    </w:div>
    <w:div w:id="1175655157">
      <w:bodyDiv w:val="1"/>
      <w:marLeft w:val="0"/>
      <w:marRight w:val="0"/>
      <w:marTop w:val="0"/>
      <w:marBottom w:val="0"/>
      <w:divBdr>
        <w:top w:val="none" w:sz="0" w:space="0" w:color="auto"/>
        <w:left w:val="none" w:sz="0" w:space="0" w:color="auto"/>
        <w:bottom w:val="none" w:sz="0" w:space="0" w:color="auto"/>
        <w:right w:val="none" w:sz="0" w:space="0" w:color="auto"/>
      </w:divBdr>
    </w:div>
    <w:div w:id="1175802906">
      <w:bodyDiv w:val="1"/>
      <w:marLeft w:val="0"/>
      <w:marRight w:val="0"/>
      <w:marTop w:val="0"/>
      <w:marBottom w:val="0"/>
      <w:divBdr>
        <w:top w:val="none" w:sz="0" w:space="0" w:color="auto"/>
        <w:left w:val="none" w:sz="0" w:space="0" w:color="auto"/>
        <w:bottom w:val="none" w:sz="0" w:space="0" w:color="auto"/>
        <w:right w:val="none" w:sz="0" w:space="0" w:color="auto"/>
      </w:divBdr>
    </w:div>
    <w:div w:id="1175850887">
      <w:bodyDiv w:val="1"/>
      <w:marLeft w:val="0"/>
      <w:marRight w:val="0"/>
      <w:marTop w:val="0"/>
      <w:marBottom w:val="0"/>
      <w:divBdr>
        <w:top w:val="none" w:sz="0" w:space="0" w:color="auto"/>
        <w:left w:val="none" w:sz="0" w:space="0" w:color="auto"/>
        <w:bottom w:val="none" w:sz="0" w:space="0" w:color="auto"/>
        <w:right w:val="none" w:sz="0" w:space="0" w:color="auto"/>
      </w:divBdr>
    </w:div>
    <w:div w:id="1175877924">
      <w:bodyDiv w:val="1"/>
      <w:marLeft w:val="0"/>
      <w:marRight w:val="0"/>
      <w:marTop w:val="0"/>
      <w:marBottom w:val="0"/>
      <w:divBdr>
        <w:top w:val="none" w:sz="0" w:space="0" w:color="auto"/>
        <w:left w:val="none" w:sz="0" w:space="0" w:color="auto"/>
        <w:bottom w:val="none" w:sz="0" w:space="0" w:color="auto"/>
        <w:right w:val="none" w:sz="0" w:space="0" w:color="auto"/>
      </w:divBdr>
    </w:div>
    <w:div w:id="1175925841">
      <w:bodyDiv w:val="1"/>
      <w:marLeft w:val="0"/>
      <w:marRight w:val="0"/>
      <w:marTop w:val="0"/>
      <w:marBottom w:val="0"/>
      <w:divBdr>
        <w:top w:val="none" w:sz="0" w:space="0" w:color="auto"/>
        <w:left w:val="none" w:sz="0" w:space="0" w:color="auto"/>
        <w:bottom w:val="none" w:sz="0" w:space="0" w:color="auto"/>
        <w:right w:val="none" w:sz="0" w:space="0" w:color="auto"/>
      </w:divBdr>
    </w:div>
    <w:div w:id="1176000552">
      <w:bodyDiv w:val="1"/>
      <w:marLeft w:val="0"/>
      <w:marRight w:val="0"/>
      <w:marTop w:val="0"/>
      <w:marBottom w:val="0"/>
      <w:divBdr>
        <w:top w:val="none" w:sz="0" w:space="0" w:color="auto"/>
        <w:left w:val="none" w:sz="0" w:space="0" w:color="auto"/>
        <w:bottom w:val="none" w:sz="0" w:space="0" w:color="auto"/>
        <w:right w:val="none" w:sz="0" w:space="0" w:color="auto"/>
      </w:divBdr>
    </w:div>
    <w:div w:id="1176069486">
      <w:bodyDiv w:val="1"/>
      <w:marLeft w:val="0"/>
      <w:marRight w:val="0"/>
      <w:marTop w:val="0"/>
      <w:marBottom w:val="0"/>
      <w:divBdr>
        <w:top w:val="none" w:sz="0" w:space="0" w:color="auto"/>
        <w:left w:val="none" w:sz="0" w:space="0" w:color="auto"/>
        <w:bottom w:val="none" w:sz="0" w:space="0" w:color="auto"/>
        <w:right w:val="none" w:sz="0" w:space="0" w:color="auto"/>
      </w:divBdr>
    </w:div>
    <w:div w:id="1176069873">
      <w:bodyDiv w:val="1"/>
      <w:marLeft w:val="0"/>
      <w:marRight w:val="0"/>
      <w:marTop w:val="0"/>
      <w:marBottom w:val="0"/>
      <w:divBdr>
        <w:top w:val="none" w:sz="0" w:space="0" w:color="auto"/>
        <w:left w:val="none" w:sz="0" w:space="0" w:color="auto"/>
        <w:bottom w:val="none" w:sz="0" w:space="0" w:color="auto"/>
        <w:right w:val="none" w:sz="0" w:space="0" w:color="auto"/>
      </w:divBdr>
    </w:div>
    <w:div w:id="1176071249">
      <w:bodyDiv w:val="1"/>
      <w:marLeft w:val="0"/>
      <w:marRight w:val="0"/>
      <w:marTop w:val="0"/>
      <w:marBottom w:val="0"/>
      <w:divBdr>
        <w:top w:val="none" w:sz="0" w:space="0" w:color="auto"/>
        <w:left w:val="none" w:sz="0" w:space="0" w:color="auto"/>
        <w:bottom w:val="none" w:sz="0" w:space="0" w:color="auto"/>
        <w:right w:val="none" w:sz="0" w:space="0" w:color="auto"/>
      </w:divBdr>
    </w:div>
    <w:div w:id="1176073247">
      <w:bodyDiv w:val="1"/>
      <w:marLeft w:val="0"/>
      <w:marRight w:val="0"/>
      <w:marTop w:val="0"/>
      <w:marBottom w:val="0"/>
      <w:divBdr>
        <w:top w:val="none" w:sz="0" w:space="0" w:color="auto"/>
        <w:left w:val="none" w:sz="0" w:space="0" w:color="auto"/>
        <w:bottom w:val="none" w:sz="0" w:space="0" w:color="auto"/>
        <w:right w:val="none" w:sz="0" w:space="0" w:color="auto"/>
      </w:divBdr>
    </w:div>
    <w:div w:id="1176074574">
      <w:bodyDiv w:val="1"/>
      <w:marLeft w:val="0"/>
      <w:marRight w:val="0"/>
      <w:marTop w:val="0"/>
      <w:marBottom w:val="0"/>
      <w:divBdr>
        <w:top w:val="none" w:sz="0" w:space="0" w:color="auto"/>
        <w:left w:val="none" w:sz="0" w:space="0" w:color="auto"/>
        <w:bottom w:val="none" w:sz="0" w:space="0" w:color="auto"/>
        <w:right w:val="none" w:sz="0" w:space="0" w:color="auto"/>
      </w:divBdr>
    </w:div>
    <w:div w:id="1176110527">
      <w:bodyDiv w:val="1"/>
      <w:marLeft w:val="0"/>
      <w:marRight w:val="0"/>
      <w:marTop w:val="0"/>
      <w:marBottom w:val="0"/>
      <w:divBdr>
        <w:top w:val="none" w:sz="0" w:space="0" w:color="auto"/>
        <w:left w:val="none" w:sz="0" w:space="0" w:color="auto"/>
        <w:bottom w:val="none" w:sz="0" w:space="0" w:color="auto"/>
        <w:right w:val="none" w:sz="0" w:space="0" w:color="auto"/>
      </w:divBdr>
    </w:div>
    <w:div w:id="1176114017">
      <w:bodyDiv w:val="1"/>
      <w:marLeft w:val="0"/>
      <w:marRight w:val="0"/>
      <w:marTop w:val="0"/>
      <w:marBottom w:val="0"/>
      <w:divBdr>
        <w:top w:val="none" w:sz="0" w:space="0" w:color="auto"/>
        <w:left w:val="none" w:sz="0" w:space="0" w:color="auto"/>
        <w:bottom w:val="none" w:sz="0" w:space="0" w:color="auto"/>
        <w:right w:val="none" w:sz="0" w:space="0" w:color="auto"/>
      </w:divBdr>
    </w:div>
    <w:div w:id="1176191214">
      <w:bodyDiv w:val="1"/>
      <w:marLeft w:val="0"/>
      <w:marRight w:val="0"/>
      <w:marTop w:val="0"/>
      <w:marBottom w:val="0"/>
      <w:divBdr>
        <w:top w:val="none" w:sz="0" w:space="0" w:color="auto"/>
        <w:left w:val="none" w:sz="0" w:space="0" w:color="auto"/>
        <w:bottom w:val="none" w:sz="0" w:space="0" w:color="auto"/>
        <w:right w:val="none" w:sz="0" w:space="0" w:color="auto"/>
      </w:divBdr>
    </w:div>
    <w:div w:id="1176336085">
      <w:bodyDiv w:val="1"/>
      <w:marLeft w:val="0"/>
      <w:marRight w:val="0"/>
      <w:marTop w:val="0"/>
      <w:marBottom w:val="0"/>
      <w:divBdr>
        <w:top w:val="none" w:sz="0" w:space="0" w:color="auto"/>
        <w:left w:val="none" w:sz="0" w:space="0" w:color="auto"/>
        <w:bottom w:val="none" w:sz="0" w:space="0" w:color="auto"/>
        <w:right w:val="none" w:sz="0" w:space="0" w:color="auto"/>
      </w:divBdr>
    </w:div>
    <w:div w:id="1176534424">
      <w:bodyDiv w:val="1"/>
      <w:marLeft w:val="0"/>
      <w:marRight w:val="0"/>
      <w:marTop w:val="0"/>
      <w:marBottom w:val="0"/>
      <w:divBdr>
        <w:top w:val="none" w:sz="0" w:space="0" w:color="auto"/>
        <w:left w:val="none" w:sz="0" w:space="0" w:color="auto"/>
        <w:bottom w:val="none" w:sz="0" w:space="0" w:color="auto"/>
        <w:right w:val="none" w:sz="0" w:space="0" w:color="auto"/>
      </w:divBdr>
    </w:div>
    <w:div w:id="1176769944">
      <w:bodyDiv w:val="1"/>
      <w:marLeft w:val="0"/>
      <w:marRight w:val="0"/>
      <w:marTop w:val="0"/>
      <w:marBottom w:val="0"/>
      <w:divBdr>
        <w:top w:val="none" w:sz="0" w:space="0" w:color="auto"/>
        <w:left w:val="none" w:sz="0" w:space="0" w:color="auto"/>
        <w:bottom w:val="none" w:sz="0" w:space="0" w:color="auto"/>
        <w:right w:val="none" w:sz="0" w:space="0" w:color="auto"/>
      </w:divBdr>
    </w:div>
    <w:div w:id="1176847931">
      <w:bodyDiv w:val="1"/>
      <w:marLeft w:val="0"/>
      <w:marRight w:val="0"/>
      <w:marTop w:val="0"/>
      <w:marBottom w:val="0"/>
      <w:divBdr>
        <w:top w:val="none" w:sz="0" w:space="0" w:color="auto"/>
        <w:left w:val="none" w:sz="0" w:space="0" w:color="auto"/>
        <w:bottom w:val="none" w:sz="0" w:space="0" w:color="auto"/>
        <w:right w:val="none" w:sz="0" w:space="0" w:color="auto"/>
      </w:divBdr>
    </w:div>
    <w:div w:id="1176849771">
      <w:bodyDiv w:val="1"/>
      <w:marLeft w:val="0"/>
      <w:marRight w:val="0"/>
      <w:marTop w:val="0"/>
      <w:marBottom w:val="0"/>
      <w:divBdr>
        <w:top w:val="none" w:sz="0" w:space="0" w:color="auto"/>
        <w:left w:val="none" w:sz="0" w:space="0" w:color="auto"/>
        <w:bottom w:val="none" w:sz="0" w:space="0" w:color="auto"/>
        <w:right w:val="none" w:sz="0" w:space="0" w:color="auto"/>
      </w:divBdr>
    </w:div>
    <w:div w:id="1176963163">
      <w:bodyDiv w:val="1"/>
      <w:marLeft w:val="0"/>
      <w:marRight w:val="0"/>
      <w:marTop w:val="0"/>
      <w:marBottom w:val="0"/>
      <w:divBdr>
        <w:top w:val="none" w:sz="0" w:space="0" w:color="auto"/>
        <w:left w:val="none" w:sz="0" w:space="0" w:color="auto"/>
        <w:bottom w:val="none" w:sz="0" w:space="0" w:color="auto"/>
        <w:right w:val="none" w:sz="0" w:space="0" w:color="auto"/>
      </w:divBdr>
    </w:div>
    <w:div w:id="1176992832">
      <w:bodyDiv w:val="1"/>
      <w:marLeft w:val="0"/>
      <w:marRight w:val="0"/>
      <w:marTop w:val="0"/>
      <w:marBottom w:val="0"/>
      <w:divBdr>
        <w:top w:val="none" w:sz="0" w:space="0" w:color="auto"/>
        <w:left w:val="none" w:sz="0" w:space="0" w:color="auto"/>
        <w:bottom w:val="none" w:sz="0" w:space="0" w:color="auto"/>
        <w:right w:val="none" w:sz="0" w:space="0" w:color="auto"/>
      </w:divBdr>
    </w:div>
    <w:div w:id="1177036288">
      <w:bodyDiv w:val="1"/>
      <w:marLeft w:val="0"/>
      <w:marRight w:val="0"/>
      <w:marTop w:val="0"/>
      <w:marBottom w:val="0"/>
      <w:divBdr>
        <w:top w:val="none" w:sz="0" w:space="0" w:color="auto"/>
        <w:left w:val="none" w:sz="0" w:space="0" w:color="auto"/>
        <w:bottom w:val="none" w:sz="0" w:space="0" w:color="auto"/>
        <w:right w:val="none" w:sz="0" w:space="0" w:color="auto"/>
      </w:divBdr>
    </w:div>
    <w:div w:id="1177114863">
      <w:bodyDiv w:val="1"/>
      <w:marLeft w:val="0"/>
      <w:marRight w:val="0"/>
      <w:marTop w:val="0"/>
      <w:marBottom w:val="0"/>
      <w:divBdr>
        <w:top w:val="none" w:sz="0" w:space="0" w:color="auto"/>
        <w:left w:val="none" w:sz="0" w:space="0" w:color="auto"/>
        <w:bottom w:val="none" w:sz="0" w:space="0" w:color="auto"/>
        <w:right w:val="none" w:sz="0" w:space="0" w:color="auto"/>
      </w:divBdr>
    </w:div>
    <w:div w:id="1177229367">
      <w:bodyDiv w:val="1"/>
      <w:marLeft w:val="0"/>
      <w:marRight w:val="0"/>
      <w:marTop w:val="0"/>
      <w:marBottom w:val="0"/>
      <w:divBdr>
        <w:top w:val="none" w:sz="0" w:space="0" w:color="auto"/>
        <w:left w:val="none" w:sz="0" w:space="0" w:color="auto"/>
        <w:bottom w:val="none" w:sz="0" w:space="0" w:color="auto"/>
        <w:right w:val="none" w:sz="0" w:space="0" w:color="auto"/>
      </w:divBdr>
    </w:div>
    <w:div w:id="1177303544">
      <w:bodyDiv w:val="1"/>
      <w:marLeft w:val="0"/>
      <w:marRight w:val="0"/>
      <w:marTop w:val="0"/>
      <w:marBottom w:val="0"/>
      <w:divBdr>
        <w:top w:val="none" w:sz="0" w:space="0" w:color="auto"/>
        <w:left w:val="none" w:sz="0" w:space="0" w:color="auto"/>
        <w:bottom w:val="none" w:sz="0" w:space="0" w:color="auto"/>
        <w:right w:val="none" w:sz="0" w:space="0" w:color="auto"/>
      </w:divBdr>
    </w:div>
    <w:div w:id="1177305403">
      <w:bodyDiv w:val="1"/>
      <w:marLeft w:val="0"/>
      <w:marRight w:val="0"/>
      <w:marTop w:val="0"/>
      <w:marBottom w:val="0"/>
      <w:divBdr>
        <w:top w:val="none" w:sz="0" w:space="0" w:color="auto"/>
        <w:left w:val="none" w:sz="0" w:space="0" w:color="auto"/>
        <w:bottom w:val="none" w:sz="0" w:space="0" w:color="auto"/>
        <w:right w:val="none" w:sz="0" w:space="0" w:color="auto"/>
      </w:divBdr>
    </w:div>
    <w:div w:id="1177311127">
      <w:bodyDiv w:val="1"/>
      <w:marLeft w:val="0"/>
      <w:marRight w:val="0"/>
      <w:marTop w:val="0"/>
      <w:marBottom w:val="0"/>
      <w:divBdr>
        <w:top w:val="none" w:sz="0" w:space="0" w:color="auto"/>
        <w:left w:val="none" w:sz="0" w:space="0" w:color="auto"/>
        <w:bottom w:val="none" w:sz="0" w:space="0" w:color="auto"/>
        <w:right w:val="none" w:sz="0" w:space="0" w:color="auto"/>
      </w:divBdr>
    </w:div>
    <w:div w:id="1177430019">
      <w:bodyDiv w:val="1"/>
      <w:marLeft w:val="0"/>
      <w:marRight w:val="0"/>
      <w:marTop w:val="0"/>
      <w:marBottom w:val="0"/>
      <w:divBdr>
        <w:top w:val="none" w:sz="0" w:space="0" w:color="auto"/>
        <w:left w:val="none" w:sz="0" w:space="0" w:color="auto"/>
        <w:bottom w:val="none" w:sz="0" w:space="0" w:color="auto"/>
        <w:right w:val="none" w:sz="0" w:space="0" w:color="auto"/>
      </w:divBdr>
    </w:div>
    <w:div w:id="1177430243">
      <w:bodyDiv w:val="1"/>
      <w:marLeft w:val="0"/>
      <w:marRight w:val="0"/>
      <w:marTop w:val="0"/>
      <w:marBottom w:val="0"/>
      <w:divBdr>
        <w:top w:val="none" w:sz="0" w:space="0" w:color="auto"/>
        <w:left w:val="none" w:sz="0" w:space="0" w:color="auto"/>
        <w:bottom w:val="none" w:sz="0" w:space="0" w:color="auto"/>
        <w:right w:val="none" w:sz="0" w:space="0" w:color="auto"/>
      </w:divBdr>
    </w:div>
    <w:div w:id="1177497278">
      <w:bodyDiv w:val="1"/>
      <w:marLeft w:val="0"/>
      <w:marRight w:val="0"/>
      <w:marTop w:val="0"/>
      <w:marBottom w:val="0"/>
      <w:divBdr>
        <w:top w:val="none" w:sz="0" w:space="0" w:color="auto"/>
        <w:left w:val="none" w:sz="0" w:space="0" w:color="auto"/>
        <w:bottom w:val="none" w:sz="0" w:space="0" w:color="auto"/>
        <w:right w:val="none" w:sz="0" w:space="0" w:color="auto"/>
      </w:divBdr>
    </w:div>
    <w:div w:id="1177573369">
      <w:bodyDiv w:val="1"/>
      <w:marLeft w:val="0"/>
      <w:marRight w:val="0"/>
      <w:marTop w:val="0"/>
      <w:marBottom w:val="0"/>
      <w:divBdr>
        <w:top w:val="none" w:sz="0" w:space="0" w:color="auto"/>
        <w:left w:val="none" w:sz="0" w:space="0" w:color="auto"/>
        <w:bottom w:val="none" w:sz="0" w:space="0" w:color="auto"/>
        <w:right w:val="none" w:sz="0" w:space="0" w:color="auto"/>
      </w:divBdr>
    </w:div>
    <w:div w:id="1177965493">
      <w:bodyDiv w:val="1"/>
      <w:marLeft w:val="0"/>
      <w:marRight w:val="0"/>
      <w:marTop w:val="0"/>
      <w:marBottom w:val="0"/>
      <w:divBdr>
        <w:top w:val="none" w:sz="0" w:space="0" w:color="auto"/>
        <w:left w:val="none" w:sz="0" w:space="0" w:color="auto"/>
        <w:bottom w:val="none" w:sz="0" w:space="0" w:color="auto"/>
        <w:right w:val="none" w:sz="0" w:space="0" w:color="auto"/>
      </w:divBdr>
    </w:div>
    <w:div w:id="1177966507">
      <w:bodyDiv w:val="1"/>
      <w:marLeft w:val="0"/>
      <w:marRight w:val="0"/>
      <w:marTop w:val="0"/>
      <w:marBottom w:val="0"/>
      <w:divBdr>
        <w:top w:val="none" w:sz="0" w:space="0" w:color="auto"/>
        <w:left w:val="none" w:sz="0" w:space="0" w:color="auto"/>
        <w:bottom w:val="none" w:sz="0" w:space="0" w:color="auto"/>
        <w:right w:val="none" w:sz="0" w:space="0" w:color="auto"/>
      </w:divBdr>
    </w:div>
    <w:div w:id="1177966530">
      <w:bodyDiv w:val="1"/>
      <w:marLeft w:val="0"/>
      <w:marRight w:val="0"/>
      <w:marTop w:val="0"/>
      <w:marBottom w:val="0"/>
      <w:divBdr>
        <w:top w:val="none" w:sz="0" w:space="0" w:color="auto"/>
        <w:left w:val="none" w:sz="0" w:space="0" w:color="auto"/>
        <w:bottom w:val="none" w:sz="0" w:space="0" w:color="auto"/>
        <w:right w:val="none" w:sz="0" w:space="0" w:color="auto"/>
      </w:divBdr>
    </w:div>
    <w:div w:id="1178036908">
      <w:bodyDiv w:val="1"/>
      <w:marLeft w:val="0"/>
      <w:marRight w:val="0"/>
      <w:marTop w:val="0"/>
      <w:marBottom w:val="0"/>
      <w:divBdr>
        <w:top w:val="none" w:sz="0" w:space="0" w:color="auto"/>
        <w:left w:val="none" w:sz="0" w:space="0" w:color="auto"/>
        <w:bottom w:val="none" w:sz="0" w:space="0" w:color="auto"/>
        <w:right w:val="none" w:sz="0" w:space="0" w:color="auto"/>
      </w:divBdr>
    </w:div>
    <w:div w:id="1178038790">
      <w:bodyDiv w:val="1"/>
      <w:marLeft w:val="0"/>
      <w:marRight w:val="0"/>
      <w:marTop w:val="0"/>
      <w:marBottom w:val="0"/>
      <w:divBdr>
        <w:top w:val="none" w:sz="0" w:space="0" w:color="auto"/>
        <w:left w:val="none" w:sz="0" w:space="0" w:color="auto"/>
        <w:bottom w:val="none" w:sz="0" w:space="0" w:color="auto"/>
        <w:right w:val="none" w:sz="0" w:space="0" w:color="auto"/>
      </w:divBdr>
    </w:div>
    <w:div w:id="1178079912">
      <w:bodyDiv w:val="1"/>
      <w:marLeft w:val="0"/>
      <w:marRight w:val="0"/>
      <w:marTop w:val="0"/>
      <w:marBottom w:val="0"/>
      <w:divBdr>
        <w:top w:val="none" w:sz="0" w:space="0" w:color="auto"/>
        <w:left w:val="none" w:sz="0" w:space="0" w:color="auto"/>
        <w:bottom w:val="none" w:sz="0" w:space="0" w:color="auto"/>
        <w:right w:val="none" w:sz="0" w:space="0" w:color="auto"/>
      </w:divBdr>
    </w:div>
    <w:div w:id="1178228071">
      <w:bodyDiv w:val="1"/>
      <w:marLeft w:val="0"/>
      <w:marRight w:val="0"/>
      <w:marTop w:val="0"/>
      <w:marBottom w:val="0"/>
      <w:divBdr>
        <w:top w:val="none" w:sz="0" w:space="0" w:color="auto"/>
        <w:left w:val="none" w:sz="0" w:space="0" w:color="auto"/>
        <w:bottom w:val="none" w:sz="0" w:space="0" w:color="auto"/>
        <w:right w:val="none" w:sz="0" w:space="0" w:color="auto"/>
      </w:divBdr>
    </w:div>
    <w:div w:id="1178231529">
      <w:bodyDiv w:val="1"/>
      <w:marLeft w:val="0"/>
      <w:marRight w:val="0"/>
      <w:marTop w:val="0"/>
      <w:marBottom w:val="0"/>
      <w:divBdr>
        <w:top w:val="none" w:sz="0" w:space="0" w:color="auto"/>
        <w:left w:val="none" w:sz="0" w:space="0" w:color="auto"/>
        <w:bottom w:val="none" w:sz="0" w:space="0" w:color="auto"/>
        <w:right w:val="none" w:sz="0" w:space="0" w:color="auto"/>
      </w:divBdr>
    </w:div>
    <w:div w:id="1178273388">
      <w:bodyDiv w:val="1"/>
      <w:marLeft w:val="0"/>
      <w:marRight w:val="0"/>
      <w:marTop w:val="0"/>
      <w:marBottom w:val="0"/>
      <w:divBdr>
        <w:top w:val="none" w:sz="0" w:space="0" w:color="auto"/>
        <w:left w:val="none" w:sz="0" w:space="0" w:color="auto"/>
        <w:bottom w:val="none" w:sz="0" w:space="0" w:color="auto"/>
        <w:right w:val="none" w:sz="0" w:space="0" w:color="auto"/>
      </w:divBdr>
    </w:div>
    <w:div w:id="1178421927">
      <w:bodyDiv w:val="1"/>
      <w:marLeft w:val="0"/>
      <w:marRight w:val="0"/>
      <w:marTop w:val="0"/>
      <w:marBottom w:val="0"/>
      <w:divBdr>
        <w:top w:val="none" w:sz="0" w:space="0" w:color="auto"/>
        <w:left w:val="none" w:sz="0" w:space="0" w:color="auto"/>
        <w:bottom w:val="none" w:sz="0" w:space="0" w:color="auto"/>
        <w:right w:val="none" w:sz="0" w:space="0" w:color="auto"/>
      </w:divBdr>
    </w:div>
    <w:div w:id="1178470517">
      <w:bodyDiv w:val="1"/>
      <w:marLeft w:val="0"/>
      <w:marRight w:val="0"/>
      <w:marTop w:val="0"/>
      <w:marBottom w:val="0"/>
      <w:divBdr>
        <w:top w:val="none" w:sz="0" w:space="0" w:color="auto"/>
        <w:left w:val="none" w:sz="0" w:space="0" w:color="auto"/>
        <w:bottom w:val="none" w:sz="0" w:space="0" w:color="auto"/>
        <w:right w:val="none" w:sz="0" w:space="0" w:color="auto"/>
      </w:divBdr>
    </w:div>
    <w:div w:id="1178497645">
      <w:bodyDiv w:val="1"/>
      <w:marLeft w:val="0"/>
      <w:marRight w:val="0"/>
      <w:marTop w:val="0"/>
      <w:marBottom w:val="0"/>
      <w:divBdr>
        <w:top w:val="none" w:sz="0" w:space="0" w:color="auto"/>
        <w:left w:val="none" w:sz="0" w:space="0" w:color="auto"/>
        <w:bottom w:val="none" w:sz="0" w:space="0" w:color="auto"/>
        <w:right w:val="none" w:sz="0" w:space="0" w:color="auto"/>
      </w:divBdr>
    </w:div>
    <w:div w:id="1178498754">
      <w:bodyDiv w:val="1"/>
      <w:marLeft w:val="0"/>
      <w:marRight w:val="0"/>
      <w:marTop w:val="0"/>
      <w:marBottom w:val="0"/>
      <w:divBdr>
        <w:top w:val="none" w:sz="0" w:space="0" w:color="auto"/>
        <w:left w:val="none" w:sz="0" w:space="0" w:color="auto"/>
        <w:bottom w:val="none" w:sz="0" w:space="0" w:color="auto"/>
        <w:right w:val="none" w:sz="0" w:space="0" w:color="auto"/>
      </w:divBdr>
    </w:div>
    <w:div w:id="1178500822">
      <w:bodyDiv w:val="1"/>
      <w:marLeft w:val="0"/>
      <w:marRight w:val="0"/>
      <w:marTop w:val="0"/>
      <w:marBottom w:val="0"/>
      <w:divBdr>
        <w:top w:val="none" w:sz="0" w:space="0" w:color="auto"/>
        <w:left w:val="none" w:sz="0" w:space="0" w:color="auto"/>
        <w:bottom w:val="none" w:sz="0" w:space="0" w:color="auto"/>
        <w:right w:val="none" w:sz="0" w:space="0" w:color="auto"/>
      </w:divBdr>
    </w:div>
    <w:div w:id="1178617140">
      <w:bodyDiv w:val="1"/>
      <w:marLeft w:val="0"/>
      <w:marRight w:val="0"/>
      <w:marTop w:val="0"/>
      <w:marBottom w:val="0"/>
      <w:divBdr>
        <w:top w:val="none" w:sz="0" w:space="0" w:color="auto"/>
        <w:left w:val="none" w:sz="0" w:space="0" w:color="auto"/>
        <w:bottom w:val="none" w:sz="0" w:space="0" w:color="auto"/>
        <w:right w:val="none" w:sz="0" w:space="0" w:color="auto"/>
      </w:divBdr>
    </w:div>
    <w:div w:id="1178736833">
      <w:bodyDiv w:val="1"/>
      <w:marLeft w:val="0"/>
      <w:marRight w:val="0"/>
      <w:marTop w:val="0"/>
      <w:marBottom w:val="0"/>
      <w:divBdr>
        <w:top w:val="none" w:sz="0" w:space="0" w:color="auto"/>
        <w:left w:val="none" w:sz="0" w:space="0" w:color="auto"/>
        <w:bottom w:val="none" w:sz="0" w:space="0" w:color="auto"/>
        <w:right w:val="none" w:sz="0" w:space="0" w:color="auto"/>
      </w:divBdr>
    </w:div>
    <w:div w:id="1178809050">
      <w:bodyDiv w:val="1"/>
      <w:marLeft w:val="0"/>
      <w:marRight w:val="0"/>
      <w:marTop w:val="0"/>
      <w:marBottom w:val="0"/>
      <w:divBdr>
        <w:top w:val="none" w:sz="0" w:space="0" w:color="auto"/>
        <w:left w:val="none" w:sz="0" w:space="0" w:color="auto"/>
        <w:bottom w:val="none" w:sz="0" w:space="0" w:color="auto"/>
        <w:right w:val="none" w:sz="0" w:space="0" w:color="auto"/>
      </w:divBdr>
    </w:div>
    <w:div w:id="1178888541">
      <w:bodyDiv w:val="1"/>
      <w:marLeft w:val="0"/>
      <w:marRight w:val="0"/>
      <w:marTop w:val="0"/>
      <w:marBottom w:val="0"/>
      <w:divBdr>
        <w:top w:val="none" w:sz="0" w:space="0" w:color="auto"/>
        <w:left w:val="none" w:sz="0" w:space="0" w:color="auto"/>
        <w:bottom w:val="none" w:sz="0" w:space="0" w:color="auto"/>
        <w:right w:val="none" w:sz="0" w:space="0" w:color="auto"/>
      </w:divBdr>
    </w:div>
    <w:div w:id="1178927719">
      <w:bodyDiv w:val="1"/>
      <w:marLeft w:val="0"/>
      <w:marRight w:val="0"/>
      <w:marTop w:val="0"/>
      <w:marBottom w:val="0"/>
      <w:divBdr>
        <w:top w:val="none" w:sz="0" w:space="0" w:color="auto"/>
        <w:left w:val="none" w:sz="0" w:space="0" w:color="auto"/>
        <w:bottom w:val="none" w:sz="0" w:space="0" w:color="auto"/>
        <w:right w:val="none" w:sz="0" w:space="0" w:color="auto"/>
      </w:divBdr>
    </w:div>
    <w:div w:id="1179001090">
      <w:bodyDiv w:val="1"/>
      <w:marLeft w:val="0"/>
      <w:marRight w:val="0"/>
      <w:marTop w:val="0"/>
      <w:marBottom w:val="0"/>
      <w:divBdr>
        <w:top w:val="none" w:sz="0" w:space="0" w:color="auto"/>
        <w:left w:val="none" w:sz="0" w:space="0" w:color="auto"/>
        <w:bottom w:val="none" w:sz="0" w:space="0" w:color="auto"/>
        <w:right w:val="none" w:sz="0" w:space="0" w:color="auto"/>
      </w:divBdr>
    </w:div>
    <w:div w:id="1179080496">
      <w:bodyDiv w:val="1"/>
      <w:marLeft w:val="0"/>
      <w:marRight w:val="0"/>
      <w:marTop w:val="0"/>
      <w:marBottom w:val="0"/>
      <w:divBdr>
        <w:top w:val="none" w:sz="0" w:space="0" w:color="auto"/>
        <w:left w:val="none" w:sz="0" w:space="0" w:color="auto"/>
        <w:bottom w:val="none" w:sz="0" w:space="0" w:color="auto"/>
        <w:right w:val="none" w:sz="0" w:space="0" w:color="auto"/>
      </w:divBdr>
    </w:div>
    <w:div w:id="1179151549">
      <w:bodyDiv w:val="1"/>
      <w:marLeft w:val="0"/>
      <w:marRight w:val="0"/>
      <w:marTop w:val="0"/>
      <w:marBottom w:val="0"/>
      <w:divBdr>
        <w:top w:val="none" w:sz="0" w:space="0" w:color="auto"/>
        <w:left w:val="none" w:sz="0" w:space="0" w:color="auto"/>
        <w:bottom w:val="none" w:sz="0" w:space="0" w:color="auto"/>
        <w:right w:val="none" w:sz="0" w:space="0" w:color="auto"/>
      </w:divBdr>
    </w:div>
    <w:div w:id="1179153688">
      <w:bodyDiv w:val="1"/>
      <w:marLeft w:val="0"/>
      <w:marRight w:val="0"/>
      <w:marTop w:val="0"/>
      <w:marBottom w:val="0"/>
      <w:divBdr>
        <w:top w:val="none" w:sz="0" w:space="0" w:color="auto"/>
        <w:left w:val="none" w:sz="0" w:space="0" w:color="auto"/>
        <w:bottom w:val="none" w:sz="0" w:space="0" w:color="auto"/>
        <w:right w:val="none" w:sz="0" w:space="0" w:color="auto"/>
      </w:divBdr>
    </w:div>
    <w:div w:id="1179193389">
      <w:bodyDiv w:val="1"/>
      <w:marLeft w:val="0"/>
      <w:marRight w:val="0"/>
      <w:marTop w:val="0"/>
      <w:marBottom w:val="0"/>
      <w:divBdr>
        <w:top w:val="none" w:sz="0" w:space="0" w:color="auto"/>
        <w:left w:val="none" w:sz="0" w:space="0" w:color="auto"/>
        <w:bottom w:val="none" w:sz="0" w:space="0" w:color="auto"/>
        <w:right w:val="none" w:sz="0" w:space="0" w:color="auto"/>
      </w:divBdr>
    </w:div>
    <w:div w:id="1179272498">
      <w:bodyDiv w:val="1"/>
      <w:marLeft w:val="0"/>
      <w:marRight w:val="0"/>
      <w:marTop w:val="0"/>
      <w:marBottom w:val="0"/>
      <w:divBdr>
        <w:top w:val="none" w:sz="0" w:space="0" w:color="auto"/>
        <w:left w:val="none" w:sz="0" w:space="0" w:color="auto"/>
        <w:bottom w:val="none" w:sz="0" w:space="0" w:color="auto"/>
        <w:right w:val="none" w:sz="0" w:space="0" w:color="auto"/>
      </w:divBdr>
    </w:div>
    <w:div w:id="1179273187">
      <w:bodyDiv w:val="1"/>
      <w:marLeft w:val="0"/>
      <w:marRight w:val="0"/>
      <w:marTop w:val="0"/>
      <w:marBottom w:val="0"/>
      <w:divBdr>
        <w:top w:val="none" w:sz="0" w:space="0" w:color="auto"/>
        <w:left w:val="none" w:sz="0" w:space="0" w:color="auto"/>
        <w:bottom w:val="none" w:sz="0" w:space="0" w:color="auto"/>
        <w:right w:val="none" w:sz="0" w:space="0" w:color="auto"/>
      </w:divBdr>
    </w:div>
    <w:div w:id="1179391320">
      <w:bodyDiv w:val="1"/>
      <w:marLeft w:val="0"/>
      <w:marRight w:val="0"/>
      <w:marTop w:val="0"/>
      <w:marBottom w:val="0"/>
      <w:divBdr>
        <w:top w:val="none" w:sz="0" w:space="0" w:color="auto"/>
        <w:left w:val="none" w:sz="0" w:space="0" w:color="auto"/>
        <w:bottom w:val="none" w:sz="0" w:space="0" w:color="auto"/>
        <w:right w:val="none" w:sz="0" w:space="0" w:color="auto"/>
      </w:divBdr>
    </w:div>
    <w:div w:id="1179393410">
      <w:bodyDiv w:val="1"/>
      <w:marLeft w:val="0"/>
      <w:marRight w:val="0"/>
      <w:marTop w:val="0"/>
      <w:marBottom w:val="0"/>
      <w:divBdr>
        <w:top w:val="none" w:sz="0" w:space="0" w:color="auto"/>
        <w:left w:val="none" w:sz="0" w:space="0" w:color="auto"/>
        <w:bottom w:val="none" w:sz="0" w:space="0" w:color="auto"/>
        <w:right w:val="none" w:sz="0" w:space="0" w:color="auto"/>
      </w:divBdr>
    </w:div>
    <w:div w:id="1179463430">
      <w:bodyDiv w:val="1"/>
      <w:marLeft w:val="0"/>
      <w:marRight w:val="0"/>
      <w:marTop w:val="0"/>
      <w:marBottom w:val="0"/>
      <w:divBdr>
        <w:top w:val="none" w:sz="0" w:space="0" w:color="auto"/>
        <w:left w:val="none" w:sz="0" w:space="0" w:color="auto"/>
        <w:bottom w:val="none" w:sz="0" w:space="0" w:color="auto"/>
        <w:right w:val="none" w:sz="0" w:space="0" w:color="auto"/>
      </w:divBdr>
    </w:div>
    <w:div w:id="1179539824">
      <w:bodyDiv w:val="1"/>
      <w:marLeft w:val="0"/>
      <w:marRight w:val="0"/>
      <w:marTop w:val="0"/>
      <w:marBottom w:val="0"/>
      <w:divBdr>
        <w:top w:val="none" w:sz="0" w:space="0" w:color="auto"/>
        <w:left w:val="none" w:sz="0" w:space="0" w:color="auto"/>
        <w:bottom w:val="none" w:sz="0" w:space="0" w:color="auto"/>
        <w:right w:val="none" w:sz="0" w:space="0" w:color="auto"/>
      </w:divBdr>
    </w:div>
    <w:div w:id="1179582901">
      <w:bodyDiv w:val="1"/>
      <w:marLeft w:val="0"/>
      <w:marRight w:val="0"/>
      <w:marTop w:val="0"/>
      <w:marBottom w:val="0"/>
      <w:divBdr>
        <w:top w:val="none" w:sz="0" w:space="0" w:color="auto"/>
        <w:left w:val="none" w:sz="0" w:space="0" w:color="auto"/>
        <w:bottom w:val="none" w:sz="0" w:space="0" w:color="auto"/>
        <w:right w:val="none" w:sz="0" w:space="0" w:color="auto"/>
      </w:divBdr>
    </w:div>
    <w:div w:id="1179780887">
      <w:bodyDiv w:val="1"/>
      <w:marLeft w:val="0"/>
      <w:marRight w:val="0"/>
      <w:marTop w:val="0"/>
      <w:marBottom w:val="0"/>
      <w:divBdr>
        <w:top w:val="none" w:sz="0" w:space="0" w:color="auto"/>
        <w:left w:val="none" w:sz="0" w:space="0" w:color="auto"/>
        <w:bottom w:val="none" w:sz="0" w:space="0" w:color="auto"/>
        <w:right w:val="none" w:sz="0" w:space="0" w:color="auto"/>
      </w:divBdr>
    </w:div>
    <w:div w:id="1179850442">
      <w:bodyDiv w:val="1"/>
      <w:marLeft w:val="0"/>
      <w:marRight w:val="0"/>
      <w:marTop w:val="0"/>
      <w:marBottom w:val="0"/>
      <w:divBdr>
        <w:top w:val="none" w:sz="0" w:space="0" w:color="auto"/>
        <w:left w:val="none" w:sz="0" w:space="0" w:color="auto"/>
        <w:bottom w:val="none" w:sz="0" w:space="0" w:color="auto"/>
        <w:right w:val="none" w:sz="0" w:space="0" w:color="auto"/>
      </w:divBdr>
    </w:div>
    <w:div w:id="1180004598">
      <w:bodyDiv w:val="1"/>
      <w:marLeft w:val="0"/>
      <w:marRight w:val="0"/>
      <w:marTop w:val="0"/>
      <w:marBottom w:val="0"/>
      <w:divBdr>
        <w:top w:val="none" w:sz="0" w:space="0" w:color="auto"/>
        <w:left w:val="none" w:sz="0" w:space="0" w:color="auto"/>
        <w:bottom w:val="none" w:sz="0" w:space="0" w:color="auto"/>
        <w:right w:val="none" w:sz="0" w:space="0" w:color="auto"/>
      </w:divBdr>
    </w:div>
    <w:div w:id="1180267954">
      <w:bodyDiv w:val="1"/>
      <w:marLeft w:val="0"/>
      <w:marRight w:val="0"/>
      <w:marTop w:val="0"/>
      <w:marBottom w:val="0"/>
      <w:divBdr>
        <w:top w:val="none" w:sz="0" w:space="0" w:color="auto"/>
        <w:left w:val="none" w:sz="0" w:space="0" w:color="auto"/>
        <w:bottom w:val="none" w:sz="0" w:space="0" w:color="auto"/>
        <w:right w:val="none" w:sz="0" w:space="0" w:color="auto"/>
      </w:divBdr>
    </w:div>
    <w:div w:id="1180318924">
      <w:bodyDiv w:val="1"/>
      <w:marLeft w:val="0"/>
      <w:marRight w:val="0"/>
      <w:marTop w:val="0"/>
      <w:marBottom w:val="0"/>
      <w:divBdr>
        <w:top w:val="none" w:sz="0" w:space="0" w:color="auto"/>
        <w:left w:val="none" w:sz="0" w:space="0" w:color="auto"/>
        <w:bottom w:val="none" w:sz="0" w:space="0" w:color="auto"/>
        <w:right w:val="none" w:sz="0" w:space="0" w:color="auto"/>
      </w:divBdr>
    </w:div>
    <w:div w:id="1180390543">
      <w:bodyDiv w:val="1"/>
      <w:marLeft w:val="0"/>
      <w:marRight w:val="0"/>
      <w:marTop w:val="0"/>
      <w:marBottom w:val="0"/>
      <w:divBdr>
        <w:top w:val="none" w:sz="0" w:space="0" w:color="auto"/>
        <w:left w:val="none" w:sz="0" w:space="0" w:color="auto"/>
        <w:bottom w:val="none" w:sz="0" w:space="0" w:color="auto"/>
        <w:right w:val="none" w:sz="0" w:space="0" w:color="auto"/>
      </w:divBdr>
    </w:div>
    <w:div w:id="1180435431">
      <w:bodyDiv w:val="1"/>
      <w:marLeft w:val="0"/>
      <w:marRight w:val="0"/>
      <w:marTop w:val="0"/>
      <w:marBottom w:val="0"/>
      <w:divBdr>
        <w:top w:val="none" w:sz="0" w:space="0" w:color="auto"/>
        <w:left w:val="none" w:sz="0" w:space="0" w:color="auto"/>
        <w:bottom w:val="none" w:sz="0" w:space="0" w:color="auto"/>
        <w:right w:val="none" w:sz="0" w:space="0" w:color="auto"/>
      </w:divBdr>
    </w:div>
    <w:div w:id="1180509345">
      <w:bodyDiv w:val="1"/>
      <w:marLeft w:val="0"/>
      <w:marRight w:val="0"/>
      <w:marTop w:val="0"/>
      <w:marBottom w:val="0"/>
      <w:divBdr>
        <w:top w:val="none" w:sz="0" w:space="0" w:color="auto"/>
        <w:left w:val="none" w:sz="0" w:space="0" w:color="auto"/>
        <w:bottom w:val="none" w:sz="0" w:space="0" w:color="auto"/>
        <w:right w:val="none" w:sz="0" w:space="0" w:color="auto"/>
      </w:divBdr>
    </w:div>
    <w:div w:id="1180513232">
      <w:bodyDiv w:val="1"/>
      <w:marLeft w:val="0"/>
      <w:marRight w:val="0"/>
      <w:marTop w:val="0"/>
      <w:marBottom w:val="0"/>
      <w:divBdr>
        <w:top w:val="none" w:sz="0" w:space="0" w:color="auto"/>
        <w:left w:val="none" w:sz="0" w:space="0" w:color="auto"/>
        <w:bottom w:val="none" w:sz="0" w:space="0" w:color="auto"/>
        <w:right w:val="none" w:sz="0" w:space="0" w:color="auto"/>
      </w:divBdr>
    </w:div>
    <w:div w:id="1180581202">
      <w:bodyDiv w:val="1"/>
      <w:marLeft w:val="0"/>
      <w:marRight w:val="0"/>
      <w:marTop w:val="0"/>
      <w:marBottom w:val="0"/>
      <w:divBdr>
        <w:top w:val="none" w:sz="0" w:space="0" w:color="auto"/>
        <w:left w:val="none" w:sz="0" w:space="0" w:color="auto"/>
        <w:bottom w:val="none" w:sz="0" w:space="0" w:color="auto"/>
        <w:right w:val="none" w:sz="0" w:space="0" w:color="auto"/>
      </w:divBdr>
    </w:div>
    <w:div w:id="1180588211">
      <w:bodyDiv w:val="1"/>
      <w:marLeft w:val="0"/>
      <w:marRight w:val="0"/>
      <w:marTop w:val="0"/>
      <w:marBottom w:val="0"/>
      <w:divBdr>
        <w:top w:val="none" w:sz="0" w:space="0" w:color="auto"/>
        <w:left w:val="none" w:sz="0" w:space="0" w:color="auto"/>
        <w:bottom w:val="none" w:sz="0" w:space="0" w:color="auto"/>
        <w:right w:val="none" w:sz="0" w:space="0" w:color="auto"/>
      </w:divBdr>
    </w:div>
    <w:div w:id="1180701343">
      <w:bodyDiv w:val="1"/>
      <w:marLeft w:val="0"/>
      <w:marRight w:val="0"/>
      <w:marTop w:val="0"/>
      <w:marBottom w:val="0"/>
      <w:divBdr>
        <w:top w:val="none" w:sz="0" w:space="0" w:color="auto"/>
        <w:left w:val="none" w:sz="0" w:space="0" w:color="auto"/>
        <w:bottom w:val="none" w:sz="0" w:space="0" w:color="auto"/>
        <w:right w:val="none" w:sz="0" w:space="0" w:color="auto"/>
      </w:divBdr>
    </w:div>
    <w:div w:id="1180848425">
      <w:bodyDiv w:val="1"/>
      <w:marLeft w:val="0"/>
      <w:marRight w:val="0"/>
      <w:marTop w:val="0"/>
      <w:marBottom w:val="0"/>
      <w:divBdr>
        <w:top w:val="none" w:sz="0" w:space="0" w:color="auto"/>
        <w:left w:val="none" w:sz="0" w:space="0" w:color="auto"/>
        <w:bottom w:val="none" w:sz="0" w:space="0" w:color="auto"/>
        <w:right w:val="none" w:sz="0" w:space="0" w:color="auto"/>
      </w:divBdr>
    </w:div>
    <w:div w:id="1180897877">
      <w:bodyDiv w:val="1"/>
      <w:marLeft w:val="0"/>
      <w:marRight w:val="0"/>
      <w:marTop w:val="0"/>
      <w:marBottom w:val="0"/>
      <w:divBdr>
        <w:top w:val="none" w:sz="0" w:space="0" w:color="auto"/>
        <w:left w:val="none" w:sz="0" w:space="0" w:color="auto"/>
        <w:bottom w:val="none" w:sz="0" w:space="0" w:color="auto"/>
        <w:right w:val="none" w:sz="0" w:space="0" w:color="auto"/>
      </w:divBdr>
    </w:div>
    <w:div w:id="1180969957">
      <w:bodyDiv w:val="1"/>
      <w:marLeft w:val="0"/>
      <w:marRight w:val="0"/>
      <w:marTop w:val="0"/>
      <w:marBottom w:val="0"/>
      <w:divBdr>
        <w:top w:val="none" w:sz="0" w:space="0" w:color="auto"/>
        <w:left w:val="none" w:sz="0" w:space="0" w:color="auto"/>
        <w:bottom w:val="none" w:sz="0" w:space="0" w:color="auto"/>
        <w:right w:val="none" w:sz="0" w:space="0" w:color="auto"/>
      </w:divBdr>
    </w:div>
    <w:div w:id="1181041937">
      <w:bodyDiv w:val="1"/>
      <w:marLeft w:val="0"/>
      <w:marRight w:val="0"/>
      <w:marTop w:val="0"/>
      <w:marBottom w:val="0"/>
      <w:divBdr>
        <w:top w:val="none" w:sz="0" w:space="0" w:color="auto"/>
        <w:left w:val="none" w:sz="0" w:space="0" w:color="auto"/>
        <w:bottom w:val="none" w:sz="0" w:space="0" w:color="auto"/>
        <w:right w:val="none" w:sz="0" w:space="0" w:color="auto"/>
      </w:divBdr>
    </w:div>
    <w:div w:id="1181168557">
      <w:bodyDiv w:val="1"/>
      <w:marLeft w:val="0"/>
      <w:marRight w:val="0"/>
      <w:marTop w:val="0"/>
      <w:marBottom w:val="0"/>
      <w:divBdr>
        <w:top w:val="none" w:sz="0" w:space="0" w:color="auto"/>
        <w:left w:val="none" w:sz="0" w:space="0" w:color="auto"/>
        <w:bottom w:val="none" w:sz="0" w:space="0" w:color="auto"/>
        <w:right w:val="none" w:sz="0" w:space="0" w:color="auto"/>
      </w:divBdr>
    </w:div>
    <w:div w:id="1181235269">
      <w:bodyDiv w:val="1"/>
      <w:marLeft w:val="0"/>
      <w:marRight w:val="0"/>
      <w:marTop w:val="0"/>
      <w:marBottom w:val="0"/>
      <w:divBdr>
        <w:top w:val="none" w:sz="0" w:space="0" w:color="auto"/>
        <w:left w:val="none" w:sz="0" w:space="0" w:color="auto"/>
        <w:bottom w:val="none" w:sz="0" w:space="0" w:color="auto"/>
        <w:right w:val="none" w:sz="0" w:space="0" w:color="auto"/>
      </w:divBdr>
    </w:div>
    <w:div w:id="1181242588">
      <w:bodyDiv w:val="1"/>
      <w:marLeft w:val="0"/>
      <w:marRight w:val="0"/>
      <w:marTop w:val="0"/>
      <w:marBottom w:val="0"/>
      <w:divBdr>
        <w:top w:val="none" w:sz="0" w:space="0" w:color="auto"/>
        <w:left w:val="none" w:sz="0" w:space="0" w:color="auto"/>
        <w:bottom w:val="none" w:sz="0" w:space="0" w:color="auto"/>
        <w:right w:val="none" w:sz="0" w:space="0" w:color="auto"/>
      </w:divBdr>
    </w:div>
    <w:div w:id="1181309581">
      <w:bodyDiv w:val="1"/>
      <w:marLeft w:val="0"/>
      <w:marRight w:val="0"/>
      <w:marTop w:val="0"/>
      <w:marBottom w:val="0"/>
      <w:divBdr>
        <w:top w:val="none" w:sz="0" w:space="0" w:color="auto"/>
        <w:left w:val="none" w:sz="0" w:space="0" w:color="auto"/>
        <w:bottom w:val="none" w:sz="0" w:space="0" w:color="auto"/>
        <w:right w:val="none" w:sz="0" w:space="0" w:color="auto"/>
      </w:divBdr>
    </w:div>
    <w:div w:id="1181360675">
      <w:bodyDiv w:val="1"/>
      <w:marLeft w:val="0"/>
      <w:marRight w:val="0"/>
      <w:marTop w:val="0"/>
      <w:marBottom w:val="0"/>
      <w:divBdr>
        <w:top w:val="none" w:sz="0" w:space="0" w:color="auto"/>
        <w:left w:val="none" w:sz="0" w:space="0" w:color="auto"/>
        <w:bottom w:val="none" w:sz="0" w:space="0" w:color="auto"/>
        <w:right w:val="none" w:sz="0" w:space="0" w:color="auto"/>
      </w:divBdr>
    </w:div>
    <w:div w:id="1181431312">
      <w:bodyDiv w:val="1"/>
      <w:marLeft w:val="0"/>
      <w:marRight w:val="0"/>
      <w:marTop w:val="0"/>
      <w:marBottom w:val="0"/>
      <w:divBdr>
        <w:top w:val="none" w:sz="0" w:space="0" w:color="auto"/>
        <w:left w:val="none" w:sz="0" w:space="0" w:color="auto"/>
        <w:bottom w:val="none" w:sz="0" w:space="0" w:color="auto"/>
        <w:right w:val="none" w:sz="0" w:space="0" w:color="auto"/>
      </w:divBdr>
    </w:div>
    <w:div w:id="1181553078">
      <w:bodyDiv w:val="1"/>
      <w:marLeft w:val="0"/>
      <w:marRight w:val="0"/>
      <w:marTop w:val="0"/>
      <w:marBottom w:val="0"/>
      <w:divBdr>
        <w:top w:val="none" w:sz="0" w:space="0" w:color="auto"/>
        <w:left w:val="none" w:sz="0" w:space="0" w:color="auto"/>
        <w:bottom w:val="none" w:sz="0" w:space="0" w:color="auto"/>
        <w:right w:val="none" w:sz="0" w:space="0" w:color="auto"/>
      </w:divBdr>
    </w:div>
    <w:div w:id="1181630516">
      <w:bodyDiv w:val="1"/>
      <w:marLeft w:val="0"/>
      <w:marRight w:val="0"/>
      <w:marTop w:val="0"/>
      <w:marBottom w:val="0"/>
      <w:divBdr>
        <w:top w:val="none" w:sz="0" w:space="0" w:color="auto"/>
        <w:left w:val="none" w:sz="0" w:space="0" w:color="auto"/>
        <w:bottom w:val="none" w:sz="0" w:space="0" w:color="auto"/>
        <w:right w:val="none" w:sz="0" w:space="0" w:color="auto"/>
      </w:divBdr>
    </w:div>
    <w:div w:id="1181820333">
      <w:bodyDiv w:val="1"/>
      <w:marLeft w:val="0"/>
      <w:marRight w:val="0"/>
      <w:marTop w:val="0"/>
      <w:marBottom w:val="0"/>
      <w:divBdr>
        <w:top w:val="none" w:sz="0" w:space="0" w:color="auto"/>
        <w:left w:val="none" w:sz="0" w:space="0" w:color="auto"/>
        <w:bottom w:val="none" w:sz="0" w:space="0" w:color="auto"/>
        <w:right w:val="none" w:sz="0" w:space="0" w:color="auto"/>
      </w:divBdr>
    </w:div>
    <w:div w:id="1181890388">
      <w:bodyDiv w:val="1"/>
      <w:marLeft w:val="0"/>
      <w:marRight w:val="0"/>
      <w:marTop w:val="0"/>
      <w:marBottom w:val="0"/>
      <w:divBdr>
        <w:top w:val="none" w:sz="0" w:space="0" w:color="auto"/>
        <w:left w:val="none" w:sz="0" w:space="0" w:color="auto"/>
        <w:bottom w:val="none" w:sz="0" w:space="0" w:color="auto"/>
        <w:right w:val="none" w:sz="0" w:space="0" w:color="auto"/>
      </w:divBdr>
    </w:div>
    <w:div w:id="1181893557">
      <w:bodyDiv w:val="1"/>
      <w:marLeft w:val="0"/>
      <w:marRight w:val="0"/>
      <w:marTop w:val="0"/>
      <w:marBottom w:val="0"/>
      <w:divBdr>
        <w:top w:val="none" w:sz="0" w:space="0" w:color="auto"/>
        <w:left w:val="none" w:sz="0" w:space="0" w:color="auto"/>
        <w:bottom w:val="none" w:sz="0" w:space="0" w:color="auto"/>
        <w:right w:val="none" w:sz="0" w:space="0" w:color="auto"/>
      </w:divBdr>
    </w:div>
    <w:div w:id="1181895000">
      <w:bodyDiv w:val="1"/>
      <w:marLeft w:val="0"/>
      <w:marRight w:val="0"/>
      <w:marTop w:val="0"/>
      <w:marBottom w:val="0"/>
      <w:divBdr>
        <w:top w:val="none" w:sz="0" w:space="0" w:color="auto"/>
        <w:left w:val="none" w:sz="0" w:space="0" w:color="auto"/>
        <w:bottom w:val="none" w:sz="0" w:space="0" w:color="auto"/>
        <w:right w:val="none" w:sz="0" w:space="0" w:color="auto"/>
      </w:divBdr>
    </w:div>
    <w:div w:id="1181898778">
      <w:bodyDiv w:val="1"/>
      <w:marLeft w:val="0"/>
      <w:marRight w:val="0"/>
      <w:marTop w:val="0"/>
      <w:marBottom w:val="0"/>
      <w:divBdr>
        <w:top w:val="none" w:sz="0" w:space="0" w:color="auto"/>
        <w:left w:val="none" w:sz="0" w:space="0" w:color="auto"/>
        <w:bottom w:val="none" w:sz="0" w:space="0" w:color="auto"/>
        <w:right w:val="none" w:sz="0" w:space="0" w:color="auto"/>
      </w:divBdr>
    </w:div>
    <w:div w:id="1182088892">
      <w:bodyDiv w:val="1"/>
      <w:marLeft w:val="0"/>
      <w:marRight w:val="0"/>
      <w:marTop w:val="0"/>
      <w:marBottom w:val="0"/>
      <w:divBdr>
        <w:top w:val="none" w:sz="0" w:space="0" w:color="auto"/>
        <w:left w:val="none" w:sz="0" w:space="0" w:color="auto"/>
        <w:bottom w:val="none" w:sz="0" w:space="0" w:color="auto"/>
        <w:right w:val="none" w:sz="0" w:space="0" w:color="auto"/>
      </w:divBdr>
    </w:div>
    <w:div w:id="1182159983">
      <w:bodyDiv w:val="1"/>
      <w:marLeft w:val="0"/>
      <w:marRight w:val="0"/>
      <w:marTop w:val="0"/>
      <w:marBottom w:val="0"/>
      <w:divBdr>
        <w:top w:val="none" w:sz="0" w:space="0" w:color="auto"/>
        <w:left w:val="none" w:sz="0" w:space="0" w:color="auto"/>
        <w:bottom w:val="none" w:sz="0" w:space="0" w:color="auto"/>
        <w:right w:val="none" w:sz="0" w:space="0" w:color="auto"/>
      </w:divBdr>
    </w:div>
    <w:div w:id="1182161802">
      <w:bodyDiv w:val="1"/>
      <w:marLeft w:val="0"/>
      <w:marRight w:val="0"/>
      <w:marTop w:val="0"/>
      <w:marBottom w:val="0"/>
      <w:divBdr>
        <w:top w:val="none" w:sz="0" w:space="0" w:color="auto"/>
        <w:left w:val="none" w:sz="0" w:space="0" w:color="auto"/>
        <w:bottom w:val="none" w:sz="0" w:space="0" w:color="auto"/>
        <w:right w:val="none" w:sz="0" w:space="0" w:color="auto"/>
      </w:divBdr>
    </w:div>
    <w:div w:id="1182207749">
      <w:bodyDiv w:val="1"/>
      <w:marLeft w:val="0"/>
      <w:marRight w:val="0"/>
      <w:marTop w:val="0"/>
      <w:marBottom w:val="0"/>
      <w:divBdr>
        <w:top w:val="none" w:sz="0" w:space="0" w:color="auto"/>
        <w:left w:val="none" w:sz="0" w:space="0" w:color="auto"/>
        <w:bottom w:val="none" w:sz="0" w:space="0" w:color="auto"/>
        <w:right w:val="none" w:sz="0" w:space="0" w:color="auto"/>
      </w:divBdr>
    </w:div>
    <w:div w:id="1182208119">
      <w:bodyDiv w:val="1"/>
      <w:marLeft w:val="0"/>
      <w:marRight w:val="0"/>
      <w:marTop w:val="0"/>
      <w:marBottom w:val="0"/>
      <w:divBdr>
        <w:top w:val="none" w:sz="0" w:space="0" w:color="auto"/>
        <w:left w:val="none" w:sz="0" w:space="0" w:color="auto"/>
        <w:bottom w:val="none" w:sz="0" w:space="0" w:color="auto"/>
        <w:right w:val="none" w:sz="0" w:space="0" w:color="auto"/>
      </w:divBdr>
    </w:div>
    <w:div w:id="1182233585">
      <w:bodyDiv w:val="1"/>
      <w:marLeft w:val="0"/>
      <w:marRight w:val="0"/>
      <w:marTop w:val="0"/>
      <w:marBottom w:val="0"/>
      <w:divBdr>
        <w:top w:val="none" w:sz="0" w:space="0" w:color="auto"/>
        <w:left w:val="none" w:sz="0" w:space="0" w:color="auto"/>
        <w:bottom w:val="none" w:sz="0" w:space="0" w:color="auto"/>
        <w:right w:val="none" w:sz="0" w:space="0" w:color="auto"/>
      </w:divBdr>
    </w:div>
    <w:div w:id="1182233989">
      <w:bodyDiv w:val="1"/>
      <w:marLeft w:val="0"/>
      <w:marRight w:val="0"/>
      <w:marTop w:val="0"/>
      <w:marBottom w:val="0"/>
      <w:divBdr>
        <w:top w:val="none" w:sz="0" w:space="0" w:color="auto"/>
        <w:left w:val="none" w:sz="0" w:space="0" w:color="auto"/>
        <w:bottom w:val="none" w:sz="0" w:space="0" w:color="auto"/>
        <w:right w:val="none" w:sz="0" w:space="0" w:color="auto"/>
      </w:divBdr>
    </w:div>
    <w:div w:id="1182276825">
      <w:bodyDiv w:val="1"/>
      <w:marLeft w:val="0"/>
      <w:marRight w:val="0"/>
      <w:marTop w:val="0"/>
      <w:marBottom w:val="0"/>
      <w:divBdr>
        <w:top w:val="none" w:sz="0" w:space="0" w:color="auto"/>
        <w:left w:val="none" w:sz="0" w:space="0" w:color="auto"/>
        <w:bottom w:val="none" w:sz="0" w:space="0" w:color="auto"/>
        <w:right w:val="none" w:sz="0" w:space="0" w:color="auto"/>
      </w:divBdr>
    </w:div>
    <w:div w:id="1182354441">
      <w:bodyDiv w:val="1"/>
      <w:marLeft w:val="0"/>
      <w:marRight w:val="0"/>
      <w:marTop w:val="0"/>
      <w:marBottom w:val="0"/>
      <w:divBdr>
        <w:top w:val="none" w:sz="0" w:space="0" w:color="auto"/>
        <w:left w:val="none" w:sz="0" w:space="0" w:color="auto"/>
        <w:bottom w:val="none" w:sz="0" w:space="0" w:color="auto"/>
        <w:right w:val="none" w:sz="0" w:space="0" w:color="auto"/>
      </w:divBdr>
    </w:div>
    <w:div w:id="1182428262">
      <w:bodyDiv w:val="1"/>
      <w:marLeft w:val="0"/>
      <w:marRight w:val="0"/>
      <w:marTop w:val="0"/>
      <w:marBottom w:val="0"/>
      <w:divBdr>
        <w:top w:val="none" w:sz="0" w:space="0" w:color="auto"/>
        <w:left w:val="none" w:sz="0" w:space="0" w:color="auto"/>
        <w:bottom w:val="none" w:sz="0" w:space="0" w:color="auto"/>
        <w:right w:val="none" w:sz="0" w:space="0" w:color="auto"/>
      </w:divBdr>
    </w:div>
    <w:div w:id="1182472124">
      <w:bodyDiv w:val="1"/>
      <w:marLeft w:val="0"/>
      <w:marRight w:val="0"/>
      <w:marTop w:val="0"/>
      <w:marBottom w:val="0"/>
      <w:divBdr>
        <w:top w:val="none" w:sz="0" w:space="0" w:color="auto"/>
        <w:left w:val="none" w:sz="0" w:space="0" w:color="auto"/>
        <w:bottom w:val="none" w:sz="0" w:space="0" w:color="auto"/>
        <w:right w:val="none" w:sz="0" w:space="0" w:color="auto"/>
      </w:divBdr>
    </w:div>
    <w:div w:id="1182814950">
      <w:bodyDiv w:val="1"/>
      <w:marLeft w:val="0"/>
      <w:marRight w:val="0"/>
      <w:marTop w:val="0"/>
      <w:marBottom w:val="0"/>
      <w:divBdr>
        <w:top w:val="none" w:sz="0" w:space="0" w:color="auto"/>
        <w:left w:val="none" w:sz="0" w:space="0" w:color="auto"/>
        <w:bottom w:val="none" w:sz="0" w:space="0" w:color="auto"/>
        <w:right w:val="none" w:sz="0" w:space="0" w:color="auto"/>
      </w:divBdr>
    </w:div>
    <w:div w:id="1182862473">
      <w:bodyDiv w:val="1"/>
      <w:marLeft w:val="0"/>
      <w:marRight w:val="0"/>
      <w:marTop w:val="0"/>
      <w:marBottom w:val="0"/>
      <w:divBdr>
        <w:top w:val="none" w:sz="0" w:space="0" w:color="auto"/>
        <w:left w:val="none" w:sz="0" w:space="0" w:color="auto"/>
        <w:bottom w:val="none" w:sz="0" w:space="0" w:color="auto"/>
        <w:right w:val="none" w:sz="0" w:space="0" w:color="auto"/>
      </w:divBdr>
    </w:div>
    <w:div w:id="1182934894">
      <w:bodyDiv w:val="1"/>
      <w:marLeft w:val="0"/>
      <w:marRight w:val="0"/>
      <w:marTop w:val="0"/>
      <w:marBottom w:val="0"/>
      <w:divBdr>
        <w:top w:val="none" w:sz="0" w:space="0" w:color="auto"/>
        <w:left w:val="none" w:sz="0" w:space="0" w:color="auto"/>
        <w:bottom w:val="none" w:sz="0" w:space="0" w:color="auto"/>
        <w:right w:val="none" w:sz="0" w:space="0" w:color="auto"/>
      </w:divBdr>
    </w:div>
    <w:div w:id="1183011647">
      <w:bodyDiv w:val="1"/>
      <w:marLeft w:val="0"/>
      <w:marRight w:val="0"/>
      <w:marTop w:val="0"/>
      <w:marBottom w:val="0"/>
      <w:divBdr>
        <w:top w:val="none" w:sz="0" w:space="0" w:color="auto"/>
        <w:left w:val="none" w:sz="0" w:space="0" w:color="auto"/>
        <w:bottom w:val="none" w:sz="0" w:space="0" w:color="auto"/>
        <w:right w:val="none" w:sz="0" w:space="0" w:color="auto"/>
      </w:divBdr>
    </w:div>
    <w:div w:id="1183084111">
      <w:bodyDiv w:val="1"/>
      <w:marLeft w:val="0"/>
      <w:marRight w:val="0"/>
      <w:marTop w:val="0"/>
      <w:marBottom w:val="0"/>
      <w:divBdr>
        <w:top w:val="none" w:sz="0" w:space="0" w:color="auto"/>
        <w:left w:val="none" w:sz="0" w:space="0" w:color="auto"/>
        <w:bottom w:val="none" w:sz="0" w:space="0" w:color="auto"/>
        <w:right w:val="none" w:sz="0" w:space="0" w:color="auto"/>
      </w:divBdr>
    </w:div>
    <w:div w:id="1183086528">
      <w:bodyDiv w:val="1"/>
      <w:marLeft w:val="0"/>
      <w:marRight w:val="0"/>
      <w:marTop w:val="0"/>
      <w:marBottom w:val="0"/>
      <w:divBdr>
        <w:top w:val="none" w:sz="0" w:space="0" w:color="auto"/>
        <w:left w:val="none" w:sz="0" w:space="0" w:color="auto"/>
        <w:bottom w:val="none" w:sz="0" w:space="0" w:color="auto"/>
        <w:right w:val="none" w:sz="0" w:space="0" w:color="auto"/>
      </w:divBdr>
    </w:div>
    <w:div w:id="1183200992">
      <w:bodyDiv w:val="1"/>
      <w:marLeft w:val="0"/>
      <w:marRight w:val="0"/>
      <w:marTop w:val="0"/>
      <w:marBottom w:val="0"/>
      <w:divBdr>
        <w:top w:val="none" w:sz="0" w:space="0" w:color="auto"/>
        <w:left w:val="none" w:sz="0" w:space="0" w:color="auto"/>
        <w:bottom w:val="none" w:sz="0" w:space="0" w:color="auto"/>
        <w:right w:val="none" w:sz="0" w:space="0" w:color="auto"/>
      </w:divBdr>
    </w:div>
    <w:div w:id="1183320753">
      <w:bodyDiv w:val="1"/>
      <w:marLeft w:val="0"/>
      <w:marRight w:val="0"/>
      <w:marTop w:val="0"/>
      <w:marBottom w:val="0"/>
      <w:divBdr>
        <w:top w:val="none" w:sz="0" w:space="0" w:color="auto"/>
        <w:left w:val="none" w:sz="0" w:space="0" w:color="auto"/>
        <w:bottom w:val="none" w:sz="0" w:space="0" w:color="auto"/>
        <w:right w:val="none" w:sz="0" w:space="0" w:color="auto"/>
      </w:divBdr>
    </w:div>
    <w:div w:id="1183322239">
      <w:bodyDiv w:val="1"/>
      <w:marLeft w:val="0"/>
      <w:marRight w:val="0"/>
      <w:marTop w:val="0"/>
      <w:marBottom w:val="0"/>
      <w:divBdr>
        <w:top w:val="none" w:sz="0" w:space="0" w:color="auto"/>
        <w:left w:val="none" w:sz="0" w:space="0" w:color="auto"/>
        <w:bottom w:val="none" w:sz="0" w:space="0" w:color="auto"/>
        <w:right w:val="none" w:sz="0" w:space="0" w:color="auto"/>
      </w:divBdr>
    </w:div>
    <w:div w:id="1183326243">
      <w:bodyDiv w:val="1"/>
      <w:marLeft w:val="0"/>
      <w:marRight w:val="0"/>
      <w:marTop w:val="0"/>
      <w:marBottom w:val="0"/>
      <w:divBdr>
        <w:top w:val="none" w:sz="0" w:space="0" w:color="auto"/>
        <w:left w:val="none" w:sz="0" w:space="0" w:color="auto"/>
        <w:bottom w:val="none" w:sz="0" w:space="0" w:color="auto"/>
        <w:right w:val="none" w:sz="0" w:space="0" w:color="auto"/>
      </w:divBdr>
    </w:div>
    <w:div w:id="1183473944">
      <w:bodyDiv w:val="1"/>
      <w:marLeft w:val="0"/>
      <w:marRight w:val="0"/>
      <w:marTop w:val="0"/>
      <w:marBottom w:val="0"/>
      <w:divBdr>
        <w:top w:val="none" w:sz="0" w:space="0" w:color="auto"/>
        <w:left w:val="none" w:sz="0" w:space="0" w:color="auto"/>
        <w:bottom w:val="none" w:sz="0" w:space="0" w:color="auto"/>
        <w:right w:val="none" w:sz="0" w:space="0" w:color="auto"/>
      </w:divBdr>
    </w:div>
    <w:div w:id="1183515743">
      <w:bodyDiv w:val="1"/>
      <w:marLeft w:val="0"/>
      <w:marRight w:val="0"/>
      <w:marTop w:val="0"/>
      <w:marBottom w:val="0"/>
      <w:divBdr>
        <w:top w:val="none" w:sz="0" w:space="0" w:color="auto"/>
        <w:left w:val="none" w:sz="0" w:space="0" w:color="auto"/>
        <w:bottom w:val="none" w:sz="0" w:space="0" w:color="auto"/>
        <w:right w:val="none" w:sz="0" w:space="0" w:color="auto"/>
      </w:divBdr>
    </w:div>
    <w:div w:id="1183515796">
      <w:bodyDiv w:val="1"/>
      <w:marLeft w:val="0"/>
      <w:marRight w:val="0"/>
      <w:marTop w:val="0"/>
      <w:marBottom w:val="0"/>
      <w:divBdr>
        <w:top w:val="none" w:sz="0" w:space="0" w:color="auto"/>
        <w:left w:val="none" w:sz="0" w:space="0" w:color="auto"/>
        <w:bottom w:val="none" w:sz="0" w:space="0" w:color="auto"/>
        <w:right w:val="none" w:sz="0" w:space="0" w:color="auto"/>
      </w:divBdr>
    </w:div>
    <w:div w:id="1183515866">
      <w:bodyDiv w:val="1"/>
      <w:marLeft w:val="0"/>
      <w:marRight w:val="0"/>
      <w:marTop w:val="0"/>
      <w:marBottom w:val="0"/>
      <w:divBdr>
        <w:top w:val="none" w:sz="0" w:space="0" w:color="auto"/>
        <w:left w:val="none" w:sz="0" w:space="0" w:color="auto"/>
        <w:bottom w:val="none" w:sz="0" w:space="0" w:color="auto"/>
        <w:right w:val="none" w:sz="0" w:space="0" w:color="auto"/>
      </w:divBdr>
    </w:div>
    <w:div w:id="1183517373">
      <w:bodyDiv w:val="1"/>
      <w:marLeft w:val="0"/>
      <w:marRight w:val="0"/>
      <w:marTop w:val="0"/>
      <w:marBottom w:val="0"/>
      <w:divBdr>
        <w:top w:val="none" w:sz="0" w:space="0" w:color="auto"/>
        <w:left w:val="none" w:sz="0" w:space="0" w:color="auto"/>
        <w:bottom w:val="none" w:sz="0" w:space="0" w:color="auto"/>
        <w:right w:val="none" w:sz="0" w:space="0" w:color="auto"/>
      </w:divBdr>
    </w:div>
    <w:div w:id="1183519504">
      <w:bodyDiv w:val="1"/>
      <w:marLeft w:val="0"/>
      <w:marRight w:val="0"/>
      <w:marTop w:val="0"/>
      <w:marBottom w:val="0"/>
      <w:divBdr>
        <w:top w:val="none" w:sz="0" w:space="0" w:color="auto"/>
        <w:left w:val="none" w:sz="0" w:space="0" w:color="auto"/>
        <w:bottom w:val="none" w:sz="0" w:space="0" w:color="auto"/>
        <w:right w:val="none" w:sz="0" w:space="0" w:color="auto"/>
      </w:divBdr>
    </w:div>
    <w:div w:id="1183590796">
      <w:bodyDiv w:val="1"/>
      <w:marLeft w:val="0"/>
      <w:marRight w:val="0"/>
      <w:marTop w:val="0"/>
      <w:marBottom w:val="0"/>
      <w:divBdr>
        <w:top w:val="none" w:sz="0" w:space="0" w:color="auto"/>
        <w:left w:val="none" w:sz="0" w:space="0" w:color="auto"/>
        <w:bottom w:val="none" w:sz="0" w:space="0" w:color="auto"/>
        <w:right w:val="none" w:sz="0" w:space="0" w:color="auto"/>
      </w:divBdr>
    </w:div>
    <w:div w:id="1183593811">
      <w:bodyDiv w:val="1"/>
      <w:marLeft w:val="0"/>
      <w:marRight w:val="0"/>
      <w:marTop w:val="0"/>
      <w:marBottom w:val="0"/>
      <w:divBdr>
        <w:top w:val="none" w:sz="0" w:space="0" w:color="auto"/>
        <w:left w:val="none" w:sz="0" w:space="0" w:color="auto"/>
        <w:bottom w:val="none" w:sz="0" w:space="0" w:color="auto"/>
        <w:right w:val="none" w:sz="0" w:space="0" w:color="auto"/>
      </w:divBdr>
    </w:div>
    <w:div w:id="1183712837">
      <w:bodyDiv w:val="1"/>
      <w:marLeft w:val="0"/>
      <w:marRight w:val="0"/>
      <w:marTop w:val="0"/>
      <w:marBottom w:val="0"/>
      <w:divBdr>
        <w:top w:val="none" w:sz="0" w:space="0" w:color="auto"/>
        <w:left w:val="none" w:sz="0" w:space="0" w:color="auto"/>
        <w:bottom w:val="none" w:sz="0" w:space="0" w:color="auto"/>
        <w:right w:val="none" w:sz="0" w:space="0" w:color="auto"/>
      </w:divBdr>
    </w:div>
    <w:div w:id="1183741171">
      <w:bodyDiv w:val="1"/>
      <w:marLeft w:val="0"/>
      <w:marRight w:val="0"/>
      <w:marTop w:val="0"/>
      <w:marBottom w:val="0"/>
      <w:divBdr>
        <w:top w:val="none" w:sz="0" w:space="0" w:color="auto"/>
        <w:left w:val="none" w:sz="0" w:space="0" w:color="auto"/>
        <w:bottom w:val="none" w:sz="0" w:space="0" w:color="auto"/>
        <w:right w:val="none" w:sz="0" w:space="0" w:color="auto"/>
      </w:divBdr>
    </w:div>
    <w:div w:id="1183784604">
      <w:bodyDiv w:val="1"/>
      <w:marLeft w:val="0"/>
      <w:marRight w:val="0"/>
      <w:marTop w:val="0"/>
      <w:marBottom w:val="0"/>
      <w:divBdr>
        <w:top w:val="none" w:sz="0" w:space="0" w:color="auto"/>
        <w:left w:val="none" w:sz="0" w:space="0" w:color="auto"/>
        <w:bottom w:val="none" w:sz="0" w:space="0" w:color="auto"/>
        <w:right w:val="none" w:sz="0" w:space="0" w:color="auto"/>
      </w:divBdr>
    </w:div>
    <w:div w:id="1183940326">
      <w:bodyDiv w:val="1"/>
      <w:marLeft w:val="0"/>
      <w:marRight w:val="0"/>
      <w:marTop w:val="0"/>
      <w:marBottom w:val="0"/>
      <w:divBdr>
        <w:top w:val="none" w:sz="0" w:space="0" w:color="auto"/>
        <w:left w:val="none" w:sz="0" w:space="0" w:color="auto"/>
        <w:bottom w:val="none" w:sz="0" w:space="0" w:color="auto"/>
        <w:right w:val="none" w:sz="0" w:space="0" w:color="auto"/>
      </w:divBdr>
    </w:div>
    <w:div w:id="1184051215">
      <w:bodyDiv w:val="1"/>
      <w:marLeft w:val="0"/>
      <w:marRight w:val="0"/>
      <w:marTop w:val="0"/>
      <w:marBottom w:val="0"/>
      <w:divBdr>
        <w:top w:val="none" w:sz="0" w:space="0" w:color="auto"/>
        <w:left w:val="none" w:sz="0" w:space="0" w:color="auto"/>
        <w:bottom w:val="none" w:sz="0" w:space="0" w:color="auto"/>
        <w:right w:val="none" w:sz="0" w:space="0" w:color="auto"/>
      </w:divBdr>
    </w:div>
    <w:div w:id="1184170283">
      <w:bodyDiv w:val="1"/>
      <w:marLeft w:val="0"/>
      <w:marRight w:val="0"/>
      <w:marTop w:val="0"/>
      <w:marBottom w:val="0"/>
      <w:divBdr>
        <w:top w:val="none" w:sz="0" w:space="0" w:color="auto"/>
        <w:left w:val="none" w:sz="0" w:space="0" w:color="auto"/>
        <w:bottom w:val="none" w:sz="0" w:space="0" w:color="auto"/>
        <w:right w:val="none" w:sz="0" w:space="0" w:color="auto"/>
      </w:divBdr>
    </w:div>
    <w:div w:id="1184199750">
      <w:bodyDiv w:val="1"/>
      <w:marLeft w:val="0"/>
      <w:marRight w:val="0"/>
      <w:marTop w:val="0"/>
      <w:marBottom w:val="0"/>
      <w:divBdr>
        <w:top w:val="none" w:sz="0" w:space="0" w:color="auto"/>
        <w:left w:val="none" w:sz="0" w:space="0" w:color="auto"/>
        <w:bottom w:val="none" w:sz="0" w:space="0" w:color="auto"/>
        <w:right w:val="none" w:sz="0" w:space="0" w:color="auto"/>
      </w:divBdr>
    </w:div>
    <w:div w:id="1184201063">
      <w:bodyDiv w:val="1"/>
      <w:marLeft w:val="0"/>
      <w:marRight w:val="0"/>
      <w:marTop w:val="0"/>
      <w:marBottom w:val="0"/>
      <w:divBdr>
        <w:top w:val="none" w:sz="0" w:space="0" w:color="auto"/>
        <w:left w:val="none" w:sz="0" w:space="0" w:color="auto"/>
        <w:bottom w:val="none" w:sz="0" w:space="0" w:color="auto"/>
        <w:right w:val="none" w:sz="0" w:space="0" w:color="auto"/>
      </w:divBdr>
    </w:div>
    <w:div w:id="1184246751">
      <w:bodyDiv w:val="1"/>
      <w:marLeft w:val="0"/>
      <w:marRight w:val="0"/>
      <w:marTop w:val="0"/>
      <w:marBottom w:val="0"/>
      <w:divBdr>
        <w:top w:val="none" w:sz="0" w:space="0" w:color="auto"/>
        <w:left w:val="none" w:sz="0" w:space="0" w:color="auto"/>
        <w:bottom w:val="none" w:sz="0" w:space="0" w:color="auto"/>
        <w:right w:val="none" w:sz="0" w:space="0" w:color="auto"/>
      </w:divBdr>
    </w:div>
    <w:div w:id="1184246878">
      <w:bodyDiv w:val="1"/>
      <w:marLeft w:val="0"/>
      <w:marRight w:val="0"/>
      <w:marTop w:val="0"/>
      <w:marBottom w:val="0"/>
      <w:divBdr>
        <w:top w:val="none" w:sz="0" w:space="0" w:color="auto"/>
        <w:left w:val="none" w:sz="0" w:space="0" w:color="auto"/>
        <w:bottom w:val="none" w:sz="0" w:space="0" w:color="auto"/>
        <w:right w:val="none" w:sz="0" w:space="0" w:color="auto"/>
      </w:divBdr>
    </w:div>
    <w:div w:id="1184249786">
      <w:bodyDiv w:val="1"/>
      <w:marLeft w:val="0"/>
      <w:marRight w:val="0"/>
      <w:marTop w:val="0"/>
      <w:marBottom w:val="0"/>
      <w:divBdr>
        <w:top w:val="none" w:sz="0" w:space="0" w:color="auto"/>
        <w:left w:val="none" w:sz="0" w:space="0" w:color="auto"/>
        <w:bottom w:val="none" w:sz="0" w:space="0" w:color="auto"/>
        <w:right w:val="none" w:sz="0" w:space="0" w:color="auto"/>
      </w:divBdr>
    </w:div>
    <w:div w:id="1184319667">
      <w:bodyDiv w:val="1"/>
      <w:marLeft w:val="0"/>
      <w:marRight w:val="0"/>
      <w:marTop w:val="0"/>
      <w:marBottom w:val="0"/>
      <w:divBdr>
        <w:top w:val="none" w:sz="0" w:space="0" w:color="auto"/>
        <w:left w:val="none" w:sz="0" w:space="0" w:color="auto"/>
        <w:bottom w:val="none" w:sz="0" w:space="0" w:color="auto"/>
        <w:right w:val="none" w:sz="0" w:space="0" w:color="auto"/>
      </w:divBdr>
    </w:div>
    <w:div w:id="1184392686">
      <w:bodyDiv w:val="1"/>
      <w:marLeft w:val="0"/>
      <w:marRight w:val="0"/>
      <w:marTop w:val="0"/>
      <w:marBottom w:val="0"/>
      <w:divBdr>
        <w:top w:val="none" w:sz="0" w:space="0" w:color="auto"/>
        <w:left w:val="none" w:sz="0" w:space="0" w:color="auto"/>
        <w:bottom w:val="none" w:sz="0" w:space="0" w:color="auto"/>
        <w:right w:val="none" w:sz="0" w:space="0" w:color="auto"/>
      </w:divBdr>
    </w:div>
    <w:div w:id="1184590399">
      <w:bodyDiv w:val="1"/>
      <w:marLeft w:val="0"/>
      <w:marRight w:val="0"/>
      <w:marTop w:val="0"/>
      <w:marBottom w:val="0"/>
      <w:divBdr>
        <w:top w:val="none" w:sz="0" w:space="0" w:color="auto"/>
        <w:left w:val="none" w:sz="0" w:space="0" w:color="auto"/>
        <w:bottom w:val="none" w:sz="0" w:space="0" w:color="auto"/>
        <w:right w:val="none" w:sz="0" w:space="0" w:color="auto"/>
      </w:divBdr>
    </w:div>
    <w:div w:id="1184704015">
      <w:bodyDiv w:val="1"/>
      <w:marLeft w:val="0"/>
      <w:marRight w:val="0"/>
      <w:marTop w:val="0"/>
      <w:marBottom w:val="0"/>
      <w:divBdr>
        <w:top w:val="none" w:sz="0" w:space="0" w:color="auto"/>
        <w:left w:val="none" w:sz="0" w:space="0" w:color="auto"/>
        <w:bottom w:val="none" w:sz="0" w:space="0" w:color="auto"/>
        <w:right w:val="none" w:sz="0" w:space="0" w:color="auto"/>
      </w:divBdr>
    </w:div>
    <w:div w:id="1184856013">
      <w:bodyDiv w:val="1"/>
      <w:marLeft w:val="0"/>
      <w:marRight w:val="0"/>
      <w:marTop w:val="0"/>
      <w:marBottom w:val="0"/>
      <w:divBdr>
        <w:top w:val="none" w:sz="0" w:space="0" w:color="auto"/>
        <w:left w:val="none" w:sz="0" w:space="0" w:color="auto"/>
        <w:bottom w:val="none" w:sz="0" w:space="0" w:color="auto"/>
        <w:right w:val="none" w:sz="0" w:space="0" w:color="auto"/>
      </w:divBdr>
    </w:div>
    <w:div w:id="1184904134">
      <w:bodyDiv w:val="1"/>
      <w:marLeft w:val="0"/>
      <w:marRight w:val="0"/>
      <w:marTop w:val="0"/>
      <w:marBottom w:val="0"/>
      <w:divBdr>
        <w:top w:val="none" w:sz="0" w:space="0" w:color="auto"/>
        <w:left w:val="none" w:sz="0" w:space="0" w:color="auto"/>
        <w:bottom w:val="none" w:sz="0" w:space="0" w:color="auto"/>
        <w:right w:val="none" w:sz="0" w:space="0" w:color="auto"/>
      </w:divBdr>
    </w:div>
    <w:div w:id="1184978779">
      <w:bodyDiv w:val="1"/>
      <w:marLeft w:val="0"/>
      <w:marRight w:val="0"/>
      <w:marTop w:val="0"/>
      <w:marBottom w:val="0"/>
      <w:divBdr>
        <w:top w:val="none" w:sz="0" w:space="0" w:color="auto"/>
        <w:left w:val="none" w:sz="0" w:space="0" w:color="auto"/>
        <w:bottom w:val="none" w:sz="0" w:space="0" w:color="auto"/>
        <w:right w:val="none" w:sz="0" w:space="0" w:color="auto"/>
      </w:divBdr>
    </w:div>
    <w:div w:id="1185023416">
      <w:bodyDiv w:val="1"/>
      <w:marLeft w:val="0"/>
      <w:marRight w:val="0"/>
      <w:marTop w:val="0"/>
      <w:marBottom w:val="0"/>
      <w:divBdr>
        <w:top w:val="none" w:sz="0" w:space="0" w:color="auto"/>
        <w:left w:val="none" w:sz="0" w:space="0" w:color="auto"/>
        <w:bottom w:val="none" w:sz="0" w:space="0" w:color="auto"/>
        <w:right w:val="none" w:sz="0" w:space="0" w:color="auto"/>
      </w:divBdr>
    </w:div>
    <w:div w:id="1185051188">
      <w:bodyDiv w:val="1"/>
      <w:marLeft w:val="0"/>
      <w:marRight w:val="0"/>
      <w:marTop w:val="0"/>
      <w:marBottom w:val="0"/>
      <w:divBdr>
        <w:top w:val="none" w:sz="0" w:space="0" w:color="auto"/>
        <w:left w:val="none" w:sz="0" w:space="0" w:color="auto"/>
        <w:bottom w:val="none" w:sz="0" w:space="0" w:color="auto"/>
        <w:right w:val="none" w:sz="0" w:space="0" w:color="auto"/>
      </w:divBdr>
    </w:div>
    <w:div w:id="1185166313">
      <w:bodyDiv w:val="1"/>
      <w:marLeft w:val="0"/>
      <w:marRight w:val="0"/>
      <w:marTop w:val="0"/>
      <w:marBottom w:val="0"/>
      <w:divBdr>
        <w:top w:val="none" w:sz="0" w:space="0" w:color="auto"/>
        <w:left w:val="none" w:sz="0" w:space="0" w:color="auto"/>
        <w:bottom w:val="none" w:sz="0" w:space="0" w:color="auto"/>
        <w:right w:val="none" w:sz="0" w:space="0" w:color="auto"/>
      </w:divBdr>
    </w:div>
    <w:div w:id="1185242069">
      <w:bodyDiv w:val="1"/>
      <w:marLeft w:val="0"/>
      <w:marRight w:val="0"/>
      <w:marTop w:val="0"/>
      <w:marBottom w:val="0"/>
      <w:divBdr>
        <w:top w:val="none" w:sz="0" w:space="0" w:color="auto"/>
        <w:left w:val="none" w:sz="0" w:space="0" w:color="auto"/>
        <w:bottom w:val="none" w:sz="0" w:space="0" w:color="auto"/>
        <w:right w:val="none" w:sz="0" w:space="0" w:color="auto"/>
      </w:divBdr>
    </w:div>
    <w:div w:id="1185243232">
      <w:bodyDiv w:val="1"/>
      <w:marLeft w:val="0"/>
      <w:marRight w:val="0"/>
      <w:marTop w:val="0"/>
      <w:marBottom w:val="0"/>
      <w:divBdr>
        <w:top w:val="none" w:sz="0" w:space="0" w:color="auto"/>
        <w:left w:val="none" w:sz="0" w:space="0" w:color="auto"/>
        <w:bottom w:val="none" w:sz="0" w:space="0" w:color="auto"/>
        <w:right w:val="none" w:sz="0" w:space="0" w:color="auto"/>
      </w:divBdr>
    </w:div>
    <w:div w:id="1185245035">
      <w:bodyDiv w:val="1"/>
      <w:marLeft w:val="0"/>
      <w:marRight w:val="0"/>
      <w:marTop w:val="0"/>
      <w:marBottom w:val="0"/>
      <w:divBdr>
        <w:top w:val="none" w:sz="0" w:space="0" w:color="auto"/>
        <w:left w:val="none" w:sz="0" w:space="0" w:color="auto"/>
        <w:bottom w:val="none" w:sz="0" w:space="0" w:color="auto"/>
        <w:right w:val="none" w:sz="0" w:space="0" w:color="auto"/>
      </w:divBdr>
    </w:div>
    <w:div w:id="1185246246">
      <w:bodyDiv w:val="1"/>
      <w:marLeft w:val="0"/>
      <w:marRight w:val="0"/>
      <w:marTop w:val="0"/>
      <w:marBottom w:val="0"/>
      <w:divBdr>
        <w:top w:val="none" w:sz="0" w:space="0" w:color="auto"/>
        <w:left w:val="none" w:sz="0" w:space="0" w:color="auto"/>
        <w:bottom w:val="none" w:sz="0" w:space="0" w:color="auto"/>
        <w:right w:val="none" w:sz="0" w:space="0" w:color="auto"/>
      </w:divBdr>
    </w:div>
    <w:div w:id="1185442705">
      <w:bodyDiv w:val="1"/>
      <w:marLeft w:val="0"/>
      <w:marRight w:val="0"/>
      <w:marTop w:val="0"/>
      <w:marBottom w:val="0"/>
      <w:divBdr>
        <w:top w:val="none" w:sz="0" w:space="0" w:color="auto"/>
        <w:left w:val="none" w:sz="0" w:space="0" w:color="auto"/>
        <w:bottom w:val="none" w:sz="0" w:space="0" w:color="auto"/>
        <w:right w:val="none" w:sz="0" w:space="0" w:color="auto"/>
      </w:divBdr>
    </w:div>
    <w:div w:id="1185558020">
      <w:bodyDiv w:val="1"/>
      <w:marLeft w:val="0"/>
      <w:marRight w:val="0"/>
      <w:marTop w:val="0"/>
      <w:marBottom w:val="0"/>
      <w:divBdr>
        <w:top w:val="none" w:sz="0" w:space="0" w:color="auto"/>
        <w:left w:val="none" w:sz="0" w:space="0" w:color="auto"/>
        <w:bottom w:val="none" w:sz="0" w:space="0" w:color="auto"/>
        <w:right w:val="none" w:sz="0" w:space="0" w:color="auto"/>
      </w:divBdr>
    </w:div>
    <w:div w:id="1185630390">
      <w:bodyDiv w:val="1"/>
      <w:marLeft w:val="0"/>
      <w:marRight w:val="0"/>
      <w:marTop w:val="0"/>
      <w:marBottom w:val="0"/>
      <w:divBdr>
        <w:top w:val="none" w:sz="0" w:space="0" w:color="auto"/>
        <w:left w:val="none" w:sz="0" w:space="0" w:color="auto"/>
        <w:bottom w:val="none" w:sz="0" w:space="0" w:color="auto"/>
        <w:right w:val="none" w:sz="0" w:space="0" w:color="auto"/>
      </w:divBdr>
    </w:div>
    <w:div w:id="1185633855">
      <w:bodyDiv w:val="1"/>
      <w:marLeft w:val="0"/>
      <w:marRight w:val="0"/>
      <w:marTop w:val="0"/>
      <w:marBottom w:val="0"/>
      <w:divBdr>
        <w:top w:val="none" w:sz="0" w:space="0" w:color="auto"/>
        <w:left w:val="none" w:sz="0" w:space="0" w:color="auto"/>
        <w:bottom w:val="none" w:sz="0" w:space="0" w:color="auto"/>
        <w:right w:val="none" w:sz="0" w:space="0" w:color="auto"/>
      </w:divBdr>
    </w:div>
    <w:div w:id="1185637024">
      <w:bodyDiv w:val="1"/>
      <w:marLeft w:val="0"/>
      <w:marRight w:val="0"/>
      <w:marTop w:val="0"/>
      <w:marBottom w:val="0"/>
      <w:divBdr>
        <w:top w:val="none" w:sz="0" w:space="0" w:color="auto"/>
        <w:left w:val="none" w:sz="0" w:space="0" w:color="auto"/>
        <w:bottom w:val="none" w:sz="0" w:space="0" w:color="auto"/>
        <w:right w:val="none" w:sz="0" w:space="0" w:color="auto"/>
      </w:divBdr>
    </w:div>
    <w:div w:id="1185826686">
      <w:bodyDiv w:val="1"/>
      <w:marLeft w:val="0"/>
      <w:marRight w:val="0"/>
      <w:marTop w:val="0"/>
      <w:marBottom w:val="0"/>
      <w:divBdr>
        <w:top w:val="none" w:sz="0" w:space="0" w:color="auto"/>
        <w:left w:val="none" w:sz="0" w:space="0" w:color="auto"/>
        <w:bottom w:val="none" w:sz="0" w:space="0" w:color="auto"/>
        <w:right w:val="none" w:sz="0" w:space="0" w:color="auto"/>
      </w:divBdr>
    </w:div>
    <w:div w:id="1186022593">
      <w:bodyDiv w:val="1"/>
      <w:marLeft w:val="0"/>
      <w:marRight w:val="0"/>
      <w:marTop w:val="0"/>
      <w:marBottom w:val="0"/>
      <w:divBdr>
        <w:top w:val="none" w:sz="0" w:space="0" w:color="auto"/>
        <w:left w:val="none" w:sz="0" w:space="0" w:color="auto"/>
        <w:bottom w:val="none" w:sz="0" w:space="0" w:color="auto"/>
        <w:right w:val="none" w:sz="0" w:space="0" w:color="auto"/>
      </w:divBdr>
    </w:div>
    <w:div w:id="1186138587">
      <w:bodyDiv w:val="1"/>
      <w:marLeft w:val="0"/>
      <w:marRight w:val="0"/>
      <w:marTop w:val="0"/>
      <w:marBottom w:val="0"/>
      <w:divBdr>
        <w:top w:val="none" w:sz="0" w:space="0" w:color="auto"/>
        <w:left w:val="none" w:sz="0" w:space="0" w:color="auto"/>
        <w:bottom w:val="none" w:sz="0" w:space="0" w:color="auto"/>
        <w:right w:val="none" w:sz="0" w:space="0" w:color="auto"/>
      </w:divBdr>
    </w:div>
    <w:div w:id="1186215490">
      <w:bodyDiv w:val="1"/>
      <w:marLeft w:val="0"/>
      <w:marRight w:val="0"/>
      <w:marTop w:val="0"/>
      <w:marBottom w:val="0"/>
      <w:divBdr>
        <w:top w:val="none" w:sz="0" w:space="0" w:color="auto"/>
        <w:left w:val="none" w:sz="0" w:space="0" w:color="auto"/>
        <w:bottom w:val="none" w:sz="0" w:space="0" w:color="auto"/>
        <w:right w:val="none" w:sz="0" w:space="0" w:color="auto"/>
      </w:divBdr>
    </w:div>
    <w:div w:id="1186478208">
      <w:bodyDiv w:val="1"/>
      <w:marLeft w:val="0"/>
      <w:marRight w:val="0"/>
      <w:marTop w:val="0"/>
      <w:marBottom w:val="0"/>
      <w:divBdr>
        <w:top w:val="none" w:sz="0" w:space="0" w:color="auto"/>
        <w:left w:val="none" w:sz="0" w:space="0" w:color="auto"/>
        <w:bottom w:val="none" w:sz="0" w:space="0" w:color="auto"/>
        <w:right w:val="none" w:sz="0" w:space="0" w:color="auto"/>
      </w:divBdr>
    </w:div>
    <w:div w:id="1186484010">
      <w:bodyDiv w:val="1"/>
      <w:marLeft w:val="0"/>
      <w:marRight w:val="0"/>
      <w:marTop w:val="0"/>
      <w:marBottom w:val="0"/>
      <w:divBdr>
        <w:top w:val="none" w:sz="0" w:space="0" w:color="auto"/>
        <w:left w:val="none" w:sz="0" w:space="0" w:color="auto"/>
        <w:bottom w:val="none" w:sz="0" w:space="0" w:color="auto"/>
        <w:right w:val="none" w:sz="0" w:space="0" w:color="auto"/>
      </w:divBdr>
    </w:div>
    <w:div w:id="1186558319">
      <w:bodyDiv w:val="1"/>
      <w:marLeft w:val="0"/>
      <w:marRight w:val="0"/>
      <w:marTop w:val="0"/>
      <w:marBottom w:val="0"/>
      <w:divBdr>
        <w:top w:val="none" w:sz="0" w:space="0" w:color="auto"/>
        <w:left w:val="none" w:sz="0" w:space="0" w:color="auto"/>
        <w:bottom w:val="none" w:sz="0" w:space="0" w:color="auto"/>
        <w:right w:val="none" w:sz="0" w:space="0" w:color="auto"/>
      </w:divBdr>
    </w:div>
    <w:div w:id="1186559207">
      <w:bodyDiv w:val="1"/>
      <w:marLeft w:val="0"/>
      <w:marRight w:val="0"/>
      <w:marTop w:val="0"/>
      <w:marBottom w:val="0"/>
      <w:divBdr>
        <w:top w:val="none" w:sz="0" w:space="0" w:color="auto"/>
        <w:left w:val="none" w:sz="0" w:space="0" w:color="auto"/>
        <w:bottom w:val="none" w:sz="0" w:space="0" w:color="auto"/>
        <w:right w:val="none" w:sz="0" w:space="0" w:color="auto"/>
      </w:divBdr>
    </w:div>
    <w:div w:id="1186600338">
      <w:bodyDiv w:val="1"/>
      <w:marLeft w:val="0"/>
      <w:marRight w:val="0"/>
      <w:marTop w:val="0"/>
      <w:marBottom w:val="0"/>
      <w:divBdr>
        <w:top w:val="none" w:sz="0" w:space="0" w:color="auto"/>
        <w:left w:val="none" w:sz="0" w:space="0" w:color="auto"/>
        <w:bottom w:val="none" w:sz="0" w:space="0" w:color="auto"/>
        <w:right w:val="none" w:sz="0" w:space="0" w:color="auto"/>
      </w:divBdr>
    </w:div>
    <w:div w:id="1186749660">
      <w:bodyDiv w:val="1"/>
      <w:marLeft w:val="0"/>
      <w:marRight w:val="0"/>
      <w:marTop w:val="0"/>
      <w:marBottom w:val="0"/>
      <w:divBdr>
        <w:top w:val="none" w:sz="0" w:space="0" w:color="auto"/>
        <w:left w:val="none" w:sz="0" w:space="0" w:color="auto"/>
        <w:bottom w:val="none" w:sz="0" w:space="0" w:color="auto"/>
        <w:right w:val="none" w:sz="0" w:space="0" w:color="auto"/>
      </w:divBdr>
    </w:div>
    <w:div w:id="1186796106">
      <w:bodyDiv w:val="1"/>
      <w:marLeft w:val="0"/>
      <w:marRight w:val="0"/>
      <w:marTop w:val="0"/>
      <w:marBottom w:val="0"/>
      <w:divBdr>
        <w:top w:val="none" w:sz="0" w:space="0" w:color="auto"/>
        <w:left w:val="none" w:sz="0" w:space="0" w:color="auto"/>
        <w:bottom w:val="none" w:sz="0" w:space="0" w:color="auto"/>
        <w:right w:val="none" w:sz="0" w:space="0" w:color="auto"/>
      </w:divBdr>
    </w:div>
    <w:div w:id="1186870401">
      <w:bodyDiv w:val="1"/>
      <w:marLeft w:val="0"/>
      <w:marRight w:val="0"/>
      <w:marTop w:val="0"/>
      <w:marBottom w:val="0"/>
      <w:divBdr>
        <w:top w:val="none" w:sz="0" w:space="0" w:color="auto"/>
        <w:left w:val="none" w:sz="0" w:space="0" w:color="auto"/>
        <w:bottom w:val="none" w:sz="0" w:space="0" w:color="auto"/>
        <w:right w:val="none" w:sz="0" w:space="0" w:color="auto"/>
      </w:divBdr>
    </w:div>
    <w:div w:id="1186939961">
      <w:bodyDiv w:val="1"/>
      <w:marLeft w:val="0"/>
      <w:marRight w:val="0"/>
      <w:marTop w:val="0"/>
      <w:marBottom w:val="0"/>
      <w:divBdr>
        <w:top w:val="none" w:sz="0" w:space="0" w:color="auto"/>
        <w:left w:val="none" w:sz="0" w:space="0" w:color="auto"/>
        <w:bottom w:val="none" w:sz="0" w:space="0" w:color="auto"/>
        <w:right w:val="none" w:sz="0" w:space="0" w:color="auto"/>
      </w:divBdr>
    </w:div>
    <w:div w:id="1186947679">
      <w:bodyDiv w:val="1"/>
      <w:marLeft w:val="0"/>
      <w:marRight w:val="0"/>
      <w:marTop w:val="0"/>
      <w:marBottom w:val="0"/>
      <w:divBdr>
        <w:top w:val="none" w:sz="0" w:space="0" w:color="auto"/>
        <w:left w:val="none" w:sz="0" w:space="0" w:color="auto"/>
        <w:bottom w:val="none" w:sz="0" w:space="0" w:color="auto"/>
        <w:right w:val="none" w:sz="0" w:space="0" w:color="auto"/>
      </w:divBdr>
    </w:div>
    <w:div w:id="1186988246">
      <w:bodyDiv w:val="1"/>
      <w:marLeft w:val="0"/>
      <w:marRight w:val="0"/>
      <w:marTop w:val="0"/>
      <w:marBottom w:val="0"/>
      <w:divBdr>
        <w:top w:val="none" w:sz="0" w:space="0" w:color="auto"/>
        <w:left w:val="none" w:sz="0" w:space="0" w:color="auto"/>
        <w:bottom w:val="none" w:sz="0" w:space="0" w:color="auto"/>
        <w:right w:val="none" w:sz="0" w:space="0" w:color="auto"/>
      </w:divBdr>
    </w:div>
    <w:div w:id="1187330962">
      <w:bodyDiv w:val="1"/>
      <w:marLeft w:val="0"/>
      <w:marRight w:val="0"/>
      <w:marTop w:val="0"/>
      <w:marBottom w:val="0"/>
      <w:divBdr>
        <w:top w:val="none" w:sz="0" w:space="0" w:color="auto"/>
        <w:left w:val="none" w:sz="0" w:space="0" w:color="auto"/>
        <w:bottom w:val="none" w:sz="0" w:space="0" w:color="auto"/>
        <w:right w:val="none" w:sz="0" w:space="0" w:color="auto"/>
      </w:divBdr>
    </w:div>
    <w:div w:id="1187403486">
      <w:bodyDiv w:val="1"/>
      <w:marLeft w:val="0"/>
      <w:marRight w:val="0"/>
      <w:marTop w:val="0"/>
      <w:marBottom w:val="0"/>
      <w:divBdr>
        <w:top w:val="none" w:sz="0" w:space="0" w:color="auto"/>
        <w:left w:val="none" w:sz="0" w:space="0" w:color="auto"/>
        <w:bottom w:val="none" w:sz="0" w:space="0" w:color="auto"/>
        <w:right w:val="none" w:sz="0" w:space="0" w:color="auto"/>
      </w:divBdr>
    </w:div>
    <w:div w:id="1187598555">
      <w:bodyDiv w:val="1"/>
      <w:marLeft w:val="0"/>
      <w:marRight w:val="0"/>
      <w:marTop w:val="0"/>
      <w:marBottom w:val="0"/>
      <w:divBdr>
        <w:top w:val="none" w:sz="0" w:space="0" w:color="auto"/>
        <w:left w:val="none" w:sz="0" w:space="0" w:color="auto"/>
        <w:bottom w:val="none" w:sz="0" w:space="0" w:color="auto"/>
        <w:right w:val="none" w:sz="0" w:space="0" w:color="auto"/>
      </w:divBdr>
    </w:div>
    <w:div w:id="1187672826">
      <w:bodyDiv w:val="1"/>
      <w:marLeft w:val="0"/>
      <w:marRight w:val="0"/>
      <w:marTop w:val="0"/>
      <w:marBottom w:val="0"/>
      <w:divBdr>
        <w:top w:val="none" w:sz="0" w:space="0" w:color="auto"/>
        <w:left w:val="none" w:sz="0" w:space="0" w:color="auto"/>
        <w:bottom w:val="none" w:sz="0" w:space="0" w:color="auto"/>
        <w:right w:val="none" w:sz="0" w:space="0" w:color="auto"/>
      </w:divBdr>
    </w:div>
    <w:div w:id="1187716449">
      <w:bodyDiv w:val="1"/>
      <w:marLeft w:val="0"/>
      <w:marRight w:val="0"/>
      <w:marTop w:val="0"/>
      <w:marBottom w:val="0"/>
      <w:divBdr>
        <w:top w:val="none" w:sz="0" w:space="0" w:color="auto"/>
        <w:left w:val="none" w:sz="0" w:space="0" w:color="auto"/>
        <w:bottom w:val="none" w:sz="0" w:space="0" w:color="auto"/>
        <w:right w:val="none" w:sz="0" w:space="0" w:color="auto"/>
      </w:divBdr>
    </w:div>
    <w:div w:id="1187789916">
      <w:bodyDiv w:val="1"/>
      <w:marLeft w:val="0"/>
      <w:marRight w:val="0"/>
      <w:marTop w:val="0"/>
      <w:marBottom w:val="0"/>
      <w:divBdr>
        <w:top w:val="none" w:sz="0" w:space="0" w:color="auto"/>
        <w:left w:val="none" w:sz="0" w:space="0" w:color="auto"/>
        <w:bottom w:val="none" w:sz="0" w:space="0" w:color="auto"/>
        <w:right w:val="none" w:sz="0" w:space="0" w:color="auto"/>
      </w:divBdr>
    </w:div>
    <w:div w:id="1187867500">
      <w:bodyDiv w:val="1"/>
      <w:marLeft w:val="0"/>
      <w:marRight w:val="0"/>
      <w:marTop w:val="0"/>
      <w:marBottom w:val="0"/>
      <w:divBdr>
        <w:top w:val="none" w:sz="0" w:space="0" w:color="auto"/>
        <w:left w:val="none" w:sz="0" w:space="0" w:color="auto"/>
        <w:bottom w:val="none" w:sz="0" w:space="0" w:color="auto"/>
        <w:right w:val="none" w:sz="0" w:space="0" w:color="auto"/>
      </w:divBdr>
    </w:div>
    <w:div w:id="1187868847">
      <w:bodyDiv w:val="1"/>
      <w:marLeft w:val="0"/>
      <w:marRight w:val="0"/>
      <w:marTop w:val="0"/>
      <w:marBottom w:val="0"/>
      <w:divBdr>
        <w:top w:val="none" w:sz="0" w:space="0" w:color="auto"/>
        <w:left w:val="none" w:sz="0" w:space="0" w:color="auto"/>
        <w:bottom w:val="none" w:sz="0" w:space="0" w:color="auto"/>
        <w:right w:val="none" w:sz="0" w:space="0" w:color="auto"/>
      </w:divBdr>
    </w:div>
    <w:div w:id="1188058773">
      <w:bodyDiv w:val="1"/>
      <w:marLeft w:val="0"/>
      <w:marRight w:val="0"/>
      <w:marTop w:val="0"/>
      <w:marBottom w:val="0"/>
      <w:divBdr>
        <w:top w:val="none" w:sz="0" w:space="0" w:color="auto"/>
        <w:left w:val="none" w:sz="0" w:space="0" w:color="auto"/>
        <w:bottom w:val="none" w:sz="0" w:space="0" w:color="auto"/>
        <w:right w:val="none" w:sz="0" w:space="0" w:color="auto"/>
      </w:divBdr>
    </w:div>
    <w:div w:id="1188062827">
      <w:bodyDiv w:val="1"/>
      <w:marLeft w:val="0"/>
      <w:marRight w:val="0"/>
      <w:marTop w:val="0"/>
      <w:marBottom w:val="0"/>
      <w:divBdr>
        <w:top w:val="none" w:sz="0" w:space="0" w:color="auto"/>
        <w:left w:val="none" w:sz="0" w:space="0" w:color="auto"/>
        <w:bottom w:val="none" w:sz="0" w:space="0" w:color="auto"/>
        <w:right w:val="none" w:sz="0" w:space="0" w:color="auto"/>
      </w:divBdr>
    </w:div>
    <w:div w:id="1188175951">
      <w:bodyDiv w:val="1"/>
      <w:marLeft w:val="0"/>
      <w:marRight w:val="0"/>
      <w:marTop w:val="0"/>
      <w:marBottom w:val="0"/>
      <w:divBdr>
        <w:top w:val="none" w:sz="0" w:space="0" w:color="auto"/>
        <w:left w:val="none" w:sz="0" w:space="0" w:color="auto"/>
        <w:bottom w:val="none" w:sz="0" w:space="0" w:color="auto"/>
        <w:right w:val="none" w:sz="0" w:space="0" w:color="auto"/>
      </w:divBdr>
    </w:div>
    <w:div w:id="1188182155">
      <w:bodyDiv w:val="1"/>
      <w:marLeft w:val="0"/>
      <w:marRight w:val="0"/>
      <w:marTop w:val="0"/>
      <w:marBottom w:val="0"/>
      <w:divBdr>
        <w:top w:val="none" w:sz="0" w:space="0" w:color="auto"/>
        <w:left w:val="none" w:sz="0" w:space="0" w:color="auto"/>
        <w:bottom w:val="none" w:sz="0" w:space="0" w:color="auto"/>
        <w:right w:val="none" w:sz="0" w:space="0" w:color="auto"/>
      </w:divBdr>
    </w:div>
    <w:div w:id="1188376058">
      <w:bodyDiv w:val="1"/>
      <w:marLeft w:val="0"/>
      <w:marRight w:val="0"/>
      <w:marTop w:val="0"/>
      <w:marBottom w:val="0"/>
      <w:divBdr>
        <w:top w:val="none" w:sz="0" w:space="0" w:color="auto"/>
        <w:left w:val="none" w:sz="0" w:space="0" w:color="auto"/>
        <w:bottom w:val="none" w:sz="0" w:space="0" w:color="auto"/>
        <w:right w:val="none" w:sz="0" w:space="0" w:color="auto"/>
      </w:divBdr>
    </w:div>
    <w:div w:id="1188443544">
      <w:bodyDiv w:val="1"/>
      <w:marLeft w:val="0"/>
      <w:marRight w:val="0"/>
      <w:marTop w:val="0"/>
      <w:marBottom w:val="0"/>
      <w:divBdr>
        <w:top w:val="none" w:sz="0" w:space="0" w:color="auto"/>
        <w:left w:val="none" w:sz="0" w:space="0" w:color="auto"/>
        <w:bottom w:val="none" w:sz="0" w:space="0" w:color="auto"/>
        <w:right w:val="none" w:sz="0" w:space="0" w:color="auto"/>
      </w:divBdr>
    </w:div>
    <w:div w:id="1188450720">
      <w:bodyDiv w:val="1"/>
      <w:marLeft w:val="0"/>
      <w:marRight w:val="0"/>
      <w:marTop w:val="0"/>
      <w:marBottom w:val="0"/>
      <w:divBdr>
        <w:top w:val="none" w:sz="0" w:space="0" w:color="auto"/>
        <w:left w:val="none" w:sz="0" w:space="0" w:color="auto"/>
        <w:bottom w:val="none" w:sz="0" w:space="0" w:color="auto"/>
        <w:right w:val="none" w:sz="0" w:space="0" w:color="auto"/>
      </w:divBdr>
    </w:div>
    <w:div w:id="1188520480">
      <w:bodyDiv w:val="1"/>
      <w:marLeft w:val="0"/>
      <w:marRight w:val="0"/>
      <w:marTop w:val="0"/>
      <w:marBottom w:val="0"/>
      <w:divBdr>
        <w:top w:val="none" w:sz="0" w:space="0" w:color="auto"/>
        <w:left w:val="none" w:sz="0" w:space="0" w:color="auto"/>
        <w:bottom w:val="none" w:sz="0" w:space="0" w:color="auto"/>
        <w:right w:val="none" w:sz="0" w:space="0" w:color="auto"/>
      </w:divBdr>
    </w:div>
    <w:div w:id="1188593228">
      <w:bodyDiv w:val="1"/>
      <w:marLeft w:val="0"/>
      <w:marRight w:val="0"/>
      <w:marTop w:val="0"/>
      <w:marBottom w:val="0"/>
      <w:divBdr>
        <w:top w:val="none" w:sz="0" w:space="0" w:color="auto"/>
        <w:left w:val="none" w:sz="0" w:space="0" w:color="auto"/>
        <w:bottom w:val="none" w:sz="0" w:space="0" w:color="auto"/>
        <w:right w:val="none" w:sz="0" w:space="0" w:color="auto"/>
      </w:divBdr>
    </w:div>
    <w:div w:id="1188643276">
      <w:bodyDiv w:val="1"/>
      <w:marLeft w:val="0"/>
      <w:marRight w:val="0"/>
      <w:marTop w:val="0"/>
      <w:marBottom w:val="0"/>
      <w:divBdr>
        <w:top w:val="none" w:sz="0" w:space="0" w:color="auto"/>
        <w:left w:val="none" w:sz="0" w:space="0" w:color="auto"/>
        <w:bottom w:val="none" w:sz="0" w:space="0" w:color="auto"/>
        <w:right w:val="none" w:sz="0" w:space="0" w:color="auto"/>
      </w:divBdr>
    </w:div>
    <w:div w:id="1188759269">
      <w:bodyDiv w:val="1"/>
      <w:marLeft w:val="0"/>
      <w:marRight w:val="0"/>
      <w:marTop w:val="0"/>
      <w:marBottom w:val="0"/>
      <w:divBdr>
        <w:top w:val="none" w:sz="0" w:space="0" w:color="auto"/>
        <w:left w:val="none" w:sz="0" w:space="0" w:color="auto"/>
        <w:bottom w:val="none" w:sz="0" w:space="0" w:color="auto"/>
        <w:right w:val="none" w:sz="0" w:space="0" w:color="auto"/>
      </w:divBdr>
    </w:div>
    <w:div w:id="1188760513">
      <w:bodyDiv w:val="1"/>
      <w:marLeft w:val="0"/>
      <w:marRight w:val="0"/>
      <w:marTop w:val="0"/>
      <w:marBottom w:val="0"/>
      <w:divBdr>
        <w:top w:val="none" w:sz="0" w:space="0" w:color="auto"/>
        <w:left w:val="none" w:sz="0" w:space="0" w:color="auto"/>
        <w:bottom w:val="none" w:sz="0" w:space="0" w:color="auto"/>
        <w:right w:val="none" w:sz="0" w:space="0" w:color="auto"/>
      </w:divBdr>
    </w:div>
    <w:div w:id="1188832296">
      <w:bodyDiv w:val="1"/>
      <w:marLeft w:val="0"/>
      <w:marRight w:val="0"/>
      <w:marTop w:val="0"/>
      <w:marBottom w:val="0"/>
      <w:divBdr>
        <w:top w:val="none" w:sz="0" w:space="0" w:color="auto"/>
        <w:left w:val="none" w:sz="0" w:space="0" w:color="auto"/>
        <w:bottom w:val="none" w:sz="0" w:space="0" w:color="auto"/>
        <w:right w:val="none" w:sz="0" w:space="0" w:color="auto"/>
      </w:divBdr>
    </w:div>
    <w:div w:id="1188836911">
      <w:bodyDiv w:val="1"/>
      <w:marLeft w:val="0"/>
      <w:marRight w:val="0"/>
      <w:marTop w:val="0"/>
      <w:marBottom w:val="0"/>
      <w:divBdr>
        <w:top w:val="none" w:sz="0" w:space="0" w:color="auto"/>
        <w:left w:val="none" w:sz="0" w:space="0" w:color="auto"/>
        <w:bottom w:val="none" w:sz="0" w:space="0" w:color="auto"/>
        <w:right w:val="none" w:sz="0" w:space="0" w:color="auto"/>
      </w:divBdr>
    </w:div>
    <w:div w:id="1189022268">
      <w:bodyDiv w:val="1"/>
      <w:marLeft w:val="0"/>
      <w:marRight w:val="0"/>
      <w:marTop w:val="0"/>
      <w:marBottom w:val="0"/>
      <w:divBdr>
        <w:top w:val="none" w:sz="0" w:space="0" w:color="auto"/>
        <w:left w:val="none" w:sz="0" w:space="0" w:color="auto"/>
        <w:bottom w:val="none" w:sz="0" w:space="0" w:color="auto"/>
        <w:right w:val="none" w:sz="0" w:space="0" w:color="auto"/>
      </w:divBdr>
    </w:div>
    <w:div w:id="1189027720">
      <w:bodyDiv w:val="1"/>
      <w:marLeft w:val="0"/>
      <w:marRight w:val="0"/>
      <w:marTop w:val="0"/>
      <w:marBottom w:val="0"/>
      <w:divBdr>
        <w:top w:val="none" w:sz="0" w:space="0" w:color="auto"/>
        <w:left w:val="none" w:sz="0" w:space="0" w:color="auto"/>
        <w:bottom w:val="none" w:sz="0" w:space="0" w:color="auto"/>
        <w:right w:val="none" w:sz="0" w:space="0" w:color="auto"/>
      </w:divBdr>
    </w:div>
    <w:div w:id="1189099233">
      <w:bodyDiv w:val="1"/>
      <w:marLeft w:val="0"/>
      <w:marRight w:val="0"/>
      <w:marTop w:val="0"/>
      <w:marBottom w:val="0"/>
      <w:divBdr>
        <w:top w:val="none" w:sz="0" w:space="0" w:color="auto"/>
        <w:left w:val="none" w:sz="0" w:space="0" w:color="auto"/>
        <w:bottom w:val="none" w:sz="0" w:space="0" w:color="auto"/>
        <w:right w:val="none" w:sz="0" w:space="0" w:color="auto"/>
      </w:divBdr>
    </w:div>
    <w:div w:id="1189102304">
      <w:bodyDiv w:val="1"/>
      <w:marLeft w:val="0"/>
      <w:marRight w:val="0"/>
      <w:marTop w:val="0"/>
      <w:marBottom w:val="0"/>
      <w:divBdr>
        <w:top w:val="none" w:sz="0" w:space="0" w:color="auto"/>
        <w:left w:val="none" w:sz="0" w:space="0" w:color="auto"/>
        <w:bottom w:val="none" w:sz="0" w:space="0" w:color="auto"/>
        <w:right w:val="none" w:sz="0" w:space="0" w:color="auto"/>
      </w:divBdr>
    </w:div>
    <w:div w:id="1189295132">
      <w:bodyDiv w:val="1"/>
      <w:marLeft w:val="0"/>
      <w:marRight w:val="0"/>
      <w:marTop w:val="0"/>
      <w:marBottom w:val="0"/>
      <w:divBdr>
        <w:top w:val="none" w:sz="0" w:space="0" w:color="auto"/>
        <w:left w:val="none" w:sz="0" w:space="0" w:color="auto"/>
        <w:bottom w:val="none" w:sz="0" w:space="0" w:color="auto"/>
        <w:right w:val="none" w:sz="0" w:space="0" w:color="auto"/>
      </w:divBdr>
    </w:div>
    <w:div w:id="1189296865">
      <w:bodyDiv w:val="1"/>
      <w:marLeft w:val="0"/>
      <w:marRight w:val="0"/>
      <w:marTop w:val="0"/>
      <w:marBottom w:val="0"/>
      <w:divBdr>
        <w:top w:val="none" w:sz="0" w:space="0" w:color="auto"/>
        <w:left w:val="none" w:sz="0" w:space="0" w:color="auto"/>
        <w:bottom w:val="none" w:sz="0" w:space="0" w:color="auto"/>
        <w:right w:val="none" w:sz="0" w:space="0" w:color="auto"/>
      </w:divBdr>
    </w:div>
    <w:div w:id="1189369272">
      <w:bodyDiv w:val="1"/>
      <w:marLeft w:val="0"/>
      <w:marRight w:val="0"/>
      <w:marTop w:val="0"/>
      <w:marBottom w:val="0"/>
      <w:divBdr>
        <w:top w:val="none" w:sz="0" w:space="0" w:color="auto"/>
        <w:left w:val="none" w:sz="0" w:space="0" w:color="auto"/>
        <w:bottom w:val="none" w:sz="0" w:space="0" w:color="auto"/>
        <w:right w:val="none" w:sz="0" w:space="0" w:color="auto"/>
      </w:divBdr>
    </w:div>
    <w:div w:id="1189373674">
      <w:bodyDiv w:val="1"/>
      <w:marLeft w:val="0"/>
      <w:marRight w:val="0"/>
      <w:marTop w:val="0"/>
      <w:marBottom w:val="0"/>
      <w:divBdr>
        <w:top w:val="none" w:sz="0" w:space="0" w:color="auto"/>
        <w:left w:val="none" w:sz="0" w:space="0" w:color="auto"/>
        <w:bottom w:val="none" w:sz="0" w:space="0" w:color="auto"/>
        <w:right w:val="none" w:sz="0" w:space="0" w:color="auto"/>
      </w:divBdr>
    </w:div>
    <w:div w:id="1189375518">
      <w:bodyDiv w:val="1"/>
      <w:marLeft w:val="0"/>
      <w:marRight w:val="0"/>
      <w:marTop w:val="0"/>
      <w:marBottom w:val="0"/>
      <w:divBdr>
        <w:top w:val="none" w:sz="0" w:space="0" w:color="auto"/>
        <w:left w:val="none" w:sz="0" w:space="0" w:color="auto"/>
        <w:bottom w:val="none" w:sz="0" w:space="0" w:color="auto"/>
        <w:right w:val="none" w:sz="0" w:space="0" w:color="auto"/>
      </w:divBdr>
    </w:div>
    <w:div w:id="1189416502">
      <w:bodyDiv w:val="1"/>
      <w:marLeft w:val="0"/>
      <w:marRight w:val="0"/>
      <w:marTop w:val="0"/>
      <w:marBottom w:val="0"/>
      <w:divBdr>
        <w:top w:val="none" w:sz="0" w:space="0" w:color="auto"/>
        <w:left w:val="none" w:sz="0" w:space="0" w:color="auto"/>
        <w:bottom w:val="none" w:sz="0" w:space="0" w:color="auto"/>
        <w:right w:val="none" w:sz="0" w:space="0" w:color="auto"/>
      </w:divBdr>
    </w:div>
    <w:div w:id="1189488013">
      <w:bodyDiv w:val="1"/>
      <w:marLeft w:val="0"/>
      <w:marRight w:val="0"/>
      <w:marTop w:val="0"/>
      <w:marBottom w:val="0"/>
      <w:divBdr>
        <w:top w:val="none" w:sz="0" w:space="0" w:color="auto"/>
        <w:left w:val="none" w:sz="0" w:space="0" w:color="auto"/>
        <w:bottom w:val="none" w:sz="0" w:space="0" w:color="auto"/>
        <w:right w:val="none" w:sz="0" w:space="0" w:color="auto"/>
      </w:divBdr>
    </w:div>
    <w:div w:id="1189565909">
      <w:bodyDiv w:val="1"/>
      <w:marLeft w:val="0"/>
      <w:marRight w:val="0"/>
      <w:marTop w:val="0"/>
      <w:marBottom w:val="0"/>
      <w:divBdr>
        <w:top w:val="none" w:sz="0" w:space="0" w:color="auto"/>
        <w:left w:val="none" w:sz="0" w:space="0" w:color="auto"/>
        <w:bottom w:val="none" w:sz="0" w:space="0" w:color="auto"/>
        <w:right w:val="none" w:sz="0" w:space="0" w:color="auto"/>
      </w:divBdr>
    </w:div>
    <w:div w:id="1189566544">
      <w:bodyDiv w:val="1"/>
      <w:marLeft w:val="0"/>
      <w:marRight w:val="0"/>
      <w:marTop w:val="0"/>
      <w:marBottom w:val="0"/>
      <w:divBdr>
        <w:top w:val="none" w:sz="0" w:space="0" w:color="auto"/>
        <w:left w:val="none" w:sz="0" w:space="0" w:color="auto"/>
        <w:bottom w:val="none" w:sz="0" w:space="0" w:color="auto"/>
        <w:right w:val="none" w:sz="0" w:space="0" w:color="auto"/>
      </w:divBdr>
    </w:div>
    <w:div w:id="1189682939">
      <w:bodyDiv w:val="1"/>
      <w:marLeft w:val="0"/>
      <w:marRight w:val="0"/>
      <w:marTop w:val="0"/>
      <w:marBottom w:val="0"/>
      <w:divBdr>
        <w:top w:val="none" w:sz="0" w:space="0" w:color="auto"/>
        <w:left w:val="none" w:sz="0" w:space="0" w:color="auto"/>
        <w:bottom w:val="none" w:sz="0" w:space="0" w:color="auto"/>
        <w:right w:val="none" w:sz="0" w:space="0" w:color="auto"/>
      </w:divBdr>
    </w:div>
    <w:div w:id="1189760825">
      <w:bodyDiv w:val="1"/>
      <w:marLeft w:val="0"/>
      <w:marRight w:val="0"/>
      <w:marTop w:val="0"/>
      <w:marBottom w:val="0"/>
      <w:divBdr>
        <w:top w:val="none" w:sz="0" w:space="0" w:color="auto"/>
        <w:left w:val="none" w:sz="0" w:space="0" w:color="auto"/>
        <w:bottom w:val="none" w:sz="0" w:space="0" w:color="auto"/>
        <w:right w:val="none" w:sz="0" w:space="0" w:color="auto"/>
      </w:divBdr>
    </w:div>
    <w:div w:id="1189874783">
      <w:bodyDiv w:val="1"/>
      <w:marLeft w:val="0"/>
      <w:marRight w:val="0"/>
      <w:marTop w:val="0"/>
      <w:marBottom w:val="0"/>
      <w:divBdr>
        <w:top w:val="none" w:sz="0" w:space="0" w:color="auto"/>
        <w:left w:val="none" w:sz="0" w:space="0" w:color="auto"/>
        <w:bottom w:val="none" w:sz="0" w:space="0" w:color="auto"/>
        <w:right w:val="none" w:sz="0" w:space="0" w:color="auto"/>
      </w:divBdr>
    </w:div>
    <w:div w:id="1189877683">
      <w:bodyDiv w:val="1"/>
      <w:marLeft w:val="0"/>
      <w:marRight w:val="0"/>
      <w:marTop w:val="0"/>
      <w:marBottom w:val="0"/>
      <w:divBdr>
        <w:top w:val="none" w:sz="0" w:space="0" w:color="auto"/>
        <w:left w:val="none" w:sz="0" w:space="0" w:color="auto"/>
        <w:bottom w:val="none" w:sz="0" w:space="0" w:color="auto"/>
        <w:right w:val="none" w:sz="0" w:space="0" w:color="auto"/>
      </w:divBdr>
    </w:div>
    <w:div w:id="1190023591">
      <w:bodyDiv w:val="1"/>
      <w:marLeft w:val="0"/>
      <w:marRight w:val="0"/>
      <w:marTop w:val="0"/>
      <w:marBottom w:val="0"/>
      <w:divBdr>
        <w:top w:val="none" w:sz="0" w:space="0" w:color="auto"/>
        <w:left w:val="none" w:sz="0" w:space="0" w:color="auto"/>
        <w:bottom w:val="none" w:sz="0" w:space="0" w:color="auto"/>
        <w:right w:val="none" w:sz="0" w:space="0" w:color="auto"/>
      </w:divBdr>
    </w:div>
    <w:div w:id="1190024486">
      <w:bodyDiv w:val="1"/>
      <w:marLeft w:val="0"/>
      <w:marRight w:val="0"/>
      <w:marTop w:val="0"/>
      <w:marBottom w:val="0"/>
      <w:divBdr>
        <w:top w:val="none" w:sz="0" w:space="0" w:color="auto"/>
        <w:left w:val="none" w:sz="0" w:space="0" w:color="auto"/>
        <w:bottom w:val="none" w:sz="0" w:space="0" w:color="auto"/>
        <w:right w:val="none" w:sz="0" w:space="0" w:color="auto"/>
      </w:divBdr>
    </w:div>
    <w:div w:id="1190070193">
      <w:bodyDiv w:val="1"/>
      <w:marLeft w:val="0"/>
      <w:marRight w:val="0"/>
      <w:marTop w:val="0"/>
      <w:marBottom w:val="0"/>
      <w:divBdr>
        <w:top w:val="none" w:sz="0" w:space="0" w:color="auto"/>
        <w:left w:val="none" w:sz="0" w:space="0" w:color="auto"/>
        <w:bottom w:val="none" w:sz="0" w:space="0" w:color="auto"/>
        <w:right w:val="none" w:sz="0" w:space="0" w:color="auto"/>
      </w:divBdr>
    </w:div>
    <w:div w:id="1190145603">
      <w:bodyDiv w:val="1"/>
      <w:marLeft w:val="0"/>
      <w:marRight w:val="0"/>
      <w:marTop w:val="0"/>
      <w:marBottom w:val="0"/>
      <w:divBdr>
        <w:top w:val="none" w:sz="0" w:space="0" w:color="auto"/>
        <w:left w:val="none" w:sz="0" w:space="0" w:color="auto"/>
        <w:bottom w:val="none" w:sz="0" w:space="0" w:color="auto"/>
        <w:right w:val="none" w:sz="0" w:space="0" w:color="auto"/>
      </w:divBdr>
    </w:div>
    <w:div w:id="1190217439">
      <w:bodyDiv w:val="1"/>
      <w:marLeft w:val="0"/>
      <w:marRight w:val="0"/>
      <w:marTop w:val="0"/>
      <w:marBottom w:val="0"/>
      <w:divBdr>
        <w:top w:val="none" w:sz="0" w:space="0" w:color="auto"/>
        <w:left w:val="none" w:sz="0" w:space="0" w:color="auto"/>
        <w:bottom w:val="none" w:sz="0" w:space="0" w:color="auto"/>
        <w:right w:val="none" w:sz="0" w:space="0" w:color="auto"/>
      </w:divBdr>
    </w:div>
    <w:div w:id="1190291928">
      <w:bodyDiv w:val="1"/>
      <w:marLeft w:val="0"/>
      <w:marRight w:val="0"/>
      <w:marTop w:val="0"/>
      <w:marBottom w:val="0"/>
      <w:divBdr>
        <w:top w:val="none" w:sz="0" w:space="0" w:color="auto"/>
        <w:left w:val="none" w:sz="0" w:space="0" w:color="auto"/>
        <w:bottom w:val="none" w:sz="0" w:space="0" w:color="auto"/>
        <w:right w:val="none" w:sz="0" w:space="0" w:color="auto"/>
      </w:divBdr>
    </w:div>
    <w:div w:id="1190293064">
      <w:bodyDiv w:val="1"/>
      <w:marLeft w:val="0"/>
      <w:marRight w:val="0"/>
      <w:marTop w:val="0"/>
      <w:marBottom w:val="0"/>
      <w:divBdr>
        <w:top w:val="none" w:sz="0" w:space="0" w:color="auto"/>
        <w:left w:val="none" w:sz="0" w:space="0" w:color="auto"/>
        <w:bottom w:val="none" w:sz="0" w:space="0" w:color="auto"/>
        <w:right w:val="none" w:sz="0" w:space="0" w:color="auto"/>
      </w:divBdr>
    </w:div>
    <w:div w:id="1190335169">
      <w:bodyDiv w:val="1"/>
      <w:marLeft w:val="0"/>
      <w:marRight w:val="0"/>
      <w:marTop w:val="0"/>
      <w:marBottom w:val="0"/>
      <w:divBdr>
        <w:top w:val="none" w:sz="0" w:space="0" w:color="auto"/>
        <w:left w:val="none" w:sz="0" w:space="0" w:color="auto"/>
        <w:bottom w:val="none" w:sz="0" w:space="0" w:color="auto"/>
        <w:right w:val="none" w:sz="0" w:space="0" w:color="auto"/>
      </w:divBdr>
    </w:div>
    <w:div w:id="1190338253">
      <w:bodyDiv w:val="1"/>
      <w:marLeft w:val="0"/>
      <w:marRight w:val="0"/>
      <w:marTop w:val="0"/>
      <w:marBottom w:val="0"/>
      <w:divBdr>
        <w:top w:val="none" w:sz="0" w:space="0" w:color="auto"/>
        <w:left w:val="none" w:sz="0" w:space="0" w:color="auto"/>
        <w:bottom w:val="none" w:sz="0" w:space="0" w:color="auto"/>
        <w:right w:val="none" w:sz="0" w:space="0" w:color="auto"/>
      </w:divBdr>
    </w:div>
    <w:div w:id="1190483501">
      <w:bodyDiv w:val="1"/>
      <w:marLeft w:val="0"/>
      <w:marRight w:val="0"/>
      <w:marTop w:val="0"/>
      <w:marBottom w:val="0"/>
      <w:divBdr>
        <w:top w:val="none" w:sz="0" w:space="0" w:color="auto"/>
        <w:left w:val="none" w:sz="0" w:space="0" w:color="auto"/>
        <w:bottom w:val="none" w:sz="0" w:space="0" w:color="auto"/>
        <w:right w:val="none" w:sz="0" w:space="0" w:color="auto"/>
      </w:divBdr>
    </w:div>
    <w:div w:id="1190487201">
      <w:bodyDiv w:val="1"/>
      <w:marLeft w:val="0"/>
      <w:marRight w:val="0"/>
      <w:marTop w:val="0"/>
      <w:marBottom w:val="0"/>
      <w:divBdr>
        <w:top w:val="none" w:sz="0" w:space="0" w:color="auto"/>
        <w:left w:val="none" w:sz="0" w:space="0" w:color="auto"/>
        <w:bottom w:val="none" w:sz="0" w:space="0" w:color="auto"/>
        <w:right w:val="none" w:sz="0" w:space="0" w:color="auto"/>
      </w:divBdr>
    </w:div>
    <w:div w:id="1190677887">
      <w:bodyDiv w:val="1"/>
      <w:marLeft w:val="0"/>
      <w:marRight w:val="0"/>
      <w:marTop w:val="0"/>
      <w:marBottom w:val="0"/>
      <w:divBdr>
        <w:top w:val="none" w:sz="0" w:space="0" w:color="auto"/>
        <w:left w:val="none" w:sz="0" w:space="0" w:color="auto"/>
        <w:bottom w:val="none" w:sz="0" w:space="0" w:color="auto"/>
        <w:right w:val="none" w:sz="0" w:space="0" w:color="auto"/>
      </w:divBdr>
    </w:div>
    <w:div w:id="1190803666">
      <w:bodyDiv w:val="1"/>
      <w:marLeft w:val="0"/>
      <w:marRight w:val="0"/>
      <w:marTop w:val="0"/>
      <w:marBottom w:val="0"/>
      <w:divBdr>
        <w:top w:val="none" w:sz="0" w:space="0" w:color="auto"/>
        <w:left w:val="none" w:sz="0" w:space="0" w:color="auto"/>
        <w:bottom w:val="none" w:sz="0" w:space="0" w:color="auto"/>
        <w:right w:val="none" w:sz="0" w:space="0" w:color="auto"/>
      </w:divBdr>
    </w:div>
    <w:div w:id="1190878853">
      <w:bodyDiv w:val="1"/>
      <w:marLeft w:val="0"/>
      <w:marRight w:val="0"/>
      <w:marTop w:val="0"/>
      <w:marBottom w:val="0"/>
      <w:divBdr>
        <w:top w:val="none" w:sz="0" w:space="0" w:color="auto"/>
        <w:left w:val="none" w:sz="0" w:space="0" w:color="auto"/>
        <w:bottom w:val="none" w:sz="0" w:space="0" w:color="auto"/>
        <w:right w:val="none" w:sz="0" w:space="0" w:color="auto"/>
      </w:divBdr>
    </w:div>
    <w:div w:id="1191067670">
      <w:bodyDiv w:val="1"/>
      <w:marLeft w:val="0"/>
      <w:marRight w:val="0"/>
      <w:marTop w:val="0"/>
      <w:marBottom w:val="0"/>
      <w:divBdr>
        <w:top w:val="none" w:sz="0" w:space="0" w:color="auto"/>
        <w:left w:val="none" w:sz="0" w:space="0" w:color="auto"/>
        <w:bottom w:val="none" w:sz="0" w:space="0" w:color="auto"/>
        <w:right w:val="none" w:sz="0" w:space="0" w:color="auto"/>
      </w:divBdr>
    </w:div>
    <w:div w:id="1191072522">
      <w:bodyDiv w:val="1"/>
      <w:marLeft w:val="0"/>
      <w:marRight w:val="0"/>
      <w:marTop w:val="0"/>
      <w:marBottom w:val="0"/>
      <w:divBdr>
        <w:top w:val="none" w:sz="0" w:space="0" w:color="auto"/>
        <w:left w:val="none" w:sz="0" w:space="0" w:color="auto"/>
        <w:bottom w:val="none" w:sz="0" w:space="0" w:color="auto"/>
        <w:right w:val="none" w:sz="0" w:space="0" w:color="auto"/>
      </w:divBdr>
    </w:div>
    <w:div w:id="1191141821">
      <w:bodyDiv w:val="1"/>
      <w:marLeft w:val="0"/>
      <w:marRight w:val="0"/>
      <w:marTop w:val="0"/>
      <w:marBottom w:val="0"/>
      <w:divBdr>
        <w:top w:val="none" w:sz="0" w:space="0" w:color="auto"/>
        <w:left w:val="none" w:sz="0" w:space="0" w:color="auto"/>
        <w:bottom w:val="none" w:sz="0" w:space="0" w:color="auto"/>
        <w:right w:val="none" w:sz="0" w:space="0" w:color="auto"/>
      </w:divBdr>
    </w:div>
    <w:div w:id="1191186399">
      <w:bodyDiv w:val="1"/>
      <w:marLeft w:val="0"/>
      <w:marRight w:val="0"/>
      <w:marTop w:val="0"/>
      <w:marBottom w:val="0"/>
      <w:divBdr>
        <w:top w:val="none" w:sz="0" w:space="0" w:color="auto"/>
        <w:left w:val="none" w:sz="0" w:space="0" w:color="auto"/>
        <w:bottom w:val="none" w:sz="0" w:space="0" w:color="auto"/>
        <w:right w:val="none" w:sz="0" w:space="0" w:color="auto"/>
      </w:divBdr>
    </w:div>
    <w:div w:id="1191339661">
      <w:bodyDiv w:val="1"/>
      <w:marLeft w:val="0"/>
      <w:marRight w:val="0"/>
      <w:marTop w:val="0"/>
      <w:marBottom w:val="0"/>
      <w:divBdr>
        <w:top w:val="none" w:sz="0" w:space="0" w:color="auto"/>
        <w:left w:val="none" w:sz="0" w:space="0" w:color="auto"/>
        <w:bottom w:val="none" w:sz="0" w:space="0" w:color="auto"/>
        <w:right w:val="none" w:sz="0" w:space="0" w:color="auto"/>
      </w:divBdr>
    </w:div>
    <w:div w:id="1191451022">
      <w:bodyDiv w:val="1"/>
      <w:marLeft w:val="0"/>
      <w:marRight w:val="0"/>
      <w:marTop w:val="0"/>
      <w:marBottom w:val="0"/>
      <w:divBdr>
        <w:top w:val="none" w:sz="0" w:space="0" w:color="auto"/>
        <w:left w:val="none" w:sz="0" w:space="0" w:color="auto"/>
        <w:bottom w:val="none" w:sz="0" w:space="0" w:color="auto"/>
        <w:right w:val="none" w:sz="0" w:space="0" w:color="auto"/>
      </w:divBdr>
    </w:div>
    <w:div w:id="1191455967">
      <w:bodyDiv w:val="1"/>
      <w:marLeft w:val="0"/>
      <w:marRight w:val="0"/>
      <w:marTop w:val="0"/>
      <w:marBottom w:val="0"/>
      <w:divBdr>
        <w:top w:val="none" w:sz="0" w:space="0" w:color="auto"/>
        <w:left w:val="none" w:sz="0" w:space="0" w:color="auto"/>
        <w:bottom w:val="none" w:sz="0" w:space="0" w:color="auto"/>
        <w:right w:val="none" w:sz="0" w:space="0" w:color="auto"/>
      </w:divBdr>
    </w:div>
    <w:div w:id="1191459120">
      <w:bodyDiv w:val="1"/>
      <w:marLeft w:val="0"/>
      <w:marRight w:val="0"/>
      <w:marTop w:val="0"/>
      <w:marBottom w:val="0"/>
      <w:divBdr>
        <w:top w:val="none" w:sz="0" w:space="0" w:color="auto"/>
        <w:left w:val="none" w:sz="0" w:space="0" w:color="auto"/>
        <w:bottom w:val="none" w:sz="0" w:space="0" w:color="auto"/>
        <w:right w:val="none" w:sz="0" w:space="0" w:color="auto"/>
      </w:divBdr>
    </w:div>
    <w:div w:id="1191532333">
      <w:bodyDiv w:val="1"/>
      <w:marLeft w:val="0"/>
      <w:marRight w:val="0"/>
      <w:marTop w:val="0"/>
      <w:marBottom w:val="0"/>
      <w:divBdr>
        <w:top w:val="none" w:sz="0" w:space="0" w:color="auto"/>
        <w:left w:val="none" w:sz="0" w:space="0" w:color="auto"/>
        <w:bottom w:val="none" w:sz="0" w:space="0" w:color="auto"/>
        <w:right w:val="none" w:sz="0" w:space="0" w:color="auto"/>
      </w:divBdr>
    </w:div>
    <w:div w:id="1191722686">
      <w:bodyDiv w:val="1"/>
      <w:marLeft w:val="0"/>
      <w:marRight w:val="0"/>
      <w:marTop w:val="0"/>
      <w:marBottom w:val="0"/>
      <w:divBdr>
        <w:top w:val="none" w:sz="0" w:space="0" w:color="auto"/>
        <w:left w:val="none" w:sz="0" w:space="0" w:color="auto"/>
        <w:bottom w:val="none" w:sz="0" w:space="0" w:color="auto"/>
        <w:right w:val="none" w:sz="0" w:space="0" w:color="auto"/>
      </w:divBdr>
    </w:div>
    <w:div w:id="1191798952">
      <w:bodyDiv w:val="1"/>
      <w:marLeft w:val="0"/>
      <w:marRight w:val="0"/>
      <w:marTop w:val="0"/>
      <w:marBottom w:val="0"/>
      <w:divBdr>
        <w:top w:val="none" w:sz="0" w:space="0" w:color="auto"/>
        <w:left w:val="none" w:sz="0" w:space="0" w:color="auto"/>
        <w:bottom w:val="none" w:sz="0" w:space="0" w:color="auto"/>
        <w:right w:val="none" w:sz="0" w:space="0" w:color="auto"/>
      </w:divBdr>
    </w:div>
    <w:div w:id="1191801751">
      <w:bodyDiv w:val="1"/>
      <w:marLeft w:val="0"/>
      <w:marRight w:val="0"/>
      <w:marTop w:val="0"/>
      <w:marBottom w:val="0"/>
      <w:divBdr>
        <w:top w:val="none" w:sz="0" w:space="0" w:color="auto"/>
        <w:left w:val="none" w:sz="0" w:space="0" w:color="auto"/>
        <w:bottom w:val="none" w:sz="0" w:space="0" w:color="auto"/>
        <w:right w:val="none" w:sz="0" w:space="0" w:color="auto"/>
      </w:divBdr>
    </w:div>
    <w:div w:id="1191837780">
      <w:bodyDiv w:val="1"/>
      <w:marLeft w:val="0"/>
      <w:marRight w:val="0"/>
      <w:marTop w:val="0"/>
      <w:marBottom w:val="0"/>
      <w:divBdr>
        <w:top w:val="none" w:sz="0" w:space="0" w:color="auto"/>
        <w:left w:val="none" w:sz="0" w:space="0" w:color="auto"/>
        <w:bottom w:val="none" w:sz="0" w:space="0" w:color="auto"/>
        <w:right w:val="none" w:sz="0" w:space="0" w:color="auto"/>
      </w:divBdr>
    </w:div>
    <w:div w:id="1191846064">
      <w:bodyDiv w:val="1"/>
      <w:marLeft w:val="0"/>
      <w:marRight w:val="0"/>
      <w:marTop w:val="0"/>
      <w:marBottom w:val="0"/>
      <w:divBdr>
        <w:top w:val="none" w:sz="0" w:space="0" w:color="auto"/>
        <w:left w:val="none" w:sz="0" w:space="0" w:color="auto"/>
        <w:bottom w:val="none" w:sz="0" w:space="0" w:color="auto"/>
        <w:right w:val="none" w:sz="0" w:space="0" w:color="auto"/>
      </w:divBdr>
    </w:div>
    <w:div w:id="1191921143">
      <w:bodyDiv w:val="1"/>
      <w:marLeft w:val="0"/>
      <w:marRight w:val="0"/>
      <w:marTop w:val="0"/>
      <w:marBottom w:val="0"/>
      <w:divBdr>
        <w:top w:val="none" w:sz="0" w:space="0" w:color="auto"/>
        <w:left w:val="none" w:sz="0" w:space="0" w:color="auto"/>
        <w:bottom w:val="none" w:sz="0" w:space="0" w:color="auto"/>
        <w:right w:val="none" w:sz="0" w:space="0" w:color="auto"/>
      </w:divBdr>
    </w:div>
    <w:div w:id="1192307949">
      <w:bodyDiv w:val="1"/>
      <w:marLeft w:val="0"/>
      <w:marRight w:val="0"/>
      <w:marTop w:val="0"/>
      <w:marBottom w:val="0"/>
      <w:divBdr>
        <w:top w:val="none" w:sz="0" w:space="0" w:color="auto"/>
        <w:left w:val="none" w:sz="0" w:space="0" w:color="auto"/>
        <w:bottom w:val="none" w:sz="0" w:space="0" w:color="auto"/>
        <w:right w:val="none" w:sz="0" w:space="0" w:color="auto"/>
      </w:divBdr>
    </w:div>
    <w:div w:id="1192378105">
      <w:bodyDiv w:val="1"/>
      <w:marLeft w:val="0"/>
      <w:marRight w:val="0"/>
      <w:marTop w:val="0"/>
      <w:marBottom w:val="0"/>
      <w:divBdr>
        <w:top w:val="none" w:sz="0" w:space="0" w:color="auto"/>
        <w:left w:val="none" w:sz="0" w:space="0" w:color="auto"/>
        <w:bottom w:val="none" w:sz="0" w:space="0" w:color="auto"/>
        <w:right w:val="none" w:sz="0" w:space="0" w:color="auto"/>
      </w:divBdr>
    </w:div>
    <w:div w:id="1192380363">
      <w:bodyDiv w:val="1"/>
      <w:marLeft w:val="0"/>
      <w:marRight w:val="0"/>
      <w:marTop w:val="0"/>
      <w:marBottom w:val="0"/>
      <w:divBdr>
        <w:top w:val="none" w:sz="0" w:space="0" w:color="auto"/>
        <w:left w:val="none" w:sz="0" w:space="0" w:color="auto"/>
        <w:bottom w:val="none" w:sz="0" w:space="0" w:color="auto"/>
        <w:right w:val="none" w:sz="0" w:space="0" w:color="auto"/>
      </w:divBdr>
    </w:div>
    <w:div w:id="1192524536">
      <w:bodyDiv w:val="1"/>
      <w:marLeft w:val="0"/>
      <w:marRight w:val="0"/>
      <w:marTop w:val="0"/>
      <w:marBottom w:val="0"/>
      <w:divBdr>
        <w:top w:val="none" w:sz="0" w:space="0" w:color="auto"/>
        <w:left w:val="none" w:sz="0" w:space="0" w:color="auto"/>
        <w:bottom w:val="none" w:sz="0" w:space="0" w:color="auto"/>
        <w:right w:val="none" w:sz="0" w:space="0" w:color="auto"/>
      </w:divBdr>
    </w:div>
    <w:div w:id="1192576085">
      <w:bodyDiv w:val="1"/>
      <w:marLeft w:val="0"/>
      <w:marRight w:val="0"/>
      <w:marTop w:val="0"/>
      <w:marBottom w:val="0"/>
      <w:divBdr>
        <w:top w:val="none" w:sz="0" w:space="0" w:color="auto"/>
        <w:left w:val="none" w:sz="0" w:space="0" w:color="auto"/>
        <w:bottom w:val="none" w:sz="0" w:space="0" w:color="auto"/>
        <w:right w:val="none" w:sz="0" w:space="0" w:color="auto"/>
      </w:divBdr>
    </w:div>
    <w:div w:id="1192644311">
      <w:bodyDiv w:val="1"/>
      <w:marLeft w:val="0"/>
      <w:marRight w:val="0"/>
      <w:marTop w:val="0"/>
      <w:marBottom w:val="0"/>
      <w:divBdr>
        <w:top w:val="none" w:sz="0" w:space="0" w:color="auto"/>
        <w:left w:val="none" w:sz="0" w:space="0" w:color="auto"/>
        <w:bottom w:val="none" w:sz="0" w:space="0" w:color="auto"/>
        <w:right w:val="none" w:sz="0" w:space="0" w:color="auto"/>
      </w:divBdr>
    </w:div>
    <w:div w:id="1192721679">
      <w:bodyDiv w:val="1"/>
      <w:marLeft w:val="0"/>
      <w:marRight w:val="0"/>
      <w:marTop w:val="0"/>
      <w:marBottom w:val="0"/>
      <w:divBdr>
        <w:top w:val="none" w:sz="0" w:space="0" w:color="auto"/>
        <w:left w:val="none" w:sz="0" w:space="0" w:color="auto"/>
        <w:bottom w:val="none" w:sz="0" w:space="0" w:color="auto"/>
        <w:right w:val="none" w:sz="0" w:space="0" w:color="auto"/>
      </w:divBdr>
    </w:div>
    <w:div w:id="1192761275">
      <w:bodyDiv w:val="1"/>
      <w:marLeft w:val="0"/>
      <w:marRight w:val="0"/>
      <w:marTop w:val="0"/>
      <w:marBottom w:val="0"/>
      <w:divBdr>
        <w:top w:val="none" w:sz="0" w:space="0" w:color="auto"/>
        <w:left w:val="none" w:sz="0" w:space="0" w:color="auto"/>
        <w:bottom w:val="none" w:sz="0" w:space="0" w:color="auto"/>
        <w:right w:val="none" w:sz="0" w:space="0" w:color="auto"/>
      </w:divBdr>
    </w:div>
    <w:div w:id="1192763666">
      <w:bodyDiv w:val="1"/>
      <w:marLeft w:val="0"/>
      <w:marRight w:val="0"/>
      <w:marTop w:val="0"/>
      <w:marBottom w:val="0"/>
      <w:divBdr>
        <w:top w:val="none" w:sz="0" w:space="0" w:color="auto"/>
        <w:left w:val="none" w:sz="0" w:space="0" w:color="auto"/>
        <w:bottom w:val="none" w:sz="0" w:space="0" w:color="auto"/>
        <w:right w:val="none" w:sz="0" w:space="0" w:color="auto"/>
      </w:divBdr>
    </w:div>
    <w:div w:id="1192763790">
      <w:bodyDiv w:val="1"/>
      <w:marLeft w:val="0"/>
      <w:marRight w:val="0"/>
      <w:marTop w:val="0"/>
      <w:marBottom w:val="0"/>
      <w:divBdr>
        <w:top w:val="none" w:sz="0" w:space="0" w:color="auto"/>
        <w:left w:val="none" w:sz="0" w:space="0" w:color="auto"/>
        <w:bottom w:val="none" w:sz="0" w:space="0" w:color="auto"/>
        <w:right w:val="none" w:sz="0" w:space="0" w:color="auto"/>
      </w:divBdr>
    </w:div>
    <w:div w:id="1192915528">
      <w:bodyDiv w:val="1"/>
      <w:marLeft w:val="0"/>
      <w:marRight w:val="0"/>
      <w:marTop w:val="0"/>
      <w:marBottom w:val="0"/>
      <w:divBdr>
        <w:top w:val="none" w:sz="0" w:space="0" w:color="auto"/>
        <w:left w:val="none" w:sz="0" w:space="0" w:color="auto"/>
        <w:bottom w:val="none" w:sz="0" w:space="0" w:color="auto"/>
        <w:right w:val="none" w:sz="0" w:space="0" w:color="auto"/>
      </w:divBdr>
    </w:div>
    <w:div w:id="1192915789">
      <w:bodyDiv w:val="1"/>
      <w:marLeft w:val="0"/>
      <w:marRight w:val="0"/>
      <w:marTop w:val="0"/>
      <w:marBottom w:val="0"/>
      <w:divBdr>
        <w:top w:val="none" w:sz="0" w:space="0" w:color="auto"/>
        <w:left w:val="none" w:sz="0" w:space="0" w:color="auto"/>
        <w:bottom w:val="none" w:sz="0" w:space="0" w:color="auto"/>
        <w:right w:val="none" w:sz="0" w:space="0" w:color="auto"/>
      </w:divBdr>
    </w:div>
    <w:div w:id="1192960371">
      <w:bodyDiv w:val="1"/>
      <w:marLeft w:val="0"/>
      <w:marRight w:val="0"/>
      <w:marTop w:val="0"/>
      <w:marBottom w:val="0"/>
      <w:divBdr>
        <w:top w:val="none" w:sz="0" w:space="0" w:color="auto"/>
        <w:left w:val="none" w:sz="0" w:space="0" w:color="auto"/>
        <w:bottom w:val="none" w:sz="0" w:space="0" w:color="auto"/>
        <w:right w:val="none" w:sz="0" w:space="0" w:color="auto"/>
      </w:divBdr>
    </w:div>
    <w:div w:id="1193107476">
      <w:bodyDiv w:val="1"/>
      <w:marLeft w:val="0"/>
      <w:marRight w:val="0"/>
      <w:marTop w:val="0"/>
      <w:marBottom w:val="0"/>
      <w:divBdr>
        <w:top w:val="none" w:sz="0" w:space="0" w:color="auto"/>
        <w:left w:val="none" w:sz="0" w:space="0" w:color="auto"/>
        <w:bottom w:val="none" w:sz="0" w:space="0" w:color="auto"/>
        <w:right w:val="none" w:sz="0" w:space="0" w:color="auto"/>
      </w:divBdr>
    </w:div>
    <w:div w:id="1193346062">
      <w:bodyDiv w:val="1"/>
      <w:marLeft w:val="0"/>
      <w:marRight w:val="0"/>
      <w:marTop w:val="0"/>
      <w:marBottom w:val="0"/>
      <w:divBdr>
        <w:top w:val="none" w:sz="0" w:space="0" w:color="auto"/>
        <w:left w:val="none" w:sz="0" w:space="0" w:color="auto"/>
        <w:bottom w:val="none" w:sz="0" w:space="0" w:color="auto"/>
        <w:right w:val="none" w:sz="0" w:space="0" w:color="auto"/>
      </w:divBdr>
    </w:div>
    <w:div w:id="1193375015">
      <w:bodyDiv w:val="1"/>
      <w:marLeft w:val="0"/>
      <w:marRight w:val="0"/>
      <w:marTop w:val="0"/>
      <w:marBottom w:val="0"/>
      <w:divBdr>
        <w:top w:val="none" w:sz="0" w:space="0" w:color="auto"/>
        <w:left w:val="none" w:sz="0" w:space="0" w:color="auto"/>
        <w:bottom w:val="none" w:sz="0" w:space="0" w:color="auto"/>
        <w:right w:val="none" w:sz="0" w:space="0" w:color="auto"/>
      </w:divBdr>
    </w:div>
    <w:div w:id="1193492110">
      <w:bodyDiv w:val="1"/>
      <w:marLeft w:val="0"/>
      <w:marRight w:val="0"/>
      <w:marTop w:val="0"/>
      <w:marBottom w:val="0"/>
      <w:divBdr>
        <w:top w:val="none" w:sz="0" w:space="0" w:color="auto"/>
        <w:left w:val="none" w:sz="0" w:space="0" w:color="auto"/>
        <w:bottom w:val="none" w:sz="0" w:space="0" w:color="auto"/>
        <w:right w:val="none" w:sz="0" w:space="0" w:color="auto"/>
      </w:divBdr>
    </w:div>
    <w:div w:id="1193497850">
      <w:bodyDiv w:val="1"/>
      <w:marLeft w:val="0"/>
      <w:marRight w:val="0"/>
      <w:marTop w:val="0"/>
      <w:marBottom w:val="0"/>
      <w:divBdr>
        <w:top w:val="none" w:sz="0" w:space="0" w:color="auto"/>
        <w:left w:val="none" w:sz="0" w:space="0" w:color="auto"/>
        <w:bottom w:val="none" w:sz="0" w:space="0" w:color="auto"/>
        <w:right w:val="none" w:sz="0" w:space="0" w:color="auto"/>
      </w:divBdr>
    </w:div>
    <w:div w:id="1193610313">
      <w:bodyDiv w:val="1"/>
      <w:marLeft w:val="0"/>
      <w:marRight w:val="0"/>
      <w:marTop w:val="0"/>
      <w:marBottom w:val="0"/>
      <w:divBdr>
        <w:top w:val="none" w:sz="0" w:space="0" w:color="auto"/>
        <w:left w:val="none" w:sz="0" w:space="0" w:color="auto"/>
        <w:bottom w:val="none" w:sz="0" w:space="0" w:color="auto"/>
        <w:right w:val="none" w:sz="0" w:space="0" w:color="auto"/>
      </w:divBdr>
    </w:div>
    <w:div w:id="1193803799">
      <w:bodyDiv w:val="1"/>
      <w:marLeft w:val="0"/>
      <w:marRight w:val="0"/>
      <w:marTop w:val="0"/>
      <w:marBottom w:val="0"/>
      <w:divBdr>
        <w:top w:val="none" w:sz="0" w:space="0" w:color="auto"/>
        <w:left w:val="none" w:sz="0" w:space="0" w:color="auto"/>
        <w:bottom w:val="none" w:sz="0" w:space="0" w:color="auto"/>
        <w:right w:val="none" w:sz="0" w:space="0" w:color="auto"/>
      </w:divBdr>
    </w:div>
    <w:div w:id="1193882538">
      <w:bodyDiv w:val="1"/>
      <w:marLeft w:val="0"/>
      <w:marRight w:val="0"/>
      <w:marTop w:val="0"/>
      <w:marBottom w:val="0"/>
      <w:divBdr>
        <w:top w:val="none" w:sz="0" w:space="0" w:color="auto"/>
        <w:left w:val="none" w:sz="0" w:space="0" w:color="auto"/>
        <w:bottom w:val="none" w:sz="0" w:space="0" w:color="auto"/>
        <w:right w:val="none" w:sz="0" w:space="0" w:color="auto"/>
      </w:divBdr>
    </w:div>
    <w:div w:id="1194003968">
      <w:bodyDiv w:val="1"/>
      <w:marLeft w:val="0"/>
      <w:marRight w:val="0"/>
      <w:marTop w:val="0"/>
      <w:marBottom w:val="0"/>
      <w:divBdr>
        <w:top w:val="none" w:sz="0" w:space="0" w:color="auto"/>
        <w:left w:val="none" w:sz="0" w:space="0" w:color="auto"/>
        <w:bottom w:val="none" w:sz="0" w:space="0" w:color="auto"/>
        <w:right w:val="none" w:sz="0" w:space="0" w:color="auto"/>
      </w:divBdr>
    </w:div>
    <w:div w:id="1194073675">
      <w:bodyDiv w:val="1"/>
      <w:marLeft w:val="0"/>
      <w:marRight w:val="0"/>
      <w:marTop w:val="0"/>
      <w:marBottom w:val="0"/>
      <w:divBdr>
        <w:top w:val="none" w:sz="0" w:space="0" w:color="auto"/>
        <w:left w:val="none" w:sz="0" w:space="0" w:color="auto"/>
        <w:bottom w:val="none" w:sz="0" w:space="0" w:color="auto"/>
        <w:right w:val="none" w:sz="0" w:space="0" w:color="auto"/>
      </w:divBdr>
    </w:div>
    <w:div w:id="1194078363">
      <w:bodyDiv w:val="1"/>
      <w:marLeft w:val="0"/>
      <w:marRight w:val="0"/>
      <w:marTop w:val="0"/>
      <w:marBottom w:val="0"/>
      <w:divBdr>
        <w:top w:val="none" w:sz="0" w:space="0" w:color="auto"/>
        <w:left w:val="none" w:sz="0" w:space="0" w:color="auto"/>
        <w:bottom w:val="none" w:sz="0" w:space="0" w:color="auto"/>
        <w:right w:val="none" w:sz="0" w:space="0" w:color="auto"/>
      </w:divBdr>
    </w:div>
    <w:div w:id="1194154811">
      <w:bodyDiv w:val="1"/>
      <w:marLeft w:val="0"/>
      <w:marRight w:val="0"/>
      <w:marTop w:val="0"/>
      <w:marBottom w:val="0"/>
      <w:divBdr>
        <w:top w:val="none" w:sz="0" w:space="0" w:color="auto"/>
        <w:left w:val="none" w:sz="0" w:space="0" w:color="auto"/>
        <w:bottom w:val="none" w:sz="0" w:space="0" w:color="auto"/>
        <w:right w:val="none" w:sz="0" w:space="0" w:color="auto"/>
      </w:divBdr>
    </w:div>
    <w:div w:id="1194612363">
      <w:bodyDiv w:val="1"/>
      <w:marLeft w:val="0"/>
      <w:marRight w:val="0"/>
      <w:marTop w:val="0"/>
      <w:marBottom w:val="0"/>
      <w:divBdr>
        <w:top w:val="none" w:sz="0" w:space="0" w:color="auto"/>
        <w:left w:val="none" w:sz="0" w:space="0" w:color="auto"/>
        <w:bottom w:val="none" w:sz="0" w:space="0" w:color="auto"/>
        <w:right w:val="none" w:sz="0" w:space="0" w:color="auto"/>
      </w:divBdr>
    </w:div>
    <w:div w:id="1194613651">
      <w:bodyDiv w:val="1"/>
      <w:marLeft w:val="0"/>
      <w:marRight w:val="0"/>
      <w:marTop w:val="0"/>
      <w:marBottom w:val="0"/>
      <w:divBdr>
        <w:top w:val="none" w:sz="0" w:space="0" w:color="auto"/>
        <w:left w:val="none" w:sz="0" w:space="0" w:color="auto"/>
        <w:bottom w:val="none" w:sz="0" w:space="0" w:color="auto"/>
        <w:right w:val="none" w:sz="0" w:space="0" w:color="auto"/>
      </w:divBdr>
    </w:div>
    <w:div w:id="1194808507">
      <w:bodyDiv w:val="1"/>
      <w:marLeft w:val="0"/>
      <w:marRight w:val="0"/>
      <w:marTop w:val="0"/>
      <w:marBottom w:val="0"/>
      <w:divBdr>
        <w:top w:val="none" w:sz="0" w:space="0" w:color="auto"/>
        <w:left w:val="none" w:sz="0" w:space="0" w:color="auto"/>
        <w:bottom w:val="none" w:sz="0" w:space="0" w:color="auto"/>
        <w:right w:val="none" w:sz="0" w:space="0" w:color="auto"/>
      </w:divBdr>
    </w:div>
    <w:div w:id="1194924817">
      <w:bodyDiv w:val="1"/>
      <w:marLeft w:val="0"/>
      <w:marRight w:val="0"/>
      <w:marTop w:val="0"/>
      <w:marBottom w:val="0"/>
      <w:divBdr>
        <w:top w:val="none" w:sz="0" w:space="0" w:color="auto"/>
        <w:left w:val="none" w:sz="0" w:space="0" w:color="auto"/>
        <w:bottom w:val="none" w:sz="0" w:space="0" w:color="auto"/>
        <w:right w:val="none" w:sz="0" w:space="0" w:color="auto"/>
      </w:divBdr>
    </w:div>
    <w:div w:id="1195000678">
      <w:bodyDiv w:val="1"/>
      <w:marLeft w:val="0"/>
      <w:marRight w:val="0"/>
      <w:marTop w:val="0"/>
      <w:marBottom w:val="0"/>
      <w:divBdr>
        <w:top w:val="none" w:sz="0" w:space="0" w:color="auto"/>
        <w:left w:val="none" w:sz="0" w:space="0" w:color="auto"/>
        <w:bottom w:val="none" w:sz="0" w:space="0" w:color="auto"/>
        <w:right w:val="none" w:sz="0" w:space="0" w:color="auto"/>
      </w:divBdr>
    </w:div>
    <w:div w:id="1195073636">
      <w:bodyDiv w:val="1"/>
      <w:marLeft w:val="0"/>
      <w:marRight w:val="0"/>
      <w:marTop w:val="0"/>
      <w:marBottom w:val="0"/>
      <w:divBdr>
        <w:top w:val="none" w:sz="0" w:space="0" w:color="auto"/>
        <w:left w:val="none" w:sz="0" w:space="0" w:color="auto"/>
        <w:bottom w:val="none" w:sz="0" w:space="0" w:color="auto"/>
        <w:right w:val="none" w:sz="0" w:space="0" w:color="auto"/>
      </w:divBdr>
    </w:div>
    <w:div w:id="1195077494">
      <w:bodyDiv w:val="1"/>
      <w:marLeft w:val="0"/>
      <w:marRight w:val="0"/>
      <w:marTop w:val="0"/>
      <w:marBottom w:val="0"/>
      <w:divBdr>
        <w:top w:val="none" w:sz="0" w:space="0" w:color="auto"/>
        <w:left w:val="none" w:sz="0" w:space="0" w:color="auto"/>
        <w:bottom w:val="none" w:sz="0" w:space="0" w:color="auto"/>
        <w:right w:val="none" w:sz="0" w:space="0" w:color="auto"/>
      </w:divBdr>
    </w:div>
    <w:div w:id="1195117324">
      <w:bodyDiv w:val="1"/>
      <w:marLeft w:val="0"/>
      <w:marRight w:val="0"/>
      <w:marTop w:val="0"/>
      <w:marBottom w:val="0"/>
      <w:divBdr>
        <w:top w:val="none" w:sz="0" w:space="0" w:color="auto"/>
        <w:left w:val="none" w:sz="0" w:space="0" w:color="auto"/>
        <w:bottom w:val="none" w:sz="0" w:space="0" w:color="auto"/>
        <w:right w:val="none" w:sz="0" w:space="0" w:color="auto"/>
      </w:divBdr>
    </w:div>
    <w:div w:id="1195146703">
      <w:bodyDiv w:val="1"/>
      <w:marLeft w:val="0"/>
      <w:marRight w:val="0"/>
      <w:marTop w:val="0"/>
      <w:marBottom w:val="0"/>
      <w:divBdr>
        <w:top w:val="none" w:sz="0" w:space="0" w:color="auto"/>
        <w:left w:val="none" w:sz="0" w:space="0" w:color="auto"/>
        <w:bottom w:val="none" w:sz="0" w:space="0" w:color="auto"/>
        <w:right w:val="none" w:sz="0" w:space="0" w:color="auto"/>
      </w:divBdr>
    </w:div>
    <w:div w:id="1195188536">
      <w:bodyDiv w:val="1"/>
      <w:marLeft w:val="0"/>
      <w:marRight w:val="0"/>
      <w:marTop w:val="0"/>
      <w:marBottom w:val="0"/>
      <w:divBdr>
        <w:top w:val="none" w:sz="0" w:space="0" w:color="auto"/>
        <w:left w:val="none" w:sz="0" w:space="0" w:color="auto"/>
        <w:bottom w:val="none" w:sz="0" w:space="0" w:color="auto"/>
        <w:right w:val="none" w:sz="0" w:space="0" w:color="auto"/>
      </w:divBdr>
    </w:div>
    <w:div w:id="1195193106">
      <w:bodyDiv w:val="1"/>
      <w:marLeft w:val="0"/>
      <w:marRight w:val="0"/>
      <w:marTop w:val="0"/>
      <w:marBottom w:val="0"/>
      <w:divBdr>
        <w:top w:val="none" w:sz="0" w:space="0" w:color="auto"/>
        <w:left w:val="none" w:sz="0" w:space="0" w:color="auto"/>
        <w:bottom w:val="none" w:sz="0" w:space="0" w:color="auto"/>
        <w:right w:val="none" w:sz="0" w:space="0" w:color="auto"/>
      </w:divBdr>
    </w:div>
    <w:div w:id="1195269373">
      <w:bodyDiv w:val="1"/>
      <w:marLeft w:val="0"/>
      <w:marRight w:val="0"/>
      <w:marTop w:val="0"/>
      <w:marBottom w:val="0"/>
      <w:divBdr>
        <w:top w:val="none" w:sz="0" w:space="0" w:color="auto"/>
        <w:left w:val="none" w:sz="0" w:space="0" w:color="auto"/>
        <w:bottom w:val="none" w:sz="0" w:space="0" w:color="auto"/>
        <w:right w:val="none" w:sz="0" w:space="0" w:color="auto"/>
      </w:divBdr>
    </w:div>
    <w:div w:id="1195338902">
      <w:bodyDiv w:val="1"/>
      <w:marLeft w:val="0"/>
      <w:marRight w:val="0"/>
      <w:marTop w:val="0"/>
      <w:marBottom w:val="0"/>
      <w:divBdr>
        <w:top w:val="none" w:sz="0" w:space="0" w:color="auto"/>
        <w:left w:val="none" w:sz="0" w:space="0" w:color="auto"/>
        <w:bottom w:val="none" w:sz="0" w:space="0" w:color="auto"/>
        <w:right w:val="none" w:sz="0" w:space="0" w:color="auto"/>
      </w:divBdr>
    </w:div>
    <w:div w:id="1195462955">
      <w:bodyDiv w:val="1"/>
      <w:marLeft w:val="0"/>
      <w:marRight w:val="0"/>
      <w:marTop w:val="0"/>
      <w:marBottom w:val="0"/>
      <w:divBdr>
        <w:top w:val="none" w:sz="0" w:space="0" w:color="auto"/>
        <w:left w:val="none" w:sz="0" w:space="0" w:color="auto"/>
        <w:bottom w:val="none" w:sz="0" w:space="0" w:color="auto"/>
        <w:right w:val="none" w:sz="0" w:space="0" w:color="auto"/>
      </w:divBdr>
    </w:div>
    <w:div w:id="1195650553">
      <w:bodyDiv w:val="1"/>
      <w:marLeft w:val="0"/>
      <w:marRight w:val="0"/>
      <w:marTop w:val="0"/>
      <w:marBottom w:val="0"/>
      <w:divBdr>
        <w:top w:val="none" w:sz="0" w:space="0" w:color="auto"/>
        <w:left w:val="none" w:sz="0" w:space="0" w:color="auto"/>
        <w:bottom w:val="none" w:sz="0" w:space="0" w:color="auto"/>
        <w:right w:val="none" w:sz="0" w:space="0" w:color="auto"/>
      </w:divBdr>
    </w:div>
    <w:div w:id="1195656246">
      <w:bodyDiv w:val="1"/>
      <w:marLeft w:val="0"/>
      <w:marRight w:val="0"/>
      <w:marTop w:val="0"/>
      <w:marBottom w:val="0"/>
      <w:divBdr>
        <w:top w:val="none" w:sz="0" w:space="0" w:color="auto"/>
        <w:left w:val="none" w:sz="0" w:space="0" w:color="auto"/>
        <w:bottom w:val="none" w:sz="0" w:space="0" w:color="auto"/>
        <w:right w:val="none" w:sz="0" w:space="0" w:color="auto"/>
      </w:divBdr>
    </w:div>
    <w:div w:id="1195656726">
      <w:bodyDiv w:val="1"/>
      <w:marLeft w:val="0"/>
      <w:marRight w:val="0"/>
      <w:marTop w:val="0"/>
      <w:marBottom w:val="0"/>
      <w:divBdr>
        <w:top w:val="none" w:sz="0" w:space="0" w:color="auto"/>
        <w:left w:val="none" w:sz="0" w:space="0" w:color="auto"/>
        <w:bottom w:val="none" w:sz="0" w:space="0" w:color="auto"/>
        <w:right w:val="none" w:sz="0" w:space="0" w:color="auto"/>
      </w:divBdr>
    </w:div>
    <w:div w:id="1195775451">
      <w:bodyDiv w:val="1"/>
      <w:marLeft w:val="0"/>
      <w:marRight w:val="0"/>
      <w:marTop w:val="0"/>
      <w:marBottom w:val="0"/>
      <w:divBdr>
        <w:top w:val="none" w:sz="0" w:space="0" w:color="auto"/>
        <w:left w:val="none" w:sz="0" w:space="0" w:color="auto"/>
        <w:bottom w:val="none" w:sz="0" w:space="0" w:color="auto"/>
        <w:right w:val="none" w:sz="0" w:space="0" w:color="auto"/>
      </w:divBdr>
    </w:div>
    <w:div w:id="1195848787">
      <w:bodyDiv w:val="1"/>
      <w:marLeft w:val="0"/>
      <w:marRight w:val="0"/>
      <w:marTop w:val="0"/>
      <w:marBottom w:val="0"/>
      <w:divBdr>
        <w:top w:val="none" w:sz="0" w:space="0" w:color="auto"/>
        <w:left w:val="none" w:sz="0" w:space="0" w:color="auto"/>
        <w:bottom w:val="none" w:sz="0" w:space="0" w:color="auto"/>
        <w:right w:val="none" w:sz="0" w:space="0" w:color="auto"/>
      </w:divBdr>
    </w:div>
    <w:div w:id="1195924397">
      <w:bodyDiv w:val="1"/>
      <w:marLeft w:val="0"/>
      <w:marRight w:val="0"/>
      <w:marTop w:val="0"/>
      <w:marBottom w:val="0"/>
      <w:divBdr>
        <w:top w:val="none" w:sz="0" w:space="0" w:color="auto"/>
        <w:left w:val="none" w:sz="0" w:space="0" w:color="auto"/>
        <w:bottom w:val="none" w:sz="0" w:space="0" w:color="auto"/>
        <w:right w:val="none" w:sz="0" w:space="0" w:color="auto"/>
      </w:divBdr>
    </w:div>
    <w:div w:id="1196042042">
      <w:bodyDiv w:val="1"/>
      <w:marLeft w:val="0"/>
      <w:marRight w:val="0"/>
      <w:marTop w:val="0"/>
      <w:marBottom w:val="0"/>
      <w:divBdr>
        <w:top w:val="none" w:sz="0" w:space="0" w:color="auto"/>
        <w:left w:val="none" w:sz="0" w:space="0" w:color="auto"/>
        <w:bottom w:val="none" w:sz="0" w:space="0" w:color="auto"/>
        <w:right w:val="none" w:sz="0" w:space="0" w:color="auto"/>
      </w:divBdr>
    </w:div>
    <w:div w:id="1196118688">
      <w:bodyDiv w:val="1"/>
      <w:marLeft w:val="0"/>
      <w:marRight w:val="0"/>
      <w:marTop w:val="0"/>
      <w:marBottom w:val="0"/>
      <w:divBdr>
        <w:top w:val="none" w:sz="0" w:space="0" w:color="auto"/>
        <w:left w:val="none" w:sz="0" w:space="0" w:color="auto"/>
        <w:bottom w:val="none" w:sz="0" w:space="0" w:color="auto"/>
        <w:right w:val="none" w:sz="0" w:space="0" w:color="auto"/>
      </w:divBdr>
    </w:div>
    <w:div w:id="1196120258">
      <w:bodyDiv w:val="1"/>
      <w:marLeft w:val="0"/>
      <w:marRight w:val="0"/>
      <w:marTop w:val="0"/>
      <w:marBottom w:val="0"/>
      <w:divBdr>
        <w:top w:val="none" w:sz="0" w:space="0" w:color="auto"/>
        <w:left w:val="none" w:sz="0" w:space="0" w:color="auto"/>
        <w:bottom w:val="none" w:sz="0" w:space="0" w:color="auto"/>
        <w:right w:val="none" w:sz="0" w:space="0" w:color="auto"/>
      </w:divBdr>
    </w:div>
    <w:div w:id="1196234569">
      <w:bodyDiv w:val="1"/>
      <w:marLeft w:val="0"/>
      <w:marRight w:val="0"/>
      <w:marTop w:val="0"/>
      <w:marBottom w:val="0"/>
      <w:divBdr>
        <w:top w:val="none" w:sz="0" w:space="0" w:color="auto"/>
        <w:left w:val="none" w:sz="0" w:space="0" w:color="auto"/>
        <w:bottom w:val="none" w:sz="0" w:space="0" w:color="auto"/>
        <w:right w:val="none" w:sz="0" w:space="0" w:color="auto"/>
      </w:divBdr>
    </w:div>
    <w:div w:id="1196238323">
      <w:bodyDiv w:val="1"/>
      <w:marLeft w:val="0"/>
      <w:marRight w:val="0"/>
      <w:marTop w:val="0"/>
      <w:marBottom w:val="0"/>
      <w:divBdr>
        <w:top w:val="none" w:sz="0" w:space="0" w:color="auto"/>
        <w:left w:val="none" w:sz="0" w:space="0" w:color="auto"/>
        <w:bottom w:val="none" w:sz="0" w:space="0" w:color="auto"/>
        <w:right w:val="none" w:sz="0" w:space="0" w:color="auto"/>
      </w:divBdr>
    </w:div>
    <w:div w:id="1196305557">
      <w:bodyDiv w:val="1"/>
      <w:marLeft w:val="0"/>
      <w:marRight w:val="0"/>
      <w:marTop w:val="0"/>
      <w:marBottom w:val="0"/>
      <w:divBdr>
        <w:top w:val="none" w:sz="0" w:space="0" w:color="auto"/>
        <w:left w:val="none" w:sz="0" w:space="0" w:color="auto"/>
        <w:bottom w:val="none" w:sz="0" w:space="0" w:color="auto"/>
        <w:right w:val="none" w:sz="0" w:space="0" w:color="auto"/>
      </w:divBdr>
    </w:div>
    <w:div w:id="1196313675">
      <w:bodyDiv w:val="1"/>
      <w:marLeft w:val="0"/>
      <w:marRight w:val="0"/>
      <w:marTop w:val="0"/>
      <w:marBottom w:val="0"/>
      <w:divBdr>
        <w:top w:val="none" w:sz="0" w:space="0" w:color="auto"/>
        <w:left w:val="none" w:sz="0" w:space="0" w:color="auto"/>
        <w:bottom w:val="none" w:sz="0" w:space="0" w:color="auto"/>
        <w:right w:val="none" w:sz="0" w:space="0" w:color="auto"/>
      </w:divBdr>
    </w:div>
    <w:div w:id="1196314430">
      <w:bodyDiv w:val="1"/>
      <w:marLeft w:val="0"/>
      <w:marRight w:val="0"/>
      <w:marTop w:val="0"/>
      <w:marBottom w:val="0"/>
      <w:divBdr>
        <w:top w:val="none" w:sz="0" w:space="0" w:color="auto"/>
        <w:left w:val="none" w:sz="0" w:space="0" w:color="auto"/>
        <w:bottom w:val="none" w:sz="0" w:space="0" w:color="auto"/>
        <w:right w:val="none" w:sz="0" w:space="0" w:color="auto"/>
      </w:divBdr>
    </w:div>
    <w:div w:id="1196382775">
      <w:bodyDiv w:val="1"/>
      <w:marLeft w:val="0"/>
      <w:marRight w:val="0"/>
      <w:marTop w:val="0"/>
      <w:marBottom w:val="0"/>
      <w:divBdr>
        <w:top w:val="none" w:sz="0" w:space="0" w:color="auto"/>
        <w:left w:val="none" w:sz="0" w:space="0" w:color="auto"/>
        <w:bottom w:val="none" w:sz="0" w:space="0" w:color="auto"/>
        <w:right w:val="none" w:sz="0" w:space="0" w:color="auto"/>
      </w:divBdr>
    </w:div>
    <w:div w:id="1196384948">
      <w:bodyDiv w:val="1"/>
      <w:marLeft w:val="0"/>
      <w:marRight w:val="0"/>
      <w:marTop w:val="0"/>
      <w:marBottom w:val="0"/>
      <w:divBdr>
        <w:top w:val="none" w:sz="0" w:space="0" w:color="auto"/>
        <w:left w:val="none" w:sz="0" w:space="0" w:color="auto"/>
        <w:bottom w:val="none" w:sz="0" w:space="0" w:color="auto"/>
        <w:right w:val="none" w:sz="0" w:space="0" w:color="auto"/>
      </w:divBdr>
    </w:div>
    <w:div w:id="1196507961">
      <w:bodyDiv w:val="1"/>
      <w:marLeft w:val="0"/>
      <w:marRight w:val="0"/>
      <w:marTop w:val="0"/>
      <w:marBottom w:val="0"/>
      <w:divBdr>
        <w:top w:val="none" w:sz="0" w:space="0" w:color="auto"/>
        <w:left w:val="none" w:sz="0" w:space="0" w:color="auto"/>
        <w:bottom w:val="none" w:sz="0" w:space="0" w:color="auto"/>
        <w:right w:val="none" w:sz="0" w:space="0" w:color="auto"/>
      </w:divBdr>
    </w:div>
    <w:div w:id="1196649798">
      <w:bodyDiv w:val="1"/>
      <w:marLeft w:val="0"/>
      <w:marRight w:val="0"/>
      <w:marTop w:val="0"/>
      <w:marBottom w:val="0"/>
      <w:divBdr>
        <w:top w:val="none" w:sz="0" w:space="0" w:color="auto"/>
        <w:left w:val="none" w:sz="0" w:space="0" w:color="auto"/>
        <w:bottom w:val="none" w:sz="0" w:space="0" w:color="auto"/>
        <w:right w:val="none" w:sz="0" w:space="0" w:color="auto"/>
      </w:divBdr>
    </w:div>
    <w:div w:id="1196692802">
      <w:bodyDiv w:val="1"/>
      <w:marLeft w:val="0"/>
      <w:marRight w:val="0"/>
      <w:marTop w:val="0"/>
      <w:marBottom w:val="0"/>
      <w:divBdr>
        <w:top w:val="none" w:sz="0" w:space="0" w:color="auto"/>
        <w:left w:val="none" w:sz="0" w:space="0" w:color="auto"/>
        <w:bottom w:val="none" w:sz="0" w:space="0" w:color="auto"/>
        <w:right w:val="none" w:sz="0" w:space="0" w:color="auto"/>
      </w:divBdr>
    </w:div>
    <w:div w:id="1196818620">
      <w:bodyDiv w:val="1"/>
      <w:marLeft w:val="0"/>
      <w:marRight w:val="0"/>
      <w:marTop w:val="0"/>
      <w:marBottom w:val="0"/>
      <w:divBdr>
        <w:top w:val="none" w:sz="0" w:space="0" w:color="auto"/>
        <w:left w:val="none" w:sz="0" w:space="0" w:color="auto"/>
        <w:bottom w:val="none" w:sz="0" w:space="0" w:color="auto"/>
        <w:right w:val="none" w:sz="0" w:space="0" w:color="auto"/>
      </w:divBdr>
    </w:div>
    <w:div w:id="1196843551">
      <w:bodyDiv w:val="1"/>
      <w:marLeft w:val="0"/>
      <w:marRight w:val="0"/>
      <w:marTop w:val="0"/>
      <w:marBottom w:val="0"/>
      <w:divBdr>
        <w:top w:val="none" w:sz="0" w:space="0" w:color="auto"/>
        <w:left w:val="none" w:sz="0" w:space="0" w:color="auto"/>
        <w:bottom w:val="none" w:sz="0" w:space="0" w:color="auto"/>
        <w:right w:val="none" w:sz="0" w:space="0" w:color="auto"/>
      </w:divBdr>
    </w:div>
    <w:div w:id="1197233919">
      <w:bodyDiv w:val="1"/>
      <w:marLeft w:val="0"/>
      <w:marRight w:val="0"/>
      <w:marTop w:val="0"/>
      <w:marBottom w:val="0"/>
      <w:divBdr>
        <w:top w:val="none" w:sz="0" w:space="0" w:color="auto"/>
        <w:left w:val="none" w:sz="0" w:space="0" w:color="auto"/>
        <w:bottom w:val="none" w:sz="0" w:space="0" w:color="auto"/>
        <w:right w:val="none" w:sz="0" w:space="0" w:color="auto"/>
      </w:divBdr>
    </w:div>
    <w:div w:id="1197238539">
      <w:bodyDiv w:val="1"/>
      <w:marLeft w:val="0"/>
      <w:marRight w:val="0"/>
      <w:marTop w:val="0"/>
      <w:marBottom w:val="0"/>
      <w:divBdr>
        <w:top w:val="none" w:sz="0" w:space="0" w:color="auto"/>
        <w:left w:val="none" w:sz="0" w:space="0" w:color="auto"/>
        <w:bottom w:val="none" w:sz="0" w:space="0" w:color="auto"/>
        <w:right w:val="none" w:sz="0" w:space="0" w:color="auto"/>
      </w:divBdr>
    </w:div>
    <w:div w:id="1197238915">
      <w:bodyDiv w:val="1"/>
      <w:marLeft w:val="0"/>
      <w:marRight w:val="0"/>
      <w:marTop w:val="0"/>
      <w:marBottom w:val="0"/>
      <w:divBdr>
        <w:top w:val="none" w:sz="0" w:space="0" w:color="auto"/>
        <w:left w:val="none" w:sz="0" w:space="0" w:color="auto"/>
        <w:bottom w:val="none" w:sz="0" w:space="0" w:color="auto"/>
        <w:right w:val="none" w:sz="0" w:space="0" w:color="auto"/>
      </w:divBdr>
    </w:div>
    <w:div w:id="1197305548">
      <w:bodyDiv w:val="1"/>
      <w:marLeft w:val="0"/>
      <w:marRight w:val="0"/>
      <w:marTop w:val="0"/>
      <w:marBottom w:val="0"/>
      <w:divBdr>
        <w:top w:val="none" w:sz="0" w:space="0" w:color="auto"/>
        <w:left w:val="none" w:sz="0" w:space="0" w:color="auto"/>
        <w:bottom w:val="none" w:sz="0" w:space="0" w:color="auto"/>
        <w:right w:val="none" w:sz="0" w:space="0" w:color="auto"/>
      </w:divBdr>
    </w:div>
    <w:div w:id="1197306632">
      <w:bodyDiv w:val="1"/>
      <w:marLeft w:val="0"/>
      <w:marRight w:val="0"/>
      <w:marTop w:val="0"/>
      <w:marBottom w:val="0"/>
      <w:divBdr>
        <w:top w:val="none" w:sz="0" w:space="0" w:color="auto"/>
        <w:left w:val="none" w:sz="0" w:space="0" w:color="auto"/>
        <w:bottom w:val="none" w:sz="0" w:space="0" w:color="auto"/>
        <w:right w:val="none" w:sz="0" w:space="0" w:color="auto"/>
      </w:divBdr>
    </w:div>
    <w:div w:id="1197356911">
      <w:bodyDiv w:val="1"/>
      <w:marLeft w:val="0"/>
      <w:marRight w:val="0"/>
      <w:marTop w:val="0"/>
      <w:marBottom w:val="0"/>
      <w:divBdr>
        <w:top w:val="none" w:sz="0" w:space="0" w:color="auto"/>
        <w:left w:val="none" w:sz="0" w:space="0" w:color="auto"/>
        <w:bottom w:val="none" w:sz="0" w:space="0" w:color="auto"/>
        <w:right w:val="none" w:sz="0" w:space="0" w:color="auto"/>
      </w:divBdr>
    </w:div>
    <w:div w:id="1197428369">
      <w:bodyDiv w:val="1"/>
      <w:marLeft w:val="0"/>
      <w:marRight w:val="0"/>
      <w:marTop w:val="0"/>
      <w:marBottom w:val="0"/>
      <w:divBdr>
        <w:top w:val="none" w:sz="0" w:space="0" w:color="auto"/>
        <w:left w:val="none" w:sz="0" w:space="0" w:color="auto"/>
        <w:bottom w:val="none" w:sz="0" w:space="0" w:color="auto"/>
        <w:right w:val="none" w:sz="0" w:space="0" w:color="auto"/>
      </w:divBdr>
    </w:div>
    <w:div w:id="1197431491">
      <w:bodyDiv w:val="1"/>
      <w:marLeft w:val="0"/>
      <w:marRight w:val="0"/>
      <w:marTop w:val="0"/>
      <w:marBottom w:val="0"/>
      <w:divBdr>
        <w:top w:val="none" w:sz="0" w:space="0" w:color="auto"/>
        <w:left w:val="none" w:sz="0" w:space="0" w:color="auto"/>
        <w:bottom w:val="none" w:sz="0" w:space="0" w:color="auto"/>
        <w:right w:val="none" w:sz="0" w:space="0" w:color="auto"/>
      </w:divBdr>
    </w:div>
    <w:div w:id="1197503730">
      <w:bodyDiv w:val="1"/>
      <w:marLeft w:val="0"/>
      <w:marRight w:val="0"/>
      <w:marTop w:val="0"/>
      <w:marBottom w:val="0"/>
      <w:divBdr>
        <w:top w:val="none" w:sz="0" w:space="0" w:color="auto"/>
        <w:left w:val="none" w:sz="0" w:space="0" w:color="auto"/>
        <w:bottom w:val="none" w:sz="0" w:space="0" w:color="auto"/>
        <w:right w:val="none" w:sz="0" w:space="0" w:color="auto"/>
      </w:divBdr>
    </w:div>
    <w:div w:id="1197624188">
      <w:bodyDiv w:val="1"/>
      <w:marLeft w:val="0"/>
      <w:marRight w:val="0"/>
      <w:marTop w:val="0"/>
      <w:marBottom w:val="0"/>
      <w:divBdr>
        <w:top w:val="none" w:sz="0" w:space="0" w:color="auto"/>
        <w:left w:val="none" w:sz="0" w:space="0" w:color="auto"/>
        <w:bottom w:val="none" w:sz="0" w:space="0" w:color="auto"/>
        <w:right w:val="none" w:sz="0" w:space="0" w:color="auto"/>
      </w:divBdr>
    </w:div>
    <w:div w:id="1197692079">
      <w:bodyDiv w:val="1"/>
      <w:marLeft w:val="0"/>
      <w:marRight w:val="0"/>
      <w:marTop w:val="0"/>
      <w:marBottom w:val="0"/>
      <w:divBdr>
        <w:top w:val="none" w:sz="0" w:space="0" w:color="auto"/>
        <w:left w:val="none" w:sz="0" w:space="0" w:color="auto"/>
        <w:bottom w:val="none" w:sz="0" w:space="0" w:color="auto"/>
        <w:right w:val="none" w:sz="0" w:space="0" w:color="auto"/>
      </w:divBdr>
    </w:div>
    <w:div w:id="1197696090">
      <w:bodyDiv w:val="1"/>
      <w:marLeft w:val="0"/>
      <w:marRight w:val="0"/>
      <w:marTop w:val="0"/>
      <w:marBottom w:val="0"/>
      <w:divBdr>
        <w:top w:val="none" w:sz="0" w:space="0" w:color="auto"/>
        <w:left w:val="none" w:sz="0" w:space="0" w:color="auto"/>
        <w:bottom w:val="none" w:sz="0" w:space="0" w:color="auto"/>
        <w:right w:val="none" w:sz="0" w:space="0" w:color="auto"/>
      </w:divBdr>
    </w:div>
    <w:div w:id="1197742363">
      <w:bodyDiv w:val="1"/>
      <w:marLeft w:val="0"/>
      <w:marRight w:val="0"/>
      <w:marTop w:val="0"/>
      <w:marBottom w:val="0"/>
      <w:divBdr>
        <w:top w:val="none" w:sz="0" w:space="0" w:color="auto"/>
        <w:left w:val="none" w:sz="0" w:space="0" w:color="auto"/>
        <w:bottom w:val="none" w:sz="0" w:space="0" w:color="auto"/>
        <w:right w:val="none" w:sz="0" w:space="0" w:color="auto"/>
      </w:divBdr>
    </w:div>
    <w:div w:id="1197893726">
      <w:bodyDiv w:val="1"/>
      <w:marLeft w:val="0"/>
      <w:marRight w:val="0"/>
      <w:marTop w:val="0"/>
      <w:marBottom w:val="0"/>
      <w:divBdr>
        <w:top w:val="none" w:sz="0" w:space="0" w:color="auto"/>
        <w:left w:val="none" w:sz="0" w:space="0" w:color="auto"/>
        <w:bottom w:val="none" w:sz="0" w:space="0" w:color="auto"/>
        <w:right w:val="none" w:sz="0" w:space="0" w:color="auto"/>
      </w:divBdr>
    </w:div>
    <w:div w:id="1198003224">
      <w:bodyDiv w:val="1"/>
      <w:marLeft w:val="0"/>
      <w:marRight w:val="0"/>
      <w:marTop w:val="0"/>
      <w:marBottom w:val="0"/>
      <w:divBdr>
        <w:top w:val="none" w:sz="0" w:space="0" w:color="auto"/>
        <w:left w:val="none" w:sz="0" w:space="0" w:color="auto"/>
        <w:bottom w:val="none" w:sz="0" w:space="0" w:color="auto"/>
        <w:right w:val="none" w:sz="0" w:space="0" w:color="auto"/>
      </w:divBdr>
    </w:div>
    <w:div w:id="1198196612">
      <w:bodyDiv w:val="1"/>
      <w:marLeft w:val="0"/>
      <w:marRight w:val="0"/>
      <w:marTop w:val="0"/>
      <w:marBottom w:val="0"/>
      <w:divBdr>
        <w:top w:val="none" w:sz="0" w:space="0" w:color="auto"/>
        <w:left w:val="none" w:sz="0" w:space="0" w:color="auto"/>
        <w:bottom w:val="none" w:sz="0" w:space="0" w:color="auto"/>
        <w:right w:val="none" w:sz="0" w:space="0" w:color="auto"/>
      </w:divBdr>
    </w:div>
    <w:div w:id="1198201574">
      <w:bodyDiv w:val="1"/>
      <w:marLeft w:val="0"/>
      <w:marRight w:val="0"/>
      <w:marTop w:val="0"/>
      <w:marBottom w:val="0"/>
      <w:divBdr>
        <w:top w:val="none" w:sz="0" w:space="0" w:color="auto"/>
        <w:left w:val="none" w:sz="0" w:space="0" w:color="auto"/>
        <w:bottom w:val="none" w:sz="0" w:space="0" w:color="auto"/>
        <w:right w:val="none" w:sz="0" w:space="0" w:color="auto"/>
      </w:divBdr>
    </w:div>
    <w:div w:id="1198542145">
      <w:bodyDiv w:val="1"/>
      <w:marLeft w:val="0"/>
      <w:marRight w:val="0"/>
      <w:marTop w:val="0"/>
      <w:marBottom w:val="0"/>
      <w:divBdr>
        <w:top w:val="none" w:sz="0" w:space="0" w:color="auto"/>
        <w:left w:val="none" w:sz="0" w:space="0" w:color="auto"/>
        <w:bottom w:val="none" w:sz="0" w:space="0" w:color="auto"/>
        <w:right w:val="none" w:sz="0" w:space="0" w:color="auto"/>
      </w:divBdr>
    </w:div>
    <w:div w:id="1198544686">
      <w:bodyDiv w:val="1"/>
      <w:marLeft w:val="0"/>
      <w:marRight w:val="0"/>
      <w:marTop w:val="0"/>
      <w:marBottom w:val="0"/>
      <w:divBdr>
        <w:top w:val="none" w:sz="0" w:space="0" w:color="auto"/>
        <w:left w:val="none" w:sz="0" w:space="0" w:color="auto"/>
        <w:bottom w:val="none" w:sz="0" w:space="0" w:color="auto"/>
        <w:right w:val="none" w:sz="0" w:space="0" w:color="auto"/>
      </w:divBdr>
    </w:div>
    <w:div w:id="1198932151">
      <w:bodyDiv w:val="1"/>
      <w:marLeft w:val="0"/>
      <w:marRight w:val="0"/>
      <w:marTop w:val="0"/>
      <w:marBottom w:val="0"/>
      <w:divBdr>
        <w:top w:val="none" w:sz="0" w:space="0" w:color="auto"/>
        <w:left w:val="none" w:sz="0" w:space="0" w:color="auto"/>
        <w:bottom w:val="none" w:sz="0" w:space="0" w:color="auto"/>
        <w:right w:val="none" w:sz="0" w:space="0" w:color="auto"/>
      </w:divBdr>
    </w:div>
    <w:div w:id="1199272689">
      <w:bodyDiv w:val="1"/>
      <w:marLeft w:val="0"/>
      <w:marRight w:val="0"/>
      <w:marTop w:val="0"/>
      <w:marBottom w:val="0"/>
      <w:divBdr>
        <w:top w:val="none" w:sz="0" w:space="0" w:color="auto"/>
        <w:left w:val="none" w:sz="0" w:space="0" w:color="auto"/>
        <w:bottom w:val="none" w:sz="0" w:space="0" w:color="auto"/>
        <w:right w:val="none" w:sz="0" w:space="0" w:color="auto"/>
      </w:divBdr>
    </w:div>
    <w:div w:id="1199512144">
      <w:bodyDiv w:val="1"/>
      <w:marLeft w:val="0"/>
      <w:marRight w:val="0"/>
      <w:marTop w:val="0"/>
      <w:marBottom w:val="0"/>
      <w:divBdr>
        <w:top w:val="none" w:sz="0" w:space="0" w:color="auto"/>
        <w:left w:val="none" w:sz="0" w:space="0" w:color="auto"/>
        <w:bottom w:val="none" w:sz="0" w:space="0" w:color="auto"/>
        <w:right w:val="none" w:sz="0" w:space="0" w:color="auto"/>
      </w:divBdr>
    </w:div>
    <w:div w:id="1199664706">
      <w:bodyDiv w:val="1"/>
      <w:marLeft w:val="0"/>
      <w:marRight w:val="0"/>
      <w:marTop w:val="0"/>
      <w:marBottom w:val="0"/>
      <w:divBdr>
        <w:top w:val="none" w:sz="0" w:space="0" w:color="auto"/>
        <w:left w:val="none" w:sz="0" w:space="0" w:color="auto"/>
        <w:bottom w:val="none" w:sz="0" w:space="0" w:color="auto"/>
        <w:right w:val="none" w:sz="0" w:space="0" w:color="auto"/>
      </w:divBdr>
    </w:div>
    <w:div w:id="1199703076">
      <w:bodyDiv w:val="1"/>
      <w:marLeft w:val="0"/>
      <w:marRight w:val="0"/>
      <w:marTop w:val="0"/>
      <w:marBottom w:val="0"/>
      <w:divBdr>
        <w:top w:val="none" w:sz="0" w:space="0" w:color="auto"/>
        <w:left w:val="none" w:sz="0" w:space="0" w:color="auto"/>
        <w:bottom w:val="none" w:sz="0" w:space="0" w:color="auto"/>
        <w:right w:val="none" w:sz="0" w:space="0" w:color="auto"/>
      </w:divBdr>
    </w:div>
    <w:div w:id="1199703258">
      <w:bodyDiv w:val="1"/>
      <w:marLeft w:val="0"/>
      <w:marRight w:val="0"/>
      <w:marTop w:val="0"/>
      <w:marBottom w:val="0"/>
      <w:divBdr>
        <w:top w:val="none" w:sz="0" w:space="0" w:color="auto"/>
        <w:left w:val="none" w:sz="0" w:space="0" w:color="auto"/>
        <w:bottom w:val="none" w:sz="0" w:space="0" w:color="auto"/>
        <w:right w:val="none" w:sz="0" w:space="0" w:color="auto"/>
      </w:divBdr>
    </w:div>
    <w:div w:id="1199782579">
      <w:bodyDiv w:val="1"/>
      <w:marLeft w:val="0"/>
      <w:marRight w:val="0"/>
      <w:marTop w:val="0"/>
      <w:marBottom w:val="0"/>
      <w:divBdr>
        <w:top w:val="none" w:sz="0" w:space="0" w:color="auto"/>
        <w:left w:val="none" w:sz="0" w:space="0" w:color="auto"/>
        <w:bottom w:val="none" w:sz="0" w:space="0" w:color="auto"/>
        <w:right w:val="none" w:sz="0" w:space="0" w:color="auto"/>
      </w:divBdr>
    </w:div>
    <w:div w:id="1199929496">
      <w:bodyDiv w:val="1"/>
      <w:marLeft w:val="0"/>
      <w:marRight w:val="0"/>
      <w:marTop w:val="0"/>
      <w:marBottom w:val="0"/>
      <w:divBdr>
        <w:top w:val="none" w:sz="0" w:space="0" w:color="auto"/>
        <w:left w:val="none" w:sz="0" w:space="0" w:color="auto"/>
        <w:bottom w:val="none" w:sz="0" w:space="0" w:color="auto"/>
        <w:right w:val="none" w:sz="0" w:space="0" w:color="auto"/>
      </w:divBdr>
    </w:div>
    <w:div w:id="1199973507">
      <w:bodyDiv w:val="1"/>
      <w:marLeft w:val="0"/>
      <w:marRight w:val="0"/>
      <w:marTop w:val="0"/>
      <w:marBottom w:val="0"/>
      <w:divBdr>
        <w:top w:val="none" w:sz="0" w:space="0" w:color="auto"/>
        <w:left w:val="none" w:sz="0" w:space="0" w:color="auto"/>
        <w:bottom w:val="none" w:sz="0" w:space="0" w:color="auto"/>
        <w:right w:val="none" w:sz="0" w:space="0" w:color="auto"/>
      </w:divBdr>
    </w:div>
    <w:div w:id="1200044248">
      <w:bodyDiv w:val="1"/>
      <w:marLeft w:val="0"/>
      <w:marRight w:val="0"/>
      <w:marTop w:val="0"/>
      <w:marBottom w:val="0"/>
      <w:divBdr>
        <w:top w:val="none" w:sz="0" w:space="0" w:color="auto"/>
        <w:left w:val="none" w:sz="0" w:space="0" w:color="auto"/>
        <w:bottom w:val="none" w:sz="0" w:space="0" w:color="auto"/>
        <w:right w:val="none" w:sz="0" w:space="0" w:color="auto"/>
      </w:divBdr>
    </w:div>
    <w:div w:id="1200238241">
      <w:bodyDiv w:val="1"/>
      <w:marLeft w:val="0"/>
      <w:marRight w:val="0"/>
      <w:marTop w:val="0"/>
      <w:marBottom w:val="0"/>
      <w:divBdr>
        <w:top w:val="none" w:sz="0" w:space="0" w:color="auto"/>
        <w:left w:val="none" w:sz="0" w:space="0" w:color="auto"/>
        <w:bottom w:val="none" w:sz="0" w:space="0" w:color="auto"/>
        <w:right w:val="none" w:sz="0" w:space="0" w:color="auto"/>
      </w:divBdr>
    </w:div>
    <w:div w:id="1200322004">
      <w:bodyDiv w:val="1"/>
      <w:marLeft w:val="0"/>
      <w:marRight w:val="0"/>
      <w:marTop w:val="0"/>
      <w:marBottom w:val="0"/>
      <w:divBdr>
        <w:top w:val="none" w:sz="0" w:space="0" w:color="auto"/>
        <w:left w:val="none" w:sz="0" w:space="0" w:color="auto"/>
        <w:bottom w:val="none" w:sz="0" w:space="0" w:color="auto"/>
        <w:right w:val="none" w:sz="0" w:space="0" w:color="auto"/>
      </w:divBdr>
    </w:div>
    <w:div w:id="1200436664">
      <w:bodyDiv w:val="1"/>
      <w:marLeft w:val="0"/>
      <w:marRight w:val="0"/>
      <w:marTop w:val="0"/>
      <w:marBottom w:val="0"/>
      <w:divBdr>
        <w:top w:val="none" w:sz="0" w:space="0" w:color="auto"/>
        <w:left w:val="none" w:sz="0" w:space="0" w:color="auto"/>
        <w:bottom w:val="none" w:sz="0" w:space="0" w:color="auto"/>
        <w:right w:val="none" w:sz="0" w:space="0" w:color="auto"/>
      </w:divBdr>
    </w:div>
    <w:div w:id="1200514926">
      <w:bodyDiv w:val="1"/>
      <w:marLeft w:val="0"/>
      <w:marRight w:val="0"/>
      <w:marTop w:val="0"/>
      <w:marBottom w:val="0"/>
      <w:divBdr>
        <w:top w:val="none" w:sz="0" w:space="0" w:color="auto"/>
        <w:left w:val="none" w:sz="0" w:space="0" w:color="auto"/>
        <w:bottom w:val="none" w:sz="0" w:space="0" w:color="auto"/>
        <w:right w:val="none" w:sz="0" w:space="0" w:color="auto"/>
      </w:divBdr>
    </w:div>
    <w:div w:id="1200555003">
      <w:bodyDiv w:val="1"/>
      <w:marLeft w:val="0"/>
      <w:marRight w:val="0"/>
      <w:marTop w:val="0"/>
      <w:marBottom w:val="0"/>
      <w:divBdr>
        <w:top w:val="none" w:sz="0" w:space="0" w:color="auto"/>
        <w:left w:val="none" w:sz="0" w:space="0" w:color="auto"/>
        <w:bottom w:val="none" w:sz="0" w:space="0" w:color="auto"/>
        <w:right w:val="none" w:sz="0" w:space="0" w:color="auto"/>
      </w:divBdr>
    </w:div>
    <w:div w:id="1200625065">
      <w:bodyDiv w:val="1"/>
      <w:marLeft w:val="0"/>
      <w:marRight w:val="0"/>
      <w:marTop w:val="0"/>
      <w:marBottom w:val="0"/>
      <w:divBdr>
        <w:top w:val="none" w:sz="0" w:space="0" w:color="auto"/>
        <w:left w:val="none" w:sz="0" w:space="0" w:color="auto"/>
        <w:bottom w:val="none" w:sz="0" w:space="0" w:color="auto"/>
        <w:right w:val="none" w:sz="0" w:space="0" w:color="auto"/>
      </w:divBdr>
    </w:div>
    <w:div w:id="1200630988">
      <w:bodyDiv w:val="1"/>
      <w:marLeft w:val="0"/>
      <w:marRight w:val="0"/>
      <w:marTop w:val="0"/>
      <w:marBottom w:val="0"/>
      <w:divBdr>
        <w:top w:val="none" w:sz="0" w:space="0" w:color="auto"/>
        <w:left w:val="none" w:sz="0" w:space="0" w:color="auto"/>
        <w:bottom w:val="none" w:sz="0" w:space="0" w:color="auto"/>
        <w:right w:val="none" w:sz="0" w:space="0" w:color="auto"/>
      </w:divBdr>
    </w:div>
    <w:div w:id="1200704331">
      <w:bodyDiv w:val="1"/>
      <w:marLeft w:val="0"/>
      <w:marRight w:val="0"/>
      <w:marTop w:val="0"/>
      <w:marBottom w:val="0"/>
      <w:divBdr>
        <w:top w:val="none" w:sz="0" w:space="0" w:color="auto"/>
        <w:left w:val="none" w:sz="0" w:space="0" w:color="auto"/>
        <w:bottom w:val="none" w:sz="0" w:space="0" w:color="auto"/>
        <w:right w:val="none" w:sz="0" w:space="0" w:color="auto"/>
      </w:divBdr>
    </w:div>
    <w:div w:id="1200707928">
      <w:bodyDiv w:val="1"/>
      <w:marLeft w:val="0"/>
      <w:marRight w:val="0"/>
      <w:marTop w:val="0"/>
      <w:marBottom w:val="0"/>
      <w:divBdr>
        <w:top w:val="none" w:sz="0" w:space="0" w:color="auto"/>
        <w:left w:val="none" w:sz="0" w:space="0" w:color="auto"/>
        <w:bottom w:val="none" w:sz="0" w:space="0" w:color="auto"/>
        <w:right w:val="none" w:sz="0" w:space="0" w:color="auto"/>
      </w:divBdr>
    </w:div>
    <w:div w:id="1200782115">
      <w:bodyDiv w:val="1"/>
      <w:marLeft w:val="0"/>
      <w:marRight w:val="0"/>
      <w:marTop w:val="0"/>
      <w:marBottom w:val="0"/>
      <w:divBdr>
        <w:top w:val="none" w:sz="0" w:space="0" w:color="auto"/>
        <w:left w:val="none" w:sz="0" w:space="0" w:color="auto"/>
        <w:bottom w:val="none" w:sz="0" w:space="0" w:color="auto"/>
        <w:right w:val="none" w:sz="0" w:space="0" w:color="auto"/>
      </w:divBdr>
    </w:div>
    <w:div w:id="1200818672">
      <w:bodyDiv w:val="1"/>
      <w:marLeft w:val="0"/>
      <w:marRight w:val="0"/>
      <w:marTop w:val="0"/>
      <w:marBottom w:val="0"/>
      <w:divBdr>
        <w:top w:val="none" w:sz="0" w:space="0" w:color="auto"/>
        <w:left w:val="none" w:sz="0" w:space="0" w:color="auto"/>
        <w:bottom w:val="none" w:sz="0" w:space="0" w:color="auto"/>
        <w:right w:val="none" w:sz="0" w:space="0" w:color="auto"/>
      </w:divBdr>
    </w:div>
    <w:div w:id="1200896925">
      <w:bodyDiv w:val="1"/>
      <w:marLeft w:val="0"/>
      <w:marRight w:val="0"/>
      <w:marTop w:val="0"/>
      <w:marBottom w:val="0"/>
      <w:divBdr>
        <w:top w:val="none" w:sz="0" w:space="0" w:color="auto"/>
        <w:left w:val="none" w:sz="0" w:space="0" w:color="auto"/>
        <w:bottom w:val="none" w:sz="0" w:space="0" w:color="auto"/>
        <w:right w:val="none" w:sz="0" w:space="0" w:color="auto"/>
      </w:divBdr>
    </w:div>
    <w:div w:id="1200975070">
      <w:bodyDiv w:val="1"/>
      <w:marLeft w:val="0"/>
      <w:marRight w:val="0"/>
      <w:marTop w:val="0"/>
      <w:marBottom w:val="0"/>
      <w:divBdr>
        <w:top w:val="none" w:sz="0" w:space="0" w:color="auto"/>
        <w:left w:val="none" w:sz="0" w:space="0" w:color="auto"/>
        <w:bottom w:val="none" w:sz="0" w:space="0" w:color="auto"/>
        <w:right w:val="none" w:sz="0" w:space="0" w:color="auto"/>
      </w:divBdr>
    </w:div>
    <w:div w:id="1201093894">
      <w:bodyDiv w:val="1"/>
      <w:marLeft w:val="0"/>
      <w:marRight w:val="0"/>
      <w:marTop w:val="0"/>
      <w:marBottom w:val="0"/>
      <w:divBdr>
        <w:top w:val="none" w:sz="0" w:space="0" w:color="auto"/>
        <w:left w:val="none" w:sz="0" w:space="0" w:color="auto"/>
        <w:bottom w:val="none" w:sz="0" w:space="0" w:color="auto"/>
        <w:right w:val="none" w:sz="0" w:space="0" w:color="auto"/>
      </w:divBdr>
    </w:div>
    <w:div w:id="1201161997">
      <w:bodyDiv w:val="1"/>
      <w:marLeft w:val="0"/>
      <w:marRight w:val="0"/>
      <w:marTop w:val="0"/>
      <w:marBottom w:val="0"/>
      <w:divBdr>
        <w:top w:val="none" w:sz="0" w:space="0" w:color="auto"/>
        <w:left w:val="none" w:sz="0" w:space="0" w:color="auto"/>
        <w:bottom w:val="none" w:sz="0" w:space="0" w:color="auto"/>
        <w:right w:val="none" w:sz="0" w:space="0" w:color="auto"/>
      </w:divBdr>
    </w:div>
    <w:div w:id="1201163694">
      <w:bodyDiv w:val="1"/>
      <w:marLeft w:val="0"/>
      <w:marRight w:val="0"/>
      <w:marTop w:val="0"/>
      <w:marBottom w:val="0"/>
      <w:divBdr>
        <w:top w:val="none" w:sz="0" w:space="0" w:color="auto"/>
        <w:left w:val="none" w:sz="0" w:space="0" w:color="auto"/>
        <w:bottom w:val="none" w:sz="0" w:space="0" w:color="auto"/>
        <w:right w:val="none" w:sz="0" w:space="0" w:color="auto"/>
      </w:divBdr>
    </w:div>
    <w:div w:id="1201209471">
      <w:bodyDiv w:val="1"/>
      <w:marLeft w:val="0"/>
      <w:marRight w:val="0"/>
      <w:marTop w:val="0"/>
      <w:marBottom w:val="0"/>
      <w:divBdr>
        <w:top w:val="none" w:sz="0" w:space="0" w:color="auto"/>
        <w:left w:val="none" w:sz="0" w:space="0" w:color="auto"/>
        <w:bottom w:val="none" w:sz="0" w:space="0" w:color="auto"/>
        <w:right w:val="none" w:sz="0" w:space="0" w:color="auto"/>
      </w:divBdr>
    </w:div>
    <w:div w:id="1201283852">
      <w:bodyDiv w:val="1"/>
      <w:marLeft w:val="0"/>
      <w:marRight w:val="0"/>
      <w:marTop w:val="0"/>
      <w:marBottom w:val="0"/>
      <w:divBdr>
        <w:top w:val="none" w:sz="0" w:space="0" w:color="auto"/>
        <w:left w:val="none" w:sz="0" w:space="0" w:color="auto"/>
        <w:bottom w:val="none" w:sz="0" w:space="0" w:color="auto"/>
        <w:right w:val="none" w:sz="0" w:space="0" w:color="auto"/>
      </w:divBdr>
    </w:div>
    <w:div w:id="1201285203">
      <w:bodyDiv w:val="1"/>
      <w:marLeft w:val="0"/>
      <w:marRight w:val="0"/>
      <w:marTop w:val="0"/>
      <w:marBottom w:val="0"/>
      <w:divBdr>
        <w:top w:val="none" w:sz="0" w:space="0" w:color="auto"/>
        <w:left w:val="none" w:sz="0" w:space="0" w:color="auto"/>
        <w:bottom w:val="none" w:sz="0" w:space="0" w:color="auto"/>
        <w:right w:val="none" w:sz="0" w:space="0" w:color="auto"/>
      </w:divBdr>
    </w:div>
    <w:div w:id="1201285815">
      <w:bodyDiv w:val="1"/>
      <w:marLeft w:val="0"/>
      <w:marRight w:val="0"/>
      <w:marTop w:val="0"/>
      <w:marBottom w:val="0"/>
      <w:divBdr>
        <w:top w:val="none" w:sz="0" w:space="0" w:color="auto"/>
        <w:left w:val="none" w:sz="0" w:space="0" w:color="auto"/>
        <w:bottom w:val="none" w:sz="0" w:space="0" w:color="auto"/>
        <w:right w:val="none" w:sz="0" w:space="0" w:color="auto"/>
      </w:divBdr>
    </w:div>
    <w:div w:id="1201548380">
      <w:bodyDiv w:val="1"/>
      <w:marLeft w:val="0"/>
      <w:marRight w:val="0"/>
      <w:marTop w:val="0"/>
      <w:marBottom w:val="0"/>
      <w:divBdr>
        <w:top w:val="none" w:sz="0" w:space="0" w:color="auto"/>
        <w:left w:val="none" w:sz="0" w:space="0" w:color="auto"/>
        <w:bottom w:val="none" w:sz="0" w:space="0" w:color="auto"/>
        <w:right w:val="none" w:sz="0" w:space="0" w:color="auto"/>
      </w:divBdr>
    </w:div>
    <w:div w:id="1201553372">
      <w:bodyDiv w:val="1"/>
      <w:marLeft w:val="0"/>
      <w:marRight w:val="0"/>
      <w:marTop w:val="0"/>
      <w:marBottom w:val="0"/>
      <w:divBdr>
        <w:top w:val="none" w:sz="0" w:space="0" w:color="auto"/>
        <w:left w:val="none" w:sz="0" w:space="0" w:color="auto"/>
        <w:bottom w:val="none" w:sz="0" w:space="0" w:color="auto"/>
        <w:right w:val="none" w:sz="0" w:space="0" w:color="auto"/>
      </w:divBdr>
    </w:div>
    <w:div w:id="1201623694">
      <w:bodyDiv w:val="1"/>
      <w:marLeft w:val="0"/>
      <w:marRight w:val="0"/>
      <w:marTop w:val="0"/>
      <w:marBottom w:val="0"/>
      <w:divBdr>
        <w:top w:val="none" w:sz="0" w:space="0" w:color="auto"/>
        <w:left w:val="none" w:sz="0" w:space="0" w:color="auto"/>
        <w:bottom w:val="none" w:sz="0" w:space="0" w:color="auto"/>
        <w:right w:val="none" w:sz="0" w:space="0" w:color="auto"/>
      </w:divBdr>
    </w:div>
    <w:div w:id="1201628486">
      <w:bodyDiv w:val="1"/>
      <w:marLeft w:val="0"/>
      <w:marRight w:val="0"/>
      <w:marTop w:val="0"/>
      <w:marBottom w:val="0"/>
      <w:divBdr>
        <w:top w:val="none" w:sz="0" w:space="0" w:color="auto"/>
        <w:left w:val="none" w:sz="0" w:space="0" w:color="auto"/>
        <w:bottom w:val="none" w:sz="0" w:space="0" w:color="auto"/>
        <w:right w:val="none" w:sz="0" w:space="0" w:color="auto"/>
      </w:divBdr>
    </w:div>
    <w:div w:id="1201673100">
      <w:bodyDiv w:val="1"/>
      <w:marLeft w:val="0"/>
      <w:marRight w:val="0"/>
      <w:marTop w:val="0"/>
      <w:marBottom w:val="0"/>
      <w:divBdr>
        <w:top w:val="none" w:sz="0" w:space="0" w:color="auto"/>
        <w:left w:val="none" w:sz="0" w:space="0" w:color="auto"/>
        <w:bottom w:val="none" w:sz="0" w:space="0" w:color="auto"/>
        <w:right w:val="none" w:sz="0" w:space="0" w:color="auto"/>
      </w:divBdr>
    </w:div>
    <w:div w:id="1201817155">
      <w:bodyDiv w:val="1"/>
      <w:marLeft w:val="0"/>
      <w:marRight w:val="0"/>
      <w:marTop w:val="0"/>
      <w:marBottom w:val="0"/>
      <w:divBdr>
        <w:top w:val="none" w:sz="0" w:space="0" w:color="auto"/>
        <w:left w:val="none" w:sz="0" w:space="0" w:color="auto"/>
        <w:bottom w:val="none" w:sz="0" w:space="0" w:color="auto"/>
        <w:right w:val="none" w:sz="0" w:space="0" w:color="auto"/>
      </w:divBdr>
    </w:div>
    <w:div w:id="1201897106">
      <w:bodyDiv w:val="1"/>
      <w:marLeft w:val="0"/>
      <w:marRight w:val="0"/>
      <w:marTop w:val="0"/>
      <w:marBottom w:val="0"/>
      <w:divBdr>
        <w:top w:val="none" w:sz="0" w:space="0" w:color="auto"/>
        <w:left w:val="none" w:sz="0" w:space="0" w:color="auto"/>
        <w:bottom w:val="none" w:sz="0" w:space="0" w:color="auto"/>
        <w:right w:val="none" w:sz="0" w:space="0" w:color="auto"/>
      </w:divBdr>
    </w:div>
    <w:div w:id="1202010612">
      <w:bodyDiv w:val="1"/>
      <w:marLeft w:val="0"/>
      <w:marRight w:val="0"/>
      <w:marTop w:val="0"/>
      <w:marBottom w:val="0"/>
      <w:divBdr>
        <w:top w:val="none" w:sz="0" w:space="0" w:color="auto"/>
        <w:left w:val="none" w:sz="0" w:space="0" w:color="auto"/>
        <w:bottom w:val="none" w:sz="0" w:space="0" w:color="auto"/>
        <w:right w:val="none" w:sz="0" w:space="0" w:color="auto"/>
      </w:divBdr>
    </w:div>
    <w:div w:id="1202013937">
      <w:bodyDiv w:val="1"/>
      <w:marLeft w:val="0"/>
      <w:marRight w:val="0"/>
      <w:marTop w:val="0"/>
      <w:marBottom w:val="0"/>
      <w:divBdr>
        <w:top w:val="none" w:sz="0" w:space="0" w:color="auto"/>
        <w:left w:val="none" w:sz="0" w:space="0" w:color="auto"/>
        <w:bottom w:val="none" w:sz="0" w:space="0" w:color="auto"/>
        <w:right w:val="none" w:sz="0" w:space="0" w:color="auto"/>
      </w:divBdr>
    </w:div>
    <w:div w:id="1202086284">
      <w:bodyDiv w:val="1"/>
      <w:marLeft w:val="0"/>
      <w:marRight w:val="0"/>
      <w:marTop w:val="0"/>
      <w:marBottom w:val="0"/>
      <w:divBdr>
        <w:top w:val="none" w:sz="0" w:space="0" w:color="auto"/>
        <w:left w:val="none" w:sz="0" w:space="0" w:color="auto"/>
        <w:bottom w:val="none" w:sz="0" w:space="0" w:color="auto"/>
        <w:right w:val="none" w:sz="0" w:space="0" w:color="auto"/>
      </w:divBdr>
    </w:div>
    <w:div w:id="1202093418">
      <w:bodyDiv w:val="1"/>
      <w:marLeft w:val="0"/>
      <w:marRight w:val="0"/>
      <w:marTop w:val="0"/>
      <w:marBottom w:val="0"/>
      <w:divBdr>
        <w:top w:val="none" w:sz="0" w:space="0" w:color="auto"/>
        <w:left w:val="none" w:sz="0" w:space="0" w:color="auto"/>
        <w:bottom w:val="none" w:sz="0" w:space="0" w:color="auto"/>
        <w:right w:val="none" w:sz="0" w:space="0" w:color="auto"/>
      </w:divBdr>
    </w:div>
    <w:div w:id="1202206646">
      <w:bodyDiv w:val="1"/>
      <w:marLeft w:val="0"/>
      <w:marRight w:val="0"/>
      <w:marTop w:val="0"/>
      <w:marBottom w:val="0"/>
      <w:divBdr>
        <w:top w:val="none" w:sz="0" w:space="0" w:color="auto"/>
        <w:left w:val="none" w:sz="0" w:space="0" w:color="auto"/>
        <w:bottom w:val="none" w:sz="0" w:space="0" w:color="auto"/>
        <w:right w:val="none" w:sz="0" w:space="0" w:color="auto"/>
      </w:divBdr>
    </w:div>
    <w:div w:id="1202281976">
      <w:bodyDiv w:val="1"/>
      <w:marLeft w:val="0"/>
      <w:marRight w:val="0"/>
      <w:marTop w:val="0"/>
      <w:marBottom w:val="0"/>
      <w:divBdr>
        <w:top w:val="none" w:sz="0" w:space="0" w:color="auto"/>
        <w:left w:val="none" w:sz="0" w:space="0" w:color="auto"/>
        <w:bottom w:val="none" w:sz="0" w:space="0" w:color="auto"/>
        <w:right w:val="none" w:sz="0" w:space="0" w:color="auto"/>
      </w:divBdr>
    </w:div>
    <w:div w:id="1202283564">
      <w:bodyDiv w:val="1"/>
      <w:marLeft w:val="0"/>
      <w:marRight w:val="0"/>
      <w:marTop w:val="0"/>
      <w:marBottom w:val="0"/>
      <w:divBdr>
        <w:top w:val="none" w:sz="0" w:space="0" w:color="auto"/>
        <w:left w:val="none" w:sz="0" w:space="0" w:color="auto"/>
        <w:bottom w:val="none" w:sz="0" w:space="0" w:color="auto"/>
        <w:right w:val="none" w:sz="0" w:space="0" w:color="auto"/>
      </w:divBdr>
    </w:div>
    <w:div w:id="1202354539">
      <w:bodyDiv w:val="1"/>
      <w:marLeft w:val="0"/>
      <w:marRight w:val="0"/>
      <w:marTop w:val="0"/>
      <w:marBottom w:val="0"/>
      <w:divBdr>
        <w:top w:val="none" w:sz="0" w:space="0" w:color="auto"/>
        <w:left w:val="none" w:sz="0" w:space="0" w:color="auto"/>
        <w:bottom w:val="none" w:sz="0" w:space="0" w:color="auto"/>
        <w:right w:val="none" w:sz="0" w:space="0" w:color="auto"/>
      </w:divBdr>
    </w:div>
    <w:div w:id="1202356215">
      <w:bodyDiv w:val="1"/>
      <w:marLeft w:val="0"/>
      <w:marRight w:val="0"/>
      <w:marTop w:val="0"/>
      <w:marBottom w:val="0"/>
      <w:divBdr>
        <w:top w:val="none" w:sz="0" w:space="0" w:color="auto"/>
        <w:left w:val="none" w:sz="0" w:space="0" w:color="auto"/>
        <w:bottom w:val="none" w:sz="0" w:space="0" w:color="auto"/>
        <w:right w:val="none" w:sz="0" w:space="0" w:color="auto"/>
      </w:divBdr>
    </w:div>
    <w:div w:id="1202401592">
      <w:bodyDiv w:val="1"/>
      <w:marLeft w:val="0"/>
      <w:marRight w:val="0"/>
      <w:marTop w:val="0"/>
      <w:marBottom w:val="0"/>
      <w:divBdr>
        <w:top w:val="none" w:sz="0" w:space="0" w:color="auto"/>
        <w:left w:val="none" w:sz="0" w:space="0" w:color="auto"/>
        <w:bottom w:val="none" w:sz="0" w:space="0" w:color="auto"/>
        <w:right w:val="none" w:sz="0" w:space="0" w:color="auto"/>
      </w:divBdr>
    </w:div>
    <w:div w:id="1202472900">
      <w:bodyDiv w:val="1"/>
      <w:marLeft w:val="0"/>
      <w:marRight w:val="0"/>
      <w:marTop w:val="0"/>
      <w:marBottom w:val="0"/>
      <w:divBdr>
        <w:top w:val="none" w:sz="0" w:space="0" w:color="auto"/>
        <w:left w:val="none" w:sz="0" w:space="0" w:color="auto"/>
        <w:bottom w:val="none" w:sz="0" w:space="0" w:color="auto"/>
        <w:right w:val="none" w:sz="0" w:space="0" w:color="auto"/>
      </w:divBdr>
    </w:div>
    <w:div w:id="1202590659">
      <w:bodyDiv w:val="1"/>
      <w:marLeft w:val="0"/>
      <w:marRight w:val="0"/>
      <w:marTop w:val="0"/>
      <w:marBottom w:val="0"/>
      <w:divBdr>
        <w:top w:val="none" w:sz="0" w:space="0" w:color="auto"/>
        <w:left w:val="none" w:sz="0" w:space="0" w:color="auto"/>
        <w:bottom w:val="none" w:sz="0" w:space="0" w:color="auto"/>
        <w:right w:val="none" w:sz="0" w:space="0" w:color="auto"/>
      </w:divBdr>
    </w:div>
    <w:div w:id="1202597914">
      <w:bodyDiv w:val="1"/>
      <w:marLeft w:val="0"/>
      <w:marRight w:val="0"/>
      <w:marTop w:val="0"/>
      <w:marBottom w:val="0"/>
      <w:divBdr>
        <w:top w:val="none" w:sz="0" w:space="0" w:color="auto"/>
        <w:left w:val="none" w:sz="0" w:space="0" w:color="auto"/>
        <w:bottom w:val="none" w:sz="0" w:space="0" w:color="auto"/>
        <w:right w:val="none" w:sz="0" w:space="0" w:color="auto"/>
      </w:divBdr>
    </w:div>
    <w:div w:id="1202790972">
      <w:bodyDiv w:val="1"/>
      <w:marLeft w:val="0"/>
      <w:marRight w:val="0"/>
      <w:marTop w:val="0"/>
      <w:marBottom w:val="0"/>
      <w:divBdr>
        <w:top w:val="none" w:sz="0" w:space="0" w:color="auto"/>
        <w:left w:val="none" w:sz="0" w:space="0" w:color="auto"/>
        <w:bottom w:val="none" w:sz="0" w:space="0" w:color="auto"/>
        <w:right w:val="none" w:sz="0" w:space="0" w:color="auto"/>
      </w:divBdr>
    </w:div>
    <w:div w:id="1203132786">
      <w:bodyDiv w:val="1"/>
      <w:marLeft w:val="0"/>
      <w:marRight w:val="0"/>
      <w:marTop w:val="0"/>
      <w:marBottom w:val="0"/>
      <w:divBdr>
        <w:top w:val="none" w:sz="0" w:space="0" w:color="auto"/>
        <w:left w:val="none" w:sz="0" w:space="0" w:color="auto"/>
        <w:bottom w:val="none" w:sz="0" w:space="0" w:color="auto"/>
        <w:right w:val="none" w:sz="0" w:space="0" w:color="auto"/>
      </w:divBdr>
    </w:div>
    <w:div w:id="1203177726">
      <w:bodyDiv w:val="1"/>
      <w:marLeft w:val="0"/>
      <w:marRight w:val="0"/>
      <w:marTop w:val="0"/>
      <w:marBottom w:val="0"/>
      <w:divBdr>
        <w:top w:val="none" w:sz="0" w:space="0" w:color="auto"/>
        <w:left w:val="none" w:sz="0" w:space="0" w:color="auto"/>
        <w:bottom w:val="none" w:sz="0" w:space="0" w:color="auto"/>
        <w:right w:val="none" w:sz="0" w:space="0" w:color="auto"/>
      </w:divBdr>
    </w:div>
    <w:div w:id="1203202799">
      <w:bodyDiv w:val="1"/>
      <w:marLeft w:val="0"/>
      <w:marRight w:val="0"/>
      <w:marTop w:val="0"/>
      <w:marBottom w:val="0"/>
      <w:divBdr>
        <w:top w:val="none" w:sz="0" w:space="0" w:color="auto"/>
        <w:left w:val="none" w:sz="0" w:space="0" w:color="auto"/>
        <w:bottom w:val="none" w:sz="0" w:space="0" w:color="auto"/>
        <w:right w:val="none" w:sz="0" w:space="0" w:color="auto"/>
      </w:divBdr>
    </w:div>
    <w:div w:id="1203207564">
      <w:bodyDiv w:val="1"/>
      <w:marLeft w:val="0"/>
      <w:marRight w:val="0"/>
      <w:marTop w:val="0"/>
      <w:marBottom w:val="0"/>
      <w:divBdr>
        <w:top w:val="none" w:sz="0" w:space="0" w:color="auto"/>
        <w:left w:val="none" w:sz="0" w:space="0" w:color="auto"/>
        <w:bottom w:val="none" w:sz="0" w:space="0" w:color="auto"/>
        <w:right w:val="none" w:sz="0" w:space="0" w:color="auto"/>
      </w:divBdr>
    </w:div>
    <w:div w:id="1203323452">
      <w:bodyDiv w:val="1"/>
      <w:marLeft w:val="0"/>
      <w:marRight w:val="0"/>
      <w:marTop w:val="0"/>
      <w:marBottom w:val="0"/>
      <w:divBdr>
        <w:top w:val="none" w:sz="0" w:space="0" w:color="auto"/>
        <w:left w:val="none" w:sz="0" w:space="0" w:color="auto"/>
        <w:bottom w:val="none" w:sz="0" w:space="0" w:color="auto"/>
        <w:right w:val="none" w:sz="0" w:space="0" w:color="auto"/>
      </w:divBdr>
    </w:div>
    <w:div w:id="1203396172">
      <w:bodyDiv w:val="1"/>
      <w:marLeft w:val="0"/>
      <w:marRight w:val="0"/>
      <w:marTop w:val="0"/>
      <w:marBottom w:val="0"/>
      <w:divBdr>
        <w:top w:val="none" w:sz="0" w:space="0" w:color="auto"/>
        <w:left w:val="none" w:sz="0" w:space="0" w:color="auto"/>
        <w:bottom w:val="none" w:sz="0" w:space="0" w:color="auto"/>
        <w:right w:val="none" w:sz="0" w:space="0" w:color="auto"/>
      </w:divBdr>
    </w:div>
    <w:div w:id="1203398295">
      <w:bodyDiv w:val="1"/>
      <w:marLeft w:val="0"/>
      <w:marRight w:val="0"/>
      <w:marTop w:val="0"/>
      <w:marBottom w:val="0"/>
      <w:divBdr>
        <w:top w:val="none" w:sz="0" w:space="0" w:color="auto"/>
        <w:left w:val="none" w:sz="0" w:space="0" w:color="auto"/>
        <w:bottom w:val="none" w:sz="0" w:space="0" w:color="auto"/>
        <w:right w:val="none" w:sz="0" w:space="0" w:color="auto"/>
      </w:divBdr>
    </w:div>
    <w:div w:id="1203403780">
      <w:bodyDiv w:val="1"/>
      <w:marLeft w:val="0"/>
      <w:marRight w:val="0"/>
      <w:marTop w:val="0"/>
      <w:marBottom w:val="0"/>
      <w:divBdr>
        <w:top w:val="none" w:sz="0" w:space="0" w:color="auto"/>
        <w:left w:val="none" w:sz="0" w:space="0" w:color="auto"/>
        <w:bottom w:val="none" w:sz="0" w:space="0" w:color="auto"/>
        <w:right w:val="none" w:sz="0" w:space="0" w:color="auto"/>
      </w:divBdr>
    </w:div>
    <w:div w:id="1203441897">
      <w:bodyDiv w:val="1"/>
      <w:marLeft w:val="0"/>
      <w:marRight w:val="0"/>
      <w:marTop w:val="0"/>
      <w:marBottom w:val="0"/>
      <w:divBdr>
        <w:top w:val="none" w:sz="0" w:space="0" w:color="auto"/>
        <w:left w:val="none" w:sz="0" w:space="0" w:color="auto"/>
        <w:bottom w:val="none" w:sz="0" w:space="0" w:color="auto"/>
        <w:right w:val="none" w:sz="0" w:space="0" w:color="auto"/>
      </w:divBdr>
    </w:div>
    <w:div w:id="1203446303">
      <w:bodyDiv w:val="1"/>
      <w:marLeft w:val="0"/>
      <w:marRight w:val="0"/>
      <w:marTop w:val="0"/>
      <w:marBottom w:val="0"/>
      <w:divBdr>
        <w:top w:val="none" w:sz="0" w:space="0" w:color="auto"/>
        <w:left w:val="none" w:sz="0" w:space="0" w:color="auto"/>
        <w:bottom w:val="none" w:sz="0" w:space="0" w:color="auto"/>
        <w:right w:val="none" w:sz="0" w:space="0" w:color="auto"/>
      </w:divBdr>
    </w:div>
    <w:div w:id="1203592177">
      <w:bodyDiv w:val="1"/>
      <w:marLeft w:val="0"/>
      <w:marRight w:val="0"/>
      <w:marTop w:val="0"/>
      <w:marBottom w:val="0"/>
      <w:divBdr>
        <w:top w:val="none" w:sz="0" w:space="0" w:color="auto"/>
        <w:left w:val="none" w:sz="0" w:space="0" w:color="auto"/>
        <w:bottom w:val="none" w:sz="0" w:space="0" w:color="auto"/>
        <w:right w:val="none" w:sz="0" w:space="0" w:color="auto"/>
      </w:divBdr>
    </w:div>
    <w:div w:id="1203593836">
      <w:bodyDiv w:val="1"/>
      <w:marLeft w:val="0"/>
      <w:marRight w:val="0"/>
      <w:marTop w:val="0"/>
      <w:marBottom w:val="0"/>
      <w:divBdr>
        <w:top w:val="none" w:sz="0" w:space="0" w:color="auto"/>
        <w:left w:val="none" w:sz="0" w:space="0" w:color="auto"/>
        <w:bottom w:val="none" w:sz="0" w:space="0" w:color="auto"/>
        <w:right w:val="none" w:sz="0" w:space="0" w:color="auto"/>
      </w:divBdr>
    </w:div>
    <w:div w:id="1203635858">
      <w:bodyDiv w:val="1"/>
      <w:marLeft w:val="0"/>
      <w:marRight w:val="0"/>
      <w:marTop w:val="0"/>
      <w:marBottom w:val="0"/>
      <w:divBdr>
        <w:top w:val="none" w:sz="0" w:space="0" w:color="auto"/>
        <w:left w:val="none" w:sz="0" w:space="0" w:color="auto"/>
        <w:bottom w:val="none" w:sz="0" w:space="0" w:color="auto"/>
        <w:right w:val="none" w:sz="0" w:space="0" w:color="auto"/>
      </w:divBdr>
    </w:div>
    <w:div w:id="1203637159">
      <w:bodyDiv w:val="1"/>
      <w:marLeft w:val="0"/>
      <w:marRight w:val="0"/>
      <w:marTop w:val="0"/>
      <w:marBottom w:val="0"/>
      <w:divBdr>
        <w:top w:val="none" w:sz="0" w:space="0" w:color="auto"/>
        <w:left w:val="none" w:sz="0" w:space="0" w:color="auto"/>
        <w:bottom w:val="none" w:sz="0" w:space="0" w:color="auto"/>
        <w:right w:val="none" w:sz="0" w:space="0" w:color="auto"/>
      </w:divBdr>
    </w:div>
    <w:div w:id="1203714180">
      <w:bodyDiv w:val="1"/>
      <w:marLeft w:val="0"/>
      <w:marRight w:val="0"/>
      <w:marTop w:val="0"/>
      <w:marBottom w:val="0"/>
      <w:divBdr>
        <w:top w:val="none" w:sz="0" w:space="0" w:color="auto"/>
        <w:left w:val="none" w:sz="0" w:space="0" w:color="auto"/>
        <w:bottom w:val="none" w:sz="0" w:space="0" w:color="auto"/>
        <w:right w:val="none" w:sz="0" w:space="0" w:color="auto"/>
      </w:divBdr>
    </w:div>
    <w:div w:id="1203858405">
      <w:bodyDiv w:val="1"/>
      <w:marLeft w:val="0"/>
      <w:marRight w:val="0"/>
      <w:marTop w:val="0"/>
      <w:marBottom w:val="0"/>
      <w:divBdr>
        <w:top w:val="none" w:sz="0" w:space="0" w:color="auto"/>
        <w:left w:val="none" w:sz="0" w:space="0" w:color="auto"/>
        <w:bottom w:val="none" w:sz="0" w:space="0" w:color="auto"/>
        <w:right w:val="none" w:sz="0" w:space="0" w:color="auto"/>
      </w:divBdr>
    </w:div>
    <w:div w:id="1203904028">
      <w:bodyDiv w:val="1"/>
      <w:marLeft w:val="0"/>
      <w:marRight w:val="0"/>
      <w:marTop w:val="0"/>
      <w:marBottom w:val="0"/>
      <w:divBdr>
        <w:top w:val="none" w:sz="0" w:space="0" w:color="auto"/>
        <w:left w:val="none" w:sz="0" w:space="0" w:color="auto"/>
        <w:bottom w:val="none" w:sz="0" w:space="0" w:color="auto"/>
        <w:right w:val="none" w:sz="0" w:space="0" w:color="auto"/>
      </w:divBdr>
    </w:div>
    <w:div w:id="1204052620">
      <w:bodyDiv w:val="1"/>
      <w:marLeft w:val="0"/>
      <w:marRight w:val="0"/>
      <w:marTop w:val="0"/>
      <w:marBottom w:val="0"/>
      <w:divBdr>
        <w:top w:val="none" w:sz="0" w:space="0" w:color="auto"/>
        <w:left w:val="none" w:sz="0" w:space="0" w:color="auto"/>
        <w:bottom w:val="none" w:sz="0" w:space="0" w:color="auto"/>
        <w:right w:val="none" w:sz="0" w:space="0" w:color="auto"/>
      </w:divBdr>
    </w:div>
    <w:div w:id="1204094083">
      <w:bodyDiv w:val="1"/>
      <w:marLeft w:val="0"/>
      <w:marRight w:val="0"/>
      <w:marTop w:val="0"/>
      <w:marBottom w:val="0"/>
      <w:divBdr>
        <w:top w:val="none" w:sz="0" w:space="0" w:color="auto"/>
        <w:left w:val="none" w:sz="0" w:space="0" w:color="auto"/>
        <w:bottom w:val="none" w:sz="0" w:space="0" w:color="auto"/>
        <w:right w:val="none" w:sz="0" w:space="0" w:color="auto"/>
      </w:divBdr>
    </w:div>
    <w:div w:id="1204098587">
      <w:bodyDiv w:val="1"/>
      <w:marLeft w:val="0"/>
      <w:marRight w:val="0"/>
      <w:marTop w:val="0"/>
      <w:marBottom w:val="0"/>
      <w:divBdr>
        <w:top w:val="none" w:sz="0" w:space="0" w:color="auto"/>
        <w:left w:val="none" w:sz="0" w:space="0" w:color="auto"/>
        <w:bottom w:val="none" w:sz="0" w:space="0" w:color="auto"/>
        <w:right w:val="none" w:sz="0" w:space="0" w:color="auto"/>
      </w:divBdr>
    </w:div>
    <w:div w:id="1204169764">
      <w:bodyDiv w:val="1"/>
      <w:marLeft w:val="0"/>
      <w:marRight w:val="0"/>
      <w:marTop w:val="0"/>
      <w:marBottom w:val="0"/>
      <w:divBdr>
        <w:top w:val="none" w:sz="0" w:space="0" w:color="auto"/>
        <w:left w:val="none" w:sz="0" w:space="0" w:color="auto"/>
        <w:bottom w:val="none" w:sz="0" w:space="0" w:color="auto"/>
        <w:right w:val="none" w:sz="0" w:space="0" w:color="auto"/>
      </w:divBdr>
    </w:div>
    <w:div w:id="1204320266">
      <w:bodyDiv w:val="1"/>
      <w:marLeft w:val="0"/>
      <w:marRight w:val="0"/>
      <w:marTop w:val="0"/>
      <w:marBottom w:val="0"/>
      <w:divBdr>
        <w:top w:val="none" w:sz="0" w:space="0" w:color="auto"/>
        <w:left w:val="none" w:sz="0" w:space="0" w:color="auto"/>
        <w:bottom w:val="none" w:sz="0" w:space="0" w:color="auto"/>
        <w:right w:val="none" w:sz="0" w:space="0" w:color="auto"/>
      </w:divBdr>
    </w:div>
    <w:div w:id="1204321660">
      <w:bodyDiv w:val="1"/>
      <w:marLeft w:val="0"/>
      <w:marRight w:val="0"/>
      <w:marTop w:val="0"/>
      <w:marBottom w:val="0"/>
      <w:divBdr>
        <w:top w:val="none" w:sz="0" w:space="0" w:color="auto"/>
        <w:left w:val="none" w:sz="0" w:space="0" w:color="auto"/>
        <w:bottom w:val="none" w:sz="0" w:space="0" w:color="auto"/>
        <w:right w:val="none" w:sz="0" w:space="0" w:color="auto"/>
      </w:divBdr>
    </w:div>
    <w:div w:id="1204443563">
      <w:bodyDiv w:val="1"/>
      <w:marLeft w:val="0"/>
      <w:marRight w:val="0"/>
      <w:marTop w:val="0"/>
      <w:marBottom w:val="0"/>
      <w:divBdr>
        <w:top w:val="none" w:sz="0" w:space="0" w:color="auto"/>
        <w:left w:val="none" w:sz="0" w:space="0" w:color="auto"/>
        <w:bottom w:val="none" w:sz="0" w:space="0" w:color="auto"/>
        <w:right w:val="none" w:sz="0" w:space="0" w:color="auto"/>
      </w:divBdr>
    </w:div>
    <w:div w:id="1204443688">
      <w:bodyDiv w:val="1"/>
      <w:marLeft w:val="0"/>
      <w:marRight w:val="0"/>
      <w:marTop w:val="0"/>
      <w:marBottom w:val="0"/>
      <w:divBdr>
        <w:top w:val="none" w:sz="0" w:space="0" w:color="auto"/>
        <w:left w:val="none" w:sz="0" w:space="0" w:color="auto"/>
        <w:bottom w:val="none" w:sz="0" w:space="0" w:color="auto"/>
        <w:right w:val="none" w:sz="0" w:space="0" w:color="auto"/>
      </w:divBdr>
    </w:div>
    <w:div w:id="1204518522">
      <w:bodyDiv w:val="1"/>
      <w:marLeft w:val="0"/>
      <w:marRight w:val="0"/>
      <w:marTop w:val="0"/>
      <w:marBottom w:val="0"/>
      <w:divBdr>
        <w:top w:val="none" w:sz="0" w:space="0" w:color="auto"/>
        <w:left w:val="none" w:sz="0" w:space="0" w:color="auto"/>
        <w:bottom w:val="none" w:sz="0" w:space="0" w:color="auto"/>
        <w:right w:val="none" w:sz="0" w:space="0" w:color="auto"/>
      </w:divBdr>
    </w:div>
    <w:div w:id="1204631562">
      <w:bodyDiv w:val="1"/>
      <w:marLeft w:val="0"/>
      <w:marRight w:val="0"/>
      <w:marTop w:val="0"/>
      <w:marBottom w:val="0"/>
      <w:divBdr>
        <w:top w:val="none" w:sz="0" w:space="0" w:color="auto"/>
        <w:left w:val="none" w:sz="0" w:space="0" w:color="auto"/>
        <w:bottom w:val="none" w:sz="0" w:space="0" w:color="auto"/>
        <w:right w:val="none" w:sz="0" w:space="0" w:color="auto"/>
      </w:divBdr>
    </w:div>
    <w:div w:id="1204636573">
      <w:bodyDiv w:val="1"/>
      <w:marLeft w:val="0"/>
      <w:marRight w:val="0"/>
      <w:marTop w:val="0"/>
      <w:marBottom w:val="0"/>
      <w:divBdr>
        <w:top w:val="none" w:sz="0" w:space="0" w:color="auto"/>
        <w:left w:val="none" w:sz="0" w:space="0" w:color="auto"/>
        <w:bottom w:val="none" w:sz="0" w:space="0" w:color="auto"/>
        <w:right w:val="none" w:sz="0" w:space="0" w:color="auto"/>
      </w:divBdr>
    </w:div>
    <w:div w:id="1204710009">
      <w:bodyDiv w:val="1"/>
      <w:marLeft w:val="0"/>
      <w:marRight w:val="0"/>
      <w:marTop w:val="0"/>
      <w:marBottom w:val="0"/>
      <w:divBdr>
        <w:top w:val="none" w:sz="0" w:space="0" w:color="auto"/>
        <w:left w:val="none" w:sz="0" w:space="0" w:color="auto"/>
        <w:bottom w:val="none" w:sz="0" w:space="0" w:color="auto"/>
        <w:right w:val="none" w:sz="0" w:space="0" w:color="auto"/>
      </w:divBdr>
    </w:div>
    <w:div w:id="1204712790">
      <w:bodyDiv w:val="1"/>
      <w:marLeft w:val="0"/>
      <w:marRight w:val="0"/>
      <w:marTop w:val="0"/>
      <w:marBottom w:val="0"/>
      <w:divBdr>
        <w:top w:val="none" w:sz="0" w:space="0" w:color="auto"/>
        <w:left w:val="none" w:sz="0" w:space="0" w:color="auto"/>
        <w:bottom w:val="none" w:sz="0" w:space="0" w:color="auto"/>
        <w:right w:val="none" w:sz="0" w:space="0" w:color="auto"/>
      </w:divBdr>
    </w:div>
    <w:div w:id="1204756256">
      <w:bodyDiv w:val="1"/>
      <w:marLeft w:val="0"/>
      <w:marRight w:val="0"/>
      <w:marTop w:val="0"/>
      <w:marBottom w:val="0"/>
      <w:divBdr>
        <w:top w:val="none" w:sz="0" w:space="0" w:color="auto"/>
        <w:left w:val="none" w:sz="0" w:space="0" w:color="auto"/>
        <w:bottom w:val="none" w:sz="0" w:space="0" w:color="auto"/>
        <w:right w:val="none" w:sz="0" w:space="0" w:color="auto"/>
      </w:divBdr>
    </w:div>
    <w:div w:id="1204833493">
      <w:bodyDiv w:val="1"/>
      <w:marLeft w:val="0"/>
      <w:marRight w:val="0"/>
      <w:marTop w:val="0"/>
      <w:marBottom w:val="0"/>
      <w:divBdr>
        <w:top w:val="none" w:sz="0" w:space="0" w:color="auto"/>
        <w:left w:val="none" w:sz="0" w:space="0" w:color="auto"/>
        <w:bottom w:val="none" w:sz="0" w:space="0" w:color="auto"/>
        <w:right w:val="none" w:sz="0" w:space="0" w:color="auto"/>
      </w:divBdr>
    </w:div>
    <w:div w:id="1204907997">
      <w:bodyDiv w:val="1"/>
      <w:marLeft w:val="0"/>
      <w:marRight w:val="0"/>
      <w:marTop w:val="0"/>
      <w:marBottom w:val="0"/>
      <w:divBdr>
        <w:top w:val="none" w:sz="0" w:space="0" w:color="auto"/>
        <w:left w:val="none" w:sz="0" w:space="0" w:color="auto"/>
        <w:bottom w:val="none" w:sz="0" w:space="0" w:color="auto"/>
        <w:right w:val="none" w:sz="0" w:space="0" w:color="auto"/>
      </w:divBdr>
    </w:div>
    <w:div w:id="1204947544">
      <w:bodyDiv w:val="1"/>
      <w:marLeft w:val="0"/>
      <w:marRight w:val="0"/>
      <w:marTop w:val="0"/>
      <w:marBottom w:val="0"/>
      <w:divBdr>
        <w:top w:val="none" w:sz="0" w:space="0" w:color="auto"/>
        <w:left w:val="none" w:sz="0" w:space="0" w:color="auto"/>
        <w:bottom w:val="none" w:sz="0" w:space="0" w:color="auto"/>
        <w:right w:val="none" w:sz="0" w:space="0" w:color="auto"/>
      </w:divBdr>
    </w:div>
    <w:div w:id="1205094883">
      <w:bodyDiv w:val="1"/>
      <w:marLeft w:val="0"/>
      <w:marRight w:val="0"/>
      <w:marTop w:val="0"/>
      <w:marBottom w:val="0"/>
      <w:divBdr>
        <w:top w:val="none" w:sz="0" w:space="0" w:color="auto"/>
        <w:left w:val="none" w:sz="0" w:space="0" w:color="auto"/>
        <w:bottom w:val="none" w:sz="0" w:space="0" w:color="auto"/>
        <w:right w:val="none" w:sz="0" w:space="0" w:color="auto"/>
      </w:divBdr>
    </w:div>
    <w:div w:id="1205094928">
      <w:bodyDiv w:val="1"/>
      <w:marLeft w:val="0"/>
      <w:marRight w:val="0"/>
      <w:marTop w:val="0"/>
      <w:marBottom w:val="0"/>
      <w:divBdr>
        <w:top w:val="none" w:sz="0" w:space="0" w:color="auto"/>
        <w:left w:val="none" w:sz="0" w:space="0" w:color="auto"/>
        <w:bottom w:val="none" w:sz="0" w:space="0" w:color="auto"/>
        <w:right w:val="none" w:sz="0" w:space="0" w:color="auto"/>
      </w:divBdr>
    </w:div>
    <w:div w:id="1205168230">
      <w:bodyDiv w:val="1"/>
      <w:marLeft w:val="0"/>
      <w:marRight w:val="0"/>
      <w:marTop w:val="0"/>
      <w:marBottom w:val="0"/>
      <w:divBdr>
        <w:top w:val="none" w:sz="0" w:space="0" w:color="auto"/>
        <w:left w:val="none" w:sz="0" w:space="0" w:color="auto"/>
        <w:bottom w:val="none" w:sz="0" w:space="0" w:color="auto"/>
        <w:right w:val="none" w:sz="0" w:space="0" w:color="auto"/>
      </w:divBdr>
    </w:div>
    <w:div w:id="1205170833">
      <w:bodyDiv w:val="1"/>
      <w:marLeft w:val="0"/>
      <w:marRight w:val="0"/>
      <w:marTop w:val="0"/>
      <w:marBottom w:val="0"/>
      <w:divBdr>
        <w:top w:val="none" w:sz="0" w:space="0" w:color="auto"/>
        <w:left w:val="none" w:sz="0" w:space="0" w:color="auto"/>
        <w:bottom w:val="none" w:sz="0" w:space="0" w:color="auto"/>
        <w:right w:val="none" w:sz="0" w:space="0" w:color="auto"/>
      </w:divBdr>
    </w:div>
    <w:div w:id="1205214232">
      <w:bodyDiv w:val="1"/>
      <w:marLeft w:val="0"/>
      <w:marRight w:val="0"/>
      <w:marTop w:val="0"/>
      <w:marBottom w:val="0"/>
      <w:divBdr>
        <w:top w:val="none" w:sz="0" w:space="0" w:color="auto"/>
        <w:left w:val="none" w:sz="0" w:space="0" w:color="auto"/>
        <w:bottom w:val="none" w:sz="0" w:space="0" w:color="auto"/>
        <w:right w:val="none" w:sz="0" w:space="0" w:color="auto"/>
      </w:divBdr>
    </w:div>
    <w:div w:id="1205288384">
      <w:bodyDiv w:val="1"/>
      <w:marLeft w:val="0"/>
      <w:marRight w:val="0"/>
      <w:marTop w:val="0"/>
      <w:marBottom w:val="0"/>
      <w:divBdr>
        <w:top w:val="none" w:sz="0" w:space="0" w:color="auto"/>
        <w:left w:val="none" w:sz="0" w:space="0" w:color="auto"/>
        <w:bottom w:val="none" w:sz="0" w:space="0" w:color="auto"/>
        <w:right w:val="none" w:sz="0" w:space="0" w:color="auto"/>
      </w:divBdr>
    </w:div>
    <w:div w:id="1205367564">
      <w:bodyDiv w:val="1"/>
      <w:marLeft w:val="0"/>
      <w:marRight w:val="0"/>
      <w:marTop w:val="0"/>
      <w:marBottom w:val="0"/>
      <w:divBdr>
        <w:top w:val="none" w:sz="0" w:space="0" w:color="auto"/>
        <w:left w:val="none" w:sz="0" w:space="0" w:color="auto"/>
        <w:bottom w:val="none" w:sz="0" w:space="0" w:color="auto"/>
        <w:right w:val="none" w:sz="0" w:space="0" w:color="auto"/>
      </w:divBdr>
    </w:div>
    <w:div w:id="1205404567">
      <w:bodyDiv w:val="1"/>
      <w:marLeft w:val="0"/>
      <w:marRight w:val="0"/>
      <w:marTop w:val="0"/>
      <w:marBottom w:val="0"/>
      <w:divBdr>
        <w:top w:val="none" w:sz="0" w:space="0" w:color="auto"/>
        <w:left w:val="none" w:sz="0" w:space="0" w:color="auto"/>
        <w:bottom w:val="none" w:sz="0" w:space="0" w:color="auto"/>
        <w:right w:val="none" w:sz="0" w:space="0" w:color="auto"/>
      </w:divBdr>
    </w:div>
    <w:div w:id="1205406182">
      <w:bodyDiv w:val="1"/>
      <w:marLeft w:val="0"/>
      <w:marRight w:val="0"/>
      <w:marTop w:val="0"/>
      <w:marBottom w:val="0"/>
      <w:divBdr>
        <w:top w:val="none" w:sz="0" w:space="0" w:color="auto"/>
        <w:left w:val="none" w:sz="0" w:space="0" w:color="auto"/>
        <w:bottom w:val="none" w:sz="0" w:space="0" w:color="auto"/>
        <w:right w:val="none" w:sz="0" w:space="0" w:color="auto"/>
      </w:divBdr>
    </w:div>
    <w:div w:id="1205482387">
      <w:bodyDiv w:val="1"/>
      <w:marLeft w:val="0"/>
      <w:marRight w:val="0"/>
      <w:marTop w:val="0"/>
      <w:marBottom w:val="0"/>
      <w:divBdr>
        <w:top w:val="none" w:sz="0" w:space="0" w:color="auto"/>
        <w:left w:val="none" w:sz="0" w:space="0" w:color="auto"/>
        <w:bottom w:val="none" w:sz="0" w:space="0" w:color="auto"/>
        <w:right w:val="none" w:sz="0" w:space="0" w:color="auto"/>
      </w:divBdr>
    </w:div>
    <w:div w:id="1205487915">
      <w:bodyDiv w:val="1"/>
      <w:marLeft w:val="0"/>
      <w:marRight w:val="0"/>
      <w:marTop w:val="0"/>
      <w:marBottom w:val="0"/>
      <w:divBdr>
        <w:top w:val="none" w:sz="0" w:space="0" w:color="auto"/>
        <w:left w:val="none" w:sz="0" w:space="0" w:color="auto"/>
        <w:bottom w:val="none" w:sz="0" w:space="0" w:color="auto"/>
        <w:right w:val="none" w:sz="0" w:space="0" w:color="auto"/>
      </w:divBdr>
    </w:div>
    <w:div w:id="1205563874">
      <w:bodyDiv w:val="1"/>
      <w:marLeft w:val="0"/>
      <w:marRight w:val="0"/>
      <w:marTop w:val="0"/>
      <w:marBottom w:val="0"/>
      <w:divBdr>
        <w:top w:val="none" w:sz="0" w:space="0" w:color="auto"/>
        <w:left w:val="none" w:sz="0" w:space="0" w:color="auto"/>
        <w:bottom w:val="none" w:sz="0" w:space="0" w:color="auto"/>
        <w:right w:val="none" w:sz="0" w:space="0" w:color="auto"/>
      </w:divBdr>
    </w:div>
    <w:div w:id="1205603577">
      <w:bodyDiv w:val="1"/>
      <w:marLeft w:val="0"/>
      <w:marRight w:val="0"/>
      <w:marTop w:val="0"/>
      <w:marBottom w:val="0"/>
      <w:divBdr>
        <w:top w:val="none" w:sz="0" w:space="0" w:color="auto"/>
        <w:left w:val="none" w:sz="0" w:space="0" w:color="auto"/>
        <w:bottom w:val="none" w:sz="0" w:space="0" w:color="auto"/>
        <w:right w:val="none" w:sz="0" w:space="0" w:color="auto"/>
      </w:divBdr>
    </w:div>
    <w:div w:id="1205824157">
      <w:bodyDiv w:val="1"/>
      <w:marLeft w:val="0"/>
      <w:marRight w:val="0"/>
      <w:marTop w:val="0"/>
      <w:marBottom w:val="0"/>
      <w:divBdr>
        <w:top w:val="none" w:sz="0" w:space="0" w:color="auto"/>
        <w:left w:val="none" w:sz="0" w:space="0" w:color="auto"/>
        <w:bottom w:val="none" w:sz="0" w:space="0" w:color="auto"/>
        <w:right w:val="none" w:sz="0" w:space="0" w:color="auto"/>
      </w:divBdr>
    </w:div>
    <w:div w:id="1205827110">
      <w:bodyDiv w:val="1"/>
      <w:marLeft w:val="0"/>
      <w:marRight w:val="0"/>
      <w:marTop w:val="0"/>
      <w:marBottom w:val="0"/>
      <w:divBdr>
        <w:top w:val="none" w:sz="0" w:space="0" w:color="auto"/>
        <w:left w:val="none" w:sz="0" w:space="0" w:color="auto"/>
        <w:bottom w:val="none" w:sz="0" w:space="0" w:color="auto"/>
        <w:right w:val="none" w:sz="0" w:space="0" w:color="auto"/>
      </w:divBdr>
    </w:div>
    <w:div w:id="1205828397">
      <w:bodyDiv w:val="1"/>
      <w:marLeft w:val="0"/>
      <w:marRight w:val="0"/>
      <w:marTop w:val="0"/>
      <w:marBottom w:val="0"/>
      <w:divBdr>
        <w:top w:val="none" w:sz="0" w:space="0" w:color="auto"/>
        <w:left w:val="none" w:sz="0" w:space="0" w:color="auto"/>
        <w:bottom w:val="none" w:sz="0" w:space="0" w:color="auto"/>
        <w:right w:val="none" w:sz="0" w:space="0" w:color="auto"/>
      </w:divBdr>
    </w:div>
    <w:div w:id="1205947767">
      <w:bodyDiv w:val="1"/>
      <w:marLeft w:val="0"/>
      <w:marRight w:val="0"/>
      <w:marTop w:val="0"/>
      <w:marBottom w:val="0"/>
      <w:divBdr>
        <w:top w:val="none" w:sz="0" w:space="0" w:color="auto"/>
        <w:left w:val="none" w:sz="0" w:space="0" w:color="auto"/>
        <w:bottom w:val="none" w:sz="0" w:space="0" w:color="auto"/>
        <w:right w:val="none" w:sz="0" w:space="0" w:color="auto"/>
      </w:divBdr>
    </w:div>
    <w:div w:id="1206016549">
      <w:bodyDiv w:val="1"/>
      <w:marLeft w:val="0"/>
      <w:marRight w:val="0"/>
      <w:marTop w:val="0"/>
      <w:marBottom w:val="0"/>
      <w:divBdr>
        <w:top w:val="none" w:sz="0" w:space="0" w:color="auto"/>
        <w:left w:val="none" w:sz="0" w:space="0" w:color="auto"/>
        <w:bottom w:val="none" w:sz="0" w:space="0" w:color="auto"/>
        <w:right w:val="none" w:sz="0" w:space="0" w:color="auto"/>
      </w:divBdr>
    </w:div>
    <w:div w:id="1206017126">
      <w:bodyDiv w:val="1"/>
      <w:marLeft w:val="0"/>
      <w:marRight w:val="0"/>
      <w:marTop w:val="0"/>
      <w:marBottom w:val="0"/>
      <w:divBdr>
        <w:top w:val="none" w:sz="0" w:space="0" w:color="auto"/>
        <w:left w:val="none" w:sz="0" w:space="0" w:color="auto"/>
        <w:bottom w:val="none" w:sz="0" w:space="0" w:color="auto"/>
        <w:right w:val="none" w:sz="0" w:space="0" w:color="auto"/>
      </w:divBdr>
    </w:div>
    <w:div w:id="1206061283">
      <w:bodyDiv w:val="1"/>
      <w:marLeft w:val="0"/>
      <w:marRight w:val="0"/>
      <w:marTop w:val="0"/>
      <w:marBottom w:val="0"/>
      <w:divBdr>
        <w:top w:val="none" w:sz="0" w:space="0" w:color="auto"/>
        <w:left w:val="none" w:sz="0" w:space="0" w:color="auto"/>
        <w:bottom w:val="none" w:sz="0" w:space="0" w:color="auto"/>
        <w:right w:val="none" w:sz="0" w:space="0" w:color="auto"/>
      </w:divBdr>
    </w:div>
    <w:div w:id="1206135422">
      <w:bodyDiv w:val="1"/>
      <w:marLeft w:val="0"/>
      <w:marRight w:val="0"/>
      <w:marTop w:val="0"/>
      <w:marBottom w:val="0"/>
      <w:divBdr>
        <w:top w:val="none" w:sz="0" w:space="0" w:color="auto"/>
        <w:left w:val="none" w:sz="0" w:space="0" w:color="auto"/>
        <w:bottom w:val="none" w:sz="0" w:space="0" w:color="auto"/>
        <w:right w:val="none" w:sz="0" w:space="0" w:color="auto"/>
      </w:divBdr>
    </w:div>
    <w:div w:id="1206136690">
      <w:bodyDiv w:val="1"/>
      <w:marLeft w:val="0"/>
      <w:marRight w:val="0"/>
      <w:marTop w:val="0"/>
      <w:marBottom w:val="0"/>
      <w:divBdr>
        <w:top w:val="none" w:sz="0" w:space="0" w:color="auto"/>
        <w:left w:val="none" w:sz="0" w:space="0" w:color="auto"/>
        <w:bottom w:val="none" w:sz="0" w:space="0" w:color="auto"/>
        <w:right w:val="none" w:sz="0" w:space="0" w:color="auto"/>
      </w:divBdr>
    </w:div>
    <w:div w:id="1206256621">
      <w:bodyDiv w:val="1"/>
      <w:marLeft w:val="0"/>
      <w:marRight w:val="0"/>
      <w:marTop w:val="0"/>
      <w:marBottom w:val="0"/>
      <w:divBdr>
        <w:top w:val="none" w:sz="0" w:space="0" w:color="auto"/>
        <w:left w:val="none" w:sz="0" w:space="0" w:color="auto"/>
        <w:bottom w:val="none" w:sz="0" w:space="0" w:color="auto"/>
        <w:right w:val="none" w:sz="0" w:space="0" w:color="auto"/>
      </w:divBdr>
    </w:div>
    <w:div w:id="1206329191">
      <w:bodyDiv w:val="1"/>
      <w:marLeft w:val="0"/>
      <w:marRight w:val="0"/>
      <w:marTop w:val="0"/>
      <w:marBottom w:val="0"/>
      <w:divBdr>
        <w:top w:val="none" w:sz="0" w:space="0" w:color="auto"/>
        <w:left w:val="none" w:sz="0" w:space="0" w:color="auto"/>
        <w:bottom w:val="none" w:sz="0" w:space="0" w:color="auto"/>
        <w:right w:val="none" w:sz="0" w:space="0" w:color="auto"/>
      </w:divBdr>
    </w:div>
    <w:div w:id="1206599108">
      <w:bodyDiv w:val="1"/>
      <w:marLeft w:val="0"/>
      <w:marRight w:val="0"/>
      <w:marTop w:val="0"/>
      <w:marBottom w:val="0"/>
      <w:divBdr>
        <w:top w:val="none" w:sz="0" w:space="0" w:color="auto"/>
        <w:left w:val="none" w:sz="0" w:space="0" w:color="auto"/>
        <w:bottom w:val="none" w:sz="0" w:space="0" w:color="auto"/>
        <w:right w:val="none" w:sz="0" w:space="0" w:color="auto"/>
      </w:divBdr>
    </w:div>
    <w:div w:id="1206673177">
      <w:bodyDiv w:val="1"/>
      <w:marLeft w:val="0"/>
      <w:marRight w:val="0"/>
      <w:marTop w:val="0"/>
      <w:marBottom w:val="0"/>
      <w:divBdr>
        <w:top w:val="none" w:sz="0" w:space="0" w:color="auto"/>
        <w:left w:val="none" w:sz="0" w:space="0" w:color="auto"/>
        <w:bottom w:val="none" w:sz="0" w:space="0" w:color="auto"/>
        <w:right w:val="none" w:sz="0" w:space="0" w:color="auto"/>
      </w:divBdr>
    </w:div>
    <w:div w:id="1206720697">
      <w:bodyDiv w:val="1"/>
      <w:marLeft w:val="0"/>
      <w:marRight w:val="0"/>
      <w:marTop w:val="0"/>
      <w:marBottom w:val="0"/>
      <w:divBdr>
        <w:top w:val="none" w:sz="0" w:space="0" w:color="auto"/>
        <w:left w:val="none" w:sz="0" w:space="0" w:color="auto"/>
        <w:bottom w:val="none" w:sz="0" w:space="0" w:color="auto"/>
        <w:right w:val="none" w:sz="0" w:space="0" w:color="auto"/>
      </w:divBdr>
    </w:div>
    <w:div w:id="1206723457">
      <w:bodyDiv w:val="1"/>
      <w:marLeft w:val="0"/>
      <w:marRight w:val="0"/>
      <w:marTop w:val="0"/>
      <w:marBottom w:val="0"/>
      <w:divBdr>
        <w:top w:val="none" w:sz="0" w:space="0" w:color="auto"/>
        <w:left w:val="none" w:sz="0" w:space="0" w:color="auto"/>
        <w:bottom w:val="none" w:sz="0" w:space="0" w:color="auto"/>
        <w:right w:val="none" w:sz="0" w:space="0" w:color="auto"/>
      </w:divBdr>
    </w:div>
    <w:div w:id="1206799358">
      <w:bodyDiv w:val="1"/>
      <w:marLeft w:val="0"/>
      <w:marRight w:val="0"/>
      <w:marTop w:val="0"/>
      <w:marBottom w:val="0"/>
      <w:divBdr>
        <w:top w:val="none" w:sz="0" w:space="0" w:color="auto"/>
        <w:left w:val="none" w:sz="0" w:space="0" w:color="auto"/>
        <w:bottom w:val="none" w:sz="0" w:space="0" w:color="auto"/>
        <w:right w:val="none" w:sz="0" w:space="0" w:color="auto"/>
      </w:divBdr>
    </w:div>
    <w:div w:id="1206866402">
      <w:bodyDiv w:val="1"/>
      <w:marLeft w:val="0"/>
      <w:marRight w:val="0"/>
      <w:marTop w:val="0"/>
      <w:marBottom w:val="0"/>
      <w:divBdr>
        <w:top w:val="none" w:sz="0" w:space="0" w:color="auto"/>
        <w:left w:val="none" w:sz="0" w:space="0" w:color="auto"/>
        <w:bottom w:val="none" w:sz="0" w:space="0" w:color="auto"/>
        <w:right w:val="none" w:sz="0" w:space="0" w:color="auto"/>
      </w:divBdr>
    </w:div>
    <w:div w:id="1206874572">
      <w:bodyDiv w:val="1"/>
      <w:marLeft w:val="0"/>
      <w:marRight w:val="0"/>
      <w:marTop w:val="0"/>
      <w:marBottom w:val="0"/>
      <w:divBdr>
        <w:top w:val="none" w:sz="0" w:space="0" w:color="auto"/>
        <w:left w:val="none" w:sz="0" w:space="0" w:color="auto"/>
        <w:bottom w:val="none" w:sz="0" w:space="0" w:color="auto"/>
        <w:right w:val="none" w:sz="0" w:space="0" w:color="auto"/>
      </w:divBdr>
    </w:div>
    <w:div w:id="1207181634">
      <w:bodyDiv w:val="1"/>
      <w:marLeft w:val="0"/>
      <w:marRight w:val="0"/>
      <w:marTop w:val="0"/>
      <w:marBottom w:val="0"/>
      <w:divBdr>
        <w:top w:val="none" w:sz="0" w:space="0" w:color="auto"/>
        <w:left w:val="none" w:sz="0" w:space="0" w:color="auto"/>
        <w:bottom w:val="none" w:sz="0" w:space="0" w:color="auto"/>
        <w:right w:val="none" w:sz="0" w:space="0" w:color="auto"/>
      </w:divBdr>
    </w:div>
    <w:div w:id="1207327176">
      <w:bodyDiv w:val="1"/>
      <w:marLeft w:val="0"/>
      <w:marRight w:val="0"/>
      <w:marTop w:val="0"/>
      <w:marBottom w:val="0"/>
      <w:divBdr>
        <w:top w:val="none" w:sz="0" w:space="0" w:color="auto"/>
        <w:left w:val="none" w:sz="0" w:space="0" w:color="auto"/>
        <w:bottom w:val="none" w:sz="0" w:space="0" w:color="auto"/>
        <w:right w:val="none" w:sz="0" w:space="0" w:color="auto"/>
      </w:divBdr>
    </w:div>
    <w:div w:id="1207447279">
      <w:bodyDiv w:val="1"/>
      <w:marLeft w:val="0"/>
      <w:marRight w:val="0"/>
      <w:marTop w:val="0"/>
      <w:marBottom w:val="0"/>
      <w:divBdr>
        <w:top w:val="none" w:sz="0" w:space="0" w:color="auto"/>
        <w:left w:val="none" w:sz="0" w:space="0" w:color="auto"/>
        <w:bottom w:val="none" w:sz="0" w:space="0" w:color="auto"/>
        <w:right w:val="none" w:sz="0" w:space="0" w:color="auto"/>
      </w:divBdr>
    </w:div>
    <w:div w:id="1207647146">
      <w:bodyDiv w:val="1"/>
      <w:marLeft w:val="0"/>
      <w:marRight w:val="0"/>
      <w:marTop w:val="0"/>
      <w:marBottom w:val="0"/>
      <w:divBdr>
        <w:top w:val="none" w:sz="0" w:space="0" w:color="auto"/>
        <w:left w:val="none" w:sz="0" w:space="0" w:color="auto"/>
        <w:bottom w:val="none" w:sz="0" w:space="0" w:color="auto"/>
        <w:right w:val="none" w:sz="0" w:space="0" w:color="auto"/>
      </w:divBdr>
    </w:div>
    <w:div w:id="1207718497">
      <w:bodyDiv w:val="1"/>
      <w:marLeft w:val="0"/>
      <w:marRight w:val="0"/>
      <w:marTop w:val="0"/>
      <w:marBottom w:val="0"/>
      <w:divBdr>
        <w:top w:val="none" w:sz="0" w:space="0" w:color="auto"/>
        <w:left w:val="none" w:sz="0" w:space="0" w:color="auto"/>
        <w:bottom w:val="none" w:sz="0" w:space="0" w:color="auto"/>
        <w:right w:val="none" w:sz="0" w:space="0" w:color="auto"/>
      </w:divBdr>
    </w:div>
    <w:div w:id="1207721090">
      <w:bodyDiv w:val="1"/>
      <w:marLeft w:val="0"/>
      <w:marRight w:val="0"/>
      <w:marTop w:val="0"/>
      <w:marBottom w:val="0"/>
      <w:divBdr>
        <w:top w:val="none" w:sz="0" w:space="0" w:color="auto"/>
        <w:left w:val="none" w:sz="0" w:space="0" w:color="auto"/>
        <w:bottom w:val="none" w:sz="0" w:space="0" w:color="auto"/>
        <w:right w:val="none" w:sz="0" w:space="0" w:color="auto"/>
      </w:divBdr>
    </w:div>
    <w:div w:id="1207789547">
      <w:bodyDiv w:val="1"/>
      <w:marLeft w:val="0"/>
      <w:marRight w:val="0"/>
      <w:marTop w:val="0"/>
      <w:marBottom w:val="0"/>
      <w:divBdr>
        <w:top w:val="none" w:sz="0" w:space="0" w:color="auto"/>
        <w:left w:val="none" w:sz="0" w:space="0" w:color="auto"/>
        <w:bottom w:val="none" w:sz="0" w:space="0" w:color="auto"/>
        <w:right w:val="none" w:sz="0" w:space="0" w:color="auto"/>
      </w:divBdr>
    </w:div>
    <w:div w:id="1207916133">
      <w:bodyDiv w:val="1"/>
      <w:marLeft w:val="0"/>
      <w:marRight w:val="0"/>
      <w:marTop w:val="0"/>
      <w:marBottom w:val="0"/>
      <w:divBdr>
        <w:top w:val="none" w:sz="0" w:space="0" w:color="auto"/>
        <w:left w:val="none" w:sz="0" w:space="0" w:color="auto"/>
        <w:bottom w:val="none" w:sz="0" w:space="0" w:color="auto"/>
        <w:right w:val="none" w:sz="0" w:space="0" w:color="auto"/>
      </w:divBdr>
    </w:div>
    <w:div w:id="1208102229">
      <w:bodyDiv w:val="1"/>
      <w:marLeft w:val="0"/>
      <w:marRight w:val="0"/>
      <w:marTop w:val="0"/>
      <w:marBottom w:val="0"/>
      <w:divBdr>
        <w:top w:val="none" w:sz="0" w:space="0" w:color="auto"/>
        <w:left w:val="none" w:sz="0" w:space="0" w:color="auto"/>
        <w:bottom w:val="none" w:sz="0" w:space="0" w:color="auto"/>
        <w:right w:val="none" w:sz="0" w:space="0" w:color="auto"/>
      </w:divBdr>
    </w:div>
    <w:div w:id="1208108050">
      <w:bodyDiv w:val="1"/>
      <w:marLeft w:val="0"/>
      <w:marRight w:val="0"/>
      <w:marTop w:val="0"/>
      <w:marBottom w:val="0"/>
      <w:divBdr>
        <w:top w:val="none" w:sz="0" w:space="0" w:color="auto"/>
        <w:left w:val="none" w:sz="0" w:space="0" w:color="auto"/>
        <w:bottom w:val="none" w:sz="0" w:space="0" w:color="auto"/>
        <w:right w:val="none" w:sz="0" w:space="0" w:color="auto"/>
      </w:divBdr>
    </w:div>
    <w:div w:id="1208253740">
      <w:bodyDiv w:val="1"/>
      <w:marLeft w:val="0"/>
      <w:marRight w:val="0"/>
      <w:marTop w:val="0"/>
      <w:marBottom w:val="0"/>
      <w:divBdr>
        <w:top w:val="none" w:sz="0" w:space="0" w:color="auto"/>
        <w:left w:val="none" w:sz="0" w:space="0" w:color="auto"/>
        <w:bottom w:val="none" w:sz="0" w:space="0" w:color="auto"/>
        <w:right w:val="none" w:sz="0" w:space="0" w:color="auto"/>
      </w:divBdr>
    </w:div>
    <w:div w:id="1208682045">
      <w:bodyDiv w:val="1"/>
      <w:marLeft w:val="0"/>
      <w:marRight w:val="0"/>
      <w:marTop w:val="0"/>
      <w:marBottom w:val="0"/>
      <w:divBdr>
        <w:top w:val="none" w:sz="0" w:space="0" w:color="auto"/>
        <w:left w:val="none" w:sz="0" w:space="0" w:color="auto"/>
        <w:bottom w:val="none" w:sz="0" w:space="0" w:color="auto"/>
        <w:right w:val="none" w:sz="0" w:space="0" w:color="auto"/>
      </w:divBdr>
    </w:div>
    <w:div w:id="1208682108">
      <w:bodyDiv w:val="1"/>
      <w:marLeft w:val="0"/>
      <w:marRight w:val="0"/>
      <w:marTop w:val="0"/>
      <w:marBottom w:val="0"/>
      <w:divBdr>
        <w:top w:val="none" w:sz="0" w:space="0" w:color="auto"/>
        <w:left w:val="none" w:sz="0" w:space="0" w:color="auto"/>
        <w:bottom w:val="none" w:sz="0" w:space="0" w:color="auto"/>
        <w:right w:val="none" w:sz="0" w:space="0" w:color="auto"/>
      </w:divBdr>
    </w:div>
    <w:div w:id="1208952142">
      <w:bodyDiv w:val="1"/>
      <w:marLeft w:val="0"/>
      <w:marRight w:val="0"/>
      <w:marTop w:val="0"/>
      <w:marBottom w:val="0"/>
      <w:divBdr>
        <w:top w:val="none" w:sz="0" w:space="0" w:color="auto"/>
        <w:left w:val="none" w:sz="0" w:space="0" w:color="auto"/>
        <w:bottom w:val="none" w:sz="0" w:space="0" w:color="auto"/>
        <w:right w:val="none" w:sz="0" w:space="0" w:color="auto"/>
      </w:divBdr>
    </w:div>
    <w:div w:id="1208954370">
      <w:bodyDiv w:val="1"/>
      <w:marLeft w:val="0"/>
      <w:marRight w:val="0"/>
      <w:marTop w:val="0"/>
      <w:marBottom w:val="0"/>
      <w:divBdr>
        <w:top w:val="none" w:sz="0" w:space="0" w:color="auto"/>
        <w:left w:val="none" w:sz="0" w:space="0" w:color="auto"/>
        <w:bottom w:val="none" w:sz="0" w:space="0" w:color="auto"/>
        <w:right w:val="none" w:sz="0" w:space="0" w:color="auto"/>
      </w:divBdr>
    </w:div>
    <w:div w:id="1209026306">
      <w:bodyDiv w:val="1"/>
      <w:marLeft w:val="0"/>
      <w:marRight w:val="0"/>
      <w:marTop w:val="0"/>
      <w:marBottom w:val="0"/>
      <w:divBdr>
        <w:top w:val="none" w:sz="0" w:space="0" w:color="auto"/>
        <w:left w:val="none" w:sz="0" w:space="0" w:color="auto"/>
        <w:bottom w:val="none" w:sz="0" w:space="0" w:color="auto"/>
        <w:right w:val="none" w:sz="0" w:space="0" w:color="auto"/>
      </w:divBdr>
    </w:div>
    <w:div w:id="1209031807">
      <w:bodyDiv w:val="1"/>
      <w:marLeft w:val="0"/>
      <w:marRight w:val="0"/>
      <w:marTop w:val="0"/>
      <w:marBottom w:val="0"/>
      <w:divBdr>
        <w:top w:val="none" w:sz="0" w:space="0" w:color="auto"/>
        <w:left w:val="none" w:sz="0" w:space="0" w:color="auto"/>
        <w:bottom w:val="none" w:sz="0" w:space="0" w:color="auto"/>
        <w:right w:val="none" w:sz="0" w:space="0" w:color="auto"/>
      </w:divBdr>
    </w:div>
    <w:div w:id="1209074637">
      <w:bodyDiv w:val="1"/>
      <w:marLeft w:val="0"/>
      <w:marRight w:val="0"/>
      <w:marTop w:val="0"/>
      <w:marBottom w:val="0"/>
      <w:divBdr>
        <w:top w:val="none" w:sz="0" w:space="0" w:color="auto"/>
        <w:left w:val="none" w:sz="0" w:space="0" w:color="auto"/>
        <w:bottom w:val="none" w:sz="0" w:space="0" w:color="auto"/>
        <w:right w:val="none" w:sz="0" w:space="0" w:color="auto"/>
      </w:divBdr>
    </w:div>
    <w:div w:id="1209074882">
      <w:bodyDiv w:val="1"/>
      <w:marLeft w:val="0"/>
      <w:marRight w:val="0"/>
      <w:marTop w:val="0"/>
      <w:marBottom w:val="0"/>
      <w:divBdr>
        <w:top w:val="none" w:sz="0" w:space="0" w:color="auto"/>
        <w:left w:val="none" w:sz="0" w:space="0" w:color="auto"/>
        <w:bottom w:val="none" w:sz="0" w:space="0" w:color="auto"/>
        <w:right w:val="none" w:sz="0" w:space="0" w:color="auto"/>
      </w:divBdr>
    </w:div>
    <w:div w:id="1209100986">
      <w:bodyDiv w:val="1"/>
      <w:marLeft w:val="0"/>
      <w:marRight w:val="0"/>
      <w:marTop w:val="0"/>
      <w:marBottom w:val="0"/>
      <w:divBdr>
        <w:top w:val="none" w:sz="0" w:space="0" w:color="auto"/>
        <w:left w:val="none" w:sz="0" w:space="0" w:color="auto"/>
        <w:bottom w:val="none" w:sz="0" w:space="0" w:color="auto"/>
        <w:right w:val="none" w:sz="0" w:space="0" w:color="auto"/>
      </w:divBdr>
    </w:div>
    <w:div w:id="1209105231">
      <w:bodyDiv w:val="1"/>
      <w:marLeft w:val="0"/>
      <w:marRight w:val="0"/>
      <w:marTop w:val="0"/>
      <w:marBottom w:val="0"/>
      <w:divBdr>
        <w:top w:val="none" w:sz="0" w:space="0" w:color="auto"/>
        <w:left w:val="none" w:sz="0" w:space="0" w:color="auto"/>
        <w:bottom w:val="none" w:sz="0" w:space="0" w:color="auto"/>
        <w:right w:val="none" w:sz="0" w:space="0" w:color="auto"/>
      </w:divBdr>
    </w:div>
    <w:div w:id="1209105490">
      <w:bodyDiv w:val="1"/>
      <w:marLeft w:val="0"/>
      <w:marRight w:val="0"/>
      <w:marTop w:val="0"/>
      <w:marBottom w:val="0"/>
      <w:divBdr>
        <w:top w:val="none" w:sz="0" w:space="0" w:color="auto"/>
        <w:left w:val="none" w:sz="0" w:space="0" w:color="auto"/>
        <w:bottom w:val="none" w:sz="0" w:space="0" w:color="auto"/>
        <w:right w:val="none" w:sz="0" w:space="0" w:color="auto"/>
      </w:divBdr>
    </w:div>
    <w:div w:id="1209151005">
      <w:bodyDiv w:val="1"/>
      <w:marLeft w:val="0"/>
      <w:marRight w:val="0"/>
      <w:marTop w:val="0"/>
      <w:marBottom w:val="0"/>
      <w:divBdr>
        <w:top w:val="none" w:sz="0" w:space="0" w:color="auto"/>
        <w:left w:val="none" w:sz="0" w:space="0" w:color="auto"/>
        <w:bottom w:val="none" w:sz="0" w:space="0" w:color="auto"/>
        <w:right w:val="none" w:sz="0" w:space="0" w:color="auto"/>
      </w:divBdr>
    </w:div>
    <w:div w:id="1209340078">
      <w:bodyDiv w:val="1"/>
      <w:marLeft w:val="0"/>
      <w:marRight w:val="0"/>
      <w:marTop w:val="0"/>
      <w:marBottom w:val="0"/>
      <w:divBdr>
        <w:top w:val="none" w:sz="0" w:space="0" w:color="auto"/>
        <w:left w:val="none" w:sz="0" w:space="0" w:color="auto"/>
        <w:bottom w:val="none" w:sz="0" w:space="0" w:color="auto"/>
        <w:right w:val="none" w:sz="0" w:space="0" w:color="auto"/>
      </w:divBdr>
    </w:div>
    <w:div w:id="1209417365">
      <w:bodyDiv w:val="1"/>
      <w:marLeft w:val="0"/>
      <w:marRight w:val="0"/>
      <w:marTop w:val="0"/>
      <w:marBottom w:val="0"/>
      <w:divBdr>
        <w:top w:val="none" w:sz="0" w:space="0" w:color="auto"/>
        <w:left w:val="none" w:sz="0" w:space="0" w:color="auto"/>
        <w:bottom w:val="none" w:sz="0" w:space="0" w:color="auto"/>
        <w:right w:val="none" w:sz="0" w:space="0" w:color="auto"/>
      </w:divBdr>
    </w:div>
    <w:div w:id="1209417910">
      <w:bodyDiv w:val="1"/>
      <w:marLeft w:val="0"/>
      <w:marRight w:val="0"/>
      <w:marTop w:val="0"/>
      <w:marBottom w:val="0"/>
      <w:divBdr>
        <w:top w:val="none" w:sz="0" w:space="0" w:color="auto"/>
        <w:left w:val="none" w:sz="0" w:space="0" w:color="auto"/>
        <w:bottom w:val="none" w:sz="0" w:space="0" w:color="auto"/>
        <w:right w:val="none" w:sz="0" w:space="0" w:color="auto"/>
      </w:divBdr>
    </w:div>
    <w:div w:id="1209612835">
      <w:bodyDiv w:val="1"/>
      <w:marLeft w:val="0"/>
      <w:marRight w:val="0"/>
      <w:marTop w:val="0"/>
      <w:marBottom w:val="0"/>
      <w:divBdr>
        <w:top w:val="none" w:sz="0" w:space="0" w:color="auto"/>
        <w:left w:val="none" w:sz="0" w:space="0" w:color="auto"/>
        <w:bottom w:val="none" w:sz="0" w:space="0" w:color="auto"/>
        <w:right w:val="none" w:sz="0" w:space="0" w:color="auto"/>
      </w:divBdr>
    </w:div>
    <w:div w:id="1209681826">
      <w:bodyDiv w:val="1"/>
      <w:marLeft w:val="0"/>
      <w:marRight w:val="0"/>
      <w:marTop w:val="0"/>
      <w:marBottom w:val="0"/>
      <w:divBdr>
        <w:top w:val="none" w:sz="0" w:space="0" w:color="auto"/>
        <w:left w:val="none" w:sz="0" w:space="0" w:color="auto"/>
        <w:bottom w:val="none" w:sz="0" w:space="0" w:color="auto"/>
        <w:right w:val="none" w:sz="0" w:space="0" w:color="auto"/>
      </w:divBdr>
    </w:div>
    <w:div w:id="1209755700">
      <w:bodyDiv w:val="1"/>
      <w:marLeft w:val="0"/>
      <w:marRight w:val="0"/>
      <w:marTop w:val="0"/>
      <w:marBottom w:val="0"/>
      <w:divBdr>
        <w:top w:val="none" w:sz="0" w:space="0" w:color="auto"/>
        <w:left w:val="none" w:sz="0" w:space="0" w:color="auto"/>
        <w:bottom w:val="none" w:sz="0" w:space="0" w:color="auto"/>
        <w:right w:val="none" w:sz="0" w:space="0" w:color="auto"/>
      </w:divBdr>
    </w:div>
    <w:div w:id="1209877962">
      <w:bodyDiv w:val="1"/>
      <w:marLeft w:val="0"/>
      <w:marRight w:val="0"/>
      <w:marTop w:val="0"/>
      <w:marBottom w:val="0"/>
      <w:divBdr>
        <w:top w:val="none" w:sz="0" w:space="0" w:color="auto"/>
        <w:left w:val="none" w:sz="0" w:space="0" w:color="auto"/>
        <w:bottom w:val="none" w:sz="0" w:space="0" w:color="auto"/>
        <w:right w:val="none" w:sz="0" w:space="0" w:color="auto"/>
      </w:divBdr>
    </w:div>
    <w:div w:id="1209949596">
      <w:bodyDiv w:val="1"/>
      <w:marLeft w:val="0"/>
      <w:marRight w:val="0"/>
      <w:marTop w:val="0"/>
      <w:marBottom w:val="0"/>
      <w:divBdr>
        <w:top w:val="none" w:sz="0" w:space="0" w:color="auto"/>
        <w:left w:val="none" w:sz="0" w:space="0" w:color="auto"/>
        <w:bottom w:val="none" w:sz="0" w:space="0" w:color="auto"/>
        <w:right w:val="none" w:sz="0" w:space="0" w:color="auto"/>
      </w:divBdr>
    </w:div>
    <w:div w:id="1210147594">
      <w:bodyDiv w:val="1"/>
      <w:marLeft w:val="0"/>
      <w:marRight w:val="0"/>
      <w:marTop w:val="0"/>
      <w:marBottom w:val="0"/>
      <w:divBdr>
        <w:top w:val="none" w:sz="0" w:space="0" w:color="auto"/>
        <w:left w:val="none" w:sz="0" w:space="0" w:color="auto"/>
        <w:bottom w:val="none" w:sz="0" w:space="0" w:color="auto"/>
        <w:right w:val="none" w:sz="0" w:space="0" w:color="auto"/>
      </w:divBdr>
    </w:div>
    <w:div w:id="1210188982">
      <w:bodyDiv w:val="1"/>
      <w:marLeft w:val="0"/>
      <w:marRight w:val="0"/>
      <w:marTop w:val="0"/>
      <w:marBottom w:val="0"/>
      <w:divBdr>
        <w:top w:val="none" w:sz="0" w:space="0" w:color="auto"/>
        <w:left w:val="none" w:sz="0" w:space="0" w:color="auto"/>
        <w:bottom w:val="none" w:sz="0" w:space="0" w:color="auto"/>
        <w:right w:val="none" w:sz="0" w:space="0" w:color="auto"/>
      </w:divBdr>
    </w:div>
    <w:div w:id="1210260258">
      <w:bodyDiv w:val="1"/>
      <w:marLeft w:val="0"/>
      <w:marRight w:val="0"/>
      <w:marTop w:val="0"/>
      <w:marBottom w:val="0"/>
      <w:divBdr>
        <w:top w:val="none" w:sz="0" w:space="0" w:color="auto"/>
        <w:left w:val="none" w:sz="0" w:space="0" w:color="auto"/>
        <w:bottom w:val="none" w:sz="0" w:space="0" w:color="auto"/>
        <w:right w:val="none" w:sz="0" w:space="0" w:color="auto"/>
      </w:divBdr>
    </w:div>
    <w:div w:id="1210338326">
      <w:bodyDiv w:val="1"/>
      <w:marLeft w:val="0"/>
      <w:marRight w:val="0"/>
      <w:marTop w:val="0"/>
      <w:marBottom w:val="0"/>
      <w:divBdr>
        <w:top w:val="none" w:sz="0" w:space="0" w:color="auto"/>
        <w:left w:val="none" w:sz="0" w:space="0" w:color="auto"/>
        <w:bottom w:val="none" w:sz="0" w:space="0" w:color="auto"/>
        <w:right w:val="none" w:sz="0" w:space="0" w:color="auto"/>
      </w:divBdr>
    </w:div>
    <w:div w:id="1210342180">
      <w:bodyDiv w:val="1"/>
      <w:marLeft w:val="0"/>
      <w:marRight w:val="0"/>
      <w:marTop w:val="0"/>
      <w:marBottom w:val="0"/>
      <w:divBdr>
        <w:top w:val="none" w:sz="0" w:space="0" w:color="auto"/>
        <w:left w:val="none" w:sz="0" w:space="0" w:color="auto"/>
        <w:bottom w:val="none" w:sz="0" w:space="0" w:color="auto"/>
        <w:right w:val="none" w:sz="0" w:space="0" w:color="auto"/>
      </w:divBdr>
    </w:div>
    <w:div w:id="1210386936">
      <w:bodyDiv w:val="1"/>
      <w:marLeft w:val="0"/>
      <w:marRight w:val="0"/>
      <w:marTop w:val="0"/>
      <w:marBottom w:val="0"/>
      <w:divBdr>
        <w:top w:val="none" w:sz="0" w:space="0" w:color="auto"/>
        <w:left w:val="none" w:sz="0" w:space="0" w:color="auto"/>
        <w:bottom w:val="none" w:sz="0" w:space="0" w:color="auto"/>
        <w:right w:val="none" w:sz="0" w:space="0" w:color="auto"/>
      </w:divBdr>
    </w:div>
    <w:div w:id="1210413277">
      <w:bodyDiv w:val="1"/>
      <w:marLeft w:val="0"/>
      <w:marRight w:val="0"/>
      <w:marTop w:val="0"/>
      <w:marBottom w:val="0"/>
      <w:divBdr>
        <w:top w:val="none" w:sz="0" w:space="0" w:color="auto"/>
        <w:left w:val="none" w:sz="0" w:space="0" w:color="auto"/>
        <w:bottom w:val="none" w:sz="0" w:space="0" w:color="auto"/>
        <w:right w:val="none" w:sz="0" w:space="0" w:color="auto"/>
      </w:divBdr>
    </w:div>
    <w:div w:id="1210648001">
      <w:bodyDiv w:val="1"/>
      <w:marLeft w:val="0"/>
      <w:marRight w:val="0"/>
      <w:marTop w:val="0"/>
      <w:marBottom w:val="0"/>
      <w:divBdr>
        <w:top w:val="none" w:sz="0" w:space="0" w:color="auto"/>
        <w:left w:val="none" w:sz="0" w:space="0" w:color="auto"/>
        <w:bottom w:val="none" w:sz="0" w:space="0" w:color="auto"/>
        <w:right w:val="none" w:sz="0" w:space="0" w:color="auto"/>
      </w:divBdr>
    </w:div>
    <w:div w:id="1210728824">
      <w:bodyDiv w:val="1"/>
      <w:marLeft w:val="0"/>
      <w:marRight w:val="0"/>
      <w:marTop w:val="0"/>
      <w:marBottom w:val="0"/>
      <w:divBdr>
        <w:top w:val="none" w:sz="0" w:space="0" w:color="auto"/>
        <w:left w:val="none" w:sz="0" w:space="0" w:color="auto"/>
        <w:bottom w:val="none" w:sz="0" w:space="0" w:color="auto"/>
        <w:right w:val="none" w:sz="0" w:space="0" w:color="auto"/>
      </w:divBdr>
    </w:div>
    <w:div w:id="1210805466">
      <w:bodyDiv w:val="1"/>
      <w:marLeft w:val="0"/>
      <w:marRight w:val="0"/>
      <w:marTop w:val="0"/>
      <w:marBottom w:val="0"/>
      <w:divBdr>
        <w:top w:val="none" w:sz="0" w:space="0" w:color="auto"/>
        <w:left w:val="none" w:sz="0" w:space="0" w:color="auto"/>
        <w:bottom w:val="none" w:sz="0" w:space="0" w:color="auto"/>
        <w:right w:val="none" w:sz="0" w:space="0" w:color="auto"/>
      </w:divBdr>
    </w:div>
    <w:div w:id="1210847469">
      <w:bodyDiv w:val="1"/>
      <w:marLeft w:val="0"/>
      <w:marRight w:val="0"/>
      <w:marTop w:val="0"/>
      <w:marBottom w:val="0"/>
      <w:divBdr>
        <w:top w:val="none" w:sz="0" w:space="0" w:color="auto"/>
        <w:left w:val="none" w:sz="0" w:space="0" w:color="auto"/>
        <w:bottom w:val="none" w:sz="0" w:space="0" w:color="auto"/>
        <w:right w:val="none" w:sz="0" w:space="0" w:color="auto"/>
      </w:divBdr>
    </w:div>
    <w:div w:id="1211072384">
      <w:bodyDiv w:val="1"/>
      <w:marLeft w:val="0"/>
      <w:marRight w:val="0"/>
      <w:marTop w:val="0"/>
      <w:marBottom w:val="0"/>
      <w:divBdr>
        <w:top w:val="none" w:sz="0" w:space="0" w:color="auto"/>
        <w:left w:val="none" w:sz="0" w:space="0" w:color="auto"/>
        <w:bottom w:val="none" w:sz="0" w:space="0" w:color="auto"/>
        <w:right w:val="none" w:sz="0" w:space="0" w:color="auto"/>
      </w:divBdr>
    </w:div>
    <w:div w:id="1211113254">
      <w:bodyDiv w:val="1"/>
      <w:marLeft w:val="0"/>
      <w:marRight w:val="0"/>
      <w:marTop w:val="0"/>
      <w:marBottom w:val="0"/>
      <w:divBdr>
        <w:top w:val="none" w:sz="0" w:space="0" w:color="auto"/>
        <w:left w:val="none" w:sz="0" w:space="0" w:color="auto"/>
        <w:bottom w:val="none" w:sz="0" w:space="0" w:color="auto"/>
        <w:right w:val="none" w:sz="0" w:space="0" w:color="auto"/>
      </w:divBdr>
    </w:div>
    <w:div w:id="1211189257">
      <w:bodyDiv w:val="1"/>
      <w:marLeft w:val="0"/>
      <w:marRight w:val="0"/>
      <w:marTop w:val="0"/>
      <w:marBottom w:val="0"/>
      <w:divBdr>
        <w:top w:val="none" w:sz="0" w:space="0" w:color="auto"/>
        <w:left w:val="none" w:sz="0" w:space="0" w:color="auto"/>
        <w:bottom w:val="none" w:sz="0" w:space="0" w:color="auto"/>
        <w:right w:val="none" w:sz="0" w:space="0" w:color="auto"/>
      </w:divBdr>
    </w:div>
    <w:div w:id="1211459482">
      <w:bodyDiv w:val="1"/>
      <w:marLeft w:val="0"/>
      <w:marRight w:val="0"/>
      <w:marTop w:val="0"/>
      <w:marBottom w:val="0"/>
      <w:divBdr>
        <w:top w:val="none" w:sz="0" w:space="0" w:color="auto"/>
        <w:left w:val="none" w:sz="0" w:space="0" w:color="auto"/>
        <w:bottom w:val="none" w:sz="0" w:space="0" w:color="auto"/>
        <w:right w:val="none" w:sz="0" w:space="0" w:color="auto"/>
      </w:divBdr>
    </w:div>
    <w:div w:id="1211502369">
      <w:bodyDiv w:val="1"/>
      <w:marLeft w:val="0"/>
      <w:marRight w:val="0"/>
      <w:marTop w:val="0"/>
      <w:marBottom w:val="0"/>
      <w:divBdr>
        <w:top w:val="none" w:sz="0" w:space="0" w:color="auto"/>
        <w:left w:val="none" w:sz="0" w:space="0" w:color="auto"/>
        <w:bottom w:val="none" w:sz="0" w:space="0" w:color="auto"/>
        <w:right w:val="none" w:sz="0" w:space="0" w:color="auto"/>
      </w:divBdr>
    </w:div>
    <w:div w:id="1211527876">
      <w:bodyDiv w:val="1"/>
      <w:marLeft w:val="0"/>
      <w:marRight w:val="0"/>
      <w:marTop w:val="0"/>
      <w:marBottom w:val="0"/>
      <w:divBdr>
        <w:top w:val="none" w:sz="0" w:space="0" w:color="auto"/>
        <w:left w:val="none" w:sz="0" w:space="0" w:color="auto"/>
        <w:bottom w:val="none" w:sz="0" w:space="0" w:color="auto"/>
        <w:right w:val="none" w:sz="0" w:space="0" w:color="auto"/>
      </w:divBdr>
    </w:div>
    <w:div w:id="1211574181">
      <w:bodyDiv w:val="1"/>
      <w:marLeft w:val="0"/>
      <w:marRight w:val="0"/>
      <w:marTop w:val="0"/>
      <w:marBottom w:val="0"/>
      <w:divBdr>
        <w:top w:val="none" w:sz="0" w:space="0" w:color="auto"/>
        <w:left w:val="none" w:sz="0" w:space="0" w:color="auto"/>
        <w:bottom w:val="none" w:sz="0" w:space="0" w:color="auto"/>
        <w:right w:val="none" w:sz="0" w:space="0" w:color="auto"/>
      </w:divBdr>
    </w:div>
    <w:div w:id="1211648306">
      <w:bodyDiv w:val="1"/>
      <w:marLeft w:val="0"/>
      <w:marRight w:val="0"/>
      <w:marTop w:val="0"/>
      <w:marBottom w:val="0"/>
      <w:divBdr>
        <w:top w:val="none" w:sz="0" w:space="0" w:color="auto"/>
        <w:left w:val="none" w:sz="0" w:space="0" w:color="auto"/>
        <w:bottom w:val="none" w:sz="0" w:space="0" w:color="auto"/>
        <w:right w:val="none" w:sz="0" w:space="0" w:color="auto"/>
      </w:divBdr>
    </w:div>
    <w:div w:id="1211768670">
      <w:bodyDiv w:val="1"/>
      <w:marLeft w:val="0"/>
      <w:marRight w:val="0"/>
      <w:marTop w:val="0"/>
      <w:marBottom w:val="0"/>
      <w:divBdr>
        <w:top w:val="none" w:sz="0" w:space="0" w:color="auto"/>
        <w:left w:val="none" w:sz="0" w:space="0" w:color="auto"/>
        <w:bottom w:val="none" w:sz="0" w:space="0" w:color="auto"/>
        <w:right w:val="none" w:sz="0" w:space="0" w:color="auto"/>
      </w:divBdr>
    </w:div>
    <w:div w:id="1211917945">
      <w:bodyDiv w:val="1"/>
      <w:marLeft w:val="0"/>
      <w:marRight w:val="0"/>
      <w:marTop w:val="0"/>
      <w:marBottom w:val="0"/>
      <w:divBdr>
        <w:top w:val="none" w:sz="0" w:space="0" w:color="auto"/>
        <w:left w:val="none" w:sz="0" w:space="0" w:color="auto"/>
        <w:bottom w:val="none" w:sz="0" w:space="0" w:color="auto"/>
        <w:right w:val="none" w:sz="0" w:space="0" w:color="auto"/>
      </w:divBdr>
    </w:div>
    <w:div w:id="1211959004">
      <w:bodyDiv w:val="1"/>
      <w:marLeft w:val="0"/>
      <w:marRight w:val="0"/>
      <w:marTop w:val="0"/>
      <w:marBottom w:val="0"/>
      <w:divBdr>
        <w:top w:val="none" w:sz="0" w:space="0" w:color="auto"/>
        <w:left w:val="none" w:sz="0" w:space="0" w:color="auto"/>
        <w:bottom w:val="none" w:sz="0" w:space="0" w:color="auto"/>
        <w:right w:val="none" w:sz="0" w:space="0" w:color="auto"/>
      </w:divBdr>
    </w:div>
    <w:div w:id="1211961957">
      <w:bodyDiv w:val="1"/>
      <w:marLeft w:val="0"/>
      <w:marRight w:val="0"/>
      <w:marTop w:val="0"/>
      <w:marBottom w:val="0"/>
      <w:divBdr>
        <w:top w:val="none" w:sz="0" w:space="0" w:color="auto"/>
        <w:left w:val="none" w:sz="0" w:space="0" w:color="auto"/>
        <w:bottom w:val="none" w:sz="0" w:space="0" w:color="auto"/>
        <w:right w:val="none" w:sz="0" w:space="0" w:color="auto"/>
      </w:divBdr>
    </w:div>
    <w:div w:id="1212109415">
      <w:bodyDiv w:val="1"/>
      <w:marLeft w:val="0"/>
      <w:marRight w:val="0"/>
      <w:marTop w:val="0"/>
      <w:marBottom w:val="0"/>
      <w:divBdr>
        <w:top w:val="none" w:sz="0" w:space="0" w:color="auto"/>
        <w:left w:val="none" w:sz="0" w:space="0" w:color="auto"/>
        <w:bottom w:val="none" w:sz="0" w:space="0" w:color="auto"/>
        <w:right w:val="none" w:sz="0" w:space="0" w:color="auto"/>
      </w:divBdr>
    </w:div>
    <w:div w:id="1212351232">
      <w:bodyDiv w:val="1"/>
      <w:marLeft w:val="0"/>
      <w:marRight w:val="0"/>
      <w:marTop w:val="0"/>
      <w:marBottom w:val="0"/>
      <w:divBdr>
        <w:top w:val="none" w:sz="0" w:space="0" w:color="auto"/>
        <w:left w:val="none" w:sz="0" w:space="0" w:color="auto"/>
        <w:bottom w:val="none" w:sz="0" w:space="0" w:color="auto"/>
        <w:right w:val="none" w:sz="0" w:space="0" w:color="auto"/>
      </w:divBdr>
    </w:div>
    <w:div w:id="1212352497">
      <w:bodyDiv w:val="1"/>
      <w:marLeft w:val="0"/>
      <w:marRight w:val="0"/>
      <w:marTop w:val="0"/>
      <w:marBottom w:val="0"/>
      <w:divBdr>
        <w:top w:val="none" w:sz="0" w:space="0" w:color="auto"/>
        <w:left w:val="none" w:sz="0" w:space="0" w:color="auto"/>
        <w:bottom w:val="none" w:sz="0" w:space="0" w:color="auto"/>
        <w:right w:val="none" w:sz="0" w:space="0" w:color="auto"/>
      </w:divBdr>
    </w:div>
    <w:div w:id="1212420307">
      <w:bodyDiv w:val="1"/>
      <w:marLeft w:val="0"/>
      <w:marRight w:val="0"/>
      <w:marTop w:val="0"/>
      <w:marBottom w:val="0"/>
      <w:divBdr>
        <w:top w:val="none" w:sz="0" w:space="0" w:color="auto"/>
        <w:left w:val="none" w:sz="0" w:space="0" w:color="auto"/>
        <w:bottom w:val="none" w:sz="0" w:space="0" w:color="auto"/>
        <w:right w:val="none" w:sz="0" w:space="0" w:color="auto"/>
      </w:divBdr>
    </w:div>
    <w:div w:id="1212420614">
      <w:bodyDiv w:val="1"/>
      <w:marLeft w:val="0"/>
      <w:marRight w:val="0"/>
      <w:marTop w:val="0"/>
      <w:marBottom w:val="0"/>
      <w:divBdr>
        <w:top w:val="none" w:sz="0" w:space="0" w:color="auto"/>
        <w:left w:val="none" w:sz="0" w:space="0" w:color="auto"/>
        <w:bottom w:val="none" w:sz="0" w:space="0" w:color="auto"/>
        <w:right w:val="none" w:sz="0" w:space="0" w:color="auto"/>
      </w:divBdr>
    </w:div>
    <w:div w:id="1212494255">
      <w:bodyDiv w:val="1"/>
      <w:marLeft w:val="0"/>
      <w:marRight w:val="0"/>
      <w:marTop w:val="0"/>
      <w:marBottom w:val="0"/>
      <w:divBdr>
        <w:top w:val="none" w:sz="0" w:space="0" w:color="auto"/>
        <w:left w:val="none" w:sz="0" w:space="0" w:color="auto"/>
        <w:bottom w:val="none" w:sz="0" w:space="0" w:color="auto"/>
        <w:right w:val="none" w:sz="0" w:space="0" w:color="auto"/>
      </w:divBdr>
    </w:div>
    <w:div w:id="1212573639">
      <w:bodyDiv w:val="1"/>
      <w:marLeft w:val="0"/>
      <w:marRight w:val="0"/>
      <w:marTop w:val="0"/>
      <w:marBottom w:val="0"/>
      <w:divBdr>
        <w:top w:val="none" w:sz="0" w:space="0" w:color="auto"/>
        <w:left w:val="none" w:sz="0" w:space="0" w:color="auto"/>
        <w:bottom w:val="none" w:sz="0" w:space="0" w:color="auto"/>
        <w:right w:val="none" w:sz="0" w:space="0" w:color="auto"/>
      </w:divBdr>
    </w:div>
    <w:div w:id="1212960585">
      <w:bodyDiv w:val="1"/>
      <w:marLeft w:val="0"/>
      <w:marRight w:val="0"/>
      <w:marTop w:val="0"/>
      <w:marBottom w:val="0"/>
      <w:divBdr>
        <w:top w:val="none" w:sz="0" w:space="0" w:color="auto"/>
        <w:left w:val="none" w:sz="0" w:space="0" w:color="auto"/>
        <w:bottom w:val="none" w:sz="0" w:space="0" w:color="auto"/>
        <w:right w:val="none" w:sz="0" w:space="0" w:color="auto"/>
      </w:divBdr>
    </w:div>
    <w:div w:id="1213074548">
      <w:bodyDiv w:val="1"/>
      <w:marLeft w:val="0"/>
      <w:marRight w:val="0"/>
      <w:marTop w:val="0"/>
      <w:marBottom w:val="0"/>
      <w:divBdr>
        <w:top w:val="none" w:sz="0" w:space="0" w:color="auto"/>
        <w:left w:val="none" w:sz="0" w:space="0" w:color="auto"/>
        <w:bottom w:val="none" w:sz="0" w:space="0" w:color="auto"/>
        <w:right w:val="none" w:sz="0" w:space="0" w:color="auto"/>
      </w:divBdr>
    </w:div>
    <w:div w:id="1213230384">
      <w:bodyDiv w:val="1"/>
      <w:marLeft w:val="0"/>
      <w:marRight w:val="0"/>
      <w:marTop w:val="0"/>
      <w:marBottom w:val="0"/>
      <w:divBdr>
        <w:top w:val="none" w:sz="0" w:space="0" w:color="auto"/>
        <w:left w:val="none" w:sz="0" w:space="0" w:color="auto"/>
        <w:bottom w:val="none" w:sz="0" w:space="0" w:color="auto"/>
        <w:right w:val="none" w:sz="0" w:space="0" w:color="auto"/>
      </w:divBdr>
    </w:div>
    <w:div w:id="1213270944">
      <w:bodyDiv w:val="1"/>
      <w:marLeft w:val="0"/>
      <w:marRight w:val="0"/>
      <w:marTop w:val="0"/>
      <w:marBottom w:val="0"/>
      <w:divBdr>
        <w:top w:val="none" w:sz="0" w:space="0" w:color="auto"/>
        <w:left w:val="none" w:sz="0" w:space="0" w:color="auto"/>
        <w:bottom w:val="none" w:sz="0" w:space="0" w:color="auto"/>
        <w:right w:val="none" w:sz="0" w:space="0" w:color="auto"/>
      </w:divBdr>
    </w:div>
    <w:div w:id="1213273715">
      <w:bodyDiv w:val="1"/>
      <w:marLeft w:val="0"/>
      <w:marRight w:val="0"/>
      <w:marTop w:val="0"/>
      <w:marBottom w:val="0"/>
      <w:divBdr>
        <w:top w:val="none" w:sz="0" w:space="0" w:color="auto"/>
        <w:left w:val="none" w:sz="0" w:space="0" w:color="auto"/>
        <w:bottom w:val="none" w:sz="0" w:space="0" w:color="auto"/>
        <w:right w:val="none" w:sz="0" w:space="0" w:color="auto"/>
      </w:divBdr>
    </w:div>
    <w:div w:id="1213421727">
      <w:bodyDiv w:val="1"/>
      <w:marLeft w:val="0"/>
      <w:marRight w:val="0"/>
      <w:marTop w:val="0"/>
      <w:marBottom w:val="0"/>
      <w:divBdr>
        <w:top w:val="none" w:sz="0" w:space="0" w:color="auto"/>
        <w:left w:val="none" w:sz="0" w:space="0" w:color="auto"/>
        <w:bottom w:val="none" w:sz="0" w:space="0" w:color="auto"/>
        <w:right w:val="none" w:sz="0" w:space="0" w:color="auto"/>
      </w:divBdr>
    </w:div>
    <w:div w:id="1213424919">
      <w:bodyDiv w:val="1"/>
      <w:marLeft w:val="0"/>
      <w:marRight w:val="0"/>
      <w:marTop w:val="0"/>
      <w:marBottom w:val="0"/>
      <w:divBdr>
        <w:top w:val="none" w:sz="0" w:space="0" w:color="auto"/>
        <w:left w:val="none" w:sz="0" w:space="0" w:color="auto"/>
        <w:bottom w:val="none" w:sz="0" w:space="0" w:color="auto"/>
        <w:right w:val="none" w:sz="0" w:space="0" w:color="auto"/>
      </w:divBdr>
    </w:div>
    <w:div w:id="1213497086">
      <w:bodyDiv w:val="1"/>
      <w:marLeft w:val="0"/>
      <w:marRight w:val="0"/>
      <w:marTop w:val="0"/>
      <w:marBottom w:val="0"/>
      <w:divBdr>
        <w:top w:val="none" w:sz="0" w:space="0" w:color="auto"/>
        <w:left w:val="none" w:sz="0" w:space="0" w:color="auto"/>
        <w:bottom w:val="none" w:sz="0" w:space="0" w:color="auto"/>
        <w:right w:val="none" w:sz="0" w:space="0" w:color="auto"/>
      </w:divBdr>
    </w:div>
    <w:div w:id="1213662132">
      <w:bodyDiv w:val="1"/>
      <w:marLeft w:val="0"/>
      <w:marRight w:val="0"/>
      <w:marTop w:val="0"/>
      <w:marBottom w:val="0"/>
      <w:divBdr>
        <w:top w:val="none" w:sz="0" w:space="0" w:color="auto"/>
        <w:left w:val="none" w:sz="0" w:space="0" w:color="auto"/>
        <w:bottom w:val="none" w:sz="0" w:space="0" w:color="auto"/>
        <w:right w:val="none" w:sz="0" w:space="0" w:color="auto"/>
      </w:divBdr>
    </w:div>
    <w:div w:id="1213662301">
      <w:bodyDiv w:val="1"/>
      <w:marLeft w:val="0"/>
      <w:marRight w:val="0"/>
      <w:marTop w:val="0"/>
      <w:marBottom w:val="0"/>
      <w:divBdr>
        <w:top w:val="none" w:sz="0" w:space="0" w:color="auto"/>
        <w:left w:val="none" w:sz="0" w:space="0" w:color="auto"/>
        <w:bottom w:val="none" w:sz="0" w:space="0" w:color="auto"/>
        <w:right w:val="none" w:sz="0" w:space="0" w:color="auto"/>
      </w:divBdr>
    </w:div>
    <w:div w:id="1213686959">
      <w:bodyDiv w:val="1"/>
      <w:marLeft w:val="0"/>
      <w:marRight w:val="0"/>
      <w:marTop w:val="0"/>
      <w:marBottom w:val="0"/>
      <w:divBdr>
        <w:top w:val="none" w:sz="0" w:space="0" w:color="auto"/>
        <w:left w:val="none" w:sz="0" w:space="0" w:color="auto"/>
        <w:bottom w:val="none" w:sz="0" w:space="0" w:color="auto"/>
        <w:right w:val="none" w:sz="0" w:space="0" w:color="auto"/>
      </w:divBdr>
    </w:div>
    <w:div w:id="1213730695">
      <w:bodyDiv w:val="1"/>
      <w:marLeft w:val="0"/>
      <w:marRight w:val="0"/>
      <w:marTop w:val="0"/>
      <w:marBottom w:val="0"/>
      <w:divBdr>
        <w:top w:val="none" w:sz="0" w:space="0" w:color="auto"/>
        <w:left w:val="none" w:sz="0" w:space="0" w:color="auto"/>
        <w:bottom w:val="none" w:sz="0" w:space="0" w:color="auto"/>
        <w:right w:val="none" w:sz="0" w:space="0" w:color="auto"/>
      </w:divBdr>
    </w:div>
    <w:div w:id="1213887894">
      <w:bodyDiv w:val="1"/>
      <w:marLeft w:val="0"/>
      <w:marRight w:val="0"/>
      <w:marTop w:val="0"/>
      <w:marBottom w:val="0"/>
      <w:divBdr>
        <w:top w:val="none" w:sz="0" w:space="0" w:color="auto"/>
        <w:left w:val="none" w:sz="0" w:space="0" w:color="auto"/>
        <w:bottom w:val="none" w:sz="0" w:space="0" w:color="auto"/>
        <w:right w:val="none" w:sz="0" w:space="0" w:color="auto"/>
      </w:divBdr>
    </w:div>
    <w:div w:id="1213927060">
      <w:bodyDiv w:val="1"/>
      <w:marLeft w:val="0"/>
      <w:marRight w:val="0"/>
      <w:marTop w:val="0"/>
      <w:marBottom w:val="0"/>
      <w:divBdr>
        <w:top w:val="none" w:sz="0" w:space="0" w:color="auto"/>
        <w:left w:val="none" w:sz="0" w:space="0" w:color="auto"/>
        <w:bottom w:val="none" w:sz="0" w:space="0" w:color="auto"/>
        <w:right w:val="none" w:sz="0" w:space="0" w:color="auto"/>
      </w:divBdr>
    </w:div>
    <w:div w:id="1213997624">
      <w:bodyDiv w:val="1"/>
      <w:marLeft w:val="0"/>
      <w:marRight w:val="0"/>
      <w:marTop w:val="0"/>
      <w:marBottom w:val="0"/>
      <w:divBdr>
        <w:top w:val="none" w:sz="0" w:space="0" w:color="auto"/>
        <w:left w:val="none" w:sz="0" w:space="0" w:color="auto"/>
        <w:bottom w:val="none" w:sz="0" w:space="0" w:color="auto"/>
        <w:right w:val="none" w:sz="0" w:space="0" w:color="auto"/>
      </w:divBdr>
    </w:div>
    <w:div w:id="1214003806">
      <w:bodyDiv w:val="1"/>
      <w:marLeft w:val="0"/>
      <w:marRight w:val="0"/>
      <w:marTop w:val="0"/>
      <w:marBottom w:val="0"/>
      <w:divBdr>
        <w:top w:val="none" w:sz="0" w:space="0" w:color="auto"/>
        <w:left w:val="none" w:sz="0" w:space="0" w:color="auto"/>
        <w:bottom w:val="none" w:sz="0" w:space="0" w:color="auto"/>
        <w:right w:val="none" w:sz="0" w:space="0" w:color="auto"/>
      </w:divBdr>
    </w:div>
    <w:div w:id="1214196342">
      <w:bodyDiv w:val="1"/>
      <w:marLeft w:val="0"/>
      <w:marRight w:val="0"/>
      <w:marTop w:val="0"/>
      <w:marBottom w:val="0"/>
      <w:divBdr>
        <w:top w:val="none" w:sz="0" w:space="0" w:color="auto"/>
        <w:left w:val="none" w:sz="0" w:space="0" w:color="auto"/>
        <w:bottom w:val="none" w:sz="0" w:space="0" w:color="auto"/>
        <w:right w:val="none" w:sz="0" w:space="0" w:color="auto"/>
      </w:divBdr>
    </w:div>
    <w:div w:id="1214268738">
      <w:bodyDiv w:val="1"/>
      <w:marLeft w:val="0"/>
      <w:marRight w:val="0"/>
      <w:marTop w:val="0"/>
      <w:marBottom w:val="0"/>
      <w:divBdr>
        <w:top w:val="none" w:sz="0" w:space="0" w:color="auto"/>
        <w:left w:val="none" w:sz="0" w:space="0" w:color="auto"/>
        <w:bottom w:val="none" w:sz="0" w:space="0" w:color="auto"/>
        <w:right w:val="none" w:sz="0" w:space="0" w:color="auto"/>
      </w:divBdr>
    </w:div>
    <w:div w:id="1214585108">
      <w:bodyDiv w:val="1"/>
      <w:marLeft w:val="0"/>
      <w:marRight w:val="0"/>
      <w:marTop w:val="0"/>
      <w:marBottom w:val="0"/>
      <w:divBdr>
        <w:top w:val="none" w:sz="0" w:space="0" w:color="auto"/>
        <w:left w:val="none" w:sz="0" w:space="0" w:color="auto"/>
        <w:bottom w:val="none" w:sz="0" w:space="0" w:color="auto"/>
        <w:right w:val="none" w:sz="0" w:space="0" w:color="auto"/>
      </w:divBdr>
    </w:div>
    <w:div w:id="1214852404">
      <w:bodyDiv w:val="1"/>
      <w:marLeft w:val="0"/>
      <w:marRight w:val="0"/>
      <w:marTop w:val="0"/>
      <w:marBottom w:val="0"/>
      <w:divBdr>
        <w:top w:val="none" w:sz="0" w:space="0" w:color="auto"/>
        <w:left w:val="none" w:sz="0" w:space="0" w:color="auto"/>
        <w:bottom w:val="none" w:sz="0" w:space="0" w:color="auto"/>
        <w:right w:val="none" w:sz="0" w:space="0" w:color="auto"/>
      </w:divBdr>
    </w:div>
    <w:div w:id="1214926367">
      <w:bodyDiv w:val="1"/>
      <w:marLeft w:val="0"/>
      <w:marRight w:val="0"/>
      <w:marTop w:val="0"/>
      <w:marBottom w:val="0"/>
      <w:divBdr>
        <w:top w:val="none" w:sz="0" w:space="0" w:color="auto"/>
        <w:left w:val="none" w:sz="0" w:space="0" w:color="auto"/>
        <w:bottom w:val="none" w:sz="0" w:space="0" w:color="auto"/>
        <w:right w:val="none" w:sz="0" w:space="0" w:color="auto"/>
      </w:divBdr>
    </w:div>
    <w:div w:id="1214928877">
      <w:bodyDiv w:val="1"/>
      <w:marLeft w:val="0"/>
      <w:marRight w:val="0"/>
      <w:marTop w:val="0"/>
      <w:marBottom w:val="0"/>
      <w:divBdr>
        <w:top w:val="none" w:sz="0" w:space="0" w:color="auto"/>
        <w:left w:val="none" w:sz="0" w:space="0" w:color="auto"/>
        <w:bottom w:val="none" w:sz="0" w:space="0" w:color="auto"/>
        <w:right w:val="none" w:sz="0" w:space="0" w:color="auto"/>
      </w:divBdr>
    </w:div>
    <w:div w:id="1214999366">
      <w:bodyDiv w:val="1"/>
      <w:marLeft w:val="0"/>
      <w:marRight w:val="0"/>
      <w:marTop w:val="0"/>
      <w:marBottom w:val="0"/>
      <w:divBdr>
        <w:top w:val="none" w:sz="0" w:space="0" w:color="auto"/>
        <w:left w:val="none" w:sz="0" w:space="0" w:color="auto"/>
        <w:bottom w:val="none" w:sz="0" w:space="0" w:color="auto"/>
        <w:right w:val="none" w:sz="0" w:space="0" w:color="auto"/>
      </w:divBdr>
    </w:div>
    <w:div w:id="1215001560">
      <w:bodyDiv w:val="1"/>
      <w:marLeft w:val="0"/>
      <w:marRight w:val="0"/>
      <w:marTop w:val="0"/>
      <w:marBottom w:val="0"/>
      <w:divBdr>
        <w:top w:val="none" w:sz="0" w:space="0" w:color="auto"/>
        <w:left w:val="none" w:sz="0" w:space="0" w:color="auto"/>
        <w:bottom w:val="none" w:sz="0" w:space="0" w:color="auto"/>
        <w:right w:val="none" w:sz="0" w:space="0" w:color="auto"/>
      </w:divBdr>
    </w:div>
    <w:div w:id="1215045993">
      <w:bodyDiv w:val="1"/>
      <w:marLeft w:val="0"/>
      <w:marRight w:val="0"/>
      <w:marTop w:val="0"/>
      <w:marBottom w:val="0"/>
      <w:divBdr>
        <w:top w:val="none" w:sz="0" w:space="0" w:color="auto"/>
        <w:left w:val="none" w:sz="0" w:space="0" w:color="auto"/>
        <w:bottom w:val="none" w:sz="0" w:space="0" w:color="auto"/>
        <w:right w:val="none" w:sz="0" w:space="0" w:color="auto"/>
      </w:divBdr>
    </w:div>
    <w:div w:id="1215122836">
      <w:bodyDiv w:val="1"/>
      <w:marLeft w:val="0"/>
      <w:marRight w:val="0"/>
      <w:marTop w:val="0"/>
      <w:marBottom w:val="0"/>
      <w:divBdr>
        <w:top w:val="none" w:sz="0" w:space="0" w:color="auto"/>
        <w:left w:val="none" w:sz="0" w:space="0" w:color="auto"/>
        <w:bottom w:val="none" w:sz="0" w:space="0" w:color="auto"/>
        <w:right w:val="none" w:sz="0" w:space="0" w:color="auto"/>
      </w:divBdr>
    </w:div>
    <w:div w:id="1215192452">
      <w:bodyDiv w:val="1"/>
      <w:marLeft w:val="0"/>
      <w:marRight w:val="0"/>
      <w:marTop w:val="0"/>
      <w:marBottom w:val="0"/>
      <w:divBdr>
        <w:top w:val="none" w:sz="0" w:space="0" w:color="auto"/>
        <w:left w:val="none" w:sz="0" w:space="0" w:color="auto"/>
        <w:bottom w:val="none" w:sz="0" w:space="0" w:color="auto"/>
        <w:right w:val="none" w:sz="0" w:space="0" w:color="auto"/>
      </w:divBdr>
    </w:div>
    <w:div w:id="1215313209">
      <w:bodyDiv w:val="1"/>
      <w:marLeft w:val="0"/>
      <w:marRight w:val="0"/>
      <w:marTop w:val="0"/>
      <w:marBottom w:val="0"/>
      <w:divBdr>
        <w:top w:val="none" w:sz="0" w:space="0" w:color="auto"/>
        <w:left w:val="none" w:sz="0" w:space="0" w:color="auto"/>
        <w:bottom w:val="none" w:sz="0" w:space="0" w:color="auto"/>
        <w:right w:val="none" w:sz="0" w:space="0" w:color="auto"/>
      </w:divBdr>
    </w:div>
    <w:div w:id="1215463333">
      <w:bodyDiv w:val="1"/>
      <w:marLeft w:val="0"/>
      <w:marRight w:val="0"/>
      <w:marTop w:val="0"/>
      <w:marBottom w:val="0"/>
      <w:divBdr>
        <w:top w:val="none" w:sz="0" w:space="0" w:color="auto"/>
        <w:left w:val="none" w:sz="0" w:space="0" w:color="auto"/>
        <w:bottom w:val="none" w:sz="0" w:space="0" w:color="auto"/>
        <w:right w:val="none" w:sz="0" w:space="0" w:color="auto"/>
      </w:divBdr>
    </w:div>
    <w:div w:id="1215583947">
      <w:bodyDiv w:val="1"/>
      <w:marLeft w:val="0"/>
      <w:marRight w:val="0"/>
      <w:marTop w:val="0"/>
      <w:marBottom w:val="0"/>
      <w:divBdr>
        <w:top w:val="none" w:sz="0" w:space="0" w:color="auto"/>
        <w:left w:val="none" w:sz="0" w:space="0" w:color="auto"/>
        <w:bottom w:val="none" w:sz="0" w:space="0" w:color="auto"/>
        <w:right w:val="none" w:sz="0" w:space="0" w:color="auto"/>
      </w:divBdr>
    </w:div>
    <w:div w:id="1215584371">
      <w:bodyDiv w:val="1"/>
      <w:marLeft w:val="0"/>
      <w:marRight w:val="0"/>
      <w:marTop w:val="0"/>
      <w:marBottom w:val="0"/>
      <w:divBdr>
        <w:top w:val="none" w:sz="0" w:space="0" w:color="auto"/>
        <w:left w:val="none" w:sz="0" w:space="0" w:color="auto"/>
        <w:bottom w:val="none" w:sz="0" w:space="0" w:color="auto"/>
        <w:right w:val="none" w:sz="0" w:space="0" w:color="auto"/>
      </w:divBdr>
    </w:div>
    <w:div w:id="1215771545">
      <w:bodyDiv w:val="1"/>
      <w:marLeft w:val="0"/>
      <w:marRight w:val="0"/>
      <w:marTop w:val="0"/>
      <w:marBottom w:val="0"/>
      <w:divBdr>
        <w:top w:val="none" w:sz="0" w:space="0" w:color="auto"/>
        <w:left w:val="none" w:sz="0" w:space="0" w:color="auto"/>
        <w:bottom w:val="none" w:sz="0" w:space="0" w:color="auto"/>
        <w:right w:val="none" w:sz="0" w:space="0" w:color="auto"/>
      </w:divBdr>
    </w:div>
    <w:div w:id="1216040949">
      <w:bodyDiv w:val="1"/>
      <w:marLeft w:val="0"/>
      <w:marRight w:val="0"/>
      <w:marTop w:val="0"/>
      <w:marBottom w:val="0"/>
      <w:divBdr>
        <w:top w:val="none" w:sz="0" w:space="0" w:color="auto"/>
        <w:left w:val="none" w:sz="0" w:space="0" w:color="auto"/>
        <w:bottom w:val="none" w:sz="0" w:space="0" w:color="auto"/>
        <w:right w:val="none" w:sz="0" w:space="0" w:color="auto"/>
      </w:divBdr>
    </w:div>
    <w:div w:id="1216047174">
      <w:bodyDiv w:val="1"/>
      <w:marLeft w:val="0"/>
      <w:marRight w:val="0"/>
      <w:marTop w:val="0"/>
      <w:marBottom w:val="0"/>
      <w:divBdr>
        <w:top w:val="none" w:sz="0" w:space="0" w:color="auto"/>
        <w:left w:val="none" w:sz="0" w:space="0" w:color="auto"/>
        <w:bottom w:val="none" w:sz="0" w:space="0" w:color="auto"/>
        <w:right w:val="none" w:sz="0" w:space="0" w:color="auto"/>
      </w:divBdr>
    </w:div>
    <w:div w:id="1216117533">
      <w:bodyDiv w:val="1"/>
      <w:marLeft w:val="0"/>
      <w:marRight w:val="0"/>
      <w:marTop w:val="0"/>
      <w:marBottom w:val="0"/>
      <w:divBdr>
        <w:top w:val="none" w:sz="0" w:space="0" w:color="auto"/>
        <w:left w:val="none" w:sz="0" w:space="0" w:color="auto"/>
        <w:bottom w:val="none" w:sz="0" w:space="0" w:color="auto"/>
        <w:right w:val="none" w:sz="0" w:space="0" w:color="auto"/>
      </w:divBdr>
    </w:div>
    <w:div w:id="1216308321">
      <w:bodyDiv w:val="1"/>
      <w:marLeft w:val="0"/>
      <w:marRight w:val="0"/>
      <w:marTop w:val="0"/>
      <w:marBottom w:val="0"/>
      <w:divBdr>
        <w:top w:val="none" w:sz="0" w:space="0" w:color="auto"/>
        <w:left w:val="none" w:sz="0" w:space="0" w:color="auto"/>
        <w:bottom w:val="none" w:sz="0" w:space="0" w:color="auto"/>
        <w:right w:val="none" w:sz="0" w:space="0" w:color="auto"/>
      </w:divBdr>
    </w:div>
    <w:div w:id="1216504184">
      <w:bodyDiv w:val="1"/>
      <w:marLeft w:val="0"/>
      <w:marRight w:val="0"/>
      <w:marTop w:val="0"/>
      <w:marBottom w:val="0"/>
      <w:divBdr>
        <w:top w:val="none" w:sz="0" w:space="0" w:color="auto"/>
        <w:left w:val="none" w:sz="0" w:space="0" w:color="auto"/>
        <w:bottom w:val="none" w:sz="0" w:space="0" w:color="auto"/>
        <w:right w:val="none" w:sz="0" w:space="0" w:color="auto"/>
      </w:divBdr>
    </w:div>
    <w:div w:id="1216623228">
      <w:bodyDiv w:val="1"/>
      <w:marLeft w:val="0"/>
      <w:marRight w:val="0"/>
      <w:marTop w:val="0"/>
      <w:marBottom w:val="0"/>
      <w:divBdr>
        <w:top w:val="none" w:sz="0" w:space="0" w:color="auto"/>
        <w:left w:val="none" w:sz="0" w:space="0" w:color="auto"/>
        <w:bottom w:val="none" w:sz="0" w:space="0" w:color="auto"/>
        <w:right w:val="none" w:sz="0" w:space="0" w:color="auto"/>
      </w:divBdr>
    </w:div>
    <w:div w:id="1216624401">
      <w:bodyDiv w:val="1"/>
      <w:marLeft w:val="0"/>
      <w:marRight w:val="0"/>
      <w:marTop w:val="0"/>
      <w:marBottom w:val="0"/>
      <w:divBdr>
        <w:top w:val="none" w:sz="0" w:space="0" w:color="auto"/>
        <w:left w:val="none" w:sz="0" w:space="0" w:color="auto"/>
        <w:bottom w:val="none" w:sz="0" w:space="0" w:color="auto"/>
        <w:right w:val="none" w:sz="0" w:space="0" w:color="auto"/>
      </w:divBdr>
    </w:div>
    <w:div w:id="1216697784">
      <w:bodyDiv w:val="1"/>
      <w:marLeft w:val="0"/>
      <w:marRight w:val="0"/>
      <w:marTop w:val="0"/>
      <w:marBottom w:val="0"/>
      <w:divBdr>
        <w:top w:val="none" w:sz="0" w:space="0" w:color="auto"/>
        <w:left w:val="none" w:sz="0" w:space="0" w:color="auto"/>
        <w:bottom w:val="none" w:sz="0" w:space="0" w:color="auto"/>
        <w:right w:val="none" w:sz="0" w:space="0" w:color="auto"/>
      </w:divBdr>
    </w:div>
    <w:div w:id="1216742876">
      <w:bodyDiv w:val="1"/>
      <w:marLeft w:val="0"/>
      <w:marRight w:val="0"/>
      <w:marTop w:val="0"/>
      <w:marBottom w:val="0"/>
      <w:divBdr>
        <w:top w:val="none" w:sz="0" w:space="0" w:color="auto"/>
        <w:left w:val="none" w:sz="0" w:space="0" w:color="auto"/>
        <w:bottom w:val="none" w:sz="0" w:space="0" w:color="auto"/>
        <w:right w:val="none" w:sz="0" w:space="0" w:color="auto"/>
      </w:divBdr>
    </w:div>
    <w:div w:id="1216888441">
      <w:bodyDiv w:val="1"/>
      <w:marLeft w:val="0"/>
      <w:marRight w:val="0"/>
      <w:marTop w:val="0"/>
      <w:marBottom w:val="0"/>
      <w:divBdr>
        <w:top w:val="none" w:sz="0" w:space="0" w:color="auto"/>
        <w:left w:val="none" w:sz="0" w:space="0" w:color="auto"/>
        <w:bottom w:val="none" w:sz="0" w:space="0" w:color="auto"/>
        <w:right w:val="none" w:sz="0" w:space="0" w:color="auto"/>
      </w:divBdr>
    </w:div>
    <w:div w:id="1216895816">
      <w:bodyDiv w:val="1"/>
      <w:marLeft w:val="0"/>
      <w:marRight w:val="0"/>
      <w:marTop w:val="0"/>
      <w:marBottom w:val="0"/>
      <w:divBdr>
        <w:top w:val="none" w:sz="0" w:space="0" w:color="auto"/>
        <w:left w:val="none" w:sz="0" w:space="0" w:color="auto"/>
        <w:bottom w:val="none" w:sz="0" w:space="0" w:color="auto"/>
        <w:right w:val="none" w:sz="0" w:space="0" w:color="auto"/>
      </w:divBdr>
    </w:div>
    <w:div w:id="1217085279">
      <w:bodyDiv w:val="1"/>
      <w:marLeft w:val="0"/>
      <w:marRight w:val="0"/>
      <w:marTop w:val="0"/>
      <w:marBottom w:val="0"/>
      <w:divBdr>
        <w:top w:val="none" w:sz="0" w:space="0" w:color="auto"/>
        <w:left w:val="none" w:sz="0" w:space="0" w:color="auto"/>
        <w:bottom w:val="none" w:sz="0" w:space="0" w:color="auto"/>
        <w:right w:val="none" w:sz="0" w:space="0" w:color="auto"/>
      </w:divBdr>
    </w:div>
    <w:div w:id="1217086234">
      <w:bodyDiv w:val="1"/>
      <w:marLeft w:val="0"/>
      <w:marRight w:val="0"/>
      <w:marTop w:val="0"/>
      <w:marBottom w:val="0"/>
      <w:divBdr>
        <w:top w:val="none" w:sz="0" w:space="0" w:color="auto"/>
        <w:left w:val="none" w:sz="0" w:space="0" w:color="auto"/>
        <w:bottom w:val="none" w:sz="0" w:space="0" w:color="auto"/>
        <w:right w:val="none" w:sz="0" w:space="0" w:color="auto"/>
      </w:divBdr>
    </w:div>
    <w:div w:id="1217401697">
      <w:bodyDiv w:val="1"/>
      <w:marLeft w:val="0"/>
      <w:marRight w:val="0"/>
      <w:marTop w:val="0"/>
      <w:marBottom w:val="0"/>
      <w:divBdr>
        <w:top w:val="none" w:sz="0" w:space="0" w:color="auto"/>
        <w:left w:val="none" w:sz="0" w:space="0" w:color="auto"/>
        <w:bottom w:val="none" w:sz="0" w:space="0" w:color="auto"/>
        <w:right w:val="none" w:sz="0" w:space="0" w:color="auto"/>
      </w:divBdr>
    </w:div>
    <w:div w:id="1217472820">
      <w:bodyDiv w:val="1"/>
      <w:marLeft w:val="0"/>
      <w:marRight w:val="0"/>
      <w:marTop w:val="0"/>
      <w:marBottom w:val="0"/>
      <w:divBdr>
        <w:top w:val="none" w:sz="0" w:space="0" w:color="auto"/>
        <w:left w:val="none" w:sz="0" w:space="0" w:color="auto"/>
        <w:bottom w:val="none" w:sz="0" w:space="0" w:color="auto"/>
        <w:right w:val="none" w:sz="0" w:space="0" w:color="auto"/>
      </w:divBdr>
    </w:div>
    <w:div w:id="1217550860">
      <w:bodyDiv w:val="1"/>
      <w:marLeft w:val="0"/>
      <w:marRight w:val="0"/>
      <w:marTop w:val="0"/>
      <w:marBottom w:val="0"/>
      <w:divBdr>
        <w:top w:val="none" w:sz="0" w:space="0" w:color="auto"/>
        <w:left w:val="none" w:sz="0" w:space="0" w:color="auto"/>
        <w:bottom w:val="none" w:sz="0" w:space="0" w:color="auto"/>
        <w:right w:val="none" w:sz="0" w:space="0" w:color="auto"/>
      </w:divBdr>
    </w:div>
    <w:div w:id="1217661244">
      <w:bodyDiv w:val="1"/>
      <w:marLeft w:val="0"/>
      <w:marRight w:val="0"/>
      <w:marTop w:val="0"/>
      <w:marBottom w:val="0"/>
      <w:divBdr>
        <w:top w:val="none" w:sz="0" w:space="0" w:color="auto"/>
        <w:left w:val="none" w:sz="0" w:space="0" w:color="auto"/>
        <w:bottom w:val="none" w:sz="0" w:space="0" w:color="auto"/>
        <w:right w:val="none" w:sz="0" w:space="0" w:color="auto"/>
      </w:divBdr>
    </w:div>
    <w:div w:id="1217668281">
      <w:bodyDiv w:val="1"/>
      <w:marLeft w:val="0"/>
      <w:marRight w:val="0"/>
      <w:marTop w:val="0"/>
      <w:marBottom w:val="0"/>
      <w:divBdr>
        <w:top w:val="none" w:sz="0" w:space="0" w:color="auto"/>
        <w:left w:val="none" w:sz="0" w:space="0" w:color="auto"/>
        <w:bottom w:val="none" w:sz="0" w:space="0" w:color="auto"/>
        <w:right w:val="none" w:sz="0" w:space="0" w:color="auto"/>
      </w:divBdr>
    </w:div>
    <w:div w:id="1217745397">
      <w:bodyDiv w:val="1"/>
      <w:marLeft w:val="0"/>
      <w:marRight w:val="0"/>
      <w:marTop w:val="0"/>
      <w:marBottom w:val="0"/>
      <w:divBdr>
        <w:top w:val="none" w:sz="0" w:space="0" w:color="auto"/>
        <w:left w:val="none" w:sz="0" w:space="0" w:color="auto"/>
        <w:bottom w:val="none" w:sz="0" w:space="0" w:color="auto"/>
        <w:right w:val="none" w:sz="0" w:space="0" w:color="auto"/>
      </w:divBdr>
    </w:div>
    <w:div w:id="1217812756">
      <w:bodyDiv w:val="1"/>
      <w:marLeft w:val="0"/>
      <w:marRight w:val="0"/>
      <w:marTop w:val="0"/>
      <w:marBottom w:val="0"/>
      <w:divBdr>
        <w:top w:val="none" w:sz="0" w:space="0" w:color="auto"/>
        <w:left w:val="none" w:sz="0" w:space="0" w:color="auto"/>
        <w:bottom w:val="none" w:sz="0" w:space="0" w:color="auto"/>
        <w:right w:val="none" w:sz="0" w:space="0" w:color="auto"/>
      </w:divBdr>
    </w:div>
    <w:div w:id="1217813638">
      <w:bodyDiv w:val="1"/>
      <w:marLeft w:val="0"/>
      <w:marRight w:val="0"/>
      <w:marTop w:val="0"/>
      <w:marBottom w:val="0"/>
      <w:divBdr>
        <w:top w:val="none" w:sz="0" w:space="0" w:color="auto"/>
        <w:left w:val="none" w:sz="0" w:space="0" w:color="auto"/>
        <w:bottom w:val="none" w:sz="0" w:space="0" w:color="auto"/>
        <w:right w:val="none" w:sz="0" w:space="0" w:color="auto"/>
      </w:divBdr>
    </w:div>
    <w:div w:id="1217856349">
      <w:bodyDiv w:val="1"/>
      <w:marLeft w:val="0"/>
      <w:marRight w:val="0"/>
      <w:marTop w:val="0"/>
      <w:marBottom w:val="0"/>
      <w:divBdr>
        <w:top w:val="none" w:sz="0" w:space="0" w:color="auto"/>
        <w:left w:val="none" w:sz="0" w:space="0" w:color="auto"/>
        <w:bottom w:val="none" w:sz="0" w:space="0" w:color="auto"/>
        <w:right w:val="none" w:sz="0" w:space="0" w:color="auto"/>
      </w:divBdr>
    </w:div>
    <w:div w:id="1217932836">
      <w:bodyDiv w:val="1"/>
      <w:marLeft w:val="0"/>
      <w:marRight w:val="0"/>
      <w:marTop w:val="0"/>
      <w:marBottom w:val="0"/>
      <w:divBdr>
        <w:top w:val="none" w:sz="0" w:space="0" w:color="auto"/>
        <w:left w:val="none" w:sz="0" w:space="0" w:color="auto"/>
        <w:bottom w:val="none" w:sz="0" w:space="0" w:color="auto"/>
        <w:right w:val="none" w:sz="0" w:space="0" w:color="auto"/>
      </w:divBdr>
    </w:div>
    <w:div w:id="1218053750">
      <w:bodyDiv w:val="1"/>
      <w:marLeft w:val="0"/>
      <w:marRight w:val="0"/>
      <w:marTop w:val="0"/>
      <w:marBottom w:val="0"/>
      <w:divBdr>
        <w:top w:val="none" w:sz="0" w:space="0" w:color="auto"/>
        <w:left w:val="none" w:sz="0" w:space="0" w:color="auto"/>
        <w:bottom w:val="none" w:sz="0" w:space="0" w:color="auto"/>
        <w:right w:val="none" w:sz="0" w:space="0" w:color="auto"/>
      </w:divBdr>
    </w:div>
    <w:div w:id="1218204323">
      <w:bodyDiv w:val="1"/>
      <w:marLeft w:val="0"/>
      <w:marRight w:val="0"/>
      <w:marTop w:val="0"/>
      <w:marBottom w:val="0"/>
      <w:divBdr>
        <w:top w:val="none" w:sz="0" w:space="0" w:color="auto"/>
        <w:left w:val="none" w:sz="0" w:space="0" w:color="auto"/>
        <w:bottom w:val="none" w:sz="0" w:space="0" w:color="auto"/>
        <w:right w:val="none" w:sz="0" w:space="0" w:color="auto"/>
      </w:divBdr>
    </w:div>
    <w:div w:id="1218274860">
      <w:bodyDiv w:val="1"/>
      <w:marLeft w:val="0"/>
      <w:marRight w:val="0"/>
      <w:marTop w:val="0"/>
      <w:marBottom w:val="0"/>
      <w:divBdr>
        <w:top w:val="none" w:sz="0" w:space="0" w:color="auto"/>
        <w:left w:val="none" w:sz="0" w:space="0" w:color="auto"/>
        <w:bottom w:val="none" w:sz="0" w:space="0" w:color="auto"/>
        <w:right w:val="none" w:sz="0" w:space="0" w:color="auto"/>
      </w:divBdr>
    </w:div>
    <w:div w:id="1218276502">
      <w:bodyDiv w:val="1"/>
      <w:marLeft w:val="0"/>
      <w:marRight w:val="0"/>
      <w:marTop w:val="0"/>
      <w:marBottom w:val="0"/>
      <w:divBdr>
        <w:top w:val="none" w:sz="0" w:space="0" w:color="auto"/>
        <w:left w:val="none" w:sz="0" w:space="0" w:color="auto"/>
        <w:bottom w:val="none" w:sz="0" w:space="0" w:color="auto"/>
        <w:right w:val="none" w:sz="0" w:space="0" w:color="auto"/>
      </w:divBdr>
    </w:div>
    <w:div w:id="1218276728">
      <w:bodyDiv w:val="1"/>
      <w:marLeft w:val="0"/>
      <w:marRight w:val="0"/>
      <w:marTop w:val="0"/>
      <w:marBottom w:val="0"/>
      <w:divBdr>
        <w:top w:val="none" w:sz="0" w:space="0" w:color="auto"/>
        <w:left w:val="none" w:sz="0" w:space="0" w:color="auto"/>
        <w:bottom w:val="none" w:sz="0" w:space="0" w:color="auto"/>
        <w:right w:val="none" w:sz="0" w:space="0" w:color="auto"/>
      </w:divBdr>
    </w:div>
    <w:div w:id="1218317420">
      <w:bodyDiv w:val="1"/>
      <w:marLeft w:val="0"/>
      <w:marRight w:val="0"/>
      <w:marTop w:val="0"/>
      <w:marBottom w:val="0"/>
      <w:divBdr>
        <w:top w:val="none" w:sz="0" w:space="0" w:color="auto"/>
        <w:left w:val="none" w:sz="0" w:space="0" w:color="auto"/>
        <w:bottom w:val="none" w:sz="0" w:space="0" w:color="auto"/>
        <w:right w:val="none" w:sz="0" w:space="0" w:color="auto"/>
      </w:divBdr>
    </w:div>
    <w:div w:id="1218320161">
      <w:bodyDiv w:val="1"/>
      <w:marLeft w:val="0"/>
      <w:marRight w:val="0"/>
      <w:marTop w:val="0"/>
      <w:marBottom w:val="0"/>
      <w:divBdr>
        <w:top w:val="none" w:sz="0" w:space="0" w:color="auto"/>
        <w:left w:val="none" w:sz="0" w:space="0" w:color="auto"/>
        <w:bottom w:val="none" w:sz="0" w:space="0" w:color="auto"/>
        <w:right w:val="none" w:sz="0" w:space="0" w:color="auto"/>
      </w:divBdr>
    </w:div>
    <w:div w:id="1218320214">
      <w:bodyDiv w:val="1"/>
      <w:marLeft w:val="0"/>
      <w:marRight w:val="0"/>
      <w:marTop w:val="0"/>
      <w:marBottom w:val="0"/>
      <w:divBdr>
        <w:top w:val="none" w:sz="0" w:space="0" w:color="auto"/>
        <w:left w:val="none" w:sz="0" w:space="0" w:color="auto"/>
        <w:bottom w:val="none" w:sz="0" w:space="0" w:color="auto"/>
        <w:right w:val="none" w:sz="0" w:space="0" w:color="auto"/>
      </w:divBdr>
    </w:div>
    <w:div w:id="1218661646">
      <w:bodyDiv w:val="1"/>
      <w:marLeft w:val="0"/>
      <w:marRight w:val="0"/>
      <w:marTop w:val="0"/>
      <w:marBottom w:val="0"/>
      <w:divBdr>
        <w:top w:val="none" w:sz="0" w:space="0" w:color="auto"/>
        <w:left w:val="none" w:sz="0" w:space="0" w:color="auto"/>
        <w:bottom w:val="none" w:sz="0" w:space="0" w:color="auto"/>
        <w:right w:val="none" w:sz="0" w:space="0" w:color="auto"/>
      </w:divBdr>
    </w:div>
    <w:div w:id="1218710149">
      <w:bodyDiv w:val="1"/>
      <w:marLeft w:val="0"/>
      <w:marRight w:val="0"/>
      <w:marTop w:val="0"/>
      <w:marBottom w:val="0"/>
      <w:divBdr>
        <w:top w:val="none" w:sz="0" w:space="0" w:color="auto"/>
        <w:left w:val="none" w:sz="0" w:space="0" w:color="auto"/>
        <w:bottom w:val="none" w:sz="0" w:space="0" w:color="auto"/>
        <w:right w:val="none" w:sz="0" w:space="0" w:color="auto"/>
      </w:divBdr>
    </w:div>
    <w:div w:id="1218857525">
      <w:bodyDiv w:val="1"/>
      <w:marLeft w:val="0"/>
      <w:marRight w:val="0"/>
      <w:marTop w:val="0"/>
      <w:marBottom w:val="0"/>
      <w:divBdr>
        <w:top w:val="none" w:sz="0" w:space="0" w:color="auto"/>
        <w:left w:val="none" w:sz="0" w:space="0" w:color="auto"/>
        <w:bottom w:val="none" w:sz="0" w:space="0" w:color="auto"/>
        <w:right w:val="none" w:sz="0" w:space="0" w:color="auto"/>
      </w:divBdr>
    </w:div>
    <w:div w:id="1219131564">
      <w:bodyDiv w:val="1"/>
      <w:marLeft w:val="0"/>
      <w:marRight w:val="0"/>
      <w:marTop w:val="0"/>
      <w:marBottom w:val="0"/>
      <w:divBdr>
        <w:top w:val="none" w:sz="0" w:space="0" w:color="auto"/>
        <w:left w:val="none" w:sz="0" w:space="0" w:color="auto"/>
        <w:bottom w:val="none" w:sz="0" w:space="0" w:color="auto"/>
        <w:right w:val="none" w:sz="0" w:space="0" w:color="auto"/>
      </w:divBdr>
    </w:div>
    <w:div w:id="1219173219">
      <w:bodyDiv w:val="1"/>
      <w:marLeft w:val="0"/>
      <w:marRight w:val="0"/>
      <w:marTop w:val="0"/>
      <w:marBottom w:val="0"/>
      <w:divBdr>
        <w:top w:val="none" w:sz="0" w:space="0" w:color="auto"/>
        <w:left w:val="none" w:sz="0" w:space="0" w:color="auto"/>
        <w:bottom w:val="none" w:sz="0" w:space="0" w:color="auto"/>
        <w:right w:val="none" w:sz="0" w:space="0" w:color="auto"/>
      </w:divBdr>
    </w:div>
    <w:div w:id="1219244885">
      <w:bodyDiv w:val="1"/>
      <w:marLeft w:val="0"/>
      <w:marRight w:val="0"/>
      <w:marTop w:val="0"/>
      <w:marBottom w:val="0"/>
      <w:divBdr>
        <w:top w:val="none" w:sz="0" w:space="0" w:color="auto"/>
        <w:left w:val="none" w:sz="0" w:space="0" w:color="auto"/>
        <w:bottom w:val="none" w:sz="0" w:space="0" w:color="auto"/>
        <w:right w:val="none" w:sz="0" w:space="0" w:color="auto"/>
      </w:divBdr>
    </w:div>
    <w:div w:id="1219247564">
      <w:bodyDiv w:val="1"/>
      <w:marLeft w:val="0"/>
      <w:marRight w:val="0"/>
      <w:marTop w:val="0"/>
      <w:marBottom w:val="0"/>
      <w:divBdr>
        <w:top w:val="none" w:sz="0" w:space="0" w:color="auto"/>
        <w:left w:val="none" w:sz="0" w:space="0" w:color="auto"/>
        <w:bottom w:val="none" w:sz="0" w:space="0" w:color="auto"/>
        <w:right w:val="none" w:sz="0" w:space="0" w:color="auto"/>
      </w:divBdr>
    </w:div>
    <w:div w:id="1219318447">
      <w:bodyDiv w:val="1"/>
      <w:marLeft w:val="0"/>
      <w:marRight w:val="0"/>
      <w:marTop w:val="0"/>
      <w:marBottom w:val="0"/>
      <w:divBdr>
        <w:top w:val="none" w:sz="0" w:space="0" w:color="auto"/>
        <w:left w:val="none" w:sz="0" w:space="0" w:color="auto"/>
        <w:bottom w:val="none" w:sz="0" w:space="0" w:color="auto"/>
        <w:right w:val="none" w:sz="0" w:space="0" w:color="auto"/>
      </w:divBdr>
    </w:div>
    <w:div w:id="1219394288">
      <w:bodyDiv w:val="1"/>
      <w:marLeft w:val="0"/>
      <w:marRight w:val="0"/>
      <w:marTop w:val="0"/>
      <w:marBottom w:val="0"/>
      <w:divBdr>
        <w:top w:val="none" w:sz="0" w:space="0" w:color="auto"/>
        <w:left w:val="none" w:sz="0" w:space="0" w:color="auto"/>
        <w:bottom w:val="none" w:sz="0" w:space="0" w:color="auto"/>
        <w:right w:val="none" w:sz="0" w:space="0" w:color="auto"/>
      </w:divBdr>
    </w:div>
    <w:div w:id="1219437549">
      <w:bodyDiv w:val="1"/>
      <w:marLeft w:val="0"/>
      <w:marRight w:val="0"/>
      <w:marTop w:val="0"/>
      <w:marBottom w:val="0"/>
      <w:divBdr>
        <w:top w:val="none" w:sz="0" w:space="0" w:color="auto"/>
        <w:left w:val="none" w:sz="0" w:space="0" w:color="auto"/>
        <w:bottom w:val="none" w:sz="0" w:space="0" w:color="auto"/>
        <w:right w:val="none" w:sz="0" w:space="0" w:color="auto"/>
      </w:divBdr>
    </w:div>
    <w:div w:id="1219440027">
      <w:bodyDiv w:val="1"/>
      <w:marLeft w:val="0"/>
      <w:marRight w:val="0"/>
      <w:marTop w:val="0"/>
      <w:marBottom w:val="0"/>
      <w:divBdr>
        <w:top w:val="none" w:sz="0" w:space="0" w:color="auto"/>
        <w:left w:val="none" w:sz="0" w:space="0" w:color="auto"/>
        <w:bottom w:val="none" w:sz="0" w:space="0" w:color="auto"/>
        <w:right w:val="none" w:sz="0" w:space="0" w:color="auto"/>
      </w:divBdr>
    </w:div>
    <w:div w:id="1219513655">
      <w:bodyDiv w:val="1"/>
      <w:marLeft w:val="0"/>
      <w:marRight w:val="0"/>
      <w:marTop w:val="0"/>
      <w:marBottom w:val="0"/>
      <w:divBdr>
        <w:top w:val="none" w:sz="0" w:space="0" w:color="auto"/>
        <w:left w:val="none" w:sz="0" w:space="0" w:color="auto"/>
        <w:bottom w:val="none" w:sz="0" w:space="0" w:color="auto"/>
        <w:right w:val="none" w:sz="0" w:space="0" w:color="auto"/>
      </w:divBdr>
    </w:div>
    <w:div w:id="1219515299">
      <w:bodyDiv w:val="1"/>
      <w:marLeft w:val="0"/>
      <w:marRight w:val="0"/>
      <w:marTop w:val="0"/>
      <w:marBottom w:val="0"/>
      <w:divBdr>
        <w:top w:val="none" w:sz="0" w:space="0" w:color="auto"/>
        <w:left w:val="none" w:sz="0" w:space="0" w:color="auto"/>
        <w:bottom w:val="none" w:sz="0" w:space="0" w:color="auto"/>
        <w:right w:val="none" w:sz="0" w:space="0" w:color="auto"/>
      </w:divBdr>
    </w:div>
    <w:div w:id="1219585923">
      <w:bodyDiv w:val="1"/>
      <w:marLeft w:val="0"/>
      <w:marRight w:val="0"/>
      <w:marTop w:val="0"/>
      <w:marBottom w:val="0"/>
      <w:divBdr>
        <w:top w:val="none" w:sz="0" w:space="0" w:color="auto"/>
        <w:left w:val="none" w:sz="0" w:space="0" w:color="auto"/>
        <w:bottom w:val="none" w:sz="0" w:space="0" w:color="auto"/>
        <w:right w:val="none" w:sz="0" w:space="0" w:color="auto"/>
      </w:divBdr>
    </w:div>
    <w:div w:id="1219590484">
      <w:bodyDiv w:val="1"/>
      <w:marLeft w:val="0"/>
      <w:marRight w:val="0"/>
      <w:marTop w:val="0"/>
      <w:marBottom w:val="0"/>
      <w:divBdr>
        <w:top w:val="none" w:sz="0" w:space="0" w:color="auto"/>
        <w:left w:val="none" w:sz="0" w:space="0" w:color="auto"/>
        <w:bottom w:val="none" w:sz="0" w:space="0" w:color="auto"/>
        <w:right w:val="none" w:sz="0" w:space="0" w:color="auto"/>
      </w:divBdr>
    </w:div>
    <w:div w:id="1219780576">
      <w:bodyDiv w:val="1"/>
      <w:marLeft w:val="0"/>
      <w:marRight w:val="0"/>
      <w:marTop w:val="0"/>
      <w:marBottom w:val="0"/>
      <w:divBdr>
        <w:top w:val="none" w:sz="0" w:space="0" w:color="auto"/>
        <w:left w:val="none" w:sz="0" w:space="0" w:color="auto"/>
        <w:bottom w:val="none" w:sz="0" w:space="0" w:color="auto"/>
        <w:right w:val="none" w:sz="0" w:space="0" w:color="auto"/>
      </w:divBdr>
    </w:div>
    <w:div w:id="1219783264">
      <w:bodyDiv w:val="1"/>
      <w:marLeft w:val="0"/>
      <w:marRight w:val="0"/>
      <w:marTop w:val="0"/>
      <w:marBottom w:val="0"/>
      <w:divBdr>
        <w:top w:val="none" w:sz="0" w:space="0" w:color="auto"/>
        <w:left w:val="none" w:sz="0" w:space="0" w:color="auto"/>
        <w:bottom w:val="none" w:sz="0" w:space="0" w:color="auto"/>
        <w:right w:val="none" w:sz="0" w:space="0" w:color="auto"/>
      </w:divBdr>
    </w:div>
    <w:div w:id="1219904820">
      <w:bodyDiv w:val="1"/>
      <w:marLeft w:val="0"/>
      <w:marRight w:val="0"/>
      <w:marTop w:val="0"/>
      <w:marBottom w:val="0"/>
      <w:divBdr>
        <w:top w:val="none" w:sz="0" w:space="0" w:color="auto"/>
        <w:left w:val="none" w:sz="0" w:space="0" w:color="auto"/>
        <w:bottom w:val="none" w:sz="0" w:space="0" w:color="auto"/>
        <w:right w:val="none" w:sz="0" w:space="0" w:color="auto"/>
      </w:divBdr>
    </w:div>
    <w:div w:id="1220046444">
      <w:bodyDiv w:val="1"/>
      <w:marLeft w:val="0"/>
      <w:marRight w:val="0"/>
      <w:marTop w:val="0"/>
      <w:marBottom w:val="0"/>
      <w:divBdr>
        <w:top w:val="none" w:sz="0" w:space="0" w:color="auto"/>
        <w:left w:val="none" w:sz="0" w:space="0" w:color="auto"/>
        <w:bottom w:val="none" w:sz="0" w:space="0" w:color="auto"/>
        <w:right w:val="none" w:sz="0" w:space="0" w:color="auto"/>
      </w:divBdr>
    </w:div>
    <w:div w:id="1220090096">
      <w:bodyDiv w:val="1"/>
      <w:marLeft w:val="0"/>
      <w:marRight w:val="0"/>
      <w:marTop w:val="0"/>
      <w:marBottom w:val="0"/>
      <w:divBdr>
        <w:top w:val="none" w:sz="0" w:space="0" w:color="auto"/>
        <w:left w:val="none" w:sz="0" w:space="0" w:color="auto"/>
        <w:bottom w:val="none" w:sz="0" w:space="0" w:color="auto"/>
        <w:right w:val="none" w:sz="0" w:space="0" w:color="auto"/>
      </w:divBdr>
    </w:div>
    <w:div w:id="1220093448">
      <w:bodyDiv w:val="1"/>
      <w:marLeft w:val="0"/>
      <w:marRight w:val="0"/>
      <w:marTop w:val="0"/>
      <w:marBottom w:val="0"/>
      <w:divBdr>
        <w:top w:val="none" w:sz="0" w:space="0" w:color="auto"/>
        <w:left w:val="none" w:sz="0" w:space="0" w:color="auto"/>
        <w:bottom w:val="none" w:sz="0" w:space="0" w:color="auto"/>
        <w:right w:val="none" w:sz="0" w:space="0" w:color="auto"/>
      </w:divBdr>
    </w:div>
    <w:div w:id="1220215020">
      <w:bodyDiv w:val="1"/>
      <w:marLeft w:val="0"/>
      <w:marRight w:val="0"/>
      <w:marTop w:val="0"/>
      <w:marBottom w:val="0"/>
      <w:divBdr>
        <w:top w:val="none" w:sz="0" w:space="0" w:color="auto"/>
        <w:left w:val="none" w:sz="0" w:space="0" w:color="auto"/>
        <w:bottom w:val="none" w:sz="0" w:space="0" w:color="auto"/>
        <w:right w:val="none" w:sz="0" w:space="0" w:color="auto"/>
      </w:divBdr>
    </w:div>
    <w:div w:id="1220286280">
      <w:bodyDiv w:val="1"/>
      <w:marLeft w:val="0"/>
      <w:marRight w:val="0"/>
      <w:marTop w:val="0"/>
      <w:marBottom w:val="0"/>
      <w:divBdr>
        <w:top w:val="none" w:sz="0" w:space="0" w:color="auto"/>
        <w:left w:val="none" w:sz="0" w:space="0" w:color="auto"/>
        <w:bottom w:val="none" w:sz="0" w:space="0" w:color="auto"/>
        <w:right w:val="none" w:sz="0" w:space="0" w:color="auto"/>
      </w:divBdr>
    </w:div>
    <w:div w:id="1220701300">
      <w:bodyDiv w:val="1"/>
      <w:marLeft w:val="0"/>
      <w:marRight w:val="0"/>
      <w:marTop w:val="0"/>
      <w:marBottom w:val="0"/>
      <w:divBdr>
        <w:top w:val="none" w:sz="0" w:space="0" w:color="auto"/>
        <w:left w:val="none" w:sz="0" w:space="0" w:color="auto"/>
        <w:bottom w:val="none" w:sz="0" w:space="0" w:color="auto"/>
        <w:right w:val="none" w:sz="0" w:space="0" w:color="auto"/>
      </w:divBdr>
    </w:div>
    <w:div w:id="1220744590">
      <w:bodyDiv w:val="1"/>
      <w:marLeft w:val="0"/>
      <w:marRight w:val="0"/>
      <w:marTop w:val="0"/>
      <w:marBottom w:val="0"/>
      <w:divBdr>
        <w:top w:val="none" w:sz="0" w:space="0" w:color="auto"/>
        <w:left w:val="none" w:sz="0" w:space="0" w:color="auto"/>
        <w:bottom w:val="none" w:sz="0" w:space="0" w:color="auto"/>
        <w:right w:val="none" w:sz="0" w:space="0" w:color="auto"/>
      </w:divBdr>
    </w:div>
    <w:div w:id="1220751868">
      <w:bodyDiv w:val="1"/>
      <w:marLeft w:val="0"/>
      <w:marRight w:val="0"/>
      <w:marTop w:val="0"/>
      <w:marBottom w:val="0"/>
      <w:divBdr>
        <w:top w:val="none" w:sz="0" w:space="0" w:color="auto"/>
        <w:left w:val="none" w:sz="0" w:space="0" w:color="auto"/>
        <w:bottom w:val="none" w:sz="0" w:space="0" w:color="auto"/>
        <w:right w:val="none" w:sz="0" w:space="0" w:color="auto"/>
      </w:divBdr>
    </w:div>
    <w:div w:id="1221206910">
      <w:bodyDiv w:val="1"/>
      <w:marLeft w:val="0"/>
      <w:marRight w:val="0"/>
      <w:marTop w:val="0"/>
      <w:marBottom w:val="0"/>
      <w:divBdr>
        <w:top w:val="none" w:sz="0" w:space="0" w:color="auto"/>
        <w:left w:val="none" w:sz="0" w:space="0" w:color="auto"/>
        <w:bottom w:val="none" w:sz="0" w:space="0" w:color="auto"/>
        <w:right w:val="none" w:sz="0" w:space="0" w:color="auto"/>
      </w:divBdr>
    </w:div>
    <w:div w:id="1221209409">
      <w:bodyDiv w:val="1"/>
      <w:marLeft w:val="0"/>
      <w:marRight w:val="0"/>
      <w:marTop w:val="0"/>
      <w:marBottom w:val="0"/>
      <w:divBdr>
        <w:top w:val="none" w:sz="0" w:space="0" w:color="auto"/>
        <w:left w:val="none" w:sz="0" w:space="0" w:color="auto"/>
        <w:bottom w:val="none" w:sz="0" w:space="0" w:color="auto"/>
        <w:right w:val="none" w:sz="0" w:space="0" w:color="auto"/>
      </w:divBdr>
    </w:div>
    <w:div w:id="1221288551">
      <w:bodyDiv w:val="1"/>
      <w:marLeft w:val="0"/>
      <w:marRight w:val="0"/>
      <w:marTop w:val="0"/>
      <w:marBottom w:val="0"/>
      <w:divBdr>
        <w:top w:val="none" w:sz="0" w:space="0" w:color="auto"/>
        <w:left w:val="none" w:sz="0" w:space="0" w:color="auto"/>
        <w:bottom w:val="none" w:sz="0" w:space="0" w:color="auto"/>
        <w:right w:val="none" w:sz="0" w:space="0" w:color="auto"/>
      </w:divBdr>
    </w:div>
    <w:div w:id="1221549658">
      <w:bodyDiv w:val="1"/>
      <w:marLeft w:val="0"/>
      <w:marRight w:val="0"/>
      <w:marTop w:val="0"/>
      <w:marBottom w:val="0"/>
      <w:divBdr>
        <w:top w:val="none" w:sz="0" w:space="0" w:color="auto"/>
        <w:left w:val="none" w:sz="0" w:space="0" w:color="auto"/>
        <w:bottom w:val="none" w:sz="0" w:space="0" w:color="auto"/>
        <w:right w:val="none" w:sz="0" w:space="0" w:color="auto"/>
      </w:divBdr>
    </w:div>
    <w:div w:id="1221601937">
      <w:bodyDiv w:val="1"/>
      <w:marLeft w:val="0"/>
      <w:marRight w:val="0"/>
      <w:marTop w:val="0"/>
      <w:marBottom w:val="0"/>
      <w:divBdr>
        <w:top w:val="none" w:sz="0" w:space="0" w:color="auto"/>
        <w:left w:val="none" w:sz="0" w:space="0" w:color="auto"/>
        <w:bottom w:val="none" w:sz="0" w:space="0" w:color="auto"/>
        <w:right w:val="none" w:sz="0" w:space="0" w:color="auto"/>
      </w:divBdr>
    </w:div>
    <w:div w:id="1221676717">
      <w:bodyDiv w:val="1"/>
      <w:marLeft w:val="0"/>
      <w:marRight w:val="0"/>
      <w:marTop w:val="0"/>
      <w:marBottom w:val="0"/>
      <w:divBdr>
        <w:top w:val="none" w:sz="0" w:space="0" w:color="auto"/>
        <w:left w:val="none" w:sz="0" w:space="0" w:color="auto"/>
        <w:bottom w:val="none" w:sz="0" w:space="0" w:color="auto"/>
        <w:right w:val="none" w:sz="0" w:space="0" w:color="auto"/>
      </w:divBdr>
    </w:div>
    <w:div w:id="1221746250">
      <w:bodyDiv w:val="1"/>
      <w:marLeft w:val="0"/>
      <w:marRight w:val="0"/>
      <w:marTop w:val="0"/>
      <w:marBottom w:val="0"/>
      <w:divBdr>
        <w:top w:val="none" w:sz="0" w:space="0" w:color="auto"/>
        <w:left w:val="none" w:sz="0" w:space="0" w:color="auto"/>
        <w:bottom w:val="none" w:sz="0" w:space="0" w:color="auto"/>
        <w:right w:val="none" w:sz="0" w:space="0" w:color="auto"/>
      </w:divBdr>
    </w:div>
    <w:div w:id="1221790391">
      <w:bodyDiv w:val="1"/>
      <w:marLeft w:val="0"/>
      <w:marRight w:val="0"/>
      <w:marTop w:val="0"/>
      <w:marBottom w:val="0"/>
      <w:divBdr>
        <w:top w:val="none" w:sz="0" w:space="0" w:color="auto"/>
        <w:left w:val="none" w:sz="0" w:space="0" w:color="auto"/>
        <w:bottom w:val="none" w:sz="0" w:space="0" w:color="auto"/>
        <w:right w:val="none" w:sz="0" w:space="0" w:color="auto"/>
      </w:divBdr>
    </w:div>
    <w:div w:id="1221869511">
      <w:bodyDiv w:val="1"/>
      <w:marLeft w:val="0"/>
      <w:marRight w:val="0"/>
      <w:marTop w:val="0"/>
      <w:marBottom w:val="0"/>
      <w:divBdr>
        <w:top w:val="none" w:sz="0" w:space="0" w:color="auto"/>
        <w:left w:val="none" w:sz="0" w:space="0" w:color="auto"/>
        <w:bottom w:val="none" w:sz="0" w:space="0" w:color="auto"/>
        <w:right w:val="none" w:sz="0" w:space="0" w:color="auto"/>
      </w:divBdr>
    </w:div>
    <w:div w:id="1221944376">
      <w:bodyDiv w:val="1"/>
      <w:marLeft w:val="0"/>
      <w:marRight w:val="0"/>
      <w:marTop w:val="0"/>
      <w:marBottom w:val="0"/>
      <w:divBdr>
        <w:top w:val="none" w:sz="0" w:space="0" w:color="auto"/>
        <w:left w:val="none" w:sz="0" w:space="0" w:color="auto"/>
        <w:bottom w:val="none" w:sz="0" w:space="0" w:color="auto"/>
        <w:right w:val="none" w:sz="0" w:space="0" w:color="auto"/>
      </w:divBdr>
    </w:div>
    <w:div w:id="1222139190">
      <w:bodyDiv w:val="1"/>
      <w:marLeft w:val="0"/>
      <w:marRight w:val="0"/>
      <w:marTop w:val="0"/>
      <w:marBottom w:val="0"/>
      <w:divBdr>
        <w:top w:val="none" w:sz="0" w:space="0" w:color="auto"/>
        <w:left w:val="none" w:sz="0" w:space="0" w:color="auto"/>
        <w:bottom w:val="none" w:sz="0" w:space="0" w:color="auto"/>
        <w:right w:val="none" w:sz="0" w:space="0" w:color="auto"/>
      </w:divBdr>
    </w:div>
    <w:div w:id="1222254692">
      <w:bodyDiv w:val="1"/>
      <w:marLeft w:val="0"/>
      <w:marRight w:val="0"/>
      <w:marTop w:val="0"/>
      <w:marBottom w:val="0"/>
      <w:divBdr>
        <w:top w:val="none" w:sz="0" w:space="0" w:color="auto"/>
        <w:left w:val="none" w:sz="0" w:space="0" w:color="auto"/>
        <w:bottom w:val="none" w:sz="0" w:space="0" w:color="auto"/>
        <w:right w:val="none" w:sz="0" w:space="0" w:color="auto"/>
      </w:divBdr>
    </w:div>
    <w:div w:id="1222402160">
      <w:bodyDiv w:val="1"/>
      <w:marLeft w:val="0"/>
      <w:marRight w:val="0"/>
      <w:marTop w:val="0"/>
      <w:marBottom w:val="0"/>
      <w:divBdr>
        <w:top w:val="none" w:sz="0" w:space="0" w:color="auto"/>
        <w:left w:val="none" w:sz="0" w:space="0" w:color="auto"/>
        <w:bottom w:val="none" w:sz="0" w:space="0" w:color="auto"/>
        <w:right w:val="none" w:sz="0" w:space="0" w:color="auto"/>
      </w:divBdr>
    </w:div>
    <w:div w:id="1222525613">
      <w:bodyDiv w:val="1"/>
      <w:marLeft w:val="0"/>
      <w:marRight w:val="0"/>
      <w:marTop w:val="0"/>
      <w:marBottom w:val="0"/>
      <w:divBdr>
        <w:top w:val="none" w:sz="0" w:space="0" w:color="auto"/>
        <w:left w:val="none" w:sz="0" w:space="0" w:color="auto"/>
        <w:bottom w:val="none" w:sz="0" w:space="0" w:color="auto"/>
        <w:right w:val="none" w:sz="0" w:space="0" w:color="auto"/>
      </w:divBdr>
    </w:div>
    <w:div w:id="1222594933">
      <w:bodyDiv w:val="1"/>
      <w:marLeft w:val="0"/>
      <w:marRight w:val="0"/>
      <w:marTop w:val="0"/>
      <w:marBottom w:val="0"/>
      <w:divBdr>
        <w:top w:val="none" w:sz="0" w:space="0" w:color="auto"/>
        <w:left w:val="none" w:sz="0" w:space="0" w:color="auto"/>
        <w:bottom w:val="none" w:sz="0" w:space="0" w:color="auto"/>
        <w:right w:val="none" w:sz="0" w:space="0" w:color="auto"/>
      </w:divBdr>
    </w:div>
    <w:div w:id="1222597078">
      <w:bodyDiv w:val="1"/>
      <w:marLeft w:val="0"/>
      <w:marRight w:val="0"/>
      <w:marTop w:val="0"/>
      <w:marBottom w:val="0"/>
      <w:divBdr>
        <w:top w:val="none" w:sz="0" w:space="0" w:color="auto"/>
        <w:left w:val="none" w:sz="0" w:space="0" w:color="auto"/>
        <w:bottom w:val="none" w:sz="0" w:space="0" w:color="auto"/>
        <w:right w:val="none" w:sz="0" w:space="0" w:color="auto"/>
      </w:divBdr>
    </w:div>
    <w:div w:id="1222789119">
      <w:bodyDiv w:val="1"/>
      <w:marLeft w:val="0"/>
      <w:marRight w:val="0"/>
      <w:marTop w:val="0"/>
      <w:marBottom w:val="0"/>
      <w:divBdr>
        <w:top w:val="none" w:sz="0" w:space="0" w:color="auto"/>
        <w:left w:val="none" w:sz="0" w:space="0" w:color="auto"/>
        <w:bottom w:val="none" w:sz="0" w:space="0" w:color="auto"/>
        <w:right w:val="none" w:sz="0" w:space="0" w:color="auto"/>
      </w:divBdr>
    </w:div>
    <w:div w:id="1223102393">
      <w:bodyDiv w:val="1"/>
      <w:marLeft w:val="0"/>
      <w:marRight w:val="0"/>
      <w:marTop w:val="0"/>
      <w:marBottom w:val="0"/>
      <w:divBdr>
        <w:top w:val="none" w:sz="0" w:space="0" w:color="auto"/>
        <w:left w:val="none" w:sz="0" w:space="0" w:color="auto"/>
        <w:bottom w:val="none" w:sz="0" w:space="0" w:color="auto"/>
        <w:right w:val="none" w:sz="0" w:space="0" w:color="auto"/>
      </w:divBdr>
    </w:div>
    <w:div w:id="1223174630">
      <w:bodyDiv w:val="1"/>
      <w:marLeft w:val="0"/>
      <w:marRight w:val="0"/>
      <w:marTop w:val="0"/>
      <w:marBottom w:val="0"/>
      <w:divBdr>
        <w:top w:val="none" w:sz="0" w:space="0" w:color="auto"/>
        <w:left w:val="none" w:sz="0" w:space="0" w:color="auto"/>
        <w:bottom w:val="none" w:sz="0" w:space="0" w:color="auto"/>
        <w:right w:val="none" w:sz="0" w:space="0" w:color="auto"/>
      </w:divBdr>
    </w:div>
    <w:div w:id="1223180530">
      <w:bodyDiv w:val="1"/>
      <w:marLeft w:val="0"/>
      <w:marRight w:val="0"/>
      <w:marTop w:val="0"/>
      <w:marBottom w:val="0"/>
      <w:divBdr>
        <w:top w:val="none" w:sz="0" w:space="0" w:color="auto"/>
        <w:left w:val="none" w:sz="0" w:space="0" w:color="auto"/>
        <w:bottom w:val="none" w:sz="0" w:space="0" w:color="auto"/>
        <w:right w:val="none" w:sz="0" w:space="0" w:color="auto"/>
      </w:divBdr>
    </w:div>
    <w:div w:id="1223249566">
      <w:bodyDiv w:val="1"/>
      <w:marLeft w:val="0"/>
      <w:marRight w:val="0"/>
      <w:marTop w:val="0"/>
      <w:marBottom w:val="0"/>
      <w:divBdr>
        <w:top w:val="none" w:sz="0" w:space="0" w:color="auto"/>
        <w:left w:val="none" w:sz="0" w:space="0" w:color="auto"/>
        <w:bottom w:val="none" w:sz="0" w:space="0" w:color="auto"/>
        <w:right w:val="none" w:sz="0" w:space="0" w:color="auto"/>
      </w:divBdr>
    </w:div>
    <w:div w:id="1223250534">
      <w:bodyDiv w:val="1"/>
      <w:marLeft w:val="0"/>
      <w:marRight w:val="0"/>
      <w:marTop w:val="0"/>
      <w:marBottom w:val="0"/>
      <w:divBdr>
        <w:top w:val="none" w:sz="0" w:space="0" w:color="auto"/>
        <w:left w:val="none" w:sz="0" w:space="0" w:color="auto"/>
        <w:bottom w:val="none" w:sz="0" w:space="0" w:color="auto"/>
        <w:right w:val="none" w:sz="0" w:space="0" w:color="auto"/>
      </w:divBdr>
    </w:div>
    <w:div w:id="1223251285">
      <w:bodyDiv w:val="1"/>
      <w:marLeft w:val="0"/>
      <w:marRight w:val="0"/>
      <w:marTop w:val="0"/>
      <w:marBottom w:val="0"/>
      <w:divBdr>
        <w:top w:val="none" w:sz="0" w:space="0" w:color="auto"/>
        <w:left w:val="none" w:sz="0" w:space="0" w:color="auto"/>
        <w:bottom w:val="none" w:sz="0" w:space="0" w:color="auto"/>
        <w:right w:val="none" w:sz="0" w:space="0" w:color="auto"/>
      </w:divBdr>
    </w:div>
    <w:div w:id="1223253301">
      <w:bodyDiv w:val="1"/>
      <w:marLeft w:val="0"/>
      <w:marRight w:val="0"/>
      <w:marTop w:val="0"/>
      <w:marBottom w:val="0"/>
      <w:divBdr>
        <w:top w:val="none" w:sz="0" w:space="0" w:color="auto"/>
        <w:left w:val="none" w:sz="0" w:space="0" w:color="auto"/>
        <w:bottom w:val="none" w:sz="0" w:space="0" w:color="auto"/>
        <w:right w:val="none" w:sz="0" w:space="0" w:color="auto"/>
      </w:divBdr>
    </w:div>
    <w:div w:id="1223324038">
      <w:bodyDiv w:val="1"/>
      <w:marLeft w:val="0"/>
      <w:marRight w:val="0"/>
      <w:marTop w:val="0"/>
      <w:marBottom w:val="0"/>
      <w:divBdr>
        <w:top w:val="none" w:sz="0" w:space="0" w:color="auto"/>
        <w:left w:val="none" w:sz="0" w:space="0" w:color="auto"/>
        <w:bottom w:val="none" w:sz="0" w:space="0" w:color="auto"/>
        <w:right w:val="none" w:sz="0" w:space="0" w:color="auto"/>
      </w:divBdr>
    </w:div>
    <w:div w:id="1223325826">
      <w:bodyDiv w:val="1"/>
      <w:marLeft w:val="0"/>
      <w:marRight w:val="0"/>
      <w:marTop w:val="0"/>
      <w:marBottom w:val="0"/>
      <w:divBdr>
        <w:top w:val="none" w:sz="0" w:space="0" w:color="auto"/>
        <w:left w:val="none" w:sz="0" w:space="0" w:color="auto"/>
        <w:bottom w:val="none" w:sz="0" w:space="0" w:color="auto"/>
        <w:right w:val="none" w:sz="0" w:space="0" w:color="auto"/>
      </w:divBdr>
    </w:div>
    <w:div w:id="1223364880">
      <w:bodyDiv w:val="1"/>
      <w:marLeft w:val="0"/>
      <w:marRight w:val="0"/>
      <w:marTop w:val="0"/>
      <w:marBottom w:val="0"/>
      <w:divBdr>
        <w:top w:val="none" w:sz="0" w:space="0" w:color="auto"/>
        <w:left w:val="none" w:sz="0" w:space="0" w:color="auto"/>
        <w:bottom w:val="none" w:sz="0" w:space="0" w:color="auto"/>
        <w:right w:val="none" w:sz="0" w:space="0" w:color="auto"/>
      </w:divBdr>
    </w:div>
    <w:div w:id="1223372594">
      <w:bodyDiv w:val="1"/>
      <w:marLeft w:val="0"/>
      <w:marRight w:val="0"/>
      <w:marTop w:val="0"/>
      <w:marBottom w:val="0"/>
      <w:divBdr>
        <w:top w:val="none" w:sz="0" w:space="0" w:color="auto"/>
        <w:left w:val="none" w:sz="0" w:space="0" w:color="auto"/>
        <w:bottom w:val="none" w:sz="0" w:space="0" w:color="auto"/>
        <w:right w:val="none" w:sz="0" w:space="0" w:color="auto"/>
      </w:divBdr>
    </w:div>
    <w:div w:id="1223520460">
      <w:bodyDiv w:val="1"/>
      <w:marLeft w:val="0"/>
      <w:marRight w:val="0"/>
      <w:marTop w:val="0"/>
      <w:marBottom w:val="0"/>
      <w:divBdr>
        <w:top w:val="none" w:sz="0" w:space="0" w:color="auto"/>
        <w:left w:val="none" w:sz="0" w:space="0" w:color="auto"/>
        <w:bottom w:val="none" w:sz="0" w:space="0" w:color="auto"/>
        <w:right w:val="none" w:sz="0" w:space="0" w:color="auto"/>
      </w:divBdr>
    </w:div>
    <w:div w:id="1223522423">
      <w:bodyDiv w:val="1"/>
      <w:marLeft w:val="0"/>
      <w:marRight w:val="0"/>
      <w:marTop w:val="0"/>
      <w:marBottom w:val="0"/>
      <w:divBdr>
        <w:top w:val="none" w:sz="0" w:space="0" w:color="auto"/>
        <w:left w:val="none" w:sz="0" w:space="0" w:color="auto"/>
        <w:bottom w:val="none" w:sz="0" w:space="0" w:color="auto"/>
        <w:right w:val="none" w:sz="0" w:space="0" w:color="auto"/>
      </w:divBdr>
    </w:div>
    <w:div w:id="1223636490">
      <w:bodyDiv w:val="1"/>
      <w:marLeft w:val="0"/>
      <w:marRight w:val="0"/>
      <w:marTop w:val="0"/>
      <w:marBottom w:val="0"/>
      <w:divBdr>
        <w:top w:val="none" w:sz="0" w:space="0" w:color="auto"/>
        <w:left w:val="none" w:sz="0" w:space="0" w:color="auto"/>
        <w:bottom w:val="none" w:sz="0" w:space="0" w:color="auto"/>
        <w:right w:val="none" w:sz="0" w:space="0" w:color="auto"/>
      </w:divBdr>
    </w:div>
    <w:div w:id="1223637573">
      <w:bodyDiv w:val="1"/>
      <w:marLeft w:val="0"/>
      <w:marRight w:val="0"/>
      <w:marTop w:val="0"/>
      <w:marBottom w:val="0"/>
      <w:divBdr>
        <w:top w:val="none" w:sz="0" w:space="0" w:color="auto"/>
        <w:left w:val="none" w:sz="0" w:space="0" w:color="auto"/>
        <w:bottom w:val="none" w:sz="0" w:space="0" w:color="auto"/>
        <w:right w:val="none" w:sz="0" w:space="0" w:color="auto"/>
      </w:divBdr>
    </w:div>
    <w:div w:id="1223715090">
      <w:bodyDiv w:val="1"/>
      <w:marLeft w:val="0"/>
      <w:marRight w:val="0"/>
      <w:marTop w:val="0"/>
      <w:marBottom w:val="0"/>
      <w:divBdr>
        <w:top w:val="none" w:sz="0" w:space="0" w:color="auto"/>
        <w:left w:val="none" w:sz="0" w:space="0" w:color="auto"/>
        <w:bottom w:val="none" w:sz="0" w:space="0" w:color="auto"/>
        <w:right w:val="none" w:sz="0" w:space="0" w:color="auto"/>
      </w:divBdr>
    </w:div>
    <w:div w:id="1223754082">
      <w:bodyDiv w:val="1"/>
      <w:marLeft w:val="0"/>
      <w:marRight w:val="0"/>
      <w:marTop w:val="0"/>
      <w:marBottom w:val="0"/>
      <w:divBdr>
        <w:top w:val="none" w:sz="0" w:space="0" w:color="auto"/>
        <w:left w:val="none" w:sz="0" w:space="0" w:color="auto"/>
        <w:bottom w:val="none" w:sz="0" w:space="0" w:color="auto"/>
        <w:right w:val="none" w:sz="0" w:space="0" w:color="auto"/>
      </w:divBdr>
    </w:div>
    <w:div w:id="1223756392">
      <w:bodyDiv w:val="1"/>
      <w:marLeft w:val="0"/>
      <w:marRight w:val="0"/>
      <w:marTop w:val="0"/>
      <w:marBottom w:val="0"/>
      <w:divBdr>
        <w:top w:val="none" w:sz="0" w:space="0" w:color="auto"/>
        <w:left w:val="none" w:sz="0" w:space="0" w:color="auto"/>
        <w:bottom w:val="none" w:sz="0" w:space="0" w:color="auto"/>
        <w:right w:val="none" w:sz="0" w:space="0" w:color="auto"/>
      </w:divBdr>
    </w:div>
    <w:div w:id="1223980435">
      <w:bodyDiv w:val="1"/>
      <w:marLeft w:val="0"/>
      <w:marRight w:val="0"/>
      <w:marTop w:val="0"/>
      <w:marBottom w:val="0"/>
      <w:divBdr>
        <w:top w:val="none" w:sz="0" w:space="0" w:color="auto"/>
        <w:left w:val="none" w:sz="0" w:space="0" w:color="auto"/>
        <w:bottom w:val="none" w:sz="0" w:space="0" w:color="auto"/>
        <w:right w:val="none" w:sz="0" w:space="0" w:color="auto"/>
      </w:divBdr>
    </w:div>
    <w:div w:id="1224022883">
      <w:bodyDiv w:val="1"/>
      <w:marLeft w:val="0"/>
      <w:marRight w:val="0"/>
      <w:marTop w:val="0"/>
      <w:marBottom w:val="0"/>
      <w:divBdr>
        <w:top w:val="none" w:sz="0" w:space="0" w:color="auto"/>
        <w:left w:val="none" w:sz="0" w:space="0" w:color="auto"/>
        <w:bottom w:val="none" w:sz="0" w:space="0" w:color="auto"/>
        <w:right w:val="none" w:sz="0" w:space="0" w:color="auto"/>
      </w:divBdr>
    </w:div>
    <w:div w:id="1224026768">
      <w:bodyDiv w:val="1"/>
      <w:marLeft w:val="0"/>
      <w:marRight w:val="0"/>
      <w:marTop w:val="0"/>
      <w:marBottom w:val="0"/>
      <w:divBdr>
        <w:top w:val="none" w:sz="0" w:space="0" w:color="auto"/>
        <w:left w:val="none" w:sz="0" w:space="0" w:color="auto"/>
        <w:bottom w:val="none" w:sz="0" w:space="0" w:color="auto"/>
        <w:right w:val="none" w:sz="0" w:space="0" w:color="auto"/>
      </w:divBdr>
    </w:div>
    <w:div w:id="1224097638">
      <w:bodyDiv w:val="1"/>
      <w:marLeft w:val="0"/>
      <w:marRight w:val="0"/>
      <w:marTop w:val="0"/>
      <w:marBottom w:val="0"/>
      <w:divBdr>
        <w:top w:val="none" w:sz="0" w:space="0" w:color="auto"/>
        <w:left w:val="none" w:sz="0" w:space="0" w:color="auto"/>
        <w:bottom w:val="none" w:sz="0" w:space="0" w:color="auto"/>
        <w:right w:val="none" w:sz="0" w:space="0" w:color="auto"/>
      </w:divBdr>
    </w:div>
    <w:div w:id="1224097682">
      <w:bodyDiv w:val="1"/>
      <w:marLeft w:val="0"/>
      <w:marRight w:val="0"/>
      <w:marTop w:val="0"/>
      <w:marBottom w:val="0"/>
      <w:divBdr>
        <w:top w:val="none" w:sz="0" w:space="0" w:color="auto"/>
        <w:left w:val="none" w:sz="0" w:space="0" w:color="auto"/>
        <w:bottom w:val="none" w:sz="0" w:space="0" w:color="auto"/>
        <w:right w:val="none" w:sz="0" w:space="0" w:color="auto"/>
      </w:divBdr>
    </w:div>
    <w:div w:id="1224102150">
      <w:bodyDiv w:val="1"/>
      <w:marLeft w:val="0"/>
      <w:marRight w:val="0"/>
      <w:marTop w:val="0"/>
      <w:marBottom w:val="0"/>
      <w:divBdr>
        <w:top w:val="none" w:sz="0" w:space="0" w:color="auto"/>
        <w:left w:val="none" w:sz="0" w:space="0" w:color="auto"/>
        <w:bottom w:val="none" w:sz="0" w:space="0" w:color="auto"/>
        <w:right w:val="none" w:sz="0" w:space="0" w:color="auto"/>
      </w:divBdr>
    </w:div>
    <w:div w:id="1224104070">
      <w:bodyDiv w:val="1"/>
      <w:marLeft w:val="0"/>
      <w:marRight w:val="0"/>
      <w:marTop w:val="0"/>
      <w:marBottom w:val="0"/>
      <w:divBdr>
        <w:top w:val="none" w:sz="0" w:space="0" w:color="auto"/>
        <w:left w:val="none" w:sz="0" w:space="0" w:color="auto"/>
        <w:bottom w:val="none" w:sz="0" w:space="0" w:color="auto"/>
        <w:right w:val="none" w:sz="0" w:space="0" w:color="auto"/>
      </w:divBdr>
    </w:div>
    <w:div w:id="1224173102">
      <w:bodyDiv w:val="1"/>
      <w:marLeft w:val="0"/>
      <w:marRight w:val="0"/>
      <w:marTop w:val="0"/>
      <w:marBottom w:val="0"/>
      <w:divBdr>
        <w:top w:val="none" w:sz="0" w:space="0" w:color="auto"/>
        <w:left w:val="none" w:sz="0" w:space="0" w:color="auto"/>
        <w:bottom w:val="none" w:sz="0" w:space="0" w:color="auto"/>
        <w:right w:val="none" w:sz="0" w:space="0" w:color="auto"/>
      </w:divBdr>
    </w:div>
    <w:div w:id="1224222495">
      <w:bodyDiv w:val="1"/>
      <w:marLeft w:val="0"/>
      <w:marRight w:val="0"/>
      <w:marTop w:val="0"/>
      <w:marBottom w:val="0"/>
      <w:divBdr>
        <w:top w:val="none" w:sz="0" w:space="0" w:color="auto"/>
        <w:left w:val="none" w:sz="0" w:space="0" w:color="auto"/>
        <w:bottom w:val="none" w:sz="0" w:space="0" w:color="auto"/>
        <w:right w:val="none" w:sz="0" w:space="0" w:color="auto"/>
      </w:divBdr>
    </w:div>
    <w:div w:id="1224410771">
      <w:bodyDiv w:val="1"/>
      <w:marLeft w:val="0"/>
      <w:marRight w:val="0"/>
      <w:marTop w:val="0"/>
      <w:marBottom w:val="0"/>
      <w:divBdr>
        <w:top w:val="none" w:sz="0" w:space="0" w:color="auto"/>
        <w:left w:val="none" w:sz="0" w:space="0" w:color="auto"/>
        <w:bottom w:val="none" w:sz="0" w:space="0" w:color="auto"/>
        <w:right w:val="none" w:sz="0" w:space="0" w:color="auto"/>
      </w:divBdr>
    </w:div>
    <w:div w:id="1224483464">
      <w:bodyDiv w:val="1"/>
      <w:marLeft w:val="0"/>
      <w:marRight w:val="0"/>
      <w:marTop w:val="0"/>
      <w:marBottom w:val="0"/>
      <w:divBdr>
        <w:top w:val="none" w:sz="0" w:space="0" w:color="auto"/>
        <w:left w:val="none" w:sz="0" w:space="0" w:color="auto"/>
        <w:bottom w:val="none" w:sz="0" w:space="0" w:color="auto"/>
        <w:right w:val="none" w:sz="0" w:space="0" w:color="auto"/>
      </w:divBdr>
    </w:div>
    <w:div w:id="1224486123">
      <w:bodyDiv w:val="1"/>
      <w:marLeft w:val="0"/>
      <w:marRight w:val="0"/>
      <w:marTop w:val="0"/>
      <w:marBottom w:val="0"/>
      <w:divBdr>
        <w:top w:val="none" w:sz="0" w:space="0" w:color="auto"/>
        <w:left w:val="none" w:sz="0" w:space="0" w:color="auto"/>
        <w:bottom w:val="none" w:sz="0" w:space="0" w:color="auto"/>
        <w:right w:val="none" w:sz="0" w:space="0" w:color="auto"/>
      </w:divBdr>
    </w:div>
    <w:div w:id="1224489980">
      <w:bodyDiv w:val="1"/>
      <w:marLeft w:val="0"/>
      <w:marRight w:val="0"/>
      <w:marTop w:val="0"/>
      <w:marBottom w:val="0"/>
      <w:divBdr>
        <w:top w:val="none" w:sz="0" w:space="0" w:color="auto"/>
        <w:left w:val="none" w:sz="0" w:space="0" w:color="auto"/>
        <w:bottom w:val="none" w:sz="0" w:space="0" w:color="auto"/>
        <w:right w:val="none" w:sz="0" w:space="0" w:color="auto"/>
      </w:divBdr>
    </w:div>
    <w:div w:id="1224490508">
      <w:bodyDiv w:val="1"/>
      <w:marLeft w:val="0"/>
      <w:marRight w:val="0"/>
      <w:marTop w:val="0"/>
      <w:marBottom w:val="0"/>
      <w:divBdr>
        <w:top w:val="none" w:sz="0" w:space="0" w:color="auto"/>
        <w:left w:val="none" w:sz="0" w:space="0" w:color="auto"/>
        <w:bottom w:val="none" w:sz="0" w:space="0" w:color="auto"/>
        <w:right w:val="none" w:sz="0" w:space="0" w:color="auto"/>
      </w:divBdr>
    </w:div>
    <w:div w:id="1224829648">
      <w:bodyDiv w:val="1"/>
      <w:marLeft w:val="0"/>
      <w:marRight w:val="0"/>
      <w:marTop w:val="0"/>
      <w:marBottom w:val="0"/>
      <w:divBdr>
        <w:top w:val="none" w:sz="0" w:space="0" w:color="auto"/>
        <w:left w:val="none" w:sz="0" w:space="0" w:color="auto"/>
        <w:bottom w:val="none" w:sz="0" w:space="0" w:color="auto"/>
        <w:right w:val="none" w:sz="0" w:space="0" w:color="auto"/>
      </w:divBdr>
    </w:div>
    <w:div w:id="1224951884">
      <w:bodyDiv w:val="1"/>
      <w:marLeft w:val="0"/>
      <w:marRight w:val="0"/>
      <w:marTop w:val="0"/>
      <w:marBottom w:val="0"/>
      <w:divBdr>
        <w:top w:val="none" w:sz="0" w:space="0" w:color="auto"/>
        <w:left w:val="none" w:sz="0" w:space="0" w:color="auto"/>
        <w:bottom w:val="none" w:sz="0" w:space="0" w:color="auto"/>
        <w:right w:val="none" w:sz="0" w:space="0" w:color="auto"/>
      </w:divBdr>
    </w:div>
    <w:div w:id="1225023007">
      <w:bodyDiv w:val="1"/>
      <w:marLeft w:val="0"/>
      <w:marRight w:val="0"/>
      <w:marTop w:val="0"/>
      <w:marBottom w:val="0"/>
      <w:divBdr>
        <w:top w:val="none" w:sz="0" w:space="0" w:color="auto"/>
        <w:left w:val="none" w:sz="0" w:space="0" w:color="auto"/>
        <w:bottom w:val="none" w:sz="0" w:space="0" w:color="auto"/>
        <w:right w:val="none" w:sz="0" w:space="0" w:color="auto"/>
      </w:divBdr>
    </w:div>
    <w:div w:id="1225025553">
      <w:bodyDiv w:val="1"/>
      <w:marLeft w:val="0"/>
      <w:marRight w:val="0"/>
      <w:marTop w:val="0"/>
      <w:marBottom w:val="0"/>
      <w:divBdr>
        <w:top w:val="none" w:sz="0" w:space="0" w:color="auto"/>
        <w:left w:val="none" w:sz="0" w:space="0" w:color="auto"/>
        <w:bottom w:val="none" w:sz="0" w:space="0" w:color="auto"/>
        <w:right w:val="none" w:sz="0" w:space="0" w:color="auto"/>
      </w:divBdr>
    </w:div>
    <w:div w:id="1225065469">
      <w:bodyDiv w:val="1"/>
      <w:marLeft w:val="0"/>
      <w:marRight w:val="0"/>
      <w:marTop w:val="0"/>
      <w:marBottom w:val="0"/>
      <w:divBdr>
        <w:top w:val="none" w:sz="0" w:space="0" w:color="auto"/>
        <w:left w:val="none" w:sz="0" w:space="0" w:color="auto"/>
        <w:bottom w:val="none" w:sz="0" w:space="0" w:color="auto"/>
        <w:right w:val="none" w:sz="0" w:space="0" w:color="auto"/>
      </w:divBdr>
    </w:div>
    <w:div w:id="1225139254">
      <w:bodyDiv w:val="1"/>
      <w:marLeft w:val="0"/>
      <w:marRight w:val="0"/>
      <w:marTop w:val="0"/>
      <w:marBottom w:val="0"/>
      <w:divBdr>
        <w:top w:val="none" w:sz="0" w:space="0" w:color="auto"/>
        <w:left w:val="none" w:sz="0" w:space="0" w:color="auto"/>
        <w:bottom w:val="none" w:sz="0" w:space="0" w:color="auto"/>
        <w:right w:val="none" w:sz="0" w:space="0" w:color="auto"/>
      </w:divBdr>
    </w:div>
    <w:div w:id="1225143852">
      <w:bodyDiv w:val="1"/>
      <w:marLeft w:val="0"/>
      <w:marRight w:val="0"/>
      <w:marTop w:val="0"/>
      <w:marBottom w:val="0"/>
      <w:divBdr>
        <w:top w:val="none" w:sz="0" w:space="0" w:color="auto"/>
        <w:left w:val="none" w:sz="0" w:space="0" w:color="auto"/>
        <w:bottom w:val="none" w:sz="0" w:space="0" w:color="auto"/>
        <w:right w:val="none" w:sz="0" w:space="0" w:color="auto"/>
      </w:divBdr>
    </w:div>
    <w:div w:id="1225214852">
      <w:bodyDiv w:val="1"/>
      <w:marLeft w:val="0"/>
      <w:marRight w:val="0"/>
      <w:marTop w:val="0"/>
      <w:marBottom w:val="0"/>
      <w:divBdr>
        <w:top w:val="none" w:sz="0" w:space="0" w:color="auto"/>
        <w:left w:val="none" w:sz="0" w:space="0" w:color="auto"/>
        <w:bottom w:val="none" w:sz="0" w:space="0" w:color="auto"/>
        <w:right w:val="none" w:sz="0" w:space="0" w:color="auto"/>
      </w:divBdr>
    </w:div>
    <w:div w:id="1225291842">
      <w:bodyDiv w:val="1"/>
      <w:marLeft w:val="0"/>
      <w:marRight w:val="0"/>
      <w:marTop w:val="0"/>
      <w:marBottom w:val="0"/>
      <w:divBdr>
        <w:top w:val="none" w:sz="0" w:space="0" w:color="auto"/>
        <w:left w:val="none" w:sz="0" w:space="0" w:color="auto"/>
        <w:bottom w:val="none" w:sz="0" w:space="0" w:color="auto"/>
        <w:right w:val="none" w:sz="0" w:space="0" w:color="auto"/>
      </w:divBdr>
    </w:div>
    <w:div w:id="1225293453">
      <w:bodyDiv w:val="1"/>
      <w:marLeft w:val="0"/>
      <w:marRight w:val="0"/>
      <w:marTop w:val="0"/>
      <w:marBottom w:val="0"/>
      <w:divBdr>
        <w:top w:val="none" w:sz="0" w:space="0" w:color="auto"/>
        <w:left w:val="none" w:sz="0" w:space="0" w:color="auto"/>
        <w:bottom w:val="none" w:sz="0" w:space="0" w:color="auto"/>
        <w:right w:val="none" w:sz="0" w:space="0" w:color="auto"/>
      </w:divBdr>
    </w:div>
    <w:div w:id="1225332123">
      <w:bodyDiv w:val="1"/>
      <w:marLeft w:val="0"/>
      <w:marRight w:val="0"/>
      <w:marTop w:val="0"/>
      <w:marBottom w:val="0"/>
      <w:divBdr>
        <w:top w:val="none" w:sz="0" w:space="0" w:color="auto"/>
        <w:left w:val="none" w:sz="0" w:space="0" w:color="auto"/>
        <w:bottom w:val="none" w:sz="0" w:space="0" w:color="auto"/>
        <w:right w:val="none" w:sz="0" w:space="0" w:color="auto"/>
      </w:divBdr>
    </w:div>
    <w:div w:id="1225339838">
      <w:bodyDiv w:val="1"/>
      <w:marLeft w:val="0"/>
      <w:marRight w:val="0"/>
      <w:marTop w:val="0"/>
      <w:marBottom w:val="0"/>
      <w:divBdr>
        <w:top w:val="none" w:sz="0" w:space="0" w:color="auto"/>
        <w:left w:val="none" w:sz="0" w:space="0" w:color="auto"/>
        <w:bottom w:val="none" w:sz="0" w:space="0" w:color="auto"/>
        <w:right w:val="none" w:sz="0" w:space="0" w:color="auto"/>
      </w:divBdr>
    </w:div>
    <w:div w:id="1225486569">
      <w:bodyDiv w:val="1"/>
      <w:marLeft w:val="0"/>
      <w:marRight w:val="0"/>
      <w:marTop w:val="0"/>
      <w:marBottom w:val="0"/>
      <w:divBdr>
        <w:top w:val="none" w:sz="0" w:space="0" w:color="auto"/>
        <w:left w:val="none" w:sz="0" w:space="0" w:color="auto"/>
        <w:bottom w:val="none" w:sz="0" w:space="0" w:color="auto"/>
        <w:right w:val="none" w:sz="0" w:space="0" w:color="auto"/>
      </w:divBdr>
    </w:div>
    <w:div w:id="1225527850">
      <w:bodyDiv w:val="1"/>
      <w:marLeft w:val="0"/>
      <w:marRight w:val="0"/>
      <w:marTop w:val="0"/>
      <w:marBottom w:val="0"/>
      <w:divBdr>
        <w:top w:val="none" w:sz="0" w:space="0" w:color="auto"/>
        <w:left w:val="none" w:sz="0" w:space="0" w:color="auto"/>
        <w:bottom w:val="none" w:sz="0" w:space="0" w:color="auto"/>
        <w:right w:val="none" w:sz="0" w:space="0" w:color="auto"/>
      </w:divBdr>
    </w:div>
    <w:div w:id="1225531717">
      <w:bodyDiv w:val="1"/>
      <w:marLeft w:val="0"/>
      <w:marRight w:val="0"/>
      <w:marTop w:val="0"/>
      <w:marBottom w:val="0"/>
      <w:divBdr>
        <w:top w:val="none" w:sz="0" w:space="0" w:color="auto"/>
        <w:left w:val="none" w:sz="0" w:space="0" w:color="auto"/>
        <w:bottom w:val="none" w:sz="0" w:space="0" w:color="auto"/>
        <w:right w:val="none" w:sz="0" w:space="0" w:color="auto"/>
      </w:divBdr>
    </w:div>
    <w:div w:id="1225678321">
      <w:bodyDiv w:val="1"/>
      <w:marLeft w:val="0"/>
      <w:marRight w:val="0"/>
      <w:marTop w:val="0"/>
      <w:marBottom w:val="0"/>
      <w:divBdr>
        <w:top w:val="none" w:sz="0" w:space="0" w:color="auto"/>
        <w:left w:val="none" w:sz="0" w:space="0" w:color="auto"/>
        <w:bottom w:val="none" w:sz="0" w:space="0" w:color="auto"/>
        <w:right w:val="none" w:sz="0" w:space="0" w:color="auto"/>
      </w:divBdr>
    </w:div>
    <w:div w:id="1225874974">
      <w:bodyDiv w:val="1"/>
      <w:marLeft w:val="0"/>
      <w:marRight w:val="0"/>
      <w:marTop w:val="0"/>
      <w:marBottom w:val="0"/>
      <w:divBdr>
        <w:top w:val="none" w:sz="0" w:space="0" w:color="auto"/>
        <w:left w:val="none" w:sz="0" w:space="0" w:color="auto"/>
        <w:bottom w:val="none" w:sz="0" w:space="0" w:color="auto"/>
        <w:right w:val="none" w:sz="0" w:space="0" w:color="auto"/>
      </w:divBdr>
    </w:div>
    <w:div w:id="1225947941">
      <w:bodyDiv w:val="1"/>
      <w:marLeft w:val="0"/>
      <w:marRight w:val="0"/>
      <w:marTop w:val="0"/>
      <w:marBottom w:val="0"/>
      <w:divBdr>
        <w:top w:val="none" w:sz="0" w:space="0" w:color="auto"/>
        <w:left w:val="none" w:sz="0" w:space="0" w:color="auto"/>
        <w:bottom w:val="none" w:sz="0" w:space="0" w:color="auto"/>
        <w:right w:val="none" w:sz="0" w:space="0" w:color="auto"/>
      </w:divBdr>
    </w:div>
    <w:div w:id="1225948308">
      <w:bodyDiv w:val="1"/>
      <w:marLeft w:val="0"/>
      <w:marRight w:val="0"/>
      <w:marTop w:val="0"/>
      <w:marBottom w:val="0"/>
      <w:divBdr>
        <w:top w:val="none" w:sz="0" w:space="0" w:color="auto"/>
        <w:left w:val="none" w:sz="0" w:space="0" w:color="auto"/>
        <w:bottom w:val="none" w:sz="0" w:space="0" w:color="auto"/>
        <w:right w:val="none" w:sz="0" w:space="0" w:color="auto"/>
      </w:divBdr>
    </w:div>
    <w:div w:id="1225988355">
      <w:bodyDiv w:val="1"/>
      <w:marLeft w:val="0"/>
      <w:marRight w:val="0"/>
      <w:marTop w:val="0"/>
      <w:marBottom w:val="0"/>
      <w:divBdr>
        <w:top w:val="none" w:sz="0" w:space="0" w:color="auto"/>
        <w:left w:val="none" w:sz="0" w:space="0" w:color="auto"/>
        <w:bottom w:val="none" w:sz="0" w:space="0" w:color="auto"/>
        <w:right w:val="none" w:sz="0" w:space="0" w:color="auto"/>
      </w:divBdr>
    </w:div>
    <w:div w:id="1225993245">
      <w:bodyDiv w:val="1"/>
      <w:marLeft w:val="0"/>
      <w:marRight w:val="0"/>
      <w:marTop w:val="0"/>
      <w:marBottom w:val="0"/>
      <w:divBdr>
        <w:top w:val="none" w:sz="0" w:space="0" w:color="auto"/>
        <w:left w:val="none" w:sz="0" w:space="0" w:color="auto"/>
        <w:bottom w:val="none" w:sz="0" w:space="0" w:color="auto"/>
        <w:right w:val="none" w:sz="0" w:space="0" w:color="auto"/>
      </w:divBdr>
    </w:div>
    <w:div w:id="1226061238">
      <w:bodyDiv w:val="1"/>
      <w:marLeft w:val="0"/>
      <w:marRight w:val="0"/>
      <w:marTop w:val="0"/>
      <w:marBottom w:val="0"/>
      <w:divBdr>
        <w:top w:val="none" w:sz="0" w:space="0" w:color="auto"/>
        <w:left w:val="none" w:sz="0" w:space="0" w:color="auto"/>
        <w:bottom w:val="none" w:sz="0" w:space="0" w:color="auto"/>
        <w:right w:val="none" w:sz="0" w:space="0" w:color="auto"/>
      </w:divBdr>
    </w:div>
    <w:div w:id="1226065270">
      <w:bodyDiv w:val="1"/>
      <w:marLeft w:val="0"/>
      <w:marRight w:val="0"/>
      <w:marTop w:val="0"/>
      <w:marBottom w:val="0"/>
      <w:divBdr>
        <w:top w:val="none" w:sz="0" w:space="0" w:color="auto"/>
        <w:left w:val="none" w:sz="0" w:space="0" w:color="auto"/>
        <w:bottom w:val="none" w:sz="0" w:space="0" w:color="auto"/>
        <w:right w:val="none" w:sz="0" w:space="0" w:color="auto"/>
      </w:divBdr>
    </w:div>
    <w:div w:id="1226113034">
      <w:bodyDiv w:val="1"/>
      <w:marLeft w:val="0"/>
      <w:marRight w:val="0"/>
      <w:marTop w:val="0"/>
      <w:marBottom w:val="0"/>
      <w:divBdr>
        <w:top w:val="none" w:sz="0" w:space="0" w:color="auto"/>
        <w:left w:val="none" w:sz="0" w:space="0" w:color="auto"/>
        <w:bottom w:val="none" w:sz="0" w:space="0" w:color="auto"/>
        <w:right w:val="none" w:sz="0" w:space="0" w:color="auto"/>
      </w:divBdr>
    </w:div>
    <w:div w:id="1226137989">
      <w:bodyDiv w:val="1"/>
      <w:marLeft w:val="0"/>
      <w:marRight w:val="0"/>
      <w:marTop w:val="0"/>
      <w:marBottom w:val="0"/>
      <w:divBdr>
        <w:top w:val="none" w:sz="0" w:space="0" w:color="auto"/>
        <w:left w:val="none" w:sz="0" w:space="0" w:color="auto"/>
        <w:bottom w:val="none" w:sz="0" w:space="0" w:color="auto"/>
        <w:right w:val="none" w:sz="0" w:space="0" w:color="auto"/>
      </w:divBdr>
    </w:div>
    <w:div w:id="1226139289">
      <w:bodyDiv w:val="1"/>
      <w:marLeft w:val="0"/>
      <w:marRight w:val="0"/>
      <w:marTop w:val="0"/>
      <w:marBottom w:val="0"/>
      <w:divBdr>
        <w:top w:val="none" w:sz="0" w:space="0" w:color="auto"/>
        <w:left w:val="none" w:sz="0" w:space="0" w:color="auto"/>
        <w:bottom w:val="none" w:sz="0" w:space="0" w:color="auto"/>
        <w:right w:val="none" w:sz="0" w:space="0" w:color="auto"/>
      </w:divBdr>
    </w:div>
    <w:div w:id="1226142182">
      <w:bodyDiv w:val="1"/>
      <w:marLeft w:val="0"/>
      <w:marRight w:val="0"/>
      <w:marTop w:val="0"/>
      <w:marBottom w:val="0"/>
      <w:divBdr>
        <w:top w:val="none" w:sz="0" w:space="0" w:color="auto"/>
        <w:left w:val="none" w:sz="0" w:space="0" w:color="auto"/>
        <w:bottom w:val="none" w:sz="0" w:space="0" w:color="auto"/>
        <w:right w:val="none" w:sz="0" w:space="0" w:color="auto"/>
      </w:divBdr>
    </w:div>
    <w:div w:id="1226184141">
      <w:bodyDiv w:val="1"/>
      <w:marLeft w:val="0"/>
      <w:marRight w:val="0"/>
      <w:marTop w:val="0"/>
      <w:marBottom w:val="0"/>
      <w:divBdr>
        <w:top w:val="none" w:sz="0" w:space="0" w:color="auto"/>
        <w:left w:val="none" w:sz="0" w:space="0" w:color="auto"/>
        <w:bottom w:val="none" w:sz="0" w:space="0" w:color="auto"/>
        <w:right w:val="none" w:sz="0" w:space="0" w:color="auto"/>
      </w:divBdr>
    </w:div>
    <w:div w:id="1226188627">
      <w:bodyDiv w:val="1"/>
      <w:marLeft w:val="0"/>
      <w:marRight w:val="0"/>
      <w:marTop w:val="0"/>
      <w:marBottom w:val="0"/>
      <w:divBdr>
        <w:top w:val="none" w:sz="0" w:space="0" w:color="auto"/>
        <w:left w:val="none" w:sz="0" w:space="0" w:color="auto"/>
        <w:bottom w:val="none" w:sz="0" w:space="0" w:color="auto"/>
        <w:right w:val="none" w:sz="0" w:space="0" w:color="auto"/>
      </w:divBdr>
    </w:div>
    <w:div w:id="1226261016">
      <w:bodyDiv w:val="1"/>
      <w:marLeft w:val="0"/>
      <w:marRight w:val="0"/>
      <w:marTop w:val="0"/>
      <w:marBottom w:val="0"/>
      <w:divBdr>
        <w:top w:val="none" w:sz="0" w:space="0" w:color="auto"/>
        <w:left w:val="none" w:sz="0" w:space="0" w:color="auto"/>
        <w:bottom w:val="none" w:sz="0" w:space="0" w:color="auto"/>
        <w:right w:val="none" w:sz="0" w:space="0" w:color="auto"/>
      </w:divBdr>
    </w:div>
    <w:div w:id="1226376780">
      <w:bodyDiv w:val="1"/>
      <w:marLeft w:val="0"/>
      <w:marRight w:val="0"/>
      <w:marTop w:val="0"/>
      <w:marBottom w:val="0"/>
      <w:divBdr>
        <w:top w:val="none" w:sz="0" w:space="0" w:color="auto"/>
        <w:left w:val="none" w:sz="0" w:space="0" w:color="auto"/>
        <w:bottom w:val="none" w:sz="0" w:space="0" w:color="auto"/>
        <w:right w:val="none" w:sz="0" w:space="0" w:color="auto"/>
      </w:divBdr>
    </w:div>
    <w:div w:id="1226407601">
      <w:bodyDiv w:val="1"/>
      <w:marLeft w:val="0"/>
      <w:marRight w:val="0"/>
      <w:marTop w:val="0"/>
      <w:marBottom w:val="0"/>
      <w:divBdr>
        <w:top w:val="none" w:sz="0" w:space="0" w:color="auto"/>
        <w:left w:val="none" w:sz="0" w:space="0" w:color="auto"/>
        <w:bottom w:val="none" w:sz="0" w:space="0" w:color="auto"/>
        <w:right w:val="none" w:sz="0" w:space="0" w:color="auto"/>
      </w:divBdr>
    </w:div>
    <w:div w:id="1226454366">
      <w:bodyDiv w:val="1"/>
      <w:marLeft w:val="0"/>
      <w:marRight w:val="0"/>
      <w:marTop w:val="0"/>
      <w:marBottom w:val="0"/>
      <w:divBdr>
        <w:top w:val="none" w:sz="0" w:space="0" w:color="auto"/>
        <w:left w:val="none" w:sz="0" w:space="0" w:color="auto"/>
        <w:bottom w:val="none" w:sz="0" w:space="0" w:color="auto"/>
        <w:right w:val="none" w:sz="0" w:space="0" w:color="auto"/>
      </w:divBdr>
    </w:div>
    <w:div w:id="1226572971">
      <w:bodyDiv w:val="1"/>
      <w:marLeft w:val="0"/>
      <w:marRight w:val="0"/>
      <w:marTop w:val="0"/>
      <w:marBottom w:val="0"/>
      <w:divBdr>
        <w:top w:val="none" w:sz="0" w:space="0" w:color="auto"/>
        <w:left w:val="none" w:sz="0" w:space="0" w:color="auto"/>
        <w:bottom w:val="none" w:sz="0" w:space="0" w:color="auto"/>
        <w:right w:val="none" w:sz="0" w:space="0" w:color="auto"/>
      </w:divBdr>
    </w:div>
    <w:div w:id="1226722182">
      <w:bodyDiv w:val="1"/>
      <w:marLeft w:val="0"/>
      <w:marRight w:val="0"/>
      <w:marTop w:val="0"/>
      <w:marBottom w:val="0"/>
      <w:divBdr>
        <w:top w:val="none" w:sz="0" w:space="0" w:color="auto"/>
        <w:left w:val="none" w:sz="0" w:space="0" w:color="auto"/>
        <w:bottom w:val="none" w:sz="0" w:space="0" w:color="auto"/>
        <w:right w:val="none" w:sz="0" w:space="0" w:color="auto"/>
      </w:divBdr>
    </w:div>
    <w:div w:id="1226768663">
      <w:bodyDiv w:val="1"/>
      <w:marLeft w:val="0"/>
      <w:marRight w:val="0"/>
      <w:marTop w:val="0"/>
      <w:marBottom w:val="0"/>
      <w:divBdr>
        <w:top w:val="none" w:sz="0" w:space="0" w:color="auto"/>
        <w:left w:val="none" w:sz="0" w:space="0" w:color="auto"/>
        <w:bottom w:val="none" w:sz="0" w:space="0" w:color="auto"/>
        <w:right w:val="none" w:sz="0" w:space="0" w:color="auto"/>
      </w:divBdr>
    </w:div>
    <w:div w:id="1226794207">
      <w:bodyDiv w:val="1"/>
      <w:marLeft w:val="0"/>
      <w:marRight w:val="0"/>
      <w:marTop w:val="0"/>
      <w:marBottom w:val="0"/>
      <w:divBdr>
        <w:top w:val="none" w:sz="0" w:space="0" w:color="auto"/>
        <w:left w:val="none" w:sz="0" w:space="0" w:color="auto"/>
        <w:bottom w:val="none" w:sz="0" w:space="0" w:color="auto"/>
        <w:right w:val="none" w:sz="0" w:space="0" w:color="auto"/>
      </w:divBdr>
    </w:div>
    <w:div w:id="1226835854">
      <w:bodyDiv w:val="1"/>
      <w:marLeft w:val="0"/>
      <w:marRight w:val="0"/>
      <w:marTop w:val="0"/>
      <w:marBottom w:val="0"/>
      <w:divBdr>
        <w:top w:val="none" w:sz="0" w:space="0" w:color="auto"/>
        <w:left w:val="none" w:sz="0" w:space="0" w:color="auto"/>
        <w:bottom w:val="none" w:sz="0" w:space="0" w:color="auto"/>
        <w:right w:val="none" w:sz="0" w:space="0" w:color="auto"/>
      </w:divBdr>
    </w:div>
    <w:div w:id="1226841482">
      <w:bodyDiv w:val="1"/>
      <w:marLeft w:val="0"/>
      <w:marRight w:val="0"/>
      <w:marTop w:val="0"/>
      <w:marBottom w:val="0"/>
      <w:divBdr>
        <w:top w:val="none" w:sz="0" w:space="0" w:color="auto"/>
        <w:left w:val="none" w:sz="0" w:space="0" w:color="auto"/>
        <w:bottom w:val="none" w:sz="0" w:space="0" w:color="auto"/>
        <w:right w:val="none" w:sz="0" w:space="0" w:color="auto"/>
      </w:divBdr>
    </w:div>
    <w:div w:id="1226910131">
      <w:bodyDiv w:val="1"/>
      <w:marLeft w:val="0"/>
      <w:marRight w:val="0"/>
      <w:marTop w:val="0"/>
      <w:marBottom w:val="0"/>
      <w:divBdr>
        <w:top w:val="none" w:sz="0" w:space="0" w:color="auto"/>
        <w:left w:val="none" w:sz="0" w:space="0" w:color="auto"/>
        <w:bottom w:val="none" w:sz="0" w:space="0" w:color="auto"/>
        <w:right w:val="none" w:sz="0" w:space="0" w:color="auto"/>
      </w:divBdr>
    </w:div>
    <w:div w:id="1227104295">
      <w:bodyDiv w:val="1"/>
      <w:marLeft w:val="0"/>
      <w:marRight w:val="0"/>
      <w:marTop w:val="0"/>
      <w:marBottom w:val="0"/>
      <w:divBdr>
        <w:top w:val="none" w:sz="0" w:space="0" w:color="auto"/>
        <w:left w:val="none" w:sz="0" w:space="0" w:color="auto"/>
        <w:bottom w:val="none" w:sz="0" w:space="0" w:color="auto"/>
        <w:right w:val="none" w:sz="0" w:space="0" w:color="auto"/>
      </w:divBdr>
    </w:div>
    <w:div w:id="1227106061">
      <w:bodyDiv w:val="1"/>
      <w:marLeft w:val="0"/>
      <w:marRight w:val="0"/>
      <w:marTop w:val="0"/>
      <w:marBottom w:val="0"/>
      <w:divBdr>
        <w:top w:val="none" w:sz="0" w:space="0" w:color="auto"/>
        <w:left w:val="none" w:sz="0" w:space="0" w:color="auto"/>
        <w:bottom w:val="none" w:sz="0" w:space="0" w:color="auto"/>
        <w:right w:val="none" w:sz="0" w:space="0" w:color="auto"/>
      </w:divBdr>
    </w:div>
    <w:div w:id="1227490714">
      <w:bodyDiv w:val="1"/>
      <w:marLeft w:val="0"/>
      <w:marRight w:val="0"/>
      <w:marTop w:val="0"/>
      <w:marBottom w:val="0"/>
      <w:divBdr>
        <w:top w:val="none" w:sz="0" w:space="0" w:color="auto"/>
        <w:left w:val="none" w:sz="0" w:space="0" w:color="auto"/>
        <w:bottom w:val="none" w:sz="0" w:space="0" w:color="auto"/>
        <w:right w:val="none" w:sz="0" w:space="0" w:color="auto"/>
      </w:divBdr>
    </w:div>
    <w:div w:id="1227640339">
      <w:bodyDiv w:val="1"/>
      <w:marLeft w:val="0"/>
      <w:marRight w:val="0"/>
      <w:marTop w:val="0"/>
      <w:marBottom w:val="0"/>
      <w:divBdr>
        <w:top w:val="none" w:sz="0" w:space="0" w:color="auto"/>
        <w:left w:val="none" w:sz="0" w:space="0" w:color="auto"/>
        <w:bottom w:val="none" w:sz="0" w:space="0" w:color="auto"/>
        <w:right w:val="none" w:sz="0" w:space="0" w:color="auto"/>
      </w:divBdr>
    </w:div>
    <w:div w:id="1227642215">
      <w:bodyDiv w:val="1"/>
      <w:marLeft w:val="0"/>
      <w:marRight w:val="0"/>
      <w:marTop w:val="0"/>
      <w:marBottom w:val="0"/>
      <w:divBdr>
        <w:top w:val="none" w:sz="0" w:space="0" w:color="auto"/>
        <w:left w:val="none" w:sz="0" w:space="0" w:color="auto"/>
        <w:bottom w:val="none" w:sz="0" w:space="0" w:color="auto"/>
        <w:right w:val="none" w:sz="0" w:space="0" w:color="auto"/>
      </w:divBdr>
    </w:div>
    <w:div w:id="1227690129">
      <w:bodyDiv w:val="1"/>
      <w:marLeft w:val="0"/>
      <w:marRight w:val="0"/>
      <w:marTop w:val="0"/>
      <w:marBottom w:val="0"/>
      <w:divBdr>
        <w:top w:val="none" w:sz="0" w:space="0" w:color="auto"/>
        <w:left w:val="none" w:sz="0" w:space="0" w:color="auto"/>
        <w:bottom w:val="none" w:sz="0" w:space="0" w:color="auto"/>
        <w:right w:val="none" w:sz="0" w:space="0" w:color="auto"/>
      </w:divBdr>
    </w:div>
    <w:div w:id="1227715737">
      <w:bodyDiv w:val="1"/>
      <w:marLeft w:val="0"/>
      <w:marRight w:val="0"/>
      <w:marTop w:val="0"/>
      <w:marBottom w:val="0"/>
      <w:divBdr>
        <w:top w:val="none" w:sz="0" w:space="0" w:color="auto"/>
        <w:left w:val="none" w:sz="0" w:space="0" w:color="auto"/>
        <w:bottom w:val="none" w:sz="0" w:space="0" w:color="auto"/>
        <w:right w:val="none" w:sz="0" w:space="0" w:color="auto"/>
      </w:divBdr>
    </w:div>
    <w:div w:id="1227763139">
      <w:bodyDiv w:val="1"/>
      <w:marLeft w:val="0"/>
      <w:marRight w:val="0"/>
      <w:marTop w:val="0"/>
      <w:marBottom w:val="0"/>
      <w:divBdr>
        <w:top w:val="none" w:sz="0" w:space="0" w:color="auto"/>
        <w:left w:val="none" w:sz="0" w:space="0" w:color="auto"/>
        <w:bottom w:val="none" w:sz="0" w:space="0" w:color="auto"/>
        <w:right w:val="none" w:sz="0" w:space="0" w:color="auto"/>
      </w:divBdr>
    </w:div>
    <w:div w:id="1227843263">
      <w:bodyDiv w:val="1"/>
      <w:marLeft w:val="0"/>
      <w:marRight w:val="0"/>
      <w:marTop w:val="0"/>
      <w:marBottom w:val="0"/>
      <w:divBdr>
        <w:top w:val="none" w:sz="0" w:space="0" w:color="auto"/>
        <w:left w:val="none" w:sz="0" w:space="0" w:color="auto"/>
        <w:bottom w:val="none" w:sz="0" w:space="0" w:color="auto"/>
        <w:right w:val="none" w:sz="0" w:space="0" w:color="auto"/>
      </w:divBdr>
    </w:div>
    <w:div w:id="1227911628">
      <w:bodyDiv w:val="1"/>
      <w:marLeft w:val="0"/>
      <w:marRight w:val="0"/>
      <w:marTop w:val="0"/>
      <w:marBottom w:val="0"/>
      <w:divBdr>
        <w:top w:val="none" w:sz="0" w:space="0" w:color="auto"/>
        <w:left w:val="none" w:sz="0" w:space="0" w:color="auto"/>
        <w:bottom w:val="none" w:sz="0" w:space="0" w:color="auto"/>
        <w:right w:val="none" w:sz="0" w:space="0" w:color="auto"/>
      </w:divBdr>
    </w:div>
    <w:div w:id="1227952245">
      <w:bodyDiv w:val="1"/>
      <w:marLeft w:val="0"/>
      <w:marRight w:val="0"/>
      <w:marTop w:val="0"/>
      <w:marBottom w:val="0"/>
      <w:divBdr>
        <w:top w:val="none" w:sz="0" w:space="0" w:color="auto"/>
        <w:left w:val="none" w:sz="0" w:space="0" w:color="auto"/>
        <w:bottom w:val="none" w:sz="0" w:space="0" w:color="auto"/>
        <w:right w:val="none" w:sz="0" w:space="0" w:color="auto"/>
      </w:divBdr>
    </w:div>
    <w:div w:id="1227953728">
      <w:bodyDiv w:val="1"/>
      <w:marLeft w:val="0"/>
      <w:marRight w:val="0"/>
      <w:marTop w:val="0"/>
      <w:marBottom w:val="0"/>
      <w:divBdr>
        <w:top w:val="none" w:sz="0" w:space="0" w:color="auto"/>
        <w:left w:val="none" w:sz="0" w:space="0" w:color="auto"/>
        <w:bottom w:val="none" w:sz="0" w:space="0" w:color="auto"/>
        <w:right w:val="none" w:sz="0" w:space="0" w:color="auto"/>
      </w:divBdr>
    </w:div>
    <w:div w:id="1227956160">
      <w:bodyDiv w:val="1"/>
      <w:marLeft w:val="0"/>
      <w:marRight w:val="0"/>
      <w:marTop w:val="0"/>
      <w:marBottom w:val="0"/>
      <w:divBdr>
        <w:top w:val="none" w:sz="0" w:space="0" w:color="auto"/>
        <w:left w:val="none" w:sz="0" w:space="0" w:color="auto"/>
        <w:bottom w:val="none" w:sz="0" w:space="0" w:color="auto"/>
        <w:right w:val="none" w:sz="0" w:space="0" w:color="auto"/>
      </w:divBdr>
    </w:div>
    <w:div w:id="1228033180">
      <w:bodyDiv w:val="1"/>
      <w:marLeft w:val="0"/>
      <w:marRight w:val="0"/>
      <w:marTop w:val="0"/>
      <w:marBottom w:val="0"/>
      <w:divBdr>
        <w:top w:val="none" w:sz="0" w:space="0" w:color="auto"/>
        <w:left w:val="none" w:sz="0" w:space="0" w:color="auto"/>
        <w:bottom w:val="none" w:sz="0" w:space="0" w:color="auto"/>
        <w:right w:val="none" w:sz="0" w:space="0" w:color="auto"/>
      </w:divBdr>
    </w:div>
    <w:div w:id="1228036433">
      <w:bodyDiv w:val="1"/>
      <w:marLeft w:val="0"/>
      <w:marRight w:val="0"/>
      <w:marTop w:val="0"/>
      <w:marBottom w:val="0"/>
      <w:divBdr>
        <w:top w:val="none" w:sz="0" w:space="0" w:color="auto"/>
        <w:left w:val="none" w:sz="0" w:space="0" w:color="auto"/>
        <w:bottom w:val="none" w:sz="0" w:space="0" w:color="auto"/>
        <w:right w:val="none" w:sz="0" w:space="0" w:color="auto"/>
      </w:divBdr>
    </w:div>
    <w:div w:id="1228036631">
      <w:bodyDiv w:val="1"/>
      <w:marLeft w:val="0"/>
      <w:marRight w:val="0"/>
      <w:marTop w:val="0"/>
      <w:marBottom w:val="0"/>
      <w:divBdr>
        <w:top w:val="none" w:sz="0" w:space="0" w:color="auto"/>
        <w:left w:val="none" w:sz="0" w:space="0" w:color="auto"/>
        <w:bottom w:val="none" w:sz="0" w:space="0" w:color="auto"/>
        <w:right w:val="none" w:sz="0" w:space="0" w:color="auto"/>
      </w:divBdr>
    </w:div>
    <w:div w:id="1228226049">
      <w:bodyDiv w:val="1"/>
      <w:marLeft w:val="0"/>
      <w:marRight w:val="0"/>
      <w:marTop w:val="0"/>
      <w:marBottom w:val="0"/>
      <w:divBdr>
        <w:top w:val="none" w:sz="0" w:space="0" w:color="auto"/>
        <w:left w:val="none" w:sz="0" w:space="0" w:color="auto"/>
        <w:bottom w:val="none" w:sz="0" w:space="0" w:color="auto"/>
        <w:right w:val="none" w:sz="0" w:space="0" w:color="auto"/>
      </w:divBdr>
    </w:div>
    <w:div w:id="1228299919">
      <w:bodyDiv w:val="1"/>
      <w:marLeft w:val="0"/>
      <w:marRight w:val="0"/>
      <w:marTop w:val="0"/>
      <w:marBottom w:val="0"/>
      <w:divBdr>
        <w:top w:val="none" w:sz="0" w:space="0" w:color="auto"/>
        <w:left w:val="none" w:sz="0" w:space="0" w:color="auto"/>
        <w:bottom w:val="none" w:sz="0" w:space="0" w:color="auto"/>
        <w:right w:val="none" w:sz="0" w:space="0" w:color="auto"/>
      </w:divBdr>
    </w:div>
    <w:div w:id="1228343999">
      <w:bodyDiv w:val="1"/>
      <w:marLeft w:val="0"/>
      <w:marRight w:val="0"/>
      <w:marTop w:val="0"/>
      <w:marBottom w:val="0"/>
      <w:divBdr>
        <w:top w:val="none" w:sz="0" w:space="0" w:color="auto"/>
        <w:left w:val="none" w:sz="0" w:space="0" w:color="auto"/>
        <w:bottom w:val="none" w:sz="0" w:space="0" w:color="auto"/>
        <w:right w:val="none" w:sz="0" w:space="0" w:color="auto"/>
      </w:divBdr>
    </w:div>
    <w:div w:id="1228422049">
      <w:bodyDiv w:val="1"/>
      <w:marLeft w:val="0"/>
      <w:marRight w:val="0"/>
      <w:marTop w:val="0"/>
      <w:marBottom w:val="0"/>
      <w:divBdr>
        <w:top w:val="none" w:sz="0" w:space="0" w:color="auto"/>
        <w:left w:val="none" w:sz="0" w:space="0" w:color="auto"/>
        <w:bottom w:val="none" w:sz="0" w:space="0" w:color="auto"/>
        <w:right w:val="none" w:sz="0" w:space="0" w:color="auto"/>
      </w:divBdr>
    </w:div>
    <w:div w:id="1228422268">
      <w:bodyDiv w:val="1"/>
      <w:marLeft w:val="0"/>
      <w:marRight w:val="0"/>
      <w:marTop w:val="0"/>
      <w:marBottom w:val="0"/>
      <w:divBdr>
        <w:top w:val="none" w:sz="0" w:space="0" w:color="auto"/>
        <w:left w:val="none" w:sz="0" w:space="0" w:color="auto"/>
        <w:bottom w:val="none" w:sz="0" w:space="0" w:color="auto"/>
        <w:right w:val="none" w:sz="0" w:space="0" w:color="auto"/>
      </w:divBdr>
    </w:div>
    <w:div w:id="1228495145">
      <w:bodyDiv w:val="1"/>
      <w:marLeft w:val="0"/>
      <w:marRight w:val="0"/>
      <w:marTop w:val="0"/>
      <w:marBottom w:val="0"/>
      <w:divBdr>
        <w:top w:val="none" w:sz="0" w:space="0" w:color="auto"/>
        <w:left w:val="none" w:sz="0" w:space="0" w:color="auto"/>
        <w:bottom w:val="none" w:sz="0" w:space="0" w:color="auto"/>
        <w:right w:val="none" w:sz="0" w:space="0" w:color="auto"/>
      </w:divBdr>
    </w:div>
    <w:div w:id="1228690602">
      <w:bodyDiv w:val="1"/>
      <w:marLeft w:val="0"/>
      <w:marRight w:val="0"/>
      <w:marTop w:val="0"/>
      <w:marBottom w:val="0"/>
      <w:divBdr>
        <w:top w:val="none" w:sz="0" w:space="0" w:color="auto"/>
        <w:left w:val="none" w:sz="0" w:space="0" w:color="auto"/>
        <w:bottom w:val="none" w:sz="0" w:space="0" w:color="auto"/>
        <w:right w:val="none" w:sz="0" w:space="0" w:color="auto"/>
      </w:divBdr>
    </w:div>
    <w:div w:id="1228880530">
      <w:bodyDiv w:val="1"/>
      <w:marLeft w:val="0"/>
      <w:marRight w:val="0"/>
      <w:marTop w:val="0"/>
      <w:marBottom w:val="0"/>
      <w:divBdr>
        <w:top w:val="none" w:sz="0" w:space="0" w:color="auto"/>
        <w:left w:val="none" w:sz="0" w:space="0" w:color="auto"/>
        <w:bottom w:val="none" w:sz="0" w:space="0" w:color="auto"/>
        <w:right w:val="none" w:sz="0" w:space="0" w:color="auto"/>
      </w:divBdr>
    </w:div>
    <w:div w:id="1228996907">
      <w:bodyDiv w:val="1"/>
      <w:marLeft w:val="0"/>
      <w:marRight w:val="0"/>
      <w:marTop w:val="0"/>
      <w:marBottom w:val="0"/>
      <w:divBdr>
        <w:top w:val="none" w:sz="0" w:space="0" w:color="auto"/>
        <w:left w:val="none" w:sz="0" w:space="0" w:color="auto"/>
        <w:bottom w:val="none" w:sz="0" w:space="0" w:color="auto"/>
        <w:right w:val="none" w:sz="0" w:space="0" w:color="auto"/>
      </w:divBdr>
    </w:div>
    <w:div w:id="1229151816">
      <w:bodyDiv w:val="1"/>
      <w:marLeft w:val="0"/>
      <w:marRight w:val="0"/>
      <w:marTop w:val="0"/>
      <w:marBottom w:val="0"/>
      <w:divBdr>
        <w:top w:val="none" w:sz="0" w:space="0" w:color="auto"/>
        <w:left w:val="none" w:sz="0" w:space="0" w:color="auto"/>
        <w:bottom w:val="none" w:sz="0" w:space="0" w:color="auto"/>
        <w:right w:val="none" w:sz="0" w:space="0" w:color="auto"/>
      </w:divBdr>
    </w:div>
    <w:div w:id="1229343433">
      <w:bodyDiv w:val="1"/>
      <w:marLeft w:val="0"/>
      <w:marRight w:val="0"/>
      <w:marTop w:val="0"/>
      <w:marBottom w:val="0"/>
      <w:divBdr>
        <w:top w:val="none" w:sz="0" w:space="0" w:color="auto"/>
        <w:left w:val="none" w:sz="0" w:space="0" w:color="auto"/>
        <w:bottom w:val="none" w:sz="0" w:space="0" w:color="auto"/>
        <w:right w:val="none" w:sz="0" w:space="0" w:color="auto"/>
      </w:divBdr>
    </w:div>
    <w:div w:id="1229465123">
      <w:bodyDiv w:val="1"/>
      <w:marLeft w:val="0"/>
      <w:marRight w:val="0"/>
      <w:marTop w:val="0"/>
      <w:marBottom w:val="0"/>
      <w:divBdr>
        <w:top w:val="none" w:sz="0" w:space="0" w:color="auto"/>
        <w:left w:val="none" w:sz="0" w:space="0" w:color="auto"/>
        <w:bottom w:val="none" w:sz="0" w:space="0" w:color="auto"/>
        <w:right w:val="none" w:sz="0" w:space="0" w:color="auto"/>
      </w:divBdr>
    </w:div>
    <w:div w:id="1229530858">
      <w:bodyDiv w:val="1"/>
      <w:marLeft w:val="0"/>
      <w:marRight w:val="0"/>
      <w:marTop w:val="0"/>
      <w:marBottom w:val="0"/>
      <w:divBdr>
        <w:top w:val="none" w:sz="0" w:space="0" w:color="auto"/>
        <w:left w:val="none" w:sz="0" w:space="0" w:color="auto"/>
        <w:bottom w:val="none" w:sz="0" w:space="0" w:color="auto"/>
        <w:right w:val="none" w:sz="0" w:space="0" w:color="auto"/>
      </w:divBdr>
    </w:div>
    <w:div w:id="1229539110">
      <w:bodyDiv w:val="1"/>
      <w:marLeft w:val="0"/>
      <w:marRight w:val="0"/>
      <w:marTop w:val="0"/>
      <w:marBottom w:val="0"/>
      <w:divBdr>
        <w:top w:val="none" w:sz="0" w:space="0" w:color="auto"/>
        <w:left w:val="none" w:sz="0" w:space="0" w:color="auto"/>
        <w:bottom w:val="none" w:sz="0" w:space="0" w:color="auto"/>
        <w:right w:val="none" w:sz="0" w:space="0" w:color="auto"/>
      </w:divBdr>
    </w:div>
    <w:div w:id="1229609866">
      <w:bodyDiv w:val="1"/>
      <w:marLeft w:val="0"/>
      <w:marRight w:val="0"/>
      <w:marTop w:val="0"/>
      <w:marBottom w:val="0"/>
      <w:divBdr>
        <w:top w:val="none" w:sz="0" w:space="0" w:color="auto"/>
        <w:left w:val="none" w:sz="0" w:space="0" w:color="auto"/>
        <w:bottom w:val="none" w:sz="0" w:space="0" w:color="auto"/>
        <w:right w:val="none" w:sz="0" w:space="0" w:color="auto"/>
      </w:divBdr>
    </w:div>
    <w:div w:id="1229878563">
      <w:bodyDiv w:val="1"/>
      <w:marLeft w:val="0"/>
      <w:marRight w:val="0"/>
      <w:marTop w:val="0"/>
      <w:marBottom w:val="0"/>
      <w:divBdr>
        <w:top w:val="none" w:sz="0" w:space="0" w:color="auto"/>
        <w:left w:val="none" w:sz="0" w:space="0" w:color="auto"/>
        <w:bottom w:val="none" w:sz="0" w:space="0" w:color="auto"/>
        <w:right w:val="none" w:sz="0" w:space="0" w:color="auto"/>
      </w:divBdr>
    </w:div>
    <w:div w:id="1229923636">
      <w:bodyDiv w:val="1"/>
      <w:marLeft w:val="0"/>
      <w:marRight w:val="0"/>
      <w:marTop w:val="0"/>
      <w:marBottom w:val="0"/>
      <w:divBdr>
        <w:top w:val="none" w:sz="0" w:space="0" w:color="auto"/>
        <w:left w:val="none" w:sz="0" w:space="0" w:color="auto"/>
        <w:bottom w:val="none" w:sz="0" w:space="0" w:color="auto"/>
        <w:right w:val="none" w:sz="0" w:space="0" w:color="auto"/>
      </w:divBdr>
    </w:div>
    <w:div w:id="1230118982">
      <w:bodyDiv w:val="1"/>
      <w:marLeft w:val="0"/>
      <w:marRight w:val="0"/>
      <w:marTop w:val="0"/>
      <w:marBottom w:val="0"/>
      <w:divBdr>
        <w:top w:val="none" w:sz="0" w:space="0" w:color="auto"/>
        <w:left w:val="none" w:sz="0" w:space="0" w:color="auto"/>
        <w:bottom w:val="none" w:sz="0" w:space="0" w:color="auto"/>
        <w:right w:val="none" w:sz="0" w:space="0" w:color="auto"/>
      </w:divBdr>
    </w:div>
    <w:div w:id="1230265245">
      <w:bodyDiv w:val="1"/>
      <w:marLeft w:val="0"/>
      <w:marRight w:val="0"/>
      <w:marTop w:val="0"/>
      <w:marBottom w:val="0"/>
      <w:divBdr>
        <w:top w:val="none" w:sz="0" w:space="0" w:color="auto"/>
        <w:left w:val="none" w:sz="0" w:space="0" w:color="auto"/>
        <w:bottom w:val="none" w:sz="0" w:space="0" w:color="auto"/>
        <w:right w:val="none" w:sz="0" w:space="0" w:color="auto"/>
      </w:divBdr>
    </w:div>
    <w:div w:id="1230385155">
      <w:bodyDiv w:val="1"/>
      <w:marLeft w:val="0"/>
      <w:marRight w:val="0"/>
      <w:marTop w:val="0"/>
      <w:marBottom w:val="0"/>
      <w:divBdr>
        <w:top w:val="none" w:sz="0" w:space="0" w:color="auto"/>
        <w:left w:val="none" w:sz="0" w:space="0" w:color="auto"/>
        <w:bottom w:val="none" w:sz="0" w:space="0" w:color="auto"/>
        <w:right w:val="none" w:sz="0" w:space="0" w:color="auto"/>
      </w:divBdr>
    </w:div>
    <w:div w:id="1230459031">
      <w:bodyDiv w:val="1"/>
      <w:marLeft w:val="0"/>
      <w:marRight w:val="0"/>
      <w:marTop w:val="0"/>
      <w:marBottom w:val="0"/>
      <w:divBdr>
        <w:top w:val="none" w:sz="0" w:space="0" w:color="auto"/>
        <w:left w:val="none" w:sz="0" w:space="0" w:color="auto"/>
        <w:bottom w:val="none" w:sz="0" w:space="0" w:color="auto"/>
        <w:right w:val="none" w:sz="0" w:space="0" w:color="auto"/>
      </w:divBdr>
    </w:div>
    <w:div w:id="1230460975">
      <w:bodyDiv w:val="1"/>
      <w:marLeft w:val="0"/>
      <w:marRight w:val="0"/>
      <w:marTop w:val="0"/>
      <w:marBottom w:val="0"/>
      <w:divBdr>
        <w:top w:val="none" w:sz="0" w:space="0" w:color="auto"/>
        <w:left w:val="none" w:sz="0" w:space="0" w:color="auto"/>
        <w:bottom w:val="none" w:sz="0" w:space="0" w:color="auto"/>
        <w:right w:val="none" w:sz="0" w:space="0" w:color="auto"/>
      </w:divBdr>
    </w:div>
    <w:div w:id="1230654690">
      <w:bodyDiv w:val="1"/>
      <w:marLeft w:val="0"/>
      <w:marRight w:val="0"/>
      <w:marTop w:val="0"/>
      <w:marBottom w:val="0"/>
      <w:divBdr>
        <w:top w:val="none" w:sz="0" w:space="0" w:color="auto"/>
        <w:left w:val="none" w:sz="0" w:space="0" w:color="auto"/>
        <w:bottom w:val="none" w:sz="0" w:space="0" w:color="auto"/>
        <w:right w:val="none" w:sz="0" w:space="0" w:color="auto"/>
      </w:divBdr>
    </w:div>
    <w:div w:id="1230727146">
      <w:bodyDiv w:val="1"/>
      <w:marLeft w:val="0"/>
      <w:marRight w:val="0"/>
      <w:marTop w:val="0"/>
      <w:marBottom w:val="0"/>
      <w:divBdr>
        <w:top w:val="none" w:sz="0" w:space="0" w:color="auto"/>
        <w:left w:val="none" w:sz="0" w:space="0" w:color="auto"/>
        <w:bottom w:val="none" w:sz="0" w:space="0" w:color="auto"/>
        <w:right w:val="none" w:sz="0" w:space="0" w:color="auto"/>
      </w:divBdr>
    </w:div>
    <w:div w:id="1230843752">
      <w:bodyDiv w:val="1"/>
      <w:marLeft w:val="0"/>
      <w:marRight w:val="0"/>
      <w:marTop w:val="0"/>
      <w:marBottom w:val="0"/>
      <w:divBdr>
        <w:top w:val="none" w:sz="0" w:space="0" w:color="auto"/>
        <w:left w:val="none" w:sz="0" w:space="0" w:color="auto"/>
        <w:bottom w:val="none" w:sz="0" w:space="0" w:color="auto"/>
        <w:right w:val="none" w:sz="0" w:space="0" w:color="auto"/>
      </w:divBdr>
    </w:div>
    <w:div w:id="1230845399">
      <w:bodyDiv w:val="1"/>
      <w:marLeft w:val="0"/>
      <w:marRight w:val="0"/>
      <w:marTop w:val="0"/>
      <w:marBottom w:val="0"/>
      <w:divBdr>
        <w:top w:val="none" w:sz="0" w:space="0" w:color="auto"/>
        <w:left w:val="none" w:sz="0" w:space="0" w:color="auto"/>
        <w:bottom w:val="none" w:sz="0" w:space="0" w:color="auto"/>
        <w:right w:val="none" w:sz="0" w:space="0" w:color="auto"/>
      </w:divBdr>
    </w:div>
    <w:div w:id="1230919892">
      <w:bodyDiv w:val="1"/>
      <w:marLeft w:val="0"/>
      <w:marRight w:val="0"/>
      <w:marTop w:val="0"/>
      <w:marBottom w:val="0"/>
      <w:divBdr>
        <w:top w:val="none" w:sz="0" w:space="0" w:color="auto"/>
        <w:left w:val="none" w:sz="0" w:space="0" w:color="auto"/>
        <w:bottom w:val="none" w:sz="0" w:space="0" w:color="auto"/>
        <w:right w:val="none" w:sz="0" w:space="0" w:color="auto"/>
      </w:divBdr>
    </w:div>
    <w:div w:id="1231161128">
      <w:bodyDiv w:val="1"/>
      <w:marLeft w:val="0"/>
      <w:marRight w:val="0"/>
      <w:marTop w:val="0"/>
      <w:marBottom w:val="0"/>
      <w:divBdr>
        <w:top w:val="none" w:sz="0" w:space="0" w:color="auto"/>
        <w:left w:val="none" w:sz="0" w:space="0" w:color="auto"/>
        <w:bottom w:val="none" w:sz="0" w:space="0" w:color="auto"/>
        <w:right w:val="none" w:sz="0" w:space="0" w:color="auto"/>
      </w:divBdr>
    </w:div>
    <w:div w:id="1231188159">
      <w:bodyDiv w:val="1"/>
      <w:marLeft w:val="0"/>
      <w:marRight w:val="0"/>
      <w:marTop w:val="0"/>
      <w:marBottom w:val="0"/>
      <w:divBdr>
        <w:top w:val="none" w:sz="0" w:space="0" w:color="auto"/>
        <w:left w:val="none" w:sz="0" w:space="0" w:color="auto"/>
        <w:bottom w:val="none" w:sz="0" w:space="0" w:color="auto"/>
        <w:right w:val="none" w:sz="0" w:space="0" w:color="auto"/>
      </w:divBdr>
    </w:div>
    <w:div w:id="1231189626">
      <w:bodyDiv w:val="1"/>
      <w:marLeft w:val="0"/>
      <w:marRight w:val="0"/>
      <w:marTop w:val="0"/>
      <w:marBottom w:val="0"/>
      <w:divBdr>
        <w:top w:val="none" w:sz="0" w:space="0" w:color="auto"/>
        <w:left w:val="none" w:sz="0" w:space="0" w:color="auto"/>
        <w:bottom w:val="none" w:sz="0" w:space="0" w:color="auto"/>
        <w:right w:val="none" w:sz="0" w:space="0" w:color="auto"/>
      </w:divBdr>
    </w:div>
    <w:div w:id="1231429763">
      <w:bodyDiv w:val="1"/>
      <w:marLeft w:val="0"/>
      <w:marRight w:val="0"/>
      <w:marTop w:val="0"/>
      <w:marBottom w:val="0"/>
      <w:divBdr>
        <w:top w:val="none" w:sz="0" w:space="0" w:color="auto"/>
        <w:left w:val="none" w:sz="0" w:space="0" w:color="auto"/>
        <w:bottom w:val="none" w:sz="0" w:space="0" w:color="auto"/>
        <w:right w:val="none" w:sz="0" w:space="0" w:color="auto"/>
      </w:divBdr>
    </w:div>
    <w:div w:id="1231502647">
      <w:bodyDiv w:val="1"/>
      <w:marLeft w:val="0"/>
      <w:marRight w:val="0"/>
      <w:marTop w:val="0"/>
      <w:marBottom w:val="0"/>
      <w:divBdr>
        <w:top w:val="none" w:sz="0" w:space="0" w:color="auto"/>
        <w:left w:val="none" w:sz="0" w:space="0" w:color="auto"/>
        <w:bottom w:val="none" w:sz="0" w:space="0" w:color="auto"/>
        <w:right w:val="none" w:sz="0" w:space="0" w:color="auto"/>
      </w:divBdr>
    </w:div>
    <w:div w:id="1231580796">
      <w:bodyDiv w:val="1"/>
      <w:marLeft w:val="0"/>
      <w:marRight w:val="0"/>
      <w:marTop w:val="0"/>
      <w:marBottom w:val="0"/>
      <w:divBdr>
        <w:top w:val="none" w:sz="0" w:space="0" w:color="auto"/>
        <w:left w:val="none" w:sz="0" w:space="0" w:color="auto"/>
        <w:bottom w:val="none" w:sz="0" w:space="0" w:color="auto"/>
        <w:right w:val="none" w:sz="0" w:space="0" w:color="auto"/>
      </w:divBdr>
    </w:div>
    <w:div w:id="1231618122">
      <w:bodyDiv w:val="1"/>
      <w:marLeft w:val="0"/>
      <w:marRight w:val="0"/>
      <w:marTop w:val="0"/>
      <w:marBottom w:val="0"/>
      <w:divBdr>
        <w:top w:val="none" w:sz="0" w:space="0" w:color="auto"/>
        <w:left w:val="none" w:sz="0" w:space="0" w:color="auto"/>
        <w:bottom w:val="none" w:sz="0" w:space="0" w:color="auto"/>
        <w:right w:val="none" w:sz="0" w:space="0" w:color="auto"/>
      </w:divBdr>
    </w:div>
    <w:div w:id="1231624073">
      <w:bodyDiv w:val="1"/>
      <w:marLeft w:val="0"/>
      <w:marRight w:val="0"/>
      <w:marTop w:val="0"/>
      <w:marBottom w:val="0"/>
      <w:divBdr>
        <w:top w:val="none" w:sz="0" w:space="0" w:color="auto"/>
        <w:left w:val="none" w:sz="0" w:space="0" w:color="auto"/>
        <w:bottom w:val="none" w:sz="0" w:space="0" w:color="auto"/>
        <w:right w:val="none" w:sz="0" w:space="0" w:color="auto"/>
      </w:divBdr>
    </w:div>
    <w:div w:id="1231690859">
      <w:bodyDiv w:val="1"/>
      <w:marLeft w:val="0"/>
      <w:marRight w:val="0"/>
      <w:marTop w:val="0"/>
      <w:marBottom w:val="0"/>
      <w:divBdr>
        <w:top w:val="none" w:sz="0" w:space="0" w:color="auto"/>
        <w:left w:val="none" w:sz="0" w:space="0" w:color="auto"/>
        <w:bottom w:val="none" w:sz="0" w:space="0" w:color="auto"/>
        <w:right w:val="none" w:sz="0" w:space="0" w:color="auto"/>
      </w:divBdr>
    </w:div>
    <w:div w:id="1231693284">
      <w:bodyDiv w:val="1"/>
      <w:marLeft w:val="0"/>
      <w:marRight w:val="0"/>
      <w:marTop w:val="0"/>
      <w:marBottom w:val="0"/>
      <w:divBdr>
        <w:top w:val="none" w:sz="0" w:space="0" w:color="auto"/>
        <w:left w:val="none" w:sz="0" w:space="0" w:color="auto"/>
        <w:bottom w:val="none" w:sz="0" w:space="0" w:color="auto"/>
        <w:right w:val="none" w:sz="0" w:space="0" w:color="auto"/>
      </w:divBdr>
    </w:div>
    <w:div w:id="1231695088">
      <w:bodyDiv w:val="1"/>
      <w:marLeft w:val="0"/>
      <w:marRight w:val="0"/>
      <w:marTop w:val="0"/>
      <w:marBottom w:val="0"/>
      <w:divBdr>
        <w:top w:val="none" w:sz="0" w:space="0" w:color="auto"/>
        <w:left w:val="none" w:sz="0" w:space="0" w:color="auto"/>
        <w:bottom w:val="none" w:sz="0" w:space="0" w:color="auto"/>
        <w:right w:val="none" w:sz="0" w:space="0" w:color="auto"/>
      </w:divBdr>
    </w:div>
    <w:div w:id="1231697708">
      <w:bodyDiv w:val="1"/>
      <w:marLeft w:val="0"/>
      <w:marRight w:val="0"/>
      <w:marTop w:val="0"/>
      <w:marBottom w:val="0"/>
      <w:divBdr>
        <w:top w:val="none" w:sz="0" w:space="0" w:color="auto"/>
        <w:left w:val="none" w:sz="0" w:space="0" w:color="auto"/>
        <w:bottom w:val="none" w:sz="0" w:space="0" w:color="auto"/>
        <w:right w:val="none" w:sz="0" w:space="0" w:color="auto"/>
      </w:divBdr>
    </w:div>
    <w:div w:id="1231770735">
      <w:bodyDiv w:val="1"/>
      <w:marLeft w:val="0"/>
      <w:marRight w:val="0"/>
      <w:marTop w:val="0"/>
      <w:marBottom w:val="0"/>
      <w:divBdr>
        <w:top w:val="none" w:sz="0" w:space="0" w:color="auto"/>
        <w:left w:val="none" w:sz="0" w:space="0" w:color="auto"/>
        <w:bottom w:val="none" w:sz="0" w:space="0" w:color="auto"/>
        <w:right w:val="none" w:sz="0" w:space="0" w:color="auto"/>
      </w:divBdr>
    </w:div>
    <w:div w:id="1231892303">
      <w:bodyDiv w:val="1"/>
      <w:marLeft w:val="0"/>
      <w:marRight w:val="0"/>
      <w:marTop w:val="0"/>
      <w:marBottom w:val="0"/>
      <w:divBdr>
        <w:top w:val="none" w:sz="0" w:space="0" w:color="auto"/>
        <w:left w:val="none" w:sz="0" w:space="0" w:color="auto"/>
        <w:bottom w:val="none" w:sz="0" w:space="0" w:color="auto"/>
        <w:right w:val="none" w:sz="0" w:space="0" w:color="auto"/>
      </w:divBdr>
    </w:div>
    <w:div w:id="1232036895">
      <w:bodyDiv w:val="1"/>
      <w:marLeft w:val="0"/>
      <w:marRight w:val="0"/>
      <w:marTop w:val="0"/>
      <w:marBottom w:val="0"/>
      <w:divBdr>
        <w:top w:val="none" w:sz="0" w:space="0" w:color="auto"/>
        <w:left w:val="none" w:sz="0" w:space="0" w:color="auto"/>
        <w:bottom w:val="none" w:sz="0" w:space="0" w:color="auto"/>
        <w:right w:val="none" w:sz="0" w:space="0" w:color="auto"/>
      </w:divBdr>
    </w:div>
    <w:div w:id="1232039689">
      <w:bodyDiv w:val="1"/>
      <w:marLeft w:val="0"/>
      <w:marRight w:val="0"/>
      <w:marTop w:val="0"/>
      <w:marBottom w:val="0"/>
      <w:divBdr>
        <w:top w:val="none" w:sz="0" w:space="0" w:color="auto"/>
        <w:left w:val="none" w:sz="0" w:space="0" w:color="auto"/>
        <w:bottom w:val="none" w:sz="0" w:space="0" w:color="auto"/>
        <w:right w:val="none" w:sz="0" w:space="0" w:color="auto"/>
      </w:divBdr>
    </w:div>
    <w:div w:id="1232042075">
      <w:bodyDiv w:val="1"/>
      <w:marLeft w:val="0"/>
      <w:marRight w:val="0"/>
      <w:marTop w:val="0"/>
      <w:marBottom w:val="0"/>
      <w:divBdr>
        <w:top w:val="none" w:sz="0" w:space="0" w:color="auto"/>
        <w:left w:val="none" w:sz="0" w:space="0" w:color="auto"/>
        <w:bottom w:val="none" w:sz="0" w:space="0" w:color="auto"/>
        <w:right w:val="none" w:sz="0" w:space="0" w:color="auto"/>
      </w:divBdr>
    </w:div>
    <w:div w:id="1232083846">
      <w:bodyDiv w:val="1"/>
      <w:marLeft w:val="0"/>
      <w:marRight w:val="0"/>
      <w:marTop w:val="0"/>
      <w:marBottom w:val="0"/>
      <w:divBdr>
        <w:top w:val="none" w:sz="0" w:space="0" w:color="auto"/>
        <w:left w:val="none" w:sz="0" w:space="0" w:color="auto"/>
        <w:bottom w:val="none" w:sz="0" w:space="0" w:color="auto"/>
        <w:right w:val="none" w:sz="0" w:space="0" w:color="auto"/>
      </w:divBdr>
    </w:div>
    <w:div w:id="1232230179">
      <w:bodyDiv w:val="1"/>
      <w:marLeft w:val="0"/>
      <w:marRight w:val="0"/>
      <w:marTop w:val="0"/>
      <w:marBottom w:val="0"/>
      <w:divBdr>
        <w:top w:val="none" w:sz="0" w:space="0" w:color="auto"/>
        <w:left w:val="none" w:sz="0" w:space="0" w:color="auto"/>
        <w:bottom w:val="none" w:sz="0" w:space="0" w:color="auto"/>
        <w:right w:val="none" w:sz="0" w:space="0" w:color="auto"/>
      </w:divBdr>
    </w:div>
    <w:div w:id="1232275271">
      <w:bodyDiv w:val="1"/>
      <w:marLeft w:val="0"/>
      <w:marRight w:val="0"/>
      <w:marTop w:val="0"/>
      <w:marBottom w:val="0"/>
      <w:divBdr>
        <w:top w:val="none" w:sz="0" w:space="0" w:color="auto"/>
        <w:left w:val="none" w:sz="0" w:space="0" w:color="auto"/>
        <w:bottom w:val="none" w:sz="0" w:space="0" w:color="auto"/>
        <w:right w:val="none" w:sz="0" w:space="0" w:color="auto"/>
      </w:divBdr>
    </w:div>
    <w:div w:id="1232421282">
      <w:bodyDiv w:val="1"/>
      <w:marLeft w:val="0"/>
      <w:marRight w:val="0"/>
      <w:marTop w:val="0"/>
      <w:marBottom w:val="0"/>
      <w:divBdr>
        <w:top w:val="none" w:sz="0" w:space="0" w:color="auto"/>
        <w:left w:val="none" w:sz="0" w:space="0" w:color="auto"/>
        <w:bottom w:val="none" w:sz="0" w:space="0" w:color="auto"/>
        <w:right w:val="none" w:sz="0" w:space="0" w:color="auto"/>
      </w:divBdr>
    </w:div>
    <w:div w:id="1232886819">
      <w:bodyDiv w:val="1"/>
      <w:marLeft w:val="0"/>
      <w:marRight w:val="0"/>
      <w:marTop w:val="0"/>
      <w:marBottom w:val="0"/>
      <w:divBdr>
        <w:top w:val="none" w:sz="0" w:space="0" w:color="auto"/>
        <w:left w:val="none" w:sz="0" w:space="0" w:color="auto"/>
        <w:bottom w:val="none" w:sz="0" w:space="0" w:color="auto"/>
        <w:right w:val="none" w:sz="0" w:space="0" w:color="auto"/>
      </w:divBdr>
    </w:div>
    <w:div w:id="1232890720">
      <w:bodyDiv w:val="1"/>
      <w:marLeft w:val="0"/>
      <w:marRight w:val="0"/>
      <w:marTop w:val="0"/>
      <w:marBottom w:val="0"/>
      <w:divBdr>
        <w:top w:val="none" w:sz="0" w:space="0" w:color="auto"/>
        <w:left w:val="none" w:sz="0" w:space="0" w:color="auto"/>
        <w:bottom w:val="none" w:sz="0" w:space="0" w:color="auto"/>
        <w:right w:val="none" w:sz="0" w:space="0" w:color="auto"/>
      </w:divBdr>
    </w:div>
    <w:div w:id="1232932669">
      <w:bodyDiv w:val="1"/>
      <w:marLeft w:val="0"/>
      <w:marRight w:val="0"/>
      <w:marTop w:val="0"/>
      <w:marBottom w:val="0"/>
      <w:divBdr>
        <w:top w:val="none" w:sz="0" w:space="0" w:color="auto"/>
        <w:left w:val="none" w:sz="0" w:space="0" w:color="auto"/>
        <w:bottom w:val="none" w:sz="0" w:space="0" w:color="auto"/>
        <w:right w:val="none" w:sz="0" w:space="0" w:color="auto"/>
      </w:divBdr>
    </w:div>
    <w:div w:id="1232959719">
      <w:bodyDiv w:val="1"/>
      <w:marLeft w:val="0"/>
      <w:marRight w:val="0"/>
      <w:marTop w:val="0"/>
      <w:marBottom w:val="0"/>
      <w:divBdr>
        <w:top w:val="none" w:sz="0" w:space="0" w:color="auto"/>
        <w:left w:val="none" w:sz="0" w:space="0" w:color="auto"/>
        <w:bottom w:val="none" w:sz="0" w:space="0" w:color="auto"/>
        <w:right w:val="none" w:sz="0" w:space="0" w:color="auto"/>
      </w:divBdr>
    </w:div>
    <w:div w:id="1232959791">
      <w:bodyDiv w:val="1"/>
      <w:marLeft w:val="0"/>
      <w:marRight w:val="0"/>
      <w:marTop w:val="0"/>
      <w:marBottom w:val="0"/>
      <w:divBdr>
        <w:top w:val="none" w:sz="0" w:space="0" w:color="auto"/>
        <w:left w:val="none" w:sz="0" w:space="0" w:color="auto"/>
        <w:bottom w:val="none" w:sz="0" w:space="0" w:color="auto"/>
        <w:right w:val="none" w:sz="0" w:space="0" w:color="auto"/>
      </w:divBdr>
    </w:div>
    <w:div w:id="1232961425">
      <w:bodyDiv w:val="1"/>
      <w:marLeft w:val="0"/>
      <w:marRight w:val="0"/>
      <w:marTop w:val="0"/>
      <w:marBottom w:val="0"/>
      <w:divBdr>
        <w:top w:val="none" w:sz="0" w:space="0" w:color="auto"/>
        <w:left w:val="none" w:sz="0" w:space="0" w:color="auto"/>
        <w:bottom w:val="none" w:sz="0" w:space="0" w:color="auto"/>
        <w:right w:val="none" w:sz="0" w:space="0" w:color="auto"/>
      </w:divBdr>
    </w:div>
    <w:div w:id="1233009333">
      <w:bodyDiv w:val="1"/>
      <w:marLeft w:val="0"/>
      <w:marRight w:val="0"/>
      <w:marTop w:val="0"/>
      <w:marBottom w:val="0"/>
      <w:divBdr>
        <w:top w:val="none" w:sz="0" w:space="0" w:color="auto"/>
        <w:left w:val="none" w:sz="0" w:space="0" w:color="auto"/>
        <w:bottom w:val="none" w:sz="0" w:space="0" w:color="auto"/>
        <w:right w:val="none" w:sz="0" w:space="0" w:color="auto"/>
      </w:divBdr>
    </w:div>
    <w:div w:id="1233272778">
      <w:bodyDiv w:val="1"/>
      <w:marLeft w:val="0"/>
      <w:marRight w:val="0"/>
      <w:marTop w:val="0"/>
      <w:marBottom w:val="0"/>
      <w:divBdr>
        <w:top w:val="none" w:sz="0" w:space="0" w:color="auto"/>
        <w:left w:val="none" w:sz="0" w:space="0" w:color="auto"/>
        <w:bottom w:val="none" w:sz="0" w:space="0" w:color="auto"/>
        <w:right w:val="none" w:sz="0" w:space="0" w:color="auto"/>
      </w:divBdr>
    </w:div>
    <w:div w:id="1233273230">
      <w:bodyDiv w:val="1"/>
      <w:marLeft w:val="0"/>
      <w:marRight w:val="0"/>
      <w:marTop w:val="0"/>
      <w:marBottom w:val="0"/>
      <w:divBdr>
        <w:top w:val="none" w:sz="0" w:space="0" w:color="auto"/>
        <w:left w:val="none" w:sz="0" w:space="0" w:color="auto"/>
        <w:bottom w:val="none" w:sz="0" w:space="0" w:color="auto"/>
        <w:right w:val="none" w:sz="0" w:space="0" w:color="auto"/>
      </w:divBdr>
    </w:div>
    <w:div w:id="1233345007">
      <w:bodyDiv w:val="1"/>
      <w:marLeft w:val="0"/>
      <w:marRight w:val="0"/>
      <w:marTop w:val="0"/>
      <w:marBottom w:val="0"/>
      <w:divBdr>
        <w:top w:val="none" w:sz="0" w:space="0" w:color="auto"/>
        <w:left w:val="none" w:sz="0" w:space="0" w:color="auto"/>
        <w:bottom w:val="none" w:sz="0" w:space="0" w:color="auto"/>
        <w:right w:val="none" w:sz="0" w:space="0" w:color="auto"/>
      </w:divBdr>
    </w:div>
    <w:div w:id="1233395725">
      <w:bodyDiv w:val="1"/>
      <w:marLeft w:val="0"/>
      <w:marRight w:val="0"/>
      <w:marTop w:val="0"/>
      <w:marBottom w:val="0"/>
      <w:divBdr>
        <w:top w:val="none" w:sz="0" w:space="0" w:color="auto"/>
        <w:left w:val="none" w:sz="0" w:space="0" w:color="auto"/>
        <w:bottom w:val="none" w:sz="0" w:space="0" w:color="auto"/>
        <w:right w:val="none" w:sz="0" w:space="0" w:color="auto"/>
      </w:divBdr>
    </w:div>
    <w:div w:id="1233470136">
      <w:bodyDiv w:val="1"/>
      <w:marLeft w:val="0"/>
      <w:marRight w:val="0"/>
      <w:marTop w:val="0"/>
      <w:marBottom w:val="0"/>
      <w:divBdr>
        <w:top w:val="none" w:sz="0" w:space="0" w:color="auto"/>
        <w:left w:val="none" w:sz="0" w:space="0" w:color="auto"/>
        <w:bottom w:val="none" w:sz="0" w:space="0" w:color="auto"/>
        <w:right w:val="none" w:sz="0" w:space="0" w:color="auto"/>
      </w:divBdr>
    </w:div>
    <w:div w:id="1233471664">
      <w:bodyDiv w:val="1"/>
      <w:marLeft w:val="0"/>
      <w:marRight w:val="0"/>
      <w:marTop w:val="0"/>
      <w:marBottom w:val="0"/>
      <w:divBdr>
        <w:top w:val="none" w:sz="0" w:space="0" w:color="auto"/>
        <w:left w:val="none" w:sz="0" w:space="0" w:color="auto"/>
        <w:bottom w:val="none" w:sz="0" w:space="0" w:color="auto"/>
        <w:right w:val="none" w:sz="0" w:space="0" w:color="auto"/>
      </w:divBdr>
    </w:div>
    <w:div w:id="1233614079">
      <w:bodyDiv w:val="1"/>
      <w:marLeft w:val="0"/>
      <w:marRight w:val="0"/>
      <w:marTop w:val="0"/>
      <w:marBottom w:val="0"/>
      <w:divBdr>
        <w:top w:val="none" w:sz="0" w:space="0" w:color="auto"/>
        <w:left w:val="none" w:sz="0" w:space="0" w:color="auto"/>
        <w:bottom w:val="none" w:sz="0" w:space="0" w:color="auto"/>
        <w:right w:val="none" w:sz="0" w:space="0" w:color="auto"/>
      </w:divBdr>
    </w:div>
    <w:div w:id="1233616886">
      <w:bodyDiv w:val="1"/>
      <w:marLeft w:val="0"/>
      <w:marRight w:val="0"/>
      <w:marTop w:val="0"/>
      <w:marBottom w:val="0"/>
      <w:divBdr>
        <w:top w:val="none" w:sz="0" w:space="0" w:color="auto"/>
        <w:left w:val="none" w:sz="0" w:space="0" w:color="auto"/>
        <w:bottom w:val="none" w:sz="0" w:space="0" w:color="auto"/>
        <w:right w:val="none" w:sz="0" w:space="0" w:color="auto"/>
      </w:divBdr>
    </w:div>
    <w:div w:id="1233660712">
      <w:bodyDiv w:val="1"/>
      <w:marLeft w:val="0"/>
      <w:marRight w:val="0"/>
      <w:marTop w:val="0"/>
      <w:marBottom w:val="0"/>
      <w:divBdr>
        <w:top w:val="none" w:sz="0" w:space="0" w:color="auto"/>
        <w:left w:val="none" w:sz="0" w:space="0" w:color="auto"/>
        <w:bottom w:val="none" w:sz="0" w:space="0" w:color="auto"/>
        <w:right w:val="none" w:sz="0" w:space="0" w:color="auto"/>
      </w:divBdr>
    </w:div>
    <w:div w:id="1233813040">
      <w:bodyDiv w:val="1"/>
      <w:marLeft w:val="0"/>
      <w:marRight w:val="0"/>
      <w:marTop w:val="0"/>
      <w:marBottom w:val="0"/>
      <w:divBdr>
        <w:top w:val="none" w:sz="0" w:space="0" w:color="auto"/>
        <w:left w:val="none" w:sz="0" w:space="0" w:color="auto"/>
        <w:bottom w:val="none" w:sz="0" w:space="0" w:color="auto"/>
        <w:right w:val="none" w:sz="0" w:space="0" w:color="auto"/>
      </w:divBdr>
    </w:div>
    <w:div w:id="1233813226">
      <w:bodyDiv w:val="1"/>
      <w:marLeft w:val="0"/>
      <w:marRight w:val="0"/>
      <w:marTop w:val="0"/>
      <w:marBottom w:val="0"/>
      <w:divBdr>
        <w:top w:val="none" w:sz="0" w:space="0" w:color="auto"/>
        <w:left w:val="none" w:sz="0" w:space="0" w:color="auto"/>
        <w:bottom w:val="none" w:sz="0" w:space="0" w:color="auto"/>
        <w:right w:val="none" w:sz="0" w:space="0" w:color="auto"/>
      </w:divBdr>
    </w:div>
    <w:div w:id="1233929460">
      <w:bodyDiv w:val="1"/>
      <w:marLeft w:val="0"/>
      <w:marRight w:val="0"/>
      <w:marTop w:val="0"/>
      <w:marBottom w:val="0"/>
      <w:divBdr>
        <w:top w:val="none" w:sz="0" w:space="0" w:color="auto"/>
        <w:left w:val="none" w:sz="0" w:space="0" w:color="auto"/>
        <w:bottom w:val="none" w:sz="0" w:space="0" w:color="auto"/>
        <w:right w:val="none" w:sz="0" w:space="0" w:color="auto"/>
      </w:divBdr>
    </w:div>
    <w:div w:id="1234202433">
      <w:bodyDiv w:val="1"/>
      <w:marLeft w:val="0"/>
      <w:marRight w:val="0"/>
      <w:marTop w:val="0"/>
      <w:marBottom w:val="0"/>
      <w:divBdr>
        <w:top w:val="none" w:sz="0" w:space="0" w:color="auto"/>
        <w:left w:val="none" w:sz="0" w:space="0" w:color="auto"/>
        <w:bottom w:val="none" w:sz="0" w:space="0" w:color="auto"/>
        <w:right w:val="none" w:sz="0" w:space="0" w:color="auto"/>
      </w:divBdr>
    </w:div>
    <w:div w:id="1234241824">
      <w:bodyDiv w:val="1"/>
      <w:marLeft w:val="0"/>
      <w:marRight w:val="0"/>
      <w:marTop w:val="0"/>
      <w:marBottom w:val="0"/>
      <w:divBdr>
        <w:top w:val="none" w:sz="0" w:space="0" w:color="auto"/>
        <w:left w:val="none" w:sz="0" w:space="0" w:color="auto"/>
        <w:bottom w:val="none" w:sz="0" w:space="0" w:color="auto"/>
        <w:right w:val="none" w:sz="0" w:space="0" w:color="auto"/>
      </w:divBdr>
    </w:div>
    <w:div w:id="1234311188">
      <w:bodyDiv w:val="1"/>
      <w:marLeft w:val="0"/>
      <w:marRight w:val="0"/>
      <w:marTop w:val="0"/>
      <w:marBottom w:val="0"/>
      <w:divBdr>
        <w:top w:val="none" w:sz="0" w:space="0" w:color="auto"/>
        <w:left w:val="none" w:sz="0" w:space="0" w:color="auto"/>
        <w:bottom w:val="none" w:sz="0" w:space="0" w:color="auto"/>
        <w:right w:val="none" w:sz="0" w:space="0" w:color="auto"/>
      </w:divBdr>
    </w:div>
    <w:div w:id="1234312024">
      <w:bodyDiv w:val="1"/>
      <w:marLeft w:val="0"/>
      <w:marRight w:val="0"/>
      <w:marTop w:val="0"/>
      <w:marBottom w:val="0"/>
      <w:divBdr>
        <w:top w:val="none" w:sz="0" w:space="0" w:color="auto"/>
        <w:left w:val="none" w:sz="0" w:space="0" w:color="auto"/>
        <w:bottom w:val="none" w:sz="0" w:space="0" w:color="auto"/>
        <w:right w:val="none" w:sz="0" w:space="0" w:color="auto"/>
      </w:divBdr>
    </w:div>
    <w:div w:id="1234391655">
      <w:bodyDiv w:val="1"/>
      <w:marLeft w:val="0"/>
      <w:marRight w:val="0"/>
      <w:marTop w:val="0"/>
      <w:marBottom w:val="0"/>
      <w:divBdr>
        <w:top w:val="none" w:sz="0" w:space="0" w:color="auto"/>
        <w:left w:val="none" w:sz="0" w:space="0" w:color="auto"/>
        <w:bottom w:val="none" w:sz="0" w:space="0" w:color="auto"/>
        <w:right w:val="none" w:sz="0" w:space="0" w:color="auto"/>
      </w:divBdr>
    </w:div>
    <w:div w:id="1234506406">
      <w:bodyDiv w:val="1"/>
      <w:marLeft w:val="0"/>
      <w:marRight w:val="0"/>
      <w:marTop w:val="0"/>
      <w:marBottom w:val="0"/>
      <w:divBdr>
        <w:top w:val="none" w:sz="0" w:space="0" w:color="auto"/>
        <w:left w:val="none" w:sz="0" w:space="0" w:color="auto"/>
        <w:bottom w:val="none" w:sz="0" w:space="0" w:color="auto"/>
        <w:right w:val="none" w:sz="0" w:space="0" w:color="auto"/>
      </w:divBdr>
    </w:div>
    <w:div w:id="1234506724">
      <w:bodyDiv w:val="1"/>
      <w:marLeft w:val="0"/>
      <w:marRight w:val="0"/>
      <w:marTop w:val="0"/>
      <w:marBottom w:val="0"/>
      <w:divBdr>
        <w:top w:val="none" w:sz="0" w:space="0" w:color="auto"/>
        <w:left w:val="none" w:sz="0" w:space="0" w:color="auto"/>
        <w:bottom w:val="none" w:sz="0" w:space="0" w:color="auto"/>
        <w:right w:val="none" w:sz="0" w:space="0" w:color="auto"/>
      </w:divBdr>
    </w:div>
    <w:div w:id="1234508038">
      <w:bodyDiv w:val="1"/>
      <w:marLeft w:val="0"/>
      <w:marRight w:val="0"/>
      <w:marTop w:val="0"/>
      <w:marBottom w:val="0"/>
      <w:divBdr>
        <w:top w:val="none" w:sz="0" w:space="0" w:color="auto"/>
        <w:left w:val="none" w:sz="0" w:space="0" w:color="auto"/>
        <w:bottom w:val="none" w:sz="0" w:space="0" w:color="auto"/>
        <w:right w:val="none" w:sz="0" w:space="0" w:color="auto"/>
      </w:divBdr>
    </w:div>
    <w:div w:id="1234508141">
      <w:bodyDiv w:val="1"/>
      <w:marLeft w:val="0"/>
      <w:marRight w:val="0"/>
      <w:marTop w:val="0"/>
      <w:marBottom w:val="0"/>
      <w:divBdr>
        <w:top w:val="none" w:sz="0" w:space="0" w:color="auto"/>
        <w:left w:val="none" w:sz="0" w:space="0" w:color="auto"/>
        <w:bottom w:val="none" w:sz="0" w:space="0" w:color="auto"/>
        <w:right w:val="none" w:sz="0" w:space="0" w:color="auto"/>
      </w:divBdr>
    </w:div>
    <w:div w:id="1234588440">
      <w:bodyDiv w:val="1"/>
      <w:marLeft w:val="0"/>
      <w:marRight w:val="0"/>
      <w:marTop w:val="0"/>
      <w:marBottom w:val="0"/>
      <w:divBdr>
        <w:top w:val="none" w:sz="0" w:space="0" w:color="auto"/>
        <w:left w:val="none" w:sz="0" w:space="0" w:color="auto"/>
        <w:bottom w:val="none" w:sz="0" w:space="0" w:color="auto"/>
        <w:right w:val="none" w:sz="0" w:space="0" w:color="auto"/>
      </w:divBdr>
    </w:div>
    <w:div w:id="1234703534">
      <w:bodyDiv w:val="1"/>
      <w:marLeft w:val="0"/>
      <w:marRight w:val="0"/>
      <w:marTop w:val="0"/>
      <w:marBottom w:val="0"/>
      <w:divBdr>
        <w:top w:val="none" w:sz="0" w:space="0" w:color="auto"/>
        <w:left w:val="none" w:sz="0" w:space="0" w:color="auto"/>
        <w:bottom w:val="none" w:sz="0" w:space="0" w:color="auto"/>
        <w:right w:val="none" w:sz="0" w:space="0" w:color="auto"/>
      </w:divBdr>
    </w:div>
    <w:div w:id="1234848738">
      <w:bodyDiv w:val="1"/>
      <w:marLeft w:val="0"/>
      <w:marRight w:val="0"/>
      <w:marTop w:val="0"/>
      <w:marBottom w:val="0"/>
      <w:divBdr>
        <w:top w:val="none" w:sz="0" w:space="0" w:color="auto"/>
        <w:left w:val="none" w:sz="0" w:space="0" w:color="auto"/>
        <w:bottom w:val="none" w:sz="0" w:space="0" w:color="auto"/>
        <w:right w:val="none" w:sz="0" w:space="0" w:color="auto"/>
      </w:divBdr>
    </w:div>
    <w:div w:id="1234848912">
      <w:bodyDiv w:val="1"/>
      <w:marLeft w:val="0"/>
      <w:marRight w:val="0"/>
      <w:marTop w:val="0"/>
      <w:marBottom w:val="0"/>
      <w:divBdr>
        <w:top w:val="none" w:sz="0" w:space="0" w:color="auto"/>
        <w:left w:val="none" w:sz="0" w:space="0" w:color="auto"/>
        <w:bottom w:val="none" w:sz="0" w:space="0" w:color="auto"/>
        <w:right w:val="none" w:sz="0" w:space="0" w:color="auto"/>
      </w:divBdr>
    </w:div>
    <w:div w:id="1234853256">
      <w:bodyDiv w:val="1"/>
      <w:marLeft w:val="0"/>
      <w:marRight w:val="0"/>
      <w:marTop w:val="0"/>
      <w:marBottom w:val="0"/>
      <w:divBdr>
        <w:top w:val="none" w:sz="0" w:space="0" w:color="auto"/>
        <w:left w:val="none" w:sz="0" w:space="0" w:color="auto"/>
        <w:bottom w:val="none" w:sz="0" w:space="0" w:color="auto"/>
        <w:right w:val="none" w:sz="0" w:space="0" w:color="auto"/>
      </w:divBdr>
    </w:div>
    <w:div w:id="1235241600">
      <w:bodyDiv w:val="1"/>
      <w:marLeft w:val="0"/>
      <w:marRight w:val="0"/>
      <w:marTop w:val="0"/>
      <w:marBottom w:val="0"/>
      <w:divBdr>
        <w:top w:val="none" w:sz="0" w:space="0" w:color="auto"/>
        <w:left w:val="none" w:sz="0" w:space="0" w:color="auto"/>
        <w:bottom w:val="none" w:sz="0" w:space="0" w:color="auto"/>
        <w:right w:val="none" w:sz="0" w:space="0" w:color="auto"/>
      </w:divBdr>
    </w:div>
    <w:div w:id="1235314912">
      <w:bodyDiv w:val="1"/>
      <w:marLeft w:val="0"/>
      <w:marRight w:val="0"/>
      <w:marTop w:val="0"/>
      <w:marBottom w:val="0"/>
      <w:divBdr>
        <w:top w:val="none" w:sz="0" w:space="0" w:color="auto"/>
        <w:left w:val="none" w:sz="0" w:space="0" w:color="auto"/>
        <w:bottom w:val="none" w:sz="0" w:space="0" w:color="auto"/>
        <w:right w:val="none" w:sz="0" w:space="0" w:color="auto"/>
      </w:divBdr>
    </w:div>
    <w:div w:id="1235358286">
      <w:bodyDiv w:val="1"/>
      <w:marLeft w:val="0"/>
      <w:marRight w:val="0"/>
      <w:marTop w:val="0"/>
      <w:marBottom w:val="0"/>
      <w:divBdr>
        <w:top w:val="none" w:sz="0" w:space="0" w:color="auto"/>
        <w:left w:val="none" w:sz="0" w:space="0" w:color="auto"/>
        <w:bottom w:val="none" w:sz="0" w:space="0" w:color="auto"/>
        <w:right w:val="none" w:sz="0" w:space="0" w:color="auto"/>
      </w:divBdr>
    </w:div>
    <w:div w:id="1235361396">
      <w:bodyDiv w:val="1"/>
      <w:marLeft w:val="0"/>
      <w:marRight w:val="0"/>
      <w:marTop w:val="0"/>
      <w:marBottom w:val="0"/>
      <w:divBdr>
        <w:top w:val="none" w:sz="0" w:space="0" w:color="auto"/>
        <w:left w:val="none" w:sz="0" w:space="0" w:color="auto"/>
        <w:bottom w:val="none" w:sz="0" w:space="0" w:color="auto"/>
        <w:right w:val="none" w:sz="0" w:space="0" w:color="auto"/>
      </w:divBdr>
    </w:div>
    <w:div w:id="1235697504">
      <w:bodyDiv w:val="1"/>
      <w:marLeft w:val="0"/>
      <w:marRight w:val="0"/>
      <w:marTop w:val="0"/>
      <w:marBottom w:val="0"/>
      <w:divBdr>
        <w:top w:val="none" w:sz="0" w:space="0" w:color="auto"/>
        <w:left w:val="none" w:sz="0" w:space="0" w:color="auto"/>
        <w:bottom w:val="none" w:sz="0" w:space="0" w:color="auto"/>
        <w:right w:val="none" w:sz="0" w:space="0" w:color="auto"/>
      </w:divBdr>
    </w:div>
    <w:div w:id="1235705503">
      <w:bodyDiv w:val="1"/>
      <w:marLeft w:val="0"/>
      <w:marRight w:val="0"/>
      <w:marTop w:val="0"/>
      <w:marBottom w:val="0"/>
      <w:divBdr>
        <w:top w:val="none" w:sz="0" w:space="0" w:color="auto"/>
        <w:left w:val="none" w:sz="0" w:space="0" w:color="auto"/>
        <w:bottom w:val="none" w:sz="0" w:space="0" w:color="auto"/>
        <w:right w:val="none" w:sz="0" w:space="0" w:color="auto"/>
      </w:divBdr>
    </w:div>
    <w:div w:id="1235705630">
      <w:bodyDiv w:val="1"/>
      <w:marLeft w:val="0"/>
      <w:marRight w:val="0"/>
      <w:marTop w:val="0"/>
      <w:marBottom w:val="0"/>
      <w:divBdr>
        <w:top w:val="none" w:sz="0" w:space="0" w:color="auto"/>
        <w:left w:val="none" w:sz="0" w:space="0" w:color="auto"/>
        <w:bottom w:val="none" w:sz="0" w:space="0" w:color="auto"/>
        <w:right w:val="none" w:sz="0" w:space="0" w:color="auto"/>
      </w:divBdr>
    </w:div>
    <w:div w:id="1235749186">
      <w:bodyDiv w:val="1"/>
      <w:marLeft w:val="0"/>
      <w:marRight w:val="0"/>
      <w:marTop w:val="0"/>
      <w:marBottom w:val="0"/>
      <w:divBdr>
        <w:top w:val="none" w:sz="0" w:space="0" w:color="auto"/>
        <w:left w:val="none" w:sz="0" w:space="0" w:color="auto"/>
        <w:bottom w:val="none" w:sz="0" w:space="0" w:color="auto"/>
        <w:right w:val="none" w:sz="0" w:space="0" w:color="auto"/>
      </w:divBdr>
    </w:div>
    <w:div w:id="1235774200">
      <w:bodyDiv w:val="1"/>
      <w:marLeft w:val="0"/>
      <w:marRight w:val="0"/>
      <w:marTop w:val="0"/>
      <w:marBottom w:val="0"/>
      <w:divBdr>
        <w:top w:val="none" w:sz="0" w:space="0" w:color="auto"/>
        <w:left w:val="none" w:sz="0" w:space="0" w:color="auto"/>
        <w:bottom w:val="none" w:sz="0" w:space="0" w:color="auto"/>
        <w:right w:val="none" w:sz="0" w:space="0" w:color="auto"/>
      </w:divBdr>
    </w:div>
    <w:div w:id="1235776800">
      <w:bodyDiv w:val="1"/>
      <w:marLeft w:val="0"/>
      <w:marRight w:val="0"/>
      <w:marTop w:val="0"/>
      <w:marBottom w:val="0"/>
      <w:divBdr>
        <w:top w:val="none" w:sz="0" w:space="0" w:color="auto"/>
        <w:left w:val="none" w:sz="0" w:space="0" w:color="auto"/>
        <w:bottom w:val="none" w:sz="0" w:space="0" w:color="auto"/>
        <w:right w:val="none" w:sz="0" w:space="0" w:color="auto"/>
      </w:divBdr>
    </w:div>
    <w:div w:id="1235779482">
      <w:bodyDiv w:val="1"/>
      <w:marLeft w:val="0"/>
      <w:marRight w:val="0"/>
      <w:marTop w:val="0"/>
      <w:marBottom w:val="0"/>
      <w:divBdr>
        <w:top w:val="none" w:sz="0" w:space="0" w:color="auto"/>
        <w:left w:val="none" w:sz="0" w:space="0" w:color="auto"/>
        <w:bottom w:val="none" w:sz="0" w:space="0" w:color="auto"/>
        <w:right w:val="none" w:sz="0" w:space="0" w:color="auto"/>
      </w:divBdr>
    </w:div>
    <w:div w:id="1236013610">
      <w:bodyDiv w:val="1"/>
      <w:marLeft w:val="0"/>
      <w:marRight w:val="0"/>
      <w:marTop w:val="0"/>
      <w:marBottom w:val="0"/>
      <w:divBdr>
        <w:top w:val="none" w:sz="0" w:space="0" w:color="auto"/>
        <w:left w:val="none" w:sz="0" w:space="0" w:color="auto"/>
        <w:bottom w:val="none" w:sz="0" w:space="0" w:color="auto"/>
        <w:right w:val="none" w:sz="0" w:space="0" w:color="auto"/>
      </w:divBdr>
    </w:div>
    <w:div w:id="1236013736">
      <w:bodyDiv w:val="1"/>
      <w:marLeft w:val="0"/>
      <w:marRight w:val="0"/>
      <w:marTop w:val="0"/>
      <w:marBottom w:val="0"/>
      <w:divBdr>
        <w:top w:val="none" w:sz="0" w:space="0" w:color="auto"/>
        <w:left w:val="none" w:sz="0" w:space="0" w:color="auto"/>
        <w:bottom w:val="none" w:sz="0" w:space="0" w:color="auto"/>
        <w:right w:val="none" w:sz="0" w:space="0" w:color="auto"/>
      </w:divBdr>
    </w:div>
    <w:div w:id="1236161917">
      <w:bodyDiv w:val="1"/>
      <w:marLeft w:val="0"/>
      <w:marRight w:val="0"/>
      <w:marTop w:val="0"/>
      <w:marBottom w:val="0"/>
      <w:divBdr>
        <w:top w:val="none" w:sz="0" w:space="0" w:color="auto"/>
        <w:left w:val="none" w:sz="0" w:space="0" w:color="auto"/>
        <w:bottom w:val="none" w:sz="0" w:space="0" w:color="auto"/>
        <w:right w:val="none" w:sz="0" w:space="0" w:color="auto"/>
      </w:divBdr>
    </w:div>
    <w:div w:id="1236168167">
      <w:bodyDiv w:val="1"/>
      <w:marLeft w:val="0"/>
      <w:marRight w:val="0"/>
      <w:marTop w:val="0"/>
      <w:marBottom w:val="0"/>
      <w:divBdr>
        <w:top w:val="none" w:sz="0" w:space="0" w:color="auto"/>
        <w:left w:val="none" w:sz="0" w:space="0" w:color="auto"/>
        <w:bottom w:val="none" w:sz="0" w:space="0" w:color="auto"/>
        <w:right w:val="none" w:sz="0" w:space="0" w:color="auto"/>
      </w:divBdr>
    </w:div>
    <w:div w:id="1236206975">
      <w:bodyDiv w:val="1"/>
      <w:marLeft w:val="0"/>
      <w:marRight w:val="0"/>
      <w:marTop w:val="0"/>
      <w:marBottom w:val="0"/>
      <w:divBdr>
        <w:top w:val="none" w:sz="0" w:space="0" w:color="auto"/>
        <w:left w:val="none" w:sz="0" w:space="0" w:color="auto"/>
        <w:bottom w:val="none" w:sz="0" w:space="0" w:color="auto"/>
        <w:right w:val="none" w:sz="0" w:space="0" w:color="auto"/>
      </w:divBdr>
    </w:div>
    <w:div w:id="1236353003">
      <w:bodyDiv w:val="1"/>
      <w:marLeft w:val="0"/>
      <w:marRight w:val="0"/>
      <w:marTop w:val="0"/>
      <w:marBottom w:val="0"/>
      <w:divBdr>
        <w:top w:val="none" w:sz="0" w:space="0" w:color="auto"/>
        <w:left w:val="none" w:sz="0" w:space="0" w:color="auto"/>
        <w:bottom w:val="none" w:sz="0" w:space="0" w:color="auto"/>
        <w:right w:val="none" w:sz="0" w:space="0" w:color="auto"/>
      </w:divBdr>
    </w:div>
    <w:div w:id="1236547348">
      <w:bodyDiv w:val="1"/>
      <w:marLeft w:val="0"/>
      <w:marRight w:val="0"/>
      <w:marTop w:val="0"/>
      <w:marBottom w:val="0"/>
      <w:divBdr>
        <w:top w:val="none" w:sz="0" w:space="0" w:color="auto"/>
        <w:left w:val="none" w:sz="0" w:space="0" w:color="auto"/>
        <w:bottom w:val="none" w:sz="0" w:space="0" w:color="auto"/>
        <w:right w:val="none" w:sz="0" w:space="0" w:color="auto"/>
      </w:divBdr>
    </w:div>
    <w:div w:id="1236552262">
      <w:bodyDiv w:val="1"/>
      <w:marLeft w:val="0"/>
      <w:marRight w:val="0"/>
      <w:marTop w:val="0"/>
      <w:marBottom w:val="0"/>
      <w:divBdr>
        <w:top w:val="none" w:sz="0" w:space="0" w:color="auto"/>
        <w:left w:val="none" w:sz="0" w:space="0" w:color="auto"/>
        <w:bottom w:val="none" w:sz="0" w:space="0" w:color="auto"/>
        <w:right w:val="none" w:sz="0" w:space="0" w:color="auto"/>
      </w:divBdr>
    </w:div>
    <w:div w:id="1236621543">
      <w:bodyDiv w:val="1"/>
      <w:marLeft w:val="0"/>
      <w:marRight w:val="0"/>
      <w:marTop w:val="0"/>
      <w:marBottom w:val="0"/>
      <w:divBdr>
        <w:top w:val="none" w:sz="0" w:space="0" w:color="auto"/>
        <w:left w:val="none" w:sz="0" w:space="0" w:color="auto"/>
        <w:bottom w:val="none" w:sz="0" w:space="0" w:color="auto"/>
        <w:right w:val="none" w:sz="0" w:space="0" w:color="auto"/>
      </w:divBdr>
    </w:div>
    <w:div w:id="1236625283">
      <w:bodyDiv w:val="1"/>
      <w:marLeft w:val="0"/>
      <w:marRight w:val="0"/>
      <w:marTop w:val="0"/>
      <w:marBottom w:val="0"/>
      <w:divBdr>
        <w:top w:val="none" w:sz="0" w:space="0" w:color="auto"/>
        <w:left w:val="none" w:sz="0" w:space="0" w:color="auto"/>
        <w:bottom w:val="none" w:sz="0" w:space="0" w:color="auto"/>
        <w:right w:val="none" w:sz="0" w:space="0" w:color="auto"/>
      </w:divBdr>
    </w:div>
    <w:div w:id="1236669994">
      <w:bodyDiv w:val="1"/>
      <w:marLeft w:val="0"/>
      <w:marRight w:val="0"/>
      <w:marTop w:val="0"/>
      <w:marBottom w:val="0"/>
      <w:divBdr>
        <w:top w:val="none" w:sz="0" w:space="0" w:color="auto"/>
        <w:left w:val="none" w:sz="0" w:space="0" w:color="auto"/>
        <w:bottom w:val="none" w:sz="0" w:space="0" w:color="auto"/>
        <w:right w:val="none" w:sz="0" w:space="0" w:color="auto"/>
      </w:divBdr>
    </w:div>
    <w:div w:id="1236739075">
      <w:bodyDiv w:val="1"/>
      <w:marLeft w:val="0"/>
      <w:marRight w:val="0"/>
      <w:marTop w:val="0"/>
      <w:marBottom w:val="0"/>
      <w:divBdr>
        <w:top w:val="none" w:sz="0" w:space="0" w:color="auto"/>
        <w:left w:val="none" w:sz="0" w:space="0" w:color="auto"/>
        <w:bottom w:val="none" w:sz="0" w:space="0" w:color="auto"/>
        <w:right w:val="none" w:sz="0" w:space="0" w:color="auto"/>
      </w:divBdr>
    </w:div>
    <w:div w:id="1236814888">
      <w:bodyDiv w:val="1"/>
      <w:marLeft w:val="0"/>
      <w:marRight w:val="0"/>
      <w:marTop w:val="0"/>
      <w:marBottom w:val="0"/>
      <w:divBdr>
        <w:top w:val="none" w:sz="0" w:space="0" w:color="auto"/>
        <w:left w:val="none" w:sz="0" w:space="0" w:color="auto"/>
        <w:bottom w:val="none" w:sz="0" w:space="0" w:color="auto"/>
        <w:right w:val="none" w:sz="0" w:space="0" w:color="auto"/>
      </w:divBdr>
    </w:div>
    <w:div w:id="1236815449">
      <w:bodyDiv w:val="1"/>
      <w:marLeft w:val="0"/>
      <w:marRight w:val="0"/>
      <w:marTop w:val="0"/>
      <w:marBottom w:val="0"/>
      <w:divBdr>
        <w:top w:val="none" w:sz="0" w:space="0" w:color="auto"/>
        <w:left w:val="none" w:sz="0" w:space="0" w:color="auto"/>
        <w:bottom w:val="none" w:sz="0" w:space="0" w:color="auto"/>
        <w:right w:val="none" w:sz="0" w:space="0" w:color="auto"/>
      </w:divBdr>
    </w:div>
    <w:div w:id="1236822193">
      <w:bodyDiv w:val="1"/>
      <w:marLeft w:val="0"/>
      <w:marRight w:val="0"/>
      <w:marTop w:val="0"/>
      <w:marBottom w:val="0"/>
      <w:divBdr>
        <w:top w:val="none" w:sz="0" w:space="0" w:color="auto"/>
        <w:left w:val="none" w:sz="0" w:space="0" w:color="auto"/>
        <w:bottom w:val="none" w:sz="0" w:space="0" w:color="auto"/>
        <w:right w:val="none" w:sz="0" w:space="0" w:color="auto"/>
      </w:divBdr>
    </w:div>
    <w:div w:id="1236822672">
      <w:bodyDiv w:val="1"/>
      <w:marLeft w:val="0"/>
      <w:marRight w:val="0"/>
      <w:marTop w:val="0"/>
      <w:marBottom w:val="0"/>
      <w:divBdr>
        <w:top w:val="none" w:sz="0" w:space="0" w:color="auto"/>
        <w:left w:val="none" w:sz="0" w:space="0" w:color="auto"/>
        <w:bottom w:val="none" w:sz="0" w:space="0" w:color="auto"/>
        <w:right w:val="none" w:sz="0" w:space="0" w:color="auto"/>
      </w:divBdr>
    </w:div>
    <w:div w:id="1236866255">
      <w:bodyDiv w:val="1"/>
      <w:marLeft w:val="0"/>
      <w:marRight w:val="0"/>
      <w:marTop w:val="0"/>
      <w:marBottom w:val="0"/>
      <w:divBdr>
        <w:top w:val="none" w:sz="0" w:space="0" w:color="auto"/>
        <w:left w:val="none" w:sz="0" w:space="0" w:color="auto"/>
        <w:bottom w:val="none" w:sz="0" w:space="0" w:color="auto"/>
        <w:right w:val="none" w:sz="0" w:space="0" w:color="auto"/>
      </w:divBdr>
    </w:div>
    <w:div w:id="1236889649">
      <w:bodyDiv w:val="1"/>
      <w:marLeft w:val="0"/>
      <w:marRight w:val="0"/>
      <w:marTop w:val="0"/>
      <w:marBottom w:val="0"/>
      <w:divBdr>
        <w:top w:val="none" w:sz="0" w:space="0" w:color="auto"/>
        <w:left w:val="none" w:sz="0" w:space="0" w:color="auto"/>
        <w:bottom w:val="none" w:sz="0" w:space="0" w:color="auto"/>
        <w:right w:val="none" w:sz="0" w:space="0" w:color="auto"/>
      </w:divBdr>
    </w:div>
    <w:div w:id="1236935547">
      <w:bodyDiv w:val="1"/>
      <w:marLeft w:val="0"/>
      <w:marRight w:val="0"/>
      <w:marTop w:val="0"/>
      <w:marBottom w:val="0"/>
      <w:divBdr>
        <w:top w:val="none" w:sz="0" w:space="0" w:color="auto"/>
        <w:left w:val="none" w:sz="0" w:space="0" w:color="auto"/>
        <w:bottom w:val="none" w:sz="0" w:space="0" w:color="auto"/>
        <w:right w:val="none" w:sz="0" w:space="0" w:color="auto"/>
      </w:divBdr>
    </w:div>
    <w:div w:id="1237131631">
      <w:bodyDiv w:val="1"/>
      <w:marLeft w:val="0"/>
      <w:marRight w:val="0"/>
      <w:marTop w:val="0"/>
      <w:marBottom w:val="0"/>
      <w:divBdr>
        <w:top w:val="none" w:sz="0" w:space="0" w:color="auto"/>
        <w:left w:val="none" w:sz="0" w:space="0" w:color="auto"/>
        <w:bottom w:val="none" w:sz="0" w:space="0" w:color="auto"/>
        <w:right w:val="none" w:sz="0" w:space="0" w:color="auto"/>
      </w:divBdr>
    </w:div>
    <w:div w:id="1237326847">
      <w:bodyDiv w:val="1"/>
      <w:marLeft w:val="0"/>
      <w:marRight w:val="0"/>
      <w:marTop w:val="0"/>
      <w:marBottom w:val="0"/>
      <w:divBdr>
        <w:top w:val="none" w:sz="0" w:space="0" w:color="auto"/>
        <w:left w:val="none" w:sz="0" w:space="0" w:color="auto"/>
        <w:bottom w:val="none" w:sz="0" w:space="0" w:color="auto"/>
        <w:right w:val="none" w:sz="0" w:space="0" w:color="auto"/>
      </w:divBdr>
    </w:div>
    <w:div w:id="1237395585">
      <w:bodyDiv w:val="1"/>
      <w:marLeft w:val="0"/>
      <w:marRight w:val="0"/>
      <w:marTop w:val="0"/>
      <w:marBottom w:val="0"/>
      <w:divBdr>
        <w:top w:val="none" w:sz="0" w:space="0" w:color="auto"/>
        <w:left w:val="none" w:sz="0" w:space="0" w:color="auto"/>
        <w:bottom w:val="none" w:sz="0" w:space="0" w:color="auto"/>
        <w:right w:val="none" w:sz="0" w:space="0" w:color="auto"/>
      </w:divBdr>
    </w:div>
    <w:div w:id="1237399213">
      <w:bodyDiv w:val="1"/>
      <w:marLeft w:val="0"/>
      <w:marRight w:val="0"/>
      <w:marTop w:val="0"/>
      <w:marBottom w:val="0"/>
      <w:divBdr>
        <w:top w:val="none" w:sz="0" w:space="0" w:color="auto"/>
        <w:left w:val="none" w:sz="0" w:space="0" w:color="auto"/>
        <w:bottom w:val="none" w:sz="0" w:space="0" w:color="auto"/>
        <w:right w:val="none" w:sz="0" w:space="0" w:color="auto"/>
      </w:divBdr>
    </w:div>
    <w:div w:id="1237475028">
      <w:bodyDiv w:val="1"/>
      <w:marLeft w:val="0"/>
      <w:marRight w:val="0"/>
      <w:marTop w:val="0"/>
      <w:marBottom w:val="0"/>
      <w:divBdr>
        <w:top w:val="none" w:sz="0" w:space="0" w:color="auto"/>
        <w:left w:val="none" w:sz="0" w:space="0" w:color="auto"/>
        <w:bottom w:val="none" w:sz="0" w:space="0" w:color="auto"/>
        <w:right w:val="none" w:sz="0" w:space="0" w:color="auto"/>
      </w:divBdr>
    </w:div>
    <w:div w:id="1237519563">
      <w:bodyDiv w:val="1"/>
      <w:marLeft w:val="0"/>
      <w:marRight w:val="0"/>
      <w:marTop w:val="0"/>
      <w:marBottom w:val="0"/>
      <w:divBdr>
        <w:top w:val="none" w:sz="0" w:space="0" w:color="auto"/>
        <w:left w:val="none" w:sz="0" w:space="0" w:color="auto"/>
        <w:bottom w:val="none" w:sz="0" w:space="0" w:color="auto"/>
        <w:right w:val="none" w:sz="0" w:space="0" w:color="auto"/>
      </w:divBdr>
    </w:div>
    <w:div w:id="1237592780">
      <w:bodyDiv w:val="1"/>
      <w:marLeft w:val="0"/>
      <w:marRight w:val="0"/>
      <w:marTop w:val="0"/>
      <w:marBottom w:val="0"/>
      <w:divBdr>
        <w:top w:val="none" w:sz="0" w:space="0" w:color="auto"/>
        <w:left w:val="none" w:sz="0" w:space="0" w:color="auto"/>
        <w:bottom w:val="none" w:sz="0" w:space="0" w:color="auto"/>
        <w:right w:val="none" w:sz="0" w:space="0" w:color="auto"/>
      </w:divBdr>
    </w:div>
    <w:div w:id="1237745336">
      <w:bodyDiv w:val="1"/>
      <w:marLeft w:val="0"/>
      <w:marRight w:val="0"/>
      <w:marTop w:val="0"/>
      <w:marBottom w:val="0"/>
      <w:divBdr>
        <w:top w:val="none" w:sz="0" w:space="0" w:color="auto"/>
        <w:left w:val="none" w:sz="0" w:space="0" w:color="auto"/>
        <w:bottom w:val="none" w:sz="0" w:space="0" w:color="auto"/>
        <w:right w:val="none" w:sz="0" w:space="0" w:color="auto"/>
      </w:divBdr>
    </w:div>
    <w:div w:id="1237932207">
      <w:bodyDiv w:val="1"/>
      <w:marLeft w:val="0"/>
      <w:marRight w:val="0"/>
      <w:marTop w:val="0"/>
      <w:marBottom w:val="0"/>
      <w:divBdr>
        <w:top w:val="none" w:sz="0" w:space="0" w:color="auto"/>
        <w:left w:val="none" w:sz="0" w:space="0" w:color="auto"/>
        <w:bottom w:val="none" w:sz="0" w:space="0" w:color="auto"/>
        <w:right w:val="none" w:sz="0" w:space="0" w:color="auto"/>
      </w:divBdr>
    </w:div>
    <w:div w:id="1238321291">
      <w:bodyDiv w:val="1"/>
      <w:marLeft w:val="0"/>
      <w:marRight w:val="0"/>
      <w:marTop w:val="0"/>
      <w:marBottom w:val="0"/>
      <w:divBdr>
        <w:top w:val="none" w:sz="0" w:space="0" w:color="auto"/>
        <w:left w:val="none" w:sz="0" w:space="0" w:color="auto"/>
        <w:bottom w:val="none" w:sz="0" w:space="0" w:color="auto"/>
        <w:right w:val="none" w:sz="0" w:space="0" w:color="auto"/>
      </w:divBdr>
    </w:div>
    <w:div w:id="1238322600">
      <w:bodyDiv w:val="1"/>
      <w:marLeft w:val="0"/>
      <w:marRight w:val="0"/>
      <w:marTop w:val="0"/>
      <w:marBottom w:val="0"/>
      <w:divBdr>
        <w:top w:val="none" w:sz="0" w:space="0" w:color="auto"/>
        <w:left w:val="none" w:sz="0" w:space="0" w:color="auto"/>
        <w:bottom w:val="none" w:sz="0" w:space="0" w:color="auto"/>
        <w:right w:val="none" w:sz="0" w:space="0" w:color="auto"/>
      </w:divBdr>
    </w:div>
    <w:div w:id="1238327692">
      <w:bodyDiv w:val="1"/>
      <w:marLeft w:val="0"/>
      <w:marRight w:val="0"/>
      <w:marTop w:val="0"/>
      <w:marBottom w:val="0"/>
      <w:divBdr>
        <w:top w:val="none" w:sz="0" w:space="0" w:color="auto"/>
        <w:left w:val="none" w:sz="0" w:space="0" w:color="auto"/>
        <w:bottom w:val="none" w:sz="0" w:space="0" w:color="auto"/>
        <w:right w:val="none" w:sz="0" w:space="0" w:color="auto"/>
      </w:divBdr>
    </w:div>
    <w:div w:id="1238514558">
      <w:bodyDiv w:val="1"/>
      <w:marLeft w:val="0"/>
      <w:marRight w:val="0"/>
      <w:marTop w:val="0"/>
      <w:marBottom w:val="0"/>
      <w:divBdr>
        <w:top w:val="none" w:sz="0" w:space="0" w:color="auto"/>
        <w:left w:val="none" w:sz="0" w:space="0" w:color="auto"/>
        <w:bottom w:val="none" w:sz="0" w:space="0" w:color="auto"/>
        <w:right w:val="none" w:sz="0" w:space="0" w:color="auto"/>
      </w:divBdr>
    </w:div>
    <w:div w:id="1238590065">
      <w:bodyDiv w:val="1"/>
      <w:marLeft w:val="0"/>
      <w:marRight w:val="0"/>
      <w:marTop w:val="0"/>
      <w:marBottom w:val="0"/>
      <w:divBdr>
        <w:top w:val="none" w:sz="0" w:space="0" w:color="auto"/>
        <w:left w:val="none" w:sz="0" w:space="0" w:color="auto"/>
        <w:bottom w:val="none" w:sz="0" w:space="0" w:color="auto"/>
        <w:right w:val="none" w:sz="0" w:space="0" w:color="auto"/>
      </w:divBdr>
    </w:div>
    <w:div w:id="1238592489">
      <w:bodyDiv w:val="1"/>
      <w:marLeft w:val="0"/>
      <w:marRight w:val="0"/>
      <w:marTop w:val="0"/>
      <w:marBottom w:val="0"/>
      <w:divBdr>
        <w:top w:val="none" w:sz="0" w:space="0" w:color="auto"/>
        <w:left w:val="none" w:sz="0" w:space="0" w:color="auto"/>
        <w:bottom w:val="none" w:sz="0" w:space="0" w:color="auto"/>
        <w:right w:val="none" w:sz="0" w:space="0" w:color="auto"/>
      </w:divBdr>
    </w:div>
    <w:div w:id="1238828427">
      <w:bodyDiv w:val="1"/>
      <w:marLeft w:val="0"/>
      <w:marRight w:val="0"/>
      <w:marTop w:val="0"/>
      <w:marBottom w:val="0"/>
      <w:divBdr>
        <w:top w:val="none" w:sz="0" w:space="0" w:color="auto"/>
        <w:left w:val="none" w:sz="0" w:space="0" w:color="auto"/>
        <w:bottom w:val="none" w:sz="0" w:space="0" w:color="auto"/>
        <w:right w:val="none" w:sz="0" w:space="0" w:color="auto"/>
      </w:divBdr>
    </w:div>
    <w:div w:id="1238857685">
      <w:bodyDiv w:val="1"/>
      <w:marLeft w:val="0"/>
      <w:marRight w:val="0"/>
      <w:marTop w:val="0"/>
      <w:marBottom w:val="0"/>
      <w:divBdr>
        <w:top w:val="none" w:sz="0" w:space="0" w:color="auto"/>
        <w:left w:val="none" w:sz="0" w:space="0" w:color="auto"/>
        <w:bottom w:val="none" w:sz="0" w:space="0" w:color="auto"/>
        <w:right w:val="none" w:sz="0" w:space="0" w:color="auto"/>
      </w:divBdr>
    </w:div>
    <w:div w:id="1238899174">
      <w:bodyDiv w:val="1"/>
      <w:marLeft w:val="0"/>
      <w:marRight w:val="0"/>
      <w:marTop w:val="0"/>
      <w:marBottom w:val="0"/>
      <w:divBdr>
        <w:top w:val="none" w:sz="0" w:space="0" w:color="auto"/>
        <w:left w:val="none" w:sz="0" w:space="0" w:color="auto"/>
        <w:bottom w:val="none" w:sz="0" w:space="0" w:color="auto"/>
        <w:right w:val="none" w:sz="0" w:space="0" w:color="auto"/>
      </w:divBdr>
    </w:div>
    <w:div w:id="1238906252">
      <w:bodyDiv w:val="1"/>
      <w:marLeft w:val="0"/>
      <w:marRight w:val="0"/>
      <w:marTop w:val="0"/>
      <w:marBottom w:val="0"/>
      <w:divBdr>
        <w:top w:val="none" w:sz="0" w:space="0" w:color="auto"/>
        <w:left w:val="none" w:sz="0" w:space="0" w:color="auto"/>
        <w:bottom w:val="none" w:sz="0" w:space="0" w:color="auto"/>
        <w:right w:val="none" w:sz="0" w:space="0" w:color="auto"/>
      </w:divBdr>
    </w:div>
    <w:div w:id="1238973646">
      <w:bodyDiv w:val="1"/>
      <w:marLeft w:val="0"/>
      <w:marRight w:val="0"/>
      <w:marTop w:val="0"/>
      <w:marBottom w:val="0"/>
      <w:divBdr>
        <w:top w:val="none" w:sz="0" w:space="0" w:color="auto"/>
        <w:left w:val="none" w:sz="0" w:space="0" w:color="auto"/>
        <w:bottom w:val="none" w:sz="0" w:space="0" w:color="auto"/>
        <w:right w:val="none" w:sz="0" w:space="0" w:color="auto"/>
      </w:divBdr>
    </w:div>
    <w:div w:id="1239091139">
      <w:bodyDiv w:val="1"/>
      <w:marLeft w:val="0"/>
      <w:marRight w:val="0"/>
      <w:marTop w:val="0"/>
      <w:marBottom w:val="0"/>
      <w:divBdr>
        <w:top w:val="none" w:sz="0" w:space="0" w:color="auto"/>
        <w:left w:val="none" w:sz="0" w:space="0" w:color="auto"/>
        <w:bottom w:val="none" w:sz="0" w:space="0" w:color="auto"/>
        <w:right w:val="none" w:sz="0" w:space="0" w:color="auto"/>
      </w:divBdr>
    </w:div>
    <w:div w:id="1239367917">
      <w:bodyDiv w:val="1"/>
      <w:marLeft w:val="0"/>
      <w:marRight w:val="0"/>
      <w:marTop w:val="0"/>
      <w:marBottom w:val="0"/>
      <w:divBdr>
        <w:top w:val="none" w:sz="0" w:space="0" w:color="auto"/>
        <w:left w:val="none" w:sz="0" w:space="0" w:color="auto"/>
        <w:bottom w:val="none" w:sz="0" w:space="0" w:color="auto"/>
        <w:right w:val="none" w:sz="0" w:space="0" w:color="auto"/>
      </w:divBdr>
    </w:div>
    <w:div w:id="1239368178">
      <w:bodyDiv w:val="1"/>
      <w:marLeft w:val="0"/>
      <w:marRight w:val="0"/>
      <w:marTop w:val="0"/>
      <w:marBottom w:val="0"/>
      <w:divBdr>
        <w:top w:val="none" w:sz="0" w:space="0" w:color="auto"/>
        <w:left w:val="none" w:sz="0" w:space="0" w:color="auto"/>
        <w:bottom w:val="none" w:sz="0" w:space="0" w:color="auto"/>
        <w:right w:val="none" w:sz="0" w:space="0" w:color="auto"/>
      </w:divBdr>
    </w:div>
    <w:div w:id="1239484621">
      <w:bodyDiv w:val="1"/>
      <w:marLeft w:val="0"/>
      <w:marRight w:val="0"/>
      <w:marTop w:val="0"/>
      <w:marBottom w:val="0"/>
      <w:divBdr>
        <w:top w:val="none" w:sz="0" w:space="0" w:color="auto"/>
        <w:left w:val="none" w:sz="0" w:space="0" w:color="auto"/>
        <w:bottom w:val="none" w:sz="0" w:space="0" w:color="auto"/>
        <w:right w:val="none" w:sz="0" w:space="0" w:color="auto"/>
      </w:divBdr>
    </w:div>
    <w:div w:id="1239559290">
      <w:bodyDiv w:val="1"/>
      <w:marLeft w:val="0"/>
      <w:marRight w:val="0"/>
      <w:marTop w:val="0"/>
      <w:marBottom w:val="0"/>
      <w:divBdr>
        <w:top w:val="none" w:sz="0" w:space="0" w:color="auto"/>
        <w:left w:val="none" w:sz="0" w:space="0" w:color="auto"/>
        <w:bottom w:val="none" w:sz="0" w:space="0" w:color="auto"/>
        <w:right w:val="none" w:sz="0" w:space="0" w:color="auto"/>
      </w:divBdr>
    </w:div>
    <w:div w:id="1239561167">
      <w:bodyDiv w:val="1"/>
      <w:marLeft w:val="0"/>
      <w:marRight w:val="0"/>
      <w:marTop w:val="0"/>
      <w:marBottom w:val="0"/>
      <w:divBdr>
        <w:top w:val="none" w:sz="0" w:space="0" w:color="auto"/>
        <w:left w:val="none" w:sz="0" w:space="0" w:color="auto"/>
        <w:bottom w:val="none" w:sz="0" w:space="0" w:color="auto"/>
        <w:right w:val="none" w:sz="0" w:space="0" w:color="auto"/>
      </w:divBdr>
    </w:div>
    <w:div w:id="1239562855">
      <w:bodyDiv w:val="1"/>
      <w:marLeft w:val="0"/>
      <w:marRight w:val="0"/>
      <w:marTop w:val="0"/>
      <w:marBottom w:val="0"/>
      <w:divBdr>
        <w:top w:val="none" w:sz="0" w:space="0" w:color="auto"/>
        <w:left w:val="none" w:sz="0" w:space="0" w:color="auto"/>
        <w:bottom w:val="none" w:sz="0" w:space="0" w:color="auto"/>
        <w:right w:val="none" w:sz="0" w:space="0" w:color="auto"/>
      </w:divBdr>
    </w:div>
    <w:div w:id="1239637166">
      <w:bodyDiv w:val="1"/>
      <w:marLeft w:val="0"/>
      <w:marRight w:val="0"/>
      <w:marTop w:val="0"/>
      <w:marBottom w:val="0"/>
      <w:divBdr>
        <w:top w:val="none" w:sz="0" w:space="0" w:color="auto"/>
        <w:left w:val="none" w:sz="0" w:space="0" w:color="auto"/>
        <w:bottom w:val="none" w:sz="0" w:space="0" w:color="auto"/>
        <w:right w:val="none" w:sz="0" w:space="0" w:color="auto"/>
      </w:divBdr>
    </w:div>
    <w:div w:id="1239705602">
      <w:bodyDiv w:val="1"/>
      <w:marLeft w:val="0"/>
      <w:marRight w:val="0"/>
      <w:marTop w:val="0"/>
      <w:marBottom w:val="0"/>
      <w:divBdr>
        <w:top w:val="none" w:sz="0" w:space="0" w:color="auto"/>
        <w:left w:val="none" w:sz="0" w:space="0" w:color="auto"/>
        <w:bottom w:val="none" w:sz="0" w:space="0" w:color="auto"/>
        <w:right w:val="none" w:sz="0" w:space="0" w:color="auto"/>
      </w:divBdr>
    </w:div>
    <w:div w:id="1239707756">
      <w:bodyDiv w:val="1"/>
      <w:marLeft w:val="0"/>
      <w:marRight w:val="0"/>
      <w:marTop w:val="0"/>
      <w:marBottom w:val="0"/>
      <w:divBdr>
        <w:top w:val="none" w:sz="0" w:space="0" w:color="auto"/>
        <w:left w:val="none" w:sz="0" w:space="0" w:color="auto"/>
        <w:bottom w:val="none" w:sz="0" w:space="0" w:color="auto"/>
        <w:right w:val="none" w:sz="0" w:space="0" w:color="auto"/>
      </w:divBdr>
    </w:div>
    <w:div w:id="1240024551">
      <w:bodyDiv w:val="1"/>
      <w:marLeft w:val="0"/>
      <w:marRight w:val="0"/>
      <w:marTop w:val="0"/>
      <w:marBottom w:val="0"/>
      <w:divBdr>
        <w:top w:val="none" w:sz="0" w:space="0" w:color="auto"/>
        <w:left w:val="none" w:sz="0" w:space="0" w:color="auto"/>
        <w:bottom w:val="none" w:sz="0" w:space="0" w:color="auto"/>
        <w:right w:val="none" w:sz="0" w:space="0" w:color="auto"/>
      </w:divBdr>
    </w:div>
    <w:div w:id="1240093945">
      <w:bodyDiv w:val="1"/>
      <w:marLeft w:val="0"/>
      <w:marRight w:val="0"/>
      <w:marTop w:val="0"/>
      <w:marBottom w:val="0"/>
      <w:divBdr>
        <w:top w:val="none" w:sz="0" w:space="0" w:color="auto"/>
        <w:left w:val="none" w:sz="0" w:space="0" w:color="auto"/>
        <w:bottom w:val="none" w:sz="0" w:space="0" w:color="auto"/>
        <w:right w:val="none" w:sz="0" w:space="0" w:color="auto"/>
      </w:divBdr>
    </w:div>
    <w:div w:id="1240169490">
      <w:bodyDiv w:val="1"/>
      <w:marLeft w:val="0"/>
      <w:marRight w:val="0"/>
      <w:marTop w:val="0"/>
      <w:marBottom w:val="0"/>
      <w:divBdr>
        <w:top w:val="none" w:sz="0" w:space="0" w:color="auto"/>
        <w:left w:val="none" w:sz="0" w:space="0" w:color="auto"/>
        <w:bottom w:val="none" w:sz="0" w:space="0" w:color="auto"/>
        <w:right w:val="none" w:sz="0" w:space="0" w:color="auto"/>
      </w:divBdr>
    </w:div>
    <w:div w:id="1240212859">
      <w:bodyDiv w:val="1"/>
      <w:marLeft w:val="0"/>
      <w:marRight w:val="0"/>
      <w:marTop w:val="0"/>
      <w:marBottom w:val="0"/>
      <w:divBdr>
        <w:top w:val="none" w:sz="0" w:space="0" w:color="auto"/>
        <w:left w:val="none" w:sz="0" w:space="0" w:color="auto"/>
        <w:bottom w:val="none" w:sz="0" w:space="0" w:color="auto"/>
        <w:right w:val="none" w:sz="0" w:space="0" w:color="auto"/>
      </w:divBdr>
    </w:div>
    <w:div w:id="1240405455">
      <w:bodyDiv w:val="1"/>
      <w:marLeft w:val="0"/>
      <w:marRight w:val="0"/>
      <w:marTop w:val="0"/>
      <w:marBottom w:val="0"/>
      <w:divBdr>
        <w:top w:val="none" w:sz="0" w:space="0" w:color="auto"/>
        <w:left w:val="none" w:sz="0" w:space="0" w:color="auto"/>
        <w:bottom w:val="none" w:sz="0" w:space="0" w:color="auto"/>
        <w:right w:val="none" w:sz="0" w:space="0" w:color="auto"/>
      </w:divBdr>
    </w:div>
    <w:div w:id="1240406606">
      <w:bodyDiv w:val="1"/>
      <w:marLeft w:val="0"/>
      <w:marRight w:val="0"/>
      <w:marTop w:val="0"/>
      <w:marBottom w:val="0"/>
      <w:divBdr>
        <w:top w:val="none" w:sz="0" w:space="0" w:color="auto"/>
        <w:left w:val="none" w:sz="0" w:space="0" w:color="auto"/>
        <w:bottom w:val="none" w:sz="0" w:space="0" w:color="auto"/>
        <w:right w:val="none" w:sz="0" w:space="0" w:color="auto"/>
      </w:divBdr>
    </w:div>
    <w:div w:id="1240747774">
      <w:bodyDiv w:val="1"/>
      <w:marLeft w:val="0"/>
      <w:marRight w:val="0"/>
      <w:marTop w:val="0"/>
      <w:marBottom w:val="0"/>
      <w:divBdr>
        <w:top w:val="none" w:sz="0" w:space="0" w:color="auto"/>
        <w:left w:val="none" w:sz="0" w:space="0" w:color="auto"/>
        <w:bottom w:val="none" w:sz="0" w:space="0" w:color="auto"/>
        <w:right w:val="none" w:sz="0" w:space="0" w:color="auto"/>
      </w:divBdr>
    </w:div>
    <w:div w:id="1240823933">
      <w:bodyDiv w:val="1"/>
      <w:marLeft w:val="0"/>
      <w:marRight w:val="0"/>
      <w:marTop w:val="0"/>
      <w:marBottom w:val="0"/>
      <w:divBdr>
        <w:top w:val="none" w:sz="0" w:space="0" w:color="auto"/>
        <w:left w:val="none" w:sz="0" w:space="0" w:color="auto"/>
        <w:bottom w:val="none" w:sz="0" w:space="0" w:color="auto"/>
        <w:right w:val="none" w:sz="0" w:space="0" w:color="auto"/>
      </w:divBdr>
    </w:div>
    <w:div w:id="1241015804">
      <w:bodyDiv w:val="1"/>
      <w:marLeft w:val="0"/>
      <w:marRight w:val="0"/>
      <w:marTop w:val="0"/>
      <w:marBottom w:val="0"/>
      <w:divBdr>
        <w:top w:val="none" w:sz="0" w:space="0" w:color="auto"/>
        <w:left w:val="none" w:sz="0" w:space="0" w:color="auto"/>
        <w:bottom w:val="none" w:sz="0" w:space="0" w:color="auto"/>
        <w:right w:val="none" w:sz="0" w:space="0" w:color="auto"/>
      </w:divBdr>
    </w:div>
    <w:div w:id="1241017793">
      <w:bodyDiv w:val="1"/>
      <w:marLeft w:val="0"/>
      <w:marRight w:val="0"/>
      <w:marTop w:val="0"/>
      <w:marBottom w:val="0"/>
      <w:divBdr>
        <w:top w:val="none" w:sz="0" w:space="0" w:color="auto"/>
        <w:left w:val="none" w:sz="0" w:space="0" w:color="auto"/>
        <w:bottom w:val="none" w:sz="0" w:space="0" w:color="auto"/>
        <w:right w:val="none" w:sz="0" w:space="0" w:color="auto"/>
      </w:divBdr>
    </w:div>
    <w:div w:id="1241061268">
      <w:bodyDiv w:val="1"/>
      <w:marLeft w:val="0"/>
      <w:marRight w:val="0"/>
      <w:marTop w:val="0"/>
      <w:marBottom w:val="0"/>
      <w:divBdr>
        <w:top w:val="none" w:sz="0" w:space="0" w:color="auto"/>
        <w:left w:val="none" w:sz="0" w:space="0" w:color="auto"/>
        <w:bottom w:val="none" w:sz="0" w:space="0" w:color="auto"/>
        <w:right w:val="none" w:sz="0" w:space="0" w:color="auto"/>
      </w:divBdr>
    </w:div>
    <w:div w:id="1241209188">
      <w:bodyDiv w:val="1"/>
      <w:marLeft w:val="0"/>
      <w:marRight w:val="0"/>
      <w:marTop w:val="0"/>
      <w:marBottom w:val="0"/>
      <w:divBdr>
        <w:top w:val="none" w:sz="0" w:space="0" w:color="auto"/>
        <w:left w:val="none" w:sz="0" w:space="0" w:color="auto"/>
        <w:bottom w:val="none" w:sz="0" w:space="0" w:color="auto"/>
        <w:right w:val="none" w:sz="0" w:space="0" w:color="auto"/>
      </w:divBdr>
    </w:div>
    <w:div w:id="1241325658">
      <w:bodyDiv w:val="1"/>
      <w:marLeft w:val="0"/>
      <w:marRight w:val="0"/>
      <w:marTop w:val="0"/>
      <w:marBottom w:val="0"/>
      <w:divBdr>
        <w:top w:val="none" w:sz="0" w:space="0" w:color="auto"/>
        <w:left w:val="none" w:sz="0" w:space="0" w:color="auto"/>
        <w:bottom w:val="none" w:sz="0" w:space="0" w:color="auto"/>
        <w:right w:val="none" w:sz="0" w:space="0" w:color="auto"/>
      </w:divBdr>
    </w:div>
    <w:div w:id="1241409179">
      <w:bodyDiv w:val="1"/>
      <w:marLeft w:val="0"/>
      <w:marRight w:val="0"/>
      <w:marTop w:val="0"/>
      <w:marBottom w:val="0"/>
      <w:divBdr>
        <w:top w:val="none" w:sz="0" w:space="0" w:color="auto"/>
        <w:left w:val="none" w:sz="0" w:space="0" w:color="auto"/>
        <w:bottom w:val="none" w:sz="0" w:space="0" w:color="auto"/>
        <w:right w:val="none" w:sz="0" w:space="0" w:color="auto"/>
      </w:divBdr>
    </w:div>
    <w:div w:id="1241479569">
      <w:bodyDiv w:val="1"/>
      <w:marLeft w:val="0"/>
      <w:marRight w:val="0"/>
      <w:marTop w:val="0"/>
      <w:marBottom w:val="0"/>
      <w:divBdr>
        <w:top w:val="none" w:sz="0" w:space="0" w:color="auto"/>
        <w:left w:val="none" w:sz="0" w:space="0" w:color="auto"/>
        <w:bottom w:val="none" w:sz="0" w:space="0" w:color="auto"/>
        <w:right w:val="none" w:sz="0" w:space="0" w:color="auto"/>
      </w:divBdr>
    </w:div>
    <w:div w:id="1241603161">
      <w:bodyDiv w:val="1"/>
      <w:marLeft w:val="0"/>
      <w:marRight w:val="0"/>
      <w:marTop w:val="0"/>
      <w:marBottom w:val="0"/>
      <w:divBdr>
        <w:top w:val="none" w:sz="0" w:space="0" w:color="auto"/>
        <w:left w:val="none" w:sz="0" w:space="0" w:color="auto"/>
        <w:bottom w:val="none" w:sz="0" w:space="0" w:color="auto"/>
        <w:right w:val="none" w:sz="0" w:space="0" w:color="auto"/>
      </w:divBdr>
    </w:div>
    <w:div w:id="1241712880">
      <w:bodyDiv w:val="1"/>
      <w:marLeft w:val="0"/>
      <w:marRight w:val="0"/>
      <w:marTop w:val="0"/>
      <w:marBottom w:val="0"/>
      <w:divBdr>
        <w:top w:val="none" w:sz="0" w:space="0" w:color="auto"/>
        <w:left w:val="none" w:sz="0" w:space="0" w:color="auto"/>
        <w:bottom w:val="none" w:sz="0" w:space="0" w:color="auto"/>
        <w:right w:val="none" w:sz="0" w:space="0" w:color="auto"/>
      </w:divBdr>
    </w:div>
    <w:div w:id="1241713570">
      <w:bodyDiv w:val="1"/>
      <w:marLeft w:val="0"/>
      <w:marRight w:val="0"/>
      <w:marTop w:val="0"/>
      <w:marBottom w:val="0"/>
      <w:divBdr>
        <w:top w:val="none" w:sz="0" w:space="0" w:color="auto"/>
        <w:left w:val="none" w:sz="0" w:space="0" w:color="auto"/>
        <w:bottom w:val="none" w:sz="0" w:space="0" w:color="auto"/>
        <w:right w:val="none" w:sz="0" w:space="0" w:color="auto"/>
      </w:divBdr>
    </w:div>
    <w:div w:id="1241788913">
      <w:bodyDiv w:val="1"/>
      <w:marLeft w:val="0"/>
      <w:marRight w:val="0"/>
      <w:marTop w:val="0"/>
      <w:marBottom w:val="0"/>
      <w:divBdr>
        <w:top w:val="none" w:sz="0" w:space="0" w:color="auto"/>
        <w:left w:val="none" w:sz="0" w:space="0" w:color="auto"/>
        <w:bottom w:val="none" w:sz="0" w:space="0" w:color="auto"/>
        <w:right w:val="none" w:sz="0" w:space="0" w:color="auto"/>
      </w:divBdr>
    </w:div>
    <w:div w:id="1241790372">
      <w:bodyDiv w:val="1"/>
      <w:marLeft w:val="0"/>
      <w:marRight w:val="0"/>
      <w:marTop w:val="0"/>
      <w:marBottom w:val="0"/>
      <w:divBdr>
        <w:top w:val="none" w:sz="0" w:space="0" w:color="auto"/>
        <w:left w:val="none" w:sz="0" w:space="0" w:color="auto"/>
        <w:bottom w:val="none" w:sz="0" w:space="0" w:color="auto"/>
        <w:right w:val="none" w:sz="0" w:space="0" w:color="auto"/>
      </w:divBdr>
    </w:div>
    <w:div w:id="1241795019">
      <w:bodyDiv w:val="1"/>
      <w:marLeft w:val="0"/>
      <w:marRight w:val="0"/>
      <w:marTop w:val="0"/>
      <w:marBottom w:val="0"/>
      <w:divBdr>
        <w:top w:val="none" w:sz="0" w:space="0" w:color="auto"/>
        <w:left w:val="none" w:sz="0" w:space="0" w:color="auto"/>
        <w:bottom w:val="none" w:sz="0" w:space="0" w:color="auto"/>
        <w:right w:val="none" w:sz="0" w:space="0" w:color="auto"/>
      </w:divBdr>
    </w:div>
    <w:div w:id="1241866891">
      <w:bodyDiv w:val="1"/>
      <w:marLeft w:val="0"/>
      <w:marRight w:val="0"/>
      <w:marTop w:val="0"/>
      <w:marBottom w:val="0"/>
      <w:divBdr>
        <w:top w:val="none" w:sz="0" w:space="0" w:color="auto"/>
        <w:left w:val="none" w:sz="0" w:space="0" w:color="auto"/>
        <w:bottom w:val="none" w:sz="0" w:space="0" w:color="auto"/>
        <w:right w:val="none" w:sz="0" w:space="0" w:color="auto"/>
      </w:divBdr>
    </w:div>
    <w:div w:id="1241870586">
      <w:bodyDiv w:val="1"/>
      <w:marLeft w:val="0"/>
      <w:marRight w:val="0"/>
      <w:marTop w:val="0"/>
      <w:marBottom w:val="0"/>
      <w:divBdr>
        <w:top w:val="none" w:sz="0" w:space="0" w:color="auto"/>
        <w:left w:val="none" w:sz="0" w:space="0" w:color="auto"/>
        <w:bottom w:val="none" w:sz="0" w:space="0" w:color="auto"/>
        <w:right w:val="none" w:sz="0" w:space="0" w:color="auto"/>
      </w:divBdr>
    </w:div>
    <w:div w:id="1241984274">
      <w:bodyDiv w:val="1"/>
      <w:marLeft w:val="0"/>
      <w:marRight w:val="0"/>
      <w:marTop w:val="0"/>
      <w:marBottom w:val="0"/>
      <w:divBdr>
        <w:top w:val="none" w:sz="0" w:space="0" w:color="auto"/>
        <w:left w:val="none" w:sz="0" w:space="0" w:color="auto"/>
        <w:bottom w:val="none" w:sz="0" w:space="0" w:color="auto"/>
        <w:right w:val="none" w:sz="0" w:space="0" w:color="auto"/>
      </w:divBdr>
    </w:div>
    <w:div w:id="1242063925">
      <w:bodyDiv w:val="1"/>
      <w:marLeft w:val="0"/>
      <w:marRight w:val="0"/>
      <w:marTop w:val="0"/>
      <w:marBottom w:val="0"/>
      <w:divBdr>
        <w:top w:val="none" w:sz="0" w:space="0" w:color="auto"/>
        <w:left w:val="none" w:sz="0" w:space="0" w:color="auto"/>
        <w:bottom w:val="none" w:sz="0" w:space="0" w:color="auto"/>
        <w:right w:val="none" w:sz="0" w:space="0" w:color="auto"/>
      </w:divBdr>
    </w:div>
    <w:div w:id="1242108264">
      <w:bodyDiv w:val="1"/>
      <w:marLeft w:val="0"/>
      <w:marRight w:val="0"/>
      <w:marTop w:val="0"/>
      <w:marBottom w:val="0"/>
      <w:divBdr>
        <w:top w:val="none" w:sz="0" w:space="0" w:color="auto"/>
        <w:left w:val="none" w:sz="0" w:space="0" w:color="auto"/>
        <w:bottom w:val="none" w:sz="0" w:space="0" w:color="auto"/>
        <w:right w:val="none" w:sz="0" w:space="0" w:color="auto"/>
      </w:divBdr>
    </w:div>
    <w:div w:id="1242175401">
      <w:bodyDiv w:val="1"/>
      <w:marLeft w:val="0"/>
      <w:marRight w:val="0"/>
      <w:marTop w:val="0"/>
      <w:marBottom w:val="0"/>
      <w:divBdr>
        <w:top w:val="none" w:sz="0" w:space="0" w:color="auto"/>
        <w:left w:val="none" w:sz="0" w:space="0" w:color="auto"/>
        <w:bottom w:val="none" w:sz="0" w:space="0" w:color="auto"/>
        <w:right w:val="none" w:sz="0" w:space="0" w:color="auto"/>
      </w:divBdr>
    </w:div>
    <w:div w:id="1242325493">
      <w:bodyDiv w:val="1"/>
      <w:marLeft w:val="0"/>
      <w:marRight w:val="0"/>
      <w:marTop w:val="0"/>
      <w:marBottom w:val="0"/>
      <w:divBdr>
        <w:top w:val="none" w:sz="0" w:space="0" w:color="auto"/>
        <w:left w:val="none" w:sz="0" w:space="0" w:color="auto"/>
        <w:bottom w:val="none" w:sz="0" w:space="0" w:color="auto"/>
        <w:right w:val="none" w:sz="0" w:space="0" w:color="auto"/>
      </w:divBdr>
    </w:div>
    <w:div w:id="1242331504">
      <w:bodyDiv w:val="1"/>
      <w:marLeft w:val="0"/>
      <w:marRight w:val="0"/>
      <w:marTop w:val="0"/>
      <w:marBottom w:val="0"/>
      <w:divBdr>
        <w:top w:val="none" w:sz="0" w:space="0" w:color="auto"/>
        <w:left w:val="none" w:sz="0" w:space="0" w:color="auto"/>
        <w:bottom w:val="none" w:sz="0" w:space="0" w:color="auto"/>
        <w:right w:val="none" w:sz="0" w:space="0" w:color="auto"/>
      </w:divBdr>
    </w:div>
    <w:div w:id="1242333169">
      <w:bodyDiv w:val="1"/>
      <w:marLeft w:val="0"/>
      <w:marRight w:val="0"/>
      <w:marTop w:val="0"/>
      <w:marBottom w:val="0"/>
      <w:divBdr>
        <w:top w:val="none" w:sz="0" w:space="0" w:color="auto"/>
        <w:left w:val="none" w:sz="0" w:space="0" w:color="auto"/>
        <w:bottom w:val="none" w:sz="0" w:space="0" w:color="auto"/>
        <w:right w:val="none" w:sz="0" w:space="0" w:color="auto"/>
      </w:divBdr>
    </w:div>
    <w:div w:id="1242371688">
      <w:bodyDiv w:val="1"/>
      <w:marLeft w:val="0"/>
      <w:marRight w:val="0"/>
      <w:marTop w:val="0"/>
      <w:marBottom w:val="0"/>
      <w:divBdr>
        <w:top w:val="none" w:sz="0" w:space="0" w:color="auto"/>
        <w:left w:val="none" w:sz="0" w:space="0" w:color="auto"/>
        <w:bottom w:val="none" w:sz="0" w:space="0" w:color="auto"/>
        <w:right w:val="none" w:sz="0" w:space="0" w:color="auto"/>
      </w:divBdr>
    </w:div>
    <w:div w:id="1242371965">
      <w:bodyDiv w:val="1"/>
      <w:marLeft w:val="0"/>
      <w:marRight w:val="0"/>
      <w:marTop w:val="0"/>
      <w:marBottom w:val="0"/>
      <w:divBdr>
        <w:top w:val="none" w:sz="0" w:space="0" w:color="auto"/>
        <w:left w:val="none" w:sz="0" w:space="0" w:color="auto"/>
        <w:bottom w:val="none" w:sz="0" w:space="0" w:color="auto"/>
        <w:right w:val="none" w:sz="0" w:space="0" w:color="auto"/>
      </w:divBdr>
    </w:div>
    <w:div w:id="1242375973">
      <w:bodyDiv w:val="1"/>
      <w:marLeft w:val="0"/>
      <w:marRight w:val="0"/>
      <w:marTop w:val="0"/>
      <w:marBottom w:val="0"/>
      <w:divBdr>
        <w:top w:val="none" w:sz="0" w:space="0" w:color="auto"/>
        <w:left w:val="none" w:sz="0" w:space="0" w:color="auto"/>
        <w:bottom w:val="none" w:sz="0" w:space="0" w:color="auto"/>
        <w:right w:val="none" w:sz="0" w:space="0" w:color="auto"/>
      </w:divBdr>
    </w:div>
    <w:div w:id="1242376328">
      <w:bodyDiv w:val="1"/>
      <w:marLeft w:val="0"/>
      <w:marRight w:val="0"/>
      <w:marTop w:val="0"/>
      <w:marBottom w:val="0"/>
      <w:divBdr>
        <w:top w:val="none" w:sz="0" w:space="0" w:color="auto"/>
        <w:left w:val="none" w:sz="0" w:space="0" w:color="auto"/>
        <w:bottom w:val="none" w:sz="0" w:space="0" w:color="auto"/>
        <w:right w:val="none" w:sz="0" w:space="0" w:color="auto"/>
      </w:divBdr>
    </w:div>
    <w:div w:id="1242443008">
      <w:bodyDiv w:val="1"/>
      <w:marLeft w:val="0"/>
      <w:marRight w:val="0"/>
      <w:marTop w:val="0"/>
      <w:marBottom w:val="0"/>
      <w:divBdr>
        <w:top w:val="none" w:sz="0" w:space="0" w:color="auto"/>
        <w:left w:val="none" w:sz="0" w:space="0" w:color="auto"/>
        <w:bottom w:val="none" w:sz="0" w:space="0" w:color="auto"/>
        <w:right w:val="none" w:sz="0" w:space="0" w:color="auto"/>
      </w:divBdr>
    </w:div>
    <w:div w:id="1242450194">
      <w:bodyDiv w:val="1"/>
      <w:marLeft w:val="0"/>
      <w:marRight w:val="0"/>
      <w:marTop w:val="0"/>
      <w:marBottom w:val="0"/>
      <w:divBdr>
        <w:top w:val="none" w:sz="0" w:space="0" w:color="auto"/>
        <w:left w:val="none" w:sz="0" w:space="0" w:color="auto"/>
        <w:bottom w:val="none" w:sz="0" w:space="0" w:color="auto"/>
        <w:right w:val="none" w:sz="0" w:space="0" w:color="auto"/>
      </w:divBdr>
    </w:div>
    <w:div w:id="1242450202">
      <w:bodyDiv w:val="1"/>
      <w:marLeft w:val="0"/>
      <w:marRight w:val="0"/>
      <w:marTop w:val="0"/>
      <w:marBottom w:val="0"/>
      <w:divBdr>
        <w:top w:val="none" w:sz="0" w:space="0" w:color="auto"/>
        <w:left w:val="none" w:sz="0" w:space="0" w:color="auto"/>
        <w:bottom w:val="none" w:sz="0" w:space="0" w:color="auto"/>
        <w:right w:val="none" w:sz="0" w:space="0" w:color="auto"/>
      </w:divBdr>
    </w:div>
    <w:div w:id="1242526203">
      <w:bodyDiv w:val="1"/>
      <w:marLeft w:val="0"/>
      <w:marRight w:val="0"/>
      <w:marTop w:val="0"/>
      <w:marBottom w:val="0"/>
      <w:divBdr>
        <w:top w:val="none" w:sz="0" w:space="0" w:color="auto"/>
        <w:left w:val="none" w:sz="0" w:space="0" w:color="auto"/>
        <w:bottom w:val="none" w:sz="0" w:space="0" w:color="auto"/>
        <w:right w:val="none" w:sz="0" w:space="0" w:color="auto"/>
      </w:divBdr>
    </w:div>
    <w:div w:id="1242570146">
      <w:bodyDiv w:val="1"/>
      <w:marLeft w:val="0"/>
      <w:marRight w:val="0"/>
      <w:marTop w:val="0"/>
      <w:marBottom w:val="0"/>
      <w:divBdr>
        <w:top w:val="none" w:sz="0" w:space="0" w:color="auto"/>
        <w:left w:val="none" w:sz="0" w:space="0" w:color="auto"/>
        <w:bottom w:val="none" w:sz="0" w:space="0" w:color="auto"/>
        <w:right w:val="none" w:sz="0" w:space="0" w:color="auto"/>
      </w:divBdr>
    </w:div>
    <w:div w:id="1242637649">
      <w:bodyDiv w:val="1"/>
      <w:marLeft w:val="0"/>
      <w:marRight w:val="0"/>
      <w:marTop w:val="0"/>
      <w:marBottom w:val="0"/>
      <w:divBdr>
        <w:top w:val="none" w:sz="0" w:space="0" w:color="auto"/>
        <w:left w:val="none" w:sz="0" w:space="0" w:color="auto"/>
        <w:bottom w:val="none" w:sz="0" w:space="0" w:color="auto"/>
        <w:right w:val="none" w:sz="0" w:space="0" w:color="auto"/>
      </w:divBdr>
    </w:div>
    <w:div w:id="1242637973">
      <w:bodyDiv w:val="1"/>
      <w:marLeft w:val="0"/>
      <w:marRight w:val="0"/>
      <w:marTop w:val="0"/>
      <w:marBottom w:val="0"/>
      <w:divBdr>
        <w:top w:val="none" w:sz="0" w:space="0" w:color="auto"/>
        <w:left w:val="none" w:sz="0" w:space="0" w:color="auto"/>
        <w:bottom w:val="none" w:sz="0" w:space="0" w:color="auto"/>
        <w:right w:val="none" w:sz="0" w:space="0" w:color="auto"/>
      </w:divBdr>
    </w:div>
    <w:div w:id="1242641819">
      <w:bodyDiv w:val="1"/>
      <w:marLeft w:val="0"/>
      <w:marRight w:val="0"/>
      <w:marTop w:val="0"/>
      <w:marBottom w:val="0"/>
      <w:divBdr>
        <w:top w:val="none" w:sz="0" w:space="0" w:color="auto"/>
        <w:left w:val="none" w:sz="0" w:space="0" w:color="auto"/>
        <w:bottom w:val="none" w:sz="0" w:space="0" w:color="auto"/>
        <w:right w:val="none" w:sz="0" w:space="0" w:color="auto"/>
      </w:divBdr>
    </w:div>
    <w:div w:id="1242830435">
      <w:bodyDiv w:val="1"/>
      <w:marLeft w:val="0"/>
      <w:marRight w:val="0"/>
      <w:marTop w:val="0"/>
      <w:marBottom w:val="0"/>
      <w:divBdr>
        <w:top w:val="none" w:sz="0" w:space="0" w:color="auto"/>
        <w:left w:val="none" w:sz="0" w:space="0" w:color="auto"/>
        <w:bottom w:val="none" w:sz="0" w:space="0" w:color="auto"/>
        <w:right w:val="none" w:sz="0" w:space="0" w:color="auto"/>
      </w:divBdr>
    </w:div>
    <w:div w:id="1242837817">
      <w:bodyDiv w:val="1"/>
      <w:marLeft w:val="0"/>
      <w:marRight w:val="0"/>
      <w:marTop w:val="0"/>
      <w:marBottom w:val="0"/>
      <w:divBdr>
        <w:top w:val="none" w:sz="0" w:space="0" w:color="auto"/>
        <w:left w:val="none" w:sz="0" w:space="0" w:color="auto"/>
        <w:bottom w:val="none" w:sz="0" w:space="0" w:color="auto"/>
        <w:right w:val="none" w:sz="0" w:space="0" w:color="auto"/>
      </w:divBdr>
    </w:div>
    <w:div w:id="1242906370">
      <w:bodyDiv w:val="1"/>
      <w:marLeft w:val="0"/>
      <w:marRight w:val="0"/>
      <w:marTop w:val="0"/>
      <w:marBottom w:val="0"/>
      <w:divBdr>
        <w:top w:val="none" w:sz="0" w:space="0" w:color="auto"/>
        <w:left w:val="none" w:sz="0" w:space="0" w:color="auto"/>
        <w:bottom w:val="none" w:sz="0" w:space="0" w:color="auto"/>
        <w:right w:val="none" w:sz="0" w:space="0" w:color="auto"/>
      </w:divBdr>
    </w:div>
    <w:div w:id="1243107373">
      <w:bodyDiv w:val="1"/>
      <w:marLeft w:val="0"/>
      <w:marRight w:val="0"/>
      <w:marTop w:val="0"/>
      <w:marBottom w:val="0"/>
      <w:divBdr>
        <w:top w:val="none" w:sz="0" w:space="0" w:color="auto"/>
        <w:left w:val="none" w:sz="0" w:space="0" w:color="auto"/>
        <w:bottom w:val="none" w:sz="0" w:space="0" w:color="auto"/>
        <w:right w:val="none" w:sz="0" w:space="0" w:color="auto"/>
      </w:divBdr>
    </w:div>
    <w:div w:id="1243174966">
      <w:bodyDiv w:val="1"/>
      <w:marLeft w:val="0"/>
      <w:marRight w:val="0"/>
      <w:marTop w:val="0"/>
      <w:marBottom w:val="0"/>
      <w:divBdr>
        <w:top w:val="none" w:sz="0" w:space="0" w:color="auto"/>
        <w:left w:val="none" w:sz="0" w:space="0" w:color="auto"/>
        <w:bottom w:val="none" w:sz="0" w:space="0" w:color="auto"/>
        <w:right w:val="none" w:sz="0" w:space="0" w:color="auto"/>
      </w:divBdr>
    </w:div>
    <w:div w:id="1243292486">
      <w:bodyDiv w:val="1"/>
      <w:marLeft w:val="0"/>
      <w:marRight w:val="0"/>
      <w:marTop w:val="0"/>
      <w:marBottom w:val="0"/>
      <w:divBdr>
        <w:top w:val="none" w:sz="0" w:space="0" w:color="auto"/>
        <w:left w:val="none" w:sz="0" w:space="0" w:color="auto"/>
        <w:bottom w:val="none" w:sz="0" w:space="0" w:color="auto"/>
        <w:right w:val="none" w:sz="0" w:space="0" w:color="auto"/>
      </w:divBdr>
    </w:div>
    <w:div w:id="1243292938">
      <w:bodyDiv w:val="1"/>
      <w:marLeft w:val="0"/>
      <w:marRight w:val="0"/>
      <w:marTop w:val="0"/>
      <w:marBottom w:val="0"/>
      <w:divBdr>
        <w:top w:val="none" w:sz="0" w:space="0" w:color="auto"/>
        <w:left w:val="none" w:sz="0" w:space="0" w:color="auto"/>
        <w:bottom w:val="none" w:sz="0" w:space="0" w:color="auto"/>
        <w:right w:val="none" w:sz="0" w:space="0" w:color="auto"/>
      </w:divBdr>
    </w:div>
    <w:div w:id="1243300743">
      <w:bodyDiv w:val="1"/>
      <w:marLeft w:val="0"/>
      <w:marRight w:val="0"/>
      <w:marTop w:val="0"/>
      <w:marBottom w:val="0"/>
      <w:divBdr>
        <w:top w:val="none" w:sz="0" w:space="0" w:color="auto"/>
        <w:left w:val="none" w:sz="0" w:space="0" w:color="auto"/>
        <w:bottom w:val="none" w:sz="0" w:space="0" w:color="auto"/>
        <w:right w:val="none" w:sz="0" w:space="0" w:color="auto"/>
      </w:divBdr>
    </w:div>
    <w:div w:id="1243368594">
      <w:bodyDiv w:val="1"/>
      <w:marLeft w:val="0"/>
      <w:marRight w:val="0"/>
      <w:marTop w:val="0"/>
      <w:marBottom w:val="0"/>
      <w:divBdr>
        <w:top w:val="none" w:sz="0" w:space="0" w:color="auto"/>
        <w:left w:val="none" w:sz="0" w:space="0" w:color="auto"/>
        <w:bottom w:val="none" w:sz="0" w:space="0" w:color="auto"/>
        <w:right w:val="none" w:sz="0" w:space="0" w:color="auto"/>
      </w:divBdr>
    </w:div>
    <w:div w:id="1243488786">
      <w:bodyDiv w:val="1"/>
      <w:marLeft w:val="0"/>
      <w:marRight w:val="0"/>
      <w:marTop w:val="0"/>
      <w:marBottom w:val="0"/>
      <w:divBdr>
        <w:top w:val="none" w:sz="0" w:space="0" w:color="auto"/>
        <w:left w:val="none" w:sz="0" w:space="0" w:color="auto"/>
        <w:bottom w:val="none" w:sz="0" w:space="0" w:color="auto"/>
        <w:right w:val="none" w:sz="0" w:space="0" w:color="auto"/>
      </w:divBdr>
    </w:div>
    <w:div w:id="1243566575">
      <w:bodyDiv w:val="1"/>
      <w:marLeft w:val="0"/>
      <w:marRight w:val="0"/>
      <w:marTop w:val="0"/>
      <w:marBottom w:val="0"/>
      <w:divBdr>
        <w:top w:val="none" w:sz="0" w:space="0" w:color="auto"/>
        <w:left w:val="none" w:sz="0" w:space="0" w:color="auto"/>
        <w:bottom w:val="none" w:sz="0" w:space="0" w:color="auto"/>
        <w:right w:val="none" w:sz="0" w:space="0" w:color="auto"/>
      </w:divBdr>
    </w:div>
    <w:div w:id="1243681249">
      <w:bodyDiv w:val="1"/>
      <w:marLeft w:val="0"/>
      <w:marRight w:val="0"/>
      <w:marTop w:val="0"/>
      <w:marBottom w:val="0"/>
      <w:divBdr>
        <w:top w:val="none" w:sz="0" w:space="0" w:color="auto"/>
        <w:left w:val="none" w:sz="0" w:space="0" w:color="auto"/>
        <w:bottom w:val="none" w:sz="0" w:space="0" w:color="auto"/>
        <w:right w:val="none" w:sz="0" w:space="0" w:color="auto"/>
      </w:divBdr>
    </w:div>
    <w:div w:id="1243831866">
      <w:bodyDiv w:val="1"/>
      <w:marLeft w:val="0"/>
      <w:marRight w:val="0"/>
      <w:marTop w:val="0"/>
      <w:marBottom w:val="0"/>
      <w:divBdr>
        <w:top w:val="none" w:sz="0" w:space="0" w:color="auto"/>
        <w:left w:val="none" w:sz="0" w:space="0" w:color="auto"/>
        <w:bottom w:val="none" w:sz="0" w:space="0" w:color="auto"/>
        <w:right w:val="none" w:sz="0" w:space="0" w:color="auto"/>
      </w:divBdr>
    </w:div>
    <w:div w:id="1243877608">
      <w:bodyDiv w:val="1"/>
      <w:marLeft w:val="0"/>
      <w:marRight w:val="0"/>
      <w:marTop w:val="0"/>
      <w:marBottom w:val="0"/>
      <w:divBdr>
        <w:top w:val="none" w:sz="0" w:space="0" w:color="auto"/>
        <w:left w:val="none" w:sz="0" w:space="0" w:color="auto"/>
        <w:bottom w:val="none" w:sz="0" w:space="0" w:color="auto"/>
        <w:right w:val="none" w:sz="0" w:space="0" w:color="auto"/>
      </w:divBdr>
    </w:div>
    <w:div w:id="1243879475">
      <w:bodyDiv w:val="1"/>
      <w:marLeft w:val="0"/>
      <w:marRight w:val="0"/>
      <w:marTop w:val="0"/>
      <w:marBottom w:val="0"/>
      <w:divBdr>
        <w:top w:val="none" w:sz="0" w:space="0" w:color="auto"/>
        <w:left w:val="none" w:sz="0" w:space="0" w:color="auto"/>
        <w:bottom w:val="none" w:sz="0" w:space="0" w:color="auto"/>
        <w:right w:val="none" w:sz="0" w:space="0" w:color="auto"/>
      </w:divBdr>
    </w:div>
    <w:div w:id="1244025459">
      <w:bodyDiv w:val="1"/>
      <w:marLeft w:val="0"/>
      <w:marRight w:val="0"/>
      <w:marTop w:val="0"/>
      <w:marBottom w:val="0"/>
      <w:divBdr>
        <w:top w:val="none" w:sz="0" w:space="0" w:color="auto"/>
        <w:left w:val="none" w:sz="0" w:space="0" w:color="auto"/>
        <w:bottom w:val="none" w:sz="0" w:space="0" w:color="auto"/>
        <w:right w:val="none" w:sz="0" w:space="0" w:color="auto"/>
      </w:divBdr>
    </w:div>
    <w:div w:id="1244141421">
      <w:bodyDiv w:val="1"/>
      <w:marLeft w:val="0"/>
      <w:marRight w:val="0"/>
      <w:marTop w:val="0"/>
      <w:marBottom w:val="0"/>
      <w:divBdr>
        <w:top w:val="none" w:sz="0" w:space="0" w:color="auto"/>
        <w:left w:val="none" w:sz="0" w:space="0" w:color="auto"/>
        <w:bottom w:val="none" w:sz="0" w:space="0" w:color="auto"/>
        <w:right w:val="none" w:sz="0" w:space="0" w:color="auto"/>
      </w:divBdr>
    </w:div>
    <w:div w:id="1244218298">
      <w:bodyDiv w:val="1"/>
      <w:marLeft w:val="0"/>
      <w:marRight w:val="0"/>
      <w:marTop w:val="0"/>
      <w:marBottom w:val="0"/>
      <w:divBdr>
        <w:top w:val="none" w:sz="0" w:space="0" w:color="auto"/>
        <w:left w:val="none" w:sz="0" w:space="0" w:color="auto"/>
        <w:bottom w:val="none" w:sz="0" w:space="0" w:color="auto"/>
        <w:right w:val="none" w:sz="0" w:space="0" w:color="auto"/>
      </w:divBdr>
    </w:div>
    <w:div w:id="1244222337">
      <w:bodyDiv w:val="1"/>
      <w:marLeft w:val="0"/>
      <w:marRight w:val="0"/>
      <w:marTop w:val="0"/>
      <w:marBottom w:val="0"/>
      <w:divBdr>
        <w:top w:val="none" w:sz="0" w:space="0" w:color="auto"/>
        <w:left w:val="none" w:sz="0" w:space="0" w:color="auto"/>
        <w:bottom w:val="none" w:sz="0" w:space="0" w:color="auto"/>
        <w:right w:val="none" w:sz="0" w:space="0" w:color="auto"/>
      </w:divBdr>
    </w:div>
    <w:div w:id="1244334977">
      <w:bodyDiv w:val="1"/>
      <w:marLeft w:val="0"/>
      <w:marRight w:val="0"/>
      <w:marTop w:val="0"/>
      <w:marBottom w:val="0"/>
      <w:divBdr>
        <w:top w:val="none" w:sz="0" w:space="0" w:color="auto"/>
        <w:left w:val="none" w:sz="0" w:space="0" w:color="auto"/>
        <w:bottom w:val="none" w:sz="0" w:space="0" w:color="auto"/>
        <w:right w:val="none" w:sz="0" w:space="0" w:color="auto"/>
      </w:divBdr>
    </w:div>
    <w:div w:id="1244409734">
      <w:bodyDiv w:val="1"/>
      <w:marLeft w:val="0"/>
      <w:marRight w:val="0"/>
      <w:marTop w:val="0"/>
      <w:marBottom w:val="0"/>
      <w:divBdr>
        <w:top w:val="none" w:sz="0" w:space="0" w:color="auto"/>
        <w:left w:val="none" w:sz="0" w:space="0" w:color="auto"/>
        <w:bottom w:val="none" w:sz="0" w:space="0" w:color="auto"/>
        <w:right w:val="none" w:sz="0" w:space="0" w:color="auto"/>
      </w:divBdr>
    </w:div>
    <w:div w:id="1244411087">
      <w:bodyDiv w:val="1"/>
      <w:marLeft w:val="0"/>
      <w:marRight w:val="0"/>
      <w:marTop w:val="0"/>
      <w:marBottom w:val="0"/>
      <w:divBdr>
        <w:top w:val="none" w:sz="0" w:space="0" w:color="auto"/>
        <w:left w:val="none" w:sz="0" w:space="0" w:color="auto"/>
        <w:bottom w:val="none" w:sz="0" w:space="0" w:color="auto"/>
        <w:right w:val="none" w:sz="0" w:space="0" w:color="auto"/>
      </w:divBdr>
    </w:div>
    <w:div w:id="1244686500">
      <w:bodyDiv w:val="1"/>
      <w:marLeft w:val="0"/>
      <w:marRight w:val="0"/>
      <w:marTop w:val="0"/>
      <w:marBottom w:val="0"/>
      <w:divBdr>
        <w:top w:val="none" w:sz="0" w:space="0" w:color="auto"/>
        <w:left w:val="none" w:sz="0" w:space="0" w:color="auto"/>
        <w:bottom w:val="none" w:sz="0" w:space="0" w:color="auto"/>
        <w:right w:val="none" w:sz="0" w:space="0" w:color="auto"/>
      </w:divBdr>
    </w:div>
    <w:div w:id="1244729113">
      <w:bodyDiv w:val="1"/>
      <w:marLeft w:val="0"/>
      <w:marRight w:val="0"/>
      <w:marTop w:val="0"/>
      <w:marBottom w:val="0"/>
      <w:divBdr>
        <w:top w:val="none" w:sz="0" w:space="0" w:color="auto"/>
        <w:left w:val="none" w:sz="0" w:space="0" w:color="auto"/>
        <w:bottom w:val="none" w:sz="0" w:space="0" w:color="auto"/>
        <w:right w:val="none" w:sz="0" w:space="0" w:color="auto"/>
      </w:divBdr>
    </w:div>
    <w:div w:id="1244798180">
      <w:bodyDiv w:val="1"/>
      <w:marLeft w:val="0"/>
      <w:marRight w:val="0"/>
      <w:marTop w:val="0"/>
      <w:marBottom w:val="0"/>
      <w:divBdr>
        <w:top w:val="none" w:sz="0" w:space="0" w:color="auto"/>
        <w:left w:val="none" w:sz="0" w:space="0" w:color="auto"/>
        <w:bottom w:val="none" w:sz="0" w:space="0" w:color="auto"/>
        <w:right w:val="none" w:sz="0" w:space="0" w:color="auto"/>
      </w:divBdr>
    </w:div>
    <w:div w:id="1244799100">
      <w:bodyDiv w:val="1"/>
      <w:marLeft w:val="0"/>
      <w:marRight w:val="0"/>
      <w:marTop w:val="0"/>
      <w:marBottom w:val="0"/>
      <w:divBdr>
        <w:top w:val="none" w:sz="0" w:space="0" w:color="auto"/>
        <w:left w:val="none" w:sz="0" w:space="0" w:color="auto"/>
        <w:bottom w:val="none" w:sz="0" w:space="0" w:color="auto"/>
        <w:right w:val="none" w:sz="0" w:space="0" w:color="auto"/>
      </w:divBdr>
    </w:div>
    <w:div w:id="1244874722">
      <w:bodyDiv w:val="1"/>
      <w:marLeft w:val="0"/>
      <w:marRight w:val="0"/>
      <w:marTop w:val="0"/>
      <w:marBottom w:val="0"/>
      <w:divBdr>
        <w:top w:val="none" w:sz="0" w:space="0" w:color="auto"/>
        <w:left w:val="none" w:sz="0" w:space="0" w:color="auto"/>
        <w:bottom w:val="none" w:sz="0" w:space="0" w:color="auto"/>
        <w:right w:val="none" w:sz="0" w:space="0" w:color="auto"/>
      </w:divBdr>
    </w:div>
    <w:div w:id="1244953625">
      <w:bodyDiv w:val="1"/>
      <w:marLeft w:val="0"/>
      <w:marRight w:val="0"/>
      <w:marTop w:val="0"/>
      <w:marBottom w:val="0"/>
      <w:divBdr>
        <w:top w:val="none" w:sz="0" w:space="0" w:color="auto"/>
        <w:left w:val="none" w:sz="0" w:space="0" w:color="auto"/>
        <w:bottom w:val="none" w:sz="0" w:space="0" w:color="auto"/>
        <w:right w:val="none" w:sz="0" w:space="0" w:color="auto"/>
      </w:divBdr>
    </w:div>
    <w:div w:id="1244989218">
      <w:bodyDiv w:val="1"/>
      <w:marLeft w:val="0"/>
      <w:marRight w:val="0"/>
      <w:marTop w:val="0"/>
      <w:marBottom w:val="0"/>
      <w:divBdr>
        <w:top w:val="none" w:sz="0" w:space="0" w:color="auto"/>
        <w:left w:val="none" w:sz="0" w:space="0" w:color="auto"/>
        <w:bottom w:val="none" w:sz="0" w:space="0" w:color="auto"/>
        <w:right w:val="none" w:sz="0" w:space="0" w:color="auto"/>
      </w:divBdr>
    </w:div>
    <w:div w:id="1245142876">
      <w:bodyDiv w:val="1"/>
      <w:marLeft w:val="0"/>
      <w:marRight w:val="0"/>
      <w:marTop w:val="0"/>
      <w:marBottom w:val="0"/>
      <w:divBdr>
        <w:top w:val="none" w:sz="0" w:space="0" w:color="auto"/>
        <w:left w:val="none" w:sz="0" w:space="0" w:color="auto"/>
        <w:bottom w:val="none" w:sz="0" w:space="0" w:color="auto"/>
        <w:right w:val="none" w:sz="0" w:space="0" w:color="auto"/>
      </w:divBdr>
    </w:div>
    <w:div w:id="1245147373">
      <w:bodyDiv w:val="1"/>
      <w:marLeft w:val="0"/>
      <w:marRight w:val="0"/>
      <w:marTop w:val="0"/>
      <w:marBottom w:val="0"/>
      <w:divBdr>
        <w:top w:val="none" w:sz="0" w:space="0" w:color="auto"/>
        <w:left w:val="none" w:sz="0" w:space="0" w:color="auto"/>
        <w:bottom w:val="none" w:sz="0" w:space="0" w:color="auto"/>
        <w:right w:val="none" w:sz="0" w:space="0" w:color="auto"/>
      </w:divBdr>
    </w:div>
    <w:div w:id="1245263022">
      <w:bodyDiv w:val="1"/>
      <w:marLeft w:val="0"/>
      <w:marRight w:val="0"/>
      <w:marTop w:val="0"/>
      <w:marBottom w:val="0"/>
      <w:divBdr>
        <w:top w:val="none" w:sz="0" w:space="0" w:color="auto"/>
        <w:left w:val="none" w:sz="0" w:space="0" w:color="auto"/>
        <w:bottom w:val="none" w:sz="0" w:space="0" w:color="auto"/>
        <w:right w:val="none" w:sz="0" w:space="0" w:color="auto"/>
      </w:divBdr>
    </w:div>
    <w:div w:id="1245266845">
      <w:bodyDiv w:val="1"/>
      <w:marLeft w:val="0"/>
      <w:marRight w:val="0"/>
      <w:marTop w:val="0"/>
      <w:marBottom w:val="0"/>
      <w:divBdr>
        <w:top w:val="none" w:sz="0" w:space="0" w:color="auto"/>
        <w:left w:val="none" w:sz="0" w:space="0" w:color="auto"/>
        <w:bottom w:val="none" w:sz="0" w:space="0" w:color="auto"/>
        <w:right w:val="none" w:sz="0" w:space="0" w:color="auto"/>
      </w:divBdr>
    </w:div>
    <w:div w:id="1245334116">
      <w:bodyDiv w:val="1"/>
      <w:marLeft w:val="0"/>
      <w:marRight w:val="0"/>
      <w:marTop w:val="0"/>
      <w:marBottom w:val="0"/>
      <w:divBdr>
        <w:top w:val="none" w:sz="0" w:space="0" w:color="auto"/>
        <w:left w:val="none" w:sz="0" w:space="0" w:color="auto"/>
        <w:bottom w:val="none" w:sz="0" w:space="0" w:color="auto"/>
        <w:right w:val="none" w:sz="0" w:space="0" w:color="auto"/>
      </w:divBdr>
    </w:div>
    <w:div w:id="1245340154">
      <w:bodyDiv w:val="1"/>
      <w:marLeft w:val="0"/>
      <w:marRight w:val="0"/>
      <w:marTop w:val="0"/>
      <w:marBottom w:val="0"/>
      <w:divBdr>
        <w:top w:val="none" w:sz="0" w:space="0" w:color="auto"/>
        <w:left w:val="none" w:sz="0" w:space="0" w:color="auto"/>
        <w:bottom w:val="none" w:sz="0" w:space="0" w:color="auto"/>
        <w:right w:val="none" w:sz="0" w:space="0" w:color="auto"/>
      </w:divBdr>
    </w:div>
    <w:div w:id="1245383992">
      <w:bodyDiv w:val="1"/>
      <w:marLeft w:val="0"/>
      <w:marRight w:val="0"/>
      <w:marTop w:val="0"/>
      <w:marBottom w:val="0"/>
      <w:divBdr>
        <w:top w:val="none" w:sz="0" w:space="0" w:color="auto"/>
        <w:left w:val="none" w:sz="0" w:space="0" w:color="auto"/>
        <w:bottom w:val="none" w:sz="0" w:space="0" w:color="auto"/>
        <w:right w:val="none" w:sz="0" w:space="0" w:color="auto"/>
      </w:divBdr>
    </w:div>
    <w:div w:id="1245409474">
      <w:bodyDiv w:val="1"/>
      <w:marLeft w:val="0"/>
      <w:marRight w:val="0"/>
      <w:marTop w:val="0"/>
      <w:marBottom w:val="0"/>
      <w:divBdr>
        <w:top w:val="none" w:sz="0" w:space="0" w:color="auto"/>
        <w:left w:val="none" w:sz="0" w:space="0" w:color="auto"/>
        <w:bottom w:val="none" w:sz="0" w:space="0" w:color="auto"/>
        <w:right w:val="none" w:sz="0" w:space="0" w:color="auto"/>
      </w:divBdr>
    </w:div>
    <w:div w:id="1245411446">
      <w:bodyDiv w:val="1"/>
      <w:marLeft w:val="0"/>
      <w:marRight w:val="0"/>
      <w:marTop w:val="0"/>
      <w:marBottom w:val="0"/>
      <w:divBdr>
        <w:top w:val="none" w:sz="0" w:space="0" w:color="auto"/>
        <w:left w:val="none" w:sz="0" w:space="0" w:color="auto"/>
        <w:bottom w:val="none" w:sz="0" w:space="0" w:color="auto"/>
        <w:right w:val="none" w:sz="0" w:space="0" w:color="auto"/>
      </w:divBdr>
    </w:div>
    <w:div w:id="1245454327">
      <w:bodyDiv w:val="1"/>
      <w:marLeft w:val="0"/>
      <w:marRight w:val="0"/>
      <w:marTop w:val="0"/>
      <w:marBottom w:val="0"/>
      <w:divBdr>
        <w:top w:val="none" w:sz="0" w:space="0" w:color="auto"/>
        <w:left w:val="none" w:sz="0" w:space="0" w:color="auto"/>
        <w:bottom w:val="none" w:sz="0" w:space="0" w:color="auto"/>
        <w:right w:val="none" w:sz="0" w:space="0" w:color="auto"/>
      </w:divBdr>
    </w:div>
    <w:div w:id="1245458210">
      <w:bodyDiv w:val="1"/>
      <w:marLeft w:val="0"/>
      <w:marRight w:val="0"/>
      <w:marTop w:val="0"/>
      <w:marBottom w:val="0"/>
      <w:divBdr>
        <w:top w:val="none" w:sz="0" w:space="0" w:color="auto"/>
        <w:left w:val="none" w:sz="0" w:space="0" w:color="auto"/>
        <w:bottom w:val="none" w:sz="0" w:space="0" w:color="auto"/>
        <w:right w:val="none" w:sz="0" w:space="0" w:color="auto"/>
      </w:divBdr>
    </w:div>
    <w:div w:id="1245603284">
      <w:bodyDiv w:val="1"/>
      <w:marLeft w:val="0"/>
      <w:marRight w:val="0"/>
      <w:marTop w:val="0"/>
      <w:marBottom w:val="0"/>
      <w:divBdr>
        <w:top w:val="none" w:sz="0" w:space="0" w:color="auto"/>
        <w:left w:val="none" w:sz="0" w:space="0" w:color="auto"/>
        <w:bottom w:val="none" w:sz="0" w:space="0" w:color="auto"/>
        <w:right w:val="none" w:sz="0" w:space="0" w:color="auto"/>
      </w:divBdr>
    </w:div>
    <w:div w:id="1245649280">
      <w:bodyDiv w:val="1"/>
      <w:marLeft w:val="0"/>
      <w:marRight w:val="0"/>
      <w:marTop w:val="0"/>
      <w:marBottom w:val="0"/>
      <w:divBdr>
        <w:top w:val="none" w:sz="0" w:space="0" w:color="auto"/>
        <w:left w:val="none" w:sz="0" w:space="0" w:color="auto"/>
        <w:bottom w:val="none" w:sz="0" w:space="0" w:color="auto"/>
        <w:right w:val="none" w:sz="0" w:space="0" w:color="auto"/>
      </w:divBdr>
    </w:div>
    <w:div w:id="1245722492">
      <w:bodyDiv w:val="1"/>
      <w:marLeft w:val="0"/>
      <w:marRight w:val="0"/>
      <w:marTop w:val="0"/>
      <w:marBottom w:val="0"/>
      <w:divBdr>
        <w:top w:val="none" w:sz="0" w:space="0" w:color="auto"/>
        <w:left w:val="none" w:sz="0" w:space="0" w:color="auto"/>
        <w:bottom w:val="none" w:sz="0" w:space="0" w:color="auto"/>
        <w:right w:val="none" w:sz="0" w:space="0" w:color="auto"/>
      </w:divBdr>
    </w:div>
    <w:div w:id="1245727202">
      <w:bodyDiv w:val="1"/>
      <w:marLeft w:val="0"/>
      <w:marRight w:val="0"/>
      <w:marTop w:val="0"/>
      <w:marBottom w:val="0"/>
      <w:divBdr>
        <w:top w:val="none" w:sz="0" w:space="0" w:color="auto"/>
        <w:left w:val="none" w:sz="0" w:space="0" w:color="auto"/>
        <w:bottom w:val="none" w:sz="0" w:space="0" w:color="auto"/>
        <w:right w:val="none" w:sz="0" w:space="0" w:color="auto"/>
      </w:divBdr>
    </w:div>
    <w:div w:id="1245794937">
      <w:bodyDiv w:val="1"/>
      <w:marLeft w:val="0"/>
      <w:marRight w:val="0"/>
      <w:marTop w:val="0"/>
      <w:marBottom w:val="0"/>
      <w:divBdr>
        <w:top w:val="none" w:sz="0" w:space="0" w:color="auto"/>
        <w:left w:val="none" w:sz="0" w:space="0" w:color="auto"/>
        <w:bottom w:val="none" w:sz="0" w:space="0" w:color="auto"/>
        <w:right w:val="none" w:sz="0" w:space="0" w:color="auto"/>
      </w:divBdr>
    </w:div>
    <w:div w:id="1246113346">
      <w:bodyDiv w:val="1"/>
      <w:marLeft w:val="0"/>
      <w:marRight w:val="0"/>
      <w:marTop w:val="0"/>
      <w:marBottom w:val="0"/>
      <w:divBdr>
        <w:top w:val="none" w:sz="0" w:space="0" w:color="auto"/>
        <w:left w:val="none" w:sz="0" w:space="0" w:color="auto"/>
        <w:bottom w:val="none" w:sz="0" w:space="0" w:color="auto"/>
        <w:right w:val="none" w:sz="0" w:space="0" w:color="auto"/>
      </w:divBdr>
    </w:div>
    <w:div w:id="1246183164">
      <w:bodyDiv w:val="1"/>
      <w:marLeft w:val="0"/>
      <w:marRight w:val="0"/>
      <w:marTop w:val="0"/>
      <w:marBottom w:val="0"/>
      <w:divBdr>
        <w:top w:val="none" w:sz="0" w:space="0" w:color="auto"/>
        <w:left w:val="none" w:sz="0" w:space="0" w:color="auto"/>
        <w:bottom w:val="none" w:sz="0" w:space="0" w:color="auto"/>
        <w:right w:val="none" w:sz="0" w:space="0" w:color="auto"/>
      </w:divBdr>
    </w:div>
    <w:div w:id="1246184003">
      <w:bodyDiv w:val="1"/>
      <w:marLeft w:val="0"/>
      <w:marRight w:val="0"/>
      <w:marTop w:val="0"/>
      <w:marBottom w:val="0"/>
      <w:divBdr>
        <w:top w:val="none" w:sz="0" w:space="0" w:color="auto"/>
        <w:left w:val="none" w:sz="0" w:space="0" w:color="auto"/>
        <w:bottom w:val="none" w:sz="0" w:space="0" w:color="auto"/>
        <w:right w:val="none" w:sz="0" w:space="0" w:color="auto"/>
      </w:divBdr>
    </w:div>
    <w:div w:id="1246188160">
      <w:bodyDiv w:val="1"/>
      <w:marLeft w:val="0"/>
      <w:marRight w:val="0"/>
      <w:marTop w:val="0"/>
      <w:marBottom w:val="0"/>
      <w:divBdr>
        <w:top w:val="none" w:sz="0" w:space="0" w:color="auto"/>
        <w:left w:val="none" w:sz="0" w:space="0" w:color="auto"/>
        <w:bottom w:val="none" w:sz="0" w:space="0" w:color="auto"/>
        <w:right w:val="none" w:sz="0" w:space="0" w:color="auto"/>
      </w:divBdr>
    </w:div>
    <w:div w:id="1246260180">
      <w:bodyDiv w:val="1"/>
      <w:marLeft w:val="0"/>
      <w:marRight w:val="0"/>
      <w:marTop w:val="0"/>
      <w:marBottom w:val="0"/>
      <w:divBdr>
        <w:top w:val="none" w:sz="0" w:space="0" w:color="auto"/>
        <w:left w:val="none" w:sz="0" w:space="0" w:color="auto"/>
        <w:bottom w:val="none" w:sz="0" w:space="0" w:color="auto"/>
        <w:right w:val="none" w:sz="0" w:space="0" w:color="auto"/>
      </w:divBdr>
    </w:div>
    <w:div w:id="1246264933">
      <w:bodyDiv w:val="1"/>
      <w:marLeft w:val="0"/>
      <w:marRight w:val="0"/>
      <w:marTop w:val="0"/>
      <w:marBottom w:val="0"/>
      <w:divBdr>
        <w:top w:val="none" w:sz="0" w:space="0" w:color="auto"/>
        <w:left w:val="none" w:sz="0" w:space="0" w:color="auto"/>
        <w:bottom w:val="none" w:sz="0" w:space="0" w:color="auto"/>
        <w:right w:val="none" w:sz="0" w:space="0" w:color="auto"/>
      </w:divBdr>
    </w:div>
    <w:div w:id="1246301515">
      <w:bodyDiv w:val="1"/>
      <w:marLeft w:val="0"/>
      <w:marRight w:val="0"/>
      <w:marTop w:val="0"/>
      <w:marBottom w:val="0"/>
      <w:divBdr>
        <w:top w:val="none" w:sz="0" w:space="0" w:color="auto"/>
        <w:left w:val="none" w:sz="0" w:space="0" w:color="auto"/>
        <w:bottom w:val="none" w:sz="0" w:space="0" w:color="auto"/>
        <w:right w:val="none" w:sz="0" w:space="0" w:color="auto"/>
      </w:divBdr>
    </w:div>
    <w:div w:id="1246380954">
      <w:bodyDiv w:val="1"/>
      <w:marLeft w:val="0"/>
      <w:marRight w:val="0"/>
      <w:marTop w:val="0"/>
      <w:marBottom w:val="0"/>
      <w:divBdr>
        <w:top w:val="none" w:sz="0" w:space="0" w:color="auto"/>
        <w:left w:val="none" w:sz="0" w:space="0" w:color="auto"/>
        <w:bottom w:val="none" w:sz="0" w:space="0" w:color="auto"/>
        <w:right w:val="none" w:sz="0" w:space="0" w:color="auto"/>
      </w:divBdr>
    </w:div>
    <w:div w:id="1246454420">
      <w:bodyDiv w:val="1"/>
      <w:marLeft w:val="0"/>
      <w:marRight w:val="0"/>
      <w:marTop w:val="0"/>
      <w:marBottom w:val="0"/>
      <w:divBdr>
        <w:top w:val="none" w:sz="0" w:space="0" w:color="auto"/>
        <w:left w:val="none" w:sz="0" w:space="0" w:color="auto"/>
        <w:bottom w:val="none" w:sz="0" w:space="0" w:color="auto"/>
        <w:right w:val="none" w:sz="0" w:space="0" w:color="auto"/>
      </w:divBdr>
    </w:div>
    <w:div w:id="1246571237">
      <w:bodyDiv w:val="1"/>
      <w:marLeft w:val="0"/>
      <w:marRight w:val="0"/>
      <w:marTop w:val="0"/>
      <w:marBottom w:val="0"/>
      <w:divBdr>
        <w:top w:val="none" w:sz="0" w:space="0" w:color="auto"/>
        <w:left w:val="none" w:sz="0" w:space="0" w:color="auto"/>
        <w:bottom w:val="none" w:sz="0" w:space="0" w:color="auto"/>
        <w:right w:val="none" w:sz="0" w:space="0" w:color="auto"/>
      </w:divBdr>
    </w:div>
    <w:div w:id="1246721791">
      <w:bodyDiv w:val="1"/>
      <w:marLeft w:val="0"/>
      <w:marRight w:val="0"/>
      <w:marTop w:val="0"/>
      <w:marBottom w:val="0"/>
      <w:divBdr>
        <w:top w:val="none" w:sz="0" w:space="0" w:color="auto"/>
        <w:left w:val="none" w:sz="0" w:space="0" w:color="auto"/>
        <w:bottom w:val="none" w:sz="0" w:space="0" w:color="auto"/>
        <w:right w:val="none" w:sz="0" w:space="0" w:color="auto"/>
      </w:divBdr>
    </w:div>
    <w:div w:id="1246766746">
      <w:bodyDiv w:val="1"/>
      <w:marLeft w:val="0"/>
      <w:marRight w:val="0"/>
      <w:marTop w:val="0"/>
      <w:marBottom w:val="0"/>
      <w:divBdr>
        <w:top w:val="none" w:sz="0" w:space="0" w:color="auto"/>
        <w:left w:val="none" w:sz="0" w:space="0" w:color="auto"/>
        <w:bottom w:val="none" w:sz="0" w:space="0" w:color="auto"/>
        <w:right w:val="none" w:sz="0" w:space="0" w:color="auto"/>
      </w:divBdr>
    </w:div>
    <w:div w:id="1246843027">
      <w:bodyDiv w:val="1"/>
      <w:marLeft w:val="0"/>
      <w:marRight w:val="0"/>
      <w:marTop w:val="0"/>
      <w:marBottom w:val="0"/>
      <w:divBdr>
        <w:top w:val="none" w:sz="0" w:space="0" w:color="auto"/>
        <w:left w:val="none" w:sz="0" w:space="0" w:color="auto"/>
        <w:bottom w:val="none" w:sz="0" w:space="0" w:color="auto"/>
        <w:right w:val="none" w:sz="0" w:space="0" w:color="auto"/>
      </w:divBdr>
    </w:div>
    <w:div w:id="1246916528">
      <w:bodyDiv w:val="1"/>
      <w:marLeft w:val="0"/>
      <w:marRight w:val="0"/>
      <w:marTop w:val="0"/>
      <w:marBottom w:val="0"/>
      <w:divBdr>
        <w:top w:val="none" w:sz="0" w:space="0" w:color="auto"/>
        <w:left w:val="none" w:sz="0" w:space="0" w:color="auto"/>
        <w:bottom w:val="none" w:sz="0" w:space="0" w:color="auto"/>
        <w:right w:val="none" w:sz="0" w:space="0" w:color="auto"/>
      </w:divBdr>
    </w:div>
    <w:div w:id="1246954906">
      <w:bodyDiv w:val="1"/>
      <w:marLeft w:val="0"/>
      <w:marRight w:val="0"/>
      <w:marTop w:val="0"/>
      <w:marBottom w:val="0"/>
      <w:divBdr>
        <w:top w:val="none" w:sz="0" w:space="0" w:color="auto"/>
        <w:left w:val="none" w:sz="0" w:space="0" w:color="auto"/>
        <w:bottom w:val="none" w:sz="0" w:space="0" w:color="auto"/>
        <w:right w:val="none" w:sz="0" w:space="0" w:color="auto"/>
      </w:divBdr>
    </w:div>
    <w:div w:id="1247150135">
      <w:bodyDiv w:val="1"/>
      <w:marLeft w:val="0"/>
      <w:marRight w:val="0"/>
      <w:marTop w:val="0"/>
      <w:marBottom w:val="0"/>
      <w:divBdr>
        <w:top w:val="none" w:sz="0" w:space="0" w:color="auto"/>
        <w:left w:val="none" w:sz="0" w:space="0" w:color="auto"/>
        <w:bottom w:val="none" w:sz="0" w:space="0" w:color="auto"/>
        <w:right w:val="none" w:sz="0" w:space="0" w:color="auto"/>
      </w:divBdr>
    </w:div>
    <w:div w:id="1247180904">
      <w:bodyDiv w:val="1"/>
      <w:marLeft w:val="0"/>
      <w:marRight w:val="0"/>
      <w:marTop w:val="0"/>
      <w:marBottom w:val="0"/>
      <w:divBdr>
        <w:top w:val="none" w:sz="0" w:space="0" w:color="auto"/>
        <w:left w:val="none" w:sz="0" w:space="0" w:color="auto"/>
        <w:bottom w:val="none" w:sz="0" w:space="0" w:color="auto"/>
        <w:right w:val="none" w:sz="0" w:space="0" w:color="auto"/>
      </w:divBdr>
    </w:div>
    <w:div w:id="1247305699">
      <w:bodyDiv w:val="1"/>
      <w:marLeft w:val="0"/>
      <w:marRight w:val="0"/>
      <w:marTop w:val="0"/>
      <w:marBottom w:val="0"/>
      <w:divBdr>
        <w:top w:val="none" w:sz="0" w:space="0" w:color="auto"/>
        <w:left w:val="none" w:sz="0" w:space="0" w:color="auto"/>
        <w:bottom w:val="none" w:sz="0" w:space="0" w:color="auto"/>
        <w:right w:val="none" w:sz="0" w:space="0" w:color="auto"/>
      </w:divBdr>
    </w:div>
    <w:div w:id="1247306293">
      <w:bodyDiv w:val="1"/>
      <w:marLeft w:val="0"/>
      <w:marRight w:val="0"/>
      <w:marTop w:val="0"/>
      <w:marBottom w:val="0"/>
      <w:divBdr>
        <w:top w:val="none" w:sz="0" w:space="0" w:color="auto"/>
        <w:left w:val="none" w:sz="0" w:space="0" w:color="auto"/>
        <w:bottom w:val="none" w:sz="0" w:space="0" w:color="auto"/>
        <w:right w:val="none" w:sz="0" w:space="0" w:color="auto"/>
      </w:divBdr>
    </w:div>
    <w:div w:id="1247422958">
      <w:bodyDiv w:val="1"/>
      <w:marLeft w:val="0"/>
      <w:marRight w:val="0"/>
      <w:marTop w:val="0"/>
      <w:marBottom w:val="0"/>
      <w:divBdr>
        <w:top w:val="none" w:sz="0" w:space="0" w:color="auto"/>
        <w:left w:val="none" w:sz="0" w:space="0" w:color="auto"/>
        <w:bottom w:val="none" w:sz="0" w:space="0" w:color="auto"/>
        <w:right w:val="none" w:sz="0" w:space="0" w:color="auto"/>
      </w:divBdr>
    </w:div>
    <w:div w:id="1247501484">
      <w:bodyDiv w:val="1"/>
      <w:marLeft w:val="0"/>
      <w:marRight w:val="0"/>
      <w:marTop w:val="0"/>
      <w:marBottom w:val="0"/>
      <w:divBdr>
        <w:top w:val="none" w:sz="0" w:space="0" w:color="auto"/>
        <w:left w:val="none" w:sz="0" w:space="0" w:color="auto"/>
        <w:bottom w:val="none" w:sz="0" w:space="0" w:color="auto"/>
        <w:right w:val="none" w:sz="0" w:space="0" w:color="auto"/>
      </w:divBdr>
    </w:div>
    <w:div w:id="1247574460">
      <w:bodyDiv w:val="1"/>
      <w:marLeft w:val="0"/>
      <w:marRight w:val="0"/>
      <w:marTop w:val="0"/>
      <w:marBottom w:val="0"/>
      <w:divBdr>
        <w:top w:val="none" w:sz="0" w:space="0" w:color="auto"/>
        <w:left w:val="none" w:sz="0" w:space="0" w:color="auto"/>
        <w:bottom w:val="none" w:sz="0" w:space="0" w:color="auto"/>
        <w:right w:val="none" w:sz="0" w:space="0" w:color="auto"/>
      </w:divBdr>
    </w:div>
    <w:div w:id="1247617735">
      <w:bodyDiv w:val="1"/>
      <w:marLeft w:val="0"/>
      <w:marRight w:val="0"/>
      <w:marTop w:val="0"/>
      <w:marBottom w:val="0"/>
      <w:divBdr>
        <w:top w:val="none" w:sz="0" w:space="0" w:color="auto"/>
        <w:left w:val="none" w:sz="0" w:space="0" w:color="auto"/>
        <w:bottom w:val="none" w:sz="0" w:space="0" w:color="auto"/>
        <w:right w:val="none" w:sz="0" w:space="0" w:color="auto"/>
      </w:divBdr>
    </w:div>
    <w:div w:id="1247885433">
      <w:bodyDiv w:val="1"/>
      <w:marLeft w:val="0"/>
      <w:marRight w:val="0"/>
      <w:marTop w:val="0"/>
      <w:marBottom w:val="0"/>
      <w:divBdr>
        <w:top w:val="none" w:sz="0" w:space="0" w:color="auto"/>
        <w:left w:val="none" w:sz="0" w:space="0" w:color="auto"/>
        <w:bottom w:val="none" w:sz="0" w:space="0" w:color="auto"/>
        <w:right w:val="none" w:sz="0" w:space="0" w:color="auto"/>
      </w:divBdr>
    </w:div>
    <w:div w:id="1247885760">
      <w:bodyDiv w:val="1"/>
      <w:marLeft w:val="0"/>
      <w:marRight w:val="0"/>
      <w:marTop w:val="0"/>
      <w:marBottom w:val="0"/>
      <w:divBdr>
        <w:top w:val="none" w:sz="0" w:space="0" w:color="auto"/>
        <w:left w:val="none" w:sz="0" w:space="0" w:color="auto"/>
        <w:bottom w:val="none" w:sz="0" w:space="0" w:color="auto"/>
        <w:right w:val="none" w:sz="0" w:space="0" w:color="auto"/>
      </w:divBdr>
    </w:div>
    <w:div w:id="1247887621">
      <w:bodyDiv w:val="1"/>
      <w:marLeft w:val="0"/>
      <w:marRight w:val="0"/>
      <w:marTop w:val="0"/>
      <w:marBottom w:val="0"/>
      <w:divBdr>
        <w:top w:val="none" w:sz="0" w:space="0" w:color="auto"/>
        <w:left w:val="none" w:sz="0" w:space="0" w:color="auto"/>
        <w:bottom w:val="none" w:sz="0" w:space="0" w:color="auto"/>
        <w:right w:val="none" w:sz="0" w:space="0" w:color="auto"/>
      </w:divBdr>
    </w:div>
    <w:div w:id="1247953713">
      <w:bodyDiv w:val="1"/>
      <w:marLeft w:val="0"/>
      <w:marRight w:val="0"/>
      <w:marTop w:val="0"/>
      <w:marBottom w:val="0"/>
      <w:divBdr>
        <w:top w:val="none" w:sz="0" w:space="0" w:color="auto"/>
        <w:left w:val="none" w:sz="0" w:space="0" w:color="auto"/>
        <w:bottom w:val="none" w:sz="0" w:space="0" w:color="auto"/>
        <w:right w:val="none" w:sz="0" w:space="0" w:color="auto"/>
      </w:divBdr>
    </w:div>
    <w:div w:id="1247956708">
      <w:bodyDiv w:val="1"/>
      <w:marLeft w:val="0"/>
      <w:marRight w:val="0"/>
      <w:marTop w:val="0"/>
      <w:marBottom w:val="0"/>
      <w:divBdr>
        <w:top w:val="none" w:sz="0" w:space="0" w:color="auto"/>
        <w:left w:val="none" w:sz="0" w:space="0" w:color="auto"/>
        <w:bottom w:val="none" w:sz="0" w:space="0" w:color="auto"/>
        <w:right w:val="none" w:sz="0" w:space="0" w:color="auto"/>
      </w:divBdr>
    </w:div>
    <w:div w:id="1248077642">
      <w:bodyDiv w:val="1"/>
      <w:marLeft w:val="0"/>
      <w:marRight w:val="0"/>
      <w:marTop w:val="0"/>
      <w:marBottom w:val="0"/>
      <w:divBdr>
        <w:top w:val="none" w:sz="0" w:space="0" w:color="auto"/>
        <w:left w:val="none" w:sz="0" w:space="0" w:color="auto"/>
        <w:bottom w:val="none" w:sz="0" w:space="0" w:color="auto"/>
        <w:right w:val="none" w:sz="0" w:space="0" w:color="auto"/>
      </w:divBdr>
    </w:div>
    <w:div w:id="1248078617">
      <w:bodyDiv w:val="1"/>
      <w:marLeft w:val="0"/>
      <w:marRight w:val="0"/>
      <w:marTop w:val="0"/>
      <w:marBottom w:val="0"/>
      <w:divBdr>
        <w:top w:val="none" w:sz="0" w:space="0" w:color="auto"/>
        <w:left w:val="none" w:sz="0" w:space="0" w:color="auto"/>
        <w:bottom w:val="none" w:sz="0" w:space="0" w:color="auto"/>
        <w:right w:val="none" w:sz="0" w:space="0" w:color="auto"/>
      </w:divBdr>
    </w:div>
    <w:div w:id="1248151208">
      <w:bodyDiv w:val="1"/>
      <w:marLeft w:val="0"/>
      <w:marRight w:val="0"/>
      <w:marTop w:val="0"/>
      <w:marBottom w:val="0"/>
      <w:divBdr>
        <w:top w:val="none" w:sz="0" w:space="0" w:color="auto"/>
        <w:left w:val="none" w:sz="0" w:space="0" w:color="auto"/>
        <w:bottom w:val="none" w:sz="0" w:space="0" w:color="auto"/>
        <w:right w:val="none" w:sz="0" w:space="0" w:color="auto"/>
      </w:divBdr>
    </w:div>
    <w:div w:id="1248156576">
      <w:bodyDiv w:val="1"/>
      <w:marLeft w:val="0"/>
      <w:marRight w:val="0"/>
      <w:marTop w:val="0"/>
      <w:marBottom w:val="0"/>
      <w:divBdr>
        <w:top w:val="none" w:sz="0" w:space="0" w:color="auto"/>
        <w:left w:val="none" w:sz="0" w:space="0" w:color="auto"/>
        <w:bottom w:val="none" w:sz="0" w:space="0" w:color="auto"/>
        <w:right w:val="none" w:sz="0" w:space="0" w:color="auto"/>
      </w:divBdr>
    </w:div>
    <w:div w:id="1248343610">
      <w:bodyDiv w:val="1"/>
      <w:marLeft w:val="0"/>
      <w:marRight w:val="0"/>
      <w:marTop w:val="0"/>
      <w:marBottom w:val="0"/>
      <w:divBdr>
        <w:top w:val="none" w:sz="0" w:space="0" w:color="auto"/>
        <w:left w:val="none" w:sz="0" w:space="0" w:color="auto"/>
        <w:bottom w:val="none" w:sz="0" w:space="0" w:color="auto"/>
        <w:right w:val="none" w:sz="0" w:space="0" w:color="auto"/>
      </w:divBdr>
    </w:div>
    <w:div w:id="1248461159">
      <w:bodyDiv w:val="1"/>
      <w:marLeft w:val="0"/>
      <w:marRight w:val="0"/>
      <w:marTop w:val="0"/>
      <w:marBottom w:val="0"/>
      <w:divBdr>
        <w:top w:val="none" w:sz="0" w:space="0" w:color="auto"/>
        <w:left w:val="none" w:sz="0" w:space="0" w:color="auto"/>
        <w:bottom w:val="none" w:sz="0" w:space="0" w:color="auto"/>
        <w:right w:val="none" w:sz="0" w:space="0" w:color="auto"/>
      </w:divBdr>
    </w:div>
    <w:div w:id="1248542940">
      <w:bodyDiv w:val="1"/>
      <w:marLeft w:val="0"/>
      <w:marRight w:val="0"/>
      <w:marTop w:val="0"/>
      <w:marBottom w:val="0"/>
      <w:divBdr>
        <w:top w:val="none" w:sz="0" w:space="0" w:color="auto"/>
        <w:left w:val="none" w:sz="0" w:space="0" w:color="auto"/>
        <w:bottom w:val="none" w:sz="0" w:space="0" w:color="auto"/>
        <w:right w:val="none" w:sz="0" w:space="0" w:color="auto"/>
      </w:divBdr>
    </w:div>
    <w:div w:id="1248661010">
      <w:bodyDiv w:val="1"/>
      <w:marLeft w:val="0"/>
      <w:marRight w:val="0"/>
      <w:marTop w:val="0"/>
      <w:marBottom w:val="0"/>
      <w:divBdr>
        <w:top w:val="none" w:sz="0" w:space="0" w:color="auto"/>
        <w:left w:val="none" w:sz="0" w:space="0" w:color="auto"/>
        <w:bottom w:val="none" w:sz="0" w:space="0" w:color="auto"/>
        <w:right w:val="none" w:sz="0" w:space="0" w:color="auto"/>
      </w:divBdr>
    </w:div>
    <w:div w:id="1248685266">
      <w:bodyDiv w:val="1"/>
      <w:marLeft w:val="0"/>
      <w:marRight w:val="0"/>
      <w:marTop w:val="0"/>
      <w:marBottom w:val="0"/>
      <w:divBdr>
        <w:top w:val="none" w:sz="0" w:space="0" w:color="auto"/>
        <w:left w:val="none" w:sz="0" w:space="0" w:color="auto"/>
        <w:bottom w:val="none" w:sz="0" w:space="0" w:color="auto"/>
        <w:right w:val="none" w:sz="0" w:space="0" w:color="auto"/>
      </w:divBdr>
    </w:div>
    <w:div w:id="1248728191">
      <w:bodyDiv w:val="1"/>
      <w:marLeft w:val="0"/>
      <w:marRight w:val="0"/>
      <w:marTop w:val="0"/>
      <w:marBottom w:val="0"/>
      <w:divBdr>
        <w:top w:val="none" w:sz="0" w:space="0" w:color="auto"/>
        <w:left w:val="none" w:sz="0" w:space="0" w:color="auto"/>
        <w:bottom w:val="none" w:sz="0" w:space="0" w:color="auto"/>
        <w:right w:val="none" w:sz="0" w:space="0" w:color="auto"/>
      </w:divBdr>
    </w:div>
    <w:div w:id="1248803739">
      <w:bodyDiv w:val="1"/>
      <w:marLeft w:val="0"/>
      <w:marRight w:val="0"/>
      <w:marTop w:val="0"/>
      <w:marBottom w:val="0"/>
      <w:divBdr>
        <w:top w:val="none" w:sz="0" w:space="0" w:color="auto"/>
        <w:left w:val="none" w:sz="0" w:space="0" w:color="auto"/>
        <w:bottom w:val="none" w:sz="0" w:space="0" w:color="auto"/>
        <w:right w:val="none" w:sz="0" w:space="0" w:color="auto"/>
      </w:divBdr>
    </w:div>
    <w:div w:id="1248805007">
      <w:bodyDiv w:val="1"/>
      <w:marLeft w:val="0"/>
      <w:marRight w:val="0"/>
      <w:marTop w:val="0"/>
      <w:marBottom w:val="0"/>
      <w:divBdr>
        <w:top w:val="none" w:sz="0" w:space="0" w:color="auto"/>
        <w:left w:val="none" w:sz="0" w:space="0" w:color="auto"/>
        <w:bottom w:val="none" w:sz="0" w:space="0" w:color="auto"/>
        <w:right w:val="none" w:sz="0" w:space="0" w:color="auto"/>
      </w:divBdr>
    </w:div>
    <w:div w:id="1248926415">
      <w:bodyDiv w:val="1"/>
      <w:marLeft w:val="0"/>
      <w:marRight w:val="0"/>
      <w:marTop w:val="0"/>
      <w:marBottom w:val="0"/>
      <w:divBdr>
        <w:top w:val="none" w:sz="0" w:space="0" w:color="auto"/>
        <w:left w:val="none" w:sz="0" w:space="0" w:color="auto"/>
        <w:bottom w:val="none" w:sz="0" w:space="0" w:color="auto"/>
        <w:right w:val="none" w:sz="0" w:space="0" w:color="auto"/>
      </w:divBdr>
    </w:div>
    <w:div w:id="1248927476">
      <w:bodyDiv w:val="1"/>
      <w:marLeft w:val="0"/>
      <w:marRight w:val="0"/>
      <w:marTop w:val="0"/>
      <w:marBottom w:val="0"/>
      <w:divBdr>
        <w:top w:val="none" w:sz="0" w:space="0" w:color="auto"/>
        <w:left w:val="none" w:sz="0" w:space="0" w:color="auto"/>
        <w:bottom w:val="none" w:sz="0" w:space="0" w:color="auto"/>
        <w:right w:val="none" w:sz="0" w:space="0" w:color="auto"/>
      </w:divBdr>
    </w:div>
    <w:div w:id="1249001754">
      <w:bodyDiv w:val="1"/>
      <w:marLeft w:val="0"/>
      <w:marRight w:val="0"/>
      <w:marTop w:val="0"/>
      <w:marBottom w:val="0"/>
      <w:divBdr>
        <w:top w:val="none" w:sz="0" w:space="0" w:color="auto"/>
        <w:left w:val="none" w:sz="0" w:space="0" w:color="auto"/>
        <w:bottom w:val="none" w:sz="0" w:space="0" w:color="auto"/>
        <w:right w:val="none" w:sz="0" w:space="0" w:color="auto"/>
      </w:divBdr>
    </w:div>
    <w:div w:id="1249071542">
      <w:bodyDiv w:val="1"/>
      <w:marLeft w:val="0"/>
      <w:marRight w:val="0"/>
      <w:marTop w:val="0"/>
      <w:marBottom w:val="0"/>
      <w:divBdr>
        <w:top w:val="none" w:sz="0" w:space="0" w:color="auto"/>
        <w:left w:val="none" w:sz="0" w:space="0" w:color="auto"/>
        <w:bottom w:val="none" w:sz="0" w:space="0" w:color="auto"/>
        <w:right w:val="none" w:sz="0" w:space="0" w:color="auto"/>
      </w:divBdr>
    </w:div>
    <w:div w:id="1249074804">
      <w:bodyDiv w:val="1"/>
      <w:marLeft w:val="0"/>
      <w:marRight w:val="0"/>
      <w:marTop w:val="0"/>
      <w:marBottom w:val="0"/>
      <w:divBdr>
        <w:top w:val="none" w:sz="0" w:space="0" w:color="auto"/>
        <w:left w:val="none" w:sz="0" w:space="0" w:color="auto"/>
        <w:bottom w:val="none" w:sz="0" w:space="0" w:color="auto"/>
        <w:right w:val="none" w:sz="0" w:space="0" w:color="auto"/>
      </w:divBdr>
    </w:div>
    <w:div w:id="1249122168">
      <w:bodyDiv w:val="1"/>
      <w:marLeft w:val="0"/>
      <w:marRight w:val="0"/>
      <w:marTop w:val="0"/>
      <w:marBottom w:val="0"/>
      <w:divBdr>
        <w:top w:val="none" w:sz="0" w:space="0" w:color="auto"/>
        <w:left w:val="none" w:sz="0" w:space="0" w:color="auto"/>
        <w:bottom w:val="none" w:sz="0" w:space="0" w:color="auto"/>
        <w:right w:val="none" w:sz="0" w:space="0" w:color="auto"/>
      </w:divBdr>
    </w:div>
    <w:div w:id="1249191158">
      <w:bodyDiv w:val="1"/>
      <w:marLeft w:val="0"/>
      <w:marRight w:val="0"/>
      <w:marTop w:val="0"/>
      <w:marBottom w:val="0"/>
      <w:divBdr>
        <w:top w:val="none" w:sz="0" w:space="0" w:color="auto"/>
        <w:left w:val="none" w:sz="0" w:space="0" w:color="auto"/>
        <w:bottom w:val="none" w:sz="0" w:space="0" w:color="auto"/>
        <w:right w:val="none" w:sz="0" w:space="0" w:color="auto"/>
      </w:divBdr>
    </w:div>
    <w:div w:id="1249272395">
      <w:bodyDiv w:val="1"/>
      <w:marLeft w:val="0"/>
      <w:marRight w:val="0"/>
      <w:marTop w:val="0"/>
      <w:marBottom w:val="0"/>
      <w:divBdr>
        <w:top w:val="none" w:sz="0" w:space="0" w:color="auto"/>
        <w:left w:val="none" w:sz="0" w:space="0" w:color="auto"/>
        <w:bottom w:val="none" w:sz="0" w:space="0" w:color="auto"/>
        <w:right w:val="none" w:sz="0" w:space="0" w:color="auto"/>
      </w:divBdr>
    </w:div>
    <w:div w:id="1249467303">
      <w:bodyDiv w:val="1"/>
      <w:marLeft w:val="0"/>
      <w:marRight w:val="0"/>
      <w:marTop w:val="0"/>
      <w:marBottom w:val="0"/>
      <w:divBdr>
        <w:top w:val="none" w:sz="0" w:space="0" w:color="auto"/>
        <w:left w:val="none" w:sz="0" w:space="0" w:color="auto"/>
        <w:bottom w:val="none" w:sz="0" w:space="0" w:color="auto"/>
        <w:right w:val="none" w:sz="0" w:space="0" w:color="auto"/>
      </w:divBdr>
    </w:div>
    <w:div w:id="1249541107">
      <w:bodyDiv w:val="1"/>
      <w:marLeft w:val="0"/>
      <w:marRight w:val="0"/>
      <w:marTop w:val="0"/>
      <w:marBottom w:val="0"/>
      <w:divBdr>
        <w:top w:val="none" w:sz="0" w:space="0" w:color="auto"/>
        <w:left w:val="none" w:sz="0" w:space="0" w:color="auto"/>
        <w:bottom w:val="none" w:sz="0" w:space="0" w:color="auto"/>
        <w:right w:val="none" w:sz="0" w:space="0" w:color="auto"/>
      </w:divBdr>
    </w:div>
    <w:div w:id="1249583532">
      <w:bodyDiv w:val="1"/>
      <w:marLeft w:val="0"/>
      <w:marRight w:val="0"/>
      <w:marTop w:val="0"/>
      <w:marBottom w:val="0"/>
      <w:divBdr>
        <w:top w:val="none" w:sz="0" w:space="0" w:color="auto"/>
        <w:left w:val="none" w:sz="0" w:space="0" w:color="auto"/>
        <w:bottom w:val="none" w:sz="0" w:space="0" w:color="auto"/>
        <w:right w:val="none" w:sz="0" w:space="0" w:color="auto"/>
      </w:divBdr>
    </w:div>
    <w:div w:id="1249652768">
      <w:bodyDiv w:val="1"/>
      <w:marLeft w:val="0"/>
      <w:marRight w:val="0"/>
      <w:marTop w:val="0"/>
      <w:marBottom w:val="0"/>
      <w:divBdr>
        <w:top w:val="none" w:sz="0" w:space="0" w:color="auto"/>
        <w:left w:val="none" w:sz="0" w:space="0" w:color="auto"/>
        <w:bottom w:val="none" w:sz="0" w:space="0" w:color="auto"/>
        <w:right w:val="none" w:sz="0" w:space="0" w:color="auto"/>
      </w:divBdr>
    </w:div>
    <w:div w:id="1249657558">
      <w:bodyDiv w:val="1"/>
      <w:marLeft w:val="0"/>
      <w:marRight w:val="0"/>
      <w:marTop w:val="0"/>
      <w:marBottom w:val="0"/>
      <w:divBdr>
        <w:top w:val="none" w:sz="0" w:space="0" w:color="auto"/>
        <w:left w:val="none" w:sz="0" w:space="0" w:color="auto"/>
        <w:bottom w:val="none" w:sz="0" w:space="0" w:color="auto"/>
        <w:right w:val="none" w:sz="0" w:space="0" w:color="auto"/>
      </w:divBdr>
    </w:div>
    <w:div w:id="1249776727">
      <w:bodyDiv w:val="1"/>
      <w:marLeft w:val="0"/>
      <w:marRight w:val="0"/>
      <w:marTop w:val="0"/>
      <w:marBottom w:val="0"/>
      <w:divBdr>
        <w:top w:val="none" w:sz="0" w:space="0" w:color="auto"/>
        <w:left w:val="none" w:sz="0" w:space="0" w:color="auto"/>
        <w:bottom w:val="none" w:sz="0" w:space="0" w:color="auto"/>
        <w:right w:val="none" w:sz="0" w:space="0" w:color="auto"/>
      </w:divBdr>
    </w:div>
    <w:div w:id="1249777123">
      <w:bodyDiv w:val="1"/>
      <w:marLeft w:val="0"/>
      <w:marRight w:val="0"/>
      <w:marTop w:val="0"/>
      <w:marBottom w:val="0"/>
      <w:divBdr>
        <w:top w:val="none" w:sz="0" w:space="0" w:color="auto"/>
        <w:left w:val="none" w:sz="0" w:space="0" w:color="auto"/>
        <w:bottom w:val="none" w:sz="0" w:space="0" w:color="auto"/>
        <w:right w:val="none" w:sz="0" w:space="0" w:color="auto"/>
      </w:divBdr>
    </w:div>
    <w:div w:id="1249778189">
      <w:bodyDiv w:val="1"/>
      <w:marLeft w:val="0"/>
      <w:marRight w:val="0"/>
      <w:marTop w:val="0"/>
      <w:marBottom w:val="0"/>
      <w:divBdr>
        <w:top w:val="none" w:sz="0" w:space="0" w:color="auto"/>
        <w:left w:val="none" w:sz="0" w:space="0" w:color="auto"/>
        <w:bottom w:val="none" w:sz="0" w:space="0" w:color="auto"/>
        <w:right w:val="none" w:sz="0" w:space="0" w:color="auto"/>
      </w:divBdr>
    </w:div>
    <w:div w:id="1249802679">
      <w:bodyDiv w:val="1"/>
      <w:marLeft w:val="0"/>
      <w:marRight w:val="0"/>
      <w:marTop w:val="0"/>
      <w:marBottom w:val="0"/>
      <w:divBdr>
        <w:top w:val="none" w:sz="0" w:space="0" w:color="auto"/>
        <w:left w:val="none" w:sz="0" w:space="0" w:color="auto"/>
        <w:bottom w:val="none" w:sz="0" w:space="0" w:color="auto"/>
        <w:right w:val="none" w:sz="0" w:space="0" w:color="auto"/>
      </w:divBdr>
    </w:div>
    <w:div w:id="1249850987">
      <w:bodyDiv w:val="1"/>
      <w:marLeft w:val="0"/>
      <w:marRight w:val="0"/>
      <w:marTop w:val="0"/>
      <w:marBottom w:val="0"/>
      <w:divBdr>
        <w:top w:val="none" w:sz="0" w:space="0" w:color="auto"/>
        <w:left w:val="none" w:sz="0" w:space="0" w:color="auto"/>
        <w:bottom w:val="none" w:sz="0" w:space="0" w:color="auto"/>
        <w:right w:val="none" w:sz="0" w:space="0" w:color="auto"/>
      </w:divBdr>
    </w:div>
    <w:div w:id="1249850998">
      <w:bodyDiv w:val="1"/>
      <w:marLeft w:val="0"/>
      <w:marRight w:val="0"/>
      <w:marTop w:val="0"/>
      <w:marBottom w:val="0"/>
      <w:divBdr>
        <w:top w:val="none" w:sz="0" w:space="0" w:color="auto"/>
        <w:left w:val="none" w:sz="0" w:space="0" w:color="auto"/>
        <w:bottom w:val="none" w:sz="0" w:space="0" w:color="auto"/>
        <w:right w:val="none" w:sz="0" w:space="0" w:color="auto"/>
      </w:divBdr>
    </w:div>
    <w:div w:id="1249851697">
      <w:bodyDiv w:val="1"/>
      <w:marLeft w:val="0"/>
      <w:marRight w:val="0"/>
      <w:marTop w:val="0"/>
      <w:marBottom w:val="0"/>
      <w:divBdr>
        <w:top w:val="none" w:sz="0" w:space="0" w:color="auto"/>
        <w:left w:val="none" w:sz="0" w:space="0" w:color="auto"/>
        <w:bottom w:val="none" w:sz="0" w:space="0" w:color="auto"/>
        <w:right w:val="none" w:sz="0" w:space="0" w:color="auto"/>
      </w:divBdr>
    </w:div>
    <w:div w:id="1249919776">
      <w:bodyDiv w:val="1"/>
      <w:marLeft w:val="0"/>
      <w:marRight w:val="0"/>
      <w:marTop w:val="0"/>
      <w:marBottom w:val="0"/>
      <w:divBdr>
        <w:top w:val="none" w:sz="0" w:space="0" w:color="auto"/>
        <w:left w:val="none" w:sz="0" w:space="0" w:color="auto"/>
        <w:bottom w:val="none" w:sz="0" w:space="0" w:color="auto"/>
        <w:right w:val="none" w:sz="0" w:space="0" w:color="auto"/>
      </w:divBdr>
    </w:div>
    <w:div w:id="1249925082">
      <w:bodyDiv w:val="1"/>
      <w:marLeft w:val="0"/>
      <w:marRight w:val="0"/>
      <w:marTop w:val="0"/>
      <w:marBottom w:val="0"/>
      <w:divBdr>
        <w:top w:val="none" w:sz="0" w:space="0" w:color="auto"/>
        <w:left w:val="none" w:sz="0" w:space="0" w:color="auto"/>
        <w:bottom w:val="none" w:sz="0" w:space="0" w:color="auto"/>
        <w:right w:val="none" w:sz="0" w:space="0" w:color="auto"/>
      </w:divBdr>
    </w:div>
    <w:div w:id="1249971432">
      <w:bodyDiv w:val="1"/>
      <w:marLeft w:val="0"/>
      <w:marRight w:val="0"/>
      <w:marTop w:val="0"/>
      <w:marBottom w:val="0"/>
      <w:divBdr>
        <w:top w:val="none" w:sz="0" w:space="0" w:color="auto"/>
        <w:left w:val="none" w:sz="0" w:space="0" w:color="auto"/>
        <w:bottom w:val="none" w:sz="0" w:space="0" w:color="auto"/>
        <w:right w:val="none" w:sz="0" w:space="0" w:color="auto"/>
      </w:divBdr>
    </w:div>
    <w:div w:id="1250233187">
      <w:bodyDiv w:val="1"/>
      <w:marLeft w:val="0"/>
      <w:marRight w:val="0"/>
      <w:marTop w:val="0"/>
      <w:marBottom w:val="0"/>
      <w:divBdr>
        <w:top w:val="none" w:sz="0" w:space="0" w:color="auto"/>
        <w:left w:val="none" w:sz="0" w:space="0" w:color="auto"/>
        <w:bottom w:val="none" w:sz="0" w:space="0" w:color="auto"/>
        <w:right w:val="none" w:sz="0" w:space="0" w:color="auto"/>
      </w:divBdr>
    </w:div>
    <w:div w:id="1250236222">
      <w:bodyDiv w:val="1"/>
      <w:marLeft w:val="0"/>
      <w:marRight w:val="0"/>
      <w:marTop w:val="0"/>
      <w:marBottom w:val="0"/>
      <w:divBdr>
        <w:top w:val="none" w:sz="0" w:space="0" w:color="auto"/>
        <w:left w:val="none" w:sz="0" w:space="0" w:color="auto"/>
        <w:bottom w:val="none" w:sz="0" w:space="0" w:color="auto"/>
        <w:right w:val="none" w:sz="0" w:space="0" w:color="auto"/>
      </w:divBdr>
    </w:div>
    <w:div w:id="1250309215">
      <w:bodyDiv w:val="1"/>
      <w:marLeft w:val="0"/>
      <w:marRight w:val="0"/>
      <w:marTop w:val="0"/>
      <w:marBottom w:val="0"/>
      <w:divBdr>
        <w:top w:val="none" w:sz="0" w:space="0" w:color="auto"/>
        <w:left w:val="none" w:sz="0" w:space="0" w:color="auto"/>
        <w:bottom w:val="none" w:sz="0" w:space="0" w:color="auto"/>
        <w:right w:val="none" w:sz="0" w:space="0" w:color="auto"/>
      </w:divBdr>
    </w:div>
    <w:div w:id="1250315779">
      <w:bodyDiv w:val="1"/>
      <w:marLeft w:val="0"/>
      <w:marRight w:val="0"/>
      <w:marTop w:val="0"/>
      <w:marBottom w:val="0"/>
      <w:divBdr>
        <w:top w:val="none" w:sz="0" w:space="0" w:color="auto"/>
        <w:left w:val="none" w:sz="0" w:space="0" w:color="auto"/>
        <w:bottom w:val="none" w:sz="0" w:space="0" w:color="auto"/>
        <w:right w:val="none" w:sz="0" w:space="0" w:color="auto"/>
      </w:divBdr>
    </w:div>
    <w:div w:id="1250391239">
      <w:bodyDiv w:val="1"/>
      <w:marLeft w:val="0"/>
      <w:marRight w:val="0"/>
      <w:marTop w:val="0"/>
      <w:marBottom w:val="0"/>
      <w:divBdr>
        <w:top w:val="none" w:sz="0" w:space="0" w:color="auto"/>
        <w:left w:val="none" w:sz="0" w:space="0" w:color="auto"/>
        <w:bottom w:val="none" w:sz="0" w:space="0" w:color="auto"/>
        <w:right w:val="none" w:sz="0" w:space="0" w:color="auto"/>
      </w:divBdr>
    </w:div>
    <w:div w:id="1250433775">
      <w:bodyDiv w:val="1"/>
      <w:marLeft w:val="0"/>
      <w:marRight w:val="0"/>
      <w:marTop w:val="0"/>
      <w:marBottom w:val="0"/>
      <w:divBdr>
        <w:top w:val="none" w:sz="0" w:space="0" w:color="auto"/>
        <w:left w:val="none" w:sz="0" w:space="0" w:color="auto"/>
        <w:bottom w:val="none" w:sz="0" w:space="0" w:color="auto"/>
        <w:right w:val="none" w:sz="0" w:space="0" w:color="auto"/>
      </w:divBdr>
    </w:div>
    <w:div w:id="1250626659">
      <w:bodyDiv w:val="1"/>
      <w:marLeft w:val="0"/>
      <w:marRight w:val="0"/>
      <w:marTop w:val="0"/>
      <w:marBottom w:val="0"/>
      <w:divBdr>
        <w:top w:val="none" w:sz="0" w:space="0" w:color="auto"/>
        <w:left w:val="none" w:sz="0" w:space="0" w:color="auto"/>
        <w:bottom w:val="none" w:sz="0" w:space="0" w:color="auto"/>
        <w:right w:val="none" w:sz="0" w:space="0" w:color="auto"/>
      </w:divBdr>
    </w:div>
    <w:div w:id="1250693537">
      <w:bodyDiv w:val="1"/>
      <w:marLeft w:val="0"/>
      <w:marRight w:val="0"/>
      <w:marTop w:val="0"/>
      <w:marBottom w:val="0"/>
      <w:divBdr>
        <w:top w:val="none" w:sz="0" w:space="0" w:color="auto"/>
        <w:left w:val="none" w:sz="0" w:space="0" w:color="auto"/>
        <w:bottom w:val="none" w:sz="0" w:space="0" w:color="auto"/>
        <w:right w:val="none" w:sz="0" w:space="0" w:color="auto"/>
      </w:divBdr>
    </w:div>
    <w:div w:id="1250775323">
      <w:bodyDiv w:val="1"/>
      <w:marLeft w:val="0"/>
      <w:marRight w:val="0"/>
      <w:marTop w:val="0"/>
      <w:marBottom w:val="0"/>
      <w:divBdr>
        <w:top w:val="none" w:sz="0" w:space="0" w:color="auto"/>
        <w:left w:val="none" w:sz="0" w:space="0" w:color="auto"/>
        <w:bottom w:val="none" w:sz="0" w:space="0" w:color="auto"/>
        <w:right w:val="none" w:sz="0" w:space="0" w:color="auto"/>
      </w:divBdr>
    </w:div>
    <w:div w:id="1250891548">
      <w:bodyDiv w:val="1"/>
      <w:marLeft w:val="0"/>
      <w:marRight w:val="0"/>
      <w:marTop w:val="0"/>
      <w:marBottom w:val="0"/>
      <w:divBdr>
        <w:top w:val="none" w:sz="0" w:space="0" w:color="auto"/>
        <w:left w:val="none" w:sz="0" w:space="0" w:color="auto"/>
        <w:bottom w:val="none" w:sz="0" w:space="0" w:color="auto"/>
        <w:right w:val="none" w:sz="0" w:space="0" w:color="auto"/>
      </w:divBdr>
    </w:div>
    <w:div w:id="1251042095">
      <w:bodyDiv w:val="1"/>
      <w:marLeft w:val="0"/>
      <w:marRight w:val="0"/>
      <w:marTop w:val="0"/>
      <w:marBottom w:val="0"/>
      <w:divBdr>
        <w:top w:val="none" w:sz="0" w:space="0" w:color="auto"/>
        <w:left w:val="none" w:sz="0" w:space="0" w:color="auto"/>
        <w:bottom w:val="none" w:sz="0" w:space="0" w:color="auto"/>
        <w:right w:val="none" w:sz="0" w:space="0" w:color="auto"/>
      </w:divBdr>
    </w:div>
    <w:div w:id="1251044329">
      <w:bodyDiv w:val="1"/>
      <w:marLeft w:val="0"/>
      <w:marRight w:val="0"/>
      <w:marTop w:val="0"/>
      <w:marBottom w:val="0"/>
      <w:divBdr>
        <w:top w:val="none" w:sz="0" w:space="0" w:color="auto"/>
        <w:left w:val="none" w:sz="0" w:space="0" w:color="auto"/>
        <w:bottom w:val="none" w:sz="0" w:space="0" w:color="auto"/>
        <w:right w:val="none" w:sz="0" w:space="0" w:color="auto"/>
      </w:divBdr>
    </w:div>
    <w:div w:id="1251082408">
      <w:bodyDiv w:val="1"/>
      <w:marLeft w:val="0"/>
      <w:marRight w:val="0"/>
      <w:marTop w:val="0"/>
      <w:marBottom w:val="0"/>
      <w:divBdr>
        <w:top w:val="none" w:sz="0" w:space="0" w:color="auto"/>
        <w:left w:val="none" w:sz="0" w:space="0" w:color="auto"/>
        <w:bottom w:val="none" w:sz="0" w:space="0" w:color="auto"/>
        <w:right w:val="none" w:sz="0" w:space="0" w:color="auto"/>
      </w:divBdr>
    </w:div>
    <w:div w:id="1251084686">
      <w:bodyDiv w:val="1"/>
      <w:marLeft w:val="0"/>
      <w:marRight w:val="0"/>
      <w:marTop w:val="0"/>
      <w:marBottom w:val="0"/>
      <w:divBdr>
        <w:top w:val="none" w:sz="0" w:space="0" w:color="auto"/>
        <w:left w:val="none" w:sz="0" w:space="0" w:color="auto"/>
        <w:bottom w:val="none" w:sz="0" w:space="0" w:color="auto"/>
        <w:right w:val="none" w:sz="0" w:space="0" w:color="auto"/>
      </w:divBdr>
    </w:div>
    <w:div w:id="1251086876">
      <w:bodyDiv w:val="1"/>
      <w:marLeft w:val="0"/>
      <w:marRight w:val="0"/>
      <w:marTop w:val="0"/>
      <w:marBottom w:val="0"/>
      <w:divBdr>
        <w:top w:val="none" w:sz="0" w:space="0" w:color="auto"/>
        <w:left w:val="none" w:sz="0" w:space="0" w:color="auto"/>
        <w:bottom w:val="none" w:sz="0" w:space="0" w:color="auto"/>
        <w:right w:val="none" w:sz="0" w:space="0" w:color="auto"/>
      </w:divBdr>
    </w:div>
    <w:div w:id="1251087113">
      <w:bodyDiv w:val="1"/>
      <w:marLeft w:val="0"/>
      <w:marRight w:val="0"/>
      <w:marTop w:val="0"/>
      <w:marBottom w:val="0"/>
      <w:divBdr>
        <w:top w:val="none" w:sz="0" w:space="0" w:color="auto"/>
        <w:left w:val="none" w:sz="0" w:space="0" w:color="auto"/>
        <w:bottom w:val="none" w:sz="0" w:space="0" w:color="auto"/>
        <w:right w:val="none" w:sz="0" w:space="0" w:color="auto"/>
      </w:divBdr>
    </w:div>
    <w:div w:id="1251154715">
      <w:bodyDiv w:val="1"/>
      <w:marLeft w:val="0"/>
      <w:marRight w:val="0"/>
      <w:marTop w:val="0"/>
      <w:marBottom w:val="0"/>
      <w:divBdr>
        <w:top w:val="none" w:sz="0" w:space="0" w:color="auto"/>
        <w:left w:val="none" w:sz="0" w:space="0" w:color="auto"/>
        <w:bottom w:val="none" w:sz="0" w:space="0" w:color="auto"/>
        <w:right w:val="none" w:sz="0" w:space="0" w:color="auto"/>
      </w:divBdr>
    </w:div>
    <w:div w:id="1251159456">
      <w:bodyDiv w:val="1"/>
      <w:marLeft w:val="0"/>
      <w:marRight w:val="0"/>
      <w:marTop w:val="0"/>
      <w:marBottom w:val="0"/>
      <w:divBdr>
        <w:top w:val="none" w:sz="0" w:space="0" w:color="auto"/>
        <w:left w:val="none" w:sz="0" w:space="0" w:color="auto"/>
        <w:bottom w:val="none" w:sz="0" w:space="0" w:color="auto"/>
        <w:right w:val="none" w:sz="0" w:space="0" w:color="auto"/>
      </w:divBdr>
    </w:div>
    <w:div w:id="1251160624">
      <w:bodyDiv w:val="1"/>
      <w:marLeft w:val="0"/>
      <w:marRight w:val="0"/>
      <w:marTop w:val="0"/>
      <w:marBottom w:val="0"/>
      <w:divBdr>
        <w:top w:val="none" w:sz="0" w:space="0" w:color="auto"/>
        <w:left w:val="none" w:sz="0" w:space="0" w:color="auto"/>
        <w:bottom w:val="none" w:sz="0" w:space="0" w:color="auto"/>
        <w:right w:val="none" w:sz="0" w:space="0" w:color="auto"/>
      </w:divBdr>
    </w:div>
    <w:div w:id="1251163341">
      <w:bodyDiv w:val="1"/>
      <w:marLeft w:val="0"/>
      <w:marRight w:val="0"/>
      <w:marTop w:val="0"/>
      <w:marBottom w:val="0"/>
      <w:divBdr>
        <w:top w:val="none" w:sz="0" w:space="0" w:color="auto"/>
        <w:left w:val="none" w:sz="0" w:space="0" w:color="auto"/>
        <w:bottom w:val="none" w:sz="0" w:space="0" w:color="auto"/>
        <w:right w:val="none" w:sz="0" w:space="0" w:color="auto"/>
      </w:divBdr>
    </w:div>
    <w:div w:id="1251306437">
      <w:bodyDiv w:val="1"/>
      <w:marLeft w:val="0"/>
      <w:marRight w:val="0"/>
      <w:marTop w:val="0"/>
      <w:marBottom w:val="0"/>
      <w:divBdr>
        <w:top w:val="none" w:sz="0" w:space="0" w:color="auto"/>
        <w:left w:val="none" w:sz="0" w:space="0" w:color="auto"/>
        <w:bottom w:val="none" w:sz="0" w:space="0" w:color="auto"/>
        <w:right w:val="none" w:sz="0" w:space="0" w:color="auto"/>
      </w:divBdr>
    </w:div>
    <w:div w:id="1251311188">
      <w:bodyDiv w:val="1"/>
      <w:marLeft w:val="0"/>
      <w:marRight w:val="0"/>
      <w:marTop w:val="0"/>
      <w:marBottom w:val="0"/>
      <w:divBdr>
        <w:top w:val="none" w:sz="0" w:space="0" w:color="auto"/>
        <w:left w:val="none" w:sz="0" w:space="0" w:color="auto"/>
        <w:bottom w:val="none" w:sz="0" w:space="0" w:color="auto"/>
        <w:right w:val="none" w:sz="0" w:space="0" w:color="auto"/>
      </w:divBdr>
    </w:div>
    <w:div w:id="1251350821">
      <w:bodyDiv w:val="1"/>
      <w:marLeft w:val="0"/>
      <w:marRight w:val="0"/>
      <w:marTop w:val="0"/>
      <w:marBottom w:val="0"/>
      <w:divBdr>
        <w:top w:val="none" w:sz="0" w:space="0" w:color="auto"/>
        <w:left w:val="none" w:sz="0" w:space="0" w:color="auto"/>
        <w:bottom w:val="none" w:sz="0" w:space="0" w:color="auto"/>
        <w:right w:val="none" w:sz="0" w:space="0" w:color="auto"/>
      </w:divBdr>
    </w:div>
    <w:div w:id="1251429136">
      <w:bodyDiv w:val="1"/>
      <w:marLeft w:val="0"/>
      <w:marRight w:val="0"/>
      <w:marTop w:val="0"/>
      <w:marBottom w:val="0"/>
      <w:divBdr>
        <w:top w:val="none" w:sz="0" w:space="0" w:color="auto"/>
        <w:left w:val="none" w:sz="0" w:space="0" w:color="auto"/>
        <w:bottom w:val="none" w:sz="0" w:space="0" w:color="auto"/>
        <w:right w:val="none" w:sz="0" w:space="0" w:color="auto"/>
      </w:divBdr>
    </w:div>
    <w:div w:id="1251502122">
      <w:bodyDiv w:val="1"/>
      <w:marLeft w:val="0"/>
      <w:marRight w:val="0"/>
      <w:marTop w:val="0"/>
      <w:marBottom w:val="0"/>
      <w:divBdr>
        <w:top w:val="none" w:sz="0" w:space="0" w:color="auto"/>
        <w:left w:val="none" w:sz="0" w:space="0" w:color="auto"/>
        <w:bottom w:val="none" w:sz="0" w:space="0" w:color="auto"/>
        <w:right w:val="none" w:sz="0" w:space="0" w:color="auto"/>
      </w:divBdr>
    </w:div>
    <w:div w:id="1251543257">
      <w:bodyDiv w:val="1"/>
      <w:marLeft w:val="0"/>
      <w:marRight w:val="0"/>
      <w:marTop w:val="0"/>
      <w:marBottom w:val="0"/>
      <w:divBdr>
        <w:top w:val="none" w:sz="0" w:space="0" w:color="auto"/>
        <w:left w:val="none" w:sz="0" w:space="0" w:color="auto"/>
        <w:bottom w:val="none" w:sz="0" w:space="0" w:color="auto"/>
        <w:right w:val="none" w:sz="0" w:space="0" w:color="auto"/>
      </w:divBdr>
    </w:div>
    <w:div w:id="1251544600">
      <w:bodyDiv w:val="1"/>
      <w:marLeft w:val="0"/>
      <w:marRight w:val="0"/>
      <w:marTop w:val="0"/>
      <w:marBottom w:val="0"/>
      <w:divBdr>
        <w:top w:val="none" w:sz="0" w:space="0" w:color="auto"/>
        <w:left w:val="none" w:sz="0" w:space="0" w:color="auto"/>
        <w:bottom w:val="none" w:sz="0" w:space="0" w:color="auto"/>
        <w:right w:val="none" w:sz="0" w:space="0" w:color="auto"/>
      </w:divBdr>
    </w:div>
    <w:div w:id="1251621102">
      <w:bodyDiv w:val="1"/>
      <w:marLeft w:val="0"/>
      <w:marRight w:val="0"/>
      <w:marTop w:val="0"/>
      <w:marBottom w:val="0"/>
      <w:divBdr>
        <w:top w:val="none" w:sz="0" w:space="0" w:color="auto"/>
        <w:left w:val="none" w:sz="0" w:space="0" w:color="auto"/>
        <w:bottom w:val="none" w:sz="0" w:space="0" w:color="auto"/>
        <w:right w:val="none" w:sz="0" w:space="0" w:color="auto"/>
      </w:divBdr>
    </w:div>
    <w:div w:id="1251769472">
      <w:bodyDiv w:val="1"/>
      <w:marLeft w:val="0"/>
      <w:marRight w:val="0"/>
      <w:marTop w:val="0"/>
      <w:marBottom w:val="0"/>
      <w:divBdr>
        <w:top w:val="none" w:sz="0" w:space="0" w:color="auto"/>
        <w:left w:val="none" w:sz="0" w:space="0" w:color="auto"/>
        <w:bottom w:val="none" w:sz="0" w:space="0" w:color="auto"/>
        <w:right w:val="none" w:sz="0" w:space="0" w:color="auto"/>
      </w:divBdr>
    </w:div>
    <w:div w:id="1251892094">
      <w:bodyDiv w:val="1"/>
      <w:marLeft w:val="0"/>
      <w:marRight w:val="0"/>
      <w:marTop w:val="0"/>
      <w:marBottom w:val="0"/>
      <w:divBdr>
        <w:top w:val="none" w:sz="0" w:space="0" w:color="auto"/>
        <w:left w:val="none" w:sz="0" w:space="0" w:color="auto"/>
        <w:bottom w:val="none" w:sz="0" w:space="0" w:color="auto"/>
        <w:right w:val="none" w:sz="0" w:space="0" w:color="auto"/>
      </w:divBdr>
    </w:div>
    <w:div w:id="1252006298">
      <w:bodyDiv w:val="1"/>
      <w:marLeft w:val="0"/>
      <w:marRight w:val="0"/>
      <w:marTop w:val="0"/>
      <w:marBottom w:val="0"/>
      <w:divBdr>
        <w:top w:val="none" w:sz="0" w:space="0" w:color="auto"/>
        <w:left w:val="none" w:sz="0" w:space="0" w:color="auto"/>
        <w:bottom w:val="none" w:sz="0" w:space="0" w:color="auto"/>
        <w:right w:val="none" w:sz="0" w:space="0" w:color="auto"/>
      </w:divBdr>
    </w:div>
    <w:div w:id="1252008086">
      <w:bodyDiv w:val="1"/>
      <w:marLeft w:val="0"/>
      <w:marRight w:val="0"/>
      <w:marTop w:val="0"/>
      <w:marBottom w:val="0"/>
      <w:divBdr>
        <w:top w:val="none" w:sz="0" w:space="0" w:color="auto"/>
        <w:left w:val="none" w:sz="0" w:space="0" w:color="auto"/>
        <w:bottom w:val="none" w:sz="0" w:space="0" w:color="auto"/>
        <w:right w:val="none" w:sz="0" w:space="0" w:color="auto"/>
      </w:divBdr>
    </w:div>
    <w:div w:id="1252161996">
      <w:bodyDiv w:val="1"/>
      <w:marLeft w:val="0"/>
      <w:marRight w:val="0"/>
      <w:marTop w:val="0"/>
      <w:marBottom w:val="0"/>
      <w:divBdr>
        <w:top w:val="none" w:sz="0" w:space="0" w:color="auto"/>
        <w:left w:val="none" w:sz="0" w:space="0" w:color="auto"/>
        <w:bottom w:val="none" w:sz="0" w:space="0" w:color="auto"/>
        <w:right w:val="none" w:sz="0" w:space="0" w:color="auto"/>
      </w:divBdr>
    </w:div>
    <w:div w:id="1252351423">
      <w:bodyDiv w:val="1"/>
      <w:marLeft w:val="0"/>
      <w:marRight w:val="0"/>
      <w:marTop w:val="0"/>
      <w:marBottom w:val="0"/>
      <w:divBdr>
        <w:top w:val="none" w:sz="0" w:space="0" w:color="auto"/>
        <w:left w:val="none" w:sz="0" w:space="0" w:color="auto"/>
        <w:bottom w:val="none" w:sz="0" w:space="0" w:color="auto"/>
        <w:right w:val="none" w:sz="0" w:space="0" w:color="auto"/>
      </w:divBdr>
    </w:div>
    <w:div w:id="1252353911">
      <w:bodyDiv w:val="1"/>
      <w:marLeft w:val="0"/>
      <w:marRight w:val="0"/>
      <w:marTop w:val="0"/>
      <w:marBottom w:val="0"/>
      <w:divBdr>
        <w:top w:val="none" w:sz="0" w:space="0" w:color="auto"/>
        <w:left w:val="none" w:sz="0" w:space="0" w:color="auto"/>
        <w:bottom w:val="none" w:sz="0" w:space="0" w:color="auto"/>
        <w:right w:val="none" w:sz="0" w:space="0" w:color="auto"/>
      </w:divBdr>
    </w:div>
    <w:div w:id="1252423643">
      <w:bodyDiv w:val="1"/>
      <w:marLeft w:val="0"/>
      <w:marRight w:val="0"/>
      <w:marTop w:val="0"/>
      <w:marBottom w:val="0"/>
      <w:divBdr>
        <w:top w:val="none" w:sz="0" w:space="0" w:color="auto"/>
        <w:left w:val="none" w:sz="0" w:space="0" w:color="auto"/>
        <w:bottom w:val="none" w:sz="0" w:space="0" w:color="auto"/>
        <w:right w:val="none" w:sz="0" w:space="0" w:color="auto"/>
      </w:divBdr>
    </w:div>
    <w:div w:id="1252423980">
      <w:bodyDiv w:val="1"/>
      <w:marLeft w:val="0"/>
      <w:marRight w:val="0"/>
      <w:marTop w:val="0"/>
      <w:marBottom w:val="0"/>
      <w:divBdr>
        <w:top w:val="none" w:sz="0" w:space="0" w:color="auto"/>
        <w:left w:val="none" w:sz="0" w:space="0" w:color="auto"/>
        <w:bottom w:val="none" w:sz="0" w:space="0" w:color="auto"/>
        <w:right w:val="none" w:sz="0" w:space="0" w:color="auto"/>
      </w:divBdr>
    </w:div>
    <w:div w:id="1252541039">
      <w:bodyDiv w:val="1"/>
      <w:marLeft w:val="0"/>
      <w:marRight w:val="0"/>
      <w:marTop w:val="0"/>
      <w:marBottom w:val="0"/>
      <w:divBdr>
        <w:top w:val="none" w:sz="0" w:space="0" w:color="auto"/>
        <w:left w:val="none" w:sz="0" w:space="0" w:color="auto"/>
        <w:bottom w:val="none" w:sz="0" w:space="0" w:color="auto"/>
        <w:right w:val="none" w:sz="0" w:space="0" w:color="auto"/>
      </w:divBdr>
    </w:div>
    <w:div w:id="1252542009">
      <w:bodyDiv w:val="1"/>
      <w:marLeft w:val="0"/>
      <w:marRight w:val="0"/>
      <w:marTop w:val="0"/>
      <w:marBottom w:val="0"/>
      <w:divBdr>
        <w:top w:val="none" w:sz="0" w:space="0" w:color="auto"/>
        <w:left w:val="none" w:sz="0" w:space="0" w:color="auto"/>
        <w:bottom w:val="none" w:sz="0" w:space="0" w:color="auto"/>
        <w:right w:val="none" w:sz="0" w:space="0" w:color="auto"/>
      </w:divBdr>
    </w:div>
    <w:div w:id="1252617738">
      <w:bodyDiv w:val="1"/>
      <w:marLeft w:val="0"/>
      <w:marRight w:val="0"/>
      <w:marTop w:val="0"/>
      <w:marBottom w:val="0"/>
      <w:divBdr>
        <w:top w:val="none" w:sz="0" w:space="0" w:color="auto"/>
        <w:left w:val="none" w:sz="0" w:space="0" w:color="auto"/>
        <w:bottom w:val="none" w:sz="0" w:space="0" w:color="auto"/>
        <w:right w:val="none" w:sz="0" w:space="0" w:color="auto"/>
      </w:divBdr>
    </w:div>
    <w:div w:id="1252816987">
      <w:bodyDiv w:val="1"/>
      <w:marLeft w:val="0"/>
      <w:marRight w:val="0"/>
      <w:marTop w:val="0"/>
      <w:marBottom w:val="0"/>
      <w:divBdr>
        <w:top w:val="none" w:sz="0" w:space="0" w:color="auto"/>
        <w:left w:val="none" w:sz="0" w:space="0" w:color="auto"/>
        <w:bottom w:val="none" w:sz="0" w:space="0" w:color="auto"/>
        <w:right w:val="none" w:sz="0" w:space="0" w:color="auto"/>
      </w:divBdr>
    </w:div>
    <w:div w:id="1252853238">
      <w:bodyDiv w:val="1"/>
      <w:marLeft w:val="0"/>
      <w:marRight w:val="0"/>
      <w:marTop w:val="0"/>
      <w:marBottom w:val="0"/>
      <w:divBdr>
        <w:top w:val="none" w:sz="0" w:space="0" w:color="auto"/>
        <w:left w:val="none" w:sz="0" w:space="0" w:color="auto"/>
        <w:bottom w:val="none" w:sz="0" w:space="0" w:color="auto"/>
        <w:right w:val="none" w:sz="0" w:space="0" w:color="auto"/>
      </w:divBdr>
    </w:div>
    <w:div w:id="1252934242">
      <w:bodyDiv w:val="1"/>
      <w:marLeft w:val="0"/>
      <w:marRight w:val="0"/>
      <w:marTop w:val="0"/>
      <w:marBottom w:val="0"/>
      <w:divBdr>
        <w:top w:val="none" w:sz="0" w:space="0" w:color="auto"/>
        <w:left w:val="none" w:sz="0" w:space="0" w:color="auto"/>
        <w:bottom w:val="none" w:sz="0" w:space="0" w:color="auto"/>
        <w:right w:val="none" w:sz="0" w:space="0" w:color="auto"/>
      </w:divBdr>
    </w:div>
    <w:div w:id="1253011248">
      <w:bodyDiv w:val="1"/>
      <w:marLeft w:val="0"/>
      <w:marRight w:val="0"/>
      <w:marTop w:val="0"/>
      <w:marBottom w:val="0"/>
      <w:divBdr>
        <w:top w:val="none" w:sz="0" w:space="0" w:color="auto"/>
        <w:left w:val="none" w:sz="0" w:space="0" w:color="auto"/>
        <w:bottom w:val="none" w:sz="0" w:space="0" w:color="auto"/>
        <w:right w:val="none" w:sz="0" w:space="0" w:color="auto"/>
      </w:divBdr>
    </w:div>
    <w:div w:id="1253049590">
      <w:bodyDiv w:val="1"/>
      <w:marLeft w:val="0"/>
      <w:marRight w:val="0"/>
      <w:marTop w:val="0"/>
      <w:marBottom w:val="0"/>
      <w:divBdr>
        <w:top w:val="none" w:sz="0" w:space="0" w:color="auto"/>
        <w:left w:val="none" w:sz="0" w:space="0" w:color="auto"/>
        <w:bottom w:val="none" w:sz="0" w:space="0" w:color="auto"/>
        <w:right w:val="none" w:sz="0" w:space="0" w:color="auto"/>
      </w:divBdr>
    </w:div>
    <w:div w:id="1253080446">
      <w:bodyDiv w:val="1"/>
      <w:marLeft w:val="0"/>
      <w:marRight w:val="0"/>
      <w:marTop w:val="0"/>
      <w:marBottom w:val="0"/>
      <w:divBdr>
        <w:top w:val="none" w:sz="0" w:space="0" w:color="auto"/>
        <w:left w:val="none" w:sz="0" w:space="0" w:color="auto"/>
        <w:bottom w:val="none" w:sz="0" w:space="0" w:color="auto"/>
        <w:right w:val="none" w:sz="0" w:space="0" w:color="auto"/>
      </w:divBdr>
    </w:div>
    <w:div w:id="1253127855">
      <w:bodyDiv w:val="1"/>
      <w:marLeft w:val="0"/>
      <w:marRight w:val="0"/>
      <w:marTop w:val="0"/>
      <w:marBottom w:val="0"/>
      <w:divBdr>
        <w:top w:val="none" w:sz="0" w:space="0" w:color="auto"/>
        <w:left w:val="none" w:sz="0" w:space="0" w:color="auto"/>
        <w:bottom w:val="none" w:sz="0" w:space="0" w:color="auto"/>
        <w:right w:val="none" w:sz="0" w:space="0" w:color="auto"/>
      </w:divBdr>
    </w:div>
    <w:div w:id="1253247219">
      <w:bodyDiv w:val="1"/>
      <w:marLeft w:val="0"/>
      <w:marRight w:val="0"/>
      <w:marTop w:val="0"/>
      <w:marBottom w:val="0"/>
      <w:divBdr>
        <w:top w:val="none" w:sz="0" w:space="0" w:color="auto"/>
        <w:left w:val="none" w:sz="0" w:space="0" w:color="auto"/>
        <w:bottom w:val="none" w:sz="0" w:space="0" w:color="auto"/>
        <w:right w:val="none" w:sz="0" w:space="0" w:color="auto"/>
      </w:divBdr>
    </w:div>
    <w:div w:id="1253277286">
      <w:bodyDiv w:val="1"/>
      <w:marLeft w:val="0"/>
      <w:marRight w:val="0"/>
      <w:marTop w:val="0"/>
      <w:marBottom w:val="0"/>
      <w:divBdr>
        <w:top w:val="none" w:sz="0" w:space="0" w:color="auto"/>
        <w:left w:val="none" w:sz="0" w:space="0" w:color="auto"/>
        <w:bottom w:val="none" w:sz="0" w:space="0" w:color="auto"/>
        <w:right w:val="none" w:sz="0" w:space="0" w:color="auto"/>
      </w:divBdr>
    </w:div>
    <w:div w:id="1253314724">
      <w:bodyDiv w:val="1"/>
      <w:marLeft w:val="0"/>
      <w:marRight w:val="0"/>
      <w:marTop w:val="0"/>
      <w:marBottom w:val="0"/>
      <w:divBdr>
        <w:top w:val="none" w:sz="0" w:space="0" w:color="auto"/>
        <w:left w:val="none" w:sz="0" w:space="0" w:color="auto"/>
        <w:bottom w:val="none" w:sz="0" w:space="0" w:color="auto"/>
        <w:right w:val="none" w:sz="0" w:space="0" w:color="auto"/>
      </w:divBdr>
    </w:div>
    <w:div w:id="1253392732">
      <w:bodyDiv w:val="1"/>
      <w:marLeft w:val="0"/>
      <w:marRight w:val="0"/>
      <w:marTop w:val="0"/>
      <w:marBottom w:val="0"/>
      <w:divBdr>
        <w:top w:val="none" w:sz="0" w:space="0" w:color="auto"/>
        <w:left w:val="none" w:sz="0" w:space="0" w:color="auto"/>
        <w:bottom w:val="none" w:sz="0" w:space="0" w:color="auto"/>
        <w:right w:val="none" w:sz="0" w:space="0" w:color="auto"/>
      </w:divBdr>
    </w:div>
    <w:div w:id="1253397953">
      <w:bodyDiv w:val="1"/>
      <w:marLeft w:val="0"/>
      <w:marRight w:val="0"/>
      <w:marTop w:val="0"/>
      <w:marBottom w:val="0"/>
      <w:divBdr>
        <w:top w:val="none" w:sz="0" w:space="0" w:color="auto"/>
        <w:left w:val="none" w:sz="0" w:space="0" w:color="auto"/>
        <w:bottom w:val="none" w:sz="0" w:space="0" w:color="auto"/>
        <w:right w:val="none" w:sz="0" w:space="0" w:color="auto"/>
      </w:divBdr>
    </w:div>
    <w:div w:id="1253508945">
      <w:bodyDiv w:val="1"/>
      <w:marLeft w:val="0"/>
      <w:marRight w:val="0"/>
      <w:marTop w:val="0"/>
      <w:marBottom w:val="0"/>
      <w:divBdr>
        <w:top w:val="none" w:sz="0" w:space="0" w:color="auto"/>
        <w:left w:val="none" w:sz="0" w:space="0" w:color="auto"/>
        <w:bottom w:val="none" w:sz="0" w:space="0" w:color="auto"/>
        <w:right w:val="none" w:sz="0" w:space="0" w:color="auto"/>
      </w:divBdr>
    </w:div>
    <w:div w:id="1253661571">
      <w:bodyDiv w:val="1"/>
      <w:marLeft w:val="0"/>
      <w:marRight w:val="0"/>
      <w:marTop w:val="0"/>
      <w:marBottom w:val="0"/>
      <w:divBdr>
        <w:top w:val="none" w:sz="0" w:space="0" w:color="auto"/>
        <w:left w:val="none" w:sz="0" w:space="0" w:color="auto"/>
        <w:bottom w:val="none" w:sz="0" w:space="0" w:color="auto"/>
        <w:right w:val="none" w:sz="0" w:space="0" w:color="auto"/>
      </w:divBdr>
    </w:div>
    <w:div w:id="1253665491">
      <w:bodyDiv w:val="1"/>
      <w:marLeft w:val="0"/>
      <w:marRight w:val="0"/>
      <w:marTop w:val="0"/>
      <w:marBottom w:val="0"/>
      <w:divBdr>
        <w:top w:val="none" w:sz="0" w:space="0" w:color="auto"/>
        <w:left w:val="none" w:sz="0" w:space="0" w:color="auto"/>
        <w:bottom w:val="none" w:sz="0" w:space="0" w:color="auto"/>
        <w:right w:val="none" w:sz="0" w:space="0" w:color="auto"/>
      </w:divBdr>
    </w:div>
    <w:div w:id="1253776529">
      <w:bodyDiv w:val="1"/>
      <w:marLeft w:val="0"/>
      <w:marRight w:val="0"/>
      <w:marTop w:val="0"/>
      <w:marBottom w:val="0"/>
      <w:divBdr>
        <w:top w:val="none" w:sz="0" w:space="0" w:color="auto"/>
        <w:left w:val="none" w:sz="0" w:space="0" w:color="auto"/>
        <w:bottom w:val="none" w:sz="0" w:space="0" w:color="auto"/>
        <w:right w:val="none" w:sz="0" w:space="0" w:color="auto"/>
      </w:divBdr>
    </w:div>
    <w:div w:id="1254124615">
      <w:bodyDiv w:val="1"/>
      <w:marLeft w:val="0"/>
      <w:marRight w:val="0"/>
      <w:marTop w:val="0"/>
      <w:marBottom w:val="0"/>
      <w:divBdr>
        <w:top w:val="none" w:sz="0" w:space="0" w:color="auto"/>
        <w:left w:val="none" w:sz="0" w:space="0" w:color="auto"/>
        <w:bottom w:val="none" w:sz="0" w:space="0" w:color="auto"/>
        <w:right w:val="none" w:sz="0" w:space="0" w:color="auto"/>
      </w:divBdr>
    </w:div>
    <w:div w:id="1254127096">
      <w:bodyDiv w:val="1"/>
      <w:marLeft w:val="0"/>
      <w:marRight w:val="0"/>
      <w:marTop w:val="0"/>
      <w:marBottom w:val="0"/>
      <w:divBdr>
        <w:top w:val="none" w:sz="0" w:space="0" w:color="auto"/>
        <w:left w:val="none" w:sz="0" w:space="0" w:color="auto"/>
        <w:bottom w:val="none" w:sz="0" w:space="0" w:color="auto"/>
        <w:right w:val="none" w:sz="0" w:space="0" w:color="auto"/>
      </w:divBdr>
    </w:div>
    <w:div w:id="1254313318">
      <w:bodyDiv w:val="1"/>
      <w:marLeft w:val="0"/>
      <w:marRight w:val="0"/>
      <w:marTop w:val="0"/>
      <w:marBottom w:val="0"/>
      <w:divBdr>
        <w:top w:val="none" w:sz="0" w:space="0" w:color="auto"/>
        <w:left w:val="none" w:sz="0" w:space="0" w:color="auto"/>
        <w:bottom w:val="none" w:sz="0" w:space="0" w:color="auto"/>
        <w:right w:val="none" w:sz="0" w:space="0" w:color="auto"/>
      </w:divBdr>
    </w:div>
    <w:div w:id="1254388875">
      <w:bodyDiv w:val="1"/>
      <w:marLeft w:val="0"/>
      <w:marRight w:val="0"/>
      <w:marTop w:val="0"/>
      <w:marBottom w:val="0"/>
      <w:divBdr>
        <w:top w:val="none" w:sz="0" w:space="0" w:color="auto"/>
        <w:left w:val="none" w:sz="0" w:space="0" w:color="auto"/>
        <w:bottom w:val="none" w:sz="0" w:space="0" w:color="auto"/>
        <w:right w:val="none" w:sz="0" w:space="0" w:color="auto"/>
      </w:divBdr>
    </w:div>
    <w:div w:id="1254434907">
      <w:bodyDiv w:val="1"/>
      <w:marLeft w:val="0"/>
      <w:marRight w:val="0"/>
      <w:marTop w:val="0"/>
      <w:marBottom w:val="0"/>
      <w:divBdr>
        <w:top w:val="none" w:sz="0" w:space="0" w:color="auto"/>
        <w:left w:val="none" w:sz="0" w:space="0" w:color="auto"/>
        <w:bottom w:val="none" w:sz="0" w:space="0" w:color="auto"/>
        <w:right w:val="none" w:sz="0" w:space="0" w:color="auto"/>
      </w:divBdr>
    </w:div>
    <w:div w:id="1254512864">
      <w:bodyDiv w:val="1"/>
      <w:marLeft w:val="0"/>
      <w:marRight w:val="0"/>
      <w:marTop w:val="0"/>
      <w:marBottom w:val="0"/>
      <w:divBdr>
        <w:top w:val="none" w:sz="0" w:space="0" w:color="auto"/>
        <w:left w:val="none" w:sz="0" w:space="0" w:color="auto"/>
        <w:bottom w:val="none" w:sz="0" w:space="0" w:color="auto"/>
        <w:right w:val="none" w:sz="0" w:space="0" w:color="auto"/>
      </w:divBdr>
    </w:div>
    <w:div w:id="1254513929">
      <w:bodyDiv w:val="1"/>
      <w:marLeft w:val="0"/>
      <w:marRight w:val="0"/>
      <w:marTop w:val="0"/>
      <w:marBottom w:val="0"/>
      <w:divBdr>
        <w:top w:val="none" w:sz="0" w:space="0" w:color="auto"/>
        <w:left w:val="none" w:sz="0" w:space="0" w:color="auto"/>
        <w:bottom w:val="none" w:sz="0" w:space="0" w:color="auto"/>
        <w:right w:val="none" w:sz="0" w:space="0" w:color="auto"/>
      </w:divBdr>
    </w:div>
    <w:div w:id="1254558447">
      <w:bodyDiv w:val="1"/>
      <w:marLeft w:val="0"/>
      <w:marRight w:val="0"/>
      <w:marTop w:val="0"/>
      <w:marBottom w:val="0"/>
      <w:divBdr>
        <w:top w:val="none" w:sz="0" w:space="0" w:color="auto"/>
        <w:left w:val="none" w:sz="0" w:space="0" w:color="auto"/>
        <w:bottom w:val="none" w:sz="0" w:space="0" w:color="auto"/>
        <w:right w:val="none" w:sz="0" w:space="0" w:color="auto"/>
      </w:divBdr>
    </w:div>
    <w:div w:id="1254625628">
      <w:bodyDiv w:val="1"/>
      <w:marLeft w:val="0"/>
      <w:marRight w:val="0"/>
      <w:marTop w:val="0"/>
      <w:marBottom w:val="0"/>
      <w:divBdr>
        <w:top w:val="none" w:sz="0" w:space="0" w:color="auto"/>
        <w:left w:val="none" w:sz="0" w:space="0" w:color="auto"/>
        <w:bottom w:val="none" w:sz="0" w:space="0" w:color="auto"/>
        <w:right w:val="none" w:sz="0" w:space="0" w:color="auto"/>
      </w:divBdr>
    </w:div>
    <w:div w:id="1254627084">
      <w:bodyDiv w:val="1"/>
      <w:marLeft w:val="0"/>
      <w:marRight w:val="0"/>
      <w:marTop w:val="0"/>
      <w:marBottom w:val="0"/>
      <w:divBdr>
        <w:top w:val="none" w:sz="0" w:space="0" w:color="auto"/>
        <w:left w:val="none" w:sz="0" w:space="0" w:color="auto"/>
        <w:bottom w:val="none" w:sz="0" w:space="0" w:color="auto"/>
        <w:right w:val="none" w:sz="0" w:space="0" w:color="auto"/>
      </w:divBdr>
    </w:div>
    <w:div w:id="1254633447">
      <w:bodyDiv w:val="1"/>
      <w:marLeft w:val="0"/>
      <w:marRight w:val="0"/>
      <w:marTop w:val="0"/>
      <w:marBottom w:val="0"/>
      <w:divBdr>
        <w:top w:val="none" w:sz="0" w:space="0" w:color="auto"/>
        <w:left w:val="none" w:sz="0" w:space="0" w:color="auto"/>
        <w:bottom w:val="none" w:sz="0" w:space="0" w:color="auto"/>
        <w:right w:val="none" w:sz="0" w:space="0" w:color="auto"/>
      </w:divBdr>
    </w:div>
    <w:div w:id="1254700369">
      <w:bodyDiv w:val="1"/>
      <w:marLeft w:val="0"/>
      <w:marRight w:val="0"/>
      <w:marTop w:val="0"/>
      <w:marBottom w:val="0"/>
      <w:divBdr>
        <w:top w:val="none" w:sz="0" w:space="0" w:color="auto"/>
        <w:left w:val="none" w:sz="0" w:space="0" w:color="auto"/>
        <w:bottom w:val="none" w:sz="0" w:space="0" w:color="auto"/>
        <w:right w:val="none" w:sz="0" w:space="0" w:color="auto"/>
      </w:divBdr>
    </w:div>
    <w:div w:id="1254701806">
      <w:bodyDiv w:val="1"/>
      <w:marLeft w:val="0"/>
      <w:marRight w:val="0"/>
      <w:marTop w:val="0"/>
      <w:marBottom w:val="0"/>
      <w:divBdr>
        <w:top w:val="none" w:sz="0" w:space="0" w:color="auto"/>
        <w:left w:val="none" w:sz="0" w:space="0" w:color="auto"/>
        <w:bottom w:val="none" w:sz="0" w:space="0" w:color="auto"/>
        <w:right w:val="none" w:sz="0" w:space="0" w:color="auto"/>
      </w:divBdr>
    </w:div>
    <w:div w:id="1254702029">
      <w:bodyDiv w:val="1"/>
      <w:marLeft w:val="0"/>
      <w:marRight w:val="0"/>
      <w:marTop w:val="0"/>
      <w:marBottom w:val="0"/>
      <w:divBdr>
        <w:top w:val="none" w:sz="0" w:space="0" w:color="auto"/>
        <w:left w:val="none" w:sz="0" w:space="0" w:color="auto"/>
        <w:bottom w:val="none" w:sz="0" w:space="0" w:color="auto"/>
        <w:right w:val="none" w:sz="0" w:space="0" w:color="auto"/>
      </w:divBdr>
    </w:div>
    <w:div w:id="1254703642">
      <w:bodyDiv w:val="1"/>
      <w:marLeft w:val="0"/>
      <w:marRight w:val="0"/>
      <w:marTop w:val="0"/>
      <w:marBottom w:val="0"/>
      <w:divBdr>
        <w:top w:val="none" w:sz="0" w:space="0" w:color="auto"/>
        <w:left w:val="none" w:sz="0" w:space="0" w:color="auto"/>
        <w:bottom w:val="none" w:sz="0" w:space="0" w:color="auto"/>
        <w:right w:val="none" w:sz="0" w:space="0" w:color="auto"/>
      </w:divBdr>
    </w:div>
    <w:div w:id="1254704091">
      <w:bodyDiv w:val="1"/>
      <w:marLeft w:val="0"/>
      <w:marRight w:val="0"/>
      <w:marTop w:val="0"/>
      <w:marBottom w:val="0"/>
      <w:divBdr>
        <w:top w:val="none" w:sz="0" w:space="0" w:color="auto"/>
        <w:left w:val="none" w:sz="0" w:space="0" w:color="auto"/>
        <w:bottom w:val="none" w:sz="0" w:space="0" w:color="auto"/>
        <w:right w:val="none" w:sz="0" w:space="0" w:color="auto"/>
      </w:divBdr>
    </w:div>
    <w:div w:id="1254707441">
      <w:bodyDiv w:val="1"/>
      <w:marLeft w:val="0"/>
      <w:marRight w:val="0"/>
      <w:marTop w:val="0"/>
      <w:marBottom w:val="0"/>
      <w:divBdr>
        <w:top w:val="none" w:sz="0" w:space="0" w:color="auto"/>
        <w:left w:val="none" w:sz="0" w:space="0" w:color="auto"/>
        <w:bottom w:val="none" w:sz="0" w:space="0" w:color="auto"/>
        <w:right w:val="none" w:sz="0" w:space="0" w:color="auto"/>
      </w:divBdr>
    </w:div>
    <w:div w:id="1254776864">
      <w:bodyDiv w:val="1"/>
      <w:marLeft w:val="0"/>
      <w:marRight w:val="0"/>
      <w:marTop w:val="0"/>
      <w:marBottom w:val="0"/>
      <w:divBdr>
        <w:top w:val="none" w:sz="0" w:space="0" w:color="auto"/>
        <w:left w:val="none" w:sz="0" w:space="0" w:color="auto"/>
        <w:bottom w:val="none" w:sz="0" w:space="0" w:color="auto"/>
        <w:right w:val="none" w:sz="0" w:space="0" w:color="auto"/>
      </w:divBdr>
    </w:div>
    <w:div w:id="1254894047">
      <w:bodyDiv w:val="1"/>
      <w:marLeft w:val="0"/>
      <w:marRight w:val="0"/>
      <w:marTop w:val="0"/>
      <w:marBottom w:val="0"/>
      <w:divBdr>
        <w:top w:val="none" w:sz="0" w:space="0" w:color="auto"/>
        <w:left w:val="none" w:sz="0" w:space="0" w:color="auto"/>
        <w:bottom w:val="none" w:sz="0" w:space="0" w:color="auto"/>
        <w:right w:val="none" w:sz="0" w:space="0" w:color="auto"/>
      </w:divBdr>
    </w:div>
    <w:div w:id="1254896512">
      <w:bodyDiv w:val="1"/>
      <w:marLeft w:val="0"/>
      <w:marRight w:val="0"/>
      <w:marTop w:val="0"/>
      <w:marBottom w:val="0"/>
      <w:divBdr>
        <w:top w:val="none" w:sz="0" w:space="0" w:color="auto"/>
        <w:left w:val="none" w:sz="0" w:space="0" w:color="auto"/>
        <w:bottom w:val="none" w:sz="0" w:space="0" w:color="auto"/>
        <w:right w:val="none" w:sz="0" w:space="0" w:color="auto"/>
      </w:divBdr>
    </w:div>
    <w:div w:id="1254901514">
      <w:bodyDiv w:val="1"/>
      <w:marLeft w:val="0"/>
      <w:marRight w:val="0"/>
      <w:marTop w:val="0"/>
      <w:marBottom w:val="0"/>
      <w:divBdr>
        <w:top w:val="none" w:sz="0" w:space="0" w:color="auto"/>
        <w:left w:val="none" w:sz="0" w:space="0" w:color="auto"/>
        <w:bottom w:val="none" w:sz="0" w:space="0" w:color="auto"/>
        <w:right w:val="none" w:sz="0" w:space="0" w:color="auto"/>
      </w:divBdr>
    </w:div>
    <w:div w:id="1254969499">
      <w:bodyDiv w:val="1"/>
      <w:marLeft w:val="0"/>
      <w:marRight w:val="0"/>
      <w:marTop w:val="0"/>
      <w:marBottom w:val="0"/>
      <w:divBdr>
        <w:top w:val="none" w:sz="0" w:space="0" w:color="auto"/>
        <w:left w:val="none" w:sz="0" w:space="0" w:color="auto"/>
        <w:bottom w:val="none" w:sz="0" w:space="0" w:color="auto"/>
        <w:right w:val="none" w:sz="0" w:space="0" w:color="auto"/>
      </w:divBdr>
    </w:div>
    <w:div w:id="1254975846">
      <w:bodyDiv w:val="1"/>
      <w:marLeft w:val="0"/>
      <w:marRight w:val="0"/>
      <w:marTop w:val="0"/>
      <w:marBottom w:val="0"/>
      <w:divBdr>
        <w:top w:val="none" w:sz="0" w:space="0" w:color="auto"/>
        <w:left w:val="none" w:sz="0" w:space="0" w:color="auto"/>
        <w:bottom w:val="none" w:sz="0" w:space="0" w:color="auto"/>
        <w:right w:val="none" w:sz="0" w:space="0" w:color="auto"/>
      </w:divBdr>
    </w:div>
    <w:div w:id="1255095396">
      <w:bodyDiv w:val="1"/>
      <w:marLeft w:val="0"/>
      <w:marRight w:val="0"/>
      <w:marTop w:val="0"/>
      <w:marBottom w:val="0"/>
      <w:divBdr>
        <w:top w:val="none" w:sz="0" w:space="0" w:color="auto"/>
        <w:left w:val="none" w:sz="0" w:space="0" w:color="auto"/>
        <w:bottom w:val="none" w:sz="0" w:space="0" w:color="auto"/>
        <w:right w:val="none" w:sz="0" w:space="0" w:color="auto"/>
      </w:divBdr>
    </w:div>
    <w:div w:id="1255169297">
      <w:bodyDiv w:val="1"/>
      <w:marLeft w:val="0"/>
      <w:marRight w:val="0"/>
      <w:marTop w:val="0"/>
      <w:marBottom w:val="0"/>
      <w:divBdr>
        <w:top w:val="none" w:sz="0" w:space="0" w:color="auto"/>
        <w:left w:val="none" w:sz="0" w:space="0" w:color="auto"/>
        <w:bottom w:val="none" w:sz="0" w:space="0" w:color="auto"/>
        <w:right w:val="none" w:sz="0" w:space="0" w:color="auto"/>
      </w:divBdr>
    </w:div>
    <w:div w:id="1255237235">
      <w:bodyDiv w:val="1"/>
      <w:marLeft w:val="0"/>
      <w:marRight w:val="0"/>
      <w:marTop w:val="0"/>
      <w:marBottom w:val="0"/>
      <w:divBdr>
        <w:top w:val="none" w:sz="0" w:space="0" w:color="auto"/>
        <w:left w:val="none" w:sz="0" w:space="0" w:color="auto"/>
        <w:bottom w:val="none" w:sz="0" w:space="0" w:color="auto"/>
        <w:right w:val="none" w:sz="0" w:space="0" w:color="auto"/>
      </w:divBdr>
    </w:div>
    <w:div w:id="1255280122">
      <w:bodyDiv w:val="1"/>
      <w:marLeft w:val="0"/>
      <w:marRight w:val="0"/>
      <w:marTop w:val="0"/>
      <w:marBottom w:val="0"/>
      <w:divBdr>
        <w:top w:val="none" w:sz="0" w:space="0" w:color="auto"/>
        <w:left w:val="none" w:sz="0" w:space="0" w:color="auto"/>
        <w:bottom w:val="none" w:sz="0" w:space="0" w:color="auto"/>
        <w:right w:val="none" w:sz="0" w:space="0" w:color="auto"/>
      </w:divBdr>
    </w:div>
    <w:div w:id="1255430286">
      <w:bodyDiv w:val="1"/>
      <w:marLeft w:val="0"/>
      <w:marRight w:val="0"/>
      <w:marTop w:val="0"/>
      <w:marBottom w:val="0"/>
      <w:divBdr>
        <w:top w:val="none" w:sz="0" w:space="0" w:color="auto"/>
        <w:left w:val="none" w:sz="0" w:space="0" w:color="auto"/>
        <w:bottom w:val="none" w:sz="0" w:space="0" w:color="auto"/>
        <w:right w:val="none" w:sz="0" w:space="0" w:color="auto"/>
      </w:divBdr>
    </w:div>
    <w:div w:id="1255430669">
      <w:bodyDiv w:val="1"/>
      <w:marLeft w:val="0"/>
      <w:marRight w:val="0"/>
      <w:marTop w:val="0"/>
      <w:marBottom w:val="0"/>
      <w:divBdr>
        <w:top w:val="none" w:sz="0" w:space="0" w:color="auto"/>
        <w:left w:val="none" w:sz="0" w:space="0" w:color="auto"/>
        <w:bottom w:val="none" w:sz="0" w:space="0" w:color="auto"/>
        <w:right w:val="none" w:sz="0" w:space="0" w:color="auto"/>
      </w:divBdr>
    </w:div>
    <w:div w:id="1255436904">
      <w:bodyDiv w:val="1"/>
      <w:marLeft w:val="0"/>
      <w:marRight w:val="0"/>
      <w:marTop w:val="0"/>
      <w:marBottom w:val="0"/>
      <w:divBdr>
        <w:top w:val="none" w:sz="0" w:space="0" w:color="auto"/>
        <w:left w:val="none" w:sz="0" w:space="0" w:color="auto"/>
        <w:bottom w:val="none" w:sz="0" w:space="0" w:color="auto"/>
        <w:right w:val="none" w:sz="0" w:space="0" w:color="auto"/>
      </w:divBdr>
    </w:div>
    <w:div w:id="1255438181">
      <w:bodyDiv w:val="1"/>
      <w:marLeft w:val="0"/>
      <w:marRight w:val="0"/>
      <w:marTop w:val="0"/>
      <w:marBottom w:val="0"/>
      <w:divBdr>
        <w:top w:val="none" w:sz="0" w:space="0" w:color="auto"/>
        <w:left w:val="none" w:sz="0" w:space="0" w:color="auto"/>
        <w:bottom w:val="none" w:sz="0" w:space="0" w:color="auto"/>
        <w:right w:val="none" w:sz="0" w:space="0" w:color="auto"/>
      </w:divBdr>
    </w:div>
    <w:div w:id="1255628937">
      <w:bodyDiv w:val="1"/>
      <w:marLeft w:val="0"/>
      <w:marRight w:val="0"/>
      <w:marTop w:val="0"/>
      <w:marBottom w:val="0"/>
      <w:divBdr>
        <w:top w:val="none" w:sz="0" w:space="0" w:color="auto"/>
        <w:left w:val="none" w:sz="0" w:space="0" w:color="auto"/>
        <w:bottom w:val="none" w:sz="0" w:space="0" w:color="auto"/>
        <w:right w:val="none" w:sz="0" w:space="0" w:color="auto"/>
      </w:divBdr>
    </w:div>
    <w:div w:id="1255750743">
      <w:bodyDiv w:val="1"/>
      <w:marLeft w:val="0"/>
      <w:marRight w:val="0"/>
      <w:marTop w:val="0"/>
      <w:marBottom w:val="0"/>
      <w:divBdr>
        <w:top w:val="none" w:sz="0" w:space="0" w:color="auto"/>
        <w:left w:val="none" w:sz="0" w:space="0" w:color="auto"/>
        <w:bottom w:val="none" w:sz="0" w:space="0" w:color="auto"/>
        <w:right w:val="none" w:sz="0" w:space="0" w:color="auto"/>
      </w:divBdr>
    </w:div>
    <w:div w:id="1255823577">
      <w:bodyDiv w:val="1"/>
      <w:marLeft w:val="0"/>
      <w:marRight w:val="0"/>
      <w:marTop w:val="0"/>
      <w:marBottom w:val="0"/>
      <w:divBdr>
        <w:top w:val="none" w:sz="0" w:space="0" w:color="auto"/>
        <w:left w:val="none" w:sz="0" w:space="0" w:color="auto"/>
        <w:bottom w:val="none" w:sz="0" w:space="0" w:color="auto"/>
        <w:right w:val="none" w:sz="0" w:space="0" w:color="auto"/>
      </w:divBdr>
    </w:div>
    <w:div w:id="1255893826">
      <w:bodyDiv w:val="1"/>
      <w:marLeft w:val="0"/>
      <w:marRight w:val="0"/>
      <w:marTop w:val="0"/>
      <w:marBottom w:val="0"/>
      <w:divBdr>
        <w:top w:val="none" w:sz="0" w:space="0" w:color="auto"/>
        <w:left w:val="none" w:sz="0" w:space="0" w:color="auto"/>
        <w:bottom w:val="none" w:sz="0" w:space="0" w:color="auto"/>
        <w:right w:val="none" w:sz="0" w:space="0" w:color="auto"/>
      </w:divBdr>
    </w:div>
    <w:div w:id="1255898764">
      <w:bodyDiv w:val="1"/>
      <w:marLeft w:val="0"/>
      <w:marRight w:val="0"/>
      <w:marTop w:val="0"/>
      <w:marBottom w:val="0"/>
      <w:divBdr>
        <w:top w:val="none" w:sz="0" w:space="0" w:color="auto"/>
        <w:left w:val="none" w:sz="0" w:space="0" w:color="auto"/>
        <w:bottom w:val="none" w:sz="0" w:space="0" w:color="auto"/>
        <w:right w:val="none" w:sz="0" w:space="0" w:color="auto"/>
      </w:divBdr>
    </w:div>
    <w:div w:id="1255936794">
      <w:bodyDiv w:val="1"/>
      <w:marLeft w:val="0"/>
      <w:marRight w:val="0"/>
      <w:marTop w:val="0"/>
      <w:marBottom w:val="0"/>
      <w:divBdr>
        <w:top w:val="none" w:sz="0" w:space="0" w:color="auto"/>
        <w:left w:val="none" w:sz="0" w:space="0" w:color="auto"/>
        <w:bottom w:val="none" w:sz="0" w:space="0" w:color="auto"/>
        <w:right w:val="none" w:sz="0" w:space="0" w:color="auto"/>
      </w:divBdr>
    </w:div>
    <w:div w:id="1255938871">
      <w:bodyDiv w:val="1"/>
      <w:marLeft w:val="0"/>
      <w:marRight w:val="0"/>
      <w:marTop w:val="0"/>
      <w:marBottom w:val="0"/>
      <w:divBdr>
        <w:top w:val="none" w:sz="0" w:space="0" w:color="auto"/>
        <w:left w:val="none" w:sz="0" w:space="0" w:color="auto"/>
        <w:bottom w:val="none" w:sz="0" w:space="0" w:color="auto"/>
        <w:right w:val="none" w:sz="0" w:space="0" w:color="auto"/>
      </w:divBdr>
    </w:div>
    <w:div w:id="1255942923">
      <w:bodyDiv w:val="1"/>
      <w:marLeft w:val="0"/>
      <w:marRight w:val="0"/>
      <w:marTop w:val="0"/>
      <w:marBottom w:val="0"/>
      <w:divBdr>
        <w:top w:val="none" w:sz="0" w:space="0" w:color="auto"/>
        <w:left w:val="none" w:sz="0" w:space="0" w:color="auto"/>
        <w:bottom w:val="none" w:sz="0" w:space="0" w:color="auto"/>
        <w:right w:val="none" w:sz="0" w:space="0" w:color="auto"/>
      </w:divBdr>
    </w:div>
    <w:div w:id="1256012555">
      <w:bodyDiv w:val="1"/>
      <w:marLeft w:val="0"/>
      <w:marRight w:val="0"/>
      <w:marTop w:val="0"/>
      <w:marBottom w:val="0"/>
      <w:divBdr>
        <w:top w:val="none" w:sz="0" w:space="0" w:color="auto"/>
        <w:left w:val="none" w:sz="0" w:space="0" w:color="auto"/>
        <w:bottom w:val="none" w:sz="0" w:space="0" w:color="auto"/>
        <w:right w:val="none" w:sz="0" w:space="0" w:color="auto"/>
      </w:divBdr>
    </w:div>
    <w:div w:id="1256018728">
      <w:bodyDiv w:val="1"/>
      <w:marLeft w:val="0"/>
      <w:marRight w:val="0"/>
      <w:marTop w:val="0"/>
      <w:marBottom w:val="0"/>
      <w:divBdr>
        <w:top w:val="none" w:sz="0" w:space="0" w:color="auto"/>
        <w:left w:val="none" w:sz="0" w:space="0" w:color="auto"/>
        <w:bottom w:val="none" w:sz="0" w:space="0" w:color="auto"/>
        <w:right w:val="none" w:sz="0" w:space="0" w:color="auto"/>
      </w:divBdr>
    </w:div>
    <w:div w:id="1256328140">
      <w:bodyDiv w:val="1"/>
      <w:marLeft w:val="0"/>
      <w:marRight w:val="0"/>
      <w:marTop w:val="0"/>
      <w:marBottom w:val="0"/>
      <w:divBdr>
        <w:top w:val="none" w:sz="0" w:space="0" w:color="auto"/>
        <w:left w:val="none" w:sz="0" w:space="0" w:color="auto"/>
        <w:bottom w:val="none" w:sz="0" w:space="0" w:color="auto"/>
        <w:right w:val="none" w:sz="0" w:space="0" w:color="auto"/>
      </w:divBdr>
    </w:div>
    <w:div w:id="1256355094">
      <w:bodyDiv w:val="1"/>
      <w:marLeft w:val="0"/>
      <w:marRight w:val="0"/>
      <w:marTop w:val="0"/>
      <w:marBottom w:val="0"/>
      <w:divBdr>
        <w:top w:val="none" w:sz="0" w:space="0" w:color="auto"/>
        <w:left w:val="none" w:sz="0" w:space="0" w:color="auto"/>
        <w:bottom w:val="none" w:sz="0" w:space="0" w:color="auto"/>
        <w:right w:val="none" w:sz="0" w:space="0" w:color="auto"/>
      </w:divBdr>
    </w:div>
    <w:div w:id="1256397542">
      <w:bodyDiv w:val="1"/>
      <w:marLeft w:val="0"/>
      <w:marRight w:val="0"/>
      <w:marTop w:val="0"/>
      <w:marBottom w:val="0"/>
      <w:divBdr>
        <w:top w:val="none" w:sz="0" w:space="0" w:color="auto"/>
        <w:left w:val="none" w:sz="0" w:space="0" w:color="auto"/>
        <w:bottom w:val="none" w:sz="0" w:space="0" w:color="auto"/>
        <w:right w:val="none" w:sz="0" w:space="0" w:color="auto"/>
      </w:divBdr>
    </w:div>
    <w:div w:id="1256548654">
      <w:bodyDiv w:val="1"/>
      <w:marLeft w:val="0"/>
      <w:marRight w:val="0"/>
      <w:marTop w:val="0"/>
      <w:marBottom w:val="0"/>
      <w:divBdr>
        <w:top w:val="none" w:sz="0" w:space="0" w:color="auto"/>
        <w:left w:val="none" w:sz="0" w:space="0" w:color="auto"/>
        <w:bottom w:val="none" w:sz="0" w:space="0" w:color="auto"/>
        <w:right w:val="none" w:sz="0" w:space="0" w:color="auto"/>
      </w:divBdr>
    </w:div>
    <w:div w:id="1256548783">
      <w:bodyDiv w:val="1"/>
      <w:marLeft w:val="0"/>
      <w:marRight w:val="0"/>
      <w:marTop w:val="0"/>
      <w:marBottom w:val="0"/>
      <w:divBdr>
        <w:top w:val="none" w:sz="0" w:space="0" w:color="auto"/>
        <w:left w:val="none" w:sz="0" w:space="0" w:color="auto"/>
        <w:bottom w:val="none" w:sz="0" w:space="0" w:color="auto"/>
        <w:right w:val="none" w:sz="0" w:space="0" w:color="auto"/>
      </w:divBdr>
    </w:div>
    <w:div w:id="1256553263">
      <w:bodyDiv w:val="1"/>
      <w:marLeft w:val="0"/>
      <w:marRight w:val="0"/>
      <w:marTop w:val="0"/>
      <w:marBottom w:val="0"/>
      <w:divBdr>
        <w:top w:val="none" w:sz="0" w:space="0" w:color="auto"/>
        <w:left w:val="none" w:sz="0" w:space="0" w:color="auto"/>
        <w:bottom w:val="none" w:sz="0" w:space="0" w:color="auto"/>
        <w:right w:val="none" w:sz="0" w:space="0" w:color="auto"/>
      </w:divBdr>
    </w:div>
    <w:div w:id="1256670810">
      <w:bodyDiv w:val="1"/>
      <w:marLeft w:val="0"/>
      <w:marRight w:val="0"/>
      <w:marTop w:val="0"/>
      <w:marBottom w:val="0"/>
      <w:divBdr>
        <w:top w:val="none" w:sz="0" w:space="0" w:color="auto"/>
        <w:left w:val="none" w:sz="0" w:space="0" w:color="auto"/>
        <w:bottom w:val="none" w:sz="0" w:space="0" w:color="auto"/>
        <w:right w:val="none" w:sz="0" w:space="0" w:color="auto"/>
      </w:divBdr>
    </w:div>
    <w:div w:id="1256983598">
      <w:bodyDiv w:val="1"/>
      <w:marLeft w:val="0"/>
      <w:marRight w:val="0"/>
      <w:marTop w:val="0"/>
      <w:marBottom w:val="0"/>
      <w:divBdr>
        <w:top w:val="none" w:sz="0" w:space="0" w:color="auto"/>
        <w:left w:val="none" w:sz="0" w:space="0" w:color="auto"/>
        <w:bottom w:val="none" w:sz="0" w:space="0" w:color="auto"/>
        <w:right w:val="none" w:sz="0" w:space="0" w:color="auto"/>
      </w:divBdr>
    </w:div>
    <w:div w:id="1257128397">
      <w:bodyDiv w:val="1"/>
      <w:marLeft w:val="0"/>
      <w:marRight w:val="0"/>
      <w:marTop w:val="0"/>
      <w:marBottom w:val="0"/>
      <w:divBdr>
        <w:top w:val="none" w:sz="0" w:space="0" w:color="auto"/>
        <w:left w:val="none" w:sz="0" w:space="0" w:color="auto"/>
        <w:bottom w:val="none" w:sz="0" w:space="0" w:color="auto"/>
        <w:right w:val="none" w:sz="0" w:space="0" w:color="auto"/>
      </w:divBdr>
    </w:div>
    <w:div w:id="1257179300">
      <w:bodyDiv w:val="1"/>
      <w:marLeft w:val="0"/>
      <w:marRight w:val="0"/>
      <w:marTop w:val="0"/>
      <w:marBottom w:val="0"/>
      <w:divBdr>
        <w:top w:val="none" w:sz="0" w:space="0" w:color="auto"/>
        <w:left w:val="none" w:sz="0" w:space="0" w:color="auto"/>
        <w:bottom w:val="none" w:sz="0" w:space="0" w:color="auto"/>
        <w:right w:val="none" w:sz="0" w:space="0" w:color="auto"/>
      </w:divBdr>
    </w:div>
    <w:div w:id="1257179545">
      <w:bodyDiv w:val="1"/>
      <w:marLeft w:val="0"/>
      <w:marRight w:val="0"/>
      <w:marTop w:val="0"/>
      <w:marBottom w:val="0"/>
      <w:divBdr>
        <w:top w:val="none" w:sz="0" w:space="0" w:color="auto"/>
        <w:left w:val="none" w:sz="0" w:space="0" w:color="auto"/>
        <w:bottom w:val="none" w:sz="0" w:space="0" w:color="auto"/>
        <w:right w:val="none" w:sz="0" w:space="0" w:color="auto"/>
      </w:divBdr>
    </w:div>
    <w:div w:id="1257254490">
      <w:bodyDiv w:val="1"/>
      <w:marLeft w:val="0"/>
      <w:marRight w:val="0"/>
      <w:marTop w:val="0"/>
      <w:marBottom w:val="0"/>
      <w:divBdr>
        <w:top w:val="none" w:sz="0" w:space="0" w:color="auto"/>
        <w:left w:val="none" w:sz="0" w:space="0" w:color="auto"/>
        <w:bottom w:val="none" w:sz="0" w:space="0" w:color="auto"/>
        <w:right w:val="none" w:sz="0" w:space="0" w:color="auto"/>
      </w:divBdr>
    </w:div>
    <w:div w:id="1257321396">
      <w:bodyDiv w:val="1"/>
      <w:marLeft w:val="0"/>
      <w:marRight w:val="0"/>
      <w:marTop w:val="0"/>
      <w:marBottom w:val="0"/>
      <w:divBdr>
        <w:top w:val="none" w:sz="0" w:space="0" w:color="auto"/>
        <w:left w:val="none" w:sz="0" w:space="0" w:color="auto"/>
        <w:bottom w:val="none" w:sz="0" w:space="0" w:color="auto"/>
        <w:right w:val="none" w:sz="0" w:space="0" w:color="auto"/>
      </w:divBdr>
    </w:div>
    <w:div w:id="1257328665">
      <w:bodyDiv w:val="1"/>
      <w:marLeft w:val="0"/>
      <w:marRight w:val="0"/>
      <w:marTop w:val="0"/>
      <w:marBottom w:val="0"/>
      <w:divBdr>
        <w:top w:val="none" w:sz="0" w:space="0" w:color="auto"/>
        <w:left w:val="none" w:sz="0" w:space="0" w:color="auto"/>
        <w:bottom w:val="none" w:sz="0" w:space="0" w:color="auto"/>
        <w:right w:val="none" w:sz="0" w:space="0" w:color="auto"/>
      </w:divBdr>
    </w:div>
    <w:div w:id="1257522318">
      <w:bodyDiv w:val="1"/>
      <w:marLeft w:val="0"/>
      <w:marRight w:val="0"/>
      <w:marTop w:val="0"/>
      <w:marBottom w:val="0"/>
      <w:divBdr>
        <w:top w:val="none" w:sz="0" w:space="0" w:color="auto"/>
        <w:left w:val="none" w:sz="0" w:space="0" w:color="auto"/>
        <w:bottom w:val="none" w:sz="0" w:space="0" w:color="auto"/>
        <w:right w:val="none" w:sz="0" w:space="0" w:color="auto"/>
      </w:divBdr>
    </w:div>
    <w:div w:id="1257639303">
      <w:bodyDiv w:val="1"/>
      <w:marLeft w:val="0"/>
      <w:marRight w:val="0"/>
      <w:marTop w:val="0"/>
      <w:marBottom w:val="0"/>
      <w:divBdr>
        <w:top w:val="none" w:sz="0" w:space="0" w:color="auto"/>
        <w:left w:val="none" w:sz="0" w:space="0" w:color="auto"/>
        <w:bottom w:val="none" w:sz="0" w:space="0" w:color="auto"/>
        <w:right w:val="none" w:sz="0" w:space="0" w:color="auto"/>
      </w:divBdr>
    </w:div>
    <w:div w:id="1257666005">
      <w:bodyDiv w:val="1"/>
      <w:marLeft w:val="0"/>
      <w:marRight w:val="0"/>
      <w:marTop w:val="0"/>
      <w:marBottom w:val="0"/>
      <w:divBdr>
        <w:top w:val="none" w:sz="0" w:space="0" w:color="auto"/>
        <w:left w:val="none" w:sz="0" w:space="0" w:color="auto"/>
        <w:bottom w:val="none" w:sz="0" w:space="0" w:color="auto"/>
        <w:right w:val="none" w:sz="0" w:space="0" w:color="auto"/>
      </w:divBdr>
    </w:div>
    <w:div w:id="1257666368">
      <w:bodyDiv w:val="1"/>
      <w:marLeft w:val="0"/>
      <w:marRight w:val="0"/>
      <w:marTop w:val="0"/>
      <w:marBottom w:val="0"/>
      <w:divBdr>
        <w:top w:val="none" w:sz="0" w:space="0" w:color="auto"/>
        <w:left w:val="none" w:sz="0" w:space="0" w:color="auto"/>
        <w:bottom w:val="none" w:sz="0" w:space="0" w:color="auto"/>
        <w:right w:val="none" w:sz="0" w:space="0" w:color="auto"/>
      </w:divBdr>
    </w:div>
    <w:div w:id="1257783791">
      <w:bodyDiv w:val="1"/>
      <w:marLeft w:val="0"/>
      <w:marRight w:val="0"/>
      <w:marTop w:val="0"/>
      <w:marBottom w:val="0"/>
      <w:divBdr>
        <w:top w:val="none" w:sz="0" w:space="0" w:color="auto"/>
        <w:left w:val="none" w:sz="0" w:space="0" w:color="auto"/>
        <w:bottom w:val="none" w:sz="0" w:space="0" w:color="auto"/>
        <w:right w:val="none" w:sz="0" w:space="0" w:color="auto"/>
      </w:divBdr>
    </w:div>
    <w:div w:id="1257788969">
      <w:bodyDiv w:val="1"/>
      <w:marLeft w:val="0"/>
      <w:marRight w:val="0"/>
      <w:marTop w:val="0"/>
      <w:marBottom w:val="0"/>
      <w:divBdr>
        <w:top w:val="none" w:sz="0" w:space="0" w:color="auto"/>
        <w:left w:val="none" w:sz="0" w:space="0" w:color="auto"/>
        <w:bottom w:val="none" w:sz="0" w:space="0" w:color="auto"/>
        <w:right w:val="none" w:sz="0" w:space="0" w:color="auto"/>
      </w:divBdr>
    </w:div>
    <w:div w:id="1257790552">
      <w:bodyDiv w:val="1"/>
      <w:marLeft w:val="0"/>
      <w:marRight w:val="0"/>
      <w:marTop w:val="0"/>
      <w:marBottom w:val="0"/>
      <w:divBdr>
        <w:top w:val="none" w:sz="0" w:space="0" w:color="auto"/>
        <w:left w:val="none" w:sz="0" w:space="0" w:color="auto"/>
        <w:bottom w:val="none" w:sz="0" w:space="0" w:color="auto"/>
        <w:right w:val="none" w:sz="0" w:space="0" w:color="auto"/>
      </w:divBdr>
    </w:div>
    <w:div w:id="1257790563">
      <w:bodyDiv w:val="1"/>
      <w:marLeft w:val="0"/>
      <w:marRight w:val="0"/>
      <w:marTop w:val="0"/>
      <w:marBottom w:val="0"/>
      <w:divBdr>
        <w:top w:val="none" w:sz="0" w:space="0" w:color="auto"/>
        <w:left w:val="none" w:sz="0" w:space="0" w:color="auto"/>
        <w:bottom w:val="none" w:sz="0" w:space="0" w:color="auto"/>
        <w:right w:val="none" w:sz="0" w:space="0" w:color="auto"/>
      </w:divBdr>
    </w:div>
    <w:div w:id="1257860198">
      <w:bodyDiv w:val="1"/>
      <w:marLeft w:val="0"/>
      <w:marRight w:val="0"/>
      <w:marTop w:val="0"/>
      <w:marBottom w:val="0"/>
      <w:divBdr>
        <w:top w:val="none" w:sz="0" w:space="0" w:color="auto"/>
        <w:left w:val="none" w:sz="0" w:space="0" w:color="auto"/>
        <w:bottom w:val="none" w:sz="0" w:space="0" w:color="auto"/>
        <w:right w:val="none" w:sz="0" w:space="0" w:color="auto"/>
      </w:divBdr>
    </w:div>
    <w:div w:id="1258055014">
      <w:bodyDiv w:val="1"/>
      <w:marLeft w:val="0"/>
      <w:marRight w:val="0"/>
      <w:marTop w:val="0"/>
      <w:marBottom w:val="0"/>
      <w:divBdr>
        <w:top w:val="none" w:sz="0" w:space="0" w:color="auto"/>
        <w:left w:val="none" w:sz="0" w:space="0" w:color="auto"/>
        <w:bottom w:val="none" w:sz="0" w:space="0" w:color="auto"/>
        <w:right w:val="none" w:sz="0" w:space="0" w:color="auto"/>
      </w:divBdr>
    </w:div>
    <w:div w:id="1258060563">
      <w:bodyDiv w:val="1"/>
      <w:marLeft w:val="0"/>
      <w:marRight w:val="0"/>
      <w:marTop w:val="0"/>
      <w:marBottom w:val="0"/>
      <w:divBdr>
        <w:top w:val="none" w:sz="0" w:space="0" w:color="auto"/>
        <w:left w:val="none" w:sz="0" w:space="0" w:color="auto"/>
        <w:bottom w:val="none" w:sz="0" w:space="0" w:color="auto"/>
        <w:right w:val="none" w:sz="0" w:space="0" w:color="auto"/>
      </w:divBdr>
    </w:div>
    <w:div w:id="1258292066">
      <w:bodyDiv w:val="1"/>
      <w:marLeft w:val="0"/>
      <w:marRight w:val="0"/>
      <w:marTop w:val="0"/>
      <w:marBottom w:val="0"/>
      <w:divBdr>
        <w:top w:val="none" w:sz="0" w:space="0" w:color="auto"/>
        <w:left w:val="none" w:sz="0" w:space="0" w:color="auto"/>
        <w:bottom w:val="none" w:sz="0" w:space="0" w:color="auto"/>
        <w:right w:val="none" w:sz="0" w:space="0" w:color="auto"/>
      </w:divBdr>
    </w:div>
    <w:div w:id="1258292746">
      <w:bodyDiv w:val="1"/>
      <w:marLeft w:val="0"/>
      <w:marRight w:val="0"/>
      <w:marTop w:val="0"/>
      <w:marBottom w:val="0"/>
      <w:divBdr>
        <w:top w:val="none" w:sz="0" w:space="0" w:color="auto"/>
        <w:left w:val="none" w:sz="0" w:space="0" w:color="auto"/>
        <w:bottom w:val="none" w:sz="0" w:space="0" w:color="auto"/>
        <w:right w:val="none" w:sz="0" w:space="0" w:color="auto"/>
      </w:divBdr>
    </w:div>
    <w:div w:id="1258440704">
      <w:bodyDiv w:val="1"/>
      <w:marLeft w:val="0"/>
      <w:marRight w:val="0"/>
      <w:marTop w:val="0"/>
      <w:marBottom w:val="0"/>
      <w:divBdr>
        <w:top w:val="none" w:sz="0" w:space="0" w:color="auto"/>
        <w:left w:val="none" w:sz="0" w:space="0" w:color="auto"/>
        <w:bottom w:val="none" w:sz="0" w:space="0" w:color="auto"/>
        <w:right w:val="none" w:sz="0" w:space="0" w:color="auto"/>
      </w:divBdr>
    </w:div>
    <w:div w:id="1258635084">
      <w:bodyDiv w:val="1"/>
      <w:marLeft w:val="0"/>
      <w:marRight w:val="0"/>
      <w:marTop w:val="0"/>
      <w:marBottom w:val="0"/>
      <w:divBdr>
        <w:top w:val="none" w:sz="0" w:space="0" w:color="auto"/>
        <w:left w:val="none" w:sz="0" w:space="0" w:color="auto"/>
        <w:bottom w:val="none" w:sz="0" w:space="0" w:color="auto"/>
        <w:right w:val="none" w:sz="0" w:space="0" w:color="auto"/>
      </w:divBdr>
    </w:div>
    <w:div w:id="1258635724">
      <w:bodyDiv w:val="1"/>
      <w:marLeft w:val="0"/>
      <w:marRight w:val="0"/>
      <w:marTop w:val="0"/>
      <w:marBottom w:val="0"/>
      <w:divBdr>
        <w:top w:val="none" w:sz="0" w:space="0" w:color="auto"/>
        <w:left w:val="none" w:sz="0" w:space="0" w:color="auto"/>
        <w:bottom w:val="none" w:sz="0" w:space="0" w:color="auto"/>
        <w:right w:val="none" w:sz="0" w:space="0" w:color="auto"/>
      </w:divBdr>
    </w:div>
    <w:div w:id="1258715461">
      <w:bodyDiv w:val="1"/>
      <w:marLeft w:val="0"/>
      <w:marRight w:val="0"/>
      <w:marTop w:val="0"/>
      <w:marBottom w:val="0"/>
      <w:divBdr>
        <w:top w:val="none" w:sz="0" w:space="0" w:color="auto"/>
        <w:left w:val="none" w:sz="0" w:space="0" w:color="auto"/>
        <w:bottom w:val="none" w:sz="0" w:space="0" w:color="auto"/>
        <w:right w:val="none" w:sz="0" w:space="0" w:color="auto"/>
      </w:divBdr>
    </w:div>
    <w:div w:id="1258826802">
      <w:bodyDiv w:val="1"/>
      <w:marLeft w:val="0"/>
      <w:marRight w:val="0"/>
      <w:marTop w:val="0"/>
      <w:marBottom w:val="0"/>
      <w:divBdr>
        <w:top w:val="none" w:sz="0" w:space="0" w:color="auto"/>
        <w:left w:val="none" w:sz="0" w:space="0" w:color="auto"/>
        <w:bottom w:val="none" w:sz="0" w:space="0" w:color="auto"/>
        <w:right w:val="none" w:sz="0" w:space="0" w:color="auto"/>
      </w:divBdr>
    </w:div>
    <w:div w:id="1258907300">
      <w:bodyDiv w:val="1"/>
      <w:marLeft w:val="0"/>
      <w:marRight w:val="0"/>
      <w:marTop w:val="0"/>
      <w:marBottom w:val="0"/>
      <w:divBdr>
        <w:top w:val="none" w:sz="0" w:space="0" w:color="auto"/>
        <w:left w:val="none" w:sz="0" w:space="0" w:color="auto"/>
        <w:bottom w:val="none" w:sz="0" w:space="0" w:color="auto"/>
        <w:right w:val="none" w:sz="0" w:space="0" w:color="auto"/>
      </w:divBdr>
    </w:div>
    <w:div w:id="1258908556">
      <w:bodyDiv w:val="1"/>
      <w:marLeft w:val="0"/>
      <w:marRight w:val="0"/>
      <w:marTop w:val="0"/>
      <w:marBottom w:val="0"/>
      <w:divBdr>
        <w:top w:val="none" w:sz="0" w:space="0" w:color="auto"/>
        <w:left w:val="none" w:sz="0" w:space="0" w:color="auto"/>
        <w:bottom w:val="none" w:sz="0" w:space="0" w:color="auto"/>
        <w:right w:val="none" w:sz="0" w:space="0" w:color="auto"/>
      </w:divBdr>
    </w:div>
    <w:div w:id="1258948149">
      <w:bodyDiv w:val="1"/>
      <w:marLeft w:val="0"/>
      <w:marRight w:val="0"/>
      <w:marTop w:val="0"/>
      <w:marBottom w:val="0"/>
      <w:divBdr>
        <w:top w:val="none" w:sz="0" w:space="0" w:color="auto"/>
        <w:left w:val="none" w:sz="0" w:space="0" w:color="auto"/>
        <w:bottom w:val="none" w:sz="0" w:space="0" w:color="auto"/>
        <w:right w:val="none" w:sz="0" w:space="0" w:color="auto"/>
      </w:divBdr>
    </w:div>
    <w:div w:id="1258951726">
      <w:bodyDiv w:val="1"/>
      <w:marLeft w:val="0"/>
      <w:marRight w:val="0"/>
      <w:marTop w:val="0"/>
      <w:marBottom w:val="0"/>
      <w:divBdr>
        <w:top w:val="none" w:sz="0" w:space="0" w:color="auto"/>
        <w:left w:val="none" w:sz="0" w:space="0" w:color="auto"/>
        <w:bottom w:val="none" w:sz="0" w:space="0" w:color="auto"/>
        <w:right w:val="none" w:sz="0" w:space="0" w:color="auto"/>
      </w:divBdr>
    </w:div>
    <w:div w:id="1258978745">
      <w:bodyDiv w:val="1"/>
      <w:marLeft w:val="0"/>
      <w:marRight w:val="0"/>
      <w:marTop w:val="0"/>
      <w:marBottom w:val="0"/>
      <w:divBdr>
        <w:top w:val="none" w:sz="0" w:space="0" w:color="auto"/>
        <w:left w:val="none" w:sz="0" w:space="0" w:color="auto"/>
        <w:bottom w:val="none" w:sz="0" w:space="0" w:color="auto"/>
        <w:right w:val="none" w:sz="0" w:space="0" w:color="auto"/>
      </w:divBdr>
    </w:div>
    <w:div w:id="1259019704">
      <w:bodyDiv w:val="1"/>
      <w:marLeft w:val="0"/>
      <w:marRight w:val="0"/>
      <w:marTop w:val="0"/>
      <w:marBottom w:val="0"/>
      <w:divBdr>
        <w:top w:val="none" w:sz="0" w:space="0" w:color="auto"/>
        <w:left w:val="none" w:sz="0" w:space="0" w:color="auto"/>
        <w:bottom w:val="none" w:sz="0" w:space="0" w:color="auto"/>
        <w:right w:val="none" w:sz="0" w:space="0" w:color="auto"/>
      </w:divBdr>
    </w:div>
    <w:div w:id="1259026998">
      <w:bodyDiv w:val="1"/>
      <w:marLeft w:val="0"/>
      <w:marRight w:val="0"/>
      <w:marTop w:val="0"/>
      <w:marBottom w:val="0"/>
      <w:divBdr>
        <w:top w:val="none" w:sz="0" w:space="0" w:color="auto"/>
        <w:left w:val="none" w:sz="0" w:space="0" w:color="auto"/>
        <w:bottom w:val="none" w:sz="0" w:space="0" w:color="auto"/>
        <w:right w:val="none" w:sz="0" w:space="0" w:color="auto"/>
      </w:divBdr>
    </w:div>
    <w:div w:id="1259096045">
      <w:bodyDiv w:val="1"/>
      <w:marLeft w:val="0"/>
      <w:marRight w:val="0"/>
      <w:marTop w:val="0"/>
      <w:marBottom w:val="0"/>
      <w:divBdr>
        <w:top w:val="none" w:sz="0" w:space="0" w:color="auto"/>
        <w:left w:val="none" w:sz="0" w:space="0" w:color="auto"/>
        <w:bottom w:val="none" w:sz="0" w:space="0" w:color="auto"/>
        <w:right w:val="none" w:sz="0" w:space="0" w:color="auto"/>
      </w:divBdr>
    </w:div>
    <w:div w:id="1259218322">
      <w:bodyDiv w:val="1"/>
      <w:marLeft w:val="0"/>
      <w:marRight w:val="0"/>
      <w:marTop w:val="0"/>
      <w:marBottom w:val="0"/>
      <w:divBdr>
        <w:top w:val="none" w:sz="0" w:space="0" w:color="auto"/>
        <w:left w:val="none" w:sz="0" w:space="0" w:color="auto"/>
        <w:bottom w:val="none" w:sz="0" w:space="0" w:color="auto"/>
        <w:right w:val="none" w:sz="0" w:space="0" w:color="auto"/>
      </w:divBdr>
    </w:div>
    <w:div w:id="1259219166">
      <w:bodyDiv w:val="1"/>
      <w:marLeft w:val="0"/>
      <w:marRight w:val="0"/>
      <w:marTop w:val="0"/>
      <w:marBottom w:val="0"/>
      <w:divBdr>
        <w:top w:val="none" w:sz="0" w:space="0" w:color="auto"/>
        <w:left w:val="none" w:sz="0" w:space="0" w:color="auto"/>
        <w:bottom w:val="none" w:sz="0" w:space="0" w:color="auto"/>
        <w:right w:val="none" w:sz="0" w:space="0" w:color="auto"/>
      </w:divBdr>
    </w:div>
    <w:div w:id="1259290035">
      <w:bodyDiv w:val="1"/>
      <w:marLeft w:val="0"/>
      <w:marRight w:val="0"/>
      <w:marTop w:val="0"/>
      <w:marBottom w:val="0"/>
      <w:divBdr>
        <w:top w:val="none" w:sz="0" w:space="0" w:color="auto"/>
        <w:left w:val="none" w:sz="0" w:space="0" w:color="auto"/>
        <w:bottom w:val="none" w:sz="0" w:space="0" w:color="auto"/>
        <w:right w:val="none" w:sz="0" w:space="0" w:color="auto"/>
      </w:divBdr>
    </w:div>
    <w:div w:id="1259364152">
      <w:bodyDiv w:val="1"/>
      <w:marLeft w:val="0"/>
      <w:marRight w:val="0"/>
      <w:marTop w:val="0"/>
      <w:marBottom w:val="0"/>
      <w:divBdr>
        <w:top w:val="none" w:sz="0" w:space="0" w:color="auto"/>
        <w:left w:val="none" w:sz="0" w:space="0" w:color="auto"/>
        <w:bottom w:val="none" w:sz="0" w:space="0" w:color="auto"/>
        <w:right w:val="none" w:sz="0" w:space="0" w:color="auto"/>
      </w:divBdr>
    </w:div>
    <w:div w:id="1259365598">
      <w:bodyDiv w:val="1"/>
      <w:marLeft w:val="0"/>
      <w:marRight w:val="0"/>
      <w:marTop w:val="0"/>
      <w:marBottom w:val="0"/>
      <w:divBdr>
        <w:top w:val="none" w:sz="0" w:space="0" w:color="auto"/>
        <w:left w:val="none" w:sz="0" w:space="0" w:color="auto"/>
        <w:bottom w:val="none" w:sz="0" w:space="0" w:color="auto"/>
        <w:right w:val="none" w:sz="0" w:space="0" w:color="auto"/>
      </w:divBdr>
    </w:div>
    <w:div w:id="1259366032">
      <w:bodyDiv w:val="1"/>
      <w:marLeft w:val="0"/>
      <w:marRight w:val="0"/>
      <w:marTop w:val="0"/>
      <w:marBottom w:val="0"/>
      <w:divBdr>
        <w:top w:val="none" w:sz="0" w:space="0" w:color="auto"/>
        <w:left w:val="none" w:sz="0" w:space="0" w:color="auto"/>
        <w:bottom w:val="none" w:sz="0" w:space="0" w:color="auto"/>
        <w:right w:val="none" w:sz="0" w:space="0" w:color="auto"/>
      </w:divBdr>
    </w:div>
    <w:div w:id="1259367606">
      <w:bodyDiv w:val="1"/>
      <w:marLeft w:val="0"/>
      <w:marRight w:val="0"/>
      <w:marTop w:val="0"/>
      <w:marBottom w:val="0"/>
      <w:divBdr>
        <w:top w:val="none" w:sz="0" w:space="0" w:color="auto"/>
        <w:left w:val="none" w:sz="0" w:space="0" w:color="auto"/>
        <w:bottom w:val="none" w:sz="0" w:space="0" w:color="auto"/>
        <w:right w:val="none" w:sz="0" w:space="0" w:color="auto"/>
      </w:divBdr>
    </w:div>
    <w:div w:id="1259370051">
      <w:bodyDiv w:val="1"/>
      <w:marLeft w:val="0"/>
      <w:marRight w:val="0"/>
      <w:marTop w:val="0"/>
      <w:marBottom w:val="0"/>
      <w:divBdr>
        <w:top w:val="none" w:sz="0" w:space="0" w:color="auto"/>
        <w:left w:val="none" w:sz="0" w:space="0" w:color="auto"/>
        <w:bottom w:val="none" w:sz="0" w:space="0" w:color="auto"/>
        <w:right w:val="none" w:sz="0" w:space="0" w:color="auto"/>
      </w:divBdr>
    </w:div>
    <w:div w:id="1259563147">
      <w:bodyDiv w:val="1"/>
      <w:marLeft w:val="0"/>
      <w:marRight w:val="0"/>
      <w:marTop w:val="0"/>
      <w:marBottom w:val="0"/>
      <w:divBdr>
        <w:top w:val="none" w:sz="0" w:space="0" w:color="auto"/>
        <w:left w:val="none" w:sz="0" w:space="0" w:color="auto"/>
        <w:bottom w:val="none" w:sz="0" w:space="0" w:color="auto"/>
        <w:right w:val="none" w:sz="0" w:space="0" w:color="auto"/>
      </w:divBdr>
    </w:div>
    <w:div w:id="1259604581">
      <w:bodyDiv w:val="1"/>
      <w:marLeft w:val="0"/>
      <w:marRight w:val="0"/>
      <w:marTop w:val="0"/>
      <w:marBottom w:val="0"/>
      <w:divBdr>
        <w:top w:val="none" w:sz="0" w:space="0" w:color="auto"/>
        <w:left w:val="none" w:sz="0" w:space="0" w:color="auto"/>
        <w:bottom w:val="none" w:sz="0" w:space="0" w:color="auto"/>
        <w:right w:val="none" w:sz="0" w:space="0" w:color="auto"/>
      </w:divBdr>
    </w:div>
    <w:div w:id="1259675478">
      <w:bodyDiv w:val="1"/>
      <w:marLeft w:val="0"/>
      <w:marRight w:val="0"/>
      <w:marTop w:val="0"/>
      <w:marBottom w:val="0"/>
      <w:divBdr>
        <w:top w:val="none" w:sz="0" w:space="0" w:color="auto"/>
        <w:left w:val="none" w:sz="0" w:space="0" w:color="auto"/>
        <w:bottom w:val="none" w:sz="0" w:space="0" w:color="auto"/>
        <w:right w:val="none" w:sz="0" w:space="0" w:color="auto"/>
      </w:divBdr>
    </w:div>
    <w:div w:id="1259680000">
      <w:bodyDiv w:val="1"/>
      <w:marLeft w:val="0"/>
      <w:marRight w:val="0"/>
      <w:marTop w:val="0"/>
      <w:marBottom w:val="0"/>
      <w:divBdr>
        <w:top w:val="none" w:sz="0" w:space="0" w:color="auto"/>
        <w:left w:val="none" w:sz="0" w:space="0" w:color="auto"/>
        <w:bottom w:val="none" w:sz="0" w:space="0" w:color="auto"/>
        <w:right w:val="none" w:sz="0" w:space="0" w:color="auto"/>
      </w:divBdr>
    </w:div>
    <w:div w:id="1259874841">
      <w:bodyDiv w:val="1"/>
      <w:marLeft w:val="0"/>
      <w:marRight w:val="0"/>
      <w:marTop w:val="0"/>
      <w:marBottom w:val="0"/>
      <w:divBdr>
        <w:top w:val="none" w:sz="0" w:space="0" w:color="auto"/>
        <w:left w:val="none" w:sz="0" w:space="0" w:color="auto"/>
        <w:bottom w:val="none" w:sz="0" w:space="0" w:color="auto"/>
        <w:right w:val="none" w:sz="0" w:space="0" w:color="auto"/>
      </w:divBdr>
    </w:div>
    <w:div w:id="1259946576">
      <w:bodyDiv w:val="1"/>
      <w:marLeft w:val="0"/>
      <w:marRight w:val="0"/>
      <w:marTop w:val="0"/>
      <w:marBottom w:val="0"/>
      <w:divBdr>
        <w:top w:val="none" w:sz="0" w:space="0" w:color="auto"/>
        <w:left w:val="none" w:sz="0" w:space="0" w:color="auto"/>
        <w:bottom w:val="none" w:sz="0" w:space="0" w:color="auto"/>
        <w:right w:val="none" w:sz="0" w:space="0" w:color="auto"/>
      </w:divBdr>
    </w:div>
    <w:div w:id="1260064792">
      <w:bodyDiv w:val="1"/>
      <w:marLeft w:val="0"/>
      <w:marRight w:val="0"/>
      <w:marTop w:val="0"/>
      <w:marBottom w:val="0"/>
      <w:divBdr>
        <w:top w:val="none" w:sz="0" w:space="0" w:color="auto"/>
        <w:left w:val="none" w:sz="0" w:space="0" w:color="auto"/>
        <w:bottom w:val="none" w:sz="0" w:space="0" w:color="auto"/>
        <w:right w:val="none" w:sz="0" w:space="0" w:color="auto"/>
      </w:divBdr>
    </w:div>
    <w:div w:id="1260066569">
      <w:bodyDiv w:val="1"/>
      <w:marLeft w:val="0"/>
      <w:marRight w:val="0"/>
      <w:marTop w:val="0"/>
      <w:marBottom w:val="0"/>
      <w:divBdr>
        <w:top w:val="none" w:sz="0" w:space="0" w:color="auto"/>
        <w:left w:val="none" w:sz="0" w:space="0" w:color="auto"/>
        <w:bottom w:val="none" w:sz="0" w:space="0" w:color="auto"/>
        <w:right w:val="none" w:sz="0" w:space="0" w:color="auto"/>
      </w:divBdr>
    </w:div>
    <w:div w:id="1260138933">
      <w:bodyDiv w:val="1"/>
      <w:marLeft w:val="0"/>
      <w:marRight w:val="0"/>
      <w:marTop w:val="0"/>
      <w:marBottom w:val="0"/>
      <w:divBdr>
        <w:top w:val="none" w:sz="0" w:space="0" w:color="auto"/>
        <w:left w:val="none" w:sz="0" w:space="0" w:color="auto"/>
        <w:bottom w:val="none" w:sz="0" w:space="0" w:color="auto"/>
        <w:right w:val="none" w:sz="0" w:space="0" w:color="auto"/>
      </w:divBdr>
    </w:div>
    <w:div w:id="1260218542">
      <w:bodyDiv w:val="1"/>
      <w:marLeft w:val="0"/>
      <w:marRight w:val="0"/>
      <w:marTop w:val="0"/>
      <w:marBottom w:val="0"/>
      <w:divBdr>
        <w:top w:val="none" w:sz="0" w:space="0" w:color="auto"/>
        <w:left w:val="none" w:sz="0" w:space="0" w:color="auto"/>
        <w:bottom w:val="none" w:sz="0" w:space="0" w:color="auto"/>
        <w:right w:val="none" w:sz="0" w:space="0" w:color="auto"/>
      </w:divBdr>
    </w:div>
    <w:div w:id="1260257584">
      <w:bodyDiv w:val="1"/>
      <w:marLeft w:val="0"/>
      <w:marRight w:val="0"/>
      <w:marTop w:val="0"/>
      <w:marBottom w:val="0"/>
      <w:divBdr>
        <w:top w:val="none" w:sz="0" w:space="0" w:color="auto"/>
        <w:left w:val="none" w:sz="0" w:space="0" w:color="auto"/>
        <w:bottom w:val="none" w:sz="0" w:space="0" w:color="auto"/>
        <w:right w:val="none" w:sz="0" w:space="0" w:color="auto"/>
      </w:divBdr>
    </w:div>
    <w:div w:id="1260258180">
      <w:bodyDiv w:val="1"/>
      <w:marLeft w:val="0"/>
      <w:marRight w:val="0"/>
      <w:marTop w:val="0"/>
      <w:marBottom w:val="0"/>
      <w:divBdr>
        <w:top w:val="none" w:sz="0" w:space="0" w:color="auto"/>
        <w:left w:val="none" w:sz="0" w:space="0" w:color="auto"/>
        <w:bottom w:val="none" w:sz="0" w:space="0" w:color="auto"/>
        <w:right w:val="none" w:sz="0" w:space="0" w:color="auto"/>
      </w:divBdr>
    </w:div>
    <w:div w:id="1260481329">
      <w:bodyDiv w:val="1"/>
      <w:marLeft w:val="0"/>
      <w:marRight w:val="0"/>
      <w:marTop w:val="0"/>
      <w:marBottom w:val="0"/>
      <w:divBdr>
        <w:top w:val="none" w:sz="0" w:space="0" w:color="auto"/>
        <w:left w:val="none" w:sz="0" w:space="0" w:color="auto"/>
        <w:bottom w:val="none" w:sz="0" w:space="0" w:color="auto"/>
        <w:right w:val="none" w:sz="0" w:space="0" w:color="auto"/>
      </w:divBdr>
    </w:div>
    <w:div w:id="1260528852">
      <w:bodyDiv w:val="1"/>
      <w:marLeft w:val="0"/>
      <w:marRight w:val="0"/>
      <w:marTop w:val="0"/>
      <w:marBottom w:val="0"/>
      <w:divBdr>
        <w:top w:val="none" w:sz="0" w:space="0" w:color="auto"/>
        <w:left w:val="none" w:sz="0" w:space="0" w:color="auto"/>
        <w:bottom w:val="none" w:sz="0" w:space="0" w:color="auto"/>
        <w:right w:val="none" w:sz="0" w:space="0" w:color="auto"/>
      </w:divBdr>
    </w:div>
    <w:div w:id="1260602597">
      <w:bodyDiv w:val="1"/>
      <w:marLeft w:val="0"/>
      <w:marRight w:val="0"/>
      <w:marTop w:val="0"/>
      <w:marBottom w:val="0"/>
      <w:divBdr>
        <w:top w:val="none" w:sz="0" w:space="0" w:color="auto"/>
        <w:left w:val="none" w:sz="0" w:space="0" w:color="auto"/>
        <w:bottom w:val="none" w:sz="0" w:space="0" w:color="auto"/>
        <w:right w:val="none" w:sz="0" w:space="0" w:color="auto"/>
      </w:divBdr>
    </w:div>
    <w:div w:id="1260675991">
      <w:bodyDiv w:val="1"/>
      <w:marLeft w:val="0"/>
      <w:marRight w:val="0"/>
      <w:marTop w:val="0"/>
      <w:marBottom w:val="0"/>
      <w:divBdr>
        <w:top w:val="none" w:sz="0" w:space="0" w:color="auto"/>
        <w:left w:val="none" w:sz="0" w:space="0" w:color="auto"/>
        <w:bottom w:val="none" w:sz="0" w:space="0" w:color="auto"/>
        <w:right w:val="none" w:sz="0" w:space="0" w:color="auto"/>
      </w:divBdr>
    </w:div>
    <w:div w:id="1260724151">
      <w:bodyDiv w:val="1"/>
      <w:marLeft w:val="0"/>
      <w:marRight w:val="0"/>
      <w:marTop w:val="0"/>
      <w:marBottom w:val="0"/>
      <w:divBdr>
        <w:top w:val="none" w:sz="0" w:space="0" w:color="auto"/>
        <w:left w:val="none" w:sz="0" w:space="0" w:color="auto"/>
        <w:bottom w:val="none" w:sz="0" w:space="0" w:color="auto"/>
        <w:right w:val="none" w:sz="0" w:space="0" w:color="auto"/>
      </w:divBdr>
    </w:div>
    <w:div w:id="1260870489">
      <w:bodyDiv w:val="1"/>
      <w:marLeft w:val="0"/>
      <w:marRight w:val="0"/>
      <w:marTop w:val="0"/>
      <w:marBottom w:val="0"/>
      <w:divBdr>
        <w:top w:val="none" w:sz="0" w:space="0" w:color="auto"/>
        <w:left w:val="none" w:sz="0" w:space="0" w:color="auto"/>
        <w:bottom w:val="none" w:sz="0" w:space="0" w:color="auto"/>
        <w:right w:val="none" w:sz="0" w:space="0" w:color="auto"/>
      </w:divBdr>
    </w:div>
    <w:div w:id="1260943421">
      <w:bodyDiv w:val="1"/>
      <w:marLeft w:val="0"/>
      <w:marRight w:val="0"/>
      <w:marTop w:val="0"/>
      <w:marBottom w:val="0"/>
      <w:divBdr>
        <w:top w:val="none" w:sz="0" w:space="0" w:color="auto"/>
        <w:left w:val="none" w:sz="0" w:space="0" w:color="auto"/>
        <w:bottom w:val="none" w:sz="0" w:space="0" w:color="auto"/>
        <w:right w:val="none" w:sz="0" w:space="0" w:color="auto"/>
      </w:divBdr>
    </w:div>
    <w:div w:id="1260986924">
      <w:bodyDiv w:val="1"/>
      <w:marLeft w:val="0"/>
      <w:marRight w:val="0"/>
      <w:marTop w:val="0"/>
      <w:marBottom w:val="0"/>
      <w:divBdr>
        <w:top w:val="none" w:sz="0" w:space="0" w:color="auto"/>
        <w:left w:val="none" w:sz="0" w:space="0" w:color="auto"/>
        <w:bottom w:val="none" w:sz="0" w:space="0" w:color="auto"/>
        <w:right w:val="none" w:sz="0" w:space="0" w:color="auto"/>
      </w:divBdr>
    </w:div>
    <w:div w:id="1261060538">
      <w:bodyDiv w:val="1"/>
      <w:marLeft w:val="0"/>
      <w:marRight w:val="0"/>
      <w:marTop w:val="0"/>
      <w:marBottom w:val="0"/>
      <w:divBdr>
        <w:top w:val="none" w:sz="0" w:space="0" w:color="auto"/>
        <w:left w:val="none" w:sz="0" w:space="0" w:color="auto"/>
        <w:bottom w:val="none" w:sz="0" w:space="0" w:color="auto"/>
        <w:right w:val="none" w:sz="0" w:space="0" w:color="auto"/>
      </w:divBdr>
    </w:div>
    <w:div w:id="1261068365">
      <w:bodyDiv w:val="1"/>
      <w:marLeft w:val="0"/>
      <w:marRight w:val="0"/>
      <w:marTop w:val="0"/>
      <w:marBottom w:val="0"/>
      <w:divBdr>
        <w:top w:val="none" w:sz="0" w:space="0" w:color="auto"/>
        <w:left w:val="none" w:sz="0" w:space="0" w:color="auto"/>
        <w:bottom w:val="none" w:sz="0" w:space="0" w:color="auto"/>
        <w:right w:val="none" w:sz="0" w:space="0" w:color="auto"/>
      </w:divBdr>
    </w:div>
    <w:div w:id="1261137983">
      <w:bodyDiv w:val="1"/>
      <w:marLeft w:val="0"/>
      <w:marRight w:val="0"/>
      <w:marTop w:val="0"/>
      <w:marBottom w:val="0"/>
      <w:divBdr>
        <w:top w:val="none" w:sz="0" w:space="0" w:color="auto"/>
        <w:left w:val="none" w:sz="0" w:space="0" w:color="auto"/>
        <w:bottom w:val="none" w:sz="0" w:space="0" w:color="auto"/>
        <w:right w:val="none" w:sz="0" w:space="0" w:color="auto"/>
      </w:divBdr>
    </w:div>
    <w:div w:id="1261181370">
      <w:bodyDiv w:val="1"/>
      <w:marLeft w:val="0"/>
      <w:marRight w:val="0"/>
      <w:marTop w:val="0"/>
      <w:marBottom w:val="0"/>
      <w:divBdr>
        <w:top w:val="none" w:sz="0" w:space="0" w:color="auto"/>
        <w:left w:val="none" w:sz="0" w:space="0" w:color="auto"/>
        <w:bottom w:val="none" w:sz="0" w:space="0" w:color="auto"/>
        <w:right w:val="none" w:sz="0" w:space="0" w:color="auto"/>
      </w:divBdr>
    </w:div>
    <w:div w:id="1261256128">
      <w:bodyDiv w:val="1"/>
      <w:marLeft w:val="0"/>
      <w:marRight w:val="0"/>
      <w:marTop w:val="0"/>
      <w:marBottom w:val="0"/>
      <w:divBdr>
        <w:top w:val="none" w:sz="0" w:space="0" w:color="auto"/>
        <w:left w:val="none" w:sz="0" w:space="0" w:color="auto"/>
        <w:bottom w:val="none" w:sz="0" w:space="0" w:color="auto"/>
        <w:right w:val="none" w:sz="0" w:space="0" w:color="auto"/>
      </w:divBdr>
    </w:div>
    <w:div w:id="1261258782">
      <w:bodyDiv w:val="1"/>
      <w:marLeft w:val="0"/>
      <w:marRight w:val="0"/>
      <w:marTop w:val="0"/>
      <w:marBottom w:val="0"/>
      <w:divBdr>
        <w:top w:val="none" w:sz="0" w:space="0" w:color="auto"/>
        <w:left w:val="none" w:sz="0" w:space="0" w:color="auto"/>
        <w:bottom w:val="none" w:sz="0" w:space="0" w:color="auto"/>
        <w:right w:val="none" w:sz="0" w:space="0" w:color="auto"/>
      </w:divBdr>
    </w:div>
    <w:div w:id="1261446970">
      <w:bodyDiv w:val="1"/>
      <w:marLeft w:val="0"/>
      <w:marRight w:val="0"/>
      <w:marTop w:val="0"/>
      <w:marBottom w:val="0"/>
      <w:divBdr>
        <w:top w:val="none" w:sz="0" w:space="0" w:color="auto"/>
        <w:left w:val="none" w:sz="0" w:space="0" w:color="auto"/>
        <w:bottom w:val="none" w:sz="0" w:space="0" w:color="auto"/>
        <w:right w:val="none" w:sz="0" w:space="0" w:color="auto"/>
      </w:divBdr>
    </w:div>
    <w:div w:id="1261454778">
      <w:bodyDiv w:val="1"/>
      <w:marLeft w:val="0"/>
      <w:marRight w:val="0"/>
      <w:marTop w:val="0"/>
      <w:marBottom w:val="0"/>
      <w:divBdr>
        <w:top w:val="none" w:sz="0" w:space="0" w:color="auto"/>
        <w:left w:val="none" w:sz="0" w:space="0" w:color="auto"/>
        <w:bottom w:val="none" w:sz="0" w:space="0" w:color="auto"/>
        <w:right w:val="none" w:sz="0" w:space="0" w:color="auto"/>
      </w:divBdr>
    </w:div>
    <w:div w:id="1261526637">
      <w:bodyDiv w:val="1"/>
      <w:marLeft w:val="0"/>
      <w:marRight w:val="0"/>
      <w:marTop w:val="0"/>
      <w:marBottom w:val="0"/>
      <w:divBdr>
        <w:top w:val="none" w:sz="0" w:space="0" w:color="auto"/>
        <w:left w:val="none" w:sz="0" w:space="0" w:color="auto"/>
        <w:bottom w:val="none" w:sz="0" w:space="0" w:color="auto"/>
        <w:right w:val="none" w:sz="0" w:space="0" w:color="auto"/>
      </w:divBdr>
    </w:div>
    <w:div w:id="1262223384">
      <w:bodyDiv w:val="1"/>
      <w:marLeft w:val="0"/>
      <w:marRight w:val="0"/>
      <w:marTop w:val="0"/>
      <w:marBottom w:val="0"/>
      <w:divBdr>
        <w:top w:val="none" w:sz="0" w:space="0" w:color="auto"/>
        <w:left w:val="none" w:sz="0" w:space="0" w:color="auto"/>
        <w:bottom w:val="none" w:sz="0" w:space="0" w:color="auto"/>
        <w:right w:val="none" w:sz="0" w:space="0" w:color="auto"/>
      </w:divBdr>
    </w:div>
    <w:div w:id="1262252324">
      <w:bodyDiv w:val="1"/>
      <w:marLeft w:val="0"/>
      <w:marRight w:val="0"/>
      <w:marTop w:val="0"/>
      <w:marBottom w:val="0"/>
      <w:divBdr>
        <w:top w:val="none" w:sz="0" w:space="0" w:color="auto"/>
        <w:left w:val="none" w:sz="0" w:space="0" w:color="auto"/>
        <w:bottom w:val="none" w:sz="0" w:space="0" w:color="auto"/>
        <w:right w:val="none" w:sz="0" w:space="0" w:color="auto"/>
      </w:divBdr>
    </w:div>
    <w:div w:id="1262295207">
      <w:bodyDiv w:val="1"/>
      <w:marLeft w:val="0"/>
      <w:marRight w:val="0"/>
      <w:marTop w:val="0"/>
      <w:marBottom w:val="0"/>
      <w:divBdr>
        <w:top w:val="none" w:sz="0" w:space="0" w:color="auto"/>
        <w:left w:val="none" w:sz="0" w:space="0" w:color="auto"/>
        <w:bottom w:val="none" w:sz="0" w:space="0" w:color="auto"/>
        <w:right w:val="none" w:sz="0" w:space="0" w:color="auto"/>
      </w:divBdr>
    </w:div>
    <w:div w:id="1262379351">
      <w:bodyDiv w:val="1"/>
      <w:marLeft w:val="0"/>
      <w:marRight w:val="0"/>
      <w:marTop w:val="0"/>
      <w:marBottom w:val="0"/>
      <w:divBdr>
        <w:top w:val="none" w:sz="0" w:space="0" w:color="auto"/>
        <w:left w:val="none" w:sz="0" w:space="0" w:color="auto"/>
        <w:bottom w:val="none" w:sz="0" w:space="0" w:color="auto"/>
        <w:right w:val="none" w:sz="0" w:space="0" w:color="auto"/>
      </w:divBdr>
    </w:div>
    <w:div w:id="1262451804">
      <w:bodyDiv w:val="1"/>
      <w:marLeft w:val="0"/>
      <w:marRight w:val="0"/>
      <w:marTop w:val="0"/>
      <w:marBottom w:val="0"/>
      <w:divBdr>
        <w:top w:val="none" w:sz="0" w:space="0" w:color="auto"/>
        <w:left w:val="none" w:sz="0" w:space="0" w:color="auto"/>
        <w:bottom w:val="none" w:sz="0" w:space="0" w:color="auto"/>
        <w:right w:val="none" w:sz="0" w:space="0" w:color="auto"/>
      </w:divBdr>
    </w:div>
    <w:div w:id="1262490112">
      <w:bodyDiv w:val="1"/>
      <w:marLeft w:val="0"/>
      <w:marRight w:val="0"/>
      <w:marTop w:val="0"/>
      <w:marBottom w:val="0"/>
      <w:divBdr>
        <w:top w:val="none" w:sz="0" w:space="0" w:color="auto"/>
        <w:left w:val="none" w:sz="0" w:space="0" w:color="auto"/>
        <w:bottom w:val="none" w:sz="0" w:space="0" w:color="auto"/>
        <w:right w:val="none" w:sz="0" w:space="0" w:color="auto"/>
      </w:divBdr>
    </w:div>
    <w:div w:id="1262492433">
      <w:bodyDiv w:val="1"/>
      <w:marLeft w:val="0"/>
      <w:marRight w:val="0"/>
      <w:marTop w:val="0"/>
      <w:marBottom w:val="0"/>
      <w:divBdr>
        <w:top w:val="none" w:sz="0" w:space="0" w:color="auto"/>
        <w:left w:val="none" w:sz="0" w:space="0" w:color="auto"/>
        <w:bottom w:val="none" w:sz="0" w:space="0" w:color="auto"/>
        <w:right w:val="none" w:sz="0" w:space="0" w:color="auto"/>
      </w:divBdr>
    </w:div>
    <w:div w:id="1262569284">
      <w:bodyDiv w:val="1"/>
      <w:marLeft w:val="0"/>
      <w:marRight w:val="0"/>
      <w:marTop w:val="0"/>
      <w:marBottom w:val="0"/>
      <w:divBdr>
        <w:top w:val="none" w:sz="0" w:space="0" w:color="auto"/>
        <w:left w:val="none" w:sz="0" w:space="0" w:color="auto"/>
        <w:bottom w:val="none" w:sz="0" w:space="0" w:color="auto"/>
        <w:right w:val="none" w:sz="0" w:space="0" w:color="auto"/>
      </w:divBdr>
    </w:div>
    <w:div w:id="1262570122">
      <w:bodyDiv w:val="1"/>
      <w:marLeft w:val="0"/>
      <w:marRight w:val="0"/>
      <w:marTop w:val="0"/>
      <w:marBottom w:val="0"/>
      <w:divBdr>
        <w:top w:val="none" w:sz="0" w:space="0" w:color="auto"/>
        <w:left w:val="none" w:sz="0" w:space="0" w:color="auto"/>
        <w:bottom w:val="none" w:sz="0" w:space="0" w:color="auto"/>
        <w:right w:val="none" w:sz="0" w:space="0" w:color="auto"/>
      </w:divBdr>
    </w:div>
    <w:div w:id="1262645005">
      <w:bodyDiv w:val="1"/>
      <w:marLeft w:val="0"/>
      <w:marRight w:val="0"/>
      <w:marTop w:val="0"/>
      <w:marBottom w:val="0"/>
      <w:divBdr>
        <w:top w:val="none" w:sz="0" w:space="0" w:color="auto"/>
        <w:left w:val="none" w:sz="0" w:space="0" w:color="auto"/>
        <w:bottom w:val="none" w:sz="0" w:space="0" w:color="auto"/>
        <w:right w:val="none" w:sz="0" w:space="0" w:color="auto"/>
      </w:divBdr>
    </w:div>
    <w:div w:id="1262682725">
      <w:bodyDiv w:val="1"/>
      <w:marLeft w:val="0"/>
      <w:marRight w:val="0"/>
      <w:marTop w:val="0"/>
      <w:marBottom w:val="0"/>
      <w:divBdr>
        <w:top w:val="none" w:sz="0" w:space="0" w:color="auto"/>
        <w:left w:val="none" w:sz="0" w:space="0" w:color="auto"/>
        <w:bottom w:val="none" w:sz="0" w:space="0" w:color="auto"/>
        <w:right w:val="none" w:sz="0" w:space="0" w:color="auto"/>
      </w:divBdr>
    </w:div>
    <w:div w:id="1262840056">
      <w:bodyDiv w:val="1"/>
      <w:marLeft w:val="0"/>
      <w:marRight w:val="0"/>
      <w:marTop w:val="0"/>
      <w:marBottom w:val="0"/>
      <w:divBdr>
        <w:top w:val="none" w:sz="0" w:space="0" w:color="auto"/>
        <w:left w:val="none" w:sz="0" w:space="0" w:color="auto"/>
        <w:bottom w:val="none" w:sz="0" w:space="0" w:color="auto"/>
        <w:right w:val="none" w:sz="0" w:space="0" w:color="auto"/>
      </w:divBdr>
    </w:div>
    <w:div w:id="1262909282">
      <w:bodyDiv w:val="1"/>
      <w:marLeft w:val="0"/>
      <w:marRight w:val="0"/>
      <w:marTop w:val="0"/>
      <w:marBottom w:val="0"/>
      <w:divBdr>
        <w:top w:val="none" w:sz="0" w:space="0" w:color="auto"/>
        <w:left w:val="none" w:sz="0" w:space="0" w:color="auto"/>
        <w:bottom w:val="none" w:sz="0" w:space="0" w:color="auto"/>
        <w:right w:val="none" w:sz="0" w:space="0" w:color="auto"/>
      </w:divBdr>
    </w:div>
    <w:div w:id="1262955279">
      <w:bodyDiv w:val="1"/>
      <w:marLeft w:val="0"/>
      <w:marRight w:val="0"/>
      <w:marTop w:val="0"/>
      <w:marBottom w:val="0"/>
      <w:divBdr>
        <w:top w:val="none" w:sz="0" w:space="0" w:color="auto"/>
        <w:left w:val="none" w:sz="0" w:space="0" w:color="auto"/>
        <w:bottom w:val="none" w:sz="0" w:space="0" w:color="auto"/>
        <w:right w:val="none" w:sz="0" w:space="0" w:color="auto"/>
      </w:divBdr>
    </w:div>
    <w:div w:id="1262957832">
      <w:bodyDiv w:val="1"/>
      <w:marLeft w:val="0"/>
      <w:marRight w:val="0"/>
      <w:marTop w:val="0"/>
      <w:marBottom w:val="0"/>
      <w:divBdr>
        <w:top w:val="none" w:sz="0" w:space="0" w:color="auto"/>
        <w:left w:val="none" w:sz="0" w:space="0" w:color="auto"/>
        <w:bottom w:val="none" w:sz="0" w:space="0" w:color="auto"/>
        <w:right w:val="none" w:sz="0" w:space="0" w:color="auto"/>
      </w:divBdr>
    </w:div>
    <w:div w:id="1263025822">
      <w:bodyDiv w:val="1"/>
      <w:marLeft w:val="0"/>
      <w:marRight w:val="0"/>
      <w:marTop w:val="0"/>
      <w:marBottom w:val="0"/>
      <w:divBdr>
        <w:top w:val="none" w:sz="0" w:space="0" w:color="auto"/>
        <w:left w:val="none" w:sz="0" w:space="0" w:color="auto"/>
        <w:bottom w:val="none" w:sz="0" w:space="0" w:color="auto"/>
        <w:right w:val="none" w:sz="0" w:space="0" w:color="auto"/>
      </w:divBdr>
    </w:div>
    <w:div w:id="1263076620">
      <w:bodyDiv w:val="1"/>
      <w:marLeft w:val="0"/>
      <w:marRight w:val="0"/>
      <w:marTop w:val="0"/>
      <w:marBottom w:val="0"/>
      <w:divBdr>
        <w:top w:val="none" w:sz="0" w:space="0" w:color="auto"/>
        <w:left w:val="none" w:sz="0" w:space="0" w:color="auto"/>
        <w:bottom w:val="none" w:sz="0" w:space="0" w:color="auto"/>
        <w:right w:val="none" w:sz="0" w:space="0" w:color="auto"/>
      </w:divBdr>
    </w:div>
    <w:div w:id="1263103553">
      <w:bodyDiv w:val="1"/>
      <w:marLeft w:val="0"/>
      <w:marRight w:val="0"/>
      <w:marTop w:val="0"/>
      <w:marBottom w:val="0"/>
      <w:divBdr>
        <w:top w:val="none" w:sz="0" w:space="0" w:color="auto"/>
        <w:left w:val="none" w:sz="0" w:space="0" w:color="auto"/>
        <w:bottom w:val="none" w:sz="0" w:space="0" w:color="auto"/>
        <w:right w:val="none" w:sz="0" w:space="0" w:color="auto"/>
      </w:divBdr>
    </w:div>
    <w:div w:id="1263143545">
      <w:bodyDiv w:val="1"/>
      <w:marLeft w:val="0"/>
      <w:marRight w:val="0"/>
      <w:marTop w:val="0"/>
      <w:marBottom w:val="0"/>
      <w:divBdr>
        <w:top w:val="none" w:sz="0" w:space="0" w:color="auto"/>
        <w:left w:val="none" w:sz="0" w:space="0" w:color="auto"/>
        <w:bottom w:val="none" w:sz="0" w:space="0" w:color="auto"/>
        <w:right w:val="none" w:sz="0" w:space="0" w:color="auto"/>
      </w:divBdr>
    </w:div>
    <w:div w:id="1263226799">
      <w:bodyDiv w:val="1"/>
      <w:marLeft w:val="0"/>
      <w:marRight w:val="0"/>
      <w:marTop w:val="0"/>
      <w:marBottom w:val="0"/>
      <w:divBdr>
        <w:top w:val="none" w:sz="0" w:space="0" w:color="auto"/>
        <w:left w:val="none" w:sz="0" w:space="0" w:color="auto"/>
        <w:bottom w:val="none" w:sz="0" w:space="0" w:color="auto"/>
        <w:right w:val="none" w:sz="0" w:space="0" w:color="auto"/>
      </w:divBdr>
    </w:div>
    <w:div w:id="1263294034">
      <w:bodyDiv w:val="1"/>
      <w:marLeft w:val="0"/>
      <w:marRight w:val="0"/>
      <w:marTop w:val="0"/>
      <w:marBottom w:val="0"/>
      <w:divBdr>
        <w:top w:val="none" w:sz="0" w:space="0" w:color="auto"/>
        <w:left w:val="none" w:sz="0" w:space="0" w:color="auto"/>
        <w:bottom w:val="none" w:sz="0" w:space="0" w:color="auto"/>
        <w:right w:val="none" w:sz="0" w:space="0" w:color="auto"/>
      </w:divBdr>
    </w:div>
    <w:div w:id="1263344756">
      <w:bodyDiv w:val="1"/>
      <w:marLeft w:val="0"/>
      <w:marRight w:val="0"/>
      <w:marTop w:val="0"/>
      <w:marBottom w:val="0"/>
      <w:divBdr>
        <w:top w:val="none" w:sz="0" w:space="0" w:color="auto"/>
        <w:left w:val="none" w:sz="0" w:space="0" w:color="auto"/>
        <w:bottom w:val="none" w:sz="0" w:space="0" w:color="auto"/>
        <w:right w:val="none" w:sz="0" w:space="0" w:color="auto"/>
      </w:divBdr>
    </w:div>
    <w:div w:id="1263538156">
      <w:bodyDiv w:val="1"/>
      <w:marLeft w:val="0"/>
      <w:marRight w:val="0"/>
      <w:marTop w:val="0"/>
      <w:marBottom w:val="0"/>
      <w:divBdr>
        <w:top w:val="none" w:sz="0" w:space="0" w:color="auto"/>
        <w:left w:val="none" w:sz="0" w:space="0" w:color="auto"/>
        <w:bottom w:val="none" w:sz="0" w:space="0" w:color="auto"/>
        <w:right w:val="none" w:sz="0" w:space="0" w:color="auto"/>
      </w:divBdr>
    </w:div>
    <w:div w:id="1263689919">
      <w:bodyDiv w:val="1"/>
      <w:marLeft w:val="0"/>
      <w:marRight w:val="0"/>
      <w:marTop w:val="0"/>
      <w:marBottom w:val="0"/>
      <w:divBdr>
        <w:top w:val="none" w:sz="0" w:space="0" w:color="auto"/>
        <w:left w:val="none" w:sz="0" w:space="0" w:color="auto"/>
        <w:bottom w:val="none" w:sz="0" w:space="0" w:color="auto"/>
        <w:right w:val="none" w:sz="0" w:space="0" w:color="auto"/>
      </w:divBdr>
    </w:div>
    <w:div w:id="1263730782">
      <w:bodyDiv w:val="1"/>
      <w:marLeft w:val="0"/>
      <w:marRight w:val="0"/>
      <w:marTop w:val="0"/>
      <w:marBottom w:val="0"/>
      <w:divBdr>
        <w:top w:val="none" w:sz="0" w:space="0" w:color="auto"/>
        <w:left w:val="none" w:sz="0" w:space="0" w:color="auto"/>
        <w:bottom w:val="none" w:sz="0" w:space="0" w:color="auto"/>
        <w:right w:val="none" w:sz="0" w:space="0" w:color="auto"/>
      </w:divBdr>
    </w:div>
    <w:div w:id="1263877000">
      <w:bodyDiv w:val="1"/>
      <w:marLeft w:val="0"/>
      <w:marRight w:val="0"/>
      <w:marTop w:val="0"/>
      <w:marBottom w:val="0"/>
      <w:divBdr>
        <w:top w:val="none" w:sz="0" w:space="0" w:color="auto"/>
        <w:left w:val="none" w:sz="0" w:space="0" w:color="auto"/>
        <w:bottom w:val="none" w:sz="0" w:space="0" w:color="auto"/>
        <w:right w:val="none" w:sz="0" w:space="0" w:color="auto"/>
      </w:divBdr>
    </w:div>
    <w:div w:id="1263883017">
      <w:bodyDiv w:val="1"/>
      <w:marLeft w:val="0"/>
      <w:marRight w:val="0"/>
      <w:marTop w:val="0"/>
      <w:marBottom w:val="0"/>
      <w:divBdr>
        <w:top w:val="none" w:sz="0" w:space="0" w:color="auto"/>
        <w:left w:val="none" w:sz="0" w:space="0" w:color="auto"/>
        <w:bottom w:val="none" w:sz="0" w:space="0" w:color="auto"/>
        <w:right w:val="none" w:sz="0" w:space="0" w:color="auto"/>
      </w:divBdr>
    </w:div>
    <w:div w:id="1263995302">
      <w:bodyDiv w:val="1"/>
      <w:marLeft w:val="0"/>
      <w:marRight w:val="0"/>
      <w:marTop w:val="0"/>
      <w:marBottom w:val="0"/>
      <w:divBdr>
        <w:top w:val="none" w:sz="0" w:space="0" w:color="auto"/>
        <w:left w:val="none" w:sz="0" w:space="0" w:color="auto"/>
        <w:bottom w:val="none" w:sz="0" w:space="0" w:color="auto"/>
        <w:right w:val="none" w:sz="0" w:space="0" w:color="auto"/>
      </w:divBdr>
    </w:div>
    <w:div w:id="1263997984">
      <w:bodyDiv w:val="1"/>
      <w:marLeft w:val="0"/>
      <w:marRight w:val="0"/>
      <w:marTop w:val="0"/>
      <w:marBottom w:val="0"/>
      <w:divBdr>
        <w:top w:val="none" w:sz="0" w:space="0" w:color="auto"/>
        <w:left w:val="none" w:sz="0" w:space="0" w:color="auto"/>
        <w:bottom w:val="none" w:sz="0" w:space="0" w:color="auto"/>
        <w:right w:val="none" w:sz="0" w:space="0" w:color="auto"/>
      </w:divBdr>
    </w:div>
    <w:div w:id="1264076532">
      <w:bodyDiv w:val="1"/>
      <w:marLeft w:val="0"/>
      <w:marRight w:val="0"/>
      <w:marTop w:val="0"/>
      <w:marBottom w:val="0"/>
      <w:divBdr>
        <w:top w:val="none" w:sz="0" w:space="0" w:color="auto"/>
        <w:left w:val="none" w:sz="0" w:space="0" w:color="auto"/>
        <w:bottom w:val="none" w:sz="0" w:space="0" w:color="auto"/>
        <w:right w:val="none" w:sz="0" w:space="0" w:color="auto"/>
      </w:divBdr>
    </w:div>
    <w:div w:id="1264142618">
      <w:bodyDiv w:val="1"/>
      <w:marLeft w:val="0"/>
      <w:marRight w:val="0"/>
      <w:marTop w:val="0"/>
      <w:marBottom w:val="0"/>
      <w:divBdr>
        <w:top w:val="none" w:sz="0" w:space="0" w:color="auto"/>
        <w:left w:val="none" w:sz="0" w:space="0" w:color="auto"/>
        <w:bottom w:val="none" w:sz="0" w:space="0" w:color="auto"/>
        <w:right w:val="none" w:sz="0" w:space="0" w:color="auto"/>
      </w:divBdr>
    </w:div>
    <w:div w:id="1264145286">
      <w:bodyDiv w:val="1"/>
      <w:marLeft w:val="0"/>
      <w:marRight w:val="0"/>
      <w:marTop w:val="0"/>
      <w:marBottom w:val="0"/>
      <w:divBdr>
        <w:top w:val="none" w:sz="0" w:space="0" w:color="auto"/>
        <w:left w:val="none" w:sz="0" w:space="0" w:color="auto"/>
        <w:bottom w:val="none" w:sz="0" w:space="0" w:color="auto"/>
        <w:right w:val="none" w:sz="0" w:space="0" w:color="auto"/>
      </w:divBdr>
    </w:div>
    <w:div w:id="1264147312">
      <w:bodyDiv w:val="1"/>
      <w:marLeft w:val="0"/>
      <w:marRight w:val="0"/>
      <w:marTop w:val="0"/>
      <w:marBottom w:val="0"/>
      <w:divBdr>
        <w:top w:val="none" w:sz="0" w:space="0" w:color="auto"/>
        <w:left w:val="none" w:sz="0" w:space="0" w:color="auto"/>
        <w:bottom w:val="none" w:sz="0" w:space="0" w:color="auto"/>
        <w:right w:val="none" w:sz="0" w:space="0" w:color="auto"/>
      </w:divBdr>
    </w:div>
    <w:div w:id="1264194226">
      <w:bodyDiv w:val="1"/>
      <w:marLeft w:val="0"/>
      <w:marRight w:val="0"/>
      <w:marTop w:val="0"/>
      <w:marBottom w:val="0"/>
      <w:divBdr>
        <w:top w:val="none" w:sz="0" w:space="0" w:color="auto"/>
        <w:left w:val="none" w:sz="0" w:space="0" w:color="auto"/>
        <w:bottom w:val="none" w:sz="0" w:space="0" w:color="auto"/>
        <w:right w:val="none" w:sz="0" w:space="0" w:color="auto"/>
      </w:divBdr>
    </w:div>
    <w:div w:id="1264269831">
      <w:bodyDiv w:val="1"/>
      <w:marLeft w:val="0"/>
      <w:marRight w:val="0"/>
      <w:marTop w:val="0"/>
      <w:marBottom w:val="0"/>
      <w:divBdr>
        <w:top w:val="none" w:sz="0" w:space="0" w:color="auto"/>
        <w:left w:val="none" w:sz="0" w:space="0" w:color="auto"/>
        <w:bottom w:val="none" w:sz="0" w:space="0" w:color="auto"/>
        <w:right w:val="none" w:sz="0" w:space="0" w:color="auto"/>
      </w:divBdr>
    </w:div>
    <w:div w:id="1264387118">
      <w:bodyDiv w:val="1"/>
      <w:marLeft w:val="0"/>
      <w:marRight w:val="0"/>
      <w:marTop w:val="0"/>
      <w:marBottom w:val="0"/>
      <w:divBdr>
        <w:top w:val="none" w:sz="0" w:space="0" w:color="auto"/>
        <w:left w:val="none" w:sz="0" w:space="0" w:color="auto"/>
        <w:bottom w:val="none" w:sz="0" w:space="0" w:color="auto"/>
        <w:right w:val="none" w:sz="0" w:space="0" w:color="auto"/>
      </w:divBdr>
    </w:div>
    <w:div w:id="1264535315">
      <w:bodyDiv w:val="1"/>
      <w:marLeft w:val="0"/>
      <w:marRight w:val="0"/>
      <w:marTop w:val="0"/>
      <w:marBottom w:val="0"/>
      <w:divBdr>
        <w:top w:val="none" w:sz="0" w:space="0" w:color="auto"/>
        <w:left w:val="none" w:sz="0" w:space="0" w:color="auto"/>
        <w:bottom w:val="none" w:sz="0" w:space="0" w:color="auto"/>
        <w:right w:val="none" w:sz="0" w:space="0" w:color="auto"/>
      </w:divBdr>
    </w:div>
    <w:div w:id="1264537551">
      <w:bodyDiv w:val="1"/>
      <w:marLeft w:val="0"/>
      <w:marRight w:val="0"/>
      <w:marTop w:val="0"/>
      <w:marBottom w:val="0"/>
      <w:divBdr>
        <w:top w:val="none" w:sz="0" w:space="0" w:color="auto"/>
        <w:left w:val="none" w:sz="0" w:space="0" w:color="auto"/>
        <w:bottom w:val="none" w:sz="0" w:space="0" w:color="auto"/>
        <w:right w:val="none" w:sz="0" w:space="0" w:color="auto"/>
      </w:divBdr>
    </w:div>
    <w:div w:id="1264611075">
      <w:bodyDiv w:val="1"/>
      <w:marLeft w:val="0"/>
      <w:marRight w:val="0"/>
      <w:marTop w:val="0"/>
      <w:marBottom w:val="0"/>
      <w:divBdr>
        <w:top w:val="none" w:sz="0" w:space="0" w:color="auto"/>
        <w:left w:val="none" w:sz="0" w:space="0" w:color="auto"/>
        <w:bottom w:val="none" w:sz="0" w:space="0" w:color="auto"/>
        <w:right w:val="none" w:sz="0" w:space="0" w:color="auto"/>
      </w:divBdr>
    </w:div>
    <w:div w:id="1264652680">
      <w:bodyDiv w:val="1"/>
      <w:marLeft w:val="0"/>
      <w:marRight w:val="0"/>
      <w:marTop w:val="0"/>
      <w:marBottom w:val="0"/>
      <w:divBdr>
        <w:top w:val="none" w:sz="0" w:space="0" w:color="auto"/>
        <w:left w:val="none" w:sz="0" w:space="0" w:color="auto"/>
        <w:bottom w:val="none" w:sz="0" w:space="0" w:color="auto"/>
        <w:right w:val="none" w:sz="0" w:space="0" w:color="auto"/>
      </w:divBdr>
    </w:div>
    <w:div w:id="1264722016">
      <w:bodyDiv w:val="1"/>
      <w:marLeft w:val="0"/>
      <w:marRight w:val="0"/>
      <w:marTop w:val="0"/>
      <w:marBottom w:val="0"/>
      <w:divBdr>
        <w:top w:val="none" w:sz="0" w:space="0" w:color="auto"/>
        <w:left w:val="none" w:sz="0" w:space="0" w:color="auto"/>
        <w:bottom w:val="none" w:sz="0" w:space="0" w:color="auto"/>
        <w:right w:val="none" w:sz="0" w:space="0" w:color="auto"/>
      </w:divBdr>
    </w:div>
    <w:div w:id="1264798240">
      <w:bodyDiv w:val="1"/>
      <w:marLeft w:val="0"/>
      <w:marRight w:val="0"/>
      <w:marTop w:val="0"/>
      <w:marBottom w:val="0"/>
      <w:divBdr>
        <w:top w:val="none" w:sz="0" w:space="0" w:color="auto"/>
        <w:left w:val="none" w:sz="0" w:space="0" w:color="auto"/>
        <w:bottom w:val="none" w:sz="0" w:space="0" w:color="auto"/>
        <w:right w:val="none" w:sz="0" w:space="0" w:color="auto"/>
      </w:divBdr>
    </w:div>
    <w:div w:id="1264804913">
      <w:bodyDiv w:val="1"/>
      <w:marLeft w:val="0"/>
      <w:marRight w:val="0"/>
      <w:marTop w:val="0"/>
      <w:marBottom w:val="0"/>
      <w:divBdr>
        <w:top w:val="none" w:sz="0" w:space="0" w:color="auto"/>
        <w:left w:val="none" w:sz="0" w:space="0" w:color="auto"/>
        <w:bottom w:val="none" w:sz="0" w:space="0" w:color="auto"/>
        <w:right w:val="none" w:sz="0" w:space="0" w:color="auto"/>
      </w:divBdr>
    </w:div>
    <w:div w:id="1264845964">
      <w:bodyDiv w:val="1"/>
      <w:marLeft w:val="0"/>
      <w:marRight w:val="0"/>
      <w:marTop w:val="0"/>
      <w:marBottom w:val="0"/>
      <w:divBdr>
        <w:top w:val="none" w:sz="0" w:space="0" w:color="auto"/>
        <w:left w:val="none" w:sz="0" w:space="0" w:color="auto"/>
        <w:bottom w:val="none" w:sz="0" w:space="0" w:color="auto"/>
        <w:right w:val="none" w:sz="0" w:space="0" w:color="auto"/>
      </w:divBdr>
    </w:div>
    <w:div w:id="1264872967">
      <w:bodyDiv w:val="1"/>
      <w:marLeft w:val="0"/>
      <w:marRight w:val="0"/>
      <w:marTop w:val="0"/>
      <w:marBottom w:val="0"/>
      <w:divBdr>
        <w:top w:val="none" w:sz="0" w:space="0" w:color="auto"/>
        <w:left w:val="none" w:sz="0" w:space="0" w:color="auto"/>
        <w:bottom w:val="none" w:sz="0" w:space="0" w:color="auto"/>
        <w:right w:val="none" w:sz="0" w:space="0" w:color="auto"/>
      </w:divBdr>
    </w:div>
    <w:div w:id="1264923793">
      <w:bodyDiv w:val="1"/>
      <w:marLeft w:val="0"/>
      <w:marRight w:val="0"/>
      <w:marTop w:val="0"/>
      <w:marBottom w:val="0"/>
      <w:divBdr>
        <w:top w:val="none" w:sz="0" w:space="0" w:color="auto"/>
        <w:left w:val="none" w:sz="0" w:space="0" w:color="auto"/>
        <w:bottom w:val="none" w:sz="0" w:space="0" w:color="auto"/>
        <w:right w:val="none" w:sz="0" w:space="0" w:color="auto"/>
      </w:divBdr>
    </w:div>
    <w:div w:id="1265111744">
      <w:bodyDiv w:val="1"/>
      <w:marLeft w:val="0"/>
      <w:marRight w:val="0"/>
      <w:marTop w:val="0"/>
      <w:marBottom w:val="0"/>
      <w:divBdr>
        <w:top w:val="none" w:sz="0" w:space="0" w:color="auto"/>
        <w:left w:val="none" w:sz="0" w:space="0" w:color="auto"/>
        <w:bottom w:val="none" w:sz="0" w:space="0" w:color="auto"/>
        <w:right w:val="none" w:sz="0" w:space="0" w:color="auto"/>
      </w:divBdr>
    </w:div>
    <w:div w:id="1265114520">
      <w:bodyDiv w:val="1"/>
      <w:marLeft w:val="0"/>
      <w:marRight w:val="0"/>
      <w:marTop w:val="0"/>
      <w:marBottom w:val="0"/>
      <w:divBdr>
        <w:top w:val="none" w:sz="0" w:space="0" w:color="auto"/>
        <w:left w:val="none" w:sz="0" w:space="0" w:color="auto"/>
        <w:bottom w:val="none" w:sz="0" w:space="0" w:color="auto"/>
        <w:right w:val="none" w:sz="0" w:space="0" w:color="auto"/>
      </w:divBdr>
    </w:div>
    <w:div w:id="1265114605">
      <w:bodyDiv w:val="1"/>
      <w:marLeft w:val="0"/>
      <w:marRight w:val="0"/>
      <w:marTop w:val="0"/>
      <w:marBottom w:val="0"/>
      <w:divBdr>
        <w:top w:val="none" w:sz="0" w:space="0" w:color="auto"/>
        <w:left w:val="none" w:sz="0" w:space="0" w:color="auto"/>
        <w:bottom w:val="none" w:sz="0" w:space="0" w:color="auto"/>
        <w:right w:val="none" w:sz="0" w:space="0" w:color="auto"/>
      </w:divBdr>
    </w:div>
    <w:div w:id="1265188614">
      <w:bodyDiv w:val="1"/>
      <w:marLeft w:val="0"/>
      <w:marRight w:val="0"/>
      <w:marTop w:val="0"/>
      <w:marBottom w:val="0"/>
      <w:divBdr>
        <w:top w:val="none" w:sz="0" w:space="0" w:color="auto"/>
        <w:left w:val="none" w:sz="0" w:space="0" w:color="auto"/>
        <w:bottom w:val="none" w:sz="0" w:space="0" w:color="auto"/>
        <w:right w:val="none" w:sz="0" w:space="0" w:color="auto"/>
      </w:divBdr>
    </w:div>
    <w:div w:id="1265191223">
      <w:bodyDiv w:val="1"/>
      <w:marLeft w:val="0"/>
      <w:marRight w:val="0"/>
      <w:marTop w:val="0"/>
      <w:marBottom w:val="0"/>
      <w:divBdr>
        <w:top w:val="none" w:sz="0" w:space="0" w:color="auto"/>
        <w:left w:val="none" w:sz="0" w:space="0" w:color="auto"/>
        <w:bottom w:val="none" w:sz="0" w:space="0" w:color="auto"/>
        <w:right w:val="none" w:sz="0" w:space="0" w:color="auto"/>
      </w:divBdr>
    </w:div>
    <w:div w:id="1265572631">
      <w:bodyDiv w:val="1"/>
      <w:marLeft w:val="0"/>
      <w:marRight w:val="0"/>
      <w:marTop w:val="0"/>
      <w:marBottom w:val="0"/>
      <w:divBdr>
        <w:top w:val="none" w:sz="0" w:space="0" w:color="auto"/>
        <w:left w:val="none" w:sz="0" w:space="0" w:color="auto"/>
        <w:bottom w:val="none" w:sz="0" w:space="0" w:color="auto"/>
        <w:right w:val="none" w:sz="0" w:space="0" w:color="auto"/>
      </w:divBdr>
    </w:div>
    <w:div w:id="1265575992">
      <w:bodyDiv w:val="1"/>
      <w:marLeft w:val="0"/>
      <w:marRight w:val="0"/>
      <w:marTop w:val="0"/>
      <w:marBottom w:val="0"/>
      <w:divBdr>
        <w:top w:val="none" w:sz="0" w:space="0" w:color="auto"/>
        <w:left w:val="none" w:sz="0" w:space="0" w:color="auto"/>
        <w:bottom w:val="none" w:sz="0" w:space="0" w:color="auto"/>
        <w:right w:val="none" w:sz="0" w:space="0" w:color="auto"/>
      </w:divBdr>
    </w:div>
    <w:div w:id="1265579106">
      <w:bodyDiv w:val="1"/>
      <w:marLeft w:val="0"/>
      <w:marRight w:val="0"/>
      <w:marTop w:val="0"/>
      <w:marBottom w:val="0"/>
      <w:divBdr>
        <w:top w:val="none" w:sz="0" w:space="0" w:color="auto"/>
        <w:left w:val="none" w:sz="0" w:space="0" w:color="auto"/>
        <w:bottom w:val="none" w:sz="0" w:space="0" w:color="auto"/>
        <w:right w:val="none" w:sz="0" w:space="0" w:color="auto"/>
      </w:divBdr>
    </w:div>
    <w:div w:id="1265721507">
      <w:bodyDiv w:val="1"/>
      <w:marLeft w:val="0"/>
      <w:marRight w:val="0"/>
      <w:marTop w:val="0"/>
      <w:marBottom w:val="0"/>
      <w:divBdr>
        <w:top w:val="none" w:sz="0" w:space="0" w:color="auto"/>
        <w:left w:val="none" w:sz="0" w:space="0" w:color="auto"/>
        <w:bottom w:val="none" w:sz="0" w:space="0" w:color="auto"/>
        <w:right w:val="none" w:sz="0" w:space="0" w:color="auto"/>
      </w:divBdr>
    </w:div>
    <w:div w:id="1265727830">
      <w:bodyDiv w:val="1"/>
      <w:marLeft w:val="0"/>
      <w:marRight w:val="0"/>
      <w:marTop w:val="0"/>
      <w:marBottom w:val="0"/>
      <w:divBdr>
        <w:top w:val="none" w:sz="0" w:space="0" w:color="auto"/>
        <w:left w:val="none" w:sz="0" w:space="0" w:color="auto"/>
        <w:bottom w:val="none" w:sz="0" w:space="0" w:color="auto"/>
        <w:right w:val="none" w:sz="0" w:space="0" w:color="auto"/>
      </w:divBdr>
    </w:div>
    <w:div w:id="1265842614">
      <w:bodyDiv w:val="1"/>
      <w:marLeft w:val="0"/>
      <w:marRight w:val="0"/>
      <w:marTop w:val="0"/>
      <w:marBottom w:val="0"/>
      <w:divBdr>
        <w:top w:val="none" w:sz="0" w:space="0" w:color="auto"/>
        <w:left w:val="none" w:sz="0" w:space="0" w:color="auto"/>
        <w:bottom w:val="none" w:sz="0" w:space="0" w:color="auto"/>
        <w:right w:val="none" w:sz="0" w:space="0" w:color="auto"/>
      </w:divBdr>
    </w:div>
    <w:div w:id="1266036145">
      <w:bodyDiv w:val="1"/>
      <w:marLeft w:val="0"/>
      <w:marRight w:val="0"/>
      <w:marTop w:val="0"/>
      <w:marBottom w:val="0"/>
      <w:divBdr>
        <w:top w:val="none" w:sz="0" w:space="0" w:color="auto"/>
        <w:left w:val="none" w:sz="0" w:space="0" w:color="auto"/>
        <w:bottom w:val="none" w:sz="0" w:space="0" w:color="auto"/>
        <w:right w:val="none" w:sz="0" w:space="0" w:color="auto"/>
      </w:divBdr>
    </w:div>
    <w:div w:id="1266112969">
      <w:bodyDiv w:val="1"/>
      <w:marLeft w:val="0"/>
      <w:marRight w:val="0"/>
      <w:marTop w:val="0"/>
      <w:marBottom w:val="0"/>
      <w:divBdr>
        <w:top w:val="none" w:sz="0" w:space="0" w:color="auto"/>
        <w:left w:val="none" w:sz="0" w:space="0" w:color="auto"/>
        <w:bottom w:val="none" w:sz="0" w:space="0" w:color="auto"/>
        <w:right w:val="none" w:sz="0" w:space="0" w:color="auto"/>
      </w:divBdr>
    </w:div>
    <w:div w:id="1266115651">
      <w:bodyDiv w:val="1"/>
      <w:marLeft w:val="0"/>
      <w:marRight w:val="0"/>
      <w:marTop w:val="0"/>
      <w:marBottom w:val="0"/>
      <w:divBdr>
        <w:top w:val="none" w:sz="0" w:space="0" w:color="auto"/>
        <w:left w:val="none" w:sz="0" w:space="0" w:color="auto"/>
        <w:bottom w:val="none" w:sz="0" w:space="0" w:color="auto"/>
        <w:right w:val="none" w:sz="0" w:space="0" w:color="auto"/>
      </w:divBdr>
    </w:div>
    <w:div w:id="1266229684">
      <w:bodyDiv w:val="1"/>
      <w:marLeft w:val="0"/>
      <w:marRight w:val="0"/>
      <w:marTop w:val="0"/>
      <w:marBottom w:val="0"/>
      <w:divBdr>
        <w:top w:val="none" w:sz="0" w:space="0" w:color="auto"/>
        <w:left w:val="none" w:sz="0" w:space="0" w:color="auto"/>
        <w:bottom w:val="none" w:sz="0" w:space="0" w:color="auto"/>
        <w:right w:val="none" w:sz="0" w:space="0" w:color="auto"/>
      </w:divBdr>
    </w:div>
    <w:div w:id="1266306922">
      <w:bodyDiv w:val="1"/>
      <w:marLeft w:val="0"/>
      <w:marRight w:val="0"/>
      <w:marTop w:val="0"/>
      <w:marBottom w:val="0"/>
      <w:divBdr>
        <w:top w:val="none" w:sz="0" w:space="0" w:color="auto"/>
        <w:left w:val="none" w:sz="0" w:space="0" w:color="auto"/>
        <w:bottom w:val="none" w:sz="0" w:space="0" w:color="auto"/>
        <w:right w:val="none" w:sz="0" w:space="0" w:color="auto"/>
      </w:divBdr>
    </w:div>
    <w:div w:id="1266307290">
      <w:bodyDiv w:val="1"/>
      <w:marLeft w:val="0"/>
      <w:marRight w:val="0"/>
      <w:marTop w:val="0"/>
      <w:marBottom w:val="0"/>
      <w:divBdr>
        <w:top w:val="none" w:sz="0" w:space="0" w:color="auto"/>
        <w:left w:val="none" w:sz="0" w:space="0" w:color="auto"/>
        <w:bottom w:val="none" w:sz="0" w:space="0" w:color="auto"/>
        <w:right w:val="none" w:sz="0" w:space="0" w:color="auto"/>
      </w:divBdr>
    </w:div>
    <w:div w:id="1266353495">
      <w:bodyDiv w:val="1"/>
      <w:marLeft w:val="0"/>
      <w:marRight w:val="0"/>
      <w:marTop w:val="0"/>
      <w:marBottom w:val="0"/>
      <w:divBdr>
        <w:top w:val="none" w:sz="0" w:space="0" w:color="auto"/>
        <w:left w:val="none" w:sz="0" w:space="0" w:color="auto"/>
        <w:bottom w:val="none" w:sz="0" w:space="0" w:color="auto"/>
        <w:right w:val="none" w:sz="0" w:space="0" w:color="auto"/>
      </w:divBdr>
    </w:div>
    <w:div w:id="1266419960">
      <w:bodyDiv w:val="1"/>
      <w:marLeft w:val="0"/>
      <w:marRight w:val="0"/>
      <w:marTop w:val="0"/>
      <w:marBottom w:val="0"/>
      <w:divBdr>
        <w:top w:val="none" w:sz="0" w:space="0" w:color="auto"/>
        <w:left w:val="none" w:sz="0" w:space="0" w:color="auto"/>
        <w:bottom w:val="none" w:sz="0" w:space="0" w:color="auto"/>
        <w:right w:val="none" w:sz="0" w:space="0" w:color="auto"/>
      </w:divBdr>
    </w:div>
    <w:div w:id="1266421350">
      <w:bodyDiv w:val="1"/>
      <w:marLeft w:val="0"/>
      <w:marRight w:val="0"/>
      <w:marTop w:val="0"/>
      <w:marBottom w:val="0"/>
      <w:divBdr>
        <w:top w:val="none" w:sz="0" w:space="0" w:color="auto"/>
        <w:left w:val="none" w:sz="0" w:space="0" w:color="auto"/>
        <w:bottom w:val="none" w:sz="0" w:space="0" w:color="auto"/>
        <w:right w:val="none" w:sz="0" w:space="0" w:color="auto"/>
      </w:divBdr>
    </w:div>
    <w:div w:id="1266421554">
      <w:bodyDiv w:val="1"/>
      <w:marLeft w:val="0"/>
      <w:marRight w:val="0"/>
      <w:marTop w:val="0"/>
      <w:marBottom w:val="0"/>
      <w:divBdr>
        <w:top w:val="none" w:sz="0" w:space="0" w:color="auto"/>
        <w:left w:val="none" w:sz="0" w:space="0" w:color="auto"/>
        <w:bottom w:val="none" w:sz="0" w:space="0" w:color="auto"/>
        <w:right w:val="none" w:sz="0" w:space="0" w:color="auto"/>
      </w:divBdr>
    </w:div>
    <w:div w:id="1266428104">
      <w:bodyDiv w:val="1"/>
      <w:marLeft w:val="0"/>
      <w:marRight w:val="0"/>
      <w:marTop w:val="0"/>
      <w:marBottom w:val="0"/>
      <w:divBdr>
        <w:top w:val="none" w:sz="0" w:space="0" w:color="auto"/>
        <w:left w:val="none" w:sz="0" w:space="0" w:color="auto"/>
        <w:bottom w:val="none" w:sz="0" w:space="0" w:color="auto"/>
        <w:right w:val="none" w:sz="0" w:space="0" w:color="auto"/>
      </w:divBdr>
    </w:div>
    <w:div w:id="1266499472">
      <w:bodyDiv w:val="1"/>
      <w:marLeft w:val="0"/>
      <w:marRight w:val="0"/>
      <w:marTop w:val="0"/>
      <w:marBottom w:val="0"/>
      <w:divBdr>
        <w:top w:val="none" w:sz="0" w:space="0" w:color="auto"/>
        <w:left w:val="none" w:sz="0" w:space="0" w:color="auto"/>
        <w:bottom w:val="none" w:sz="0" w:space="0" w:color="auto"/>
        <w:right w:val="none" w:sz="0" w:space="0" w:color="auto"/>
      </w:divBdr>
    </w:div>
    <w:div w:id="1266578503">
      <w:bodyDiv w:val="1"/>
      <w:marLeft w:val="0"/>
      <w:marRight w:val="0"/>
      <w:marTop w:val="0"/>
      <w:marBottom w:val="0"/>
      <w:divBdr>
        <w:top w:val="none" w:sz="0" w:space="0" w:color="auto"/>
        <w:left w:val="none" w:sz="0" w:space="0" w:color="auto"/>
        <w:bottom w:val="none" w:sz="0" w:space="0" w:color="auto"/>
        <w:right w:val="none" w:sz="0" w:space="0" w:color="auto"/>
      </w:divBdr>
    </w:div>
    <w:div w:id="1266689644">
      <w:bodyDiv w:val="1"/>
      <w:marLeft w:val="0"/>
      <w:marRight w:val="0"/>
      <w:marTop w:val="0"/>
      <w:marBottom w:val="0"/>
      <w:divBdr>
        <w:top w:val="none" w:sz="0" w:space="0" w:color="auto"/>
        <w:left w:val="none" w:sz="0" w:space="0" w:color="auto"/>
        <w:bottom w:val="none" w:sz="0" w:space="0" w:color="auto"/>
        <w:right w:val="none" w:sz="0" w:space="0" w:color="auto"/>
      </w:divBdr>
    </w:div>
    <w:div w:id="1266689647">
      <w:bodyDiv w:val="1"/>
      <w:marLeft w:val="0"/>
      <w:marRight w:val="0"/>
      <w:marTop w:val="0"/>
      <w:marBottom w:val="0"/>
      <w:divBdr>
        <w:top w:val="none" w:sz="0" w:space="0" w:color="auto"/>
        <w:left w:val="none" w:sz="0" w:space="0" w:color="auto"/>
        <w:bottom w:val="none" w:sz="0" w:space="0" w:color="auto"/>
        <w:right w:val="none" w:sz="0" w:space="0" w:color="auto"/>
      </w:divBdr>
    </w:div>
    <w:div w:id="1266693223">
      <w:bodyDiv w:val="1"/>
      <w:marLeft w:val="0"/>
      <w:marRight w:val="0"/>
      <w:marTop w:val="0"/>
      <w:marBottom w:val="0"/>
      <w:divBdr>
        <w:top w:val="none" w:sz="0" w:space="0" w:color="auto"/>
        <w:left w:val="none" w:sz="0" w:space="0" w:color="auto"/>
        <w:bottom w:val="none" w:sz="0" w:space="0" w:color="auto"/>
        <w:right w:val="none" w:sz="0" w:space="0" w:color="auto"/>
      </w:divBdr>
    </w:div>
    <w:div w:id="1266814441">
      <w:bodyDiv w:val="1"/>
      <w:marLeft w:val="0"/>
      <w:marRight w:val="0"/>
      <w:marTop w:val="0"/>
      <w:marBottom w:val="0"/>
      <w:divBdr>
        <w:top w:val="none" w:sz="0" w:space="0" w:color="auto"/>
        <w:left w:val="none" w:sz="0" w:space="0" w:color="auto"/>
        <w:bottom w:val="none" w:sz="0" w:space="0" w:color="auto"/>
        <w:right w:val="none" w:sz="0" w:space="0" w:color="auto"/>
      </w:divBdr>
    </w:div>
    <w:div w:id="1266961598">
      <w:bodyDiv w:val="1"/>
      <w:marLeft w:val="0"/>
      <w:marRight w:val="0"/>
      <w:marTop w:val="0"/>
      <w:marBottom w:val="0"/>
      <w:divBdr>
        <w:top w:val="none" w:sz="0" w:space="0" w:color="auto"/>
        <w:left w:val="none" w:sz="0" w:space="0" w:color="auto"/>
        <w:bottom w:val="none" w:sz="0" w:space="0" w:color="auto"/>
        <w:right w:val="none" w:sz="0" w:space="0" w:color="auto"/>
      </w:divBdr>
    </w:div>
    <w:div w:id="1266963068">
      <w:bodyDiv w:val="1"/>
      <w:marLeft w:val="0"/>
      <w:marRight w:val="0"/>
      <w:marTop w:val="0"/>
      <w:marBottom w:val="0"/>
      <w:divBdr>
        <w:top w:val="none" w:sz="0" w:space="0" w:color="auto"/>
        <w:left w:val="none" w:sz="0" w:space="0" w:color="auto"/>
        <w:bottom w:val="none" w:sz="0" w:space="0" w:color="auto"/>
        <w:right w:val="none" w:sz="0" w:space="0" w:color="auto"/>
      </w:divBdr>
    </w:div>
    <w:div w:id="1267035678">
      <w:bodyDiv w:val="1"/>
      <w:marLeft w:val="0"/>
      <w:marRight w:val="0"/>
      <w:marTop w:val="0"/>
      <w:marBottom w:val="0"/>
      <w:divBdr>
        <w:top w:val="none" w:sz="0" w:space="0" w:color="auto"/>
        <w:left w:val="none" w:sz="0" w:space="0" w:color="auto"/>
        <w:bottom w:val="none" w:sz="0" w:space="0" w:color="auto"/>
        <w:right w:val="none" w:sz="0" w:space="0" w:color="auto"/>
      </w:divBdr>
    </w:div>
    <w:div w:id="1267037047">
      <w:bodyDiv w:val="1"/>
      <w:marLeft w:val="0"/>
      <w:marRight w:val="0"/>
      <w:marTop w:val="0"/>
      <w:marBottom w:val="0"/>
      <w:divBdr>
        <w:top w:val="none" w:sz="0" w:space="0" w:color="auto"/>
        <w:left w:val="none" w:sz="0" w:space="0" w:color="auto"/>
        <w:bottom w:val="none" w:sz="0" w:space="0" w:color="auto"/>
        <w:right w:val="none" w:sz="0" w:space="0" w:color="auto"/>
      </w:divBdr>
    </w:div>
    <w:div w:id="1267075655">
      <w:bodyDiv w:val="1"/>
      <w:marLeft w:val="0"/>
      <w:marRight w:val="0"/>
      <w:marTop w:val="0"/>
      <w:marBottom w:val="0"/>
      <w:divBdr>
        <w:top w:val="none" w:sz="0" w:space="0" w:color="auto"/>
        <w:left w:val="none" w:sz="0" w:space="0" w:color="auto"/>
        <w:bottom w:val="none" w:sz="0" w:space="0" w:color="auto"/>
        <w:right w:val="none" w:sz="0" w:space="0" w:color="auto"/>
      </w:divBdr>
    </w:div>
    <w:div w:id="1267080317">
      <w:bodyDiv w:val="1"/>
      <w:marLeft w:val="0"/>
      <w:marRight w:val="0"/>
      <w:marTop w:val="0"/>
      <w:marBottom w:val="0"/>
      <w:divBdr>
        <w:top w:val="none" w:sz="0" w:space="0" w:color="auto"/>
        <w:left w:val="none" w:sz="0" w:space="0" w:color="auto"/>
        <w:bottom w:val="none" w:sz="0" w:space="0" w:color="auto"/>
        <w:right w:val="none" w:sz="0" w:space="0" w:color="auto"/>
      </w:divBdr>
    </w:div>
    <w:div w:id="1267153019">
      <w:bodyDiv w:val="1"/>
      <w:marLeft w:val="0"/>
      <w:marRight w:val="0"/>
      <w:marTop w:val="0"/>
      <w:marBottom w:val="0"/>
      <w:divBdr>
        <w:top w:val="none" w:sz="0" w:space="0" w:color="auto"/>
        <w:left w:val="none" w:sz="0" w:space="0" w:color="auto"/>
        <w:bottom w:val="none" w:sz="0" w:space="0" w:color="auto"/>
        <w:right w:val="none" w:sz="0" w:space="0" w:color="auto"/>
      </w:divBdr>
    </w:div>
    <w:div w:id="1267227019">
      <w:bodyDiv w:val="1"/>
      <w:marLeft w:val="0"/>
      <w:marRight w:val="0"/>
      <w:marTop w:val="0"/>
      <w:marBottom w:val="0"/>
      <w:divBdr>
        <w:top w:val="none" w:sz="0" w:space="0" w:color="auto"/>
        <w:left w:val="none" w:sz="0" w:space="0" w:color="auto"/>
        <w:bottom w:val="none" w:sz="0" w:space="0" w:color="auto"/>
        <w:right w:val="none" w:sz="0" w:space="0" w:color="auto"/>
      </w:divBdr>
    </w:div>
    <w:div w:id="1267229130">
      <w:bodyDiv w:val="1"/>
      <w:marLeft w:val="0"/>
      <w:marRight w:val="0"/>
      <w:marTop w:val="0"/>
      <w:marBottom w:val="0"/>
      <w:divBdr>
        <w:top w:val="none" w:sz="0" w:space="0" w:color="auto"/>
        <w:left w:val="none" w:sz="0" w:space="0" w:color="auto"/>
        <w:bottom w:val="none" w:sz="0" w:space="0" w:color="auto"/>
        <w:right w:val="none" w:sz="0" w:space="0" w:color="auto"/>
      </w:divBdr>
    </w:div>
    <w:div w:id="1267232523">
      <w:bodyDiv w:val="1"/>
      <w:marLeft w:val="0"/>
      <w:marRight w:val="0"/>
      <w:marTop w:val="0"/>
      <w:marBottom w:val="0"/>
      <w:divBdr>
        <w:top w:val="none" w:sz="0" w:space="0" w:color="auto"/>
        <w:left w:val="none" w:sz="0" w:space="0" w:color="auto"/>
        <w:bottom w:val="none" w:sz="0" w:space="0" w:color="auto"/>
        <w:right w:val="none" w:sz="0" w:space="0" w:color="auto"/>
      </w:divBdr>
    </w:div>
    <w:div w:id="1267275628">
      <w:bodyDiv w:val="1"/>
      <w:marLeft w:val="0"/>
      <w:marRight w:val="0"/>
      <w:marTop w:val="0"/>
      <w:marBottom w:val="0"/>
      <w:divBdr>
        <w:top w:val="none" w:sz="0" w:space="0" w:color="auto"/>
        <w:left w:val="none" w:sz="0" w:space="0" w:color="auto"/>
        <w:bottom w:val="none" w:sz="0" w:space="0" w:color="auto"/>
        <w:right w:val="none" w:sz="0" w:space="0" w:color="auto"/>
      </w:divBdr>
    </w:div>
    <w:div w:id="1267424798">
      <w:bodyDiv w:val="1"/>
      <w:marLeft w:val="0"/>
      <w:marRight w:val="0"/>
      <w:marTop w:val="0"/>
      <w:marBottom w:val="0"/>
      <w:divBdr>
        <w:top w:val="none" w:sz="0" w:space="0" w:color="auto"/>
        <w:left w:val="none" w:sz="0" w:space="0" w:color="auto"/>
        <w:bottom w:val="none" w:sz="0" w:space="0" w:color="auto"/>
        <w:right w:val="none" w:sz="0" w:space="0" w:color="auto"/>
      </w:divBdr>
    </w:div>
    <w:div w:id="1267470211">
      <w:bodyDiv w:val="1"/>
      <w:marLeft w:val="0"/>
      <w:marRight w:val="0"/>
      <w:marTop w:val="0"/>
      <w:marBottom w:val="0"/>
      <w:divBdr>
        <w:top w:val="none" w:sz="0" w:space="0" w:color="auto"/>
        <w:left w:val="none" w:sz="0" w:space="0" w:color="auto"/>
        <w:bottom w:val="none" w:sz="0" w:space="0" w:color="auto"/>
        <w:right w:val="none" w:sz="0" w:space="0" w:color="auto"/>
      </w:divBdr>
    </w:div>
    <w:div w:id="1267494714">
      <w:bodyDiv w:val="1"/>
      <w:marLeft w:val="0"/>
      <w:marRight w:val="0"/>
      <w:marTop w:val="0"/>
      <w:marBottom w:val="0"/>
      <w:divBdr>
        <w:top w:val="none" w:sz="0" w:space="0" w:color="auto"/>
        <w:left w:val="none" w:sz="0" w:space="0" w:color="auto"/>
        <w:bottom w:val="none" w:sz="0" w:space="0" w:color="auto"/>
        <w:right w:val="none" w:sz="0" w:space="0" w:color="auto"/>
      </w:divBdr>
    </w:div>
    <w:div w:id="1267497301">
      <w:bodyDiv w:val="1"/>
      <w:marLeft w:val="0"/>
      <w:marRight w:val="0"/>
      <w:marTop w:val="0"/>
      <w:marBottom w:val="0"/>
      <w:divBdr>
        <w:top w:val="none" w:sz="0" w:space="0" w:color="auto"/>
        <w:left w:val="none" w:sz="0" w:space="0" w:color="auto"/>
        <w:bottom w:val="none" w:sz="0" w:space="0" w:color="auto"/>
        <w:right w:val="none" w:sz="0" w:space="0" w:color="auto"/>
      </w:divBdr>
    </w:div>
    <w:div w:id="1267615778">
      <w:bodyDiv w:val="1"/>
      <w:marLeft w:val="0"/>
      <w:marRight w:val="0"/>
      <w:marTop w:val="0"/>
      <w:marBottom w:val="0"/>
      <w:divBdr>
        <w:top w:val="none" w:sz="0" w:space="0" w:color="auto"/>
        <w:left w:val="none" w:sz="0" w:space="0" w:color="auto"/>
        <w:bottom w:val="none" w:sz="0" w:space="0" w:color="auto"/>
        <w:right w:val="none" w:sz="0" w:space="0" w:color="auto"/>
      </w:divBdr>
    </w:div>
    <w:div w:id="1267731812">
      <w:bodyDiv w:val="1"/>
      <w:marLeft w:val="0"/>
      <w:marRight w:val="0"/>
      <w:marTop w:val="0"/>
      <w:marBottom w:val="0"/>
      <w:divBdr>
        <w:top w:val="none" w:sz="0" w:space="0" w:color="auto"/>
        <w:left w:val="none" w:sz="0" w:space="0" w:color="auto"/>
        <w:bottom w:val="none" w:sz="0" w:space="0" w:color="auto"/>
        <w:right w:val="none" w:sz="0" w:space="0" w:color="auto"/>
      </w:divBdr>
    </w:div>
    <w:div w:id="1267887164">
      <w:bodyDiv w:val="1"/>
      <w:marLeft w:val="0"/>
      <w:marRight w:val="0"/>
      <w:marTop w:val="0"/>
      <w:marBottom w:val="0"/>
      <w:divBdr>
        <w:top w:val="none" w:sz="0" w:space="0" w:color="auto"/>
        <w:left w:val="none" w:sz="0" w:space="0" w:color="auto"/>
        <w:bottom w:val="none" w:sz="0" w:space="0" w:color="auto"/>
        <w:right w:val="none" w:sz="0" w:space="0" w:color="auto"/>
      </w:divBdr>
    </w:div>
    <w:div w:id="1267887720">
      <w:bodyDiv w:val="1"/>
      <w:marLeft w:val="0"/>
      <w:marRight w:val="0"/>
      <w:marTop w:val="0"/>
      <w:marBottom w:val="0"/>
      <w:divBdr>
        <w:top w:val="none" w:sz="0" w:space="0" w:color="auto"/>
        <w:left w:val="none" w:sz="0" w:space="0" w:color="auto"/>
        <w:bottom w:val="none" w:sz="0" w:space="0" w:color="auto"/>
        <w:right w:val="none" w:sz="0" w:space="0" w:color="auto"/>
      </w:divBdr>
    </w:div>
    <w:div w:id="1267925058">
      <w:bodyDiv w:val="1"/>
      <w:marLeft w:val="0"/>
      <w:marRight w:val="0"/>
      <w:marTop w:val="0"/>
      <w:marBottom w:val="0"/>
      <w:divBdr>
        <w:top w:val="none" w:sz="0" w:space="0" w:color="auto"/>
        <w:left w:val="none" w:sz="0" w:space="0" w:color="auto"/>
        <w:bottom w:val="none" w:sz="0" w:space="0" w:color="auto"/>
        <w:right w:val="none" w:sz="0" w:space="0" w:color="auto"/>
      </w:divBdr>
    </w:div>
    <w:div w:id="1267998467">
      <w:bodyDiv w:val="1"/>
      <w:marLeft w:val="0"/>
      <w:marRight w:val="0"/>
      <w:marTop w:val="0"/>
      <w:marBottom w:val="0"/>
      <w:divBdr>
        <w:top w:val="none" w:sz="0" w:space="0" w:color="auto"/>
        <w:left w:val="none" w:sz="0" w:space="0" w:color="auto"/>
        <w:bottom w:val="none" w:sz="0" w:space="0" w:color="auto"/>
        <w:right w:val="none" w:sz="0" w:space="0" w:color="auto"/>
      </w:divBdr>
    </w:div>
    <w:div w:id="1268000578">
      <w:bodyDiv w:val="1"/>
      <w:marLeft w:val="0"/>
      <w:marRight w:val="0"/>
      <w:marTop w:val="0"/>
      <w:marBottom w:val="0"/>
      <w:divBdr>
        <w:top w:val="none" w:sz="0" w:space="0" w:color="auto"/>
        <w:left w:val="none" w:sz="0" w:space="0" w:color="auto"/>
        <w:bottom w:val="none" w:sz="0" w:space="0" w:color="auto"/>
        <w:right w:val="none" w:sz="0" w:space="0" w:color="auto"/>
      </w:divBdr>
    </w:div>
    <w:div w:id="1268081209">
      <w:bodyDiv w:val="1"/>
      <w:marLeft w:val="0"/>
      <w:marRight w:val="0"/>
      <w:marTop w:val="0"/>
      <w:marBottom w:val="0"/>
      <w:divBdr>
        <w:top w:val="none" w:sz="0" w:space="0" w:color="auto"/>
        <w:left w:val="none" w:sz="0" w:space="0" w:color="auto"/>
        <w:bottom w:val="none" w:sz="0" w:space="0" w:color="auto"/>
        <w:right w:val="none" w:sz="0" w:space="0" w:color="auto"/>
      </w:divBdr>
    </w:div>
    <w:div w:id="1268195493">
      <w:bodyDiv w:val="1"/>
      <w:marLeft w:val="0"/>
      <w:marRight w:val="0"/>
      <w:marTop w:val="0"/>
      <w:marBottom w:val="0"/>
      <w:divBdr>
        <w:top w:val="none" w:sz="0" w:space="0" w:color="auto"/>
        <w:left w:val="none" w:sz="0" w:space="0" w:color="auto"/>
        <w:bottom w:val="none" w:sz="0" w:space="0" w:color="auto"/>
        <w:right w:val="none" w:sz="0" w:space="0" w:color="auto"/>
      </w:divBdr>
    </w:div>
    <w:div w:id="1268272049">
      <w:bodyDiv w:val="1"/>
      <w:marLeft w:val="0"/>
      <w:marRight w:val="0"/>
      <w:marTop w:val="0"/>
      <w:marBottom w:val="0"/>
      <w:divBdr>
        <w:top w:val="none" w:sz="0" w:space="0" w:color="auto"/>
        <w:left w:val="none" w:sz="0" w:space="0" w:color="auto"/>
        <w:bottom w:val="none" w:sz="0" w:space="0" w:color="auto"/>
        <w:right w:val="none" w:sz="0" w:space="0" w:color="auto"/>
      </w:divBdr>
    </w:div>
    <w:div w:id="1268272787">
      <w:bodyDiv w:val="1"/>
      <w:marLeft w:val="0"/>
      <w:marRight w:val="0"/>
      <w:marTop w:val="0"/>
      <w:marBottom w:val="0"/>
      <w:divBdr>
        <w:top w:val="none" w:sz="0" w:space="0" w:color="auto"/>
        <w:left w:val="none" w:sz="0" w:space="0" w:color="auto"/>
        <w:bottom w:val="none" w:sz="0" w:space="0" w:color="auto"/>
        <w:right w:val="none" w:sz="0" w:space="0" w:color="auto"/>
      </w:divBdr>
    </w:div>
    <w:div w:id="1268580880">
      <w:bodyDiv w:val="1"/>
      <w:marLeft w:val="0"/>
      <w:marRight w:val="0"/>
      <w:marTop w:val="0"/>
      <w:marBottom w:val="0"/>
      <w:divBdr>
        <w:top w:val="none" w:sz="0" w:space="0" w:color="auto"/>
        <w:left w:val="none" w:sz="0" w:space="0" w:color="auto"/>
        <w:bottom w:val="none" w:sz="0" w:space="0" w:color="auto"/>
        <w:right w:val="none" w:sz="0" w:space="0" w:color="auto"/>
      </w:divBdr>
    </w:div>
    <w:div w:id="1268584165">
      <w:bodyDiv w:val="1"/>
      <w:marLeft w:val="0"/>
      <w:marRight w:val="0"/>
      <w:marTop w:val="0"/>
      <w:marBottom w:val="0"/>
      <w:divBdr>
        <w:top w:val="none" w:sz="0" w:space="0" w:color="auto"/>
        <w:left w:val="none" w:sz="0" w:space="0" w:color="auto"/>
        <w:bottom w:val="none" w:sz="0" w:space="0" w:color="auto"/>
        <w:right w:val="none" w:sz="0" w:space="0" w:color="auto"/>
      </w:divBdr>
    </w:div>
    <w:div w:id="1268732896">
      <w:bodyDiv w:val="1"/>
      <w:marLeft w:val="0"/>
      <w:marRight w:val="0"/>
      <w:marTop w:val="0"/>
      <w:marBottom w:val="0"/>
      <w:divBdr>
        <w:top w:val="none" w:sz="0" w:space="0" w:color="auto"/>
        <w:left w:val="none" w:sz="0" w:space="0" w:color="auto"/>
        <w:bottom w:val="none" w:sz="0" w:space="0" w:color="auto"/>
        <w:right w:val="none" w:sz="0" w:space="0" w:color="auto"/>
      </w:divBdr>
    </w:div>
    <w:div w:id="1268809667">
      <w:bodyDiv w:val="1"/>
      <w:marLeft w:val="0"/>
      <w:marRight w:val="0"/>
      <w:marTop w:val="0"/>
      <w:marBottom w:val="0"/>
      <w:divBdr>
        <w:top w:val="none" w:sz="0" w:space="0" w:color="auto"/>
        <w:left w:val="none" w:sz="0" w:space="0" w:color="auto"/>
        <w:bottom w:val="none" w:sz="0" w:space="0" w:color="auto"/>
        <w:right w:val="none" w:sz="0" w:space="0" w:color="auto"/>
      </w:divBdr>
    </w:div>
    <w:div w:id="1268848015">
      <w:bodyDiv w:val="1"/>
      <w:marLeft w:val="0"/>
      <w:marRight w:val="0"/>
      <w:marTop w:val="0"/>
      <w:marBottom w:val="0"/>
      <w:divBdr>
        <w:top w:val="none" w:sz="0" w:space="0" w:color="auto"/>
        <w:left w:val="none" w:sz="0" w:space="0" w:color="auto"/>
        <w:bottom w:val="none" w:sz="0" w:space="0" w:color="auto"/>
        <w:right w:val="none" w:sz="0" w:space="0" w:color="auto"/>
      </w:divBdr>
    </w:div>
    <w:div w:id="1268922550">
      <w:bodyDiv w:val="1"/>
      <w:marLeft w:val="0"/>
      <w:marRight w:val="0"/>
      <w:marTop w:val="0"/>
      <w:marBottom w:val="0"/>
      <w:divBdr>
        <w:top w:val="none" w:sz="0" w:space="0" w:color="auto"/>
        <w:left w:val="none" w:sz="0" w:space="0" w:color="auto"/>
        <w:bottom w:val="none" w:sz="0" w:space="0" w:color="auto"/>
        <w:right w:val="none" w:sz="0" w:space="0" w:color="auto"/>
      </w:divBdr>
    </w:div>
    <w:div w:id="1269005851">
      <w:bodyDiv w:val="1"/>
      <w:marLeft w:val="0"/>
      <w:marRight w:val="0"/>
      <w:marTop w:val="0"/>
      <w:marBottom w:val="0"/>
      <w:divBdr>
        <w:top w:val="none" w:sz="0" w:space="0" w:color="auto"/>
        <w:left w:val="none" w:sz="0" w:space="0" w:color="auto"/>
        <w:bottom w:val="none" w:sz="0" w:space="0" w:color="auto"/>
        <w:right w:val="none" w:sz="0" w:space="0" w:color="auto"/>
      </w:divBdr>
    </w:div>
    <w:div w:id="1269043772">
      <w:bodyDiv w:val="1"/>
      <w:marLeft w:val="0"/>
      <w:marRight w:val="0"/>
      <w:marTop w:val="0"/>
      <w:marBottom w:val="0"/>
      <w:divBdr>
        <w:top w:val="none" w:sz="0" w:space="0" w:color="auto"/>
        <w:left w:val="none" w:sz="0" w:space="0" w:color="auto"/>
        <w:bottom w:val="none" w:sz="0" w:space="0" w:color="auto"/>
        <w:right w:val="none" w:sz="0" w:space="0" w:color="auto"/>
      </w:divBdr>
    </w:div>
    <w:div w:id="1269049675">
      <w:bodyDiv w:val="1"/>
      <w:marLeft w:val="0"/>
      <w:marRight w:val="0"/>
      <w:marTop w:val="0"/>
      <w:marBottom w:val="0"/>
      <w:divBdr>
        <w:top w:val="none" w:sz="0" w:space="0" w:color="auto"/>
        <w:left w:val="none" w:sz="0" w:space="0" w:color="auto"/>
        <w:bottom w:val="none" w:sz="0" w:space="0" w:color="auto"/>
        <w:right w:val="none" w:sz="0" w:space="0" w:color="auto"/>
      </w:divBdr>
    </w:div>
    <w:div w:id="1269238944">
      <w:bodyDiv w:val="1"/>
      <w:marLeft w:val="0"/>
      <w:marRight w:val="0"/>
      <w:marTop w:val="0"/>
      <w:marBottom w:val="0"/>
      <w:divBdr>
        <w:top w:val="none" w:sz="0" w:space="0" w:color="auto"/>
        <w:left w:val="none" w:sz="0" w:space="0" w:color="auto"/>
        <w:bottom w:val="none" w:sz="0" w:space="0" w:color="auto"/>
        <w:right w:val="none" w:sz="0" w:space="0" w:color="auto"/>
      </w:divBdr>
    </w:div>
    <w:div w:id="1269240240">
      <w:bodyDiv w:val="1"/>
      <w:marLeft w:val="0"/>
      <w:marRight w:val="0"/>
      <w:marTop w:val="0"/>
      <w:marBottom w:val="0"/>
      <w:divBdr>
        <w:top w:val="none" w:sz="0" w:space="0" w:color="auto"/>
        <w:left w:val="none" w:sz="0" w:space="0" w:color="auto"/>
        <w:bottom w:val="none" w:sz="0" w:space="0" w:color="auto"/>
        <w:right w:val="none" w:sz="0" w:space="0" w:color="auto"/>
      </w:divBdr>
    </w:div>
    <w:div w:id="1269385612">
      <w:bodyDiv w:val="1"/>
      <w:marLeft w:val="0"/>
      <w:marRight w:val="0"/>
      <w:marTop w:val="0"/>
      <w:marBottom w:val="0"/>
      <w:divBdr>
        <w:top w:val="none" w:sz="0" w:space="0" w:color="auto"/>
        <w:left w:val="none" w:sz="0" w:space="0" w:color="auto"/>
        <w:bottom w:val="none" w:sz="0" w:space="0" w:color="auto"/>
        <w:right w:val="none" w:sz="0" w:space="0" w:color="auto"/>
      </w:divBdr>
    </w:div>
    <w:div w:id="1269388639">
      <w:bodyDiv w:val="1"/>
      <w:marLeft w:val="0"/>
      <w:marRight w:val="0"/>
      <w:marTop w:val="0"/>
      <w:marBottom w:val="0"/>
      <w:divBdr>
        <w:top w:val="none" w:sz="0" w:space="0" w:color="auto"/>
        <w:left w:val="none" w:sz="0" w:space="0" w:color="auto"/>
        <w:bottom w:val="none" w:sz="0" w:space="0" w:color="auto"/>
        <w:right w:val="none" w:sz="0" w:space="0" w:color="auto"/>
      </w:divBdr>
    </w:div>
    <w:div w:id="1269459851">
      <w:bodyDiv w:val="1"/>
      <w:marLeft w:val="0"/>
      <w:marRight w:val="0"/>
      <w:marTop w:val="0"/>
      <w:marBottom w:val="0"/>
      <w:divBdr>
        <w:top w:val="none" w:sz="0" w:space="0" w:color="auto"/>
        <w:left w:val="none" w:sz="0" w:space="0" w:color="auto"/>
        <w:bottom w:val="none" w:sz="0" w:space="0" w:color="auto"/>
        <w:right w:val="none" w:sz="0" w:space="0" w:color="auto"/>
      </w:divBdr>
    </w:div>
    <w:div w:id="1269461021">
      <w:bodyDiv w:val="1"/>
      <w:marLeft w:val="0"/>
      <w:marRight w:val="0"/>
      <w:marTop w:val="0"/>
      <w:marBottom w:val="0"/>
      <w:divBdr>
        <w:top w:val="none" w:sz="0" w:space="0" w:color="auto"/>
        <w:left w:val="none" w:sz="0" w:space="0" w:color="auto"/>
        <w:bottom w:val="none" w:sz="0" w:space="0" w:color="auto"/>
        <w:right w:val="none" w:sz="0" w:space="0" w:color="auto"/>
      </w:divBdr>
    </w:div>
    <w:div w:id="1269462437">
      <w:bodyDiv w:val="1"/>
      <w:marLeft w:val="0"/>
      <w:marRight w:val="0"/>
      <w:marTop w:val="0"/>
      <w:marBottom w:val="0"/>
      <w:divBdr>
        <w:top w:val="none" w:sz="0" w:space="0" w:color="auto"/>
        <w:left w:val="none" w:sz="0" w:space="0" w:color="auto"/>
        <w:bottom w:val="none" w:sz="0" w:space="0" w:color="auto"/>
        <w:right w:val="none" w:sz="0" w:space="0" w:color="auto"/>
      </w:divBdr>
    </w:div>
    <w:div w:id="1269698316">
      <w:bodyDiv w:val="1"/>
      <w:marLeft w:val="0"/>
      <w:marRight w:val="0"/>
      <w:marTop w:val="0"/>
      <w:marBottom w:val="0"/>
      <w:divBdr>
        <w:top w:val="none" w:sz="0" w:space="0" w:color="auto"/>
        <w:left w:val="none" w:sz="0" w:space="0" w:color="auto"/>
        <w:bottom w:val="none" w:sz="0" w:space="0" w:color="auto"/>
        <w:right w:val="none" w:sz="0" w:space="0" w:color="auto"/>
      </w:divBdr>
    </w:div>
    <w:div w:id="1269772487">
      <w:bodyDiv w:val="1"/>
      <w:marLeft w:val="0"/>
      <w:marRight w:val="0"/>
      <w:marTop w:val="0"/>
      <w:marBottom w:val="0"/>
      <w:divBdr>
        <w:top w:val="none" w:sz="0" w:space="0" w:color="auto"/>
        <w:left w:val="none" w:sz="0" w:space="0" w:color="auto"/>
        <w:bottom w:val="none" w:sz="0" w:space="0" w:color="auto"/>
        <w:right w:val="none" w:sz="0" w:space="0" w:color="auto"/>
      </w:divBdr>
    </w:div>
    <w:div w:id="1269777413">
      <w:bodyDiv w:val="1"/>
      <w:marLeft w:val="0"/>
      <w:marRight w:val="0"/>
      <w:marTop w:val="0"/>
      <w:marBottom w:val="0"/>
      <w:divBdr>
        <w:top w:val="none" w:sz="0" w:space="0" w:color="auto"/>
        <w:left w:val="none" w:sz="0" w:space="0" w:color="auto"/>
        <w:bottom w:val="none" w:sz="0" w:space="0" w:color="auto"/>
        <w:right w:val="none" w:sz="0" w:space="0" w:color="auto"/>
      </w:divBdr>
    </w:div>
    <w:div w:id="1269846197">
      <w:bodyDiv w:val="1"/>
      <w:marLeft w:val="0"/>
      <w:marRight w:val="0"/>
      <w:marTop w:val="0"/>
      <w:marBottom w:val="0"/>
      <w:divBdr>
        <w:top w:val="none" w:sz="0" w:space="0" w:color="auto"/>
        <w:left w:val="none" w:sz="0" w:space="0" w:color="auto"/>
        <w:bottom w:val="none" w:sz="0" w:space="0" w:color="auto"/>
        <w:right w:val="none" w:sz="0" w:space="0" w:color="auto"/>
      </w:divBdr>
    </w:div>
    <w:div w:id="1269896352">
      <w:bodyDiv w:val="1"/>
      <w:marLeft w:val="0"/>
      <w:marRight w:val="0"/>
      <w:marTop w:val="0"/>
      <w:marBottom w:val="0"/>
      <w:divBdr>
        <w:top w:val="none" w:sz="0" w:space="0" w:color="auto"/>
        <w:left w:val="none" w:sz="0" w:space="0" w:color="auto"/>
        <w:bottom w:val="none" w:sz="0" w:space="0" w:color="auto"/>
        <w:right w:val="none" w:sz="0" w:space="0" w:color="auto"/>
      </w:divBdr>
    </w:div>
    <w:div w:id="1269965017">
      <w:bodyDiv w:val="1"/>
      <w:marLeft w:val="0"/>
      <w:marRight w:val="0"/>
      <w:marTop w:val="0"/>
      <w:marBottom w:val="0"/>
      <w:divBdr>
        <w:top w:val="none" w:sz="0" w:space="0" w:color="auto"/>
        <w:left w:val="none" w:sz="0" w:space="0" w:color="auto"/>
        <w:bottom w:val="none" w:sz="0" w:space="0" w:color="auto"/>
        <w:right w:val="none" w:sz="0" w:space="0" w:color="auto"/>
      </w:divBdr>
    </w:div>
    <w:div w:id="1269969831">
      <w:bodyDiv w:val="1"/>
      <w:marLeft w:val="0"/>
      <w:marRight w:val="0"/>
      <w:marTop w:val="0"/>
      <w:marBottom w:val="0"/>
      <w:divBdr>
        <w:top w:val="none" w:sz="0" w:space="0" w:color="auto"/>
        <w:left w:val="none" w:sz="0" w:space="0" w:color="auto"/>
        <w:bottom w:val="none" w:sz="0" w:space="0" w:color="auto"/>
        <w:right w:val="none" w:sz="0" w:space="0" w:color="auto"/>
      </w:divBdr>
    </w:div>
    <w:div w:id="1270234980">
      <w:bodyDiv w:val="1"/>
      <w:marLeft w:val="0"/>
      <w:marRight w:val="0"/>
      <w:marTop w:val="0"/>
      <w:marBottom w:val="0"/>
      <w:divBdr>
        <w:top w:val="none" w:sz="0" w:space="0" w:color="auto"/>
        <w:left w:val="none" w:sz="0" w:space="0" w:color="auto"/>
        <w:bottom w:val="none" w:sz="0" w:space="0" w:color="auto"/>
        <w:right w:val="none" w:sz="0" w:space="0" w:color="auto"/>
      </w:divBdr>
    </w:div>
    <w:div w:id="1270236744">
      <w:bodyDiv w:val="1"/>
      <w:marLeft w:val="0"/>
      <w:marRight w:val="0"/>
      <w:marTop w:val="0"/>
      <w:marBottom w:val="0"/>
      <w:divBdr>
        <w:top w:val="none" w:sz="0" w:space="0" w:color="auto"/>
        <w:left w:val="none" w:sz="0" w:space="0" w:color="auto"/>
        <w:bottom w:val="none" w:sz="0" w:space="0" w:color="auto"/>
        <w:right w:val="none" w:sz="0" w:space="0" w:color="auto"/>
      </w:divBdr>
    </w:div>
    <w:div w:id="1270352179">
      <w:bodyDiv w:val="1"/>
      <w:marLeft w:val="0"/>
      <w:marRight w:val="0"/>
      <w:marTop w:val="0"/>
      <w:marBottom w:val="0"/>
      <w:divBdr>
        <w:top w:val="none" w:sz="0" w:space="0" w:color="auto"/>
        <w:left w:val="none" w:sz="0" w:space="0" w:color="auto"/>
        <w:bottom w:val="none" w:sz="0" w:space="0" w:color="auto"/>
        <w:right w:val="none" w:sz="0" w:space="0" w:color="auto"/>
      </w:divBdr>
    </w:div>
    <w:div w:id="1270359627">
      <w:bodyDiv w:val="1"/>
      <w:marLeft w:val="0"/>
      <w:marRight w:val="0"/>
      <w:marTop w:val="0"/>
      <w:marBottom w:val="0"/>
      <w:divBdr>
        <w:top w:val="none" w:sz="0" w:space="0" w:color="auto"/>
        <w:left w:val="none" w:sz="0" w:space="0" w:color="auto"/>
        <w:bottom w:val="none" w:sz="0" w:space="0" w:color="auto"/>
        <w:right w:val="none" w:sz="0" w:space="0" w:color="auto"/>
      </w:divBdr>
    </w:div>
    <w:div w:id="1270427752">
      <w:bodyDiv w:val="1"/>
      <w:marLeft w:val="0"/>
      <w:marRight w:val="0"/>
      <w:marTop w:val="0"/>
      <w:marBottom w:val="0"/>
      <w:divBdr>
        <w:top w:val="none" w:sz="0" w:space="0" w:color="auto"/>
        <w:left w:val="none" w:sz="0" w:space="0" w:color="auto"/>
        <w:bottom w:val="none" w:sz="0" w:space="0" w:color="auto"/>
        <w:right w:val="none" w:sz="0" w:space="0" w:color="auto"/>
      </w:divBdr>
    </w:div>
    <w:div w:id="1270429167">
      <w:bodyDiv w:val="1"/>
      <w:marLeft w:val="0"/>
      <w:marRight w:val="0"/>
      <w:marTop w:val="0"/>
      <w:marBottom w:val="0"/>
      <w:divBdr>
        <w:top w:val="none" w:sz="0" w:space="0" w:color="auto"/>
        <w:left w:val="none" w:sz="0" w:space="0" w:color="auto"/>
        <w:bottom w:val="none" w:sz="0" w:space="0" w:color="auto"/>
        <w:right w:val="none" w:sz="0" w:space="0" w:color="auto"/>
      </w:divBdr>
    </w:div>
    <w:div w:id="1270550402">
      <w:bodyDiv w:val="1"/>
      <w:marLeft w:val="0"/>
      <w:marRight w:val="0"/>
      <w:marTop w:val="0"/>
      <w:marBottom w:val="0"/>
      <w:divBdr>
        <w:top w:val="none" w:sz="0" w:space="0" w:color="auto"/>
        <w:left w:val="none" w:sz="0" w:space="0" w:color="auto"/>
        <w:bottom w:val="none" w:sz="0" w:space="0" w:color="auto"/>
        <w:right w:val="none" w:sz="0" w:space="0" w:color="auto"/>
      </w:divBdr>
    </w:div>
    <w:div w:id="1270625799">
      <w:bodyDiv w:val="1"/>
      <w:marLeft w:val="0"/>
      <w:marRight w:val="0"/>
      <w:marTop w:val="0"/>
      <w:marBottom w:val="0"/>
      <w:divBdr>
        <w:top w:val="none" w:sz="0" w:space="0" w:color="auto"/>
        <w:left w:val="none" w:sz="0" w:space="0" w:color="auto"/>
        <w:bottom w:val="none" w:sz="0" w:space="0" w:color="auto"/>
        <w:right w:val="none" w:sz="0" w:space="0" w:color="auto"/>
      </w:divBdr>
    </w:div>
    <w:div w:id="1270629220">
      <w:bodyDiv w:val="1"/>
      <w:marLeft w:val="0"/>
      <w:marRight w:val="0"/>
      <w:marTop w:val="0"/>
      <w:marBottom w:val="0"/>
      <w:divBdr>
        <w:top w:val="none" w:sz="0" w:space="0" w:color="auto"/>
        <w:left w:val="none" w:sz="0" w:space="0" w:color="auto"/>
        <w:bottom w:val="none" w:sz="0" w:space="0" w:color="auto"/>
        <w:right w:val="none" w:sz="0" w:space="0" w:color="auto"/>
      </w:divBdr>
    </w:div>
    <w:div w:id="1270703921">
      <w:bodyDiv w:val="1"/>
      <w:marLeft w:val="0"/>
      <w:marRight w:val="0"/>
      <w:marTop w:val="0"/>
      <w:marBottom w:val="0"/>
      <w:divBdr>
        <w:top w:val="none" w:sz="0" w:space="0" w:color="auto"/>
        <w:left w:val="none" w:sz="0" w:space="0" w:color="auto"/>
        <w:bottom w:val="none" w:sz="0" w:space="0" w:color="auto"/>
        <w:right w:val="none" w:sz="0" w:space="0" w:color="auto"/>
      </w:divBdr>
    </w:div>
    <w:div w:id="1270771081">
      <w:bodyDiv w:val="1"/>
      <w:marLeft w:val="0"/>
      <w:marRight w:val="0"/>
      <w:marTop w:val="0"/>
      <w:marBottom w:val="0"/>
      <w:divBdr>
        <w:top w:val="none" w:sz="0" w:space="0" w:color="auto"/>
        <w:left w:val="none" w:sz="0" w:space="0" w:color="auto"/>
        <w:bottom w:val="none" w:sz="0" w:space="0" w:color="auto"/>
        <w:right w:val="none" w:sz="0" w:space="0" w:color="auto"/>
      </w:divBdr>
    </w:div>
    <w:div w:id="1270815599">
      <w:bodyDiv w:val="1"/>
      <w:marLeft w:val="0"/>
      <w:marRight w:val="0"/>
      <w:marTop w:val="0"/>
      <w:marBottom w:val="0"/>
      <w:divBdr>
        <w:top w:val="none" w:sz="0" w:space="0" w:color="auto"/>
        <w:left w:val="none" w:sz="0" w:space="0" w:color="auto"/>
        <w:bottom w:val="none" w:sz="0" w:space="0" w:color="auto"/>
        <w:right w:val="none" w:sz="0" w:space="0" w:color="auto"/>
      </w:divBdr>
    </w:div>
    <w:div w:id="1270894713">
      <w:bodyDiv w:val="1"/>
      <w:marLeft w:val="0"/>
      <w:marRight w:val="0"/>
      <w:marTop w:val="0"/>
      <w:marBottom w:val="0"/>
      <w:divBdr>
        <w:top w:val="none" w:sz="0" w:space="0" w:color="auto"/>
        <w:left w:val="none" w:sz="0" w:space="0" w:color="auto"/>
        <w:bottom w:val="none" w:sz="0" w:space="0" w:color="auto"/>
        <w:right w:val="none" w:sz="0" w:space="0" w:color="auto"/>
      </w:divBdr>
    </w:div>
    <w:div w:id="1270896802">
      <w:bodyDiv w:val="1"/>
      <w:marLeft w:val="0"/>
      <w:marRight w:val="0"/>
      <w:marTop w:val="0"/>
      <w:marBottom w:val="0"/>
      <w:divBdr>
        <w:top w:val="none" w:sz="0" w:space="0" w:color="auto"/>
        <w:left w:val="none" w:sz="0" w:space="0" w:color="auto"/>
        <w:bottom w:val="none" w:sz="0" w:space="0" w:color="auto"/>
        <w:right w:val="none" w:sz="0" w:space="0" w:color="auto"/>
      </w:divBdr>
    </w:div>
    <w:div w:id="1270965953">
      <w:bodyDiv w:val="1"/>
      <w:marLeft w:val="0"/>
      <w:marRight w:val="0"/>
      <w:marTop w:val="0"/>
      <w:marBottom w:val="0"/>
      <w:divBdr>
        <w:top w:val="none" w:sz="0" w:space="0" w:color="auto"/>
        <w:left w:val="none" w:sz="0" w:space="0" w:color="auto"/>
        <w:bottom w:val="none" w:sz="0" w:space="0" w:color="auto"/>
        <w:right w:val="none" w:sz="0" w:space="0" w:color="auto"/>
      </w:divBdr>
    </w:div>
    <w:div w:id="1270968181">
      <w:bodyDiv w:val="1"/>
      <w:marLeft w:val="0"/>
      <w:marRight w:val="0"/>
      <w:marTop w:val="0"/>
      <w:marBottom w:val="0"/>
      <w:divBdr>
        <w:top w:val="none" w:sz="0" w:space="0" w:color="auto"/>
        <w:left w:val="none" w:sz="0" w:space="0" w:color="auto"/>
        <w:bottom w:val="none" w:sz="0" w:space="0" w:color="auto"/>
        <w:right w:val="none" w:sz="0" w:space="0" w:color="auto"/>
      </w:divBdr>
    </w:div>
    <w:div w:id="1271013742">
      <w:bodyDiv w:val="1"/>
      <w:marLeft w:val="0"/>
      <w:marRight w:val="0"/>
      <w:marTop w:val="0"/>
      <w:marBottom w:val="0"/>
      <w:divBdr>
        <w:top w:val="none" w:sz="0" w:space="0" w:color="auto"/>
        <w:left w:val="none" w:sz="0" w:space="0" w:color="auto"/>
        <w:bottom w:val="none" w:sz="0" w:space="0" w:color="auto"/>
        <w:right w:val="none" w:sz="0" w:space="0" w:color="auto"/>
      </w:divBdr>
    </w:div>
    <w:div w:id="1271090154">
      <w:bodyDiv w:val="1"/>
      <w:marLeft w:val="0"/>
      <w:marRight w:val="0"/>
      <w:marTop w:val="0"/>
      <w:marBottom w:val="0"/>
      <w:divBdr>
        <w:top w:val="none" w:sz="0" w:space="0" w:color="auto"/>
        <w:left w:val="none" w:sz="0" w:space="0" w:color="auto"/>
        <w:bottom w:val="none" w:sz="0" w:space="0" w:color="auto"/>
        <w:right w:val="none" w:sz="0" w:space="0" w:color="auto"/>
      </w:divBdr>
    </w:div>
    <w:div w:id="1271162280">
      <w:bodyDiv w:val="1"/>
      <w:marLeft w:val="0"/>
      <w:marRight w:val="0"/>
      <w:marTop w:val="0"/>
      <w:marBottom w:val="0"/>
      <w:divBdr>
        <w:top w:val="none" w:sz="0" w:space="0" w:color="auto"/>
        <w:left w:val="none" w:sz="0" w:space="0" w:color="auto"/>
        <w:bottom w:val="none" w:sz="0" w:space="0" w:color="auto"/>
        <w:right w:val="none" w:sz="0" w:space="0" w:color="auto"/>
      </w:divBdr>
    </w:div>
    <w:div w:id="1271203859">
      <w:bodyDiv w:val="1"/>
      <w:marLeft w:val="0"/>
      <w:marRight w:val="0"/>
      <w:marTop w:val="0"/>
      <w:marBottom w:val="0"/>
      <w:divBdr>
        <w:top w:val="none" w:sz="0" w:space="0" w:color="auto"/>
        <w:left w:val="none" w:sz="0" w:space="0" w:color="auto"/>
        <w:bottom w:val="none" w:sz="0" w:space="0" w:color="auto"/>
        <w:right w:val="none" w:sz="0" w:space="0" w:color="auto"/>
      </w:divBdr>
    </w:div>
    <w:div w:id="1271204903">
      <w:bodyDiv w:val="1"/>
      <w:marLeft w:val="0"/>
      <w:marRight w:val="0"/>
      <w:marTop w:val="0"/>
      <w:marBottom w:val="0"/>
      <w:divBdr>
        <w:top w:val="none" w:sz="0" w:space="0" w:color="auto"/>
        <w:left w:val="none" w:sz="0" w:space="0" w:color="auto"/>
        <w:bottom w:val="none" w:sz="0" w:space="0" w:color="auto"/>
        <w:right w:val="none" w:sz="0" w:space="0" w:color="auto"/>
      </w:divBdr>
    </w:div>
    <w:div w:id="1271353876">
      <w:bodyDiv w:val="1"/>
      <w:marLeft w:val="0"/>
      <w:marRight w:val="0"/>
      <w:marTop w:val="0"/>
      <w:marBottom w:val="0"/>
      <w:divBdr>
        <w:top w:val="none" w:sz="0" w:space="0" w:color="auto"/>
        <w:left w:val="none" w:sz="0" w:space="0" w:color="auto"/>
        <w:bottom w:val="none" w:sz="0" w:space="0" w:color="auto"/>
        <w:right w:val="none" w:sz="0" w:space="0" w:color="auto"/>
      </w:divBdr>
    </w:div>
    <w:div w:id="1271471384">
      <w:bodyDiv w:val="1"/>
      <w:marLeft w:val="0"/>
      <w:marRight w:val="0"/>
      <w:marTop w:val="0"/>
      <w:marBottom w:val="0"/>
      <w:divBdr>
        <w:top w:val="none" w:sz="0" w:space="0" w:color="auto"/>
        <w:left w:val="none" w:sz="0" w:space="0" w:color="auto"/>
        <w:bottom w:val="none" w:sz="0" w:space="0" w:color="auto"/>
        <w:right w:val="none" w:sz="0" w:space="0" w:color="auto"/>
      </w:divBdr>
    </w:div>
    <w:div w:id="1271472891">
      <w:bodyDiv w:val="1"/>
      <w:marLeft w:val="0"/>
      <w:marRight w:val="0"/>
      <w:marTop w:val="0"/>
      <w:marBottom w:val="0"/>
      <w:divBdr>
        <w:top w:val="none" w:sz="0" w:space="0" w:color="auto"/>
        <w:left w:val="none" w:sz="0" w:space="0" w:color="auto"/>
        <w:bottom w:val="none" w:sz="0" w:space="0" w:color="auto"/>
        <w:right w:val="none" w:sz="0" w:space="0" w:color="auto"/>
      </w:divBdr>
    </w:div>
    <w:div w:id="1271475475">
      <w:bodyDiv w:val="1"/>
      <w:marLeft w:val="0"/>
      <w:marRight w:val="0"/>
      <w:marTop w:val="0"/>
      <w:marBottom w:val="0"/>
      <w:divBdr>
        <w:top w:val="none" w:sz="0" w:space="0" w:color="auto"/>
        <w:left w:val="none" w:sz="0" w:space="0" w:color="auto"/>
        <w:bottom w:val="none" w:sz="0" w:space="0" w:color="auto"/>
        <w:right w:val="none" w:sz="0" w:space="0" w:color="auto"/>
      </w:divBdr>
    </w:div>
    <w:div w:id="1271553113">
      <w:bodyDiv w:val="1"/>
      <w:marLeft w:val="0"/>
      <w:marRight w:val="0"/>
      <w:marTop w:val="0"/>
      <w:marBottom w:val="0"/>
      <w:divBdr>
        <w:top w:val="none" w:sz="0" w:space="0" w:color="auto"/>
        <w:left w:val="none" w:sz="0" w:space="0" w:color="auto"/>
        <w:bottom w:val="none" w:sz="0" w:space="0" w:color="auto"/>
        <w:right w:val="none" w:sz="0" w:space="0" w:color="auto"/>
      </w:divBdr>
    </w:div>
    <w:div w:id="1271622733">
      <w:bodyDiv w:val="1"/>
      <w:marLeft w:val="0"/>
      <w:marRight w:val="0"/>
      <w:marTop w:val="0"/>
      <w:marBottom w:val="0"/>
      <w:divBdr>
        <w:top w:val="none" w:sz="0" w:space="0" w:color="auto"/>
        <w:left w:val="none" w:sz="0" w:space="0" w:color="auto"/>
        <w:bottom w:val="none" w:sz="0" w:space="0" w:color="auto"/>
        <w:right w:val="none" w:sz="0" w:space="0" w:color="auto"/>
      </w:divBdr>
    </w:div>
    <w:div w:id="1271662247">
      <w:bodyDiv w:val="1"/>
      <w:marLeft w:val="0"/>
      <w:marRight w:val="0"/>
      <w:marTop w:val="0"/>
      <w:marBottom w:val="0"/>
      <w:divBdr>
        <w:top w:val="none" w:sz="0" w:space="0" w:color="auto"/>
        <w:left w:val="none" w:sz="0" w:space="0" w:color="auto"/>
        <w:bottom w:val="none" w:sz="0" w:space="0" w:color="auto"/>
        <w:right w:val="none" w:sz="0" w:space="0" w:color="auto"/>
      </w:divBdr>
    </w:div>
    <w:div w:id="1271740575">
      <w:bodyDiv w:val="1"/>
      <w:marLeft w:val="0"/>
      <w:marRight w:val="0"/>
      <w:marTop w:val="0"/>
      <w:marBottom w:val="0"/>
      <w:divBdr>
        <w:top w:val="none" w:sz="0" w:space="0" w:color="auto"/>
        <w:left w:val="none" w:sz="0" w:space="0" w:color="auto"/>
        <w:bottom w:val="none" w:sz="0" w:space="0" w:color="auto"/>
        <w:right w:val="none" w:sz="0" w:space="0" w:color="auto"/>
      </w:divBdr>
    </w:div>
    <w:div w:id="1271743156">
      <w:bodyDiv w:val="1"/>
      <w:marLeft w:val="0"/>
      <w:marRight w:val="0"/>
      <w:marTop w:val="0"/>
      <w:marBottom w:val="0"/>
      <w:divBdr>
        <w:top w:val="none" w:sz="0" w:space="0" w:color="auto"/>
        <w:left w:val="none" w:sz="0" w:space="0" w:color="auto"/>
        <w:bottom w:val="none" w:sz="0" w:space="0" w:color="auto"/>
        <w:right w:val="none" w:sz="0" w:space="0" w:color="auto"/>
      </w:divBdr>
    </w:div>
    <w:div w:id="1271743332">
      <w:bodyDiv w:val="1"/>
      <w:marLeft w:val="0"/>
      <w:marRight w:val="0"/>
      <w:marTop w:val="0"/>
      <w:marBottom w:val="0"/>
      <w:divBdr>
        <w:top w:val="none" w:sz="0" w:space="0" w:color="auto"/>
        <w:left w:val="none" w:sz="0" w:space="0" w:color="auto"/>
        <w:bottom w:val="none" w:sz="0" w:space="0" w:color="auto"/>
        <w:right w:val="none" w:sz="0" w:space="0" w:color="auto"/>
      </w:divBdr>
    </w:div>
    <w:div w:id="1271813066">
      <w:bodyDiv w:val="1"/>
      <w:marLeft w:val="0"/>
      <w:marRight w:val="0"/>
      <w:marTop w:val="0"/>
      <w:marBottom w:val="0"/>
      <w:divBdr>
        <w:top w:val="none" w:sz="0" w:space="0" w:color="auto"/>
        <w:left w:val="none" w:sz="0" w:space="0" w:color="auto"/>
        <w:bottom w:val="none" w:sz="0" w:space="0" w:color="auto"/>
        <w:right w:val="none" w:sz="0" w:space="0" w:color="auto"/>
      </w:divBdr>
    </w:div>
    <w:div w:id="1271864189">
      <w:bodyDiv w:val="1"/>
      <w:marLeft w:val="0"/>
      <w:marRight w:val="0"/>
      <w:marTop w:val="0"/>
      <w:marBottom w:val="0"/>
      <w:divBdr>
        <w:top w:val="none" w:sz="0" w:space="0" w:color="auto"/>
        <w:left w:val="none" w:sz="0" w:space="0" w:color="auto"/>
        <w:bottom w:val="none" w:sz="0" w:space="0" w:color="auto"/>
        <w:right w:val="none" w:sz="0" w:space="0" w:color="auto"/>
      </w:divBdr>
    </w:div>
    <w:div w:id="1271888275">
      <w:bodyDiv w:val="1"/>
      <w:marLeft w:val="0"/>
      <w:marRight w:val="0"/>
      <w:marTop w:val="0"/>
      <w:marBottom w:val="0"/>
      <w:divBdr>
        <w:top w:val="none" w:sz="0" w:space="0" w:color="auto"/>
        <w:left w:val="none" w:sz="0" w:space="0" w:color="auto"/>
        <w:bottom w:val="none" w:sz="0" w:space="0" w:color="auto"/>
        <w:right w:val="none" w:sz="0" w:space="0" w:color="auto"/>
      </w:divBdr>
    </w:div>
    <w:div w:id="1272080948">
      <w:bodyDiv w:val="1"/>
      <w:marLeft w:val="0"/>
      <w:marRight w:val="0"/>
      <w:marTop w:val="0"/>
      <w:marBottom w:val="0"/>
      <w:divBdr>
        <w:top w:val="none" w:sz="0" w:space="0" w:color="auto"/>
        <w:left w:val="none" w:sz="0" w:space="0" w:color="auto"/>
        <w:bottom w:val="none" w:sz="0" w:space="0" w:color="auto"/>
        <w:right w:val="none" w:sz="0" w:space="0" w:color="auto"/>
      </w:divBdr>
    </w:div>
    <w:div w:id="1272127019">
      <w:bodyDiv w:val="1"/>
      <w:marLeft w:val="0"/>
      <w:marRight w:val="0"/>
      <w:marTop w:val="0"/>
      <w:marBottom w:val="0"/>
      <w:divBdr>
        <w:top w:val="none" w:sz="0" w:space="0" w:color="auto"/>
        <w:left w:val="none" w:sz="0" w:space="0" w:color="auto"/>
        <w:bottom w:val="none" w:sz="0" w:space="0" w:color="auto"/>
        <w:right w:val="none" w:sz="0" w:space="0" w:color="auto"/>
      </w:divBdr>
    </w:div>
    <w:div w:id="1272130416">
      <w:bodyDiv w:val="1"/>
      <w:marLeft w:val="0"/>
      <w:marRight w:val="0"/>
      <w:marTop w:val="0"/>
      <w:marBottom w:val="0"/>
      <w:divBdr>
        <w:top w:val="none" w:sz="0" w:space="0" w:color="auto"/>
        <w:left w:val="none" w:sz="0" w:space="0" w:color="auto"/>
        <w:bottom w:val="none" w:sz="0" w:space="0" w:color="auto"/>
        <w:right w:val="none" w:sz="0" w:space="0" w:color="auto"/>
      </w:divBdr>
    </w:div>
    <w:div w:id="1272274203">
      <w:bodyDiv w:val="1"/>
      <w:marLeft w:val="0"/>
      <w:marRight w:val="0"/>
      <w:marTop w:val="0"/>
      <w:marBottom w:val="0"/>
      <w:divBdr>
        <w:top w:val="none" w:sz="0" w:space="0" w:color="auto"/>
        <w:left w:val="none" w:sz="0" w:space="0" w:color="auto"/>
        <w:bottom w:val="none" w:sz="0" w:space="0" w:color="auto"/>
        <w:right w:val="none" w:sz="0" w:space="0" w:color="auto"/>
      </w:divBdr>
    </w:div>
    <w:div w:id="1272322631">
      <w:bodyDiv w:val="1"/>
      <w:marLeft w:val="0"/>
      <w:marRight w:val="0"/>
      <w:marTop w:val="0"/>
      <w:marBottom w:val="0"/>
      <w:divBdr>
        <w:top w:val="none" w:sz="0" w:space="0" w:color="auto"/>
        <w:left w:val="none" w:sz="0" w:space="0" w:color="auto"/>
        <w:bottom w:val="none" w:sz="0" w:space="0" w:color="auto"/>
        <w:right w:val="none" w:sz="0" w:space="0" w:color="auto"/>
      </w:divBdr>
    </w:div>
    <w:div w:id="1272324548">
      <w:bodyDiv w:val="1"/>
      <w:marLeft w:val="0"/>
      <w:marRight w:val="0"/>
      <w:marTop w:val="0"/>
      <w:marBottom w:val="0"/>
      <w:divBdr>
        <w:top w:val="none" w:sz="0" w:space="0" w:color="auto"/>
        <w:left w:val="none" w:sz="0" w:space="0" w:color="auto"/>
        <w:bottom w:val="none" w:sz="0" w:space="0" w:color="auto"/>
        <w:right w:val="none" w:sz="0" w:space="0" w:color="auto"/>
      </w:divBdr>
    </w:div>
    <w:div w:id="1272396019">
      <w:bodyDiv w:val="1"/>
      <w:marLeft w:val="0"/>
      <w:marRight w:val="0"/>
      <w:marTop w:val="0"/>
      <w:marBottom w:val="0"/>
      <w:divBdr>
        <w:top w:val="none" w:sz="0" w:space="0" w:color="auto"/>
        <w:left w:val="none" w:sz="0" w:space="0" w:color="auto"/>
        <w:bottom w:val="none" w:sz="0" w:space="0" w:color="auto"/>
        <w:right w:val="none" w:sz="0" w:space="0" w:color="auto"/>
      </w:divBdr>
    </w:div>
    <w:div w:id="1272397002">
      <w:bodyDiv w:val="1"/>
      <w:marLeft w:val="0"/>
      <w:marRight w:val="0"/>
      <w:marTop w:val="0"/>
      <w:marBottom w:val="0"/>
      <w:divBdr>
        <w:top w:val="none" w:sz="0" w:space="0" w:color="auto"/>
        <w:left w:val="none" w:sz="0" w:space="0" w:color="auto"/>
        <w:bottom w:val="none" w:sz="0" w:space="0" w:color="auto"/>
        <w:right w:val="none" w:sz="0" w:space="0" w:color="auto"/>
      </w:divBdr>
    </w:div>
    <w:div w:id="1272669330">
      <w:bodyDiv w:val="1"/>
      <w:marLeft w:val="0"/>
      <w:marRight w:val="0"/>
      <w:marTop w:val="0"/>
      <w:marBottom w:val="0"/>
      <w:divBdr>
        <w:top w:val="none" w:sz="0" w:space="0" w:color="auto"/>
        <w:left w:val="none" w:sz="0" w:space="0" w:color="auto"/>
        <w:bottom w:val="none" w:sz="0" w:space="0" w:color="auto"/>
        <w:right w:val="none" w:sz="0" w:space="0" w:color="auto"/>
      </w:divBdr>
    </w:div>
    <w:div w:id="1272780331">
      <w:bodyDiv w:val="1"/>
      <w:marLeft w:val="0"/>
      <w:marRight w:val="0"/>
      <w:marTop w:val="0"/>
      <w:marBottom w:val="0"/>
      <w:divBdr>
        <w:top w:val="none" w:sz="0" w:space="0" w:color="auto"/>
        <w:left w:val="none" w:sz="0" w:space="0" w:color="auto"/>
        <w:bottom w:val="none" w:sz="0" w:space="0" w:color="auto"/>
        <w:right w:val="none" w:sz="0" w:space="0" w:color="auto"/>
      </w:divBdr>
    </w:div>
    <w:div w:id="1272857182">
      <w:bodyDiv w:val="1"/>
      <w:marLeft w:val="0"/>
      <w:marRight w:val="0"/>
      <w:marTop w:val="0"/>
      <w:marBottom w:val="0"/>
      <w:divBdr>
        <w:top w:val="none" w:sz="0" w:space="0" w:color="auto"/>
        <w:left w:val="none" w:sz="0" w:space="0" w:color="auto"/>
        <w:bottom w:val="none" w:sz="0" w:space="0" w:color="auto"/>
        <w:right w:val="none" w:sz="0" w:space="0" w:color="auto"/>
      </w:divBdr>
    </w:div>
    <w:div w:id="1272858138">
      <w:bodyDiv w:val="1"/>
      <w:marLeft w:val="0"/>
      <w:marRight w:val="0"/>
      <w:marTop w:val="0"/>
      <w:marBottom w:val="0"/>
      <w:divBdr>
        <w:top w:val="none" w:sz="0" w:space="0" w:color="auto"/>
        <w:left w:val="none" w:sz="0" w:space="0" w:color="auto"/>
        <w:bottom w:val="none" w:sz="0" w:space="0" w:color="auto"/>
        <w:right w:val="none" w:sz="0" w:space="0" w:color="auto"/>
      </w:divBdr>
    </w:div>
    <w:div w:id="1272859293">
      <w:bodyDiv w:val="1"/>
      <w:marLeft w:val="0"/>
      <w:marRight w:val="0"/>
      <w:marTop w:val="0"/>
      <w:marBottom w:val="0"/>
      <w:divBdr>
        <w:top w:val="none" w:sz="0" w:space="0" w:color="auto"/>
        <w:left w:val="none" w:sz="0" w:space="0" w:color="auto"/>
        <w:bottom w:val="none" w:sz="0" w:space="0" w:color="auto"/>
        <w:right w:val="none" w:sz="0" w:space="0" w:color="auto"/>
      </w:divBdr>
    </w:div>
    <w:div w:id="1273049021">
      <w:bodyDiv w:val="1"/>
      <w:marLeft w:val="0"/>
      <w:marRight w:val="0"/>
      <w:marTop w:val="0"/>
      <w:marBottom w:val="0"/>
      <w:divBdr>
        <w:top w:val="none" w:sz="0" w:space="0" w:color="auto"/>
        <w:left w:val="none" w:sz="0" w:space="0" w:color="auto"/>
        <w:bottom w:val="none" w:sz="0" w:space="0" w:color="auto"/>
        <w:right w:val="none" w:sz="0" w:space="0" w:color="auto"/>
      </w:divBdr>
    </w:div>
    <w:div w:id="1273052567">
      <w:bodyDiv w:val="1"/>
      <w:marLeft w:val="0"/>
      <w:marRight w:val="0"/>
      <w:marTop w:val="0"/>
      <w:marBottom w:val="0"/>
      <w:divBdr>
        <w:top w:val="none" w:sz="0" w:space="0" w:color="auto"/>
        <w:left w:val="none" w:sz="0" w:space="0" w:color="auto"/>
        <w:bottom w:val="none" w:sz="0" w:space="0" w:color="auto"/>
        <w:right w:val="none" w:sz="0" w:space="0" w:color="auto"/>
      </w:divBdr>
    </w:div>
    <w:div w:id="1273053772">
      <w:bodyDiv w:val="1"/>
      <w:marLeft w:val="0"/>
      <w:marRight w:val="0"/>
      <w:marTop w:val="0"/>
      <w:marBottom w:val="0"/>
      <w:divBdr>
        <w:top w:val="none" w:sz="0" w:space="0" w:color="auto"/>
        <w:left w:val="none" w:sz="0" w:space="0" w:color="auto"/>
        <w:bottom w:val="none" w:sz="0" w:space="0" w:color="auto"/>
        <w:right w:val="none" w:sz="0" w:space="0" w:color="auto"/>
      </w:divBdr>
    </w:div>
    <w:div w:id="1273172232">
      <w:bodyDiv w:val="1"/>
      <w:marLeft w:val="0"/>
      <w:marRight w:val="0"/>
      <w:marTop w:val="0"/>
      <w:marBottom w:val="0"/>
      <w:divBdr>
        <w:top w:val="none" w:sz="0" w:space="0" w:color="auto"/>
        <w:left w:val="none" w:sz="0" w:space="0" w:color="auto"/>
        <w:bottom w:val="none" w:sz="0" w:space="0" w:color="auto"/>
        <w:right w:val="none" w:sz="0" w:space="0" w:color="auto"/>
      </w:divBdr>
    </w:div>
    <w:div w:id="1273321874">
      <w:bodyDiv w:val="1"/>
      <w:marLeft w:val="0"/>
      <w:marRight w:val="0"/>
      <w:marTop w:val="0"/>
      <w:marBottom w:val="0"/>
      <w:divBdr>
        <w:top w:val="none" w:sz="0" w:space="0" w:color="auto"/>
        <w:left w:val="none" w:sz="0" w:space="0" w:color="auto"/>
        <w:bottom w:val="none" w:sz="0" w:space="0" w:color="auto"/>
        <w:right w:val="none" w:sz="0" w:space="0" w:color="auto"/>
      </w:divBdr>
    </w:div>
    <w:div w:id="1273391711">
      <w:bodyDiv w:val="1"/>
      <w:marLeft w:val="0"/>
      <w:marRight w:val="0"/>
      <w:marTop w:val="0"/>
      <w:marBottom w:val="0"/>
      <w:divBdr>
        <w:top w:val="none" w:sz="0" w:space="0" w:color="auto"/>
        <w:left w:val="none" w:sz="0" w:space="0" w:color="auto"/>
        <w:bottom w:val="none" w:sz="0" w:space="0" w:color="auto"/>
        <w:right w:val="none" w:sz="0" w:space="0" w:color="auto"/>
      </w:divBdr>
    </w:div>
    <w:div w:id="1273394928">
      <w:bodyDiv w:val="1"/>
      <w:marLeft w:val="0"/>
      <w:marRight w:val="0"/>
      <w:marTop w:val="0"/>
      <w:marBottom w:val="0"/>
      <w:divBdr>
        <w:top w:val="none" w:sz="0" w:space="0" w:color="auto"/>
        <w:left w:val="none" w:sz="0" w:space="0" w:color="auto"/>
        <w:bottom w:val="none" w:sz="0" w:space="0" w:color="auto"/>
        <w:right w:val="none" w:sz="0" w:space="0" w:color="auto"/>
      </w:divBdr>
    </w:div>
    <w:div w:id="1273629414">
      <w:bodyDiv w:val="1"/>
      <w:marLeft w:val="0"/>
      <w:marRight w:val="0"/>
      <w:marTop w:val="0"/>
      <w:marBottom w:val="0"/>
      <w:divBdr>
        <w:top w:val="none" w:sz="0" w:space="0" w:color="auto"/>
        <w:left w:val="none" w:sz="0" w:space="0" w:color="auto"/>
        <w:bottom w:val="none" w:sz="0" w:space="0" w:color="auto"/>
        <w:right w:val="none" w:sz="0" w:space="0" w:color="auto"/>
      </w:divBdr>
    </w:div>
    <w:div w:id="1273635829">
      <w:bodyDiv w:val="1"/>
      <w:marLeft w:val="0"/>
      <w:marRight w:val="0"/>
      <w:marTop w:val="0"/>
      <w:marBottom w:val="0"/>
      <w:divBdr>
        <w:top w:val="none" w:sz="0" w:space="0" w:color="auto"/>
        <w:left w:val="none" w:sz="0" w:space="0" w:color="auto"/>
        <w:bottom w:val="none" w:sz="0" w:space="0" w:color="auto"/>
        <w:right w:val="none" w:sz="0" w:space="0" w:color="auto"/>
      </w:divBdr>
    </w:div>
    <w:div w:id="1273636438">
      <w:bodyDiv w:val="1"/>
      <w:marLeft w:val="0"/>
      <w:marRight w:val="0"/>
      <w:marTop w:val="0"/>
      <w:marBottom w:val="0"/>
      <w:divBdr>
        <w:top w:val="none" w:sz="0" w:space="0" w:color="auto"/>
        <w:left w:val="none" w:sz="0" w:space="0" w:color="auto"/>
        <w:bottom w:val="none" w:sz="0" w:space="0" w:color="auto"/>
        <w:right w:val="none" w:sz="0" w:space="0" w:color="auto"/>
      </w:divBdr>
    </w:div>
    <w:div w:id="1273707192">
      <w:bodyDiv w:val="1"/>
      <w:marLeft w:val="0"/>
      <w:marRight w:val="0"/>
      <w:marTop w:val="0"/>
      <w:marBottom w:val="0"/>
      <w:divBdr>
        <w:top w:val="none" w:sz="0" w:space="0" w:color="auto"/>
        <w:left w:val="none" w:sz="0" w:space="0" w:color="auto"/>
        <w:bottom w:val="none" w:sz="0" w:space="0" w:color="auto"/>
        <w:right w:val="none" w:sz="0" w:space="0" w:color="auto"/>
      </w:divBdr>
    </w:div>
    <w:div w:id="1273785013">
      <w:bodyDiv w:val="1"/>
      <w:marLeft w:val="0"/>
      <w:marRight w:val="0"/>
      <w:marTop w:val="0"/>
      <w:marBottom w:val="0"/>
      <w:divBdr>
        <w:top w:val="none" w:sz="0" w:space="0" w:color="auto"/>
        <w:left w:val="none" w:sz="0" w:space="0" w:color="auto"/>
        <w:bottom w:val="none" w:sz="0" w:space="0" w:color="auto"/>
        <w:right w:val="none" w:sz="0" w:space="0" w:color="auto"/>
      </w:divBdr>
    </w:div>
    <w:div w:id="1273785112">
      <w:bodyDiv w:val="1"/>
      <w:marLeft w:val="0"/>
      <w:marRight w:val="0"/>
      <w:marTop w:val="0"/>
      <w:marBottom w:val="0"/>
      <w:divBdr>
        <w:top w:val="none" w:sz="0" w:space="0" w:color="auto"/>
        <w:left w:val="none" w:sz="0" w:space="0" w:color="auto"/>
        <w:bottom w:val="none" w:sz="0" w:space="0" w:color="auto"/>
        <w:right w:val="none" w:sz="0" w:space="0" w:color="auto"/>
      </w:divBdr>
    </w:div>
    <w:div w:id="1273900677">
      <w:bodyDiv w:val="1"/>
      <w:marLeft w:val="0"/>
      <w:marRight w:val="0"/>
      <w:marTop w:val="0"/>
      <w:marBottom w:val="0"/>
      <w:divBdr>
        <w:top w:val="none" w:sz="0" w:space="0" w:color="auto"/>
        <w:left w:val="none" w:sz="0" w:space="0" w:color="auto"/>
        <w:bottom w:val="none" w:sz="0" w:space="0" w:color="auto"/>
        <w:right w:val="none" w:sz="0" w:space="0" w:color="auto"/>
      </w:divBdr>
    </w:div>
    <w:div w:id="1274051411">
      <w:bodyDiv w:val="1"/>
      <w:marLeft w:val="0"/>
      <w:marRight w:val="0"/>
      <w:marTop w:val="0"/>
      <w:marBottom w:val="0"/>
      <w:divBdr>
        <w:top w:val="none" w:sz="0" w:space="0" w:color="auto"/>
        <w:left w:val="none" w:sz="0" w:space="0" w:color="auto"/>
        <w:bottom w:val="none" w:sz="0" w:space="0" w:color="auto"/>
        <w:right w:val="none" w:sz="0" w:space="0" w:color="auto"/>
      </w:divBdr>
    </w:div>
    <w:div w:id="1274090328">
      <w:bodyDiv w:val="1"/>
      <w:marLeft w:val="0"/>
      <w:marRight w:val="0"/>
      <w:marTop w:val="0"/>
      <w:marBottom w:val="0"/>
      <w:divBdr>
        <w:top w:val="none" w:sz="0" w:space="0" w:color="auto"/>
        <w:left w:val="none" w:sz="0" w:space="0" w:color="auto"/>
        <w:bottom w:val="none" w:sz="0" w:space="0" w:color="auto"/>
        <w:right w:val="none" w:sz="0" w:space="0" w:color="auto"/>
      </w:divBdr>
    </w:div>
    <w:div w:id="1274246460">
      <w:bodyDiv w:val="1"/>
      <w:marLeft w:val="0"/>
      <w:marRight w:val="0"/>
      <w:marTop w:val="0"/>
      <w:marBottom w:val="0"/>
      <w:divBdr>
        <w:top w:val="none" w:sz="0" w:space="0" w:color="auto"/>
        <w:left w:val="none" w:sz="0" w:space="0" w:color="auto"/>
        <w:bottom w:val="none" w:sz="0" w:space="0" w:color="auto"/>
        <w:right w:val="none" w:sz="0" w:space="0" w:color="auto"/>
      </w:divBdr>
    </w:div>
    <w:div w:id="1274285701">
      <w:bodyDiv w:val="1"/>
      <w:marLeft w:val="0"/>
      <w:marRight w:val="0"/>
      <w:marTop w:val="0"/>
      <w:marBottom w:val="0"/>
      <w:divBdr>
        <w:top w:val="none" w:sz="0" w:space="0" w:color="auto"/>
        <w:left w:val="none" w:sz="0" w:space="0" w:color="auto"/>
        <w:bottom w:val="none" w:sz="0" w:space="0" w:color="auto"/>
        <w:right w:val="none" w:sz="0" w:space="0" w:color="auto"/>
      </w:divBdr>
    </w:div>
    <w:div w:id="1274675257">
      <w:bodyDiv w:val="1"/>
      <w:marLeft w:val="0"/>
      <w:marRight w:val="0"/>
      <w:marTop w:val="0"/>
      <w:marBottom w:val="0"/>
      <w:divBdr>
        <w:top w:val="none" w:sz="0" w:space="0" w:color="auto"/>
        <w:left w:val="none" w:sz="0" w:space="0" w:color="auto"/>
        <w:bottom w:val="none" w:sz="0" w:space="0" w:color="auto"/>
        <w:right w:val="none" w:sz="0" w:space="0" w:color="auto"/>
      </w:divBdr>
    </w:div>
    <w:div w:id="1274751058">
      <w:bodyDiv w:val="1"/>
      <w:marLeft w:val="0"/>
      <w:marRight w:val="0"/>
      <w:marTop w:val="0"/>
      <w:marBottom w:val="0"/>
      <w:divBdr>
        <w:top w:val="none" w:sz="0" w:space="0" w:color="auto"/>
        <w:left w:val="none" w:sz="0" w:space="0" w:color="auto"/>
        <w:bottom w:val="none" w:sz="0" w:space="0" w:color="auto"/>
        <w:right w:val="none" w:sz="0" w:space="0" w:color="auto"/>
      </w:divBdr>
    </w:div>
    <w:div w:id="1274751759">
      <w:bodyDiv w:val="1"/>
      <w:marLeft w:val="0"/>
      <w:marRight w:val="0"/>
      <w:marTop w:val="0"/>
      <w:marBottom w:val="0"/>
      <w:divBdr>
        <w:top w:val="none" w:sz="0" w:space="0" w:color="auto"/>
        <w:left w:val="none" w:sz="0" w:space="0" w:color="auto"/>
        <w:bottom w:val="none" w:sz="0" w:space="0" w:color="auto"/>
        <w:right w:val="none" w:sz="0" w:space="0" w:color="auto"/>
      </w:divBdr>
    </w:div>
    <w:div w:id="1274826119">
      <w:bodyDiv w:val="1"/>
      <w:marLeft w:val="0"/>
      <w:marRight w:val="0"/>
      <w:marTop w:val="0"/>
      <w:marBottom w:val="0"/>
      <w:divBdr>
        <w:top w:val="none" w:sz="0" w:space="0" w:color="auto"/>
        <w:left w:val="none" w:sz="0" w:space="0" w:color="auto"/>
        <w:bottom w:val="none" w:sz="0" w:space="0" w:color="auto"/>
        <w:right w:val="none" w:sz="0" w:space="0" w:color="auto"/>
      </w:divBdr>
    </w:div>
    <w:div w:id="1274827375">
      <w:bodyDiv w:val="1"/>
      <w:marLeft w:val="0"/>
      <w:marRight w:val="0"/>
      <w:marTop w:val="0"/>
      <w:marBottom w:val="0"/>
      <w:divBdr>
        <w:top w:val="none" w:sz="0" w:space="0" w:color="auto"/>
        <w:left w:val="none" w:sz="0" w:space="0" w:color="auto"/>
        <w:bottom w:val="none" w:sz="0" w:space="0" w:color="auto"/>
        <w:right w:val="none" w:sz="0" w:space="0" w:color="auto"/>
      </w:divBdr>
    </w:div>
    <w:div w:id="1274901016">
      <w:bodyDiv w:val="1"/>
      <w:marLeft w:val="0"/>
      <w:marRight w:val="0"/>
      <w:marTop w:val="0"/>
      <w:marBottom w:val="0"/>
      <w:divBdr>
        <w:top w:val="none" w:sz="0" w:space="0" w:color="auto"/>
        <w:left w:val="none" w:sz="0" w:space="0" w:color="auto"/>
        <w:bottom w:val="none" w:sz="0" w:space="0" w:color="auto"/>
        <w:right w:val="none" w:sz="0" w:space="0" w:color="auto"/>
      </w:divBdr>
    </w:div>
    <w:div w:id="1274938631">
      <w:bodyDiv w:val="1"/>
      <w:marLeft w:val="0"/>
      <w:marRight w:val="0"/>
      <w:marTop w:val="0"/>
      <w:marBottom w:val="0"/>
      <w:divBdr>
        <w:top w:val="none" w:sz="0" w:space="0" w:color="auto"/>
        <w:left w:val="none" w:sz="0" w:space="0" w:color="auto"/>
        <w:bottom w:val="none" w:sz="0" w:space="0" w:color="auto"/>
        <w:right w:val="none" w:sz="0" w:space="0" w:color="auto"/>
      </w:divBdr>
    </w:div>
    <w:div w:id="1274946330">
      <w:bodyDiv w:val="1"/>
      <w:marLeft w:val="0"/>
      <w:marRight w:val="0"/>
      <w:marTop w:val="0"/>
      <w:marBottom w:val="0"/>
      <w:divBdr>
        <w:top w:val="none" w:sz="0" w:space="0" w:color="auto"/>
        <w:left w:val="none" w:sz="0" w:space="0" w:color="auto"/>
        <w:bottom w:val="none" w:sz="0" w:space="0" w:color="auto"/>
        <w:right w:val="none" w:sz="0" w:space="0" w:color="auto"/>
      </w:divBdr>
    </w:div>
    <w:div w:id="1275020033">
      <w:bodyDiv w:val="1"/>
      <w:marLeft w:val="0"/>
      <w:marRight w:val="0"/>
      <w:marTop w:val="0"/>
      <w:marBottom w:val="0"/>
      <w:divBdr>
        <w:top w:val="none" w:sz="0" w:space="0" w:color="auto"/>
        <w:left w:val="none" w:sz="0" w:space="0" w:color="auto"/>
        <w:bottom w:val="none" w:sz="0" w:space="0" w:color="auto"/>
        <w:right w:val="none" w:sz="0" w:space="0" w:color="auto"/>
      </w:divBdr>
    </w:div>
    <w:div w:id="1275095287">
      <w:bodyDiv w:val="1"/>
      <w:marLeft w:val="0"/>
      <w:marRight w:val="0"/>
      <w:marTop w:val="0"/>
      <w:marBottom w:val="0"/>
      <w:divBdr>
        <w:top w:val="none" w:sz="0" w:space="0" w:color="auto"/>
        <w:left w:val="none" w:sz="0" w:space="0" w:color="auto"/>
        <w:bottom w:val="none" w:sz="0" w:space="0" w:color="auto"/>
        <w:right w:val="none" w:sz="0" w:space="0" w:color="auto"/>
      </w:divBdr>
    </w:div>
    <w:div w:id="1275164206">
      <w:bodyDiv w:val="1"/>
      <w:marLeft w:val="0"/>
      <w:marRight w:val="0"/>
      <w:marTop w:val="0"/>
      <w:marBottom w:val="0"/>
      <w:divBdr>
        <w:top w:val="none" w:sz="0" w:space="0" w:color="auto"/>
        <w:left w:val="none" w:sz="0" w:space="0" w:color="auto"/>
        <w:bottom w:val="none" w:sz="0" w:space="0" w:color="auto"/>
        <w:right w:val="none" w:sz="0" w:space="0" w:color="auto"/>
      </w:divBdr>
    </w:div>
    <w:div w:id="1275359513">
      <w:bodyDiv w:val="1"/>
      <w:marLeft w:val="0"/>
      <w:marRight w:val="0"/>
      <w:marTop w:val="0"/>
      <w:marBottom w:val="0"/>
      <w:divBdr>
        <w:top w:val="none" w:sz="0" w:space="0" w:color="auto"/>
        <w:left w:val="none" w:sz="0" w:space="0" w:color="auto"/>
        <w:bottom w:val="none" w:sz="0" w:space="0" w:color="auto"/>
        <w:right w:val="none" w:sz="0" w:space="0" w:color="auto"/>
      </w:divBdr>
    </w:div>
    <w:div w:id="1275400422">
      <w:bodyDiv w:val="1"/>
      <w:marLeft w:val="0"/>
      <w:marRight w:val="0"/>
      <w:marTop w:val="0"/>
      <w:marBottom w:val="0"/>
      <w:divBdr>
        <w:top w:val="none" w:sz="0" w:space="0" w:color="auto"/>
        <w:left w:val="none" w:sz="0" w:space="0" w:color="auto"/>
        <w:bottom w:val="none" w:sz="0" w:space="0" w:color="auto"/>
        <w:right w:val="none" w:sz="0" w:space="0" w:color="auto"/>
      </w:divBdr>
    </w:div>
    <w:div w:id="1275401221">
      <w:bodyDiv w:val="1"/>
      <w:marLeft w:val="0"/>
      <w:marRight w:val="0"/>
      <w:marTop w:val="0"/>
      <w:marBottom w:val="0"/>
      <w:divBdr>
        <w:top w:val="none" w:sz="0" w:space="0" w:color="auto"/>
        <w:left w:val="none" w:sz="0" w:space="0" w:color="auto"/>
        <w:bottom w:val="none" w:sz="0" w:space="0" w:color="auto"/>
        <w:right w:val="none" w:sz="0" w:space="0" w:color="auto"/>
      </w:divBdr>
    </w:div>
    <w:div w:id="1275480878">
      <w:bodyDiv w:val="1"/>
      <w:marLeft w:val="0"/>
      <w:marRight w:val="0"/>
      <w:marTop w:val="0"/>
      <w:marBottom w:val="0"/>
      <w:divBdr>
        <w:top w:val="none" w:sz="0" w:space="0" w:color="auto"/>
        <w:left w:val="none" w:sz="0" w:space="0" w:color="auto"/>
        <w:bottom w:val="none" w:sz="0" w:space="0" w:color="auto"/>
        <w:right w:val="none" w:sz="0" w:space="0" w:color="auto"/>
      </w:divBdr>
    </w:div>
    <w:div w:id="1275551655">
      <w:bodyDiv w:val="1"/>
      <w:marLeft w:val="0"/>
      <w:marRight w:val="0"/>
      <w:marTop w:val="0"/>
      <w:marBottom w:val="0"/>
      <w:divBdr>
        <w:top w:val="none" w:sz="0" w:space="0" w:color="auto"/>
        <w:left w:val="none" w:sz="0" w:space="0" w:color="auto"/>
        <w:bottom w:val="none" w:sz="0" w:space="0" w:color="auto"/>
        <w:right w:val="none" w:sz="0" w:space="0" w:color="auto"/>
      </w:divBdr>
    </w:div>
    <w:div w:id="1275593329">
      <w:bodyDiv w:val="1"/>
      <w:marLeft w:val="0"/>
      <w:marRight w:val="0"/>
      <w:marTop w:val="0"/>
      <w:marBottom w:val="0"/>
      <w:divBdr>
        <w:top w:val="none" w:sz="0" w:space="0" w:color="auto"/>
        <w:left w:val="none" w:sz="0" w:space="0" w:color="auto"/>
        <w:bottom w:val="none" w:sz="0" w:space="0" w:color="auto"/>
        <w:right w:val="none" w:sz="0" w:space="0" w:color="auto"/>
      </w:divBdr>
    </w:div>
    <w:div w:id="1275745511">
      <w:bodyDiv w:val="1"/>
      <w:marLeft w:val="0"/>
      <w:marRight w:val="0"/>
      <w:marTop w:val="0"/>
      <w:marBottom w:val="0"/>
      <w:divBdr>
        <w:top w:val="none" w:sz="0" w:space="0" w:color="auto"/>
        <w:left w:val="none" w:sz="0" w:space="0" w:color="auto"/>
        <w:bottom w:val="none" w:sz="0" w:space="0" w:color="auto"/>
        <w:right w:val="none" w:sz="0" w:space="0" w:color="auto"/>
      </w:divBdr>
    </w:div>
    <w:div w:id="1275793810">
      <w:bodyDiv w:val="1"/>
      <w:marLeft w:val="0"/>
      <w:marRight w:val="0"/>
      <w:marTop w:val="0"/>
      <w:marBottom w:val="0"/>
      <w:divBdr>
        <w:top w:val="none" w:sz="0" w:space="0" w:color="auto"/>
        <w:left w:val="none" w:sz="0" w:space="0" w:color="auto"/>
        <w:bottom w:val="none" w:sz="0" w:space="0" w:color="auto"/>
        <w:right w:val="none" w:sz="0" w:space="0" w:color="auto"/>
      </w:divBdr>
    </w:div>
    <w:div w:id="1275868861">
      <w:bodyDiv w:val="1"/>
      <w:marLeft w:val="0"/>
      <w:marRight w:val="0"/>
      <w:marTop w:val="0"/>
      <w:marBottom w:val="0"/>
      <w:divBdr>
        <w:top w:val="none" w:sz="0" w:space="0" w:color="auto"/>
        <w:left w:val="none" w:sz="0" w:space="0" w:color="auto"/>
        <w:bottom w:val="none" w:sz="0" w:space="0" w:color="auto"/>
        <w:right w:val="none" w:sz="0" w:space="0" w:color="auto"/>
      </w:divBdr>
    </w:div>
    <w:div w:id="1275943243">
      <w:bodyDiv w:val="1"/>
      <w:marLeft w:val="0"/>
      <w:marRight w:val="0"/>
      <w:marTop w:val="0"/>
      <w:marBottom w:val="0"/>
      <w:divBdr>
        <w:top w:val="none" w:sz="0" w:space="0" w:color="auto"/>
        <w:left w:val="none" w:sz="0" w:space="0" w:color="auto"/>
        <w:bottom w:val="none" w:sz="0" w:space="0" w:color="auto"/>
        <w:right w:val="none" w:sz="0" w:space="0" w:color="auto"/>
      </w:divBdr>
    </w:div>
    <w:div w:id="1276017063">
      <w:bodyDiv w:val="1"/>
      <w:marLeft w:val="0"/>
      <w:marRight w:val="0"/>
      <w:marTop w:val="0"/>
      <w:marBottom w:val="0"/>
      <w:divBdr>
        <w:top w:val="none" w:sz="0" w:space="0" w:color="auto"/>
        <w:left w:val="none" w:sz="0" w:space="0" w:color="auto"/>
        <w:bottom w:val="none" w:sz="0" w:space="0" w:color="auto"/>
        <w:right w:val="none" w:sz="0" w:space="0" w:color="auto"/>
      </w:divBdr>
    </w:div>
    <w:div w:id="1276018516">
      <w:bodyDiv w:val="1"/>
      <w:marLeft w:val="0"/>
      <w:marRight w:val="0"/>
      <w:marTop w:val="0"/>
      <w:marBottom w:val="0"/>
      <w:divBdr>
        <w:top w:val="none" w:sz="0" w:space="0" w:color="auto"/>
        <w:left w:val="none" w:sz="0" w:space="0" w:color="auto"/>
        <w:bottom w:val="none" w:sz="0" w:space="0" w:color="auto"/>
        <w:right w:val="none" w:sz="0" w:space="0" w:color="auto"/>
      </w:divBdr>
    </w:div>
    <w:div w:id="1276055163">
      <w:bodyDiv w:val="1"/>
      <w:marLeft w:val="0"/>
      <w:marRight w:val="0"/>
      <w:marTop w:val="0"/>
      <w:marBottom w:val="0"/>
      <w:divBdr>
        <w:top w:val="none" w:sz="0" w:space="0" w:color="auto"/>
        <w:left w:val="none" w:sz="0" w:space="0" w:color="auto"/>
        <w:bottom w:val="none" w:sz="0" w:space="0" w:color="auto"/>
        <w:right w:val="none" w:sz="0" w:space="0" w:color="auto"/>
      </w:divBdr>
    </w:div>
    <w:div w:id="1276057016">
      <w:bodyDiv w:val="1"/>
      <w:marLeft w:val="0"/>
      <w:marRight w:val="0"/>
      <w:marTop w:val="0"/>
      <w:marBottom w:val="0"/>
      <w:divBdr>
        <w:top w:val="none" w:sz="0" w:space="0" w:color="auto"/>
        <w:left w:val="none" w:sz="0" w:space="0" w:color="auto"/>
        <w:bottom w:val="none" w:sz="0" w:space="0" w:color="auto"/>
        <w:right w:val="none" w:sz="0" w:space="0" w:color="auto"/>
      </w:divBdr>
    </w:div>
    <w:div w:id="1276059033">
      <w:bodyDiv w:val="1"/>
      <w:marLeft w:val="0"/>
      <w:marRight w:val="0"/>
      <w:marTop w:val="0"/>
      <w:marBottom w:val="0"/>
      <w:divBdr>
        <w:top w:val="none" w:sz="0" w:space="0" w:color="auto"/>
        <w:left w:val="none" w:sz="0" w:space="0" w:color="auto"/>
        <w:bottom w:val="none" w:sz="0" w:space="0" w:color="auto"/>
        <w:right w:val="none" w:sz="0" w:space="0" w:color="auto"/>
      </w:divBdr>
    </w:div>
    <w:div w:id="1276211282">
      <w:bodyDiv w:val="1"/>
      <w:marLeft w:val="0"/>
      <w:marRight w:val="0"/>
      <w:marTop w:val="0"/>
      <w:marBottom w:val="0"/>
      <w:divBdr>
        <w:top w:val="none" w:sz="0" w:space="0" w:color="auto"/>
        <w:left w:val="none" w:sz="0" w:space="0" w:color="auto"/>
        <w:bottom w:val="none" w:sz="0" w:space="0" w:color="auto"/>
        <w:right w:val="none" w:sz="0" w:space="0" w:color="auto"/>
      </w:divBdr>
    </w:div>
    <w:div w:id="1276212407">
      <w:bodyDiv w:val="1"/>
      <w:marLeft w:val="0"/>
      <w:marRight w:val="0"/>
      <w:marTop w:val="0"/>
      <w:marBottom w:val="0"/>
      <w:divBdr>
        <w:top w:val="none" w:sz="0" w:space="0" w:color="auto"/>
        <w:left w:val="none" w:sz="0" w:space="0" w:color="auto"/>
        <w:bottom w:val="none" w:sz="0" w:space="0" w:color="auto"/>
        <w:right w:val="none" w:sz="0" w:space="0" w:color="auto"/>
      </w:divBdr>
    </w:div>
    <w:div w:id="1276400164">
      <w:bodyDiv w:val="1"/>
      <w:marLeft w:val="0"/>
      <w:marRight w:val="0"/>
      <w:marTop w:val="0"/>
      <w:marBottom w:val="0"/>
      <w:divBdr>
        <w:top w:val="none" w:sz="0" w:space="0" w:color="auto"/>
        <w:left w:val="none" w:sz="0" w:space="0" w:color="auto"/>
        <w:bottom w:val="none" w:sz="0" w:space="0" w:color="auto"/>
        <w:right w:val="none" w:sz="0" w:space="0" w:color="auto"/>
      </w:divBdr>
    </w:div>
    <w:div w:id="1276402391">
      <w:bodyDiv w:val="1"/>
      <w:marLeft w:val="0"/>
      <w:marRight w:val="0"/>
      <w:marTop w:val="0"/>
      <w:marBottom w:val="0"/>
      <w:divBdr>
        <w:top w:val="none" w:sz="0" w:space="0" w:color="auto"/>
        <w:left w:val="none" w:sz="0" w:space="0" w:color="auto"/>
        <w:bottom w:val="none" w:sz="0" w:space="0" w:color="auto"/>
        <w:right w:val="none" w:sz="0" w:space="0" w:color="auto"/>
      </w:divBdr>
    </w:div>
    <w:div w:id="1276642846">
      <w:bodyDiv w:val="1"/>
      <w:marLeft w:val="0"/>
      <w:marRight w:val="0"/>
      <w:marTop w:val="0"/>
      <w:marBottom w:val="0"/>
      <w:divBdr>
        <w:top w:val="none" w:sz="0" w:space="0" w:color="auto"/>
        <w:left w:val="none" w:sz="0" w:space="0" w:color="auto"/>
        <w:bottom w:val="none" w:sz="0" w:space="0" w:color="auto"/>
        <w:right w:val="none" w:sz="0" w:space="0" w:color="auto"/>
      </w:divBdr>
    </w:div>
    <w:div w:id="1276668551">
      <w:bodyDiv w:val="1"/>
      <w:marLeft w:val="0"/>
      <w:marRight w:val="0"/>
      <w:marTop w:val="0"/>
      <w:marBottom w:val="0"/>
      <w:divBdr>
        <w:top w:val="none" w:sz="0" w:space="0" w:color="auto"/>
        <w:left w:val="none" w:sz="0" w:space="0" w:color="auto"/>
        <w:bottom w:val="none" w:sz="0" w:space="0" w:color="auto"/>
        <w:right w:val="none" w:sz="0" w:space="0" w:color="auto"/>
      </w:divBdr>
    </w:div>
    <w:div w:id="1276712166">
      <w:bodyDiv w:val="1"/>
      <w:marLeft w:val="0"/>
      <w:marRight w:val="0"/>
      <w:marTop w:val="0"/>
      <w:marBottom w:val="0"/>
      <w:divBdr>
        <w:top w:val="none" w:sz="0" w:space="0" w:color="auto"/>
        <w:left w:val="none" w:sz="0" w:space="0" w:color="auto"/>
        <w:bottom w:val="none" w:sz="0" w:space="0" w:color="auto"/>
        <w:right w:val="none" w:sz="0" w:space="0" w:color="auto"/>
      </w:divBdr>
    </w:div>
    <w:div w:id="1276714419">
      <w:bodyDiv w:val="1"/>
      <w:marLeft w:val="0"/>
      <w:marRight w:val="0"/>
      <w:marTop w:val="0"/>
      <w:marBottom w:val="0"/>
      <w:divBdr>
        <w:top w:val="none" w:sz="0" w:space="0" w:color="auto"/>
        <w:left w:val="none" w:sz="0" w:space="0" w:color="auto"/>
        <w:bottom w:val="none" w:sz="0" w:space="0" w:color="auto"/>
        <w:right w:val="none" w:sz="0" w:space="0" w:color="auto"/>
      </w:divBdr>
    </w:div>
    <w:div w:id="1276790628">
      <w:bodyDiv w:val="1"/>
      <w:marLeft w:val="0"/>
      <w:marRight w:val="0"/>
      <w:marTop w:val="0"/>
      <w:marBottom w:val="0"/>
      <w:divBdr>
        <w:top w:val="none" w:sz="0" w:space="0" w:color="auto"/>
        <w:left w:val="none" w:sz="0" w:space="0" w:color="auto"/>
        <w:bottom w:val="none" w:sz="0" w:space="0" w:color="auto"/>
        <w:right w:val="none" w:sz="0" w:space="0" w:color="auto"/>
      </w:divBdr>
    </w:div>
    <w:div w:id="1276869325">
      <w:bodyDiv w:val="1"/>
      <w:marLeft w:val="0"/>
      <w:marRight w:val="0"/>
      <w:marTop w:val="0"/>
      <w:marBottom w:val="0"/>
      <w:divBdr>
        <w:top w:val="none" w:sz="0" w:space="0" w:color="auto"/>
        <w:left w:val="none" w:sz="0" w:space="0" w:color="auto"/>
        <w:bottom w:val="none" w:sz="0" w:space="0" w:color="auto"/>
        <w:right w:val="none" w:sz="0" w:space="0" w:color="auto"/>
      </w:divBdr>
    </w:div>
    <w:div w:id="1276910279">
      <w:bodyDiv w:val="1"/>
      <w:marLeft w:val="0"/>
      <w:marRight w:val="0"/>
      <w:marTop w:val="0"/>
      <w:marBottom w:val="0"/>
      <w:divBdr>
        <w:top w:val="none" w:sz="0" w:space="0" w:color="auto"/>
        <w:left w:val="none" w:sz="0" w:space="0" w:color="auto"/>
        <w:bottom w:val="none" w:sz="0" w:space="0" w:color="auto"/>
        <w:right w:val="none" w:sz="0" w:space="0" w:color="auto"/>
      </w:divBdr>
    </w:div>
    <w:div w:id="1276981010">
      <w:bodyDiv w:val="1"/>
      <w:marLeft w:val="0"/>
      <w:marRight w:val="0"/>
      <w:marTop w:val="0"/>
      <w:marBottom w:val="0"/>
      <w:divBdr>
        <w:top w:val="none" w:sz="0" w:space="0" w:color="auto"/>
        <w:left w:val="none" w:sz="0" w:space="0" w:color="auto"/>
        <w:bottom w:val="none" w:sz="0" w:space="0" w:color="auto"/>
        <w:right w:val="none" w:sz="0" w:space="0" w:color="auto"/>
      </w:divBdr>
    </w:div>
    <w:div w:id="1277173231">
      <w:bodyDiv w:val="1"/>
      <w:marLeft w:val="0"/>
      <w:marRight w:val="0"/>
      <w:marTop w:val="0"/>
      <w:marBottom w:val="0"/>
      <w:divBdr>
        <w:top w:val="none" w:sz="0" w:space="0" w:color="auto"/>
        <w:left w:val="none" w:sz="0" w:space="0" w:color="auto"/>
        <w:bottom w:val="none" w:sz="0" w:space="0" w:color="auto"/>
        <w:right w:val="none" w:sz="0" w:space="0" w:color="auto"/>
      </w:divBdr>
    </w:div>
    <w:div w:id="1277177712">
      <w:bodyDiv w:val="1"/>
      <w:marLeft w:val="0"/>
      <w:marRight w:val="0"/>
      <w:marTop w:val="0"/>
      <w:marBottom w:val="0"/>
      <w:divBdr>
        <w:top w:val="none" w:sz="0" w:space="0" w:color="auto"/>
        <w:left w:val="none" w:sz="0" w:space="0" w:color="auto"/>
        <w:bottom w:val="none" w:sz="0" w:space="0" w:color="auto"/>
        <w:right w:val="none" w:sz="0" w:space="0" w:color="auto"/>
      </w:divBdr>
    </w:div>
    <w:div w:id="1277180842">
      <w:bodyDiv w:val="1"/>
      <w:marLeft w:val="0"/>
      <w:marRight w:val="0"/>
      <w:marTop w:val="0"/>
      <w:marBottom w:val="0"/>
      <w:divBdr>
        <w:top w:val="none" w:sz="0" w:space="0" w:color="auto"/>
        <w:left w:val="none" w:sz="0" w:space="0" w:color="auto"/>
        <w:bottom w:val="none" w:sz="0" w:space="0" w:color="auto"/>
        <w:right w:val="none" w:sz="0" w:space="0" w:color="auto"/>
      </w:divBdr>
    </w:div>
    <w:div w:id="1277181408">
      <w:bodyDiv w:val="1"/>
      <w:marLeft w:val="0"/>
      <w:marRight w:val="0"/>
      <w:marTop w:val="0"/>
      <w:marBottom w:val="0"/>
      <w:divBdr>
        <w:top w:val="none" w:sz="0" w:space="0" w:color="auto"/>
        <w:left w:val="none" w:sz="0" w:space="0" w:color="auto"/>
        <w:bottom w:val="none" w:sz="0" w:space="0" w:color="auto"/>
        <w:right w:val="none" w:sz="0" w:space="0" w:color="auto"/>
      </w:divBdr>
    </w:div>
    <w:div w:id="1277253711">
      <w:bodyDiv w:val="1"/>
      <w:marLeft w:val="0"/>
      <w:marRight w:val="0"/>
      <w:marTop w:val="0"/>
      <w:marBottom w:val="0"/>
      <w:divBdr>
        <w:top w:val="none" w:sz="0" w:space="0" w:color="auto"/>
        <w:left w:val="none" w:sz="0" w:space="0" w:color="auto"/>
        <w:bottom w:val="none" w:sz="0" w:space="0" w:color="auto"/>
        <w:right w:val="none" w:sz="0" w:space="0" w:color="auto"/>
      </w:divBdr>
    </w:div>
    <w:div w:id="1277324021">
      <w:bodyDiv w:val="1"/>
      <w:marLeft w:val="0"/>
      <w:marRight w:val="0"/>
      <w:marTop w:val="0"/>
      <w:marBottom w:val="0"/>
      <w:divBdr>
        <w:top w:val="none" w:sz="0" w:space="0" w:color="auto"/>
        <w:left w:val="none" w:sz="0" w:space="0" w:color="auto"/>
        <w:bottom w:val="none" w:sz="0" w:space="0" w:color="auto"/>
        <w:right w:val="none" w:sz="0" w:space="0" w:color="auto"/>
      </w:divBdr>
    </w:div>
    <w:div w:id="1277327736">
      <w:bodyDiv w:val="1"/>
      <w:marLeft w:val="0"/>
      <w:marRight w:val="0"/>
      <w:marTop w:val="0"/>
      <w:marBottom w:val="0"/>
      <w:divBdr>
        <w:top w:val="none" w:sz="0" w:space="0" w:color="auto"/>
        <w:left w:val="none" w:sz="0" w:space="0" w:color="auto"/>
        <w:bottom w:val="none" w:sz="0" w:space="0" w:color="auto"/>
        <w:right w:val="none" w:sz="0" w:space="0" w:color="auto"/>
      </w:divBdr>
    </w:div>
    <w:div w:id="1277367625">
      <w:bodyDiv w:val="1"/>
      <w:marLeft w:val="0"/>
      <w:marRight w:val="0"/>
      <w:marTop w:val="0"/>
      <w:marBottom w:val="0"/>
      <w:divBdr>
        <w:top w:val="none" w:sz="0" w:space="0" w:color="auto"/>
        <w:left w:val="none" w:sz="0" w:space="0" w:color="auto"/>
        <w:bottom w:val="none" w:sz="0" w:space="0" w:color="auto"/>
        <w:right w:val="none" w:sz="0" w:space="0" w:color="auto"/>
      </w:divBdr>
    </w:div>
    <w:div w:id="1277444998">
      <w:bodyDiv w:val="1"/>
      <w:marLeft w:val="0"/>
      <w:marRight w:val="0"/>
      <w:marTop w:val="0"/>
      <w:marBottom w:val="0"/>
      <w:divBdr>
        <w:top w:val="none" w:sz="0" w:space="0" w:color="auto"/>
        <w:left w:val="none" w:sz="0" w:space="0" w:color="auto"/>
        <w:bottom w:val="none" w:sz="0" w:space="0" w:color="auto"/>
        <w:right w:val="none" w:sz="0" w:space="0" w:color="auto"/>
      </w:divBdr>
    </w:div>
    <w:div w:id="1277449962">
      <w:bodyDiv w:val="1"/>
      <w:marLeft w:val="0"/>
      <w:marRight w:val="0"/>
      <w:marTop w:val="0"/>
      <w:marBottom w:val="0"/>
      <w:divBdr>
        <w:top w:val="none" w:sz="0" w:space="0" w:color="auto"/>
        <w:left w:val="none" w:sz="0" w:space="0" w:color="auto"/>
        <w:bottom w:val="none" w:sz="0" w:space="0" w:color="auto"/>
        <w:right w:val="none" w:sz="0" w:space="0" w:color="auto"/>
      </w:divBdr>
    </w:div>
    <w:div w:id="1277518153">
      <w:bodyDiv w:val="1"/>
      <w:marLeft w:val="0"/>
      <w:marRight w:val="0"/>
      <w:marTop w:val="0"/>
      <w:marBottom w:val="0"/>
      <w:divBdr>
        <w:top w:val="none" w:sz="0" w:space="0" w:color="auto"/>
        <w:left w:val="none" w:sz="0" w:space="0" w:color="auto"/>
        <w:bottom w:val="none" w:sz="0" w:space="0" w:color="auto"/>
        <w:right w:val="none" w:sz="0" w:space="0" w:color="auto"/>
      </w:divBdr>
    </w:div>
    <w:div w:id="1277566674">
      <w:bodyDiv w:val="1"/>
      <w:marLeft w:val="0"/>
      <w:marRight w:val="0"/>
      <w:marTop w:val="0"/>
      <w:marBottom w:val="0"/>
      <w:divBdr>
        <w:top w:val="none" w:sz="0" w:space="0" w:color="auto"/>
        <w:left w:val="none" w:sz="0" w:space="0" w:color="auto"/>
        <w:bottom w:val="none" w:sz="0" w:space="0" w:color="auto"/>
        <w:right w:val="none" w:sz="0" w:space="0" w:color="auto"/>
      </w:divBdr>
    </w:div>
    <w:div w:id="1277635487">
      <w:bodyDiv w:val="1"/>
      <w:marLeft w:val="0"/>
      <w:marRight w:val="0"/>
      <w:marTop w:val="0"/>
      <w:marBottom w:val="0"/>
      <w:divBdr>
        <w:top w:val="none" w:sz="0" w:space="0" w:color="auto"/>
        <w:left w:val="none" w:sz="0" w:space="0" w:color="auto"/>
        <w:bottom w:val="none" w:sz="0" w:space="0" w:color="auto"/>
        <w:right w:val="none" w:sz="0" w:space="0" w:color="auto"/>
      </w:divBdr>
    </w:div>
    <w:div w:id="1277714453">
      <w:bodyDiv w:val="1"/>
      <w:marLeft w:val="0"/>
      <w:marRight w:val="0"/>
      <w:marTop w:val="0"/>
      <w:marBottom w:val="0"/>
      <w:divBdr>
        <w:top w:val="none" w:sz="0" w:space="0" w:color="auto"/>
        <w:left w:val="none" w:sz="0" w:space="0" w:color="auto"/>
        <w:bottom w:val="none" w:sz="0" w:space="0" w:color="auto"/>
        <w:right w:val="none" w:sz="0" w:space="0" w:color="auto"/>
      </w:divBdr>
    </w:div>
    <w:div w:id="1277833699">
      <w:bodyDiv w:val="1"/>
      <w:marLeft w:val="0"/>
      <w:marRight w:val="0"/>
      <w:marTop w:val="0"/>
      <w:marBottom w:val="0"/>
      <w:divBdr>
        <w:top w:val="none" w:sz="0" w:space="0" w:color="auto"/>
        <w:left w:val="none" w:sz="0" w:space="0" w:color="auto"/>
        <w:bottom w:val="none" w:sz="0" w:space="0" w:color="auto"/>
        <w:right w:val="none" w:sz="0" w:space="0" w:color="auto"/>
      </w:divBdr>
    </w:div>
    <w:div w:id="1277902842">
      <w:bodyDiv w:val="1"/>
      <w:marLeft w:val="0"/>
      <w:marRight w:val="0"/>
      <w:marTop w:val="0"/>
      <w:marBottom w:val="0"/>
      <w:divBdr>
        <w:top w:val="none" w:sz="0" w:space="0" w:color="auto"/>
        <w:left w:val="none" w:sz="0" w:space="0" w:color="auto"/>
        <w:bottom w:val="none" w:sz="0" w:space="0" w:color="auto"/>
        <w:right w:val="none" w:sz="0" w:space="0" w:color="auto"/>
      </w:divBdr>
    </w:div>
    <w:div w:id="1277902891">
      <w:bodyDiv w:val="1"/>
      <w:marLeft w:val="0"/>
      <w:marRight w:val="0"/>
      <w:marTop w:val="0"/>
      <w:marBottom w:val="0"/>
      <w:divBdr>
        <w:top w:val="none" w:sz="0" w:space="0" w:color="auto"/>
        <w:left w:val="none" w:sz="0" w:space="0" w:color="auto"/>
        <w:bottom w:val="none" w:sz="0" w:space="0" w:color="auto"/>
        <w:right w:val="none" w:sz="0" w:space="0" w:color="auto"/>
      </w:divBdr>
    </w:div>
    <w:div w:id="1277910743">
      <w:bodyDiv w:val="1"/>
      <w:marLeft w:val="0"/>
      <w:marRight w:val="0"/>
      <w:marTop w:val="0"/>
      <w:marBottom w:val="0"/>
      <w:divBdr>
        <w:top w:val="none" w:sz="0" w:space="0" w:color="auto"/>
        <w:left w:val="none" w:sz="0" w:space="0" w:color="auto"/>
        <w:bottom w:val="none" w:sz="0" w:space="0" w:color="auto"/>
        <w:right w:val="none" w:sz="0" w:space="0" w:color="auto"/>
      </w:divBdr>
    </w:div>
    <w:div w:id="1277952919">
      <w:bodyDiv w:val="1"/>
      <w:marLeft w:val="0"/>
      <w:marRight w:val="0"/>
      <w:marTop w:val="0"/>
      <w:marBottom w:val="0"/>
      <w:divBdr>
        <w:top w:val="none" w:sz="0" w:space="0" w:color="auto"/>
        <w:left w:val="none" w:sz="0" w:space="0" w:color="auto"/>
        <w:bottom w:val="none" w:sz="0" w:space="0" w:color="auto"/>
        <w:right w:val="none" w:sz="0" w:space="0" w:color="auto"/>
      </w:divBdr>
    </w:div>
    <w:div w:id="1278096347">
      <w:bodyDiv w:val="1"/>
      <w:marLeft w:val="0"/>
      <w:marRight w:val="0"/>
      <w:marTop w:val="0"/>
      <w:marBottom w:val="0"/>
      <w:divBdr>
        <w:top w:val="none" w:sz="0" w:space="0" w:color="auto"/>
        <w:left w:val="none" w:sz="0" w:space="0" w:color="auto"/>
        <w:bottom w:val="none" w:sz="0" w:space="0" w:color="auto"/>
        <w:right w:val="none" w:sz="0" w:space="0" w:color="auto"/>
      </w:divBdr>
    </w:div>
    <w:div w:id="1278096989">
      <w:bodyDiv w:val="1"/>
      <w:marLeft w:val="0"/>
      <w:marRight w:val="0"/>
      <w:marTop w:val="0"/>
      <w:marBottom w:val="0"/>
      <w:divBdr>
        <w:top w:val="none" w:sz="0" w:space="0" w:color="auto"/>
        <w:left w:val="none" w:sz="0" w:space="0" w:color="auto"/>
        <w:bottom w:val="none" w:sz="0" w:space="0" w:color="auto"/>
        <w:right w:val="none" w:sz="0" w:space="0" w:color="auto"/>
      </w:divBdr>
    </w:div>
    <w:div w:id="1278101256">
      <w:bodyDiv w:val="1"/>
      <w:marLeft w:val="0"/>
      <w:marRight w:val="0"/>
      <w:marTop w:val="0"/>
      <w:marBottom w:val="0"/>
      <w:divBdr>
        <w:top w:val="none" w:sz="0" w:space="0" w:color="auto"/>
        <w:left w:val="none" w:sz="0" w:space="0" w:color="auto"/>
        <w:bottom w:val="none" w:sz="0" w:space="0" w:color="auto"/>
        <w:right w:val="none" w:sz="0" w:space="0" w:color="auto"/>
      </w:divBdr>
    </w:div>
    <w:div w:id="1278179185">
      <w:bodyDiv w:val="1"/>
      <w:marLeft w:val="0"/>
      <w:marRight w:val="0"/>
      <w:marTop w:val="0"/>
      <w:marBottom w:val="0"/>
      <w:divBdr>
        <w:top w:val="none" w:sz="0" w:space="0" w:color="auto"/>
        <w:left w:val="none" w:sz="0" w:space="0" w:color="auto"/>
        <w:bottom w:val="none" w:sz="0" w:space="0" w:color="auto"/>
        <w:right w:val="none" w:sz="0" w:space="0" w:color="auto"/>
      </w:divBdr>
    </w:div>
    <w:div w:id="1278291320">
      <w:bodyDiv w:val="1"/>
      <w:marLeft w:val="0"/>
      <w:marRight w:val="0"/>
      <w:marTop w:val="0"/>
      <w:marBottom w:val="0"/>
      <w:divBdr>
        <w:top w:val="none" w:sz="0" w:space="0" w:color="auto"/>
        <w:left w:val="none" w:sz="0" w:space="0" w:color="auto"/>
        <w:bottom w:val="none" w:sz="0" w:space="0" w:color="auto"/>
        <w:right w:val="none" w:sz="0" w:space="0" w:color="auto"/>
      </w:divBdr>
    </w:div>
    <w:div w:id="1278414921">
      <w:bodyDiv w:val="1"/>
      <w:marLeft w:val="0"/>
      <w:marRight w:val="0"/>
      <w:marTop w:val="0"/>
      <w:marBottom w:val="0"/>
      <w:divBdr>
        <w:top w:val="none" w:sz="0" w:space="0" w:color="auto"/>
        <w:left w:val="none" w:sz="0" w:space="0" w:color="auto"/>
        <w:bottom w:val="none" w:sz="0" w:space="0" w:color="auto"/>
        <w:right w:val="none" w:sz="0" w:space="0" w:color="auto"/>
      </w:divBdr>
    </w:div>
    <w:div w:id="1278609759">
      <w:bodyDiv w:val="1"/>
      <w:marLeft w:val="0"/>
      <w:marRight w:val="0"/>
      <w:marTop w:val="0"/>
      <w:marBottom w:val="0"/>
      <w:divBdr>
        <w:top w:val="none" w:sz="0" w:space="0" w:color="auto"/>
        <w:left w:val="none" w:sz="0" w:space="0" w:color="auto"/>
        <w:bottom w:val="none" w:sz="0" w:space="0" w:color="auto"/>
        <w:right w:val="none" w:sz="0" w:space="0" w:color="auto"/>
      </w:divBdr>
    </w:div>
    <w:div w:id="1278834979">
      <w:bodyDiv w:val="1"/>
      <w:marLeft w:val="0"/>
      <w:marRight w:val="0"/>
      <w:marTop w:val="0"/>
      <w:marBottom w:val="0"/>
      <w:divBdr>
        <w:top w:val="none" w:sz="0" w:space="0" w:color="auto"/>
        <w:left w:val="none" w:sz="0" w:space="0" w:color="auto"/>
        <w:bottom w:val="none" w:sz="0" w:space="0" w:color="auto"/>
        <w:right w:val="none" w:sz="0" w:space="0" w:color="auto"/>
      </w:divBdr>
    </w:div>
    <w:div w:id="1278949174">
      <w:bodyDiv w:val="1"/>
      <w:marLeft w:val="0"/>
      <w:marRight w:val="0"/>
      <w:marTop w:val="0"/>
      <w:marBottom w:val="0"/>
      <w:divBdr>
        <w:top w:val="none" w:sz="0" w:space="0" w:color="auto"/>
        <w:left w:val="none" w:sz="0" w:space="0" w:color="auto"/>
        <w:bottom w:val="none" w:sz="0" w:space="0" w:color="auto"/>
        <w:right w:val="none" w:sz="0" w:space="0" w:color="auto"/>
      </w:divBdr>
    </w:div>
    <w:div w:id="1279026487">
      <w:bodyDiv w:val="1"/>
      <w:marLeft w:val="0"/>
      <w:marRight w:val="0"/>
      <w:marTop w:val="0"/>
      <w:marBottom w:val="0"/>
      <w:divBdr>
        <w:top w:val="none" w:sz="0" w:space="0" w:color="auto"/>
        <w:left w:val="none" w:sz="0" w:space="0" w:color="auto"/>
        <w:bottom w:val="none" w:sz="0" w:space="0" w:color="auto"/>
        <w:right w:val="none" w:sz="0" w:space="0" w:color="auto"/>
      </w:divBdr>
    </w:div>
    <w:div w:id="1279097464">
      <w:bodyDiv w:val="1"/>
      <w:marLeft w:val="0"/>
      <w:marRight w:val="0"/>
      <w:marTop w:val="0"/>
      <w:marBottom w:val="0"/>
      <w:divBdr>
        <w:top w:val="none" w:sz="0" w:space="0" w:color="auto"/>
        <w:left w:val="none" w:sz="0" w:space="0" w:color="auto"/>
        <w:bottom w:val="none" w:sz="0" w:space="0" w:color="auto"/>
        <w:right w:val="none" w:sz="0" w:space="0" w:color="auto"/>
      </w:divBdr>
    </w:div>
    <w:div w:id="1279146641">
      <w:bodyDiv w:val="1"/>
      <w:marLeft w:val="0"/>
      <w:marRight w:val="0"/>
      <w:marTop w:val="0"/>
      <w:marBottom w:val="0"/>
      <w:divBdr>
        <w:top w:val="none" w:sz="0" w:space="0" w:color="auto"/>
        <w:left w:val="none" w:sz="0" w:space="0" w:color="auto"/>
        <w:bottom w:val="none" w:sz="0" w:space="0" w:color="auto"/>
        <w:right w:val="none" w:sz="0" w:space="0" w:color="auto"/>
      </w:divBdr>
    </w:div>
    <w:div w:id="1279146875">
      <w:bodyDiv w:val="1"/>
      <w:marLeft w:val="0"/>
      <w:marRight w:val="0"/>
      <w:marTop w:val="0"/>
      <w:marBottom w:val="0"/>
      <w:divBdr>
        <w:top w:val="none" w:sz="0" w:space="0" w:color="auto"/>
        <w:left w:val="none" w:sz="0" w:space="0" w:color="auto"/>
        <w:bottom w:val="none" w:sz="0" w:space="0" w:color="auto"/>
        <w:right w:val="none" w:sz="0" w:space="0" w:color="auto"/>
      </w:divBdr>
    </w:div>
    <w:div w:id="1279213506">
      <w:bodyDiv w:val="1"/>
      <w:marLeft w:val="0"/>
      <w:marRight w:val="0"/>
      <w:marTop w:val="0"/>
      <w:marBottom w:val="0"/>
      <w:divBdr>
        <w:top w:val="none" w:sz="0" w:space="0" w:color="auto"/>
        <w:left w:val="none" w:sz="0" w:space="0" w:color="auto"/>
        <w:bottom w:val="none" w:sz="0" w:space="0" w:color="auto"/>
        <w:right w:val="none" w:sz="0" w:space="0" w:color="auto"/>
      </w:divBdr>
    </w:div>
    <w:div w:id="1279490570">
      <w:bodyDiv w:val="1"/>
      <w:marLeft w:val="0"/>
      <w:marRight w:val="0"/>
      <w:marTop w:val="0"/>
      <w:marBottom w:val="0"/>
      <w:divBdr>
        <w:top w:val="none" w:sz="0" w:space="0" w:color="auto"/>
        <w:left w:val="none" w:sz="0" w:space="0" w:color="auto"/>
        <w:bottom w:val="none" w:sz="0" w:space="0" w:color="auto"/>
        <w:right w:val="none" w:sz="0" w:space="0" w:color="auto"/>
      </w:divBdr>
    </w:div>
    <w:div w:id="1279526002">
      <w:bodyDiv w:val="1"/>
      <w:marLeft w:val="0"/>
      <w:marRight w:val="0"/>
      <w:marTop w:val="0"/>
      <w:marBottom w:val="0"/>
      <w:divBdr>
        <w:top w:val="none" w:sz="0" w:space="0" w:color="auto"/>
        <w:left w:val="none" w:sz="0" w:space="0" w:color="auto"/>
        <w:bottom w:val="none" w:sz="0" w:space="0" w:color="auto"/>
        <w:right w:val="none" w:sz="0" w:space="0" w:color="auto"/>
      </w:divBdr>
    </w:div>
    <w:div w:id="1279608620">
      <w:bodyDiv w:val="1"/>
      <w:marLeft w:val="0"/>
      <w:marRight w:val="0"/>
      <w:marTop w:val="0"/>
      <w:marBottom w:val="0"/>
      <w:divBdr>
        <w:top w:val="none" w:sz="0" w:space="0" w:color="auto"/>
        <w:left w:val="none" w:sz="0" w:space="0" w:color="auto"/>
        <w:bottom w:val="none" w:sz="0" w:space="0" w:color="auto"/>
        <w:right w:val="none" w:sz="0" w:space="0" w:color="auto"/>
      </w:divBdr>
    </w:div>
    <w:div w:id="1279801651">
      <w:bodyDiv w:val="1"/>
      <w:marLeft w:val="0"/>
      <w:marRight w:val="0"/>
      <w:marTop w:val="0"/>
      <w:marBottom w:val="0"/>
      <w:divBdr>
        <w:top w:val="none" w:sz="0" w:space="0" w:color="auto"/>
        <w:left w:val="none" w:sz="0" w:space="0" w:color="auto"/>
        <w:bottom w:val="none" w:sz="0" w:space="0" w:color="auto"/>
        <w:right w:val="none" w:sz="0" w:space="0" w:color="auto"/>
      </w:divBdr>
    </w:div>
    <w:div w:id="1279876084">
      <w:bodyDiv w:val="1"/>
      <w:marLeft w:val="0"/>
      <w:marRight w:val="0"/>
      <w:marTop w:val="0"/>
      <w:marBottom w:val="0"/>
      <w:divBdr>
        <w:top w:val="none" w:sz="0" w:space="0" w:color="auto"/>
        <w:left w:val="none" w:sz="0" w:space="0" w:color="auto"/>
        <w:bottom w:val="none" w:sz="0" w:space="0" w:color="auto"/>
        <w:right w:val="none" w:sz="0" w:space="0" w:color="auto"/>
      </w:divBdr>
    </w:div>
    <w:div w:id="1279877659">
      <w:bodyDiv w:val="1"/>
      <w:marLeft w:val="0"/>
      <w:marRight w:val="0"/>
      <w:marTop w:val="0"/>
      <w:marBottom w:val="0"/>
      <w:divBdr>
        <w:top w:val="none" w:sz="0" w:space="0" w:color="auto"/>
        <w:left w:val="none" w:sz="0" w:space="0" w:color="auto"/>
        <w:bottom w:val="none" w:sz="0" w:space="0" w:color="auto"/>
        <w:right w:val="none" w:sz="0" w:space="0" w:color="auto"/>
      </w:divBdr>
    </w:div>
    <w:div w:id="1280139170">
      <w:bodyDiv w:val="1"/>
      <w:marLeft w:val="0"/>
      <w:marRight w:val="0"/>
      <w:marTop w:val="0"/>
      <w:marBottom w:val="0"/>
      <w:divBdr>
        <w:top w:val="none" w:sz="0" w:space="0" w:color="auto"/>
        <w:left w:val="none" w:sz="0" w:space="0" w:color="auto"/>
        <w:bottom w:val="none" w:sz="0" w:space="0" w:color="auto"/>
        <w:right w:val="none" w:sz="0" w:space="0" w:color="auto"/>
      </w:divBdr>
    </w:div>
    <w:div w:id="1280145717">
      <w:bodyDiv w:val="1"/>
      <w:marLeft w:val="0"/>
      <w:marRight w:val="0"/>
      <w:marTop w:val="0"/>
      <w:marBottom w:val="0"/>
      <w:divBdr>
        <w:top w:val="none" w:sz="0" w:space="0" w:color="auto"/>
        <w:left w:val="none" w:sz="0" w:space="0" w:color="auto"/>
        <w:bottom w:val="none" w:sz="0" w:space="0" w:color="auto"/>
        <w:right w:val="none" w:sz="0" w:space="0" w:color="auto"/>
      </w:divBdr>
    </w:div>
    <w:div w:id="1280181878">
      <w:bodyDiv w:val="1"/>
      <w:marLeft w:val="0"/>
      <w:marRight w:val="0"/>
      <w:marTop w:val="0"/>
      <w:marBottom w:val="0"/>
      <w:divBdr>
        <w:top w:val="none" w:sz="0" w:space="0" w:color="auto"/>
        <w:left w:val="none" w:sz="0" w:space="0" w:color="auto"/>
        <w:bottom w:val="none" w:sz="0" w:space="0" w:color="auto"/>
        <w:right w:val="none" w:sz="0" w:space="0" w:color="auto"/>
      </w:divBdr>
    </w:div>
    <w:div w:id="1280182064">
      <w:bodyDiv w:val="1"/>
      <w:marLeft w:val="0"/>
      <w:marRight w:val="0"/>
      <w:marTop w:val="0"/>
      <w:marBottom w:val="0"/>
      <w:divBdr>
        <w:top w:val="none" w:sz="0" w:space="0" w:color="auto"/>
        <w:left w:val="none" w:sz="0" w:space="0" w:color="auto"/>
        <w:bottom w:val="none" w:sz="0" w:space="0" w:color="auto"/>
        <w:right w:val="none" w:sz="0" w:space="0" w:color="auto"/>
      </w:divBdr>
    </w:div>
    <w:div w:id="1280182180">
      <w:bodyDiv w:val="1"/>
      <w:marLeft w:val="0"/>
      <w:marRight w:val="0"/>
      <w:marTop w:val="0"/>
      <w:marBottom w:val="0"/>
      <w:divBdr>
        <w:top w:val="none" w:sz="0" w:space="0" w:color="auto"/>
        <w:left w:val="none" w:sz="0" w:space="0" w:color="auto"/>
        <w:bottom w:val="none" w:sz="0" w:space="0" w:color="auto"/>
        <w:right w:val="none" w:sz="0" w:space="0" w:color="auto"/>
      </w:divBdr>
    </w:div>
    <w:div w:id="1280331832">
      <w:bodyDiv w:val="1"/>
      <w:marLeft w:val="0"/>
      <w:marRight w:val="0"/>
      <w:marTop w:val="0"/>
      <w:marBottom w:val="0"/>
      <w:divBdr>
        <w:top w:val="none" w:sz="0" w:space="0" w:color="auto"/>
        <w:left w:val="none" w:sz="0" w:space="0" w:color="auto"/>
        <w:bottom w:val="none" w:sz="0" w:space="0" w:color="auto"/>
        <w:right w:val="none" w:sz="0" w:space="0" w:color="auto"/>
      </w:divBdr>
    </w:div>
    <w:div w:id="1280336401">
      <w:bodyDiv w:val="1"/>
      <w:marLeft w:val="0"/>
      <w:marRight w:val="0"/>
      <w:marTop w:val="0"/>
      <w:marBottom w:val="0"/>
      <w:divBdr>
        <w:top w:val="none" w:sz="0" w:space="0" w:color="auto"/>
        <w:left w:val="none" w:sz="0" w:space="0" w:color="auto"/>
        <w:bottom w:val="none" w:sz="0" w:space="0" w:color="auto"/>
        <w:right w:val="none" w:sz="0" w:space="0" w:color="auto"/>
      </w:divBdr>
    </w:div>
    <w:div w:id="1280406119">
      <w:bodyDiv w:val="1"/>
      <w:marLeft w:val="0"/>
      <w:marRight w:val="0"/>
      <w:marTop w:val="0"/>
      <w:marBottom w:val="0"/>
      <w:divBdr>
        <w:top w:val="none" w:sz="0" w:space="0" w:color="auto"/>
        <w:left w:val="none" w:sz="0" w:space="0" w:color="auto"/>
        <w:bottom w:val="none" w:sz="0" w:space="0" w:color="auto"/>
        <w:right w:val="none" w:sz="0" w:space="0" w:color="auto"/>
      </w:divBdr>
    </w:div>
    <w:div w:id="1280407227">
      <w:bodyDiv w:val="1"/>
      <w:marLeft w:val="0"/>
      <w:marRight w:val="0"/>
      <w:marTop w:val="0"/>
      <w:marBottom w:val="0"/>
      <w:divBdr>
        <w:top w:val="none" w:sz="0" w:space="0" w:color="auto"/>
        <w:left w:val="none" w:sz="0" w:space="0" w:color="auto"/>
        <w:bottom w:val="none" w:sz="0" w:space="0" w:color="auto"/>
        <w:right w:val="none" w:sz="0" w:space="0" w:color="auto"/>
      </w:divBdr>
    </w:div>
    <w:div w:id="1280457152">
      <w:bodyDiv w:val="1"/>
      <w:marLeft w:val="0"/>
      <w:marRight w:val="0"/>
      <w:marTop w:val="0"/>
      <w:marBottom w:val="0"/>
      <w:divBdr>
        <w:top w:val="none" w:sz="0" w:space="0" w:color="auto"/>
        <w:left w:val="none" w:sz="0" w:space="0" w:color="auto"/>
        <w:bottom w:val="none" w:sz="0" w:space="0" w:color="auto"/>
        <w:right w:val="none" w:sz="0" w:space="0" w:color="auto"/>
      </w:divBdr>
    </w:div>
    <w:div w:id="1280525304">
      <w:bodyDiv w:val="1"/>
      <w:marLeft w:val="0"/>
      <w:marRight w:val="0"/>
      <w:marTop w:val="0"/>
      <w:marBottom w:val="0"/>
      <w:divBdr>
        <w:top w:val="none" w:sz="0" w:space="0" w:color="auto"/>
        <w:left w:val="none" w:sz="0" w:space="0" w:color="auto"/>
        <w:bottom w:val="none" w:sz="0" w:space="0" w:color="auto"/>
        <w:right w:val="none" w:sz="0" w:space="0" w:color="auto"/>
      </w:divBdr>
    </w:div>
    <w:div w:id="1280574285">
      <w:bodyDiv w:val="1"/>
      <w:marLeft w:val="0"/>
      <w:marRight w:val="0"/>
      <w:marTop w:val="0"/>
      <w:marBottom w:val="0"/>
      <w:divBdr>
        <w:top w:val="none" w:sz="0" w:space="0" w:color="auto"/>
        <w:left w:val="none" w:sz="0" w:space="0" w:color="auto"/>
        <w:bottom w:val="none" w:sz="0" w:space="0" w:color="auto"/>
        <w:right w:val="none" w:sz="0" w:space="0" w:color="auto"/>
      </w:divBdr>
    </w:div>
    <w:div w:id="1280642725">
      <w:bodyDiv w:val="1"/>
      <w:marLeft w:val="0"/>
      <w:marRight w:val="0"/>
      <w:marTop w:val="0"/>
      <w:marBottom w:val="0"/>
      <w:divBdr>
        <w:top w:val="none" w:sz="0" w:space="0" w:color="auto"/>
        <w:left w:val="none" w:sz="0" w:space="0" w:color="auto"/>
        <w:bottom w:val="none" w:sz="0" w:space="0" w:color="auto"/>
        <w:right w:val="none" w:sz="0" w:space="0" w:color="auto"/>
      </w:divBdr>
    </w:div>
    <w:div w:id="1280643521">
      <w:bodyDiv w:val="1"/>
      <w:marLeft w:val="0"/>
      <w:marRight w:val="0"/>
      <w:marTop w:val="0"/>
      <w:marBottom w:val="0"/>
      <w:divBdr>
        <w:top w:val="none" w:sz="0" w:space="0" w:color="auto"/>
        <w:left w:val="none" w:sz="0" w:space="0" w:color="auto"/>
        <w:bottom w:val="none" w:sz="0" w:space="0" w:color="auto"/>
        <w:right w:val="none" w:sz="0" w:space="0" w:color="auto"/>
      </w:divBdr>
    </w:div>
    <w:div w:id="1280648049">
      <w:bodyDiv w:val="1"/>
      <w:marLeft w:val="0"/>
      <w:marRight w:val="0"/>
      <w:marTop w:val="0"/>
      <w:marBottom w:val="0"/>
      <w:divBdr>
        <w:top w:val="none" w:sz="0" w:space="0" w:color="auto"/>
        <w:left w:val="none" w:sz="0" w:space="0" w:color="auto"/>
        <w:bottom w:val="none" w:sz="0" w:space="0" w:color="auto"/>
        <w:right w:val="none" w:sz="0" w:space="0" w:color="auto"/>
      </w:divBdr>
    </w:div>
    <w:div w:id="1280718842">
      <w:bodyDiv w:val="1"/>
      <w:marLeft w:val="0"/>
      <w:marRight w:val="0"/>
      <w:marTop w:val="0"/>
      <w:marBottom w:val="0"/>
      <w:divBdr>
        <w:top w:val="none" w:sz="0" w:space="0" w:color="auto"/>
        <w:left w:val="none" w:sz="0" w:space="0" w:color="auto"/>
        <w:bottom w:val="none" w:sz="0" w:space="0" w:color="auto"/>
        <w:right w:val="none" w:sz="0" w:space="0" w:color="auto"/>
      </w:divBdr>
    </w:div>
    <w:div w:id="1281033714">
      <w:bodyDiv w:val="1"/>
      <w:marLeft w:val="0"/>
      <w:marRight w:val="0"/>
      <w:marTop w:val="0"/>
      <w:marBottom w:val="0"/>
      <w:divBdr>
        <w:top w:val="none" w:sz="0" w:space="0" w:color="auto"/>
        <w:left w:val="none" w:sz="0" w:space="0" w:color="auto"/>
        <w:bottom w:val="none" w:sz="0" w:space="0" w:color="auto"/>
        <w:right w:val="none" w:sz="0" w:space="0" w:color="auto"/>
      </w:divBdr>
    </w:div>
    <w:div w:id="1281037072">
      <w:bodyDiv w:val="1"/>
      <w:marLeft w:val="0"/>
      <w:marRight w:val="0"/>
      <w:marTop w:val="0"/>
      <w:marBottom w:val="0"/>
      <w:divBdr>
        <w:top w:val="none" w:sz="0" w:space="0" w:color="auto"/>
        <w:left w:val="none" w:sz="0" w:space="0" w:color="auto"/>
        <w:bottom w:val="none" w:sz="0" w:space="0" w:color="auto"/>
        <w:right w:val="none" w:sz="0" w:space="0" w:color="auto"/>
      </w:divBdr>
    </w:div>
    <w:div w:id="1281229079">
      <w:bodyDiv w:val="1"/>
      <w:marLeft w:val="0"/>
      <w:marRight w:val="0"/>
      <w:marTop w:val="0"/>
      <w:marBottom w:val="0"/>
      <w:divBdr>
        <w:top w:val="none" w:sz="0" w:space="0" w:color="auto"/>
        <w:left w:val="none" w:sz="0" w:space="0" w:color="auto"/>
        <w:bottom w:val="none" w:sz="0" w:space="0" w:color="auto"/>
        <w:right w:val="none" w:sz="0" w:space="0" w:color="auto"/>
      </w:divBdr>
    </w:div>
    <w:div w:id="1281298454">
      <w:bodyDiv w:val="1"/>
      <w:marLeft w:val="0"/>
      <w:marRight w:val="0"/>
      <w:marTop w:val="0"/>
      <w:marBottom w:val="0"/>
      <w:divBdr>
        <w:top w:val="none" w:sz="0" w:space="0" w:color="auto"/>
        <w:left w:val="none" w:sz="0" w:space="0" w:color="auto"/>
        <w:bottom w:val="none" w:sz="0" w:space="0" w:color="auto"/>
        <w:right w:val="none" w:sz="0" w:space="0" w:color="auto"/>
      </w:divBdr>
    </w:div>
    <w:div w:id="1281300859">
      <w:bodyDiv w:val="1"/>
      <w:marLeft w:val="0"/>
      <w:marRight w:val="0"/>
      <w:marTop w:val="0"/>
      <w:marBottom w:val="0"/>
      <w:divBdr>
        <w:top w:val="none" w:sz="0" w:space="0" w:color="auto"/>
        <w:left w:val="none" w:sz="0" w:space="0" w:color="auto"/>
        <w:bottom w:val="none" w:sz="0" w:space="0" w:color="auto"/>
        <w:right w:val="none" w:sz="0" w:space="0" w:color="auto"/>
      </w:divBdr>
    </w:div>
    <w:div w:id="1281374425">
      <w:bodyDiv w:val="1"/>
      <w:marLeft w:val="0"/>
      <w:marRight w:val="0"/>
      <w:marTop w:val="0"/>
      <w:marBottom w:val="0"/>
      <w:divBdr>
        <w:top w:val="none" w:sz="0" w:space="0" w:color="auto"/>
        <w:left w:val="none" w:sz="0" w:space="0" w:color="auto"/>
        <w:bottom w:val="none" w:sz="0" w:space="0" w:color="auto"/>
        <w:right w:val="none" w:sz="0" w:space="0" w:color="auto"/>
      </w:divBdr>
    </w:div>
    <w:div w:id="1281452908">
      <w:bodyDiv w:val="1"/>
      <w:marLeft w:val="0"/>
      <w:marRight w:val="0"/>
      <w:marTop w:val="0"/>
      <w:marBottom w:val="0"/>
      <w:divBdr>
        <w:top w:val="none" w:sz="0" w:space="0" w:color="auto"/>
        <w:left w:val="none" w:sz="0" w:space="0" w:color="auto"/>
        <w:bottom w:val="none" w:sz="0" w:space="0" w:color="auto"/>
        <w:right w:val="none" w:sz="0" w:space="0" w:color="auto"/>
      </w:divBdr>
    </w:div>
    <w:div w:id="1281650275">
      <w:bodyDiv w:val="1"/>
      <w:marLeft w:val="0"/>
      <w:marRight w:val="0"/>
      <w:marTop w:val="0"/>
      <w:marBottom w:val="0"/>
      <w:divBdr>
        <w:top w:val="none" w:sz="0" w:space="0" w:color="auto"/>
        <w:left w:val="none" w:sz="0" w:space="0" w:color="auto"/>
        <w:bottom w:val="none" w:sz="0" w:space="0" w:color="auto"/>
        <w:right w:val="none" w:sz="0" w:space="0" w:color="auto"/>
      </w:divBdr>
    </w:div>
    <w:div w:id="1281650292">
      <w:bodyDiv w:val="1"/>
      <w:marLeft w:val="0"/>
      <w:marRight w:val="0"/>
      <w:marTop w:val="0"/>
      <w:marBottom w:val="0"/>
      <w:divBdr>
        <w:top w:val="none" w:sz="0" w:space="0" w:color="auto"/>
        <w:left w:val="none" w:sz="0" w:space="0" w:color="auto"/>
        <w:bottom w:val="none" w:sz="0" w:space="0" w:color="auto"/>
        <w:right w:val="none" w:sz="0" w:space="0" w:color="auto"/>
      </w:divBdr>
    </w:div>
    <w:div w:id="1281840631">
      <w:bodyDiv w:val="1"/>
      <w:marLeft w:val="0"/>
      <w:marRight w:val="0"/>
      <w:marTop w:val="0"/>
      <w:marBottom w:val="0"/>
      <w:divBdr>
        <w:top w:val="none" w:sz="0" w:space="0" w:color="auto"/>
        <w:left w:val="none" w:sz="0" w:space="0" w:color="auto"/>
        <w:bottom w:val="none" w:sz="0" w:space="0" w:color="auto"/>
        <w:right w:val="none" w:sz="0" w:space="0" w:color="auto"/>
      </w:divBdr>
    </w:div>
    <w:div w:id="1282107512">
      <w:bodyDiv w:val="1"/>
      <w:marLeft w:val="0"/>
      <w:marRight w:val="0"/>
      <w:marTop w:val="0"/>
      <w:marBottom w:val="0"/>
      <w:divBdr>
        <w:top w:val="none" w:sz="0" w:space="0" w:color="auto"/>
        <w:left w:val="none" w:sz="0" w:space="0" w:color="auto"/>
        <w:bottom w:val="none" w:sz="0" w:space="0" w:color="auto"/>
        <w:right w:val="none" w:sz="0" w:space="0" w:color="auto"/>
      </w:divBdr>
    </w:div>
    <w:div w:id="1282151136">
      <w:bodyDiv w:val="1"/>
      <w:marLeft w:val="0"/>
      <w:marRight w:val="0"/>
      <w:marTop w:val="0"/>
      <w:marBottom w:val="0"/>
      <w:divBdr>
        <w:top w:val="none" w:sz="0" w:space="0" w:color="auto"/>
        <w:left w:val="none" w:sz="0" w:space="0" w:color="auto"/>
        <w:bottom w:val="none" w:sz="0" w:space="0" w:color="auto"/>
        <w:right w:val="none" w:sz="0" w:space="0" w:color="auto"/>
      </w:divBdr>
    </w:div>
    <w:div w:id="1282416508">
      <w:bodyDiv w:val="1"/>
      <w:marLeft w:val="0"/>
      <w:marRight w:val="0"/>
      <w:marTop w:val="0"/>
      <w:marBottom w:val="0"/>
      <w:divBdr>
        <w:top w:val="none" w:sz="0" w:space="0" w:color="auto"/>
        <w:left w:val="none" w:sz="0" w:space="0" w:color="auto"/>
        <w:bottom w:val="none" w:sz="0" w:space="0" w:color="auto"/>
        <w:right w:val="none" w:sz="0" w:space="0" w:color="auto"/>
      </w:divBdr>
    </w:div>
    <w:div w:id="1282419963">
      <w:bodyDiv w:val="1"/>
      <w:marLeft w:val="0"/>
      <w:marRight w:val="0"/>
      <w:marTop w:val="0"/>
      <w:marBottom w:val="0"/>
      <w:divBdr>
        <w:top w:val="none" w:sz="0" w:space="0" w:color="auto"/>
        <w:left w:val="none" w:sz="0" w:space="0" w:color="auto"/>
        <w:bottom w:val="none" w:sz="0" w:space="0" w:color="auto"/>
        <w:right w:val="none" w:sz="0" w:space="0" w:color="auto"/>
      </w:divBdr>
    </w:div>
    <w:div w:id="1282423943">
      <w:bodyDiv w:val="1"/>
      <w:marLeft w:val="0"/>
      <w:marRight w:val="0"/>
      <w:marTop w:val="0"/>
      <w:marBottom w:val="0"/>
      <w:divBdr>
        <w:top w:val="none" w:sz="0" w:space="0" w:color="auto"/>
        <w:left w:val="none" w:sz="0" w:space="0" w:color="auto"/>
        <w:bottom w:val="none" w:sz="0" w:space="0" w:color="auto"/>
        <w:right w:val="none" w:sz="0" w:space="0" w:color="auto"/>
      </w:divBdr>
    </w:div>
    <w:div w:id="1282610706">
      <w:bodyDiv w:val="1"/>
      <w:marLeft w:val="0"/>
      <w:marRight w:val="0"/>
      <w:marTop w:val="0"/>
      <w:marBottom w:val="0"/>
      <w:divBdr>
        <w:top w:val="none" w:sz="0" w:space="0" w:color="auto"/>
        <w:left w:val="none" w:sz="0" w:space="0" w:color="auto"/>
        <w:bottom w:val="none" w:sz="0" w:space="0" w:color="auto"/>
        <w:right w:val="none" w:sz="0" w:space="0" w:color="auto"/>
      </w:divBdr>
    </w:div>
    <w:div w:id="1282616124">
      <w:bodyDiv w:val="1"/>
      <w:marLeft w:val="0"/>
      <w:marRight w:val="0"/>
      <w:marTop w:val="0"/>
      <w:marBottom w:val="0"/>
      <w:divBdr>
        <w:top w:val="none" w:sz="0" w:space="0" w:color="auto"/>
        <w:left w:val="none" w:sz="0" w:space="0" w:color="auto"/>
        <w:bottom w:val="none" w:sz="0" w:space="0" w:color="auto"/>
        <w:right w:val="none" w:sz="0" w:space="0" w:color="auto"/>
      </w:divBdr>
    </w:div>
    <w:div w:id="1282616530">
      <w:bodyDiv w:val="1"/>
      <w:marLeft w:val="0"/>
      <w:marRight w:val="0"/>
      <w:marTop w:val="0"/>
      <w:marBottom w:val="0"/>
      <w:divBdr>
        <w:top w:val="none" w:sz="0" w:space="0" w:color="auto"/>
        <w:left w:val="none" w:sz="0" w:space="0" w:color="auto"/>
        <w:bottom w:val="none" w:sz="0" w:space="0" w:color="auto"/>
        <w:right w:val="none" w:sz="0" w:space="0" w:color="auto"/>
      </w:divBdr>
    </w:div>
    <w:div w:id="1282691824">
      <w:bodyDiv w:val="1"/>
      <w:marLeft w:val="0"/>
      <w:marRight w:val="0"/>
      <w:marTop w:val="0"/>
      <w:marBottom w:val="0"/>
      <w:divBdr>
        <w:top w:val="none" w:sz="0" w:space="0" w:color="auto"/>
        <w:left w:val="none" w:sz="0" w:space="0" w:color="auto"/>
        <w:bottom w:val="none" w:sz="0" w:space="0" w:color="auto"/>
        <w:right w:val="none" w:sz="0" w:space="0" w:color="auto"/>
      </w:divBdr>
    </w:div>
    <w:div w:id="1282761535">
      <w:bodyDiv w:val="1"/>
      <w:marLeft w:val="0"/>
      <w:marRight w:val="0"/>
      <w:marTop w:val="0"/>
      <w:marBottom w:val="0"/>
      <w:divBdr>
        <w:top w:val="none" w:sz="0" w:space="0" w:color="auto"/>
        <w:left w:val="none" w:sz="0" w:space="0" w:color="auto"/>
        <w:bottom w:val="none" w:sz="0" w:space="0" w:color="auto"/>
        <w:right w:val="none" w:sz="0" w:space="0" w:color="auto"/>
      </w:divBdr>
    </w:div>
    <w:div w:id="1282878246">
      <w:bodyDiv w:val="1"/>
      <w:marLeft w:val="0"/>
      <w:marRight w:val="0"/>
      <w:marTop w:val="0"/>
      <w:marBottom w:val="0"/>
      <w:divBdr>
        <w:top w:val="none" w:sz="0" w:space="0" w:color="auto"/>
        <w:left w:val="none" w:sz="0" w:space="0" w:color="auto"/>
        <w:bottom w:val="none" w:sz="0" w:space="0" w:color="auto"/>
        <w:right w:val="none" w:sz="0" w:space="0" w:color="auto"/>
      </w:divBdr>
    </w:div>
    <w:div w:id="1282952434">
      <w:bodyDiv w:val="1"/>
      <w:marLeft w:val="0"/>
      <w:marRight w:val="0"/>
      <w:marTop w:val="0"/>
      <w:marBottom w:val="0"/>
      <w:divBdr>
        <w:top w:val="none" w:sz="0" w:space="0" w:color="auto"/>
        <w:left w:val="none" w:sz="0" w:space="0" w:color="auto"/>
        <w:bottom w:val="none" w:sz="0" w:space="0" w:color="auto"/>
        <w:right w:val="none" w:sz="0" w:space="0" w:color="auto"/>
      </w:divBdr>
    </w:div>
    <w:div w:id="1283003833">
      <w:bodyDiv w:val="1"/>
      <w:marLeft w:val="0"/>
      <w:marRight w:val="0"/>
      <w:marTop w:val="0"/>
      <w:marBottom w:val="0"/>
      <w:divBdr>
        <w:top w:val="none" w:sz="0" w:space="0" w:color="auto"/>
        <w:left w:val="none" w:sz="0" w:space="0" w:color="auto"/>
        <w:bottom w:val="none" w:sz="0" w:space="0" w:color="auto"/>
        <w:right w:val="none" w:sz="0" w:space="0" w:color="auto"/>
      </w:divBdr>
    </w:div>
    <w:div w:id="1283148847">
      <w:bodyDiv w:val="1"/>
      <w:marLeft w:val="0"/>
      <w:marRight w:val="0"/>
      <w:marTop w:val="0"/>
      <w:marBottom w:val="0"/>
      <w:divBdr>
        <w:top w:val="none" w:sz="0" w:space="0" w:color="auto"/>
        <w:left w:val="none" w:sz="0" w:space="0" w:color="auto"/>
        <w:bottom w:val="none" w:sz="0" w:space="0" w:color="auto"/>
        <w:right w:val="none" w:sz="0" w:space="0" w:color="auto"/>
      </w:divBdr>
    </w:div>
    <w:div w:id="1283221163">
      <w:bodyDiv w:val="1"/>
      <w:marLeft w:val="0"/>
      <w:marRight w:val="0"/>
      <w:marTop w:val="0"/>
      <w:marBottom w:val="0"/>
      <w:divBdr>
        <w:top w:val="none" w:sz="0" w:space="0" w:color="auto"/>
        <w:left w:val="none" w:sz="0" w:space="0" w:color="auto"/>
        <w:bottom w:val="none" w:sz="0" w:space="0" w:color="auto"/>
        <w:right w:val="none" w:sz="0" w:space="0" w:color="auto"/>
      </w:divBdr>
    </w:div>
    <w:div w:id="1283345534">
      <w:bodyDiv w:val="1"/>
      <w:marLeft w:val="0"/>
      <w:marRight w:val="0"/>
      <w:marTop w:val="0"/>
      <w:marBottom w:val="0"/>
      <w:divBdr>
        <w:top w:val="none" w:sz="0" w:space="0" w:color="auto"/>
        <w:left w:val="none" w:sz="0" w:space="0" w:color="auto"/>
        <w:bottom w:val="none" w:sz="0" w:space="0" w:color="auto"/>
        <w:right w:val="none" w:sz="0" w:space="0" w:color="auto"/>
      </w:divBdr>
    </w:div>
    <w:div w:id="1283414908">
      <w:bodyDiv w:val="1"/>
      <w:marLeft w:val="0"/>
      <w:marRight w:val="0"/>
      <w:marTop w:val="0"/>
      <w:marBottom w:val="0"/>
      <w:divBdr>
        <w:top w:val="none" w:sz="0" w:space="0" w:color="auto"/>
        <w:left w:val="none" w:sz="0" w:space="0" w:color="auto"/>
        <w:bottom w:val="none" w:sz="0" w:space="0" w:color="auto"/>
        <w:right w:val="none" w:sz="0" w:space="0" w:color="auto"/>
      </w:divBdr>
    </w:div>
    <w:div w:id="1283459764">
      <w:bodyDiv w:val="1"/>
      <w:marLeft w:val="0"/>
      <w:marRight w:val="0"/>
      <w:marTop w:val="0"/>
      <w:marBottom w:val="0"/>
      <w:divBdr>
        <w:top w:val="none" w:sz="0" w:space="0" w:color="auto"/>
        <w:left w:val="none" w:sz="0" w:space="0" w:color="auto"/>
        <w:bottom w:val="none" w:sz="0" w:space="0" w:color="auto"/>
        <w:right w:val="none" w:sz="0" w:space="0" w:color="auto"/>
      </w:divBdr>
    </w:div>
    <w:div w:id="1283463557">
      <w:bodyDiv w:val="1"/>
      <w:marLeft w:val="0"/>
      <w:marRight w:val="0"/>
      <w:marTop w:val="0"/>
      <w:marBottom w:val="0"/>
      <w:divBdr>
        <w:top w:val="none" w:sz="0" w:space="0" w:color="auto"/>
        <w:left w:val="none" w:sz="0" w:space="0" w:color="auto"/>
        <w:bottom w:val="none" w:sz="0" w:space="0" w:color="auto"/>
        <w:right w:val="none" w:sz="0" w:space="0" w:color="auto"/>
      </w:divBdr>
    </w:div>
    <w:div w:id="1283614912">
      <w:bodyDiv w:val="1"/>
      <w:marLeft w:val="0"/>
      <w:marRight w:val="0"/>
      <w:marTop w:val="0"/>
      <w:marBottom w:val="0"/>
      <w:divBdr>
        <w:top w:val="none" w:sz="0" w:space="0" w:color="auto"/>
        <w:left w:val="none" w:sz="0" w:space="0" w:color="auto"/>
        <w:bottom w:val="none" w:sz="0" w:space="0" w:color="auto"/>
        <w:right w:val="none" w:sz="0" w:space="0" w:color="auto"/>
      </w:divBdr>
    </w:div>
    <w:div w:id="1283684253">
      <w:bodyDiv w:val="1"/>
      <w:marLeft w:val="0"/>
      <w:marRight w:val="0"/>
      <w:marTop w:val="0"/>
      <w:marBottom w:val="0"/>
      <w:divBdr>
        <w:top w:val="none" w:sz="0" w:space="0" w:color="auto"/>
        <w:left w:val="none" w:sz="0" w:space="0" w:color="auto"/>
        <w:bottom w:val="none" w:sz="0" w:space="0" w:color="auto"/>
        <w:right w:val="none" w:sz="0" w:space="0" w:color="auto"/>
      </w:divBdr>
    </w:div>
    <w:div w:id="1283725521">
      <w:bodyDiv w:val="1"/>
      <w:marLeft w:val="0"/>
      <w:marRight w:val="0"/>
      <w:marTop w:val="0"/>
      <w:marBottom w:val="0"/>
      <w:divBdr>
        <w:top w:val="none" w:sz="0" w:space="0" w:color="auto"/>
        <w:left w:val="none" w:sz="0" w:space="0" w:color="auto"/>
        <w:bottom w:val="none" w:sz="0" w:space="0" w:color="auto"/>
        <w:right w:val="none" w:sz="0" w:space="0" w:color="auto"/>
      </w:divBdr>
    </w:div>
    <w:div w:id="1283809501">
      <w:bodyDiv w:val="1"/>
      <w:marLeft w:val="0"/>
      <w:marRight w:val="0"/>
      <w:marTop w:val="0"/>
      <w:marBottom w:val="0"/>
      <w:divBdr>
        <w:top w:val="none" w:sz="0" w:space="0" w:color="auto"/>
        <w:left w:val="none" w:sz="0" w:space="0" w:color="auto"/>
        <w:bottom w:val="none" w:sz="0" w:space="0" w:color="auto"/>
        <w:right w:val="none" w:sz="0" w:space="0" w:color="auto"/>
      </w:divBdr>
    </w:div>
    <w:div w:id="1283875889">
      <w:bodyDiv w:val="1"/>
      <w:marLeft w:val="0"/>
      <w:marRight w:val="0"/>
      <w:marTop w:val="0"/>
      <w:marBottom w:val="0"/>
      <w:divBdr>
        <w:top w:val="none" w:sz="0" w:space="0" w:color="auto"/>
        <w:left w:val="none" w:sz="0" w:space="0" w:color="auto"/>
        <w:bottom w:val="none" w:sz="0" w:space="0" w:color="auto"/>
        <w:right w:val="none" w:sz="0" w:space="0" w:color="auto"/>
      </w:divBdr>
    </w:div>
    <w:div w:id="1284076465">
      <w:bodyDiv w:val="1"/>
      <w:marLeft w:val="0"/>
      <w:marRight w:val="0"/>
      <w:marTop w:val="0"/>
      <w:marBottom w:val="0"/>
      <w:divBdr>
        <w:top w:val="none" w:sz="0" w:space="0" w:color="auto"/>
        <w:left w:val="none" w:sz="0" w:space="0" w:color="auto"/>
        <w:bottom w:val="none" w:sz="0" w:space="0" w:color="auto"/>
        <w:right w:val="none" w:sz="0" w:space="0" w:color="auto"/>
      </w:divBdr>
    </w:div>
    <w:div w:id="1284194941">
      <w:bodyDiv w:val="1"/>
      <w:marLeft w:val="0"/>
      <w:marRight w:val="0"/>
      <w:marTop w:val="0"/>
      <w:marBottom w:val="0"/>
      <w:divBdr>
        <w:top w:val="none" w:sz="0" w:space="0" w:color="auto"/>
        <w:left w:val="none" w:sz="0" w:space="0" w:color="auto"/>
        <w:bottom w:val="none" w:sz="0" w:space="0" w:color="auto"/>
        <w:right w:val="none" w:sz="0" w:space="0" w:color="auto"/>
      </w:divBdr>
    </w:div>
    <w:div w:id="1284271691">
      <w:bodyDiv w:val="1"/>
      <w:marLeft w:val="0"/>
      <w:marRight w:val="0"/>
      <w:marTop w:val="0"/>
      <w:marBottom w:val="0"/>
      <w:divBdr>
        <w:top w:val="none" w:sz="0" w:space="0" w:color="auto"/>
        <w:left w:val="none" w:sz="0" w:space="0" w:color="auto"/>
        <w:bottom w:val="none" w:sz="0" w:space="0" w:color="auto"/>
        <w:right w:val="none" w:sz="0" w:space="0" w:color="auto"/>
      </w:divBdr>
    </w:div>
    <w:div w:id="1284386351">
      <w:bodyDiv w:val="1"/>
      <w:marLeft w:val="0"/>
      <w:marRight w:val="0"/>
      <w:marTop w:val="0"/>
      <w:marBottom w:val="0"/>
      <w:divBdr>
        <w:top w:val="none" w:sz="0" w:space="0" w:color="auto"/>
        <w:left w:val="none" w:sz="0" w:space="0" w:color="auto"/>
        <w:bottom w:val="none" w:sz="0" w:space="0" w:color="auto"/>
        <w:right w:val="none" w:sz="0" w:space="0" w:color="auto"/>
      </w:divBdr>
    </w:div>
    <w:div w:id="1284387521">
      <w:bodyDiv w:val="1"/>
      <w:marLeft w:val="0"/>
      <w:marRight w:val="0"/>
      <w:marTop w:val="0"/>
      <w:marBottom w:val="0"/>
      <w:divBdr>
        <w:top w:val="none" w:sz="0" w:space="0" w:color="auto"/>
        <w:left w:val="none" w:sz="0" w:space="0" w:color="auto"/>
        <w:bottom w:val="none" w:sz="0" w:space="0" w:color="auto"/>
        <w:right w:val="none" w:sz="0" w:space="0" w:color="auto"/>
      </w:divBdr>
    </w:div>
    <w:div w:id="1284389628">
      <w:bodyDiv w:val="1"/>
      <w:marLeft w:val="0"/>
      <w:marRight w:val="0"/>
      <w:marTop w:val="0"/>
      <w:marBottom w:val="0"/>
      <w:divBdr>
        <w:top w:val="none" w:sz="0" w:space="0" w:color="auto"/>
        <w:left w:val="none" w:sz="0" w:space="0" w:color="auto"/>
        <w:bottom w:val="none" w:sz="0" w:space="0" w:color="auto"/>
        <w:right w:val="none" w:sz="0" w:space="0" w:color="auto"/>
      </w:divBdr>
    </w:div>
    <w:div w:id="1284462555">
      <w:bodyDiv w:val="1"/>
      <w:marLeft w:val="0"/>
      <w:marRight w:val="0"/>
      <w:marTop w:val="0"/>
      <w:marBottom w:val="0"/>
      <w:divBdr>
        <w:top w:val="none" w:sz="0" w:space="0" w:color="auto"/>
        <w:left w:val="none" w:sz="0" w:space="0" w:color="auto"/>
        <w:bottom w:val="none" w:sz="0" w:space="0" w:color="auto"/>
        <w:right w:val="none" w:sz="0" w:space="0" w:color="auto"/>
      </w:divBdr>
    </w:div>
    <w:div w:id="1284464431">
      <w:bodyDiv w:val="1"/>
      <w:marLeft w:val="0"/>
      <w:marRight w:val="0"/>
      <w:marTop w:val="0"/>
      <w:marBottom w:val="0"/>
      <w:divBdr>
        <w:top w:val="none" w:sz="0" w:space="0" w:color="auto"/>
        <w:left w:val="none" w:sz="0" w:space="0" w:color="auto"/>
        <w:bottom w:val="none" w:sz="0" w:space="0" w:color="auto"/>
        <w:right w:val="none" w:sz="0" w:space="0" w:color="auto"/>
      </w:divBdr>
    </w:div>
    <w:div w:id="1284531426">
      <w:bodyDiv w:val="1"/>
      <w:marLeft w:val="0"/>
      <w:marRight w:val="0"/>
      <w:marTop w:val="0"/>
      <w:marBottom w:val="0"/>
      <w:divBdr>
        <w:top w:val="none" w:sz="0" w:space="0" w:color="auto"/>
        <w:left w:val="none" w:sz="0" w:space="0" w:color="auto"/>
        <w:bottom w:val="none" w:sz="0" w:space="0" w:color="auto"/>
        <w:right w:val="none" w:sz="0" w:space="0" w:color="auto"/>
      </w:divBdr>
    </w:div>
    <w:div w:id="1284537408">
      <w:bodyDiv w:val="1"/>
      <w:marLeft w:val="0"/>
      <w:marRight w:val="0"/>
      <w:marTop w:val="0"/>
      <w:marBottom w:val="0"/>
      <w:divBdr>
        <w:top w:val="none" w:sz="0" w:space="0" w:color="auto"/>
        <w:left w:val="none" w:sz="0" w:space="0" w:color="auto"/>
        <w:bottom w:val="none" w:sz="0" w:space="0" w:color="auto"/>
        <w:right w:val="none" w:sz="0" w:space="0" w:color="auto"/>
      </w:divBdr>
    </w:div>
    <w:div w:id="1284653798">
      <w:bodyDiv w:val="1"/>
      <w:marLeft w:val="0"/>
      <w:marRight w:val="0"/>
      <w:marTop w:val="0"/>
      <w:marBottom w:val="0"/>
      <w:divBdr>
        <w:top w:val="none" w:sz="0" w:space="0" w:color="auto"/>
        <w:left w:val="none" w:sz="0" w:space="0" w:color="auto"/>
        <w:bottom w:val="none" w:sz="0" w:space="0" w:color="auto"/>
        <w:right w:val="none" w:sz="0" w:space="0" w:color="auto"/>
      </w:divBdr>
    </w:div>
    <w:div w:id="1284655736">
      <w:bodyDiv w:val="1"/>
      <w:marLeft w:val="0"/>
      <w:marRight w:val="0"/>
      <w:marTop w:val="0"/>
      <w:marBottom w:val="0"/>
      <w:divBdr>
        <w:top w:val="none" w:sz="0" w:space="0" w:color="auto"/>
        <w:left w:val="none" w:sz="0" w:space="0" w:color="auto"/>
        <w:bottom w:val="none" w:sz="0" w:space="0" w:color="auto"/>
        <w:right w:val="none" w:sz="0" w:space="0" w:color="auto"/>
      </w:divBdr>
    </w:div>
    <w:div w:id="1284846494">
      <w:bodyDiv w:val="1"/>
      <w:marLeft w:val="0"/>
      <w:marRight w:val="0"/>
      <w:marTop w:val="0"/>
      <w:marBottom w:val="0"/>
      <w:divBdr>
        <w:top w:val="none" w:sz="0" w:space="0" w:color="auto"/>
        <w:left w:val="none" w:sz="0" w:space="0" w:color="auto"/>
        <w:bottom w:val="none" w:sz="0" w:space="0" w:color="auto"/>
        <w:right w:val="none" w:sz="0" w:space="0" w:color="auto"/>
      </w:divBdr>
    </w:div>
    <w:div w:id="1284849112">
      <w:bodyDiv w:val="1"/>
      <w:marLeft w:val="0"/>
      <w:marRight w:val="0"/>
      <w:marTop w:val="0"/>
      <w:marBottom w:val="0"/>
      <w:divBdr>
        <w:top w:val="none" w:sz="0" w:space="0" w:color="auto"/>
        <w:left w:val="none" w:sz="0" w:space="0" w:color="auto"/>
        <w:bottom w:val="none" w:sz="0" w:space="0" w:color="auto"/>
        <w:right w:val="none" w:sz="0" w:space="0" w:color="auto"/>
      </w:divBdr>
    </w:div>
    <w:div w:id="1284921352">
      <w:bodyDiv w:val="1"/>
      <w:marLeft w:val="0"/>
      <w:marRight w:val="0"/>
      <w:marTop w:val="0"/>
      <w:marBottom w:val="0"/>
      <w:divBdr>
        <w:top w:val="none" w:sz="0" w:space="0" w:color="auto"/>
        <w:left w:val="none" w:sz="0" w:space="0" w:color="auto"/>
        <w:bottom w:val="none" w:sz="0" w:space="0" w:color="auto"/>
        <w:right w:val="none" w:sz="0" w:space="0" w:color="auto"/>
      </w:divBdr>
    </w:div>
    <w:div w:id="1284922474">
      <w:bodyDiv w:val="1"/>
      <w:marLeft w:val="0"/>
      <w:marRight w:val="0"/>
      <w:marTop w:val="0"/>
      <w:marBottom w:val="0"/>
      <w:divBdr>
        <w:top w:val="none" w:sz="0" w:space="0" w:color="auto"/>
        <w:left w:val="none" w:sz="0" w:space="0" w:color="auto"/>
        <w:bottom w:val="none" w:sz="0" w:space="0" w:color="auto"/>
        <w:right w:val="none" w:sz="0" w:space="0" w:color="auto"/>
      </w:divBdr>
    </w:div>
    <w:div w:id="1285035358">
      <w:bodyDiv w:val="1"/>
      <w:marLeft w:val="0"/>
      <w:marRight w:val="0"/>
      <w:marTop w:val="0"/>
      <w:marBottom w:val="0"/>
      <w:divBdr>
        <w:top w:val="none" w:sz="0" w:space="0" w:color="auto"/>
        <w:left w:val="none" w:sz="0" w:space="0" w:color="auto"/>
        <w:bottom w:val="none" w:sz="0" w:space="0" w:color="auto"/>
        <w:right w:val="none" w:sz="0" w:space="0" w:color="auto"/>
      </w:divBdr>
    </w:div>
    <w:div w:id="1285035948">
      <w:bodyDiv w:val="1"/>
      <w:marLeft w:val="0"/>
      <w:marRight w:val="0"/>
      <w:marTop w:val="0"/>
      <w:marBottom w:val="0"/>
      <w:divBdr>
        <w:top w:val="none" w:sz="0" w:space="0" w:color="auto"/>
        <w:left w:val="none" w:sz="0" w:space="0" w:color="auto"/>
        <w:bottom w:val="none" w:sz="0" w:space="0" w:color="auto"/>
        <w:right w:val="none" w:sz="0" w:space="0" w:color="auto"/>
      </w:divBdr>
    </w:div>
    <w:div w:id="1285041331">
      <w:bodyDiv w:val="1"/>
      <w:marLeft w:val="0"/>
      <w:marRight w:val="0"/>
      <w:marTop w:val="0"/>
      <w:marBottom w:val="0"/>
      <w:divBdr>
        <w:top w:val="none" w:sz="0" w:space="0" w:color="auto"/>
        <w:left w:val="none" w:sz="0" w:space="0" w:color="auto"/>
        <w:bottom w:val="none" w:sz="0" w:space="0" w:color="auto"/>
        <w:right w:val="none" w:sz="0" w:space="0" w:color="auto"/>
      </w:divBdr>
    </w:div>
    <w:div w:id="1285043668">
      <w:bodyDiv w:val="1"/>
      <w:marLeft w:val="0"/>
      <w:marRight w:val="0"/>
      <w:marTop w:val="0"/>
      <w:marBottom w:val="0"/>
      <w:divBdr>
        <w:top w:val="none" w:sz="0" w:space="0" w:color="auto"/>
        <w:left w:val="none" w:sz="0" w:space="0" w:color="auto"/>
        <w:bottom w:val="none" w:sz="0" w:space="0" w:color="auto"/>
        <w:right w:val="none" w:sz="0" w:space="0" w:color="auto"/>
      </w:divBdr>
    </w:div>
    <w:div w:id="1285498725">
      <w:bodyDiv w:val="1"/>
      <w:marLeft w:val="0"/>
      <w:marRight w:val="0"/>
      <w:marTop w:val="0"/>
      <w:marBottom w:val="0"/>
      <w:divBdr>
        <w:top w:val="none" w:sz="0" w:space="0" w:color="auto"/>
        <w:left w:val="none" w:sz="0" w:space="0" w:color="auto"/>
        <w:bottom w:val="none" w:sz="0" w:space="0" w:color="auto"/>
        <w:right w:val="none" w:sz="0" w:space="0" w:color="auto"/>
      </w:divBdr>
    </w:div>
    <w:div w:id="1285620933">
      <w:bodyDiv w:val="1"/>
      <w:marLeft w:val="0"/>
      <w:marRight w:val="0"/>
      <w:marTop w:val="0"/>
      <w:marBottom w:val="0"/>
      <w:divBdr>
        <w:top w:val="none" w:sz="0" w:space="0" w:color="auto"/>
        <w:left w:val="none" w:sz="0" w:space="0" w:color="auto"/>
        <w:bottom w:val="none" w:sz="0" w:space="0" w:color="auto"/>
        <w:right w:val="none" w:sz="0" w:space="0" w:color="auto"/>
      </w:divBdr>
    </w:div>
    <w:div w:id="1285624116">
      <w:bodyDiv w:val="1"/>
      <w:marLeft w:val="0"/>
      <w:marRight w:val="0"/>
      <w:marTop w:val="0"/>
      <w:marBottom w:val="0"/>
      <w:divBdr>
        <w:top w:val="none" w:sz="0" w:space="0" w:color="auto"/>
        <w:left w:val="none" w:sz="0" w:space="0" w:color="auto"/>
        <w:bottom w:val="none" w:sz="0" w:space="0" w:color="auto"/>
        <w:right w:val="none" w:sz="0" w:space="0" w:color="auto"/>
      </w:divBdr>
    </w:div>
    <w:div w:id="1285690886">
      <w:bodyDiv w:val="1"/>
      <w:marLeft w:val="0"/>
      <w:marRight w:val="0"/>
      <w:marTop w:val="0"/>
      <w:marBottom w:val="0"/>
      <w:divBdr>
        <w:top w:val="none" w:sz="0" w:space="0" w:color="auto"/>
        <w:left w:val="none" w:sz="0" w:space="0" w:color="auto"/>
        <w:bottom w:val="none" w:sz="0" w:space="0" w:color="auto"/>
        <w:right w:val="none" w:sz="0" w:space="0" w:color="auto"/>
      </w:divBdr>
    </w:div>
    <w:div w:id="1285699843">
      <w:bodyDiv w:val="1"/>
      <w:marLeft w:val="0"/>
      <w:marRight w:val="0"/>
      <w:marTop w:val="0"/>
      <w:marBottom w:val="0"/>
      <w:divBdr>
        <w:top w:val="none" w:sz="0" w:space="0" w:color="auto"/>
        <w:left w:val="none" w:sz="0" w:space="0" w:color="auto"/>
        <w:bottom w:val="none" w:sz="0" w:space="0" w:color="auto"/>
        <w:right w:val="none" w:sz="0" w:space="0" w:color="auto"/>
      </w:divBdr>
    </w:div>
    <w:div w:id="1285773732">
      <w:bodyDiv w:val="1"/>
      <w:marLeft w:val="0"/>
      <w:marRight w:val="0"/>
      <w:marTop w:val="0"/>
      <w:marBottom w:val="0"/>
      <w:divBdr>
        <w:top w:val="none" w:sz="0" w:space="0" w:color="auto"/>
        <w:left w:val="none" w:sz="0" w:space="0" w:color="auto"/>
        <w:bottom w:val="none" w:sz="0" w:space="0" w:color="auto"/>
        <w:right w:val="none" w:sz="0" w:space="0" w:color="auto"/>
      </w:divBdr>
    </w:div>
    <w:div w:id="1285775735">
      <w:bodyDiv w:val="1"/>
      <w:marLeft w:val="0"/>
      <w:marRight w:val="0"/>
      <w:marTop w:val="0"/>
      <w:marBottom w:val="0"/>
      <w:divBdr>
        <w:top w:val="none" w:sz="0" w:space="0" w:color="auto"/>
        <w:left w:val="none" w:sz="0" w:space="0" w:color="auto"/>
        <w:bottom w:val="none" w:sz="0" w:space="0" w:color="auto"/>
        <w:right w:val="none" w:sz="0" w:space="0" w:color="auto"/>
      </w:divBdr>
    </w:div>
    <w:div w:id="1285892724">
      <w:bodyDiv w:val="1"/>
      <w:marLeft w:val="0"/>
      <w:marRight w:val="0"/>
      <w:marTop w:val="0"/>
      <w:marBottom w:val="0"/>
      <w:divBdr>
        <w:top w:val="none" w:sz="0" w:space="0" w:color="auto"/>
        <w:left w:val="none" w:sz="0" w:space="0" w:color="auto"/>
        <w:bottom w:val="none" w:sz="0" w:space="0" w:color="auto"/>
        <w:right w:val="none" w:sz="0" w:space="0" w:color="auto"/>
      </w:divBdr>
    </w:div>
    <w:div w:id="1286038137">
      <w:bodyDiv w:val="1"/>
      <w:marLeft w:val="0"/>
      <w:marRight w:val="0"/>
      <w:marTop w:val="0"/>
      <w:marBottom w:val="0"/>
      <w:divBdr>
        <w:top w:val="none" w:sz="0" w:space="0" w:color="auto"/>
        <w:left w:val="none" w:sz="0" w:space="0" w:color="auto"/>
        <w:bottom w:val="none" w:sz="0" w:space="0" w:color="auto"/>
        <w:right w:val="none" w:sz="0" w:space="0" w:color="auto"/>
      </w:divBdr>
    </w:div>
    <w:div w:id="1286086208">
      <w:bodyDiv w:val="1"/>
      <w:marLeft w:val="0"/>
      <w:marRight w:val="0"/>
      <w:marTop w:val="0"/>
      <w:marBottom w:val="0"/>
      <w:divBdr>
        <w:top w:val="none" w:sz="0" w:space="0" w:color="auto"/>
        <w:left w:val="none" w:sz="0" w:space="0" w:color="auto"/>
        <w:bottom w:val="none" w:sz="0" w:space="0" w:color="auto"/>
        <w:right w:val="none" w:sz="0" w:space="0" w:color="auto"/>
      </w:divBdr>
    </w:div>
    <w:div w:id="1286305475">
      <w:bodyDiv w:val="1"/>
      <w:marLeft w:val="0"/>
      <w:marRight w:val="0"/>
      <w:marTop w:val="0"/>
      <w:marBottom w:val="0"/>
      <w:divBdr>
        <w:top w:val="none" w:sz="0" w:space="0" w:color="auto"/>
        <w:left w:val="none" w:sz="0" w:space="0" w:color="auto"/>
        <w:bottom w:val="none" w:sz="0" w:space="0" w:color="auto"/>
        <w:right w:val="none" w:sz="0" w:space="0" w:color="auto"/>
      </w:divBdr>
    </w:div>
    <w:div w:id="1286351924">
      <w:bodyDiv w:val="1"/>
      <w:marLeft w:val="0"/>
      <w:marRight w:val="0"/>
      <w:marTop w:val="0"/>
      <w:marBottom w:val="0"/>
      <w:divBdr>
        <w:top w:val="none" w:sz="0" w:space="0" w:color="auto"/>
        <w:left w:val="none" w:sz="0" w:space="0" w:color="auto"/>
        <w:bottom w:val="none" w:sz="0" w:space="0" w:color="auto"/>
        <w:right w:val="none" w:sz="0" w:space="0" w:color="auto"/>
      </w:divBdr>
    </w:div>
    <w:div w:id="1286691947">
      <w:bodyDiv w:val="1"/>
      <w:marLeft w:val="0"/>
      <w:marRight w:val="0"/>
      <w:marTop w:val="0"/>
      <w:marBottom w:val="0"/>
      <w:divBdr>
        <w:top w:val="none" w:sz="0" w:space="0" w:color="auto"/>
        <w:left w:val="none" w:sz="0" w:space="0" w:color="auto"/>
        <w:bottom w:val="none" w:sz="0" w:space="0" w:color="auto"/>
        <w:right w:val="none" w:sz="0" w:space="0" w:color="auto"/>
      </w:divBdr>
    </w:div>
    <w:div w:id="1286766247">
      <w:bodyDiv w:val="1"/>
      <w:marLeft w:val="0"/>
      <w:marRight w:val="0"/>
      <w:marTop w:val="0"/>
      <w:marBottom w:val="0"/>
      <w:divBdr>
        <w:top w:val="none" w:sz="0" w:space="0" w:color="auto"/>
        <w:left w:val="none" w:sz="0" w:space="0" w:color="auto"/>
        <w:bottom w:val="none" w:sz="0" w:space="0" w:color="auto"/>
        <w:right w:val="none" w:sz="0" w:space="0" w:color="auto"/>
      </w:divBdr>
    </w:div>
    <w:div w:id="1286816302">
      <w:bodyDiv w:val="1"/>
      <w:marLeft w:val="0"/>
      <w:marRight w:val="0"/>
      <w:marTop w:val="0"/>
      <w:marBottom w:val="0"/>
      <w:divBdr>
        <w:top w:val="none" w:sz="0" w:space="0" w:color="auto"/>
        <w:left w:val="none" w:sz="0" w:space="0" w:color="auto"/>
        <w:bottom w:val="none" w:sz="0" w:space="0" w:color="auto"/>
        <w:right w:val="none" w:sz="0" w:space="0" w:color="auto"/>
      </w:divBdr>
    </w:div>
    <w:div w:id="1286883335">
      <w:bodyDiv w:val="1"/>
      <w:marLeft w:val="0"/>
      <w:marRight w:val="0"/>
      <w:marTop w:val="0"/>
      <w:marBottom w:val="0"/>
      <w:divBdr>
        <w:top w:val="none" w:sz="0" w:space="0" w:color="auto"/>
        <w:left w:val="none" w:sz="0" w:space="0" w:color="auto"/>
        <w:bottom w:val="none" w:sz="0" w:space="0" w:color="auto"/>
        <w:right w:val="none" w:sz="0" w:space="0" w:color="auto"/>
      </w:divBdr>
    </w:div>
    <w:div w:id="1286886798">
      <w:bodyDiv w:val="1"/>
      <w:marLeft w:val="0"/>
      <w:marRight w:val="0"/>
      <w:marTop w:val="0"/>
      <w:marBottom w:val="0"/>
      <w:divBdr>
        <w:top w:val="none" w:sz="0" w:space="0" w:color="auto"/>
        <w:left w:val="none" w:sz="0" w:space="0" w:color="auto"/>
        <w:bottom w:val="none" w:sz="0" w:space="0" w:color="auto"/>
        <w:right w:val="none" w:sz="0" w:space="0" w:color="auto"/>
      </w:divBdr>
    </w:div>
    <w:div w:id="1286933624">
      <w:bodyDiv w:val="1"/>
      <w:marLeft w:val="0"/>
      <w:marRight w:val="0"/>
      <w:marTop w:val="0"/>
      <w:marBottom w:val="0"/>
      <w:divBdr>
        <w:top w:val="none" w:sz="0" w:space="0" w:color="auto"/>
        <w:left w:val="none" w:sz="0" w:space="0" w:color="auto"/>
        <w:bottom w:val="none" w:sz="0" w:space="0" w:color="auto"/>
        <w:right w:val="none" w:sz="0" w:space="0" w:color="auto"/>
      </w:divBdr>
    </w:div>
    <w:div w:id="1287004531">
      <w:bodyDiv w:val="1"/>
      <w:marLeft w:val="0"/>
      <w:marRight w:val="0"/>
      <w:marTop w:val="0"/>
      <w:marBottom w:val="0"/>
      <w:divBdr>
        <w:top w:val="none" w:sz="0" w:space="0" w:color="auto"/>
        <w:left w:val="none" w:sz="0" w:space="0" w:color="auto"/>
        <w:bottom w:val="none" w:sz="0" w:space="0" w:color="auto"/>
        <w:right w:val="none" w:sz="0" w:space="0" w:color="auto"/>
      </w:divBdr>
    </w:div>
    <w:div w:id="1287006821">
      <w:bodyDiv w:val="1"/>
      <w:marLeft w:val="0"/>
      <w:marRight w:val="0"/>
      <w:marTop w:val="0"/>
      <w:marBottom w:val="0"/>
      <w:divBdr>
        <w:top w:val="none" w:sz="0" w:space="0" w:color="auto"/>
        <w:left w:val="none" w:sz="0" w:space="0" w:color="auto"/>
        <w:bottom w:val="none" w:sz="0" w:space="0" w:color="auto"/>
        <w:right w:val="none" w:sz="0" w:space="0" w:color="auto"/>
      </w:divBdr>
    </w:div>
    <w:div w:id="1287008293">
      <w:bodyDiv w:val="1"/>
      <w:marLeft w:val="0"/>
      <w:marRight w:val="0"/>
      <w:marTop w:val="0"/>
      <w:marBottom w:val="0"/>
      <w:divBdr>
        <w:top w:val="none" w:sz="0" w:space="0" w:color="auto"/>
        <w:left w:val="none" w:sz="0" w:space="0" w:color="auto"/>
        <w:bottom w:val="none" w:sz="0" w:space="0" w:color="auto"/>
        <w:right w:val="none" w:sz="0" w:space="0" w:color="auto"/>
      </w:divBdr>
    </w:div>
    <w:div w:id="1287159166">
      <w:bodyDiv w:val="1"/>
      <w:marLeft w:val="0"/>
      <w:marRight w:val="0"/>
      <w:marTop w:val="0"/>
      <w:marBottom w:val="0"/>
      <w:divBdr>
        <w:top w:val="none" w:sz="0" w:space="0" w:color="auto"/>
        <w:left w:val="none" w:sz="0" w:space="0" w:color="auto"/>
        <w:bottom w:val="none" w:sz="0" w:space="0" w:color="auto"/>
        <w:right w:val="none" w:sz="0" w:space="0" w:color="auto"/>
      </w:divBdr>
    </w:div>
    <w:div w:id="1287201812">
      <w:bodyDiv w:val="1"/>
      <w:marLeft w:val="0"/>
      <w:marRight w:val="0"/>
      <w:marTop w:val="0"/>
      <w:marBottom w:val="0"/>
      <w:divBdr>
        <w:top w:val="none" w:sz="0" w:space="0" w:color="auto"/>
        <w:left w:val="none" w:sz="0" w:space="0" w:color="auto"/>
        <w:bottom w:val="none" w:sz="0" w:space="0" w:color="auto"/>
        <w:right w:val="none" w:sz="0" w:space="0" w:color="auto"/>
      </w:divBdr>
    </w:div>
    <w:div w:id="1287270388">
      <w:bodyDiv w:val="1"/>
      <w:marLeft w:val="0"/>
      <w:marRight w:val="0"/>
      <w:marTop w:val="0"/>
      <w:marBottom w:val="0"/>
      <w:divBdr>
        <w:top w:val="none" w:sz="0" w:space="0" w:color="auto"/>
        <w:left w:val="none" w:sz="0" w:space="0" w:color="auto"/>
        <w:bottom w:val="none" w:sz="0" w:space="0" w:color="auto"/>
        <w:right w:val="none" w:sz="0" w:space="0" w:color="auto"/>
      </w:divBdr>
    </w:div>
    <w:div w:id="1287354470">
      <w:bodyDiv w:val="1"/>
      <w:marLeft w:val="0"/>
      <w:marRight w:val="0"/>
      <w:marTop w:val="0"/>
      <w:marBottom w:val="0"/>
      <w:divBdr>
        <w:top w:val="none" w:sz="0" w:space="0" w:color="auto"/>
        <w:left w:val="none" w:sz="0" w:space="0" w:color="auto"/>
        <w:bottom w:val="none" w:sz="0" w:space="0" w:color="auto"/>
        <w:right w:val="none" w:sz="0" w:space="0" w:color="auto"/>
      </w:divBdr>
    </w:div>
    <w:div w:id="1287392439">
      <w:bodyDiv w:val="1"/>
      <w:marLeft w:val="0"/>
      <w:marRight w:val="0"/>
      <w:marTop w:val="0"/>
      <w:marBottom w:val="0"/>
      <w:divBdr>
        <w:top w:val="none" w:sz="0" w:space="0" w:color="auto"/>
        <w:left w:val="none" w:sz="0" w:space="0" w:color="auto"/>
        <w:bottom w:val="none" w:sz="0" w:space="0" w:color="auto"/>
        <w:right w:val="none" w:sz="0" w:space="0" w:color="auto"/>
      </w:divBdr>
    </w:div>
    <w:div w:id="1287463471">
      <w:bodyDiv w:val="1"/>
      <w:marLeft w:val="0"/>
      <w:marRight w:val="0"/>
      <w:marTop w:val="0"/>
      <w:marBottom w:val="0"/>
      <w:divBdr>
        <w:top w:val="none" w:sz="0" w:space="0" w:color="auto"/>
        <w:left w:val="none" w:sz="0" w:space="0" w:color="auto"/>
        <w:bottom w:val="none" w:sz="0" w:space="0" w:color="auto"/>
        <w:right w:val="none" w:sz="0" w:space="0" w:color="auto"/>
      </w:divBdr>
    </w:div>
    <w:div w:id="1287586285">
      <w:bodyDiv w:val="1"/>
      <w:marLeft w:val="0"/>
      <w:marRight w:val="0"/>
      <w:marTop w:val="0"/>
      <w:marBottom w:val="0"/>
      <w:divBdr>
        <w:top w:val="none" w:sz="0" w:space="0" w:color="auto"/>
        <w:left w:val="none" w:sz="0" w:space="0" w:color="auto"/>
        <w:bottom w:val="none" w:sz="0" w:space="0" w:color="auto"/>
        <w:right w:val="none" w:sz="0" w:space="0" w:color="auto"/>
      </w:divBdr>
    </w:div>
    <w:div w:id="1287783070">
      <w:bodyDiv w:val="1"/>
      <w:marLeft w:val="0"/>
      <w:marRight w:val="0"/>
      <w:marTop w:val="0"/>
      <w:marBottom w:val="0"/>
      <w:divBdr>
        <w:top w:val="none" w:sz="0" w:space="0" w:color="auto"/>
        <w:left w:val="none" w:sz="0" w:space="0" w:color="auto"/>
        <w:bottom w:val="none" w:sz="0" w:space="0" w:color="auto"/>
        <w:right w:val="none" w:sz="0" w:space="0" w:color="auto"/>
      </w:divBdr>
    </w:div>
    <w:div w:id="1287808506">
      <w:bodyDiv w:val="1"/>
      <w:marLeft w:val="0"/>
      <w:marRight w:val="0"/>
      <w:marTop w:val="0"/>
      <w:marBottom w:val="0"/>
      <w:divBdr>
        <w:top w:val="none" w:sz="0" w:space="0" w:color="auto"/>
        <w:left w:val="none" w:sz="0" w:space="0" w:color="auto"/>
        <w:bottom w:val="none" w:sz="0" w:space="0" w:color="auto"/>
        <w:right w:val="none" w:sz="0" w:space="0" w:color="auto"/>
      </w:divBdr>
    </w:div>
    <w:div w:id="1287809493">
      <w:bodyDiv w:val="1"/>
      <w:marLeft w:val="0"/>
      <w:marRight w:val="0"/>
      <w:marTop w:val="0"/>
      <w:marBottom w:val="0"/>
      <w:divBdr>
        <w:top w:val="none" w:sz="0" w:space="0" w:color="auto"/>
        <w:left w:val="none" w:sz="0" w:space="0" w:color="auto"/>
        <w:bottom w:val="none" w:sz="0" w:space="0" w:color="auto"/>
        <w:right w:val="none" w:sz="0" w:space="0" w:color="auto"/>
      </w:divBdr>
    </w:div>
    <w:div w:id="1287857538">
      <w:bodyDiv w:val="1"/>
      <w:marLeft w:val="0"/>
      <w:marRight w:val="0"/>
      <w:marTop w:val="0"/>
      <w:marBottom w:val="0"/>
      <w:divBdr>
        <w:top w:val="none" w:sz="0" w:space="0" w:color="auto"/>
        <w:left w:val="none" w:sz="0" w:space="0" w:color="auto"/>
        <w:bottom w:val="none" w:sz="0" w:space="0" w:color="auto"/>
        <w:right w:val="none" w:sz="0" w:space="0" w:color="auto"/>
      </w:divBdr>
    </w:div>
    <w:div w:id="1288003817">
      <w:bodyDiv w:val="1"/>
      <w:marLeft w:val="0"/>
      <w:marRight w:val="0"/>
      <w:marTop w:val="0"/>
      <w:marBottom w:val="0"/>
      <w:divBdr>
        <w:top w:val="none" w:sz="0" w:space="0" w:color="auto"/>
        <w:left w:val="none" w:sz="0" w:space="0" w:color="auto"/>
        <w:bottom w:val="none" w:sz="0" w:space="0" w:color="auto"/>
        <w:right w:val="none" w:sz="0" w:space="0" w:color="auto"/>
      </w:divBdr>
    </w:div>
    <w:div w:id="1288047653">
      <w:bodyDiv w:val="1"/>
      <w:marLeft w:val="0"/>
      <w:marRight w:val="0"/>
      <w:marTop w:val="0"/>
      <w:marBottom w:val="0"/>
      <w:divBdr>
        <w:top w:val="none" w:sz="0" w:space="0" w:color="auto"/>
        <w:left w:val="none" w:sz="0" w:space="0" w:color="auto"/>
        <w:bottom w:val="none" w:sz="0" w:space="0" w:color="auto"/>
        <w:right w:val="none" w:sz="0" w:space="0" w:color="auto"/>
      </w:divBdr>
    </w:div>
    <w:div w:id="1288314247">
      <w:bodyDiv w:val="1"/>
      <w:marLeft w:val="0"/>
      <w:marRight w:val="0"/>
      <w:marTop w:val="0"/>
      <w:marBottom w:val="0"/>
      <w:divBdr>
        <w:top w:val="none" w:sz="0" w:space="0" w:color="auto"/>
        <w:left w:val="none" w:sz="0" w:space="0" w:color="auto"/>
        <w:bottom w:val="none" w:sz="0" w:space="0" w:color="auto"/>
        <w:right w:val="none" w:sz="0" w:space="0" w:color="auto"/>
      </w:divBdr>
    </w:div>
    <w:div w:id="1288466058">
      <w:bodyDiv w:val="1"/>
      <w:marLeft w:val="0"/>
      <w:marRight w:val="0"/>
      <w:marTop w:val="0"/>
      <w:marBottom w:val="0"/>
      <w:divBdr>
        <w:top w:val="none" w:sz="0" w:space="0" w:color="auto"/>
        <w:left w:val="none" w:sz="0" w:space="0" w:color="auto"/>
        <w:bottom w:val="none" w:sz="0" w:space="0" w:color="auto"/>
        <w:right w:val="none" w:sz="0" w:space="0" w:color="auto"/>
      </w:divBdr>
    </w:div>
    <w:div w:id="1288505247">
      <w:bodyDiv w:val="1"/>
      <w:marLeft w:val="0"/>
      <w:marRight w:val="0"/>
      <w:marTop w:val="0"/>
      <w:marBottom w:val="0"/>
      <w:divBdr>
        <w:top w:val="none" w:sz="0" w:space="0" w:color="auto"/>
        <w:left w:val="none" w:sz="0" w:space="0" w:color="auto"/>
        <w:bottom w:val="none" w:sz="0" w:space="0" w:color="auto"/>
        <w:right w:val="none" w:sz="0" w:space="0" w:color="auto"/>
      </w:divBdr>
    </w:div>
    <w:div w:id="1288511219">
      <w:bodyDiv w:val="1"/>
      <w:marLeft w:val="0"/>
      <w:marRight w:val="0"/>
      <w:marTop w:val="0"/>
      <w:marBottom w:val="0"/>
      <w:divBdr>
        <w:top w:val="none" w:sz="0" w:space="0" w:color="auto"/>
        <w:left w:val="none" w:sz="0" w:space="0" w:color="auto"/>
        <w:bottom w:val="none" w:sz="0" w:space="0" w:color="auto"/>
        <w:right w:val="none" w:sz="0" w:space="0" w:color="auto"/>
      </w:divBdr>
    </w:div>
    <w:div w:id="1288700778">
      <w:bodyDiv w:val="1"/>
      <w:marLeft w:val="0"/>
      <w:marRight w:val="0"/>
      <w:marTop w:val="0"/>
      <w:marBottom w:val="0"/>
      <w:divBdr>
        <w:top w:val="none" w:sz="0" w:space="0" w:color="auto"/>
        <w:left w:val="none" w:sz="0" w:space="0" w:color="auto"/>
        <w:bottom w:val="none" w:sz="0" w:space="0" w:color="auto"/>
        <w:right w:val="none" w:sz="0" w:space="0" w:color="auto"/>
      </w:divBdr>
    </w:div>
    <w:div w:id="1288850131">
      <w:bodyDiv w:val="1"/>
      <w:marLeft w:val="0"/>
      <w:marRight w:val="0"/>
      <w:marTop w:val="0"/>
      <w:marBottom w:val="0"/>
      <w:divBdr>
        <w:top w:val="none" w:sz="0" w:space="0" w:color="auto"/>
        <w:left w:val="none" w:sz="0" w:space="0" w:color="auto"/>
        <w:bottom w:val="none" w:sz="0" w:space="0" w:color="auto"/>
        <w:right w:val="none" w:sz="0" w:space="0" w:color="auto"/>
      </w:divBdr>
    </w:div>
    <w:div w:id="1288850615">
      <w:bodyDiv w:val="1"/>
      <w:marLeft w:val="0"/>
      <w:marRight w:val="0"/>
      <w:marTop w:val="0"/>
      <w:marBottom w:val="0"/>
      <w:divBdr>
        <w:top w:val="none" w:sz="0" w:space="0" w:color="auto"/>
        <w:left w:val="none" w:sz="0" w:space="0" w:color="auto"/>
        <w:bottom w:val="none" w:sz="0" w:space="0" w:color="auto"/>
        <w:right w:val="none" w:sz="0" w:space="0" w:color="auto"/>
      </w:divBdr>
    </w:div>
    <w:div w:id="1288853053">
      <w:bodyDiv w:val="1"/>
      <w:marLeft w:val="0"/>
      <w:marRight w:val="0"/>
      <w:marTop w:val="0"/>
      <w:marBottom w:val="0"/>
      <w:divBdr>
        <w:top w:val="none" w:sz="0" w:space="0" w:color="auto"/>
        <w:left w:val="none" w:sz="0" w:space="0" w:color="auto"/>
        <w:bottom w:val="none" w:sz="0" w:space="0" w:color="auto"/>
        <w:right w:val="none" w:sz="0" w:space="0" w:color="auto"/>
      </w:divBdr>
    </w:div>
    <w:div w:id="1288855392">
      <w:bodyDiv w:val="1"/>
      <w:marLeft w:val="0"/>
      <w:marRight w:val="0"/>
      <w:marTop w:val="0"/>
      <w:marBottom w:val="0"/>
      <w:divBdr>
        <w:top w:val="none" w:sz="0" w:space="0" w:color="auto"/>
        <w:left w:val="none" w:sz="0" w:space="0" w:color="auto"/>
        <w:bottom w:val="none" w:sz="0" w:space="0" w:color="auto"/>
        <w:right w:val="none" w:sz="0" w:space="0" w:color="auto"/>
      </w:divBdr>
    </w:div>
    <w:div w:id="1288973713">
      <w:bodyDiv w:val="1"/>
      <w:marLeft w:val="0"/>
      <w:marRight w:val="0"/>
      <w:marTop w:val="0"/>
      <w:marBottom w:val="0"/>
      <w:divBdr>
        <w:top w:val="none" w:sz="0" w:space="0" w:color="auto"/>
        <w:left w:val="none" w:sz="0" w:space="0" w:color="auto"/>
        <w:bottom w:val="none" w:sz="0" w:space="0" w:color="auto"/>
        <w:right w:val="none" w:sz="0" w:space="0" w:color="auto"/>
      </w:divBdr>
    </w:div>
    <w:div w:id="1289049754">
      <w:bodyDiv w:val="1"/>
      <w:marLeft w:val="0"/>
      <w:marRight w:val="0"/>
      <w:marTop w:val="0"/>
      <w:marBottom w:val="0"/>
      <w:divBdr>
        <w:top w:val="none" w:sz="0" w:space="0" w:color="auto"/>
        <w:left w:val="none" w:sz="0" w:space="0" w:color="auto"/>
        <w:bottom w:val="none" w:sz="0" w:space="0" w:color="auto"/>
        <w:right w:val="none" w:sz="0" w:space="0" w:color="auto"/>
      </w:divBdr>
    </w:div>
    <w:div w:id="1289315031">
      <w:bodyDiv w:val="1"/>
      <w:marLeft w:val="0"/>
      <w:marRight w:val="0"/>
      <w:marTop w:val="0"/>
      <w:marBottom w:val="0"/>
      <w:divBdr>
        <w:top w:val="none" w:sz="0" w:space="0" w:color="auto"/>
        <w:left w:val="none" w:sz="0" w:space="0" w:color="auto"/>
        <w:bottom w:val="none" w:sz="0" w:space="0" w:color="auto"/>
        <w:right w:val="none" w:sz="0" w:space="0" w:color="auto"/>
      </w:divBdr>
    </w:div>
    <w:div w:id="1289315067">
      <w:bodyDiv w:val="1"/>
      <w:marLeft w:val="0"/>
      <w:marRight w:val="0"/>
      <w:marTop w:val="0"/>
      <w:marBottom w:val="0"/>
      <w:divBdr>
        <w:top w:val="none" w:sz="0" w:space="0" w:color="auto"/>
        <w:left w:val="none" w:sz="0" w:space="0" w:color="auto"/>
        <w:bottom w:val="none" w:sz="0" w:space="0" w:color="auto"/>
        <w:right w:val="none" w:sz="0" w:space="0" w:color="auto"/>
      </w:divBdr>
    </w:div>
    <w:div w:id="1289316158">
      <w:bodyDiv w:val="1"/>
      <w:marLeft w:val="0"/>
      <w:marRight w:val="0"/>
      <w:marTop w:val="0"/>
      <w:marBottom w:val="0"/>
      <w:divBdr>
        <w:top w:val="none" w:sz="0" w:space="0" w:color="auto"/>
        <w:left w:val="none" w:sz="0" w:space="0" w:color="auto"/>
        <w:bottom w:val="none" w:sz="0" w:space="0" w:color="auto"/>
        <w:right w:val="none" w:sz="0" w:space="0" w:color="auto"/>
      </w:divBdr>
    </w:div>
    <w:div w:id="1289703582">
      <w:bodyDiv w:val="1"/>
      <w:marLeft w:val="0"/>
      <w:marRight w:val="0"/>
      <w:marTop w:val="0"/>
      <w:marBottom w:val="0"/>
      <w:divBdr>
        <w:top w:val="none" w:sz="0" w:space="0" w:color="auto"/>
        <w:left w:val="none" w:sz="0" w:space="0" w:color="auto"/>
        <w:bottom w:val="none" w:sz="0" w:space="0" w:color="auto"/>
        <w:right w:val="none" w:sz="0" w:space="0" w:color="auto"/>
      </w:divBdr>
    </w:div>
    <w:div w:id="1289748605">
      <w:bodyDiv w:val="1"/>
      <w:marLeft w:val="0"/>
      <w:marRight w:val="0"/>
      <w:marTop w:val="0"/>
      <w:marBottom w:val="0"/>
      <w:divBdr>
        <w:top w:val="none" w:sz="0" w:space="0" w:color="auto"/>
        <w:left w:val="none" w:sz="0" w:space="0" w:color="auto"/>
        <w:bottom w:val="none" w:sz="0" w:space="0" w:color="auto"/>
        <w:right w:val="none" w:sz="0" w:space="0" w:color="auto"/>
      </w:divBdr>
    </w:div>
    <w:div w:id="1289748666">
      <w:bodyDiv w:val="1"/>
      <w:marLeft w:val="0"/>
      <w:marRight w:val="0"/>
      <w:marTop w:val="0"/>
      <w:marBottom w:val="0"/>
      <w:divBdr>
        <w:top w:val="none" w:sz="0" w:space="0" w:color="auto"/>
        <w:left w:val="none" w:sz="0" w:space="0" w:color="auto"/>
        <w:bottom w:val="none" w:sz="0" w:space="0" w:color="auto"/>
        <w:right w:val="none" w:sz="0" w:space="0" w:color="auto"/>
      </w:divBdr>
    </w:div>
    <w:div w:id="1289772955">
      <w:bodyDiv w:val="1"/>
      <w:marLeft w:val="0"/>
      <w:marRight w:val="0"/>
      <w:marTop w:val="0"/>
      <w:marBottom w:val="0"/>
      <w:divBdr>
        <w:top w:val="none" w:sz="0" w:space="0" w:color="auto"/>
        <w:left w:val="none" w:sz="0" w:space="0" w:color="auto"/>
        <w:bottom w:val="none" w:sz="0" w:space="0" w:color="auto"/>
        <w:right w:val="none" w:sz="0" w:space="0" w:color="auto"/>
      </w:divBdr>
    </w:div>
    <w:div w:id="1289777192">
      <w:bodyDiv w:val="1"/>
      <w:marLeft w:val="0"/>
      <w:marRight w:val="0"/>
      <w:marTop w:val="0"/>
      <w:marBottom w:val="0"/>
      <w:divBdr>
        <w:top w:val="none" w:sz="0" w:space="0" w:color="auto"/>
        <w:left w:val="none" w:sz="0" w:space="0" w:color="auto"/>
        <w:bottom w:val="none" w:sz="0" w:space="0" w:color="auto"/>
        <w:right w:val="none" w:sz="0" w:space="0" w:color="auto"/>
      </w:divBdr>
    </w:div>
    <w:div w:id="1289822756">
      <w:bodyDiv w:val="1"/>
      <w:marLeft w:val="0"/>
      <w:marRight w:val="0"/>
      <w:marTop w:val="0"/>
      <w:marBottom w:val="0"/>
      <w:divBdr>
        <w:top w:val="none" w:sz="0" w:space="0" w:color="auto"/>
        <w:left w:val="none" w:sz="0" w:space="0" w:color="auto"/>
        <w:bottom w:val="none" w:sz="0" w:space="0" w:color="auto"/>
        <w:right w:val="none" w:sz="0" w:space="0" w:color="auto"/>
      </w:divBdr>
    </w:div>
    <w:div w:id="1289898408">
      <w:bodyDiv w:val="1"/>
      <w:marLeft w:val="0"/>
      <w:marRight w:val="0"/>
      <w:marTop w:val="0"/>
      <w:marBottom w:val="0"/>
      <w:divBdr>
        <w:top w:val="none" w:sz="0" w:space="0" w:color="auto"/>
        <w:left w:val="none" w:sz="0" w:space="0" w:color="auto"/>
        <w:bottom w:val="none" w:sz="0" w:space="0" w:color="auto"/>
        <w:right w:val="none" w:sz="0" w:space="0" w:color="auto"/>
      </w:divBdr>
    </w:div>
    <w:div w:id="1290012783">
      <w:bodyDiv w:val="1"/>
      <w:marLeft w:val="0"/>
      <w:marRight w:val="0"/>
      <w:marTop w:val="0"/>
      <w:marBottom w:val="0"/>
      <w:divBdr>
        <w:top w:val="none" w:sz="0" w:space="0" w:color="auto"/>
        <w:left w:val="none" w:sz="0" w:space="0" w:color="auto"/>
        <w:bottom w:val="none" w:sz="0" w:space="0" w:color="auto"/>
        <w:right w:val="none" w:sz="0" w:space="0" w:color="auto"/>
      </w:divBdr>
    </w:div>
    <w:div w:id="1290089590">
      <w:bodyDiv w:val="1"/>
      <w:marLeft w:val="0"/>
      <w:marRight w:val="0"/>
      <w:marTop w:val="0"/>
      <w:marBottom w:val="0"/>
      <w:divBdr>
        <w:top w:val="none" w:sz="0" w:space="0" w:color="auto"/>
        <w:left w:val="none" w:sz="0" w:space="0" w:color="auto"/>
        <w:bottom w:val="none" w:sz="0" w:space="0" w:color="auto"/>
        <w:right w:val="none" w:sz="0" w:space="0" w:color="auto"/>
      </w:divBdr>
    </w:div>
    <w:div w:id="1290160330">
      <w:bodyDiv w:val="1"/>
      <w:marLeft w:val="0"/>
      <w:marRight w:val="0"/>
      <w:marTop w:val="0"/>
      <w:marBottom w:val="0"/>
      <w:divBdr>
        <w:top w:val="none" w:sz="0" w:space="0" w:color="auto"/>
        <w:left w:val="none" w:sz="0" w:space="0" w:color="auto"/>
        <w:bottom w:val="none" w:sz="0" w:space="0" w:color="auto"/>
        <w:right w:val="none" w:sz="0" w:space="0" w:color="auto"/>
      </w:divBdr>
    </w:div>
    <w:div w:id="1290208956">
      <w:bodyDiv w:val="1"/>
      <w:marLeft w:val="0"/>
      <w:marRight w:val="0"/>
      <w:marTop w:val="0"/>
      <w:marBottom w:val="0"/>
      <w:divBdr>
        <w:top w:val="none" w:sz="0" w:space="0" w:color="auto"/>
        <w:left w:val="none" w:sz="0" w:space="0" w:color="auto"/>
        <w:bottom w:val="none" w:sz="0" w:space="0" w:color="auto"/>
        <w:right w:val="none" w:sz="0" w:space="0" w:color="auto"/>
      </w:divBdr>
    </w:div>
    <w:div w:id="1290211792">
      <w:bodyDiv w:val="1"/>
      <w:marLeft w:val="0"/>
      <w:marRight w:val="0"/>
      <w:marTop w:val="0"/>
      <w:marBottom w:val="0"/>
      <w:divBdr>
        <w:top w:val="none" w:sz="0" w:space="0" w:color="auto"/>
        <w:left w:val="none" w:sz="0" w:space="0" w:color="auto"/>
        <w:bottom w:val="none" w:sz="0" w:space="0" w:color="auto"/>
        <w:right w:val="none" w:sz="0" w:space="0" w:color="auto"/>
      </w:divBdr>
    </w:div>
    <w:div w:id="1290235636">
      <w:bodyDiv w:val="1"/>
      <w:marLeft w:val="0"/>
      <w:marRight w:val="0"/>
      <w:marTop w:val="0"/>
      <w:marBottom w:val="0"/>
      <w:divBdr>
        <w:top w:val="none" w:sz="0" w:space="0" w:color="auto"/>
        <w:left w:val="none" w:sz="0" w:space="0" w:color="auto"/>
        <w:bottom w:val="none" w:sz="0" w:space="0" w:color="auto"/>
        <w:right w:val="none" w:sz="0" w:space="0" w:color="auto"/>
      </w:divBdr>
    </w:div>
    <w:div w:id="1290356849">
      <w:bodyDiv w:val="1"/>
      <w:marLeft w:val="0"/>
      <w:marRight w:val="0"/>
      <w:marTop w:val="0"/>
      <w:marBottom w:val="0"/>
      <w:divBdr>
        <w:top w:val="none" w:sz="0" w:space="0" w:color="auto"/>
        <w:left w:val="none" w:sz="0" w:space="0" w:color="auto"/>
        <w:bottom w:val="none" w:sz="0" w:space="0" w:color="auto"/>
        <w:right w:val="none" w:sz="0" w:space="0" w:color="auto"/>
      </w:divBdr>
    </w:div>
    <w:div w:id="1290358898">
      <w:bodyDiv w:val="1"/>
      <w:marLeft w:val="0"/>
      <w:marRight w:val="0"/>
      <w:marTop w:val="0"/>
      <w:marBottom w:val="0"/>
      <w:divBdr>
        <w:top w:val="none" w:sz="0" w:space="0" w:color="auto"/>
        <w:left w:val="none" w:sz="0" w:space="0" w:color="auto"/>
        <w:bottom w:val="none" w:sz="0" w:space="0" w:color="auto"/>
        <w:right w:val="none" w:sz="0" w:space="0" w:color="auto"/>
      </w:divBdr>
    </w:div>
    <w:div w:id="1290429206">
      <w:bodyDiv w:val="1"/>
      <w:marLeft w:val="0"/>
      <w:marRight w:val="0"/>
      <w:marTop w:val="0"/>
      <w:marBottom w:val="0"/>
      <w:divBdr>
        <w:top w:val="none" w:sz="0" w:space="0" w:color="auto"/>
        <w:left w:val="none" w:sz="0" w:space="0" w:color="auto"/>
        <w:bottom w:val="none" w:sz="0" w:space="0" w:color="auto"/>
        <w:right w:val="none" w:sz="0" w:space="0" w:color="auto"/>
      </w:divBdr>
    </w:div>
    <w:div w:id="1290478494">
      <w:bodyDiv w:val="1"/>
      <w:marLeft w:val="0"/>
      <w:marRight w:val="0"/>
      <w:marTop w:val="0"/>
      <w:marBottom w:val="0"/>
      <w:divBdr>
        <w:top w:val="none" w:sz="0" w:space="0" w:color="auto"/>
        <w:left w:val="none" w:sz="0" w:space="0" w:color="auto"/>
        <w:bottom w:val="none" w:sz="0" w:space="0" w:color="auto"/>
        <w:right w:val="none" w:sz="0" w:space="0" w:color="auto"/>
      </w:divBdr>
    </w:div>
    <w:div w:id="1290480585">
      <w:bodyDiv w:val="1"/>
      <w:marLeft w:val="0"/>
      <w:marRight w:val="0"/>
      <w:marTop w:val="0"/>
      <w:marBottom w:val="0"/>
      <w:divBdr>
        <w:top w:val="none" w:sz="0" w:space="0" w:color="auto"/>
        <w:left w:val="none" w:sz="0" w:space="0" w:color="auto"/>
        <w:bottom w:val="none" w:sz="0" w:space="0" w:color="auto"/>
        <w:right w:val="none" w:sz="0" w:space="0" w:color="auto"/>
      </w:divBdr>
    </w:div>
    <w:div w:id="1290551623">
      <w:bodyDiv w:val="1"/>
      <w:marLeft w:val="0"/>
      <w:marRight w:val="0"/>
      <w:marTop w:val="0"/>
      <w:marBottom w:val="0"/>
      <w:divBdr>
        <w:top w:val="none" w:sz="0" w:space="0" w:color="auto"/>
        <w:left w:val="none" w:sz="0" w:space="0" w:color="auto"/>
        <w:bottom w:val="none" w:sz="0" w:space="0" w:color="auto"/>
        <w:right w:val="none" w:sz="0" w:space="0" w:color="auto"/>
      </w:divBdr>
    </w:div>
    <w:div w:id="1290627683">
      <w:bodyDiv w:val="1"/>
      <w:marLeft w:val="0"/>
      <w:marRight w:val="0"/>
      <w:marTop w:val="0"/>
      <w:marBottom w:val="0"/>
      <w:divBdr>
        <w:top w:val="none" w:sz="0" w:space="0" w:color="auto"/>
        <w:left w:val="none" w:sz="0" w:space="0" w:color="auto"/>
        <w:bottom w:val="none" w:sz="0" w:space="0" w:color="auto"/>
        <w:right w:val="none" w:sz="0" w:space="0" w:color="auto"/>
      </w:divBdr>
    </w:div>
    <w:div w:id="1290668903">
      <w:bodyDiv w:val="1"/>
      <w:marLeft w:val="0"/>
      <w:marRight w:val="0"/>
      <w:marTop w:val="0"/>
      <w:marBottom w:val="0"/>
      <w:divBdr>
        <w:top w:val="none" w:sz="0" w:space="0" w:color="auto"/>
        <w:left w:val="none" w:sz="0" w:space="0" w:color="auto"/>
        <w:bottom w:val="none" w:sz="0" w:space="0" w:color="auto"/>
        <w:right w:val="none" w:sz="0" w:space="0" w:color="auto"/>
      </w:divBdr>
    </w:div>
    <w:div w:id="1290748568">
      <w:bodyDiv w:val="1"/>
      <w:marLeft w:val="0"/>
      <w:marRight w:val="0"/>
      <w:marTop w:val="0"/>
      <w:marBottom w:val="0"/>
      <w:divBdr>
        <w:top w:val="none" w:sz="0" w:space="0" w:color="auto"/>
        <w:left w:val="none" w:sz="0" w:space="0" w:color="auto"/>
        <w:bottom w:val="none" w:sz="0" w:space="0" w:color="auto"/>
        <w:right w:val="none" w:sz="0" w:space="0" w:color="auto"/>
      </w:divBdr>
    </w:div>
    <w:div w:id="1290892854">
      <w:bodyDiv w:val="1"/>
      <w:marLeft w:val="0"/>
      <w:marRight w:val="0"/>
      <w:marTop w:val="0"/>
      <w:marBottom w:val="0"/>
      <w:divBdr>
        <w:top w:val="none" w:sz="0" w:space="0" w:color="auto"/>
        <w:left w:val="none" w:sz="0" w:space="0" w:color="auto"/>
        <w:bottom w:val="none" w:sz="0" w:space="0" w:color="auto"/>
        <w:right w:val="none" w:sz="0" w:space="0" w:color="auto"/>
      </w:divBdr>
    </w:div>
    <w:div w:id="1290933593">
      <w:bodyDiv w:val="1"/>
      <w:marLeft w:val="0"/>
      <w:marRight w:val="0"/>
      <w:marTop w:val="0"/>
      <w:marBottom w:val="0"/>
      <w:divBdr>
        <w:top w:val="none" w:sz="0" w:space="0" w:color="auto"/>
        <w:left w:val="none" w:sz="0" w:space="0" w:color="auto"/>
        <w:bottom w:val="none" w:sz="0" w:space="0" w:color="auto"/>
        <w:right w:val="none" w:sz="0" w:space="0" w:color="auto"/>
      </w:divBdr>
    </w:div>
    <w:div w:id="1291130050">
      <w:bodyDiv w:val="1"/>
      <w:marLeft w:val="0"/>
      <w:marRight w:val="0"/>
      <w:marTop w:val="0"/>
      <w:marBottom w:val="0"/>
      <w:divBdr>
        <w:top w:val="none" w:sz="0" w:space="0" w:color="auto"/>
        <w:left w:val="none" w:sz="0" w:space="0" w:color="auto"/>
        <w:bottom w:val="none" w:sz="0" w:space="0" w:color="auto"/>
        <w:right w:val="none" w:sz="0" w:space="0" w:color="auto"/>
      </w:divBdr>
    </w:div>
    <w:div w:id="1291132153">
      <w:bodyDiv w:val="1"/>
      <w:marLeft w:val="0"/>
      <w:marRight w:val="0"/>
      <w:marTop w:val="0"/>
      <w:marBottom w:val="0"/>
      <w:divBdr>
        <w:top w:val="none" w:sz="0" w:space="0" w:color="auto"/>
        <w:left w:val="none" w:sz="0" w:space="0" w:color="auto"/>
        <w:bottom w:val="none" w:sz="0" w:space="0" w:color="auto"/>
        <w:right w:val="none" w:sz="0" w:space="0" w:color="auto"/>
      </w:divBdr>
    </w:div>
    <w:div w:id="1291474101">
      <w:bodyDiv w:val="1"/>
      <w:marLeft w:val="0"/>
      <w:marRight w:val="0"/>
      <w:marTop w:val="0"/>
      <w:marBottom w:val="0"/>
      <w:divBdr>
        <w:top w:val="none" w:sz="0" w:space="0" w:color="auto"/>
        <w:left w:val="none" w:sz="0" w:space="0" w:color="auto"/>
        <w:bottom w:val="none" w:sz="0" w:space="0" w:color="auto"/>
        <w:right w:val="none" w:sz="0" w:space="0" w:color="auto"/>
      </w:divBdr>
    </w:div>
    <w:div w:id="1291475369">
      <w:bodyDiv w:val="1"/>
      <w:marLeft w:val="0"/>
      <w:marRight w:val="0"/>
      <w:marTop w:val="0"/>
      <w:marBottom w:val="0"/>
      <w:divBdr>
        <w:top w:val="none" w:sz="0" w:space="0" w:color="auto"/>
        <w:left w:val="none" w:sz="0" w:space="0" w:color="auto"/>
        <w:bottom w:val="none" w:sz="0" w:space="0" w:color="auto"/>
        <w:right w:val="none" w:sz="0" w:space="0" w:color="auto"/>
      </w:divBdr>
    </w:div>
    <w:div w:id="1291594816">
      <w:bodyDiv w:val="1"/>
      <w:marLeft w:val="0"/>
      <w:marRight w:val="0"/>
      <w:marTop w:val="0"/>
      <w:marBottom w:val="0"/>
      <w:divBdr>
        <w:top w:val="none" w:sz="0" w:space="0" w:color="auto"/>
        <w:left w:val="none" w:sz="0" w:space="0" w:color="auto"/>
        <w:bottom w:val="none" w:sz="0" w:space="0" w:color="auto"/>
        <w:right w:val="none" w:sz="0" w:space="0" w:color="auto"/>
      </w:divBdr>
    </w:div>
    <w:div w:id="1291663388">
      <w:bodyDiv w:val="1"/>
      <w:marLeft w:val="0"/>
      <w:marRight w:val="0"/>
      <w:marTop w:val="0"/>
      <w:marBottom w:val="0"/>
      <w:divBdr>
        <w:top w:val="none" w:sz="0" w:space="0" w:color="auto"/>
        <w:left w:val="none" w:sz="0" w:space="0" w:color="auto"/>
        <w:bottom w:val="none" w:sz="0" w:space="0" w:color="auto"/>
        <w:right w:val="none" w:sz="0" w:space="0" w:color="auto"/>
      </w:divBdr>
    </w:div>
    <w:div w:id="1291664762">
      <w:bodyDiv w:val="1"/>
      <w:marLeft w:val="0"/>
      <w:marRight w:val="0"/>
      <w:marTop w:val="0"/>
      <w:marBottom w:val="0"/>
      <w:divBdr>
        <w:top w:val="none" w:sz="0" w:space="0" w:color="auto"/>
        <w:left w:val="none" w:sz="0" w:space="0" w:color="auto"/>
        <w:bottom w:val="none" w:sz="0" w:space="0" w:color="auto"/>
        <w:right w:val="none" w:sz="0" w:space="0" w:color="auto"/>
      </w:divBdr>
    </w:div>
    <w:div w:id="1291671983">
      <w:bodyDiv w:val="1"/>
      <w:marLeft w:val="0"/>
      <w:marRight w:val="0"/>
      <w:marTop w:val="0"/>
      <w:marBottom w:val="0"/>
      <w:divBdr>
        <w:top w:val="none" w:sz="0" w:space="0" w:color="auto"/>
        <w:left w:val="none" w:sz="0" w:space="0" w:color="auto"/>
        <w:bottom w:val="none" w:sz="0" w:space="0" w:color="auto"/>
        <w:right w:val="none" w:sz="0" w:space="0" w:color="auto"/>
      </w:divBdr>
    </w:div>
    <w:div w:id="1291745214">
      <w:bodyDiv w:val="1"/>
      <w:marLeft w:val="0"/>
      <w:marRight w:val="0"/>
      <w:marTop w:val="0"/>
      <w:marBottom w:val="0"/>
      <w:divBdr>
        <w:top w:val="none" w:sz="0" w:space="0" w:color="auto"/>
        <w:left w:val="none" w:sz="0" w:space="0" w:color="auto"/>
        <w:bottom w:val="none" w:sz="0" w:space="0" w:color="auto"/>
        <w:right w:val="none" w:sz="0" w:space="0" w:color="auto"/>
      </w:divBdr>
    </w:div>
    <w:div w:id="1291745425">
      <w:bodyDiv w:val="1"/>
      <w:marLeft w:val="0"/>
      <w:marRight w:val="0"/>
      <w:marTop w:val="0"/>
      <w:marBottom w:val="0"/>
      <w:divBdr>
        <w:top w:val="none" w:sz="0" w:space="0" w:color="auto"/>
        <w:left w:val="none" w:sz="0" w:space="0" w:color="auto"/>
        <w:bottom w:val="none" w:sz="0" w:space="0" w:color="auto"/>
        <w:right w:val="none" w:sz="0" w:space="0" w:color="auto"/>
      </w:divBdr>
    </w:div>
    <w:div w:id="1291786874">
      <w:bodyDiv w:val="1"/>
      <w:marLeft w:val="0"/>
      <w:marRight w:val="0"/>
      <w:marTop w:val="0"/>
      <w:marBottom w:val="0"/>
      <w:divBdr>
        <w:top w:val="none" w:sz="0" w:space="0" w:color="auto"/>
        <w:left w:val="none" w:sz="0" w:space="0" w:color="auto"/>
        <w:bottom w:val="none" w:sz="0" w:space="0" w:color="auto"/>
        <w:right w:val="none" w:sz="0" w:space="0" w:color="auto"/>
      </w:divBdr>
    </w:div>
    <w:div w:id="1291788728">
      <w:bodyDiv w:val="1"/>
      <w:marLeft w:val="0"/>
      <w:marRight w:val="0"/>
      <w:marTop w:val="0"/>
      <w:marBottom w:val="0"/>
      <w:divBdr>
        <w:top w:val="none" w:sz="0" w:space="0" w:color="auto"/>
        <w:left w:val="none" w:sz="0" w:space="0" w:color="auto"/>
        <w:bottom w:val="none" w:sz="0" w:space="0" w:color="auto"/>
        <w:right w:val="none" w:sz="0" w:space="0" w:color="auto"/>
      </w:divBdr>
    </w:div>
    <w:div w:id="1291860118">
      <w:bodyDiv w:val="1"/>
      <w:marLeft w:val="0"/>
      <w:marRight w:val="0"/>
      <w:marTop w:val="0"/>
      <w:marBottom w:val="0"/>
      <w:divBdr>
        <w:top w:val="none" w:sz="0" w:space="0" w:color="auto"/>
        <w:left w:val="none" w:sz="0" w:space="0" w:color="auto"/>
        <w:bottom w:val="none" w:sz="0" w:space="0" w:color="auto"/>
        <w:right w:val="none" w:sz="0" w:space="0" w:color="auto"/>
      </w:divBdr>
    </w:div>
    <w:div w:id="1291979259">
      <w:bodyDiv w:val="1"/>
      <w:marLeft w:val="0"/>
      <w:marRight w:val="0"/>
      <w:marTop w:val="0"/>
      <w:marBottom w:val="0"/>
      <w:divBdr>
        <w:top w:val="none" w:sz="0" w:space="0" w:color="auto"/>
        <w:left w:val="none" w:sz="0" w:space="0" w:color="auto"/>
        <w:bottom w:val="none" w:sz="0" w:space="0" w:color="auto"/>
        <w:right w:val="none" w:sz="0" w:space="0" w:color="auto"/>
      </w:divBdr>
    </w:div>
    <w:div w:id="1291983634">
      <w:bodyDiv w:val="1"/>
      <w:marLeft w:val="0"/>
      <w:marRight w:val="0"/>
      <w:marTop w:val="0"/>
      <w:marBottom w:val="0"/>
      <w:divBdr>
        <w:top w:val="none" w:sz="0" w:space="0" w:color="auto"/>
        <w:left w:val="none" w:sz="0" w:space="0" w:color="auto"/>
        <w:bottom w:val="none" w:sz="0" w:space="0" w:color="auto"/>
        <w:right w:val="none" w:sz="0" w:space="0" w:color="auto"/>
      </w:divBdr>
    </w:div>
    <w:div w:id="1292125759">
      <w:bodyDiv w:val="1"/>
      <w:marLeft w:val="0"/>
      <w:marRight w:val="0"/>
      <w:marTop w:val="0"/>
      <w:marBottom w:val="0"/>
      <w:divBdr>
        <w:top w:val="none" w:sz="0" w:space="0" w:color="auto"/>
        <w:left w:val="none" w:sz="0" w:space="0" w:color="auto"/>
        <w:bottom w:val="none" w:sz="0" w:space="0" w:color="auto"/>
        <w:right w:val="none" w:sz="0" w:space="0" w:color="auto"/>
      </w:divBdr>
    </w:div>
    <w:div w:id="1292131352">
      <w:bodyDiv w:val="1"/>
      <w:marLeft w:val="0"/>
      <w:marRight w:val="0"/>
      <w:marTop w:val="0"/>
      <w:marBottom w:val="0"/>
      <w:divBdr>
        <w:top w:val="none" w:sz="0" w:space="0" w:color="auto"/>
        <w:left w:val="none" w:sz="0" w:space="0" w:color="auto"/>
        <w:bottom w:val="none" w:sz="0" w:space="0" w:color="auto"/>
        <w:right w:val="none" w:sz="0" w:space="0" w:color="auto"/>
      </w:divBdr>
    </w:div>
    <w:div w:id="1292203074">
      <w:bodyDiv w:val="1"/>
      <w:marLeft w:val="0"/>
      <w:marRight w:val="0"/>
      <w:marTop w:val="0"/>
      <w:marBottom w:val="0"/>
      <w:divBdr>
        <w:top w:val="none" w:sz="0" w:space="0" w:color="auto"/>
        <w:left w:val="none" w:sz="0" w:space="0" w:color="auto"/>
        <w:bottom w:val="none" w:sz="0" w:space="0" w:color="auto"/>
        <w:right w:val="none" w:sz="0" w:space="0" w:color="auto"/>
      </w:divBdr>
    </w:div>
    <w:div w:id="1292246547">
      <w:bodyDiv w:val="1"/>
      <w:marLeft w:val="0"/>
      <w:marRight w:val="0"/>
      <w:marTop w:val="0"/>
      <w:marBottom w:val="0"/>
      <w:divBdr>
        <w:top w:val="none" w:sz="0" w:space="0" w:color="auto"/>
        <w:left w:val="none" w:sz="0" w:space="0" w:color="auto"/>
        <w:bottom w:val="none" w:sz="0" w:space="0" w:color="auto"/>
        <w:right w:val="none" w:sz="0" w:space="0" w:color="auto"/>
      </w:divBdr>
    </w:div>
    <w:div w:id="1292248838">
      <w:bodyDiv w:val="1"/>
      <w:marLeft w:val="0"/>
      <w:marRight w:val="0"/>
      <w:marTop w:val="0"/>
      <w:marBottom w:val="0"/>
      <w:divBdr>
        <w:top w:val="none" w:sz="0" w:space="0" w:color="auto"/>
        <w:left w:val="none" w:sz="0" w:space="0" w:color="auto"/>
        <w:bottom w:val="none" w:sz="0" w:space="0" w:color="auto"/>
        <w:right w:val="none" w:sz="0" w:space="0" w:color="auto"/>
      </w:divBdr>
    </w:div>
    <w:div w:id="1292324022">
      <w:bodyDiv w:val="1"/>
      <w:marLeft w:val="0"/>
      <w:marRight w:val="0"/>
      <w:marTop w:val="0"/>
      <w:marBottom w:val="0"/>
      <w:divBdr>
        <w:top w:val="none" w:sz="0" w:space="0" w:color="auto"/>
        <w:left w:val="none" w:sz="0" w:space="0" w:color="auto"/>
        <w:bottom w:val="none" w:sz="0" w:space="0" w:color="auto"/>
        <w:right w:val="none" w:sz="0" w:space="0" w:color="auto"/>
      </w:divBdr>
    </w:div>
    <w:div w:id="1292394519">
      <w:bodyDiv w:val="1"/>
      <w:marLeft w:val="0"/>
      <w:marRight w:val="0"/>
      <w:marTop w:val="0"/>
      <w:marBottom w:val="0"/>
      <w:divBdr>
        <w:top w:val="none" w:sz="0" w:space="0" w:color="auto"/>
        <w:left w:val="none" w:sz="0" w:space="0" w:color="auto"/>
        <w:bottom w:val="none" w:sz="0" w:space="0" w:color="auto"/>
        <w:right w:val="none" w:sz="0" w:space="0" w:color="auto"/>
      </w:divBdr>
    </w:div>
    <w:div w:id="1292395442">
      <w:bodyDiv w:val="1"/>
      <w:marLeft w:val="0"/>
      <w:marRight w:val="0"/>
      <w:marTop w:val="0"/>
      <w:marBottom w:val="0"/>
      <w:divBdr>
        <w:top w:val="none" w:sz="0" w:space="0" w:color="auto"/>
        <w:left w:val="none" w:sz="0" w:space="0" w:color="auto"/>
        <w:bottom w:val="none" w:sz="0" w:space="0" w:color="auto"/>
        <w:right w:val="none" w:sz="0" w:space="0" w:color="auto"/>
      </w:divBdr>
    </w:div>
    <w:div w:id="1292638890">
      <w:bodyDiv w:val="1"/>
      <w:marLeft w:val="0"/>
      <w:marRight w:val="0"/>
      <w:marTop w:val="0"/>
      <w:marBottom w:val="0"/>
      <w:divBdr>
        <w:top w:val="none" w:sz="0" w:space="0" w:color="auto"/>
        <w:left w:val="none" w:sz="0" w:space="0" w:color="auto"/>
        <w:bottom w:val="none" w:sz="0" w:space="0" w:color="auto"/>
        <w:right w:val="none" w:sz="0" w:space="0" w:color="auto"/>
      </w:divBdr>
    </w:div>
    <w:div w:id="1292664231">
      <w:bodyDiv w:val="1"/>
      <w:marLeft w:val="0"/>
      <w:marRight w:val="0"/>
      <w:marTop w:val="0"/>
      <w:marBottom w:val="0"/>
      <w:divBdr>
        <w:top w:val="none" w:sz="0" w:space="0" w:color="auto"/>
        <w:left w:val="none" w:sz="0" w:space="0" w:color="auto"/>
        <w:bottom w:val="none" w:sz="0" w:space="0" w:color="auto"/>
        <w:right w:val="none" w:sz="0" w:space="0" w:color="auto"/>
      </w:divBdr>
    </w:div>
    <w:div w:id="1292664672">
      <w:bodyDiv w:val="1"/>
      <w:marLeft w:val="0"/>
      <w:marRight w:val="0"/>
      <w:marTop w:val="0"/>
      <w:marBottom w:val="0"/>
      <w:divBdr>
        <w:top w:val="none" w:sz="0" w:space="0" w:color="auto"/>
        <w:left w:val="none" w:sz="0" w:space="0" w:color="auto"/>
        <w:bottom w:val="none" w:sz="0" w:space="0" w:color="auto"/>
        <w:right w:val="none" w:sz="0" w:space="0" w:color="auto"/>
      </w:divBdr>
    </w:div>
    <w:div w:id="1292781471">
      <w:bodyDiv w:val="1"/>
      <w:marLeft w:val="0"/>
      <w:marRight w:val="0"/>
      <w:marTop w:val="0"/>
      <w:marBottom w:val="0"/>
      <w:divBdr>
        <w:top w:val="none" w:sz="0" w:space="0" w:color="auto"/>
        <w:left w:val="none" w:sz="0" w:space="0" w:color="auto"/>
        <w:bottom w:val="none" w:sz="0" w:space="0" w:color="auto"/>
        <w:right w:val="none" w:sz="0" w:space="0" w:color="auto"/>
      </w:divBdr>
    </w:div>
    <w:div w:id="1292902020">
      <w:bodyDiv w:val="1"/>
      <w:marLeft w:val="0"/>
      <w:marRight w:val="0"/>
      <w:marTop w:val="0"/>
      <w:marBottom w:val="0"/>
      <w:divBdr>
        <w:top w:val="none" w:sz="0" w:space="0" w:color="auto"/>
        <w:left w:val="none" w:sz="0" w:space="0" w:color="auto"/>
        <w:bottom w:val="none" w:sz="0" w:space="0" w:color="auto"/>
        <w:right w:val="none" w:sz="0" w:space="0" w:color="auto"/>
      </w:divBdr>
    </w:div>
    <w:div w:id="1292982072">
      <w:bodyDiv w:val="1"/>
      <w:marLeft w:val="0"/>
      <w:marRight w:val="0"/>
      <w:marTop w:val="0"/>
      <w:marBottom w:val="0"/>
      <w:divBdr>
        <w:top w:val="none" w:sz="0" w:space="0" w:color="auto"/>
        <w:left w:val="none" w:sz="0" w:space="0" w:color="auto"/>
        <w:bottom w:val="none" w:sz="0" w:space="0" w:color="auto"/>
        <w:right w:val="none" w:sz="0" w:space="0" w:color="auto"/>
      </w:divBdr>
    </w:div>
    <w:div w:id="1293050348">
      <w:bodyDiv w:val="1"/>
      <w:marLeft w:val="0"/>
      <w:marRight w:val="0"/>
      <w:marTop w:val="0"/>
      <w:marBottom w:val="0"/>
      <w:divBdr>
        <w:top w:val="none" w:sz="0" w:space="0" w:color="auto"/>
        <w:left w:val="none" w:sz="0" w:space="0" w:color="auto"/>
        <w:bottom w:val="none" w:sz="0" w:space="0" w:color="auto"/>
        <w:right w:val="none" w:sz="0" w:space="0" w:color="auto"/>
      </w:divBdr>
    </w:div>
    <w:div w:id="1293056855">
      <w:bodyDiv w:val="1"/>
      <w:marLeft w:val="0"/>
      <w:marRight w:val="0"/>
      <w:marTop w:val="0"/>
      <w:marBottom w:val="0"/>
      <w:divBdr>
        <w:top w:val="none" w:sz="0" w:space="0" w:color="auto"/>
        <w:left w:val="none" w:sz="0" w:space="0" w:color="auto"/>
        <w:bottom w:val="none" w:sz="0" w:space="0" w:color="auto"/>
        <w:right w:val="none" w:sz="0" w:space="0" w:color="auto"/>
      </w:divBdr>
    </w:div>
    <w:div w:id="1293095324">
      <w:bodyDiv w:val="1"/>
      <w:marLeft w:val="0"/>
      <w:marRight w:val="0"/>
      <w:marTop w:val="0"/>
      <w:marBottom w:val="0"/>
      <w:divBdr>
        <w:top w:val="none" w:sz="0" w:space="0" w:color="auto"/>
        <w:left w:val="none" w:sz="0" w:space="0" w:color="auto"/>
        <w:bottom w:val="none" w:sz="0" w:space="0" w:color="auto"/>
        <w:right w:val="none" w:sz="0" w:space="0" w:color="auto"/>
      </w:divBdr>
    </w:div>
    <w:div w:id="1293095739">
      <w:bodyDiv w:val="1"/>
      <w:marLeft w:val="0"/>
      <w:marRight w:val="0"/>
      <w:marTop w:val="0"/>
      <w:marBottom w:val="0"/>
      <w:divBdr>
        <w:top w:val="none" w:sz="0" w:space="0" w:color="auto"/>
        <w:left w:val="none" w:sz="0" w:space="0" w:color="auto"/>
        <w:bottom w:val="none" w:sz="0" w:space="0" w:color="auto"/>
        <w:right w:val="none" w:sz="0" w:space="0" w:color="auto"/>
      </w:divBdr>
    </w:div>
    <w:div w:id="1293172804">
      <w:bodyDiv w:val="1"/>
      <w:marLeft w:val="0"/>
      <w:marRight w:val="0"/>
      <w:marTop w:val="0"/>
      <w:marBottom w:val="0"/>
      <w:divBdr>
        <w:top w:val="none" w:sz="0" w:space="0" w:color="auto"/>
        <w:left w:val="none" w:sz="0" w:space="0" w:color="auto"/>
        <w:bottom w:val="none" w:sz="0" w:space="0" w:color="auto"/>
        <w:right w:val="none" w:sz="0" w:space="0" w:color="auto"/>
      </w:divBdr>
    </w:div>
    <w:div w:id="1293288624">
      <w:bodyDiv w:val="1"/>
      <w:marLeft w:val="0"/>
      <w:marRight w:val="0"/>
      <w:marTop w:val="0"/>
      <w:marBottom w:val="0"/>
      <w:divBdr>
        <w:top w:val="none" w:sz="0" w:space="0" w:color="auto"/>
        <w:left w:val="none" w:sz="0" w:space="0" w:color="auto"/>
        <w:bottom w:val="none" w:sz="0" w:space="0" w:color="auto"/>
        <w:right w:val="none" w:sz="0" w:space="0" w:color="auto"/>
      </w:divBdr>
    </w:div>
    <w:div w:id="1293369332">
      <w:bodyDiv w:val="1"/>
      <w:marLeft w:val="0"/>
      <w:marRight w:val="0"/>
      <w:marTop w:val="0"/>
      <w:marBottom w:val="0"/>
      <w:divBdr>
        <w:top w:val="none" w:sz="0" w:space="0" w:color="auto"/>
        <w:left w:val="none" w:sz="0" w:space="0" w:color="auto"/>
        <w:bottom w:val="none" w:sz="0" w:space="0" w:color="auto"/>
        <w:right w:val="none" w:sz="0" w:space="0" w:color="auto"/>
      </w:divBdr>
    </w:div>
    <w:div w:id="1293436385">
      <w:bodyDiv w:val="1"/>
      <w:marLeft w:val="0"/>
      <w:marRight w:val="0"/>
      <w:marTop w:val="0"/>
      <w:marBottom w:val="0"/>
      <w:divBdr>
        <w:top w:val="none" w:sz="0" w:space="0" w:color="auto"/>
        <w:left w:val="none" w:sz="0" w:space="0" w:color="auto"/>
        <w:bottom w:val="none" w:sz="0" w:space="0" w:color="auto"/>
        <w:right w:val="none" w:sz="0" w:space="0" w:color="auto"/>
      </w:divBdr>
    </w:div>
    <w:div w:id="1293487141">
      <w:bodyDiv w:val="1"/>
      <w:marLeft w:val="0"/>
      <w:marRight w:val="0"/>
      <w:marTop w:val="0"/>
      <w:marBottom w:val="0"/>
      <w:divBdr>
        <w:top w:val="none" w:sz="0" w:space="0" w:color="auto"/>
        <w:left w:val="none" w:sz="0" w:space="0" w:color="auto"/>
        <w:bottom w:val="none" w:sz="0" w:space="0" w:color="auto"/>
        <w:right w:val="none" w:sz="0" w:space="0" w:color="auto"/>
      </w:divBdr>
    </w:div>
    <w:div w:id="1293487618">
      <w:bodyDiv w:val="1"/>
      <w:marLeft w:val="0"/>
      <w:marRight w:val="0"/>
      <w:marTop w:val="0"/>
      <w:marBottom w:val="0"/>
      <w:divBdr>
        <w:top w:val="none" w:sz="0" w:space="0" w:color="auto"/>
        <w:left w:val="none" w:sz="0" w:space="0" w:color="auto"/>
        <w:bottom w:val="none" w:sz="0" w:space="0" w:color="auto"/>
        <w:right w:val="none" w:sz="0" w:space="0" w:color="auto"/>
      </w:divBdr>
    </w:div>
    <w:div w:id="1293514790">
      <w:bodyDiv w:val="1"/>
      <w:marLeft w:val="0"/>
      <w:marRight w:val="0"/>
      <w:marTop w:val="0"/>
      <w:marBottom w:val="0"/>
      <w:divBdr>
        <w:top w:val="none" w:sz="0" w:space="0" w:color="auto"/>
        <w:left w:val="none" w:sz="0" w:space="0" w:color="auto"/>
        <w:bottom w:val="none" w:sz="0" w:space="0" w:color="auto"/>
        <w:right w:val="none" w:sz="0" w:space="0" w:color="auto"/>
      </w:divBdr>
    </w:div>
    <w:div w:id="1293709269">
      <w:bodyDiv w:val="1"/>
      <w:marLeft w:val="0"/>
      <w:marRight w:val="0"/>
      <w:marTop w:val="0"/>
      <w:marBottom w:val="0"/>
      <w:divBdr>
        <w:top w:val="none" w:sz="0" w:space="0" w:color="auto"/>
        <w:left w:val="none" w:sz="0" w:space="0" w:color="auto"/>
        <w:bottom w:val="none" w:sz="0" w:space="0" w:color="auto"/>
        <w:right w:val="none" w:sz="0" w:space="0" w:color="auto"/>
      </w:divBdr>
    </w:div>
    <w:div w:id="1293748608">
      <w:bodyDiv w:val="1"/>
      <w:marLeft w:val="0"/>
      <w:marRight w:val="0"/>
      <w:marTop w:val="0"/>
      <w:marBottom w:val="0"/>
      <w:divBdr>
        <w:top w:val="none" w:sz="0" w:space="0" w:color="auto"/>
        <w:left w:val="none" w:sz="0" w:space="0" w:color="auto"/>
        <w:bottom w:val="none" w:sz="0" w:space="0" w:color="auto"/>
        <w:right w:val="none" w:sz="0" w:space="0" w:color="auto"/>
      </w:divBdr>
    </w:div>
    <w:div w:id="1293755719">
      <w:bodyDiv w:val="1"/>
      <w:marLeft w:val="0"/>
      <w:marRight w:val="0"/>
      <w:marTop w:val="0"/>
      <w:marBottom w:val="0"/>
      <w:divBdr>
        <w:top w:val="none" w:sz="0" w:space="0" w:color="auto"/>
        <w:left w:val="none" w:sz="0" w:space="0" w:color="auto"/>
        <w:bottom w:val="none" w:sz="0" w:space="0" w:color="auto"/>
        <w:right w:val="none" w:sz="0" w:space="0" w:color="auto"/>
      </w:divBdr>
    </w:div>
    <w:div w:id="1293829702">
      <w:bodyDiv w:val="1"/>
      <w:marLeft w:val="0"/>
      <w:marRight w:val="0"/>
      <w:marTop w:val="0"/>
      <w:marBottom w:val="0"/>
      <w:divBdr>
        <w:top w:val="none" w:sz="0" w:space="0" w:color="auto"/>
        <w:left w:val="none" w:sz="0" w:space="0" w:color="auto"/>
        <w:bottom w:val="none" w:sz="0" w:space="0" w:color="auto"/>
        <w:right w:val="none" w:sz="0" w:space="0" w:color="auto"/>
      </w:divBdr>
    </w:div>
    <w:div w:id="1294215904">
      <w:bodyDiv w:val="1"/>
      <w:marLeft w:val="0"/>
      <w:marRight w:val="0"/>
      <w:marTop w:val="0"/>
      <w:marBottom w:val="0"/>
      <w:divBdr>
        <w:top w:val="none" w:sz="0" w:space="0" w:color="auto"/>
        <w:left w:val="none" w:sz="0" w:space="0" w:color="auto"/>
        <w:bottom w:val="none" w:sz="0" w:space="0" w:color="auto"/>
        <w:right w:val="none" w:sz="0" w:space="0" w:color="auto"/>
      </w:divBdr>
    </w:div>
    <w:div w:id="1294216900">
      <w:bodyDiv w:val="1"/>
      <w:marLeft w:val="0"/>
      <w:marRight w:val="0"/>
      <w:marTop w:val="0"/>
      <w:marBottom w:val="0"/>
      <w:divBdr>
        <w:top w:val="none" w:sz="0" w:space="0" w:color="auto"/>
        <w:left w:val="none" w:sz="0" w:space="0" w:color="auto"/>
        <w:bottom w:val="none" w:sz="0" w:space="0" w:color="auto"/>
        <w:right w:val="none" w:sz="0" w:space="0" w:color="auto"/>
      </w:divBdr>
    </w:div>
    <w:div w:id="1294406127">
      <w:bodyDiv w:val="1"/>
      <w:marLeft w:val="0"/>
      <w:marRight w:val="0"/>
      <w:marTop w:val="0"/>
      <w:marBottom w:val="0"/>
      <w:divBdr>
        <w:top w:val="none" w:sz="0" w:space="0" w:color="auto"/>
        <w:left w:val="none" w:sz="0" w:space="0" w:color="auto"/>
        <w:bottom w:val="none" w:sz="0" w:space="0" w:color="auto"/>
        <w:right w:val="none" w:sz="0" w:space="0" w:color="auto"/>
      </w:divBdr>
    </w:div>
    <w:div w:id="1294480876">
      <w:bodyDiv w:val="1"/>
      <w:marLeft w:val="0"/>
      <w:marRight w:val="0"/>
      <w:marTop w:val="0"/>
      <w:marBottom w:val="0"/>
      <w:divBdr>
        <w:top w:val="none" w:sz="0" w:space="0" w:color="auto"/>
        <w:left w:val="none" w:sz="0" w:space="0" w:color="auto"/>
        <w:bottom w:val="none" w:sz="0" w:space="0" w:color="auto"/>
        <w:right w:val="none" w:sz="0" w:space="0" w:color="auto"/>
      </w:divBdr>
    </w:div>
    <w:div w:id="1294482713">
      <w:bodyDiv w:val="1"/>
      <w:marLeft w:val="0"/>
      <w:marRight w:val="0"/>
      <w:marTop w:val="0"/>
      <w:marBottom w:val="0"/>
      <w:divBdr>
        <w:top w:val="none" w:sz="0" w:space="0" w:color="auto"/>
        <w:left w:val="none" w:sz="0" w:space="0" w:color="auto"/>
        <w:bottom w:val="none" w:sz="0" w:space="0" w:color="auto"/>
        <w:right w:val="none" w:sz="0" w:space="0" w:color="auto"/>
      </w:divBdr>
    </w:div>
    <w:div w:id="1294483553">
      <w:bodyDiv w:val="1"/>
      <w:marLeft w:val="0"/>
      <w:marRight w:val="0"/>
      <w:marTop w:val="0"/>
      <w:marBottom w:val="0"/>
      <w:divBdr>
        <w:top w:val="none" w:sz="0" w:space="0" w:color="auto"/>
        <w:left w:val="none" w:sz="0" w:space="0" w:color="auto"/>
        <w:bottom w:val="none" w:sz="0" w:space="0" w:color="auto"/>
        <w:right w:val="none" w:sz="0" w:space="0" w:color="auto"/>
      </w:divBdr>
    </w:div>
    <w:div w:id="1294484227">
      <w:bodyDiv w:val="1"/>
      <w:marLeft w:val="0"/>
      <w:marRight w:val="0"/>
      <w:marTop w:val="0"/>
      <w:marBottom w:val="0"/>
      <w:divBdr>
        <w:top w:val="none" w:sz="0" w:space="0" w:color="auto"/>
        <w:left w:val="none" w:sz="0" w:space="0" w:color="auto"/>
        <w:bottom w:val="none" w:sz="0" w:space="0" w:color="auto"/>
        <w:right w:val="none" w:sz="0" w:space="0" w:color="auto"/>
      </w:divBdr>
    </w:div>
    <w:div w:id="1294485645">
      <w:bodyDiv w:val="1"/>
      <w:marLeft w:val="0"/>
      <w:marRight w:val="0"/>
      <w:marTop w:val="0"/>
      <w:marBottom w:val="0"/>
      <w:divBdr>
        <w:top w:val="none" w:sz="0" w:space="0" w:color="auto"/>
        <w:left w:val="none" w:sz="0" w:space="0" w:color="auto"/>
        <w:bottom w:val="none" w:sz="0" w:space="0" w:color="auto"/>
        <w:right w:val="none" w:sz="0" w:space="0" w:color="auto"/>
      </w:divBdr>
    </w:div>
    <w:div w:id="1294679356">
      <w:bodyDiv w:val="1"/>
      <w:marLeft w:val="0"/>
      <w:marRight w:val="0"/>
      <w:marTop w:val="0"/>
      <w:marBottom w:val="0"/>
      <w:divBdr>
        <w:top w:val="none" w:sz="0" w:space="0" w:color="auto"/>
        <w:left w:val="none" w:sz="0" w:space="0" w:color="auto"/>
        <w:bottom w:val="none" w:sz="0" w:space="0" w:color="auto"/>
        <w:right w:val="none" w:sz="0" w:space="0" w:color="auto"/>
      </w:divBdr>
    </w:div>
    <w:div w:id="1294948297">
      <w:bodyDiv w:val="1"/>
      <w:marLeft w:val="0"/>
      <w:marRight w:val="0"/>
      <w:marTop w:val="0"/>
      <w:marBottom w:val="0"/>
      <w:divBdr>
        <w:top w:val="none" w:sz="0" w:space="0" w:color="auto"/>
        <w:left w:val="none" w:sz="0" w:space="0" w:color="auto"/>
        <w:bottom w:val="none" w:sz="0" w:space="0" w:color="auto"/>
        <w:right w:val="none" w:sz="0" w:space="0" w:color="auto"/>
      </w:divBdr>
    </w:div>
    <w:div w:id="1295059837">
      <w:bodyDiv w:val="1"/>
      <w:marLeft w:val="0"/>
      <w:marRight w:val="0"/>
      <w:marTop w:val="0"/>
      <w:marBottom w:val="0"/>
      <w:divBdr>
        <w:top w:val="none" w:sz="0" w:space="0" w:color="auto"/>
        <w:left w:val="none" w:sz="0" w:space="0" w:color="auto"/>
        <w:bottom w:val="none" w:sz="0" w:space="0" w:color="auto"/>
        <w:right w:val="none" w:sz="0" w:space="0" w:color="auto"/>
      </w:divBdr>
    </w:div>
    <w:div w:id="1295140967">
      <w:bodyDiv w:val="1"/>
      <w:marLeft w:val="0"/>
      <w:marRight w:val="0"/>
      <w:marTop w:val="0"/>
      <w:marBottom w:val="0"/>
      <w:divBdr>
        <w:top w:val="none" w:sz="0" w:space="0" w:color="auto"/>
        <w:left w:val="none" w:sz="0" w:space="0" w:color="auto"/>
        <w:bottom w:val="none" w:sz="0" w:space="0" w:color="auto"/>
        <w:right w:val="none" w:sz="0" w:space="0" w:color="auto"/>
      </w:divBdr>
    </w:div>
    <w:div w:id="1295215086">
      <w:bodyDiv w:val="1"/>
      <w:marLeft w:val="0"/>
      <w:marRight w:val="0"/>
      <w:marTop w:val="0"/>
      <w:marBottom w:val="0"/>
      <w:divBdr>
        <w:top w:val="none" w:sz="0" w:space="0" w:color="auto"/>
        <w:left w:val="none" w:sz="0" w:space="0" w:color="auto"/>
        <w:bottom w:val="none" w:sz="0" w:space="0" w:color="auto"/>
        <w:right w:val="none" w:sz="0" w:space="0" w:color="auto"/>
      </w:divBdr>
    </w:div>
    <w:div w:id="1295521707">
      <w:bodyDiv w:val="1"/>
      <w:marLeft w:val="0"/>
      <w:marRight w:val="0"/>
      <w:marTop w:val="0"/>
      <w:marBottom w:val="0"/>
      <w:divBdr>
        <w:top w:val="none" w:sz="0" w:space="0" w:color="auto"/>
        <w:left w:val="none" w:sz="0" w:space="0" w:color="auto"/>
        <w:bottom w:val="none" w:sz="0" w:space="0" w:color="auto"/>
        <w:right w:val="none" w:sz="0" w:space="0" w:color="auto"/>
      </w:divBdr>
    </w:div>
    <w:div w:id="1295525054">
      <w:bodyDiv w:val="1"/>
      <w:marLeft w:val="0"/>
      <w:marRight w:val="0"/>
      <w:marTop w:val="0"/>
      <w:marBottom w:val="0"/>
      <w:divBdr>
        <w:top w:val="none" w:sz="0" w:space="0" w:color="auto"/>
        <w:left w:val="none" w:sz="0" w:space="0" w:color="auto"/>
        <w:bottom w:val="none" w:sz="0" w:space="0" w:color="auto"/>
        <w:right w:val="none" w:sz="0" w:space="0" w:color="auto"/>
      </w:divBdr>
    </w:div>
    <w:div w:id="1295595246">
      <w:bodyDiv w:val="1"/>
      <w:marLeft w:val="0"/>
      <w:marRight w:val="0"/>
      <w:marTop w:val="0"/>
      <w:marBottom w:val="0"/>
      <w:divBdr>
        <w:top w:val="none" w:sz="0" w:space="0" w:color="auto"/>
        <w:left w:val="none" w:sz="0" w:space="0" w:color="auto"/>
        <w:bottom w:val="none" w:sz="0" w:space="0" w:color="auto"/>
        <w:right w:val="none" w:sz="0" w:space="0" w:color="auto"/>
      </w:divBdr>
    </w:div>
    <w:div w:id="1295604462">
      <w:bodyDiv w:val="1"/>
      <w:marLeft w:val="0"/>
      <w:marRight w:val="0"/>
      <w:marTop w:val="0"/>
      <w:marBottom w:val="0"/>
      <w:divBdr>
        <w:top w:val="none" w:sz="0" w:space="0" w:color="auto"/>
        <w:left w:val="none" w:sz="0" w:space="0" w:color="auto"/>
        <w:bottom w:val="none" w:sz="0" w:space="0" w:color="auto"/>
        <w:right w:val="none" w:sz="0" w:space="0" w:color="auto"/>
      </w:divBdr>
    </w:div>
    <w:div w:id="1295646995">
      <w:bodyDiv w:val="1"/>
      <w:marLeft w:val="0"/>
      <w:marRight w:val="0"/>
      <w:marTop w:val="0"/>
      <w:marBottom w:val="0"/>
      <w:divBdr>
        <w:top w:val="none" w:sz="0" w:space="0" w:color="auto"/>
        <w:left w:val="none" w:sz="0" w:space="0" w:color="auto"/>
        <w:bottom w:val="none" w:sz="0" w:space="0" w:color="auto"/>
        <w:right w:val="none" w:sz="0" w:space="0" w:color="auto"/>
      </w:divBdr>
    </w:div>
    <w:div w:id="1295672511">
      <w:bodyDiv w:val="1"/>
      <w:marLeft w:val="0"/>
      <w:marRight w:val="0"/>
      <w:marTop w:val="0"/>
      <w:marBottom w:val="0"/>
      <w:divBdr>
        <w:top w:val="none" w:sz="0" w:space="0" w:color="auto"/>
        <w:left w:val="none" w:sz="0" w:space="0" w:color="auto"/>
        <w:bottom w:val="none" w:sz="0" w:space="0" w:color="auto"/>
        <w:right w:val="none" w:sz="0" w:space="0" w:color="auto"/>
      </w:divBdr>
    </w:div>
    <w:div w:id="1295673086">
      <w:bodyDiv w:val="1"/>
      <w:marLeft w:val="0"/>
      <w:marRight w:val="0"/>
      <w:marTop w:val="0"/>
      <w:marBottom w:val="0"/>
      <w:divBdr>
        <w:top w:val="none" w:sz="0" w:space="0" w:color="auto"/>
        <w:left w:val="none" w:sz="0" w:space="0" w:color="auto"/>
        <w:bottom w:val="none" w:sz="0" w:space="0" w:color="auto"/>
        <w:right w:val="none" w:sz="0" w:space="0" w:color="auto"/>
      </w:divBdr>
    </w:div>
    <w:div w:id="1295677027">
      <w:bodyDiv w:val="1"/>
      <w:marLeft w:val="0"/>
      <w:marRight w:val="0"/>
      <w:marTop w:val="0"/>
      <w:marBottom w:val="0"/>
      <w:divBdr>
        <w:top w:val="none" w:sz="0" w:space="0" w:color="auto"/>
        <w:left w:val="none" w:sz="0" w:space="0" w:color="auto"/>
        <w:bottom w:val="none" w:sz="0" w:space="0" w:color="auto"/>
        <w:right w:val="none" w:sz="0" w:space="0" w:color="auto"/>
      </w:divBdr>
    </w:div>
    <w:div w:id="1295794365">
      <w:bodyDiv w:val="1"/>
      <w:marLeft w:val="0"/>
      <w:marRight w:val="0"/>
      <w:marTop w:val="0"/>
      <w:marBottom w:val="0"/>
      <w:divBdr>
        <w:top w:val="none" w:sz="0" w:space="0" w:color="auto"/>
        <w:left w:val="none" w:sz="0" w:space="0" w:color="auto"/>
        <w:bottom w:val="none" w:sz="0" w:space="0" w:color="auto"/>
        <w:right w:val="none" w:sz="0" w:space="0" w:color="auto"/>
      </w:divBdr>
    </w:div>
    <w:div w:id="1295866004">
      <w:bodyDiv w:val="1"/>
      <w:marLeft w:val="0"/>
      <w:marRight w:val="0"/>
      <w:marTop w:val="0"/>
      <w:marBottom w:val="0"/>
      <w:divBdr>
        <w:top w:val="none" w:sz="0" w:space="0" w:color="auto"/>
        <w:left w:val="none" w:sz="0" w:space="0" w:color="auto"/>
        <w:bottom w:val="none" w:sz="0" w:space="0" w:color="auto"/>
        <w:right w:val="none" w:sz="0" w:space="0" w:color="auto"/>
      </w:divBdr>
    </w:div>
    <w:div w:id="1295910875">
      <w:bodyDiv w:val="1"/>
      <w:marLeft w:val="0"/>
      <w:marRight w:val="0"/>
      <w:marTop w:val="0"/>
      <w:marBottom w:val="0"/>
      <w:divBdr>
        <w:top w:val="none" w:sz="0" w:space="0" w:color="auto"/>
        <w:left w:val="none" w:sz="0" w:space="0" w:color="auto"/>
        <w:bottom w:val="none" w:sz="0" w:space="0" w:color="auto"/>
        <w:right w:val="none" w:sz="0" w:space="0" w:color="auto"/>
      </w:divBdr>
    </w:div>
    <w:div w:id="1295914984">
      <w:bodyDiv w:val="1"/>
      <w:marLeft w:val="0"/>
      <w:marRight w:val="0"/>
      <w:marTop w:val="0"/>
      <w:marBottom w:val="0"/>
      <w:divBdr>
        <w:top w:val="none" w:sz="0" w:space="0" w:color="auto"/>
        <w:left w:val="none" w:sz="0" w:space="0" w:color="auto"/>
        <w:bottom w:val="none" w:sz="0" w:space="0" w:color="auto"/>
        <w:right w:val="none" w:sz="0" w:space="0" w:color="auto"/>
      </w:divBdr>
    </w:div>
    <w:div w:id="1295915341">
      <w:bodyDiv w:val="1"/>
      <w:marLeft w:val="0"/>
      <w:marRight w:val="0"/>
      <w:marTop w:val="0"/>
      <w:marBottom w:val="0"/>
      <w:divBdr>
        <w:top w:val="none" w:sz="0" w:space="0" w:color="auto"/>
        <w:left w:val="none" w:sz="0" w:space="0" w:color="auto"/>
        <w:bottom w:val="none" w:sz="0" w:space="0" w:color="auto"/>
        <w:right w:val="none" w:sz="0" w:space="0" w:color="auto"/>
      </w:divBdr>
    </w:div>
    <w:div w:id="1295985244">
      <w:bodyDiv w:val="1"/>
      <w:marLeft w:val="0"/>
      <w:marRight w:val="0"/>
      <w:marTop w:val="0"/>
      <w:marBottom w:val="0"/>
      <w:divBdr>
        <w:top w:val="none" w:sz="0" w:space="0" w:color="auto"/>
        <w:left w:val="none" w:sz="0" w:space="0" w:color="auto"/>
        <w:bottom w:val="none" w:sz="0" w:space="0" w:color="auto"/>
        <w:right w:val="none" w:sz="0" w:space="0" w:color="auto"/>
      </w:divBdr>
    </w:div>
    <w:div w:id="1295987296">
      <w:bodyDiv w:val="1"/>
      <w:marLeft w:val="0"/>
      <w:marRight w:val="0"/>
      <w:marTop w:val="0"/>
      <w:marBottom w:val="0"/>
      <w:divBdr>
        <w:top w:val="none" w:sz="0" w:space="0" w:color="auto"/>
        <w:left w:val="none" w:sz="0" w:space="0" w:color="auto"/>
        <w:bottom w:val="none" w:sz="0" w:space="0" w:color="auto"/>
        <w:right w:val="none" w:sz="0" w:space="0" w:color="auto"/>
      </w:divBdr>
    </w:div>
    <w:div w:id="1296065529">
      <w:bodyDiv w:val="1"/>
      <w:marLeft w:val="0"/>
      <w:marRight w:val="0"/>
      <w:marTop w:val="0"/>
      <w:marBottom w:val="0"/>
      <w:divBdr>
        <w:top w:val="none" w:sz="0" w:space="0" w:color="auto"/>
        <w:left w:val="none" w:sz="0" w:space="0" w:color="auto"/>
        <w:bottom w:val="none" w:sz="0" w:space="0" w:color="auto"/>
        <w:right w:val="none" w:sz="0" w:space="0" w:color="auto"/>
      </w:divBdr>
    </w:div>
    <w:div w:id="1296259894">
      <w:bodyDiv w:val="1"/>
      <w:marLeft w:val="0"/>
      <w:marRight w:val="0"/>
      <w:marTop w:val="0"/>
      <w:marBottom w:val="0"/>
      <w:divBdr>
        <w:top w:val="none" w:sz="0" w:space="0" w:color="auto"/>
        <w:left w:val="none" w:sz="0" w:space="0" w:color="auto"/>
        <w:bottom w:val="none" w:sz="0" w:space="0" w:color="auto"/>
        <w:right w:val="none" w:sz="0" w:space="0" w:color="auto"/>
      </w:divBdr>
    </w:div>
    <w:div w:id="1296330698">
      <w:bodyDiv w:val="1"/>
      <w:marLeft w:val="0"/>
      <w:marRight w:val="0"/>
      <w:marTop w:val="0"/>
      <w:marBottom w:val="0"/>
      <w:divBdr>
        <w:top w:val="none" w:sz="0" w:space="0" w:color="auto"/>
        <w:left w:val="none" w:sz="0" w:space="0" w:color="auto"/>
        <w:bottom w:val="none" w:sz="0" w:space="0" w:color="auto"/>
        <w:right w:val="none" w:sz="0" w:space="0" w:color="auto"/>
      </w:divBdr>
    </w:div>
    <w:div w:id="1296372603">
      <w:bodyDiv w:val="1"/>
      <w:marLeft w:val="0"/>
      <w:marRight w:val="0"/>
      <w:marTop w:val="0"/>
      <w:marBottom w:val="0"/>
      <w:divBdr>
        <w:top w:val="none" w:sz="0" w:space="0" w:color="auto"/>
        <w:left w:val="none" w:sz="0" w:space="0" w:color="auto"/>
        <w:bottom w:val="none" w:sz="0" w:space="0" w:color="auto"/>
        <w:right w:val="none" w:sz="0" w:space="0" w:color="auto"/>
      </w:divBdr>
    </w:div>
    <w:div w:id="1296373134">
      <w:bodyDiv w:val="1"/>
      <w:marLeft w:val="0"/>
      <w:marRight w:val="0"/>
      <w:marTop w:val="0"/>
      <w:marBottom w:val="0"/>
      <w:divBdr>
        <w:top w:val="none" w:sz="0" w:space="0" w:color="auto"/>
        <w:left w:val="none" w:sz="0" w:space="0" w:color="auto"/>
        <w:bottom w:val="none" w:sz="0" w:space="0" w:color="auto"/>
        <w:right w:val="none" w:sz="0" w:space="0" w:color="auto"/>
      </w:divBdr>
    </w:div>
    <w:div w:id="1296449837">
      <w:bodyDiv w:val="1"/>
      <w:marLeft w:val="0"/>
      <w:marRight w:val="0"/>
      <w:marTop w:val="0"/>
      <w:marBottom w:val="0"/>
      <w:divBdr>
        <w:top w:val="none" w:sz="0" w:space="0" w:color="auto"/>
        <w:left w:val="none" w:sz="0" w:space="0" w:color="auto"/>
        <w:bottom w:val="none" w:sz="0" w:space="0" w:color="auto"/>
        <w:right w:val="none" w:sz="0" w:space="0" w:color="auto"/>
      </w:divBdr>
    </w:div>
    <w:div w:id="1296453108">
      <w:bodyDiv w:val="1"/>
      <w:marLeft w:val="0"/>
      <w:marRight w:val="0"/>
      <w:marTop w:val="0"/>
      <w:marBottom w:val="0"/>
      <w:divBdr>
        <w:top w:val="none" w:sz="0" w:space="0" w:color="auto"/>
        <w:left w:val="none" w:sz="0" w:space="0" w:color="auto"/>
        <w:bottom w:val="none" w:sz="0" w:space="0" w:color="auto"/>
        <w:right w:val="none" w:sz="0" w:space="0" w:color="auto"/>
      </w:divBdr>
    </w:div>
    <w:div w:id="1296521869">
      <w:bodyDiv w:val="1"/>
      <w:marLeft w:val="0"/>
      <w:marRight w:val="0"/>
      <w:marTop w:val="0"/>
      <w:marBottom w:val="0"/>
      <w:divBdr>
        <w:top w:val="none" w:sz="0" w:space="0" w:color="auto"/>
        <w:left w:val="none" w:sz="0" w:space="0" w:color="auto"/>
        <w:bottom w:val="none" w:sz="0" w:space="0" w:color="auto"/>
        <w:right w:val="none" w:sz="0" w:space="0" w:color="auto"/>
      </w:divBdr>
    </w:div>
    <w:div w:id="1296524377">
      <w:bodyDiv w:val="1"/>
      <w:marLeft w:val="0"/>
      <w:marRight w:val="0"/>
      <w:marTop w:val="0"/>
      <w:marBottom w:val="0"/>
      <w:divBdr>
        <w:top w:val="none" w:sz="0" w:space="0" w:color="auto"/>
        <w:left w:val="none" w:sz="0" w:space="0" w:color="auto"/>
        <w:bottom w:val="none" w:sz="0" w:space="0" w:color="auto"/>
        <w:right w:val="none" w:sz="0" w:space="0" w:color="auto"/>
      </w:divBdr>
    </w:div>
    <w:div w:id="1296642363">
      <w:bodyDiv w:val="1"/>
      <w:marLeft w:val="0"/>
      <w:marRight w:val="0"/>
      <w:marTop w:val="0"/>
      <w:marBottom w:val="0"/>
      <w:divBdr>
        <w:top w:val="none" w:sz="0" w:space="0" w:color="auto"/>
        <w:left w:val="none" w:sz="0" w:space="0" w:color="auto"/>
        <w:bottom w:val="none" w:sz="0" w:space="0" w:color="auto"/>
        <w:right w:val="none" w:sz="0" w:space="0" w:color="auto"/>
      </w:divBdr>
    </w:div>
    <w:div w:id="1296714359">
      <w:bodyDiv w:val="1"/>
      <w:marLeft w:val="0"/>
      <w:marRight w:val="0"/>
      <w:marTop w:val="0"/>
      <w:marBottom w:val="0"/>
      <w:divBdr>
        <w:top w:val="none" w:sz="0" w:space="0" w:color="auto"/>
        <w:left w:val="none" w:sz="0" w:space="0" w:color="auto"/>
        <w:bottom w:val="none" w:sz="0" w:space="0" w:color="auto"/>
        <w:right w:val="none" w:sz="0" w:space="0" w:color="auto"/>
      </w:divBdr>
    </w:div>
    <w:div w:id="1296763895">
      <w:bodyDiv w:val="1"/>
      <w:marLeft w:val="0"/>
      <w:marRight w:val="0"/>
      <w:marTop w:val="0"/>
      <w:marBottom w:val="0"/>
      <w:divBdr>
        <w:top w:val="none" w:sz="0" w:space="0" w:color="auto"/>
        <w:left w:val="none" w:sz="0" w:space="0" w:color="auto"/>
        <w:bottom w:val="none" w:sz="0" w:space="0" w:color="auto"/>
        <w:right w:val="none" w:sz="0" w:space="0" w:color="auto"/>
      </w:divBdr>
    </w:div>
    <w:div w:id="1296831703">
      <w:bodyDiv w:val="1"/>
      <w:marLeft w:val="0"/>
      <w:marRight w:val="0"/>
      <w:marTop w:val="0"/>
      <w:marBottom w:val="0"/>
      <w:divBdr>
        <w:top w:val="none" w:sz="0" w:space="0" w:color="auto"/>
        <w:left w:val="none" w:sz="0" w:space="0" w:color="auto"/>
        <w:bottom w:val="none" w:sz="0" w:space="0" w:color="auto"/>
        <w:right w:val="none" w:sz="0" w:space="0" w:color="auto"/>
      </w:divBdr>
    </w:div>
    <w:div w:id="1296839144">
      <w:bodyDiv w:val="1"/>
      <w:marLeft w:val="0"/>
      <w:marRight w:val="0"/>
      <w:marTop w:val="0"/>
      <w:marBottom w:val="0"/>
      <w:divBdr>
        <w:top w:val="none" w:sz="0" w:space="0" w:color="auto"/>
        <w:left w:val="none" w:sz="0" w:space="0" w:color="auto"/>
        <w:bottom w:val="none" w:sz="0" w:space="0" w:color="auto"/>
        <w:right w:val="none" w:sz="0" w:space="0" w:color="auto"/>
      </w:divBdr>
    </w:div>
    <w:div w:id="1296911997">
      <w:bodyDiv w:val="1"/>
      <w:marLeft w:val="0"/>
      <w:marRight w:val="0"/>
      <w:marTop w:val="0"/>
      <w:marBottom w:val="0"/>
      <w:divBdr>
        <w:top w:val="none" w:sz="0" w:space="0" w:color="auto"/>
        <w:left w:val="none" w:sz="0" w:space="0" w:color="auto"/>
        <w:bottom w:val="none" w:sz="0" w:space="0" w:color="auto"/>
        <w:right w:val="none" w:sz="0" w:space="0" w:color="auto"/>
      </w:divBdr>
    </w:div>
    <w:div w:id="1296912513">
      <w:bodyDiv w:val="1"/>
      <w:marLeft w:val="0"/>
      <w:marRight w:val="0"/>
      <w:marTop w:val="0"/>
      <w:marBottom w:val="0"/>
      <w:divBdr>
        <w:top w:val="none" w:sz="0" w:space="0" w:color="auto"/>
        <w:left w:val="none" w:sz="0" w:space="0" w:color="auto"/>
        <w:bottom w:val="none" w:sz="0" w:space="0" w:color="auto"/>
        <w:right w:val="none" w:sz="0" w:space="0" w:color="auto"/>
      </w:divBdr>
    </w:div>
    <w:div w:id="1296984161">
      <w:bodyDiv w:val="1"/>
      <w:marLeft w:val="0"/>
      <w:marRight w:val="0"/>
      <w:marTop w:val="0"/>
      <w:marBottom w:val="0"/>
      <w:divBdr>
        <w:top w:val="none" w:sz="0" w:space="0" w:color="auto"/>
        <w:left w:val="none" w:sz="0" w:space="0" w:color="auto"/>
        <w:bottom w:val="none" w:sz="0" w:space="0" w:color="auto"/>
        <w:right w:val="none" w:sz="0" w:space="0" w:color="auto"/>
      </w:divBdr>
    </w:div>
    <w:div w:id="1297107413">
      <w:bodyDiv w:val="1"/>
      <w:marLeft w:val="0"/>
      <w:marRight w:val="0"/>
      <w:marTop w:val="0"/>
      <w:marBottom w:val="0"/>
      <w:divBdr>
        <w:top w:val="none" w:sz="0" w:space="0" w:color="auto"/>
        <w:left w:val="none" w:sz="0" w:space="0" w:color="auto"/>
        <w:bottom w:val="none" w:sz="0" w:space="0" w:color="auto"/>
        <w:right w:val="none" w:sz="0" w:space="0" w:color="auto"/>
      </w:divBdr>
    </w:div>
    <w:div w:id="1297183587">
      <w:bodyDiv w:val="1"/>
      <w:marLeft w:val="0"/>
      <w:marRight w:val="0"/>
      <w:marTop w:val="0"/>
      <w:marBottom w:val="0"/>
      <w:divBdr>
        <w:top w:val="none" w:sz="0" w:space="0" w:color="auto"/>
        <w:left w:val="none" w:sz="0" w:space="0" w:color="auto"/>
        <w:bottom w:val="none" w:sz="0" w:space="0" w:color="auto"/>
        <w:right w:val="none" w:sz="0" w:space="0" w:color="auto"/>
      </w:divBdr>
    </w:div>
    <w:div w:id="1297418808">
      <w:bodyDiv w:val="1"/>
      <w:marLeft w:val="0"/>
      <w:marRight w:val="0"/>
      <w:marTop w:val="0"/>
      <w:marBottom w:val="0"/>
      <w:divBdr>
        <w:top w:val="none" w:sz="0" w:space="0" w:color="auto"/>
        <w:left w:val="none" w:sz="0" w:space="0" w:color="auto"/>
        <w:bottom w:val="none" w:sz="0" w:space="0" w:color="auto"/>
        <w:right w:val="none" w:sz="0" w:space="0" w:color="auto"/>
      </w:divBdr>
    </w:div>
    <w:div w:id="1297491417">
      <w:bodyDiv w:val="1"/>
      <w:marLeft w:val="0"/>
      <w:marRight w:val="0"/>
      <w:marTop w:val="0"/>
      <w:marBottom w:val="0"/>
      <w:divBdr>
        <w:top w:val="none" w:sz="0" w:space="0" w:color="auto"/>
        <w:left w:val="none" w:sz="0" w:space="0" w:color="auto"/>
        <w:bottom w:val="none" w:sz="0" w:space="0" w:color="auto"/>
        <w:right w:val="none" w:sz="0" w:space="0" w:color="auto"/>
      </w:divBdr>
    </w:div>
    <w:div w:id="1297564454">
      <w:bodyDiv w:val="1"/>
      <w:marLeft w:val="0"/>
      <w:marRight w:val="0"/>
      <w:marTop w:val="0"/>
      <w:marBottom w:val="0"/>
      <w:divBdr>
        <w:top w:val="none" w:sz="0" w:space="0" w:color="auto"/>
        <w:left w:val="none" w:sz="0" w:space="0" w:color="auto"/>
        <w:bottom w:val="none" w:sz="0" w:space="0" w:color="auto"/>
        <w:right w:val="none" w:sz="0" w:space="0" w:color="auto"/>
      </w:divBdr>
    </w:div>
    <w:div w:id="1297570336">
      <w:bodyDiv w:val="1"/>
      <w:marLeft w:val="0"/>
      <w:marRight w:val="0"/>
      <w:marTop w:val="0"/>
      <w:marBottom w:val="0"/>
      <w:divBdr>
        <w:top w:val="none" w:sz="0" w:space="0" w:color="auto"/>
        <w:left w:val="none" w:sz="0" w:space="0" w:color="auto"/>
        <w:bottom w:val="none" w:sz="0" w:space="0" w:color="auto"/>
        <w:right w:val="none" w:sz="0" w:space="0" w:color="auto"/>
      </w:divBdr>
    </w:div>
    <w:div w:id="1297637552">
      <w:bodyDiv w:val="1"/>
      <w:marLeft w:val="0"/>
      <w:marRight w:val="0"/>
      <w:marTop w:val="0"/>
      <w:marBottom w:val="0"/>
      <w:divBdr>
        <w:top w:val="none" w:sz="0" w:space="0" w:color="auto"/>
        <w:left w:val="none" w:sz="0" w:space="0" w:color="auto"/>
        <w:bottom w:val="none" w:sz="0" w:space="0" w:color="auto"/>
        <w:right w:val="none" w:sz="0" w:space="0" w:color="auto"/>
      </w:divBdr>
    </w:div>
    <w:div w:id="1297640448">
      <w:bodyDiv w:val="1"/>
      <w:marLeft w:val="0"/>
      <w:marRight w:val="0"/>
      <w:marTop w:val="0"/>
      <w:marBottom w:val="0"/>
      <w:divBdr>
        <w:top w:val="none" w:sz="0" w:space="0" w:color="auto"/>
        <w:left w:val="none" w:sz="0" w:space="0" w:color="auto"/>
        <w:bottom w:val="none" w:sz="0" w:space="0" w:color="auto"/>
        <w:right w:val="none" w:sz="0" w:space="0" w:color="auto"/>
      </w:divBdr>
    </w:div>
    <w:div w:id="1297643796">
      <w:bodyDiv w:val="1"/>
      <w:marLeft w:val="0"/>
      <w:marRight w:val="0"/>
      <w:marTop w:val="0"/>
      <w:marBottom w:val="0"/>
      <w:divBdr>
        <w:top w:val="none" w:sz="0" w:space="0" w:color="auto"/>
        <w:left w:val="none" w:sz="0" w:space="0" w:color="auto"/>
        <w:bottom w:val="none" w:sz="0" w:space="0" w:color="auto"/>
        <w:right w:val="none" w:sz="0" w:space="0" w:color="auto"/>
      </w:divBdr>
    </w:div>
    <w:div w:id="1297685346">
      <w:bodyDiv w:val="1"/>
      <w:marLeft w:val="0"/>
      <w:marRight w:val="0"/>
      <w:marTop w:val="0"/>
      <w:marBottom w:val="0"/>
      <w:divBdr>
        <w:top w:val="none" w:sz="0" w:space="0" w:color="auto"/>
        <w:left w:val="none" w:sz="0" w:space="0" w:color="auto"/>
        <w:bottom w:val="none" w:sz="0" w:space="0" w:color="auto"/>
        <w:right w:val="none" w:sz="0" w:space="0" w:color="auto"/>
      </w:divBdr>
    </w:div>
    <w:div w:id="1297687898">
      <w:bodyDiv w:val="1"/>
      <w:marLeft w:val="0"/>
      <w:marRight w:val="0"/>
      <w:marTop w:val="0"/>
      <w:marBottom w:val="0"/>
      <w:divBdr>
        <w:top w:val="none" w:sz="0" w:space="0" w:color="auto"/>
        <w:left w:val="none" w:sz="0" w:space="0" w:color="auto"/>
        <w:bottom w:val="none" w:sz="0" w:space="0" w:color="auto"/>
        <w:right w:val="none" w:sz="0" w:space="0" w:color="auto"/>
      </w:divBdr>
    </w:div>
    <w:div w:id="1297838256">
      <w:bodyDiv w:val="1"/>
      <w:marLeft w:val="0"/>
      <w:marRight w:val="0"/>
      <w:marTop w:val="0"/>
      <w:marBottom w:val="0"/>
      <w:divBdr>
        <w:top w:val="none" w:sz="0" w:space="0" w:color="auto"/>
        <w:left w:val="none" w:sz="0" w:space="0" w:color="auto"/>
        <w:bottom w:val="none" w:sz="0" w:space="0" w:color="auto"/>
        <w:right w:val="none" w:sz="0" w:space="0" w:color="auto"/>
      </w:divBdr>
    </w:div>
    <w:div w:id="1298142554">
      <w:bodyDiv w:val="1"/>
      <w:marLeft w:val="0"/>
      <w:marRight w:val="0"/>
      <w:marTop w:val="0"/>
      <w:marBottom w:val="0"/>
      <w:divBdr>
        <w:top w:val="none" w:sz="0" w:space="0" w:color="auto"/>
        <w:left w:val="none" w:sz="0" w:space="0" w:color="auto"/>
        <w:bottom w:val="none" w:sz="0" w:space="0" w:color="auto"/>
        <w:right w:val="none" w:sz="0" w:space="0" w:color="auto"/>
      </w:divBdr>
    </w:div>
    <w:div w:id="1298143819">
      <w:bodyDiv w:val="1"/>
      <w:marLeft w:val="0"/>
      <w:marRight w:val="0"/>
      <w:marTop w:val="0"/>
      <w:marBottom w:val="0"/>
      <w:divBdr>
        <w:top w:val="none" w:sz="0" w:space="0" w:color="auto"/>
        <w:left w:val="none" w:sz="0" w:space="0" w:color="auto"/>
        <w:bottom w:val="none" w:sz="0" w:space="0" w:color="auto"/>
        <w:right w:val="none" w:sz="0" w:space="0" w:color="auto"/>
      </w:divBdr>
    </w:div>
    <w:div w:id="1298220667">
      <w:bodyDiv w:val="1"/>
      <w:marLeft w:val="0"/>
      <w:marRight w:val="0"/>
      <w:marTop w:val="0"/>
      <w:marBottom w:val="0"/>
      <w:divBdr>
        <w:top w:val="none" w:sz="0" w:space="0" w:color="auto"/>
        <w:left w:val="none" w:sz="0" w:space="0" w:color="auto"/>
        <w:bottom w:val="none" w:sz="0" w:space="0" w:color="auto"/>
        <w:right w:val="none" w:sz="0" w:space="0" w:color="auto"/>
      </w:divBdr>
    </w:div>
    <w:div w:id="1298224724">
      <w:bodyDiv w:val="1"/>
      <w:marLeft w:val="0"/>
      <w:marRight w:val="0"/>
      <w:marTop w:val="0"/>
      <w:marBottom w:val="0"/>
      <w:divBdr>
        <w:top w:val="none" w:sz="0" w:space="0" w:color="auto"/>
        <w:left w:val="none" w:sz="0" w:space="0" w:color="auto"/>
        <w:bottom w:val="none" w:sz="0" w:space="0" w:color="auto"/>
        <w:right w:val="none" w:sz="0" w:space="0" w:color="auto"/>
      </w:divBdr>
    </w:div>
    <w:div w:id="1298292643">
      <w:bodyDiv w:val="1"/>
      <w:marLeft w:val="0"/>
      <w:marRight w:val="0"/>
      <w:marTop w:val="0"/>
      <w:marBottom w:val="0"/>
      <w:divBdr>
        <w:top w:val="none" w:sz="0" w:space="0" w:color="auto"/>
        <w:left w:val="none" w:sz="0" w:space="0" w:color="auto"/>
        <w:bottom w:val="none" w:sz="0" w:space="0" w:color="auto"/>
        <w:right w:val="none" w:sz="0" w:space="0" w:color="auto"/>
      </w:divBdr>
    </w:div>
    <w:div w:id="1298531303">
      <w:bodyDiv w:val="1"/>
      <w:marLeft w:val="0"/>
      <w:marRight w:val="0"/>
      <w:marTop w:val="0"/>
      <w:marBottom w:val="0"/>
      <w:divBdr>
        <w:top w:val="none" w:sz="0" w:space="0" w:color="auto"/>
        <w:left w:val="none" w:sz="0" w:space="0" w:color="auto"/>
        <w:bottom w:val="none" w:sz="0" w:space="0" w:color="auto"/>
        <w:right w:val="none" w:sz="0" w:space="0" w:color="auto"/>
      </w:divBdr>
    </w:div>
    <w:div w:id="1298684533">
      <w:bodyDiv w:val="1"/>
      <w:marLeft w:val="0"/>
      <w:marRight w:val="0"/>
      <w:marTop w:val="0"/>
      <w:marBottom w:val="0"/>
      <w:divBdr>
        <w:top w:val="none" w:sz="0" w:space="0" w:color="auto"/>
        <w:left w:val="none" w:sz="0" w:space="0" w:color="auto"/>
        <w:bottom w:val="none" w:sz="0" w:space="0" w:color="auto"/>
        <w:right w:val="none" w:sz="0" w:space="0" w:color="auto"/>
      </w:divBdr>
    </w:div>
    <w:div w:id="1298873947">
      <w:bodyDiv w:val="1"/>
      <w:marLeft w:val="0"/>
      <w:marRight w:val="0"/>
      <w:marTop w:val="0"/>
      <w:marBottom w:val="0"/>
      <w:divBdr>
        <w:top w:val="none" w:sz="0" w:space="0" w:color="auto"/>
        <w:left w:val="none" w:sz="0" w:space="0" w:color="auto"/>
        <w:bottom w:val="none" w:sz="0" w:space="0" w:color="auto"/>
        <w:right w:val="none" w:sz="0" w:space="0" w:color="auto"/>
      </w:divBdr>
    </w:div>
    <w:div w:id="1298874615">
      <w:bodyDiv w:val="1"/>
      <w:marLeft w:val="0"/>
      <w:marRight w:val="0"/>
      <w:marTop w:val="0"/>
      <w:marBottom w:val="0"/>
      <w:divBdr>
        <w:top w:val="none" w:sz="0" w:space="0" w:color="auto"/>
        <w:left w:val="none" w:sz="0" w:space="0" w:color="auto"/>
        <w:bottom w:val="none" w:sz="0" w:space="0" w:color="auto"/>
        <w:right w:val="none" w:sz="0" w:space="0" w:color="auto"/>
      </w:divBdr>
    </w:div>
    <w:div w:id="1298949567">
      <w:bodyDiv w:val="1"/>
      <w:marLeft w:val="0"/>
      <w:marRight w:val="0"/>
      <w:marTop w:val="0"/>
      <w:marBottom w:val="0"/>
      <w:divBdr>
        <w:top w:val="none" w:sz="0" w:space="0" w:color="auto"/>
        <w:left w:val="none" w:sz="0" w:space="0" w:color="auto"/>
        <w:bottom w:val="none" w:sz="0" w:space="0" w:color="auto"/>
        <w:right w:val="none" w:sz="0" w:space="0" w:color="auto"/>
      </w:divBdr>
    </w:div>
    <w:div w:id="1299148751">
      <w:bodyDiv w:val="1"/>
      <w:marLeft w:val="0"/>
      <w:marRight w:val="0"/>
      <w:marTop w:val="0"/>
      <w:marBottom w:val="0"/>
      <w:divBdr>
        <w:top w:val="none" w:sz="0" w:space="0" w:color="auto"/>
        <w:left w:val="none" w:sz="0" w:space="0" w:color="auto"/>
        <w:bottom w:val="none" w:sz="0" w:space="0" w:color="auto"/>
        <w:right w:val="none" w:sz="0" w:space="0" w:color="auto"/>
      </w:divBdr>
    </w:div>
    <w:div w:id="1299262495">
      <w:bodyDiv w:val="1"/>
      <w:marLeft w:val="0"/>
      <w:marRight w:val="0"/>
      <w:marTop w:val="0"/>
      <w:marBottom w:val="0"/>
      <w:divBdr>
        <w:top w:val="none" w:sz="0" w:space="0" w:color="auto"/>
        <w:left w:val="none" w:sz="0" w:space="0" w:color="auto"/>
        <w:bottom w:val="none" w:sz="0" w:space="0" w:color="auto"/>
        <w:right w:val="none" w:sz="0" w:space="0" w:color="auto"/>
      </w:divBdr>
    </w:div>
    <w:div w:id="1299414960">
      <w:bodyDiv w:val="1"/>
      <w:marLeft w:val="0"/>
      <w:marRight w:val="0"/>
      <w:marTop w:val="0"/>
      <w:marBottom w:val="0"/>
      <w:divBdr>
        <w:top w:val="none" w:sz="0" w:space="0" w:color="auto"/>
        <w:left w:val="none" w:sz="0" w:space="0" w:color="auto"/>
        <w:bottom w:val="none" w:sz="0" w:space="0" w:color="auto"/>
        <w:right w:val="none" w:sz="0" w:space="0" w:color="auto"/>
      </w:divBdr>
    </w:div>
    <w:div w:id="1299721770">
      <w:bodyDiv w:val="1"/>
      <w:marLeft w:val="0"/>
      <w:marRight w:val="0"/>
      <w:marTop w:val="0"/>
      <w:marBottom w:val="0"/>
      <w:divBdr>
        <w:top w:val="none" w:sz="0" w:space="0" w:color="auto"/>
        <w:left w:val="none" w:sz="0" w:space="0" w:color="auto"/>
        <w:bottom w:val="none" w:sz="0" w:space="0" w:color="auto"/>
        <w:right w:val="none" w:sz="0" w:space="0" w:color="auto"/>
      </w:divBdr>
    </w:div>
    <w:div w:id="1299725986">
      <w:bodyDiv w:val="1"/>
      <w:marLeft w:val="0"/>
      <w:marRight w:val="0"/>
      <w:marTop w:val="0"/>
      <w:marBottom w:val="0"/>
      <w:divBdr>
        <w:top w:val="none" w:sz="0" w:space="0" w:color="auto"/>
        <w:left w:val="none" w:sz="0" w:space="0" w:color="auto"/>
        <w:bottom w:val="none" w:sz="0" w:space="0" w:color="auto"/>
        <w:right w:val="none" w:sz="0" w:space="0" w:color="auto"/>
      </w:divBdr>
    </w:div>
    <w:div w:id="1299798183">
      <w:bodyDiv w:val="1"/>
      <w:marLeft w:val="0"/>
      <w:marRight w:val="0"/>
      <w:marTop w:val="0"/>
      <w:marBottom w:val="0"/>
      <w:divBdr>
        <w:top w:val="none" w:sz="0" w:space="0" w:color="auto"/>
        <w:left w:val="none" w:sz="0" w:space="0" w:color="auto"/>
        <w:bottom w:val="none" w:sz="0" w:space="0" w:color="auto"/>
        <w:right w:val="none" w:sz="0" w:space="0" w:color="auto"/>
      </w:divBdr>
    </w:div>
    <w:div w:id="1299917482">
      <w:bodyDiv w:val="1"/>
      <w:marLeft w:val="0"/>
      <w:marRight w:val="0"/>
      <w:marTop w:val="0"/>
      <w:marBottom w:val="0"/>
      <w:divBdr>
        <w:top w:val="none" w:sz="0" w:space="0" w:color="auto"/>
        <w:left w:val="none" w:sz="0" w:space="0" w:color="auto"/>
        <w:bottom w:val="none" w:sz="0" w:space="0" w:color="auto"/>
        <w:right w:val="none" w:sz="0" w:space="0" w:color="auto"/>
      </w:divBdr>
    </w:div>
    <w:div w:id="1299993245">
      <w:bodyDiv w:val="1"/>
      <w:marLeft w:val="0"/>
      <w:marRight w:val="0"/>
      <w:marTop w:val="0"/>
      <w:marBottom w:val="0"/>
      <w:divBdr>
        <w:top w:val="none" w:sz="0" w:space="0" w:color="auto"/>
        <w:left w:val="none" w:sz="0" w:space="0" w:color="auto"/>
        <w:bottom w:val="none" w:sz="0" w:space="0" w:color="auto"/>
        <w:right w:val="none" w:sz="0" w:space="0" w:color="auto"/>
      </w:divBdr>
    </w:div>
    <w:div w:id="1300038052">
      <w:bodyDiv w:val="1"/>
      <w:marLeft w:val="0"/>
      <w:marRight w:val="0"/>
      <w:marTop w:val="0"/>
      <w:marBottom w:val="0"/>
      <w:divBdr>
        <w:top w:val="none" w:sz="0" w:space="0" w:color="auto"/>
        <w:left w:val="none" w:sz="0" w:space="0" w:color="auto"/>
        <w:bottom w:val="none" w:sz="0" w:space="0" w:color="auto"/>
        <w:right w:val="none" w:sz="0" w:space="0" w:color="auto"/>
      </w:divBdr>
    </w:div>
    <w:div w:id="1300040096">
      <w:bodyDiv w:val="1"/>
      <w:marLeft w:val="0"/>
      <w:marRight w:val="0"/>
      <w:marTop w:val="0"/>
      <w:marBottom w:val="0"/>
      <w:divBdr>
        <w:top w:val="none" w:sz="0" w:space="0" w:color="auto"/>
        <w:left w:val="none" w:sz="0" w:space="0" w:color="auto"/>
        <w:bottom w:val="none" w:sz="0" w:space="0" w:color="auto"/>
        <w:right w:val="none" w:sz="0" w:space="0" w:color="auto"/>
      </w:divBdr>
    </w:div>
    <w:div w:id="1300069511">
      <w:bodyDiv w:val="1"/>
      <w:marLeft w:val="0"/>
      <w:marRight w:val="0"/>
      <w:marTop w:val="0"/>
      <w:marBottom w:val="0"/>
      <w:divBdr>
        <w:top w:val="none" w:sz="0" w:space="0" w:color="auto"/>
        <w:left w:val="none" w:sz="0" w:space="0" w:color="auto"/>
        <w:bottom w:val="none" w:sz="0" w:space="0" w:color="auto"/>
        <w:right w:val="none" w:sz="0" w:space="0" w:color="auto"/>
      </w:divBdr>
    </w:div>
    <w:div w:id="1300259609">
      <w:bodyDiv w:val="1"/>
      <w:marLeft w:val="0"/>
      <w:marRight w:val="0"/>
      <w:marTop w:val="0"/>
      <w:marBottom w:val="0"/>
      <w:divBdr>
        <w:top w:val="none" w:sz="0" w:space="0" w:color="auto"/>
        <w:left w:val="none" w:sz="0" w:space="0" w:color="auto"/>
        <w:bottom w:val="none" w:sz="0" w:space="0" w:color="auto"/>
        <w:right w:val="none" w:sz="0" w:space="0" w:color="auto"/>
      </w:divBdr>
    </w:div>
    <w:div w:id="1300263761">
      <w:bodyDiv w:val="1"/>
      <w:marLeft w:val="0"/>
      <w:marRight w:val="0"/>
      <w:marTop w:val="0"/>
      <w:marBottom w:val="0"/>
      <w:divBdr>
        <w:top w:val="none" w:sz="0" w:space="0" w:color="auto"/>
        <w:left w:val="none" w:sz="0" w:space="0" w:color="auto"/>
        <w:bottom w:val="none" w:sz="0" w:space="0" w:color="auto"/>
        <w:right w:val="none" w:sz="0" w:space="0" w:color="auto"/>
      </w:divBdr>
    </w:div>
    <w:div w:id="1300264305">
      <w:bodyDiv w:val="1"/>
      <w:marLeft w:val="0"/>
      <w:marRight w:val="0"/>
      <w:marTop w:val="0"/>
      <w:marBottom w:val="0"/>
      <w:divBdr>
        <w:top w:val="none" w:sz="0" w:space="0" w:color="auto"/>
        <w:left w:val="none" w:sz="0" w:space="0" w:color="auto"/>
        <w:bottom w:val="none" w:sz="0" w:space="0" w:color="auto"/>
        <w:right w:val="none" w:sz="0" w:space="0" w:color="auto"/>
      </w:divBdr>
    </w:div>
    <w:div w:id="1300497345">
      <w:bodyDiv w:val="1"/>
      <w:marLeft w:val="0"/>
      <w:marRight w:val="0"/>
      <w:marTop w:val="0"/>
      <w:marBottom w:val="0"/>
      <w:divBdr>
        <w:top w:val="none" w:sz="0" w:space="0" w:color="auto"/>
        <w:left w:val="none" w:sz="0" w:space="0" w:color="auto"/>
        <w:bottom w:val="none" w:sz="0" w:space="0" w:color="auto"/>
        <w:right w:val="none" w:sz="0" w:space="0" w:color="auto"/>
      </w:divBdr>
    </w:div>
    <w:div w:id="1300500059">
      <w:bodyDiv w:val="1"/>
      <w:marLeft w:val="0"/>
      <w:marRight w:val="0"/>
      <w:marTop w:val="0"/>
      <w:marBottom w:val="0"/>
      <w:divBdr>
        <w:top w:val="none" w:sz="0" w:space="0" w:color="auto"/>
        <w:left w:val="none" w:sz="0" w:space="0" w:color="auto"/>
        <w:bottom w:val="none" w:sz="0" w:space="0" w:color="auto"/>
        <w:right w:val="none" w:sz="0" w:space="0" w:color="auto"/>
      </w:divBdr>
    </w:div>
    <w:div w:id="1300693319">
      <w:bodyDiv w:val="1"/>
      <w:marLeft w:val="0"/>
      <w:marRight w:val="0"/>
      <w:marTop w:val="0"/>
      <w:marBottom w:val="0"/>
      <w:divBdr>
        <w:top w:val="none" w:sz="0" w:space="0" w:color="auto"/>
        <w:left w:val="none" w:sz="0" w:space="0" w:color="auto"/>
        <w:bottom w:val="none" w:sz="0" w:space="0" w:color="auto"/>
        <w:right w:val="none" w:sz="0" w:space="0" w:color="auto"/>
      </w:divBdr>
    </w:div>
    <w:div w:id="1300722066">
      <w:bodyDiv w:val="1"/>
      <w:marLeft w:val="0"/>
      <w:marRight w:val="0"/>
      <w:marTop w:val="0"/>
      <w:marBottom w:val="0"/>
      <w:divBdr>
        <w:top w:val="none" w:sz="0" w:space="0" w:color="auto"/>
        <w:left w:val="none" w:sz="0" w:space="0" w:color="auto"/>
        <w:bottom w:val="none" w:sz="0" w:space="0" w:color="auto"/>
        <w:right w:val="none" w:sz="0" w:space="0" w:color="auto"/>
      </w:divBdr>
    </w:div>
    <w:div w:id="1300915265">
      <w:bodyDiv w:val="1"/>
      <w:marLeft w:val="0"/>
      <w:marRight w:val="0"/>
      <w:marTop w:val="0"/>
      <w:marBottom w:val="0"/>
      <w:divBdr>
        <w:top w:val="none" w:sz="0" w:space="0" w:color="auto"/>
        <w:left w:val="none" w:sz="0" w:space="0" w:color="auto"/>
        <w:bottom w:val="none" w:sz="0" w:space="0" w:color="auto"/>
        <w:right w:val="none" w:sz="0" w:space="0" w:color="auto"/>
      </w:divBdr>
    </w:div>
    <w:div w:id="1300916485">
      <w:bodyDiv w:val="1"/>
      <w:marLeft w:val="0"/>
      <w:marRight w:val="0"/>
      <w:marTop w:val="0"/>
      <w:marBottom w:val="0"/>
      <w:divBdr>
        <w:top w:val="none" w:sz="0" w:space="0" w:color="auto"/>
        <w:left w:val="none" w:sz="0" w:space="0" w:color="auto"/>
        <w:bottom w:val="none" w:sz="0" w:space="0" w:color="auto"/>
        <w:right w:val="none" w:sz="0" w:space="0" w:color="auto"/>
      </w:divBdr>
    </w:div>
    <w:div w:id="1301114639">
      <w:bodyDiv w:val="1"/>
      <w:marLeft w:val="0"/>
      <w:marRight w:val="0"/>
      <w:marTop w:val="0"/>
      <w:marBottom w:val="0"/>
      <w:divBdr>
        <w:top w:val="none" w:sz="0" w:space="0" w:color="auto"/>
        <w:left w:val="none" w:sz="0" w:space="0" w:color="auto"/>
        <w:bottom w:val="none" w:sz="0" w:space="0" w:color="auto"/>
        <w:right w:val="none" w:sz="0" w:space="0" w:color="auto"/>
      </w:divBdr>
    </w:div>
    <w:div w:id="1301184318">
      <w:bodyDiv w:val="1"/>
      <w:marLeft w:val="0"/>
      <w:marRight w:val="0"/>
      <w:marTop w:val="0"/>
      <w:marBottom w:val="0"/>
      <w:divBdr>
        <w:top w:val="none" w:sz="0" w:space="0" w:color="auto"/>
        <w:left w:val="none" w:sz="0" w:space="0" w:color="auto"/>
        <w:bottom w:val="none" w:sz="0" w:space="0" w:color="auto"/>
        <w:right w:val="none" w:sz="0" w:space="0" w:color="auto"/>
      </w:divBdr>
    </w:div>
    <w:div w:id="1301349502">
      <w:bodyDiv w:val="1"/>
      <w:marLeft w:val="0"/>
      <w:marRight w:val="0"/>
      <w:marTop w:val="0"/>
      <w:marBottom w:val="0"/>
      <w:divBdr>
        <w:top w:val="none" w:sz="0" w:space="0" w:color="auto"/>
        <w:left w:val="none" w:sz="0" w:space="0" w:color="auto"/>
        <w:bottom w:val="none" w:sz="0" w:space="0" w:color="auto"/>
        <w:right w:val="none" w:sz="0" w:space="0" w:color="auto"/>
      </w:divBdr>
    </w:div>
    <w:div w:id="1301378166">
      <w:bodyDiv w:val="1"/>
      <w:marLeft w:val="0"/>
      <w:marRight w:val="0"/>
      <w:marTop w:val="0"/>
      <w:marBottom w:val="0"/>
      <w:divBdr>
        <w:top w:val="none" w:sz="0" w:space="0" w:color="auto"/>
        <w:left w:val="none" w:sz="0" w:space="0" w:color="auto"/>
        <w:bottom w:val="none" w:sz="0" w:space="0" w:color="auto"/>
        <w:right w:val="none" w:sz="0" w:space="0" w:color="auto"/>
      </w:divBdr>
    </w:div>
    <w:div w:id="1301422385">
      <w:bodyDiv w:val="1"/>
      <w:marLeft w:val="0"/>
      <w:marRight w:val="0"/>
      <w:marTop w:val="0"/>
      <w:marBottom w:val="0"/>
      <w:divBdr>
        <w:top w:val="none" w:sz="0" w:space="0" w:color="auto"/>
        <w:left w:val="none" w:sz="0" w:space="0" w:color="auto"/>
        <w:bottom w:val="none" w:sz="0" w:space="0" w:color="auto"/>
        <w:right w:val="none" w:sz="0" w:space="0" w:color="auto"/>
      </w:divBdr>
    </w:div>
    <w:div w:id="1301570513">
      <w:bodyDiv w:val="1"/>
      <w:marLeft w:val="0"/>
      <w:marRight w:val="0"/>
      <w:marTop w:val="0"/>
      <w:marBottom w:val="0"/>
      <w:divBdr>
        <w:top w:val="none" w:sz="0" w:space="0" w:color="auto"/>
        <w:left w:val="none" w:sz="0" w:space="0" w:color="auto"/>
        <w:bottom w:val="none" w:sz="0" w:space="0" w:color="auto"/>
        <w:right w:val="none" w:sz="0" w:space="0" w:color="auto"/>
      </w:divBdr>
    </w:div>
    <w:div w:id="1301954373">
      <w:bodyDiv w:val="1"/>
      <w:marLeft w:val="0"/>
      <w:marRight w:val="0"/>
      <w:marTop w:val="0"/>
      <w:marBottom w:val="0"/>
      <w:divBdr>
        <w:top w:val="none" w:sz="0" w:space="0" w:color="auto"/>
        <w:left w:val="none" w:sz="0" w:space="0" w:color="auto"/>
        <w:bottom w:val="none" w:sz="0" w:space="0" w:color="auto"/>
        <w:right w:val="none" w:sz="0" w:space="0" w:color="auto"/>
      </w:divBdr>
    </w:div>
    <w:div w:id="1302030013">
      <w:bodyDiv w:val="1"/>
      <w:marLeft w:val="0"/>
      <w:marRight w:val="0"/>
      <w:marTop w:val="0"/>
      <w:marBottom w:val="0"/>
      <w:divBdr>
        <w:top w:val="none" w:sz="0" w:space="0" w:color="auto"/>
        <w:left w:val="none" w:sz="0" w:space="0" w:color="auto"/>
        <w:bottom w:val="none" w:sz="0" w:space="0" w:color="auto"/>
        <w:right w:val="none" w:sz="0" w:space="0" w:color="auto"/>
      </w:divBdr>
    </w:div>
    <w:div w:id="1302079825">
      <w:bodyDiv w:val="1"/>
      <w:marLeft w:val="0"/>
      <w:marRight w:val="0"/>
      <w:marTop w:val="0"/>
      <w:marBottom w:val="0"/>
      <w:divBdr>
        <w:top w:val="none" w:sz="0" w:space="0" w:color="auto"/>
        <w:left w:val="none" w:sz="0" w:space="0" w:color="auto"/>
        <w:bottom w:val="none" w:sz="0" w:space="0" w:color="auto"/>
        <w:right w:val="none" w:sz="0" w:space="0" w:color="auto"/>
      </w:divBdr>
    </w:div>
    <w:div w:id="1302152881">
      <w:bodyDiv w:val="1"/>
      <w:marLeft w:val="0"/>
      <w:marRight w:val="0"/>
      <w:marTop w:val="0"/>
      <w:marBottom w:val="0"/>
      <w:divBdr>
        <w:top w:val="none" w:sz="0" w:space="0" w:color="auto"/>
        <w:left w:val="none" w:sz="0" w:space="0" w:color="auto"/>
        <w:bottom w:val="none" w:sz="0" w:space="0" w:color="auto"/>
        <w:right w:val="none" w:sz="0" w:space="0" w:color="auto"/>
      </w:divBdr>
    </w:div>
    <w:div w:id="1302153281">
      <w:bodyDiv w:val="1"/>
      <w:marLeft w:val="0"/>
      <w:marRight w:val="0"/>
      <w:marTop w:val="0"/>
      <w:marBottom w:val="0"/>
      <w:divBdr>
        <w:top w:val="none" w:sz="0" w:space="0" w:color="auto"/>
        <w:left w:val="none" w:sz="0" w:space="0" w:color="auto"/>
        <w:bottom w:val="none" w:sz="0" w:space="0" w:color="auto"/>
        <w:right w:val="none" w:sz="0" w:space="0" w:color="auto"/>
      </w:divBdr>
    </w:div>
    <w:div w:id="1302227567">
      <w:bodyDiv w:val="1"/>
      <w:marLeft w:val="0"/>
      <w:marRight w:val="0"/>
      <w:marTop w:val="0"/>
      <w:marBottom w:val="0"/>
      <w:divBdr>
        <w:top w:val="none" w:sz="0" w:space="0" w:color="auto"/>
        <w:left w:val="none" w:sz="0" w:space="0" w:color="auto"/>
        <w:bottom w:val="none" w:sz="0" w:space="0" w:color="auto"/>
        <w:right w:val="none" w:sz="0" w:space="0" w:color="auto"/>
      </w:divBdr>
    </w:div>
    <w:div w:id="1302272637">
      <w:bodyDiv w:val="1"/>
      <w:marLeft w:val="0"/>
      <w:marRight w:val="0"/>
      <w:marTop w:val="0"/>
      <w:marBottom w:val="0"/>
      <w:divBdr>
        <w:top w:val="none" w:sz="0" w:space="0" w:color="auto"/>
        <w:left w:val="none" w:sz="0" w:space="0" w:color="auto"/>
        <w:bottom w:val="none" w:sz="0" w:space="0" w:color="auto"/>
        <w:right w:val="none" w:sz="0" w:space="0" w:color="auto"/>
      </w:divBdr>
    </w:div>
    <w:div w:id="1302416664">
      <w:bodyDiv w:val="1"/>
      <w:marLeft w:val="0"/>
      <w:marRight w:val="0"/>
      <w:marTop w:val="0"/>
      <w:marBottom w:val="0"/>
      <w:divBdr>
        <w:top w:val="none" w:sz="0" w:space="0" w:color="auto"/>
        <w:left w:val="none" w:sz="0" w:space="0" w:color="auto"/>
        <w:bottom w:val="none" w:sz="0" w:space="0" w:color="auto"/>
        <w:right w:val="none" w:sz="0" w:space="0" w:color="auto"/>
      </w:divBdr>
    </w:div>
    <w:div w:id="1302492142">
      <w:bodyDiv w:val="1"/>
      <w:marLeft w:val="0"/>
      <w:marRight w:val="0"/>
      <w:marTop w:val="0"/>
      <w:marBottom w:val="0"/>
      <w:divBdr>
        <w:top w:val="none" w:sz="0" w:space="0" w:color="auto"/>
        <w:left w:val="none" w:sz="0" w:space="0" w:color="auto"/>
        <w:bottom w:val="none" w:sz="0" w:space="0" w:color="auto"/>
        <w:right w:val="none" w:sz="0" w:space="0" w:color="auto"/>
      </w:divBdr>
    </w:div>
    <w:div w:id="1302537232">
      <w:bodyDiv w:val="1"/>
      <w:marLeft w:val="0"/>
      <w:marRight w:val="0"/>
      <w:marTop w:val="0"/>
      <w:marBottom w:val="0"/>
      <w:divBdr>
        <w:top w:val="none" w:sz="0" w:space="0" w:color="auto"/>
        <w:left w:val="none" w:sz="0" w:space="0" w:color="auto"/>
        <w:bottom w:val="none" w:sz="0" w:space="0" w:color="auto"/>
        <w:right w:val="none" w:sz="0" w:space="0" w:color="auto"/>
      </w:divBdr>
    </w:div>
    <w:div w:id="1302615949">
      <w:bodyDiv w:val="1"/>
      <w:marLeft w:val="0"/>
      <w:marRight w:val="0"/>
      <w:marTop w:val="0"/>
      <w:marBottom w:val="0"/>
      <w:divBdr>
        <w:top w:val="none" w:sz="0" w:space="0" w:color="auto"/>
        <w:left w:val="none" w:sz="0" w:space="0" w:color="auto"/>
        <w:bottom w:val="none" w:sz="0" w:space="0" w:color="auto"/>
        <w:right w:val="none" w:sz="0" w:space="0" w:color="auto"/>
      </w:divBdr>
    </w:div>
    <w:div w:id="1302806346">
      <w:bodyDiv w:val="1"/>
      <w:marLeft w:val="0"/>
      <w:marRight w:val="0"/>
      <w:marTop w:val="0"/>
      <w:marBottom w:val="0"/>
      <w:divBdr>
        <w:top w:val="none" w:sz="0" w:space="0" w:color="auto"/>
        <w:left w:val="none" w:sz="0" w:space="0" w:color="auto"/>
        <w:bottom w:val="none" w:sz="0" w:space="0" w:color="auto"/>
        <w:right w:val="none" w:sz="0" w:space="0" w:color="auto"/>
      </w:divBdr>
    </w:div>
    <w:div w:id="1303002292">
      <w:bodyDiv w:val="1"/>
      <w:marLeft w:val="0"/>
      <w:marRight w:val="0"/>
      <w:marTop w:val="0"/>
      <w:marBottom w:val="0"/>
      <w:divBdr>
        <w:top w:val="none" w:sz="0" w:space="0" w:color="auto"/>
        <w:left w:val="none" w:sz="0" w:space="0" w:color="auto"/>
        <w:bottom w:val="none" w:sz="0" w:space="0" w:color="auto"/>
        <w:right w:val="none" w:sz="0" w:space="0" w:color="auto"/>
      </w:divBdr>
    </w:div>
    <w:div w:id="1303147812">
      <w:bodyDiv w:val="1"/>
      <w:marLeft w:val="0"/>
      <w:marRight w:val="0"/>
      <w:marTop w:val="0"/>
      <w:marBottom w:val="0"/>
      <w:divBdr>
        <w:top w:val="none" w:sz="0" w:space="0" w:color="auto"/>
        <w:left w:val="none" w:sz="0" w:space="0" w:color="auto"/>
        <w:bottom w:val="none" w:sz="0" w:space="0" w:color="auto"/>
        <w:right w:val="none" w:sz="0" w:space="0" w:color="auto"/>
      </w:divBdr>
    </w:div>
    <w:div w:id="1303190914">
      <w:bodyDiv w:val="1"/>
      <w:marLeft w:val="0"/>
      <w:marRight w:val="0"/>
      <w:marTop w:val="0"/>
      <w:marBottom w:val="0"/>
      <w:divBdr>
        <w:top w:val="none" w:sz="0" w:space="0" w:color="auto"/>
        <w:left w:val="none" w:sz="0" w:space="0" w:color="auto"/>
        <w:bottom w:val="none" w:sz="0" w:space="0" w:color="auto"/>
        <w:right w:val="none" w:sz="0" w:space="0" w:color="auto"/>
      </w:divBdr>
    </w:div>
    <w:div w:id="1303190980">
      <w:bodyDiv w:val="1"/>
      <w:marLeft w:val="0"/>
      <w:marRight w:val="0"/>
      <w:marTop w:val="0"/>
      <w:marBottom w:val="0"/>
      <w:divBdr>
        <w:top w:val="none" w:sz="0" w:space="0" w:color="auto"/>
        <w:left w:val="none" w:sz="0" w:space="0" w:color="auto"/>
        <w:bottom w:val="none" w:sz="0" w:space="0" w:color="auto"/>
        <w:right w:val="none" w:sz="0" w:space="0" w:color="auto"/>
      </w:divBdr>
    </w:div>
    <w:div w:id="1303192732">
      <w:bodyDiv w:val="1"/>
      <w:marLeft w:val="0"/>
      <w:marRight w:val="0"/>
      <w:marTop w:val="0"/>
      <w:marBottom w:val="0"/>
      <w:divBdr>
        <w:top w:val="none" w:sz="0" w:space="0" w:color="auto"/>
        <w:left w:val="none" w:sz="0" w:space="0" w:color="auto"/>
        <w:bottom w:val="none" w:sz="0" w:space="0" w:color="auto"/>
        <w:right w:val="none" w:sz="0" w:space="0" w:color="auto"/>
      </w:divBdr>
    </w:div>
    <w:div w:id="1303198679">
      <w:bodyDiv w:val="1"/>
      <w:marLeft w:val="0"/>
      <w:marRight w:val="0"/>
      <w:marTop w:val="0"/>
      <w:marBottom w:val="0"/>
      <w:divBdr>
        <w:top w:val="none" w:sz="0" w:space="0" w:color="auto"/>
        <w:left w:val="none" w:sz="0" w:space="0" w:color="auto"/>
        <w:bottom w:val="none" w:sz="0" w:space="0" w:color="auto"/>
        <w:right w:val="none" w:sz="0" w:space="0" w:color="auto"/>
      </w:divBdr>
    </w:div>
    <w:div w:id="1303268814">
      <w:bodyDiv w:val="1"/>
      <w:marLeft w:val="0"/>
      <w:marRight w:val="0"/>
      <w:marTop w:val="0"/>
      <w:marBottom w:val="0"/>
      <w:divBdr>
        <w:top w:val="none" w:sz="0" w:space="0" w:color="auto"/>
        <w:left w:val="none" w:sz="0" w:space="0" w:color="auto"/>
        <w:bottom w:val="none" w:sz="0" w:space="0" w:color="auto"/>
        <w:right w:val="none" w:sz="0" w:space="0" w:color="auto"/>
      </w:divBdr>
    </w:div>
    <w:div w:id="1303271118">
      <w:bodyDiv w:val="1"/>
      <w:marLeft w:val="0"/>
      <w:marRight w:val="0"/>
      <w:marTop w:val="0"/>
      <w:marBottom w:val="0"/>
      <w:divBdr>
        <w:top w:val="none" w:sz="0" w:space="0" w:color="auto"/>
        <w:left w:val="none" w:sz="0" w:space="0" w:color="auto"/>
        <w:bottom w:val="none" w:sz="0" w:space="0" w:color="auto"/>
        <w:right w:val="none" w:sz="0" w:space="0" w:color="auto"/>
      </w:divBdr>
    </w:div>
    <w:div w:id="1303274073">
      <w:bodyDiv w:val="1"/>
      <w:marLeft w:val="0"/>
      <w:marRight w:val="0"/>
      <w:marTop w:val="0"/>
      <w:marBottom w:val="0"/>
      <w:divBdr>
        <w:top w:val="none" w:sz="0" w:space="0" w:color="auto"/>
        <w:left w:val="none" w:sz="0" w:space="0" w:color="auto"/>
        <w:bottom w:val="none" w:sz="0" w:space="0" w:color="auto"/>
        <w:right w:val="none" w:sz="0" w:space="0" w:color="auto"/>
      </w:divBdr>
    </w:div>
    <w:div w:id="1303341698">
      <w:bodyDiv w:val="1"/>
      <w:marLeft w:val="0"/>
      <w:marRight w:val="0"/>
      <w:marTop w:val="0"/>
      <w:marBottom w:val="0"/>
      <w:divBdr>
        <w:top w:val="none" w:sz="0" w:space="0" w:color="auto"/>
        <w:left w:val="none" w:sz="0" w:space="0" w:color="auto"/>
        <w:bottom w:val="none" w:sz="0" w:space="0" w:color="auto"/>
        <w:right w:val="none" w:sz="0" w:space="0" w:color="auto"/>
      </w:divBdr>
    </w:div>
    <w:div w:id="1303388507">
      <w:bodyDiv w:val="1"/>
      <w:marLeft w:val="0"/>
      <w:marRight w:val="0"/>
      <w:marTop w:val="0"/>
      <w:marBottom w:val="0"/>
      <w:divBdr>
        <w:top w:val="none" w:sz="0" w:space="0" w:color="auto"/>
        <w:left w:val="none" w:sz="0" w:space="0" w:color="auto"/>
        <w:bottom w:val="none" w:sz="0" w:space="0" w:color="auto"/>
        <w:right w:val="none" w:sz="0" w:space="0" w:color="auto"/>
      </w:divBdr>
    </w:div>
    <w:div w:id="1303465617">
      <w:bodyDiv w:val="1"/>
      <w:marLeft w:val="0"/>
      <w:marRight w:val="0"/>
      <w:marTop w:val="0"/>
      <w:marBottom w:val="0"/>
      <w:divBdr>
        <w:top w:val="none" w:sz="0" w:space="0" w:color="auto"/>
        <w:left w:val="none" w:sz="0" w:space="0" w:color="auto"/>
        <w:bottom w:val="none" w:sz="0" w:space="0" w:color="auto"/>
        <w:right w:val="none" w:sz="0" w:space="0" w:color="auto"/>
      </w:divBdr>
    </w:div>
    <w:div w:id="1303734888">
      <w:bodyDiv w:val="1"/>
      <w:marLeft w:val="0"/>
      <w:marRight w:val="0"/>
      <w:marTop w:val="0"/>
      <w:marBottom w:val="0"/>
      <w:divBdr>
        <w:top w:val="none" w:sz="0" w:space="0" w:color="auto"/>
        <w:left w:val="none" w:sz="0" w:space="0" w:color="auto"/>
        <w:bottom w:val="none" w:sz="0" w:space="0" w:color="auto"/>
        <w:right w:val="none" w:sz="0" w:space="0" w:color="auto"/>
      </w:divBdr>
    </w:div>
    <w:div w:id="1303853610">
      <w:bodyDiv w:val="1"/>
      <w:marLeft w:val="0"/>
      <w:marRight w:val="0"/>
      <w:marTop w:val="0"/>
      <w:marBottom w:val="0"/>
      <w:divBdr>
        <w:top w:val="none" w:sz="0" w:space="0" w:color="auto"/>
        <w:left w:val="none" w:sz="0" w:space="0" w:color="auto"/>
        <w:bottom w:val="none" w:sz="0" w:space="0" w:color="auto"/>
        <w:right w:val="none" w:sz="0" w:space="0" w:color="auto"/>
      </w:divBdr>
    </w:div>
    <w:div w:id="1304044919">
      <w:bodyDiv w:val="1"/>
      <w:marLeft w:val="0"/>
      <w:marRight w:val="0"/>
      <w:marTop w:val="0"/>
      <w:marBottom w:val="0"/>
      <w:divBdr>
        <w:top w:val="none" w:sz="0" w:space="0" w:color="auto"/>
        <w:left w:val="none" w:sz="0" w:space="0" w:color="auto"/>
        <w:bottom w:val="none" w:sz="0" w:space="0" w:color="auto"/>
        <w:right w:val="none" w:sz="0" w:space="0" w:color="auto"/>
      </w:divBdr>
    </w:div>
    <w:div w:id="1304114333">
      <w:bodyDiv w:val="1"/>
      <w:marLeft w:val="0"/>
      <w:marRight w:val="0"/>
      <w:marTop w:val="0"/>
      <w:marBottom w:val="0"/>
      <w:divBdr>
        <w:top w:val="none" w:sz="0" w:space="0" w:color="auto"/>
        <w:left w:val="none" w:sz="0" w:space="0" w:color="auto"/>
        <w:bottom w:val="none" w:sz="0" w:space="0" w:color="auto"/>
        <w:right w:val="none" w:sz="0" w:space="0" w:color="auto"/>
      </w:divBdr>
    </w:div>
    <w:div w:id="1304235202">
      <w:bodyDiv w:val="1"/>
      <w:marLeft w:val="0"/>
      <w:marRight w:val="0"/>
      <w:marTop w:val="0"/>
      <w:marBottom w:val="0"/>
      <w:divBdr>
        <w:top w:val="none" w:sz="0" w:space="0" w:color="auto"/>
        <w:left w:val="none" w:sz="0" w:space="0" w:color="auto"/>
        <w:bottom w:val="none" w:sz="0" w:space="0" w:color="auto"/>
        <w:right w:val="none" w:sz="0" w:space="0" w:color="auto"/>
      </w:divBdr>
    </w:div>
    <w:div w:id="1304235756">
      <w:bodyDiv w:val="1"/>
      <w:marLeft w:val="0"/>
      <w:marRight w:val="0"/>
      <w:marTop w:val="0"/>
      <w:marBottom w:val="0"/>
      <w:divBdr>
        <w:top w:val="none" w:sz="0" w:space="0" w:color="auto"/>
        <w:left w:val="none" w:sz="0" w:space="0" w:color="auto"/>
        <w:bottom w:val="none" w:sz="0" w:space="0" w:color="auto"/>
        <w:right w:val="none" w:sz="0" w:space="0" w:color="auto"/>
      </w:divBdr>
    </w:div>
    <w:div w:id="1304385684">
      <w:bodyDiv w:val="1"/>
      <w:marLeft w:val="0"/>
      <w:marRight w:val="0"/>
      <w:marTop w:val="0"/>
      <w:marBottom w:val="0"/>
      <w:divBdr>
        <w:top w:val="none" w:sz="0" w:space="0" w:color="auto"/>
        <w:left w:val="none" w:sz="0" w:space="0" w:color="auto"/>
        <w:bottom w:val="none" w:sz="0" w:space="0" w:color="auto"/>
        <w:right w:val="none" w:sz="0" w:space="0" w:color="auto"/>
      </w:divBdr>
    </w:div>
    <w:div w:id="1304386040">
      <w:bodyDiv w:val="1"/>
      <w:marLeft w:val="0"/>
      <w:marRight w:val="0"/>
      <w:marTop w:val="0"/>
      <w:marBottom w:val="0"/>
      <w:divBdr>
        <w:top w:val="none" w:sz="0" w:space="0" w:color="auto"/>
        <w:left w:val="none" w:sz="0" w:space="0" w:color="auto"/>
        <w:bottom w:val="none" w:sz="0" w:space="0" w:color="auto"/>
        <w:right w:val="none" w:sz="0" w:space="0" w:color="auto"/>
      </w:divBdr>
    </w:div>
    <w:div w:id="1304657809">
      <w:bodyDiv w:val="1"/>
      <w:marLeft w:val="0"/>
      <w:marRight w:val="0"/>
      <w:marTop w:val="0"/>
      <w:marBottom w:val="0"/>
      <w:divBdr>
        <w:top w:val="none" w:sz="0" w:space="0" w:color="auto"/>
        <w:left w:val="none" w:sz="0" w:space="0" w:color="auto"/>
        <w:bottom w:val="none" w:sz="0" w:space="0" w:color="auto"/>
        <w:right w:val="none" w:sz="0" w:space="0" w:color="auto"/>
      </w:divBdr>
    </w:div>
    <w:div w:id="1304701808">
      <w:bodyDiv w:val="1"/>
      <w:marLeft w:val="0"/>
      <w:marRight w:val="0"/>
      <w:marTop w:val="0"/>
      <w:marBottom w:val="0"/>
      <w:divBdr>
        <w:top w:val="none" w:sz="0" w:space="0" w:color="auto"/>
        <w:left w:val="none" w:sz="0" w:space="0" w:color="auto"/>
        <w:bottom w:val="none" w:sz="0" w:space="0" w:color="auto"/>
        <w:right w:val="none" w:sz="0" w:space="0" w:color="auto"/>
      </w:divBdr>
    </w:div>
    <w:div w:id="1304771541">
      <w:bodyDiv w:val="1"/>
      <w:marLeft w:val="0"/>
      <w:marRight w:val="0"/>
      <w:marTop w:val="0"/>
      <w:marBottom w:val="0"/>
      <w:divBdr>
        <w:top w:val="none" w:sz="0" w:space="0" w:color="auto"/>
        <w:left w:val="none" w:sz="0" w:space="0" w:color="auto"/>
        <w:bottom w:val="none" w:sz="0" w:space="0" w:color="auto"/>
        <w:right w:val="none" w:sz="0" w:space="0" w:color="auto"/>
      </w:divBdr>
    </w:div>
    <w:div w:id="1304771594">
      <w:bodyDiv w:val="1"/>
      <w:marLeft w:val="0"/>
      <w:marRight w:val="0"/>
      <w:marTop w:val="0"/>
      <w:marBottom w:val="0"/>
      <w:divBdr>
        <w:top w:val="none" w:sz="0" w:space="0" w:color="auto"/>
        <w:left w:val="none" w:sz="0" w:space="0" w:color="auto"/>
        <w:bottom w:val="none" w:sz="0" w:space="0" w:color="auto"/>
        <w:right w:val="none" w:sz="0" w:space="0" w:color="auto"/>
      </w:divBdr>
    </w:div>
    <w:div w:id="1304851482">
      <w:bodyDiv w:val="1"/>
      <w:marLeft w:val="0"/>
      <w:marRight w:val="0"/>
      <w:marTop w:val="0"/>
      <w:marBottom w:val="0"/>
      <w:divBdr>
        <w:top w:val="none" w:sz="0" w:space="0" w:color="auto"/>
        <w:left w:val="none" w:sz="0" w:space="0" w:color="auto"/>
        <w:bottom w:val="none" w:sz="0" w:space="0" w:color="auto"/>
        <w:right w:val="none" w:sz="0" w:space="0" w:color="auto"/>
      </w:divBdr>
    </w:div>
    <w:div w:id="1304970899">
      <w:bodyDiv w:val="1"/>
      <w:marLeft w:val="0"/>
      <w:marRight w:val="0"/>
      <w:marTop w:val="0"/>
      <w:marBottom w:val="0"/>
      <w:divBdr>
        <w:top w:val="none" w:sz="0" w:space="0" w:color="auto"/>
        <w:left w:val="none" w:sz="0" w:space="0" w:color="auto"/>
        <w:bottom w:val="none" w:sz="0" w:space="0" w:color="auto"/>
        <w:right w:val="none" w:sz="0" w:space="0" w:color="auto"/>
      </w:divBdr>
    </w:div>
    <w:div w:id="1305037569">
      <w:bodyDiv w:val="1"/>
      <w:marLeft w:val="0"/>
      <w:marRight w:val="0"/>
      <w:marTop w:val="0"/>
      <w:marBottom w:val="0"/>
      <w:divBdr>
        <w:top w:val="none" w:sz="0" w:space="0" w:color="auto"/>
        <w:left w:val="none" w:sz="0" w:space="0" w:color="auto"/>
        <w:bottom w:val="none" w:sz="0" w:space="0" w:color="auto"/>
        <w:right w:val="none" w:sz="0" w:space="0" w:color="auto"/>
      </w:divBdr>
    </w:div>
    <w:div w:id="1305039702">
      <w:bodyDiv w:val="1"/>
      <w:marLeft w:val="0"/>
      <w:marRight w:val="0"/>
      <w:marTop w:val="0"/>
      <w:marBottom w:val="0"/>
      <w:divBdr>
        <w:top w:val="none" w:sz="0" w:space="0" w:color="auto"/>
        <w:left w:val="none" w:sz="0" w:space="0" w:color="auto"/>
        <w:bottom w:val="none" w:sz="0" w:space="0" w:color="auto"/>
        <w:right w:val="none" w:sz="0" w:space="0" w:color="auto"/>
      </w:divBdr>
    </w:div>
    <w:div w:id="1305087618">
      <w:bodyDiv w:val="1"/>
      <w:marLeft w:val="0"/>
      <w:marRight w:val="0"/>
      <w:marTop w:val="0"/>
      <w:marBottom w:val="0"/>
      <w:divBdr>
        <w:top w:val="none" w:sz="0" w:space="0" w:color="auto"/>
        <w:left w:val="none" w:sz="0" w:space="0" w:color="auto"/>
        <w:bottom w:val="none" w:sz="0" w:space="0" w:color="auto"/>
        <w:right w:val="none" w:sz="0" w:space="0" w:color="auto"/>
      </w:divBdr>
    </w:div>
    <w:div w:id="1305089748">
      <w:bodyDiv w:val="1"/>
      <w:marLeft w:val="0"/>
      <w:marRight w:val="0"/>
      <w:marTop w:val="0"/>
      <w:marBottom w:val="0"/>
      <w:divBdr>
        <w:top w:val="none" w:sz="0" w:space="0" w:color="auto"/>
        <w:left w:val="none" w:sz="0" w:space="0" w:color="auto"/>
        <w:bottom w:val="none" w:sz="0" w:space="0" w:color="auto"/>
        <w:right w:val="none" w:sz="0" w:space="0" w:color="auto"/>
      </w:divBdr>
    </w:div>
    <w:div w:id="1305280701">
      <w:bodyDiv w:val="1"/>
      <w:marLeft w:val="0"/>
      <w:marRight w:val="0"/>
      <w:marTop w:val="0"/>
      <w:marBottom w:val="0"/>
      <w:divBdr>
        <w:top w:val="none" w:sz="0" w:space="0" w:color="auto"/>
        <w:left w:val="none" w:sz="0" w:space="0" w:color="auto"/>
        <w:bottom w:val="none" w:sz="0" w:space="0" w:color="auto"/>
        <w:right w:val="none" w:sz="0" w:space="0" w:color="auto"/>
      </w:divBdr>
    </w:div>
    <w:div w:id="1305306117">
      <w:bodyDiv w:val="1"/>
      <w:marLeft w:val="0"/>
      <w:marRight w:val="0"/>
      <w:marTop w:val="0"/>
      <w:marBottom w:val="0"/>
      <w:divBdr>
        <w:top w:val="none" w:sz="0" w:space="0" w:color="auto"/>
        <w:left w:val="none" w:sz="0" w:space="0" w:color="auto"/>
        <w:bottom w:val="none" w:sz="0" w:space="0" w:color="auto"/>
        <w:right w:val="none" w:sz="0" w:space="0" w:color="auto"/>
      </w:divBdr>
    </w:div>
    <w:div w:id="1305353283">
      <w:bodyDiv w:val="1"/>
      <w:marLeft w:val="0"/>
      <w:marRight w:val="0"/>
      <w:marTop w:val="0"/>
      <w:marBottom w:val="0"/>
      <w:divBdr>
        <w:top w:val="none" w:sz="0" w:space="0" w:color="auto"/>
        <w:left w:val="none" w:sz="0" w:space="0" w:color="auto"/>
        <w:bottom w:val="none" w:sz="0" w:space="0" w:color="auto"/>
        <w:right w:val="none" w:sz="0" w:space="0" w:color="auto"/>
      </w:divBdr>
    </w:div>
    <w:div w:id="1305431013">
      <w:bodyDiv w:val="1"/>
      <w:marLeft w:val="0"/>
      <w:marRight w:val="0"/>
      <w:marTop w:val="0"/>
      <w:marBottom w:val="0"/>
      <w:divBdr>
        <w:top w:val="none" w:sz="0" w:space="0" w:color="auto"/>
        <w:left w:val="none" w:sz="0" w:space="0" w:color="auto"/>
        <w:bottom w:val="none" w:sz="0" w:space="0" w:color="auto"/>
        <w:right w:val="none" w:sz="0" w:space="0" w:color="auto"/>
      </w:divBdr>
    </w:div>
    <w:div w:id="1305545429">
      <w:bodyDiv w:val="1"/>
      <w:marLeft w:val="0"/>
      <w:marRight w:val="0"/>
      <w:marTop w:val="0"/>
      <w:marBottom w:val="0"/>
      <w:divBdr>
        <w:top w:val="none" w:sz="0" w:space="0" w:color="auto"/>
        <w:left w:val="none" w:sz="0" w:space="0" w:color="auto"/>
        <w:bottom w:val="none" w:sz="0" w:space="0" w:color="auto"/>
        <w:right w:val="none" w:sz="0" w:space="0" w:color="auto"/>
      </w:divBdr>
    </w:div>
    <w:div w:id="1305550714">
      <w:bodyDiv w:val="1"/>
      <w:marLeft w:val="0"/>
      <w:marRight w:val="0"/>
      <w:marTop w:val="0"/>
      <w:marBottom w:val="0"/>
      <w:divBdr>
        <w:top w:val="none" w:sz="0" w:space="0" w:color="auto"/>
        <w:left w:val="none" w:sz="0" w:space="0" w:color="auto"/>
        <w:bottom w:val="none" w:sz="0" w:space="0" w:color="auto"/>
        <w:right w:val="none" w:sz="0" w:space="0" w:color="auto"/>
      </w:divBdr>
    </w:div>
    <w:div w:id="1305623743">
      <w:bodyDiv w:val="1"/>
      <w:marLeft w:val="0"/>
      <w:marRight w:val="0"/>
      <w:marTop w:val="0"/>
      <w:marBottom w:val="0"/>
      <w:divBdr>
        <w:top w:val="none" w:sz="0" w:space="0" w:color="auto"/>
        <w:left w:val="none" w:sz="0" w:space="0" w:color="auto"/>
        <w:bottom w:val="none" w:sz="0" w:space="0" w:color="auto"/>
        <w:right w:val="none" w:sz="0" w:space="0" w:color="auto"/>
      </w:divBdr>
    </w:div>
    <w:div w:id="1305695987">
      <w:bodyDiv w:val="1"/>
      <w:marLeft w:val="0"/>
      <w:marRight w:val="0"/>
      <w:marTop w:val="0"/>
      <w:marBottom w:val="0"/>
      <w:divBdr>
        <w:top w:val="none" w:sz="0" w:space="0" w:color="auto"/>
        <w:left w:val="none" w:sz="0" w:space="0" w:color="auto"/>
        <w:bottom w:val="none" w:sz="0" w:space="0" w:color="auto"/>
        <w:right w:val="none" w:sz="0" w:space="0" w:color="auto"/>
      </w:divBdr>
    </w:div>
    <w:div w:id="1305739651">
      <w:bodyDiv w:val="1"/>
      <w:marLeft w:val="0"/>
      <w:marRight w:val="0"/>
      <w:marTop w:val="0"/>
      <w:marBottom w:val="0"/>
      <w:divBdr>
        <w:top w:val="none" w:sz="0" w:space="0" w:color="auto"/>
        <w:left w:val="none" w:sz="0" w:space="0" w:color="auto"/>
        <w:bottom w:val="none" w:sz="0" w:space="0" w:color="auto"/>
        <w:right w:val="none" w:sz="0" w:space="0" w:color="auto"/>
      </w:divBdr>
    </w:div>
    <w:div w:id="1305768564">
      <w:bodyDiv w:val="1"/>
      <w:marLeft w:val="0"/>
      <w:marRight w:val="0"/>
      <w:marTop w:val="0"/>
      <w:marBottom w:val="0"/>
      <w:divBdr>
        <w:top w:val="none" w:sz="0" w:space="0" w:color="auto"/>
        <w:left w:val="none" w:sz="0" w:space="0" w:color="auto"/>
        <w:bottom w:val="none" w:sz="0" w:space="0" w:color="auto"/>
        <w:right w:val="none" w:sz="0" w:space="0" w:color="auto"/>
      </w:divBdr>
    </w:div>
    <w:div w:id="1305812810">
      <w:bodyDiv w:val="1"/>
      <w:marLeft w:val="0"/>
      <w:marRight w:val="0"/>
      <w:marTop w:val="0"/>
      <w:marBottom w:val="0"/>
      <w:divBdr>
        <w:top w:val="none" w:sz="0" w:space="0" w:color="auto"/>
        <w:left w:val="none" w:sz="0" w:space="0" w:color="auto"/>
        <w:bottom w:val="none" w:sz="0" w:space="0" w:color="auto"/>
        <w:right w:val="none" w:sz="0" w:space="0" w:color="auto"/>
      </w:divBdr>
    </w:div>
    <w:div w:id="1305962013">
      <w:bodyDiv w:val="1"/>
      <w:marLeft w:val="0"/>
      <w:marRight w:val="0"/>
      <w:marTop w:val="0"/>
      <w:marBottom w:val="0"/>
      <w:divBdr>
        <w:top w:val="none" w:sz="0" w:space="0" w:color="auto"/>
        <w:left w:val="none" w:sz="0" w:space="0" w:color="auto"/>
        <w:bottom w:val="none" w:sz="0" w:space="0" w:color="auto"/>
        <w:right w:val="none" w:sz="0" w:space="0" w:color="auto"/>
      </w:divBdr>
    </w:div>
    <w:div w:id="1305963880">
      <w:bodyDiv w:val="1"/>
      <w:marLeft w:val="0"/>
      <w:marRight w:val="0"/>
      <w:marTop w:val="0"/>
      <w:marBottom w:val="0"/>
      <w:divBdr>
        <w:top w:val="none" w:sz="0" w:space="0" w:color="auto"/>
        <w:left w:val="none" w:sz="0" w:space="0" w:color="auto"/>
        <w:bottom w:val="none" w:sz="0" w:space="0" w:color="auto"/>
        <w:right w:val="none" w:sz="0" w:space="0" w:color="auto"/>
      </w:divBdr>
    </w:div>
    <w:div w:id="1305964434">
      <w:bodyDiv w:val="1"/>
      <w:marLeft w:val="0"/>
      <w:marRight w:val="0"/>
      <w:marTop w:val="0"/>
      <w:marBottom w:val="0"/>
      <w:divBdr>
        <w:top w:val="none" w:sz="0" w:space="0" w:color="auto"/>
        <w:left w:val="none" w:sz="0" w:space="0" w:color="auto"/>
        <w:bottom w:val="none" w:sz="0" w:space="0" w:color="auto"/>
        <w:right w:val="none" w:sz="0" w:space="0" w:color="auto"/>
      </w:divBdr>
    </w:div>
    <w:div w:id="1305968010">
      <w:bodyDiv w:val="1"/>
      <w:marLeft w:val="0"/>
      <w:marRight w:val="0"/>
      <w:marTop w:val="0"/>
      <w:marBottom w:val="0"/>
      <w:divBdr>
        <w:top w:val="none" w:sz="0" w:space="0" w:color="auto"/>
        <w:left w:val="none" w:sz="0" w:space="0" w:color="auto"/>
        <w:bottom w:val="none" w:sz="0" w:space="0" w:color="auto"/>
        <w:right w:val="none" w:sz="0" w:space="0" w:color="auto"/>
      </w:divBdr>
    </w:div>
    <w:div w:id="1306080806">
      <w:bodyDiv w:val="1"/>
      <w:marLeft w:val="0"/>
      <w:marRight w:val="0"/>
      <w:marTop w:val="0"/>
      <w:marBottom w:val="0"/>
      <w:divBdr>
        <w:top w:val="none" w:sz="0" w:space="0" w:color="auto"/>
        <w:left w:val="none" w:sz="0" w:space="0" w:color="auto"/>
        <w:bottom w:val="none" w:sz="0" w:space="0" w:color="auto"/>
        <w:right w:val="none" w:sz="0" w:space="0" w:color="auto"/>
      </w:divBdr>
    </w:div>
    <w:div w:id="1306202666">
      <w:bodyDiv w:val="1"/>
      <w:marLeft w:val="0"/>
      <w:marRight w:val="0"/>
      <w:marTop w:val="0"/>
      <w:marBottom w:val="0"/>
      <w:divBdr>
        <w:top w:val="none" w:sz="0" w:space="0" w:color="auto"/>
        <w:left w:val="none" w:sz="0" w:space="0" w:color="auto"/>
        <w:bottom w:val="none" w:sz="0" w:space="0" w:color="auto"/>
        <w:right w:val="none" w:sz="0" w:space="0" w:color="auto"/>
      </w:divBdr>
    </w:div>
    <w:div w:id="1306205505">
      <w:bodyDiv w:val="1"/>
      <w:marLeft w:val="0"/>
      <w:marRight w:val="0"/>
      <w:marTop w:val="0"/>
      <w:marBottom w:val="0"/>
      <w:divBdr>
        <w:top w:val="none" w:sz="0" w:space="0" w:color="auto"/>
        <w:left w:val="none" w:sz="0" w:space="0" w:color="auto"/>
        <w:bottom w:val="none" w:sz="0" w:space="0" w:color="auto"/>
        <w:right w:val="none" w:sz="0" w:space="0" w:color="auto"/>
      </w:divBdr>
    </w:div>
    <w:div w:id="1306275157">
      <w:bodyDiv w:val="1"/>
      <w:marLeft w:val="0"/>
      <w:marRight w:val="0"/>
      <w:marTop w:val="0"/>
      <w:marBottom w:val="0"/>
      <w:divBdr>
        <w:top w:val="none" w:sz="0" w:space="0" w:color="auto"/>
        <w:left w:val="none" w:sz="0" w:space="0" w:color="auto"/>
        <w:bottom w:val="none" w:sz="0" w:space="0" w:color="auto"/>
        <w:right w:val="none" w:sz="0" w:space="0" w:color="auto"/>
      </w:divBdr>
    </w:div>
    <w:div w:id="1306282196">
      <w:bodyDiv w:val="1"/>
      <w:marLeft w:val="0"/>
      <w:marRight w:val="0"/>
      <w:marTop w:val="0"/>
      <w:marBottom w:val="0"/>
      <w:divBdr>
        <w:top w:val="none" w:sz="0" w:space="0" w:color="auto"/>
        <w:left w:val="none" w:sz="0" w:space="0" w:color="auto"/>
        <w:bottom w:val="none" w:sz="0" w:space="0" w:color="auto"/>
        <w:right w:val="none" w:sz="0" w:space="0" w:color="auto"/>
      </w:divBdr>
    </w:div>
    <w:div w:id="1306471465">
      <w:bodyDiv w:val="1"/>
      <w:marLeft w:val="0"/>
      <w:marRight w:val="0"/>
      <w:marTop w:val="0"/>
      <w:marBottom w:val="0"/>
      <w:divBdr>
        <w:top w:val="none" w:sz="0" w:space="0" w:color="auto"/>
        <w:left w:val="none" w:sz="0" w:space="0" w:color="auto"/>
        <w:bottom w:val="none" w:sz="0" w:space="0" w:color="auto"/>
        <w:right w:val="none" w:sz="0" w:space="0" w:color="auto"/>
      </w:divBdr>
    </w:div>
    <w:div w:id="1306659524">
      <w:bodyDiv w:val="1"/>
      <w:marLeft w:val="0"/>
      <w:marRight w:val="0"/>
      <w:marTop w:val="0"/>
      <w:marBottom w:val="0"/>
      <w:divBdr>
        <w:top w:val="none" w:sz="0" w:space="0" w:color="auto"/>
        <w:left w:val="none" w:sz="0" w:space="0" w:color="auto"/>
        <w:bottom w:val="none" w:sz="0" w:space="0" w:color="auto"/>
        <w:right w:val="none" w:sz="0" w:space="0" w:color="auto"/>
      </w:divBdr>
    </w:div>
    <w:div w:id="1306665363">
      <w:bodyDiv w:val="1"/>
      <w:marLeft w:val="0"/>
      <w:marRight w:val="0"/>
      <w:marTop w:val="0"/>
      <w:marBottom w:val="0"/>
      <w:divBdr>
        <w:top w:val="none" w:sz="0" w:space="0" w:color="auto"/>
        <w:left w:val="none" w:sz="0" w:space="0" w:color="auto"/>
        <w:bottom w:val="none" w:sz="0" w:space="0" w:color="auto"/>
        <w:right w:val="none" w:sz="0" w:space="0" w:color="auto"/>
      </w:divBdr>
    </w:div>
    <w:div w:id="1306666705">
      <w:bodyDiv w:val="1"/>
      <w:marLeft w:val="0"/>
      <w:marRight w:val="0"/>
      <w:marTop w:val="0"/>
      <w:marBottom w:val="0"/>
      <w:divBdr>
        <w:top w:val="none" w:sz="0" w:space="0" w:color="auto"/>
        <w:left w:val="none" w:sz="0" w:space="0" w:color="auto"/>
        <w:bottom w:val="none" w:sz="0" w:space="0" w:color="auto"/>
        <w:right w:val="none" w:sz="0" w:space="0" w:color="auto"/>
      </w:divBdr>
    </w:div>
    <w:div w:id="1306666744">
      <w:bodyDiv w:val="1"/>
      <w:marLeft w:val="0"/>
      <w:marRight w:val="0"/>
      <w:marTop w:val="0"/>
      <w:marBottom w:val="0"/>
      <w:divBdr>
        <w:top w:val="none" w:sz="0" w:space="0" w:color="auto"/>
        <w:left w:val="none" w:sz="0" w:space="0" w:color="auto"/>
        <w:bottom w:val="none" w:sz="0" w:space="0" w:color="auto"/>
        <w:right w:val="none" w:sz="0" w:space="0" w:color="auto"/>
      </w:divBdr>
    </w:div>
    <w:div w:id="1306742261">
      <w:bodyDiv w:val="1"/>
      <w:marLeft w:val="0"/>
      <w:marRight w:val="0"/>
      <w:marTop w:val="0"/>
      <w:marBottom w:val="0"/>
      <w:divBdr>
        <w:top w:val="none" w:sz="0" w:space="0" w:color="auto"/>
        <w:left w:val="none" w:sz="0" w:space="0" w:color="auto"/>
        <w:bottom w:val="none" w:sz="0" w:space="0" w:color="auto"/>
        <w:right w:val="none" w:sz="0" w:space="0" w:color="auto"/>
      </w:divBdr>
    </w:div>
    <w:div w:id="1306810147">
      <w:bodyDiv w:val="1"/>
      <w:marLeft w:val="0"/>
      <w:marRight w:val="0"/>
      <w:marTop w:val="0"/>
      <w:marBottom w:val="0"/>
      <w:divBdr>
        <w:top w:val="none" w:sz="0" w:space="0" w:color="auto"/>
        <w:left w:val="none" w:sz="0" w:space="0" w:color="auto"/>
        <w:bottom w:val="none" w:sz="0" w:space="0" w:color="auto"/>
        <w:right w:val="none" w:sz="0" w:space="0" w:color="auto"/>
      </w:divBdr>
    </w:div>
    <w:div w:id="1306817064">
      <w:bodyDiv w:val="1"/>
      <w:marLeft w:val="0"/>
      <w:marRight w:val="0"/>
      <w:marTop w:val="0"/>
      <w:marBottom w:val="0"/>
      <w:divBdr>
        <w:top w:val="none" w:sz="0" w:space="0" w:color="auto"/>
        <w:left w:val="none" w:sz="0" w:space="0" w:color="auto"/>
        <w:bottom w:val="none" w:sz="0" w:space="0" w:color="auto"/>
        <w:right w:val="none" w:sz="0" w:space="0" w:color="auto"/>
      </w:divBdr>
    </w:div>
    <w:div w:id="1307124526">
      <w:bodyDiv w:val="1"/>
      <w:marLeft w:val="0"/>
      <w:marRight w:val="0"/>
      <w:marTop w:val="0"/>
      <w:marBottom w:val="0"/>
      <w:divBdr>
        <w:top w:val="none" w:sz="0" w:space="0" w:color="auto"/>
        <w:left w:val="none" w:sz="0" w:space="0" w:color="auto"/>
        <w:bottom w:val="none" w:sz="0" w:space="0" w:color="auto"/>
        <w:right w:val="none" w:sz="0" w:space="0" w:color="auto"/>
      </w:divBdr>
    </w:div>
    <w:div w:id="1307318786">
      <w:bodyDiv w:val="1"/>
      <w:marLeft w:val="0"/>
      <w:marRight w:val="0"/>
      <w:marTop w:val="0"/>
      <w:marBottom w:val="0"/>
      <w:divBdr>
        <w:top w:val="none" w:sz="0" w:space="0" w:color="auto"/>
        <w:left w:val="none" w:sz="0" w:space="0" w:color="auto"/>
        <w:bottom w:val="none" w:sz="0" w:space="0" w:color="auto"/>
        <w:right w:val="none" w:sz="0" w:space="0" w:color="auto"/>
      </w:divBdr>
    </w:div>
    <w:div w:id="1307391633">
      <w:bodyDiv w:val="1"/>
      <w:marLeft w:val="0"/>
      <w:marRight w:val="0"/>
      <w:marTop w:val="0"/>
      <w:marBottom w:val="0"/>
      <w:divBdr>
        <w:top w:val="none" w:sz="0" w:space="0" w:color="auto"/>
        <w:left w:val="none" w:sz="0" w:space="0" w:color="auto"/>
        <w:bottom w:val="none" w:sz="0" w:space="0" w:color="auto"/>
        <w:right w:val="none" w:sz="0" w:space="0" w:color="auto"/>
      </w:divBdr>
    </w:div>
    <w:div w:id="1307467835">
      <w:bodyDiv w:val="1"/>
      <w:marLeft w:val="0"/>
      <w:marRight w:val="0"/>
      <w:marTop w:val="0"/>
      <w:marBottom w:val="0"/>
      <w:divBdr>
        <w:top w:val="none" w:sz="0" w:space="0" w:color="auto"/>
        <w:left w:val="none" w:sz="0" w:space="0" w:color="auto"/>
        <w:bottom w:val="none" w:sz="0" w:space="0" w:color="auto"/>
        <w:right w:val="none" w:sz="0" w:space="0" w:color="auto"/>
      </w:divBdr>
    </w:div>
    <w:div w:id="1307513030">
      <w:bodyDiv w:val="1"/>
      <w:marLeft w:val="0"/>
      <w:marRight w:val="0"/>
      <w:marTop w:val="0"/>
      <w:marBottom w:val="0"/>
      <w:divBdr>
        <w:top w:val="none" w:sz="0" w:space="0" w:color="auto"/>
        <w:left w:val="none" w:sz="0" w:space="0" w:color="auto"/>
        <w:bottom w:val="none" w:sz="0" w:space="0" w:color="auto"/>
        <w:right w:val="none" w:sz="0" w:space="0" w:color="auto"/>
      </w:divBdr>
    </w:div>
    <w:div w:id="1307737687">
      <w:bodyDiv w:val="1"/>
      <w:marLeft w:val="0"/>
      <w:marRight w:val="0"/>
      <w:marTop w:val="0"/>
      <w:marBottom w:val="0"/>
      <w:divBdr>
        <w:top w:val="none" w:sz="0" w:space="0" w:color="auto"/>
        <w:left w:val="none" w:sz="0" w:space="0" w:color="auto"/>
        <w:bottom w:val="none" w:sz="0" w:space="0" w:color="auto"/>
        <w:right w:val="none" w:sz="0" w:space="0" w:color="auto"/>
      </w:divBdr>
    </w:div>
    <w:div w:id="1307928679">
      <w:bodyDiv w:val="1"/>
      <w:marLeft w:val="0"/>
      <w:marRight w:val="0"/>
      <w:marTop w:val="0"/>
      <w:marBottom w:val="0"/>
      <w:divBdr>
        <w:top w:val="none" w:sz="0" w:space="0" w:color="auto"/>
        <w:left w:val="none" w:sz="0" w:space="0" w:color="auto"/>
        <w:bottom w:val="none" w:sz="0" w:space="0" w:color="auto"/>
        <w:right w:val="none" w:sz="0" w:space="0" w:color="auto"/>
      </w:divBdr>
    </w:div>
    <w:div w:id="1308239144">
      <w:bodyDiv w:val="1"/>
      <w:marLeft w:val="0"/>
      <w:marRight w:val="0"/>
      <w:marTop w:val="0"/>
      <w:marBottom w:val="0"/>
      <w:divBdr>
        <w:top w:val="none" w:sz="0" w:space="0" w:color="auto"/>
        <w:left w:val="none" w:sz="0" w:space="0" w:color="auto"/>
        <w:bottom w:val="none" w:sz="0" w:space="0" w:color="auto"/>
        <w:right w:val="none" w:sz="0" w:space="0" w:color="auto"/>
      </w:divBdr>
    </w:div>
    <w:div w:id="1308316751">
      <w:bodyDiv w:val="1"/>
      <w:marLeft w:val="0"/>
      <w:marRight w:val="0"/>
      <w:marTop w:val="0"/>
      <w:marBottom w:val="0"/>
      <w:divBdr>
        <w:top w:val="none" w:sz="0" w:space="0" w:color="auto"/>
        <w:left w:val="none" w:sz="0" w:space="0" w:color="auto"/>
        <w:bottom w:val="none" w:sz="0" w:space="0" w:color="auto"/>
        <w:right w:val="none" w:sz="0" w:space="0" w:color="auto"/>
      </w:divBdr>
    </w:div>
    <w:div w:id="1308317257">
      <w:bodyDiv w:val="1"/>
      <w:marLeft w:val="0"/>
      <w:marRight w:val="0"/>
      <w:marTop w:val="0"/>
      <w:marBottom w:val="0"/>
      <w:divBdr>
        <w:top w:val="none" w:sz="0" w:space="0" w:color="auto"/>
        <w:left w:val="none" w:sz="0" w:space="0" w:color="auto"/>
        <w:bottom w:val="none" w:sz="0" w:space="0" w:color="auto"/>
        <w:right w:val="none" w:sz="0" w:space="0" w:color="auto"/>
      </w:divBdr>
    </w:div>
    <w:div w:id="1308362816">
      <w:bodyDiv w:val="1"/>
      <w:marLeft w:val="0"/>
      <w:marRight w:val="0"/>
      <w:marTop w:val="0"/>
      <w:marBottom w:val="0"/>
      <w:divBdr>
        <w:top w:val="none" w:sz="0" w:space="0" w:color="auto"/>
        <w:left w:val="none" w:sz="0" w:space="0" w:color="auto"/>
        <w:bottom w:val="none" w:sz="0" w:space="0" w:color="auto"/>
        <w:right w:val="none" w:sz="0" w:space="0" w:color="auto"/>
      </w:divBdr>
    </w:div>
    <w:div w:id="1308434596">
      <w:bodyDiv w:val="1"/>
      <w:marLeft w:val="0"/>
      <w:marRight w:val="0"/>
      <w:marTop w:val="0"/>
      <w:marBottom w:val="0"/>
      <w:divBdr>
        <w:top w:val="none" w:sz="0" w:space="0" w:color="auto"/>
        <w:left w:val="none" w:sz="0" w:space="0" w:color="auto"/>
        <w:bottom w:val="none" w:sz="0" w:space="0" w:color="auto"/>
        <w:right w:val="none" w:sz="0" w:space="0" w:color="auto"/>
      </w:divBdr>
    </w:div>
    <w:div w:id="1308440547">
      <w:bodyDiv w:val="1"/>
      <w:marLeft w:val="0"/>
      <w:marRight w:val="0"/>
      <w:marTop w:val="0"/>
      <w:marBottom w:val="0"/>
      <w:divBdr>
        <w:top w:val="none" w:sz="0" w:space="0" w:color="auto"/>
        <w:left w:val="none" w:sz="0" w:space="0" w:color="auto"/>
        <w:bottom w:val="none" w:sz="0" w:space="0" w:color="auto"/>
        <w:right w:val="none" w:sz="0" w:space="0" w:color="auto"/>
      </w:divBdr>
    </w:div>
    <w:div w:id="1308509684">
      <w:bodyDiv w:val="1"/>
      <w:marLeft w:val="0"/>
      <w:marRight w:val="0"/>
      <w:marTop w:val="0"/>
      <w:marBottom w:val="0"/>
      <w:divBdr>
        <w:top w:val="none" w:sz="0" w:space="0" w:color="auto"/>
        <w:left w:val="none" w:sz="0" w:space="0" w:color="auto"/>
        <w:bottom w:val="none" w:sz="0" w:space="0" w:color="auto"/>
        <w:right w:val="none" w:sz="0" w:space="0" w:color="auto"/>
      </w:divBdr>
    </w:div>
    <w:div w:id="1308510757">
      <w:bodyDiv w:val="1"/>
      <w:marLeft w:val="0"/>
      <w:marRight w:val="0"/>
      <w:marTop w:val="0"/>
      <w:marBottom w:val="0"/>
      <w:divBdr>
        <w:top w:val="none" w:sz="0" w:space="0" w:color="auto"/>
        <w:left w:val="none" w:sz="0" w:space="0" w:color="auto"/>
        <w:bottom w:val="none" w:sz="0" w:space="0" w:color="auto"/>
        <w:right w:val="none" w:sz="0" w:space="0" w:color="auto"/>
      </w:divBdr>
    </w:div>
    <w:div w:id="1308586602">
      <w:bodyDiv w:val="1"/>
      <w:marLeft w:val="0"/>
      <w:marRight w:val="0"/>
      <w:marTop w:val="0"/>
      <w:marBottom w:val="0"/>
      <w:divBdr>
        <w:top w:val="none" w:sz="0" w:space="0" w:color="auto"/>
        <w:left w:val="none" w:sz="0" w:space="0" w:color="auto"/>
        <w:bottom w:val="none" w:sz="0" w:space="0" w:color="auto"/>
        <w:right w:val="none" w:sz="0" w:space="0" w:color="auto"/>
      </w:divBdr>
    </w:div>
    <w:div w:id="1308625308">
      <w:bodyDiv w:val="1"/>
      <w:marLeft w:val="0"/>
      <w:marRight w:val="0"/>
      <w:marTop w:val="0"/>
      <w:marBottom w:val="0"/>
      <w:divBdr>
        <w:top w:val="none" w:sz="0" w:space="0" w:color="auto"/>
        <w:left w:val="none" w:sz="0" w:space="0" w:color="auto"/>
        <w:bottom w:val="none" w:sz="0" w:space="0" w:color="auto"/>
        <w:right w:val="none" w:sz="0" w:space="0" w:color="auto"/>
      </w:divBdr>
    </w:div>
    <w:div w:id="1308782142">
      <w:bodyDiv w:val="1"/>
      <w:marLeft w:val="0"/>
      <w:marRight w:val="0"/>
      <w:marTop w:val="0"/>
      <w:marBottom w:val="0"/>
      <w:divBdr>
        <w:top w:val="none" w:sz="0" w:space="0" w:color="auto"/>
        <w:left w:val="none" w:sz="0" w:space="0" w:color="auto"/>
        <w:bottom w:val="none" w:sz="0" w:space="0" w:color="auto"/>
        <w:right w:val="none" w:sz="0" w:space="0" w:color="auto"/>
      </w:divBdr>
    </w:div>
    <w:div w:id="1308784040">
      <w:bodyDiv w:val="1"/>
      <w:marLeft w:val="0"/>
      <w:marRight w:val="0"/>
      <w:marTop w:val="0"/>
      <w:marBottom w:val="0"/>
      <w:divBdr>
        <w:top w:val="none" w:sz="0" w:space="0" w:color="auto"/>
        <w:left w:val="none" w:sz="0" w:space="0" w:color="auto"/>
        <w:bottom w:val="none" w:sz="0" w:space="0" w:color="auto"/>
        <w:right w:val="none" w:sz="0" w:space="0" w:color="auto"/>
      </w:divBdr>
    </w:div>
    <w:div w:id="1308785362">
      <w:bodyDiv w:val="1"/>
      <w:marLeft w:val="0"/>
      <w:marRight w:val="0"/>
      <w:marTop w:val="0"/>
      <w:marBottom w:val="0"/>
      <w:divBdr>
        <w:top w:val="none" w:sz="0" w:space="0" w:color="auto"/>
        <w:left w:val="none" w:sz="0" w:space="0" w:color="auto"/>
        <w:bottom w:val="none" w:sz="0" w:space="0" w:color="auto"/>
        <w:right w:val="none" w:sz="0" w:space="0" w:color="auto"/>
      </w:divBdr>
    </w:div>
    <w:div w:id="1308896607">
      <w:bodyDiv w:val="1"/>
      <w:marLeft w:val="0"/>
      <w:marRight w:val="0"/>
      <w:marTop w:val="0"/>
      <w:marBottom w:val="0"/>
      <w:divBdr>
        <w:top w:val="none" w:sz="0" w:space="0" w:color="auto"/>
        <w:left w:val="none" w:sz="0" w:space="0" w:color="auto"/>
        <w:bottom w:val="none" w:sz="0" w:space="0" w:color="auto"/>
        <w:right w:val="none" w:sz="0" w:space="0" w:color="auto"/>
      </w:divBdr>
    </w:div>
    <w:div w:id="1308898088">
      <w:bodyDiv w:val="1"/>
      <w:marLeft w:val="0"/>
      <w:marRight w:val="0"/>
      <w:marTop w:val="0"/>
      <w:marBottom w:val="0"/>
      <w:divBdr>
        <w:top w:val="none" w:sz="0" w:space="0" w:color="auto"/>
        <w:left w:val="none" w:sz="0" w:space="0" w:color="auto"/>
        <w:bottom w:val="none" w:sz="0" w:space="0" w:color="auto"/>
        <w:right w:val="none" w:sz="0" w:space="0" w:color="auto"/>
      </w:divBdr>
    </w:div>
    <w:div w:id="1308898459">
      <w:bodyDiv w:val="1"/>
      <w:marLeft w:val="0"/>
      <w:marRight w:val="0"/>
      <w:marTop w:val="0"/>
      <w:marBottom w:val="0"/>
      <w:divBdr>
        <w:top w:val="none" w:sz="0" w:space="0" w:color="auto"/>
        <w:left w:val="none" w:sz="0" w:space="0" w:color="auto"/>
        <w:bottom w:val="none" w:sz="0" w:space="0" w:color="auto"/>
        <w:right w:val="none" w:sz="0" w:space="0" w:color="auto"/>
      </w:divBdr>
    </w:div>
    <w:div w:id="1308900824">
      <w:bodyDiv w:val="1"/>
      <w:marLeft w:val="0"/>
      <w:marRight w:val="0"/>
      <w:marTop w:val="0"/>
      <w:marBottom w:val="0"/>
      <w:divBdr>
        <w:top w:val="none" w:sz="0" w:space="0" w:color="auto"/>
        <w:left w:val="none" w:sz="0" w:space="0" w:color="auto"/>
        <w:bottom w:val="none" w:sz="0" w:space="0" w:color="auto"/>
        <w:right w:val="none" w:sz="0" w:space="0" w:color="auto"/>
      </w:divBdr>
    </w:div>
    <w:div w:id="1308969261">
      <w:bodyDiv w:val="1"/>
      <w:marLeft w:val="0"/>
      <w:marRight w:val="0"/>
      <w:marTop w:val="0"/>
      <w:marBottom w:val="0"/>
      <w:divBdr>
        <w:top w:val="none" w:sz="0" w:space="0" w:color="auto"/>
        <w:left w:val="none" w:sz="0" w:space="0" w:color="auto"/>
        <w:bottom w:val="none" w:sz="0" w:space="0" w:color="auto"/>
        <w:right w:val="none" w:sz="0" w:space="0" w:color="auto"/>
      </w:divBdr>
    </w:div>
    <w:div w:id="1309020017">
      <w:bodyDiv w:val="1"/>
      <w:marLeft w:val="0"/>
      <w:marRight w:val="0"/>
      <w:marTop w:val="0"/>
      <w:marBottom w:val="0"/>
      <w:divBdr>
        <w:top w:val="none" w:sz="0" w:space="0" w:color="auto"/>
        <w:left w:val="none" w:sz="0" w:space="0" w:color="auto"/>
        <w:bottom w:val="none" w:sz="0" w:space="0" w:color="auto"/>
        <w:right w:val="none" w:sz="0" w:space="0" w:color="auto"/>
      </w:divBdr>
    </w:div>
    <w:div w:id="1309096746">
      <w:bodyDiv w:val="1"/>
      <w:marLeft w:val="0"/>
      <w:marRight w:val="0"/>
      <w:marTop w:val="0"/>
      <w:marBottom w:val="0"/>
      <w:divBdr>
        <w:top w:val="none" w:sz="0" w:space="0" w:color="auto"/>
        <w:left w:val="none" w:sz="0" w:space="0" w:color="auto"/>
        <w:bottom w:val="none" w:sz="0" w:space="0" w:color="auto"/>
        <w:right w:val="none" w:sz="0" w:space="0" w:color="auto"/>
      </w:divBdr>
    </w:div>
    <w:div w:id="1309165610">
      <w:bodyDiv w:val="1"/>
      <w:marLeft w:val="0"/>
      <w:marRight w:val="0"/>
      <w:marTop w:val="0"/>
      <w:marBottom w:val="0"/>
      <w:divBdr>
        <w:top w:val="none" w:sz="0" w:space="0" w:color="auto"/>
        <w:left w:val="none" w:sz="0" w:space="0" w:color="auto"/>
        <w:bottom w:val="none" w:sz="0" w:space="0" w:color="auto"/>
        <w:right w:val="none" w:sz="0" w:space="0" w:color="auto"/>
      </w:divBdr>
    </w:div>
    <w:div w:id="1309240113">
      <w:bodyDiv w:val="1"/>
      <w:marLeft w:val="0"/>
      <w:marRight w:val="0"/>
      <w:marTop w:val="0"/>
      <w:marBottom w:val="0"/>
      <w:divBdr>
        <w:top w:val="none" w:sz="0" w:space="0" w:color="auto"/>
        <w:left w:val="none" w:sz="0" w:space="0" w:color="auto"/>
        <w:bottom w:val="none" w:sz="0" w:space="0" w:color="auto"/>
        <w:right w:val="none" w:sz="0" w:space="0" w:color="auto"/>
      </w:divBdr>
    </w:div>
    <w:div w:id="1309244812">
      <w:bodyDiv w:val="1"/>
      <w:marLeft w:val="0"/>
      <w:marRight w:val="0"/>
      <w:marTop w:val="0"/>
      <w:marBottom w:val="0"/>
      <w:divBdr>
        <w:top w:val="none" w:sz="0" w:space="0" w:color="auto"/>
        <w:left w:val="none" w:sz="0" w:space="0" w:color="auto"/>
        <w:bottom w:val="none" w:sz="0" w:space="0" w:color="auto"/>
        <w:right w:val="none" w:sz="0" w:space="0" w:color="auto"/>
      </w:divBdr>
    </w:div>
    <w:div w:id="1309283726">
      <w:bodyDiv w:val="1"/>
      <w:marLeft w:val="0"/>
      <w:marRight w:val="0"/>
      <w:marTop w:val="0"/>
      <w:marBottom w:val="0"/>
      <w:divBdr>
        <w:top w:val="none" w:sz="0" w:space="0" w:color="auto"/>
        <w:left w:val="none" w:sz="0" w:space="0" w:color="auto"/>
        <w:bottom w:val="none" w:sz="0" w:space="0" w:color="auto"/>
        <w:right w:val="none" w:sz="0" w:space="0" w:color="auto"/>
      </w:divBdr>
    </w:div>
    <w:div w:id="1309364259">
      <w:bodyDiv w:val="1"/>
      <w:marLeft w:val="0"/>
      <w:marRight w:val="0"/>
      <w:marTop w:val="0"/>
      <w:marBottom w:val="0"/>
      <w:divBdr>
        <w:top w:val="none" w:sz="0" w:space="0" w:color="auto"/>
        <w:left w:val="none" w:sz="0" w:space="0" w:color="auto"/>
        <w:bottom w:val="none" w:sz="0" w:space="0" w:color="auto"/>
        <w:right w:val="none" w:sz="0" w:space="0" w:color="auto"/>
      </w:divBdr>
    </w:div>
    <w:div w:id="1309481506">
      <w:bodyDiv w:val="1"/>
      <w:marLeft w:val="0"/>
      <w:marRight w:val="0"/>
      <w:marTop w:val="0"/>
      <w:marBottom w:val="0"/>
      <w:divBdr>
        <w:top w:val="none" w:sz="0" w:space="0" w:color="auto"/>
        <w:left w:val="none" w:sz="0" w:space="0" w:color="auto"/>
        <w:bottom w:val="none" w:sz="0" w:space="0" w:color="auto"/>
        <w:right w:val="none" w:sz="0" w:space="0" w:color="auto"/>
      </w:divBdr>
    </w:div>
    <w:div w:id="1309629112">
      <w:bodyDiv w:val="1"/>
      <w:marLeft w:val="0"/>
      <w:marRight w:val="0"/>
      <w:marTop w:val="0"/>
      <w:marBottom w:val="0"/>
      <w:divBdr>
        <w:top w:val="none" w:sz="0" w:space="0" w:color="auto"/>
        <w:left w:val="none" w:sz="0" w:space="0" w:color="auto"/>
        <w:bottom w:val="none" w:sz="0" w:space="0" w:color="auto"/>
        <w:right w:val="none" w:sz="0" w:space="0" w:color="auto"/>
      </w:divBdr>
    </w:div>
    <w:div w:id="1309747108">
      <w:bodyDiv w:val="1"/>
      <w:marLeft w:val="0"/>
      <w:marRight w:val="0"/>
      <w:marTop w:val="0"/>
      <w:marBottom w:val="0"/>
      <w:divBdr>
        <w:top w:val="none" w:sz="0" w:space="0" w:color="auto"/>
        <w:left w:val="none" w:sz="0" w:space="0" w:color="auto"/>
        <w:bottom w:val="none" w:sz="0" w:space="0" w:color="auto"/>
        <w:right w:val="none" w:sz="0" w:space="0" w:color="auto"/>
      </w:divBdr>
    </w:div>
    <w:div w:id="1309896073">
      <w:bodyDiv w:val="1"/>
      <w:marLeft w:val="0"/>
      <w:marRight w:val="0"/>
      <w:marTop w:val="0"/>
      <w:marBottom w:val="0"/>
      <w:divBdr>
        <w:top w:val="none" w:sz="0" w:space="0" w:color="auto"/>
        <w:left w:val="none" w:sz="0" w:space="0" w:color="auto"/>
        <w:bottom w:val="none" w:sz="0" w:space="0" w:color="auto"/>
        <w:right w:val="none" w:sz="0" w:space="0" w:color="auto"/>
      </w:divBdr>
    </w:div>
    <w:div w:id="1309898608">
      <w:bodyDiv w:val="1"/>
      <w:marLeft w:val="0"/>
      <w:marRight w:val="0"/>
      <w:marTop w:val="0"/>
      <w:marBottom w:val="0"/>
      <w:divBdr>
        <w:top w:val="none" w:sz="0" w:space="0" w:color="auto"/>
        <w:left w:val="none" w:sz="0" w:space="0" w:color="auto"/>
        <w:bottom w:val="none" w:sz="0" w:space="0" w:color="auto"/>
        <w:right w:val="none" w:sz="0" w:space="0" w:color="auto"/>
      </w:divBdr>
    </w:div>
    <w:div w:id="1309900166">
      <w:bodyDiv w:val="1"/>
      <w:marLeft w:val="0"/>
      <w:marRight w:val="0"/>
      <w:marTop w:val="0"/>
      <w:marBottom w:val="0"/>
      <w:divBdr>
        <w:top w:val="none" w:sz="0" w:space="0" w:color="auto"/>
        <w:left w:val="none" w:sz="0" w:space="0" w:color="auto"/>
        <w:bottom w:val="none" w:sz="0" w:space="0" w:color="auto"/>
        <w:right w:val="none" w:sz="0" w:space="0" w:color="auto"/>
      </w:divBdr>
    </w:div>
    <w:div w:id="1310019467">
      <w:bodyDiv w:val="1"/>
      <w:marLeft w:val="0"/>
      <w:marRight w:val="0"/>
      <w:marTop w:val="0"/>
      <w:marBottom w:val="0"/>
      <w:divBdr>
        <w:top w:val="none" w:sz="0" w:space="0" w:color="auto"/>
        <w:left w:val="none" w:sz="0" w:space="0" w:color="auto"/>
        <w:bottom w:val="none" w:sz="0" w:space="0" w:color="auto"/>
        <w:right w:val="none" w:sz="0" w:space="0" w:color="auto"/>
      </w:divBdr>
    </w:div>
    <w:div w:id="1310094102">
      <w:bodyDiv w:val="1"/>
      <w:marLeft w:val="0"/>
      <w:marRight w:val="0"/>
      <w:marTop w:val="0"/>
      <w:marBottom w:val="0"/>
      <w:divBdr>
        <w:top w:val="none" w:sz="0" w:space="0" w:color="auto"/>
        <w:left w:val="none" w:sz="0" w:space="0" w:color="auto"/>
        <w:bottom w:val="none" w:sz="0" w:space="0" w:color="auto"/>
        <w:right w:val="none" w:sz="0" w:space="0" w:color="auto"/>
      </w:divBdr>
    </w:div>
    <w:div w:id="1310279783">
      <w:bodyDiv w:val="1"/>
      <w:marLeft w:val="0"/>
      <w:marRight w:val="0"/>
      <w:marTop w:val="0"/>
      <w:marBottom w:val="0"/>
      <w:divBdr>
        <w:top w:val="none" w:sz="0" w:space="0" w:color="auto"/>
        <w:left w:val="none" w:sz="0" w:space="0" w:color="auto"/>
        <w:bottom w:val="none" w:sz="0" w:space="0" w:color="auto"/>
        <w:right w:val="none" w:sz="0" w:space="0" w:color="auto"/>
      </w:divBdr>
    </w:div>
    <w:div w:id="1310287585">
      <w:bodyDiv w:val="1"/>
      <w:marLeft w:val="0"/>
      <w:marRight w:val="0"/>
      <w:marTop w:val="0"/>
      <w:marBottom w:val="0"/>
      <w:divBdr>
        <w:top w:val="none" w:sz="0" w:space="0" w:color="auto"/>
        <w:left w:val="none" w:sz="0" w:space="0" w:color="auto"/>
        <w:bottom w:val="none" w:sz="0" w:space="0" w:color="auto"/>
        <w:right w:val="none" w:sz="0" w:space="0" w:color="auto"/>
      </w:divBdr>
    </w:div>
    <w:div w:id="1310397611">
      <w:bodyDiv w:val="1"/>
      <w:marLeft w:val="0"/>
      <w:marRight w:val="0"/>
      <w:marTop w:val="0"/>
      <w:marBottom w:val="0"/>
      <w:divBdr>
        <w:top w:val="none" w:sz="0" w:space="0" w:color="auto"/>
        <w:left w:val="none" w:sz="0" w:space="0" w:color="auto"/>
        <w:bottom w:val="none" w:sz="0" w:space="0" w:color="auto"/>
        <w:right w:val="none" w:sz="0" w:space="0" w:color="auto"/>
      </w:divBdr>
    </w:div>
    <w:div w:id="1310552044">
      <w:bodyDiv w:val="1"/>
      <w:marLeft w:val="0"/>
      <w:marRight w:val="0"/>
      <w:marTop w:val="0"/>
      <w:marBottom w:val="0"/>
      <w:divBdr>
        <w:top w:val="none" w:sz="0" w:space="0" w:color="auto"/>
        <w:left w:val="none" w:sz="0" w:space="0" w:color="auto"/>
        <w:bottom w:val="none" w:sz="0" w:space="0" w:color="auto"/>
        <w:right w:val="none" w:sz="0" w:space="0" w:color="auto"/>
      </w:divBdr>
    </w:div>
    <w:div w:id="1310671123">
      <w:bodyDiv w:val="1"/>
      <w:marLeft w:val="0"/>
      <w:marRight w:val="0"/>
      <w:marTop w:val="0"/>
      <w:marBottom w:val="0"/>
      <w:divBdr>
        <w:top w:val="none" w:sz="0" w:space="0" w:color="auto"/>
        <w:left w:val="none" w:sz="0" w:space="0" w:color="auto"/>
        <w:bottom w:val="none" w:sz="0" w:space="0" w:color="auto"/>
        <w:right w:val="none" w:sz="0" w:space="0" w:color="auto"/>
      </w:divBdr>
    </w:div>
    <w:div w:id="1310742695">
      <w:bodyDiv w:val="1"/>
      <w:marLeft w:val="0"/>
      <w:marRight w:val="0"/>
      <w:marTop w:val="0"/>
      <w:marBottom w:val="0"/>
      <w:divBdr>
        <w:top w:val="none" w:sz="0" w:space="0" w:color="auto"/>
        <w:left w:val="none" w:sz="0" w:space="0" w:color="auto"/>
        <w:bottom w:val="none" w:sz="0" w:space="0" w:color="auto"/>
        <w:right w:val="none" w:sz="0" w:space="0" w:color="auto"/>
      </w:divBdr>
    </w:div>
    <w:div w:id="1310746415">
      <w:bodyDiv w:val="1"/>
      <w:marLeft w:val="0"/>
      <w:marRight w:val="0"/>
      <w:marTop w:val="0"/>
      <w:marBottom w:val="0"/>
      <w:divBdr>
        <w:top w:val="none" w:sz="0" w:space="0" w:color="auto"/>
        <w:left w:val="none" w:sz="0" w:space="0" w:color="auto"/>
        <w:bottom w:val="none" w:sz="0" w:space="0" w:color="auto"/>
        <w:right w:val="none" w:sz="0" w:space="0" w:color="auto"/>
      </w:divBdr>
    </w:div>
    <w:div w:id="1310748536">
      <w:bodyDiv w:val="1"/>
      <w:marLeft w:val="0"/>
      <w:marRight w:val="0"/>
      <w:marTop w:val="0"/>
      <w:marBottom w:val="0"/>
      <w:divBdr>
        <w:top w:val="none" w:sz="0" w:space="0" w:color="auto"/>
        <w:left w:val="none" w:sz="0" w:space="0" w:color="auto"/>
        <w:bottom w:val="none" w:sz="0" w:space="0" w:color="auto"/>
        <w:right w:val="none" w:sz="0" w:space="0" w:color="auto"/>
      </w:divBdr>
    </w:div>
    <w:div w:id="1311011264">
      <w:bodyDiv w:val="1"/>
      <w:marLeft w:val="0"/>
      <w:marRight w:val="0"/>
      <w:marTop w:val="0"/>
      <w:marBottom w:val="0"/>
      <w:divBdr>
        <w:top w:val="none" w:sz="0" w:space="0" w:color="auto"/>
        <w:left w:val="none" w:sz="0" w:space="0" w:color="auto"/>
        <w:bottom w:val="none" w:sz="0" w:space="0" w:color="auto"/>
        <w:right w:val="none" w:sz="0" w:space="0" w:color="auto"/>
      </w:divBdr>
    </w:div>
    <w:div w:id="1311131631">
      <w:bodyDiv w:val="1"/>
      <w:marLeft w:val="0"/>
      <w:marRight w:val="0"/>
      <w:marTop w:val="0"/>
      <w:marBottom w:val="0"/>
      <w:divBdr>
        <w:top w:val="none" w:sz="0" w:space="0" w:color="auto"/>
        <w:left w:val="none" w:sz="0" w:space="0" w:color="auto"/>
        <w:bottom w:val="none" w:sz="0" w:space="0" w:color="auto"/>
        <w:right w:val="none" w:sz="0" w:space="0" w:color="auto"/>
      </w:divBdr>
    </w:div>
    <w:div w:id="1311132709">
      <w:bodyDiv w:val="1"/>
      <w:marLeft w:val="0"/>
      <w:marRight w:val="0"/>
      <w:marTop w:val="0"/>
      <w:marBottom w:val="0"/>
      <w:divBdr>
        <w:top w:val="none" w:sz="0" w:space="0" w:color="auto"/>
        <w:left w:val="none" w:sz="0" w:space="0" w:color="auto"/>
        <w:bottom w:val="none" w:sz="0" w:space="0" w:color="auto"/>
        <w:right w:val="none" w:sz="0" w:space="0" w:color="auto"/>
      </w:divBdr>
    </w:div>
    <w:div w:id="1311328676">
      <w:bodyDiv w:val="1"/>
      <w:marLeft w:val="0"/>
      <w:marRight w:val="0"/>
      <w:marTop w:val="0"/>
      <w:marBottom w:val="0"/>
      <w:divBdr>
        <w:top w:val="none" w:sz="0" w:space="0" w:color="auto"/>
        <w:left w:val="none" w:sz="0" w:space="0" w:color="auto"/>
        <w:bottom w:val="none" w:sz="0" w:space="0" w:color="auto"/>
        <w:right w:val="none" w:sz="0" w:space="0" w:color="auto"/>
      </w:divBdr>
    </w:div>
    <w:div w:id="1311329339">
      <w:bodyDiv w:val="1"/>
      <w:marLeft w:val="0"/>
      <w:marRight w:val="0"/>
      <w:marTop w:val="0"/>
      <w:marBottom w:val="0"/>
      <w:divBdr>
        <w:top w:val="none" w:sz="0" w:space="0" w:color="auto"/>
        <w:left w:val="none" w:sz="0" w:space="0" w:color="auto"/>
        <w:bottom w:val="none" w:sz="0" w:space="0" w:color="auto"/>
        <w:right w:val="none" w:sz="0" w:space="0" w:color="auto"/>
      </w:divBdr>
    </w:div>
    <w:div w:id="1311446279">
      <w:bodyDiv w:val="1"/>
      <w:marLeft w:val="0"/>
      <w:marRight w:val="0"/>
      <w:marTop w:val="0"/>
      <w:marBottom w:val="0"/>
      <w:divBdr>
        <w:top w:val="none" w:sz="0" w:space="0" w:color="auto"/>
        <w:left w:val="none" w:sz="0" w:space="0" w:color="auto"/>
        <w:bottom w:val="none" w:sz="0" w:space="0" w:color="auto"/>
        <w:right w:val="none" w:sz="0" w:space="0" w:color="auto"/>
      </w:divBdr>
    </w:div>
    <w:div w:id="1311522801">
      <w:bodyDiv w:val="1"/>
      <w:marLeft w:val="0"/>
      <w:marRight w:val="0"/>
      <w:marTop w:val="0"/>
      <w:marBottom w:val="0"/>
      <w:divBdr>
        <w:top w:val="none" w:sz="0" w:space="0" w:color="auto"/>
        <w:left w:val="none" w:sz="0" w:space="0" w:color="auto"/>
        <w:bottom w:val="none" w:sz="0" w:space="0" w:color="auto"/>
        <w:right w:val="none" w:sz="0" w:space="0" w:color="auto"/>
      </w:divBdr>
    </w:div>
    <w:div w:id="1311598635">
      <w:bodyDiv w:val="1"/>
      <w:marLeft w:val="0"/>
      <w:marRight w:val="0"/>
      <w:marTop w:val="0"/>
      <w:marBottom w:val="0"/>
      <w:divBdr>
        <w:top w:val="none" w:sz="0" w:space="0" w:color="auto"/>
        <w:left w:val="none" w:sz="0" w:space="0" w:color="auto"/>
        <w:bottom w:val="none" w:sz="0" w:space="0" w:color="auto"/>
        <w:right w:val="none" w:sz="0" w:space="0" w:color="auto"/>
      </w:divBdr>
    </w:div>
    <w:div w:id="1311639860">
      <w:bodyDiv w:val="1"/>
      <w:marLeft w:val="0"/>
      <w:marRight w:val="0"/>
      <w:marTop w:val="0"/>
      <w:marBottom w:val="0"/>
      <w:divBdr>
        <w:top w:val="none" w:sz="0" w:space="0" w:color="auto"/>
        <w:left w:val="none" w:sz="0" w:space="0" w:color="auto"/>
        <w:bottom w:val="none" w:sz="0" w:space="0" w:color="auto"/>
        <w:right w:val="none" w:sz="0" w:space="0" w:color="auto"/>
      </w:divBdr>
    </w:div>
    <w:div w:id="1311859415">
      <w:bodyDiv w:val="1"/>
      <w:marLeft w:val="0"/>
      <w:marRight w:val="0"/>
      <w:marTop w:val="0"/>
      <w:marBottom w:val="0"/>
      <w:divBdr>
        <w:top w:val="none" w:sz="0" w:space="0" w:color="auto"/>
        <w:left w:val="none" w:sz="0" w:space="0" w:color="auto"/>
        <w:bottom w:val="none" w:sz="0" w:space="0" w:color="auto"/>
        <w:right w:val="none" w:sz="0" w:space="0" w:color="auto"/>
      </w:divBdr>
    </w:div>
    <w:div w:id="1311859698">
      <w:bodyDiv w:val="1"/>
      <w:marLeft w:val="0"/>
      <w:marRight w:val="0"/>
      <w:marTop w:val="0"/>
      <w:marBottom w:val="0"/>
      <w:divBdr>
        <w:top w:val="none" w:sz="0" w:space="0" w:color="auto"/>
        <w:left w:val="none" w:sz="0" w:space="0" w:color="auto"/>
        <w:bottom w:val="none" w:sz="0" w:space="0" w:color="auto"/>
        <w:right w:val="none" w:sz="0" w:space="0" w:color="auto"/>
      </w:divBdr>
    </w:div>
    <w:div w:id="1311864649">
      <w:bodyDiv w:val="1"/>
      <w:marLeft w:val="0"/>
      <w:marRight w:val="0"/>
      <w:marTop w:val="0"/>
      <w:marBottom w:val="0"/>
      <w:divBdr>
        <w:top w:val="none" w:sz="0" w:space="0" w:color="auto"/>
        <w:left w:val="none" w:sz="0" w:space="0" w:color="auto"/>
        <w:bottom w:val="none" w:sz="0" w:space="0" w:color="auto"/>
        <w:right w:val="none" w:sz="0" w:space="0" w:color="auto"/>
      </w:divBdr>
    </w:div>
    <w:div w:id="1312058250">
      <w:bodyDiv w:val="1"/>
      <w:marLeft w:val="0"/>
      <w:marRight w:val="0"/>
      <w:marTop w:val="0"/>
      <w:marBottom w:val="0"/>
      <w:divBdr>
        <w:top w:val="none" w:sz="0" w:space="0" w:color="auto"/>
        <w:left w:val="none" w:sz="0" w:space="0" w:color="auto"/>
        <w:bottom w:val="none" w:sz="0" w:space="0" w:color="auto"/>
        <w:right w:val="none" w:sz="0" w:space="0" w:color="auto"/>
      </w:divBdr>
    </w:div>
    <w:div w:id="1312173838">
      <w:bodyDiv w:val="1"/>
      <w:marLeft w:val="0"/>
      <w:marRight w:val="0"/>
      <w:marTop w:val="0"/>
      <w:marBottom w:val="0"/>
      <w:divBdr>
        <w:top w:val="none" w:sz="0" w:space="0" w:color="auto"/>
        <w:left w:val="none" w:sz="0" w:space="0" w:color="auto"/>
        <w:bottom w:val="none" w:sz="0" w:space="0" w:color="auto"/>
        <w:right w:val="none" w:sz="0" w:space="0" w:color="auto"/>
      </w:divBdr>
    </w:div>
    <w:div w:id="1312254582">
      <w:bodyDiv w:val="1"/>
      <w:marLeft w:val="0"/>
      <w:marRight w:val="0"/>
      <w:marTop w:val="0"/>
      <w:marBottom w:val="0"/>
      <w:divBdr>
        <w:top w:val="none" w:sz="0" w:space="0" w:color="auto"/>
        <w:left w:val="none" w:sz="0" w:space="0" w:color="auto"/>
        <w:bottom w:val="none" w:sz="0" w:space="0" w:color="auto"/>
        <w:right w:val="none" w:sz="0" w:space="0" w:color="auto"/>
      </w:divBdr>
    </w:div>
    <w:div w:id="1312323905">
      <w:bodyDiv w:val="1"/>
      <w:marLeft w:val="0"/>
      <w:marRight w:val="0"/>
      <w:marTop w:val="0"/>
      <w:marBottom w:val="0"/>
      <w:divBdr>
        <w:top w:val="none" w:sz="0" w:space="0" w:color="auto"/>
        <w:left w:val="none" w:sz="0" w:space="0" w:color="auto"/>
        <w:bottom w:val="none" w:sz="0" w:space="0" w:color="auto"/>
        <w:right w:val="none" w:sz="0" w:space="0" w:color="auto"/>
      </w:divBdr>
    </w:div>
    <w:div w:id="1312367502">
      <w:bodyDiv w:val="1"/>
      <w:marLeft w:val="0"/>
      <w:marRight w:val="0"/>
      <w:marTop w:val="0"/>
      <w:marBottom w:val="0"/>
      <w:divBdr>
        <w:top w:val="none" w:sz="0" w:space="0" w:color="auto"/>
        <w:left w:val="none" w:sz="0" w:space="0" w:color="auto"/>
        <w:bottom w:val="none" w:sz="0" w:space="0" w:color="auto"/>
        <w:right w:val="none" w:sz="0" w:space="0" w:color="auto"/>
      </w:divBdr>
    </w:div>
    <w:div w:id="1312514084">
      <w:bodyDiv w:val="1"/>
      <w:marLeft w:val="0"/>
      <w:marRight w:val="0"/>
      <w:marTop w:val="0"/>
      <w:marBottom w:val="0"/>
      <w:divBdr>
        <w:top w:val="none" w:sz="0" w:space="0" w:color="auto"/>
        <w:left w:val="none" w:sz="0" w:space="0" w:color="auto"/>
        <w:bottom w:val="none" w:sz="0" w:space="0" w:color="auto"/>
        <w:right w:val="none" w:sz="0" w:space="0" w:color="auto"/>
      </w:divBdr>
    </w:div>
    <w:div w:id="1312520028">
      <w:bodyDiv w:val="1"/>
      <w:marLeft w:val="0"/>
      <w:marRight w:val="0"/>
      <w:marTop w:val="0"/>
      <w:marBottom w:val="0"/>
      <w:divBdr>
        <w:top w:val="none" w:sz="0" w:space="0" w:color="auto"/>
        <w:left w:val="none" w:sz="0" w:space="0" w:color="auto"/>
        <w:bottom w:val="none" w:sz="0" w:space="0" w:color="auto"/>
        <w:right w:val="none" w:sz="0" w:space="0" w:color="auto"/>
      </w:divBdr>
    </w:div>
    <w:div w:id="1312636065">
      <w:bodyDiv w:val="1"/>
      <w:marLeft w:val="0"/>
      <w:marRight w:val="0"/>
      <w:marTop w:val="0"/>
      <w:marBottom w:val="0"/>
      <w:divBdr>
        <w:top w:val="none" w:sz="0" w:space="0" w:color="auto"/>
        <w:left w:val="none" w:sz="0" w:space="0" w:color="auto"/>
        <w:bottom w:val="none" w:sz="0" w:space="0" w:color="auto"/>
        <w:right w:val="none" w:sz="0" w:space="0" w:color="auto"/>
      </w:divBdr>
    </w:div>
    <w:div w:id="1312832442">
      <w:bodyDiv w:val="1"/>
      <w:marLeft w:val="0"/>
      <w:marRight w:val="0"/>
      <w:marTop w:val="0"/>
      <w:marBottom w:val="0"/>
      <w:divBdr>
        <w:top w:val="none" w:sz="0" w:space="0" w:color="auto"/>
        <w:left w:val="none" w:sz="0" w:space="0" w:color="auto"/>
        <w:bottom w:val="none" w:sz="0" w:space="0" w:color="auto"/>
        <w:right w:val="none" w:sz="0" w:space="0" w:color="auto"/>
      </w:divBdr>
    </w:div>
    <w:div w:id="1312905325">
      <w:bodyDiv w:val="1"/>
      <w:marLeft w:val="0"/>
      <w:marRight w:val="0"/>
      <w:marTop w:val="0"/>
      <w:marBottom w:val="0"/>
      <w:divBdr>
        <w:top w:val="none" w:sz="0" w:space="0" w:color="auto"/>
        <w:left w:val="none" w:sz="0" w:space="0" w:color="auto"/>
        <w:bottom w:val="none" w:sz="0" w:space="0" w:color="auto"/>
        <w:right w:val="none" w:sz="0" w:space="0" w:color="auto"/>
      </w:divBdr>
    </w:div>
    <w:div w:id="1313171512">
      <w:bodyDiv w:val="1"/>
      <w:marLeft w:val="0"/>
      <w:marRight w:val="0"/>
      <w:marTop w:val="0"/>
      <w:marBottom w:val="0"/>
      <w:divBdr>
        <w:top w:val="none" w:sz="0" w:space="0" w:color="auto"/>
        <w:left w:val="none" w:sz="0" w:space="0" w:color="auto"/>
        <w:bottom w:val="none" w:sz="0" w:space="0" w:color="auto"/>
        <w:right w:val="none" w:sz="0" w:space="0" w:color="auto"/>
      </w:divBdr>
    </w:div>
    <w:div w:id="1313291294">
      <w:bodyDiv w:val="1"/>
      <w:marLeft w:val="0"/>
      <w:marRight w:val="0"/>
      <w:marTop w:val="0"/>
      <w:marBottom w:val="0"/>
      <w:divBdr>
        <w:top w:val="none" w:sz="0" w:space="0" w:color="auto"/>
        <w:left w:val="none" w:sz="0" w:space="0" w:color="auto"/>
        <w:bottom w:val="none" w:sz="0" w:space="0" w:color="auto"/>
        <w:right w:val="none" w:sz="0" w:space="0" w:color="auto"/>
      </w:divBdr>
    </w:div>
    <w:div w:id="1313292980">
      <w:bodyDiv w:val="1"/>
      <w:marLeft w:val="0"/>
      <w:marRight w:val="0"/>
      <w:marTop w:val="0"/>
      <w:marBottom w:val="0"/>
      <w:divBdr>
        <w:top w:val="none" w:sz="0" w:space="0" w:color="auto"/>
        <w:left w:val="none" w:sz="0" w:space="0" w:color="auto"/>
        <w:bottom w:val="none" w:sz="0" w:space="0" w:color="auto"/>
        <w:right w:val="none" w:sz="0" w:space="0" w:color="auto"/>
      </w:divBdr>
    </w:div>
    <w:div w:id="1313369919">
      <w:bodyDiv w:val="1"/>
      <w:marLeft w:val="0"/>
      <w:marRight w:val="0"/>
      <w:marTop w:val="0"/>
      <w:marBottom w:val="0"/>
      <w:divBdr>
        <w:top w:val="none" w:sz="0" w:space="0" w:color="auto"/>
        <w:left w:val="none" w:sz="0" w:space="0" w:color="auto"/>
        <w:bottom w:val="none" w:sz="0" w:space="0" w:color="auto"/>
        <w:right w:val="none" w:sz="0" w:space="0" w:color="auto"/>
      </w:divBdr>
    </w:div>
    <w:div w:id="1313636007">
      <w:bodyDiv w:val="1"/>
      <w:marLeft w:val="0"/>
      <w:marRight w:val="0"/>
      <w:marTop w:val="0"/>
      <w:marBottom w:val="0"/>
      <w:divBdr>
        <w:top w:val="none" w:sz="0" w:space="0" w:color="auto"/>
        <w:left w:val="none" w:sz="0" w:space="0" w:color="auto"/>
        <w:bottom w:val="none" w:sz="0" w:space="0" w:color="auto"/>
        <w:right w:val="none" w:sz="0" w:space="0" w:color="auto"/>
      </w:divBdr>
    </w:div>
    <w:div w:id="1313681684">
      <w:bodyDiv w:val="1"/>
      <w:marLeft w:val="0"/>
      <w:marRight w:val="0"/>
      <w:marTop w:val="0"/>
      <w:marBottom w:val="0"/>
      <w:divBdr>
        <w:top w:val="none" w:sz="0" w:space="0" w:color="auto"/>
        <w:left w:val="none" w:sz="0" w:space="0" w:color="auto"/>
        <w:bottom w:val="none" w:sz="0" w:space="0" w:color="auto"/>
        <w:right w:val="none" w:sz="0" w:space="0" w:color="auto"/>
      </w:divBdr>
    </w:div>
    <w:div w:id="1313683595">
      <w:bodyDiv w:val="1"/>
      <w:marLeft w:val="0"/>
      <w:marRight w:val="0"/>
      <w:marTop w:val="0"/>
      <w:marBottom w:val="0"/>
      <w:divBdr>
        <w:top w:val="none" w:sz="0" w:space="0" w:color="auto"/>
        <w:left w:val="none" w:sz="0" w:space="0" w:color="auto"/>
        <w:bottom w:val="none" w:sz="0" w:space="0" w:color="auto"/>
        <w:right w:val="none" w:sz="0" w:space="0" w:color="auto"/>
      </w:divBdr>
    </w:div>
    <w:div w:id="1313755265">
      <w:bodyDiv w:val="1"/>
      <w:marLeft w:val="0"/>
      <w:marRight w:val="0"/>
      <w:marTop w:val="0"/>
      <w:marBottom w:val="0"/>
      <w:divBdr>
        <w:top w:val="none" w:sz="0" w:space="0" w:color="auto"/>
        <w:left w:val="none" w:sz="0" w:space="0" w:color="auto"/>
        <w:bottom w:val="none" w:sz="0" w:space="0" w:color="auto"/>
        <w:right w:val="none" w:sz="0" w:space="0" w:color="auto"/>
      </w:divBdr>
    </w:div>
    <w:div w:id="1313757645">
      <w:bodyDiv w:val="1"/>
      <w:marLeft w:val="0"/>
      <w:marRight w:val="0"/>
      <w:marTop w:val="0"/>
      <w:marBottom w:val="0"/>
      <w:divBdr>
        <w:top w:val="none" w:sz="0" w:space="0" w:color="auto"/>
        <w:left w:val="none" w:sz="0" w:space="0" w:color="auto"/>
        <w:bottom w:val="none" w:sz="0" w:space="0" w:color="auto"/>
        <w:right w:val="none" w:sz="0" w:space="0" w:color="auto"/>
      </w:divBdr>
    </w:div>
    <w:div w:id="1313800852">
      <w:bodyDiv w:val="1"/>
      <w:marLeft w:val="0"/>
      <w:marRight w:val="0"/>
      <w:marTop w:val="0"/>
      <w:marBottom w:val="0"/>
      <w:divBdr>
        <w:top w:val="none" w:sz="0" w:space="0" w:color="auto"/>
        <w:left w:val="none" w:sz="0" w:space="0" w:color="auto"/>
        <w:bottom w:val="none" w:sz="0" w:space="0" w:color="auto"/>
        <w:right w:val="none" w:sz="0" w:space="0" w:color="auto"/>
      </w:divBdr>
    </w:div>
    <w:div w:id="1313829326">
      <w:bodyDiv w:val="1"/>
      <w:marLeft w:val="0"/>
      <w:marRight w:val="0"/>
      <w:marTop w:val="0"/>
      <w:marBottom w:val="0"/>
      <w:divBdr>
        <w:top w:val="none" w:sz="0" w:space="0" w:color="auto"/>
        <w:left w:val="none" w:sz="0" w:space="0" w:color="auto"/>
        <w:bottom w:val="none" w:sz="0" w:space="0" w:color="auto"/>
        <w:right w:val="none" w:sz="0" w:space="0" w:color="auto"/>
      </w:divBdr>
    </w:div>
    <w:div w:id="1313873375">
      <w:bodyDiv w:val="1"/>
      <w:marLeft w:val="0"/>
      <w:marRight w:val="0"/>
      <w:marTop w:val="0"/>
      <w:marBottom w:val="0"/>
      <w:divBdr>
        <w:top w:val="none" w:sz="0" w:space="0" w:color="auto"/>
        <w:left w:val="none" w:sz="0" w:space="0" w:color="auto"/>
        <w:bottom w:val="none" w:sz="0" w:space="0" w:color="auto"/>
        <w:right w:val="none" w:sz="0" w:space="0" w:color="auto"/>
      </w:divBdr>
    </w:div>
    <w:div w:id="1314024516">
      <w:bodyDiv w:val="1"/>
      <w:marLeft w:val="0"/>
      <w:marRight w:val="0"/>
      <w:marTop w:val="0"/>
      <w:marBottom w:val="0"/>
      <w:divBdr>
        <w:top w:val="none" w:sz="0" w:space="0" w:color="auto"/>
        <w:left w:val="none" w:sz="0" w:space="0" w:color="auto"/>
        <w:bottom w:val="none" w:sz="0" w:space="0" w:color="auto"/>
        <w:right w:val="none" w:sz="0" w:space="0" w:color="auto"/>
      </w:divBdr>
    </w:div>
    <w:div w:id="1314143909">
      <w:bodyDiv w:val="1"/>
      <w:marLeft w:val="0"/>
      <w:marRight w:val="0"/>
      <w:marTop w:val="0"/>
      <w:marBottom w:val="0"/>
      <w:divBdr>
        <w:top w:val="none" w:sz="0" w:space="0" w:color="auto"/>
        <w:left w:val="none" w:sz="0" w:space="0" w:color="auto"/>
        <w:bottom w:val="none" w:sz="0" w:space="0" w:color="auto"/>
        <w:right w:val="none" w:sz="0" w:space="0" w:color="auto"/>
      </w:divBdr>
    </w:div>
    <w:div w:id="1314211428">
      <w:bodyDiv w:val="1"/>
      <w:marLeft w:val="0"/>
      <w:marRight w:val="0"/>
      <w:marTop w:val="0"/>
      <w:marBottom w:val="0"/>
      <w:divBdr>
        <w:top w:val="none" w:sz="0" w:space="0" w:color="auto"/>
        <w:left w:val="none" w:sz="0" w:space="0" w:color="auto"/>
        <w:bottom w:val="none" w:sz="0" w:space="0" w:color="auto"/>
        <w:right w:val="none" w:sz="0" w:space="0" w:color="auto"/>
      </w:divBdr>
    </w:div>
    <w:div w:id="1314261988">
      <w:bodyDiv w:val="1"/>
      <w:marLeft w:val="0"/>
      <w:marRight w:val="0"/>
      <w:marTop w:val="0"/>
      <w:marBottom w:val="0"/>
      <w:divBdr>
        <w:top w:val="none" w:sz="0" w:space="0" w:color="auto"/>
        <w:left w:val="none" w:sz="0" w:space="0" w:color="auto"/>
        <w:bottom w:val="none" w:sz="0" w:space="0" w:color="auto"/>
        <w:right w:val="none" w:sz="0" w:space="0" w:color="auto"/>
      </w:divBdr>
    </w:div>
    <w:div w:id="1314262599">
      <w:bodyDiv w:val="1"/>
      <w:marLeft w:val="0"/>
      <w:marRight w:val="0"/>
      <w:marTop w:val="0"/>
      <w:marBottom w:val="0"/>
      <w:divBdr>
        <w:top w:val="none" w:sz="0" w:space="0" w:color="auto"/>
        <w:left w:val="none" w:sz="0" w:space="0" w:color="auto"/>
        <w:bottom w:val="none" w:sz="0" w:space="0" w:color="auto"/>
        <w:right w:val="none" w:sz="0" w:space="0" w:color="auto"/>
      </w:divBdr>
    </w:div>
    <w:div w:id="1314290025">
      <w:bodyDiv w:val="1"/>
      <w:marLeft w:val="0"/>
      <w:marRight w:val="0"/>
      <w:marTop w:val="0"/>
      <w:marBottom w:val="0"/>
      <w:divBdr>
        <w:top w:val="none" w:sz="0" w:space="0" w:color="auto"/>
        <w:left w:val="none" w:sz="0" w:space="0" w:color="auto"/>
        <w:bottom w:val="none" w:sz="0" w:space="0" w:color="auto"/>
        <w:right w:val="none" w:sz="0" w:space="0" w:color="auto"/>
      </w:divBdr>
    </w:div>
    <w:div w:id="1314407520">
      <w:bodyDiv w:val="1"/>
      <w:marLeft w:val="0"/>
      <w:marRight w:val="0"/>
      <w:marTop w:val="0"/>
      <w:marBottom w:val="0"/>
      <w:divBdr>
        <w:top w:val="none" w:sz="0" w:space="0" w:color="auto"/>
        <w:left w:val="none" w:sz="0" w:space="0" w:color="auto"/>
        <w:bottom w:val="none" w:sz="0" w:space="0" w:color="auto"/>
        <w:right w:val="none" w:sz="0" w:space="0" w:color="auto"/>
      </w:divBdr>
    </w:div>
    <w:div w:id="1314485278">
      <w:bodyDiv w:val="1"/>
      <w:marLeft w:val="0"/>
      <w:marRight w:val="0"/>
      <w:marTop w:val="0"/>
      <w:marBottom w:val="0"/>
      <w:divBdr>
        <w:top w:val="none" w:sz="0" w:space="0" w:color="auto"/>
        <w:left w:val="none" w:sz="0" w:space="0" w:color="auto"/>
        <w:bottom w:val="none" w:sz="0" w:space="0" w:color="auto"/>
        <w:right w:val="none" w:sz="0" w:space="0" w:color="auto"/>
      </w:divBdr>
    </w:div>
    <w:div w:id="1314523820">
      <w:bodyDiv w:val="1"/>
      <w:marLeft w:val="0"/>
      <w:marRight w:val="0"/>
      <w:marTop w:val="0"/>
      <w:marBottom w:val="0"/>
      <w:divBdr>
        <w:top w:val="none" w:sz="0" w:space="0" w:color="auto"/>
        <w:left w:val="none" w:sz="0" w:space="0" w:color="auto"/>
        <w:bottom w:val="none" w:sz="0" w:space="0" w:color="auto"/>
        <w:right w:val="none" w:sz="0" w:space="0" w:color="auto"/>
      </w:divBdr>
    </w:div>
    <w:div w:id="1314719310">
      <w:bodyDiv w:val="1"/>
      <w:marLeft w:val="0"/>
      <w:marRight w:val="0"/>
      <w:marTop w:val="0"/>
      <w:marBottom w:val="0"/>
      <w:divBdr>
        <w:top w:val="none" w:sz="0" w:space="0" w:color="auto"/>
        <w:left w:val="none" w:sz="0" w:space="0" w:color="auto"/>
        <w:bottom w:val="none" w:sz="0" w:space="0" w:color="auto"/>
        <w:right w:val="none" w:sz="0" w:space="0" w:color="auto"/>
      </w:divBdr>
    </w:div>
    <w:div w:id="1314868113">
      <w:bodyDiv w:val="1"/>
      <w:marLeft w:val="0"/>
      <w:marRight w:val="0"/>
      <w:marTop w:val="0"/>
      <w:marBottom w:val="0"/>
      <w:divBdr>
        <w:top w:val="none" w:sz="0" w:space="0" w:color="auto"/>
        <w:left w:val="none" w:sz="0" w:space="0" w:color="auto"/>
        <w:bottom w:val="none" w:sz="0" w:space="0" w:color="auto"/>
        <w:right w:val="none" w:sz="0" w:space="0" w:color="auto"/>
      </w:divBdr>
    </w:div>
    <w:div w:id="1314992995">
      <w:bodyDiv w:val="1"/>
      <w:marLeft w:val="0"/>
      <w:marRight w:val="0"/>
      <w:marTop w:val="0"/>
      <w:marBottom w:val="0"/>
      <w:divBdr>
        <w:top w:val="none" w:sz="0" w:space="0" w:color="auto"/>
        <w:left w:val="none" w:sz="0" w:space="0" w:color="auto"/>
        <w:bottom w:val="none" w:sz="0" w:space="0" w:color="auto"/>
        <w:right w:val="none" w:sz="0" w:space="0" w:color="auto"/>
      </w:divBdr>
    </w:div>
    <w:div w:id="1315061630">
      <w:bodyDiv w:val="1"/>
      <w:marLeft w:val="0"/>
      <w:marRight w:val="0"/>
      <w:marTop w:val="0"/>
      <w:marBottom w:val="0"/>
      <w:divBdr>
        <w:top w:val="none" w:sz="0" w:space="0" w:color="auto"/>
        <w:left w:val="none" w:sz="0" w:space="0" w:color="auto"/>
        <w:bottom w:val="none" w:sz="0" w:space="0" w:color="auto"/>
        <w:right w:val="none" w:sz="0" w:space="0" w:color="auto"/>
      </w:divBdr>
    </w:div>
    <w:div w:id="1315068036">
      <w:bodyDiv w:val="1"/>
      <w:marLeft w:val="0"/>
      <w:marRight w:val="0"/>
      <w:marTop w:val="0"/>
      <w:marBottom w:val="0"/>
      <w:divBdr>
        <w:top w:val="none" w:sz="0" w:space="0" w:color="auto"/>
        <w:left w:val="none" w:sz="0" w:space="0" w:color="auto"/>
        <w:bottom w:val="none" w:sz="0" w:space="0" w:color="auto"/>
        <w:right w:val="none" w:sz="0" w:space="0" w:color="auto"/>
      </w:divBdr>
    </w:div>
    <w:div w:id="1315183053">
      <w:bodyDiv w:val="1"/>
      <w:marLeft w:val="0"/>
      <w:marRight w:val="0"/>
      <w:marTop w:val="0"/>
      <w:marBottom w:val="0"/>
      <w:divBdr>
        <w:top w:val="none" w:sz="0" w:space="0" w:color="auto"/>
        <w:left w:val="none" w:sz="0" w:space="0" w:color="auto"/>
        <w:bottom w:val="none" w:sz="0" w:space="0" w:color="auto"/>
        <w:right w:val="none" w:sz="0" w:space="0" w:color="auto"/>
      </w:divBdr>
    </w:div>
    <w:div w:id="1315185395">
      <w:bodyDiv w:val="1"/>
      <w:marLeft w:val="0"/>
      <w:marRight w:val="0"/>
      <w:marTop w:val="0"/>
      <w:marBottom w:val="0"/>
      <w:divBdr>
        <w:top w:val="none" w:sz="0" w:space="0" w:color="auto"/>
        <w:left w:val="none" w:sz="0" w:space="0" w:color="auto"/>
        <w:bottom w:val="none" w:sz="0" w:space="0" w:color="auto"/>
        <w:right w:val="none" w:sz="0" w:space="0" w:color="auto"/>
      </w:divBdr>
    </w:div>
    <w:div w:id="1315262453">
      <w:bodyDiv w:val="1"/>
      <w:marLeft w:val="0"/>
      <w:marRight w:val="0"/>
      <w:marTop w:val="0"/>
      <w:marBottom w:val="0"/>
      <w:divBdr>
        <w:top w:val="none" w:sz="0" w:space="0" w:color="auto"/>
        <w:left w:val="none" w:sz="0" w:space="0" w:color="auto"/>
        <w:bottom w:val="none" w:sz="0" w:space="0" w:color="auto"/>
        <w:right w:val="none" w:sz="0" w:space="0" w:color="auto"/>
      </w:divBdr>
    </w:div>
    <w:div w:id="1315449878">
      <w:bodyDiv w:val="1"/>
      <w:marLeft w:val="0"/>
      <w:marRight w:val="0"/>
      <w:marTop w:val="0"/>
      <w:marBottom w:val="0"/>
      <w:divBdr>
        <w:top w:val="none" w:sz="0" w:space="0" w:color="auto"/>
        <w:left w:val="none" w:sz="0" w:space="0" w:color="auto"/>
        <w:bottom w:val="none" w:sz="0" w:space="0" w:color="auto"/>
        <w:right w:val="none" w:sz="0" w:space="0" w:color="auto"/>
      </w:divBdr>
    </w:div>
    <w:div w:id="1315528447">
      <w:bodyDiv w:val="1"/>
      <w:marLeft w:val="0"/>
      <w:marRight w:val="0"/>
      <w:marTop w:val="0"/>
      <w:marBottom w:val="0"/>
      <w:divBdr>
        <w:top w:val="none" w:sz="0" w:space="0" w:color="auto"/>
        <w:left w:val="none" w:sz="0" w:space="0" w:color="auto"/>
        <w:bottom w:val="none" w:sz="0" w:space="0" w:color="auto"/>
        <w:right w:val="none" w:sz="0" w:space="0" w:color="auto"/>
      </w:divBdr>
    </w:div>
    <w:div w:id="1315529472">
      <w:bodyDiv w:val="1"/>
      <w:marLeft w:val="0"/>
      <w:marRight w:val="0"/>
      <w:marTop w:val="0"/>
      <w:marBottom w:val="0"/>
      <w:divBdr>
        <w:top w:val="none" w:sz="0" w:space="0" w:color="auto"/>
        <w:left w:val="none" w:sz="0" w:space="0" w:color="auto"/>
        <w:bottom w:val="none" w:sz="0" w:space="0" w:color="auto"/>
        <w:right w:val="none" w:sz="0" w:space="0" w:color="auto"/>
      </w:divBdr>
    </w:div>
    <w:div w:id="1315573649">
      <w:bodyDiv w:val="1"/>
      <w:marLeft w:val="0"/>
      <w:marRight w:val="0"/>
      <w:marTop w:val="0"/>
      <w:marBottom w:val="0"/>
      <w:divBdr>
        <w:top w:val="none" w:sz="0" w:space="0" w:color="auto"/>
        <w:left w:val="none" w:sz="0" w:space="0" w:color="auto"/>
        <w:bottom w:val="none" w:sz="0" w:space="0" w:color="auto"/>
        <w:right w:val="none" w:sz="0" w:space="0" w:color="auto"/>
      </w:divBdr>
    </w:div>
    <w:div w:id="1315647950">
      <w:bodyDiv w:val="1"/>
      <w:marLeft w:val="0"/>
      <w:marRight w:val="0"/>
      <w:marTop w:val="0"/>
      <w:marBottom w:val="0"/>
      <w:divBdr>
        <w:top w:val="none" w:sz="0" w:space="0" w:color="auto"/>
        <w:left w:val="none" w:sz="0" w:space="0" w:color="auto"/>
        <w:bottom w:val="none" w:sz="0" w:space="0" w:color="auto"/>
        <w:right w:val="none" w:sz="0" w:space="0" w:color="auto"/>
      </w:divBdr>
    </w:div>
    <w:div w:id="1315834230">
      <w:bodyDiv w:val="1"/>
      <w:marLeft w:val="0"/>
      <w:marRight w:val="0"/>
      <w:marTop w:val="0"/>
      <w:marBottom w:val="0"/>
      <w:divBdr>
        <w:top w:val="none" w:sz="0" w:space="0" w:color="auto"/>
        <w:left w:val="none" w:sz="0" w:space="0" w:color="auto"/>
        <w:bottom w:val="none" w:sz="0" w:space="0" w:color="auto"/>
        <w:right w:val="none" w:sz="0" w:space="0" w:color="auto"/>
      </w:divBdr>
    </w:div>
    <w:div w:id="1315992674">
      <w:bodyDiv w:val="1"/>
      <w:marLeft w:val="0"/>
      <w:marRight w:val="0"/>
      <w:marTop w:val="0"/>
      <w:marBottom w:val="0"/>
      <w:divBdr>
        <w:top w:val="none" w:sz="0" w:space="0" w:color="auto"/>
        <w:left w:val="none" w:sz="0" w:space="0" w:color="auto"/>
        <w:bottom w:val="none" w:sz="0" w:space="0" w:color="auto"/>
        <w:right w:val="none" w:sz="0" w:space="0" w:color="auto"/>
      </w:divBdr>
    </w:div>
    <w:div w:id="1316035911">
      <w:bodyDiv w:val="1"/>
      <w:marLeft w:val="0"/>
      <w:marRight w:val="0"/>
      <w:marTop w:val="0"/>
      <w:marBottom w:val="0"/>
      <w:divBdr>
        <w:top w:val="none" w:sz="0" w:space="0" w:color="auto"/>
        <w:left w:val="none" w:sz="0" w:space="0" w:color="auto"/>
        <w:bottom w:val="none" w:sz="0" w:space="0" w:color="auto"/>
        <w:right w:val="none" w:sz="0" w:space="0" w:color="auto"/>
      </w:divBdr>
    </w:div>
    <w:div w:id="1316060093">
      <w:bodyDiv w:val="1"/>
      <w:marLeft w:val="0"/>
      <w:marRight w:val="0"/>
      <w:marTop w:val="0"/>
      <w:marBottom w:val="0"/>
      <w:divBdr>
        <w:top w:val="none" w:sz="0" w:space="0" w:color="auto"/>
        <w:left w:val="none" w:sz="0" w:space="0" w:color="auto"/>
        <w:bottom w:val="none" w:sz="0" w:space="0" w:color="auto"/>
        <w:right w:val="none" w:sz="0" w:space="0" w:color="auto"/>
      </w:divBdr>
    </w:div>
    <w:div w:id="1316106067">
      <w:bodyDiv w:val="1"/>
      <w:marLeft w:val="0"/>
      <w:marRight w:val="0"/>
      <w:marTop w:val="0"/>
      <w:marBottom w:val="0"/>
      <w:divBdr>
        <w:top w:val="none" w:sz="0" w:space="0" w:color="auto"/>
        <w:left w:val="none" w:sz="0" w:space="0" w:color="auto"/>
        <w:bottom w:val="none" w:sz="0" w:space="0" w:color="auto"/>
        <w:right w:val="none" w:sz="0" w:space="0" w:color="auto"/>
      </w:divBdr>
    </w:div>
    <w:div w:id="1316181521">
      <w:bodyDiv w:val="1"/>
      <w:marLeft w:val="0"/>
      <w:marRight w:val="0"/>
      <w:marTop w:val="0"/>
      <w:marBottom w:val="0"/>
      <w:divBdr>
        <w:top w:val="none" w:sz="0" w:space="0" w:color="auto"/>
        <w:left w:val="none" w:sz="0" w:space="0" w:color="auto"/>
        <w:bottom w:val="none" w:sz="0" w:space="0" w:color="auto"/>
        <w:right w:val="none" w:sz="0" w:space="0" w:color="auto"/>
      </w:divBdr>
    </w:div>
    <w:div w:id="1316255227">
      <w:bodyDiv w:val="1"/>
      <w:marLeft w:val="0"/>
      <w:marRight w:val="0"/>
      <w:marTop w:val="0"/>
      <w:marBottom w:val="0"/>
      <w:divBdr>
        <w:top w:val="none" w:sz="0" w:space="0" w:color="auto"/>
        <w:left w:val="none" w:sz="0" w:space="0" w:color="auto"/>
        <w:bottom w:val="none" w:sz="0" w:space="0" w:color="auto"/>
        <w:right w:val="none" w:sz="0" w:space="0" w:color="auto"/>
      </w:divBdr>
    </w:div>
    <w:div w:id="1316445988">
      <w:bodyDiv w:val="1"/>
      <w:marLeft w:val="0"/>
      <w:marRight w:val="0"/>
      <w:marTop w:val="0"/>
      <w:marBottom w:val="0"/>
      <w:divBdr>
        <w:top w:val="none" w:sz="0" w:space="0" w:color="auto"/>
        <w:left w:val="none" w:sz="0" w:space="0" w:color="auto"/>
        <w:bottom w:val="none" w:sz="0" w:space="0" w:color="auto"/>
        <w:right w:val="none" w:sz="0" w:space="0" w:color="auto"/>
      </w:divBdr>
    </w:div>
    <w:div w:id="1316567979">
      <w:bodyDiv w:val="1"/>
      <w:marLeft w:val="0"/>
      <w:marRight w:val="0"/>
      <w:marTop w:val="0"/>
      <w:marBottom w:val="0"/>
      <w:divBdr>
        <w:top w:val="none" w:sz="0" w:space="0" w:color="auto"/>
        <w:left w:val="none" w:sz="0" w:space="0" w:color="auto"/>
        <w:bottom w:val="none" w:sz="0" w:space="0" w:color="auto"/>
        <w:right w:val="none" w:sz="0" w:space="0" w:color="auto"/>
      </w:divBdr>
    </w:div>
    <w:div w:id="1316645474">
      <w:bodyDiv w:val="1"/>
      <w:marLeft w:val="0"/>
      <w:marRight w:val="0"/>
      <w:marTop w:val="0"/>
      <w:marBottom w:val="0"/>
      <w:divBdr>
        <w:top w:val="none" w:sz="0" w:space="0" w:color="auto"/>
        <w:left w:val="none" w:sz="0" w:space="0" w:color="auto"/>
        <w:bottom w:val="none" w:sz="0" w:space="0" w:color="auto"/>
        <w:right w:val="none" w:sz="0" w:space="0" w:color="auto"/>
      </w:divBdr>
    </w:div>
    <w:div w:id="1316685251">
      <w:bodyDiv w:val="1"/>
      <w:marLeft w:val="0"/>
      <w:marRight w:val="0"/>
      <w:marTop w:val="0"/>
      <w:marBottom w:val="0"/>
      <w:divBdr>
        <w:top w:val="none" w:sz="0" w:space="0" w:color="auto"/>
        <w:left w:val="none" w:sz="0" w:space="0" w:color="auto"/>
        <w:bottom w:val="none" w:sz="0" w:space="0" w:color="auto"/>
        <w:right w:val="none" w:sz="0" w:space="0" w:color="auto"/>
      </w:divBdr>
    </w:div>
    <w:div w:id="1316686088">
      <w:bodyDiv w:val="1"/>
      <w:marLeft w:val="0"/>
      <w:marRight w:val="0"/>
      <w:marTop w:val="0"/>
      <w:marBottom w:val="0"/>
      <w:divBdr>
        <w:top w:val="none" w:sz="0" w:space="0" w:color="auto"/>
        <w:left w:val="none" w:sz="0" w:space="0" w:color="auto"/>
        <w:bottom w:val="none" w:sz="0" w:space="0" w:color="auto"/>
        <w:right w:val="none" w:sz="0" w:space="0" w:color="auto"/>
      </w:divBdr>
    </w:div>
    <w:div w:id="1316764592">
      <w:bodyDiv w:val="1"/>
      <w:marLeft w:val="0"/>
      <w:marRight w:val="0"/>
      <w:marTop w:val="0"/>
      <w:marBottom w:val="0"/>
      <w:divBdr>
        <w:top w:val="none" w:sz="0" w:space="0" w:color="auto"/>
        <w:left w:val="none" w:sz="0" w:space="0" w:color="auto"/>
        <w:bottom w:val="none" w:sz="0" w:space="0" w:color="auto"/>
        <w:right w:val="none" w:sz="0" w:space="0" w:color="auto"/>
      </w:divBdr>
    </w:div>
    <w:div w:id="1316766564">
      <w:bodyDiv w:val="1"/>
      <w:marLeft w:val="0"/>
      <w:marRight w:val="0"/>
      <w:marTop w:val="0"/>
      <w:marBottom w:val="0"/>
      <w:divBdr>
        <w:top w:val="none" w:sz="0" w:space="0" w:color="auto"/>
        <w:left w:val="none" w:sz="0" w:space="0" w:color="auto"/>
        <w:bottom w:val="none" w:sz="0" w:space="0" w:color="auto"/>
        <w:right w:val="none" w:sz="0" w:space="0" w:color="auto"/>
      </w:divBdr>
    </w:div>
    <w:div w:id="1316840917">
      <w:bodyDiv w:val="1"/>
      <w:marLeft w:val="0"/>
      <w:marRight w:val="0"/>
      <w:marTop w:val="0"/>
      <w:marBottom w:val="0"/>
      <w:divBdr>
        <w:top w:val="none" w:sz="0" w:space="0" w:color="auto"/>
        <w:left w:val="none" w:sz="0" w:space="0" w:color="auto"/>
        <w:bottom w:val="none" w:sz="0" w:space="0" w:color="auto"/>
        <w:right w:val="none" w:sz="0" w:space="0" w:color="auto"/>
      </w:divBdr>
    </w:div>
    <w:div w:id="1316957540">
      <w:bodyDiv w:val="1"/>
      <w:marLeft w:val="0"/>
      <w:marRight w:val="0"/>
      <w:marTop w:val="0"/>
      <w:marBottom w:val="0"/>
      <w:divBdr>
        <w:top w:val="none" w:sz="0" w:space="0" w:color="auto"/>
        <w:left w:val="none" w:sz="0" w:space="0" w:color="auto"/>
        <w:bottom w:val="none" w:sz="0" w:space="0" w:color="auto"/>
        <w:right w:val="none" w:sz="0" w:space="0" w:color="auto"/>
      </w:divBdr>
    </w:div>
    <w:div w:id="1317034572">
      <w:bodyDiv w:val="1"/>
      <w:marLeft w:val="0"/>
      <w:marRight w:val="0"/>
      <w:marTop w:val="0"/>
      <w:marBottom w:val="0"/>
      <w:divBdr>
        <w:top w:val="none" w:sz="0" w:space="0" w:color="auto"/>
        <w:left w:val="none" w:sz="0" w:space="0" w:color="auto"/>
        <w:bottom w:val="none" w:sz="0" w:space="0" w:color="auto"/>
        <w:right w:val="none" w:sz="0" w:space="0" w:color="auto"/>
      </w:divBdr>
    </w:div>
    <w:div w:id="1317147857">
      <w:bodyDiv w:val="1"/>
      <w:marLeft w:val="0"/>
      <w:marRight w:val="0"/>
      <w:marTop w:val="0"/>
      <w:marBottom w:val="0"/>
      <w:divBdr>
        <w:top w:val="none" w:sz="0" w:space="0" w:color="auto"/>
        <w:left w:val="none" w:sz="0" w:space="0" w:color="auto"/>
        <w:bottom w:val="none" w:sz="0" w:space="0" w:color="auto"/>
        <w:right w:val="none" w:sz="0" w:space="0" w:color="auto"/>
      </w:divBdr>
    </w:div>
    <w:div w:id="1317420137">
      <w:bodyDiv w:val="1"/>
      <w:marLeft w:val="0"/>
      <w:marRight w:val="0"/>
      <w:marTop w:val="0"/>
      <w:marBottom w:val="0"/>
      <w:divBdr>
        <w:top w:val="none" w:sz="0" w:space="0" w:color="auto"/>
        <w:left w:val="none" w:sz="0" w:space="0" w:color="auto"/>
        <w:bottom w:val="none" w:sz="0" w:space="0" w:color="auto"/>
        <w:right w:val="none" w:sz="0" w:space="0" w:color="auto"/>
      </w:divBdr>
    </w:div>
    <w:div w:id="1317492177">
      <w:bodyDiv w:val="1"/>
      <w:marLeft w:val="0"/>
      <w:marRight w:val="0"/>
      <w:marTop w:val="0"/>
      <w:marBottom w:val="0"/>
      <w:divBdr>
        <w:top w:val="none" w:sz="0" w:space="0" w:color="auto"/>
        <w:left w:val="none" w:sz="0" w:space="0" w:color="auto"/>
        <w:bottom w:val="none" w:sz="0" w:space="0" w:color="auto"/>
        <w:right w:val="none" w:sz="0" w:space="0" w:color="auto"/>
      </w:divBdr>
    </w:div>
    <w:div w:id="1317683389">
      <w:bodyDiv w:val="1"/>
      <w:marLeft w:val="0"/>
      <w:marRight w:val="0"/>
      <w:marTop w:val="0"/>
      <w:marBottom w:val="0"/>
      <w:divBdr>
        <w:top w:val="none" w:sz="0" w:space="0" w:color="auto"/>
        <w:left w:val="none" w:sz="0" w:space="0" w:color="auto"/>
        <w:bottom w:val="none" w:sz="0" w:space="0" w:color="auto"/>
        <w:right w:val="none" w:sz="0" w:space="0" w:color="auto"/>
      </w:divBdr>
    </w:div>
    <w:div w:id="1317683535">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17875237">
      <w:bodyDiv w:val="1"/>
      <w:marLeft w:val="0"/>
      <w:marRight w:val="0"/>
      <w:marTop w:val="0"/>
      <w:marBottom w:val="0"/>
      <w:divBdr>
        <w:top w:val="none" w:sz="0" w:space="0" w:color="auto"/>
        <w:left w:val="none" w:sz="0" w:space="0" w:color="auto"/>
        <w:bottom w:val="none" w:sz="0" w:space="0" w:color="auto"/>
        <w:right w:val="none" w:sz="0" w:space="0" w:color="auto"/>
      </w:divBdr>
    </w:div>
    <w:div w:id="1317951270">
      <w:bodyDiv w:val="1"/>
      <w:marLeft w:val="0"/>
      <w:marRight w:val="0"/>
      <w:marTop w:val="0"/>
      <w:marBottom w:val="0"/>
      <w:divBdr>
        <w:top w:val="none" w:sz="0" w:space="0" w:color="auto"/>
        <w:left w:val="none" w:sz="0" w:space="0" w:color="auto"/>
        <w:bottom w:val="none" w:sz="0" w:space="0" w:color="auto"/>
        <w:right w:val="none" w:sz="0" w:space="0" w:color="auto"/>
      </w:divBdr>
    </w:div>
    <w:div w:id="1318076889">
      <w:bodyDiv w:val="1"/>
      <w:marLeft w:val="0"/>
      <w:marRight w:val="0"/>
      <w:marTop w:val="0"/>
      <w:marBottom w:val="0"/>
      <w:divBdr>
        <w:top w:val="none" w:sz="0" w:space="0" w:color="auto"/>
        <w:left w:val="none" w:sz="0" w:space="0" w:color="auto"/>
        <w:bottom w:val="none" w:sz="0" w:space="0" w:color="auto"/>
        <w:right w:val="none" w:sz="0" w:space="0" w:color="auto"/>
      </w:divBdr>
    </w:div>
    <w:div w:id="1318146529">
      <w:bodyDiv w:val="1"/>
      <w:marLeft w:val="0"/>
      <w:marRight w:val="0"/>
      <w:marTop w:val="0"/>
      <w:marBottom w:val="0"/>
      <w:divBdr>
        <w:top w:val="none" w:sz="0" w:space="0" w:color="auto"/>
        <w:left w:val="none" w:sz="0" w:space="0" w:color="auto"/>
        <w:bottom w:val="none" w:sz="0" w:space="0" w:color="auto"/>
        <w:right w:val="none" w:sz="0" w:space="0" w:color="auto"/>
      </w:divBdr>
    </w:div>
    <w:div w:id="1318191525">
      <w:bodyDiv w:val="1"/>
      <w:marLeft w:val="0"/>
      <w:marRight w:val="0"/>
      <w:marTop w:val="0"/>
      <w:marBottom w:val="0"/>
      <w:divBdr>
        <w:top w:val="none" w:sz="0" w:space="0" w:color="auto"/>
        <w:left w:val="none" w:sz="0" w:space="0" w:color="auto"/>
        <w:bottom w:val="none" w:sz="0" w:space="0" w:color="auto"/>
        <w:right w:val="none" w:sz="0" w:space="0" w:color="auto"/>
      </w:divBdr>
    </w:div>
    <w:div w:id="1318193490">
      <w:bodyDiv w:val="1"/>
      <w:marLeft w:val="0"/>
      <w:marRight w:val="0"/>
      <w:marTop w:val="0"/>
      <w:marBottom w:val="0"/>
      <w:divBdr>
        <w:top w:val="none" w:sz="0" w:space="0" w:color="auto"/>
        <w:left w:val="none" w:sz="0" w:space="0" w:color="auto"/>
        <w:bottom w:val="none" w:sz="0" w:space="0" w:color="auto"/>
        <w:right w:val="none" w:sz="0" w:space="0" w:color="auto"/>
      </w:divBdr>
    </w:div>
    <w:div w:id="1318194095">
      <w:bodyDiv w:val="1"/>
      <w:marLeft w:val="0"/>
      <w:marRight w:val="0"/>
      <w:marTop w:val="0"/>
      <w:marBottom w:val="0"/>
      <w:divBdr>
        <w:top w:val="none" w:sz="0" w:space="0" w:color="auto"/>
        <w:left w:val="none" w:sz="0" w:space="0" w:color="auto"/>
        <w:bottom w:val="none" w:sz="0" w:space="0" w:color="auto"/>
        <w:right w:val="none" w:sz="0" w:space="0" w:color="auto"/>
      </w:divBdr>
    </w:div>
    <w:div w:id="1318266699">
      <w:bodyDiv w:val="1"/>
      <w:marLeft w:val="0"/>
      <w:marRight w:val="0"/>
      <w:marTop w:val="0"/>
      <w:marBottom w:val="0"/>
      <w:divBdr>
        <w:top w:val="none" w:sz="0" w:space="0" w:color="auto"/>
        <w:left w:val="none" w:sz="0" w:space="0" w:color="auto"/>
        <w:bottom w:val="none" w:sz="0" w:space="0" w:color="auto"/>
        <w:right w:val="none" w:sz="0" w:space="0" w:color="auto"/>
      </w:divBdr>
    </w:div>
    <w:div w:id="1318338731">
      <w:bodyDiv w:val="1"/>
      <w:marLeft w:val="0"/>
      <w:marRight w:val="0"/>
      <w:marTop w:val="0"/>
      <w:marBottom w:val="0"/>
      <w:divBdr>
        <w:top w:val="none" w:sz="0" w:space="0" w:color="auto"/>
        <w:left w:val="none" w:sz="0" w:space="0" w:color="auto"/>
        <w:bottom w:val="none" w:sz="0" w:space="0" w:color="auto"/>
        <w:right w:val="none" w:sz="0" w:space="0" w:color="auto"/>
      </w:divBdr>
    </w:div>
    <w:div w:id="1318411630">
      <w:bodyDiv w:val="1"/>
      <w:marLeft w:val="0"/>
      <w:marRight w:val="0"/>
      <w:marTop w:val="0"/>
      <w:marBottom w:val="0"/>
      <w:divBdr>
        <w:top w:val="none" w:sz="0" w:space="0" w:color="auto"/>
        <w:left w:val="none" w:sz="0" w:space="0" w:color="auto"/>
        <w:bottom w:val="none" w:sz="0" w:space="0" w:color="auto"/>
        <w:right w:val="none" w:sz="0" w:space="0" w:color="auto"/>
      </w:divBdr>
    </w:div>
    <w:div w:id="1318415689">
      <w:bodyDiv w:val="1"/>
      <w:marLeft w:val="0"/>
      <w:marRight w:val="0"/>
      <w:marTop w:val="0"/>
      <w:marBottom w:val="0"/>
      <w:divBdr>
        <w:top w:val="none" w:sz="0" w:space="0" w:color="auto"/>
        <w:left w:val="none" w:sz="0" w:space="0" w:color="auto"/>
        <w:bottom w:val="none" w:sz="0" w:space="0" w:color="auto"/>
        <w:right w:val="none" w:sz="0" w:space="0" w:color="auto"/>
      </w:divBdr>
    </w:div>
    <w:div w:id="1318462484">
      <w:bodyDiv w:val="1"/>
      <w:marLeft w:val="0"/>
      <w:marRight w:val="0"/>
      <w:marTop w:val="0"/>
      <w:marBottom w:val="0"/>
      <w:divBdr>
        <w:top w:val="none" w:sz="0" w:space="0" w:color="auto"/>
        <w:left w:val="none" w:sz="0" w:space="0" w:color="auto"/>
        <w:bottom w:val="none" w:sz="0" w:space="0" w:color="auto"/>
        <w:right w:val="none" w:sz="0" w:space="0" w:color="auto"/>
      </w:divBdr>
    </w:div>
    <w:div w:id="1318533487">
      <w:bodyDiv w:val="1"/>
      <w:marLeft w:val="0"/>
      <w:marRight w:val="0"/>
      <w:marTop w:val="0"/>
      <w:marBottom w:val="0"/>
      <w:divBdr>
        <w:top w:val="none" w:sz="0" w:space="0" w:color="auto"/>
        <w:left w:val="none" w:sz="0" w:space="0" w:color="auto"/>
        <w:bottom w:val="none" w:sz="0" w:space="0" w:color="auto"/>
        <w:right w:val="none" w:sz="0" w:space="0" w:color="auto"/>
      </w:divBdr>
    </w:div>
    <w:div w:id="1318534196">
      <w:bodyDiv w:val="1"/>
      <w:marLeft w:val="0"/>
      <w:marRight w:val="0"/>
      <w:marTop w:val="0"/>
      <w:marBottom w:val="0"/>
      <w:divBdr>
        <w:top w:val="none" w:sz="0" w:space="0" w:color="auto"/>
        <w:left w:val="none" w:sz="0" w:space="0" w:color="auto"/>
        <w:bottom w:val="none" w:sz="0" w:space="0" w:color="auto"/>
        <w:right w:val="none" w:sz="0" w:space="0" w:color="auto"/>
      </w:divBdr>
    </w:div>
    <w:div w:id="1318538006">
      <w:bodyDiv w:val="1"/>
      <w:marLeft w:val="0"/>
      <w:marRight w:val="0"/>
      <w:marTop w:val="0"/>
      <w:marBottom w:val="0"/>
      <w:divBdr>
        <w:top w:val="none" w:sz="0" w:space="0" w:color="auto"/>
        <w:left w:val="none" w:sz="0" w:space="0" w:color="auto"/>
        <w:bottom w:val="none" w:sz="0" w:space="0" w:color="auto"/>
        <w:right w:val="none" w:sz="0" w:space="0" w:color="auto"/>
      </w:divBdr>
    </w:div>
    <w:div w:id="1318650989">
      <w:bodyDiv w:val="1"/>
      <w:marLeft w:val="0"/>
      <w:marRight w:val="0"/>
      <w:marTop w:val="0"/>
      <w:marBottom w:val="0"/>
      <w:divBdr>
        <w:top w:val="none" w:sz="0" w:space="0" w:color="auto"/>
        <w:left w:val="none" w:sz="0" w:space="0" w:color="auto"/>
        <w:bottom w:val="none" w:sz="0" w:space="0" w:color="auto"/>
        <w:right w:val="none" w:sz="0" w:space="0" w:color="auto"/>
      </w:divBdr>
    </w:div>
    <w:div w:id="1318725591">
      <w:bodyDiv w:val="1"/>
      <w:marLeft w:val="0"/>
      <w:marRight w:val="0"/>
      <w:marTop w:val="0"/>
      <w:marBottom w:val="0"/>
      <w:divBdr>
        <w:top w:val="none" w:sz="0" w:space="0" w:color="auto"/>
        <w:left w:val="none" w:sz="0" w:space="0" w:color="auto"/>
        <w:bottom w:val="none" w:sz="0" w:space="0" w:color="auto"/>
        <w:right w:val="none" w:sz="0" w:space="0" w:color="auto"/>
      </w:divBdr>
    </w:div>
    <w:div w:id="1318729672">
      <w:bodyDiv w:val="1"/>
      <w:marLeft w:val="0"/>
      <w:marRight w:val="0"/>
      <w:marTop w:val="0"/>
      <w:marBottom w:val="0"/>
      <w:divBdr>
        <w:top w:val="none" w:sz="0" w:space="0" w:color="auto"/>
        <w:left w:val="none" w:sz="0" w:space="0" w:color="auto"/>
        <w:bottom w:val="none" w:sz="0" w:space="0" w:color="auto"/>
        <w:right w:val="none" w:sz="0" w:space="0" w:color="auto"/>
      </w:divBdr>
    </w:div>
    <w:div w:id="1319187311">
      <w:bodyDiv w:val="1"/>
      <w:marLeft w:val="0"/>
      <w:marRight w:val="0"/>
      <w:marTop w:val="0"/>
      <w:marBottom w:val="0"/>
      <w:divBdr>
        <w:top w:val="none" w:sz="0" w:space="0" w:color="auto"/>
        <w:left w:val="none" w:sz="0" w:space="0" w:color="auto"/>
        <w:bottom w:val="none" w:sz="0" w:space="0" w:color="auto"/>
        <w:right w:val="none" w:sz="0" w:space="0" w:color="auto"/>
      </w:divBdr>
    </w:div>
    <w:div w:id="1319261662">
      <w:bodyDiv w:val="1"/>
      <w:marLeft w:val="0"/>
      <w:marRight w:val="0"/>
      <w:marTop w:val="0"/>
      <w:marBottom w:val="0"/>
      <w:divBdr>
        <w:top w:val="none" w:sz="0" w:space="0" w:color="auto"/>
        <w:left w:val="none" w:sz="0" w:space="0" w:color="auto"/>
        <w:bottom w:val="none" w:sz="0" w:space="0" w:color="auto"/>
        <w:right w:val="none" w:sz="0" w:space="0" w:color="auto"/>
      </w:divBdr>
    </w:div>
    <w:div w:id="1319267246">
      <w:bodyDiv w:val="1"/>
      <w:marLeft w:val="0"/>
      <w:marRight w:val="0"/>
      <w:marTop w:val="0"/>
      <w:marBottom w:val="0"/>
      <w:divBdr>
        <w:top w:val="none" w:sz="0" w:space="0" w:color="auto"/>
        <w:left w:val="none" w:sz="0" w:space="0" w:color="auto"/>
        <w:bottom w:val="none" w:sz="0" w:space="0" w:color="auto"/>
        <w:right w:val="none" w:sz="0" w:space="0" w:color="auto"/>
      </w:divBdr>
    </w:div>
    <w:div w:id="1319337284">
      <w:bodyDiv w:val="1"/>
      <w:marLeft w:val="0"/>
      <w:marRight w:val="0"/>
      <w:marTop w:val="0"/>
      <w:marBottom w:val="0"/>
      <w:divBdr>
        <w:top w:val="none" w:sz="0" w:space="0" w:color="auto"/>
        <w:left w:val="none" w:sz="0" w:space="0" w:color="auto"/>
        <w:bottom w:val="none" w:sz="0" w:space="0" w:color="auto"/>
        <w:right w:val="none" w:sz="0" w:space="0" w:color="auto"/>
      </w:divBdr>
    </w:div>
    <w:div w:id="1319337723">
      <w:bodyDiv w:val="1"/>
      <w:marLeft w:val="0"/>
      <w:marRight w:val="0"/>
      <w:marTop w:val="0"/>
      <w:marBottom w:val="0"/>
      <w:divBdr>
        <w:top w:val="none" w:sz="0" w:space="0" w:color="auto"/>
        <w:left w:val="none" w:sz="0" w:space="0" w:color="auto"/>
        <w:bottom w:val="none" w:sz="0" w:space="0" w:color="auto"/>
        <w:right w:val="none" w:sz="0" w:space="0" w:color="auto"/>
      </w:divBdr>
    </w:div>
    <w:div w:id="1319379798">
      <w:bodyDiv w:val="1"/>
      <w:marLeft w:val="0"/>
      <w:marRight w:val="0"/>
      <w:marTop w:val="0"/>
      <w:marBottom w:val="0"/>
      <w:divBdr>
        <w:top w:val="none" w:sz="0" w:space="0" w:color="auto"/>
        <w:left w:val="none" w:sz="0" w:space="0" w:color="auto"/>
        <w:bottom w:val="none" w:sz="0" w:space="0" w:color="auto"/>
        <w:right w:val="none" w:sz="0" w:space="0" w:color="auto"/>
      </w:divBdr>
    </w:div>
    <w:div w:id="1319575538">
      <w:bodyDiv w:val="1"/>
      <w:marLeft w:val="0"/>
      <w:marRight w:val="0"/>
      <w:marTop w:val="0"/>
      <w:marBottom w:val="0"/>
      <w:divBdr>
        <w:top w:val="none" w:sz="0" w:space="0" w:color="auto"/>
        <w:left w:val="none" w:sz="0" w:space="0" w:color="auto"/>
        <w:bottom w:val="none" w:sz="0" w:space="0" w:color="auto"/>
        <w:right w:val="none" w:sz="0" w:space="0" w:color="auto"/>
      </w:divBdr>
    </w:div>
    <w:div w:id="1319576351">
      <w:bodyDiv w:val="1"/>
      <w:marLeft w:val="0"/>
      <w:marRight w:val="0"/>
      <w:marTop w:val="0"/>
      <w:marBottom w:val="0"/>
      <w:divBdr>
        <w:top w:val="none" w:sz="0" w:space="0" w:color="auto"/>
        <w:left w:val="none" w:sz="0" w:space="0" w:color="auto"/>
        <w:bottom w:val="none" w:sz="0" w:space="0" w:color="auto"/>
        <w:right w:val="none" w:sz="0" w:space="0" w:color="auto"/>
      </w:divBdr>
    </w:div>
    <w:div w:id="1319647976">
      <w:bodyDiv w:val="1"/>
      <w:marLeft w:val="0"/>
      <w:marRight w:val="0"/>
      <w:marTop w:val="0"/>
      <w:marBottom w:val="0"/>
      <w:divBdr>
        <w:top w:val="none" w:sz="0" w:space="0" w:color="auto"/>
        <w:left w:val="none" w:sz="0" w:space="0" w:color="auto"/>
        <w:bottom w:val="none" w:sz="0" w:space="0" w:color="auto"/>
        <w:right w:val="none" w:sz="0" w:space="0" w:color="auto"/>
      </w:divBdr>
    </w:div>
    <w:div w:id="1319844868">
      <w:bodyDiv w:val="1"/>
      <w:marLeft w:val="0"/>
      <w:marRight w:val="0"/>
      <w:marTop w:val="0"/>
      <w:marBottom w:val="0"/>
      <w:divBdr>
        <w:top w:val="none" w:sz="0" w:space="0" w:color="auto"/>
        <w:left w:val="none" w:sz="0" w:space="0" w:color="auto"/>
        <w:bottom w:val="none" w:sz="0" w:space="0" w:color="auto"/>
        <w:right w:val="none" w:sz="0" w:space="0" w:color="auto"/>
      </w:divBdr>
    </w:div>
    <w:div w:id="1319916866">
      <w:bodyDiv w:val="1"/>
      <w:marLeft w:val="0"/>
      <w:marRight w:val="0"/>
      <w:marTop w:val="0"/>
      <w:marBottom w:val="0"/>
      <w:divBdr>
        <w:top w:val="none" w:sz="0" w:space="0" w:color="auto"/>
        <w:left w:val="none" w:sz="0" w:space="0" w:color="auto"/>
        <w:bottom w:val="none" w:sz="0" w:space="0" w:color="auto"/>
        <w:right w:val="none" w:sz="0" w:space="0" w:color="auto"/>
      </w:divBdr>
    </w:div>
    <w:div w:id="1319962643">
      <w:bodyDiv w:val="1"/>
      <w:marLeft w:val="0"/>
      <w:marRight w:val="0"/>
      <w:marTop w:val="0"/>
      <w:marBottom w:val="0"/>
      <w:divBdr>
        <w:top w:val="none" w:sz="0" w:space="0" w:color="auto"/>
        <w:left w:val="none" w:sz="0" w:space="0" w:color="auto"/>
        <w:bottom w:val="none" w:sz="0" w:space="0" w:color="auto"/>
        <w:right w:val="none" w:sz="0" w:space="0" w:color="auto"/>
      </w:divBdr>
    </w:div>
    <w:div w:id="1319991359">
      <w:bodyDiv w:val="1"/>
      <w:marLeft w:val="0"/>
      <w:marRight w:val="0"/>
      <w:marTop w:val="0"/>
      <w:marBottom w:val="0"/>
      <w:divBdr>
        <w:top w:val="none" w:sz="0" w:space="0" w:color="auto"/>
        <w:left w:val="none" w:sz="0" w:space="0" w:color="auto"/>
        <w:bottom w:val="none" w:sz="0" w:space="0" w:color="auto"/>
        <w:right w:val="none" w:sz="0" w:space="0" w:color="auto"/>
      </w:divBdr>
    </w:div>
    <w:div w:id="1320114145">
      <w:bodyDiv w:val="1"/>
      <w:marLeft w:val="0"/>
      <w:marRight w:val="0"/>
      <w:marTop w:val="0"/>
      <w:marBottom w:val="0"/>
      <w:divBdr>
        <w:top w:val="none" w:sz="0" w:space="0" w:color="auto"/>
        <w:left w:val="none" w:sz="0" w:space="0" w:color="auto"/>
        <w:bottom w:val="none" w:sz="0" w:space="0" w:color="auto"/>
        <w:right w:val="none" w:sz="0" w:space="0" w:color="auto"/>
      </w:divBdr>
    </w:div>
    <w:div w:id="1320184758">
      <w:bodyDiv w:val="1"/>
      <w:marLeft w:val="0"/>
      <w:marRight w:val="0"/>
      <w:marTop w:val="0"/>
      <w:marBottom w:val="0"/>
      <w:divBdr>
        <w:top w:val="none" w:sz="0" w:space="0" w:color="auto"/>
        <w:left w:val="none" w:sz="0" w:space="0" w:color="auto"/>
        <w:bottom w:val="none" w:sz="0" w:space="0" w:color="auto"/>
        <w:right w:val="none" w:sz="0" w:space="0" w:color="auto"/>
      </w:divBdr>
    </w:div>
    <w:div w:id="1320228784">
      <w:bodyDiv w:val="1"/>
      <w:marLeft w:val="0"/>
      <w:marRight w:val="0"/>
      <w:marTop w:val="0"/>
      <w:marBottom w:val="0"/>
      <w:divBdr>
        <w:top w:val="none" w:sz="0" w:space="0" w:color="auto"/>
        <w:left w:val="none" w:sz="0" w:space="0" w:color="auto"/>
        <w:bottom w:val="none" w:sz="0" w:space="0" w:color="auto"/>
        <w:right w:val="none" w:sz="0" w:space="0" w:color="auto"/>
      </w:divBdr>
    </w:div>
    <w:div w:id="1320230704">
      <w:bodyDiv w:val="1"/>
      <w:marLeft w:val="0"/>
      <w:marRight w:val="0"/>
      <w:marTop w:val="0"/>
      <w:marBottom w:val="0"/>
      <w:divBdr>
        <w:top w:val="none" w:sz="0" w:space="0" w:color="auto"/>
        <w:left w:val="none" w:sz="0" w:space="0" w:color="auto"/>
        <w:bottom w:val="none" w:sz="0" w:space="0" w:color="auto"/>
        <w:right w:val="none" w:sz="0" w:space="0" w:color="auto"/>
      </w:divBdr>
    </w:div>
    <w:div w:id="1320306836">
      <w:bodyDiv w:val="1"/>
      <w:marLeft w:val="0"/>
      <w:marRight w:val="0"/>
      <w:marTop w:val="0"/>
      <w:marBottom w:val="0"/>
      <w:divBdr>
        <w:top w:val="none" w:sz="0" w:space="0" w:color="auto"/>
        <w:left w:val="none" w:sz="0" w:space="0" w:color="auto"/>
        <w:bottom w:val="none" w:sz="0" w:space="0" w:color="auto"/>
        <w:right w:val="none" w:sz="0" w:space="0" w:color="auto"/>
      </w:divBdr>
    </w:div>
    <w:div w:id="1320377525">
      <w:bodyDiv w:val="1"/>
      <w:marLeft w:val="0"/>
      <w:marRight w:val="0"/>
      <w:marTop w:val="0"/>
      <w:marBottom w:val="0"/>
      <w:divBdr>
        <w:top w:val="none" w:sz="0" w:space="0" w:color="auto"/>
        <w:left w:val="none" w:sz="0" w:space="0" w:color="auto"/>
        <w:bottom w:val="none" w:sz="0" w:space="0" w:color="auto"/>
        <w:right w:val="none" w:sz="0" w:space="0" w:color="auto"/>
      </w:divBdr>
    </w:div>
    <w:div w:id="1320380629">
      <w:bodyDiv w:val="1"/>
      <w:marLeft w:val="0"/>
      <w:marRight w:val="0"/>
      <w:marTop w:val="0"/>
      <w:marBottom w:val="0"/>
      <w:divBdr>
        <w:top w:val="none" w:sz="0" w:space="0" w:color="auto"/>
        <w:left w:val="none" w:sz="0" w:space="0" w:color="auto"/>
        <w:bottom w:val="none" w:sz="0" w:space="0" w:color="auto"/>
        <w:right w:val="none" w:sz="0" w:space="0" w:color="auto"/>
      </w:divBdr>
    </w:div>
    <w:div w:id="1320383804">
      <w:bodyDiv w:val="1"/>
      <w:marLeft w:val="0"/>
      <w:marRight w:val="0"/>
      <w:marTop w:val="0"/>
      <w:marBottom w:val="0"/>
      <w:divBdr>
        <w:top w:val="none" w:sz="0" w:space="0" w:color="auto"/>
        <w:left w:val="none" w:sz="0" w:space="0" w:color="auto"/>
        <w:bottom w:val="none" w:sz="0" w:space="0" w:color="auto"/>
        <w:right w:val="none" w:sz="0" w:space="0" w:color="auto"/>
      </w:divBdr>
    </w:div>
    <w:div w:id="1320422215">
      <w:bodyDiv w:val="1"/>
      <w:marLeft w:val="0"/>
      <w:marRight w:val="0"/>
      <w:marTop w:val="0"/>
      <w:marBottom w:val="0"/>
      <w:divBdr>
        <w:top w:val="none" w:sz="0" w:space="0" w:color="auto"/>
        <w:left w:val="none" w:sz="0" w:space="0" w:color="auto"/>
        <w:bottom w:val="none" w:sz="0" w:space="0" w:color="auto"/>
        <w:right w:val="none" w:sz="0" w:space="0" w:color="auto"/>
      </w:divBdr>
    </w:div>
    <w:div w:id="1320427480">
      <w:bodyDiv w:val="1"/>
      <w:marLeft w:val="0"/>
      <w:marRight w:val="0"/>
      <w:marTop w:val="0"/>
      <w:marBottom w:val="0"/>
      <w:divBdr>
        <w:top w:val="none" w:sz="0" w:space="0" w:color="auto"/>
        <w:left w:val="none" w:sz="0" w:space="0" w:color="auto"/>
        <w:bottom w:val="none" w:sz="0" w:space="0" w:color="auto"/>
        <w:right w:val="none" w:sz="0" w:space="0" w:color="auto"/>
      </w:divBdr>
    </w:div>
    <w:div w:id="1320619122">
      <w:bodyDiv w:val="1"/>
      <w:marLeft w:val="0"/>
      <w:marRight w:val="0"/>
      <w:marTop w:val="0"/>
      <w:marBottom w:val="0"/>
      <w:divBdr>
        <w:top w:val="none" w:sz="0" w:space="0" w:color="auto"/>
        <w:left w:val="none" w:sz="0" w:space="0" w:color="auto"/>
        <w:bottom w:val="none" w:sz="0" w:space="0" w:color="auto"/>
        <w:right w:val="none" w:sz="0" w:space="0" w:color="auto"/>
      </w:divBdr>
    </w:div>
    <w:div w:id="1320692618">
      <w:bodyDiv w:val="1"/>
      <w:marLeft w:val="0"/>
      <w:marRight w:val="0"/>
      <w:marTop w:val="0"/>
      <w:marBottom w:val="0"/>
      <w:divBdr>
        <w:top w:val="none" w:sz="0" w:space="0" w:color="auto"/>
        <w:left w:val="none" w:sz="0" w:space="0" w:color="auto"/>
        <w:bottom w:val="none" w:sz="0" w:space="0" w:color="auto"/>
        <w:right w:val="none" w:sz="0" w:space="0" w:color="auto"/>
      </w:divBdr>
    </w:div>
    <w:div w:id="1320812832">
      <w:bodyDiv w:val="1"/>
      <w:marLeft w:val="0"/>
      <w:marRight w:val="0"/>
      <w:marTop w:val="0"/>
      <w:marBottom w:val="0"/>
      <w:divBdr>
        <w:top w:val="none" w:sz="0" w:space="0" w:color="auto"/>
        <w:left w:val="none" w:sz="0" w:space="0" w:color="auto"/>
        <w:bottom w:val="none" w:sz="0" w:space="0" w:color="auto"/>
        <w:right w:val="none" w:sz="0" w:space="0" w:color="auto"/>
      </w:divBdr>
    </w:div>
    <w:div w:id="1320840941">
      <w:bodyDiv w:val="1"/>
      <w:marLeft w:val="0"/>
      <w:marRight w:val="0"/>
      <w:marTop w:val="0"/>
      <w:marBottom w:val="0"/>
      <w:divBdr>
        <w:top w:val="none" w:sz="0" w:space="0" w:color="auto"/>
        <w:left w:val="none" w:sz="0" w:space="0" w:color="auto"/>
        <w:bottom w:val="none" w:sz="0" w:space="0" w:color="auto"/>
        <w:right w:val="none" w:sz="0" w:space="0" w:color="auto"/>
      </w:divBdr>
    </w:div>
    <w:div w:id="1321038080">
      <w:bodyDiv w:val="1"/>
      <w:marLeft w:val="0"/>
      <w:marRight w:val="0"/>
      <w:marTop w:val="0"/>
      <w:marBottom w:val="0"/>
      <w:divBdr>
        <w:top w:val="none" w:sz="0" w:space="0" w:color="auto"/>
        <w:left w:val="none" w:sz="0" w:space="0" w:color="auto"/>
        <w:bottom w:val="none" w:sz="0" w:space="0" w:color="auto"/>
        <w:right w:val="none" w:sz="0" w:space="0" w:color="auto"/>
      </w:divBdr>
    </w:div>
    <w:div w:id="1321083124">
      <w:bodyDiv w:val="1"/>
      <w:marLeft w:val="0"/>
      <w:marRight w:val="0"/>
      <w:marTop w:val="0"/>
      <w:marBottom w:val="0"/>
      <w:divBdr>
        <w:top w:val="none" w:sz="0" w:space="0" w:color="auto"/>
        <w:left w:val="none" w:sz="0" w:space="0" w:color="auto"/>
        <w:bottom w:val="none" w:sz="0" w:space="0" w:color="auto"/>
        <w:right w:val="none" w:sz="0" w:space="0" w:color="auto"/>
      </w:divBdr>
    </w:div>
    <w:div w:id="1321302468">
      <w:bodyDiv w:val="1"/>
      <w:marLeft w:val="0"/>
      <w:marRight w:val="0"/>
      <w:marTop w:val="0"/>
      <w:marBottom w:val="0"/>
      <w:divBdr>
        <w:top w:val="none" w:sz="0" w:space="0" w:color="auto"/>
        <w:left w:val="none" w:sz="0" w:space="0" w:color="auto"/>
        <w:bottom w:val="none" w:sz="0" w:space="0" w:color="auto"/>
        <w:right w:val="none" w:sz="0" w:space="0" w:color="auto"/>
      </w:divBdr>
    </w:div>
    <w:div w:id="1321347421">
      <w:bodyDiv w:val="1"/>
      <w:marLeft w:val="0"/>
      <w:marRight w:val="0"/>
      <w:marTop w:val="0"/>
      <w:marBottom w:val="0"/>
      <w:divBdr>
        <w:top w:val="none" w:sz="0" w:space="0" w:color="auto"/>
        <w:left w:val="none" w:sz="0" w:space="0" w:color="auto"/>
        <w:bottom w:val="none" w:sz="0" w:space="0" w:color="auto"/>
        <w:right w:val="none" w:sz="0" w:space="0" w:color="auto"/>
      </w:divBdr>
    </w:div>
    <w:div w:id="1321428844">
      <w:bodyDiv w:val="1"/>
      <w:marLeft w:val="0"/>
      <w:marRight w:val="0"/>
      <w:marTop w:val="0"/>
      <w:marBottom w:val="0"/>
      <w:divBdr>
        <w:top w:val="none" w:sz="0" w:space="0" w:color="auto"/>
        <w:left w:val="none" w:sz="0" w:space="0" w:color="auto"/>
        <w:bottom w:val="none" w:sz="0" w:space="0" w:color="auto"/>
        <w:right w:val="none" w:sz="0" w:space="0" w:color="auto"/>
      </w:divBdr>
    </w:div>
    <w:div w:id="1321543112">
      <w:bodyDiv w:val="1"/>
      <w:marLeft w:val="0"/>
      <w:marRight w:val="0"/>
      <w:marTop w:val="0"/>
      <w:marBottom w:val="0"/>
      <w:divBdr>
        <w:top w:val="none" w:sz="0" w:space="0" w:color="auto"/>
        <w:left w:val="none" w:sz="0" w:space="0" w:color="auto"/>
        <w:bottom w:val="none" w:sz="0" w:space="0" w:color="auto"/>
        <w:right w:val="none" w:sz="0" w:space="0" w:color="auto"/>
      </w:divBdr>
    </w:div>
    <w:div w:id="1321612679">
      <w:bodyDiv w:val="1"/>
      <w:marLeft w:val="0"/>
      <w:marRight w:val="0"/>
      <w:marTop w:val="0"/>
      <w:marBottom w:val="0"/>
      <w:divBdr>
        <w:top w:val="none" w:sz="0" w:space="0" w:color="auto"/>
        <w:left w:val="none" w:sz="0" w:space="0" w:color="auto"/>
        <w:bottom w:val="none" w:sz="0" w:space="0" w:color="auto"/>
        <w:right w:val="none" w:sz="0" w:space="0" w:color="auto"/>
      </w:divBdr>
    </w:div>
    <w:div w:id="1321614155">
      <w:bodyDiv w:val="1"/>
      <w:marLeft w:val="0"/>
      <w:marRight w:val="0"/>
      <w:marTop w:val="0"/>
      <w:marBottom w:val="0"/>
      <w:divBdr>
        <w:top w:val="none" w:sz="0" w:space="0" w:color="auto"/>
        <w:left w:val="none" w:sz="0" w:space="0" w:color="auto"/>
        <w:bottom w:val="none" w:sz="0" w:space="0" w:color="auto"/>
        <w:right w:val="none" w:sz="0" w:space="0" w:color="auto"/>
      </w:divBdr>
    </w:div>
    <w:div w:id="1321616044">
      <w:bodyDiv w:val="1"/>
      <w:marLeft w:val="0"/>
      <w:marRight w:val="0"/>
      <w:marTop w:val="0"/>
      <w:marBottom w:val="0"/>
      <w:divBdr>
        <w:top w:val="none" w:sz="0" w:space="0" w:color="auto"/>
        <w:left w:val="none" w:sz="0" w:space="0" w:color="auto"/>
        <w:bottom w:val="none" w:sz="0" w:space="0" w:color="auto"/>
        <w:right w:val="none" w:sz="0" w:space="0" w:color="auto"/>
      </w:divBdr>
    </w:div>
    <w:div w:id="1321692519">
      <w:bodyDiv w:val="1"/>
      <w:marLeft w:val="0"/>
      <w:marRight w:val="0"/>
      <w:marTop w:val="0"/>
      <w:marBottom w:val="0"/>
      <w:divBdr>
        <w:top w:val="none" w:sz="0" w:space="0" w:color="auto"/>
        <w:left w:val="none" w:sz="0" w:space="0" w:color="auto"/>
        <w:bottom w:val="none" w:sz="0" w:space="0" w:color="auto"/>
        <w:right w:val="none" w:sz="0" w:space="0" w:color="auto"/>
      </w:divBdr>
    </w:div>
    <w:div w:id="1321734086">
      <w:bodyDiv w:val="1"/>
      <w:marLeft w:val="0"/>
      <w:marRight w:val="0"/>
      <w:marTop w:val="0"/>
      <w:marBottom w:val="0"/>
      <w:divBdr>
        <w:top w:val="none" w:sz="0" w:space="0" w:color="auto"/>
        <w:left w:val="none" w:sz="0" w:space="0" w:color="auto"/>
        <w:bottom w:val="none" w:sz="0" w:space="0" w:color="auto"/>
        <w:right w:val="none" w:sz="0" w:space="0" w:color="auto"/>
      </w:divBdr>
    </w:div>
    <w:div w:id="1321806348">
      <w:bodyDiv w:val="1"/>
      <w:marLeft w:val="0"/>
      <w:marRight w:val="0"/>
      <w:marTop w:val="0"/>
      <w:marBottom w:val="0"/>
      <w:divBdr>
        <w:top w:val="none" w:sz="0" w:space="0" w:color="auto"/>
        <w:left w:val="none" w:sz="0" w:space="0" w:color="auto"/>
        <w:bottom w:val="none" w:sz="0" w:space="0" w:color="auto"/>
        <w:right w:val="none" w:sz="0" w:space="0" w:color="auto"/>
      </w:divBdr>
    </w:div>
    <w:div w:id="1321884807">
      <w:bodyDiv w:val="1"/>
      <w:marLeft w:val="0"/>
      <w:marRight w:val="0"/>
      <w:marTop w:val="0"/>
      <w:marBottom w:val="0"/>
      <w:divBdr>
        <w:top w:val="none" w:sz="0" w:space="0" w:color="auto"/>
        <w:left w:val="none" w:sz="0" w:space="0" w:color="auto"/>
        <w:bottom w:val="none" w:sz="0" w:space="0" w:color="auto"/>
        <w:right w:val="none" w:sz="0" w:space="0" w:color="auto"/>
      </w:divBdr>
    </w:div>
    <w:div w:id="1321958395">
      <w:bodyDiv w:val="1"/>
      <w:marLeft w:val="0"/>
      <w:marRight w:val="0"/>
      <w:marTop w:val="0"/>
      <w:marBottom w:val="0"/>
      <w:divBdr>
        <w:top w:val="none" w:sz="0" w:space="0" w:color="auto"/>
        <w:left w:val="none" w:sz="0" w:space="0" w:color="auto"/>
        <w:bottom w:val="none" w:sz="0" w:space="0" w:color="auto"/>
        <w:right w:val="none" w:sz="0" w:space="0" w:color="auto"/>
      </w:divBdr>
    </w:div>
    <w:div w:id="1322005789">
      <w:bodyDiv w:val="1"/>
      <w:marLeft w:val="0"/>
      <w:marRight w:val="0"/>
      <w:marTop w:val="0"/>
      <w:marBottom w:val="0"/>
      <w:divBdr>
        <w:top w:val="none" w:sz="0" w:space="0" w:color="auto"/>
        <w:left w:val="none" w:sz="0" w:space="0" w:color="auto"/>
        <w:bottom w:val="none" w:sz="0" w:space="0" w:color="auto"/>
        <w:right w:val="none" w:sz="0" w:space="0" w:color="auto"/>
      </w:divBdr>
    </w:div>
    <w:div w:id="1322074410">
      <w:bodyDiv w:val="1"/>
      <w:marLeft w:val="0"/>
      <w:marRight w:val="0"/>
      <w:marTop w:val="0"/>
      <w:marBottom w:val="0"/>
      <w:divBdr>
        <w:top w:val="none" w:sz="0" w:space="0" w:color="auto"/>
        <w:left w:val="none" w:sz="0" w:space="0" w:color="auto"/>
        <w:bottom w:val="none" w:sz="0" w:space="0" w:color="auto"/>
        <w:right w:val="none" w:sz="0" w:space="0" w:color="auto"/>
      </w:divBdr>
    </w:div>
    <w:div w:id="1322150181">
      <w:bodyDiv w:val="1"/>
      <w:marLeft w:val="0"/>
      <w:marRight w:val="0"/>
      <w:marTop w:val="0"/>
      <w:marBottom w:val="0"/>
      <w:divBdr>
        <w:top w:val="none" w:sz="0" w:space="0" w:color="auto"/>
        <w:left w:val="none" w:sz="0" w:space="0" w:color="auto"/>
        <w:bottom w:val="none" w:sz="0" w:space="0" w:color="auto"/>
        <w:right w:val="none" w:sz="0" w:space="0" w:color="auto"/>
      </w:divBdr>
    </w:div>
    <w:div w:id="1322150190">
      <w:bodyDiv w:val="1"/>
      <w:marLeft w:val="0"/>
      <w:marRight w:val="0"/>
      <w:marTop w:val="0"/>
      <w:marBottom w:val="0"/>
      <w:divBdr>
        <w:top w:val="none" w:sz="0" w:space="0" w:color="auto"/>
        <w:left w:val="none" w:sz="0" w:space="0" w:color="auto"/>
        <w:bottom w:val="none" w:sz="0" w:space="0" w:color="auto"/>
        <w:right w:val="none" w:sz="0" w:space="0" w:color="auto"/>
      </w:divBdr>
    </w:div>
    <w:div w:id="1322192393">
      <w:bodyDiv w:val="1"/>
      <w:marLeft w:val="0"/>
      <w:marRight w:val="0"/>
      <w:marTop w:val="0"/>
      <w:marBottom w:val="0"/>
      <w:divBdr>
        <w:top w:val="none" w:sz="0" w:space="0" w:color="auto"/>
        <w:left w:val="none" w:sz="0" w:space="0" w:color="auto"/>
        <w:bottom w:val="none" w:sz="0" w:space="0" w:color="auto"/>
        <w:right w:val="none" w:sz="0" w:space="0" w:color="auto"/>
      </w:divBdr>
    </w:div>
    <w:div w:id="1322275066">
      <w:bodyDiv w:val="1"/>
      <w:marLeft w:val="0"/>
      <w:marRight w:val="0"/>
      <w:marTop w:val="0"/>
      <w:marBottom w:val="0"/>
      <w:divBdr>
        <w:top w:val="none" w:sz="0" w:space="0" w:color="auto"/>
        <w:left w:val="none" w:sz="0" w:space="0" w:color="auto"/>
        <w:bottom w:val="none" w:sz="0" w:space="0" w:color="auto"/>
        <w:right w:val="none" w:sz="0" w:space="0" w:color="auto"/>
      </w:divBdr>
    </w:div>
    <w:div w:id="1322348598">
      <w:bodyDiv w:val="1"/>
      <w:marLeft w:val="0"/>
      <w:marRight w:val="0"/>
      <w:marTop w:val="0"/>
      <w:marBottom w:val="0"/>
      <w:divBdr>
        <w:top w:val="none" w:sz="0" w:space="0" w:color="auto"/>
        <w:left w:val="none" w:sz="0" w:space="0" w:color="auto"/>
        <w:bottom w:val="none" w:sz="0" w:space="0" w:color="auto"/>
        <w:right w:val="none" w:sz="0" w:space="0" w:color="auto"/>
      </w:divBdr>
    </w:div>
    <w:div w:id="1322386358">
      <w:bodyDiv w:val="1"/>
      <w:marLeft w:val="0"/>
      <w:marRight w:val="0"/>
      <w:marTop w:val="0"/>
      <w:marBottom w:val="0"/>
      <w:divBdr>
        <w:top w:val="none" w:sz="0" w:space="0" w:color="auto"/>
        <w:left w:val="none" w:sz="0" w:space="0" w:color="auto"/>
        <w:bottom w:val="none" w:sz="0" w:space="0" w:color="auto"/>
        <w:right w:val="none" w:sz="0" w:space="0" w:color="auto"/>
      </w:divBdr>
    </w:div>
    <w:div w:id="1322392109">
      <w:bodyDiv w:val="1"/>
      <w:marLeft w:val="0"/>
      <w:marRight w:val="0"/>
      <w:marTop w:val="0"/>
      <w:marBottom w:val="0"/>
      <w:divBdr>
        <w:top w:val="none" w:sz="0" w:space="0" w:color="auto"/>
        <w:left w:val="none" w:sz="0" w:space="0" w:color="auto"/>
        <w:bottom w:val="none" w:sz="0" w:space="0" w:color="auto"/>
        <w:right w:val="none" w:sz="0" w:space="0" w:color="auto"/>
      </w:divBdr>
    </w:div>
    <w:div w:id="1322849186">
      <w:bodyDiv w:val="1"/>
      <w:marLeft w:val="0"/>
      <w:marRight w:val="0"/>
      <w:marTop w:val="0"/>
      <w:marBottom w:val="0"/>
      <w:divBdr>
        <w:top w:val="none" w:sz="0" w:space="0" w:color="auto"/>
        <w:left w:val="none" w:sz="0" w:space="0" w:color="auto"/>
        <w:bottom w:val="none" w:sz="0" w:space="0" w:color="auto"/>
        <w:right w:val="none" w:sz="0" w:space="0" w:color="auto"/>
      </w:divBdr>
    </w:div>
    <w:div w:id="1322851620">
      <w:bodyDiv w:val="1"/>
      <w:marLeft w:val="0"/>
      <w:marRight w:val="0"/>
      <w:marTop w:val="0"/>
      <w:marBottom w:val="0"/>
      <w:divBdr>
        <w:top w:val="none" w:sz="0" w:space="0" w:color="auto"/>
        <w:left w:val="none" w:sz="0" w:space="0" w:color="auto"/>
        <w:bottom w:val="none" w:sz="0" w:space="0" w:color="auto"/>
        <w:right w:val="none" w:sz="0" w:space="0" w:color="auto"/>
      </w:divBdr>
    </w:div>
    <w:div w:id="1323045233">
      <w:bodyDiv w:val="1"/>
      <w:marLeft w:val="0"/>
      <w:marRight w:val="0"/>
      <w:marTop w:val="0"/>
      <w:marBottom w:val="0"/>
      <w:divBdr>
        <w:top w:val="none" w:sz="0" w:space="0" w:color="auto"/>
        <w:left w:val="none" w:sz="0" w:space="0" w:color="auto"/>
        <w:bottom w:val="none" w:sz="0" w:space="0" w:color="auto"/>
        <w:right w:val="none" w:sz="0" w:space="0" w:color="auto"/>
      </w:divBdr>
    </w:div>
    <w:div w:id="1323047885">
      <w:bodyDiv w:val="1"/>
      <w:marLeft w:val="0"/>
      <w:marRight w:val="0"/>
      <w:marTop w:val="0"/>
      <w:marBottom w:val="0"/>
      <w:divBdr>
        <w:top w:val="none" w:sz="0" w:space="0" w:color="auto"/>
        <w:left w:val="none" w:sz="0" w:space="0" w:color="auto"/>
        <w:bottom w:val="none" w:sz="0" w:space="0" w:color="auto"/>
        <w:right w:val="none" w:sz="0" w:space="0" w:color="auto"/>
      </w:divBdr>
    </w:div>
    <w:div w:id="1323124479">
      <w:bodyDiv w:val="1"/>
      <w:marLeft w:val="0"/>
      <w:marRight w:val="0"/>
      <w:marTop w:val="0"/>
      <w:marBottom w:val="0"/>
      <w:divBdr>
        <w:top w:val="none" w:sz="0" w:space="0" w:color="auto"/>
        <w:left w:val="none" w:sz="0" w:space="0" w:color="auto"/>
        <w:bottom w:val="none" w:sz="0" w:space="0" w:color="auto"/>
        <w:right w:val="none" w:sz="0" w:space="0" w:color="auto"/>
      </w:divBdr>
    </w:div>
    <w:div w:id="1323269966">
      <w:bodyDiv w:val="1"/>
      <w:marLeft w:val="0"/>
      <w:marRight w:val="0"/>
      <w:marTop w:val="0"/>
      <w:marBottom w:val="0"/>
      <w:divBdr>
        <w:top w:val="none" w:sz="0" w:space="0" w:color="auto"/>
        <w:left w:val="none" w:sz="0" w:space="0" w:color="auto"/>
        <w:bottom w:val="none" w:sz="0" w:space="0" w:color="auto"/>
        <w:right w:val="none" w:sz="0" w:space="0" w:color="auto"/>
      </w:divBdr>
    </w:div>
    <w:div w:id="1323314051">
      <w:bodyDiv w:val="1"/>
      <w:marLeft w:val="0"/>
      <w:marRight w:val="0"/>
      <w:marTop w:val="0"/>
      <w:marBottom w:val="0"/>
      <w:divBdr>
        <w:top w:val="none" w:sz="0" w:space="0" w:color="auto"/>
        <w:left w:val="none" w:sz="0" w:space="0" w:color="auto"/>
        <w:bottom w:val="none" w:sz="0" w:space="0" w:color="auto"/>
        <w:right w:val="none" w:sz="0" w:space="0" w:color="auto"/>
      </w:divBdr>
    </w:div>
    <w:div w:id="1323315309">
      <w:bodyDiv w:val="1"/>
      <w:marLeft w:val="0"/>
      <w:marRight w:val="0"/>
      <w:marTop w:val="0"/>
      <w:marBottom w:val="0"/>
      <w:divBdr>
        <w:top w:val="none" w:sz="0" w:space="0" w:color="auto"/>
        <w:left w:val="none" w:sz="0" w:space="0" w:color="auto"/>
        <w:bottom w:val="none" w:sz="0" w:space="0" w:color="auto"/>
        <w:right w:val="none" w:sz="0" w:space="0" w:color="auto"/>
      </w:divBdr>
    </w:div>
    <w:div w:id="1323315974">
      <w:bodyDiv w:val="1"/>
      <w:marLeft w:val="0"/>
      <w:marRight w:val="0"/>
      <w:marTop w:val="0"/>
      <w:marBottom w:val="0"/>
      <w:divBdr>
        <w:top w:val="none" w:sz="0" w:space="0" w:color="auto"/>
        <w:left w:val="none" w:sz="0" w:space="0" w:color="auto"/>
        <w:bottom w:val="none" w:sz="0" w:space="0" w:color="auto"/>
        <w:right w:val="none" w:sz="0" w:space="0" w:color="auto"/>
      </w:divBdr>
    </w:div>
    <w:div w:id="1323656305">
      <w:bodyDiv w:val="1"/>
      <w:marLeft w:val="0"/>
      <w:marRight w:val="0"/>
      <w:marTop w:val="0"/>
      <w:marBottom w:val="0"/>
      <w:divBdr>
        <w:top w:val="none" w:sz="0" w:space="0" w:color="auto"/>
        <w:left w:val="none" w:sz="0" w:space="0" w:color="auto"/>
        <w:bottom w:val="none" w:sz="0" w:space="0" w:color="auto"/>
        <w:right w:val="none" w:sz="0" w:space="0" w:color="auto"/>
      </w:divBdr>
    </w:div>
    <w:div w:id="1323698966">
      <w:bodyDiv w:val="1"/>
      <w:marLeft w:val="0"/>
      <w:marRight w:val="0"/>
      <w:marTop w:val="0"/>
      <w:marBottom w:val="0"/>
      <w:divBdr>
        <w:top w:val="none" w:sz="0" w:space="0" w:color="auto"/>
        <w:left w:val="none" w:sz="0" w:space="0" w:color="auto"/>
        <w:bottom w:val="none" w:sz="0" w:space="0" w:color="auto"/>
        <w:right w:val="none" w:sz="0" w:space="0" w:color="auto"/>
      </w:divBdr>
    </w:div>
    <w:div w:id="1323773026">
      <w:bodyDiv w:val="1"/>
      <w:marLeft w:val="0"/>
      <w:marRight w:val="0"/>
      <w:marTop w:val="0"/>
      <w:marBottom w:val="0"/>
      <w:divBdr>
        <w:top w:val="none" w:sz="0" w:space="0" w:color="auto"/>
        <w:left w:val="none" w:sz="0" w:space="0" w:color="auto"/>
        <w:bottom w:val="none" w:sz="0" w:space="0" w:color="auto"/>
        <w:right w:val="none" w:sz="0" w:space="0" w:color="auto"/>
      </w:divBdr>
    </w:div>
    <w:div w:id="1323774166">
      <w:bodyDiv w:val="1"/>
      <w:marLeft w:val="0"/>
      <w:marRight w:val="0"/>
      <w:marTop w:val="0"/>
      <w:marBottom w:val="0"/>
      <w:divBdr>
        <w:top w:val="none" w:sz="0" w:space="0" w:color="auto"/>
        <w:left w:val="none" w:sz="0" w:space="0" w:color="auto"/>
        <w:bottom w:val="none" w:sz="0" w:space="0" w:color="auto"/>
        <w:right w:val="none" w:sz="0" w:space="0" w:color="auto"/>
      </w:divBdr>
    </w:div>
    <w:div w:id="1323778933">
      <w:bodyDiv w:val="1"/>
      <w:marLeft w:val="0"/>
      <w:marRight w:val="0"/>
      <w:marTop w:val="0"/>
      <w:marBottom w:val="0"/>
      <w:divBdr>
        <w:top w:val="none" w:sz="0" w:space="0" w:color="auto"/>
        <w:left w:val="none" w:sz="0" w:space="0" w:color="auto"/>
        <w:bottom w:val="none" w:sz="0" w:space="0" w:color="auto"/>
        <w:right w:val="none" w:sz="0" w:space="0" w:color="auto"/>
      </w:divBdr>
    </w:div>
    <w:div w:id="1323850910">
      <w:bodyDiv w:val="1"/>
      <w:marLeft w:val="0"/>
      <w:marRight w:val="0"/>
      <w:marTop w:val="0"/>
      <w:marBottom w:val="0"/>
      <w:divBdr>
        <w:top w:val="none" w:sz="0" w:space="0" w:color="auto"/>
        <w:left w:val="none" w:sz="0" w:space="0" w:color="auto"/>
        <w:bottom w:val="none" w:sz="0" w:space="0" w:color="auto"/>
        <w:right w:val="none" w:sz="0" w:space="0" w:color="auto"/>
      </w:divBdr>
    </w:div>
    <w:div w:id="1323892785">
      <w:bodyDiv w:val="1"/>
      <w:marLeft w:val="0"/>
      <w:marRight w:val="0"/>
      <w:marTop w:val="0"/>
      <w:marBottom w:val="0"/>
      <w:divBdr>
        <w:top w:val="none" w:sz="0" w:space="0" w:color="auto"/>
        <w:left w:val="none" w:sz="0" w:space="0" w:color="auto"/>
        <w:bottom w:val="none" w:sz="0" w:space="0" w:color="auto"/>
        <w:right w:val="none" w:sz="0" w:space="0" w:color="auto"/>
      </w:divBdr>
    </w:div>
    <w:div w:id="1323893677">
      <w:bodyDiv w:val="1"/>
      <w:marLeft w:val="0"/>
      <w:marRight w:val="0"/>
      <w:marTop w:val="0"/>
      <w:marBottom w:val="0"/>
      <w:divBdr>
        <w:top w:val="none" w:sz="0" w:space="0" w:color="auto"/>
        <w:left w:val="none" w:sz="0" w:space="0" w:color="auto"/>
        <w:bottom w:val="none" w:sz="0" w:space="0" w:color="auto"/>
        <w:right w:val="none" w:sz="0" w:space="0" w:color="auto"/>
      </w:divBdr>
    </w:div>
    <w:div w:id="1323895455">
      <w:bodyDiv w:val="1"/>
      <w:marLeft w:val="0"/>
      <w:marRight w:val="0"/>
      <w:marTop w:val="0"/>
      <w:marBottom w:val="0"/>
      <w:divBdr>
        <w:top w:val="none" w:sz="0" w:space="0" w:color="auto"/>
        <w:left w:val="none" w:sz="0" w:space="0" w:color="auto"/>
        <w:bottom w:val="none" w:sz="0" w:space="0" w:color="auto"/>
        <w:right w:val="none" w:sz="0" w:space="0" w:color="auto"/>
      </w:divBdr>
    </w:div>
    <w:div w:id="1323924245">
      <w:bodyDiv w:val="1"/>
      <w:marLeft w:val="0"/>
      <w:marRight w:val="0"/>
      <w:marTop w:val="0"/>
      <w:marBottom w:val="0"/>
      <w:divBdr>
        <w:top w:val="none" w:sz="0" w:space="0" w:color="auto"/>
        <w:left w:val="none" w:sz="0" w:space="0" w:color="auto"/>
        <w:bottom w:val="none" w:sz="0" w:space="0" w:color="auto"/>
        <w:right w:val="none" w:sz="0" w:space="0" w:color="auto"/>
      </w:divBdr>
    </w:div>
    <w:div w:id="1323924260">
      <w:bodyDiv w:val="1"/>
      <w:marLeft w:val="0"/>
      <w:marRight w:val="0"/>
      <w:marTop w:val="0"/>
      <w:marBottom w:val="0"/>
      <w:divBdr>
        <w:top w:val="none" w:sz="0" w:space="0" w:color="auto"/>
        <w:left w:val="none" w:sz="0" w:space="0" w:color="auto"/>
        <w:bottom w:val="none" w:sz="0" w:space="0" w:color="auto"/>
        <w:right w:val="none" w:sz="0" w:space="0" w:color="auto"/>
      </w:divBdr>
    </w:div>
    <w:div w:id="1324089409">
      <w:bodyDiv w:val="1"/>
      <w:marLeft w:val="0"/>
      <w:marRight w:val="0"/>
      <w:marTop w:val="0"/>
      <w:marBottom w:val="0"/>
      <w:divBdr>
        <w:top w:val="none" w:sz="0" w:space="0" w:color="auto"/>
        <w:left w:val="none" w:sz="0" w:space="0" w:color="auto"/>
        <w:bottom w:val="none" w:sz="0" w:space="0" w:color="auto"/>
        <w:right w:val="none" w:sz="0" w:space="0" w:color="auto"/>
      </w:divBdr>
    </w:div>
    <w:div w:id="1324237422">
      <w:bodyDiv w:val="1"/>
      <w:marLeft w:val="0"/>
      <w:marRight w:val="0"/>
      <w:marTop w:val="0"/>
      <w:marBottom w:val="0"/>
      <w:divBdr>
        <w:top w:val="none" w:sz="0" w:space="0" w:color="auto"/>
        <w:left w:val="none" w:sz="0" w:space="0" w:color="auto"/>
        <w:bottom w:val="none" w:sz="0" w:space="0" w:color="auto"/>
        <w:right w:val="none" w:sz="0" w:space="0" w:color="auto"/>
      </w:divBdr>
    </w:div>
    <w:div w:id="1324240519">
      <w:bodyDiv w:val="1"/>
      <w:marLeft w:val="0"/>
      <w:marRight w:val="0"/>
      <w:marTop w:val="0"/>
      <w:marBottom w:val="0"/>
      <w:divBdr>
        <w:top w:val="none" w:sz="0" w:space="0" w:color="auto"/>
        <w:left w:val="none" w:sz="0" w:space="0" w:color="auto"/>
        <w:bottom w:val="none" w:sz="0" w:space="0" w:color="auto"/>
        <w:right w:val="none" w:sz="0" w:space="0" w:color="auto"/>
      </w:divBdr>
    </w:div>
    <w:div w:id="1324316623">
      <w:bodyDiv w:val="1"/>
      <w:marLeft w:val="0"/>
      <w:marRight w:val="0"/>
      <w:marTop w:val="0"/>
      <w:marBottom w:val="0"/>
      <w:divBdr>
        <w:top w:val="none" w:sz="0" w:space="0" w:color="auto"/>
        <w:left w:val="none" w:sz="0" w:space="0" w:color="auto"/>
        <w:bottom w:val="none" w:sz="0" w:space="0" w:color="auto"/>
        <w:right w:val="none" w:sz="0" w:space="0" w:color="auto"/>
      </w:divBdr>
    </w:div>
    <w:div w:id="1324355712">
      <w:bodyDiv w:val="1"/>
      <w:marLeft w:val="0"/>
      <w:marRight w:val="0"/>
      <w:marTop w:val="0"/>
      <w:marBottom w:val="0"/>
      <w:divBdr>
        <w:top w:val="none" w:sz="0" w:space="0" w:color="auto"/>
        <w:left w:val="none" w:sz="0" w:space="0" w:color="auto"/>
        <w:bottom w:val="none" w:sz="0" w:space="0" w:color="auto"/>
        <w:right w:val="none" w:sz="0" w:space="0" w:color="auto"/>
      </w:divBdr>
    </w:div>
    <w:div w:id="1324426821">
      <w:bodyDiv w:val="1"/>
      <w:marLeft w:val="0"/>
      <w:marRight w:val="0"/>
      <w:marTop w:val="0"/>
      <w:marBottom w:val="0"/>
      <w:divBdr>
        <w:top w:val="none" w:sz="0" w:space="0" w:color="auto"/>
        <w:left w:val="none" w:sz="0" w:space="0" w:color="auto"/>
        <w:bottom w:val="none" w:sz="0" w:space="0" w:color="auto"/>
        <w:right w:val="none" w:sz="0" w:space="0" w:color="auto"/>
      </w:divBdr>
    </w:div>
    <w:div w:id="1324429110">
      <w:bodyDiv w:val="1"/>
      <w:marLeft w:val="0"/>
      <w:marRight w:val="0"/>
      <w:marTop w:val="0"/>
      <w:marBottom w:val="0"/>
      <w:divBdr>
        <w:top w:val="none" w:sz="0" w:space="0" w:color="auto"/>
        <w:left w:val="none" w:sz="0" w:space="0" w:color="auto"/>
        <w:bottom w:val="none" w:sz="0" w:space="0" w:color="auto"/>
        <w:right w:val="none" w:sz="0" w:space="0" w:color="auto"/>
      </w:divBdr>
    </w:div>
    <w:div w:id="1324430917">
      <w:bodyDiv w:val="1"/>
      <w:marLeft w:val="0"/>
      <w:marRight w:val="0"/>
      <w:marTop w:val="0"/>
      <w:marBottom w:val="0"/>
      <w:divBdr>
        <w:top w:val="none" w:sz="0" w:space="0" w:color="auto"/>
        <w:left w:val="none" w:sz="0" w:space="0" w:color="auto"/>
        <w:bottom w:val="none" w:sz="0" w:space="0" w:color="auto"/>
        <w:right w:val="none" w:sz="0" w:space="0" w:color="auto"/>
      </w:divBdr>
    </w:div>
    <w:div w:id="1324503916">
      <w:bodyDiv w:val="1"/>
      <w:marLeft w:val="0"/>
      <w:marRight w:val="0"/>
      <w:marTop w:val="0"/>
      <w:marBottom w:val="0"/>
      <w:divBdr>
        <w:top w:val="none" w:sz="0" w:space="0" w:color="auto"/>
        <w:left w:val="none" w:sz="0" w:space="0" w:color="auto"/>
        <w:bottom w:val="none" w:sz="0" w:space="0" w:color="auto"/>
        <w:right w:val="none" w:sz="0" w:space="0" w:color="auto"/>
      </w:divBdr>
    </w:div>
    <w:div w:id="1324578213">
      <w:bodyDiv w:val="1"/>
      <w:marLeft w:val="0"/>
      <w:marRight w:val="0"/>
      <w:marTop w:val="0"/>
      <w:marBottom w:val="0"/>
      <w:divBdr>
        <w:top w:val="none" w:sz="0" w:space="0" w:color="auto"/>
        <w:left w:val="none" w:sz="0" w:space="0" w:color="auto"/>
        <w:bottom w:val="none" w:sz="0" w:space="0" w:color="auto"/>
        <w:right w:val="none" w:sz="0" w:space="0" w:color="auto"/>
      </w:divBdr>
    </w:div>
    <w:div w:id="1324773128">
      <w:bodyDiv w:val="1"/>
      <w:marLeft w:val="0"/>
      <w:marRight w:val="0"/>
      <w:marTop w:val="0"/>
      <w:marBottom w:val="0"/>
      <w:divBdr>
        <w:top w:val="none" w:sz="0" w:space="0" w:color="auto"/>
        <w:left w:val="none" w:sz="0" w:space="0" w:color="auto"/>
        <w:bottom w:val="none" w:sz="0" w:space="0" w:color="auto"/>
        <w:right w:val="none" w:sz="0" w:space="0" w:color="auto"/>
      </w:divBdr>
    </w:div>
    <w:div w:id="1324814529">
      <w:bodyDiv w:val="1"/>
      <w:marLeft w:val="0"/>
      <w:marRight w:val="0"/>
      <w:marTop w:val="0"/>
      <w:marBottom w:val="0"/>
      <w:divBdr>
        <w:top w:val="none" w:sz="0" w:space="0" w:color="auto"/>
        <w:left w:val="none" w:sz="0" w:space="0" w:color="auto"/>
        <w:bottom w:val="none" w:sz="0" w:space="0" w:color="auto"/>
        <w:right w:val="none" w:sz="0" w:space="0" w:color="auto"/>
      </w:divBdr>
    </w:div>
    <w:div w:id="1324897529">
      <w:bodyDiv w:val="1"/>
      <w:marLeft w:val="0"/>
      <w:marRight w:val="0"/>
      <w:marTop w:val="0"/>
      <w:marBottom w:val="0"/>
      <w:divBdr>
        <w:top w:val="none" w:sz="0" w:space="0" w:color="auto"/>
        <w:left w:val="none" w:sz="0" w:space="0" w:color="auto"/>
        <w:bottom w:val="none" w:sz="0" w:space="0" w:color="auto"/>
        <w:right w:val="none" w:sz="0" w:space="0" w:color="auto"/>
      </w:divBdr>
    </w:div>
    <w:div w:id="1324964474">
      <w:bodyDiv w:val="1"/>
      <w:marLeft w:val="0"/>
      <w:marRight w:val="0"/>
      <w:marTop w:val="0"/>
      <w:marBottom w:val="0"/>
      <w:divBdr>
        <w:top w:val="none" w:sz="0" w:space="0" w:color="auto"/>
        <w:left w:val="none" w:sz="0" w:space="0" w:color="auto"/>
        <w:bottom w:val="none" w:sz="0" w:space="0" w:color="auto"/>
        <w:right w:val="none" w:sz="0" w:space="0" w:color="auto"/>
      </w:divBdr>
    </w:div>
    <w:div w:id="1325085619">
      <w:bodyDiv w:val="1"/>
      <w:marLeft w:val="0"/>
      <w:marRight w:val="0"/>
      <w:marTop w:val="0"/>
      <w:marBottom w:val="0"/>
      <w:divBdr>
        <w:top w:val="none" w:sz="0" w:space="0" w:color="auto"/>
        <w:left w:val="none" w:sz="0" w:space="0" w:color="auto"/>
        <w:bottom w:val="none" w:sz="0" w:space="0" w:color="auto"/>
        <w:right w:val="none" w:sz="0" w:space="0" w:color="auto"/>
      </w:divBdr>
    </w:div>
    <w:div w:id="1325163347">
      <w:bodyDiv w:val="1"/>
      <w:marLeft w:val="0"/>
      <w:marRight w:val="0"/>
      <w:marTop w:val="0"/>
      <w:marBottom w:val="0"/>
      <w:divBdr>
        <w:top w:val="none" w:sz="0" w:space="0" w:color="auto"/>
        <w:left w:val="none" w:sz="0" w:space="0" w:color="auto"/>
        <w:bottom w:val="none" w:sz="0" w:space="0" w:color="auto"/>
        <w:right w:val="none" w:sz="0" w:space="0" w:color="auto"/>
      </w:divBdr>
    </w:div>
    <w:div w:id="1325164766">
      <w:bodyDiv w:val="1"/>
      <w:marLeft w:val="0"/>
      <w:marRight w:val="0"/>
      <w:marTop w:val="0"/>
      <w:marBottom w:val="0"/>
      <w:divBdr>
        <w:top w:val="none" w:sz="0" w:space="0" w:color="auto"/>
        <w:left w:val="none" w:sz="0" w:space="0" w:color="auto"/>
        <w:bottom w:val="none" w:sz="0" w:space="0" w:color="auto"/>
        <w:right w:val="none" w:sz="0" w:space="0" w:color="auto"/>
      </w:divBdr>
    </w:div>
    <w:div w:id="1325165239">
      <w:bodyDiv w:val="1"/>
      <w:marLeft w:val="0"/>
      <w:marRight w:val="0"/>
      <w:marTop w:val="0"/>
      <w:marBottom w:val="0"/>
      <w:divBdr>
        <w:top w:val="none" w:sz="0" w:space="0" w:color="auto"/>
        <w:left w:val="none" w:sz="0" w:space="0" w:color="auto"/>
        <w:bottom w:val="none" w:sz="0" w:space="0" w:color="auto"/>
        <w:right w:val="none" w:sz="0" w:space="0" w:color="auto"/>
      </w:divBdr>
    </w:div>
    <w:div w:id="1325209206">
      <w:bodyDiv w:val="1"/>
      <w:marLeft w:val="0"/>
      <w:marRight w:val="0"/>
      <w:marTop w:val="0"/>
      <w:marBottom w:val="0"/>
      <w:divBdr>
        <w:top w:val="none" w:sz="0" w:space="0" w:color="auto"/>
        <w:left w:val="none" w:sz="0" w:space="0" w:color="auto"/>
        <w:bottom w:val="none" w:sz="0" w:space="0" w:color="auto"/>
        <w:right w:val="none" w:sz="0" w:space="0" w:color="auto"/>
      </w:divBdr>
    </w:div>
    <w:div w:id="1325282894">
      <w:bodyDiv w:val="1"/>
      <w:marLeft w:val="0"/>
      <w:marRight w:val="0"/>
      <w:marTop w:val="0"/>
      <w:marBottom w:val="0"/>
      <w:divBdr>
        <w:top w:val="none" w:sz="0" w:space="0" w:color="auto"/>
        <w:left w:val="none" w:sz="0" w:space="0" w:color="auto"/>
        <w:bottom w:val="none" w:sz="0" w:space="0" w:color="auto"/>
        <w:right w:val="none" w:sz="0" w:space="0" w:color="auto"/>
      </w:divBdr>
    </w:div>
    <w:div w:id="1325353537">
      <w:bodyDiv w:val="1"/>
      <w:marLeft w:val="0"/>
      <w:marRight w:val="0"/>
      <w:marTop w:val="0"/>
      <w:marBottom w:val="0"/>
      <w:divBdr>
        <w:top w:val="none" w:sz="0" w:space="0" w:color="auto"/>
        <w:left w:val="none" w:sz="0" w:space="0" w:color="auto"/>
        <w:bottom w:val="none" w:sz="0" w:space="0" w:color="auto"/>
        <w:right w:val="none" w:sz="0" w:space="0" w:color="auto"/>
      </w:divBdr>
    </w:div>
    <w:div w:id="1325470318">
      <w:bodyDiv w:val="1"/>
      <w:marLeft w:val="0"/>
      <w:marRight w:val="0"/>
      <w:marTop w:val="0"/>
      <w:marBottom w:val="0"/>
      <w:divBdr>
        <w:top w:val="none" w:sz="0" w:space="0" w:color="auto"/>
        <w:left w:val="none" w:sz="0" w:space="0" w:color="auto"/>
        <w:bottom w:val="none" w:sz="0" w:space="0" w:color="auto"/>
        <w:right w:val="none" w:sz="0" w:space="0" w:color="auto"/>
      </w:divBdr>
    </w:div>
    <w:div w:id="1325550723">
      <w:bodyDiv w:val="1"/>
      <w:marLeft w:val="0"/>
      <w:marRight w:val="0"/>
      <w:marTop w:val="0"/>
      <w:marBottom w:val="0"/>
      <w:divBdr>
        <w:top w:val="none" w:sz="0" w:space="0" w:color="auto"/>
        <w:left w:val="none" w:sz="0" w:space="0" w:color="auto"/>
        <w:bottom w:val="none" w:sz="0" w:space="0" w:color="auto"/>
        <w:right w:val="none" w:sz="0" w:space="0" w:color="auto"/>
      </w:divBdr>
    </w:div>
    <w:div w:id="1325665785">
      <w:bodyDiv w:val="1"/>
      <w:marLeft w:val="0"/>
      <w:marRight w:val="0"/>
      <w:marTop w:val="0"/>
      <w:marBottom w:val="0"/>
      <w:divBdr>
        <w:top w:val="none" w:sz="0" w:space="0" w:color="auto"/>
        <w:left w:val="none" w:sz="0" w:space="0" w:color="auto"/>
        <w:bottom w:val="none" w:sz="0" w:space="0" w:color="auto"/>
        <w:right w:val="none" w:sz="0" w:space="0" w:color="auto"/>
      </w:divBdr>
    </w:div>
    <w:div w:id="1326011653">
      <w:bodyDiv w:val="1"/>
      <w:marLeft w:val="0"/>
      <w:marRight w:val="0"/>
      <w:marTop w:val="0"/>
      <w:marBottom w:val="0"/>
      <w:divBdr>
        <w:top w:val="none" w:sz="0" w:space="0" w:color="auto"/>
        <w:left w:val="none" w:sz="0" w:space="0" w:color="auto"/>
        <w:bottom w:val="none" w:sz="0" w:space="0" w:color="auto"/>
        <w:right w:val="none" w:sz="0" w:space="0" w:color="auto"/>
      </w:divBdr>
    </w:div>
    <w:div w:id="1326124399">
      <w:bodyDiv w:val="1"/>
      <w:marLeft w:val="0"/>
      <w:marRight w:val="0"/>
      <w:marTop w:val="0"/>
      <w:marBottom w:val="0"/>
      <w:divBdr>
        <w:top w:val="none" w:sz="0" w:space="0" w:color="auto"/>
        <w:left w:val="none" w:sz="0" w:space="0" w:color="auto"/>
        <w:bottom w:val="none" w:sz="0" w:space="0" w:color="auto"/>
        <w:right w:val="none" w:sz="0" w:space="0" w:color="auto"/>
      </w:divBdr>
    </w:div>
    <w:div w:id="1326125005">
      <w:bodyDiv w:val="1"/>
      <w:marLeft w:val="0"/>
      <w:marRight w:val="0"/>
      <w:marTop w:val="0"/>
      <w:marBottom w:val="0"/>
      <w:divBdr>
        <w:top w:val="none" w:sz="0" w:space="0" w:color="auto"/>
        <w:left w:val="none" w:sz="0" w:space="0" w:color="auto"/>
        <w:bottom w:val="none" w:sz="0" w:space="0" w:color="auto"/>
        <w:right w:val="none" w:sz="0" w:space="0" w:color="auto"/>
      </w:divBdr>
    </w:div>
    <w:div w:id="1326130801">
      <w:bodyDiv w:val="1"/>
      <w:marLeft w:val="0"/>
      <w:marRight w:val="0"/>
      <w:marTop w:val="0"/>
      <w:marBottom w:val="0"/>
      <w:divBdr>
        <w:top w:val="none" w:sz="0" w:space="0" w:color="auto"/>
        <w:left w:val="none" w:sz="0" w:space="0" w:color="auto"/>
        <w:bottom w:val="none" w:sz="0" w:space="0" w:color="auto"/>
        <w:right w:val="none" w:sz="0" w:space="0" w:color="auto"/>
      </w:divBdr>
    </w:div>
    <w:div w:id="1326399223">
      <w:bodyDiv w:val="1"/>
      <w:marLeft w:val="0"/>
      <w:marRight w:val="0"/>
      <w:marTop w:val="0"/>
      <w:marBottom w:val="0"/>
      <w:divBdr>
        <w:top w:val="none" w:sz="0" w:space="0" w:color="auto"/>
        <w:left w:val="none" w:sz="0" w:space="0" w:color="auto"/>
        <w:bottom w:val="none" w:sz="0" w:space="0" w:color="auto"/>
        <w:right w:val="none" w:sz="0" w:space="0" w:color="auto"/>
      </w:divBdr>
    </w:div>
    <w:div w:id="1326400955">
      <w:bodyDiv w:val="1"/>
      <w:marLeft w:val="0"/>
      <w:marRight w:val="0"/>
      <w:marTop w:val="0"/>
      <w:marBottom w:val="0"/>
      <w:divBdr>
        <w:top w:val="none" w:sz="0" w:space="0" w:color="auto"/>
        <w:left w:val="none" w:sz="0" w:space="0" w:color="auto"/>
        <w:bottom w:val="none" w:sz="0" w:space="0" w:color="auto"/>
        <w:right w:val="none" w:sz="0" w:space="0" w:color="auto"/>
      </w:divBdr>
    </w:div>
    <w:div w:id="1326474425">
      <w:bodyDiv w:val="1"/>
      <w:marLeft w:val="0"/>
      <w:marRight w:val="0"/>
      <w:marTop w:val="0"/>
      <w:marBottom w:val="0"/>
      <w:divBdr>
        <w:top w:val="none" w:sz="0" w:space="0" w:color="auto"/>
        <w:left w:val="none" w:sz="0" w:space="0" w:color="auto"/>
        <w:bottom w:val="none" w:sz="0" w:space="0" w:color="auto"/>
        <w:right w:val="none" w:sz="0" w:space="0" w:color="auto"/>
      </w:divBdr>
    </w:div>
    <w:div w:id="1326858949">
      <w:bodyDiv w:val="1"/>
      <w:marLeft w:val="0"/>
      <w:marRight w:val="0"/>
      <w:marTop w:val="0"/>
      <w:marBottom w:val="0"/>
      <w:divBdr>
        <w:top w:val="none" w:sz="0" w:space="0" w:color="auto"/>
        <w:left w:val="none" w:sz="0" w:space="0" w:color="auto"/>
        <w:bottom w:val="none" w:sz="0" w:space="0" w:color="auto"/>
        <w:right w:val="none" w:sz="0" w:space="0" w:color="auto"/>
      </w:divBdr>
    </w:div>
    <w:div w:id="1326859936">
      <w:bodyDiv w:val="1"/>
      <w:marLeft w:val="0"/>
      <w:marRight w:val="0"/>
      <w:marTop w:val="0"/>
      <w:marBottom w:val="0"/>
      <w:divBdr>
        <w:top w:val="none" w:sz="0" w:space="0" w:color="auto"/>
        <w:left w:val="none" w:sz="0" w:space="0" w:color="auto"/>
        <w:bottom w:val="none" w:sz="0" w:space="0" w:color="auto"/>
        <w:right w:val="none" w:sz="0" w:space="0" w:color="auto"/>
      </w:divBdr>
    </w:div>
    <w:div w:id="1326932152">
      <w:bodyDiv w:val="1"/>
      <w:marLeft w:val="0"/>
      <w:marRight w:val="0"/>
      <w:marTop w:val="0"/>
      <w:marBottom w:val="0"/>
      <w:divBdr>
        <w:top w:val="none" w:sz="0" w:space="0" w:color="auto"/>
        <w:left w:val="none" w:sz="0" w:space="0" w:color="auto"/>
        <w:bottom w:val="none" w:sz="0" w:space="0" w:color="auto"/>
        <w:right w:val="none" w:sz="0" w:space="0" w:color="auto"/>
      </w:divBdr>
    </w:div>
    <w:div w:id="1326935361">
      <w:bodyDiv w:val="1"/>
      <w:marLeft w:val="0"/>
      <w:marRight w:val="0"/>
      <w:marTop w:val="0"/>
      <w:marBottom w:val="0"/>
      <w:divBdr>
        <w:top w:val="none" w:sz="0" w:space="0" w:color="auto"/>
        <w:left w:val="none" w:sz="0" w:space="0" w:color="auto"/>
        <w:bottom w:val="none" w:sz="0" w:space="0" w:color="auto"/>
        <w:right w:val="none" w:sz="0" w:space="0" w:color="auto"/>
      </w:divBdr>
    </w:div>
    <w:div w:id="1326981572">
      <w:bodyDiv w:val="1"/>
      <w:marLeft w:val="0"/>
      <w:marRight w:val="0"/>
      <w:marTop w:val="0"/>
      <w:marBottom w:val="0"/>
      <w:divBdr>
        <w:top w:val="none" w:sz="0" w:space="0" w:color="auto"/>
        <w:left w:val="none" w:sz="0" w:space="0" w:color="auto"/>
        <w:bottom w:val="none" w:sz="0" w:space="0" w:color="auto"/>
        <w:right w:val="none" w:sz="0" w:space="0" w:color="auto"/>
      </w:divBdr>
    </w:div>
    <w:div w:id="1327126413">
      <w:bodyDiv w:val="1"/>
      <w:marLeft w:val="0"/>
      <w:marRight w:val="0"/>
      <w:marTop w:val="0"/>
      <w:marBottom w:val="0"/>
      <w:divBdr>
        <w:top w:val="none" w:sz="0" w:space="0" w:color="auto"/>
        <w:left w:val="none" w:sz="0" w:space="0" w:color="auto"/>
        <w:bottom w:val="none" w:sz="0" w:space="0" w:color="auto"/>
        <w:right w:val="none" w:sz="0" w:space="0" w:color="auto"/>
      </w:divBdr>
    </w:div>
    <w:div w:id="1327127093">
      <w:bodyDiv w:val="1"/>
      <w:marLeft w:val="0"/>
      <w:marRight w:val="0"/>
      <w:marTop w:val="0"/>
      <w:marBottom w:val="0"/>
      <w:divBdr>
        <w:top w:val="none" w:sz="0" w:space="0" w:color="auto"/>
        <w:left w:val="none" w:sz="0" w:space="0" w:color="auto"/>
        <w:bottom w:val="none" w:sz="0" w:space="0" w:color="auto"/>
        <w:right w:val="none" w:sz="0" w:space="0" w:color="auto"/>
      </w:divBdr>
    </w:div>
    <w:div w:id="1327199102">
      <w:bodyDiv w:val="1"/>
      <w:marLeft w:val="0"/>
      <w:marRight w:val="0"/>
      <w:marTop w:val="0"/>
      <w:marBottom w:val="0"/>
      <w:divBdr>
        <w:top w:val="none" w:sz="0" w:space="0" w:color="auto"/>
        <w:left w:val="none" w:sz="0" w:space="0" w:color="auto"/>
        <w:bottom w:val="none" w:sz="0" w:space="0" w:color="auto"/>
        <w:right w:val="none" w:sz="0" w:space="0" w:color="auto"/>
      </w:divBdr>
    </w:div>
    <w:div w:id="1327437408">
      <w:bodyDiv w:val="1"/>
      <w:marLeft w:val="0"/>
      <w:marRight w:val="0"/>
      <w:marTop w:val="0"/>
      <w:marBottom w:val="0"/>
      <w:divBdr>
        <w:top w:val="none" w:sz="0" w:space="0" w:color="auto"/>
        <w:left w:val="none" w:sz="0" w:space="0" w:color="auto"/>
        <w:bottom w:val="none" w:sz="0" w:space="0" w:color="auto"/>
        <w:right w:val="none" w:sz="0" w:space="0" w:color="auto"/>
      </w:divBdr>
    </w:div>
    <w:div w:id="1327513919">
      <w:bodyDiv w:val="1"/>
      <w:marLeft w:val="0"/>
      <w:marRight w:val="0"/>
      <w:marTop w:val="0"/>
      <w:marBottom w:val="0"/>
      <w:divBdr>
        <w:top w:val="none" w:sz="0" w:space="0" w:color="auto"/>
        <w:left w:val="none" w:sz="0" w:space="0" w:color="auto"/>
        <w:bottom w:val="none" w:sz="0" w:space="0" w:color="auto"/>
        <w:right w:val="none" w:sz="0" w:space="0" w:color="auto"/>
      </w:divBdr>
    </w:div>
    <w:div w:id="1327703686">
      <w:bodyDiv w:val="1"/>
      <w:marLeft w:val="0"/>
      <w:marRight w:val="0"/>
      <w:marTop w:val="0"/>
      <w:marBottom w:val="0"/>
      <w:divBdr>
        <w:top w:val="none" w:sz="0" w:space="0" w:color="auto"/>
        <w:left w:val="none" w:sz="0" w:space="0" w:color="auto"/>
        <w:bottom w:val="none" w:sz="0" w:space="0" w:color="auto"/>
        <w:right w:val="none" w:sz="0" w:space="0" w:color="auto"/>
      </w:divBdr>
    </w:div>
    <w:div w:id="1327783919">
      <w:bodyDiv w:val="1"/>
      <w:marLeft w:val="0"/>
      <w:marRight w:val="0"/>
      <w:marTop w:val="0"/>
      <w:marBottom w:val="0"/>
      <w:divBdr>
        <w:top w:val="none" w:sz="0" w:space="0" w:color="auto"/>
        <w:left w:val="none" w:sz="0" w:space="0" w:color="auto"/>
        <w:bottom w:val="none" w:sz="0" w:space="0" w:color="auto"/>
        <w:right w:val="none" w:sz="0" w:space="0" w:color="auto"/>
      </w:divBdr>
    </w:div>
    <w:div w:id="1327824991">
      <w:bodyDiv w:val="1"/>
      <w:marLeft w:val="0"/>
      <w:marRight w:val="0"/>
      <w:marTop w:val="0"/>
      <w:marBottom w:val="0"/>
      <w:divBdr>
        <w:top w:val="none" w:sz="0" w:space="0" w:color="auto"/>
        <w:left w:val="none" w:sz="0" w:space="0" w:color="auto"/>
        <w:bottom w:val="none" w:sz="0" w:space="0" w:color="auto"/>
        <w:right w:val="none" w:sz="0" w:space="0" w:color="auto"/>
      </w:divBdr>
    </w:div>
    <w:div w:id="1327826656">
      <w:bodyDiv w:val="1"/>
      <w:marLeft w:val="0"/>
      <w:marRight w:val="0"/>
      <w:marTop w:val="0"/>
      <w:marBottom w:val="0"/>
      <w:divBdr>
        <w:top w:val="none" w:sz="0" w:space="0" w:color="auto"/>
        <w:left w:val="none" w:sz="0" w:space="0" w:color="auto"/>
        <w:bottom w:val="none" w:sz="0" w:space="0" w:color="auto"/>
        <w:right w:val="none" w:sz="0" w:space="0" w:color="auto"/>
      </w:divBdr>
    </w:div>
    <w:div w:id="1327828494">
      <w:bodyDiv w:val="1"/>
      <w:marLeft w:val="0"/>
      <w:marRight w:val="0"/>
      <w:marTop w:val="0"/>
      <w:marBottom w:val="0"/>
      <w:divBdr>
        <w:top w:val="none" w:sz="0" w:space="0" w:color="auto"/>
        <w:left w:val="none" w:sz="0" w:space="0" w:color="auto"/>
        <w:bottom w:val="none" w:sz="0" w:space="0" w:color="auto"/>
        <w:right w:val="none" w:sz="0" w:space="0" w:color="auto"/>
      </w:divBdr>
    </w:div>
    <w:div w:id="1328022624">
      <w:bodyDiv w:val="1"/>
      <w:marLeft w:val="0"/>
      <w:marRight w:val="0"/>
      <w:marTop w:val="0"/>
      <w:marBottom w:val="0"/>
      <w:divBdr>
        <w:top w:val="none" w:sz="0" w:space="0" w:color="auto"/>
        <w:left w:val="none" w:sz="0" w:space="0" w:color="auto"/>
        <w:bottom w:val="none" w:sz="0" w:space="0" w:color="auto"/>
        <w:right w:val="none" w:sz="0" w:space="0" w:color="auto"/>
      </w:divBdr>
    </w:div>
    <w:div w:id="1328048859">
      <w:bodyDiv w:val="1"/>
      <w:marLeft w:val="0"/>
      <w:marRight w:val="0"/>
      <w:marTop w:val="0"/>
      <w:marBottom w:val="0"/>
      <w:divBdr>
        <w:top w:val="none" w:sz="0" w:space="0" w:color="auto"/>
        <w:left w:val="none" w:sz="0" w:space="0" w:color="auto"/>
        <w:bottom w:val="none" w:sz="0" w:space="0" w:color="auto"/>
        <w:right w:val="none" w:sz="0" w:space="0" w:color="auto"/>
      </w:divBdr>
    </w:div>
    <w:div w:id="1328053139">
      <w:bodyDiv w:val="1"/>
      <w:marLeft w:val="0"/>
      <w:marRight w:val="0"/>
      <w:marTop w:val="0"/>
      <w:marBottom w:val="0"/>
      <w:divBdr>
        <w:top w:val="none" w:sz="0" w:space="0" w:color="auto"/>
        <w:left w:val="none" w:sz="0" w:space="0" w:color="auto"/>
        <w:bottom w:val="none" w:sz="0" w:space="0" w:color="auto"/>
        <w:right w:val="none" w:sz="0" w:space="0" w:color="auto"/>
      </w:divBdr>
    </w:div>
    <w:div w:id="1328249390">
      <w:bodyDiv w:val="1"/>
      <w:marLeft w:val="0"/>
      <w:marRight w:val="0"/>
      <w:marTop w:val="0"/>
      <w:marBottom w:val="0"/>
      <w:divBdr>
        <w:top w:val="none" w:sz="0" w:space="0" w:color="auto"/>
        <w:left w:val="none" w:sz="0" w:space="0" w:color="auto"/>
        <w:bottom w:val="none" w:sz="0" w:space="0" w:color="auto"/>
        <w:right w:val="none" w:sz="0" w:space="0" w:color="auto"/>
      </w:divBdr>
    </w:div>
    <w:div w:id="1328367902">
      <w:bodyDiv w:val="1"/>
      <w:marLeft w:val="0"/>
      <w:marRight w:val="0"/>
      <w:marTop w:val="0"/>
      <w:marBottom w:val="0"/>
      <w:divBdr>
        <w:top w:val="none" w:sz="0" w:space="0" w:color="auto"/>
        <w:left w:val="none" w:sz="0" w:space="0" w:color="auto"/>
        <w:bottom w:val="none" w:sz="0" w:space="0" w:color="auto"/>
        <w:right w:val="none" w:sz="0" w:space="0" w:color="auto"/>
      </w:divBdr>
    </w:div>
    <w:div w:id="1328439493">
      <w:bodyDiv w:val="1"/>
      <w:marLeft w:val="0"/>
      <w:marRight w:val="0"/>
      <w:marTop w:val="0"/>
      <w:marBottom w:val="0"/>
      <w:divBdr>
        <w:top w:val="none" w:sz="0" w:space="0" w:color="auto"/>
        <w:left w:val="none" w:sz="0" w:space="0" w:color="auto"/>
        <w:bottom w:val="none" w:sz="0" w:space="0" w:color="auto"/>
        <w:right w:val="none" w:sz="0" w:space="0" w:color="auto"/>
      </w:divBdr>
    </w:div>
    <w:div w:id="1328486198">
      <w:bodyDiv w:val="1"/>
      <w:marLeft w:val="0"/>
      <w:marRight w:val="0"/>
      <w:marTop w:val="0"/>
      <w:marBottom w:val="0"/>
      <w:divBdr>
        <w:top w:val="none" w:sz="0" w:space="0" w:color="auto"/>
        <w:left w:val="none" w:sz="0" w:space="0" w:color="auto"/>
        <w:bottom w:val="none" w:sz="0" w:space="0" w:color="auto"/>
        <w:right w:val="none" w:sz="0" w:space="0" w:color="auto"/>
      </w:divBdr>
    </w:div>
    <w:div w:id="1328630427">
      <w:bodyDiv w:val="1"/>
      <w:marLeft w:val="0"/>
      <w:marRight w:val="0"/>
      <w:marTop w:val="0"/>
      <w:marBottom w:val="0"/>
      <w:divBdr>
        <w:top w:val="none" w:sz="0" w:space="0" w:color="auto"/>
        <w:left w:val="none" w:sz="0" w:space="0" w:color="auto"/>
        <w:bottom w:val="none" w:sz="0" w:space="0" w:color="auto"/>
        <w:right w:val="none" w:sz="0" w:space="0" w:color="auto"/>
      </w:divBdr>
    </w:div>
    <w:div w:id="1328633329">
      <w:bodyDiv w:val="1"/>
      <w:marLeft w:val="0"/>
      <w:marRight w:val="0"/>
      <w:marTop w:val="0"/>
      <w:marBottom w:val="0"/>
      <w:divBdr>
        <w:top w:val="none" w:sz="0" w:space="0" w:color="auto"/>
        <w:left w:val="none" w:sz="0" w:space="0" w:color="auto"/>
        <w:bottom w:val="none" w:sz="0" w:space="0" w:color="auto"/>
        <w:right w:val="none" w:sz="0" w:space="0" w:color="auto"/>
      </w:divBdr>
    </w:div>
    <w:div w:id="1328829070">
      <w:bodyDiv w:val="1"/>
      <w:marLeft w:val="0"/>
      <w:marRight w:val="0"/>
      <w:marTop w:val="0"/>
      <w:marBottom w:val="0"/>
      <w:divBdr>
        <w:top w:val="none" w:sz="0" w:space="0" w:color="auto"/>
        <w:left w:val="none" w:sz="0" w:space="0" w:color="auto"/>
        <w:bottom w:val="none" w:sz="0" w:space="0" w:color="auto"/>
        <w:right w:val="none" w:sz="0" w:space="0" w:color="auto"/>
      </w:divBdr>
    </w:div>
    <w:div w:id="1328901178">
      <w:bodyDiv w:val="1"/>
      <w:marLeft w:val="0"/>
      <w:marRight w:val="0"/>
      <w:marTop w:val="0"/>
      <w:marBottom w:val="0"/>
      <w:divBdr>
        <w:top w:val="none" w:sz="0" w:space="0" w:color="auto"/>
        <w:left w:val="none" w:sz="0" w:space="0" w:color="auto"/>
        <w:bottom w:val="none" w:sz="0" w:space="0" w:color="auto"/>
        <w:right w:val="none" w:sz="0" w:space="0" w:color="auto"/>
      </w:divBdr>
    </w:div>
    <w:div w:id="1328940433">
      <w:bodyDiv w:val="1"/>
      <w:marLeft w:val="0"/>
      <w:marRight w:val="0"/>
      <w:marTop w:val="0"/>
      <w:marBottom w:val="0"/>
      <w:divBdr>
        <w:top w:val="none" w:sz="0" w:space="0" w:color="auto"/>
        <w:left w:val="none" w:sz="0" w:space="0" w:color="auto"/>
        <w:bottom w:val="none" w:sz="0" w:space="0" w:color="auto"/>
        <w:right w:val="none" w:sz="0" w:space="0" w:color="auto"/>
      </w:divBdr>
    </w:div>
    <w:div w:id="1328942786">
      <w:bodyDiv w:val="1"/>
      <w:marLeft w:val="0"/>
      <w:marRight w:val="0"/>
      <w:marTop w:val="0"/>
      <w:marBottom w:val="0"/>
      <w:divBdr>
        <w:top w:val="none" w:sz="0" w:space="0" w:color="auto"/>
        <w:left w:val="none" w:sz="0" w:space="0" w:color="auto"/>
        <w:bottom w:val="none" w:sz="0" w:space="0" w:color="auto"/>
        <w:right w:val="none" w:sz="0" w:space="0" w:color="auto"/>
      </w:divBdr>
    </w:div>
    <w:div w:id="1328943483">
      <w:bodyDiv w:val="1"/>
      <w:marLeft w:val="0"/>
      <w:marRight w:val="0"/>
      <w:marTop w:val="0"/>
      <w:marBottom w:val="0"/>
      <w:divBdr>
        <w:top w:val="none" w:sz="0" w:space="0" w:color="auto"/>
        <w:left w:val="none" w:sz="0" w:space="0" w:color="auto"/>
        <w:bottom w:val="none" w:sz="0" w:space="0" w:color="auto"/>
        <w:right w:val="none" w:sz="0" w:space="0" w:color="auto"/>
      </w:divBdr>
    </w:div>
    <w:div w:id="1329019970">
      <w:bodyDiv w:val="1"/>
      <w:marLeft w:val="0"/>
      <w:marRight w:val="0"/>
      <w:marTop w:val="0"/>
      <w:marBottom w:val="0"/>
      <w:divBdr>
        <w:top w:val="none" w:sz="0" w:space="0" w:color="auto"/>
        <w:left w:val="none" w:sz="0" w:space="0" w:color="auto"/>
        <w:bottom w:val="none" w:sz="0" w:space="0" w:color="auto"/>
        <w:right w:val="none" w:sz="0" w:space="0" w:color="auto"/>
      </w:divBdr>
    </w:div>
    <w:div w:id="1329023238">
      <w:bodyDiv w:val="1"/>
      <w:marLeft w:val="0"/>
      <w:marRight w:val="0"/>
      <w:marTop w:val="0"/>
      <w:marBottom w:val="0"/>
      <w:divBdr>
        <w:top w:val="none" w:sz="0" w:space="0" w:color="auto"/>
        <w:left w:val="none" w:sz="0" w:space="0" w:color="auto"/>
        <w:bottom w:val="none" w:sz="0" w:space="0" w:color="auto"/>
        <w:right w:val="none" w:sz="0" w:space="0" w:color="auto"/>
      </w:divBdr>
    </w:div>
    <w:div w:id="1329141087">
      <w:bodyDiv w:val="1"/>
      <w:marLeft w:val="0"/>
      <w:marRight w:val="0"/>
      <w:marTop w:val="0"/>
      <w:marBottom w:val="0"/>
      <w:divBdr>
        <w:top w:val="none" w:sz="0" w:space="0" w:color="auto"/>
        <w:left w:val="none" w:sz="0" w:space="0" w:color="auto"/>
        <w:bottom w:val="none" w:sz="0" w:space="0" w:color="auto"/>
        <w:right w:val="none" w:sz="0" w:space="0" w:color="auto"/>
      </w:divBdr>
    </w:div>
    <w:div w:id="1329291736">
      <w:bodyDiv w:val="1"/>
      <w:marLeft w:val="0"/>
      <w:marRight w:val="0"/>
      <w:marTop w:val="0"/>
      <w:marBottom w:val="0"/>
      <w:divBdr>
        <w:top w:val="none" w:sz="0" w:space="0" w:color="auto"/>
        <w:left w:val="none" w:sz="0" w:space="0" w:color="auto"/>
        <w:bottom w:val="none" w:sz="0" w:space="0" w:color="auto"/>
        <w:right w:val="none" w:sz="0" w:space="0" w:color="auto"/>
      </w:divBdr>
    </w:div>
    <w:div w:id="1329364444">
      <w:bodyDiv w:val="1"/>
      <w:marLeft w:val="0"/>
      <w:marRight w:val="0"/>
      <w:marTop w:val="0"/>
      <w:marBottom w:val="0"/>
      <w:divBdr>
        <w:top w:val="none" w:sz="0" w:space="0" w:color="auto"/>
        <w:left w:val="none" w:sz="0" w:space="0" w:color="auto"/>
        <w:bottom w:val="none" w:sz="0" w:space="0" w:color="auto"/>
        <w:right w:val="none" w:sz="0" w:space="0" w:color="auto"/>
      </w:divBdr>
    </w:div>
    <w:div w:id="1329556086">
      <w:bodyDiv w:val="1"/>
      <w:marLeft w:val="0"/>
      <w:marRight w:val="0"/>
      <w:marTop w:val="0"/>
      <w:marBottom w:val="0"/>
      <w:divBdr>
        <w:top w:val="none" w:sz="0" w:space="0" w:color="auto"/>
        <w:left w:val="none" w:sz="0" w:space="0" w:color="auto"/>
        <w:bottom w:val="none" w:sz="0" w:space="0" w:color="auto"/>
        <w:right w:val="none" w:sz="0" w:space="0" w:color="auto"/>
      </w:divBdr>
    </w:div>
    <w:div w:id="1329677739">
      <w:bodyDiv w:val="1"/>
      <w:marLeft w:val="0"/>
      <w:marRight w:val="0"/>
      <w:marTop w:val="0"/>
      <w:marBottom w:val="0"/>
      <w:divBdr>
        <w:top w:val="none" w:sz="0" w:space="0" w:color="auto"/>
        <w:left w:val="none" w:sz="0" w:space="0" w:color="auto"/>
        <w:bottom w:val="none" w:sz="0" w:space="0" w:color="auto"/>
        <w:right w:val="none" w:sz="0" w:space="0" w:color="auto"/>
      </w:divBdr>
    </w:div>
    <w:div w:id="1329865207">
      <w:bodyDiv w:val="1"/>
      <w:marLeft w:val="0"/>
      <w:marRight w:val="0"/>
      <w:marTop w:val="0"/>
      <w:marBottom w:val="0"/>
      <w:divBdr>
        <w:top w:val="none" w:sz="0" w:space="0" w:color="auto"/>
        <w:left w:val="none" w:sz="0" w:space="0" w:color="auto"/>
        <w:bottom w:val="none" w:sz="0" w:space="0" w:color="auto"/>
        <w:right w:val="none" w:sz="0" w:space="0" w:color="auto"/>
      </w:divBdr>
    </w:div>
    <w:div w:id="1330015294">
      <w:bodyDiv w:val="1"/>
      <w:marLeft w:val="0"/>
      <w:marRight w:val="0"/>
      <w:marTop w:val="0"/>
      <w:marBottom w:val="0"/>
      <w:divBdr>
        <w:top w:val="none" w:sz="0" w:space="0" w:color="auto"/>
        <w:left w:val="none" w:sz="0" w:space="0" w:color="auto"/>
        <w:bottom w:val="none" w:sz="0" w:space="0" w:color="auto"/>
        <w:right w:val="none" w:sz="0" w:space="0" w:color="auto"/>
      </w:divBdr>
    </w:div>
    <w:div w:id="1330016824">
      <w:bodyDiv w:val="1"/>
      <w:marLeft w:val="0"/>
      <w:marRight w:val="0"/>
      <w:marTop w:val="0"/>
      <w:marBottom w:val="0"/>
      <w:divBdr>
        <w:top w:val="none" w:sz="0" w:space="0" w:color="auto"/>
        <w:left w:val="none" w:sz="0" w:space="0" w:color="auto"/>
        <w:bottom w:val="none" w:sz="0" w:space="0" w:color="auto"/>
        <w:right w:val="none" w:sz="0" w:space="0" w:color="auto"/>
      </w:divBdr>
    </w:div>
    <w:div w:id="1330252664">
      <w:bodyDiv w:val="1"/>
      <w:marLeft w:val="0"/>
      <w:marRight w:val="0"/>
      <w:marTop w:val="0"/>
      <w:marBottom w:val="0"/>
      <w:divBdr>
        <w:top w:val="none" w:sz="0" w:space="0" w:color="auto"/>
        <w:left w:val="none" w:sz="0" w:space="0" w:color="auto"/>
        <w:bottom w:val="none" w:sz="0" w:space="0" w:color="auto"/>
        <w:right w:val="none" w:sz="0" w:space="0" w:color="auto"/>
      </w:divBdr>
    </w:div>
    <w:div w:id="1330325094">
      <w:bodyDiv w:val="1"/>
      <w:marLeft w:val="0"/>
      <w:marRight w:val="0"/>
      <w:marTop w:val="0"/>
      <w:marBottom w:val="0"/>
      <w:divBdr>
        <w:top w:val="none" w:sz="0" w:space="0" w:color="auto"/>
        <w:left w:val="none" w:sz="0" w:space="0" w:color="auto"/>
        <w:bottom w:val="none" w:sz="0" w:space="0" w:color="auto"/>
        <w:right w:val="none" w:sz="0" w:space="0" w:color="auto"/>
      </w:divBdr>
    </w:div>
    <w:div w:id="1330332216">
      <w:bodyDiv w:val="1"/>
      <w:marLeft w:val="0"/>
      <w:marRight w:val="0"/>
      <w:marTop w:val="0"/>
      <w:marBottom w:val="0"/>
      <w:divBdr>
        <w:top w:val="none" w:sz="0" w:space="0" w:color="auto"/>
        <w:left w:val="none" w:sz="0" w:space="0" w:color="auto"/>
        <w:bottom w:val="none" w:sz="0" w:space="0" w:color="auto"/>
        <w:right w:val="none" w:sz="0" w:space="0" w:color="auto"/>
      </w:divBdr>
    </w:div>
    <w:div w:id="1330408462">
      <w:bodyDiv w:val="1"/>
      <w:marLeft w:val="0"/>
      <w:marRight w:val="0"/>
      <w:marTop w:val="0"/>
      <w:marBottom w:val="0"/>
      <w:divBdr>
        <w:top w:val="none" w:sz="0" w:space="0" w:color="auto"/>
        <w:left w:val="none" w:sz="0" w:space="0" w:color="auto"/>
        <w:bottom w:val="none" w:sz="0" w:space="0" w:color="auto"/>
        <w:right w:val="none" w:sz="0" w:space="0" w:color="auto"/>
      </w:divBdr>
    </w:div>
    <w:div w:id="1330519901">
      <w:bodyDiv w:val="1"/>
      <w:marLeft w:val="0"/>
      <w:marRight w:val="0"/>
      <w:marTop w:val="0"/>
      <w:marBottom w:val="0"/>
      <w:divBdr>
        <w:top w:val="none" w:sz="0" w:space="0" w:color="auto"/>
        <w:left w:val="none" w:sz="0" w:space="0" w:color="auto"/>
        <w:bottom w:val="none" w:sz="0" w:space="0" w:color="auto"/>
        <w:right w:val="none" w:sz="0" w:space="0" w:color="auto"/>
      </w:divBdr>
    </w:div>
    <w:div w:id="1330520261">
      <w:bodyDiv w:val="1"/>
      <w:marLeft w:val="0"/>
      <w:marRight w:val="0"/>
      <w:marTop w:val="0"/>
      <w:marBottom w:val="0"/>
      <w:divBdr>
        <w:top w:val="none" w:sz="0" w:space="0" w:color="auto"/>
        <w:left w:val="none" w:sz="0" w:space="0" w:color="auto"/>
        <w:bottom w:val="none" w:sz="0" w:space="0" w:color="auto"/>
        <w:right w:val="none" w:sz="0" w:space="0" w:color="auto"/>
      </w:divBdr>
    </w:div>
    <w:div w:id="1330526539">
      <w:bodyDiv w:val="1"/>
      <w:marLeft w:val="0"/>
      <w:marRight w:val="0"/>
      <w:marTop w:val="0"/>
      <w:marBottom w:val="0"/>
      <w:divBdr>
        <w:top w:val="none" w:sz="0" w:space="0" w:color="auto"/>
        <w:left w:val="none" w:sz="0" w:space="0" w:color="auto"/>
        <w:bottom w:val="none" w:sz="0" w:space="0" w:color="auto"/>
        <w:right w:val="none" w:sz="0" w:space="0" w:color="auto"/>
      </w:divBdr>
    </w:div>
    <w:div w:id="1330643358">
      <w:bodyDiv w:val="1"/>
      <w:marLeft w:val="0"/>
      <w:marRight w:val="0"/>
      <w:marTop w:val="0"/>
      <w:marBottom w:val="0"/>
      <w:divBdr>
        <w:top w:val="none" w:sz="0" w:space="0" w:color="auto"/>
        <w:left w:val="none" w:sz="0" w:space="0" w:color="auto"/>
        <w:bottom w:val="none" w:sz="0" w:space="0" w:color="auto"/>
        <w:right w:val="none" w:sz="0" w:space="0" w:color="auto"/>
      </w:divBdr>
    </w:div>
    <w:div w:id="1330673299">
      <w:bodyDiv w:val="1"/>
      <w:marLeft w:val="0"/>
      <w:marRight w:val="0"/>
      <w:marTop w:val="0"/>
      <w:marBottom w:val="0"/>
      <w:divBdr>
        <w:top w:val="none" w:sz="0" w:space="0" w:color="auto"/>
        <w:left w:val="none" w:sz="0" w:space="0" w:color="auto"/>
        <w:bottom w:val="none" w:sz="0" w:space="0" w:color="auto"/>
        <w:right w:val="none" w:sz="0" w:space="0" w:color="auto"/>
      </w:divBdr>
    </w:div>
    <w:div w:id="1330714214">
      <w:bodyDiv w:val="1"/>
      <w:marLeft w:val="0"/>
      <w:marRight w:val="0"/>
      <w:marTop w:val="0"/>
      <w:marBottom w:val="0"/>
      <w:divBdr>
        <w:top w:val="none" w:sz="0" w:space="0" w:color="auto"/>
        <w:left w:val="none" w:sz="0" w:space="0" w:color="auto"/>
        <w:bottom w:val="none" w:sz="0" w:space="0" w:color="auto"/>
        <w:right w:val="none" w:sz="0" w:space="0" w:color="auto"/>
      </w:divBdr>
    </w:div>
    <w:div w:id="1330863228">
      <w:bodyDiv w:val="1"/>
      <w:marLeft w:val="0"/>
      <w:marRight w:val="0"/>
      <w:marTop w:val="0"/>
      <w:marBottom w:val="0"/>
      <w:divBdr>
        <w:top w:val="none" w:sz="0" w:space="0" w:color="auto"/>
        <w:left w:val="none" w:sz="0" w:space="0" w:color="auto"/>
        <w:bottom w:val="none" w:sz="0" w:space="0" w:color="auto"/>
        <w:right w:val="none" w:sz="0" w:space="0" w:color="auto"/>
      </w:divBdr>
    </w:div>
    <w:div w:id="1330868324">
      <w:bodyDiv w:val="1"/>
      <w:marLeft w:val="0"/>
      <w:marRight w:val="0"/>
      <w:marTop w:val="0"/>
      <w:marBottom w:val="0"/>
      <w:divBdr>
        <w:top w:val="none" w:sz="0" w:space="0" w:color="auto"/>
        <w:left w:val="none" w:sz="0" w:space="0" w:color="auto"/>
        <w:bottom w:val="none" w:sz="0" w:space="0" w:color="auto"/>
        <w:right w:val="none" w:sz="0" w:space="0" w:color="auto"/>
      </w:divBdr>
    </w:div>
    <w:div w:id="1330909571">
      <w:bodyDiv w:val="1"/>
      <w:marLeft w:val="0"/>
      <w:marRight w:val="0"/>
      <w:marTop w:val="0"/>
      <w:marBottom w:val="0"/>
      <w:divBdr>
        <w:top w:val="none" w:sz="0" w:space="0" w:color="auto"/>
        <w:left w:val="none" w:sz="0" w:space="0" w:color="auto"/>
        <w:bottom w:val="none" w:sz="0" w:space="0" w:color="auto"/>
        <w:right w:val="none" w:sz="0" w:space="0" w:color="auto"/>
      </w:divBdr>
    </w:div>
    <w:div w:id="1330985044">
      <w:bodyDiv w:val="1"/>
      <w:marLeft w:val="0"/>
      <w:marRight w:val="0"/>
      <w:marTop w:val="0"/>
      <w:marBottom w:val="0"/>
      <w:divBdr>
        <w:top w:val="none" w:sz="0" w:space="0" w:color="auto"/>
        <w:left w:val="none" w:sz="0" w:space="0" w:color="auto"/>
        <w:bottom w:val="none" w:sz="0" w:space="0" w:color="auto"/>
        <w:right w:val="none" w:sz="0" w:space="0" w:color="auto"/>
      </w:divBdr>
    </w:div>
    <w:div w:id="1331055847">
      <w:bodyDiv w:val="1"/>
      <w:marLeft w:val="0"/>
      <w:marRight w:val="0"/>
      <w:marTop w:val="0"/>
      <w:marBottom w:val="0"/>
      <w:divBdr>
        <w:top w:val="none" w:sz="0" w:space="0" w:color="auto"/>
        <w:left w:val="none" w:sz="0" w:space="0" w:color="auto"/>
        <w:bottom w:val="none" w:sz="0" w:space="0" w:color="auto"/>
        <w:right w:val="none" w:sz="0" w:space="0" w:color="auto"/>
      </w:divBdr>
    </w:div>
    <w:div w:id="1331060073">
      <w:bodyDiv w:val="1"/>
      <w:marLeft w:val="0"/>
      <w:marRight w:val="0"/>
      <w:marTop w:val="0"/>
      <w:marBottom w:val="0"/>
      <w:divBdr>
        <w:top w:val="none" w:sz="0" w:space="0" w:color="auto"/>
        <w:left w:val="none" w:sz="0" w:space="0" w:color="auto"/>
        <w:bottom w:val="none" w:sz="0" w:space="0" w:color="auto"/>
        <w:right w:val="none" w:sz="0" w:space="0" w:color="auto"/>
      </w:divBdr>
    </w:div>
    <w:div w:id="1331104687">
      <w:bodyDiv w:val="1"/>
      <w:marLeft w:val="0"/>
      <w:marRight w:val="0"/>
      <w:marTop w:val="0"/>
      <w:marBottom w:val="0"/>
      <w:divBdr>
        <w:top w:val="none" w:sz="0" w:space="0" w:color="auto"/>
        <w:left w:val="none" w:sz="0" w:space="0" w:color="auto"/>
        <w:bottom w:val="none" w:sz="0" w:space="0" w:color="auto"/>
        <w:right w:val="none" w:sz="0" w:space="0" w:color="auto"/>
      </w:divBdr>
    </w:div>
    <w:div w:id="1331175330">
      <w:bodyDiv w:val="1"/>
      <w:marLeft w:val="0"/>
      <w:marRight w:val="0"/>
      <w:marTop w:val="0"/>
      <w:marBottom w:val="0"/>
      <w:divBdr>
        <w:top w:val="none" w:sz="0" w:space="0" w:color="auto"/>
        <w:left w:val="none" w:sz="0" w:space="0" w:color="auto"/>
        <w:bottom w:val="none" w:sz="0" w:space="0" w:color="auto"/>
        <w:right w:val="none" w:sz="0" w:space="0" w:color="auto"/>
      </w:divBdr>
    </w:div>
    <w:div w:id="1331252548">
      <w:bodyDiv w:val="1"/>
      <w:marLeft w:val="0"/>
      <w:marRight w:val="0"/>
      <w:marTop w:val="0"/>
      <w:marBottom w:val="0"/>
      <w:divBdr>
        <w:top w:val="none" w:sz="0" w:space="0" w:color="auto"/>
        <w:left w:val="none" w:sz="0" w:space="0" w:color="auto"/>
        <w:bottom w:val="none" w:sz="0" w:space="0" w:color="auto"/>
        <w:right w:val="none" w:sz="0" w:space="0" w:color="auto"/>
      </w:divBdr>
    </w:div>
    <w:div w:id="1331324465">
      <w:bodyDiv w:val="1"/>
      <w:marLeft w:val="0"/>
      <w:marRight w:val="0"/>
      <w:marTop w:val="0"/>
      <w:marBottom w:val="0"/>
      <w:divBdr>
        <w:top w:val="none" w:sz="0" w:space="0" w:color="auto"/>
        <w:left w:val="none" w:sz="0" w:space="0" w:color="auto"/>
        <w:bottom w:val="none" w:sz="0" w:space="0" w:color="auto"/>
        <w:right w:val="none" w:sz="0" w:space="0" w:color="auto"/>
      </w:divBdr>
    </w:div>
    <w:div w:id="1331366157">
      <w:bodyDiv w:val="1"/>
      <w:marLeft w:val="0"/>
      <w:marRight w:val="0"/>
      <w:marTop w:val="0"/>
      <w:marBottom w:val="0"/>
      <w:divBdr>
        <w:top w:val="none" w:sz="0" w:space="0" w:color="auto"/>
        <w:left w:val="none" w:sz="0" w:space="0" w:color="auto"/>
        <w:bottom w:val="none" w:sz="0" w:space="0" w:color="auto"/>
        <w:right w:val="none" w:sz="0" w:space="0" w:color="auto"/>
      </w:divBdr>
    </w:div>
    <w:div w:id="1331637680">
      <w:bodyDiv w:val="1"/>
      <w:marLeft w:val="0"/>
      <w:marRight w:val="0"/>
      <w:marTop w:val="0"/>
      <w:marBottom w:val="0"/>
      <w:divBdr>
        <w:top w:val="none" w:sz="0" w:space="0" w:color="auto"/>
        <w:left w:val="none" w:sz="0" w:space="0" w:color="auto"/>
        <w:bottom w:val="none" w:sz="0" w:space="0" w:color="auto"/>
        <w:right w:val="none" w:sz="0" w:space="0" w:color="auto"/>
      </w:divBdr>
    </w:div>
    <w:div w:id="1331787456">
      <w:bodyDiv w:val="1"/>
      <w:marLeft w:val="0"/>
      <w:marRight w:val="0"/>
      <w:marTop w:val="0"/>
      <w:marBottom w:val="0"/>
      <w:divBdr>
        <w:top w:val="none" w:sz="0" w:space="0" w:color="auto"/>
        <w:left w:val="none" w:sz="0" w:space="0" w:color="auto"/>
        <w:bottom w:val="none" w:sz="0" w:space="0" w:color="auto"/>
        <w:right w:val="none" w:sz="0" w:space="0" w:color="auto"/>
      </w:divBdr>
    </w:div>
    <w:div w:id="1331834920">
      <w:bodyDiv w:val="1"/>
      <w:marLeft w:val="0"/>
      <w:marRight w:val="0"/>
      <w:marTop w:val="0"/>
      <w:marBottom w:val="0"/>
      <w:divBdr>
        <w:top w:val="none" w:sz="0" w:space="0" w:color="auto"/>
        <w:left w:val="none" w:sz="0" w:space="0" w:color="auto"/>
        <w:bottom w:val="none" w:sz="0" w:space="0" w:color="auto"/>
        <w:right w:val="none" w:sz="0" w:space="0" w:color="auto"/>
      </w:divBdr>
    </w:div>
    <w:div w:id="1331905053">
      <w:bodyDiv w:val="1"/>
      <w:marLeft w:val="0"/>
      <w:marRight w:val="0"/>
      <w:marTop w:val="0"/>
      <w:marBottom w:val="0"/>
      <w:divBdr>
        <w:top w:val="none" w:sz="0" w:space="0" w:color="auto"/>
        <w:left w:val="none" w:sz="0" w:space="0" w:color="auto"/>
        <w:bottom w:val="none" w:sz="0" w:space="0" w:color="auto"/>
        <w:right w:val="none" w:sz="0" w:space="0" w:color="auto"/>
      </w:divBdr>
    </w:div>
    <w:div w:id="1331912534">
      <w:bodyDiv w:val="1"/>
      <w:marLeft w:val="0"/>
      <w:marRight w:val="0"/>
      <w:marTop w:val="0"/>
      <w:marBottom w:val="0"/>
      <w:divBdr>
        <w:top w:val="none" w:sz="0" w:space="0" w:color="auto"/>
        <w:left w:val="none" w:sz="0" w:space="0" w:color="auto"/>
        <w:bottom w:val="none" w:sz="0" w:space="0" w:color="auto"/>
        <w:right w:val="none" w:sz="0" w:space="0" w:color="auto"/>
      </w:divBdr>
    </w:div>
    <w:div w:id="1332101846">
      <w:bodyDiv w:val="1"/>
      <w:marLeft w:val="0"/>
      <w:marRight w:val="0"/>
      <w:marTop w:val="0"/>
      <w:marBottom w:val="0"/>
      <w:divBdr>
        <w:top w:val="none" w:sz="0" w:space="0" w:color="auto"/>
        <w:left w:val="none" w:sz="0" w:space="0" w:color="auto"/>
        <w:bottom w:val="none" w:sz="0" w:space="0" w:color="auto"/>
        <w:right w:val="none" w:sz="0" w:space="0" w:color="auto"/>
      </w:divBdr>
    </w:div>
    <w:div w:id="1332175654">
      <w:bodyDiv w:val="1"/>
      <w:marLeft w:val="0"/>
      <w:marRight w:val="0"/>
      <w:marTop w:val="0"/>
      <w:marBottom w:val="0"/>
      <w:divBdr>
        <w:top w:val="none" w:sz="0" w:space="0" w:color="auto"/>
        <w:left w:val="none" w:sz="0" w:space="0" w:color="auto"/>
        <w:bottom w:val="none" w:sz="0" w:space="0" w:color="auto"/>
        <w:right w:val="none" w:sz="0" w:space="0" w:color="auto"/>
      </w:divBdr>
    </w:div>
    <w:div w:id="1332220088">
      <w:bodyDiv w:val="1"/>
      <w:marLeft w:val="0"/>
      <w:marRight w:val="0"/>
      <w:marTop w:val="0"/>
      <w:marBottom w:val="0"/>
      <w:divBdr>
        <w:top w:val="none" w:sz="0" w:space="0" w:color="auto"/>
        <w:left w:val="none" w:sz="0" w:space="0" w:color="auto"/>
        <w:bottom w:val="none" w:sz="0" w:space="0" w:color="auto"/>
        <w:right w:val="none" w:sz="0" w:space="0" w:color="auto"/>
      </w:divBdr>
    </w:div>
    <w:div w:id="1332224145">
      <w:bodyDiv w:val="1"/>
      <w:marLeft w:val="0"/>
      <w:marRight w:val="0"/>
      <w:marTop w:val="0"/>
      <w:marBottom w:val="0"/>
      <w:divBdr>
        <w:top w:val="none" w:sz="0" w:space="0" w:color="auto"/>
        <w:left w:val="none" w:sz="0" w:space="0" w:color="auto"/>
        <w:bottom w:val="none" w:sz="0" w:space="0" w:color="auto"/>
        <w:right w:val="none" w:sz="0" w:space="0" w:color="auto"/>
      </w:divBdr>
    </w:div>
    <w:div w:id="1332486247">
      <w:bodyDiv w:val="1"/>
      <w:marLeft w:val="0"/>
      <w:marRight w:val="0"/>
      <w:marTop w:val="0"/>
      <w:marBottom w:val="0"/>
      <w:divBdr>
        <w:top w:val="none" w:sz="0" w:space="0" w:color="auto"/>
        <w:left w:val="none" w:sz="0" w:space="0" w:color="auto"/>
        <w:bottom w:val="none" w:sz="0" w:space="0" w:color="auto"/>
        <w:right w:val="none" w:sz="0" w:space="0" w:color="auto"/>
      </w:divBdr>
    </w:div>
    <w:div w:id="1332560794">
      <w:bodyDiv w:val="1"/>
      <w:marLeft w:val="0"/>
      <w:marRight w:val="0"/>
      <w:marTop w:val="0"/>
      <w:marBottom w:val="0"/>
      <w:divBdr>
        <w:top w:val="none" w:sz="0" w:space="0" w:color="auto"/>
        <w:left w:val="none" w:sz="0" w:space="0" w:color="auto"/>
        <w:bottom w:val="none" w:sz="0" w:space="0" w:color="auto"/>
        <w:right w:val="none" w:sz="0" w:space="0" w:color="auto"/>
      </w:divBdr>
    </w:div>
    <w:div w:id="1332566221">
      <w:bodyDiv w:val="1"/>
      <w:marLeft w:val="0"/>
      <w:marRight w:val="0"/>
      <w:marTop w:val="0"/>
      <w:marBottom w:val="0"/>
      <w:divBdr>
        <w:top w:val="none" w:sz="0" w:space="0" w:color="auto"/>
        <w:left w:val="none" w:sz="0" w:space="0" w:color="auto"/>
        <w:bottom w:val="none" w:sz="0" w:space="0" w:color="auto"/>
        <w:right w:val="none" w:sz="0" w:space="0" w:color="auto"/>
      </w:divBdr>
    </w:div>
    <w:div w:id="1332835658">
      <w:bodyDiv w:val="1"/>
      <w:marLeft w:val="0"/>
      <w:marRight w:val="0"/>
      <w:marTop w:val="0"/>
      <w:marBottom w:val="0"/>
      <w:divBdr>
        <w:top w:val="none" w:sz="0" w:space="0" w:color="auto"/>
        <w:left w:val="none" w:sz="0" w:space="0" w:color="auto"/>
        <w:bottom w:val="none" w:sz="0" w:space="0" w:color="auto"/>
        <w:right w:val="none" w:sz="0" w:space="0" w:color="auto"/>
      </w:divBdr>
    </w:div>
    <w:div w:id="1332946832">
      <w:bodyDiv w:val="1"/>
      <w:marLeft w:val="0"/>
      <w:marRight w:val="0"/>
      <w:marTop w:val="0"/>
      <w:marBottom w:val="0"/>
      <w:divBdr>
        <w:top w:val="none" w:sz="0" w:space="0" w:color="auto"/>
        <w:left w:val="none" w:sz="0" w:space="0" w:color="auto"/>
        <w:bottom w:val="none" w:sz="0" w:space="0" w:color="auto"/>
        <w:right w:val="none" w:sz="0" w:space="0" w:color="auto"/>
      </w:divBdr>
    </w:div>
    <w:div w:id="1332948663">
      <w:bodyDiv w:val="1"/>
      <w:marLeft w:val="0"/>
      <w:marRight w:val="0"/>
      <w:marTop w:val="0"/>
      <w:marBottom w:val="0"/>
      <w:divBdr>
        <w:top w:val="none" w:sz="0" w:space="0" w:color="auto"/>
        <w:left w:val="none" w:sz="0" w:space="0" w:color="auto"/>
        <w:bottom w:val="none" w:sz="0" w:space="0" w:color="auto"/>
        <w:right w:val="none" w:sz="0" w:space="0" w:color="auto"/>
      </w:divBdr>
    </w:div>
    <w:div w:id="1333027238">
      <w:bodyDiv w:val="1"/>
      <w:marLeft w:val="0"/>
      <w:marRight w:val="0"/>
      <w:marTop w:val="0"/>
      <w:marBottom w:val="0"/>
      <w:divBdr>
        <w:top w:val="none" w:sz="0" w:space="0" w:color="auto"/>
        <w:left w:val="none" w:sz="0" w:space="0" w:color="auto"/>
        <w:bottom w:val="none" w:sz="0" w:space="0" w:color="auto"/>
        <w:right w:val="none" w:sz="0" w:space="0" w:color="auto"/>
      </w:divBdr>
    </w:div>
    <w:div w:id="1333068054">
      <w:bodyDiv w:val="1"/>
      <w:marLeft w:val="0"/>
      <w:marRight w:val="0"/>
      <w:marTop w:val="0"/>
      <w:marBottom w:val="0"/>
      <w:divBdr>
        <w:top w:val="none" w:sz="0" w:space="0" w:color="auto"/>
        <w:left w:val="none" w:sz="0" w:space="0" w:color="auto"/>
        <w:bottom w:val="none" w:sz="0" w:space="0" w:color="auto"/>
        <w:right w:val="none" w:sz="0" w:space="0" w:color="auto"/>
      </w:divBdr>
    </w:div>
    <w:div w:id="1333068071">
      <w:bodyDiv w:val="1"/>
      <w:marLeft w:val="0"/>
      <w:marRight w:val="0"/>
      <w:marTop w:val="0"/>
      <w:marBottom w:val="0"/>
      <w:divBdr>
        <w:top w:val="none" w:sz="0" w:space="0" w:color="auto"/>
        <w:left w:val="none" w:sz="0" w:space="0" w:color="auto"/>
        <w:bottom w:val="none" w:sz="0" w:space="0" w:color="auto"/>
        <w:right w:val="none" w:sz="0" w:space="0" w:color="auto"/>
      </w:divBdr>
    </w:div>
    <w:div w:id="1333138748">
      <w:bodyDiv w:val="1"/>
      <w:marLeft w:val="0"/>
      <w:marRight w:val="0"/>
      <w:marTop w:val="0"/>
      <w:marBottom w:val="0"/>
      <w:divBdr>
        <w:top w:val="none" w:sz="0" w:space="0" w:color="auto"/>
        <w:left w:val="none" w:sz="0" w:space="0" w:color="auto"/>
        <w:bottom w:val="none" w:sz="0" w:space="0" w:color="auto"/>
        <w:right w:val="none" w:sz="0" w:space="0" w:color="auto"/>
      </w:divBdr>
    </w:div>
    <w:div w:id="1333139797">
      <w:bodyDiv w:val="1"/>
      <w:marLeft w:val="0"/>
      <w:marRight w:val="0"/>
      <w:marTop w:val="0"/>
      <w:marBottom w:val="0"/>
      <w:divBdr>
        <w:top w:val="none" w:sz="0" w:space="0" w:color="auto"/>
        <w:left w:val="none" w:sz="0" w:space="0" w:color="auto"/>
        <w:bottom w:val="none" w:sz="0" w:space="0" w:color="auto"/>
        <w:right w:val="none" w:sz="0" w:space="0" w:color="auto"/>
      </w:divBdr>
    </w:div>
    <w:div w:id="1333141510">
      <w:bodyDiv w:val="1"/>
      <w:marLeft w:val="0"/>
      <w:marRight w:val="0"/>
      <w:marTop w:val="0"/>
      <w:marBottom w:val="0"/>
      <w:divBdr>
        <w:top w:val="none" w:sz="0" w:space="0" w:color="auto"/>
        <w:left w:val="none" w:sz="0" w:space="0" w:color="auto"/>
        <w:bottom w:val="none" w:sz="0" w:space="0" w:color="auto"/>
        <w:right w:val="none" w:sz="0" w:space="0" w:color="auto"/>
      </w:divBdr>
    </w:div>
    <w:div w:id="1333146588">
      <w:bodyDiv w:val="1"/>
      <w:marLeft w:val="0"/>
      <w:marRight w:val="0"/>
      <w:marTop w:val="0"/>
      <w:marBottom w:val="0"/>
      <w:divBdr>
        <w:top w:val="none" w:sz="0" w:space="0" w:color="auto"/>
        <w:left w:val="none" w:sz="0" w:space="0" w:color="auto"/>
        <w:bottom w:val="none" w:sz="0" w:space="0" w:color="auto"/>
        <w:right w:val="none" w:sz="0" w:space="0" w:color="auto"/>
      </w:divBdr>
    </w:div>
    <w:div w:id="1333264724">
      <w:bodyDiv w:val="1"/>
      <w:marLeft w:val="0"/>
      <w:marRight w:val="0"/>
      <w:marTop w:val="0"/>
      <w:marBottom w:val="0"/>
      <w:divBdr>
        <w:top w:val="none" w:sz="0" w:space="0" w:color="auto"/>
        <w:left w:val="none" w:sz="0" w:space="0" w:color="auto"/>
        <w:bottom w:val="none" w:sz="0" w:space="0" w:color="auto"/>
        <w:right w:val="none" w:sz="0" w:space="0" w:color="auto"/>
      </w:divBdr>
    </w:div>
    <w:div w:id="1333294067">
      <w:bodyDiv w:val="1"/>
      <w:marLeft w:val="0"/>
      <w:marRight w:val="0"/>
      <w:marTop w:val="0"/>
      <w:marBottom w:val="0"/>
      <w:divBdr>
        <w:top w:val="none" w:sz="0" w:space="0" w:color="auto"/>
        <w:left w:val="none" w:sz="0" w:space="0" w:color="auto"/>
        <w:bottom w:val="none" w:sz="0" w:space="0" w:color="auto"/>
        <w:right w:val="none" w:sz="0" w:space="0" w:color="auto"/>
      </w:divBdr>
    </w:div>
    <w:div w:id="1333333601">
      <w:bodyDiv w:val="1"/>
      <w:marLeft w:val="0"/>
      <w:marRight w:val="0"/>
      <w:marTop w:val="0"/>
      <w:marBottom w:val="0"/>
      <w:divBdr>
        <w:top w:val="none" w:sz="0" w:space="0" w:color="auto"/>
        <w:left w:val="none" w:sz="0" w:space="0" w:color="auto"/>
        <w:bottom w:val="none" w:sz="0" w:space="0" w:color="auto"/>
        <w:right w:val="none" w:sz="0" w:space="0" w:color="auto"/>
      </w:divBdr>
    </w:div>
    <w:div w:id="1333411234">
      <w:bodyDiv w:val="1"/>
      <w:marLeft w:val="0"/>
      <w:marRight w:val="0"/>
      <w:marTop w:val="0"/>
      <w:marBottom w:val="0"/>
      <w:divBdr>
        <w:top w:val="none" w:sz="0" w:space="0" w:color="auto"/>
        <w:left w:val="none" w:sz="0" w:space="0" w:color="auto"/>
        <w:bottom w:val="none" w:sz="0" w:space="0" w:color="auto"/>
        <w:right w:val="none" w:sz="0" w:space="0" w:color="auto"/>
      </w:divBdr>
    </w:div>
    <w:div w:id="1333412445">
      <w:bodyDiv w:val="1"/>
      <w:marLeft w:val="0"/>
      <w:marRight w:val="0"/>
      <w:marTop w:val="0"/>
      <w:marBottom w:val="0"/>
      <w:divBdr>
        <w:top w:val="none" w:sz="0" w:space="0" w:color="auto"/>
        <w:left w:val="none" w:sz="0" w:space="0" w:color="auto"/>
        <w:bottom w:val="none" w:sz="0" w:space="0" w:color="auto"/>
        <w:right w:val="none" w:sz="0" w:space="0" w:color="auto"/>
      </w:divBdr>
    </w:div>
    <w:div w:id="1333414325">
      <w:bodyDiv w:val="1"/>
      <w:marLeft w:val="0"/>
      <w:marRight w:val="0"/>
      <w:marTop w:val="0"/>
      <w:marBottom w:val="0"/>
      <w:divBdr>
        <w:top w:val="none" w:sz="0" w:space="0" w:color="auto"/>
        <w:left w:val="none" w:sz="0" w:space="0" w:color="auto"/>
        <w:bottom w:val="none" w:sz="0" w:space="0" w:color="auto"/>
        <w:right w:val="none" w:sz="0" w:space="0" w:color="auto"/>
      </w:divBdr>
    </w:div>
    <w:div w:id="1333527102">
      <w:bodyDiv w:val="1"/>
      <w:marLeft w:val="0"/>
      <w:marRight w:val="0"/>
      <w:marTop w:val="0"/>
      <w:marBottom w:val="0"/>
      <w:divBdr>
        <w:top w:val="none" w:sz="0" w:space="0" w:color="auto"/>
        <w:left w:val="none" w:sz="0" w:space="0" w:color="auto"/>
        <w:bottom w:val="none" w:sz="0" w:space="0" w:color="auto"/>
        <w:right w:val="none" w:sz="0" w:space="0" w:color="auto"/>
      </w:divBdr>
    </w:div>
    <w:div w:id="1333529292">
      <w:bodyDiv w:val="1"/>
      <w:marLeft w:val="0"/>
      <w:marRight w:val="0"/>
      <w:marTop w:val="0"/>
      <w:marBottom w:val="0"/>
      <w:divBdr>
        <w:top w:val="none" w:sz="0" w:space="0" w:color="auto"/>
        <w:left w:val="none" w:sz="0" w:space="0" w:color="auto"/>
        <w:bottom w:val="none" w:sz="0" w:space="0" w:color="auto"/>
        <w:right w:val="none" w:sz="0" w:space="0" w:color="auto"/>
      </w:divBdr>
    </w:div>
    <w:div w:id="1333558353">
      <w:bodyDiv w:val="1"/>
      <w:marLeft w:val="0"/>
      <w:marRight w:val="0"/>
      <w:marTop w:val="0"/>
      <w:marBottom w:val="0"/>
      <w:divBdr>
        <w:top w:val="none" w:sz="0" w:space="0" w:color="auto"/>
        <w:left w:val="none" w:sz="0" w:space="0" w:color="auto"/>
        <w:bottom w:val="none" w:sz="0" w:space="0" w:color="auto"/>
        <w:right w:val="none" w:sz="0" w:space="0" w:color="auto"/>
      </w:divBdr>
    </w:div>
    <w:div w:id="1333608742">
      <w:bodyDiv w:val="1"/>
      <w:marLeft w:val="0"/>
      <w:marRight w:val="0"/>
      <w:marTop w:val="0"/>
      <w:marBottom w:val="0"/>
      <w:divBdr>
        <w:top w:val="none" w:sz="0" w:space="0" w:color="auto"/>
        <w:left w:val="none" w:sz="0" w:space="0" w:color="auto"/>
        <w:bottom w:val="none" w:sz="0" w:space="0" w:color="auto"/>
        <w:right w:val="none" w:sz="0" w:space="0" w:color="auto"/>
      </w:divBdr>
    </w:div>
    <w:div w:id="1333752383">
      <w:bodyDiv w:val="1"/>
      <w:marLeft w:val="0"/>
      <w:marRight w:val="0"/>
      <w:marTop w:val="0"/>
      <w:marBottom w:val="0"/>
      <w:divBdr>
        <w:top w:val="none" w:sz="0" w:space="0" w:color="auto"/>
        <w:left w:val="none" w:sz="0" w:space="0" w:color="auto"/>
        <w:bottom w:val="none" w:sz="0" w:space="0" w:color="auto"/>
        <w:right w:val="none" w:sz="0" w:space="0" w:color="auto"/>
      </w:divBdr>
    </w:div>
    <w:div w:id="1333755830">
      <w:bodyDiv w:val="1"/>
      <w:marLeft w:val="0"/>
      <w:marRight w:val="0"/>
      <w:marTop w:val="0"/>
      <w:marBottom w:val="0"/>
      <w:divBdr>
        <w:top w:val="none" w:sz="0" w:space="0" w:color="auto"/>
        <w:left w:val="none" w:sz="0" w:space="0" w:color="auto"/>
        <w:bottom w:val="none" w:sz="0" w:space="0" w:color="auto"/>
        <w:right w:val="none" w:sz="0" w:space="0" w:color="auto"/>
      </w:divBdr>
    </w:div>
    <w:div w:id="1333995422">
      <w:bodyDiv w:val="1"/>
      <w:marLeft w:val="0"/>
      <w:marRight w:val="0"/>
      <w:marTop w:val="0"/>
      <w:marBottom w:val="0"/>
      <w:divBdr>
        <w:top w:val="none" w:sz="0" w:space="0" w:color="auto"/>
        <w:left w:val="none" w:sz="0" w:space="0" w:color="auto"/>
        <w:bottom w:val="none" w:sz="0" w:space="0" w:color="auto"/>
        <w:right w:val="none" w:sz="0" w:space="0" w:color="auto"/>
      </w:divBdr>
    </w:div>
    <w:div w:id="1334072106">
      <w:bodyDiv w:val="1"/>
      <w:marLeft w:val="0"/>
      <w:marRight w:val="0"/>
      <w:marTop w:val="0"/>
      <w:marBottom w:val="0"/>
      <w:divBdr>
        <w:top w:val="none" w:sz="0" w:space="0" w:color="auto"/>
        <w:left w:val="none" w:sz="0" w:space="0" w:color="auto"/>
        <w:bottom w:val="none" w:sz="0" w:space="0" w:color="auto"/>
        <w:right w:val="none" w:sz="0" w:space="0" w:color="auto"/>
      </w:divBdr>
    </w:div>
    <w:div w:id="1334138629">
      <w:bodyDiv w:val="1"/>
      <w:marLeft w:val="0"/>
      <w:marRight w:val="0"/>
      <w:marTop w:val="0"/>
      <w:marBottom w:val="0"/>
      <w:divBdr>
        <w:top w:val="none" w:sz="0" w:space="0" w:color="auto"/>
        <w:left w:val="none" w:sz="0" w:space="0" w:color="auto"/>
        <w:bottom w:val="none" w:sz="0" w:space="0" w:color="auto"/>
        <w:right w:val="none" w:sz="0" w:space="0" w:color="auto"/>
      </w:divBdr>
    </w:div>
    <w:div w:id="1334139383">
      <w:bodyDiv w:val="1"/>
      <w:marLeft w:val="0"/>
      <w:marRight w:val="0"/>
      <w:marTop w:val="0"/>
      <w:marBottom w:val="0"/>
      <w:divBdr>
        <w:top w:val="none" w:sz="0" w:space="0" w:color="auto"/>
        <w:left w:val="none" w:sz="0" w:space="0" w:color="auto"/>
        <w:bottom w:val="none" w:sz="0" w:space="0" w:color="auto"/>
        <w:right w:val="none" w:sz="0" w:space="0" w:color="auto"/>
      </w:divBdr>
    </w:div>
    <w:div w:id="1334140512">
      <w:bodyDiv w:val="1"/>
      <w:marLeft w:val="0"/>
      <w:marRight w:val="0"/>
      <w:marTop w:val="0"/>
      <w:marBottom w:val="0"/>
      <w:divBdr>
        <w:top w:val="none" w:sz="0" w:space="0" w:color="auto"/>
        <w:left w:val="none" w:sz="0" w:space="0" w:color="auto"/>
        <w:bottom w:val="none" w:sz="0" w:space="0" w:color="auto"/>
        <w:right w:val="none" w:sz="0" w:space="0" w:color="auto"/>
      </w:divBdr>
    </w:div>
    <w:div w:id="1334142837">
      <w:bodyDiv w:val="1"/>
      <w:marLeft w:val="0"/>
      <w:marRight w:val="0"/>
      <w:marTop w:val="0"/>
      <w:marBottom w:val="0"/>
      <w:divBdr>
        <w:top w:val="none" w:sz="0" w:space="0" w:color="auto"/>
        <w:left w:val="none" w:sz="0" w:space="0" w:color="auto"/>
        <w:bottom w:val="none" w:sz="0" w:space="0" w:color="auto"/>
        <w:right w:val="none" w:sz="0" w:space="0" w:color="auto"/>
      </w:divBdr>
    </w:div>
    <w:div w:id="1334182925">
      <w:bodyDiv w:val="1"/>
      <w:marLeft w:val="0"/>
      <w:marRight w:val="0"/>
      <w:marTop w:val="0"/>
      <w:marBottom w:val="0"/>
      <w:divBdr>
        <w:top w:val="none" w:sz="0" w:space="0" w:color="auto"/>
        <w:left w:val="none" w:sz="0" w:space="0" w:color="auto"/>
        <w:bottom w:val="none" w:sz="0" w:space="0" w:color="auto"/>
        <w:right w:val="none" w:sz="0" w:space="0" w:color="auto"/>
      </w:divBdr>
    </w:div>
    <w:div w:id="1334188003">
      <w:bodyDiv w:val="1"/>
      <w:marLeft w:val="0"/>
      <w:marRight w:val="0"/>
      <w:marTop w:val="0"/>
      <w:marBottom w:val="0"/>
      <w:divBdr>
        <w:top w:val="none" w:sz="0" w:space="0" w:color="auto"/>
        <w:left w:val="none" w:sz="0" w:space="0" w:color="auto"/>
        <w:bottom w:val="none" w:sz="0" w:space="0" w:color="auto"/>
        <w:right w:val="none" w:sz="0" w:space="0" w:color="auto"/>
      </w:divBdr>
    </w:div>
    <w:div w:id="1334259807">
      <w:bodyDiv w:val="1"/>
      <w:marLeft w:val="0"/>
      <w:marRight w:val="0"/>
      <w:marTop w:val="0"/>
      <w:marBottom w:val="0"/>
      <w:divBdr>
        <w:top w:val="none" w:sz="0" w:space="0" w:color="auto"/>
        <w:left w:val="none" w:sz="0" w:space="0" w:color="auto"/>
        <w:bottom w:val="none" w:sz="0" w:space="0" w:color="auto"/>
        <w:right w:val="none" w:sz="0" w:space="0" w:color="auto"/>
      </w:divBdr>
    </w:div>
    <w:div w:id="1334340847">
      <w:bodyDiv w:val="1"/>
      <w:marLeft w:val="0"/>
      <w:marRight w:val="0"/>
      <w:marTop w:val="0"/>
      <w:marBottom w:val="0"/>
      <w:divBdr>
        <w:top w:val="none" w:sz="0" w:space="0" w:color="auto"/>
        <w:left w:val="none" w:sz="0" w:space="0" w:color="auto"/>
        <w:bottom w:val="none" w:sz="0" w:space="0" w:color="auto"/>
        <w:right w:val="none" w:sz="0" w:space="0" w:color="auto"/>
      </w:divBdr>
    </w:div>
    <w:div w:id="1334576644">
      <w:bodyDiv w:val="1"/>
      <w:marLeft w:val="0"/>
      <w:marRight w:val="0"/>
      <w:marTop w:val="0"/>
      <w:marBottom w:val="0"/>
      <w:divBdr>
        <w:top w:val="none" w:sz="0" w:space="0" w:color="auto"/>
        <w:left w:val="none" w:sz="0" w:space="0" w:color="auto"/>
        <w:bottom w:val="none" w:sz="0" w:space="0" w:color="auto"/>
        <w:right w:val="none" w:sz="0" w:space="0" w:color="auto"/>
      </w:divBdr>
    </w:div>
    <w:div w:id="1334643057">
      <w:bodyDiv w:val="1"/>
      <w:marLeft w:val="0"/>
      <w:marRight w:val="0"/>
      <w:marTop w:val="0"/>
      <w:marBottom w:val="0"/>
      <w:divBdr>
        <w:top w:val="none" w:sz="0" w:space="0" w:color="auto"/>
        <w:left w:val="none" w:sz="0" w:space="0" w:color="auto"/>
        <w:bottom w:val="none" w:sz="0" w:space="0" w:color="auto"/>
        <w:right w:val="none" w:sz="0" w:space="0" w:color="auto"/>
      </w:divBdr>
    </w:div>
    <w:div w:id="1334987631">
      <w:bodyDiv w:val="1"/>
      <w:marLeft w:val="0"/>
      <w:marRight w:val="0"/>
      <w:marTop w:val="0"/>
      <w:marBottom w:val="0"/>
      <w:divBdr>
        <w:top w:val="none" w:sz="0" w:space="0" w:color="auto"/>
        <w:left w:val="none" w:sz="0" w:space="0" w:color="auto"/>
        <w:bottom w:val="none" w:sz="0" w:space="0" w:color="auto"/>
        <w:right w:val="none" w:sz="0" w:space="0" w:color="auto"/>
      </w:divBdr>
    </w:div>
    <w:div w:id="1335065860">
      <w:bodyDiv w:val="1"/>
      <w:marLeft w:val="0"/>
      <w:marRight w:val="0"/>
      <w:marTop w:val="0"/>
      <w:marBottom w:val="0"/>
      <w:divBdr>
        <w:top w:val="none" w:sz="0" w:space="0" w:color="auto"/>
        <w:left w:val="none" w:sz="0" w:space="0" w:color="auto"/>
        <w:bottom w:val="none" w:sz="0" w:space="0" w:color="auto"/>
        <w:right w:val="none" w:sz="0" w:space="0" w:color="auto"/>
      </w:divBdr>
    </w:div>
    <w:div w:id="1335257794">
      <w:bodyDiv w:val="1"/>
      <w:marLeft w:val="0"/>
      <w:marRight w:val="0"/>
      <w:marTop w:val="0"/>
      <w:marBottom w:val="0"/>
      <w:divBdr>
        <w:top w:val="none" w:sz="0" w:space="0" w:color="auto"/>
        <w:left w:val="none" w:sz="0" w:space="0" w:color="auto"/>
        <w:bottom w:val="none" w:sz="0" w:space="0" w:color="auto"/>
        <w:right w:val="none" w:sz="0" w:space="0" w:color="auto"/>
      </w:divBdr>
    </w:div>
    <w:div w:id="1335299630">
      <w:bodyDiv w:val="1"/>
      <w:marLeft w:val="0"/>
      <w:marRight w:val="0"/>
      <w:marTop w:val="0"/>
      <w:marBottom w:val="0"/>
      <w:divBdr>
        <w:top w:val="none" w:sz="0" w:space="0" w:color="auto"/>
        <w:left w:val="none" w:sz="0" w:space="0" w:color="auto"/>
        <w:bottom w:val="none" w:sz="0" w:space="0" w:color="auto"/>
        <w:right w:val="none" w:sz="0" w:space="0" w:color="auto"/>
      </w:divBdr>
    </w:div>
    <w:div w:id="1335373477">
      <w:bodyDiv w:val="1"/>
      <w:marLeft w:val="0"/>
      <w:marRight w:val="0"/>
      <w:marTop w:val="0"/>
      <w:marBottom w:val="0"/>
      <w:divBdr>
        <w:top w:val="none" w:sz="0" w:space="0" w:color="auto"/>
        <w:left w:val="none" w:sz="0" w:space="0" w:color="auto"/>
        <w:bottom w:val="none" w:sz="0" w:space="0" w:color="auto"/>
        <w:right w:val="none" w:sz="0" w:space="0" w:color="auto"/>
      </w:divBdr>
    </w:div>
    <w:div w:id="1335493461">
      <w:bodyDiv w:val="1"/>
      <w:marLeft w:val="0"/>
      <w:marRight w:val="0"/>
      <w:marTop w:val="0"/>
      <w:marBottom w:val="0"/>
      <w:divBdr>
        <w:top w:val="none" w:sz="0" w:space="0" w:color="auto"/>
        <w:left w:val="none" w:sz="0" w:space="0" w:color="auto"/>
        <w:bottom w:val="none" w:sz="0" w:space="0" w:color="auto"/>
        <w:right w:val="none" w:sz="0" w:space="0" w:color="auto"/>
      </w:divBdr>
    </w:div>
    <w:div w:id="1335498098">
      <w:bodyDiv w:val="1"/>
      <w:marLeft w:val="0"/>
      <w:marRight w:val="0"/>
      <w:marTop w:val="0"/>
      <w:marBottom w:val="0"/>
      <w:divBdr>
        <w:top w:val="none" w:sz="0" w:space="0" w:color="auto"/>
        <w:left w:val="none" w:sz="0" w:space="0" w:color="auto"/>
        <w:bottom w:val="none" w:sz="0" w:space="0" w:color="auto"/>
        <w:right w:val="none" w:sz="0" w:space="0" w:color="auto"/>
      </w:divBdr>
    </w:div>
    <w:div w:id="1335499284">
      <w:bodyDiv w:val="1"/>
      <w:marLeft w:val="0"/>
      <w:marRight w:val="0"/>
      <w:marTop w:val="0"/>
      <w:marBottom w:val="0"/>
      <w:divBdr>
        <w:top w:val="none" w:sz="0" w:space="0" w:color="auto"/>
        <w:left w:val="none" w:sz="0" w:space="0" w:color="auto"/>
        <w:bottom w:val="none" w:sz="0" w:space="0" w:color="auto"/>
        <w:right w:val="none" w:sz="0" w:space="0" w:color="auto"/>
      </w:divBdr>
    </w:div>
    <w:div w:id="1335499457">
      <w:bodyDiv w:val="1"/>
      <w:marLeft w:val="0"/>
      <w:marRight w:val="0"/>
      <w:marTop w:val="0"/>
      <w:marBottom w:val="0"/>
      <w:divBdr>
        <w:top w:val="none" w:sz="0" w:space="0" w:color="auto"/>
        <w:left w:val="none" w:sz="0" w:space="0" w:color="auto"/>
        <w:bottom w:val="none" w:sz="0" w:space="0" w:color="auto"/>
        <w:right w:val="none" w:sz="0" w:space="0" w:color="auto"/>
      </w:divBdr>
    </w:div>
    <w:div w:id="1335717359">
      <w:bodyDiv w:val="1"/>
      <w:marLeft w:val="0"/>
      <w:marRight w:val="0"/>
      <w:marTop w:val="0"/>
      <w:marBottom w:val="0"/>
      <w:divBdr>
        <w:top w:val="none" w:sz="0" w:space="0" w:color="auto"/>
        <w:left w:val="none" w:sz="0" w:space="0" w:color="auto"/>
        <w:bottom w:val="none" w:sz="0" w:space="0" w:color="auto"/>
        <w:right w:val="none" w:sz="0" w:space="0" w:color="auto"/>
      </w:divBdr>
    </w:div>
    <w:div w:id="1335910950">
      <w:bodyDiv w:val="1"/>
      <w:marLeft w:val="0"/>
      <w:marRight w:val="0"/>
      <w:marTop w:val="0"/>
      <w:marBottom w:val="0"/>
      <w:divBdr>
        <w:top w:val="none" w:sz="0" w:space="0" w:color="auto"/>
        <w:left w:val="none" w:sz="0" w:space="0" w:color="auto"/>
        <w:bottom w:val="none" w:sz="0" w:space="0" w:color="auto"/>
        <w:right w:val="none" w:sz="0" w:space="0" w:color="auto"/>
      </w:divBdr>
    </w:div>
    <w:div w:id="1335914011">
      <w:bodyDiv w:val="1"/>
      <w:marLeft w:val="0"/>
      <w:marRight w:val="0"/>
      <w:marTop w:val="0"/>
      <w:marBottom w:val="0"/>
      <w:divBdr>
        <w:top w:val="none" w:sz="0" w:space="0" w:color="auto"/>
        <w:left w:val="none" w:sz="0" w:space="0" w:color="auto"/>
        <w:bottom w:val="none" w:sz="0" w:space="0" w:color="auto"/>
        <w:right w:val="none" w:sz="0" w:space="0" w:color="auto"/>
      </w:divBdr>
    </w:div>
    <w:div w:id="1335961966">
      <w:bodyDiv w:val="1"/>
      <w:marLeft w:val="0"/>
      <w:marRight w:val="0"/>
      <w:marTop w:val="0"/>
      <w:marBottom w:val="0"/>
      <w:divBdr>
        <w:top w:val="none" w:sz="0" w:space="0" w:color="auto"/>
        <w:left w:val="none" w:sz="0" w:space="0" w:color="auto"/>
        <w:bottom w:val="none" w:sz="0" w:space="0" w:color="auto"/>
        <w:right w:val="none" w:sz="0" w:space="0" w:color="auto"/>
      </w:divBdr>
    </w:div>
    <w:div w:id="1336032112">
      <w:bodyDiv w:val="1"/>
      <w:marLeft w:val="0"/>
      <w:marRight w:val="0"/>
      <w:marTop w:val="0"/>
      <w:marBottom w:val="0"/>
      <w:divBdr>
        <w:top w:val="none" w:sz="0" w:space="0" w:color="auto"/>
        <w:left w:val="none" w:sz="0" w:space="0" w:color="auto"/>
        <w:bottom w:val="none" w:sz="0" w:space="0" w:color="auto"/>
        <w:right w:val="none" w:sz="0" w:space="0" w:color="auto"/>
      </w:divBdr>
    </w:div>
    <w:div w:id="1336149087">
      <w:bodyDiv w:val="1"/>
      <w:marLeft w:val="0"/>
      <w:marRight w:val="0"/>
      <w:marTop w:val="0"/>
      <w:marBottom w:val="0"/>
      <w:divBdr>
        <w:top w:val="none" w:sz="0" w:space="0" w:color="auto"/>
        <w:left w:val="none" w:sz="0" w:space="0" w:color="auto"/>
        <w:bottom w:val="none" w:sz="0" w:space="0" w:color="auto"/>
        <w:right w:val="none" w:sz="0" w:space="0" w:color="auto"/>
      </w:divBdr>
    </w:div>
    <w:div w:id="1336222817">
      <w:bodyDiv w:val="1"/>
      <w:marLeft w:val="0"/>
      <w:marRight w:val="0"/>
      <w:marTop w:val="0"/>
      <w:marBottom w:val="0"/>
      <w:divBdr>
        <w:top w:val="none" w:sz="0" w:space="0" w:color="auto"/>
        <w:left w:val="none" w:sz="0" w:space="0" w:color="auto"/>
        <w:bottom w:val="none" w:sz="0" w:space="0" w:color="auto"/>
        <w:right w:val="none" w:sz="0" w:space="0" w:color="auto"/>
      </w:divBdr>
    </w:div>
    <w:div w:id="1336225710">
      <w:bodyDiv w:val="1"/>
      <w:marLeft w:val="0"/>
      <w:marRight w:val="0"/>
      <w:marTop w:val="0"/>
      <w:marBottom w:val="0"/>
      <w:divBdr>
        <w:top w:val="none" w:sz="0" w:space="0" w:color="auto"/>
        <w:left w:val="none" w:sz="0" w:space="0" w:color="auto"/>
        <w:bottom w:val="none" w:sz="0" w:space="0" w:color="auto"/>
        <w:right w:val="none" w:sz="0" w:space="0" w:color="auto"/>
      </w:divBdr>
    </w:div>
    <w:div w:id="1336372524">
      <w:bodyDiv w:val="1"/>
      <w:marLeft w:val="0"/>
      <w:marRight w:val="0"/>
      <w:marTop w:val="0"/>
      <w:marBottom w:val="0"/>
      <w:divBdr>
        <w:top w:val="none" w:sz="0" w:space="0" w:color="auto"/>
        <w:left w:val="none" w:sz="0" w:space="0" w:color="auto"/>
        <w:bottom w:val="none" w:sz="0" w:space="0" w:color="auto"/>
        <w:right w:val="none" w:sz="0" w:space="0" w:color="auto"/>
      </w:divBdr>
    </w:div>
    <w:div w:id="1336377144">
      <w:bodyDiv w:val="1"/>
      <w:marLeft w:val="0"/>
      <w:marRight w:val="0"/>
      <w:marTop w:val="0"/>
      <w:marBottom w:val="0"/>
      <w:divBdr>
        <w:top w:val="none" w:sz="0" w:space="0" w:color="auto"/>
        <w:left w:val="none" w:sz="0" w:space="0" w:color="auto"/>
        <w:bottom w:val="none" w:sz="0" w:space="0" w:color="auto"/>
        <w:right w:val="none" w:sz="0" w:space="0" w:color="auto"/>
      </w:divBdr>
    </w:div>
    <w:div w:id="1336421346">
      <w:bodyDiv w:val="1"/>
      <w:marLeft w:val="0"/>
      <w:marRight w:val="0"/>
      <w:marTop w:val="0"/>
      <w:marBottom w:val="0"/>
      <w:divBdr>
        <w:top w:val="none" w:sz="0" w:space="0" w:color="auto"/>
        <w:left w:val="none" w:sz="0" w:space="0" w:color="auto"/>
        <w:bottom w:val="none" w:sz="0" w:space="0" w:color="auto"/>
        <w:right w:val="none" w:sz="0" w:space="0" w:color="auto"/>
      </w:divBdr>
    </w:div>
    <w:div w:id="1336491898">
      <w:bodyDiv w:val="1"/>
      <w:marLeft w:val="0"/>
      <w:marRight w:val="0"/>
      <w:marTop w:val="0"/>
      <w:marBottom w:val="0"/>
      <w:divBdr>
        <w:top w:val="none" w:sz="0" w:space="0" w:color="auto"/>
        <w:left w:val="none" w:sz="0" w:space="0" w:color="auto"/>
        <w:bottom w:val="none" w:sz="0" w:space="0" w:color="auto"/>
        <w:right w:val="none" w:sz="0" w:space="0" w:color="auto"/>
      </w:divBdr>
    </w:div>
    <w:div w:id="1336494785">
      <w:bodyDiv w:val="1"/>
      <w:marLeft w:val="0"/>
      <w:marRight w:val="0"/>
      <w:marTop w:val="0"/>
      <w:marBottom w:val="0"/>
      <w:divBdr>
        <w:top w:val="none" w:sz="0" w:space="0" w:color="auto"/>
        <w:left w:val="none" w:sz="0" w:space="0" w:color="auto"/>
        <w:bottom w:val="none" w:sz="0" w:space="0" w:color="auto"/>
        <w:right w:val="none" w:sz="0" w:space="0" w:color="auto"/>
      </w:divBdr>
    </w:div>
    <w:div w:id="1336499220">
      <w:bodyDiv w:val="1"/>
      <w:marLeft w:val="0"/>
      <w:marRight w:val="0"/>
      <w:marTop w:val="0"/>
      <w:marBottom w:val="0"/>
      <w:divBdr>
        <w:top w:val="none" w:sz="0" w:space="0" w:color="auto"/>
        <w:left w:val="none" w:sz="0" w:space="0" w:color="auto"/>
        <w:bottom w:val="none" w:sz="0" w:space="0" w:color="auto"/>
        <w:right w:val="none" w:sz="0" w:space="0" w:color="auto"/>
      </w:divBdr>
    </w:div>
    <w:div w:id="1336609838">
      <w:bodyDiv w:val="1"/>
      <w:marLeft w:val="0"/>
      <w:marRight w:val="0"/>
      <w:marTop w:val="0"/>
      <w:marBottom w:val="0"/>
      <w:divBdr>
        <w:top w:val="none" w:sz="0" w:space="0" w:color="auto"/>
        <w:left w:val="none" w:sz="0" w:space="0" w:color="auto"/>
        <w:bottom w:val="none" w:sz="0" w:space="0" w:color="auto"/>
        <w:right w:val="none" w:sz="0" w:space="0" w:color="auto"/>
      </w:divBdr>
    </w:div>
    <w:div w:id="1336616144">
      <w:bodyDiv w:val="1"/>
      <w:marLeft w:val="0"/>
      <w:marRight w:val="0"/>
      <w:marTop w:val="0"/>
      <w:marBottom w:val="0"/>
      <w:divBdr>
        <w:top w:val="none" w:sz="0" w:space="0" w:color="auto"/>
        <w:left w:val="none" w:sz="0" w:space="0" w:color="auto"/>
        <w:bottom w:val="none" w:sz="0" w:space="0" w:color="auto"/>
        <w:right w:val="none" w:sz="0" w:space="0" w:color="auto"/>
      </w:divBdr>
    </w:div>
    <w:div w:id="1336765615">
      <w:bodyDiv w:val="1"/>
      <w:marLeft w:val="0"/>
      <w:marRight w:val="0"/>
      <w:marTop w:val="0"/>
      <w:marBottom w:val="0"/>
      <w:divBdr>
        <w:top w:val="none" w:sz="0" w:space="0" w:color="auto"/>
        <w:left w:val="none" w:sz="0" w:space="0" w:color="auto"/>
        <w:bottom w:val="none" w:sz="0" w:space="0" w:color="auto"/>
        <w:right w:val="none" w:sz="0" w:space="0" w:color="auto"/>
      </w:divBdr>
    </w:div>
    <w:div w:id="1336883153">
      <w:bodyDiv w:val="1"/>
      <w:marLeft w:val="0"/>
      <w:marRight w:val="0"/>
      <w:marTop w:val="0"/>
      <w:marBottom w:val="0"/>
      <w:divBdr>
        <w:top w:val="none" w:sz="0" w:space="0" w:color="auto"/>
        <w:left w:val="none" w:sz="0" w:space="0" w:color="auto"/>
        <w:bottom w:val="none" w:sz="0" w:space="0" w:color="auto"/>
        <w:right w:val="none" w:sz="0" w:space="0" w:color="auto"/>
      </w:divBdr>
    </w:div>
    <w:div w:id="1336885728">
      <w:bodyDiv w:val="1"/>
      <w:marLeft w:val="0"/>
      <w:marRight w:val="0"/>
      <w:marTop w:val="0"/>
      <w:marBottom w:val="0"/>
      <w:divBdr>
        <w:top w:val="none" w:sz="0" w:space="0" w:color="auto"/>
        <w:left w:val="none" w:sz="0" w:space="0" w:color="auto"/>
        <w:bottom w:val="none" w:sz="0" w:space="0" w:color="auto"/>
        <w:right w:val="none" w:sz="0" w:space="0" w:color="auto"/>
      </w:divBdr>
    </w:div>
    <w:div w:id="1336952355">
      <w:bodyDiv w:val="1"/>
      <w:marLeft w:val="0"/>
      <w:marRight w:val="0"/>
      <w:marTop w:val="0"/>
      <w:marBottom w:val="0"/>
      <w:divBdr>
        <w:top w:val="none" w:sz="0" w:space="0" w:color="auto"/>
        <w:left w:val="none" w:sz="0" w:space="0" w:color="auto"/>
        <w:bottom w:val="none" w:sz="0" w:space="0" w:color="auto"/>
        <w:right w:val="none" w:sz="0" w:space="0" w:color="auto"/>
      </w:divBdr>
    </w:div>
    <w:div w:id="1336954468">
      <w:bodyDiv w:val="1"/>
      <w:marLeft w:val="0"/>
      <w:marRight w:val="0"/>
      <w:marTop w:val="0"/>
      <w:marBottom w:val="0"/>
      <w:divBdr>
        <w:top w:val="none" w:sz="0" w:space="0" w:color="auto"/>
        <w:left w:val="none" w:sz="0" w:space="0" w:color="auto"/>
        <w:bottom w:val="none" w:sz="0" w:space="0" w:color="auto"/>
        <w:right w:val="none" w:sz="0" w:space="0" w:color="auto"/>
      </w:divBdr>
    </w:div>
    <w:div w:id="1337001125">
      <w:bodyDiv w:val="1"/>
      <w:marLeft w:val="0"/>
      <w:marRight w:val="0"/>
      <w:marTop w:val="0"/>
      <w:marBottom w:val="0"/>
      <w:divBdr>
        <w:top w:val="none" w:sz="0" w:space="0" w:color="auto"/>
        <w:left w:val="none" w:sz="0" w:space="0" w:color="auto"/>
        <w:bottom w:val="none" w:sz="0" w:space="0" w:color="auto"/>
        <w:right w:val="none" w:sz="0" w:space="0" w:color="auto"/>
      </w:divBdr>
    </w:div>
    <w:div w:id="1337004381">
      <w:bodyDiv w:val="1"/>
      <w:marLeft w:val="0"/>
      <w:marRight w:val="0"/>
      <w:marTop w:val="0"/>
      <w:marBottom w:val="0"/>
      <w:divBdr>
        <w:top w:val="none" w:sz="0" w:space="0" w:color="auto"/>
        <w:left w:val="none" w:sz="0" w:space="0" w:color="auto"/>
        <w:bottom w:val="none" w:sz="0" w:space="0" w:color="auto"/>
        <w:right w:val="none" w:sz="0" w:space="0" w:color="auto"/>
      </w:divBdr>
    </w:div>
    <w:div w:id="1337075975">
      <w:bodyDiv w:val="1"/>
      <w:marLeft w:val="0"/>
      <w:marRight w:val="0"/>
      <w:marTop w:val="0"/>
      <w:marBottom w:val="0"/>
      <w:divBdr>
        <w:top w:val="none" w:sz="0" w:space="0" w:color="auto"/>
        <w:left w:val="none" w:sz="0" w:space="0" w:color="auto"/>
        <w:bottom w:val="none" w:sz="0" w:space="0" w:color="auto"/>
        <w:right w:val="none" w:sz="0" w:space="0" w:color="auto"/>
      </w:divBdr>
    </w:div>
    <w:div w:id="1337077844">
      <w:bodyDiv w:val="1"/>
      <w:marLeft w:val="0"/>
      <w:marRight w:val="0"/>
      <w:marTop w:val="0"/>
      <w:marBottom w:val="0"/>
      <w:divBdr>
        <w:top w:val="none" w:sz="0" w:space="0" w:color="auto"/>
        <w:left w:val="none" w:sz="0" w:space="0" w:color="auto"/>
        <w:bottom w:val="none" w:sz="0" w:space="0" w:color="auto"/>
        <w:right w:val="none" w:sz="0" w:space="0" w:color="auto"/>
      </w:divBdr>
    </w:div>
    <w:div w:id="1337148445">
      <w:bodyDiv w:val="1"/>
      <w:marLeft w:val="0"/>
      <w:marRight w:val="0"/>
      <w:marTop w:val="0"/>
      <w:marBottom w:val="0"/>
      <w:divBdr>
        <w:top w:val="none" w:sz="0" w:space="0" w:color="auto"/>
        <w:left w:val="none" w:sz="0" w:space="0" w:color="auto"/>
        <w:bottom w:val="none" w:sz="0" w:space="0" w:color="auto"/>
        <w:right w:val="none" w:sz="0" w:space="0" w:color="auto"/>
      </w:divBdr>
    </w:div>
    <w:div w:id="1337150279">
      <w:bodyDiv w:val="1"/>
      <w:marLeft w:val="0"/>
      <w:marRight w:val="0"/>
      <w:marTop w:val="0"/>
      <w:marBottom w:val="0"/>
      <w:divBdr>
        <w:top w:val="none" w:sz="0" w:space="0" w:color="auto"/>
        <w:left w:val="none" w:sz="0" w:space="0" w:color="auto"/>
        <w:bottom w:val="none" w:sz="0" w:space="0" w:color="auto"/>
        <w:right w:val="none" w:sz="0" w:space="0" w:color="auto"/>
      </w:divBdr>
    </w:div>
    <w:div w:id="1337271870">
      <w:bodyDiv w:val="1"/>
      <w:marLeft w:val="0"/>
      <w:marRight w:val="0"/>
      <w:marTop w:val="0"/>
      <w:marBottom w:val="0"/>
      <w:divBdr>
        <w:top w:val="none" w:sz="0" w:space="0" w:color="auto"/>
        <w:left w:val="none" w:sz="0" w:space="0" w:color="auto"/>
        <w:bottom w:val="none" w:sz="0" w:space="0" w:color="auto"/>
        <w:right w:val="none" w:sz="0" w:space="0" w:color="auto"/>
      </w:divBdr>
    </w:div>
    <w:div w:id="1337339409">
      <w:bodyDiv w:val="1"/>
      <w:marLeft w:val="0"/>
      <w:marRight w:val="0"/>
      <w:marTop w:val="0"/>
      <w:marBottom w:val="0"/>
      <w:divBdr>
        <w:top w:val="none" w:sz="0" w:space="0" w:color="auto"/>
        <w:left w:val="none" w:sz="0" w:space="0" w:color="auto"/>
        <w:bottom w:val="none" w:sz="0" w:space="0" w:color="auto"/>
        <w:right w:val="none" w:sz="0" w:space="0" w:color="auto"/>
      </w:divBdr>
    </w:div>
    <w:div w:id="1337417920">
      <w:bodyDiv w:val="1"/>
      <w:marLeft w:val="0"/>
      <w:marRight w:val="0"/>
      <w:marTop w:val="0"/>
      <w:marBottom w:val="0"/>
      <w:divBdr>
        <w:top w:val="none" w:sz="0" w:space="0" w:color="auto"/>
        <w:left w:val="none" w:sz="0" w:space="0" w:color="auto"/>
        <w:bottom w:val="none" w:sz="0" w:space="0" w:color="auto"/>
        <w:right w:val="none" w:sz="0" w:space="0" w:color="auto"/>
      </w:divBdr>
    </w:div>
    <w:div w:id="1337540356">
      <w:bodyDiv w:val="1"/>
      <w:marLeft w:val="0"/>
      <w:marRight w:val="0"/>
      <w:marTop w:val="0"/>
      <w:marBottom w:val="0"/>
      <w:divBdr>
        <w:top w:val="none" w:sz="0" w:space="0" w:color="auto"/>
        <w:left w:val="none" w:sz="0" w:space="0" w:color="auto"/>
        <w:bottom w:val="none" w:sz="0" w:space="0" w:color="auto"/>
        <w:right w:val="none" w:sz="0" w:space="0" w:color="auto"/>
      </w:divBdr>
    </w:div>
    <w:div w:id="1337802647">
      <w:bodyDiv w:val="1"/>
      <w:marLeft w:val="0"/>
      <w:marRight w:val="0"/>
      <w:marTop w:val="0"/>
      <w:marBottom w:val="0"/>
      <w:divBdr>
        <w:top w:val="none" w:sz="0" w:space="0" w:color="auto"/>
        <w:left w:val="none" w:sz="0" w:space="0" w:color="auto"/>
        <w:bottom w:val="none" w:sz="0" w:space="0" w:color="auto"/>
        <w:right w:val="none" w:sz="0" w:space="0" w:color="auto"/>
      </w:divBdr>
    </w:div>
    <w:div w:id="1337806250">
      <w:bodyDiv w:val="1"/>
      <w:marLeft w:val="0"/>
      <w:marRight w:val="0"/>
      <w:marTop w:val="0"/>
      <w:marBottom w:val="0"/>
      <w:divBdr>
        <w:top w:val="none" w:sz="0" w:space="0" w:color="auto"/>
        <w:left w:val="none" w:sz="0" w:space="0" w:color="auto"/>
        <w:bottom w:val="none" w:sz="0" w:space="0" w:color="auto"/>
        <w:right w:val="none" w:sz="0" w:space="0" w:color="auto"/>
      </w:divBdr>
    </w:div>
    <w:div w:id="1337880610">
      <w:bodyDiv w:val="1"/>
      <w:marLeft w:val="0"/>
      <w:marRight w:val="0"/>
      <w:marTop w:val="0"/>
      <w:marBottom w:val="0"/>
      <w:divBdr>
        <w:top w:val="none" w:sz="0" w:space="0" w:color="auto"/>
        <w:left w:val="none" w:sz="0" w:space="0" w:color="auto"/>
        <w:bottom w:val="none" w:sz="0" w:space="0" w:color="auto"/>
        <w:right w:val="none" w:sz="0" w:space="0" w:color="auto"/>
      </w:divBdr>
    </w:div>
    <w:div w:id="1337923456">
      <w:bodyDiv w:val="1"/>
      <w:marLeft w:val="0"/>
      <w:marRight w:val="0"/>
      <w:marTop w:val="0"/>
      <w:marBottom w:val="0"/>
      <w:divBdr>
        <w:top w:val="none" w:sz="0" w:space="0" w:color="auto"/>
        <w:left w:val="none" w:sz="0" w:space="0" w:color="auto"/>
        <w:bottom w:val="none" w:sz="0" w:space="0" w:color="auto"/>
        <w:right w:val="none" w:sz="0" w:space="0" w:color="auto"/>
      </w:divBdr>
    </w:div>
    <w:div w:id="1337924929">
      <w:bodyDiv w:val="1"/>
      <w:marLeft w:val="0"/>
      <w:marRight w:val="0"/>
      <w:marTop w:val="0"/>
      <w:marBottom w:val="0"/>
      <w:divBdr>
        <w:top w:val="none" w:sz="0" w:space="0" w:color="auto"/>
        <w:left w:val="none" w:sz="0" w:space="0" w:color="auto"/>
        <w:bottom w:val="none" w:sz="0" w:space="0" w:color="auto"/>
        <w:right w:val="none" w:sz="0" w:space="0" w:color="auto"/>
      </w:divBdr>
    </w:div>
    <w:div w:id="1337927362">
      <w:bodyDiv w:val="1"/>
      <w:marLeft w:val="0"/>
      <w:marRight w:val="0"/>
      <w:marTop w:val="0"/>
      <w:marBottom w:val="0"/>
      <w:divBdr>
        <w:top w:val="none" w:sz="0" w:space="0" w:color="auto"/>
        <w:left w:val="none" w:sz="0" w:space="0" w:color="auto"/>
        <w:bottom w:val="none" w:sz="0" w:space="0" w:color="auto"/>
        <w:right w:val="none" w:sz="0" w:space="0" w:color="auto"/>
      </w:divBdr>
    </w:div>
    <w:div w:id="1337997473">
      <w:bodyDiv w:val="1"/>
      <w:marLeft w:val="0"/>
      <w:marRight w:val="0"/>
      <w:marTop w:val="0"/>
      <w:marBottom w:val="0"/>
      <w:divBdr>
        <w:top w:val="none" w:sz="0" w:space="0" w:color="auto"/>
        <w:left w:val="none" w:sz="0" w:space="0" w:color="auto"/>
        <w:bottom w:val="none" w:sz="0" w:space="0" w:color="auto"/>
        <w:right w:val="none" w:sz="0" w:space="0" w:color="auto"/>
      </w:divBdr>
    </w:div>
    <w:div w:id="1338001085">
      <w:bodyDiv w:val="1"/>
      <w:marLeft w:val="0"/>
      <w:marRight w:val="0"/>
      <w:marTop w:val="0"/>
      <w:marBottom w:val="0"/>
      <w:divBdr>
        <w:top w:val="none" w:sz="0" w:space="0" w:color="auto"/>
        <w:left w:val="none" w:sz="0" w:space="0" w:color="auto"/>
        <w:bottom w:val="none" w:sz="0" w:space="0" w:color="auto"/>
        <w:right w:val="none" w:sz="0" w:space="0" w:color="auto"/>
      </w:divBdr>
    </w:div>
    <w:div w:id="1338114407">
      <w:bodyDiv w:val="1"/>
      <w:marLeft w:val="0"/>
      <w:marRight w:val="0"/>
      <w:marTop w:val="0"/>
      <w:marBottom w:val="0"/>
      <w:divBdr>
        <w:top w:val="none" w:sz="0" w:space="0" w:color="auto"/>
        <w:left w:val="none" w:sz="0" w:space="0" w:color="auto"/>
        <w:bottom w:val="none" w:sz="0" w:space="0" w:color="auto"/>
        <w:right w:val="none" w:sz="0" w:space="0" w:color="auto"/>
      </w:divBdr>
    </w:div>
    <w:div w:id="1338118485">
      <w:bodyDiv w:val="1"/>
      <w:marLeft w:val="0"/>
      <w:marRight w:val="0"/>
      <w:marTop w:val="0"/>
      <w:marBottom w:val="0"/>
      <w:divBdr>
        <w:top w:val="none" w:sz="0" w:space="0" w:color="auto"/>
        <w:left w:val="none" w:sz="0" w:space="0" w:color="auto"/>
        <w:bottom w:val="none" w:sz="0" w:space="0" w:color="auto"/>
        <w:right w:val="none" w:sz="0" w:space="0" w:color="auto"/>
      </w:divBdr>
    </w:div>
    <w:div w:id="1338195320">
      <w:bodyDiv w:val="1"/>
      <w:marLeft w:val="0"/>
      <w:marRight w:val="0"/>
      <w:marTop w:val="0"/>
      <w:marBottom w:val="0"/>
      <w:divBdr>
        <w:top w:val="none" w:sz="0" w:space="0" w:color="auto"/>
        <w:left w:val="none" w:sz="0" w:space="0" w:color="auto"/>
        <w:bottom w:val="none" w:sz="0" w:space="0" w:color="auto"/>
        <w:right w:val="none" w:sz="0" w:space="0" w:color="auto"/>
      </w:divBdr>
    </w:div>
    <w:div w:id="1338196338">
      <w:bodyDiv w:val="1"/>
      <w:marLeft w:val="0"/>
      <w:marRight w:val="0"/>
      <w:marTop w:val="0"/>
      <w:marBottom w:val="0"/>
      <w:divBdr>
        <w:top w:val="none" w:sz="0" w:space="0" w:color="auto"/>
        <w:left w:val="none" w:sz="0" w:space="0" w:color="auto"/>
        <w:bottom w:val="none" w:sz="0" w:space="0" w:color="auto"/>
        <w:right w:val="none" w:sz="0" w:space="0" w:color="auto"/>
      </w:divBdr>
    </w:div>
    <w:div w:id="1338270959">
      <w:bodyDiv w:val="1"/>
      <w:marLeft w:val="0"/>
      <w:marRight w:val="0"/>
      <w:marTop w:val="0"/>
      <w:marBottom w:val="0"/>
      <w:divBdr>
        <w:top w:val="none" w:sz="0" w:space="0" w:color="auto"/>
        <w:left w:val="none" w:sz="0" w:space="0" w:color="auto"/>
        <w:bottom w:val="none" w:sz="0" w:space="0" w:color="auto"/>
        <w:right w:val="none" w:sz="0" w:space="0" w:color="auto"/>
      </w:divBdr>
    </w:div>
    <w:div w:id="1338314062">
      <w:bodyDiv w:val="1"/>
      <w:marLeft w:val="0"/>
      <w:marRight w:val="0"/>
      <w:marTop w:val="0"/>
      <w:marBottom w:val="0"/>
      <w:divBdr>
        <w:top w:val="none" w:sz="0" w:space="0" w:color="auto"/>
        <w:left w:val="none" w:sz="0" w:space="0" w:color="auto"/>
        <w:bottom w:val="none" w:sz="0" w:space="0" w:color="auto"/>
        <w:right w:val="none" w:sz="0" w:space="0" w:color="auto"/>
      </w:divBdr>
    </w:div>
    <w:div w:id="1338315100">
      <w:bodyDiv w:val="1"/>
      <w:marLeft w:val="0"/>
      <w:marRight w:val="0"/>
      <w:marTop w:val="0"/>
      <w:marBottom w:val="0"/>
      <w:divBdr>
        <w:top w:val="none" w:sz="0" w:space="0" w:color="auto"/>
        <w:left w:val="none" w:sz="0" w:space="0" w:color="auto"/>
        <w:bottom w:val="none" w:sz="0" w:space="0" w:color="auto"/>
        <w:right w:val="none" w:sz="0" w:space="0" w:color="auto"/>
      </w:divBdr>
    </w:div>
    <w:div w:id="1338341722">
      <w:bodyDiv w:val="1"/>
      <w:marLeft w:val="0"/>
      <w:marRight w:val="0"/>
      <w:marTop w:val="0"/>
      <w:marBottom w:val="0"/>
      <w:divBdr>
        <w:top w:val="none" w:sz="0" w:space="0" w:color="auto"/>
        <w:left w:val="none" w:sz="0" w:space="0" w:color="auto"/>
        <w:bottom w:val="none" w:sz="0" w:space="0" w:color="auto"/>
        <w:right w:val="none" w:sz="0" w:space="0" w:color="auto"/>
      </w:divBdr>
    </w:div>
    <w:div w:id="1338458144">
      <w:bodyDiv w:val="1"/>
      <w:marLeft w:val="0"/>
      <w:marRight w:val="0"/>
      <w:marTop w:val="0"/>
      <w:marBottom w:val="0"/>
      <w:divBdr>
        <w:top w:val="none" w:sz="0" w:space="0" w:color="auto"/>
        <w:left w:val="none" w:sz="0" w:space="0" w:color="auto"/>
        <w:bottom w:val="none" w:sz="0" w:space="0" w:color="auto"/>
        <w:right w:val="none" w:sz="0" w:space="0" w:color="auto"/>
      </w:divBdr>
    </w:div>
    <w:div w:id="1338535559">
      <w:bodyDiv w:val="1"/>
      <w:marLeft w:val="0"/>
      <w:marRight w:val="0"/>
      <w:marTop w:val="0"/>
      <w:marBottom w:val="0"/>
      <w:divBdr>
        <w:top w:val="none" w:sz="0" w:space="0" w:color="auto"/>
        <w:left w:val="none" w:sz="0" w:space="0" w:color="auto"/>
        <w:bottom w:val="none" w:sz="0" w:space="0" w:color="auto"/>
        <w:right w:val="none" w:sz="0" w:space="0" w:color="auto"/>
      </w:divBdr>
    </w:div>
    <w:div w:id="1338729270">
      <w:bodyDiv w:val="1"/>
      <w:marLeft w:val="0"/>
      <w:marRight w:val="0"/>
      <w:marTop w:val="0"/>
      <w:marBottom w:val="0"/>
      <w:divBdr>
        <w:top w:val="none" w:sz="0" w:space="0" w:color="auto"/>
        <w:left w:val="none" w:sz="0" w:space="0" w:color="auto"/>
        <w:bottom w:val="none" w:sz="0" w:space="0" w:color="auto"/>
        <w:right w:val="none" w:sz="0" w:space="0" w:color="auto"/>
      </w:divBdr>
    </w:div>
    <w:div w:id="1338801909">
      <w:bodyDiv w:val="1"/>
      <w:marLeft w:val="0"/>
      <w:marRight w:val="0"/>
      <w:marTop w:val="0"/>
      <w:marBottom w:val="0"/>
      <w:divBdr>
        <w:top w:val="none" w:sz="0" w:space="0" w:color="auto"/>
        <w:left w:val="none" w:sz="0" w:space="0" w:color="auto"/>
        <w:bottom w:val="none" w:sz="0" w:space="0" w:color="auto"/>
        <w:right w:val="none" w:sz="0" w:space="0" w:color="auto"/>
      </w:divBdr>
    </w:div>
    <w:div w:id="1338845985">
      <w:bodyDiv w:val="1"/>
      <w:marLeft w:val="0"/>
      <w:marRight w:val="0"/>
      <w:marTop w:val="0"/>
      <w:marBottom w:val="0"/>
      <w:divBdr>
        <w:top w:val="none" w:sz="0" w:space="0" w:color="auto"/>
        <w:left w:val="none" w:sz="0" w:space="0" w:color="auto"/>
        <w:bottom w:val="none" w:sz="0" w:space="0" w:color="auto"/>
        <w:right w:val="none" w:sz="0" w:space="0" w:color="auto"/>
      </w:divBdr>
    </w:div>
    <w:div w:id="1338846355">
      <w:bodyDiv w:val="1"/>
      <w:marLeft w:val="0"/>
      <w:marRight w:val="0"/>
      <w:marTop w:val="0"/>
      <w:marBottom w:val="0"/>
      <w:divBdr>
        <w:top w:val="none" w:sz="0" w:space="0" w:color="auto"/>
        <w:left w:val="none" w:sz="0" w:space="0" w:color="auto"/>
        <w:bottom w:val="none" w:sz="0" w:space="0" w:color="auto"/>
        <w:right w:val="none" w:sz="0" w:space="0" w:color="auto"/>
      </w:divBdr>
    </w:div>
    <w:div w:id="1338849691">
      <w:bodyDiv w:val="1"/>
      <w:marLeft w:val="0"/>
      <w:marRight w:val="0"/>
      <w:marTop w:val="0"/>
      <w:marBottom w:val="0"/>
      <w:divBdr>
        <w:top w:val="none" w:sz="0" w:space="0" w:color="auto"/>
        <w:left w:val="none" w:sz="0" w:space="0" w:color="auto"/>
        <w:bottom w:val="none" w:sz="0" w:space="0" w:color="auto"/>
        <w:right w:val="none" w:sz="0" w:space="0" w:color="auto"/>
      </w:divBdr>
    </w:div>
    <w:div w:id="1338923947">
      <w:bodyDiv w:val="1"/>
      <w:marLeft w:val="0"/>
      <w:marRight w:val="0"/>
      <w:marTop w:val="0"/>
      <w:marBottom w:val="0"/>
      <w:divBdr>
        <w:top w:val="none" w:sz="0" w:space="0" w:color="auto"/>
        <w:left w:val="none" w:sz="0" w:space="0" w:color="auto"/>
        <w:bottom w:val="none" w:sz="0" w:space="0" w:color="auto"/>
        <w:right w:val="none" w:sz="0" w:space="0" w:color="auto"/>
      </w:divBdr>
    </w:div>
    <w:div w:id="1338924987">
      <w:bodyDiv w:val="1"/>
      <w:marLeft w:val="0"/>
      <w:marRight w:val="0"/>
      <w:marTop w:val="0"/>
      <w:marBottom w:val="0"/>
      <w:divBdr>
        <w:top w:val="none" w:sz="0" w:space="0" w:color="auto"/>
        <w:left w:val="none" w:sz="0" w:space="0" w:color="auto"/>
        <w:bottom w:val="none" w:sz="0" w:space="0" w:color="auto"/>
        <w:right w:val="none" w:sz="0" w:space="0" w:color="auto"/>
      </w:divBdr>
    </w:div>
    <w:div w:id="1338926771">
      <w:bodyDiv w:val="1"/>
      <w:marLeft w:val="0"/>
      <w:marRight w:val="0"/>
      <w:marTop w:val="0"/>
      <w:marBottom w:val="0"/>
      <w:divBdr>
        <w:top w:val="none" w:sz="0" w:space="0" w:color="auto"/>
        <w:left w:val="none" w:sz="0" w:space="0" w:color="auto"/>
        <w:bottom w:val="none" w:sz="0" w:space="0" w:color="auto"/>
        <w:right w:val="none" w:sz="0" w:space="0" w:color="auto"/>
      </w:divBdr>
    </w:div>
    <w:div w:id="1339042243">
      <w:bodyDiv w:val="1"/>
      <w:marLeft w:val="0"/>
      <w:marRight w:val="0"/>
      <w:marTop w:val="0"/>
      <w:marBottom w:val="0"/>
      <w:divBdr>
        <w:top w:val="none" w:sz="0" w:space="0" w:color="auto"/>
        <w:left w:val="none" w:sz="0" w:space="0" w:color="auto"/>
        <w:bottom w:val="none" w:sz="0" w:space="0" w:color="auto"/>
        <w:right w:val="none" w:sz="0" w:space="0" w:color="auto"/>
      </w:divBdr>
    </w:div>
    <w:div w:id="1339237273">
      <w:bodyDiv w:val="1"/>
      <w:marLeft w:val="0"/>
      <w:marRight w:val="0"/>
      <w:marTop w:val="0"/>
      <w:marBottom w:val="0"/>
      <w:divBdr>
        <w:top w:val="none" w:sz="0" w:space="0" w:color="auto"/>
        <w:left w:val="none" w:sz="0" w:space="0" w:color="auto"/>
        <w:bottom w:val="none" w:sz="0" w:space="0" w:color="auto"/>
        <w:right w:val="none" w:sz="0" w:space="0" w:color="auto"/>
      </w:divBdr>
    </w:div>
    <w:div w:id="1339380585">
      <w:bodyDiv w:val="1"/>
      <w:marLeft w:val="0"/>
      <w:marRight w:val="0"/>
      <w:marTop w:val="0"/>
      <w:marBottom w:val="0"/>
      <w:divBdr>
        <w:top w:val="none" w:sz="0" w:space="0" w:color="auto"/>
        <w:left w:val="none" w:sz="0" w:space="0" w:color="auto"/>
        <w:bottom w:val="none" w:sz="0" w:space="0" w:color="auto"/>
        <w:right w:val="none" w:sz="0" w:space="0" w:color="auto"/>
      </w:divBdr>
    </w:div>
    <w:div w:id="1339580095">
      <w:bodyDiv w:val="1"/>
      <w:marLeft w:val="0"/>
      <w:marRight w:val="0"/>
      <w:marTop w:val="0"/>
      <w:marBottom w:val="0"/>
      <w:divBdr>
        <w:top w:val="none" w:sz="0" w:space="0" w:color="auto"/>
        <w:left w:val="none" w:sz="0" w:space="0" w:color="auto"/>
        <w:bottom w:val="none" w:sz="0" w:space="0" w:color="auto"/>
        <w:right w:val="none" w:sz="0" w:space="0" w:color="auto"/>
      </w:divBdr>
    </w:div>
    <w:div w:id="1339625680">
      <w:bodyDiv w:val="1"/>
      <w:marLeft w:val="0"/>
      <w:marRight w:val="0"/>
      <w:marTop w:val="0"/>
      <w:marBottom w:val="0"/>
      <w:divBdr>
        <w:top w:val="none" w:sz="0" w:space="0" w:color="auto"/>
        <w:left w:val="none" w:sz="0" w:space="0" w:color="auto"/>
        <w:bottom w:val="none" w:sz="0" w:space="0" w:color="auto"/>
        <w:right w:val="none" w:sz="0" w:space="0" w:color="auto"/>
      </w:divBdr>
    </w:div>
    <w:div w:id="1339692214">
      <w:bodyDiv w:val="1"/>
      <w:marLeft w:val="0"/>
      <w:marRight w:val="0"/>
      <w:marTop w:val="0"/>
      <w:marBottom w:val="0"/>
      <w:divBdr>
        <w:top w:val="none" w:sz="0" w:space="0" w:color="auto"/>
        <w:left w:val="none" w:sz="0" w:space="0" w:color="auto"/>
        <w:bottom w:val="none" w:sz="0" w:space="0" w:color="auto"/>
        <w:right w:val="none" w:sz="0" w:space="0" w:color="auto"/>
      </w:divBdr>
    </w:div>
    <w:div w:id="1340044210">
      <w:bodyDiv w:val="1"/>
      <w:marLeft w:val="0"/>
      <w:marRight w:val="0"/>
      <w:marTop w:val="0"/>
      <w:marBottom w:val="0"/>
      <w:divBdr>
        <w:top w:val="none" w:sz="0" w:space="0" w:color="auto"/>
        <w:left w:val="none" w:sz="0" w:space="0" w:color="auto"/>
        <w:bottom w:val="none" w:sz="0" w:space="0" w:color="auto"/>
        <w:right w:val="none" w:sz="0" w:space="0" w:color="auto"/>
      </w:divBdr>
    </w:div>
    <w:div w:id="1340083363">
      <w:bodyDiv w:val="1"/>
      <w:marLeft w:val="0"/>
      <w:marRight w:val="0"/>
      <w:marTop w:val="0"/>
      <w:marBottom w:val="0"/>
      <w:divBdr>
        <w:top w:val="none" w:sz="0" w:space="0" w:color="auto"/>
        <w:left w:val="none" w:sz="0" w:space="0" w:color="auto"/>
        <w:bottom w:val="none" w:sz="0" w:space="0" w:color="auto"/>
        <w:right w:val="none" w:sz="0" w:space="0" w:color="auto"/>
      </w:divBdr>
    </w:div>
    <w:div w:id="1340112302">
      <w:bodyDiv w:val="1"/>
      <w:marLeft w:val="0"/>
      <w:marRight w:val="0"/>
      <w:marTop w:val="0"/>
      <w:marBottom w:val="0"/>
      <w:divBdr>
        <w:top w:val="none" w:sz="0" w:space="0" w:color="auto"/>
        <w:left w:val="none" w:sz="0" w:space="0" w:color="auto"/>
        <w:bottom w:val="none" w:sz="0" w:space="0" w:color="auto"/>
        <w:right w:val="none" w:sz="0" w:space="0" w:color="auto"/>
      </w:divBdr>
    </w:div>
    <w:div w:id="1340278400">
      <w:bodyDiv w:val="1"/>
      <w:marLeft w:val="0"/>
      <w:marRight w:val="0"/>
      <w:marTop w:val="0"/>
      <w:marBottom w:val="0"/>
      <w:divBdr>
        <w:top w:val="none" w:sz="0" w:space="0" w:color="auto"/>
        <w:left w:val="none" w:sz="0" w:space="0" w:color="auto"/>
        <w:bottom w:val="none" w:sz="0" w:space="0" w:color="auto"/>
        <w:right w:val="none" w:sz="0" w:space="0" w:color="auto"/>
      </w:divBdr>
    </w:div>
    <w:div w:id="1340278425">
      <w:bodyDiv w:val="1"/>
      <w:marLeft w:val="0"/>
      <w:marRight w:val="0"/>
      <w:marTop w:val="0"/>
      <w:marBottom w:val="0"/>
      <w:divBdr>
        <w:top w:val="none" w:sz="0" w:space="0" w:color="auto"/>
        <w:left w:val="none" w:sz="0" w:space="0" w:color="auto"/>
        <w:bottom w:val="none" w:sz="0" w:space="0" w:color="auto"/>
        <w:right w:val="none" w:sz="0" w:space="0" w:color="auto"/>
      </w:divBdr>
    </w:div>
    <w:div w:id="1340280661">
      <w:bodyDiv w:val="1"/>
      <w:marLeft w:val="0"/>
      <w:marRight w:val="0"/>
      <w:marTop w:val="0"/>
      <w:marBottom w:val="0"/>
      <w:divBdr>
        <w:top w:val="none" w:sz="0" w:space="0" w:color="auto"/>
        <w:left w:val="none" w:sz="0" w:space="0" w:color="auto"/>
        <w:bottom w:val="none" w:sz="0" w:space="0" w:color="auto"/>
        <w:right w:val="none" w:sz="0" w:space="0" w:color="auto"/>
      </w:divBdr>
    </w:div>
    <w:div w:id="1340504307">
      <w:bodyDiv w:val="1"/>
      <w:marLeft w:val="0"/>
      <w:marRight w:val="0"/>
      <w:marTop w:val="0"/>
      <w:marBottom w:val="0"/>
      <w:divBdr>
        <w:top w:val="none" w:sz="0" w:space="0" w:color="auto"/>
        <w:left w:val="none" w:sz="0" w:space="0" w:color="auto"/>
        <w:bottom w:val="none" w:sz="0" w:space="0" w:color="auto"/>
        <w:right w:val="none" w:sz="0" w:space="0" w:color="auto"/>
      </w:divBdr>
    </w:div>
    <w:div w:id="1340548905">
      <w:bodyDiv w:val="1"/>
      <w:marLeft w:val="0"/>
      <w:marRight w:val="0"/>
      <w:marTop w:val="0"/>
      <w:marBottom w:val="0"/>
      <w:divBdr>
        <w:top w:val="none" w:sz="0" w:space="0" w:color="auto"/>
        <w:left w:val="none" w:sz="0" w:space="0" w:color="auto"/>
        <w:bottom w:val="none" w:sz="0" w:space="0" w:color="auto"/>
        <w:right w:val="none" w:sz="0" w:space="0" w:color="auto"/>
      </w:divBdr>
    </w:div>
    <w:div w:id="1340616109">
      <w:bodyDiv w:val="1"/>
      <w:marLeft w:val="0"/>
      <w:marRight w:val="0"/>
      <w:marTop w:val="0"/>
      <w:marBottom w:val="0"/>
      <w:divBdr>
        <w:top w:val="none" w:sz="0" w:space="0" w:color="auto"/>
        <w:left w:val="none" w:sz="0" w:space="0" w:color="auto"/>
        <w:bottom w:val="none" w:sz="0" w:space="0" w:color="auto"/>
        <w:right w:val="none" w:sz="0" w:space="0" w:color="auto"/>
      </w:divBdr>
    </w:div>
    <w:div w:id="1340621346">
      <w:bodyDiv w:val="1"/>
      <w:marLeft w:val="0"/>
      <w:marRight w:val="0"/>
      <w:marTop w:val="0"/>
      <w:marBottom w:val="0"/>
      <w:divBdr>
        <w:top w:val="none" w:sz="0" w:space="0" w:color="auto"/>
        <w:left w:val="none" w:sz="0" w:space="0" w:color="auto"/>
        <w:bottom w:val="none" w:sz="0" w:space="0" w:color="auto"/>
        <w:right w:val="none" w:sz="0" w:space="0" w:color="auto"/>
      </w:divBdr>
    </w:div>
    <w:div w:id="1340624475">
      <w:bodyDiv w:val="1"/>
      <w:marLeft w:val="0"/>
      <w:marRight w:val="0"/>
      <w:marTop w:val="0"/>
      <w:marBottom w:val="0"/>
      <w:divBdr>
        <w:top w:val="none" w:sz="0" w:space="0" w:color="auto"/>
        <w:left w:val="none" w:sz="0" w:space="0" w:color="auto"/>
        <w:bottom w:val="none" w:sz="0" w:space="0" w:color="auto"/>
        <w:right w:val="none" w:sz="0" w:space="0" w:color="auto"/>
      </w:divBdr>
    </w:div>
    <w:div w:id="1340736151">
      <w:bodyDiv w:val="1"/>
      <w:marLeft w:val="0"/>
      <w:marRight w:val="0"/>
      <w:marTop w:val="0"/>
      <w:marBottom w:val="0"/>
      <w:divBdr>
        <w:top w:val="none" w:sz="0" w:space="0" w:color="auto"/>
        <w:left w:val="none" w:sz="0" w:space="0" w:color="auto"/>
        <w:bottom w:val="none" w:sz="0" w:space="0" w:color="auto"/>
        <w:right w:val="none" w:sz="0" w:space="0" w:color="auto"/>
      </w:divBdr>
    </w:div>
    <w:div w:id="1340810667">
      <w:bodyDiv w:val="1"/>
      <w:marLeft w:val="0"/>
      <w:marRight w:val="0"/>
      <w:marTop w:val="0"/>
      <w:marBottom w:val="0"/>
      <w:divBdr>
        <w:top w:val="none" w:sz="0" w:space="0" w:color="auto"/>
        <w:left w:val="none" w:sz="0" w:space="0" w:color="auto"/>
        <w:bottom w:val="none" w:sz="0" w:space="0" w:color="auto"/>
        <w:right w:val="none" w:sz="0" w:space="0" w:color="auto"/>
      </w:divBdr>
    </w:div>
    <w:div w:id="1340889327">
      <w:bodyDiv w:val="1"/>
      <w:marLeft w:val="0"/>
      <w:marRight w:val="0"/>
      <w:marTop w:val="0"/>
      <w:marBottom w:val="0"/>
      <w:divBdr>
        <w:top w:val="none" w:sz="0" w:space="0" w:color="auto"/>
        <w:left w:val="none" w:sz="0" w:space="0" w:color="auto"/>
        <w:bottom w:val="none" w:sz="0" w:space="0" w:color="auto"/>
        <w:right w:val="none" w:sz="0" w:space="0" w:color="auto"/>
      </w:divBdr>
    </w:div>
    <w:div w:id="1340890876">
      <w:bodyDiv w:val="1"/>
      <w:marLeft w:val="0"/>
      <w:marRight w:val="0"/>
      <w:marTop w:val="0"/>
      <w:marBottom w:val="0"/>
      <w:divBdr>
        <w:top w:val="none" w:sz="0" w:space="0" w:color="auto"/>
        <w:left w:val="none" w:sz="0" w:space="0" w:color="auto"/>
        <w:bottom w:val="none" w:sz="0" w:space="0" w:color="auto"/>
        <w:right w:val="none" w:sz="0" w:space="0" w:color="auto"/>
      </w:divBdr>
    </w:div>
    <w:div w:id="1340892360">
      <w:bodyDiv w:val="1"/>
      <w:marLeft w:val="0"/>
      <w:marRight w:val="0"/>
      <w:marTop w:val="0"/>
      <w:marBottom w:val="0"/>
      <w:divBdr>
        <w:top w:val="none" w:sz="0" w:space="0" w:color="auto"/>
        <w:left w:val="none" w:sz="0" w:space="0" w:color="auto"/>
        <w:bottom w:val="none" w:sz="0" w:space="0" w:color="auto"/>
        <w:right w:val="none" w:sz="0" w:space="0" w:color="auto"/>
      </w:divBdr>
    </w:div>
    <w:div w:id="1340963908">
      <w:bodyDiv w:val="1"/>
      <w:marLeft w:val="0"/>
      <w:marRight w:val="0"/>
      <w:marTop w:val="0"/>
      <w:marBottom w:val="0"/>
      <w:divBdr>
        <w:top w:val="none" w:sz="0" w:space="0" w:color="auto"/>
        <w:left w:val="none" w:sz="0" w:space="0" w:color="auto"/>
        <w:bottom w:val="none" w:sz="0" w:space="0" w:color="auto"/>
        <w:right w:val="none" w:sz="0" w:space="0" w:color="auto"/>
      </w:divBdr>
    </w:div>
    <w:div w:id="1341082571">
      <w:bodyDiv w:val="1"/>
      <w:marLeft w:val="0"/>
      <w:marRight w:val="0"/>
      <w:marTop w:val="0"/>
      <w:marBottom w:val="0"/>
      <w:divBdr>
        <w:top w:val="none" w:sz="0" w:space="0" w:color="auto"/>
        <w:left w:val="none" w:sz="0" w:space="0" w:color="auto"/>
        <w:bottom w:val="none" w:sz="0" w:space="0" w:color="auto"/>
        <w:right w:val="none" w:sz="0" w:space="0" w:color="auto"/>
      </w:divBdr>
    </w:div>
    <w:div w:id="1341160823">
      <w:bodyDiv w:val="1"/>
      <w:marLeft w:val="0"/>
      <w:marRight w:val="0"/>
      <w:marTop w:val="0"/>
      <w:marBottom w:val="0"/>
      <w:divBdr>
        <w:top w:val="none" w:sz="0" w:space="0" w:color="auto"/>
        <w:left w:val="none" w:sz="0" w:space="0" w:color="auto"/>
        <w:bottom w:val="none" w:sz="0" w:space="0" w:color="auto"/>
        <w:right w:val="none" w:sz="0" w:space="0" w:color="auto"/>
      </w:divBdr>
    </w:div>
    <w:div w:id="1341346150">
      <w:bodyDiv w:val="1"/>
      <w:marLeft w:val="0"/>
      <w:marRight w:val="0"/>
      <w:marTop w:val="0"/>
      <w:marBottom w:val="0"/>
      <w:divBdr>
        <w:top w:val="none" w:sz="0" w:space="0" w:color="auto"/>
        <w:left w:val="none" w:sz="0" w:space="0" w:color="auto"/>
        <w:bottom w:val="none" w:sz="0" w:space="0" w:color="auto"/>
        <w:right w:val="none" w:sz="0" w:space="0" w:color="auto"/>
      </w:divBdr>
    </w:div>
    <w:div w:id="1341354441">
      <w:bodyDiv w:val="1"/>
      <w:marLeft w:val="0"/>
      <w:marRight w:val="0"/>
      <w:marTop w:val="0"/>
      <w:marBottom w:val="0"/>
      <w:divBdr>
        <w:top w:val="none" w:sz="0" w:space="0" w:color="auto"/>
        <w:left w:val="none" w:sz="0" w:space="0" w:color="auto"/>
        <w:bottom w:val="none" w:sz="0" w:space="0" w:color="auto"/>
        <w:right w:val="none" w:sz="0" w:space="0" w:color="auto"/>
      </w:divBdr>
    </w:div>
    <w:div w:id="1341390900">
      <w:bodyDiv w:val="1"/>
      <w:marLeft w:val="0"/>
      <w:marRight w:val="0"/>
      <w:marTop w:val="0"/>
      <w:marBottom w:val="0"/>
      <w:divBdr>
        <w:top w:val="none" w:sz="0" w:space="0" w:color="auto"/>
        <w:left w:val="none" w:sz="0" w:space="0" w:color="auto"/>
        <w:bottom w:val="none" w:sz="0" w:space="0" w:color="auto"/>
        <w:right w:val="none" w:sz="0" w:space="0" w:color="auto"/>
      </w:divBdr>
    </w:div>
    <w:div w:id="1341393761">
      <w:bodyDiv w:val="1"/>
      <w:marLeft w:val="0"/>
      <w:marRight w:val="0"/>
      <w:marTop w:val="0"/>
      <w:marBottom w:val="0"/>
      <w:divBdr>
        <w:top w:val="none" w:sz="0" w:space="0" w:color="auto"/>
        <w:left w:val="none" w:sz="0" w:space="0" w:color="auto"/>
        <w:bottom w:val="none" w:sz="0" w:space="0" w:color="auto"/>
        <w:right w:val="none" w:sz="0" w:space="0" w:color="auto"/>
      </w:divBdr>
    </w:div>
    <w:div w:id="1341394040">
      <w:bodyDiv w:val="1"/>
      <w:marLeft w:val="0"/>
      <w:marRight w:val="0"/>
      <w:marTop w:val="0"/>
      <w:marBottom w:val="0"/>
      <w:divBdr>
        <w:top w:val="none" w:sz="0" w:space="0" w:color="auto"/>
        <w:left w:val="none" w:sz="0" w:space="0" w:color="auto"/>
        <w:bottom w:val="none" w:sz="0" w:space="0" w:color="auto"/>
        <w:right w:val="none" w:sz="0" w:space="0" w:color="auto"/>
      </w:divBdr>
    </w:div>
    <w:div w:id="1341466155">
      <w:bodyDiv w:val="1"/>
      <w:marLeft w:val="0"/>
      <w:marRight w:val="0"/>
      <w:marTop w:val="0"/>
      <w:marBottom w:val="0"/>
      <w:divBdr>
        <w:top w:val="none" w:sz="0" w:space="0" w:color="auto"/>
        <w:left w:val="none" w:sz="0" w:space="0" w:color="auto"/>
        <w:bottom w:val="none" w:sz="0" w:space="0" w:color="auto"/>
        <w:right w:val="none" w:sz="0" w:space="0" w:color="auto"/>
      </w:divBdr>
    </w:div>
    <w:div w:id="1341541203">
      <w:bodyDiv w:val="1"/>
      <w:marLeft w:val="0"/>
      <w:marRight w:val="0"/>
      <w:marTop w:val="0"/>
      <w:marBottom w:val="0"/>
      <w:divBdr>
        <w:top w:val="none" w:sz="0" w:space="0" w:color="auto"/>
        <w:left w:val="none" w:sz="0" w:space="0" w:color="auto"/>
        <w:bottom w:val="none" w:sz="0" w:space="0" w:color="auto"/>
        <w:right w:val="none" w:sz="0" w:space="0" w:color="auto"/>
      </w:divBdr>
    </w:div>
    <w:div w:id="1341547701">
      <w:bodyDiv w:val="1"/>
      <w:marLeft w:val="0"/>
      <w:marRight w:val="0"/>
      <w:marTop w:val="0"/>
      <w:marBottom w:val="0"/>
      <w:divBdr>
        <w:top w:val="none" w:sz="0" w:space="0" w:color="auto"/>
        <w:left w:val="none" w:sz="0" w:space="0" w:color="auto"/>
        <w:bottom w:val="none" w:sz="0" w:space="0" w:color="auto"/>
        <w:right w:val="none" w:sz="0" w:space="0" w:color="auto"/>
      </w:divBdr>
    </w:div>
    <w:div w:id="1341619442">
      <w:bodyDiv w:val="1"/>
      <w:marLeft w:val="0"/>
      <w:marRight w:val="0"/>
      <w:marTop w:val="0"/>
      <w:marBottom w:val="0"/>
      <w:divBdr>
        <w:top w:val="none" w:sz="0" w:space="0" w:color="auto"/>
        <w:left w:val="none" w:sz="0" w:space="0" w:color="auto"/>
        <w:bottom w:val="none" w:sz="0" w:space="0" w:color="auto"/>
        <w:right w:val="none" w:sz="0" w:space="0" w:color="auto"/>
      </w:divBdr>
    </w:div>
    <w:div w:id="1341738523">
      <w:bodyDiv w:val="1"/>
      <w:marLeft w:val="0"/>
      <w:marRight w:val="0"/>
      <w:marTop w:val="0"/>
      <w:marBottom w:val="0"/>
      <w:divBdr>
        <w:top w:val="none" w:sz="0" w:space="0" w:color="auto"/>
        <w:left w:val="none" w:sz="0" w:space="0" w:color="auto"/>
        <w:bottom w:val="none" w:sz="0" w:space="0" w:color="auto"/>
        <w:right w:val="none" w:sz="0" w:space="0" w:color="auto"/>
      </w:divBdr>
    </w:div>
    <w:div w:id="1341852917">
      <w:bodyDiv w:val="1"/>
      <w:marLeft w:val="0"/>
      <w:marRight w:val="0"/>
      <w:marTop w:val="0"/>
      <w:marBottom w:val="0"/>
      <w:divBdr>
        <w:top w:val="none" w:sz="0" w:space="0" w:color="auto"/>
        <w:left w:val="none" w:sz="0" w:space="0" w:color="auto"/>
        <w:bottom w:val="none" w:sz="0" w:space="0" w:color="auto"/>
        <w:right w:val="none" w:sz="0" w:space="0" w:color="auto"/>
      </w:divBdr>
    </w:div>
    <w:div w:id="1342009047">
      <w:bodyDiv w:val="1"/>
      <w:marLeft w:val="0"/>
      <w:marRight w:val="0"/>
      <w:marTop w:val="0"/>
      <w:marBottom w:val="0"/>
      <w:divBdr>
        <w:top w:val="none" w:sz="0" w:space="0" w:color="auto"/>
        <w:left w:val="none" w:sz="0" w:space="0" w:color="auto"/>
        <w:bottom w:val="none" w:sz="0" w:space="0" w:color="auto"/>
        <w:right w:val="none" w:sz="0" w:space="0" w:color="auto"/>
      </w:divBdr>
    </w:div>
    <w:div w:id="1342009545">
      <w:bodyDiv w:val="1"/>
      <w:marLeft w:val="0"/>
      <w:marRight w:val="0"/>
      <w:marTop w:val="0"/>
      <w:marBottom w:val="0"/>
      <w:divBdr>
        <w:top w:val="none" w:sz="0" w:space="0" w:color="auto"/>
        <w:left w:val="none" w:sz="0" w:space="0" w:color="auto"/>
        <w:bottom w:val="none" w:sz="0" w:space="0" w:color="auto"/>
        <w:right w:val="none" w:sz="0" w:space="0" w:color="auto"/>
      </w:divBdr>
    </w:div>
    <w:div w:id="1342010530">
      <w:bodyDiv w:val="1"/>
      <w:marLeft w:val="0"/>
      <w:marRight w:val="0"/>
      <w:marTop w:val="0"/>
      <w:marBottom w:val="0"/>
      <w:divBdr>
        <w:top w:val="none" w:sz="0" w:space="0" w:color="auto"/>
        <w:left w:val="none" w:sz="0" w:space="0" w:color="auto"/>
        <w:bottom w:val="none" w:sz="0" w:space="0" w:color="auto"/>
        <w:right w:val="none" w:sz="0" w:space="0" w:color="auto"/>
      </w:divBdr>
    </w:div>
    <w:div w:id="1342078896">
      <w:bodyDiv w:val="1"/>
      <w:marLeft w:val="0"/>
      <w:marRight w:val="0"/>
      <w:marTop w:val="0"/>
      <w:marBottom w:val="0"/>
      <w:divBdr>
        <w:top w:val="none" w:sz="0" w:space="0" w:color="auto"/>
        <w:left w:val="none" w:sz="0" w:space="0" w:color="auto"/>
        <w:bottom w:val="none" w:sz="0" w:space="0" w:color="auto"/>
        <w:right w:val="none" w:sz="0" w:space="0" w:color="auto"/>
      </w:divBdr>
    </w:div>
    <w:div w:id="1342126640">
      <w:bodyDiv w:val="1"/>
      <w:marLeft w:val="0"/>
      <w:marRight w:val="0"/>
      <w:marTop w:val="0"/>
      <w:marBottom w:val="0"/>
      <w:divBdr>
        <w:top w:val="none" w:sz="0" w:space="0" w:color="auto"/>
        <w:left w:val="none" w:sz="0" w:space="0" w:color="auto"/>
        <w:bottom w:val="none" w:sz="0" w:space="0" w:color="auto"/>
        <w:right w:val="none" w:sz="0" w:space="0" w:color="auto"/>
      </w:divBdr>
    </w:div>
    <w:div w:id="1342194479">
      <w:bodyDiv w:val="1"/>
      <w:marLeft w:val="0"/>
      <w:marRight w:val="0"/>
      <w:marTop w:val="0"/>
      <w:marBottom w:val="0"/>
      <w:divBdr>
        <w:top w:val="none" w:sz="0" w:space="0" w:color="auto"/>
        <w:left w:val="none" w:sz="0" w:space="0" w:color="auto"/>
        <w:bottom w:val="none" w:sz="0" w:space="0" w:color="auto"/>
        <w:right w:val="none" w:sz="0" w:space="0" w:color="auto"/>
      </w:divBdr>
    </w:div>
    <w:div w:id="1342195232">
      <w:bodyDiv w:val="1"/>
      <w:marLeft w:val="0"/>
      <w:marRight w:val="0"/>
      <w:marTop w:val="0"/>
      <w:marBottom w:val="0"/>
      <w:divBdr>
        <w:top w:val="none" w:sz="0" w:space="0" w:color="auto"/>
        <w:left w:val="none" w:sz="0" w:space="0" w:color="auto"/>
        <w:bottom w:val="none" w:sz="0" w:space="0" w:color="auto"/>
        <w:right w:val="none" w:sz="0" w:space="0" w:color="auto"/>
      </w:divBdr>
    </w:div>
    <w:div w:id="1342270168">
      <w:bodyDiv w:val="1"/>
      <w:marLeft w:val="0"/>
      <w:marRight w:val="0"/>
      <w:marTop w:val="0"/>
      <w:marBottom w:val="0"/>
      <w:divBdr>
        <w:top w:val="none" w:sz="0" w:space="0" w:color="auto"/>
        <w:left w:val="none" w:sz="0" w:space="0" w:color="auto"/>
        <w:bottom w:val="none" w:sz="0" w:space="0" w:color="auto"/>
        <w:right w:val="none" w:sz="0" w:space="0" w:color="auto"/>
      </w:divBdr>
    </w:div>
    <w:div w:id="1342394640">
      <w:bodyDiv w:val="1"/>
      <w:marLeft w:val="0"/>
      <w:marRight w:val="0"/>
      <w:marTop w:val="0"/>
      <w:marBottom w:val="0"/>
      <w:divBdr>
        <w:top w:val="none" w:sz="0" w:space="0" w:color="auto"/>
        <w:left w:val="none" w:sz="0" w:space="0" w:color="auto"/>
        <w:bottom w:val="none" w:sz="0" w:space="0" w:color="auto"/>
        <w:right w:val="none" w:sz="0" w:space="0" w:color="auto"/>
      </w:divBdr>
    </w:div>
    <w:div w:id="1342509936">
      <w:bodyDiv w:val="1"/>
      <w:marLeft w:val="0"/>
      <w:marRight w:val="0"/>
      <w:marTop w:val="0"/>
      <w:marBottom w:val="0"/>
      <w:divBdr>
        <w:top w:val="none" w:sz="0" w:space="0" w:color="auto"/>
        <w:left w:val="none" w:sz="0" w:space="0" w:color="auto"/>
        <w:bottom w:val="none" w:sz="0" w:space="0" w:color="auto"/>
        <w:right w:val="none" w:sz="0" w:space="0" w:color="auto"/>
      </w:divBdr>
    </w:div>
    <w:div w:id="1342583584">
      <w:bodyDiv w:val="1"/>
      <w:marLeft w:val="0"/>
      <w:marRight w:val="0"/>
      <w:marTop w:val="0"/>
      <w:marBottom w:val="0"/>
      <w:divBdr>
        <w:top w:val="none" w:sz="0" w:space="0" w:color="auto"/>
        <w:left w:val="none" w:sz="0" w:space="0" w:color="auto"/>
        <w:bottom w:val="none" w:sz="0" w:space="0" w:color="auto"/>
        <w:right w:val="none" w:sz="0" w:space="0" w:color="auto"/>
      </w:divBdr>
    </w:div>
    <w:div w:id="1342586338">
      <w:bodyDiv w:val="1"/>
      <w:marLeft w:val="0"/>
      <w:marRight w:val="0"/>
      <w:marTop w:val="0"/>
      <w:marBottom w:val="0"/>
      <w:divBdr>
        <w:top w:val="none" w:sz="0" w:space="0" w:color="auto"/>
        <w:left w:val="none" w:sz="0" w:space="0" w:color="auto"/>
        <w:bottom w:val="none" w:sz="0" w:space="0" w:color="auto"/>
        <w:right w:val="none" w:sz="0" w:space="0" w:color="auto"/>
      </w:divBdr>
    </w:div>
    <w:div w:id="1342781113">
      <w:bodyDiv w:val="1"/>
      <w:marLeft w:val="0"/>
      <w:marRight w:val="0"/>
      <w:marTop w:val="0"/>
      <w:marBottom w:val="0"/>
      <w:divBdr>
        <w:top w:val="none" w:sz="0" w:space="0" w:color="auto"/>
        <w:left w:val="none" w:sz="0" w:space="0" w:color="auto"/>
        <w:bottom w:val="none" w:sz="0" w:space="0" w:color="auto"/>
        <w:right w:val="none" w:sz="0" w:space="0" w:color="auto"/>
      </w:divBdr>
    </w:div>
    <w:div w:id="1342926951">
      <w:bodyDiv w:val="1"/>
      <w:marLeft w:val="0"/>
      <w:marRight w:val="0"/>
      <w:marTop w:val="0"/>
      <w:marBottom w:val="0"/>
      <w:divBdr>
        <w:top w:val="none" w:sz="0" w:space="0" w:color="auto"/>
        <w:left w:val="none" w:sz="0" w:space="0" w:color="auto"/>
        <w:bottom w:val="none" w:sz="0" w:space="0" w:color="auto"/>
        <w:right w:val="none" w:sz="0" w:space="0" w:color="auto"/>
      </w:divBdr>
    </w:div>
    <w:div w:id="1342970932">
      <w:bodyDiv w:val="1"/>
      <w:marLeft w:val="0"/>
      <w:marRight w:val="0"/>
      <w:marTop w:val="0"/>
      <w:marBottom w:val="0"/>
      <w:divBdr>
        <w:top w:val="none" w:sz="0" w:space="0" w:color="auto"/>
        <w:left w:val="none" w:sz="0" w:space="0" w:color="auto"/>
        <w:bottom w:val="none" w:sz="0" w:space="0" w:color="auto"/>
        <w:right w:val="none" w:sz="0" w:space="0" w:color="auto"/>
      </w:divBdr>
    </w:div>
    <w:div w:id="1342977070">
      <w:bodyDiv w:val="1"/>
      <w:marLeft w:val="0"/>
      <w:marRight w:val="0"/>
      <w:marTop w:val="0"/>
      <w:marBottom w:val="0"/>
      <w:divBdr>
        <w:top w:val="none" w:sz="0" w:space="0" w:color="auto"/>
        <w:left w:val="none" w:sz="0" w:space="0" w:color="auto"/>
        <w:bottom w:val="none" w:sz="0" w:space="0" w:color="auto"/>
        <w:right w:val="none" w:sz="0" w:space="0" w:color="auto"/>
      </w:divBdr>
    </w:div>
    <w:div w:id="1343127108">
      <w:bodyDiv w:val="1"/>
      <w:marLeft w:val="0"/>
      <w:marRight w:val="0"/>
      <w:marTop w:val="0"/>
      <w:marBottom w:val="0"/>
      <w:divBdr>
        <w:top w:val="none" w:sz="0" w:space="0" w:color="auto"/>
        <w:left w:val="none" w:sz="0" w:space="0" w:color="auto"/>
        <w:bottom w:val="none" w:sz="0" w:space="0" w:color="auto"/>
        <w:right w:val="none" w:sz="0" w:space="0" w:color="auto"/>
      </w:divBdr>
    </w:div>
    <w:div w:id="1343166623">
      <w:bodyDiv w:val="1"/>
      <w:marLeft w:val="0"/>
      <w:marRight w:val="0"/>
      <w:marTop w:val="0"/>
      <w:marBottom w:val="0"/>
      <w:divBdr>
        <w:top w:val="none" w:sz="0" w:space="0" w:color="auto"/>
        <w:left w:val="none" w:sz="0" w:space="0" w:color="auto"/>
        <w:bottom w:val="none" w:sz="0" w:space="0" w:color="auto"/>
        <w:right w:val="none" w:sz="0" w:space="0" w:color="auto"/>
      </w:divBdr>
    </w:div>
    <w:div w:id="1343166942">
      <w:bodyDiv w:val="1"/>
      <w:marLeft w:val="0"/>
      <w:marRight w:val="0"/>
      <w:marTop w:val="0"/>
      <w:marBottom w:val="0"/>
      <w:divBdr>
        <w:top w:val="none" w:sz="0" w:space="0" w:color="auto"/>
        <w:left w:val="none" w:sz="0" w:space="0" w:color="auto"/>
        <w:bottom w:val="none" w:sz="0" w:space="0" w:color="auto"/>
        <w:right w:val="none" w:sz="0" w:space="0" w:color="auto"/>
      </w:divBdr>
    </w:div>
    <w:div w:id="1343238800">
      <w:bodyDiv w:val="1"/>
      <w:marLeft w:val="0"/>
      <w:marRight w:val="0"/>
      <w:marTop w:val="0"/>
      <w:marBottom w:val="0"/>
      <w:divBdr>
        <w:top w:val="none" w:sz="0" w:space="0" w:color="auto"/>
        <w:left w:val="none" w:sz="0" w:space="0" w:color="auto"/>
        <w:bottom w:val="none" w:sz="0" w:space="0" w:color="auto"/>
        <w:right w:val="none" w:sz="0" w:space="0" w:color="auto"/>
      </w:divBdr>
    </w:div>
    <w:div w:id="1343362155">
      <w:bodyDiv w:val="1"/>
      <w:marLeft w:val="0"/>
      <w:marRight w:val="0"/>
      <w:marTop w:val="0"/>
      <w:marBottom w:val="0"/>
      <w:divBdr>
        <w:top w:val="none" w:sz="0" w:space="0" w:color="auto"/>
        <w:left w:val="none" w:sz="0" w:space="0" w:color="auto"/>
        <w:bottom w:val="none" w:sz="0" w:space="0" w:color="auto"/>
        <w:right w:val="none" w:sz="0" w:space="0" w:color="auto"/>
      </w:divBdr>
    </w:div>
    <w:div w:id="1343362525">
      <w:bodyDiv w:val="1"/>
      <w:marLeft w:val="0"/>
      <w:marRight w:val="0"/>
      <w:marTop w:val="0"/>
      <w:marBottom w:val="0"/>
      <w:divBdr>
        <w:top w:val="none" w:sz="0" w:space="0" w:color="auto"/>
        <w:left w:val="none" w:sz="0" w:space="0" w:color="auto"/>
        <w:bottom w:val="none" w:sz="0" w:space="0" w:color="auto"/>
        <w:right w:val="none" w:sz="0" w:space="0" w:color="auto"/>
      </w:divBdr>
    </w:div>
    <w:div w:id="1343512933">
      <w:bodyDiv w:val="1"/>
      <w:marLeft w:val="0"/>
      <w:marRight w:val="0"/>
      <w:marTop w:val="0"/>
      <w:marBottom w:val="0"/>
      <w:divBdr>
        <w:top w:val="none" w:sz="0" w:space="0" w:color="auto"/>
        <w:left w:val="none" w:sz="0" w:space="0" w:color="auto"/>
        <w:bottom w:val="none" w:sz="0" w:space="0" w:color="auto"/>
        <w:right w:val="none" w:sz="0" w:space="0" w:color="auto"/>
      </w:divBdr>
    </w:div>
    <w:div w:id="1343583665">
      <w:bodyDiv w:val="1"/>
      <w:marLeft w:val="0"/>
      <w:marRight w:val="0"/>
      <w:marTop w:val="0"/>
      <w:marBottom w:val="0"/>
      <w:divBdr>
        <w:top w:val="none" w:sz="0" w:space="0" w:color="auto"/>
        <w:left w:val="none" w:sz="0" w:space="0" w:color="auto"/>
        <w:bottom w:val="none" w:sz="0" w:space="0" w:color="auto"/>
        <w:right w:val="none" w:sz="0" w:space="0" w:color="auto"/>
      </w:divBdr>
    </w:div>
    <w:div w:id="1343583926">
      <w:bodyDiv w:val="1"/>
      <w:marLeft w:val="0"/>
      <w:marRight w:val="0"/>
      <w:marTop w:val="0"/>
      <w:marBottom w:val="0"/>
      <w:divBdr>
        <w:top w:val="none" w:sz="0" w:space="0" w:color="auto"/>
        <w:left w:val="none" w:sz="0" w:space="0" w:color="auto"/>
        <w:bottom w:val="none" w:sz="0" w:space="0" w:color="auto"/>
        <w:right w:val="none" w:sz="0" w:space="0" w:color="auto"/>
      </w:divBdr>
    </w:div>
    <w:div w:id="1343700204">
      <w:bodyDiv w:val="1"/>
      <w:marLeft w:val="0"/>
      <w:marRight w:val="0"/>
      <w:marTop w:val="0"/>
      <w:marBottom w:val="0"/>
      <w:divBdr>
        <w:top w:val="none" w:sz="0" w:space="0" w:color="auto"/>
        <w:left w:val="none" w:sz="0" w:space="0" w:color="auto"/>
        <w:bottom w:val="none" w:sz="0" w:space="0" w:color="auto"/>
        <w:right w:val="none" w:sz="0" w:space="0" w:color="auto"/>
      </w:divBdr>
    </w:div>
    <w:div w:id="1343778162">
      <w:bodyDiv w:val="1"/>
      <w:marLeft w:val="0"/>
      <w:marRight w:val="0"/>
      <w:marTop w:val="0"/>
      <w:marBottom w:val="0"/>
      <w:divBdr>
        <w:top w:val="none" w:sz="0" w:space="0" w:color="auto"/>
        <w:left w:val="none" w:sz="0" w:space="0" w:color="auto"/>
        <w:bottom w:val="none" w:sz="0" w:space="0" w:color="auto"/>
        <w:right w:val="none" w:sz="0" w:space="0" w:color="auto"/>
      </w:divBdr>
    </w:div>
    <w:div w:id="1343780495">
      <w:bodyDiv w:val="1"/>
      <w:marLeft w:val="0"/>
      <w:marRight w:val="0"/>
      <w:marTop w:val="0"/>
      <w:marBottom w:val="0"/>
      <w:divBdr>
        <w:top w:val="none" w:sz="0" w:space="0" w:color="auto"/>
        <w:left w:val="none" w:sz="0" w:space="0" w:color="auto"/>
        <w:bottom w:val="none" w:sz="0" w:space="0" w:color="auto"/>
        <w:right w:val="none" w:sz="0" w:space="0" w:color="auto"/>
      </w:divBdr>
    </w:div>
    <w:div w:id="1343821558">
      <w:bodyDiv w:val="1"/>
      <w:marLeft w:val="0"/>
      <w:marRight w:val="0"/>
      <w:marTop w:val="0"/>
      <w:marBottom w:val="0"/>
      <w:divBdr>
        <w:top w:val="none" w:sz="0" w:space="0" w:color="auto"/>
        <w:left w:val="none" w:sz="0" w:space="0" w:color="auto"/>
        <w:bottom w:val="none" w:sz="0" w:space="0" w:color="auto"/>
        <w:right w:val="none" w:sz="0" w:space="0" w:color="auto"/>
      </w:divBdr>
    </w:div>
    <w:div w:id="1343896976">
      <w:bodyDiv w:val="1"/>
      <w:marLeft w:val="0"/>
      <w:marRight w:val="0"/>
      <w:marTop w:val="0"/>
      <w:marBottom w:val="0"/>
      <w:divBdr>
        <w:top w:val="none" w:sz="0" w:space="0" w:color="auto"/>
        <w:left w:val="none" w:sz="0" w:space="0" w:color="auto"/>
        <w:bottom w:val="none" w:sz="0" w:space="0" w:color="auto"/>
        <w:right w:val="none" w:sz="0" w:space="0" w:color="auto"/>
      </w:divBdr>
    </w:div>
    <w:div w:id="1343968434">
      <w:bodyDiv w:val="1"/>
      <w:marLeft w:val="0"/>
      <w:marRight w:val="0"/>
      <w:marTop w:val="0"/>
      <w:marBottom w:val="0"/>
      <w:divBdr>
        <w:top w:val="none" w:sz="0" w:space="0" w:color="auto"/>
        <w:left w:val="none" w:sz="0" w:space="0" w:color="auto"/>
        <w:bottom w:val="none" w:sz="0" w:space="0" w:color="auto"/>
        <w:right w:val="none" w:sz="0" w:space="0" w:color="auto"/>
      </w:divBdr>
    </w:div>
    <w:div w:id="1344287562">
      <w:bodyDiv w:val="1"/>
      <w:marLeft w:val="0"/>
      <w:marRight w:val="0"/>
      <w:marTop w:val="0"/>
      <w:marBottom w:val="0"/>
      <w:divBdr>
        <w:top w:val="none" w:sz="0" w:space="0" w:color="auto"/>
        <w:left w:val="none" w:sz="0" w:space="0" w:color="auto"/>
        <w:bottom w:val="none" w:sz="0" w:space="0" w:color="auto"/>
        <w:right w:val="none" w:sz="0" w:space="0" w:color="auto"/>
      </w:divBdr>
    </w:div>
    <w:div w:id="1344359790">
      <w:bodyDiv w:val="1"/>
      <w:marLeft w:val="0"/>
      <w:marRight w:val="0"/>
      <w:marTop w:val="0"/>
      <w:marBottom w:val="0"/>
      <w:divBdr>
        <w:top w:val="none" w:sz="0" w:space="0" w:color="auto"/>
        <w:left w:val="none" w:sz="0" w:space="0" w:color="auto"/>
        <w:bottom w:val="none" w:sz="0" w:space="0" w:color="auto"/>
        <w:right w:val="none" w:sz="0" w:space="0" w:color="auto"/>
      </w:divBdr>
    </w:div>
    <w:div w:id="1344434198">
      <w:bodyDiv w:val="1"/>
      <w:marLeft w:val="0"/>
      <w:marRight w:val="0"/>
      <w:marTop w:val="0"/>
      <w:marBottom w:val="0"/>
      <w:divBdr>
        <w:top w:val="none" w:sz="0" w:space="0" w:color="auto"/>
        <w:left w:val="none" w:sz="0" w:space="0" w:color="auto"/>
        <w:bottom w:val="none" w:sz="0" w:space="0" w:color="auto"/>
        <w:right w:val="none" w:sz="0" w:space="0" w:color="auto"/>
      </w:divBdr>
    </w:div>
    <w:div w:id="1344555410">
      <w:bodyDiv w:val="1"/>
      <w:marLeft w:val="0"/>
      <w:marRight w:val="0"/>
      <w:marTop w:val="0"/>
      <w:marBottom w:val="0"/>
      <w:divBdr>
        <w:top w:val="none" w:sz="0" w:space="0" w:color="auto"/>
        <w:left w:val="none" w:sz="0" w:space="0" w:color="auto"/>
        <w:bottom w:val="none" w:sz="0" w:space="0" w:color="auto"/>
        <w:right w:val="none" w:sz="0" w:space="0" w:color="auto"/>
      </w:divBdr>
    </w:div>
    <w:div w:id="1344625744">
      <w:bodyDiv w:val="1"/>
      <w:marLeft w:val="0"/>
      <w:marRight w:val="0"/>
      <w:marTop w:val="0"/>
      <w:marBottom w:val="0"/>
      <w:divBdr>
        <w:top w:val="none" w:sz="0" w:space="0" w:color="auto"/>
        <w:left w:val="none" w:sz="0" w:space="0" w:color="auto"/>
        <w:bottom w:val="none" w:sz="0" w:space="0" w:color="auto"/>
        <w:right w:val="none" w:sz="0" w:space="0" w:color="auto"/>
      </w:divBdr>
    </w:div>
    <w:div w:id="1344699126">
      <w:bodyDiv w:val="1"/>
      <w:marLeft w:val="0"/>
      <w:marRight w:val="0"/>
      <w:marTop w:val="0"/>
      <w:marBottom w:val="0"/>
      <w:divBdr>
        <w:top w:val="none" w:sz="0" w:space="0" w:color="auto"/>
        <w:left w:val="none" w:sz="0" w:space="0" w:color="auto"/>
        <w:bottom w:val="none" w:sz="0" w:space="0" w:color="auto"/>
        <w:right w:val="none" w:sz="0" w:space="0" w:color="auto"/>
      </w:divBdr>
    </w:div>
    <w:div w:id="1344746548">
      <w:bodyDiv w:val="1"/>
      <w:marLeft w:val="0"/>
      <w:marRight w:val="0"/>
      <w:marTop w:val="0"/>
      <w:marBottom w:val="0"/>
      <w:divBdr>
        <w:top w:val="none" w:sz="0" w:space="0" w:color="auto"/>
        <w:left w:val="none" w:sz="0" w:space="0" w:color="auto"/>
        <w:bottom w:val="none" w:sz="0" w:space="0" w:color="auto"/>
        <w:right w:val="none" w:sz="0" w:space="0" w:color="auto"/>
      </w:divBdr>
    </w:div>
    <w:div w:id="1344891831">
      <w:bodyDiv w:val="1"/>
      <w:marLeft w:val="0"/>
      <w:marRight w:val="0"/>
      <w:marTop w:val="0"/>
      <w:marBottom w:val="0"/>
      <w:divBdr>
        <w:top w:val="none" w:sz="0" w:space="0" w:color="auto"/>
        <w:left w:val="none" w:sz="0" w:space="0" w:color="auto"/>
        <w:bottom w:val="none" w:sz="0" w:space="0" w:color="auto"/>
        <w:right w:val="none" w:sz="0" w:space="0" w:color="auto"/>
      </w:divBdr>
    </w:div>
    <w:div w:id="1345130108">
      <w:bodyDiv w:val="1"/>
      <w:marLeft w:val="0"/>
      <w:marRight w:val="0"/>
      <w:marTop w:val="0"/>
      <w:marBottom w:val="0"/>
      <w:divBdr>
        <w:top w:val="none" w:sz="0" w:space="0" w:color="auto"/>
        <w:left w:val="none" w:sz="0" w:space="0" w:color="auto"/>
        <w:bottom w:val="none" w:sz="0" w:space="0" w:color="auto"/>
        <w:right w:val="none" w:sz="0" w:space="0" w:color="auto"/>
      </w:divBdr>
    </w:div>
    <w:div w:id="1345132323">
      <w:bodyDiv w:val="1"/>
      <w:marLeft w:val="0"/>
      <w:marRight w:val="0"/>
      <w:marTop w:val="0"/>
      <w:marBottom w:val="0"/>
      <w:divBdr>
        <w:top w:val="none" w:sz="0" w:space="0" w:color="auto"/>
        <w:left w:val="none" w:sz="0" w:space="0" w:color="auto"/>
        <w:bottom w:val="none" w:sz="0" w:space="0" w:color="auto"/>
        <w:right w:val="none" w:sz="0" w:space="0" w:color="auto"/>
      </w:divBdr>
    </w:div>
    <w:div w:id="1345211644">
      <w:bodyDiv w:val="1"/>
      <w:marLeft w:val="0"/>
      <w:marRight w:val="0"/>
      <w:marTop w:val="0"/>
      <w:marBottom w:val="0"/>
      <w:divBdr>
        <w:top w:val="none" w:sz="0" w:space="0" w:color="auto"/>
        <w:left w:val="none" w:sz="0" w:space="0" w:color="auto"/>
        <w:bottom w:val="none" w:sz="0" w:space="0" w:color="auto"/>
        <w:right w:val="none" w:sz="0" w:space="0" w:color="auto"/>
      </w:divBdr>
    </w:div>
    <w:div w:id="1345283599">
      <w:bodyDiv w:val="1"/>
      <w:marLeft w:val="0"/>
      <w:marRight w:val="0"/>
      <w:marTop w:val="0"/>
      <w:marBottom w:val="0"/>
      <w:divBdr>
        <w:top w:val="none" w:sz="0" w:space="0" w:color="auto"/>
        <w:left w:val="none" w:sz="0" w:space="0" w:color="auto"/>
        <w:bottom w:val="none" w:sz="0" w:space="0" w:color="auto"/>
        <w:right w:val="none" w:sz="0" w:space="0" w:color="auto"/>
      </w:divBdr>
    </w:div>
    <w:div w:id="1345326592">
      <w:bodyDiv w:val="1"/>
      <w:marLeft w:val="0"/>
      <w:marRight w:val="0"/>
      <w:marTop w:val="0"/>
      <w:marBottom w:val="0"/>
      <w:divBdr>
        <w:top w:val="none" w:sz="0" w:space="0" w:color="auto"/>
        <w:left w:val="none" w:sz="0" w:space="0" w:color="auto"/>
        <w:bottom w:val="none" w:sz="0" w:space="0" w:color="auto"/>
        <w:right w:val="none" w:sz="0" w:space="0" w:color="auto"/>
      </w:divBdr>
    </w:div>
    <w:div w:id="1345474991">
      <w:bodyDiv w:val="1"/>
      <w:marLeft w:val="0"/>
      <w:marRight w:val="0"/>
      <w:marTop w:val="0"/>
      <w:marBottom w:val="0"/>
      <w:divBdr>
        <w:top w:val="none" w:sz="0" w:space="0" w:color="auto"/>
        <w:left w:val="none" w:sz="0" w:space="0" w:color="auto"/>
        <w:bottom w:val="none" w:sz="0" w:space="0" w:color="auto"/>
        <w:right w:val="none" w:sz="0" w:space="0" w:color="auto"/>
      </w:divBdr>
    </w:div>
    <w:div w:id="1345594913">
      <w:bodyDiv w:val="1"/>
      <w:marLeft w:val="0"/>
      <w:marRight w:val="0"/>
      <w:marTop w:val="0"/>
      <w:marBottom w:val="0"/>
      <w:divBdr>
        <w:top w:val="none" w:sz="0" w:space="0" w:color="auto"/>
        <w:left w:val="none" w:sz="0" w:space="0" w:color="auto"/>
        <w:bottom w:val="none" w:sz="0" w:space="0" w:color="auto"/>
        <w:right w:val="none" w:sz="0" w:space="0" w:color="auto"/>
      </w:divBdr>
    </w:div>
    <w:div w:id="1345595256">
      <w:bodyDiv w:val="1"/>
      <w:marLeft w:val="0"/>
      <w:marRight w:val="0"/>
      <w:marTop w:val="0"/>
      <w:marBottom w:val="0"/>
      <w:divBdr>
        <w:top w:val="none" w:sz="0" w:space="0" w:color="auto"/>
        <w:left w:val="none" w:sz="0" w:space="0" w:color="auto"/>
        <w:bottom w:val="none" w:sz="0" w:space="0" w:color="auto"/>
        <w:right w:val="none" w:sz="0" w:space="0" w:color="auto"/>
      </w:divBdr>
    </w:div>
    <w:div w:id="1345667353">
      <w:bodyDiv w:val="1"/>
      <w:marLeft w:val="0"/>
      <w:marRight w:val="0"/>
      <w:marTop w:val="0"/>
      <w:marBottom w:val="0"/>
      <w:divBdr>
        <w:top w:val="none" w:sz="0" w:space="0" w:color="auto"/>
        <w:left w:val="none" w:sz="0" w:space="0" w:color="auto"/>
        <w:bottom w:val="none" w:sz="0" w:space="0" w:color="auto"/>
        <w:right w:val="none" w:sz="0" w:space="0" w:color="auto"/>
      </w:divBdr>
    </w:div>
    <w:div w:id="1345671414">
      <w:bodyDiv w:val="1"/>
      <w:marLeft w:val="0"/>
      <w:marRight w:val="0"/>
      <w:marTop w:val="0"/>
      <w:marBottom w:val="0"/>
      <w:divBdr>
        <w:top w:val="none" w:sz="0" w:space="0" w:color="auto"/>
        <w:left w:val="none" w:sz="0" w:space="0" w:color="auto"/>
        <w:bottom w:val="none" w:sz="0" w:space="0" w:color="auto"/>
        <w:right w:val="none" w:sz="0" w:space="0" w:color="auto"/>
      </w:divBdr>
    </w:div>
    <w:div w:id="1345673235">
      <w:bodyDiv w:val="1"/>
      <w:marLeft w:val="0"/>
      <w:marRight w:val="0"/>
      <w:marTop w:val="0"/>
      <w:marBottom w:val="0"/>
      <w:divBdr>
        <w:top w:val="none" w:sz="0" w:space="0" w:color="auto"/>
        <w:left w:val="none" w:sz="0" w:space="0" w:color="auto"/>
        <w:bottom w:val="none" w:sz="0" w:space="0" w:color="auto"/>
        <w:right w:val="none" w:sz="0" w:space="0" w:color="auto"/>
      </w:divBdr>
    </w:div>
    <w:div w:id="1345786581">
      <w:bodyDiv w:val="1"/>
      <w:marLeft w:val="0"/>
      <w:marRight w:val="0"/>
      <w:marTop w:val="0"/>
      <w:marBottom w:val="0"/>
      <w:divBdr>
        <w:top w:val="none" w:sz="0" w:space="0" w:color="auto"/>
        <w:left w:val="none" w:sz="0" w:space="0" w:color="auto"/>
        <w:bottom w:val="none" w:sz="0" w:space="0" w:color="auto"/>
        <w:right w:val="none" w:sz="0" w:space="0" w:color="auto"/>
      </w:divBdr>
    </w:div>
    <w:div w:id="1345939347">
      <w:bodyDiv w:val="1"/>
      <w:marLeft w:val="0"/>
      <w:marRight w:val="0"/>
      <w:marTop w:val="0"/>
      <w:marBottom w:val="0"/>
      <w:divBdr>
        <w:top w:val="none" w:sz="0" w:space="0" w:color="auto"/>
        <w:left w:val="none" w:sz="0" w:space="0" w:color="auto"/>
        <w:bottom w:val="none" w:sz="0" w:space="0" w:color="auto"/>
        <w:right w:val="none" w:sz="0" w:space="0" w:color="auto"/>
      </w:divBdr>
    </w:div>
    <w:div w:id="1346203023">
      <w:bodyDiv w:val="1"/>
      <w:marLeft w:val="0"/>
      <w:marRight w:val="0"/>
      <w:marTop w:val="0"/>
      <w:marBottom w:val="0"/>
      <w:divBdr>
        <w:top w:val="none" w:sz="0" w:space="0" w:color="auto"/>
        <w:left w:val="none" w:sz="0" w:space="0" w:color="auto"/>
        <w:bottom w:val="none" w:sz="0" w:space="0" w:color="auto"/>
        <w:right w:val="none" w:sz="0" w:space="0" w:color="auto"/>
      </w:divBdr>
    </w:div>
    <w:div w:id="1346440579">
      <w:bodyDiv w:val="1"/>
      <w:marLeft w:val="0"/>
      <w:marRight w:val="0"/>
      <w:marTop w:val="0"/>
      <w:marBottom w:val="0"/>
      <w:divBdr>
        <w:top w:val="none" w:sz="0" w:space="0" w:color="auto"/>
        <w:left w:val="none" w:sz="0" w:space="0" w:color="auto"/>
        <w:bottom w:val="none" w:sz="0" w:space="0" w:color="auto"/>
        <w:right w:val="none" w:sz="0" w:space="0" w:color="auto"/>
      </w:divBdr>
    </w:div>
    <w:div w:id="1346445889">
      <w:bodyDiv w:val="1"/>
      <w:marLeft w:val="0"/>
      <w:marRight w:val="0"/>
      <w:marTop w:val="0"/>
      <w:marBottom w:val="0"/>
      <w:divBdr>
        <w:top w:val="none" w:sz="0" w:space="0" w:color="auto"/>
        <w:left w:val="none" w:sz="0" w:space="0" w:color="auto"/>
        <w:bottom w:val="none" w:sz="0" w:space="0" w:color="auto"/>
        <w:right w:val="none" w:sz="0" w:space="0" w:color="auto"/>
      </w:divBdr>
    </w:div>
    <w:div w:id="1346516059">
      <w:bodyDiv w:val="1"/>
      <w:marLeft w:val="0"/>
      <w:marRight w:val="0"/>
      <w:marTop w:val="0"/>
      <w:marBottom w:val="0"/>
      <w:divBdr>
        <w:top w:val="none" w:sz="0" w:space="0" w:color="auto"/>
        <w:left w:val="none" w:sz="0" w:space="0" w:color="auto"/>
        <w:bottom w:val="none" w:sz="0" w:space="0" w:color="auto"/>
        <w:right w:val="none" w:sz="0" w:space="0" w:color="auto"/>
      </w:divBdr>
    </w:div>
    <w:div w:id="1346588801">
      <w:bodyDiv w:val="1"/>
      <w:marLeft w:val="0"/>
      <w:marRight w:val="0"/>
      <w:marTop w:val="0"/>
      <w:marBottom w:val="0"/>
      <w:divBdr>
        <w:top w:val="none" w:sz="0" w:space="0" w:color="auto"/>
        <w:left w:val="none" w:sz="0" w:space="0" w:color="auto"/>
        <w:bottom w:val="none" w:sz="0" w:space="0" w:color="auto"/>
        <w:right w:val="none" w:sz="0" w:space="0" w:color="auto"/>
      </w:divBdr>
    </w:div>
    <w:div w:id="1346591704">
      <w:bodyDiv w:val="1"/>
      <w:marLeft w:val="0"/>
      <w:marRight w:val="0"/>
      <w:marTop w:val="0"/>
      <w:marBottom w:val="0"/>
      <w:divBdr>
        <w:top w:val="none" w:sz="0" w:space="0" w:color="auto"/>
        <w:left w:val="none" w:sz="0" w:space="0" w:color="auto"/>
        <w:bottom w:val="none" w:sz="0" w:space="0" w:color="auto"/>
        <w:right w:val="none" w:sz="0" w:space="0" w:color="auto"/>
      </w:divBdr>
    </w:div>
    <w:div w:id="1346707762">
      <w:bodyDiv w:val="1"/>
      <w:marLeft w:val="0"/>
      <w:marRight w:val="0"/>
      <w:marTop w:val="0"/>
      <w:marBottom w:val="0"/>
      <w:divBdr>
        <w:top w:val="none" w:sz="0" w:space="0" w:color="auto"/>
        <w:left w:val="none" w:sz="0" w:space="0" w:color="auto"/>
        <w:bottom w:val="none" w:sz="0" w:space="0" w:color="auto"/>
        <w:right w:val="none" w:sz="0" w:space="0" w:color="auto"/>
      </w:divBdr>
    </w:div>
    <w:div w:id="1346831387">
      <w:bodyDiv w:val="1"/>
      <w:marLeft w:val="0"/>
      <w:marRight w:val="0"/>
      <w:marTop w:val="0"/>
      <w:marBottom w:val="0"/>
      <w:divBdr>
        <w:top w:val="none" w:sz="0" w:space="0" w:color="auto"/>
        <w:left w:val="none" w:sz="0" w:space="0" w:color="auto"/>
        <w:bottom w:val="none" w:sz="0" w:space="0" w:color="auto"/>
        <w:right w:val="none" w:sz="0" w:space="0" w:color="auto"/>
      </w:divBdr>
    </w:div>
    <w:div w:id="1346857158">
      <w:bodyDiv w:val="1"/>
      <w:marLeft w:val="0"/>
      <w:marRight w:val="0"/>
      <w:marTop w:val="0"/>
      <w:marBottom w:val="0"/>
      <w:divBdr>
        <w:top w:val="none" w:sz="0" w:space="0" w:color="auto"/>
        <w:left w:val="none" w:sz="0" w:space="0" w:color="auto"/>
        <w:bottom w:val="none" w:sz="0" w:space="0" w:color="auto"/>
        <w:right w:val="none" w:sz="0" w:space="0" w:color="auto"/>
      </w:divBdr>
    </w:div>
    <w:div w:id="1346978785">
      <w:bodyDiv w:val="1"/>
      <w:marLeft w:val="0"/>
      <w:marRight w:val="0"/>
      <w:marTop w:val="0"/>
      <w:marBottom w:val="0"/>
      <w:divBdr>
        <w:top w:val="none" w:sz="0" w:space="0" w:color="auto"/>
        <w:left w:val="none" w:sz="0" w:space="0" w:color="auto"/>
        <w:bottom w:val="none" w:sz="0" w:space="0" w:color="auto"/>
        <w:right w:val="none" w:sz="0" w:space="0" w:color="auto"/>
      </w:divBdr>
    </w:div>
    <w:div w:id="1347051759">
      <w:bodyDiv w:val="1"/>
      <w:marLeft w:val="0"/>
      <w:marRight w:val="0"/>
      <w:marTop w:val="0"/>
      <w:marBottom w:val="0"/>
      <w:divBdr>
        <w:top w:val="none" w:sz="0" w:space="0" w:color="auto"/>
        <w:left w:val="none" w:sz="0" w:space="0" w:color="auto"/>
        <w:bottom w:val="none" w:sz="0" w:space="0" w:color="auto"/>
        <w:right w:val="none" w:sz="0" w:space="0" w:color="auto"/>
      </w:divBdr>
    </w:div>
    <w:div w:id="1347059614">
      <w:bodyDiv w:val="1"/>
      <w:marLeft w:val="0"/>
      <w:marRight w:val="0"/>
      <w:marTop w:val="0"/>
      <w:marBottom w:val="0"/>
      <w:divBdr>
        <w:top w:val="none" w:sz="0" w:space="0" w:color="auto"/>
        <w:left w:val="none" w:sz="0" w:space="0" w:color="auto"/>
        <w:bottom w:val="none" w:sz="0" w:space="0" w:color="auto"/>
        <w:right w:val="none" w:sz="0" w:space="0" w:color="auto"/>
      </w:divBdr>
    </w:div>
    <w:div w:id="1347094635">
      <w:bodyDiv w:val="1"/>
      <w:marLeft w:val="0"/>
      <w:marRight w:val="0"/>
      <w:marTop w:val="0"/>
      <w:marBottom w:val="0"/>
      <w:divBdr>
        <w:top w:val="none" w:sz="0" w:space="0" w:color="auto"/>
        <w:left w:val="none" w:sz="0" w:space="0" w:color="auto"/>
        <w:bottom w:val="none" w:sz="0" w:space="0" w:color="auto"/>
        <w:right w:val="none" w:sz="0" w:space="0" w:color="auto"/>
      </w:divBdr>
    </w:div>
    <w:div w:id="1347100654">
      <w:bodyDiv w:val="1"/>
      <w:marLeft w:val="0"/>
      <w:marRight w:val="0"/>
      <w:marTop w:val="0"/>
      <w:marBottom w:val="0"/>
      <w:divBdr>
        <w:top w:val="none" w:sz="0" w:space="0" w:color="auto"/>
        <w:left w:val="none" w:sz="0" w:space="0" w:color="auto"/>
        <w:bottom w:val="none" w:sz="0" w:space="0" w:color="auto"/>
        <w:right w:val="none" w:sz="0" w:space="0" w:color="auto"/>
      </w:divBdr>
    </w:div>
    <w:div w:id="1347246053">
      <w:bodyDiv w:val="1"/>
      <w:marLeft w:val="0"/>
      <w:marRight w:val="0"/>
      <w:marTop w:val="0"/>
      <w:marBottom w:val="0"/>
      <w:divBdr>
        <w:top w:val="none" w:sz="0" w:space="0" w:color="auto"/>
        <w:left w:val="none" w:sz="0" w:space="0" w:color="auto"/>
        <w:bottom w:val="none" w:sz="0" w:space="0" w:color="auto"/>
        <w:right w:val="none" w:sz="0" w:space="0" w:color="auto"/>
      </w:divBdr>
    </w:div>
    <w:div w:id="1347293865">
      <w:bodyDiv w:val="1"/>
      <w:marLeft w:val="0"/>
      <w:marRight w:val="0"/>
      <w:marTop w:val="0"/>
      <w:marBottom w:val="0"/>
      <w:divBdr>
        <w:top w:val="none" w:sz="0" w:space="0" w:color="auto"/>
        <w:left w:val="none" w:sz="0" w:space="0" w:color="auto"/>
        <w:bottom w:val="none" w:sz="0" w:space="0" w:color="auto"/>
        <w:right w:val="none" w:sz="0" w:space="0" w:color="auto"/>
      </w:divBdr>
    </w:div>
    <w:div w:id="1347320302">
      <w:bodyDiv w:val="1"/>
      <w:marLeft w:val="0"/>
      <w:marRight w:val="0"/>
      <w:marTop w:val="0"/>
      <w:marBottom w:val="0"/>
      <w:divBdr>
        <w:top w:val="none" w:sz="0" w:space="0" w:color="auto"/>
        <w:left w:val="none" w:sz="0" w:space="0" w:color="auto"/>
        <w:bottom w:val="none" w:sz="0" w:space="0" w:color="auto"/>
        <w:right w:val="none" w:sz="0" w:space="0" w:color="auto"/>
      </w:divBdr>
    </w:div>
    <w:div w:id="1347361237">
      <w:bodyDiv w:val="1"/>
      <w:marLeft w:val="0"/>
      <w:marRight w:val="0"/>
      <w:marTop w:val="0"/>
      <w:marBottom w:val="0"/>
      <w:divBdr>
        <w:top w:val="none" w:sz="0" w:space="0" w:color="auto"/>
        <w:left w:val="none" w:sz="0" w:space="0" w:color="auto"/>
        <w:bottom w:val="none" w:sz="0" w:space="0" w:color="auto"/>
        <w:right w:val="none" w:sz="0" w:space="0" w:color="auto"/>
      </w:divBdr>
    </w:div>
    <w:div w:id="1347512798">
      <w:bodyDiv w:val="1"/>
      <w:marLeft w:val="0"/>
      <w:marRight w:val="0"/>
      <w:marTop w:val="0"/>
      <w:marBottom w:val="0"/>
      <w:divBdr>
        <w:top w:val="none" w:sz="0" w:space="0" w:color="auto"/>
        <w:left w:val="none" w:sz="0" w:space="0" w:color="auto"/>
        <w:bottom w:val="none" w:sz="0" w:space="0" w:color="auto"/>
        <w:right w:val="none" w:sz="0" w:space="0" w:color="auto"/>
      </w:divBdr>
    </w:div>
    <w:div w:id="1347631653">
      <w:bodyDiv w:val="1"/>
      <w:marLeft w:val="0"/>
      <w:marRight w:val="0"/>
      <w:marTop w:val="0"/>
      <w:marBottom w:val="0"/>
      <w:divBdr>
        <w:top w:val="none" w:sz="0" w:space="0" w:color="auto"/>
        <w:left w:val="none" w:sz="0" w:space="0" w:color="auto"/>
        <w:bottom w:val="none" w:sz="0" w:space="0" w:color="auto"/>
        <w:right w:val="none" w:sz="0" w:space="0" w:color="auto"/>
      </w:divBdr>
    </w:div>
    <w:div w:id="1347634169">
      <w:bodyDiv w:val="1"/>
      <w:marLeft w:val="0"/>
      <w:marRight w:val="0"/>
      <w:marTop w:val="0"/>
      <w:marBottom w:val="0"/>
      <w:divBdr>
        <w:top w:val="none" w:sz="0" w:space="0" w:color="auto"/>
        <w:left w:val="none" w:sz="0" w:space="0" w:color="auto"/>
        <w:bottom w:val="none" w:sz="0" w:space="0" w:color="auto"/>
        <w:right w:val="none" w:sz="0" w:space="0" w:color="auto"/>
      </w:divBdr>
    </w:div>
    <w:div w:id="1347713609">
      <w:bodyDiv w:val="1"/>
      <w:marLeft w:val="0"/>
      <w:marRight w:val="0"/>
      <w:marTop w:val="0"/>
      <w:marBottom w:val="0"/>
      <w:divBdr>
        <w:top w:val="none" w:sz="0" w:space="0" w:color="auto"/>
        <w:left w:val="none" w:sz="0" w:space="0" w:color="auto"/>
        <w:bottom w:val="none" w:sz="0" w:space="0" w:color="auto"/>
        <w:right w:val="none" w:sz="0" w:space="0" w:color="auto"/>
      </w:divBdr>
    </w:div>
    <w:div w:id="1347749017">
      <w:bodyDiv w:val="1"/>
      <w:marLeft w:val="0"/>
      <w:marRight w:val="0"/>
      <w:marTop w:val="0"/>
      <w:marBottom w:val="0"/>
      <w:divBdr>
        <w:top w:val="none" w:sz="0" w:space="0" w:color="auto"/>
        <w:left w:val="none" w:sz="0" w:space="0" w:color="auto"/>
        <w:bottom w:val="none" w:sz="0" w:space="0" w:color="auto"/>
        <w:right w:val="none" w:sz="0" w:space="0" w:color="auto"/>
      </w:divBdr>
    </w:div>
    <w:div w:id="1347947836">
      <w:bodyDiv w:val="1"/>
      <w:marLeft w:val="0"/>
      <w:marRight w:val="0"/>
      <w:marTop w:val="0"/>
      <w:marBottom w:val="0"/>
      <w:divBdr>
        <w:top w:val="none" w:sz="0" w:space="0" w:color="auto"/>
        <w:left w:val="none" w:sz="0" w:space="0" w:color="auto"/>
        <w:bottom w:val="none" w:sz="0" w:space="0" w:color="auto"/>
        <w:right w:val="none" w:sz="0" w:space="0" w:color="auto"/>
      </w:divBdr>
    </w:div>
    <w:div w:id="1348218742">
      <w:bodyDiv w:val="1"/>
      <w:marLeft w:val="0"/>
      <w:marRight w:val="0"/>
      <w:marTop w:val="0"/>
      <w:marBottom w:val="0"/>
      <w:divBdr>
        <w:top w:val="none" w:sz="0" w:space="0" w:color="auto"/>
        <w:left w:val="none" w:sz="0" w:space="0" w:color="auto"/>
        <w:bottom w:val="none" w:sz="0" w:space="0" w:color="auto"/>
        <w:right w:val="none" w:sz="0" w:space="0" w:color="auto"/>
      </w:divBdr>
    </w:div>
    <w:div w:id="1348219178">
      <w:bodyDiv w:val="1"/>
      <w:marLeft w:val="0"/>
      <w:marRight w:val="0"/>
      <w:marTop w:val="0"/>
      <w:marBottom w:val="0"/>
      <w:divBdr>
        <w:top w:val="none" w:sz="0" w:space="0" w:color="auto"/>
        <w:left w:val="none" w:sz="0" w:space="0" w:color="auto"/>
        <w:bottom w:val="none" w:sz="0" w:space="0" w:color="auto"/>
        <w:right w:val="none" w:sz="0" w:space="0" w:color="auto"/>
      </w:divBdr>
    </w:div>
    <w:div w:id="1348290270">
      <w:bodyDiv w:val="1"/>
      <w:marLeft w:val="0"/>
      <w:marRight w:val="0"/>
      <w:marTop w:val="0"/>
      <w:marBottom w:val="0"/>
      <w:divBdr>
        <w:top w:val="none" w:sz="0" w:space="0" w:color="auto"/>
        <w:left w:val="none" w:sz="0" w:space="0" w:color="auto"/>
        <w:bottom w:val="none" w:sz="0" w:space="0" w:color="auto"/>
        <w:right w:val="none" w:sz="0" w:space="0" w:color="auto"/>
      </w:divBdr>
    </w:div>
    <w:div w:id="1348292093">
      <w:bodyDiv w:val="1"/>
      <w:marLeft w:val="0"/>
      <w:marRight w:val="0"/>
      <w:marTop w:val="0"/>
      <w:marBottom w:val="0"/>
      <w:divBdr>
        <w:top w:val="none" w:sz="0" w:space="0" w:color="auto"/>
        <w:left w:val="none" w:sz="0" w:space="0" w:color="auto"/>
        <w:bottom w:val="none" w:sz="0" w:space="0" w:color="auto"/>
        <w:right w:val="none" w:sz="0" w:space="0" w:color="auto"/>
      </w:divBdr>
    </w:div>
    <w:div w:id="1348366246">
      <w:bodyDiv w:val="1"/>
      <w:marLeft w:val="0"/>
      <w:marRight w:val="0"/>
      <w:marTop w:val="0"/>
      <w:marBottom w:val="0"/>
      <w:divBdr>
        <w:top w:val="none" w:sz="0" w:space="0" w:color="auto"/>
        <w:left w:val="none" w:sz="0" w:space="0" w:color="auto"/>
        <w:bottom w:val="none" w:sz="0" w:space="0" w:color="auto"/>
        <w:right w:val="none" w:sz="0" w:space="0" w:color="auto"/>
      </w:divBdr>
    </w:div>
    <w:div w:id="1348369802">
      <w:bodyDiv w:val="1"/>
      <w:marLeft w:val="0"/>
      <w:marRight w:val="0"/>
      <w:marTop w:val="0"/>
      <w:marBottom w:val="0"/>
      <w:divBdr>
        <w:top w:val="none" w:sz="0" w:space="0" w:color="auto"/>
        <w:left w:val="none" w:sz="0" w:space="0" w:color="auto"/>
        <w:bottom w:val="none" w:sz="0" w:space="0" w:color="auto"/>
        <w:right w:val="none" w:sz="0" w:space="0" w:color="auto"/>
      </w:divBdr>
    </w:div>
    <w:div w:id="1348556433">
      <w:bodyDiv w:val="1"/>
      <w:marLeft w:val="0"/>
      <w:marRight w:val="0"/>
      <w:marTop w:val="0"/>
      <w:marBottom w:val="0"/>
      <w:divBdr>
        <w:top w:val="none" w:sz="0" w:space="0" w:color="auto"/>
        <w:left w:val="none" w:sz="0" w:space="0" w:color="auto"/>
        <w:bottom w:val="none" w:sz="0" w:space="0" w:color="auto"/>
        <w:right w:val="none" w:sz="0" w:space="0" w:color="auto"/>
      </w:divBdr>
    </w:div>
    <w:div w:id="1348559500">
      <w:bodyDiv w:val="1"/>
      <w:marLeft w:val="0"/>
      <w:marRight w:val="0"/>
      <w:marTop w:val="0"/>
      <w:marBottom w:val="0"/>
      <w:divBdr>
        <w:top w:val="none" w:sz="0" w:space="0" w:color="auto"/>
        <w:left w:val="none" w:sz="0" w:space="0" w:color="auto"/>
        <w:bottom w:val="none" w:sz="0" w:space="0" w:color="auto"/>
        <w:right w:val="none" w:sz="0" w:space="0" w:color="auto"/>
      </w:divBdr>
    </w:div>
    <w:div w:id="1348630589">
      <w:bodyDiv w:val="1"/>
      <w:marLeft w:val="0"/>
      <w:marRight w:val="0"/>
      <w:marTop w:val="0"/>
      <w:marBottom w:val="0"/>
      <w:divBdr>
        <w:top w:val="none" w:sz="0" w:space="0" w:color="auto"/>
        <w:left w:val="none" w:sz="0" w:space="0" w:color="auto"/>
        <w:bottom w:val="none" w:sz="0" w:space="0" w:color="auto"/>
        <w:right w:val="none" w:sz="0" w:space="0" w:color="auto"/>
      </w:divBdr>
    </w:div>
    <w:div w:id="1348940789">
      <w:bodyDiv w:val="1"/>
      <w:marLeft w:val="0"/>
      <w:marRight w:val="0"/>
      <w:marTop w:val="0"/>
      <w:marBottom w:val="0"/>
      <w:divBdr>
        <w:top w:val="none" w:sz="0" w:space="0" w:color="auto"/>
        <w:left w:val="none" w:sz="0" w:space="0" w:color="auto"/>
        <w:bottom w:val="none" w:sz="0" w:space="0" w:color="auto"/>
        <w:right w:val="none" w:sz="0" w:space="0" w:color="auto"/>
      </w:divBdr>
    </w:div>
    <w:div w:id="1348942419">
      <w:bodyDiv w:val="1"/>
      <w:marLeft w:val="0"/>
      <w:marRight w:val="0"/>
      <w:marTop w:val="0"/>
      <w:marBottom w:val="0"/>
      <w:divBdr>
        <w:top w:val="none" w:sz="0" w:space="0" w:color="auto"/>
        <w:left w:val="none" w:sz="0" w:space="0" w:color="auto"/>
        <w:bottom w:val="none" w:sz="0" w:space="0" w:color="auto"/>
        <w:right w:val="none" w:sz="0" w:space="0" w:color="auto"/>
      </w:divBdr>
    </w:div>
    <w:div w:id="1349064350">
      <w:bodyDiv w:val="1"/>
      <w:marLeft w:val="0"/>
      <w:marRight w:val="0"/>
      <w:marTop w:val="0"/>
      <w:marBottom w:val="0"/>
      <w:divBdr>
        <w:top w:val="none" w:sz="0" w:space="0" w:color="auto"/>
        <w:left w:val="none" w:sz="0" w:space="0" w:color="auto"/>
        <w:bottom w:val="none" w:sz="0" w:space="0" w:color="auto"/>
        <w:right w:val="none" w:sz="0" w:space="0" w:color="auto"/>
      </w:divBdr>
    </w:div>
    <w:div w:id="1349256391">
      <w:bodyDiv w:val="1"/>
      <w:marLeft w:val="0"/>
      <w:marRight w:val="0"/>
      <w:marTop w:val="0"/>
      <w:marBottom w:val="0"/>
      <w:divBdr>
        <w:top w:val="none" w:sz="0" w:space="0" w:color="auto"/>
        <w:left w:val="none" w:sz="0" w:space="0" w:color="auto"/>
        <w:bottom w:val="none" w:sz="0" w:space="0" w:color="auto"/>
        <w:right w:val="none" w:sz="0" w:space="0" w:color="auto"/>
      </w:divBdr>
    </w:div>
    <w:div w:id="1349330379">
      <w:bodyDiv w:val="1"/>
      <w:marLeft w:val="0"/>
      <w:marRight w:val="0"/>
      <w:marTop w:val="0"/>
      <w:marBottom w:val="0"/>
      <w:divBdr>
        <w:top w:val="none" w:sz="0" w:space="0" w:color="auto"/>
        <w:left w:val="none" w:sz="0" w:space="0" w:color="auto"/>
        <w:bottom w:val="none" w:sz="0" w:space="0" w:color="auto"/>
        <w:right w:val="none" w:sz="0" w:space="0" w:color="auto"/>
      </w:divBdr>
    </w:div>
    <w:div w:id="1349481828">
      <w:bodyDiv w:val="1"/>
      <w:marLeft w:val="0"/>
      <w:marRight w:val="0"/>
      <w:marTop w:val="0"/>
      <w:marBottom w:val="0"/>
      <w:divBdr>
        <w:top w:val="none" w:sz="0" w:space="0" w:color="auto"/>
        <w:left w:val="none" w:sz="0" w:space="0" w:color="auto"/>
        <w:bottom w:val="none" w:sz="0" w:space="0" w:color="auto"/>
        <w:right w:val="none" w:sz="0" w:space="0" w:color="auto"/>
      </w:divBdr>
    </w:div>
    <w:div w:id="1349520623">
      <w:bodyDiv w:val="1"/>
      <w:marLeft w:val="0"/>
      <w:marRight w:val="0"/>
      <w:marTop w:val="0"/>
      <w:marBottom w:val="0"/>
      <w:divBdr>
        <w:top w:val="none" w:sz="0" w:space="0" w:color="auto"/>
        <w:left w:val="none" w:sz="0" w:space="0" w:color="auto"/>
        <w:bottom w:val="none" w:sz="0" w:space="0" w:color="auto"/>
        <w:right w:val="none" w:sz="0" w:space="0" w:color="auto"/>
      </w:divBdr>
    </w:div>
    <w:div w:id="1349526648">
      <w:bodyDiv w:val="1"/>
      <w:marLeft w:val="0"/>
      <w:marRight w:val="0"/>
      <w:marTop w:val="0"/>
      <w:marBottom w:val="0"/>
      <w:divBdr>
        <w:top w:val="none" w:sz="0" w:space="0" w:color="auto"/>
        <w:left w:val="none" w:sz="0" w:space="0" w:color="auto"/>
        <w:bottom w:val="none" w:sz="0" w:space="0" w:color="auto"/>
        <w:right w:val="none" w:sz="0" w:space="0" w:color="auto"/>
      </w:divBdr>
    </w:div>
    <w:div w:id="1349526668">
      <w:bodyDiv w:val="1"/>
      <w:marLeft w:val="0"/>
      <w:marRight w:val="0"/>
      <w:marTop w:val="0"/>
      <w:marBottom w:val="0"/>
      <w:divBdr>
        <w:top w:val="none" w:sz="0" w:space="0" w:color="auto"/>
        <w:left w:val="none" w:sz="0" w:space="0" w:color="auto"/>
        <w:bottom w:val="none" w:sz="0" w:space="0" w:color="auto"/>
        <w:right w:val="none" w:sz="0" w:space="0" w:color="auto"/>
      </w:divBdr>
    </w:div>
    <w:div w:id="1349598474">
      <w:bodyDiv w:val="1"/>
      <w:marLeft w:val="0"/>
      <w:marRight w:val="0"/>
      <w:marTop w:val="0"/>
      <w:marBottom w:val="0"/>
      <w:divBdr>
        <w:top w:val="none" w:sz="0" w:space="0" w:color="auto"/>
        <w:left w:val="none" w:sz="0" w:space="0" w:color="auto"/>
        <w:bottom w:val="none" w:sz="0" w:space="0" w:color="auto"/>
        <w:right w:val="none" w:sz="0" w:space="0" w:color="auto"/>
      </w:divBdr>
    </w:div>
    <w:div w:id="1349600566">
      <w:bodyDiv w:val="1"/>
      <w:marLeft w:val="0"/>
      <w:marRight w:val="0"/>
      <w:marTop w:val="0"/>
      <w:marBottom w:val="0"/>
      <w:divBdr>
        <w:top w:val="none" w:sz="0" w:space="0" w:color="auto"/>
        <w:left w:val="none" w:sz="0" w:space="0" w:color="auto"/>
        <w:bottom w:val="none" w:sz="0" w:space="0" w:color="auto"/>
        <w:right w:val="none" w:sz="0" w:space="0" w:color="auto"/>
      </w:divBdr>
    </w:div>
    <w:div w:id="1349672711">
      <w:bodyDiv w:val="1"/>
      <w:marLeft w:val="0"/>
      <w:marRight w:val="0"/>
      <w:marTop w:val="0"/>
      <w:marBottom w:val="0"/>
      <w:divBdr>
        <w:top w:val="none" w:sz="0" w:space="0" w:color="auto"/>
        <w:left w:val="none" w:sz="0" w:space="0" w:color="auto"/>
        <w:bottom w:val="none" w:sz="0" w:space="0" w:color="auto"/>
        <w:right w:val="none" w:sz="0" w:space="0" w:color="auto"/>
      </w:divBdr>
    </w:div>
    <w:div w:id="1349678417">
      <w:bodyDiv w:val="1"/>
      <w:marLeft w:val="0"/>
      <w:marRight w:val="0"/>
      <w:marTop w:val="0"/>
      <w:marBottom w:val="0"/>
      <w:divBdr>
        <w:top w:val="none" w:sz="0" w:space="0" w:color="auto"/>
        <w:left w:val="none" w:sz="0" w:space="0" w:color="auto"/>
        <w:bottom w:val="none" w:sz="0" w:space="0" w:color="auto"/>
        <w:right w:val="none" w:sz="0" w:space="0" w:color="auto"/>
      </w:divBdr>
    </w:div>
    <w:div w:id="1349718063">
      <w:bodyDiv w:val="1"/>
      <w:marLeft w:val="0"/>
      <w:marRight w:val="0"/>
      <w:marTop w:val="0"/>
      <w:marBottom w:val="0"/>
      <w:divBdr>
        <w:top w:val="none" w:sz="0" w:space="0" w:color="auto"/>
        <w:left w:val="none" w:sz="0" w:space="0" w:color="auto"/>
        <w:bottom w:val="none" w:sz="0" w:space="0" w:color="auto"/>
        <w:right w:val="none" w:sz="0" w:space="0" w:color="auto"/>
      </w:divBdr>
    </w:div>
    <w:div w:id="1349941453">
      <w:bodyDiv w:val="1"/>
      <w:marLeft w:val="0"/>
      <w:marRight w:val="0"/>
      <w:marTop w:val="0"/>
      <w:marBottom w:val="0"/>
      <w:divBdr>
        <w:top w:val="none" w:sz="0" w:space="0" w:color="auto"/>
        <w:left w:val="none" w:sz="0" w:space="0" w:color="auto"/>
        <w:bottom w:val="none" w:sz="0" w:space="0" w:color="auto"/>
        <w:right w:val="none" w:sz="0" w:space="0" w:color="auto"/>
      </w:divBdr>
    </w:div>
    <w:div w:id="1349941798">
      <w:bodyDiv w:val="1"/>
      <w:marLeft w:val="0"/>
      <w:marRight w:val="0"/>
      <w:marTop w:val="0"/>
      <w:marBottom w:val="0"/>
      <w:divBdr>
        <w:top w:val="none" w:sz="0" w:space="0" w:color="auto"/>
        <w:left w:val="none" w:sz="0" w:space="0" w:color="auto"/>
        <w:bottom w:val="none" w:sz="0" w:space="0" w:color="auto"/>
        <w:right w:val="none" w:sz="0" w:space="0" w:color="auto"/>
      </w:divBdr>
    </w:div>
    <w:div w:id="1349985470">
      <w:bodyDiv w:val="1"/>
      <w:marLeft w:val="0"/>
      <w:marRight w:val="0"/>
      <w:marTop w:val="0"/>
      <w:marBottom w:val="0"/>
      <w:divBdr>
        <w:top w:val="none" w:sz="0" w:space="0" w:color="auto"/>
        <w:left w:val="none" w:sz="0" w:space="0" w:color="auto"/>
        <w:bottom w:val="none" w:sz="0" w:space="0" w:color="auto"/>
        <w:right w:val="none" w:sz="0" w:space="0" w:color="auto"/>
      </w:divBdr>
    </w:div>
    <w:div w:id="1350059136">
      <w:bodyDiv w:val="1"/>
      <w:marLeft w:val="0"/>
      <w:marRight w:val="0"/>
      <w:marTop w:val="0"/>
      <w:marBottom w:val="0"/>
      <w:divBdr>
        <w:top w:val="none" w:sz="0" w:space="0" w:color="auto"/>
        <w:left w:val="none" w:sz="0" w:space="0" w:color="auto"/>
        <w:bottom w:val="none" w:sz="0" w:space="0" w:color="auto"/>
        <w:right w:val="none" w:sz="0" w:space="0" w:color="auto"/>
      </w:divBdr>
    </w:div>
    <w:div w:id="1350182126">
      <w:bodyDiv w:val="1"/>
      <w:marLeft w:val="0"/>
      <w:marRight w:val="0"/>
      <w:marTop w:val="0"/>
      <w:marBottom w:val="0"/>
      <w:divBdr>
        <w:top w:val="none" w:sz="0" w:space="0" w:color="auto"/>
        <w:left w:val="none" w:sz="0" w:space="0" w:color="auto"/>
        <w:bottom w:val="none" w:sz="0" w:space="0" w:color="auto"/>
        <w:right w:val="none" w:sz="0" w:space="0" w:color="auto"/>
      </w:divBdr>
    </w:div>
    <w:div w:id="1350253448">
      <w:bodyDiv w:val="1"/>
      <w:marLeft w:val="0"/>
      <w:marRight w:val="0"/>
      <w:marTop w:val="0"/>
      <w:marBottom w:val="0"/>
      <w:divBdr>
        <w:top w:val="none" w:sz="0" w:space="0" w:color="auto"/>
        <w:left w:val="none" w:sz="0" w:space="0" w:color="auto"/>
        <w:bottom w:val="none" w:sz="0" w:space="0" w:color="auto"/>
        <w:right w:val="none" w:sz="0" w:space="0" w:color="auto"/>
      </w:divBdr>
    </w:div>
    <w:div w:id="1350255357">
      <w:bodyDiv w:val="1"/>
      <w:marLeft w:val="0"/>
      <w:marRight w:val="0"/>
      <w:marTop w:val="0"/>
      <w:marBottom w:val="0"/>
      <w:divBdr>
        <w:top w:val="none" w:sz="0" w:space="0" w:color="auto"/>
        <w:left w:val="none" w:sz="0" w:space="0" w:color="auto"/>
        <w:bottom w:val="none" w:sz="0" w:space="0" w:color="auto"/>
        <w:right w:val="none" w:sz="0" w:space="0" w:color="auto"/>
      </w:divBdr>
    </w:div>
    <w:div w:id="1350370488">
      <w:bodyDiv w:val="1"/>
      <w:marLeft w:val="0"/>
      <w:marRight w:val="0"/>
      <w:marTop w:val="0"/>
      <w:marBottom w:val="0"/>
      <w:divBdr>
        <w:top w:val="none" w:sz="0" w:space="0" w:color="auto"/>
        <w:left w:val="none" w:sz="0" w:space="0" w:color="auto"/>
        <w:bottom w:val="none" w:sz="0" w:space="0" w:color="auto"/>
        <w:right w:val="none" w:sz="0" w:space="0" w:color="auto"/>
      </w:divBdr>
    </w:div>
    <w:div w:id="1350372903">
      <w:bodyDiv w:val="1"/>
      <w:marLeft w:val="0"/>
      <w:marRight w:val="0"/>
      <w:marTop w:val="0"/>
      <w:marBottom w:val="0"/>
      <w:divBdr>
        <w:top w:val="none" w:sz="0" w:space="0" w:color="auto"/>
        <w:left w:val="none" w:sz="0" w:space="0" w:color="auto"/>
        <w:bottom w:val="none" w:sz="0" w:space="0" w:color="auto"/>
        <w:right w:val="none" w:sz="0" w:space="0" w:color="auto"/>
      </w:divBdr>
    </w:div>
    <w:div w:id="1350453039">
      <w:bodyDiv w:val="1"/>
      <w:marLeft w:val="0"/>
      <w:marRight w:val="0"/>
      <w:marTop w:val="0"/>
      <w:marBottom w:val="0"/>
      <w:divBdr>
        <w:top w:val="none" w:sz="0" w:space="0" w:color="auto"/>
        <w:left w:val="none" w:sz="0" w:space="0" w:color="auto"/>
        <w:bottom w:val="none" w:sz="0" w:space="0" w:color="auto"/>
        <w:right w:val="none" w:sz="0" w:space="0" w:color="auto"/>
      </w:divBdr>
    </w:div>
    <w:div w:id="1350520625">
      <w:bodyDiv w:val="1"/>
      <w:marLeft w:val="0"/>
      <w:marRight w:val="0"/>
      <w:marTop w:val="0"/>
      <w:marBottom w:val="0"/>
      <w:divBdr>
        <w:top w:val="none" w:sz="0" w:space="0" w:color="auto"/>
        <w:left w:val="none" w:sz="0" w:space="0" w:color="auto"/>
        <w:bottom w:val="none" w:sz="0" w:space="0" w:color="auto"/>
        <w:right w:val="none" w:sz="0" w:space="0" w:color="auto"/>
      </w:divBdr>
    </w:div>
    <w:div w:id="1350529045">
      <w:bodyDiv w:val="1"/>
      <w:marLeft w:val="0"/>
      <w:marRight w:val="0"/>
      <w:marTop w:val="0"/>
      <w:marBottom w:val="0"/>
      <w:divBdr>
        <w:top w:val="none" w:sz="0" w:space="0" w:color="auto"/>
        <w:left w:val="none" w:sz="0" w:space="0" w:color="auto"/>
        <w:bottom w:val="none" w:sz="0" w:space="0" w:color="auto"/>
        <w:right w:val="none" w:sz="0" w:space="0" w:color="auto"/>
      </w:divBdr>
    </w:div>
    <w:div w:id="1350638542">
      <w:bodyDiv w:val="1"/>
      <w:marLeft w:val="0"/>
      <w:marRight w:val="0"/>
      <w:marTop w:val="0"/>
      <w:marBottom w:val="0"/>
      <w:divBdr>
        <w:top w:val="none" w:sz="0" w:space="0" w:color="auto"/>
        <w:left w:val="none" w:sz="0" w:space="0" w:color="auto"/>
        <w:bottom w:val="none" w:sz="0" w:space="0" w:color="auto"/>
        <w:right w:val="none" w:sz="0" w:space="0" w:color="auto"/>
      </w:divBdr>
    </w:div>
    <w:div w:id="1350791830">
      <w:bodyDiv w:val="1"/>
      <w:marLeft w:val="0"/>
      <w:marRight w:val="0"/>
      <w:marTop w:val="0"/>
      <w:marBottom w:val="0"/>
      <w:divBdr>
        <w:top w:val="none" w:sz="0" w:space="0" w:color="auto"/>
        <w:left w:val="none" w:sz="0" w:space="0" w:color="auto"/>
        <w:bottom w:val="none" w:sz="0" w:space="0" w:color="auto"/>
        <w:right w:val="none" w:sz="0" w:space="0" w:color="auto"/>
      </w:divBdr>
    </w:div>
    <w:div w:id="1350832087">
      <w:bodyDiv w:val="1"/>
      <w:marLeft w:val="0"/>
      <w:marRight w:val="0"/>
      <w:marTop w:val="0"/>
      <w:marBottom w:val="0"/>
      <w:divBdr>
        <w:top w:val="none" w:sz="0" w:space="0" w:color="auto"/>
        <w:left w:val="none" w:sz="0" w:space="0" w:color="auto"/>
        <w:bottom w:val="none" w:sz="0" w:space="0" w:color="auto"/>
        <w:right w:val="none" w:sz="0" w:space="0" w:color="auto"/>
      </w:divBdr>
    </w:div>
    <w:div w:id="1350906375">
      <w:bodyDiv w:val="1"/>
      <w:marLeft w:val="0"/>
      <w:marRight w:val="0"/>
      <w:marTop w:val="0"/>
      <w:marBottom w:val="0"/>
      <w:divBdr>
        <w:top w:val="none" w:sz="0" w:space="0" w:color="auto"/>
        <w:left w:val="none" w:sz="0" w:space="0" w:color="auto"/>
        <w:bottom w:val="none" w:sz="0" w:space="0" w:color="auto"/>
        <w:right w:val="none" w:sz="0" w:space="0" w:color="auto"/>
      </w:divBdr>
    </w:div>
    <w:div w:id="1350983555">
      <w:bodyDiv w:val="1"/>
      <w:marLeft w:val="0"/>
      <w:marRight w:val="0"/>
      <w:marTop w:val="0"/>
      <w:marBottom w:val="0"/>
      <w:divBdr>
        <w:top w:val="none" w:sz="0" w:space="0" w:color="auto"/>
        <w:left w:val="none" w:sz="0" w:space="0" w:color="auto"/>
        <w:bottom w:val="none" w:sz="0" w:space="0" w:color="auto"/>
        <w:right w:val="none" w:sz="0" w:space="0" w:color="auto"/>
      </w:divBdr>
    </w:div>
    <w:div w:id="1350984129">
      <w:bodyDiv w:val="1"/>
      <w:marLeft w:val="0"/>
      <w:marRight w:val="0"/>
      <w:marTop w:val="0"/>
      <w:marBottom w:val="0"/>
      <w:divBdr>
        <w:top w:val="none" w:sz="0" w:space="0" w:color="auto"/>
        <w:left w:val="none" w:sz="0" w:space="0" w:color="auto"/>
        <w:bottom w:val="none" w:sz="0" w:space="0" w:color="auto"/>
        <w:right w:val="none" w:sz="0" w:space="0" w:color="auto"/>
      </w:divBdr>
    </w:div>
    <w:div w:id="1350985397">
      <w:bodyDiv w:val="1"/>
      <w:marLeft w:val="0"/>
      <w:marRight w:val="0"/>
      <w:marTop w:val="0"/>
      <w:marBottom w:val="0"/>
      <w:divBdr>
        <w:top w:val="none" w:sz="0" w:space="0" w:color="auto"/>
        <w:left w:val="none" w:sz="0" w:space="0" w:color="auto"/>
        <w:bottom w:val="none" w:sz="0" w:space="0" w:color="auto"/>
        <w:right w:val="none" w:sz="0" w:space="0" w:color="auto"/>
      </w:divBdr>
    </w:div>
    <w:div w:id="1350988223">
      <w:bodyDiv w:val="1"/>
      <w:marLeft w:val="0"/>
      <w:marRight w:val="0"/>
      <w:marTop w:val="0"/>
      <w:marBottom w:val="0"/>
      <w:divBdr>
        <w:top w:val="none" w:sz="0" w:space="0" w:color="auto"/>
        <w:left w:val="none" w:sz="0" w:space="0" w:color="auto"/>
        <w:bottom w:val="none" w:sz="0" w:space="0" w:color="auto"/>
        <w:right w:val="none" w:sz="0" w:space="0" w:color="auto"/>
      </w:divBdr>
    </w:div>
    <w:div w:id="1351183426">
      <w:bodyDiv w:val="1"/>
      <w:marLeft w:val="0"/>
      <w:marRight w:val="0"/>
      <w:marTop w:val="0"/>
      <w:marBottom w:val="0"/>
      <w:divBdr>
        <w:top w:val="none" w:sz="0" w:space="0" w:color="auto"/>
        <w:left w:val="none" w:sz="0" w:space="0" w:color="auto"/>
        <w:bottom w:val="none" w:sz="0" w:space="0" w:color="auto"/>
        <w:right w:val="none" w:sz="0" w:space="0" w:color="auto"/>
      </w:divBdr>
    </w:div>
    <w:div w:id="1351252362">
      <w:bodyDiv w:val="1"/>
      <w:marLeft w:val="0"/>
      <w:marRight w:val="0"/>
      <w:marTop w:val="0"/>
      <w:marBottom w:val="0"/>
      <w:divBdr>
        <w:top w:val="none" w:sz="0" w:space="0" w:color="auto"/>
        <w:left w:val="none" w:sz="0" w:space="0" w:color="auto"/>
        <w:bottom w:val="none" w:sz="0" w:space="0" w:color="auto"/>
        <w:right w:val="none" w:sz="0" w:space="0" w:color="auto"/>
      </w:divBdr>
    </w:div>
    <w:div w:id="1351370282">
      <w:bodyDiv w:val="1"/>
      <w:marLeft w:val="0"/>
      <w:marRight w:val="0"/>
      <w:marTop w:val="0"/>
      <w:marBottom w:val="0"/>
      <w:divBdr>
        <w:top w:val="none" w:sz="0" w:space="0" w:color="auto"/>
        <w:left w:val="none" w:sz="0" w:space="0" w:color="auto"/>
        <w:bottom w:val="none" w:sz="0" w:space="0" w:color="auto"/>
        <w:right w:val="none" w:sz="0" w:space="0" w:color="auto"/>
      </w:divBdr>
    </w:div>
    <w:div w:id="1351444564">
      <w:bodyDiv w:val="1"/>
      <w:marLeft w:val="0"/>
      <w:marRight w:val="0"/>
      <w:marTop w:val="0"/>
      <w:marBottom w:val="0"/>
      <w:divBdr>
        <w:top w:val="none" w:sz="0" w:space="0" w:color="auto"/>
        <w:left w:val="none" w:sz="0" w:space="0" w:color="auto"/>
        <w:bottom w:val="none" w:sz="0" w:space="0" w:color="auto"/>
        <w:right w:val="none" w:sz="0" w:space="0" w:color="auto"/>
      </w:divBdr>
    </w:div>
    <w:div w:id="1351565109">
      <w:bodyDiv w:val="1"/>
      <w:marLeft w:val="0"/>
      <w:marRight w:val="0"/>
      <w:marTop w:val="0"/>
      <w:marBottom w:val="0"/>
      <w:divBdr>
        <w:top w:val="none" w:sz="0" w:space="0" w:color="auto"/>
        <w:left w:val="none" w:sz="0" w:space="0" w:color="auto"/>
        <w:bottom w:val="none" w:sz="0" w:space="0" w:color="auto"/>
        <w:right w:val="none" w:sz="0" w:space="0" w:color="auto"/>
      </w:divBdr>
    </w:div>
    <w:div w:id="1351565262">
      <w:bodyDiv w:val="1"/>
      <w:marLeft w:val="0"/>
      <w:marRight w:val="0"/>
      <w:marTop w:val="0"/>
      <w:marBottom w:val="0"/>
      <w:divBdr>
        <w:top w:val="none" w:sz="0" w:space="0" w:color="auto"/>
        <w:left w:val="none" w:sz="0" w:space="0" w:color="auto"/>
        <w:bottom w:val="none" w:sz="0" w:space="0" w:color="auto"/>
        <w:right w:val="none" w:sz="0" w:space="0" w:color="auto"/>
      </w:divBdr>
    </w:div>
    <w:div w:id="1351641487">
      <w:bodyDiv w:val="1"/>
      <w:marLeft w:val="0"/>
      <w:marRight w:val="0"/>
      <w:marTop w:val="0"/>
      <w:marBottom w:val="0"/>
      <w:divBdr>
        <w:top w:val="none" w:sz="0" w:space="0" w:color="auto"/>
        <w:left w:val="none" w:sz="0" w:space="0" w:color="auto"/>
        <w:bottom w:val="none" w:sz="0" w:space="0" w:color="auto"/>
        <w:right w:val="none" w:sz="0" w:space="0" w:color="auto"/>
      </w:divBdr>
    </w:div>
    <w:div w:id="1351833733">
      <w:bodyDiv w:val="1"/>
      <w:marLeft w:val="0"/>
      <w:marRight w:val="0"/>
      <w:marTop w:val="0"/>
      <w:marBottom w:val="0"/>
      <w:divBdr>
        <w:top w:val="none" w:sz="0" w:space="0" w:color="auto"/>
        <w:left w:val="none" w:sz="0" w:space="0" w:color="auto"/>
        <w:bottom w:val="none" w:sz="0" w:space="0" w:color="auto"/>
        <w:right w:val="none" w:sz="0" w:space="0" w:color="auto"/>
      </w:divBdr>
    </w:div>
    <w:div w:id="1351905905">
      <w:bodyDiv w:val="1"/>
      <w:marLeft w:val="0"/>
      <w:marRight w:val="0"/>
      <w:marTop w:val="0"/>
      <w:marBottom w:val="0"/>
      <w:divBdr>
        <w:top w:val="none" w:sz="0" w:space="0" w:color="auto"/>
        <w:left w:val="none" w:sz="0" w:space="0" w:color="auto"/>
        <w:bottom w:val="none" w:sz="0" w:space="0" w:color="auto"/>
        <w:right w:val="none" w:sz="0" w:space="0" w:color="auto"/>
      </w:divBdr>
    </w:div>
    <w:div w:id="1351950347">
      <w:bodyDiv w:val="1"/>
      <w:marLeft w:val="0"/>
      <w:marRight w:val="0"/>
      <w:marTop w:val="0"/>
      <w:marBottom w:val="0"/>
      <w:divBdr>
        <w:top w:val="none" w:sz="0" w:space="0" w:color="auto"/>
        <w:left w:val="none" w:sz="0" w:space="0" w:color="auto"/>
        <w:bottom w:val="none" w:sz="0" w:space="0" w:color="auto"/>
        <w:right w:val="none" w:sz="0" w:space="0" w:color="auto"/>
      </w:divBdr>
    </w:div>
    <w:div w:id="1351953361">
      <w:bodyDiv w:val="1"/>
      <w:marLeft w:val="0"/>
      <w:marRight w:val="0"/>
      <w:marTop w:val="0"/>
      <w:marBottom w:val="0"/>
      <w:divBdr>
        <w:top w:val="none" w:sz="0" w:space="0" w:color="auto"/>
        <w:left w:val="none" w:sz="0" w:space="0" w:color="auto"/>
        <w:bottom w:val="none" w:sz="0" w:space="0" w:color="auto"/>
        <w:right w:val="none" w:sz="0" w:space="0" w:color="auto"/>
      </w:divBdr>
    </w:div>
    <w:div w:id="1352075007">
      <w:bodyDiv w:val="1"/>
      <w:marLeft w:val="0"/>
      <w:marRight w:val="0"/>
      <w:marTop w:val="0"/>
      <w:marBottom w:val="0"/>
      <w:divBdr>
        <w:top w:val="none" w:sz="0" w:space="0" w:color="auto"/>
        <w:left w:val="none" w:sz="0" w:space="0" w:color="auto"/>
        <w:bottom w:val="none" w:sz="0" w:space="0" w:color="auto"/>
        <w:right w:val="none" w:sz="0" w:space="0" w:color="auto"/>
      </w:divBdr>
    </w:div>
    <w:div w:id="1352222334">
      <w:bodyDiv w:val="1"/>
      <w:marLeft w:val="0"/>
      <w:marRight w:val="0"/>
      <w:marTop w:val="0"/>
      <w:marBottom w:val="0"/>
      <w:divBdr>
        <w:top w:val="none" w:sz="0" w:space="0" w:color="auto"/>
        <w:left w:val="none" w:sz="0" w:space="0" w:color="auto"/>
        <w:bottom w:val="none" w:sz="0" w:space="0" w:color="auto"/>
        <w:right w:val="none" w:sz="0" w:space="0" w:color="auto"/>
      </w:divBdr>
    </w:div>
    <w:div w:id="1352296796">
      <w:bodyDiv w:val="1"/>
      <w:marLeft w:val="0"/>
      <w:marRight w:val="0"/>
      <w:marTop w:val="0"/>
      <w:marBottom w:val="0"/>
      <w:divBdr>
        <w:top w:val="none" w:sz="0" w:space="0" w:color="auto"/>
        <w:left w:val="none" w:sz="0" w:space="0" w:color="auto"/>
        <w:bottom w:val="none" w:sz="0" w:space="0" w:color="auto"/>
        <w:right w:val="none" w:sz="0" w:space="0" w:color="auto"/>
      </w:divBdr>
    </w:div>
    <w:div w:id="1352336857">
      <w:bodyDiv w:val="1"/>
      <w:marLeft w:val="0"/>
      <w:marRight w:val="0"/>
      <w:marTop w:val="0"/>
      <w:marBottom w:val="0"/>
      <w:divBdr>
        <w:top w:val="none" w:sz="0" w:space="0" w:color="auto"/>
        <w:left w:val="none" w:sz="0" w:space="0" w:color="auto"/>
        <w:bottom w:val="none" w:sz="0" w:space="0" w:color="auto"/>
        <w:right w:val="none" w:sz="0" w:space="0" w:color="auto"/>
      </w:divBdr>
    </w:div>
    <w:div w:id="1352415402">
      <w:bodyDiv w:val="1"/>
      <w:marLeft w:val="0"/>
      <w:marRight w:val="0"/>
      <w:marTop w:val="0"/>
      <w:marBottom w:val="0"/>
      <w:divBdr>
        <w:top w:val="none" w:sz="0" w:space="0" w:color="auto"/>
        <w:left w:val="none" w:sz="0" w:space="0" w:color="auto"/>
        <w:bottom w:val="none" w:sz="0" w:space="0" w:color="auto"/>
        <w:right w:val="none" w:sz="0" w:space="0" w:color="auto"/>
      </w:divBdr>
    </w:div>
    <w:div w:id="1352488138">
      <w:bodyDiv w:val="1"/>
      <w:marLeft w:val="0"/>
      <w:marRight w:val="0"/>
      <w:marTop w:val="0"/>
      <w:marBottom w:val="0"/>
      <w:divBdr>
        <w:top w:val="none" w:sz="0" w:space="0" w:color="auto"/>
        <w:left w:val="none" w:sz="0" w:space="0" w:color="auto"/>
        <w:bottom w:val="none" w:sz="0" w:space="0" w:color="auto"/>
        <w:right w:val="none" w:sz="0" w:space="0" w:color="auto"/>
      </w:divBdr>
    </w:div>
    <w:div w:id="1352561687">
      <w:bodyDiv w:val="1"/>
      <w:marLeft w:val="0"/>
      <w:marRight w:val="0"/>
      <w:marTop w:val="0"/>
      <w:marBottom w:val="0"/>
      <w:divBdr>
        <w:top w:val="none" w:sz="0" w:space="0" w:color="auto"/>
        <w:left w:val="none" w:sz="0" w:space="0" w:color="auto"/>
        <w:bottom w:val="none" w:sz="0" w:space="0" w:color="auto"/>
        <w:right w:val="none" w:sz="0" w:space="0" w:color="auto"/>
      </w:divBdr>
    </w:div>
    <w:div w:id="1352563006">
      <w:bodyDiv w:val="1"/>
      <w:marLeft w:val="0"/>
      <w:marRight w:val="0"/>
      <w:marTop w:val="0"/>
      <w:marBottom w:val="0"/>
      <w:divBdr>
        <w:top w:val="none" w:sz="0" w:space="0" w:color="auto"/>
        <w:left w:val="none" w:sz="0" w:space="0" w:color="auto"/>
        <w:bottom w:val="none" w:sz="0" w:space="0" w:color="auto"/>
        <w:right w:val="none" w:sz="0" w:space="0" w:color="auto"/>
      </w:divBdr>
    </w:div>
    <w:div w:id="1352684793">
      <w:bodyDiv w:val="1"/>
      <w:marLeft w:val="0"/>
      <w:marRight w:val="0"/>
      <w:marTop w:val="0"/>
      <w:marBottom w:val="0"/>
      <w:divBdr>
        <w:top w:val="none" w:sz="0" w:space="0" w:color="auto"/>
        <w:left w:val="none" w:sz="0" w:space="0" w:color="auto"/>
        <w:bottom w:val="none" w:sz="0" w:space="0" w:color="auto"/>
        <w:right w:val="none" w:sz="0" w:space="0" w:color="auto"/>
      </w:divBdr>
    </w:div>
    <w:div w:id="1352877771">
      <w:bodyDiv w:val="1"/>
      <w:marLeft w:val="0"/>
      <w:marRight w:val="0"/>
      <w:marTop w:val="0"/>
      <w:marBottom w:val="0"/>
      <w:divBdr>
        <w:top w:val="none" w:sz="0" w:space="0" w:color="auto"/>
        <w:left w:val="none" w:sz="0" w:space="0" w:color="auto"/>
        <w:bottom w:val="none" w:sz="0" w:space="0" w:color="auto"/>
        <w:right w:val="none" w:sz="0" w:space="0" w:color="auto"/>
      </w:divBdr>
    </w:div>
    <w:div w:id="1352949428">
      <w:bodyDiv w:val="1"/>
      <w:marLeft w:val="0"/>
      <w:marRight w:val="0"/>
      <w:marTop w:val="0"/>
      <w:marBottom w:val="0"/>
      <w:divBdr>
        <w:top w:val="none" w:sz="0" w:space="0" w:color="auto"/>
        <w:left w:val="none" w:sz="0" w:space="0" w:color="auto"/>
        <w:bottom w:val="none" w:sz="0" w:space="0" w:color="auto"/>
        <w:right w:val="none" w:sz="0" w:space="0" w:color="auto"/>
      </w:divBdr>
    </w:div>
    <w:div w:id="1352955675">
      <w:bodyDiv w:val="1"/>
      <w:marLeft w:val="0"/>
      <w:marRight w:val="0"/>
      <w:marTop w:val="0"/>
      <w:marBottom w:val="0"/>
      <w:divBdr>
        <w:top w:val="none" w:sz="0" w:space="0" w:color="auto"/>
        <w:left w:val="none" w:sz="0" w:space="0" w:color="auto"/>
        <w:bottom w:val="none" w:sz="0" w:space="0" w:color="auto"/>
        <w:right w:val="none" w:sz="0" w:space="0" w:color="auto"/>
      </w:divBdr>
    </w:div>
    <w:div w:id="1352991902">
      <w:bodyDiv w:val="1"/>
      <w:marLeft w:val="0"/>
      <w:marRight w:val="0"/>
      <w:marTop w:val="0"/>
      <w:marBottom w:val="0"/>
      <w:divBdr>
        <w:top w:val="none" w:sz="0" w:space="0" w:color="auto"/>
        <w:left w:val="none" w:sz="0" w:space="0" w:color="auto"/>
        <w:bottom w:val="none" w:sz="0" w:space="0" w:color="auto"/>
        <w:right w:val="none" w:sz="0" w:space="0" w:color="auto"/>
      </w:divBdr>
    </w:div>
    <w:div w:id="1352999220">
      <w:bodyDiv w:val="1"/>
      <w:marLeft w:val="0"/>
      <w:marRight w:val="0"/>
      <w:marTop w:val="0"/>
      <w:marBottom w:val="0"/>
      <w:divBdr>
        <w:top w:val="none" w:sz="0" w:space="0" w:color="auto"/>
        <w:left w:val="none" w:sz="0" w:space="0" w:color="auto"/>
        <w:bottom w:val="none" w:sz="0" w:space="0" w:color="auto"/>
        <w:right w:val="none" w:sz="0" w:space="0" w:color="auto"/>
      </w:divBdr>
    </w:div>
    <w:div w:id="1352999771">
      <w:bodyDiv w:val="1"/>
      <w:marLeft w:val="0"/>
      <w:marRight w:val="0"/>
      <w:marTop w:val="0"/>
      <w:marBottom w:val="0"/>
      <w:divBdr>
        <w:top w:val="none" w:sz="0" w:space="0" w:color="auto"/>
        <w:left w:val="none" w:sz="0" w:space="0" w:color="auto"/>
        <w:bottom w:val="none" w:sz="0" w:space="0" w:color="auto"/>
        <w:right w:val="none" w:sz="0" w:space="0" w:color="auto"/>
      </w:divBdr>
    </w:div>
    <w:div w:id="1353068484">
      <w:bodyDiv w:val="1"/>
      <w:marLeft w:val="0"/>
      <w:marRight w:val="0"/>
      <w:marTop w:val="0"/>
      <w:marBottom w:val="0"/>
      <w:divBdr>
        <w:top w:val="none" w:sz="0" w:space="0" w:color="auto"/>
        <w:left w:val="none" w:sz="0" w:space="0" w:color="auto"/>
        <w:bottom w:val="none" w:sz="0" w:space="0" w:color="auto"/>
        <w:right w:val="none" w:sz="0" w:space="0" w:color="auto"/>
      </w:divBdr>
    </w:div>
    <w:div w:id="1353142327">
      <w:bodyDiv w:val="1"/>
      <w:marLeft w:val="0"/>
      <w:marRight w:val="0"/>
      <w:marTop w:val="0"/>
      <w:marBottom w:val="0"/>
      <w:divBdr>
        <w:top w:val="none" w:sz="0" w:space="0" w:color="auto"/>
        <w:left w:val="none" w:sz="0" w:space="0" w:color="auto"/>
        <w:bottom w:val="none" w:sz="0" w:space="0" w:color="auto"/>
        <w:right w:val="none" w:sz="0" w:space="0" w:color="auto"/>
      </w:divBdr>
    </w:div>
    <w:div w:id="1353147320">
      <w:bodyDiv w:val="1"/>
      <w:marLeft w:val="0"/>
      <w:marRight w:val="0"/>
      <w:marTop w:val="0"/>
      <w:marBottom w:val="0"/>
      <w:divBdr>
        <w:top w:val="none" w:sz="0" w:space="0" w:color="auto"/>
        <w:left w:val="none" w:sz="0" w:space="0" w:color="auto"/>
        <w:bottom w:val="none" w:sz="0" w:space="0" w:color="auto"/>
        <w:right w:val="none" w:sz="0" w:space="0" w:color="auto"/>
      </w:divBdr>
    </w:div>
    <w:div w:id="1353191155">
      <w:bodyDiv w:val="1"/>
      <w:marLeft w:val="0"/>
      <w:marRight w:val="0"/>
      <w:marTop w:val="0"/>
      <w:marBottom w:val="0"/>
      <w:divBdr>
        <w:top w:val="none" w:sz="0" w:space="0" w:color="auto"/>
        <w:left w:val="none" w:sz="0" w:space="0" w:color="auto"/>
        <w:bottom w:val="none" w:sz="0" w:space="0" w:color="auto"/>
        <w:right w:val="none" w:sz="0" w:space="0" w:color="auto"/>
      </w:divBdr>
    </w:div>
    <w:div w:id="1353219280">
      <w:bodyDiv w:val="1"/>
      <w:marLeft w:val="0"/>
      <w:marRight w:val="0"/>
      <w:marTop w:val="0"/>
      <w:marBottom w:val="0"/>
      <w:divBdr>
        <w:top w:val="none" w:sz="0" w:space="0" w:color="auto"/>
        <w:left w:val="none" w:sz="0" w:space="0" w:color="auto"/>
        <w:bottom w:val="none" w:sz="0" w:space="0" w:color="auto"/>
        <w:right w:val="none" w:sz="0" w:space="0" w:color="auto"/>
      </w:divBdr>
    </w:div>
    <w:div w:id="1353334920">
      <w:bodyDiv w:val="1"/>
      <w:marLeft w:val="0"/>
      <w:marRight w:val="0"/>
      <w:marTop w:val="0"/>
      <w:marBottom w:val="0"/>
      <w:divBdr>
        <w:top w:val="none" w:sz="0" w:space="0" w:color="auto"/>
        <w:left w:val="none" w:sz="0" w:space="0" w:color="auto"/>
        <w:bottom w:val="none" w:sz="0" w:space="0" w:color="auto"/>
        <w:right w:val="none" w:sz="0" w:space="0" w:color="auto"/>
      </w:divBdr>
    </w:div>
    <w:div w:id="1353340824">
      <w:bodyDiv w:val="1"/>
      <w:marLeft w:val="0"/>
      <w:marRight w:val="0"/>
      <w:marTop w:val="0"/>
      <w:marBottom w:val="0"/>
      <w:divBdr>
        <w:top w:val="none" w:sz="0" w:space="0" w:color="auto"/>
        <w:left w:val="none" w:sz="0" w:space="0" w:color="auto"/>
        <w:bottom w:val="none" w:sz="0" w:space="0" w:color="auto"/>
        <w:right w:val="none" w:sz="0" w:space="0" w:color="auto"/>
      </w:divBdr>
    </w:div>
    <w:div w:id="1353416145">
      <w:bodyDiv w:val="1"/>
      <w:marLeft w:val="0"/>
      <w:marRight w:val="0"/>
      <w:marTop w:val="0"/>
      <w:marBottom w:val="0"/>
      <w:divBdr>
        <w:top w:val="none" w:sz="0" w:space="0" w:color="auto"/>
        <w:left w:val="none" w:sz="0" w:space="0" w:color="auto"/>
        <w:bottom w:val="none" w:sz="0" w:space="0" w:color="auto"/>
        <w:right w:val="none" w:sz="0" w:space="0" w:color="auto"/>
      </w:divBdr>
    </w:div>
    <w:div w:id="1353529051">
      <w:bodyDiv w:val="1"/>
      <w:marLeft w:val="0"/>
      <w:marRight w:val="0"/>
      <w:marTop w:val="0"/>
      <w:marBottom w:val="0"/>
      <w:divBdr>
        <w:top w:val="none" w:sz="0" w:space="0" w:color="auto"/>
        <w:left w:val="none" w:sz="0" w:space="0" w:color="auto"/>
        <w:bottom w:val="none" w:sz="0" w:space="0" w:color="auto"/>
        <w:right w:val="none" w:sz="0" w:space="0" w:color="auto"/>
      </w:divBdr>
    </w:div>
    <w:div w:id="1353797417">
      <w:bodyDiv w:val="1"/>
      <w:marLeft w:val="0"/>
      <w:marRight w:val="0"/>
      <w:marTop w:val="0"/>
      <w:marBottom w:val="0"/>
      <w:divBdr>
        <w:top w:val="none" w:sz="0" w:space="0" w:color="auto"/>
        <w:left w:val="none" w:sz="0" w:space="0" w:color="auto"/>
        <w:bottom w:val="none" w:sz="0" w:space="0" w:color="auto"/>
        <w:right w:val="none" w:sz="0" w:space="0" w:color="auto"/>
      </w:divBdr>
    </w:div>
    <w:div w:id="1353843500">
      <w:bodyDiv w:val="1"/>
      <w:marLeft w:val="0"/>
      <w:marRight w:val="0"/>
      <w:marTop w:val="0"/>
      <w:marBottom w:val="0"/>
      <w:divBdr>
        <w:top w:val="none" w:sz="0" w:space="0" w:color="auto"/>
        <w:left w:val="none" w:sz="0" w:space="0" w:color="auto"/>
        <w:bottom w:val="none" w:sz="0" w:space="0" w:color="auto"/>
        <w:right w:val="none" w:sz="0" w:space="0" w:color="auto"/>
      </w:divBdr>
    </w:div>
    <w:div w:id="1353871506">
      <w:bodyDiv w:val="1"/>
      <w:marLeft w:val="0"/>
      <w:marRight w:val="0"/>
      <w:marTop w:val="0"/>
      <w:marBottom w:val="0"/>
      <w:divBdr>
        <w:top w:val="none" w:sz="0" w:space="0" w:color="auto"/>
        <w:left w:val="none" w:sz="0" w:space="0" w:color="auto"/>
        <w:bottom w:val="none" w:sz="0" w:space="0" w:color="auto"/>
        <w:right w:val="none" w:sz="0" w:space="0" w:color="auto"/>
      </w:divBdr>
    </w:div>
    <w:div w:id="1354109110">
      <w:bodyDiv w:val="1"/>
      <w:marLeft w:val="0"/>
      <w:marRight w:val="0"/>
      <w:marTop w:val="0"/>
      <w:marBottom w:val="0"/>
      <w:divBdr>
        <w:top w:val="none" w:sz="0" w:space="0" w:color="auto"/>
        <w:left w:val="none" w:sz="0" w:space="0" w:color="auto"/>
        <w:bottom w:val="none" w:sz="0" w:space="0" w:color="auto"/>
        <w:right w:val="none" w:sz="0" w:space="0" w:color="auto"/>
      </w:divBdr>
    </w:div>
    <w:div w:id="1354114088">
      <w:bodyDiv w:val="1"/>
      <w:marLeft w:val="0"/>
      <w:marRight w:val="0"/>
      <w:marTop w:val="0"/>
      <w:marBottom w:val="0"/>
      <w:divBdr>
        <w:top w:val="none" w:sz="0" w:space="0" w:color="auto"/>
        <w:left w:val="none" w:sz="0" w:space="0" w:color="auto"/>
        <w:bottom w:val="none" w:sz="0" w:space="0" w:color="auto"/>
        <w:right w:val="none" w:sz="0" w:space="0" w:color="auto"/>
      </w:divBdr>
    </w:div>
    <w:div w:id="1354306536">
      <w:bodyDiv w:val="1"/>
      <w:marLeft w:val="0"/>
      <w:marRight w:val="0"/>
      <w:marTop w:val="0"/>
      <w:marBottom w:val="0"/>
      <w:divBdr>
        <w:top w:val="none" w:sz="0" w:space="0" w:color="auto"/>
        <w:left w:val="none" w:sz="0" w:space="0" w:color="auto"/>
        <w:bottom w:val="none" w:sz="0" w:space="0" w:color="auto"/>
        <w:right w:val="none" w:sz="0" w:space="0" w:color="auto"/>
      </w:divBdr>
    </w:div>
    <w:div w:id="1354308802">
      <w:bodyDiv w:val="1"/>
      <w:marLeft w:val="0"/>
      <w:marRight w:val="0"/>
      <w:marTop w:val="0"/>
      <w:marBottom w:val="0"/>
      <w:divBdr>
        <w:top w:val="none" w:sz="0" w:space="0" w:color="auto"/>
        <w:left w:val="none" w:sz="0" w:space="0" w:color="auto"/>
        <w:bottom w:val="none" w:sz="0" w:space="0" w:color="auto"/>
        <w:right w:val="none" w:sz="0" w:space="0" w:color="auto"/>
      </w:divBdr>
    </w:div>
    <w:div w:id="1354309864">
      <w:bodyDiv w:val="1"/>
      <w:marLeft w:val="0"/>
      <w:marRight w:val="0"/>
      <w:marTop w:val="0"/>
      <w:marBottom w:val="0"/>
      <w:divBdr>
        <w:top w:val="none" w:sz="0" w:space="0" w:color="auto"/>
        <w:left w:val="none" w:sz="0" w:space="0" w:color="auto"/>
        <w:bottom w:val="none" w:sz="0" w:space="0" w:color="auto"/>
        <w:right w:val="none" w:sz="0" w:space="0" w:color="auto"/>
      </w:divBdr>
    </w:div>
    <w:div w:id="1354380484">
      <w:bodyDiv w:val="1"/>
      <w:marLeft w:val="0"/>
      <w:marRight w:val="0"/>
      <w:marTop w:val="0"/>
      <w:marBottom w:val="0"/>
      <w:divBdr>
        <w:top w:val="none" w:sz="0" w:space="0" w:color="auto"/>
        <w:left w:val="none" w:sz="0" w:space="0" w:color="auto"/>
        <w:bottom w:val="none" w:sz="0" w:space="0" w:color="auto"/>
        <w:right w:val="none" w:sz="0" w:space="0" w:color="auto"/>
      </w:divBdr>
    </w:div>
    <w:div w:id="1354451665">
      <w:bodyDiv w:val="1"/>
      <w:marLeft w:val="0"/>
      <w:marRight w:val="0"/>
      <w:marTop w:val="0"/>
      <w:marBottom w:val="0"/>
      <w:divBdr>
        <w:top w:val="none" w:sz="0" w:space="0" w:color="auto"/>
        <w:left w:val="none" w:sz="0" w:space="0" w:color="auto"/>
        <w:bottom w:val="none" w:sz="0" w:space="0" w:color="auto"/>
        <w:right w:val="none" w:sz="0" w:space="0" w:color="auto"/>
      </w:divBdr>
    </w:div>
    <w:div w:id="1354455377">
      <w:bodyDiv w:val="1"/>
      <w:marLeft w:val="0"/>
      <w:marRight w:val="0"/>
      <w:marTop w:val="0"/>
      <w:marBottom w:val="0"/>
      <w:divBdr>
        <w:top w:val="none" w:sz="0" w:space="0" w:color="auto"/>
        <w:left w:val="none" w:sz="0" w:space="0" w:color="auto"/>
        <w:bottom w:val="none" w:sz="0" w:space="0" w:color="auto"/>
        <w:right w:val="none" w:sz="0" w:space="0" w:color="auto"/>
      </w:divBdr>
    </w:div>
    <w:div w:id="1354526627">
      <w:bodyDiv w:val="1"/>
      <w:marLeft w:val="0"/>
      <w:marRight w:val="0"/>
      <w:marTop w:val="0"/>
      <w:marBottom w:val="0"/>
      <w:divBdr>
        <w:top w:val="none" w:sz="0" w:space="0" w:color="auto"/>
        <w:left w:val="none" w:sz="0" w:space="0" w:color="auto"/>
        <w:bottom w:val="none" w:sz="0" w:space="0" w:color="auto"/>
        <w:right w:val="none" w:sz="0" w:space="0" w:color="auto"/>
      </w:divBdr>
    </w:div>
    <w:div w:id="1354528176">
      <w:bodyDiv w:val="1"/>
      <w:marLeft w:val="0"/>
      <w:marRight w:val="0"/>
      <w:marTop w:val="0"/>
      <w:marBottom w:val="0"/>
      <w:divBdr>
        <w:top w:val="none" w:sz="0" w:space="0" w:color="auto"/>
        <w:left w:val="none" w:sz="0" w:space="0" w:color="auto"/>
        <w:bottom w:val="none" w:sz="0" w:space="0" w:color="auto"/>
        <w:right w:val="none" w:sz="0" w:space="0" w:color="auto"/>
      </w:divBdr>
    </w:div>
    <w:div w:id="1354570964">
      <w:bodyDiv w:val="1"/>
      <w:marLeft w:val="0"/>
      <w:marRight w:val="0"/>
      <w:marTop w:val="0"/>
      <w:marBottom w:val="0"/>
      <w:divBdr>
        <w:top w:val="none" w:sz="0" w:space="0" w:color="auto"/>
        <w:left w:val="none" w:sz="0" w:space="0" w:color="auto"/>
        <w:bottom w:val="none" w:sz="0" w:space="0" w:color="auto"/>
        <w:right w:val="none" w:sz="0" w:space="0" w:color="auto"/>
      </w:divBdr>
    </w:div>
    <w:div w:id="1354573399">
      <w:bodyDiv w:val="1"/>
      <w:marLeft w:val="0"/>
      <w:marRight w:val="0"/>
      <w:marTop w:val="0"/>
      <w:marBottom w:val="0"/>
      <w:divBdr>
        <w:top w:val="none" w:sz="0" w:space="0" w:color="auto"/>
        <w:left w:val="none" w:sz="0" w:space="0" w:color="auto"/>
        <w:bottom w:val="none" w:sz="0" w:space="0" w:color="auto"/>
        <w:right w:val="none" w:sz="0" w:space="0" w:color="auto"/>
      </w:divBdr>
    </w:div>
    <w:div w:id="1354647373">
      <w:bodyDiv w:val="1"/>
      <w:marLeft w:val="0"/>
      <w:marRight w:val="0"/>
      <w:marTop w:val="0"/>
      <w:marBottom w:val="0"/>
      <w:divBdr>
        <w:top w:val="none" w:sz="0" w:space="0" w:color="auto"/>
        <w:left w:val="none" w:sz="0" w:space="0" w:color="auto"/>
        <w:bottom w:val="none" w:sz="0" w:space="0" w:color="auto"/>
        <w:right w:val="none" w:sz="0" w:space="0" w:color="auto"/>
      </w:divBdr>
    </w:div>
    <w:div w:id="1354696018">
      <w:bodyDiv w:val="1"/>
      <w:marLeft w:val="0"/>
      <w:marRight w:val="0"/>
      <w:marTop w:val="0"/>
      <w:marBottom w:val="0"/>
      <w:divBdr>
        <w:top w:val="none" w:sz="0" w:space="0" w:color="auto"/>
        <w:left w:val="none" w:sz="0" w:space="0" w:color="auto"/>
        <w:bottom w:val="none" w:sz="0" w:space="0" w:color="auto"/>
        <w:right w:val="none" w:sz="0" w:space="0" w:color="auto"/>
      </w:divBdr>
    </w:div>
    <w:div w:id="1354767301">
      <w:bodyDiv w:val="1"/>
      <w:marLeft w:val="0"/>
      <w:marRight w:val="0"/>
      <w:marTop w:val="0"/>
      <w:marBottom w:val="0"/>
      <w:divBdr>
        <w:top w:val="none" w:sz="0" w:space="0" w:color="auto"/>
        <w:left w:val="none" w:sz="0" w:space="0" w:color="auto"/>
        <w:bottom w:val="none" w:sz="0" w:space="0" w:color="auto"/>
        <w:right w:val="none" w:sz="0" w:space="0" w:color="auto"/>
      </w:divBdr>
    </w:div>
    <w:div w:id="1354914448">
      <w:bodyDiv w:val="1"/>
      <w:marLeft w:val="0"/>
      <w:marRight w:val="0"/>
      <w:marTop w:val="0"/>
      <w:marBottom w:val="0"/>
      <w:divBdr>
        <w:top w:val="none" w:sz="0" w:space="0" w:color="auto"/>
        <w:left w:val="none" w:sz="0" w:space="0" w:color="auto"/>
        <w:bottom w:val="none" w:sz="0" w:space="0" w:color="auto"/>
        <w:right w:val="none" w:sz="0" w:space="0" w:color="auto"/>
      </w:divBdr>
    </w:div>
    <w:div w:id="1354957608">
      <w:bodyDiv w:val="1"/>
      <w:marLeft w:val="0"/>
      <w:marRight w:val="0"/>
      <w:marTop w:val="0"/>
      <w:marBottom w:val="0"/>
      <w:divBdr>
        <w:top w:val="none" w:sz="0" w:space="0" w:color="auto"/>
        <w:left w:val="none" w:sz="0" w:space="0" w:color="auto"/>
        <w:bottom w:val="none" w:sz="0" w:space="0" w:color="auto"/>
        <w:right w:val="none" w:sz="0" w:space="0" w:color="auto"/>
      </w:divBdr>
    </w:div>
    <w:div w:id="1354959849">
      <w:bodyDiv w:val="1"/>
      <w:marLeft w:val="0"/>
      <w:marRight w:val="0"/>
      <w:marTop w:val="0"/>
      <w:marBottom w:val="0"/>
      <w:divBdr>
        <w:top w:val="none" w:sz="0" w:space="0" w:color="auto"/>
        <w:left w:val="none" w:sz="0" w:space="0" w:color="auto"/>
        <w:bottom w:val="none" w:sz="0" w:space="0" w:color="auto"/>
        <w:right w:val="none" w:sz="0" w:space="0" w:color="auto"/>
      </w:divBdr>
    </w:div>
    <w:div w:id="1355040318">
      <w:bodyDiv w:val="1"/>
      <w:marLeft w:val="0"/>
      <w:marRight w:val="0"/>
      <w:marTop w:val="0"/>
      <w:marBottom w:val="0"/>
      <w:divBdr>
        <w:top w:val="none" w:sz="0" w:space="0" w:color="auto"/>
        <w:left w:val="none" w:sz="0" w:space="0" w:color="auto"/>
        <w:bottom w:val="none" w:sz="0" w:space="0" w:color="auto"/>
        <w:right w:val="none" w:sz="0" w:space="0" w:color="auto"/>
      </w:divBdr>
    </w:div>
    <w:div w:id="1355114831">
      <w:bodyDiv w:val="1"/>
      <w:marLeft w:val="0"/>
      <w:marRight w:val="0"/>
      <w:marTop w:val="0"/>
      <w:marBottom w:val="0"/>
      <w:divBdr>
        <w:top w:val="none" w:sz="0" w:space="0" w:color="auto"/>
        <w:left w:val="none" w:sz="0" w:space="0" w:color="auto"/>
        <w:bottom w:val="none" w:sz="0" w:space="0" w:color="auto"/>
        <w:right w:val="none" w:sz="0" w:space="0" w:color="auto"/>
      </w:divBdr>
    </w:div>
    <w:div w:id="1355154582">
      <w:bodyDiv w:val="1"/>
      <w:marLeft w:val="0"/>
      <w:marRight w:val="0"/>
      <w:marTop w:val="0"/>
      <w:marBottom w:val="0"/>
      <w:divBdr>
        <w:top w:val="none" w:sz="0" w:space="0" w:color="auto"/>
        <w:left w:val="none" w:sz="0" w:space="0" w:color="auto"/>
        <w:bottom w:val="none" w:sz="0" w:space="0" w:color="auto"/>
        <w:right w:val="none" w:sz="0" w:space="0" w:color="auto"/>
      </w:divBdr>
    </w:div>
    <w:div w:id="1355154729">
      <w:bodyDiv w:val="1"/>
      <w:marLeft w:val="0"/>
      <w:marRight w:val="0"/>
      <w:marTop w:val="0"/>
      <w:marBottom w:val="0"/>
      <w:divBdr>
        <w:top w:val="none" w:sz="0" w:space="0" w:color="auto"/>
        <w:left w:val="none" w:sz="0" w:space="0" w:color="auto"/>
        <w:bottom w:val="none" w:sz="0" w:space="0" w:color="auto"/>
        <w:right w:val="none" w:sz="0" w:space="0" w:color="auto"/>
      </w:divBdr>
    </w:div>
    <w:div w:id="1355379086">
      <w:bodyDiv w:val="1"/>
      <w:marLeft w:val="0"/>
      <w:marRight w:val="0"/>
      <w:marTop w:val="0"/>
      <w:marBottom w:val="0"/>
      <w:divBdr>
        <w:top w:val="none" w:sz="0" w:space="0" w:color="auto"/>
        <w:left w:val="none" w:sz="0" w:space="0" w:color="auto"/>
        <w:bottom w:val="none" w:sz="0" w:space="0" w:color="auto"/>
        <w:right w:val="none" w:sz="0" w:space="0" w:color="auto"/>
      </w:divBdr>
    </w:div>
    <w:div w:id="1355381785">
      <w:bodyDiv w:val="1"/>
      <w:marLeft w:val="0"/>
      <w:marRight w:val="0"/>
      <w:marTop w:val="0"/>
      <w:marBottom w:val="0"/>
      <w:divBdr>
        <w:top w:val="none" w:sz="0" w:space="0" w:color="auto"/>
        <w:left w:val="none" w:sz="0" w:space="0" w:color="auto"/>
        <w:bottom w:val="none" w:sz="0" w:space="0" w:color="auto"/>
        <w:right w:val="none" w:sz="0" w:space="0" w:color="auto"/>
      </w:divBdr>
    </w:div>
    <w:div w:id="1355686919">
      <w:bodyDiv w:val="1"/>
      <w:marLeft w:val="0"/>
      <w:marRight w:val="0"/>
      <w:marTop w:val="0"/>
      <w:marBottom w:val="0"/>
      <w:divBdr>
        <w:top w:val="none" w:sz="0" w:space="0" w:color="auto"/>
        <w:left w:val="none" w:sz="0" w:space="0" w:color="auto"/>
        <w:bottom w:val="none" w:sz="0" w:space="0" w:color="auto"/>
        <w:right w:val="none" w:sz="0" w:space="0" w:color="auto"/>
      </w:divBdr>
    </w:div>
    <w:div w:id="1355693316">
      <w:bodyDiv w:val="1"/>
      <w:marLeft w:val="0"/>
      <w:marRight w:val="0"/>
      <w:marTop w:val="0"/>
      <w:marBottom w:val="0"/>
      <w:divBdr>
        <w:top w:val="none" w:sz="0" w:space="0" w:color="auto"/>
        <w:left w:val="none" w:sz="0" w:space="0" w:color="auto"/>
        <w:bottom w:val="none" w:sz="0" w:space="0" w:color="auto"/>
        <w:right w:val="none" w:sz="0" w:space="0" w:color="auto"/>
      </w:divBdr>
    </w:div>
    <w:div w:id="1355880379">
      <w:bodyDiv w:val="1"/>
      <w:marLeft w:val="0"/>
      <w:marRight w:val="0"/>
      <w:marTop w:val="0"/>
      <w:marBottom w:val="0"/>
      <w:divBdr>
        <w:top w:val="none" w:sz="0" w:space="0" w:color="auto"/>
        <w:left w:val="none" w:sz="0" w:space="0" w:color="auto"/>
        <w:bottom w:val="none" w:sz="0" w:space="0" w:color="auto"/>
        <w:right w:val="none" w:sz="0" w:space="0" w:color="auto"/>
      </w:divBdr>
    </w:div>
    <w:div w:id="1355886715">
      <w:bodyDiv w:val="1"/>
      <w:marLeft w:val="0"/>
      <w:marRight w:val="0"/>
      <w:marTop w:val="0"/>
      <w:marBottom w:val="0"/>
      <w:divBdr>
        <w:top w:val="none" w:sz="0" w:space="0" w:color="auto"/>
        <w:left w:val="none" w:sz="0" w:space="0" w:color="auto"/>
        <w:bottom w:val="none" w:sz="0" w:space="0" w:color="auto"/>
        <w:right w:val="none" w:sz="0" w:space="0" w:color="auto"/>
      </w:divBdr>
    </w:div>
    <w:div w:id="1355889202">
      <w:bodyDiv w:val="1"/>
      <w:marLeft w:val="0"/>
      <w:marRight w:val="0"/>
      <w:marTop w:val="0"/>
      <w:marBottom w:val="0"/>
      <w:divBdr>
        <w:top w:val="none" w:sz="0" w:space="0" w:color="auto"/>
        <w:left w:val="none" w:sz="0" w:space="0" w:color="auto"/>
        <w:bottom w:val="none" w:sz="0" w:space="0" w:color="auto"/>
        <w:right w:val="none" w:sz="0" w:space="0" w:color="auto"/>
      </w:divBdr>
    </w:div>
    <w:div w:id="1356073897">
      <w:bodyDiv w:val="1"/>
      <w:marLeft w:val="0"/>
      <w:marRight w:val="0"/>
      <w:marTop w:val="0"/>
      <w:marBottom w:val="0"/>
      <w:divBdr>
        <w:top w:val="none" w:sz="0" w:space="0" w:color="auto"/>
        <w:left w:val="none" w:sz="0" w:space="0" w:color="auto"/>
        <w:bottom w:val="none" w:sz="0" w:space="0" w:color="auto"/>
        <w:right w:val="none" w:sz="0" w:space="0" w:color="auto"/>
      </w:divBdr>
    </w:div>
    <w:div w:id="1356077227">
      <w:bodyDiv w:val="1"/>
      <w:marLeft w:val="0"/>
      <w:marRight w:val="0"/>
      <w:marTop w:val="0"/>
      <w:marBottom w:val="0"/>
      <w:divBdr>
        <w:top w:val="none" w:sz="0" w:space="0" w:color="auto"/>
        <w:left w:val="none" w:sz="0" w:space="0" w:color="auto"/>
        <w:bottom w:val="none" w:sz="0" w:space="0" w:color="auto"/>
        <w:right w:val="none" w:sz="0" w:space="0" w:color="auto"/>
      </w:divBdr>
    </w:div>
    <w:div w:id="1356151065">
      <w:bodyDiv w:val="1"/>
      <w:marLeft w:val="0"/>
      <w:marRight w:val="0"/>
      <w:marTop w:val="0"/>
      <w:marBottom w:val="0"/>
      <w:divBdr>
        <w:top w:val="none" w:sz="0" w:space="0" w:color="auto"/>
        <w:left w:val="none" w:sz="0" w:space="0" w:color="auto"/>
        <w:bottom w:val="none" w:sz="0" w:space="0" w:color="auto"/>
        <w:right w:val="none" w:sz="0" w:space="0" w:color="auto"/>
      </w:divBdr>
    </w:div>
    <w:div w:id="1356226900">
      <w:bodyDiv w:val="1"/>
      <w:marLeft w:val="0"/>
      <w:marRight w:val="0"/>
      <w:marTop w:val="0"/>
      <w:marBottom w:val="0"/>
      <w:divBdr>
        <w:top w:val="none" w:sz="0" w:space="0" w:color="auto"/>
        <w:left w:val="none" w:sz="0" w:space="0" w:color="auto"/>
        <w:bottom w:val="none" w:sz="0" w:space="0" w:color="auto"/>
        <w:right w:val="none" w:sz="0" w:space="0" w:color="auto"/>
      </w:divBdr>
    </w:div>
    <w:div w:id="1356228669">
      <w:bodyDiv w:val="1"/>
      <w:marLeft w:val="0"/>
      <w:marRight w:val="0"/>
      <w:marTop w:val="0"/>
      <w:marBottom w:val="0"/>
      <w:divBdr>
        <w:top w:val="none" w:sz="0" w:space="0" w:color="auto"/>
        <w:left w:val="none" w:sz="0" w:space="0" w:color="auto"/>
        <w:bottom w:val="none" w:sz="0" w:space="0" w:color="auto"/>
        <w:right w:val="none" w:sz="0" w:space="0" w:color="auto"/>
      </w:divBdr>
    </w:div>
    <w:div w:id="1356268679">
      <w:bodyDiv w:val="1"/>
      <w:marLeft w:val="0"/>
      <w:marRight w:val="0"/>
      <w:marTop w:val="0"/>
      <w:marBottom w:val="0"/>
      <w:divBdr>
        <w:top w:val="none" w:sz="0" w:space="0" w:color="auto"/>
        <w:left w:val="none" w:sz="0" w:space="0" w:color="auto"/>
        <w:bottom w:val="none" w:sz="0" w:space="0" w:color="auto"/>
        <w:right w:val="none" w:sz="0" w:space="0" w:color="auto"/>
      </w:divBdr>
    </w:div>
    <w:div w:id="1356343109">
      <w:bodyDiv w:val="1"/>
      <w:marLeft w:val="0"/>
      <w:marRight w:val="0"/>
      <w:marTop w:val="0"/>
      <w:marBottom w:val="0"/>
      <w:divBdr>
        <w:top w:val="none" w:sz="0" w:space="0" w:color="auto"/>
        <w:left w:val="none" w:sz="0" w:space="0" w:color="auto"/>
        <w:bottom w:val="none" w:sz="0" w:space="0" w:color="auto"/>
        <w:right w:val="none" w:sz="0" w:space="0" w:color="auto"/>
      </w:divBdr>
    </w:div>
    <w:div w:id="1356469239">
      <w:bodyDiv w:val="1"/>
      <w:marLeft w:val="0"/>
      <w:marRight w:val="0"/>
      <w:marTop w:val="0"/>
      <w:marBottom w:val="0"/>
      <w:divBdr>
        <w:top w:val="none" w:sz="0" w:space="0" w:color="auto"/>
        <w:left w:val="none" w:sz="0" w:space="0" w:color="auto"/>
        <w:bottom w:val="none" w:sz="0" w:space="0" w:color="auto"/>
        <w:right w:val="none" w:sz="0" w:space="0" w:color="auto"/>
      </w:divBdr>
    </w:div>
    <w:div w:id="1356496305">
      <w:bodyDiv w:val="1"/>
      <w:marLeft w:val="0"/>
      <w:marRight w:val="0"/>
      <w:marTop w:val="0"/>
      <w:marBottom w:val="0"/>
      <w:divBdr>
        <w:top w:val="none" w:sz="0" w:space="0" w:color="auto"/>
        <w:left w:val="none" w:sz="0" w:space="0" w:color="auto"/>
        <w:bottom w:val="none" w:sz="0" w:space="0" w:color="auto"/>
        <w:right w:val="none" w:sz="0" w:space="0" w:color="auto"/>
      </w:divBdr>
    </w:div>
    <w:div w:id="1356539803">
      <w:bodyDiv w:val="1"/>
      <w:marLeft w:val="0"/>
      <w:marRight w:val="0"/>
      <w:marTop w:val="0"/>
      <w:marBottom w:val="0"/>
      <w:divBdr>
        <w:top w:val="none" w:sz="0" w:space="0" w:color="auto"/>
        <w:left w:val="none" w:sz="0" w:space="0" w:color="auto"/>
        <w:bottom w:val="none" w:sz="0" w:space="0" w:color="auto"/>
        <w:right w:val="none" w:sz="0" w:space="0" w:color="auto"/>
      </w:divBdr>
    </w:div>
    <w:div w:id="1356661423">
      <w:bodyDiv w:val="1"/>
      <w:marLeft w:val="0"/>
      <w:marRight w:val="0"/>
      <w:marTop w:val="0"/>
      <w:marBottom w:val="0"/>
      <w:divBdr>
        <w:top w:val="none" w:sz="0" w:space="0" w:color="auto"/>
        <w:left w:val="none" w:sz="0" w:space="0" w:color="auto"/>
        <w:bottom w:val="none" w:sz="0" w:space="0" w:color="auto"/>
        <w:right w:val="none" w:sz="0" w:space="0" w:color="auto"/>
      </w:divBdr>
    </w:div>
    <w:div w:id="1356686724">
      <w:bodyDiv w:val="1"/>
      <w:marLeft w:val="0"/>
      <w:marRight w:val="0"/>
      <w:marTop w:val="0"/>
      <w:marBottom w:val="0"/>
      <w:divBdr>
        <w:top w:val="none" w:sz="0" w:space="0" w:color="auto"/>
        <w:left w:val="none" w:sz="0" w:space="0" w:color="auto"/>
        <w:bottom w:val="none" w:sz="0" w:space="0" w:color="auto"/>
        <w:right w:val="none" w:sz="0" w:space="0" w:color="auto"/>
      </w:divBdr>
    </w:div>
    <w:div w:id="1356689033">
      <w:bodyDiv w:val="1"/>
      <w:marLeft w:val="0"/>
      <w:marRight w:val="0"/>
      <w:marTop w:val="0"/>
      <w:marBottom w:val="0"/>
      <w:divBdr>
        <w:top w:val="none" w:sz="0" w:space="0" w:color="auto"/>
        <w:left w:val="none" w:sz="0" w:space="0" w:color="auto"/>
        <w:bottom w:val="none" w:sz="0" w:space="0" w:color="auto"/>
        <w:right w:val="none" w:sz="0" w:space="0" w:color="auto"/>
      </w:divBdr>
    </w:div>
    <w:div w:id="1356804145">
      <w:bodyDiv w:val="1"/>
      <w:marLeft w:val="0"/>
      <w:marRight w:val="0"/>
      <w:marTop w:val="0"/>
      <w:marBottom w:val="0"/>
      <w:divBdr>
        <w:top w:val="none" w:sz="0" w:space="0" w:color="auto"/>
        <w:left w:val="none" w:sz="0" w:space="0" w:color="auto"/>
        <w:bottom w:val="none" w:sz="0" w:space="0" w:color="auto"/>
        <w:right w:val="none" w:sz="0" w:space="0" w:color="auto"/>
      </w:divBdr>
    </w:div>
    <w:div w:id="1356812235">
      <w:bodyDiv w:val="1"/>
      <w:marLeft w:val="0"/>
      <w:marRight w:val="0"/>
      <w:marTop w:val="0"/>
      <w:marBottom w:val="0"/>
      <w:divBdr>
        <w:top w:val="none" w:sz="0" w:space="0" w:color="auto"/>
        <w:left w:val="none" w:sz="0" w:space="0" w:color="auto"/>
        <w:bottom w:val="none" w:sz="0" w:space="0" w:color="auto"/>
        <w:right w:val="none" w:sz="0" w:space="0" w:color="auto"/>
      </w:divBdr>
    </w:div>
    <w:div w:id="1356999049">
      <w:bodyDiv w:val="1"/>
      <w:marLeft w:val="0"/>
      <w:marRight w:val="0"/>
      <w:marTop w:val="0"/>
      <w:marBottom w:val="0"/>
      <w:divBdr>
        <w:top w:val="none" w:sz="0" w:space="0" w:color="auto"/>
        <w:left w:val="none" w:sz="0" w:space="0" w:color="auto"/>
        <w:bottom w:val="none" w:sz="0" w:space="0" w:color="auto"/>
        <w:right w:val="none" w:sz="0" w:space="0" w:color="auto"/>
      </w:divBdr>
    </w:div>
    <w:div w:id="1357004258">
      <w:bodyDiv w:val="1"/>
      <w:marLeft w:val="0"/>
      <w:marRight w:val="0"/>
      <w:marTop w:val="0"/>
      <w:marBottom w:val="0"/>
      <w:divBdr>
        <w:top w:val="none" w:sz="0" w:space="0" w:color="auto"/>
        <w:left w:val="none" w:sz="0" w:space="0" w:color="auto"/>
        <w:bottom w:val="none" w:sz="0" w:space="0" w:color="auto"/>
        <w:right w:val="none" w:sz="0" w:space="0" w:color="auto"/>
      </w:divBdr>
    </w:div>
    <w:div w:id="1357190597">
      <w:bodyDiv w:val="1"/>
      <w:marLeft w:val="0"/>
      <w:marRight w:val="0"/>
      <w:marTop w:val="0"/>
      <w:marBottom w:val="0"/>
      <w:divBdr>
        <w:top w:val="none" w:sz="0" w:space="0" w:color="auto"/>
        <w:left w:val="none" w:sz="0" w:space="0" w:color="auto"/>
        <w:bottom w:val="none" w:sz="0" w:space="0" w:color="auto"/>
        <w:right w:val="none" w:sz="0" w:space="0" w:color="auto"/>
      </w:divBdr>
    </w:div>
    <w:div w:id="1357198791">
      <w:bodyDiv w:val="1"/>
      <w:marLeft w:val="0"/>
      <w:marRight w:val="0"/>
      <w:marTop w:val="0"/>
      <w:marBottom w:val="0"/>
      <w:divBdr>
        <w:top w:val="none" w:sz="0" w:space="0" w:color="auto"/>
        <w:left w:val="none" w:sz="0" w:space="0" w:color="auto"/>
        <w:bottom w:val="none" w:sz="0" w:space="0" w:color="auto"/>
        <w:right w:val="none" w:sz="0" w:space="0" w:color="auto"/>
      </w:divBdr>
    </w:div>
    <w:div w:id="1357268777">
      <w:bodyDiv w:val="1"/>
      <w:marLeft w:val="0"/>
      <w:marRight w:val="0"/>
      <w:marTop w:val="0"/>
      <w:marBottom w:val="0"/>
      <w:divBdr>
        <w:top w:val="none" w:sz="0" w:space="0" w:color="auto"/>
        <w:left w:val="none" w:sz="0" w:space="0" w:color="auto"/>
        <w:bottom w:val="none" w:sz="0" w:space="0" w:color="auto"/>
        <w:right w:val="none" w:sz="0" w:space="0" w:color="auto"/>
      </w:divBdr>
    </w:div>
    <w:div w:id="1357273628">
      <w:bodyDiv w:val="1"/>
      <w:marLeft w:val="0"/>
      <w:marRight w:val="0"/>
      <w:marTop w:val="0"/>
      <w:marBottom w:val="0"/>
      <w:divBdr>
        <w:top w:val="none" w:sz="0" w:space="0" w:color="auto"/>
        <w:left w:val="none" w:sz="0" w:space="0" w:color="auto"/>
        <w:bottom w:val="none" w:sz="0" w:space="0" w:color="auto"/>
        <w:right w:val="none" w:sz="0" w:space="0" w:color="auto"/>
      </w:divBdr>
    </w:div>
    <w:div w:id="1357340990">
      <w:bodyDiv w:val="1"/>
      <w:marLeft w:val="0"/>
      <w:marRight w:val="0"/>
      <w:marTop w:val="0"/>
      <w:marBottom w:val="0"/>
      <w:divBdr>
        <w:top w:val="none" w:sz="0" w:space="0" w:color="auto"/>
        <w:left w:val="none" w:sz="0" w:space="0" w:color="auto"/>
        <w:bottom w:val="none" w:sz="0" w:space="0" w:color="auto"/>
        <w:right w:val="none" w:sz="0" w:space="0" w:color="auto"/>
      </w:divBdr>
    </w:div>
    <w:div w:id="1357341447">
      <w:bodyDiv w:val="1"/>
      <w:marLeft w:val="0"/>
      <w:marRight w:val="0"/>
      <w:marTop w:val="0"/>
      <w:marBottom w:val="0"/>
      <w:divBdr>
        <w:top w:val="none" w:sz="0" w:space="0" w:color="auto"/>
        <w:left w:val="none" w:sz="0" w:space="0" w:color="auto"/>
        <w:bottom w:val="none" w:sz="0" w:space="0" w:color="auto"/>
        <w:right w:val="none" w:sz="0" w:space="0" w:color="auto"/>
      </w:divBdr>
    </w:div>
    <w:div w:id="1357342278">
      <w:bodyDiv w:val="1"/>
      <w:marLeft w:val="0"/>
      <w:marRight w:val="0"/>
      <w:marTop w:val="0"/>
      <w:marBottom w:val="0"/>
      <w:divBdr>
        <w:top w:val="none" w:sz="0" w:space="0" w:color="auto"/>
        <w:left w:val="none" w:sz="0" w:space="0" w:color="auto"/>
        <w:bottom w:val="none" w:sz="0" w:space="0" w:color="auto"/>
        <w:right w:val="none" w:sz="0" w:space="0" w:color="auto"/>
      </w:divBdr>
    </w:div>
    <w:div w:id="1357343320">
      <w:bodyDiv w:val="1"/>
      <w:marLeft w:val="0"/>
      <w:marRight w:val="0"/>
      <w:marTop w:val="0"/>
      <w:marBottom w:val="0"/>
      <w:divBdr>
        <w:top w:val="none" w:sz="0" w:space="0" w:color="auto"/>
        <w:left w:val="none" w:sz="0" w:space="0" w:color="auto"/>
        <w:bottom w:val="none" w:sz="0" w:space="0" w:color="auto"/>
        <w:right w:val="none" w:sz="0" w:space="0" w:color="auto"/>
      </w:divBdr>
    </w:div>
    <w:div w:id="1357461500">
      <w:bodyDiv w:val="1"/>
      <w:marLeft w:val="0"/>
      <w:marRight w:val="0"/>
      <w:marTop w:val="0"/>
      <w:marBottom w:val="0"/>
      <w:divBdr>
        <w:top w:val="none" w:sz="0" w:space="0" w:color="auto"/>
        <w:left w:val="none" w:sz="0" w:space="0" w:color="auto"/>
        <w:bottom w:val="none" w:sz="0" w:space="0" w:color="auto"/>
        <w:right w:val="none" w:sz="0" w:space="0" w:color="auto"/>
      </w:divBdr>
    </w:div>
    <w:div w:id="1357732938">
      <w:bodyDiv w:val="1"/>
      <w:marLeft w:val="0"/>
      <w:marRight w:val="0"/>
      <w:marTop w:val="0"/>
      <w:marBottom w:val="0"/>
      <w:divBdr>
        <w:top w:val="none" w:sz="0" w:space="0" w:color="auto"/>
        <w:left w:val="none" w:sz="0" w:space="0" w:color="auto"/>
        <w:bottom w:val="none" w:sz="0" w:space="0" w:color="auto"/>
        <w:right w:val="none" w:sz="0" w:space="0" w:color="auto"/>
      </w:divBdr>
    </w:div>
    <w:div w:id="1357849383">
      <w:bodyDiv w:val="1"/>
      <w:marLeft w:val="0"/>
      <w:marRight w:val="0"/>
      <w:marTop w:val="0"/>
      <w:marBottom w:val="0"/>
      <w:divBdr>
        <w:top w:val="none" w:sz="0" w:space="0" w:color="auto"/>
        <w:left w:val="none" w:sz="0" w:space="0" w:color="auto"/>
        <w:bottom w:val="none" w:sz="0" w:space="0" w:color="auto"/>
        <w:right w:val="none" w:sz="0" w:space="0" w:color="auto"/>
      </w:divBdr>
    </w:div>
    <w:div w:id="1357925295">
      <w:bodyDiv w:val="1"/>
      <w:marLeft w:val="0"/>
      <w:marRight w:val="0"/>
      <w:marTop w:val="0"/>
      <w:marBottom w:val="0"/>
      <w:divBdr>
        <w:top w:val="none" w:sz="0" w:space="0" w:color="auto"/>
        <w:left w:val="none" w:sz="0" w:space="0" w:color="auto"/>
        <w:bottom w:val="none" w:sz="0" w:space="0" w:color="auto"/>
        <w:right w:val="none" w:sz="0" w:space="0" w:color="auto"/>
      </w:divBdr>
    </w:div>
    <w:div w:id="1357972110">
      <w:bodyDiv w:val="1"/>
      <w:marLeft w:val="0"/>
      <w:marRight w:val="0"/>
      <w:marTop w:val="0"/>
      <w:marBottom w:val="0"/>
      <w:divBdr>
        <w:top w:val="none" w:sz="0" w:space="0" w:color="auto"/>
        <w:left w:val="none" w:sz="0" w:space="0" w:color="auto"/>
        <w:bottom w:val="none" w:sz="0" w:space="0" w:color="auto"/>
        <w:right w:val="none" w:sz="0" w:space="0" w:color="auto"/>
      </w:divBdr>
    </w:div>
    <w:div w:id="1358044405">
      <w:bodyDiv w:val="1"/>
      <w:marLeft w:val="0"/>
      <w:marRight w:val="0"/>
      <w:marTop w:val="0"/>
      <w:marBottom w:val="0"/>
      <w:divBdr>
        <w:top w:val="none" w:sz="0" w:space="0" w:color="auto"/>
        <w:left w:val="none" w:sz="0" w:space="0" w:color="auto"/>
        <w:bottom w:val="none" w:sz="0" w:space="0" w:color="auto"/>
        <w:right w:val="none" w:sz="0" w:space="0" w:color="auto"/>
      </w:divBdr>
    </w:div>
    <w:div w:id="1358046739">
      <w:bodyDiv w:val="1"/>
      <w:marLeft w:val="0"/>
      <w:marRight w:val="0"/>
      <w:marTop w:val="0"/>
      <w:marBottom w:val="0"/>
      <w:divBdr>
        <w:top w:val="none" w:sz="0" w:space="0" w:color="auto"/>
        <w:left w:val="none" w:sz="0" w:space="0" w:color="auto"/>
        <w:bottom w:val="none" w:sz="0" w:space="0" w:color="auto"/>
        <w:right w:val="none" w:sz="0" w:space="0" w:color="auto"/>
      </w:divBdr>
    </w:div>
    <w:div w:id="1358046777">
      <w:bodyDiv w:val="1"/>
      <w:marLeft w:val="0"/>
      <w:marRight w:val="0"/>
      <w:marTop w:val="0"/>
      <w:marBottom w:val="0"/>
      <w:divBdr>
        <w:top w:val="none" w:sz="0" w:space="0" w:color="auto"/>
        <w:left w:val="none" w:sz="0" w:space="0" w:color="auto"/>
        <w:bottom w:val="none" w:sz="0" w:space="0" w:color="auto"/>
        <w:right w:val="none" w:sz="0" w:space="0" w:color="auto"/>
      </w:divBdr>
    </w:div>
    <w:div w:id="1358312975">
      <w:bodyDiv w:val="1"/>
      <w:marLeft w:val="0"/>
      <w:marRight w:val="0"/>
      <w:marTop w:val="0"/>
      <w:marBottom w:val="0"/>
      <w:divBdr>
        <w:top w:val="none" w:sz="0" w:space="0" w:color="auto"/>
        <w:left w:val="none" w:sz="0" w:space="0" w:color="auto"/>
        <w:bottom w:val="none" w:sz="0" w:space="0" w:color="auto"/>
        <w:right w:val="none" w:sz="0" w:space="0" w:color="auto"/>
      </w:divBdr>
    </w:div>
    <w:div w:id="1358313657">
      <w:bodyDiv w:val="1"/>
      <w:marLeft w:val="0"/>
      <w:marRight w:val="0"/>
      <w:marTop w:val="0"/>
      <w:marBottom w:val="0"/>
      <w:divBdr>
        <w:top w:val="none" w:sz="0" w:space="0" w:color="auto"/>
        <w:left w:val="none" w:sz="0" w:space="0" w:color="auto"/>
        <w:bottom w:val="none" w:sz="0" w:space="0" w:color="auto"/>
        <w:right w:val="none" w:sz="0" w:space="0" w:color="auto"/>
      </w:divBdr>
    </w:div>
    <w:div w:id="1358385056">
      <w:bodyDiv w:val="1"/>
      <w:marLeft w:val="0"/>
      <w:marRight w:val="0"/>
      <w:marTop w:val="0"/>
      <w:marBottom w:val="0"/>
      <w:divBdr>
        <w:top w:val="none" w:sz="0" w:space="0" w:color="auto"/>
        <w:left w:val="none" w:sz="0" w:space="0" w:color="auto"/>
        <w:bottom w:val="none" w:sz="0" w:space="0" w:color="auto"/>
        <w:right w:val="none" w:sz="0" w:space="0" w:color="auto"/>
      </w:divBdr>
    </w:div>
    <w:div w:id="1358390149">
      <w:bodyDiv w:val="1"/>
      <w:marLeft w:val="0"/>
      <w:marRight w:val="0"/>
      <w:marTop w:val="0"/>
      <w:marBottom w:val="0"/>
      <w:divBdr>
        <w:top w:val="none" w:sz="0" w:space="0" w:color="auto"/>
        <w:left w:val="none" w:sz="0" w:space="0" w:color="auto"/>
        <w:bottom w:val="none" w:sz="0" w:space="0" w:color="auto"/>
        <w:right w:val="none" w:sz="0" w:space="0" w:color="auto"/>
      </w:divBdr>
    </w:div>
    <w:div w:id="1358432485">
      <w:bodyDiv w:val="1"/>
      <w:marLeft w:val="0"/>
      <w:marRight w:val="0"/>
      <w:marTop w:val="0"/>
      <w:marBottom w:val="0"/>
      <w:divBdr>
        <w:top w:val="none" w:sz="0" w:space="0" w:color="auto"/>
        <w:left w:val="none" w:sz="0" w:space="0" w:color="auto"/>
        <w:bottom w:val="none" w:sz="0" w:space="0" w:color="auto"/>
        <w:right w:val="none" w:sz="0" w:space="0" w:color="auto"/>
      </w:divBdr>
    </w:div>
    <w:div w:id="1358699919">
      <w:bodyDiv w:val="1"/>
      <w:marLeft w:val="0"/>
      <w:marRight w:val="0"/>
      <w:marTop w:val="0"/>
      <w:marBottom w:val="0"/>
      <w:divBdr>
        <w:top w:val="none" w:sz="0" w:space="0" w:color="auto"/>
        <w:left w:val="none" w:sz="0" w:space="0" w:color="auto"/>
        <w:bottom w:val="none" w:sz="0" w:space="0" w:color="auto"/>
        <w:right w:val="none" w:sz="0" w:space="0" w:color="auto"/>
      </w:divBdr>
    </w:div>
    <w:div w:id="1358774608">
      <w:bodyDiv w:val="1"/>
      <w:marLeft w:val="0"/>
      <w:marRight w:val="0"/>
      <w:marTop w:val="0"/>
      <w:marBottom w:val="0"/>
      <w:divBdr>
        <w:top w:val="none" w:sz="0" w:space="0" w:color="auto"/>
        <w:left w:val="none" w:sz="0" w:space="0" w:color="auto"/>
        <w:bottom w:val="none" w:sz="0" w:space="0" w:color="auto"/>
        <w:right w:val="none" w:sz="0" w:space="0" w:color="auto"/>
      </w:divBdr>
    </w:div>
    <w:div w:id="1358778730">
      <w:bodyDiv w:val="1"/>
      <w:marLeft w:val="0"/>
      <w:marRight w:val="0"/>
      <w:marTop w:val="0"/>
      <w:marBottom w:val="0"/>
      <w:divBdr>
        <w:top w:val="none" w:sz="0" w:space="0" w:color="auto"/>
        <w:left w:val="none" w:sz="0" w:space="0" w:color="auto"/>
        <w:bottom w:val="none" w:sz="0" w:space="0" w:color="auto"/>
        <w:right w:val="none" w:sz="0" w:space="0" w:color="auto"/>
      </w:divBdr>
    </w:div>
    <w:div w:id="1358849484">
      <w:bodyDiv w:val="1"/>
      <w:marLeft w:val="0"/>
      <w:marRight w:val="0"/>
      <w:marTop w:val="0"/>
      <w:marBottom w:val="0"/>
      <w:divBdr>
        <w:top w:val="none" w:sz="0" w:space="0" w:color="auto"/>
        <w:left w:val="none" w:sz="0" w:space="0" w:color="auto"/>
        <w:bottom w:val="none" w:sz="0" w:space="0" w:color="auto"/>
        <w:right w:val="none" w:sz="0" w:space="0" w:color="auto"/>
      </w:divBdr>
    </w:div>
    <w:div w:id="1358896216">
      <w:bodyDiv w:val="1"/>
      <w:marLeft w:val="0"/>
      <w:marRight w:val="0"/>
      <w:marTop w:val="0"/>
      <w:marBottom w:val="0"/>
      <w:divBdr>
        <w:top w:val="none" w:sz="0" w:space="0" w:color="auto"/>
        <w:left w:val="none" w:sz="0" w:space="0" w:color="auto"/>
        <w:bottom w:val="none" w:sz="0" w:space="0" w:color="auto"/>
        <w:right w:val="none" w:sz="0" w:space="0" w:color="auto"/>
      </w:divBdr>
    </w:div>
    <w:div w:id="1359087104">
      <w:bodyDiv w:val="1"/>
      <w:marLeft w:val="0"/>
      <w:marRight w:val="0"/>
      <w:marTop w:val="0"/>
      <w:marBottom w:val="0"/>
      <w:divBdr>
        <w:top w:val="none" w:sz="0" w:space="0" w:color="auto"/>
        <w:left w:val="none" w:sz="0" w:space="0" w:color="auto"/>
        <w:bottom w:val="none" w:sz="0" w:space="0" w:color="auto"/>
        <w:right w:val="none" w:sz="0" w:space="0" w:color="auto"/>
      </w:divBdr>
    </w:div>
    <w:div w:id="1359089055">
      <w:bodyDiv w:val="1"/>
      <w:marLeft w:val="0"/>
      <w:marRight w:val="0"/>
      <w:marTop w:val="0"/>
      <w:marBottom w:val="0"/>
      <w:divBdr>
        <w:top w:val="none" w:sz="0" w:space="0" w:color="auto"/>
        <w:left w:val="none" w:sz="0" w:space="0" w:color="auto"/>
        <w:bottom w:val="none" w:sz="0" w:space="0" w:color="auto"/>
        <w:right w:val="none" w:sz="0" w:space="0" w:color="auto"/>
      </w:divBdr>
    </w:div>
    <w:div w:id="1359116129">
      <w:bodyDiv w:val="1"/>
      <w:marLeft w:val="0"/>
      <w:marRight w:val="0"/>
      <w:marTop w:val="0"/>
      <w:marBottom w:val="0"/>
      <w:divBdr>
        <w:top w:val="none" w:sz="0" w:space="0" w:color="auto"/>
        <w:left w:val="none" w:sz="0" w:space="0" w:color="auto"/>
        <w:bottom w:val="none" w:sz="0" w:space="0" w:color="auto"/>
        <w:right w:val="none" w:sz="0" w:space="0" w:color="auto"/>
      </w:divBdr>
    </w:div>
    <w:div w:id="1359234241">
      <w:bodyDiv w:val="1"/>
      <w:marLeft w:val="0"/>
      <w:marRight w:val="0"/>
      <w:marTop w:val="0"/>
      <w:marBottom w:val="0"/>
      <w:divBdr>
        <w:top w:val="none" w:sz="0" w:space="0" w:color="auto"/>
        <w:left w:val="none" w:sz="0" w:space="0" w:color="auto"/>
        <w:bottom w:val="none" w:sz="0" w:space="0" w:color="auto"/>
        <w:right w:val="none" w:sz="0" w:space="0" w:color="auto"/>
      </w:divBdr>
    </w:div>
    <w:div w:id="1359308290">
      <w:bodyDiv w:val="1"/>
      <w:marLeft w:val="0"/>
      <w:marRight w:val="0"/>
      <w:marTop w:val="0"/>
      <w:marBottom w:val="0"/>
      <w:divBdr>
        <w:top w:val="none" w:sz="0" w:space="0" w:color="auto"/>
        <w:left w:val="none" w:sz="0" w:space="0" w:color="auto"/>
        <w:bottom w:val="none" w:sz="0" w:space="0" w:color="auto"/>
        <w:right w:val="none" w:sz="0" w:space="0" w:color="auto"/>
      </w:divBdr>
    </w:div>
    <w:div w:id="1359350529">
      <w:bodyDiv w:val="1"/>
      <w:marLeft w:val="0"/>
      <w:marRight w:val="0"/>
      <w:marTop w:val="0"/>
      <w:marBottom w:val="0"/>
      <w:divBdr>
        <w:top w:val="none" w:sz="0" w:space="0" w:color="auto"/>
        <w:left w:val="none" w:sz="0" w:space="0" w:color="auto"/>
        <w:bottom w:val="none" w:sz="0" w:space="0" w:color="auto"/>
        <w:right w:val="none" w:sz="0" w:space="0" w:color="auto"/>
      </w:divBdr>
    </w:div>
    <w:div w:id="1359351427">
      <w:bodyDiv w:val="1"/>
      <w:marLeft w:val="0"/>
      <w:marRight w:val="0"/>
      <w:marTop w:val="0"/>
      <w:marBottom w:val="0"/>
      <w:divBdr>
        <w:top w:val="none" w:sz="0" w:space="0" w:color="auto"/>
        <w:left w:val="none" w:sz="0" w:space="0" w:color="auto"/>
        <w:bottom w:val="none" w:sz="0" w:space="0" w:color="auto"/>
        <w:right w:val="none" w:sz="0" w:space="0" w:color="auto"/>
      </w:divBdr>
    </w:div>
    <w:div w:id="1359356748">
      <w:bodyDiv w:val="1"/>
      <w:marLeft w:val="0"/>
      <w:marRight w:val="0"/>
      <w:marTop w:val="0"/>
      <w:marBottom w:val="0"/>
      <w:divBdr>
        <w:top w:val="none" w:sz="0" w:space="0" w:color="auto"/>
        <w:left w:val="none" w:sz="0" w:space="0" w:color="auto"/>
        <w:bottom w:val="none" w:sz="0" w:space="0" w:color="auto"/>
        <w:right w:val="none" w:sz="0" w:space="0" w:color="auto"/>
      </w:divBdr>
    </w:div>
    <w:div w:id="1359429776">
      <w:bodyDiv w:val="1"/>
      <w:marLeft w:val="0"/>
      <w:marRight w:val="0"/>
      <w:marTop w:val="0"/>
      <w:marBottom w:val="0"/>
      <w:divBdr>
        <w:top w:val="none" w:sz="0" w:space="0" w:color="auto"/>
        <w:left w:val="none" w:sz="0" w:space="0" w:color="auto"/>
        <w:bottom w:val="none" w:sz="0" w:space="0" w:color="auto"/>
        <w:right w:val="none" w:sz="0" w:space="0" w:color="auto"/>
      </w:divBdr>
    </w:div>
    <w:div w:id="1359506155">
      <w:bodyDiv w:val="1"/>
      <w:marLeft w:val="0"/>
      <w:marRight w:val="0"/>
      <w:marTop w:val="0"/>
      <w:marBottom w:val="0"/>
      <w:divBdr>
        <w:top w:val="none" w:sz="0" w:space="0" w:color="auto"/>
        <w:left w:val="none" w:sz="0" w:space="0" w:color="auto"/>
        <w:bottom w:val="none" w:sz="0" w:space="0" w:color="auto"/>
        <w:right w:val="none" w:sz="0" w:space="0" w:color="auto"/>
      </w:divBdr>
    </w:div>
    <w:div w:id="1359622367">
      <w:bodyDiv w:val="1"/>
      <w:marLeft w:val="0"/>
      <w:marRight w:val="0"/>
      <w:marTop w:val="0"/>
      <w:marBottom w:val="0"/>
      <w:divBdr>
        <w:top w:val="none" w:sz="0" w:space="0" w:color="auto"/>
        <w:left w:val="none" w:sz="0" w:space="0" w:color="auto"/>
        <w:bottom w:val="none" w:sz="0" w:space="0" w:color="auto"/>
        <w:right w:val="none" w:sz="0" w:space="0" w:color="auto"/>
      </w:divBdr>
    </w:div>
    <w:div w:id="1359699552">
      <w:bodyDiv w:val="1"/>
      <w:marLeft w:val="0"/>
      <w:marRight w:val="0"/>
      <w:marTop w:val="0"/>
      <w:marBottom w:val="0"/>
      <w:divBdr>
        <w:top w:val="none" w:sz="0" w:space="0" w:color="auto"/>
        <w:left w:val="none" w:sz="0" w:space="0" w:color="auto"/>
        <w:bottom w:val="none" w:sz="0" w:space="0" w:color="auto"/>
        <w:right w:val="none" w:sz="0" w:space="0" w:color="auto"/>
      </w:divBdr>
    </w:div>
    <w:div w:id="1359967696">
      <w:bodyDiv w:val="1"/>
      <w:marLeft w:val="0"/>
      <w:marRight w:val="0"/>
      <w:marTop w:val="0"/>
      <w:marBottom w:val="0"/>
      <w:divBdr>
        <w:top w:val="none" w:sz="0" w:space="0" w:color="auto"/>
        <w:left w:val="none" w:sz="0" w:space="0" w:color="auto"/>
        <w:bottom w:val="none" w:sz="0" w:space="0" w:color="auto"/>
        <w:right w:val="none" w:sz="0" w:space="0" w:color="auto"/>
      </w:divBdr>
    </w:div>
    <w:div w:id="1359968123">
      <w:bodyDiv w:val="1"/>
      <w:marLeft w:val="0"/>
      <w:marRight w:val="0"/>
      <w:marTop w:val="0"/>
      <w:marBottom w:val="0"/>
      <w:divBdr>
        <w:top w:val="none" w:sz="0" w:space="0" w:color="auto"/>
        <w:left w:val="none" w:sz="0" w:space="0" w:color="auto"/>
        <w:bottom w:val="none" w:sz="0" w:space="0" w:color="auto"/>
        <w:right w:val="none" w:sz="0" w:space="0" w:color="auto"/>
      </w:divBdr>
    </w:div>
    <w:div w:id="1360011170">
      <w:bodyDiv w:val="1"/>
      <w:marLeft w:val="0"/>
      <w:marRight w:val="0"/>
      <w:marTop w:val="0"/>
      <w:marBottom w:val="0"/>
      <w:divBdr>
        <w:top w:val="none" w:sz="0" w:space="0" w:color="auto"/>
        <w:left w:val="none" w:sz="0" w:space="0" w:color="auto"/>
        <w:bottom w:val="none" w:sz="0" w:space="0" w:color="auto"/>
        <w:right w:val="none" w:sz="0" w:space="0" w:color="auto"/>
      </w:divBdr>
    </w:div>
    <w:div w:id="1360013294">
      <w:bodyDiv w:val="1"/>
      <w:marLeft w:val="0"/>
      <w:marRight w:val="0"/>
      <w:marTop w:val="0"/>
      <w:marBottom w:val="0"/>
      <w:divBdr>
        <w:top w:val="none" w:sz="0" w:space="0" w:color="auto"/>
        <w:left w:val="none" w:sz="0" w:space="0" w:color="auto"/>
        <w:bottom w:val="none" w:sz="0" w:space="0" w:color="auto"/>
        <w:right w:val="none" w:sz="0" w:space="0" w:color="auto"/>
      </w:divBdr>
    </w:div>
    <w:div w:id="1360282057">
      <w:bodyDiv w:val="1"/>
      <w:marLeft w:val="0"/>
      <w:marRight w:val="0"/>
      <w:marTop w:val="0"/>
      <w:marBottom w:val="0"/>
      <w:divBdr>
        <w:top w:val="none" w:sz="0" w:space="0" w:color="auto"/>
        <w:left w:val="none" w:sz="0" w:space="0" w:color="auto"/>
        <w:bottom w:val="none" w:sz="0" w:space="0" w:color="auto"/>
        <w:right w:val="none" w:sz="0" w:space="0" w:color="auto"/>
      </w:divBdr>
    </w:div>
    <w:div w:id="1360349560">
      <w:bodyDiv w:val="1"/>
      <w:marLeft w:val="0"/>
      <w:marRight w:val="0"/>
      <w:marTop w:val="0"/>
      <w:marBottom w:val="0"/>
      <w:divBdr>
        <w:top w:val="none" w:sz="0" w:space="0" w:color="auto"/>
        <w:left w:val="none" w:sz="0" w:space="0" w:color="auto"/>
        <w:bottom w:val="none" w:sz="0" w:space="0" w:color="auto"/>
        <w:right w:val="none" w:sz="0" w:space="0" w:color="auto"/>
      </w:divBdr>
    </w:div>
    <w:div w:id="1360357292">
      <w:bodyDiv w:val="1"/>
      <w:marLeft w:val="0"/>
      <w:marRight w:val="0"/>
      <w:marTop w:val="0"/>
      <w:marBottom w:val="0"/>
      <w:divBdr>
        <w:top w:val="none" w:sz="0" w:space="0" w:color="auto"/>
        <w:left w:val="none" w:sz="0" w:space="0" w:color="auto"/>
        <w:bottom w:val="none" w:sz="0" w:space="0" w:color="auto"/>
        <w:right w:val="none" w:sz="0" w:space="0" w:color="auto"/>
      </w:divBdr>
    </w:div>
    <w:div w:id="1360466849">
      <w:bodyDiv w:val="1"/>
      <w:marLeft w:val="0"/>
      <w:marRight w:val="0"/>
      <w:marTop w:val="0"/>
      <w:marBottom w:val="0"/>
      <w:divBdr>
        <w:top w:val="none" w:sz="0" w:space="0" w:color="auto"/>
        <w:left w:val="none" w:sz="0" w:space="0" w:color="auto"/>
        <w:bottom w:val="none" w:sz="0" w:space="0" w:color="auto"/>
        <w:right w:val="none" w:sz="0" w:space="0" w:color="auto"/>
      </w:divBdr>
    </w:div>
    <w:div w:id="1360547125">
      <w:bodyDiv w:val="1"/>
      <w:marLeft w:val="0"/>
      <w:marRight w:val="0"/>
      <w:marTop w:val="0"/>
      <w:marBottom w:val="0"/>
      <w:divBdr>
        <w:top w:val="none" w:sz="0" w:space="0" w:color="auto"/>
        <w:left w:val="none" w:sz="0" w:space="0" w:color="auto"/>
        <w:bottom w:val="none" w:sz="0" w:space="0" w:color="auto"/>
        <w:right w:val="none" w:sz="0" w:space="0" w:color="auto"/>
      </w:divBdr>
    </w:div>
    <w:div w:id="1360661984">
      <w:bodyDiv w:val="1"/>
      <w:marLeft w:val="0"/>
      <w:marRight w:val="0"/>
      <w:marTop w:val="0"/>
      <w:marBottom w:val="0"/>
      <w:divBdr>
        <w:top w:val="none" w:sz="0" w:space="0" w:color="auto"/>
        <w:left w:val="none" w:sz="0" w:space="0" w:color="auto"/>
        <w:bottom w:val="none" w:sz="0" w:space="0" w:color="auto"/>
        <w:right w:val="none" w:sz="0" w:space="0" w:color="auto"/>
      </w:divBdr>
    </w:div>
    <w:div w:id="1360735386">
      <w:bodyDiv w:val="1"/>
      <w:marLeft w:val="0"/>
      <w:marRight w:val="0"/>
      <w:marTop w:val="0"/>
      <w:marBottom w:val="0"/>
      <w:divBdr>
        <w:top w:val="none" w:sz="0" w:space="0" w:color="auto"/>
        <w:left w:val="none" w:sz="0" w:space="0" w:color="auto"/>
        <w:bottom w:val="none" w:sz="0" w:space="0" w:color="auto"/>
        <w:right w:val="none" w:sz="0" w:space="0" w:color="auto"/>
      </w:divBdr>
    </w:div>
    <w:div w:id="1361004852">
      <w:bodyDiv w:val="1"/>
      <w:marLeft w:val="0"/>
      <w:marRight w:val="0"/>
      <w:marTop w:val="0"/>
      <w:marBottom w:val="0"/>
      <w:divBdr>
        <w:top w:val="none" w:sz="0" w:space="0" w:color="auto"/>
        <w:left w:val="none" w:sz="0" w:space="0" w:color="auto"/>
        <w:bottom w:val="none" w:sz="0" w:space="0" w:color="auto"/>
        <w:right w:val="none" w:sz="0" w:space="0" w:color="auto"/>
      </w:divBdr>
    </w:div>
    <w:div w:id="1361125764">
      <w:bodyDiv w:val="1"/>
      <w:marLeft w:val="0"/>
      <w:marRight w:val="0"/>
      <w:marTop w:val="0"/>
      <w:marBottom w:val="0"/>
      <w:divBdr>
        <w:top w:val="none" w:sz="0" w:space="0" w:color="auto"/>
        <w:left w:val="none" w:sz="0" w:space="0" w:color="auto"/>
        <w:bottom w:val="none" w:sz="0" w:space="0" w:color="auto"/>
        <w:right w:val="none" w:sz="0" w:space="0" w:color="auto"/>
      </w:divBdr>
    </w:div>
    <w:div w:id="1361204040">
      <w:bodyDiv w:val="1"/>
      <w:marLeft w:val="0"/>
      <w:marRight w:val="0"/>
      <w:marTop w:val="0"/>
      <w:marBottom w:val="0"/>
      <w:divBdr>
        <w:top w:val="none" w:sz="0" w:space="0" w:color="auto"/>
        <w:left w:val="none" w:sz="0" w:space="0" w:color="auto"/>
        <w:bottom w:val="none" w:sz="0" w:space="0" w:color="auto"/>
        <w:right w:val="none" w:sz="0" w:space="0" w:color="auto"/>
      </w:divBdr>
    </w:div>
    <w:div w:id="1361248845">
      <w:bodyDiv w:val="1"/>
      <w:marLeft w:val="0"/>
      <w:marRight w:val="0"/>
      <w:marTop w:val="0"/>
      <w:marBottom w:val="0"/>
      <w:divBdr>
        <w:top w:val="none" w:sz="0" w:space="0" w:color="auto"/>
        <w:left w:val="none" w:sz="0" w:space="0" w:color="auto"/>
        <w:bottom w:val="none" w:sz="0" w:space="0" w:color="auto"/>
        <w:right w:val="none" w:sz="0" w:space="0" w:color="auto"/>
      </w:divBdr>
    </w:div>
    <w:div w:id="1361316130">
      <w:bodyDiv w:val="1"/>
      <w:marLeft w:val="0"/>
      <w:marRight w:val="0"/>
      <w:marTop w:val="0"/>
      <w:marBottom w:val="0"/>
      <w:divBdr>
        <w:top w:val="none" w:sz="0" w:space="0" w:color="auto"/>
        <w:left w:val="none" w:sz="0" w:space="0" w:color="auto"/>
        <w:bottom w:val="none" w:sz="0" w:space="0" w:color="auto"/>
        <w:right w:val="none" w:sz="0" w:space="0" w:color="auto"/>
      </w:divBdr>
    </w:div>
    <w:div w:id="1361391037">
      <w:bodyDiv w:val="1"/>
      <w:marLeft w:val="0"/>
      <w:marRight w:val="0"/>
      <w:marTop w:val="0"/>
      <w:marBottom w:val="0"/>
      <w:divBdr>
        <w:top w:val="none" w:sz="0" w:space="0" w:color="auto"/>
        <w:left w:val="none" w:sz="0" w:space="0" w:color="auto"/>
        <w:bottom w:val="none" w:sz="0" w:space="0" w:color="auto"/>
        <w:right w:val="none" w:sz="0" w:space="0" w:color="auto"/>
      </w:divBdr>
    </w:div>
    <w:div w:id="1361472140">
      <w:bodyDiv w:val="1"/>
      <w:marLeft w:val="0"/>
      <w:marRight w:val="0"/>
      <w:marTop w:val="0"/>
      <w:marBottom w:val="0"/>
      <w:divBdr>
        <w:top w:val="none" w:sz="0" w:space="0" w:color="auto"/>
        <w:left w:val="none" w:sz="0" w:space="0" w:color="auto"/>
        <w:bottom w:val="none" w:sz="0" w:space="0" w:color="auto"/>
        <w:right w:val="none" w:sz="0" w:space="0" w:color="auto"/>
      </w:divBdr>
    </w:div>
    <w:div w:id="1361511829">
      <w:bodyDiv w:val="1"/>
      <w:marLeft w:val="0"/>
      <w:marRight w:val="0"/>
      <w:marTop w:val="0"/>
      <w:marBottom w:val="0"/>
      <w:divBdr>
        <w:top w:val="none" w:sz="0" w:space="0" w:color="auto"/>
        <w:left w:val="none" w:sz="0" w:space="0" w:color="auto"/>
        <w:bottom w:val="none" w:sz="0" w:space="0" w:color="auto"/>
        <w:right w:val="none" w:sz="0" w:space="0" w:color="auto"/>
      </w:divBdr>
    </w:div>
    <w:div w:id="1361710800">
      <w:bodyDiv w:val="1"/>
      <w:marLeft w:val="0"/>
      <w:marRight w:val="0"/>
      <w:marTop w:val="0"/>
      <w:marBottom w:val="0"/>
      <w:divBdr>
        <w:top w:val="none" w:sz="0" w:space="0" w:color="auto"/>
        <w:left w:val="none" w:sz="0" w:space="0" w:color="auto"/>
        <w:bottom w:val="none" w:sz="0" w:space="0" w:color="auto"/>
        <w:right w:val="none" w:sz="0" w:space="0" w:color="auto"/>
      </w:divBdr>
    </w:div>
    <w:div w:id="1361857256">
      <w:bodyDiv w:val="1"/>
      <w:marLeft w:val="0"/>
      <w:marRight w:val="0"/>
      <w:marTop w:val="0"/>
      <w:marBottom w:val="0"/>
      <w:divBdr>
        <w:top w:val="none" w:sz="0" w:space="0" w:color="auto"/>
        <w:left w:val="none" w:sz="0" w:space="0" w:color="auto"/>
        <w:bottom w:val="none" w:sz="0" w:space="0" w:color="auto"/>
        <w:right w:val="none" w:sz="0" w:space="0" w:color="auto"/>
      </w:divBdr>
    </w:div>
    <w:div w:id="1361904633">
      <w:bodyDiv w:val="1"/>
      <w:marLeft w:val="0"/>
      <w:marRight w:val="0"/>
      <w:marTop w:val="0"/>
      <w:marBottom w:val="0"/>
      <w:divBdr>
        <w:top w:val="none" w:sz="0" w:space="0" w:color="auto"/>
        <w:left w:val="none" w:sz="0" w:space="0" w:color="auto"/>
        <w:bottom w:val="none" w:sz="0" w:space="0" w:color="auto"/>
        <w:right w:val="none" w:sz="0" w:space="0" w:color="auto"/>
      </w:divBdr>
    </w:div>
    <w:div w:id="1361974365">
      <w:bodyDiv w:val="1"/>
      <w:marLeft w:val="0"/>
      <w:marRight w:val="0"/>
      <w:marTop w:val="0"/>
      <w:marBottom w:val="0"/>
      <w:divBdr>
        <w:top w:val="none" w:sz="0" w:space="0" w:color="auto"/>
        <w:left w:val="none" w:sz="0" w:space="0" w:color="auto"/>
        <w:bottom w:val="none" w:sz="0" w:space="0" w:color="auto"/>
        <w:right w:val="none" w:sz="0" w:space="0" w:color="auto"/>
      </w:divBdr>
    </w:div>
    <w:div w:id="1362051551">
      <w:bodyDiv w:val="1"/>
      <w:marLeft w:val="0"/>
      <w:marRight w:val="0"/>
      <w:marTop w:val="0"/>
      <w:marBottom w:val="0"/>
      <w:divBdr>
        <w:top w:val="none" w:sz="0" w:space="0" w:color="auto"/>
        <w:left w:val="none" w:sz="0" w:space="0" w:color="auto"/>
        <w:bottom w:val="none" w:sz="0" w:space="0" w:color="auto"/>
        <w:right w:val="none" w:sz="0" w:space="0" w:color="auto"/>
      </w:divBdr>
    </w:div>
    <w:div w:id="1362245601">
      <w:bodyDiv w:val="1"/>
      <w:marLeft w:val="0"/>
      <w:marRight w:val="0"/>
      <w:marTop w:val="0"/>
      <w:marBottom w:val="0"/>
      <w:divBdr>
        <w:top w:val="none" w:sz="0" w:space="0" w:color="auto"/>
        <w:left w:val="none" w:sz="0" w:space="0" w:color="auto"/>
        <w:bottom w:val="none" w:sz="0" w:space="0" w:color="auto"/>
        <w:right w:val="none" w:sz="0" w:space="0" w:color="auto"/>
      </w:divBdr>
    </w:div>
    <w:div w:id="1362316207">
      <w:bodyDiv w:val="1"/>
      <w:marLeft w:val="0"/>
      <w:marRight w:val="0"/>
      <w:marTop w:val="0"/>
      <w:marBottom w:val="0"/>
      <w:divBdr>
        <w:top w:val="none" w:sz="0" w:space="0" w:color="auto"/>
        <w:left w:val="none" w:sz="0" w:space="0" w:color="auto"/>
        <w:bottom w:val="none" w:sz="0" w:space="0" w:color="auto"/>
        <w:right w:val="none" w:sz="0" w:space="0" w:color="auto"/>
      </w:divBdr>
    </w:div>
    <w:div w:id="1362319047">
      <w:bodyDiv w:val="1"/>
      <w:marLeft w:val="0"/>
      <w:marRight w:val="0"/>
      <w:marTop w:val="0"/>
      <w:marBottom w:val="0"/>
      <w:divBdr>
        <w:top w:val="none" w:sz="0" w:space="0" w:color="auto"/>
        <w:left w:val="none" w:sz="0" w:space="0" w:color="auto"/>
        <w:bottom w:val="none" w:sz="0" w:space="0" w:color="auto"/>
        <w:right w:val="none" w:sz="0" w:space="0" w:color="auto"/>
      </w:divBdr>
    </w:div>
    <w:div w:id="1362321862">
      <w:bodyDiv w:val="1"/>
      <w:marLeft w:val="0"/>
      <w:marRight w:val="0"/>
      <w:marTop w:val="0"/>
      <w:marBottom w:val="0"/>
      <w:divBdr>
        <w:top w:val="none" w:sz="0" w:space="0" w:color="auto"/>
        <w:left w:val="none" w:sz="0" w:space="0" w:color="auto"/>
        <w:bottom w:val="none" w:sz="0" w:space="0" w:color="auto"/>
        <w:right w:val="none" w:sz="0" w:space="0" w:color="auto"/>
      </w:divBdr>
    </w:div>
    <w:div w:id="1362392836">
      <w:bodyDiv w:val="1"/>
      <w:marLeft w:val="0"/>
      <w:marRight w:val="0"/>
      <w:marTop w:val="0"/>
      <w:marBottom w:val="0"/>
      <w:divBdr>
        <w:top w:val="none" w:sz="0" w:space="0" w:color="auto"/>
        <w:left w:val="none" w:sz="0" w:space="0" w:color="auto"/>
        <w:bottom w:val="none" w:sz="0" w:space="0" w:color="auto"/>
        <w:right w:val="none" w:sz="0" w:space="0" w:color="auto"/>
      </w:divBdr>
    </w:div>
    <w:div w:id="1362441015">
      <w:bodyDiv w:val="1"/>
      <w:marLeft w:val="0"/>
      <w:marRight w:val="0"/>
      <w:marTop w:val="0"/>
      <w:marBottom w:val="0"/>
      <w:divBdr>
        <w:top w:val="none" w:sz="0" w:space="0" w:color="auto"/>
        <w:left w:val="none" w:sz="0" w:space="0" w:color="auto"/>
        <w:bottom w:val="none" w:sz="0" w:space="0" w:color="auto"/>
        <w:right w:val="none" w:sz="0" w:space="0" w:color="auto"/>
      </w:divBdr>
    </w:div>
    <w:div w:id="1362629295">
      <w:bodyDiv w:val="1"/>
      <w:marLeft w:val="0"/>
      <w:marRight w:val="0"/>
      <w:marTop w:val="0"/>
      <w:marBottom w:val="0"/>
      <w:divBdr>
        <w:top w:val="none" w:sz="0" w:space="0" w:color="auto"/>
        <w:left w:val="none" w:sz="0" w:space="0" w:color="auto"/>
        <w:bottom w:val="none" w:sz="0" w:space="0" w:color="auto"/>
        <w:right w:val="none" w:sz="0" w:space="0" w:color="auto"/>
      </w:divBdr>
    </w:div>
    <w:div w:id="1362708164">
      <w:bodyDiv w:val="1"/>
      <w:marLeft w:val="0"/>
      <w:marRight w:val="0"/>
      <w:marTop w:val="0"/>
      <w:marBottom w:val="0"/>
      <w:divBdr>
        <w:top w:val="none" w:sz="0" w:space="0" w:color="auto"/>
        <w:left w:val="none" w:sz="0" w:space="0" w:color="auto"/>
        <w:bottom w:val="none" w:sz="0" w:space="0" w:color="auto"/>
        <w:right w:val="none" w:sz="0" w:space="0" w:color="auto"/>
      </w:divBdr>
    </w:div>
    <w:div w:id="1362897309">
      <w:bodyDiv w:val="1"/>
      <w:marLeft w:val="0"/>
      <w:marRight w:val="0"/>
      <w:marTop w:val="0"/>
      <w:marBottom w:val="0"/>
      <w:divBdr>
        <w:top w:val="none" w:sz="0" w:space="0" w:color="auto"/>
        <w:left w:val="none" w:sz="0" w:space="0" w:color="auto"/>
        <w:bottom w:val="none" w:sz="0" w:space="0" w:color="auto"/>
        <w:right w:val="none" w:sz="0" w:space="0" w:color="auto"/>
      </w:divBdr>
    </w:div>
    <w:div w:id="1362902352">
      <w:bodyDiv w:val="1"/>
      <w:marLeft w:val="0"/>
      <w:marRight w:val="0"/>
      <w:marTop w:val="0"/>
      <w:marBottom w:val="0"/>
      <w:divBdr>
        <w:top w:val="none" w:sz="0" w:space="0" w:color="auto"/>
        <w:left w:val="none" w:sz="0" w:space="0" w:color="auto"/>
        <w:bottom w:val="none" w:sz="0" w:space="0" w:color="auto"/>
        <w:right w:val="none" w:sz="0" w:space="0" w:color="auto"/>
      </w:divBdr>
    </w:div>
    <w:div w:id="1362976665">
      <w:bodyDiv w:val="1"/>
      <w:marLeft w:val="0"/>
      <w:marRight w:val="0"/>
      <w:marTop w:val="0"/>
      <w:marBottom w:val="0"/>
      <w:divBdr>
        <w:top w:val="none" w:sz="0" w:space="0" w:color="auto"/>
        <w:left w:val="none" w:sz="0" w:space="0" w:color="auto"/>
        <w:bottom w:val="none" w:sz="0" w:space="0" w:color="auto"/>
        <w:right w:val="none" w:sz="0" w:space="0" w:color="auto"/>
      </w:divBdr>
    </w:div>
    <w:div w:id="1363090213">
      <w:bodyDiv w:val="1"/>
      <w:marLeft w:val="0"/>
      <w:marRight w:val="0"/>
      <w:marTop w:val="0"/>
      <w:marBottom w:val="0"/>
      <w:divBdr>
        <w:top w:val="none" w:sz="0" w:space="0" w:color="auto"/>
        <w:left w:val="none" w:sz="0" w:space="0" w:color="auto"/>
        <w:bottom w:val="none" w:sz="0" w:space="0" w:color="auto"/>
        <w:right w:val="none" w:sz="0" w:space="0" w:color="auto"/>
      </w:divBdr>
    </w:div>
    <w:div w:id="1363282759">
      <w:bodyDiv w:val="1"/>
      <w:marLeft w:val="0"/>
      <w:marRight w:val="0"/>
      <w:marTop w:val="0"/>
      <w:marBottom w:val="0"/>
      <w:divBdr>
        <w:top w:val="none" w:sz="0" w:space="0" w:color="auto"/>
        <w:left w:val="none" w:sz="0" w:space="0" w:color="auto"/>
        <w:bottom w:val="none" w:sz="0" w:space="0" w:color="auto"/>
        <w:right w:val="none" w:sz="0" w:space="0" w:color="auto"/>
      </w:divBdr>
    </w:div>
    <w:div w:id="1363283544">
      <w:bodyDiv w:val="1"/>
      <w:marLeft w:val="0"/>
      <w:marRight w:val="0"/>
      <w:marTop w:val="0"/>
      <w:marBottom w:val="0"/>
      <w:divBdr>
        <w:top w:val="none" w:sz="0" w:space="0" w:color="auto"/>
        <w:left w:val="none" w:sz="0" w:space="0" w:color="auto"/>
        <w:bottom w:val="none" w:sz="0" w:space="0" w:color="auto"/>
        <w:right w:val="none" w:sz="0" w:space="0" w:color="auto"/>
      </w:divBdr>
    </w:div>
    <w:div w:id="1363290401">
      <w:bodyDiv w:val="1"/>
      <w:marLeft w:val="0"/>
      <w:marRight w:val="0"/>
      <w:marTop w:val="0"/>
      <w:marBottom w:val="0"/>
      <w:divBdr>
        <w:top w:val="none" w:sz="0" w:space="0" w:color="auto"/>
        <w:left w:val="none" w:sz="0" w:space="0" w:color="auto"/>
        <w:bottom w:val="none" w:sz="0" w:space="0" w:color="auto"/>
        <w:right w:val="none" w:sz="0" w:space="0" w:color="auto"/>
      </w:divBdr>
    </w:div>
    <w:div w:id="1363439481">
      <w:bodyDiv w:val="1"/>
      <w:marLeft w:val="0"/>
      <w:marRight w:val="0"/>
      <w:marTop w:val="0"/>
      <w:marBottom w:val="0"/>
      <w:divBdr>
        <w:top w:val="none" w:sz="0" w:space="0" w:color="auto"/>
        <w:left w:val="none" w:sz="0" w:space="0" w:color="auto"/>
        <w:bottom w:val="none" w:sz="0" w:space="0" w:color="auto"/>
        <w:right w:val="none" w:sz="0" w:space="0" w:color="auto"/>
      </w:divBdr>
    </w:div>
    <w:div w:id="1363552717">
      <w:bodyDiv w:val="1"/>
      <w:marLeft w:val="0"/>
      <w:marRight w:val="0"/>
      <w:marTop w:val="0"/>
      <w:marBottom w:val="0"/>
      <w:divBdr>
        <w:top w:val="none" w:sz="0" w:space="0" w:color="auto"/>
        <w:left w:val="none" w:sz="0" w:space="0" w:color="auto"/>
        <w:bottom w:val="none" w:sz="0" w:space="0" w:color="auto"/>
        <w:right w:val="none" w:sz="0" w:space="0" w:color="auto"/>
      </w:divBdr>
    </w:div>
    <w:div w:id="1363630930">
      <w:bodyDiv w:val="1"/>
      <w:marLeft w:val="0"/>
      <w:marRight w:val="0"/>
      <w:marTop w:val="0"/>
      <w:marBottom w:val="0"/>
      <w:divBdr>
        <w:top w:val="none" w:sz="0" w:space="0" w:color="auto"/>
        <w:left w:val="none" w:sz="0" w:space="0" w:color="auto"/>
        <w:bottom w:val="none" w:sz="0" w:space="0" w:color="auto"/>
        <w:right w:val="none" w:sz="0" w:space="0" w:color="auto"/>
      </w:divBdr>
    </w:div>
    <w:div w:id="1363700673">
      <w:bodyDiv w:val="1"/>
      <w:marLeft w:val="0"/>
      <w:marRight w:val="0"/>
      <w:marTop w:val="0"/>
      <w:marBottom w:val="0"/>
      <w:divBdr>
        <w:top w:val="none" w:sz="0" w:space="0" w:color="auto"/>
        <w:left w:val="none" w:sz="0" w:space="0" w:color="auto"/>
        <w:bottom w:val="none" w:sz="0" w:space="0" w:color="auto"/>
        <w:right w:val="none" w:sz="0" w:space="0" w:color="auto"/>
      </w:divBdr>
    </w:div>
    <w:div w:id="1363825353">
      <w:bodyDiv w:val="1"/>
      <w:marLeft w:val="0"/>
      <w:marRight w:val="0"/>
      <w:marTop w:val="0"/>
      <w:marBottom w:val="0"/>
      <w:divBdr>
        <w:top w:val="none" w:sz="0" w:space="0" w:color="auto"/>
        <w:left w:val="none" w:sz="0" w:space="0" w:color="auto"/>
        <w:bottom w:val="none" w:sz="0" w:space="0" w:color="auto"/>
        <w:right w:val="none" w:sz="0" w:space="0" w:color="auto"/>
      </w:divBdr>
    </w:div>
    <w:div w:id="1363942677">
      <w:bodyDiv w:val="1"/>
      <w:marLeft w:val="0"/>
      <w:marRight w:val="0"/>
      <w:marTop w:val="0"/>
      <w:marBottom w:val="0"/>
      <w:divBdr>
        <w:top w:val="none" w:sz="0" w:space="0" w:color="auto"/>
        <w:left w:val="none" w:sz="0" w:space="0" w:color="auto"/>
        <w:bottom w:val="none" w:sz="0" w:space="0" w:color="auto"/>
        <w:right w:val="none" w:sz="0" w:space="0" w:color="auto"/>
      </w:divBdr>
    </w:div>
    <w:div w:id="1364014749">
      <w:bodyDiv w:val="1"/>
      <w:marLeft w:val="0"/>
      <w:marRight w:val="0"/>
      <w:marTop w:val="0"/>
      <w:marBottom w:val="0"/>
      <w:divBdr>
        <w:top w:val="none" w:sz="0" w:space="0" w:color="auto"/>
        <w:left w:val="none" w:sz="0" w:space="0" w:color="auto"/>
        <w:bottom w:val="none" w:sz="0" w:space="0" w:color="auto"/>
        <w:right w:val="none" w:sz="0" w:space="0" w:color="auto"/>
      </w:divBdr>
    </w:div>
    <w:div w:id="1364205731">
      <w:bodyDiv w:val="1"/>
      <w:marLeft w:val="0"/>
      <w:marRight w:val="0"/>
      <w:marTop w:val="0"/>
      <w:marBottom w:val="0"/>
      <w:divBdr>
        <w:top w:val="none" w:sz="0" w:space="0" w:color="auto"/>
        <w:left w:val="none" w:sz="0" w:space="0" w:color="auto"/>
        <w:bottom w:val="none" w:sz="0" w:space="0" w:color="auto"/>
        <w:right w:val="none" w:sz="0" w:space="0" w:color="auto"/>
      </w:divBdr>
    </w:div>
    <w:div w:id="1364284408">
      <w:bodyDiv w:val="1"/>
      <w:marLeft w:val="0"/>
      <w:marRight w:val="0"/>
      <w:marTop w:val="0"/>
      <w:marBottom w:val="0"/>
      <w:divBdr>
        <w:top w:val="none" w:sz="0" w:space="0" w:color="auto"/>
        <w:left w:val="none" w:sz="0" w:space="0" w:color="auto"/>
        <w:bottom w:val="none" w:sz="0" w:space="0" w:color="auto"/>
        <w:right w:val="none" w:sz="0" w:space="0" w:color="auto"/>
      </w:divBdr>
    </w:div>
    <w:div w:id="1364477982">
      <w:bodyDiv w:val="1"/>
      <w:marLeft w:val="0"/>
      <w:marRight w:val="0"/>
      <w:marTop w:val="0"/>
      <w:marBottom w:val="0"/>
      <w:divBdr>
        <w:top w:val="none" w:sz="0" w:space="0" w:color="auto"/>
        <w:left w:val="none" w:sz="0" w:space="0" w:color="auto"/>
        <w:bottom w:val="none" w:sz="0" w:space="0" w:color="auto"/>
        <w:right w:val="none" w:sz="0" w:space="0" w:color="auto"/>
      </w:divBdr>
    </w:div>
    <w:div w:id="1364591922">
      <w:bodyDiv w:val="1"/>
      <w:marLeft w:val="0"/>
      <w:marRight w:val="0"/>
      <w:marTop w:val="0"/>
      <w:marBottom w:val="0"/>
      <w:divBdr>
        <w:top w:val="none" w:sz="0" w:space="0" w:color="auto"/>
        <w:left w:val="none" w:sz="0" w:space="0" w:color="auto"/>
        <w:bottom w:val="none" w:sz="0" w:space="0" w:color="auto"/>
        <w:right w:val="none" w:sz="0" w:space="0" w:color="auto"/>
      </w:divBdr>
    </w:div>
    <w:div w:id="1364676606">
      <w:bodyDiv w:val="1"/>
      <w:marLeft w:val="0"/>
      <w:marRight w:val="0"/>
      <w:marTop w:val="0"/>
      <w:marBottom w:val="0"/>
      <w:divBdr>
        <w:top w:val="none" w:sz="0" w:space="0" w:color="auto"/>
        <w:left w:val="none" w:sz="0" w:space="0" w:color="auto"/>
        <w:bottom w:val="none" w:sz="0" w:space="0" w:color="auto"/>
        <w:right w:val="none" w:sz="0" w:space="0" w:color="auto"/>
      </w:divBdr>
    </w:div>
    <w:div w:id="1364749341">
      <w:bodyDiv w:val="1"/>
      <w:marLeft w:val="0"/>
      <w:marRight w:val="0"/>
      <w:marTop w:val="0"/>
      <w:marBottom w:val="0"/>
      <w:divBdr>
        <w:top w:val="none" w:sz="0" w:space="0" w:color="auto"/>
        <w:left w:val="none" w:sz="0" w:space="0" w:color="auto"/>
        <w:bottom w:val="none" w:sz="0" w:space="0" w:color="auto"/>
        <w:right w:val="none" w:sz="0" w:space="0" w:color="auto"/>
      </w:divBdr>
    </w:div>
    <w:div w:id="1364794544">
      <w:bodyDiv w:val="1"/>
      <w:marLeft w:val="0"/>
      <w:marRight w:val="0"/>
      <w:marTop w:val="0"/>
      <w:marBottom w:val="0"/>
      <w:divBdr>
        <w:top w:val="none" w:sz="0" w:space="0" w:color="auto"/>
        <w:left w:val="none" w:sz="0" w:space="0" w:color="auto"/>
        <w:bottom w:val="none" w:sz="0" w:space="0" w:color="auto"/>
        <w:right w:val="none" w:sz="0" w:space="0" w:color="auto"/>
      </w:divBdr>
    </w:div>
    <w:div w:id="1364865966">
      <w:bodyDiv w:val="1"/>
      <w:marLeft w:val="0"/>
      <w:marRight w:val="0"/>
      <w:marTop w:val="0"/>
      <w:marBottom w:val="0"/>
      <w:divBdr>
        <w:top w:val="none" w:sz="0" w:space="0" w:color="auto"/>
        <w:left w:val="none" w:sz="0" w:space="0" w:color="auto"/>
        <w:bottom w:val="none" w:sz="0" w:space="0" w:color="auto"/>
        <w:right w:val="none" w:sz="0" w:space="0" w:color="auto"/>
      </w:divBdr>
    </w:div>
    <w:div w:id="1364937357">
      <w:bodyDiv w:val="1"/>
      <w:marLeft w:val="0"/>
      <w:marRight w:val="0"/>
      <w:marTop w:val="0"/>
      <w:marBottom w:val="0"/>
      <w:divBdr>
        <w:top w:val="none" w:sz="0" w:space="0" w:color="auto"/>
        <w:left w:val="none" w:sz="0" w:space="0" w:color="auto"/>
        <w:bottom w:val="none" w:sz="0" w:space="0" w:color="auto"/>
        <w:right w:val="none" w:sz="0" w:space="0" w:color="auto"/>
      </w:divBdr>
    </w:div>
    <w:div w:id="1364940277">
      <w:bodyDiv w:val="1"/>
      <w:marLeft w:val="0"/>
      <w:marRight w:val="0"/>
      <w:marTop w:val="0"/>
      <w:marBottom w:val="0"/>
      <w:divBdr>
        <w:top w:val="none" w:sz="0" w:space="0" w:color="auto"/>
        <w:left w:val="none" w:sz="0" w:space="0" w:color="auto"/>
        <w:bottom w:val="none" w:sz="0" w:space="0" w:color="auto"/>
        <w:right w:val="none" w:sz="0" w:space="0" w:color="auto"/>
      </w:divBdr>
    </w:div>
    <w:div w:id="1364942408">
      <w:bodyDiv w:val="1"/>
      <w:marLeft w:val="0"/>
      <w:marRight w:val="0"/>
      <w:marTop w:val="0"/>
      <w:marBottom w:val="0"/>
      <w:divBdr>
        <w:top w:val="none" w:sz="0" w:space="0" w:color="auto"/>
        <w:left w:val="none" w:sz="0" w:space="0" w:color="auto"/>
        <w:bottom w:val="none" w:sz="0" w:space="0" w:color="auto"/>
        <w:right w:val="none" w:sz="0" w:space="0" w:color="auto"/>
      </w:divBdr>
    </w:div>
    <w:div w:id="1365058165">
      <w:bodyDiv w:val="1"/>
      <w:marLeft w:val="0"/>
      <w:marRight w:val="0"/>
      <w:marTop w:val="0"/>
      <w:marBottom w:val="0"/>
      <w:divBdr>
        <w:top w:val="none" w:sz="0" w:space="0" w:color="auto"/>
        <w:left w:val="none" w:sz="0" w:space="0" w:color="auto"/>
        <w:bottom w:val="none" w:sz="0" w:space="0" w:color="auto"/>
        <w:right w:val="none" w:sz="0" w:space="0" w:color="auto"/>
      </w:divBdr>
    </w:div>
    <w:div w:id="1365137283">
      <w:bodyDiv w:val="1"/>
      <w:marLeft w:val="0"/>
      <w:marRight w:val="0"/>
      <w:marTop w:val="0"/>
      <w:marBottom w:val="0"/>
      <w:divBdr>
        <w:top w:val="none" w:sz="0" w:space="0" w:color="auto"/>
        <w:left w:val="none" w:sz="0" w:space="0" w:color="auto"/>
        <w:bottom w:val="none" w:sz="0" w:space="0" w:color="auto"/>
        <w:right w:val="none" w:sz="0" w:space="0" w:color="auto"/>
      </w:divBdr>
    </w:div>
    <w:div w:id="1365208639">
      <w:bodyDiv w:val="1"/>
      <w:marLeft w:val="0"/>
      <w:marRight w:val="0"/>
      <w:marTop w:val="0"/>
      <w:marBottom w:val="0"/>
      <w:divBdr>
        <w:top w:val="none" w:sz="0" w:space="0" w:color="auto"/>
        <w:left w:val="none" w:sz="0" w:space="0" w:color="auto"/>
        <w:bottom w:val="none" w:sz="0" w:space="0" w:color="auto"/>
        <w:right w:val="none" w:sz="0" w:space="0" w:color="auto"/>
      </w:divBdr>
    </w:div>
    <w:div w:id="1365253295">
      <w:bodyDiv w:val="1"/>
      <w:marLeft w:val="0"/>
      <w:marRight w:val="0"/>
      <w:marTop w:val="0"/>
      <w:marBottom w:val="0"/>
      <w:divBdr>
        <w:top w:val="none" w:sz="0" w:space="0" w:color="auto"/>
        <w:left w:val="none" w:sz="0" w:space="0" w:color="auto"/>
        <w:bottom w:val="none" w:sz="0" w:space="0" w:color="auto"/>
        <w:right w:val="none" w:sz="0" w:space="0" w:color="auto"/>
      </w:divBdr>
    </w:div>
    <w:div w:id="1365329811">
      <w:bodyDiv w:val="1"/>
      <w:marLeft w:val="0"/>
      <w:marRight w:val="0"/>
      <w:marTop w:val="0"/>
      <w:marBottom w:val="0"/>
      <w:divBdr>
        <w:top w:val="none" w:sz="0" w:space="0" w:color="auto"/>
        <w:left w:val="none" w:sz="0" w:space="0" w:color="auto"/>
        <w:bottom w:val="none" w:sz="0" w:space="0" w:color="auto"/>
        <w:right w:val="none" w:sz="0" w:space="0" w:color="auto"/>
      </w:divBdr>
    </w:div>
    <w:div w:id="1365402265">
      <w:bodyDiv w:val="1"/>
      <w:marLeft w:val="0"/>
      <w:marRight w:val="0"/>
      <w:marTop w:val="0"/>
      <w:marBottom w:val="0"/>
      <w:divBdr>
        <w:top w:val="none" w:sz="0" w:space="0" w:color="auto"/>
        <w:left w:val="none" w:sz="0" w:space="0" w:color="auto"/>
        <w:bottom w:val="none" w:sz="0" w:space="0" w:color="auto"/>
        <w:right w:val="none" w:sz="0" w:space="0" w:color="auto"/>
      </w:divBdr>
    </w:div>
    <w:div w:id="1365517483">
      <w:bodyDiv w:val="1"/>
      <w:marLeft w:val="0"/>
      <w:marRight w:val="0"/>
      <w:marTop w:val="0"/>
      <w:marBottom w:val="0"/>
      <w:divBdr>
        <w:top w:val="none" w:sz="0" w:space="0" w:color="auto"/>
        <w:left w:val="none" w:sz="0" w:space="0" w:color="auto"/>
        <w:bottom w:val="none" w:sz="0" w:space="0" w:color="auto"/>
        <w:right w:val="none" w:sz="0" w:space="0" w:color="auto"/>
      </w:divBdr>
    </w:div>
    <w:div w:id="1365517578">
      <w:bodyDiv w:val="1"/>
      <w:marLeft w:val="0"/>
      <w:marRight w:val="0"/>
      <w:marTop w:val="0"/>
      <w:marBottom w:val="0"/>
      <w:divBdr>
        <w:top w:val="none" w:sz="0" w:space="0" w:color="auto"/>
        <w:left w:val="none" w:sz="0" w:space="0" w:color="auto"/>
        <w:bottom w:val="none" w:sz="0" w:space="0" w:color="auto"/>
        <w:right w:val="none" w:sz="0" w:space="0" w:color="auto"/>
      </w:divBdr>
    </w:div>
    <w:div w:id="1365519463">
      <w:bodyDiv w:val="1"/>
      <w:marLeft w:val="0"/>
      <w:marRight w:val="0"/>
      <w:marTop w:val="0"/>
      <w:marBottom w:val="0"/>
      <w:divBdr>
        <w:top w:val="none" w:sz="0" w:space="0" w:color="auto"/>
        <w:left w:val="none" w:sz="0" w:space="0" w:color="auto"/>
        <w:bottom w:val="none" w:sz="0" w:space="0" w:color="auto"/>
        <w:right w:val="none" w:sz="0" w:space="0" w:color="auto"/>
      </w:divBdr>
    </w:div>
    <w:div w:id="1365598247">
      <w:bodyDiv w:val="1"/>
      <w:marLeft w:val="0"/>
      <w:marRight w:val="0"/>
      <w:marTop w:val="0"/>
      <w:marBottom w:val="0"/>
      <w:divBdr>
        <w:top w:val="none" w:sz="0" w:space="0" w:color="auto"/>
        <w:left w:val="none" w:sz="0" w:space="0" w:color="auto"/>
        <w:bottom w:val="none" w:sz="0" w:space="0" w:color="auto"/>
        <w:right w:val="none" w:sz="0" w:space="0" w:color="auto"/>
      </w:divBdr>
    </w:div>
    <w:div w:id="1365785461">
      <w:bodyDiv w:val="1"/>
      <w:marLeft w:val="0"/>
      <w:marRight w:val="0"/>
      <w:marTop w:val="0"/>
      <w:marBottom w:val="0"/>
      <w:divBdr>
        <w:top w:val="none" w:sz="0" w:space="0" w:color="auto"/>
        <w:left w:val="none" w:sz="0" w:space="0" w:color="auto"/>
        <w:bottom w:val="none" w:sz="0" w:space="0" w:color="auto"/>
        <w:right w:val="none" w:sz="0" w:space="0" w:color="auto"/>
      </w:divBdr>
    </w:div>
    <w:div w:id="1365789881">
      <w:bodyDiv w:val="1"/>
      <w:marLeft w:val="0"/>
      <w:marRight w:val="0"/>
      <w:marTop w:val="0"/>
      <w:marBottom w:val="0"/>
      <w:divBdr>
        <w:top w:val="none" w:sz="0" w:space="0" w:color="auto"/>
        <w:left w:val="none" w:sz="0" w:space="0" w:color="auto"/>
        <w:bottom w:val="none" w:sz="0" w:space="0" w:color="auto"/>
        <w:right w:val="none" w:sz="0" w:space="0" w:color="auto"/>
      </w:divBdr>
    </w:div>
    <w:div w:id="1365865178">
      <w:bodyDiv w:val="1"/>
      <w:marLeft w:val="0"/>
      <w:marRight w:val="0"/>
      <w:marTop w:val="0"/>
      <w:marBottom w:val="0"/>
      <w:divBdr>
        <w:top w:val="none" w:sz="0" w:space="0" w:color="auto"/>
        <w:left w:val="none" w:sz="0" w:space="0" w:color="auto"/>
        <w:bottom w:val="none" w:sz="0" w:space="0" w:color="auto"/>
        <w:right w:val="none" w:sz="0" w:space="0" w:color="auto"/>
      </w:divBdr>
    </w:div>
    <w:div w:id="1365907080">
      <w:bodyDiv w:val="1"/>
      <w:marLeft w:val="0"/>
      <w:marRight w:val="0"/>
      <w:marTop w:val="0"/>
      <w:marBottom w:val="0"/>
      <w:divBdr>
        <w:top w:val="none" w:sz="0" w:space="0" w:color="auto"/>
        <w:left w:val="none" w:sz="0" w:space="0" w:color="auto"/>
        <w:bottom w:val="none" w:sz="0" w:space="0" w:color="auto"/>
        <w:right w:val="none" w:sz="0" w:space="0" w:color="auto"/>
      </w:divBdr>
    </w:div>
    <w:div w:id="1365984950">
      <w:bodyDiv w:val="1"/>
      <w:marLeft w:val="0"/>
      <w:marRight w:val="0"/>
      <w:marTop w:val="0"/>
      <w:marBottom w:val="0"/>
      <w:divBdr>
        <w:top w:val="none" w:sz="0" w:space="0" w:color="auto"/>
        <w:left w:val="none" w:sz="0" w:space="0" w:color="auto"/>
        <w:bottom w:val="none" w:sz="0" w:space="0" w:color="auto"/>
        <w:right w:val="none" w:sz="0" w:space="0" w:color="auto"/>
      </w:divBdr>
    </w:div>
    <w:div w:id="1366100165">
      <w:bodyDiv w:val="1"/>
      <w:marLeft w:val="0"/>
      <w:marRight w:val="0"/>
      <w:marTop w:val="0"/>
      <w:marBottom w:val="0"/>
      <w:divBdr>
        <w:top w:val="none" w:sz="0" w:space="0" w:color="auto"/>
        <w:left w:val="none" w:sz="0" w:space="0" w:color="auto"/>
        <w:bottom w:val="none" w:sz="0" w:space="0" w:color="auto"/>
        <w:right w:val="none" w:sz="0" w:space="0" w:color="auto"/>
      </w:divBdr>
    </w:div>
    <w:div w:id="1366253605">
      <w:bodyDiv w:val="1"/>
      <w:marLeft w:val="0"/>
      <w:marRight w:val="0"/>
      <w:marTop w:val="0"/>
      <w:marBottom w:val="0"/>
      <w:divBdr>
        <w:top w:val="none" w:sz="0" w:space="0" w:color="auto"/>
        <w:left w:val="none" w:sz="0" w:space="0" w:color="auto"/>
        <w:bottom w:val="none" w:sz="0" w:space="0" w:color="auto"/>
        <w:right w:val="none" w:sz="0" w:space="0" w:color="auto"/>
      </w:divBdr>
    </w:div>
    <w:div w:id="1366373106">
      <w:bodyDiv w:val="1"/>
      <w:marLeft w:val="0"/>
      <w:marRight w:val="0"/>
      <w:marTop w:val="0"/>
      <w:marBottom w:val="0"/>
      <w:divBdr>
        <w:top w:val="none" w:sz="0" w:space="0" w:color="auto"/>
        <w:left w:val="none" w:sz="0" w:space="0" w:color="auto"/>
        <w:bottom w:val="none" w:sz="0" w:space="0" w:color="auto"/>
        <w:right w:val="none" w:sz="0" w:space="0" w:color="auto"/>
      </w:divBdr>
    </w:div>
    <w:div w:id="1366445835">
      <w:bodyDiv w:val="1"/>
      <w:marLeft w:val="0"/>
      <w:marRight w:val="0"/>
      <w:marTop w:val="0"/>
      <w:marBottom w:val="0"/>
      <w:divBdr>
        <w:top w:val="none" w:sz="0" w:space="0" w:color="auto"/>
        <w:left w:val="none" w:sz="0" w:space="0" w:color="auto"/>
        <w:bottom w:val="none" w:sz="0" w:space="0" w:color="auto"/>
        <w:right w:val="none" w:sz="0" w:space="0" w:color="auto"/>
      </w:divBdr>
    </w:div>
    <w:div w:id="1366448389">
      <w:bodyDiv w:val="1"/>
      <w:marLeft w:val="0"/>
      <w:marRight w:val="0"/>
      <w:marTop w:val="0"/>
      <w:marBottom w:val="0"/>
      <w:divBdr>
        <w:top w:val="none" w:sz="0" w:space="0" w:color="auto"/>
        <w:left w:val="none" w:sz="0" w:space="0" w:color="auto"/>
        <w:bottom w:val="none" w:sz="0" w:space="0" w:color="auto"/>
        <w:right w:val="none" w:sz="0" w:space="0" w:color="auto"/>
      </w:divBdr>
    </w:div>
    <w:div w:id="1366448670">
      <w:bodyDiv w:val="1"/>
      <w:marLeft w:val="0"/>
      <w:marRight w:val="0"/>
      <w:marTop w:val="0"/>
      <w:marBottom w:val="0"/>
      <w:divBdr>
        <w:top w:val="none" w:sz="0" w:space="0" w:color="auto"/>
        <w:left w:val="none" w:sz="0" w:space="0" w:color="auto"/>
        <w:bottom w:val="none" w:sz="0" w:space="0" w:color="auto"/>
        <w:right w:val="none" w:sz="0" w:space="0" w:color="auto"/>
      </w:divBdr>
    </w:div>
    <w:div w:id="1366517409">
      <w:bodyDiv w:val="1"/>
      <w:marLeft w:val="0"/>
      <w:marRight w:val="0"/>
      <w:marTop w:val="0"/>
      <w:marBottom w:val="0"/>
      <w:divBdr>
        <w:top w:val="none" w:sz="0" w:space="0" w:color="auto"/>
        <w:left w:val="none" w:sz="0" w:space="0" w:color="auto"/>
        <w:bottom w:val="none" w:sz="0" w:space="0" w:color="auto"/>
        <w:right w:val="none" w:sz="0" w:space="0" w:color="auto"/>
      </w:divBdr>
    </w:div>
    <w:div w:id="1366517675">
      <w:bodyDiv w:val="1"/>
      <w:marLeft w:val="0"/>
      <w:marRight w:val="0"/>
      <w:marTop w:val="0"/>
      <w:marBottom w:val="0"/>
      <w:divBdr>
        <w:top w:val="none" w:sz="0" w:space="0" w:color="auto"/>
        <w:left w:val="none" w:sz="0" w:space="0" w:color="auto"/>
        <w:bottom w:val="none" w:sz="0" w:space="0" w:color="auto"/>
        <w:right w:val="none" w:sz="0" w:space="0" w:color="auto"/>
      </w:divBdr>
    </w:div>
    <w:div w:id="1366522153">
      <w:bodyDiv w:val="1"/>
      <w:marLeft w:val="0"/>
      <w:marRight w:val="0"/>
      <w:marTop w:val="0"/>
      <w:marBottom w:val="0"/>
      <w:divBdr>
        <w:top w:val="none" w:sz="0" w:space="0" w:color="auto"/>
        <w:left w:val="none" w:sz="0" w:space="0" w:color="auto"/>
        <w:bottom w:val="none" w:sz="0" w:space="0" w:color="auto"/>
        <w:right w:val="none" w:sz="0" w:space="0" w:color="auto"/>
      </w:divBdr>
    </w:div>
    <w:div w:id="1366563267">
      <w:bodyDiv w:val="1"/>
      <w:marLeft w:val="0"/>
      <w:marRight w:val="0"/>
      <w:marTop w:val="0"/>
      <w:marBottom w:val="0"/>
      <w:divBdr>
        <w:top w:val="none" w:sz="0" w:space="0" w:color="auto"/>
        <w:left w:val="none" w:sz="0" w:space="0" w:color="auto"/>
        <w:bottom w:val="none" w:sz="0" w:space="0" w:color="auto"/>
        <w:right w:val="none" w:sz="0" w:space="0" w:color="auto"/>
      </w:divBdr>
    </w:div>
    <w:div w:id="1366564765">
      <w:bodyDiv w:val="1"/>
      <w:marLeft w:val="0"/>
      <w:marRight w:val="0"/>
      <w:marTop w:val="0"/>
      <w:marBottom w:val="0"/>
      <w:divBdr>
        <w:top w:val="none" w:sz="0" w:space="0" w:color="auto"/>
        <w:left w:val="none" w:sz="0" w:space="0" w:color="auto"/>
        <w:bottom w:val="none" w:sz="0" w:space="0" w:color="auto"/>
        <w:right w:val="none" w:sz="0" w:space="0" w:color="auto"/>
      </w:divBdr>
    </w:div>
    <w:div w:id="1366826876">
      <w:bodyDiv w:val="1"/>
      <w:marLeft w:val="0"/>
      <w:marRight w:val="0"/>
      <w:marTop w:val="0"/>
      <w:marBottom w:val="0"/>
      <w:divBdr>
        <w:top w:val="none" w:sz="0" w:space="0" w:color="auto"/>
        <w:left w:val="none" w:sz="0" w:space="0" w:color="auto"/>
        <w:bottom w:val="none" w:sz="0" w:space="0" w:color="auto"/>
        <w:right w:val="none" w:sz="0" w:space="0" w:color="auto"/>
      </w:divBdr>
    </w:div>
    <w:div w:id="1367099654">
      <w:bodyDiv w:val="1"/>
      <w:marLeft w:val="0"/>
      <w:marRight w:val="0"/>
      <w:marTop w:val="0"/>
      <w:marBottom w:val="0"/>
      <w:divBdr>
        <w:top w:val="none" w:sz="0" w:space="0" w:color="auto"/>
        <w:left w:val="none" w:sz="0" w:space="0" w:color="auto"/>
        <w:bottom w:val="none" w:sz="0" w:space="0" w:color="auto"/>
        <w:right w:val="none" w:sz="0" w:space="0" w:color="auto"/>
      </w:divBdr>
    </w:div>
    <w:div w:id="1367372973">
      <w:bodyDiv w:val="1"/>
      <w:marLeft w:val="0"/>
      <w:marRight w:val="0"/>
      <w:marTop w:val="0"/>
      <w:marBottom w:val="0"/>
      <w:divBdr>
        <w:top w:val="none" w:sz="0" w:space="0" w:color="auto"/>
        <w:left w:val="none" w:sz="0" w:space="0" w:color="auto"/>
        <w:bottom w:val="none" w:sz="0" w:space="0" w:color="auto"/>
        <w:right w:val="none" w:sz="0" w:space="0" w:color="auto"/>
      </w:divBdr>
    </w:div>
    <w:div w:id="1367408801">
      <w:bodyDiv w:val="1"/>
      <w:marLeft w:val="0"/>
      <w:marRight w:val="0"/>
      <w:marTop w:val="0"/>
      <w:marBottom w:val="0"/>
      <w:divBdr>
        <w:top w:val="none" w:sz="0" w:space="0" w:color="auto"/>
        <w:left w:val="none" w:sz="0" w:space="0" w:color="auto"/>
        <w:bottom w:val="none" w:sz="0" w:space="0" w:color="auto"/>
        <w:right w:val="none" w:sz="0" w:space="0" w:color="auto"/>
      </w:divBdr>
    </w:div>
    <w:div w:id="1367413014">
      <w:bodyDiv w:val="1"/>
      <w:marLeft w:val="0"/>
      <w:marRight w:val="0"/>
      <w:marTop w:val="0"/>
      <w:marBottom w:val="0"/>
      <w:divBdr>
        <w:top w:val="none" w:sz="0" w:space="0" w:color="auto"/>
        <w:left w:val="none" w:sz="0" w:space="0" w:color="auto"/>
        <w:bottom w:val="none" w:sz="0" w:space="0" w:color="auto"/>
        <w:right w:val="none" w:sz="0" w:space="0" w:color="auto"/>
      </w:divBdr>
    </w:div>
    <w:div w:id="1367413498">
      <w:bodyDiv w:val="1"/>
      <w:marLeft w:val="0"/>
      <w:marRight w:val="0"/>
      <w:marTop w:val="0"/>
      <w:marBottom w:val="0"/>
      <w:divBdr>
        <w:top w:val="none" w:sz="0" w:space="0" w:color="auto"/>
        <w:left w:val="none" w:sz="0" w:space="0" w:color="auto"/>
        <w:bottom w:val="none" w:sz="0" w:space="0" w:color="auto"/>
        <w:right w:val="none" w:sz="0" w:space="0" w:color="auto"/>
      </w:divBdr>
    </w:div>
    <w:div w:id="1367637130">
      <w:bodyDiv w:val="1"/>
      <w:marLeft w:val="0"/>
      <w:marRight w:val="0"/>
      <w:marTop w:val="0"/>
      <w:marBottom w:val="0"/>
      <w:divBdr>
        <w:top w:val="none" w:sz="0" w:space="0" w:color="auto"/>
        <w:left w:val="none" w:sz="0" w:space="0" w:color="auto"/>
        <w:bottom w:val="none" w:sz="0" w:space="0" w:color="auto"/>
        <w:right w:val="none" w:sz="0" w:space="0" w:color="auto"/>
      </w:divBdr>
    </w:div>
    <w:div w:id="1367757001">
      <w:bodyDiv w:val="1"/>
      <w:marLeft w:val="0"/>
      <w:marRight w:val="0"/>
      <w:marTop w:val="0"/>
      <w:marBottom w:val="0"/>
      <w:divBdr>
        <w:top w:val="none" w:sz="0" w:space="0" w:color="auto"/>
        <w:left w:val="none" w:sz="0" w:space="0" w:color="auto"/>
        <w:bottom w:val="none" w:sz="0" w:space="0" w:color="auto"/>
        <w:right w:val="none" w:sz="0" w:space="0" w:color="auto"/>
      </w:divBdr>
    </w:div>
    <w:div w:id="1367873299">
      <w:bodyDiv w:val="1"/>
      <w:marLeft w:val="0"/>
      <w:marRight w:val="0"/>
      <w:marTop w:val="0"/>
      <w:marBottom w:val="0"/>
      <w:divBdr>
        <w:top w:val="none" w:sz="0" w:space="0" w:color="auto"/>
        <w:left w:val="none" w:sz="0" w:space="0" w:color="auto"/>
        <w:bottom w:val="none" w:sz="0" w:space="0" w:color="auto"/>
        <w:right w:val="none" w:sz="0" w:space="0" w:color="auto"/>
      </w:divBdr>
    </w:div>
    <w:div w:id="1367876494">
      <w:bodyDiv w:val="1"/>
      <w:marLeft w:val="0"/>
      <w:marRight w:val="0"/>
      <w:marTop w:val="0"/>
      <w:marBottom w:val="0"/>
      <w:divBdr>
        <w:top w:val="none" w:sz="0" w:space="0" w:color="auto"/>
        <w:left w:val="none" w:sz="0" w:space="0" w:color="auto"/>
        <w:bottom w:val="none" w:sz="0" w:space="0" w:color="auto"/>
        <w:right w:val="none" w:sz="0" w:space="0" w:color="auto"/>
      </w:divBdr>
    </w:div>
    <w:div w:id="1367943766">
      <w:bodyDiv w:val="1"/>
      <w:marLeft w:val="0"/>
      <w:marRight w:val="0"/>
      <w:marTop w:val="0"/>
      <w:marBottom w:val="0"/>
      <w:divBdr>
        <w:top w:val="none" w:sz="0" w:space="0" w:color="auto"/>
        <w:left w:val="none" w:sz="0" w:space="0" w:color="auto"/>
        <w:bottom w:val="none" w:sz="0" w:space="0" w:color="auto"/>
        <w:right w:val="none" w:sz="0" w:space="0" w:color="auto"/>
      </w:divBdr>
    </w:div>
    <w:div w:id="1368064389">
      <w:bodyDiv w:val="1"/>
      <w:marLeft w:val="0"/>
      <w:marRight w:val="0"/>
      <w:marTop w:val="0"/>
      <w:marBottom w:val="0"/>
      <w:divBdr>
        <w:top w:val="none" w:sz="0" w:space="0" w:color="auto"/>
        <w:left w:val="none" w:sz="0" w:space="0" w:color="auto"/>
        <w:bottom w:val="none" w:sz="0" w:space="0" w:color="auto"/>
        <w:right w:val="none" w:sz="0" w:space="0" w:color="auto"/>
      </w:divBdr>
    </w:div>
    <w:div w:id="1368137561">
      <w:bodyDiv w:val="1"/>
      <w:marLeft w:val="0"/>
      <w:marRight w:val="0"/>
      <w:marTop w:val="0"/>
      <w:marBottom w:val="0"/>
      <w:divBdr>
        <w:top w:val="none" w:sz="0" w:space="0" w:color="auto"/>
        <w:left w:val="none" w:sz="0" w:space="0" w:color="auto"/>
        <w:bottom w:val="none" w:sz="0" w:space="0" w:color="auto"/>
        <w:right w:val="none" w:sz="0" w:space="0" w:color="auto"/>
      </w:divBdr>
    </w:div>
    <w:div w:id="1368139728">
      <w:bodyDiv w:val="1"/>
      <w:marLeft w:val="0"/>
      <w:marRight w:val="0"/>
      <w:marTop w:val="0"/>
      <w:marBottom w:val="0"/>
      <w:divBdr>
        <w:top w:val="none" w:sz="0" w:space="0" w:color="auto"/>
        <w:left w:val="none" w:sz="0" w:space="0" w:color="auto"/>
        <w:bottom w:val="none" w:sz="0" w:space="0" w:color="auto"/>
        <w:right w:val="none" w:sz="0" w:space="0" w:color="auto"/>
      </w:divBdr>
    </w:div>
    <w:div w:id="1368215118">
      <w:bodyDiv w:val="1"/>
      <w:marLeft w:val="0"/>
      <w:marRight w:val="0"/>
      <w:marTop w:val="0"/>
      <w:marBottom w:val="0"/>
      <w:divBdr>
        <w:top w:val="none" w:sz="0" w:space="0" w:color="auto"/>
        <w:left w:val="none" w:sz="0" w:space="0" w:color="auto"/>
        <w:bottom w:val="none" w:sz="0" w:space="0" w:color="auto"/>
        <w:right w:val="none" w:sz="0" w:space="0" w:color="auto"/>
      </w:divBdr>
    </w:div>
    <w:div w:id="1368332954">
      <w:bodyDiv w:val="1"/>
      <w:marLeft w:val="0"/>
      <w:marRight w:val="0"/>
      <w:marTop w:val="0"/>
      <w:marBottom w:val="0"/>
      <w:divBdr>
        <w:top w:val="none" w:sz="0" w:space="0" w:color="auto"/>
        <w:left w:val="none" w:sz="0" w:space="0" w:color="auto"/>
        <w:bottom w:val="none" w:sz="0" w:space="0" w:color="auto"/>
        <w:right w:val="none" w:sz="0" w:space="0" w:color="auto"/>
      </w:divBdr>
    </w:div>
    <w:div w:id="1368334583">
      <w:bodyDiv w:val="1"/>
      <w:marLeft w:val="0"/>
      <w:marRight w:val="0"/>
      <w:marTop w:val="0"/>
      <w:marBottom w:val="0"/>
      <w:divBdr>
        <w:top w:val="none" w:sz="0" w:space="0" w:color="auto"/>
        <w:left w:val="none" w:sz="0" w:space="0" w:color="auto"/>
        <w:bottom w:val="none" w:sz="0" w:space="0" w:color="auto"/>
        <w:right w:val="none" w:sz="0" w:space="0" w:color="auto"/>
      </w:divBdr>
    </w:div>
    <w:div w:id="1368413377">
      <w:bodyDiv w:val="1"/>
      <w:marLeft w:val="0"/>
      <w:marRight w:val="0"/>
      <w:marTop w:val="0"/>
      <w:marBottom w:val="0"/>
      <w:divBdr>
        <w:top w:val="none" w:sz="0" w:space="0" w:color="auto"/>
        <w:left w:val="none" w:sz="0" w:space="0" w:color="auto"/>
        <w:bottom w:val="none" w:sz="0" w:space="0" w:color="auto"/>
        <w:right w:val="none" w:sz="0" w:space="0" w:color="auto"/>
      </w:divBdr>
    </w:div>
    <w:div w:id="1368486053">
      <w:bodyDiv w:val="1"/>
      <w:marLeft w:val="0"/>
      <w:marRight w:val="0"/>
      <w:marTop w:val="0"/>
      <w:marBottom w:val="0"/>
      <w:divBdr>
        <w:top w:val="none" w:sz="0" w:space="0" w:color="auto"/>
        <w:left w:val="none" w:sz="0" w:space="0" w:color="auto"/>
        <w:bottom w:val="none" w:sz="0" w:space="0" w:color="auto"/>
        <w:right w:val="none" w:sz="0" w:space="0" w:color="auto"/>
      </w:divBdr>
    </w:div>
    <w:div w:id="1368676447">
      <w:bodyDiv w:val="1"/>
      <w:marLeft w:val="0"/>
      <w:marRight w:val="0"/>
      <w:marTop w:val="0"/>
      <w:marBottom w:val="0"/>
      <w:divBdr>
        <w:top w:val="none" w:sz="0" w:space="0" w:color="auto"/>
        <w:left w:val="none" w:sz="0" w:space="0" w:color="auto"/>
        <w:bottom w:val="none" w:sz="0" w:space="0" w:color="auto"/>
        <w:right w:val="none" w:sz="0" w:space="0" w:color="auto"/>
      </w:divBdr>
    </w:div>
    <w:div w:id="1368682072">
      <w:bodyDiv w:val="1"/>
      <w:marLeft w:val="0"/>
      <w:marRight w:val="0"/>
      <w:marTop w:val="0"/>
      <w:marBottom w:val="0"/>
      <w:divBdr>
        <w:top w:val="none" w:sz="0" w:space="0" w:color="auto"/>
        <w:left w:val="none" w:sz="0" w:space="0" w:color="auto"/>
        <w:bottom w:val="none" w:sz="0" w:space="0" w:color="auto"/>
        <w:right w:val="none" w:sz="0" w:space="0" w:color="auto"/>
      </w:divBdr>
    </w:div>
    <w:div w:id="1368726028">
      <w:bodyDiv w:val="1"/>
      <w:marLeft w:val="0"/>
      <w:marRight w:val="0"/>
      <w:marTop w:val="0"/>
      <w:marBottom w:val="0"/>
      <w:divBdr>
        <w:top w:val="none" w:sz="0" w:space="0" w:color="auto"/>
        <w:left w:val="none" w:sz="0" w:space="0" w:color="auto"/>
        <w:bottom w:val="none" w:sz="0" w:space="0" w:color="auto"/>
        <w:right w:val="none" w:sz="0" w:space="0" w:color="auto"/>
      </w:divBdr>
    </w:div>
    <w:div w:id="1368793178">
      <w:bodyDiv w:val="1"/>
      <w:marLeft w:val="0"/>
      <w:marRight w:val="0"/>
      <w:marTop w:val="0"/>
      <w:marBottom w:val="0"/>
      <w:divBdr>
        <w:top w:val="none" w:sz="0" w:space="0" w:color="auto"/>
        <w:left w:val="none" w:sz="0" w:space="0" w:color="auto"/>
        <w:bottom w:val="none" w:sz="0" w:space="0" w:color="auto"/>
        <w:right w:val="none" w:sz="0" w:space="0" w:color="auto"/>
      </w:divBdr>
    </w:div>
    <w:div w:id="1368873815">
      <w:bodyDiv w:val="1"/>
      <w:marLeft w:val="0"/>
      <w:marRight w:val="0"/>
      <w:marTop w:val="0"/>
      <w:marBottom w:val="0"/>
      <w:divBdr>
        <w:top w:val="none" w:sz="0" w:space="0" w:color="auto"/>
        <w:left w:val="none" w:sz="0" w:space="0" w:color="auto"/>
        <w:bottom w:val="none" w:sz="0" w:space="0" w:color="auto"/>
        <w:right w:val="none" w:sz="0" w:space="0" w:color="auto"/>
      </w:divBdr>
    </w:div>
    <w:div w:id="1368989496">
      <w:bodyDiv w:val="1"/>
      <w:marLeft w:val="0"/>
      <w:marRight w:val="0"/>
      <w:marTop w:val="0"/>
      <w:marBottom w:val="0"/>
      <w:divBdr>
        <w:top w:val="none" w:sz="0" w:space="0" w:color="auto"/>
        <w:left w:val="none" w:sz="0" w:space="0" w:color="auto"/>
        <w:bottom w:val="none" w:sz="0" w:space="0" w:color="auto"/>
        <w:right w:val="none" w:sz="0" w:space="0" w:color="auto"/>
      </w:divBdr>
    </w:div>
    <w:div w:id="1369065429">
      <w:bodyDiv w:val="1"/>
      <w:marLeft w:val="0"/>
      <w:marRight w:val="0"/>
      <w:marTop w:val="0"/>
      <w:marBottom w:val="0"/>
      <w:divBdr>
        <w:top w:val="none" w:sz="0" w:space="0" w:color="auto"/>
        <w:left w:val="none" w:sz="0" w:space="0" w:color="auto"/>
        <w:bottom w:val="none" w:sz="0" w:space="0" w:color="auto"/>
        <w:right w:val="none" w:sz="0" w:space="0" w:color="auto"/>
      </w:divBdr>
    </w:div>
    <w:div w:id="1369182285">
      <w:bodyDiv w:val="1"/>
      <w:marLeft w:val="0"/>
      <w:marRight w:val="0"/>
      <w:marTop w:val="0"/>
      <w:marBottom w:val="0"/>
      <w:divBdr>
        <w:top w:val="none" w:sz="0" w:space="0" w:color="auto"/>
        <w:left w:val="none" w:sz="0" w:space="0" w:color="auto"/>
        <w:bottom w:val="none" w:sz="0" w:space="0" w:color="auto"/>
        <w:right w:val="none" w:sz="0" w:space="0" w:color="auto"/>
      </w:divBdr>
    </w:div>
    <w:div w:id="1369334015">
      <w:bodyDiv w:val="1"/>
      <w:marLeft w:val="0"/>
      <w:marRight w:val="0"/>
      <w:marTop w:val="0"/>
      <w:marBottom w:val="0"/>
      <w:divBdr>
        <w:top w:val="none" w:sz="0" w:space="0" w:color="auto"/>
        <w:left w:val="none" w:sz="0" w:space="0" w:color="auto"/>
        <w:bottom w:val="none" w:sz="0" w:space="0" w:color="auto"/>
        <w:right w:val="none" w:sz="0" w:space="0" w:color="auto"/>
      </w:divBdr>
    </w:div>
    <w:div w:id="1369334115">
      <w:bodyDiv w:val="1"/>
      <w:marLeft w:val="0"/>
      <w:marRight w:val="0"/>
      <w:marTop w:val="0"/>
      <w:marBottom w:val="0"/>
      <w:divBdr>
        <w:top w:val="none" w:sz="0" w:space="0" w:color="auto"/>
        <w:left w:val="none" w:sz="0" w:space="0" w:color="auto"/>
        <w:bottom w:val="none" w:sz="0" w:space="0" w:color="auto"/>
        <w:right w:val="none" w:sz="0" w:space="0" w:color="auto"/>
      </w:divBdr>
    </w:div>
    <w:div w:id="1369376275">
      <w:bodyDiv w:val="1"/>
      <w:marLeft w:val="0"/>
      <w:marRight w:val="0"/>
      <w:marTop w:val="0"/>
      <w:marBottom w:val="0"/>
      <w:divBdr>
        <w:top w:val="none" w:sz="0" w:space="0" w:color="auto"/>
        <w:left w:val="none" w:sz="0" w:space="0" w:color="auto"/>
        <w:bottom w:val="none" w:sz="0" w:space="0" w:color="auto"/>
        <w:right w:val="none" w:sz="0" w:space="0" w:color="auto"/>
      </w:divBdr>
    </w:div>
    <w:div w:id="1369407458">
      <w:bodyDiv w:val="1"/>
      <w:marLeft w:val="0"/>
      <w:marRight w:val="0"/>
      <w:marTop w:val="0"/>
      <w:marBottom w:val="0"/>
      <w:divBdr>
        <w:top w:val="none" w:sz="0" w:space="0" w:color="auto"/>
        <w:left w:val="none" w:sz="0" w:space="0" w:color="auto"/>
        <w:bottom w:val="none" w:sz="0" w:space="0" w:color="auto"/>
        <w:right w:val="none" w:sz="0" w:space="0" w:color="auto"/>
      </w:divBdr>
    </w:div>
    <w:div w:id="1369455872">
      <w:bodyDiv w:val="1"/>
      <w:marLeft w:val="0"/>
      <w:marRight w:val="0"/>
      <w:marTop w:val="0"/>
      <w:marBottom w:val="0"/>
      <w:divBdr>
        <w:top w:val="none" w:sz="0" w:space="0" w:color="auto"/>
        <w:left w:val="none" w:sz="0" w:space="0" w:color="auto"/>
        <w:bottom w:val="none" w:sz="0" w:space="0" w:color="auto"/>
        <w:right w:val="none" w:sz="0" w:space="0" w:color="auto"/>
      </w:divBdr>
    </w:div>
    <w:div w:id="1369571991">
      <w:bodyDiv w:val="1"/>
      <w:marLeft w:val="0"/>
      <w:marRight w:val="0"/>
      <w:marTop w:val="0"/>
      <w:marBottom w:val="0"/>
      <w:divBdr>
        <w:top w:val="none" w:sz="0" w:space="0" w:color="auto"/>
        <w:left w:val="none" w:sz="0" w:space="0" w:color="auto"/>
        <w:bottom w:val="none" w:sz="0" w:space="0" w:color="auto"/>
        <w:right w:val="none" w:sz="0" w:space="0" w:color="auto"/>
      </w:divBdr>
    </w:div>
    <w:div w:id="1369646449">
      <w:bodyDiv w:val="1"/>
      <w:marLeft w:val="0"/>
      <w:marRight w:val="0"/>
      <w:marTop w:val="0"/>
      <w:marBottom w:val="0"/>
      <w:divBdr>
        <w:top w:val="none" w:sz="0" w:space="0" w:color="auto"/>
        <w:left w:val="none" w:sz="0" w:space="0" w:color="auto"/>
        <w:bottom w:val="none" w:sz="0" w:space="0" w:color="auto"/>
        <w:right w:val="none" w:sz="0" w:space="0" w:color="auto"/>
      </w:divBdr>
    </w:div>
    <w:div w:id="1369647135">
      <w:bodyDiv w:val="1"/>
      <w:marLeft w:val="0"/>
      <w:marRight w:val="0"/>
      <w:marTop w:val="0"/>
      <w:marBottom w:val="0"/>
      <w:divBdr>
        <w:top w:val="none" w:sz="0" w:space="0" w:color="auto"/>
        <w:left w:val="none" w:sz="0" w:space="0" w:color="auto"/>
        <w:bottom w:val="none" w:sz="0" w:space="0" w:color="auto"/>
        <w:right w:val="none" w:sz="0" w:space="0" w:color="auto"/>
      </w:divBdr>
    </w:div>
    <w:div w:id="1369649349">
      <w:bodyDiv w:val="1"/>
      <w:marLeft w:val="0"/>
      <w:marRight w:val="0"/>
      <w:marTop w:val="0"/>
      <w:marBottom w:val="0"/>
      <w:divBdr>
        <w:top w:val="none" w:sz="0" w:space="0" w:color="auto"/>
        <w:left w:val="none" w:sz="0" w:space="0" w:color="auto"/>
        <w:bottom w:val="none" w:sz="0" w:space="0" w:color="auto"/>
        <w:right w:val="none" w:sz="0" w:space="0" w:color="auto"/>
      </w:divBdr>
    </w:div>
    <w:div w:id="1369722677">
      <w:bodyDiv w:val="1"/>
      <w:marLeft w:val="0"/>
      <w:marRight w:val="0"/>
      <w:marTop w:val="0"/>
      <w:marBottom w:val="0"/>
      <w:divBdr>
        <w:top w:val="none" w:sz="0" w:space="0" w:color="auto"/>
        <w:left w:val="none" w:sz="0" w:space="0" w:color="auto"/>
        <w:bottom w:val="none" w:sz="0" w:space="0" w:color="auto"/>
        <w:right w:val="none" w:sz="0" w:space="0" w:color="auto"/>
      </w:divBdr>
    </w:div>
    <w:div w:id="1369792414">
      <w:bodyDiv w:val="1"/>
      <w:marLeft w:val="0"/>
      <w:marRight w:val="0"/>
      <w:marTop w:val="0"/>
      <w:marBottom w:val="0"/>
      <w:divBdr>
        <w:top w:val="none" w:sz="0" w:space="0" w:color="auto"/>
        <w:left w:val="none" w:sz="0" w:space="0" w:color="auto"/>
        <w:bottom w:val="none" w:sz="0" w:space="0" w:color="auto"/>
        <w:right w:val="none" w:sz="0" w:space="0" w:color="auto"/>
      </w:divBdr>
    </w:div>
    <w:div w:id="1369794097">
      <w:bodyDiv w:val="1"/>
      <w:marLeft w:val="0"/>
      <w:marRight w:val="0"/>
      <w:marTop w:val="0"/>
      <w:marBottom w:val="0"/>
      <w:divBdr>
        <w:top w:val="none" w:sz="0" w:space="0" w:color="auto"/>
        <w:left w:val="none" w:sz="0" w:space="0" w:color="auto"/>
        <w:bottom w:val="none" w:sz="0" w:space="0" w:color="auto"/>
        <w:right w:val="none" w:sz="0" w:space="0" w:color="auto"/>
      </w:divBdr>
    </w:div>
    <w:div w:id="1369796745">
      <w:bodyDiv w:val="1"/>
      <w:marLeft w:val="0"/>
      <w:marRight w:val="0"/>
      <w:marTop w:val="0"/>
      <w:marBottom w:val="0"/>
      <w:divBdr>
        <w:top w:val="none" w:sz="0" w:space="0" w:color="auto"/>
        <w:left w:val="none" w:sz="0" w:space="0" w:color="auto"/>
        <w:bottom w:val="none" w:sz="0" w:space="0" w:color="auto"/>
        <w:right w:val="none" w:sz="0" w:space="0" w:color="auto"/>
      </w:divBdr>
    </w:div>
    <w:div w:id="1369798795">
      <w:bodyDiv w:val="1"/>
      <w:marLeft w:val="0"/>
      <w:marRight w:val="0"/>
      <w:marTop w:val="0"/>
      <w:marBottom w:val="0"/>
      <w:divBdr>
        <w:top w:val="none" w:sz="0" w:space="0" w:color="auto"/>
        <w:left w:val="none" w:sz="0" w:space="0" w:color="auto"/>
        <w:bottom w:val="none" w:sz="0" w:space="0" w:color="auto"/>
        <w:right w:val="none" w:sz="0" w:space="0" w:color="auto"/>
      </w:divBdr>
    </w:div>
    <w:div w:id="1370030806">
      <w:bodyDiv w:val="1"/>
      <w:marLeft w:val="0"/>
      <w:marRight w:val="0"/>
      <w:marTop w:val="0"/>
      <w:marBottom w:val="0"/>
      <w:divBdr>
        <w:top w:val="none" w:sz="0" w:space="0" w:color="auto"/>
        <w:left w:val="none" w:sz="0" w:space="0" w:color="auto"/>
        <w:bottom w:val="none" w:sz="0" w:space="0" w:color="auto"/>
        <w:right w:val="none" w:sz="0" w:space="0" w:color="auto"/>
      </w:divBdr>
    </w:div>
    <w:div w:id="1370183330">
      <w:bodyDiv w:val="1"/>
      <w:marLeft w:val="0"/>
      <w:marRight w:val="0"/>
      <w:marTop w:val="0"/>
      <w:marBottom w:val="0"/>
      <w:divBdr>
        <w:top w:val="none" w:sz="0" w:space="0" w:color="auto"/>
        <w:left w:val="none" w:sz="0" w:space="0" w:color="auto"/>
        <w:bottom w:val="none" w:sz="0" w:space="0" w:color="auto"/>
        <w:right w:val="none" w:sz="0" w:space="0" w:color="auto"/>
      </w:divBdr>
    </w:div>
    <w:div w:id="1370372460">
      <w:bodyDiv w:val="1"/>
      <w:marLeft w:val="0"/>
      <w:marRight w:val="0"/>
      <w:marTop w:val="0"/>
      <w:marBottom w:val="0"/>
      <w:divBdr>
        <w:top w:val="none" w:sz="0" w:space="0" w:color="auto"/>
        <w:left w:val="none" w:sz="0" w:space="0" w:color="auto"/>
        <w:bottom w:val="none" w:sz="0" w:space="0" w:color="auto"/>
        <w:right w:val="none" w:sz="0" w:space="0" w:color="auto"/>
      </w:divBdr>
    </w:div>
    <w:div w:id="1370449695">
      <w:bodyDiv w:val="1"/>
      <w:marLeft w:val="0"/>
      <w:marRight w:val="0"/>
      <w:marTop w:val="0"/>
      <w:marBottom w:val="0"/>
      <w:divBdr>
        <w:top w:val="none" w:sz="0" w:space="0" w:color="auto"/>
        <w:left w:val="none" w:sz="0" w:space="0" w:color="auto"/>
        <w:bottom w:val="none" w:sz="0" w:space="0" w:color="auto"/>
        <w:right w:val="none" w:sz="0" w:space="0" w:color="auto"/>
      </w:divBdr>
    </w:div>
    <w:div w:id="1370449795">
      <w:bodyDiv w:val="1"/>
      <w:marLeft w:val="0"/>
      <w:marRight w:val="0"/>
      <w:marTop w:val="0"/>
      <w:marBottom w:val="0"/>
      <w:divBdr>
        <w:top w:val="none" w:sz="0" w:space="0" w:color="auto"/>
        <w:left w:val="none" w:sz="0" w:space="0" w:color="auto"/>
        <w:bottom w:val="none" w:sz="0" w:space="0" w:color="auto"/>
        <w:right w:val="none" w:sz="0" w:space="0" w:color="auto"/>
      </w:divBdr>
    </w:div>
    <w:div w:id="1370648984">
      <w:bodyDiv w:val="1"/>
      <w:marLeft w:val="0"/>
      <w:marRight w:val="0"/>
      <w:marTop w:val="0"/>
      <w:marBottom w:val="0"/>
      <w:divBdr>
        <w:top w:val="none" w:sz="0" w:space="0" w:color="auto"/>
        <w:left w:val="none" w:sz="0" w:space="0" w:color="auto"/>
        <w:bottom w:val="none" w:sz="0" w:space="0" w:color="auto"/>
        <w:right w:val="none" w:sz="0" w:space="0" w:color="auto"/>
      </w:divBdr>
    </w:div>
    <w:div w:id="1370687476">
      <w:bodyDiv w:val="1"/>
      <w:marLeft w:val="0"/>
      <w:marRight w:val="0"/>
      <w:marTop w:val="0"/>
      <w:marBottom w:val="0"/>
      <w:divBdr>
        <w:top w:val="none" w:sz="0" w:space="0" w:color="auto"/>
        <w:left w:val="none" w:sz="0" w:space="0" w:color="auto"/>
        <w:bottom w:val="none" w:sz="0" w:space="0" w:color="auto"/>
        <w:right w:val="none" w:sz="0" w:space="0" w:color="auto"/>
      </w:divBdr>
    </w:div>
    <w:div w:id="1370689470">
      <w:bodyDiv w:val="1"/>
      <w:marLeft w:val="0"/>
      <w:marRight w:val="0"/>
      <w:marTop w:val="0"/>
      <w:marBottom w:val="0"/>
      <w:divBdr>
        <w:top w:val="none" w:sz="0" w:space="0" w:color="auto"/>
        <w:left w:val="none" w:sz="0" w:space="0" w:color="auto"/>
        <w:bottom w:val="none" w:sz="0" w:space="0" w:color="auto"/>
        <w:right w:val="none" w:sz="0" w:space="0" w:color="auto"/>
      </w:divBdr>
    </w:div>
    <w:div w:id="1371030174">
      <w:bodyDiv w:val="1"/>
      <w:marLeft w:val="0"/>
      <w:marRight w:val="0"/>
      <w:marTop w:val="0"/>
      <w:marBottom w:val="0"/>
      <w:divBdr>
        <w:top w:val="none" w:sz="0" w:space="0" w:color="auto"/>
        <w:left w:val="none" w:sz="0" w:space="0" w:color="auto"/>
        <w:bottom w:val="none" w:sz="0" w:space="0" w:color="auto"/>
        <w:right w:val="none" w:sz="0" w:space="0" w:color="auto"/>
      </w:divBdr>
    </w:div>
    <w:div w:id="1371032697">
      <w:bodyDiv w:val="1"/>
      <w:marLeft w:val="0"/>
      <w:marRight w:val="0"/>
      <w:marTop w:val="0"/>
      <w:marBottom w:val="0"/>
      <w:divBdr>
        <w:top w:val="none" w:sz="0" w:space="0" w:color="auto"/>
        <w:left w:val="none" w:sz="0" w:space="0" w:color="auto"/>
        <w:bottom w:val="none" w:sz="0" w:space="0" w:color="auto"/>
        <w:right w:val="none" w:sz="0" w:space="0" w:color="auto"/>
      </w:divBdr>
    </w:div>
    <w:div w:id="1371107013">
      <w:bodyDiv w:val="1"/>
      <w:marLeft w:val="0"/>
      <w:marRight w:val="0"/>
      <w:marTop w:val="0"/>
      <w:marBottom w:val="0"/>
      <w:divBdr>
        <w:top w:val="none" w:sz="0" w:space="0" w:color="auto"/>
        <w:left w:val="none" w:sz="0" w:space="0" w:color="auto"/>
        <w:bottom w:val="none" w:sz="0" w:space="0" w:color="auto"/>
        <w:right w:val="none" w:sz="0" w:space="0" w:color="auto"/>
      </w:divBdr>
    </w:div>
    <w:div w:id="1371224452">
      <w:bodyDiv w:val="1"/>
      <w:marLeft w:val="0"/>
      <w:marRight w:val="0"/>
      <w:marTop w:val="0"/>
      <w:marBottom w:val="0"/>
      <w:divBdr>
        <w:top w:val="none" w:sz="0" w:space="0" w:color="auto"/>
        <w:left w:val="none" w:sz="0" w:space="0" w:color="auto"/>
        <w:bottom w:val="none" w:sz="0" w:space="0" w:color="auto"/>
        <w:right w:val="none" w:sz="0" w:space="0" w:color="auto"/>
      </w:divBdr>
    </w:div>
    <w:div w:id="1371304510">
      <w:bodyDiv w:val="1"/>
      <w:marLeft w:val="0"/>
      <w:marRight w:val="0"/>
      <w:marTop w:val="0"/>
      <w:marBottom w:val="0"/>
      <w:divBdr>
        <w:top w:val="none" w:sz="0" w:space="0" w:color="auto"/>
        <w:left w:val="none" w:sz="0" w:space="0" w:color="auto"/>
        <w:bottom w:val="none" w:sz="0" w:space="0" w:color="auto"/>
        <w:right w:val="none" w:sz="0" w:space="0" w:color="auto"/>
      </w:divBdr>
    </w:div>
    <w:div w:id="1371416879">
      <w:bodyDiv w:val="1"/>
      <w:marLeft w:val="0"/>
      <w:marRight w:val="0"/>
      <w:marTop w:val="0"/>
      <w:marBottom w:val="0"/>
      <w:divBdr>
        <w:top w:val="none" w:sz="0" w:space="0" w:color="auto"/>
        <w:left w:val="none" w:sz="0" w:space="0" w:color="auto"/>
        <w:bottom w:val="none" w:sz="0" w:space="0" w:color="auto"/>
        <w:right w:val="none" w:sz="0" w:space="0" w:color="auto"/>
      </w:divBdr>
    </w:div>
    <w:div w:id="1371490277">
      <w:bodyDiv w:val="1"/>
      <w:marLeft w:val="0"/>
      <w:marRight w:val="0"/>
      <w:marTop w:val="0"/>
      <w:marBottom w:val="0"/>
      <w:divBdr>
        <w:top w:val="none" w:sz="0" w:space="0" w:color="auto"/>
        <w:left w:val="none" w:sz="0" w:space="0" w:color="auto"/>
        <w:bottom w:val="none" w:sz="0" w:space="0" w:color="auto"/>
        <w:right w:val="none" w:sz="0" w:space="0" w:color="auto"/>
      </w:divBdr>
    </w:div>
    <w:div w:id="1371612267">
      <w:bodyDiv w:val="1"/>
      <w:marLeft w:val="0"/>
      <w:marRight w:val="0"/>
      <w:marTop w:val="0"/>
      <w:marBottom w:val="0"/>
      <w:divBdr>
        <w:top w:val="none" w:sz="0" w:space="0" w:color="auto"/>
        <w:left w:val="none" w:sz="0" w:space="0" w:color="auto"/>
        <w:bottom w:val="none" w:sz="0" w:space="0" w:color="auto"/>
        <w:right w:val="none" w:sz="0" w:space="0" w:color="auto"/>
      </w:divBdr>
    </w:div>
    <w:div w:id="1371764720">
      <w:bodyDiv w:val="1"/>
      <w:marLeft w:val="0"/>
      <w:marRight w:val="0"/>
      <w:marTop w:val="0"/>
      <w:marBottom w:val="0"/>
      <w:divBdr>
        <w:top w:val="none" w:sz="0" w:space="0" w:color="auto"/>
        <w:left w:val="none" w:sz="0" w:space="0" w:color="auto"/>
        <w:bottom w:val="none" w:sz="0" w:space="0" w:color="auto"/>
        <w:right w:val="none" w:sz="0" w:space="0" w:color="auto"/>
      </w:divBdr>
    </w:div>
    <w:div w:id="1371801940">
      <w:bodyDiv w:val="1"/>
      <w:marLeft w:val="0"/>
      <w:marRight w:val="0"/>
      <w:marTop w:val="0"/>
      <w:marBottom w:val="0"/>
      <w:divBdr>
        <w:top w:val="none" w:sz="0" w:space="0" w:color="auto"/>
        <w:left w:val="none" w:sz="0" w:space="0" w:color="auto"/>
        <w:bottom w:val="none" w:sz="0" w:space="0" w:color="auto"/>
        <w:right w:val="none" w:sz="0" w:space="0" w:color="auto"/>
      </w:divBdr>
    </w:div>
    <w:div w:id="1371805130">
      <w:bodyDiv w:val="1"/>
      <w:marLeft w:val="0"/>
      <w:marRight w:val="0"/>
      <w:marTop w:val="0"/>
      <w:marBottom w:val="0"/>
      <w:divBdr>
        <w:top w:val="none" w:sz="0" w:space="0" w:color="auto"/>
        <w:left w:val="none" w:sz="0" w:space="0" w:color="auto"/>
        <w:bottom w:val="none" w:sz="0" w:space="0" w:color="auto"/>
        <w:right w:val="none" w:sz="0" w:space="0" w:color="auto"/>
      </w:divBdr>
    </w:div>
    <w:div w:id="1371879290">
      <w:bodyDiv w:val="1"/>
      <w:marLeft w:val="0"/>
      <w:marRight w:val="0"/>
      <w:marTop w:val="0"/>
      <w:marBottom w:val="0"/>
      <w:divBdr>
        <w:top w:val="none" w:sz="0" w:space="0" w:color="auto"/>
        <w:left w:val="none" w:sz="0" w:space="0" w:color="auto"/>
        <w:bottom w:val="none" w:sz="0" w:space="0" w:color="auto"/>
        <w:right w:val="none" w:sz="0" w:space="0" w:color="auto"/>
      </w:divBdr>
    </w:div>
    <w:div w:id="1372027310">
      <w:bodyDiv w:val="1"/>
      <w:marLeft w:val="0"/>
      <w:marRight w:val="0"/>
      <w:marTop w:val="0"/>
      <w:marBottom w:val="0"/>
      <w:divBdr>
        <w:top w:val="none" w:sz="0" w:space="0" w:color="auto"/>
        <w:left w:val="none" w:sz="0" w:space="0" w:color="auto"/>
        <w:bottom w:val="none" w:sz="0" w:space="0" w:color="auto"/>
        <w:right w:val="none" w:sz="0" w:space="0" w:color="auto"/>
      </w:divBdr>
    </w:div>
    <w:div w:id="1372068889">
      <w:bodyDiv w:val="1"/>
      <w:marLeft w:val="0"/>
      <w:marRight w:val="0"/>
      <w:marTop w:val="0"/>
      <w:marBottom w:val="0"/>
      <w:divBdr>
        <w:top w:val="none" w:sz="0" w:space="0" w:color="auto"/>
        <w:left w:val="none" w:sz="0" w:space="0" w:color="auto"/>
        <w:bottom w:val="none" w:sz="0" w:space="0" w:color="auto"/>
        <w:right w:val="none" w:sz="0" w:space="0" w:color="auto"/>
      </w:divBdr>
    </w:div>
    <w:div w:id="1372070407">
      <w:bodyDiv w:val="1"/>
      <w:marLeft w:val="0"/>
      <w:marRight w:val="0"/>
      <w:marTop w:val="0"/>
      <w:marBottom w:val="0"/>
      <w:divBdr>
        <w:top w:val="none" w:sz="0" w:space="0" w:color="auto"/>
        <w:left w:val="none" w:sz="0" w:space="0" w:color="auto"/>
        <w:bottom w:val="none" w:sz="0" w:space="0" w:color="auto"/>
        <w:right w:val="none" w:sz="0" w:space="0" w:color="auto"/>
      </w:divBdr>
    </w:div>
    <w:div w:id="1372070416">
      <w:bodyDiv w:val="1"/>
      <w:marLeft w:val="0"/>
      <w:marRight w:val="0"/>
      <w:marTop w:val="0"/>
      <w:marBottom w:val="0"/>
      <w:divBdr>
        <w:top w:val="none" w:sz="0" w:space="0" w:color="auto"/>
        <w:left w:val="none" w:sz="0" w:space="0" w:color="auto"/>
        <w:bottom w:val="none" w:sz="0" w:space="0" w:color="auto"/>
        <w:right w:val="none" w:sz="0" w:space="0" w:color="auto"/>
      </w:divBdr>
    </w:div>
    <w:div w:id="1372143579">
      <w:bodyDiv w:val="1"/>
      <w:marLeft w:val="0"/>
      <w:marRight w:val="0"/>
      <w:marTop w:val="0"/>
      <w:marBottom w:val="0"/>
      <w:divBdr>
        <w:top w:val="none" w:sz="0" w:space="0" w:color="auto"/>
        <w:left w:val="none" w:sz="0" w:space="0" w:color="auto"/>
        <w:bottom w:val="none" w:sz="0" w:space="0" w:color="auto"/>
        <w:right w:val="none" w:sz="0" w:space="0" w:color="auto"/>
      </w:divBdr>
    </w:div>
    <w:div w:id="1372195315">
      <w:bodyDiv w:val="1"/>
      <w:marLeft w:val="0"/>
      <w:marRight w:val="0"/>
      <w:marTop w:val="0"/>
      <w:marBottom w:val="0"/>
      <w:divBdr>
        <w:top w:val="none" w:sz="0" w:space="0" w:color="auto"/>
        <w:left w:val="none" w:sz="0" w:space="0" w:color="auto"/>
        <w:bottom w:val="none" w:sz="0" w:space="0" w:color="auto"/>
        <w:right w:val="none" w:sz="0" w:space="0" w:color="auto"/>
      </w:divBdr>
    </w:div>
    <w:div w:id="1372339284">
      <w:bodyDiv w:val="1"/>
      <w:marLeft w:val="0"/>
      <w:marRight w:val="0"/>
      <w:marTop w:val="0"/>
      <w:marBottom w:val="0"/>
      <w:divBdr>
        <w:top w:val="none" w:sz="0" w:space="0" w:color="auto"/>
        <w:left w:val="none" w:sz="0" w:space="0" w:color="auto"/>
        <w:bottom w:val="none" w:sz="0" w:space="0" w:color="auto"/>
        <w:right w:val="none" w:sz="0" w:space="0" w:color="auto"/>
      </w:divBdr>
    </w:div>
    <w:div w:id="1372412898">
      <w:bodyDiv w:val="1"/>
      <w:marLeft w:val="0"/>
      <w:marRight w:val="0"/>
      <w:marTop w:val="0"/>
      <w:marBottom w:val="0"/>
      <w:divBdr>
        <w:top w:val="none" w:sz="0" w:space="0" w:color="auto"/>
        <w:left w:val="none" w:sz="0" w:space="0" w:color="auto"/>
        <w:bottom w:val="none" w:sz="0" w:space="0" w:color="auto"/>
        <w:right w:val="none" w:sz="0" w:space="0" w:color="auto"/>
      </w:divBdr>
    </w:div>
    <w:div w:id="1372418532">
      <w:bodyDiv w:val="1"/>
      <w:marLeft w:val="0"/>
      <w:marRight w:val="0"/>
      <w:marTop w:val="0"/>
      <w:marBottom w:val="0"/>
      <w:divBdr>
        <w:top w:val="none" w:sz="0" w:space="0" w:color="auto"/>
        <w:left w:val="none" w:sz="0" w:space="0" w:color="auto"/>
        <w:bottom w:val="none" w:sz="0" w:space="0" w:color="auto"/>
        <w:right w:val="none" w:sz="0" w:space="0" w:color="auto"/>
      </w:divBdr>
    </w:div>
    <w:div w:id="1372652642">
      <w:bodyDiv w:val="1"/>
      <w:marLeft w:val="0"/>
      <w:marRight w:val="0"/>
      <w:marTop w:val="0"/>
      <w:marBottom w:val="0"/>
      <w:divBdr>
        <w:top w:val="none" w:sz="0" w:space="0" w:color="auto"/>
        <w:left w:val="none" w:sz="0" w:space="0" w:color="auto"/>
        <w:bottom w:val="none" w:sz="0" w:space="0" w:color="auto"/>
        <w:right w:val="none" w:sz="0" w:space="0" w:color="auto"/>
      </w:divBdr>
    </w:div>
    <w:div w:id="1372654210">
      <w:bodyDiv w:val="1"/>
      <w:marLeft w:val="0"/>
      <w:marRight w:val="0"/>
      <w:marTop w:val="0"/>
      <w:marBottom w:val="0"/>
      <w:divBdr>
        <w:top w:val="none" w:sz="0" w:space="0" w:color="auto"/>
        <w:left w:val="none" w:sz="0" w:space="0" w:color="auto"/>
        <w:bottom w:val="none" w:sz="0" w:space="0" w:color="auto"/>
        <w:right w:val="none" w:sz="0" w:space="0" w:color="auto"/>
      </w:divBdr>
    </w:div>
    <w:div w:id="1372723480">
      <w:bodyDiv w:val="1"/>
      <w:marLeft w:val="0"/>
      <w:marRight w:val="0"/>
      <w:marTop w:val="0"/>
      <w:marBottom w:val="0"/>
      <w:divBdr>
        <w:top w:val="none" w:sz="0" w:space="0" w:color="auto"/>
        <w:left w:val="none" w:sz="0" w:space="0" w:color="auto"/>
        <w:bottom w:val="none" w:sz="0" w:space="0" w:color="auto"/>
        <w:right w:val="none" w:sz="0" w:space="0" w:color="auto"/>
      </w:divBdr>
    </w:div>
    <w:div w:id="1372725337">
      <w:bodyDiv w:val="1"/>
      <w:marLeft w:val="0"/>
      <w:marRight w:val="0"/>
      <w:marTop w:val="0"/>
      <w:marBottom w:val="0"/>
      <w:divBdr>
        <w:top w:val="none" w:sz="0" w:space="0" w:color="auto"/>
        <w:left w:val="none" w:sz="0" w:space="0" w:color="auto"/>
        <w:bottom w:val="none" w:sz="0" w:space="0" w:color="auto"/>
        <w:right w:val="none" w:sz="0" w:space="0" w:color="auto"/>
      </w:divBdr>
    </w:div>
    <w:div w:id="1372730457">
      <w:bodyDiv w:val="1"/>
      <w:marLeft w:val="0"/>
      <w:marRight w:val="0"/>
      <w:marTop w:val="0"/>
      <w:marBottom w:val="0"/>
      <w:divBdr>
        <w:top w:val="none" w:sz="0" w:space="0" w:color="auto"/>
        <w:left w:val="none" w:sz="0" w:space="0" w:color="auto"/>
        <w:bottom w:val="none" w:sz="0" w:space="0" w:color="auto"/>
        <w:right w:val="none" w:sz="0" w:space="0" w:color="auto"/>
      </w:divBdr>
    </w:div>
    <w:div w:id="1372732518">
      <w:bodyDiv w:val="1"/>
      <w:marLeft w:val="0"/>
      <w:marRight w:val="0"/>
      <w:marTop w:val="0"/>
      <w:marBottom w:val="0"/>
      <w:divBdr>
        <w:top w:val="none" w:sz="0" w:space="0" w:color="auto"/>
        <w:left w:val="none" w:sz="0" w:space="0" w:color="auto"/>
        <w:bottom w:val="none" w:sz="0" w:space="0" w:color="auto"/>
        <w:right w:val="none" w:sz="0" w:space="0" w:color="auto"/>
      </w:divBdr>
    </w:div>
    <w:div w:id="1372802827">
      <w:bodyDiv w:val="1"/>
      <w:marLeft w:val="0"/>
      <w:marRight w:val="0"/>
      <w:marTop w:val="0"/>
      <w:marBottom w:val="0"/>
      <w:divBdr>
        <w:top w:val="none" w:sz="0" w:space="0" w:color="auto"/>
        <w:left w:val="none" w:sz="0" w:space="0" w:color="auto"/>
        <w:bottom w:val="none" w:sz="0" w:space="0" w:color="auto"/>
        <w:right w:val="none" w:sz="0" w:space="0" w:color="auto"/>
      </w:divBdr>
    </w:div>
    <w:div w:id="1372849037">
      <w:bodyDiv w:val="1"/>
      <w:marLeft w:val="0"/>
      <w:marRight w:val="0"/>
      <w:marTop w:val="0"/>
      <w:marBottom w:val="0"/>
      <w:divBdr>
        <w:top w:val="none" w:sz="0" w:space="0" w:color="auto"/>
        <w:left w:val="none" w:sz="0" w:space="0" w:color="auto"/>
        <w:bottom w:val="none" w:sz="0" w:space="0" w:color="auto"/>
        <w:right w:val="none" w:sz="0" w:space="0" w:color="auto"/>
      </w:divBdr>
    </w:div>
    <w:div w:id="1372879984">
      <w:bodyDiv w:val="1"/>
      <w:marLeft w:val="0"/>
      <w:marRight w:val="0"/>
      <w:marTop w:val="0"/>
      <w:marBottom w:val="0"/>
      <w:divBdr>
        <w:top w:val="none" w:sz="0" w:space="0" w:color="auto"/>
        <w:left w:val="none" w:sz="0" w:space="0" w:color="auto"/>
        <w:bottom w:val="none" w:sz="0" w:space="0" w:color="auto"/>
        <w:right w:val="none" w:sz="0" w:space="0" w:color="auto"/>
      </w:divBdr>
    </w:div>
    <w:div w:id="1372925414">
      <w:bodyDiv w:val="1"/>
      <w:marLeft w:val="0"/>
      <w:marRight w:val="0"/>
      <w:marTop w:val="0"/>
      <w:marBottom w:val="0"/>
      <w:divBdr>
        <w:top w:val="none" w:sz="0" w:space="0" w:color="auto"/>
        <w:left w:val="none" w:sz="0" w:space="0" w:color="auto"/>
        <w:bottom w:val="none" w:sz="0" w:space="0" w:color="auto"/>
        <w:right w:val="none" w:sz="0" w:space="0" w:color="auto"/>
      </w:divBdr>
    </w:div>
    <w:div w:id="1372992657">
      <w:bodyDiv w:val="1"/>
      <w:marLeft w:val="0"/>
      <w:marRight w:val="0"/>
      <w:marTop w:val="0"/>
      <w:marBottom w:val="0"/>
      <w:divBdr>
        <w:top w:val="none" w:sz="0" w:space="0" w:color="auto"/>
        <w:left w:val="none" w:sz="0" w:space="0" w:color="auto"/>
        <w:bottom w:val="none" w:sz="0" w:space="0" w:color="auto"/>
        <w:right w:val="none" w:sz="0" w:space="0" w:color="auto"/>
      </w:divBdr>
    </w:div>
    <w:div w:id="1372999319">
      <w:bodyDiv w:val="1"/>
      <w:marLeft w:val="0"/>
      <w:marRight w:val="0"/>
      <w:marTop w:val="0"/>
      <w:marBottom w:val="0"/>
      <w:divBdr>
        <w:top w:val="none" w:sz="0" w:space="0" w:color="auto"/>
        <w:left w:val="none" w:sz="0" w:space="0" w:color="auto"/>
        <w:bottom w:val="none" w:sz="0" w:space="0" w:color="auto"/>
        <w:right w:val="none" w:sz="0" w:space="0" w:color="auto"/>
      </w:divBdr>
    </w:div>
    <w:div w:id="1373068470">
      <w:bodyDiv w:val="1"/>
      <w:marLeft w:val="0"/>
      <w:marRight w:val="0"/>
      <w:marTop w:val="0"/>
      <w:marBottom w:val="0"/>
      <w:divBdr>
        <w:top w:val="none" w:sz="0" w:space="0" w:color="auto"/>
        <w:left w:val="none" w:sz="0" w:space="0" w:color="auto"/>
        <w:bottom w:val="none" w:sz="0" w:space="0" w:color="auto"/>
        <w:right w:val="none" w:sz="0" w:space="0" w:color="auto"/>
      </w:divBdr>
    </w:div>
    <w:div w:id="1373117412">
      <w:bodyDiv w:val="1"/>
      <w:marLeft w:val="0"/>
      <w:marRight w:val="0"/>
      <w:marTop w:val="0"/>
      <w:marBottom w:val="0"/>
      <w:divBdr>
        <w:top w:val="none" w:sz="0" w:space="0" w:color="auto"/>
        <w:left w:val="none" w:sz="0" w:space="0" w:color="auto"/>
        <w:bottom w:val="none" w:sz="0" w:space="0" w:color="auto"/>
        <w:right w:val="none" w:sz="0" w:space="0" w:color="auto"/>
      </w:divBdr>
    </w:div>
    <w:div w:id="1373185558">
      <w:bodyDiv w:val="1"/>
      <w:marLeft w:val="0"/>
      <w:marRight w:val="0"/>
      <w:marTop w:val="0"/>
      <w:marBottom w:val="0"/>
      <w:divBdr>
        <w:top w:val="none" w:sz="0" w:space="0" w:color="auto"/>
        <w:left w:val="none" w:sz="0" w:space="0" w:color="auto"/>
        <w:bottom w:val="none" w:sz="0" w:space="0" w:color="auto"/>
        <w:right w:val="none" w:sz="0" w:space="0" w:color="auto"/>
      </w:divBdr>
    </w:div>
    <w:div w:id="1373191827">
      <w:bodyDiv w:val="1"/>
      <w:marLeft w:val="0"/>
      <w:marRight w:val="0"/>
      <w:marTop w:val="0"/>
      <w:marBottom w:val="0"/>
      <w:divBdr>
        <w:top w:val="none" w:sz="0" w:space="0" w:color="auto"/>
        <w:left w:val="none" w:sz="0" w:space="0" w:color="auto"/>
        <w:bottom w:val="none" w:sz="0" w:space="0" w:color="auto"/>
        <w:right w:val="none" w:sz="0" w:space="0" w:color="auto"/>
      </w:divBdr>
    </w:div>
    <w:div w:id="1373386513">
      <w:bodyDiv w:val="1"/>
      <w:marLeft w:val="0"/>
      <w:marRight w:val="0"/>
      <w:marTop w:val="0"/>
      <w:marBottom w:val="0"/>
      <w:divBdr>
        <w:top w:val="none" w:sz="0" w:space="0" w:color="auto"/>
        <w:left w:val="none" w:sz="0" w:space="0" w:color="auto"/>
        <w:bottom w:val="none" w:sz="0" w:space="0" w:color="auto"/>
        <w:right w:val="none" w:sz="0" w:space="0" w:color="auto"/>
      </w:divBdr>
    </w:div>
    <w:div w:id="1373457318">
      <w:bodyDiv w:val="1"/>
      <w:marLeft w:val="0"/>
      <w:marRight w:val="0"/>
      <w:marTop w:val="0"/>
      <w:marBottom w:val="0"/>
      <w:divBdr>
        <w:top w:val="none" w:sz="0" w:space="0" w:color="auto"/>
        <w:left w:val="none" w:sz="0" w:space="0" w:color="auto"/>
        <w:bottom w:val="none" w:sz="0" w:space="0" w:color="auto"/>
        <w:right w:val="none" w:sz="0" w:space="0" w:color="auto"/>
      </w:divBdr>
    </w:div>
    <w:div w:id="1373504765">
      <w:bodyDiv w:val="1"/>
      <w:marLeft w:val="0"/>
      <w:marRight w:val="0"/>
      <w:marTop w:val="0"/>
      <w:marBottom w:val="0"/>
      <w:divBdr>
        <w:top w:val="none" w:sz="0" w:space="0" w:color="auto"/>
        <w:left w:val="none" w:sz="0" w:space="0" w:color="auto"/>
        <w:bottom w:val="none" w:sz="0" w:space="0" w:color="auto"/>
        <w:right w:val="none" w:sz="0" w:space="0" w:color="auto"/>
      </w:divBdr>
    </w:div>
    <w:div w:id="1373573719">
      <w:bodyDiv w:val="1"/>
      <w:marLeft w:val="0"/>
      <w:marRight w:val="0"/>
      <w:marTop w:val="0"/>
      <w:marBottom w:val="0"/>
      <w:divBdr>
        <w:top w:val="none" w:sz="0" w:space="0" w:color="auto"/>
        <w:left w:val="none" w:sz="0" w:space="0" w:color="auto"/>
        <w:bottom w:val="none" w:sz="0" w:space="0" w:color="auto"/>
        <w:right w:val="none" w:sz="0" w:space="0" w:color="auto"/>
      </w:divBdr>
    </w:div>
    <w:div w:id="1373574099">
      <w:bodyDiv w:val="1"/>
      <w:marLeft w:val="0"/>
      <w:marRight w:val="0"/>
      <w:marTop w:val="0"/>
      <w:marBottom w:val="0"/>
      <w:divBdr>
        <w:top w:val="none" w:sz="0" w:space="0" w:color="auto"/>
        <w:left w:val="none" w:sz="0" w:space="0" w:color="auto"/>
        <w:bottom w:val="none" w:sz="0" w:space="0" w:color="auto"/>
        <w:right w:val="none" w:sz="0" w:space="0" w:color="auto"/>
      </w:divBdr>
    </w:div>
    <w:div w:id="1373728808">
      <w:bodyDiv w:val="1"/>
      <w:marLeft w:val="0"/>
      <w:marRight w:val="0"/>
      <w:marTop w:val="0"/>
      <w:marBottom w:val="0"/>
      <w:divBdr>
        <w:top w:val="none" w:sz="0" w:space="0" w:color="auto"/>
        <w:left w:val="none" w:sz="0" w:space="0" w:color="auto"/>
        <w:bottom w:val="none" w:sz="0" w:space="0" w:color="auto"/>
        <w:right w:val="none" w:sz="0" w:space="0" w:color="auto"/>
      </w:divBdr>
    </w:div>
    <w:div w:id="1373844721">
      <w:bodyDiv w:val="1"/>
      <w:marLeft w:val="0"/>
      <w:marRight w:val="0"/>
      <w:marTop w:val="0"/>
      <w:marBottom w:val="0"/>
      <w:divBdr>
        <w:top w:val="none" w:sz="0" w:space="0" w:color="auto"/>
        <w:left w:val="none" w:sz="0" w:space="0" w:color="auto"/>
        <w:bottom w:val="none" w:sz="0" w:space="0" w:color="auto"/>
        <w:right w:val="none" w:sz="0" w:space="0" w:color="auto"/>
      </w:divBdr>
    </w:div>
    <w:div w:id="1373846377">
      <w:bodyDiv w:val="1"/>
      <w:marLeft w:val="0"/>
      <w:marRight w:val="0"/>
      <w:marTop w:val="0"/>
      <w:marBottom w:val="0"/>
      <w:divBdr>
        <w:top w:val="none" w:sz="0" w:space="0" w:color="auto"/>
        <w:left w:val="none" w:sz="0" w:space="0" w:color="auto"/>
        <w:bottom w:val="none" w:sz="0" w:space="0" w:color="auto"/>
        <w:right w:val="none" w:sz="0" w:space="0" w:color="auto"/>
      </w:divBdr>
    </w:div>
    <w:div w:id="1373849288">
      <w:bodyDiv w:val="1"/>
      <w:marLeft w:val="0"/>
      <w:marRight w:val="0"/>
      <w:marTop w:val="0"/>
      <w:marBottom w:val="0"/>
      <w:divBdr>
        <w:top w:val="none" w:sz="0" w:space="0" w:color="auto"/>
        <w:left w:val="none" w:sz="0" w:space="0" w:color="auto"/>
        <w:bottom w:val="none" w:sz="0" w:space="0" w:color="auto"/>
        <w:right w:val="none" w:sz="0" w:space="0" w:color="auto"/>
      </w:divBdr>
    </w:div>
    <w:div w:id="1373994957">
      <w:bodyDiv w:val="1"/>
      <w:marLeft w:val="0"/>
      <w:marRight w:val="0"/>
      <w:marTop w:val="0"/>
      <w:marBottom w:val="0"/>
      <w:divBdr>
        <w:top w:val="none" w:sz="0" w:space="0" w:color="auto"/>
        <w:left w:val="none" w:sz="0" w:space="0" w:color="auto"/>
        <w:bottom w:val="none" w:sz="0" w:space="0" w:color="auto"/>
        <w:right w:val="none" w:sz="0" w:space="0" w:color="auto"/>
      </w:divBdr>
    </w:div>
    <w:div w:id="1374117286">
      <w:bodyDiv w:val="1"/>
      <w:marLeft w:val="0"/>
      <w:marRight w:val="0"/>
      <w:marTop w:val="0"/>
      <w:marBottom w:val="0"/>
      <w:divBdr>
        <w:top w:val="none" w:sz="0" w:space="0" w:color="auto"/>
        <w:left w:val="none" w:sz="0" w:space="0" w:color="auto"/>
        <w:bottom w:val="none" w:sz="0" w:space="0" w:color="auto"/>
        <w:right w:val="none" w:sz="0" w:space="0" w:color="auto"/>
      </w:divBdr>
    </w:div>
    <w:div w:id="1374303984">
      <w:bodyDiv w:val="1"/>
      <w:marLeft w:val="0"/>
      <w:marRight w:val="0"/>
      <w:marTop w:val="0"/>
      <w:marBottom w:val="0"/>
      <w:divBdr>
        <w:top w:val="none" w:sz="0" w:space="0" w:color="auto"/>
        <w:left w:val="none" w:sz="0" w:space="0" w:color="auto"/>
        <w:bottom w:val="none" w:sz="0" w:space="0" w:color="auto"/>
        <w:right w:val="none" w:sz="0" w:space="0" w:color="auto"/>
      </w:divBdr>
    </w:div>
    <w:div w:id="1374386797">
      <w:bodyDiv w:val="1"/>
      <w:marLeft w:val="0"/>
      <w:marRight w:val="0"/>
      <w:marTop w:val="0"/>
      <w:marBottom w:val="0"/>
      <w:divBdr>
        <w:top w:val="none" w:sz="0" w:space="0" w:color="auto"/>
        <w:left w:val="none" w:sz="0" w:space="0" w:color="auto"/>
        <w:bottom w:val="none" w:sz="0" w:space="0" w:color="auto"/>
        <w:right w:val="none" w:sz="0" w:space="0" w:color="auto"/>
      </w:divBdr>
    </w:div>
    <w:div w:id="1374387547">
      <w:bodyDiv w:val="1"/>
      <w:marLeft w:val="0"/>
      <w:marRight w:val="0"/>
      <w:marTop w:val="0"/>
      <w:marBottom w:val="0"/>
      <w:divBdr>
        <w:top w:val="none" w:sz="0" w:space="0" w:color="auto"/>
        <w:left w:val="none" w:sz="0" w:space="0" w:color="auto"/>
        <w:bottom w:val="none" w:sz="0" w:space="0" w:color="auto"/>
        <w:right w:val="none" w:sz="0" w:space="0" w:color="auto"/>
      </w:divBdr>
    </w:div>
    <w:div w:id="1374504596">
      <w:bodyDiv w:val="1"/>
      <w:marLeft w:val="0"/>
      <w:marRight w:val="0"/>
      <w:marTop w:val="0"/>
      <w:marBottom w:val="0"/>
      <w:divBdr>
        <w:top w:val="none" w:sz="0" w:space="0" w:color="auto"/>
        <w:left w:val="none" w:sz="0" w:space="0" w:color="auto"/>
        <w:bottom w:val="none" w:sz="0" w:space="0" w:color="auto"/>
        <w:right w:val="none" w:sz="0" w:space="0" w:color="auto"/>
      </w:divBdr>
    </w:div>
    <w:div w:id="1374577310">
      <w:bodyDiv w:val="1"/>
      <w:marLeft w:val="0"/>
      <w:marRight w:val="0"/>
      <w:marTop w:val="0"/>
      <w:marBottom w:val="0"/>
      <w:divBdr>
        <w:top w:val="none" w:sz="0" w:space="0" w:color="auto"/>
        <w:left w:val="none" w:sz="0" w:space="0" w:color="auto"/>
        <w:bottom w:val="none" w:sz="0" w:space="0" w:color="auto"/>
        <w:right w:val="none" w:sz="0" w:space="0" w:color="auto"/>
      </w:divBdr>
    </w:div>
    <w:div w:id="1374577584">
      <w:bodyDiv w:val="1"/>
      <w:marLeft w:val="0"/>
      <w:marRight w:val="0"/>
      <w:marTop w:val="0"/>
      <w:marBottom w:val="0"/>
      <w:divBdr>
        <w:top w:val="none" w:sz="0" w:space="0" w:color="auto"/>
        <w:left w:val="none" w:sz="0" w:space="0" w:color="auto"/>
        <w:bottom w:val="none" w:sz="0" w:space="0" w:color="auto"/>
        <w:right w:val="none" w:sz="0" w:space="0" w:color="auto"/>
      </w:divBdr>
    </w:div>
    <w:div w:id="1374620097">
      <w:bodyDiv w:val="1"/>
      <w:marLeft w:val="0"/>
      <w:marRight w:val="0"/>
      <w:marTop w:val="0"/>
      <w:marBottom w:val="0"/>
      <w:divBdr>
        <w:top w:val="none" w:sz="0" w:space="0" w:color="auto"/>
        <w:left w:val="none" w:sz="0" w:space="0" w:color="auto"/>
        <w:bottom w:val="none" w:sz="0" w:space="0" w:color="auto"/>
        <w:right w:val="none" w:sz="0" w:space="0" w:color="auto"/>
      </w:divBdr>
    </w:div>
    <w:div w:id="1374814604">
      <w:bodyDiv w:val="1"/>
      <w:marLeft w:val="0"/>
      <w:marRight w:val="0"/>
      <w:marTop w:val="0"/>
      <w:marBottom w:val="0"/>
      <w:divBdr>
        <w:top w:val="none" w:sz="0" w:space="0" w:color="auto"/>
        <w:left w:val="none" w:sz="0" w:space="0" w:color="auto"/>
        <w:bottom w:val="none" w:sz="0" w:space="0" w:color="auto"/>
        <w:right w:val="none" w:sz="0" w:space="0" w:color="auto"/>
      </w:divBdr>
    </w:div>
    <w:div w:id="1374890308">
      <w:bodyDiv w:val="1"/>
      <w:marLeft w:val="0"/>
      <w:marRight w:val="0"/>
      <w:marTop w:val="0"/>
      <w:marBottom w:val="0"/>
      <w:divBdr>
        <w:top w:val="none" w:sz="0" w:space="0" w:color="auto"/>
        <w:left w:val="none" w:sz="0" w:space="0" w:color="auto"/>
        <w:bottom w:val="none" w:sz="0" w:space="0" w:color="auto"/>
        <w:right w:val="none" w:sz="0" w:space="0" w:color="auto"/>
      </w:divBdr>
    </w:div>
    <w:div w:id="1374961612">
      <w:bodyDiv w:val="1"/>
      <w:marLeft w:val="0"/>
      <w:marRight w:val="0"/>
      <w:marTop w:val="0"/>
      <w:marBottom w:val="0"/>
      <w:divBdr>
        <w:top w:val="none" w:sz="0" w:space="0" w:color="auto"/>
        <w:left w:val="none" w:sz="0" w:space="0" w:color="auto"/>
        <w:bottom w:val="none" w:sz="0" w:space="0" w:color="auto"/>
        <w:right w:val="none" w:sz="0" w:space="0" w:color="auto"/>
      </w:divBdr>
    </w:div>
    <w:div w:id="1374963006">
      <w:bodyDiv w:val="1"/>
      <w:marLeft w:val="0"/>
      <w:marRight w:val="0"/>
      <w:marTop w:val="0"/>
      <w:marBottom w:val="0"/>
      <w:divBdr>
        <w:top w:val="none" w:sz="0" w:space="0" w:color="auto"/>
        <w:left w:val="none" w:sz="0" w:space="0" w:color="auto"/>
        <w:bottom w:val="none" w:sz="0" w:space="0" w:color="auto"/>
        <w:right w:val="none" w:sz="0" w:space="0" w:color="auto"/>
      </w:divBdr>
    </w:div>
    <w:div w:id="1374964044">
      <w:bodyDiv w:val="1"/>
      <w:marLeft w:val="0"/>
      <w:marRight w:val="0"/>
      <w:marTop w:val="0"/>
      <w:marBottom w:val="0"/>
      <w:divBdr>
        <w:top w:val="none" w:sz="0" w:space="0" w:color="auto"/>
        <w:left w:val="none" w:sz="0" w:space="0" w:color="auto"/>
        <w:bottom w:val="none" w:sz="0" w:space="0" w:color="auto"/>
        <w:right w:val="none" w:sz="0" w:space="0" w:color="auto"/>
      </w:divBdr>
    </w:div>
    <w:div w:id="1374965043">
      <w:bodyDiv w:val="1"/>
      <w:marLeft w:val="0"/>
      <w:marRight w:val="0"/>
      <w:marTop w:val="0"/>
      <w:marBottom w:val="0"/>
      <w:divBdr>
        <w:top w:val="none" w:sz="0" w:space="0" w:color="auto"/>
        <w:left w:val="none" w:sz="0" w:space="0" w:color="auto"/>
        <w:bottom w:val="none" w:sz="0" w:space="0" w:color="auto"/>
        <w:right w:val="none" w:sz="0" w:space="0" w:color="auto"/>
      </w:divBdr>
    </w:div>
    <w:div w:id="1375035173">
      <w:bodyDiv w:val="1"/>
      <w:marLeft w:val="0"/>
      <w:marRight w:val="0"/>
      <w:marTop w:val="0"/>
      <w:marBottom w:val="0"/>
      <w:divBdr>
        <w:top w:val="none" w:sz="0" w:space="0" w:color="auto"/>
        <w:left w:val="none" w:sz="0" w:space="0" w:color="auto"/>
        <w:bottom w:val="none" w:sz="0" w:space="0" w:color="auto"/>
        <w:right w:val="none" w:sz="0" w:space="0" w:color="auto"/>
      </w:divBdr>
    </w:div>
    <w:div w:id="1375151289">
      <w:bodyDiv w:val="1"/>
      <w:marLeft w:val="0"/>
      <w:marRight w:val="0"/>
      <w:marTop w:val="0"/>
      <w:marBottom w:val="0"/>
      <w:divBdr>
        <w:top w:val="none" w:sz="0" w:space="0" w:color="auto"/>
        <w:left w:val="none" w:sz="0" w:space="0" w:color="auto"/>
        <w:bottom w:val="none" w:sz="0" w:space="0" w:color="auto"/>
        <w:right w:val="none" w:sz="0" w:space="0" w:color="auto"/>
      </w:divBdr>
    </w:div>
    <w:div w:id="1375152029">
      <w:bodyDiv w:val="1"/>
      <w:marLeft w:val="0"/>
      <w:marRight w:val="0"/>
      <w:marTop w:val="0"/>
      <w:marBottom w:val="0"/>
      <w:divBdr>
        <w:top w:val="none" w:sz="0" w:space="0" w:color="auto"/>
        <w:left w:val="none" w:sz="0" w:space="0" w:color="auto"/>
        <w:bottom w:val="none" w:sz="0" w:space="0" w:color="auto"/>
        <w:right w:val="none" w:sz="0" w:space="0" w:color="auto"/>
      </w:divBdr>
    </w:div>
    <w:div w:id="1375160009">
      <w:bodyDiv w:val="1"/>
      <w:marLeft w:val="0"/>
      <w:marRight w:val="0"/>
      <w:marTop w:val="0"/>
      <w:marBottom w:val="0"/>
      <w:divBdr>
        <w:top w:val="none" w:sz="0" w:space="0" w:color="auto"/>
        <w:left w:val="none" w:sz="0" w:space="0" w:color="auto"/>
        <w:bottom w:val="none" w:sz="0" w:space="0" w:color="auto"/>
        <w:right w:val="none" w:sz="0" w:space="0" w:color="auto"/>
      </w:divBdr>
    </w:div>
    <w:div w:id="1375351277">
      <w:bodyDiv w:val="1"/>
      <w:marLeft w:val="0"/>
      <w:marRight w:val="0"/>
      <w:marTop w:val="0"/>
      <w:marBottom w:val="0"/>
      <w:divBdr>
        <w:top w:val="none" w:sz="0" w:space="0" w:color="auto"/>
        <w:left w:val="none" w:sz="0" w:space="0" w:color="auto"/>
        <w:bottom w:val="none" w:sz="0" w:space="0" w:color="auto"/>
        <w:right w:val="none" w:sz="0" w:space="0" w:color="auto"/>
      </w:divBdr>
    </w:div>
    <w:div w:id="1375546202">
      <w:bodyDiv w:val="1"/>
      <w:marLeft w:val="0"/>
      <w:marRight w:val="0"/>
      <w:marTop w:val="0"/>
      <w:marBottom w:val="0"/>
      <w:divBdr>
        <w:top w:val="none" w:sz="0" w:space="0" w:color="auto"/>
        <w:left w:val="none" w:sz="0" w:space="0" w:color="auto"/>
        <w:bottom w:val="none" w:sz="0" w:space="0" w:color="auto"/>
        <w:right w:val="none" w:sz="0" w:space="0" w:color="auto"/>
      </w:divBdr>
    </w:div>
    <w:div w:id="1375613909">
      <w:bodyDiv w:val="1"/>
      <w:marLeft w:val="0"/>
      <w:marRight w:val="0"/>
      <w:marTop w:val="0"/>
      <w:marBottom w:val="0"/>
      <w:divBdr>
        <w:top w:val="none" w:sz="0" w:space="0" w:color="auto"/>
        <w:left w:val="none" w:sz="0" w:space="0" w:color="auto"/>
        <w:bottom w:val="none" w:sz="0" w:space="0" w:color="auto"/>
        <w:right w:val="none" w:sz="0" w:space="0" w:color="auto"/>
      </w:divBdr>
    </w:div>
    <w:div w:id="1375695297">
      <w:bodyDiv w:val="1"/>
      <w:marLeft w:val="0"/>
      <w:marRight w:val="0"/>
      <w:marTop w:val="0"/>
      <w:marBottom w:val="0"/>
      <w:divBdr>
        <w:top w:val="none" w:sz="0" w:space="0" w:color="auto"/>
        <w:left w:val="none" w:sz="0" w:space="0" w:color="auto"/>
        <w:bottom w:val="none" w:sz="0" w:space="0" w:color="auto"/>
        <w:right w:val="none" w:sz="0" w:space="0" w:color="auto"/>
      </w:divBdr>
    </w:div>
    <w:div w:id="1375959758">
      <w:bodyDiv w:val="1"/>
      <w:marLeft w:val="0"/>
      <w:marRight w:val="0"/>
      <w:marTop w:val="0"/>
      <w:marBottom w:val="0"/>
      <w:divBdr>
        <w:top w:val="none" w:sz="0" w:space="0" w:color="auto"/>
        <w:left w:val="none" w:sz="0" w:space="0" w:color="auto"/>
        <w:bottom w:val="none" w:sz="0" w:space="0" w:color="auto"/>
        <w:right w:val="none" w:sz="0" w:space="0" w:color="auto"/>
      </w:divBdr>
    </w:div>
    <w:div w:id="1376077116">
      <w:bodyDiv w:val="1"/>
      <w:marLeft w:val="0"/>
      <w:marRight w:val="0"/>
      <w:marTop w:val="0"/>
      <w:marBottom w:val="0"/>
      <w:divBdr>
        <w:top w:val="none" w:sz="0" w:space="0" w:color="auto"/>
        <w:left w:val="none" w:sz="0" w:space="0" w:color="auto"/>
        <w:bottom w:val="none" w:sz="0" w:space="0" w:color="auto"/>
        <w:right w:val="none" w:sz="0" w:space="0" w:color="auto"/>
      </w:divBdr>
    </w:div>
    <w:div w:id="1376275288">
      <w:bodyDiv w:val="1"/>
      <w:marLeft w:val="0"/>
      <w:marRight w:val="0"/>
      <w:marTop w:val="0"/>
      <w:marBottom w:val="0"/>
      <w:divBdr>
        <w:top w:val="none" w:sz="0" w:space="0" w:color="auto"/>
        <w:left w:val="none" w:sz="0" w:space="0" w:color="auto"/>
        <w:bottom w:val="none" w:sz="0" w:space="0" w:color="auto"/>
        <w:right w:val="none" w:sz="0" w:space="0" w:color="auto"/>
      </w:divBdr>
    </w:div>
    <w:div w:id="1376348891">
      <w:bodyDiv w:val="1"/>
      <w:marLeft w:val="0"/>
      <w:marRight w:val="0"/>
      <w:marTop w:val="0"/>
      <w:marBottom w:val="0"/>
      <w:divBdr>
        <w:top w:val="none" w:sz="0" w:space="0" w:color="auto"/>
        <w:left w:val="none" w:sz="0" w:space="0" w:color="auto"/>
        <w:bottom w:val="none" w:sz="0" w:space="0" w:color="auto"/>
        <w:right w:val="none" w:sz="0" w:space="0" w:color="auto"/>
      </w:divBdr>
    </w:div>
    <w:div w:id="1376391415">
      <w:bodyDiv w:val="1"/>
      <w:marLeft w:val="0"/>
      <w:marRight w:val="0"/>
      <w:marTop w:val="0"/>
      <w:marBottom w:val="0"/>
      <w:divBdr>
        <w:top w:val="none" w:sz="0" w:space="0" w:color="auto"/>
        <w:left w:val="none" w:sz="0" w:space="0" w:color="auto"/>
        <w:bottom w:val="none" w:sz="0" w:space="0" w:color="auto"/>
        <w:right w:val="none" w:sz="0" w:space="0" w:color="auto"/>
      </w:divBdr>
    </w:div>
    <w:div w:id="1376419642">
      <w:bodyDiv w:val="1"/>
      <w:marLeft w:val="0"/>
      <w:marRight w:val="0"/>
      <w:marTop w:val="0"/>
      <w:marBottom w:val="0"/>
      <w:divBdr>
        <w:top w:val="none" w:sz="0" w:space="0" w:color="auto"/>
        <w:left w:val="none" w:sz="0" w:space="0" w:color="auto"/>
        <w:bottom w:val="none" w:sz="0" w:space="0" w:color="auto"/>
        <w:right w:val="none" w:sz="0" w:space="0" w:color="auto"/>
      </w:divBdr>
    </w:div>
    <w:div w:id="1376463993">
      <w:bodyDiv w:val="1"/>
      <w:marLeft w:val="0"/>
      <w:marRight w:val="0"/>
      <w:marTop w:val="0"/>
      <w:marBottom w:val="0"/>
      <w:divBdr>
        <w:top w:val="none" w:sz="0" w:space="0" w:color="auto"/>
        <w:left w:val="none" w:sz="0" w:space="0" w:color="auto"/>
        <w:bottom w:val="none" w:sz="0" w:space="0" w:color="auto"/>
        <w:right w:val="none" w:sz="0" w:space="0" w:color="auto"/>
      </w:divBdr>
    </w:div>
    <w:div w:id="1376468268">
      <w:bodyDiv w:val="1"/>
      <w:marLeft w:val="0"/>
      <w:marRight w:val="0"/>
      <w:marTop w:val="0"/>
      <w:marBottom w:val="0"/>
      <w:divBdr>
        <w:top w:val="none" w:sz="0" w:space="0" w:color="auto"/>
        <w:left w:val="none" w:sz="0" w:space="0" w:color="auto"/>
        <w:bottom w:val="none" w:sz="0" w:space="0" w:color="auto"/>
        <w:right w:val="none" w:sz="0" w:space="0" w:color="auto"/>
      </w:divBdr>
    </w:div>
    <w:div w:id="1376469759">
      <w:bodyDiv w:val="1"/>
      <w:marLeft w:val="0"/>
      <w:marRight w:val="0"/>
      <w:marTop w:val="0"/>
      <w:marBottom w:val="0"/>
      <w:divBdr>
        <w:top w:val="none" w:sz="0" w:space="0" w:color="auto"/>
        <w:left w:val="none" w:sz="0" w:space="0" w:color="auto"/>
        <w:bottom w:val="none" w:sz="0" w:space="0" w:color="auto"/>
        <w:right w:val="none" w:sz="0" w:space="0" w:color="auto"/>
      </w:divBdr>
    </w:div>
    <w:div w:id="1376540987">
      <w:bodyDiv w:val="1"/>
      <w:marLeft w:val="0"/>
      <w:marRight w:val="0"/>
      <w:marTop w:val="0"/>
      <w:marBottom w:val="0"/>
      <w:divBdr>
        <w:top w:val="none" w:sz="0" w:space="0" w:color="auto"/>
        <w:left w:val="none" w:sz="0" w:space="0" w:color="auto"/>
        <w:bottom w:val="none" w:sz="0" w:space="0" w:color="auto"/>
        <w:right w:val="none" w:sz="0" w:space="0" w:color="auto"/>
      </w:divBdr>
    </w:div>
    <w:div w:id="1376588259">
      <w:bodyDiv w:val="1"/>
      <w:marLeft w:val="0"/>
      <w:marRight w:val="0"/>
      <w:marTop w:val="0"/>
      <w:marBottom w:val="0"/>
      <w:divBdr>
        <w:top w:val="none" w:sz="0" w:space="0" w:color="auto"/>
        <w:left w:val="none" w:sz="0" w:space="0" w:color="auto"/>
        <w:bottom w:val="none" w:sz="0" w:space="0" w:color="auto"/>
        <w:right w:val="none" w:sz="0" w:space="0" w:color="auto"/>
      </w:divBdr>
    </w:div>
    <w:div w:id="1376664090">
      <w:bodyDiv w:val="1"/>
      <w:marLeft w:val="0"/>
      <w:marRight w:val="0"/>
      <w:marTop w:val="0"/>
      <w:marBottom w:val="0"/>
      <w:divBdr>
        <w:top w:val="none" w:sz="0" w:space="0" w:color="auto"/>
        <w:left w:val="none" w:sz="0" w:space="0" w:color="auto"/>
        <w:bottom w:val="none" w:sz="0" w:space="0" w:color="auto"/>
        <w:right w:val="none" w:sz="0" w:space="0" w:color="auto"/>
      </w:divBdr>
    </w:div>
    <w:div w:id="1376734995">
      <w:bodyDiv w:val="1"/>
      <w:marLeft w:val="0"/>
      <w:marRight w:val="0"/>
      <w:marTop w:val="0"/>
      <w:marBottom w:val="0"/>
      <w:divBdr>
        <w:top w:val="none" w:sz="0" w:space="0" w:color="auto"/>
        <w:left w:val="none" w:sz="0" w:space="0" w:color="auto"/>
        <w:bottom w:val="none" w:sz="0" w:space="0" w:color="auto"/>
        <w:right w:val="none" w:sz="0" w:space="0" w:color="auto"/>
      </w:divBdr>
    </w:div>
    <w:div w:id="1376857096">
      <w:bodyDiv w:val="1"/>
      <w:marLeft w:val="0"/>
      <w:marRight w:val="0"/>
      <w:marTop w:val="0"/>
      <w:marBottom w:val="0"/>
      <w:divBdr>
        <w:top w:val="none" w:sz="0" w:space="0" w:color="auto"/>
        <w:left w:val="none" w:sz="0" w:space="0" w:color="auto"/>
        <w:bottom w:val="none" w:sz="0" w:space="0" w:color="auto"/>
        <w:right w:val="none" w:sz="0" w:space="0" w:color="auto"/>
      </w:divBdr>
    </w:div>
    <w:div w:id="1376931862">
      <w:bodyDiv w:val="1"/>
      <w:marLeft w:val="0"/>
      <w:marRight w:val="0"/>
      <w:marTop w:val="0"/>
      <w:marBottom w:val="0"/>
      <w:divBdr>
        <w:top w:val="none" w:sz="0" w:space="0" w:color="auto"/>
        <w:left w:val="none" w:sz="0" w:space="0" w:color="auto"/>
        <w:bottom w:val="none" w:sz="0" w:space="0" w:color="auto"/>
        <w:right w:val="none" w:sz="0" w:space="0" w:color="auto"/>
      </w:divBdr>
    </w:div>
    <w:div w:id="1377242239">
      <w:bodyDiv w:val="1"/>
      <w:marLeft w:val="0"/>
      <w:marRight w:val="0"/>
      <w:marTop w:val="0"/>
      <w:marBottom w:val="0"/>
      <w:divBdr>
        <w:top w:val="none" w:sz="0" w:space="0" w:color="auto"/>
        <w:left w:val="none" w:sz="0" w:space="0" w:color="auto"/>
        <w:bottom w:val="none" w:sz="0" w:space="0" w:color="auto"/>
        <w:right w:val="none" w:sz="0" w:space="0" w:color="auto"/>
      </w:divBdr>
    </w:div>
    <w:div w:id="1377268347">
      <w:bodyDiv w:val="1"/>
      <w:marLeft w:val="0"/>
      <w:marRight w:val="0"/>
      <w:marTop w:val="0"/>
      <w:marBottom w:val="0"/>
      <w:divBdr>
        <w:top w:val="none" w:sz="0" w:space="0" w:color="auto"/>
        <w:left w:val="none" w:sz="0" w:space="0" w:color="auto"/>
        <w:bottom w:val="none" w:sz="0" w:space="0" w:color="auto"/>
        <w:right w:val="none" w:sz="0" w:space="0" w:color="auto"/>
      </w:divBdr>
    </w:div>
    <w:div w:id="1377311847">
      <w:bodyDiv w:val="1"/>
      <w:marLeft w:val="0"/>
      <w:marRight w:val="0"/>
      <w:marTop w:val="0"/>
      <w:marBottom w:val="0"/>
      <w:divBdr>
        <w:top w:val="none" w:sz="0" w:space="0" w:color="auto"/>
        <w:left w:val="none" w:sz="0" w:space="0" w:color="auto"/>
        <w:bottom w:val="none" w:sz="0" w:space="0" w:color="auto"/>
        <w:right w:val="none" w:sz="0" w:space="0" w:color="auto"/>
      </w:divBdr>
    </w:div>
    <w:div w:id="1377461891">
      <w:bodyDiv w:val="1"/>
      <w:marLeft w:val="0"/>
      <w:marRight w:val="0"/>
      <w:marTop w:val="0"/>
      <w:marBottom w:val="0"/>
      <w:divBdr>
        <w:top w:val="none" w:sz="0" w:space="0" w:color="auto"/>
        <w:left w:val="none" w:sz="0" w:space="0" w:color="auto"/>
        <w:bottom w:val="none" w:sz="0" w:space="0" w:color="auto"/>
        <w:right w:val="none" w:sz="0" w:space="0" w:color="auto"/>
      </w:divBdr>
    </w:div>
    <w:div w:id="1377466046">
      <w:bodyDiv w:val="1"/>
      <w:marLeft w:val="0"/>
      <w:marRight w:val="0"/>
      <w:marTop w:val="0"/>
      <w:marBottom w:val="0"/>
      <w:divBdr>
        <w:top w:val="none" w:sz="0" w:space="0" w:color="auto"/>
        <w:left w:val="none" w:sz="0" w:space="0" w:color="auto"/>
        <w:bottom w:val="none" w:sz="0" w:space="0" w:color="auto"/>
        <w:right w:val="none" w:sz="0" w:space="0" w:color="auto"/>
      </w:divBdr>
    </w:div>
    <w:div w:id="1377508007">
      <w:bodyDiv w:val="1"/>
      <w:marLeft w:val="0"/>
      <w:marRight w:val="0"/>
      <w:marTop w:val="0"/>
      <w:marBottom w:val="0"/>
      <w:divBdr>
        <w:top w:val="none" w:sz="0" w:space="0" w:color="auto"/>
        <w:left w:val="none" w:sz="0" w:space="0" w:color="auto"/>
        <w:bottom w:val="none" w:sz="0" w:space="0" w:color="auto"/>
        <w:right w:val="none" w:sz="0" w:space="0" w:color="auto"/>
      </w:divBdr>
    </w:div>
    <w:div w:id="1377654599">
      <w:bodyDiv w:val="1"/>
      <w:marLeft w:val="0"/>
      <w:marRight w:val="0"/>
      <w:marTop w:val="0"/>
      <w:marBottom w:val="0"/>
      <w:divBdr>
        <w:top w:val="none" w:sz="0" w:space="0" w:color="auto"/>
        <w:left w:val="none" w:sz="0" w:space="0" w:color="auto"/>
        <w:bottom w:val="none" w:sz="0" w:space="0" w:color="auto"/>
        <w:right w:val="none" w:sz="0" w:space="0" w:color="auto"/>
      </w:divBdr>
    </w:div>
    <w:div w:id="1377658574">
      <w:bodyDiv w:val="1"/>
      <w:marLeft w:val="0"/>
      <w:marRight w:val="0"/>
      <w:marTop w:val="0"/>
      <w:marBottom w:val="0"/>
      <w:divBdr>
        <w:top w:val="none" w:sz="0" w:space="0" w:color="auto"/>
        <w:left w:val="none" w:sz="0" w:space="0" w:color="auto"/>
        <w:bottom w:val="none" w:sz="0" w:space="0" w:color="auto"/>
        <w:right w:val="none" w:sz="0" w:space="0" w:color="auto"/>
      </w:divBdr>
    </w:div>
    <w:div w:id="1377699478">
      <w:bodyDiv w:val="1"/>
      <w:marLeft w:val="0"/>
      <w:marRight w:val="0"/>
      <w:marTop w:val="0"/>
      <w:marBottom w:val="0"/>
      <w:divBdr>
        <w:top w:val="none" w:sz="0" w:space="0" w:color="auto"/>
        <w:left w:val="none" w:sz="0" w:space="0" w:color="auto"/>
        <w:bottom w:val="none" w:sz="0" w:space="0" w:color="auto"/>
        <w:right w:val="none" w:sz="0" w:space="0" w:color="auto"/>
      </w:divBdr>
    </w:div>
    <w:div w:id="1377699824">
      <w:bodyDiv w:val="1"/>
      <w:marLeft w:val="0"/>
      <w:marRight w:val="0"/>
      <w:marTop w:val="0"/>
      <w:marBottom w:val="0"/>
      <w:divBdr>
        <w:top w:val="none" w:sz="0" w:space="0" w:color="auto"/>
        <w:left w:val="none" w:sz="0" w:space="0" w:color="auto"/>
        <w:bottom w:val="none" w:sz="0" w:space="0" w:color="auto"/>
        <w:right w:val="none" w:sz="0" w:space="0" w:color="auto"/>
      </w:divBdr>
    </w:div>
    <w:div w:id="1377700200">
      <w:bodyDiv w:val="1"/>
      <w:marLeft w:val="0"/>
      <w:marRight w:val="0"/>
      <w:marTop w:val="0"/>
      <w:marBottom w:val="0"/>
      <w:divBdr>
        <w:top w:val="none" w:sz="0" w:space="0" w:color="auto"/>
        <w:left w:val="none" w:sz="0" w:space="0" w:color="auto"/>
        <w:bottom w:val="none" w:sz="0" w:space="0" w:color="auto"/>
        <w:right w:val="none" w:sz="0" w:space="0" w:color="auto"/>
      </w:divBdr>
    </w:div>
    <w:div w:id="1377703877">
      <w:bodyDiv w:val="1"/>
      <w:marLeft w:val="0"/>
      <w:marRight w:val="0"/>
      <w:marTop w:val="0"/>
      <w:marBottom w:val="0"/>
      <w:divBdr>
        <w:top w:val="none" w:sz="0" w:space="0" w:color="auto"/>
        <w:left w:val="none" w:sz="0" w:space="0" w:color="auto"/>
        <w:bottom w:val="none" w:sz="0" w:space="0" w:color="auto"/>
        <w:right w:val="none" w:sz="0" w:space="0" w:color="auto"/>
      </w:divBdr>
    </w:div>
    <w:div w:id="1377847907">
      <w:bodyDiv w:val="1"/>
      <w:marLeft w:val="0"/>
      <w:marRight w:val="0"/>
      <w:marTop w:val="0"/>
      <w:marBottom w:val="0"/>
      <w:divBdr>
        <w:top w:val="none" w:sz="0" w:space="0" w:color="auto"/>
        <w:left w:val="none" w:sz="0" w:space="0" w:color="auto"/>
        <w:bottom w:val="none" w:sz="0" w:space="0" w:color="auto"/>
        <w:right w:val="none" w:sz="0" w:space="0" w:color="auto"/>
      </w:divBdr>
    </w:div>
    <w:div w:id="1377855433">
      <w:bodyDiv w:val="1"/>
      <w:marLeft w:val="0"/>
      <w:marRight w:val="0"/>
      <w:marTop w:val="0"/>
      <w:marBottom w:val="0"/>
      <w:divBdr>
        <w:top w:val="none" w:sz="0" w:space="0" w:color="auto"/>
        <w:left w:val="none" w:sz="0" w:space="0" w:color="auto"/>
        <w:bottom w:val="none" w:sz="0" w:space="0" w:color="auto"/>
        <w:right w:val="none" w:sz="0" w:space="0" w:color="auto"/>
      </w:divBdr>
    </w:div>
    <w:div w:id="1377923766">
      <w:bodyDiv w:val="1"/>
      <w:marLeft w:val="0"/>
      <w:marRight w:val="0"/>
      <w:marTop w:val="0"/>
      <w:marBottom w:val="0"/>
      <w:divBdr>
        <w:top w:val="none" w:sz="0" w:space="0" w:color="auto"/>
        <w:left w:val="none" w:sz="0" w:space="0" w:color="auto"/>
        <w:bottom w:val="none" w:sz="0" w:space="0" w:color="auto"/>
        <w:right w:val="none" w:sz="0" w:space="0" w:color="auto"/>
      </w:divBdr>
    </w:div>
    <w:div w:id="1378116535">
      <w:bodyDiv w:val="1"/>
      <w:marLeft w:val="0"/>
      <w:marRight w:val="0"/>
      <w:marTop w:val="0"/>
      <w:marBottom w:val="0"/>
      <w:divBdr>
        <w:top w:val="none" w:sz="0" w:space="0" w:color="auto"/>
        <w:left w:val="none" w:sz="0" w:space="0" w:color="auto"/>
        <w:bottom w:val="none" w:sz="0" w:space="0" w:color="auto"/>
        <w:right w:val="none" w:sz="0" w:space="0" w:color="auto"/>
      </w:divBdr>
    </w:div>
    <w:div w:id="1378119409">
      <w:bodyDiv w:val="1"/>
      <w:marLeft w:val="0"/>
      <w:marRight w:val="0"/>
      <w:marTop w:val="0"/>
      <w:marBottom w:val="0"/>
      <w:divBdr>
        <w:top w:val="none" w:sz="0" w:space="0" w:color="auto"/>
        <w:left w:val="none" w:sz="0" w:space="0" w:color="auto"/>
        <w:bottom w:val="none" w:sz="0" w:space="0" w:color="auto"/>
        <w:right w:val="none" w:sz="0" w:space="0" w:color="auto"/>
      </w:divBdr>
    </w:div>
    <w:div w:id="1378243642">
      <w:bodyDiv w:val="1"/>
      <w:marLeft w:val="0"/>
      <w:marRight w:val="0"/>
      <w:marTop w:val="0"/>
      <w:marBottom w:val="0"/>
      <w:divBdr>
        <w:top w:val="none" w:sz="0" w:space="0" w:color="auto"/>
        <w:left w:val="none" w:sz="0" w:space="0" w:color="auto"/>
        <w:bottom w:val="none" w:sz="0" w:space="0" w:color="auto"/>
        <w:right w:val="none" w:sz="0" w:space="0" w:color="auto"/>
      </w:divBdr>
    </w:div>
    <w:div w:id="1378311497">
      <w:bodyDiv w:val="1"/>
      <w:marLeft w:val="0"/>
      <w:marRight w:val="0"/>
      <w:marTop w:val="0"/>
      <w:marBottom w:val="0"/>
      <w:divBdr>
        <w:top w:val="none" w:sz="0" w:space="0" w:color="auto"/>
        <w:left w:val="none" w:sz="0" w:space="0" w:color="auto"/>
        <w:bottom w:val="none" w:sz="0" w:space="0" w:color="auto"/>
        <w:right w:val="none" w:sz="0" w:space="0" w:color="auto"/>
      </w:divBdr>
    </w:div>
    <w:div w:id="1378353993">
      <w:bodyDiv w:val="1"/>
      <w:marLeft w:val="0"/>
      <w:marRight w:val="0"/>
      <w:marTop w:val="0"/>
      <w:marBottom w:val="0"/>
      <w:divBdr>
        <w:top w:val="none" w:sz="0" w:space="0" w:color="auto"/>
        <w:left w:val="none" w:sz="0" w:space="0" w:color="auto"/>
        <w:bottom w:val="none" w:sz="0" w:space="0" w:color="auto"/>
        <w:right w:val="none" w:sz="0" w:space="0" w:color="auto"/>
      </w:divBdr>
    </w:div>
    <w:div w:id="1378357851">
      <w:bodyDiv w:val="1"/>
      <w:marLeft w:val="0"/>
      <w:marRight w:val="0"/>
      <w:marTop w:val="0"/>
      <w:marBottom w:val="0"/>
      <w:divBdr>
        <w:top w:val="none" w:sz="0" w:space="0" w:color="auto"/>
        <w:left w:val="none" w:sz="0" w:space="0" w:color="auto"/>
        <w:bottom w:val="none" w:sz="0" w:space="0" w:color="auto"/>
        <w:right w:val="none" w:sz="0" w:space="0" w:color="auto"/>
      </w:divBdr>
    </w:div>
    <w:div w:id="1378430531">
      <w:bodyDiv w:val="1"/>
      <w:marLeft w:val="0"/>
      <w:marRight w:val="0"/>
      <w:marTop w:val="0"/>
      <w:marBottom w:val="0"/>
      <w:divBdr>
        <w:top w:val="none" w:sz="0" w:space="0" w:color="auto"/>
        <w:left w:val="none" w:sz="0" w:space="0" w:color="auto"/>
        <w:bottom w:val="none" w:sz="0" w:space="0" w:color="auto"/>
        <w:right w:val="none" w:sz="0" w:space="0" w:color="auto"/>
      </w:divBdr>
    </w:div>
    <w:div w:id="1378554351">
      <w:bodyDiv w:val="1"/>
      <w:marLeft w:val="0"/>
      <w:marRight w:val="0"/>
      <w:marTop w:val="0"/>
      <w:marBottom w:val="0"/>
      <w:divBdr>
        <w:top w:val="none" w:sz="0" w:space="0" w:color="auto"/>
        <w:left w:val="none" w:sz="0" w:space="0" w:color="auto"/>
        <w:bottom w:val="none" w:sz="0" w:space="0" w:color="auto"/>
        <w:right w:val="none" w:sz="0" w:space="0" w:color="auto"/>
      </w:divBdr>
    </w:div>
    <w:div w:id="1378821883">
      <w:bodyDiv w:val="1"/>
      <w:marLeft w:val="0"/>
      <w:marRight w:val="0"/>
      <w:marTop w:val="0"/>
      <w:marBottom w:val="0"/>
      <w:divBdr>
        <w:top w:val="none" w:sz="0" w:space="0" w:color="auto"/>
        <w:left w:val="none" w:sz="0" w:space="0" w:color="auto"/>
        <w:bottom w:val="none" w:sz="0" w:space="0" w:color="auto"/>
        <w:right w:val="none" w:sz="0" w:space="0" w:color="auto"/>
      </w:divBdr>
    </w:div>
    <w:div w:id="1378897207">
      <w:bodyDiv w:val="1"/>
      <w:marLeft w:val="0"/>
      <w:marRight w:val="0"/>
      <w:marTop w:val="0"/>
      <w:marBottom w:val="0"/>
      <w:divBdr>
        <w:top w:val="none" w:sz="0" w:space="0" w:color="auto"/>
        <w:left w:val="none" w:sz="0" w:space="0" w:color="auto"/>
        <w:bottom w:val="none" w:sz="0" w:space="0" w:color="auto"/>
        <w:right w:val="none" w:sz="0" w:space="0" w:color="auto"/>
      </w:divBdr>
    </w:div>
    <w:div w:id="1378898466">
      <w:bodyDiv w:val="1"/>
      <w:marLeft w:val="0"/>
      <w:marRight w:val="0"/>
      <w:marTop w:val="0"/>
      <w:marBottom w:val="0"/>
      <w:divBdr>
        <w:top w:val="none" w:sz="0" w:space="0" w:color="auto"/>
        <w:left w:val="none" w:sz="0" w:space="0" w:color="auto"/>
        <w:bottom w:val="none" w:sz="0" w:space="0" w:color="auto"/>
        <w:right w:val="none" w:sz="0" w:space="0" w:color="auto"/>
      </w:divBdr>
    </w:div>
    <w:div w:id="1379011890">
      <w:bodyDiv w:val="1"/>
      <w:marLeft w:val="0"/>
      <w:marRight w:val="0"/>
      <w:marTop w:val="0"/>
      <w:marBottom w:val="0"/>
      <w:divBdr>
        <w:top w:val="none" w:sz="0" w:space="0" w:color="auto"/>
        <w:left w:val="none" w:sz="0" w:space="0" w:color="auto"/>
        <w:bottom w:val="none" w:sz="0" w:space="0" w:color="auto"/>
        <w:right w:val="none" w:sz="0" w:space="0" w:color="auto"/>
      </w:divBdr>
    </w:div>
    <w:div w:id="1379014209">
      <w:bodyDiv w:val="1"/>
      <w:marLeft w:val="0"/>
      <w:marRight w:val="0"/>
      <w:marTop w:val="0"/>
      <w:marBottom w:val="0"/>
      <w:divBdr>
        <w:top w:val="none" w:sz="0" w:space="0" w:color="auto"/>
        <w:left w:val="none" w:sz="0" w:space="0" w:color="auto"/>
        <w:bottom w:val="none" w:sz="0" w:space="0" w:color="auto"/>
        <w:right w:val="none" w:sz="0" w:space="0" w:color="auto"/>
      </w:divBdr>
    </w:div>
    <w:div w:id="1379084550">
      <w:bodyDiv w:val="1"/>
      <w:marLeft w:val="0"/>
      <w:marRight w:val="0"/>
      <w:marTop w:val="0"/>
      <w:marBottom w:val="0"/>
      <w:divBdr>
        <w:top w:val="none" w:sz="0" w:space="0" w:color="auto"/>
        <w:left w:val="none" w:sz="0" w:space="0" w:color="auto"/>
        <w:bottom w:val="none" w:sz="0" w:space="0" w:color="auto"/>
        <w:right w:val="none" w:sz="0" w:space="0" w:color="auto"/>
      </w:divBdr>
    </w:div>
    <w:div w:id="1379086345">
      <w:bodyDiv w:val="1"/>
      <w:marLeft w:val="0"/>
      <w:marRight w:val="0"/>
      <w:marTop w:val="0"/>
      <w:marBottom w:val="0"/>
      <w:divBdr>
        <w:top w:val="none" w:sz="0" w:space="0" w:color="auto"/>
        <w:left w:val="none" w:sz="0" w:space="0" w:color="auto"/>
        <w:bottom w:val="none" w:sz="0" w:space="0" w:color="auto"/>
        <w:right w:val="none" w:sz="0" w:space="0" w:color="auto"/>
      </w:divBdr>
    </w:div>
    <w:div w:id="1379166227">
      <w:bodyDiv w:val="1"/>
      <w:marLeft w:val="0"/>
      <w:marRight w:val="0"/>
      <w:marTop w:val="0"/>
      <w:marBottom w:val="0"/>
      <w:divBdr>
        <w:top w:val="none" w:sz="0" w:space="0" w:color="auto"/>
        <w:left w:val="none" w:sz="0" w:space="0" w:color="auto"/>
        <w:bottom w:val="none" w:sz="0" w:space="0" w:color="auto"/>
        <w:right w:val="none" w:sz="0" w:space="0" w:color="auto"/>
      </w:divBdr>
    </w:div>
    <w:div w:id="1379205955">
      <w:bodyDiv w:val="1"/>
      <w:marLeft w:val="0"/>
      <w:marRight w:val="0"/>
      <w:marTop w:val="0"/>
      <w:marBottom w:val="0"/>
      <w:divBdr>
        <w:top w:val="none" w:sz="0" w:space="0" w:color="auto"/>
        <w:left w:val="none" w:sz="0" w:space="0" w:color="auto"/>
        <w:bottom w:val="none" w:sz="0" w:space="0" w:color="auto"/>
        <w:right w:val="none" w:sz="0" w:space="0" w:color="auto"/>
      </w:divBdr>
    </w:div>
    <w:div w:id="1379280830">
      <w:bodyDiv w:val="1"/>
      <w:marLeft w:val="0"/>
      <w:marRight w:val="0"/>
      <w:marTop w:val="0"/>
      <w:marBottom w:val="0"/>
      <w:divBdr>
        <w:top w:val="none" w:sz="0" w:space="0" w:color="auto"/>
        <w:left w:val="none" w:sz="0" w:space="0" w:color="auto"/>
        <w:bottom w:val="none" w:sz="0" w:space="0" w:color="auto"/>
        <w:right w:val="none" w:sz="0" w:space="0" w:color="auto"/>
      </w:divBdr>
    </w:div>
    <w:div w:id="1379281138">
      <w:bodyDiv w:val="1"/>
      <w:marLeft w:val="0"/>
      <w:marRight w:val="0"/>
      <w:marTop w:val="0"/>
      <w:marBottom w:val="0"/>
      <w:divBdr>
        <w:top w:val="none" w:sz="0" w:space="0" w:color="auto"/>
        <w:left w:val="none" w:sz="0" w:space="0" w:color="auto"/>
        <w:bottom w:val="none" w:sz="0" w:space="0" w:color="auto"/>
        <w:right w:val="none" w:sz="0" w:space="0" w:color="auto"/>
      </w:divBdr>
    </w:div>
    <w:div w:id="1379360170">
      <w:bodyDiv w:val="1"/>
      <w:marLeft w:val="0"/>
      <w:marRight w:val="0"/>
      <w:marTop w:val="0"/>
      <w:marBottom w:val="0"/>
      <w:divBdr>
        <w:top w:val="none" w:sz="0" w:space="0" w:color="auto"/>
        <w:left w:val="none" w:sz="0" w:space="0" w:color="auto"/>
        <w:bottom w:val="none" w:sz="0" w:space="0" w:color="auto"/>
        <w:right w:val="none" w:sz="0" w:space="0" w:color="auto"/>
      </w:divBdr>
    </w:div>
    <w:div w:id="1379428356">
      <w:bodyDiv w:val="1"/>
      <w:marLeft w:val="0"/>
      <w:marRight w:val="0"/>
      <w:marTop w:val="0"/>
      <w:marBottom w:val="0"/>
      <w:divBdr>
        <w:top w:val="none" w:sz="0" w:space="0" w:color="auto"/>
        <w:left w:val="none" w:sz="0" w:space="0" w:color="auto"/>
        <w:bottom w:val="none" w:sz="0" w:space="0" w:color="auto"/>
        <w:right w:val="none" w:sz="0" w:space="0" w:color="auto"/>
      </w:divBdr>
    </w:div>
    <w:div w:id="1379814701">
      <w:bodyDiv w:val="1"/>
      <w:marLeft w:val="0"/>
      <w:marRight w:val="0"/>
      <w:marTop w:val="0"/>
      <w:marBottom w:val="0"/>
      <w:divBdr>
        <w:top w:val="none" w:sz="0" w:space="0" w:color="auto"/>
        <w:left w:val="none" w:sz="0" w:space="0" w:color="auto"/>
        <w:bottom w:val="none" w:sz="0" w:space="0" w:color="auto"/>
        <w:right w:val="none" w:sz="0" w:space="0" w:color="auto"/>
      </w:divBdr>
    </w:div>
    <w:div w:id="1379818738">
      <w:bodyDiv w:val="1"/>
      <w:marLeft w:val="0"/>
      <w:marRight w:val="0"/>
      <w:marTop w:val="0"/>
      <w:marBottom w:val="0"/>
      <w:divBdr>
        <w:top w:val="none" w:sz="0" w:space="0" w:color="auto"/>
        <w:left w:val="none" w:sz="0" w:space="0" w:color="auto"/>
        <w:bottom w:val="none" w:sz="0" w:space="0" w:color="auto"/>
        <w:right w:val="none" w:sz="0" w:space="0" w:color="auto"/>
      </w:divBdr>
    </w:div>
    <w:div w:id="1379891608">
      <w:bodyDiv w:val="1"/>
      <w:marLeft w:val="0"/>
      <w:marRight w:val="0"/>
      <w:marTop w:val="0"/>
      <w:marBottom w:val="0"/>
      <w:divBdr>
        <w:top w:val="none" w:sz="0" w:space="0" w:color="auto"/>
        <w:left w:val="none" w:sz="0" w:space="0" w:color="auto"/>
        <w:bottom w:val="none" w:sz="0" w:space="0" w:color="auto"/>
        <w:right w:val="none" w:sz="0" w:space="0" w:color="auto"/>
      </w:divBdr>
    </w:div>
    <w:div w:id="1379939063">
      <w:bodyDiv w:val="1"/>
      <w:marLeft w:val="0"/>
      <w:marRight w:val="0"/>
      <w:marTop w:val="0"/>
      <w:marBottom w:val="0"/>
      <w:divBdr>
        <w:top w:val="none" w:sz="0" w:space="0" w:color="auto"/>
        <w:left w:val="none" w:sz="0" w:space="0" w:color="auto"/>
        <w:bottom w:val="none" w:sz="0" w:space="0" w:color="auto"/>
        <w:right w:val="none" w:sz="0" w:space="0" w:color="auto"/>
      </w:divBdr>
    </w:div>
    <w:div w:id="1380058983">
      <w:bodyDiv w:val="1"/>
      <w:marLeft w:val="0"/>
      <w:marRight w:val="0"/>
      <w:marTop w:val="0"/>
      <w:marBottom w:val="0"/>
      <w:divBdr>
        <w:top w:val="none" w:sz="0" w:space="0" w:color="auto"/>
        <w:left w:val="none" w:sz="0" w:space="0" w:color="auto"/>
        <w:bottom w:val="none" w:sz="0" w:space="0" w:color="auto"/>
        <w:right w:val="none" w:sz="0" w:space="0" w:color="auto"/>
      </w:divBdr>
    </w:div>
    <w:div w:id="1380089560">
      <w:bodyDiv w:val="1"/>
      <w:marLeft w:val="0"/>
      <w:marRight w:val="0"/>
      <w:marTop w:val="0"/>
      <w:marBottom w:val="0"/>
      <w:divBdr>
        <w:top w:val="none" w:sz="0" w:space="0" w:color="auto"/>
        <w:left w:val="none" w:sz="0" w:space="0" w:color="auto"/>
        <w:bottom w:val="none" w:sz="0" w:space="0" w:color="auto"/>
        <w:right w:val="none" w:sz="0" w:space="0" w:color="auto"/>
      </w:divBdr>
    </w:div>
    <w:div w:id="1380208103">
      <w:bodyDiv w:val="1"/>
      <w:marLeft w:val="0"/>
      <w:marRight w:val="0"/>
      <w:marTop w:val="0"/>
      <w:marBottom w:val="0"/>
      <w:divBdr>
        <w:top w:val="none" w:sz="0" w:space="0" w:color="auto"/>
        <w:left w:val="none" w:sz="0" w:space="0" w:color="auto"/>
        <w:bottom w:val="none" w:sz="0" w:space="0" w:color="auto"/>
        <w:right w:val="none" w:sz="0" w:space="0" w:color="auto"/>
      </w:divBdr>
    </w:div>
    <w:div w:id="1380284434">
      <w:bodyDiv w:val="1"/>
      <w:marLeft w:val="0"/>
      <w:marRight w:val="0"/>
      <w:marTop w:val="0"/>
      <w:marBottom w:val="0"/>
      <w:divBdr>
        <w:top w:val="none" w:sz="0" w:space="0" w:color="auto"/>
        <w:left w:val="none" w:sz="0" w:space="0" w:color="auto"/>
        <w:bottom w:val="none" w:sz="0" w:space="0" w:color="auto"/>
        <w:right w:val="none" w:sz="0" w:space="0" w:color="auto"/>
      </w:divBdr>
    </w:div>
    <w:div w:id="1380320024">
      <w:bodyDiv w:val="1"/>
      <w:marLeft w:val="0"/>
      <w:marRight w:val="0"/>
      <w:marTop w:val="0"/>
      <w:marBottom w:val="0"/>
      <w:divBdr>
        <w:top w:val="none" w:sz="0" w:space="0" w:color="auto"/>
        <w:left w:val="none" w:sz="0" w:space="0" w:color="auto"/>
        <w:bottom w:val="none" w:sz="0" w:space="0" w:color="auto"/>
        <w:right w:val="none" w:sz="0" w:space="0" w:color="auto"/>
      </w:divBdr>
    </w:div>
    <w:div w:id="1380468967">
      <w:bodyDiv w:val="1"/>
      <w:marLeft w:val="0"/>
      <w:marRight w:val="0"/>
      <w:marTop w:val="0"/>
      <w:marBottom w:val="0"/>
      <w:divBdr>
        <w:top w:val="none" w:sz="0" w:space="0" w:color="auto"/>
        <w:left w:val="none" w:sz="0" w:space="0" w:color="auto"/>
        <w:bottom w:val="none" w:sz="0" w:space="0" w:color="auto"/>
        <w:right w:val="none" w:sz="0" w:space="0" w:color="auto"/>
      </w:divBdr>
    </w:div>
    <w:div w:id="1380516839">
      <w:bodyDiv w:val="1"/>
      <w:marLeft w:val="0"/>
      <w:marRight w:val="0"/>
      <w:marTop w:val="0"/>
      <w:marBottom w:val="0"/>
      <w:divBdr>
        <w:top w:val="none" w:sz="0" w:space="0" w:color="auto"/>
        <w:left w:val="none" w:sz="0" w:space="0" w:color="auto"/>
        <w:bottom w:val="none" w:sz="0" w:space="0" w:color="auto"/>
        <w:right w:val="none" w:sz="0" w:space="0" w:color="auto"/>
      </w:divBdr>
    </w:div>
    <w:div w:id="1380520874">
      <w:bodyDiv w:val="1"/>
      <w:marLeft w:val="0"/>
      <w:marRight w:val="0"/>
      <w:marTop w:val="0"/>
      <w:marBottom w:val="0"/>
      <w:divBdr>
        <w:top w:val="none" w:sz="0" w:space="0" w:color="auto"/>
        <w:left w:val="none" w:sz="0" w:space="0" w:color="auto"/>
        <w:bottom w:val="none" w:sz="0" w:space="0" w:color="auto"/>
        <w:right w:val="none" w:sz="0" w:space="0" w:color="auto"/>
      </w:divBdr>
    </w:div>
    <w:div w:id="1380547435">
      <w:bodyDiv w:val="1"/>
      <w:marLeft w:val="0"/>
      <w:marRight w:val="0"/>
      <w:marTop w:val="0"/>
      <w:marBottom w:val="0"/>
      <w:divBdr>
        <w:top w:val="none" w:sz="0" w:space="0" w:color="auto"/>
        <w:left w:val="none" w:sz="0" w:space="0" w:color="auto"/>
        <w:bottom w:val="none" w:sz="0" w:space="0" w:color="auto"/>
        <w:right w:val="none" w:sz="0" w:space="0" w:color="auto"/>
      </w:divBdr>
    </w:div>
    <w:div w:id="1380787332">
      <w:bodyDiv w:val="1"/>
      <w:marLeft w:val="0"/>
      <w:marRight w:val="0"/>
      <w:marTop w:val="0"/>
      <w:marBottom w:val="0"/>
      <w:divBdr>
        <w:top w:val="none" w:sz="0" w:space="0" w:color="auto"/>
        <w:left w:val="none" w:sz="0" w:space="0" w:color="auto"/>
        <w:bottom w:val="none" w:sz="0" w:space="0" w:color="auto"/>
        <w:right w:val="none" w:sz="0" w:space="0" w:color="auto"/>
      </w:divBdr>
    </w:div>
    <w:div w:id="1381049202">
      <w:bodyDiv w:val="1"/>
      <w:marLeft w:val="0"/>
      <w:marRight w:val="0"/>
      <w:marTop w:val="0"/>
      <w:marBottom w:val="0"/>
      <w:divBdr>
        <w:top w:val="none" w:sz="0" w:space="0" w:color="auto"/>
        <w:left w:val="none" w:sz="0" w:space="0" w:color="auto"/>
        <w:bottom w:val="none" w:sz="0" w:space="0" w:color="auto"/>
        <w:right w:val="none" w:sz="0" w:space="0" w:color="auto"/>
      </w:divBdr>
    </w:div>
    <w:div w:id="1381175311">
      <w:bodyDiv w:val="1"/>
      <w:marLeft w:val="0"/>
      <w:marRight w:val="0"/>
      <w:marTop w:val="0"/>
      <w:marBottom w:val="0"/>
      <w:divBdr>
        <w:top w:val="none" w:sz="0" w:space="0" w:color="auto"/>
        <w:left w:val="none" w:sz="0" w:space="0" w:color="auto"/>
        <w:bottom w:val="none" w:sz="0" w:space="0" w:color="auto"/>
        <w:right w:val="none" w:sz="0" w:space="0" w:color="auto"/>
      </w:divBdr>
    </w:div>
    <w:div w:id="1381200725">
      <w:bodyDiv w:val="1"/>
      <w:marLeft w:val="0"/>
      <w:marRight w:val="0"/>
      <w:marTop w:val="0"/>
      <w:marBottom w:val="0"/>
      <w:divBdr>
        <w:top w:val="none" w:sz="0" w:space="0" w:color="auto"/>
        <w:left w:val="none" w:sz="0" w:space="0" w:color="auto"/>
        <w:bottom w:val="none" w:sz="0" w:space="0" w:color="auto"/>
        <w:right w:val="none" w:sz="0" w:space="0" w:color="auto"/>
      </w:divBdr>
    </w:div>
    <w:div w:id="1381243130">
      <w:bodyDiv w:val="1"/>
      <w:marLeft w:val="0"/>
      <w:marRight w:val="0"/>
      <w:marTop w:val="0"/>
      <w:marBottom w:val="0"/>
      <w:divBdr>
        <w:top w:val="none" w:sz="0" w:space="0" w:color="auto"/>
        <w:left w:val="none" w:sz="0" w:space="0" w:color="auto"/>
        <w:bottom w:val="none" w:sz="0" w:space="0" w:color="auto"/>
        <w:right w:val="none" w:sz="0" w:space="0" w:color="auto"/>
      </w:divBdr>
    </w:div>
    <w:div w:id="1381368210">
      <w:bodyDiv w:val="1"/>
      <w:marLeft w:val="0"/>
      <w:marRight w:val="0"/>
      <w:marTop w:val="0"/>
      <w:marBottom w:val="0"/>
      <w:divBdr>
        <w:top w:val="none" w:sz="0" w:space="0" w:color="auto"/>
        <w:left w:val="none" w:sz="0" w:space="0" w:color="auto"/>
        <w:bottom w:val="none" w:sz="0" w:space="0" w:color="auto"/>
        <w:right w:val="none" w:sz="0" w:space="0" w:color="auto"/>
      </w:divBdr>
    </w:div>
    <w:div w:id="1381398539">
      <w:bodyDiv w:val="1"/>
      <w:marLeft w:val="0"/>
      <w:marRight w:val="0"/>
      <w:marTop w:val="0"/>
      <w:marBottom w:val="0"/>
      <w:divBdr>
        <w:top w:val="none" w:sz="0" w:space="0" w:color="auto"/>
        <w:left w:val="none" w:sz="0" w:space="0" w:color="auto"/>
        <w:bottom w:val="none" w:sz="0" w:space="0" w:color="auto"/>
        <w:right w:val="none" w:sz="0" w:space="0" w:color="auto"/>
      </w:divBdr>
    </w:div>
    <w:div w:id="1381443515">
      <w:bodyDiv w:val="1"/>
      <w:marLeft w:val="0"/>
      <w:marRight w:val="0"/>
      <w:marTop w:val="0"/>
      <w:marBottom w:val="0"/>
      <w:divBdr>
        <w:top w:val="none" w:sz="0" w:space="0" w:color="auto"/>
        <w:left w:val="none" w:sz="0" w:space="0" w:color="auto"/>
        <w:bottom w:val="none" w:sz="0" w:space="0" w:color="auto"/>
        <w:right w:val="none" w:sz="0" w:space="0" w:color="auto"/>
      </w:divBdr>
    </w:div>
    <w:div w:id="1381593162">
      <w:bodyDiv w:val="1"/>
      <w:marLeft w:val="0"/>
      <w:marRight w:val="0"/>
      <w:marTop w:val="0"/>
      <w:marBottom w:val="0"/>
      <w:divBdr>
        <w:top w:val="none" w:sz="0" w:space="0" w:color="auto"/>
        <w:left w:val="none" w:sz="0" w:space="0" w:color="auto"/>
        <w:bottom w:val="none" w:sz="0" w:space="0" w:color="auto"/>
        <w:right w:val="none" w:sz="0" w:space="0" w:color="auto"/>
      </w:divBdr>
    </w:div>
    <w:div w:id="1381712542">
      <w:bodyDiv w:val="1"/>
      <w:marLeft w:val="0"/>
      <w:marRight w:val="0"/>
      <w:marTop w:val="0"/>
      <w:marBottom w:val="0"/>
      <w:divBdr>
        <w:top w:val="none" w:sz="0" w:space="0" w:color="auto"/>
        <w:left w:val="none" w:sz="0" w:space="0" w:color="auto"/>
        <w:bottom w:val="none" w:sz="0" w:space="0" w:color="auto"/>
        <w:right w:val="none" w:sz="0" w:space="0" w:color="auto"/>
      </w:divBdr>
    </w:div>
    <w:div w:id="1381785788">
      <w:bodyDiv w:val="1"/>
      <w:marLeft w:val="0"/>
      <w:marRight w:val="0"/>
      <w:marTop w:val="0"/>
      <w:marBottom w:val="0"/>
      <w:divBdr>
        <w:top w:val="none" w:sz="0" w:space="0" w:color="auto"/>
        <w:left w:val="none" w:sz="0" w:space="0" w:color="auto"/>
        <w:bottom w:val="none" w:sz="0" w:space="0" w:color="auto"/>
        <w:right w:val="none" w:sz="0" w:space="0" w:color="auto"/>
      </w:divBdr>
    </w:div>
    <w:div w:id="1382024885">
      <w:bodyDiv w:val="1"/>
      <w:marLeft w:val="0"/>
      <w:marRight w:val="0"/>
      <w:marTop w:val="0"/>
      <w:marBottom w:val="0"/>
      <w:divBdr>
        <w:top w:val="none" w:sz="0" w:space="0" w:color="auto"/>
        <w:left w:val="none" w:sz="0" w:space="0" w:color="auto"/>
        <w:bottom w:val="none" w:sz="0" w:space="0" w:color="auto"/>
        <w:right w:val="none" w:sz="0" w:space="0" w:color="auto"/>
      </w:divBdr>
    </w:div>
    <w:div w:id="1382091248">
      <w:bodyDiv w:val="1"/>
      <w:marLeft w:val="0"/>
      <w:marRight w:val="0"/>
      <w:marTop w:val="0"/>
      <w:marBottom w:val="0"/>
      <w:divBdr>
        <w:top w:val="none" w:sz="0" w:space="0" w:color="auto"/>
        <w:left w:val="none" w:sz="0" w:space="0" w:color="auto"/>
        <w:bottom w:val="none" w:sz="0" w:space="0" w:color="auto"/>
        <w:right w:val="none" w:sz="0" w:space="0" w:color="auto"/>
      </w:divBdr>
    </w:div>
    <w:div w:id="1382092249">
      <w:bodyDiv w:val="1"/>
      <w:marLeft w:val="0"/>
      <w:marRight w:val="0"/>
      <w:marTop w:val="0"/>
      <w:marBottom w:val="0"/>
      <w:divBdr>
        <w:top w:val="none" w:sz="0" w:space="0" w:color="auto"/>
        <w:left w:val="none" w:sz="0" w:space="0" w:color="auto"/>
        <w:bottom w:val="none" w:sz="0" w:space="0" w:color="auto"/>
        <w:right w:val="none" w:sz="0" w:space="0" w:color="auto"/>
      </w:divBdr>
    </w:div>
    <w:div w:id="1382246199">
      <w:bodyDiv w:val="1"/>
      <w:marLeft w:val="0"/>
      <w:marRight w:val="0"/>
      <w:marTop w:val="0"/>
      <w:marBottom w:val="0"/>
      <w:divBdr>
        <w:top w:val="none" w:sz="0" w:space="0" w:color="auto"/>
        <w:left w:val="none" w:sz="0" w:space="0" w:color="auto"/>
        <w:bottom w:val="none" w:sz="0" w:space="0" w:color="auto"/>
        <w:right w:val="none" w:sz="0" w:space="0" w:color="auto"/>
      </w:divBdr>
    </w:div>
    <w:div w:id="1382362355">
      <w:bodyDiv w:val="1"/>
      <w:marLeft w:val="0"/>
      <w:marRight w:val="0"/>
      <w:marTop w:val="0"/>
      <w:marBottom w:val="0"/>
      <w:divBdr>
        <w:top w:val="none" w:sz="0" w:space="0" w:color="auto"/>
        <w:left w:val="none" w:sz="0" w:space="0" w:color="auto"/>
        <w:bottom w:val="none" w:sz="0" w:space="0" w:color="auto"/>
        <w:right w:val="none" w:sz="0" w:space="0" w:color="auto"/>
      </w:divBdr>
    </w:div>
    <w:div w:id="1382364674">
      <w:bodyDiv w:val="1"/>
      <w:marLeft w:val="0"/>
      <w:marRight w:val="0"/>
      <w:marTop w:val="0"/>
      <w:marBottom w:val="0"/>
      <w:divBdr>
        <w:top w:val="none" w:sz="0" w:space="0" w:color="auto"/>
        <w:left w:val="none" w:sz="0" w:space="0" w:color="auto"/>
        <w:bottom w:val="none" w:sz="0" w:space="0" w:color="auto"/>
        <w:right w:val="none" w:sz="0" w:space="0" w:color="auto"/>
      </w:divBdr>
    </w:div>
    <w:div w:id="1382368736">
      <w:bodyDiv w:val="1"/>
      <w:marLeft w:val="0"/>
      <w:marRight w:val="0"/>
      <w:marTop w:val="0"/>
      <w:marBottom w:val="0"/>
      <w:divBdr>
        <w:top w:val="none" w:sz="0" w:space="0" w:color="auto"/>
        <w:left w:val="none" w:sz="0" w:space="0" w:color="auto"/>
        <w:bottom w:val="none" w:sz="0" w:space="0" w:color="auto"/>
        <w:right w:val="none" w:sz="0" w:space="0" w:color="auto"/>
      </w:divBdr>
    </w:div>
    <w:div w:id="1382629408">
      <w:bodyDiv w:val="1"/>
      <w:marLeft w:val="0"/>
      <w:marRight w:val="0"/>
      <w:marTop w:val="0"/>
      <w:marBottom w:val="0"/>
      <w:divBdr>
        <w:top w:val="none" w:sz="0" w:space="0" w:color="auto"/>
        <w:left w:val="none" w:sz="0" w:space="0" w:color="auto"/>
        <w:bottom w:val="none" w:sz="0" w:space="0" w:color="auto"/>
        <w:right w:val="none" w:sz="0" w:space="0" w:color="auto"/>
      </w:divBdr>
    </w:div>
    <w:div w:id="1382705742">
      <w:bodyDiv w:val="1"/>
      <w:marLeft w:val="0"/>
      <w:marRight w:val="0"/>
      <w:marTop w:val="0"/>
      <w:marBottom w:val="0"/>
      <w:divBdr>
        <w:top w:val="none" w:sz="0" w:space="0" w:color="auto"/>
        <w:left w:val="none" w:sz="0" w:space="0" w:color="auto"/>
        <w:bottom w:val="none" w:sz="0" w:space="0" w:color="auto"/>
        <w:right w:val="none" w:sz="0" w:space="0" w:color="auto"/>
      </w:divBdr>
    </w:div>
    <w:div w:id="1382825772">
      <w:bodyDiv w:val="1"/>
      <w:marLeft w:val="0"/>
      <w:marRight w:val="0"/>
      <w:marTop w:val="0"/>
      <w:marBottom w:val="0"/>
      <w:divBdr>
        <w:top w:val="none" w:sz="0" w:space="0" w:color="auto"/>
        <w:left w:val="none" w:sz="0" w:space="0" w:color="auto"/>
        <w:bottom w:val="none" w:sz="0" w:space="0" w:color="auto"/>
        <w:right w:val="none" w:sz="0" w:space="0" w:color="auto"/>
      </w:divBdr>
    </w:div>
    <w:div w:id="1382827772">
      <w:bodyDiv w:val="1"/>
      <w:marLeft w:val="0"/>
      <w:marRight w:val="0"/>
      <w:marTop w:val="0"/>
      <w:marBottom w:val="0"/>
      <w:divBdr>
        <w:top w:val="none" w:sz="0" w:space="0" w:color="auto"/>
        <w:left w:val="none" w:sz="0" w:space="0" w:color="auto"/>
        <w:bottom w:val="none" w:sz="0" w:space="0" w:color="auto"/>
        <w:right w:val="none" w:sz="0" w:space="0" w:color="auto"/>
      </w:divBdr>
    </w:div>
    <w:div w:id="1382972562">
      <w:bodyDiv w:val="1"/>
      <w:marLeft w:val="0"/>
      <w:marRight w:val="0"/>
      <w:marTop w:val="0"/>
      <w:marBottom w:val="0"/>
      <w:divBdr>
        <w:top w:val="none" w:sz="0" w:space="0" w:color="auto"/>
        <w:left w:val="none" w:sz="0" w:space="0" w:color="auto"/>
        <w:bottom w:val="none" w:sz="0" w:space="0" w:color="auto"/>
        <w:right w:val="none" w:sz="0" w:space="0" w:color="auto"/>
      </w:divBdr>
    </w:div>
    <w:div w:id="1383016611">
      <w:bodyDiv w:val="1"/>
      <w:marLeft w:val="0"/>
      <w:marRight w:val="0"/>
      <w:marTop w:val="0"/>
      <w:marBottom w:val="0"/>
      <w:divBdr>
        <w:top w:val="none" w:sz="0" w:space="0" w:color="auto"/>
        <w:left w:val="none" w:sz="0" w:space="0" w:color="auto"/>
        <w:bottom w:val="none" w:sz="0" w:space="0" w:color="auto"/>
        <w:right w:val="none" w:sz="0" w:space="0" w:color="auto"/>
      </w:divBdr>
    </w:div>
    <w:div w:id="1383018980">
      <w:bodyDiv w:val="1"/>
      <w:marLeft w:val="0"/>
      <w:marRight w:val="0"/>
      <w:marTop w:val="0"/>
      <w:marBottom w:val="0"/>
      <w:divBdr>
        <w:top w:val="none" w:sz="0" w:space="0" w:color="auto"/>
        <w:left w:val="none" w:sz="0" w:space="0" w:color="auto"/>
        <w:bottom w:val="none" w:sz="0" w:space="0" w:color="auto"/>
        <w:right w:val="none" w:sz="0" w:space="0" w:color="auto"/>
      </w:divBdr>
    </w:div>
    <w:div w:id="1383022958">
      <w:bodyDiv w:val="1"/>
      <w:marLeft w:val="0"/>
      <w:marRight w:val="0"/>
      <w:marTop w:val="0"/>
      <w:marBottom w:val="0"/>
      <w:divBdr>
        <w:top w:val="none" w:sz="0" w:space="0" w:color="auto"/>
        <w:left w:val="none" w:sz="0" w:space="0" w:color="auto"/>
        <w:bottom w:val="none" w:sz="0" w:space="0" w:color="auto"/>
        <w:right w:val="none" w:sz="0" w:space="0" w:color="auto"/>
      </w:divBdr>
    </w:div>
    <w:div w:id="1383092637">
      <w:bodyDiv w:val="1"/>
      <w:marLeft w:val="0"/>
      <w:marRight w:val="0"/>
      <w:marTop w:val="0"/>
      <w:marBottom w:val="0"/>
      <w:divBdr>
        <w:top w:val="none" w:sz="0" w:space="0" w:color="auto"/>
        <w:left w:val="none" w:sz="0" w:space="0" w:color="auto"/>
        <w:bottom w:val="none" w:sz="0" w:space="0" w:color="auto"/>
        <w:right w:val="none" w:sz="0" w:space="0" w:color="auto"/>
      </w:divBdr>
    </w:div>
    <w:div w:id="1383216519">
      <w:bodyDiv w:val="1"/>
      <w:marLeft w:val="0"/>
      <w:marRight w:val="0"/>
      <w:marTop w:val="0"/>
      <w:marBottom w:val="0"/>
      <w:divBdr>
        <w:top w:val="none" w:sz="0" w:space="0" w:color="auto"/>
        <w:left w:val="none" w:sz="0" w:space="0" w:color="auto"/>
        <w:bottom w:val="none" w:sz="0" w:space="0" w:color="auto"/>
        <w:right w:val="none" w:sz="0" w:space="0" w:color="auto"/>
      </w:divBdr>
    </w:div>
    <w:div w:id="1383287317">
      <w:bodyDiv w:val="1"/>
      <w:marLeft w:val="0"/>
      <w:marRight w:val="0"/>
      <w:marTop w:val="0"/>
      <w:marBottom w:val="0"/>
      <w:divBdr>
        <w:top w:val="none" w:sz="0" w:space="0" w:color="auto"/>
        <w:left w:val="none" w:sz="0" w:space="0" w:color="auto"/>
        <w:bottom w:val="none" w:sz="0" w:space="0" w:color="auto"/>
        <w:right w:val="none" w:sz="0" w:space="0" w:color="auto"/>
      </w:divBdr>
    </w:div>
    <w:div w:id="1383363591">
      <w:bodyDiv w:val="1"/>
      <w:marLeft w:val="0"/>
      <w:marRight w:val="0"/>
      <w:marTop w:val="0"/>
      <w:marBottom w:val="0"/>
      <w:divBdr>
        <w:top w:val="none" w:sz="0" w:space="0" w:color="auto"/>
        <w:left w:val="none" w:sz="0" w:space="0" w:color="auto"/>
        <w:bottom w:val="none" w:sz="0" w:space="0" w:color="auto"/>
        <w:right w:val="none" w:sz="0" w:space="0" w:color="auto"/>
      </w:divBdr>
    </w:div>
    <w:div w:id="1383364616">
      <w:bodyDiv w:val="1"/>
      <w:marLeft w:val="0"/>
      <w:marRight w:val="0"/>
      <w:marTop w:val="0"/>
      <w:marBottom w:val="0"/>
      <w:divBdr>
        <w:top w:val="none" w:sz="0" w:space="0" w:color="auto"/>
        <w:left w:val="none" w:sz="0" w:space="0" w:color="auto"/>
        <w:bottom w:val="none" w:sz="0" w:space="0" w:color="auto"/>
        <w:right w:val="none" w:sz="0" w:space="0" w:color="auto"/>
      </w:divBdr>
    </w:div>
    <w:div w:id="1383404784">
      <w:bodyDiv w:val="1"/>
      <w:marLeft w:val="0"/>
      <w:marRight w:val="0"/>
      <w:marTop w:val="0"/>
      <w:marBottom w:val="0"/>
      <w:divBdr>
        <w:top w:val="none" w:sz="0" w:space="0" w:color="auto"/>
        <w:left w:val="none" w:sz="0" w:space="0" w:color="auto"/>
        <w:bottom w:val="none" w:sz="0" w:space="0" w:color="auto"/>
        <w:right w:val="none" w:sz="0" w:space="0" w:color="auto"/>
      </w:divBdr>
    </w:div>
    <w:div w:id="1383482071">
      <w:bodyDiv w:val="1"/>
      <w:marLeft w:val="0"/>
      <w:marRight w:val="0"/>
      <w:marTop w:val="0"/>
      <w:marBottom w:val="0"/>
      <w:divBdr>
        <w:top w:val="none" w:sz="0" w:space="0" w:color="auto"/>
        <w:left w:val="none" w:sz="0" w:space="0" w:color="auto"/>
        <w:bottom w:val="none" w:sz="0" w:space="0" w:color="auto"/>
        <w:right w:val="none" w:sz="0" w:space="0" w:color="auto"/>
      </w:divBdr>
    </w:div>
    <w:div w:id="1383558151">
      <w:bodyDiv w:val="1"/>
      <w:marLeft w:val="0"/>
      <w:marRight w:val="0"/>
      <w:marTop w:val="0"/>
      <w:marBottom w:val="0"/>
      <w:divBdr>
        <w:top w:val="none" w:sz="0" w:space="0" w:color="auto"/>
        <w:left w:val="none" w:sz="0" w:space="0" w:color="auto"/>
        <w:bottom w:val="none" w:sz="0" w:space="0" w:color="auto"/>
        <w:right w:val="none" w:sz="0" w:space="0" w:color="auto"/>
      </w:divBdr>
    </w:div>
    <w:div w:id="1383561372">
      <w:bodyDiv w:val="1"/>
      <w:marLeft w:val="0"/>
      <w:marRight w:val="0"/>
      <w:marTop w:val="0"/>
      <w:marBottom w:val="0"/>
      <w:divBdr>
        <w:top w:val="none" w:sz="0" w:space="0" w:color="auto"/>
        <w:left w:val="none" w:sz="0" w:space="0" w:color="auto"/>
        <w:bottom w:val="none" w:sz="0" w:space="0" w:color="auto"/>
        <w:right w:val="none" w:sz="0" w:space="0" w:color="auto"/>
      </w:divBdr>
    </w:div>
    <w:div w:id="1383942118">
      <w:bodyDiv w:val="1"/>
      <w:marLeft w:val="0"/>
      <w:marRight w:val="0"/>
      <w:marTop w:val="0"/>
      <w:marBottom w:val="0"/>
      <w:divBdr>
        <w:top w:val="none" w:sz="0" w:space="0" w:color="auto"/>
        <w:left w:val="none" w:sz="0" w:space="0" w:color="auto"/>
        <w:bottom w:val="none" w:sz="0" w:space="0" w:color="auto"/>
        <w:right w:val="none" w:sz="0" w:space="0" w:color="auto"/>
      </w:divBdr>
    </w:div>
    <w:div w:id="1384020716">
      <w:bodyDiv w:val="1"/>
      <w:marLeft w:val="0"/>
      <w:marRight w:val="0"/>
      <w:marTop w:val="0"/>
      <w:marBottom w:val="0"/>
      <w:divBdr>
        <w:top w:val="none" w:sz="0" w:space="0" w:color="auto"/>
        <w:left w:val="none" w:sz="0" w:space="0" w:color="auto"/>
        <w:bottom w:val="none" w:sz="0" w:space="0" w:color="auto"/>
        <w:right w:val="none" w:sz="0" w:space="0" w:color="auto"/>
      </w:divBdr>
    </w:div>
    <w:div w:id="1384058758">
      <w:bodyDiv w:val="1"/>
      <w:marLeft w:val="0"/>
      <w:marRight w:val="0"/>
      <w:marTop w:val="0"/>
      <w:marBottom w:val="0"/>
      <w:divBdr>
        <w:top w:val="none" w:sz="0" w:space="0" w:color="auto"/>
        <w:left w:val="none" w:sz="0" w:space="0" w:color="auto"/>
        <w:bottom w:val="none" w:sz="0" w:space="0" w:color="auto"/>
        <w:right w:val="none" w:sz="0" w:space="0" w:color="auto"/>
      </w:divBdr>
    </w:div>
    <w:div w:id="1384207649">
      <w:bodyDiv w:val="1"/>
      <w:marLeft w:val="0"/>
      <w:marRight w:val="0"/>
      <w:marTop w:val="0"/>
      <w:marBottom w:val="0"/>
      <w:divBdr>
        <w:top w:val="none" w:sz="0" w:space="0" w:color="auto"/>
        <w:left w:val="none" w:sz="0" w:space="0" w:color="auto"/>
        <w:bottom w:val="none" w:sz="0" w:space="0" w:color="auto"/>
        <w:right w:val="none" w:sz="0" w:space="0" w:color="auto"/>
      </w:divBdr>
    </w:div>
    <w:div w:id="1384208201">
      <w:bodyDiv w:val="1"/>
      <w:marLeft w:val="0"/>
      <w:marRight w:val="0"/>
      <w:marTop w:val="0"/>
      <w:marBottom w:val="0"/>
      <w:divBdr>
        <w:top w:val="none" w:sz="0" w:space="0" w:color="auto"/>
        <w:left w:val="none" w:sz="0" w:space="0" w:color="auto"/>
        <w:bottom w:val="none" w:sz="0" w:space="0" w:color="auto"/>
        <w:right w:val="none" w:sz="0" w:space="0" w:color="auto"/>
      </w:divBdr>
    </w:div>
    <w:div w:id="1384211956">
      <w:bodyDiv w:val="1"/>
      <w:marLeft w:val="0"/>
      <w:marRight w:val="0"/>
      <w:marTop w:val="0"/>
      <w:marBottom w:val="0"/>
      <w:divBdr>
        <w:top w:val="none" w:sz="0" w:space="0" w:color="auto"/>
        <w:left w:val="none" w:sz="0" w:space="0" w:color="auto"/>
        <w:bottom w:val="none" w:sz="0" w:space="0" w:color="auto"/>
        <w:right w:val="none" w:sz="0" w:space="0" w:color="auto"/>
      </w:divBdr>
    </w:div>
    <w:div w:id="1384213157">
      <w:bodyDiv w:val="1"/>
      <w:marLeft w:val="0"/>
      <w:marRight w:val="0"/>
      <w:marTop w:val="0"/>
      <w:marBottom w:val="0"/>
      <w:divBdr>
        <w:top w:val="none" w:sz="0" w:space="0" w:color="auto"/>
        <w:left w:val="none" w:sz="0" w:space="0" w:color="auto"/>
        <w:bottom w:val="none" w:sz="0" w:space="0" w:color="auto"/>
        <w:right w:val="none" w:sz="0" w:space="0" w:color="auto"/>
      </w:divBdr>
    </w:div>
    <w:div w:id="1384254149">
      <w:bodyDiv w:val="1"/>
      <w:marLeft w:val="0"/>
      <w:marRight w:val="0"/>
      <w:marTop w:val="0"/>
      <w:marBottom w:val="0"/>
      <w:divBdr>
        <w:top w:val="none" w:sz="0" w:space="0" w:color="auto"/>
        <w:left w:val="none" w:sz="0" w:space="0" w:color="auto"/>
        <w:bottom w:val="none" w:sz="0" w:space="0" w:color="auto"/>
        <w:right w:val="none" w:sz="0" w:space="0" w:color="auto"/>
      </w:divBdr>
    </w:div>
    <w:div w:id="1384327117">
      <w:bodyDiv w:val="1"/>
      <w:marLeft w:val="0"/>
      <w:marRight w:val="0"/>
      <w:marTop w:val="0"/>
      <w:marBottom w:val="0"/>
      <w:divBdr>
        <w:top w:val="none" w:sz="0" w:space="0" w:color="auto"/>
        <w:left w:val="none" w:sz="0" w:space="0" w:color="auto"/>
        <w:bottom w:val="none" w:sz="0" w:space="0" w:color="auto"/>
        <w:right w:val="none" w:sz="0" w:space="0" w:color="auto"/>
      </w:divBdr>
    </w:div>
    <w:div w:id="1384672263">
      <w:bodyDiv w:val="1"/>
      <w:marLeft w:val="0"/>
      <w:marRight w:val="0"/>
      <w:marTop w:val="0"/>
      <w:marBottom w:val="0"/>
      <w:divBdr>
        <w:top w:val="none" w:sz="0" w:space="0" w:color="auto"/>
        <w:left w:val="none" w:sz="0" w:space="0" w:color="auto"/>
        <w:bottom w:val="none" w:sz="0" w:space="0" w:color="auto"/>
        <w:right w:val="none" w:sz="0" w:space="0" w:color="auto"/>
      </w:divBdr>
    </w:div>
    <w:div w:id="1384938808">
      <w:bodyDiv w:val="1"/>
      <w:marLeft w:val="0"/>
      <w:marRight w:val="0"/>
      <w:marTop w:val="0"/>
      <w:marBottom w:val="0"/>
      <w:divBdr>
        <w:top w:val="none" w:sz="0" w:space="0" w:color="auto"/>
        <w:left w:val="none" w:sz="0" w:space="0" w:color="auto"/>
        <w:bottom w:val="none" w:sz="0" w:space="0" w:color="auto"/>
        <w:right w:val="none" w:sz="0" w:space="0" w:color="auto"/>
      </w:divBdr>
    </w:div>
    <w:div w:id="1384983111">
      <w:bodyDiv w:val="1"/>
      <w:marLeft w:val="0"/>
      <w:marRight w:val="0"/>
      <w:marTop w:val="0"/>
      <w:marBottom w:val="0"/>
      <w:divBdr>
        <w:top w:val="none" w:sz="0" w:space="0" w:color="auto"/>
        <w:left w:val="none" w:sz="0" w:space="0" w:color="auto"/>
        <w:bottom w:val="none" w:sz="0" w:space="0" w:color="auto"/>
        <w:right w:val="none" w:sz="0" w:space="0" w:color="auto"/>
      </w:divBdr>
    </w:div>
    <w:div w:id="1385057026">
      <w:bodyDiv w:val="1"/>
      <w:marLeft w:val="0"/>
      <w:marRight w:val="0"/>
      <w:marTop w:val="0"/>
      <w:marBottom w:val="0"/>
      <w:divBdr>
        <w:top w:val="none" w:sz="0" w:space="0" w:color="auto"/>
        <w:left w:val="none" w:sz="0" w:space="0" w:color="auto"/>
        <w:bottom w:val="none" w:sz="0" w:space="0" w:color="auto"/>
        <w:right w:val="none" w:sz="0" w:space="0" w:color="auto"/>
      </w:divBdr>
    </w:div>
    <w:div w:id="1385107574">
      <w:bodyDiv w:val="1"/>
      <w:marLeft w:val="0"/>
      <w:marRight w:val="0"/>
      <w:marTop w:val="0"/>
      <w:marBottom w:val="0"/>
      <w:divBdr>
        <w:top w:val="none" w:sz="0" w:space="0" w:color="auto"/>
        <w:left w:val="none" w:sz="0" w:space="0" w:color="auto"/>
        <w:bottom w:val="none" w:sz="0" w:space="0" w:color="auto"/>
        <w:right w:val="none" w:sz="0" w:space="0" w:color="auto"/>
      </w:divBdr>
    </w:div>
    <w:div w:id="1385250010">
      <w:bodyDiv w:val="1"/>
      <w:marLeft w:val="0"/>
      <w:marRight w:val="0"/>
      <w:marTop w:val="0"/>
      <w:marBottom w:val="0"/>
      <w:divBdr>
        <w:top w:val="none" w:sz="0" w:space="0" w:color="auto"/>
        <w:left w:val="none" w:sz="0" w:space="0" w:color="auto"/>
        <w:bottom w:val="none" w:sz="0" w:space="0" w:color="auto"/>
        <w:right w:val="none" w:sz="0" w:space="0" w:color="auto"/>
      </w:divBdr>
    </w:div>
    <w:div w:id="1385325823">
      <w:bodyDiv w:val="1"/>
      <w:marLeft w:val="0"/>
      <w:marRight w:val="0"/>
      <w:marTop w:val="0"/>
      <w:marBottom w:val="0"/>
      <w:divBdr>
        <w:top w:val="none" w:sz="0" w:space="0" w:color="auto"/>
        <w:left w:val="none" w:sz="0" w:space="0" w:color="auto"/>
        <w:bottom w:val="none" w:sz="0" w:space="0" w:color="auto"/>
        <w:right w:val="none" w:sz="0" w:space="0" w:color="auto"/>
      </w:divBdr>
    </w:div>
    <w:div w:id="1385369661">
      <w:bodyDiv w:val="1"/>
      <w:marLeft w:val="0"/>
      <w:marRight w:val="0"/>
      <w:marTop w:val="0"/>
      <w:marBottom w:val="0"/>
      <w:divBdr>
        <w:top w:val="none" w:sz="0" w:space="0" w:color="auto"/>
        <w:left w:val="none" w:sz="0" w:space="0" w:color="auto"/>
        <w:bottom w:val="none" w:sz="0" w:space="0" w:color="auto"/>
        <w:right w:val="none" w:sz="0" w:space="0" w:color="auto"/>
      </w:divBdr>
    </w:div>
    <w:div w:id="1385370741">
      <w:bodyDiv w:val="1"/>
      <w:marLeft w:val="0"/>
      <w:marRight w:val="0"/>
      <w:marTop w:val="0"/>
      <w:marBottom w:val="0"/>
      <w:divBdr>
        <w:top w:val="none" w:sz="0" w:space="0" w:color="auto"/>
        <w:left w:val="none" w:sz="0" w:space="0" w:color="auto"/>
        <w:bottom w:val="none" w:sz="0" w:space="0" w:color="auto"/>
        <w:right w:val="none" w:sz="0" w:space="0" w:color="auto"/>
      </w:divBdr>
    </w:div>
    <w:div w:id="1385444338">
      <w:bodyDiv w:val="1"/>
      <w:marLeft w:val="0"/>
      <w:marRight w:val="0"/>
      <w:marTop w:val="0"/>
      <w:marBottom w:val="0"/>
      <w:divBdr>
        <w:top w:val="none" w:sz="0" w:space="0" w:color="auto"/>
        <w:left w:val="none" w:sz="0" w:space="0" w:color="auto"/>
        <w:bottom w:val="none" w:sz="0" w:space="0" w:color="auto"/>
        <w:right w:val="none" w:sz="0" w:space="0" w:color="auto"/>
      </w:divBdr>
    </w:div>
    <w:div w:id="1385450960">
      <w:bodyDiv w:val="1"/>
      <w:marLeft w:val="0"/>
      <w:marRight w:val="0"/>
      <w:marTop w:val="0"/>
      <w:marBottom w:val="0"/>
      <w:divBdr>
        <w:top w:val="none" w:sz="0" w:space="0" w:color="auto"/>
        <w:left w:val="none" w:sz="0" w:space="0" w:color="auto"/>
        <w:bottom w:val="none" w:sz="0" w:space="0" w:color="auto"/>
        <w:right w:val="none" w:sz="0" w:space="0" w:color="auto"/>
      </w:divBdr>
    </w:div>
    <w:div w:id="1385451606">
      <w:bodyDiv w:val="1"/>
      <w:marLeft w:val="0"/>
      <w:marRight w:val="0"/>
      <w:marTop w:val="0"/>
      <w:marBottom w:val="0"/>
      <w:divBdr>
        <w:top w:val="none" w:sz="0" w:space="0" w:color="auto"/>
        <w:left w:val="none" w:sz="0" w:space="0" w:color="auto"/>
        <w:bottom w:val="none" w:sz="0" w:space="0" w:color="auto"/>
        <w:right w:val="none" w:sz="0" w:space="0" w:color="auto"/>
      </w:divBdr>
    </w:div>
    <w:div w:id="1385519127">
      <w:bodyDiv w:val="1"/>
      <w:marLeft w:val="0"/>
      <w:marRight w:val="0"/>
      <w:marTop w:val="0"/>
      <w:marBottom w:val="0"/>
      <w:divBdr>
        <w:top w:val="none" w:sz="0" w:space="0" w:color="auto"/>
        <w:left w:val="none" w:sz="0" w:space="0" w:color="auto"/>
        <w:bottom w:val="none" w:sz="0" w:space="0" w:color="auto"/>
        <w:right w:val="none" w:sz="0" w:space="0" w:color="auto"/>
      </w:divBdr>
    </w:div>
    <w:div w:id="1385565178">
      <w:bodyDiv w:val="1"/>
      <w:marLeft w:val="0"/>
      <w:marRight w:val="0"/>
      <w:marTop w:val="0"/>
      <w:marBottom w:val="0"/>
      <w:divBdr>
        <w:top w:val="none" w:sz="0" w:space="0" w:color="auto"/>
        <w:left w:val="none" w:sz="0" w:space="0" w:color="auto"/>
        <w:bottom w:val="none" w:sz="0" w:space="0" w:color="auto"/>
        <w:right w:val="none" w:sz="0" w:space="0" w:color="auto"/>
      </w:divBdr>
    </w:div>
    <w:div w:id="1385641852">
      <w:bodyDiv w:val="1"/>
      <w:marLeft w:val="0"/>
      <w:marRight w:val="0"/>
      <w:marTop w:val="0"/>
      <w:marBottom w:val="0"/>
      <w:divBdr>
        <w:top w:val="none" w:sz="0" w:space="0" w:color="auto"/>
        <w:left w:val="none" w:sz="0" w:space="0" w:color="auto"/>
        <w:bottom w:val="none" w:sz="0" w:space="0" w:color="auto"/>
        <w:right w:val="none" w:sz="0" w:space="0" w:color="auto"/>
      </w:divBdr>
    </w:div>
    <w:div w:id="1385642356">
      <w:bodyDiv w:val="1"/>
      <w:marLeft w:val="0"/>
      <w:marRight w:val="0"/>
      <w:marTop w:val="0"/>
      <w:marBottom w:val="0"/>
      <w:divBdr>
        <w:top w:val="none" w:sz="0" w:space="0" w:color="auto"/>
        <w:left w:val="none" w:sz="0" w:space="0" w:color="auto"/>
        <w:bottom w:val="none" w:sz="0" w:space="0" w:color="auto"/>
        <w:right w:val="none" w:sz="0" w:space="0" w:color="auto"/>
      </w:divBdr>
    </w:div>
    <w:div w:id="1385643761">
      <w:bodyDiv w:val="1"/>
      <w:marLeft w:val="0"/>
      <w:marRight w:val="0"/>
      <w:marTop w:val="0"/>
      <w:marBottom w:val="0"/>
      <w:divBdr>
        <w:top w:val="none" w:sz="0" w:space="0" w:color="auto"/>
        <w:left w:val="none" w:sz="0" w:space="0" w:color="auto"/>
        <w:bottom w:val="none" w:sz="0" w:space="0" w:color="auto"/>
        <w:right w:val="none" w:sz="0" w:space="0" w:color="auto"/>
      </w:divBdr>
    </w:div>
    <w:div w:id="1385790826">
      <w:bodyDiv w:val="1"/>
      <w:marLeft w:val="0"/>
      <w:marRight w:val="0"/>
      <w:marTop w:val="0"/>
      <w:marBottom w:val="0"/>
      <w:divBdr>
        <w:top w:val="none" w:sz="0" w:space="0" w:color="auto"/>
        <w:left w:val="none" w:sz="0" w:space="0" w:color="auto"/>
        <w:bottom w:val="none" w:sz="0" w:space="0" w:color="auto"/>
        <w:right w:val="none" w:sz="0" w:space="0" w:color="auto"/>
      </w:divBdr>
    </w:div>
    <w:div w:id="1385829457">
      <w:bodyDiv w:val="1"/>
      <w:marLeft w:val="0"/>
      <w:marRight w:val="0"/>
      <w:marTop w:val="0"/>
      <w:marBottom w:val="0"/>
      <w:divBdr>
        <w:top w:val="none" w:sz="0" w:space="0" w:color="auto"/>
        <w:left w:val="none" w:sz="0" w:space="0" w:color="auto"/>
        <w:bottom w:val="none" w:sz="0" w:space="0" w:color="auto"/>
        <w:right w:val="none" w:sz="0" w:space="0" w:color="auto"/>
      </w:divBdr>
    </w:div>
    <w:div w:id="1385909393">
      <w:bodyDiv w:val="1"/>
      <w:marLeft w:val="0"/>
      <w:marRight w:val="0"/>
      <w:marTop w:val="0"/>
      <w:marBottom w:val="0"/>
      <w:divBdr>
        <w:top w:val="none" w:sz="0" w:space="0" w:color="auto"/>
        <w:left w:val="none" w:sz="0" w:space="0" w:color="auto"/>
        <w:bottom w:val="none" w:sz="0" w:space="0" w:color="auto"/>
        <w:right w:val="none" w:sz="0" w:space="0" w:color="auto"/>
      </w:divBdr>
    </w:div>
    <w:div w:id="1385985668">
      <w:bodyDiv w:val="1"/>
      <w:marLeft w:val="0"/>
      <w:marRight w:val="0"/>
      <w:marTop w:val="0"/>
      <w:marBottom w:val="0"/>
      <w:divBdr>
        <w:top w:val="none" w:sz="0" w:space="0" w:color="auto"/>
        <w:left w:val="none" w:sz="0" w:space="0" w:color="auto"/>
        <w:bottom w:val="none" w:sz="0" w:space="0" w:color="auto"/>
        <w:right w:val="none" w:sz="0" w:space="0" w:color="auto"/>
      </w:divBdr>
    </w:div>
    <w:div w:id="1386023492">
      <w:bodyDiv w:val="1"/>
      <w:marLeft w:val="0"/>
      <w:marRight w:val="0"/>
      <w:marTop w:val="0"/>
      <w:marBottom w:val="0"/>
      <w:divBdr>
        <w:top w:val="none" w:sz="0" w:space="0" w:color="auto"/>
        <w:left w:val="none" w:sz="0" w:space="0" w:color="auto"/>
        <w:bottom w:val="none" w:sz="0" w:space="0" w:color="auto"/>
        <w:right w:val="none" w:sz="0" w:space="0" w:color="auto"/>
      </w:divBdr>
    </w:div>
    <w:div w:id="1386029507">
      <w:bodyDiv w:val="1"/>
      <w:marLeft w:val="0"/>
      <w:marRight w:val="0"/>
      <w:marTop w:val="0"/>
      <w:marBottom w:val="0"/>
      <w:divBdr>
        <w:top w:val="none" w:sz="0" w:space="0" w:color="auto"/>
        <w:left w:val="none" w:sz="0" w:space="0" w:color="auto"/>
        <w:bottom w:val="none" w:sz="0" w:space="0" w:color="auto"/>
        <w:right w:val="none" w:sz="0" w:space="0" w:color="auto"/>
      </w:divBdr>
    </w:div>
    <w:div w:id="1386103318">
      <w:bodyDiv w:val="1"/>
      <w:marLeft w:val="0"/>
      <w:marRight w:val="0"/>
      <w:marTop w:val="0"/>
      <w:marBottom w:val="0"/>
      <w:divBdr>
        <w:top w:val="none" w:sz="0" w:space="0" w:color="auto"/>
        <w:left w:val="none" w:sz="0" w:space="0" w:color="auto"/>
        <w:bottom w:val="none" w:sz="0" w:space="0" w:color="auto"/>
        <w:right w:val="none" w:sz="0" w:space="0" w:color="auto"/>
      </w:divBdr>
    </w:div>
    <w:div w:id="1386178813">
      <w:bodyDiv w:val="1"/>
      <w:marLeft w:val="0"/>
      <w:marRight w:val="0"/>
      <w:marTop w:val="0"/>
      <w:marBottom w:val="0"/>
      <w:divBdr>
        <w:top w:val="none" w:sz="0" w:space="0" w:color="auto"/>
        <w:left w:val="none" w:sz="0" w:space="0" w:color="auto"/>
        <w:bottom w:val="none" w:sz="0" w:space="0" w:color="auto"/>
        <w:right w:val="none" w:sz="0" w:space="0" w:color="auto"/>
      </w:divBdr>
    </w:div>
    <w:div w:id="1386217487">
      <w:bodyDiv w:val="1"/>
      <w:marLeft w:val="0"/>
      <w:marRight w:val="0"/>
      <w:marTop w:val="0"/>
      <w:marBottom w:val="0"/>
      <w:divBdr>
        <w:top w:val="none" w:sz="0" w:space="0" w:color="auto"/>
        <w:left w:val="none" w:sz="0" w:space="0" w:color="auto"/>
        <w:bottom w:val="none" w:sz="0" w:space="0" w:color="auto"/>
        <w:right w:val="none" w:sz="0" w:space="0" w:color="auto"/>
      </w:divBdr>
    </w:div>
    <w:div w:id="1386220712">
      <w:bodyDiv w:val="1"/>
      <w:marLeft w:val="0"/>
      <w:marRight w:val="0"/>
      <w:marTop w:val="0"/>
      <w:marBottom w:val="0"/>
      <w:divBdr>
        <w:top w:val="none" w:sz="0" w:space="0" w:color="auto"/>
        <w:left w:val="none" w:sz="0" w:space="0" w:color="auto"/>
        <w:bottom w:val="none" w:sz="0" w:space="0" w:color="auto"/>
        <w:right w:val="none" w:sz="0" w:space="0" w:color="auto"/>
      </w:divBdr>
    </w:div>
    <w:div w:id="1386416009">
      <w:bodyDiv w:val="1"/>
      <w:marLeft w:val="0"/>
      <w:marRight w:val="0"/>
      <w:marTop w:val="0"/>
      <w:marBottom w:val="0"/>
      <w:divBdr>
        <w:top w:val="none" w:sz="0" w:space="0" w:color="auto"/>
        <w:left w:val="none" w:sz="0" w:space="0" w:color="auto"/>
        <w:bottom w:val="none" w:sz="0" w:space="0" w:color="auto"/>
        <w:right w:val="none" w:sz="0" w:space="0" w:color="auto"/>
      </w:divBdr>
    </w:div>
    <w:div w:id="1386561203">
      <w:bodyDiv w:val="1"/>
      <w:marLeft w:val="0"/>
      <w:marRight w:val="0"/>
      <w:marTop w:val="0"/>
      <w:marBottom w:val="0"/>
      <w:divBdr>
        <w:top w:val="none" w:sz="0" w:space="0" w:color="auto"/>
        <w:left w:val="none" w:sz="0" w:space="0" w:color="auto"/>
        <w:bottom w:val="none" w:sz="0" w:space="0" w:color="auto"/>
        <w:right w:val="none" w:sz="0" w:space="0" w:color="auto"/>
      </w:divBdr>
    </w:div>
    <w:div w:id="1386567798">
      <w:bodyDiv w:val="1"/>
      <w:marLeft w:val="0"/>
      <w:marRight w:val="0"/>
      <w:marTop w:val="0"/>
      <w:marBottom w:val="0"/>
      <w:divBdr>
        <w:top w:val="none" w:sz="0" w:space="0" w:color="auto"/>
        <w:left w:val="none" w:sz="0" w:space="0" w:color="auto"/>
        <w:bottom w:val="none" w:sz="0" w:space="0" w:color="auto"/>
        <w:right w:val="none" w:sz="0" w:space="0" w:color="auto"/>
      </w:divBdr>
    </w:div>
    <w:div w:id="1386639015">
      <w:bodyDiv w:val="1"/>
      <w:marLeft w:val="0"/>
      <w:marRight w:val="0"/>
      <w:marTop w:val="0"/>
      <w:marBottom w:val="0"/>
      <w:divBdr>
        <w:top w:val="none" w:sz="0" w:space="0" w:color="auto"/>
        <w:left w:val="none" w:sz="0" w:space="0" w:color="auto"/>
        <w:bottom w:val="none" w:sz="0" w:space="0" w:color="auto"/>
        <w:right w:val="none" w:sz="0" w:space="0" w:color="auto"/>
      </w:divBdr>
    </w:div>
    <w:div w:id="1386640059">
      <w:bodyDiv w:val="1"/>
      <w:marLeft w:val="0"/>
      <w:marRight w:val="0"/>
      <w:marTop w:val="0"/>
      <w:marBottom w:val="0"/>
      <w:divBdr>
        <w:top w:val="none" w:sz="0" w:space="0" w:color="auto"/>
        <w:left w:val="none" w:sz="0" w:space="0" w:color="auto"/>
        <w:bottom w:val="none" w:sz="0" w:space="0" w:color="auto"/>
        <w:right w:val="none" w:sz="0" w:space="0" w:color="auto"/>
      </w:divBdr>
    </w:div>
    <w:div w:id="1386682175">
      <w:bodyDiv w:val="1"/>
      <w:marLeft w:val="0"/>
      <w:marRight w:val="0"/>
      <w:marTop w:val="0"/>
      <w:marBottom w:val="0"/>
      <w:divBdr>
        <w:top w:val="none" w:sz="0" w:space="0" w:color="auto"/>
        <w:left w:val="none" w:sz="0" w:space="0" w:color="auto"/>
        <w:bottom w:val="none" w:sz="0" w:space="0" w:color="auto"/>
        <w:right w:val="none" w:sz="0" w:space="0" w:color="auto"/>
      </w:divBdr>
    </w:div>
    <w:div w:id="1386685924">
      <w:bodyDiv w:val="1"/>
      <w:marLeft w:val="0"/>
      <w:marRight w:val="0"/>
      <w:marTop w:val="0"/>
      <w:marBottom w:val="0"/>
      <w:divBdr>
        <w:top w:val="none" w:sz="0" w:space="0" w:color="auto"/>
        <w:left w:val="none" w:sz="0" w:space="0" w:color="auto"/>
        <w:bottom w:val="none" w:sz="0" w:space="0" w:color="auto"/>
        <w:right w:val="none" w:sz="0" w:space="0" w:color="auto"/>
      </w:divBdr>
    </w:div>
    <w:div w:id="1386876662">
      <w:bodyDiv w:val="1"/>
      <w:marLeft w:val="0"/>
      <w:marRight w:val="0"/>
      <w:marTop w:val="0"/>
      <w:marBottom w:val="0"/>
      <w:divBdr>
        <w:top w:val="none" w:sz="0" w:space="0" w:color="auto"/>
        <w:left w:val="none" w:sz="0" w:space="0" w:color="auto"/>
        <w:bottom w:val="none" w:sz="0" w:space="0" w:color="auto"/>
        <w:right w:val="none" w:sz="0" w:space="0" w:color="auto"/>
      </w:divBdr>
    </w:div>
    <w:div w:id="1386903891">
      <w:bodyDiv w:val="1"/>
      <w:marLeft w:val="0"/>
      <w:marRight w:val="0"/>
      <w:marTop w:val="0"/>
      <w:marBottom w:val="0"/>
      <w:divBdr>
        <w:top w:val="none" w:sz="0" w:space="0" w:color="auto"/>
        <w:left w:val="none" w:sz="0" w:space="0" w:color="auto"/>
        <w:bottom w:val="none" w:sz="0" w:space="0" w:color="auto"/>
        <w:right w:val="none" w:sz="0" w:space="0" w:color="auto"/>
      </w:divBdr>
    </w:div>
    <w:div w:id="1386904705">
      <w:bodyDiv w:val="1"/>
      <w:marLeft w:val="0"/>
      <w:marRight w:val="0"/>
      <w:marTop w:val="0"/>
      <w:marBottom w:val="0"/>
      <w:divBdr>
        <w:top w:val="none" w:sz="0" w:space="0" w:color="auto"/>
        <w:left w:val="none" w:sz="0" w:space="0" w:color="auto"/>
        <w:bottom w:val="none" w:sz="0" w:space="0" w:color="auto"/>
        <w:right w:val="none" w:sz="0" w:space="0" w:color="auto"/>
      </w:divBdr>
    </w:div>
    <w:div w:id="1387029385">
      <w:bodyDiv w:val="1"/>
      <w:marLeft w:val="0"/>
      <w:marRight w:val="0"/>
      <w:marTop w:val="0"/>
      <w:marBottom w:val="0"/>
      <w:divBdr>
        <w:top w:val="none" w:sz="0" w:space="0" w:color="auto"/>
        <w:left w:val="none" w:sz="0" w:space="0" w:color="auto"/>
        <w:bottom w:val="none" w:sz="0" w:space="0" w:color="auto"/>
        <w:right w:val="none" w:sz="0" w:space="0" w:color="auto"/>
      </w:divBdr>
    </w:div>
    <w:div w:id="1387031036">
      <w:bodyDiv w:val="1"/>
      <w:marLeft w:val="0"/>
      <w:marRight w:val="0"/>
      <w:marTop w:val="0"/>
      <w:marBottom w:val="0"/>
      <w:divBdr>
        <w:top w:val="none" w:sz="0" w:space="0" w:color="auto"/>
        <w:left w:val="none" w:sz="0" w:space="0" w:color="auto"/>
        <w:bottom w:val="none" w:sz="0" w:space="0" w:color="auto"/>
        <w:right w:val="none" w:sz="0" w:space="0" w:color="auto"/>
      </w:divBdr>
    </w:div>
    <w:div w:id="1387291133">
      <w:bodyDiv w:val="1"/>
      <w:marLeft w:val="0"/>
      <w:marRight w:val="0"/>
      <w:marTop w:val="0"/>
      <w:marBottom w:val="0"/>
      <w:divBdr>
        <w:top w:val="none" w:sz="0" w:space="0" w:color="auto"/>
        <w:left w:val="none" w:sz="0" w:space="0" w:color="auto"/>
        <w:bottom w:val="none" w:sz="0" w:space="0" w:color="auto"/>
        <w:right w:val="none" w:sz="0" w:space="0" w:color="auto"/>
      </w:divBdr>
    </w:div>
    <w:div w:id="1387297004">
      <w:bodyDiv w:val="1"/>
      <w:marLeft w:val="0"/>
      <w:marRight w:val="0"/>
      <w:marTop w:val="0"/>
      <w:marBottom w:val="0"/>
      <w:divBdr>
        <w:top w:val="none" w:sz="0" w:space="0" w:color="auto"/>
        <w:left w:val="none" w:sz="0" w:space="0" w:color="auto"/>
        <w:bottom w:val="none" w:sz="0" w:space="0" w:color="auto"/>
        <w:right w:val="none" w:sz="0" w:space="0" w:color="auto"/>
      </w:divBdr>
    </w:div>
    <w:div w:id="1387337142">
      <w:bodyDiv w:val="1"/>
      <w:marLeft w:val="0"/>
      <w:marRight w:val="0"/>
      <w:marTop w:val="0"/>
      <w:marBottom w:val="0"/>
      <w:divBdr>
        <w:top w:val="none" w:sz="0" w:space="0" w:color="auto"/>
        <w:left w:val="none" w:sz="0" w:space="0" w:color="auto"/>
        <w:bottom w:val="none" w:sz="0" w:space="0" w:color="auto"/>
        <w:right w:val="none" w:sz="0" w:space="0" w:color="auto"/>
      </w:divBdr>
    </w:div>
    <w:div w:id="1387338764">
      <w:bodyDiv w:val="1"/>
      <w:marLeft w:val="0"/>
      <w:marRight w:val="0"/>
      <w:marTop w:val="0"/>
      <w:marBottom w:val="0"/>
      <w:divBdr>
        <w:top w:val="none" w:sz="0" w:space="0" w:color="auto"/>
        <w:left w:val="none" w:sz="0" w:space="0" w:color="auto"/>
        <w:bottom w:val="none" w:sz="0" w:space="0" w:color="auto"/>
        <w:right w:val="none" w:sz="0" w:space="0" w:color="auto"/>
      </w:divBdr>
    </w:div>
    <w:div w:id="1387339575">
      <w:bodyDiv w:val="1"/>
      <w:marLeft w:val="0"/>
      <w:marRight w:val="0"/>
      <w:marTop w:val="0"/>
      <w:marBottom w:val="0"/>
      <w:divBdr>
        <w:top w:val="none" w:sz="0" w:space="0" w:color="auto"/>
        <w:left w:val="none" w:sz="0" w:space="0" w:color="auto"/>
        <w:bottom w:val="none" w:sz="0" w:space="0" w:color="auto"/>
        <w:right w:val="none" w:sz="0" w:space="0" w:color="auto"/>
      </w:divBdr>
    </w:div>
    <w:div w:id="1387528656">
      <w:bodyDiv w:val="1"/>
      <w:marLeft w:val="0"/>
      <w:marRight w:val="0"/>
      <w:marTop w:val="0"/>
      <w:marBottom w:val="0"/>
      <w:divBdr>
        <w:top w:val="none" w:sz="0" w:space="0" w:color="auto"/>
        <w:left w:val="none" w:sz="0" w:space="0" w:color="auto"/>
        <w:bottom w:val="none" w:sz="0" w:space="0" w:color="auto"/>
        <w:right w:val="none" w:sz="0" w:space="0" w:color="auto"/>
      </w:divBdr>
    </w:div>
    <w:div w:id="1387559903">
      <w:bodyDiv w:val="1"/>
      <w:marLeft w:val="0"/>
      <w:marRight w:val="0"/>
      <w:marTop w:val="0"/>
      <w:marBottom w:val="0"/>
      <w:divBdr>
        <w:top w:val="none" w:sz="0" w:space="0" w:color="auto"/>
        <w:left w:val="none" w:sz="0" w:space="0" w:color="auto"/>
        <w:bottom w:val="none" w:sz="0" w:space="0" w:color="auto"/>
        <w:right w:val="none" w:sz="0" w:space="0" w:color="auto"/>
      </w:divBdr>
    </w:div>
    <w:div w:id="1387560310">
      <w:bodyDiv w:val="1"/>
      <w:marLeft w:val="0"/>
      <w:marRight w:val="0"/>
      <w:marTop w:val="0"/>
      <w:marBottom w:val="0"/>
      <w:divBdr>
        <w:top w:val="none" w:sz="0" w:space="0" w:color="auto"/>
        <w:left w:val="none" w:sz="0" w:space="0" w:color="auto"/>
        <w:bottom w:val="none" w:sz="0" w:space="0" w:color="auto"/>
        <w:right w:val="none" w:sz="0" w:space="0" w:color="auto"/>
      </w:divBdr>
    </w:div>
    <w:div w:id="1387602224">
      <w:bodyDiv w:val="1"/>
      <w:marLeft w:val="0"/>
      <w:marRight w:val="0"/>
      <w:marTop w:val="0"/>
      <w:marBottom w:val="0"/>
      <w:divBdr>
        <w:top w:val="none" w:sz="0" w:space="0" w:color="auto"/>
        <w:left w:val="none" w:sz="0" w:space="0" w:color="auto"/>
        <w:bottom w:val="none" w:sz="0" w:space="0" w:color="auto"/>
        <w:right w:val="none" w:sz="0" w:space="0" w:color="auto"/>
      </w:divBdr>
    </w:div>
    <w:div w:id="1387602554">
      <w:bodyDiv w:val="1"/>
      <w:marLeft w:val="0"/>
      <w:marRight w:val="0"/>
      <w:marTop w:val="0"/>
      <w:marBottom w:val="0"/>
      <w:divBdr>
        <w:top w:val="none" w:sz="0" w:space="0" w:color="auto"/>
        <w:left w:val="none" w:sz="0" w:space="0" w:color="auto"/>
        <w:bottom w:val="none" w:sz="0" w:space="0" w:color="auto"/>
        <w:right w:val="none" w:sz="0" w:space="0" w:color="auto"/>
      </w:divBdr>
    </w:div>
    <w:div w:id="1387676664">
      <w:bodyDiv w:val="1"/>
      <w:marLeft w:val="0"/>
      <w:marRight w:val="0"/>
      <w:marTop w:val="0"/>
      <w:marBottom w:val="0"/>
      <w:divBdr>
        <w:top w:val="none" w:sz="0" w:space="0" w:color="auto"/>
        <w:left w:val="none" w:sz="0" w:space="0" w:color="auto"/>
        <w:bottom w:val="none" w:sz="0" w:space="0" w:color="auto"/>
        <w:right w:val="none" w:sz="0" w:space="0" w:color="auto"/>
      </w:divBdr>
    </w:div>
    <w:div w:id="1387752188">
      <w:bodyDiv w:val="1"/>
      <w:marLeft w:val="0"/>
      <w:marRight w:val="0"/>
      <w:marTop w:val="0"/>
      <w:marBottom w:val="0"/>
      <w:divBdr>
        <w:top w:val="none" w:sz="0" w:space="0" w:color="auto"/>
        <w:left w:val="none" w:sz="0" w:space="0" w:color="auto"/>
        <w:bottom w:val="none" w:sz="0" w:space="0" w:color="auto"/>
        <w:right w:val="none" w:sz="0" w:space="0" w:color="auto"/>
      </w:divBdr>
    </w:div>
    <w:div w:id="1387794921">
      <w:bodyDiv w:val="1"/>
      <w:marLeft w:val="0"/>
      <w:marRight w:val="0"/>
      <w:marTop w:val="0"/>
      <w:marBottom w:val="0"/>
      <w:divBdr>
        <w:top w:val="none" w:sz="0" w:space="0" w:color="auto"/>
        <w:left w:val="none" w:sz="0" w:space="0" w:color="auto"/>
        <w:bottom w:val="none" w:sz="0" w:space="0" w:color="auto"/>
        <w:right w:val="none" w:sz="0" w:space="0" w:color="auto"/>
      </w:divBdr>
    </w:div>
    <w:div w:id="1387871263">
      <w:bodyDiv w:val="1"/>
      <w:marLeft w:val="0"/>
      <w:marRight w:val="0"/>
      <w:marTop w:val="0"/>
      <w:marBottom w:val="0"/>
      <w:divBdr>
        <w:top w:val="none" w:sz="0" w:space="0" w:color="auto"/>
        <w:left w:val="none" w:sz="0" w:space="0" w:color="auto"/>
        <w:bottom w:val="none" w:sz="0" w:space="0" w:color="auto"/>
        <w:right w:val="none" w:sz="0" w:space="0" w:color="auto"/>
      </w:divBdr>
    </w:div>
    <w:div w:id="1387875522">
      <w:bodyDiv w:val="1"/>
      <w:marLeft w:val="0"/>
      <w:marRight w:val="0"/>
      <w:marTop w:val="0"/>
      <w:marBottom w:val="0"/>
      <w:divBdr>
        <w:top w:val="none" w:sz="0" w:space="0" w:color="auto"/>
        <w:left w:val="none" w:sz="0" w:space="0" w:color="auto"/>
        <w:bottom w:val="none" w:sz="0" w:space="0" w:color="auto"/>
        <w:right w:val="none" w:sz="0" w:space="0" w:color="auto"/>
      </w:divBdr>
    </w:div>
    <w:div w:id="1387877815">
      <w:bodyDiv w:val="1"/>
      <w:marLeft w:val="0"/>
      <w:marRight w:val="0"/>
      <w:marTop w:val="0"/>
      <w:marBottom w:val="0"/>
      <w:divBdr>
        <w:top w:val="none" w:sz="0" w:space="0" w:color="auto"/>
        <w:left w:val="none" w:sz="0" w:space="0" w:color="auto"/>
        <w:bottom w:val="none" w:sz="0" w:space="0" w:color="auto"/>
        <w:right w:val="none" w:sz="0" w:space="0" w:color="auto"/>
      </w:divBdr>
    </w:div>
    <w:div w:id="1387954111">
      <w:bodyDiv w:val="1"/>
      <w:marLeft w:val="0"/>
      <w:marRight w:val="0"/>
      <w:marTop w:val="0"/>
      <w:marBottom w:val="0"/>
      <w:divBdr>
        <w:top w:val="none" w:sz="0" w:space="0" w:color="auto"/>
        <w:left w:val="none" w:sz="0" w:space="0" w:color="auto"/>
        <w:bottom w:val="none" w:sz="0" w:space="0" w:color="auto"/>
        <w:right w:val="none" w:sz="0" w:space="0" w:color="auto"/>
      </w:divBdr>
    </w:div>
    <w:div w:id="1388067270">
      <w:bodyDiv w:val="1"/>
      <w:marLeft w:val="0"/>
      <w:marRight w:val="0"/>
      <w:marTop w:val="0"/>
      <w:marBottom w:val="0"/>
      <w:divBdr>
        <w:top w:val="none" w:sz="0" w:space="0" w:color="auto"/>
        <w:left w:val="none" w:sz="0" w:space="0" w:color="auto"/>
        <w:bottom w:val="none" w:sz="0" w:space="0" w:color="auto"/>
        <w:right w:val="none" w:sz="0" w:space="0" w:color="auto"/>
      </w:divBdr>
    </w:div>
    <w:div w:id="1388069042">
      <w:bodyDiv w:val="1"/>
      <w:marLeft w:val="0"/>
      <w:marRight w:val="0"/>
      <w:marTop w:val="0"/>
      <w:marBottom w:val="0"/>
      <w:divBdr>
        <w:top w:val="none" w:sz="0" w:space="0" w:color="auto"/>
        <w:left w:val="none" w:sz="0" w:space="0" w:color="auto"/>
        <w:bottom w:val="none" w:sz="0" w:space="0" w:color="auto"/>
        <w:right w:val="none" w:sz="0" w:space="0" w:color="auto"/>
      </w:divBdr>
    </w:div>
    <w:div w:id="1388337771">
      <w:bodyDiv w:val="1"/>
      <w:marLeft w:val="0"/>
      <w:marRight w:val="0"/>
      <w:marTop w:val="0"/>
      <w:marBottom w:val="0"/>
      <w:divBdr>
        <w:top w:val="none" w:sz="0" w:space="0" w:color="auto"/>
        <w:left w:val="none" w:sz="0" w:space="0" w:color="auto"/>
        <w:bottom w:val="none" w:sz="0" w:space="0" w:color="auto"/>
        <w:right w:val="none" w:sz="0" w:space="0" w:color="auto"/>
      </w:divBdr>
    </w:div>
    <w:div w:id="1388341502">
      <w:bodyDiv w:val="1"/>
      <w:marLeft w:val="0"/>
      <w:marRight w:val="0"/>
      <w:marTop w:val="0"/>
      <w:marBottom w:val="0"/>
      <w:divBdr>
        <w:top w:val="none" w:sz="0" w:space="0" w:color="auto"/>
        <w:left w:val="none" w:sz="0" w:space="0" w:color="auto"/>
        <w:bottom w:val="none" w:sz="0" w:space="0" w:color="auto"/>
        <w:right w:val="none" w:sz="0" w:space="0" w:color="auto"/>
      </w:divBdr>
    </w:div>
    <w:div w:id="1388407807">
      <w:bodyDiv w:val="1"/>
      <w:marLeft w:val="0"/>
      <w:marRight w:val="0"/>
      <w:marTop w:val="0"/>
      <w:marBottom w:val="0"/>
      <w:divBdr>
        <w:top w:val="none" w:sz="0" w:space="0" w:color="auto"/>
        <w:left w:val="none" w:sz="0" w:space="0" w:color="auto"/>
        <w:bottom w:val="none" w:sz="0" w:space="0" w:color="auto"/>
        <w:right w:val="none" w:sz="0" w:space="0" w:color="auto"/>
      </w:divBdr>
    </w:div>
    <w:div w:id="1388410694">
      <w:bodyDiv w:val="1"/>
      <w:marLeft w:val="0"/>
      <w:marRight w:val="0"/>
      <w:marTop w:val="0"/>
      <w:marBottom w:val="0"/>
      <w:divBdr>
        <w:top w:val="none" w:sz="0" w:space="0" w:color="auto"/>
        <w:left w:val="none" w:sz="0" w:space="0" w:color="auto"/>
        <w:bottom w:val="none" w:sz="0" w:space="0" w:color="auto"/>
        <w:right w:val="none" w:sz="0" w:space="0" w:color="auto"/>
      </w:divBdr>
    </w:div>
    <w:div w:id="1388459667">
      <w:bodyDiv w:val="1"/>
      <w:marLeft w:val="0"/>
      <w:marRight w:val="0"/>
      <w:marTop w:val="0"/>
      <w:marBottom w:val="0"/>
      <w:divBdr>
        <w:top w:val="none" w:sz="0" w:space="0" w:color="auto"/>
        <w:left w:val="none" w:sz="0" w:space="0" w:color="auto"/>
        <w:bottom w:val="none" w:sz="0" w:space="0" w:color="auto"/>
        <w:right w:val="none" w:sz="0" w:space="0" w:color="auto"/>
      </w:divBdr>
    </w:div>
    <w:div w:id="1388533478">
      <w:bodyDiv w:val="1"/>
      <w:marLeft w:val="0"/>
      <w:marRight w:val="0"/>
      <w:marTop w:val="0"/>
      <w:marBottom w:val="0"/>
      <w:divBdr>
        <w:top w:val="none" w:sz="0" w:space="0" w:color="auto"/>
        <w:left w:val="none" w:sz="0" w:space="0" w:color="auto"/>
        <w:bottom w:val="none" w:sz="0" w:space="0" w:color="auto"/>
        <w:right w:val="none" w:sz="0" w:space="0" w:color="auto"/>
      </w:divBdr>
    </w:div>
    <w:div w:id="1388534932">
      <w:bodyDiv w:val="1"/>
      <w:marLeft w:val="0"/>
      <w:marRight w:val="0"/>
      <w:marTop w:val="0"/>
      <w:marBottom w:val="0"/>
      <w:divBdr>
        <w:top w:val="none" w:sz="0" w:space="0" w:color="auto"/>
        <w:left w:val="none" w:sz="0" w:space="0" w:color="auto"/>
        <w:bottom w:val="none" w:sz="0" w:space="0" w:color="auto"/>
        <w:right w:val="none" w:sz="0" w:space="0" w:color="auto"/>
      </w:divBdr>
    </w:div>
    <w:div w:id="1388601890">
      <w:bodyDiv w:val="1"/>
      <w:marLeft w:val="0"/>
      <w:marRight w:val="0"/>
      <w:marTop w:val="0"/>
      <w:marBottom w:val="0"/>
      <w:divBdr>
        <w:top w:val="none" w:sz="0" w:space="0" w:color="auto"/>
        <w:left w:val="none" w:sz="0" w:space="0" w:color="auto"/>
        <w:bottom w:val="none" w:sz="0" w:space="0" w:color="auto"/>
        <w:right w:val="none" w:sz="0" w:space="0" w:color="auto"/>
      </w:divBdr>
    </w:div>
    <w:div w:id="1388721683">
      <w:bodyDiv w:val="1"/>
      <w:marLeft w:val="0"/>
      <w:marRight w:val="0"/>
      <w:marTop w:val="0"/>
      <w:marBottom w:val="0"/>
      <w:divBdr>
        <w:top w:val="none" w:sz="0" w:space="0" w:color="auto"/>
        <w:left w:val="none" w:sz="0" w:space="0" w:color="auto"/>
        <w:bottom w:val="none" w:sz="0" w:space="0" w:color="auto"/>
        <w:right w:val="none" w:sz="0" w:space="0" w:color="auto"/>
      </w:divBdr>
    </w:div>
    <w:div w:id="1388915345">
      <w:bodyDiv w:val="1"/>
      <w:marLeft w:val="0"/>
      <w:marRight w:val="0"/>
      <w:marTop w:val="0"/>
      <w:marBottom w:val="0"/>
      <w:divBdr>
        <w:top w:val="none" w:sz="0" w:space="0" w:color="auto"/>
        <w:left w:val="none" w:sz="0" w:space="0" w:color="auto"/>
        <w:bottom w:val="none" w:sz="0" w:space="0" w:color="auto"/>
        <w:right w:val="none" w:sz="0" w:space="0" w:color="auto"/>
      </w:divBdr>
    </w:div>
    <w:div w:id="1388918053">
      <w:bodyDiv w:val="1"/>
      <w:marLeft w:val="0"/>
      <w:marRight w:val="0"/>
      <w:marTop w:val="0"/>
      <w:marBottom w:val="0"/>
      <w:divBdr>
        <w:top w:val="none" w:sz="0" w:space="0" w:color="auto"/>
        <w:left w:val="none" w:sz="0" w:space="0" w:color="auto"/>
        <w:bottom w:val="none" w:sz="0" w:space="0" w:color="auto"/>
        <w:right w:val="none" w:sz="0" w:space="0" w:color="auto"/>
      </w:divBdr>
    </w:div>
    <w:div w:id="1388990712">
      <w:bodyDiv w:val="1"/>
      <w:marLeft w:val="0"/>
      <w:marRight w:val="0"/>
      <w:marTop w:val="0"/>
      <w:marBottom w:val="0"/>
      <w:divBdr>
        <w:top w:val="none" w:sz="0" w:space="0" w:color="auto"/>
        <w:left w:val="none" w:sz="0" w:space="0" w:color="auto"/>
        <w:bottom w:val="none" w:sz="0" w:space="0" w:color="auto"/>
        <w:right w:val="none" w:sz="0" w:space="0" w:color="auto"/>
      </w:divBdr>
    </w:div>
    <w:div w:id="1389299072">
      <w:bodyDiv w:val="1"/>
      <w:marLeft w:val="0"/>
      <w:marRight w:val="0"/>
      <w:marTop w:val="0"/>
      <w:marBottom w:val="0"/>
      <w:divBdr>
        <w:top w:val="none" w:sz="0" w:space="0" w:color="auto"/>
        <w:left w:val="none" w:sz="0" w:space="0" w:color="auto"/>
        <w:bottom w:val="none" w:sz="0" w:space="0" w:color="auto"/>
        <w:right w:val="none" w:sz="0" w:space="0" w:color="auto"/>
      </w:divBdr>
    </w:div>
    <w:div w:id="1389450257">
      <w:bodyDiv w:val="1"/>
      <w:marLeft w:val="0"/>
      <w:marRight w:val="0"/>
      <w:marTop w:val="0"/>
      <w:marBottom w:val="0"/>
      <w:divBdr>
        <w:top w:val="none" w:sz="0" w:space="0" w:color="auto"/>
        <w:left w:val="none" w:sz="0" w:space="0" w:color="auto"/>
        <w:bottom w:val="none" w:sz="0" w:space="0" w:color="auto"/>
        <w:right w:val="none" w:sz="0" w:space="0" w:color="auto"/>
      </w:divBdr>
    </w:div>
    <w:div w:id="1389456853">
      <w:bodyDiv w:val="1"/>
      <w:marLeft w:val="0"/>
      <w:marRight w:val="0"/>
      <w:marTop w:val="0"/>
      <w:marBottom w:val="0"/>
      <w:divBdr>
        <w:top w:val="none" w:sz="0" w:space="0" w:color="auto"/>
        <w:left w:val="none" w:sz="0" w:space="0" w:color="auto"/>
        <w:bottom w:val="none" w:sz="0" w:space="0" w:color="auto"/>
        <w:right w:val="none" w:sz="0" w:space="0" w:color="auto"/>
      </w:divBdr>
    </w:div>
    <w:div w:id="1389498270">
      <w:bodyDiv w:val="1"/>
      <w:marLeft w:val="0"/>
      <w:marRight w:val="0"/>
      <w:marTop w:val="0"/>
      <w:marBottom w:val="0"/>
      <w:divBdr>
        <w:top w:val="none" w:sz="0" w:space="0" w:color="auto"/>
        <w:left w:val="none" w:sz="0" w:space="0" w:color="auto"/>
        <w:bottom w:val="none" w:sz="0" w:space="0" w:color="auto"/>
        <w:right w:val="none" w:sz="0" w:space="0" w:color="auto"/>
      </w:divBdr>
    </w:div>
    <w:div w:id="1389500252">
      <w:bodyDiv w:val="1"/>
      <w:marLeft w:val="0"/>
      <w:marRight w:val="0"/>
      <w:marTop w:val="0"/>
      <w:marBottom w:val="0"/>
      <w:divBdr>
        <w:top w:val="none" w:sz="0" w:space="0" w:color="auto"/>
        <w:left w:val="none" w:sz="0" w:space="0" w:color="auto"/>
        <w:bottom w:val="none" w:sz="0" w:space="0" w:color="auto"/>
        <w:right w:val="none" w:sz="0" w:space="0" w:color="auto"/>
      </w:divBdr>
    </w:div>
    <w:div w:id="1389572003">
      <w:bodyDiv w:val="1"/>
      <w:marLeft w:val="0"/>
      <w:marRight w:val="0"/>
      <w:marTop w:val="0"/>
      <w:marBottom w:val="0"/>
      <w:divBdr>
        <w:top w:val="none" w:sz="0" w:space="0" w:color="auto"/>
        <w:left w:val="none" w:sz="0" w:space="0" w:color="auto"/>
        <w:bottom w:val="none" w:sz="0" w:space="0" w:color="auto"/>
        <w:right w:val="none" w:sz="0" w:space="0" w:color="auto"/>
      </w:divBdr>
    </w:div>
    <w:div w:id="1389575866">
      <w:bodyDiv w:val="1"/>
      <w:marLeft w:val="0"/>
      <w:marRight w:val="0"/>
      <w:marTop w:val="0"/>
      <w:marBottom w:val="0"/>
      <w:divBdr>
        <w:top w:val="none" w:sz="0" w:space="0" w:color="auto"/>
        <w:left w:val="none" w:sz="0" w:space="0" w:color="auto"/>
        <w:bottom w:val="none" w:sz="0" w:space="0" w:color="auto"/>
        <w:right w:val="none" w:sz="0" w:space="0" w:color="auto"/>
      </w:divBdr>
    </w:div>
    <w:div w:id="1389719276">
      <w:bodyDiv w:val="1"/>
      <w:marLeft w:val="0"/>
      <w:marRight w:val="0"/>
      <w:marTop w:val="0"/>
      <w:marBottom w:val="0"/>
      <w:divBdr>
        <w:top w:val="none" w:sz="0" w:space="0" w:color="auto"/>
        <w:left w:val="none" w:sz="0" w:space="0" w:color="auto"/>
        <w:bottom w:val="none" w:sz="0" w:space="0" w:color="auto"/>
        <w:right w:val="none" w:sz="0" w:space="0" w:color="auto"/>
      </w:divBdr>
    </w:div>
    <w:div w:id="1389837078">
      <w:bodyDiv w:val="1"/>
      <w:marLeft w:val="0"/>
      <w:marRight w:val="0"/>
      <w:marTop w:val="0"/>
      <w:marBottom w:val="0"/>
      <w:divBdr>
        <w:top w:val="none" w:sz="0" w:space="0" w:color="auto"/>
        <w:left w:val="none" w:sz="0" w:space="0" w:color="auto"/>
        <w:bottom w:val="none" w:sz="0" w:space="0" w:color="auto"/>
        <w:right w:val="none" w:sz="0" w:space="0" w:color="auto"/>
      </w:divBdr>
    </w:div>
    <w:div w:id="1389841727">
      <w:bodyDiv w:val="1"/>
      <w:marLeft w:val="0"/>
      <w:marRight w:val="0"/>
      <w:marTop w:val="0"/>
      <w:marBottom w:val="0"/>
      <w:divBdr>
        <w:top w:val="none" w:sz="0" w:space="0" w:color="auto"/>
        <w:left w:val="none" w:sz="0" w:space="0" w:color="auto"/>
        <w:bottom w:val="none" w:sz="0" w:space="0" w:color="auto"/>
        <w:right w:val="none" w:sz="0" w:space="0" w:color="auto"/>
      </w:divBdr>
    </w:div>
    <w:div w:id="1389918317">
      <w:bodyDiv w:val="1"/>
      <w:marLeft w:val="0"/>
      <w:marRight w:val="0"/>
      <w:marTop w:val="0"/>
      <w:marBottom w:val="0"/>
      <w:divBdr>
        <w:top w:val="none" w:sz="0" w:space="0" w:color="auto"/>
        <w:left w:val="none" w:sz="0" w:space="0" w:color="auto"/>
        <w:bottom w:val="none" w:sz="0" w:space="0" w:color="auto"/>
        <w:right w:val="none" w:sz="0" w:space="0" w:color="auto"/>
      </w:divBdr>
    </w:div>
    <w:div w:id="1389954709">
      <w:bodyDiv w:val="1"/>
      <w:marLeft w:val="0"/>
      <w:marRight w:val="0"/>
      <w:marTop w:val="0"/>
      <w:marBottom w:val="0"/>
      <w:divBdr>
        <w:top w:val="none" w:sz="0" w:space="0" w:color="auto"/>
        <w:left w:val="none" w:sz="0" w:space="0" w:color="auto"/>
        <w:bottom w:val="none" w:sz="0" w:space="0" w:color="auto"/>
        <w:right w:val="none" w:sz="0" w:space="0" w:color="auto"/>
      </w:divBdr>
    </w:div>
    <w:div w:id="1390108122">
      <w:bodyDiv w:val="1"/>
      <w:marLeft w:val="0"/>
      <w:marRight w:val="0"/>
      <w:marTop w:val="0"/>
      <w:marBottom w:val="0"/>
      <w:divBdr>
        <w:top w:val="none" w:sz="0" w:space="0" w:color="auto"/>
        <w:left w:val="none" w:sz="0" w:space="0" w:color="auto"/>
        <w:bottom w:val="none" w:sz="0" w:space="0" w:color="auto"/>
        <w:right w:val="none" w:sz="0" w:space="0" w:color="auto"/>
      </w:divBdr>
    </w:div>
    <w:div w:id="1390112415">
      <w:bodyDiv w:val="1"/>
      <w:marLeft w:val="0"/>
      <w:marRight w:val="0"/>
      <w:marTop w:val="0"/>
      <w:marBottom w:val="0"/>
      <w:divBdr>
        <w:top w:val="none" w:sz="0" w:space="0" w:color="auto"/>
        <w:left w:val="none" w:sz="0" w:space="0" w:color="auto"/>
        <w:bottom w:val="none" w:sz="0" w:space="0" w:color="auto"/>
        <w:right w:val="none" w:sz="0" w:space="0" w:color="auto"/>
      </w:divBdr>
    </w:div>
    <w:div w:id="1390227075">
      <w:bodyDiv w:val="1"/>
      <w:marLeft w:val="0"/>
      <w:marRight w:val="0"/>
      <w:marTop w:val="0"/>
      <w:marBottom w:val="0"/>
      <w:divBdr>
        <w:top w:val="none" w:sz="0" w:space="0" w:color="auto"/>
        <w:left w:val="none" w:sz="0" w:space="0" w:color="auto"/>
        <w:bottom w:val="none" w:sz="0" w:space="0" w:color="auto"/>
        <w:right w:val="none" w:sz="0" w:space="0" w:color="auto"/>
      </w:divBdr>
    </w:div>
    <w:div w:id="1390424326">
      <w:bodyDiv w:val="1"/>
      <w:marLeft w:val="0"/>
      <w:marRight w:val="0"/>
      <w:marTop w:val="0"/>
      <w:marBottom w:val="0"/>
      <w:divBdr>
        <w:top w:val="none" w:sz="0" w:space="0" w:color="auto"/>
        <w:left w:val="none" w:sz="0" w:space="0" w:color="auto"/>
        <w:bottom w:val="none" w:sz="0" w:space="0" w:color="auto"/>
        <w:right w:val="none" w:sz="0" w:space="0" w:color="auto"/>
      </w:divBdr>
    </w:div>
    <w:div w:id="1390500434">
      <w:bodyDiv w:val="1"/>
      <w:marLeft w:val="0"/>
      <w:marRight w:val="0"/>
      <w:marTop w:val="0"/>
      <w:marBottom w:val="0"/>
      <w:divBdr>
        <w:top w:val="none" w:sz="0" w:space="0" w:color="auto"/>
        <w:left w:val="none" w:sz="0" w:space="0" w:color="auto"/>
        <w:bottom w:val="none" w:sz="0" w:space="0" w:color="auto"/>
        <w:right w:val="none" w:sz="0" w:space="0" w:color="auto"/>
      </w:divBdr>
    </w:div>
    <w:div w:id="1390568215">
      <w:bodyDiv w:val="1"/>
      <w:marLeft w:val="0"/>
      <w:marRight w:val="0"/>
      <w:marTop w:val="0"/>
      <w:marBottom w:val="0"/>
      <w:divBdr>
        <w:top w:val="none" w:sz="0" w:space="0" w:color="auto"/>
        <w:left w:val="none" w:sz="0" w:space="0" w:color="auto"/>
        <w:bottom w:val="none" w:sz="0" w:space="0" w:color="auto"/>
        <w:right w:val="none" w:sz="0" w:space="0" w:color="auto"/>
      </w:divBdr>
    </w:div>
    <w:div w:id="1390572596">
      <w:bodyDiv w:val="1"/>
      <w:marLeft w:val="0"/>
      <w:marRight w:val="0"/>
      <w:marTop w:val="0"/>
      <w:marBottom w:val="0"/>
      <w:divBdr>
        <w:top w:val="none" w:sz="0" w:space="0" w:color="auto"/>
        <w:left w:val="none" w:sz="0" w:space="0" w:color="auto"/>
        <w:bottom w:val="none" w:sz="0" w:space="0" w:color="auto"/>
        <w:right w:val="none" w:sz="0" w:space="0" w:color="auto"/>
      </w:divBdr>
    </w:div>
    <w:div w:id="1390759995">
      <w:bodyDiv w:val="1"/>
      <w:marLeft w:val="0"/>
      <w:marRight w:val="0"/>
      <w:marTop w:val="0"/>
      <w:marBottom w:val="0"/>
      <w:divBdr>
        <w:top w:val="none" w:sz="0" w:space="0" w:color="auto"/>
        <w:left w:val="none" w:sz="0" w:space="0" w:color="auto"/>
        <w:bottom w:val="none" w:sz="0" w:space="0" w:color="auto"/>
        <w:right w:val="none" w:sz="0" w:space="0" w:color="auto"/>
      </w:divBdr>
    </w:div>
    <w:div w:id="1390811140">
      <w:bodyDiv w:val="1"/>
      <w:marLeft w:val="0"/>
      <w:marRight w:val="0"/>
      <w:marTop w:val="0"/>
      <w:marBottom w:val="0"/>
      <w:divBdr>
        <w:top w:val="none" w:sz="0" w:space="0" w:color="auto"/>
        <w:left w:val="none" w:sz="0" w:space="0" w:color="auto"/>
        <w:bottom w:val="none" w:sz="0" w:space="0" w:color="auto"/>
        <w:right w:val="none" w:sz="0" w:space="0" w:color="auto"/>
      </w:divBdr>
    </w:div>
    <w:div w:id="1390956718">
      <w:bodyDiv w:val="1"/>
      <w:marLeft w:val="0"/>
      <w:marRight w:val="0"/>
      <w:marTop w:val="0"/>
      <w:marBottom w:val="0"/>
      <w:divBdr>
        <w:top w:val="none" w:sz="0" w:space="0" w:color="auto"/>
        <w:left w:val="none" w:sz="0" w:space="0" w:color="auto"/>
        <w:bottom w:val="none" w:sz="0" w:space="0" w:color="auto"/>
        <w:right w:val="none" w:sz="0" w:space="0" w:color="auto"/>
      </w:divBdr>
    </w:div>
    <w:div w:id="1391079642">
      <w:bodyDiv w:val="1"/>
      <w:marLeft w:val="0"/>
      <w:marRight w:val="0"/>
      <w:marTop w:val="0"/>
      <w:marBottom w:val="0"/>
      <w:divBdr>
        <w:top w:val="none" w:sz="0" w:space="0" w:color="auto"/>
        <w:left w:val="none" w:sz="0" w:space="0" w:color="auto"/>
        <w:bottom w:val="none" w:sz="0" w:space="0" w:color="auto"/>
        <w:right w:val="none" w:sz="0" w:space="0" w:color="auto"/>
      </w:divBdr>
    </w:div>
    <w:div w:id="1391154676">
      <w:bodyDiv w:val="1"/>
      <w:marLeft w:val="0"/>
      <w:marRight w:val="0"/>
      <w:marTop w:val="0"/>
      <w:marBottom w:val="0"/>
      <w:divBdr>
        <w:top w:val="none" w:sz="0" w:space="0" w:color="auto"/>
        <w:left w:val="none" w:sz="0" w:space="0" w:color="auto"/>
        <w:bottom w:val="none" w:sz="0" w:space="0" w:color="auto"/>
        <w:right w:val="none" w:sz="0" w:space="0" w:color="auto"/>
      </w:divBdr>
    </w:div>
    <w:div w:id="1391266201">
      <w:bodyDiv w:val="1"/>
      <w:marLeft w:val="0"/>
      <w:marRight w:val="0"/>
      <w:marTop w:val="0"/>
      <w:marBottom w:val="0"/>
      <w:divBdr>
        <w:top w:val="none" w:sz="0" w:space="0" w:color="auto"/>
        <w:left w:val="none" w:sz="0" w:space="0" w:color="auto"/>
        <w:bottom w:val="none" w:sz="0" w:space="0" w:color="auto"/>
        <w:right w:val="none" w:sz="0" w:space="0" w:color="auto"/>
      </w:divBdr>
    </w:div>
    <w:div w:id="1391272286">
      <w:bodyDiv w:val="1"/>
      <w:marLeft w:val="0"/>
      <w:marRight w:val="0"/>
      <w:marTop w:val="0"/>
      <w:marBottom w:val="0"/>
      <w:divBdr>
        <w:top w:val="none" w:sz="0" w:space="0" w:color="auto"/>
        <w:left w:val="none" w:sz="0" w:space="0" w:color="auto"/>
        <w:bottom w:val="none" w:sz="0" w:space="0" w:color="auto"/>
        <w:right w:val="none" w:sz="0" w:space="0" w:color="auto"/>
      </w:divBdr>
    </w:div>
    <w:div w:id="1391417541">
      <w:bodyDiv w:val="1"/>
      <w:marLeft w:val="0"/>
      <w:marRight w:val="0"/>
      <w:marTop w:val="0"/>
      <w:marBottom w:val="0"/>
      <w:divBdr>
        <w:top w:val="none" w:sz="0" w:space="0" w:color="auto"/>
        <w:left w:val="none" w:sz="0" w:space="0" w:color="auto"/>
        <w:bottom w:val="none" w:sz="0" w:space="0" w:color="auto"/>
        <w:right w:val="none" w:sz="0" w:space="0" w:color="auto"/>
      </w:divBdr>
    </w:div>
    <w:div w:id="1391419241">
      <w:bodyDiv w:val="1"/>
      <w:marLeft w:val="0"/>
      <w:marRight w:val="0"/>
      <w:marTop w:val="0"/>
      <w:marBottom w:val="0"/>
      <w:divBdr>
        <w:top w:val="none" w:sz="0" w:space="0" w:color="auto"/>
        <w:left w:val="none" w:sz="0" w:space="0" w:color="auto"/>
        <w:bottom w:val="none" w:sz="0" w:space="0" w:color="auto"/>
        <w:right w:val="none" w:sz="0" w:space="0" w:color="auto"/>
      </w:divBdr>
    </w:div>
    <w:div w:id="1391419899">
      <w:bodyDiv w:val="1"/>
      <w:marLeft w:val="0"/>
      <w:marRight w:val="0"/>
      <w:marTop w:val="0"/>
      <w:marBottom w:val="0"/>
      <w:divBdr>
        <w:top w:val="none" w:sz="0" w:space="0" w:color="auto"/>
        <w:left w:val="none" w:sz="0" w:space="0" w:color="auto"/>
        <w:bottom w:val="none" w:sz="0" w:space="0" w:color="auto"/>
        <w:right w:val="none" w:sz="0" w:space="0" w:color="auto"/>
      </w:divBdr>
    </w:div>
    <w:div w:id="1391420667">
      <w:bodyDiv w:val="1"/>
      <w:marLeft w:val="0"/>
      <w:marRight w:val="0"/>
      <w:marTop w:val="0"/>
      <w:marBottom w:val="0"/>
      <w:divBdr>
        <w:top w:val="none" w:sz="0" w:space="0" w:color="auto"/>
        <w:left w:val="none" w:sz="0" w:space="0" w:color="auto"/>
        <w:bottom w:val="none" w:sz="0" w:space="0" w:color="auto"/>
        <w:right w:val="none" w:sz="0" w:space="0" w:color="auto"/>
      </w:divBdr>
    </w:div>
    <w:div w:id="1391462476">
      <w:bodyDiv w:val="1"/>
      <w:marLeft w:val="0"/>
      <w:marRight w:val="0"/>
      <w:marTop w:val="0"/>
      <w:marBottom w:val="0"/>
      <w:divBdr>
        <w:top w:val="none" w:sz="0" w:space="0" w:color="auto"/>
        <w:left w:val="none" w:sz="0" w:space="0" w:color="auto"/>
        <w:bottom w:val="none" w:sz="0" w:space="0" w:color="auto"/>
        <w:right w:val="none" w:sz="0" w:space="0" w:color="auto"/>
      </w:divBdr>
    </w:div>
    <w:div w:id="1391611890">
      <w:bodyDiv w:val="1"/>
      <w:marLeft w:val="0"/>
      <w:marRight w:val="0"/>
      <w:marTop w:val="0"/>
      <w:marBottom w:val="0"/>
      <w:divBdr>
        <w:top w:val="none" w:sz="0" w:space="0" w:color="auto"/>
        <w:left w:val="none" w:sz="0" w:space="0" w:color="auto"/>
        <w:bottom w:val="none" w:sz="0" w:space="0" w:color="auto"/>
        <w:right w:val="none" w:sz="0" w:space="0" w:color="auto"/>
      </w:divBdr>
    </w:div>
    <w:div w:id="1391881079">
      <w:bodyDiv w:val="1"/>
      <w:marLeft w:val="0"/>
      <w:marRight w:val="0"/>
      <w:marTop w:val="0"/>
      <w:marBottom w:val="0"/>
      <w:divBdr>
        <w:top w:val="none" w:sz="0" w:space="0" w:color="auto"/>
        <w:left w:val="none" w:sz="0" w:space="0" w:color="auto"/>
        <w:bottom w:val="none" w:sz="0" w:space="0" w:color="auto"/>
        <w:right w:val="none" w:sz="0" w:space="0" w:color="auto"/>
      </w:divBdr>
    </w:div>
    <w:div w:id="1391921354">
      <w:bodyDiv w:val="1"/>
      <w:marLeft w:val="0"/>
      <w:marRight w:val="0"/>
      <w:marTop w:val="0"/>
      <w:marBottom w:val="0"/>
      <w:divBdr>
        <w:top w:val="none" w:sz="0" w:space="0" w:color="auto"/>
        <w:left w:val="none" w:sz="0" w:space="0" w:color="auto"/>
        <w:bottom w:val="none" w:sz="0" w:space="0" w:color="auto"/>
        <w:right w:val="none" w:sz="0" w:space="0" w:color="auto"/>
      </w:divBdr>
    </w:div>
    <w:div w:id="1391923440">
      <w:bodyDiv w:val="1"/>
      <w:marLeft w:val="0"/>
      <w:marRight w:val="0"/>
      <w:marTop w:val="0"/>
      <w:marBottom w:val="0"/>
      <w:divBdr>
        <w:top w:val="none" w:sz="0" w:space="0" w:color="auto"/>
        <w:left w:val="none" w:sz="0" w:space="0" w:color="auto"/>
        <w:bottom w:val="none" w:sz="0" w:space="0" w:color="auto"/>
        <w:right w:val="none" w:sz="0" w:space="0" w:color="auto"/>
      </w:divBdr>
    </w:div>
    <w:div w:id="1391925158">
      <w:bodyDiv w:val="1"/>
      <w:marLeft w:val="0"/>
      <w:marRight w:val="0"/>
      <w:marTop w:val="0"/>
      <w:marBottom w:val="0"/>
      <w:divBdr>
        <w:top w:val="none" w:sz="0" w:space="0" w:color="auto"/>
        <w:left w:val="none" w:sz="0" w:space="0" w:color="auto"/>
        <w:bottom w:val="none" w:sz="0" w:space="0" w:color="auto"/>
        <w:right w:val="none" w:sz="0" w:space="0" w:color="auto"/>
      </w:divBdr>
    </w:div>
    <w:div w:id="1391995282">
      <w:bodyDiv w:val="1"/>
      <w:marLeft w:val="0"/>
      <w:marRight w:val="0"/>
      <w:marTop w:val="0"/>
      <w:marBottom w:val="0"/>
      <w:divBdr>
        <w:top w:val="none" w:sz="0" w:space="0" w:color="auto"/>
        <w:left w:val="none" w:sz="0" w:space="0" w:color="auto"/>
        <w:bottom w:val="none" w:sz="0" w:space="0" w:color="auto"/>
        <w:right w:val="none" w:sz="0" w:space="0" w:color="auto"/>
      </w:divBdr>
    </w:div>
    <w:div w:id="1391996909">
      <w:bodyDiv w:val="1"/>
      <w:marLeft w:val="0"/>
      <w:marRight w:val="0"/>
      <w:marTop w:val="0"/>
      <w:marBottom w:val="0"/>
      <w:divBdr>
        <w:top w:val="none" w:sz="0" w:space="0" w:color="auto"/>
        <w:left w:val="none" w:sz="0" w:space="0" w:color="auto"/>
        <w:bottom w:val="none" w:sz="0" w:space="0" w:color="auto"/>
        <w:right w:val="none" w:sz="0" w:space="0" w:color="auto"/>
      </w:divBdr>
    </w:div>
    <w:div w:id="1391997315">
      <w:bodyDiv w:val="1"/>
      <w:marLeft w:val="0"/>
      <w:marRight w:val="0"/>
      <w:marTop w:val="0"/>
      <w:marBottom w:val="0"/>
      <w:divBdr>
        <w:top w:val="none" w:sz="0" w:space="0" w:color="auto"/>
        <w:left w:val="none" w:sz="0" w:space="0" w:color="auto"/>
        <w:bottom w:val="none" w:sz="0" w:space="0" w:color="auto"/>
        <w:right w:val="none" w:sz="0" w:space="0" w:color="auto"/>
      </w:divBdr>
    </w:div>
    <w:div w:id="1392117375">
      <w:bodyDiv w:val="1"/>
      <w:marLeft w:val="0"/>
      <w:marRight w:val="0"/>
      <w:marTop w:val="0"/>
      <w:marBottom w:val="0"/>
      <w:divBdr>
        <w:top w:val="none" w:sz="0" w:space="0" w:color="auto"/>
        <w:left w:val="none" w:sz="0" w:space="0" w:color="auto"/>
        <w:bottom w:val="none" w:sz="0" w:space="0" w:color="auto"/>
        <w:right w:val="none" w:sz="0" w:space="0" w:color="auto"/>
      </w:divBdr>
    </w:div>
    <w:div w:id="1392146425">
      <w:bodyDiv w:val="1"/>
      <w:marLeft w:val="0"/>
      <w:marRight w:val="0"/>
      <w:marTop w:val="0"/>
      <w:marBottom w:val="0"/>
      <w:divBdr>
        <w:top w:val="none" w:sz="0" w:space="0" w:color="auto"/>
        <w:left w:val="none" w:sz="0" w:space="0" w:color="auto"/>
        <w:bottom w:val="none" w:sz="0" w:space="0" w:color="auto"/>
        <w:right w:val="none" w:sz="0" w:space="0" w:color="auto"/>
      </w:divBdr>
    </w:div>
    <w:div w:id="1392190047">
      <w:bodyDiv w:val="1"/>
      <w:marLeft w:val="0"/>
      <w:marRight w:val="0"/>
      <w:marTop w:val="0"/>
      <w:marBottom w:val="0"/>
      <w:divBdr>
        <w:top w:val="none" w:sz="0" w:space="0" w:color="auto"/>
        <w:left w:val="none" w:sz="0" w:space="0" w:color="auto"/>
        <w:bottom w:val="none" w:sz="0" w:space="0" w:color="auto"/>
        <w:right w:val="none" w:sz="0" w:space="0" w:color="auto"/>
      </w:divBdr>
    </w:div>
    <w:div w:id="1392190149">
      <w:bodyDiv w:val="1"/>
      <w:marLeft w:val="0"/>
      <w:marRight w:val="0"/>
      <w:marTop w:val="0"/>
      <w:marBottom w:val="0"/>
      <w:divBdr>
        <w:top w:val="none" w:sz="0" w:space="0" w:color="auto"/>
        <w:left w:val="none" w:sz="0" w:space="0" w:color="auto"/>
        <w:bottom w:val="none" w:sz="0" w:space="0" w:color="auto"/>
        <w:right w:val="none" w:sz="0" w:space="0" w:color="auto"/>
      </w:divBdr>
    </w:div>
    <w:div w:id="1392192320">
      <w:bodyDiv w:val="1"/>
      <w:marLeft w:val="0"/>
      <w:marRight w:val="0"/>
      <w:marTop w:val="0"/>
      <w:marBottom w:val="0"/>
      <w:divBdr>
        <w:top w:val="none" w:sz="0" w:space="0" w:color="auto"/>
        <w:left w:val="none" w:sz="0" w:space="0" w:color="auto"/>
        <w:bottom w:val="none" w:sz="0" w:space="0" w:color="auto"/>
        <w:right w:val="none" w:sz="0" w:space="0" w:color="auto"/>
      </w:divBdr>
    </w:div>
    <w:div w:id="1392194646">
      <w:bodyDiv w:val="1"/>
      <w:marLeft w:val="0"/>
      <w:marRight w:val="0"/>
      <w:marTop w:val="0"/>
      <w:marBottom w:val="0"/>
      <w:divBdr>
        <w:top w:val="none" w:sz="0" w:space="0" w:color="auto"/>
        <w:left w:val="none" w:sz="0" w:space="0" w:color="auto"/>
        <w:bottom w:val="none" w:sz="0" w:space="0" w:color="auto"/>
        <w:right w:val="none" w:sz="0" w:space="0" w:color="auto"/>
      </w:divBdr>
    </w:div>
    <w:div w:id="1392195042">
      <w:bodyDiv w:val="1"/>
      <w:marLeft w:val="0"/>
      <w:marRight w:val="0"/>
      <w:marTop w:val="0"/>
      <w:marBottom w:val="0"/>
      <w:divBdr>
        <w:top w:val="none" w:sz="0" w:space="0" w:color="auto"/>
        <w:left w:val="none" w:sz="0" w:space="0" w:color="auto"/>
        <w:bottom w:val="none" w:sz="0" w:space="0" w:color="auto"/>
        <w:right w:val="none" w:sz="0" w:space="0" w:color="auto"/>
      </w:divBdr>
    </w:div>
    <w:div w:id="1392270586">
      <w:bodyDiv w:val="1"/>
      <w:marLeft w:val="0"/>
      <w:marRight w:val="0"/>
      <w:marTop w:val="0"/>
      <w:marBottom w:val="0"/>
      <w:divBdr>
        <w:top w:val="none" w:sz="0" w:space="0" w:color="auto"/>
        <w:left w:val="none" w:sz="0" w:space="0" w:color="auto"/>
        <w:bottom w:val="none" w:sz="0" w:space="0" w:color="auto"/>
        <w:right w:val="none" w:sz="0" w:space="0" w:color="auto"/>
      </w:divBdr>
    </w:div>
    <w:div w:id="1392272751">
      <w:bodyDiv w:val="1"/>
      <w:marLeft w:val="0"/>
      <w:marRight w:val="0"/>
      <w:marTop w:val="0"/>
      <w:marBottom w:val="0"/>
      <w:divBdr>
        <w:top w:val="none" w:sz="0" w:space="0" w:color="auto"/>
        <w:left w:val="none" w:sz="0" w:space="0" w:color="auto"/>
        <w:bottom w:val="none" w:sz="0" w:space="0" w:color="auto"/>
        <w:right w:val="none" w:sz="0" w:space="0" w:color="auto"/>
      </w:divBdr>
    </w:div>
    <w:div w:id="1392343739">
      <w:bodyDiv w:val="1"/>
      <w:marLeft w:val="0"/>
      <w:marRight w:val="0"/>
      <w:marTop w:val="0"/>
      <w:marBottom w:val="0"/>
      <w:divBdr>
        <w:top w:val="none" w:sz="0" w:space="0" w:color="auto"/>
        <w:left w:val="none" w:sz="0" w:space="0" w:color="auto"/>
        <w:bottom w:val="none" w:sz="0" w:space="0" w:color="auto"/>
        <w:right w:val="none" w:sz="0" w:space="0" w:color="auto"/>
      </w:divBdr>
    </w:div>
    <w:div w:id="1392384196">
      <w:bodyDiv w:val="1"/>
      <w:marLeft w:val="0"/>
      <w:marRight w:val="0"/>
      <w:marTop w:val="0"/>
      <w:marBottom w:val="0"/>
      <w:divBdr>
        <w:top w:val="none" w:sz="0" w:space="0" w:color="auto"/>
        <w:left w:val="none" w:sz="0" w:space="0" w:color="auto"/>
        <w:bottom w:val="none" w:sz="0" w:space="0" w:color="auto"/>
        <w:right w:val="none" w:sz="0" w:space="0" w:color="auto"/>
      </w:divBdr>
    </w:div>
    <w:div w:id="1392457043">
      <w:bodyDiv w:val="1"/>
      <w:marLeft w:val="0"/>
      <w:marRight w:val="0"/>
      <w:marTop w:val="0"/>
      <w:marBottom w:val="0"/>
      <w:divBdr>
        <w:top w:val="none" w:sz="0" w:space="0" w:color="auto"/>
        <w:left w:val="none" w:sz="0" w:space="0" w:color="auto"/>
        <w:bottom w:val="none" w:sz="0" w:space="0" w:color="auto"/>
        <w:right w:val="none" w:sz="0" w:space="0" w:color="auto"/>
      </w:divBdr>
    </w:div>
    <w:div w:id="1392533816">
      <w:bodyDiv w:val="1"/>
      <w:marLeft w:val="0"/>
      <w:marRight w:val="0"/>
      <w:marTop w:val="0"/>
      <w:marBottom w:val="0"/>
      <w:divBdr>
        <w:top w:val="none" w:sz="0" w:space="0" w:color="auto"/>
        <w:left w:val="none" w:sz="0" w:space="0" w:color="auto"/>
        <w:bottom w:val="none" w:sz="0" w:space="0" w:color="auto"/>
        <w:right w:val="none" w:sz="0" w:space="0" w:color="auto"/>
      </w:divBdr>
    </w:div>
    <w:div w:id="1392541320">
      <w:bodyDiv w:val="1"/>
      <w:marLeft w:val="0"/>
      <w:marRight w:val="0"/>
      <w:marTop w:val="0"/>
      <w:marBottom w:val="0"/>
      <w:divBdr>
        <w:top w:val="none" w:sz="0" w:space="0" w:color="auto"/>
        <w:left w:val="none" w:sz="0" w:space="0" w:color="auto"/>
        <w:bottom w:val="none" w:sz="0" w:space="0" w:color="auto"/>
        <w:right w:val="none" w:sz="0" w:space="0" w:color="auto"/>
      </w:divBdr>
    </w:div>
    <w:div w:id="1392659425">
      <w:bodyDiv w:val="1"/>
      <w:marLeft w:val="0"/>
      <w:marRight w:val="0"/>
      <w:marTop w:val="0"/>
      <w:marBottom w:val="0"/>
      <w:divBdr>
        <w:top w:val="none" w:sz="0" w:space="0" w:color="auto"/>
        <w:left w:val="none" w:sz="0" w:space="0" w:color="auto"/>
        <w:bottom w:val="none" w:sz="0" w:space="0" w:color="auto"/>
        <w:right w:val="none" w:sz="0" w:space="0" w:color="auto"/>
      </w:divBdr>
    </w:div>
    <w:div w:id="1392726485">
      <w:bodyDiv w:val="1"/>
      <w:marLeft w:val="0"/>
      <w:marRight w:val="0"/>
      <w:marTop w:val="0"/>
      <w:marBottom w:val="0"/>
      <w:divBdr>
        <w:top w:val="none" w:sz="0" w:space="0" w:color="auto"/>
        <w:left w:val="none" w:sz="0" w:space="0" w:color="auto"/>
        <w:bottom w:val="none" w:sz="0" w:space="0" w:color="auto"/>
        <w:right w:val="none" w:sz="0" w:space="0" w:color="auto"/>
      </w:divBdr>
    </w:div>
    <w:div w:id="1392728484">
      <w:bodyDiv w:val="1"/>
      <w:marLeft w:val="0"/>
      <w:marRight w:val="0"/>
      <w:marTop w:val="0"/>
      <w:marBottom w:val="0"/>
      <w:divBdr>
        <w:top w:val="none" w:sz="0" w:space="0" w:color="auto"/>
        <w:left w:val="none" w:sz="0" w:space="0" w:color="auto"/>
        <w:bottom w:val="none" w:sz="0" w:space="0" w:color="auto"/>
        <w:right w:val="none" w:sz="0" w:space="0" w:color="auto"/>
      </w:divBdr>
    </w:div>
    <w:div w:id="1392775525">
      <w:bodyDiv w:val="1"/>
      <w:marLeft w:val="0"/>
      <w:marRight w:val="0"/>
      <w:marTop w:val="0"/>
      <w:marBottom w:val="0"/>
      <w:divBdr>
        <w:top w:val="none" w:sz="0" w:space="0" w:color="auto"/>
        <w:left w:val="none" w:sz="0" w:space="0" w:color="auto"/>
        <w:bottom w:val="none" w:sz="0" w:space="0" w:color="auto"/>
        <w:right w:val="none" w:sz="0" w:space="0" w:color="auto"/>
      </w:divBdr>
    </w:div>
    <w:div w:id="1392919564">
      <w:bodyDiv w:val="1"/>
      <w:marLeft w:val="0"/>
      <w:marRight w:val="0"/>
      <w:marTop w:val="0"/>
      <w:marBottom w:val="0"/>
      <w:divBdr>
        <w:top w:val="none" w:sz="0" w:space="0" w:color="auto"/>
        <w:left w:val="none" w:sz="0" w:space="0" w:color="auto"/>
        <w:bottom w:val="none" w:sz="0" w:space="0" w:color="auto"/>
        <w:right w:val="none" w:sz="0" w:space="0" w:color="auto"/>
      </w:divBdr>
    </w:div>
    <w:div w:id="1392926513">
      <w:bodyDiv w:val="1"/>
      <w:marLeft w:val="0"/>
      <w:marRight w:val="0"/>
      <w:marTop w:val="0"/>
      <w:marBottom w:val="0"/>
      <w:divBdr>
        <w:top w:val="none" w:sz="0" w:space="0" w:color="auto"/>
        <w:left w:val="none" w:sz="0" w:space="0" w:color="auto"/>
        <w:bottom w:val="none" w:sz="0" w:space="0" w:color="auto"/>
        <w:right w:val="none" w:sz="0" w:space="0" w:color="auto"/>
      </w:divBdr>
    </w:div>
    <w:div w:id="1393038667">
      <w:bodyDiv w:val="1"/>
      <w:marLeft w:val="0"/>
      <w:marRight w:val="0"/>
      <w:marTop w:val="0"/>
      <w:marBottom w:val="0"/>
      <w:divBdr>
        <w:top w:val="none" w:sz="0" w:space="0" w:color="auto"/>
        <w:left w:val="none" w:sz="0" w:space="0" w:color="auto"/>
        <w:bottom w:val="none" w:sz="0" w:space="0" w:color="auto"/>
        <w:right w:val="none" w:sz="0" w:space="0" w:color="auto"/>
      </w:divBdr>
    </w:div>
    <w:div w:id="1393116887">
      <w:bodyDiv w:val="1"/>
      <w:marLeft w:val="0"/>
      <w:marRight w:val="0"/>
      <w:marTop w:val="0"/>
      <w:marBottom w:val="0"/>
      <w:divBdr>
        <w:top w:val="none" w:sz="0" w:space="0" w:color="auto"/>
        <w:left w:val="none" w:sz="0" w:space="0" w:color="auto"/>
        <w:bottom w:val="none" w:sz="0" w:space="0" w:color="auto"/>
        <w:right w:val="none" w:sz="0" w:space="0" w:color="auto"/>
      </w:divBdr>
    </w:div>
    <w:div w:id="1393117302">
      <w:bodyDiv w:val="1"/>
      <w:marLeft w:val="0"/>
      <w:marRight w:val="0"/>
      <w:marTop w:val="0"/>
      <w:marBottom w:val="0"/>
      <w:divBdr>
        <w:top w:val="none" w:sz="0" w:space="0" w:color="auto"/>
        <w:left w:val="none" w:sz="0" w:space="0" w:color="auto"/>
        <w:bottom w:val="none" w:sz="0" w:space="0" w:color="auto"/>
        <w:right w:val="none" w:sz="0" w:space="0" w:color="auto"/>
      </w:divBdr>
    </w:div>
    <w:div w:id="1393191859">
      <w:bodyDiv w:val="1"/>
      <w:marLeft w:val="0"/>
      <w:marRight w:val="0"/>
      <w:marTop w:val="0"/>
      <w:marBottom w:val="0"/>
      <w:divBdr>
        <w:top w:val="none" w:sz="0" w:space="0" w:color="auto"/>
        <w:left w:val="none" w:sz="0" w:space="0" w:color="auto"/>
        <w:bottom w:val="none" w:sz="0" w:space="0" w:color="auto"/>
        <w:right w:val="none" w:sz="0" w:space="0" w:color="auto"/>
      </w:divBdr>
    </w:div>
    <w:div w:id="1393194409">
      <w:bodyDiv w:val="1"/>
      <w:marLeft w:val="0"/>
      <w:marRight w:val="0"/>
      <w:marTop w:val="0"/>
      <w:marBottom w:val="0"/>
      <w:divBdr>
        <w:top w:val="none" w:sz="0" w:space="0" w:color="auto"/>
        <w:left w:val="none" w:sz="0" w:space="0" w:color="auto"/>
        <w:bottom w:val="none" w:sz="0" w:space="0" w:color="auto"/>
        <w:right w:val="none" w:sz="0" w:space="0" w:color="auto"/>
      </w:divBdr>
    </w:div>
    <w:div w:id="1393196021">
      <w:bodyDiv w:val="1"/>
      <w:marLeft w:val="0"/>
      <w:marRight w:val="0"/>
      <w:marTop w:val="0"/>
      <w:marBottom w:val="0"/>
      <w:divBdr>
        <w:top w:val="none" w:sz="0" w:space="0" w:color="auto"/>
        <w:left w:val="none" w:sz="0" w:space="0" w:color="auto"/>
        <w:bottom w:val="none" w:sz="0" w:space="0" w:color="auto"/>
        <w:right w:val="none" w:sz="0" w:space="0" w:color="auto"/>
      </w:divBdr>
    </w:div>
    <w:div w:id="1393237475">
      <w:bodyDiv w:val="1"/>
      <w:marLeft w:val="0"/>
      <w:marRight w:val="0"/>
      <w:marTop w:val="0"/>
      <w:marBottom w:val="0"/>
      <w:divBdr>
        <w:top w:val="none" w:sz="0" w:space="0" w:color="auto"/>
        <w:left w:val="none" w:sz="0" w:space="0" w:color="auto"/>
        <w:bottom w:val="none" w:sz="0" w:space="0" w:color="auto"/>
        <w:right w:val="none" w:sz="0" w:space="0" w:color="auto"/>
      </w:divBdr>
    </w:div>
    <w:div w:id="1393381372">
      <w:bodyDiv w:val="1"/>
      <w:marLeft w:val="0"/>
      <w:marRight w:val="0"/>
      <w:marTop w:val="0"/>
      <w:marBottom w:val="0"/>
      <w:divBdr>
        <w:top w:val="none" w:sz="0" w:space="0" w:color="auto"/>
        <w:left w:val="none" w:sz="0" w:space="0" w:color="auto"/>
        <w:bottom w:val="none" w:sz="0" w:space="0" w:color="auto"/>
        <w:right w:val="none" w:sz="0" w:space="0" w:color="auto"/>
      </w:divBdr>
    </w:div>
    <w:div w:id="1393383320">
      <w:bodyDiv w:val="1"/>
      <w:marLeft w:val="0"/>
      <w:marRight w:val="0"/>
      <w:marTop w:val="0"/>
      <w:marBottom w:val="0"/>
      <w:divBdr>
        <w:top w:val="none" w:sz="0" w:space="0" w:color="auto"/>
        <w:left w:val="none" w:sz="0" w:space="0" w:color="auto"/>
        <w:bottom w:val="none" w:sz="0" w:space="0" w:color="auto"/>
        <w:right w:val="none" w:sz="0" w:space="0" w:color="auto"/>
      </w:divBdr>
    </w:div>
    <w:div w:id="1393387114">
      <w:bodyDiv w:val="1"/>
      <w:marLeft w:val="0"/>
      <w:marRight w:val="0"/>
      <w:marTop w:val="0"/>
      <w:marBottom w:val="0"/>
      <w:divBdr>
        <w:top w:val="none" w:sz="0" w:space="0" w:color="auto"/>
        <w:left w:val="none" w:sz="0" w:space="0" w:color="auto"/>
        <w:bottom w:val="none" w:sz="0" w:space="0" w:color="auto"/>
        <w:right w:val="none" w:sz="0" w:space="0" w:color="auto"/>
      </w:divBdr>
    </w:div>
    <w:div w:id="1393502408">
      <w:bodyDiv w:val="1"/>
      <w:marLeft w:val="0"/>
      <w:marRight w:val="0"/>
      <w:marTop w:val="0"/>
      <w:marBottom w:val="0"/>
      <w:divBdr>
        <w:top w:val="none" w:sz="0" w:space="0" w:color="auto"/>
        <w:left w:val="none" w:sz="0" w:space="0" w:color="auto"/>
        <w:bottom w:val="none" w:sz="0" w:space="0" w:color="auto"/>
        <w:right w:val="none" w:sz="0" w:space="0" w:color="auto"/>
      </w:divBdr>
    </w:div>
    <w:div w:id="1393506572">
      <w:bodyDiv w:val="1"/>
      <w:marLeft w:val="0"/>
      <w:marRight w:val="0"/>
      <w:marTop w:val="0"/>
      <w:marBottom w:val="0"/>
      <w:divBdr>
        <w:top w:val="none" w:sz="0" w:space="0" w:color="auto"/>
        <w:left w:val="none" w:sz="0" w:space="0" w:color="auto"/>
        <w:bottom w:val="none" w:sz="0" w:space="0" w:color="auto"/>
        <w:right w:val="none" w:sz="0" w:space="0" w:color="auto"/>
      </w:divBdr>
    </w:div>
    <w:div w:id="1393576033">
      <w:bodyDiv w:val="1"/>
      <w:marLeft w:val="0"/>
      <w:marRight w:val="0"/>
      <w:marTop w:val="0"/>
      <w:marBottom w:val="0"/>
      <w:divBdr>
        <w:top w:val="none" w:sz="0" w:space="0" w:color="auto"/>
        <w:left w:val="none" w:sz="0" w:space="0" w:color="auto"/>
        <w:bottom w:val="none" w:sz="0" w:space="0" w:color="auto"/>
        <w:right w:val="none" w:sz="0" w:space="0" w:color="auto"/>
      </w:divBdr>
    </w:div>
    <w:div w:id="1393582406">
      <w:bodyDiv w:val="1"/>
      <w:marLeft w:val="0"/>
      <w:marRight w:val="0"/>
      <w:marTop w:val="0"/>
      <w:marBottom w:val="0"/>
      <w:divBdr>
        <w:top w:val="none" w:sz="0" w:space="0" w:color="auto"/>
        <w:left w:val="none" w:sz="0" w:space="0" w:color="auto"/>
        <w:bottom w:val="none" w:sz="0" w:space="0" w:color="auto"/>
        <w:right w:val="none" w:sz="0" w:space="0" w:color="auto"/>
      </w:divBdr>
    </w:div>
    <w:div w:id="1393655289">
      <w:bodyDiv w:val="1"/>
      <w:marLeft w:val="0"/>
      <w:marRight w:val="0"/>
      <w:marTop w:val="0"/>
      <w:marBottom w:val="0"/>
      <w:divBdr>
        <w:top w:val="none" w:sz="0" w:space="0" w:color="auto"/>
        <w:left w:val="none" w:sz="0" w:space="0" w:color="auto"/>
        <w:bottom w:val="none" w:sz="0" w:space="0" w:color="auto"/>
        <w:right w:val="none" w:sz="0" w:space="0" w:color="auto"/>
      </w:divBdr>
    </w:div>
    <w:div w:id="1393891973">
      <w:bodyDiv w:val="1"/>
      <w:marLeft w:val="0"/>
      <w:marRight w:val="0"/>
      <w:marTop w:val="0"/>
      <w:marBottom w:val="0"/>
      <w:divBdr>
        <w:top w:val="none" w:sz="0" w:space="0" w:color="auto"/>
        <w:left w:val="none" w:sz="0" w:space="0" w:color="auto"/>
        <w:bottom w:val="none" w:sz="0" w:space="0" w:color="auto"/>
        <w:right w:val="none" w:sz="0" w:space="0" w:color="auto"/>
      </w:divBdr>
    </w:div>
    <w:div w:id="1393967261">
      <w:bodyDiv w:val="1"/>
      <w:marLeft w:val="0"/>
      <w:marRight w:val="0"/>
      <w:marTop w:val="0"/>
      <w:marBottom w:val="0"/>
      <w:divBdr>
        <w:top w:val="none" w:sz="0" w:space="0" w:color="auto"/>
        <w:left w:val="none" w:sz="0" w:space="0" w:color="auto"/>
        <w:bottom w:val="none" w:sz="0" w:space="0" w:color="auto"/>
        <w:right w:val="none" w:sz="0" w:space="0" w:color="auto"/>
      </w:divBdr>
    </w:div>
    <w:div w:id="1394040311">
      <w:bodyDiv w:val="1"/>
      <w:marLeft w:val="0"/>
      <w:marRight w:val="0"/>
      <w:marTop w:val="0"/>
      <w:marBottom w:val="0"/>
      <w:divBdr>
        <w:top w:val="none" w:sz="0" w:space="0" w:color="auto"/>
        <w:left w:val="none" w:sz="0" w:space="0" w:color="auto"/>
        <w:bottom w:val="none" w:sz="0" w:space="0" w:color="auto"/>
        <w:right w:val="none" w:sz="0" w:space="0" w:color="auto"/>
      </w:divBdr>
    </w:div>
    <w:div w:id="1394111860">
      <w:bodyDiv w:val="1"/>
      <w:marLeft w:val="0"/>
      <w:marRight w:val="0"/>
      <w:marTop w:val="0"/>
      <w:marBottom w:val="0"/>
      <w:divBdr>
        <w:top w:val="none" w:sz="0" w:space="0" w:color="auto"/>
        <w:left w:val="none" w:sz="0" w:space="0" w:color="auto"/>
        <w:bottom w:val="none" w:sz="0" w:space="0" w:color="auto"/>
        <w:right w:val="none" w:sz="0" w:space="0" w:color="auto"/>
      </w:divBdr>
    </w:div>
    <w:div w:id="1394112455">
      <w:bodyDiv w:val="1"/>
      <w:marLeft w:val="0"/>
      <w:marRight w:val="0"/>
      <w:marTop w:val="0"/>
      <w:marBottom w:val="0"/>
      <w:divBdr>
        <w:top w:val="none" w:sz="0" w:space="0" w:color="auto"/>
        <w:left w:val="none" w:sz="0" w:space="0" w:color="auto"/>
        <w:bottom w:val="none" w:sz="0" w:space="0" w:color="auto"/>
        <w:right w:val="none" w:sz="0" w:space="0" w:color="auto"/>
      </w:divBdr>
    </w:div>
    <w:div w:id="1394113701">
      <w:bodyDiv w:val="1"/>
      <w:marLeft w:val="0"/>
      <w:marRight w:val="0"/>
      <w:marTop w:val="0"/>
      <w:marBottom w:val="0"/>
      <w:divBdr>
        <w:top w:val="none" w:sz="0" w:space="0" w:color="auto"/>
        <w:left w:val="none" w:sz="0" w:space="0" w:color="auto"/>
        <w:bottom w:val="none" w:sz="0" w:space="0" w:color="auto"/>
        <w:right w:val="none" w:sz="0" w:space="0" w:color="auto"/>
      </w:divBdr>
    </w:div>
    <w:div w:id="1394235531">
      <w:bodyDiv w:val="1"/>
      <w:marLeft w:val="0"/>
      <w:marRight w:val="0"/>
      <w:marTop w:val="0"/>
      <w:marBottom w:val="0"/>
      <w:divBdr>
        <w:top w:val="none" w:sz="0" w:space="0" w:color="auto"/>
        <w:left w:val="none" w:sz="0" w:space="0" w:color="auto"/>
        <w:bottom w:val="none" w:sz="0" w:space="0" w:color="auto"/>
        <w:right w:val="none" w:sz="0" w:space="0" w:color="auto"/>
      </w:divBdr>
    </w:div>
    <w:div w:id="1394354429">
      <w:bodyDiv w:val="1"/>
      <w:marLeft w:val="0"/>
      <w:marRight w:val="0"/>
      <w:marTop w:val="0"/>
      <w:marBottom w:val="0"/>
      <w:divBdr>
        <w:top w:val="none" w:sz="0" w:space="0" w:color="auto"/>
        <w:left w:val="none" w:sz="0" w:space="0" w:color="auto"/>
        <w:bottom w:val="none" w:sz="0" w:space="0" w:color="auto"/>
        <w:right w:val="none" w:sz="0" w:space="0" w:color="auto"/>
      </w:divBdr>
    </w:div>
    <w:div w:id="1394541656">
      <w:bodyDiv w:val="1"/>
      <w:marLeft w:val="0"/>
      <w:marRight w:val="0"/>
      <w:marTop w:val="0"/>
      <w:marBottom w:val="0"/>
      <w:divBdr>
        <w:top w:val="none" w:sz="0" w:space="0" w:color="auto"/>
        <w:left w:val="none" w:sz="0" w:space="0" w:color="auto"/>
        <w:bottom w:val="none" w:sz="0" w:space="0" w:color="auto"/>
        <w:right w:val="none" w:sz="0" w:space="0" w:color="auto"/>
      </w:divBdr>
    </w:div>
    <w:div w:id="1394544363">
      <w:bodyDiv w:val="1"/>
      <w:marLeft w:val="0"/>
      <w:marRight w:val="0"/>
      <w:marTop w:val="0"/>
      <w:marBottom w:val="0"/>
      <w:divBdr>
        <w:top w:val="none" w:sz="0" w:space="0" w:color="auto"/>
        <w:left w:val="none" w:sz="0" w:space="0" w:color="auto"/>
        <w:bottom w:val="none" w:sz="0" w:space="0" w:color="auto"/>
        <w:right w:val="none" w:sz="0" w:space="0" w:color="auto"/>
      </w:divBdr>
    </w:div>
    <w:div w:id="1394617020">
      <w:bodyDiv w:val="1"/>
      <w:marLeft w:val="0"/>
      <w:marRight w:val="0"/>
      <w:marTop w:val="0"/>
      <w:marBottom w:val="0"/>
      <w:divBdr>
        <w:top w:val="none" w:sz="0" w:space="0" w:color="auto"/>
        <w:left w:val="none" w:sz="0" w:space="0" w:color="auto"/>
        <w:bottom w:val="none" w:sz="0" w:space="0" w:color="auto"/>
        <w:right w:val="none" w:sz="0" w:space="0" w:color="auto"/>
      </w:divBdr>
    </w:div>
    <w:div w:id="1394620988">
      <w:bodyDiv w:val="1"/>
      <w:marLeft w:val="0"/>
      <w:marRight w:val="0"/>
      <w:marTop w:val="0"/>
      <w:marBottom w:val="0"/>
      <w:divBdr>
        <w:top w:val="none" w:sz="0" w:space="0" w:color="auto"/>
        <w:left w:val="none" w:sz="0" w:space="0" w:color="auto"/>
        <w:bottom w:val="none" w:sz="0" w:space="0" w:color="auto"/>
        <w:right w:val="none" w:sz="0" w:space="0" w:color="auto"/>
      </w:divBdr>
    </w:div>
    <w:div w:id="1394622497">
      <w:bodyDiv w:val="1"/>
      <w:marLeft w:val="0"/>
      <w:marRight w:val="0"/>
      <w:marTop w:val="0"/>
      <w:marBottom w:val="0"/>
      <w:divBdr>
        <w:top w:val="none" w:sz="0" w:space="0" w:color="auto"/>
        <w:left w:val="none" w:sz="0" w:space="0" w:color="auto"/>
        <w:bottom w:val="none" w:sz="0" w:space="0" w:color="auto"/>
        <w:right w:val="none" w:sz="0" w:space="0" w:color="auto"/>
      </w:divBdr>
    </w:div>
    <w:div w:id="1394741230">
      <w:bodyDiv w:val="1"/>
      <w:marLeft w:val="0"/>
      <w:marRight w:val="0"/>
      <w:marTop w:val="0"/>
      <w:marBottom w:val="0"/>
      <w:divBdr>
        <w:top w:val="none" w:sz="0" w:space="0" w:color="auto"/>
        <w:left w:val="none" w:sz="0" w:space="0" w:color="auto"/>
        <w:bottom w:val="none" w:sz="0" w:space="0" w:color="auto"/>
        <w:right w:val="none" w:sz="0" w:space="0" w:color="auto"/>
      </w:divBdr>
    </w:div>
    <w:div w:id="1394769144">
      <w:bodyDiv w:val="1"/>
      <w:marLeft w:val="0"/>
      <w:marRight w:val="0"/>
      <w:marTop w:val="0"/>
      <w:marBottom w:val="0"/>
      <w:divBdr>
        <w:top w:val="none" w:sz="0" w:space="0" w:color="auto"/>
        <w:left w:val="none" w:sz="0" w:space="0" w:color="auto"/>
        <w:bottom w:val="none" w:sz="0" w:space="0" w:color="auto"/>
        <w:right w:val="none" w:sz="0" w:space="0" w:color="auto"/>
      </w:divBdr>
    </w:div>
    <w:div w:id="1394963130">
      <w:bodyDiv w:val="1"/>
      <w:marLeft w:val="0"/>
      <w:marRight w:val="0"/>
      <w:marTop w:val="0"/>
      <w:marBottom w:val="0"/>
      <w:divBdr>
        <w:top w:val="none" w:sz="0" w:space="0" w:color="auto"/>
        <w:left w:val="none" w:sz="0" w:space="0" w:color="auto"/>
        <w:bottom w:val="none" w:sz="0" w:space="0" w:color="auto"/>
        <w:right w:val="none" w:sz="0" w:space="0" w:color="auto"/>
      </w:divBdr>
    </w:div>
    <w:div w:id="1394963321">
      <w:bodyDiv w:val="1"/>
      <w:marLeft w:val="0"/>
      <w:marRight w:val="0"/>
      <w:marTop w:val="0"/>
      <w:marBottom w:val="0"/>
      <w:divBdr>
        <w:top w:val="none" w:sz="0" w:space="0" w:color="auto"/>
        <w:left w:val="none" w:sz="0" w:space="0" w:color="auto"/>
        <w:bottom w:val="none" w:sz="0" w:space="0" w:color="auto"/>
        <w:right w:val="none" w:sz="0" w:space="0" w:color="auto"/>
      </w:divBdr>
    </w:div>
    <w:div w:id="1395008343">
      <w:bodyDiv w:val="1"/>
      <w:marLeft w:val="0"/>
      <w:marRight w:val="0"/>
      <w:marTop w:val="0"/>
      <w:marBottom w:val="0"/>
      <w:divBdr>
        <w:top w:val="none" w:sz="0" w:space="0" w:color="auto"/>
        <w:left w:val="none" w:sz="0" w:space="0" w:color="auto"/>
        <w:bottom w:val="none" w:sz="0" w:space="0" w:color="auto"/>
        <w:right w:val="none" w:sz="0" w:space="0" w:color="auto"/>
      </w:divBdr>
    </w:div>
    <w:div w:id="1395008710">
      <w:bodyDiv w:val="1"/>
      <w:marLeft w:val="0"/>
      <w:marRight w:val="0"/>
      <w:marTop w:val="0"/>
      <w:marBottom w:val="0"/>
      <w:divBdr>
        <w:top w:val="none" w:sz="0" w:space="0" w:color="auto"/>
        <w:left w:val="none" w:sz="0" w:space="0" w:color="auto"/>
        <w:bottom w:val="none" w:sz="0" w:space="0" w:color="auto"/>
        <w:right w:val="none" w:sz="0" w:space="0" w:color="auto"/>
      </w:divBdr>
    </w:div>
    <w:div w:id="1395079095">
      <w:bodyDiv w:val="1"/>
      <w:marLeft w:val="0"/>
      <w:marRight w:val="0"/>
      <w:marTop w:val="0"/>
      <w:marBottom w:val="0"/>
      <w:divBdr>
        <w:top w:val="none" w:sz="0" w:space="0" w:color="auto"/>
        <w:left w:val="none" w:sz="0" w:space="0" w:color="auto"/>
        <w:bottom w:val="none" w:sz="0" w:space="0" w:color="auto"/>
        <w:right w:val="none" w:sz="0" w:space="0" w:color="auto"/>
      </w:divBdr>
    </w:div>
    <w:div w:id="1395202222">
      <w:bodyDiv w:val="1"/>
      <w:marLeft w:val="0"/>
      <w:marRight w:val="0"/>
      <w:marTop w:val="0"/>
      <w:marBottom w:val="0"/>
      <w:divBdr>
        <w:top w:val="none" w:sz="0" w:space="0" w:color="auto"/>
        <w:left w:val="none" w:sz="0" w:space="0" w:color="auto"/>
        <w:bottom w:val="none" w:sz="0" w:space="0" w:color="auto"/>
        <w:right w:val="none" w:sz="0" w:space="0" w:color="auto"/>
      </w:divBdr>
    </w:div>
    <w:div w:id="1395423573">
      <w:bodyDiv w:val="1"/>
      <w:marLeft w:val="0"/>
      <w:marRight w:val="0"/>
      <w:marTop w:val="0"/>
      <w:marBottom w:val="0"/>
      <w:divBdr>
        <w:top w:val="none" w:sz="0" w:space="0" w:color="auto"/>
        <w:left w:val="none" w:sz="0" w:space="0" w:color="auto"/>
        <w:bottom w:val="none" w:sz="0" w:space="0" w:color="auto"/>
        <w:right w:val="none" w:sz="0" w:space="0" w:color="auto"/>
      </w:divBdr>
    </w:div>
    <w:div w:id="1395546696">
      <w:bodyDiv w:val="1"/>
      <w:marLeft w:val="0"/>
      <w:marRight w:val="0"/>
      <w:marTop w:val="0"/>
      <w:marBottom w:val="0"/>
      <w:divBdr>
        <w:top w:val="none" w:sz="0" w:space="0" w:color="auto"/>
        <w:left w:val="none" w:sz="0" w:space="0" w:color="auto"/>
        <w:bottom w:val="none" w:sz="0" w:space="0" w:color="auto"/>
        <w:right w:val="none" w:sz="0" w:space="0" w:color="auto"/>
      </w:divBdr>
    </w:div>
    <w:div w:id="1395743002">
      <w:bodyDiv w:val="1"/>
      <w:marLeft w:val="0"/>
      <w:marRight w:val="0"/>
      <w:marTop w:val="0"/>
      <w:marBottom w:val="0"/>
      <w:divBdr>
        <w:top w:val="none" w:sz="0" w:space="0" w:color="auto"/>
        <w:left w:val="none" w:sz="0" w:space="0" w:color="auto"/>
        <w:bottom w:val="none" w:sz="0" w:space="0" w:color="auto"/>
        <w:right w:val="none" w:sz="0" w:space="0" w:color="auto"/>
      </w:divBdr>
    </w:div>
    <w:div w:id="1395852475">
      <w:bodyDiv w:val="1"/>
      <w:marLeft w:val="0"/>
      <w:marRight w:val="0"/>
      <w:marTop w:val="0"/>
      <w:marBottom w:val="0"/>
      <w:divBdr>
        <w:top w:val="none" w:sz="0" w:space="0" w:color="auto"/>
        <w:left w:val="none" w:sz="0" w:space="0" w:color="auto"/>
        <w:bottom w:val="none" w:sz="0" w:space="0" w:color="auto"/>
        <w:right w:val="none" w:sz="0" w:space="0" w:color="auto"/>
      </w:divBdr>
    </w:div>
    <w:div w:id="1396006576">
      <w:bodyDiv w:val="1"/>
      <w:marLeft w:val="0"/>
      <w:marRight w:val="0"/>
      <w:marTop w:val="0"/>
      <w:marBottom w:val="0"/>
      <w:divBdr>
        <w:top w:val="none" w:sz="0" w:space="0" w:color="auto"/>
        <w:left w:val="none" w:sz="0" w:space="0" w:color="auto"/>
        <w:bottom w:val="none" w:sz="0" w:space="0" w:color="auto"/>
        <w:right w:val="none" w:sz="0" w:space="0" w:color="auto"/>
      </w:divBdr>
    </w:div>
    <w:div w:id="1396048427">
      <w:bodyDiv w:val="1"/>
      <w:marLeft w:val="0"/>
      <w:marRight w:val="0"/>
      <w:marTop w:val="0"/>
      <w:marBottom w:val="0"/>
      <w:divBdr>
        <w:top w:val="none" w:sz="0" w:space="0" w:color="auto"/>
        <w:left w:val="none" w:sz="0" w:space="0" w:color="auto"/>
        <w:bottom w:val="none" w:sz="0" w:space="0" w:color="auto"/>
        <w:right w:val="none" w:sz="0" w:space="0" w:color="auto"/>
      </w:divBdr>
    </w:div>
    <w:div w:id="1396124066">
      <w:bodyDiv w:val="1"/>
      <w:marLeft w:val="0"/>
      <w:marRight w:val="0"/>
      <w:marTop w:val="0"/>
      <w:marBottom w:val="0"/>
      <w:divBdr>
        <w:top w:val="none" w:sz="0" w:space="0" w:color="auto"/>
        <w:left w:val="none" w:sz="0" w:space="0" w:color="auto"/>
        <w:bottom w:val="none" w:sz="0" w:space="0" w:color="auto"/>
        <w:right w:val="none" w:sz="0" w:space="0" w:color="auto"/>
      </w:divBdr>
    </w:div>
    <w:div w:id="1396126165">
      <w:bodyDiv w:val="1"/>
      <w:marLeft w:val="0"/>
      <w:marRight w:val="0"/>
      <w:marTop w:val="0"/>
      <w:marBottom w:val="0"/>
      <w:divBdr>
        <w:top w:val="none" w:sz="0" w:space="0" w:color="auto"/>
        <w:left w:val="none" w:sz="0" w:space="0" w:color="auto"/>
        <w:bottom w:val="none" w:sz="0" w:space="0" w:color="auto"/>
        <w:right w:val="none" w:sz="0" w:space="0" w:color="auto"/>
      </w:divBdr>
    </w:div>
    <w:div w:id="1396275437">
      <w:bodyDiv w:val="1"/>
      <w:marLeft w:val="0"/>
      <w:marRight w:val="0"/>
      <w:marTop w:val="0"/>
      <w:marBottom w:val="0"/>
      <w:divBdr>
        <w:top w:val="none" w:sz="0" w:space="0" w:color="auto"/>
        <w:left w:val="none" w:sz="0" w:space="0" w:color="auto"/>
        <w:bottom w:val="none" w:sz="0" w:space="0" w:color="auto"/>
        <w:right w:val="none" w:sz="0" w:space="0" w:color="auto"/>
      </w:divBdr>
    </w:div>
    <w:div w:id="1396582984">
      <w:bodyDiv w:val="1"/>
      <w:marLeft w:val="0"/>
      <w:marRight w:val="0"/>
      <w:marTop w:val="0"/>
      <w:marBottom w:val="0"/>
      <w:divBdr>
        <w:top w:val="none" w:sz="0" w:space="0" w:color="auto"/>
        <w:left w:val="none" w:sz="0" w:space="0" w:color="auto"/>
        <w:bottom w:val="none" w:sz="0" w:space="0" w:color="auto"/>
        <w:right w:val="none" w:sz="0" w:space="0" w:color="auto"/>
      </w:divBdr>
    </w:div>
    <w:div w:id="1396583048">
      <w:bodyDiv w:val="1"/>
      <w:marLeft w:val="0"/>
      <w:marRight w:val="0"/>
      <w:marTop w:val="0"/>
      <w:marBottom w:val="0"/>
      <w:divBdr>
        <w:top w:val="none" w:sz="0" w:space="0" w:color="auto"/>
        <w:left w:val="none" w:sz="0" w:space="0" w:color="auto"/>
        <w:bottom w:val="none" w:sz="0" w:space="0" w:color="auto"/>
        <w:right w:val="none" w:sz="0" w:space="0" w:color="auto"/>
      </w:divBdr>
    </w:div>
    <w:div w:id="1396664032">
      <w:bodyDiv w:val="1"/>
      <w:marLeft w:val="0"/>
      <w:marRight w:val="0"/>
      <w:marTop w:val="0"/>
      <w:marBottom w:val="0"/>
      <w:divBdr>
        <w:top w:val="none" w:sz="0" w:space="0" w:color="auto"/>
        <w:left w:val="none" w:sz="0" w:space="0" w:color="auto"/>
        <w:bottom w:val="none" w:sz="0" w:space="0" w:color="auto"/>
        <w:right w:val="none" w:sz="0" w:space="0" w:color="auto"/>
      </w:divBdr>
    </w:div>
    <w:div w:id="1396708038">
      <w:bodyDiv w:val="1"/>
      <w:marLeft w:val="0"/>
      <w:marRight w:val="0"/>
      <w:marTop w:val="0"/>
      <w:marBottom w:val="0"/>
      <w:divBdr>
        <w:top w:val="none" w:sz="0" w:space="0" w:color="auto"/>
        <w:left w:val="none" w:sz="0" w:space="0" w:color="auto"/>
        <w:bottom w:val="none" w:sz="0" w:space="0" w:color="auto"/>
        <w:right w:val="none" w:sz="0" w:space="0" w:color="auto"/>
      </w:divBdr>
    </w:div>
    <w:div w:id="1396709230">
      <w:bodyDiv w:val="1"/>
      <w:marLeft w:val="0"/>
      <w:marRight w:val="0"/>
      <w:marTop w:val="0"/>
      <w:marBottom w:val="0"/>
      <w:divBdr>
        <w:top w:val="none" w:sz="0" w:space="0" w:color="auto"/>
        <w:left w:val="none" w:sz="0" w:space="0" w:color="auto"/>
        <w:bottom w:val="none" w:sz="0" w:space="0" w:color="auto"/>
        <w:right w:val="none" w:sz="0" w:space="0" w:color="auto"/>
      </w:divBdr>
    </w:div>
    <w:div w:id="1396783446">
      <w:bodyDiv w:val="1"/>
      <w:marLeft w:val="0"/>
      <w:marRight w:val="0"/>
      <w:marTop w:val="0"/>
      <w:marBottom w:val="0"/>
      <w:divBdr>
        <w:top w:val="none" w:sz="0" w:space="0" w:color="auto"/>
        <w:left w:val="none" w:sz="0" w:space="0" w:color="auto"/>
        <w:bottom w:val="none" w:sz="0" w:space="0" w:color="auto"/>
        <w:right w:val="none" w:sz="0" w:space="0" w:color="auto"/>
      </w:divBdr>
    </w:div>
    <w:div w:id="1396784440">
      <w:bodyDiv w:val="1"/>
      <w:marLeft w:val="0"/>
      <w:marRight w:val="0"/>
      <w:marTop w:val="0"/>
      <w:marBottom w:val="0"/>
      <w:divBdr>
        <w:top w:val="none" w:sz="0" w:space="0" w:color="auto"/>
        <w:left w:val="none" w:sz="0" w:space="0" w:color="auto"/>
        <w:bottom w:val="none" w:sz="0" w:space="0" w:color="auto"/>
        <w:right w:val="none" w:sz="0" w:space="0" w:color="auto"/>
      </w:divBdr>
    </w:div>
    <w:div w:id="1396858672">
      <w:bodyDiv w:val="1"/>
      <w:marLeft w:val="0"/>
      <w:marRight w:val="0"/>
      <w:marTop w:val="0"/>
      <w:marBottom w:val="0"/>
      <w:divBdr>
        <w:top w:val="none" w:sz="0" w:space="0" w:color="auto"/>
        <w:left w:val="none" w:sz="0" w:space="0" w:color="auto"/>
        <w:bottom w:val="none" w:sz="0" w:space="0" w:color="auto"/>
        <w:right w:val="none" w:sz="0" w:space="0" w:color="auto"/>
      </w:divBdr>
    </w:div>
    <w:div w:id="1396978130">
      <w:bodyDiv w:val="1"/>
      <w:marLeft w:val="0"/>
      <w:marRight w:val="0"/>
      <w:marTop w:val="0"/>
      <w:marBottom w:val="0"/>
      <w:divBdr>
        <w:top w:val="none" w:sz="0" w:space="0" w:color="auto"/>
        <w:left w:val="none" w:sz="0" w:space="0" w:color="auto"/>
        <w:bottom w:val="none" w:sz="0" w:space="0" w:color="auto"/>
        <w:right w:val="none" w:sz="0" w:space="0" w:color="auto"/>
      </w:divBdr>
    </w:div>
    <w:div w:id="1397044983">
      <w:bodyDiv w:val="1"/>
      <w:marLeft w:val="0"/>
      <w:marRight w:val="0"/>
      <w:marTop w:val="0"/>
      <w:marBottom w:val="0"/>
      <w:divBdr>
        <w:top w:val="none" w:sz="0" w:space="0" w:color="auto"/>
        <w:left w:val="none" w:sz="0" w:space="0" w:color="auto"/>
        <w:bottom w:val="none" w:sz="0" w:space="0" w:color="auto"/>
        <w:right w:val="none" w:sz="0" w:space="0" w:color="auto"/>
      </w:divBdr>
    </w:div>
    <w:div w:id="1397119823">
      <w:bodyDiv w:val="1"/>
      <w:marLeft w:val="0"/>
      <w:marRight w:val="0"/>
      <w:marTop w:val="0"/>
      <w:marBottom w:val="0"/>
      <w:divBdr>
        <w:top w:val="none" w:sz="0" w:space="0" w:color="auto"/>
        <w:left w:val="none" w:sz="0" w:space="0" w:color="auto"/>
        <w:bottom w:val="none" w:sz="0" w:space="0" w:color="auto"/>
        <w:right w:val="none" w:sz="0" w:space="0" w:color="auto"/>
      </w:divBdr>
    </w:div>
    <w:div w:id="1397123517">
      <w:bodyDiv w:val="1"/>
      <w:marLeft w:val="0"/>
      <w:marRight w:val="0"/>
      <w:marTop w:val="0"/>
      <w:marBottom w:val="0"/>
      <w:divBdr>
        <w:top w:val="none" w:sz="0" w:space="0" w:color="auto"/>
        <w:left w:val="none" w:sz="0" w:space="0" w:color="auto"/>
        <w:bottom w:val="none" w:sz="0" w:space="0" w:color="auto"/>
        <w:right w:val="none" w:sz="0" w:space="0" w:color="auto"/>
      </w:divBdr>
    </w:div>
    <w:div w:id="1397167166">
      <w:bodyDiv w:val="1"/>
      <w:marLeft w:val="0"/>
      <w:marRight w:val="0"/>
      <w:marTop w:val="0"/>
      <w:marBottom w:val="0"/>
      <w:divBdr>
        <w:top w:val="none" w:sz="0" w:space="0" w:color="auto"/>
        <w:left w:val="none" w:sz="0" w:space="0" w:color="auto"/>
        <w:bottom w:val="none" w:sz="0" w:space="0" w:color="auto"/>
        <w:right w:val="none" w:sz="0" w:space="0" w:color="auto"/>
      </w:divBdr>
    </w:div>
    <w:div w:id="1397170021">
      <w:bodyDiv w:val="1"/>
      <w:marLeft w:val="0"/>
      <w:marRight w:val="0"/>
      <w:marTop w:val="0"/>
      <w:marBottom w:val="0"/>
      <w:divBdr>
        <w:top w:val="none" w:sz="0" w:space="0" w:color="auto"/>
        <w:left w:val="none" w:sz="0" w:space="0" w:color="auto"/>
        <w:bottom w:val="none" w:sz="0" w:space="0" w:color="auto"/>
        <w:right w:val="none" w:sz="0" w:space="0" w:color="auto"/>
      </w:divBdr>
    </w:div>
    <w:div w:id="1397170935">
      <w:bodyDiv w:val="1"/>
      <w:marLeft w:val="0"/>
      <w:marRight w:val="0"/>
      <w:marTop w:val="0"/>
      <w:marBottom w:val="0"/>
      <w:divBdr>
        <w:top w:val="none" w:sz="0" w:space="0" w:color="auto"/>
        <w:left w:val="none" w:sz="0" w:space="0" w:color="auto"/>
        <w:bottom w:val="none" w:sz="0" w:space="0" w:color="auto"/>
        <w:right w:val="none" w:sz="0" w:space="0" w:color="auto"/>
      </w:divBdr>
    </w:div>
    <w:div w:id="1397240622">
      <w:bodyDiv w:val="1"/>
      <w:marLeft w:val="0"/>
      <w:marRight w:val="0"/>
      <w:marTop w:val="0"/>
      <w:marBottom w:val="0"/>
      <w:divBdr>
        <w:top w:val="none" w:sz="0" w:space="0" w:color="auto"/>
        <w:left w:val="none" w:sz="0" w:space="0" w:color="auto"/>
        <w:bottom w:val="none" w:sz="0" w:space="0" w:color="auto"/>
        <w:right w:val="none" w:sz="0" w:space="0" w:color="auto"/>
      </w:divBdr>
    </w:div>
    <w:div w:id="1397434403">
      <w:bodyDiv w:val="1"/>
      <w:marLeft w:val="0"/>
      <w:marRight w:val="0"/>
      <w:marTop w:val="0"/>
      <w:marBottom w:val="0"/>
      <w:divBdr>
        <w:top w:val="none" w:sz="0" w:space="0" w:color="auto"/>
        <w:left w:val="none" w:sz="0" w:space="0" w:color="auto"/>
        <w:bottom w:val="none" w:sz="0" w:space="0" w:color="auto"/>
        <w:right w:val="none" w:sz="0" w:space="0" w:color="auto"/>
      </w:divBdr>
    </w:div>
    <w:div w:id="1397434881">
      <w:bodyDiv w:val="1"/>
      <w:marLeft w:val="0"/>
      <w:marRight w:val="0"/>
      <w:marTop w:val="0"/>
      <w:marBottom w:val="0"/>
      <w:divBdr>
        <w:top w:val="none" w:sz="0" w:space="0" w:color="auto"/>
        <w:left w:val="none" w:sz="0" w:space="0" w:color="auto"/>
        <w:bottom w:val="none" w:sz="0" w:space="0" w:color="auto"/>
        <w:right w:val="none" w:sz="0" w:space="0" w:color="auto"/>
      </w:divBdr>
    </w:div>
    <w:div w:id="1397508290">
      <w:bodyDiv w:val="1"/>
      <w:marLeft w:val="0"/>
      <w:marRight w:val="0"/>
      <w:marTop w:val="0"/>
      <w:marBottom w:val="0"/>
      <w:divBdr>
        <w:top w:val="none" w:sz="0" w:space="0" w:color="auto"/>
        <w:left w:val="none" w:sz="0" w:space="0" w:color="auto"/>
        <w:bottom w:val="none" w:sz="0" w:space="0" w:color="auto"/>
        <w:right w:val="none" w:sz="0" w:space="0" w:color="auto"/>
      </w:divBdr>
    </w:div>
    <w:div w:id="1397556544">
      <w:bodyDiv w:val="1"/>
      <w:marLeft w:val="0"/>
      <w:marRight w:val="0"/>
      <w:marTop w:val="0"/>
      <w:marBottom w:val="0"/>
      <w:divBdr>
        <w:top w:val="none" w:sz="0" w:space="0" w:color="auto"/>
        <w:left w:val="none" w:sz="0" w:space="0" w:color="auto"/>
        <w:bottom w:val="none" w:sz="0" w:space="0" w:color="auto"/>
        <w:right w:val="none" w:sz="0" w:space="0" w:color="auto"/>
      </w:divBdr>
    </w:div>
    <w:div w:id="1397557618">
      <w:bodyDiv w:val="1"/>
      <w:marLeft w:val="0"/>
      <w:marRight w:val="0"/>
      <w:marTop w:val="0"/>
      <w:marBottom w:val="0"/>
      <w:divBdr>
        <w:top w:val="none" w:sz="0" w:space="0" w:color="auto"/>
        <w:left w:val="none" w:sz="0" w:space="0" w:color="auto"/>
        <w:bottom w:val="none" w:sz="0" w:space="0" w:color="auto"/>
        <w:right w:val="none" w:sz="0" w:space="0" w:color="auto"/>
      </w:divBdr>
    </w:div>
    <w:div w:id="1397586332">
      <w:bodyDiv w:val="1"/>
      <w:marLeft w:val="0"/>
      <w:marRight w:val="0"/>
      <w:marTop w:val="0"/>
      <w:marBottom w:val="0"/>
      <w:divBdr>
        <w:top w:val="none" w:sz="0" w:space="0" w:color="auto"/>
        <w:left w:val="none" w:sz="0" w:space="0" w:color="auto"/>
        <w:bottom w:val="none" w:sz="0" w:space="0" w:color="auto"/>
        <w:right w:val="none" w:sz="0" w:space="0" w:color="auto"/>
      </w:divBdr>
    </w:div>
    <w:div w:id="1397587476">
      <w:bodyDiv w:val="1"/>
      <w:marLeft w:val="0"/>
      <w:marRight w:val="0"/>
      <w:marTop w:val="0"/>
      <w:marBottom w:val="0"/>
      <w:divBdr>
        <w:top w:val="none" w:sz="0" w:space="0" w:color="auto"/>
        <w:left w:val="none" w:sz="0" w:space="0" w:color="auto"/>
        <w:bottom w:val="none" w:sz="0" w:space="0" w:color="auto"/>
        <w:right w:val="none" w:sz="0" w:space="0" w:color="auto"/>
      </w:divBdr>
    </w:div>
    <w:div w:id="1397629280">
      <w:bodyDiv w:val="1"/>
      <w:marLeft w:val="0"/>
      <w:marRight w:val="0"/>
      <w:marTop w:val="0"/>
      <w:marBottom w:val="0"/>
      <w:divBdr>
        <w:top w:val="none" w:sz="0" w:space="0" w:color="auto"/>
        <w:left w:val="none" w:sz="0" w:space="0" w:color="auto"/>
        <w:bottom w:val="none" w:sz="0" w:space="0" w:color="auto"/>
        <w:right w:val="none" w:sz="0" w:space="0" w:color="auto"/>
      </w:divBdr>
    </w:div>
    <w:div w:id="1397779770">
      <w:bodyDiv w:val="1"/>
      <w:marLeft w:val="0"/>
      <w:marRight w:val="0"/>
      <w:marTop w:val="0"/>
      <w:marBottom w:val="0"/>
      <w:divBdr>
        <w:top w:val="none" w:sz="0" w:space="0" w:color="auto"/>
        <w:left w:val="none" w:sz="0" w:space="0" w:color="auto"/>
        <w:bottom w:val="none" w:sz="0" w:space="0" w:color="auto"/>
        <w:right w:val="none" w:sz="0" w:space="0" w:color="auto"/>
      </w:divBdr>
    </w:div>
    <w:div w:id="1397821122">
      <w:bodyDiv w:val="1"/>
      <w:marLeft w:val="0"/>
      <w:marRight w:val="0"/>
      <w:marTop w:val="0"/>
      <w:marBottom w:val="0"/>
      <w:divBdr>
        <w:top w:val="none" w:sz="0" w:space="0" w:color="auto"/>
        <w:left w:val="none" w:sz="0" w:space="0" w:color="auto"/>
        <w:bottom w:val="none" w:sz="0" w:space="0" w:color="auto"/>
        <w:right w:val="none" w:sz="0" w:space="0" w:color="auto"/>
      </w:divBdr>
    </w:div>
    <w:div w:id="1397826713">
      <w:bodyDiv w:val="1"/>
      <w:marLeft w:val="0"/>
      <w:marRight w:val="0"/>
      <w:marTop w:val="0"/>
      <w:marBottom w:val="0"/>
      <w:divBdr>
        <w:top w:val="none" w:sz="0" w:space="0" w:color="auto"/>
        <w:left w:val="none" w:sz="0" w:space="0" w:color="auto"/>
        <w:bottom w:val="none" w:sz="0" w:space="0" w:color="auto"/>
        <w:right w:val="none" w:sz="0" w:space="0" w:color="auto"/>
      </w:divBdr>
    </w:div>
    <w:div w:id="1397826723">
      <w:bodyDiv w:val="1"/>
      <w:marLeft w:val="0"/>
      <w:marRight w:val="0"/>
      <w:marTop w:val="0"/>
      <w:marBottom w:val="0"/>
      <w:divBdr>
        <w:top w:val="none" w:sz="0" w:space="0" w:color="auto"/>
        <w:left w:val="none" w:sz="0" w:space="0" w:color="auto"/>
        <w:bottom w:val="none" w:sz="0" w:space="0" w:color="auto"/>
        <w:right w:val="none" w:sz="0" w:space="0" w:color="auto"/>
      </w:divBdr>
    </w:div>
    <w:div w:id="1397898348">
      <w:bodyDiv w:val="1"/>
      <w:marLeft w:val="0"/>
      <w:marRight w:val="0"/>
      <w:marTop w:val="0"/>
      <w:marBottom w:val="0"/>
      <w:divBdr>
        <w:top w:val="none" w:sz="0" w:space="0" w:color="auto"/>
        <w:left w:val="none" w:sz="0" w:space="0" w:color="auto"/>
        <w:bottom w:val="none" w:sz="0" w:space="0" w:color="auto"/>
        <w:right w:val="none" w:sz="0" w:space="0" w:color="auto"/>
      </w:divBdr>
    </w:div>
    <w:div w:id="1398018411">
      <w:bodyDiv w:val="1"/>
      <w:marLeft w:val="0"/>
      <w:marRight w:val="0"/>
      <w:marTop w:val="0"/>
      <w:marBottom w:val="0"/>
      <w:divBdr>
        <w:top w:val="none" w:sz="0" w:space="0" w:color="auto"/>
        <w:left w:val="none" w:sz="0" w:space="0" w:color="auto"/>
        <w:bottom w:val="none" w:sz="0" w:space="0" w:color="auto"/>
        <w:right w:val="none" w:sz="0" w:space="0" w:color="auto"/>
      </w:divBdr>
    </w:div>
    <w:div w:id="1398088463">
      <w:bodyDiv w:val="1"/>
      <w:marLeft w:val="0"/>
      <w:marRight w:val="0"/>
      <w:marTop w:val="0"/>
      <w:marBottom w:val="0"/>
      <w:divBdr>
        <w:top w:val="none" w:sz="0" w:space="0" w:color="auto"/>
        <w:left w:val="none" w:sz="0" w:space="0" w:color="auto"/>
        <w:bottom w:val="none" w:sz="0" w:space="0" w:color="auto"/>
        <w:right w:val="none" w:sz="0" w:space="0" w:color="auto"/>
      </w:divBdr>
    </w:div>
    <w:div w:id="1398088981">
      <w:bodyDiv w:val="1"/>
      <w:marLeft w:val="0"/>
      <w:marRight w:val="0"/>
      <w:marTop w:val="0"/>
      <w:marBottom w:val="0"/>
      <w:divBdr>
        <w:top w:val="none" w:sz="0" w:space="0" w:color="auto"/>
        <w:left w:val="none" w:sz="0" w:space="0" w:color="auto"/>
        <w:bottom w:val="none" w:sz="0" w:space="0" w:color="auto"/>
        <w:right w:val="none" w:sz="0" w:space="0" w:color="auto"/>
      </w:divBdr>
    </w:div>
    <w:div w:id="1398213349">
      <w:bodyDiv w:val="1"/>
      <w:marLeft w:val="0"/>
      <w:marRight w:val="0"/>
      <w:marTop w:val="0"/>
      <w:marBottom w:val="0"/>
      <w:divBdr>
        <w:top w:val="none" w:sz="0" w:space="0" w:color="auto"/>
        <w:left w:val="none" w:sz="0" w:space="0" w:color="auto"/>
        <w:bottom w:val="none" w:sz="0" w:space="0" w:color="auto"/>
        <w:right w:val="none" w:sz="0" w:space="0" w:color="auto"/>
      </w:divBdr>
    </w:div>
    <w:div w:id="1398286026">
      <w:bodyDiv w:val="1"/>
      <w:marLeft w:val="0"/>
      <w:marRight w:val="0"/>
      <w:marTop w:val="0"/>
      <w:marBottom w:val="0"/>
      <w:divBdr>
        <w:top w:val="none" w:sz="0" w:space="0" w:color="auto"/>
        <w:left w:val="none" w:sz="0" w:space="0" w:color="auto"/>
        <w:bottom w:val="none" w:sz="0" w:space="0" w:color="auto"/>
        <w:right w:val="none" w:sz="0" w:space="0" w:color="auto"/>
      </w:divBdr>
    </w:div>
    <w:div w:id="1398286197">
      <w:bodyDiv w:val="1"/>
      <w:marLeft w:val="0"/>
      <w:marRight w:val="0"/>
      <w:marTop w:val="0"/>
      <w:marBottom w:val="0"/>
      <w:divBdr>
        <w:top w:val="none" w:sz="0" w:space="0" w:color="auto"/>
        <w:left w:val="none" w:sz="0" w:space="0" w:color="auto"/>
        <w:bottom w:val="none" w:sz="0" w:space="0" w:color="auto"/>
        <w:right w:val="none" w:sz="0" w:space="0" w:color="auto"/>
      </w:divBdr>
    </w:div>
    <w:div w:id="1398433543">
      <w:bodyDiv w:val="1"/>
      <w:marLeft w:val="0"/>
      <w:marRight w:val="0"/>
      <w:marTop w:val="0"/>
      <w:marBottom w:val="0"/>
      <w:divBdr>
        <w:top w:val="none" w:sz="0" w:space="0" w:color="auto"/>
        <w:left w:val="none" w:sz="0" w:space="0" w:color="auto"/>
        <w:bottom w:val="none" w:sz="0" w:space="0" w:color="auto"/>
        <w:right w:val="none" w:sz="0" w:space="0" w:color="auto"/>
      </w:divBdr>
    </w:div>
    <w:div w:id="1398435487">
      <w:bodyDiv w:val="1"/>
      <w:marLeft w:val="0"/>
      <w:marRight w:val="0"/>
      <w:marTop w:val="0"/>
      <w:marBottom w:val="0"/>
      <w:divBdr>
        <w:top w:val="none" w:sz="0" w:space="0" w:color="auto"/>
        <w:left w:val="none" w:sz="0" w:space="0" w:color="auto"/>
        <w:bottom w:val="none" w:sz="0" w:space="0" w:color="auto"/>
        <w:right w:val="none" w:sz="0" w:space="0" w:color="auto"/>
      </w:divBdr>
    </w:div>
    <w:div w:id="1398474864">
      <w:bodyDiv w:val="1"/>
      <w:marLeft w:val="0"/>
      <w:marRight w:val="0"/>
      <w:marTop w:val="0"/>
      <w:marBottom w:val="0"/>
      <w:divBdr>
        <w:top w:val="none" w:sz="0" w:space="0" w:color="auto"/>
        <w:left w:val="none" w:sz="0" w:space="0" w:color="auto"/>
        <w:bottom w:val="none" w:sz="0" w:space="0" w:color="auto"/>
        <w:right w:val="none" w:sz="0" w:space="0" w:color="auto"/>
      </w:divBdr>
    </w:div>
    <w:div w:id="1398475790">
      <w:bodyDiv w:val="1"/>
      <w:marLeft w:val="0"/>
      <w:marRight w:val="0"/>
      <w:marTop w:val="0"/>
      <w:marBottom w:val="0"/>
      <w:divBdr>
        <w:top w:val="none" w:sz="0" w:space="0" w:color="auto"/>
        <w:left w:val="none" w:sz="0" w:space="0" w:color="auto"/>
        <w:bottom w:val="none" w:sz="0" w:space="0" w:color="auto"/>
        <w:right w:val="none" w:sz="0" w:space="0" w:color="auto"/>
      </w:divBdr>
    </w:div>
    <w:div w:id="1398476807">
      <w:bodyDiv w:val="1"/>
      <w:marLeft w:val="0"/>
      <w:marRight w:val="0"/>
      <w:marTop w:val="0"/>
      <w:marBottom w:val="0"/>
      <w:divBdr>
        <w:top w:val="none" w:sz="0" w:space="0" w:color="auto"/>
        <w:left w:val="none" w:sz="0" w:space="0" w:color="auto"/>
        <w:bottom w:val="none" w:sz="0" w:space="0" w:color="auto"/>
        <w:right w:val="none" w:sz="0" w:space="0" w:color="auto"/>
      </w:divBdr>
    </w:div>
    <w:div w:id="1398479561">
      <w:bodyDiv w:val="1"/>
      <w:marLeft w:val="0"/>
      <w:marRight w:val="0"/>
      <w:marTop w:val="0"/>
      <w:marBottom w:val="0"/>
      <w:divBdr>
        <w:top w:val="none" w:sz="0" w:space="0" w:color="auto"/>
        <w:left w:val="none" w:sz="0" w:space="0" w:color="auto"/>
        <w:bottom w:val="none" w:sz="0" w:space="0" w:color="auto"/>
        <w:right w:val="none" w:sz="0" w:space="0" w:color="auto"/>
      </w:divBdr>
    </w:div>
    <w:div w:id="1398629141">
      <w:bodyDiv w:val="1"/>
      <w:marLeft w:val="0"/>
      <w:marRight w:val="0"/>
      <w:marTop w:val="0"/>
      <w:marBottom w:val="0"/>
      <w:divBdr>
        <w:top w:val="none" w:sz="0" w:space="0" w:color="auto"/>
        <w:left w:val="none" w:sz="0" w:space="0" w:color="auto"/>
        <w:bottom w:val="none" w:sz="0" w:space="0" w:color="auto"/>
        <w:right w:val="none" w:sz="0" w:space="0" w:color="auto"/>
      </w:divBdr>
    </w:div>
    <w:div w:id="1398671013">
      <w:bodyDiv w:val="1"/>
      <w:marLeft w:val="0"/>
      <w:marRight w:val="0"/>
      <w:marTop w:val="0"/>
      <w:marBottom w:val="0"/>
      <w:divBdr>
        <w:top w:val="none" w:sz="0" w:space="0" w:color="auto"/>
        <w:left w:val="none" w:sz="0" w:space="0" w:color="auto"/>
        <w:bottom w:val="none" w:sz="0" w:space="0" w:color="auto"/>
        <w:right w:val="none" w:sz="0" w:space="0" w:color="auto"/>
      </w:divBdr>
    </w:div>
    <w:div w:id="1398867200">
      <w:bodyDiv w:val="1"/>
      <w:marLeft w:val="0"/>
      <w:marRight w:val="0"/>
      <w:marTop w:val="0"/>
      <w:marBottom w:val="0"/>
      <w:divBdr>
        <w:top w:val="none" w:sz="0" w:space="0" w:color="auto"/>
        <w:left w:val="none" w:sz="0" w:space="0" w:color="auto"/>
        <w:bottom w:val="none" w:sz="0" w:space="0" w:color="auto"/>
        <w:right w:val="none" w:sz="0" w:space="0" w:color="auto"/>
      </w:divBdr>
    </w:div>
    <w:div w:id="1398893042">
      <w:bodyDiv w:val="1"/>
      <w:marLeft w:val="0"/>
      <w:marRight w:val="0"/>
      <w:marTop w:val="0"/>
      <w:marBottom w:val="0"/>
      <w:divBdr>
        <w:top w:val="none" w:sz="0" w:space="0" w:color="auto"/>
        <w:left w:val="none" w:sz="0" w:space="0" w:color="auto"/>
        <w:bottom w:val="none" w:sz="0" w:space="0" w:color="auto"/>
        <w:right w:val="none" w:sz="0" w:space="0" w:color="auto"/>
      </w:divBdr>
    </w:div>
    <w:div w:id="1398939006">
      <w:bodyDiv w:val="1"/>
      <w:marLeft w:val="0"/>
      <w:marRight w:val="0"/>
      <w:marTop w:val="0"/>
      <w:marBottom w:val="0"/>
      <w:divBdr>
        <w:top w:val="none" w:sz="0" w:space="0" w:color="auto"/>
        <w:left w:val="none" w:sz="0" w:space="0" w:color="auto"/>
        <w:bottom w:val="none" w:sz="0" w:space="0" w:color="auto"/>
        <w:right w:val="none" w:sz="0" w:space="0" w:color="auto"/>
      </w:divBdr>
    </w:div>
    <w:div w:id="1398940143">
      <w:bodyDiv w:val="1"/>
      <w:marLeft w:val="0"/>
      <w:marRight w:val="0"/>
      <w:marTop w:val="0"/>
      <w:marBottom w:val="0"/>
      <w:divBdr>
        <w:top w:val="none" w:sz="0" w:space="0" w:color="auto"/>
        <w:left w:val="none" w:sz="0" w:space="0" w:color="auto"/>
        <w:bottom w:val="none" w:sz="0" w:space="0" w:color="auto"/>
        <w:right w:val="none" w:sz="0" w:space="0" w:color="auto"/>
      </w:divBdr>
    </w:div>
    <w:div w:id="1399135447">
      <w:bodyDiv w:val="1"/>
      <w:marLeft w:val="0"/>
      <w:marRight w:val="0"/>
      <w:marTop w:val="0"/>
      <w:marBottom w:val="0"/>
      <w:divBdr>
        <w:top w:val="none" w:sz="0" w:space="0" w:color="auto"/>
        <w:left w:val="none" w:sz="0" w:space="0" w:color="auto"/>
        <w:bottom w:val="none" w:sz="0" w:space="0" w:color="auto"/>
        <w:right w:val="none" w:sz="0" w:space="0" w:color="auto"/>
      </w:divBdr>
    </w:div>
    <w:div w:id="1399160399">
      <w:bodyDiv w:val="1"/>
      <w:marLeft w:val="0"/>
      <w:marRight w:val="0"/>
      <w:marTop w:val="0"/>
      <w:marBottom w:val="0"/>
      <w:divBdr>
        <w:top w:val="none" w:sz="0" w:space="0" w:color="auto"/>
        <w:left w:val="none" w:sz="0" w:space="0" w:color="auto"/>
        <w:bottom w:val="none" w:sz="0" w:space="0" w:color="auto"/>
        <w:right w:val="none" w:sz="0" w:space="0" w:color="auto"/>
      </w:divBdr>
    </w:div>
    <w:div w:id="1399279403">
      <w:bodyDiv w:val="1"/>
      <w:marLeft w:val="0"/>
      <w:marRight w:val="0"/>
      <w:marTop w:val="0"/>
      <w:marBottom w:val="0"/>
      <w:divBdr>
        <w:top w:val="none" w:sz="0" w:space="0" w:color="auto"/>
        <w:left w:val="none" w:sz="0" w:space="0" w:color="auto"/>
        <w:bottom w:val="none" w:sz="0" w:space="0" w:color="auto"/>
        <w:right w:val="none" w:sz="0" w:space="0" w:color="auto"/>
      </w:divBdr>
    </w:div>
    <w:div w:id="1399326624">
      <w:bodyDiv w:val="1"/>
      <w:marLeft w:val="0"/>
      <w:marRight w:val="0"/>
      <w:marTop w:val="0"/>
      <w:marBottom w:val="0"/>
      <w:divBdr>
        <w:top w:val="none" w:sz="0" w:space="0" w:color="auto"/>
        <w:left w:val="none" w:sz="0" w:space="0" w:color="auto"/>
        <w:bottom w:val="none" w:sz="0" w:space="0" w:color="auto"/>
        <w:right w:val="none" w:sz="0" w:space="0" w:color="auto"/>
      </w:divBdr>
    </w:div>
    <w:div w:id="1399548570">
      <w:bodyDiv w:val="1"/>
      <w:marLeft w:val="0"/>
      <w:marRight w:val="0"/>
      <w:marTop w:val="0"/>
      <w:marBottom w:val="0"/>
      <w:divBdr>
        <w:top w:val="none" w:sz="0" w:space="0" w:color="auto"/>
        <w:left w:val="none" w:sz="0" w:space="0" w:color="auto"/>
        <w:bottom w:val="none" w:sz="0" w:space="0" w:color="auto"/>
        <w:right w:val="none" w:sz="0" w:space="0" w:color="auto"/>
      </w:divBdr>
    </w:div>
    <w:div w:id="1399595712">
      <w:bodyDiv w:val="1"/>
      <w:marLeft w:val="0"/>
      <w:marRight w:val="0"/>
      <w:marTop w:val="0"/>
      <w:marBottom w:val="0"/>
      <w:divBdr>
        <w:top w:val="none" w:sz="0" w:space="0" w:color="auto"/>
        <w:left w:val="none" w:sz="0" w:space="0" w:color="auto"/>
        <w:bottom w:val="none" w:sz="0" w:space="0" w:color="auto"/>
        <w:right w:val="none" w:sz="0" w:space="0" w:color="auto"/>
      </w:divBdr>
    </w:div>
    <w:div w:id="1399790774">
      <w:bodyDiv w:val="1"/>
      <w:marLeft w:val="0"/>
      <w:marRight w:val="0"/>
      <w:marTop w:val="0"/>
      <w:marBottom w:val="0"/>
      <w:divBdr>
        <w:top w:val="none" w:sz="0" w:space="0" w:color="auto"/>
        <w:left w:val="none" w:sz="0" w:space="0" w:color="auto"/>
        <w:bottom w:val="none" w:sz="0" w:space="0" w:color="auto"/>
        <w:right w:val="none" w:sz="0" w:space="0" w:color="auto"/>
      </w:divBdr>
    </w:div>
    <w:div w:id="1399934106">
      <w:bodyDiv w:val="1"/>
      <w:marLeft w:val="0"/>
      <w:marRight w:val="0"/>
      <w:marTop w:val="0"/>
      <w:marBottom w:val="0"/>
      <w:divBdr>
        <w:top w:val="none" w:sz="0" w:space="0" w:color="auto"/>
        <w:left w:val="none" w:sz="0" w:space="0" w:color="auto"/>
        <w:bottom w:val="none" w:sz="0" w:space="0" w:color="auto"/>
        <w:right w:val="none" w:sz="0" w:space="0" w:color="auto"/>
      </w:divBdr>
    </w:div>
    <w:div w:id="1399935569">
      <w:bodyDiv w:val="1"/>
      <w:marLeft w:val="0"/>
      <w:marRight w:val="0"/>
      <w:marTop w:val="0"/>
      <w:marBottom w:val="0"/>
      <w:divBdr>
        <w:top w:val="none" w:sz="0" w:space="0" w:color="auto"/>
        <w:left w:val="none" w:sz="0" w:space="0" w:color="auto"/>
        <w:bottom w:val="none" w:sz="0" w:space="0" w:color="auto"/>
        <w:right w:val="none" w:sz="0" w:space="0" w:color="auto"/>
      </w:divBdr>
    </w:div>
    <w:div w:id="1400012090">
      <w:bodyDiv w:val="1"/>
      <w:marLeft w:val="0"/>
      <w:marRight w:val="0"/>
      <w:marTop w:val="0"/>
      <w:marBottom w:val="0"/>
      <w:divBdr>
        <w:top w:val="none" w:sz="0" w:space="0" w:color="auto"/>
        <w:left w:val="none" w:sz="0" w:space="0" w:color="auto"/>
        <w:bottom w:val="none" w:sz="0" w:space="0" w:color="auto"/>
        <w:right w:val="none" w:sz="0" w:space="0" w:color="auto"/>
      </w:divBdr>
    </w:div>
    <w:div w:id="1400057065">
      <w:bodyDiv w:val="1"/>
      <w:marLeft w:val="0"/>
      <w:marRight w:val="0"/>
      <w:marTop w:val="0"/>
      <w:marBottom w:val="0"/>
      <w:divBdr>
        <w:top w:val="none" w:sz="0" w:space="0" w:color="auto"/>
        <w:left w:val="none" w:sz="0" w:space="0" w:color="auto"/>
        <w:bottom w:val="none" w:sz="0" w:space="0" w:color="auto"/>
        <w:right w:val="none" w:sz="0" w:space="0" w:color="auto"/>
      </w:divBdr>
    </w:div>
    <w:div w:id="1400059850">
      <w:bodyDiv w:val="1"/>
      <w:marLeft w:val="0"/>
      <w:marRight w:val="0"/>
      <w:marTop w:val="0"/>
      <w:marBottom w:val="0"/>
      <w:divBdr>
        <w:top w:val="none" w:sz="0" w:space="0" w:color="auto"/>
        <w:left w:val="none" w:sz="0" w:space="0" w:color="auto"/>
        <w:bottom w:val="none" w:sz="0" w:space="0" w:color="auto"/>
        <w:right w:val="none" w:sz="0" w:space="0" w:color="auto"/>
      </w:divBdr>
    </w:div>
    <w:div w:id="1400130727">
      <w:bodyDiv w:val="1"/>
      <w:marLeft w:val="0"/>
      <w:marRight w:val="0"/>
      <w:marTop w:val="0"/>
      <w:marBottom w:val="0"/>
      <w:divBdr>
        <w:top w:val="none" w:sz="0" w:space="0" w:color="auto"/>
        <w:left w:val="none" w:sz="0" w:space="0" w:color="auto"/>
        <w:bottom w:val="none" w:sz="0" w:space="0" w:color="auto"/>
        <w:right w:val="none" w:sz="0" w:space="0" w:color="auto"/>
      </w:divBdr>
    </w:div>
    <w:div w:id="1400206153">
      <w:bodyDiv w:val="1"/>
      <w:marLeft w:val="0"/>
      <w:marRight w:val="0"/>
      <w:marTop w:val="0"/>
      <w:marBottom w:val="0"/>
      <w:divBdr>
        <w:top w:val="none" w:sz="0" w:space="0" w:color="auto"/>
        <w:left w:val="none" w:sz="0" w:space="0" w:color="auto"/>
        <w:bottom w:val="none" w:sz="0" w:space="0" w:color="auto"/>
        <w:right w:val="none" w:sz="0" w:space="0" w:color="auto"/>
      </w:divBdr>
    </w:div>
    <w:div w:id="1400249581">
      <w:bodyDiv w:val="1"/>
      <w:marLeft w:val="0"/>
      <w:marRight w:val="0"/>
      <w:marTop w:val="0"/>
      <w:marBottom w:val="0"/>
      <w:divBdr>
        <w:top w:val="none" w:sz="0" w:space="0" w:color="auto"/>
        <w:left w:val="none" w:sz="0" w:space="0" w:color="auto"/>
        <w:bottom w:val="none" w:sz="0" w:space="0" w:color="auto"/>
        <w:right w:val="none" w:sz="0" w:space="0" w:color="auto"/>
      </w:divBdr>
    </w:div>
    <w:div w:id="1400329230">
      <w:bodyDiv w:val="1"/>
      <w:marLeft w:val="0"/>
      <w:marRight w:val="0"/>
      <w:marTop w:val="0"/>
      <w:marBottom w:val="0"/>
      <w:divBdr>
        <w:top w:val="none" w:sz="0" w:space="0" w:color="auto"/>
        <w:left w:val="none" w:sz="0" w:space="0" w:color="auto"/>
        <w:bottom w:val="none" w:sz="0" w:space="0" w:color="auto"/>
        <w:right w:val="none" w:sz="0" w:space="0" w:color="auto"/>
      </w:divBdr>
    </w:div>
    <w:div w:id="1400396332">
      <w:bodyDiv w:val="1"/>
      <w:marLeft w:val="0"/>
      <w:marRight w:val="0"/>
      <w:marTop w:val="0"/>
      <w:marBottom w:val="0"/>
      <w:divBdr>
        <w:top w:val="none" w:sz="0" w:space="0" w:color="auto"/>
        <w:left w:val="none" w:sz="0" w:space="0" w:color="auto"/>
        <w:bottom w:val="none" w:sz="0" w:space="0" w:color="auto"/>
        <w:right w:val="none" w:sz="0" w:space="0" w:color="auto"/>
      </w:divBdr>
    </w:div>
    <w:div w:id="1400444517">
      <w:bodyDiv w:val="1"/>
      <w:marLeft w:val="0"/>
      <w:marRight w:val="0"/>
      <w:marTop w:val="0"/>
      <w:marBottom w:val="0"/>
      <w:divBdr>
        <w:top w:val="none" w:sz="0" w:space="0" w:color="auto"/>
        <w:left w:val="none" w:sz="0" w:space="0" w:color="auto"/>
        <w:bottom w:val="none" w:sz="0" w:space="0" w:color="auto"/>
        <w:right w:val="none" w:sz="0" w:space="0" w:color="auto"/>
      </w:divBdr>
    </w:div>
    <w:div w:id="1400596363">
      <w:bodyDiv w:val="1"/>
      <w:marLeft w:val="0"/>
      <w:marRight w:val="0"/>
      <w:marTop w:val="0"/>
      <w:marBottom w:val="0"/>
      <w:divBdr>
        <w:top w:val="none" w:sz="0" w:space="0" w:color="auto"/>
        <w:left w:val="none" w:sz="0" w:space="0" w:color="auto"/>
        <w:bottom w:val="none" w:sz="0" w:space="0" w:color="auto"/>
        <w:right w:val="none" w:sz="0" w:space="0" w:color="auto"/>
      </w:divBdr>
    </w:div>
    <w:div w:id="1400782109">
      <w:bodyDiv w:val="1"/>
      <w:marLeft w:val="0"/>
      <w:marRight w:val="0"/>
      <w:marTop w:val="0"/>
      <w:marBottom w:val="0"/>
      <w:divBdr>
        <w:top w:val="none" w:sz="0" w:space="0" w:color="auto"/>
        <w:left w:val="none" w:sz="0" w:space="0" w:color="auto"/>
        <w:bottom w:val="none" w:sz="0" w:space="0" w:color="auto"/>
        <w:right w:val="none" w:sz="0" w:space="0" w:color="auto"/>
      </w:divBdr>
    </w:div>
    <w:div w:id="1400783159">
      <w:bodyDiv w:val="1"/>
      <w:marLeft w:val="0"/>
      <w:marRight w:val="0"/>
      <w:marTop w:val="0"/>
      <w:marBottom w:val="0"/>
      <w:divBdr>
        <w:top w:val="none" w:sz="0" w:space="0" w:color="auto"/>
        <w:left w:val="none" w:sz="0" w:space="0" w:color="auto"/>
        <w:bottom w:val="none" w:sz="0" w:space="0" w:color="auto"/>
        <w:right w:val="none" w:sz="0" w:space="0" w:color="auto"/>
      </w:divBdr>
    </w:div>
    <w:div w:id="1400791520">
      <w:bodyDiv w:val="1"/>
      <w:marLeft w:val="0"/>
      <w:marRight w:val="0"/>
      <w:marTop w:val="0"/>
      <w:marBottom w:val="0"/>
      <w:divBdr>
        <w:top w:val="none" w:sz="0" w:space="0" w:color="auto"/>
        <w:left w:val="none" w:sz="0" w:space="0" w:color="auto"/>
        <w:bottom w:val="none" w:sz="0" w:space="0" w:color="auto"/>
        <w:right w:val="none" w:sz="0" w:space="0" w:color="auto"/>
      </w:divBdr>
    </w:div>
    <w:div w:id="1400832835">
      <w:bodyDiv w:val="1"/>
      <w:marLeft w:val="0"/>
      <w:marRight w:val="0"/>
      <w:marTop w:val="0"/>
      <w:marBottom w:val="0"/>
      <w:divBdr>
        <w:top w:val="none" w:sz="0" w:space="0" w:color="auto"/>
        <w:left w:val="none" w:sz="0" w:space="0" w:color="auto"/>
        <w:bottom w:val="none" w:sz="0" w:space="0" w:color="auto"/>
        <w:right w:val="none" w:sz="0" w:space="0" w:color="auto"/>
      </w:divBdr>
    </w:div>
    <w:div w:id="1400857418">
      <w:bodyDiv w:val="1"/>
      <w:marLeft w:val="0"/>
      <w:marRight w:val="0"/>
      <w:marTop w:val="0"/>
      <w:marBottom w:val="0"/>
      <w:divBdr>
        <w:top w:val="none" w:sz="0" w:space="0" w:color="auto"/>
        <w:left w:val="none" w:sz="0" w:space="0" w:color="auto"/>
        <w:bottom w:val="none" w:sz="0" w:space="0" w:color="auto"/>
        <w:right w:val="none" w:sz="0" w:space="0" w:color="auto"/>
      </w:divBdr>
    </w:div>
    <w:div w:id="1400861262">
      <w:bodyDiv w:val="1"/>
      <w:marLeft w:val="0"/>
      <w:marRight w:val="0"/>
      <w:marTop w:val="0"/>
      <w:marBottom w:val="0"/>
      <w:divBdr>
        <w:top w:val="none" w:sz="0" w:space="0" w:color="auto"/>
        <w:left w:val="none" w:sz="0" w:space="0" w:color="auto"/>
        <w:bottom w:val="none" w:sz="0" w:space="0" w:color="auto"/>
        <w:right w:val="none" w:sz="0" w:space="0" w:color="auto"/>
      </w:divBdr>
    </w:div>
    <w:div w:id="1400861605">
      <w:bodyDiv w:val="1"/>
      <w:marLeft w:val="0"/>
      <w:marRight w:val="0"/>
      <w:marTop w:val="0"/>
      <w:marBottom w:val="0"/>
      <w:divBdr>
        <w:top w:val="none" w:sz="0" w:space="0" w:color="auto"/>
        <w:left w:val="none" w:sz="0" w:space="0" w:color="auto"/>
        <w:bottom w:val="none" w:sz="0" w:space="0" w:color="auto"/>
        <w:right w:val="none" w:sz="0" w:space="0" w:color="auto"/>
      </w:divBdr>
    </w:div>
    <w:div w:id="1400901526">
      <w:bodyDiv w:val="1"/>
      <w:marLeft w:val="0"/>
      <w:marRight w:val="0"/>
      <w:marTop w:val="0"/>
      <w:marBottom w:val="0"/>
      <w:divBdr>
        <w:top w:val="none" w:sz="0" w:space="0" w:color="auto"/>
        <w:left w:val="none" w:sz="0" w:space="0" w:color="auto"/>
        <w:bottom w:val="none" w:sz="0" w:space="0" w:color="auto"/>
        <w:right w:val="none" w:sz="0" w:space="0" w:color="auto"/>
      </w:divBdr>
    </w:div>
    <w:div w:id="1400982729">
      <w:bodyDiv w:val="1"/>
      <w:marLeft w:val="0"/>
      <w:marRight w:val="0"/>
      <w:marTop w:val="0"/>
      <w:marBottom w:val="0"/>
      <w:divBdr>
        <w:top w:val="none" w:sz="0" w:space="0" w:color="auto"/>
        <w:left w:val="none" w:sz="0" w:space="0" w:color="auto"/>
        <w:bottom w:val="none" w:sz="0" w:space="0" w:color="auto"/>
        <w:right w:val="none" w:sz="0" w:space="0" w:color="auto"/>
      </w:divBdr>
    </w:div>
    <w:div w:id="1400982922">
      <w:bodyDiv w:val="1"/>
      <w:marLeft w:val="0"/>
      <w:marRight w:val="0"/>
      <w:marTop w:val="0"/>
      <w:marBottom w:val="0"/>
      <w:divBdr>
        <w:top w:val="none" w:sz="0" w:space="0" w:color="auto"/>
        <w:left w:val="none" w:sz="0" w:space="0" w:color="auto"/>
        <w:bottom w:val="none" w:sz="0" w:space="0" w:color="auto"/>
        <w:right w:val="none" w:sz="0" w:space="0" w:color="auto"/>
      </w:divBdr>
    </w:div>
    <w:div w:id="1401095499">
      <w:bodyDiv w:val="1"/>
      <w:marLeft w:val="0"/>
      <w:marRight w:val="0"/>
      <w:marTop w:val="0"/>
      <w:marBottom w:val="0"/>
      <w:divBdr>
        <w:top w:val="none" w:sz="0" w:space="0" w:color="auto"/>
        <w:left w:val="none" w:sz="0" w:space="0" w:color="auto"/>
        <w:bottom w:val="none" w:sz="0" w:space="0" w:color="auto"/>
        <w:right w:val="none" w:sz="0" w:space="0" w:color="auto"/>
      </w:divBdr>
    </w:div>
    <w:div w:id="1401096906">
      <w:bodyDiv w:val="1"/>
      <w:marLeft w:val="0"/>
      <w:marRight w:val="0"/>
      <w:marTop w:val="0"/>
      <w:marBottom w:val="0"/>
      <w:divBdr>
        <w:top w:val="none" w:sz="0" w:space="0" w:color="auto"/>
        <w:left w:val="none" w:sz="0" w:space="0" w:color="auto"/>
        <w:bottom w:val="none" w:sz="0" w:space="0" w:color="auto"/>
        <w:right w:val="none" w:sz="0" w:space="0" w:color="auto"/>
      </w:divBdr>
    </w:div>
    <w:div w:id="1401099779">
      <w:bodyDiv w:val="1"/>
      <w:marLeft w:val="0"/>
      <w:marRight w:val="0"/>
      <w:marTop w:val="0"/>
      <w:marBottom w:val="0"/>
      <w:divBdr>
        <w:top w:val="none" w:sz="0" w:space="0" w:color="auto"/>
        <w:left w:val="none" w:sz="0" w:space="0" w:color="auto"/>
        <w:bottom w:val="none" w:sz="0" w:space="0" w:color="auto"/>
        <w:right w:val="none" w:sz="0" w:space="0" w:color="auto"/>
      </w:divBdr>
    </w:div>
    <w:div w:id="1401168719">
      <w:bodyDiv w:val="1"/>
      <w:marLeft w:val="0"/>
      <w:marRight w:val="0"/>
      <w:marTop w:val="0"/>
      <w:marBottom w:val="0"/>
      <w:divBdr>
        <w:top w:val="none" w:sz="0" w:space="0" w:color="auto"/>
        <w:left w:val="none" w:sz="0" w:space="0" w:color="auto"/>
        <w:bottom w:val="none" w:sz="0" w:space="0" w:color="auto"/>
        <w:right w:val="none" w:sz="0" w:space="0" w:color="auto"/>
      </w:divBdr>
    </w:div>
    <w:div w:id="1401250046">
      <w:bodyDiv w:val="1"/>
      <w:marLeft w:val="0"/>
      <w:marRight w:val="0"/>
      <w:marTop w:val="0"/>
      <w:marBottom w:val="0"/>
      <w:divBdr>
        <w:top w:val="none" w:sz="0" w:space="0" w:color="auto"/>
        <w:left w:val="none" w:sz="0" w:space="0" w:color="auto"/>
        <w:bottom w:val="none" w:sz="0" w:space="0" w:color="auto"/>
        <w:right w:val="none" w:sz="0" w:space="0" w:color="auto"/>
      </w:divBdr>
    </w:div>
    <w:div w:id="1401442387">
      <w:bodyDiv w:val="1"/>
      <w:marLeft w:val="0"/>
      <w:marRight w:val="0"/>
      <w:marTop w:val="0"/>
      <w:marBottom w:val="0"/>
      <w:divBdr>
        <w:top w:val="none" w:sz="0" w:space="0" w:color="auto"/>
        <w:left w:val="none" w:sz="0" w:space="0" w:color="auto"/>
        <w:bottom w:val="none" w:sz="0" w:space="0" w:color="auto"/>
        <w:right w:val="none" w:sz="0" w:space="0" w:color="auto"/>
      </w:divBdr>
    </w:div>
    <w:div w:id="1401514324">
      <w:bodyDiv w:val="1"/>
      <w:marLeft w:val="0"/>
      <w:marRight w:val="0"/>
      <w:marTop w:val="0"/>
      <w:marBottom w:val="0"/>
      <w:divBdr>
        <w:top w:val="none" w:sz="0" w:space="0" w:color="auto"/>
        <w:left w:val="none" w:sz="0" w:space="0" w:color="auto"/>
        <w:bottom w:val="none" w:sz="0" w:space="0" w:color="auto"/>
        <w:right w:val="none" w:sz="0" w:space="0" w:color="auto"/>
      </w:divBdr>
    </w:div>
    <w:div w:id="1401633492">
      <w:bodyDiv w:val="1"/>
      <w:marLeft w:val="0"/>
      <w:marRight w:val="0"/>
      <w:marTop w:val="0"/>
      <w:marBottom w:val="0"/>
      <w:divBdr>
        <w:top w:val="none" w:sz="0" w:space="0" w:color="auto"/>
        <w:left w:val="none" w:sz="0" w:space="0" w:color="auto"/>
        <w:bottom w:val="none" w:sz="0" w:space="0" w:color="auto"/>
        <w:right w:val="none" w:sz="0" w:space="0" w:color="auto"/>
      </w:divBdr>
    </w:div>
    <w:div w:id="1401636235">
      <w:bodyDiv w:val="1"/>
      <w:marLeft w:val="0"/>
      <w:marRight w:val="0"/>
      <w:marTop w:val="0"/>
      <w:marBottom w:val="0"/>
      <w:divBdr>
        <w:top w:val="none" w:sz="0" w:space="0" w:color="auto"/>
        <w:left w:val="none" w:sz="0" w:space="0" w:color="auto"/>
        <w:bottom w:val="none" w:sz="0" w:space="0" w:color="auto"/>
        <w:right w:val="none" w:sz="0" w:space="0" w:color="auto"/>
      </w:divBdr>
    </w:div>
    <w:div w:id="1401639444">
      <w:bodyDiv w:val="1"/>
      <w:marLeft w:val="0"/>
      <w:marRight w:val="0"/>
      <w:marTop w:val="0"/>
      <w:marBottom w:val="0"/>
      <w:divBdr>
        <w:top w:val="none" w:sz="0" w:space="0" w:color="auto"/>
        <w:left w:val="none" w:sz="0" w:space="0" w:color="auto"/>
        <w:bottom w:val="none" w:sz="0" w:space="0" w:color="auto"/>
        <w:right w:val="none" w:sz="0" w:space="0" w:color="auto"/>
      </w:divBdr>
    </w:div>
    <w:div w:id="1401756643">
      <w:bodyDiv w:val="1"/>
      <w:marLeft w:val="0"/>
      <w:marRight w:val="0"/>
      <w:marTop w:val="0"/>
      <w:marBottom w:val="0"/>
      <w:divBdr>
        <w:top w:val="none" w:sz="0" w:space="0" w:color="auto"/>
        <w:left w:val="none" w:sz="0" w:space="0" w:color="auto"/>
        <w:bottom w:val="none" w:sz="0" w:space="0" w:color="auto"/>
        <w:right w:val="none" w:sz="0" w:space="0" w:color="auto"/>
      </w:divBdr>
    </w:div>
    <w:div w:id="1401902053">
      <w:bodyDiv w:val="1"/>
      <w:marLeft w:val="0"/>
      <w:marRight w:val="0"/>
      <w:marTop w:val="0"/>
      <w:marBottom w:val="0"/>
      <w:divBdr>
        <w:top w:val="none" w:sz="0" w:space="0" w:color="auto"/>
        <w:left w:val="none" w:sz="0" w:space="0" w:color="auto"/>
        <w:bottom w:val="none" w:sz="0" w:space="0" w:color="auto"/>
        <w:right w:val="none" w:sz="0" w:space="0" w:color="auto"/>
      </w:divBdr>
    </w:div>
    <w:div w:id="1401949343">
      <w:bodyDiv w:val="1"/>
      <w:marLeft w:val="0"/>
      <w:marRight w:val="0"/>
      <w:marTop w:val="0"/>
      <w:marBottom w:val="0"/>
      <w:divBdr>
        <w:top w:val="none" w:sz="0" w:space="0" w:color="auto"/>
        <w:left w:val="none" w:sz="0" w:space="0" w:color="auto"/>
        <w:bottom w:val="none" w:sz="0" w:space="0" w:color="auto"/>
        <w:right w:val="none" w:sz="0" w:space="0" w:color="auto"/>
      </w:divBdr>
    </w:div>
    <w:div w:id="1401949838">
      <w:bodyDiv w:val="1"/>
      <w:marLeft w:val="0"/>
      <w:marRight w:val="0"/>
      <w:marTop w:val="0"/>
      <w:marBottom w:val="0"/>
      <w:divBdr>
        <w:top w:val="none" w:sz="0" w:space="0" w:color="auto"/>
        <w:left w:val="none" w:sz="0" w:space="0" w:color="auto"/>
        <w:bottom w:val="none" w:sz="0" w:space="0" w:color="auto"/>
        <w:right w:val="none" w:sz="0" w:space="0" w:color="auto"/>
      </w:divBdr>
    </w:div>
    <w:div w:id="1401950586">
      <w:bodyDiv w:val="1"/>
      <w:marLeft w:val="0"/>
      <w:marRight w:val="0"/>
      <w:marTop w:val="0"/>
      <w:marBottom w:val="0"/>
      <w:divBdr>
        <w:top w:val="none" w:sz="0" w:space="0" w:color="auto"/>
        <w:left w:val="none" w:sz="0" w:space="0" w:color="auto"/>
        <w:bottom w:val="none" w:sz="0" w:space="0" w:color="auto"/>
        <w:right w:val="none" w:sz="0" w:space="0" w:color="auto"/>
      </w:divBdr>
    </w:div>
    <w:div w:id="1402100081">
      <w:bodyDiv w:val="1"/>
      <w:marLeft w:val="0"/>
      <w:marRight w:val="0"/>
      <w:marTop w:val="0"/>
      <w:marBottom w:val="0"/>
      <w:divBdr>
        <w:top w:val="none" w:sz="0" w:space="0" w:color="auto"/>
        <w:left w:val="none" w:sz="0" w:space="0" w:color="auto"/>
        <w:bottom w:val="none" w:sz="0" w:space="0" w:color="auto"/>
        <w:right w:val="none" w:sz="0" w:space="0" w:color="auto"/>
      </w:divBdr>
    </w:div>
    <w:div w:id="1402211632">
      <w:bodyDiv w:val="1"/>
      <w:marLeft w:val="0"/>
      <w:marRight w:val="0"/>
      <w:marTop w:val="0"/>
      <w:marBottom w:val="0"/>
      <w:divBdr>
        <w:top w:val="none" w:sz="0" w:space="0" w:color="auto"/>
        <w:left w:val="none" w:sz="0" w:space="0" w:color="auto"/>
        <w:bottom w:val="none" w:sz="0" w:space="0" w:color="auto"/>
        <w:right w:val="none" w:sz="0" w:space="0" w:color="auto"/>
      </w:divBdr>
    </w:div>
    <w:div w:id="1402215517">
      <w:bodyDiv w:val="1"/>
      <w:marLeft w:val="0"/>
      <w:marRight w:val="0"/>
      <w:marTop w:val="0"/>
      <w:marBottom w:val="0"/>
      <w:divBdr>
        <w:top w:val="none" w:sz="0" w:space="0" w:color="auto"/>
        <w:left w:val="none" w:sz="0" w:space="0" w:color="auto"/>
        <w:bottom w:val="none" w:sz="0" w:space="0" w:color="auto"/>
        <w:right w:val="none" w:sz="0" w:space="0" w:color="auto"/>
      </w:divBdr>
    </w:div>
    <w:div w:id="1402219109">
      <w:bodyDiv w:val="1"/>
      <w:marLeft w:val="0"/>
      <w:marRight w:val="0"/>
      <w:marTop w:val="0"/>
      <w:marBottom w:val="0"/>
      <w:divBdr>
        <w:top w:val="none" w:sz="0" w:space="0" w:color="auto"/>
        <w:left w:val="none" w:sz="0" w:space="0" w:color="auto"/>
        <w:bottom w:val="none" w:sz="0" w:space="0" w:color="auto"/>
        <w:right w:val="none" w:sz="0" w:space="0" w:color="auto"/>
      </w:divBdr>
    </w:div>
    <w:div w:id="1402219769">
      <w:bodyDiv w:val="1"/>
      <w:marLeft w:val="0"/>
      <w:marRight w:val="0"/>
      <w:marTop w:val="0"/>
      <w:marBottom w:val="0"/>
      <w:divBdr>
        <w:top w:val="none" w:sz="0" w:space="0" w:color="auto"/>
        <w:left w:val="none" w:sz="0" w:space="0" w:color="auto"/>
        <w:bottom w:val="none" w:sz="0" w:space="0" w:color="auto"/>
        <w:right w:val="none" w:sz="0" w:space="0" w:color="auto"/>
      </w:divBdr>
    </w:div>
    <w:div w:id="1402366868">
      <w:bodyDiv w:val="1"/>
      <w:marLeft w:val="0"/>
      <w:marRight w:val="0"/>
      <w:marTop w:val="0"/>
      <w:marBottom w:val="0"/>
      <w:divBdr>
        <w:top w:val="none" w:sz="0" w:space="0" w:color="auto"/>
        <w:left w:val="none" w:sz="0" w:space="0" w:color="auto"/>
        <w:bottom w:val="none" w:sz="0" w:space="0" w:color="auto"/>
        <w:right w:val="none" w:sz="0" w:space="0" w:color="auto"/>
      </w:divBdr>
    </w:div>
    <w:div w:id="1402485813">
      <w:bodyDiv w:val="1"/>
      <w:marLeft w:val="0"/>
      <w:marRight w:val="0"/>
      <w:marTop w:val="0"/>
      <w:marBottom w:val="0"/>
      <w:divBdr>
        <w:top w:val="none" w:sz="0" w:space="0" w:color="auto"/>
        <w:left w:val="none" w:sz="0" w:space="0" w:color="auto"/>
        <w:bottom w:val="none" w:sz="0" w:space="0" w:color="auto"/>
        <w:right w:val="none" w:sz="0" w:space="0" w:color="auto"/>
      </w:divBdr>
    </w:div>
    <w:div w:id="1402602707">
      <w:bodyDiv w:val="1"/>
      <w:marLeft w:val="0"/>
      <w:marRight w:val="0"/>
      <w:marTop w:val="0"/>
      <w:marBottom w:val="0"/>
      <w:divBdr>
        <w:top w:val="none" w:sz="0" w:space="0" w:color="auto"/>
        <w:left w:val="none" w:sz="0" w:space="0" w:color="auto"/>
        <w:bottom w:val="none" w:sz="0" w:space="0" w:color="auto"/>
        <w:right w:val="none" w:sz="0" w:space="0" w:color="auto"/>
      </w:divBdr>
    </w:div>
    <w:div w:id="1402604348">
      <w:bodyDiv w:val="1"/>
      <w:marLeft w:val="0"/>
      <w:marRight w:val="0"/>
      <w:marTop w:val="0"/>
      <w:marBottom w:val="0"/>
      <w:divBdr>
        <w:top w:val="none" w:sz="0" w:space="0" w:color="auto"/>
        <w:left w:val="none" w:sz="0" w:space="0" w:color="auto"/>
        <w:bottom w:val="none" w:sz="0" w:space="0" w:color="auto"/>
        <w:right w:val="none" w:sz="0" w:space="0" w:color="auto"/>
      </w:divBdr>
    </w:div>
    <w:div w:id="1402750523">
      <w:bodyDiv w:val="1"/>
      <w:marLeft w:val="0"/>
      <w:marRight w:val="0"/>
      <w:marTop w:val="0"/>
      <w:marBottom w:val="0"/>
      <w:divBdr>
        <w:top w:val="none" w:sz="0" w:space="0" w:color="auto"/>
        <w:left w:val="none" w:sz="0" w:space="0" w:color="auto"/>
        <w:bottom w:val="none" w:sz="0" w:space="0" w:color="auto"/>
        <w:right w:val="none" w:sz="0" w:space="0" w:color="auto"/>
      </w:divBdr>
    </w:div>
    <w:div w:id="1402750682">
      <w:bodyDiv w:val="1"/>
      <w:marLeft w:val="0"/>
      <w:marRight w:val="0"/>
      <w:marTop w:val="0"/>
      <w:marBottom w:val="0"/>
      <w:divBdr>
        <w:top w:val="none" w:sz="0" w:space="0" w:color="auto"/>
        <w:left w:val="none" w:sz="0" w:space="0" w:color="auto"/>
        <w:bottom w:val="none" w:sz="0" w:space="0" w:color="auto"/>
        <w:right w:val="none" w:sz="0" w:space="0" w:color="auto"/>
      </w:divBdr>
    </w:div>
    <w:div w:id="1402948034">
      <w:bodyDiv w:val="1"/>
      <w:marLeft w:val="0"/>
      <w:marRight w:val="0"/>
      <w:marTop w:val="0"/>
      <w:marBottom w:val="0"/>
      <w:divBdr>
        <w:top w:val="none" w:sz="0" w:space="0" w:color="auto"/>
        <w:left w:val="none" w:sz="0" w:space="0" w:color="auto"/>
        <w:bottom w:val="none" w:sz="0" w:space="0" w:color="auto"/>
        <w:right w:val="none" w:sz="0" w:space="0" w:color="auto"/>
      </w:divBdr>
    </w:div>
    <w:div w:id="1403018610">
      <w:bodyDiv w:val="1"/>
      <w:marLeft w:val="0"/>
      <w:marRight w:val="0"/>
      <w:marTop w:val="0"/>
      <w:marBottom w:val="0"/>
      <w:divBdr>
        <w:top w:val="none" w:sz="0" w:space="0" w:color="auto"/>
        <w:left w:val="none" w:sz="0" w:space="0" w:color="auto"/>
        <w:bottom w:val="none" w:sz="0" w:space="0" w:color="auto"/>
        <w:right w:val="none" w:sz="0" w:space="0" w:color="auto"/>
      </w:divBdr>
    </w:div>
    <w:div w:id="1403020662">
      <w:bodyDiv w:val="1"/>
      <w:marLeft w:val="0"/>
      <w:marRight w:val="0"/>
      <w:marTop w:val="0"/>
      <w:marBottom w:val="0"/>
      <w:divBdr>
        <w:top w:val="none" w:sz="0" w:space="0" w:color="auto"/>
        <w:left w:val="none" w:sz="0" w:space="0" w:color="auto"/>
        <w:bottom w:val="none" w:sz="0" w:space="0" w:color="auto"/>
        <w:right w:val="none" w:sz="0" w:space="0" w:color="auto"/>
      </w:divBdr>
    </w:div>
    <w:div w:id="1403025847">
      <w:bodyDiv w:val="1"/>
      <w:marLeft w:val="0"/>
      <w:marRight w:val="0"/>
      <w:marTop w:val="0"/>
      <w:marBottom w:val="0"/>
      <w:divBdr>
        <w:top w:val="none" w:sz="0" w:space="0" w:color="auto"/>
        <w:left w:val="none" w:sz="0" w:space="0" w:color="auto"/>
        <w:bottom w:val="none" w:sz="0" w:space="0" w:color="auto"/>
        <w:right w:val="none" w:sz="0" w:space="0" w:color="auto"/>
      </w:divBdr>
    </w:div>
    <w:div w:id="1403134943">
      <w:bodyDiv w:val="1"/>
      <w:marLeft w:val="0"/>
      <w:marRight w:val="0"/>
      <w:marTop w:val="0"/>
      <w:marBottom w:val="0"/>
      <w:divBdr>
        <w:top w:val="none" w:sz="0" w:space="0" w:color="auto"/>
        <w:left w:val="none" w:sz="0" w:space="0" w:color="auto"/>
        <w:bottom w:val="none" w:sz="0" w:space="0" w:color="auto"/>
        <w:right w:val="none" w:sz="0" w:space="0" w:color="auto"/>
      </w:divBdr>
    </w:div>
    <w:div w:id="1403260419">
      <w:bodyDiv w:val="1"/>
      <w:marLeft w:val="0"/>
      <w:marRight w:val="0"/>
      <w:marTop w:val="0"/>
      <w:marBottom w:val="0"/>
      <w:divBdr>
        <w:top w:val="none" w:sz="0" w:space="0" w:color="auto"/>
        <w:left w:val="none" w:sz="0" w:space="0" w:color="auto"/>
        <w:bottom w:val="none" w:sz="0" w:space="0" w:color="auto"/>
        <w:right w:val="none" w:sz="0" w:space="0" w:color="auto"/>
      </w:divBdr>
    </w:div>
    <w:div w:id="1403407507">
      <w:bodyDiv w:val="1"/>
      <w:marLeft w:val="0"/>
      <w:marRight w:val="0"/>
      <w:marTop w:val="0"/>
      <w:marBottom w:val="0"/>
      <w:divBdr>
        <w:top w:val="none" w:sz="0" w:space="0" w:color="auto"/>
        <w:left w:val="none" w:sz="0" w:space="0" w:color="auto"/>
        <w:bottom w:val="none" w:sz="0" w:space="0" w:color="auto"/>
        <w:right w:val="none" w:sz="0" w:space="0" w:color="auto"/>
      </w:divBdr>
    </w:div>
    <w:div w:id="1403478943">
      <w:bodyDiv w:val="1"/>
      <w:marLeft w:val="0"/>
      <w:marRight w:val="0"/>
      <w:marTop w:val="0"/>
      <w:marBottom w:val="0"/>
      <w:divBdr>
        <w:top w:val="none" w:sz="0" w:space="0" w:color="auto"/>
        <w:left w:val="none" w:sz="0" w:space="0" w:color="auto"/>
        <w:bottom w:val="none" w:sz="0" w:space="0" w:color="auto"/>
        <w:right w:val="none" w:sz="0" w:space="0" w:color="auto"/>
      </w:divBdr>
    </w:div>
    <w:div w:id="1403675400">
      <w:bodyDiv w:val="1"/>
      <w:marLeft w:val="0"/>
      <w:marRight w:val="0"/>
      <w:marTop w:val="0"/>
      <w:marBottom w:val="0"/>
      <w:divBdr>
        <w:top w:val="none" w:sz="0" w:space="0" w:color="auto"/>
        <w:left w:val="none" w:sz="0" w:space="0" w:color="auto"/>
        <w:bottom w:val="none" w:sz="0" w:space="0" w:color="auto"/>
        <w:right w:val="none" w:sz="0" w:space="0" w:color="auto"/>
      </w:divBdr>
    </w:div>
    <w:div w:id="1403718666">
      <w:bodyDiv w:val="1"/>
      <w:marLeft w:val="0"/>
      <w:marRight w:val="0"/>
      <w:marTop w:val="0"/>
      <w:marBottom w:val="0"/>
      <w:divBdr>
        <w:top w:val="none" w:sz="0" w:space="0" w:color="auto"/>
        <w:left w:val="none" w:sz="0" w:space="0" w:color="auto"/>
        <w:bottom w:val="none" w:sz="0" w:space="0" w:color="auto"/>
        <w:right w:val="none" w:sz="0" w:space="0" w:color="auto"/>
      </w:divBdr>
    </w:div>
    <w:div w:id="1403873891">
      <w:bodyDiv w:val="1"/>
      <w:marLeft w:val="0"/>
      <w:marRight w:val="0"/>
      <w:marTop w:val="0"/>
      <w:marBottom w:val="0"/>
      <w:divBdr>
        <w:top w:val="none" w:sz="0" w:space="0" w:color="auto"/>
        <w:left w:val="none" w:sz="0" w:space="0" w:color="auto"/>
        <w:bottom w:val="none" w:sz="0" w:space="0" w:color="auto"/>
        <w:right w:val="none" w:sz="0" w:space="0" w:color="auto"/>
      </w:divBdr>
    </w:div>
    <w:div w:id="1403985106">
      <w:bodyDiv w:val="1"/>
      <w:marLeft w:val="0"/>
      <w:marRight w:val="0"/>
      <w:marTop w:val="0"/>
      <w:marBottom w:val="0"/>
      <w:divBdr>
        <w:top w:val="none" w:sz="0" w:space="0" w:color="auto"/>
        <w:left w:val="none" w:sz="0" w:space="0" w:color="auto"/>
        <w:bottom w:val="none" w:sz="0" w:space="0" w:color="auto"/>
        <w:right w:val="none" w:sz="0" w:space="0" w:color="auto"/>
      </w:divBdr>
    </w:div>
    <w:div w:id="1404064698">
      <w:bodyDiv w:val="1"/>
      <w:marLeft w:val="0"/>
      <w:marRight w:val="0"/>
      <w:marTop w:val="0"/>
      <w:marBottom w:val="0"/>
      <w:divBdr>
        <w:top w:val="none" w:sz="0" w:space="0" w:color="auto"/>
        <w:left w:val="none" w:sz="0" w:space="0" w:color="auto"/>
        <w:bottom w:val="none" w:sz="0" w:space="0" w:color="auto"/>
        <w:right w:val="none" w:sz="0" w:space="0" w:color="auto"/>
      </w:divBdr>
    </w:div>
    <w:div w:id="1404252300">
      <w:bodyDiv w:val="1"/>
      <w:marLeft w:val="0"/>
      <w:marRight w:val="0"/>
      <w:marTop w:val="0"/>
      <w:marBottom w:val="0"/>
      <w:divBdr>
        <w:top w:val="none" w:sz="0" w:space="0" w:color="auto"/>
        <w:left w:val="none" w:sz="0" w:space="0" w:color="auto"/>
        <w:bottom w:val="none" w:sz="0" w:space="0" w:color="auto"/>
        <w:right w:val="none" w:sz="0" w:space="0" w:color="auto"/>
      </w:divBdr>
    </w:div>
    <w:div w:id="1404331145">
      <w:bodyDiv w:val="1"/>
      <w:marLeft w:val="0"/>
      <w:marRight w:val="0"/>
      <w:marTop w:val="0"/>
      <w:marBottom w:val="0"/>
      <w:divBdr>
        <w:top w:val="none" w:sz="0" w:space="0" w:color="auto"/>
        <w:left w:val="none" w:sz="0" w:space="0" w:color="auto"/>
        <w:bottom w:val="none" w:sz="0" w:space="0" w:color="auto"/>
        <w:right w:val="none" w:sz="0" w:space="0" w:color="auto"/>
      </w:divBdr>
    </w:div>
    <w:div w:id="1404336830">
      <w:bodyDiv w:val="1"/>
      <w:marLeft w:val="0"/>
      <w:marRight w:val="0"/>
      <w:marTop w:val="0"/>
      <w:marBottom w:val="0"/>
      <w:divBdr>
        <w:top w:val="none" w:sz="0" w:space="0" w:color="auto"/>
        <w:left w:val="none" w:sz="0" w:space="0" w:color="auto"/>
        <w:bottom w:val="none" w:sz="0" w:space="0" w:color="auto"/>
        <w:right w:val="none" w:sz="0" w:space="0" w:color="auto"/>
      </w:divBdr>
    </w:div>
    <w:div w:id="1404371475">
      <w:bodyDiv w:val="1"/>
      <w:marLeft w:val="0"/>
      <w:marRight w:val="0"/>
      <w:marTop w:val="0"/>
      <w:marBottom w:val="0"/>
      <w:divBdr>
        <w:top w:val="none" w:sz="0" w:space="0" w:color="auto"/>
        <w:left w:val="none" w:sz="0" w:space="0" w:color="auto"/>
        <w:bottom w:val="none" w:sz="0" w:space="0" w:color="auto"/>
        <w:right w:val="none" w:sz="0" w:space="0" w:color="auto"/>
      </w:divBdr>
    </w:div>
    <w:div w:id="1404374856">
      <w:bodyDiv w:val="1"/>
      <w:marLeft w:val="0"/>
      <w:marRight w:val="0"/>
      <w:marTop w:val="0"/>
      <w:marBottom w:val="0"/>
      <w:divBdr>
        <w:top w:val="none" w:sz="0" w:space="0" w:color="auto"/>
        <w:left w:val="none" w:sz="0" w:space="0" w:color="auto"/>
        <w:bottom w:val="none" w:sz="0" w:space="0" w:color="auto"/>
        <w:right w:val="none" w:sz="0" w:space="0" w:color="auto"/>
      </w:divBdr>
    </w:div>
    <w:div w:id="1404376063">
      <w:bodyDiv w:val="1"/>
      <w:marLeft w:val="0"/>
      <w:marRight w:val="0"/>
      <w:marTop w:val="0"/>
      <w:marBottom w:val="0"/>
      <w:divBdr>
        <w:top w:val="none" w:sz="0" w:space="0" w:color="auto"/>
        <w:left w:val="none" w:sz="0" w:space="0" w:color="auto"/>
        <w:bottom w:val="none" w:sz="0" w:space="0" w:color="auto"/>
        <w:right w:val="none" w:sz="0" w:space="0" w:color="auto"/>
      </w:divBdr>
    </w:div>
    <w:div w:id="1404521604">
      <w:bodyDiv w:val="1"/>
      <w:marLeft w:val="0"/>
      <w:marRight w:val="0"/>
      <w:marTop w:val="0"/>
      <w:marBottom w:val="0"/>
      <w:divBdr>
        <w:top w:val="none" w:sz="0" w:space="0" w:color="auto"/>
        <w:left w:val="none" w:sz="0" w:space="0" w:color="auto"/>
        <w:bottom w:val="none" w:sz="0" w:space="0" w:color="auto"/>
        <w:right w:val="none" w:sz="0" w:space="0" w:color="auto"/>
      </w:divBdr>
    </w:div>
    <w:div w:id="1404571849">
      <w:bodyDiv w:val="1"/>
      <w:marLeft w:val="0"/>
      <w:marRight w:val="0"/>
      <w:marTop w:val="0"/>
      <w:marBottom w:val="0"/>
      <w:divBdr>
        <w:top w:val="none" w:sz="0" w:space="0" w:color="auto"/>
        <w:left w:val="none" w:sz="0" w:space="0" w:color="auto"/>
        <w:bottom w:val="none" w:sz="0" w:space="0" w:color="auto"/>
        <w:right w:val="none" w:sz="0" w:space="0" w:color="auto"/>
      </w:divBdr>
    </w:div>
    <w:div w:id="1404644707">
      <w:bodyDiv w:val="1"/>
      <w:marLeft w:val="0"/>
      <w:marRight w:val="0"/>
      <w:marTop w:val="0"/>
      <w:marBottom w:val="0"/>
      <w:divBdr>
        <w:top w:val="none" w:sz="0" w:space="0" w:color="auto"/>
        <w:left w:val="none" w:sz="0" w:space="0" w:color="auto"/>
        <w:bottom w:val="none" w:sz="0" w:space="0" w:color="auto"/>
        <w:right w:val="none" w:sz="0" w:space="0" w:color="auto"/>
      </w:divBdr>
    </w:div>
    <w:div w:id="1404721020">
      <w:bodyDiv w:val="1"/>
      <w:marLeft w:val="0"/>
      <w:marRight w:val="0"/>
      <w:marTop w:val="0"/>
      <w:marBottom w:val="0"/>
      <w:divBdr>
        <w:top w:val="none" w:sz="0" w:space="0" w:color="auto"/>
        <w:left w:val="none" w:sz="0" w:space="0" w:color="auto"/>
        <w:bottom w:val="none" w:sz="0" w:space="0" w:color="auto"/>
        <w:right w:val="none" w:sz="0" w:space="0" w:color="auto"/>
      </w:divBdr>
    </w:div>
    <w:div w:id="1404791905">
      <w:bodyDiv w:val="1"/>
      <w:marLeft w:val="0"/>
      <w:marRight w:val="0"/>
      <w:marTop w:val="0"/>
      <w:marBottom w:val="0"/>
      <w:divBdr>
        <w:top w:val="none" w:sz="0" w:space="0" w:color="auto"/>
        <w:left w:val="none" w:sz="0" w:space="0" w:color="auto"/>
        <w:bottom w:val="none" w:sz="0" w:space="0" w:color="auto"/>
        <w:right w:val="none" w:sz="0" w:space="0" w:color="auto"/>
      </w:divBdr>
    </w:div>
    <w:div w:id="1404793618">
      <w:bodyDiv w:val="1"/>
      <w:marLeft w:val="0"/>
      <w:marRight w:val="0"/>
      <w:marTop w:val="0"/>
      <w:marBottom w:val="0"/>
      <w:divBdr>
        <w:top w:val="none" w:sz="0" w:space="0" w:color="auto"/>
        <w:left w:val="none" w:sz="0" w:space="0" w:color="auto"/>
        <w:bottom w:val="none" w:sz="0" w:space="0" w:color="auto"/>
        <w:right w:val="none" w:sz="0" w:space="0" w:color="auto"/>
      </w:divBdr>
    </w:div>
    <w:div w:id="1404833151">
      <w:bodyDiv w:val="1"/>
      <w:marLeft w:val="0"/>
      <w:marRight w:val="0"/>
      <w:marTop w:val="0"/>
      <w:marBottom w:val="0"/>
      <w:divBdr>
        <w:top w:val="none" w:sz="0" w:space="0" w:color="auto"/>
        <w:left w:val="none" w:sz="0" w:space="0" w:color="auto"/>
        <w:bottom w:val="none" w:sz="0" w:space="0" w:color="auto"/>
        <w:right w:val="none" w:sz="0" w:space="0" w:color="auto"/>
      </w:divBdr>
    </w:div>
    <w:div w:id="1404913078">
      <w:bodyDiv w:val="1"/>
      <w:marLeft w:val="0"/>
      <w:marRight w:val="0"/>
      <w:marTop w:val="0"/>
      <w:marBottom w:val="0"/>
      <w:divBdr>
        <w:top w:val="none" w:sz="0" w:space="0" w:color="auto"/>
        <w:left w:val="none" w:sz="0" w:space="0" w:color="auto"/>
        <w:bottom w:val="none" w:sz="0" w:space="0" w:color="auto"/>
        <w:right w:val="none" w:sz="0" w:space="0" w:color="auto"/>
      </w:divBdr>
    </w:div>
    <w:div w:id="1404985414">
      <w:bodyDiv w:val="1"/>
      <w:marLeft w:val="0"/>
      <w:marRight w:val="0"/>
      <w:marTop w:val="0"/>
      <w:marBottom w:val="0"/>
      <w:divBdr>
        <w:top w:val="none" w:sz="0" w:space="0" w:color="auto"/>
        <w:left w:val="none" w:sz="0" w:space="0" w:color="auto"/>
        <w:bottom w:val="none" w:sz="0" w:space="0" w:color="auto"/>
        <w:right w:val="none" w:sz="0" w:space="0" w:color="auto"/>
      </w:divBdr>
    </w:div>
    <w:div w:id="1405184705">
      <w:bodyDiv w:val="1"/>
      <w:marLeft w:val="0"/>
      <w:marRight w:val="0"/>
      <w:marTop w:val="0"/>
      <w:marBottom w:val="0"/>
      <w:divBdr>
        <w:top w:val="none" w:sz="0" w:space="0" w:color="auto"/>
        <w:left w:val="none" w:sz="0" w:space="0" w:color="auto"/>
        <w:bottom w:val="none" w:sz="0" w:space="0" w:color="auto"/>
        <w:right w:val="none" w:sz="0" w:space="0" w:color="auto"/>
      </w:divBdr>
    </w:div>
    <w:div w:id="1405184892">
      <w:bodyDiv w:val="1"/>
      <w:marLeft w:val="0"/>
      <w:marRight w:val="0"/>
      <w:marTop w:val="0"/>
      <w:marBottom w:val="0"/>
      <w:divBdr>
        <w:top w:val="none" w:sz="0" w:space="0" w:color="auto"/>
        <w:left w:val="none" w:sz="0" w:space="0" w:color="auto"/>
        <w:bottom w:val="none" w:sz="0" w:space="0" w:color="auto"/>
        <w:right w:val="none" w:sz="0" w:space="0" w:color="auto"/>
      </w:divBdr>
    </w:div>
    <w:div w:id="1405253813">
      <w:bodyDiv w:val="1"/>
      <w:marLeft w:val="0"/>
      <w:marRight w:val="0"/>
      <w:marTop w:val="0"/>
      <w:marBottom w:val="0"/>
      <w:divBdr>
        <w:top w:val="none" w:sz="0" w:space="0" w:color="auto"/>
        <w:left w:val="none" w:sz="0" w:space="0" w:color="auto"/>
        <w:bottom w:val="none" w:sz="0" w:space="0" w:color="auto"/>
        <w:right w:val="none" w:sz="0" w:space="0" w:color="auto"/>
      </w:divBdr>
    </w:div>
    <w:div w:id="1405448805">
      <w:bodyDiv w:val="1"/>
      <w:marLeft w:val="0"/>
      <w:marRight w:val="0"/>
      <w:marTop w:val="0"/>
      <w:marBottom w:val="0"/>
      <w:divBdr>
        <w:top w:val="none" w:sz="0" w:space="0" w:color="auto"/>
        <w:left w:val="none" w:sz="0" w:space="0" w:color="auto"/>
        <w:bottom w:val="none" w:sz="0" w:space="0" w:color="auto"/>
        <w:right w:val="none" w:sz="0" w:space="0" w:color="auto"/>
      </w:divBdr>
    </w:div>
    <w:div w:id="1405565051">
      <w:bodyDiv w:val="1"/>
      <w:marLeft w:val="0"/>
      <w:marRight w:val="0"/>
      <w:marTop w:val="0"/>
      <w:marBottom w:val="0"/>
      <w:divBdr>
        <w:top w:val="none" w:sz="0" w:space="0" w:color="auto"/>
        <w:left w:val="none" w:sz="0" w:space="0" w:color="auto"/>
        <w:bottom w:val="none" w:sz="0" w:space="0" w:color="auto"/>
        <w:right w:val="none" w:sz="0" w:space="0" w:color="auto"/>
      </w:divBdr>
    </w:div>
    <w:div w:id="1405647276">
      <w:bodyDiv w:val="1"/>
      <w:marLeft w:val="0"/>
      <w:marRight w:val="0"/>
      <w:marTop w:val="0"/>
      <w:marBottom w:val="0"/>
      <w:divBdr>
        <w:top w:val="none" w:sz="0" w:space="0" w:color="auto"/>
        <w:left w:val="none" w:sz="0" w:space="0" w:color="auto"/>
        <w:bottom w:val="none" w:sz="0" w:space="0" w:color="auto"/>
        <w:right w:val="none" w:sz="0" w:space="0" w:color="auto"/>
      </w:divBdr>
    </w:div>
    <w:div w:id="1405837222">
      <w:bodyDiv w:val="1"/>
      <w:marLeft w:val="0"/>
      <w:marRight w:val="0"/>
      <w:marTop w:val="0"/>
      <w:marBottom w:val="0"/>
      <w:divBdr>
        <w:top w:val="none" w:sz="0" w:space="0" w:color="auto"/>
        <w:left w:val="none" w:sz="0" w:space="0" w:color="auto"/>
        <w:bottom w:val="none" w:sz="0" w:space="0" w:color="auto"/>
        <w:right w:val="none" w:sz="0" w:space="0" w:color="auto"/>
      </w:divBdr>
    </w:div>
    <w:div w:id="1405837969">
      <w:bodyDiv w:val="1"/>
      <w:marLeft w:val="0"/>
      <w:marRight w:val="0"/>
      <w:marTop w:val="0"/>
      <w:marBottom w:val="0"/>
      <w:divBdr>
        <w:top w:val="none" w:sz="0" w:space="0" w:color="auto"/>
        <w:left w:val="none" w:sz="0" w:space="0" w:color="auto"/>
        <w:bottom w:val="none" w:sz="0" w:space="0" w:color="auto"/>
        <w:right w:val="none" w:sz="0" w:space="0" w:color="auto"/>
      </w:divBdr>
    </w:div>
    <w:div w:id="1405879274">
      <w:bodyDiv w:val="1"/>
      <w:marLeft w:val="0"/>
      <w:marRight w:val="0"/>
      <w:marTop w:val="0"/>
      <w:marBottom w:val="0"/>
      <w:divBdr>
        <w:top w:val="none" w:sz="0" w:space="0" w:color="auto"/>
        <w:left w:val="none" w:sz="0" w:space="0" w:color="auto"/>
        <w:bottom w:val="none" w:sz="0" w:space="0" w:color="auto"/>
        <w:right w:val="none" w:sz="0" w:space="0" w:color="auto"/>
      </w:divBdr>
    </w:div>
    <w:div w:id="1405906536">
      <w:bodyDiv w:val="1"/>
      <w:marLeft w:val="0"/>
      <w:marRight w:val="0"/>
      <w:marTop w:val="0"/>
      <w:marBottom w:val="0"/>
      <w:divBdr>
        <w:top w:val="none" w:sz="0" w:space="0" w:color="auto"/>
        <w:left w:val="none" w:sz="0" w:space="0" w:color="auto"/>
        <w:bottom w:val="none" w:sz="0" w:space="0" w:color="auto"/>
        <w:right w:val="none" w:sz="0" w:space="0" w:color="auto"/>
      </w:divBdr>
    </w:div>
    <w:div w:id="1405907026">
      <w:bodyDiv w:val="1"/>
      <w:marLeft w:val="0"/>
      <w:marRight w:val="0"/>
      <w:marTop w:val="0"/>
      <w:marBottom w:val="0"/>
      <w:divBdr>
        <w:top w:val="none" w:sz="0" w:space="0" w:color="auto"/>
        <w:left w:val="none" w:sz="0" w:space="0" w:color="auto"/>
        <w:bottom w:val="none" w:sz="0" w:space="0" w:color="auto"/>
        <w:right w:val="none" w:sz="0" w:space="0" w:color="auto"/>
      </w:divBdr>
    </w:div>
    <w:div w:id="1406106322">
      <w:bodyDiv w:val="1"/>
      <w:marLeft w:val="0"/>
      <w:marRight w:val="0"/>
      <w:marTop w:val="0"/>
      <w:marBottom w:val="0"/>
      <w:divBdr>
        <w:top w:val="none" w:sz="0" w:space="0" w:color="auto"/>
        <w:left w:val="none" w:sz="0" w:space="0" w:color="auto"/>
        <w:bottom w:val="none" w:sz="0" w:space="0" w:color="auto"/>
        <w:right w:val="none" w:sz="0" w:space="0" w:color="auto"/>
      </w:divBdr>
    </w:div>
    <w:div w:id="1406296234">
      <w:bodyDiv w:val="1"/>
      <w:marLeft w:val="0"/>
      <w:marRight w:val="0"/>
      <w:marTop w:val="0"/>
      <w:marBottom w:val="0"/>
      <w:divBdr>
        <w:top w:val="none" w:sz="0" w:space="0" w:color="auto"/>
        <w:left w:val="none" w:sz="0" w:space="0" w:color="auto"/>
        <w:bottom w:val="none" w:sz="0" w:space="0" w:color="auto"/>
        <w:right w:val="none" w:sz="0" w:space="0" w:color="auto"/>
      </w:divBdr>
    </w:div>
    <w:div w:id="1406337713">
      <w:bodyDiv w:val="1"/>
      <w:marLeft w:val="0"/>
      <w:marRight w:val="0"/>
      <w:marTop w:val="0"/>
      <w:marBottom w:val="0"/>
      <w:divBdr>
        <w:top w:val="none" w:sz="0" w:space="0" w:color="auto"/>
        <w:left w:val="none" w:sz="0" w:space="0" w:color="auto"/>
        <w:bottom w:val="none" w:sz="0" w:space="0" w:color="auto"/>
        <w:right w:val="none" w:sz="0" w:space="0" w:color="auto"/>
      </w:divBdr>
    </w:div>
    <w:div w:id="1406339040">
      <w:bodyDiv w:val="1"/>
      <w:marLeft w:val="0"/>
      <w:marRight w:val="0"/>
      <w:marTop w:val="0"/>
      <w:marBottom w:val="0"/>
      <w:divBdr>
        <w:top w:val="none" w:sz="0" w:space="0" w:color="auto"/>
        <w:left w:val="none" w:sz="0" w:space="0" w:color="auto"/>
        <w:bottom w:val="none" w:sz="0" w:space="0" w:color="auto"/>
        <w:right w:val="none" w:sz="0" w:space="0" w:color="auto"/>
      </w:divBdr>
    </w:div>
    <w:div w:id="1406413030">
      <w:bodyDiv w:val="1"/>
      <w:marLeft w:val="0"/>
      <w:marRight w:val="0"/>
      <w:marTop w:val="0"/>
      <w:marBottom w:val="0"/>
      <w:divBdr>
        <w:top w:val="none" w:sz="0" w:space="0" w:color="auto"/>
        <w:left w:val="none" w:sz="0" w:space="0" w:color="auto"/>
        <w:bottom w:val="none" w:sz="0" w:space="0" w:color="auto"/>
        <w:right w:val="none" w:sz="0" w:space="0" w:color="auto"/>
      </w:divBdr>
    </w:div>
    <w:div w:id="1406681910">
      <w:bodyDiv w:val="1"/>
      <w:marLeft w:val="0"/>
      <w:marRight w:val="0"/>
      <w:marTop w:val="0"/>
      <w:marBottom w:val="0"/>
      <w:divBdr>
        <w:top w:val="none" w:sz="0" w:space="0" w:color="auto"/>
        <w:left w:val="none" w:sz="0" w:space="0" w:color="auto"/>
        <w:bottom w:val="none" w:sz="0" w:space="0" w:color="auto"/>
        <w:right w:val="none" w:sz="0" w:space="0" w:color="auto"/>
      </w:divBdr>
    </w:div>
    <w:div w:id="1406757180">
      <w:bodyDiv w:val="1"/>
      <w:marLeft w:val="0"/>
      <w:marRight w:val="0"/>
      <w:marTop w:val="0"/>
      <w:marBottom w:val="0"/>
      <w:divBdr>
        <w:top w:val="none" w:sz="0" w:space="0" w:color="auto"/>
        <w:left w:val="none" w:sz="0" w:space="0" w:color="auto"/>
        <w:bottom w:val="none" w:sz="0" w:space="0" w:color="auto"/>
        <w:right w:val="none" w:sz="0" w:space="0" w:color="auto"/>
      </w:divBdr>
    </w:div>
    <w:div w:id="1406799665">
      <w:bodyDiv w:val="1"/>
      <w:marLeft w:val="0"/>
      <w:marRight w:val="0"/>
      <w:marTop w:val="0"/>
      <w:marBottom w:val="0"/>
      <w:divBdr>
        <w:top w:val="none" w:sz="0" w:space="0" w:color="auto"/>
        <w:left w:val="none" w:sz="0" w:space="0" w:color="auto"/>
        <w:bottom w:val="none" w:sz="0" w:space="0" w:color="auto"/>
        <w:right w:val="none" w:sz="0" w:space="0" w:color="auto"/>
      </w:divBdr>
    </w:div>
    <w:div w:id="1406956021">
      <w:bodyDiv w:val="1"/>
      <w:marLeft w:val="0"/>
      <w:marRight w:val="0"/>
      <w:marTop w:val="0"/>
      <w:marBottom w:val="0"/>
      <w:divBdr>
        <w:top w:val="none" w:sz="0" w:space="0" w:color="auto"/>
        <w:left w:val="none" w:sz="0" w:space="0" w:color="auto"/>
        <w:bottom w:val="none" w:sz="0" w:space="0" w:color="auto"/>
        <w:right w:val="none" w:sz="0" w:space="0" w:color="auto"/>
      </w:divBdr>
    </w:div>
    <w:div w:id="1406997511">
      <w:bodyDiv w:val="1"/>
      <w:marLeft w:val="0"/>
      <w:marRight w:val="0"/>
      <w:marTop w:val="0"/>
      <w:marBottom w:val="0"/>
      <w:divBdr>
        <w:top w:val="none" w:sz="0" w:space="0" w:color="auto"/>
        <w:left w:val="none" w:sz="0" w:space="0" w:color="auto"/>
        <w:bottom w:val="none" w:sz="0" w:space="0" w:color="auto"/>
        <w:right w:val="none" w:sz="0" w:space="0" w:color="auto"/>
      </w:divBdr>
    </w:div>
    <w:div w:id="1407069571">
      <w:bodyDiv w:val="1"/>
      <w:marLeft w:val="0"/>
      <w:marRight w:val="0"/>
      <w:marTop w:val="0"/>
      <w:marBottom w:val="0"/>
      <w:divBdr>
        <w:top w:val="none" w:sz="0" w:space="0" w:color="auto"/>
        <w:left w:val="none" w:sz="0" w:space="0" w:color="auto"/>
        <w:bottom w:val="none" w:sz="0" w:space="0" w:color="auto"/>
        <w:right w:val="none" w:sz="0" w:space="0" w:color="auto"/>
      </w:divBdr>
    </w:div>
    <w:div w:id="1407193429">
      <w:bodyDiv w:val="1"/>
      <w:marLeft w:val="0"/>
      <w:marRight w:val="0"/>
      <w:marTop w:val="0"/>
      <w:marBottom w:val="0"/>
      <w:divBdr>
        <w:top w:val="none" w:sz="0" w:space="0" w:color="auto"/>
        <w:left w:val="none" w:sz="0" w:space="0" w:color="auto"/>
        <w:bottom w:val="none" w:sz="0" w:space="0" w:color="auto"/>
        <w:right w:val="none" w:sz="0" w:space="0" w:color="auto"/>
      </w:divBdr>
    </w:div>
    <w:div w:id="1407220460">
      <w:bodyDiv w:val="1"/>
      <w:marLeft w:val="0"/>
      <w:marRight w:val="0"/>
      <w:marTop w:val="0"/>
      <w:marBottom w:val="0"/>
      <w:divBdr>
        <w:top w:val="none" w:sz="0" w:space="0" w:color="auto"/>
        <w:left w:val="none" w:sz="0" w:space="0" w:color="auto"/>
        <w:bottom w:val="none" w:sz="0" w:space="0" w:color="auto"/>
        <w:right w:val="none" w:sz="0" w:space="0" w:color="auto"/>
      </w:divBdr>
    </w:div>
    <w:div w:id="1407261887">
      <w:bodyDiv w:val="1"/>
      <w:marLeft w:val="0"/>
      <w:marRight w:val="0"/>
      <w:marTop w:val="0"/>
      <w:marBottom w:val="0"/>
      <w:divBdr>
        <w:top w:val="none" w:sz="0" w:space="0" w:color="auto"/>
        <w:left w:val="none" w:sz="0" w:space="0" w:color="auto"/>
        <w:bottom w:val="none" w:sz="0" w:space="0" w:color="auto"/>
        <w:right w:val="none" w:sz="0" w:space="0" w:color="auto"/>
      </w:divBdr>
    </w:div>
    <w:div w:id="1407341133">
      <w:bodyDiv w:val="1"/>
      <w:marLeft w:val="0"/>
      <w:marRight w:val="0"/>
      <w:marTop w:val="0"/>
      <w:marBottom w:val="0"/>
      <w:divBdr>
        <w:top w:val="none" w:sz="0" w:space="0" w:color="auto"/>
        <w:left w:val="none" w:sz="0" w:space="0" w:color="auto"/>
        <w:bottom w:val="none" w:sz="0" w:space="0" w:color="auto"/>
        <w:right w:val="none" w:sz="0" w:space="0" w:color="auto"/>
      </w:divBdr>
    </w:div>
    <w:div w:id="1407418184">
      <w:bodyDiv w:val="1"/>
      <w:marLeft w:val="0"/>
      <w:marRight w:val="0"/>
      <w:marTop w:val="0"/>
      <w:marBottom w:val="0"/>
      <w:divBdr>
        <w:top w:val="none" w:sz="0" w:space="0" w:color="auto"/>
        <w:left w:val="none" w:sz="0" w:space="0" w:color="auto"/>
        <w:bottom w:val="none" w:sz="0" w:space="0" w:color="auto"/>
        <w:right w:val="none" w:sz="0" w:space="0" w:color="auto"/>
      </w:divBdr>
    </w:div>
    <w:div w:id="1407529721">
      <w:bodyDiv w:val="1"/>
      <w:marLeft w:val="0"/>
      <w:marRight w:val="0"/>
      <w:marTop w:val="0"/>
      <w:marBottom w:val="0"/>
      <w:divBdr>
        <w:top w:val="none" w:sz="0" w:space="0" w:color="auto"/>
        <w:left w:val="none" w:sz="0" w:space="0" w:color="auto"/>
        <w:bottom w:val="none" w:sz="0" w:space="0" w:color="auto"/>
        <w:right w:val="none" w:sz="0" w:space="0" w:color="auto"/>
      </w:divBdr>
    </w:div>
    <w:div w:id="1407530348">
      <w:bodyDiv w:val="1"/>
      <w:marLeft w:val="0"/>
      <w:marRight w:val="0"/>
      <w:marTop w:val="0"/>
      <w:marBottom w:val="0"/>
      <w:divBdr>
        <w:top w:val="none" w:sz="0" w:space="0" w:color="auto"/>
        <w:left w:val="none" w:sz="0" w:space="0" w:color="auto"/>
        <w:bottom w:val="none" w:sz="0" w:space="0" w:color="auto"/>
        <w:right w:val="none" w:sz="0" w:space="0" w:color="auto"/>
      </w:divBdr>
    </w:div>
    <w:div w:id="1407533631">
      <w:bodyDiv w:val="1"/>
      <w:marLeft w:val="0"/>
      <w:marRight w:val="0"/>
      <w:marTop w:val="0"/>
      <w:marBottom w:val="0"/>
      <w:divBdr>
        <w:top w:val="none" w:sz="0" w:space="0" w:color="auto"/>
        <w:left w:val="none" w:sz="0" w:space="0" w:color="auto"/>
        <w:bottom w:val="none" w:sz="0" w:space="0" w:color="auto"/>
        <w:right w:val="none" w:sz="0" w:space="0" w:color="auto"/>
      </w:divBdr>
    </w:div>
    <w:div w:id="1407607772">
      <w:bodyDiv w:val="1"/>
      <w:marLeft w:val="0"/>
      <w:marRight w:val="0"/>
      <w:marTop w:val="0"/>
      <w:marBottom w:val="0"/>
      <w:divBdr>
        <w:top w:val="none" w:sz="0" w:space="0" w:color="auto"/>
        <w:left w:val="none" w:sz="0" w:space="0" w:color="auto"/>
        <w:bottom w:val="none" w:sz="0" w:space="0" w:color="auto"/>
        <w:right w:val="none" w:sz="0" w:space="0" w:color="auto"/>
      </w:divBdr>
    </w:div>
    <w:div w:id="1407610210">
      <w:bodyDiv w:val="1"/>
      <w:marLeft w:val="0"/>
      <w:marRight w:val="0"/>
      <w:marTop w:val="0"/>
      <w:marBottom w:val="0"/>
      <w:divBdr>
        <w:top w:val="none" w:sz="0" w:space="0" w:color="auto"/>
        <w:left w:val="none" w:sz="0" w:space="0" w:color="auto"/>
        <w:bottom w:val="none" w:sz="0" w:space="0" w:color="auto"/>
        <w:right w:val="none" w:sz="0" w:space="0" w:color="auto"/>
      </w:divBdr>
    </w:div>
    <w:div w:id="1407799681">
      <w:bodyDiv w:val="1"/>
      <w:marLeft w:val="0"/>
      <w:marRight w:val="0"/>
      <w:marTop w:val="0"/>
      <w:marBottom w:val="0"/>
      <w:divBdr>
        <w:top w:val="none" w:sz="0" w:space="0" w:color="auto"/>
        <w:left w:val="none" w:sz="0" w:space="0" w:color="auto"/>
        <w:bottom w:val="none" w:sz="0" w:space="0" w:color="auto"/>
        <w:right w:val="none" w:sz="0" w:space="0" w:color="auto"/>
      </w:divBdr>
    </w:div>
    <w:div w:id="1407803037">
      <w:bodyDiv w:val="1"/>
      <w:marLeft w:val="0"/>
      <w:marRight w:val="0"/>
      <w:marTop w:val="0"/>
      <w:marBottom w:val="0"/>
      <w:divBdr>
        <w:top w:val="none" w:sz="0" w:space="0" w:color="auto"/>
        <w:left w:val="none" w:sz="0" w:space="0" w:color="auto"/>
        <w:bottom w:val="none" w:sz="0" w:space="0" w:color="auto"/>
        <w:right w:val="none" w:sz="0" w:space="0" w:color="auto"/>
      </w:divBdr>
    </w:div>
    <w:div w:id="1407803667">
      <w:bodyDiv w:val="1"/>
      <w:marLeft w:val="0"/>
      <w:marRight w:val="0"/>
      <w:marTop w:val="0"/>
      <w:marBottom w:val="0"/>
      <w:divBdr>
        <w:top w:val="none" w:sz="0" w:space="0" w:color="auto"/>
        <w:left w:val="none" w:sz="0" w:space="0" w:color="auto"/>
        <w:bottom w:val="none" w:sz="0" w:space="0" w:color="auto"/>
        <w:right w:val="none" w:sz="0" w:space="0" w:color="auto"/>
      </w:divBdr>
    </w:div>
    <w:div w:id="1407848684">
      <w:bodyDiv w:val="1"/>
      <w:marLeft w:val="0"/>
      <w:marRight w:val="0"/>
      <w:marTop w:val="0"/>
      <w:marBottom w:val="0"/>
      <w:divBdr>
        <w:top w:val="none" w:sz="0" w:space="0" w:color="auto"/>
        <w:left w:val="none" w:sz="0" w:space="0" w:color="auto"/>
        <w:bottom w:val="none" w:sz="0" w:space="0" w:color="auto"/>
        <w:right w:val="none" w:sz="0" w:space="0" w:color="auto"/>
      </w:divBdr>
    </w:div>
    <w:div w:id="1407876810">
      <w:bodyDiv w:val="1"/>
      <w:marLeft w:val="0"/>
      <w:marRight w:val="0"/>
      <w:marTop w:val="0"/>
      <w:marBottom w:val="0"/>
      <w:divBdr>
        <w:top w:val="none" w:sz="0" w:space="0" w:color="auto"/>
        <w:left w:val="none" w:sz="0" w:space="0" w:color="auto"/>
        <w:bottom w:val="none" w:sz="0" w:space="0" w:color="auto"/>
        <w:right w:val="none" w:sz="0" w:space="0" w:color="auto"/>
      </w:divBdr>
    </w:div>
    <w:div w:id="1407991241">
      <w:bodyDiv w:val="1"/>
      <w:marLeft w:val="0"/>
      <w:marRight w:val="0"/>
      <w:marTop w:val="0"/>
      <w:marBottom w:val="0"/>
      <w:divBdr>
        <w:top w:val="none" w:sz="0" w:space="0" w:color="auto"/>
        <w:left w:val="none" w:sz="0" w:space="0" w:color="auto"/>
        <w:bottom w:val="none" w:sz="0" w:space="0" w:color="auto"/>
        <w:right w:val="none" w:sz="0" w:space="0" w:color="auto"/>
      </w:divBdr>
    </w:div>
    <w:div w:id="1408114773">
      <w:bodyDiv w:val="1"/>
      <w:marLeft w:val="0"/>
      <w:marRight w:val="0"/>
      <w:marTop w:val="0"/>
      <w:marBottom w:val="0"/>
      <w:divBdr>
        <w:top w:val="none" w:sz="0" w:space="0" w:color="auto"/>
        <w:left w:val="none" w:sz="0" w:space="0" w:color="auto"/>
        <w:bottom w:val="none" w:sz="0" w:space="0" w:color="auto"/>
        <w:right w:val="none" w:sz="0" w:space="0" w:color="auto"/>
      </w:divBdr>
    </w:div>
    <w:div w:id="1408117087">
      <w:bodyDiv w:val="1"/>
      <w:marLeft w:val="0"/>
      <w:marRight w:val="0"/>
      <w:marTop w:val="0"/>
      <w:marBottom w:val="0"/>
      <w:divBdr>
        <w:top w:val="none" w:sz="0" w:space="0" w:color="auto"/>
        <w:left w:val="none" w:sz="0" w:space="0" w:color="auto"/>
        <w:bottom w:val="none" w:sz="0" w:space="0" w:color="auto"/>
        <w:right w:val="none" w:sz="0" w:space="0" w:color="auto"/>
      </w:divBdr>
    </w:div>
    <w:div w:id="1408265960">
      <w:bodyDiv w:val="1"/>
      <w:marLeft w:val="0"/>
      <w:marRight w:val="0"/>
      <w:marTop w:val="0"/>
      <w:marBottom w:val="0"/>
      <w:divBdr>
        <w:top w:val="none" w:sz="0" w:space="0" w:color="auto"/>
        <w:left w:val="none" w:sz="0" w:space="0" w:color="auto"/>
        <w:bottom w:val="none" w:sz="0" w:space="0" w:color="auto"/>
        <w:right w:val="none" w:sz="0" w:space="0" w:color="auto"/>
      </w:divBdr>
    </w:div>
    <w:div w:id="1408304075">
      <w:bodyDiv w:val="1"/>
      <w:marLeft w:val="0"/>
      <w:marRight w:val="0"/>
      <w:marTop w:val="0"/>
      <w:marBottom w:val="0"/>
      <w:divBdr>
        <w:top w:val="none" w:sz="0" w:space="0" w:color="auto"/>
        <w:left w:val="none" w:sz="0" w:space="0" w:color="auto"/>
        <w:bottom w:val="none" w:sz="0" w:space="0" w:color="auto"/>
        <w:right w:val="none" w:sz="0" w:space="0" w:color="auto"/>
      </w:divBdr>
    </w:div>
    <w:div w:id="1408460356">
      <w:bodyDiv w:val="1"/>
      <w:marLeft w:val="0"/>
      <w:marRight w:val="0"/>
      <w:marTop w:val="0"/>
      <w:marBottom w:val="0"/>
      <w:divBdr>
        <w:top w:val="none" w:sz="0" w:space="0" w:color="auto"/>
        <w:left w:val="none" w:sz="0" w:space="0" w:color="auto"/>
        <w:bottom w:val="none" w:sz="0" w:space="0" w:color="auto"/>
        <w:right w:val="none" w:sz="0" w:space="0" w:color="auto"/>
      </w:divBdr>
    </w:div>
    <w:div w:id="1408500994">
      <w:bodyDiv w:val="1"/>
      <w:marLeft w:val="0"/>
      <w:marRight w:val="0"/>
      <w:marTop w:val="0"/>
      <w:marBottom w:val="0"/>
      <w:divBdr>
        <w:top w:val="none" w:sz="0" w:space="0" w:color="auto"/>
        <w:left w:val="none" w:sz="0" w:space="0" w:color="auto"/>
        <w:bottom w:val="none" w:sz="0" w:space="0" w:color="auto"/>
        <w:right w:val="none" w:sz="0" w:space="0" w:color="auto"/>
      </w:divBdr>
    </w:div>
    <w:div w:id="1408527963">
      <w:bodyDiv w:val="1"/>
      <w:marLeft w:val="0"/>
      <w:marRight w:val="0"/>
      <w:marTop w:val="0"/>
      <w:marBottom w:val="0"/>
      <w:divBdr>
        <w:top w:val="none" w:sz="0" w:space="0" w:color="auto"/>
        <w:left w:val="none" w:sz="0" w:space="0" w:color="auto"/>
        <w:bottom w:val="none" w:sz="0" w:space="0" w:color="auto"/>
        <w:right w:val="none" w:sz="0" w:space="0" w:color="auto"/>
      </w:divBdr>
    </w:div>
    <w:div w:id="1408570080">
      <w:bodyDiv w:val="1"/>
      <w:marLeft w:val="0"/>
      <w:marRight w:val="0"/>
      <w:marTop w:val="0"/>
      <w:marBottom w:val="0"/>
      <w:divBdr>
        <w:top w:val="none" w:sz="0" w:space="0" w:color="auto"/>
        <w:left w:val="none" w:sz="0" w:space="0" w:color="auto"/>
        <w:bottom w:val="none" w:sz="0" w:space="0" w:color="auto"/>
        <w:right w:val="none" w:sz="0" w:space="0" w:color="auto"/>
      </w:divBdr>
    </w:div>
    <w:div w:id="1408579475">
      <w:bodyDiv w:val="1"/>
      <w:marLeft w:val="0"/>
      <w:marRight w:val="0"/>
      <w:marTop w:val="0"/>
      <w:marBottom w:val="0"/>
      <w:divBdr>
        <w:top w:val="none" w:sz="0" w:space="0" w:color="auto"/>
        <w:left w:val="none" w:sz="0" w:space="0" w:color="auto"/>
        <w:bottom w:val="none" w:sz="0" w:space="0" w:color="auto"/>
        <w:right w:val="none" w:sz="0" w:space="0" w:color="auto"/>
      </w:divBdr>
    </w:div>
    <w:div w:id="1408728357">
      <w:bodyDiv w:val="1"/>
      <w:marLeft w:val="0"/>
      <w:marRight w:val="0"/>
      <w:marTop w:val="0"/>
      <w:marBottom w:val="0"/>
      <w:divBdr>
        <w:top w:val="none" w:sz="0" w:space="0" w:color="auto"/>
        <w:left w:val="none" w:sz="0" w:space="0" w:color="auto"/>
        <w:bottom w:val="none" w:sz="0" w:space="0" w:color="auto"/>
        <w:right w:val="none" w:sz="0" w:space="0" w:color="auto"/>
      </w:divBdr>
    </w:div>
    <w:div w:id="1408768981">
      <w:bodyDiv w:val="1"/>
      <w:marLeft w:val="0"/>
      <w:marRight w:val="0"/>
      <w:marTop w:val="0"/>
      <w:marBottom w:val="0"/>
      <w:divBdr>
        <w:top w:val="none" w:sz="0" w:space="0" w:color="auto"/>
        <w:left w:val="none" w:sz="0" w:space="0" w:color="auto"/>
        <w:bottom w:val="none" w:sz="0" w:space="0" w:color="auto"/>
        <w:right w:val="none" w:sz="0" w:space="0" w:color="auto"/>
      </w:divBdr>
    </w:div>
    <w:div w:id="1409032195">
      <w:bodyDiv w:val="1"/>
      <w:marLeft w:val="0"/>
      <w:marRight w:val="0"/>
      <w:marTop w:val="0"/>
      <w:marBottom w:val="0"/>
      <w:divBdr>
        <w:top w:val="none" w:sz="0" w:space="0" w:color="auto"/>
        <w:left w:val="none" w:sz="0" w:space="0" w:color="auto"/>
        <w:bottom w:val="none" w:sz="0" w:space="0" w:color="auto"/>
        <w:right w:val="none" w:sz="0" w:space="0" w:color="auto"/>
      </w:divBdr>
    </w:div>
    <w:div w:id="1409033100">
      <w:bodyDiv w:val="1"/>
      <w:marLeft w:val="0"/>
      <w:marRight w:val="0"/>
      <w:marTop w:val="0"/>
      <w:marBottom w:val="0"/>
      <w:divBdr>
        <w:top w:val="none" w:sz="0" w:space="0" w:color="auto"/>
        <w:left w:val="none" w:sz="0" w:space="0" w:color="auto"/>
        <w:bottom w:val="none" w:sz="0" w:space="0" w:color="auto"/>
        <w:right w:val="none" w:sz="0" w:space="0" w:color="auto"/>
      </w:divBdr>
    </w:div>
    <w:div w:id="1409113166">
      <w:bodyDiv w:val="1"/>
      <w:marLeft w:val="0"/>
      <w:marRight w:val="0"/>
      <w:marTop w:val="0"/>
      <w:marBottom w:val="0"/>
      <w:divBdr>
        <w:top w:val="none" w:sz="0" w:space="0" w:color="auto"/>
        <w:left w:val="none" w:sz="0" w:space="0" w:color="auto"/>
        <w:bottom w:val="none" w:sz="0" w:space="0" w:color="auto"/>
        <w:right w:val="none" w:sz="0" w:space="0" w:color="auto"/>
      </w:divBdr>
    </w:div>
    <w:div w:id="1409185860">
      <w:bodyDiv w:val="1"/>
      <w:marLeft w:val="0"/>
      <w:marRight w:val="0"/>
      <w:marTop w:val="0"/>
      <w:marBottom w:val="0"/>
      <w:divBdr>
        <w:top w:val="none" w:sz="0" w:space="0" w:color="auto"/>
        <w:left w:val="none" w:sz="0" w:space="0" w:color="auto"/>
        <w:bottom w:val="none" w:sz="0" w:space="0" w:color="auto"/>
        <w:right w:val="none" w:sz="0" w:space="0" w:color="auto"/>
      </w:divBdr>
    </w:div>
    <w:div w:id="1409306552">
      <w:bodyDiv w:val="1"/>
      <w:marLeft w:val="0"/>
      <w:marRight w:val="0"/>
      <w:marTop w:val="0"/>
      <w:marBottom w:val="0"/>
      <w:divBdr>
        <w:top w:val="none" w:sz="0" w:space="0" w:color="auto"/>
        <w:left w:val="none" w:sz="0" w:space="0" w:color="auto"/>
        <w:bottom w:val="none" w:sz="0" w:space="0" w:color="auto"/>
        <w:right w:val="none" w:sz="0" w:space="0" w:color="auto"/>
      </w:divBdr>
    </w:div>
    <w:div w:id="1409307716">
      <w:bodyDiv w:val="1"/>
      <w:marLeft w:val="0"/>
      <w:marRight w:val="0"/>
      <w:marTop w:val="0"/>
      <w:marBottom w:val="0"/>
      <w:divBdr>
        <w:top w:val="none" w:sz="0" w:space="0" w:color="auto"/>
        <w:left w:val="none" w:sz="0" w:space="0" w:color="auto"/>
        <w:bottom w:val="none" w:sz="0" w:space="0" w:color="auto"/>
        <w:right w:val="none" w:sz="0" w:space="0" w:color="auto"/>
      </w:divBdr>
    </w:div>
    <w:div w:id="1409377267">
      <w:bodyDiv w:val="1"/>
      <w:marLeft w:val="0"/>
      <w:marRight w:val="0"/>
      <w:marTop w:val="0"/>
      <w:marBottom w:val="0"/>
      <w:divBdr>
        <w:top w:val="none" w:sz="0" w:space="0" w:color="auto"/>
        <w:left w:val="none" w:sz="0" w:space="0" w:color="auto"/>
        <w:bottom w:val="none" w:sz="0" w:space="0" w:color="auto"/>
        <w:right w:val="none" w:sz="0" w:space="0" w:color="auto"/>
      </w:divBdr>
    </w:div>
    <w:div w:id="1409379771">
      <w:bodyDiv w:val="1"/>
      <w:marLeft w:val="0"/>
      <w:marRight w:val="0"/>
      <w:marTop w:val="0"/>
      <w:marBottom w:val="0"/>
      <w:divBdr>
        <w:top w:val="none" w:sz="0" w:space="0" w:color="auto"/>
        <w:left w:val="none" w:sz="0" w:space="0" w:color="auto"/>
        <w:bottom w:val="none" w:sz="0" w:space="0" w:color="auto"/>
        <w:right w:val="none" w:sz="0" w:space="0" w:color="auto"/>
      </w:divBdr>
    </w:div>
    <w:div w:id="1409384121">
      <w:bodyDiv w:val="1"/>
      <w:marLeft w:val="0"/>
      <w:marRight w:val="0"/>
      <w:marTop w:val="0"/>
      <w:marBottom w:val="0"/>
      <w:divBdr>
        <w:top w:val="none" w:sz="0" w:space="0" w:color="auto"/>
        <w:left w:val="none" w:sz="0" w:space="0" w:color="auto"/>
        <w:bottom w:val="none" w:sz="0" w:space="0" w:color="auto"/>
        <w:right w:val="none" w:sz="0" w:space="0" w:color="auto"/>
      </w:divBdr>
    </w:div>
    <w:div w:id="1409496654">
      <w:bodyDiv w:val="1"/>
      <w:marLeft w:val="0"/>
      <w:marRight w:val="0"/>
      <w:marTop w:val="0"/>
      <w:marBottom w:val="0"/>
      <w:divBdr>
        <w:top w:val="none" w:sz="0" w:space="0" w:color="auto"/>
        <w:left w:val="none" w:sz="0" w:space="0" w:color="auto"/>
        <w:bottom w:val="none" w:sz="0" w:space="0" w:color="auto"/>
        <w:right w:val="none" w:sz="0" w:space="0" w:color="auto"/>
      </w:divBdr>
    </w:div>
    <w:div w:id="1409569297">
      <w:bodyDiv w:val="1"/>
      <w:marLeft w:val="0"/>
      <w:marRight w:val="0"/>
      <w:marTop w:val="0"/>
      <w:marBottom w:val="0"/>
      <w:divBdr>
        <w:top w:val="none" w:sz="0" w:space="0" w:color="auto"/>
        <w:left w:val="none" w:sz="0" w:space="0" w:color="auto"/>
        <w:bottom w:val="none" w:sz="0" w:space="0" w:color="auto"/>
        <w:right w:val="none" w:sz="0" w:space="0" w:color="auto"/>
      </w:divBdr>
    </w:div>
    <w:div w:id="1409693652">
      <w:bodyDiv w:val="1"/>
      <w:marLeft w:val="0"/>
      <w:marRight w:val="0"/>
      <w:marTop w:val="0"/>
      <w:marBottom w:val="0"/>
      <w:divBdr>
        <w:top w:val="none" w:sz="0" w:space="0" w:color="auto"/>
        <w:left w:val="none" w:sz="0" w:space="0" w:color="auto"/>
        <w:bottom w:val="none" w:sz="0" w:space="0" w:color="auto"/>
        <w:right w:val="none" w:sz="0" w:space="0" w:color="auto"/>
      </w:divBdr>
    </w:div>
    <w:div w:id="1409772021">
      <w:bodyDiv w:val="1"/>
      <w:marLeft w:val="0"/>
      <w:marRight w:val="0"/>
      <w:marTop w:val="0"/>
      <w:marBottom w:val="0"/>
      <w:divBdr>
        <w:top w:val="none" w:sz="0" w:space="0" w:color="auto"/>
        <w:left w:val="none" w:sz="0" w:space="0" w:color="auto"/>
        <w:bottom w:val="none" w:sz="0" w:space="0" w:color="auto"/>
        <w:right w:val="none" w:sz="0" w:space="0" w:color="auto"/>
      </w:divBdr>
    </w:div>
    <w:div w:id="1409811493">
      <w:bodyDiv w:val="1"/>
      <w:marLeft w:val="0"/>
      <w:marRight w:val="0"/>
      <w:marTop w:val="0"/>
      <w:marBottom w:val="0"/>
      <w:divBdr>
        <w:top w:val="none" w:sz="0" w:space="0" w:color="auto"/>
        <w:left w:val="none" w:sz="0" w:space="0" w:color="auto"/>
        <w:bottom w:val="none" w:sz="0" w:space="0" w:color="auto"/>
        <w:right w:val="none" w:sz="0" w:space="0" w:color="auto"/>
      </w:divBdr>
    </w:div>
    <w:div w:id="1409885081">
      <w:bodyDiv w:val="1"/>
      <w:marLeft w:val="0"/>
      <w:marRight w:val="0"/>
      <w:marTop w:val="0"/>
      <w:marBottom w:val="0"/>
      <w:divBdr>
        <w:top w:val="none" w:sz="0" w:space="0" w:color="auto"/>
        <w:left w:val="none" w:sz="0" w:space="0" w:color="auto"/>
        <w:bottom w:val="none" w:sz="0" w:space="0" w:color="auto"/>
        <w:right w:val="none" w:sz="0" w:space="0" w:color="auto"/>
      </w:divBdr>
    </w:div>
    <w:div w:id="1410033956">
      <w:bodyDiv w:val="1"/>
      <w:marLeft w:val="0"/>
      <w:marRight w:val="0"/>
      <w:marTop w:val="0"/>
      <w:marBottom w:val="0"/>
      <w:divBdr>
        <w:top w:val="none" w:sz="0" w:space="0" w:color="auto"/>
        <w:left w:val="none" w:sz="0" w:space="0" w:color="auto"/>
        <w:bottom w:val="none" w:sz="0" w:space="0" w:color="auto"/>
        <w:right w:val="none" w:sz="0" w:space="0" w:color="auto"/>
      </w:divBdr>
    </w:div>
    <w:div w:id="1410035852">
      <w:bodyDiv w:val="1"/>
      <w:marLeft w:val="0"/>
      <w:marRight w:val="0"/>
      <w:marTop w:val="0"/>
      <w:marBottom w:val="0"/>
      <w:divBdr>
        <w:top w:val="none" w:sz="0" w:space="0" w:color="auto"/>
        <w:left w:val="none" w:sz="0" w:space="0" w:color="auto"/>
        <w:bottom w:val="none" w:sz="0" w:space="0" w:color="auto"/>
        <w:right w:val="none" w:sz="0" w:space="0" w:color="auto"/>
      </w:divBdr>
    </w:div>
    <w:div w:id="1410077623">
      <w:bodyDiv w:val="1"/>
      <w:marLeft w:val="0"/>
      <w:marRight w:val="0"/>
      <w:marTop w:val="0"/>
      <w:marBottom w:val="0"/>
      <w:divBdr>
        <w:top w:val="none" w:sz="0" w:space="0" w:color="auto"/>
        <w:left w:val="none" w:sz="0" w:space="0" w:color="auto"/>
        <w:bottom w:val="none" w:sz="0" w:space="0" w:color="auto"/>
        <w:right w:val="none" w:sz="0" w:space="0" w:color="auto"/>
      </w:divBdr>
    </w:div>
    <w:div w:id="1410269339">
      <w:bodyDiv w:val="1"/>
      <w:marLeft w:val="0"/>
      <w:marRight w:val="0"/>
      <w:marTop w:val="0"/>
      <w:marBottom w:val="0"/>
      <w:divBdr>
        <w:top w:val="none" w:sz="0" w:space="0" w:color="auto"/>
        <w:left w:val="none" w:sz="0" w:space="0" w:color="auto"/>
        <w:bottom w:val="none" w:sz="0" w:space="0" w:color="auto"/>
        <w:right w:val="none" w:sz="0" w:space="0" w:color="auto"/>
      </w:divBdr>
    </w:div>
    <w:div w:id="1410348262">
      <w:bodyDiv w:val="1"/>
      <w:marLeft w:val="0"/>
      <w:marRight w:val="0"/>
      <w:marTop w:val="0"/>
      <w:marBottom w:val="0"/>
      <w:divBdr>
        <w:top w:val="none" w:sz="0" w:space="0" w:color="auto"/>
        <w:left w:val="none" w:sz="0" w:space="0" w:color="auto"/>
        <w:bottom w:val="none" w:sz="0" w:space="0" w:color="auto"/>
        <w:right w:val="none" w:sz="0" w:space="0" w:color="auto"/>
      </w:divBdr>
    </w:div>
    <w:div w:id="1410419652">
      <w:bodyDiv w:val="1"/>
      <w:marLeft w:val="0"/>
      <w:marRight w:val="0"/>
      <w:marTop w:val="0"/>
      <w:marBottom w:val="0"/>
      <w:divBdr>
        <w:top w:val="none" w:sz="0" w:space="0" w:color="auto"/>
        <w:left w:val="none" w:sz="0" w:space="0" w:color="auto"/>
        <w:bottom w:val="none" w:sz="0" w:space="0" w:color="auto"/>
        <w:right w:val="none" w:sz="0" w:space="0" w:color="auto"/>
      </w:divBdr>
    </w:div>
    <w:div w:id="1410466559">
      <w:bodyDiv w:val="1"/>
      <w:marLeft w:val="0"/>
      <w:marRight w:val="0"/>
      <w:marTop w:val="0"/>
      <w:marBottom w:val="0"/>
      <w:divBdr>
        <w:top w:val="none" w:sz="0" w:space="0" w:color="auto"/>
        <w:left w:val="none" w:sz="0" w:space="0" w:color="auto"/>
        <w:bottom w:val="none" w:sz="0" w:space="0" w:color="auto"/>
        <w:right w:val="none" w:sz="0" w:space="0" w:color="auto"/>
      </w:divBdr>
    </w:div>
    <w:div w:id="1410535902">
      <w:bodyDiv w:val="1"/>
      <w:marLeft w:val="0"/>
      <w:marRight w:val="0"/>
      <w:marTop w:val="0"/>
      <w:marBottom w:val="0"/>
      <w:divBdr>
        <w:top w:val="none" w:sz="0" w:space="0" w:color="auto"/>
        <w:left w:val="none" w:sz="0" w:space="0" w:color="auto"/>
        <w:bottom w:val="none" w:sz="0" w:space="0" w:color="auto"/>
        <w:right w:val="none" w:sz="0" w:space="0" w:color="auto"/>
      </w:divBdr>
    </w:div>
    <w:div w:id="1410689860">
      <w:bodyDiv w:val="1"/>
      <w:marLeft w:val="0"/>
      <w:marRight w:val="0"/>
      <w:marTop w:val="0"/>
      <w:marBottom w:val="0"/>
      <w:divBdr>
        <w:top w:val="none" w:sz="0" w:space="0" w:color="auto"/>
        <w:left w:val="none" w:sz="0" w:space="0" w:color="auto"/>
        <w:bottom w:val="none" w:sz="0" w:space="0" w:color="auto"/>
        <w:right w:val="none" w:sz="0" w:space="0" w:color="auto"/>
      </w:divBdr>
    </w:div>
    <w:div w:id="1410733875">
      <w:bodyDiv w:val="1"/>
      <w:marLeft w:val="0"/>
      <w:marRight w:val="0"/>
      <w:marTop w:val="0"/>
      <w:marBottom w:val="0"/>
      <w:divBdr>
        <w:top w:val="none" w:sz="0" w:space="0" w:color="auto"/>
        <w:left w:val="none" w:sz="0" w:space="0" w:color="auto"/>
        <w:bottom w:val="none" w:sz="0" w:space="0" w:color="auto"/>
        <w:right w:val="none" w:sz="0" w:space="0" w:color="auto"/>
      </w:divBdr>
    </w:div>
    <w:div w:id="1410737495">
      <w:bodyDiv w:val="1"/>
      <w:marLeft w:val="0"/>
      <w:marRight w:val="0"/>
      <w:marTop w:val="0"/>
      <w:marBottom w:val="0"/>
      <w:divBdr>
        <w:top w:val="none" w:sz="0" w:space="0" w:color="auto"/>
        <w:left w:val="none" w:sz="0" w:space="0" w:color="auto"/>
        <w:bottom w:val="none" w:sz="0" w:space="0" w:color="auto"/>
        <w:right w:val="none" w:sz="0" w:space="0" w:color="auto"/>
      </w:divBdr>
    </w:div>
    <w:div w:id="1410738061">
      <w:bodyDiv w:val="1"/>
      <w:marLeft w:val="0"/>
      <w:marRight w:val="0"/>
      <w:marTop w:val="0"/>
      <w:marBottom w:val="0"/>
      <w:divBdr>
        <w:top w:val="none" w:sz="0" w:space="0" w:color="auto"/>
        <w:left w:val="none" w:sz="0" w:space="0" w:color="auto"/>
        <w:bottom w:val="none" w:sz="0" w:space="0" w:color="auto"/>
        <w:right w:val="none" w:sz="0" w:space="0" w:color="auto"/>
      </w:divBdr>
    </w:div>
    <w:div w:id="1410806095">
      <w:bodyDiv w:val="1"/>
      <w:marLeft w:val="0"/>
      <w:marRight w:val="0"/>
      <w:marTop w:val="0"/>
      <w:marBottom w:val="0"/>
      <w:divBdr>
        <w:top w:val="none" w:sz="0" w:space="0" w:color="auto"/>
        <w:left w:val="none" w:sz="0" w:space="0" w:color="auto"/>
        <w:bottom w:val="none" w:sz="0" w:space="0" w:color="auto"/>
        <w:right w:val="none" w:sz="0" w:space="0" w:color="auto"/>
      </w:divBdr>
    </w:div>
    <w:div w:id="1410884436">
      <w:bodyDiv w:val="1"/>
      <w:marLeft w:val="0"/>
      <w:marRight w:val="0"/>
      <w:marTop w:val="0"/>
      <w:marBottom w:val="0"/>
      <w:divBdr>
        <w:top w:val="none" w:sz="0" w:space="0" w:color="auto"/>
        <w:left w:val="none" w:sz="0" w:space="0" w:color="auto"/>
        <w:bottom w:val="none" w:sz="0" w:space="0" w:color="auto"/>
        <w:right w:val="none" w:sz="0" w:space="0" w:color="auto"/>
      </w:divBdr>
    </w:div>
    <w:div w:id="1411001458">
      <w:bodyDiv w:val="1"/>
      <w:marLeft w:val="0"/>
      <w:marRight w:val="0"/>
      <w:marTop w:val="0"/>
      <w:marBottom w:val="0"/>
      <w:divBdr>
        <w:top w:val="none" w:sz="0" w:space="0" w:color="auto"/>
        <w:left w:val="none" w:sz="0" w:space="0" w:color="auto"/>
        <w:bottom w:val="none" w:sz="0" w:space="0" w:color="auto"/>
        <w:right w:val="none" w:sz="0" w:space="0" w:color="auto"/>
      </w:divBdr>
    </w:div>
    <w:div w:id="1411081942">
      <w:bodyDiv w:val="1"/>
      <w:marLeft w:val="0"/>
      <w:marRight w:val="0"/>
      <w:marTop w:val="0"/>
      <w:marBottom w:val="0"/>
      <w:divBdr>
        <w:top w:val="none" w:sz="0" w:space="0" w:color="auto"/>
        <w:left w:val="none" w:sz="0" w:space="0" w:color="auto"/>
        <w:bottom w:val="none" w:sz="0" w:space="0" w:color="auto"/>
        <w:right w:val="none" w:sz="0" w:space="0" w:color="auto"/>
      </w:divBdr>
    </w:div>
    <w:div w:id="1411342100">
      <w:bodyDiv w:val="1"/>
      <w:marLeft w:val="0"/>
      <w:marRight w:val="0"/>
      <w:marTop w:val="0"/>
      <w:marBottom w:val="0"/>
      <w:divBdr>
        <w:top w:val="none" w:sz="0" w:space="0" w:color="auto"/>
        <w:left w:val="none" w:sz="0" w:space="0" w:color="auto"/>
        <w:bottom w:val="none" w:sz="0" w:space="0" w:color="auto"/>
        <w:right w:val="none" w:sz="0" w:space="0" w:color="auto"/>
      </w:divBdr>
    </w:div>
    <w:div w:id="1411342941">
      <w:bodyDiv w:val="1"/>
      <w:marLeft w:val="0"/>
      <w:marRight w:val="0"/>
      <w:marTop w:val="0"/>
      <w:marBottom w:val="0"/>
      <w:divBdr>
        <w:top w:val="none" w:sz="0" w:space="0" w:color="auto"/>
        <w:left w:val="none" w:sz="0" w:space="0" w:color="auto"/>
        <w:bottom w:val="none" w:sz="0" w:space="0" w:color="auto"/>
        <w:right w:val="none" w:sz="0" w:space="0" w:color="auto"/>
      </w:divBdr>
    </w:div>
    <w:div w:id="1411345866">
      <w:bodyDiv w:val="1"/>
      <w:marLeft w:val="0"/>
      <w:marRight w:val="0"/>
      <w:marTop w:val="0"/>
      <w:marBottom w:val="0"/>
      <w:divBdr>
        <w:top w:val="none" w:sz="0" w:space="0" w:color="auto"/>
        <w:left w:val="none" w:sz="0" w:space="0" w:color="auto"/>
        <w:bottom w:val="none" w:sz="0" w:space="0" w:color="auto"/>
        <w:right w:val="none" w:sz="0" w:space="0" w:color="auto"/>
      </w:divBdr>
    </w:div>
    <w:div w:id="1411464229">
      <w:bodyDiv w:val="1"/>
      <w:marLeft w:val="0"/>
      <w:marRight w:val="0"/>
      <w:marTop w:val="0"/>
      <w:marBottom w:val="0"/>
      <w:divBdr>
        <w:top w:val="none" w:sz="0" w:space="0" w:color="auto"/>
        <w:left w:val="none" w:sz="0" w:space="0" w:color="auto"/>
        <w:bottom w:val="none" w:sz="0" w:space="0" w:color="auto"/>
        <w:right w:val="none" w:sz="0" w:space="0" w:color="auto"/>
      </w:divBdr>
    </w:div>
    <w:div w:id="1411543413">
      <w:bodyDiv w:val="1"/>
      <w:marLeft w:val="0"/>
      <w:marRight w:val="0"/>
      <w:marTop w:val="0"/>
      <w:marBottom w:val="0"/>
      <w:divBdr>
        <w:top w:val="none" w:sz="0" w:space="0" w:color="auto"/>
        <w:left w:val="none" w:sz="0" w:space="0" w:color="auto"/>
        <w:bottom w:val="none" w:sz="0" w:space="0" w:color="auto"/>
        <w:right w:val="none" w:sz="0" w:space="0" w:color="auto"/>
      </w:divBdr>
    </w:div>
    <w:div w:id="1411544731">
      <w:bodyDiv w:val="1"/>
      <w:marLeft w:val="0"/>
      <w:marRight w:val="0"/>
      <w:marTop w:val="0"/>
      <w:marBottom w:val="0"/>
      <w:divBdr>
        <w:top w:val="none" w:sz="0" w:space="0" w:color="auto"/>
        <w:left w:val="none" w:sz="0" w:space="0" w:color="auto"/>
        <w:bottom w:val="none" w:sz="0" w:space="0" w:color="auto"/>
        <w:right w:val="none" w:sz="0" w:space="0" w:color="auto"/>
      </w:divBdr>
    </w:div>
    <w:div w:id="1411660443">
      <w:bodyDiv w:val="1"/>
      <w:marLeft w:val="0"/>
      <w:marRight w:val="0"/>
      <w:marTop w:val="0"/>
      <w:marBottom w:val="0"/>
      <w:divBdr>
        <w:top w:val="none" w:sz="0" w:space="0" w:color="auto"/>
        <w:left w:val="none" w:sz="0" w:space="0" w:color="auto"/>
        <w:bottom w:val="none" w:sz="0" w:space="0" w:color="auto"/>
        <w:right w:val="none" w:sz="0" w:space="0" w:color="auto"/>
      </w:divBdr>
    </w:div>
    <w:div w:id="1411661318">
      <w:bodyDiv w:val="1"/>
      <w:marLeft w:val="0"/>
      <w:marRight w:val="0"/>
      <w:marTop w:val="0"/>
      <w:marBottom w:val="0"/>
      <w:divBdr>
        <w:top w:val="none" w:sz="0" w:space="0" w:color="auto"/>
        <w:left w:val="none" w:sz="0" w:space="0" w:color="auto"/>
        <w:bottom w:val="none" w:sz="0" w:space="0" w:color="auto"/>
        <w:right w:val="none" w:sz="0" w:space="0" w:color="auto"/>
      </w:divBdr>
    </w:div>
    <w:div w:id="1411780099">
      <w:bodyDiv w:val="1"/>
      <w:marLeft w:val="0"/>
      <w:marRight w:val="0"/>
      <w:marTop w:val="0"/>
      <w:marBottom w:val="0"/>
      <w:divBdr>
        <w:top w:val="none" w:sz="0" w:space="0" w:color="auto"/>
        <w:left w:val="none" w:sz="0" w:space="0" w:color="auto"/>
        <w:bottom w:val="none" w:sz="0" w:space="0" w:color="auto"/>
        <w:right w:val="none" w:sz="0" w:space="0" w:color="auto"/>
      </w:divBdr>
    </w:div>
    <w:div w:id="1411807471">
      <w:bodyDiv w:val="1"/>
      <w:marLeft w:val="0"/>
      <w:marRight w:val="0"/>
      <w:marTop w:val="0"/>
      <w:marBottom w:val="0"/>
      <w:divBdr>
        <w:top w:val="none" w:sz="0" w:space="0" w:color="auto"/>
        <w:left w:val="none" w:sz="0" w:space="0" w:color="auto"/>
        <w:bottom w:val="none" w:sz="0" w:space="0" w:color="auto"/>
        <w:right w:val="none" w:sz="0" w:space="0" w:color="auto"/>
      </w:divBdr>
    </w:div>
    <w:div w:id="1411847428">
      <w:bodyDiv w:val="1"/>
      <w:marLeft w:val="0"/>
      <w:marRight w:val="0"/>
      <w:marTop w:val="0"/>
      <w:marBottom w:val="0"/>
      <w:divBdr>
        <w:top w:val="none" w:sz="0" w:space="0" w:color="auto"/>
        <w:left w:val="none" w:sz="0" w:space="0" w:color="auto"/>
        <w:bottom w:val="none" w:sz="0" w:space="0" w:color="auto"/>
        <w:right w:val="none" w:sz="0" w:space="0" w:color="auto"/>
      </w:divBdr>
    </w:div>
    <w:div w:id="1412041653">
      <w:bodyDiv w:val="1"/>
      <w:marLeft w:val="0"/>
      <w:marRight w:val="0"/>
      <w:marTop w:val="0"/>
      <w:marBottom w:val="0"/>
      <w:divBdr>
        <w:top w:val="none" w:sz="0" w:space="0" w:color="auto"/>
        <w:left w:val="none" w:sz="0" w:space="0" w:color="auto"/>
        <w:bottom w:val="none" w:sz="0" w:space="0" w:color="auto"/>
        <w:right w:val="none" w:sz="0" w:space="0" w:color="auto"/>
      </w:divBdr>
    </w:div>
    <w:div w:id="1412122620">
      <w:bodyDiv w:val="1"/>
      <w:marLeft w:val="0"/>
      <w:marRight w:val="0"/>
      <w:marTop w:val="0"/>
      <w:marBottom w:val="0"/>
      <w:divBdr>
        <w:top w:val="none" w:sz="0" w:space="0" w:color="auto"/>
        <w:left w:val="none" w:sz="0" w:space="0" w:color="auto"/>
        <w:bottom w:val="none" w:sz="0" w:space="0" w:color="auto"/>
        <w:right w:val="none" w:sz="0" w:space="0" w:color="auto"/>
      </w:divBdr>
    </w:div>
    <w:div w:id="1412122744">
      <w:bodyDiv w:val="1"/>
      <w:marLeft w:val="0"/>
      <w:marRight w:val="0"/>
      <w:marTop w:val="0"/>
      <w:marBottom w:val="0"/>
      <w:divBdr>
        <w:top w:val="none" w:sz="0" w:space="0" w:color="auto"/>
        <w:left w:val="none" w:sz="0" w:space="0" w:color="auto"/>
        <w:bottom w:val="none" w:sz="0" w:space="0" w:color="auto"/>
        <w:right w:val="none" w:sz="0" w:space="0" w:color="auto"/>
      </w:divBdr>
    </w:div>
    <w:div w:id="1412197035">
      <w:bodyDiv w:val="1"/>
      <w:marLeft w:val="0"/>
      <w:marRight w:val="0"/>
      <w:marTop w:val="0"/>
      <w:marBottom w:val="0"/>
      <w:divBdr>
        <w:top w:val="none" w:sz="0" w:space="0" w:color="auto"/>
        <w:left w:val="none" w:sz="0" w:space="0" w:color="auto"/>
        <w:bottom w:val="none" w:sz="0" w:space="0" w:color="auto"/>
        <w:right w:val="none" w:sz="0" w:space="0" w:color="auto"/>
      </w:divBdr>
    </w:div>
    <w:div w:id="1412198262">
      <w:bodyDiv w:val="1"/>
      <w:marLeft w:val="0"/>
      <w:marRight w:val="0"/>
      <w:marTop w:val="0"/>
      <w:marBottom w:val="0"/>
      <w:divBdr>
        <w:top w:val="none" w:sz="0" w:space="0" w:color="auto"/>
        <w:left w:val="none" w:sz="0" w:space="0" w:color="auto"/>
        <w:bottom w:val="none" w:sz="0" w:space="0" w:color="auto"/>
        <w:right w:val="none" w:sz="0" w:space="0" w:color="auto"/>
      </w:divBdr>
    </w:div>
    <w:div w:id="1412310329">
      <w:bodyDiv w:val="1"/>
      <w:marLeft w:val="0"/>
      <w:marRight w:val="0"/>
      <w:marTop w:val="0"/>
      <w:marBottom w:val="0"/>
      <w:divBdr>
        <w:top w:val="none" w:sz="0" w:space="0" w:color="auto"/>
        <w:left w:val="none" w:sz="0" w:space="0" w:color="auto"/>
        <w:bottom w:val="none" w:sz="0" w:space="0" w:color="auto"/>
        <w:right w:val="none" w:sz="0" w:space="0" w:color="auto"/>
      </w:divBdr>
    </w:div>
    <w:div w:id="1412310388">
      <w:bodyDiv w:val="1"/>
      <w:marLeft w:val="0"/>
      <w:marRight w:val="0"/>
      <w:marTop w:val="0"/>
      <w:marBottom w:val="0"/>
      <w:divBdr>
        <w:top w:val="none" w:sz="0" w:space="0" w:color="auto"/>
        <w:left w:val="none" w:sz="0" w:space="0" w:color="auto"/>
        <w:bottom w:val="none" w:sz="0" w:space="0" w:color="auto"/>
        <w:right w:val="none" w:sz="0" w:space="0" w:color="auto"/>
      </w:divBdr>
    </w:div>
    <w:div w:id="1412384571">
      <w:bodyDiv w:val="1"/>
      <w:marLeft w:val="0"/>
      <w:marRight w:val="0"/>
      <w:marTop w:val="0"/>
      <w:marBottom w:val="0"/>
      <w:divBdr>
        <w:top w:val="none" w:sz="0" w:space="0" w:color="auto"/>
        <w:left w:val="none" w:sz="0" w:space="0" w:color="auto"/>
        <w:bottom w:val="none" w:sz="0" w:space="0" w:color="auto"/>
        <w:right w:val="none" w:sz="0" w:space="0" w:color="auto"/>
      </w:divBdr>
    </w:div>
    <w:div w:id="1412510774">
      <w:bodyDiv w:val="1"/>
      <w:marLeft w:val="0"/>
      <w:marRight w:val="0"/>
      <w:marTop w:val="0"/>
      <w:marBottom w:val="0"/>
      <w:divBdr>
        <w:top w:val="none" w:sz="0" w:space="0" w:color="auto"/>
        <w:left w:val="none" w:sz="0" w:space="0" w:color="auto"/>
        <w:bottom w:val="none" w:sz="0" w:space="0" w:color="auto"/>
        <w:right w:val="none" w:sz="0" w:space="0" w:color="auto"/>
      </w:divBdr>
    </w:div>
    <w:div w:id="1412582485">
      <w:bodyDiv w:val="1"/>
      <w:marLeft w:val="0"/>
      <w:marRight w:val="0"/>
      <w:marTop w:val="0"/>
      <w:marBottom w:val="0"/>
      <w:divBdr>
        <w:top w:val="none" w:sz="0" w:space="0" w:color="auto"/>
        <w:left w:val="none" w:sz="0" w:space="0" w:color="auto"/>
        <w:bottom w:val="none" w:sz="0" w:space="0" w:color="auto"/>
        <w:right w:val="none" w:sz="0" w:space="0" w:color="auto"/>
      </w:divBdr>
    </w:div>
    <w:div w:id="1412584536">
      <w:bodyDiv w:val="1"/>
      <w:marLeft w:val="0"/>
      <w:marRight w:val="0"/>
      <w:marTop w:val="0"/>
      <w:marBottom w:val="0"/>
      <w:divBdr>
        <w:top w:val="none" w:sz="0" w:space="0" w:color="auto"/>
        <w:left w:val="none" w:sz="0" w:space="0" w:color="auto"/>
        <w:bottom w:val="none" w:sz="0" w:space="0" w:color="auto"/>
        <w:right w:val="none" w:sz="0" w:space="0" w:color="auto"/>
      </w:divBdr>
    </w:div>
    <w:div w:id="1412694853">
      <w:bodyDiv w:val="1"/>
      <w:marLeft w:val="0"/>
      <w:marRight w:val="0"/>
      <w:marTop w:val="0"/>
      <w:marBottom w:val="0"/>
      <w:divBdr>
        <w:top w:val="none" w:sz="0" w:space="0" w:color="auto"/>
        <w:left w:val="none" w:sz="0" w:space="0" w:color="auto"/>
        <w:bottom w:val="none" w:sz="0" w:space="0" w:color="auto"/>
        <w:right w:val="none" w:sz="0" w:space="0" w:color="auto"/>
      </w:divBdr>
    </w:div>
    <w:div w:id="1412850260">
      <w:bodyDiv w:val="1"/>
      <w:marLeft w:val="0"/>
      <w:marRight w:val="0"/>
      <w:marTop w:val="0"/>
      <w:marBottom w:val="0"/>
      <w:divBdr>
        <w:top w:val="none" w:sz="0" w:space="0" w:color="auto"/>
        <w:left w:val="none" w:sz="0" w:space="0" w:color="auto"/>
        <w:bottom w:val="none" w:sz="0" w:space="0" w:color="auto"/>
        <w:right w:val="none" w:sz="0" w:space="0" w:color="auto"/>
      </w:divBdr>
    </w:div>
    <w:div w:id="1412892603">
      <w:bodyDiv w:val="1"/>
      <w:marLeft w:val="0"/>
      <w:marRight w:val="0"/>
      <w:marTop w:val="0"/>
      <w:marBottom w:val="0"/>
      <w:divBdr>
        <w:top w:val="none" w:sz="0" w:space="0" w:color="auto"/>
        <w:left w:val="none" w:sz="0" w:space="0" w:color="auto"/>
        <w:bottom w:val="none" w:sz="0" w:space="0" w:color="auto"/>
        <w:right w:val="none" w:sz="0" w:space="0" w:color="auto"/>
      </w:divBdr>
    </w:div>
    <w:div w:id="1412892740">
      <w:bodyDiv w:val="1"/>
      <w:marLeft w:val="0"/>
      <w:marRight w:val="0"/>
      <w:marTop w:val="0"/>
      <w:marBottom w:val="0"/>
      <w:divBdr>
        <w:top w:val="none" w:sz="0" w:space="0" w:color="auto"/>
        <w:left w:val="none" w:sz="0" w:space="0" w:color="auto"/>
        <w:bottom w:val="none" w:sz="0" w:space="0" w:color="auto"/>
        <w:right w:val="none" w:sz="0" w:space="0" w:color="auto"/>
      </w:divBdr>
    </w:div>
    <w:div w:id="1412896012">
      <w:bodyDiv w:val="1"/>
      <w:marLeft w:val="0"/>
      <w:marRight w:val="0"/>
      <w:marTop w:val="0"/>
      <w:marBottom w:val="0"/>
      <w:divBdr>
        <w:top w:val="none" w:sz="0" w:space="0" w:color="auto"/>
        <w:left w:val="none" w:sz="0" w:space="0" w:color="auto"/>
        <w:bottom w:val="none" w:sz="0" w:space="0" w:color="auto"/>
        <w:right w:val="none" w:sz="0" w:space="0" w:color="auto"/>
      </w:divBdr>
    </w:div>
    <w:div w:id="1412897193">
      <w:bodyDiv w:val="1"/>
      <w:marLeft w:val="0"/>
      <w:marRight w:val="0"/>
      <w:marTop w:val="0"/>
      <w:marBottom w:val="0"/>
      <w:divBdr>
        <w:top w:val="none" w:sz="0" w:space="0" w:color="auto"/>
        <w:left w:val="none" w:sz="0" w:space="0" w:color="auto"/>
        <w:bottom w:val="none" w:sz="0" w:space="0" w:color="auto"/>
        <w:right w:val="none" w:sz="0" w:space="0" w:color="auto"/>
      </w:divBdr>
    </w:div>
    <w:div w:id="1413039158">
      <w:bodyDiv w:val="1"/>
      <w:marLeft w:val="0"/>
      <w:marRight w:val="0"/>
      <w:marTop w:val="0"/>
      <w:marBottom w:val="0"/>
      <w:divBdr>
        <w:top w:val="none" w:sz="0" w:space="0" w:color="auto"/>
        <w:left w:val="none" w:sz="0" w:space="0" w:color="auto"/>
        <w:bottom w:val="none" w:sz="0" w:space="0" w:color="auto"/>
        <w:right w:val="none" w:sz="0" w:space="0" w:color="auto"/>
      </w:divBdr>
    </w:div>
    <w:div w:id="1413232227">
      <w:bodyDiv w:val="1"/>
      <w:marLeft w:val="0"/>
      <w:marRight w:val="0"/>
      <w:marTop w:val="0"/>
      <w:marBottom w:val="0"/>
      <w:divBdr>
        <w:top w:val="none" w:sz="0" w:space="0" w:color="auto"/>
        <w:left w:val="none" w:sz="0" w:space="0" w:color="auto"/>
        <w:bottom w:val="none" w:sz="0" w:space="0" w:color="auto"/>
        <w:right w:val="none" w:sz="0" w:space="0" w:color="auto"/>
      </w:divBdr>
    </w:div>
    <w:div w:id="1413240343">
      <w:bodyDiv w:val="1"/>
      <w:marLeft w:val="0"/>
      <w:marRight w:val="0"/>
      <w:marTop w:val="0"/>
      <w:marBottom w:val="0"/>
      <w:divBdr>
        <w:top w:val="none" w:sz="0" w:space="0" w:color="auto"/>
        <w:left w:val="none" w:sz="0" w:space="0" w:color="auto"/>
        <w:bottom w:val="none" w:sz="0" w:space="0" w:color="auto"/>
        <w:right w:val="none" w:sz="0" w:space="0" w:color="auto"/>
      </w:divBdr>
    </w:div>
    <w:div w:id="1413429580">
      <w:bodyDiv w:val="1"/>
      <w:marLeft w:val="0"/>
      <w:marRight w:val="0"/>
      <w:marTop w:val="0"/>
      <w:marBottom w:val="0"/>
      <w:divBdr>
        <w:top w:val="none" w:sz="0" w:space="0" w:color="auto"/>
        <w:left w:val="none" w:sz="0" w:space="0" w:color="auto"/>
        <w:bottom w:val="none" w:sz="0" w:space="0" w:color="auto"/>
        <w:right w:val="none" w:sz="0" w:space="0" w:color="auto"/>
      </w:divBdr>
    </w:div>
    <w:div w:id="1413434444">
      <w:bodyDiv w:val="1"/>
      <w:marLeft w:val="0"/>
      <w:marRight w:val="0"/>
      <w:marTop w:val="0"/>
      <w:marBottom w:val="0"/>
      <w:divBdr>
        <w:top w:val="none" w:sz="0" w:space="0" w:color="auto"/>
        <w:left w:val="none" w:sz="0" w:space="0" w:color="auto"/>
        <w:bottom w:val="none" w:sz="0" w:space="0" w:color="auto"/>
        <w:right w:val="none" w:sz="0" w:space="0" w:color="auto"/>
      </w:divBdr>
    </w:div>
    <w:div w:id="1413504156">
      <w:bodyDiv w:val="1"/>
      <w:marLeft w:val="0"/>
      <w:marRight w:val="0"/>
      <w:marTop w:val="0"/>
      <w:marBottom w:val="0"/>
      <w:divBdr>
        <w:top w:val="none" w:sz="0" w:space="0" w:color="auto"/>
        <w:left w:val="none" w:sz="0" w:space="0" w:color="auto"/>
        <w:bottom w:val="none" w:sz="0" w:space="0" w:color="auto"/>
        <w:right w:val="none" w:sz="0" w:space="0" w:color="auto"/>
      </w:divBdr>
    </w:div>
    <w:div w:id="1413505121">
      <w:bodyDiv w:val="1"/>
      <w:marLeft w:val="0"/>
      <w:marRight w:val="0"/>
      <w:marTop w:val="0"/>
      <w:marBottom w:val="0"/>
      <w:divBdr>
        <w:top w:val="none" w:sz="0" w:space="0" w:color="auto"/>
        <w:left w:val="none" w:sz="0" w:space="0" w:color="auto"/>
        <w:bottom w:val="none" w:sz="0" w:space="0" w:color="auto"/>
        <w:right w:val="none" w:sz="0" w:space="0" w:color="auto"/>
      </w:divBdr>
    </w:div>
    <w:div w:id="1413506634">
      <w:bodyDiv w:val="1"/>
      <w:marLeft w:val="0"/>
      <w:marRight w:val="0"/>
      <w:marTop w:val="0"/>
      <w:marBottom w:val="0"/>
      <w:divBdr>
        <w:top w:val="none" w:sz="0" w:space="0" w:color="auto"/>
        <w:left w:val="none" w:sz="0" w:space="0" w:color="auto"/>
        <w:bottom w:val="none" w:sz="0" w:space="0" w:color="auto"/>
        <w:right w:val="none" w:sz="0" w:space="0" w:color="auto"/>
      </w:divBdr>
    </w:div>
    <w:div w:id="1413549549">
      <w:bodyDiv w:val="1"/>
      <w:marLeft w:val="0"/>
      <w:marRight w:val="0"/>
      <w:marTop w:val="0"/>
      <w:marBottom w:val="0"/>
      <w:divBdr>
        <w:top w:val="none" w:sz="0" w:space="0" w:color="auto"/>
        <w:left w:val="none" w:sz="0" w:space="0" w:color="auto"/>
        <w:bottom w:val="none" w:sz="0" w:space="0" w:color="auto"/>
        <w:right w:val="none" w:sz="0" w:space="0" w:color="auto"/>
      </w:divBdr>
    </w:div>
    <w:div w:id="1413775007">
      <w:bodyDiv w:val="1"/>
      <w:marLeft w:val="0"/>
      <w:marRight w:val="0"/>
      <w:marTop w:val="0"/>
      <w:marBottom w:val="0"/>
      <w:divBdr>
        <w:top w:val="none" w:sz="0" w:space="0" w:color="auto"/>
        <w:left w:val="none" w:sz="0" w:space="0" w:color="auto"/>
        <w:bottom w:val="none" w:sz="0" w:space="0" w:color="auto"/>
        <w:right w:val="none" w:sz="0" w:space="0" w:color="auto"/>
      </w:divBdr>
    </w:div>
    <w:div w:id="1413888349">
      <w:bodyDiv w:val="1"/>
      <w:marLeft w:val="0"/>
      <w:marRight w:val="0"/>
      <w:marTop w:val="0"/>
      <w:marBottom w:val="0"/>
      <w:divBdr>
        <w:top w:val="none" w:sz="0" w:space="0" w:color="auto"/>
        <w:left w:val="none" w:sz="0" w:space="0" w:color="auto"/>
        <w:bottom w:val="none" w:sz="0" w:space="0" w:color="auto"/>
        <w:right w:val="none" w:sz="0" w:space="0" w:color="auto"/>
      </w:divBdr>
    </w:div>
    <w:div w:id="1413891367">
      <w:bodyDiv w:val="1"/>
      <w:marLeft w:val="0"/>
      <w:marRight w:val="0"/>
      <w:marTop w:val="0"/>
      <w:marBottom w:val="0"/>
      <w:divBdr>
        <w:top w:val="none" w:sz="0" w:space="0" w:color="auto"/>
        <w:left w:val="none" w:sz="0" w:space="0" w:color="auto"/>
        <w:bottom w:val="none" w:sz="0" w:space="0" w:color="auto"/>
        <w:right w:val="none" w:sz="0" w:space="0" w:color="auto"/>
      </w:divBdr>
    </w:div>
    <w:div w:id="1413965707">
      <w:bodyDiv w:val="1"/>
      <w:marLeft w:val="0"/>
      <w:marRight w:val="0"/>
      <w:marTop w:val="0"/>
      <w:marBottom w:val="0"/>
      <w:divBdr>
        <w:top w:val="none" w:sz="0" w:space="0" w:color="auto"/>
        <w:left w:val="none" w:sz="0" w:space="0" w:color="auto"/>
        <w:bottom w:val="none" w:sz="0" w:space="0" w:color="auto"/>
        <w:right w:val="none" w:sz="0" w:space="0" w:color="auto"/>
      </w:divBdr>
    </w:div>
    <w:div w:id="1414157226">
      <w:bodyDiv w:val="1"/>
      <w:marLeft w:val="0"/>
      <w:marRight w:val="0"/>
      <w:marTop w:val="0"/>
      <w:marBottom w:val="0"/>
      <w:divBdr>
        <w:top w:val="none" w:sz="0" w:space="0" w:color="auto"/>
        <w:left w:val="none" w:sz="0" w:space="0" w:color="auto"/>
        <w:bottom w:val="none" w:sz="0" w:space="0" w:color="auto"/>
        <w:right w:val="none" w:sz="0" w:space="0" w:color="auto"/>
      </w:divBdr>
    </w:div>
    <w:div w:id="1414283332">
      <w:bodyDiv w:val="1"/>
      <w:marLeft w:val="0"/>
      <w:marRight w:val="0"/>
      <w:marTop w:val="0"/>
      <w:marBottom w:val="0"/>
      <w:divBdr>
        <w:top w:val="none" w:sz="0" w:space="0" w:color="auto"/>
        <w:left w:val="none" w:sz="0" w:space="0" w:color="auto"/>
        <w:bottom w:val="none" w:sz="0" w:space="0" w:color="auto"/>
        <w:right w:val="none" w:sz="0" w:space="0" w:color="auto"/>
      </w:divBdr>
    </w:div>
    <w:div w:id="1414358036">
      <w:bodyDiv w:val="1"/>
      <w:marLeft w:val="0"/>
      <w:marRight w:val="0"/>
      <w:marTop w:val="0"/>
      <w:marBottom w:val="0"/>
      <w:divBdr>
        <w:top w:val="none" w:sz="0" w:space="0" w:color="auto"/>
        <w:left w:val="none" w:sz="0" w:space="0" w:color="auto"/>
        <w:bottom w:val="none" w:sz="0" w:space="0" w:color="auto"/>
        <w:right w:val="none" w:sz="0" w:space="0" w:color="auto"/>
      </w:divBdr>
    </w:div>
    <w:div w:id="1414398449">
      <w:bodyDiv w:val="1"/>
      <w:marLeft w:val="0"/>
      <w:marRight w:val="0"/>
      <w:marTop w:val="0"/>
      <w:marBottom w:val="0"/>
      <w:divBdr>
        <w:top w:val="none" w:sz="0" w:space="0" w:color="auto"/>
        <w:left w:val="none" w:sz="0" w:space="0" w:color="auto"/>
        <w:bottom w:val="none" w:sz="0" w:space="0" w:color="auto"/>
        <w:right w:val="none" w:sz="0" w:space="0" w:color="auto"/>
      </w:divBdr>
    </w:div>
    <w:div w:id="1414426964">
      <w:bodyDiv w:val="1"/>
      <w:marLeft w:val="0"/>
      <w:marRight w:val="0"/>
      <w:marTop w:val="0"/>
      <w:marBottom w:val="0"/>
      <w:divBdr>
        <w:top w:val="none" w:sz="0" w:space="0" w:color="auto"/>
        <w:left w:val="none" w:sz="0" w:space="0" w:color="auto"/>
        <w:bottom w:val="none" w:sz="0" w:space="0" w:color="auto"/>
        <w:right w:val="none" w:sz="0" w:space="0" w:color="auto"/>
      </w:divBdr>
    </w:div>
    <w:div w:id="1414429204">
      <w:bodyDiv w:val="1"/>
      <w:marLeft w:val="0"/>
      <w:marRight w:val="0"/>
      <w:marTop w:val="0"/>
      <w:marBottom w:val="0"/>
      <w:divBdr>
        <w:top w:val="none" w:sz="0" w:space="0" w:color="auto"/>
        <w:left w:val="none" w:sz="0" w:space="0" w:color="auto"/>
        <w:bottom w:val="none" w:sz="0" w:space="0" w:color="auto"/>
        <w:right w:val="none" w:sz="0" w:space="0" w:color="auto"/>
      </w:divBdr>
    </w:div>
    <w:div w:id="1414468510">
      <w:bodyDiv w:val="1"/>
      <w:marLeft w:val="0"/>
      <w:marRight w:val="0"/>
      <w:marTop w:val="0"/>
      <w:marBottom w:val="0"/>
      <w:divBdr>
        <w:top w:val="none" w:sz="0" w:space="0" w:color="auto"/>
        <w:left w:val="none" w:sz="0" w:space="0" w:color="auto"/>
        <w:bottom w:val="none" w:sz="0" w:space="0" w:color="auto"/>
        <w:right w:val="none" w:sz="0" w:space="0" w:color="auto"/>
      </w:divBdr>
    </w:div>
    <w:div w:id="1414475728">
      <w:bodyDiv w:val="1"/>
      <w:marLeft w:val="0"/>
      <w:marRight w:val="0"/>
      <w:marTop w:val="0"/>
      <w:marBottom w:val="0"/>
      <w:divBdr>
        <w:top w:val="none" w:sz="0" w:space="0" w:color="auto"/>
        <w:left w:val="none" w:sz="0" w:space="0" w:color="auto"/>
        <w:bottom w:val="none" w:sz="0" w:space="0" w:color="auto"/>
        <w:right w:val="none" w:sz="0" w:space="0" w:color="auto"/>
      </w:divBdr>
    </w:div>
    <w:div w:id="1414661742">
      <w:bodyDiv w:val="1"/>
      <w:marLeft w:val="0"/>
      <w:marRight w:val="0"/>
      <w:marTop w:val="0"/>
      <w:marBottom w:val="0"/>
      <w:divBdr>
        <w:top w:val="none" w:sz="0" w:space="0" w:color="auto"/>
        <w:left w:val="none" w:sz="0" w:space="0" w:color="auto"/>
        <w:bottom w:val="none" w:sz="0" w:space="0" w:color="auto"/>
        <w:right w:val="none" w:sz="0" w:space="0" w:color="auto"/>
      </w:divBdr>
    </w:div>
    <w:div w:id="1414739625">
      <w:bodyDiv w:val="1"/>
      <w:marLeft w:val="0"/>
      <w:marRight w:val="0"/>
      <w:marTop w:val="0"/>
      <w:marBottom w:val="0"/>
      <w:divBdr>
        <w:top w:val="none" w:sz="0" w:space="0" w:color="auto"/>
        <w:left w:val="none" w:sz="0" w:space="0" w:color="auto"/>
        <w:bottom w:val="none" w:sz="0" w:space="0" w:color="auto"/>
        <w:right w:val="none" w:sz="0" w:space="0" w:color="auto"/>
      </w:divBdr>
    </w:div>
    <w:div w:id="1414745251">
      <w:bodyDiv w:val="1"/>
      <w:marLeft w:val="0"/>
      <w:marRight w:val="0"/>
      <w:marTop w:val="0"/>
      <w:marBottom w:val="0"/>
      <w:divBdr>
        <w:top w:val="none" w:sz="0" w:space="0" w:color="auto"/>
        <w:left w:val="none" w:sz="0" w:space="0" w:color="auto"/>
        <w:bottom w:val="none" w:sz="0" w:space="0" w:color="auto"/>
        <w:right w:val="none" w:sz="0" w:space="0" w:color="auto"/>
      </w:divBdr>
    </w:div>
    <w:div w:id="1414819358">
      <w:bodyDiv w:val="1"/>
      <w:marLeft w:val="0"/>
      <w:marRight w:val="0"/>
      <w:marTop w:val="0"/>
      <w:marBottom w:val="0"/>
      <w:divBdr>
        <w:top w:val="none" w:sz="0" w:space="0" w:color="auto"/>
        <w:left w:val="none" w:sz="0" w:space="0" w:color="auto"/>
        <w:bottom w:val="none" w:sz="0" w:space="0" w:color="auto"/>
        <w:right w:val="none" w:sz="0" w:space="0" w:color="auto"/>
      </w:divBdr>
    </w:div>
    <w:div w:id="1415010277">
      <w:bodyDiv w:val="1"/>
      <w:marLeft w:val="0"/>
      <w:marRight w:val="0"/>
      <w:marTop w:val="0"/>
      <w:marBottom w:val="0"/>
      <w:divBdr>
        <w:top w:val="none" w:sz="0" w:space="0" w:color="auto"/>
        <w:left w:val="none" w:sz="0" w:space="0" w:color="auto"/>
        <w:bottom w:val="none" w:sz="0" w:space="0" w:color="auto"/>
        <w:right w:val="none" w:sz="0" w:space="0" w:color="auto"/>
      </w:divBdr>
    </w:div>
    <w:div w:id="1415084269">
      <w:bodyDiv w:val="1"/>
      <w:marLeft w:val="0"/>
      <w:marRight w:val="0"/>
      <w:marTop w:val="0"/>
      <w:marBottom w:val="0"/>
      <w:divBdr>
        <w:top w:val="none" w:sz="0" w:space="0" w:color="auto"/>
        <w:left w:val="none" w:sz="0" w:space="0" w:color="auto"/>
        <w:bottom w:val="none" w:sz="0" w:space="0" w:color="auto"/>
        <w:right w:val="none" w:sz="0" w:space="0" w:color="auto"/>
      </w:divBdr>
    </w:div>
    <w:div w:id="1415201091">
      <w:bodyDiv w:val="1"/>
      <w:marLeft w:val="0"/>
      <w:marRight w:val="0"/>
      <w:marTop w:val="0"/>
      <w:marBottom w:val="0"/>
      <w:divBdr>
        <w:top w:val="none" w:sz="0" w:space="0" w:color="auto"/>
        <w:left w:val="none" w:sz="0" w:space="0" w:color="auto"/>
        <w:bottom w:val="none" w:sz="0" w:space="0" w:color="auto"/>
        <w:right w:val="none" w:sz="0" w:space="0" w:color="auto"/>
      </w:divBdr>
    </w:div>
    <w:div w:id="1415201698">
      <w:bodyDiv w:val="1"/>
      <w:marLeft w:val="0"/>
      <w:marRight w:val="0"/>
      <w:marTop w:val="0"/>
      <w:marBottom w:val="0"/>
      <w:divBdr>
        <w:top w:val="none" w:sz="0" w:space="0" w:color="auto"/>
        <w:left w:val="none" w:sz="0" w:space="0" w:color="auto"/>
        <w:bottom w:val="none" w:sz="0" w:space="0" w:color="auto"/>
        <w:right w:val="none" w:sz="0" w:space="0" w:color="auto"/>
      </w:divBdr>
    </w:div>
    <w:div w:id="1415202332">
      <w:bodyDiv w:val="1"/>
      <w:marLeft w:val="0"/>
      <w:marRight w:val="0"/>
      <w:marTop w:val="0"/>
      <w:marBottom w:val="0"/>
      <w:divBdr>
        <w:top w:val="none" w:sz="0" w:space="0" w:color="auto"/>
        <w:left w:val="none" w:sz="0" w:space="0" w:color="auto"/>
        <w:bottom w:val="none" w:sz="0" w:space="0" w:color="auto"/>
        <w:right w:val="none" w:sz="0" w:space="0" w:color="auto"/>
      </w:divBdr>
    </w:div>
    <w:div w:id="1415205144">
      <w:bodyDiv w:val="1"/>
      <w:marLeft w:val="0"/>
      <w:marRight w:val="0"/>
      <w:marTop w:val="0"/>
      <w:marBottom w:val="0"/>
      <w:divBdr>
        <w:top w:val="none" w:sz="0" w:space="0" w:color="auto"/>
        <w:left w:val="none" w:sz="0" w:space="0" w:color="auto"/>
        <w:bottom w:val="none" w:sz="0" w:space="0" w:color="auto"/>
        <w:right w:val="none" w:sz="0" w:space="0" w:color="auto"/>
      </w:divBdr>
    </w:div>
    <w:div w:id="1415276807">
      <w:bodyDiv w:val="1"/>
      <w:marLeft w:val="0"/>
      <w:marRight w:val="0"/>
      <w:marTop w:val="0"/>
      <w:marBottom w:val="0"/>
      <w:divBdr>
        <w:top w:val="none" w:sz="0" w:space="0" w:color="auto"/>
        <w:left w:val="none" w:sz="0" w:space="0" w:color="auto"/>
        <w:bottom w:val="none" w:sz="0" w:space="0" w:color="auto"/>
        <w:right w:val="none" w:sz="0" w:space="0" w:color="auto"/>
      </w:divBdr>
    </w:div>
    <w:div w:id="1415277393">
      <w:bodyDiv w:val="1"/>
      <w:marLeft w:val="0"/>
      <w:marRight w:val="0"/>
      <w:marTop w:val="0"/>
      <w:marBottom w:val="0"/>
      <w:divBdr>
        <w:top w:val="none" w:sz="0" w:space="0" w:color="auto"/>
        <w:left w:val="none" w:sz="0" w:space="0" w:color="auto"/>
        <w:bottom w:val="none" w:sz="0" w:space="0" w:color="auto"/>
        <w:right w:val="none" w:sz="0" w:space="0" w:color="auto"/>
      </w:divBdr>
    </w:div>
    <w:div w:id="1415318723">
      <w:bodyDiv w:val="1"/>
      <w:marLeft w:val="0"/>
      <w:marRight w:val="0"/>
      <w:marTop w:val="0"/>
      <w:marBottom w:val="0"/>
      <w:divBdr>
        <w:top w:val="none" w:sz="0" w:space="0" w:color="auto"/>
        <w:left w:val="none" w:sz="0" w:space="0" w:color="auto"/>
        <w:bottom w:val="none" w:sz="0" w:space="0" w:color="auto"/>
        <w:right w:val="none" w:sz="0" w:space="0" w:color="auto"/>
      </w:divBdr>
    </w:div>
    <w:div w:id="1415324910">
      <w:bodyDiv w:val="1"/>
      <w:marLeft w:val="0"/>
      <w:marRight w:val="0"/>
      <w:marTop w:val="0"/>
      <w:marBottom w:val="0"/>
      <w:divBdr>
        <w:top w:val="none" w:sz="0" w:space="0" w:color="auto"/>
        <w:left w:val="none" w:sz="0" w:space="0" w:color="auto"/>
        <w:bottom w:val="none" w:sz="0" w:space="0" w:color="auto"/>
        <w:right w:val="none" w:sz="0" w:space="0" w:color="auto"/>
      </w:divBdr>
    </w:div>
    <w:div w:id="1415399402">
      <w:bodyDiv w:val="1"/>
      <w:marLeft w:val="0"/>
      <w:marRight w:val="0"/>
      <w:marTop w:val="0"/>
      <w:marBottom w:val="0"/>
      <w:divBdr>
        <w:top w:val="none" w:sz="0" w:space="0" w:color="auto"/>
        <w:left w:val="none" w:sz="0" w:space="0" w:color="auto"/>
        <w:bottom w:val="none" w:sz="0" w:space="0" w:color="auto"/>
        <w:right w:val="none" w:sz="0" w:space="0" w:color="auto"/>
      </w:divBdr>
    </w:div>
    <w:div w:id="1415469244">
      <w:bodyDiv w:val="1"/>
      <w:marLeft w:val="0"/>
      <w:marRight w:val="0"/>
      <w:marTop w:val="0"/>
      <w:marBottom w:val="0"/>
      <w:divBdr>
        <w:top w:val="none" w:sz="0" w:space="0" w:color="auto"/>
        <w:left w:val="none" w:sz="0" w:space="0" w:color="auto"/>
        <w:bottom w:val="none" w:sz="0" w:space="0" w:color="auto"/>
        <w:right w:val="none" w:sz="0" w:space="0" w:color="auto"/>
      </w:divBdr>
    </w:div>
    <w:div w:id="1415474107">
      <w:bodyDiv w:val="1"/>
      <w:marLeft w:val="0"/>
      <w:marRight w:val="0"/>
      <w:marTop w:val="0"/>
      <w:marBottom w:val="0"/>
      <w:divBdr>
        <w:top w:val="none" w:sz="0" w:space="0" w:color="auto"/>
        <w:left w:val="none" w:sz="0" w:space="0" w:color="auto"/>
        <w:bottom w:val="none" w:sz="0" w:space="0" w:color="auto"/>
        <w:right w:val="none" w:sz="0" w:space="0" w:color="auto"/>
      </w:divBdr>
    </w:div>
    <w:div w:id="1415514687">
      <w:bodyDiv w:val="1"/>
      <w:marLeft w:val="0"/>
      <w:marRight w:val="0"/>
      <w:marTop w:val="0"/>
      <w:marBottom w:val="0"/>
      <w:divBdr>
        <w:top w:val="none" w:sz="0" w:space="0" w:color="auto"/>
        <w:left w:val="none" w:sz="0" w:space="0" w:color="auto"/>
        <w:bottom w:val="none" w:sz="0" w:space="0" w:color="auto"/>
        <w:right w:val="none" w:sz="0" w:space="0" w:color="auto"/>
      </w:divBdr>
    </w:div>
    <w:div w:id="1415543016">
      <w:bodyDiv w:val="1"/>
      <w:marLeft w:val="0"/>
      <w:marRight w:val="0"/>
      <w:marTop w:val="0"/>
      <w:marBottom w:val="0"/>
      <w:divBdr>
        <w:top w:val="none" w:sz="0" w:space="0" w:color="auto"/>
        <w:left w:val="none" w:sz="0" w:space="0" w:color="auto"/>
        <w:bottom w:val="none" w:sz="0" w:space="0" w:color="auto"/>
        <w:right w:val="none" w:sz="0" w:space="0" w:color="auto"/>
      </w:divBdr>
    </w:div>
    <w:div w:id="1415590065">
      <w:bodyDiv w:val="1"/>
      <w:marLeft w:val="0"/>
      <w:marRight w:val="0"/>
      <w:marTop w:val="0"/>
      <w:marBottom w:val="0"/>
      <w:divBdr>
        <w:top w:val="none" w:sz="0" w:space="0" w:color="auto"/>
        <w:left w:val="none" w:sz="0" w:space="0" w:color="auto"/>
        <w:bottom w:val="none" w:sz="0" w:space="0" w:color="auto"/>
        <w:right w:val="none" w:sz="0" w:space="0" w:color="auto"/>
      </w:divBdr>
    </w:div>
    <w:div w:id="1415662465">
      <w:bodyDiv w:val="1"/>
      <w:marLeft w:val="0"/>
      <w:marRight w:val="0"/>
      <w:marTop w:val="0"/>
      <w:marBottom w:val="0"/>
      <w:divBdr>
        <w:top w:val="none" w:sz="0" w:space="0" w:color="auto"/>
        <w:left w:val="none" w:sz="0" w:space="0" w:color="auto"/>
        <w:bottom w:val="none" w:sz="0" w:space="0" w:color="auto"/>
        <w:right w:val="none" w:sz="0" w:space="0" w:color="auto"/>
      </w:divBdr>
    </w:div>
    <w:div w:id="1415781304">
      <w:bodyDiv w:val="1"/>
      <w:marLeft w:val="0"/>
      <w:marRight w:val="0"/>
      <w:marTop w:val="0"/>
      <w:marBottom w:val="0"/>
      <w:divBdr>
        <w:top w:val="none" w:sz="0" w:space="0" w:color="auto"/>
        <w:left w:val="none" w:sz="0" w:space="0" w:color="auto"/>
        <w:bottom w:val="none" w:sz="0" w:space="0" w:color="auto"/>
        <w:right w:val="none" w:sz="0" w:space="0" w:color="auto"/>
      </w:divBdr>
    </w:div>
    <w:div w:id="1415781577">
      <w:bodyDiv w:val="1"/>
      <w:marLeft w:val="0"/>
      <w:marRight w:val="0"/>
      <w:marTop w:val="0"/>
      <w:marBottom w:val="0"/>
      <w:divBdr>
        <w:top w:val="none" w:sz="0" w:space="0" w:color="auto"/>
        <w:left w:val="none" w:sz="0" w:space="0" w:color="auto"/>
        <w:bottom w:val="none" w:sz="0" w:space="0" w:color="auto"/>
        <w:right w:val="none" w:sz="0" w:space="0" w:color="auto"/>
      </w:divBdr>
    </w:div>
    <w:div w:id="1415787470">
      <w:bodyDiv w:val="1"/>
      <w:marLeft w:val="0"/>
      <w:marRight w:val="0"/>
      <w:marTop w:val="0"/>
      <w:marBottom w:val="0"/>
      <w:divBdr>
        <w:top w:val="none" w:sz="0" w:space="0" w:color="auto"/>
        <w:left w:val="none" w:sz="0" w:space="0" w:color="auto"/>
        <w:bottom w:val="none" w:sz="0" w:space="0" w:color="auto"/>
        <w:right w:val="none" w:sz="0" w:space="0" w:color="auto"/>
      </w:divBdr>
    </w:div>
    <w:div w:id="1415930768">
      <w:bodyDiv w:val="1"/>
      <w:marLeft w:val="0"/>
      <w:marRight w:val="0"/>
      <w:marTop w:val="0"/>
      <w:marBottom w:val="0"/>
      <w:divBdr>
        <w:top w:val="none" w:sz="0" w:space="0" w:color="auto"/>
        <w:left w:val="none" w:sz="0" w:space="0" w:color="auto"/>
        <w:bottom w:val="none" w:sz="0" w:space="0" w:color="auto"/>
        <w:right w:val="none" w:sz="0" w:space="0" w:color="auto"/>
      </w:divBdr>
    </w:div>
    <w:div w:id="1415973882">
      <w:bodyDiv w:val="1"/>
      <w:marLeft w:val="0"/>
      <w:marRight w:val="0"/>
      <w:marTop w:val="0"/>
      <w:marBottom w:val="0"/>
      <w:divBdr>
        <w:top w:val="none" w:sz="0" w:space="0" w:color="auto"/>
        <w:left w:val="none" w:sz="0" w:space="0" w:color="auto"/>
        <w:bottom w:val="none" w:sz="0" w:space="0" w:color="auto"/>
        <w:right w:val="none" w:sz="0" w:space="0" w:color="auto"/>
      </w:divBdr>
    </w:div>
    <w:div w:id="1416130430">
      <w:bodyDiv w:val="1"/>
      <w:marLeft w:val="0"/>
      <w:marRight w:val="0"/>
      <w:marTop w:val="0"/>
      <w:marBottom w:val="0"/>
      <w:divBdr>
        <w:top w:val="none" w:sz="0" w:space="0" w:color="auto"/>
        <w:left w:val="none" w:sz="0" w:space="0" w:color="auto"/>
        <w:bottom w:val="none" w:sz="0" w:space="0" w:color="auto"/>
        <w:right w:val="none" w:sz="0" w:space="0" w:color="auto"/>
      </w:divBdr>
    </w:div>
    <w:div w:id="1416167931">
      <w:bodyDiv w:val="1"/>
      <w:marLeft w:val="0"/>
      <w:marRight w:val="0"/>
      <w:marTop w:val="0"/>
      <w:marBottom w:val="0"/>
      <w:divBdr>
        <w:top w:val="none" w:sz="0" w:space="0" w:color="auto"/>
        <w:left w:val="none" w:sz="0" w:space="0" w:color="auto"/>
        <w:bottom w:val="none" w:sz="0" w:space="0" w:color="auto"/>
        <w:right w:val="none" w:sz="0" w:space="0" w:color="auto"/>
      </w:divBdr>
    </w:div>
    <w:div w:id="1416364503">
      <w:bodyDiv w:val="1"/>
      <w:marLeft w:val="0"/>
      <w:marRight w:val="0"/>
      <w:marTop w:val="0"/>
      <w:marBottom w:val="0"/>
      <w:divBdr>
        <w:top w:val="none" w:sz="0" w:space="0" w:color="auto"/>
        <w:left w:val="none" w:sz="0" w:space="0" w:color="auto"/>
        <w:bottom w:val="none" w:sz="0" w:space="0" w:color="auto"/>
        <w:right w:val="none" w:sz="0" w:space="0" w:color="auto"/>
      </w:divBdr>
    </w:div>
    <w:div w:id="1416395685">
      <w:bodyDiv w:val="1"/>
      <w:marLeft w:val="0"/>
      <w:marRight w:val="0"/>
      <w:marTop w:val="0"/>
      <w:marBottom w:val="0"/>
      <w:divBdr>
        <w:top w:val="none" w:sz="0" w:space="0" w:color="auto"/>
        <w:left w:val="none" w:sz="0" w:space="0" w:color="auto"/>
        <w:bottom w:val="none" w:sz="0" w:space="0" w:color="auto"/>
        <w:right w:val="none" w:sz="0" w:space="0" w:color="auto"/>
      </w:divBdr>
    </w:div>
    <w:div w:id="1416434704">
      <w:bodyDiv w:val="1"/>
      <w:marLeft w:val="0"/>
      <w:marRight w:val="0"/>
      <w:marTop w:val="0"/>
      <w:marBottom w:val="0"/>
      <w:divBdr>
        <w:top w:val="none" w:sz="0" w:space="0" w:color="auto"/>
        <w:left w:val="none" w:sz="0" w:space="0" w:color="auto"/>
        <w:bottom w:val="none" w:sz="0" w:space="0" w:color="auto"/>
        <w:right w:val="none" w:sz="0" w:space="0" w:color="auto"/>
      </w:divBdr>
    </w:div>
    <w:div w:id="1416509842">
      <w:bodyDiv w:val="1"/>
      <w:marLeft w:val="0"/>
      <w:marRight w:val="0"/>
      <w:marTop w:val="0"/>
      <w:marBottom w:val="0"/>
      <w:divBdr>
        <w:top w:val="none" w:sz="0" w:space="0" w:color="auto"/>
        <w:left w:val="none" w:sz="0" w:space="0" w:color="auto"/>
        <w:bottom w:val="none" w:sz="0" w:space="0" w:color="auto"/>
        <w:right w:val="none" w:sz="0" w:space="0" w:color="auto"/>
      </w:divBdr>
    </w:div>
    <w:div w:id="1416514664">
      <w:bodyDiv w:val="1"/>
      <w:marLeft w:val="0"/>
      <w:marRight w:val="0"/>
      <w:marTop w:val="0"/>
      <w:marBottom w:val="0"/>
      <w:divBdr>
        <w:top w:val="none" w:sz="0" w:space="0" w:color="auto"/>
        <w:left w:val="none" w:sz="0" w:space="0" w:color="auto"/>
        <w:bottom w:val="none" w:sz="0" w:space="0" w:color="auto"/>
        <w:right w:val="none" w:sz="0" w:space="0" w:color="auto"/>
      </w:divBdr>
    </w:div>
    <w:div w:id="1416515707">
      <w:bodyDiv w:val="1"/>
      <w:marLeft w:val="0"/>
      <w:marRight w:val="0"/>
      <w:marTop w:val="0"/>
      <w:marBottom w:val="0"/>
      <w:divBdr>
        <w:top w:val="none" w:sz="0" w:space="0" w:color="auto"/>
        <w:left w:val="none" w:sz="0" w:space="0" w:color="auto"/>
        <w:bottom w:val="none" w:sz="0" w:space="0" w:color="auto"/>
        <w:right w:val="none" w:sz="0" w:space="0" w:color="auto"/>
      </w:divBdr>
    </w:div>
    <w:div w:id="1416590157">
      <w:bodyDiv w:val="1"/>
      <w:marLeft w:val="0"/>
      <w:marRight w:val="0"/>
      <w:marTop w:val="0"/>
      <w:marBottom w:val="0"/>
      <w:divBdr>
        <w:top w:val="none" w:sz="0" w:space="0" w:color="auto"/>
        <w:left w:val="none" w:sz="0" w:space="0" w:color="auto"/>
        <w:bottom w:val="none" w:sz="0" w:space="0" w:color="auto"/>
        <w:right w:val="none" w:sz="0" w:space="0" w:color="auto"/>
      </w:divBdr>
    </w:div>
    <w:div w:id="1416592270">
      <w:bodyDiv w:val="1"/>
      <w:marLeft w:val="0"/>
      <w:marRight w:val="0"/>
      <w:marTop w:val="0"/>
      <w:marBottom w:val="0"/>
      <w:divBdr>
        <w:top w:val="none" w:sz="0" w:space="0" w:color="auto"/>
        <w:left w:val="none" w:sz="0" w:space="0" w:color="auto"/>
        <w:bottom w:val="none" w:sz="0" w:space="0" w:color="auto"/>
        <w:right w:val="none" w:sz="0" w:space="0" w:color="auto"/>
      </w:divBdr>
    </w:div>
    <w:div w:id="1416705486">
      <w:bodyDiv w:val="1"/>
      <w:marLeft w:val="0"/>
      <w:marRight w:val="0"/>
      <w:marTop w:val="0"/>
      <w:marBottom w:val="0"/>
      <w:divBdr>
        <w:top w:val="none" w:sz="0" w:space="0" w:color="auto"/>
        <w:left w:val="none" w:sz="0" w:space="0" w:color="auto"/>
        <w:bottom w:val="none" w:sz="0" w:space="0" w:color="auto"/>
        <w:right w:val="none" w:sz="0" w:space="0" w:color="auto"/>
      </w:divBdr>
    </w:div>
    <w:div w:id="1416707949">
      <w:bodyDiv w:val="1"/>
      <w:marLeft w:val="0"/>
      <w:marRight w:val="0"/>
      <w:marTop w:val="0"/>
      <w:marBottom w:val="0"/>
      <w:divBdr>
        <w:top w:val="none" w:sz="0" w:space="0" w:color="auto"/>
        <w:left w:val="none" w:sz="0" w:space="0" w:color="auto"/>
        <w:bottom w:val="none" w:sz="0" w:space="0" w:color="auto"/>
        <w:right w:val="none" w:sz="0" w:space="0" w:color="auto"/>
      </w:divBdr>
    </w:div>
    <w:div w:id="1416709505">
      <w:bodyDiv w:val="1"/>
      <w:marLeft w:val="0"/>
      <w:marRight w:val="0"/>
      <w:marTop w:val="0"/>
      <w:marBottom w:val="0"/>
      <w:divBdr>
        <w:top w:val="none" w:sz="0" w:space="0" w:color="auto"/>
        <w:left w:val="none" w:sz="0" w:space="0" w:color="auto"/>
        <w:bottom w:val="none" w:sz="0" w:space="0" w:color="auto"/>
        <w:right w:val="none" w:sz="0" w:space="0" w:color="auto"/>
      </w:divBdr>
    </w:div>
    <w:div w:id="1416780501">
      <w:bodyDiv w:val="1"/>
      <w:marLeft w:val="0"/>
      <w:marRight w:val="0"/>
      <w:marTop w:val="0"/>
      <w:marBottom w:val="0"/>
      <w:divBdr>
        <w:top w:val="none" w:sz="0" w:space="0" w:color="auto"/>
        <w:left w:val="none" w:sz="0" w:space="0" w:color="auto"/>
        <w:bottom w:val="none" w:sz="0" w:space="0" w:color="auto"/>
        <w:right w:val="none" w:sz="0" w:space="0" w:color="auto"/>
      </w:divBdr>
    </w:div>
    <w:div w:id="1416824731">
      <w:bodyDiv w:val="1"/>
      <w:marLeft w:val="0"/>
      <w:marRight w:val="0"/>
      <w:marTop w:val="0"/>
      <w:marBottom w:val="0"/>
      <w:divBdr>
        <w:top w:val="none" w:sz="0" w:space="0" w:color="auto"/>
        <w:left w:val="none" w:sz="0" w:space="0" w:color="auto"/>
        <w:bottom w:val="none" w:sz="0" w:space="0" w:color="auto"/>
        <w:right w:val="none" w:sz="0" w:space="0" w:color="auto"/>
      </w:divBdr>
    </w:div>
    <w:div w:id="1416827423">
      <w:bodyDiv w:val="1"/>
      <w:marLeft w:val="0"/>
      <w:marRight w:val="0"/>
      <w:marTop w:val="0"/>
      <w:marBottom w:val="0"/>
      <w:divBdr>
        <w:top w:val="none" w:sz="0" w:space="0" w:color="auto"/>
        <w:left w:val="none" w:sz="0" w:space="0" w:color="auto"/>
        <w:bottom w:val="none" w:sz="0" w:space="0" w:color="auto"/>
        <w:right w:val="none" w:sz="0" w:space="0" w:color="auto"/>
      </w:divBdr>
    </w:div>
    <w:div w:id="1416903606">
      <w:bodyDiv w:val="1"/>
      <w:marLeft w:val="0"/>
      <w:marRight w:val="0"/>
      <w:marTop w:val="0"/>
      <w:marBottom w:val="0"/>
      <w:divBdr>
        <w:top w:val="none" w:sz="0" w:space="0" w:color="auto"/>
        <w:left w:val="none" w:sz="0" w:space="0" w:color="auto"/>
        <w:bottom w:val="none" w:sz="0" w:space="0" w:color="auto"/>
        <w:right w:val="none" w:sz="0" w:space="0" w:color="auto"/>
      </w:divBdr>
    </w:div>
    <w:div w:id="1417021351">
      <w:bodyDiv w:val="1"/>
      <w:marLeft w:val="0"/>
      <w:marRight w:val="0"/>
      <w:marTop w:val="0"/>
      <w:marBottom w:val="0"/>
      <w:divBdr>
        <w:top w:val="none" w:sz="0" w:space="0" w:color="auto"/>
        <w:left w:val="none" w:sz="0" w:space="0" w:color="auto"/>
        <w:bottom w:val="none" w:sz="0" w:space="0" w:color="auto"/>
        <w:right w:val="none" w:sz="0" w:space="0" w:color="auto"/>
      </w:divBdr>
    </w:div>
    <w:div w:id="1417248716">
      <w:bodyDiv w:val="1"/>
      <w:marLeft w:val="0"/>
      <w:marRight w:val="0"/>
      <w:marTop w:val="0"/>
      <w:marBottom w:val="0"/>
      <w:divBdr>
        <w:top w:val="none" w:sz="0" w:space="0" w:color="auto"/>
        <w:left w:val="none" w:sz="0" w:space="0" w:color="auto"/>
        <w:bottom w:val="none" w:sz="0" w:space="0" w:color="auto"/>
        <w:right w:val="none" w:sz="0" w:space="0" w:color="auto"/>
      </w:divBdr>
    </w:div>
    <w:div w:id="1417285975">
      <w:bodyDiv w:val="1"/>
      <w:marLeft w:val="0"/>
      <w:marRight w:val="0"/>
      <w:marTop w:val="0"/>
      <w:marBottom w:val="0"/>
      <w:divBdr>
        <w:top w:val="none" w:sz="0" w:space="0" w:color="auto"/>
        <w:left w:val="none" w:sz="0" w:space="0" w:color="auto"/>
        <w:bottom w:val="none" w:sz="0" w:space="0" w:color="auto"/>
        <w:right w:val="none" w:sz="0" w:space="0" w:color="auto"/>
      </w:divBdr>
    </w:div>
    <w:div w:id="1417510627">
      <w:bodyDiv w:val="1"/>
      <w:marLeft w:val="0"/>
      <w:marRight w:val="0"/>
      <w:marTop w:val="0"/>
      <w:marBottom w:val="0"/>
      <w:divBdr>
        <w:top w:val="none" w:sz="0" w:space="0" w:color="auto"/>
        <w:left w:val="none" w:sz="0" w:space="0" w:color="auto"/>
        <w:bottom w:val="none" w:sz="0" w:space="0" w:color="auto"/>
        <w:right w:val="none" w:sz="0" w:space="0" w:color="auto"/>
      </w:divBdr>
    </w:div>
    <w:div w:id="1417559560">
      <w:bodyDiv w:val="1"/>
      <w:marLeft w:val="0"/>
      <w:marRight w:val="0"/>
      <w:marTop w:val="0"/>
      <w:marBottom w:val="0"/>
      <w:divBdr>
        <w:top w:val="none" w:sz="0" w:space="0" w:color="auto"/>
        <w:left w:val="none" w:sz="0" w:space="0" w:color="auto"/>
        <w:bottom w:val="none" w:sz="0" w:space="0" w:color="auto"/>
        <w:right w:val="none" w:sz="0" w:space="0" w:color="auto"/>
      </w:divBdr>
    </w:div>
    <w:div w:id="1417634178">
      <w:bodyDiv w:val="1"/>
      <w:marLeft w:val="0"/>
      <w:marRight w:val="0"/>
      <w:marTop w:val="0"/>
      <w:marBottom w:val="0"/>
      <w:divBdr>
        <w:top w:val="none" w:sz="0" w:space="0" w:color="auto"/>
        <w:left w:val="none" w:sz="0" w:space="0" w:color="auto"/>
        <w:bottom w:val="none" w:sz="0" w:space="0" w:color="auto"/>
        <w:right w:val="none" w:sz="0" w:space="0" w:color="auto"/>
      </w:divBdr>
    </w:div>
    <w:div w:id="1417677718">
      <w:bodyDiv w:val="1"/>
      <w:marLeft w:val="0"/>
      <w:marRight w:val="0"/>
      <w:marTop w:val="0"/>
      <w:marBottom w:val="0"/>
      <w:divBdr>
        <w:top w:val="none" w:sz="0" w:space="0" w:color="auto"/>
        <w:left w:val="none" w:sz="0" w:space="0" w:color="auto"/>
        <w:bottom w:val="none" w:sz="0" w:space="0" w:color="auto"/>
        <w:right w:val="none" w:sz="0" w:space="0" w:color="auto"/>
      </w:divBdr>
    </w:div>
    <w:div w:id="1417823303">
      <w:bodyDiv w:val="1"/>
      <w:marLeft w:val="0"/>
      <w:marRight w:val="0"/>
      <w:marTop w:val="0"/>
      <w:marBottom w:val="0"/>
      <w:divBdr>
        <w:top w:val="none" w:sz="0" w:space="0" w:color="auto"/>
        <w:left w:val="none" w:sz="0" w:space="0" w:color="auto"/>
        <w:bottom w:val="none" w:sz="0" w:space="0" w:color="auto"/>
        <w:right w:val="none" w:sz="0" w:space="0" w:color="auto"/>
      </w:divBdr>
    </w:div>
    <w:div w:id="1417938444">
      <w:bodyDiv w:val="1"/>
      <w:marLeft w:val="0"/>
      <w:marRight w:val="0"/>
      <w:marTop w:val="0"/>
      <w:marBottom w:val="0"/>
      <w:divBdr>
        <w:top w:val="none" w:sz="0" w:space="0" w:color="auto"/>
        <w:left w:val="none" w:sz="0" w:space="0" w:color="auto"/>
        <w:bottom w:val="none" w:sz="0" w:space="0" w:color="auto"/>
        <w:right w:val="none" w:sz="0" w:space="0" w:color="auto"/>
      </w:divBdr>
    </w:div>
    <w:div w:id="1418016248">
      <w:bodyDiv w:val="1"/>
      <w:marLeft w:val="0"/>
      <w:marRight w:val="0"/>
      <w:marTop w:val="0"/>
      <w:marBottom w:val="0"/>
      <w:divBdr>
        <w:top w:val="none" w:sz="0" w:space="0" w:color="auto"/>
        <w:left w:val="none" w:sz="0" w:space="0" w:color="auto"/>
        <w:bottom w:val="none" w:sz="0" w:space="0" w:color="auto"/>
        <w:right w:val="none" w:sz="0" w:space="0" w:color="auto"/>
      </w:divBdr>
    </w:div>
    <w:div w:id="1418212491">
      <w:bodyDiv w:val="1"/>
      <w:marLeft w:val="0"/>
      <w:marRight w:val="0"/>
      <w:marTop w:val="0"/>
      <w:marBottom w:val="0"/>
      <w:divBdr>
        <w:top w:val="none" w:sz="0" w:space="0" w:color="auto"/>
        <w:left w:val="none" w:sz="0" w:space="0" w:color="auto"/>
        <w:bottom w:val="none" w:sz="0" w:space="0" w:color="auto"/>
        <w:right w:val="none" w:sz="0" w:space="0" w:color="auto"/>
      </w:divBdr>
    </w:div>
    <w:div w:id="1418288223">
      <w:bodyDiv w:val="1"/>
      <w:marLeft w:val="0"/>
      <w:marRight w:val="0"/>
      <w:marTop w:val="0"/>
      <w:marBottom w:val="0"/>
      <w:divBdr>
        <w:top w:val="none" w:sz="0" w:space="0" w:color="auto"/>
        <w:left w:val="none" w:sz="0" w:space="0" w:color="auto"/>
        <w:bottom w:val="none" w:sz="0" w:space="0" w:color="auto"/>
        <w:right w:val="none" w:sz="0" w:space="0" w:color="auto"/>
      </w:divBdr>
    </w:div>
    <w:div w:id="1418360283">
      <w:bodyDiv w:val="1"/>
      <w:marLeft w:val="0"/>
      <w:marRight w:val="0"/>
      <w:marTop w:val="0"/>
      <w:marBottom w:val="0"/>
      <w:divBdr>
        <w:top w:val="none" w:sz="0" w:space="0" w:color="auto"/>
        <w:left w:val="none" w:sz="0" w:space="0" w:color="auto"/>
        <w:bottom w:val="none" w:sz="0" w:space="0" w:color="auto"/>
        <w:right w:val="none" w:sz="0" w:space="0" w:color="auto"/>
      </w:divBdr>
    </w:div>
    <w:div w:id="1418407358">
      <w:bodyDiv w:val="1"/>
      <w:marLeft w:val="0"/>
      <w:marRight w:val="0"/>
      <w:marTop w:val="0"/>
      <w:marBottom w:val="0"/>
      <w:divBdr>
        <w:top w:val="none" w:sz="0" w:space="0" w:color="auto"/>
        <w:left w:val="none" w:sz="0" w:space="0" w:color="auto"/>
        <w:bottom w:val="none" w:sz="0" w:space="0" w:color="auto"/>
        <w:right w:val="none" w:sz="0" w:space="0" w:color="auto"/>
      </w:divBdr>
    </w:div>
    <w:div w:id="1418477418">
      <w:bodyDiv w:val="1"/>
      <w:marLeft w:val="0"/>
      <w:marRight w:val="0"/>
      <w:marTop w:val="0"/>
      <w:marBottom w:val="0"/>
      <w:divBdr>
        <w:top w:val="none" w:sz="0" w:space="0" w:color="auto"/>
        <w:left w:val="none" w:sz="0" w:space="0" w:color="auto"/>
        <w:bottom w:val="none" w:sz="0" w:space="0" w:color="auto"/>
        <w:right w:val="none" w:sz="0" w:space="0" w:color="auto"/>
      </w:divBdr>
    </w:div>
    <w:div w:id="1418550023">
      <w:bodyDiv w:val="1"/>
      <w:marLeft w:val="0"/>
      <w:marRight w:val="0"/>
      <w:marTop w:val="0"/>
      <w:marBottom w:val="0"/>
      <w:divBdr>
        <w:top w:val="none" w:sz="0" w:space="0" w:color="auto"/>
        <w:left w:val="none" w:sz="0" w:space="0" w:color="auto"/>
        <w:bottom w:val="none" w:sz="0" w:space="0" w:color="auto"/>
        <w:right w:val="none" w:sz="0" w:space="0" w:color="auto"/>
      </w:divBdr>
    </w:div>
    <w:div w:id="1418550683">
      <w:bodyDiv w:val="1"/>
      <w:marLeft w:val="0"/>
      <w:marRight w:val="0"/>
      <w:marTop w:val="0"/>
      <w:marBottom w:val="0"/>
      <w:divBdr>
        <w:top w:val="none" w:sz="0" w:space="0" w:color="auto"/>
        <w:left w:val="none" w:sz="0" w:space="0" w:color="auto"/>
        <w:bottom w:val="none" w:sz="0" w:space="0" w:color="auto"/>
        <w:right w:val="none" w:sz="0" w:space="0" w:color="auto"/>
      </w:divBdr>
    </w:div>
    <w:div w:id="1418554231">
      <w:bodyDiv w:val="1"/>
      <w:marLeft w:val="0"/>
      <w:marRight w:val="0"/>
      <w:marTop w:val="0"/>
      <w:marBottom w:val="0"/>
      <w:divBdr>
        <w:top w:val="none" w:sz="0" w:space="0" w:color="auto"/>
        <w:left w:val="none" w:sz="0" w:space="0" w:color="auto"/>
        <w:bottom w:val="none" w:sz="0" w:space="0" w:color="auto"/>
        <w:right w:val="none" w:sz="0" w:space="0" w:color="auto"/>
      </w:divBdr>
    </w:div>
    <w:div w:id="1418598013">
      <w:bodyDiv w:val="1"/>
      <w:marLeft w:val="0"/>
      <w:marRight w:val="0"/>
      <w:marTop w:val="0"/>
      <w:marBottom w:val="0"/>
      <w:divBdr>
        <w:top w:val="none" w:sz="0" w:space="0" w:color="auto"/>
        <w:left w:val="none" w:sz="0" w:space="0" w:color="auto"/>
        <w:bottom w:val="none" w:sz="0" w:space="0" w:color="auto"/>
        <w:right w:val="none" w:sz="0" w:space="0" w:color="auto"/>
      </w:divBdr>
    </w:div>
    <w:div w:id="1418600133">
      <w:bodyDiv w:val="1"/>
      <w:marLeft w:val="0"/>
      <w:marRight w:val="0"/>
      <w:marTop w:val="0"/>
      <w:marBottom w:val="0"/>
      <w:divBdr>
        <w:top w:val="none" w:sz="0" w:space="0" w:color="auto"/>
        <w:left w:val="none" w:sz="0" w:space="0" w:color="auto"/>
        <w:bottom w:val="none" w:sz="0" w:space="0" w:color="auto"/>
        <w:right w:val="none" w:sz="0" w:space="0" w:color="auto"/>
      </w:divBdr>
    </w:div>
    <w:div w:id="1418939245">
      <w:bodyDiv w:val="1"/>
      <w:marLeft w:val="0"/>
      <w:marRight w:val="0"/>
      <w:marTop w:val="0"/>
      <w:marBottom w:val="0"/>
      <w:divBdr>
        <w:top w:val="none" w:sz="0" w:space="0" w:color="auto"/>
        <w:left w:val="none" w:sz="0" w:space="0" w:color="auto"/>
        <w:bottom w:val="none" w:sz="0" w:space="0" w:color="auto"/>
        <w:right w:val="none" w:sz="0" w:space="0" w:color="auto"/>
      </w:divBdr>
    </w:div>
    <w:div w:id="1418987730">
      <w:bodyDiv w:val="1"/>
      <w:marLeft w:val="0"/>
      <w:marRight w:val="0"/>
      <w:marTop w:val="0"/>
      <w:marBottom w:val="0"/>
      <w:divBdr>
        <w:top w:val="none" w:sz="0" w:space="0" w:color="auto"/>
        <w:left w:val="none" w:sz="0" w:space="0" w:color="auto"/>
        <w:bottom w:val="none" w:sz="0" w:space="0" w:color="auto"/>
        <w:right w:val="none" w:sz="0" w:space="0" w:color="auto"/>
      </w:divBdr>
    </w:div>
    <w:div w:id="1419133770">
      <w:bodyDiv w:val="1"/>
      <w:marLeft w:val="0"/>
      <w:marRight w:val="0"/>
      <w:marTop w:val="0"/>
      <w:marBottom w:val="0"/>
      <w:divBdr>
        <w:top w:val="none" w:sz="0" w:space="0" w:color="auto"/>
        <w:left w:val="none" w:sz="0" w:space="0" w:color="auto"/>
        <w:bottom w:val="none" w:sz="0" w:space="0" w:color="auto"/>
        <w:right w:val="none" w:sz="0" w:space="0" w:color="auto"/>
      </w:divBdr>
    </w:div>
    <w:div w:id="1419135959">
      <w:bodyDiv w:val="1"/>
      <w:marLeft w:val="0"/>
      <w:marRight w:val="0"/>
      <w:marTop w:val="0"/>
      <w:marBottom w:val="0"/>
      <w:divBdr>
        <w:top w:val="none" w:sz="0" w:space="0" w:color="auto"/>
        <w:left w:val="none" w:sz="0" w:space="0" w:color="auto"/>
        <w:bottom w:val="none" w:sz="0" w:space="0" w:color="auto"/>
        <w:right w:val="none" w:sz="0" w:space="0" w:color="auto"/>
      </w:divBdr>
    </w:div>
    <w:div w:id="1419213221">
      <w:bodyDiv w:val="1"/>
      <w:marLeft w:val="0"/>
      <w:marRight w:val="0"/>
      <w:marTop w:val="0"/>
      <w:marBottom w:val="0"/>
      <w:divBdr>
        <w:top w:val="none" w:sz="0" w:space="0" w:color="auto"/>
        <w:left w:val="none" w:sz="0" w:space="0" w:color="auto"/>
        <w:bottom w:val="none" w:sz="0" w:space="0" w:color="auto"/>
        <w:right w:val="none" w:sz="0" w:space="0" w:color="auto"/>
      </w:divBdr>
    </w:div>
    <w:div w:id="1419405703">
      <w:bodyDiv w:val="1"/>
      <w:marLeft w:val="0"/>
      <w:marRight w:val="0"/>
      <w:marTop w:val="0"/>
      <w:marBottom w:val="0"/>
      <w:divBdr>
        <w:top w:val="none" w:sz="0" w:space="0" w:color="auto"/>
        <w:left w:val="none" w:sz="0" w:space="0" w:color="auto"/>
        <w:bottom w:val="none" w:sz="0" w:space="0" w:color="auto"/>
        <w:right w:val="none" w:sz="0" w:space="0" w:color="auto"/>
      </w:divBdr>
    </w:div>
    <w:div w:id="1419445625">
      <w:bodyDiv w:val="1"/>
      <w:marLeft w:val="0"/>
      <w:marRight w:val="0"/>
      <w:marTop w:val="0"/>
      <w:marBottom w:val="0"/>
      <w:divBdr>
        <w:top w:val="none" w:sz="0" w:space="0" w:color="auto"/>
        <w:left w:val="none" w:sz="0" w:space="0" w:color="auto"/>
        <w:bottom w:val="none" w:sz="0" w:space="0" w:color="auto"/>
        <w:right w:val="none" w:sz="0" w:space="0" w:color="auto"/>
      </w:divBdr>
    </w:div>
    <w:div w:id="1419522524">
      <w:bodyDiv w:val="1"/>
      <w:marLeft w:val="0"/>
      <w:marRight w:val="0"/>
      <w:marTop w:val="0"/>
      <w:marBottom w:val="0"/>
      <w:divBdr>
        <w:top w:val="none" w:sz="0" w:space="0" w:color="auto"/>
        <w:left w:val="none" w:sz="0" w:space="0" w:color="auto"/>
        <w:bottom w:val="none" w:sz="0" w:space="0" w:color="auto"/>
        <w:right w:val="none" w:sz="0" w:space="0" w:color="auto"/>
      </w:divBdr>
    </w:div>
    <w:div w:id="1419642005">
      <w:bodyDiv w:val="1"/>
      <w:marLeft w:val="0"/>
      <w:marRight w:val="0"/>
      <w:marTop w:val="0"/>
      <w:marBottom w:val="0"/>
      <w:divBdr>
        <w:top w:val="none" w:sz="0" w:space="0" w:color="auto"/>
        <w:left w:val="none" w:sz="0" w:space="0" w:color="auto"/>
        <w:bottom w:val="none" w:sz="0" w:space="0" w:color="auto"/>
        <w:right w:val="none" w:sz="0" w:space="0" w:color="auto"/>
      </w:divBdr>
    </w:div>
    <w:div w:id="1419669503">
      <w:bodyDiv w:val="1"/>
      <w:marLeft w:val="0"/>
      <w:marRight w:val="0"/>
      <w:marTop w:val="0"/>
      <w:marBottom w:val="0"/>
      <w:divBdr>
        <w:top w:val="none" w:sz="0" w:space="0" w:color="auto"/>
        <w:left w:val="none" w:sz="0" w:space="0" w:color="auto"/>
        <w:bottom w:val="none" w:sz="0" w:space="0" w:color="auto"/>
        <w:right w:val="none" w:sz="0" w:space="0" w:color="auto"/>
      </w:divBdr>
    </w:div>
    <w:div w:id="1419670153">
      <w:bodyDiv w:val="1"/>
      <w:marLeft w:val="0"/>
      <w:marRight w:val="0"/>
      <w:marTop w:val="0"/>
      <w:marBottom w:val="0"/>
      <w:divBdr>
        <w:top w:val="none" w:sz="0" w:space="0" w:color="auto"/>
        <w:left w:val="none" w:sz="0" w:space="0" w:color="auto"/>
        <w:bottom w:val="none" w:sz="0" w:space="0" w:color="auto"/>
        <w:right w:val="none" w:sz="0" w:space="0" w:color="auto"/>
      </w:divBdr>
    </w:div>
    <w:div w:id="1419790818">
      <w:bodyDiv w:val="1"/>
      <w:marLeft w:val="0"/>
      <w:marRight w:val="0"/>
      <w:marTop w:val="0"/>
      <w:marBottom w:val="0"/>
      <w:divBdr>
        <w:top w:val="none" w:sz="0" w:space="0" w:color="auto"/>
        <w:left w:val="none" w:sz="0" w:space="0" w:color="auto"/>
        <w:bottom w:val="none" w:sz="0" w:space="0" w:color="auto"/>
        <w:right w:val="none" w:sz="0" w:space="0" w:color="auto"/>
      </w:divBdr>
    </w:div>
    <w:div w:id="1419869797">
      <w:bodyDiv w:val="1"/>
      <w:marLeft w:val="0"/>
      <w:marRight w:val="0"/>
      <w:marTop w:val="0"/>
      <w:marBottom w:val="0"/>
      <w:divBdr>
        <w:top w:val="none" w:sz="0" w:space="0" w:color="auto"/>
        <w:left w:val="none" w:sz="0" w:space="0" w:color="auto"/>
        <w:bottom w:val="none" w:sz="0" w:space="0" w:color="auto"/>
        <w:right w:val="none" w:sz="0" w:space="0" w:color="auto"/>
      </w:divBdr>
    </w:div>
    <w:div w:id="1419983300">
      <w:bodyDiv w:val="1"/>
      <w:marLeft w:val="0"/>
      <w:marRight w:val="0"/>
      <w:marTop w:val="0"/>
      <w:marBottom w:val="0"/>
      <w:divBdr>
        <w:top w:val="none" w:sz="0" w:space="0" w:color="auto"/>
        <w:left w:val="none" w:sz="0" w:space="0" w:color="auto"/>
        <w:bottom w:val="none" w:sz="0" w:space="0" w:color="auto"/>
        <w:right w:val="none" w:sz="0" w:space="0" w:color="auto"/>
      </w:divBdr>
    </w:div>
    <w:div w:id="1420102590">
      <w:bodyDiv w:val="1"/>
      <w:marLeft w:val="0"/>
      <w:marRight w:val="0"/>
      <w:marTop w:val="0"/>
      <w:marBottom w:val="0"/>
      <w:divBdr>
        <w:top w:val="none" w:sz="0" w:space="0" w:color="auto"/>
        <w:left w:val="none" w:sz="0" w:space="0" w:color="auto"/>
        <w:bottom w:val="none" w:sz="0" w:space="0" w:color="auto"/>
        <w:right w:val="none" w:sz="0" w:space="0" w:color="auto"/>
      </w:divBdr>
    </w:div>
    <w:div w:id="1420172127">
      <w:bodyDiv w:val="1"/>
      <w:marLeft w:val="0"/>
      <w:marRight w:val="0"/>
      <w:marTop w:val="0"/>
      <w:marBottom w:val="0"/>
      <w:divBdr>
        <w:top w:val="none" w:sz="0" w:space="0" w:color="auto"/>
        <w:left w:val="none" w:sz="0" w:space="0" w:color="auto"/>
        <w:bottom w:val="none" w:sz="0" w:space="0" w:color="auto"/>
        <w:right w:val="none" w:sz="0" w:space="0" w:color="auto"/>
      </w:divBdr>
    </w:div>
    <w:div w:id="1420180873">
      <w:bodyDiv w:val="1"/>
      <w:marLeft w:val="0"/>
      <w:marRight w:val="0"/>
      <w:marTop w:val="0"/>
      <w:marBottom w:val="0"/>
      <w:divBdr>
        <w:top w:val="none" w:sz="0" w:space="0" w:color="auto"/>
        <w:left w:val="none" w:sz="0" w:space="0" w:color="auto"/>
        <w:bottom w:val="none" w:sz="0" w:space="0" w:color="auto"/>
        <w:right w:val="none" w:sz="0" w:space="0" w:color="auto"/>
      </w:divBdr>
    </w:div>
    <w:div w:id="1420325077">
      <w:bodyDiv w:val="1"/>
      <w:marLeft w:val="0"/>
      <w:marRight w:val="0"/>
      <w:marTop w:val="0"/>
      <w:marBottom w:val="0"/>
      <w:divBdr>
        <w:top w:val="none" w:sz="0" w:space="0" w:color="auto"/>
        <w:left w:val="none" w:sz="0" w:space="0" w:color="auto"/>
        <w:bottom w:val="none" w:sz="0" w:space="0" w:color="auto"/>
        <w:right w:val="none" w:sz="0" w:space="0" w:color="auto"/>
      </w:divBdr>
    </w:div>
    <w:div w:id="1420524467">
      <w:bodyDiv w:val="1"/>
      <w:marLeft w:val="0"/>
      <w:marRight w:val="0"/>
      <w:marTop w:val="0"/>
      <w:marBottom w:val="0"/>
      <w:divBdr>
        <w:top w:val="none" w:sz="0" w:space="0" w:color="auto"/>
        <w:left w:val="none" w:sz="0" w:space="0" w:color="auto"/>
        <w:bottom w:val="none" w:sz="0" w:space="0" w:color="auto"/>
        <w:right w:val="none" w:sz="0" w:space="0" w:color="auto"/>
      </w:divBdr>
    </w:div>
    <w:div w:id="1420565648">
      <w:bodyDiv w:val="1"/>
      <w:marLeft w:val="0"/>
      <w:marRight w:val="0"/>
      <w:marTop w:val="0"/>
      <w:marBottom w:val="0"/>
      <w:divBdr>
        <w:top w:val="none" w:sz="0" w:space="0" w:color="auto"/>
        <w:left w:val="none" w:sz="0" w:space="0" w:color="auto"/>
        <w:bottom w:val="none" w:sz="0" w:space="0" w:color="auto"/>
        <w:right w:val="none" w:sz="0" w:space="0" w:color="auto"/>
      </w:divBdr>
    </w:div>
    <w:div w:id="1420716518">
      <w:bodyDiv w:val="1"/>
      <w:marLeft w:val="0"/>
      <w:marRight w:val="0"/>
      <w:marTop w:val="0"/>
      <w:marBottom w:val="0"/>
      <w:divBdr>
        <w:top w:val="none" w:sz="0" w:space="0" w:color="auto"/>
        <w:left w:val="none" w:sz="0" w:space="0" w:color="auto"/>
        <w:bottom w:val="none" w:sz="0" w:space="0" w:color="auto"/>
        <w:right w:val="none" w:sz="0" w:space="0" w:color="auto"/>
      </w:divBdr>
    </w:div>
    <w:div w:id="1420716541">
      <w:bodyDiv w:val="1"/>
      <w:marLeft w:val="0"/>
      <w:marRight w:val="0"/>
      <w:marTop w:val="0"/>
      <w:marBottom w:val="0"/>
      <w:divBdr>
        <w:top w:val="none" w:sz="0" w:space="0" w:color="auto"/>
        <w:left w:val="none" w:sz="0" w:space="0" w:color="auto"/>
        <w:bottom w:val="none" w:sz="0" w:space="0" w:color="auto"/>
        <w:right w:val="none" w:sz="0" w:space="0" w:color="auto"/>
      </w:divBdr>
    </w:div>
    <w:div w:id="1420716810">
      <w:bodyDiv w:val="1"/>
      <w:marLeft w:val="0"/>
      <w:marRight w:val="0"/>
      <w:marTop w:val="0"/>
      <w:marBottom w:val="0"/>
      <w:divBdr>
        <w:top w:val="none" w:sz="0" w:space="0" w:color="auto"/>
        <w:left w:val="none" w:sz="0" w:space="0" w:color="auto"/>
        <w:bottom w:val="none" w:sz="0" w:space="0" w:color="auto"/>
        <w:right w:val="none" w:sz="0" w:space="0" w:color="auto"/>
      </w:divBdr>
    </w:div>
    <w:div w:id="1420756679">
      <w:bodyDiv w:val="1"/>
      <w:marLeft w:val="0"/>
      <w:marRight w:val="0"/>
      <w:marTop w:val="0"/>
      <w:marBottom w:val="0"/>
      <w:divBdr>
        <w:top w:val="none" w:sz="0" w:space="0" w:color="auto"/>
        <w:left w:val="none" w:sz="0" w:space="0" w:color="auto"/>
        <w:bottom w:val="none" w:sz="0" w:space="0" w:color="auto"/>
        <w:right w:val="none" w:sz="0" w:space="0" w:color="auto"/>
      </w:divBdr>
    </w:div>
    <w:div w:id="1420759529">
      <w:bodyDiv w:val="1"/>
      <w:marLeft w:val="0"/>
      <w:marRight w:val="0"/>
      <w:marTop w:val="0"/>
      <w:marBottom w:val="0"/>
      <w:divBdr>
        <w:top w:val="none" w:sz="0" w:space="0" w:color="auto"/>
        <w:left w:val="none" w:sz="0" w:space="0" w:color="auto"/>
        <w:bottom w:val="none" w:sz="0" w:space="0" w:color="auto"/>
        <w:right w:val="none" w:sz="0" w:space="0" w:color="auto"/>
      </w:divBdr>
    </w:div>
    <w:div w:id="1420784789">
      <w:bodyDiv w:val="1"/>
      <w:marLeft w:val="0"/>
      <w:marRight w:val="0"/>
      <w:marTop w:val="0"/>
      <w:marBottom w:val="0"/>
      <w:divBdr>
        <w:top w:val="none" w:sz="0" w:space="0" w:color="auto"/>
        <w:left w:val="none" w:sz="0" w:space="0" w:color="auto"/>
        <w:bottom w:val="none" w:sz="0" w:space="0" w:color="auto"/>
        <w:right w:val="none" w:sz="0" w:space="0" w:color="auto"/>
      </w:divBdr>
    </w:div>
    <w:div w:id="1420904660">
      <w:bodyDiv w:val="1"/>
      <w:marLeft w:val="0"/>
      <w:marRight w:val="0"/>
      <w:marTop w:val="0"/>
      <w:marBottom w:val="0"/>
      <w:divBdr>
        <w:top w:val="none" w:sz="0" w:space="0" w:color="auto"/>
        <w:left w:val="none" w:sz="0" w:space="0" w:color="auto"/>
        <w:bottom w:val="none" w:sz="0" w:space="0" w:color="auto"/>
        <w:right w:val="none" w:sz="0" w:space="0" w:color="auto"/>
      </w:divBdr>
    </w:div>
    <w:div w:id="1420910860">
      <w:bodyDiv w:val="1"/>
      <w:marLeft w:val="0"/>
      <w:marRight w:val="0"/>
      <w:marTop w:val="0"/>
      <w:marBottom w:val="0"/>
      <w:divBdr>
        <w:top w:val="none" w:sz="0" w:space="0" w:color="auto"/>
        <w:left w:val="none" w:sz="0" w:space="0" w:color="auto"/>
        <w:bottom w:val="none" w:sz="0" w:space="0" w:color="auto"/>
        <w:right w:val="none" w:sz="0" w:space="0" w:color="auto"/>
      </w:divBdr>
    </w:div>
    <w:div w:id="1420984181">
      <w:bodyDiv w:val="1"/>
      <w:marLeft w:val="0"/>
      <w:marRight w:val="0"/>
      <w:marTop w:val="0"/>
      <w:marBottom w:val="0"/>
      <w:divBdr>
        <w:top w:val="none" w:sz="0" w:space="0" w:color="auto"/>
        <w:left w:val="none" w:sz="0" w:space="0" w:color="auto"/>
        <w:bottom w:val="none" w:sz="0" w:space="0" w:color="auto"/>
        <w:right w:val="none" w:sz="0" w:space="0" w:color="auto"/>
      </w:divBdr>
    </w:div>
    <w:div w:id="1421097178">
      <w:bodyDiv w:val="1"/>
      <w:marLeft w:val="0"/>
      <w:marRight w:val="0"/>
      <w:marTop w:val="0"/>
      <w:marBottom w:val="0"/>
      <w:divBdr>
        <w:top w:val="none" w:sz="0" w:space="0" w:color="auto"/>
        <w:left w:val="none" w:sz="0" w:space="0" w:color="auto"/>
        <w:bottom w:val="none" w:sz="0" w:space="0" w:color="auto"/>
        <w:right w:val="none" w:sz="0" w:space="0" w:color="auto"/>
      </w:divBdr>
    </w:div>
    <w:div w:id="1421216052">
      <w:bodyDiv w:val="1"/>
      <w:marLeft w:val="0"/>
      <w:marRight w:val="0"/>
      <w:marTop w:val="0"/>
      <w:marBottom w:val="0"/>
      <w:divBdr>
        <w:top w:val="none" w:sz="0" w:space="0" w:color="auto"/>
        <w:left w:val="none" w:sz="0" w:space="0" w:color="auto"/>
        <w:bottom w:val="none" w:sz="0" w:space="0" w:color="auto"/>
        <w:right w:val="none" w:sz="0" w:space="0" w:color="auto"/>
      </w:divBdr>
    </w:div>
    <w:div w:id="1421296328">
      <w:bodyDiv w:val="1"/>
      <w:marLeft w:val="0"/>
      <w:marRight w:val="0"/>
      <w:marTop w:val="0"/>
      <w:marBottom w:val="0"/>
      <w:divBdr>
        <w:top w:val="none" w:sz="0" w:space="0" w:color="auto"/>
        <w:left w:val="none" w:sz="0" w:space="0" w:color="auto"/>
        <w:bottom w:val="none" w:sz="0" w:space="0" w:color="auto"/>
        <w:right w:val="none" w:sz="0" w:space="0" w:color="auto"/>
      </w:divBdr>
    </w:div>
    <w:div w:id="1421297554">
      <w:bodyDiv w:val="1"/>
      <w:marLeft w:val="0"/>
      <w:marRight w:val="0"/>
      <w:marTop w:val="0"/>
      <w:marBottom w:val="0"/>
      <w:divBdr>
        <w:top w:val="none" w:sz="0" w:space="0" w:color="auto"/>
        <w:left w:val="none" w:sz="0" w:space="0" w:color="auto"/>
        <w:bottom w:val="none" w:sz="0" w:space="0" w:color="auto"/>
        <w:right w:val="none" w:sz="0" w:space="0" w:color="auto"/>
      </w:divBdr>
    </w:div>
    <w:div w:id="1421369051">
      <w:bodyDiv w:val="1"/>
      <w:marLeft w:val="0"/>
      <w:marRight w:val="0"/>
      <w:marTop w:val="0"/>
      <w:marBottom w:val="0"/>
      <w:divBdr>
        <w:top w:val="none" w:sz="0" w:space="0" w:color="auto"/>
        <w:left w:val="none" w:sz="0" w:space="0" w:color="auto"/>
        <w:bottom w:val="none" w:sz="0" w:space="0" w:color="auto"/>
        <w:right w:val="none" w:sz="0" w:space="0" w:color="auto"/>
      </w:divBdr>
    </w:div>
    <w:div w:id="1421634182">
      <w:bodyDiv w:val="1"/>
      <w:marLeft w:val="0"/>
      <w:marRight w:val="0"/>
      <w:marTop w:val="0"/>
      <w:marBottom w:val="0"/>
      <w:divBdr>
        <w:top w:val="none" w:sz="0" w:space="0" w:color="auto"/>
        <w:left w:val="none" w:sz="0" w:space="0" w:color="auto"/>
        <w:bottom w:val="none" w:sz="0" w:space="0" w:color="auto"/>
        <w:right w:val="none" w:sz="0" w:space="0" w:color="auto"/>
      </w:divBdr>
    </w:div>
    <w:div w:id="1421826379">
      <w:bodyDiv w:val="1"/>
      <w:marLeft w:val="0"/>
      <w:marRight w:val="0"/>
      <w:marTop w:val="0"/>
      <w:marBottom w:val="0"/>
      <w:divBdr>
        <w:top w:val="none" w:sz="0" w:space="0" w:color="auto"/>
        <w:left w:val="none" w:sz="0" w:space="0" w:color="auto"/>
        <w:bottom w:val="none" w:sz="0" w:space="0" w:color="auto"/>
        <w:right w:val="none" w:sz="0" w:space="0" w:color="auto"/>
      </w:divBdr>
    </w:div>
    <w:div w:id="1421828077">
      <w:bodyDiv w:val="1"/>
      <w:marLeft w:val="0"/>
      <w:marRight w:val="0"/>
      <w:marTop w:val="0"/>
      <w:marBottom w:val="0"/>
      <w:divBdr>
        <w:top w:val="none" w:sz="0" w:space="0" w:color="auto"/>
        <w:left w:val="none" w:sz="0" w:space="0" w:color="auto"/>
        <w:bottom w:val="none" w:sz="0" w:space="0" w:color="auto"/>
        <w:right w:val="none" w:sz="0" w:space="0" w:color="auto"/>
      </w:divBdr>
    </w:div>
    <w:div w:id="1421828136">
      <w:bodyDiv w:val="1"/>
      <w:marLeft w:val="0"/>
      <w:marRight w:val="0"/>
      <w:marTop w:val="0"/>
      <w:marBottom w:val="0"/>
      <w:divBdr>
        <w:top w:val="none" w:sz="0" w:space="0" w:color="auto"/>
        <w:left w:val="none" w:sz="0" w:space="0" w:color="auto"/>
        <w:bottom w:val="none" w:sz="0" w:space="0" w:color="auto"/>
        <w:right w:val="none" w:sz="0" w:space="0" w:color="auto"/>
      </w:divBdr>
    </w:div>
    <w:div w:id="1421829924">
      <w:bodyDiv w:val="1"/>
      <w:marLeft w:val="0"/>
      <w:marRight w:val="0"/>
      <w:marTop w:val="0"/>
      <w:marBottom w:val="0"/>
      <w:divBdr>
        <w:top w:val="none" w:sz="0" w:space="0" w:color="auto"/>
        <w:left w:val="none" w:sz="0" w:space="0" w:color="auto"/>
        <w:bottom w:val="none" w:sz="0" w:space="0" w:color="auto"/>
        <w:right w:val="none" w:sz="0" w:space="0" w:color="auto"/>
      </w:divBdr>
    </w:div>
    <w:div w:id="1422071584">
      <w:bodyDiv w:val="1"/>
      <w:marLeft w:val="0"/>
      <w:marRight w:val="0"/>
      <w:marTop w:val="0"/>
      <w:marBottom w:val="0"/>
      <w:divBdr>
        <w:top w:val="none" w:sz="0" w:space="0" w:color="auto"/>
        <w:left w:val="none" w:sz="0" w:space="0" w:color="auto"/>
        <w:bottom w:val="none" w:sz="0" w:space="0" w:color="auto"/>
        <w:right w:val="none" w:sz="0" w:space="0" w:color="auto"/>
      </w:divBdr>
    </w:div>
    <w:div w:id="1422142172">
      <w:bodyDiv w:val="1"/>
      <w:marLeft w:val="0"/>
      <w:marRight w:val="0"/>
      <w:marTop w:val="0"/>
      <w:marBottom w:val="0"/>
      <w:divBdr>
        <w:top w:val="none" w:sz="0" w:space="0" w:color="auto"/>
        <w:left w:val="none" w:sz="0" w:space="0" w:color="auto"/>
        <w:bottom w:val="none" w:sz="0" w:space="0" w:color="auto"/>
        <w:right w:val="none" w:sz="0" w:space="0" w:color="auto"/>
      </w:divBdr>
    </w:div>
    <w:div w:id="1422216367">
      <w:bodyDiv w:val="1"/>
      <w:marLeft w:val="0"/>
      <w:marRight w:val="0"/>
      <w:marTop w:val="0"/>
      <w:marBottom w:val="0"/>
      <w:divBdr>
        <w:top w:val="none" w:sz="0" w:space="0" w:color="auto"/>
        <w:left w:val="none" w:sz="0" w:space="0" w:color="auto"/>
        <w:bottom w:val="none" w:sz="0" w:space="0" w:color="auto"/>
        <w:right w:val="none" w:sz="0" w:space="0" w:color="auto"/>
      </w:divBdr>
    </w:div>
    <w:div w:id="1422263814">
      <w:bodyDiv w:val="1"/>
      <w:marLeft w:val="0"/>
      <w:marRight w:val="0"/>
      <w:marTop w:val="0"/>
      <w:marBottom w:val="0"/>
      <w:divBdr>
        <w:top w:val="none" w:sz="0" w:space="0" w:color="auto"/>
        <w:left w:val="none" w:sz="0" w:space="0" w:color="auto"/>
        <w:bottom w:val="none" w:sz="0" w:space="0" w:color="auto"/>
        <w:right w:val="none" w:sz="0" w:space="0" w:color="auto"/>
      </w:divBdr>
    </w:div>
    <w:div w:id="1422413410">
      <w:bodyDiv w:val="1"/>
      <w:marLeft w:val="0"/>
      <w:marRight w:val="0"/>
      <w:marTop w:val="0"/>
      <w:marBottom w:val="0"/>
      <w:divBdr>
        <w:top w:val="none" w:sz="0" w:space="0" w:color="auto"/>
        <w:left w:val="none" w:sz="0" w:space="0" w:color="auto"/>
        <w:bottom w:val="none" w:sz="0" w:space="0" w:color="auto"/>
        <w:right w:val="none" w:sz="0" w:space="0" w:color="auto"/>
      </w:divBdr>
    </w:div>
    <w:div w:id="1422482629">
      <w:bodyDiv w:val="1"/>
      <w:marLeft w:val="0"/>
      <w:marRight w:val="0"/>
      <w:marTop w:val="0"/>
      <w:marBottom w:val="0"/>
      <w:divBdr>
        <w:top w:val="none" w:sz="0" w:space="0" w:color="auto"/>
        <w:left w:val="none" w:sz="0" w:space="0" w:color="auto"/>
        <w:bottom w:val="none" w:sz="0" w:space="0" w:color="auto"/>
        <w:right w:val="none" w:sz="0" w:space="0" w:color="auto"/>
      </w:divBdr>
    </w:div>
    <w:div w:id="1422485055">
      <w:bodyDiv w:val="1"/>
      <w:marLeft w:val="0"/>
      <w:marRight w:val="0"/>
      <w:marTop w:val="0"/>
      <w:marBottom w:val="0"/>
      <w:divBdr>
        <w:top w:val="none" w:sz="0" w:space="0" w:color="auto"/>
        <w:left w:val="none" w:sz="0" w:space="0" w:color="auto"/>
        <w:bottom w:val="none" w:sz="0" w:space="0" w:color="auto"/>
        <w:right w:val="none" w:sz="0" w:space="0" w:color="auto"/>
      </w:divBdr>
    </w:div>
    <w:div w:id="1422530964">
      <w:bodyDiv w:val="1"/>
      <w:marLeft w:val="0"/>
      <w:marRight w:val="0"/>
      <w:marTop w:val="0"/>
      <w:marBottom w:val="0"/>
      <w:divBdr>
        <w:top w:val="none" w:sz="0" w:space="0" w:color="auto"/>
        <w:left w:val="none" w:sz="0" w:space="0" w:color="auto"/>
        <w:bottom w:val="none" w:sz="0" w:space="0" w:color="auto"/>
        <w:right w:val="none" w:sz="0" w:space="0" w:color="auto"/>
      </w:divBdr>
    </w:div>
    <w:div w:id="1422606187">
      <w:bodyDiv w:val="1"/>
      <w:marLeft w:val="0"/>
      <w:marRight w:val="0"/>
      <w:marTop w:val="0"/>
      <w:marBottom w:val="0"/>
      <w:divBdr>
        <w:top w:val="none" w:sz="0" w:space="0" w:color="auto"/>
        <w:left w:val="none" w:sz="0" w:space="0" w:color="auto"/>
        <w:bottom w:val="none" w:sz="0" w:space="0" w:color="auto"/>
        <w:right w:val="none" w:sz="0" w:space="0" w:color="auto"/>
      </w:divBdr>
    </w:div>
    <w:div w:id="1422677904">
      <w:bodyDiv w:val="1"/>
      <w:marLeft w:val="0"/>
      <w:marRight w:val="0"/>
      <w:marTop w:val="0"/>
      <w:marBottom w:val="0"/>
      <w:divBdr>
        <w:top w:val="none" w:sz="0" w:space="0" w:color="auto"/>
        <w:left w:val="none" w:sz="0" w:space="0" w:color="auto"/>
        <w:bottom w:val="none" w:sz="0" w:space="0" w:color="auto"/>
        <w:right w:val="none" w:sz="0" w:space="0" w:color="auto"/>
      </w:divBdr>
    </w:div>
    <w:div w:id="1422683274">
      <w:bodyDiv w:val="1"/>
      <w:marLeft w:val="0"/>
      <w:marRight w:val="0"/>
      <w:marTop w:val="0"/>
      <w:marBottom w:val="0"/>
      <w:divBdr>
        <w:top w:val="none" w:sz="0" w:space="0" w:color="auto"/>
        <w:left w:val="none" w:sz="0" w:space="0" w:color="auto"/>
        <w:bottom w:val="none" w:sz="0" w:space="0" w:color="auto"/>
        <w:right w:val="none" w:sz="0" w:space="0" w:color="auto"/>
      </w:divBdr>
    </w:div>
    <w:div w:id="1422800488">
      <w:bodyDiv w:val="1"/>
      <w:marLeft w:val="0"/>
      <w:marRight w:val="0"/>
      <w:marTop w:val="0"/>
      <w:marBottom w:val="0"/>
      <w:divBdr>
        <w:top w:val="none" w:sz="0" w:space="0" w:color="auto"/>
        <w:left w:val="none" w:sz="0" w:space="0" w:color="auto"/>
        <w:bottom w:val="none" w:sz="0" w:space="0" w:color="auto"/>
        <w:right w:val="none" w:sz="0" w:space="0" w:color="auto"/>
      </w:divBdr>
    </w:div>
    <w:div w:id="1422870942">
      <w:bodyDiv w:val="1"/>
      <w:marLeft w:val="0"/>
      <w:marRight w:val="0"/>
      <w:marTop w:val="0"/>
      <w:marBottom w:val="0"/>
      <w:divBdr>
        <w:top w:val="none" w:sz="0" w:space="0" w:color="auto"/>
        <w:left w:val="none" w:sz="0" w:space="0" w:color="auto"/>
        <w:bottom w:val="none" w:sz="0" w:space="0" w:color="auto"/>
        <w:right w:val="none" w:sz="0" w:space="0" w:color="auto"/>
      </w:divBdr>
    </w:div>
    <w:div w:id="1422943875">
      <w:bodyDiv w:val="1"/>
      <w:marLeft w:val="0"/>
      <w:marRight w:val="0"/>
      <w:marTop w:val="0"/>
      <w:marBottom w:val="0"/>
      <w:divBdr>
        <w:top w:val="none" w:sz="0" w:space="0" w:color="auto"/>
        <w:left w:val="none" w:sz="0" w:space="0" w:color="auto"/>
        <w:bottom w:val="none" w:sz="0" w:space="0" w:color="auto"/>
        <w:right w:val="none" w:sz="0" w:space="0" w:color="auto"/>
      </w:divBdr>
    </w:div>
    <w:div w:id="1423142951">
      <w:bodyDiv w:val="1"/>
      <w:marLeft w:val="0"/>
      <w:marRight w:val="0"/>
      <w:marTop w:val="0"/>
      <w:marBottom w:val="0"/>
      <w:divBdr>
        <w:top w:val="none" w:sz="0" w:space="0" w:color="auto"/>
        <w:left w:val="none" w:sz="0" w:space="0" w:color="auto"/>
        <w:bottom w:val="none" w:sz="0" w:space="0" w:color="auto"/>
        <w:right w:val="none" w:sz="0" w:space="0" w:color="auto"/>
      </w:divBdr>
    </w:div>
    <w:div w:id="1423259885">
      <w:bodyDiv w:val="1"/>
      <w:marLeft w:val="0"/>
      <w:marRight w:val="0"/>
      <w:marTop w:val="0"/>
      <w:marBottom w:val="0"/>
      <w:divBdr>
        <w:top w:val="none" w:sz="0" w:space="0" w:color="auto"/>
        <w:left w:val="none" w:sz="0" w:space="0" w:color="auto"/>
        <w:bottom w:val="none" w:sz="0" w:space="0" w:color="auto"/>
        <w:right w:val="none" w:sz="0" w:space="0" w:color="auto"/>
      </w:divBdr>
    </w:div>
    <w:div w:id="1423332793">
      <w:bodyDiv w:val="1"/>
      <w:marLeft w:val="0"/>
      <w:marRight w:val="0"/>
      <w:marTop w:val="0"/>
      <w:marBottom w:val="0"/>
      <w:divBdr>
        <w:top w:val="none" w:sz="0" w:space="0" w:color="auto"/>
        <w:left w:val="none" w:sz="0" w:space="0" w:color="auto"/>
        <w:bottom w:val="none" w:sz="0" w:space="0" w:color="auto"/>
        <w:right w:val="none" w:sz="0" w:space="0" w:color="auto"/>
      </w:divBdr>
    </w:div>
    <w:div w:id="1423381775">
      <w:bodyDiv w:val="1"/>
      <w:marLeft w:val="0"/>
      <w:marRight w:val="0"/>
      <w:marTop w:val="0"/>
      <w:marBottom w:val="0"/>
      <w:divBdr>
        <w:top w:val="none" w:sz="0" w:space="0" w:color="auto"/>
        <w:left w:val="none" w:sz="0" w:space="0" w:color="auto"/>
        <w:bottom w:val="none" w:sz="0" w:space="0" w:color="auto"/>
        <w:right w:val="none" w:sz="0" w:space="0" w:color="auto"/>
      </w:divBdr>
    </w:div>
    <w:div w:id="1423407567">
      <w:bodyDiv w:val="1"/>
      <w:marLeft w:val="0"/>
      <w:marRight w:val="0"/>
      <w:marTop w:val="0"/>
      <w:marBottom w:val="0"/>
      <w:divBdr>
        <w:top w:val="none" w:sz="0" w:space="0" w:color="auto"/>
        <w:left w:val="none" w:sz="0" w:space="0" w:color="auto"/>
        <w:bottom w:val="none" w:sz="0" w:space="0" w:color="auto"/>
        <w:right w:val="none" w:sz="0" w:space="0" w:color="auto"/>
      </w:divBdr>
    </w:div>
    <w:div w:id="1423523497">
      <w:bodyDiv w:val="1"/>
      <w:marLeft w:val="0"/>
      <w:marRight w:val="0"/>
      <w:marTop w:val="0"/>
      <w:marBottom w:val="0"/>
      <w:divBdr>
        <w:top w:val="none" w:sz="0" w:space="0" w:color="auto"/>
        <w:left w:val="none" w:sz="0" w:space="0" w:color="auto"/>
        <w:bottom w:val="none" w:sz="0" w:space="0" w:color="auto"/>
        <w:right w:val="none" w:sz="0" w:space="0" w:color="auto"/>
      </w:divBdr>
    </w:div>
    <w:div w:id="1423525800">
      <w:bodyDiv w:val="1"/>
      <w:marLeft w:val="0"/>
      <w:marRight w:val="0"/>
      <w:marTop w:val="0"/>
      <w:marBottom w:val="0"/>
      <w:divBdr>
        <w:top w:val="none" w:sz="0" w:space="0" w:color="auto"/>
        <w:left w:val="none" w:sz="0" w:space="0" w:color="auto"/>
        <w:bottom w:val="none" w:sz="0" w:space="0" w:color="auto"/>
        <w:right w:val="none" w:sz="0" w:space="0" w:color="auto"/>
      </w:divBdr>
    </w:div>
    <w:div w:id="1423645620">
      <w:bodyDiv w:val="1"/>
      <w:marLeft w:val="0"/>
      <w:marRight w:val="0"/>
      <w:marTop w:val="0"/>
      <w:marBottom w:val="0"/>
      <w:divBdr>
        <w:top w:val="none" w:sz="0" w:space="0" w:color="auto"/>
        <w:left w:val="none" w:sz="0" w:space="0" w:color="auto"/>
        <w:bottom w:val="none" w:sz="0" w:space="0" w:color="auto"/>
        <w:right w:val="none" w:sz="0" w:space="0" w:color="auto"/>
      </w:divBdr>
    </w:div>
    <w:div w:id="1423723818">
      <w:bodyDiv w:val="1"/>
      <w:marLeft w:val="0"/>
      <w:marRight w:val="0"/>
      <w:marTop w:val="0"/>
      <w:marBottom w:val="0"/>
      <w:divBdr>
        <w:top w:val="none" w:sz="0" w:space="0" w:color="auto"/>
        <w:left w:val="none" w:sz="0" w:space="0" w:color="auto"/>
        <w:bottom w:val="none" w:sz="0" w:space="0" w:color="auto"/>
        <w:right w:val="none" w:sz="0" w:space="0" w:color="auto"/>
      </w:divBdr>
    </w:div>
    <w:div w:id="1423799700">
      <w:bodyDiv w:val="1"/>
      <w:marLeft w:val="0"/>
      <w:marRight w:val="0"/>
      <w:marTop w:val="0"/>
      <w:marBottom w:val="0"/>
      <w:divBdr>
        <w:top w:val="none" w:sz="0" w:space="0" w:color="auto"/>
        <w:left w:val="none" w:sz="0" w:space="0" w:color="auto"/>
        <w:bottom w:val="none" w:sz="0" w:space="0" w:color="auto"/>
        <w:right w:val="none" w:sz="0" w:space="0" w:color="auto"/>
      </w:divBdr>
    </w:div>
    <w:div w:id="1423916187">
      <w:bodyDiv w:val="1"/>
      <w:marLeft w:val="0"/>
      <w:marRight w:val="0"/>
      <w:marTop w:val="0"/>
      <w:marBottom w:val="0"/>
      <w:divBdr>
        <w:top w:val="none" w:sz="0" w:space="0" w:color="auto"/>
        <w:left w:val="none" w:sz="0" w:space="0" w:color="auto"/>
        <w:bottom w:val="none" w:sz="0" w:space="0" w:color="auto"/>
        <w:right w:val="none" w:sz="0" w:space="0" w:color="auto"/>
      </w:divBdr>
    </w:div>
    <w:div w:id="1423918412">
      <w:bodyDiv w:val="1"/>
      <w:marLeft w:val="0"/>
      <w:marRight w:val="0"/>
      <w:marTop w:val="0"/>
      <w:marBottom w:val="0"/>
      <w:divBdr>
        <w:top w:val="none" w:sz="0" w:space="0" w:color="auto"/>
        <w:left w:val="none" w:sz="0" w:space="0" w:color="auto"/>
        <w:bottom w:val="none" w:sz="0" w:space="0" w:color="auto"/>
        <w:right w:val="none" w:sz="0" w:space="0" w:color="auto"/>
      </w:divBdr>
    </w:div>
    <w:div w:id="1424063084">
      <w:bodyDiv w:val="1"/>
      <w:marLeft w:val="0"/>
      <w:marRight w:val="0"/>
      <w:marTop w:val="0"/>
      <w:marBottom w:val="0"/>
      <w:divBdr>
        <w:top w:val="none" w:sz="0" w:space="0" w:color="auto"/>
        <w:left w:val="none" w:sz="0" w:space="0" w:color="auto"/>
        <w:bottom w:val="none" w:sz="0" w:space="0" w:color="auto"/>
        <w:right w:val="none" w:sz="0" w:space="0" w:color="auto"/>
      </w:divBdr>
    </w:div>
    <w:div w:id="1424063739">
      <w:bodyDiv w:val="1"/>
      <w:marLeft w:val="0"/>
      <w:marRight w:val="0"/>
      <w:marTop w:val="0"/>
      <w:marBottom w:val="0"/>
      <w:divBdr>
        <w:top w:val="none" w:sz="0" w:space="0" w:color="auto"/>
        <w:left w:val="none" w:sz="0" w:space="0" w:color="auto"/>
        <w:bottom w:val="none" w:sz="0" w:space="0" w:color="auto"/>
        <w:right w:val="none" w:sz="0" w:space="0" w:color="auto"/>
      </w:divBdr>
    </w:div>
    <w:div w:id="1424111089">
      <w:bodyDiv w:val="1"/>
      <w:marLeft w:val="0"/>
      <w:marRight w:val="0"/>
      <w:marTop w:val="0"/>
      <w:marBottom w:val="0"/>
      <w:divBdr>
        <w:top w:val="none" w:sz="0" w:space="0" w:color="auto"/>
        <w:left w:val="none" w:sz="0" w:space="0" w:color="auto"/>
        <w:bottom w:val="none" w:sz="0" w:space="0" w:color="auto"/>
        <w:right w:val="none" w:sz="0" w:space="0" w:color="auto"/>
      </w:divBdr>
    </w:div>
    <w:div w:id="1424180719">
      <w:bodyDiv w:val="1"/>
      <w:marLeft w:val="0"/>
      <w:marRight w:val="0"/>
      <w:marTop w:val="0"/>
      <w:marBottom w:val="0"/>
      <w:divBdr>
        <w:top w:val="none" w:sz="0" w:space="0" w:color="auto"/>
        <w:left w:val="none" w:sz="0" w:space="0" w:color="auto"/>
        <w:bottom w:val="none" w:sz="0" w:space="0" w:color="auto"/>
        <w:right w:val="none" w:sz="0" w:space="0" w:color="auto"/>
      </w:divBdr>
    </w:div>
    <w:div w:id="1424230586">
      <w:bodyDiv w:val="1"/>
      <w:marLeft w:val="0"/>
      <w:marRight w:val="0"/>
      <w:marTop w:val="0"/>
      <w:marBottom w:val="0"/>
      <w:divBdr>
        <w:top w:val="none" w:sz="0" w:space="0" w:color="auto"/>
        <w:left w:val="none" w:sz="0" w:space="0" w:color="auto"/>
        <w:bottom w:val="none" w:sz="0" w:space="0" w:color="auto"/>
        <w:right w:val="none" w:sz="0" w:space="0" w:color="auto"/>
      </w:divBdr>
    </w:div>
    <w:div w:id="1424298034">
      <w:bodyDiv w:val="1"/>
      <w:marLeft w:val="0"/>
      <w:marRight w:val="0"/>
      <w:marTop w:val="0"/>
      <w:marBottom w:val="0"/>
      <w:divBdr>
        <w:top w:val="none" w:sz="0" w:space="0" w:color="auto"/>
        <w:left w:val="none" w:sz="0" w:space="0" w:color="auto"/>
        <w:bottom w:val="none" w:sz="0" w:space="0" w:color="auto"/>
        <w:right w:val="none" w:sz="0" w:space="0" w:color="auto"/>
      </w:divBdr>
    </w:div>
    <w:div w:id="1424380350">
      <w:bodyDiv w:val="1"/>
      <w:marLeft w:val="0"/>
      <w:marRight w:val="0"/>
      <w:marTop w:val="0"/>
      <w:marBottom w:val="0"/>
      <w:divBdr>
        <w:top w:val="none" w:sz="0" w:space="0" w:color="auto"/>
        <w:left w:val="none" w:sz="0" w:space="0" w:color="auto"/>
        <w:bottom w:val="none" w:sz="0" w:space="0" w:color="auto"/>
        <w:right w:val="none" w:sz="0" w:space="0" w:color="auto"/>
      </w:divBdr>
    </w:div>
    <w:div w:id="1424452724">
      <w:bodyDiv w:val="1"/>
      <w:marLeft w:val="0"/>
      <w:marRight w:val="0"/>
      <w:marTop w:val="0"/>
      <w:marBottom w:val="0"/>
      <w:divBdr>
        <w:top w:val="none" w:sz="0" w:space="0" w:color="auto"/>
        <w:left w:val="none" w:sz="0" w:space="0" w:color="auto"/>
        <w:bottom w:val="none" w:sz="0" w:space="0" w:color="auto"/>
        <w:right w:val="none" w:sz="0" w:space="0" w:color="auto"/>
      </w:divBdr>
    </w:div>
    <w:div w:id="1424568662">
      <w:bodyDiv w:val="1"/>
      <w:marLeft w:val="0"/>
      <w:marRight w:val="0"/>
      <w:marTop w:val="0"/>
      <w:marBottom w:val="0"/>
      <w:divBdr>
        <w:top w:val="none" w:sz="0" w:space="0" w:color="auto"/>
        <w:left w:val="none" w:sz="0" w:space="0" w:color="auto"/>
        <w:bottom w:val="none" w:sz="0" w:space="0" w:color="auto"/>
        <w:right w:val="none" w:sz="0" w:space="0" w:color="auto"/>
      </w:divBdr>
    </w:div>
    <w:div w:id="1424569170">
      <w:bodyDiv w:val="1"/>
      <w:marLeft w:val="0"/>
      <w:marRight w:val="0"/>
      <w:marTop w:val="0"/>
      <w:marBottom w:val="0"/>
      <w:divBdr>
        <w:top w:val="none" w:sz="0" w:space="0" w:color="auto"/>
        <w:left w:val="none" w:sz="0" w:space="0" w:color="auto"/>
        <w:bottom w:val="none" w:sz="0" w:space="0" w:color="auto"/>
        <w:right w:val="none" w:sz="0" w:space="0" w:color="auto"/>
      </w:divBdr>
    </w:div>
    <w:div w:id="1424572597">
      <w:bodyDiv w:val="1"/>
      <w:marLeft w:val="0"/>
      <w:marRight w:val="0"/>
      <w:marTop w:val="0"/>
      <w:marBottom w:val="0"/>
      <w:divBdr>
        <w:top w:val="none" w:sz="0" w:space="0" w:color="auto"/>
        <w:left w:val="none" w:sz="0" w:space="0" w:color="auto"/>
        <w:bottom w:val="none" w:sz="0" w:space="0" w:color="auto"/>
        <w:right w:val="none" w:sz="0" w:space="0" w:color="auto"/>
      </w:divBdr>
    </w:div>
    <w:div w:id="1424719611">
      <w:bodyDiv w:val="1"/>
      <w:marLeft w:val="0"/>
      <w:marRight w:val="0"/>
      <w:marTop w:val="0"/>
      <w:marBottom w:val="0"/>
      <w:divBdr>
        <w:top w:val="none" w:sz="0" w:space="0" w:color="auto"/>
        <w:left w:val="none" w:sz="0" w:space="0" w:color="auto"/>
        <w:bottom w:val="none" w:sz="0" w:space="0" w:color="auto"/>
        <w:right w:val="none" w:sz="0" w:space="0" w:color="auto"/>
      </w:divBdr>
    </w:div>
    <w:div w:id="1424760764">
      <w:bodyDiv w:val="1"/>
      <w:marLeft w:val="0"/>
      <w:marRight w:val="0"/>
      <w:marTop w:val="0"/>
      <w:marBottom w:val="0"/>
      <w:divBdr>
        <w:top w:val="none" w:sz="0" w:space="0" w:color="auto"/>
        <w:left w:val="none" w:sz="0" w:space="0" w:color="auto"/>
        <w:bottom w:val="none" w:sz="0" w:space="0" w:color="auto"/>
        <w:right w:val="none" w:sz="0" w:space="0" w:color="auto"/>
      </w:divBdr>
    </w:div>
    <w:div w:id="1424840835">
      <w:bodyDiv w:val="1"/>
      <w:marLeft w:val="0"/>
      <w:marRight w:val="0"/>
      <w:marTop w:val="0"/>
      <w:marBottom w:val="0"/>
      <w:divBdr>
        <w:top w:val="none" w:sz="0" w:space="0" w:color="auto"/>
        <w:left w:val="none" w:sz="0" w:space="0" w:color="auto"/>
        <w:bottom w:val="none" w:sz="0" w:space="0" w:color="auto"/>
        <w:right w:val="none" w:sz="0" w:space="0" w:color="auto"/>
      </w:divBdr>
    </w:div>
    <w:div w:id="1424955768">
      <w:bodyDiv w:val="1"/>
      <w:marLeft w:val="0"/>
      <w:marRight w:val="0"/>
      <w:marTop w:val="0"/>
      <w:marBottom w:val="0"/>
      <w:divBdr>
        <w:top w:val="none" w:sz="0" w:space="0" w:color="auto"/>
        <w:left w:val="none" w:sz="0" w:space="0" w:color="auto"/>
        <w:bottom w:val="none" w:sz="0" w:space="0" w:color="auto"/>
        <w:right w:val="none" w:sz="0" w:space="0" w:color="auto"/>
      </w:divBdr>
    </w:div>
    <w:div w:id="1425033459">
      <w:bodyDiv w:val="1"/>
      <w:marLeft w:val="0"/>
      <w:marRight w:val="0"/>
      <w:marTop w:val="0"/>
      <w:marBottom w:val="0"/>
      <w:divBdr>
        <w:top w:val="none" w:sz="0" w:space="0" w:color="auto"/>
        <w:left w:val="none" w:sz="0" w:space="0" w:color="auto"/>
        <w:bottom w:val="none" w:sz="0" w:space="0" w:color="auto"/>
        <w:right w:val="none" w:sz="0" w:space="0" w:color="auto"/>
      </w:divBdr>
    </w:div>
    <w:div w:id="1425103343">
      <w:bodyDiv w:val="1"/>
      <w:marLeft w:val="0"/>
      <w:marRight w:val="0"/>
      <w:marTop w:val="0"/>
      <w:marBottom w:val="0"/>
      <w:divBdr>
        <w:top w:val="none" w:sz="0" w:space="0" w:color="auto"/>
        <w:left w:val="none" w:sz="0" w:space="0" w:color="auto"/>
        <w:bottom w:val="none" w:sz="0" w:space="0" w:color="auto"/>
        <w:right w:val="none" w:sz="0" w:space="0" w:color="auto"/>
      </w:divBdr>
    </w:div>
    <w:div w:id="1425106047">
      <w:bodyDiv w:val="1"/>
      <w:marLeft w:val="0"/>
      <w:marRight w:val="0"/>
      <w:marTop w:val="0"/>
      <w:marBottom w:val="0"/>
      <w:divBdr>
        <w:top w:val="none" w:sz="0" w:space="0" w:color="auto"/>
        <w:left w:val="none" w:sz="0" w:space="0" w:color="auto"/>
        <w:bottom w:val="none" w:sz="0" w:space="0" w:color="auto"/>
        <w:right w:val="none" w:sz="0" w:space="0" w:color="auto"/>
      </w:divBdr>
    </w:div>
    <w:div w:id="1425146641">
      <w:bodyDiv w:val="1"/>
      <w:marLeft w:val="0"/>
      <w:marRight w:val="0"/>
      <w:marTop w:val="0"/>
      <w:marBottom w:val="0"/>
      <w:divBdr>
        <w:top w:val="none" w:sz="0" w:space="0" w:color="auto"/>
        <w:left w:val="none" w:sz="0" w:space="0" w:color="auto"/>
        <w:bottom w:val="none" w:sz="0" w:space="0" w:color="auto"/>
        <w:right w:val="none" w:sz="0" w:space="0" w:color="auto"/>
      </w:divBdr>
    </w:div>
    <w:div w:id="1425296819">
      <w:bodyDiv w:val="1"/>
      <w:marLeft w:val="0"/>
      <w:marRight w:val="0"/>
      <w:marTop w:val="0"/>
      <w:marBottom w:val="0"/>
      <w:divBdr>
        <w:top w:val="none" w:sz="0" w:space="0" w:color="auto"/>
        <w:left w:val="none" w:sz="0" w:space="0" w:color="auto"/>
        <w:bottom w:val="none" w:sz="0" w:space="0" w:color="auto"/>
        <w:right w:val="none" w:sz="0" w:space="0" w:color="auto"/>
      </w:divBdr>
    </w:div>
    <w:div w:id="1425689934">
      <w:bodyDiv w:val="1"/>
      <w:marLeft w:val="0"/>
      <w:marRight w:val="0"/>
      <w:marTop w:val="0"/>
      <w:marBottom w:val="0"/>
      <w:divBdr>
        <w:top w:val="none" w:sz="0" w:space="0" w:color="auto"/>
        <w:left w:val="none" w:sz="0" w:space="0" w:color="auto"/>
        <w:bottom w:val="none" w:sz="0" w:space="0" w:color="auto"/>
        <w:right w:val="none" w:sz="0" w:space="0" w:color="auto"/>
      </w:divBdr>
    </w:div>
    <w:div w:id="1425952760">
      <w:bodyDiv w:val="1"/>
      <w:marLeft w:val="0"/>
      <w:marRight w:val="0"/>
      <w:marTop w:val="0"/>
      <w:marBottom w:val="0"/>
      <w:divBdr>
        <w:top w:val="none" w:sz="0" w:space="0" w:color="auto"/>
        <w:left w:val="none" w:sz="0" w:space="0" w:color="auto"/>
        <w:bottom w:val="none" w:sz="0" w:space="0" w:color="auto"/>
        <w:right w:val="none" w:sz="0" w:space="0" w:color="auto"/>
      </w:divBdr>
    </w:div>
    <w:div w:id="1425954965">
      <w:bodyDiv w:val="1"/>
      <w:marLeft w:val="0"/>
      <w:marRight w:val="0"/>
      <w:marTop w:val="0"/>
      <w:marBottom w:val="0"/>
      <w:divBdr>
        <w:top w:val="none" w:sz="0" w:space="0" w:color="auto"/>
        <w:left w:val="none" w:sz="0" w:space="0" w:color="auto"/>
        <w:bottom w:val="none" w:sz="0" w:space="0" w:color="auto"/>
        <w:right w:val="none" w:sz="0" w:space="0" w:color="auto"/>
      </w:divBdr>
    </w:div>
    <w:div w:id="1425955504">
      <w:bodyDiv w:val="1"/>
      <w:marLeft w:val="0"/>
      <w:marRight w:val="0"/>
      <w:marTop w:val="0"/>
      <w:marBottom w:val="0"/>
      <w:divBdr>
        <w:top w:val="none" w:sz="0" w:space="0" w:color="auto"/>
        <w:left w:val="none" w:sz="0" w:space="0" w:color="auto"/>
        <w:bottom w:val="none" w:sz="0" w:space="0" w:color="auto"/>
        <w:right w:val="none" w:sz="0" w:space="0" w:color="auto"/>
      </w:divBdr>
    </w:div>
    <w:div w:id="1425958023">
      <w:bodyDiv w:val="1"/>
      <w:marLeft w:val="0"/>
      <w:marRight w:val="0"/>
      <w:marTop w:val="0"/>
      <w:marBottom w:val="0"/>
      <w:divBdr>
        <w:top w:val="none" w:sz="0" w:space="0" w:color="auto"/>
        <w:left w:val="none" w:sz="0" w:space="0" w:color="auto"/>
        <w:bottom w:val="none" w:sz="0" w:space="0" w:color="auto"/>
        <w:right w:val="none" w:sz="0" w:space="0" w:color="auto"/>
      </w:divBdr>
    </w:div>
    <w:div w:id="1426076586">
      <w:bodyDiv w:val="1"/>
      <w:marLeft w:val="0"/>
      <w:marRight w:val="0"/>
      <w:marTop w:val="0"/>
      <w:marBottom w:val="0"/>
      <w:divBdr>
        <w:top w:val="none" w:sz="0" w:space="0" w:color="auto"/>
        <w:left w:val="none" w:sz="0" w:space="0" w:color="auto"/>
        <w:bottom w:val="none" w:sz="0" w:space="0" w:color="auto"/>
        <w:right w:val="none" w:sz="0" w:space="0" w:color="auto"/>
      </w:divBdr>
    </w:div>
    <w:div w:id="1426225052">
      <w:bodyDiv w:val="1"/>
      <w:marLeft w:val="0"/>
      <w:marRight w:val="0"/>
      <w:marTop w:val="0"/>
      <w:marBottom w:val="0"/>
      <w:divBdr>
        <w:top w:val="none" w:sz="0" w:space="0" w:color="auto"/>
        <w:left w:val="none" w:sz="0" w:space="0" w:color="auto"/>
        <w:bottom w:val="none" w:sz="0" w:space="0" w:color="auto"/>
        <w:right w:val="none" w:sz="0" w:space="0" w:color="auto"/>
      </w:divBdr>
    </w:div>
    <w:div w:id="1426266795">
      <w:bodyDiv w:val="1"/>
      <w:marLeft w:val="0"/>
      <w:marRight w:val="0"/>
      <w:marTop w:val="0"/>
      <w:marBottom w:val="0"/>
      <w:divBdr>
        <w:top w:val="none" w:sz="0" w:space="0" w:color="auto"/>
        <w:left w:val="none" w:sz="0" w:space="0" w:color="auto"/>
        <w:bottom w:val="none" w:sz="0" w:space="0" w:color="auto"/>
        <w:right w:val="none" w:sz="0" w:space="0" w:color="auto"/>
      </w:divBdr>
    </w:div>
    <w:div w:id="1426341979">
      <w:bodyDiv w:val="1"/>
      <w:marLeft w:val="0"/>
      <w:marRight w:val="0"/>
      <w:marTop w:val="0"/>
      <w:marBottom w:val="0"/>
      <w:divBdr>
        <w:top w:val="none" w:sz="0" w:space="0" w:color="auto"/>
        <w:left w:val="none" w:sz="0" w:space="0" w:color="auto"/>
        <w:bottom w:val="none" w:sz="0" w:space="0" w:color="auto"/>
        <w:right w:val="none" w:sz="0" w:space="0" w:color="auto"/>
      </w:divBdr>
    </w:div>
    <w:div w:id="1426417925">
      <w:bodyDiv w:val="1"/>
      <w:marLeft w:val="0"/>
      <w:marRight w:val="0"/>
      <w:marTop w:val="0"/>
      <w:marBottom w:val="0"/>
      <w:divBdr>
        <w:top w:val="none" w:sz="0" w:space="0" w:color="auto"/>
        <w:left w:val="none" w:sz="0" w:space="0" w:color="auto"/>
        <w:bottom w:val="none" w:sz="0" w:space="0" w:color="auto"/>
        <w:right w:val="none" w:sz="0" w:space="0" w:color="auto"/>
      </w:divBdr>
    </w:div>
    <w:div w:id="1426420714">
      <w:bodyDiv w:val="1"/>
      <w:marLeft w:val="0"/>
      <w:marRight w:val="0"/>
      <w:marTop w:val="0"/>
      <w:marBottom w:val="0"/>
      <w:divBdr>
        <w:top w:val="none" w:sz="0" w:space="0" w:color="auto"/>
        <w:left w:val="none" w:sz="0" w:space="0" w:color="auto"/>
        <w:bottom w:val="none" w:sz="0" w:space="0" w:color="auto"/>
        <w:right w:val="none" w:sz="0" w:space="0" w:color="auto"/>
      </w:divBdr>
    </w:div>
    <w:div w:id="1426656281">
      <w:bodyDiv w:val="1"/>
      <w:marLeft w:val="0"/>
      <w:marRight w:val="0"/>
      <w:marTop w:val="0"/>
      <w:marBottom w:val="0"/>
      <w:divBdr>
        <w:top w:val="none" w:sz="0" w:space="0" w:color="auto"/>
        <w:left w:val="none" w:sz="0" w:space="0" w:color="auto"/>
        <w:bottom w:val="none" w:sz="0" w:space="0" w:color="auto"/>
        <w:right w:val="none" w:sz="0" w:space="0" w:color="auto"/>
      </w:divBdr>
    </w:div>
    <w:div w:id="1426728316">
      <w:bodyDiv w:val="1"/>
      <w:marLeft w:val="0"/>
      <w:marRight w:val="0"/>
      <w:marTop w:val="0"/>
      <w:marBottom w:val="0"/>
      <w:divBdr>
        <w:top w:val="none" w:sz="0" w:space="0" w:color="auto"/>
        <w:left w:val="none" w:sz="0" w:space="0" w:color="auto"/>
        <w:bottom w:val="none" w:sz="0" w:space="0" w:color="auto"/>
        <w:right w:val="none" w:sz="0" w:space="0" w:color="auto"/>
      </w:divBdr>
    </w:div>
    <w:div w:id="1426850223">
      <w:bodyDiv w:val="1"/>
      <w:marLeft w:val="0"/>
      <w:marRight w:val="0"/>
      <w:marTop w:val="0"/>
      <w:marBottom w:val="0"/>
      <w:divBdr>
        <w:top w:val="none" w:sz="0" w:space="0" w:color="auto"/>
        <w:left w:val="none" w:sz="0" w:space="0" w:color="auto"/>
        <w:bottom w:val="none" w:sz="0" w:space="0" w:color="auto"/>
        <w:right w:val="none" w:sz="0" w:space="0" w:color="auto"/>
      </w:divBdr>
    </w:div>
    <w:div w:id="1426918003">
      <w:bodyDiv w:val="1"/>
      <w:marLeft w:val="0"/>
      <w:marRight w:val="0"/>
      <w:marTop w:val="0"/>
      <w:marBottom w:val="0"/>
      <w:divBdr>
        <w:top w:val="none" w:sz="0" w:space="0" w:color="auto"/>
        <w:left w:val="none" w:sz="0" w:space="0" w:color="auto"/>
        <w:bottom w:val="none" w:sz="0" w:space="0" w:color="auto"/>
        <w:right w:val="none" w:sz="0" w:space="0" w:color="auto"/>
      </w:divBdr>
    </w:div>
    <w:div w:id="1426918668">
      <w:bodyDiv w:val="1"/>
      <w:marLeft w:val="0"/>
      <w:marRight w:val="0"/>
      <w:marTop w:val="0"/>
      <w:marBottom w:val="0"/>
      <w:divBdr>
        <w:top w:val="none" w:sz="0" w:space="0" w:color="auto"/>
        <w:left w:val="none" w:sz="0" w:space="0" w:color="auto"/>
        <w:bottom w:val="none" w:sz="0" w:space="0" w:color="auto"/>
        <w:right w:val="none" w:sz="0" w:space="0" w:color="auto"/>
      </w:divBdr>
    </w:div>
    <w:div w:id="1426921750">
      <w:bodyDiv w:val="1"/>
      <w:marLeft w:val="0"/>
      <w:marRight w:val="0"/>
      <w:marTop w:val="0"/>
      <w:marBottom w:val="0"/>
      <w:divBdr>
        <w:top w:val="none" w:sz="0" w:space="0" w:color="auto"/>
        <w:left w:val="none" w:sz="0" w:space="0" w:color="auto"/>
        <w:bottom w:val="none" w:sz="0" w:space="0" w:color="auto"/>
        <w:right w:val="none" w:sz="0" w:space="0" w:color="auto"/>
      </w:divBdr>
    </w:div>
    <w:div w:id="1426924726">
      <w:bodyDiv w:val="1"/>
      <w:marLeft w:val="0"/>
      <w:marRight w:val="0"/>
      <w:marTop w:val="0"/>
      <w:marBottom w:val="0"/>
      <w:divBdr>
        <w:top w:val="none" w:sz="0" w:space="0" w:color="auto"/>
        <w:left w:val="none" w:sz="0" w:space="0" w:color="auto"/>
        <w:bottom w:val="none" w:sz="0" w:space="0" w:color="auto"/>
        <w:right w:val="none" w:sz="0" w:space="0" w:color="auto"/>
      </w:divBdr>
    </w:div>
    <w:div w:id="1427075109">
      <w:bodyDiv w:val="1"/>
      <w:marLeft w:val="0"/>
      <w:marRight w:val="0"/>
      <w:marTop w:val="0"/>
      <w:marBottom w:val="0"/>
      <w:divBdr>
        <w:top w:val="none" w:sz="0" w:space="0" w:color="auto"/>
        <w:left w:val="none" w:sz="0" w:space="0" w:color="auto"/>
        <w:bottom w:val="none" w:sz="0" w:space="0" w:color="auto"/>
        <w:right w:val="none" w:sz="0" w:space="0" w:color="auto"/>
      </w:divBdr>
    </w:div>
    <w:div w:id="1427186997">
      <w:bodyDiv w:val="1"/>
      <w:marLeft w:val="0"/>
      <w:marRight w:val="0"/>
      <w:marTop w:val="0"/>
      <w:marBottom w:val="0"/>
      <w:divBdr>
        <w:top w:val="none" w:sz="0" w:space="0" w:color="auto"/>
        <w:left w:val="none" w:sz="0" w:space="0" w:color="auto"/>
        <w:bottom w:val="none" w:sz="0" w:space="0" w:color="auto"/>
        <w:right w:val="none" w:sz="0" w:space="0" w:color="auto"/>
      </w:divBdr>
    </w:div>
    <w:div w:id="1427262535">
      <w:bodyDiv w:val="1"/>
      <w:marLeft w:val="0"/>
      <w:marRight w:val="0"/>
      <w:marTop w:val="0"/>
      <w:marBottom w:val="0"/>
      <w:divBdr>
        <w:top w:val="none" w:sz="0" w:space="0" w:color="auto"/>
        <w:left w:val="none" w:sz="0" w:space="0" w:color="auto"/>
        <w:bottom w:val="none" w:sz="0" w:space="0" w:color="auto"/>
        <w:right w:val="none" w:sz="0" w:space="0" w:color="auto"/>
      </w:divBdr>
    </w:div>
    <w:div w:id="1427263048">
      <w:bodyDiv w:val="1"/>
      <w:marLeft w:val="0"/>
      <w:marRight w:val="0"/>
      <w:marTop w:val="0"/>
      <w:marBottom w:val="0"/>
      <w:divBdr>
        <w:top w:val="none" w:sz="0" w:space="0" w:color="auto"/>
        <w:left w:val="none" w:sz="0" w:space="0" w:color="auto"/>
        <w:bottom w:val="none" w:sz="0" w:space="0" w:color="auto"/>
        <w:right w:val="none" w:sz="0" w:space="0" w:color="auto"/>
      </w:divBdr>
    </w:div>
    <w:div w:id="1427311283">
      <w:bodyDiv w:val="1"/>
      <w:marLeft w:val="0"/>
      <w:marRight w:val="0"/>
      <w:marTop w:val="0"/>
      <w:marBottom w:val="0"/>
      <w:divBdr>
        <w:top w:val="none" w:sz="0" w:space="0" w:color="auto"/>
        <w:left w:val="none" w:sz="0" w:space="0" w:color="auto"/>
        <w:bottom w:val="none" w:sz="0" w:space="0" w:color="auto"/>
        <w:right w:val="none" w:sz="0" w:space="0" w:color="auto"/>
      </w:divBdr>
    </w:div>
    <w:div w:id="1427463627">
      <w:bodyDiv w:val="1"/>
      <w:marLeft w:val="0"/>
      <w:marRight w:val="0"/>
      <w:marTop w:val="0"/>
      <w:marBottom w:val="0"/>
      <w:divBdr>
        <w:top w:val="none" w:sz="0" w:space="0" w:color="auto"/>
        <w:left w:val="none" w:sz="0" w:space="0" w:color="auto"/>
        <w:bottom w:val="none" w:sz="0" w:space="0" w:color="auto"/>
        <w:right w:val="none" w:sz="0" w:space="0" w:color="auto"/>
      </w:divBdr>
    </w:div>
    <w:div w:id="1427505213">
      <w:bodyDiv w:val="1"/>
      <w:marLeft w:val="0"/>
      <w:marRight w:val="0"/>
      <w:marTop w:val="0"/>
      <w:marBottom w:val="0"/>
      <w:divBdr>
        <w:top w:val="none" w:sz="0" w:space="0" w:color="auto"/>
        <w:left w:val="none" w:sz="0" w:space="0" w:color="auto"/>
        <w:bottom w:val="none" w:sz="0" w:space="0" w:color="auto"/>
        <w:right w:val="none" w:sz="0" w:space="0" w:color="auto"/>
      </w:divBdr>
    </w:div>
    <w:div w:id="1427532749">
      <w:bodyDiv w:val="1"/>
      <w:marLeft w:val="0"/>
      <w:marRight w:val="0"/>
      <w:marTop w:val="0"/>
      <w:marBottom w:val="0"/>
      <w:divBdr>
        <w:top w:val="none" w:sz="0" w:space="0" w:color="auto"/>
        <w:left w:val="none" w:sz="0" w:space="0" w:color="auto"/>
        <w:bottom w:val="none" w:sz="0" w:space="0" w:color="auto"/>
        <w:right w:val="none" w:sz="0" w:space="0" w:color="auto"/>
      </w:divBdr>
    </w:div>
    <w:div w:id="1427535531">
      <w:bodyDiv w:val="1"/>
      <w:marLeft w:val="0"/>
      <w:marRight w:val="0"/>
      <w:marTop w:val="0"/>
      <w:marBottom w:val="0"/>
      <w:divBdr>
        <w:top w:val="none" w:sz="0" w:space="0" w:color="auto"/>
        <w:left w:val="none" w:sz="0" w:space="0" w:color="auto"/>
        <w:bottom w:val="none" w:sz="0" w:space="0" w:color="auto"/>
        <w:right w:val="none" w:sz="0" w:space="0" w:color="auto"/>
      </w:divBdr>
    </w:div>
    <w:div w:id="1427576799">
      <w:bodyDiv w:val="1"/>
      <w:marLeft w:val="0"/>
      <w:marRight w:val="0"/>
      <w:marTop w:val="0"/>
      <w:marBottom w:val="0"/>
      <w:divBdr>
        <w:top w:val="none" w:sz="0" w:space="0" w:color="auto"/>
        <w:left w:val="none" w:sz="0" w:space="0" w:color="auto"/>
        <w:bottom w:val="none" w:sz="0" w:space="0" w:color="auto"/>
        <w:right w:val="none" w:sz="0" w:space="0" w:color="auto"/>
      </w:divBdr>
    </w:div>
    <w:div w:id="1427579859">
      <w:bodyDiv w:val="1"/>
      <w:marLeft w:val="0"/>
      <w:marRight w:val="0"/>
      <w:marTop w:val="0"/>
      <w:marBottom w:val="0"/>
      <w:divBdr>
        <w:top w:val="none" w:sz="0" w:space="0" w:color="auto"/>
        <w:left w:val="none" w:sz="0" w:space="0" w:color="auto"/>
        <w:bottom w:val="none" w:sz="0" w:space="0" w:color="auto"/>
        <w:right w:val="none" w:sz="0" w:space="0" w:color="auto"/>
      </w:divBdr>
    </w:div>
    <w:div w:id="1427770674">
      <w:bodyDiv w:val="1"/>
      <w:marLeft w:val="0"/>
      <w:marRight w:val="0"/>
      <w:marTop w:val="0"/>
      <w:marBottom w:val="0"/>
      <w:divBdr>
        <w:top w:val="none" w:sz="0" w:space="0" w:color="auto"/>
        <w:left w:val="none" w:sz="0" w:space="0" w:color="auto"/>
        <w:bottom w:val="none" w:sz="0" w:space="0" w:color="auto"/>
        <w:right w:val="none" w:sz="0" w:space="0" w:color="auto"/>
      </w:divBdr>
    </w:div>
    <w:div w:id="1427846299">
      <w:bodyDiv w:val="1"/>
      <w:marLeft w:val="0"/>
      <w:marRight w:val="0"/>
      <w:marTop w:val="0"/>
      <w:marBottom w:val="0"/>
      <w:divBdr>
        <w:top w:val="none" w:sz="0" w:space="0" w:color="auto"/>
        <w:left w:val="none" w:sz="0" w:space="0" w:color="auto"/>
        <w:bottom w:val="none" w:sz="0" w:space="0" w:color="auto"/>
        <w:right w:val="none" w:sz="0" w:space="0" w:color="auto"/>
      </w:divBdr>
    </w:div>
    <w:div w:id="1427964567">
      <w:bodyDiv w:val="1"/>
      <w:marLeft w:val="0"/>
      <w:marRight w:val="0"/>
      <w:marTop w:val="0"/>
      <w:marBottom w:val="0"/>
      <w:divBdr>
        <w:top w:val="none" w:sz="0" w:space="0" w:color="auto"/>
        <w:left w:val="none" w:sz="0" w:space="0" w:color="auto"/>
        <w:bottom w:val="none" w:sz="0" w:space="0" w:color="auto"/>
        <w:right w:val="none" w:sz="0" w:space="0" w:color="auto"/>
      </w:divBdr>
    </w:div>
    <w:div w:id="1428189744">
      <w:bodyDiv w:val="1"/>
      <w:marLeft w:val="0"/>
      <w:marRight w:val="0"/>
      <w:marTop w:val="0"/>
      <w:marBottom w:val="0"/>
      <w:divBdr>
        <w:top w:val="none" w:sz="0" w:space="0" w:color="auto"/>
        <w:left w:val="none" w:sz="0" w:space="0" w:color="auto"/>
        <w:bottom w:val="none" w:sz="0" w:space="0" w:color="auto"/>
        <w:right w:val="none" w:sz="0" w:space="0" w:color="auto"/>
      </w:divBdr>
    </w:div>
    <w:div w:id="1428306552">
      <w:bodyDiv w:val="1"/>
      <w:marLeft w:val="0"/>
      <w:marRight w:val="0"/>
      <w:marTop w:val="0"/>
      <w:marBottom w:val="0"/>
      <w:divBdr>
        <w:top w:val="none" w:sz="0" w:space="0" w:color="auto"/>
        <w:left w:val="none" w:sz="0" w:space="0" w:color="auto"/>
        <w:bottom w:val="none" w:sz="0" w:space="0" w:color="auto"/>
        <w:right w:val="none" w:sz="0" w:space="0" w:color="auto"/>
      </w:divBdr>
    </w:div>
    <w:div w:id="1428380485">
      <w:bodyDiv w:val="1"/>
      <w:marLeft w:val="0"/>
      <w:marRight w:val="0"/>
      <w:marTop w:val="0"/>
      <w:marBottom w:val="0"/>
      <w:divBdr>
        <w:top w:val="none" w:sz="0" w:space="0" w:color="auto"/>
        <w:left w:val="none" w:sz="0" w:space="0" w:color="auto"/>
        <w:bottom w:val="none" w:sz="0" w:space="0" w:color="auto"/>
        <w:right w:val="none" w:sz="0" w:space="0" w:color="auto"/>
      </w:divBdr>
    </w:div>
    <w:div w:id="1428383482">
      <w:bodyDiv w:val="1"/>
      <w:marLeft w:val="0"/>
      <w:marRight w:val="0"/>
      <w:marTop w:val="0"/>
      <w:marBottom w:val="0"/>
      <w:divBdr>
        <w:top w:val="none" w:sz="0" w:space="0" w:color="auto"/>
        <w:left w:val="none" w:sz="0" w:space="0" w:color="auto"/>
        <w:bottom w:val="none" w:sz="0" w:space="0" w:color="auto"/>
        <w:right w:val="none" w:sz="0" w:space="0" w:color="auto"/>
      </w:divBdr>
    </w:div>
    <w:div w:id="1428454703">
      <w:bodyDiv w:val="1"/>
      <w:marLeft w:val="0"/>
      <w:marRight w:val="0"/>
      <w:marTop w:val="0"/>
      <w:marBottom w:val="0"/>
      <w:divBdr>
        <w:top w:val="none" w:sz="0" w:space="0" w:color="auto"/>
        <w:left w:val="none" w:sz="0" w:space="0" w:color="auto"/>
        <w:bottom w:val="none" w:sz="0" w:space="0" w:color="auto"/>
        <w:right w:val="none" w:sz="0" w:space="0" w:color="auto"/>
      </w:divBdr>
    </w:div>
    <w:div w:id="1428500000">
      <w:bodyDiv w:val="1"/>
      <w:marLeft w:val="0"/>
      <w:marRight w:val="0"/>
      <w:marTop w:val="0"/>
      <w:marBottom w:val="0"/>
      <w:divBdr>
        <w:top w:val="none" w:sz="0" w:space="0" w:color="auto"/>
        <w:left w:val="none" w:sz="0" w:space="0" w:color="auto"/>
        <w:bottom w:val="none" w:sz="0" w:space="0" w:color="auto"/>
        <w:right w:val="none" w:sz="0" w:space="0" w:color="auto"/>
      </w:divBdr>
    </w:div>
    <w:div w:id="1428501527">
      <w:bodyDiv w:val="1"/>
      <w:marLeft w:val="0"/>
      <w:marRight w:val="0"/>
      <w:marTop w:val="0"/>
      <w:marBottom w:val="0"/>
      <w:divBdr>
        <w:top w:val="none" w:sz="0" w:space="0" w:color="auto"/>
        <w:left w:val="none" w:sz="0" w:space="0" w:color="auto"/>
        <w:bottom w:val="none" w:sz="0" w:space="0" w:color="auto"/>
        <w:right w:val="none" w:sz="0" w:space="0" w:color="auto"/>
      </w:divBdr>
    </w:div>
    <w:div w:id="1428575898">
      <w:bodyDiv w:val="1"/>
      <w:marLeft w:val="0"/>
      <w:marRight w:val="0"/>
      <w:marTop w:val="0"/>
      <w:marBottom w:val="0"/>
      <w:divBdr>
        <w:top w:val="none" w:sz="0" w:space="0" w:color="auto"/>
        <w:left w:val="none" w:sz="0" w:space="0" w:color="auto"/>
        <w:bottom w:val="none" w:sz="0" w:space="0" w:color="auto"/>
        <w:right w:val="none" w:sz="0" w:space="0" w:color="auto"/>
      </w:divBdr>
    </w:div>
    <w:div w:id="1428578906">
      <w:bodyDiv w:val="1"/>
      <w:marLeft w:val="0"/>
      <w:marRight w:val="0"/>
      <w:marTop w:val="0"/>
      <w:marBottom w:val="0"/>
      <w:divBdr>
        <w:top w:val="none" w:sz="0" w:space="0" w:color="auto"/>
        <w:left w:val="none" w:sz="0" w:space="0" w:color="auto"/>
        <w:bottom w:val="none" w:sz="0" w:space="0" w:color="auto"/>
        <w:right w:val="none" w:sz="0" w:space="0" w:color="auto"/>
      </w:divBdr>
    </w:div>
    <w:div w:id="1428620949">
      <w:bodyDiv w:val="1"/>
      <w:marLeft w:val="0"/>
      <w:marRight w:val="0"/>
      <w:marTop w:val="0"/>
      <w:marBottom w:val="0"/>
      <w:divBdr>
        <w:top w:val="none" w:sz="0" w:space="0" w:color="auto"/>
        <w:left w:val="none" w:sz="0" w:space="0" w:color="auto"/>
        <w:bottom w:val="none" w:sz="0" w:space="0" w:color="auto"/>
        <w:right w:val="none" w:sz="0" w:space="0" w:color="auto"/>
      </w:divBdr>
    </w:div>
    <w:div w:id="1428622544">
      <w:bodyDiv w:val="1"/>
      <w:marLeft w:val="0"/>
      <w:marRight w:val="0"/>
      <w:marTop w:val="0"/>
      <w:marBottom w:val="0"/>
      <w:divBdr>
        <w:top w:val="none" w:sz="0" w:space="0" w:color="auto"/>
        <w:left w:val="none" w:sz="0" w:space="0" w:color="auto"/>
        <w:bottom w:val="none" w:sz="0" w:space="0" w:color="auto"/>
        <w:right w:val="none" w:sz="0" w:space="0" w:color="auto"/>
      </w:divBdr>
    </w:div>
    <w:div w:id="1428622767">
      <w:bodyDiv w:val="1"/>
      <w:marLeft w:val="0"/>
      <w:marRight w:val="0"/>
      <w:marTop w:val="0"/>
      <w:marBottom w:val="0"/>
      <w:divBdr>
        <w:top w:val="none" w:sz="0" w:space="0" w:color="auto"/>
        <w:left w:val="none" w:sz="0" w:space="0" w:color="auto"/>
        <w:bottom w:val="none" w:sz="0" w:space="0" w:color="auto"/>
        <w:right w:val="none" w:sz="0" w:space="0" w:color="auto"/>
      </w:divBdr>
    </w:div>
    <w:div w:id="1428650375">
      <w:bodyDiv w:val="1"/>
      <w:marLeft w:val="0"/>
      <w:marRight w:val="0"/>
      <w:marTop w:val="0"/>
      <w:marBottom w:val="0"/>
      <w:divBdr>
        <w:top w:val="none" w:sz="0" w:space="0" w:color="auto"/>
        <w:left w:val="none" w:sz="0" w:space="0" w:color="auto"/>
        <w:bottom w:val="none" w:sz="0" w:space="0" w:color="auto"/>
        <w:right w:val="none" w:sz="0" w:space="0" w:color="auto"/>
      </w:divBdr>
    </w:div>
    <w:div w:id="1428699201">
      <w:bodyDiv w:val="1"/>
      <w:marLeft w:val="0"/>
      <w:marRight w:val="0"/>
      <w:marTop w:val="0"/>
      <w:marBottom w:val="0"/>
      <w:divBdr>
        <w:top w:val="none" w:sz="0" w:space="0" w:color="auto"/>
        <w:left w:val="none" w:sz="0" w:space="0" w:color="auto"/>
        <w:bottom w:val="none" w:sz="0" w:space="0" w:color="auto"/>
        <w:right w:val="none" w:sz="0" w:space="0" w:color="auto"/>
      </w:divBdr>
    </w:div>
    <w:div w:id="1428845619">
      <w:bodyDiv w:val="1"/>
      <w:marLeft w:val="0"/>
      <w:marRight w:val="0"/>
      <w:marTop w:val="0"/>
      <w:marBottom w:val="0"/>
      <w:divBdr>
        <w:top w:val="none" w:sz="0" w:space="0" w:color="auto"/>
        <w:left w:val="none" w:sz="0" w:space="0" w:color="auto"/>
        <w:bottom w:val="none" w:sz="0" w:space="0" w:color="auto"/>
        <w:right w:val="none" w:sz="0" w:space="0" w:color="auto"/>
      </w:divBdr>
    </w:div>
    <w:div w:id="1428847816">
      <w:bodyDiv w:val="1"/>
      <w:marLeft w:val="0"/>
      <w:marRight w:val="0"/>
      <w:marTop w:val="0"/>
      <w:marBottom w:val="0"/>
      <w:divBdr>
        <w:top w:val="none" w:sz="0" w:space="0" w:color="auto"/>
        <w:left w:val="none" w:sz="0" w:space="0" w:color="auto"/>
        <w:bottom w:val="none" w:sz="0" w:space="0" w:color="auto"/>
        <w:right w:val="none" w:sz="0" w:space="0" w:color="auto"/>
      </w:divBdr>
    </w:div>
    <w:div w:id="1428884054">
      <w:bodyDiv w:val="1"/>
      <w:marLeft w:val="0"/>
      <w:marRight w:val="0"/>
      <w:marTop w:val="0"/>
      <w:marBottom w:val="0"/>
      <w:divBdr>
        <w:top w:val="none" w:sz="0" w:space="0" w:color="auto"/>
        <w:left w:val="none" w:sz="0" w:space="0" w:color="auto"/>
        <w:bottom w:val="none" w:sz="0" w:space="0" w:color="auto"/>
        <w:right w:val="none" w:sz="0" w:space="0" w:color="auto"/>
      </w:divBdr>
    </w:div>
    <w:div w:id="1428959903">
      <w:bodyDiv w:val="1"/>
      <w:marLeft w:val="0"/>
      <w:marRight w:val="0"/>
      <w:marTop w:val="0"/>
      <w:marBottom w:val="0"/>
      <w:divBdr>
        <w:top w:val="none" w:sz="0" w:space="0" w:color="auto"/>
        <w:left w:val="none" w:sz="0" w:space="0" w:color="auto"/>
        <w:bottom w:val="none" w:sz="0" w:space="0" w:color="auto"/>
        <w:right w:val="none" w:sz="0" w:space="0" w:color="auto"/>
      </w:divBdr>
    </w:div>
    <w:div w:id="1429083618">
      <w:bodyDiv w:val="1"/>
      <w:marLeft w:val="0"/>
      <w:marRight w:val="0"/>
      <w:marTop w:val="0"/>
      <w:marBottom w:val="0"/>
      <w:divBdr>
        <w:top w:val="none" w:sz="0" w:space="0" w:color="auto"/>
        <w:left w:val="none" w:sz="0" w:space="0" w:color="auto"/>
        <w:bottom w:val="none" w:sz="0" w:space="0" w:color="auto"/>
        <w:right w:val="none" w:sz="0" w:space="0" w:color="auto"/>
      </w:divBdr>
    </w:div>
    <w:div w:id="1429230371">
      <w:bodyDiv w:val="1"/>
      <w:marLeft w:val="0"/>
      <w:marRight w:val="0"/>
      <w:marTop w:val="0"/>
      <w:marBottom w:val="0"/>
      <w:divBdr>
        <w:top w:val="none" w:sz="0" w:space="0" w:color="auto"/>
        <w:left w:val="none" w:sz="0" w:space="0" w:color="auto"/>
        <w:bottom w:val="none" w:sz="0" w:space="0" w:color="auto"/>
        <w:right w:val="none" w:sz="0" w:space="0" w:color="auto"/>
      </w:divBdr>
    </w:div>
    <w:div w:id="1429275860">
      <w:bodyDiv w:val="1"/>
      <w:marLeft w:val="0"/>
      <w:marRight w:val="0"/>
      <w:marTop w:val="0"/>
      <w:marBottom w:val="0"/>
      <w:divBdr>
        <w:top w:val="none" w:sz="0" w:space="0" w:color="auto"/>
        <w:left w:val="none" w:sz="0" w:space="0" w:color="auto"/>
        <w:bottom w:val="none" w:sz="0" w:space="0" w:color="auto"/>
        <w:right w:val="none" w:sz="0" w:space="0" w:color="auto"/>
      </w:divBdr>
    </w:div>
    <w:div w:id="1429276967">
      <w:bodyDiv w:val="1"/>
      <w:marLeft w:val="0"/>
      <w:marRight w:val="0"/>
      <w:marTop w:val="0"/>
      <w:marBottom w:val="0"/>
      <w:divBdr>
        <w:top w:val="none" w:sz="0" w:space="0" w:color="auto"/>
        <w:left w:val="none" w:sz="0" w:space="0" w:color="auto"/>
        <w:bottom w:val="none" w:sz="0" w:space="0" w:color="auto"/>
        <w:right w:val="none" w:sz="0" w:space="0" w:color="auto"/>
      </w:divBdr>
    </w:div>
    <w:div w:id="1429352497">
      <w:bodyDiv w:val="1"/>
      <w:marLeft w:val="0"/>
      <w:marRight w:val="0"/>
      <w:marTop w:val="0"/>
      <w:marBottom w:val="0"/>
      <w:divBdr>
        <w:top w:val="none" w:sz="0" w:space="0" w:color="auto"/>
        <w:left w:val="none" w:sz="0" w:space="0" w:color="auto"/>
        <w:bottom w:val="none" w:sz="0" w:space="0" w:color="auto"/>
        <w:right w:val="none" w:sz="0" w:space="0" w:color="auto"/>
      </w:divBdr>
    </w:div>
    <w:div w:id="1429352902">
      <w:bodyDiv w:val="1"/>
      <w:marLeft w:val="0"/>
      <w:marRight w:val="0"/>
      <w:marTop w:val="0"/>
      <w:marBottom w:val="0"/>
      <w:divBdr>
        <w:top w:val="none" w:sz="0" w:space="0" w:color="auto"/>
        <w:left w:val="none" w:sz="0" w:space="0" w:color="auto"/>
        <w:bottom w:val="none" w:sz="0" w:space="0" w:color="auto"/>
        <w:right w:val="none" w:sz="0" w:space="0" w:color="auto"/>
      </w:divBdr>
    </w:div>
    <w:div w:id="1429423373">
      <w:bodyDiv w:val="1"/>
      <w:marLeft w:val="0"/>
      <w:marRight w:val="0"/>
      <w:marTop w:val="0"/>
      <w:marBottom w:val="0"/>
      <w:divBdr>
        <w:top w:val="none" w:sz="0" w:space="0" w:color="auto"/>
        <w:left w:val="none" w:sz="0" w:space="0" w:color="auto"/>
        <w:bottom w:val="none" w:sz="0" w:space="0" w:color="auto"/>
        <w:right w:val="none" w:sz="0" w:space="0" w:color="auto"/>
      </w:divBdr>
    </w:div>
    <w:div w:id="1429616151">
      <w:bodyDiv w:val="1"/>
      <w:marLeft w:val="0"/>
      <w:marRight w:val="0"/>
      <w:marTop w:val="0"/>
      <w:marBottom w:val="0"/>
      <w:divBdr>
        <w:top w:val="none" w:sz="0" w:space="0" w:color="auto"/>
        <w:left w:val="none" w:sz="0" w:space="0" w:color="auto"/>
        <w:bottom w:val="none" w:sz="0" w:space="0" w:color="auto"/>
        <w:right w:val="none" w:sz="0" w:space="0" w:color="auto"/>
      </w:divBdr>
    </w:div>
    <w:div w:id="1429617607">
      <w:bodyDiv w:val="1"/>
      <w:marLeft w:val="0"/>
      <w:marRight w:val="0"/>
      <w:marTop w:val="0"/>
      <w:marBottom w:val="0"/>
      <w:divBdr>
        <w:top w:val="none" w:sz="0" w:space="0" w:color="auto"/>
        <w:left w:val="none" w:sz="0" w:space="0" w:color="auto"/>
        <w:bottom w:val="none" w:sz="0" w:space="0" w:color="auto"/>
        <w:right w:val="none" w:sz="0" w:space="0" w:color="auto"/>
      </w:divBdr>
    </w:div>
    <w:div w:id="1429812198">
      <w:bodyDiv w:val="1"/>
      <w:marLeft w:val="0"/>
      <w:marRight w:val="0"/>
      <w:marTop w:val="0"/>
      <w:marBottom w:val="0"/>
      <w:divBdr>
        <w:top w:val="none" w:sz="0" w:space="0" w:color="auto"/>
        <w:left w:val="none" w:sz="0" w:space="0" w:color="auto"/>
        <w:bottom w:val="none" w:sz="0" w:space="0" w:color="auto"/>
        <w:right w:val="none" w:sz="0" w:space="0" w:color="auto"/>
      </w:divBdr>
    </w:div>
    <w:div w:id="1429888371">
      <w:bodyDiv w:val="1"/>
      <w:marLeft w:val="0"/>
      <w:marRight w:val="0"/>
      <w:marTop w:val="0"/>
      <w:marBottom w:val="0"/>
      <w:divBdr>
        <w:top w:val="none" w:sz="0" w:space="0" w:color="auto"/>
        <w:left w:val="none" w:sz="0" w:space="0" w:color="auto"/>
        <w:bottom w:val="none" w:sz="0" w:space="0" w:color="auto"/>
        <w:right w:val="none" w:sz="0" w:space="0" w:color="auto"/>
      </w:divBdr>
    </w:div>
    <w:div w:id="1430196598">
      <w:bodyDiv w:val="1"/>
      <w:marLeft w:val="0"/>
      <w:marRight w:val="0"/>
      <w:marTop w:val="0"/>
      <w:marBottom w:val="0"/>
      <w:divBdr>
        <w:top w:val="none" w:sz="0" w:space="0" w:color="auto"/>
        <w:left w:val="none" w:sz="0" w:space="0" w:color="auto"/>
        <w:bottom w:val="none" w:sz="0" w:space="0" w:color="auto"/>
        <w:right w:val="none" w:sz="0" w:space="0" w:color="auto"/>
      </w:divBdr>
    </w:div>
    <w:div w:id="1430346730">
      <w:bodyDiv w:val="1"/>
      <w:marLeft w:val="0"/>
      <w:marRight w:val="0"/>
      <w:marTop w:val="0"/>
      <w:marBottom w:val="0"/>
      <w:divBdr>
        <w:top w:val="none" w:sz="0" w:space="0" w:color="auto"/>
        <w:left w:val="none" w:sz="0" w:space="0" w:color="auto"/>
        <w:bottom w:val="none" w:sz="0" w:space="0" w:color="auto"/>
        <w:right w:val="none" w:sz="0" w:space="0" w:color="auto"/>
      </w:divBdr>
    </w:div>
    <w:div w:id="1430469105">
      <w:bodyDiv w:val="1"/>
      <w:marLeft w:val="0"/>
      <w:marRight w:val="0"/>
      <w:marTop w:val="0"/>
      <w:marBottom w:val="0"/>
      <w:divBdr>
        <w:top w:val="none" w:sz="0" w:space="0" w:color="auto"/>
        <w:left w:val="none" w:sz="0" w:space="0" w:color="auto"/>
        <w:bottom w:val="none" w:sz="0" w:space="0" w:color="auto"/>
        <w:right w:val="none" w:sz="0" w:space="0" w:color="auto"/>
      </w:divBdr>
    </w:div>
    <w:div w:id="1430540495">
      <w:bodyDiv w:val="1"/>
      <w:marLeft w:val="0"/>
      <w:marRight w:val="0"/>
      <w:marTop w:val="0"/>
      <w:marBottom w:val="0"/>
      <w:divBdr>
        <w:top w:val="none" w:sz="0" w:space="0" w:color="auto"/>
        <w:left w:val="none" w:sz="0" w:space="0" w:color="auto"/>
        <w:bottom w:val="none" w:sz="0" w:space="0" w:color="auto"/>
        <w:right w:val="none" w:sz="0" w:space="0" w:color="auto"/>
      </w:divBdr>
    </w:div>
    <w:div w:id="1430542132">
      <w:bodyDiv w:val="1"/>
      <w:marLeft w:val="0"/>
      <w:marRight w:val="0"/>
      <w:marTop w:val="0"/>
      <w:marBottom w:val="0"/>
      <w:divBdr>
        <w:top w:val="none" w:sz="0" w:space="0" w:color="auto"/>
        <w:left w:val="none" w:sz="0" w:space="0" w:color="auto"/>
        <w:bottom w:val="none" w:sz="0" w:space="0" w:color="auto"/>
        <w:right w:val="none" w:sz="0" w:space="0" w:color="auto"/>
      </w:divBdr>
    </w:div>
    <w:div w:id="1430545167">
      <w:bodyDiv w:val="1"/>
      <w:marLeft w:val="0"/>
      <w:marRight w:val="0"/>
      <w:marTop w:val="0"/>
      <w:marBottom w:val="0"/>
      <w:divBdr>
        <w:top w:val="none" w:sz="0" w:space="0" w:color="auto"/>
        <w:left w:val="none" w:sz="0" w:space="0" w:color="auto"/>
        <w:bottom w:val="none" w:sz="0" w:space="0" w:color="auto"/>
        <w:right w:val="none" w:sz="0" w:space="0" w:color="auto"/>
      </w:divBdr>
    </w:div>
    <w:div w:id="1430660958">
      <w:bodyDiv w:val="1"/>
      <w:marLeft w:val="0"/>
      <w:marRight w:val="0"/>
      <w:marTop w:val="0"/>
      <w:marBottom w:val="0"/>
      <w:divBdr>
        <w:top w:val="none" w:sz="0" w:space="0" w:color="auto"/>
        <w:left w:val="none" w:sz="0" w:space="0" w:color="auto"/>
        <w:bottom w:val="none" w:sz="0" w:space="0" w:color="auto"/>
        <w:right w:val="none" w:sz="0" w:space="0" w:color="auto"/>
      </w:divBdr>
    </w:div>
    <w:div w:id="1430736108">
      <w:bodyDiv w:val="1"/>
      <w:marLeft w:val="0"/>
      <w:marRight w:val="0"/>
      <w:marTop w:val="0"/>
      <w:marBottom w:val="0"/>
      <w:divBdr>
        <w:top w:val="none" w:sz="0" w:space="0" w:color="auto"/>
        <w:left w:val="none" w:sz="0" w:space="0" w:color="auto"/>
        <w:bottom w:val="none" w:sz="0" w:space="0" w:color="auto"/>
        <w:right w:val="none" w:sz="0" w:space="0" w:color="auto"/>
      </w:divBdr>
    </w:div>
    <w:div w:id="1430736624">
      <w:bodyDiv w:val="1"/>
      <w:marLeft w:val="0"/>
      <w:marRight w:val="0"/>
      <w:marTop w:val="0"/>
      <w:marBottom w:val="0"/>
      <w:divBdr>
        <w:top w:val="none" w:sz="0" w:space="0" w:color="auto"/>
        <w:left w:val="none" w:sz="0" w:space="0" w:color="auto"/>
        <w:bottom w:val="none" w:sz="0" w:space="0" w:color="auto"/>
        <w:right w:val="none" w:sz="0" w:space="0" w:color="auto"/>
      </w:divBdr>
    </w:div>
    <w:div w:id="1430739844">
      <w:bodyDiv w:val="1"/>
      <w:marLeft w:val="0"/>
      <w:marRight w:val="0"/>
      <w:marTop w:val="0"/>
      <w:marBottom w:val="0"/>
      <w:divBdr>
        <w:top w:val="none" w:sz="0" w:space="0" w:color="auto"/>
        <w:left w:val="none" w:sz="0" w:space="0" w:color="auto"/>
        <w:bottom w:val="none" w:sz="0" w:space="0" w:color="auto"/>
        <w:right w:val="none" w:sz="0" w:space="0" w:color="auto"/>
      </w:divBdr>
    </w:div>
    <w:div w:id="1430806565">
      <w:bodyDiv w:val="1"/>
      <w:marLeft w:val="0"/>
      <w:marRight w:val="0"/>
      <w:marTop w:val="0"/>
      <w:marBottom w:val="0"/>
      <w:divBdr>
        <w:top w:val="none" w:sz="0" w:space="0" w:color="auto"/>
        <w:left w:val="none" w:sz="0" w:space="0" w:color="auto"/>
        <w:bottom w:val="none" w:sz="0" w:space="0" w:color="auto"/>
        <w:right w:val="none" w:sz="0" w:space="0" w:color="auto"/>
      </w:divBdr>
    </w:div>
    <w:div w:id="1430927601">
      <w:bodyDiv w:val="1"/>
      <w:marLeft w:val="0"/>
      <w:marRight w:val="0"/>
      <w:marTop w:val="0"/>
      <w:marBottom w:val="0"/>
      <w:divBdr>
        <w:top w:val="none" w:sz="0" w:space="0" w:color="auto"/>
        <w:left w:val="none" w:sz="0" w:space="0" w:color="auto"/>
        <w:bottom w:val="none" w:sz="0" w:space="0" w:color="auto"/>
        <w:right w:val="none" w:sz="0" w:space="0" w:color="auto"/>
      </w:divBdr>
    </w:div>
    <w:div w:id="1430931339">
      <w:bodyDiv w:val="1"/>
      <w:marLeft w:val="0"/>
      <w:marRight w:val="0"/>
      <w:marTop w:val="0"/>
      <w:marBottom w:val="0"/>
      <w:divBdr>
        <w:top w:val="none" w:sz="0" w:space="0" w:color="auto"/>
        <w:left w:val="none" w:sz="0" w:space="0" w:color="auto"/>
        <w:bottom w:val="none" w:sz="0" w:space="0" w:color="auto"/>
        <w:right w:val="none" w:sz="0" w:space="0" w:color="auto"/>
      </w:divBdr>
    </w:div>
    <w:div w:id="1430999794">
      <w:bodyDiv w:val="1"/>
      <w:marLeft w:val="0"/>
      <w:marRight w:val="0"/>
      <w:marTop w:val="0"/>
      <w:marBottom w:val="0"/>
      <w:divBdr>
        <w:top w:val="none" w:sz="0" w:space="0" w:color="auto"/>
        <w:left w:val="none" w:sz="0" w:space="0" w:color="auto"/>
        <w:bottom w:val="none" w:sz="0" w:space="0" w:color="auto"/>
        <w:right w:val="none" w:sz="0" w:space="0" w:color="auto"/>
      </w:divBdr>
    </w:div>
    <w:div w:id="1431003101">
      <w:bodyDiv w:val="1"/>
      <w:marLeft w:val="0"/>
      <w:marRight w:val="0"/>
      <w:marTop w:val="0"/>
      <w:marBottom w:val="0"/>
      <w:divBdr>
        <w:top w:val="none" w:sz="0" w:space="0" w:color="auto"/>
        <w:left w:val="none" w:sz="0" w:space="0" w:color="auto"/>
        <w:bottom w:val="none" w:sz="0" w:space="0" w:color="auto"/>
        <w:right w:val="none" w:sz="0" w:space="0" w:color="auto"/>
      </w:divBdr>
    </w:div>
    <w:div w:id="1431004592">
      <w:bodyDiv w:val="1"/>
      <w:marLeft w:val="0"/>
      <w:marRight w:val="0"/>
      <w:marTop w:val="0"/>
      <w:marBottom w:val="0"/>
      <w:divBdr>
        <w:top w:val="none" w:sz="0" w:space="0" w:color="auto"/>
        <w:left w:val="none" w:sz="0" w:space="0" w:color="auto"/>
        <w:bottom w:val="none" w:sz="0" w:space="0" w:color="auto"/>
        <w:right w:val="none" w:sz="0" w:space="0" w:color="auto"/>
      </w:divBdr>
    </w:div>
    <w:div w:id="1431049482">
      <w:bodyDiv w:val="1"/>
      <w:marLeft w:val="0"/>
      <w:marRight w:val="0"/>
      <w:marTop w:val="0"/>
      <w:marBottom w:val="0"/>
      <w:divBdr>
        <w:top w:val="none" w:sz="0" w:space="0" w:color="auto"/>
        <w:left w:val="none" w:sz="0" w:space="0" w:color="auto"/>
        <w:bottom w:val="none" w:sz="0" w:space="0" w:color="auto"/>
        <w:right w:val="none" w:sz="0" w:space="0" w:color="auto"/>
      </w:divBdr>
    </w:div>
    <w:div w:id="1431049509">
      <w:bodyDiv w:val="1"/>
      <w:marLeft w:val="0"/>
      <w:marRight w:val="0"/>
      <w:marTop w:val="0"/>
      <w:marBottom w:val="0"/>
      <w:divBdr>
        <w:top w:val="none" w:sz="0" w:space="0" w:color="auto"/>
        <w:left w:val="none" w:sz="0" w:space="0" w:color="auto"/>
        <w:bottom w:val="none" w:sz="0" w:space="0" w:color="auto"/>
        <w:right w:val="none" w:sz="0" w:space="0" w:color="auto"/>
      </w:divBdr>
    </w:div>
    <w:div w:id="1431119413">
      <w:bodyDiv w:val="1"/>
      <w:marLeft w:val="0"/>
      <w:marRight w:val="0"/>
      <w:marTop w:val="0"/>
      <w:marBottom w:val="0"/>
      <w:divBdr>
        <w:top w:val="none" w:sz="0" w:space="0" w:color="auto"/>
        <w:left w:val="none" w:sz="0" w:space="0" w:color="auto"/>
        <w:bottom w:val="none" w:sz="0" w:space="0" w:color="auto"/>
        <w:right w:val="none" w:sz="0" w:space="0" w:color="auto"/>
      </w:divBdr>
    </w:div>
    <w:div w:id="1431120785">
      <w:bodyDiv w:val="1"/>
      <w:marLeft w:val="0"/>
      <w:marRight w:val="0"/>
      <w:marTop w:val="0"/>
      <w:marBottom w:val="0"/>
      <w:divBdr>
        <w:top w:val="none" w:sz="0" w:space="0" w:color="auto"/>
        <w:left w:val="none" w:sz="0" w:space="0" w:color="auto"/>
        <w:bottom w:val="none" w:sz="0" w:space="0" w:color="auto"/>
        <w:right w:val="none" w:sz="0" w:space="0" w:color="auto"/>
      </w:divBdr>
    </w:div>
    <w:div w:id="1431268572">
      <w:bodyDiv w:val="1"/>
      <w:marLeft w:val="0"/>
      <w:marRight w:val="0"/>
      <w:marTop w:val="0"/>
      <w:marBottom w:val="0"/>
      <w:divBdr>
        <w:top w:val="none" w:sz="0" w:space="0" w:color="auto"/>
        <w:left w:val="none" w:sz="0" w:space="0" w:color="auto"/>
        <w:bottom w:val="none" w:sz="0" w:space="0" w:color="auto"/>
        <w:right w:val="none" w:sz="0" w:space="0" w:color="auto"/>
      </w:divBdr>
    </w:div>
    <w:div w:id="1431269243">
      <w:bodyDiv w:val="1"/>
      <w:marLeft w:val="0"/>
      <w:marRight w:val="0"/>
      <w:marTop w:val="0"/>
      <w:marBottom w:val="0"/>
      <w:divBdr>
        <w:top w:val="none" w:sz="0" w:space="0" w:color="auto"/>
        <w:left w:val="none" w:sz="0" w:space="0" w:color="auto"/>
        <w:bottom w:val="none" w:sz="0" w:space="0" w:color="auto"/>
        <w:right w:val="none" w:sz="0" w:space="0" w:color="auto"/>
      </w:divBdr>
    </w:div>
    <w:div w:id="1431270423">
      <w:bodyDiv w:val="1"/>
      <w:marLeft w:val="0"/>
      <w:marRight w:val="0"/>
      <w:marTop w:val="0"/>
      <w:marBottom w:val="0"/>
      <w:divBdr>
        <w:top w:val="none" w:sz="0" w:space="0" w:color="auto"/>
        <w:left w:val="none" w:sz="0" w:space="0" w:color="auto"/>
        <w:bottom w:val="none" w:sz="0" w:space="0" w:color="auto"/>
        <w:right w:val="none" w:sz="0" w:space="0" w:color="auto"/>
      </w:divBdr>
    </w:div>
    <w:div w:id="1431315905">
      <w:bodyDiv w:val="1"/>
      <w:marLeft w:val="0"/>
      <w:marRight w:val="0"/>
      <w:marTop w:val="0"/>
      <w:marBottom w:val="0"/>
      <w:divBdr>
        <w:top w:val="none" w:sz="0" w:space="0" w:color="auto"/>
        <w:left w:val="none" w:sz="0" w:space="0" w:color="auto"/>
        <w:bottom w:val="none" w:sz="0" w:space="0" w:color="auto"/>
        <w:right w:val="none" w:sz="0" w:space="0" w:color="auto"/>
      </w:divBdr>
    </w:div>
    <w:div w:id="1431390373">
      <w:bodyDiv w:val="1"/>
      <w:marLeft w:val="0"/>
      <w:marRight w:val="0"/>
      <w:marTop w:val="0"/>
      <w:marBottom w:val="0"/>
      <w:divBdr>
        <w:top w:val="none" w:sz="0" w:space="0" w:color="auto"/>
        <w:left w:val="none" w:sz="0" w:space="0" w:color="auto"/>
        <w:bottom w:val="none" w:sz="0" w:space="0" w:color="auto"/>
        <w:right w:val="none" w:sz="0" w:space="0" w:color="auto"/>
      </w:divBdr>
    </w:div>
    <w:div w:id="1431508697">
      <w:bodyDiv w:val="1"/>
      <w:marLeft w:val="0"/>
      <w:marRight w:val="0"/>
      <w:marTop w:val="0"/>
      <w:marBottom w:val="0"/>
      <w:divBdr>
        <w:top w:val="none" w:sz="0" w:space="0" w:color="auto"/>
        <w:left w:val="none" w:sz="0" w:space="0" w:color="auto"/>
        <w:bottom w:val="none" w:sz="0" w:space="0" w:color="auto"/>
        <w:right w:val="none" w:sz="0" w:space="0" w:color="auto"/>
      </w:divBdr>
    </w:div>
    <w:div w:id="1431700186">
      <w:bodyDiv w:val="1"/>
      <w:marLeft w:val="0"/>
      <w:marRight w:val="0"/>
      <w:marTop w:val="0"/>
      <w:marBottom w:val="0"/>
      <w:divBdr>
        <w:top w:val="none" w:sz="0" w:space="0" w:color="auto"/>
        <w:left w:val="none" w:sz="0" w:space="0" w:color="auto"/>
        <w:bottom w:val="none" w:sz="0" w:space="0" w:color="auto"/>
        <w:right w:val="none" w:sz="0" w:space="0" w:color="auto"/>
      </w:divBdr>
    </w:div>
    <w:div w:id="1431704638">
      <w:bodyDiv w:val="1"/>
      <w:marLeft w:val="0"/>
      <w:marRight w:val="0"/>
      <w:marTop w:val="0"/>
      <w:marBottom w:val="0"/>
      <w:divBdr>
        <w:top w:val="none" w:sz="0" w:space="0" w:color="auto"/>
        <w:left w:val="none" w:sz="0" w:space="0" w:color="auto"/>
        <w:bottom w:val="none" w:sz="0" w:space="0" w:color="auto"/>
        <w:right w:val="none" w:sz="0" w:space="0" w:color="auto"/>
      </w:divBdr>
    </w:div>
    <w:div w:id="1431781639">
      <w:bodyDiv w:val="1"/>
      <w:marLeft w:val="0"/>
      <w:marRight w:val="0"/>
      <w:marTop w:val="0"/>
      <w:marBottom w:val="0"/>
      <w:divBdr>
        <w:top w:val="none" w:sz="0" w:space="0" w:color="auto"/>
        <w:left w:val="none" w:sz="0" w:space="0" w:color="auto"/>
        <w:bottom w:val="none" w:sz="0" w:space="0" w:color="auto"/>
        <w:right w:val="none" w:sz="0" w:space="0" w:color="auto"/>
      </w:divBdr>
    </w:div>
    <w:div w:id="1431898040">
      <w:bodyDiv w:val="1"/>
      <w:marLeft w:val="0"/>
      <w:marRight w:val="0"/>
      <w:marTop w:val="0"/>
      <w:marBottom w:val="0"/>
      <w:divBdr>
        <w:top w:val="none" w:sz="0" w:space="0" w:color="auto"/>
        <w:left w:val="none" w:sz="0" w:space="0" w:color="auto"/>
        <w:bottom w:val="none" w:sz="0" w:space="0" w:color="auto"/>
        <w:right w:val="none" w:sz="0" w:space="0" w:color="auto"/>
      </w:divBdr>
    </w:div>
    <w:div w:id="1431971533">
      <w:bodyDiv w:val="1"/>
      <w:marLeft w:val="0"/>
      <w:marRight w:val="0"/>
      <w:marTop w:val="0"/>
      <w:marBottom w:val="0"/>
      <w:divBdr>
        <w:top w:val="none" w:sz="0" w:space="0" w:color="auto"/>
        <w:left w:val="none" w:sz="0" w:space="0" w:color="auto"/>
        <w:bottom w:val="none" w:sz="0" w:space="0" w:color="auto"/>
        <w:right w:val="none" w:sz="0" w:space="0" w:color="auto"/>
      </w:divBdr>
    </w:div>
    <w:div w:id="1432236915">
      <w:bodyDiv w:val="1"/>
      <w:marLeft w:val="0"/>
      <w:marRight w:val="0"/>
      <w:marTop w:val="0"/>
      <w:marBottom w:val="0"/>
      <w:divBdr>
        <w:top w:val="none" w:sz="0" w:space="0" w:color="auto"/>
        <w:left w:val="none" w:sz="0" w:space="0" w:color="auto"/>
        <w:bottom w:val="none" w:sz="0" w:space="0" w:color="auto"/>
        <w:right w:val="none" w:sz="0" w:space="0" w:color="auto"/>
      </w:divBdr>
    </w:div>
    <w:div w:id="1432359982">
      <w:bodyDiv w:val="1"/>
      <w:marLeft w:val="0"/>
      <w:marRight w:val="0"/>
      <w:marTop w:val="0"/>
      <w:marBottom w:val="0"/>
      <w:divBdr>
        <w:top w:val="none" w:sz="0" w:space="0" w:color="auto"/>
        <w:left w:val="none" w:sz="0" w:space="0" w:color="auto"/>
        <w:bottom w:val="none" w:sz="0" w:space="0" w:color="auto"/>
        <w:right w:val="none" w:sz="0" w:space="0" w:color="auto"/>
      </w:divBdr>
    </w:div>
    <w:div w:id="1432430924">
      <w:bodyDiv w:val="1"/>
      <w:marLeft w:val="0"/>
      <w:marRight w:val="0"/>
      <w:marTop w:val="0"/>
      <w:marBottom w:val="0"/>
      <w:divBdr>
        <w:top w:val="none" w:sz="0" w:space="0" w:color="auto"/>
        <w:left w:val="none" w:sz="0" w:space="0" w:color="auto"/>
        <w:bottom w:val="none" w:sz="0" w:space="0" w:color="auto"/>
        <w:right w:val="none" w:sz="0" w:space="0" w:color="auto"/>
      </w:divBdr>
    </w:div>
    <w:div w:id="1432432071">
      <w:bodyDiv w:val="1"/>
      <w:marLeft w:val="0"/>
      <w:marRight w:val="0"/>
      <w:marTop w:val="0"/>
      <w:marBottom w:val="0"/>
      <w:divBdr>
        <w:top w:val="none" w:sz="0" w:space="0" w:color="auto"/>
        <w:left w:val="none" w:sz="0" w:space="0" w:color="auto"/>
        <w:bottom w:val="none" w:sz="0" w:space="0" w:color="auto"/>
        <w:right w:val="none" w:sz="0" w:space="0" w:color="auto"/>
      </w:divBdr>
    </w:div>
    <w:div w:id="1432624985">
      <w:bodyDiv w:val="1"/>
      <w:marLeft w:val="0"/>
      <w:marRight w:val="0"/>
      <w:marTop w:val="0"/>
      <w:marBottom w:val="0"/>
      <w:divBdr>
        <w:top w:val="none" w:sz="0" w:space="0" w:color="auto"/>
        <w:left w:val="none" w:sz="0" w:space="0" w:color="auto"/>
        <w:bottom w:val="none" w:sz="0" w:space="0" w:color="auto"/>
        <w:right w:val="none" w:sz="0" w:space="0" w:color="auto"/>
      </w:divBdr>
    </w:div>
    <w:div w:id="1432701230">
      <w:bodyDiv w:val="1"/>
      <w:marLeft w:val="0"/>
      <w:marRight w:val="0"/>
      <w:marTop w:val="0"/>
      <w:marBottom w:val="0"/>
      <w:divBdr>
        <w:top w:val="none" w:sz="0" w:space="0" w:color="auto"/>
        <w:left w:val="none" w:sz="0" w:space="0" w:color="auto"/>
        <w:bottom w:val="none" w:sz="0" w:space="0" w:color="auto"/>
        <w:right w:val="none" w:sz="0" w:space="0" w:color="auto"/>
      </w:divBdr>
    </w:div>
    <w:div w:id="1432894829">
      <w:bodyDiv w:val="1"/>
      <w:marLeft w:val="0"/>
      <w:marRight w:val="0"/>
      <w:marTop w:val="0"/>
      <w:marBottom w:val="0"/>
      <w:divBdr>
        <w:top w:val="none" w:sz="0" w:space="0" w:color="auto"/>
        <w:left w:val="none" w:sz="0" w:space="0" w:color="auto"/>
        <w:bottom w:val="none" w:sz="0" w:space="0" w:color="auto"/>
        <w:right w:val="none" w:sz="0" w:space="0" w:color="auto"/>
      </w:divBdr>
    </w:div>
    <w:div w:id="1432969654">
      <w:bodyDiv w:val="1"/>
      <w:marLeft w:val="0"/>
      <w:marRight w:val="0"/>
      <w:marTop w:val="0"/>
      <w:marBottom w:val="0"/>
      <w:divBdr>
        <w:top w:val="none" w:sz="0" w:space="0" w:color="auto"/>
        <w:left w:val="none" w:sz="0" w:space="0" w:color="auto"/>
        <w:bottom w:val="none" w:sz="0" w:space="0" w:color="auto"/>
        <w:right w:val="none" w:sz="0" w:space="0" w:color="auto"/>
      </w:divBdr>
    </w:div>
    <w:div w:id="1433084898">
      <w:bodyDiv w:val="1"/>
      <w:marLeft w:val="0"/>
      <w:marRight w:val="0"/>
      <w:marTop w:val="0"/>
      <w:marBottom w:val="0"/>
      <w:divBdr>
        <w:top w:val="none" w:sz="0" w:space="0" w:color="auto"/>
        <w:left w:val="none" w:sz="0" w:space="0" w:color="auto"/>
        <w:bottom w:val="none" w:sz="0" w:space="0" w:color="auto"/>
        <w:right w:val="none" w:sz="0" w:space="0" w:color="auto"/>
      </w:divBdr>
    </w:div>
    <w:div w:id="1433086984">
      <w:bodyDiv w:val="1"/>
      <w:marLeft w:val="0"/>
      <w:marRight w:val="0"/>
      <w:marTop w:val="0"/>
      <w:marBottom w:val="0"/>
      <w:divBdr>
        <w:top w:val="none" w:sz="0" w:space="0" w:color="auto"/>
        <w:left w:val="none" w:sz="0" w:space="0" w:color="auto"/>
        <w:bottom w:val="none" w:sz="0" w:space="0" w:color="auto"/>
        <w:right w:val="none" w:sz="0" w:space="0" w:color="auto"/>
      </w:divBdr>
    </w:div>
    <w:div w:id="1433166770">
      <w:bodyDiv w:val="1"/>
      <w:marLeft w:val="0"/>
      <w:marRight w:val="0"/>
      <w:marTop w:val="0"/>
      <w:marBottom w:val="0"/>
      <w:divBdr>
        <w:top w:val="none" w:sz="0" w:space="0" w:color="auto"/>
        <w:left w:val="none" w:sz="0" w:space="0" w:color="auto"/>
        <w:bottom w:val="none" w:sz="0" w:space="0" w:color="auto"/>
        <w:right w:val="none" w:sz="0" w:space="0" w:color="auto"/>
      </w:divBdr>
    </w:div>
    <w:div w:id="1433209834">
      <w:bodyDiv w:val="1"/>
      <w:marLeft w:val="0"/>
      <w:marRight w:val="0"/>
      <w:marTop w:val="0"/>
      <w:marBottom w:val="0"/>
      <w:divBdr>
        <w:top w:val="none" w:sz="0" w:space="0" w:color="auto"/>
        <w:left w:val="none" w:sz="0" w:space="0" w:color="auto"/>
        <w:bottom w:val="none" w:sz="0" w:space="0" w:color="auto"/>
        <w:right w:val="none" w:sz="0" w:space="0" w:color="auto"/>
      </w:divBdr>
    </w:div>
    <w:div w:id="1433236408">
      <w:bodyDiv w:val="1"/>
      <w:marLeft w:val="0"/>
      <w:marRight w:val="0"/>
      <w:marTop w:val="0"/>
      <w:marBottom w:val="0"/>
      <w:divBdr>
        <w:top w:val="none" w:sz="0" w:space="0" w:color="auto"/>
        <w:left w:val="none" w:sz="0" w:space="0" w:color="auto"/>
        <w:bottom w:val="none" w:sz="0" w:space="0" w:color="auto"/>
        <w:right w:val="none" w:sz="0" w:space="0" w:color="auto"/>
      </w:divBdr>
    </w:div>
    <w:div w:id="1433354968">
      <w:bodyDiv w:val="1"/>
      <w:marLeft w:val="0"/>
      <w:marRight w:val="0"/>
      <w:marTop w:val="0"/>
      <w:marBottom w:val="0"/>
      <w:divBdr>
        <w:top w:val="none" w:sz="0" w:space="0" w:color="auto"/>
        <w:left w:val="none" w:sz="0" w:space="0" w:color="auto"/>
        <w:bottom w:val="none" w:sz="0" w:space="0" w:color="auto"/>
        <w:right w:val="none" w:sz="0" w:space="0" w:color="auto"/>
      </w:divBdr>
    </w:div>
    <w:div w:id="1433357825">
      <w:bodyDiv w:val="1"/>
      <w:marLeft w:val="0"/>
      <w:marRight w:val="0"/>
      <w:marTop w:val="0"/>
      <w:marBottom w:val="0"/>
      <w:divBdr>
        <w:top w:val="none" w:sz="0" w:space="0" w:color="auto"/>
        <w:left w:val="none" w:sz="0" w:space="0" w:color="auto"/>
        <w:bottom w:val="none" w:sz="0" w:space="0" w:color="auto"/>
        <w:right w:val="none" w:sz="0" w:space="0" w:color="auto"/>
      </w:divBdr>
    </w:div>
    <w:div w:id="1433427889">
      <w:bodyDiv w:val="1"/>
      <w:marLeft w:val="0"/>
      <w:marRight w:val="0"/>
      <w:marTop w:val="0"/>
      <w:marBottom w:val="0"/>
      <w:divBdr>
        <w:top w:val="none" w:sz="0" w:space="0" w:color="auto"/>
        <w:left w:val="none" w:sz="0" w:space="0" w:color="auto"/>
        <w:bottom w:val="none" w:sz="0" w:space="0" w:color="auto"/>
        <w:right w:val="none" w:sz="0" w:space="0" w:color="auto"/>
      </w:divBdr>
    </w:div>
    <w:div w:id="1433428458">
      <w:bodyDiv w:val="1"/>
      <w:marLeft w:val="0"/>
      <w:marRight w:val="0"/>
      <w:marTop w:val="0"/>
      <w:marBottom w:val="0"/>
      <w:divBdr>
        <w:top w:val="none" w:sz="0" w:space="0" w:color="auto"/>
        <w:left w:val="none" w:sz="0" w:space="0" w:color="auto"/>
        <w:bottom w:val="none" w:sz="0" w:space="0" w:color="auto"/>
        <w:right w:val="none" w:sz="0" w:space="0" w:color="auto"/>
      </w:divBdr>
    </w:div>
    <w:div w:id="1433430263">
      <w:bodyDiv w:val="1"/>
      <w:marLeft w:val="0"/>
      <w:marRight w:val="0"/>
      <w:marTop w:val="0"/>
      <w:marBottom w:val="0"/>
      <w:divBdr>
        <w:top w:val="none" w:sz="0" w:space="0" w:color="auto"/>
        <w:left w:val="none" w:sz="0" w:space="0" w:color="auto"/>
        <w:bottom w:val="none" w:sz="0" w:space="0" w:color="auto"/>
        <w:right w:val="none" w:sz="0" w:space="0" w:color="auto"/>
      </w:divBdr>
    </w:div>
    <w:div w:id="1433472377">
      <w:bodyDiv w:val="1"/>
      <w:marLeft w:val="0"/>
      <w:marRight w:val="0"/>
      <w:marTop w:val="0"/>
      <w:marBottom w:val="0"/>
      <w:divBdr>
        <w:top w:val="none" w:sz="0" w:space="0" w:color="auto"/>
        <w:left w:val="none" w:sz="0" w:space="0" w:color="auto"/>
        <w:bottom w:val="none" w:sz="0" w:space="0" w:color="auto"/>
        <w:right w:val="none" w:sz="0" w:space="0" w:color="auto"/>
      </w:divBdr>
    </w:div>
    <w:div w:id="1433473339">
      <w:bodyDiv w:val="1"/>
      <w:marLeft w:val="0"/>
      <w:marRight w:val="0"/>
      <w:marTop w:val="0"/>
      <w:marBottom w:val="0"/>
      <w:divBdr>
        <w:top w:val="none" w:sz="0" w:space="0" w:color="auto"/>
        <w:left w:val="none" w:sz="0" w:space="0" w:color="auto"/>
        <w:bottom w:val="none" w:sz="0" w:space="0" w:color="auto"/>
        <w:right w:val="none" w:sz="0" w:space="0" w:color="auto"/>
      </w:divBdr>
    </w:div>
    <w:div w:id="1433478424">
      <w:bodyDiv w:val="1"/>
      <w:marLeft w:val="0"/>
      <w:marRight w:val="0"/>
      <w:marTop w:val="0"/>
      <w:marBottom w:val="0"/>
      <w:divBdr>
        <w:top w:val="none" w:sz="0" w:space="0" w:color="auto"/>
        <w:left w:val="none" w:sz="0" w:space="0" w:color="auto"/>
        <w:bottom w:val="none" w:sz="0" w:space="0" w:color="auto"/>
        <w:right w:val="none" w:sz="0" w:space="0" w:color="auto"/>
      </w:divBdr>
    </w:div>
    <w:div w:id="1433478577">
      <w:bodyDiv w:val="1"/>
      <w:marLeft w:val="0"/>
      <w:marRight w:val="0"/>
      <w:marTop w:val="0"/>
      <w:marBottom w:val="0"/>
      <w:divBdr>
        <w:top w:val="none" w:sz="0" w:space="0" w:color="auto"/>
        <w:left w:val="none" w:sz="0" w:space="0" w:color="auto"/>
        <w:bottom w:val="none" w:sz="0" w:space="0" w:color="auto"/>
        <w:right w:val="none" w:sz="0" w:space="0" w:color="auto"/>
      </w:divBdr>
    </w:div>
    <w:div w:id="1433667898">
      <w:bodyDiv w:val="1"/>
      <w:marLeft w:val="0"/>
      <w:marRight w:val="0"/>
      <w:marTop w:val="0"/>
      <w:marBottom w:val="0"/>
      <w:divBdr>
        <w:top w:val="none" w:sz="0" w:space="0" w:color="auto"/>
        <w:left w:val="none" w:sz="0" w:space="0" w:color="auto"/>
        <w:bottom w:val="none" w:sz="0" w:space="0" w:color="auto"/>
        <w:right w:val="none" w:sz="0" w:space="0" w:color="auto"/>
      </w:divBdr>
    </w:div>
    <w:div w:id="1433823913">
      <w:bodyDiv w:val="1"/>
      <w:marLeft w:val="0"/>
      <w:marRight w:val="0"/>
      <w:marTop w:val="0"/>
      <w:marBottom w:val="0"/>
      <w:divBdr>
        <w:top w:val="none" w:sz="0" w:space="0" w:color="auto"/>
        <w:left w:val="none" w:sz="0" w:space="0" w:color="auto"/>
        <w:bottom w:val="none" w:sz="0" w:space="0" w:color="auto"/>
        <w:right w:val="none" w:sz="0" w:space="0" w:color="auto"/>
      </w:divBdr>
    </w:div>
    <w:div w:id="1433889579">
      <w:bodyDiv w:val="1"/>
      <w:marLeft w:val="0"/>
      <w:marRight w:val="0"/>
      <w:marTop w:val="0"/>
      <w:marBottom w:val="0"/>
      <w:divBdr>
        <w:top w:val="none" w:sz="0" w:space="0" w:color="auto"/>
        <w:left w:val="none" w:sz="0" w:space="0" w:color="auto"/>
        <w:bottom w:val="none" w:sz="0" w:space="0" w:color="auto"/>
        <w:right w:val="none" w:sz="0" w:space="0" w:color="auto"/>
      </w:divBdr>
    </w:div>
    <w:div w:id="1433936079">
      <w:bodyDiv w:val="1"/>
      <w:marLeft w:val="0"/>
      <w:marRight w:val="0"/>
      <w:marTop w:val="0"/>
      <w:marBottom w:val="0"/>
      <w:divBdr>
        <w:top w:val="none" w:sz="0" w:space="0" w:color="auto"/>
        <w:left w:val="none" w:sz="0" w:space="0" w:color="auto"/>
        <w:bottom w:val="none" w:sz="0" w:space="0" w:color="auto"/>
        <w:right w:val="none" w:sz="0" w:space="0" w:color="auto"/>
      </w:divBdr>
    </w:div>
    <w:div w:id="1434016118">
      <w:bodyDiv w:val="1"/>
      <w:marLeft w:val="0"/>
      <w:marRight w:val="0"/>
      <w:marTop w:val="0"/>
      <w:marBottom w:val="0"/>
      <w:divBdr>
        <w:top w:val="none" w:sz="0" w:space="0" w:color="auto"/>
        <w:left w:val="none" w:sz="0" w:space="0" w:color="auto"/>
        <w:bottom w:val="none" w:sz="0" w:space="0" w:color="auto"/>
        <w:right w:val="none" w:sz="0" w:space="0" w:color="auto"/>
      </w:divBdr>
    </w:div>
    <w:div w:id="1434127366">
      <w:bodyDiv w:val="1"/>
      <w:marLeft w:val="0"/>
      <w:marRight w:val="0"/>
      <w:marTop w:val="0"/>
      <w:marBottom w:val="0"/>
      <w:divBdr>
        <w:top w:val="none" w:sz="0" w:space="0" w:color="auto"/>
        <w:left w:val="none" w:sz="0" w:space="0" w:color="auto"/>
        <w:bottom w:val="none" w:sz="0" w:space="0" w:color="auto"/>
        <w:right w:val="none" w:sz="0" w:space="0" w:color="auto"/>
      </w:divBdr>
    </w:div>
    <w:div w:id="1434205205">
      <w:bodyDiv w:val="1"/>
      <w:marLeft w:val="0"/>
      <w:marRight w:val="0"/>
      <w:marTop w:val="0"/>
      <w:marBottom w:val="0"/>
      <w:divBdr>
        <w:top w:val="none" w:sz="0" w:space="0" w:color="auto"/>
        <w:left w:val="none" w:sz="0" w:space="0" w:color="auto"/>
        <w:bottom w:val="none" w:sz="0" w:space="0" w:color="auto"/>
        <w:right w:val="none" w:sz="0" w:space="0" w:color="auto"/>
      </w:divBdr>
    </w:div>
    <w:div w:id="1434207062">
      <w:bodyDiv w:val="1"/>
      <w:marLeft w:val="0"/>
      <w:marRight w:val="0"/>
      <w:marTop w:val="0"/>
      <w:marBottom w:val="0"/>
      <w:divBdr>
        <w:top w:val="none" w:sz="0" w:space="0" w:color="auto"/>
        <w:left w:val="none" w:sz="0" w:space="0" w:color="auto"/>
        <w:bottom w:val="none" w:sz="0" w:space="0" w:color="auto"/>
        <w:right w:val="none" w:sz="0" w:space="0" w:color="auto"/>
      </w:divBdr>
    </w:div>
    <w:div w:id="1434399939">
      <w:bodyDiv w:val="1"/>
      <w:marLeft w:val="0"/>
      <w:marRight w:val="0"/>
      <w:marTop w:val="0"/>
      <w:marBottom w:val="0"/>
      <w:divBdr>
        <w:top w:val="none" w:sz="0" w:space="0" w:color="auto"/>
        <w:left w:val="none" w:sz="0" w:space="0" w:color="auto"/>
        <w:bottom w:val="none" w:sz="0" w:space="0" w:color="auto"/>
        <w:right w:val="none" w:sz="0" w:space="0" w:color="auto"/>
      </w:divBdr>
    </w:div>
    <w:div w:id="1434400618">
      <w:bodyDiv w:val="1"/>
      <w:marLeft w:val="0"/>
      <w:marRight w:val="0"/>
      <w:marTop w:val="0"/>
      <w:marBottom w:val="0"/>
      <w:divBdr>
        <w:top w:val="none" w:sz="0" w:space="0" w:color="auto"/>
        <w:left w:val="none" w:sz="0" w:space="0" w:color="auto"/>
        <w:bottom w:val="none" w:sz="0" w:space="0" w:color="auto"/>
        <w:right w:val="none" w:sz="0" w:space="0" w:color="auto"/>
      </w:divBdr>
    </w:div>
    <w:div w:id="1434519687">
      <w:bodyDiv w:val="1"/>
      <w:marLeft w:val="0"/>
      <w:marRight w:val="0"/>
      <w:marTop w:val="0"/>
      <w:marBottom w:val="0"/>
      <w:divBdr>
        <w:top w:val="none" w:sz="0" w:space="0" w:color="auto"/>
        <w:left w:val="none" w:sz="0" w:space="0" w:color="auto"/>
        <w:bottom w:val="none" w:sz="0" w:space="0" w:color="auto"/>
        <w:right w:val="none" w:sz="0" w:space="0" w:color="auto"/>
      </w:divBdr>
    </w:div>
    <w:div w:id="1434520127">
      <w:bodyDiv w:val="1"/>
      <w:marLeft w:val="0"/>
      <w:marRight w:val="0"/>
      <w:marTop w:val="0"/>
      <w:marBottom w:val="0"/>
      <w:divBdr>
        <w:top w:val="none" w:sz="0" w:space="0" w:color="auto"/>
        <w:left w:val="none" w:sz="0" w:space="0" w:color="auto"/>
        <w:bottom w:val="none" w:sz="0" w:space="0" w:color="auto"/>
        <w:right w:val="none" w:sz="0" w:space="0" w:color="auto"/>
      </w:divBdr>
    </w:div>
    <w:div w:id="1434547948">
      <w:bodyDiv w:val="1"/>
      <w:marLeft w:val="0"/>
      <w:marRight w:val="0"/>
      <w:marTop w:val="0"/>
      <w:marBottom w:val="0"/>
      <w:divBdr>
        <w:top w:val="none" w:sz="0" w:space="0" w:color="auto"/>
        <w:left w:val="none" w:sz="0" w:space="0" w:color="auto"/>
        <w:bottom w:val="none" w:sz="0" w:space="0" w:color="auto"/>
        <w:right w:val="none" w:sz="0" w:space="0" w:color="auto"/>
      </w:divBdr>
    </w:div>
    <w:div w:id="1434590395">
      <w:bodyDiv w:val="1"/>
      <w:marLeft w:val="0"/>
      <w:marRight w:val="0"/>
      <w:marTop w:val="0"/>
      <w:marBottom w:val="0"/>
      <w:divBdr>
        <w:top w:val="none" w:sz="0" w:space="0" w:color="auto"/>
        <w:left w:val="none" w:sz="0" w:space="0" w:color="auto"/>
        <w:bottom w:val="none" w:sz="0" w:space="0" w:color="auto"/>
        <w:right w:val="none" w:sz="0" w:space="0" w:color="auto"/>
      </w:divBdr>
    </w:div>
    <w:div w:id="1434668993">
      <w:bodyDiv w:val="1"/>
      <w:marLeft w:val="0"/>
      <w:marRight w:val="0"/>
      <w:marTop w:val="0"/>
      <w:marBottom w:val="0"/>
      <w:divBdr>
        <w:top w:val="none" w:sz="0" w:space="0" w:color="auto"/>
        <w:left w:val="none" w:sz="0" w:space="0" w:color="auto"/>
        <w:bottom w:val="none" w:sz="0" w:space="0" w:color="auto"/>
        <w:right w:val="none" w:sz="0" w:space="0" w:color="auto"/>
      </w:divBdr>
    </w:div>
    <w:div w:id="1434669552">
      <w:bodyDiv w:val="1"/>
      <w:marLeft w:val="0"/>
      <w:marRight w:val="0"/>
      <w:marTop w:val="0"/>
      <w:marBottom w:val="0"/>
      <w:divBdr>
        <w:top w:val="none" w:sz="0" w:space="0" w:color="auto"/>
        <w:left w:val="none" w:sz="0" w:space="0" w:color="auto"/>
        <w:bottom w:val="none" w:sz="0" w:space="0" w:color="auto"/>
        <w:right w:val="none" w:sz="0" w:space="0" w:color="auto"/>
      </w:divBdr>
    </w:div>
    <w:div w:id="1434784310">
      <w:bodyDiv w:val="1"/>
      <w:marLeft w:val="0"/>
      <w:marRight w:val="0"/>
      <w:marTop w:val="0"/>
      <w:marBottom w:val="0"/>
      <w:divBdr>
        <w:top w:val="none" w:sz="0" w:space="0" w:color="auto"/>
        <w:left w:val="none" w:sz="0" w:space="0" w:color="auto"/>
        <w:bottom w:val="none" w:sz="0" w:space="0" w:color="auto"/>
        <w:right w:val="none" w:sz="0" w:space="0" w:color="auto"/>
      </w:divBdr>
    </w:div>
    <w:div w:id="1434861197">
      <w:bodyDiv w:val="1"/>
      <w:marLeft w:val="0"/>
      <w:marRight w:val="0"/>
      <w:marTop w:val="0"/>
      <w:marBottom w:val="0"/>
      <w:divBdr>
        <w:top w:val="none" w:sz="0" w:space="0" w:color="auto"/>
        <w:left w:val="none" w:sz="0" w:space="0" w:color="auto"/>
        <w:bottom w:val="none" w:sz="0" w:space="0" w:color="auto"/>
        <w:right w:val="none" w:sz="0" w:space="0" w:color="auto"/>
      </w:divBdr>
    </w:div>
    <w:div w:id="1434931785">
      <w:bodyDiv w:val="1"/>
      <w:marLeft w:val="0"/>
      <w:marRight w:val="0"/>
      <w:marTop w:val="0"/>
      <w:marBottom w:val="0"/>
      <w:divBdr>
        <w:top w:val="none" w:sz="0" w:space="0" w:color="auto"/>
        <w:left w:val="none" w:sz="0" w:space="0" w:color="auto"/>
        <w:bottom w:val="none" w:sz="0" w:space="0" w:color="auto"/>
        <w:right w:val="none" w:sz="0" w:space="0" w:color="auto"/>
      </w:divBdr>
    </w:div>
    <w:div w:id="1434976986">
      <w:bodyDiv w:val="1"/>
      <w:marLeft w:val="0"/>
      <w:marRight w:val="0"/>
      <w:marTop w:val="0"/>
      <w:marBottom w:val="0"/>
      <w:divBdr>
        <w:top w:val="none" w:sz="0" w:space="0" w:color="auto"/>
        <w:left w:val="none" w:sz="0" w:space="0" w:color="auto"/>
        <w:bottom w:val="none" w:sz="0" w:space="0" w:color="auto"/>
        <w:right w:val="none" w:sz="0" w:space="0" w:color="auto"/>
      </w:divBdr>
    </w:div>
    <w:div w:id="1435058963">
      <w:bodyDiv w:val="1"/>
      <w:marLeft w:val="0"/>
      <w:marRight w:val="0"/>
      <w:marTop w:val="0"/>
      <w:marBottom w:val="0"/>
      <w:divBdr>
        <w:top w:val="none" w:sz="0" w:space="0" w:color="auto"/>
        <w:left w:val="none" w:sz="0" w:space="0" w:color="auto"/>
        <w:bottom w:val="none" w:sz="0" w:space="0" w:color="auto"/>
        <w:right w:val="none" w:sz="0" w:space="0" w:color="auto"/>
      </w:divBdr>
    </w:div>
    <w:div w:id="1435128786">
      <w:bodyDiv w:val="1"/>
      <w:marLeft w:val="0"/>
      <w:marRight w:val="0"/>
      <w:marTop w:val="0"/>
      <w:marBottom w:val="0"/>
      <w:divBdr>
        <w:top w:val="none" w:sz="0" w:space="0" w:color="auto"/>
        <w:left w:val="none" w:sz="0" w:space="0" w:color="auto"/>
        <w:bottom w:val="none" w:sz="0" w:space="0" w:color="auto"/>
        <w:right w:val="none" w:sz="0" w:space="0" w:color="auto"/>
      </w:divBdr>
    </w:div>
    <w:div w:id="1435202309">
      <w:bodyDiv w:val="1"/>
      <w:marLeft w:val="0"/>
      <w:marRight w:val="0"/>
      <w:marTop w:val="0"/>
      <w:marBottom w:val="0"/>
      <w:divBdr>
        <w:top w:val="none" w:sz="0" w:space="0" w:color="auto"/>
        <w:left w:val="none" w:sz="0" w:space="0" w:color="auto"/>
        <w:bottom w:val="none" w:sz="0" w:space="0" w:color="auto"/>
        <w:right w:val="none" w:sz="0" w:space="0" w:color="auto"/>
      </w:divBdr>
    </w:div>
    <w:div w:id="1435251099">
      <w:bodyDiv w:val="1"/>
      <w:marLeft w:val="0"/>
      <w:marRight w:val="0"/>
      <w:marTop w:val="0"/>
      <w:marBottom w:val="0"/>
      <w:divBdr>
        <w:top w:val="none" w:sz="0" w:space="0" w:color="auto"/>
        <w:left w:val="none" w:sz="0" w:space="0" w:color="auto"/>
        <w:bottom w:val="none" w:sz="0" w:space="0" w:color="auto"/>
        <w:right w:val="none" w:sz="0" w:space="0" w:color="auto"/>
      </w:divBdr>
    </w:div>
    <w:div w:id="1435370234">
      <w:bodyDiv w:val="1"/>
      <w:marLeft w:val="0"/>
      <w:marRight w:val="0"/>
      <w:marTop w:val="0"/>
      <w:marBottom w:val="0"/>
      <w:divBdr>
        <w:top w:val="none" w:sz="0" w:space="0" w:color="auto"/>
        <w:left w:val="none" w:sz="0" w:space="0" w:color="auto"/>
        <w:bottom w:val="none" w:sz="0" w:space="0" w:color="auto"/>
        <w:right w:val="none" w:sz="0" w:space="0" w:color="auto"/>
      </w:divBdr>
    </w:div>
    <w:div w:id="1435393572">
      <w:bodyDiv w:val="1"/>
      <w:marLeft w:val="0"/>
      <w:marRight w:val="0"/>
      <w:marTop w:val="0"/>
      <w:marBottom w:val="0"/>
      <w:divBdr>
        <w:top w:val="none" w:sz="0" w:space="0" w:color="auto"/>
        <w:left w:val="none" w:sz="0" w:space="0" w:color="auto"/>
        <w:bottom w:val="none" w:sz="0" w:space="0" w:color="auto"/>
        <w:right w:val="none" w:sz="0" w:space="0" w:color="auto"/>
      </w:divBdr>
    </w:div>
    <w:div w:id="1435437327">
      <w:bodyDiv w:val="1"/>
      <w:marLeft w:val="0"/>
      <w:marRight w:val="0"/>
      <w:marTop w:val="0"/>
      <w:marBottom w:val="0"/>
      <w:divBdr>
        <w:top w:val="none" w:sz="0" w:space="0" w:color="auto"/>
        <w:left w:val="none" w:sz="0" w:space="0" w:color="auto"/>
        <w:bottom w:val="none" w:sz="0" w:space="0" w:color="auto"/>
        <w:right w:val="none" w:sz="0" w:space="0" w:color="auto"/>
      </w:divBdr>
    </w:div>
    <w:div w:id="1435438287">
      <w:bodyDiv w:val="1"/>
      <w:marLeft w:val="0"/>
      <w:marRight w:val="0"/>
      <w:marTop w:val="0"/>
      <w:marBottom w:val="0"/>
      <w:divBdr>
        <w:top w:val="none" w:sz="0" w:space="0" w:color="auto"/>
        <w:left w:val="none" w:sz="0" w:space="0" w:color="auto"/>
        <w:bottom w:val="none" w:sz="0" w:space="0" w:color="auto"/>
        <w:right w:val="none" w:sz="0" w:space="0" w:color="auto"/>
      </w:divBdr>
    </w:div>
    <w:div w:id="1435445609">
      <w:bodyDiv w:val="1"/>
      <w:marLeft w:val="0"/>
      <w:marRight w:val="0"/>
      <w:marTop w:val="0"/>
      <w:marBottom w:val="0"/>
      <w:divBdr>
        <w:top w:val="none" w:sz="0" w:space="0" w:color="auto"/>
        <w:left w:val="none" w:sz="0" w:space="0" w:color="auto"/>
        <w:bottom w:val="none" w:sz="0" w:space="0" w:color="auto"/>
        <w:right w:val="none" w:sz="0" w:space="0" w:color="auto"/>
      </w:divBdr>
    </w:div>
    <w:div w:id="1435511639">
      <w:bodyDiv w:val="1"/>
      <w:marLeft w:val="0"/>
      <w:marRight w:val="0"/>
      <w:marTop w:val="0"/>
      <w:marBottom w:val="0"/>
      <w:divBdr>
        <w:top w:val="none" w:sz="0" w:space="0" w:color="auto"/>
        <w:left w:val="none" w:sz="0" w:space="0" w:color="auto"/>
        <w:bottom w:val="none" w:sz="0" w:space="0" w:color="auto"/>
        <w:right w:val="none" w:sz="0" w:space="0" w:color="auto"/>
      </w:divBdr>
    </w:div>
    <w:div w:id="1435513083">
      <w:bodyDiv w:val="1"/>
      <w:marLeft w:val="0"/>
      <w:marRight w:val="0"/>
      <w:marTop w:val="0"/>
      <w:marBottom w:val="0"/>
      <w:divBdr>
        <w:top w:val="none" w:sz="0" w:space="0" w:color="auto"/>
        <w:left w:val="none" w:sz="0" w:space="0" w:color="auto"/>
        <w:bottom w:val="none" w:sz="0" w:space="0" w:color="auto"/>
        <w:right w:val="none" w:sz="0" w:space="0" w:color="auto"/>
      </w:divBdr>
    </w:div>
    <w:div w:id="1435518880">
      <w:bodyDiv w:val="1"/>
      <w:marLeft w:val="0"/>
      <w:marRight w:val="0"/>
      <w:marTop w:val="0"/>
      <w:marBottom w:val="0"/>
      <w:divBdr>
        <w:top w:val="none" w:sz="0" w:space="0" w:color="auto"/>
        <w:left w:val="none" w:sz="0" w:space="0" w:color="auto"/>
        <w:bottom w:val="none" w:sz="0" w:space="0" w:color="auto"/>
        <w:right w:val="none" w:sz="0" w:space="0" w:color="auto"/>
      </w:divBdr>
    </w:div>
    <w:div w:id="1435662549">
      <w:bodyDiv w:val="1"/>
      <w:marLeft w:val="0"/>
      <w:marRight w:val="0"/>
      <w:marTop w:val="0"/>
      <w:marBottom w:val="0"/>
      <w:divBdr>
        <w:top w:val="none" w:sz="0" w:space="0" w:color="auto"/>
        <w:left w:val="none" w:sz="0" w:space="0" w:color="auto"/>
        <w:bottom w:val="none" w:sz="0" w:space="0" w:color="auto"/>
        <w:right w:val="none" w:sz="0" w:space="0" w:color="auto"/>
      </w:divBdr>
    </w:div>
    <w:div w:id="1435706696">
      <w:bodyDiv w:val="1"/>
      <w:marLeft w:val="0"/>
      <w:marRight w:val="0"/>
      <w:marTop w:val="0"/>
      <w:marBottom w:val="0"/>
      <w:divBdr>
        <w:top w:val="none" w:sz="0" w:space="0" w:color="auto"/>
        <w:left w:val="none" w:sz="0" w:space="0" w:color="auto"/>
        <w:bottom w:val="none" w:sz="0" w:space="0" w:color="auto"/>
        <w:right w:val="none" w:sz="0" w:space="0" w:color="auto"/>
      </w:divBdr>
    </w:div>
    <w:div w:id="1435784208">
      <w:bodyDiv w:val="1"/>
      <w:marLeft w:val="0"/>
      <w:marRight w:val="0"/>
      <w:marTop w:val="0"/>
      <w:marBottom w:val="0"/>
      <w:divBdr>
        <w:top w:val="none" w:sz="0" w:space="0" w:color="auto"/>
        <w:left w:val="none" w:sz="0" w:space="0" w:color="auto"/>
        <w:bottom w:val="none" w:sz="0" w:space="0" w:color="auto"/>
        <w:right w:val="none" w:sz="0" w:space="0" w:color="auto"/>
      </w:divBdr>
    </w:div>
    <w:div w:id="1435787953">
      <w:bodyDiv w:val="1"/>
      <w:marLeft w:val="0"/>
      <w:marRight w:val="0"/>
      <w:marTop w:val="0"/>
      <w:marBottom w:val="0"/>
      <w:divBdr>
        <w:top w:val="none" w:sz="0" w:space="0" w:color="auto"/>
        <w:left w:val="none" w:sz="0" w:space="0" w:color="auto"/>
        <w:bottom w:val="none" w:sz="0" w:space="0" w:color="auto"/>
        <w:right w:val="none" w:sz="0" w:space="0" w:color="auto"/>
      </w:divBdr>
    </w:div>
    <w:div w:id="1435828703">
      <w:bodyDiv w:val="1"/>
      <w:marLeft w:val="0"/>
      <w:marRight w:val="0"/>
      <w:marTop w:val="0"/>
      <w:marBottom w:val="0"/>
      <w:divBdr>
        <w:top w:val="none" w:sz="0" w:space="0" w:color="auto"/>
        <w:left w:val="none" w:sz="0" w:space="0" w:color="auto"/>
        <w:bottom w:val="none" w:sz="0" w:space="0" w:color="auto"/>
        <w:right w:val="none" w:sz="0" w:space="0" w:color="auto"/>
      </w:divBdr>
    </w:div>
    <w:div w:id="1435902417">
      <w:bodyDiv w:val="1"/>
      <w:marLeft w:val="0"/>
      <w:marRight w:val="0"/>
      <w:marTop w:val="0"/>
      <w:marBottom w:val="0"/>
      <w:divBdr>
        <w:top w:val="none" w:sz="0" w:space="0" w:color="auto"/>
        <w:left w:val="none" w:sz="0" w:space="0" w:color="auto"/>
        <w:bottom w:val="none" w:sz="0" w:space="0" w:color="auto"/>
        <w:right w:val="none" w:sz="0" w:space="0" w:color="auto"/>
      </w:divBdr>
    </w:div>
    <w:div w:id="1436055662">
      <w:bodyDiv w:val="1"/>
      <w:marLeft w:val="0"/>
      <w:marRight w:val="0"/>
      <w:marTop w:val="0"/>
      <w:marBottom w:val="0"/>
      <w:divBdr>
        <w:top w:val="none" w:sz="0" w:space="0" w:color="auto"/>
        <w:left w:val="none" w:sz="0" w:space="0" w:color="auto"/>
        <w:bottom w:val="none" w:sz="0" w:space="0" w:color="auto"/>
        <w:right w:val="none" w:sz="0" w:space="0" w:color="auto"/>
      </w:divBdr>
    </w:div>
    <w:div w:id="1436097104">
      <w:bodyDiv w:val="1"/>
      <w:marLeft w:val="0"/>
      <w:marRight w:val="0"/>
      <w:marTop w:val="0"/>
      <w:marBottom w:val="0"/>
      <w:divBdr>
        <w:top w:val="none" w:sz="0" w:space="0" w:color="auto"/>
        <w:left w:val="none" w:sz="0" w:space="0" w:color="auto"/>
        <w:bottom w:val="none" w:sz="0" w:space="0" w:color="auto"/>
        <w:right w:val="none" w:sz="0" w:space="0" w:color="auto"/>
      </w:divBdr>
    </w:div>
    <w:div w:id="1436244439">
      <w:bodyDiv w:val="1"/>
      <w:marLeft w:val="0"/>
      <w:marRight w:val="0"/>
      <w:marTop w:val="0"/>
      <w:marBottom w:val="0"/>
      <w:divBdr>
        <w:top w:val="none" w:sz="0" w:space="0" w:color="auto"/>
        <w:left w:val="none" w:sz="0" w:space="0" w:color="auto"/>
        <w:bottom w:val="none" w:sz="0" w:space="0" w:color="auto"/>
        <w:right w:val="none" w:sz="0" w:space="0" w:color="auto"/>
      </w:divBdr>
    </w:div>
    <w:div w:id="1436294333">
      <w:bodyDiv w:val="1"/>
      <w:marLeft w:val="0"/>
      <w:marRight w:val="0"/>
      <w:marTop w:val="0"/>
      <w:marBottom w:val="0"/>
      <w:divBdr>
        <w:top w:val="none" w:sz="0" w:space="0" w:color="auto"/>
        <w:left w:val="none" w:sz="0" w:space="0" w:color="auto"/>
        <w:bottom w:val="none" w:sz="0" w:space="0" w:color="auto"/>
        <w:right w:val="none" w:sz="0" w:space="0" w:color="auto"/>
      </w:divBdr>
    </w:div>
    <w:div w:id="1436439193">
      <w:bodyDiv w:val="1"/>
      <w:marLeft w:val="0"/>
      <w:marRight w:val="0"/>
      <w:marTop w:val="0"/>
      <w:marBottom w:val="0"/>
      <w:divBdr>
        <w:top w:val="none" w:sz="0" w:space="0" w:color="auto"/>
        <w:left w:val="none" w:sz="0" w:space="0" w:color="auto"/>
        <w:bottom w:val="none" w:sz="0" w:space="0" w:color="auto"/>
        <w:right w:val="none" w:sz="0" w:space="0" w:color="auto"/>
      </w:divBdr>
    </w:div>
    <w:div w:id="1436441199">
      <w:bodyDiv w:val="1"/>
      <w:marLeft w:val="0"/>
      <w:marRight w:val="0"/>
      <w:marTop w:val="0"/>
      <w:marBottom w:val="0"/>
      <w:divBdr>
        <w:top w:val="none" w:sz="0" w:space="0" w:color="auto"/>
        <w:left w:val="none" w:sz="0" w:space="0" w:color="auto"/>
        <w:bottom w:val="none" w:sz="0" w:space="0" w:color="auto"/>
        <w:right w:val="none" w:sz="0" w:space="0" w:color="auto"/>
      </w:divBdr>
    </w:div>
    <w:div w:id="1436483695">
      <w:bodyDiv w:val="1"/>
      <w:marLeft w:val="0"/>
      <w:marRight w:val="0"/>
      <w:marTop w:val="0"/>
      <w:marBottom w:val="0"/>
      <w:divBdr>
        <w:top w:val="none" w:sz="0" w:space="0" w:color="auto"/>
        <w:left w:val="none" w:sz="0" w:space="0" w:color="auto"/>
        <w:bottom w:val="none" w:sz="0" w:space="0" w:color="auto"/>
        <w:right w:val="none" w:sz="0" w:space="0" w:color="auto"/>
      </w:divBdr>
    </w:div>
    <w:div w:id="1436515130">
      <w:bodyDiv w:val="1"/>
      <w:marLeft w:val="0"/>
      <w:marRight w:val="0"/>
      <w:marTop w:val="0"/>
      <w:marBottom w:val="0"/>
      <w:divBdr>
        <w:top w:val="none" w:sz="0" w:space="0" w:color="auto"/>
        <w:left w:val="none" w:sz="0" w:space="0" w:color="auto"/>
        <w:bottom w:val="none" w:sz="0" w:space="0" w:color="auto"/>
        <w:right w:val="none" w:sz="0" w:space="0" w:color="auto"/>
      </w:divBdr>
    </w:div>
    <w:div w:id="1436704189">
      <w:bodyDiv w:val="1"/>
      <w:marLeft w:val="0"/>
      <w:marRight w:val="0"/>
      <w:marTop w:val="0"/>
      <w:marBottom w:val="0"/>
      <w:divBdr>
        <w:top w:val="none" w:sz="0" w:space="0" w:color="auto"/>
        <w:left w:val="none" w:sz="0" w:space="0" w:color="auto"/>
        <w:bottom w:val="none" w:sz="0" w:space="0" w:color="auto"/>
        <w:right w:val="none" w:sz="0" w:space="0" w:color="auto"/>
      </w:divBdr>
    </w:div>
    <w:div w:id="1436747569">
      <w:bodyDiv w:val="1"/>
      <w:marLeft w:val="0"/>
      <w:marRight w:val="0"/>
      <w:marTop w:val="0"/>
      <w:marBottom w:val="0"/>
      <w:divBdr>
        <w:top w:val="none" w:sz="0" w:space="0" w:color="auto"/>
        <w:left w:val="none" w:sz="0" w:space="0" w:color="auto"/>
        <w:bottom w:val="none" w:sz="0" w:space="0" w:color="auto"/>
        <w:right w:val="none" w:sz="0" w:space="0" w:color="auto"/>
      </w:divBdr>
    </w:div>
    <w:div w:id="1436823798">
      <w:bodyDiv w:val="1"/>
      <w:marLeft w:val="0"/>
      <w:marRight w:val="0"/>
      <w:marTop w:val="0"/>
      <w:marBottom w:val="0"/>
      <w:divBdr>
        <w:top w:val="none" w:sz="0" w:space="0" w:color="auto"/>
        <w:left w:val="none" w:sz="0" w:space="0" w:color="auto"/>
        <w:bottom w:val="none" w:sz="0" w:space="0" w:color="auto"/>
        <w:right w:val="none" w:sz="0" w:space="0" w:color="auto"/>
      </w:divBdr>
    </w:div>
    <w:div w:id="1436904675">
      <w:bodyDiv w:val="1"/>
      <w:marLeft w:val="0"/>
      <w:marRight w:val="0"/>
      <w:marTop w:val="0"/>
      <w:marBottom w:val="0"/>
      <w:divBdr>
        <w:top w:val="none" w:sz="0" w:space="0" w:color="auto"/>
        <w:left w:val="none" w:sz="0" w:space="0" w:color="auto"/>
        <w:bottom w:val="none" w:sz="0" w:space="0" w:color="auto"/>
        <w:right w:val="none" w:sz="0" w:space="0" w:color="auto"/>
      </w:divBdr>
    </w:div>
    <w:div w:id="1437015844">
      <w:bodyDiv w:val="1"/>
      <w:marLeft w:val="0"/>
      <w:marRight w:val="0"/>
      <w:marTop w:val="0"/>
      <w:marBottom w:val="0"/>
      <w:divBdr>
        <w:top w:val="none" w:sz="0" w:space="0" w:color="auto"/>
        <w:left w:val="none" w:sz="0" w:space="0" w:color="auto"/>
        <w:bottom w:val="none" w:sz="0" w:space="0" w:color="auto"/>
        <w:right w:val="none" w:sz="0" w:space="0" w:color="auto"/>
      </w:divBdr>
    </w:div>
    <w:div w:id="1437214453">
      <w:bodyDiv w:val="1"/>
      <w:marLeft w:val="0"/>
      <w:marRight w:val="0"/>
      <w:marTop w:val="0"/>
      <w:marBottom w:val="0"/>
      <w:divBdr>
        <w:top w:val="none" w:sz="0" w:space="0" w:color="auto"/>
        <w:left w:val="none" w:sz="0" w:space="0" w:color="auto"/>
        <w:bottom w:val="none" w:sz="0" w:space="0" w:color="auto"/>
        <w:right w:val="none" w:sz="0" w:space="0" w:color="auto"/>
      </w:divBdr>
    </w:div>
    <w:div w:id="1437552725">
      <w:bodyDiv w:val="1"/>
      <w:marLeft w:val="0"/>
      <w:marRight w:val="0"/>
      <w:marTop w:val="0"/>
      <w:marBottom w:val="0"/>
      <w:divBdr>
        <w:top w:val="none" w:sz="0" w:space="0" w:color="auto"/>
        <w:left w:val="none" w:sz="0" w:space="0" w:color="auto"/>
        <w:bottom w:val="none" w:sz="0" w:space="0" w:color="auto"/>
        <w:right w:val="none" w:sz="0" w:space="0" w:color="auto"/>
      </w:divBdr>
    </w:div>
    <w:div w:id="1437676869">
      <w:bodyDiv w:val="1"/>
      <w:marLeft w:val="0"/>
      <w:marRight w:val="0"/>
      <w:marTop w:val="0"/>
      <w:marBottom w:val="0"/>
      <w:divBdr>
        <w:top w:val="none" w:sz="0" w:space="0" w:color="auto"/>
        <w:left w:val="none" w:sz="0" w:space="0" w:color="auto"/>
        <w:bottom w:val="none" w:sz="0" w:space="0" w:color="auto"/>
        <w:right w:val="none" w:sz="0" w:space="0" w:color="auto"/>
      </w:divBdr>
    </w:div>
    <w:div w:id="1437798169">
      <w:bodyDiv w:val="1"/>
      <w:marLeft w:val="0"/>
      <w:marRight w:val="0"/>
      <w:marTop w:val="0"/>
      <w:marBottom w:val="0"/>
      <w:divBdr>
        <w:top w:val="none" w:sz="0" w:space="0" w:color="auto"/>
        <w:left w:val="none" w:sz="0" w:space="0" w:color="auto"/>
        <w:bottom w:val="none" w:sz="0" w:space="0" w:color="auto"/>
        <w:right w:val="none" w:sz="0" w:space="0" w:color="auto"/>
      </w:divBdr>
    </w:div>
    <w:div w:id="1437864910">
      <w:bodyDiv w:val="1"/>
      <w:marLeft w:val="0"/>
      <w:marRight w:val="0"/>
      <w:marTop w:val="0"/>
      <w:marBottom w:val="0"/>
      <w:divBdr>
        <w:top w:val="none" w:sz="0" w:space="0" w:color="auto"/>
        <w:left w:val="none" w:sz="0" w:space="0" w:color="auto"/>
        <w:bottom w:val="none" w:sz="0" w:space="0" w:color="auto"/>
        <w:right w:val="none" w:sz="0" w:space="0" w:color="auto"/>
      </w:divBdr>
    </w:div>
    <w:div w:id="1437864922">
      <w:bodyDiv w:val="1"/>
      <w:marLeft w:val="0"/>
      <w:marRight w:val="0"/>
      <w:marTop w:val="0"/>
      <w:marBottom w:val="0"/>
      <w:divBdr>
        <w:top w:val="none" w:sz="0" w:space="0" w:color="auto"/>
        <w:left w:val="none" w:sz="0" w:space="0" w:color="auto"/>
        <w:bottom w:val="none" w:sz="0" w:space="0" w:color="auto"/>
        <w:right w:val="none" w:sz="0" w:space="0" w:color="auto"/>
      </w:divBdr>
    </w:div>
    <w:div w:id="1437869969">
      <w:bodyDiv w:val="1"/>
      <w:marLeft w:val="0"/>
      <w:marRight w:val="0"/>
      <w:marTop w:val="0"/>
      <w:marBottom w:val="0"/>
      <w:divBdr>
        <w:top w:val="none" w:sz="0" w:space="0" w:color="auto"/>
        <w:left w:val="none" w:sz="0" w:space="0" w:color="auto"/>
        <w:bottom w:val="none" w:sz="0" w:space="0" w:color="auto"/>
        <w:right w:val="none" w:sz="0" w:space="0" w:color="auto"/>
      </w:divBdr>
    </w:div>
    <w:div w:id="1438020472">
      <w:bodyDiv w:val="1"/>
      <w:marLeft w:val="0"/>
      <w:marRight w:val="0"/>
      <w:marTop w:val="0"/>
      <w:marBottom w:val="0"/>
      <w:divBdr>
        <w:top w:val="none" w:sz="0" w:space="0" w:color="auto"/>
        <w:left w:val="none" w:sz="0" w:space="0" w:color="auto"/>
        <w:bottom w:val="none" w:sz="0" w:space="0" w:color="auto"/>
        <w:right w:val="none" w:sz="0" w:space="0" w:color="auto"/>
      </w:divBdr>
    </w:div>
    <w:div w:id="1438138045">
      <w:bodyDiv w:val="1"/>
      <w:marLeft w:val="0"/>
      <w:marRight w:val="0"/>
      <w:marTop w:val="0"/>
      <w:marBottom w:val="0"/>
      <w:divBdr>
        <w:top w:val="none" w:sz="0" w:space="0" w:color="auto"/>
        <w:left w:val="none" w:sz="0" w:space="0" w:color="auto"/>
        <w:bottom w:val="none" w:sz="0" w:space="0" w:color="auto"/>
        <w:right w:val="none" w:sz="0" w:space="0" w:color="auto"/>
      </w:divBdr>
    </w:div>
    <w:div w:id="1438140544">
      <w:bodyDiv w:val="1"/>
      <w:marLeft w:val="0"/>
      <w:marRight w:val="0"/>
      <w:marTop w:val="0"/>
      <w:marBottom w:val="0"/>
      <w:divBdr>
        <w:top w:val="none" w:sz="0" w:space="0" w:color="auto"/>
        <w:left w:val="none" w:sz="0" w:space="0" w:color="auto"/>
        <w:bottom w:val="none" w:sz="0" w:space="0" w:color="auto"/>
        <w:right w:val="none" w:sz="0" w:space="0" w:color="auto"/>
      </w:divBdr>
    </w:div>
    <w:div w:id="1438208633">
      <w:bodyDiv w:val="1"/>
      <w:marLeft w:val="0"/>
      <w:marRight w:val="0"/>
      <w:marTop w:val="0"/>
      <w:marBottom w:val="0"/>
      <w:divBdr>
        <w:top w:val="none" w:sz="0" w:space="0" w:color="auto"/>
        <w:left w:val="none" w:sz="0" w:space="0" w:color="auto"/>
        <w:bottom w:val="none" w:sz="0" w:space="0" w:color="auto"/>
        <w:right w:val="none" w:sz="0" w:space="0" w:color="auto"/>
      </w:divBdr>
    </w:div>
    <w:div w:id="1438216361">
      <w:bodyDiv w:val="1"/>
      <w:marLeft w:val="0"/>
      <w:marRight w:val="0"/>
      <w:marTop w:val="0"/>
      <w:marBottom w:val="0"/>
      <w:divBdr>
        <w:top w:val="none" w:sz="0" w:space="0" w:color="auto"/>
        <w:left w:val="none" w:sz="0" w:space="0" w:color="auto"/>
        <w:bottom w:val="none" w:sz="0" w:space="0" w:color="auto"/>
        <w:right w:val="none" w:sz="0" w:space="0" w:color="auto"/>
      </w:divBdr>
    </w:div>
    <w:div w:id="1438332139">
      <w:bodyDiv w:val="1"/>
      <w:marLeft w:val="0"/>
      <w:marRight w:val="0"/>
      <w:marTop w:val="0"/>
      <w:marBottom w:val="0"/>
      <w:divBdr>
        <w:top w:val="none" w:sz="0" w:space="0" w:color="auto"/>
        <w:left w:val="none" w:sz="0" w:space="0" w:color="auto"/>
        <w:bottom w:val="none" w:sz="0" w:space="0" w:color="auto"/>
        <w:right w:val="none" w:sz="0" w:space="0" w:color="auto"/>
      </w:divBdr>
    </w:div>
    <w:div w:id="1438452374">
      <w:bodyDiv w:val="1"/>
      <w:marLeft w:val="0"/>
      <w:marRight w:val="0"/>
      <w:marTop w:val="0"/>
      <w:marBottom w:val="0"/>
      <w:divBdr>
        <w:top w:val="none" w:sz="0" w:space="0" w:color="auto"/>
        <w:left w:val="none" w:sz="0" w:space="0" w:color="auto"/>
        <w:bottom w:val="none" w:sz="0" w:space="0" w:color="auto"/>
        <w:right w:val="none" w:sz="0" w:space="0" w:color="auto"/>
      </w:divBdr>
    </w:div>
    <w:div w:id="1438522789">
      <w:bodyDiv w:val="1"/>
      <w:marLeft w:val="0"/>
      <w:marRight w:val="0"/>
      <w:marTop w:val="0"/>
      <w:marBottom w:val="0"/>
      <w:divBdr>
        <w:top w:val="none" w:sz="0" w:space="0" w:color="auto"/>
        <w:left w:val="none" w:sz="0" w:space="0" w:color="auto"/>
        <w:bottom w:val="none" w:sz="0" w:space="0" w:color="auto"/>
        <w:right w:val="none" w:sz="0" w:space="0" w:color="auto"/>
      </w:divBdr>
    </w:div>
    <w:div w:id="1438527638">
      <w:bodyDiv w:val="1"/>
      <w:marLeft w:val="0"/>
      <w:marRight w:val="0"/>
      <w:marTop w:val="0"/>
      <w:marBottom w:val="0"/>
      <w:divBdr>
        <w:top w:val="none" w:sz="0" w:space="0" w:color="auto"/>
        <w:left w:val="none" w:sz="0" w:space="0" w:color="auto"/>
        <w:bottom w:val="none" w:sz="0" w:space="0" w:color="auto"/>
        <w:right w:val="none" w:sz="0" w:space="0" w:color="auto"/>
      </w:divBdr>
    </w:div>
    <w:div w:id="1438600368">
      <w:bodyDiv w:val="1"/>
      <w:marLeft w:val="0"/>
      <w:marRight w:val="0"/>
      <w:marTop w:val="0"/>
      <w:marBottom w:val="0"/>
      <w:divBdr>
        <w:top w:val="none" w:sz="0" w:space="0" w:color="auto"/>
        <w:left w:val="none" w:sz="0" w:space="0" w:color="auto"/>
        <w:bottom w:val="none" w:sz="0" w:space="0" w:color="auto"/>
        <w:right w:val="none" w:sz="0" w:space="0" w:color="auto"/>
      </w:divBdr>
    </w:div>
    <w:div w:id="1438600534">
      <w:bodyDiv w:val="1"/>
      <w:marLeft w:val="0"/>
      <w:marRight w:val="0"/>
      <w:marTop w:val="0"/>
      <w:marBottom w:val="0"/>
      <w:divBdr>
        <w:top w:val="none" w:sz="0" w:space="0" w:color="auto"/>
        <w:left w:val="none" w:sz="0" w:space="0" w:color="auto"/>
        <w:bottom w:val="none" w:sz="0" w:space="0" w:color="auto"/>
        <w:right w:val="none" w:sz="0" w:space="0" w:color="auto"/>
      </w:divBdr>
    </w:div>
    <w:div w:id="1438793886">
      <w:bodyDiv w:val="1"/>
      <w:marLeft w:val="0"/>
      <w:marRight w:val="0"/>
      <w:marTop w:val="0"/>
      <w:marBottom w:val="0"/>
      <w:divBdr>
        <w:top w:val="none" w:sz="0" w:space="0" w:color="auto"/>
        <w:left w:val="none" w:sz="0" w:space="0" w:color="auto"/>
        <w:bottom w:val="none" w:sz="0" w:space="0" w:color="auto"/>
        <w:right w:val="none" w:sz="0" w:space="0" w:color="auto"/>
      </w:divBdr>
    </w:div>
    <w:div w:id="1439059850">
      <w:bodyDiv w:val="1"/>
      <w:marLeft w:val="0"/>
      <w:marRight w:val="0"/>
      <w:marTop w:val="0"/>
      <w:marBottom w:val="0"/>
      <w:divBdr>
        <w:top w:val="none" w:sz="0" w:space="0" w:color="auto"/>
        <w:left w:val="none" w:sz="0" w:space="0" w:color="auto"/>
        <w:bottom w:val="none" w:sz="0" w:space="0" w:color="auto"/>
        <w:right w:val="none" w:sz="0" w:space="0" w:color="auto"/>
      </w:divBdr>
    </w:div>
    <w:div w:id="1439180909">
      <w:bodyDiv w:val="1"/>
      <w:marLeft w:val="0"/>
      <w:marRight w:val="0"/>
      <w:marTop w:val="0"/>
      <w:marBottom w:val="0"/>
      <w:divBdr>
        <w:top w:val="none" w:sz="0" w:space="0" w:color="auto"/>
        <w:left w:val="none" w:sz="0" w:space="0" w:color="auto"/>
        <w:bottom w:val="none" w:sz="0" w:space="0" w:color="auto"/>
        <w:right w:val="none" w:sz="0" w:space="0" w:color="auto"/>
      </w:divBdr>
    </w:div>
    <w:div w:id="1439326599">
      <w:bodyDiv w:val="1"/>
      <w:marLeft w:val="0"/>
      <w:marRight w:val="0"/>
      <w:marTop w:val="0"/>
      <w:marBottom w:val="0"/>
      <w:divBdr>
        <w:top w:val="none" w:sz="0" w:space="0" w:color="auto"/>
        <w:left w:val="none" w:sz="0" w:space="0" w:color="auto"/>
        <w:bottom w:val="none" w:sz="0" w:space="0" w:color="auto"/>
        <w:right w:val="none" w:sz="0" w:space="0" w:color="auto"/>
      </w:divBdr>
    </w:div>
    <w:div w:id="1439449517">
      <w:bodyDiv w:val="1"/>
      <w:marLeft w:val="0"/>
      <w:marRight w:val="0"/>
      <w:marTop w:val="0"/>
      <w:marBottom w:val="0"/>
      <w:divBdr>
        <w:top w:val="none" w:sz="0" w:space="0" w:color="auto"/>
        <w:left w:val="none" w:sz="0" w:space="0" w:color="auto"/>
        <w:bottom w:val="none" w:sz="0" w:space="0" w:color="auto"/>
        <w:right w:val="none" w:sz="0" w:space="0" w:color="auto"/>
      </w:divBdr>
    </w:div>
    <w:div w:id="1439519920">
      <w:bodyDiv w:val="1"/>
      <w:marLeft w:val="0"/>
      <w:marRight w:val="0"/>
      <w:marTop w:val="0"/>
      <w:marBottom w:val="0"/>
      <w:divBdr>
        <w:top w:val="none" w:sz="0" w:space="0" w:color="auto"/>
        <w:left w:val="none" w:sz="0" w:space="0" w:color="auto"/>
        <w:bottom w:val="none" w:sz="0" w:space="0" w:color="auto"/>
        <w:right w:val="none" w:sz="0" w:space="0" w:color="auto"/>
      </w:divBdr>
    </w:div>
    <w:div w:id="1439644375">
      <w:bodyDiv w:val="1"/>
      <w:marLeft w:val="0"/>
      <w:marRight w:val="0"/>
      <w:marTop w:val="0"/>
      <w:marBottom w:val="0"/>
      <w:divBdr>
        <w:top w:val="none" w:sz="0" w:space="0" w:color="auto"/>
        <w:left w:val="none" w:sz="0" w:space="0" w:color="auto"/>
        <w:bottom w:val="none" w:sz="0" w:space="0" w:color="auto"/>
        <w:right w:val="none" w:sz="0" w:space="0" w:color="auto"/>
      </w:divBdr>
    </w:div>
    <w:div w:id="1439719629">
      <w:bodyDiv w:val="1"/>
      <w:marLeft w:val="0"/>
      <w:marRight w:val="0"/>
      <w:marTop w:val="0"/>
      <w:marBottom w:val="0"/>
      <w:divBdr>
        <w:top w:val="none" w:sz="0" w:space="0" w:color="auto"/>
        <w:left w:val="none" w:sz="0" w:space="0" w:color="auto"/>
        <w:bottom w:val="none" w:sz="0" w:space="0" w:color="auto"/>
        <w:right w:val="none" w:sz="0" w:space="0" w:color="auto"/>
      </w:divBdr>
    </w:div>
    <w:div w:id="1439837157">
      <w:bodyDiv w:val="1"/>
      <w:marLeft w:val="0"/>
      <w:marRight w:val="0"/>
      <w:marTop w:val="0"/>
      <w:marBottom w:val="0"/>
      <w:divBdr>
        <w:top w:val="none" w:sz="0" w:space="0" w:color="auto"/>
        <w:left w:val="none" w:sz="0" w:space="0" w:color="auto"/>
        <w:bottom w:val="none" w:sz="0" w:space="0" w:color="auto"/>
        <w:right w:val="none" w:sz="0" w:space="0" w:color="auto"/>
      </w:divBdr>
    </w:div>
    <w:div w:id="1439989196">
      <w:bodyDiv w:val="1"/>
      <w:marLeft w:val="0"/>
      <w:marRight w:val="0"/>
      <w:marTop w:val="0"/>
      <w:marBottom w:val="0"/>
      <w:divBdr>
        <w:top w:val="none" w:sz="0" w:space="0" w:color="auto"/>
        <w:left w:val="none" w:sz="0" w:space="0" w:color="auto"/>
        <w:bottom w:val="none" w:sz="0" w:space="0" w:color="auto"/>
        <w:right w:val="none" w:sz="0" w:space="0" w:color="auto"/>
      </w:divBdr>
    </w:div>
    <w:div w:id="1440027359">
      <w:bodyDiv w:val="1"/>
      <w:marLeft w:val="0"/>
      <w:marRight w:val="0"/>
      <w:marTop w:val="0"/>
      <w:marBottom w:val="0"/>
      <w:divBdr>
        <w:top w:val="none" w:sz="0" w:space="0" w:color="auto"/>
        <w:left w:val="none" w:sz="0" w:space="0" w:color="auto"/>
        <w:bottom w:val="none" w:sz="0" w:space="0" w:color="auto"/>
        <w:right w:val="none" w:sz="0" w:space="0" w:color="auto"/>
      </w:divBdr>
    </w:div>
    <w:div w:id="1440028845">
      <w:bodyDiv w:val="1"/>
      <w:marLeft w:val="0"/>
      <w:marRight w:val="0"/>
      <w:marTop w:val="0"/>
      <w:marBottom w:val="0"/>
      <w:divBdr>
        <w:top w:val="none" w:sz="0" w:space="0" w:color="auto"/>
        <w:left w:val="none" w:sz="0" w:space="0" w:color="auto"/>
        <w:bottom w:val="none" w:sz="0" w:space="0" w:color="auto"/>
        <w:right w:val="none" w:sz="0" w:space="0" w:color="auto"/>
      </w:divBdr>
    </w:div>
    <w:div w:id="1440221600">
      <w:bodyDiv w:val="1"/>
      <w:marLeft w:val="0"/>
      <w:marRight w:val="0"/>
      <w:marTop w:val="0"/>
      <w:marBottom w:val="0"/>
      <w:divBdr>
        <w:top w:val="none" w:sz="0" w:space="0" w:color="auto"/>
        <w:left w:val="none" w:sz="0" w:space="0" w:color="auto"/>
        <w:bottom w:val="none" w:sz="0" w:space="0" w:color="auto"/>
        <w:right w:val="none" w:sz="0" w:space="0" w:color="auto"/>
      </w:divBdr>
    </w:div>
    <w:div w:id="1440373798">
      <w:bodyDiv w:val="1"/>
      <w:marLeft w:val="0"/>
      <w:marRight w:val="0"/>
      <w:marTop w:val="0"/>
      <w:marBottom w:val="0"/>
      <w:divBdr>
        <w:top w:val="none" w:sz="0" w:space="0" w:color="auto"/>
        <w:left w:val="none" w:sz="0" w:space="0" w:color="auto"/>
        <w:bottom w:val="none" w:sz="0" w:space="0" w:color="auto"/>
        <w:right w:val="none" w:sz="0" w:space="0" w:color="auto"/>
      </w:divBdr>
    </w:div>
    <w:div w:id="1440442817">
      <w:bodyDiv w:val="1"/>
      <w:marLeft w:val="0"/>
      <w:marRight w:val="0"/>
      <w:marTop w:val="0"/>
      <w:marBottom w:val="0"/>
      <w:divBdr>
        <w:top w:val="none" w:sz="0" w:space="0" w:color="auto"/>
        <w:left w:val="none" w:sz="0" w:space="0" w:color="auto"/>
        <w:bottom w:val="none" w:sz="0" w:space="0" w:color="auto"/>
        <w:right w:val="none" w:sz="0" w:space="0" w:color="auto"/>
      </w:divBdr>
    </w:div>
    <w:div w:id="1440639982">
      <w:bodyDiv w:val="1"/>
      <w:marLeft w:val="0"/>
      <w:marRight w:val="0"/>
      <w:marTop w:val="0"/>
      <w:marBottom w:val="0"/>
      <w:divBdr>
        <w:top w:val="none" w:sz="0" w:space="0" w:color="auto"/>
        <w:left w:val="none" w:sz="0" w:space="0" w:color="auto"/>
        <w:bottom w:val="none" w:sz="0" w:space="0" w:color="auto"/>
        <w:right w:val="none" w:sz="0" w:space="0" w:color="auto"/>
      </w:divBdr>
    </w:div>
    <w:div w:id="1440643285">
      <w:bodyDiv w:val="1"/>
      <w:marLeft w:val="0"/>
      <w:marRight w:val="0"/>
      <w:marTop w:val="0"/>
      <w:marBottom w:val="0"/>
      <w:divBdr>
        <w:top w:val="none" w:sz="0" w:space="0" w:color="auto"/>
        <w:left w:val="none" w:sz="0" w:space="0" w:color="auto"/>
        <w:bottom w:val="none" w:sz="0" w:space="0" w:color="auto"/>
        <w:right w:val="none" w:sz="0" w:space="0" w:color="auto"/>
      </w:divBdr>
    </w:div>
    <w:div w:id="1440949204">
      <w:bodyDiv w:val="1"/>
      <w:marLeft w:val="0"/>
      <w:marRight w:val="0"/>
      <w:marTop w:val="0"/>
      <w:marBottom w:val="0"/>
      <w:divBdr>
        <w:top w:val="none" w:sz="0" w:space="0" w:color="auto"/>
        <w:left w:val="none" w:sz="0" w:space="0" w:color="auto"/>
        <w:bottom w:val="none" w:sz="0" w:space="0" w:color="auto"/>
        <w:right w:val="none" w:sz="0" w:space="0" w:color="auto"/>
      </w:divBdr>
    </w:div>
    <w:div w:id="1440953612">
      <w:bodyDiv w:val="1"/>
      <w:marLeft w:val="0"/>
      <w:marRight w:val="0"/>
      <w:marTop w:val="0"/>
      <w:marBottom w:val="0"/>
      <w:divBdr>
        <w:top w:val="none" w:sz="0" w:space="0" w:color="auto"/>
        <w:left w:val="none" w:sz="0" w:space="0" w:color="auto"/>
        <w:bottom w:val="none" w:sz="0" w:space="0" w:color="auto"/>
        <w:right w:val="none" w:sz="0" w:space="0" w:color="auto"/>
      </w:divBdr>
    </w:div>
    <w:div w:id="1441024575">
      <w:bodyDiv w:val="1"/>
      <w:marLeft w:val="0"/>
      <w:marRight w:val="0"/>
      <w:marTop w:val="0"/>
      <w:marBottom w:val="0"/>
      <w:divBdr>
        <w:top w:val="none" w:sz="0" w:space="0" w:color="auto"/>
        <w:left w:val="none" w:sz="0" w:space="0" w:color="auto"/>
        <w:bottom w:val="none" w:sz="0" w:space="0" w:color="auto"/>
        <w:right w:val="none" w:sz="0" w:space="0" w:color="auto"/>
      </w:divBdr>
    </w:div>
    <w:div w:id="1441027436">
      <w:bodyDiv w:val="1"/>
      <w:marLeft w:val="0"/>
      <w:marRight w:val="0"/>
      <w:marTop w:val="0"/>
      <w:marBottom w:val="0"/>
      <w:divBdr>
        <w:top w:val="none" w:sz="0" w:space="0" w:color="auto"/>
        <w:left w:val="none" w:sz="0" w:space="0" w:color="auto"/>
        <w:bottom w:val="none" w:sz="0" w:space="0" w:color="auto"/>
        <w:right w:val="none" w:sz="0" w:space="0" w:color="auto"/>
      </w:divBdr>
    </w:div>
    <w:div w:id="1441102264">
      <w:bodyDiv w:val="1"/>
      <w:marLeft w:val="0"/>
      <w:marRight w:val="0"/>
      <w:marTop w:val="0"/>
      <w:marBottom w:val="0"/>
      <w:divBdr>
        <w:top w:val="none" w:sz="0" w:space="0" w:color="auto"/>
        <w:left w:val="none" w:sz="0" w:space="0" w:color="auto"/>
        <w:bottom w:val="none" w:sz="0" w:space="0" w:color="auto"/>
        <w:right w:val="none" w:sz="0" w:space="0" w:color="auto"/>
      </w:divBdr>
    </w:div>
    <w:div w:id="1441142009">
      <w:bodyDiv w:val="1"/>
      <w:marLeft w:val="0"/>
      <w:marRight w:val="0"/>
      <w:marTop w:val="0"/>
      <w:marBottom w:val="0"/>
      <w:divBdr>
        <w:top w:val="none" w:sz="0" w:space="0" w:color="auto"/>
        <w:left w:val="none" w:sz="0" w:space="0" w:color="auto"/>
        <w:bottom w:val="none" w:sz="0" w:space="0" w:color="auto"/>
        <w:right w:val="none" w:sz="0" w:space="0" w:color="auto"/>
      </w:divBdr>
    </w:div>
    <w:div w:id="1441145017">
      <w:bodyDiv w:val="1"/>
      <w:marLeft w:val="0"/>
      <w:marRight w:val="0"/>
      <w:marTop w:val="0"/>
      <w:marBottom w:val="0"/>
      <w:divBdr>
        <w:top w:val="none" w:sz="0" w:space="0" w:color="auto"/>
        <w:left w:val="none" w:sz="0" w:space="0" w:color="auto"/>
        <w:bottom w:val="none" w:sz="0" w:space="0" w:color="auto"/>
        <w:right w:val="none" w:sz="0" w:space="0" w:color="auto"/>
      </w:divBdr>
    </w:div>
    <w:div w:id="1441412087">
      <w:bodyDiv w:val="1"/>
      <w:marLeft w:val="0"/>
      <w:marRight w:val="0"/>
      <w:marTop w:val="0"/>
      <w:marBottom w:val="0"/>
      <w:divBdr>
        <w:top w:val="none" w:sz="0" w:space="0" w:color="auto"/>
        <w:left w:val="none" w:sz="0" w:space="0" w:color="auto"/>
        <w:bottom w:val="none" w:sz="0" w:space="0" w:color="auto"/>
        <w:right w:val="none" w:sz="0" w:space="0" w:color="auto"/>
      </w:divBdr>
    </w:div>
    <w:div w:id="1441415142">
      <w:bodyDiv w:val="1"/>
      <w:marLeft w:val="0"/>
      <w:marRight w:val="0"/>
      <w:marTop w:val="0"/>
      <w:marBottom w:val="0"/>
      <w:divBdr>
        <w:top w:val="none" w:sz="0" w:space="0" w:color="auto"/>
        <w:left w:val="none" w:sz="0" w:space="0" w:color="auto"/>
        <w:bottom w:val="none" w:sz="0" w:space="0" w:color="auto"/>
        <w:right w:val="none" w:sz="0" w:space="0" w:color="auto"/>
      </w:divBdr>
    </w:div>
    <w:div w:id="1441486702">
      <w:bodyDiv w:val="1"/>
      <w:marLeft w:val="0"/>
      <w:marRight w:val="0"/>
      <w:marTop w:val="0"/>
      <w:marBottom w:val="0"/>
      <w:divBdr>
        <w:top w:val="none" w:sz="0" w:space="0" w:color="auto"/>
        <w:left w:val="none" w:sz="0" w:space="0" w:color="auto"/>
        <w:bottom w:val="none" w:sz="0" w:space="0" w:color="auto"/>
        <w:right w:val="none" w:sz="0" w:space="0" w:color="auto"/>
      </w:divBdr>
    </w:div>
    <w:div w:id="1441529888">
      <w:bodyDiv w:val="1"/>
      <w:marLeft w:val="0"/>
      <w:marRight w:val="0"/>
      <w:marTop w:val="0"/>
      <w:marBottom w:val="0"/>
      <w:divBdr>
        <w:top w:val="none" w:sz="0" w:space="0" w:color="auto"/>
        <w:left w:val="none" w:sz="0" w:space="0" w:color="auto"/>
        <w:bottom w:val="none" w:sz="0" w:space="0" w:color="auto"/>
        <w:right w:val="none" w:sz="0" w:space="0" w:color="auto"/>
      </w:divBdr>
    </w:div>
    <w:div w:id="1441874522">
      <w:bodyDiv w:val="1"/>
      <w:marLeft w:val="0"/>
      <w:marRight w:val="0"/>
      <w:marTop w:val="0"/>
      <w:marBottom w:val="0"/>
      <w:divBdr>
        <w:top w:val="none" w:sz="0" w:space="0" w:color="auto"/>
        <w:left w:val="none" w:sz="0" w:space="0" w:color="auto"/>
        <w:bottom w:val="none" w:sz="0" w:space="0" w:color="auto"/>
        <w:right w:val="none" w:sz="0" w:space="0" w:color="auto"/>
      </w:divBdr>
    </w:div>
    <w:div w:id="1441990861">
      <w:bodyDiv w:val="1"/>
      <w:marLeft w:val="0"/>
      <w:marRight w:val="0"/>
      <w:marTop w:val="0"/>
      <w:marBottom w:val="0"/>
      <w:divBdr>
        <w:top w:val="none" w:sz="0" w:space="0" w:color="auto"/>
        <w:left w:val="none" w:sz="0" w:space="0" w:color="auto"/>
        <w:bottom w:val="none" w:sz="0" w:space="0" w:color="auto"/>
        <w:right w:val="none" w:sz="0" w:space="0" w:color="auto"/>
      </w:divBdr>
    </w:div>
    <w:div w:id="1441991718">
      <w:bodyDiv w:val="1"/>
      <w:marLeft w:val="0"/>
      <w:marRight w:val="0"/>
      <w:marTop w:val="0"/>
      <w:marBottom w:val="0"/>
      <w:divBdr>
        <w:top w:val="none" w:sz="0" w:space="0" w:color="auto"/>
        <w:left w:val="none" w:sz="0" w:space="0" w:color="auto"/>
        <w:bottom w:val="none" w:sz="0" w:space="0" w:color="auto"/>
        <w:right w:val="none" w:sz="0" w:space="0" w:color="auto"/>
      </w:divBdr>
    </w:div>
    <w:div w:id="1442067019">
      <w:bodyDiv w:val="1"/>
      <w:marLeft w:val="0"/>
      <w:marRight w:val="0"/>
      <w:marTop w:val="0"/>
      <w:marBottom w:val="0"/>
      <w:divBdr>
        <w:top w:val="none" w:sz="0" w:space="0" w:color="auto"/>
        <w:left w:val="none" w:sz="0" w:space="0" w:color="auto"/>
        <w:bottom w:val="none" w:sz="0" w:space="0" w:color="auto"/>
        <w:right w:val="none" w:sz="0" w:space="0" w:color="auto"/>
      </w:divBdr>
    </w:div>
    <w:div w:id="1442070073">
      <w:bodyDiv w:val="1"/>
      <w:marLeft w:val="0"/>
      <w:marRight w:val="0"/>
      <w:marTop w:val="0"/>
      <w:marBottom w:val="0"/>
      <w:divBdr>
        <w:top w:val="none" w:sz="0" w:space="0" w:color="auto"/>
        <w:left w:val="none" w:sz="0" w:space="0" w:color="auto"/>
        <w:bottom w:val="none" w:sz="0" w:space="0" w:color="auto"/>
        <w:right w:val="none" w:sz="0" w:space="0" w:color="auto"/>
      </w:divBdr>
    </w:div>
    <w:div w:id="1442141705">
      <w:bodyDiv w:val="1"/>
      <w:marLeft w:val="0"/>
      <w:marRight w:val="0"/>
      <w:marTop w:val="0"/>
      <w:marBottom w:val="0"/>
      <w:divBdr>
        <w:top w:val="none" w:sz="0" w:space="0" w:color="auto"/>
        <w:left w:val="none" w:sz="0" w:space="0" w:color="auto"/>
        <w:bottom w:val="none" w:sz="0" w:space="0" w:color="auto"/>
        <w:right w:val="none" w:sz="0" w:space="0" w:color="auto"/>
      </w:divBdr>
    </w:div>
    <w:div w:id="1442186626">
      <w:bodyDiv w:val="1"/>
      <w:marLeft w:val="0"/>
      <w:marRight w:val="0"/>
      <w:marTop w:val="0"/>
      <w:marBottom w:val="0"/>
      <w:divBdr>
        <w:top w:val="none" w:sz="0" w:space="0" w:color="auto"/>
        <w:left w:val="none" w:sz="0" w:space="0" w:color="auto"/>
        <w:bottom w:val="none" w:sz="0" w:space="0" w:color="auto"/>
        <w:right w:val="none" w:sz="0" w:space="0" w:color="auto"/>
      </w:divBdr>
    </w:div>
    <w:div w:id="1442258742">
      <w:bodyDiv w:val="1"/>
      <w:marLeft w:val="0"/>
      <w:marRight w:val="0"/>
      <w:marTop w:val="0"/>
      <w:marBottom w:val="0"/>
      <w:divBdr>
        <w:top w:val="none" w:sz="0" w:space="0" w:color="auto"/>
        <w:left w:val="none" w:sz="0" w:space="0" w:color="auto"/>
        <w:bottom w:val="none" w:sz="0" w:space="0" w:color="auto"/>
        <w:right w:val="none" w:sz="0" w:space="0" w:color="auto"/>
      </w:divBdr>
    </w:div>
    <w:div w:id="1442260078">
      <w:bodyDiv w:val="1"/>
      <w:marLeft w:val="0"/>
      <w:marRight w:val="0"/>
      <w:marTop w:val="0"/>
      <w:marBottom w:val="0"/>
      <w:divBdr>
        <w:top w:val="none" w:sz="0" w:space="0" w:color="auto"/>
        <w:left w:val="none" w:sz="0" w:space="0" w:color="auto"/>
        <w:bottom w:val="none" w:sz="0" w:space="0" w:color="auto"/>
        <w:right w:val="none" w:sz="0" w:space="0" w:color="auto"/>
      </w:divBdr>
    </w:div>
    <w:div w:id="1442261990">
      <w:bodyDiv w:val="1"/>
      <w:marLeft w:val="0"/>
      <w:marRight w:val="0"/>
      <w:marTop w:val="0"/>
      <w:marBottom w:val="0"/>
      <w:divBdr>
        <w:top w:val="none" w:sz="0" w:space="0" w:color="auto"/>
        <w:left w:val="none" w:sz="0" w:space="0" w:color="auto"/>
        <w:bottom w:val="none" w:sz="0" w:space="0" w:color="auto"/>
        <w:right w:val="none" w:sz="0" w:space="0" w:color="auto"/>
      </w:divBdr>
    </w:div>
    <w:div w:id="1442384926">
      <w:bodyDiv w:val="1"/>
      <w:marLeft w:val="0"/>
      <w:marRight w:val="0"/>
      <w:marTop w:val="0"/>
      <w:marBottom w:val="0"/>
      <w:divBdr>
        <w:top w:val="none" w:sz="0" w:space="0" w:color="auto"/>
        <w:left w:val="none" w:sz="0" w:space="0" w:color="auto"/>
        <w:bottom w:val="none" w:sz="0" w:space="0" w:color="auto"/>
        <w:right w:val="none" w:sz="0" w:space="0" w:color="auto"/>
      </w:divBdr>
    </w:div>
    <w:div w:id="1442455691">
      <w:bodyDiv w:val="1"/>
      <w:marLeft w:val="0"/>
      <w:marRight w:val="0"/>
      <w:marTop w:val="0"/>
      <w:marBottom w:val="0"/>
      <w:divBdr>
        <w:top w:val="none" w:sz="0" w:space="0" w:color="auto"/>
        <w:left w:val="none" w:sz="0" w:space="0" w:color="auto"/>
        <w:bottom w:val="none" w:sz="0" w:space="0" w:color="auto"/>
        <w:right w:val="none" w:sz="0" w:space="0" w:color="auto"/>
      </w:divBdr>
    </w:div>
    <w:div w:id="1442603003">
      <w:bodyDiv w:val="1"/>
      <w:marLeft w:val="0"/>
      <w:marRight w:val="0"/>
      <w:marTop w:val="0"/>
      <w:marBottom w:val="0"/>
      <w:divBdr>
        <w:top w:val="none" w:sz="0" w:space="0" w:color="auto"/>
        <w:left w:val="none" w:sz="0" w:space="0" w:color="auto"/>
        <w:bottom w:val="none" w:sz="0" w:space="0" w:color="auto"/>
        <w:right w:val="none" w:sz="0" w:space="0" w:color="auto"/>
      </w:divBdr>
    </w:div>
    <w:div w:id="1442722359">
      <w:bodyDiv w:val="1"/>
      <w:marLeft w:val="0"/>
      <w:marRight w:val="0"/>
      <w:marTop w:val="0"/>
      <w:marBottom w:val="0"/>
      <w:divBdr>
        <w:top w:val="none" w:sz="0" w:space="0" w:color="auto"/>
        <w:left w:val="none" w:sz="0" w:space="0" w:color="auto"/>
        <w:bottom w:val="none" w:sz="0" w:space="0" w:color="auto"/>
        <w:right w:val="none" w:sz="0" w:space="0" w:color="auto"/>
      </w:divBdr>
    </w:div>
    <w:div w:id="1442724770">
      <w:bodyDiv w:val="1"/>
      <w:marLeft w:val="0"/>
      <w:marRight w:val="0"/>
      <w:marTop w:val="0"/>
      <w:marBottom w:val="0"/>
      <w:divBdr>
        <w:top w:val="none" w:sz="0" w:space="0" w:color="auto"/>
        <w:left w:val="none" w:sz="0" w:space="0" w:color="auto"/>
        <w:bottom w:val="none" w:sz="0" w:space="0" w:color="auto"/>
        <w:right w:val="none" w:sz="0" w:space="0" w:color="auto"/>
      </w:divBdr>
    </w:div>
    <w:div w:id="1442726225">
      <w:bodyDiv w:val="1"/>
      <w:marLeft w:val="0"/>
      <w:marRight w:val="0"/>
      <w:marTop w:val="0"/>
      <w:marBottom w:val="0"/>
      <w:divBdr>
        <w:top w:val="none" w:sz="0" w:space="0" w:color="auto"/>
        <w:left w:val="none" w:sz="0" w:space="0" w:color="auto"/>
        <w:bottom w:val="none" w:sz="0" w:space="0" w:color="auto"/>
        <w:right w:val="none" w:sz="0" w:space="0" w:color="auto"/>
      </w:divBdr>
    </w:div>
    <w:div w:id="1442727098">
      <w:bodyDiv w:val="1"/>
      <w:marLeft w:val="0"/>
      <w:marRight w:val="0"/>
      <w:marTop w:val="0"/>
      <w:marBottom w:val="0"/>
      <w:divBdr>
        <w:top w:val="none" w:sz="0" w:space="0" w:color="auto"/>
        <w:left w:val="none" w:sz="0" w:space="0" w:color="auto"/>
        <w:bottom w:val="none" w:sz="0" w:space="0" w:color="auto"/>
        <w:right w:val="none" w:sz="0" w:space="0" w:color="auto"/>
      </w:divBdr>
    </w:div>
    <w:div w:id="1442798033">
      <w:bodyDiv w:val="1"/>
      <w:marLeft w:val="0"/>
      <w:marRight w:val="0"/>
      <w:marTop w:val="0"/>
      <w:marBottom w:val="0"/>
      <w:divBdr>
        <w:top w:val="none" w:sz="0" w:space="0" w:color="auto"/>
        <w:left w:val="none" w:sz="0" w:space="0" w:color="auto"/>
        <w:bottom w:val="none" w:sz="0" w:space="0" w:color="auto"/>
        <w:right w:val="none" w:sz="0" w:space="0" w:color="auto"/>
      </w:divBdr>
    </w:div>
    <w:div w:id="1442843196">
      <w:bodyDiv w:val="1"/>
      <w:marLeft w:val="0"/>
      <w:marRight w:val="0"/>
      <w:marTop w:val="0"/>
      <w:marBottom w:val="0"/>
      <w:divBdr>
        <w:top w:val="none" w:sz="0" w:space="0" w:color="auto"/>
        <w:left w:val="none" w:sz="0" w:space="0" w:color="auto"/>
        <w:bottom w:val="none" w:sz="0" w:space="0" w:color="auto"/>
        <w:right w:val="none" w:sz="0" w:space="0" w:color="auto"/>
      </w:divBdr>
    </w:div>
    <w:div w:id="1442916151">
      <w:bodyDiv w:val="1"/>
      <w:marLeft w:val="0"/>
      <w:marRight w:val="0"/>
      <w:marTop w:val="0"/>
      <w:marBottom w:val="0"/>
      <w:divBdr>
        <w:top w:val="none" w:sz="0" w:space="0" w:color="auto"/>
        <w:left w:val="none" w:sz="0" w:space="0" w:color="auto"/>
        <w:bottom w:val="none" w:sz="0" w:space="0" w:color="auto"/>
        <w:right w:val="none" w:sz="0" w:space="0" w:color="auto"/>
      </w:divBdr>
    </w:div>
    <w:div w:id="1442921353">
      <w:bodyDiv w:val="1"/>
      <w:marLeft w:val="0"/>
      <w:marRight w:val="0"/>
      <w:marTop w:val="0"/>
      <w:marBottom w:val="0"/>
      <w:divBdr>
        <w:top w:val="none" w:sz="0" w:space="0" w:color="auto"/>
        <w:left w:val="none" w:sz="0" w:space="0" w:color="auto"/>
        <w:bottom w:val="none" w:sz="0" w:space="0" w:color="auto"/>
        <w:right w:val="none" w:sz="0" w:space="0" w:color="auto"/>
      </w:divBdr>
    </w:div>
    <w:div w:id="1442994507">
      <w:bodyDiv w:val="1"/>
      <w:marLeft w:val="0"/>
      <w:marRight w:val="0"/>
      <w:marTop w:val="0"/>
      <w:marBottom w:val="0"/>
      <w:divBdr>
        <w:top w:val="none" w:sz="0" w:space="0" w:color="auto"/>
        <w:left w:val="none" w:sz="0" w:space="0" w:color="auto"/>
        <w:bottom w:val="none" w:sz="0" w:space="0" w:color="auto"/>
        <w:right w:val="none" w:sz="0" w:space="0" w:color="auto"/>
      </w:divBdr>
    </w:div>
    <w:div w:id="1442997139">
      <w:bodyDiv w:val="1"/>
      <w:marLeft w:val="0"/>
      <w:marRight w:val="0"/>
      <w:marTop w:val="0"/>
      <w:marBottom w:val="0"/>
      <w:divBdr>
        <w:top w:val="none" w:sz="0" w:space="0" w:color="auto"/>
        <w:left w:val="none" w:sz="0" w:space="0" w:color="auto"/>
        <w:bottom w:val="none" w:sz="0" w:space="0" w:color="auto"/>
        <w:right w:val="none" w:sz="0" w:space="0" w:color="auto"/>
      </w:divBdr>
    </w:div>
    <w:div w:id="1443107419">
      <w:bodyDiv w:val="1"/>
      <w:marLeft w:val="0"/>
      <w:marRight w:val="0"/>
      <w:marTop w:val="0"/>
      <w:marBottom w:val="0"/>
      <w:divBdr>
        <w:top w:val="none" w:sz="0" w:space="0" w:color="auto"/>
        <w:left w:val="none" w:sz="0" w:space="0" w:color="auto"/>
        <w:bottom w:val="none" w:sz="0" w:space="0" w:color="auto"/>
        <w:right w:val="none" w:sz="0" w:space="0" w:color="auto"/>
      </w:divBdr>
    </w:div>
    <w:div w:id="1443259870">
      <w:bodyDiv w:val="1"/>
      <w:marLeft w:val="0"/>
      <w:marRight w:val="0"/>
      <w:marTop w:val="0"/>
      <w:marBottom w:val="0"/>
      <w:divBdr>
        <w:top w:val="none" w:sz="0" w:space="0" w:color="auto"/>
        <w:left w:val="none" w:sz="0" w:space="0" w:color="auto"/>
        <w:bottom w:val="none" w:sz="0" w:space="0" w:color="auto"/>
        <w:right w:val="none" w:sz="0" w:space="0" w:color="auto"/>
      </w:divBdr>
    </w:div>
    <w:div w:id="1443299985">
      <w:bodyDiv w:val="1"/>
      <w:marLeft w:val="0"/>
      <w:marRight w:val="0"/>
      <w:marTop w:val="0"/>
      <w:marBottom w:val="0"/>
      <w:divBdr>
        <w:top w:val="none" w:sz="0" w:space="0" w:color="auto"/>
        <w:left w:val="none" w:sz="0" w:space="0" w:color="auto"/>
        <w:bottom w:val="none" w:sz="0" w:space="0" w:color="auto"/>
        <w:right w:val="none" w:sz="0" w:space="0" w:color="auto"/>
      </w:divBdr>
    </w:div>
    <w:div w:id="1443302261">
      <w:bodyDiv w:val="1"/>
      <w:marLeft w:val="0"/>
      <w:marRight w:val="0"/>
      <w:marTop w:val="0"/>
      <w:marBottom w:val="0"/>
      <w:divBdr>
        <w:top w:val="none" w:sz="0" w:space="0" w:color="auto"/>
        <w:left w:val="none" w:sz="0" w:space="0" w:color="auto"/>
        <w:bottom w:val="none" w:sz="0" w:space="0" w:color="auto"/>
        <w:right w:val="none" w:sz="0" w:space="0" w:color="auto"/>
      </w:divBdr>
    </w:div>
    <w:div w:id="1443306444">
      <w:bodyDiv w:val="1"/>
      <w:marLeft w:val="0"/>
      <w:marRight w:val="0"/>
      <w:marTop w:val="0"/>
      <w:marBottom w:val="0"/>
      <w:divBdr>
        <w:top w:val="none" w:sz="0" w:space="0" w:color="auto"/>
        <w:left w:val="none" w:sz="0" w:space="0" w:color="auto"/>
        <w:bottom w:val="none" w:sz="0" w:space="0" w:color="auto"/>
        <w:right w:val="none" w:sz="0" w:space="0" w:color="auto"/>
      </w:divBdr>
    </w:div>
    <w:div w:id="1443306883">
      <w:bodyDiv w:val="1"/>
      <w:marLeft w:val="0"/>
      <w:marRight w:val="0"/>
      <w:marTop w:val="0"/>
      <w:marBottom w:val="0"/>
      <w:divBdr>
        <w:top w:val="none" w:sz="0" w:space="0" w:color="auto"/>
        <w:left w:val="none" w:sz="0" w:space="0" w:color="auto"/>
        <w:bottom w:val="none" w:sz="0" w:space="0" w:color="auto"/>
        <w:right w:val="none" w:sz="0" w:space="0" w:color="auto"/>
      </w:divBdr>
    </w:div>
    <w:div w:id="1443574926">
      <w:bodyDiv w:val="1"/>
      <w:marLeft w:val="0"/>
      <w:marRight w:val="0"/>
      <w:marTop w:val="0"/>
      <w:marBottom w:val="0"/>
      <w:divBdr>
        <w:top w:val="none" w:sz="0" w:space="0" w:color="auto"/>
        <w:left w:val="none" w:sz="0" w:space="0" w:color="auto"/>
        <w:bottom w:val="none" w:sz="0" w:space="0" w:color="auto"/>
        <w:right w:val="none" w:sz="0" w:space="0" w:color="auto"/>
      </w:divBdr>
    </w:div>
    <w:div w:id="1443575083">
      <w:bodyDiv w:val="1"/>
      <w:marLeft w:val="0"/>
      <w:marRight w:val="0"/>
      <w:marTop w:val="0"/>
      <w:marBottom w:val="0"/>
      <w:divBdr>
        <w:top w:val="none" w:sz="0" w:space="0" w:color="auto"/>
        <w:left w:val="none" w:sz="0" w:space="0" w:color="auto"/>
        <w:bottom w:val="none" w:sz="0" w:space="0" w:color="auto"/>
        <w:right w:val="none" w:sz="0" w:space="0" w:color="auto"/>
      </w:divBdr>
    </w:div>
    <w:div w:id="1443720700">
      <w:bodyDiv w:val="1"/>
      <w:marLeft w:val="0"/>
      <w:marRight w:val="0"/>
      <w:marTop w:val="0"/>
      <w:marBottom w:val="0"/>
      <w:divBdr>
        <w:top w:val="none" w:sz="0" w:space="0" w:color="auto"/>
        <w:left w:val="none" w:sz="0" w:space="0" w:color="auto"/>
        <w:bottom w:val="none" w:sz="0" w:space="0" w:color="auto"/>
        <w:right w:val="none" w:sz="0" w:space="0" w:color="auto"/>
      </w:divBdr>
    </w:div>
    <w:div w:id="1443841190">
      <w:bodyDiv w:val="1"/>
      <w:marLeft w:val="0"/>
      <w:marRight w:val="0"/>
      <w:marTop w:val="0"/>
      <w:marBottom w:val="0"/>
      <w:divBdr>
        <w:top w:val="none" w:sz="0" w:space="0" w:color="auto"/>
        <w:left w:val="none" w:sz="0" w:space="0" w:color="auto"/>
        <w:bottom w:val="none" w:sz="0" w:space="0" w:color="auto"/>
        <w:right w:val="none" w:sz="0" w:space="0" w:color="auto"/>
      </w:divBdr>
    </w:div>
    <w:div w:id="1444038604">
      <w:bodyDiv w:val="1"/>
      <w:marLeft w:val="0"/>
      <w:marRight w:val="0"/>
      <w:marTop w:val="0"/>
      <w:marBottom w:val="0"/>
      <w:divBdr>
        <w:top w:val="none" w:sz="0" w:space="0" w:color="auto"/>
        <w:left w:val="none" w:sz="0" w:space="0" w:color="auto"/>
        <w:bottom w:val="none" w:sz="0" w:space="0" w:color="auto"/>
        <w:right w:val="none" w:sz="0" w:space="0" w:color="auto"/>
      </w:divBdr>
    </w:div>
    <w:div w:id="1444114316">
      <w:bodyDiv w:val="1"/>
      <w:marLeft w:val="0"/>
      <w:marRight w:val="0"/>
      <w:marTop w:val="0"/>
      <w:marBottom w:val="0"/>
      <w:divBdr>
        <w:top w:val="none" w:sz="0" w:space="0" w:color="auto"/>
        <w:left w:val="none" w:sz="0" w:space="0" w:color="auto"/>
        <w:bottom w:val="none" w:sz="0" w:space="0" w:color="auto"/>
        <w:right w:val="none" w:sz="0" w:space="0" w:color="auto"/>
      </w:divBdr>
    </w:div>
    <w:div w:id="1444180930">
      <w:bodyDiv w:val="1"/>
      <w:marLeft w:val="0"/>
      <w:marRight w:val="0"/>
      <w:marTop w:val="0"/>
      <w:marBottom w:val="0"/>
      <w:divBdr>
        <w:top w:val="none" w:sz="0" w:space="0" w:color="auto"/>
        <w:left w:val="none" w:sz="0" w:space="0" w:color="auto"/>
        <w:bottom w:val="none" w:sz="0" w:space="0" w:color="auto"/>
        <w:right w:val="none" w:sz="0" w:space="0" w:color="auto"/>
      </w:divBdr>
    </w:div>
    <w:div w:id="1444305365">
      <w:bodyDiv w:val="1"/>
      <w:marLeft w:val="0"/>
      <w:marRight w:val="0"/>
      <w:marTop w:val="0"/>
      <w:marBottom w:val="0"/>
      <w:divBdr>
        <w:top w:val="none" w:sz="0" w:space="0" w:color="auto"/>
        <w:left w:val="none" w:sz="0" w:space="0" w:color="auto"/>
        <w:bottom w:val="none" w:sz="0" w:space="0" w:color="auto"/>
        <w:right w:val="none" w:sz="0" w:space="0" w:color="auto"/>
      </w:divBdr>
    </w:div>
    <w:div w:id="1444348898">
      <w:bodyDiv w:val="1"/>
      <w:marLeft w:val="0"/>
      <w:marRight w:val="0"/>
      <w:marTop w:val="0"/>
      <w:marBottom w:val="0"/>
      <w:divBdr>
        <w:top w:val="none" w:sz="0" w:space="0" w:color="auto"/>
        <w:left w:val="none" w:sz="0" w:space="0" w:color="auto"/>
        <w:bottom w:val="none" w:sz="0" w:space="0" w:color="auto"/>
        <w:right w:val="none" w:sz="0" w:space="0" w:color="auto"/>
      </w:divBdr>
    </w:div>
    <w:div w:id="1444374838">
      <w:bodyDiv w:val="1"/>
      <w:marLeft w:val="0"/>
      <w:marRight w:val="0"/>
      <w:marTop w:val="0"/>
      <w:marBottom w:val="0"/>
      <w:divBdr>
        <w:top w:val="none" w:sz="0" w:space="0" w:color="auto"/>
        <w:left w:val="none" w:sz="0" w:space="0" w:color="auto"/>
        <w:bottom w:val="none" w:sz="0" w:space="0" w:color="auto"/>
        <w:right w:val="none" w:sz="0" w:space="0" w:color="auto"/>
      </w:divBdr>
    </w:div>
    <w:div w:id="1444379546">
      <w:bodyDiv w:val="1"/>
      <w:marLeft w:val="0"/>
      <w:marRight w:val="0"/>
      <w:marTop w:val="0"/>
      <w:marBottom w:val="0"/>
      <w:divBdr>
        <w:top w:val="none" w:sz="0" w:space="0" w:color="auto"/>
        <w:left w:val="none" w:sz="0" w:space="0" w:color="auto"/>
        <w:bottom w:val="none" w:sz="0" w:space="0" w:color="auto"/>
        <w:right w:val="none" w:sz="0" w:space="0" w:color="auto"/>
      </w:divBdr>
    </w:div>
    <w:div w:id="1444416529">
      <w:bodyDiv w:val="1"/>
      <w:marLeft w:val="0"/>
      <w:marRight w:val="0"/>
      <w:marTop w:val="0"/>
      <w:marBottom w:val="0"/>
      <w:divBdr>
        <w:top w:val="none" w:sz="0" w:space="0" w:color="auto"/>
        <w:left w:val="none" w:sz="0" w:space="0" w:color="auto"/>
        <w:bottom w:val="none" w:sz="0" w:space="0" w:color="auto"/>
        <w:right w:val="none" w:sz="0" w:space="0" w:color="auto"/>
      </w:divBdr>
    </w:div>
    <w:div w:id="1444425817">
      <w:bodyDiv w:val="1"/>
      <w:marLeft w:val="0"/>
      <w:marRight w:val="0"/>
      <w:marTop w:val="0"/>
      <w:marBottom w:val="0"/>
      <w:divBdr>
        <w:top w:val="none" w:sz="0" w:space="0" w:color="auto"/>
        <w:left w:val="none" w:sz="0" w:space="0" w:color="auto"/>
        <w:bottom w:val="none" w:sz="0" w:space="0" w:color="auto"/>
        <w:right w:val="none" w:sz="0" w:space="0" w:color="auto"/>
      </w:divBdr>
    </w:div>
    <w:div w:id="1444571214">
      <w:bodyDiv w:val="1"/>
      <w:marLeft w:val="0"/>
      <w:marRight w:val="0"/>
      <w:marTop w:val="0"/>
      <w:marBottom w:val="0"/>
      <w:divBdr>
        <w:top w:val="none" w:sz="0" w:space="0" w:color="auto"/>
        <w:left w:val="none" w:sz="0" w:space="0" w:color="auto"/>
        <w:bottom w:val="none" w:sz="0" w:space="0" w:color="auto"/>
        <w:right w:val="none" w:sz="0" w:space="0" w:color="auto"/>
      </w:divBdr>
    </w:div>
    <w:div w:id="1444576258">
      <w:bodyDiv w:val="1"/>
      <w:marLeft w:val="0"/>
      <w:marRight w:val="0"/>
      <w:marTop w:val="0"/>
      <w:marBottom w:val="0"/>
      <w:divBdr>
        <w:top w:val="none" w:sz="0" w:space="0" w:color="auto"/>
        <w:left w:val="none" w:sz="0" w:space="0" w:color="auto"/>
        <w:bottom w:val="none" w:sz="0" w:space="0" w:color="auto"/>
        <w:right w:val="none" w:sz="0" w:space="0" w:color="auto"/>
      </w:divBdr>
    </w:div>
    <w:div w:id="1444611204">
      <w:bodyDiv w:val="1"/>
      <w:marLeft w:val="0"/>
      <w:marRight w:val="0"/>
      <w:marTop w:val="0"/>
      <w:marBottom w:val="0"/>
      <w:divBdr>
        <w:top w:val="none" w:sz="0" w:space="0" w:color="auto"/>
        <w:left w:val="none" w:sz="0" w:space="0" w:color="auto"/>
        <w:bottom w:val="none" w:sz="0" w:space="0" w:color="auto"/>
        <w:right w:val="none" w:sz="0" w:space="0" w:color="auto"/>
      </w:divBdr>
    </w:div>
    <w:div w:id="1444690479">
      <w:bodyDiv w:val="1"/>
      <w:marLeft w:val="0"/>
      <w:marRight w:val="0"/>
      <w:marTop w:val="0"/>
      <w:marBottom w:val="0"/>
      <w:divBdr>
        <w:top w:val="none" w:sz="0" w:space="0" w:color="auto"/>
        <w:left w:val="none" w:sz="0" w:space="0" w:color="auto"/>
        <w:bottom w:val="none" w:sz="0" w:space="0" w:color="auto"/>
        <w:right w:val="none" w:sz="0" w:space="0" w:color="auto"/>
      </w:divBdr>
    </w:div>
    <w:div w:id="1444691017">
      <w:bodyDiv w:val="1"/>
      <w:marLeft w:val="0"/>
      <w:marRight w:val="0"/>
      <w:marTop w:val="0"/>
      <w:marBottom w:val="0"/>
      <w:divBdr>
        <w:top w:val="none" w:sz="0" w:space="0" w:color="auto"/>
        <w:left w:val="none" w:sz="0" w:space="0" w:color="auto"/>
        <w:bottom w:val="none" w:sz="0" w:space="0" w:color="auto"/>
        <w:right w:val="none" w:sz="0" w:space="0" w:color="auto"/>
      </w:divBdr>
    </w:div>
    <w:div w:id="1444765137">
      <w:bodyDiv w:val="1"/>
      <w:marLeft w:val="0"/>
      <w:marRight w:val="0"/>
      <w:marTop w:val="0"/>
      <w:marBottom w:val="0"/>
      <w:divBdr>
        <w:top w:val="none" w:sz="0" w:space="0" w:color="auto"/>
        <w:left w:val="none" w:sz="0" w:space="0" w:color="auto"/>
        <w:bottom w:val="none" w:sz="0" w:space="0" w:color="auto"/>
        <w:right w:val="none" w:sz="0" w:space="0" w:color="auto"/>
      </w:divBdr>
    </w:div>
    <w:div w:id="1444807751">
      <w:bodyDiv w:val="1"/>
      <w:marLeft w:val="0"/>
      <w:marRight w:val="0"/>
      <w:marTop w:val="0"/>
      <w:marBottom w:val="0"/>
      <w:divBdr>
        <w:top w:val="none" w:sz="0" w:space="0" w:color="auto"/>
        <w:left w:val="none" w:sz="0" w:space="0" w:color="auto"/>
        <w:bottom w:val="none" w:sz="0" w:space="0" w:color="auto"/>
        <w:right w:val="none" w:sz="0" w:space="0" w:color="auto"/>
      </w:divBdr>
    </w:div>
    <w:div w:id="1444812237">
      <w:bodyDiv w:val="1"/>
      <w:marLeft w:val="0"/>
      <w:marRight w:val="0"/>
      <w:marTop w:val="0"/>
      <w:marBottom w:val="0"/>
      <w:divBdr>
        <w:top w:val="none" w:sz="0" w:space="0" w:color="auto"/>
        <w:left w:val="none" w:sz="0" w:space="0" w:color="auto"/>
        <w:bottom w:val="none" w:sz="0" w:space="0" w:color="auto"/>
        <w:right w:val="none" w:sz="0" w:space="0" w:color="auto"/>
      </w:divBdr>
    </w:div>
    <w:div w:id="1444959685">
      <w:bodyDiv w:val="1"/>
      <w:marLeft w:val="0"/>
      <w:marRight w:val="0"/>
      <w:marTop w:val="0"/>
      <w:marBottom w:val="0"/>
      <w:divBdr>
        <w:top w:val="none" w:sz="0" w:space="0" w:color="auto"/>
        <w:left w:val="none" w:sz="0" w:space="0" w:color="auto"/>
        <w:bottom w:val="none" w:sz="0" w:space="0" w:color="auto"/>
        <w:right w:val="none" w:sz="0" w:space="0" w:color="auto"/>
      </w:divBdr>
    </w:div>
    <w:div w:id="1445005601">
      <w:bodyDiv w:val="1"/>
      <w:marLeft w:val="0"/>
      <w:marRight w:val="0"/>
      <w:marTop w:val="0"/>
      <w:marBottom w:val="0"/>
      <w:divBdr>
        <w:top w:val="none" w:sz="0" w:space="0" w:color="auto"/>
        <w:left w:val="none" w:sz="0" w:space="0" w:color="auto"/>
        <w:bottom w:val="none" w:sz="0" w:space="0" w:color="auto"/>
        <w:right w:val="none" w:sz="0" w:space="0" w:color="auto"/>
      </w:divBdr>
    </w:div>
    <w:div w:id="1445033988">
      <w:bodyDiv w:val="1"/>
      <w:marLeft w:val="0"/>
      <w:marRight w:val="0"/>
      <w:marTop w:val="0"/>
      <w:marBottom w:val="0"/>
      <w:divBdr>
        <w:top w:val="none" w:sz="0" w:space="0" w:color="auto"/>
        <w:left w:val="none" w:sz="0" w:space="0" w:color="auto"/>
        <w:bottom w:val="none" w:sz="0" w:space="0" w:color="auto"/>
        <w:right w:val="none" w:sz="0" w:space="0" w:color="auto"/>
      </w:divBdr>
    </w:div>
    <w:div w:id="1445077326">
      <w:bodyDiv w:val="1"/>
      <w:marLeft w:val="0"/>
      <w:marRight w:val="0"/>
      <w:marTop w:val="0"/>
      <w:marBottom w:val="0"/>
      <w:divBdr>
        <w:top w:val="none" w:sz="0" w:space="0" w:color="auto"/>
        <w:left w:val="none" w:sz="0" w:space="0" w:color="auto"/>
        <w:bottom w:val="none" w:sz="0" w:space="0" w:color="auto"/>
        <w:right w:val="none" w:sz="0" w:space="0" w:color="auto"/>
      </w:divBdr>
    </w:div>
    <w:div w:id="1445080767">
      <w:bodyDiv w:val="1"/>
      <w:marLeft w:val="0"/>
      <w:marRight w:val="0"/>
      <w:marTop w:val="0"/>
      <w:marBottom w:val="0"/>
      <w:divBdr>
        <w:top w:val="none" w:sz="0" w:space="0" w:color="auto"/>
        <w:left w:val="none" w:sz="0" w:space="0" w:color="auto"/>
        <w:bottom w:val="none" w:sz="0" w:space="0" w:color="auto"/>
        <w:right w:val="none" w:sz="0" w:space="0" w:color="auto"/>
      </w:divBdr>
    </w:div>
    <w:div w:id="1445224550">
      <w:bodyDiv w:val="1"/>
      <w:marLeft w:val="0"/>
      <w:marRight w:val="0"/>
      <w:marTop w:val="0"/>
      <w:marBottom w:val="0"/>
      <w:divBdr>
        <w:top w:val="none" w:sz="0" w:space="0" w:color="auto"/>
        <w:left w:val="none" w:sz="0" w:space="0" w:color="auto"/>
        <w:bottom w:val="none" w:sz="0" w:space="0" w:color="auto"/>
        <w:right w:val="none" w:sz="0" w:space="0" w:color="auto"/>
      </w:divBdr>
    </w:div>
    <w:div w:id="1445229860">
      <w:bodyDiv w:val="1"/>
      <w:marLeft w:val="0"/>
      <w:marRight w:val="0"/>
      <w:marTop w:val="0"/>
      <w:marBottom w:val="0"/>
      <w:divBdr>
        <w:top w:val="none" w:sz="0" w:space="0" w:color="auto"/>
        <w:left w:val="none" w:sz="0" w:space="0" w:color="auto"/>
        <w:bottom w:val="none" w:sz="0" w:space="0" w:color="auto"/>
        <w:right w:val="none" w:sz="0" w:space="0" w:color="auto"/>
      </w:divBdr>
    </w:div>
    <w:div w:id="1445230593">
      <w:bodyDiv w:val="1"/>
      <w:marLeft w:val="0"/>
      <w:marRight w:val="0"/>
      <w:marTop w:val="0"/>
      <w:marBottom w:val="0"/>
      <w:divBdr>
        <w:top w:val="none" w:sz="0" w:space="0" w:color="auto"/>
        <w:left w:val="none" w:sz="0" w:space="0" w:color="auto"/>
        <w:bottom w:val="none" w:sz="0" w:space="0" w:color="auto"/>
        <w:right w:val="none" w:sz="0" w:space="0" w:color="auto"/>
      </w:divBdr>
    </w:div>
    <w:div w:id="1445342206">
      <w:bodyDiv w:val="1"/>
      <w:marLeft w:val="0"/>
      <w:marRight w:val="0"/>
      <w:marTop w:val="0"/>
      <w:marBottom w:val="0"/>
      <w:divBdr>
        <w:top w:val="none" w:sz="0" w:space="0" w:color="auto"/>
        <w:left w:val="none" w:sz="0" w:space="0" w:color="auto"/>
        <w:bottom w:val="none" w:sz="0" w:space="0" w:color="auto"/>
        <w:right w:val="none" w:sz="0" w:space="0" w:color="auto"/>
      </w:divBdr>
    </w:div>
    <w:div w:id="1445686942">
      <w:bodyDiv w:val="1"/>
      <w:marLeft w:val="0"/>
      <w:marRight w:val="0"/>
      <w:marTop w:val="0"/>
      <w:marBottom w:val="0"/>
      <w:divBdr>
        <w:top w:val="none" w:sz="0" w:space="0" w:color="auto"/>
        <w:left w:val="none" w:sz="0" w:space="0" w:color="auto"/>
        <w:bottom w:val="none" w:sz="0" w:space="0" w:color="auto"/>
        <w:right w:val="none" w:sz="0" w:space="0" w:color="auto"/>
      </w:divBdr>
    </w:div>
    <w:div w:id="1445689938">
      <w:bodyDiv w:val="1"/>
      <w:marLeft w:val="0"/>
      <w:marRight w:val="0"/>
      <w:marTop w:val="0"/>
      <w:marBottom w:val="0"/>
      <w:divBdr>
        <w:top w:val="none" w:sz="0" w:space="0" w:color="auto"/>
        <w:left w:val="none" w:sz="0" w:space="0" w:color="auto"/>
        <w:bottom w:val="none" w:sz="0" w:space="0" w:color="auto"/>
        <w:right w:val="none" w:sz="0" w:space="0" w:color="auto"/>
      </w:divBdr>
    </w:div>
    <w:div w:id="1445733129">
      <w:bodyDiv w:val="1"/>
      <w:marLeft w:val="0"/>
      <w:marRight w:val="0"/>
      <w:marTop w:val="0"/>
      <w:marBottom w:val="0"/>
      <w:divBdr>
        <w:top w:val="none" w:sz="0" w:space="0" w:color="auto"/>
        <w:left w:val="none" w:sz="0" w:space="0" w:color="auto"/>
        <w:bottom w:val="none" w:sz="0" w:space="0" w:color="auto"/>
        <w:right w:val="none" w:sz="0" w:space="0" w:color="auto"/>
      </w:divBdr>
    </w:div>
    <w:div w:id="1445882369">
      <w:bodyDiv w:val="1"/>
      <w:marLeft w:val="0"/>
      <w:marRight w:val="0"/>
      <w:marTop w:val="0"/>
      <w:marBottom w:val="0"/>
      <w:divBdr>
        <w:top w:val="none" w:sz="0" w:space="0" w:color="auto"/>
        <w:left w:val="none" w:sz="0" w:space="0" w:color="auto"/>
        <w:bottom w:val="none" w:sz="0" w:space="0" w:color="auto"/>
        <w:right w:val="none" w:sz="0" w:space="0" w:color="auto"/>
      </w:divBdr>
    </w:div>
    <w:div w:id="1445998864">
      <w:bodyDiv w:val="1"/>
      <w:marLeft w:val="0"/>
      <w:marRight w:val="0"/>
      <w:marTop w:val="0"/>
      <w:marBottom w:val="0"/>
      <w:divBdr>
        <w:top w:val="none" w:sz="0" w:space="0" w:color="auto"/>
        <w:left w:val="none" w:sz="0" w:space="0" w:color="auto"/>
        <w:bottom w:val="none" w:sz="0" w:space="0" w:color="auto"/>
        <w:right w:val="none" w:sz="0" w:space="0" w:color="auto"/>
      </w:divBdr>
    </w:div>
    <w:div w:id="1446001611">
      <w:bodyDiv w:val="1"/>
      <w:marLeft w:val="0"/>
      <w:marRight w:val="0"/>
      <w:marTop w:val="0"/>
      <w:marBottom w:val="0"/>
      <w:divBdr>
        <w:top w:val="none" w:sz="0" w:space="0" w:color="auto"/>
        <w:left w:val="none" w:sz="0" w:space="0" w:color="auto"/>
        <w:bottom w:val="none" w:sz="0" w:space="0" w:color="auto"/>
        <w:right w:val="none" w:sz="0" w:space="0" w:color="auto"/>
      </w:divBdr>
    </w:div>
    <w:div w:id="1446271384">
      <w:bodyDiv w:val="1"/>
      <w:marLeft w:val="0"/>
      <w:marRight w:val="0"/>
      <w:marTop w:val="0"/>
      <w:marBottom w:val="0"/>
      <w:divBdr>
        <w:top w:val="none" w:sz="0" w:space="0" w:color="auto"/>
        <w:left w:val="none" w:sz="0" w:space="0" w:color="auto"/>
        <w:bottom w:val="none" w:sz="0" w:space="0" w:color="auto"/>
        <w:right w:val="none" w:sz="0" w:space="0" w:color="auto"/>
      </w:divBdr>
    </w:div>
    <w:div w:id="1446344063">
      <w:bodyDiv w:val="1"/>
      <w:marLeft w:val="0"/>
      <w:marRight w:val="0"/>
      <w:marTop w:val="0"/>
      <w:marBottom w:val="0"/>
      <w:divBdr>
        <w:top w:val="none" w:sz="0" w:space="0" w:color="auto"/>
        <w:left w:val="none" w:sz="0" w:space="0" w:color="auto"/>
        <w:bottom w:val="none" w:sz="0" w:space="0" w:color="auto"/>
        <w:right w:val="none" w:sz="0" w:space="0" w:color="auto"/>
      </w:divBdr>
    </w:div>
    <w:div w:id="1446346400">
      <w:bodyDiv w:val="1"/>
      <w:marLeft w:val="0"/>
      <w:marRight w:val="0"/>
      <w:marTop w:val="0"/>
      <w:marBottom w:val="0"/>
      <w:divBdr>
        <w:top w:val="none" w:sz="0" w:space="0" w:color="auto"/>
        <w:left w:val="none" w:sz="0" w:space="0" w:color="auto"/>
        <w:bottom w:val="none" w:sz="0" w:space="0" w:color="auto"/>
        <w:right w:val="none" w:sz="0" w:space="0" w:color="auto"/>
      </w:divBdr>
    </w:div>
    <w:div w:id="1446608824">
      <w:bodyDiv w:val="1"/>
      <w:marLeft w:val="0"/>
      <w:marRight w:val="0"/>
      <w:marTop w:val="0"/>
      <w:marBottom w:val="0"/>
      <w:divBdr>
        <w:top w:val="none" w:sz="0" w:space="0" w:color="auto"/>
        <w:left w:val="none" w:sz="0" w:space="0" w:color="auto"/>
        <w:bottom w:val="none" w:sz="0" w:space="0" w:color="auto"/>
        <w:right w:val="none" w:sz="0" w:space="0" w:color="auto"/>
      </w:divBdr>
    </w:div>
    <w:div w:id="1446608828">
      <w:bodyDiv w:val="1"/>
      <w:marLeft w:val="0"/>
      <w:marRight w:val="0"/>
      <w:marTop w:val="0"/>
      <w:marBottom w:val="0"/>
      <w:divBdr>
        <w:top w:val="none" w:sz="0" w:space="0" w:color="auto"/>
        <w:left w:val="none" w:sz="0" w:space="0" w:color="auto"/>
        <w:bottom w:val="none" w:sz="0" w:space="0" w:color="auto"/>
        <w:right w:val="none" w:sz="0" w:space="0" w:color="auto"/>
      </w:divBdr>
    </w:div>
    <w:div w:id="1446651754">
      <w:bodyDiv w:val="1"/>
      <w:marLeft w:val="0"/>
      <w:marRight w:val="0"/>
      <w:marTop w:val="0"/>
      <w:marBottom w:val="0"/>
      <w:divBdr>
        <w:top w:val="none" w:sz="0" w:space="0" w:color="auto"/>
        <w:left w:val="none" w:sz="0" w:space="0" w:color="auto"/>
        <w:bottom w:val="none" w:sz="0" w:space="0" w:color="auto"/>
        <w:right w:val="none" w:sz="0" w:space="0" w:color="auto"/>
      </w:divBdr>
    </w:div>
    <w:div w:id="1446653572">
      <w:bodyDiv w:val="1"/>
      <w:marLeft w:val="0"/>
      <w:marRight w:val="0"/>
      <w:marTop w:val="0"/>
      <w:marBottom w:val="0"/>
      <w:divBdr>
        <w:top w:val="none" w:sz="0" w:space="0" w:color="auto"/>
        <w:left w:val="none" w:sz="0" w:space="0" w:color="auto"/>
        <w:bottom w:val="none" w:sz="0" w:space="0" w:color="auto"/>
        <w:right w:val="none" w:sz="0" w:space="0" w:color="auto"/>
      </w:divBdr>
    </w:div>
    <w:div w:id="1446730886">
      <w:bodyDiv w:val="1"/>
      <w:marLeft w:val="0"/>
      <w:marRight w:val="0"/>
      <w:marTop w:val="0"/>
      <w:marBottom w:val="0"/>
      <w:divBdr>
        <w:top w:val="none" w:sz="0" w:space="0" w:color="auto"/>
        <w:left w:val="none" w:sz="0" w:space="0" w:color="auto"/>
        <w:bottom w:val="none" w:sz="0" w:space="0" w:color="auto"/>
        <w:right w:val="none" w:sz="0" w:space="0" w:color="auto"/>
      </w:divBdr>
    </w:div>
    <w:div w:id="1446730976">
      <w:bodyDiv w:val="1"/>
      <w:marLeft w:val="0"/>
      <w:marRight w:val="0"/>
      <w:marTop w:val="0"/>
      <w:marBottom w:val="0"/>
      <w:divBdr>
        <w:top w:val="none" w:sz="0" w:space="0" w:color="auto"/>
        <w:left w:val="none" w:sz="0" w:space="0" w:color="auto"/>
        <w:bottom w:val="none" w:sz="0" w:space="0" w:color="auto"/>
        <w:right w:val="none" w:sz="0" w:space="0" w:color="auto"/>
      </w:divBdr>
    </w:div>
    <w:div w:id="1446732313">
      <w:bodyDiv w:val="1"/>
      <w:marLeft w:val="0"/>
      <w:marRight w:val="0"/>
      <w:marTop w:val="0"/>
      <w:marBottom w:val="0"/>
      <w:divBdr>
        <w:top w:val="none" w:sz="0" w:space="0" w:color="auto"/>
        <w:left w:val="none" w:sz="0" w:space="0" w:color="auto"/>
        <w:bottom w:val="none" w:sz="0" w:space="0" w:color="auto"/>
        <w:right w:val="none" w:sz="0" w:space="0" w:color="auto"/>
      </w:divBdr>
    </w:div>
    <w:div w:id="1446778037">
      <w:bodyDiv w:val="1"/>
      <w:marLeft w:val="0"/>
      <w:marRight w:val="0"/>
      <w:marTop w:val="0"/>
      <w:marBottom w:val="0"/>
      <w:divBdr>
        <w:top w:val="none" w:sz="0" w:space="0" w:color="auto"/>
        <w:left w:val="none" w:sz="0" w:space="0" w:color="auto"/>
        <w:bottom w:val="none" w:sz="0" w:space="0" w:color="auto"/>
        <w:right w:val="none" w:sz="0" w:space="0" w:color="auto"/>
      </w:divBdr>
    </w:div>
    <w:div w:id="1446847214">
      <w:bodyDiv w:val="1"/>
      <w:marLeft w:val="0"/>
      <w:marRight w:val="0"/>
      <w:marTop w:val="0"/>
      <w:marBottom w:val="0"/>
      <w:divBdr>
        <w:top w:val="none" w:sz="0" w:space="0" w:color="auto"/>
        <w:left w:val="none" w:sz="0" w:space="0" w:color="auto"/>
        <w:bottom w:val="none" w:sz="0" w:space="0" w:color="auto"/>
        <w:right w:val="none" w:sz="0" w:space="0" w:color="auto"/>
      </w:divBdr>
    </w:div>
    <w:div w:id="1446851270">
      <w:bodyDiv w:val="1"/>
      <w:marLeft w:val="0"/>
      <w:marRight w:val="0"/>
      <w:marTop w:val="0"/>
      <w:marBottom w:val="0"/>
      <w:divBdr>
        <w:top w:val="none" w:sz="0" w:space="0" w:color="auto"/>
        <w:left w:val="none" w:sz="0" w:space="0" w:color="auto"/>
        <w:bottom w:val="none" w:sz="0" w:space="0" w:color="auto"/>
        <w:right w:val="none" w:sz="0" w:space="0" w:color="auto"/>
      </w:divBdr>
    </w:div>
    <w:div w:id="1447044436">
      <w:bodyDiv w:val="1"/>
      <w:marLeft w:val="0"/>
      <w:marRight w:val="0"/>
      <w:marTop w:val="0"/>
      <w:marBottom w:val="0"/>
      <w:divBdr>
        <w:top w:val="none" w:sz="0" w:space="0" w:color="auto"/>
        <w:left w:val="none" w:sz="0" w:space="0" w:color="auto"/>
        <w:bottom w:val="none" w:sz="0" w:space="0" w:color="auto"/>
        <w:right w:val="none" w:sz="0" w:space="0" w:color="auto"/>
      </w:divBdr>
    </w:div>
    <w:div w:id="1447122560">
      <w:bodyDiv w:val="1"/>
      <w:marLeft w:val="0"/>
      <w:marRight w:val="0"/>
      <w:marTop w:val="0"/>
      <w:marBottom w:val="0"/>
      <w:divBdr>
        <w:top w:val="none" w:sz="0" w:space="0" w:color="auto"/>
        <w:left w:val="none" w:sz="0" w:space="0" w:color="auto"/>
        <w:bottom w:val="none" w:sz="0" w:space="0" w:color="auto"/>
        <w:right w:val="none" w:sz="0" w:space="0" w:color="auto"/>
      </w:divBdr>
    </w:div>
    <w:div w:id="1447238399">
      <w:bodyDiv w:val="1"/>
      <w:marLeft w:val="0"/>
      <w:marRight w:val="0"/>
      <w:marTop w:val="0"/>
      <w:marBottom w:val="0"/>
      <w:divBdr>
        <w:top w:val="none" w:sz="0" w:space="0" w:color="auto"/>
        <w:left w:val="none" w:sz="0" w:space="0" w:color="auto"/>
        <w:bottom w:val="none" w:sz="0" w:space="0" w:color="auto"/>
        <w:right w:val="none" w:sz="0" w:space="0" w:color="auto"/>
      </w:divBdr>
    </w:div>
    <w:div w:id="1447307274">
      <w:bodyDiv w:val="1"/>
      <w:marLeft w:val="0"/>
      <w:marRight w:val="0"/>
      <w:marTop w:val="0"/>
      <w:marBottom w:val="0"/>
      <w:divBdr>
        <w:top w:val="none" w:sz="0" w:space="0" w:color="auto"/>
        <w:left w:val="none" w:sz="0" w:space="0" w:color="auto"/>
        <w:bottom w:val="none" w:sz="0" w:space="0" w:color="auto"/>
        <w:right w:val="none" w:sz="0" w:space="0" w:color="auto"/>
      </w:divBdr>
    </w:div>
    <w:div w:id="1447387904">
      <w:bodyDiv w:val="1"/>
      <w:marLeft w:val="0"/>
      <w:marRight w:val="0"/>
      <w:marTop w:val="0"/>
      <w:marBottom w:val="0"/>
      <w:divBdr>
        <w:top w:val="none" w:sz="0" w:space="0" w:color="auto"/>
        <w:left w:val="none" w:sz="0" w:space="0" w:color="auto"/>
        <w:bottom w:val="none" w:sz="0" w:space="0" w:color="auto"/>
        <w:right w:val="none" w:sz="0" w:space="0" w:color="auto"/>
      </w:divBdr>
    </w:div>
    <w:div w:id="1447430374">
      <w:bodyDiv w:val="1"/>
      <w:marLeft w:val="0"/>
      <w:marRight w:val="0"/>
      <w:marTop w:val="0"/>
      <w:marBottom w:val="0"/>
      <w:divBdr>
        <w:top w:val="none" w:sz="0" w:space="0" w:color="auto"/>
        <w:left w:val="none" w:sz="0" w:space="0" w:color="auto"/>
        <w:bottom w:val="none" w:sz="0" w:space="0" w:color="auto"/>
        <w:right w:val="none" w:sz="0" w:space="0" w:color="auto"/>
      </w:divBdr>
    </w:div>
    <w:div w:id="1447501855">
      <w:bodyDiv w:val="1"/>
      <w:marLeft w:val="0"/>
      <w:marRight w:val="0"/>
      <w:marTop w:val="0"/>
      <w:marBottom w:val="0"/>
      <w:divBdr>
        <w:top w:val="none" w:sz="0" w:space="0" w:color="auto"/>
        <w:left w:val="none" w:sz="0" w:space="0" w:color="auto"/>
        <w:bottom w:val="none" w:sz="0" w:space="0" w:color="auto"/>
        <w:right w:val="none" w:sz="0" w:space="0" w:color="auto"/>
      </w:divBdr>
    </w:div>
    <w:div w:id="1447579196">
      <w:bodyDiv w:val="1"/>
      <w:marLeft w:val="0"/>
      <w:marRight w:val="0"/>
      <w:marTop w:val="0"/>
      <w:marBottom w:val="0"/>
      <w:divBdr>
        <w:top w:val="none" w:sz="0" w:space="0" w:color="auto"/>
        <w:left w:val="none" w:sz="0" w:space="0" w:color="auto"/>
        <w:bottom w:val="none" w:sz="0" w:space="0" w:color="auto"/>
        <w:right w:val="none" w:sz="0" w:space="0" w:color="auto"/>
      </w:divBdr>
    </w:div>
    <w:div w:id="1447770954">
      <w:bodyDiv w:val="1"/>
      <w:marLeft w:val="0"/>
      <w:marRight w:val="0"/>
      <w:marTop w:val="0"/>
      <w:marBottom w:val="0"/>
      <w:divBdr>
        <w:top w:val="none" w:sz="0" w:space="0" w:color="auto"/>
        <w:left w:val="none" w:sz="0" w:space="0" w:color="auto"/>
        <w:bottom w:val="none" w:sz="0" w:space="0" w:color="auto"/>
        <w:right w:val="none" w:sz="0" w:space="0" w:color="auto"/>
      </w:divBdr>
    </w:div>
    <w:div w:id="1447774035">
      <w:bodyDiv w:val="1"/>
      <w:marLeft w:val="0"/>
      <w:marRight w:val="0"/>
      <w:marTop w:val="0"/>
      <w:marBottom w:val="0"/>
      <w:divBdr>
        <w:top w:val="none" w:sz="0" w:space="0" w:color="auto"/>
        <w:left w:val="none" w:sz="0" w:space="0" w:color="auto"/>
        <w:bottom w:val="none" w:sz="0" w:space="0" w:color="auto"/>
        <w:right w:val="none" w:sz="0" w:space="0" w:color="auto"/>
      </w:divBdr>
    </w:div>
    <w:div w:id="1447844159">
      <w:bodyDiv w:val="1"/>
      <w:marLeft w:val="0"/>
      <w:marRight w:val="0"/>
      <w:marTop w:val="0"/>
      <w:marBottom w:val="0"/>
      <w:divBdr>
        <w:top w:val="none" w:sz="0" w:space="0" w:color="auto"/>
        <w:left w:val="none" w:sz="0" w:space="0" w:color="auto"/>
        <w:bottom w:val="none" w:sz="0" w:space="0" w:color="auto"/>
        <w:right w:val="none" w:sz="0" w:space="0" w:color="auto"/>
      </w:divBdr>
    </w:div>
    <w:div w:id="1447848456">
      <w:bodyDiv w:val="1"/>
      <w:marLeft w:val="0"/>
      <w:marRight w:val="0"/>
      <w:marTop w:val="0"/>
      <w:marBottom w:val="0"/>
      <w:divBdr>
        <w:top w:val="none" w:sz="0" w:space="0" w:color="auto"/>
        <w:left w:val="none" w:sz="0" w:space="0" w:color="auto"/>
        <w:bottom w:val="none" w:sz="0" w:space="0" w:color="auto"/>
        <w:right w:val="none" w:sz="0" w:space="0" w:color="auto"/>
      </w:divBdr>
    </w:div>
    <w:div w:id="1447887407">
      <w:bodyDiv w:val="1"/>
      <w:marLeft w:val="0"/>
      <w:marRight w:val="0"/>
      <w:marTop w:val="0"/>
      <w:marBottom w:val="0"/>
      <w:divBdr>
        <w:top w:val="none" w:sz="0" w:space="0" w:color="auto"/>
        <w:left w:val="none" w:sz="0" w:space="0" w:color="auto"/>
        <w:bottom w:val="none" w:sz="0" w:space="0" w:color="auto"/>
        <w:right w:val="none" w:sz="0" w:space="0" w:color="auto"/>
      </w:divBdr>
    </w:div>
    <w:div w:id="1447888040">
      <w:bodyDiv w:val="1"/>
      <w:marLeft w:val="0"/>
      <w:marRight w:val="0"/>
      <w:marTop w:val="0"/>
      <w:marBottom w:val="0"/>
      <w:divBdr>
        <w:top w:val="none" w:sz="0" w:space="0" w:color="auto"/>
        <w:left w:val="none" w:sz="0" w:space="0" w:color="auto"/>
        <w:bottom w:val="none" w:sz="0" w:space="0" w:color="auto"/>
        <w:right w:val="none" w:sz="0" w:space="0" w:color="auto"/>
      </w:divBdr>
    </w:div>
    <w:div w:id="1447890105">
      <w:bodyDiv w:val="1"/>
      <w:marLeft w:val="0"/>
      <w:marRight w:val="0"/>
      <w:marTop w:val="0"/>
      <w:marBottom w:val="0"/>
      <w:divBdr>
        <w:top w:val="none" w:sz="0" w:space="0" w:color="auto"/>
        <w:left w:val="none" w:sz="0" w:space="0" w:color="auto"/>
        <w:bottom w:val="none" w:sz="0" w:space="0" w:color="auto"/>
        <w:right w:val="none" w:sz="0" w:space="0" w:color="auto"/>
      </w:divBdr>
    </w:div>
    <w:div w:id="1447962849">
      <w:bodyDiv w:val="1"/>
      <w:marLeft w:val="0"/>
      <w:marRight w:val="0"/>
      <w:marTop w:val="0"/>
      <w:marBottom w:val="0"/>
      <w:divBdr>
        <w:top w:val="none" w:sz="0" w:space="0" w:color="auto"/>
        <w:left w:val="none" w:sz="0" w:space="0" w:color="auto"/>
        <w:bottom w:val="none" w:sz="0" w:space="0" w:color="auto"/>
        <w:right w:val="none" w:sz="0" w:space="0" w:color="auto"/>
      </w:divBdr>
    </w:div>
    <w:div w:id="1448038802">
      <w:bodyDiv w:val="1"/>
      <w:marLeft w:val="0"/>
      <w:marRight w:val="0"/>
      <w:marTop w:val="0"/>
      <w:marBottom w:val="0"/>
      <w:divBdr>
        <w:top w:val="none" w:sz="0" w:space="0" w:color="auto"/>
        <w:left w:val="none" w:sz="0" w:space="0" w:color="auto"/>
        <w:bottom w:val="none" w:sz="0" w:space="0" w:color="auto"/>
        <w:right w:val="none" w:sz="0" w:space="0" w:color="auto"/>
      </w:divBdr>
    </w:div>
    <w:div w:id="1448161466">
      <w:bodyDiv w:val="1"/>
      <w:marLeft w:val="0"/>
      <w:marRight w:val="0"/>
      <w:marTop w:val="0"/>
      <w:marBottom w:val="0"/>
      <w:divBdr>
        <w:top w:val="none" w:sz="0" w:space="0" w:color="auto"/>
        <w:left w:val="none" w:sz="0" w:space="0" w:color="auto"/>
        <w:bottom w:val="none" w:sz="0" w:space="0" w:color="auto"/>
        <w:right w:val="none" w:sz="0" w:space="0" w:color="auto"/>
      </w:divBdr>
    </w:div>
    <w:div w:id="1448310123">
      <w:bodyDiv w:val="1"/>
      <w:marLeft w:val="0"/>
      <w:marRight w:val="0"/>
      <w:marTop w:val="0"/>
      <w:marBottom w:val="0"/>
      <w:divBdr>
        <w:top w:val="none" w:sz="0" w:space="0" w:color="auto"/>
        <w:left w:val="none" w:sz="0" w:space="0" w:color="auto"/>
        <w:bottom w:val="none" w:sz="0" w:space="0" w:color="auto"/>
        <w:right w:val="none" w:sz="0" w:space="0" w:color="auto"/>
      </w:divBdr>
    </w:div>
    <w:div w:id="1448356954">
      <w:bodyDiv w:val="1"/>
      <w:marLeft w:val="0"/>
      <w:marRight w:val="0"/>
      <w:marTop w:val="0"/>
      <w:marBottom w:val="0"/>
      <w:divBdr>
        <w:top w:val="none" w:sz="0" w:space="0" w:color="auto"/>
        <w:left w:val="none" w:sz="0" w:space="0" w:color="auto"/>
        <w:bottom w:val="none" w:sz="0" w:space="0" w:color="auto"/>
        <w:right w:val="none" w:sz="0" w:space="0" w:color="auto"/>
      </w:divBdr>
    </w:div>
    <w:div w:id="1448429859">
      <w:bodyDiv w:val="1"/>
      <w:marLeft w:val="0"/>
      <w:marRight w:val="0"/>
      <w:marTop w:val="0"/>
      <w:marBottom w:val="0"/>
      <w:divBdr>
        <w:top w:val="none" w:sz="0" w:space="0" w:color="auto"/>
        <w:left w:val="none" w:sz="0" w:space="0" w:color="auto"/>
        <w:bottom w:val="none" w:sz="0" w:space="0" w:color="auto"/>
        <w:right w:val="none" w:sz="0" w:space="0" w:color="auto"/>
      </w:divBdr>
    </w:div>
    <w:div w:id="1448431656">
      <w:bodyDiv w:val="1"/>
      <w:marLeft w:val="0"/>
      <w:marRight w:val="0"/>
      <w:marTop w:val="0"/>
      <w:marBottom w:val="0"/>
      <w:divBdr>
        <w:top w:val="none" w:sz="0" w:space="0" w:color="auto"/>
        <w:left w:val="none" w:sz="0" w:space="0" w:color="auto"/>
        <w:bottom w:val="none" w:sz="0" w:space="0" w:color="auto"/>
        <w:right w:val="none" w:sz="0" w:space="0" w:color="auto"/>
      </w:divBdr>
    </w:div>
    <w:div w:id="1448503311">
      <w:bodyDiv w:val="1"/>
      <w:marLeft w:val="0"/>
      <w:marRight w:val="0"/>
      <w:marTop w:val="0"/>
      <w:marBottom w:val="0"/>
      <w:divBdr>
        <w:top w:val="none" w:sz="0" w:space="0" w:color="auto"/>
        <w:left w:val="none" w:sz="0" w:space="0" w:color="auto"/>
        <w:bottom w:val="none" w:sz="0" w:space="0" w:color="auto"/>
        <w:right w:val="none" w:sz="0" w:space="0" w:color="auto"/>
      </w:divBdr>
    </w:div>
    <w:div w:id="1448503355">
      <w:bodyDiv w:val="1"/>
      <w:marLeft w:val="0"/>
      <w:marRight w:val="0"/>
      <w:marTop w:val="0"/>
      <w:marBottom w:val="0"/>
      <w:divBdr>
        <w:top w:val="none" w:sz="0" w:space="0" w:color="auto"/>
        <w:left w:val="none" w:sz="0" w:space="0" w:color="auto"/>
        <w:bottom w:val="none" w:sz="0" w:space="0" w:color="auto"/>
        <w:right w:val="none" w:sz="0" w:space="0" w:color="auto"/>
      </w:divBdr>
    </w:div>
    <w:div w:id="1448619943">
      <w:bodyDiv w:val="1"/>
      <w:marLeft w:val="0"/>
      <w:marRight w:val="0"/>
      <w:marTop w:val="0"/>
      <w:marBottom w:val="0"/>
      <w:divBdr>
        <w:top w:val="none" w:sz="0" w:space="0" w:color="auto"/>
        <w:left w:val="none" w:sz="0" w:space="0" w:color="auto"/>
        <w:bottom w:val="none" w:sz="0" w:space="0" w:color="auto"/>
        <w:right w:val="none" w:sz="0" w:space="0" w:color="auto"/>
      </w:divBdr>
    </w:div>
    <w:div w:id="1448700908">
      <w:bodyDiv w:val="1"/>
      <w:marLeft w:val="0"/>
      <w:marRight w:val="0"/>
      <w:marTop w:val="0"/>
      <w:marBottom w:val="0"/>
      <w:divBdr>
        <w:top w:val="none" w:sz="0" w:space="0" w:color="auto"/>
        <w:left w:val="none" w:sz="0" w:space="0" w:color="auto"/>
        <w:bottom w:val="none" w:sz="0" w:space="0" w:color="auto"/>
        <w:right w:val="none" w:sz="0" w:space="0" w:color="auto"/>
      </w:divBdr>
    </w:div>
    <w:div w:id="1448740919">
      <w:bodyDiv w:val="1"/>
      <w:marLeft w:val="0"/>
      <w:marRight w:val="0"/>
      <w:marTop w:val="0"/>
      <w:marBottom w:val="0"/>
      <w:divBdr>
        <w:top w:val="none" w:sz="0" w:space="0" w:color="auto"/>
        <w:left w:val="none" w:sz="0" w:space="0" w:color="auto"/>
        <w:bottom w:val="none" w:sz="0" w:space="0" w:color="auto"/>
        <w:right w:val="none" w:sz="0" w:space="0" w:color="auto"/>
      </w:divBdr>
    </w:div>
    <w:div w:id="1448767731">
      <w:bodyDiv w:val="1"/>
      <w:marLeft w:val="0"/>
      <w:marRight w:val="0"/>
      <w:marTop w:val="0"/>
      <w:marBottom w:val="0"/>
      <w:divBdr>
        <w:top w:val="none" w:sz="0" w:space="0" w:color="auto"/>
        <w:left w:val="none" w:sz="0" w:space="0" w:color="auto"/>
        <w:bottom w:val="none" w:sz="0" w:space="0" w:color="auto"/>
        <w:right w:val="none" w:sz="0" w:space="0" w:color="auto"/>
      </w:divBdr>
    </w:div>
    <w:div w:id="1448811665">
      <w:bodyDiv w:val="1"/>
      <w:marLeft w:val="0"/>
      <w:marRight w:val="0"/>
      <w:marTop w:val="0"/>
      <w:marBottom w:val="0"/>
      <w:divBdr>
        <w:top w:val="none" w:sz="0" w:space="0" w:color="auto"/>
        <w:left w:val="none" w:sz="0" w:space="0" w:color="auto"/>
        <w:bottom w:val="none" w:sz="0" w:space="0" w:color="auto"/>
        <w:right w:val="none" w:sz="0" w:space="0" w:color="auto"/>
      </w:divBdr>
    </w:div>
    <w:div w:id="1448886837">
      <w:bodyDiv w:val="1"/>
      <w:marLeft w:val="0"/>
      <w:marRight w:val="0"/>
      <w:marTop w:val="0"/>
      <w:marBottom w:val="0"/>
      <w:divBdr>
        <w:top w:val="none" w:sz="0" w:space="0" w:color="auto"/>
        <w:left w:val="none" w:sz="0" w:space="0" w:color="auto"/>
        <w:bottom w:val="none" w:sz="0" w:space="0" w:color="auto"/>
        <w:right w:val="none" w:sz="0" w:space="0" w:color="auto"/>
      </w:divBdr>
    </w:div>
    <w:div w:id="1448890476">
      <w:bodyDiv w:val="1"/>
      <w:marLeft w:val="0"/>
      <w:marRight w:val="0"/>
      <w:marTop w:val="0"/>
      <w:marBottom w:val="0"/>
      <w:divBdr>
        <w:top w:val="none" w:sz="0" w:space="0" w:color="auto"/>
        <w:left w:val="none" w:sz="0" w:space="0" w:color="auto"/>
        <w:bottom w:val="none" w:sz="0" w:space="0" w:color="auto"/>
        <w:right w:val="none" w:sz="0" w:space="0" w:color="auto"/>
      </w:divBdr>
    </w:div>
    <w:div w:id="1448893594">
      <w:bodyDiv w:val="1"/>
      <w:marLeft w:val="0"/>
      <w:marRight w:val="0"/>
      <w:marTop w:val="0"/>
      <w:marBottom w:val="0"/>
      <w:divBdr>
        <w:top w:val="none" w:sz="0" w:space="0" w:color="auto"/>
        <w:left w:val="none" w:sz="0" w:space="0" w:color="auto"/>
        <w:bottom w:val="none" w:sz="0" w:space="0" w:color="auto"/>
        <w:right w:val="none" w:sz="0" w:space="0" w:color="auto"/>
      </w:divBdr>
    </w:div>
    <w:div w:id="1448966683">
      <w:bodyDiv w:val="1"/>
      <w:marLeft w:val="0"/>
      <w:marRight w:val="0"/>
      <w:marTop w:val="0"/>
      <w:marBottom w:val="0"/>
      <w:divBdr>
        <w:top w:val="none" w:sz="0" w:space="0" w:color="auto"/>
        <w:left w:val="none" w:sz="0" w:space="0" w:color="auto"/>
        <w:bottom w:val="none" w:sz="0" w:space="0" w:color="auto"/>
        <w:right w:val="none" w:sz="0" w:space="0" w:color="auto"/>
      </w:divBdr>
    </w:div>
    <w:div w:id="1449010153">
      <w:bodyDiv w:val="1"/>
      <w:marLeft w:val="0"/>
      <w:marRight w:val="0"/>
      <w:marTop w:val="0"/>
      <w:marBottom w:val="0"/>
      <w:divBdr>
        <w:top w:val="none" w:sz="0" w:space="0" w:color="auto"/>
        <w:left w:val="none" w:sz="0" w:space="0" w:color="auto"/>
        <w:bottom w:val="none" w:sz="0" w:space="0" w:color="auto"/>
        <w:right w:val="none" w:sz="0" w:space="0" w:color="auto"/>
      </w:divBdr>
    </w:div>
    <w:div w:id="1449011493">
      <w:bodyDiv w:val="1"/>
      <w:marLeft w:val="0"/>
      <w:marRight w:val="0"/>
      <w:marTop w:val="0"/>
      <w:marBottom w:val="0"/>
      <w:divBdr>
        <w:top w:val="none" w:sz="0" w:space="0" w:color="auto"/>
        <w:left w:val="none" w:sz="0" w:space="0" w:color="auto"/>
        <w:bottom w:val="none" w:sz="0" w:space="0" w:color="auto"/>
        <w:right w:val="none" w:sz="0" w:space="0" w:color="auto"/>
      </w:divBdr>
    </w:div>
    <w:div w:id="1449161770">
      <w:bodyDiv w:val="1"/>
      <w:marLeft w:val="0"/>
      <w:marRight w:val="0"/>
      <w:marTop w:val="0"/>
      <w:marBottom w:val="0"/>
      <w:divBdr>
        <w:top w:val="none" w:sz="0" w:space="0" w:color="auto"/>
        <w:left w:val="none" w:sz="0" w:space="0" w:color="auto"/>
        <w:bottom w:val="none" w:sz="0" w:space="0" w:color="auto"/>
        <w:right w:val="none" w:sz="0" w:space="0" w:color="auto"/>
      </w:divBdr>
    </w:div>
    <w:div w:id="1449202497">
      <w:bodyDiv w:val="1"/>
      <w:marLeft w:val="0"/>
      <w:marRight w:val="0"/>
      <w:marTop w:val="0"/>
      <w:marBottom w:val="0"/>
      <w:divBdr>
        <w:top w:val="none" w:sz="0" w:space="0" w:color="auto"/>
        <w:left w:val="none" w:sz="0" w:space="0" w:color="auto"/>
        <w:bottom w:val="none" w:sz="0" w:space="0" w:color="auto"/>
        <w:right w:val="none" w:sz="0" w:space="0" w:color="auto"/>
      </w:divBdr>
    </w:div>
    <w:div w:id="1449354489">
      <w:bodyDiv w:val="1"/>
      <w:marLeft w:val="0"/>
      <w:marRight w:val="0"/>
      <w:marTop w:val="0"/>
      <w:marBottom w:val="0"/>
      <w:divBdr>
        <w:top w:val="none" w:sz="0" w:space="0" w:color="auto"/>
        <w:left w:val="none" w:sz="0" w:space="0" w:color="auto"/>
        <w:bottom w:val="none" w:sz="0" w:space="0" w:color="auto"/>
        <w:right w:val="none" w:sz="0" w:space="0" w:color="auto"/>
      </w:divBdr>
    </w:div>
    <w:div w:id="1449355153">
      <w:bodyDiv w:val="1"/>
      <w:marLeft w:val="0"/>
      <w:marRight w:val="0"/>
      <w:marTop w:val="0"/>
      <w:marBottom w:val="0"/>
      <w:divBdr>
        <w:top w:val="none" w:sz="0" w:space="0" w:color="auto"/>
        <w:left w:val="none" w:sz="0" w:space="0" w:color="auto"/>
        <w:bottom w:val="none" w:sz="0" w:space="0" w:color="auto"/>
        <w:right w:val="none" w:sz="0" w:space="0" w:color="auto"/>
      </w:divBdr>
    </w:div>
    <w:div w:id="1449398701">
      <w:bodyDiv w:val="1"/>
      <w:marLeft w:val="0"/>
      <w:marRight w:val="0"/>
      <w:marTop w:val="0"/>
      <w:marBottom w:val="0"/>
      <w:divBdr>
        <w:top w:val="none" w:sz="0" w:space="0" w:color="auto"/>
        <w:left w:val="none" w:sz="0" w:space="0" w:color="auto"/>
        <w:bottom w:val="none" w:sz="0" w:space="0" w:color="auto"/>
        <w:right w:val="none" w:sz="0" w:space="0" w:color="auto"/>
      </w:divBdr>
    </w:div>
    <w:div w:id="1449473348">
      <w:bodyDiv w:val="1"/>
      <w:marLeft w:val="0"/>
      <w:marRight w:val="0"/>
      <w:marTop w:val="0"/>
      <w:marBottom w:val="0"/>
      <w:divBdr>
        <w:top w:val="none" w:sz="0" w:space="0" w:color="auto"/>
        <w:left w:val="none" w:sz="0" w:space="0" w:color="auto"/>
        <w:bottom w:val="none" w:sz="0" w:space="0" w:color="auto"/>
        <w:right w:val="none" w:sz="0" w:space="0" w:color="auto"/>
      </w:divBdr>
    </w:div>
    <w:div w:id="1449540796">
      <w:bodyDiv w:val="1"/>
      <w:marLeft w:val="0"/>
      <w:marRight w:val="0"/>
      <w:marTop w:val="0"/>
      <w:marBottom w:val="0"/>
      <w:divBdr>
        <w:top w:val="none" w:sz="0" w:space="0" w:color="auto"/>
        <w:left w:val="none" w:sz="0" w:space="0" w:color="auto"/>
        <w:bottom w:val="none" w:sz="0" w:space="0" w:color="auto"/>
        <w:right w:val="none" w:sz="0" w:space="0" w:color="auto"/>
      </w:divBdr>
    </w:div>
    <w:div w:id="1449542529">
      <w:bodyDiv w:val="1"/>
      <w:marLeft w:val="0"/>
      <w:marRight w:val="0"/>
      <w:marTop w:val="0"/>
      <w:marBottom w:val="0"/>
      <w:divBdr>
        <w:top w:val="none" w:sz="0" w:space="0" w:color="auto"/>
        <w:left w:val="none" w:sz="0" w:space="0" w:color="auto"/>
        <w:bottom w:val="none" w:sz="0" w:space="0" w:color="auto"/>
        <w:right w:val="none" w:sz="0" w:space="0" w:color="auto"/>
      </w:divBdr>
    </w:div>
    <w:div w:id="1449592524">
      <w:bodyDiv w:val="1"/>
      <w:marLeft w:val="0"/>
      <w:marRight w:val="0"/>
      <w:marTop w:val="0"/>
      <w:marBottom w:val="0"/>
      <w:divBdr>
        <w:top w:val="none" w:sz="0" w:space="0" w:color="auto"/>
        <w:left w:val="none" w:sz="0" w:space="0" w:color="auto"/>
        <w:bottom w:val="none" w:sz="0" w:space="0" w:color="auto"/>
        <w:right w:val="none" w:sz="0" w:space="0" w:color="auto"/>
      </w:divBdr>
    </w:div>
    <w:div w:id="1449622400">
      <w:bodyDiv w:val="1"/>
      <w:marLeft w:val="0"/>
      <w:marRight w:val="0"/>
      <w:marTop w:val="0"/>
      <w:marBottom w:val="0"/>
      <w:divBdr>
        <w:top w:val="none" w:sz="0" w:space="0" w:color="auto"/>
        <w:left w:val="none" w:sz="0" w:space="0" w:color="auto"/>
        <w:bottom w:val="none" w:sz="0" w:space="0" w:color="auto"/>
        <w:right w:val="none" w:sz="0" w:space="0" w:color="auto"/>
      </w:divBdr>
    </w:div>
    <w:div w:id="1449736123">
      <w:bodyDiv w:val="1"/>
      <w:marLeft w:val="0"/>
      <w:marRight w:val="0"/>
      <w:marTop w:val="0"/>
      <w:marBottom w:val="0"/>
      <w:divBdr>
        <w:top w:val="none" w:sz="0" w:space="0" w:color="auto"/>
        <w:left w:val="none" w:sz="0" w:space="0" w:color="auto"/>
        <w:bottom w:val="none" w:sz="0" w:space="0" w:color="auto"/>
        <w:right w:val="none" w:sz="0" w:space="0" w:color="auto"/>
      </w:divBdr>
    </w:div>
    <w:div w:id="1449741546">
      <w:bodyDiv w:val="1"/>
      <w:marLeft w:val="0"/>
      <w:marRight w:val="0"/>
      <w:marTop w:val="0"/>
      <w:marBottom w:val="0"/>
      <w:divBdr>
        <w:top w:val="none" w:sz="0" w:space="0" w:color="auto"/>
        <w:left w:val="none" w:sz="0" w:space="0" w:color="auto"/>
        <w:bottom w:val="none" w:sz="0" w:space="0" w:color="auto"/>
        <w:right w:val="none" w:sz="0" w:space="0" w:color="auto"/>
      </w:divBdr>
    </w:div>
    <w:div w:id="1449860216">
      <w:bodyDiv w:val="1"/>
      <w:marLeft w:val="0"/>
      <w:marRight w:val="0"/>
      <w:marTop w:val="0"/>
      <w:marBottom w:val="0"/>
      <w:divBdr>
        <w:top w:val="none" w:sz="0" w:space="0" w:color="auto"/>
        <w:left w:val="none" w:sz="0" w:space="0" w:color="auto"/>
        <w:bottom w:val="none" w:sz="0" w:space="0" w:color="auto"/>
        <w:right w:val="none" w:sz="0" w:space="0" w:color="auto"/>
      </w:divBdr>
    </w:div>
    <w:div w:id="1450050422">
      <w:bodyDiv w:val="1"/>
      <w:marLeft w:val="0"/>
      <w:marRight w:val="0"/>
      <w:marTop w:val="0"/>
      <w:marBottom w:val="0"/>
      <w:divBdr>
        <w:top w:val="none" w:sz="0" w:space="0" w:color="auto"/>
        <w:left w:val="none" w:sz="0" w:space="0" w:color="auto"/>
        <w:bottom w:val="none" w:sz="0" w:space="0" w:color="auto"/>
        <w:right w:val="none" w:sz="0" w:space="0" w:color="auto"/>
      </w:divBdr>
    </w:div>
    <w:div w:id="1450124106">
      <w:bodyDiv w:val="1"/>
      <w:marLeft w:val="0"/>
      <w:marRight w:val="0"/>
      <w:marTop w:val="0"/>
      <w:marBottom w:val="0"/>
      <w:divBdr>
        <w:top w:val="none" w:sz="0" w:space="0" w:color="auto"/>
        <w:left w:val="none" w:sz="0" w:space="0" w:color="auto"/>
        <w:bottom w:val="none" w:sz="0" w:space="0" w:color="auto"/>
        <w:right w:val="none" w:sz="0" w:space="0" w:color="auto"/>
      </w:divBdr>
    </w:div>
    <w:div w:id="1450202197">
      <w:bodyDiv w:val="1"/>
      <w:marLeft w:val="0"/>
      <w:marRight w:val="0"/>
      <w:marTop w:val="0"/>
      <w:marBottom w:val="0"/>
      <w:divBdr>
        <w:top w:val="none" w:sz="0" w:space="0" w:color="auto"/>
        <w:left w:val="none" w:sz="0" w:space="0" w:color="auto"/>
        <w:bottom w:val="none" w:sz="0" w:space="0" w:color="auto"/>
        <w:right w:val="none" w:sz="0" w:space="0" w:color="auto"/>
      </w:divBdr>
    </w:div>
    <w:div w:id="1450584802">
      <w:bodyDiv w:val="1"/>
      <w:marLeft w:val="0"/>
      <w:marRight w:val="0"/>
      <w:marTop w:val="0"/>
      <w:marBottom w:val="0"/>
      <w:divBdr>
        <w:top w:val="none" w:sz="0" w:space="0" w:color="auto"/>
        <w:left w:val="none" w:sz="0" w:space="0" w:color="auto"/>
        <w:bottom w:val="none" w:sz="0" w:space="0" w:color="auto"/>
        <w:right w:val="none" w:sz="0" w:space="0" w:color="auto"/>
      </w:divBdr>
    </w:div>
    <w:div w:id="1450734723">
      <w:bodyDiv w:val="1"/>
      <w:marLeft w:val="0"/>
      <w:marRight w:val="0"/>
      <w:marTop w:val="0"/>
      <w:marBottom w:val="0"/>
      <w:divBdr>
        <w:top w:val="none" w:sz="0" w:space="0" w:color="auto"/>
        <w:left w:val="none" w:sz="0" w:space="0" w:color="auto"/>
        <w:bottom w:val="none" w:sz="0" w:space="0" w:color="auto"/>
        <w:right w:val="none" w:sz="0" w:space="0" w:color="auto"/>
      </w:divBdr>
    </w:div>
    <w:div w:id="1451321421">
      <w:bodyDiv w:val="1"/>
      <w:marLeft w:val="0"/>
      <w:marRight w:val="0"/>
      <w:marTop w:val="0"/>
      <w:marBottom w:val="0"/>
      <w:divBdr>
        <w:top w:val="none" w:sz="0" w:space="0" w:color="auto"/>
        <w:left w:val="none" w:sz="0" w:space="0" w:color="auto"/>
        <w:bottom w:val="none" w:sz="0" w:space="0" w:color="auto"/>
        <w:right w:val="none" w:sz="0" w:space="0" w:color="auto"/>
      </w:divBdr>
    </w:div>
    <w:div w:id="1451321808">
      <w:bodyDiv w:val="1"/>
      <w:marLeft w:val="0"/>
      <w:marRight w:val="0"/>
      <w:marTop w:val="0"/>
      <w:marBottom w:val="0"/>
      <w:divBdr>
        <w:top w:val="none" w:sz="0" w:space="0" w:color="auto"/>
        <w:left w:val="none" w:sz="0" w:space="0" w:color="auto"/>
        <w:bottom w:val="none" w:sz="0" w:space="0" w:color="auto"/>
        <w:right w:val="none" w:sz="0" w:space="0" w:color="auto"/>
      </w:divBdr>
    </w:div>
    <w:div w:id="1451438690">
      <w:bodyDiv w:val="1"/>
      <w:marLeft w:val="0"/>
      <w:marRight w:val="0"/>
      <w:marTop w:val="0"/>
      <w:marBottom w:val="0"/>
      <w:divBdr>
        <w:top w:val="none" w:sz="0" w:space="0" w:color="auto"/>
        <w:left w:val="none" w:sz="0" w:space="0" w:color="auto"/>
        <w:bottom w:val="none" w:sz="0" w:space="0" w:color="auto"/>
        <w:right w:val="none" w:sz="0" w:space="0" w:color="auto"/>
      </w:divBdr>
    </w:div>
    <w:div w:id="1451513088">
      <w:bodyDiv w:val="1"/>
      <w:marLeft w:val="0"/>
      <w:marRight w:val="0"/>
      <w:marTop w:val="0"/>
      <w:marBottom w:val="0"/>
      <w:divBdr>
        <w:top w:val="none" w:sz="0" w:space="0" w:color="auto"/>
        <w:left w:val="none" w:sz="0" w:space="0" w:color="auto"/>
        <w:bottom w:val="none" w:sz="0" w:space="0" w:color="auto"/>
        <w:right w:val="none" w:sz="0" w:space="0" w:color="auto"/>
      </w:divBdr>
    </w:div>
    <w:div w:id="1451587043">
      <w:bodyDiv w:val="1"/>
      <w:marLeft w:val="0"/>
      <w:marRight w:val="0"/>
      <w:marTop w:val="0"/>
      <w:marBottom w:val="0"/>
      <w:divBdr>
        <w:top w:val="none" w:sz="0" w:space="0" w:color="auto"/>
        <w:left w:val="none" w:sz="0" w:space="0" w:color="auto"/>
        <w:bottom w:val="none" w:sz="0" w:space="0" w:color="auto"/>
        <w:right w:val="none" w:sz="0" w:space="0" w:color="auto"/>
      </w:divBdr>
    </w:div>
    <w:div w:id="1451628602">
      <w:bodyDiv w:val="1"/>
      <w:marLeft w:val="0"/>
      <w:marRight w:val="0"/>
      <w:marTop w:val="0"/>
      <w:marBottom w:val="0"/>
      <w:divBdr>
        <w:top w:val="none" w:sz="0" w:space="0" w:color="auto"/>
        <w:left w:val="none" w:sz="0" w:space="0" w:color="auto"/>
        <w:bottom w:val="none" w:sz="0" w:space="0" w:color="auto"/>
        <w:right w:val="none" w:sz="0" w:space="0" w:color="auto"/>
      </w:divBdr>
    </w:div>
    <w:div w:id="1452166693">
      <w:bodyDiv w:val="1"/>
      <w:marLeft w:val="0"/>
      <w:marRight w:val="0"/>
      <w:marTop w:val="0"/>
      <w:marBottom w:val="0"/>
      <w:divBdr>
        <w:top w:val="none" w:sz="0" w:space="0" w:color="auto"/>
        <w:left w:val="none" w:sz="0" w:space="0" w:color="auto"/>
        <w:bottom w:val="none" w:sz="0" w:space="0" w:color="auto"/>
        <w:right w:val="none" w:sz="0" w:space="0" w:color="auto"/>
      </w:divBdr>
    </w:div>
    <w:div w:id="1452243889">
      <w:bodyDiv w:val="1"/>
      <w:marLeft w:val="0"/>
      <w:marRight w:val="0"/>
      <w:marTop w:val="0"/>
      <w:marBottom w:val="0"/>
      <w:divBdr>
        <w:top w:val="none" w:sz="0" w:space="0" w:color="auto"/>
        <w:left w:val="none" w:sz="0" w:space="0" w:color="auto"/>
        <w:bottom w:val="none" w:sz="0" w:space="0" w:color="auto"/>
        <w:right w:val="none" w:sz="0" w:space="0" w:color="auto"/>
      </w:divBdr>
    </w:div>
    <w:div w:id="1452280008">
      <w:bodyDiv w:val="1"/>
      <w:marLeft w:val="0"/>
      <w:marRight w:val="0"/>
      <w:marTop w:val="0"/>
      <w:marBottom w:val="0"/>
      <w:divBdr>
        <w:top w:val="none" w:sz="0" w:space="0" w:color="auto"/>
        <w:left w:val="none" w:sz="0" w:space="0" w:color="auto"/>
        <w:bottom w:val="none" w:sz="0" w:space="0" w:color="auto"/>
        <w:right w:val="none" w:sz="0" w:space="0" w:color="auto"/>
      </w:divBdr>
    </w:div>
    <w:div w:id="1452283838">
      <w:bodyDiv w:val="1"/>
      <w:marLeft w:val="0"/>
      <w:marRight w:val="0"/>
      <w:marTop w:val="0"/>
      <w:marBottom w:val="0"/>
      <w:divBdr>
        <w:top w:val="none" w:sz="0" w:space="0" w:color="auto"/>
        <w:left w:val="none" w:sz="0" w:space="0" w:color="auto"/>
        <w:bottom w:val="none" w:sz="0" w:space="0" w:color="auto"/>
        <w:right w:val="none" w:sz="0" w:space="0" w:color="auto"/>
      </w:divBdr>
    </w:div>
    <w:div w:id="1452355683">
      <w:bodyDiv w:val="1"/>
      <w:marLeft w:val="0"/>
      <w:marRight w:val="0"/>
      <w:marTop w:val="0"/>
      <w:marBottom w:val="0"/>
      <w:divBdr>
        <w:top w:val="none" w:sz="0" w:space="0" w:color="auto"/>
        <w:left w:val="none" w:sz="0" w:space="0" w:color="auto"/>
        <w:bottom w:val="none" w:sz="0" w:space="0" w:color="auto"/>
        <w:right w:val="none" w:sz="0" w:space="0" w:color="auto"/>
      </w:divBdr>
    </w:div>
    <w:div w:id="1452482175">
      <w:bodyDiv w:val="1"/>
      <w:marLeft w:val="0"/>
      <w:marRight w:val="0"/>
      <w:marTop w:val="0"/>
      <w:marBottom w:val="0"/>
      <w:divBdr>
        <w:top w:val="none" w:sz="0" w:space="0" w:color="auto"/>
        <w:left w:val="none" w:sz="0" w:space="0" w:color="auto"/>
        <w:bottom w:val="none" w:sz="0" w:space="0" w:color="auto"/>
        <w:right w:val="none" w:sz="0" w:space="0" w:color="auto"/>
      </w:divBdr>
    </w:div>
    <w:div w:id="1452558001">
      <w:bodyDiv w:val="1"/>
      <w:marLeft w:val="0"/>
      <w:marRight w:val="0"/>
      <w:marTop w:val="0"/>
      <w:marBottom w:val="0"/>
      <w:divBdr>
        <w:top w:val="none" w:sz="0" w:space="0" w:color="auto"/>
        <w:left w:val="none" w:sz="0" w:space="0" w:color="auto"/>
        <w:bottom w:val="none" w:sz="0" w:space="0" w:color="auto"/>
        <w:right w:val="none" w:sz="0" w:space="0" w:color="auto"/>
      </w:divBdr>
    </w:div>
    <w:div w:id="1452703456">
      <w:bodyDiv w:val="1"/>
      <w:marLeft w:val="0"/>
      <w:marRight w:val="0"/>
      <w:marTop w:val="0"/>
      <w:marBottom w:val="0"/>
      <w:divBdr>
        <w:top w:val="none" w:sz="0" w:space="0" w:color="auto"/>
        <w:left w:val="none" w:sz="0" w:space="0" w:color="auto"/>
        <w:bottom w:val="none" w:sz="0" w:space="0" w:color="auto"/>
        <w:right w:val="none" w:sz="0" w:space="0" w:color="auto"/>
      </w:divBdr>
    </w:div>
    <w:div w:id="1452746922">
      <w:bodyDiv w:val="1"/>
      <w:marLeft w:val="0"/>
      <w:marRight w:val="0"/>
      <w:marTop w:val="0"/>
      <w:marBottom w:val="0"/>
      <w:divBdr>
        <w:top w:val="none" w:sz="0" w:space="0" w:color="auto"/>
        <w:left w:val="none" w:sz="0" w:space="0" w:color="auto"/>
        <w:bottom w:val="none" w:sz="0" w:space="0" w:color="auto"/>
        <w:right w:val="none" w:sz="0" w:space="0" w:color="auto"/>
      </w:divBdr>
    </w:div>
    <w:div w:id="1452820364">
      <w:bodyDiv w:val="1"/>
      <w:marLeft w:val="0"/>
      <w:marRight w:val="0"/>
      <w:marTop w:val="0"/>
      <w:marBottom w:val="0"/>
      <w:divBdr>
        <w:top w:val="none" w:sz="0" w:space="0" w:color="auto"/>
        <w:left w:val="none" w:sz="0" w:space="0" w:color="auto"/>
        <w:bottom w:val="none" w:sz="0" w:space="0" w:color="auto"/>
        <w:right w:val="none" w:sz="0" w:space="0" w:color="auto"/>
      </w:divBdr>
    </w:div>
    <w:div w:id="1452822020">
      <w:bodyDiv w:val="1"/>
      <w:marLeft w:val="0"/>
      <w:marRight w:val="0"/>
      <w:marTop w:val="0"/>
      <w:marBottom w:val="0"/>
      <w:divBdr>
        <w:top w:val="none" w:sz="0" w:space="0" w:color="auto"/>
        <w:left w:val="none" w:sz="0" w:space="0" w:color="auto"/>
        <w:bottom w:val="none" w:sz="0" w:space="0" w:color="auto"/>
        <w:right w:val="none" w:sz="0" w:space="0" w:color="auto"/>
      </w:divBdr>
    </w:div>
    <w:div w:id="1452823360">
      <w:bodyDiv w:val="1"/>
      <w:marLeft w:val="0"/>
      <w:marRight w:val="0"/>
      <w:marTop w:val="0"/>
      <w:marBottom w:val="0"/>
      <w:divBdr>
        <w:top w:val="none" w:sz="0" w:space="0" w:color="auto"/>
        <w:left w:val="none" w:sz="0" w:space="0" w:color="auto"/>
        <w:bottom w:val="none" w:sz="0" w:space="0" w:color="auto"/>
        <w:right w:val="none" w:sz="0" w:space="0" w:color="auto"/>
      </w:divBdr>
    </w:div>
    <w:div w:id="1452896477">
      <w:bodyDiv w:val="1"/>
      <w:marLeft w:val="0"/>
      <w:marRight w:val="0"/>
      <w:marTop w:val="0"/>
      <w:marBottom w:val="0"/>
      <w:divBdr>
        <w:top w:val="none" w:sz="0" w:space="0" w:color="auto"/>
        <w:left w:val="none" w:sz="0" w:space="0" w:color="auto"/>
        <w:bottom w:val="none" w:sz="0" w:space="0" w:color="auto"/>
        <w:right w:val="none" w:sz="0" w:space="0" w:color="auto"/>
      </w:divBdr>
    </w:div>
    <w:div w:id="1452936894">
      <w:bodyDiv w:val="1"/>
      <w:marLeft w:val="0"/>
      <w:marRight w:val="0"/>
      <w:marTop w:val="0"/>
      <w:marBottom w:val="0"/>
      <w:divBdr>
        <w:top w:val="none" w:sz="0" w:space="0" w:color="auto"/>
        <w:left w:val="none" w:sz="0" w:space="0" w:color="auto"/>
        <w:bottom w:val="none" w:sz="0" w:space="0" w:color="auto"/>
        <w:right w:val="none" w:sz="0" w:space="0" w:color="auto"/>
      </w:divBdr>
    </w:div>
    <w:div w:id="1452937362">
      <w:bodyDiv w:val="1"/>
      <w:marLeft w:val="0"/>
      <w:marRight w:val="0"/>
      <w:marTop w:val="0"/>
      <w:marBottom w:val="0"/>
      <w:divBdr>
        <w:top w:val="none" w:sz="0" w:space="0" w:color="auto"/>
        <w:left w:val="none" w:sz="0" w:space="0" w:color="auto"/>
        <w:bottom w:val="none" w:sz="0" w:space="0" w:color="auto"/>
        <w:right w:val="none" w:sz="0" w:space="0" w:color="auto"/>
      </w:divBdr>
    </w:div>
    <w:div w:id="1453012130">
      <w:bodyDiv w:val="1"/>
      <w:marLeft w:val="0"/>
      <w:marRight w:val="0"/>
      <w:marTop w:val="0"/>
      <w:marBottom w:val="0"/>
      <w:divBdr>
        <w:top w:val="none" w:sz="0" w:space="0" w:color="auto"/>
        <w:left w:val="none" w:sz="0" w:space="0" w:color="auto"/>
        <w:bottom w:val="none" w:sz="0" w:space="0" w:color="auto"/>
        <w:right w:val="none" w:sz="0" w:space="0" w:color="auto"/>
      </w:divBdr>
    </w:div>
    <w:div w:id="1453092980">
      <w:bodyDiv w:val="1"/>
      <w:marLeft w:val="0"/>
      <w:marRight w:val="0"/>
      <w:marTop w:val="0"/>
      <w:marBottom w:val="0"/>
      <w:divBdr>
        <w:top w:val="none" w:sz="0" w:space="0" w:color="auto"/>
        <w:left w:val="none" w:sz="0" w:space="0" w:color="auto"/>
        <w:bottom w:val="none" w:sz="0" w:space="0" w:color="auto"/>
        <w:right w:val="none" w:sz="0" w:space="0" w:color="auto"/>
      </w:divBdr>
    </w:div>
    <w:div w:id="1453284902">
      <w:bodyDiv w:val="1"/>
      <w:marLeft w:val="0"/>
      <w:marRight w:val="0"/>
      <w:marTop w:val="0"/>
      <w:marBottom w:val="0"/>
      <w:divBdr>
        <w:top w:val="none" w:sz="0" w:space="0" w:color="auto"/>
        <w:left w:val="none" w:sz="0" w:space="0" w:color="auto"/>
        <w:bottom w:val="none" w:sz="0" w:space="0" w:color="auto"/>
        <w:right w:val="none" w:sz="0" w:space="0" w:color="auto"/>
      </w:divBdr>
    </w:div>
    <w:div w:id="1453667479">
      <w:bodyDiv w:val="1"/>
      <w:marLeft w:val="0"/>
      <w:marRight w:val="0"/>
      <w:marTop w:val="0"/>
      <w:marBottom w:val="0"/>
      <w:divBdr>
        <w:top w:val="none" w:sz="0" w:space="0" w:color="auto"/>
        <w:left w:val="none" w:sz="0" w:space="0" w:color="auto"/>
        <w:bottom w:val="none" w:sz="0" w:space="0" w:color="auto"/>
        <w:right w:val="none" w:sz="0" w:space="0" w:color="auto"/>
      </w:divBdr>
    </w:div>
    <w:div w:id="1453668613">
      <w:bodyDiv w:val="1"/>
      <w:marLeft w:val="0"/>
      <w:marRight w:val="0"/>
      <w:marTop w:val="0"/>
      <w:marBottom w:val="0"/>
      <w:divBdr>
        <w:top w:val="none" w:sz="0" w:space="0" w:color="auto"/>
        <w:left w:val="none" w:sz="0" w:space="0" w:color="auto"/>
        <w:bottom w:val="none" w:sz="0" w:space="0" w:color="auto"/>
        <w:right w:val="none" w:sz="0" w:space="0" w:color="auto"/>
      </w:divBdr>
    </w:div>
    <w:div w:id="1453748841">
      <w:bodyDiv w:val="1"/>
      <w:marLeft w:val="0"/>
      <w:marRight w:val="0"/>
      <w:marTop w:val="0"/>
      <w:marBottom w:val="0"/>
      <w:divBdr>
        <w:top w:val="none" w:sz="0" w:space="0" w:color="auto"/>
        <w:left w:val="none" w:sz="0" w:space="0" w:color="auto"/>
        <w:bottom w:val="none" w:sz="0" w:space="0" w:color="auto"/>
        <w:right w:val="none" w:sz="0" w:space="0" w:color="auto"/>
      </w:divBdr>
    </w:div>
    <w:div w:id="1453864803">
      <w:bodyDiv w:val="1"/>
      <w:marLeft w:val="0"/>
      <w:marRight w:val="0"/>
      <w:marTop w:val="0"/>
      <w:marBottom w:val="0"/>
      <w:divBdr>
        <w:top w:val="none" w:sz="0" w:space="0" w:color="auto"/>
        <w:left w:val="none" w:sz="0" w:space="0" w:color="auto"/>
        <w:bottom w:val="none" w:sz="0" w:space="0" w:color="auto"/>
        <w:right w:val="none" w:sz="0" w:space="0" w:color="auto"/>
      </w:divBdr>
    </w:div>
    <w:div w:id="1453866593">
      <w:bodyDiv w:val="1"/>
      <w:marLeft w:val="0"/>
      <w:marRight w:val="0"/>
      <w:marTop w:val="0"/>
      <w:marBottom w:val="0"/>
      <w:divBdr>
        <w:top w:val="none" w:sz="0" w:space="0" w:color="auto"/>
        <w:left w:val="none" w:sz="0" w:space="0" w:color="auto"/>
        <w:bottom w:val="none" w:sz="0" w:space="0" w:color="auto"/>
        <w:right w:val="none" w:sz="0" w:space="0" w:color="auto"/>
      </w:divBdr>
    </w:div>
    <w:div w:id="1454012400">
      <w:bodyDiv w:val="1"/>
      <w:marLeft w:val="0"/>
      <w:marRight w:val="0"/>
      <w:marTop w:val="0"/>
      <w:marBottom w:val="0"/>
      <w:divBdr>
        <w:top w:val="none" w:sz="0" w:space="0" w:color="auto"/>
        <w:left w:val="none" w:sz="0" w:space="0" w:color="auto"/>
        <w:bottom w:val="none" w:sz="0" w:space="0" w:color="auto"/>
        <w:right w:val="none" w:sz="0" w:space="0" w:color="auto"/>
      </w:divBdr>
    </w:div>
    <w:div w:id="1454179143">
      <w:bodyDiv w:val="1"/>
      <w:marLeft w:val="0"/>
      <w:marRight w:val="0"/>
      <w:marTop w:val="0"/>
      <w:marBottom w:val="0"/>
      <w:divBdr>
        <w:top w:val="none" w:sz="0" w:space="0" w:color="auto"/>
        <w:left w:val="none" w:sz="0" w:space="0" w:color="auto"/>
        <w:bottom w:val="none" w:sz="0" w:space="0" w:color="auto"/>
        <w:right w:val="none" w:sz="0" w:space="0" w:color="auto"/>
      </w:divBdr>
    </w:div>
    <w:div w:id="1454208615">
      <w:bodyDiv w:val="1"/>
      <w:marLeft w:val="0"/>
      <w:marRight w:val="0"/>
      <w:marTop w:val="0"/>
      <w:marBottom w:val="0"/>
      <w:divBdr>
        <w:top w:val="none" w:sz="0" w:space="0" w:color="auto"/>
        <w:left w:val="none" w:sz="0" w:space="0" w:color="auto"/>
        <w:bottom w:val="none" w:sz="0" w:space="0" w:color="auto"/>
        <w:right w:val="none" w:sz="0" w:space="0" w:color="auto"/>
      </w:divBdr>
    </w:div>
    <w:div w:id="1454210175">
      <w:bodyDiv w:val="1"/>
      <w:marLeft w:val="0"/>
      <w:marRight w:val="0"/>
      <w:marTop w:val="0"/>
      <w:marBottom w:val="0"/>
      <w:divBdr>
        <w:top w:val="none" w:sz="0" w:space="0" w:color="auto"/>
        <w:left w:val="none" w:sz="0" w:space="0" w:color="auto"/>
        <w:bottom w:val="none" w:sz="0" w:space="0" w:color="auto"/>
        <w:right w:val="none" w:sz="0" w:space="0" w:color="auto"/>
      </w:divBdr>
    </w:div>
    <w:div w:id="1454397297">
      <w:bodyDiv w:val="1"/>
      <w:marLeft w:val="0"/>
      <w:marRight w:val="0"/>
      <w:marTop w:val="0"/>
      <w:marBottom w:val="0"/>
      <w:divBdr>
        <w:top w:val="none" w:sz="0" w:space="0" w:color="auto"/>
        <w:left w:val="none" w:sz="0" w:space="0" w:color="auto"/>
        <w:bottom w:val="none" w:sz="0" w:space="0" w:color="auto"/>
        <w:right w:val="none" w:sz="0" w:space="0" w:color="auto"/>
      </w:divBdr>
    </w:div>
    <w:div w:id="1454443455">
      <w:bodyDiv w:val="1"/>
      <w:marLeft w:val="0"/>
      <w:marRight w:val="0"/>
      <w:marTop w:val="0"/>
      <w:marBottom w:val="0"/>
      <w:divBdr>
        <w:top w:val="none" w:sz="0" w:space="0" w:color="auto"/>
        <w:left w:val="none" w:sz="0" w:space="0" w:color="auto"/>
        <w:bottom w:val="none" w:sz="0" w:space="0" w:color="auto"/>
        <w:right w:val="none" w:sz="0" w:space="0" w:color="auto"/>
      </w:divBdr>
    </w:div>
    <w:div w:id="1454472974">
      <w:bodyDiv w:val="1"/>
      <w:marLeft w:val="0"/>
      <w:marRight w:val="0"/>
      <w:marTop w:val="0"/>
      <w:marBottom w:val="0"/>
      <w:divBdr>
        <w:top w:val="none" w:sz="0" w:space="0" w:color="auto"/>
        <w:left w:val="none" w:sz="0" w:space="0" w:color="auto"/>
        <w:bottom w:val="none" w:sz="0" w:space="0" w:color="auto"/>
        <w:right w:val="none" w:sz="0" w:space="0" w:color="auto"/>
      </w:divBdr>
    </w:div>
    <w:div w:id="1454590065">
      <w:bodyDiv w:val="1"/>
      <w:marLeft w:val="0"/>
      <w:marRight w:val="0"/>
      <w:marTop w:val="0"/>
      <w:marBottom w:val="0"/>
      <w:divBdr>
        <w:top w:val="none" w:sz="0" w:space="0" w:color="auto"/>
        <w:left w:val="none" w:sz="0" w:space="0" w:color="auto"/>
        <w:bottom w:val="none" w:sz="0" w:space="0" w:color="auto"/>
        <w:right w:val="none" w:sz="0" w:space="0" w:color="auto"/>
      </w:divBdr>
    </w:div>
    <w:div w:id="1454639862">
      <w:bodyDiv w:val="1"/>
      <w:marLeft w:val="0"/>
      <w:marRight w:val="0"/>
      <w:marTop w:val="0"/>
      <w:marBottom w:val="0"/>
      <w:divBdr>
        <w:top w:val="none" w:sz="0" w:space="0" w:color="auto"/>
        <w:left w:val="none" w:sz="0" w:space="0" w:color="auto"/>
        <w:bottom w:val="none" w:sz="0" w:space="0" w:color="auto"/>
        <w:right w:val="none" w:sz="0" w:space="0" w:color="auto"/>
      </w:divBdr>
    </w:div>
    <w:div w:id="1454665487">
      <w:bodyDiv w:val="1"/>
      <w:marLeft w:val="0"/>
      <w:marRight w:val="0"/>
      <w:marTop w:val="0"/>
      <w:marBottom w:val="0"/>
      <w:divBdr>
        <w:top w:val="none" w:sz="0" w:space="0" w:color="auto"/>
        <w:left w:val="none" w:sz="0" w:space="0" w:color="auto"/>
        <w:bottom w:val="none" w:sz="0" w:space="0" w:color="auto"/>
        <w:right w:val="none" w:sz="0" w:space="0" w:color="auto"/>
      </w:divBdr>
    </w:div>
    <w:div w:id="1454712634">
      <w:bodyDiv w:val="1"/>
      <w:marLeft w:val="0"/>
      <w:marRight w:val="0"/>
      <w:marTop w:val="0"/>
      <w:marBottom w:val="0"/>
      <w:divBdr>
        <w:top w:val="none" w:sz="0" w:space="0" w:color="auto"/>
        <w:left w:val="none" w:sz="0" w:space="0" w:color="auto"/>
        <w:bottom w:val="none" w:sz="0" w:space="0" w:color="auto"/>
        <w:right w:val="none" w:sz="0" w:space="0" w:color="auto"/>
      </w:divBdr>
    </w:div>
    <w:div w:id="1454717083">
      <w:bodyDiv w:val="1"/>
      <w:marLeft w:val="0"/>
      <w:marRight w:val="0"/>
      <w:marTop w:val="0"/>
      <w:marBottom w:val="0"/>
      <w:divBdr>
        <w:top w:val="none" w:sz="0" w:space="0" w:color="auto"/>
        <w:left w:val="none" w:sz="0" w:space="0" w:color="auto"/>
        <w:bottom w:val="none" w:sz="0" w:space="0" w:color="auto"/>
        <w:right w:val="none" w:sz="0" w:space="0" w:color="auto"/>
      </w:divBdr>
    </w:div>
    <w:div w:id="1454784002">
      <w:bodyDiv w:val="1"/>
      <w:marLeft w:val="0"/>
      <w:marRight w:val="0"/>
      <w:marTop w:val="0"/>
      <w:marBottom w:val="0"/>
      <w:divBdr>
        <w:top w:val="none" w:sz="0" w:space="0" w:color="auto"/>
        <w:left w:val="none" w:sz="0" w:space="0" w:color="auto"/>
        <w:bottom w:val="none" w:sz="0" w:space="0" w:color="auto"/>
        <w:right w:val="none" w:sz="0" w:space="0" w:color="auto"/>
      </w:divBdr>
    </w:div>
    <w:div w:id="1454785537">
      <w:bodyDiv w:val="1"/>
      <w:marLeft w:val="0"/>
      <w:marRight w:val="0"/>
      <w:marTop w:val="0"/>
      <w:marBottom w:val="0"/>
      <w:divBdr>
        <w:top w:val="none" w:sz="0" w:space="0" w:color="auto"/>
        <w:left w:val="none" w:sz="0" w:space="0" w:color="auto"/>
        <w:bottom w:val="none" w:sz="0" w:space="0" w:color="auto"/>
        <w:right w:val="none" w:sz="0" w:space="0" w:color="auto"/>
      </w:divBdr>
    </w:div>
    <w:div w:id="1454789065">
      <w:bodyDiv w:val="1"/>
      <w:marLeft w:val="0"/>
      <w:marRight w:val="0"/>
      <w:marTop w:val="0"/>
      <w:marBottom w:val="0"/>
      <w:divBdr>
        <w:top w:val="none" w:sz="0" w:space="0" w:color="auto"/>
        <w:left w:val="none" w:sz="0" w:space="0" w:color="auto"/>
        <w:bottom w:val="none" w:sz="0" w:space="0" w:color="auto"/>
        <w:right w:val="none" w:sz="0" w:space="0" w:color="auto"/>
      </w:divBdr>
    </w:div>
    <w:div w:id="1454860123">
      <w:bodyDiv w:val="1"/>
      <w:marLeft w:val="0"/>
      <w:marRight w:val="0"/>
      <w:marTop w:val="0"/>
      <w:marBottom w:val="0"/>
      <w:divBdr>
        <w:top w:val="none" w:sz="0" w:space="0" w:color="auto"/>
        <w:left w:val="none" w:sz="0" w:space="0" w:color="auto"/>
        <w:bottom w:val="none" w:sz="0" w:space="0" w:color="auto"/>
        <w:right w:val="none" w:sz="0" w:space="0" w:color="auto"/>
      </w:divBdr>
    </w:div>
    <w:div w:id="1454985228">
      <w:bodyDiv w:val="1"/>
      <w:marLeft w:val="0"/>
      <w:marRight w:val="0"/>
      <w:marTop w:val="0"/>
      <w:marBottom w:val="0"/>
      <w:divBdr>
        <w:top w:val="none" w:sz="0" w:space="0" w:color="auto"/>
        <w:left w:val="none" w:sz="0" w:space="0" w:color="auto"/>
        <w:bottom w:val="none" w:sz="0" w:space="0" w:color="auto"/>
        <w:right w:val="none" w:sz="0" w:space="0" w:color="auto"/>
      </w:divBdr>
    </w:div>
    <w:div w:id="1455054021">
      <w:bodyDiv w:val="1"/>
      <w:marLeft w:val="0"/>
      <w:marRight w:val="0"/>
      <w:marTop w:val="0"/>
      <w:marBottom w:val="0"/>
      <w:divBdr>
        <w:top w:val="none" w:sz="0" w:space="0" w:color="auto"/>
        <w:left w:val="none" w:sz="0" w:space="0" w:color="auto"/>
        <w:bottom w:val="none" w:sz="0" w:space="0" w:color="auto"/>
        <w:right w:val="none" w:sz="0" w:space="0" w:color="auto"/>
      </w:divBdr>
    </w:div>
    <w:div w:id="1455057212">
      <w:bodyDiv w:val="1"/>
      <w:marLeft w:val="0"/>
      <w:marRight w:val="0"/>
      <w:marTop w:val="0"/>
      <w:marBottom w:val="0"/>
      <w:divBdr>
        <w:top w:val="none" w:sz="0" w:space="0" w:color="auto"/>
        <w:left w:val="none" w:sz="0" w:space="0" w:color="auto"/>
        <w:bottom w:val="none" w:sz="0" w:space="0" w:color="auto"/>
        <w:right w:val="none" w:sz="0" w:space="0" w:color="auto"/>
      </w:divBdr>
    </w:div>
    <w:div w:id="1455128338">
      <w:bodyDiv w:val="1"/>
      <w:marLeft w:val="0"/>
      <w:marRight w:val="0"/>
      <w:marTop w:val="0"/>
      <w:marBottom w:val="0"/>
      <w:divBdr>
        <w:top w:val="none" w:sz="0" w:space="0" w:color="auto"/>
        <w:left w:val="none" w:sz="0" w:space="0" w:color="auto"/>
        <w:bottom w:val="none" w:sz="0" w:space="0" w:color="auto"/>
        <w:right w:val="none" w:sz="0" w:space="0" w:color="auto"/>
      </w:divBdr>
    </w:div>
    <w:div w:id="1455247174">
      <w:bodyDiv w:val="1"/>
      <w:marLeft w:val="0"/>
      <w:marRight w:val="0"/>
      <w:marTop w:val="0"/>
      <w:marBottom w:val="0"/>
      <w:divBdr>
        <w:top w:val="none" w:sz="0" w:space="0" w:color="auto"/>
        <w:left w:val="none" w:sz="0" w:space="0" w:color="auto"/>
        <w:bottom w:val="none" w:sz="0" w:space="0" w:color="auto"/>
        <w:right w:val="none" w:sz="0" w:space="0" w:color="auto"/>
      </w:divBdr>
    </w:div>
    <w:div w:id="1455248749">
      <w:bodyDiv w:val="1"/>
      <w:marLeft w:val="0"/>
      <w:marRight w:val="0"/>
      <w:marTop w:val="0"/>
      <w:marBottom w:val="0"/>
      <w:divBdr>
        <w:top w:val="none" w:sz="0" w:space="0" w:color="auto"/>
        <w:left w:val="none" w:sz="0" w:space="0" w:color="auto"/>
        <w:bottom w:val="none" w:sz="0" w:space="0" w:color="auto"/>
        <w:right w:val="none" w:sz="0" w:space="0" w:color="auto"/>
      </w:divBdr>
    </w:div>
    <w:div w:id="1455251720">
      <w:bodyDiv w:val="1"/>
      <w:marLeft w:val="0"/>
      <w:marRight w:val="0"/>
      <w:marTop w:val="0"/>
      <w:marBottom w:val="0"/>
      <w:divBdr>
        <w:top w:val="none" w:sz="0" w:space="0" w:color="auto"/>
        <w:left w:val="none" w:sz="0" w:space="0" w:color="auto"/>
        <w:bottom w:val="none" w:sz="0" w:space="0" w:color="auto"/>
        <w:right w:val="none" w:sz="0" w:space="0" w:color="auto"/>
      </w:divBdr>
    </w:div>
    <w:div w:id="1455367470">
      <w:bodyDiv w:val="1"/>
      <w:marLeft w:val="0"/>
      <w:marRight w:val="0"/>
      <w:marTop w:val="0"/>
      <w:marBottom w:val="0"/>
      <w:divBdr>
        <w:top w:val="none" w:sz="0" w:space="0" w:color="auto"/>
        <w:left w:val="none" w:sz="0" w:space="0" w:color="auto"/>
        <w:bottom w:val="none" w:sz="0" w:space="0" w:color="auto"/>
        <w:right w:val="none" w:sz="0" w:space="0" w:color="auto"/>
      </w:divBdr>
    </w:div>
    <w:div w:id="1455371519">
      <w:bodyDiv w:val="1"/>
      <w:marLeft w:val="0"/>
      <w:marRight w:val="0"/>
      <w:marTop w:val="0"/>
      <w:marBottom w:val="0"/>
      <w:divBdr>
        <w:top w:val="none" w:sz="0" w:space="0" w:color="auto"/>
        <w:left w:val="none" w:sz="0" w:space="0" w:color="auto"/>
        <w:bottom w:val="none" w:sz="0" w:space="0" w:color="auto"/>
        <w:right w:val="none" w:sz="0" w:space="0" w:color="auto"/>
      </w:divBdr>
    </w:div>
    <w:div w:id="1455438215">
      <w:bodyDiv w:val="1"/>
      <w:marLeft w:val="0"/>
      <w:marRight w:val="0"/>
      <w:marTop w:val="0"/>
      <w:marBottom w:val="0"/>
      <w:divBdr>
        <w:top w:val="none" w:sz="0" w:space="0" w:color="auto"/>
        <w:left w:val="none" w:sz="0" w:space="0" w:color="auto"/>
        <w:bottom w:val="none" w:sz="0" w:space="0" w:color="auto"/>
        <w:right w:val="none" w:sz="0" w:space="0" w:color="auto"/>
      </w:divBdr>
    </w:div>
    <w:div w:id="1455447805">
      <w:bodyDiv w:val="1"/>
      <w:marLeft w:val="0"/>
      <w:marRight w:val="0"/>
      <w:marTop w:val="0"/>
      <w:marBottom w:val="0"/>
      <w:divBdr>
        <w:top w:val="none" w:sz="0" w:space="0" w:color="auto"/>
        <w:left w:val="none" w:sz="0" w:space="0" w:color="auto"/>
        <w:bottom w:val="none" w:sz="0" w:space="0" w:color="auto"/>
        <w:right w:val="none" w:sz="0" w:space="0" w:color="auto"/>
      </w:divBdr>
    </w:div>
    <w:div w:id="1455562613">
      <w:bodyDiv w:val="1"/>
      <w:marLeft w:val="0"/>
      <w:marRight w:val="0"/>
      <w:marTop w:val="0"/>
      <w:marBottom w:val="0"/>
      <w:divBdr>
        <w:top w:val="none" w:sz="0" w:space="0" w:color="auto"/>
        <w:left w:val="none" w:sz="0" w:space="0" w:color="auto"/>
        <w:bottom w:val="none" w:sz="0" w:space="0" w:color="auto"/>
        <w:right w:val="none" w:sz="0" w:space="0" w:color="auto"/>
      </w:divBdr>
    </w:div>
    <w:div w:id="1455563332">
      <w:bodyDiv w:val="1"/>
      <w:marLeft w:val="0"/>
      <w:marRight w:val="0"/>
      <w:marTop w:val="0"/>
      <w:marBottom w:val="0"/>
      <w:divBdr>
        <w:top w:val="none" w:sz="0" w:space="0" w:color="auto"/>
        <w:left w:val="none" w:sz="0" w:space="0" w:color="auto"/>
        <w:bottom w:val="none" w:sz="0" w:space="0" w:color="auto"/>
        <w:right w:val="none" w:sz="0" w:space="0" w:color="auto"/>
      </w:divBdr>
    </w:div>
    <w:div w:id="1455634479">
      <w:bodyDiv w:val="1"/>
      <w:marLeft w:val="0"/>
      <w:marRight w:val="0"/>
      <w:marTop w:val="0"/>
      <w:marBottom w:val="0"/>
      <w:divBdr>
        <w:top w:val="none" w:sz="0" w:space="0" w:color="auto"/>
        <w:left w:val="none" w:sz="0" w:space="0" w:color="auto"/>
        <w:bottom w:val="none" w:sz="0" w:space="0" w:color="auto"/>
        <w:right w:val="none" w:sz="0" w:space="0" w:color="auto"/>
      </w:divBdr>
    </w:div>
    <w:div w:id="1455714422">
      <w:bodyDiv w:val="1"/>
      <w:marLeft w:val="0"/>
      <w:marRight w:val="0"/>
      <w:marTop w:val="0"/>
      <w:marBottom w:val="0"/>
      <w:divBdr>
        <w:top w:val="none" w:sz="0" w:space="0" w:color="auto"/>
        <w:left w:val="none" w:sz="0" w:space="0" w:color="auto"/>
        <w:bottom w:val="none" w:sz="0" w:space="0" w:color="auto"/>
        <w:right w:val="none" w:sz="0" w:space="0" w:color="auto"/>
      </w:divBdr>
    </w:div>
    <w:div w:id="1455754040">
      <w:bodyDiv w:val="1"/>
      <w:marLeft w:val="0"/>
      <w:marRight w:val="0"/>
      <w:marTop w:val="0"/>
      <w:marBottom w:val="0"/>
      <w:divBdr>
        <w:top w:val="none" w:sz="0" w:space="0" w:color="auto"/>
        <w:left w:val="none" w:sz="0" w:space="0" w:color="auto"/>
        <w:bottom w:val="none" w:sz="0" w:space="0" w:color="auto"/>
        <w:right w:val="none" w:sz="0" w:space="0" w:color="auto"/>
      </w:divBdr>
    </w:div>
    <w:div w:id="1455756134">
      <w:bodyDiv w:val="1"/>
      <w:marLeft w:val="0"/>
      <w:marRight w:val="0"/>
      <w:marTop w:val="0"/>
      <w:marBottom w:val="0"/>
      <w:divBdr>
        <w:top w:val="none" w:sz="0" w:space="0" w:color="auto"/>
        <w:left w:val="none" w:sz="0" w:space="0" w:color="auto"/>
        <w:bottom w:val="none" w:sz="0" w:space="0" w:color="auto"/>
        <w:right w:val="none" w:sz="0" w:space="0" w:color="auto"/>
      </w:divBdr>
    </w:div>
    <w:div w:id="1455831303">
      <w:bodyDiv w:val="1"/>
      <w:marLeft w:val="0"/>
      <w:marRight w:val="0"/>
      <w:marTop w:val="0"/>
      <w:marBottom w:val="0"/>
      <w:divBdr>
        <w:top w:val="none" w:sz="0" w:space="0" w:color="auto"/>
        <w:left w:val="none" w:sz="0" w:space="0" w:color="auto"/>
        <w:bottom w:val="none" w:sz="0" w:space="0" w:color="auto"/>
        <w:right w:val="none" w:sz="0" w:space="0" w:color="auto"/>
      </w:divBdr>
    </w:div>
    <w:div w:id="1455980242">
      <w:bodyDiv w:val="1"/>
      <w:marLeft w:val="0"/>
      <w:marRight w:val="0"/>
      <w:marTop w:val="0"/>
      <w:marBottom w:val="0"/>
      <w:divBdr>
        <w:top w:val="none" w:sz="0" w:space="0" w:color="auto"/>
        <w:left w:val="none" w:sz="0" w:space="0" w:color="auto"/>
        <w:bottom w:val="none" w:sz="0" w:space="0" w:color="auto"/>
        <w:right w:val="none" w:sz="0" w:space="0" w:color="auto"/>
      </w:divBdr>
    </w:div>
    <w:div w:id="1456020993">
      <w:bodyDiv w:val="1"/>
      <w:marLeft w:val="0"/>
      <w:marRight w:val="0"/>
      <w:marTop w:val="0"/>
      <w:marBottom w:val="0"/>
      <w:divBdr>
        <w:top w:val="none" w:sz="0" w:space="0" w:color="auto"/>
        <w:left w:val="none" w:sz="0" w:space="0" w:color="auto"/>
        <w:bottom w:val="none" w:sz="0" w:space="0" w:color="auto"/>
        <w:right w:val="none" w:sz="0" w:space="0" w:color="auto"/>
      </w:divBdr>
    </w:div>
    <w:div w:id="1456098566">
      <w:bodyDiv w:val="1"/>
      <w:marLeft w:val="0"/>
      <w:marRight w:val="0"/>
      <w:marTop w:val="0"/>
      <w:marBottom w:val="0"/>
      <w:divBdr>
        <w:top w:val="none" w:sz="0" w:space="0" w:color="auto"/>
        <w:left w:val="none" w:sz="0" w:space="0" w:color="auto"/>
        <w:bottom w:val="none" w:sz="0" w:space="0" w:color="auto"/>
        <w:right w:val="none" w:sz="0" w:space="0" w:color="auto"/>
      </w:divBdr>
    </w:div>
    <w:div w:id="1456098865">
      <w:bodyDiv w:val="1"/>
      <w:marLeft w:val="0"/>
      <w:marRight w:val="0"/>
      <w:marTop w:val="0"/>
      <w:marBottom w:val="0"/>
      <w:divBdr>
        <w:top w:val="none" w:sz="0" w:space="0" w:color="auto"/>
        <w:left w:val="none" w:sz="0" w:space="0" w:color="auto"/>
        <w:bottom w:val="none" w:sz="0" w:space="0" w:color="auto"/>
        <w:right w:val="none" w:sz="0" w:space="0" w:color="auto"/>
      </w:divBdr>
    </w:div>
    <w:div w:id="1456211500">
      <w:bodyDiv w:val="1"/>
      <w:marLeft w:val="0"/>
      <w:marRight w:val="0"/>
      <w:marTop w:val="0"/>
      <w:marBottom w:val="0"/>
      <w:divBdr>
        <w:top w:val="none" w:sz="0" w:space="0" w:color="auto"/>
        <w:left w:val="none" w:sz="0" w:space="0" w:color="auto"/>
        <w:bottom w:val="none" w:sz="0" w:space="0" w:color="auto"/>
        <w:right w:val="none" w:sz="0" w:space="0" w:color="auto"/>
      </w:divBdr>
    </w:div>
    <w:div w:id="1456215404">
      <w:bodyDiv w:val="1"/>
      <w:marLeft w:val="0"/>
      <w:marRight w:val="0"/>
      <w:marTop w:val="0"/>
      <w:marBottom w:val="0"/>
      <w:divBdr>
        <w:top w:val="none" w:sz="0" w:space="0" w:color="auto"/>
        <w:left w:val="none" w:sz="0" w:space="0" w:color="auto"/>
        <w:bottom w:val="none" w:sz="0" w:space="0" w:color="auto"/>
        <w:right w:val="none" w:sz="0" w:space="0" w:color="auto"/>
      </w:divBdr>
    </w:div>
    <w:div w:id="1456290770">
      <w:bodyDiv w:val="1"/>
      <w:marLeft w:val="0"/>
      <w:marRight w:val="0"/>
      <w:marTop w:val="0"/>
      <w:marBottom w:val="0"/>
      <w:divBdr>
        <w:top w:val="none" w:sz="0" w:space="0" w:color="auto"/>
        <w:left w:val="none" w:sz="0" w:space="0" w:color="auto"/>
        <w:bottom w:val="none" w:sz="0" w:space="0" w:color="auto"/>
        <w:right w:val="none" w:sz="0" w:space="0" w:color="auto"/>
      </w:divBdr>
    </w:div>
    <w:div w:id="1456295659">
      <w:bodyDiv w:val="1"/>
      <w:marLeft w:val="0"/>
      <w:marRight w:val="0"/>
      <w:marTop w:val="0"/>
      <w:marBottom w:val="0"/>
      <w:divBdr>
        <w:top w:val="none" w:sz="0" w:space="0" w:color="auto"/>
        <w:left w:val="none" w:sz="0" w:space="0" w:color="auto"/>
        <w:bottom w:val="none" w:sz="0" w:space="0" w:color="auto"/>
        <w:right w:val="none" w:sz="0" w:space="0" w:color="auto"/>
      </w:divBdr>
    </w:div>
    <w:div w:id="1456365119">
      <w:bodyDiv w:val="1"/>
      <w:marLeft w:val="0"/>
      <w:marRight w:val="0"/>
      <w:marTop w:val="0"/>
      <w:marBottom w:val="0"/>
      <w:divBdr>
        <w:top w:val="none" w:sz="0" w:space="0" w:color="auto"/>
        <w:left w:val="none" w:sz="0" w:space="0" w:color="auto"/>
        <w:bottom w:val="none" w:sz="0" w:space="0" w:color="auto"/>
        <w:right w:val="none" w:sz="0" w:space="0" w:color="auto"/>
      </w:divBdr>
    </w:div>
    <w:div w:id="1456632668">
      <w:bodyDiv w:val="1"/>
      <w:marLeft w:val="0"/>
      <w:marRight w:val="0"/>
      <w:marTop w:val="0"/>
      <w:marBottom w:val="0"/>
      <w:divBdr>
        <w:top w:val="none" w:sz="0" w:space="0" w:color="auto"/>
        <w:left w:val="none" w:sz="0" w:space="0" w:color="auto"/>
        <w:bottom w:val="none" w:sz="0" w:space="0" w:color="auto"/>
        <w:right w:val="none" w:sz="0" w:space="0" w:color="auto"/>
      </w:divBdr>
    </w:div>
    <w:div w:id="1456748681">
      <w:bodyDiv w:val="1"/>
      <w:marLeft w:val="0"/>
      <w:marRight w:val="0"/>
      <w:marTop w:val="0"/>
      <w:marBottom w:val="0"/>
      <w:divBdr>
        <w:top w:val="none" w:sz="0" w:space="0" w:color="auto"/>
        <w:left w:val="none" w:sz="0" w:space="0" w:color="auto"/>
        <w:bottom w:val="none" w:sz="0" w:space="0" w:color="auto"/>
        <w:right w:val="none" w:sz="0" w:space="0" w:color="auto"/>
      </w:divBdr>
    </w:div>
    <w:div w:id="1456800793">
      <w:bodyDiv w:val="1"/>
      <w:marLeft w:val="0"/>
      <w:marRight w:val="0"/>
      <w:marTop w:val="0"/>
      <w:marBottom w:val="0"/>
      <w:divBdr>
        <w:top w:val="none" w:sz="0" w:space="0" w:color="auto"/>
        <w:left w:val="none" w:sz="0" w:space="0" w:color="auto"/>
        <w:bottom w:val="none" w:sz="0" w:space="0" w:color="auto"/>
        <w:right w:val="none" w:sz="0" w:space="0" w:color="auto"/>
      </w:divBdr>
    </w:div>
    <w:div w:id="1456828272">
      <w:bodyDiv w:val="1"/>
      <w:marLeft w:val="0"/>
      <w:marRight w:val="0"/>
      <w:marTop w:val="0"/>
      <w:marBottom w:val="0"/>
      <w:divBdr>
        <w:top w:val="none" w:sz="0" w:space="0" w:color="auto"/>
        <w:left w:val="none" w:sz="0" w:space="0" w:color="auto"/>
        <w:bottom w:val="none" w:sz="0" w:space="0" w:color="auto"/>
        <w:right w:val="none" w:sz="0" w:space="0" w:color="auto"/>
      </w:divBdr>
    </w:div>
    <w:div w:id="1456830577">
      <w:bodyDiv w:val="1"/>
      <w:marLeft w:val="0"/>
      <w:marRight w:val="0"/>
      <w:marTop w:val="0"/>
      <w:marBottom w:val="0"/>
      <w:divBdr>
        <w:top w:val="none" w:sz="0" w:space="0" w:color="auto"/>
        <w:left w:val="none" w:sz="0" w:space="0" w:color="auto"/>
        <w:bottom w:val="none" w:sz="0" w:space="0" w:color="auto"/>
        <w:right w:val="none" w:sz="0" w:space="0" w:color="auto"/>
      </w:divBdr>
    </w:div>
    <w:div w:id="1456867483">
      <w:bodyDiv w:val="1"/>
      <w:marLeft w:val="0"/>
      <w:marRight w:val="0"/>
      <w:marTop w:val="0"/>
      <w:marBottom w:val="0"/>
      <w:divBdr>
        <w:top w:val="none" w:sz="0" w:space="0" w:color="auto"/>
        <w:left w:val="none" w:sz="0" w:space="0" w:color="auto"/>
        <w:bottom w:val="none" w:sz="0" w:space="0" w:color="auto"/>
        <w:right w:val="none" w:sz="0" w:space="0" w:color="auto"/>
      </w:divBdr>
    </w:div>
    <w:div w:id="1456873000">
      <w:bodyDiv w:val="1"/>
      <w:marLeft w:val="0"/>
      <w:marRight w:val="0"/>
      <w:marTop w:val="0"/>
      <w:marBottom w:val="0"/>
      <w:divBdr>
        <w:top w:val="none" w:sz="0" w:space="0" w:color="auto"/>
        <w:left w:val="none" w:sz="0" w:space="0" w:color="auto"/>
        <w:bottom w:val="none" w:sz="0" w:space="0" w:color="auto"/>
        <w:right w:val="none" w:sz="0" w:space="0" w:color="auto"/>
      </w:divBdr>
    </w:div>
    <w:div w:id="1457020632">
      <w:bodyDiv w:val="1"/>
      <w:marLeft w:val="0"/>
      <w:marRight w:val="0"/>
      <w:marTop w:val="0"/>
      <w:marBottom w:val="0"/>
      <w:divBdr>
        <w:top w:val="none" w:sz="0" w:space="0" w:color="auto"/>
        <w:left w:val="none" w:sz="0" w:space="0" w:color="auto"/>
        <w:bottom w:val="none" w:sz="0" w:space="0" w:color="auto"/>
        <w:right w:val="none" w:sz="0" w:space="0" w:color="auto"/>
      </w:divBdr>
    </w:div>
    <w:div w:id="1457137814">
      <w:bodyDiv w:val="1"/>
      <w:marLeft w:val="0"/>
      <w:marRight w:val="0"/>
      <w:marTop w:val="0"/>
      <w:marBottom w:val="0"/>
      <w:divBdr>
        <w:top w:val="none" w:sz="0" w:space="0" w:color="auto"/>
        <w:left w:val="none" w:sz="0" w:space="0" w:color="auto"/>
        <w:bottom w:val="none" w:sz="0" w:space="0" w:color="auto"/>
        <w:right w:val="none" w:sz="0" w:space="0" w:color="auto"/>
      </w:divBdr>
    </w:div>
    <w:div w:id="1457142617">
      <w:bodyDiv w:val="1"/>
      <w:marLeft w:val="0"/>
      <w:marRight w:val="0"/>
      <w:marTop w:val="0"/>
      <w:marBottom w:val="0"/>
      <w:divBdr>
        <w:top w:val="none" w:sz="0" w:space="0" w:color="auto"/>
        <w:left w:val="none" w:sz="0" w:space="0" w:color="auto"/>
        <w:bottom w:val="none" w:sz="0" w:space="0" w:color="auto"/>
        <w:right w:val="none" w:sz="0" w:space="0" w:color="auto"/>
      </w:divBdr>
    </w:div>
    <w:div w:id="1457409286">
      <w:bodyDiv w:val="1"/>
      <w:marLeft w:val="0"/>
      <w:marRight w:val="0"/>
      <w:marTop w:val="0"/>
      <w:marBottom w:val="0"/>
      <w:divBdr>
        <w:top w:val="none" w:sz="0" w:space="0" w:color="auto"/>
        <w:left w:val="none" w:sz="0" w:space="0" w:color="auto"/>
        <w:bottom w:val="none" w:sz="0" w:space="0" w:color="auto"/>
        <w:right w:val="none" w:sz="0" w:space="0" w:color="auto"/>
      </w:divBdr>
    </w:div>
    <w:div w:id="1457455641">
      <w:bodyDiv w:val="1"/>
      <w:marLeft w:val="0"/>
      <w:marRight w:val="0"/>
      <w:marTop w:val="0"/>
      <w:marBottom w:val="0"/>
      <w:divBdr>
        <w:top w:val="none" w:sz="0" w:space="0" w:color="auto"/>
        <w:left w:val="none" w:sz="0" w:space="0" w:color="auto"/>
        <w:bottom w:val="none" w:sz="0" w:space="0" w:color="auto"/>
        <w:right w:val="none" w:sz="0" w:space="0" w:color="auto"/>
      </w:divBdr>
    </w:div>
    <w:div w:id="1457481076">
      <w:bodyDiv w:val="1"/>
      <w:marLeft w:val="0"/>
      <w:marRight w:val="0"/>
      <w:marTop w:val="0"/>
      <w:marBottom w:val="0"/>
      <w:divBdr>
        <w:top w:val="none" w:sz="0" w:space="0" w:color="auto"/>
        <w:left w:val="none" w:sz="0" w:space="0" w:color="auto"/>
        <w:bottom w:val="none" w:sz="0" w:space="0" w:color="auto"/>
        <w:right w:val="none" w:sz="0" w:space="0" w:color="auto"/>
      </w:divBdr>
    </w:div>
    <w:div w:id="1457676472">
      <w:bodyDiv w:val="1"/>
      <w:marLeft w:val="0"/>
      <w:marRight w:val="0"/>
      <w:marTop w:val="0"/>
      <w:marBottom w:val="0"/>
      <w:divBdr>
        <w:top w:val="none" w:sz="0" w:space="0" w:color="auto"/>
        <w:left w:val="none" w:sz="0" w:space="0" w:color="auto"/>
        <w:bottom w:val="none" w:sz="0" w:space="0" w:color="auto"/>
        <w:right w:val="none" w:sz="0" w:space="0" w:color="auto"/>
      </w:divBdr>
    </w:div>
    <w:div w:id="1457678020">
      <w:bodyDiv w:val="1"/>
      <w:marLeft w:val="0"/>
      <w:marRight w:val="0"/>
      <w:marTop w:val="0"/>
      <w:marBottom w:val="0"/>
      <w:divBdr>
        <w:top w:val="none" w:sz="0" w:space="0" w:color="auto"/>
        <w:left w:val="none" w:sz="0" w:space="0" w:color="auto"/>
        <w:bottom w:val="none" w:sz="0" w:space="0" w:color="auto"/>
        <w:right w:val="none" w:sz="0" w:space="0" w:color="auto"/>
      </w:divBdr>
    </w:div>
    <w:div w:id="1457681897">
      <w:bodyDiv w:val="1"/>
      <w:marLeft w:val="0"/>
      <w:marRight w:val="0"/>
      <w:marTop w:val="0"/>
      <w:marBottom w:val="0"/>
      <w:divBdr>
        <w:top w:val="none" w:sz="0" w:space="0" w:color="auto"/>
        <w:left w:val="none" w:sz="0" w:space="0" w:color="auto"/>
        <w:bottom w:val="none" w:sz="0" w:space="0" w:color="auto"/>
        <w:right w:val="none" w:sz="0" w:space="0" w:color="auto"/>
      </w:divBdr>
    </w:div>
    <w:div w:id="1457791451">
      <w:bodyDiv w:val="1"/>
      <w:marLeft w:val="0"/>
      <w:marRight w:val="0"/>
      <w:marTop w:val="0"/>
      <w:marBottom w:val="0"/>
      <w:divBdr>
        <w:top w:val="none" w:sz="0" w:space="0" w:color="auto"/>
        <w:left w:val="none" w:sz="0" w:space="0" w:color="auto"/>
        <w:bottom w:val="none" w:sz="0" w:space="0" w:color="auto"/>
        <w:right w:val="none" w:sz="0" w:space="0" w:color="auto"/>
      </w:divBdr>
    </w:div>
    <w:div w:id="1458065292">
      <w:bodyDiv w:val="1"/>
      <w:marLeft w:val="0"/>
      <w:marRight w:val="0"/>
      <w:marTop w:val="0"/>
      <w:marBottom w:val="0"/>
      <w:divBdr>
        <w:top w:val="none" w:sz="0" w:space="0" w:color="auto"/>
        <w:left w:val="none" w:sz="0" w:space="0" w:color="auto"/>
        <w:bottom w:val="none" w:sz="0" w:space="0" w:color="auto"/>
        <w:right w:val="none" w:sz="0" w:space="0" w:color="auto"/>
      </w:divBdr>
    </w:div>
    <w:div w:id="1458068024">
      <w:bodyDiv w:val="1"/>
      <w:marLeft w:val="0"/>
      <w:marRight w:val="0"/>
      <w:marTop w:val="0"/>
      <w:marBottom w:val="0"/>
      <w:divBdr>
        <w:top w:val="none" w:sz="0" w:space="0" w:color="auto"/>
        <w:left w:val="none" w:sz="0" w:space="0" w:color="auto"/>
        <w:bottom w:val="none" w:sz="0" w:space="0" w:color="auto"/>
        <w:right w:val="none" w:sz="0" w:space="0" w:color="auto"/>
      </w:divBdr>
    </w:div>
    <w:div w:id="1458140730">
      <w:bodyDiv w:val="1"/>
      <w:marLeft w:val="0"/>
      <w:marRight w:val="0"/>
      <w:marTop w:val="0"/>
      <w:marBottom w:val="0"/>
      <w:divBdr>
        <w:top w:val="none" w:sz="0" w:space="0" w:color="auto"/>
        <w:left w:val="none" w:sz="0" w:space="0" w:color="auto"/>
        <w:bottom w:val="none" w:sz="0" w:space="0" w:color="auto"/>
        <w:right w:val="none" w:sz="0" w:space="0" w:color="auto"/>
      </w:divBdr>
    </w:div>
    <w:div w:id="1458180993">
      <w:bodyDiv w:val="1"/>
      <w:marLeft w:val="0"/>
      <w:marRight w:val="0"/>
      <w:marTop w:val="0"/>
      <w:marBottom w:val="0"/>
      <w:divBdr>
        <w:top w:val="none" w:sz="0" w:space="0" w:color="auto"/>
        <w:left w:val="none" w:sz="0" w:space="0" w:color="auto"/>
        <w:bottom w:val="none" w:sz="0" w:space="0" w:color="auto"/>
        <w:right w:val="none" w:sz="0" w:space="0" w:color="auto"/>
      </w:divBdr>
    </w:div>
    <w:div w:id="1458261939">
      <w:bodyDiv w:val="1"/>
      <w:marLeft w:val="0"/>
      <w:marRight w:val="0"/>
      <w:marTop w:val="0"/>
      <w:marBottom w:val="0"/>
      <w:divBdr>
        <w:top w:val="none" w:sz="0" w:space="0" w:color="auto"/>
        <w:left w:val="none" w:sz="0" w:space="0" w:color="auto"/>
        <w:bottom w:val="none" w:sz="0" w:space="0" w:color="auto"/>
        <w:right w:val="none" w:sz="0" w:space="0" w:color="auto"/>
      </w:divBdr>
    </w:div>
    <w:div w:id="1458453693">
      <w:bodyDiv w:val="1"/>
      <w:marLeft w:val="0"/>
      <w:marRight w:val="0"/>
      <w:marTop w:val="0"/>
      <w:marBottom w:val="0"/>
      <w:divBdr>
        <w:top w:val="none" w:sz="0" w:space="0" w:color="auto"/>
        <w:left w:val="none" w:sz="0" w:space="0" w:color="auto"/>
        <w:bottom w:val="none" w:sz="0" w:space="0" w:color="auto"/>
        <w:right w:val="none" w:sz="0" w:space="0" w:color="auto"/>
      </w:divBdr>
    </w:div>
    <w:div w:id="1458797224">
      <w:bodyDiv w:val="1"/>
      <w:marLeft w:val="0"/>
      <w:marRight w:val="0"/>
      <w:marTop w:val="0"/>
      <w:marBottom w:val="0"/>
      <w:divBdr>
        <w:top w:val="none" w:sz="0" w:space="0" w:color="auto"/>
        <w:left w:val="none" w:sz="0" w:space="0" w:color="auto"/>
        <w:bottom w:val="none" w:sz="0" w:space="0" w:color="auto"/>
        <w:right w:val="none" w:sz="0" w:space="0" w:color="auto"/>
      </w:divBdr>
    </w:div>
    <w:div w:id="1458836247">
      <w:bodyDiv w:val="1"/>
      <w:marLeft w:val="0"/>
      <w:marRight w:val="0"/>
      <w:marTop w:val="0"/>
      <w:marBottom w:val="0"/>
      <w:divBdr>
        <w:top w:val="none" w:sz="0" w:space="0" w:color="auto"/>
        <w:left w:val="none" w:sz="0" w:space="0" w:color="auto"/>
        <w:bottom w:val="none" w:sz="0" w:space="0" w:color="auto"/>
        <w:right w:val="none" w:sz="0" w:space="0" w:color="auto"/>
      </w:divBdr>
    </w:div>
    <w:div w:id="1458986978">
      <w:bodyDiv w:val="1"/>
      <w:marLeft w:val="0"/>
      <w:marRight w:val="0"/>
      <w:marTop w:val="0"/>
      <w:marBottom w:val="0"/>
      <w:divBdr>
        <w:top w:val="none" w:sz="0" w:space="0" w:color="auto"/>
        <w:left w:val="none" w:sz="0" w:space="0" w:color="auto"/>
        <w:bottom w:val="none" w:sz="0" w:space="0" w:color="auto"/>
        <w:right w:val="none" w:sz="0" w:space="0" w:color="auto"/>
      </w:divBdr>
    </w:div>
    <w:div w:id="1459035301">
      <w:bodyDiv w:val="1"/>
      <w:marLeft w:val="0"/>
      <w:marRight w:val="0"/>
      <w:marTop w:val="0"/>
      <w:marBottom w:val="0"/>
      <w:divBdr>
        <w:top w:val="none" w:sz="0" w:space="0" w:color="auto"/>
        <w:left w:val="none" w:sz="0" w:space="0" w:color="auto"/>
        <w:bottom w:val="none" w:sz="0" w:space="0" w:color="auto"/>
        <w:right w:val="none" w:sz="0" w:space="0" w:color="auto"/>
      </w:divBdr>
    </w:div>
    <w:div w:id="1459300159">
      <w:bodyDiv w:val="1"/>
      <w:marLeft w:val="0"/>
      <w:marRight w:val="0"/>
      <w:marTop w:val="0"/>
      <w:marBottom w:val="0"/>
      <w:divBdr>
        <w:top w:val="none" w:sz="0" w:space="0" w:color="auto"/>
        <w:left w:val="none" w:sz="0" w:space="0" w:color="auto"/>
        <w:bottom w:val="none" w:sz="0" w:space="0" w:color="auto"/>
        <w:right w:val="none" w:sz="0" w:space="0" w:color="auto"/>
      </w:divBdr>
    </w:div>
    <w:div w:id="1459489583">
      <w:bodyDiv w:val="1"/>
      <w:marLeft w:val="0"/>
      <w:marRight w:val="0"/>
      <w:marTop w:val="0"/>
      <w:marBottom w:val="0"/>
      <w:divBdr>
        <w:top w:val="none" w:sz="0" w:space="0" w:color="auto"/>
        <w:left w:val="none" w:sz="0" w:space="0" w:color="auto"/>
        <w:bottom w:val="none" w:sz="0" w:space="0" w:color="auto"/>
        <w:right w:val="none" w:sz="0" w:space="0" w:color="auto"/>
      </w:divBdr>
    </w:div>
    <w:div w:id="1459496995">
      <w:bodyDiv w:val="1"/>
      <w:marLeft w:val="0"/>
      <w:marRight w:val="0"/>
      <w:marTop w:val="0"/>
      <w:marBottom w:val="0"/>
      <w:divBdr>
        <w:top w:val="none" w:sz="0" w:space="0" w:color="auto"/>
        <w:left w:val="none" w:sz="0" w:space="0" w:color="auto"/>
        <w:bottom w:val="none" w:sz="0" w:space="0" w:color="auto"/>
        <w:right w:val="none" w:sz="0" w:space="0" w:color="auto"/>
      </w:divBdr>
    </w:div>
    <w:div w:id="1459567083">
      <w:bodyDiv w:val="1"/>
      <w:marLeft w:val="0"/>
      <w:marRight w:val="0"/>
      <w:marTop w:val="0"/>
      <w:marBottom w:val="0"/>
      <w:divBdr>
        <w:top w:val="none" w:sz="0" w:space="0" w:color="auto"/>
        <w:left w:val="none" w:sz="0" w:space="0" w:color="auto"/>
        <w:bottom w:val="none" w:sz="0" w:space="0" w:color="auto"/>
        <w:right w:val="none" w:sz="0" w:space="0" w:color="auto"/>
      </w:divBdr>
    </w:div>
    <w:div w:id="1459647857">
      <w:bodyDiv w:val="1"/>
      <w:marLeft w:val="0"/>
      <w:marRight w:val="0"/>
      <w:marTop w:val="0"/>
      <w:marBottom w:val="0"/>
      <w:divBdr>
        <w:top w:val="none" w:sz="0" w:space="0" w:color="auto"/>
        <w:left w:val="none" w:sz="0" w:space="0" w:color="auto"/>
        <w:bottom w:val="none" w:sz="0" w:space="0" w:color="auto"/>
        <w:right w:val="none" w:sz="0" w:space="0" w:color="auto"/>
      </w:divBdr>
    </w:div>
    <w:div w:id="1459833496">
      <w:bodyDiv w:val="1"/>
      <w:marLeft w:val="0"/>
      <w:marRight w:val="0"/>
      <w:marTop w:val="0"/>
      <w:marBottom w:val="0"/>
      <w:divBdr>
        <w:top w:val="none" w:sz="0" w:space="0" w:color="auto"/>
        <w:left w:val="none" w:sz="0" w:space="0" w:color="auto"/>
        <w:bottom w:val="none" w:sz="0" w:space="0" w:color="auto"/>
        <w:right w:val="none" w:sz="0" w:space="0" w:color="auto"/>
      </w:divBdr>
    </w:div>
    <w:div w:id="1459840246">
      <w:bodyDiv w:val="1"/>
      <w:marLeft w:val="0"/>
      <w:marRight w:val="0"/>
      <w:marTop w:val="0"/>
      <w:marBottom w:val="0"/>
      <w:divBdr>
        <w:top w:val="none" w:sz="0" w:space="0" w:color="auto"/>
        <w:left w:val="none" w:sz="0" w:space="0" w:color="auto"/>
        <w:bottom w:val="none" w:sz="0" w:space="0" w:color="auto"/>
        <w:right w:val="none" w:sz="0" w:space="0" w:color="auto"/>
      </w:divBdr>
    </w:div>
    <w:div w:id="1459911201">
      <w:bodyDiv w:val="1"/>
      <w:marLeft w:val="0"/>
      <w:marRight w:val="0"/>
      <w:marTop w:val="0"/>
      <w:marBottom w:val="0"/>
      <w:divBdr>
        <w:top w:val="none" w:sz="0" w:space="0" w:color="auto"/>
        <w:left w:val="none" w:sz="0" w:space="0" w:color="auto"/>
        <w:bottom w:val="none" w:sz="0" w:space="0" w:color="auto"/>
        <w:right w:val="none" w:sz="0" w:space="0" w:color="auto"/>
      </w:divBdr>
    </w:div>
    <w:div w:id="1459950035">
      <w:bodyDiv w:val="1"/>
      <w:marLeft w:val="0"/>
      <w:marRight w:val="0"/>
      <w:marTop w:val="0"/>
      <w:marBottom w:val="0"/>
      <w:divBdr>
        <w:top w:val="none" w:sz="0" w:space="0" w:color="auto"/>
        <w:left w:val="none" w:sz="0" w:space="0" w:color="auto"/>
        <w:bottom w:val="none" w:sz="0" w:space="0" w:color="auto"/>
        <w:right w:val="none" w:sz="0" w:space="0" w:color="auto"/>
      </w:divBdr>
    </w:div>
    <w:div w:id="1459952670">
      <w:bodyDiv w:val="1"/>
      <w:marLeft w:val="0"/>
      <w:marRight w:val="0"/>
      <w:marTop w:val="0"/>
      <w:marBottom w:val="0"/>
      <w:divBdr>
        <w:top w:val="none" w:sz="0" w:space="0" w:color="auto"/>
        <w:left w:val="none" w:sz="0" w:space="0" w:color="auto"/>
        <w:bottom w:val="none" w:sz="0" w:space="0" w:color="auto"/>
        <w:right w:val="none" w:sz="0" w:space="0" w:color="auto"/>
      </w:divBdr>
    </w:div>
    <w:div w:id="1459958214">
      <w:bodyDiv w:val="1"/>
      <w:marLeft w:val="0"/>
      <w:marRight w:val="0"/>
      <w:marTop w:val="0"/>
      <w:marBottom w:val="0"/>
      <w:divBdr>
        <w:top w:val="none" w:sz="0" w:space="0" w:color="auto"/>
        <w:left w:val="none" w:sz="0" w:space="0" w:color="auto"/>
        <w:bottom w:val="none" w:sz="0" w:space="0" w:color="auto"/>
        <w:right w:val="none" w:sz="0" w:space="0" w:color="auto"/>
      </w:divBdr>
    </w:div>
    <w:div w:id="1460100554">
      <w:bodyDiv w:val="1"/>
      <w:marLeft w:val="0"/>
      <w:marRight w:val="0"/>
      <w:marTop w:val="0"/>
      <w:marBottom w:val="0"/>
      <w:divBdr>
        <w:top w:val="none" w:sz="0" w:space="0" w:color="auto"/>
        <w:left w:val="none" w:sz="0" w:space="0" w:color="auto"/>
        <w:bottom w:val="none" w:sz="0" w:space="0" w:color="auto"/>
        <w:right w:val="none" w:sz="0" w:space="0" w:color="auto"/>
      </w:divBdr>
    </w:div>
    <w:div w:id="1460104513">
      <w:bodyDiv w:val="1"/>
      <w:marLeft w:val="0"/>
      <w:marRight w:val="0"/>
      <w:marTop w:val="0"/>
      <w:marBottom w:val="0"/>
      <w:divBdr>
        <w:top w:val="none" w:sz="0" w:space="0" w:color="auto"/>
        <w:left w:val="none" w:sz="0" w:space="0" w:color="auto"/>
        <w:bottom w:val="none" w:sz="0" w:space="0" w:color="auto"/>
        <w:right w:val="none" w:sz="0" w:space="0" w:color="auto"/>
      </w:divBdr>
    </w:div>
    <w:div w:id="1460294091">
      <w:bodyDiv w:val="1"/>
      <w:marLeft w:val="0"/>
      <w:marRight w:val="0"/>
      <w:marTop w:val="0"/>
      <w:marBottom w:val="0"/>
      <w:divBdr>
        <w:top w:val="none" w:sz="0" w:space="0" w:color="auto"/>
        <w:left w:val="none" w:sz="0" w:space="0" w:color="auto"/>
        <w:bottom w:val="none" w:sz="0" w:space="0" w:color="auto"/>
        <w:right w:val="none" w:sz="0" w:space="0" w:color="auto"/>
      </w:divBdr>
    </w:div>
    <w:div w:id="1460296559">
      <w:bodyDiv w:val="1"/>
      <w:marLeft w:val="0"/>
      <w:marRight w:val="0"/>
      <w:marTop w:val="0"/>
      <w:marBottom w:val="0"/>
      <w:divBdr>
        <w:top w:val="none" w:sz="0" w:space="0" w:color="auto"/>
        <w:left w:val="none" w:sz="0" w:space="0" w:color="auto"/>
        <w:bottom w:val="none" w:sz="0" w:space="0" w:color="auto"/>
        <w:right w:val="none" w:sz="0" w:space="0" w:color="auto"/>
      </w:divBdr>
    </w:div>
    <w:div w:id="1460301474">
      <w:bodyDiv w:val="1"/>
      <w:marLeft w:val="0"/>
      <w:marRight w:val="0"/>
      <w:marTop w:val="0"/>
      <w:marBottom w:val="0"/>
      <w:divBdr>
        <w:top w:val="none" w:sz="0" w:space="0" w:color="auto"/>
        <w:left w:val="none" w:sz="0" w:space="0" w:color="auto"/>
        <w:bottom w:val="none" w:sz="0" w:space="0" w:color="auto"/>
        <w:right w:val="none" w:sz="0" w:space="0" w:color="auto"/>
      </w:divBdr>
    </w:div>
    <w:div w:id="1460344859">
      <w:bodyDiv w:val="1"/>
      <w:marLeft w:val="0"/>
      <w:marRight w:val="0"/>
      <w:marTop w:val="0"/>
      <w:marBottom w:val="0"/>
      <w:divBdr>
        <w:top w:val="none" w:sz="0" w:space="0" w:color="auto"/>
        <w:left w:val="none" w:sz="0" w:space="0" w:color="auto"/>
        <w:bottom w:val="none" w:sz="0" w:space="0" w:color="auto"/>
        <w:right w:val="none" w:sz="0" w:space="0" w:color="auto"/>
      </w:divBdr>
    </w:div>
    <w:div w:id="1460488162">
      <w:bodyDiv w:val="1"/>
      <w:marLeft w:val="0"/>
      <w:marRight w:val="0"/>
      <w:marTop w:val="0"/>
      <w:marBottom w:val="0"/>
      <w:divBdr>
        <w:top w:val="none" w:sz="0" w:space="0" w:color="auto"/>
        <w:left w:val="none" w:sz="0" w:space="0" w:color="auto"/>
        <w:bottom w:val="none" w:sz="0" w:space="0" w:color="auto"/>
        <w:right w:val="none" w:sz="0" w:space="0" w:color="auto"/>
      </w:divBdr>
    </w:div>
    <w:div w:id="1460567080">
      <w:bodyDiv w:val="1"/>
      <w:marLeft w:val="0"/>
      <w:marRight w:val="0"/>
      <w:marTop w:val="0"/>
      <w:marBottom w:val="0"/>
      <w:divBdr>
        <w:top w:val="none" w:sz="0" w:space="0" w:color="auto"/>
        <w:left w:val="none" w:sz="0" w:space="0" w:color="auto"/>
        <w:bottom w:val="none" w:sz="0" w:space="0" w:color="auto"/>
        <w:right w:val="none" w:sz="0" w:space="0" w:color="auto"/>
      </w:divBdr>
    </w:div>
    <w:div w:id="1460762095">
      <w:bodyDiv w:val="1"/>
      <w:marLeft w:val="0"/>
      <w:marRight w:val="0"/>
      <w:marTop w:val="0"/>
      <w:marBottom w:val="0"/>
      <w:divBdr>
        <w:top w:val="none" w:sz="0" w:space="0" w:color="auto"/>
        <w:left w:val="none" w:sz="0" w:space="0" w:color="auto"/>
        <w:bottom w:val="none" w:sz="0" w:space="0" w:color="auto"/>
        <w:right w:val="none" w:sz="0" w:space="0" w:color="auto"/>
      </w:divBdr>
    </w:div>
    <w:div w:id="1460801743">
      <w:bodyDiv w:val="1"/>
      <w:marLeft w:val="0"/>
      <w:marRight w:val="0"/>
      <w:marTop w:val="0"/>
      <w:marBottom w:val="0"/>
      <w:divBdr>
        <w:top w:val="none" w:sz="0" w:space="0" w:color="auto"/>
        <w:left w:val="none" w:sz="0" w:space="0" w:color="auto"/>
        <w:bottom w:val="none" w:sz="0" w:space="0" w:color="auto"/>
        <w:right w:val="none" w:sz="0" w:space="0" w:color="auto"/>
      </w:divBdr>
    </w:div>
    <w:div w:id="1460875632">
      <w:bodyDiv w:val="1"/>
      <w:marLeft w:val="0"/>
      <w:marRight w:val="0"/>
      <w:marTop w:val="0"/>
      <w:marBottom w:val="0"/>
      <w:divBdr>
        <w:top w:val="none" w:sz="0" w:space="0" w:color="auto"/>
        <w:left w:val="none" w:sz="0" w:space="0" w:color="auto"/>
        <w:bottom w:val="none" w:sz="0" w:space="0" w:color="auto"/>
        <w:right w:val="none" w:sz="0" w:space="0" w:color="auto"/>
      </w:divBdr>
    </w:div>
    <w:div w:id="1460876289">
      <w:bodyDiv w:val="1"/>
      <w:marLeft w:val="0"/>
      <w:marRight w:val="0"/>
      <w:marTop w:val="0"/>
      <w:marBottom w:val="0"/>
      <w:divBdr>
        <w:top w:val="none" w:sz="0" w:space="0" w:color="auto"/>
        <w:left w:val="none" w:sz="0" w:space="0" w:color="auto"/>
        <w:bottom w:val="none" w:sz="0" w:space="0" w:color="auto"/>
        <w:right w:val="none" w:sz="0" w:space="0" w:color="auto"/>
      </w:divBdr>
    </w:div>
    <w:div w:id="1460948845">
      <w:bodyDiv w:val="1"/>
      <w:marLeft w:val="0"/>
      <w:marRight w:val="0"/>
      <w:marTop w:val="0"/>
      <w:marBottom w:val="0"/>
      <w:divBdr>
        <w:top w:val="none" w:sz="0" w:space="0" w:color="auto"/>
        <w:left w:val="none" w:sz="0" w:space="0" w:color="auto"/>
        <w:bottom w:val="none" w:sz="0" w:space="0" w:color="auto"/>
        <w:right w:val="none" w:sz="0" w:space="0" w:color="auto"/>
      </w:divBdr>
    </w:div>
    <w:div w:id="1460953660">
      <w:bodyDiv w:val="1"/>
      <w:marLeft w:val="0"/>
      <w:marRight w:val="0"/>
      <w:marTop w:val="0"/>
      <w:marBottom w:val="0"/>
      <w:divBdr>
        <w:top w:val="none" w:sz="0" w:space="0" w:color="auto"/>
        <w:left w:val="none" w:sz="0" w:space="0" w:color="auto"/>
        <w:bottom w:val="none" w:sz="0" w:space="0" w:color="auto"/>
        <w:right w:val="none" w:sz="0" w:space="0" w:color="auto"/>
      </w:divBdr>
    </w:div>
    <w:div w:id="1461069788">
      <w:bodyDiv w:val="1"/>
      <w:marLeft w:val="0"/>
      <w:marRight w:val="0"/>
      <w:marTop w:val="0"/>
      <w:marBottom w:val="0"/>
      <w:divBdr>
        <w:top w:val="none" w:sz="0" w:space="0" w:color="auto"/>
        <w:left w:val="none" w:sz="0" w:space="0" w:color="auto"/>
        <w:bottom w:val="none" w:sz="0" w:space="0" w:color="auto"/>
        <w:right w:val="none" w:sz="0" w:space="0" w:color="auto"/>
      </w:divBdr>
    </w:div>
    <w:div w:id="1461190737">
      <w:bodyDiv w:val="1"/>
      <w:marLeft w:val="0"/>
      <w:marRight w:val="0"/>
      <w:marTop w:val="0"/>
      <w:marBottom w:val="0"/>
      <w:divBdr>
        <w:top w:val="none" w:sz="0" w:space="0" w:color="auto"/>
        <w:left w:val="none" w:sz="0" w:space="0" w:color="auto"/>
        <w:bottom w:val="none" w:sz="0" w:space="0" w:color="auto"/>
        <w:right w:val="none" w:sz="0" w:space="0" w:color="auto"/>
      </w:divBdr>
    </w:div>
    <w:div w:id="1461343662">
      <w:bodyDiv w:val="1"/>
      <w:marLeft w:val="0"/>
      <w:marRight w:val="0"/>
      <w:marTop w:val="0"/>
      <w:marBottom w:val="0"/>
      <w:divBdr>
        <w:top w:val="none" w:sz="0" w:space="0" w:color="auto"/>
        <w:left w:val="none" w:sz="0" w:space="0" w:color="auto"/>
        <w:bottom w:val="none" w:sz="0" w:space="0" w:color="auto"/>
        <w:right w:val="none" w:sz="0" w:space="0" w:color="auto"/>
      </w:divBdr>
    </w:div>
    <w:div w:id="1461417901">
      <w:bodyDiv w:val="1"/>
      <w:marLeft w:val="0"/>
      <w:marRight w:val="0"/>
      <w:marTop w:val="0"/>
      <w:marBottom w:val="0"/>
      <w:divBdr>
        <w:top w:val="none" w:sz="0" w:space="0" w:color="auto"/>
        <w:left w:val="none" w:sz="0" w:space="0" w:color="auto"/>
        <w:bottom w:val="none" w:sz="0" w:space="0" w:color="auto"/>
        <w:right w:val="none" w:sz="0" w:space="0" w:color="auto"/>
      </w:divBdr>
    </w:div>
    <w:div w:id="1461453439">
      <w:bodyDiv w:val="1"/>
      <w:marLeft w:val="0"/>
      <w:marRight w:val="0"/>
      <w:marTop w:val="0"/>
      <w:marBottom w:val="0"/>
      <w:divBdr>
        <w:top w:val="none" w:sz="0" w:space="0" w:color="auto"/>
        <w:left w:val="none" w:sz="0" w:space="0" w:color="auto"/>
        <w:bottom w:val="none" w:sz="0" w:space="0" w:color="auto"/>
        <w:right w:val="none" w:sz="0" w:space="0" w:color="auto"/>
      </w:divBdr>
    </w:div>
    <w:div w:id="1461535234">
      <w:bodyDiv w:val="1"/>
      <w:marLeft w:val="0"/>
      <w:marRight w:val="0"/>
      <w:marTop w:val="0"/>
      <w:marBottom w:val="0"/>
      <w:divBdr>
        <w:top w:val="none" w:sz="0" w:space="0" w:color="auto"/>
        <w:left w:val="none" w:sz="0" w:space="0" w:color="auto"/>
        <w:bottom w:val="none" w:sz="0" w:space="0" w:color="auto"/>
        <w:right w:val="none" w:sz="0" w:space="0" w:color="auto"/>
      </w:divBdr>
    </w:div>
    <w:div w:id="1461727974">
      <w:bodyDiv w:val="1"/>
      <w:marLeft w:val="0"/>
      <w:marRight w:val="0"/>
      <w:marTop w:val="0"/>
      <w:marBottom w:val="0"/>
      <w:divBdr>
        <w:top w:val="none" w:sz="0" w:space="0" w:color="auto"/>
        <w:left w:val="none" w:sz="0" w:space="0" w:color="auto"/>
        <w:bottom w:val="none" w:sz="0" w:space="0" w:color="auto"/>
        <w:right w:val="none" w:sz="0" w:space="0" w:color="auto"/>
      </w:divBdr>
    </w:div>
    <w:div w:id="1461798236">
      <w:bodyDiv w:val="1"/>
      <w:marLeft w:val="0"/>
      <w:marRight w:val="0"/>
      <w:marTop w:val="0"/>
      <w:marBottom w:val="0"/>
      <w:divBdr>
        <w:top w:val="none" w:sz="0" w:space="0" w:color="auto"/>
        <w:left w:val="none" w:sz="0" w:space="0" w:color="auto"/>
        <w:bottom w:val="none" w:sz="0" w:space="0" w:color="auto"/>
        <w:right w:val="none" w:sz="0" w:space="0" w:color="auto"/>
      </w:divBdr>
    </w:div>
    <w:div w:id="1461799959">
      <w:bodyDiv w:val="1"/>
      <w:marLeft w:val="0"/>
      <w:marRight w:val="0"/>
      <w:marTop w:val="0"/>
      <w:marBottom w:val="0"/>
      <w:divBdr>
        <w:top w:val="none" w:sz="0" w:space="0" w:color="auto"/>
        <w:left w:val="none" w:sz="0" w:space="0" w:color="auto"/>
        <w:bottom w:val="none" w:sz="0" w:space="0" w:color="auto"/>
        <w:right w:val="none" w:sz="0" w:space="0" w:color="auto"/>
      </w:divBdr>
    </w:div>
    <w:div w:id="1461872850">
      <w:bodyDiv w:val="1"/>
      <w:marLeft w:val="0"/>
      <w:marRight w:val="0"/>
      <w:marTop w:val="0"/>
      <w:marBottom w:val="0"/>
      <w:divBdr>
        <w:top w:val="none" w:sz="0" w:space="0" w:color="auto"/>
        <w:left w:val="none" w:sz="0" w:space="0" w:color="auto"/>
        <w:bottom w:val="none" w:sz="0" w:space="0" w:color="auto"/>
        <w:right w:val="none" w:sz="0" w:space="0" w:color="auto"/>
      </w:divBdr>
    </w:div>
    <w:div w:id="1461878516">
      <w:bodyDiv w:val="1"/>
      <w:marLeft w:val="0"/>
      <w:marRight w:val="0"/>
      <w:marTop w:val="0"/>
      <w:marBottom w:val="0"/>
      <w:divBdr>
        <w:top w:val="none" w:sz="0" w:space="0" w:color="auto"/>
        <w:left w:val="none" w:sz="0" w:space="0" w:color="auto"/>
        <w:bottom w:val="none" w:sz="0" w:space="0" w:color="auto"/>
        <w:right w:val="none" w:sz="0" w:space="0" w:color="auto"/>
      </w:divBdr>
    </w:div>
    <w:div w:id="1461999198">
      <w:bodyDiv w:val="1"/>
      <w:marLeft w:val="0"/>
      <w:marRight w:val="0"/>
      <w:marTop w:val="0"/>
      <w:marBottom w:val="0"/>
      <w:divBdr>
        <w:top w:val="none" w:sz="0" w:space="0" w:color="auto"/>
        <w:left w:val="none" w:sz="0" w:space="0" w:color="auto"/>
        <w:bottom w:val="none" w:sz="0" w:space="0" w:color="auto"/>
        <w:right w:val="none" w:sz="0" w:space="0" w:color="auto"/>
      </w:divBdr>
    </w:div>
    <w:div w:id="1462069557">
      <w:bodyDiv w:val="1"/>
      <w:marLeft w:val="0"/>
      <w:marRight w:val="0"/>
      <w:marTop w:val="0"/>
      <w:marBottom w:val="0"/>
      <w:divBdr>
        <w:top w:val="none" w:sz="0" w:space="0" w:color="auto"/>
        <w:left w:val="none" w:sz="0" w:space="0" w:color="auto"/>
        <w:bottom w:val="none" w:sz="0" w:space="0" w:color="auto"/>
        <w:right w:val="none" w:sz="0" w:space="0" w:color="auto"/>
      </w:divBdr>
    </w:div>
    <w:div w:id="1462185172">
      <w:bodyDiv w:val="1"/>
      <w:marLeft w:val="0"/>
      <w:marRight w:val="0"/>
      <w:marTop w:val="0"/>
      <w:marBottom w:val="0"/>
      <w:divBdr>
        <w:top w:val="none" w:sz="0" w:space="0" w:color="auto"/>
        <w:left w:val="none" w:sz="0" w:space="0" w:color="auto"/>
        <w:bottom w:val="none" w:sz="0" w:space="0" w:color="auto"/>
        <w:right w:val="none" w:sz="0" w:space="0" w:color="auto"/>
      </w:divBdr>
    </w:div>
    <w:div w:id="1462187253">
      <w:bodyDiv w:val="1"/>
      <w:marLeft w:val="0"/>
      <w:marRight w:val="0"/>
      <w:marTop w:val="0"/>
      <w:marBottom w:val="0"/>
      <w:divBdr>
        <w:top w:val="none" w:sz="0" w:space="0" w:color="auto"/>
        <w:left w:val="none" w:sz="0" w:space="0" w:color="auto"/>
        <w:bottom w:val="none" w:sz="0" w:space="0" w:color="auto"/>
        <w:right w:val="none" w:sz="0" w:space="0" w:color="auto"/>
      </w:divBdr>
    </w:div>
    <w:div w:id="1462265359">
      <w:bodyDiv w:val="1"/>
      <w:marLeft w:val="0"/>
      <w:marRight w:val="0"/>
      <w:marTop w:val="0"/>
      <w:marBottom w:val="0"/>
      <w:divBdr>
        <w:top w:val="none" w:sz="0" w:space="0" w:color="auto"/>
        <w:left w:val="none" w:sz="0" w:space="0" w:color="auto"/>
        <w:bottom w:val="none" w:sz="0" w:space="0" w:color="auto"/>
        <w:right w:val="none" w:sz="0" w:space="0" w:color="auto"/>
      </w:divBdr>
    </w:div>
    <w:div w:id="1462306904">
      <w:bodyDiv w:val="1"/>
      <w:marLeft w:val="0"/>
      <w:marRight w:val="0"/>
      <w:marTop w:val="0"/>
      <w:marBottom w:val="0"/>
      <w:divBdr>
        <w:top w:val="none" w:sz="0" w:space="0" w:color="auto"/>
        <w:left w:val="none" w:sz="0" w:space="0" w:color="auto"/>
        <w:bottom w:val="none" w:sz="0" w:space="0" w:color="auto"/>
        <w:right w:val="none" w:sz="0" w:space="0" w:color="auto"/>
      </w:divBdr>
    </w:div>
    <w:div w:id="1462308785">
      <w:bodyDiv w:val="1"/>
      <w:marLeft w:val="0"/>
      <w:marRight w:val="0"/>
      <w:marTop w:val="0"/>
      <w:marBottom w:val="0"/>
      <w:divBdr>
        <w:top w:val="none" w:sz="0" w:space="0" w:color="auto"/>
        <w:left w:val="none" w:sz="0" w:space="0" w:color="auto"/>
        <w:bottom w:val="none" w:sz="0" w:space="0" w:color="auto"/>
        <w:right w:val="none" w:sz="0" w:space="0" w:color="auto"/>
      </w:divBdr>
    </w:div>
    <w:div w:id="1462383831">
      <w:bodyDiv w:val="1"/>
      <w:marLeft w:val="0"/>
      <w:marRight w:val="0"/>
      <w:marTop w:val="0"/>
      <w:marBottom w:val="0"/>
      <w:divBdr>
        <w:top w:val="none" w:sz="0" w:space="0" w:color="auto"/>
        <w:left w:val="none" w:sz="0" w:space="0" w:color="auto"/>
        <w:bottom w:val="none" w:sz="0" w:space="0" w:color="auto"/>
        <w:right w:val="none" w:sz="0" w:space="0" w:color="auto"/>
      </w:divBdr>
    </w:div>
    <w:div w:id="1462455298">
      <w:bodyDiv w:val="1"/>
      <w:marLeft w:val="0"/>
      <w:marRight w:val="0"/>
      <w:marTop w:val="0"/>
      <w:marBottom w:val="0"/>
      <w:divBdr>
        <w:top w:val="none" w:sz="0" w:space="0" w:color="auto"/>
        <w:left w:val="none" w:sz="0" w:space="0" w:color="auto"/>
        <w:bottom w:val="none" w:sz="0" w:space="0" w:color="auto"/>
        <w:right w:val="none" w:sz="0" w:space="0" w:color="auto"/>
      </w:divBdr>
    </w:div>
    <w:div w:id="1462533528">
      <w:bodyDiv w:val="1"/>
      <w:marLeft w:val="0"/>
      <w:marRight w:val="0"/>
      <w:marTop w:val="0"/>
      <w:marBottom w:val="0"/>
      <w:divBdr>
        <w:top w:val="none" w:sz="0" w:space="0" w:color="auto"/>
        <w:left w:val="none" w:sz="0" w:space="0" w:color="auto"/>
        <w:bottom w:val="none" w:sz="0" w:space="0" w:color="auto"/>
        <w:right w:val="none" w:sz="0" w:space="0" w:color="auto"/>
      </w:divBdr>
    </w:div>
    <w:div w:id="1462727999">
      <w:bodyDiv w:val="1"/>
      <w:marLeft w:val="0"/>
      <w:marRight w:val="0"/>
      <w:marTop w:val="0"/>
      <w:marBottom w:val="0"/>
      <w:divBdr>
        <w:top w:val="none" w:sz="0" w:space="0" w:color="auto"/>
        <w:left w:val="none" w:sz="0" w:space="0" w:color="auto"/>
        <w:bottom w:val="none" w:sz="0" w:space="0" w:color="auto"/>
        <w:right w:val="none" w:sz="0" w:space="0" w:color="auto"/>
      </w:divBdr>
    </w:div>
    <w:div w:id="1462764667">
      <w:bodyDiv w:val="1"/>
      <w:marLeft w:val="0"/>
      <w:marRight w:val="0"/>
      <w:marTop w:val="0"/>
      <w:marBottom w:val="0"/>
      <w:divBdr>
        <w:top w:val="none" w:sz="0" w:space="0" w:color="auto"/>
        <w:left w:val="none" w:sz="0" w:space="0" w:color="auto"/>
        <w:bottom w:val="none" w:sz="0" w:space="0" w:color="auto"/>
        <w:right w:val="none" w:sz="0" w:space="0" w:color="auto"/>
      </w:divBdr>
    </w:div>
    <w:div w:id="1462764815">
      <w:bodyDiv w:val="1"/>
      <w:marLeft w:val="0"/>
      <w:marRight w:val="0"/>
      <w:marTop w:val="0"/>
      <w:marBottom w:val="0"/>
      <w:divBdr>
        <w:top w:val="none" w:sz="0" w:space="0" w:color="auto"/>
        <w:left w:val="none" w:sz="0" w:space="0" w:color="auto"/>
        <w:bottom w:val="none" w:sz="0" w:space="0" w:color="auto"/>
        <w:right w:val="none" w:sz="0" w:space="0" w:color="auto"/>
      </w:divBdr>
    </w:div>
    <w:div w:id="1462839522">
      <w:bodyDiv w:val="1"/>
      <w:marLeft w:val="0"/>
      <w:marRight w:val="0"/>
      <w:marTop w:val="0"/>
      <w:marBottom w:val="0"/>
      <w:divBdr>
        <w:top w:val="none" w:sz="0" w:space="0" w:color="auto"/>
        <w:left w:val="none" w:sz="0" w:space="0" w:color="auto"/>
        <w:bottom w:val="none" w:sz="0" w:space="0" w:color="auto"/>
        <w:right w:val="none" w:sz="0" w:space="0" w:color="auto"/>
      </w:divBdr>
    </w:div>
    <w:div w:id="1462919008">
      <w:bodyDiv w:val="1"/>
      <w:marLeft w:val="0"/>
      <w:marRight w:val="0"/>
      <w:marTop w:val="0"/>
      <w:marBottom w:val="0"/>
      <w:divBdr>
        <w:top w:val="none" w:sz="0" w:space="0" w:color="auto"/>
        <w:left w:val="none" w:sz="0" w:space="0" w:color="auto"/>
        <w:bottom w:val="none" w:sz="0" w:space="0" w:color="auto"/>
        <w:right w:val="none" w:sz="0" w:space="0" w:color="auto"/>
      </w:divBdr>
    </w:div>
    <w:div w:id="1462924175">
      <w:bodyDiv w:val="1"/>
      <w:marLeft w:val="0"/>
      <w:marRight w:val="0"/>
      <w:marTop w:val="0"/>
      <w:marBottom w:val="0"/>
      <w:divBdr>
        <w:top w:val="none" w:sz="0" w:space="0" w:color="auto"/>
        <w:left w:val="none" w:sz="0" w:space="0" w:color="auto"/>
        <w:bottom w:val="none" w:sz="0" w:space="0" w:color="auto"/>
        <w:right w:val="none" w:sz="0" w:space="0" w:color="auto"/>
      </w:divBdr>
    </w:div>
    <w:div w:id="1462961983">
      <w:bodyDiv w:val="1"/>
      <w:marLeft w:val="0"/>
      <w:marRight w:val="0"/>
      <w:marTop w:val="0"/>
      <w:marBottom w:val="0"/>
      <w:divBdr>
        <w:top w:val="none" w:sz="0" w:space="0" w:color="auto"/>
        <w:left w:val="none" w:sz="0" w:space="0" w:color="auto"/>
        <w:bottom w:val="none" w:sz="0" w:space="0" w:color="auto"/>
        <w:right w:val="none" w:sz="0" w:space="0" w:color="auto"/>
      </w:divBdr>
    </w:div>
    <w:div w:id="1462963106">
      <w:bodyDiv w:val="1"/>
      <w:marLeft w:val="0"/>
      <w:marRight w:val="0"/>
      <w:marTop w:val="0"/>
      <w:marBottom w:val="0"/>
      <w:divBdr>
        <w:top w:val="none" w:sz="0" w:space="0" w:color="auto"/>
        <w:left w:val="none" w:sz="0" w:space="0" w:color="auto"/>
        <w:bottom w:val="none" w:sz="0" w:space="0" w:color="auto"/>
        <w:right w:val="none" w:sz="0" w:space="0" w:color="auto"/>
      </w:divBdr>
    </w:div>
    <w:div w:id="1462990143">
      <w:bodyDiv w:val="1"/>
      <w:marLeft w:val="0"/>
      <w:marRight w:val="0"/>
      <w:marTop w:val="0"/>
      <w:marBottom w:val="0"/>
      <w:divBdr>
        <w:top w:val="none" w:sz="0" w:space="0" w:color="auto"/>
        <w:left w:val="none" w:sz="0" w:space="0" w:color="auto"/>
        <w:bottom w:val="none" w:sz="0" w:space="0" w:color="auto"/>
        <w:right w:val="none" w:sz="0" w:space="0" w:color="auto"/>
      </w:divBdr>
    </w:div>
    <w:div w:id="1463228189">
      <w:bodyDiv w:val="1"/>
      <w:marLeft w:val="0"/>
      <w:marRight w:val="0"/>
      <w:marTop w:val="0"/>
      <w:marBottom w:val="0"/>
      <w:divBdr>
        <w:top w:val="none" w:sz="0" w:space="0" w:color="auto"/>
        <w:left w:val="none" w:sz="0" w:space="0" w:color="auto"/>
        <w:bottom w:val="none" w:sz="0" w:space="0" w:color="auto"/>
        <w:right w:val="none" w:sz="0" w:space="0" w:color="auto"/>
      </w:divBdr>
    </w:div>
    <w:div w:id="1463301502">
      <w:bodyDiv w:val="1"/>
      <w:marLeft w:val="0"/>
      <w:marRight w:val="0"/>
      <w:marTop w:val="0"/>
      <w:marBottom w:val="0"/>
      <w:divBdr>
        <w:top w:val="none" w:sz="0" w:space="0" w:color="auto"/>
        <w:left w:val="none" w:sz="0" w:space="0" w:color="auto"/>
        <w:bottom w:val="none" w:sz="0" w:space="0" w:color="auto"/>
        <w:right w:val="none" w:sz="0" w:space="0" w:color="auto"/>
      </w:divBdr>
    </w:div>
    <w:div w:id="1463302980">
      <w:bodyDiv w:val="1"/>
      <w:marLeft w:val="0"/>
      <w:marRight w:val="0"/>
      <w:marTop w:val="0"/>
      <w:marBottom w:val="0"/>
      <w:divBdr>
        <w:top w:val="none" w:sz="0" w:space="0" w:color="auto"/>
        <w:left w:val="none" w:sz="0" w:space="0" w:color="auto"/>
        <w:bottom w:val="none" w:sz="0" w:space="0" w:color="auto"/>
        <w:right w:val="none" w:sz="0" w:space="0" w:color="auto"/>
      </w:divBdr>
    </w:div>
    <w:div w:id="1463376875">
      <w:bodyDiv w:val="1"/>
      <w:marLeft w:val="0"/>
      <w:marRight w:val="0"/>
      <w:marTop w:val="0"/>
      <w:marBottom w:val="0"/>
      <w:divBdr>
        <w:top w:val="none" w:sz="0" w:space="0" w:color="auto"/>
        <w:left w:val="none" w:sz="0" w:space="0" w:color="auto"/>
        <w:bottom w:val="none" w:sz="0" w:space="0" w:color="auto"/>
        <w:right w:val="none" w:sz="0" w:space="0" w:color="auto"/>
      </w:divBdr>
    </w:div>
    <w:div w:id="1463384317">
      <w:bodyDiv w:val="1"/>
      <w:marLeft w:val="0"/>
      <w:marRight w:val="0"/>
      <w:marTop w:val="0"/>
      <w:marBottom w:val="0"/>
      <w:divBdr>
        <w:top w:val="none" w:sz="0" w:space="0" w:color="auto"/>
        <w:left w:val="none" w:sz="0" w:space="0" w:color="auto"/>
        <w:bottom w:val="none" w:sz="0" w:space="0" w:color="auto"/>
        <w:right w:val="none" w:sz="0" w:space="0" w:color="auto"/>
      </w:divBdr>
    </w:div>
    <w:div w:id="1463422189">
      <w:bodyDiv w:val="1"/>
      <w:marLeft w:val="0"/>
      <w:marRight w:val="0"/>
      <w:marTop w:val="0"/>
      <w:marBottom w:val="0"/>
      <w:divBdr>
        <w:top w:val="none" w:sz="0" w:space="0" w:color="auto"/>
        <w:left w:val="none" w:sz="0" w:space="0" w:color="auto"/>
        <w:bottom w:val="none" w:sz="0" w:space="0" w:color="auto"/>
        <w:right w:val="none" w:sz="0" w:space="0" w:color="auto"/>
      </w:divBdr>
    </w:div>
    <w:div w:id="1463428593">
      <w:bodyDiv w:val="1"/>
      <w:marLeft w:val="0"/>
      <w:marRight w:val="0"/>
      <w:marTop w:val="0"/>
      <w:marBottom w:val="0"/>
      <w:divBdr>
        <w:top w:val="none" w:sz="0" w:space="0" w:color="auto"/>
        <w:left w:val="none" w:sz="0" w:space="0" w:color="auto"/>
        <w:bottom w:val="none" w:sz="0" w:space="0" w:color="auto"/>
        <w:right w:val="none" w:sz="0" w:space="0" w:color="auto"/>
      </w:divBdr>
    </w:div>
    <w:div w:id="1463495803">
      <w:bodyDiv w:val="1"/>
      <w:marLeft w:val="0"/>
      <w:marRight w:val="0"/>
      <w:marTop w:val="0"/>
      <w:marBottom w:val="0"/>
      <w:divBdr>
        <w:top w:val="none" w:sz="0" w:space="0" w:color="auto"/>
        <w:left w:val="none" w:sz="0" w:space="0" w:color="auto"/>
        <w:bottom w:val="none" w:sz="0" w:space="0" w:color="auto"/>
        <w:right w:val="none" w:sz="0" w:space="0" w:color="auto"/>
      </w:divBdr>
    </w:div>
    <w:div w:id="1463496269">
      <w:bodyDiv w:val="1"/>
      <w:marLeft w:val="0"/>
      <w:marRight w:val="0"/>
      <w:marTop w:val="0"/>
      <w:marBottom w:val="0"/>
      <w:divBdr>
        <w:top w:val="none" w:sz="0" w:space="0" w:color="auto"/>
        <w:left w:val="none" w:sz="0" w:space="0" w:color="auto"/>
        <w:bottom w:val="none" w:sz="0" w:space="0" w:color="auto"/>
        <w:right w:val="none" w:sz="0" w:space="0" w:color="auto"/>
      </w:divBdr>
    </w:div>
    <w:div w:id="1463766787">
      <w:bodyDiv w:val="1"/>
      <w:marLeft w:val="0"/>
      <w:marRight w:val="0"/>
      <w:marTop w:val="0"/>
      <w:marBottom w:val="0"/>
      <w:divBdr>
        <w:top w:val="none" w:sz="0" w:space="0" w:color="auto"/>
        <w:left w:val="none" w:sz="0" w:space="0" w:color="auto"/>
        <w:bottom w:val="none" w:sz="0" w:space="0" w:color="auto"/>
        <w:right w:val="none" w:sz="0" w:space="0" w:color="auto"/>
      </w:divBdr>
    </w:div>
    <w:div w:id="1463767214">
      <w:bodyDiv w:val="1"/>
      <w:marLeft w:val="0"/>
      <w:marRight w:val="0"/>
      <w:marTop w:val="0"/>
      <w:marBottom w:val="0"/>
      <w:divBdr>
        <w:top w:val="none" w:sz="0" w:space="0" w:color="auto"/>
        <w:left w:val="none" w:sz="0" w:space="0" w:color="auto"/>
        <w:bottom w:val="none" w:sz="0" w:space="0" w:color="auto"/>
        <w:right w:val="none" w:sz="0" w:space="0" w:color="auto"/>
      </w:divBdr>
    </w:div>
    <w:div w:id="1464081325">
      <w:bodyDiv w:val="1"/>
      <w:marLeft w:val="0"/>
      <w:marRight w:val="0"/>
      <w:marTop w:val="0"/>
      <w:marBottom w:val="0"/>
      <w:divBdr>
        <w:top w:val="none" w:sz="0" w:space="0" w:color="auto"/>
        <w:left w:val="none" w:sz="0" w:space="0" w:color="auto"/>
        <w:bottom w:val="none" w:sz="0" w:space="0" w:color="auto"/>
        <w:right w:val="none" w:sz="0" w:space="0" w:color="auto"/>
      </w:divBdr>
    </w:div>
    <w:div w:id="1464150182">
      <w:bodyDiv w:val="1"/>
      <w:marLeft w:val="0"/>
      <w:marRight w:val="0"/>
      <w:marTop w:val="0"/>
      <w:marBottom w:val="0"/>
      <w:divBdr>
        <w:top w:val="none" w:sz="0" w:space="0" w:color="auto"/>
        <w:left w:val="none" w:sz="0" w:space="0" w:color="auto"/>
        <w:bottom w:val="none" w:sz="0" w:space="0" w:color="auto"/>
        <w:right w:val="none" w:sz="0" w:space="0" w:color="auto"/>
      </w:divBdr>
    </w:div>
    <w:div w:id="1464345511">
      <w:bodyDiv w:val="1"/>
      <w:marLeft w:val="0"/>
      <w:marRight w:val="0"/>
      <w:marTop w:val="0"/>
      <w:marBottom w:val="0"/>
      <w:divBdr>
        <w:top w:val="none" w:sz="0" w:space="0" w:color="auto"/>
        <w:left w:val="none" w:sz="0" w:space="0" w:color="auto"/>
        <w:bottom w:val="none" w:sz="0" w:space="0" w:color="auto"/>
        <w:right w:val="none" w:sz="0" w:space="0" w:color="auto"/>
      </w:divBdr>
    </w:div>
    <w:div w:id="1464499878">
      <w:bodyDiv w:val="1"/>
      <w:marLeft w:val="0"/>
      <w:marRight w:val="0"/>
      <w:marTop w:val="0"/>
      <w:marBottom w:val="0"/>
      <w:divBdr>
        <w:top w:val="none" w:sz="0" w:space="0" w:color="auto"/>
        <w:left w:val="none" w:sz="0" w:space="0" w:color="auto"/>
        <w:bottom w:val="none" w:sz="0" w:space="0" w:color="auto"/>
        <w:right w:val="none" w:sz="0" w:space="0" w:color="auto"/>
      </w:divBdr>
    </w:div>
    <w:div w:id="1464612321">
      <w:bodyDiv w:val="1"/>
      <w:marLeft w:val="0"/>
      <w:marRight w:val="0"/>
      <w:marTop w:val="0"/>
      <w:marBottom w:val="0"/>
      <w:divBdr>
        <w:top w:val="none" w:sz="0" w:space="0" w:color="auto"/>
        <w:left w:val="none" w:sz="0" w:space="0" w:color="auto"/>
        <w:bottom w:val="none" w:sz="0" w:space="0" w:color="auto"/>
        <w:right w:val="none" w:sz="0" w:space="0" w:color="auto"/>
      </w:divBdr>
    </w:div>
    <w:div w:id="1464690353">
      <w:bodyDiv w:val="1"/>
      <w:marLeft w:val="0"/>
      <w:marRight w:val="0"/>
      <w:marTop w:val="0"/>
      <w:marBottom w:val="0"/>
      <w:divBdr>
        <w:top w:val="none" w:sz="0" w:space="0" w:color="auto"/>
        <w:left w:val="none" w:sz="0" w:space="0" w:color="auto"/>
        <w:bottom w:val="none" w:sz="0" w:space="0" w:color="auto"/>
        <w:right w:val="none" w:sz="0" w:space="0" w:color="auto"/>
      </w:divBdr>
    </w:div>
    <w:div w:id="1464733581">
      <w:bodyDiv w:val="1"/>
      <w:marLeft w:val="0"/>
      <w:marRight w:val="0"/>
      <w:marTop w:val="0"/>
      <w:marBottom w:val="0"/>
      <w:divBdr>
        <w:top w:val="none" w:sz="0" w:space="0" w:color="auto"/>
        <w:left w:val="none" w:sz="0" w:space="0" w:color="auto"/>
        <w:bottom w:val="none" w:sz="0" w:space="0" w:color="auto"/>
        <w:right w:val="none" w:sz="0" w:space="0" w:color="auto"/>
      </w:divBdr>
    </w:div>
    <w:div w:id="1464810254">
      <w:bodyDiv w:val="1"/>
      <w:marLeft w:val="0"/>
      <w:marRight w:val="0"/>
      <w:marTop w:val="0"/>
      <w:marBottom w:val="0"/>
      <w:divBdr>
        <w:top w:val="none" w:sz="0" w:space="0" w:color="auto"/>
        <w:left w:val="none" w:sz="0" w:space="0" w:color="auto"/>
        <w:bottom w:val="none" w:sz="0" w:space="0" w:color="auto"/>
        <w:right w:val="none" w:sz="0" w:space="0" w:color="auto"/>
      </w:divBdr>
    </w:div>
    <w:div w:id="1464887602">
      <w:bodyDiv w:val="1"/>
      <w:marLeft w:val="0"/>
      <w:marRight w:val="0"/>
      <w:marTop w:val="0"/>
      <w:marBottom w:val="0"/>
      <w:divBdr>
        <w:top w:val="none" w:sz="0" w:space="0" w:color="auto"/>
        <w:left w:val="none" w:sz="0" w:space="0" w:color="auto"/>
        <w:bottom w:val="none" w:sz="0" w:space="0" w:color="auto"/>
        <w:right w:val="none" w:sz="0" w:space="0" w:color="auto"/>
      </w:divBdr>
    </w:div>
    <w:div w:id="1464931865">
      <w:bodyDiv w:val="1"/>
      <w:marLeft w:val="0"/>
      <w:marRight w:val="0"/>
      <w:marTop w:val="0"/>
      <w:marBottom w:val="0"/>
      <w:divBdr>
        <w:top w:val="none" w:sz="0" w:space="0" w:color="auto"/>
        <w:left w:val="none" w:sz="0" w:space="0" w:color="auto"/>
        <w:bottom w:val="none" w:sz="0" w:space="0" w:color="auto"/>
        <w:right w:val="none" w:sz="0" w:space="0" w:color="auto"/>
      </w:divBdr>
    </w:div>
    <w:div w:id="1464958218">
      <w:bodyDiv w:val="1"/>
      <w:marLeft w:val="0"/>
      <w:marRight w:val="0"/>
      <w:marTop w:val="0"/>
      <w:marBottom w:val="0"/>
      <w:divBdr>
        <w:top w:val="none" w:sz="0" w:space="0" w:color="auto"/>
        <w:left w:val="none" w:sz="0" w:space="0" w:color="auto"/>
        <w:bottom w:val="none" w:sz="0" w:space="0" w:color="auto"/>
        <w:right w:val="none" w:sz="0" w:space="0" w:color="auto"/>
      </w:divBdr>
    </w:div>
    <w:div w:id="1464958738">
      <w:bodyDiv w:val="1"/>
      <w:marLeft w:val="0"/>
      <w:marRight w:val="0"/>
      <w:marTop w:val="0"/>
      <w:marBottom w:val="0"/>
      <w:divBdr>
        <w:top w:val="none" w:sz="0" w:space="0" w:color="auto"/>
        <w:left w:val="none" w:sz="0" w:space="0" w:color="auto"/>
        <w:bottom w:val="none" w:sz="0" w:space="0" w:color="auto"/>
        <w:right w:val="none" w:sz="0" w:space="0" w:color="auto"/>
      </w:divBdr>
    </w:div>
    <w:div w:id="1465073971">
      <w:bodyDiv w:val="1"/>
      <w:marLeft w:val="0"/>
      <w:marRight w:val="0"/>
      <w:marTop w:val="0"/>
      <w:marBottom w:val="0"/>
      <w:divBdr>
        <w:top w:val="none" w:sz="0" w:space="0" w:color="auto"/>
        <w:left w:val="none" w:sz="0" w:space="0" w:color="auto"/>
        <w:bottom w:val="none" w:sz="0" w:space="0" w:color="auto"/>
        <w:right w:val="none" w:sz="0" w:space="0" w:color="auto"/>
      </w:divBdr>
    </w:div>
    <w:div w:id="1465082381">
      <w:bodyDiv w:val="1"/>
      <w:marLeft w:val="0"/>
      <w:marRight w:val="0"/>
      <w:marTop w:val="0"/>
      <w:marBottom w:val="0"/>
      <w:divBdr>
        <w:top w:val="none" w:sz="0" w:space="0" w:color="auto"/>
        <w:left w:val="none" w:sz="0" w:space="0" w:color="auto"/>
        <w:bottom w:val="none" w:sz="0" w:space="0" w:color="auto"/>
        <w:right w:val="none" w:sz="0" w:space="0" w:color="auto"/>
      </w:divBdr>
    </w:div>
    <w:div w:id="1465123975">
      <w:bodyDiv w:val="1"/>
      <w:marLeft w:val="0"/>
      <w:marRight w:val="0"/>
      <w:marTop w:val="0"/>
      <w:marBottom w:val="0"/>
      <w:divBdr>
        <w:top w:val="none" w:sz="0" w:space="0" w:color="auto"/>
        <w:left w:val="none" w:sz="0" w:space="0" w:color="auto"/>
        <w:bottom w:val="none" w:sz="0" w:space="0" w:color="auto"/>
        <w:right w:val="none" w:sz="0" w:space="0" w:color="auto"/>
      </w:divBdr>
    </w:div>
    <w:div w:id="1465124349">
      <w:bodyDiv w:val="1"/>
      <w:marLeft w:val="0"/>
      <w:marRight w:val="0"/>
      <w:marTop w:val="0"/>
      <w:marBottom w:val="0"/>
      <w:divBdr>
        <w:top w:val="none" w:sz="0" w:space="0" w:color="auto"/>
        <w:left w:val="none" w:sz="0" w:space="0" w:color="auto"/>
        <w:bottom w:val="none" w:sz="0" w:space="0" w:color="auto"/>
        <w:right w:val="none" w:sz="0" w:space="0" w:color="auto"/>
      </w:divBdr>
    </w:div>
    <w:div w:id="1465124755">
      <w:bodyDiv w:val="1"/>
      <w:marLeft w:val="0"/>
      <w:marRight w:val="0"/>
      <w:marTop w:val="0"/>
      <w:marBottom w:val="0"/>
      <w:divBdr>
        <w:top w:val="none" w:sz="0" w:space="0" w:color="auto"/>
        <w:left w:val="none" w:sz="0" w:space="0" w:color="auto"/>
        <w:bottom w:val="none" w:sz="0" w:space="0" w:color="auto"/>
        <w:right w:val="none" w:sz="0" w:space="0" w:color="auto"/>
      </w:divBdr>
    </w:div>
    <w:div w:id="1465125831">
      <w:bodyDiv w:val="1"/>
      <w:marLeft w:val="0"/>
      <w:marRight w:val="0"/>
      <w:marTop w:val="0"/>
      <w:marBottom w:val="0"/>
      <w:divBdr>
        <w:top w:val="none" w:sz="0" w:space="0" w:color="auto"/>
        <w:left w:val="none" w:sz="0" w:space="0" w:color="auto"/>
        <w:bottom w:val="none" w:sz="0" w:space="0" w:color="auto"/>
        <w:right w:val="none" w:sz="0" w:space="0" w:color="auto"/>
      </w:divBdr>
    </w:div>
    <w:div w:id="1465344577">
      <w:bodyDiv w:val="1"/>
      <w:marLeft w:val="0"/>
      <w:marRight w:val="0"/>
      <w:marTop w:val="0"/>
      <w:marBottom w:val="0"/>
      <w:divBdr>
        <w:top w:val="none" w:sz="0" w:space="0" w:color="auto"/>
        <w:left w:val="none" w:sz="0" w:space="0" w:color="auto"/>
        <w:bottom w:val="none" w:sz="0" w:space="0" w:color="auto"/>
        <w:right w:val="none" w:sz="0" w:space="0" w:color="auto"/>
      </w:divBdr>
    </w:div>
    <w:div w:id="1465350202">
      <w:bodyDiv w:val="1"/>
      <w:marLeft w:val="0"/>
      <w:marRight w:val="0"/>
      <w:marTop w:val="0"/>
      <w:marBottom w:val="0"/>
      <w:divBdr>
        <w:top w:val="none" w:sz="0" w:space="0" w:color="auto"/>
        <w:left w:val="none" w:sz="0" w:space="0" w:color="auto"/>
        <w:bottom w:val="none" w:sz="0" w:space="0" w:color="auto"/>
        <w:right w:val="none" w:sz="0" w:space="0" w:color="auto"/>
      </w:divBdr>
    </w:div>
    <w:div w:id="1465461259">
      <w:bodyDiv w:val="1"/>
      <w:marLeft w:val="0"/>
      <w:marRight w:val="0"/>
      <w:marTop w:val="0"/>
      <w:marBottom w:val="0"/>
      <w:divBdr>
        <w:top w:val="none" w:sz="0" w:space="0" w:color="auto"/>
        <w:left w:val="none" w:sz="0" w:space="0" w:color="auto"/>
        <w:bottom w:val="none" w:sz="0" w:space="0" w:color="auto"/>
        <w:right w:val="none" w:sz="0" w:space="0" w:color="auto"/>
      </w:divBdr>
    </w:div>
    <w:div w:id="1465536242">
      <w:bodyDiv w:val="1"/>
      <w:marLeft w:val="0"/>
      <w:marRight w:val="0"/>
      <w:marTop w:val="0"/>
      <w:marBottom w:val="0"/>
      <w:divBdr>
        <w:top w:val="none" w:sz="0" w:space="0" w:color="auto"/>
        <w:left w:val="none" w:sz="0" w:space="0" w:color="auto"/>
        <w:bottom w:val="none" w:sz="0" w:space="0" w:color="auto"/>
        <w:right w:val="none" w:sz="0" w:space="0" w:color="auto"/>
      </w:divBdr>
    </w:div>
    <w:div w:id="1465587947">
      <w:bodyDiv w:val="1"/>
      <w:marLeft w:val="0"/>
      <w:marRight w:val="0"/>
      <w:marTop w:val="0"/>
      <w:marBottom w:val="0"/>
      <w:divBdr>
        <w:top w:val="none" w:sz="0" w:space="0" w:color="auto"/>
        <w:left w:val="none" w:sz="0" w:space="0" w:color="auto"/>
        <w:bottom w:val="none" w:sz="0" w:space="0" w:color="auto"/>
        <w:right w:val="none" w:sz="0" w:space="0" w:color="auto"/>
      </w:divBdr>
    </w:div>
    <w:div w:id="1465658394">
      <w:bodyDiv w:val="1"/>
      <w:marLeft w:val="0"/>
      <w:marRight w:val="0"/>
      <w:marTop w:val="0"/>
      <w:marBottom w:val="0"/>
      <w:divBdr>
        <w:top w:val="none" w:sz="0" w:space="0" w:color="auto"/>
        <w:left w:val="none" w:sz="0" w:space="0" w:color="auto"/>
        <w:bottom w:val="none" w:sz="0" w:space="0" w:color="auto"/>
        <w:right w:val="none" w:sz="0" w:space="0" w:color="auto"/>
      </w:divBdr>
    </w:div>
    <w:div w:id="1465736527">
      <w:bodyDiv w:val="1"/>
      <w:marLeft w:val="0"/>
      <w:marRight w:val="0"/>
      <w:marTop w:val="0"/>
      <w:marBottom w:val="0"/>
      <w:divBdr>
        <w:top w:val="none" w:sz="0" w:space="0" w:color="auto"/>
        <w:left w:val="none" w:sz="0" w:space="0" w:color="auto"/>
        <w:bottom w:val="none" w:sz="0" w:space="0" w:color="auto"/>
        <w:right w:val="none" w:sz="0" w:space="0" w:color="auto"/>
      </w:divBdr>
    </w:div>
    <w:div w:id="1465850793">
      <w:bodyDiv w:val="1"/>
      <w:marLeft w:val="0"/>
      <w:marRight w:val="0"/>
      <w:marTop w:val="0"/>
      <w:marBottom w:val="0"/>
      <w:divBdr>
        <w:top w:val="none" w:sz="0" w:space="0" w:color="auto"/>
        <w:left w:val="none" w:sz="0" w:space="0" w:color="auto"/>
        <w:bottom w:val="none" w:sz="0" w:space="0" w:color="auto"/>
        <w:right w:val="none" w:sz="0" w:space="0" w:color="auto"/>
      </w:divBdr>
    </w:div>
    <w:div w:id="1465930325">
      <w:bodyDiv w:val="1"/>
      <w:marLeft w:val="0"/>
      <w:marRight w:val="0"/>
      <w:marTop w:val="0"/>
      <w:marBottom w:val="0"/>
      <w:divBdr>
        <w:top w:val="none" w:sz="0" w:space="0" w:color="auto"/>
        <w:left w:val="none" w:sz="0" w:space="0" w:color="auto"/>
        <w:bottom w:val="none" w:sz="0" w:space="0" w:color="auto"/>
        <w:right w:val="none" w:sz="0" w:space="0" w:color="auto"/>
      </w:divBdr>
    </w:div>
    <w:div w:id="1465999883">
      <w:bodyDiv w:val="1"/>
      <w:marLeft w:val="0"/>
      <w:marRight w:val="0"/>
      <w:marTop w:val="0"/>
      <w:marBottom w:val="0"/>
      <w:divBdr>
        <w:top w:val="none" w:sz="0" w:space="0" w:color="auto"/>
        <w:left w:val="none" w:sz="0" w:space="0" w:color="auto"/>
        <w:bottom w:val="none" w:sz="0" w:space="0" w:color="auto"/>
        <w:right w:val="none" w:sz="0" w:space="0" w:color="auto"/>
      </w:divBdr>
    </w:div>
    <w:div w:id="1466000041">
      <w:bodyDiv w:val="1"/>
      <w:marLeft w:val="0"/>
      <w:marRight w:val="0"/>
      <w:marTop w:val="0"/>
      <w:marBottom w:val="0"/>
      <w:divBdr>
        <w:top w:val="none" w:sz="0" w:space="0" w:color="auto"/>
        <w:left w:val="none" w:sz="0" w:space="0" w:color="auto"/>
        <w:bottom w:val="none" w:sz="0" w:space="0" w:color="auto"/>
        <w:right w:val="none" w:sz="0" w:space="0" w:color="auto"/>
      </w:divBdr>
    </w:div>
    <w:div w:id="1466041121">
      <w:bodyDiv w:val="1"/>
      <w:marLeft w:val="0"/>
      <w:marRight w:val="0"/>
      <w:marTop w:val="0"/>
      <w:marBottom w:val="0"/>
      <w:divBdr>
        <w:top w:val="none" w:sz="0" w:space="0" w:color="auto"/>
        <w:left w:val="none" w:sz="0" w:space="0" w:color="auto"/>
        <w:bottom w:val="none" w:sz="0" w:space="0" w:color="auto"/>
        <w:right w:val="none" w:sz="0" w:space="0" w:color="auto"/>
      </w:divBdr>
    </w:div>
    <w:div w:id="1466049667">
      <w:bodyDiv w:val="1"/>
      <w:marLeft w:val="0"/>
      <w:marRight w:val="0"/>
      <w:marTop w:val="0"/>
      <w:marBottom w:val="0"/>
      <w:divBdr>
        <w:top w:val="none" w:sz="0" w:space="0" w:color="auto"/>
        <w:left w:val="none" w:sz="0" w:space="0" w:color="auto"/>
        <w:bottom w:val="none" w:sz="0" w:space="0" w:color="auto"/>
        <w:right w:val="none" w:sz="0" w:space="0" w:color="auto"/>
      </w:divBdr>
    </w:div>
    <w:div w:id="1466122572">
      <w:bodyDiv w:val="1"/>
      <w:marLeft w:val="0"/>
      <w:marRight w:val="0"/>
      <w:marTop w:val="0"/>
      <w:marBottom w:val="0"/>
      <w:divBdr>
        <w:top w:val="none" w:sz="0" w:space="0" w:color="auto"/>
        <w:left w:val="none" w:sz="0" w:space="0" w:color="auto"/>
        <w:bottom w:val="none" w:sz="0" w:space="0" w:color="auto"/>
        <w:right w:val="none" w:sz="0" w:space="0" w:color="auto"/>
      </w:divBdr>
    </w:div>
    <w:div w:id="1466313914">
      <w:bodyDiv w:val="1"/>
      <w:marLeft w:val="0"/>
      <w:marRight w:val="0"/>
      <w:marTop w:val="0"/>
      <w:marBottom w:val="0"/>
      <w:divBdr>
        <w:top w:val="none" w:sz="0" w:space="0" w:color="auto"/>
        <w:left w:val="none" w:sz="0" w:space="0" w:color="auto"/>
        <w:bottom w:val="none" w:sz="0" w:space="0" w:color="auto"/>
        <w:right w:val="none" w:sz="0" w:space="0" w:color="auto"/>
      </w:divBdr>
    </w:div>
    <w:div w:id="1466384364">
      <w:bodyDiv w:val="1"/>
      <w:marLeft w:val="0"/>
      <w:marRight w:val="0"/>
      <w:marTop w:val="0"/>
      <w:marBottom w:val="0"/>
      <w:divBdr>
        <w:top w:val="none" w:sz="0" w:space="0" w:color="auto"/>
        <w:left w:val="none" w:sz="0" w:space="0" w:color="auto"/>
        <w:bottom w:val="none" w:sz="0" w:space="0" w:color="auto"/>
        <w:right w:val="none" w:sz="0" w:space="0" w:color="auto"/>
      </w:divBdr>
    </w:div>
    <w:div w:id="1466434573">
      <w:bodyDiv w:val="1"/>
      <w:marLeft w:val="0"/>
      <w:marRight w:val="0"/>
      <w:marTop w:val="0"/>
      <w:marBottom w:val="0"/>
      <w:divBdr>
        <w:top w:val="none" w:sz="0" w:space="0" w:color="auto"/>
        <w:left w:val="none" w:sz="0" w:space="0" w:color="auto"/>
        <w:bottom w:val="none" w:sz="0" w:space="0" w:color="auto"/>
        <w:right w:val="none" w:sz="0" w:space="0" w:color="auto"/>
      </w:divBdr>
    </w:div>
    <w:div w:id="1466465550">
      <w:bodyDiv w:val="1"/>
      <w:marLeft w:val="0"/>
      <w:marRight w:val="0"/>
      <w:marTop w:val="0"/>
      <w:marBottom w:val="0"/>
      <w:divBdr>
        <w:top w:val="none" w:sz="0" w:space="0" w:color="auto"/>
        <w:left w:val="none" w:sz="0" w:space="0" w:color="auto"/>
        <w:bottom w:val="none" w:sz="0" w:space="0" w:color="auto"/>
        <w:right w:val="none" w:sz="0" w:space="0" w:color="auto"/>
      </w:divBdr>
    </w:div>
    <w:div w:id="1466655973">
      <w:bodyDiv w:val="1"/>
      <w:marLeft w:val="0"/>
      <w:marRight w:val="0"/>
      <w:marTop w:val="0"/>
      <w:marBottom w:val="0"/>
      <w:divBdr>
        <w:top w:val="none" w:sz="0" w:space="0" w:color="auto"/>
        <w:left w:val="none" w:sz="0" w:space="0" w:color="auto"/>
        <w:bottom w:val="none" w:sz="0" w:space="0" w:color="auto"/>
        <w:right w:val="none" w:sz="0" w:space="0" w:color="auto"/>
      </w:divBdr>
    </w:div>
    <w:div w:id="1466728357">
      <w:bodyDiv w:val="1"/>
      <w:marLeft w:val="0"/>
      <w:marRight w:val="0"/>
      <w:marTop w:val="0"/>
      <w:marBottom w:val="0"/>
      <w:divBdr>
        <w:top w:val="none" w:sz="0" w:space="0" w:color="auto"/>
        <w:left w:val="none" w:sz="0" w:space="0" w:color="auto"/>
        <w:bottom w:val="none" w:sz="0" w:space="0" w:color="auto"/>
        <w:right w:val="none" w:sz="0" w:space="0" w:color="auto"/>
      </w:divBdr>
    </w:div>
    <w:div w:id="1466850457">
      <w:bodyDiv w:val="1"/>
      <w:marLeft w:val="0"/>
      <w:marRight w:val="0"/>
      <w:marTop w:val="0"/>
      <w:marBottom w:val="0"/>
      <w:divBdr>
        <w:top w:val="none" w:sz="0" w:space="0" w:color="auto"/>
        <w:left w:val="none" w:sz="0" w:space="0" w:color="auto"/>
        <w:bottom w:val="none" w:sz="0" w:space="0" w:color="auto"/>
        <w:right w:val="none" w:sz="0" w:space="0" w:color="auto"/>
      </w:divBdr>
    </w:div>
    <w:div w:id="1467040522">
      <w:bodyDiv w:val="1"/>
      <w:marLeft w:val="0"/>
      <w:marRight w:val="0"/>
      <w:marTop w:val="0"/>
      <w:marBottom w:val="0"/>
      <w:divBdr>
        <w:top w:val="none" w:sz="0" w:space="0" w:color="auto"/>
        <w:left w:val="none" w:sz="0" w:space="0" w:color="auto"/>
        <w:bottom w:val="none" w:sz="0" w:space="0" w:color="auto"/>
        <w:right w:val="none" w:sz="0" w:space="0" w:color="auto"/>
      </w:divBdr>
    </w:div>
    <w:div w:id="1467041519">
      <w:bodyDiv w:val="1"/>
      <w:marLeft w:val="0"/>
      <w:marRight w:val="0"/>
      <w:marTop w:val="0"/>
      <w:marBottom w:val="0"/>
      <w:divBdr>
        <w:top w:val="none" w:sz="0" w:space="0" w:color="auto"/>
        <w:left w:val="none" w:sz="0" w:space="0" w:color="auto"/>
        <w:bottom w:val="none" w:sz="0" w:space="0" w:color="auto"/>
        <w:right w:val="none" w:sz="0" w:space="0" w:color="auto"/>
      </w:divBdr>
    </w:div>
    <w:div w:id="1467121300">
      <w:bodyDiv w:val="1"/>
      <w:marLeft w:val="0"/>
      <w:marRight w:val="0"/>
      <w:marTop w:val="0"/>
      <w:marBottom w:val="0"/>
      <w:divBdr>
        <w:top w:val="none" w:sz="0" w:space="0" w:color="auto"/>
        <w:left w:val="none" w:sz="0" w:space="0" w:color="auto"/>
        <w:bottom w:val="none" w:sz="0" w:space="0" w:color="auto"/>
        <w:right w:val="none" w:sz="0" w:space="0" w:color="auto"/>
      </w:divBdr>
    </w:div>
    <w:div w:id="1467159552">
      <w:bodyDiv w:val="1"/>
      <w:marLeft w:val="0"/>
      <w:marRight w:val="0"/>
      <w:marTop w:val="0"/>
      <w:marBottom w:val="0"/>
      <w:divBdr>
        <w:top w:val="none" w:sz="0" w:space="0" w:color="auto"/>
        <w:left w:val="none" w:sz="0" w:space="0" w:color="auto"/>
        <w:bottom w:val="none" w:sz="0" w:space="0" w:color="auto"/>
        <w:right w:val="none" w:sz="0" w:space="0" w:color="auto"/>
      </w:divBdr>
    </w:div>
    <w:div w:id="1467164934">
      <w:bodyDiv w:val="1"/>
      <w:marLeft w:val="0"/>
      <w:marRight w:val="0"/>
      <w:marTop w:val="0"/>
      <w:marBottom w:val="0"/>
      <w:divBdr>
        <w:top w:val="none" w:sz="0" w:space="0" w:color="auto"/>
        <w:left w:val="none" w:sz="0" w:space="0" w:color="auto"/>
        <w:bottom w:val="none" w:sz="0" w:space="0" w:color="auto"/>
        <w:right w:val="none" w:sz="0" w:space="0" w:color="auto"/>
      </w:divBdr>
    </w:div>
    <w:div w:id="1467308788">
      <w:bodyDiv w:val="1"/>
      <w:marLeft w:val="0"/>
      <w:marRight w:val="0"/>
      <w:marTop w:val="0"/>
      <w:marBottom w:val="0"/>
      <w:divBdr>
        <w:top w:val="none" w:sz="0" w:space="0" w:color="auto"/>
        <w:left w:val="none" w:sz="0" w:space="0" w:color="auto"/>
        <w:bottom w:val="none" w:sz="0" w:space="0" w:color="auto"/>
        <w:right w:val="none" w:sz="0" w:space="0" w:color="auto"/>
      </w:divBdr>
    </w:div>
    <w:div w:id="1467351796">
      <w:bodyDiv w:val="1"/>
      <w:marLeft w:val="0"/>
      <w:marRight w:val="0"/>
      <w:marTop w:val="0"/>
      <w:marBottom w:val="0"/>
      <w:divBdr>
        <w:top w:val="none" w:sz="0" w:space="0" w:color="auto"/>
        <w:left w:val="none" w:sz="0" w:space="0" w:color="auto"/>
        <w:bottom w:val="none" w:sz="0" w:space="0" w:color="auto"/>
        <w:right w:val="none" w:sz="0" w:space="0" w:color="auto"/>
      </w:divBdr>
    </w:div>
    <w:div w:id="1467431976">
      <w:bodyDiv w:val="1"/>
      <w:marLeft w:val="0"/>
      <w:marRight w:val="0"/>
      <w:marTop w:val="0"/>
      <w:marBottom w:val="0"/>
      <w:divBdr>
        <w:top w:val="none" w:sz="0" w:space="0" w:color="auto"/>
        <w:left w:val="none" w:sz="0" w:space="0" w:color="auto"/>
        <w:bottom w:val="none" w:sz="0" w:space="0" w:color="auto"/>
        <w:right w:val="none" w:sz="0" w:space="0" w:color="auto"/>
      </w:divBdr>
    </w:div>
    <w:div w:id="1467694866">
      <w:bodyDiv w:val="1"/>
      <w:marLeft w:val="0"/>
      <w:marRight w:val="0"/>
      <w:marTop w:val="0"/>
      <w:marBottom w:val="0"/>
      <w:divBdr>
        <w:top w:val="none" w:sz="0" w:space="0" w:color="auto"/>
        <w:left w:val="none" w:sz="0" w:space="0" w:color="auto"/>
        <w:bottom w:val="none" w:sz="0" w:space="0" w:color="auto"/>
        <w:right w:val="none" w:sz="0" w:space="0" w:color="auto"/>
      </w:divBdr>
    </w:div>
    <w:div w:id="1467747126">
      <w:bodyDiv w:val="1"/>
      <w:marLeft w:val="0"/>
      <w:marRight w:val="0"/>
      <w:marTop w:val="0"/>
      <w:marBottom w:val="0"/>
      <w:divBdr>
        <w:top w:val="none" w:sz="0" w:space="0" w:color="auto"/>
        <w:left w:val="none" w:sz="0" w:space="0" w:color="auto"/>
        <w:bottom w:val="none" w:sz="0" w:space="0" w:color="auto"/>
        <w:right w:val="none" w:sz="0" w:space="0" w:color="auto"/>
      </w:divBdr>
    </w:div>
    <w:div w:id="1467774212">
      <w:bodyDiv w:val="1"/>
      <w:marLeft w:val="0"/>
      <w:marRight w:val="0"/>
      <w:marTop w:val="0"/>
      <w:marBottom w:val="0"/>
      <w:divBdr>
        <w:top w:val="none" w:sz="0" w:space="0" w:color="auto"/>
        <w:left w:val="none" w:sz="0" w:space="0" w:color="auto"/>
        <w:bottom w:val="none" w:sz="0" w:space="0" w:color="auto"/>
        <w:right w:val="none" w:sz="0" w:space="0" w:color="auto"/>
      </w:divBdr>
    </w:div>
    <w:div w:id="1467814441">
      <w:bodyDiv w:val="1"/>
      <w:marLeft w:val="0"/>
      <w:marRight w:val="0"/>
      <w:marTop w:val="0"/>
      <w:marBottom w:val="0"/>
      <w:divBdr>
        <w:top w:val="none" w:sz="0" w:space="0" w:color="auto"/>
        <w:left w:val="none" w:sz="0" w:space="0" w:color="auto"/>
        <w:bottom w:val="none" w:sz="0" w:space="0" w:color="auto"/>
        <w:right w:val="none" w:sz="0" w:space="0" w:color="auto"/>
      </w:divBdr>
    </w:div>
    <w:div w:id="1467822303">
      <w:bodyDiv w:val="1"/>
      <w:marLeft w:val="0"/>
      <w:marRight w:val="0"/>
      <w:marTop w:val="0"/>
      <w:marBottom w:val="0"/>
      <w:divBdr>
        <w:top w:val="none" w:sz="0" w:space="0" w:color="auto"/>
        <w:left w:val="none" w:sz="0" w:space="0" w:color="auto"/>
        <w:bottom w:val="none" w:sz="0" w:space="0" w:color="auto"/>
        <w:right w:val="none" w:sz="0" w:space="0" w:color="auto"/>
      </w:divBdr>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67897482">
      <w:bodyDiv w:val="1"/>
      <w:marLeft w:val="0"/>
      <w:marRight w:val="0"/>
      <w:marTop w:val="0"/>
      <w:marBottom w:val="0"/>
      <w:divBdr>
        <w:top w:val="none" w:sz="0" w:space="0" w:color="auto"/>
        <w:left w:val="none" w:sz="0" w:space="0" w:color="auto"/>
        <w:bottom w:val="none" w:sz="0" w:space="0" w:color="auto"/>
        <w:right w:val="none" w:sz="0" w:space="0" w:color="auto"/>
      </w:divBdr>
    </w:div>
    <w:div w:id="1468012577">
      <w:bodyDiv w:val="1"/>
      <w:marLeft w:val="0"/>
      <w:marRight w:val="0"/>
      <w:marTop w:val="0"/>
      <w:marBottom w:val="0"/>
      <w:divBdr>
        <w:top w:val="none" w:sz="0" w:space="0" w:color="auto"/>
        <w:left w:val="none" w:sz="0" w:space="0" w:color="auto"/>
        <w:bottom w:val="none" w:sz="0" w:space="0" w:color="auto"/>
        <w:right w:val="none" w:sz="0" w:space="0" w:color="auto"/>
      </w:divBdr>
    </w:div>
    <w:div w:id="1468163445">
      <w:bodyDiv w:val="1"/>
      <w:marLeft w:val="0"/>
      <w:marRight w:val="0"/>
      <w:marTop w:val="0"/>
      <w:marBottom w:val="0"/>
      <w:divBdr>
        <w:top w:val="none" w:sz="0" w:space="0" w:color="auto"/>
        <w:left w:val="none" w:sz="0" w:space="0" w:color="auto"/>
        <w:bottom w:val="none" w:sz="0" w:space="0" w:color="auto"/>
        <w:right w:val="none" w:sz="0" w:space="0" w:color="auto"/>
      </w:divBdr>
    </w:div>
    <w:div w:id="1468402126">
      <w:bodyDiv w:val="1"/>
      <w:marLeft w:val="0"/>
      <w:marRight w:val="0"/>
      <w:marTop w:val="0"/>
      <w:marBottom w:val="0"/>
      <w:divBdr>
        <w:top w:val="none" w:sz="0" w:space="0" w:color="auto"/>
        <w:left w:val="none" w:sz="0" w:space="0" w:color="auto"/>
        <w:bottom w:val="none" w:sz="0" w:space="0" w:color="auto"/>
        <w:right w:val="none" w:sz="0" w:space="0" w:color="auto"/>
      </w:divBdr>
    </w:div>
    <w:div w:id="1468473787">
      <w:bodyDiv w:val="1"/>
      <w:marLeft w:val="0"/>
      <w:marRight w:val="0"/>
      <w:marTop w:val="0"/>
      <w:marBottom w:val="0"/>
      <w:divBdr>
        <w:top w:val="none" w:sz="0" w:space="0" w:color="auto"/>
        <w:left w:val="none" w:sz="0" w:space="0" w:color="auto"/>
        <w:bottom w:val="none" w:sz="0" w:space="0" w:color="auto"/>
        <w:right w:val="none" w:sz="0" w:space="0" w:color="auto"/>
      </w:divBdr>
    </w:div>
    <w:div w:id="1468545354">
      <w:bodyDiv w:val="1"/>
      <w:marLeft w:val="0"/>
      <w:marRight w:val="0"/>
      <w:marTop w:val="0"/>
      <w:marBottom w:val="0"/>
      <w:divBdr>
        <w:top w:val="none" w:sz="0" w:space="0" w:color="auto"/>
        <w:left w:val="none" w:sz="0" w:space="0" w:color="auto"/>
        <w:bottom w:val="none" w:sz="0" w:space="0" w:color="auto"/>
        <w:right w:val="none" w:sz="0" w:space="0" w:color="auto"/>
      </w:divBdr>
    </w:div>
    <w:div w:id="1468548947">
      <w:bodyDiv w:val="1"/>
      <w:marLeft w:val="0"/>
      <w:marRight w:val="0"/>
      <w:marTop w:val="0"/>
      <w:marBottom w:val="0"/>
      <w:divBdr>
        <w:top w:val="none" w:sz="0" w:space="0" w:color="auto"/>
        <w:left w:val="none" w:sz="0" w:space="0" w:color="auto"/>
        <w:bottom w:val="none" w:sz="0" w:space="0" w:color="auto"/>
        <w:right w:val="none" w:sz="0" w:space="0" w:color="auto"/>
      </w:divBdr>
    </w:div>
    <w:div w:id="1468663487">
      <w:bodyDiv w:val="1"/>
      <w:marLeft w:val="0"/>
      <w:marRight w:val="0"/>
      <w:marTop w:val="0"/>
      <w:marBottom w:val="0"/>
      <w:divBdr>
        <w:top w:val="none" w:sz="0" w:space="0" w:color="auto"/>
        <w:left w:val="none" w:sz="0" w:space="0" w:color="auto"/>
        <w:bottom w:val="none" w:sz="0" w:space="0" w:color="auto"/>
        <w:right w:val="none" w:sz="0" w:space="0" w:color="auto"/>
      </w:divBdr>
    </w:div>
    <w:div w:id="1468739218">
      <w:bodyDiv w:val="1"/>
      <w:marLeft w:val="0"/>
      <w:marRight w:val="0"/>
      <w:marTop w:val="0"/>
      <w:marBottom w:val="0"/>
      <w:divBdr>
        <w:top w:val="none" w:sz="0" w:space="0" w:color="auto"/>
        <w:left w:val="none" w:sz="0" w:space="0" w:color="auto"/>
        <w:bottom w:val="none" w:sz="0" w:space="0" w:color="auto"/>
        <w:right w:val="none" w:sz="0" w:space="0" w:color="auto"/>
      </w:divBdr>
    </w:div>
    <w:div w:id="1468815003">
      <w:bodyDiv w:val="1"/>
      <w:marLeft w:val="0"/>
      <w:marRight w:val="0"/>
      <w:marTop w:val="0"/>
      <w:marBottom w:val="0"/>
      <w:divBdr>
        <w:top w:val="none" w:sz="0" w:space="0" w:color="auto"/>
        <w:left w:val="none" w:sz="0" w:space="0" w:color="auto"/>
        <w:bottom w:val="none" w:sz="0" w:space="0" w:color="auto"/>
        <w:right w:val="none" w:sz="0" w:space="0" w:color="auto"/>
      </w:divBdr>
    </w:div>
    <w:div w:id="1468932870">
      <w:bodyDiv w:val="1"/>
      <w:marLeft w:val="0"/>
      <w:marRight w:val="0"/>
      <w:marTop w:val="0"/>
      <w:marBottom w:val="0"/>
      <w:divBdr>
        <w:top w:val="none" w:sz="0" w:space="0" w:color="auto"/>
        <w:left w:val="none" w:sz="0" w:space="0" w:color="auto"/>
        <w:bottom w:val="none" w:sz="0" w:space="0" w:color="auto"/>
        <w:right w:val="none" w:sz="0" w:space="0" w:color="auto"/>
      </w:divBdr>
    </w:div>
    <w:div w:id="1468937760">
      <w:bodyDiv w:val="1"/>
      <w:marLeft w:val="0"/>
      <w:marRight w:val="0"/>
      <w:marTop w:val="0"/>
      <w:marBottom w:val="0"/>
      <w:divBdr>
        <w:top w:val="none" w:sz="0" w:space="0" w:color="auto"/>
        <w:left w:val="none" w:sz="0" w:space="0" w:color="auto"/>
        <w:bottom w:val="none" w:sz="0" w:space="0" w:color="auto"/>
        <w:right w:val="none" w:sz="0" w:space="0" w:color="auto"/>
      </w:divBdr>
    </w:div>
    <w:div w:id="1469009265">
      <w:bodyDiv w:val="1"/>
      <w:marLeft w:val="0"/>
      <w:marRight w:val="0"/>
      <w:marTop w:val="0"/>
      <w:marBottom w:val="0"/>
      <w:divBdr>
        <w:top w:val="none" w:sz="0" w:space="0" w:color="auto"/>
        <w:left w:val="none" w:sz="0" w:space="0" w:color="auto"/>
        <w:bottom w:val="none" w:sz="0" w:space="0" w:color="auto"/>
        <w:right w:val="none" w:sz="0" w:space="0" w:color="auto"/>
      </w:divBdr>
    </w:div>
    <w:div w:id="1469011341">
      <w:bodyDiv w:val="1"/>
      <w:marLeft w:val="0"/>
      <w:marRight w:val="0"/>
      <w:marTop w:val="0"/>
      <w:marBottom w:val="0"/>
      <w:divBdr>
        <w:top w:val="none" w:sz="0" w:space="0" w:color="auto"/>
        <w:left w:val="none" w:sz="0" w:space="0" w:color="auto"/>
        <w:bottom w:val="none" w:sz="0" w:space="0" w:color="auto"/>
        <w:right w:val="none" w:sz="0" w:space="0" w:color="auto"/>
      </w:divBdr>
    </w:div>
    <w:div w:id="1469279281">
      <w:bodyDiv w:val="1"/>
      <w:marLeft w:val="0"/>
      <w:marRight w:val="0"/>
      <w:marTop w:val="0"/>
      <w:marBottom w:val="0"/>
      <w:divBdr>
        <w:top w:val="none" w:sz="0" w:space="0" w:color="auto"/>
        <w:left w:val="none" w:sz="0" w:space="0" w:color="auto"/>
        <w:bottom w:val="none" w:sz="0" w:space="0" w:color="auto"/>
        <w:right w:val="none" w:sz="0" w:space="0" w:color="auto"/>
      </w:divBdr>
    </w:div>
    <w:div w:id="1469514692">
      <w:bodyDiv w:val="1"/>
      <w:marLeft w:val="0"/>
      <w:marRight w:val="0"/>
      <w:marTop w:val="0"/>
      <w:marBottom w:val="0"/>
      <w:divBdr>
        <w:top w:val="none" w:sz="0" w:space="0" w:color="auto"/>
        <w:left w:val="none" w:sz="0" w:space="0" w:color="auto"/>
        <w:bottom w:val="none" w:sz="0" w:space="0" w:color="auto"/>
        <w:right w:val="none" w:sz="0" w:space="0" w:color="auto"/>
      </w:divBdr>
    </w:div>
    <w:div w:id="1469586962">
      <w:bodyDiv w:val="1"/>
      <w:marLeft w:val="0"/>
      <w:marRight w:val="0"/>
      <w:marTop w:val="0"/>
      <w:marBottom w:val="0"/>
      <w:divBdr>
        <w:top w:val="none" w:sz="0" w:space="0" w:color="auto"/>
        <w:left w:val="none" w:sz="0" w:space="0" w:color="auto"/>
        <w:bottom w:val="none" w:sz="0" w:space="0" w:color="auto"/>
        <w:right w:val="none" w:sz="0" w:space="0" w:color="auto"/>
      </w:divBdr>
    </w:div>
    <w:div w:id="1469593714">
      <w:bodyDiv w:val="1"/>
      <w:marLeft w:val="0"/>
      <w:marRight w:val="0"/>
      <w:marTop w:val="0"/>
      <w:marBottom w:val="0"/>
      <w:divBdr>
        <w:top w:val="none" w:sz="0" w:space="0" w:color="auto"/>
        <w:left w:val="none" w:sz="0" w:space="0" w:color="auto"/>
        <w:bottom w:val="none" w:sz="0" w:space="0" w:color="auto"/>
        <w:right w:val="none" w:sz="0" w:space="0" w:color="auto"/>
      </w:divBdr>
    </w:div>
    <w:div w:id="1469669286">
      <w:bodyDiv w:val="1"/>
      <w:marLeft w:val="0"/>
      <w:marRight w:val="0"/>
      <w:marTop w:val="0"/>
      <w:marBottom w:val="0"/>
      <w:divBdr>
        <w:top w:val="none" w:sz="0" w:space="0" w:color="auto"/>
        <w:left w:val="none" w:sz="0" w:space="0" w:color="auto"/>
        <w:bottom w:val="none" w:sz="0" w:space="0" w:color="auto"/>
        <w:right w:val="none" w:sz="0" w:space="0" w:color="auto"/>
      </w:divBdr>
    </w:div>
    <w:div w:id="1469739982">
      <w:bodyDiv w:val="1"/>
      <w:marLeft w:val="0"/>
      <w:marRight w:val="0"/>
      <w:marTop w:val="0"/>
      <w:marBottom w:val="0"/>
      <w:divBdr>
        <w:top w:val="none" w:sz="0" w:space="0" w:color="auto"/>
        <w:left w:val="none" w:sz="0" w:space="0" w:color="auto"/>
        <w:bottom w:val="none" w:sz="0" w:space="0" w:color="auto"/>
        <w:right w:val="none" w:sz="0" w:space="0" w:color="auto"/>
      </w:divBdr>
    </w:div>
    <w:div w:id="1469863554">
      <w:bodyDiv w:val="1"/>
      <w:marLeft w:val="0"/>
      <w:marRight w:val="0"/>
      <w:marTop w:val="0"/>
      <w:marBottom w:val="0"/>
      <w:divBdr>
        <w:top w:val="none" w:sz="0" w:space="0" w:color="auto"/>
        <w:left w:val="none" w:sz="0" w:space="0" w:color="auto"/>
        <w:bottom w:val="none" w:sz="0" w:space="0" w:color="auto"/>
        <w:right w:val="none" w:sz="0" w:space="0" w:color="auto"/>
      </w:divBdr>
    </w:div>
    <w:div w:id="1469934356">
      <w:bodyDiv w:val="1"/>
      <w:marLeft w:val="0"/>
      <w:marRight w:val="0"/>
      <w:marTop w:val="0"/>
      <w:marBottom w:val="0"/>
      <w:divBdr>
        <w:top w:val="none" w:sz="0" w:space="0" w:color="auto"/>
        <w:left w:val="none" w:sz="0" w:space="0" w:color="auto"/>
        <w:bottom w:val="none" w:sz="0" w:space="0" w:color="auto"/>
        <w:right w:val="none" w:sz="0" w:space="0" w:color="auto"/>
      </w:divBdr>
    </w:div>
    <w:div w:id="1470052938">
      <w:bodyDiv w:val="1"/>
      <w:marLeft w:val="0"/>
      <w:marRight w:val="0"/>
      <w:marTop w:val="0"/>
      <w:marBottom w:val="0"/>
      <w:divBdr>
        <w:top w:val="none" w:sz="0" w:space="0" w:color="auto"/>
        <w:left w:val="none" w:sz="0" w:space="0" w:color="auto"/>
        <w:bottom w:val="none" w:sz="0" w:space="0" w:color="auto"/>
        <w:right w:val="none" w:sz="0" w:space="0" w:color="auto"/>
      </w:divBdr>
    </w:div>
    <w:div w:id="1470126291">
      <w:bodyDiv w:val="1"/>
      <w:marLeft w:val="0"/>
      <w:marRight w:val="0"/>
      <w:marTop w:val="0"/>
      <w:marBottom w:val="0"/>
      <w:divBdr>
        <w:top w:val="none" w:sz="0" w:space="0" w:color="auto"/>
        <w:left w:val="none" w:sz="0" w:space="0" w:color="auto"/>
        <w:bottom w:val="none" w:sz="0" w:space="0" w:color="auto"/>
        <w:right w:val="none" w:sz="0" w:space="0" w:color="auto"/>
      </w:divBdr>
    </w:div>
    <w:div w:id="1470171641">
      <w:bodyDiv w:val="1"/>
      <w:marLeft w:val="0"/>
      <w:marRight w:val="0"/>
      <w:marTop w:val="0"/>
      <w:marBottom w:val="0"/>
      <w:divBdr>
        <w:top w:val="none" w:sz="0" w:space="0" w:color="auto"/>
        <w:left w:val="none" w:sz="0" w:space="0" w:color="auto"/>
        <w:bottom w:val="none" w:sz="0" w:space="0" w:color="auto"/>
        <w:right w:val="none" w:sz="0" w:space="0" w:color="auto"/>
      </w:divBdr>
    </w:div>
    <w:div w:id="1470244950">
      <w:bodyDiv w:val="1"/>
      <w:marLeft w:val="0"/>
      <w:marRight w:val="0"/>
      <w:marTop w:val="0"/>
      <w:marBottom w:val="0"/>
      <w:divBdr>
        <w:top w:val="none" w:sz="0" w:space="0" w:color="auto"/>
        <w:left w:val="none" w:sz="0" w:space="0" w:color="auto"/>
        <w:bottom w:val="none" w:sz="0" w:space="0" w:color="auto"/>
        <w:right w:val="none" w:sz="0" w:space="0" w:color="auto"/>
      </w:divBdr>
    </w:div>
    <w:div w:id="1470318849">
      <w:bodyDiv w:val="1"/>
      <w:marLeft w:val="0"/>
      <w:marRight w:val="0"/>
      <w:marTop w:val="0"/>
      <w:marBottom w:val="0"/>
      <w:divBdr>
        <w:top w:val="none" w:sz="0" w:space="0" w:color="auto"/>
        <w:left w:val="none" w:sz="0" w:space="0" w:color="auto"/>
        <w:bottom w:val="none" w:sz="0" w:space="0" w:color="auto"/>
        <w:right w:val="none" w:sz="0" w:space="0" w:color="auto"/>
      </w:divBdr>
    </w:div>
    <w:div w:id="1470512774">
      <w:bodyDiv w:val="1"/>
      <w:marLeft w:val="0"/>
      <w:marRight w:val="0"/>
      <w:marTop w:val="0"/>
      <w:marBottom w:val="0"/>
      <w:divBdr>
        <w:top w:val="none" w:sz="0" w:space="0" w:color="auto"/>
        <w:left w:val="none" w:sz="0" w:space="0" w:color="auto"/>
        <w:bottom w:val="none" w:sz="0" w:space="0" w:color="auto"/>
        <w:right w:val="none" w:sz="0" w:space="0" w:color="auto"/>
      </w:divBdr>
    </w:div>
    <w:div w:id="1470512879">
      <w:bodyDiv w:val="1"/>
      <w:marLeft w:val="0"/>
      <w:marRight w:val="0"/>
      <w:marTop w:val="0"/>
      <w:marBottom w:val="0"/>
      <w:divBdr>
        <w:top w:val="none" w:sz="0" w:space="0" w:color="auto"/>
        <w:left w:val="none" w:sz="0" w:space="0" w:color="auto"/>
        <w:bottom w:val="none" w:sz="0" w:space="0" w:color="auto"/>
        <w:right w:val="none" w:sz="0" w:space="0" w:color="auto"/>
      </w:divBdr>
    </w:div>
    <w:div w:id="1470517666">
      <w:bodyDiv w:val="1"/>
      <w:marLeft w:val="0"/>
      <w:marRight w:val="0"/>
      <w:marTop w:val="0"/>
      <w:marBottom w:val="0"/>
      <w:divBdr>
        <w:top w:val="none" w:sz="0" w:space="0" w:color="auto"/>
        <w:left w:val="none" w:sz="0" w:space="0" w:color="auto"/>
        <w:bottom w:val="none" w:sz="0" w:space="0" w:color="auto"/>
        <w:right w:val="none" w:sz="0" w:space="0" w:color="auto"/>
      </w:divBdr>
    </w:div>
    <w:div w:id="1470633799">
      <w:bodyDiv w:val="1"/>
      <w:marLeft w:val="0"/>
      <w:marRight w:val="0"/>
      <w:marTop w:val="0"/>
      <w:marBottom w:val="0"/>
      <w:divBdr>
        <w:top w:val="none" w:sz="0" w:space="0" w:color="auto"/>
        <w:left w:val="none" w:sz="0" w:space="0" w:color="auto"/>
        <w:bottom w:val="none" w:sz="0" w:space="0" w:color="auto"/>
        <w:right w:val="none" w:sz="0" w:space="0" w:color="auto"/>
      </w:divBdr>
    </w:div>
    <w:div w:id="1470660541">
      <w:bodyDiv w:val="1"/>
      <w:marLeft w:val="0"/>
      <w:marRight w:val="0"/>
      <w:marTop w:val="0"/>
      <w:marBottom w:val="0"/>
      <w:divBdr>
        <w:top w:val="none" w:sz="0" w:space="0" w:color="auto"/>
        <w:left w:val="none" w:sz="0" w:space="0" w:color="auto"/>
        <w:bottom w:val="none" w:sz="0" w:space="0" w:color="auto"/>
        <w:right w:val="none" w:sz="0" w:space="0" w:color="auto"/>
      </w:divBdr>
    </w:div>
    <w:div w:id="1470901621">
      <w:bodyDiv w:val="1"/>
      <w:marLeft w:val="0"/>
      <w:marRight w:val="0"/>
      <w:marTop w:val="0"/>
      <w:marBottom w:val="0"/>
      <w:divBdr>
        <w:top w:val="none" w:sz="0" w:space="0" w:color="auto"/>
        <w:left w:val="none" w:sz="0" w:space="0" w:color="auto"/>
        <w:bottom w:val="none" w:sz="0" w:space="0" w:color="auto"/>
        <w:right w:val="none" w:sz="0" w:space="0" w:color="auto"/>
      </w:divBdr>
    </w:div>
    <w:div w:id="1470901860">
      <w:bodyDiv w:val="1"/>
      <w:marLeft w:val="0"/>
      <w:marRight w:val="0"/>
      <w:marTop w:val="0"/>
      <w:marBottom w:val="0"/>
      <w:divBdr>
        <w:top w:val="none" w:sz="0" w:space="0" w:color="auto"/>
        <w:left w:val="none" w:sz="0" w:space="0" w:color="auto"/>
        <w:bottom w:val="none" w:sz="0" w:space="0" w:color="auto"/>
        <w:right w:val="none" w:sz="0" w:space="0" w:color="auto"/>
      </w:divBdr>
    </w:div>
    <w:div w:id="1471048045">
      <w:bodyDiv w:val="1"/>
      <w:marLeft w:val="0"/>
      <w:marRight w:val="0"/>
      <w:marTop w:val="0"/>
      <w:marBottom w:val="0"/>
      <w:divBdr>
        <w:top w:val="none" w:sz="0" w:space="0" w:color="auto"/>
        <w:left w:val="none" w:sz="0" w:space="0" w:color="auto"/>
        <w:bottom w:val="none" w:sz="0" w:space="0" w:color="auto"/>
        <w:right w:val="none" w:sz="0" w:space="0" w:color="auto"/>
      </w:divBdr>
    </w:div>
    <w:div w:id="1471091001">
      <w:bodyDiv w:val="1"/>
      <w:marLeft w:val="0"/>
      <w:marRight w:val="0"/>
      <w:marTop w:val="0"/>
      <w:marBottom w:val="0"/>
      <w:divBdr>
        <w:top w:val="none" w:sz="0" w:space="0" w:color="auto"/>
        <w:left w:val="none" w:sz="0" w:space="0" w:color="auto"/>
        <w:bottom w:val="none" w:sz="0" w:space="0" w:color="auto"/>
        <w:right w:val="none" w:sz="0" w:space="0" w:color="auto"/>
      </w:divBdr>
    </w:div>
    <w:div w:id="1471095326">
      <w:bodyDiv w:val="1"/>
      <w:marLeft w:val="0"/>
      <w:marRight w:val="0"/>
      <w:marTop w:val="0"/>
      <w:marBottom w:val="0"/>
      <w:divBdr>
        <w:top w:val="none" w:sz="0" w:space="0" w:color="auto"/>
        <w:left w:val="none" w:sz="0" w:space="0" w:color="auto"/>
        <w:bottom w:val="none" w:sz="0" w:space="0" w:color="auto"/>
        <w:right w:val="none" w:sz="0" w:space="0" w:color="auto"/>
      </w:divBdr>
    </w:div>
    <w:div w:id="1471247318">
      <w:bodyDiv w:val="1"/>
      <w:marLeft w:val="0"/>
      <w:marRight w:val="0"/>
      <w:marTop w:val="0"/>
      <w:marBottom w:val="0"/>
      <w:divBdr>
        <w:top w:val="none" w:sz="0" w:space="0" w:color="auto"/>
        <w:left w:val="none" w:sz="0" w:space="0" w:color="auto"/>
        <w:bottom w:val="none" w:sz="0" w:space="0" w:color="auto"/>
        <w:right w:val="none" w:sz="0" w:space="0" w:color="auto"/>
      </w:divBdr>
    </w:div>
    <w:div w:id="1471291925">
      <w:bodyDiv w:val="1"/>
      <w:marLeft w:val="0"/>
      <w:marRight w:val="0"/>
      <w:marTop w:val="0"/>
      <w:marBottom w:val="0"/>
      <w:divBdr>
        <w:top w:val="none" w:sz="0" w:space="0" w:color="auto"/>
        <w:left w:val="none" w:sz="0" w:space="0" w:color="auto"/>
        <w:bottom w:val="none" w:sz="0" w:space="0" w:color="auto"/>
        <w:right w:val="none" w:sz="0" w:space="0" w:color="auto"/>
      </w:divBdr>
    </w:div>
    <w:div w:id="1471358032">
      <w:bodyDiv w:val="1"/>
      <w:marLeft w:val="0"/>
      <w:marRight w:val="0"/>
      <w:marTop w:val="0"/>
      <w:marBottom w:val="0"/>
      <w:divBdr>
        <w:top w:val="none" w:sz="0" w:space="0" w:color="auto"/>
        <w:left w:val="none" w:sz="0" w:space="0" w:color="auto"/>
        <w:bottom w:val="none" w:sz="0" w:space="0" w:color="auto"/>
        <w:right w:val="none" w:sz="0" w:space="0" w:color="auto"/>
      </w:divBdr>
    </w:div>
    <w:div w:id="1471362218">
      <w:bodyDiv w:val="1"/>
      <w:marLeft w:val="0"/>
      <w:marRight w:val="0"/>
      <w:marTop w:val="0"/>
      <w:marBottom w:val="0"/>
      <w:divBdr>
        <w:top w:val="none" w:sz="0" w:space="0" w:color="auto"/>
        <w:left w:val="none" w:sz="0" w:space="0" w:color="auto"/>
        <w:bottom w:val="none" w:sz="0" w:space="0" w:color="auto"/>
        <w:right w:val="none" w:sz="0" w:space="0" w:color="auto"/>
      </w:divBdr>
    </w:div>
    <w:div w:id="1471558107">
      <w:bodyDiv w:val="1"/>
      <w:marLeft w:val="0"/>
      <w:marRight w:val="0"/>
      <w:marTop w:val="0"/>
      <w:marBottom w:val="0"/>
      <w:divBdr>
        <w:top w:val="none" w:sz="0" w:space="0" w:color="auto"/>
        <w:left w:val="none" w:sz="0" w:space="0" w:color="auto"/>
        <w:bottom w:val="none" w:sz="0" w:space="0" w:color="auto"/>
        <w:right w:val="none" w:sz="0" w:space="0" w:color="auto"/>
      </w:divBdr>
    </w:div>
    <w:div w:id="1471560106">
      <w:bodyDiv w:val="1"/>
      <w:marLeft w:val="0"/>
      <w:marRight w:val="0"/>
      <w:marTop w:val="0"/>
      <w:marBottom w:val="0"/>
      <w:divBdr>
        <w:top w:val="none" w:sz="0" w:space="0" w:color="auto"/>
        <w:left w:val="none" w:sz="0" w:space="0" w:color="auto"/>
        <w:bottom w:val="none" w:sz="0" w:space="0" w:color="auto"/>
        <w:right w:val="none" w:sz="0" w:space="0" w:color="auto"/>
      </w:divBdr>
    </w:div>
    <w:div w:id="1471678179">
      <w:bodyDiv w:val="1"/>
      <w:marLeft w:val="0"/>
      <w:marRight w:val="0"/>
      <w:marTop w:val="0"/>
      <w:marBottom w:val="0"/>
      <w:divBdr>
        <w:top w:val="none" w:sz="0" w:space="0" w:color="auto"/>
        <w:left w:val="none" w:sz="0" w:space="0" w:color="auto"/>
        <w:bottom w:val="none" w:sz="0" w:space="0" w:color="auto"/>
        <w:right w:val="none" w:sz="0" w:space="0" w:color="auto"/>
      </w:divBdr>
    </w:div>
    <w:div w:id="1471707775">
      <w:bodyDiv w:val="1"/>
      <w:marLeft w:val="0"/>
      <w:marRight w:val="0"/>
      <w:marTop w:val="0"/>
      <w:marBottom w:val="0"/>
      <w:divBdr>
        <w:top w:val="none" w:sz="0" w:space="0" w:color="auto"/>
        <w:left w:val="none" w:sz="0" w:space="0" w:color="auto"/>
        <w:bottom w:val="none" w:sz="0" w:space="0" w:color="auto"/>
        <w:right w:val="none" w:sz="0" w:space="0" w:color="auto"/>
      </w:divBdr>
    </w:div>
    <w:div w:id="1471751146">
      <w:bodyDiv w:val="1"/>
      <w:marLeft w:val="0"/>
      <w:marRight w:val="0"/>
      <w:marTop w:val="0"/>
      <w:marBottom w:val="0"/>
      <w:divBdr>
        <w:top w:val="none" w:sz="0" w:space="0" w:color="auto"/>
        <w:left w:val="none" w:sz="0" w:space="0" w:color="auto"/>
        <w:bottom w:val="none" w:sz="0" w:space="0" w:color="auto"/>
        <w:right w:val="none" w:sz="0" w:space="0" w:color="auto"/>
      </w:divBdr>
    </w:div>
    <w:div w:id="1471826716">
      <w:bodyDiv w:val="1"/>
      <w:marLeft w:val="0"/>
      <w:marRight w:val="0"/>
      <w:marTop w:val="0"/>
      <w:marBottom w:val="0"/>
      <w:divBdr>
        <w:top w:val="none" w:sz="0" w:space="0" w:color="auto"/>
        <w:left w:val="none" w:sz="0" w:space="0" w:color="auto"/>
        <w:bottom w:val="none" w:sz="0" w:space="0" w:color="auto"/>
        <w:right w:val="none" w:sz="0" w:space="0" w:color="auto"/>
      </w:divBdr>
    </w:div>
    <w:div w:id="1471970778">
      <w:bodyDiv w:val="1"/>
      <w:marLeft w:val="0"/>
      <w:marRight w:val="0"/>
      <w:marTop w:val="0"/>
      <w:marBottom w:val="0"/>
      <w:divBdr>
        <w:top w:val="none" w:sz="0" w:space="0" w:color="auto"/>
        <w:left w:val="none" w:sz="0" w:space="0" w:color="auto"/>
        <w:bottom w:val="none" w:sz="0" w:space="0" w:color="auto"/>
        <w:right w:val="none" w:sz="0" w:space="0" w:color="auto"/>
      </w:divBdr>
    </w:div>
    <w:div w:id="1472017077">
      <w:bodyDiv w:val="1"/>
      <w:marLeft w:val="0"/>
      <w:marRight w:val="0"/>
      <w:marTop w:val="0"/>
      <w:marBottom w:val="0"/>
      <w:divBdr>
        <w:top w:val="none" w:sz="0" w:space="0" w:color="auto"/>
        <w:left w:val="none" w:sz="0" w:space="0" w:color="auto"/>
        <w:bottom w:val="none" w:sz="0" w:space="0" w:color="auto"/>
        <w:right w:val="none" w:sz="0" w:space="0" w:color="auto"/>
      </w:divBdr>
    </w:div>
    <w:div w:id="1472090063">
      <w:bodyDiv w:val="1"/>
      <w:marLeft w:val="0"/>
      <w:marRight w:val="0"/>
      <w:marTop w:val="0"/>
      <w:marBottom w:val="0"/>
      <w:divBdr>
        <w:top w:val="none" w:sz="0" w:space="0" w:color="auto"/>
        <w:left w:val="none" w:sz="0" w:space="0" w:color="auto"/>
        <w:bottom w:val="none" w:sz="0" w:space="0" w:color="auto"/>
        <w:right w:val="none" w:sz="0" w:space="0" w:color="auto"/>
      </w:divBdr>
    </w:div>
    <w:div w:id="1472361588">
      <w:bodyDiv w:val="1"/>
      <w:marLeft w:val="0"/>
      <w:marRight w:val="0"/>
      <w:marTop w:val="0"/>
      <w:marBottom w:val="0"/>
      <w:divBdr>
        <w:top w:val="none" w:sz="0" w:space="0" w:color="auto"/>
        <w:left w:val="none" w:sz="0" w:space="0" w:color="auto"/>
        <w:bottom w:val="none" w:sz="0" w:space="0" w:color="auto"/>
        <w:right w:val="none" w:sz="0" w:space="0" w:color="auto"/>
      </w:divBdr>
    </w:div>
    <w:div w:id="1472408794">
      <w:bodyDiv w:val="1"/>
      <w:marLeft w:val="0"/>
      <w:marRight w:val="0"/>
      <w:marTop w:val="0"/>
      <w:marBottom w:val="0"/>
      <w:divBdr>
        <w:top w:val="none" w:sz="0" w:space="0" w:color="auto"/>
        <w:left w:val="none" w:sz="0" w:space="0" w:color="auto"/>
        <w:bottom w:val="none" w:sz="0" w:space="0" w:color="auto"/>
        <w:right w:val="none" w:sz="0" w:space="0" w:color="auto"/>
      </w:divBdr>
    </w:div>
    <w:div w:id="1472475032">
      <w:bodyDiv w:val="1"/>
      <w:marLeft w:val="0"/>
      <w:marRight w:val="0"/>
      <w:marTop w:val="0"/>
      <w:marBottom w:val="0"/>
      <w:divBdr>
        <w:top w:val="none" w:sz="0" w:space="0" w:color="auto"/>
        <w:left w:val="none" w:sz="0" w:space="0" w:color="auto"/>
        <w:bottom w:val="none" w:sz="0" w:space="0" w:color="auto"/>
        <w:right w:val="none" w:sz="0" w:space="0" w:color="auto"/>
      </w:divBdr>
    </w:div>
    <w:div w:id="1472477588">
      <w:bodyDiv w:val="1"/>
      <w:marLeft w:val="0"/>
      <w:marRight w:val="0"/>
      <w:marTop w:val="0"/>
      <w:marBottom w:val="0"/>
      <w:divBdr>
        <w:top w:val="none" w:sz="0" w:space="0" w:color="auto"/>
        <w:left w:val="none" w:sz="0" w:space="0" w:color="auto"/>
        <w:bottom w:val="none" w:sz="0" w:space="0" w:color="auto"/>
        <w:right w:val="none" w:sz="0" w:space="0" w:color="auto"/>
      </w:divBdr>
    </w:div>
    <w:div w:id="1472551098">
      <w:bodyDiv w:val="1"/>
      <w:marLeft w:val="0"/>
      <w:marRight w:val="0"/>
      <w:marTop w:val="0"/>
      <w:marBottom w:val="0"/>
      <w:divBdr>
        <w:top w:val="none" w:sz="0" w:space="0" w:color="auto"/>
        <w:left w:val="none" w:sz="0" w:space="0" w:color="auto"/>
        <w:bottom w:val="none" w:sz="0" w:space="0" w:color="auto"/>
        <w:right w:val="none" w:sz="0" w:space="0" w:color="auto"/>
      </w:divBdr>
    </w:div>
    <w:div w:id="1472554827">
      <w:bodyDiv w:val="1"/>
      <w:marLeft w:val="0"/>
      <w:marRight w:val="0"/>
      <w:marTop w:val="0"/>
      <w:marBottom w:val="0"/>
      <w:divBdr>
        <w:top w:val="none" w:sz="0" w:space="0" w:color="auto"/>
        <w:left w:val="none" w:sz="0" w:space="0" w:color="auto"/>
        <w:bottom w:val="none" w:sz="0" w:space="0" w:color="auto"/>
        <w:right w:val="none" w:sz="0" w:space="0" w:color="auto"/>
      </w:divBdr>
    </w:div>
    <w:div w:id="1472596349">
      <w:bodyDiv w:val="1"/>
      <w:marLeft w:val="0"/>
      <w:marRight w:val="0"/>
      <w:marTop w:val="0"/>
      <w:marBottom w:val="0"/>
      <w:divBdr>
        <w:top w:val="none" w:sz="0" w:space="0" w:color="auto"/>
        <w:left w:val="none" w:sz="0" w:space="0" w:color="auto"/>
        <w:bottom w:val="none" w:sz="0" w:space="0" w:color="auto"/>
        <w:right w:val="none" w:sz="0" w:space="0" w:color="auto"/>
      </w:divBdr>
    </w:div>
    <w:div w:id="1472749171">
      <w:bodyDiv w:val="1"/>
      <w:marLeft w:val="0"/>
      <w:marRight w:val="0"/>
      <w:marTop w:val="0"/>
      <w:marBottom w:val="0"/>
      <w:divBdr>
        <w:top w:val="none" w:sz="0" w:space="0" w:color="auto"/>
        <w:left w:val="none" w:sz="0" w:space="0" w:color="auto"/>
        <w:bottom w:val="none" w:sz="0" w:space="0" w:color="auto"/>
        <w:right w:val="none" w:sz="0" w:space="0" w:color="auto"/>
      </w:divBdr>
    </w:div>
    <w:div w:id="1472862233">
      <w:bodyDiv w:val="1"/>
      <w:marLeft w:val="0"/>
      <w:marRight w:val="0"/>
      <w:marTop w:val="0"/>
      <w:marBottom w:val="0"/>
      <w:divBdr>
        <w:top w:val="none" w:sz="0" w:space="0" w:color="auto"/>
        <w:left w:val="none" w:sz="0" w:space="0" w:color="auto"/>
        <w:bottom w:val="none" w:sz="0" w:space="0" w:color="auto"/>
        <w:right w:val="none" w:sz="0" w:space="0" w:color="auto"/>
      </w:divBdr>
    </w:div>
    <w:div w:id="1472865214">
      <w:bodyDiv w:val="1"/>
      <w:marLeft w:val="0"/>
      <w:marRight w:val="0"/>
      <w:marTop w:val="0"/>
      <w:marBottom w:val="0"/>
      <w:divBdr>
        <w:top w:val="none" w:sz="0" w:space="0" w:color="auto"/>
        <w:left w:val="none" w:sz="0" w:space="0" w:color="auto"/>
        <w:bottom w:val="none" w:sz="0" w:space="0" w:color="auto"/>
        <w:right w:val="none" w:sz="0" w:space="0" w:color="auto"/>
      </w:divBdr>
    </w:div>
    <w:div w:id="1472987327">
      <w:bodyDiv w:val="1"/>
      <w:marLeft w:val="0"/>
      <w:marRight w:val="0"/>
      <w:marTop w:val="0"/>
      <w:marBottom w:val="0"/>
      <w:divBdr>
        <w:top w:val="none" w:sz="0" w:space="0" w:color="auto"/>
        <w:left w:val="none" w:sz="0" w:space="0" w:color="auto"/>
        <w:bottom w:val="none" w:sz="0" w:space="0" w:color="auto"/>
        <w:right w:val="none" w:sz="0" w:space="0" w:color="auto"/>
      </w:divBdr>
    </w:div>
    <w:div w:id="1472988392">
      <w:bodyDiv w:val="1"/>
      <w:marLeft w:val="0"/>
      <w:marRight w:val="0"/>
      <w:marTop w:val="0"/>
      <w:marBottom w:val="0"/>
      <w:divBdr>
        <w:top w:val="none" w:sz="0" w:space="0" w:color="auto"/>
        <w:left w:val="none" w:sz="0" w:space="0" w:color="auto"/>
        <w:bottom w:val="none" w:sz="0" w:space="0" w:color="auto"/>
        <w:right w:val="none" w:sz="0" w:space="0" w:color="auto"/>
      </w:divBdr>
    </w:div>
    <w:div w:id="1473012543">
      <w:bodyDiv w:val="1"/>
      <w:marLeft w:val="0"/>
      <w:marRight w:val="0"/>
      <w:marTop w:val="0"/>
      <w:marBottom w:val="0"/>
      <w:divBdr>
        <w:top w:val="none" w:sz="0" w:space="0" w:color="auto"/>
        <w:left w:val="none" w:sz="0" w:space="0" w:color="auto"/>
        <w:bottom w:val="none" w:sz="0" w:space="0" w:color="auto"/>
        <w:right w:val="none" w:sz="0" w:space="0" w:color="auto"/>
      </w:divBdr>
    </w:div>
    <w:div w:id="1473019439">
      <w:bodyDiv w:val="1"/>
      <w:marLeft w:val="0"/>
      <w:marRight w:val="0"/>
      <w:marTop w:val="0"/>
      <w:marBottom w:val="0"/>
      <w:divBdr>
        <w:top w:val="none" w:sz="0" w:space="0" w:color="auto"/>
        <w:left w:val="none" w:sz="0" w:space="0" w:color="auto"/>
        <w:bottom w:val="none" w:sz="0" w:space="0" w:color="auto"/>
        <w:right w:val="none" w:sz="0" w:space="0" w:color="auto"/>
      </w:divBdr>
    </w:div>
    <w:div w:id="1473130989">
      <w:bodyDiv w:val="1"/>
      <w:marLeft w:val="0"/>
      <w:marRight w:val="0"/>
      <w:marTop w:val="0"/>
      <w:marBottom w:val="0"/>
      <w:divBdr>
        <w:top w:val="none" w:sz="0" w:space="0" w:color="auto"/>
        <w:left w:val="none" w:sz="0" w:space="0" w:color="auto"/>
        <w:bottom w:val="none" w:sz="0" w:space="0" w:color="auto"/>
        <w:right w:val="none" w:sz="0" w:space="0" w:color="auto"/>
      </w:divBdr>
    </w:div>
    <w:div w:id="1473134686">
      <w:bodyDiv w:val="1"/>
      <w:marLeft w:val="0"/>
      <w:marRight w:val="0"/>
      <w:marTop w:val="0"/>
      <w:marBottom w:val="0"/>
      <w:divBdr>
        <w:top w:val="none" w:sz="0" w:space="0" w:color="auto"/>
        <w:left w:val="none" w:sz="0" w:space="0" w:color="auto"/>
        <w:bottom w:val="none" w:sz="0" w:space="0" w:color="auto"/>
        <w:right w:val="none" w:sz="0" w:space="0" w:color="auto"/>
      </w:divBdr>
    </w:div>
    <w:div w:id="1473135357">
      <w:bodyDiv w:val="1"/>
      <w:marLeft w:val="0"/>
      <w:marRight w:val="0"/>
      <w:marTop w:val="0"/>
      <w:marBottom w:val="0"/>
      <w:divBdr>
        <w:top w:val="none" w:sz="0" w:space="0" w:color="auto"/>
        <w:left w:val="none" w:sz="0" w:space="0" w:color="auto"/>
        <w:bottom w:val="none" w:sz="0" w:space="0" w:color="auto"/>
        <w:right w:val="none" w:sz="0" w:space="0" w:color="auto"/>
      </w:divBdr>
    </w:div>
    <w:div w:id="1473250886">
      <w:bodyDiv w:val="1"/>
      <w:marLeft w:val="0"/>
      <w:marRight w:val="0"/>
      <w:marTop w:val="0"/>
      <w:marBottom w:val="0"/>
      <w:divBdr>
        <w:top w:val="none" w:sz="0" w:space="0" w:color="auto"/>
        <w:left w:val="none" w:sz="0" w:space="0" w:color="auto"/>
        <w:bottom w:val="none" w:sz="0" w:space="0" w:color="auto"/>
        <w:right w:val="none" w:sz="0" w:space="0" w:color="auto"/>
      </w:divBdr>
    </w:div>
    <w:div w:id="1473254847">
      <w:bodyDiv w:val="1"/>
      <w:marLeft w:val="0"/>
      <w:marRight w:val="0"/>
      <w:marTop w:val="0"/>
      <w:marBottom w:val="0"/>
      <w:divBdr>
        <w:top w:val="none" w:sz="0" w:space="0" w:color="auto"/>
        <w:left w:val="none" w:sz="0" w:space="0" w:color="auto"/>
        <w:bottom w:val="none" w:sz="0" w:space="0" w:color="auto"/>
        <w:right w:val="none" w:sz="0" w:space="0" w:color="auto"/>
      </w:divBdr>
    </w:div>
    <w:div w:id="1473255083">
      <w:bodyDiv w:val="1"/>
      <w:marLeft w:val="0"/>
      <w:marRight w:val="0"/>
      <w:marTop w:val="0"/>
      <w:marBottom w:val="0"/>
      <w:divBdr>
        <w:top w:val="none" w:sz="0" w:space="0" w:color="auto"/>
        <w:left w:val="none" w:sz="0" w:space="0" w:color="auto"/>
        <w:bottom w:val="none" w:sz="0" w:space="0" w:color="auto"/>
        <w:right w:val="none" w:sz="0" w:space="0" w:color="auto"/>
      </w:divBdr>
    </w:div>
    <w:div w:id="1473324046">
      <w:bodyDiv w:val="1"/>
      <w:marLeft w:val="0"/>
      <w:marRight w:val="0"/>
      <w:marTop w:val="0"/>
      <w:marBottom w:val="0"/>
      <w:divBdr>
        <w:top w:val="none" w:sz="0" w:space="0" w:color="auto"/>
        <w:left w:val="none" w:sz="0" w:space="0" w:color="auto"/>
        <w:bottom w:val="none" w:sz="0" w:space="0" w:color="auto"/>
        <w:right w:val="none" w:sz="0" w:space="0" w:color="auto"/>
      </w:divBdr>
    </w:div>
    <w:div w:id="1473324180">
      <w:bodyDiv w:val="1"/>
      <w:marLeft w:val="0"/>
      <w:marRight w:val="0"/>
      <w:marTop w:val="0"/>
      <w:marBottom w:val="0"/>
      <w:divBdr>
        <w:top w:val="none" w:sz="0" w:space="0" w:color="auto"/>
        <w:left w:val="none" w:sz="0" w:space="0" w:color="auto"/>
        <w:bottom w:val="none" w:sz="0" w:space="0" w:color="auto"/>
        <w:right w:val="none" w:sz="0" w:space="0" w:color="auto"/>
      </w:divBdr>
    </w:div>
    <w:div w:id="1473402927">
      <w:bodyDiv w:val="1"/>
      <w:marLeft w:val="0"/>
      <w:marRight w:val="0"/>
      <w:marTop w:val="0"/>
      <w:marBottom w:val="0"/>
      <w:divBdr>
        <w:top w:val="none" w:sz="0" w:space="0" w:color="auto"/>
        <w:left w:val="none" w:sz="0" w:space="0" w:color="auto"/>
        <w:bottom w:val="none" w:sz="0" w:space="0" w:color="auto"/>
        <w:right w:val="none" w:sz="0" w:space="0" w:color="auto"/>
      </w:divBdr>
    </w:div>
    <w:div w:id="1473404086">
      <w:bodyDiv w:val="1"/>
      <w:marLeft w:val="0"/>
      <w:marRight w:val="0"/>
      <w:marTop w:val="0"/>
      <w:marBottom w:val="0"/>
      <w:divBdr>
        <w:top w:val="none" w:sz="0" w:space="0" w:color="auto"/>
        <w:left w:val="none" w:sz="0" w:space="0" w:color="auto"/>
        <w:bottom w:val="none" w:sz="0" w:space="0" w:color="auto"/>
        <w:right w:val="none" w:sz="0" w:space="0" w:color="auto"/>
      </w:divBdr>
    </w:div>
    <w:div w:id="1473593103">
      <w:bodyDiv w:val="1"/>
      <w:marLeft w:val="0"/>
      <w:marRight w:val="0"/>
      <w:marTop w:val="0"/>
      <w:marBottom w:val="0"/>
      <w:divBdr>
        <w:top w:val="none" w:sz="0" w:space="0" w:color="auto"/>
        <w:left w:val="none" w:sz="0" w:space="0" w:color="auto"/>
        <w:bottom w:val="none" w:sz="0" w:space="0" w:color="auto"/>
        <w:right w:val="none" w:sz="0" w:space="0" w:color="auto"/>
      </w:divBdr>
    </w:div>
    <w:div w:id="1473597927">
      <w:bodyDiv w:val="1"/>
      <w:marLeft w:val="0"/>
      <w:marRight w:val="0"/>
      <w:marTop w:val="0"/>
      <w:marBottom w:val="0"/>
      <w:divBdr>
        <w:top w:val="none" w:sz="0" w:space="0" w:color="auto"/>
        <w:left w:val="none" w:sz="0" w:space="0" w:color="auto"/>
        <w:bottom w:val="none" w:sz="0" w:space="0" w:color="auto"/>
        <w:right w:val="none" w:sz="0" w:space="0" w:color="auto"/>
      </w:divBdr>
    </w:div>
    <w:div w:id="1473669329">
      <w:bodyDiv w:val="1"/>
      <w:marLeft w:val="0"/>
      <w:marRight w:val="0"/>
      <w:marTop w:val="0"/>
      <w:marBottom w:val="0"/>
      <w:divBdr>
        <w:top w:val="none" w:sz="0" w:space="0" w:color="auto"/>
        <w:left w:val="none" w:sz="0" w:space="0" w:color="auto"/>
        <w:bottom w:val="none" w:sz="0" w:space="0" w:color="auto"/>
        <w:right w:val="none" w:sz="0" w:space="0" w:color="auto"/>
      </w:divBdr>
    </w:div>
    <w:div w:id="1473718471">
      <w:bodyDiv w:val="1"/>
      <w:marLeft w:val="0"/>
      <w:marRight w:val="0"/>
      <w:marTop w:val="0"/>
      <w:marBottom w:val="0"/>
      <w:divBdr>
        <w:top w:val="none" w:sz="0" w:space="0" w:color="auto"/>
        <w:left w:val="none" w:sz="0" w:space="0" w:color="auto"/>
        <w:bottom w:val="none" w:sz="0" w:space="0" w:color="auto"/>
        <w:right w:val="none" w:sz="0" w:space="0" w:color="auto"/>
      </w:divBdr>
    </w:div>
    <w:div w:id="1473719335">
      <w:bodyDiv w:val="1"/>
      <w:marLeft w:val="0"/>
      <w:marRight w:val="0"/>
      <w:marTop w:val="0"/>
      <w:marBottom w:val="0"/>
      <w:divBdr>
        <w:top w:val="none" w:sz="0" w:space="0" w:color="auto"/>
        <w:left w:val="none" w:sz="0" w:space="0" w:color="auto"/>
        <w:bottom w:val="none" w:sz="0" w:space="0" w:color="auto"/>
        <w:right w:val="none" w:sz="0" w:space="0" w:color="auto"/>
      </w:divBdr>
    </w:div>
    <w:div w:id="1473862534">
      <w:bodyDiv w:val="1"/>
      <w:marLeft w:val="0"/>
      <w:marRight w:val="0"/>
      <w:marTop w:val="0"/>
      <w:marBottom w:val="0"/>
      <w:divBdr>
        <w:top w:val="none" w:sz="0" w:space="0" w:color="auto"/>
        <w:left w:val="none" w:sz="0" w:space="0" w:color="auto"/>
        <w:bottom w:val="none" w:sz="0" w:space="0" w:color="auto"/>
        <w:right w:val="none" w:sz="0" w:space="0" w:color="auto"/>
      </w:divBdr>
    </w:div>
    <w:div w:id="1474062832">
      <w:bodyDiv w:val="1"/>
      <w:marLeft w:val="0"/>
      <w:marRight w:val="0"/>
      <w:marTop w:val="0"/>
      <w:marBottom w:val="0"/>
      <w:divBdr>
        <w:top w:val="none" w:sz="0" w:space="0" w:color="auto"/>
        <w:left w:val="none" w:sz="0" w:space="0" w:color="auto"/>
        <w:bottom w:val="none" w:sz="0" w:space="0" w:color="auto"/>
        <w:right w:val="none" w:sz="0" w:space="0" w:color="auto"/>
      </w:divBdr>
    </w:div>
    <w:div w:id="1474250778">
      <w:bodyDiv w:val="1"/>
      <w:marLeft w:val="0"/>
      <w:marRight w:val="0"/>
      <w:marTop w:val="0"/>
      <w:marBottom w:val="0"/>
      <w:divBdr>
        <w:top w:val="none" w:sz="0" w:space="0" w:color="auto"/>
        <w:left w:val="none" w:sz="0" w:space="0" w:color="auto"/>
        <w:bottom w:val="none" w:sz="0" w:space="0" w:color="auto"/>
        <w:right w:val="none" w:sz="0" w:space="0" w:color="auto"/>
      </w:divBdr>
    </w:div>
    <w:div w:id="1474330364">
      <w:bodyDiv w:val="1"/>
      <w:marLeft w:val="0"/>
      <w:marRight w:val="0"/>
      <w:marTop w:val="0"/>
      <w:marBottom w:val="0"/>
      <w:divBdr>
        <w:top w:val="none" w:sz="0" w:space="0" w:color="auto"/>
        <w:left w:val="none" w:sz="0" w:space="0" w:color="auto"/>
        <w:bottom w:val="none" w:sz="0" w:space="0" w:color="auto"/>
        <w:right w:val="none" w:sz="0" w:space="0" w:color="auto"/>
      </w:divBdr>
    </w:div>
    <w:div w:id="1474444214">
      <w:bodyDiv w:val="1"/>
      <w:marLeft w:val="0"/>
      <w:marRight w:val="0"/>
      <w:marTop w:val="0"/>
      <w:marBottom w:val="0"/>
      <w:divBdr>
        <w:top w:val="none" w:sz="0" w:space="0" w:color="auto"/>
        <w:left w:val="none" w:sz="0" w:space="0" w:color="auto"/>
        <w:bottom w:val="none" w:sz="0" w:space="0" w:color="auto"/>
        <w:right w:val="none" w:sz="0" w:space="0" w:color="auto"/>
      </w:divBdr>
    </w:div>
    <w:div w:id="1474641240">
      <w:bodyDiv w:val="1"/>
      <w:marLeft w:val="0"/>
      <w:marRight w:val="0"/>
      <w:marTop w:val="0"/>
      <w:marBottom w:val="0"/>
      <w:divBdr>
        <w:top w:val="none" w:sz="0" w:space="0" w:color="auto"/>
        <w:left w:val="none" w:sz="0" w:space="0" w:color="auto"/>
        <w:bottom w:val="none" w:sz="0" w:space="0" w:color="auto"/>
        <w:right w:val="none" w:sz="0" w:space="0" w:color="auto"/>
      </w:divBdr>
    </w:div>
    <w:div w:id="1474786764">
      <w:bodyDiv w:val="1"/>
      <w:marLeft w:val="0"/>
      <w:marRight w:val="0"/>
      <w:marTop w:val="0"/>
      <w:marBottom w:val="0"/>
      <w:divBdr>
        <w:top w:val="none" w:sz="0" w:space="0" w:color="auto"/>
        <w:left w:val="none" w:sz="0" w:space="0" w:color="auto"/>
        <w:bottom w:val="none" w:sz="0" w:space="0" w:color="auto"/>
        <w:right w:val="none" w:sz="0" w:space="0" w:color="auto"/>
      </w:divBdr>
    </w:div>
    <w:div w:id="1474830468">
      <w:bodyDiv w:val="1"/>
      <w:marLeft w:val="0"/>
      <w:marRight w:val="0"/>
      <w:marTop w:val="0"/>
      <w:marBottom w:val="0"/>
      <w:divBdr>
        <w:top w:val="none" w:sz="0" w:space="0" w:color="auto"/>
        <w:left w:val="none" w:sz="0" w:space="0" w:color="auto"/>
        <w:bottom w:val="none" w:sz="0" w:space="0" w:color="auto"/>
        <w:right w:val="none" w:sz="0" w:space="0" w:color="auto"/>
      </w:divBdr>
    </w:div>
    <w:div w:id="1474904694">
      <w:bodyDiv w:val="1"/>
      <w:marLeft w:val="0"/>
      <w:marRight w:val="0"/>
      <w:marTop w:val="0"/>
      <w:marBottom w:val="0"/>
      <w:divBdr>
        <w:top w:val="none" w:sz="0" w:space="0" w:color="auto"/>
        <w:left w:val="none" w:sz="0" w:space="0" w:color="auto"/>
        <w:bottom w:val="none" w:sz="0" w:space="0" w:color="auto"/>
        <w:right w:val="none" w:sz="0" w:space="0" w:color="auto"/>
      </w:divBdr>
    </w:div>
    <w:div w:id="1474906692">
      <w:bodyDiv w:val="1"/>
      <w:marLeft w:val="0"/>
      <w:marRight w:val="0"/>
      <w:marTop w:val="0"/>
      <w:marBottom w:val="0"/>
      <w:divBdr>
        <w:top w:val="none" w:sz="0" w:space="0" w:color="auto"/>
        <w:left w:val="none" w:sz="0" w:space="0" w:color="auto"/>
        <w:bottom w:val="none" w:sz="0" w:space="0" w:color="auto"/>
        <w:right w:val="none" w:sz="0" w:space="0" w:color="auto"/>
      </w:divBdr>
    </w:div>
    <w:div w:id="1474985162">
      <w:bodyDiv w:val="1"/>
      <w:marLeft w:val="0"/>
      <w:marRight w:val="0"/>
      <w:marTop w:val="0"/>
      <w:marBottom w:val="0"/>
      <w:divBdr>
        <w:top w:val="none" w:sz="0" w:space="0" w:color="auto"/>
        <w:left w:val="none" w:sz="0" w:space="0" w:color="auto"/>
        <w:bottom w:val="none" w:sz="0" w:space="0" w:color="auto"/>
        <w:right w:val="none" w:sz="0" w:space="0" w:color="auto"/>
      </w:divBdr>
    </w:div>
    <w:div w:id="1475221823">
      <w:bodyDiv w:val="1"/>
      <w:marLeft w:val="0"/>
      <w:marRight w:val="0"/>
      <w:marTop w:val="0"/>
      <w:marBottom w:val="0"/>
      <w:divBdr>
        <w:top w:val="none" w:sz="0" w:space="0" w:color="auto"/>
        <w:left w:val="none" w:sz="0" w:space="0" w:color="auto"/>
        <w:bottom w:val="none" w:sz="0" w:space="0" w:color="auto"/>
        <w:right w:val="none" w:sz="0" w:space="0" w:color="auto"/>
      </w:divBdr>
    </w:div>
    <w:div w:id="1475373401">
      <w:bodyDiv w:val="1"/>
      <w:marLeft w:val="0"/>
      <w:marRight w:val="0"/>
      <w:marTop w:val="0"/>
      <w:marBottom w:val="0"/>
      <w:divBdr>
        <w:top w:val="none" w:sz="0" w:space="0" w:color="auto"/>
        <w:left w:val="none" w:sz="0" w:space="0" w:color="auto"/>
        <w:bottom w:val="none" w:sz="0" w:space="0" w:color="auto"/>
        <w:right w:val="none" w:sz="0" w:space="0" w:color="auto"/>
      </w:divBdr>
    </w:div>
    <w:div w:id="1475443848">
      <w:bodyDiv w:val="1"/>
      <w:marLeft w:val="0"/>
      <w:marRight w:val="0"/>
      <w:marTop w:val="0"/>
      <w:marBottom w:val="0"/>
      <w:divBdr>
        <w:top w:val="none" w:sz="0" w:space="0" w:color="auto"/>
        <w:left w:val="none" w:sz="0" w:space="0" w:color="auto"/>
        <w:bottom w:val="none" w:sz="0" w:space="0" w:color="auto"/>
        <w:right w:val="none" w:sz="0" w:space="0" w:color="auto"/>
      </w:divBdr>
    </w:div>
    <w:div w:id="1475483066">
      <w:bodyDiv w:val="1"/>
      <w:marLeft w:val="0"/>
      <w:marRight w:val="0"/>
      <w:marTop w:val="0"/>
      <w:marBottom w:val="0"/>
      <w:divBdr>
        <w:top w:val="none" w:sz="0" w:space="0" w:color="auto"/>
        <w:left w:val="none" w:sz="0" w:space="0" w:color="auto"/>
        <w:bottom w:val="none" w:sz="0" w:space="0" w:color="auto"/>
        <w:right w:val="none" w:sz="0" w:space="0" w:color="auto"/>
      </w:divBdr>
    </w:div>
    <w:div w:id="1475560149">
      <w:bodyDiv w:val="1"/>
      <w:marLeft w:val="0"/>
      <w:marRight w:val="0"/>
      <w:marTop w:val="0"/>
      <w:marBottom w:val="0"/>
      <w:divBdr>
        <w:top w:val="none" w:sz="0" w:space="0" w:color="auto"/>
        <w:left w:val="none" w:sz="0" w:space="0" w:color="auto"/>
        <w:bottom w:val="none" w:sz="0" w:space="0" w:color="auto"/>
        <w:right w:val="none" w:sz="0" w:space="0" w:color="auto"/>
      </w:divBdr>
    </w:div>
    <w:div w:id="1475636427">
      <w:bodyDiv w:val="1"/>
      <w:marLeft w:val="0"/>
      <w:marRight w:val="0"/>
      <w:marTop w:val="0"/>
      <w:marBottom w:val="0"/>
      <w:divBdr>
        <w:top w:val="none" w:sz="0" w:space="0" w:color="auto"/>
        <w:left w:val="none" w:sz="0" w:space="0" w:color="auto"/>
        <w:bottom w:val="none" w:sz="0" w:space="0" w:color="auto"/>
        <w:right w:val="none" w:sz="0" w:space="0" w:color="auto"/>
      </w:divBdr>
    </w:div>
    <w:div w:id="1475638134">
      <w:bodyDiv w:val="1"/>
      <w:marLeft w:val="0"/>
      <w:marRight w:val="0"/>
      <w:marTop w:val="0"/>
      <w:marBottom w:val="0"/>
      <w:divBdr>
        <w:top w:val="none" w:sz="0" w:space="0" w:color="auto"/>
        <w:left w:val="none" w:sz="0" w:space="0" w:color="auto"/>
        <w:bottom w:val="none" w:sz="0" w:space="0" w:color="auto"/>
        <w:right w:val="none" w:sz="0" w:space="0" w:color="auto"/>
      </w:divBdr>
    </w:div>
    <w:div w:id="1475682305">
      <w:bodyDiv w:val="1"/>
      <w:marLeft w:val="0"/>
      <w:marRight w:val="0"/>
      <w:marTop w:val="0"/>
      <w:marBottom w:val="0"/>
      <w:divBdr>
        <w:top w:val="none" w:sz="0" w:space="0" w:color="auto"/>
        <w:left w:val="none" w:sz="0" w:space="0" w:color="auto"/>
        <w:bottom w:val="none" w:sz="0" w:space="0" w:color="auto"/>
        <w:right w:val="none" w:sz="0" w:space="0" w:color="auto"/>
      </w:divBdr>
    </w:div>
    <w:div w:id="1476025123">
      <w:bodyDiv w:val="1"/>
      <w:marLeft w:val="0"/>
      <w:marRight w:val="0"/>
      <w:marTop w:val="0"/>
      <w:marBottom w:val="0"/>
      <w:divBdr>
        <w:top w:val="none" w:sz="0" w:space="0" w:color="auto"/>
        <w:left w:val="none" w:sz="0" w:space="0" w:color="auto"/>
        <w:bottom w:val="none" w:sz="0" w:space="0" w:color="auto"/>
        <w:right w:val="none" w:sz="0" w:space="0" w:color="auto"/>
      </w:divBdr>
    </w:div>
    <w:div w:id="1476140657">
      <w:bodyDiv w:val="1"/>
      <w:marLeft w:val="0"/>
      <w:marRight w:val="0"/>
      <w:marTop w:val="0"/>
      <w:marBottom w:val="0"/>
      <w:divBdr>
        <w:top w:val="none" w:sz="0" w:space="0" w:color="auto"/>
        <w:left w:val="none" w:sz="0" w:space="0" w:color="auto"/>
        <w:bottom w:val="none" w:sz="0" w:space="0" w:color="auto"/>
        <w:right w:val="none" w:sz="0" w:space="0" w:color="auto"/>
      </w:divBdr>
    </w:div>
    <w:div w:id="1476145867">
      <w:bodyDiv w:val="1"/>
      <w:marLeft w:val="0"/>
      <w:marRight w:val="0"/>
      <w:marTop w:val="0"/>
      <w:marBottom w:val="0"/>
      <w:divBdr>
        <w:top w:val="none" w:sz="0" w:space="0" w:color="auto"/>
        <w:left w:val="none" w:sz="0" w:space="0" w:color="auto"/>
        <w:bottom w:val="none" w:sz="0" w:space="0" w:color="auto"/>
        <w:right w:val="none" w:sz="0" w:space="0" w:color="auto"/>
      </w:divBdr>
    </w:div>
    <w:div w:id="1476214215">
      <w:bodyDiv w:val="1"/>
      <w:marLeft w:val="0"/>
      <w:marRight w:val="0"/>
      <w:marTop w:val="0"/>
      <w:marBottom w:val="0"/>
      <w:divBdr>
        <w:top w:val="none" w:sz="0" w:space="0" w:color="auto"/>
        <w:left w:val="none" w:sz="0" w:space="0" w:color="auto"/>
        <w:bottom w:val="none" w:sz="0" w:space="0" w:color="auto"/>
        <w:right w:val="none" w:sz="0" w:space="0" w:color="auto"/>
      </w:divBdr>
    </w:div>
    <w:div w:id="1476265321">
      <w:bodyDiv w:val="1"/>
      <w:marLeft w:val="0"/>
      <w:marRight w:val="0"/>
      <w:marTop w:val="0"/>
      <w:marBottom w:val="0"/>
      <w:divBdr>
        <w:top w:val="none" w:sz="0" w:space="0" w:color="auto"/>
        <w:left w:val="none" w:sz="0" w:space="0" w:color="auto"/>
        <w:bottom w:val="none" w:sz="0" w:space="0" w:color="auto"/>
        <w:right w:val="none" w:sz="0" w:space="0" w:color="auto"/>
      </w:divBdr>
    </w:div>
    <w:div w:id="1476412034">
      <w:bodyDiv w:val="1"/>
      <w:marLeft w:val="0"/>
      <w:marRight w:val="0"/>
      <w:marTop w:val="0"/>
      <w:marBottom w:val="0"/>
      <w:divBdr>
        <w:top w:val="none" w:sz="0" w:space="0" w:color="auto"/>
        <w:left w:val="none" w:sz="0" w:space="0" w:color="auto"/>
        <w:bottom w:val="none" w:sz="0" w:space="0" w:color="auto"/>
        <w:right w:val="none" w:sz="0" w:space="0" w:color="auto"/>
      </w:divBdr>
    </w:div>
    <w:div w:id="1476526201">
      <w:bodyDiv w:val="1"/>
      <w:marLeft w:val="0"/>
      <w:marRight w:val="0"/>
      <w:marTop w:val="0"/>
      <w:marBottom w:val="0"/>
      <w:divBdr>
        <w:top w:val="none" w:sz="0" w:space="0" w:color="auto"/>
        <w:left w:val="none" w:sz="0" w:space="0" w:color="auto"/>
        <w:bottom w:val="none" w:sz="0" w:space="0" w:color="auto"/>
        <w:right w:val="none" w:sz="0" w:space="0" w:color="auto"/>
      </w:divBdr>
    </w:div>
    <w:div w:id="1476679689">
      <w:bodyDiv w:val="1"/>
      <w:marLeft w:val="0"/>
      <w:marRight w:val="0"/>
      <w:marTop w:val="0"/>
      <w:marBottom w:val="0"/>
      <w:divBdr>
        <w:top w:val="none" w:sz="0" w:space="0" w:color="auto"/>
        <w:left w:val="none" w:sz="0" w:space="0" w:color="auto"/>
        <w:bottom w:val="none" w:sz="0" w:space="0" w:color="auto"/>
        <w:right w:val="none" w:sz="0" w:space="0" w:color="auto"/>
      </w:divBdr>
    </w:div>
    <w:div w:id="1476800696">
      <w:bodyDiv w:val="1"/>
      <w:marLeft w:val="0"/>
      <w:marRight w:val="0"/>
      <w:marTop w:val="0"/>
      <w:marBottom w:val="0"/>
      <w:divBdr>
        <w:top w:val="none" w:sz="0" w:space="0" w:color="auto"/>
        <w:left w:val="none" w:sz="0" w:space="0" w:color="auto"/>
        <w:bottom w:val="none" w:sz="0" w:space="0" w:color="auto"/>
        <w:right w:val="none" w:sz="0" w:space="0" w:color="auto"/>
      </w:divBdr>
    </w:div>
    <w:div w:id="1476870364">
      <w:bodyDiv w:val="1"/>
      <w:marLeft w:val="0"/>
      <w:marRight w:val="0"/>
      <w:marTop w:val="0"/>
      <w:marBottom w:val="0"/>
      <w:divBdr>
        <w:top w:val="none" w:sz="0" w:space="0" w:color="auto"/>
        <w:left w:val="none" w:sz="0" w:space="0" w:color="auto"/>
        <w:bottom w:val="none" w:sz="0" w:space="0" w:color="auto"/>
        <w:right w:val="none" w:sz="0" w:space="0" w:color="auto"/>
      </w:divBdr>
    </w:div>
    <w:div w:id="1476944062">
      <w:bodyDiv w:val="1"/>
      <w:marLeft w:val="0"/>
      <w:marRight w:val="0"/>
      <w:marTop w:val="0"/>
      <w:marBottom w:val="0"/>
      <w:divBdr>
        <w:top w:val="none" w:sz="0" w:space="0" w:color="auto"/>
        <w:left w:val="none" w:sz="0" w:space="0" w:color="auto"/>
        <w:bottom w:val="none" w:sz="0" w:space="0" w:color="auto"/>
        <w:right w:val="none" w:sz="0" w:space="0" w:color="auto"/>
      </w:divBdr>
    </w:div>
    <w:div w:id="1476947291">
      <w:bodyDiv w:val="1"/>
      <w:marLeft w:val="0"/>
      <w:marRight w:val="0"/>
      <w:marTop w:val="0"/>
      <w:marBottom w:val="0"/>
      <w:divBdr>
        <w:top w:val="none" w:sz="0" w:space="0" w:color="auto"/>
        <w:left w:val="none" w:sz="0" w:space="0" w:color="auto"/>
        <w:bottom w:val="none" w:sz="0" w:space="0" w:color="auto"/>
        <w:right w:val="none" w:sz="0" w:space="0" w:color="auto"/>
      </w:divBdr>
    </w:div>
    <w:div w:id="1477069829">
      <w:bodyDiv w:val="1"/>
      <w:marLeft w:val="0"/>
      <w:marRight w:val="0"/>
      <w:marTop w:val="0"/>
      <w:marBottom w:val="0"/>
      <w:divBdr>
        <w:top w:val="none" w:sz="0" w:space="0" w:color="auto"/>
        <w:left w:val="none" w:sz="0" w:space="0" w:color="auto"/>
        <w:bottom w:val="none" w:sz="0" w:space="0" w:color="auto"/>
        <w:right w:val="none" w:sz="0" w:space="0" w:color="auto"/>
      </w:divBdr>
    </w:div>
    <w:div w:id="1477337552">
      <w:bodyDiv w:val="1"/>
      <w:marLeft w:val="0"/>
      <w:marRight w:val="0"/>
      <w:marTop w:val="0"/>
      <w:marBottom w:val="0"/>
      <w:divBdr>
        <w:top w:val="none" w:sz="0" w:space="0" w:color="auto"/>
        <w:left w:val="none" w:sz="0" w:space="0" w:color="auto"/>
        <w:bottom w:val="none" w:sz="0" w:space="0" w:color="auto"/>
        <w:right w:val="none" w:sz="0" w:space="0" w:color="auto"/>
      </w:divBdr>
    </w:div>
    <w:div w:id="1477448562">
      <w:bodyDiv w:val="1"/>
      <w:marLeft w:val="0"/>
      <w:marRight w:val="0"/>
      <w:marTop w:val="0"/>
      <w:marBottom w:val="0"/>
      <w:divBdr>
        <w:top w:val="none" w:sz="0" w:space="0" w:color="auto"/>
        <w:left w:val="none" w:sz="0" w:space="0" w:color="auto"/>
        <w:bottom w:val="none" w:sz="0" w:space="0" w:color="auto"/>
        <w:right w:val="none" w:sz="0" w:space="0" w:color="auto"/>
      </w:divBdr>
    </w:div>
    <w:div w:id="1477457280">
      <w:bodyDiv w:val="1"/>
      <w:marLeft w:val="0"/>
      <w:marRight w:val="0"/>
      <w:marTop w:val="0"/>
      <w:marBottom w:val="0"/>
      <w:divBdr>
        <w:top w:val="none" w:sz="0" w:space="0" w:color="auto"/>
        <w:left w:val="none" w:sz="0" w:space="0" w:color="auto"/>
        <w:bottom w:val="none" w:sz="0" w:space="0" w:color="auto"/>
        <w:right w:val="none" w:sz="0" w:space="0" w:color="auto"/>
      </w:divBdr>
    </w:div>
    <w:div w:id="1477526348">
      <w:bodyDiv w:val="1"/>
      <w:marLeft w:val="0"/>
      <w:marRight w:val="0"/>
      <w:marTop w:val="0"/>
      <w:marBottom w:val="0"/>
      <w:divBdr>
        <w:top w:val="none" w:sz="0" w:space="0" w:color="auto"/>
        <w:left w:val="none" w:sz="0" w:space="0" w:color="auto"/>
        <w:bottom w:val="none" w:sz="0" w:space="0" w:color="auto"/>
        <w:right w:val="none" w:sz="0" w:space="0" w:color="auto"/>
      </w:divBdr>
    </w:div>
    <w:div w:id="1477532344">
      <w:bodyDiv w:val="1"/>
      <w:marLeft w:val="0"/>
      <w:marRight w:val="0"/>
      <w:marTop w:val="0"/>
      <w:marBottom w:val="0"/>
      <w:divBdr>
        <w:top w:val="none" w:sz="0" w:space="0" w:color="auto"/>
        <w:left w:val="none" w:sz="0" w:space="0" w:color="auto"/>
        <w:bottom w:val="none" w:sz="0" w:space="0" w:color="auto"/>
        <w:right w:val="none" w:sz="0" w:space="0" w:color="auto"/>
      </w:divBdr>
    </w:div>
    <w:div w:id="1477600638">
      <w:bodyDiv w:val="1"/>
      <w:marLeft w:val="0"/>
      <w:marRight w:val="0"/>
      <w:marTop w:val="0"/>
      <w:marBottom w:val="0"/>
      <w:divBdr>
        <w:top w:val="none" w:sz="0" w:space="0" w:color="auto"/>
        <w:left w:val="none" w:sz="0" w:space="0" w:color="auto"/>
        <w:bottom w:val="none" w:sz="0" w:space="0" w:color="auto"/>
        <w:right w:val="none" w:sz="0" w:space="0" w:color="auto"/>
      </w:divBdr>
    </w:div>
    <w:div w:id="1477602861">
      <w:bodyDiv w:val="1"/>
      <w:marLeft w:val="0"/>
      <w:marRight w:val="0"/>
      <w:marTop w:val="0"/>
      <w:marBottom w:val="0"/>
      <w:divBdr>
        <w:top w:val="none" w:sz="0" w:space="0" w:color="auto"/>
        <w:left w:val="none" w:sz="0" w:space="0" w:color="auto"/>
        <w:bottom w:val="none" w:sz="0" w:space="0" w:color="auto"/>
        <w:right w:val="none" w:sz="0" w:space="0" w:color="auto"/>
      </w:divBdr>
    </w:div>
    <w:div w:id="1477644716">
      <w:bodyDiv w:val="1"/>
      <w:marLeft w:val="0"/>
      <w:marRight w:val="0"/>
      <w:marTop w:val="0"/>
      <w:marBottom w:val="0"/>
      <w:divBdr>
        <w:top w:val="none" w:sz="0" w:space="0" w:color="auto"/>
        <w:left w:val="none" w:sz="0" w:space="0" w:color="auto"/>
        <w:bottom w:val="none" w:sz="0" w:space="0" w:color="auto"/>
        <w:right w:val="none" w:sz="0" w:space="0" w:color="auto"/>
      </w:divBdr>
    </w:div>
    <w:div w:id="1477796309">
      <w:bodyDiv w:val="1"/>
      <w:marLeft w:val="0"/>
      <w:marRight w:val="0"/>
      <w:marTop w:val="0"/>
      <w:marBottom w:val="0"/>
      <w:divBdr>
        <w:top w:val="none" w:sz="0" w:space="0" w:color="auto"/>
        <w:left w:val="none" w:sz="0" w:space="0" w:color="auto"/>
        <w:bottom w:val="none" w:sz="0" w:space="0" w:color="auto"/>
        <w:right w:val="none" w:sz="0" w:space="0" w:color="auto"/>
      </w:divBdr>
    </w:div>
    <w:div w:id="1478231296">
      <w:bodyDiv w:val="1"/>
      <w:marLeft w:val="0"/>
      <w:marRight w:val="0"/>
      <w:marTop w:val="0"/>
      <w:marBottom w:val="0"/>
      <w:divBdr>
        <w:top w:val="none" w:sz="0" w:space="0" w:color="auto"/>
        <w:left w:val="none" w:sz="0" w:space="0" w:color="auto"/>
        <w:bottom w:val="none" w:sz="0" w:space="0" w:color="auto"/>
        <w:right w:val="none" w:sz="0" w:space="0" w:color="auto"/>
      </w:divBdr>
    </w:div>
    <w:div w:id="1478302752">
      <w:bodyDiv w:val="1"/>
      <w:marLeft w:val="0"/>
      <w:marRight w:val="0"/>
      <w:marTop w:val="0"/>
      <w:marBottom w:val="0"/>
      <w:divBdr>
        <w:top w:val="none" w:sz="0" w:space="0" w:color="auto"/>
        <w:left w:val="none" w:sz="0" w:space="0" w:color="auto"/>
        <w:bottom w:val="none" w:sz="0" w:space="0" w:color="auto"/>
        <w:right w:val="none" w:sz="0" w:space="0" w:color="auto"/>
      </w:divBdr>
    </w:div>
    <w:div w:id="1478374786">
      <w:bodyDiv w:val="1"/>
      <w:marLeft w:val="0"/>
      <w:marRight w:val="0"/>
      <w:marTop w:val="0"/>
      <w:marBottom w:val="0"/>
      <w:divBdr>
        <w:top w:val="none" w:sz="0" w:space="0" w:color="auto"/>
        <w:left w:val="none" w:sz="0" w:space="0" w:color="auto"/>
        <w:bottom w:val="none" w:sz="0" w:space="0" w:color="auto"/>
        <w:right w:val="none" w:sz="0" w:space="0" w:color="auto"/>
      </w:divBdr>
    </w:div>
    <w:div w:id="1478378488">
      <w:bodyDiv w:val="1"/>
      <w:marLeft w:val="0"/>
      <w:marRight w:val="0"/>
      <w:marTop w:val="0"/>
      <w:marBottom w:val="0"/>
      <w:divBdr>
        <w:top w:val="none" w:sz="0" w:space="0" w:color="auto"/>
        <w:left w:val="none" w:sz="0" w:space="0" w:color="auto"/>
        <w:bottom w:val="none" w:sz="0" w:space="0" w:color="auto"/>
        <w:right w:val="none" w:sz="0" w:space="0" w:color="auto"/>
      </w:divBdr>
    </w:div>
    <w:div w:id="1478495783">
      <w:bodyDiv w:val="1"/>
      <w:marLeft w:val="0"/>
      <w:marRight w:val="0"/>
      <w:marTop w:val="0"/>
      <w:marBottom w:val="0"/>
      <w:divBdr>
        <w:top w:val="none" w:sz="0" w:space="0" w:color="auto"/>
        <w:left w:val="none" w:sz="0" w:space="0" w:color="auto"/>
        <w:bottom w:val="none" w:sz="0" w:space="0" w:color="auto"/>
        <w:right w:val="none" w:sz="0" w:space="0" w:color="auto"/>
      </w:divBdr>
    </w:div>
    <w:div w:id="1478497259">
      <w:bodyDiv w:val="1"/>
      <w:marLeft w:val="0"/>
      <w:marRight w:val="0"/>
      <w:marTop w:val="0"/>
      <w:marBottom w:val="0"/>
      <w:divBdr>
        <w:top w:val="none" w:sz="0" w:space="0" w:color="auto"/>
        <w:left w:val="none" w:sz="0" w:space="0" w:color="auto"/>
        <w:bottom w:val="none" w:sz="0" w:space="0" w:color="auto"/>
        <w:right w:val="none" w:sz="0" w:space="0" w:color="auto"/>
      </w:divBdr>
    </w:div>
    <w:div w:id="1478523784">
      <w:bodyDiv w:val="1"/>
      <w:marLeft w:val="0"/>
      <w:marRight w:val="0"/>
      <w:marTop w:val="0"/>
      <w:marBottom w:val="0"/>
      <w:divBdr>
        <w:top w:val="none" w:sz="0" w:space="0" w:color="auto"/>
        <w:left w:val="none" w:sz="0" w:space="0" w:color="auto"/>
        <w:bottom w:val="none" w:sz="0" w:space="0" w:color="auto"/>
        <w:right w:val="none" w:sz="0" w:space="0" w:color="auto"/>
      </w:divBdr>
    </w:div>
    <w:div w:id="1478886546">
      <w:bodyDiv w:val="1"/>
      <w:marLeft w:val="0"/>
      <w:marRight w:val="0"/>
      <w:marTop w:val="0"/>
      <w:marBottom w:val="0"/>
      <w:divBdr>
        <w:top w:val="none" w:sz="0" w:space="0" w:color="auto"/>
        <w:left w:val="none" w:sz="0" w:space="0" w:color="auto"/>
        <w:bottom w:val="none" w:sz="0" w:space="0" w:color="auto"/>
        <w:right w:val="none" w:sz="0" w:space="0" w:color="auto"/>
      </w:divBdr>
    </w:div>
    <w:div w:id="1478916425">
      <w:bodyDiv w:val="1"/>
      <w:marLeft w:val="0"/>
      <w:marRight w:val="0"/>
      <w:marTop w:val="0"/>
      <w:marBottom w:val="0"/>
      <w:divBdr>
        <w:top w:val="none" w:sz="0" w:space="0" w:color="auto"/>
        <w:left w:val="none" w:sz="0" w:space="0" w:color="auto"/>
        <w:bottom w:val="none" w:sz="0" w:space="0" w:color="auto"/>
        <w:right w:val="none" w:sz="0" w:space="0" w:color="auto"/>
      </w:divBdr>
    </w:div>
    <w:div w:id="1479103943">
      <w:bodyDiv w:val="1"/>
      <w:marLeft w:val="0"/>
      <w:marRight w:val="0"/>
      <w:marTop w:val="0"/>
      <w:marBottom w:val="0"/>
      <w:divBdr>
        <w:top w:val="none" w:sz="0" w:space="0" w:color="auto"/>
        <w:left w:val="none" w:sz="0" w:space="0" w:color="auto"/>
        <w:bottom w:val="none" w:sz="0" w:space="0" w:color="auto"/>
        <w:right w:val="none" w:sz="0" w:space="0" w:color="auto"/>
      </w:divBdr>
    </w:div>
    <w:div w:id="1479228291">
      <w:bodyDiv w:val="1"/>
      <w:marLeft w:val="0"/>
      <w:marRight w:val="0"/>
      <w:marTop w:val="0"/>
      <w:marBottom w:val="0"/>
      <w:divBdr>
        <w:top w:val="none" w:sz="0" w:space="0" w:color="auto"/>
        <w:left w:val="none" w:sz="0" w:space="0" w:color="auto"/>
        <w:bottom w:val="none" w:sz="0" w:space="0" w:color="auto"/>
        <w:right w:val="none" w:sz="0" w:space="0" w:color="auto"/>
      </w:divBdr>
    </w:div>
    <w:div w:id="1479228829">
      <w:bodyDiv w:val="1"/>
      <w:marLeft w:val="0"/>
      <w:marRight w:val="0"/>
      <w:marTop w:val="0"/>
      <w:marBottom w:val="0"/>
      <w:divBdr>
        <w:top w:val="none" w:sz="0" w:space="0" w:color="auto"/>
        <w:left w:val="none" w:sz="0" w:space="0" w:color="auto"/>
        <w:bottom w:val="none" w:sz="0" w:space="0" w:color="auto"/>
        <w:right w:val="none" w:sz="0" w:space="0" w:color="auto"/>
      </w:divBdr>
    </w:div>
    <w:div w:id="1479297621">
      <w:bodyDiv w:val="1"/>
      <w:marLeft w:val="0"/>
      <w:marRight w:val="0"/>
      <w:marTop w:val="0"/>
      <w:marBottom w:val="0"/>
      <w:divBdr>
        <w:top w:val="none" w:sz="0" w:space="0" w:color="auto"/>
        <w:left w:val="none" w:sz="0" w:space="0" w:color="auto"/>
        <w:bottom w:val="none" w:sz="0" w:space="0" w:color="auto"/>
        <w:right w:val="none" w:sz="0" w:space="0" w:color="auto"/>
      </w:divBdr>
    </w:div>
    <w:div w:id="1479298620">
      <w:bodyDiv w:val="1"/>
      <w:marLeft w:val="0"/>
      <w:marRight w:val="0"/>
      <w:marTop w:val="0"/>
      <w:marBottom w:val="0"/>
      <w:divBdr>
        <w:top w:val="none" w:sz="0" w:space="0" w:color="auto"/>
        <w:left w:val="none" w:sz="0" w:space="0" w:color="auto"/>
        <w:bottom w:val="none" w:sz="0" w:space="0" w:color="auto"/>
        <w:right w:val="none" w:sz="0" w:space="0" w:color="auto"/>
      </w:divBdr>
    </w:div>
    <w:div w:id="1479373752">
      <w:bodyDiv w:val="1"/>
      <w:marLeft w:val="0"/>
      <w:marRight w:val="0"/>
      <w:marTop w:val="0"/>
      <w:marBottom w:val="0"/>
      <w:divBdr>
        <w:top w:val="none" w:sz="0" w:space="0" w:color="auto"/>
        <w:left w:val="none" w:sz="0" w:space="0" w:color="auto"/>
        <w:bottom w:val="none" w:sz="0" w:space="0" w:color="auto"/>
        <w:right w:val="none" w:sz="0" w:space="0" w:color="auto"/>
      </w:divBdr>
    </w:div>
    <w:div w:id="1479419546">
      <w:bodyDiv w:val="1"/>
      <w:marLeft w:val="0"/>
      <w:marRight w:val="0"/>
      <w:marTop w:val="0"/>
      <w:marBottom w:val="0"/>
      <w:divBdr>
        <w:top w:val="none" w:sz="0" w:space="0" w:color="auto"/>
        <w:left w:val="none" w:sz="0" w:space="0" w:color="auto"/>
        <w:bottom w:val="none" w:sz="0" w:space="0" w:color="auto"/>
        <w:right w:val="none" w:sz="0" w:space="0" w:color="auto"/>
      </w:divBdr>
    </w:div>
    <w:div w:id="1479492118">
      <w:bodyDiv w:val="1"/>
      <w:marLeft w:val="0"/>
      <w:marRight w:val="0"/>
      <w:marTop w:val="0"/>
      <w:marBottom w:val="0"/>
      <w:divBdr>
        <w:top w:val="none" w:sz="0" w:space="0" w:color="auto"/>
        <w:left w:val="none" w:sz="0" w:space="0" w:color="auto"/>
        <w:bottom w:val="none" w:sz="0" w:space="0" w:color="auto"/>
        <w:right w:val="none" w:sz="0" w:space="0" w:color="auto"/>
      </w:divBdr>
    </w:div>
    <w:div w:id="1479492648">
      <w:bodyDiv w:val="1"/>
      <w:marLeft w:val="0"/>
      <w:marRight w:val="0"/>
      <w:marTop w:val="0"/>
      <w:marBottom w:val="0"/>
      <w:divBdr>
        <w:top w:val="none" w:sz="0" w:space="0" w:color="auto"/>
        <w:left w:val="none" w:sz="0" w:space="0" w:color="auto"/>
        <w:bottom w:val="none" w:sz="0" w:space="0" w:color="auto"/>
        <w:right w:val="none" w:sz="0" w:space="0" w:color="auto"/>
      </w:divBdr>
    </w:div>
    <w:div w:id="1479498458">
      <w:bodyDiv w:val="1"/>
      <w:marLeft w:val="0"/>
      <w:marRight w:val="0"/>
      <w:marTop w:val="0"/>
      <w:marBottom w:val="0"/>
      <w:divBdr>
        <w:top w:val="none" w:sz="0" w:space="0" w:color="auto"/>
        <w:left w:val="none" w:sz="0" w:space="0" w:color="auto"/>
        <w:bottom w:val="none" w:sz="0" w:space="0" w:color="auto"/>
        <w:right w:val="none" w:sz="0" w:space="0" w:color="auto"/>
      </w:divBdr>
    </w:div>
    <w:div w:id="1479540870">
      <w:bodyDiv w:val="1"/>
      <w:marLeft w:val="0"/>
      <w:marRight w:val="0"/>
      <w:marTop w:val="0"/>
      <w:marBottom w:val="0"/>
      <w:divBdr>
        <w:top w:val="none" w:sz="0" w:space="0" w:color="auto"/>
        <w:left w:val="none" w:sz="0" w:space="0" w:color="auto"/>
        <w:bottom w:val="none" w:sz="0" w:space="0" w:color="auto"/>
        <w:right w:val="none" w:sz="0" w:space="0" w:color="auto"/>
      </w:divBdr>
    </w:div>
    <w:div w:id="1479566518">
      <w:bodyDiv w:val="1"/>
      <w:marLeft w:val="0"/>
      <w:marRight w:val="0"/>
      <w:marTop w:val="0"/>
      <w:marBottom w:val="0"/>
      <w:divBdr>
        <w:top w:val="none" w:sz="0" w:space="0" w:color="auto"/>
        <w:left w:val="none" w:sz="0" w:space="0" w:color="auto"/>
        <w:bottom w:val="none" w:sz="0" w:space="0" w:color="auto"/>
        <w:right w:val="none" w:sz="0" w:space="0" w:color="auto"/>
      </w:divBdr>
    </w:div>
    <w:div w:id="1479613549">
      <w:bodyDiv w:val="1"/>
      <w:marLeft w:val="0"/>
      <w:marRight w:val="0"/>
      <w:marTop w:val="0"/>
      <w:marBottom w:val="0"/>
      <w:divBdr>
        <w:top w:val="none" w:sz="0" w:space="0" w:color="auto"/>
        <w:left w:val="none" w:sz="0" w:space="0" w:color="auto"/>
        <w:bottom w:val="none" w:sz="0" w:space="0" w:color="auto"/>
        <w:right w:val="none" w:sz="0" w:space="0" w:color="auto"/>
      </w:divBdr>
    </w:div>
    <w:div w:id="1479879007">
      <w:bodyDiv w:val="1"/>
      <w:marLeft w:val="0"/>
      <w:marRight w:val="0"/>
      <w:marTop w:val="0"/>
      <w:marBottom w:val="0"/>
      <w:divBdr>
        <w:top w:val="none" w:sz="0" w:space="0" w:color="auto"/>
        <w:left w:val="none" w:sz="0" w:space="0" w:color="auto"/>
        <w:bottom w:val="none" w:sz="0" w:space="0" w:color="auto"/>
        <w:right w:val="none" w:sz="0" w:space="0" w:color="auto"/>
      </w:divBdr>
    </w:div>
    <w:div w:id="1479960250">
      <w:bodyDiv w:val="1"/>
      <w:marLeft w:val="0"/>
      <w:marRight w:val="0"/>
      <w:marTop w:val="0"/>
      <w:marBottom w:val="0"/>
      <w:divBdr>
        <w:top w:val="none" w:sz="0" w:space="0" w:color="auto"/>
        <w:left w:val="none" w:sz="0" w:space="0" w:color="auto"/>
        <w:bottom w:val="none" w:sz="0" w:space="0" w:color="auto"/>
        <w:right w:val="none" w:sz="0" w:space="0" w:color="auto"/>
      </w:divBdr>
    </w:div>
    <w:div w:id="1480029774">
      <w:bodyDiv w:val="1"/>
      <w:marLeft w:val="0"/>
      <w:marRight w:val="0"/>
      <w:marTop w:val="0"/>
      <w:marBottom w:val="0"/>
      <w:divBdr>
        <w:top w:val="none" w:sz="0" w:space="0" w:color="auto"/>
        <w:left w:val="none" w:sz="0" w:space="0" w:color="auto"/>
        <w:bottom w:val="none" w:sz="0" w:space="0" w:color="auto"/>
        <w:right w:val="none" w:sz="0" w:space="0" w:color="auto"/>
      </w:divBdr>
    </w:div>
    <w:div w:id="1480076704">
      <w:bodyDiv w:val="1"/>
      <w:marLeft w:val="0"/>
      <w:marRight w:val="0"/>
      <w:marTop w:val="0"/>
      <w:marBottom w:val="0"/>
      <w:divBdr>
        <w:top w:val="none" w:sz="0" w:space="0" w:color="auto"/>
        <w:left w:val="none" w:sz="0" w:space="0" w:color="auto"/>
        <w:bottom w:val="none" w:sz="0" w:space="0" w:color="auto"/>
        <w:right w:val="none" w:sz="0" w:space="0" w:color="auto"/>
      </w:divBdr>
    </w:div>
    <w:div w:id="1480345637">
      <w:bodyDiv w:val="1"/>
      <w:marLeft w:val="0"/>
      <w:marRight w:val="0"/>
      <w:marTop w:val="0"/>
      <w:marBottom w:val="0"/>
      <w:divBdr>
        <w:top w:val="none" w:sz="0" w:space="0" w:color="auto"/>
        <w:left w:val="none" w:sz="0" w:space="0" w:color="auto"/>
        <w:bottom w:val="none" w:sz="0" w:space="0" w:color="auto"/>
        <w:right w:val="none" w:sz="0" w:space="0" w:color="auto"/>
      </w:divBdr>
    </w:div>
    <w:div w:id="1480415411">
      <w:bodyDiv w:val="1"/>
      <w:marLeft w:val="0"/>
      <w:marRight w:val="0"/>
      <w:marTop w:val="0"/>
      <w:marBottom w:val="0"/>
      <w:divBdr>
        <w:top w:val="none" w:sz="0" w:space="0" w:color="auto"/>
        <w:left w:val="none" w:sz="0" w:space="0" w:color="auto"/>
        <w:bottom w:val="none" w:sz="0" w:space="0" w:color="auto"/>
        <w:right w:val="none" w:sz="0" w:space="0" w:color="auto"/>
      </w:divBdr>
    </w:div>
    <w:div w:id="1480459183">
      <w:bodyDiv w:val="1"/>
      <w:marLeft w:val="0"/>
      <w:marRight w:val="0"/>
      <w:marTop w:val="0"/>
      <w:marBottom w:val="0"/>
      <w:divBdr>
        <w:top w:val="none" w:sz="0" w:space="0" w:color="auto"/>
        <w:left w:val="none" w:sz="0" w:space="0" w:color="auto"/>
        <w:bottom w:val="none" w:sz="0" w:space="0" w:color="auto"/>
        <w:right w:val="none" w:sz="0" w:space="0" w:color="auto"/>
      </w:divBdr>
    </w:div>
    <w:div w:id="1480462377">
      <w:bodyDiv w:val="1"/>
      <w:marLeft w:val="0"/>
      <w:marRight w:val="0"/>
      <w:marTop w:val="0"/>
      <w:marBottom w:val="0"/>
      <w:divBdr>
        <w:top w:val="none" w:sz="0" w:space="0" w:color="auto"/>
        <w:left w:val="none" w:sz="0" w:space="0" w:color="auto"/>
        <w:bottom w:val="none" w:sz="0" w:space="0" w:color="auto"/>
        <w:right w:val="none" w:sz="0" w:space="0" w:color="auto"/>
      </w:divBdr>
    </w:div>
    <w:div w:id="1480533044">
      <w:bodyDiv w:val="1"/>
      <w:marLeft w:val="0"/>
      <w:marRight w:val="0"/>
      <w:marTop w:val="0"/>
      <w:marBottom w:val="0"/>
      <w:divBdr>
        <w:top w:val="none" w:sz="0" w:space="0" w:color="auto"/>
        <w:left w:val="none" w:sz="0" w:space="0" w:color="auto"/>
        <w:bottom w:val="none" w:sz="0" w:space="0" w:color="auto"/>
        <w:right w:val="none" w:sz="0" w:space="0" w:color="auto"/>
      </w:divBdr>
    </w:div>
    <w:div w:id="1480658896">
      <w:bodyDiv w:val="1"/>
      <w:marLeft w:val="0"/>
      <w:marRight w:val="0"/>
      <w:marTop w:val="0"/>
      <w:marBottom w:val="0"/>
      <w:divBdr>
        <w:top w:val="none" w:sz="0" w:space="0" w:color="auto"/>
        <w:left w:val="none" w:sz="0" w:space="0" w:color="auto"/>
        <w:bottom w:val="none" w:sz="0" w:space="0" w:color="auto"/>
        <w:right w:val="none" w:sz="0" w:space="0" w:color="auto"/>
      </w:divBdr>
    </w:div>
    <w:div w:id="1480684255">
      <w:bodyDiv w:val="1"/>
      <w:marLeft w:val="0"/>
      <w:marRight w:val="0"/>
      <w:marTop w:val="0"/>
      <w:marBottom w:val="0"/>
      <w:divBdr>
        <w:top w:val="none" w:sz="0" w:space="0" w:color="auto"/>
        <w:left w:val="none" w:sz="0" w:space="0" w:color="auto"/>
        <w:bottom w:val="none" w:sz="0" w:space="0" w:color="auto"/>
        <w:right w:val="none" w:sz="0" w:space="0" w:color="auto"/>
      </w:divBdr>
    </w:div>
    <w:div w:id="1480880576">
      <w:bodyDiv w:val="1"/>
      <w:marLeft w:val="0"/>
      <w:marRight w:val="0"/>
      <w:marTop w:val="0"/>
      <w:marBottom w:val="0"/>
      <w:divBdr>
        <w:top w:val="none" w:sz="0" w:space="0" w:color="auto"/>
        <w:left w:val="none" w:sz="0" w:space="0" w:color="auto"/>
        <w:bottom w:val="none" w:sz="0" w:space="0" w:color="auto"/>
        <w:right w:val="none" w:sz="0" w:space="0" w:color="auto"/>
      </w:divBdr>
    </w:div>
    <w:div w:id="1480918734">
      <w:bodyDiv w:val="1"/>
      <w:marLeft w:val="0"/>
      <w:marRight w:val="0"/>
      <w:marTop w:val="0"/>
      <w:marBottom w:val="0"/>
      <w:divBdr>
        <w:top w:val="none" w:sz="0" w:space="0" w:color="auto"/>
        <w:left w:val="none" w:sz="0" w:space="0" w:color="auto"/>
        <w:bottom w:val="none" w:sz="0" w:space="0" w:color="auto"/>
        <w:right w:val="none" w:sz="0" w:space="0" w:color="auto"/>
      </w:divBdr>
    </w:div>
    <w:div w:id="1480922340">
      <w:bodyDiv w:val="1"/>
      <w:marLeft w:val="0"/>
      <w:marRight w:val="0"/>
      <w:marTop w:val="0"/>
      <w:marBottom w:val="0"/>
      <w:divBdr>
        <w:top w:val="none" w:sz="0" w:space="0" w:color="auto"/>
        <w:left w:val="none" w:sz="0" w:space="0" w:color="auto"/>
        <w:bottom w:val="none" w:sz="0" w:space="0" w:color="auto"/>
        <w:right w:val="none" w:sz="0" w:space="0" w:color="auto"/>
      </w:divBdr>
    </w:div>
    <w:div w:id="1480997098">
      <w:bodyDiv w:val="1"/>
      <w:marLeft w:val="0"/>
      <w:marRight w:val="0"/>
      <w:marTop w:val="0"/>
      <w:marBottom w:val="0"/>
      <w:divBdr>
        <w:top w:val="none" w:sz="0" w:space="0" w:color="auto"/>
        <w:left w:val="none" w:sz="0" w:space="0" w:color="auto"/>
        <w:bottom w:val="none" w:sz="0" w:space="0" w:color="auto"/>
        <w:right w:val="none" w:sz="0" w:space="0" w:color="auto"/>
      </w:divBdr>
    </w:div>
    <w:div w:id="1481069913">
      <w:bodyDiv w:val="1"/>
      <w:marLeft w:val="0"/>
      <w:marRight w:val="0"/>
      <w:marTop w:val="0"/>
      <w:marBottom w:val="0"/>
      <w:divBdr>
        <w:top w:val="none" w:sz="0" w:space="0" w:color="auto"/>
        <w:left w:val="none" w:sz="0" w:space="0" w:color="auto"/>
        <w:bottom w:val="none" w:sz="0" w:space="0" w:color="auto"/>
        <w:right w:val="none" w:sz="0" w:space="0" w:color="auto"/>
      </w:divBdr>
    </w:div>
    <w:div w:id="1481070460">
      <w:bodyDiv w:val="1"/>
      <w:marLeft w:val="0"/>
      <w:marRight w:val="0"/>
      <w:marTop w:val="0"/>
      <w:marBottom w:val="0"/>
      <w:divBdr>
        <w:top w:val="none" w:sz="0" w:space="0" w:color="auto"/>
        <w:left w:val="none" w:sz="0" w:space="0" w:color="auto"/>
        <w:bottom w:val="none" w:sz="0" w:space="0" w:color="auto"/>
        <w:right w:val="none" w:sz="0" w:space="0" w:color="auto"/>
      </w:divBdr>
    </w:div>
    <w:div w:id="1481189486">
      <w:bodyDiv w:val="1"/>
      <w:marLeft w:val="0"/>
      <w:marRight w:val="0"/>
      <w:marTop w:val="0"/>
      <w:marBottom w:val="0"/>
      <w:divBdr>
        <w:top w:val="none" w:sz="0" w:space="0" w:color="auto"/>
        <w:left w:val="none" w:sz="0" w:space="0" w:color="auto"/>
        <w:bottom w:val="none" w:sz="0" w:space="0" w:color="auto"/>
        <w:right w:val="none" w:sz="0" w:space="0" w:color="auto"/>
      </w:divBdr>
    </w:div>
    <w:div w:id="1481192388">
      <w:bodyDiv w:val="1"/>
      <w:marLeft w:val="0"/>
      <w:marRight w:val="0"/>
      <w:marTop w:val="0"/>
      <w:marBottom w:val="0"/>
      <w:divBdr>
        <w:top w:val="none" w:sz="0" w:space="0" w:color="auto"/>
        <w:left w:val="none" w:sz="0" w:space="0" w:color="auto"/>
        <w:bottom w:val="none" w:sz="0" w:space="0" w:color="auto"/>
        <w:right w:val="none" w:sz="0" w:space="0" w:color="auto"/>
      </w:divBdr>
    </w:div>
    <w:div w:id="1481535374">
      <w:bodyDiv w:val="1"/>
      <w:marLeft w:val="0"/>
      <w:marRight w:val="0"/>
      <w:marTop w:val="0"/>
      <w:marBottom w:val="0"/>
      <w:divBdr>
        <w:top w:val="none" w:sz="0" w:space="0" w:color="auto"/>
        <w:left w:val="none" w:sz="0" w:space="0" w:color="auto"/>
        <w:bottom w:val="none" w:sz="0" w:space="0" w:color="auto"/>
        <w:right w:val="none" w:sz="0" w:space="0" w:color="auto"/>
      </w:divBdr>
    </w:div>
    <w:div w:id="1481576910">
      <w:bodyDiv w:val="1"/>
      <w:marLeft w:val="0"/>
      <w:marRight w:val="0"/>
      <w:marTop w:val="0"/>
      <w:marBottom w:val="0"/>
      <w:divBdr>
        <w:top w:val="none" w:sz="0" w:space="0" w:color="auto"/>
        <w:left w:val="none" w:sz="0" w:space="0" w:color="auto"/>
        <w:bottom w:val="none" w:sz="0" w:space="0" w:color="auto"/>
        <w:right w:val="none" w:sz="0" w:space="0" w:color="auto"/>
      </w:divBdr>
    </w:div>
    <w:div w:id="1481580138">
      <w:bodyDiv w:val="1"/>
      <w:marLeft w:val="0"/>
      <w:marRight w:val="0"/>
      <w:marTop w:val="0"/>
      <w:marBottom w:val="0"/>
      <w:divBdr>
        <w:top w:val="none" w:sz="0" w:space="0" w:color="auto"/>
        <w:left w:val="none" w:sz="0" w:space="0" w:color="auto"/>
        <w:bottom w:val="none" w:sz="0" w:space="0" w:color="auto"/>
        <w:right w:val="none" w:sz="0" w:space="0" w:color="auto"/>
      </w:divBdr>
    </w:div>
    <w:div w:id="1481730937">
      <w:bodyDiv w:val="1"/>
      <w:marLeft w:val="0"/>
      <w:marRight w:val="0"/>
      <w:marTop w:val="0"/>
      <w:marBottom w:val="0"/>
      <w:divBdr>
        <w:top w:val="none" w:sz="0" w:space="0" w:color="auto"/>
        <w:left w:val="none" w:sz="0" w:space="0" w:color="auto"/>
        <w:bottom w:val="none" w:sz="0" w:space="0" w:color="auto"/>
        <w:right w:val="none" w:sz="0" w:space="0" w:color="auto"/>
      </w:divBdr>
    </w:div>
    <w:div w:id="1481846452">
      <w:bodyDiv w:val="1"/>
      <w:marLeft w:val="0"/>
      <w:marRight w:val="0"/>
      <w:marTop w:val="0"/>
      <w:marBottom w:val="0"/>
      <w:divBdr>
        <w:top w:val="none" w:sz="0" w:space="0" w:color="auto"/>
        <w:left w:val="none" w:sz="0" w:space="0" w:color="auto"/>
        <w:bottom w:val="none" w:sz="0" w:space="0" w:color="auto"/>
        <w:right w:val="none" w:sz="0" w:space="0" w:color="auto"/>
      </w:divBdr>
    </w:div>
    <w:div w:id="1481925811">
      <w:bodyDiv w:val="1"/>
      <w:marLeft w:val="0"/>
      <w:marRight w:val="0"/>
      <w:marTop w:val="0"/>
      <w:marBottom w:val="0"/>
      <w:divBdr>
        <w:top w:val="none" w:sz="0" w:space="0" w:color="auto"/>
        <w:left w:val="none" w:sz="0" w:space="0" w:color="auto"/>
        <w:bottom w:val="none" w:sz="0" w:space="0" w:color="auto"/>
        <w:right w:val="none" w:sz="0" w:space="0" w:color="auto"/>
      </w:divBdr>
    </w:div>
    <w:div w:id="1482044851">
      <w:bodyDiv w:val="1"/>
      <w:marLeft w:val="0"/>
      <w:marRight w:val="0"/>
      <w:marTop w:val="0"/>
      <w:marBottom w:val="0"/>
      <w:divBdr>
        <w:top w:val="none" w:sz="0" w:space="0" w:color="auto"/>
        <w:left w:val="none" w:sz="0" w:space="0" w:color="auto"/>
        <w:bottom w:val="none" w:sz="0" w:space="0" w:color="auto"/>
        <w:right w:val="none" w:sz="0" w:space="0" w:color="auto"/>
      </w:divBdr>
    </w:div>
    <w:div w:id="1482113916">
      <w:bodyDiv w:val="1"/>
      <w:marLeft w:val="0"/>
      <w:marRight w:val="0"/>
      <w:marTop w:val="0"/>
      <w:marBottom w:val="0"/>
      <w:divBdr>
        <w:top w:val="none" w:sz="0" w:space="0" w:color="auto"/>
        <w:left w:val="none" w:sz="0" w:space="0" w:color="auto"/>
        <w:bottom w:val="none" w:sz="0" w:space="0" w:color="auto"/>
        <w:right w:val="none" w:sz="0" w:space="0" w:color="auto"/>
      </w:divBdr>
    </w:div>
    <w:div w:id="1482118001">
      <w:bodyDiv w:val="1"/>
      <w:marLeft w:val="0"/>
      <w:marRight w:val="0"/>
      <w:marTop w:val="0"/>
      <w:marBottom w:val="0"/>
      <w:divBdr>
        <w:top w:val="none" w:sz="0" w:space="0" w:color="auto"/>
        <w:left w:val="none" w:sz="0" w:space="0" w:color="auto"/>
        <w:bottom w:val="none" w:sz="0" w:space="0" w:color="auto"/>
        <w:right w:val="none" w:sz="0" w:space="0" w:color="auto"/>
      </w:divBdr>
    </w:div>
    <w:div w:id="1482162792">
      <w:bodyDiv w:val="1"/>
      <w:marLeft w:val="0"/>
      <w:marRight w:val="0"/>
      <w:marTop w:val="0"/>
      <w:marBottom w:val="0"/>
      <w:divBdr>
        <w:top w:val="none" w:sz="0" w:space="0" w:color="auto"/>
        <w:left w:val="none" w:sz="0" w:space="0" w:color="auto"/>
        <w:bottom w:val="none" w:sz="0" w:space="0" w:color="auto"/>
        <w:right w:val="none" w:sz="0" w:space="0" w:color="auto"/>
      </w:divBdr>
    </w:div>
    <w:div w:id="1482304206">
      <w:bodyDiv w:val="1"/>
      <w:marLeft w:val="0"/>
      <w:marRight w:val="0"/>
      <w:marTop w:val="0"/>
      <w:marBottom w:val="0"/>
      <w:divBdr>
        <w:top w:val="none" w:sz="0" w:space="0" w:color="auto"/>
        <w:left w:val="none" w:sz="0" w:space="0" w:color="auto"/>
        <w:bottom w:val="none" w:sz="0" w:space="0" w:color="auto"/>
        <w:right w:val="none" w:sz="0" w:space="0" w:color="auto"/>
      </w:divBdr>
    </w:div>
    <w:div w:id="1482307637">
      <w:bodyDiv w:val="1"/>
      <w:marLeft w:val="0"/>
      <w:marRight w:val="0"/>
      <w:marTop w:val="0"/>
      <w:marBottom w:val="0"/>
      <w:divBdr>
        <w:top w:val="none" w:sz="0" w:space="0" w:color="auto"/>
        <w:left w:val="none" w:sz="0" w:space="0" w:color="auto"/>
        <w:bottom w:val="none" w:sz="0" w:space="0" w:color="auto"/>
        <w:right w:val="none" w:sz="0" w:space="0" w:color="auto"/>
      </w:divBdr>
    </w:div>
    <w:div w:id="1482498388">
      <w:bodyDiv w:val="1"/>
      <w:marLeft w:val="0"/>
      <w:marRight w:val="0"/>
      <w:marTop w:val="0"/>
      <w:marBottom w:val="0"/>
      <w:divBdr>
        <w:top w:val="none" w:sz="0" w:space="0" w:color="auto"/>
        <w:left w:val="none" w:sz="0" w:space="0" w:color="auto"/>
        <w:bottom w:val="none" w:sz="0" w:space="0" w:color="auto"/>
        <w:right w:val="none" w:sz="0" w:space="0" w:color="auto"/>
      </w:divBdr>
    </w:div>
    <w:div w:id="1482575586">
      <w:bodyDiv w:val="1"/>
      <w:marLeft w:val="0"/>
      <w:marRight w:val="0"/>
      <w:marTop w:val="0"/>
      <w:marBottom w:val="0"/>
      <w:divBdr>
        <w:top w:val="none" w:sz="0" w:space="0" w:color="auto"/>
        <w:left w:val="none" w:sz="0" w:space="0" w:color="auto"/>
        <w:bottom w:val="none" w:sz="0" w:space="0" w:color="auto"/>
        <w:right w:val="none" w:sz="0" w:space="0" w:color="auto"/>
      </w:divBdr>
    </w:div>
    <w:div w:id="1483153257">
      <w:bodyDiv w:val="1"/>
      <w:marLeft w:val="0"/>
      <w:marRight w:val="0"/>
      <w:marTop w:val="0"/>
      <w:marBottom w:val="0"/>
      <w:divBdr>
        <w:top w:val="none" w:sz="0" w:space="0" w:color="auto"/>
        <w:left w:val="none" w:sz="0" w:space="0" w:color="auto"/>
        <w:bottom w:val="none" w:sz="0" w:space="0" w:color="auto"/>
        <w:right w:val="none" w:sz="0" w:space="0" w:color="auto"/>
      </w:divBdr>
    </w:div>
    <w:div w:id="1483228197">
      <w:bodyDiv w:val="1"/>
      <w:marLeft w:val="0"/>
      <w:marRight w:val="0"/>
      <w:marTop w:val="0"/>
      <w:marBottom w:val="0"/>
      <w:divBdr>
        <w:top w:val="none" w:sz="0" w:space="0" w:color="auto"/>
        <w:left w:val="none" w:sz="0" w:space="0" w:color="auto"/>
        <w:bottom w:val="none" w:sz="0" w:space="0" w:color="auto"/>
        <w:right w:val="none" w:sz="0" w:space="0" w:color="auto"/>
      </w:divBdr>
    </w:div>
    <w:div w:id="1483280374">
      <w:bodyDiv w:val="1"/>
      <w:marLeft w:val="0"/>
      <w:marRight w:val="0"/>
      <w:marTop w:val="0"/>
      <w:marBottom w:val="0"/>
      <w:divBdr>
        <w:top w:val="none" w:sz="0" w:space="0" w:color="auto"/>
        <w:left w:val="none" w:sz="0" w:space="0" w:color="auto"/>
        <w:bottom w:val="none" w:sz="0" w:space="0" w:color="auto"/>
        <w:right w:val="none" w:sz="0" w:space="0" w:color="auto"/>
      </w:divBdr>
    </w:div>
    <w:div w:id="1483348599">
      <w:bodyDiv w:val="1"/>
      <w:marLeft w:val="0"/>
      <w:marRight w:val="0"/>
      <w:marTop w:val="0"/>
      <w:marBottom w:val="0"/>
      <w:divBdr>
        <w:top w:val="none" w:sz="0" w:space="0" w:color="auto"/>
        <w:left w:val="none" w:sz="0" w:space="0" w:color="auto"/>
        <w:bottom w:val="none" w:sz="0" w:space="0" w:color="auto"/>
        <w:right w:val="none" w:sz="0" w:space="0" w:color="auto"/>
      </w:divBdr>
    </w:div>
    <w:div w:id="1483353824">
      <w:bodyDiv w:val="1"/>
      <w:marLeft w:val="0"/>
      <w:marRight w:val="0"/>
      <w:marTop w:val="0"/>
      <w:marBottom w:val="0"/>
      <w:divBdr>
        <w:top w:val="none" w:sz="0" w:space="0" w:color="auto"/>
        <w:left w:val="none" w:sz="0" w:space="0" w:color="auto"/>
        <w:bottom w:val="none" w:sz="0" w:space="0" w:color="auto"/>
        <w:right w:val="none" w:sz="0" w:space="0" w:color="auto"/>
      </w:divBdr>
    </w:div>
    <w:div w:id="1483354066">
      <w:bodyDiv w:val="1"/>
      <w:marLeft w:val="0"/>
      <w:marRight w:val="0"/>
      <w:marTop w:val="0"/>
      <w:marBottom w:val="0"/>
      <w:divBdr>
        <w:top w:val="none" w:sz="0" w:space="0" w:color="auto"/>
        <w:left w:val="none" w:sz="0" w:space="0" w:color="auto"/>
        <w:bottom w:val="none" w:sz="0" w:space="0" w:color="auto"/>
        <w:right w:val="none" w:sz="0" w:space="0" w:color="auto"/>
      </w:divBdr>
    </w:div>
    <w:div w:id="1483547729">
      <w:bodyDiv w:val="1"/>
      <w:marLeft w:val="0"/>
      <w:marRight w:val="0"/>
      <w:marTop w:val="0"/>
      <w:marBottom w:val="0"/>
      <w:divBdr>
        <w:top w:val="none" w:sz="0" w:space="0" w:color="auto"/>
        <w:left w:val="none" w:sz="0" w:space="0" w:color="auto"/>
        <w:bottom w:val="none" w:sz="0" w:space="0" w:color="auto"/>
        <w:right w:val="none" w:sz="0" w:space="0" w:color="auto"/>
      </w:divBdr>
    </w:div>
    <w:div w:id="1483621022">
      <w:bodyDiv w:val="1"/>
      <w:marLeft w:val="0"/>
      <w:marRight w:val="0"/>
      <w:marTop w:val="0"/>
      <w:marBottom w:val="0"/>
      <w:divBdr>
        <w:top w:val="none" w:sz="0" w:space="0" w:color="auto"/>
        <w:left w:val="none" w:sz="0" w:space="0" w:color="auto"/>
        <w:bottom w:val="none" w:sz="0" w:space="0" w:color="auto"/>
        <w:right w:val="none" w:sz="0" w:space="0" w:color="auto"/>
      </w:divBdr>
    </w:div>
    <w:div w:id="1483742079">
      <w:bodyDiv w:val="1"/>
      <w:marLeft w:val="0"/>
      <w:marRight w:val="0"/>
      <w:marTop w:val="0"/>
      <w:marBottom w:val="0"/>
      <w:divBdr>
        <w:top w:val="none" w:sz="0" w:space="0" w:color="auto"/>
        <w:left w:val="none" w:sz="0" w:space="0" w:color="auto"/>
        <w:bottom w:val="none" w:sz="0" w:space="0" w:color="auto"/>
        <w:right w:val="none" w:sz="0" w:space="0" w:color="auto"/>
      </w:divBdr>
    </w:div>
    <w:div w:id="1483767167">
      <w:bodyDiv w:val="1"/>
      <w:marLeft w:val="0"/>
      <w:marRight w:val="0"/>
      <w:marTop w:val="0"/>
      <w:marBottom w:val="0"/>
      <w:divBdr>
        <w:top w:val="none" w:sz="0" w:space="0" w:color="auto"/>
        <w:left w:val="none" w:sz="0" w:space="0" w:color="auto"/>
        <w:bottom w:val="none" w:sz="0" w:space="0" w:color="auto"/>
        <w:right w:val="none" w:sz="0" w:space="0" w:color="auto"/>
      </w:divBdr>
    </w:div>
    <w:div w:id="1483812501">
      <w:bodyDiv w:val="1"/>
      <w:marLeft w:val="0"/>
      <w:marRight w:val="0"/>
      <w:marTop w:val="0"/>
      <w:marBottom w:val="0"/>
      <w:divBdr>
        <w:top w:val="none" w:sz="0" w:space="0" w:color="auto"/>
        <w:left w:val="none" w:sz="0" w:space="0" w:color="auto"/>
        <w:bottom w:val="none" w:sz="0" w:space="0" w:color="auto"/>
        <w:right w:val="none" w:sz="0" w:space="0" w:color="auto"/>
      </w:divBdr>
    </w:div>
    <w:div w:id="1483886949">
      <w:bodyDiv w:val="1"/>
      <w:marLeft w:val="0"/>
      <w:marRight w:val="0"/>
      <w:marTop w:val="0"/>
      <w:marBottom w:val="0"/>
      <w:divBdr>
        <w:top w:val="none" w:sz="0" w:space="0" w:color="auto"/>
        <w:left w:val="none" w:sz="0" w:space="0" w:color="auto"/>
        <w:bottom w:val="none" w:sz="0" w:space="0" w:color="auto"/>
        <w:right w:val="none" w:sz="0" w:space="0" w:color="auto"/>
      </w:divBdr>
    </w:div>
    <w:div w:id="1483890835">
      <w:bodyDiv w:val="1"/>
      <w:marLeft w:val="0"/>
      <w:marRight w:val="0"/>
      <w:marTop w:val="0"/>
      <w:marBottom w:val="0"/>
      <w:divBdr>
        <w:top w:val="none" w:sz="0" w:space="0" w:color="auto"/>
        <w:left w:val="none" w:sz="0" w:space="0" w:color="auto"/>
        <w:bottom w:val="none" w:sz="0" w:space="0" w:color="auto"/>
        <w:right w:val="none" w:sz="0" w:space="0" w:color="auto"/>
      </w:divBdr>
    </w:div>
    <w:div w:id="1483963785">
      <w:bodyDiv w:val="1"/>
      <w:marLeft w:val="0"/>
      <w:marRight w:val="0"/>
      <w:marTop w:val="0"/>
      <w:marBottom w:val="0"/>
      <w:divBdr>
        <w:top w:val="none" w:sz="0" w:space="0" w:color="auto"/>
        <w:left w:val="none" w:sz="0" w:space="0" w:color="auto"/>
        <w:bottom w:val="none" w:sz="0" w:space="0" w:color="auto"/>
        <w:right w:val="none" w:sz="0" w:space="0" w:color="auto"/>
      </w:divBdr>
    </w:div>
    <w:div w:id="1484082102">
      <w:bodyDiv w:val="1"/>
      <w:marLeft w:val="0"/>
      <w:marRight w:val="0"/>
      <w:marTop w:val="0"/>
      <w:marBottom w:val="0"/>
      <w:divBdr>
        <w:top w:val="none" w:sz="0" w:space="0" w:color="auto"/>
        <w:left w:val="none" w:sz="0" w:space="0" w:color="auto"/>
        <w:bottom w:val="none" w:sz="0" w:space="0" w:color="auto"/>
        <w:right w:val="none" w:sz="0" w:space="0" w:color="auto"/>
      </w:divBdr>
    </w:div>
    <w:div w:id="1484203731">
      <w:bodyDiv w:val="1"/>
      <w:marLeft w:val="0"/>
      <w:marRight w:val="0"/>
      <w:marTop w:val="0"/>
      <w:marBottom w:val="0"/>
      <w:divBdr>
        <w:top w:val="none" w:sz="0" w:space="0" w:color="auto"/>
        <w:left w:val="none" w:sz="0" w:space="0" w:color="auto"/>
        <w:bottom w:val="none" w:sz="0" w:space="0" w:color="auto"/>
        <w:right w:val="none" w:sz="0" w:space="0" w:color="auto"/>
      </w:divBdr>
    </w:div>
    <w:div w:id="1484274050">
      <w:bodyDiv w:val="1"/>
      <w:marLeft w:val="0"/>
      <w:marRight w:val="0"/>
      <w:marTop w:val="0"/>
      <w:marBottom w:val="0"/>
      <w:divBdr>
        <w:top w:val="none" w:sz="0" w:space="0" w:color="auto"/>
        <w:left w:val="none" w:sz="0" w:space="0" w:color="auto"/>
        <w:bottom w:val="none" w:sz="0" w:space="0" w:color="auto"/>
        <w:right w:val="none" w:sz="0" w:space="0" w:color="auto"/>
      </w:divBdr>
    </w:div>
    <w:div w:id="1484274724">
      <w:bodyDiv w:val="1"/>
      <w:marLeft w:val="0"/>
      <w:marRight w:val="0"/>
      <w:marTop w:val="0"/>
      <w:marBottom w:val="0"/>
      <w:divBdr>
        <w:top w:val="none" w:sz="0" w:space="0" w:color="auto"/>
        <w:left w:val="none" w:sz="0" w:space="0" w:color="auto"/>
        <w:bottom w:val="none" w:sz="0" w:space="0" w:color="auto"/>
        <w:right w:val="none" w:sz="0" w:space="0" w:color="auto"/>
      </w:divBdr>
    </w:div>
    <w:div w:id="1484274841">
      <w:bodyDiv w:val="1"/>
      <w:marLeft w:val="0"/>
      <w:marRight w:val="0"/>
      <w:marTop w:val="0"/>
      <w:marBottom w:val="0"/>
      <w:divBdr>
        <w:top w:val="none" w:sz="0" w:space="0" w:color="auto"/>
        <w:left w:val="none" w:sz="0" w:space="0" w:color="auto"/>
        <w:bottom w:val="none" w:sz="0" w:space="0" w:color="auto"/>
        <w:right w:val="none" w:sz="0" w:space="0" w:color="auto"/>
      </w:divBdr>
    </w:div>
    <w:div w:id="1484349993">
      <w:bodyDiv w:val="1"/>
      <w:marLeft w:val="0"/>
      <w:marRight w:val="0"/>
      <w:marTop w:val="0"/>
      <w:marBottom w:val="0"/>
      <w:divBdr>
        <w:top w:val="none" w:sz="0" w:space="0" w:color="auto"/>
        <w:left w:val="none" w:sz="0" w:space="0" w:color="auto"/>
        <w:bottom w:val="none" w:sz="0" w:space="0" w:color="auto"/>
        <w:right w:val="none" w:sz="0" w:space="0" w:color="auto"/>
      </w:divBdr>
    </w:div>
    <w:div w:id="1484393661">
      <w:bodyDiv w:val="1"/>
      <w:marLeft w:val="0"/>
      <w:marRight w:val="0"/>
      <w:marTop w:val="0"/>
      <w:marBottom w:val="0"/>
      <w:divBdr>
        <w:top w:val="none" w:sz="0" w:space="0" w:color="auto"/>
        <w:left w:val="none" w:sz="0" w:space="0" w:color="auto"/>
        <w:bottom w:val="none" w:sz="0" w:space="0" w:color="auto"/>
        <w:right w:val="none" w:sz="0" w:space="0" w:color="auto"/>
      </w:divBdr>
    </w:div>
    <w:div w:id="1484465580">
      <w:bodyDiv w:val="1"/>
      <w:marLeft w:val="0"/>
      <w:marRight w:val="0"/>
      <w:marTop w:val="0"/>
      <w:marBottom w:val="0"/>
      <w:divBdr>
        <w:top w:val="none" w:sz="0" w:space="0" w:color="auto"/>
        <w:left w:val="none" w:sz="0" w:space="0" w:color="auto"/>
        <w:bottom w:val="none" w:sz="0" w:space="0" w:color="auto"/>
        <w:right w:val="none" w:sz="0" w:space="0" w:color="auto"/>
      </w:divBdr>
    </w:div>
    <w:div w:id="1484665635">
      <w:bodyDiv w:val="1"/>
      <w:marLeft w:val="0"/>
      <w:marRight w:val="0"/>
      <w:marTop w:val="0"/>
      <w:marBottom w:val="0"/>
      <w:divBdr>
        <w:top w:val="none" w:sz="0" w:space="0" w:color="auto"/>
        <w:left w:val="none" w:sz="0" w:space="0" w:color="auto"/>
        <w:bottom w:val="none" w:sz="0" w:space="0" w:color="auto"/>
        <w:right w:val="none" w:sz="0" w:space="0" w:color="auto"/>
      </w:divBdr>
    </w:div>
    <w:div w:id="1484732963">
      <w:bodyDiv w:val="1"/>
      <w:marLeft w:val="0"/>
      <w:marRight w:val="0"/>
      <w:marTop w:val="0"/>
      <w:marBottom w:val="0"/>
      <w:divBdr>
        <w:top w:val="none" w:sz="0" w:space="0" w:color="auto"/>
        <w:left w:val="none" w:sz="0" w:space="0" w:color="auto"/>
        <w:bottom w:val="none" w:sz="0" w:space="0" w:color="auto"/>
        <w:right w:val="none" w:sz="0" w:space="0" w:color="auto"/>
      </w:divBdr>
    </w:div>
    <w:div w:id="1484734693">
      <w:bodyDiv w:val="1"/>
      <w:marLeft w:val="0"/>
      <w:marRight w:val="0"/>
      <w:marTop w:val="0"/>
      <w:marBottom w:val="0"/>
      <w:divBdr>
        <w:top w:val="none" w:sz="0" w:space="0" w:color="auto"/>
        <w:left w:val="none" w:sz="0" w:space="0" w:color="auto"/>
        <w:bottom w:val="none" w:sz="0" w:space="0" w:color="auto"/>
        <w:right w:val="none" w:sz="0" w:space="0" w:color="auto"/>
      </w:divBdr>
    </w:div>
    <w:div w:id="1484814926">
      <w:bodyDiv w:val="1"/>
      <w:marLeft w:val="0"/>
      <w:marRight w:val="0"/>
      <w:marTop w:val="0"/>
      <w:marBottom w:val="0"/>
      <w:divBdr>
        <w:top w:val="none" w:sz="0" w:space="0" w:color="auto"/>
        <w:left w:val="none" w:sz="0" w:space="0" w:color="auto"/>
        <w:bottom w:val="none" w:sz="0" w:space="0" w:color="auto"/>
        <w:right w:val="none" w:sz="0" w:space="0" w:color="auto"/>
      </w:divBdr>
    </w:div>
    <w:div w:id="1485004754">
      <w:bodyDiv w:val="1"/>
      <w:marLeft w:val="0"/>
      <w:marRight w:val="0"/>
      <w:marTop w:val="0"/>
      <w:marBottom w:val="0"/>
      <w:divBdr>
        <w:top w:val="none" w:sz="0" w:space="0" w:color="auto"/>
        <w:left w:val="none" w:sz="0" w:space="0" w:color="auto"/>
        <w:bottom w:val="none" w:sz="0" w:space="0" w:color="auto"/>
        <w:right w:val="none" w:sz="0" w:space="0" w:color="auto"/>
      </w:divBdr>
    </w:div>
    <w:div w:id="1485050435">
      <w:bodyDiv w:val="1"/>
      <w:marLeft w:val="0"/>
      <w:marRight w:val="0"/>
      <w:marTop w:val="0"/>
      <w:marBottom w:val="0"/>
      <w:divBdr>
        <w:top w:val="none" w:sz="0" w:space="0" w:color="auto"/>
        <w:left w:val="none" w:sz="0" w:space="0" w:color="auto"/>
        <w:bottom w:val="none" w:sz="0" w:space="0" w:color="auto"/>
        <w:right w:val="none" w:sz="0" w:space="0" w:color="auto"/>
      </w:divBdr>
    </w:div>
    <w:div w:id="1485051656">
      <w:bodyDiv w:val="1"/>
      <w:marLeft w:val="0"/>
      <w:marRight w:val="0"/>
      <w:marTop w:val="0"/>
      <w:marBottom w:val="0"/>
      <w:divBdr>
        <w:top w:val="none" w:sz="0" w:space="0" w:color="auto"/>
        <w:left w:val="none" w:sz="0" w:space="0" w:color="auto"/>
        <w:bottom w:val="none" w:sz="0" w:space="0" w:color="auto"/>
        <w:right w:val="none" w:sz="0" w:space="0" w:color="auto"/>
      </w:divBdr>
    </w:div>
    <w:div w:id="1485121265">
      <w:bodyDiv w:val="1"/>
      <w:marLeft w:val="0"/>
      <w:marRight w:val="0"/>
      <w:marTop w:val="0"/>
      <w:marBottom w:val="0"/>
      <w:divBdr>
        <w:top w:val="none" w:sz="0" w:space="0" w:color="auto"/>
        <w:left w:val="none" w:sz="0" w:space="0" w:color="auto"/>
        <w:bottom w:val="none" w:sz="0" w:space="0" w:color="auto"/>
        <w:right w:val="none" w:sz="0" w:space="0" w:color="auto"/>
      </w:divBdr>
    </w:div>
    <w:div w:id="1485273553">
      <w:bodyDiv w:val="1"/>
      <w:marLeft w:val="0"/>
      <w:marRight w:val="0"/>
      <w:marTop w:val="0"/>
      <w:marBottom w:val="0"/>
      <w:divBdr>
        <w:top w:val="none" w:sz="0" w:space="0" w:color="auto"/>
        <w:left w:val="none" w:sz="0" w:space="0" w:color="auto"/>
        <w:bottom w:val="none" w:sz="0" w:space="0" w:color="auto"/>
        <w:right w:val="none" w:sz="0" w:space="0" w:color="auto"/>
      </w:divBdr>
    </w:div>
    <w:div w:id="1485511434">
      <w:bodyDiv w:val="1"/>
      <w:marLeft w:val="0"/>
      <w:marRight w:val="0"/>
      <w:marTop w:val="0"/>
      <w:marBottom w:val="0"/>
      <w:divBdr>
        <w:top w:val="none" w:sz="0" w:space="0" w:color="auto"/>
        <w:left w:val="none" w:sz="0" w:space="0" w:color="auto"/>
        <w:bottom w:val="none" w:sz="0" w:space="0" w:color="auto"/>
        <w:right w:val="none" w:sz="0" w:space="0" w:color="auto"/>
      </w:divBdr>
    </w:div>
    <w:div w:id="1485733743">
      <w:bodyDiv w:val="1"/>
      <w:marLeft w:val="0"/>
      <w:marRight w:val="0"/>
      <w:marTop w:val="0"/>
      <w:marBottom w:val="0"/>
      <w:divBdr>
        <w:top w:val="none" w:sz="0" w:space="0" w:color="auto"/>
        <w:left w:val="none" w:sz="0" w:space="0" w:color="auto"/>
        <w:bottom w:val="none" w:sz="0" w:space="0" w:color="auto"/>
        <w:right w:val="none" w:sz="0" w:space="0" w:color="auto"/>
      </w:divBdr>
    </w:div>
    <w:div w:id="1485777661">
      <w:bodyDiv w:val="1"/>
      <w:marLeft w:val="0"/>
      <w:marRight w:val="0"/>
      <w:marTop w:val="0"/>
      <w:marBottom w:val="0"/>
      <w:divBdr>
        <w:top w:val="none" w:sz="0" w:space="0" w:color="auto"/>
        <w:left w:val="none" w:sz="0" w:space="0" w:color="auto"/>
        <w:bottom w:val="none" w:sz="0" w:space="0" w:color="auto"/>
        <w:right w:val="none" w:sz="0" w:space="0" w:color="auto"/>
      </w:divBdr>
    </w:div>
    <w:div w:id="1485777998">
      <w:bodyDiv w:val="1"/>
      <w:marLeft w:val="0"/>
      <w:marRight w:val="0"/>
      <w:marTop w:val="0"/>
      <w:marBottom w:val="0"/>
      <w:divBdr>
        <w:top w:val="none" w:sz="0" w:space="0" w:color="auto"/>
        <w:left w:val="none" w:sz="0" w:space="0" w:color="auto"/>
        <w:bottom w:val="none" w:sz="0" w:space="0" w:color="auto"/>
        <w:right w:val="none" w:sz="0" w:space="0" w:color="auto"/>
      </w:divBdr>
    </w:div>
    <w:div w:id="1485778650">
      <w:bodyDiv w:val="1"/>
      <w:marLeft w:val="0"/>
      <w:marRight w:val="0"/>
      <w:marTop w:val="0"/>
      <w:marBottom w:val="0"/>
      <w:divBdr>
        <w:top w:val="none" w:sz="0" w:space="0" w:color="auto"/>
        <w:left w:val="none" w:sz="0" w:space="0" w:color="auto"/>
        <w:bottom w:val="none" w:sz="0" w:space="0" w:color="auto"/>
        <w:right w:val="none" w:sz="0" w:space="0" w:color="auto"/>
      </w:divBdr>
    </w:div>
    <w:div w:id="1485780326">
      <w:bodyDiv w:val="1"/>
      <w:marLeft w:val="0"/>
      <w:marRight w:val="0"/>
      <w:marTop w:val="0"/>
      <w:marBottom w:val="0"/>
      <w:divBdr>
        <w:top w:val="none" w:sz="0" w:space="0" w:color="auto"/>
        <w:left w:val="none" w:sz="0" w:space="0" w:color="auto"/>
        <w:bottom w:val="none" w:sz="0" w:space="0" w:color="auto"/>
        <w:right w:val="none" w:sz="0" w:space="0" w:color="auto"/>
      </w:divBdr>
    </w:div>
    <w:div w:id="1485853265">
      <w:bodyDiv w:val="1"/>
      <w:marLeft w:val="0"/>
      <w:marRight w:val="0"/>
      <w:marTop w:val="0"/>
      <w:marBottom w:val="0"/>
      <w:divBdr>
        <w:top w:val="none" w:sz="0" w:space="0" w:color="auto"/>
        <w:left w:val="none" w:sz="0" w:space="0" w:color="auto"/>
        <w:bottom w:val="none" w:sz="0" w:space="0" w:color="auto"/>
        <w:right w:val="none" w:sz="0" w:space="0" w:color="auto"/>
      </w:divBdr>
    </w:div>
    <w:div w:id="1485857553">
      <w:bodyDiv w:val="1"/>
      <w:marLeft w:val="0"/>
      <w:marRight w:val="0"/>
      <w:marTop w:val="0"/>
      <w:marBottom w:val="0"/>
      <w:divBdr>
        <w:top w:val="none" w:sz="0" w:space="0" w:color="auto"/>
        <w:left w:val="none" w:sz="0" w:space="0" w:color="auto"/>
        <w:bottom w:val="none" w:sz="0" w:space="0" w:color="auto"/>
        <w:right w:val="none" w:sz="0" w:space="0" w:color="auto"/>
      </w:divBdr>
    </w:div>
    <w:div w:id="1485858368">
      <w:bodyDiv w:val="1"/>
      <w:marLeft w:val="0"/>
      <w:marRight w:val="0"/>
      <w:marTop w:val="0"/>
      <w:marBottom w:val="0"/>
      <w:divBdr>
        <w:top w:val="none" w:sz="0" w:space="0" w:color="auto"/>
        <w:left w:val="none" w:sz="0" w:space="0" w:color="auto"/>
        <w:bottom w:val="none" w:sz="0" w:space="0" w:color="auto"/>
        <w:right w:val="none" w:sz="0" w:space="0" w:color="auto"/>
      </w:divBdr>
    </w:div>
    <w:div w:id="1485926409">
      <w:bodyDiv w:val="1"/>
      <w:marLeft w:val="0"/>
      <w:marRight w:val="0"/>
      <w:marTop w:val="0"/>
      <w:marBottom w:val="0"/>
      <w:divBdr>
        <w:top w:val="none" w:sz="0" w:space="0" w:color="auto"/>
        <w:left w:val="none" w:sz="0" w:space="0" w:color="auto"/>
        <w:bottom w:val="none" w:sz="0" w:space="0" w:color="auto"/>
        <w:right w:val="none" w:sz="0" w:space="0" w:color="auto"/>
      </w:divBdr>
    </w:div>
    <w:div w:id="1486047736">
      <w:bodyDiv w:val="1"/>
      <w:marLeft w:val="0"/>
      <w:marRight w:val="0"/>
      <w:marTop w:val="0"/>
      <w:marBottom w:val="0"/>
      <w:divBdr>
        <w:top w:val="none" w:sz="0" w:space="0" w:color="auto"/>
        <w:left w:val="none" w:sz="0" w:space="0" w:color="auto"/>
        <w:bottom w:val="none" w:sz="0" w:space="0" w:color="auto"/>
        <w:right w:val="none" w:sz="0" w:space="0" w:color="auto"/>
      </w:divBdr>
    </w:div>
    <w:div w:id="1486162647">
      <w:bodyDiv w:val="1"/>
      <w:marLeft w:val="0"/>
      <w:marRight w:val="0"/>
      <w:marTop w:val="0"/>
      <w:marBottom w:val="0"/>
      <w:divBdr>
        <w:top w:val="none" w:sz="0" w:space="0" w:color="auto"/>
        <w:left w:val="none" w:sz="0" w:space="0" w:color="auto"/>
        <w:bottom w:val="none" w:sz="0" w:space="0" w:color="auto"/>
        <w:right w:val="none" w:sz="0" w:space="0" w:color="auto"/>
      </w:divBdr>
    </w:div>
    <w:div w:id="1486163663">
      <w:bodyDiv w:val="1"/>
      <w:marLeft w:val="0"/>
      <w:marRight w:val="0"/>
      <w:marTop w:val="0"/>
      <w:marBottom w:val="0"/>
      <w:divBdr>
        <w:top w:val="none" w:sz="0" w:space="0" w:color="auto"/>
        <w:left w:val="none" w:sz="0" w:space="0" w:color="auto"/>
        <w:bottom w:val="none" w:sz="0" w:space="0" w:color="auto"/>
        <w:right w:val="none" w:sz="0" w:space="0" w:color="auto"/>
      </w:divBdr>
    </w:div>
    <w:div w:id="1486244483">
      <w:bodyDiv w:val="1"/>
      <w:marLeft w:val="0"/>
      <w:marRight w:val="0"/>
      <w:marTop w:val="0"/>
      <w:marBottom w:val="0"/>
      <w:divBdr>
        <w:top w:val="none" w:sz="0" w:space="0" w:color="auto"/>
        <w:left w:val="none" w:sz="0" w:space="0" w:color="auto"/>
        <w:bottom w:val="none" w:sz="0" w:space="0" w:color="auto"/>
        <w:right w:val="none" w:sz="0" w:space="0" w:color="auto"/>
      </w:divBdr>
    </w:div>
    <w:div w:id="1486311585">
      <w:bodyDiv w:val="1"/>
      <w:marLeft w:val="0"/>
      <w:marRight w:val="0"/>
      <w:marTop w:val="0"/>
      <w:marBottom w:val="0"/>
      <w:divBdr>
        <w:top w:val="none" w:sz="0" w:space="0" w:color="auto"/>
        <w:left w:val="none" w:sz="0" w:space="0" w:color="auto"/>
        <w:bottom w:val="none" w:sz="0" w:space="0" w:color="auto"/>
        <w:right w:val="none" w:sz="0" w:space="0" w:color="auto"/>
      </w:divBdr>
    </w:div>
    <w:div w:id="1486318365">
      <w:bodyDiv w:val="1"/>
      <w:marLeft w:val="0"/>
      <w:marRight w:val="0"/>
      <w:marTop w:val="0"/>
      <w:marBottom w:val="0"/>
      <w:divBdr>
        <w:top w:val="none" w:sz="0" w:space="0" w:color="auto"/>
        <w:left w:val="none" w:sz="0" w:space="0" w:color="auto"/>
        <w:bottom w:val="none" w:sz="0" w:space="0" w:color="auto"/>
        <w:right w:val="none" w:sz="0" w:space="0" w:color="auto"/>
      </w:divBdr>
    </w:div>
    <w:div w:id="1486358751">
      <w:bodyDiv w:val="1"/>
      <w:marLeft w:val="0"/>
      <w:marRight w:val="0"/>
      <w:marTop w:val="0"/>
      <w:marBottom w:val="0"/>
      <w:divBdr>
        <w:top w:val="none" w:sz="0" w:space="0" w:color="auto"/>
        <w:left w:val="none" w:sz="0" w:space="0" w:color="auto"/>
        <w:bottom w:val="none" w:sz="0" w:space="0" w:color="auto"/>
        <w:right w:val="none" w:sz="0" w:space="0" w:color="auto"/>
      </w:divBdr>
    </w:div>
    <w:div w:id="1486389170">
      <w:bodyDiv w:val="1"/>
      <w:marLeft w:val="0"/>
      <w:marRight w:val="0"/>
      <w:marTop w:val="0"/>
      <w:marBottom w:val="0"/>
      <w:divBdr>
        <w:top w:val="none" w:sz="0" w:space="0" w:color="auto"/>
        <w:left w:val="none" w:sz="0" w:space="0" w:color="auto"/>
        <w:bottom w:val="none" w:sz="0" w:space="0" w:color="auto"/>
        <w:right w:val="none" w:sz="0" w:space="0" w:color="auto"/>
      </w:divBdr>
    </w:div>
    <w:div w:id="1486436435">
      <w:bodyDiv w:val="1"/>
      <w:marLeft w:val="0"/>
      <w:marRight w:val="0"/>
      <w:marTop w:val="0"/>
      <w:marBottom w:val="0"/>
      <w:divBdr>
        <w:top w:val="none" w:sz="0" w:space="0" w:color="auto"/>
        <w:left w:val="none" w:sz="0" w:space="0" w:color="auto"/>
        <w:bottom w:val="none" w:sz="0" w:space="0" w:color="auto"/>
        <w:right w:val="none" w:sz="0" w:space="0" w:color="auto"/>
      </w:divBdr>
    </w:div>
    <w:div w:id="1486553800">
      <w:bodyDiv w:val="1"/>
      <w:marLeft w:val="0"/>
      <w:marRight w:val="0"/>
      <w:marTop w:val="0"/>
      <w:marBottom w:val="0"/>
      <w:divBdr>
        <w:top w:val="none" w:sz="0" w:space="0" w:color="auto"/>
        <w:left w:val="none" w:sz="0" w:space="0" w:color="auto"/>
        <w:bottom w:val="none" w:sz="0" w:space="0" w:color="auto"/>
        <w:right w:val="none" w:sz="0" w:space="0" w:color="auto"/>
      </w:divBdr>
    </w:div>
    <w:div w:id="1486553837">
      <w:bodyDiv w:val="1"/>
      <w:marLeft w:val="0"/>
      <w:marRight w:val="0"/>
      <w:marTop w:val="0"/>
      <w:marBottom w:val="0"/>
      <w:divBdr>
        <w:top w:val="none" w:sz="0" w:space="0" w:color="auto"/>
        <w:left w:val="none" w:sz="0" w:space="0" w:color="auto"/>
        <w:bottom w:val="none" w:sz="0" w:space="0" w:color="auto"/>
        <w:right w:val="none" w:sz="0" w:space="0" w:color="auto"/>
      </w:divBdr>
    </w:div>
    <w:div w:id="1486627897">
      <w:bodyDiv w:val="1"/>
      <w:marLeft w:val="0"/>
      <w:marRight w:val="0"/>
      <w:marTop w:val="0"/>
      <w:marBottom w:val="0"/>
      <w:divBdr>
        <w:top w:val="none" w:sz="0" w:space="0" w:color="auto"/>
        <w:left w:val="none" w:sz="0" w:space="0" w:color="auto"/>
        <w:bottom w:val="none" w:sz="0" w:space="0" w:color="auto"/>
        <w:right w:val="none" w:sz="0" w:space="0" w:color="auto"/>
      </w:divBdr>
    </w:div>
    <w:div w:id="1486749876">
      <w:bodyDiv w:val="1"/>
      <w:marLeft w:val="0"/>
      <w:marRight w:val="0"/>
      <w:marTop w:val="0"/>
      <w:marBottom w:val="0"/>
      <w:divBdr>
        <w:top w:val="none" w:sz="0" w:space="0" w:color="auto"/>
        <w:left w:val="none" w:sz="0" w:space="0" w:color="auto"/>
        <w:bottom w:val="none" w:sz="0" w:space="0" w:color="auto"/>
        <w:right w:val="none" w:sz="0" w:space="0" w:color="auto"/>
      </w:divBdr>
    </w:div>
    <w:div w:id="1486777867">
      <w:bodyDiv w:val="1"/>
      <w:marLeft w:val="0"/>
      <w:marRight w:val="0"/>
      <w:marTop w:val="0"/>
      <w:marBottom w:val="0"/>
      <w:divBdr>
        <w:top w:val="none" w:sz="0" w:space="0" w:color="auto"/>
        <w:left w:val="none" w:sz="0" w:space="0" w:color="auto"/>
        <w:bottom w:val="none" w:sz="0" w:space="0" w:color="auto"/>
        <w:right w:val="none" w:sz="0" w:space="0" w:color="auto"/>
      </w:divBdr>
    </w:div>
    <w:div w:id="1486779820">
      <w:bodyDiv w:val="1"/>
      <w:marLeft w:val="0"/>
      <w:marRight w:val="0"/>
      <w:marTop w:val="0"/>
      <w:marBottom w:val="0"/>
      <w:divBdr>
        <w:top w:val="none" w:sz="0" w:space="0" w:color="auto"/>
        <w:left w:val="none" w:sz="0" w:space="0" w:color="auto"/>
        <w:bottom w:val="none" w:sz="0" w:space="0" w:color="auto"/>
        <w:right w:val="none" w:sz="0" w:space="0" w:color="auto"/>
      </w:divBdr>
    </w:div>
    <w:div w:id="1486970531">
      <w:bodyDiv w:val="1"/>
      <w:marLeft w:val="0"/>
      <w:marRight w:val="0"/>
      <w:marTop w:val="0"/>
      <w:marBottom w:val="0"/>
      <w:divBdr>
        <w:top w:val="none" w:sz="0" w:space="0" w:color="auto"/>
        <w:left w:val="none" w:sz="0" w:space="0" w:color="auto"/>
        <w:bottom w:val="none" w:sz="0" w:space="0" w:color="auto"/>
        <w:right w:val="none" w:sz="0" w:space="0" w:color="auto"/>
      </w:divBdr>
    </w:div>
    <w:div w:id="1487042970">
      <w:bodyDiv w:val="1"/>
      <w:marLeft w:val="0"/>
      <w:marRight w:val="0"/>
      <w:marTop w:val="0"/>
      <w:marBottom w:val="0"/>
      <w:divBdr>
        <w:top w:val="none" w:sz="0" w:space="0" w:color="auto"/>
        <w:left w:val="none" w:sz="0" w:space="0" w:color="auto"/>
        <w:bottom w:val="none" w:sz="0" w:space="0" w:color="auto"/>
        <w:right w:val="none" w:sz="0" w:space="0" w:color="auto"/>
      </w:divBdr>
    </w:div>
    <w:div w:id="1487044508">
      <w:bodyDiv w:val="1"/>
      <w:marLeft w:val="0"/>
      <w:marRight w:val="0"/>
      <w:marTop w:val="0"/>
      <w:marBottom w:val="0"/>
      <w:divBdr>
        <w:top w:val="none" w:sz="0" w:space="0" w:color="auto"/>
        <w:left w:val="none" w:sz="0" w:space="0" w:color="auto"/>
        <w:bottom w:val="none" w:sz="0" w:space="0" w:color="auto"/>
        <w:right w:val="none" w:sz="0" w:space="0" w:color="auto"/>
      </w:divBdr>
    </w:div>
    <w:div w:id="1487279942">
      <w:bodyDiv w:val="1"/>
      <w:marLeft w:val="0"/>
      <w:marRight w:val="0"/>
      <w:marTop w:val="0"/>
      <w:marBottom w:val="0"/>
      <w:divBdr>
        <w:top w:val="none" w:sz="0" w:space="0" w:color="auto"/>
        <w:left w:val="none" w:sz="0" w:space="0" w:color="auto"/>
        <w:bottom w:val="none" w:sz="0" w:space="0" w:color="auto"/>
        <w:right w:val="none" w:sz="0" w:space="0" w:color="auto"/>
      </w:divBdr>
    </w:div>
    <w:div w:id="1487286911">
      <w:bodyDiv w:val="1"/>
      <w:marLeft w:val="0"/>
      <w:marRight w:val="0"/>
      <w:marTop w:val="0"/>
      <w:marBottom w:val="0"/>
      <w:divBdr>
        <w:top w:val="none" w:sz="0" w:space="0" w:color="auto"/>
        <w:left w:val="none" w:sz="0" w:space="0" w:color="auto"/>
        <w:bottom w:val="none" w:sz="0" w:space="0" w:color="auto"/>
        <w:right w:val="none" w:sz="0" w:space="0" w:color="auto"/>
      </w:divBdr>
    </w:div>
    <w:div w:id="1487431638">
      <w:bodyDiv w:val="1"/>
      <w:marLeft w:val="0"/>
      <w:marRight w:val="0"/>
      <w:marTop w:val="0"/>
      <w:marBottom w:val="0"/>
      <w:divBdr>
        <w:top w:val="none" w:sz="0" w:space="0" w:color="auto"/>
        <w:left w:val="none" w:sz="0" w:space="0" w:color="auto"/>
        <w:bottom w:val="none" w:sz="0" w:space="0" w:color="auto"/>
        <w:right w:val="none" w:sz="0" w:space="0" w:color="auto"/>
      </w:divBdr>
    </w:div>
    <w:div w:id="1487475279">
      <w:bodyDiv w:val="1"/>
      <w:marLeft w:val="0"/>
      <w:marRight w:val="0"/>
      <w:marTop w:val="0"/>
      <w:marBottom w:val="0"/>
      <w:divBdr>
        <w:top w:val="none" w:sz="0" w:space="0" w:color="auto"/>
        <w:left w:val="none" w:sz="0" w:space="0" w:color="auto"/>
        <w:bottom w:val="none" w:sz="0" w:space="0" w:color="auto"/>
        <w:right w:val="none" w:sz="0" w:space="0" w:color="auto"/>
      </w:divBdr>
    </w:div>
    <w:div w:id="1487475932">
      <w:bodyDiv w:val="1"/>
      <w:marLeft w:val="0"/>
      <w:marRight w:val="0"/>
      <w:marTop w:val="0"/>
      <w:marBottom w:val="0"/>
      <w:divBdr>
        <w:top w:val="none" w:sz="0" w:space="0" w:color="auto"/>
        <w:left w:val="none" w:sz="0" w:space="0" w:color="auto"/>
        <w:bottom w:val="none" w:sz="0" w:space="0" w:color="auto"/>
        <w:right w:val="none" w:sz="0" w:space="0" w:color="auto"/>
      </w:divBdr>
    </w:div>
    <w:div w:id="1487555342">
      <w:bodyDiv w:val="1"/>
      <w:marLeft w:val="0"/>
      <w:marRight w:val="0"/>
      <w:marTop w:val="0"/>
      <w:marBottom w:val="0"/>
      <w:divBdr>
        <w:top w:val="none" w:sz="0" w:space="0" w:color="auto"/>
        <w:left w:val="none" w:sz="0" w:space="0" w:color="auto"/>
        <w:bottom w:val="none" w:sz="0" w:space="0" w:color="auto"/>
        <w:right w:val="none" w:sz="0" w:space="0" w:color="auto"/>
      </w:divBdr>
    </w:div>
    <w:div w:id="1487626993">
      <w:bodyDiv w:val="1"/>
      <w:marLeft w:val="0"/>
      <w:marRight w:val="0"/>
      <w:marTop w:val="0"/>
      <w:marBottom w:val="0"/>
      <w:divBdr>
        <w:top w:val="none" w:sz="0" w:space="0" w:color="auto"/>
        <w:left w:val="none" w:sz="0" w:space="0" w:color="auto"/>
        <w:bottom w:val="none" w:sz="0" w:space="0" w:color="auto"/>
        <w:right w:val="none" w:sz="0" w:space="0" w:color="auto"/>
      </w:divBdr>
    </w:div>
    <w:div w:id="1487743718">
      <w:bodyDiv w:val="1"/>
      <w:marLeft w:val="0"/>
      <w:marRight w:val="0"/>
      <w:marTop w:val="0"/>
      <w:marBottom w:val="0"/>
      <w:divBdr>
        <w:top w:val="none" w:sz="0" w:space="0" w:color="auto"/>
        <w:left w:val="none" w:sz="0" w:space="0" w:color="auto"/>
        <w:bottom w:val="none" w:sz="0" w:space="0" w:color="auto"/>
        <w:right w:val="none" w:sz="0" w:space="0" w:color="auto"/>
      </w:divBdr>
    </w:div>
    <w:div w:id="1487815841">
      <w:bodyDiv w:val="1"/>
      <w:marLeft w:val="0"/>
      <w:marRight w:val="0"/>
      <w:marTop w:val="0"/>
      <w:marBottom w:val="0"/>
      <w:divBdr>
        <w:top w:val="none" w:sz="0" w:space="0" w:color="auto"/>
        <w:left w:val="none" w:sz="0" w:space="0" w:color="auto"/>
        <w:bottom w:val="none" w:sz="0" w:space="0" w:color="auto"/>
        <w:right w:val="none" w:sz="0" w:space="0" w:color="auto"/>
      </w:divBdr>
    </w:div>
    <w:div w:id="1487824131">
      <w:bodyDiv w:val="1"/>
      <w:marLeft w:val="0"/>
      <w:marRight w:val="0"/>
      <w:marTop w:val="0"/>
      <w:marBottom w:val="0"/>
      <w:divBdr>
        <w:top w:val="none" w:sz="0" w:space="0" w:color="auto"/>
        <w:left w:val="none" w:sz="0" w:space="0" w:color="auto"/>
        <w:bottom w:val="none" w:sz="0" w:space="0" w:color="auto"/>
        <w:right w:val="none" w:sz="0" w:space="0" w:color="auto"/>
      </w:divBdr>
    </w:div>
    <w:div w:id="1487895833">
      <w:bodyDiv w:val="1"/>
      <w:marLeft w:val="0"/>
      <w:marRight w:val="0"/>
      <w:marTop w:val="0"/>
      <w:marBottom w:val="0"/>
      <w:divBdr>
        <w:top w:val="none" w:sz="0" w:space="0" w:color="auto"/>
        <w:left w:val="none" w:sz="0" w:space="0" w:color="auto"/>
        <w:bottom w:val="none" w:sz="0" w:space="0" w:color="auto"/>
        <w:right w:val="none" w:sz="0" w:space="0" w:color="auto"/>
      </w:divBdr>
    </w:div>
    <w:div w:id="1487896070">
      <w:bodyDiv w:val="1"/>
      <w:marLeft w:val="0"/>
      <w:marRight w:val="0"/>
      <w:marTop w:val="0"/>
      <w:marBottom w:val="0"/>
      <w:divBdr>
        <w:top w:val="none" w:sz="0" w:space="0" w:color="auto"/>
        <w:left w:val="none" w:sz="0" w:space="0" w:color="auto"/>
        <w:bottom w:val="none" w:sz="0" w:space="0" w:color="auto"/>
        <w:right w:val="none" w:sz="0" w:space="0" w:color="auto"/>
      </w:divBdr>
    </w:div>
    <w:div w:id="1487932921">
      <w:bodyDiv w:val="1"/>
      <w:marLeft w:val="0"/>
      <w:marRight w:val="0"/>
      <w:marTop w:val="0"/>
      <w:marBottom w:val="0"/>
      <w:divBdr>
        <w:top w:val="none" w:sz="0" w:space="0" w:color="auto"/>
        <w:left w:val="none" w:sz="0" w:space="0" w:color="auto"/>
        <w:bottom w:val="none" w:sz="0" w:space="0" w:color="auto"/>
        <w:right w:val="none" w:sz="0" w:space="0" w:color="auto"/>
      </w:divBdr>
    </w:div>
    <w:div w:id="1487939585">
      <w:bodyDiv w:val="1"/>
      <w:marLeft w:val="0"/>
      <w:marRight w:val="0"/>
      <w:marTop w:val="0"/>
      <w:marBottom w:val="0"/>
      <w:divBdr>
        <w:top w:val="none" w:sz="0" w:space="0" w:color="auto"/>
        <w:left w:val="none" w:sz="0" w:space="0" w:color="auto"/>
        <w:bottom w:val="none" w:sz="0" w:space="0" w:color="auto"/>
        <w:right w:val="none" w:sz="0" w:space="0" w:color="auto"/>
      </w:divBdr>
    </w:div>
    <w:div w:id="1487940986">
      <w:bodyDiv w:val="1"/>
      <w:marLeft w:val="0"/>
      <w:marRight w:val="0"/>
      <w:marTop w:val="0"/>
      <w:marBottom w:val="0"/>
      <w:divBdr>
        <w:top w:val="none" w:sz="0" w:space="0" w:color="auto"/>
        <w:left w:val="none" w:sz="0" w:space="0" w:color="auto"/>
        <w:bottom w:val="none" w:sz="0" w:space="0" w:color="auto"/>
        <w:right w:val="none" w:sz="0" w:space="0" w:color="auto"/>
      </w:divBdr>
    </w:div>
    <w:div w:id="1488009923">
      <w:bodyDiv w:val="1"/>
      <w:marLeft w:val="0"/>
      <w:marRight w:val="0"/>
      <w:marTop w:val="0"/>
      <w:marBottom w:val="0"/>
      <w:divBdr>
        <w:top w:val="none" w:sz="0" w:space="0" w:color="auto"/>
        <w:left w:val="none" w:sz="0" w:space="0" w:color="auto"/>
        <w:bottom w:val="none" w:sz="0" w:space="0" w:color="auto"/>
        <w:right w:val="none" w:sz="0" w:space="0" w:color="auto"/>
      </w:divBdr>
    </w:div>
    <w:div w:id="1488354854">
      <w:bodyDiv w:val="1"/>
      <w:marLeft w:val="0"/>
      <w:marRight w:val="0"/>
      <w:marTop w:val="0"/>
      <w:marBottom w:val="0"/>
      <w:divBdr>
        <w:top w:val="none" w:sz="0" w:space="0" w:color="auto"/>
        <w:left w:val="none" w:sz="0" w:space="0" w:color="auto"/>
        <w:bottom w:val="none" w:sz="0" w:space="0" w:color="auto"/>
        <w:right w:val="none" w:sz="0" w:space="0" w:color="auto"/>
      </w:divBdr>
    </w:div>
    <w:div w:id="1488547341">
      <w:bodyDiv w:val="1"/>
      <w:marLeft w:val="0"/>
      <w:marRight w:val="0"/>
      <w:marTop w:val="0"/>
      <w:marBottom w:val="0"/>
      <w:divBdr>
        <w:top w:val="none" w:sz="0" w:space="0" w:color="auto"/>
        <w:left w:val="none" w:sz="0" w:space="0" w:color="auto"/>
        <w:bottom w:val="none" w:sz="0" w:space="0" w:color="auto"/>
        <w:right w:val="none" w:sz="0" w:space="0" w:color="auto"/>
      </w:divBdr>
    </w:div>
    <w:div w:id="1488589276">
      <w:bodyDiv w:val="1"/>
      <w:marLeft w:val="0"/>
      <w:marRight w:val="0"/>
      <w:marTop w:val="0"/>
      <w:marBottom w:val="0"/>
      <w:divBdr>
        <w:top w:val="none" w:sz="0" w:space="0" w:color="auto"/>
        <w:left w:val="none" w:sz="0" w:space="0" w:color="auto"/>
        <w:bottom w:val="none" w:sz="0" w:space="0" w:color="auto"/>
        <w:right w:val="none" w:sz="0" w:space="0" w:color="auto"/>
      </w:divBdr>
    </w:div>
    <w:div w:id="1488592816">
      <w:bodyDiv w:val="1"/>
      <w:marLeft w:val="0"/>
      <w:marRight w:val="0"/>
      <w:marTop w:val="0"/>
      <w:marBottom w:val="0"/>
      <w:divBdr>
        <w:top w:val="none" w:sz="0" w:space="0" w:color="auto"/>
        <w:left w:val="none" w:sz="0" w:space="0" w:color="auto"/>
        <w:bottom w:val="none" w:sz="0" w:space="0" w:color="auto"/>
        <w:right w:val="none" w:sz="0" w:space="0" w:color="auto"/>
      </w:divBdr>
    </w:div>
    <w:div w:id="1488593866">
      <w:bodyDiv w:val="1"/>
      <w:marLeft w:val="0"/>
      <w:marRight w:val="0"/>
      <w:marTop w:val="0"/>
      <w:marBottom w:val="0"/>
      <w:divBdr>
        <w:top w:val="none" w:sz="0" w:space="0" w:color="auto"/>
        <w:left w:val="none" w:sz="0" w:space="0" w:color="auto"/>
        <w:bottom w:val="none" w:sz="0" w:space="0" w:color="auto"/>
        <w:right w:val="none" w:sz="0" w:space="0" w:color="auto"/>
      </w:divBdr>
    </w:div>
    <w:div w:id="1488742796">
      <w:bodyDiv w:val="1"/>
      <w:marLeft w:val="0"/>
      <w:marRight w:val="0"/>
      <w:marTop w:val="0"/>
      <w:marBottom w:val="0"/>
      <w:divBdr>
        <w:top w:val="none" w:sz="0" w:space="0" w:color="auto"/>
        <w:left w:val="none" w:sz="0" w:space="0" w:color="auto"/>
        <w:bottom w:val="none" w:sz="0" w:space="0" w:color="auto"/>
        <w:right w:val="none" w:sz="0" w:space="0" w:color="auto"/>
      </w:divBdr>
    </w:div>
    <w:div w:id="1488978608">
      <w:bodyDiv w:val="1"/>
      <w:marLeft w:val="0"/>
      <w:marRight w:val="0"/>
      <w:marTop w:val="0"/>
      <w:marBottom w:val="0"/>
      <w:divBdr>
        <w:top w:val="none" w:sz="0" w:space="0" w:color="auto"/>
        <w:left w:val="none" w:sz="0" w:space="0" w:color="auto"/>
        <w:bottom w:val="none" w:sz="0" w:space="0" w:color="auto"/>
        <w:right w:val="none" w:sz="0" w:space="0" w:color="auto"/>
      </w:divBdr>
    </w:div>
    <w:div w:id="1489204575">
      <w:bodyDiv w:val="1"/>
      <w:marLeft w:val="0"/>
      <w:marRight w:val="0"/>
      <w:marTop w:val="0"/>
      <w:marBottom w:val="0"/>
      <w:divBdr>
        <w:top w:val="none" w:sz="0" w:space="0" w:color="auto"/>
        <w:left w:val="none" w:sz="0" w:space="0" w:color="auto"/>
        <w:bottom w:val="none" w:sz="0" w:space="0" w:color="auto"/>
        <w:right w:val="none" w:sz="0" w:space="0" w:color="auto"/>
      </w:divBdr>
    </w:div>
    <w:div w:id="1489437123">
      <w:bodyDiv w:val="1"/>
      <w:marLeft w:val="0"/>
      <w:marRight w:val="0"/>
      <w:marTop w:val="0"/>
      <w:marBottom w:val="0"/>
      <w:divBdr>
        <w:top w:val="none" w:sz="0" w:space="0" w:color="auto"/>
        <w:left w:val="none" w:sz="0" w:space="0" w:color="auto"/>
        <w:bottom w:val="none" w:sz="0" w:space="0" w:color="auto"/>
        <w:right w:val="none" w:sz="0" w:space="0" w:color="auto"/>
      </w:divBdr>
    </w:div>
    <w:div w:id="1489514569">
      <w:bodyDiv w:val="1"/>
      <w:marLeft w:val="0"/>
      <w:marRight w:val="0"/>
      <w:marTop w:val="0"/>
      <w:marBottom w:val="0"/>
      <w:divBdr>
        <w:top w:val="none" w:sz="0" w:space="0" w:color="auto"/>
        <w:left w:val="none" w:sz="0" w:space="0" w:color="auto"/>
        <w:bottom w:val="none" w:sz="0" w:space="0" w:color="auto"/>
        <w:right w:val="none" w:sz="0" w:space="0" w:color="auto"/>
      </w:divBdr>
    </w:div>
    <w:div w:id="1489516752">
      <w:bodyDiv w:val="1"/>
      <w:marLeft w:val="0"/>
      <w:marRight w:val="0"/>
      <w:marTop w:val="0"/>
      <w:marBottom w:val="0"/>
      <w:divBdr>
        <w:top w:val="none" w:sz="0" w:space="0" w:color="auto"/>
        <w:left w:val="none" w:sz="0" w:space="0" w:color="auto"/>
        <w:bottom w:val="none" w:sz="0" w:space="0" w:color="auto"/>
        <w:right w:val="none" w:sz="0" w:space="0" w:color="auto"/>
      </w:divBdr>
    </w:div>
    <w:div w:id="1489781798">
      <w:bodyDiv w:val="1"/>
      <w:marLeft w:val="0"/>
      <w:marRight w:val="0"/>
      <w:marTop w:val="0"/>
      <w:marBottom w:val="0"/>
      <w:divBdr>
        <w:top w:val="none" w:sz="0" w:space="0" w:color="auto"/>
        <w:left w:val="none" w:sz="0" w:space="0" w:color="auto"/>
        <w:bottom w:val="none" w:sz="0" w:space="0" w:color="auto"/>
        <w:right w:val="none" w:sz="0" w:space="0" w:color="auto"/>
      </w:divBdr>
    </w:div>
    <w:div w:id="1489790278">
      <w:bodyDiv w:val="1"/>
      <w:marLeft w:val="0"/>
      <w:marRight w:val="0"/>
      <w:marTop w:val="0"/>
      <w:marBottom w:val="0"/>
      <w:divBdr>
        <w:top w:val="none" w:sz="0" w:space="0" w:color="auto"/>
        <w:left w:val="none" w:sz="0" w:space="0" w:color="auto"/>
        <w:bottom w:val="none" w:sz="0" w:space="0" w:color="auto"/>
        <w:right w:val="none" w:sz="0" w:space="0" w:color="auto"/>
      </w:divBdr>
    </w:div>
    <w:div w:id="1489980251">
      <w:bodyDiv w:val="1"/>
      <w:marLeft w:val="0"/>
      <w:marRight w:val="0"/>
      <w:marTop w:val="0"/>
      <w:marBottom w:val="0"/>
      <w:divBdr>
        <w:top w:val="none" w:sz="0" w:space="0" w:color="auto"/>
        <w:left w:val="none" w:sz="0" w:space="0" w:color="auto"/>
        <w:bottom w:val="none" w:sz="0" w:space="0" w:color="auto"/>
        <w:right w:val="none" w:sz="0" w:space="0" w:color="auto"/>
      </w:divBdr>
    </w:div>
    <w:div w:id="1489982192">
      <w:bodyDiv w:val="1"/>
      <w:marLeft w:val="0"/>
      <w:marRight w:val="0"/>
      <w:marTop w:val="0"/>
      <w:marBottom w:val="0"/>
      <w:divBdr>
        <w:top w:val="none" w:sz="0" w:space="0" w:color="auto"/>
        <w:left w:val="none" w:sz="0" w:space="0" w:color="auto"/>
        <w:bottom w:val="none" w:sz="0" w:space="0" w:color="auto"/>
        <w:right w:val="none" w:sz="0" w:space="0" w:color="auto"/>
      </w:divBdr>
    </w:div>
    <w:div w:id="1490053955">
      <w:bodyDiv w:val="1"/>
      <w:marLeft w:val="0"/>
      <w:marRight w:val="0"/>
      <w:marTop w:val="0"/>
      <w:marBottom w:val="0"/>
      <w:divBdr>
        <w:top w:val="none" w:sz="0" w:space="0" w:color="auto"/>
        <w:left w:val="none" w:sz="0" w:space="0" w:color="auto"/>
        <w:bottom w:val="none" w:sz="0" w:space="0" w:color="auto"/>
        <w:right w:val="none" w:sz="0" w:space="0" w:color="auto"/>
      </w:divBdr>
    </w:div>
    <w:div w:id="1490245596">
      <w:bodyDiv w:val="1"/>
      <w:marLeft w:val="0"/>
      <w:marRight w:val="0"/>
      <w:marTop w:val="0"/>
      <w:marBottom w:val="0"/>
      <w:divBdr>
        <w:top w:val="none" w:sz="0" w:space="0" w:color="auto"/>
        <w:left w:val="none" w:sz="0" w:space="0" w:color="auto"/>
        <w:bottom w:val="none" w:sz="0" w:space="0" w:color="auto"/>
        <w:right w:val="none" w:sz="0" w:space="0" w:color="auto"/>
      </w:divBdr>
    </w:div>
    <w:div w:id="1490363830">
      <w:bodyDiv w:val="1"/>
      <w:marLeft w:val="0"/>
      <w:marRight w:val="0"/>
      <w:marTop w:val="0"/>
      <w:marBottom w:val="0"/>
      <w:divBdr>
        <w:top w:val="none" w:sz="0" w:space="0" w:color="auto"/>
        <w:left w:val="none" w:sz="0" w:space="0" w:color="auto"/>
        <w:bottom w:val="none" w:sz="0" w:space="0" w:color="auto"/>
        <w:right w:val="none" w:sz="0" w:space="0" w:color="auto"/>
      </w:divBdr>
    </w:div>
    <w:div w:id="1490364135">
      <w:bodyDiv w:val="1"/>
      <w:marLeft w:val="0"/>
      <w:marRight w:val="0"/>
      <w:marTop w:val="0"/>
      <w:marBottom w:val="0"/>
      <w:divBdr>
        <w:top w:val="none" w:sz="0" w:space="0" w:color="auto"/>
        <w:left w:val="none" w:sz="0" w:space="0" w:color="auto"/>
        <w:bottom w:val="none" w:sz="0" w:space="0" w:color="auto"/>
        <w:right w:val="none" w:sz="0" w:space="0" w:color="auto"/>
      </w:divBdr>
    </w:div>
    <w:div w:id="1490438077">
      <w:bodyDiv w:val="1"/>
      <w:marLeft w:val="0"/>
      <w:marRight w:val="0"/>
      <w:marTop w:val="0"/>
      <w:marBottom w:val="0"/>
      <w:divBdr>
        <w:top w:val="none" w:sz="0" w:space="0" w:color="auto"/>
        <w:left w:val="none" w:sz="0" w:space="0" w:color="auto"/>
        <w:bottom w:val="none" w:sz="0" w:space="0" w:color="auto"/>
        <w:right w:val="none" w:sz="0" w:space="0" w:color="auto"/>
      </w:divBdr>
    </w:div>
    <w:div w:id="1490485735">
      <w:bodyDiv w:val="1"/>
      <w:marLeft w:val="0"/>
      <w:marRight w:val="0"/>
      <w:marTop w:val="0"/>
      <w:marBottom w:val="0"/>
      <w:divBdr>
        <w:top w:val="none" w:sz="0" w:space="0" w:color="auto"/>
        <w:left w:val="none" w:sz="0" w:space="0" w:color="auto"/>
        <w:bottom w:val="none" w:sz="0" w:space="0" w:color="auto"/>
        <w:right w:val="none" w:sz="0" w:space="0" w:color="auto"/>
      </w:divBdr>
    </w:div>
    <w:div w:id="1490512482">
      <w:bodyDiv w:val="1"/>
      <w:marLeft w:val="0"/>
      <w:marRight w:val="0"/>
      <w:marTop w:val="0"/>
      <w:marBottom w:val="0"/>
      <w:divBdr>
        <w:top w:val="none" w:sz="0" w:space="0" w:color="auto"/>
        <w:left w:val="none" w:sz="0" w:space="0" w:color="auto"/>
        <w:bottom w:val="none" w:sz="0" w:space="0" w:color="auto"/>
        <w:right w:val="none" w:sz="0" w:space="0" w:color="auto"/>
      </w:divBdr>
    </w:div>
    <w:div w:id="1490749087">
      <w:bodyDiv w:val="1"/>
      <w:marLeft w:val="0"/>
      <w:marRight w:val="0"/>
      <w:marTop w:val="0"/>
      <w:marBottom w:val="0"/>
      <w:divBdr>
        <w:top w:val="none" w:sz="0" w:space="0" w:color="auto"/>
        <w:left w:val="none" w:sz="0" w:space="0" w:color="auto"/>
        <w:bottom w:val="none" w:sz="0" w:space="0" w:color="auto"/>
        <w:right w:val="none" w:sz="0" w:space="0" w:color="auto"/>
      </w:divBdr>
    </w:div>
    <w:div w:id="1490830703">
      <w:bodyDiv w:val="1"/>
      <w:marLeft w:val="0"/>
      <w:marRight w:val="0"/>
      <w:marTop w:val="0"/>
      <w:marBottom w:val="0"/>
      <w:divBdr>
        <w:top w:val="none" w:sz="0" w:space="0" w:color="auto"/>
        <w:left w:val="none" w:sz="0" w:space="0" w:color="auto"/>
        <w:bottom w:val="none" w:sz="0" w:space="0" w:color="auto"/>
        <w:right w:val="none" w:sz="0" w:space="0" w:color="auto"/>
      </w:divBdr>
    </w:div>
    <w:div w:id="1490973859">
      <w:bodyDiv w:val="1"/>
      <w:marLeft w:val="0"/>
      <w:marRight w:val="0"/>
      <w:marTop w:val="0"/>
      <w:marBottom w:val="0"/>
      <w:divBdr>
        <w:top w:val="none" w:sz="0" w:space="0" w:color="auto"/>
        <w:left w:val="none" w:sz="0" w:space="0" w:color="auto"/>
        <w:bottom w:val="none" w:sz="0" w:space="0" w:color="auto"/>
        <w:right w:val="none" w:sz="0" w:space="0" w:color="auto"/>
      </w:divBdr>
    </w:div>
    <w:div w:id="1490974772">
      <w:bodyDiv w:val="1"/>
      <w:marLeft w:val="0"/>
      <w:marRight w:val="0"/>
      <w:marTop w:val="0"/>
      <w:marBottom w:val="0"/>
      <w:divBdr>
        <w:top w:val="none" w:sz="0" w:space="0" w:color="auto"/>
        <w:left w:val="none" w:sz="0" w:space="0" w:color="auto"/>
        <w:bottom w:val="none" w:sz="0" w:space="0" w:color="auto"/>
        <w:right w:val="none" w:sz="0" w:space="0" w:color="auto"/>
      </w:divBdr>
    </w:div>
    <w:div w:id="1491016715">
      <w:bodyDiv w:val="1"/>
      <w:marLeft w:val="0"/>
      <w:marRight w:val="0"/>
      <w:marTop w:val="0"/>
      <w:marBottom w:val="0"/>
      <w:divBdr>
        <w:top w:val="none" w:sz="0" w:space="0" w:color="auto"/>
        <w:left w:val="none" w:sz="0" w:space="0" w:color="auto"/>
        <w:bottom w:val="none" w:sz="0" w:space="0" w:color="auto"/>
        <w:right w:val="none" w:sz="0" w:space="0" w:color="auto"/>
      </w:divBdr>
    </w:div>
    <w:div w:id="1491290929">
      <w:bodyDiv w:val="1"/>
      <w:marLeft w:val="0"/>
      <w:marRight w:val="0"/>
      <w:marTop w:val="0"/>
      <w:marBottom w:val="0"/>
      <w:divBdr>
        <w:top w:val="none" w:sz="0" w:space="0" w:color="auto"/>
        <w:left w:val="none" w:sz="0" w:space="0" w:color="auto"/>
        <w:bottom w:val="none" w:sz="0" w:space="0" w:color="auto"/>
        <w:right w:val="none" w:sz="0" w:space="0" w:color="auto"/>
      </w:divBdr>
    </w:div>
    <w:div w:id="1491291142">
      <w:bodyDiv w:val="1"/>
      <w:marLeft w:val="0"/>
      <w:marRight w:val="0"/>
      <w:marTop w:val="0"/>
      <w:marBottom w:val="0"/>
      <w:divBdr>
        <w:top w:val="none" w:sz="0" w:space="0" w:color="auto"/>
        <w:left w:val="none" w:sz="0" w:space="0" w:color="auto"/>
        <w:bottom w:val="none" w:sz="0" w:space="0" w:color="auto"/>
        <w:right w:val="none" w:sz="0" w:space="0" w:color="auto"/>
      </w:divBdr>
    </w:div>
    <w:div w:id="1491366347">
      <w:bodyDiv w:val="1"/>
      <w:marLeft w:val="0"/>
      <w:marRight w:val="0"/>
      <w:marTop w:val="0"/>
      <w:marBottom w:val="0"/>
      <w:divBdr>
        <w:top w:val="none" w:sz="0" w:space="0" w:color="auto"/>
        <w:left w:val="none" w:sz="0" w:space="0" w:color="auto"/>
        <w:bottom w:val="none" w:sz="0" w:space="0" w:color="auto"/>
        <w:right w:val="none" w:sz="0" w:space="0" w:color="auto"/>
      </w:divBdr>
    </w:div>
    <w:div w:id="1491406310">
      <w:bodyDiv w:val="1"/>
      <w:marLeft w:val="0"/>
      <w:marRight w:val="0"/>
      <w:marTop w:val="0"/>
      <w:marBottom w:val="0"/>
      <w:divBdr>
        <w:top w:val="none" w:sz="0" w:space="0" w:color="auto"/>
        <w:left w:val="none" w:sz="0" w:space="0" w:color="auto"/>
        <w:bottom w:val="none" w:sz="0" w:space="0" w:color="auto"/>
        <w:right w:val="none" w:sz="0" w:space="0" w:color="auto"/>
      </w:divBdr>
    </w:div>
    <w:div w:id="1491555788">
      <w:bodyDiv w:val="1"/>
      <w:marLeft w:val="0"/>
      <w:marRight w:val="0"/>
      <w:marTop w:val="0"/>
      <w:marBottom w:val="0"/>
      <w:divBdr>
        <w:top w:val="none" w:sz="0" w:space="0" w:color="auto"/>
        <w:left w:val="none" w:sz="0" w:space="0" w:color="auto"/>
        <w:bottom w:val="none" w:sz="0" w:space="0" w:color="auto"/>
        <w:right w:val="none" w:sz="0" w:space="0" w:color="auto"/>
      </w:divBdr>
    </w:div>
    <w:div w:id="1491562314">
      <w:bodyDiv w:val="1"/>
      <w:marLeft w:val="0"/>
      <w:marRight w:val="0"/>
      <w:marTop w:val="0"/>
      <w:marBottom w:val="0"/>
      <w:divBdr>
        <w:top w:val="none" w:sz="0" w:space="0" w:color="auto"/>
        <w:left w:val="none" w:sz="0" w:space="0" w:color="auto"/>
        <w:bottom w:val="none" w:sz="0" w:space="0" w:color="auto"/>
        <w:right w:val="none" w:sz="0" w:space="0" w:color="auto"/>
      </w:divBdr>
    </w:div>
    <w:div w:id="1491605502">
      <w:bodyDiv w:val="1"/>
      <w:marLeft w:val="0"/>
      <w:marRight w:val="0"/>
      <w:marTop w:val="0"/>
      <w:marBottom w:val="0"/>
      <w:divBdr>
        <w:top w:val="none" w:sz="0" w:space="0" w:color="auto"/>
        <w:left w:val="none" w:sz="0" w:space="0" w:color="auto"/>
        <w:bottom w:val="none" w:sz="0" w:space="0" w:color="auto"/>
        <w:right w:val="none" w:sz="0" w:space="0" w:color="auto"/>
      </w:divBdr>
    </w:div>
    <w:div w:id="1491746888">
      <w:bodyDiv w:val="1"/>
      <w:marLeft w:val="0"/>
      <w:marRight w:val="0"/>
      <w:marTop w:val="0"/>
      <w:marBottom w:val="0"/>
      <w:divBdr>
        <w:top w:val="none" w:sz="0" w:space="0" w:color="auto"/>
        <w:left w:val="none" w:sz="0" w:space="0" w:color="auto"/>
        <w:bottom w:val="none" w:sz="0" w:space="0" w:color="auto"/>
        <w:right w:val="none" w:sz="0" w:space="0" w:color="auto"/>
      </w:divBdr>
    </w:div>
    <w:div w:id="1491748788">
      <w:bodyDiv w:val="1"/>
      <w:marLeft w:val="0"/>
      <w:marRight w:val="0"/>
      <w:marTop w:val="0"/>
      <w:marBottom w:val="0"/>
      <w:divBdr>
        <w:top w:val="none" w:sz="0" w:space="0" w:color="auto"/>
        <w:left w:val="none" w:sz="0" w:space="0" w:color="auto"/>
        <w:bottom w:val="none" w:sz="0" w:space="0" w:color="auto"/>
        <w:right w:val="none" w:sz="0" w:space="0" w:color="auto"/>
      </w:divBdr>
    </w:div>
    <w:div w:id="1491947582">
      <w:bodyDiv w:val="1"/>
      <w:marLeft w:val="0"/>
      <w:marRight w:val="0"/>
      <w:marTop w:val="0"/>
      <w:marBottom w:val="0"/>
      <w:divBdr>
        <w:top w:val="none" w:sz="0" w:space="0" w:color="auto"/>
        <w:left w:val="none" w:sz="0" w:space="0" w:color="auto"/>
        <w:bottom w:val="none" w:sz="0" w:space="0" w:color="auto"/>
        <w:right w:val="none" w:sz="0" w:space="0" w:color="auto"/>
      </w:divBdr>
    </w:div>
    <w:div w:id="1492017852">
      <w:bodyDiv w:val="1"/>
      <w:marLeft w:val="0"/>
      <w:marRight w:val="0"/>
      <w:marTop w:val="0"/>
      <w:marBottom w:val="0"/>
      <w:divBdr>
        <w:top w:val="none" w:sz="0" w:space="0" w:color="auto"/>
        <w:left w:val="none" w:sz="0" w:space="0" w:color="auto"/>
        <w:bottom w:val="none" w:sz="0" w:space="0" w:color="auto"/>
        <w:right w:val="none" w:sz="0" w:space="0" w:color="auto"/>
      </w:divBdr>
    </w:div>
    <w:div w:id="1492060560">
      <w:bodyDiv w:val="1"/>
      <w:marLeft w:val="0"/>
      <w:marRight w:val="0"/>
      <w:marTop w:val="0"/>
      <w:marBottom w:val="0"/>
      <w:divBdr>
        <w:top w:val="none" w:sz="0" w:space="0" w:color="auto"/>
        <w:left w:val="none" w:sz="0" w:space="0" w:color="auto"/>
        <w:bottom w:val="none" w:sz="0" w:space="0" w:color="auto"/>
        <w:right w:val="none" w:sz="0" w:space="0" w:color="auto"/>
      </w:divBdr>
    </w:div>
    <w:div w:id="1492259127">
      <w:bodyDiv w:val="1"/>
      <w:marLeft w:val="0"/>
      <w:marRight w:val="0"/>
      <w:marTop w:val="0"/>
      <w:marBottom w:val="0"/>
      <w:divBdr>
        <w:top w:val="none" w:sz="0" w:space="0" w:color="auto"/>
        <w:left w:val="none" w:sz="0" w:space="0" w:color="auto"/>
        <w:bottom w:val="none" w:sz="0" w:space="0" w:color="auto"/>
        <w:right w:val="none" w:sz="0" w:space="0" w:color="auto"/>
      </w:divBdr>
    </w:div>
    <w:div w:id="1492326543">
      <w:bodyDiv w:val="1"/>
      <w:marLeft w:val="0"/>
      <w:marRight w:val="0"/>
      <w:marTop w:val="0"/>
      <w:marBottom w:val="0"/>
      <w:divBdr>
        <w:top w:val="none" w:sz="0" w:space="0" w:color="auto"/>
        <w:left w:val="none" w:sz="0" w:space="0" w:color="auto"/>
        <w:bottom w:val="none" w:sz="0" w:space="0" w:color="auto"/>
        <w:right w:val="none" w:sz="0" w:space="0" w:color="auto"/>
      </w:divBdr>
    </w:div>
    <w:div w:id="1492334681">
      <w:bodyDiv w:val="1"/>
      <w:marLeft w:val="0"/>
      <w:marRight w:val="0"/>
      <w:marTop w:val="0"/>
      <w:marBottom w:val="0"/>
      <w:divBdr>
        <w:top w:val="none" w:sz="0" w:space="0" w:color="auto"/>
        <w:left w:val="none" w:sz="0" w:space="0" w:color="auto"/>
        <w:bottom w:val="none" w:sz="0" w:space="0" w:color="auto"/>
        <w:right w:val="none" w:sz="0" w:space="0" w:color="auto"/>
      </w:divBdr>
    </w:div>
    <w:div w:id="1492527949">
      <w:bodyDiv w:val="1"/>
      <w:marLeft w:val="0"/>
      <w:marRight w:val="0"/>
      <w:marTop w:val="0"/>
      <w:marBottom w:val="0"/>
      <w:divBdr>
        <w:top w:val="none" w:sz="0" w:space="0" w:color="auto"/>
        <w:left w:val="none" w:sz="0" w:space="0" w:color="auto"/>
        <w:bottom w:val="none" w:sz="0" w:space="0" w:color="auto"/>
        <w:right w:val="none" w:sz="0" w:space="0" w:color="auto"/>
      </w:divBdr>
    </w:div>
    <w:div w:id="1492603305">
      <w:bodyDiv w:val="1"/>
      <w:marLeft w:val="0"/>
      <w:marRight w:val="0"/>
      <w:marTop w:val="0"/>
      <w:marBottom w:val="0"/>
      <w:divBdr>
        <w:top w:val="none" w:sz="0" w:space="0" w:color="auto"/>
        <w:left w:val="none" w:sz="0" w:space="0" w:color="auto"/>
        <w:bottom w:val="none" w:sz="0" w:space="0" w:color="auto"/>
        <w:right w:val="none" w:sz="0" w:space="0" w:color="auto"/>
      </w:divBdr>
    </w:div>
    <w:div w:id="1492720089">
      <w:bodyDiv w:val="1"/>
      <w:marLeft w:val="0"/>
      <w:marRight w:val="0"/>
      <w:marTop w:val="0"/>
      <w:marBottom w:val="0"/>
      <w:divBdr>
        <w:top w:val="none" w:sz="0" w:space="0" w:color="auto"/>
        <w:left w:val="none" w:sz="0" w:space="0" w:color="auto"/>
        <w:bottom w:val="none" w:sz="0" w:space="0" w:color="auto"/>
        <w:right w:val="none" w:sz="0" w:space="0" w:color="auto"/>
      </w:divBdr>
    </w:div>
    <w:div w:id="1492721973">
      <w:bodyDiv w:val="1"/>
      <w:marLeft w:val="0"/>
      <w:marRight w:val="0"/>
      <w:marTop w:val="0"/>
      <w:marBottom w:val="0"/>
      <w:divBdr>
        <w:top w:val="none" w:sz="0" w:space="0" w:color="auto"/>
        <w:left w:val="none" w:sz="0" w:space="0" w:color="auto"/>
        <w:bottom w:val="none" w:sz="0" w:space="0" w:color="auto"/>
        <w:right w:val="none" w:sz="0" w:space="0" w:color="auto"/>
      </w:divBdr>
    </w:div>
    <w:div w:id="1492864585">
      <w:bodyDiv w:val="1"/>
      <w:marLeft w:val="0"/>
      <w:marRight w:val="0"/>
      <w:marTop w:val="0"/>
      <w:marBottom w:val="0"/>
      <w:divBdr>
        <w:top w:val="none" w:sz="0" w:space="0" w:color="auto"/>
        <w:left w:val="none" w:sz="0" w:space="0" w:color="auto"/>
        <w:bottom w:val="none" w:sz="0" w:space="0" w:color="auto"/>
        <w:right w:val="none" w:sz="0" w:space="0" w:color="auto"/>
      </w:divBdr>
    </w:div>
    <w:div w:id="1492911670">
      <w:bodyDiv w:val="1"/>
      <w:marLeft w:val="0"/>
      <w:marRight w:val="0"/>
      <w:marTop w:val="0"/>
      <w:marBottom w:val="0"/>
      <w:divBdr>
        <w:top w:val="none" w:sz="0" w:space="0" w:color="auto"/>
        <w:left w:val="none" w:sz="0" w:space="0" w:color="auto"/>
        <w:bottom w:val="none" w:sz="0" w:space="0" w:color="auto"/>
        <w:right w:val="none" w:sz="0" w:space="0" w:color="auto"/>
      </w:divBdr>
    </w:div>
    <w:div w:id="1493138358">
      <w:bodyDiv w:val="1"/>
      <w:marLeft w:val="0"/>
      <w:marRight w:val="0"/>
      <w:marTop w:val="0"/>
      <w:marBottom w:val="0"/>
      <w:divBdr>
        <w:top w:val="none" w:sz="0" w:space="0" w:color="auto"/>
        <w:left w:val="none" w:sz="0" w:space="0" w:color="auto"/>
        <w:bottom w:val="none" w:sz="0" w:space="0" w:color="auto"/>
        <w:right w:val="none" w:sz="0" w:space="0" w:color="auto"/>
      </w:divBdr>
    </w:div>
    <w:div w:id="1493139166">
      <w:bodyDiv w:val="1"/>
      <w:marLeft w:val="0"/>
      <w:marRight w:val="0"/>
      <w:marTop w:val="0"/>
      <w:marBottom w:val="0"/>
      <w:divBdr>
        <w:top w:val="none" w:sz="0" w:space="0" w:color="auto"/>
        <w:left w:val="none" w:sz="0" w:space="0" w:color="auto"/>
        <w:bottom w:val="none" w:sz="0" w:space="0" w:color="auto"/>
        <w:right w:val="none" w:sz="0" w:space="0" w:color="auto"/>
      </w:divBdr>
    </w:div>
    <w:div w:id="1493178856">
      <w:bodyDiv w:val="1"/>
      <w:marLeft w:val="0"/>
      <w:marRight w:val="0"/>
      <w:marTop w:val="0"/>
      <w:marBottom w:val="0"/>
      <w:divBdr>
        <w:top w:val="none" w:sz="0" w:space="0" w:color="auto"/>
        <w:left w:val="none" w:sz="0" w:space="0" w:color="auto"/>
        <w:bottom w:val="none" w:sz="0" w:space="0" w:color="auto"/>
        <w:right w:val="none" w:sz="0" w:space="0" w:color="auto"/>
      </w:divBdr>
    </w:div>
    <w:div w:id="1493328091">
      <w:bodyDiv w:val="1"/>
      <w:marLeft w:val="0"/>
      <w:marRight w:val="0"/>
      <w:marTop w:val="0"/>
      <w:marBottom w:val="0"/>
      <w:divBdr>
        <w:top w:val="none" w:sz="0" w:space="0" w:color="auto"/>
        <w:left w:val="none" w:sz="0" w:space="0" w:color="auto"/>
        <w:bottom w:val="none" w:sz="0" w:space="0" w:color="auto"/>
        <w:right w:val="none" w:sz="0" w:space="0" w:color="auto"/>
      </w:divBdr>
    </w:div>
    <w:div w:id="1493332676">
      <w:bodyDiv w:val="1"/>
      <w:marLeft w:val="0"/>
      <w:marRight w:val="0"/>
      <w:marTop w:val="0"/>
      <w:marBottom w:val="0"/>
      <w:divBdr>
        <w:top w:val="none" w:sz="0" w:space="0" w:color="auto"/>
        <w:left w:val="none" w:sz="0" w:space="0" w:color="auto"/>
        <w:bottom w:val="none" w:sz="0" w:space="0" w:color="auto"/>
        <w:right w:val="none" w:sz="0" w:space="0" w:color="auto"/>
      </w:divBdr>
    </w:div>
    <w:div w:id="1493519783">
      <w:bodyDiv w:val="1"/>
      <w:marLeft w:val="0"/>
      <w:marRight w:val="0"/>
      <w:marTop w:val="0"/>
      <w:marBottom w:val="0"/>
      <w:divBdr>
        <w:top w:val="none" w:sz="0" w:space="0" w:color="auto"/>
        <w:left w:val="none" w:sz="0" w:space="0" w:color="auto"/>
        <w:bottom w:val="none" w:sz="0" w:space="0" w:color="auto"/>
        <w:right w:val="none" w:sz="0" w:space="0" w:color="auto"/>
      </w:divBdr>
    </w:div>
    <w:div w:id="1493525209">
      <w:bodyDiv w:val="1"/>
      <w:marLeft w:val="0"/>
      <w:marRight w:val="0"/>
      <w:marTop w:val="0"/>
      <w:marBottom w:val="0"/>
      <w:divBdr>
        <w:top w:val="none" w:sz="0" w:space="0" w:color="auto"/>
        <w:left w:val="none" w:sz="0" w:space="0" w:color="auto"/>
        <w:bottom w:val="none" w:sz="0" w:space="0" w:color="auto"/>
        <w:right w:val="none" w:sz="0" w:space="0" w:color="auto"/>
      </w:divBdr>
    </w:div>
    <w:div w:id="1493527055">
      <w:bodyDiv w:val="1"/>
      <w:marLeft w:val="0"/>
      <w:marRight w:val="0"/>
      <w:marTop w:val="0"/>
      <w:marBottom w:val="0"/>
      <w:divBdr>
        <w:top w:val="none" w:sz="0" w:space="0" w:color="auto"/>
        <w:left w:val="none" w:sz="0" w:space="0" w:color="auto"/>
        <w:bottom w:val="none" w:sz="0" w:space="0" w:color="auto"/>
        <w:right w:val="none" w:sz="0" w:space="0" w:color="auto"/>
      </w:divBdr>
    </w:div>
    <w:div w:id="1493641791">
      <w:bodyDiv w:val="1"/>
      <w:marLeft w:val="0"/>
      <w:marRight w:val="0"/>
      <w:marTop w:val="0"/>
      <w:marBottom w:val="0"/>
      <w:divBdr>
        <w:top w:val="none" w:sz="0" w:space="0" w:color="auto"/>
        <w:left w:val="none" w:sz="0" w:space="0" w:color="auto"/>
        <w:bottom w:val="none" w:sz="0" w:space="0" w:color="auto"/>
        <w:right w:val="none" w:sz="0" w:space="0" w:color="auto"/>
      </w:divBdr>
    </w:div>
    <w:div w:id="1493989130">
      <w:bodyDiv w:val="1"/>
      <w:marLeft w:val="0"/>
      <w:marRight w:val="0"/>
      <w:marTop w:val="0"/>
      <w:marBottom w:val="0"/>
      <w:divBdr>
        <w:top w:val="none" w:sz="0" w:space="0" w:color="auto"/>
        <w:left w:val="none" w:sz="0" w:space="0" w:color="auto"/>
        <w:bottom w:val="none" w:sz="0" w:space="0" w:color="auto"/>
        <w:right w:val="none" w:sz="0" w:space="0" w:color="auto"/>
      </w:divBdr>
    </w:div>
    <w:div w:id="1494032188">
      <w:bodyDiv w:val="1"/>
      <w:marLeft w:val="0"/>
      <w:marRight w:val="0"/>
      <w:marTop w:val="0"/>
      <w:marBottom w:val="0"/>
      <w:divBdr>
        <w:top w:val="none" w:sz="0" w:space="0" w:color="auto"/>
        <w:left w:val="none" w:sz="0" w:space="0" w:color="auto"/>
        <w:bottom w:val="none" w:sz="0" w:space="0" w:color="auto"/>
        <w:right w:val="none" w:sz="0" w:space="0" w:color="auto"/>
      </w:divBdr>
    </w:div>
    <w:div w:id="1494103022">
      <w:bodyDiv w:val="1"/>
      <w:marLeft w:val="0"/>
      <w:marRight w:val="0"/>
      <w:marTop w:val="0"/>
      <w:marBottom w:val="0"/>
      <w:divBdr>
        <w:top w:val="none" w:sz="0" w:space="0" w:color="auto"/>
        <w:left w:val="none" w:sz="0" w:space="0" w:color="auto"/>
        <w:bottom w:val="none" w:sz="0" w:space="0" w:color="auto"/>
        <w:right w:val="none" w:sz="0" w:space="0" w:color="auto"/>
      </w:divBdr>
    </w:div>
    <w:div w:id="1494182711">
      <w:bodyDiv w:val="1"/>
      <w:marLeft w:val="0"/>
      <w:marRight w:val="0"/>
      <w:marTop w:val="0"/>
      <w:marBottom w:val="0"/>
      <w:divBdr>
        <w:top w:val="none" w:sz="0" w:space="0" w:color="auto"/>
        <w:left w:val="none" w:sz="0" w:space="0" w:color="auto"/>
        <w:bottom w:val="none" w:sz="0" w:space="0" w:color="auto"/>
        <w:right w:val="none" w:sz="0" w:space="0" w:color="auto"/>
      </w:divBdr>
    </w:div>
    <w:div w:id="1494226468">
      <w:bodyDiv w:val="1"/>
      <w:marLeft w:val="0"/>
      <w:marRight w:val="0"/>
      <w:marTop w:val="0"/>
      <w:marBottom w:val="0"/>
      <w:divBdr>
        <w:top w:val="none" w:sz="0" w:space="0" w:color="auto"/>
        <w:left w:val="none" w:sz="0" w:space="0" w:color="auto"/>
        <w:bottom w:val="none" w:sz="0" w:space="0" w:color="auto"/>
        <w:right w:val="none" w:sz="0" w:space="0" w:color="auto"/>
      </w:divBdr>
    </w:div>
    <w:div w:id="1494253181">
      <w:bodyDiv w:val="1"/>
      <w:marLeft w:val="0"/>
      <w:marRight w:val="0"/>
      <w:marTop w:val="0"/>
      <w:marBottom w:val="0"/>
      <w:divBdr>
        <w:top w:val="none" w:sz="0" w:space="0" w:color="auto"/>
        <w:left w:val="none" w:sz="0" w:space="0" w:color="auto"/>
        <w:bottom w:val="none" w:sz="0" w:space="0" w:color="auto"/>
        <w:right w:val="none" w:sz="0" w:space="0" w:color="auto"/>
      </w:divBdr>
    </w:div>
    <w:div w:id="1494445900">
      <w:bodyDiv w:val="1"/>
      <w:marLeft w:val="0"/>
      <w:marRight w:val="0"/>
      <w:marTop w:val="0"/>
      <w:marBottom w:val="0"/>
      <w:divBdr>
        <w:top w:val="none" w:sz="0" w:space="0" w:color="auto"/>
        <w:left w:val="none" w:sz="0" w:space="0" w:color="auto"/>
        <w:bottom w:val="none" w:sz="0" w:space="0" w:color="auto"/>
        <w:right w:val="none" w:sz="0" w:space="0" w:color="auto"/>
      </w:divBdr>
    </w:div>
    <w:div w:id="1494486721">
      <w:bodyDiv w:val="1"/>
      <w:marLeft w:val="0"/>
      <w:marRight w:val="0"/>
      <w:marTop w:val="0"/>
      <w:marBottom w:val="0"/>
      <w:divBdr>
        <w:top w:val="none" w:sz="0" w:space="0" w:color="auto"/>
        <w:left w:val="none" w:sz="0" w:space="0" w:color="auto"/>
        <w:bottom w:val="none" w:sz="0" w:space="0" w:color="auto"/>
        <w:right w:val="none" w:sz="0" w:space="0" w:color="auto"/>
      </w:divBdr>
    </w:div>
    <w:div w:id="1494682405">
      <w:bodyDiv w:val="1"/>
      <w:marLeft w:val="0"/>
      <w:marRight w:val="0"/>
      <w:marTop w:val="0"/>
      <w:marBottom w:val="0"/>
      <w:divBdr>
        <w:top w:val="none" w:sz="0" w:space="0" w:color="auto"/>
        <w:left w:val="none" w:sz="0" w:space="0" w:color="auto"/>
        <w:bottom w:val="none" w:sz="0" w:space="0" w:color="auto"/>
        <w:right w:val="none" w:sz="0" w:space="0" w:color="auto"/>
      </w:divBdr>
    </w:div>
    <w:div w:id="1494683198">
      <w:bodyDiv w:val="1"/>
      <w:marLeft w:val="0"/>
      <w:marRight w:val="0"/>
      <w:marTop w:val="0"/>
      <w:marBottom w:val="0"/>
      <w:divBdr>
        <w:top w:val="none" w:sz="0" w:space="0" w:color="auto"/>
        <w:left w:val="none" w:sz="0" w:space="0" w:color="auto"/>
        <w:bottom w:val="none" w:sz="0" w:space="0" w:color="auto"/>
        <w:right w:val="none" w:sz="0" w:space="0" w:color="auto"/>
      </w:divBdr>
    </w:div>
    <w:div w:id="1494756526">
      <w:bodyDiv w:val="1"/>
      <w:marLeft w:val="0"/>
      <w:marRight w:val="0"/>
      <w:marTop w:val="0"/>
      <w:marBottom w:val="0"/>
      <w:divBdr>
        <w:top w:val="none" w:sz="0" w:space="0" w:color="auto"/>
        <w:left w:val="none" w:sz="0" w:space="0" w:color="auto"/>
        <w:bottom w:val="none" w:sz="0" w:space="0" w:color="auto"/>
        <w:right w:val="none" w:sz="0" w:space="0" w:color="auto"/>
      </w:divBdr>
    </w:div>
    <w:div w:id="1494759270">
      <w:bodyDiv w:val="1"/>
      <w:marLeft w:val="0"/>
      <w:marRight w:val="0"/>
      <w:marTop w:val="0"/>
      <w:marBottom w:val="0"/>
      <w:divBdr>
        <w:top w:val="none" w:sz="0" w:space="0" w:color="auto"/>
        <w:left w:val="none" w:sz="0" w:space="0" w:color="auto"/>
        <w:bottom w:val="none" w:sz="0" w:space="0" w:color="auto"/>
        <w:right w:val="none" w:sz="0" w:space="0" w:color="auto"/>
      </w:divBdr>
    </w:div>
    <w:div w:id="1494762592">
      <w:bodyDiv w:val="1"/>
      <w:marLeft w:val="0"/>
      <w:marRight w:val="0"/>
      <w:marTop w:val="0"/>
      <w:marBottom w:val="0"/>
      <w:divBdr>
        <w:top w:val="none" w:sz="0" w:space="0" w:color="auto"/>
        <w:left w:val="none" w:sz="0" w:space="0" w:color="auto"/>
        <w:bottom w:val="none" w:sz="0" w:space="0" w:color="auto"/>
        <w:right w:val="none" w:sz="0" w:space="0" w:color="auto"/>
      </w:divBdr>
    </w:div>
    <w:div w:id="1494835486">
      <w:bodyDiv w:val="1"/>
      <w:marLeft w:val="0"/>
      <w:marRight w:val="0"/>
      <w:marTop w:val="0"/>
      <w:marBottom w:val="0"/>
      <w:divBdr>
        <w:top w:val="none" w:sz="0" w:space="0" w:color="auto"/>
        <w:left w:val="none" w:sz="0" w:space="0" w:color="auto"/>
        <w:bottom w:val="none" w:sz="0" w:space="0" w:color="auto"/>
        <w:right w:val="none" w:sz="0" w:space="0" w:color="auto"/>
      </w:divBdr>
    </w:div>
    <w:div w:id="1494908017">
      <w:bodyDiv w:val="1"/>
      <w:marLeft w:val="0"/>
      <w:marRight w:val="0"/>
      <w:marTop w:val="0"/>
      <w:marBottom w:val="0"/>
      <w:divBdr>
        <w:top w:val="none" w:sz="0" w:space="0" w:color="auto"/>
        <w:left w:val="none" w:sz="0" w:space="0" w:color="auto"/>
        <w:bottom w:val="none" w:sz="0" w:space="0" w:color="auto"/>
        <w:right w:val="none" w:sz="0" w:space="0" w:color="auto"/>
      </w:divBdr>
    </w:div>
    <w:div w:id="1495141300">
      <w:bodyDiv w:val="1"/>
      <w:marLeft w:val="0"/>
      <w:marRight w:val="0"/>
      <w:marTop w:val="0"/>
      <w:marBottom w:val="0"/>
      <w:divBdr>
        <w:top w:val="none" w:sz="0" w:space="0" w:color="auto"/>
        <w:left w:val="none" w:sz="0" w:space="0" w:color="auto"/>
        <w:bottom w:val="none" w:sz="0" w:space="0" w:color="auto"/>
        <w:right w:val="none" w:sz="0" w:space="0" w:color="auto"/>
      </w:divBdr>
    </w:div>
    <w:div w:id="1495147353">
      <w:bodyDiv w:val="1"/>
      <w:marLeft w:val="0"/>
      <w:marRight w:val="0"/>
      <w:marTop w:val="0"/>
      <w:marBottom w:val="0"/>
      <w:divBdr>
        <w:top w:val="none" w:sz="0" w:space="0" w:color="auto"/>
        <w:left w:val="none" w:sz="0" w:space="0" w:color="auto"/>
        <w:bottom w:val="none" w:sz="0" w:space="0" w:color="auto"/>
        <w:right w:val="none" w:sz="0" w:space="0" w:color="auto"/>
      </w:divBdr>
    </w:div>
    <w:div w:id="1495216591">
      <w:bodyDiv w:val="1"/>
      <w:marLeft w:val="0"/>
      <w:marRight w:val="0"/>
      <w:marTop w:val="0"/>
      <w:marBottom w:val="0"/>
      <w:divBdr>
        <w:top w:val="none" w:sz="0" w:space="0" w:color="auto"/>
        <w:left w:val="none" w:sz="0" w:space="0" w:color="auto"/>
        <w:bottom w:val="none" w:sz="0" w:space="0" w:color="auto"/>
        <w:right w:val="none" w:sz="0" w:space="0" w:color="auto"/>
      </w:divBdr>
    </w:div>
    <w:div w:id="1495299429">
      <w:bodyDiv w:val="1"/>
      <w:marLeft w:val="0"/>
      <w:marRight w:val="0"/>
      <w:marTop w:val="0"/>
      <w:marBottom w:val="0"/>
      <w:divBdr>
        <w:top w:val="none" w:sz="0" w:space="0" w:color="auto"/>
        <w:left w:val="none" w:sz="0" w:space="0" w:color="auto"/>
        <w:bottom w:val="none" w:sz="0" w:space="0" w:color="auto"/>
        <w:right w:val="none" w:sz="0" w:space="0" w:color="auto"/>
      </w:divBdr>
    </w:div>
    <w:div w:id="1495336277">
      <w:bodyDiv w:val="1"/>
      <w:marLeft w:val="0"/>
      <w:marRight w:val="0"/>
      <w:marTop w:val="0"/>
      <w:marBottom w:val="0"/>
      <w:divBdr>
        <w:top w:val="none" w:sz="0" w:space="0" w:color="auto"/>
        <w:left w:val="none" w:sz="0" w:space="0" w:color="auto"/>
        <w:bottom w:val="none" w:sz="0" w:space="0" w:color="auto"/>
        <w:right w:val="none" w:sz="0" w:space="0" w:color="auto"/>
      </w:divBdr>
    </w:div>
    <w:div w:id="1495367244">
      <w:bodyDiv w:val="1"/>
      <w:marLeft w:val="0"/>
      <w:marRight w:val="0"/>
      <w:marTop w:val="0"/>
      <w:marBottom w:val="0"/>
      <w:divBdr>
        <w:top w:val="none" w:sz="0" w:space="0" w:color="auto"/>
        <w:left w:val="none" w:sz="0" w:space="0" w:color="auto"/>
        <w:bottom w:val="none" w:sz="0" w:space="0" w:color="auto"/>
        <w:right w:val="none" w:sz="0" w:space="0" w:color="auto"/>
      </w:divBdr>
    </w:div>
    <w:div w:id="1495880458">
      <w:bodyDiv w:val="1"/>
      <w:marLeft w:val="0"/>
      <w:marRight w:val="0"/>
      <w:marTop w:val="0"/>
      <w:marBottom w:val="0"/>
      <w:divBdr>
        <w:top w:val="none" w:sz="0" w:space="0" w:color="auto"/>
        <w:left w:val="none" w:sz="0" w:space="0" w:color="auto"/>
        <w:bottom w:val="none" w:sz="0" w:space="0" w:color="auto"/>
        <w:right w:val="none" w:sz="0" w:space="0" w:color="auto"/>
      </w:divBdr>
    </w:div>
    <w:div w:id="1495956055">
      <w:bodyDiv w:val="1"/>
      <w:marLeft w:val="0"/>
      <w:marRight w:val="0"/>
      <w:marTop w:val="0"/>
      <w:marBottom w:val="0"/>
      <w:divBdr>
        <w:top w:val="none" w:sz="0" w:space="0" w:color="auto"/>
        <w:left w:val="none" w:sz="0" w:space="0" w:color="auto"/>
        <w:bottom w:val="none" w:sz="0" w:space="0" w:color="auto"/>
        <w:right w:val="none" w:sz="0" w:space="0" w:color="auto"/>
      </w:divBdr>
    </w:div>
    <w:div w:id="1495991562">
      <w:bodyDiv w:val="1"/>
      <w:marLeft w:val="0"/>
      <w:marRight w:val="0"/>
      <w:marTop w:val="0"/>
      <w:marBottom w:val="0"/>
      <w:divBdr>
        <w:top w:val="none" w:sz="0" w:space="0" w:color="auto"/>
        <w:left w:val="none" w:sz="0" w:space="0" w:color="auto"/>
        <w:bottom w:val="none" w:sz="0" w:space="0" w:color="auto"/>
        <w:right w:val="none" w:sz="0" w:space="0" w:color="auto"/>
      </w:divBdr>
    </w:div>
    <w:div w:id="1495997186">
      <w:bodyDiv w:val="1"/>
      <w:marLeft w:val="0"/>
      <w:marRight w:val="0"/>
      <w:marTop w:val="0"/>
      <w:marBottom w:val="0"/>
      <w:divBdr>
        <w:top w:val="none" w:sz="0" w:space="0" w:color="auto"/>
        <w:left w:val="none" w:sz="0" w:space="0" w:color="auto"/>
        <w:bottom w:val="none" w:sz="0" w:space="0" w:color="auto"/>
        <w:right w:val="none" w:sz="0" w:space="0" w:color="auto"/>
      </w:divBdr>
    </w:div>
    <w:div w:id="1496192281">
      <w:bodyDiv w:val="1"/>
      <w:marLeft w:val="0"/>
      <w:marRight w:val="0"/>
      <w:marTop w:val="0"/>
      <w:marBottom w:val="0"/>
      <w:divBdr>
        <w:top w:val="none" w:sz="0" w:space="0" w:color="auto"/>
        <w:left w:val="none" w:sz="0" w:space="0" w:color="auto"/>
        <w:bottom w:val="none" w:sz="0" w:space="0" w:color="auto"/>
        <w:right w:val="none" w:sz="0" w:space="0" w:color="auto"/>
      </w:divBdr>
    </w:div>
    <w:div w:id="1496262181">
      <w:bodyDiv w:val="1"/>
      <w:marLeft w:val="0"/>
      <w:marRight w:val="0"/>
      <w:marTop w:val="0"/>
      <w:marBottom w:val="0"/>
      <w:divBdr>
        <w:top w:val="none" w:sz="0" w:space="0" w:color="auto"/>
        <w:left w:val="none" w:sz="0" w:space="0" w:color="auto"/>
        <w:bottom w:val="none" w:sz="0" w:space="0" w:color="auto"/>
        <w:right w:val="none" w:sz="0" w:space="0" w:color="auto"/>
      </w:divBdr>
    </w:div>
    <w:div w:id="1496333689">
      <w:bodyDiv w:val="1"/>
      <w:marLeft w:val="0"/>
      <w:marRight w:val="0"/>
      <w:marTop w:val="0"/>
      <w:marBottom w:val="0"/>
      <w:divBdr>
        <w:top w:val="none" w:sz="0" w:space="0" w:color="auto"/>
        <w:left w:val="none" w:sz="0" w:space="0" w:color="auto"/>
        <w:bottom w:val="none" w:sz="0" w:space="0" w:color="auto"/>
        <w:right w:val="none" w:sz="0" w:space="0" w:color="auto"/>
      </w:divBdr>
    </w:div>
    <w:div w:id="1496456517">
      <w:bodyDiv w:val="1"/>
      <w:marLeft w:val="0"/>
      <w:marRight w:val="0"/>
      <w:marTop w:val="0"/>
      <w:marBottom w:val="0"/>
      <w:divBdr>
        <w:top w:val="none" w:sz="0" w:space="0" w:color="auto"/>
        <w:left w:val="none" w:sz="0" w:space="0" w:color="auto"/>
        <w:bottom w:val="none" w:sz="0" w:space="0" w:color="auto"/>
        <w:right w:val="none" w:sz="0" w:space="0" w:color="auto"/>
      </w:divBdr>
    </w:div>
    <w:div w:id="1496535850">
      <w:bodyDiv w:val="1"/>
      <w:marLeft w:val="0"/>
      <w:marRight w:val="0"/>
      <w:marTop w:val="0"/>
      <w:marBottom w:val="0"/>
      <w:divBdr>
        <w:top w:val="none" w:sz="0" w:space="0" w:color="auto"/>
        <w:left w:val="none" w:sz="0" w:space="0" w:color="auto"/>
        <w:bottom w:val="none" w:sz="0" w:space="0" w:color="auto"/>
        <w:right w:val="none" w:sz="0" w:space="0" w:color="auto"/>
      </w:divBdr>
    </w:div>
    <w:div w:id="1496724268">
      <w:bodyDiv w:val="1"/>
      <w:marLeft w:val="0"/>
      <w:marRight w:val="0"/>
      <w:marTop w:val="0"/>
      <w:marBottom w:val="0"/>
      <w:divBdr>
        <w:top w:val="none" w:sz="0" w:space="0" w:color="auto"/>
        <w:left w:val="none" w:sz="0" w:space="0" w:color="auto"/>
        <w:bottom w:val="none" w:sz="0" w:space="0" w:color="auto"/>
        <w:right w:val="none" w:sz="0" w:space="0" w:color="auto"/>
      </w:divBdr>
    </w:div>
    <w:div w:id="1496728254">
      <w:bodyDiv w:val="1"/>
      <w:marLeft w:val="0"/>
      <w:marRight w:val="0"/>
      <w:marTop w:val="0"/>
      <w:marBottom w:val="0"/>
      <w:divBdr>
        <w:top w:val="none" w:sz="0" w:space="0" w:color="auto"/>
        <w:left w:val="none" w:sz="0" w:space="0" w:color="auto"/>
        <w:bottom w:val="none" w:sz="0" w:space="0" w:color="auto"/>
        <w:right w:val="none" w:sz="0" w:space="0" w:color="auto"/>
      </w:divBdr>
    </w:div>
    <w:div w:id="1496729634">
      <w:bodyDiv w:val="1"/>
      <w:marLeft w:val="0"/>
      <w:marRight w:val="0"/>
      <w:marTop w:val="0"/>
      <w:marBottom w:val="0"/>
      <w:divBdr>
        <w:top w:val="none" w:sz="0" w:space="0" w:color="auto"/>
        <w:left w:val="none" w:sz="0" w:space="0" w:color="auto"/>
        <w:bottom w:val="none" w:sz="0" w:space="0" w:color="auto"/>
        <w:right w:val="none" w:sz="0" w:space="0" w:color="auto"/>
      </w:divBdr>
    </w:div>
    <w:div w:id="1496844998">
      <w:bodyDiv w:val="1"/>
      <w:marLeft w:val="0"/>
      <w:marRight w:val="0"/>
      <w:marTop w:val="0"/>
      <w:marBottom w:val="0"/>
      <w:divBdr>
        <w:top w:val="none" w:sz="0" w:space="0" w:color="auto"/>
        <w:left w:val="none" w:sz="0" w:space="0" w:color="auto"/>
        <w:bottom w:val="none" w:sz="0" w:space="0" w:color="auto"/>
        <w:right w:val="none" w:sz="0" w:space="0" w:color="auto"/>
      </w:divBdr>
    </w:div>
    <w:div w:id="1496845258">
      <w:bodyDiv w:val="1"/>
      <w:marLeft w:val="0"/>
      <w:marRight w:val="0"/>
      <w:marTop w:val="0"/>
      <w:marBottom w:val="0"/>
      <w:divBdr>
        <w:top w:val="none" w:sz="0" w:space="0" w:color="auto"/>
        <w:left w:val="none" w:sz="0" w:space="0" w:color="auto"/>
        <w:bottom w:val="none" w:sz="0" w:space="0" w:color="auto"/>
        <w:right w:val="none" w:sz="0" w:space="0" w:color="auto"/>
      </w:divBdr>
    </w:div>
    <w:div w:id="1496870693">
      <w:bodyDiv w:val="1"/>
      <w:marLeft w:val="0"/>
      <w:marRight w:val="0"/>
      <w:marTop w:val="0"/>
      <w:marBottom w:val="0"/>
      <w:divBdr>
        <w:top w:val="none" w:sz="0" w:space="0" w:color="auto"/>
        <w:left w:val="none" w:sz="0" w:space="0" w:color="auto"/>
        <w:bottom w:val="none" w:sz="0" w:space="0" w:color="auto"/>
        <w:right w:val="none" w:sz="0" w:space="0" w:color="auto"/>
      </w:divBdr>
    </w:div>
    <w:div w:id="1496917802">
      <w:bodyDiv w:val="1"/>
      <w:marLeft w:val="0"/>
      <w:marRight w:val="0"/>
      <w:marTop w:val="0"/>
      <w:marBottom w:val="0"/>
      <w:divBdr>
        <w:top w:val="none" w:sz="0" w:space="0" w:color="auto"/>
        <w:left w:val="none" w:sz="0" w:space="0" w:color="auto"/>
        <w:bottom w:val="none" w:sz="0" w:space="0" w:color="auto"/>
        <w:right w:val="none" w:sz="0" w:space="0" w:color="auto"/>
      </w:divBdr>
    </w:div>
    <w:div w:id="1496920056">
      <w:bodyDiv w:val="1"/>
      <w:marLeft w:val="0"/>
      <w:marRight w:val="0"/>
      <w:marTop w:val="0"/>
      <w:marBottom w:val="0"/>
      <w:divBdr>
        <w:top w:val="none" w:sz="0" w:space="0" w:color="auto"/>
        <w:left w:val="none" w:sz="0" w:space="0" w:color="auto"/>
        <w:bottom w:val="none" w:sz="0" w:space="0" w:color="auto"/>
        <w:right w:val="none" w:sz="0" w:space="0" w:color="auto"/>
      </w:divBdr>
    </w:div>
    <w:div w:id="1497039445">
      <w:bodyDiv w:val="1"/>
      <w:marLeft w:val="0"/>
      <w:marRight w:val="0"/>
      <w:marTop w:val="0"/>
      <w:marBottom w:val="0"/>
      <w:divBdr>
        <w:top w:val="none" w:sz="0" w:space="0" w:color="auto"/>
        <w:left w:val="none" w:sz="0" w:space="0" w:color="auto"/>
        <w:bottom w:val="none" w:sz="0" w:space="0" w:color="auto"/>
        <w:right w:val="none" w:sz="0" w:space="0" w:color="auto"/>
      </w:divBdr>
    </w:div>
    <w:div w:id="1497257353">
      <w:bodyDiv w:val="1"/>
      <w:marLeft w:val="0"/>
      <w:marRight w:val="0"/>
      <w:marTop w:val="0"/>
      <w:marBottom w:val="0"/>
      <w:divBdr>
        <w:top w:val="none" w:sz="0" w:space="0" w:color="auto"/>
        <w:left w:val="none" w:sz="0" w:space="0" w:color="auto"/>
        <w:bottom w:val="none" w:sz="0" w:space="0" w:color="auto"/>
        <w:right w:val="none" w:sz="0" w:space="0" w:color="auto"/>
      </w:divBdr>
    </w:div>
    <w:div w:id="1497259031">
      <w:bodyDiv w:val="1"/>
      <w:marLeft w:val="0"/>
      <w:marRight w:val="0"/>
      <w:marTop w:val="0"/>
      <w:marBottom w:val="0"/>
      <w:divBdr>
        <w:top w:val="none" w:sz="0" w:space="0" w:color="auto"/>
        <w:left w:val="none" w:sz="0" w:space="0" w:color="auto"/>
        <w:bottom w:val="none" w:sz="0" w:space="0" w:color="auto"/>
        <w:right w:val="none" w:sz="0" w:space="0" w:color="auto"/>
      </w:divBdr>
    </w:div>
    <w:div w:id="1497265077">
      <w:bodyDiv w:val="1"/>
      <w:marLeft w:val="0"/>
      <w:marRight w:val="0"/>
      <w:marTop w:val="0"/>
      <w:marBottom w:val="0"/>
      <w:divBdr>
        <w:top w:val="none" w:sz="0" w:space="0" w:color="auto"/>
        <w:left w:val="none" w:sz="0" w:space="0" w:color="auto"/>
        <w:bottom w:val="none" w:sz="0" w:space="0" w:color="auto"/>
        <w:right w:val="none" w:sz="0" w:space="0" w:color="auto"/>
      </w:divBdr>
    </w:div>
    <w:div w:id="1497303478">
      <w:bodyDiv w:val="1"/>
      <w:marLeft w:val="0"/>
      <w:marRight w:val="0"/>
      <w:marTop w:val="0"/>
      <w:marBottom w:val="0"/>
      <w:divBdr>
        <w:top w:val="none" w:sz="0" w:space="0" w:color="auto"/>
        <w:left w:val="none" w:sz="0" w:space="0" w:color="auto"/>
        <w:bottom w:val="none" w:sz="0" w:space="0" w:color="auto"/>
        <w:right w:val="none" w:sz="0" w:space="0" w:color="auto"/>
      </w:divBdr>
    </w:div>
    <w:div w:id="1497377027">
      <w:bodyDiv w:val="1"/>
      <w:marLeft w:val="0"/>
      <w:marRight w:val="0"/>
      <w:marTop w:val="0"/>
      <w:marBottom w:val="0"/>
      <w:divBdr>
        <w:top w:val="none" w:sz="0" w:space="0" w:color="auto"/>
        <w:left w:val="none" w:sz="0" w:space="0" w:color="auto"/>
        <w:bottom w:val="none" w:sz="0" w:space="0" w:color="auto"/>
        <w:right w:val="none" w:sz="0" w:space="0" w:color="auto"/>
      </w:divBdr>
    </w:div>
    <w:div w:id="1497450836">
      <w:bodyDiv w:val="1"/>
      <w:marLeft w:val="0"/>
      <w:marRight w:val="0"/>
      <w:marTop w:val="0"/>
      <w:marBottom w:val="0"/>
      <w:divBdr>
        <w:top w:val="none" w:sz="0" w:space="0" w:color="auto"/>
        <w:left w:val="none" w:sz="0" w:space="0" w:color="auto"/>
        <w:bottom w:val="none" w:sz="0" w:space="0" w:color="auto"/>
        <w:right w:val="none" w:sz="0" w:space="0" w:color="auto"/>
      </w:divBdr>
    </w:div>
    <w:div w:id="1497502815">
      <w:bodyDiv w:val="1"/>
      <w:marLeft w:val="0"/>
      <w:marRight w:val="0"/>
      <w:marTop w:val="0"/>
      <w:marBottom w:val="0"/>
      <w:divBdr>
        <w:top w:val="none" w:sz="0" w:space="0" w:color="auto"/>
        <w:left w:val="none" w:sz="0" w:space="0" w:color="auto"/>
        <w:bottom w:val="none" w:sz="0" w:space="0" w:color="auto"/>
        <w:right w:val="none" w:sz="0" w:space="0" w:color="auto"/>
      </w:divBdr>
    </w:div>
    <w:div w:id="1497526095">
      <w:bodyDiv w:val="1"/>
      <w:marLeft w:val="0"/>
      <w:marRight w:val="0"/>
      <w:marTop w:val="0"/>
      <w:marBottom w:val="0"/>
      <w:divBdr>
        <w:top w:val="none" w:sz="0" w:space="0" w:color="auto"/>
        <w:left w:val="none" w:sz="0" w:space="0" w:color="auto"/>
        <w:bottom w:val="none" w:sz="0" w:space="0" w:color="auto"/>
        <w:right w:val="none" w:sz="0" w:space="0" w:color="auto"/>
      </w:divBdr>
    </w:div>
    <w:div w:id="1497527305">
      <w:bodyDiv w:val="1"/>
      <w:marLeft w:val="0"/>
      <w:marRight w:val="0"/>
      <w:marTop w:val="0"/>
      <w:marBottom w:val="0"/>
      <w:divBdr>
        <w:top w:val="none" w:sz="0" w:space="0" w:color="auto"/>
        <w:left w:val="none" w:sz="0" w:space="0" w:color="auto"/>
        <w:bottom w:val="none" w:sz="0" w:space="0" w:color="auto"/>
        <w:right w:val="none" w:sz="0" w:space="0" w:color="auto"/>
      </w:divBdr>
    </w:div>
    <w:div w:id="1497726889">
      <w:bodyDiv w:val="1"/>
      <w:marLeft w:val="0"/>
      <w:marRight w:val="0"/>
      <w:marTop w:val="0"/>
      <w:marBottom w:val="0"/>
      <w:divBdr>
        <w:top w:val="none" w:sz="0" w:space="0" w:color="auto"/>
        <w:left w:val="none" w:sz="0" w:space="0" w:color="auto"/>
        <w:bottom w:val="none" w:sz="0" w:space="0" w:color="auto"/>
        <w:right w:val="none" w:sz="0" w:space="0" w:color="auto"/>
      </w:divBdr>
    </w:div>
    <w:div w:id="1497768348">
      <w:bodyDiv w:val="1"/>
      <w:marLeft w:val="0"/>
      <w:marRight w:val="0"/>
      <w:marTop w:val="0"/>
      <w:marBottom w:val="0"/>
      <w:divBdr>
        <w:top w:val="none" w:sz="0" w:space="0" w:color="auto"/>
        <w:left w:val="none" w:sz="0" w:space="0" w:color="auto"/>
        <w:bottom w:val="none" w:sz="0" w:space="0" w:color="auto"/>
        <w:right w:val="none" w:sz="0" w:space="0" w:color="auto"/>
      </w:divBdr>
    </w:div>
    <w:div w:id="1497837923">
      <w:bodyDiv w:val="1"/>
      <w:marLeft w:val="0"/>
      <w:marRight w:val="0"/>
      <w:marTop w:val="0"/>
      <w:marBottom w:val="0"/>
      <w:divBdr>
        <w:top w:val="none" w:sz="0" w:space="0" w:color="auto"/>
        <w:left w:val="none" w:sz="0" w:space="0" w:color="auto"/>
        <w:bottom w:val="none" w:sz="0" w:space="0" w:color="auto"/>
        <w:right w:val="none" w:sz="0" w:space="0" w:color="auto"/>
      </w:divBdr>
    </w:div>
    <w:div w:id="1497956824">
      <w:bodyDiv w:val="1"/>
      <w:marLeft w:val="0"/>
      <w:marRight w:val="0"/>
      <w:marTop w:val="0"/>
      <w:marBottom w:val="0"/>
      <w:divBdr>
        <w:top w:val="none" w:sz="0" w:space="0" w:color="auto"/>
        <w:left w:val="none" w:sz="0" w:space="0" w:color="auto"/>
        <w:bottom w:val="none" w:sz="0" w:space="0" w:color="auto"/>
        <w:right w:val="none" w:sz="0" w:space="0" w:color="auto"/>
      </w:divBdr>
    </w:div>
    <w:div w:id="1498109325">
      <w:bodyDiv w:val="1"/>
      <w:marLeft w:val="0"/>
      <w:marRight w:val="0"/>
      <w:marTop w:val="0"/>
      <w:marBottom w:val="0"/>
      <w:divBdr>
        <w:top w:val="none" w:sz="0" w:space="0" w:color="auto"/>
        <w:left w:val="none" w:sz="0" w:space="0" w:color="auto"/>
        <w:bottom w:val="none" w:sz="0" w:space="0" w:color="auto"/>
        <w:right w:val="none" w:sz="0" w:space="0" w:color="auto"/>
      </w:divBdr>
    </w:div>
    <w:div w:id="1498155108">
      <w:bodyDiv w:val="1"/>
      <w:marLeft w:val="0"/>
      <w:marRight w:val="0"/>
      <w:marTop w:val="0"/>
      <w:marBottom w:val="0"/>
      <w:divBdr>
        <w:top w:val="none" w:sz="0" w:space="0" w:color="auto"/>
        <w:left w:val="none" w:sz="0" w:space="0" w:color="auto"/>
        <w:bottom w:val="none" w:sz="0" w:space="0" w:color="auto"/>
        <w:right w:val="none" w:sz="0" w:space="0" w:color="auto"/>
      </w:divBdr>
    </w:div>
    <w:div w:id="1498181709">
      <w:bodyDiv w:val="1"/>
      <w:marLeft w:val="0"/>
      <w:marRight w:val="0"/>
      <w:marTop w:val="0"/>
      <w:marBottom w:val="0"/>
      <w:divBdr>
        <w:top w:val="none" w:sz="0" w:space="0" w:color="auto"/>
        <w:left w:val="none" w:sz="0" w:space="0" w:color="auto"/>
        <w:bottom w:val="none" w:sz="0" w:space="0" w:color="auto"/>
        <w:right w:val="none" w:sz="0" w:space="0" w:color="auto"/>
      </w:divBdr>
    </w:div>
    <w:div w:id="1498184590">
      <w:bodyDiv w:val="1"/>
      <w:marLeft w:val="0"/>
      <w:marRight w:val="0"/>
      <w:marTop w:val="0"/>
      <w:marBottom w:val="0"/>
      <w:divBdr>
        <w:top w:val="none" w:sz="0" w:space="0" w:color="auto"/>
        <w:left w:val="none" w:sz="0" w:space="0" w:color="auto"/>
        <w:bottom w:val="none" w:sz="0" w:space="0" w:color="auto"/>
        <w:right w:val="none" w:sz="0" w:space="0" w:color="auto"/>
      </w:divBdr>
    </w:div>
    <w:div w:id="1498374691">
      <w:bodyDiv w:val="1"/>
      <w:marLeft w:val="0"/>
      <w:marRight w:val="0"/>
      <w:marTop w:val="0"/>
      <w:marBottom w:val="0"/>
      <w:divBdr>
        <w:top w:val="none" w:sz="0" w:space="0" w:color="auto"/>
        <w:left w:val="none" w:sz="0" w:space="0" w:color="auto"/>
        <w:bottom w:val="none" w:sz="0" w:space="0" w:color="auto"/>
        <w:right w:val="none" w:sz="0" w:space="0" w:color="auto"/>
      </w:divBdr>
    </w:div>
    <w:div w:id="1498377067">
      <w:bodyDiv w:val="1"/>
      <w:marLeft w:val="0"/>
      <w:marRight w:val="0"/>
      <w:marTop w:val="0"/>
      <w:marBottom w:val="0"/>
      <w:divBdr>
        <w:top w:val="none" w:sz="0" w:space="0" w:color="auto"/>
        <w:left w:val="none" w:sz="0" w:space="0" w:color="auto"/>
        <w:bottom w:val="none" w:sz="0" w:space="0" w:color="auto"/>
        <w:right w:val="none" w:sz="0" w:space="0" w:color="auto"/>
      </w:divBdr>
    </w:div>
    <w:div w:id="1498378103">
      <w:bodyDiv w:val="1"/>
      <w:marLeft w:val="0"/>
      <w:marRight w:val="0"/>
      <w:marTop w:val="0"/>
      <w:marBottom w:val="0"/>
      <w:divBdr>
        <w:top w:val="none" w:sz="0" w:space="0" w:color="auto"/>
        <w:left w:val="none" w:sz="0" w:space="0" w:color="auto"/>
        <w:bottom w:val="none" w:sz="0" w:space="0" w:color="auto"/>
        <w:right w:val="none" w:sz="0" w:space="0" w:color="auto"/>
      </w:divBdr>
    </w:div>
    <w:div w:id="1498419387">
      <w:bodyDiv w:val="1"/>
      <w:marLeft w:val="0"/>
      <w:marRight w:val="0"/>
      <w:marTop w:val="0"/>
      <w:marBottom w:val="0"/>
      <w:divBdr>
        <w:top w:val="none" w:sz="0" w:space="0" w:color="auto"/>
        <w:left w:val="none" w:sz="0" w:space="0" w:color="auto"/>
        <w:bottom w:val="none" w:sz="0" w:space="0" w:color="auto"/>
        <w:right w:val="none" w:sz="0" w:space="0" w:color="auto"/>
      </w:divBdr>
    </w:div>
    <w:div w:id="1498493884">
      <w:bodyDiv w:val="1"/>
      <w:marLeft w:val="0"/>
      <w:marRight w:val="0"/>
      <w:marTop w:val="0"/>
      <w:marBottom w:val="0"/>
      <w:divBdr>
        <w:top w:val="none" w:sz="0" w:space="0" w:color="auto"/>
        <w:left w:val="none" w:sz="0" w:space="0" w:color="auto"/>
        <w:bottom w:val="none" w:sz="0" w:space="0" w:color="auto"/>
        <w:right w:val="none" w:sz="0" w:space="0" w:color="auto"/>
      </w:divBdr>
    </w:div>
    <w:div w:id="1498611914">
      <w:bodyDiv w:val="1"/>
      <w:marLeft w:val="0"/>
      <w:marRight w:val="0"/>
      <w:marTop w:val="0"/>
      <w:marBottom w:val="0"/>
      <w:divBdr>
        <w:top w:val="none" w:sz="0" w:space="0" w:color="auto"/>
        <w:left w:val="none" w:sz="0" w:space="0" w:color="auto"/>
        <w:bottom w:val="none" w:sz="0" w:space="0" w:color="auto"/>
        <w:right w:val="none" w:sz="0" w:space="0" w:color="auto"/>
      </w:divBdr>
    </w:div>
    <w:div w:id="1498838153">
      <w:bodyDiv w:val="1"/>
      <w:marLeft w:val="0"/>
      <w:marRight w:val="0"/>
      <w:marTop w:val="0"/>
      <w:marBottom w:val="0"/>
      <w:divBdr>
        <w:top w:val="none" w:sz="0" w:space="0" w:color="auto"/>
        <w:left w:val="none" w:sz="0" w:space="0" w:color="auto"/>
        <w:bottom w:val="none" w:sz="0" w:space="0" w:color="auto"/>
        <w:right w:val="none" w:sz="0" w:space="0" w:color="auto"/>
      </w:divBdr>
    </w:div>
    <w:div w:id="1498840840">
      <w:bodyDiv w:val="1"/>
      <w:marLeft w:val="0"/>
      <w:marRight w:val="0"/>
      <w:marTop w:val="0"/>
      <w:marBottom w:val="0"/>
      <w:divBdr>
        <w:top w:val="none" w:sz="0" w:space="0" w:color="auto"/>
        <w:left w:val="none" w:sz="0" w:space="0" w:color="auto"/>
        <w:bottom w:val="none" w:sz="0" w:space="0" w:color="auto"/>
        <w:right w:val="none" w:sz="0" w:space="0" w:color="auto"/>
      </w:divBdr>
    </w:div>
    <w:div w:id="1498958823">
      <w:bodyDiv w:val="1"/>
      <w:marLeft w:val="0"/>
      <w:marRight w:val="0"/>
      <w:marTop w:val="0"/>
      <w:marBottom w:val="0"/>
      <w:divBdr>
        <w:top w:val="none" w:sz="0" w:space="0" w:color="auto"/>
        <w:left w:val="none" w:sz="0" w:space="0" w:color="auto"/>
        <w:bottom w:val="none" w:sz="0" w:space="0" w:color="auto"/>
        <w:right w:val="none" w:sz="0" w:space="0" w:color="auto"/>
      </w:divBdr>
    </w:div>
    <w:div w:id="1499005132">
      <w:bodyDiv w:val="1"/>
      <w:marLeft w:val="0"/>
      <w:marRight w:val="0"/>
      <w:marTop w:val="0"/>
      <w:marBottom w:val="0"/>
      <w:divBdr>
        <w:top w:val="none" w:sz="0" w:space="0" w:color="auto"/>
        <w:left w:val="none" w:sz="0" w:space="0" w:color="auto"/>
        <w:bottom w:val="none" w:sz="0" w:space="0" w:color="auto"/>
        <w:right w:val="none" w:sz="0" w:space="0" w:color="auto"/>
      </w:divBdr>
    </w:div>
    <w:div w:id="1499031204">
      <w:bodyDiv w:val="1"/>
      <w:marLeft w:val="0"/>
      <w:marRight w:val="0"/>
      <w:marTop w:val="0"/>
      <w:marBottom w:val="0"/>
      <w:divBdr>
        <w:top w:val="none" w:sz="0" w:space="0" w:color="auto"/>
        <w:left w:val="none" w:sz="0" w:space="0" w:color="auto"/>
        <w:bottom w:val="none" w:sz="0" w:space="0" w:color="auto"/>
        <w:right w:val="none" w:sz="0" w:space="0" w:color="auto"/>
      </w:divBdr>
    </w:div>
    <w:div w:id="1499152212">
      <w:bodyDiv w:val="1"/>
      <w:marLeft w:val="0"/>
      <w:marRight w:val="0"/>
      <w:marTop w:val="0"/>
      <w:marBottom w:val="0"/>
      <w:divBdr>
        <w:top w:val="none" w:sz="0" w:space="0" w:color="auto"/>
        <w:left w:val="none" w:sz="0" w:space="0" w:color="auto"/>
        <w:bottom w:val="none" w:sz="0" w:space="0" w:color="auto"/>
        <w:right w:val="none" w:sz="0" w:space="0" w:color="auto"/>
      </w:divBdr>
    </w:div>
    <w:div w:id="1499344851">
      <w:bodyDiv w:val="1"/>
      <w:marLeft w:val="0"/>
      <w:marRight w:val="0"/>
      <w:marTop w:val="0"/>
      <w:marBottom w:val="0"/>
      <w:divBdr>
        <w:top w:val="none" w:sz="0" w:space="0" w:color="auto"/>
        <w:left w:val="none" w:sz="0" w:space="0" w:color="auto"/>
        <w:bottom w:val="none" w:sz="0" w:space="0" w:color="auto"/>
        <w:right w:val="none" w:sz="0" w:space="0" w:color="auto"/>
      </w:divBdr>
    </w:div>
    <w:div w:id="1499494938">
      <w:bodyDiv w:val="1"/>
      <w:marLeft w:val="0"/>
      <w:marRight w:val="0"/>
      <w:marTop w:val="0"/>
      <w:marBottom w:val="0"/>
      <w:divBdr>
        <w:top w:val="none" w:sz="0" w:space="0" w:color="auto"/>
        <w:left w:val="none" w:sz="0" w:space="0" w:color="auto"/>
        <w:bottom w:val="none" w:sz="0" w:space="0" w:color="auto"/>
        <w:right w:val="none" w:sz="0" w:space="0" w:color="auto"/>
      </w:divBdr>
    </w:div>
    <w:div w:id="1499534576">
      <w:bodyDiv w:val="1"/>
      <w:marLeft w:val="0"/>
      <w:marRight w:val="0"/>
      <w:marTop w:val="0"/>
      <w:marBottom w:val="0"/>
      <w:divBdr>
        <w:top w:val="none" w:sz="0" w:space="0" w:color="auto"/>
        <w:left w:val="none" w:sz="0" w:space="0" w:color="auto"/>
        <w:bottom w:val="none" w:sz="0" w:space="0" w:color="auto"/>
        <w:right w:val="none" w:sz="0" w:space="0" w:color="auto"/>
      </w:divBdr>
    </w:div>
    <w:div w:id="1499538338">
      <w:bodyDiv w:val="1"/>
      <w:marLeft w:val="0"/>
      <w:marRight w:val="0"/>
      <w:marTop w:val="0"/>
      <w:marBottom w:val="0"/>
      <w:divBdr>
        <w:top w:val="none" w:sz="0" w:space="0" w:color="auto"/>
        <w:left w:val="none" w:sz="0" w:space="0" w:color="auto"/>
        <w:bottom w:val="none" w:sz="0" w:space="0" w:color="auto"/>
        <w:right w:val="none" w:sz="0" w:space="0" w:color="auto"/>
      </w:divBdr>
    </w:div>
    <w:div w:id="1499615170">
      <w:bodyDiv w:val="1"/>
      <w:marLeft w:val="0"/>
      <w:marRight w:val="0"/>
      <w:marTop w:val="0"/>
      <w:marBottom w:val="0"/>
      <w:divBdr>
        <w:top w:val="none" w:sz="0" w:space="0" w:color="auto"/>
        <w:left w:val="none" w:sz="0" w:space="0" w:color="auto"/>
        <w:bottom w:val="none" w:sz="0" w:space="0" w:color="auto"/>
        <w:right w:val="none" w:sz="0" w:space="0" w:color="auto"/>
      </w:divBdr>
    </w:div>
    <w:div w:id="1499732284">
      <w:bodyDiv w:val="1"/>
      <w:marLeft w:val="0"/>
      <w:marRight w:val="0"/>
      <w:marTop w:val="0"/>
      <w:marBottom w:val="0"/>
      <w:divBdr>
        <w:top w:val="none" w:sz="0" w:space="0" w:color="auto"/>
        <w:left w:val="none" w:sz="0" w:space="0" w:color="auto"/>
        <w:bottom w:val="none" w:sz="0" w:space="0" w:color="auto"/>
        <w:right w:val="none" w:sz="0" w:space="0" w:color="auto"/>
      </w:divBdr>
    </w:div>
    <w:div w:id="1499806956">
      <w:bodyDiv w:val="1"/>
      <w:marLeft w:val="0"/>
      <w:marRight w:val="0"/>
      <w:marTop w:val="0"/>
      <w:marBottom w:val="0"/>
      <w:divBdr>
        <w:top w:val="none" w:sz="0" w:space="0" w:color="auto"/>
        <w:left w:val="none" w:sz="0" w:space="0" w:color="auto"/>
        <w:bottom w:val="none" w:sz="0" w:space="0" w:color="auto"/>
        <w:right w:val="none" w:sz="0" w:space="0" w:color="auto"/>
      </w:divBdr>
    </w:div>
    <w:div w:id="1499811331">
      <w:bodyDiv w:val="1"/>
      <w:marLeft w:val="0"/>
      <w:marRight w:val="0"/>
      <w:marTop w:val="0"/>
      <w:marBottom w:val="0"/>
      <w:divBdr>
        <w:top w:val="none" w:sz="0" w:space="0" w:color="auto"/>
        <w:left w:val="none" w:sz="0" w:space="0" w:color="auto"/>
        <w:bottom w:val="none" w:sz="0" w:space="0" w:color="auto"/>
        <w:right w:val="none" w:sz="0" w:space="0" w:color="auto"/>
      </w:divBdr>
    </w:div>
    <w:div w:id="1499812481">
      <w:bodyDiv w:val="1"/>
      <w:marLeft w:val="0"/>
      <w:marRight w:val="0"/>
      <w:marTop w:val="0"/>
      <w:marBottom w:val="0"/>
      <w:divBdr>
        <w:top w:val="none" w:sz="0" w:space="0" w:color="auto"/>
        <w:left w:val="none" w:sz="0" w:space="0" w:color="auto"/>
        <w:bottom w:val="none" w:sz="0" w:space="0" w:color="auto"/>
        <w:right w:val="none" w:sz="0" w:space="0" w:color="auto"/>
      </w:divBdr>
    </w:div>
    <w:div w:id="1499884893">
      <w:bodyDiv w:val="1"/>
      <w:marLeft w:val="0"/>
      <w:marRight w:val="0"/>
      <w:marTop w:val="0"/>
      <w:marBottom w:val="0"/>
      <w:divBdr>
        <w:top w:val="none" w:sz="0" w:space="0" w:color="auto"/>
        <w:left w:val="none" w:sz="0" w:space="0" w:color="auto"/>
        <w:bottom w:val="none" w:sz="0" w:space="0" w:color="auto"/>
        <w:right w:val="none" w:sz="0" w:space="0" w:color="auto"/>
      </w:divBdr>
    </w:div>
    <w:div w:id="1499922853">
      <w:bodyDiv w:val="1"/>
      <w:marLeft w:val="0"/>
      <w:marRight w:val="0"/>
      <w:marTop w:val="0"/>
      <w:marBottom w:val="0"/>
      <w:divBdr>
        <w:top w:val="none" w:sz="0" w:space="0" w:color="auto"/>
        <w:left w:val="none" w:sz="0" w:space="0" w:color="auto"/>
        <w:bottom w:val="none" w:sz="0" w:space="0" w:color="auto"/>
        <w:right w:val="none" w:sz="0" w:space="0" w:color="auto"/>
      </w:divBdr>
    </w:div>
    <w:div w:id="1499927322">
      <w:bodyDiv w:val="1"/>
      <w:marLeft w:val="0"/>
      <w:marRight w:val="0"/>
      <w:marTop w:val="0"/>
      <w:marBottom w:val="0"/>
      <w:divBdr>
        <w:top w:val="none" w:sz="0" w:space="0" w:color="auto"/>
        <w:left w:val="none" w:sz="0" w:space="0" w:color="auto"/>
        <w:bottom w:val="none" w:sz="0" w:space="0" w:color="auto"/>
        <w:right w:val="none" w:sz="0" w:space="0" w:color="auto"/>
      </w:divBdr>
    </w:div>
    <w:div w:id="1499996421">
      <w:bodyDiv w:val="1"/>
      <w:marLeft w:val="0"/>
      <w:marRight w:val="0"/>
      <w:marTop w:val="0"/>
      <w:marBottom w:val="0"/>
      <w:divBdr>
        <w:top w:val="none" w:sz="0" w:space="0" w:color="auto"/>
        <w:left w:val="none" w:sz="0" w:space="0" w:color="auto"/>
        <w:bottom w:val="none" w:sz="0" w:space="0" w:color="auto"/>
        <w:right w:val="none" w:sz="0" w:space="0" w:color="auto"/>
      </w:divBdr>
    </w:div>
    <w:div w:id="1500148970">
      <w:bodyDiv w:val="1"/>
      <w:marLeft w:val="0"/>
      <w:marRight w:val="0"/>
      <w:marTop w:val="0"/>
      <w:marBottom w:val="0"/>
      <w:divBdr>
        <w:top w:val="none" w:sz="0" w:space="0" w:color="auto"/>
        <w:left w:val="none" w:sz="0" w:space="0" w:color="auto"/>
        <w:bottom w:val="none" w:sz="0" w:space="0" w:color="auto"/>
        <w:right w:val="none" w:sz="0" w:space="0" w:color="auto"/>
      </w:divBdr>
    </w:div>
    <w:div w:id="1500190144">
      <w:bodyDiv w:val="1"/>
      <w:marLeft w:val="0"/>
      <w:marRight w:val="0"/>
      <w:marTop w:val="0"/>
      <w:marBottom w:val="0"/>
      <w:divBdr>
        <w:top w:val="none" w:sz="0" w:space="0" w:color="auto"/>
        <w:left w:val="none" w:sz="0" w:space="0" w:color="auto"/>
        <w:bottom w:val="none" w:sz="0" w:space="0" w:color="auto"/>
        <w:right w:val="none" w:sz="0" w:space="0" w:color="auto"/>
      </w:divBdr>
    </w:div>
    <w:div w:id="1500267302">
      <w:bodyDiv w:val="1"/>
      <w:marLeft w:val="0"/>
      <w:marRight w:val="0"/>
      <w:marTop w:val="0"/>
      <w:marBottom w:val="0"/>
      <w:divBdr>
        <w:top w:val="none" w:sz="0" w:space="0" w:color="auto"/>
        <w:left w:val="none" w:sz="0" w:space="0" w:color="auto"/>
        <w:bottom w:val="none" w:sz="0" w:space="0" w:color="auto"/>
        <w:right w:val="none" w:sz="0" w:space="0" w:color="auto"/>
      </w:divBdr>
    </w:div>
    <w:div w:id="1500269051">
      <w:bodyDiv w:val="1"/>
      <w:marLeft w:val="0"/>
      <w:marRight w:val="0"/>
      <w:marTop w:val="0"/>
      <w:marBottom w:val="0"/>
      <w:divBdr>
        <w:top w:val="none" w:sz="0" w:space="0" w:color="auto"/>
        <w:left w:val="none" w:sz="0" w:space="0" w:color="auto"/>
        <w:bottom w:val="none" w:sz="0" w:space="0" w:color="auto"/>
        <w:right w:val="none" w:sz="0" w:space="0" w:color="auto"/>
      </w:divBdr>
    </w:div>
    <w:div w:id="1500344280">
      <w:bodyDiv w:val="1"/>
      <w:marLeft w:val="0"/>
      <w:marRight w:val="0"/>
      <w:marTop w:val="0"/>
      <w:marBottom w:val="0"/>
      <w:divBdr>
        <w:top w:val="none" w:sz="0" w:space="0" w:color="auto"/>
        <w:left w:val="none" w:sz="0" w:space="0" w:color="auto"/>
        <w:bottom w:val="none" w:sz="0" w:space="0" w:color="auto"/>
        <w:right w:val="none" w:sz="0" w:space="0" w:color="auto"/>
      </w:divBdr>
    </w:div>
    <w:div w:id="1500460184">
      <w:bodyDiv w:val="1"/>
      <w:marLeft w:val="0"/>
      <w:marRight w:val="0"/>
      <w:marTop w:val="0"/>
      <w:marBottom w:val="0"/>
      <w:divBdr>
        <w:top w:val="none" w:sz="0" w:space="0" w:color="auto"/>
        <w:left w:val="none" w:sz="0" w:space="0" w:color="auto"/>
        <w:bottom w:val="none" w:sz="0" w:space="0" w:color="auto"/>
        <w:right w:val="none" w:sz="0" w:space="0" w:color="auto"/>
      </w:divBdr>
    </w:div>
    <w:div w:id="1500465979">
      <w:bodyDiv w:val="1"/>
      <w:marLeft w:val="0"/>
      <w:marRight w:val="0"/>
      <w:marTop w:val="0"/>
      <w:marBottom w:val="0"/>
      <w:divBdr>
        <w:top w:val="none" w:sz="0" w:space="0" w:color="auto"/>
        <w:left w:val="none" w:sz="0" w:space="0" w:color="auto"/>
        <w:bottom w:val="none" w:sz="0" w:space="0" w:color="auto"/>
        <w:right w:val="none" w:sz="0" w:space="0" w:color="auto"/>
      </w:divBdr>
    </w:div>
    <w:div w:id="1500539804">
      <w:bodyDiv w:val="1"/>
      <w:marLeft w:val="0"/>
      <w:marRight w:val="0"/>
      <w:marTop w:val="0"/>
      <w:marBottom w:val="0"/>
      <w:divBdr>
        <w:top w:val="none" w:sz="0" w:space="0" w:color="auto"/>
        <w:left w:val="none" w:sz="0" w:space="0" w:color="auto"/>
        <w:bottom w:val="none" w:sz="0" w:space="0" w:color="auto"/>
        <w:right w:val="none" w:sz="0" w:space="0" w:color="auto"/>
      </w:divBdr>
    </w:div>
    <w:div w:id="1500541902">
      <w:bodyDiv w:val="1"/>
      <w:marLeft w:val="0"/>
      <w:marRight w:val="0"/>
      <w:marTop w:val="0"/>
      <w:marBottom w:val="0"/>
      <w:divBdr>
        <w:top w:val="none" w:sz="0" w:space="0" w:color="auto"/>
        <w:left w:val="none" w:sz="0" w:space="0" w:color="auto"/>
        <w:bottom w:val="none" w:sz="0" w:space="0" w:color="auto"/>
        <w:right w:val="none" w:sz="0" w:space="0" w:color="auto"/>
      </w:divBdr>
    </w:div>
    <w:div w:id="1500733708">
      <w:bodyDiv w:val="1"/>
      <w:marLeft w:val="0"/>
      <w:marRight w:val="0"/>
      <w:marTop w:val="0"/>
      <w:marBottom w:val="0"/>
      <w:divBdr>
        <w:top w:val="none" w:sz="0" w:space="0" w:color="auto"/>
        <w:left w:val="none" w:sz="0" w:space="0" w:color="auto"/>
        <w:bottom w:val="none" w:sz="0" w:space="0" w:color="auto"/>
        <w:right w:val="none" w:sz="0" w:space="0" w:color="auto"/>
      </w:divBdr>
    </w:div>
    <w:div w:id="1500734196">
      <w:bodyDiv w:val="1"/>
      <w:marLeft w:val="0"/>
      <w:marRight w:val="0"/>
      <w:marTop w:val="0"/>
      <w:marBottom w:val="0"/>
      <w:divBdr>
        <w:top w:val="none" w:sz="0" w:space="0" w:color="auto"/>
        <w:left w:val="none" w:sz="0" w:space="0" w:color="auto"/>
        <w:bottom w:val="none" w:sz="0" w:space="0" w:color="auto"/>
        <w:right w:val="none" w:sz="0" w:space="0" w:color="auto"/>
      </w:divBdr>
    </w:div>
    <w:div w:id="1501042235">
      <w:bodyDiv w:val="1"/>
      <w:marLeft w:val="0"/>
      <w:marRight w:val="0"/>
      <w:marTop w:val="0"/>
      <w:marBottom w:val="0"/>
      <w:divBdr>
        <w:top w:val="none" w:sz="0" w:space="0" w:color="auto"/>
        <w:left w:val="none" w:sz="0" w:space="0" w:color="auto"/>
        <w:bottom w:val="none" w:sz="0" w:space="0" w:color="auto"/>
        <w:right w:val="none" w:sz="0" w:space="0" w:color="auto"/>
      </w:divBdr>
    </w:div>
    <w:div w:id="1501117869">
      <w:bodyDiv w:val="1"/>
      <w:marLeft w:val="0"/>
      <w:marRight w:val="0"/>
      <w:marTop w:val="0"/>
      <w:marBottom w:val="0"/>
      <w:divBdr>
        <w:top w:val="none" w:sz="0" w:space="0" w:color="auto"/>
        <w:left w:val="none" w:sz="0" w:space="0" w:color="auto"/>
        <w:bottom w:val="none" w:sz="0" w:space="0" w:color="auto"/>
        <w:right w:val="none" w:sz="0" w:space="0" w:color="auto"/>
      </w:divBdr>
    </w:div>
    <w:div w:id="1501314779">
      <w:bodyDiv w:val="1"/>
      <w:marLeft w:val="0"/>
      <w:marRight w:val="0"/>
      <w:marTop w:val="0"/>
      <w:marBottom w:val="0"/>
      <w:divBdr>
        <w:top w:val="none" w:sz="0" w:space="0" w:color="auto"/>
        <w:left w:val="none" w:sz="0" w:space="0" w:color="auto"/>
        <w:bottom w:val="none" w:sz="0" w:space="0" w:color="auto"/>
        <w:right w:val="none" w:sz="0" w:space="0" w:color="auto"/>
      </w:divBdr>
    </w:div>
    <w:div w:id="1501386744">
      <w:bodyDiv w:val="1"/>
      <w:marLeft w:val="0"/>
      <w:marRight w:val="0"/>
      <w:marTop w:val="0"/>
      <w:marBottom w:val="0"/>
      <w:divBdr>
        <w:top w:val="none" w:sz="0" w:space="0" w:color="auto"/>
        <w:left w:val="none" w:sz="0" w:space="0" w:color="auto"/>
        <w:bottom w:val="none" w:sz="0" w:space="0" w:color="auto"/>
        <w:right w:val="none" w:sz="0" w:space="0" w:color="auto"/>
      </w:divBdr>
    </w:div>
    <w:div w:id="1501459976">
      <w:bodyDiv w:val="1"/>
      <w:marLeft w:val="0"/>
      <w:marRight w:val="0"/>
      <w:marTop w:val="0"/>
      <w:marBottom w:val="0"/>
      <w:divBdr>
        <w:top w:val="none" w:sz="0" w:space="0" w:color="auto"/>
        <w:left w:val="none" w:sz="0" w:space="0" w:color="auto"/>
        <w:bottom w:val="none" w:sz="0" w:space="0" w:color="auto"/>
        <w:right w:val="none" w:sz="0" w:space="0" w:color="auto"/>
      </w:divBdr>
    </w:div>
    <w:div w:id="1501502664">
      <w:bodyDiv w:val="1"/>
      <w:marLeft w:val="0"/>
      <w:marRight w:val="0"/>
      <w:marTop w:val="0"/>
      <w:marBottom w:val="0"/>
      <w:divBdr>
        <w:top w:val="none" w:sz="0" w:space="0" w:color="auto"/>
        <w:left w:val="none" w:sz="0" w:space="0" w:color="auto"/>
        <w:bottom w:val="none" w:sz="0" w:space="0" w:color="auto"/>
        <w:right w:val="none" w:sz="0" w:space="0" w:color="auto"/>
      </w:divBdr>
    </w:div>
    <w:div w:id="1501503931">
      <w:bodyDiv w:val="1"/>
      <w:marLeft w:val="0"/>
      <w:marRight w:val="0"/>
      <w:marTop w:val="0"/>
      <w:marBottom w:val="0"/>
      <w:divBdr>
        <w:top w:val="none" w:sz="0" w:space="0" w:color="auto"/>
        <w:left w:val="none" w:sz="0" w:space="0" w:color="auto"/>
        <w:bottom w:val="none" w:sz="0" w:space="0" w:color="auto"/>
        <w:right w:val="none" w:sz="0" w:space="0" w:color="auto"/>
      </w:divBdr>
    </w:div>
    <w:div w:id="1501508285">
      <w:bodyDiv w:val="1"/>
      <w:marLeft w:val="0"/>
      <w:marRight w:val="0"/>
      <w:marTop w:val="0"/>
      <w:marBottom w:val="0"/>
      <w:divBdr>
        <w:top w:val="none" w:sz="0" w:space="0" w:color="auto"/>
        <w:left w:val="none" w:sz="0" w:space="0" w:color="auto"/>
        <w:bottom w:val="none" w:sz="0" w:space="0" w:color="auto"/>
        <w:right w:val="none" w:sz="0" w:space="0" w:color="auto"/>
      </w:divBdr>
    </w:div>
    <w:div w:id="1501580103">
      <w:bodyDiv w:val="1"/>
      <w:marLeft w:val="0"/>
      <w:marRight w:val="0"/>
      <w:marTop w:val="0"/>
      <w:marBottom w:val="0"/>
      <w:divBdr>
        <w:top w:val="none" w:sz="0" w:space="0" w:color="auto"/>
        <w:left w:val="none" w:sz="0" w:space="0" w:color="auto"/>
        <w:bottom w:val="none" w:sz="0" w:space="0" w:color="auto"/>
        <w:right w:val="none" w:sz="0" w:space="0" w:color="auto"/>
      </w:divBdr>
    </w:div>
    <w:div w:id="1502042636">
      <w:bodyDiv w:val="1"/>
      <w:marLeft w:val="0"/>
      <w:marRight w:val="0"/>
      <w:marTop w:val="0"/>
      <w:marBottom w:val="0"/>
      <w:divBdr>
        <w:top w:val="none" w:sz="0" w:space="0" w:color="auto"/>
        <w:left w:val="none" w:sz="0" w:space="0" w:color="auto"/>
        <w:bottom w:val="none" w:sz="0" w:space="0" w:color="auto"/>
        <w:right w:val="none" w:sz="0" w:space="0" w:color="auto"/>
      </w:divBdr>
    </w:div>
    <w:div w:id="1502157233">
      <w:bodyDiv w:val="1"/>
      <w:marLeft w:val="0"/>
      <w:marRight w:val="0"/>
      <w:marTop w:val="0"/>
      <w:marBottom w:val="0"/>
      <w:divBdr>
        <w:top w:val="none" w:sz="0" w:space="0" w:color="auto"/>
        <w:left w:val="none" w:sz="0" w:space="0" w:color="auto"/>
        <w:bottom w:val="none" w:sz="0" w:space="0" w:color="auto"/>
        <w:right w:val="none" w:sz="0" w:space="0" w:color="auto"/>
      </w:divBdr>
    </w:div>
    <w:div w:id="1502237995">
      <w:bodyDiv w:val="1"/>
      <w:marLeft w:val="0"/>
      <w:marRight w:val="0"/>
      <w:marTop w:val="0"/>
      <w:marBottom w:val="0"/>
      <w:divBdr>
        <w:top w:val="none" w:sz="0" w:space="0" w:color="auto"/>
        <w:left w:val="none" w:sz="0" w:space="0" w:color="auto"/>
        <w:bottom w:val="none" w:sz="0" w:space="0" w:color="auto"/>
        <w:right w:val="none" w:sz="0" w:space="0" w:color="auto"/>
      </w:divBdr>
    </w:div>
    <w:div w:id="1502239351">
      <w:bodyDiv w:val="1"/>
      <w:marLeft w:val="0"/>
      <w:marRight w:val="0"/>
      <w:marTop w:val="0"/>
      <w:marBottom w:val="0"/>
      <w:divBdr>
        <w:top w:val="none" w:sz="0" w:space="0" w:color="auto"/>
        <w:left w:val="none" w:sz="0" w:space="0" w:color="auto"/>
        <w:bottom w:val="none" w:sz="0" w:space="0" w:color="auto"/>
        <w:right w:val="none" w:sz="0" w:space="0" w:color="auto"/>
      </w:divBdr>
    </w:div>
    <w:div w:id="1502309147">
      <w:bodyDiv w:val="1"/>
      <w:marLeft w:val="0"/>
      <w:marRight w:val="0"/>
      <w:marTop w:val="0"/>
      <w:marBottom w:val="0"/>
      <w:divBdr>
        <w:top w:val="none" w:sz="0" w:space="0" w:color="auto"/>
        <w:left w:val="none" w:sz="0" w:space="0" w:color="auto"/>
        <w:bottom w:val="none" w:sz="0" w:space="0" w:color="auto"/>
        <w:right w:val="none" w:sz="0" w:space="0" w:color="auto"/>
      </w:divBdr>
    </w:div>
    <w:div w:id="1502313085">
      <w:bodyDiv w:val="1"/>
      <w:marLeft w:val="0"/>
      <w:marRight w:val="0"/>
      <w:marTop w:val="0"/>
      <w:marBottom w:val="0"/>
      <w:divBdr>
        <w:top w:val="none" w:sz="0" w:space="0" w:color="auto"/>
        <w:left w:val="none" w:sz="0" w:space="0" w:color="auto"/>
        <w:bottom w:val="none" w:sz="0" w:space="0" w:color="auto"/>
        <w:right w:val="none" w:sz="0" w:space="0" w:color="auto"/>
      </w:divBdr>
    </w:div>
    <w:div w:id="1502313862">
      <w:bodyDiv w:val="1"/>
      <w:marLeft w:val="0"/>
      <w:marRight w:val="0"/>
      <w:marTop w:val="0"/>
      <w:marBottom w:val="0"/>
      <w:divBdr>
        <w:top w:val="none" w:sz="0" w:space="0" w:color="auto"/>
        <w:left w:val="none" w:sz="0" w:space="0" w:color="auto"/>
        <w:bottom w:val="none" w:sz="0" w:space="0" w:color="auto"/>
        <w:right w:val="none" w:sz="0" w:space="0" w:color="auto"/>
      </w:divBdr>
    </w:div>
    <w:div w:id="1502428657">
      <w:bodyDiv w:val="1"/>
      <w:marLeft w:val="0"/>
      <w:marRight w:val="0"/>
      <w:marTop w:val="0"/>
      <w:marBottom w:val="0"/>
      <w:divBdr>
        <w:top w:val="none" w:sz="0" w:space="0" w:color="auto"/>
        <w:left w:val="none" w:sz="0" w:space="0" w:color="auto"/>
        <w:bottom w:val="none" w:sz="0" w:space="0" w:color="auto"/>
        <w:right w:val="none" w:sz="0" w:space="0" w:color="auto"/>
      </w:divBdr>
    </w:div>
    <w:div w:id="1502509045">
      <w:bodyDiv w:val="1"/>
      <w:marLeft w:val="0"/>
      <w:marRight w:val="0"/>
      <w:marTop w:val="0"/>
      <w:marBottom w:val="0"/>
      <w:divBdr>
        <w:top w:val="none" w:sz="0" w:space="0" w:color="auto"/>
        <w:left w:val="none" w:sz="0" w:space="0" w:color="auto"/>
        <w:bottom w:val="none" w:sz="0" w:space="0" w:color="auto"/>
        <w:right w:val="none" w:sz="0" w:space="0" w:color="auto"/>
      </w:divBdr>
    </w:div>
    <w:div w:id="1502545681">
      <w:bodyDiv w:val="1"/>
      <w:marLeft w:val="0"/>
      <w:marRight w:val="0"/>
      <w:marTop w:val="0"/>
      <w:marBottom w:val="0"/>
      <w:divBdr>
        <w:top w:val="none" w:sz="0" w:space="0" w:color="auto"/>
        <w:left w:val="none" w:sz="0" w:space="0" w:color="auto"/>
        <w:bottom w:val="none" w:sz="0" w:space="0" w:color="auto"/>
        <w:right w:val="none" w:sz="0" w:space="0" w:color="auto"/>
      </w:divBdr>
    </w:div>
    <w:div w:id="1502575515">
      <w:bodyDiv w:val="1"/>
      <w:marLeft w:val="0"/>
      <w:marRight w:val="0"/>
      <w:marTop w:val="0"/>
      <w:marBottom w:val="0"/>
      <w:divBdr>
        <w:top w:val="none" w:sz="0" w:space="0" w:color="auto"/>
        <w:left w:val="none" w:sz="0" w:space="0" w:color="auto"/>
        <w:bottom w:val="none" w:sz="0" w:space="0" w:color="auto"/>
        <w:right w:val="none" w:sz="0" w:space="0" w:color="auto"/>
      </w:divBdr>
    </w:div>
    <w:div w:id="1502626546">
      <w:bodyDiv w:val="1"/>
      <w:marLeft w:val="0"/>
      <w:marRight w:val="0"/>
      <w:marTop w:val="0"/>
      <w:marBottom w:val="0"/>
      <w:divBdr>
        <w:top w:val="none" w:sz="0" w:space="0" w:color="auto"/>
        <w:left w:val="none" w:sz="0" w:space="0" w:color="auto"/>
        <w:bottom w:val="none" w:sz="0" w:space="0" w:color="auto"/>
        <w:right w:val="none" w:sz="0" w:space="0" w:color="auto"/>
      </w:divBdr>
    </w:div>
    <w:div w:id="1502697966">
      <w:bodyDiv w:val="1"/>
      <w:marLeft w:val="0"/>
      <w:marRight w:val="0"/>
      <w:marTop w:val="0"/>
      <w:marBottom w:val="0"/>
      <w:divBdr>
        <w:top w:val="none" w:sz="0" w:space="0" w:color="auto"/>
        <w:left w:val="none" w:sz="0" w:space="0" w:color="auto"/>
        <w:bottom w:val="none" w:sz="0" w:space="0" w:color="auto"/>
        <w:right w:val="none" w:sz="0" w:space="0" w:color="auto"/>
      </w:divBdr>
    </w:div>
    <w:div w:id="1502699338">
      <w:bodyDiv w:val="1"/>
      <w:marLeft w:val="0"/>
      <w:marRight w:val="0"/>
      <w:marTop w:val="0"/>
      <w:marBottom w:val="0"/>
      <w:divBdr>
        <w:top w:val="none" w:sz="0" w:space="0" w:color="auto"/>
        <w:left w:val="none" w:sz="0" w:space="0" w:color="auto"/>
        <w:bottom w:val="none" w:sz="0" w:space="0" w:color="auto"/>
        <w:right w:val="none" w:sz="0" w:space="0" w:color="auto"/>
      </w:divBdr>
    </w:div>
    <w:div w:id="1502769185">
      <w:bodyDiv w:val="1"/>
      <w:marLeft w:val="0"/>
      <w:marRight w:val="0"/>
      <w:marTop w:val="0"/>
      <w:marBottom w:val="0"/>
      <w:divBdr>
        <w:top w:val="none" w:sz="0" w:space="0" w:color="auto"/>
        <w:left w:val="none" w:sz="0" w:space="0" w:color="auto"/>
        <w:bottom w:val="none" w:sz="0" w:space="0" w:color="auto"/>
        <w:right w:val="none" w:sz="0" w:space="0" w:color="auto"/>
      </w:divBdr>
    </w:div>
    <w:div w:id="1502886366">
      <w:bodyDiv w:val="1"/>
      <w:marLeft w:val="0"/>
      <w:marRight w:val="0"/>
      <w:marTop w:val="0"/>
      <w:marBottom w:val="0"/>
      <w:divBdr>
        <w:top w:val="none" w:sz="0" w:space="0" w:color="auto"/>
        <w:left w:val="none" w:sz="0" w:space="0" w:color="auto"/>
        <w:bottom w:val="none" w:sz="0" w:space="0" w:color="auto"/>
        <w:right w:val="none" w:sz="0" w:space="0" w:color="auto"/>
      </w:divBdr>
    </w:div>
    <w:div w:id="1503005302">
      <w:bodyDiv w:val="1"/>
      <w:marLeft w:val="0"/>
      <w:marRight w:val="0"/>
      <w:marTop w:val="0"/>
      <w:marBottom w:val="0"/>
      <w:divBdr>
        <w:top w:val="none" w:sz="0" w:space="0" w:color="auto"/>
        <w:left w:val="none" w:sz="0" w:space="0" w:color="auto"/>
        <w:bottom w:val="none" w:sz="0" w:space="0" w:color="auto"/>
        <w:right w:val="none" w:sz="0" w:space="0" w:color="auto"/>
      </w:divBdr>
    </w:div>
    <w:div w:id="1503079880">
      <w:bodyDiv w:val="1"/>
      <w:marLeft w:val="0"/>
      <w:marRight w:val="0"/>
      <w:marTop w:val="0"/>
      <w:marBottom w:val="0"/>
      <w:divBdr>
        <w:top w:val="none" w:sz="0" w:space="0" w:color="auto"/>
        <w:left w:val="none" w:sz="0" w:space="0" w:color="auto"/>
        <w:bottom w:val="none" w:sz="0" w:space="0" w:color="auto"/>
        <w:right w:val="none" w:sz="0" w:space="0" w:color="auto"/>
      </w:divBdr>
    </w:div>
    <w:div w:id="1503155485">
      <w:bodyDiv w:val="1"/>
      <w:marLeft w:val="0"/>
      <w:marRight w:val="0"/>
      <w:marTop w:val="0"/>
      <w:marBottom w:val="0"/>
      <w:divBdr>
        <w:top w:val="none" w:sz="0" w:space="0" w:color="auto"/>
        <w:left w:val="none" w:sz="0" w:space="0" w:color="auto"/>
        <w:bottom w:val="none" w:sz="0" w:space="0" w:color="auto"/>
        <w:right w:val="none" w:sz="0" w:space="0" w:color="auto"/>
      </w:divBdr>
    </w:div>
    <w:div w:id="1503156044">
      <w:bodyDiv w:val="1"/>
      <w:marLeft w:val="0"/>
      <w:marRight w:val="0"/>
      <w:marTop w:val="0"/>
      <w:marBottom w:val="0"/>
      <w:divBdr>
        <w:top w:val="none" w:sz="0" w:space="0" w:color="auto"/>
        <w:left w:val="none" w:sz="0" w:space="0" w:color="auto"/>
        <w:bottom w:val="none" w:sz="0" w:space="0" w:color="auto"/>
        <w:right w:val="none" w:sz="0" w:space="0" w:color="auto"/>
      </w:divBdr>
    </w:div>
    <w:div w:id="1503157430">
      <w:bodyDiv w:val="1"/>
      <w:marLeft w:val="0"/>
      <w:marRight w:val="0"/>
      <w:marTop w:val="0"/>
      <w:marBottom w:val="0"/>
      <w:divBdr>
        <w:top w:val="none" w:sz="0" w:space="0" w:color="auto"/>
        <w:left w:val="none" w:sz="0" w:space="0" w:color="auto"/>
        <w:bottom w:val="none" w:sz="0" w:space="0" w:color="auto"/>
        <w:right w:val="none" w:sz="0" w:space="0" w:color="auto"/>
      </w:divBdr>
    </w:div>
    <w:div w:id="1503200577">
      <w:bodyDiv w:val="1"/>
      <w:marLeft w:val="0"/>
      <w:marRight w:val="0"/>
      <w:marTop w:val="0"/>
      <w:marBottom w:val="0"/>
      <w:divBdr>
        <w:top w:val="none" w:sz="0" w:space="0" w:color="auto"/>
        <w:left w:val="none" w:sz="0" w:space="0" w:color="auto"/>
        <w:bottom w:val="none" w:sz="0" w:space="0" w:color="auto"/>
        <w:right w:val="none" w:sz="0" w:space="0" w:color="auto"/>
      </w:divBdr>
    </w:div>
    <w:div w:id="1503206120">
      <w:bodyDiv w:val="1"/>
      <w:marLeft w:val="0"/>
      <w:marRight w:val="0"/>
      <w:marTop w:val="0"/>
      <w:marBottom w:val="0"/>
      <w:divBdr>
        <w:top w:val="none" w:sz="0" w:space="0" w:color="auto"/>
        <w:left w:val="none" w:sz="0" w:space="0" w:color="auto"/>
        <w:bottom w:val="none" w:sz="0" w:space="0" w:color="auto"/>
        <w:right w:val="none" w:sz="0" w:space="0" w:color="auto"/>
      </w:divBdr>
    </w:div>
    <w:div w:id="1503278082">
      <w:bodyDiv w:val="1"/>
      <w:marLeft w:val="0"/>
      <w:marRight w:val="0"/>
      <w:marTop w:val="0"/>
      <w:marBottom w:val="0"/>
      <w:divBdr>
        <w:top w:val="none" w:sz="0" w:space="0" w:color="auto"/>
        <w:left w:val="none" w:sz="0" w:space="0" w:color="auto"/>
        <w:bottom w:val="none" w:sz="0" w:space="0" w:color="auto"/>
        <w:right w:val="none" w:sz="0" w:space="0" w:color="auto"/>
      </w:divBdr>
    </w:div>
    <w:div w:id="1503348971">
      <w:bodyDiv w:val="1"/>
      <w:marLeft w:val="0"/>
      <w:marRight w:val="0"/>
      <w:marTop w:val="0"/>
      <w:marBottom w:val="0"/>
      <w:divBdr>
        <w:top w:val="none" w:sz="0" w:space="0" w:color="auto"/>
        <w:left w:val="none" w:sz="0" w:space="0" w:color="auto"/>
        <w:bottom w:val="none" w:sz="0" w:space="0" w:color="auto"/>
        <w:right w:val="none" w:sz="0" w:space="0" w:color="auto"/>
      </w:divBdr>
    </w:div>
    <w:div w:id="1503353815">
      <w:bodyDiv w:val="1"/>
      <w:marLeft w:val="0"/>
      <w:marRight w:val="0"/>
      <w:marTop w:val="0"/>
      <w:marBottom w:val="0"/>
      <w:divBdr>
        <w:top w:val="none" w:sz="0" w:space="0" w:color="auto"/>
        <w:left w:val="none" w:sz="0" w:space="0" w:color="auto"/>
        <w:bottom w:val="none" w:sz="0" w:space="0" w:color="auto"/>
        <w:right w:val="none" w:sz="0" w:space="0" w:color="auto"/>
      </w:divBdr>
    </w:div>
    <w:div w:id="1503425294">
      <w:bodyDiv w:val="1"/>
      <w:marLeft w:val="0"/>
      <w:marRight w:val="0"/>
      <w:marTop w:val="0"/>
      <w:marBottom w:val="0"/>
      <w:divBdr>
        <w:top w:val="none" w:sz="0" w:space="0" w:color="auto"/>
        <w:left w:val="none" w:sz="0" w:space="0" w:color="auto"/>
        <w:bottom w:val="none" w:sz="0" w:space="0" w:color="auto"/>
        <w:right w:val="none" w:sz="0" w:space="0" w:color="auto"/>
      </w:divBdr>
    </w:div>
    <w:div w:id="1503469781">
      <w:bodyDiv w:val="1"/>
      <w:marLeft w:val="0"/>
      <w:marRight w:val="0"/>
      <w:marTop w:val="0"/>
      <w:marBottom w:val="0"/>
      <w:divBdr>
        <w:top w:val="none" w:sz="0" w:space="0" w:color="auto"/>
        <w:left w:val="none" w:sz="0" w:space="0" w:color="auto"/>
        <w:bottom w:val="none" w:sz="0" w:space="0" w:color="auto"/>
        <w:right w:val="none" w:sz="0" w:space="0" w:color="auto"/>
      </w:divBdr>
    </w:div>
    <w:div w:id="1503543345">
      <w:bodyDiv w:val="1"/>
      <w:marLeft w:val="0"/>
      <w:marRight w:val="0"/>
      <w:marTop w:val="0"/>
      <w:marBottom w:val="0"/>
      <w:divBdr>
        <w:top w:val="none" w:sz="0" w:space="0" w:color="auto"/>
        <w:left w:val="none" w:sz="0" w:space="0" w:color="auto"/>
        <w:bottom w:val="none" w:sz="0" w:space="0" w:color="auto"/>
        <w:right w:val="none" w:sz="0" w:space="0" w:color="auto"/>
      </w:divBdr>
    </w:div>
    <w:div w:id="1503622693">
      <w:bodyDiv w:val="1"/>
      <w:marLeft w:val="0"/>
      <w:marRight w:val="0"/>
      <w:marTop w:val="0"/>
      <w:marBottom w:val="0"/>
      <w:divBdr>
        <w:top w:val="none" w:sz="0" w:space="0" w:color="auto"/>
        <w:left w:val="none" w:sz="0" w:space="0" w:color="auto"/>
        <w:bottom w:val="none" w:sz="0" w:space="0" w:color="auto"/>
        <w:right w:val="none" w:sz="0" w:space="0" w:color="auto"/>
      </w:divBdr>
    </w:div>
    <w:div w:id="1503738782">
      <w:bodyDiv w:val="1"/>
      <w:marLeft w:val="0"/>
      <w:marRight w:val="0"/>
      <w:marTop w:val="0"/>
      <w:marBottom w:val="0"/>
      <w:divBdr>
        <w:top w:val="none" w:sz="0" w:space="0" w:color="auto"/>
        <w:left w:val="none" w:sz="0" w:space="0" w:color="auto"/>
        <w:bottom w:val="none" w:sz="0" w:space="0" w:color="auto"/>
        <w:right w:val="none" w:sz="0" w:space="0" w:color="auto"/>
      </w:divBdr>
    </w:div>
    <w:div w:id="1503933816">
      <w:bodyDiv w:val="1"/>
      <w:marLeft w:val="0"/>
      <w:marRight w:val="0"/>
      <w:marTop w:val="0"/>
      <w:marBottom w:val="0"/>
      <w:divBdr>
        <w:top w:val="none" w:sz="0" w:space="0" w:color="auto"/>
        <w:left w:val="none" w:sz="0" w:space="0" w:color="auto"/>
        <w:bottom w:val="none" w:sz="0" w:space="0" w:color="auto"/>
        <w:right w:val="none" w:sz="0" w:space="0" w:color="auto"/>
      </w:divBdr>
    </w:div>
    <w:div w:id="1504197845">
      <w:bodyDiv w:val="1"/>
      <w:marLeft w:val="0"/>
      <w:marRight w:val="0"/>
      <w:marTop w:val="0"/>
      <w:marBottom w:val="0"/>
      <w:divBdr>
        <w:top w:val="none" w:sz="0" w:space="0" w:color="auto"/>
        <w:left w:val="none" w:sz="0" w:space="0" w:color="auto"/>
        <w:bottom w:val="none" w:sz="0" w:space="0" w:color="auto"/>
        <w:right w:val="none" w:sz="0" w:space="0" w:color="auto"/>
      </w:divBdr>
    </w:div>
    <w:div w:id="1504275510">
      <w:bodyDiv w:val="1"/>
      <w:marLeft w:val="0"/>
      <w:marRight w:val="0"/>
      <w:marTop w:val="0"/>
      <w:marBottom w:val="0"/>
      <w:divBdr>
        <w:top w:val="none" w:sz="0" w:space="0" w:color="auto"/>
        <w:left w:val="none" w:sz="0" w:space="0" w:color="auto"/>
        <w:bottom w:val="none" w:sz="0" w:space="0" w:color="auto"/>
        <w:right w:val="none" w:sz="0" w:space="0" w:color="auto"/>
      </w:divBdr>
    </w:div>
    <w:div w:id="1504510249">
      <w:bodyDiv w:val="1"/>
      <w:marLeft w:val="0"/>
      <w:marRight w:val="0"/>
      <w:marTop w:val="0"/>
      <w:marBottom w:val="0"/>
      <w:divBdr>
        <w:top w:val="none" w:sz="0" w:space="0" w:color="auto"/>
        <w:left w:val="none" w:sz="0" w:space="0" w:color="auto"/>
        <w:bottom w:val="none" w:sz="0" w:space="0" w:color="auto"/>
        <w:right w:val="none" w:sz="0" w:space="0" w:color="auto"/>
      </w:divBdr>
    </w:div>
    <w:div w:id="1504664752">
      <w:bodyDiv w:val="1"/>
      <w:marLeft w:val="0"/>
      <w:marRight w:val="0"/>
      <w:marTop w:val="0"/>
      <w:marBottom w:val="0"/>
      <w:divBdr>
        <w:top w:val="none" w:sz="0" w:space="0" w:color="auto"/>
        <w:left w:val="none" w:sz="0" w:space="0" w:color="auto"/>
        <w:bottom w:val="none" w:sz="0" w:space="0" w:color="auto"/>
        <w:right w:val="none" w:sz="0" w:space="0" w:color="auto"/>
      </w:divBdr>
    </w:div>
    <w:div w:id="1504707198">
      <w:bodyDiv w:val="1"/>
      <w:marLeft w:val="0"/>
      <w:marRight w:val="0"/>
      <w:marTop w:val="0"/>
      <w:marBottom w:val="0"/>
      <w:divBdr>
        <w:top w:val="none" w:sz="0" w:space="0" w:color="auto"/>
        <w:left w:val="none" w:sz="0" w:space="0" w:color="auto"/>
        <w:bottom w:val="none" w:sz="0" w:space="0" w:color="auto"/>
        <w:right w:val="none" w:sz="0" w:space="0" w:color="auto"/>
      </w:divBdr>
    </w:div>
    <w:div w:id="1504710805">
      <w:bodyDiv w:val="1"/>
      <w:marLeft w:val="0"/>
      <w:marRight w:val="0"/>
      <w:marTop w:val="0"/>
      <w:marBottom w:val="0"/>
      <w:divBdr>
        <w:top w:val="none" w:sz="0" w:space="0" w:color="auto"/>
        <w:left w:val="none" w:sz="0" w:space="0" w:color="auto"/>
        <w:bottom w:val="none" w:sz="0" w:space="0" w:color="auto"/>
        <w:right w:val="none" w:sz="0" w:space="0" w:color="auto"/>
      </w:divBdr>
    </w:div>
    <w:div w:id="1504781593">
      <w:bodyDiv w:val="1"/>
      <w:marLeft w:val="0"/>
      <w:marRight w:val="0"/>
      <w:marTop w:val="0"/>
      <w:marBottom w:val="0"/>
      <w:divBdr>
        <w:top w:val="none" w:sz="0" w:space="0" w:color="auto"/>
        <w:left w:val="none" w:sz="0" w:space="0" w:color="auto"/>
        <w:bottom w:val="none" w:sz="0" w:space="0" w:color="auto"/>
        <w:right w:val="none" w:sz="0" w:space="0" w:color="auto"/>
      </w:divBdr>
    </w:div>
    <w:div w:id="1504782491">
      <w:bodyDiv w:val="1"/>
      <w:marLeft w:val="0"/>
      <w:marRight w:val="0"/>
      <w:marTop w:val="0"/>
      <w:marBottom w:val="0"/>
      <w:divBdr>
        <w:top w:val="none" w:sz="0" w:space="0" w:color="auto"/>
        <w:left w:val="none" w:sz="0" w:space="0" w:color="auto"/>
        <w:bottom w:val="none" w:sz="0" w:space="0" w:color="auto"/>
        <w:right w:val="none" w:sz="0" w:space="0" w:color="auto"/>
      </w:divBdr>
    </w:div>
    <w:div w:id="1505167380">
      <w:bodyDiv w:val="1"/>
      <w:marLeft w:val="0"/>
      <w:marRight w:val="0"/>
      <w:marTop w:val="0"/>
      <w:marBottom w:val="0"/>
      <w:divBdr>
        <w:top w:val="none" w:sz="0" w:space="0" w:color="auto"/>
        <w:left w:val="none" w:sz="0" w:space="0" w:color="auto"/>
        <w:bottom w:val="none" w:sz="0" w:space="0" w:color="auto"/>
        <w:right w:val="none" w:sz="0" w:space="0" w:color="auto"/>
      </w:divBdr>
    </w:div>
    <w:div w:id="1505317532">
      <w:bodyDiv w:val="1"/>
      <w:marLeft w:val="0"/>
      <w:marRight w:val="0"/>
      <w:marTop w:val="0"/>
      <w:marBottom w:val="0"/>
      <w:divBdr>
        <w:top w:val="none" w:sz="0" w:space="0" w:color="auto"/>
        <w:left w:val="none" w:sz="0" w:space="0" w:color="auto"/>
        <w:bottom w:val="none" w:sz="0" w:space="0" w:color="auto"/>
        <w:right w:val="none" w:sz="0" w:space="0" w:color="auto"/>
      </w:divBdr>
    </w:div>
    <w:div w:id="1505434016">
      <w:bodyDiv w:val="1"/>
      <w:marLeft w:val="0"/>
      <w:marRight w:val="0"/>
      <w:marTop w:val="0"/>
      <w:marBottom w:val="0"/>
      <w:divBdr>
        <w:top w:val="none" w:sz="0" w:space="0" w:color="auto"/>
        <w:left w:val="none" w:sz="0" w:space="0" w:color="auto"/>
        <w:bottom w:val="none" w:sz="0" w:space="0" w:color="auto"/>
        <w:right w:val="none" w:sz="0" w:space="0" w:color="auto"/>
      </w:divBdr>
    </w:div>
    <w:div w:id="1505439602">
      <w:bodyDiv w:val="1"/>
      <w:marLeft w:val="0"/>
      <w:marRight w:val="0"/>
      <w:marTop w:val="0"/>
      <w:marBottom w:val="0"/>
      <w:divBdr>
        <w:top w:val="none" w:sz="0" w:space="0" w:color="auto"/>
        <w:left w:val="none" w:sz="0" w:space="0" w:color="auto"/>
        <w:bottom w:val="none" w:sz="0" w:space="0" w:color="auto"/>
        <w:right w:val="none" w:sz="0" w:space="0" w:color="auto"/>
      </w:divBdr>
    </w:div>
    <w:div w:id="1505782875">
      <w:bodyDiv w:val="1"/>
      <w:marLeft w:val="0"/>
      <w:marRight w:val="0"/>
      <w:marTop w:val="0"/>
      <w:marBottom w:val="0"/>
      <w:divBdr>
        <w:top w:val="none" w:sz="0" w:space="0" w:color="auto"/>
        <w:left w:val="none" w:sz="0" w:space="0" w:color="auto"/>
        <w:bottom w:val="none" w:sz="0" w:space="0" w:color="auto"/>
        <w:right w:val="none" w:sz="0" w:space="0" w:color="auto"/>
      </w:divBdr>
    </w:div>
    <w:div w:id="1505826998">
      <w:bodyDiv w:val="1"/>
      <w:marLeft w:val="0"/>
      <w:marRight w:val="0"/>
      <w:marTop w:val="0"/>
      <w:marBottom w:val="0"/>
      <w:divBdr>
        <w:top w:val="none" w:sz="0" w:space="0" w:color="auto"/>
        <w:left w:val="none" w:sz="0" w:space="0" w:color="auto"/>
        <w:bottom w:val="none" w:sz="0" w:space="0" w:color="auto"/>
        <w:right w:val="none" w:sz="0" w:space="0" w:color="auto"/>
      </w:divBdr>
    </w:div>
    <w:div w:id="1506048971">
      <w:bodyDiv w:val="1"/>
      <w:marLeft w:val="0"/>
      <w:marRight w:val="0"/>
      <w:marTop w:val="0"/>
      <w:marBottom w:val="0"/>
      <w:divBdr>
        <w:top w:val="none" w:sz="0" w:space="0" w:color="auto"/>
        <w:left w:val="none" w:sz="0" w:space="0" w:color="auto"/>
        <w:bottom w:val="none" w:sz="0" w:space="0" w:color="auto"/>
        <w:right w:val="none" w:sz="0" w:space="0" w:color="auto"/>
      </w:divBdr>
    </w:div>
    <w:div w:id="1506087427">
      <w:bodyDiv w:val="1"/>
      <w:marLeft w:val="0"/>
      <w:marRight w:val="0"/>
      <w:marTop w:val="0"/>
      <w:marBottom w:val="0"/>
      <w:divBdr>
        <w:top w:val="none" w:sz="0" w:space="0" w:color="auto"/>
        <w:left w:val="none" w:sz="0" w:space="0" w:color="auto"/>
        <w:bottom w:val="none" w:sz="0" w:space="0" w:color="auto"/>
        <w:right w:val="none" w:sz="0" w:space="0" w:color="auto"/>
      </w:divBdr>
    </w:div>
    <w:div w:id="1506214113">
      <w:bodyDiv w:val="1"/>
      <w:marLeft w:val="0"/>
      <w:marRight w:val="0"/>
      <w:marTop w:val="0"/>
      <w:marBottom w:val="0"/>
      <w:divBdr>
        <w:top w:val="none" w:sz="0" w:space="0" w:color="auto"/>
        <w:left w:val="none" w:sz="0" w:space="0" w:color="auto"/>
        <w:bottom w:val="none" w:sz="0" w:space="0" w:color="auto"/>
        <w:right w:val="none" w:sz="0" w:space="0" w:color="auto"/>
      </w:divBdr>
    </w:div>
    <w:div w:id="1506286724">
      <w:bodyDiv w:val="1"/>
      <w:marLeft w:val="0"/>
      <w:marRight w:val="0"/>
      <w:marTop w:val="0"/>
      <w:marBottom w:val="0"/>
      <w:divBdr>
        <w:top w:val="none" w:sz="0" w:space="0" w:color="auto"/>
        <w:left w:val="none" w:sz="0" w:space="0" w:color="auto"/>
        <w:bottom w:val="none" w:sz="0" w:space="0" w:color="auto"/>
        <w:right w:val="none" w:sz="0" w:space="0" w:color="auto"/>
      </w:divBdr>
    </w:div>
    <w:div w:id="1506363215">
      <w:bodyDiv w:val="1"/>
      <w:marLeft w:val="0"/>
      <w:marRight w:val="0"/>
      <w:marTop w:val="0"/>
      <w:marBottom w:val="0"/>
      <w:divBdr>
        <w:top w:val="none" w:sz="0" w:space="0" w:color="auto"/>
        <w:left w:val="none" w:sz="0" w:space="0" w:color="auto"/>
        <w:bottom w:val="none" w:sz="0" w:space="0" w:color="auto"/>
        <w:right w:val="none" w:sz="0" w:space="0" w:color="auto"/>
      </w:divBdr>
    </w:div>
    <w:div w:id="1506432480">
      <w:bodyDiv w:val="1"/>
      <w:marLeft w:val="0"/>
      <w:marRight w:val="0"/>
      <w:marTop w:val="0"/>
      <w:marBottom w:val="0"/>
      <w:divBdr>
        <w:top w:val="none" w:sz="0" w:space="0" w:color="auto"/>
        <w:left w:val="none" w:sz="0" w:space="0" w:color="auto"/>
        <w:bottom w:val="none" w:sz="0" w:space="0" w:color="auto"/>
        <w:right w:val="none" w:sz="0" w:space="0" w:color="auto"/>
      </w:divBdr>
    </w:div>
    <w:div w:id="1506437720">
      <w:bodyDiv w:val="1"/>
      <w:marLeft w:val="0"/>
      <w:marRight w:val="0"/>
      <w:marTop w:val="0"/>
      <w:marBottom w:val="0"/>
      <w:divBdr>
        <w:top w:val="none" w:sz="0" w:space="0" w:color="auto"/>
        <w:left w:val="none" w:sz="0" w:space="0" w:color="auto"/>
        <w:bottom w:val="none" w:sz="0" w:space="0" w:color="auto"/>
        <w:right w:val="none" w:sz="0" w:space="0" w:color="auto"/>
      </w:divBdr>
    </w:div>
    <w:div w:id="1506480928">
      <w:bodyDiv w:val="1"/>
      <w:marLeft w:val="0"/>
      <w:marRight w:val="0"/>
      <w:marTop w:val="0"/>
      <w:marBottom w:val="0"/>
      <w:divBdr>
        <w:top w:val="none" w:sz="0" w:space="0" w:color="auto"/>
        <w:left w:val="none" w:sz="0" w:space="0" w:color="auto"/>
        <w:bottom w:val="none" w:sz="0" w:space="0" w:color="auto"/>
        <w:right w:val="none" w:sz="0" w:space="0" w:color="auto"/>
      </w:divBdr>
    </w:div>
    <w:div w:id="1506551436">
      <w:bodyDiv w:val="1"/>
      <w:marLeft w:val="0"/>
      <w:marRight w:val="0"/>
      <w:marTop w:val="0"/>
      <w:marBottom w:val="0"/>
      <w:divBdr>
        <w:top w:val="none" w:sz="0" w:space="0" w:color="auto"/>
        <w:left w:val="none" w:sz="0" w:space="0" w:color="auto"/>
        <w:bottom w:val="none" w:sz="0" w:space="0" w:color="auto"/>
        <w:right w:val="none" w:sz="0" w:space="0" w:color="auto"/>
      </w:divBdr>
    </w:div>
    <w:div w:id="1506551938">
      <w:bodyDiv w:val="1"/>
      <w:marLeft w:val="0"/>
      <w:marRight w:val="0"/>
      <w:marTop w:val="0"/>
      <w:marBottom w:val="0"/>
      <w:divBdr>
        <w:top w:val="none" w:sz="0" w:space="0" w:color="auto"/>
        <w:left w:val="none" w:sz="0" w:space="0" w:color="auto"/>
        <w:bottom w:val="none" w:sz="0" w:space="0" w:color="auto"/>
        <w:right w:val="none" w:sz="0" w:space="0" w:color="auto"/>
      </w:divBdr>
    </w:div>
    <w:div w:id="1506626558">
      <w:bodyDiv w:val="1"/>
      <w:marLeft w:val="0"/>
      <w:marRight w:val="0"/>
      <w:marTop w:val="0"/>
      <w:marBottom w:val="0"/>
      <w:divBdr>
        <w:top w:val="none" w:sz="0" w:space="0" w:color="auto"/>
        <w:left w:val="none" w:sz="0" w:space="0" w:color="auto"/>
        <w:bottom w:val="none" w:sz="0" w:space="0" w:color="auto"/>
        <w:right w:val="none" w:sz="0" w:space="0" w:color="auto"/>
      </w:divBdr>
    </w:div>
    <w:div w:id="1506750666">
      <w:bodyDiv w:val="1"/>
      <w:marLeft w:val="0"/>
      <w:marRight w:val="0"/>
      <w:marTop w:val="0"/>
      <w:marBottom w:val="0"/>
      <w:divBdr>
        <w:top w:val="none" w:sz="0" w:space="0" w:color="auto"/>
        <w:left w:val="none" w:sz="0" w:space="0" w:color="auto"/>
        <w:bottom w:val="none" w:sz="0" w:space="0" w:color="auto"/>
        <w:right w:val="none" w:sz="0" w:space="0" w:color="auto"/>
      </w:divBdr>
    </w:div>
    <w:div w:id="1506750908">
      <w:bodyDiv w:val="1"/>
      <w:marLeft w:val="0"/>
      <w:marRight w:val="0"/>
      <w:marTop w:val="0"/>
      <w:marBottom w:val="0"/>
      <w:divBdr>
        <w:top w:val="none" w:sz="0" w:space="0" w:color="auto"/>
        <w:left w:val="none" w:sz="0" w:space="0" w:color="auto"/>
        <w:bottom w:val="none" w:sz="0" w:space="0" w:color="auto"/>
        <w:right w:val="none" w:sz="0" w:space="0" w:color="auto"/>
      </w:divBdr>
    </w:div>
    <w:div w:id="1506895477">
      <w:bodyDiv w:val="1"/>
      <w:marLeft w:val="0"/>
      <w:marRight w:val="0"/>
      <w:marTop w:val="0"/>
      <w:marBottom w:val="0"/>
      <w:divBdr>
        <w:top w:val="none" w:sz="0" w:space="0" w:color="auto"/>
        <w:left w:val="none" w:sz="0" w:space="0" w:color="auto"/>
        <w:bottom w:val="none" w:sz="0" w:space="0" w:color="auto"/>
        <w:right w:val="none" w:sz="0" w:space="0" w:color="auto"/>
      </w:divBdr>
    </w:div>
    <w:div w:id="1506937885">
      <w:bodyDiv w:val="1"/>
      <w:marLeft w:val="0"/>
      <w:marRight w:val="0"/>
      <w:marTop w:val="0"/>
      <w:marBottom w:val="0"/>
      <w:divBdr>
        <w:top w:val="none" w:sz="0" w:space="0" w:color="auto"/>
        <w:left w:val="none" w:sz="0" w:space="0" w:color="auto"/>
        <w:bottom w:val="none" w:sz="0" w:space="0" w:color="auto"/>
        <w:right w:val="none" w:sz="0" w:space="0" w:color="auto"/>
      </w:divBdr>
    </w:div>
    <w:div w:id="1507095040">
      <w:bodyDiv w:val="1"/>
      <w:marLeft w:val="0"/>
      <w:marRight w:val="0"/>
      <w:marTop w:val="0"/>
      <w:marBottom w:val="0"/>
      <w:divBdr>
        <w:top w:val="none" w:sz="0" w:space="0" w:color="auto"/>
        <w:left w:val="none" w:sz="0" w:space="0" w:color="auto"/>
        <w:bottom w:val="none" w:sz="0" w:space="0" w:color="auto"/>
        <w:right w:val="none" w:sz="0" w:space="0" w:color="auto"/>
      </w:divBdr>
    </w:div>
    <w:div w:id="1507163790">
      <w:bodyDiv w:val="1"/>
      <w:marLeft w:val="0"/>
      <w:marRight w:val="0"/>
      <w:marTop w:val="0"/>
      <w:marBottom w:val="0"/>
      <w:divBdr>
        <w:top w:val="none" w:sz="0" w:space="0" w:color="auto"/>
        <w:left w:val="none" w:sz="0" w:space="0" w:color="auto"/>
        <w:bottom w:val="none" w:sz="0" w:space="0" w:color="auto"/>
        <w:right w:val="none" w:sz="0" w:space="0" w:color="auto"/>
      </w:divBdr>
    </w:div>
    <w:div w:id="1507205893">
      <w:bodyDiv w:val="1"/>
      <w:marLeft w:val="0"/>
      <w:marRight w:val="0"/>
      <w:marTop w:val="0"/>
      <w:marBottom w:val="0"/>
      <w:divBdr>
        <w:top w:val="none" w:sz="0" w:space="0" w:color="auto"/>
        <w:left w:val="none" w:sz="0" w:space="0" w:color="auto"/>
        <w:bottom w:val="none" w:sz="0" w:space="0" w:color="auto"/>
        <w:right w:val="none" w:sz="0" w:space="0" w:color="auto"/>
      </w:divBdr>
    </w:div>
    <w:div w:id="1507279795">
      <w:bodyDiv w:val="1"/>
      <w:marLeft w:val="0"/>
      <w:marRight w:val="0"/>
      <w:marTop w:val="0"/>
      <w:marBottom w:val="0"/>
      <w:divBdr>
        <w:top w:val="none" w:sz="0" w:space="0" w:color="auto"/>
        <w:left w:val="none" w:sz="0" w:space="0" w:color="auto"/>
        <w:bottom w:val="none" w:sz="0" w:space="0" w:color="auto"/>
        <w:right w:val="none" w:sz="0" w:space="0" w:color="auto"/>
      </w:divBdr>
    </w:div>
    <w:div w:id="1507476613">
      <w:bodyDiv w:val="1"/>
      <w:marLeft w:val="0"/>
      <w:marRight w:val="0"/>
      <w:marTop w:val="0"/>
      <w:marBottom w:val="0"/>
      <w:divBdr>
        <w:top w:val="none" w:sz="0" w:space="0" w:color="auto"/>
        <w:left w:val="none" w:sz="0" w:space="0" w:color="auto"/>
        <w:bottom w:val="none" w:sz="0" w:space="0" w:color="auto"/>
        <w:right w:val="none" w:sz="0" w:space="0" w:color="auto"/>
      </w:divBdr>
    </w:div>
    <w:div w:id="1507479893">
      <w:bodyDiv w:val="1"/>
      <w:marLeft w:val="0"/>
      <w:marRight w:val="0"/>
      <w:marTop w:val="0"/>
      <w:marBottom w:val="0"/>
      <w:divBdr>
        <w:top w:val="none" w:sz="0" w:space="0" w:color="auto"/>
        <w:left w:val="none" w:sz="0" w:space="0" w:color="auto"/>
        <w:bottom w:val="none" w:sz="0" w:space="0" w:color="auto"/>
        <w:right w:val="none" w:sz="0" w:space="0" w:color="auto"/>
      </w:divBdr>
    </w:div>
    <w:div w:id="1507595782">
      <w:bodyDiv w:val="1"/>
      <w:marLeft w:val="0"/>
      <w:marRight w:val="0"/>
      <w:marTop w:val="0"/>
      <w:marBottom w:val="0"/>
      <w:divBdr>
        <w:top w:val="none" w:sz="0" w:space="0" w:color="auto"/>
        <w:left w:val="none" w:sz="0" w:space="0" w:color="auto"/>
        <w:bottom w:val="none" w:sz="0" w:space="0" w:color="auto"/>
        <w:right w:val="none" w:sz="0" w:space="0" w:color="auto"/>
      </w:divBdr>
    </w:div>
    <w:div w:id="1507859863">
      <w:bodyDiv w:val="1"/>
      <w:marLeft w:val="0"/>
      <w:marRight w:val="0"/>
      <w:marTop w:val="0"/>
      <w:marBottom w:val="0"/>
      <w:divBdr>
        <w:top w:val="none" w:sz="0" w:space="0" w:color="auto"/>
        <w:left w:val="none" w:sz="0" w:space="0" w:color="auto"/>
        <w:bottom w:val="none" w:sz="0" w:space="0" w:color="auto"/>
        <w:right w:val="none" w:sz="0" w:space="0" w:color="auto"/>
      </w:divBdr>
    </w:div>
    <w:div w:id="1507860850">
      <w:bodyDiv w:val="1"/>
      <w:marLeft w:val="0"/>
      <w:marRight w:val="0"/>
      <w:marTop w:val="0"/>
      <w:marBottom w:val="0"/>
      <w:divBdr>
        <w:top w:val="none" w:sz="0" w:space="0" w:color="auto"/>
        <w:left w:val="none" w:sz="0" w:space="0" w:color="auto"/>
        <w:bottom w:val="none" w:sz="0" w:space="0" w:color="auto"/>
        <w:right w:val="none" w:sz="0" w:space="0" w:color="auto"/>
      </w:divBdr>
    </w:div>
    <w:div w:id="1507861694">
      <w:bodyDiv w:val="1"/>
      <w:marLeft w:val="0"/>
      <w:marRight w:val="0"/>
      <w:marTop w:val="0"/>
      <w:marBottom w:val="0"/>
      <w:divBdr>
        <w:top w:val="none" w:sz="0" w:space="0" w:color="auto"/>
        <w:left w:val="none" w:sz="0" w:space="0" w:color="auto"/>
        <w:bottom w:val="none" w:sz="0" w:space="0" w:color="auto"/>
        <w:right w:val="none" w:sz="0" w:space="0" w:color="auto"/>
      </w:divBdr>
    </w:div>
    <w:div w:id="1508012519">
      <w:bodyDiv w:val="1"/>
      <w:marLeft w:val="0"/>
      <w:marRight w:val="0"/>
      <w:marTop w:val="0"/>
      <w:marBottom w:val="0"/>
      <w:divBdr>
        <w:top w:val="none" w:sz="0" w:space="0" w:color="auto"/>
        <w:left w:val="none" w:sz="0" w:space="0" w:color="auto"/>
        <w:bottom w:val="none" w:sz="0" w:space="0" w:color="auto"/>
        <w:right w:val="none" w:sz="0" w:space="0" w:color="auto"/>
      </w:divBdr>
    </w:div>
    <w:div w:id="1508251741">
      <w:bodyDiv w:val="1"/>
      <w:marLeft w:val="0"/>
      <w:marRight w:val="0"/>
      <w:marTop w:val="0"/>
      <w:marBottom w:val="0"/>
      <w:divBdr>
        <w:top w:val="none" w:sz="0" w:space="0" w:color="auto"/>
        <w:left w:val="none" w:sz="0" w:space="0" w:color="auto"/>
        <w:bottom w:val="none" w:sz="0" w:space="0" w:color="auto"/>
        <w:right w:val="none" w:sz="0" w:space="0" w:color="auto"/>
      </w:divBdr>
    </w:div>
    <w:div w:id="1508327780">
      <w:bodyDiv w:val="1"/>
      <w:marLeft w:val="0"/>
      <w:marRight w:val="0"/>
      <w:marTop w:val="0"/>
      <w:marBottom w:val="0"/>
      <w:divBdr>
        <w:top w:val="none" w:sz="0" w:space="0" w:color="auto"/>
        <w:left w:val="none" w:sz="0" w:space="0" w:color="auto"/>
        <w:bottom w:val="none" w:sz="0" w:space="0" w:color="auto"/>
        <w:right w:val="none" w:sz="0" w:space="0" w:color="auto"/>
      </w:divBdr>
    </w:div>
    <w:div w:id="1508516363">
      <w:bodyDiv w:val="1"/>
      <w:marLeft w:val="0"/>
      <w:marRight w:val="0"/>
      <w:marTop w:val="0"/>
      <w:marBottom w:val="0"/>
      <w:divBdr>
        <w:top w:val="none" w:sz="0" w:space="0" w:color="auto"/>
        <w:left w:val="none" w:sz="0" w:space="0" w:color="auto"/>
        <w:bottom w:val="none" w:sz="0" w:space="0" w:color="auto"/>
        <w:right w:val="none" w:sz="0" w:space="0" w:color="auto"/>
      </w:divBdr>
    </w:div>
    <w:div w:id="1508522788">
      <w:bodyDiv w:val="1"/>
      <w:marLeft w:val="0"/>
      <w:marRight w:val="0"/>
      <w:marTop w:val="0"/>
      <w:marBottom w:val="0"/>
      <w:divBdr>
        <w:top w:val="none" w:sz="0" w:space="0" w:color="auto"/>
        <w:left w:val="none" w:sz="0" w:space="0" w:color="auto"/>
        <w:bottom w:val="none" w:sz="0" w:space="0" w:color="auto"/>
        <w:right w:val="none" w:sz="0" w:space="0" w:color="auto"/>
      </w:divBdr>
    </w:div>
    <w:div w:id="1508783535">
      <w:bodyDiv w:val="1"/>
      <w:marLeft w:val="0"/>
      <w:marRight w:val="0"/>
      <w:marTop w:val="0"/>
      <w:marBottom w:val="0"/>
      <w:divBdr>
        <w:top w:val="none" w:sz="0" w:space="0" w:color="auto"/>
        <w:left w:val="none" w:sz="0" w:space="0" w:color="auto"/>
        <w:bottom w:val="none" w:sz="0" w:space="0" w:color="auto"/>
        <w:right w:val="none" w:sz="0" w:space="0" w:color="auto"/>
      </w:divBdr>
    </w:div>
    <w:div w:id="1508787096">
      <w:bodyDiv w:val="1"/>
      <w:marLeft w:val="0"/>
      <w:marRight w:val="0"/>
      <w:marTop w:val="0"/>
      <w:marBottom w:val="0"/>
      <w:divBdr>
        <w:top w:val="none" w:sz="0" w:space="0" w:color="auto"/>
        <w:left w:val="none" w:sz="0" w:space="0" w:color="auto"/>
        <w:bottom w:val="none" w:sz="0" w:space="0" w:color="auto"/>
        <w:right w:val="none" w:sz="0" w:space="0" w:color="auto"/>
      </w:divBdr>
    </w:div>
    <w:div w:id="1508787261">
      <w:bodyDiv w:val="1"/>
      <w:marLeft w:val="0"/>
      <w:marRight w:val="0"/>
      <w:marTop w:val="0"/>
      <w:marBottom w:val="0"/>
      <w:divBdr>
        <w:top w:val="none" w:sz="0" w:space="0" w:color="auto"/>
        <w:left w:val="none" w:sz="0" w:space="0" w:color="auto"/>
        <w:bottom w:val="none" w:sz="0" w:space="0" w:color="auto"/>
        <w:right w:val="none" w:sz="0" w:space="0" w:color="auto"/>
      </w:divBdr>
    </w:div>
    <w:div w:id="1508860811">
      <w:bodyDiv w:val="1"/>
      <w:marLeft w:val="0"/>
      <w:marRight w:val="0"/>
      <w:marTop w:val="0"/>
      <w:marBottom w:val="0"/>
      <w:divBdr>
        <w:top w:val="none" w:sz="0" w:space="0" w:color="auto"/>
        <w:left w:val="none" w:sz="0" w:space="0" w:color="auto"/>
        <w:bottom w:val="none" w:sz="0" w:space="0" w:color="auto"/>
        <w:right w:val="none" w:sz="0" w:space="0" w:color="auto"/>
      </w:divBdr>
    </w:div>
    <w:div w:id="1508864513">
      <w:bodyDiv w:val="1"/>
      <w:marLeft w:val="0"/>
      <w:marRight w:val="0"/>
      <w:marTop w:val="0"/>
      <w:marBottom w:val="0"/>
      <w:divBdr>
        <w:top w:val="none" w:sz="0" w:space="0" w:color="auto"/>
        <w:left w:val="none" w:sz="0" w:space="0" w:color="auto"/>
        <w:bottom w:val="none" w:sz="0" w:space="0" w:color="auto"/>
        <w:right w:val="none" w:sz="0" w:space="0" w:color="auto"/>
      </w:divBdr>
    </w:div>
    <w:div w:id="1508866955">
      <w:bodyDiv w:val="1"/>
      <w:marLeft w:val="0"/>
      <w:marRight w:val="0"/>
      <w:marTop w:val="0"/>
      <w:marBottom w:val="0"/>
      <w:divBdr>
        <w:top w:val="none" w:sz="0" w:space="0" w:color="auto"/>
        <w:left w:val="none" w:sz="0" w:space="0" w:color="auto"/>
        <w:bottom w:val="none" w:sz="0" w:space="0" w:color="auto"/>
        <w:right w:val="none" w:sz="0" w:space="0" w:color="auto"/>
      </w:divBdr>
    </w:div>
    <w:div w:id="1508902984">
      <w:bodyDiv w:val="1"/>
      <w:marLeft w:val="0"/>
      <w:marRight w:val="0"/>
      <w:marTop w:val="0"/>
      <w:marBottom w:val="0"/>
      <w:divBdr>
        <w:top w:val="none" w:sz="0" w:space="0" w:color="auto"/>
        <w:left w:val="none" w:sz="0" w:space="0" w:color="auto"/>
        <w:bottom w:val="none" w:sz="0" w:space="0" w:color="auto"/>
        <w:right w:val="none" w:sz="0" w:space="0" w:color="auto"/>
      </w:divBdr>
    </w:div>
    <w:div w:id="1508982381">
      <w:bodyDiv w:val="1"/>
      <w:marLeft w:val="0"/>
      <w:marRight w:val="0"/>
      <w:marTop w:val="0"/>
      <w:marBottom w:val="0"/>
      <w:divBdr>
        <w:top w:val="none" w:sz="0" w:space="0" w:color="auto"/>
        <w:left w:val="none" w:sz="0" w:space="0" w:color="auto"/>
        <w:bottom w:val="none" w:sz="0" w:space="0" w:color="auto"/>
        <w:right w:val="none" w:sz="0" w:space="0" w:color="auto"/>
      </w:divBdr>
    </w:div>
    <w:div w:id="1508985866">
      <w:bodyDiv w:val="1"/>
      <w:marLeft w:val="0"/>
      <w:marRight w:val="0"/>
      <w:marTop w:val="0"/>
      <w:marBottom w:val="0"/>
      <w:divBdr>
        <w:top w:val="none" w:sz="0" w:space="0" w:color="auto"/>
        <w:left w:val="none" w:sz="0" w:space="0" w:color="auto"/>
        <w:bottom w:val="none" w:sz="0" w:space="0" w:color="auto"/>
        <w:right w:val="none" w:sz="0" w:space="0" w:color="auto"/>
      </w:divBdr>
    </w:div>
    <w:div w:id="1509058352">
      <w:bodyDiv w:val="1"/>
      <w:marLeft w:val="0"/>
      <w:marRight w:val="0"/>
      <w:marTop w:val="0"/>
      <w:marBottom w:val="0"/>
      <w:divBdr>
        <w:top w:val="none" w:sz="0" w:space="0" w:color="auto"/>
        <w:left w:val="none" w:sz="0" w:space="0" w:color="auto"/>
        <w:bottom w:val="none" w:sz="0" w:space="0" w:color="auto"/>
        <w:right w:val="none" w:sz="0" w:space="0" w:color="auto"/>
      </w:divBdr>
    </w:div>
    <w:div w:id="1509098100">
      <w:bodyDiv w:val="1"/>
      <w:marLeft w:val="0"/>
      <w:marRight w:val="0"/>
      <w:marTop w:val="0"/>
      <w:marBottom w:val="0"/>
      <w:divBdr>
        <w:top w:val="none" w:sz="0" w:space="0" w:color="auto"/>
        <w:left w:val="none" w:sz="0" w:space="0" w:color="auto"/>
        <w:bottom w:val="none" w:sz="0" w:space="0" w:color="auto"/>
        <w:right w:val="none" w:sz="0" w:space="0" w:color="auto"/>
      </w:divBdr>
    </w:div>
    <w:div w:id="1509248066">
      <w:bodyDiv w:val="1"/>
      <w:marLeft w:val="0"/>
      <w:marRight w:val="0"/>
      <w:marTop w:val="0"/>
      <w:marBottom w:val="0"/>
      <w:divBdr>
        <w:top w:val="none" w:sz="0" w:space="0" w:color="auto"/>
        <w:left w:val="none" w:sz="0" w:space="0" w:color="auto"/>
        <w:bottom w:val="none" w:sz="0" w:space="0" w:color="auto"/>
        <w:right w:val="none" w:sz="0" w:space="0" w:color="auto"/>
      </w:divBdr>
    </w:div>
    <w:div w:id="1509442208">
      <w:bodyDiv w:val="1"/>
      <w:marLeft w:val="0"/>
      <w:marRight w:val="0"/>
      <w:marTop w:val="0"/>
      <w:marBottom w:val="0"/>
      <w:divBdr>
        <w:top w:val="none" w:sz="0" w:space="0" w:color="auto"/>
        <w:left w:val="none" w:sz="0" w:space="0" w:color="auto"/>
        <w:bottom w:val="none" w:sz="0" w:space="0" w:color="auto"/>
        <w:right w:val="none" w:sz="0" w:space="0" w:color="auto"/>
      </w:divBdr>
    </w:div>
    <w:div w:id="1509515747">
      <w:bodyDiv w:val="1"/>
      <w:marLeft w:val="0"/>
      <w:marRight w:val="0"/>
      <w:marTop w:val="0"/>
      <w:marBottom w:val="0"/>
      <w:divBdr>
        <w:top w:val="none" w:sz="0" w:space="0" w:color="auto"/>
        <w:left w:val="none" w:sz="0" w:space="0" w:color="auto"/>
        <w:bottom w:val="none" w:sz="0" w:space="0" w:color="auto"/>
        <w:right w:val="none" w:sz="0" w:space="0" w:color="auto"/>
      </w:divBdr>
    </w:div>
    <w:div w:id="1509518597">
      <w:bodyDiv w:val="1"/>
      <w:marLeft w:val="0"/>
      <w:marRight w:val="0"/>
      <w:marTop w:val="0"/>
      <w:marBottom w:val="0"/>
      <w:divBdr>
        <w:top w:val="none" w:sz="0" w:space="0" w:color="auto"/>
        <w:left w:val="none" w:sz="0" w:space="0" w:color="auto"/>
        <w:bottom w:val="none" w:sz="0" w:space="0" w:color="auto"/>
        <w:right w:val="none" w:sz="0" w:space="0" w:color="auto"/>
      </w:divBdr>
    </w:div>
    <w:div w:id="1509520839">
      <w:bodyDiv w:val="1"/>
      <w:marLeft w:val="0"/>
      <w:marRight w:val="0"/>
      <w:marTop w:val="0"/>
      <w:marBottom w:val="0"/>
      <w:divBdr>
        <w:top w:val="none" w:sz="0" w:space="0" w:color="auto"/>
        <w:left w:val="none" w:sz="0" w:space="0" w:color="auto"/>
        <w:bottom w:val="none" w:sz="0" w:space="0" w:color="auto"/>
        <w:right w:val="none" w:sz="0" w:space="0" w:color="auto"/>
      </w:divBdr>
    </w:div>
    <w:div w:id="1509557816">
      <w:bodyDiv w:val="1"/>
      <w:marLeft w:val="0"/>
      <w:marRight w:val="0"/>
      <w:marTop w:val="0"/>
      <w:marBottom w:val="0"/>
      <w:divBdr>
        <w:top w:val="none" w:sz="0" w:space="0" w:color="auto"/>
        <w:left w:val="none" w:sz="0" w:space="0" w:color="auto"/>
        <w:bottom w:val="none" w:sz="0" w:space="0" w:color="auto"/>
        <w:right w:val="none" w:sz="0" w:space="0" w:color="auto"/>
      </w:divBdr>
    </w:div>
    <w:div w:id="1509640363">
      <w:bodyDiv w:val="1"/>
      <w:marLeft w:val="0"/>
      <w:marRight w:val="0"/>
      <w:marTop w:val="0"/>
      <w:marBottom w:val="0"/>
      <w:divBdr>
        <w:top w:val="none" w:sz="0" w:space="0" w:color="auto"/>
        <w:left w:val="none" w:sz="0" w:space="0" w:color="auto"/>
        <w:bottom w:val="none" w:sz="0" w:space="0" w:color="auto"/>
        <w:right w:val="none" w:sz="0" w:space="0" w:color="auto"/>
      </w:divBdr>
    </w:div>
    <w:div w:id="1509830067">
      <w:bodyDiv w:val="1"/>
      <w:marLeft w:val="0"/>
      <w:marRight w:val="0"/>
      <w:marTop w:val="0"/>
      <w:marBottom w:val="0"/>
      <w:divBdr>
        <w:top w:val="none" w:sz="0" w:space="0" w:color="auto"/>
        <w:left w:val="none" w:sz="0" w:space="0" w:color="auto"/>
        <w:bottom w:val="none" w:sz="0" w:space="0" w:color="auto"/>
        <w:right w:val="none" w:sz="0" w:space="0" w:color="auto"/>
      </w:divBdr>
    </w:div>
    <w:div w:id="1510018989">
      <w:bodyDiv w:val="1"/>
      <w:marLeft w:val="0"/>
      <w:marRight w:val="0"/>
      <w:marTop w:val="0"/>
      <w:marBottom w:val="0"/>
      <w:divBdr>
        <w:top w:val="none" w:sz="0" w:space="0" w:color="auto"/>
        <w:left w:val="none" w:sz="0" w:space="0" w:color="auto"/>
        <w:bottom w:val="none" w:sz="0" w:space="0" w:color="auto"/>
        <w:right w:val="none" w:sz="0" w:space="0" w:color="auto"/>
      </w:divBdr>
    </w:div>
    <w:div w:id="1510022606">
      <w:bodyDiv w:val="1"/>
      <w:marLeft w:val="0"/>
      <w:marRight w:val="0"/>
      <w:marTop w:val="0"/>
      <w:marBottom w:val="0"/>
      <w:divBdr>
        <w:top w:val="none" w:sz="0" w:space="0" w:color="auto"/>
        <w:left w:val="none" w:sz="0" w:space="0" w:color="auto"/>
        <w:bottom w:val="none" w:sz="0" w:space="0" w:color="auto"/>
        <w:right w:val="none" w:sz="0" w:space="0" w:color="auto"/>
      </w:divBdr>
    </w:div>
    <w:div w:id="1510028041">
      <w:bodyDiv w:val="1"/>
      <w:marLeft w:val="0"/>
      <w:marRight w:val="0"/>
      <w:marTop w:val="0"/>
      <w:marBottom w:val="0"/>
      <w:divBdr>
        <w:top w:val="none" w:sz="0" w:space="0" w:color="auto"/>
        <w:left w:val="none" w:sz="0" w:space="0" w:color="auto"/>
        <w:bottom w:val="none" w:sz="0" w:space="0" w:color="auto"/>
        <w:right w:val="none" w:sz="0" w:space="0" w:color="auto"/>
      </w:divBdr>
    </w:div>
    <w:div w:id="1510176290">
      <w:bodyDiv w:val="1"/>
      <w:marLeft w:val="0"/>
      <w:marRight w:val="0"/>
      <w:marTop w:val="0"/>
      <w:marBottom w:val="0"/>
      <w:divBdr>
        <w:top w:val="none" w:sz="0" w:space="0" w:color="auto"/>
        <w:left w:val="none" w:sz="0" w:space="0" w:color="auto"/>
        <w:bottom w:val="none" w:sz="0" w:space="0" w:color="auto"/>
        <w:right w:val="none" w:sz="0" w:space="0" w:color="auto"/>
      </w:divBdr>
    </w:div>
    <w:div w:id="1510178248">
      <w:bodyDiv w:val="1"/>
      <w:marLeft w:val="0"/>
      <w:marRight w:val="0"/>
      <w:marTop w:val="0"/>
      <w:marBottom w:val="0"/>
      <w:divBdr>
        <w:top w:val="none" w:sz="0" w:space="0" w:color="auto"/>
        <w:left w:val="none" w:sz="0" w:space="0" w:color="auto"/>
        <w:bottom w:val="none" w:sz="0" w:space="0" w:color="auto"/>
        <w:right w:val="none" w:sz="0" w:space="0" w:color="auto"/>
      </w:divBdr>
    </w:div>
    <w:div w:id="1510215894">
      <w:bodyDiv w:val="1"/>
      <w:marLeft w:val="0"/>
      <w:marRight w:val="0"/>
      <w:marTop w:val="0"/>
      <w:marBottom w:val="0"/>
      <w:divBdr>
        <w:top w:val="none" w:sz="0" w:space="0" w:color="auto"/>
        <w:left w:val="none" w:sz="0" w:space="0" w:color="auto"/>
        <w:bottom w:val="none" w:sz="0" w:space="0" w:color="auto"/>
        <w:right w:val="none" w:sz="0" w:space="0" w:color="auto"/>
      </w:divBdr>
    </w:div>
    <w:div w:id="1510221751">
      <w:bodyDiv w:val="1"/>
      <w:marLeft w:val="0"/>
      <w:marRight w:val="0"/>
      <w:marTop w:val="0"/>
      <w:marBottom w:val="0"/>
      <w:divBdr>
        <w:top w:val="none" w:sz="0" w:space="0" w:color="auto"/>
        <w:left w:val="none" w:sz="0" w:space="0" w:color="auto"/>
        <w:bottom w:val="none" w:sz="0" w:space="0" w:color="auto"/>
        <w:right w:val="none" w:sz="0" w:space="0" w:color="auto"/>
      </w:divBdr>
    </w:div>
    <w:div w:id="1510366592">
      <w:bodyDiv w:val="1"/>
      <w:marLeft w:val="0"/>
      <w:marRight w:val="0"/>
      <w:marTop w:val="0"/>
      <w:marBottom w:val="0"/>
      <w:divBdr>
        <w:top w:val="none" w:sz="0" w:space="0" w:color="auto"/>
        <w:left w:val="none" w:sz="0" w:space="0" w:color="auto"/>
        <w:bottom w:val="none" w:sz="0" w:space="0" w:color="auto"/>
        <w:right w:val="none" w:sz="0" w:space="0" w:color="auto"/>
      </w:divBdr>
    </w:div>
    <w:div w:id="1510414954">
      <w:bodyDiv w:val="1"/>
      <w:marLeft w:val="0"/>
      <w:marRight w:val="0"/>
      <w:marTop w:val="0"/>
      <w:marBottom w:val="0"/>
      <w:divBdr>
        <w:top w:val="none" w:sz="0" w:space="0" w:color="auto"/>
        <w:left w:val="none" w:sz="0" w:space="0" w:color="auto"/>
        <w:bottom w:val="none" w:sz="0" w:space="0" w:color="auto"/>
        <w:right w:val="none" w:sz="0" w:space="0" w:color="auto"/>
      </w:divBdr>
    </w:div>
    <w:div w:id="1510873370">
      <w:bodyDiv w:val="1"/>
      <w:marLeft w:val="0"/>
      <w:marRight w:val="0"/>
      <w:marTop w:val="0"/>
      <w:marBottom w:val="0"/>
      <w:divBdr>
        <w:top w:val="none" w:sz="0" w:space="0" w:color="auto"/>
        <w:left w:val="none" w:sz="0" w:space="0" w:color="auto"/>
        <w:bottom w:val="none" w:sz="0" w:space="0" w:color="auto"/>
        <w:right w:val="none" w:sz="0" w:space="0" w:color="auto"/>
      </w:divBdr>
    </w:div>
    <w:div w:id="1510944703">
      <w:bodyDiv w:val="1"/>
      <w:marLeft w:val="0"/>
      <w:marRight w:val="0"/>
      <w:marTop w:val="0"/>
      <w:marBottom w:val="0"/>
      <w:divBdr>
        <w:top w:val="none" w:sz="0" w:space="0" w:color="auto"/>
        <w:left w:val="none" w:sz="0" w:space="0" w:color="auto"/>
        <w:bottom w:val="none" w:sz="0" w:space="0" w:color="auto"/>
        <w:right w:val="none" w:sz="0" w:space="0" w:color="auto"/>
      </w:divBdr>
    </w:div>
    <w:div w:id="1511021578">
      <w:bodyDiv w:val="1"/>
      <w:marLeft w:val="0"/>
      <w:marRight w:val="0"/>
      <w:marTop w:val="0"/>
      <w:marBottom w:val="0"/>
      <w:divBdr>
        <w:top w:val="none" w:sz="0" w:space="0" w:color="auto"/>
        <w:left w:val="none" w:sz="0" w:space="0" w:color="auto"/>
        <w:bottom w:val="none" w:sz="0" w:space="0" w:color="auto"/>
        <w:right w:val="none" w:sz="0" w:space="0" w:color="auto"/>
      </w:divBdr>
    </w:div>
    <w:div w:id="1511094193">
      <w:bodyDiv w:val="1"/>
      <w:marLeft w:val="0"/>
      <w:marRight w:val="0"/>
      <w:marTop w:val="0"/>
      <w:marBottom w:val="0"/>
      <w:divBdr>
        <w:top w:val="none" w:sz="0" w:space="0" w:color="auto"/>
        <w:left w:val="none" w:sz="0" w:space="0" w:color="auto"/>
        <w:bottom w:val="none" w:sz="0" w:space="0" w:color="auto"/>
        <w:right w:val="none" w:sz="0" w:space="0" w:color="auto"/>
      </w:divBdr>
    </w:div>
    <w:div w:id="1511138523">
      <w:bodyDiv w:val="1"/>
      <w:marLeft w:val="0"/>
      <w:marRight w:val="0"/>
      <w:marTop w:val="0"/>
      <w:marBottom w:val="0"/>
      <w:divBdr>
        <w:top w:val="none" w:sz="0" w:space="0" w:color="auto"/>
        <w:left w:val="none" w:sz="0" w:space="0" w:color="auto"/>
        <w:bottom w:val="none" w:sz="0" w:space="0" w:color="auto"/>
        <w:right w:val="none" w:sz="0" w:space="0" w:color="auto"/>
      </w:divBdr>
    </w:div>
    <w:div w:id="1511330383">
      <w:bodyDiv w:val="1"/>
      <w:marLeft w:val="0"/>
      <w:marRight w:val="0"/>
      <w:marTop w:val="0"/>
      <w:marBottom w:val="0"/>
      <w:divBdr>
        <w:top w:val="none" w:sz="0" w:space="0" w:color="auto"/>
        <w:left w:val="none" w:sz="0" w:space="0" w:color="auto"/>
        <w:bottom w:val="none" w:sz="0" w:space="0" w:color="auto"/>
        <w:right w:val="none" w:sz="0" w:space="0" w:color="auto"/>
      </w:divBdr>
    </w:div>
    <w:div w:id="1511487875">
      <w:bodyDiv w:val="1"/>
      <w:marLeft w:val="0"/>
      <w:marRight w:val="0"/>
      <w:marTop w:val="0"/>
      <w:marBottom w:val="0"/>
      <w:divBdr>
        <w:top w:val="none" w:sz="0" w:space="0" w:color="auto"/>
        <w:left w:val="none" w:sz="0" w:space="0" w:color="auto"/>
        <w:bottom w:val="none" w:sz="0" w:space="0" w:color="auto"/>
        <w:right w:val="none" w:sz="0" w:space="0" w:color="auto"/>
      </w:divBdr>
    </w:div>
    <w:div w:id="1511525076">
      <w:bodyDiv w:val="1"/>
      <w:marLeft w:val="0"/>
      <w:marRight w:val="0"/>
      <w:marTop w:val="0"/>
      <w:marBottom w:val="0"/>
      <w:divBdr>
        <w:top w:val="none" w:sz="0" w:space="0" w:color="auto"/>
        <w:left w:val="none" w:sz="0" w:space="0" w:color="auto"/>
        <w:bottom w:val="none" w:sz="0" w:space="0" w:color="auto"/>
        <w:right w:val="none" w:sz="0" w:space="0" w:color="auto"/>
      </w:divBdr>
    </w:div>
    <w:div w:id="1511526689">
      <w:bodyDiv w:val="1"/>
      <w:marLeft w:val="0"/>
      <w:marRight w:val="0"/>
      <w:marTop w:val="0"/>
      <w:marBottom w:val="0"/>
      <w:divBdr>
        <w:top w:val="none" w:sz="0" w:space="0" w:color="auto"/>
        <w:left w:val="none" w:sz="0" w:space="0" w:color="auto"/>
        <w:bottom w:val="none" w:sz="0" w:space="0" w:color="auto"/>
        <w:right w:val="none" w:sz="0" w:space="0" w:color="auto"/>
      </w:divBdr>
    </w:div>
    <w:div w:id="1511526859">
      <w:bodyDiv w:val="1"/>
      <w:marLeft w:val="0"/>
      <w:marRight w:val="0"/>
      <w:marTop w:val="0"/>
      <w:marBottom w:val="0"/>
      <w:divBdr>
        <w:top w:val="none" w:sz="0" w:space="0" w:color="auto"/>
        <w:left w:val="none" w:sz="0" w:space="0" w:color="auto"/>
        <w:bottom w:val="none" w:sz="0" w:space="0" w:color="auto"/>
        <w:right w:val="none" w:sz="0" w:space="0" w:color="auto"/>
      </w:divBdr>
    </w:div>
    <w:div w:id="1511600817">
      <w:bodyDiv w:val="1"/>
      <w:marLeft w:val="0"/>
      <w:marRight w:val="0"/>
      <w:marTop w:val="0"/>
      <w:marBottom w:val="0"/>
      <w:divBdr>
        <w:top w:val="none" w:sz="0" w:space="0" w:color="auto"/>
        <w:left w:val="none" w:sz="0" w:space="0" w:color="auto"/>
        <w:bottom w:val="none" w:sz="0" w:space="0" w:color="auto"/>
        <w:right w:val="none" w:sz="0" w:space="0" w:color="auto"/>
      </w:divBdr>
    </w:div>
    <w:div w:id="1511605167">
      <w:bodyDiv w:val="1"/>
      <w:marLeft w:val="0"/>
      <w:marRight w:val="0"/>
      <w:marTop w:val="0"/>
      <w:marBottom w:val="0"/>
      <w:divBdr>
        <w:top w:val="none" w:sz="0" w:space="0" w:color="auto"/>
        <w:left w:val="none" w:sz="0" w:space="0" w:color="auto"/>
        <w:bottom w:val="none" w:sz="0" w:space="0" w:color="auto"/>
        <w:right w:val="none" w:sz="0" w:space="0" w:color="auto"/>
      </w:divBdr>
    </w:div>
    <w:div w:id="1511679330">
      <w:bodyDiv w:val="1"/>
      <w:marLeft w:val="0"/>
      <w:marRight w:val="0"/>
      <w:marTop w:val="0"/>
      <w:marBottom w:val="0"/>
      <w:divBdr>
        <w:top w:val="none" w:sz="0" w:space="0" w:color="auto"/>
        <w:left w:val="none" w:sz="0" w:space="0" w:color="auto"/>
        <w:bottom w:val="none" w:sz="0" w:space="0" w:color="auto"/>
        <w:right w:val="none" w:sz="0" w:space="0" w:color="auto"/>
      </w:divBdr>
    </w:div>
    <w:div w:id="1511750338">
      <w:bodyDiv w:val="1"/>
      <w:marLeft w:val="0"/>
      <w:marRight w:val="0"/>
      <w:marTop w:val="0"/>
      <w:marBottom w:val="0"/>
      <w:divBdr>
        <w:top w:val="none" w:sz="0" w:space="0" w:color="auto"/>
        <w:left w:val="none" w:sz="0" w:space="0" w:color="auto"/>
        <w:bottom w:val="none" w:sz="0" w:space="0" w:color="auto"/>
        <w:right w:val="none" w:sz="0" w:space="0" w:color="auto"/>
      </w:divBdr>
    </w:div>
    <w:div w:id="1512069295">
      <w:bodyDiv w:val="1"/>
      <w:marLeft w:val="0"/>
      <w:marRight w:val="0"/>
      <w:marTop w:val="0"/>
      <w:marBottom w:val="0"/>
      <w:divBdr>
        <w:top w:val="none" w:sz="0" w:space="0" w:color="auto"/>
        <w:left w:val="none" w:sz="0" w:space="0" w:color="auto"/>
        <w:bottom w:val="none" w:sz="0" w:space="0" w:color="auto"/>
        <w:right w:val="none" w:sz="0" w:space="0" w:color="auto"/>
      </w:divBdr>
    </w:div>
    <w:div w:id="1512253761">
      <w:bodyDiv w:val="1"/>
      <w:marLeft w:val="0"/>
      <w:marRight w:val="0"/>
      <w:marTop w:val="0"/>
      <w:marBottom w:val="0"/>
      <w:divBdr>
        <w:top w:val="none" w:sz="0" w:space="0" w:color="auto"/>
        <w:left w:val="none" w:sz="0" w:space="0" w:color="auto"/>
        <w:bottom w:val="none" w:sz="0" w:space="0" w:color="auto"/>
        <w:right w:val="none" w:sz="0" w:space="0" w:color="auto"/>
      </w:divBdr>
    </w:div>
    <w:div w:id="1512329149">
      <w:bodyDiv w:val="1"/>
      <w:marLeft w:val="0"/>
      <w:marRight w:val="0"/>
      <w:marTop w:val="0"/>
      <w:marBottom w:val="0"/>
      <w:divBdr>
        <w:top w:val="none" w:sz="0" w:space="0" w:color="auto"/>
        <w:left w:val="none" w:sz="0" w:space="0" w:color="auto"/>
        <w:bottom w:val="none" w:sz="0" w:space="0" w:color="auto"/>
        <w:right w:val="none" w:sz="0" w:space="0" w:color="auto"/>
      </w:divBdr>
    </w:div>
    <w:div w:id="1512336755">
      <w:bodyDiv w:val="1"/>
      <w:marLeft w:val="0"/>
      <w:marRight w:val="0"/>
      <w:marTop w:val="0"/>
      <w:marBottom w:val="0"/>
      <w:divBdr>
        <w:top w:val="none" w:sz="0" w:space="0" w:color="auto"/>
        <w:left w:val="none" w:sz="0" w:space="0" w:color="auto"/>
        <w:bottom w:val="none" w:sz="0" w:space="0" w:color="auto"/>
        <w:right w:val="none" w:sz="0" w:space="0" w:color="auto"/>
      </w:divBdr>
    </w:div>
    <w:div w:id="1512404428">
      <w:bodyDiv w:val="1"/>
      <w:marLeft w:val="0"/>
      <w:marRight w:val="0"/>
      <w:marTop w:val="0"/>
      <w:marBottom w:val="0"/>
      <w:divBdr>
        <w:top w:val="none" w:sz="0" w:space="0" w:color="auto"/>
        <w:left w:val="none" w:sz="0" w:space="0" w:color="auto"/>
        <w:bottom w:val="none" w:sz="0" w:space="0" w:color="auto"/>
        <w:right w:val="none" w:sz="0" w:space="0" w:color="auto"/>
      </w:divBdr>
    </w:div>
    <w:div w:id="1512406235">
      <w:bodyDiv w:val="1"/>
      <w:marLeft w:val="0"/>
      <w:marRight w:val="0"/>
      <w:marTop w:val="0"/>
      <w:marBottom w:val="0"/>
      <w:divBdr>
        <w:top w:val="none" w:sz="0" w:space="0" w:color="auto"/>
        <w:left w:val="none" w:sz="0" w:space="0" w:color="auto"/>
        <w:bottom w:val="none" w:sz="0" w:space="0" w:color="auto"/>
        <w:right w:val="none" w:sz="0" w:space="0" w:color="auto"/>
      </w:divBdr>
    </w:div>
    <w:div w:id="1512454242">
      <w:bodyDiv w:val="1"/>
      <w:marLeft w:val="0"/>
      <w:marRight w:val="0"/>
      <w:marTop w:val="0"/>
      <w:marBottom w:val="0"/>
      <w:divBdr>
        <w:top w:val="none" w:sz="0" w:space="0" w:color="auto"/>
        <w:left w:val="none" w:sz="0" w:space="0" w:color="auto"/>
        <w:bottom w:val="none" w:sz="0" w:space="0" w:color="auto"/>
        <w:right w:val="none" w:sz="0" w:space="0" w:color="auto"/>
      </w:divBdr>
    </w:div>
    <w:div w:id="1512527348">
      <w:bodyDiv w:val="1"/>
      <w:marLeft w:val="0"/>
      <w:marRight w:val="0"/>
      <w:marTop w:val="0"/>
      <w:marBottom w:val="0"/>
      <w:divBdr>
        <w:top w:val="none" w:sz="0" w:space="0" w:color="auto"/>
        <w:left w:val="none" w:sz="0" w:space="0" w:color="auto"/>
        <w:bottom w:val="none" w:sz="0" w:space="0" w:color="auto"/>
        <w:right w:val="none" w:sz="0" w:space="0" w:color="auto"/>
      </w:divBdr>
    </w:div>
    <w:div w:id="1512648940">
      <w:bodyDiv w:val="1"/>
      <w:marLeft w:val="0"/>
      <w:marRight w:val="0"/>
      <w:marTop w:val="0"/>
      <w:marBottom w:val="0"/>
      <w:divBdr>
        <w:top w:val="none" w:sz="0" w:space="0" w:color="auto"/>
        <w:left w:val="none" w:sz="0" w:space="0" w:color="auto"/>
        <w:bottom w:val="none" w:sz="0" w:space="0" w:color="auto"/>
        <w:right w:val="none" w:sz="0" w:space="0" w:color="auto"/>
      </w:divBdr>
    </w:div>
    <w:div w:id="1512718176">
      <w:bodyDiv w:val="1"/>
      <w:marLeft w:val="0"/>
      <w:marRight w:val="0"/>
      <w:marTop w:val="0"/>
      <w:marBottom w:val="0"/>
      <w:divBdr>
        <w:top w:val="none" w:sz="0" w:space="0" w:color="auto"/>
        <w:left w:val="none" w:sz="0" w:space="0" w:color="auto"/>
        <w:bottom w:val="none" w:sz="0" w:space="0" w:color="auto"/>
        <w:right w:val="none" w:sz="0" w:space="0" w:color="auto"/>
      </w:divBdr>
    </w:div>
    <w:div w:id="1512792783">
      <w:bodyDiv w:val="1"/>
      <w:marLeft w:val="0"/>
      <w:marRight w:val="0"/>
      <w:marTop w:val="0"/>
      <w:marBottom w:val="0"/>
      <w:divBdr>
        <w:top w:val="none" w:sz="0" w:space="0" w:color="auto"/>
        <w:left w:val="none" w:sz="0" w:space="0" w:color="auto"/>
        <w:bottom w:val="none" w:sz="0" w:space="0" w:color="auto"/>
        <w:right w:val="none" w:sz="0" w:space="0" w:color="auto"/>
      </w:divBdr>
    </w:div>
    <w:div w:id="1512797396">
      <w:bodyDiv w:val="1"/>
      <w:marLeft w:val="0"/>
      <w:marRight w:val="0"/>
      <w:marTop w:val="0"/>
      <w:marBottom w:val="0"/>
      <w:divBdr>
        <w:top w:val="none" w:sz="0" w:space="0" w:color="auto"/>
        <w:left w:val="none" w:sz="0" w:space="0" w:color="auto"/>
        <w:bottom w:val="none" w:sz="0" w:space="0" w:color="auto"/>
        <w:right w:val="none" w:sz="0" w:space="0" w:color="auto"/>
      </w:divBdr>
    </w:div>
    <w:div w:id="1512842091">
      <w:bodyDiv w:val="1"/>
      <w:marLeft w:val="0"/>
      <w:marRight w:val="0"/>
      <w:marTop w:val="0"/>
      <w:marBottom w:val="0"/>
      <w:divBdr>
        <w:top w:val="none" w:sz="0" w:space="0" w:color="auto"/>
        <w:left w:val="none" w:sz="0" w:space="0" w:color="auto"/>
        <w:bottom w:val="none" w:sz="0" w:space="0" w:color="auto"/>
        <w:right w:val="none" w:sz="0" w:space="0" w:color="auto"/>
      </w:divBdr>
    </w:div>
    <w:div w:id="1512911097">
      <w:bodyDiv w:val="1"/>
      <w:marLeft w:val="0"/>
      <w:marRight w:val="0"/>
      <w:marTop w:val="0"/>
      <w:marBottom w:val="0"/>
      <w:divBdr>
        <w:top w:val="none" w:sz="0" w:space="0" w:color="auto"/>
        <w:left w:val="none" w:sz="0" w:space="0" w:color="auto"/>
        <w:bottom w:val="none" w:sz="0" w:space="0" w:color="auto"/>
        <w:right w:val="none" w:sz="0" w:space="0" w:color="auto"/>
      </w:divBdr>
    </w:div>
    <w:div w:id="1512913890">
      <w:bodyDiv w:val="1"/>
      <w:marLeft w:val="0"/>
      <w:marRight w:val="0"/>
      <w:marTop w:val="0"/>
      <w:marBottom w:val="0"/>
      <w:divBdr>
        <w:top w:val="none" w:sz="0" w:space="0" w:color="auto"/>
        <w:left w:val="none" w:sz="0" w:space="0" w:color="auto"/>
        <w:bottom w:val="none" w:sz="0" w:space="0" w:color="auto"/>
        <w:right w:val="none" w:sz="0" w:space="0" w:color="auto"/>
      </w:divBdr>
    </w:div>
    <w:div w:id="1513253728">
      <w:bodyDiv w:val="1"/>
      <w:marLeft w:val="0"/>
      <w:marRight w:val="0"/>
      <w:marTop w:val="0"/>
      <w:marBottom w:val="0"/>
      <w:divBdr>
        <w:top w:val="none" w:sz="0" w:space="0" w:color="auto"/>
        <w:left w:val="none" w:sz="0" w:space="0" w:color="auto"/>
        <w:bottom w:val="none" w:sz="0" w:space="0" w:color="auto"/>
        <w:right w:val="none" w:sz="0" w:space="0" w:color="auto"/>
      </w:divBdr>
    </w:div>
    <w:div w:id="1513373784">
      <w:bodyDiv w:val="1"/>
      <w:marLeft w:val="0"/>
      <w:marRight w:val="0"/>
      <w:marTop w:val="0"/>
      <w:marBottom w:val="0"/>
      <w:divBdr>
        <w:top w:val="none" w:sz="0" w:space="0" w:color="auto"/>
        <w:left w:val="none" w:sz="0" w:space="0" w:color="auto"/>
        <w:bottom w:val="none" w:sz="0" w:space="0" w:color="auto"/>
        <w:right w:val="none" w:sz="0" w:space="0" w:color="auto"/>
      </w:divBdr>
    </w:div>
    <w:div w:id="1513373940">
      <w:bodyDiv w:val="1"/>
      <w:marLeft w:val="0"/>
      <w:marRight w:val="0"/>
      <w:marTop w:val="0"/>
      <w:marBottom w:val="0"/>
      <w:divBdr>
        <w:top w:val="none" w:sz="0" w:space="0" w:color="auto"/>
        <w:left w:val="none" w:sz="0" w:space="0" w:color="auto"/>
        <w:bottom w:val="none" w:sz="0" w:space="0" w:color="auto"/>
        <w:right w:val="none" w:sz="0" w:space="0" w:color="auto"/>
      </w:divBdr>
    </w:div>
    <w:div w:id="1513375358">
      <w:bodyDiv w:val="1"/>
      <w:marLeft w:val="0"/>
      <w:marRight w:val="0"/>
      <w:marTop w:val="0"/>
      <w:marBottom w:val="0"/>
      <w:divBdr>
        <w:top w:val="none" w:sz="0" w:space="0" w:color="auto"/>
        <w:left w:val="none" w:sz="0" w:space="0" w:color="auto"/>
        <w:bottom w:val="none" w:sz="0" w:space="0" w:color="auto"/>
        <w:right w:val="none" w:sz="0" w:space="0" w:color="auto"/>
      </w:divBdr>
    </w:div>
    <w:div w:id="1513375716">
      <w:bodyDiv w:val="1"/>
      <w:marLeft w:val="0"/>
      <w:marRight w:val="0"/>
      <w:marTop w:val="0"/>
      <w:marBottom w:val="0"/>
      <w:divBdr>
        <w:top w:val="none" w:sz="0" w:space="0" w:color="auto"/>
        <w:left w:val="none" w:sz="0" w:space="0" w:color="auto"/>
        <w:bottom w:val="none" w:sz="0" w:space="0" w:color="auto"/>
        <w:right w:val="none" w:sz="0" w:space="0" w:color="auto"/>
      </w:divBdr>
    </w:div>
    <w:div w:id="1513447293">
      <w:bodyDiv w:val="1"/>
      <w:marLeft w:val="0"/>
      <w:marRight w:val="0"/>
      <w:marTop w:val="0"/>
      <w:marBottom w:val="0"/>
      <w:divBdr>
        <w:top w:val="none" w:sz="0" w:space="0" w:color="auto"/>
        <w:left w:val="none" w:sz="0" w:space="0" w:color="auto"/>
        <w:bottom w:val="none" w:sz="0" w:space="0" w:color="auto"/>
        <w:right w:val="none" w:sz="0" w:space="0" w:color="auto"/>
      </w:divBdr>
    </w:div>
    <w:div w:id="1513568362">
      <w:bodyDiv w:val="1"/>
      <w:marLeft w:val="0"/>
      <w:marRight w:val="0"/>
      <w:marTop w:val="0"/>
      <w:marBottom w:val="0"/>
      <w:divBdr>
        <w:top w:val="none" w:sz="0" w:space="0" w:color="auto"/>
        <w:left w:val="none" w:sz="0" w:space="0" w:color="auto"/>
        <w:bottom w:val="none" w:sz="0" w:space="0" w:color="auto"/>
        <w:right w:val="none" w:sz="0" w:space="0" w:color="auto"/>
      </w:divBdr>
    </w:div>
    <w:div w:id="1513640423">
      <w:bodyDiv w:val="1"/>
      <w:marLeft w:val="0"/>
      <w:marRight w:val="0"/>
      <w:marTop w:val="0"/>
      <w:marBottom w:val="0"/>
      <w:divBdr>
        <w:top w:val="none" w:sz="0" w:space="0" w:color="auto"/>
        <w:left w:val="none" w:sz="0" w:space="0" w:color="auto"/>
        <w:bottom w:val="none" w:sz="0" w:space="0" w:color="auto"/>
        <w:right w:val="none" w:sz="0" w:space="0" w:color="auto"/>
      </w:divBdr>
    </w:div>
    <w:div w:id="1514027384">
      <w:bodyDiv w:val="1"/>
      <w:marLeft w:val="0"/>
      <w:marRight w:val="0"/>
      <w:marTop w:val="0"/>
      <w:marBottom w:val="0"/>
      <w:divBdr>
        <w:top w:val="none" w:sz="0" w:space="0" w:color="auto"/>
        <w:left w:val="none" w:sz="0" w:space="0" w:color="auto"/>
        <w:bottom w:val="none" w:sz="0" w:space="0" w:color="auto"/>
        <w:right w:val="none" w:sz="0" w:space="0" w:color="auto"/>
      </w:divBdr>
    </w:div>
    <w:div w:id="1514029229">
      <w:bodyDiv w:val="1"/>
      <w:marLeft w:val="0"/>
      <w:marRight w:val="0"/>
      <w:marTop w:val="0"/>
      <w:marBottom w:val="0"/>
      <w:divBdr>
        <w:top w:val="none" w:sz="0" w:space="0" w:color="auto"/>
        <w:left w:val="none" w:sz="0" w:space="0" w:color="auto"/>
        <w:bottom w:val="none" w:sz="0" w:space="0" w:color="auto"/>
        <w:right w:val="none" w:sz="0" w:space="0" w:color="auto"/>
      </w:divBdr>
    </w:div>
    <w:div w:id="1514101543">
      <w:bodyDiv w:val="1"/>
      <w:marLeft w:val="0"/>
      <w:marRight w:val="0"/>
      <w:marTop w:val="0"/>
      <w:marBottom w:val="0"/>
      <w:divBdr>
        <w:top w:val="none" w:sz="0" w:space="0" w:color="auto"/>
        <w:left w:val="none" w:sz="0" w:space="0" w:color="auto"/>
        <w:bottom w:val="none" w:sz="0" w:space="0" w:color="auto"/>
        <w:right w:val="none" w:sz="0" w:space="0" w:color="auto"/>
      </w:divBdr>
    </w:div>
    <w:div w:id="1514107448">
      <w:bodyDiv w:val="1"/>
      <w:marLeft w:val="0"/>
      <w:marRight w:val="0"/>
      <w:marTop w:val="0"/>
      <w:marBottom w:val="0"/>
      <w:divBdr>
        <w:top w:val="none" w:sz="0" w:space="0" w:color="auto"/>
        <w:left w:val="none" w:sz="0" w:space="0" w:color="auto"/>
        <w:bottom w:val="none" w:sz="0" w:space="0" w:color="auto"/>
        <w:right w:val="none" w:sz="0" w:space="0" w:color="auto"/>
      </w:divBdr>
    </w:div>
    <w:div w:id="1514150786">
      <w:bodyDiv w:val="1"/>
      <w:marLeft w:val="0"/>
      <w:marRight w:val="0"/>
      <w:marTop w:val="0"/>
      <w:marBottom w:val="0"/>
      <w:divBdr>
        <w:top w:val="none" w:sz="0" w:space="0" w:color="auto"/>
        <w:left w:val="none" w:sz="0" w:space="0" w:color="auto"/>
        <w:bottom w:val="none" w:sz="0" w:space="0" w:color="auto"/>
        <w:right w:val="none" w:sz="0" w:space="0" w:color="auto"/>
      </w:divBdr>
    </w:div>
    <w:div w:id="1514227363">
      <w:bodyDiv w:val="1"/>
      <w:marLeft w:val="0"/>
      <w:marRight w:val="0"/>
      <w:marTop w:val="0"/>
      <w:marBottom w:val="0"/>
      <w:divBdr>
        <w:top w:val="none" w:sz="0" w:space="0" w:color="auto"/>
        <w:left w:val="none" w:sz="0" w:space="0" w:color="auto"/>
        <w:bottom w:val="none" w:sz="0" w:space="0" w:color="auto"/>
        <w:right w:val="none" w:sz="0" w:space="0" w:color="auto"/>
      </w:divBdr>
    </w:div>
    <w:div w:id="1514489946">
      <w:bodyDiv w:val="1"/>
      <w:marLeft w:val="0"/>
      <w:marRight w:val="0"/>
      <w:marTop w:val="0"/>
      <w:marBottom w:val="0"/>
      <w:divBdr>
        <w:top w:val="none" w:sz="0" w:space="0" w:color="auto"/>
        <w:left w:val="none" w:sz="0" w:space="0" w:color="auto"/>
        <w:bottom w:val="none" w:sz="0" w:space="0" w:color="auto"/>
        <w:right w:val="none" w:sz="0" w:space="0" w:color="auto"/>
      </w:divBdr>
    </w:div>
    <w:div w:id="1514492565">
      <w:bodyDiv w:val="1"/>
      <w:marLeft w:val="0"/>
      <w:marRight w:val="0"/>
      <w:marTop w:val="0"/>
      <w:marBottom w:val="0"/>
      <w:divBdr>
        <w:top w:val="none" w:sz="0" w:space="0" w:color="auto"/>
        <w:left w:val="none" w:sz="0" w:space="0" w:color="auto"/>
        <w:bottom w:val="none" w:sz="0" w:space="0" w:color="auto"/>
        <w:right w:val="none" w:sz="0" w:space="0" w:color="auto"/>
      </w:divBdr>
    </w:div>
    <w:div w:id="1514565100">
      <w:bodyDiv w:val="1"/>
      <w:marLeft w:val="0"/>
      <w:marRight w:val="0"/>
      <w:marTop w:val="0"/>
      <w:marBottom w:val="0"/>
      <w:divBdr>
        <w:top w:val="none" w:sz="0" w:space="0" w:color="auto"/>
        <w:left w:val="none" w:sz="0" w:space="0" w:color="auto"/>
        <w:bottom w:val="none" w:sz="0" w:space="0" w:color="auto"/>
        <w:right w:val="none" w:sz="0" w:space="0" w:color="auto"/>
      </w:divBdr>
    </w:div>
    <w:div w:id="1514565133">
      <w:bodyDiv w:val="1"/>
      <w:marLeft w:val="0"/>
      <w:marRight w:val="0"/>
      <w:marTop w:val="0"/>
      <w:marBottom w:val="0"/>
      <w:divBdr>
        <w:top w:val="none" w:sz="0" w:space="0" w:color="auto"/>
        <w:left w:val="none" w:sz="0" w:space="0" w:color="auto"/>
        <w:bottom w:val="none" w:sz="0" w:space="0" w:color="auto"/>
        <w:right w:val="none" w:sz="0" w:space="0" w:color="auto"/>
      </w:divBdr>
    </w:div>
    <w:div w:id="1514614950">
      <w:bodyDiv w:val="1"/>
      <w:marLeft w:val="0"/>
      <w:marRight w:val="0"/>
      <w:marTop w:val="0"/>
      <w:marBottom w:val="0"/>
      <w:divBdr>
        <w:top w:val="none" w:sz="0" w:space="0" w:color="auto"/>
        <w:left w:val="none" w:sz="0" w:space="0" w:color="auto"/>
        <w:bottom w:val="none" w:sz="0" w:space="0" w:color="auto"/>
        <w:right w:val="none" w:sz="0" w:space="0" w:color="auto"/>
      </w:divBdr>
    </w:div>
    <w:div w:id="1514958294">
      <w:bodyDiv w:val="1"/>
      <w:marLeft w:val="0"/>
      <w:marRight w:val="0"/>
      <w:marTop w:val="0"/>
      <w:marBottom w:val="0"/>
      <w:divBdr>
        <w:top w:val="none" w:sz="0" w:space="0" w:color="auto"/>
        <w:left w:val="none" w:sz="0" w:space="0" w:color="auto"/>
        <w:bottom w:val="none" w:sz="0" w:space="0" w:color="auto"/>
        <w:right w:val="none" w:sz="0" w:space="0" w:color="auto"/>
      </w:divBdr>
    </w:div>
    <w:div w:id="1515068829">
      <w:bodyDiv w:val="1"/>
      <w:marLeft w:val="0"/>
      <w:marRight w:val="0"/>
      <w:marTop w:val="0"/>
      <w:marBottom w:val="0"/>
      <w:divBdr>
        <w:top w:val="none" w:sz="0" w:space="0" w:color="auto"/>
        <w:left w:val="none" w:sz="0" w:space="0" w:color="auto"/>
        <w:bottom w:val="none" w:sz="0" w:space="0" w:color="auto"/>
        <w:right w:val="none" w:sz="0" w:space="0" w:color="auto"/>
      </w:divBdr>
    </w:div>
    <w:div w:id="1515072131">
      <w:bodyDiv w:val="1"/>
      <w:marLeft w:val="0"/>
      <w:marRight w:val="0"/>
      <w:marTop w:val="0"/>
      <w:marBottom w:val="0"/>
      <w:divBdr>
        <w:top w:val="none" w:sz="0" w:space="0" w:color="auto"/>
        <w:left w:val="none" w:sz="0" w:space="0" w:color="auto"/>
        <w:bottom w:val="none" w:sz="0" w:space="0" w:color="auto"/>
        <w:right w:val="none" w:sz="0" w:space="0" w:color="auto"/>
      </w:divBdr>
    </w:div>
    <w:div w:id="1515344001">
      <w:bodyDiv w:val="1"/>
      <w:marLeft w:val="0"/>
      <w:marRight w:val="0"/>
      <w:marTop w:val="0"/>
      <w:marBottom w:val="0"/>
      <w:divBdr>
        <w:top w:val="none" w:sz="0" w:space="0" w:color="auto"/>
        <w:left w:val="none" w:sz="0" w:space="0" w:color="auto"/>
        <w:bottom w:val="none" w:sz="0" w:space="0" w:color="auto"/>
        <w:right w:val="none" w:sz="0" w:space="0" w:color="auto"/>
      </w:divBdr>
    </w:div>
    <w:div w:id="1515412609">
      <w:bodyDiv w:val="1"/>
      <w:marLeft w:val="0"/>
      <w:marRight w:val="0"/>
      <w:marTop w:val="0"/>
      <w:marBottom w:val="0"/>
      <w:divBdr>
        <w:top w:val="none" w:sz="0" w:space="0" w:color="auto"/>
        <w:left w:val="none" w:sz="0" w:space="0" w:color="auto"/>
        <w:bottom w:val="none" w:sz="0" w:space="0" w:color="auto"/>
        <w:right w:val="none" w:sz="0" w:space="0" w:color="auto"/>
      </w:divBdr>
    </w:div>
    <w:div w:id="1515458441">
      <w:bodyDiv w:val="1"/>
      <w:marLeft w:val="0"/>
      <w:marRight w:val="0"/>
      <w:marTop w:val="0"/>
      <w:marBottom w:val="0"/>
      <w:divBdr>
        <w:top w:val="none" w:sz="0" w:space="0" w:color="auto"/>
        <w:left w:val="none" w:sz="0" w:space="0" w:color="auto"/>
        <w:bottom w:val="none" w:sz="0" w:space="0" w:color="auto"/>
        <w:right w:val="none" w:sz="0" w:space="0" w:color="auto"/>
      </w:divBdr>
    </w:div>
    <w:div w:id="1515460008">
      <w:bodyDiv w:val="1"/>
      <w:marLeft w:val="0"/>
      <w:marRight w:val="0"/>
      <w:marTop w:val="0"/>
      <w:marBottom w:val="0"/>
      <w:divBdr>
        <w:top w:val="none" w:sz="0" w:space="0" w:color="auto"/>
        <w:left w:val="none" w:sz="0" w:space="0" w:color="auto"/>
        <w:bottom w:val="none" w:sz="0" w:space="0" w:color="auto"/>
        <w:right w:val="none" w:sz="0" w:space="0" w:color="auto"/>
      </w:divBdr>
    </w:div>
    <w:div w:id="1515529757">
      <w:bodyDiv w:val="1"/>
      <w:marLeft w:val="0"/>
      <w:marRight w:val="0"/>
      <w:marTop w:val="0"/>
      <w:marBottom w:val="0"/>
      <w:divBdr>
        <w:top w:val="none" w:sz="0" w:space="0" w:color="auto"/>
        <w:left w:val="none" w:sz="0" w:space="0" w:color="auto"/>
        <w:bottom w:val="none" w:sz="0" w:space="0" w:color="auto"/>
        <w:right w:val="none" w:sz="0" w:space="0" w:color="auto"/>
      </w:divBdr>
    </w:div>
    <w:div w:id="1515531009">
      <w:bodyDiv w:val="1"/>
      <w:marLeft w:val="0"/>
      <w:marRight w:val="0"/>
      <w:marTop w:val="0"/>
      <w:marBottom w:val="0"/>
      <w:divBdr>
        <w:top w:val="none" w:sz="0" w:space="0" w:color="auto"/>
        <w:left w:val="none" w:sz="0" w:space="0" w:color="auto"/>
        <w:bottom w:val="none" w:sz="0" w:space="0" w:color="auto"/>
        <w:right w:val="none" w:sz="0" w:space="0" w:color="auto"/>
      </w:divBdr>
    </w:div>
    <w:div w:id="1515535947">
      <w:bodyDiv w:val="1"/>
      <w:marLeft w:val="0"/>
      <w:marRight w:val="0"/>
      <w:marTop w:val="0"/>
      <w:marBottom w:val="0"/>
      <w:divBdr>
        <w:top w:val="none" w:sz="0" w:space="0" w:color="auto"/>
        <w:left w:val="none" w:sz="0" w:space="0" w:color="auto"/>
        <w:bottom w:val="none" w:sz="0" w:space="0" w:color="auto"/>
        <w:right w:val="none" w:sz="0" w:space="0" w:color="auto"/>
      </w:divBdr>
    </w:div>
    <w:div w:id="1515536108">
      <w:bodyDiv w:val="1"/>
      <w:marLeft w:val="0"/>
      <w:marRight w:val="0"/>
      <w:marTop w:val="0"/>
      <w:marBottom w:val="0"/>
      <w:divBdr>
        <w:top w:val="none" w:sz="0" w:space="0" w:color="auto"/>
        <w:left w:val="none" w:sz="0" w:space="0" w:color="auto"/>
        <w:bottom w:val="none" w:sz="0" w:space="0" w:color="auto"/>
        <w:right w:val="none" w:sz="0" w:space="0" w:color="auto"/>
      </w:divBdr>
    </w:div>
    <w:div w:id="1515538650">
      <w:bodyDiv w:val="1"/>
      <w:marLeft w:val="0"/>
      <w:marRight w:val="0"/>
      <w:marTop w:val="0"/>
      <w:marBottom w:val="0"/>
      <w:divBdr>
        <w:top w:val="none" w:sz="0" w:space="0" w:color="auto"/>
        <w:left w:val="none" w:sz="0" w:space="0" w:color="auto"/>
        <w:bottom w:val="none" w:sz="0" w:space="0" w:color="auto"/>
        <w:right w:val="none" w:sz="0" w:space="0" w:color="auto"/>
      </w:divBdr>
    </w:div>
    <w:div w:id="1515611555">
      <w:bodyDiv w:val="1"/>
      <w:marLeft w:val="0"/>
      <w:marRight w:val="0"/>
      <w:marTop w:val="0"/>
      <w:marBottom w:val="0"/>
      <w:divBdr>
        <w:top w:val="none" w:sz="0" w:space="0" w:color="auto"/>
        <w:left w:val="none" w:sz="0" w:space="0" w:color="auto"/>
        <w:bottom w:val="none" w:sz="0" w:space="0" w:color="auto"/>
        <w:right w:val="none" w:sz="0" w:space="0" w:color="auto"/>
      </w:divBdr>
    </w:div>
    <w:div w:id="1515681247">
      <w:bodyDiv w:val="1"/>
      <w:marLeft w:val="0"/>
      <w:marRight w:val="0"/>
      <w:marTop w:val="0"/>
      <w:marBottom w:val="0"/>
      <w:divBdr>
        <w:top w:val="none" w:sz="0" w:space="0" w:color="auto"/>
        <w:left w:val="none" w:sz="0" w:space="0" w:color="auto"/>
        <w:bottom w:val="none" w:sz="0" w:space="0" w:color="auto"/>
        <w:right w:val="none" w:sz="0" w:space="0" w:color="auto"/>
      </w:divBdr>
    </w:div>
    <w:div w:id="1515722784">
      <w:bodyDiv w:val="1"/>
      <w:marLeft w:val="0"/>
      <w:marRight w:val="0"/>
      <w:marTop w:val="0"/>
      <w:marBottom w:val="0"/>
      <w:divBdr>
        <w:top w:val="none" w:sz="0" w:space="0" w:color="auto"/>
        <w:left w:val="none" w:sz="0" w:space="0" w:color="auto"/>
        <w:bottom w:val="none" w:sz="0" w:space="0" w:color="auto"/>
        <w:right w:val="none" w:sz="0" w:space="0" w:color="auto"/>
      </w:divBdr>
    </w:div>
    <w:div w:id="1515803918">
      <w:bodyDiv w:val="1"/>
      <w:marLeft w:val="0"/>
      <w:marRight w:val="0"/>
      <w:marTop w:val="0"/>
      <w:marBottom w:val="0"/>
      <w:divBdr>
        <w:top w:val="none" w:sz="0" w:space="0" w:color="auto"/>
        <w:left w:val="none" w:sz="0" w:space="0" w:color="auto"/>
        <w:bottom w:val="none" w:sz="0" w:space="0" w:color="auto"/>
        <w:right w:val="none" w:sz="0" w:space="0" w:color="auto"/>
      </w:divBdr>
    </w:div>
    <w:div w:id="1515874478">
      <w:bodyDiv w:val="1"/>
      <w:marLeft w:val="0"/>
      <w:marRight w:val="0"/>
      <w:marTop w:val="0"/>
      <w:marBottom w:val="0"/>
      <w:divBdr>
        <w:top w:val="none" w:sz="0" w:space="0" w:color="auto"/>
        <w:left w:val="none" w:sz="0" w:space="0" w:color="auto"/>
        <w:bottom w:val="none" w:sz="0" w:space="0" w:color="auto"/>
        <w:right w:val="none" w:sz="0" w:space="0" w:color="auto"/>
      </w:divBdr>
    </w:div>
    <w:div w:id="1515874566">
      <w:bodyDiv w:val="1"/>
      <w:marLeft w:val="0"/>
      <w:marRight w:val="0"/>
      <w:marTop w:val="0"/>
      <w:marBottom w:val="0"/>
      <w:divBdr>
        <w:top w:val="none" w:sz="0" w:space="0" w:color="auto"/>
        <w:left w:val="none" w:sz="0" w:space="0" w:color="auto"/>
        <w:bottom w:val="none" w:sz="0" w:space="0" w:color="auto"/>
        <w:right w:val="none" w:sz="0" w:space="0" w:color="auto"/>
      </w:divBdr>
    </w:div>
    <w:div w:id="1515875361">
      <w:bodyDiv w:val="1"/>
      <w:marLeft w:val="0"/>
      <w:marRight w:val="0"/>
      <w:marTop w:val="0"/>
      <w:marBottom w:val="0"/>
      <w:divBdr>
        <w:top w:val="none" w:sz="0" w:space="0" w:color="auto"/>
        <w:left w:val="none" w:sz="0" w:space="0" w:color="auto"/>
        <w:bottom w:val="none" w:sz="0" w:space="0" w:color="auto"/>
        <w:right w:val="none" w:sz="0" w:space="0" w:color="auto"/>
      </w:divBdr>
    </w:div>
    <w:div w:id="1515919852">
      <w:bodyDiv w:val="1"/>
      <w:marLeft w:val="0"/>
      <w:marRight w:val="0"/>
      <w:marTop w:val="0"/>
      <w:marBottom w:val="0"/>
      <w:divBdr>
        <w:top w:val="none" w:sz="0" w:space="0" w:color="auto"/>
        <w:left w:val="none" w:sz="0" w:space="0" w:color="auto"/>
        <w:bottom w:val="none" w:sz="0" w:space="0" w:color="auto"/>
        <w:right w:val="none" w:sz="0" w:space="0" w:color="auto"/>
      </w:divBdr>
    </w:div>
    <w:div w:id="1515994047">
      <w:bodyDiv w:val="1"/>
      <w:marLeft w:val="0"/>
      <w:marRight w:val="0"/>
      <w:marTop w:val="0"/>
      <w:marBottom w:val="0"/>
      <w:divBdr>
        <w:top w:val="none" w:sz="0" w:space="0" w:color="auto"/>
        <w:left w:val="none" w:sz="0" w:space="0" w:color="auto"/>
        <w:bottom w:val="none" w:sz="0" w:space="0" w:color="auto"/>
        <w:right w:val="none" w:sz="0" w:space="0" w:color="auto"/>
      </w:divBdr>
    </w:div>
    <w:div w:id="1516110069">
      <w:bodyDiv w:val="1"/>
      <w:marLeft w:val="0"/>
      <w:marRight w:val="0"/>
      <w:marTop w:val="0"/>
      <w:marBottom w:val="0"/>
      <w:divBdr>
        <w:top w:val="none" w:sz="0" w:space="0" w:color="auto"/>
        <w:left w:val="none" w:sz="0" w:space="0" w:color="auto"/>
        <w:bottom w:val="none" w:sz="0" w:space="0" w:color="auto"/>
        <w:right w:val="none" w:sz="0" w:space="0" w:color="auto"/>
      </w:divBdr>
    </w:div>
    <w:div w:id="1516268911">
      <w:bodyDiv w:val="1"/>
      <w:marLeft w:val="0"/>
      <w:marRight w:val="0"/>
      <w:marTop w:val="0"/>
      <w:marBottom w:val="0"/>
      <w:divBdr>
        <w:top w:val="none" w:sz="0" w:space="0" w:color="auto"/>
        <w:left w:val="none" w:sz="0" w:space="0" w:color="auto"/>
        <w:bottom w:val="none" w:sz="0" w:space="0" w:color="auto"/>
        <w:right w:val="none" w:sz="0" w:space="0" w:color="auto"/>
      </w:divBdr>
    </w:div>
    <w:div w:id="1516311239">
      <w:bodyDiv w:val="1"/>
      <w:marLeft w:val="0"/>
      <w:marRight w:val="0"/>
      <w:marTop w:val="0"/>
      <w:marBottom w:val="0"/>
      <w:divBdr>
        <w:top w:val="none" w:sz="0" w:space="0" w:color="auto"/>
        <w:left w:val="none" w:sz="0" w:space="0" w:color="auto"/>
        <w:bottom w:val="none" w:sz="0" w:space="0" w:color="auto"/>
        <w:right w:val="none" w:sz="0" w:space="0" w:color="auto"/>
      </w:divBdr>
    </w:div>
    <w:div w:id="1516504277">
      <w:bodyDiv w:val="1"/>
      <w:marLeft w:val="0"/>
      <w:marRight w:val="0"/>
      <w:marTop w:val="0"/>
      <w:marBottom w:val="0"/>
      <w:divBdr>
        <w:top w:val="none" w:sz="0" w:space="0" w:color="auto"/>
        <w:left w:val="none" w:sz="0" w:space="0" w:color="auto"/>
        <w:bottom w:val="none" w:sz="0" w:space="0" w:color="auto"/>
        <w:right w:val="none" w:sz="0" w:space="0" w:color="auto"/>
      </w:divBdr>
    </w:div>
    <w:div w:id="1516580523">
      <w:bodyDiv w:val="1"/>
      <w:marLeft w:val="0"/>
      <w:marRight w:val="0"/>
      <w:marTop w:val="0"/>
      <w:marBottom w:val="0"/>
      <w:divBdr>
        <w:top w:val="none" w:sz="0" w:space="0" w:color="auto"/>
        <w:left w:val="none" w:sz="0" w:space="0" w:color="auto"/>
        <w:bottom w:val="none" w:sz="0" w:space="0" w:color="auto"/>
        <w:right w:val="none" w:sz="0" w:space="0" w:color="auto"/>
      </w:divBdr>
    </w:div>
    <w:div w:id="1516725607">
      <w:bodyDiv w:val="1"/>
      <w:marLeft w:val="0"/>
      <w:marRight w:val="0"/>
      <w:marTop w:val="0"/>
      <w:marBottom w:val="0"/>
      <w:divBdr>
        <w:top w:val="none" w:sz="0" w:space="0" w:color="auto"/>
        <w:left w:val="none" w:sz="0" w:space="0" w:color="auto"/>
        <w:bottom w:val="none" w:sz="0" w:space="0" w:color="auto"/>
        <w:right w:val="none" w:sz="0" w:space="0" w:color="auto"/>
      </w:divBdr>
    </w:div>
    <w:div w:id="1516767940">
      <w:bodyDiv w:val="1"/>
      <w:marLeft w:val="0"/>
      <w:marRight w:val="0"/>
      <w:marTop w:val="0"/>
      <w:marBottom w:val="0"/>
      <w:divBdr>
        <w:top w:val="none" w:sz="0" w:space="0" w:color="auto"/>
        <w:left w:val="none" w:sz="0" w:space="0" w:color="auto"/>
        <w:bottom w:val="none" w:sz="0" w:space="0" w:color="auto"/>
        <w:right w:val="none" w:sz="0" w:space="0" w:color="auto"/>
      </w:divBdr>
    </w:div>
    <w:div w:id="1516797919">
      <w:bodyDiv w:val="1"/>
      <w:marLeft w:val="0"/>
      <w:marRight w:val="0"/>
      <w:marTop w:val="0"/>
      <w:marBottom w:val="0"/>
      <w:divBdr>
        <w:top w:val="none" w:sz="0" w:space="0" w:color="auto"/>
        <w:left w:val="none" w:sz="0" w:space="0" w:color="auto"/>
        <w:bottom w:val="none" w:sz="0" w:space="0" w:color="auto"/>
        <w:right w:val="none" w:sz="0" w:space="0" w:color="auto"/>
      </w:divBdr>
    </w:div>
    <w:div w:id="1516842897">
      <w:bodyDiv w:val="1"/>
      <w:marLeft w:val="0"/>
      <w:marRight w:val="0"/>
      <w:marTop w:val="0"/>
      <w:marBottom w:val="0"/>
      <w:divBdr>
        <w:top w:val="none" w:sz="0" w:space="0" w:color="auto"/>
        <w:left w:val="none" w:sz="0" w:space="0" w:color="auto"/>
        <w:bottom w:val="none" w:sz="0" w:space="0" w:color="auto"/>
        <w:right w:val="none" w:sz="0" w:space="0" w:color="auto"/>
      </w:divBdr>
    </w:div>
    <w:div w:id="1517230927">
      <w:bodyDiv w:val="1"/>
      <w:marLeft w:val="0"/>
      <w:marRight w:val="0"/>
      <w:marTop w:val="0"/>
      <w:marBottom w:val="0"/>
      <w:divBdr>
        <w:top w:val="none" w:sz="0" w:space="0" w:color="auto"/>
        <w:left w:val="none" w:sz="0" w:space="0" w:color="auto"/>
        <w:bottom w:val="none" w:sz="0" w:space="0" w:color="auto"/>
        <w:right w:val="none" w:sz="0" w:space="0" w:color="auto"/>
      </w:divBdr>
    </w:div>
    <w:div w:id="1517231268">
      <w:bodyDiv w:val="1"/>
      <w:marLeft w:val="0"/>
      <w:marRight w:val="0"/>
      <w:marTop w:val="0"/>
      <w:marBottom w:val="0"/>
      <w:divBdr>
        <w:top w:val="none" w:sz="0" w:space="0" w:color="auto"/>
        <w:left w:val="none" w:sz="0" w:space="0" w:color="auto"/>
        <w:bottom w:val="none" w:sz="0" w:space="0" w:color="auto"/>
        <w:right w:val="none" w:sz="0" w:space="0" w:color="auto"/>
      </w:divBdr>
    </w:div>
    <w:div w:id="1517308949">
      <w:bodyDiv w:val="1"/>
      <w:marLeft w:val="0"/>
      <w:marRight w:val="0"/>
      <w:marTop w:val="0"/>
      <w:marBottom w:val="0"/>
      <w:divBdr>
        <w:top w:val="none" w:sz="0" w:space="0" w:color="auto"/>
        <w:left w:val="none" w:sz="0" w:space="0" w:color="auto"/>
        <w:bottom w:val="none" w:sz="0" w:space="0" w:color="auto"/>
        <w:right w:val="none" w:sz="0" w:space="0" w:color="auto"/>
      </w:divBdr>
    </w:div>
    <w:div w:id="1517380965">
      <w:bodyDiv w:val="1"/>
      <w:marLeft w:val="0"/>
      <w:marRight w:val="0"/>
      <w:marTop w:val="0"/>
      <w:marBottom w:val="0"/>
      <w:divBdr>
        <w:top w:val="none" w:sz="0" w:space="0" w:color="auto"/>
        <w:left w:val="none" w:sz="0" w:space="0" w:color="auto"/>
        <w:bottom w:val="none" w:sz="0" w:space="0" w:color="auto"/>
        <w:right w:val="none" w:sz="0" w:space="0" w:color="auto"/>
      </w:divBdr>
    </w:div>
    <w:div w:id="1517421850">
      <w:bodyDiv w:val="1"/>
      <w:marLeft w:val="0"/>
      <w:marRight w:val="0"/>
      <w:marTop w:val="0"/>
      <w:marBottom w:val="0"/>
      <w:divBdr>
        <w:top w:val="none" w:sz="0" w:space="0" w:color="auto"/>
        <w:left w:val="none" w:sz="0" w:space="0" w:color="auto"/>
        <w:bottom w:val="none" w:sz="0" w:space="0" w:color="auto"/>
        <w:right w:val="none" w:sz="0" w:space="0" w:color="auto"/>
      </w:divBdr>
    </w:div>
    <w:div w:id="1517424388">
      <w:bodyDiv w:val="1"/>
      <w:marLeft w:val="0"/>
      <w:marRight w:val="0"/>
      <w:marTop w:val="0"/>
      <w:marBottom w:val="0"/>
      <w:divBdr>
        <w:top w:val="none" w:sz="0" w:space="0" w:color="auto"/>
        <w:left w:val="none" w:sz="0" w:space="0" w:color="auto"/>
        <w:bottom w:val="none" w:sz="0" w:space="0" w:color="auto"/>
        <w:right w:val="none" w:sz="0" w:space="0" w:color="auto"/>
      </w:divBdr>
    </w:div>
    <w:div w:id="1517503787">
      <w:bodyDiv w:val="1"/>
      <w:marLeft w:val="0"/>
      <w:marRight w:val="0"/>
      <w:marTop w:val="0"/>
      <w:marBottom w:val="0"/>
      <w:divBdr>
        <w:top w:val="none" w:sz="0" w:space="0" w:color="auto"/>
        <w:left w:val="none" w:sz="0" w:space="0" w:color="auto"/>
        <w:bottom w:val="none" w:sz="0" w:space="0" w:color="auto"/>
        <w:right w:val="none" w:sz="0" w:space="0" w:color="auto"/>
      </w:divBdr>
    </w:div>
    <w:div w:id="1517575437">
      <w:bodyDiv w:val="1"/>
      <w:marLeft w:val="0"/>
      <w:marRight w:val="0"/>
      <w:marTop w:val="0"/>
      <w:marBottom w:val="0"/>
      <w:divBdr>
        <w:top w:val="none" w:sz="0" w:space="0" w:color="auto"/>
        <w:left w:val="none" w:sz="0" w:space="0" w:color="auto"/>
        <w:bottom w:val="none" w:sz="0" w:space="0" w:color="auto"/>
        <w:right w:val="none" w:sz="0" w:space="0" w:color="auto"/>
      </w:divBdr>
    </w:div>
    <w:div w:id="1517770552">
      <w:bodyDiv w:val="1"/>
      <w:marLeft w:val="0"/>
      <w:marRight w:val="0"/>
      <w:marTop w:val="0"/>
      <w:marBottom w:val="0"/>
      <w:divBdr>
        <w:top w:val="none" w:sz="0" w:space="0" w:color="auto"/>
        <w:left w:val="none" w:sz="0" w:space="0" w:color="auto"/>
        <w:bottom w:val="none" w:sz="0" w:space="0" w:color="auto"/>
        <w:right w:val="none" w:sz="0" w:space="0" w:color="auto"/>
      </w:divBdr>
    </w:div>
    <w:div w:id="1517846261">
      <w:bodyDiv w:val="1"/>
      <w:marLeft w:val="0"/>
      <w:marRight w:val="0"/>
      <w:marTop w:val="0"/>
      <w:marBottom w:val="0"/>
      <w:divBdr>
        <w:top w:val="none" w:sz="0" w:space="0" w:color="auto"/>
        <w:left w:val="none" w:sz="0" w:space="0" w:color="auto"/>
        <w:bottom w:val="none" w:sz="0" w:space="0" w:color="auto"/>
        <w:right w:val="none" w:sz="0" w:space="0" w:color="auto"/>
      </w:divBdr>
    </w:div>
    <w:div w:id="1517883378">
      <w:bodyDiv w:val="1"/>
      <w:marLeft w:val="0"/>
      <w:marRight w:val="0"/>
      <w:marTop w:val="0"/>
      <w:marBottom w:val="0"/>
      <w:divBdr>
        <w:top w:val="none" w:sz="0" w:space="0" w:color="auto"/>
        <w:left w:val="none" w:sz="0" w:space="0" w:color="auto"/>
        <w:bottom w:val="none" w:sz="0" w:space="0" w:color="auto"/>
        <w:right w:val="none" w:sz="0" w:space="0" w:color="auto"/>
      </w:divBdr>
    </w:div>
    <w:div w:id="1517888963">
      <w:bodyDiv w:val="1"/>
      <w:marLeft w:val="0"/>
      <w:marRight w:val="0"/>
      <w:marTop w:val="0"/>
      <w:marBottom w:val="0"/>
      <w:divBdr>
        <w:top w:val="none" w:sz="0" w:space="0" w:color="auto"/>
        <w:left w:val="none" w:sz="0" w:space="0" w:color="auto"/>
        <w:bottom w:val="none" w:sz="0" w:space="0" w:color="auto"/>
        <w:right w:val="none" w:sz="0" w:space="0" w:color="auto"/>
      </w:divBdr>
    </w:div>
    <w:div w:id="1517966925">
      <w:bodyDiv w:val="1"/>
      <w:marLeft w:val="0"/>
      <w:marRight w:val="0"/>
      <w:marTop w:val="0"/>
      <w:marBottom w:val="0"/>
      <w:divBdr>
        <w:top w:val="none" w:sz="0" w:space="0" w:color="auto"/>
        <w:left w:val="none" w:sz="0" w:space="0" w:color="auto"/>
        <w:bottom w:val="none" w:sz="0" w:space="0" w:color="auto"/>
        <w:right w:val="none" w:sz="0" w:space="0" w:color="auto"/>
      </w:divBdr>
    </w:div>
    <w:div w:id="1518034573">
      <w:bodyDiv w:val="1"/>
      <w:marLeft w:val="0"/>
      <w:marRight w:val="0"/>
      <w:marTop w:val="0"/>
      <w:marBottom w:val="0"/>
      <w:divBdr>
        <w:top w:val="none" w:sz="0" w:space="0" w:color="auto"/>
        <w:left w:val="none" w:sz="0" w:space="0" w:color="auto"/>
        <w:bottom w:val="none" w:sz="0" w:space="0" w:color="auto"/>
        <w:right w:val="none" w:sz="0" w:space="0" w:color="auto"/>
      </w:divBdr>
    </w:div>
    <w:div w:id="1518039762">
      <w:bodyDiv w:val="1"/>
      <w:marLeft w:val="0"/>
      <w:marRight w:val="0"/>
      <w:marTop w:val="0"/>
      <w:marBottom w:val="0"/>
      <w:divBdr>
        <w:top w:val="none" w:sz="0" w:space="0" w:color="auto"/>
        <w:left w:val="none" w:sz="0" w:space="0" w:color="auto"/>
        <w:bottom w:val="none" w:sz="0" w:space="0" w:color="auto"/>
        <w:right w:val="none" w:sz="0" w:space="0" w:color="auto"/>
      </w:divBdr>
    </w:div>
    <w:div w:id="1518040601">
      <w:bodyDiv w:val="1"/>
      <w:marLeft w:val="0"/>
      <w:marRight w:val="0"/>
      <w:marTop w:val="0"/>
      <w:marBottom w:val="0"/>
      <w:divBdr>
        <w:top w:val="none" w:sz="0" w:space="0" w:color="auto"/>
        <w:left w:val="none" w:sz="0" w:space="0" w:color="auto"/>
        <w:bottom w:val="none" w:sz="0" w:space="0" w:color="auto"/>
        <w:right w:val="none" w:sz="0" w:space="0" w:color="auto"/>
      </w:divBdr>
    </w:div>
    <w:div w:id="1518155074">
      <w:bodyDiv w:val="1"/>
      <w:marLeft w:val="0"/>
      <w:marRight w:val="0"/>
      <w:marTop w:val="0"/>
      <w:marBottom w:val="0"/>
      <w:divBdr>
        <w:top w:val="none" w:sz="0" w:space="0" w:color="auto"/>
        <w:left w:val="none" w:sz="0" w:space="0" w:color="auto"/>
        <w:bottom w:val="none" w:sz="0" w:space="0" w:color="auto"/>
        <w:right w:val="none" w:sz="0" w:space="0" w:color="auto"/>
      </w:divBdr>
    </w:div>
    <w:div w:id="1518228058">
      <w:bodyDiv w:val="1"/>
      <w:marLeft w:val="0"/>
      <w:marRight w:val="0"/>
      <w:marTop w:val="0"/>
      <w:marBottom w:val="0"/>
      <w:divBdr>
        <w:top w:val="none" w:sz="0" w:space="0" w:color="auto"/>
        <w:left w:val="none" w:sz="0" w:space="0" w:color="auto"/>
        <w:bottom w:val="none" w:sz="0" w:space="0" w:color="auto"/>
        <w:right w:val="none" w:sz="0" w:space="0" w:color="auto"/>
      </w:divBdr>
    </w:div>
    <w:div w:id="1518277444">
      <w:bodyDiv w:val="1"/>
      <w:marLeft w:val="0"/>
      <w:marRight w:val="0"/>
      <w:marTop w:val="0"/>
      <w:marBottom w:val="0"/>
      <w:divBdr>
        <w:top w:val="none" w:sz="0" w:space="0" w:color="auto"/>
        <w:left w:val="none" w:sz="0" w:space="0" w:color="auto"/>
        <w:bottom w:val="none" w:sz="0" w:space="0" w:color="auto"/>
        <w:right w:val="none" w:sz="0" w:space="0" w:color="auto"/>
      </w:divBdr>
    </w:div>
    <w:div w:id="1518428004">
      <w:bodyDiv w:val="1"/>
      <w:marLeft w:val="0"/>
      <w:marRight w:val="0"/>
      <w:marTop w:val="0"/>
      <w:marBottom w:val="0"/>
      <w:divBdr>
        <w:top w:val="none" w:sz="0" w:space="0" w:color="auto"/>
        <w:left w:val="none" w:sz="0" w:space="0" w:color="auto"/>
        <w:bottom w:val="none" w:sz="0" w:space="0" w:color="auto"/>
        <w:right w:val="none" w:sz="0" w:space="0" w:color="auto"/>
      </w:divBdr>
    </w:div>
    <w:div w:id="1518543482">
      <w:bodyDiv w:val="1"/>
      <w:marLeft w:val="0"/>
      <w:marRight w:val="0"/>
      <w:marTop w:val="0"/>
      <w:marBottom w:val="0"/>
      <w:divBdr>
        <w:top w:val="none" w:sz="0" w:space="0" w:color="auto"/>
        <w:left w:val="none" w:sz="0" w:space="0" w:color="auto"/>
        <w:bottom w:val="none" w:sz="0" w:space="0" w:color="auto"/>
        <w:right w:val="none" w:sz="0" w:space="0" w:color="auto"/>
      </w:divBdr>
    </w:div>
    <w:div w:id="1518738738">
      <w:bodyDiv w:val="1"/>
      <w:marLeft w:val="0"/>
      <w:marRight w:val="0"/>
      <w:marTop w:val="0"/>
      <w:marBottom w:val="0"/>
      <w:divBdr>
        <w:top w:val="none" w:sz="0" w:space="0" w:color="auto"/>
        <w:left w:val="none" w:sz="0" w:space="0" w:color="auto"/>
        <w:bottom w:val="none" w:sz="0" w:space="0" w:color="auto"/>
        <w:right w:val="none" w:sz="0" w:space="0" w:color="auto"/>
      </w:divBdr>
    </w:div>
    <w:div w:id="1518889060">
      <w:bodyDiv w:val="1"/>
      <w:marLeft w:val="0"/>
      <w:marRight w:val="0"/>
      <w:marTop w:val="0"/>
      <w:marBottom w:val="0"/>
      <w:divBdr>
        <w:top w:val="none" w:sz="0" w:space="0" w:color="auto"/>
        <w:left w:val="none" w:sz="0" w:space="0" w:color="auto"/>
        <w:bottom w:val="none" w:sz="0" w:space="0" w:color="auto"/>
        <w:right w:val="none" w:sz="0" w:space="0" w:color="auto"/>
      </w:divBdr>
    </w:div>
    <w:div w:id="1519193814">
      <w:bodyDiv w:val="1"/>
      <w:marLeft w:val="0"/>
      <w:marRight w:val="0"/>
      <w:marTop w:val="0"/>
      <w:marBottom w:val="0"/>
      <w:divBdr>
        <w:top w:val="none" w:sz="0" w:space="0" w:color="auto"/>
        <w:left w:val="none" w:sz="0" w:space="0" w:color="auto"/>
        <w:bottom w:val="none" w:sz="0" w:space="0" w:color="auto"/>
        <w:right w:val="none" w:sz="0" w:space="0" w:color="auto"/>
      </w:divBdr>
    </w:div>
    <w:div w:id="1519351482">
      <w:bodyDiv w:val="1"/>
      <w:marLeft w:val="0"/>
      <w:marRight w:val="0"/>
      <w:marTop w:val="0"/>
      <w:marBottom w:val="0"/>
      <w:divBdr>
        <w:top w:val="none" w:sz="0" w:space="0" w:color="auto"/>
        <w:left w:val="none" w:sz="0" w:space="0" w:color="auto"/>
        <w:bottom w:val="none" w:sz="0" w:space="0" w:color="auto"/>
        <w:right w:val="none" w:sz="0" w:space="0" w:color="auto"/>
      </w:divBdr>
    </w:div>
    <w:div w:id="1519851074">
      <w:bodyDiv w:val="1"/>
      <w:marLeft w:val="0"/>
      <w:marRight w:val="0"/>
      <w:marTop w:val="0"/>
      <w:marBottom w:val="0"/>
      <w:divBdr>
        <w:top w:val="none" w:sz="0" w:space="0" w:color="auto"/>
        <w:left w:val="none" w:sz="0" w:space="0" w:color="auto"/>
        <w:bottom w:val="none" w:sz="0" w:space="0" w:color="auto"/>
        <w:right w:val="none" w:sz="0" w:space="0" w:color="auto"/>
      </w:divBdr>
    </w:div>
    <w:div w:id="1519853262">
      <w:bodyDiv w:val="1"/>
      <w:marLeft w:val="0"/>
      <w:marRight w:val="0"/>
      <w:marTop w:val="0"/>
      <w:marBottom w:val="0"/>
      <w:divBdr>
        <w:top w:val="none" w:sz="0" w:space="0" w:color="auto"/>
        <w:left w:val="none" w:sz="0" w:space="0" w:color="auto"/>
        <w:bottom w:val="none" w:sz="0" w:space="0" w:color="auto"/>
        <w:right w:val="none" w:sz="0" w:space="0" w:color="auto"/>
      </w:divBdr>
    </w:div>
    <w:div w:id="1519924629">
      <w:bodyDiv w:val="1"/>
      <w:marLeft w:val="0"/>
      <w:marRight w:val="0"/>
      <w:marTop w:val="0"/>
      <w:marBottom w:val="0"/>
      <w:divBdr>
        <w:top w:val="none" w:sz="0" w:space="0" w:color="auto"/>
        <w:left w:val="none" w:sz="0" w:space="0" w:color="auto"/>
        <w:bottom w:val="none" w:sz="0" w:space="0" w:color="auto"/>
        <w:right w:val="none" w:sz="0" w:space="0" w:color="auto"/>
      </w:divBdr>
    </w:div>
    <w:div w:id="1520048669">
      <w:bodyDiv w:val="1"/>
      <w:marLeft w:val="0"/>
      <w:marRight w:val="0"/>
      <w:marTop w:val="0"/>
      <w:marBottom w:val="0"/>
      <w:divBdr>
        <w:top w:val="none" w:sz="0" w:space="0" w:color="auto"/>
        <w:left w:val="none" w:sz="0" w:space="0" w:color="auto"/>
        <w:bottom w:val="none" w:sz="0" w:space="0" w:color="auto"/>
        <w:right w:val="none" w:sz="0" w:space="0" w:color="auto"/>
      </w:divBdr>
    </w:div>
    <w:div w:id="1520197611">
      <w:bodyDiv w:val="1"/>
      <w:marLeft w:val="0"/>
      <w:marRight w:val="0"/>
      <w:marTop w:val="0"/>
      <w:marBottom w:val="0"/>
      <w:divBdr>
        <w:top w:val="none" w:sz="0" w:space="0" w:color="auto"/>
        <w:left w:val="none" w:sz="0" w:space="0" w:color="auto"/>
        <w:bottom w:val="none" w:sz="0" w:space="0" w:color="auto"/>
        <w:right w:val="none" w:sz="0" w:space="0" w:color="auto"/>
      </w:divBdr>
    </w:div>
    <w:div w:id="1520267797">
      <w:bodyDiv w:val="1"/>
      <w:marLeft w:val="0"/>
      <w:marRight w:val="0"/>
      <w:marTop w:val="0"/>
      <w:marBottom w:val="0"/>
      <w:divBdr>
        <w:top w:val="none" w:sz="0" w:space="0" w:color="auto"/>
        <w:left w:val="none" w:sz="0" w:space="0" w:color="auto"/>
        <w:bottom w:val="none" w:sz="0" w:space="0" w:color="auto"/>
        <w:right w:val="none" w:sz="0" w:space="0" w:color="auto"/>
      </w:divBdr>
    </w:div>
    <w:div w:id="1520464446">
      <w:bodyDiv w:val="1"/>
      <w:marLeft w:val="0"/>
      <w:marRight w:val="0"/>
      <w:marTop w:val="0"/>
      <w:marBottom w:val="0"/>
      <w:divBdr>
        <w:top w:val="none" w:sz="0" w:space="0" w:color="auto"/>
        <w:left w:val="none" w:sz="0" w:space="0" w:color="auto"/>
        <w:bottom w:val="none" w:sz="0" w:space="0" w:color="auto"/>
        <w:right w:val="none" w:sz="0" w:space="0" w:color="auto"/>
      </w:divBdr>
    </w:div>
    <w:div w:id="1520579590">
      <w:bodyDiv w:val="1"/>
      <w:marLeft w:val="0"/>
      <w:marRight w:val="0"/>
      <w:marTop w:val="0"/>
      <w:marBottom w:val="0"/>
      <w:divBdr>
        <w:top w:val="none" w:sz="0" w:space="0" w:color="auto"/>
        <w:left w:val="none" w:sz="0" w:space="0" w:color="auto"/>
        <w:bottom w:val="none" w:sz="0" w:space="0" w:color="auto"/>
        <w:right w:val="none" w:sz="0" w:space="0" w:color="auto"/>
      </w:divBdr>
    </w:div>
    <w:div w:id="1520583918">
      <w:bodyDiv w:val="1"/>
      <w:marLeft w:val="0"/>
      <w:marRight w:val="0"/>
      <w:marTop w:val="0"/>
      <w:marBottom w:val="0"/>
      <w:divBdr>
        <w:top w:val="none" w:sz="0" w:space="0" w:color="auto"/>
        <w:left w:val="none" w:sz="0" w:space="0" w:color="auto"/>
        <w:bottom w:val="none" w:sz="0" w:space="0" w:color="auto"/>
        <w:right w:val="none" w:sz="0" w:space="0" w:color="auto"/>
      </w:divBdr>
    </w:div>
    <w:div w:id="1520586647">
      <w:bodyDiv w:val="1"/>
      <w:marLeft w:val="0"/>
      <w:marRight w:val="0"/>
      <w:marTop w:val="0"/>
      <w:marBottom w:val="0"/>
      <w:divBdr>
        <w:top w:val="none" w:sz="0" w:space="0" w:color="auto"/>
        <w:left w:val="none" w:sz="0" w:space="0" w:color="auto"/>
        <w:bottom w:val="none" w:sz="0" w:space="0" w:color="auto"/>
        <w:right w:val="none" w:sz="0" w:space="0" w:color="auto"/>
      </w:divBdr>
    </w:div>
    <w:div w:id="1520663105">
      <w:bodyDiv w:val="1"/>
      <w:marLeft w:val="0"/>
      <w:marRight w:val="0"/>
      <w:marTop w:val="0"/>
      <w:marBottom w:val="0"/>
      <w:divBdr>
        <w:top w:val="none" w:sz="0" w:space="0" w:color="auto"/>
        <w:left w:val="none" w:sz="0" w:space="0" w:color="auto"/>
        <w:bottom w:val="none" w:sz="0" w:space="0" w:color="auto"/>
        <w:right w:val="none" w:sz="0" w:space="0" w:color="auto"/>
      </w:divBdr>
    </w:div>
    <w:div w:id="1520729362">
      <w:bodyDiv w:val="1"/>
      <w:marLeft w:val="0"/>
      <w:marRight w:val="0"/>
      <w:marTop w:val="0"/>
      <w:marBottom w:val="0"/>
      <w:divBdr>
        <w:top w:val="none" w:sz="0" w:space="0" w:color="auto"/>
        <w:left w:val="none" w:sz="0" w:space="0" w:color="auto"/>
        <w:bottom w:val="none" w:sz="0" w:space="0" w:color="auto"/>
        <w:right w:val="none" w:sz="0" w:space="0" w:color="auto"/>
      </w:divBdr>
    </w:div>
    <w:div w:id="1520730086">
      <w:bodyDiv w:val="1"/>
      <w:marLeft w:val="0"/>
      <w:marRight w:val="0"/>
      <w:marTop w:val="0"/>
      <w:marBottom w:val="0"/>
      <w:divBdr>
        <w:top w:val="none" w:sz="0" w:space="0" w:color="auto"/>
        <w:left w:val="none" w:sz="0" w:space="0" w:color="auto"/>
        <w:bottom w:val="none" w:sz="0" w:space="0" w:color="auto"/>
        <w:right w:val="none" w:sz="0" w:space="0" w:color="auto"/>
      </w:divBdr>
    </w:div>
    <w:div w:id="1520856381">
      <w:bodyDiv w:val="1"/>
      <w:marLeft w:val="0"/>
      <w:marRight w:val="0"/>
      <w:marTop w:val="0"/>
      <w:marBottom w:val="0"/>
      <w:divBdr>
        <w:top w:val="none" w:sz="0" w:space="0" w:color="auto"/>
        <w:left w:val="none" w:sz="0" w:space="0" w:color="auto"/>
        <w:bottom w:val="none" w:sz="0" w:space="0" w:color="auto"/>
        <w:right w:val="none" w:sz="0" w:space="0" w:color="auto"/>
      </w:divBdr>
    </w:div>
    <w:div w:id="1520894599">
      <w:bodyDiv w:val="1"/>
      <w:marLeft w:val="0"/>
      <w:marRight w:val="0"/>
      <w:marTop w:val="0"/>
      <w:marBottom w:val="0"/>
      <w:divBdr>
        <w:top w:val="none" w:sz="0" w:space="0" w:color="auto"/>
        <w:left w:val="none" w:sz="0" w:space="0" w:color="auto"/>
        <w:bottom w:val="none" w:sz="0" w:space="0" w:color="auto"/>
        <w:right w:val="none" w:sz="0" w:space="0" w:color="auto"/>
      </w:divBdr>
    </w:div>
    <w:div w:id="1520965403">
      <w:bodyDiv w:val="1"/>
      <w:marLeft w:val="0"/>
      <w:marRight w:val="0"/>
      <w:marTop w:val="0"/>
      <w:marBottom w:val="0"/>
      <w:divBdr>
        <w:top w:val="none" w:sz="0" w:space="0" w:color="auto"/>
        <w:left w:val="none" w:sz="0" w:space="0" w:color="auto"/>
        <w:bottom w:val="none" w:sz="0" w:space="0" w:color="auto"/>
        <w:right w:val="none" w:sz="0" w:space="0" w:color="auto"/>
      </w:divBdr>
    </w:div>
    <w:div w:id="1520966997">
      <w:bodyDiv w:val="1"/>
      <w:marLeft w:val="0"/>
      <w:marRight w:val="0"/>
      <w:marTop w:val="0"/>
      <w:marBottom w:val="0"/>
      <w:divBdr>
        <w:top w:val="none" w:sz="0" w:space="0" w:color="auto"/>
        <w:left w:val="none" w:sz="0" w:space="0" w:color="auto"/>
        <w:bottom w:val="none" w:sz="0" w:space="0" w:color="auto"/>
        <w:right w:val="none" w:sz="0" w:space="0" w:color="auto"/>
      </w:divBdr>
    </w:div>
    <w:div w:id="1521091063">
      <w:bodyDiv w:val="1"/>
      <w:marLeft w:val="0"/>
      <w:marRight w:val="0"/>
      <w:marTop w:val="0"/>
      <w:marBottom w:val="0"/>
      <w:divBdr>
        <w:top w:val="none" w:sz="0" w:space="0" w:color="auto"/>
        <w:left w:val="none" w:sz="0" w:space="0" w:color="auto"/>
        <w:bottom w:val="none" w:sz="0" w:space="0" w:color="auto"/>
        <w:right w:val="none" w:sz="0" w:space="0" w:color="auto"/>
      </w:divBdr>
    </w:div>
    <w:div w:id="1521119234">
      <w:bodyDiv w:val="1"/>
      <w:marLeft w:val="0"/>
      <w:marRight w:val="0"/>
      <w:marTop w:val="0"/>
      <w:marBottom w:val="0"/>
      <w:divBdr>
        <w:top w:val="none" w:sz="0" w:space="0" w:color="auto"/>
        <w:left w:val="none" w:sz="0" w:space="0" w:color="auto"/>
        <w:bottom w:val="none" w:sz="0" w:space="0" w:color="auto"/>
        <w:right w:val="none" w:sz="0" w:space="0" w:color="auto"/>
      </w:divBdr>
    </w:div>
    <w:div w:id="1521165369">
      <w:bodyDiv w:val="1"/>
      <w:marLeft w:val="0"/>
      <w:marRight w:val="0"/>
      <w:marTop w:val="0"/>
      <w:marBottom w:val="0"/>
      <w:divBdr>
        <w:top w:val="none" w:sz="0" w:space="0" w:color="auto"/>
        <w:left w:val="none" w:sz="0" w:space="0" w:color="auto"/>
        <w:bottom w:val="none" w:sz="0" w:space="0" w:color="auto"/>
        <w:right w:val="none" w:sz="0" w:space="0" w:color="auto"/>
      </w:divBdr>
    </w:div>
    <w:div w:id="1521238348">
      <w:bodyDiv w:val="1"/>
      <w:marLeft w:val="0"/>
      <w:marRight w:val="0"/>
      <w:marTop w:val="0"/>
      <w:marBottom w:val="0"/>
      <w:divBdr>
        <w:top w:val="none" w:sz="0" w:space="0" w:color="auto"/>
        <w:left w:val="none" w:sz="0" w:space="0" w:color="auto"/>
        <w:bottom w:val="none" w:sz="0" w:space="0" w:color="auto"/>
        <w:right w:val="none" w:sz="0" w:space="0" w:color="auto"/>
      </w:divBdr>
    </w:div>
    <w:div w:id="1521241527">
      <w:bodyDiv w:val="1"/>
      <w:marLeft w:val="0"/>
      <w:marRight w:val="0"/>
      <w:marTop w:val="0"/>
      <w:marBottom w:val="0"/>
      <w:divBdr>
        <w:top w:val="none" w:sz="0" w:space="0" w:color="auto"/>
        <w:left w:val="none" w:sz="0" w:space="0" w:color="auto"/>
        <w:bottom w:val="none" w:sz="0" w:space="0" w:color="auto"/>
        <w:right w:val="none" w:sz="0" w:space="0" w:color="auto"/>
      </w:divBdr>
    </w:div>
    <w:div w:id="1521310507">
      <w:bodyDiv w:val="1"/>
      <w:marLeft w:val="0"/>
      <w:marRight w:val="0"/>
      <w:marTop w:val="0"/>
      <w:marBottom w:val="0"/>
      <w:divBdr>
        <w:top w:val="none" w:sz="0" w:space="0" w:color="auto"/>
        <w:left w:val="none" w:sz="0" w:space="0" w:color="auto"/>
        <w:bottom w:val="none" w:sz="0" w:space="0" w:color="auto"/>
        <w:right w:val="none" w:sz="0" w:space="0" w:color="auto"/>
      </w:divBdr>
    </w:div>
    <w:div w:id="1521355960">
      <w:bodyDiv w:val="1"/>
      <w:marLeft w:val="0"/>
      <w:marRight w:val="0"/>
      <w:marTop w:val="0"/>
      <w:marBottom w:val="0"/>
      <w:divBdr>
        <w:top w:val="none" w:sz="0" w:space="0" w:color="auto"/>
        <w:left w:val="none" w:sz="0" w:space="0" w:color="auto"/>
        <w:bottom w:val="none" w:sz="0" w:space="0" w:color="auto"/>
        <w:right w:val="none" w:sz="0" w:space="0" w:color="auto"/>
      </w:divBdr>
    </w:div>
    <w:div w:id="1521359038">
      <w:bodyDiv w:val="1"/>
      <w:marLeft w:val="0"/>
      <w:marRight w:val="0"/>
      <w:marTop w:val="0"/>
      <w:marBottom w:val="0"/>
      <w:divBdr>
        <w:top w:val="none" w:sz="0" w:space="0" w:color="auto"/>
        <w:left w:val="none" w:sz="0" w:space="0" w:color="auto"/>
        <w:bottom w:val="none" w:sz="0" w:space="0" w:color="auto"/>
        <w:right w:val="none" w:sz="0" w:space="0" w:color="auto"/>
      </w:divBdr>
    </w:div>
    <w:div w:id="1521624331">
      <w:bodyDiv w:val="1"/>
      <w:marLeft w:val="0"/>
      <w:marRight w:val="0"/>
      <w:marTop w:val="0"/>
      <w:marBottom w:val="0"/>
      <w:divBdr>
        <w:top w:val="none" w:sz="0" w:space="0" w:color="auto"/>
        <w:left w:val="none" w:sz="0" w:space="0" w:color="auto"/>
        <w:bottom w:val="none" w:sz="0" w:space="0" w:color="auto"/>
        <w:right w:val="none" w:sz="0" w:space="0" w:color="auto"/>
      </w:divBdr>
    </w:div>
    <w:div w:id="1521698358">
      <w:bodyDiv w:val="1"/>
      <w:marLeft w:val="0"/>
      <w:marRight w:val="0"/>
      <w:marTop w:val="0"/>
      <w:marBottom w:val="0"/>
      <w:divBdr>
        <w:top w:val="none" w:sz="0" w:space="0" w:color="auto"/>
        <w:left w:val="none" w:sz="0" w:space="0" w:color="auto"/>
        <w:bottom w:val="none" w:sz="0" w:space="0" w:color="auto"/>
        <w:right w:val="none" w:sz="0" w:space="0" w:color="auto"/>
      </w:divBdr>
    </w:div>
    <w:div w:id="1521774952">
      <w:bodyDiv w:val="1"/>
      <w:marLeft w:val="0"/>
      <w:marRight w:val="0"/>
      <w:marTop w:val="0"/>
      <w:marBottom w:val="0"/>
      <w:divBdr>
        <w:top w:val="none" w:sz="0" w:space="0" w:color="auto"/>
        <w:left w:val="none" w:sz="0" w:space="0" w:color="auto"/>
        <w:bottom w:val="none" w:sz="0" w:space="0" w:color="auto"/>
        <w:right w:val="none" w:sz="0" w:space="0" w:color="auto"/>
      </w:divBdr>
    </w:div>
    <w:div w:id="1521777541">
      <w:bodyDiv w:val="1"/>
      <w:marLeft w:val="0"/>
      <w:marRight w:val="0"/>
      <w:marTop w:val="0"/>
      <w:marBottom w:val="0"/>
      <w:divBdr>
        <w:top w:val="none" w:sz="0" w:space="0" w:color="auto"/>
        <w:left w:val="none" w:sz="0" w:space="0" w:color="auto"/>
        <w:bottom w:val="none" w:sz="0" w:space="0" w:color="auto"/>
        <w:right w:val="none" w:sz="0" w:space="0" w:color="auto"/>
      </w:divBdr>
    </w:div>
    <w:div w:id="1521895924">
      <w:bodyDiv w:val="1"/>
      <w:marLeft w:val="0"/>
      <w:marRight w:val="0"/>
      <w:marTop w:val="0"/>
      <w:marBottom w:val="0"/>
      <w:divBdr>
        <w:top w:val="none" w:sz="0" w:space="0" w:color="auto"/>
        <w:left w:val="none" w:sz="0" w:space="0" w:color="auto"/>
        <w:bottom w:val="none" w:sz="0" w:space="0" w:color="auto"/>
        <w:right w:val="none" w:sz="0" w:space="0" w:color="auto"/>
      </w:divBdr>
    </w:div>
    <w:div w:id="1521965961">
      <w:bodyDiv w:val="1"/>
      <w:marLeft w:val="0"/>
      <w:marRight w:val="0"/>
      <w:marTop w:val="0"/>
      <w:marBottom w:val="0"/>
      <w:divBdr>
        <w:top w:val="none" w:sz="0" w:space="0" w:color="auto"/>
        <w:left w:val="none" w:sz="0" w:space="0" w:color="auto"/>
        <w:bottom w:val="none" w:sz="0" w:space="0" w:color="auto"/>
        <w:right w:val="none" w:sz="0" w:space="0" w:color="auto"/>
      </w:divBdr>
    </w:div>
    <w:div w:id="1521971917">
      <w:bodyDiv w:val="1"/>
      <w:marLeft w:val="0"/>
      <w:marRight w:val="0"/>
      <w:marTop w:val="0"/>
      <w:marBottom w:val="0"/>
      <w:divBdr>
        <w:top w:val="none" w:sz="0" w:space="0" w:color="auto"/>
        <w:left w:val="none" w:sz="0" w:space="0" w:color="auto"/>
        <w:bottom w:val="none" w:sz="0" w:space="0" w:color="auto"/>
        <w:right w:val="none" w:sz="0" w:space="0" w:color="auto"/>
      </w:divBdr>
    </w:div>
    <w:div w:id="1522009421">
      <w:bodyDiv w:val="1"/>
      <w:marLeft w:val="0"/>
      <w:marRight w:val="0"/>
      <w:marTop w:val="0"/>
      <w:marBottom w:val="0"/>
      <w:divBdr>
        <w:top w:val="none" w:sz="0" w:space="0" w:color="auto"/>
        <w:left w:val="none" w:sz="0" w:space="0" w:color="auto"/>
        <w:bottom w:val="none" w:sz="0" w:space="0" w:color="auto"/>
        <w:right w:val="none" w:sz="0" w:space="0" w:color="auto"/>
      </w:divBdr>
    </w:div>
    <w:div w:id="1522011294">
      <w:bodyDiv w:val="1"/>
      <w:marLeft w:val="0"/>
      <w:marRight w:val="0"/>
      <w:marTop w:val="0"/>
      <w:marBottom w:val="0"/>
      <w:divBdr>
        <w:top w:val="none" w:sz="0" w:space="0" w:color="auto"/>
        <w:left w:val="none" w:sz="0" w:space="0" w:color="auto"/>
        <w:bottom w:val="none" w:sz="0" w:space="0" w:color="auto"/>
        <w:right w:val="none" w:sz="0" w:space="0" w:color="auto"/>
      </w:divBdr>
    </w:div>
    <w:div w:id="1522159237">
      <w:bodyDiv w:val="1"/>
      <w:marLeft w:val="0"/>
      <w:marRight w:val="0"/>
      <w:marTop w:val="0"/>
      <w:marBottom w:val="0"/>
      <w:divBdr>
        <w:top w:val="none" w:sz="0" w:space="0" w:color="auto"/>
        <w:left w:val="none" w:sz="0" w:space="0" w:color="auto"/>
        <w:bottom w:val="none" w:sz="0" w:space="0" w:color="auto"/>
        <w:right w:val="none" w:sz="0" w:space="0" w:color="auto"/>
      </w:divBdr>
    </w:div>
    <w:div w:id="1522209579">
      <w:bodyDiv w:val="1"/>
      <w:marLeft w:val="0"/>
      <w:marRight w:val="0"/>
      <w:marTop w:val="0"/>
      <w:marBottom w:val="0"/>
      <w:divBdr>
        <w:top w:val="none" w:sz="0" w:space="0" w:color="auto"/>
        <w:left w:val="none" w:sz="0" w:space="0" w:color="auto"/>
        <w:bottom w:val="none" w:sz="0" w:space="0" w:color="auto"/>
        <w:right w:val="none" w:sz="0" w:space="0" w:color="auto"/>
      </w:divBdr>
    </w:div>
    <w:div w:id="1522235777">
      <w:bodyDiv w:val="1"/>
      <w:marLeft w:val="0"/>
      <w:marRight w:val="0"/>
      <w:marTop w:val="0"/>
      <w:marBottom w:val="0"/>
      <w:divBdr>
        <w:top w:val="none" w:sz="0" w:space="0" w:color="auto"/>
        <w:left w:val="none" w:sz="0" w:space="0" w:color="auto"/>
        <w:bottom w:val="none" w:sz="0" w:space="0" w:color="auto"/>
        <w:right w:val="none" w:sz="0" w:space="0" w:color="auto"/>
      </w:divBdr>
    </w:div>
    <w:div w:id="1522278862">
      <w:bodyDiv w:val="1"/>
      <w:marLeft w:val="0"/>
      <w:marRight w:val="0"/>
      <w:marTop w:val="0"/>
      <w:marBottom w:val="0"/>
      <w:divBdr>
        <w:top w:val="none" w:sz="0" w:space="0" w:color="auto"/>
        <w:left w:val="none" w:sz="0" w:space="0" w:color="auto"/>
        <w:bottom w:val="none" w:sz="0" w:space="0" w:color="auto"/>
        <w:right w:val="none" w:sz="0" w:space="0" w:color="auto"/>
      </w:divBdr>
    </w:div>
    <w:div w:id="1522544378">
      <w:bodyDiv w:val="1"/>
      <w:marLeft w:val="0"/>
      <w:marRight w:val="0"/>
      <w:marTop w:val="0"/>
      <w:marBottom w:val="0"/>
      <w:divBdr>
        <w:top w:val="none" w:sz="0" w:space="0" w:color="auto"/>
        <w:left w:val="none" w:sz="0" w:space="0" w:color="auto"/>
        <w:bottom w:val="none" w:sz="0" w:space="0" w:color="auto"/>
        <w:right w:val="none" w:sz="0" w:space="0" w:color="auto"/>
      </w:divBdr>
    </w:div>
    <w:div w:id="1522552401">
      <w:bodyDiv w:val="1"/>
      <w:marLeft w:val="0"/>
      <w:marRight w:val="0"/>
      <w:marTop w:val="0"/>
      <w:marBottom w:val="0"/>
      <w:divBdr>
        <w:top w:val="none" w:sz="0" w:space="0" w:color="auto"/>
        <w:left w:val="none" w:sz="0" w:space="0" w:color="auto"/>
        <w:bottom w:val="none" w:sz="0" w:space="0" w:color="auto"/>
        <w:right w:val="none" w:sz="0" w:space="0" w:color="auto"/>
      </w:divBdr>
    </w:div>
    <w:div w:id="1522622562">
      <w:bodyDiv w:val="1"/>
      <w:marLeft w:val="0"/>
      <w:marRight w:val="0"/>
      <w:marTop w:val="0"/>
      <w:marBottom w:val="0"/>
      <w:divBdr>
        <w:top w:val="none" w:sz="0" w:space="0" w:color="auto"/>
        <w:left w:val="none" w:sz="0" w:space="0" w:color="auto"/>
        <w:bottom w:val="none" w:sz="0" w:space="0" w:color="auto"/>
        <w:right w:val="none" w:sz="0" w:space="0" w:color="auto"/>
      </w:divBdr>
    </w:div>
    <w:div w:id="1522739071">
      <w:bodyDiv w:val="1"/>
      <w:marLeft w:val="0"/>
      <w:marRight w:val="0"/>
      <w:marTop w:val="0"/>
      <w:marBottom w:val="0"/>
      <w:divBdr>
        <w:top w:val="none" w:sz="0" w:space="0" w:color="auto"/>
        <w:left w:val="none" w:sz="0" w:space="0" w:color="auto"/>
        <w:bottom w:val="none" w:sz="0" w:space="0" w:color="auto"/>
        <w:right w:val="none" w:sz="0" w:space="0" w:color="auto"/>
      </w:divBdr>
    </w:div>
    <w:div w:id="1522813625">
      <w:bodyDiv w:val="1"/>
      <w:marLeft w:val="0"/>
      <w:marRight w:val="0"/>
      <w:marTop w:val="0"/>
      <w:marBottom w:val="0"/>
      <w:divBdr>
        <w:top w:val="none" w:sz="0" w:space="0" w:color="auto"/>
        <w:left w:val="none" w:sz="0" w:space="0" w:color="auto"/>
        <w:bottom w:val="none" w:sz="0" w:space="0" w:color="auto"/>
        <w:right w:val="none" w:sz="0" w:space="0" w:color="auto"/>
      </w:divBdr>
    </w:div>
    <w:div w:id="1522815210">
      <w:bodyDiv w:val="1"/>
      <w:marLeft w:val="0"/>
      <w:marRight w:val="0"/>
      <w:marTop w:val="0"/>
      <w:marBottom w:val="0"/>
      <w:divBdr>
        <w:top w:val="none" w:sz="0" w:space="0" w:color="auto"/>
        <w:left w:val="none" w:sz="0" w:space="0" w:color="auto"/>
        <w:bottom w:val="none" w:sz="0" w:space="0" w:color="auto"/>
        <w:right w:val="none" w:sz="0" w:space="0" w:color="auto"/>
      </w:divBdr>
    </w:div>
    <w:div w:id="1522816751">
      <w:bodyDiv w:val="1"/>
      <w:marLeft w:val="0"/>
      <w:marRight w:val="0"/>
      <w:marTop w:val="0"/>
      <w:marBottom w:val="0"/>
      <w:divBdr>
        <w:top w:val="none" w:sz="0" w:space="0" w:color="auto"/>
        <w:left w:val="none" w:sz="0" w:space="0" w:color="auto"/>
        <w:bottom w:val="none" w:sz="0" w:space="0" w:color="auto"/>
        <w:right w:val="none" w:sz="0" w:space="0" w:color="auto"/>
      </w:divBdr>
    </w:div>
    <w:div w:id="1522817513">
      <w:bodyDiv w:val="1"/>
      <w:marLeft w:val="0"/>
      <w:marRight w:val="0"/>
      <w:marTop w:val="0"/>
      <w:marBottom w:val="0"/>
      <w:divBdr>
        <w:top w:val="none" w:sz="0" w:space="0" w:color="auto"/>
        <w:left w:val="none" w:sz="0" w:space="0" w:color="auto"/>
        <w:bottom w:val="none" w:sz="0" w:space="0" w:color="auto"/>
        <w:right w:val="none" w:sz="0" w:space="0" w:color="auto"/>
      </w:divBdr>
    </w:div>
    <w:div w:id="1522822010">
      <w:bodyDiv w:val="1"/>
      <w:marLeft w:val="0"/>
      <w:marRight w:val="0"/>
      <w:marTop w:val="0"/>
      <w:marBottom w:val="0"/>
      <w:divBdr>
        <w:top w:val="none" w:sz="0" w:space="0" w:color="auto"/>
        <w:left w:val="none" w:sz="0" w:space="0" w:color="auto"/>
        <w:bottom w:val="none" w:sz="0" w:space="0" w:color="auto"/>
        <w:right w:val="none" w:sz="0" w:space="0" w:color="auto"/>
      </w:divBdr>
    </w:div>
    <w:div w:id="1523056949">
      <w:bodyDiv w:val="1"/>
      <w:marLeft w:val="0"/>
      <w:marRight w:val="0"/>
      <w:marTop w:val="0"/>
      <w:marBottom w:val="0"/>
      <w:divBdr>
        <w:top w:val="none" w:sz="0" w:space="0" w:color="auto"/>
        <w:left w:val="none" w:sz="0" w:space="0" w:color="auto"/>
        <w:bottom w:val="none" w:sz="0" w:space="0" w:color="auto"/>
        <w:right w:val="none" w:sz="0" w:space="0" w:color="auto"/>
      </w:divBdr>
    </w:div>
    <w:div w:id="1523200805">
      <w:bodyDiv w:val="1"/>
      <w:marLeft w:val="0"/>
      <w:marRight w:val="0"/>
      <w:marTop w:val="0"/>
      <w:marBottom w:val="0"/>
      <w:divBdr>
        <w:top w:val="none" w:sz="0" w:space="0" w:color="auto"/>
        <w:left w:val="none" w:sz="0" w:space="0" w:color="auto"/>
        <w:bottom w:val="none" w:sz="0" w:space="0" w:color="auto"/>
        <w:right w:val="none" w:sz="0" w:space="0" w:color="auto"/>
      </w:divBdr>
    </w:div>
    <w:div w:id="1523282361">
      <w:bodyDiv w:val="1"/>
      <w:marLeft w:val="0"/>
      <w:marRight w:val="0"/>
      <w:marTop w:val="0"/>
      <w:marBottom w:val="0"/>
      <w:divBdr>
        <w:top w:val="none" w:sz="0" w:space="0" w:color="auto"/>
        <w:left w:val="none" w:sz="0" w:space="0" w:color="auto"/>
        <w:bottom w:val="none" w:sz="0" w:space="0" w:color="auto"/>
        <w:right w:val="none" w:sz="0" w:space="0" w:color="auto"/>
      </w:divBdr>
    </w:div>
    <w:div w:id="1523592571">
      <w:bodyDiv w:val="1"/>
      <w:marLeft w:val="0"/>
      <w:marRight w:val="0"/>
      <w:marTop w:val="0"/>
      <w:marBottom w:val="0"/>
      <w:divBdr>
        <w:top w:val="none" w:sz="0" w:space="0" w:color="auto"/>
        <w:left w:val="none" w:sz="0" w:space="0" w:color="auto"/>
        <w:bottom w:val="none" w:sz="0" w:space="0" w:color="auto"/>
        <w:right w:val="none" w:sz="0" w:space="0" w:color="auto"/>
      </w:divBdr>
    </w:div>
    <w:div w:id="1523740818">
      <w:bodyDiv w:val="1"/>
      <w:marLeft w:val="0"/>
      <w:marRight w:val="0"/>
      <w:marTop w:val="0"/>
      <w:marBottom w:val="0"/>
      <w:divBdr>
        <w:top w:val="none" w:sz="0" w:space="0" w:color="auto"/>
        <w:left w:val="none" w:sz="0" w:space="0" w:color="auto"/>
        <w:bottom w:val="none" w:sz="0" w:space="0" w:color="auto"/>
        <w:right w:val="none" w:sz="0" w:space="0" w:color="auto"/>
      </w:divBdr>
    </w:div>
    <w:div w:id="1523744098">
      <w:bodyDiv w:val="1"/>
      <w:marLeft w:val="0"/>
      <w:marRight w:val="0"/>
      <w:marTop w:val="0"/>
      <w:marBottom w:val="0"/>
      <w:divBdr>
        <w:top w:val="none" w:sz="0" w:space="0" w:color="auto"/>
        <w:left w:val="none" w:sz="0" w:space="0" w:color="auto"/>
        <w:bottom w:val="none" w:sz="0" w:space="0" w:color="auto"/>
        <w:right w:val="none" w:sz="0" w:space="0" w:color="auto"/>
      </w:divBdr>
    </w:div>
    <w:div w:id="1523931807">
      <w:bodyDiv w:val="1"/>
      <w:marLeft w:val="0"/>
      <w:marRight w:val="0"/>
      <w:marTop w:val="0"/>
      <w:marBottom w:val="0"/>
      <w:divBdr>
        <w:top w:val="none" w:sz="0" w:space="0" w:color="auto"/>
        <w:left w:val="none" w:sz="0" w:space="0" w:color="auto"/>
        <w:bottom w:val="none" w:sz="0" w:space="0" w:color="auto"/>
        <w:right w:val="none" w:sz="0" w:space="0" w:color="auto"/>
      </w:divBdr>
    </w:div>
    <w:div w:id="1523938096">
      <w:bodyDiv w:val="1"/>
      <w:marLeft w:val="0"/>
      <w:marRight w:val="0"/>
      <w:marTop w:val="0"/>
      <w:marBottom w:val="0"/>
      <w:divBdr>
        <w:top w:val="none" w:sz="0" w:space="0" w:color="auto"/>
        <w:left w:val="none" w:sz="0" w:space="0" w:color="auto"/>
        <w:bottom w:val="none" w:sz="0" w:space="0" w:color="auto"/>
        <w:right w:val="none" w:sz="0" w:space="0" w:color="auto"/>
      </w:divBdr>
    </w:div>
    <w:div w:id="1524051591">
      <w:bodyDiv w:val="1"/>
      <w:marLeft w:val="0"/>
      <w:marRight w:val="0"/>
      <w:marTop w:val="0"/>
      <w:marBottom w:val="0"/>
      <w:divBdr>
        <w:top w:val="none" w:sz="0" w:space="0" w:color="auto"/>
        <w:left w:val="none" w:sz="0" w:space="0" w:color="auto"/>
        <w:bottom w:val="none" w:sz="0" w:space="0" w:color="auto"/>
        <w:right w:val="none" w:sz="0" w:space="0" w:color="auto"/>
      </w:divBdr>
    </w:div>
    <w:div w:id="1524130567">
      <w:bodyDiv w:val="1"/>
      <w:marLeft w:val="0"/>
      <w:marRight w:val="0"/>
      <w:marTop w:val="0"/>
      <w:marBottom w:val="0"/>
      <w:divBdr>
        <w:top w:val="none" w:sz="0" w:space="0" w:color="auto"/>
        <w:left w:val="none" w:sz="0" w:space="0" w:color="auto"/>
        <w:bottom w:val="none" w:sz="0" w:space="0" w:color="auto"/>
        <w:right w:val="none" w:sz="0" w:space="0" w:color="auto"/>
      </w:divBdr>
    </w:div>
    <w:div w:id="1524247835">
      <w:bodyDiv w:val="1"/>
      <w:marLeft w:val="0"/>
      <w:marRight w:val="0"/>
      <w:marTop w:val="0"/>
      <w:marBottom w:val="0"/>
      <w:divBdr>
        <w:top w:val="none" w:sz="0" w:space="0" w:color="auto"/>
        <w:left w:val="none" w:sz="0" w:space="0" w:color="auto"/>
        <w:bottom w:val="none" w:sz="0" w:space="0" w:color="auto"/>
        <w:right w:val="none" w:sz="0" w:space="0" w:color="auto"/>
      </w:divBdr>
    </w:div>
    <w:div w:id="1524250613">
      <w:bodyDiv w:val="1"/>
      <w:marLeft w:val="0"/>
      <w:marRight w:val="0"/>
      <w:marTop w:val="0"/>
      <w:marBottom w:val="0"/>
      <w:divBdr>
        <w:top w:val="none" w:sz="0" w:space="0" w:color="auto"/>
        <w:left w:val="none" w:sz="0" w:space="0" w:color="auto"/>
        <w:bottom w:val="none" w:sz="0" w:space="0" w:color="auto"/>
        <w:right w:val="none" w:sz="0" w:space="0" w:color="auto"/>
      </w:divBdr>
    </w:div>
    <w:div w:id="1524322530">
      <w:bodyDiv w:val="1"/>
      <w:marLeft w:val="0"/>
      <w:marRight w:val="0"/>
      <w:marTop w:val="0"/>
      <w:marBottom w:val="0"/>
      <w:divBdr>
        <w:top w:val="none" w:sz="0" w:space="0" w:color="auto"/>
        <w:left w:val="none" w:sz="0" w:space="0" w:color="auto"/>
        <w:bottom w:val="none" w:sz="0" w:space="0" w:color="auto"/>
        <w:right w:val="none" w:sz="0" w:space="0" w:color="auto"/>
      </w:divBdr>
    </w:div>
    <w:div w:id="1524324658">
      <w:bodyDiv w:val="1"/>
      <w:marLeft w:val="0"/>
      <w:marRight w:val="0"/>
      <w:marTop w:val="0"/>
      <w:marBottom w:val="0"/>
      <w:divBdr>
        <w:top w:val="none" w:sz="0" w:space="0" w:color="auto"/>
        <w:left w:val="none" w:sz="0" w:space="0" w:color="auto"/>
        <w:bottom w:val="none" w:sz="0" w:space="0" w:color="auto"/>
        <w:right w:val="none" w:sz="0" w:space="0" w:color="auto"/>
      </w:divBdr>
    </w:div>
    <w:div w:id="1524515701">
      <w:bodyDiv w:val="1"/>
      <w:marLeft w:val="0"/>
      <w:marRight w:val="0"/>
      <w:marTop w:val="0"/>
      <w:marBottom w:val="0"/>
      <w:divBdr>
        <w:top w:val="none" w:sz="0" w:space="0" w:color="auto"/>
        <w:left w:val="none" w:sz="0" w:space="0" w:color="auto"/>
        <w:bottom w:val="none" w:sz="0" w:space="0" w:color="auto"/>
        <w:right w:val="none" w:sz="0" w:space="0" w:color="auto"/>
      </w:divBdr>
    </w:div>
    <w:div w:id="1524519321">
      <w:bodyDiv w:val="1"/>
      <w:marLeft w:val="0"/>
      <w:marRight w:val="0"/>
      <w:marTop w:val="0"/>
      <w:marBottom w:val="0"/>
      <w:divBdr>
        <w:top w:val="none" w:sz="0" w:space="0" w:color="auto"/>
        <w:left w:val="none" w:sz="0" w:space="0" w:color="auto"/>
        <w:bottom w:val="none" w:sz="0" w:space="0" w:color="auto"/>
        <w:right w:val="none" w:sz="0" w:space="0" w:color="auto"/>
      </w:divBdr>
    </w:div>
    <w:div w:id="1524592388">
      <w:bodyDiv w:val="1"/>
      <w:marLeft w:val="0"/>
      <w:marRight w:val="0"/>
      <w:marTop w:val="0"/>
      <w:marBottom w:val="0"/>
      <w:divBdr>
        <w:top w:val="none" w:sz="0" w:space="0" w:color="auto"/>
        <w:left w:val="none" w:sz="0" w:space="0" w:color="auto"/>
        <w:bottom w:val="none" w:sz="0" w:space="0" w:color="auto"/>
        <w:right w:val="none" w:sz="0" w:space="0" w:color="auto"/>
      </w:divBdr>
    </w:div>
    <w:div w:id="1524634368">
      <w:bodyDiv w:val="1"/>
      <w:marLeft w:val="0"/>
      <w:marRight w:val="0"/>
      <w:marTop w:val="0"/>
      <w:marBottom w:val="0"/>
      <w:divBdr>
        <w:top w:val="none" w:sz="0" w:space="0" w:color="auto"/>
        <w:left w:val="none" w:sz="0" w:space="0" w:color="auto"/>
        <w:bottom w:val="none" w:sz="0" w:space="0" w:color="auto"/>
        <w:right w:val="none" w:sz="0" w:space="0" w:color="auto"/>
      </w:divBdr>
    </w:div>
    <w:div w:id="1524635706">
      <w:bodyDiv w:val="1"/>
      <w:marLeft w:val="0"/>
      <w:marRight w:val="0"/>
      <w:marTop w:val="0"/>
      <w:marBottom w:val="0"/>
      <w:divBdr>
        <w:top w:val="none" w:sz="0" w:space="0" w:color="auto"/>
        <w:left w:val="none" w:sz="0" w:space="0" w:color="auto"/>
        <w:bottom w:val="none" w:sz="0" w:space="0" w:color="auto"/>
        <w:right w:val="none" w:sz="0" w:space="0" w:color="auto"/>
      </w:divBdr>
    </w:div>
    <w:div w:id="1524636690">
      <w:bodyDiv w:val="1"/>
      <w:marLeft w:val="0"/>
      <w:marRight w:val="0"/>
      <w:marTop w:val="0"/>
      <w:marBottom w:val="0"/>
      <w:divBdr>
        <w:top w:val="none" w:sz="0" w:space="0" w:color="auto"/>
        <w:left w:val="none" w:sz="0" w:space="0" w:color="auto"/>
        <w:bottom w:val="none" w:sz="0" w:space="0" w:color="auto"/>
        <w:right w:val="none" w:sz="0" w:space="0" w:color="auto"/>
      </w:divBdr>
    </w:div>
    <w:div w:id="1524788006">
      <w:bodyDiv w:val="1"/>
      <w:marLeft w:val="0"/>
      <w:marRight w:val="0"/>
      <w:marTop w:val="0"/>
      <w:marBottom w:val="0"/>
      <w:divBdr>
        <w:top w:val="none" w:sz="0" w:space="0" w:color="auto"/>
        <w:left w:val="none" w:sz="0" w:space="0" w:color="auto"/>
        <w:bottom w:val="none" w:sz="0" w:space="0" w:color="auto"/>
        <w:right w:val="none" w:sz="0" w:space="0" w:color="auto"/>
      </w:divBdr>
    </w:div>
    <w:div w:id="1524858602">
      <w:bodyDiv w:val="1"/>
      <w:marLeft w:val="0"/>
      <w:marRight w:val="0"/>
      <w:marTop w:val="0"/>
      <w:marBottom w:val="0"/>
      <w:divBdr>
        <w:top w:val="none" w:sz="0" w:space="0" w:color="auto"/>
        <w:left w:val="none" w:sz="0" w:space="0" w:color="auto"/>
        <w:bottom w:val="none" w:sz="0" w:space="0" w:color="auto"/>
        <w:right w:val="none" w:sz="0" w:space="0" w:color="auto"/>
      </w:divBdr>
    </w:div>
    <w:div w:id="1525096235">
      <w:bodyDiv w:val="1"/>
      <w:marLeft w:val="0"/>
      <w:marRight w:val="0"/>
      <w:marTop w:val="0"/>
      <w:marBottom w:val="0"/>
      <w:divBdr>
        <w:top w:val="none" w:sz="0" w:space="0" w:color="auto"/>
        <w:left w:val="none" w:sz="0" w:space="0" w:color="auto"/>
        <w:bottom w:val="none" w:sz="0" w:space="0" w:color="auto"/>
        <w:right w:val="none" w:sz="0" w:space="0" w:color="auto"/>
      </w:divBdr>
    </w:div>
    <w:div w:id="1525170476">
      <w:bodyDiv w:val="1"/>
      <w:marLeft w:val="0"/>
      <w:marRight w:val="0"/>
      <w:marTop w:val="0"/>
      <w:marBottom w:val="0"/>
      <w:divBdr>
        <w:top w:val="none" w:sz="0" w:space="0" w:color="auto"/>
        <w:left w:val="none" w:sz="0" w:space="0" w:color="auto"/>
        <w:bottom w:val="none" w:sz="0" w:space="0" w:color="auto"/>
        <w:right w:val="none" w:sz="0" w:space="0" w:color="auto"/>
      </w:divBdr>
    </w:div>
    <w:div w:id="1525247520">
      <w:bodyDiv w:val="1"/>
      <w:marLeft w:val="0"/>
      <w:marRight w:val="0"/>
      <w:marTop w:val="0"/>
      <w:marBottom w:val="0"/>
      <w:divBdr>
        <w:top w:val="none" w:sz="0" w:space="0" w:color="auto"/>
        <w:left w:val="none" w:sz="0" w:space="0" w:color="auto"/>
        <w:bottom w:val="none" w:sz="0" w:space="0" w:color="auto"/>
        <w:right w:val="none" w:sz="0" w:space="0" w:color="auto"/>
      </w:divBdr>
    </w:div>
    <w:div w:id="1525435706">
      <w:bodyDiv w:val="1"/>
      <w:marLeft w:val="0"/>
      <w:marRight w:val="0"/>
      <w:marTop w:val="0"/>
      <w:marBottom w:val="0"/>
      <w:divBdr>
        <w:top w:val="none" w:sz="0" w:space="0" w:color="auto"/>
        <w:left w:val="none" w:sz="0" w:space="0" w:color="auto"/>
        <w:bottom w:val="none" w:sz="0" w:space="0" w:color="auto"/>
        <w:right w:val="none" w:sz="0" w:space="0" w:color="auto"/>
      </w:divBdr>
    </w:div>
    <w:div w:id="1525483481">
      <w:bodyDiv w:val="1"/>
      <w:marLeft w:val="0"/>
      <w:marRight w:val="0"/>
      <w:marTop w:val="0"/>
      <w:marBottom w:val="0"/>
      <w:divBdr>
        <w:top w:val="none" w:sz="0" w:space="0" w:color="auto"/>
        <w:left w:val="none" w:sz="0" w:space="0" w:color="auto"/>
        <w:bottom w:val="none" w:sz="0" w:space="0" w:color="auto"/>
        <w:right w:val="none" w:sz="0" w:space="0" w:color="auto"/>
      </w:divBdr>
    </w:div>
    <w:div w:id="1525485547">
      <w:bodyDiv w:val="1"/>
      <w:marLeft w:val="0"/>
      <w:marRight w:val="0"/>
      <w:marTop w:val="0"/>
      <w:marBottom w:val="0"/>
      <w:divBdr>
        <w:top w:val="none" w:sz="0" w:space="0" w:color="auto"/>
        <w:left w:val="none" w:sz="0" w:space="0" w:color="auto"/>
        <w:bottom w:val="none" w:sz="0" w:space="0" w:color="auto"/>
        <w:right w:val="none" w:sz="0" w:space="0" w:color="auto"/>
      </w:divBdr>
    </w:div>
    <w:div w:id="1525553323">
      <w:bodyDiv w:val="1"/>
      <w:marLeft w:val="0"/>
      <w:marRight w:val="0"/>
      <w:marTop w:val="0"/>
      <w:marBottom w:val="0"/>
      <w:divBdr>
        <w:top w:val="none" w:sz="0" w:space="0" w:color="auto"/>
        <w:left w:val="none" w:sz="0" w:space="0" w:color="auto"/>
        <w:bottom w:val="none" w:sz="0" w:space="0" w:color="auto"/>
        <w:right w:val="none" w:sz="0" w:space="0" w:color="auto"/>
      </w:divBdr>
    </w:div>
    <w:div w:id="1525629247">
      <w:bodyDiv w:val="1"/>
      <w:marLeft w:val="0"/>
      <w:marRight w:val="0"/>
      <w:marTop w:val="0"/>
      <w:marBottom w:val="0"/>
      <w:divBdr>
        <w:top w:val="none" w:sz="0" w:space="0" w:color="auto"/>
        <w:left w:val="none" w:sz="0" w:space="0" w:color="auto"/>
        <w:bottom w:val="none" w:sz="0" w:space="0" w:color="auto"/>
        <w:right w:val="none" w:sz="0" w:space="0" w:color="auto"/>
      </w:divBdr>
    </w:div>
    <w:div w:id="1525706031">
      <w:bodyDiv w:val="1"/>
      <w:marLeft w:val="0"/>
      <w:marRight w:val="0"/>
      <w:marTop w:val="0"/>
      <w:marBottom w:val="0"/>
      <w:divBdr>
        <w:top w:val="none" w:sz="0" w:space="0" w:color="auto"/>
        <w:left w:val="none" w:sz="0" w:space="0" w:color="auto"/>
        <w:bottom w:val="none" w:sz="0" w:space="0" w:color="auto"/>
        <w:right w:val="none" w:sz="0" w:space="0" w:color="auto"/>
      </w:divBdr>
    </w:div>
    <w:div w:id="1525828549">
      <w:bodyDiv w:val="1"/>
      <w:marLeft w:val="0"/>
      <w:marRight w:val="0"/>
      <w:marTop w:val="0"/>
      <w:marBottom w:val="0"/>
      <w:divBdr>
        <w:top w:val="none" w:sz="0" w:space="0" w:color="auto"/>
        <w:left w:val="none" w:sz="0" w:space="0" w:color="auto"/>
        <w:bottom w:val="none" w:sz="0" w:space="0" w:color="auto"/>
        <w:right w:val="none" w:sz="0" w:space="0" w:color="auto"/>
      </w:divBdr>
    </w:div>
    <w:div w:id="1525945247">
      <w:bodyDiv w:val="1"/>
      <w:marLeft w:val="0"/>
      <w:marRight w:val="0"/>
      <w:marTop w:val="0"/>
      <w:marBottom w:val="0"/>
      <w:divBdr>
        <w:top w:val="none" w:sz="0" w:space="0" w:color="auto"/>
        <w:left w:val="none" w:sz="0" w:space="0" w:color="auto"/>
        <w:bottom w:val="none" w:sz="0" w:space="0" w:color="auto"/>
        <w:right w:val="none" w:sz="0" w:space="0" w:color="auto"/>
      </w:divBdr>
    </w:div>
    <w:div w:id="1525972715">
      <w:bodyDiv w:val="1"/>
      <w:marLeft w:val="0"/>
      <w:marRight w:val="0"/>
      <w:marTop w:val="0"/>
      <w:marBottom w:val="0"/>
      <w:divBdr>
        <w:top w:val="none" w:sz="0" w:space="0" w:color="auto"/>
        <w:left w:val="none" w:sz="0" w:space="0" w:color="auto"/>
        <w:bottom w:val="none" w:sz="0" w:space="0" w:color="auto"/>
        <w:right w:val="none" w:sz="0" w:space="0" w:color="auto"/>
      </w:divBdr>
    </w:div>
    <w:div w:id="1526014687">
      <w:bodyDiv w:val="1"/>
      <w:marLeft w:val="0"/>
      <w:marRight w:val="0"/>
      <w:marTop w:val="0"/>
      <w:marBottom w:val="0"/>
      <w:divBdr>
        <w:top w:val="none" w:sz="0" w:space="0" w:color="auto"/>
        <w:left w:val="none" w:sz="0" w:space="0" w:color="auto"/>
        <w:bottom w:val="none" w:sz="0" w:space="0" w:color="auto"/>
        <w:right w:val="none" w:sz="0" w:space="0" w:color="auto"/>
      </w:divBdr>
    </w:div>
    <w:div w:id="1526094182">
      <w:bodyDiv w:val="1"/>
      <w:marLeft w:val="0"/>
      <w:marRight w:val="0"/>
      <w:marTop w:val="0"/>
      <w:marBottom w:val="0"/>
      <w:divBdr>
        <w:top w:val="none" w:sz="0" w:space="0" w:color="auto"/>
        <w:left w:val="none" w:sz="0" w:space="0" w:color="auto"/>
        <w:bottom w:val="none" w:sz="0" w:space="0" w:color="auto"/>
        <w:right w:val="none" w:sz="0" w:space="0" w:color="auto"/>
      </w:divBdr>
    </w:div>
    <w:div w:id="1526166522">
      <w:bodyDiv w:val="1"/>
      <w:marLeft w:val="0"/>
      <w:marRight w:val="0"/>
      <w:marTop w:val="0"/>
      <w:marBottom w:val="0"/>
      <w:divBdr>
        <w:top w:val="none" w:sz="0" w:space="0" w:color="auto"/>
        <w:left w:val="none" w:sz="0" w:space="0" w:color="auto"/>
        <w:bottom w:val="none" w:sz="0" w:space="0" w:color="auto"/>
        <w:right w:val="none" w:sz="0" w:space="0" w:color="auto"/>
      </w:divBdr>
    </w:div>
    <w:div w:id="1526168428">
      <w:bodyDiv w:val="1"/>
      <w:marLeft w:val="0"/>
      <w:marRight w:val="0"/>
      <w:marTop w:val="0"/>
      <w:marBottom w:val="0"/>
      <w:divBdr>
        <w:top w:val="none" w:sz="0" w:space="0" w:color="auto"/>
        <w:left w:val="none" w:sz="0" w:space="0" w:color="auto"/>
        <w:bottom w:val="none" w:sz="0" w:space="0" w:color="auto"/>
        <w:right w:val="none" w:sz="0" w:space="0" w:color="auto"/>
      </w:divBdr>
    </w:div>
    <w:div w:id="1526288844">
      <w:bodyDiv w:val="1"/>
      <w:marLeft w:val="0"/>
      <w:marRight w:val="0"/>
      <w:marTop w:val="0"/>
      <w:marBottom w:val="0"/>
      <w:divBdr>
        <w:top w:val="none" w:sz="0" w:space="0" w:color="auto"/>
        <w:left w:val="none" w:sz="0" w:space="0" w:color="auto"/>
        <w:bottom w:val="none" w:sz="0" w:space="0" w:color="auto"/>
        <w:right w:val="none" w:sz="0" w:space="0" w:color="auto"/>
      </w:divBdr>
    </w:div>
    <w:div w:id="1526360241">
      <w:bodyDiv w:val="1"/>
      <w:marLeft w:val="0"/>
      <w:marRight w:val="0"/>
      <w:marTop w:val="0"/>
      <w:marBottom w:val="0"/>
      <w:divBdr>
        <w:top w:val="none" w:sz="0" w:space="0" w:color="auto"/>
        <w:left w:val="none" w:sz="0" w:space="0" w:color="auto"/>
        <w:bottom w:val="none" w:sz="0" w:space="0" w:color="auto"/>
        <w:right w:val="none" w:sz="0" w:space="0" w:color="auto"/>
      </w:divBdr>
    </w:div>
    <w:div w:id="1526408876">
      <w:bodyDiv w:val="1"/>
      <w:marLeft w:val="0"/>
      <w:marRight w:val="0"/>
      <w:marTop w:val="0"/>
      <w:marBottom w:val="0"/>
      <w:divBdr>
        <w:top w:val="none" w:sz="0" w:space="0" w:color="auto"/>
        <w:left w:val="none" w:sz="0" w:space="0" w:color="auto"/>
        <w:bottom w:val="none" w:sz="0" w:space="0" w:color="auto"/>
        <w:right w:val="none" w:sz="0" w:space="0" w:color="auto"/>
      </w:divBdr>
    </w:div>
    <w:div w:id="1526409133">
      <w:bodyDiv w:val="1"/>
      <w:marLeft w:val="0"/>
      <w:marRight w:val="0"/>
      <w:marTop w:val="0"/>
      <w:marBottom w:val="0"/>
      <w:divBdr>
        <w:top w:val="none" w:sz="0" w:space="0" w:color="auto"/>
        <w:left w:val="none" w:sz="0" w:space="0" w:color="auto"/>
        <w:bottom w:val="none" w:sz="0" w:space="0" w:color="auto"/>
        <w:right w:val="none" w:sz="0" w:space="0" w:color="auto"/>
      </w:divBdr>
    </w:div>
    <w:div w:id="1526409394">
      <w:bodyDiv w:val="1"/>
      <w:marLeft w:val="0"/>
      <w:marRight w:val="0"/>
      <w:marTop w:val="0"/>
      <w:marBottom w:val="0"/>
      <w:divBdr>
        <w:top w:val="none" w:sz="0" w:space="0" w:color="auto"/>
        <w:left w:val="none" w:sz="0" w:space="0" w:color="auto"/>
        <w:bottom w:val="none" w:sz="0" w:space="0" w:color="auto"/>
        <w:right w:val="none" w:sz="0" w:space="0" w:color="auto"/>
      </w:divBdr>
    </w:div>
    <w:div w:id="1526595659">
      <w:bodyDiv w:val="1"/>
      <w:marLeft w:val="0"/>
      <w:marRight w:val="0"/>
      <w:marTop w:val="0"/>
      <w:marBottom w:val="0"/>
      <w:divBdr>
        <w:top w:val="none" w:sz="0" w:space="0" w:color="auto"/>
        <w:left w:val="none" w:sz="0" w:space="0" w:color="auto"/>
        <w:bottom w:val="none" w:sz="0" w:space="0" w:color="auto"/>
        <w:right w:val="none" w:sz="0" w:space="0" w:color="auto"/>
      </w:divBdr>
    </w:div>
    <w:div w:id="1526628134">
      <w:bodyDiv w:val="1"/>
      <w:marLeft w:val="0"/>
      <w:marRight w:val="0"/>
      <w:marTop w:val="0"/>
      <w:marBottom w:val="0"/>
      <w:divBdr>
        <w:top w:val="none" w:sz="0" w:space="0" w:color="auto"/>
        <w:left w:val="none" w:sz="0" w:space="0" w:color="auto"/>
        <w:bottom w:val="none" w:sz="0" w:space="0" w:color="auto"/>
        <w:right w:val="none" w:sz="0" w:space="0" w:color="auto"/>
      </w:divBdr>
    </w:div>
    <w:div w:id="1526670100">
      <w:bodyDiv w:val="1"/>
      <w:marLeft w:val="0"/>
      <w:marRight w:val="0"/>
      <w:marTop w:val="0"/>
      <w:marBottom w:val="0"/>
      <w:divBdr>
        <w:top w:val="none" w:sz="0" w:space="0" w:color="auto"/>
        <w:left w:val="none" w:sz="0" w:space="0" w:color="auto"/>
        <w:bottom w:val="none" w:sz="0" w:space="0" w:color="auto"/>
        <w:right w:val="none" w:sz="0" w:space="0" w:color="auto"/>
      </w:divBdr>
    </w:div>
    <w:div w:id="1526671864">
      <w:bodyDiv w:val="1"/>
      <w:marLeft w:val="0"/>
      <w:marRight w:val="0"/>
      <w:marTop w:val="0"/>
      <w:marBottom w:val="0"/>
      <w:divBdr>
        <w:top w:val="none" w:sz="0" w:space="0" w:color="auto"/>
        <w:left w:val="none" w:sz="0" w:space="0" w:color="auto"/>
        <w:bottom w:val="none" w:sz="0" w:space="0" w:color="auto"/>
        <w:right w:val="none" w:sz="0" w:space="0" w:color="auto"/>
      </w:divBdr>
    </w:div>
    <w:div w:id="1526677331">
      <w:bodyDiv w:val="1"/>
      <w:marLeft w:val="0"/>
      <w:marRight w:val="0"/>
      <w:marTop w:val="0"/>
      <w:marBottom w:val="0"/>
      <w:divBdr>
        <w:top w:val="none" w:sz="0" w:space="0" w:color="auto"/>
        <w:left w:val="none" w:sz="0" w:space="0" w:color="auto"/>
        <w:bottom w:val="none" w:sz="0" w:space="0" w:color="auto"/>
        <w:right w:val="none" w:sz="0" w:space="0" w:color="auto"/>
      </w:divBdr>
    </w:div>
    <w:div w:id="1526792739">
      <w:bodyDiv w:val="1"/>
      <w:marLeft w:val="0"/>
      <w:marRight w:val="0"/>
      <w:marTop w:val="0"/>
      <w:marBottom w:val="0"/>
      <w:divBdr>
        <w:top w:val="none" w:sz="0" w:space="0" w:color="auto"/>
        <w:left w:val="none" w:sz="0" w:space="0" w:color="auto"/>
        <w:bottom w:val="none" w:sz="0" w:space="0" w:color="auto"/>
        <w:right w:val="none" w:sz="0" w:space="0" w:color="auto"/>
      </w:divBdr>
    </w:div>
    <w:div w:id="1526794427">
      <w:bodyDiv w:val="1"/>
      <w:marLeft w:val="0"/>
      <w:marRight w:val="0"/>
      <w:marTop w:val="0"/>
      <w:marBottom w:val="0"/>
      <w:divBdr>
        <w:top w:val="none" w:sz="0" w:space="0" w:color="auto"/>
        <w:left w:val="none" w:sz="0" w:space="0" w:color="auto"/>
        <w:bottom w:val="none" w:sz="0" w:space="0" w:color="auto"/>
        <w:right w:val="none" w:sz="0" w:space="0" w:color="auto"/>
      </w:divBdr>
    </w:div>
    <w:div w:id="1526941181">
      <w:bodyDiv w:val="1"/>
      <w:marLeft w:val="0"/>
      <w:marRight w:val="0"/>
      <w:marTop w:val="0"/>
      <w:marBottom w:val="0"/>
      <w:divBdr>
        <w:top w:val="none" w:sz="0" w:space="0" w:color="auto"/>
        <w:left w:val="none" w:sz="0" w:space="0" w:color="auto"/>
        <w:bottom w:val="none" w:sz="0" w:space="0" w:color="auto"/>
        <w:right w:val="none" w:sz="0" w:space="0" w:color="auto"/>
      </w:divBdr>
    </w:div>
    <w:div w:id="1527057694">
      <w:bodyDiv w:val="1"/>
      <w:marLeft w:val="0"/>
      <w:marRight w:val="0"/>
      <w:marTop w:val="0"/>
      <w:marBottom w:val="0"/>
      <w:divBdr>
        <w:top w:val="none" w:sz="0" w:space="0" w:color="auto"/>
        <w:left w:val="none" w:sz="0" w:space="0" w:color="auto"/>
        <w:bottom w:val="none" w:sz="0" w:space="0" w:color="auto"/>
        <w:right w:val="none" w:sz="0" w:space="0" w:color="auto"/>
      </w:divBdr>
    </w:div>
    <w:div w:id="1527255847">
      <w:bodyDiv w:val="1"/>
      <w:marLeft w:val="0"/>
      <w:marRight w:val="0"/>
      <w:marTop w:val="0"/>
      <w:marBottom w:val="0"/>
      <w:divBdr>
        <w:top w:val="none" w:sz="0" w:space="0" w:color="auto"/>
        <w:left w:val="none" w:sz="0" w:space="0" w:color="auto"/>
        <w:bottom w:val="none" w:sz="0" w:space="0" w:color="auto"/>
        <w:right w:val="none" w:sz="0" w:space="0" w:color="auto"/>
      </w:divBdr>
    </w:div>
    <w:div w:id="1527258459">
      <w:bodyDiv w:val="1"/>
      <w:marLeft w:val="0"/>
      <w:marRight w:val="0"/>
      <w:marTop w:val="0"/>
      <w:marBottom w:val="0"/>
      <w:divBdr>
        <w:top w:val="none" w:sz="0" w:space="0" w:color="auto"/>
        <w:left w:val="none" w:sz="0" w:space="0" w:color="auto"/>
        <w:bottom w:val="none" w:sz="0" w:space="0" w:color="auto"/>
        <w:right w:val="none" w:sz="0" w:space="0" w:color="auto"/>
      </w:divBdr>
    </w:div>
    <w:div w:id="1527403834">
      <w:bodyDiv w:val="1"/>
      <w:marLeft w:val="0"/>
      <w:marRight w:val="0"/>
      <w:marTop w:val="0"/>
      <w:marBottom w:val="0"/>
      <w:divBdr>
        <w:top w:val="none" w:sz="0" w:space="0" w:color="auto"/>
        <w:left w:val="none" w:sz="0" w:space="0" w:color="auto"/>
        <w:bottom w:val="none" w:sz="0" w:space="0" w:color="auto"/>
        <w:right w:val="none" w:sz="0" w:space="0" w:color="auto"/>
      </w:divBdr>
    </w:div>
    <w:div w:id="1527406002">
      <w:bodyDiv w:val="1"/>
      <w:marLeft w:val="0"/>
      <w:marRight w:val="0"/>
      <w:marTop w:val="0"/>
      <w:marBottom w:val="0"/>
      <w:divBdr>
        <w:top w:val="none" w:sz="0" w:space="0" w:color="auto"/>
        <w:left w:val="none" w:sz="0" w:space="0" w:color="auto"/>
        <w:bottom w:val="none" w:sz="0" w:space="0" w:color="auto"/>
        <w:right w:val="none" w:sz="0" w:space="0" w:color="auto"/>
      </w:divBdr>
    </w:div>
    <w:div w:id="1527408356">
      <w:bodyDiv w:val="1"/>
      <w:marLeft w:val="0"/>
      <w:marRight w:val="0"/>
      <w:marTop w:val="0"/>
      <w:marBottom w:val="0"/>
      <w:divBdr>
        <w:top w:val="none" w:sz="0" w:space="0" w:color="auto"/>
        <w:left w:val="none" w:sz="0" w:space="0" w:color="auto"/>
        <w:bottom w:val="none" w:sz="0" w:space="0" w:color="auto"/>
        <w:right w:val="none" w:sz="0" w:space="0" w:color="auto"/>
      </w:divBdr>
    </w:div>
    <w:div w:id="1527409187">
      <w:bodyDiv w:val="1"/>
      <w:marLeft w:val="0"/>
      <w:marRight w:val="0"/>
      <w:marTop w:val="0"/>
      <w:marBottom w:val="0"/>
      <w:divBdr>
        <w:top w:val="none" w:sz="0" w:space="0" w:color="auto"/>
        <w:left w:val="none" w:sz="0" w:space="0" w:color="auto"/>
        <w:bottom w:val="none" w:sz="0" w:space="0" w:color="auto"/>
        <w:right w:val="none" w:sz="0" w:space="0" w:color="auto"/>
      </w:divBdr>
    </w:div>
    <w:div w:id="1527476546">
      <w:bodyDiv w:val="1"/>
      <w:marLeft w:val="0"/>
      <w:marRight w:val="0"/>
      <w:marTop w:val="0"/>
      <w:marBottom w:val="0"/>
      <w:divBdr>
        <w:top w:val="none" w:sz="0" w:space="0" w:color="auto"/>
        <w:left w:val="none" w:sz="0" w:space="0" w:color="auto"/>
        <w:bottom w:val="none" w:sz="0" w:space="0" w:color="auto"/>
        <w:right w:val="none" w:sz="0" w:space="0" w:color="auto"/>
      </w:divBdr>
    </w:div>
    <w:div w:id="1527601530">
      <w:bodyDiv w:val="1"/>
      <w:marLeft w:val="0"/>
      <w:marRight w:val="0"/>
      <w:marTop w:val="0"/>
      <w:marBottom w:val="0"/>
      <w:divBdr>
        <w:top w:val="none" w:sz="0" w:space="0" w:color="auto"/>
        <w:left w:val="none" w:sz="0" w:space="0" w:color="auto"/>
        <w:bottom w:val="none" w:sz="0" w:space="0" w:color="auto"/>
        <w:right w:val="none" w:sz="0" w:space="0" w:color="auto"/>
      </w:divBdr>
    </w:div>
    <w:div w:id="1527671153">
      <w:bodyDiv w:val="1"/>
      <w:marLeft w:val="0"/>
      <w:marRight w:val="0"/>
      <w:marTop w:val="0"/>
      <w:marBottom w:val="0"/>
      <w:divBdr>
        <w:top w:val="none" w:sz="0" w:space="0" w:color="auto"/>
        <w:left w:val="none" w:sz="0" w:space="0" w:color="auto"/>
        <w:bottom w:val="none" w:sz="0" w:space="0" w:color="auto"/>
        <w:right w:val="none" w:sz="0" w:space="0" w:color="auto"/>
      </w:divBdr>
    </w:div>
    <w:div w:id="1527715002">
      <w:bodyDiv w:val="1"/>
      <w:marLeft w:val="0"/>
      <w:marRight w:val="0"/>
      <w:marTop w:val="0"/>
      <w:marBottom w:val="0"/>
      <w:divBdr>
        <w:top w:val="none" w:sz="0" w:space="0" w:color="auto"/>
        <w:left w:val="none" w:sz="0" w:space="0" w:color="auto"/>
        <w:bottom w:val="none" w:sz="0" w:space="0" w:color="auto"/>
        <w:right w:val="none" w:sz="0" w:space="0" w:color="auto"/>
      </w:divBdr>
    </w:div>
    <w:div w:id="1527718932">
      <w:bodyDiv w:val="1"/>
      <w:marLeft w:val="0"/>
      <w:marRight w:val="0"/>
      <w:marTop w:val="0"/>
      <w:marBottom w:val="0"/>
      <w:divBdr>
        <w:top w:val="none" w:sz="0" w:space="0" w:color="auto"/>
        <w:left w:val="none" w:sz="0" w:space="0" w:color="auto"/>
        <w:bottom w:val="none" w:sz="0" w:space="0" w:color="auto"/>
        <w:right w:val="none" w:sz="0" w:space="0" w:color="auto"/>
      </w:divBdr>
    </w:div>
    <w:div w:id="1527862266">
      <w:bodyDiv w:val="1"/>
      <w:marLeft w:val="0"/>
      <w:marRight w:val="0"/>
      <w:marTop w:val="0"/>
      <w:marBottom w:val="0"/>
      <w:divBdr>
        <w:top w:val="none" w:sz="0" w:space="0" w:color="auto"/>
        <w:left w:val="none" w:sz="0" w:space="0" w:color="auto"/>
        <w:bottom w:val="none" w:sz="0" w:space="0" w:color="auto"/>
        <w:right w:val="none" w:sz="0" w:space="0" w:color="auto"/>
      </w:divBdr>
    </w:div>
    <w:div w:id="1527864501">
      <w:bodyDiv w:val="1"/>
      <w:marLeft w:val="0"/>
      <w:marRight w:val="0"/>
      <w:marTop w:val="0"/>
      <w:marBottom w:val="0"/>
      <w:divBdr>
        <w:top w:val="none" w:sz="0" w:space="0" w:color="auto"/>
        <w:left w:val="none" w:sz="0" w:space="0" w:color="auto"/>
        <w:bottom w:val="none" w:sz="0" w:space="0" w:color="auto"/>
        <w:right w:val="none" w:sz="0" w:space="0" w:color="auto"/>
      </w:divBdr>
    </w:div>
    <w:div w:id="1527868204">
      <w:bodyDiv w:val="1"/>
      <w:marLeft w:val="0"/>
      <w:marRight w:val="0"/>
      <w:marTop w:val="0"/>
      <w:marBottom w:val="0"/>
      <w:divBdr>
        <w:top w:val="none" w:sz="0" w:space="0" w:color="auto"/>
        <w:left w:val="none" w:sz="0" w:space="0" w:color="auto"/>
        <w:bottom w:val="none" w:sz="0" w:space="0" w:color="auto"/>
        <w:right w:val="none" w:sz="0" w:space="0" w:color="auto"/>
      </w:divBdr>
    </w:div>
    <w:div w:id="1527913956">
      <w:bodyDiv w:val="1"/>
      <w:marLeft w:val="0"/>
      <w:marRight w:val="0"/>
      <w:marTop w:val="0"/>
      <w:marBottom w:val="0"/>
      <w:divBdr>
        <w:top w:val="none" w:sz="0" w:space="0" w:color="auto"/>
        <w:left w:val="none" w:sz="0" w:space="0" w:color="auto"/>
        <w:bottom w:val="none" w:sz="0" w:space="0" w:color="auto"/>
        <w:right w:val="none" w:sz="0" w:space="0" w:color="auto"/>
      </w:divBdr>
    </w:div>
    <w:div w:id="1528329010">
      <w:bodyDiv w:val="1"/>
      <w:marLeft w:val="0"/>
      <w:marRight w:val="0"/>
      <w:marTop w:val="0"/>
      <w:marBottom w:val="0"/>
      <w:divBdr>
        <w:top w:val="none" w:sz="0" w:space="0" w:color="auto"/>
        <w:left w:val="none" w:sz="0" w:space="0" w:color="auto"/>
        <w:bottom w:val="none" w:sz="0" w:space="0" w:color="auto"/>
        <w:right w:val="none" w:sz="0" w:space="0" w:color="auto"/>
      </w:divBdr>
    </w:div>
    <w:div w:id="1528565633">
      <w:bodyDiv w:val="1"/>
      <w:marLeft w:val="0"/>
      <w:marRight w:val="0"/>
      <w:marTop w:val="0"/>
      <w:marBottom w:val="0"/>
      <w:divBdr>
        <w:top w:val="none" w:sz="0" w:space="0" w:color="auto"/>
        <w:left w:val="none" w:sz="0" w:space="0" w:color="auto"/>
        <w:bottom w:val="none" w:sz="0" w:space="0" w:color="auto"/>
        <w:right w:val="none" w:sz="0" w:space="0" w:color="auto"/>
      </w:divBdr>
    </w:div>
    <w:div w:id="1528904192">
      <w:bodyDiv w:val="1"/>
      <w:marLeft w:val="0"/>
      <w:marRight w:val="0"/>
      <w:marTop w:val="0"/>
      <w:marBottom w:val="0"/>
      <w:divBdr>
        <w:top w:val="none" w:sz="0" w:space="0" w:color="auto"/>
        <w:left w:val="none" w:sz="0" w:space="0" w:color="auto"/>
        <w:bottom w:val="none" w:sz="0" w:space="0" w:color="auto"/>
        <w:right w:val="none" w:sz="0" w:space="0" w:color="auto"/>
      </w:divBdr>
    </w:div>
    <w:div w:id="1529029929">
      <w:bodyDiv w:val="1"/>
      <w:marLeft w:val="0"/>
      <w:marRight w:val="0"/>
      <w:marTop w:val="0"/>
      <w:marBottom w:val="0"/>
      <w:divBdr>
        <w:top w:val="none" w:sz="0" w:space="0" w:color="auto"/>
        <w:left w:val="none" w:sz="0" w:space="0" w:color="auto"/>
        <w:bottom w:val="none" w:sz="0" w:space="0" w:color="auto"/>
        <w:right w:val="none" w:sz="0" w:space="0" w:color="auto"/>
      </w:divBdr>
    </w:div>
    <w:div w:id="1529106291">
      <w:bodyDiv w:val="1"/>
      <w:marLeft w:val="0"/>
      <w:marRight w:val="0"/>
      <w:marTop w:val="0"/>
      <w:marBottom w:val="0"/>
      <w:divBdr>
        <w:top w:val="none" w:sz="0" w:space="0" w:color="auto"/>
        <w:left w:val="none" w:sz="0" w:space="0" w:color="auto"/>
        <w:bottom w:val="none" w:sz="0" w:space="0" w:color="auto"/>
        <w:right w:val="none" w:sz="0" w:space="0" w:color="auto"/>
      </w:divBdr>
    </w:div>
    <w:div w:id="1529174395">
      <w:bodyDiv w:val="1"/>
      <w:marLeft w:val="0"/>
      <w:marRight w:val="0"/>
      <w:marTop w:val="0"/>
      <w:marBottom w:val="0"/>
      <w:divBdr>
        <w:top w:val="none" w:sz="0" w:space="0" w:color="auto"/>
        <w:left w:val="none" w:sz="0" w:space="0" w:color="auto"/>
        <w:bottom w:val="none" w:sz="0" w:space="0" w:color="auto"/>
        <w:right w:val="none" w:sz="0" w:space="0" w:color="auto"/>
      </w:divBdr>
    </w:div>
    <w:div w:id="1529223579">
      <w:bodyDiv w:val="1"/>
      <w:marLeft w:val="0"/>
      <w:marRight w:val="0"/>
      <w:marTop w:val="0"/>
      <w:marBottom w:val="0"/>
      <w:divBdr>
        <w:top w:val="none" w:sz="0" w:space="0" w:color="auto"/>
        <w:left w:val="none" w:sz="0" w:space="0" w:color="auto"/>
        <w:bottom w:val="none" w:sz="0" w:space="0" w:color="auto"/>
        <w:right w:val="none" w:sz="0" w:space="0" w:color="auto"/>
      </w:divBdr>
    </w:div>
    <w:div w:id="1529248166">
      <w:bodyDiv w:val="1"/>
      <w:marLeft w:val="0"/>
      <w:marRight w:val="0"/>
      <w:marTop w:val="0"/>
      <w:marBottom w:val="0"/>
      <w:divBdr>
        <w:top w:val="none" w:sz="0" w:space="0" w:color="auto"/>
        <w:left w:val="none" w:sz="0" w:space="0" w:color="auto"/>
        <w:bottom w:val="none" w:sz="0" w:space="0" w:color="auto"/>
        <w:right w:val="none" w:sz="0" w:space="0" w:color="auto"/>
      </w:divBdr>
    </w:div>
    <w:div w:id="1529370632">
      <w:bodyDiv w:val="1"/>
      <w:marLeft w:val="0"/>
      <w:marRight w:val="0"/>
      <w:marTop w:val="0"/>
      <w:marBottom w:val="0"/>
      <w:divBdr>
        <w:top w:val="none" w:sz="0" w:space="0" w:color="auto"/>
        <w:left w:val="none" w:sz="0" w:space="0" w:color="auto"/>
        <w:bottom w:val="none" w:sz="0" w:space="0" w:color="auto"/>
        <w:right w:val="none" w:sz="0" w:space="0" w:color="auto"/>
      </w:divBdr>
    </w:div>
    <w:div w:id="1529371963">
      <w:bodyDiv w:val="1"/>
      <w:marLeft w:val="0"/>
      <w:marRight w:val="0"/>
      <w:marTop w:val="0"/>
      <w:marBottom w:val="0"/>
      <w:divBdr>
        <w:top w:val="none" w:sz="0" w:space="0" w:color="auto"/>
        <w:left w:val="none" w:sz="0" w:space="0" w:color="auto"/>
        <w:bottom w:val="none" w:sz="0" w:space="0" w:color="auto"/>
        <w:right w:val="none" w:sz="0" w:space="0" w:color="auto"/>
      </w:divBdr>
    </w:div>
    <w:div w:id="1529486818">
      <w:bodyDiv w:val="1"/>
      <w:marLeft w:val="0"/>
      <w:marRight w:val="0"/>
      <w:marTop w:val="0"/>
      <w:marBottom w:val="0"/>
      <w:divBdr>
        <w:top w:val="none" w:sz="0" w:space="0" w:color="auto"/>
        <w:left w:val="none" w:sz="0" w:space="0" w:color="auto"/>
        <w:bottom w:val="none" w:sz="0" w:space="0" w:color="auto"/>
        <w:right w:val="none" w:sz="0" w:space="0" w:color="auto"/>
      </w:divBdr>
    </w:div>
    <w:div w:id="1529564615">
      <w:bodyDiv w:val="1"/>
      <w:marLeft w:val="0"/>
      <w:marRight w:val="0"/>
      <w:marTop w:val="0"/>
      <w:marBottom w:val="0"/>
      <w:divBdr>
        <w:top w:val="none" w:sz="0" w:space="0" w:color="auto"/>
        <w:left w:val="none" w:sz="0" w:space="0" w:color="auto"/>
        <w:bottom w:val="none" w:sz="0" w:space="0" w:color="auto"/>
        <w:right w:val="none" w:sz="0" w:space="0" w:color="auto"/>
      </w:divBdr>
    </w:div>
    <w:div w:id="1529685591">
      <w:bodyDiv w:val="1"/>
      <w:marLeft w:val="0"/>
      <w:marRight w:val="0"/>
      <w:marTop w:val="0"/>
      <w:marBottom w:val="0"/>
      <w:divBdr>
        <w:top w:val="none" w:sz="0" w:space="0" w:color="auto"/>
        <w:left w:val="none" w:sz="0" w:space="0" w:color="auto"/>
        <w:bottom w:val="none" w:sz="0" w:space="0" w:color="auto"/>
        <w:right w:val="none" w:sz="0" w:space="0" w:color="auto"/>
      </w:divBdr>
    </w:div>
    <w:div w:id="1529948455">
      <w:bodyDiv w:val="1"/>
      <w:marLeft w:val="0"/>
      <w:marRight w:val="0"/>
      <w:marTop w:val="0"/>
      <w:marBottom w:val="0"/>
      <w:divBdr>
        <w:top w:val="none" w:sz="0" w:space="0" w:color="auto"/>
        <w:left w:val="none" w:sz="0" w:space="0" w:color="auto"/>
        <w:bottom w:val="none" w:sz="0" w:space="0" w:color="auto"/>
        <w:right w:val="none" w:sz="0" w:space="0" w:color="auto"/>
      </w:divBdr>
    </w:div>
    <w:div w:id="1529952280">
      <w:bodyDiv w:val="1"/>
      <w:marLeft w:val="0"/>
      <w:marRight w:val="0"/>
      <w:marTop w:val="0"/>
      <w:marBottom w:val="0"/>
      <w:divBdr>
        <w:top w:val="none" w:sz="0" w:space="0" w:color="auto"/>
        <w:left w:val="none" w:sz="0" w:space="0" w:color="auto"/>
        <w:bottom w:val="none" w:sz="0" w:space="0" w:color="auto"/>
        <w:right w:val="none" w:sz="0" w:space="0" w:color="auto"/>
      </w:divBdr>
    </w:div>
    <w:div w:id="1530100131">
      <w:bodyDiv w:val="1"/>
      <w:marLeft w:val="0"/>
      <w:marRight w:val="0"/>
      <w:marTop w:val="0"/>
      <w:marBottom w:val="0"/>
      <w:divBdr>
        <w:top w:val="none" w:sz="0" w:space="0" w:color="auto"/>
        <w:left w:val="none" w:sz="0" w:space="0" w:color="auto"/>
        <w:bottom w:val="none" w:sz="0" w:space="0" w:color="auto"/>
        <w:right w:val="none" w:sz="0" w:space="0" w:color="auto"/>
      </w:divBdr>
    </w:div>
    <w:div w:id="1530101481">
      <w:bodyDiv w:val="1"/>
      <w:marLeft w:val="0"/>
      <w:marRight w:val="0"/>
      <w:marTop w:val="0"/>
      <w:marBottom w:val="0"/>
      <w:divBdr>
        <w:top w:val="none" w:sz="0" w:space="0" w:color="auto"/>
        <w:left w:val="none" w:sz="0" w:space="0" w:color="auto"/>
        <w:bottom w:val="none" w:sz="0" w:space="0" w:color="auto"/>
        <w:right w:val="none" w:sz="0" w:space="0" w:color="auto"/>
      </w:divBdr>
    </w:div>
    <w:div w:id="1530218583">
      <w:bodyDiv w:val="1"/>
      <w:marLeft w:val="0"/>
      <w:marRight w:val="0"/>
      <w:marTop w:val="0"/>
      <w:marBottom w:val="0"/>
      <w:divBdr>
        <w:top w:val="none" w:sz="0" w:space="0" w:color="auto"/>
        <w:left w:val="none" w:sz="0" w:space="0" w:color="auto"/>
        <w:bottom w:val="none" w:sz="0" w:space="0" w:color="auto"/>
        <w:right w:val="none" w:sz="0" w:space="0" w:color="auto"/>
      </w:divBdr>
    </w:div>
    <w:div w:id="1530332656">
      <w:bodyDiv w:val="1"/>
      <w:marLeft w:val="0"/>
      <w:marRight w:val="0"/>
      <w:marTop w:val="0"/>
      <w:marBottom w:val="0"/>
      <w:divBdr>
        <w:top w:val="none" w:sz="0" w:space="0" w:color="auto"/>
        <w:left w:val="none" w:sz="0" w:space="0" w:color="auto"/>
        <w:bottom w:val="none" w:sz="0" w:space="0" w:color="auto"/>
        <w:right w:val="none" w:sz="0" w:space="0" w:color="auto"/>
      </w:divBdr>
    </w:div>
    <w:div w:id="1530409230">
      <w:bodyDiv w:val="1"/>
      <w:marLeft w:val="0"/>
      <w:marRight w:val="0"/>
      <w:marTop w:val="0"/>
      <w:marBottom w:val="0"/>
      <w:divBdr>
        <w:top w:val="none" w:sz="0" w:space="0" w:color="auto"/>
        <w:left w:val="none" w:sz="0" w:space="0" w:color="auto"/>
        <w:bottom w:val="none" w:sz="0" w:space="0" w:color="auto"/>
        <w:right w:val="none" w:sz="0" w:space="0" w:color="auto"/>
      </w:divBdr>
    </w:div>
    <w:div w:id="1530602640">
      <w:bodyDiv w:val="1"/>
      <w:marLeft w:val="0"/>
      <w:marRight w:val="0"/>
      <w:marTop w:val="0"/>
      <w:marBottom w:val="0"/>
      <w:divBdr>
        <w:top w:val="none" w:sz="0" w:space="0" w:color="auto"/>
        <w:left w:val="none" w:sz="0" w:space="0" w:color="auto"/>
        <w:bottom w:val="none" w:sz="0" w:space="0" w:color="auto"/>
        <w:right w:val="none" w:sz="0" w:space="0" w:color="auto"/>
      </w:divBdr>
    </w:div>
    <w:div w:id="1530603133">
      <w:bodyDiv w:val="1"/>
      <w:marLeft w:val="0"/>
      <w:marRight w:val="0"/>
      <w:marTop w:val="0"/>
      <w:marBottom w:val="0"/>
      <w:divBdr>
        <w:top w:val="none" w:sz="0" w:space="0" w:color="auto"/>
        <w:left w:val="none" w:sz="0" w:space="0" w:color="auto"/>
        <w:bottom w:val="none" w:sz="0" w:space="0" w:color="auto"/>
        <w:right w:val="none" w:sz="0" w:space="0" w:color="auto"/>
      </w:divBdr>
    </w:div>
    <w:div w:id="1530676972">
      <w:bodyDiv w:val="1"/>
      <w:marLeft w:val="0"/>
      <w:marRight w:val="0"/>
      <w:marTop w:val="0"/>
      <w:marBottom w:val="0"/>
      <w:divBdr>
        <w:top w:val="none" w:sz="0" w:space="0" w:color="auto"/>
        <w:left w:val="none" w:sz="0" w:space="0" w:color="auto"/>
        <w:bottom w:val="none" w:sz="0" w:space="0" w:color="auto"/>
        <w:right w:val="none" w:sz="0" w:space="0" w:color="auto"/>
      </w:divBdr>
    </w:div>
    <w:div w:id="1530678091">
      <w:bodyDiv w:val="1"/>
      <w:marLeft w:val="0"/>
      <w:marRight w:val="0"/>
      <w:marTop w:val="0"/>
      <w:marBottom w:val="0"/>
      <w:divBdr>
        <w:top w:val="none" w:sz="0" w:space="0" w:color="auto"/>
        <w:left w:val="none" w:sz="0" w:space="0" w:color="auto"/>
        <w:bottom w:val="none" w:sz="0" w:space="0" w:color="auto"/>
        <w:right w:val="none" w:sz="0" w:space="0" w:color="auto"/>
      </w:divBdr>
    </w:div>
    <w:div w:id="1530680121">
      <w:bodyDiv w:val="1"/>
      <w:marLeft w:val="0"/>
      <w:marRight w:val="0"/>
      <w:marTop w:val="0"/>
      <w:marBottom w:val="0"/>
      <w:divBdr>
        <w:top w:val="none" w:sz="0" w:space="0" w:color="auto"/>
        <w:left w:val="none" w:sz="0" w:space="0" w:color="auto"/>
        <w:bottom w:val="none" w:sz="0" w:space="0" w:color="auto"/>
        <w:right w:val="none" w:sz="0" w:space="0" w:color="auto"/>
      </w:divBdr>
    </w:div>
    <w:div w:id="1530685605">
      <w:bodyDiv w:val="1"/>
      <w:marLeft w:val="0"/>
      <w:marRight w:val="0"/>
      <w:marTop w:val="0"/>
      <w:marBottom w:val="0"/>
      <w:divBdr>
        <w:top w:val="none" w:sz="0" w:space="0" w:color="auto"/>
        <w:left w:val="none" w:sz="0" w:space="0" w:color="auto"/>
        <w:bottom w:val="none" w:sz="0" w:space="0" w:color="auto"/>
        <w:right w:val="none" w:sz="0" w:space="0" w:color="auto"/>
      </w:divBdr>
    </w:div>
    <w:div w:id="1530796547">
      <w:bodyDiv w:val="1"/>
      <w:marLeft w:val="0"/>
      <w:marRight w:val="0"/>
      <w:marTop w:val="0"/>
      <w:marBottom w:val="0"/>
      <w:divBdr>
        <w:top w:val="none" w:sz="0" w:space="0" w:color="auto"/>
        <w:left w:val="none" w:sz="0" w:space="0" w:color="auto"/>
        <w:bottom w:val="none" w:sz="0" w:space="0" w:color="auto"/>
        <w:right w:val="none" w:sz="0" w:space="0" w:color="auto"/>
      </w:divBdr>
    </w:div>
    <w:div w:id="1531063412">
      <w:bodyDiv w:val="1"/>
      <w:marLeft w:val="0"/>
      <w:marRight w:val="0"/>
      <w:marTop w:val="0"/>
      <w:marBottom w:val="0"/>
      <w:divBdr>
        <w:top w:val="none" w:sz="0" w:space="0" w:color="auto"/>
        <w:left w:val="none" w:sz="0" w:space="0" w:color="auto"/>
        <w:bottom w:val="none" w:sz="0" w:space="0" w:color="auto"/>
        <w:right w:val="none" w:sz="0" w:space="0" w:color="auto"/>
      </w:divBdr>
    </w:div>
    <w:div w:id="1531070112">
      <w:bodyDiv w:val="1"/>
      <w:marLeft w:val="0"/>
      <w:marRight w:val="0"/>
      <w:marTop w:val="0"/>
      <w:marBottom w:val="0"/>
      <w:divBdr>
        <w:top w:val="none" w:sz="0" w:space="0" w:color="auto"/>
        <w:left w:val="none" w:sz="0" w:space="0" w:color="auto"/>
        <w:bottom w:val="none" w:sz="0" w:space="0" w:color="auto"/>
        <w:right w:val="none" w:sz="0" w:space="0" w:color="auto"/>
      </w:divBdr>
    </w:div>
    <w:div w:id="1531262508">
      <w:bodyDiv w:val="1"/>
      <w:marLeft w:val="0"/>
      <w:marRight w:val="0"/>
      <w:marTop w:val="0"/>
      <w:marBottom w:val="0"/>
      <w:divBdr>
        <w:top w:val="none" w:sz="0" w:space="0" w:color="auto"/>
        <w:left w:val="none" w:sz="0" w:space="0" w:color="auto"/>
        <w:bottom w:val="none" w:sz="0" w:space="0" w:color="auto"/>
        <w:right w:val="none" w:sz="0" w:space="0" w:color="auto"/>
      </w:divBdr>
    </w:div>
    <w:div w:id="1531265645">
      <w:bodyDiv w:val="1"/>
      <w:marLeft w:val="0"/>
      <w:marRight w:val="0"/>
      <w:marTop w:val="0"/>
      <w:marBottom w:val="0"/>
      <w:divBdr>
        <w:top w:val="none" w:sz="0" w:space="0" w:color="auto"/>
        <w:left w:val="none" w:sz="0" w:space="0" w:color="auto"/>
        <w:bottom w:val="none" w:sz="0" w:space="0" w:color="auto"/>
        <w:right w:val="none" w:sz="0" w:space="0" w:color="auto"/>
      </w:divBdr>
    </w:div>
    <w:div w:id="1531451977">
      <w:bodyDiv w:val="1"/>
      <w:marLeft w:val="0"/>
      <w:marRight w:val="0"/>
      <w:marTop w:val="0"/>
      <w:marBottom w:val="0"/>
      <w:divBdr>
        <w:top w:val="none" w:sz="0" w:space="0" w:color="auto"/>
        <w:left w:val="none" w:sz="0" w:space="0" w:color="auto"/>
        <w:bottom w:val="none" w:sz="0" w:space="0" w:color="auto"/>
        <w:right w:val="none" w:sz="0" w:space="0" w:color="auto"/>
      </w:divBdr>
    </w:div>
    <w:div w:id="1531794324">
      <w:bodyDiv w:val="1"/>
      <w:marLeft w:val="0"/>
      <w:marRight w:val="0"/>
      <w:marTop w:val="0"/>
      <w:marBottom w:val="0"/>
      <w:divBdr>
        <w:top w:val="none" w:sz="0" w:space="0" w:color="auto"/>
        <w:left w:val="none" w:sz="0" w:space="0" w:color="auto"/>
        <w:bottom w:val="none" w:sz="0" w:space="0" w:color="auto"/>
        <w:right w:val="none" w:sz="0" w:space="0" w:color="auto"/>
      </w:divBdr>
    </w:div>
    <w:div w:id="1531802582">
      <w:bodyDiv w:val="1"/>
      <w:marLeft w:val="0"/>
      <w:marRight w:val="0"/>
      <w:marTop w:val="0"/>
      <w:marBottom w:val="0"/>
      <w:divBdr>
        <w:top w:val="none" w:sz="0" w:space="0" w:color="auto"/>
        <w:left w:val="none" w:sz="0" w:space="0" w:color="auto"/>
        <w:bottom w:val="none" w:sz="0" w:space="0" w:color="auto"/>
        <w:right w:val="none" w:sz="0" w:space="0" w:color="auto"/>
      </w:divBdr>
    </w:div>
    <w:div w:id="1531918928">
      <w:bodyDiv w:val="1"/>
      <w:marLeft w:val="0"/>
      <w:marRight w:val="0"/>
      <w:marTop w:val="0"/>
      <w:marBottom w:val="0"/>
      <w:divBdr>
        <w:top w:val="none" w:sz="0" w:space="0" w:color="auto"/>
        <w:left w:val="none" w:sz="0" w:space="0" w:color="auto"/>
        <w:bottom w:val="none" w:sz="0" w:space="0" w:color="auto"/>
        <w:right w:val="none" w:sz="0" w:space="0" w:color="auto"/>
      </w:divBdr>
    </w:div>
    <w:div w:id="1531919704">
      <w:bodyDiv w:val="1"/>
      <w:marLeft w:val="0"/>
      <w:marRight w:val="0"/>
      <w:marTop w:val="0"/>
      <w:marBottom w:val="0"/>
      <w:divBdr>
        <w:top w:val="none" w:sz="0" w:space="0" w:color="auto"/>
        <w:left w:val="none" w:sz="0" w:space="0" w:color="auto"/>
        <w:bottom w:val="none" w:sz="0" w:space="0" w:color="auto"/>
        <w:right w:val="none" w:sz="0" w:space="0" w:color="auto"/>
      </w:divBdr>
    </w:div>
    <w:div w:id="1531990047">
      <w:bodyDiv w:val="1"/>
      <w:marLeft w:val="0"/>
      <w:marRight w:val="0"/>
      <w:marTop w:val="0"/>
      <w:marBottom w:val="0"/>
      <w:divBdr>
        <w:top w:val="none" w:sz="0" w:space="0" w:color="auto"/>
        <w:left w:val="none" w:sz="0" w:space="0" w:color="auto"/>
        <w:bottom w:val="none" w:sz="0" w:space="0" w:color="auto"/>
        <w:right w:val="none" w:sz="0" w:space="0" w:color="auto"/>
      </w:divBdr>
    </w:div>
    <w:div w:id="1532037380">
      <w:bodyDiv w:val="1"/>
      <w:marLeft w:val="0"/>
      <w:marRight w:val="0"/>
      <w:marTop w:val="0"/>
      <w:marBottom w:val="0"/>
      <w:divBdr>
        <w:top w:val="none" w:sz="0" w:space="0" w:color="auto"/>
        <w:left w:val="none" w:sz="0" w:space="0" w:color="auto"/>
        <w:bottom w:val="none" w:sz="0" w:space="0" w:color="auto"/>
        <w:right w:val="none" w:sz="0" w:space="0" w:color="auto"/>
      </w:divBdr>
    </w:div>
    <w:div w:id="1532062179">
      <w:bodyDiv w:val="1"/>
      <w:marLeft w:val="0"/>
      <w:marRight w:val="0"/>
      <w:marTop w:val="0"/>
      <w:marBottom w:val="0"/>
      <w:divBdr>
        <w:top w:val="none" w:sz="0" w:space="0" w:color="auto"/>
        <w:left w:val="none" w:sz="0" w:space="0" w:color="auto"/>
        <w:bottom w:val="none" w:sz="0" w:space="0" w:color="auto"/>
        <w:right w:val="none" w:sz="0" w:space="0" w:color="auto"/>
      </w:divBdr>
    </w:div>
    <w:div w:id="1532114011">
      <w:bodyDiv w:val="1"/>
      <w:marLeft w:val="0"/>
      <w:marRight w:val="0"/>
      <w:marTop w:val="0"/>
      <w:marBottom w:val="0"/>
      <w:divBdr>
        <w:top w:val="none" w:sz="0" w:space="0" w:color="auto"/>
        <w:left w:val="none" w:sz="0" w:space="0" w:color="auto"/>
        <w:bottom w:val="none" w:sz="0" w:space="0" w:color="auto"/>
        <w:right w:val="none" w:sz="0" w:space="0" w:color="auto"/>
      </w:divBdr>
    </w:div>
    <w:div w:id="1532181324">
      <w:bodyDiv w:val="1"/>
      <w:marLeft w:val="0"/>
      <w:marRight w:val="0"/>
      <w:marTop w:val="0"/>
      <w:marBottom w:val="0"/>
      <w:divBdr>
        <w:top w:val="none" w:sz="0" w:space="0" w:color="auto"/>
        <w:left w:val="none" w:sz="0" w:space="0" w:color="auto"/>
        <w:bottom w:val="none" w:sz="0" w:space="0" w:color="auto"/>
        <w:right w:val="none" w:sz="0" w:space="0" w:color="auto"/>
      </w:divBdr>
    </w:div>
    <w:div w:id="1532183814">
      <w:bodyDiv w:val="1"/>
      <w:marLeft w:val="0"/>
      <w:marRight w:val="0"/>
      <w:marTop w:val="0"/>
      <w:marBottom w:val="0"/>
      <w:divBdr>
        <w:top w:val="none" w:sz="0" w:space="0" w:color="auto"/>
        <w:left w:val="none" w:sz="0" w:space="0" w:color="auto"/>
        <w:bottom w:val="none" w:sz="0" w:space="0" w:color="auto"/>
        <w:right w:val="none" w:sz="0" w:space="0" w:color="auto"/>
      </w:divBdr>
    </w:div>
    <w:div w:id="1532259613">
      <w:bodyDiv w:val="1"/>
      <w:marLeft w:val="0"/>
      <w:marRight w:val="0"/>
      <w:marTop w:val="0"/>
      <w:marBottom w:val="0"/>
      <w:divBdr>
        <w:top w:val="none" w:sz="0" w:space="0" w:color="auto"/>
        <w:left w:val="none" w:sz="0" w:space="0" w:color="auto"/>
        <w:bottom w:val="none" w:sz="0" w:space="0" w:color="auto"/>
        <w:right w:val="none" w:sz="0" w:space="0" w:color="auto"/>
      </w:divBdr>
    </w:div>
    <w:div w:id="1532379608">
      <w:bodyDiv w:val="1"/>
      <w:marLeft w:val="0"/>
      <w:marRight w:val="0"/>
      <w:marTop w:val="0"/>
      <w:marBottom w:val="0"/>
      <w:divBdr>
        <w:top w:val="none" w:sz="0" w:space="0" w:color="auto"/>
        <w:left w:val="none" w:sz="0" w:space="0" w:color="auto"/>
        <w:bottom w:val="none" w:sz="0" w:space="0" w:color="auto"/>
        <w:right w:val="none" w:sz="0" w:space="0" w:color="auto"/>
      </w:divBdr>
    </w:div>
    <w:div w:id="1532449684">
      <w:bodyDiv w:val="1"/>
      <w:marLeft w:val="0"/>
      <w:marRight w:val="0"/>
      <w:marTop w:val="0"/>
      <w:marBottom w:val="0"/>
      <w:divBdr>
        <w:top w:val="none" w:sz="0" w:space="0" w:color="auto"/>
        <w:left w:val="none" w:sz="0" w:space="0" w:color="auto"/>
        <w:bottom w:val="none" w:sz="0" w:space="0" w:color="auto"/>
        <w:right w:val="none" w:sz="0" w:space="0" w:color="auto"/>
      </w:divBdr>
    </w:div>
    <w:div w:id="1532450259">
      <w:bodyDiv w:val="1"/>
      <w:marLeft w:val="0"/>
      <w:marRight w:val="0"/>
      <w:marTop w:val="0"/>
      <w:marBottom w:val="0"/>
      <w:divBdr>
        <w:top w:val="none" w:sz="0" w:space="0" w:color="auto"/>
        <w:left w:val="none" w:sz="0" w:space="0" w:color="auto"/>
        <w:bottom w:val="none" w:sz="0" w:space="0" w:color="auto"/>
        <w:right w:val="none" w:sz="0" w:space="0" w:color="auto"/>
      </w:divBdr>
    </w:div>
    <w:div w:id="1532569571">
      <w:bodyDiv w:val="1"/>
      <w:marLeft w:val="0"/>
      <w:marRight w:val="0"/>
      <w:marTop w:val="0"/>
      <w:marBottom w:val="0"/>
      <w:divBdr>
        <w:top w:val="none" w:sz="0" w:space="0" w:color="auto"/>
        <w:left w:val="none" w:sz="0" w:space="0" w:color="auto"/>
        <w:bottom w:val="none" w:sz="0" w:space="0" w:color="auto"/>
        <w:right w:val="none" w:sz="0" w:space="0" w:color="auto"/>
      </w:divBdr>
    </w:div>
    <w:div w:id="1532958051">
      <w:bodyDiv w:val="1"/>
      <w:marLeft w:val="0"/>
      <w:marRight w:val="0"/>
      <w:marTop w:val="0"/>
      <w:marBottom w:val="0"/>
      <w:divBdr>
        <w:top w:val="none" w:sz="0" w:space="0" w:color="auto"/>
        <w:left w:val="none" w:sz="0" w:space="0" w:color="auto"/>
        <w:bottom w:val="none" w:sz="0" w:space="0" w:color="auto"/>
        <w:right w:val="none" w:sz="0" w:space="0" w:color="auto"/>
      </w:divBdr>
    </w:div>
    <w:div w:id="1533034067">
      <w:bodyDiv w:val="1"/>
      <w:marLeft w:val="0"/>
      <w:marRight w:val="0"/>
      <w:marTop w:val="0"/>
      <w:marBottom w:val="0"/>
      <w:divBdr>
        <w:top w:val="none" w:sz="0" w:space="0" w:color="auto"/>
        <w:left w:val="none" w:sz="0" w:space="0" w:color="auto"/>
        <w:bottom w:val="none" w:sz="0" w:space="0" w:color="auto"/>
        <w:right w:val="none" w:sz="0" w:space="0" w:color="auto"/>
      </w:divBdr>
    </w:div>
    <w:div w:id="1533112562">
      <w:bodyDiv w:val="1"/>
      <w:marLeft w:val="0"/>
      <w:marRight w:val="0"/>
      <w:marTop w:val="0"/>
      <w:marBottom w:val="0"/>
      <w:divBdr>
        <w:top w:val="none" w:sz="0" w:space="0" w:color="auto"/>
        <w:left w:val="none" w:sz="0" w:space="0" w:color="auto"/>
        <w:bottom w:val="none" w:sz="0" w:space="0" w:color="auto"/>
        <w:right w:val="none" w:sz="0" w:space="0" w:color="auto"/>
      </w:divBdr>
    </w:div>
    <w:div w:id="1533149283">
      <w:bodyDiv w:val="1"/>
      <w:marLeft w:val="0"/>
      <w:marRight w:val="0"/>
      <w:marTop w:val="0"/>
      <w:marBottom w:val="0"/>
      <w:divBdr>
        <w:top w:val="none" w:sz="0" w:space="0" w:color="auto"/>
        <w:left w:val="none" w:sz="0" w:space="0" w:color="auto"/>
        <w:bottom w:val="none" w:sz="0" w:space="0" w:color="auto"/>
        <w:right w:val="none" w:sz="0" w:space="0" w:color="auto"/>
      </w:divBdr>
    </w:div>
    <w:div w:id="1533149469">
      <w:bodyDiv w:val="1"/>
      <w:marLeft w:val="0"/>
      <w:marRight w:val="0"/>
      <w:marTop w:val="0"/>
      <w:marBottom w:val="0"/>
      <w:divBdr>
        <w:top w:val="none" w:sz="0" w:space="0" w:color="auto"/>
        <w:left w:val="none" w:sz="0" w:space="0" w:color="auto"/>
        <w:bottom w:val="none" w:sz="0" w:space="0" w:color="auto"/>
        <w:right w:val="none" w:sz="0" w:space="0" w:color="auto"/>
      </w:divBdr>
    </w:div>
    <w:div w:id="1533152884">
      <w:bodyDiv w:val="1"/>
      <w:marLeft w:val="0"/>
      <w:marRight w:val="0"/>
      <w:marTop w:val="0"/>
      <w:marBottom w:val="0"/>
      <w:divBdr>
        <w:top w:val="none" w:sz="0" w:space="0" w:color="auto"/>
        <w:left w:val="none" w:sz="0" w:space="0" w:color="auto"/>
        <w:bottom w:val="none" w:sz="0" w:space="0" w:color="auto"/>
        <w:right w:val="none" w:sz="0" w:space="0" w:color="auto"/>
      </w:divBdr>
    </w:div>
    <w:div w:id="1533181030">
      <w:bodyDiv w:val="1"/>
      <w:marLeft w:val="0"/>
      <w:marRight w:val="0"/>
      <w:marTop w:val="0"/>
      <w:marBottom w:val="0"/>
      <w:divBdr>
        <w:top w:val="none" w:sz="0" w:space="0" w:color="auto"/>
        <w:left w:val="none" w:sz="0" w:space="0" w:color="auto"/>
        <w:bottom w:val="none" w:sz="0" w:space="0" w:color="auto"/>
        <w:right w:val="none" w:sz="0" w:space="0" w:color="auto"/>
      </w:divBdr>
    </w:div>
    <w:div w:id="1533224312">
      <w:bodyDiv w:val="1"/>
      <w:marLeft w:val="0"/>
      <w:marRight w:val="0"/>
      <w:marTop w:val="0"/>
      <w:marBottom w:val="0"/>
      <w:divBdr>
        <w:top w:val="none" w:sz="0" w:space="0" w:color="auto"/>
        <w:left w:val="none" w:sz="0" w:space="0" w:color="auto"/>
        <w:bottom w:val="none" w:sz="0" w:space="0" w:color="auto"/>
        <w:right w:val="none" w:sz="0" w:space="0" w:color="auto"/>
      </w:divBdr>
    </w:div>
    <w:div w:id="1533299948">
      <w:bodyDiv w:val="1"/>
      <w:marLeft w:val="0"/>
      <w:marRight w:val="0"/>
      <w:marTop w:val="0"/>
      <w:marBottom w:val="0"/>
      <w:divBdr>
        <w:top w:val="none" w:sz="0" w:space="0" w:color="auto"/>
        <w:left w:val="none" w:sz="0" w:space="0" w:color="auto"/>
        <w:bottom w:val="none" w:sz="0" w:space="0" w:color="auto"/>
        <w:right w:val="none" w:sz="0" w:space="0" w:color="auto"/>
      </w:divBdr>
    </w:div>
    <w:div w:id="1533493257">
      <w:bodyDiv w:val="1"/>
      <w:marLeft w:val="0"/>
      <w:marRight w:val="0"/>
      <w:marTop w:val="0"/>
      <w:marBottom w:val="0"/>
      <w:divBdr>
        <w:top w:val="none" w:sz="0" w:space="0" w:color="auto"/>
        <w:left w:val="none" w:sz="0" w:space="0" w:color="auto"/>
        <w:bottom w:val="none" w:sz="0" w:space="0" w:color="auto"/>
        <w:right w:val="none" w:sz="0" w:space="0" w:color="auto"/>
      </w:divBdr>
    </w:div>
    <w:div w:id="1533496558">
      <w:bodyDiv w:val="1"/>
      <w:marLeft w:val="0"/>
      <w:marRight w:val="0"/>
      <w:marTop w:val="0"/>
      <w:marBottom w:val="0"/>
      <w:divBdr>
        <w:top w:val="none" w:sz="0" w:space="0" w:color="auto"/>
        <w:left w:val="none" w:sz="0" w:space="0" w:color="auto"/>
        <w:bottom w:val="none" w:sz="0" w:space="0" w:color="auto"/>
        <w:right w:val="none" w:sz="0" w:space="0" w:color="auto"/>
      </w:divBdr>
    </w:div>
    <w:div w:id="1533569745">
      <w:bodyDiv w:val="1"/>
      <w:marLeft w:val="0"/>
      <w:marRight w:val="0"/>
      <w:marTop w:val="0"/>
      <w:marBottom w:val="0"/>
      <w:divBdr>
        <w:top w:val="none" w:sz="0" w:space="0" w:color="auto"/>
        <w:left w:val="none" w:sz="0" w:space="0" w:color="auto"/>
        <w:bottom w:val="none" w:sz="0" w:space="0" w:color="auto"/>
        <w:right w:val="none" w:sz="0" w:space="0" w:color="auto"/>
      </w:divBdr>
    </w:div>
    <w:div w:id="1533611488">
      <w:bodyDiv w:val="1"/>
      <w:marLeft w:val="0"/>
      <w:marRight w:val="0"/>
      <w:marTop w:val="0"/>
      <w:marBottom w:val="0"/>
      <w:divBdr>
        <w:top w:val="none" w:sz="0" w:space="0" w:color="auto"/>
        <w:left w:val="none" w:sz="0" w:space="0" w:color="auto"/>
        <w:bottom w:val="none" w:sz="0" w:space="0" w:color="auto"/>
        <w:right w:val="none" w:sz="0" w:space="0" w:color="auto"/>
      </w:divBdr>
    </w:div>
    <w:div w:id="1533611597">
      <w:bodyDiv w:val="1"/>
      <w:marLeft w:val="0"/>
      <w:marRight w:val="0"/>
      <w:marTop w:val="0"/>
      <w:marBottom w:val="0"/>
      <w:divBdr>
        <w:top w:val="none" w:sz="0" w:space="0" w:color="auto"/>
        <w:left w:val="none" w:sz="0" w:space="0" w:color="auto"/>
        <w:bottom w:val="none" w:sz="0" w:space="0" w:color="auto"/>
        <w:right w:val="none" w:sz="0" w:space="0" w:color="auto"/>
      </w:divBdr>
    </w:div>
    <w:div w:id="1533684632">
      <w:bodyDiv w:val="1"/>
      <w:marLeft w:val="0"/>
      <w:marRight w:val="0"/>
      <w:marTop w:val="0"/>
      <w:marBottom w:val="0"/>
      <w:divBdr>
        <w:top w:val="none" w:sz="0" w:space="0" w:color="auto"/>
        <w:left w:val="none" w:sz="0" w:space="0" w:color="auto"/>
        <w:bottom w:val="none" w:sz="0" w:space="0" w:color="auto"/>
        <w:right w:val="none" w:sz="0" w:space="0" w:color="auto"/>
      </w:divBdr>
    </w:div>
    <w:div w:id="1533688179">
      <w:bodyDiv w:val="1"/>
      <w:marLeft w:val="0"/>
      <w:marRight w:val="0"/>
      <w:marTop w:val="0"/>
      <w:marBottom w:val="0"/>
      <w:divBdr>
        <w:top w:val="none" w:sz="0" w:space="0" w:color="auto"/>
        <w:left w:val="none" w:sz="0" w:space="0" w:color="auto"/>
        <w:bottom w:val="none" w:sz="0" w:space="0" w:color="auto"/>
        <w:right w:val="none" w:sz="0" w:space="0" w:color="auto"/>
      </w:divBdr>
    </w:div>
    <w:div w:id="1533692299">
      <w:bodyDiv w:val="1"/>
      <w:marLeft w:val="0"/>
      <w:marRight w:val="0"/>
      <w:marTop w:val="0"/>
      <w:marBottom w:val="0"/>
      <w:divBdr>
        <w:top w:val="none" w:sz="0" w:space="0" w:color="auto"/>
        <w:left w:val="none" w:sz="0" w:space="0" w:color="auto"/>
        <w:bottom w:val="none" w:sz="0" w:space="0" w:color="auto"/>
        <w:right w:val="none" w:sz="0" w:space="0" w:color="auto"/>
      </w:divBdr>
    </w:div>
    <w:div w:id="1533807578">
      <w:bodyDiv w:val="1"/>
      <w:marLeft w:val="0"/>
      <w:marRight w:val="0"/>
      <w:marTop w:val="0"/>
      <w:marBottom w:val="0"/>
      <w:divBdr>
        <w:top w:val="none" w:sz="0" w:space="0" w:color="auto"/>
        <w:left w:val="none" w:sz="0" w:space="0" w:color="auto"/>
        <w:bottom w:val="none" w:sz="0" w:space="0" w:color="auto"/>
        <w:right w:val="none" w:sz="0" w:space="0" w:color="auto"/>
      </w:divBdr>
    </w:div>
    <w:div w:id="1533877367">
      <w:bodyDiv w:val="1"/>
      <w:marLeft w:val="0"/>
      <w:marRight w:val="0"/>
      <w:marTop w:val="0"/>
      <w:marBottom w:val="0"/>
      <w:divBdr>
        <w:top w:val="none" w:sz="0" w:space="0" w:color="auto"/>
        <w:left w:val="none" w:sz="0" w:space="0" w:color="auto"/>
        <w:bottom w:val="none" w:sz="0" w:space="0" w:color="auto"/>
        <w:right w:val="none" w:sz="0" w:space="0" w:color="auto"/>
      </w:divBdr>
    </w:div>
    <w:div w:id="1533880374">
      <w:bodyDiv w:val="1"/>
      <w:marLeft w:val="0"/>
      <w:marRight w:val="0"/>
      <w:marTop w:val="0"/>
      <w:marBottom w:val="0"/>
      <w:divBdr>
        <w:top w:val="none" w:sz="0" w:space="0" w:color="auto"/>
        <w:left w:val="none" w:sz="0" w:space="0" w:color="auto"/>
        <w:bottom w:val="none" w:sz="0" w:space="0" w:color="auto"/>
        <w:right w:val="none" w:sz="0" w:space="0" w:color="auto"/>
      </w:divBdr>
    </w:div>
    <w:div w:id="1534031622">
      <w:bodyDiv w:val="1"/>
      <w:marLeft w:val="0"/>
      <w:marRight w:val="0"/>
      <w:marTop w:val="0"/>
      <w:marBottom w:val="0"/>
      <w:divBdr>
        <w:top w:val="none" w:sz="0" w:space="0" w:color="auto"/>
        <w:left w:val="none" w:sz="0" w:space="0" w:color="auto"/>
        <w:bottom w:val="none" w:sz="0" w:space="0" w:color="auto"/>
        <w:right w:val="none" w:sz="0" w:space="0" w:color="auto"/>
      </w:divBdr>
    </w:div>
    <w:div w:id="1534147013">
      <w:bodyDiv w:val="1"/>
      <w:marLeft w:val="0"/>
      <w:marRight w:val="0"/>
      <w:marTop w:val="0"/>
      <w:marBottom w:val="0"/>
      <w:divBdr>
        <w:top w:val="none" w:sz="0" w:space="0" w:color="auto"/>
        <w:left w:val="none" w:sz="0" w:space="0" w:color="auto"/>
        <w:bottom w:val="none" w:sz="0" w:space="0" w:color="auto"/>
        <w:right w:val="none" w:sz="0" w:space="0" w:color="auto"/>
      </w:divBdr>
    </w:div>
    <w:div w:id="1534226330">
      <w:bodyDiv w:val="1"/>
      <w:marLeft w:val="0"/>
      <w:marRight w:val="0"/>
      <w:marTop w:val="0"/>
      <w:marBottom w:val="0"/>
      <w:divBdr>
        <w:top w:val="none" w:sz="0" w:space="0" w:color="auto"/>
        <w:left w:val="none" w:sz="0" w:space="0" w:color="auto"/>
        <w:bottom w:val="none" w:sz="0" w:space="0" w:color="auto"/>
        <w:right w:val="none" w:sz="0" w:space="0" w:color="auto"/>
      </w:divBdr>
    </w:div>
    <w:div w:id="1534268075">
      <w:bodyDiv w:val="1"/>
      <w:marLeft w:val="0"/>
      <w:marRight w:val="0"/>
      <w:marTop w:val="0"/>
      <w:marBottom w:val="0"/>
      <w:divBdr>
        <w:top w:val="none" w:sz="0" w:space="0" w:color="auto"/>
        <w:left w:val="none" w:sz="0" w:space="0" w:color="auto"/>
        <w:bottom w:val="none" w:sz="0" w:space="0" w:color="auto"/>
        <w:right w:val="none" w:sz="0" w:space="0" w:color="auto"/>
      </w:divBdr>
    </w:div>
    <w:div w:id="1534343643">
      <w:bodyDiv w:val="1"/>
      <w:marLeft w:val="0"/>
      <w:marRight w:val="0"/>
      <w:marTop w:val="0"/>
      <w:marBottom w:val="0"/>
      <w:divBdr>
        <w:top w:val="none" w:sz="0" w:space="0" w:color="auto"/>
        <w:left w:val="none" w:sz="0" w:space="0" w:color="auto"/>
        <w:bottom w:val="none" w:sz="0" w:space="0" w:color="auto"/>
        <w:right w:val="none" w:sz="0" w:space="0" w:color="auto"/>
      </w:divBdr>
    </w:div>
    <w:div w:id="1534344702">
      <w:bodyDiv w:val="1"/>
      <w:marLeft w:val="0"/>
      <w:marRight w:val="0"/>
      <w:marTop w:val="0"/>
      <w:marBottom w:val="0"/>
      <w:divBdr>
        <w:top w:val="none" w:sz="0" w:space="0" w:color="auto"/>
        <w:left w:val="none" w:sz="0" w:space="0" w:color="auto"/>
        <w:bottom w:val="none" w:sz="0" w:space="0" w:color="auto"/>
        <w:right w:val="none" w:sz="0" w:space="0" w:color="auto"/>
      </w:divBdr>
    </w:div>
    <w:div w:id="1534415217">
      <w:bodyDiv w:val="1"/>
      <w:marLeft w:val="0"/>
      <w:marRight w:val="0"/>
      <w:marTop w:val="0"/>
      <w:marBottom w:val="0"/>
      <w:divBdr>
        <w:top w:val="none" w:sz="0" w:space="0" w:color="auto"/>
        <w:left w:val="none" w:sz="0" w:space="0" w:color="auto"/>
        <w:bottom w:val="none" w:sz="0" w:space="0" w:color="auto"/>
        <w:right w:val="none" w:sz="0" w:space="0" w:color="auto"/>
      </w:divBdr>
    </w:div>
    <w:div w:id="1534417869">
      <w:bodyDiv w:val="1"/>
      <w:marLeft w:val="0"/>
      <w:marRight w:val="0"/>
      <w:marTop w:val="0"/>
      <w:marBottom w:val="0"/>
      <w:divBdr>
        <w:top w:val="none" w:sz="0" w:space="0" w:color="auto"/>
        <w:left w:val="none" w:sz="0" w:space="0" w:color="auto"/>
        <w:bottom w:val="none" w:sz="0" w:space="0" w:color="auto"/>
        <w:right w:val="none" w:sz="0" w:space="0" w:color="auto"/>
      </w:divBdr>
    </w:div>
    <w:div w:id="1534418711">
      <w:bodyDiv w:val="1"/>
      <w:marLeft w:val="0"/>
      <w:marRight w:val="0"/>
      <w:marTop w:val="0"/>
      <w:marBottom w:val="0"/>
      <w:divBdr>
        <w:top w:val="none" w:sz="0" w:space="0" w:color="auto"/>
        <w:left w:val="none" w:sz="0" w:space="0" w:color="auto"/>
        <w:bottom w:val="none" w:sz="0" w:space="0" w:color="auto"/>
        <w:right w:val="none" w:sz="0" w:space="0" w:color="auto"/>
      </w:divBdr>
    </w:div>
    <w:div w:id="1534423283">
      <w:bodyDiv w:val="1"/>
      <w:marLeft w:val="0"/>
      <w:marRight w:val="0"/>
      <w:marTop w:val="0"/>
      <w:marBottom w:val="0"/>
      <w:divBdr>
        <w:top w:val="none" w:sz="0" w:space="0" w:color="auto"/>
        <w:left w:val="none" w:sz="0" w:space="0" w:color="auto"/>
        <w:bottom w:val="none" w:sz="0" w:space="0" w:color="auto"/>
        <w:right w:val="none" w:sz="0" w:space="0" w:color="auto"/>
      </w:divBdr>
    </w:div>
    <w:div w:id="1534460205">
      <w:bodyDiv w:val="1"/>
      <w:marLeft w:val="0"/>
      <w:marRight w:val="0"/>
      <w:marTop w:val="0"/>
      <w:marBottom w:val="0"/>
      <w:divBdr>
        <w:top w:val="none" w:sz="0" w:space="0" w:color="auto"/>
        <w:left w:val="none" w:sz="0" w:space="0" w:color="auto"/>
        <w:bottom w:val="none" w:sz="0" w:space="0" w:color="auto"/>
        <w:right w:val="none" w:sz="0" w:space="0" w:color="auto"/>
      </w:divBdr>
    </w:div>
    <w:div w:id="1534460530">
      <w:bodyDiv w:val="1"/>
      <w:marLeft w:val="0"/>
      <w:marRight w:val="0"/>
      <w:marTop w:val="0"/>
      <w:marBottom w:val="0"/>
      <w:divBdr>
        <w:top w:val="none" w:sz="0" w:space="0" w:color="auto"/>
        <w:left w:val="none" w:sz="0" w:space="0" w:color="auto"/>
        <w:bottom w:val="none" w:sz="0" w:space="0" w:color="auto"/>
        <w:right w:val="none" w:sz="0" w:space="0" w:color="auto"/>
      </w:divBdr>
    </w:div>
    <w:div w:id="1534533693">
      <w:bodyDiv w:val="1"/>
      <w:marLeft w:val="0"/>
      <w:marRight w:val="0"/>
      <w:marTop w:val="0"/>
      <w:marBottom w:val="0"/>
      <w:divBdr>
        <w:top w:val="none" w:sz="0" w:space="0" w:color="auto"/>
        <w:left w:val="none" w:sz="0" w:space="0" w:color="auto"/>
        <w:bottom w:val="none" w:sz="0" w:space="0" w:color="auto"/>
        <w:right w:val="none" w:sz="0" w:space="0" w:color="auto"/>
      </w:divBdr>
    </w:div>
    <w:div w:id="1534540136">
      <w:bodyDiv w:val="1"/>
      <w:marLeft w:val="0"/>
      <w:marRight w:val="0"/>
      <w:marTop w:val="0"/>
      <w:marBottom w:val="0"/>
      <w:divBdr>
        <w:top w:val="none" w:sz="0" w:space="0" w:color="auto"/>
        <w:left w:val="none" w:sz="0" w:space="0" w:color="auto"/>
        <w:bottom w:val="none" w:sz="0" w:space="0" w:color="auto"/>
        <w:right w:val="none" w:sz="0" w:space="0" w:color="auto"/>
      </w:divBdr>
    </w:div>
    <w:div w:id="1534802651">
      <w:bodyDiv w:val="1"/>
      <w:marLeft w:val="0"/>
      <w:marRight w:val="0"/>
      <w:marTop w:val="0"/>
      <w:marBottom w:val="0"/>
      <w:divBdr>
        <w:top w:val="none" w:sz="0" w:space="0" w:color="auto"/>
        <w:left w:val="none" w:sz="0" w:space="0" w:color="auto"/>
        <w:bottom w:val="none" w:sz="0" w:space="0" w:color="auto"/>
        <w:right w:val="none" w:sz="0" w:space="0" w:color="auto"/>
      </w:divBdr>
    </w:div>
    <w:div w:id="1534921331">
      <w:bodyDiv w:val="1"/>
      <w:marLeft w:val="0"/>
      <w:marRight w:val="0"/>
      <w:marTop w:val="0"/>
      <w:marBottom w:val="0"/>
      <w:divBdr>
        <w:top w:val="none" w:sz="0" w:space="0" w:color="auto"/>
        <w:left w:val="none" w:sz="0" w:space="0" w:color="auto"/>
        <w:bottom w:val="none" w:sz="0" w:space="0" w:color="auto"/>
        <w:right w:val="none" w:sz="0" w:space="0" w:color="auto"/>
      </w:divBdr>
    </w:div>
    <w:div w:id="1534999767">
      <w:bodyDiv w:val="1"/>
      <w:marLeft w:val="0"/>
      <w:marRight w:val="0"/>
      <w:marTop w:val="0"/>
      <w:marBottom w:val="0"/>
      <w:divBdr>
        <w:top w:val="none" w:sz="0" w:space="0" w:color="auto"/>
        <w:left w:val="none" w:sz="0" w:space="0" w:color="auto"/>
        <w:bottom w:val="none" w:sz="0" w:space="0" w:color="auto"/>
        <w:right w:val="none" w:sz="0" w:space="0" w:color="auto"/>
      </w:divBdr>
    </w:div>
    <w:div w:id="1535071795">
      <w:bodyDiv w:val="1"/>
      <w:marLeft w:val="0"/>
      <w:marRight w:val="0"/>
      <w:marTop w:val="0"/>
      <w:marBottom w:val="0"/>
      <w:divBdr>
        <w:top w:val="none" w:sz="0" w:space="0" w:color="auto"/>
        <w:left w:val="none" w:sz="0" w:space="0" w:color="auto"/>
        <w:bottom w:val="none" w:sz="0" w:space="0" w:color="auto"/>
        <w:right w:val="none" w:sz="0" w:space="0" w:color="auto"/>
      </w:divBdr>
    </w:div>
    <w:div w:id="1535145097">
      <w:bodyDiv w:val="1"/>
      <w:marLeft w:val="0"/>
      <w:marRight w:val="0"/>
      <w:marTop w:val="0"/>
      <w:marBottom w:val="0"/>
      <w:divBdr>
        <w:top w:val="none" w:sz="0" w:space="0" w:color="auto"/>
        <w:left w:val="none" w:sz="0" w:space="0" w:color="auto"/>
        <w:bottom w:val="none" w:sz="0" w:space="0" w:color="auto"/>
        <w:right w:val="none" w:sz="0" w:space="0" w:color="auto"/>
      </w:divBdr>
    </w:div>
    <w:div w:id="1535187682">
      <w:bodyDiv w:val="1"/>
      <w:marLeft w:val="0"/>
      <w:marRight w:val="0"/>
      <w:marTop w:val="0"/>
      <w:marBottom w:val="0"/>
      <w:divBdr>
        <w:top w:val="none" w:sz="0" w:space="0" w:color="auto"/>
        <w:left w:val="none" w:sz="0" w:space="0" w:color="auto"/>
        <w:bottom w:val="none" w:sz="0" w:space="0" w:color="auto"/>
        <w:right w:val="none" w:sz="0" w:space="0" w:color="auto"/>
      </w:divBdr>
    </w:div>
    <w:div w:id="1535190521">
      <w:bodyDiv w:val="1"/>
      <w:marLeft w:val="0"/>
      <w:marRight w:val="0"/>
      <w:marTop w:val="0"/>
      <w:marBottom w:val="0"/>
      <w:divBdr>
        <w:top w:val="none" w:sz="0" w:space="0" w:color="auto"/>
        <w:left w:val="none" w:sz="0" w:space="0" w:color="auto"/>
        <w:bottom w:val="none" w:sz="0" w:space="0" w:color="auto"/>
        <w:right w:val="none" w:sz="0" w:space="0" w:color="auto"/>
      </w:divBdr>
    </w:div>
    <w:div w:id="1535193370">
      <w:bodyDiv w:val="1"/>
      <w:marLeft w:val="0"/>
      <w:marRight w:val="0"/>
      <w:marTop w:val="0"/>
      <w:marBottom w:val="0"/>
      <w:divBdr>
        <w:top w:val="none" w:sz="0" w:space="0" w:color="auto"/>
        <w:left w:val="none" w:sz="0" w:space="0" w:color="auto"/>
        <w:bottom w:val="none" w:sz="0" w:space="0" w:color="auto"/>
        <w:right w:val="none" w:sz="0" w:space="0" w:color="auto"/>
      </w:divBdr>
    </w:div>
    <w:div w:id="1535196031">
      <w:bodyDiv w:val="1"/>
      <w:marLeft w:val="0"/>
      <w:marRight w:val="0"/>
      <w:marTop w:val="0"/>
      <w:marBottom w:val="0"/>
      <w:divBdr>
        <w:top w:val="none" w:sz="0" w:space="0" w:color="auto"/>
        <w:left w:val="none" w:sz="0" w:space="0" w:color="auto"/>
        <w:bottom w:val="none" w:sz="0" w:space="0" w:color="auto"/>
        <w:right w:val="none" w:sz="0" w:space="0" w:color="auto"/>
      </w:divBdr>
    </w:div>
    <w:div w:id="1535313205">
      <w:bodyDiv w:val="1"/>
      <w:marLeft w:val="0"/>
      <w:marRight w:val="0"/>
      <w:marTop w:val="0"/>
      <w:marBottom w:val="0"/>
      <w:divBdr>
        <w:top w:val="none" w:sz="0" w:space="0" w:color="auto"/>
        <w:left w:val="none" w:sz="0" w:space="0" w:color="auto"/>
        <w:bottom w:val="none" w:sz="0" w:space="0" w:color="auto"/>
        <w:right w:val="none" w:sz="0" w:space="0" w:color="auto"/>
      </w:divBdr>
    </w:div>
    <w:div w:id="1535381968">
      <w:bodyDiv w:val="1"/>
      <w:marLeft w:val="0"/>
      <w:marRight w:val="0"/>
      <w:marTop w:val="0"/>
      <w:marBottom w:val="0"/>
      <w:divBdr>
        <w:top w:val="none" w:sz="0" w:space="0" w:color="auto"/>
        <w:left w:val="none" w:sz="0" w:space="0" w:color="auto"/>
        <w:bottom w:val="none" w:sz="0" w:space="0" w:color="auto"/>
        <w:right w:val="none" w:sz="0" w:space="0" w:color="auto"/>
      </w:divBdr>
    </w:div>
    <w:div w:id="1535385389">
      <w:bodyDiv w:val="1"/>
      <w:marLeft w:val="0"/>
      <w:marRight w:val="0"/>
      <w:marTop w:val="0"/>
      <w:marBottom w:val="0"/>
      <w:divBdr>
        <w:top w:val="none" w:sz="0" w:space="0" w:color="auto"/>
        <w:left w:val="none" w:sz="0" w:space="0" w:color="auto"/>
        <w:bottom w:val="none" w:sz="0" w:space="0" w:color="auto"/>
        <w:right w:val="none" w:sz="0" w:space="0" w:color="auto"/>
      </w:divBdr>
    </w:div>
    <w:div w:id="1535458845">
      <w:bodyDiv w:val="1"/>
      <w:marLeft w:val="0"/>
      <w:marRight w:val="0"/>
      <w:marTop w:val="0"/>
      <w:marBottom w:val="0"/>
      <w:divBdr>
        <w:top w:val="none" w:sz="0" w:space="0" w:color="auto"/>
        <w:left w:val="none" w:sz="0" w:space="0" w:color="auto"/>
        <w:bottom w:val="none" w:sz="0" w:space="0" w:color="auto"/>
        <w:right w:val="none" w:sz="0" w:space="0" w:color="auto"/>
      </w:divBdr>
    </w:div>
    <w:div w:id="1535575511">
      <w:bodyDiv w:val="1"/>
      <w:marLeft w:val="0"/>
      <w:marRight w:val="0"/>
      <w:marTop w:val="0"/>
      <w:marBottom w:val="0"/>
      <w:divBdr>
        <w:top w:val="none" w:sz="0" w:space="0" w:color="auto"/>
        <w:left w:val="none" w:sz="0" w:space="0" w:color="auto"/>
        <w:bottom w:val="none" w:sz="0" w:space="0" w:color="auto"/>
        <w:right w:val="none" w:sz="0" w:space="0" w:color="auto"/>
      </w:divBdr>
    </w:div>
    <w:div w:id="1535579900">
      <w:bodyDiv w:val="1"/>
      <w:marLeft w:val="0"/>
      <w:marRight w:val="0"/>
      <w:marTop w:val="0"/>
      <w:marBottom w:val="0"/>
      <w:divBdr>
        <w:top w:val="none" w:sz="0" w:space="0" w:color="auto"/>
        <w:left w:val="none" w:sz="0" w:space="0" w:color="auto"/>
        <w:bottom w:val="none" w:sz="0" w:space="0" w:color="auto"/>
        <w:right w:val="none" w:sz="0" w:space="0" w:color="auto"/>
      </w:divBdr>
    </w:div>
    <w:div w:id="1535651701">
      <w:bodyDiv w:val="1"/>
      <w:marLeft w:val="0"/>
      <w:marRight w:val="0"/>
      <w:marTop w:val="0"/>
      <w:marBottom w:val="0"/>
      <w:divBdr>
        <w:top w:val="none" w:sz="0" w:space="0" w:color="auto"/>
        <w:left w:val="none" w:sz="0" w:space="0" w:color="auto"/>
        <w:bottom w:val="none" w:sz="0" w:space="0" w:color="auto"/>
        <w:right w:val="none" w:sz="0" w:space="0" w:color="auto"/>
      </w:divBdr>
    </w:div>
    <w:div w:id="1535655568">
      <w:bodyDiv w:val="1"/>
      <w:marLeft w:val="0"/>
      <w:marRight w:val="0"/>
      <w:marTop w:val="0"/>
      <w:marBottom w:val="0"/>
      <w:divBdr>
        <w:top w:val="none" w:sz="0" w:space="0" w:color="auto"/>
        <w:left w:val="none" w:sz="0" w:space="0" w:color="auto"/>
        <w:bottom w:val="none" w:sz="0" w:space="0" w:color="auto"/>
        <w:right w:val="none" w:sz="0" w:space="0" w:color="auto"/>
      </w:divBdr>
    </w:div>
    <w:div w:id="1535801869">
      <w:bodyDiv w:val="1"/>
      <w:marLeft w:val="0"/>
      <w:marRight w:val="0"/>
      <w:marTop w:val="0"/>
      <w:marBottom w:val="0"/>
      <w:divBdr>
        <w:top w:val="none" w:sz="0" w:space="0" w:color="auto"/>
        <w:left w:val="none" w:sz="0" w:space="0" w:color="auto"/>
        <w:bottom w:val="none" w:sz="0" w:space="0" w:color="auto"/>
        <w:right w:val="none" w:sz="0" w:space="0" w:color="auto"/>
      </w:divBdr>
    </w:div>
    <w:div w:id="1535802294">
      <w:bodyDiv w:val="1"/>
      <w:marLeft w:val="0"/>
      <w:marRight w:val="0"/>
      <w:marTop w:val="0"/>
      <w:marBottom w:val="0"/>
      <w:divBdr>
        <w:top w:val="none" w:sz="0" w:space="0" w:color="auto"/>
        <w:left w:val="none" w:sz="0" w:space="0" w:color="auto"/>
        <w:bottom w:val="none" w:sz="0" w:space="0" w:color="auto"/>
        <w:right w:val="none" w:sz="0" w:space="0" w:color="auto"/>
      </w:divBdr>
    </w:div>
    <w:div w:id="1535921090">
      <w:bodyDiv w:val="1"/>
      <w:marLeft w:val="0"/>
      <w:marRight w:val="0"/>
      <w:marTop w:val="0"/>
      <w:marBottom w:val="0"/>
      <w:divBdr>
        <w:top w:val="none" w:sz="0" w:space="0" w:color="auto"/>
        <w:left w:val="none" w:sz="0" w:space="0" w:color="auto"/>
        <w:bottom w:val="none" w:sz="0" w:space="0" w:color="auto"/>
        <w:right w:val="none" w:sz="0" w:space="0" w:color="auto"/>
      </w:divBdr>
    </w:div>
    <w:div w:id="1535926625">
      <w:bodyDiv w:val="1"/>
      <w:marLeft w:val="0"/>
      <w:marRight w:val="0"/>
      <w:marTop w:val="0"/>
      <w:marBottom w:val="0"/>
      <w:divBdr>
        <w:top w:val="none" w:sz="0" w:space="0" w:color="auto"/>
        <w:left w:val="none" w:sz="0" w:space="0" w:color="auto"/>
        <w:bottom w:val="none" w:sz="0" w:space="0" w:color="auto"/>
        <w:right w:val="none" w:sz="0" w:space="0" w:color="auto"/>
      </w:divBdr>
    </w:div>
    <w:div w:id="1536042682">
      <w:bodyDiv w:val="1"/>
      <w:marLeft w:val="0"/>
      <w:marRight w:val="0"/>
      <w:marTop w:val="0"/>
      <w:marBottom w:val="0"/>
      <w:divBdr>
        <w:top w:val="none" w:sz="0" w:space="0" w:color="auto"/>
        <w:left w:val="none" w:sz="0" w:space="0" w:color="auto"/>
        <w:bottom w:val="none" w:sz="0" w:space="0" w:color="auto"/>
        <w:right w:val="none" w:sz="0" w:space="0" w:color="auto"/>
      </w:divBdr>
    </w:div>
    <w:div w:id="1536116681">
      <w:bodyDiv w:val="1"/>
      <w:marLeft w:val="0"/>
      <w:marRight w:val="0"/>
      <w:marTop w:val="0"/>
      <w:marBottom w:val="0"/>
      <w:divBdr>
        <w:top w:val="none" w:sz="0" w:space="0" w:color="auto"/>
        <w:left w:val="none" w:sz="0" w:space="0" w:color="auto"/>
        <w:bottom w:val="none" w:sz="0" w:space="0" w:color="auto"/>
        <w:right w:val="none" w:sz="0" w:space="0" w:color="auto"/>
      </w:divBdr>
    </w:div>
    <w:div w:id="1536187411">
      <w:bodyDiv w:val="1"/>
      <w:marLeft w:val="0"/>
      <w:marRight w:val="0"/>
      <w:marTop w:val="0"/>
      <w:marBottom w:val="0"/>
      <w:divBdr>
        <w:top w:val="none" w:sz="0" w:space="0" w:color="auto"/>
        <w:left w:val="none" w:sz="0" w:space="0" w:color="auto"/>
        <w:bottom w:val="none" w:sz="0" w:space="0" w:color="auto"/>
        <w:right w:val="none" w:sz="0" w:space="0" w:color="auto"/>
      </w:divBdr>
    </w:div>
    <w:div w:id="1536189200">
      <w:bodyDiv w:val="1"/>
      <w:marLeft w:val="0"/>
      <w:marRight w:val="0"/>
      <w:marTop w:val="0"/>
      <w:marBottom w:val="0"/>
      <w:divBdr>
        <w:top w:val="none" w:sz="0" w:space="0" w:color="auto"/>
        <w:left w:val="none" w:sz="0" w:space="0" w:color="auto"/>
        <w:bottom w:val="none" w:sz="0" w:space="0" w:color="auto"/>
        <w:right w:val="none" w:sz="0" w:space="0" w:color="auto"/>
      </w:divBdr>
    </w:div>
    <w:div w:id="1536311967">
      <w:bodyDiv w:val="1"/>
      <w:marLeft w:val="0"/>
      <w:marRight w:val="0"/>
      <w:marTop w:val="0"/>
      <w:marBottom w:val="0"/>
      <w:divBdr>
        <w:top w:val="none" w:sz="0" w:space="0" w:color="auto"/>
        <w:left w:val="none" w:sz="0" w:space="0" w:color="auto"/>
        <w:bottom w:val="none" w:sz="0" w:space="0" w:color="auto"/>
        <w:right w:val="none" w:sz="0" w:space="0" w:color="auto"/>
      </w:divBdr>
    </w:div>
    <w:div w:id="1536313939">
      <w:bodyDiv w:val="1"/>
      <w:marLeft w:val="0"/>
      <w:marRight w:val="0"/>
      <w:marTop w:val="0"/>
      <w:marBottom w:val="0"/>
      <w:divBdr>
        <w:top w:val="none" w:sz="0" w:space="0" w:color="auto"/>
        <w:left w:val="none" w:sz="0" w:space="0" w:color="auto"/>
        <w:bottom w:val="none" w:sz="0" w:space="0" w:color="auto"/>
        <w:right w:val="none" w:sz="0" w:space="0" w:color="auto"/>
      </w:divBdr>
    </w:div>
    <w:div w:id="1536384503">
      <w:bodyDiv w:val="1"/>
      <w:marLeft w:val="0"/>
      <w:marRight w:val="0"/>
      <w:marTop w:val="0"/>
      <w:marBottom w:val="0"/>
      <w:divBdr>
        <w:top w:val="none" w:sz="0" w:space="0" w:color="auto"/>
        <w:left w:val="none" w:sz="0" w:space="0" w:color="auto"/>
        <w:bottom w:val="none" w:sz="0" w:space="0" w:color="auto"/>
        <w:right w:val="none" w:sz="0" w:space="0" w:color="auto"/>
      </w:divBdr>
    </w:div>
    <w:div w:id="1536385313">
      <w:bodyDiv w:val="1"/>
      <w:marLeft w:val="0"/>
      <w:marRight w:val="0"/>
      <w:marTop w:val="0"/>
      <w:marBottom w:val="0"/>
      <w:divBdr>
        <w:top w:val="none" w:sz="0" w:space="0" w:color="auto"/>
        <w:left w:val="none" w:sz="0" w:space="0" w:color="auto"/>
        <w:bottom w:val="none" w:sz="0" w:space="0" w:color="auto"/>
        <w:right w:val="none" w:sz="0" w:space="0" w:color="auto"/>
      </w:divBdr>
    </w:div>
    <w:div w:id="1536386767">
      <w:bodyDiv w:val="1"/>
      <w:marLeft w:val="0"/>
      <w:marRight w:val="0"/>
      <w:marTop w:val="0"/>
      <w:marBottom w:val="0"/>
      <w:divBdr>
        <w:top w:val="none" w:sz="0" w:space="0" w:color="auto"/>
        <w:left w:val="none" w:sz="0" w:space="0" w:color="auto"/>
        <w:bottom w:val="none" w:sz="0" w:space="0" w:color="auto"/>
        <w:right w:val="none" w:sz="0" w:space="0" w:color="auto"/>
      </w:divBdr>
    </w:div>
    <w:div w:id="1536457727">
      <w:bodyDiv w:val="1"/>
      <w:marLeft w:val="0"/>
      <w:marRight w:val="0"/>
      <w:marTop w:val="0"/>
      <w:marBottom w:val="0"/>
      <w:divBdr>
        <w:top w:val="none" w:sz="0" w:space="0" w:color="auto"/>
        <w:left w:val="none" w:sz="0" w:space="0" w:color="auto"/>
        <w:bottom w:val="none" w:sz="0" w:space="0" w:color="auto"/>
        <w:right w:val="none" w:sz="0" w:space="0" w:color="auto"/>
      </w:divBdr>
    </w:div>
    <w:div w:id="1536625771">
      <w:bodyDiv w:val="1"/>
      <w:marLeft w:val="0"/>
      <w:marRight w:val="0"/>
      <w:marTop w:val="0"/>
      <w:marBottom w:val="0"/>
      <w:divBdr>
        <w:top w:val="none" w:sz="0" w:space="0" w:color="auto"/>
        <w:left w:val="none" w:sz="0" w:space="0" w:color="auto"/>
        <w:bottom w:val="none" w:sz="0" w:space="0" w:color="auto"/>
        <w:right w:val="none" w:sz="0" w:space="0" w:color="auto"/>
      </w:divBdr>
    </w:div>
    <w:div w:id="1536843458">
      <w:bodyDiv w:val="1"/>
      <w:marLeft w:val="0"/>
      <w:marRight w:val="0"/>
      <w:marTop w:val="0"/>
      <w:marBottom w:val="0"/>
      <w:divBdr>
        <w:top w:val="none" w:sz="0" w:space="0" w:color="auto"/>
        <w:left w:val="none" w:sz="0" w:space="0" w:color="auto"/>
        <w:bottom w:val="none" w:sz="0" w:space="0" w:color="auto"/>
        <w:right w:val="none" w:sz="0" w:space="0" w:color="auto"/>
      </w:divBdr>
    </w:div>
    <w:div w:id="1536891093">
      <w:bodyDiv w:val="1"/>
      <w:marLeft w:val="0"/>
      <w:marRight w:val="0"/>
      <w:marTop w:val="0"/>
      <w:marBottom w:val="0"/>
      <w:divBdr>
        <w:top w:val="none" w:sz="0" w:space="0" w:color="auto"/>
        <w:left w:val="none" w:sz="0" w:space="0" w:color="auto"/>
        <w:bottom w:val="none" w:sz="0" w:space="0" w:color="auto"/>
        <w:right w:val="none" w:sz="0" w:space="0" w:color="auto"/>
      </w:divBdr>
    </w:div>
    <w:div w:id="1536963550">
      <w:bodyDiv w:val="1"/>
      <w:marLeft w:val="0"/>
      <w:marRight w:val="0"/>
      <w:marTop w:val="0"/>
      <w:marBottom w:val="0"/>
      <w:divBdr>
        <w:top w:val="none" w:sz="0" w:space="0" w:color="auto"/>
        <w:left w:val="none" w:sz="0" w:space="0" w:color="auto"/>
        <w:bottom w:val="none" w:sz="0" w:space="0" w:color="auto"/>
        <w:right w:val="none" w:sz="0" w:space="0" w:color="auto"/>
      </w:divBdr>
    </w:div>
    <w:div w:id="1536969349">
      <w:bodyDiv w:val="1"/>
      <w:marLeft w:val="0"/>
      <w:marRight w:val="0"/>
      <w:marTop w:val="0"/>
      <w:marBottom w:val="0"/>
      <w:divBdr>
        <w:top w:val="none" w:sz="0" w:space="0" w:color="auto"/>
        <w:left w:val="none" w:sz="0" w:space="0" w:color="auto"/>
        <w:bottom w:val="none" w:sz="0" w:space="0" w:color="auto"/>
        <w:right w:val="none" w:sz="0" w:space="0" w:color="auto"/>
      </w:divBdr>
    </w:div>
    <w:div w:id="1537110943">
      <w:bodyDiv w:val="1"/>
      <w:marLeft w:val="0"/>
      <w:marRight w:val="0"/>
      <w:marTop w:val="0"/>
      <w:marBottom w:val="0"/>
      <w:divBdr>
        <w:top w:val="none" w:sz="0" w:space="0" w:color="auto"/>
        <w:left w:val="none" w:sz="0" w:space="0" w:color="auto"/>
        <w:bottom w:val="none" w:sz="0" w:space="0" w:color="auto"/>
        <w:right w:val="none" w:sz="0" w:space="0" w:color="auto"/>
      </w:divBdr>
    </w:div>
    <w:div w:id="1537153688">
      <w:bodyDiv w:val="1"/>
      <w:marLeft w:val="0"/>
      <w:marRight w:val="0"/>
      <w:marTop w:val="0"/>
      <w:marBottom w:val="0"/>
      <w:divBdr>
        <w:top w:val="none" w:sz="0" w:space="0" w:color="auto"/>
        <w:left w:val="none" w:sz="0" w:space="0" w:color="auto"/>
        <w:bottom w:val="none" w:sz="0" w:space="0" w:color="auto"/>
        <w:right w:val="none" w:sz="0" w:space="0" w:color="auto"/>
      </w:divBdr>
    </w:div>
    <w:div w:id="1537156622">
      <w:bodyDiv w:val="1"/>
      <w:marLeft w:val="0"/>
      <w:marRight w:val="0"/>
      <w:marTop w:val="0"/>
      <w:marBottom w:val="0"/>
      <w:divBdr>
        <w:top w:val="none" w:sz="0" w:space="0" w:color="auto"/>
        <w:left w:val="none" w:sz="0" w:space="0" w:color="auto"/>
        <w:bottom w:val="none" w:sz="0" w:space="0" w:color="auto"/>
        <w:right w:val="none" w:sz="0" w:space="0" w:color="auto"/>
      </w:divBdr>
    </w:div>
    <w:div w:id="1537157648">
      <w:bodyDiv w:val="1"/>
      <w:marLeft w:val="0"/>
      <w:marRight w:val="0"/>
      <w:marTop w:val="0"/>
      <w:marBottom w:val="0"/>
      <w:divBdr>
        <w:top w:val="none" w:sz="0" w:space="0" w:color="auto"/>
        <w:left w:val="none" w:sz="0" w:space="0" w:color="auto"/>
        <w:bottom w:val="none" w:sz="0" w:space="0" w:color="auto"/>
        <w:right w:val="none" w:sz="0" w:space="0" w:color="auto"/>
      </w:divBdr>
    </w:div>
    <w:div w:id="1537233683">
      <w:bodyDiv w:val="1"/>
      <w:marLeft w:val="0"/>
      <w:marRight w:val="0"/>
      <w:marTop w:val="0"/>
      <w:marBottom w:val="0"/>
      <w:divBdr>
        <w:top w:val="none" w:sz="0" w:space="0" w:color="auto"/>
        <w:left w:val="none" w:sz="0" w:space="0" w:color="auto"/>
        <w:bottom w:val="none" w:sz="0" w:space="0" w:color="auto"/>
        <w:right w:val="none" w:sz="0" w:space="0" w:color="auto"/>
      </w:divBdr>
    </w:div>
    <w:div w:id="1537350733">
      <w:bodyDiv w:val="1"/>
      <w:marLeft w:val="0"/>
      <w:marRight w:val="0"/>
      <w:marTop w:val="0"/>
      <w:marBottom w:val="0"/>
      <w:divBdr>
        <w:top w:val="none" w:sz="0" w:space="0" w:color="auto"/>
        <w:left w:val="none" w:sz="0" w:space="0" w:color="auto"/>
        <w:bottom w:val="none" w:sz="0" w:space="0" w:color="auto"/>
        <w:right w:val="none" w:sz="0" w:space="0" w:color="auto"/>
      </w:divBdr>
    </w:div>
    <w:div w:id="1537354147">
      <w:bodyDiv w:val="1"/>
      <w:marLeft w:val="0"/>
      <w:marRight w:val="0"/>
      <w:marTop w:val="0"/>
      <w:marBottom w:val="0"/>
      <w:divBdr>
        <w:top w:val="none" w:sz="0" w:space="0" w:color="auto"/>
        <w:left w:val="none" w:sz="0" w:space="0" w:color="auto"/>
        <w:bottom w:val="none" w:sz="0" w:space="0" w:color="auto"/>
        <w:right w:val="none" w:sz="0" w:space="0" w:color="auto"/>
      </w:divBdr>
    </w:div>
    <w:div w:id="1537503883">
      <w:bodyDiv w:val="1"/>
      <w:marLeft w:val="0"/>
      <w:marRight w:val="0"/>
      <w:marTop w:val="0"/>
      <w:marBottom w:val="0"/>
      <w:divBdr>
        <w:top w:val="none" w:sz="0" w:space="0" w:color="auto"/>
        <w:left w:val="none" w:sz="0" w:space="0" w:color="auto"/>
        <w:bottom w:val="none" w:sz="0" w:space="0" w:color="auto"/>
        <w:right w:val="none" w:sz="0" w:space="0" w:color="auto"/>
      </w:divBdr>
    </w:div>
    <w:div w:id="1537617020">
      <w:bodyDiv w:val="1"/>
      <w:marLeft w:val="0"/>
      <w:marRight w:val="0"/>
      <w:marTop w:val="0"/>
      <w:marBottom w:val="0"/>
      <w:divBdr>
        <w:top w:val="none" w:sz="0" w:space="0" w:color="auto"/>
        <w:left w:val="none" w:sz="0" w:space="0" w:color="auto"/>
        <w:bottom w:val="none" w:sz="0" w:space="0" w:color="auto"/>
        <w:right w:val="none" w:sz="0" w:space="0" w:color="auto"/>
      </w:divBdr>
    </w:div>
    <w:div w:id="1537818008">
      <w:bodyDiv w:val="1"/>
      <w:marLeft w:val="0"/>
      <w:marRight w:val="0"/>
      <w:marTop w:val="0"/>
      <w:marBottom w:val="0"/>
      <w:divBdr>
        <w:top w:val="none" w:sz="0" w:space="0" w:color="auto"/>
        <w:left w:val="none" w:sz="0" w:space="0" w:color="auto"/>
        <w:bottom w:val="none" w:sz="0" w:space="0" w:color="auto"/>
        <w:right w:val="none" w:sz="0" w:space="0" w:color="auto"/>
      </w:divBdr>
    </w:div>
    <w:div w:id="1537818259">
      <w:bodyDiv w:val="1"/>
      <w:marLeft w:val="0"/>
      <w:marRight w:val="0"/>
      <w:marTop w:val="0"/>
      <w:marBottom w:val="0"/>
      <w:divBdr>
        <w:top w:val="none" w:sz="0" w:space="0" w:color="auto"/>
        <w:left w:val="none" w:sz="0" w:space="0" w:color="auto"/>
        <w:bottom w:val="none" w:sz="0" w:space="0" w:color="auto"/>
        <w:right w:val="none" w:sz="0" w:space="0" w:color="auto"/>
      </w:divBdr>
    </w:div>
    <w:div w:id="1538080401">
      <w:bodyDiv w:val="1"/>
      <w:marLeft w:val="0"/>
      <w:marRight w:val="0"/>
      <w:marTop w:val="0"/>
      <w:marBottom w:val="0"/>
      <w:divBdr>
        <w:top w:val="none" w:sz="0" w:space="0" w:color="auto"/>
        <w:left w:val="none" w:sz="0" w:space="0" w:color="auto"/>
        <w:bottom w:val="none" w:sz="0" w:space="0" w:color="auto"/>
        <w:right w:val="none" w:sz="0" w:space="0" w:color="auto"/>
      </w:divBdr>
    </w:div>
    <w:div w:id="1538158200">
      <w:bodyDiv w:val="1"/>
      <w:marLeft w:val="0"/>
      <w:marRight w:val="0"/>
      <w:marTop w:val="0"/>
      <w:marBottom w:val="0"/>
      <w:divBdr>
        <w:top w:val="none" w:sz="0" w:space="0" w:color="auto"/>
        <w:left w:val="none" w:sz="0" w:space="0" w:color="auto"/>
        <w:bottom w:val="none" w:sz="0" w:space="0" w:color="auto"/>
        <w:right w:val="none" w:sz="0" w:space="0" w:color="auto"/>
      </w:divBdr>
    </w:div>
    <w:div w:id="1538158615">
      <w:bodyDiv w:val="1"/>
      <w:marLeft w:val="0"/>
      <w:marRight w:val="0"/>
      <w:marTop w:val="0"/>
      <w:marBottom w:val="0"/>
      <w:divBdr>
        <w:top w:val="none" w:sz="0" w:space="0" w:color="auto"/>
        <w:left w:val="none" w:sz="0" w:space="0" w:color="auto"/>
        <w:bottom w:val="none" w:sz="0" w:space="0" w:color="auto"/>
        <w:right w:val="none" w:sz="0" w:space="0" w:color="auto"/>
      </w:divBdr>
    </w:div>
    <w:div w:id="1538198967">
      <w:bodyDiv w:val="1"/>
      <w:marLeft w:val="0"/>
      <w:marRight w:val="0"/>
      <w:marTop w:val="0"/>
      <w:marBottom w:val="0"/>
      <w:divBdr>
        <w:top w:val="none" w:sz="0" w:space="0" w:color="auto"/>
        <w:left w:val="none" w:sz="0" w:space="0" w:color="auto"/>
        <w:bottom w:val="none" w:sz="0" w:space="0" w:color="auto"/>
        <w:right w:val="none" w:sz="0" w:space="0" w:color="auto"/>
      </w:divBdr>
    </w:div>
    <w:div w:id="1538346858">
      <w:bodyDiv w:val="1"/>
      <w:marLeft w:val="0"/>
      <w:marRight w:val="0"/>
      <w:marTop w:val="0"/>
      <w:marBottom w:val="0"/>
      <w:divBdr>
        <w:top w:val="none" w:sz="0" w:space="0" w:color="auto"/>
        <w:left w:val="none" w:sz="0" w:space="0" w:color="auto"/>
        <w:bottom w:val="none" w:sz="0" w:space="0" w:color="auto"/>
        <w:right w:val="none" w:sz="0" w:space="0" w:color="auto"/>
      </w:divBdr>
    </w:div>
    <w:div w:id="1538348446">
      <w:bodyDiv w:val="1"/>
      <w:marLeft w:val="0"/>
      <w:marRight w:val="0"/>
      <w:marTop w:val="0"/>
      <w:marBottom w:val="0"/>
      <w:divBdr>
        <w:top w:val="none" w:sz="0" w:space="0" w:color="auto"/>
        <w:left w:val="none" w:sz="0" w:space="0" w:color="auto"/>
        <w:bottom w:val="none" w:sz="0" w:space="0" w:color="auto"/>
        <w:right w:val="none" w:sz="0" w:space="0" w:color="auto"/>
      </w:divBdr>
    </w:div>
    <w:div w:id="1538393229">
      <w:bodyDiv w:val="1"/>
      <w:marLeft w:val="0"/>
      <w:marRight w:val="0"/>
      <w:marTop w:val="0"/>
      <w:marBottom w:val="0"/>
      <w:divBdr>
        <w:top w:val="none" w:sz="0" w:space="0" w:color="auto"/>
        <w:left w:val="none" w:sz="0" w:space="0" w:color="auto"/>
        <w:bottom w:val="none" w:sz="0" w:space="0" w:color="auto"/>
        <w:right w:val="none" w:sz="0" w:space="0" w:color="auto"/>
      </w:divBdr>
    </w:div>
    <w:div w:id="1538395347">
      <w:bodyDiv w:val="1"/>
      <w:marLeft w:val="0"/>
      <w:marRight w:val="0"/>
      <w:marTop w:val="0"/>
      <w:marBottom w:val="0"/>
      <w:divBdr>
        <w:top w:val="none" w:sz="0" w:space="0" w:color="auto"/>
        <w:left w:val="none" w:sz="0" w:space="0" w:color="auto"/>
        <w:bottom w:val="none" w:sz="0" w:space="0" w:color="auto"/>
        <w:right w:val="none" w:sz="0" w:space="0" w:color="auto"/>
      </w:divBdr>
    </w:div>
    <w:div w:id="1538397820">
      <w:bodyDiv w:val="1"/>
      <w:marLeft w:val="0"/>
      <w:marRight w:val="0"/>
      <w:marTop w:val="0"/>
      <w:marBottom w:val="0"/>
      <w:divBdr>
        <w:top w:val="none" w:sz="0" w:space="0" w:color="auto"/>
        <w:left w:val="none" w:sz="0" w:space="0" w:color="auto"/>
        <w:bottom w:val="none" w:sz="0" w:space="0" w:color="auto"/>
        <w:right w:val="none" w:sz="0" w:space="0" w:color="auto"/>
      </w:divBdr>
    </w:div>
    <w:div w:id="1538540542">
      <w:bodyDiv w:val="1"/>
      <w:marLeft w:val="0"/>
      <w:marRight w:val="0"/>
      <w:marTop w:val="0"/>
      <w:marBottom w:val="0"/>
      <w:divBdr>
        <w:top w:val="none" w:sz="0" w:space="0" w:color="auto"/>
        <w:left w:val="none" w:sz="0" w:space="0" w:color="auto"/>
        <w:bottom w:val="none" w:sz="0" w:space="0" w:color="auto"/>
        <w:right w:val="none" w:sz="0" w:space="0" w:color="auto"/>
      </w:divBdr>
    </w:div>
    <w:div w:id="1538590022">
      <w:bodyDiv w:val="1"/>
      <w:marLeft w:val="0"/>
      <w:marRight w:val="0"/>
      <w:marTop w:val="0"/>
      <w:marBottom w:val="0"/>
      <w:divBdr>
        <w:top w:val="none" w:sz="0" w:space="0" w:color="auto"/>
        <w:left w:val="none" w:sz="0" w:space="0" w:color="auto"/>
        <w:bottom w:val="none" w:sz="0" w:space="0" w:color="auto"/>
        <w:right w:val="none" w:sz="0" w:space="0" w:color="auto"/>
      </w:divBdr>
    </w:div>
    <w:div w:id="1538658690">
      <w:bodyDiv w:val="1"/>
      <w:marLeft w:val="0"/>
      <w:marRight w:val="0"/>
      <w:marTop w:val="0"/>
      <w:marBottom w:val="0"/>
      <w:divBdr>
        <w:top w:val="none" w:sz="0" w:space="0" w:color="auto"/>
        <w:left w:val="none" w:sz="0" w:space="0" w:color="auto"/>
        <w:bottom w:val="none" w:sz="0" w:space="0" w:color="auto"/>
        <w:right w:val="none" w:sz="0" w:space="0" w:color="auto"/>
      </w:divBdr>
    </w:div>
    <w:div w:id="1539003492">
      <w:bodyDiv w:val="1"/>
      <w:marLeft w:val="0"/>
      <w:marRight w:val="0"/>
      <w:marTop w:val="0"/>
      <w:marBottom w:val="0"/>
      <w:divBdr>
        <w:top w:val="none" w:sz="0" w:space="0" w:color="auto"/>
        <w:left w:val="none" w:sz="0" w:space="0" w:color="auto"/>
        <w:bottom w:val="none" w:sz="0" w:space="0" w:color="auto"/>
        <w:right w:val="none" w:sz="0" w:space="0" w:color="auto"/>
      </w:divBdr>
    </w:div>
    <w:div w:id="1539050107">
      <w:bodyDiv w:val="1"/>
      <w:marLeft w:val="0"/>
      <w:marRight w:val="0"/>
      <w:marTop w:val="0"/>
      <w:marBottom w:val="0"/>
      <w:divBdr>
        <w:top w:val="none" w:sz="0" w:space="0" w:color="auto"/>
        <w:left w:val="none" w:sz="0" w:space="0" w:color="auto"/>
        <w:bottom w:val="none" w:sz="0" w:space="0" w:color="auto"/>
        <w:right w:val="none" w:sz="0" w:space="0" w:color="auto"/>
      </w:divBdr>
    </w:div>
    <w:div w:id="1539079972">
      <w:bodyDiv w:val="1"/>
      <w:marLeft w:val="0"/>
      <w:marRight w:val="0"/>
      <w:marTop w:val="0"/>
      <w:marBottom w:val="0"/>
      <w:divBdr>
        <w:top w:val="none" w:sz="0" w:space="0" w:color="auto"/>
        <w:left w:val="none" w:sz="0" w:space="0" w:color="auto"/>
        <w:bottom w:val="none" w:sz="0" w:space="0" w:color="auto"/>
        <w:right w:val="none" w:sz="0" w:space="0" w:color="auto"/>
      </w:divBdr>
    </w:div>
    <w:div w:id="1539197415">
      <w:bodyDiv w:val="1"/>
      <w:marLeft w:val="0"/>
      <w:marRight w:val="0"/>
      <w:marTop w:val="0"/>
      <w:marBottom w:val="0"/>
      <w:divBdr>
        <w:top w:val="none" w:sz="0" w:space="0" w:color="auto"/>
        <w:left w:val="none" w:sz="0" w:space="0" w:color="auto"/>
        <w:bottom w:val="none" w:sz="0" w:space="0" w:color="auto"/>
        <w:right w:val="none" w:sz="0" w:space="0" w:color="auto"/>
      </w:divBdr>
    </w:div>
    <w:div w:id="1539269913">
      <w:bodyDiv w:val="1"/>
      <w:marLeft w:val="0"/>
      <w:marRight w:val="0"/>
      <w:marTop w:val="0"/>
      <w:marBottom w:val="0"/>
      <w:divBdr>
        <w:top w:val="none" w:sz="0" w:space="0" w:color="auto"/>
        <w:left w:val="none" w:sz="0" w:space="0" w:color="auto"/>
        <w:bottom w:val="none" w:sz="0" w:space="0" w:color="auto"/>
        <w:right w:val="none" w:sz="0" w:space="0" w:color="auto"/>
      </w:divBdr>
    </w:div>
    <w:div w:id="1539321004">
      <w:bodyDiv w:val="1"/>
      <w:marLeft w:val="0"/>
      <w:marRight w:val="0"/>
      <w:marTop w:val="0"/>
      <w:marBottom w:val="0"/>
      <w:divBdr>
        <w:top w:val="none" w:sz="0" w:space="0" w:color="auto"/>
        <w:left w:val="none" w:sz="0" w:space="0" w:color="auto"/>
        <w:bottom w:val="none" w:sz="0" w:space="0" w:color="auto"/>
        <w:right w:val="none" w:sz="0" w:space="0" w:color="auto"/>
      </w:divBdr>
    </w:div>
    <w:div w:id="1539394441">
      <w:bodyDiv w:val="1"/>
      <w:marLeft w:val="0"/>
      <w:marRight w:val="0"/>
      <w:marTop w:val="0"/>
      <w:marBottom w:val="0"/>
      <w:divBdr>
        <w:top w:val="none" w:sz="0" w:space="0" w:color="auto"/>
        <w:left w:val="none" w:sz="0" w:space="0" w:color="auto"/>
        <w:bottom w:val="none" w:sz="0" w:space="0" w:color="auto"/>
        <w:right w:val="none" w:sz="0" w:space="0" w:color="auto"/>
      </w:divBdr>
    </w:div>
    <w:div w:id="1539464032">
      <w:bodyDiv w:val="1"/>
      <w:marLeft w:val="0"/>
      <w:marRight w:val="0"/>
      <w:marTop w:val="0"/>
      <w:marBottom w:val="0"/>
      <w:divBdr>
        <w:top w:val="none" w:sz="0" w:space="0" w:color="auto"/>
        <w:left w:val="none" w:sz="0" w:space="0" w:color="auto"/>
        <w:bottom w:val="none" w:sz="0" w:space="0" w:color="auto"/>
        <w:right w:val="none" w:sz="0" w:space="0" w:color="auto"/>
      </w:divBdr>
    </w:div>
    <w:div w:id="1539468705">
      <w:bodyDiv w:val="1"/>
      <w:marLeft w:val="0"/>
      <w:marRight w:val="0"/>
      <w:marTop w:val="0"/>
      <w:marBottom w:val="0"/>
      <w:divBdr>
        <w:top w:val="none" w:sz="0" w:space="0" w:color="auto"/>
        <w:left w:val="none" w:sz="0" w:space="0" w:color="auto"/>
        <w:bottom w:val="none" w:sz="0" w:space="0" w:color="auto"/>
        <w:right w:val="none" w:sz="0" w:space="0" w:color="auto"/>
      </w:divBdr>
    </w:div>
    <w:div w:id="1539513863">
      <w:bodyDiv w:val="1"/>
      <w:marLeft w:val="0"/>
      <w:marRight w:val="0"/>
      <w:marTop w:val="0"/>
      <w:marBottom w:val="0"/>
      <w:divBdr>
        <w:top w:val="none" w:sz="0" w:space="0" w:color="auto"/>
        <w:left w:val="none" w:sz="0" w:space="0" w:color="auto"/>
        <w:bottom w:val="none" w:sz="0" w:space="0" w:color="auto"/>
        <w:right w:val="none" w:sz="0" w:space="0" w:color="auto"/>
      </w:divBdr>
    </w:div>
    <w:div w:id="1539657483">
      <w:bodyDiv w:val="1"/>
      <w:marLeft w:val="0"/>
      <w:marRight w:val="0"/>
      <w:marTop w:val="0"/>
      <w:marBottom w:val="0"/>
      <w:divBdr>
        <w:top w:val="none" w:sz="0" w:space="0" w:color="auto"/>
        <w:left w:val="none" w:sz="0" w:space="0" w:color="auto"/>
        <w:bottom w:val="none" w:sz="0" w:space="0" w:color="auto"/>
        <w:right w:val="none" w:sz="0" w:space="0" w:color="auto"/>
      </w:divBdr>
    </w:div>
    <w:div w:id="1539776631">
      <w:bodyDiv w:val="1"/>
      <w:marLeft w:val="0"/>
      <w:marRight w:val="0"/>
      <w:marTop w:val="0"/>
      <w:marBottom w:val="0"/>
      <w:divBdr>
        <w:top w:val="none" w:sz="0" w:space="0" w:color="auto"/>
        <w:left w:val="none" w:sz="0" w:space="0" w:color="auto"/>
        <w:bottom w:val="none" w:sz="0" w:space="0" w:color="auto"/>
        <w:right w:val="none" w:sz="0" w:space="0" w:color="auto"/>
      </w:divBdr>
    </w:div>
    <w:div w:id="1539778482">
      <w:bodyDiv w:val="1"/>
      <w:marLeft w:val="0"/>
      <w:marRight w:val="0"/>
      <w:marTop w:val="0"/>
      <w:marBottom w:val="0"/>
      <w:divBdr>
        <w:top w:val="none" w:sz="0" w:space="0" w:color="auto"/>
        <w:left w:val="none" w:sz="0" w:space="0" w:color="auto"/>
        <w:bottom w:val="none" w:sz="0" w:space="0" w:color="auto"/>
        <w:right w:val="none" w:sz="0" w:space="0" w:color="auto"/>
      </w:divBdr>
    </w:div>
    <w:div w:id="1539780586">
      <w:bodyDiv w:val="1"/>
      <w:marLeft w:val="0"/>
      <w:marRight w:val="0"/>
      <w:marTop w:val="0"/>
      <w:marBottom w:val="0"/>
      <w:divBdr>
        <w:top w:val="none" w:sz="0" w:space="0" w:color="auto"/>
        <w:left w:val="none" w:sz="0" w:space="0" w:color="auto"/>
        <w:bottom w:val="none" w:sz="0" w:space="0" w:color="auto"/>
        <w:right w:val="none" w:sz="0" w:space="0" w:color="auto"/>
      </w:divBdr>
    </w:div>
    <w:div w:id="1539853784">
      <w:bodyDiv w:val="1"/>
      <w:marLeft w:val="0"/>
      <w:marRight w:val="0"/>
      <w:marTop w:val="0"/>
      <w:marBottom w:val="0"/>
      <w:divBdr>
        <w:top w:val="none" w:sz="0" w:space="0" w:color="auto"/>
        <w:left w:val="none" w:sz="0" w:space="0" w:color="auto"/>
        <w:bottom w:val="none" w:sz="0" w:space="0" w:color="auto"/>
        <w:right w:val="none" w:sz="0" w:space="0" w:color="auto"/>
      </w:divBdr>
    </w:div>
    <w:div w:id="1539932072">
      <w:bodyDiv w:val="1"/>
      <w:marLeft w:val="0"/>
      <w:marRight w:val="0"/>
      <w:marTop w:val="0"/>
      <w:marBottom w:val="0"/>
      <w:divBdr>
        <w:top w:val="none" w:sz="0" w:space="0" w:color="auto"/>
        <w:left w:val="none" w:sz="0" w:space="0" w:color="auto"/>
        <w:bottom w:val="none" w:sz="0" w:space="0" w:color="auto"/>
        <w:right w:val="none" w:sz="0" w:space="0" w:color="auto"/>
      </w:divBdr>
    </w:div>
    <w:div w:id="1539967788">
      <w:bodyDiv w:val="1"/>
      <w:marLeft w:val="0"/>
      <w:marRight w:val="0"/>
      <w:marTop w:val="0"/>
      <w:marBottom w:val="0"/>
      <w:divBdr>
        <w:top w:val="none" w:sz="0" w:space="0" w:color="auto"/>
        <w:left w:val="none" w:sz="0" w:space="0" w:color="auto"/>
        <w:bottom w:val="none" w:sz="0" w:space="0" w:color="auto"/>
        <w:right w:val="none" w:sz="0" w:space="0" w:color="auto"/>
      </w:divBdr>
    </w:div>
    <w:div w:id="1539969900">
      <w:bodyDiv w:val="1"/>
      <w:marLeft w:val="0"/>
      <w:marRight w:val="0"/>
      <w:marTop w:val="0"/>
      <w:marBottom w:val="0"/>
      <w:divBdr>
        <w:top w:val="none" w:sz="0" w:space="0" w:color="auto"/>
        <w:left w:val="none" w:sz="0" w:space="0" w:color="auto"/>
        <w:bottom w:val="none" w:sz="0" w:space="0" w:color="auto"/>
        <w:right w:val="none" w:sz="0" w:space="0" w:color="auto"/>
      </w:divBdr>
    </w:div>
    <w:div w:id="1540046017">
      <w:bodyDiv w:val="1"/>
      <w:marLeft w:val="0"/>
      <w:marRight w:val="0"/>
      <w:marTop w:val="0"/>
      <w:marBottom w:val="0"/>
      <w:divBdr>
        <w:top w:val="none" w:sz="0" w:space="0" w:color="auto"/>
        <w:left w:val="none" w:sz="0" w:space="0" w:color="auto"/>
        <w:bottom w:val="none" w:sz="0" w:space="0" w:color="auto"/>
        <w:right w:val="none" w:sz="0" w:space="0" w:color="auto"/>
      </w:divBdr>
    </w:div>
    <w:div w:id="1540049375">
      <w:bodyDiv w:val="1"/>
      <w:marLeft w:val="0"/>
      <w:marRight w:val="0"/>
      <w:marTop w:val="0"/>
      <w:marBottom w:val="0"/>
      <w:divBdr>
        <w:top w:val="none" w:sz="0" w:space="0" w:color="auto"/>
        <w:left w:val="none" w:sz="0" w:space="0" w:color="auto"/>
        <w:bottom w:val="none" w:sz="0" w:space="0" w:color="auto"/>
        <w:right w:val="none" w:sz="0" w:space="0" w:color="auto"/>
      </w:divBdr>
    </w:div>
    <w:div w:id="1540050759">
      <w:bodyDiv w:val="1"/>
      <w:marLeft w:val="0"/>
      <w:marRight w:val="0"/>
      <w:marTop w:val="0"/>
      <w:marBottom w:val="0"/>
      <w:divBdr>
        <w:top w:val="none" w:sz="0" w:space="0" w:color="auto"/>
        <w:left w:val="none" w:sz="0" w:space="0" w:color="auto"/>
        <w:bottom w:val="none" w:sz="0" w:space="0" w:color="auto"/>
        <w:right w:val="none" w:sz="0" w:space="0" w:color="auto"/>
      </w:divBdr>
    </w:div>
    <w:div w:id="1540120664">
      <w:bodyDiv w:val="1"/>
      <w:marLeft w:val="0"/>
      <w:marRight w:val="0"/>
      <w:marTop w:val="0"/>
      <w:marBottom w:val="0"/>
      <w:divBdr>
        <w:top w:val="none" w:sz="0" w:space="0" w:color="auto"/>
        <w:left w:val="none" w:sz="0" w:space="0" w:color="auto"/>
        <w:bottom w:val="none" w:sz="0" w:space="0" w:color="auto"/>
        <w:right w:val="none" w:sz="0" w:space="0" w:color="auto"/>
      </w:divBdr>
    </w:div>
    <w:div w:id="1540124410">
      <w:bodyDiv w:val="1"/>
      <w:marLeft w:val="0"/>
      <w:marRight w:val="0"/>
      <w:marTop w:val="0"/>
      <w:marBottom w:val="0"/>
      <w:divBdr>
        <w:top w:val="none" w:sz="0" w:space="0" w:color="auto"/>
        <w:left w:val="none" w:sz="0" w:space="0" w:color="auto"/>
        <w:bottom w:val="none" w:sz="0" w:space="0" w:color="auto"/>
        <w:right w:val="none" w:sz="0" w:space="0" w:color="auto"/>
      </w:divBdr>
    </w:div>
    <w:div w:id="1540240313">
      <w:bodyDiv w:val="1"/>
      <w:marLeft w:val="0"/>
      <w:marRight w:val="0"/>
      <w:marTop w:val="0"/>
      <w:marBottom w:val="0"/>
      <w:divBdr>
        <w:top w:val="none" w:sz="0" w:space="0" w:color="auto"/>
        <w:left w:val="none" w:sz="0" w:space="0" w:color="auto"/>
        <w:bottom w:val="none" w:sz="0" w:space="0" w:color="auto"/>
        <w:right w:val="none" w:sz="0" w:space="0" w:color="auto"/>
      </w:divBdr>
    </w:div>
    <w:div w:id="1540317943">
      <w:bodyDiv w:val="1"/>
      <w:marLeft w:val="0"/>
      <w:marRight w:val="0"/>
      <w:marTop w:val="0"/>
      <w:marBottom w:val="0"/>
      <w:divBdr>
        <w:top w:val="none" w:sz="0" w:space="0" w:color="auto"/>
        <w:left w:val="none" w:sz="0" w:space="0" w:color="auto"/>
        <w:bottom w:val="none" w:sz="0" w:space="0" w:color="auto"/>
        <w:right w:val="none" w:sz="0" w:space="0" w:color="auto"/>
      </w:divBdr>
    </w:div>
    <w:div w:id="1540318276">
      <w:bodyDiv w:val="1"/>
      <w:marLeft w:val="0"/>
      <w:marRight w:val="0"/>
      <w:marTop w:val="0"/>
      <w:marBottom w:val="0"/>
      <w:divBdr>
        <w:top w:val="none" w:sz="0" w:space="0" w:color="auto"/>
        <w:left w:val="none" w:sz="0" w:space="0" w:color="auto"/>
        <w:bottom w:val="none" w:sz="0" w:space="0" w:color="auto"/>
        <w:right w:val="none" w:sz="0" w:space="0" w:color="auto"/>
      </w:divBdr>
    </w:div>
    <w:div w:id="1540320125">
      <w:bodyDiv w:val="1"/>
      <w:marLeft w:val="0"/>
      <w:marRight w:val="0"/>
      <w:marTop w:val="0"/>
      <w:marBottom w:val="0"/>
      <w:divBdr>
        <w:top w:val="none" w:sz="0" w:space="0" w:color="auto"/>
        <w:left w:val="none" w:sz="0" w:space="0" w:color="auto"/>
        <w:bottom w:val="none" w:sz="0" w:space="0" w:color="auto"/>
        <w:right w:val="none" w:sz="0" w:space="0" w:color="auto"/>
      </w:divBdr>
    </w:div>
    <w:div w:id="1540556203">
      <w:bodyDiv w:val="1"/>
      <w:marLeft w:val="0"/>
      <w:marRight w:val="0"/>
      <w:marTop w:val="0"/>
      <w:marBottom w:val="0"/>
      <w:divBdr>
        <w:top w:val="none" w:sz="0" w:space="0" w:color="auto"/>
        <w:left w:val="none" w:sz="0" w:space="0" w:color="auto"/>
        <w:bottom w:val="none" w:sz="0" w:space="0" w:color="auto"/>
        <w:right w:val="none" w:sz="0" w:space="0" w:color="auto"/>
      </w:divBdr>
    </w:div>
    <w:div w:id="1540583598">
      <w:bodyDiv w:val="1"/>
      <w:marLeft w:val="0"/>
      <w:marRight w:val="0"/>
      <w:marTop w:val="0"/>
      <w:marBottom w:val="0"/>
      <w:divBdr>
        <w:top w:val="none" w:sz="0" w:space="0" w:color="auto"/>
        <w:left w:val="none" w:sz="0" w:space="0" w:color="auto"/>
        <w:bottom w:val="none" w:sz="0" w:space="0" w:color="auto"/>
        <w:right w:val="none" w:sz="0" w:space="0" w:color="auto"/>
      </w:divBdr>
    </w:div>
    <w:div w:id="1540630632">
      <w:bodyDiv w:val="1"/>
      <w:marLeft w:val="0"/>
      <w:marRight w:val="0"/>
      <w:marTop w:val="0"/>
      <w:marBottom w:val="0"/>
      <w:divBdr>
        <w:top w:val="none" w:sz="0" w:space="0" w:color="auto"/>
        <w:left w:val="none" w:sz="0" w:space="0" w:color="auto"/>
        <w:bottom w:val="none" w:sz="0" w:space="0" w:color="auto"/>
        <w:right w:val="none" w:sz="0" w:space="0" w:color="auto"/>
      </w:divBdr>
    </w:div>
    <w:div w:id="1540972427">
      <w:bodyDiv w:val="1"/>
      <w:marLeft w:val="0"/>
      <w:marRight w:val="0"/>
      <w:marTop w:val="0"/>
      <w:marBottom w:val="0"/>
      <w:divBdr>
        <w:top w:val="none" w:sz="0" w:space="0" w:color="auto"/>
        <w:left w:val="none" w:sz="0" w:space="0" w:color="auto"/>
        <w:bottom w:val="none" w:sz="0" w:space="0" w:color="auto"/>
        <w:right w:val="none" w:sz="0" w:space="0" w:color="auto"/>
      </w:divBdr>
    </w:div>
    <w:div w:id="1541015174">
      <w:bodyDiv w:val="1"/>
      <w:marLeft w:val="0"/>
      <w:marRight w:val="0"/>
      <w:marTop w:val="0"/>
      <w:marBottom w:val="0"/>
      <w:divBdr>
        <w:top w:val="none" w:sz="0" w:space="0" w:color="auto"/>
        <w:left w:val="none" w:sz="0" w:space="0" w:color="auto"/>
        <w:bottom w:val="none" w:sz="0" w:space="0" w:color="auto"/>
        <w:right w:val="none" w:sz="0" w:space="0" w:color="auto"/>
      </w:divBdr>
    </w:div>
    <w:div w:id="1541017019">
      <w:bodyDiv w:val="1"/>
      <w:marLeft w:val="0"/>
      <w:marRight w:val="0"/>
      <w:marTop w:val="0"/>
      <w:marBottom w:val="0"/>
      <w:divBdr>
        <w:top w:val="none" w:sz="0" w:space="0" w:color="auto"/>
        <w:left w:val="none" w:sz="0" w:space="0" w:color="auto"/>
        <w:bottom w:val="none" w:sz="0" w:space="0" w:color="auto"/>
        <w:right w:val="none" w:sz="0" w:space="0" w:color="auto"/>
      </w:divBdr>
    </w:div>
    <w:div w:id="1541211212">
      <w:bodyDiv w:val="1"/>
      <w:marLeft w:val="0"/>
      <w:marRight w:val="0"/>
      <w:marTop w:val="0"/>
      <w:marBottom w:val="0"/>
      <w:divBdr>
        <w:top w:val="none" w:sz="0" w:space="0" w:color="auto"/>
        <w:left w:val="none" w:sz="0" w:space="0" w:color="auto"/>
        <w:bottom w:val="none" w:sz="0" w:space="0" w:color="auto"/>
        <w:right w:val="none" w:sz="0" w:space="0" w:color="auto"/>
      </w:divBdr>
    </w:div>
    <w:div w:id="1541237799">
      <w:bodyDiv w:val="1"/>
      <w:marLeft w:val="0"/>
      <w:marRight w:val="0"/>
      <w:marTop w:val="0"/>
      <w:marBottom w:val="0"/>
      <w:divBdr>
        <w:top w:val="none" w:sz="0" w:space="0" w:color="auto"/>
        <w:left w:val="none" w:sz="0" w:space="0" w:color="auto"/>
        <w:bottom w:val="none" w:sz="0" w:space="0" w:color="auto"/>
        <w:right w:val="none" w:sz="0" w:space="0" w:color="auto"/>
      </w:divBdr>
    </w:div>
    <w:div w:id="1541362546">
      <w:bodyDiv w:val="1"/>
      <w:marLeft w:val="0"/>
      <w:marRight w:val="0"/>
      <w:marTop w:val="0"/>
      <w:marBottom w:val="0"/>
      <w:divBdr>
        <w:top w:val="none" w:sz="0" w:space="0" w:color="auto"/>
        <w:left w:val="none" w:sz="0" w:space="0" w:color="auto"/>
        <w:bottom w:val="none" w:sz="0" w:space="0" w:color="auto"/>
        <w:right w:val="none" w:sz="0" w:space="0" w:color="auto"/>
      </w:divBdr>
    </w:div>
    <w:div w:id="1541362945">
      <w:bodyDiv w:val="1"/>
      <w:marLeft w:val="0"/>
      <w:marRight w:val="0"/>
      <w:marTop w:val="0"/>
      <w:marBottom w:val="0"/>
      <w:divBdr>
        <w:top w:val="none" w:sz="0" w:space="0" w:color="auto"/>
        <w:left w:val="none" w:sz="0" w:space="0" w:color="auto"/>
        <w:bottom w:val="none" w:sz="0" w:space="0" w:color="auto"/>
        <w:right w:val="none" w:sz="0" w:space="0" w:color="auto"/>
      </w:divBdr>
    </w:div>
    <w:div w:id="1541431963">
      <w:bodyDiv w:val="1"/>
      <w:marLeft w:val="0"/>
      <w:marRight w:val="0"/>
      <w:marTop w:val="0"/>
      <w:marBottom w:val="0"/>
      <w:divBdr>
        <w:top w:val="none" w:sz="0" w:space="0" w:color="auto"/>
        <w:left w:val="none" w:sz="0" w:space="0" w:color="auto"/>
        <w:bottom w:val="none" w:sz="0" w:space="0" w:color="auto"/>
        <w:right w:val="none" w:sz="0" w:space="0" w:color="auto"/>
      </w:divBdr>
    </w:div>
    <w:div w:id="1541434307">
      <w:bodyDiv w:val="1"/>
      <w:marLeft w:val="0"/>
      <w:marRight w:val="0"/>
      <w:marTop w:val="0"/>
      <w:marBottom w:val="0"/>
      <w:divBdr>
        <w:top w:val="none" w:sz="0" w:space="0" w:color="auto"/>
        <w:left w:val="none" w:sz="0" w:space="0" w:color="auto"/>
        <w:bottom w:val="none" w:sz="0" w:space="0" w:color="auto"/>
        <w:right w:val="none" w:sz="0" w:space="0" w:color="auto"/>
      </w:divBdr>
    </w:div>
    <w:div w:id="1541438760">
      <w:bodyDiv w:val="1"/>
      <w:marLeft w:val="0"/>
      <w:marRight w:val="0"/>
      <w:marTop w:val="0"/>
      <w:marBottom w:val="0"/>
      <w:divBdr>
        <w:top w:val="none" w:sz="0" w:space="0" w:color="auto"/>
        <w:left w:val="none" w:sz="0" w:space="0" w:color="auto"/>
        <w:bottom w:val="none" w:sz="0" w:space="0" w:color="auto"/>
        <w:right w:val="none" w:sz="0" w:space="0" w:color="auto"/>
      </w:divBdr>
    </w:div>
    <w:div w:id="1541624545">
      <w:bodyDiv w:val="1"/>
      <w:marLeft w:val="0"/>
      <w:marRight w:val="0"/>
      <w:marTop w:val="0"/>
      <w:marBottom w:val="0"/>
      <w:divBdr>
        <w:top w:val="none" w:sz="0" w:space="0" w:color="auto"/>
        <w:left w:val="none" w:sz="0" w:space="0" w:color="auto"/>
        <w:bottom w:val="none" w:sz="0" w:space="0" w:color="auto"/>
        <w:right w:val="none" w:sz="0" w:space="0" w:color="auto"/>
      </w:divBdr>
    </w:div>
    <w:div w:id="1541631930">
      <w:bodyDiv w:val="1"/>
      <w:marLeft w:val="0"/>
      <w:marRight w:val="0"/>
      <w:marTop w:val="0"/>
      <w:marBottom w:val="0"/>
      <w:divBdr>
        <w:top w:val="none" w:sz="0" w:space="0" w:color="auto"/>
        <w:left w:val="none" w:sz="0" w:space="0" w:color="auto"/>
        <w:bottom w:val="none" w:sz="0" w:space="0" w:color="auto"/>
        <w:right w:val="none" w:sz="0" w:space="0" w:color="auto"/>
      </w:divBdr>
    </w:div>
    <w:div w:id="1541698327">
      <w:bodyDiv w:val="1"/>
      <w:marLeft w:val="0"/>
      <w:marRight w:val="0"/>
      <w:marTop w:val="0"/>
      <w:marBottom w:val="0"/>
      <w:divBdr>
        <w:top w:val="none" w:sz="0" w:space="0" w:color="auto"/>
        <w:left w:val="none" w:sz="0" w:space="0" w:color="auto"/>
        <w:bottom w:val="none" w:sz="0" w:space="0" w:color="auto"/>
        <w:right w:val="none" w:sz="0" w:space="0" w:color="auto"/>
      </w:divBdr>
    </w:div>
    <w:div w:id="1541820550">
      <w:bodyDiv w:val="1"/>
      <w:marLeft w:val="0"/>
      <w:marRight w:val="0"/>
      <w:marTop w:val="0"/>
      <w:marBottom w:val="0"/>
      <w:divBdr>
        <w:top w:val="none" w:sz="0" w:space="0" w:color="auto"/>
        <w:left w:val="none" w:sz="0" w:space="0" w:color="auto"/>
        <w:bottom w:val="none" w:sz="0" w:space="0" w:color="auto"/>
        <w:right w:val="none" w:sz="0" w:space="0" w:color="auto"/>
      </w:divBdr>
    </w:div>
    <w:div w:id="1541820647">
      <w:bodyDiv w:val="1"/>
      <w:marLeft w:val="0"/>
      <w:marRight w:val="0"/>
      <w:marTop w:val="0"/>
      <w:marBottom w:val="0"/>
      <w:divBdr>
        <w:top w:val="none" w:sz="0" w:space="0" w:color="auto"/>
        <w:left w:val="none" w:sz="0" w:space="0" w:color="auto"/>
        <w:bottom w:val="none" w:sz="0" w:space="0" w:color="auto"/>
        <w:right w:val="none" w:sz="0" w:space="0" w:color="auto"/>
      </w:divBdr>
    </w:div>
    <w:div w:id="1541867128">
      <w:bodyDiv w:val="1"/>
      <w:marLeft w:val="0"/>
      <w:marRight w:val="0"/>
      <w:marTop w:val="0"/>
      <w:marBottom w:val="0"/>
      <w:divBdr>
        <w:top w:val="none" w:sz="0" w:space="0" w:color="auto"/>
        <w:left w:val="none" w:sz="0" w:space="0" w:color="auto"/>
        <w:bottom w:val="none" w:sz="0" w:space="0" w:color="auto"/>
        <w:right w:val="none" w:sz="0" w:space="0" w:color="auto"/>
      </w:divBdr>
    </w:div>
    <w:div w:id="1541895219">
      <w:bodyDiv w:val="1"/>
      <w:marLeft w:val="0"/>
      <w:marRight w:val="0"/>
      <w:marTop w:val="0"/>
      <w:marBottom w:val="0"/>
      <w:divBdr>
        <w:top w:val="none" w:sz="0" w:space="0" w:color="auto"/>
        <w:left w:val="none" w:sz="0" w:space="0" w:color="auto"/>
        <w:bottom w:val="none" w:sz="0" w:space="0" w:color="auto"/>
        <w:right w:val="none" w:sz="0" w:space="0" w:color="auto"/>
      </w:divBdr>
    </w:div>
    <w:div w:id="1541896323">
      <w:bodyDiv w:val="1"/>
      <w:marLeft w:val="0"/>
      <w:marRight w:val="0"/>
      <w:marTop w:val="0"/>
      <w:marBottom w:val="0"/>
      <w:divBdr>
        <w:top w:val="none" w:sz="0" w:space="0" w:color="auto"/>
        <w:left w:val="none" w:sz="0" w:space="0" w:color="auto"/>
        <w:bottom w:val="none" w:sz="0" w:space="0" w:color="auto"/>
        <w:right w:val="none" w:sz="0" w:space="0" w:color="auto"/>
      </w:divBdr>
    </w:div>
    <w:div w:id="1541937431">
      <w:bodyDiv w:val="1"/>
      <w:marLeft w:val="0"/>
      <w:marRight w:val="0"/>
      <w:marTop w:val="0"/>
      <w:marBottom w:val="0"/>
      <w:divBdr>
        <w:top w:val="none" w:sz="0" w:space="0" w:color="auto"/>
        <w:left w:val="none" w:sz="0" w:space="0" w:color="auto"/>
        <w:bottom w:val="none" w:sz="0" w:space="0" w:color="auto"/>
        <w:right w:val="none" w:sz="0" w:space="0" w:color="auto"/>
      </w:divBdr>
    </w:div>
    <w:div w:id="1542014475">
      <w:bodyDiv w:val="1"/>
      <w:marLeft w:val="0"/>
      <w:marRight w:val="0"/>
      <w:marTop w:val="0"/>
      <w:marBottom w:val="0"/>
      <w:divBdr>
        <w:top w:val="none" w:sz="0" w:space="0" w:color="auto"/>
        <w:left w:val="none" w:sz="0" w:space="0" w:color="auto"/>
        <w:bottom w:val="none" w:sz="0" w:space="0" w:color="auto"/>
        <w:right w:val="none" w:sz="0" w:space="0" w:color="auto"/>
      </w:divBdr>
    </w:div>
    <w:div w:id="1542086721">
      <w:bodyDiv w:val="1"/>
      <w:marLeft w:val="0"/>
      <w:marRight w:val="0"/>
      <w:marTop w:val="0"/>
      <w:marBottom w:val="0"/>
      <w:divBdr>
        <w:top w:val="none" w:sz="0" w:space="0" w:color="auto"/>
        <w:left w:val="none" w:sz="0" w:space="0" w:color="auto"/>
        <w:bottom w:val="none" w:sz="0" w:space="0" w:color="auto"/>
        <w:right w:val="none" w:sz="0" w:space="0" w:color="auto"/>
      </w:divBdr>
    </w:div>
    <w:div w:id="1542092358">
      <w:bodyDiv w:val="1"/>
      <w:marLeft w:val="0"/>
      <w:marRight w:val="0"/>
      <w:marTop w:val="0"/>
      <w:marBottom w:val="0"/>
      <w:divBdr>
        <w:top w:val="none" w:sz="0" w:space="0" w:color="auto"/>
        <w:left w:val="none" w:sz="0" w:space="0" w:color="auto"/>
        <w:bottom w:val="none" w:sz="0" w:space="0" w:color="auto"/>
        <w:right w:val="none" w:sz="0" w:space="0" w:color="auto"/>
      </w:divBdr>
    </w:div>
    <w:div w:id="1542136074">
      <w:bodyDiv w:val="1"/>
      <w:marLeft w:val="0"/>
      <w:marRight w:val="0"/>
      <w:marTop w:val="0"/>
      <w:marBottom w:val="0"/>
      <w:divBdr>
        <w:top w:val="none" w:sz="0" w:space="0" w:color="auto"/>
        <w:left w:val="none" w:sz="0" w:space="0" w:color="auto"/>
        <w:bottom w:val="none" w:sz="0" w:space="0" w:color="auto"/>
        <w:right w:val="none" w:sz="0" w:space="0" w:color="auto"/>
      </w:divBdr>
    </w:div>
    <w:div w:id="1542136472">
      <w:bodyDiv w:val="1"/>
      <w:marLeft w:val="0"/>
      <w:marRight w:val="0"/>
      <w:marTop w:val="0"/>
      <w:marBottom w:val="0"/>
      <w:divBdr>
        <w:top w:val="none" w:sz="0" w:space="0" w:color="auto"/>
        <w:left w:val="none" w:sz="0" w:space="0" w:color="auto"/>
        <w:bottom w:val="none" w:sz="0" w:space="0" w:color="auto"/>
        <w:right w:val="none" w:sz="0" w:space="0" w:color="auto"/>
      </w:divBdr>
    </w:div>
    <w:div w:id="1542278099">
      <w:bodyDiv w:val="1"/>
      <w:marLeft w:val="0"/>
      <w:marRight w:val="0"/>
      <w:marTop w:val="0"/>
      <w:marBottom w:val="0"/>
      <w:divBdr>
        <w:top w:val="none" w:sz="0" w:space="0" w:color="auto"/>
        <w:left w:val="none" w:sz="0" w:space="0" w:color="auto"/>
        <w:bottom w:val="none" w:sz="0" w:space="0" w:color="auto"/>
        <w:right w:val="none" w:sz="0" w:space="0" w:color="auto"/>
      </w:divBdr>
    </w:div>
    <w:div w:id="1542401290">
      <w:bodyDiv w:val="1"/>
      <w:marLeft w:val="0"/>
      <w:marRight w:val="0"/>
      <w:marTop w:val="0"/>
      <w:marBottom w:val="0"/>
      <w:divBdr>
        <w:top w:val="none" w:sz="0" w:space="0" w:color="auto"/>
        <w:left w:val="none" w:sz="0" w:space="0" w:color="auto"/>
        <w:bottom w:val="none" w:sz="0" w:space="0" w:color="auto"/>
        <w:right w:val="none" w:sz="0" w:space="0" w:color="auto"/>
      </w:divBdr>
    </w:div>
    <w:div w:id="1542475209">
      <w:bodyDiv w:val="1"/>
      <w:marLeft w:val="0"/>
      <w:marRight w:val="0"/>
      <w:marTop w:val="0"/>
      <w:marBottom w:val="0"/>
      <w:divBdr>
        <w:top w:val="none" w:sz="0" w:space="0" w:color="auto"/>
        <w:left w:val="none" w:sz="0" w:space="0" w:color="auto"/>
        <w:bottom w:val="none" w:sz="0" w:space="0" w:color="auto"/>
        <w:right w:val="none" w:sz="0" w:space="0" w:color="auto"/>
      </w:divBdr>
    </w:div>
    <w:div w:id="1542547117">
      <w:bodyDiv w:val="1"/>
      <w:marLeft w:val="0"/>
      <w:marRight w:val="0"/>
      <w:marTop w:val="0"/>
      <w:marBottom w:val="0"/>
      <w:divBdr>
        <w:top w:val="none" w:sz="0" w:space="0" w:color="auto"/>
        <w:left w:val="none" w:sz="0" w:space="0" w:color="auto"/>
        <w:bottom w:val="none" w:sz="0" w:space="0" w:color="auto"/>
        <w:right w:val="none" w:sz="0" w:space="0" w:color="auto"/>
      </w:divBdr>
    </w:div>
    <w:div w:id="1542597110">
      <w:bodyDiv w:val="1"/>
      <w:marLeft w:val="0"/>
      <w:marRight w:val="0"/>
      <w:marTop w:val="0"/>
      <w:marBottom w:val="0"/>
      <w:divBdr>
        <w:top w:val="none" w:sz="0" w:space="0" w:color="auto"/>
        <w:left w:val="none" w:sz="0" w:space="0" w:color="auto"/>
        <w:bottom w:val="none" w:sz="0" w:space="0" w:color="auto"/>
        <w:right w:val="none" w:sz="0" w:space="0" w:color="auto"/>
      </w:divBdr>
    </w:div>
    <w:div w:id="1542673577">
      <w:bodyDiv w:val="1"/>
      <w:marLeft w:val="0"/>
      <w:marRight w:val="0"/>
      <w:marTop w:val="0"/>
      <w:marBottom w:val="0"/>
      <w:divBdr>
        <w:top w:val="none" w:sz="0" w:space="0" w:color="auto"/>
        <w:left w:val="none" w:sz="0" w:space="0" w:color="auto"/>
        <w:bottom w:val="none" w:sz="0" w:space="0" w:color="auto"/>
        <w:right w:val="none" w:sz="0" w:space="0" w:color="auto"/>
      </w:divBdr>
    </w:div>
    <w:div w:id="1542742781">
      <w:bodyDiv w:val="1"/>
      <w:marLeft w:val="0"/>
      <w:marRight w:val="0"/>
      <w:marTop w:val="0"/>
      <w:marBottom w:val="0"/>
      <w:divBdr>
        <w:top w:val="none" w:sz="0" w:space="0" w:color="auto"/>
        <w:left w:val="none" w:sz="0" w:space="0" w:color="auto"/>
        <w:bottom w:val="none" w:sz="0" w:space="0" w:color="auto"/>
        <w:right w:val="none" w:sz="0" w:space="0" w:color="auto"/>
      </w:divBdr>
    </w:div>
    <w:div w:id="1542790296">
      <w:bodyDiv w:val="1"/>
      <w:marLeft w:val="0"/>
      <w:marRight w:val="0"/>
      <w:marTop w:val="0"/>
      <w:marBottom w:val="0"/>
      <w:divBdr>
        <w:top w:val="none" w:sz="0" w:space="0" w:color="auto"/>
        <w:left w:val="none" w:sz="0" w:space="0" w:color="auto"/>
        <w:bottom w:val="none" w:sz="0" w:space="0" w:color="auto"/>
        <w:right w:val="none" w:sz="0" w:space="0" w:color="auto"/>
      </w:divBdr>
    </w:div>
    <w:div w:id="1542937737">
      <w:bodyDiv w:val="1"/>
      <w:marLeft w:val="0"/>
      <w:marRight w:val="0"/>
      <w:marTop w:val="0"/>
      <w:marBottom w:val="0"/>
      <w:divBdr>
        <w:top w:val="none" w:sz="0" w:space="0" w:color="auto"/>
        <w:left w:val="none" w:sz="0" w:space="0" w:color="auto"/>
        <w:bottom w:val="none" w:sz="0" w:space="0" w:color="auto"/>
        <w:right w:val="none" w:sz="0" w:space="0" w:color="auto"/>
      </w:divBdr>
    </w:div>
    <w:div w:id="1543058539">
      <w:bodyDiv w:val="1"/>
      <w:marLeft w:val="0"/>
      <w:marRight w:val="0"/>
      <w:marTop w:val="0"/>
      <w:marBottom w:val="0"/>
      <w:divBdr>
        <w:top w:val="none" w:sz="0" w:space="0" w:color="auto"/>
        <w:left w:val="none" w:sz="0" w:space="0" w:color="auto"/>
        <w:bottom w:val="none" w:sz="0" w:space="0" w:color="auto"/>
        <w:right w:val="none" w:sz="0" w:space="0" w:color="auto"/>
      </w:divBdr>
    </w:div>
    <w:div w:id="1543059580">
      <w:bodyDiv w:val="1"/>
      <w:marLeft w:val="0"/>
      <w:marRight w:val="0"/>
      <w:marTop w:val="0"/>
      <w:marBottom w:val="0"/>
      <w:divBdr>
        <w:top w:val="none" w:sz="0" w:space="0" w:color="auto"/>
        <w:left w:val="none" w:sz="0" w:space="0" w:color="auto"/>
        <w:bottom w:val="none" w:sz="0" w:space="0" w:color="auto"/>
        <w:right w:val="none" w:sz="0" w:space="0" w:color="auto"/>
      </w:divBdr>
    </w:div>
    <w:div w:id="1543132906">
      <w:bodyDiv w:val="1"/>
      <w:marLeft w:val="0"/>
      <w:marRight w:val="0"/>
      <w:marTop w:val="0"/>
      <w:marBottom w:val="0"/>
      <w:divBdr>
        <w:top w:val="none" w:sz="0" w:space="0" w:color="auto"/>
        <w:left w:val="none" w:sz="0" w:space="0" w:color="auto"/>
        <w:bottom w:val="none" w:sz="0" w:space="0" w:color="auto"/>
        <w:right w:val="none" w:sz="0" w:space="0" w:color="auto"/>
      </w:divBdr>
    </w:div>
    <w:div w:id="1543206324">
      <w:bodyDiv w:val="1"/>
      <w:marLeft w:val="0"/>
      <w:marRight w:val="0"/>
      <w:marTop w:val="0"/>
      <w:marBottom w:val="0"/>
      <w:divBdr>
        <w:top w:val="none" w:sz="0" w:space="0" w:color="auto"/>
        <w:left w:val="none" w:sz="0" w:space="0" w:color="auto"/>
        <w:bottom w:val="none" w:sz="0" w:space="0" w:color="auto"/>
        <w:right w:val="none" w:sz="0" w:space="0" w:color="auto"/>
      </w:divBdr>
    </w:div>
    <w:div w:id="1543206611">
      <w:bodyDiv w:val="1"/>
      <w:marLeft w:val="0"/>
      <w:marRight w:val="0"/>
      <w:marTop w:val="0"/>
      <w:marBottom w:val="0"/>
      <w:divBdr>
        <w:top w:val="none" w:sz="0" w:space="0" w:color="auto"/>
        <w:left w:val="none" w:sz="0" w:space="0" w:color="auto"/>
        <w:bottom w:val="none" w:sz="0" w:space="0" w:color="auto"/>
        <w:right w:val="none" w:sz="0" w:space="0" w:color="auto"/>
      </w:divBdr>
    </w:div>
    <w:div w:id="1543325385">
      <w:bodyDiv w:val="1"/>
      <w:marLeft w:val="0"/>
      <w:marRight w:val="0"/>
      <w:marTop w:val="0"/>
      <w:marBottom w:val="0"/>
      <w:divBdr>
        <w:top w:val="none" w:sz="0" w:space="0" w:color="auto"/>
        <w:left w:val="none" w:sz="0" w:space="0" w:color="auto"/>
        <w:bottom w:val="none" w:sz="0" w:space="0" w:color="auto"/>
        <w:right w:val="none" w:sz="0" w:space="0" w:color="auto"/>
      </w:divBdr>
    </w:div>
    <w:div w:id="1543588672">
      <w:bodyDiv w:val="1"/>
      <w:marLeft w:val="0"/>
      <w:marRight w:val="0"/>
      <w:marTop w:val="0"/>
      <w:marBottom w:val="0"/>
      <w:divBdr>
        <w:top w:val="none" w:sz="0" w:space="0" w:color="auto"/>
        <w:left w:val="none" w:sz="0" w:space="0" w:color="auto"/>
        <w:bottom w:val="none" w:sz="0" w:space="0" w:color="auto"/>
        <w:right w:val="none" w:sz="0" w:space="0" w:color="auto"/>
      </w:divBdr>
    </w:div>
    <w:div w:id="1543593711">
      <w:bodyDiv w:val="1"/>
      <w:marLeft w:val="0"/>
      <w:marRight w:val="0"/>
      <w:marTop w:val="0"/>
      <w:marBottom w:val="0"/>
      <w:divBdr>
        <w:top w:val="none" w:sz="0" w:space="0" w:color="auto"/>
        <w:left w:val="none" w:sz="0" w:space="0" w:color="auto"/>
        <w:bottom w:val="none" w:sz="0" w:space="0" w:color="auto"/>
        <w:right w:val="none" w:sz="0" w:space="0" w:color="auto"/>
      </w:divBdr>
    </w:div>
    <w:div w:id="1543707929">
      <w:bodyDiv w:val="1"/>
      <w:marLeft w:val="0"/>
      <w:marRight w:val="0"/>
      <w:marTop w:val="0"/>
      <w:marBottom w:val="0"/>
      <w:divBdr>
        <w:top w:val="none" w:sz="0" w:space="0" w:color="auto"/>
        <w:left w:val="none" w:sz="0" w:space="0" w:color="auto"/>
        <w:bottom w:val="none" w:sz="0" w:space="0" w:color="auto"/>
        <w:right w:val="none" w:sz="0" w:space="0" w:color="auto"/>
      </w:divBdr>
    </w:div>
    <w:div w:id="1543789193">
      <w:bodyDiv w:val="1"/>
      <w:marLeft w:val="0"/>
      <w:marRight w:val="0"/>
      <w:marTop w:val="0"/>
      <w:marBottom w:val="0"/>
      <w:divBdr>
        <w:top w:val="none" w:sz="0" w:space="0" w:color="auto"/>
        <w:left w:val="none" w:sz="0" w:space="0" w:color="auto"/>
        <w:bottom w:val="none" w:sz="0" w:space="0" w:color="auto"/>
        <w:right w:val="none" w:sz="0" w:space="0" w:color="auto"/>
      </w:divBdr>
    </w:div>
    <w:div w:id="1543904830">
      <w:bodyDiv w:val="1"/>
      <w:marLeft w:val="0"/>
      <w:marRight w:val="0"/>
      <w:marTop w:val="0"/>
      <w:marBottom w:val="0"/>
      <w:divBdr>
        <w:top w:val="none" w:sz="0" w:space="0" w:color="auto"/>
        <w:left w:val="none" w:sz="0" w:space="0" w:color="auto"/>
        <w:bottom w:val="none" w:sz="0" w:space="0" w:color="auto"/>
        <w:right w:val="none" w:sz="0" w:space="0" w:color="auto"/>
      </w:divBdr>
    </w:div>
    <w:div w:id="1543983792">
      <w:bodyDiv w:val="1"/>
      <w:marLeft w:val="0"/>
      <w:marRight w:val="0"/>
      <w:marTop w:val="0"/>
      <w:marBottom w:val="0"/>
      <w:divBdr>
        <w:top w:val="none" w:sz="0" w:space="0" w:color="auto"/>
        <w:left w:val="none" w:sz="0" w:space="0" w:color="auto"/>
        <w:bottom w:val="none" w:sz="0" w:space="0" w:color="auto"/>
        <w:right w:val="none" w:sz="0" w:space="0" w:color="auto"/>
      </w:divBdr>
    </w:div>
    <w:div w:id="1544054088">
      <w:bodyDiv w:val="1"/>
      <w:marLeft w:val="0"/>
      <w:marRight w:val="0"/>
      <w:marTop w:val="0"/>
      <w:marBottom w:val="0"/>
      <w:divBdr>
        <w:top w:val="none" w:sz="0" w:space="0" w:color="auto"/>
        <w:left w:val="none" w:sz="0" w:space="0" w:color="auto"/>
        <w:bottom w:val="none" w:sz="0" w:space="0" w:color="auto"/>
        <w:right w:val="none" w:sz="0" w:space="0" w:color="auto"/>
      </w:divBdr>
    </w:div>
    <w:div w:id="1544056150">
      <w:bodyDiv w:val="1"/>
      <w:marLeft w:val="0"/>
      <w:marRight w:val="0"/>
      <w:marTop w:val="0"/>
      <w:marBottom w:val="0"/>
      <w:divBdr>
        <w:top w:val="none" w:sz="0" w:space="0" w:color="auto"/>
        <w:left w:val="none" w:sz="0" w:space="0" w:color="auto"/>
        <w:bottom w:val="none" w:sz="0" w:space="0" w:color="auto"/>
        <w:right w:val="none" w:sz="0" w:space="0" w:color="auto"/>
      </w:divBdr>
    </w:div>
    <w:div w:id="1544245196">
      <w:bodyDiv w:val="1"/>
      <w:marLeft w:val="0"/>
      <w:marRight w:val="0"/>
      <w:marTop w:val="0"/>
      <w:marBottom w:val="0"/>
      <w:divBdr>
        <w:top w:val="none" w:sz="0" w:space="0" w:color="auto"/>
        <w:left w:val="none" w:sz="0" w:space="0" w:color="auto"/>
        <w:bottom w:val="none" w:sz="0" w:space="0" w:color="auto"/>
        <w:right w:val="none" w:sz="0" w:space="0" w:color="auto"/>
      </w:divBdr>
    </w:div>
    <w:div w:id="1544322357">
      <w:bodyDiv w:val="1"/>
      <w:marLeft w:val="0"/>
      <w:marRight w:val="0"/>
      <w:marTop w:val="0"/>
      <w:marBottom w:val="0"/>
      <w:divBdr>
        <w:top w:val="none" w:sz="0" w:space="0" w:color="auto"/>
        <w:left w:val="none" w:sz="0" w:space="0" w:color="auto"/>
        <w:bottom w:val="none" w:sz="0" w:space="0" w:color="auto"/>
        <w:right w:val="none" w:sz="0" w:space="0" w:color="auto"/>
      </w:divBdr>
    </w:div>
    <w:div w:id="1544437272">
      <w:bodyDiv w:val="1"/>
      <w:marLeft w:val="0"/>
      <w:marRight w:val="0"/>
      <w:marTop w:val="0"/>
      <w:marBottom w:val="0"/>
      <w:divBdr>
        <w:top w:val="none" w:sz="0" w:space="0" w:color="auto"/>
        <w:left w:val="none" w:sz="0" w:space="0" w:color="auto"/>
        <w:bottom w:val="none" w:sz="0" w:space="0" w:color="auto"/>
        <w:right w:val="none" w:sz="0" w:space="0" w:color="auto"/>
      </w:divBdr>
    </w:div>
    <w:div w:id="1544514334">
      <w:bodyDiv w:val="1"/>
      <w:marLeft w:val="0"/>
      <w:marRight w:val="0"/>
      <w:marTop w:val="0"/>
      <w:marBottom w:val="0"/>
      <w:divBdr>
        <w:top w:val="none" w:sz="0" w:space="0" w:color="auto"/>
        <w:left w:val="none" w:sz="0" w:space="0" w:color="auto"/>
        <w:bottom w:val="none" w:sz="0" w:space="0" w:color="auto"/>
        <w:right w:val="none" w:sz="0" w:space="0" w:color="auto"/>
      </w:divBdr>
    </w:div>
    <w:div w:id="1544558221">
      <w:bodyDiv w:val="1"/>
      <w:marLeft w:val="0"/>
      <w:marRight w:val="0"/>
      <w:marTop w:val="0"/>
      <w:marBottom w:val="0"/>
      <w:divBdr>
        <w:top w:val="none" w:sz="0" w:space="0" w:color="auto"/>
        <w:left w:val="none" w:sz="0" w:space="0" w:color="auto"/>
        <w:bottom w:val="none" w:sz="0" w:space="0" w:color="auto"/>
        <w:right w:val="none" w:sz="0" w:space="0" w:color="auto"/>
      </w:divBdr>
    </w:div>
    <w:div w:id="1544631640">
      <w:bodyDiv w:val="1"/>
      <w:marLeft w:val="0"/>
      <w:marRight w:val="0"/>
      <w:marTop w:val="0"/>
      <w:marBottom w:val="0"/>
      <w:divBdr>
        <w:top w:val="none" w:sz="0" w:space="0" w:color="auto"/>
        <w:left w:val="none" w:sz="0" w:space="0" w:color="auto"/>
        <w:bottom w:val="none" w:sz="0" w:space="0" w:color="auto"/>
        <w:right w:val="none" w:sz="0" w:space="0" w:color="auto"/>
      </w:divBdr>
    </w:div>
    <w:div w:id="1544639096">
      <w:bodyDiv w:val="1"/>
      <w:marLeft w:val="0"/>
      <w:marRight w:val="0"/>
      <w:marTop w:val="0"/>
      <w:marBottom w:val="0"/>
      <w:divBdr>
        <w:top w:val="none" w:sz="0" w:space="0" w:color="auto"/>
        <w:left w:val="none" w:sz="0" w:space="0" w:color="auto"/>
        <w:bottom w:val="none" w:sz="0" w:space="0" w:color="auto"/>
        <w:right w:val="none" w:sz="0" w:space="0" w:color="auto"/>
      </w:divBdr>
    </w:div>
    <w:div w:id="1544905195">
      <w:bodyDiv w:val="1"/>
      <w:marLeft w:val="0"/>
      <w:marRight w:val="0"/>
      <w:marTop w:val="0"/>
      <w:marBottom w:val="0"/>
      <w:divBdr>
        <w:top w:val="none" w:sz="0" w:space="0" w:color="auto"/>
        <w:left w:val="none" w:sz="0" w:space="0" w:color="auto"/>
        <w:bottom w:val="none" w:sz="0" w:space="0" w:color="auto"/>
        <w:right w:val="none" w:sz="0" w:space="0" w:color="auto"/>
      </w:divBdr>
    </w:div>
    <w:div w:id="1545017766">
      <w:bodyDiv w:val="1"/>
      <w:marLeft w:val="0"/>
      <w:marRight w:val="0"/>
      <w:marTop w:val="0"/>
      <w:marBottom w:val="0"/>
      <w:divBdr>
        <w:top w:val="none" w:sz="0" w:space="0" w:color="auto"/>
        <w:left w:val="none" w:sz="0" w:space="0" w:color="auto"/>
        <w:bottom w:val="none" w:sz="0" w:space="0" w:color="auto"/>
        <w:right w:val="none" w:sz="0" w:space="0" w:color="auto"/>
      </w:divBdr>
    </w:div>
    <w:div w:id="1545168770">
      <w:bodyDiv w:val="1"/>
      <w:marLeft w:val="0"/>
      <w:marRight w:val="0"/>
      <w:marTop w:val="0"/>
      <w:marBottom w:val="0"/>
      <w:divBdr>
        <w:top w:val="none" w:sz="0" w:space="0" w:color="auto"/>
        <w:left w:val="none" w:sz="0" w:space="0" w:color="auto"/>
        <w:bottom w:val="none" w:sz="0" w:space="0" w:color="auto"/>
        <w:right w:val="none" w:sz="0" w:space="0" w:color="auto"/>
      </w:divBdr>
    </w:div>
    <w:div w:id="1545210973">
      <w:bodyDiv w:val="1"/>
      <w:marLeft w:val="0"/>
      <w:marRight w:val="0"/>
      <w:marTop w:val="0"/>
      <w:marBottom w:val="0"/>
      <w:divBdr>
        <w:top w:val="none" w:sz="0" w:space="0" w:color="auto"/>
        <w:left w:val="none" w:sz="0" w:space="0" w:color="auto"/>
        <w:bottom w:val="none" w:sz="0" w:space="0" w:color="auto"/>
        <w:right w:val="none" w:sz="0" w:space="0" w:color="auto"/>
      </w:divBdr>
    </w:div>
    <w:div w:id="1545287911">
      <w:bodyDiv w:val="1"/>
      <w:marLeft w:val="0"/>
      <w:marRight w:val="0"/>
      <w:marTop w:val="0"/>
      <w:marBottom w:val="0"/>
      <w:divBdr>
        <w:top w:val="none" w:sz="0" w:space="0" w:color="auto"/>
        <w:left w:val="none" w:sz="0" w:space="0" w:color="auto"/>
        <w:bottom w:val="none" w:sz="0" w:space="0" w:color="auto"/>
        <w:right w:val="none" w:sz="0" w:space="0" w:color="auto"/>
      </w:divBdr>
    </w:div>
    <w:div w:id="1545555105">
      <w:bodyDiv w:val="1"/>
      <w:marLeft w:val="0"/>
      <w:marRight w:val="0"/>
      <w:marTop w:val="0"/>
      <w:marBottom w:val="0"/>
      <w:divBdr>
        <w:top w:val="none" w:sz="0" w:space="0" w:color="auto"/>
        <w:left w:val="none" w:sz="0" w:space="0" w:color="auto"/>
        <w:bottom w:val="none" w:sz="0" w:space="0" w:color="auto"/>
        <w:right w:val="none" w:sz="0" w:space="0" w:color="auto"/>
      </w:divBdr>
    </w:div>
    <w:div w:id="1545602954">
      <w:bodyDiv w:val="1"/>
      <w:marLeft w:val="0"/>
      <w:marRight w:val="0"/>
      <w:marTop w:val="0"/>
      <w:marBottom w:val="0"/>
      <w:divBdr>
        <w:top w:val="none" w:sz="0" w:space="0" w:color="auto"/>
        <w:left w:val="none" w:sz="0" w:space="0" w:color="auto"/>
        <w:bottom w:val="none" w:sz="0" w:space="0" w:color="auto"/>
        <w:right w:val="none" w:sz="0" w:space="0" w:color="auto"/>
      </w:divBdr>
    </w:div>
    <w:div w:id="1545631248">
      <w:bodyDiv w:val="1"/>
      <w:marLeft w:val="0"/>
      <w:marRight w:val="0"/>
      <w:marTop w:val="0"/>
      <w:marBottom w:val="0"/>
      <w:divBdr>
        <w:top w:val="none" w:sz="0" w:space="0" w:color="auto"/>
        <w:left w:val="none" w:sz="0" w:space="0" w:color="auto"/>
        <w:bottom w:val="none" w:sz="0" w:space="0" w:color="auto"/>
        <w:right w:val="none" w:sz="0" w:space="0" w:color="auto"/>
      </w:divBdr>
    </w:div>
    <w:div w:id="1545755245">
      <w:bodyDiv w:val="1"/>
      <w:marLeft w:val="0"/>
      <w:marRight w:val="0"/>
      <w:marTop w:val="0"/>
      <w:marBottom w:val="0"/>
      <w:divBdr>
        <w:top w:val="none" w:sz="0" w:space="0" w:color="auto"/>
        <w:left w:val="none" w:sz="0" w:space="0" w:color="auto"/>
        <w:bottom w:val="none" w:sz="0" w:space="0" w:color="auto"/>
        <w:right w:val="none" w:sz="0" w:space="0" w:color="auto"/>
      </w:divBdr>
    </w:div>
    <w:div w:id="1545825477">
      <w:bodyDiv w:val="1"/>
      <w:marLeft w:val="0"/>
      <w:marRight w:val="0"/>
      <w:marTop w:val="0"/>
      <w:marBottom w:val="0"/>
      <w:divBdr>
        <w:top w:val="none" w:sz="0" w:space="0" w:color="auto"/>
        <w:left w:val="none" w:sz="0" w:space="0" w:color="auto"/>
        <w:bottom w:val="none" w:sz="0" w:space="0" w:color="auto"/>
        <w:right w:val="none" w:sz="0" w:space="0" w:color="auto"/>
      </w:divBdr>
    </w:div>
    <w:div w:id="1545945483">
      <w:bodyDiv w:val="1"/>
      <w:marLeft w:val="0"/>
      <w:marRight w:val="0"/>
      <w:marTop w:val="0"/>
      <w:marBottom w:val="0"/>
      <w:divBdr>
        <w:top w:val="none" w:sz="0" w:space="0" w:color="auto"/>
        <w:left w:val="none" w:sz="0" w:space="0" w:color="auto"/>
        <w:bottom w:val="none" w:sz="0" w:space="0" w:color="auto"/>
        <w:right w:val="none" w:sz="0" w:space="0" w:color="auto"/>
      </w:divBdr>
    </w:div>
    <w:div w:id="1545950285">
      <w:bodyDiv w:val="1"/>
      <w:marLeft w:val="0"/>
      <w:marRight w:val="0"/>
      <w:marTop w:val="0"/>
      <w:marBottom w:val="0"/>
      <w:divBdr>
        <w:top w:val="none" w:sz="0" w:space="0" w:color="auto"/>
        <w:left w:val="none" w:sz="0" w:space="0" w:color="auto"/>
        <w:bottom w:val="none" w:sz="0" w:space="0" w:color="auto"/>
        <w:right w:val="none" w:sz="0" w:space="0" w:color="auto"/>
      </w:divBdr>
    </w:div>
    <w:div w:id="1546025574">
      <w:bodyDiv w:val="1"/>
      <w:marLeft w:val="0"/>
      <w:marRight w:val="0"/>
      <w:marTop w:val="0"/>
      <w:marBottom w:val="0"/>
      <w:divBdr>
        <w:top w:val="none" w:sz="0" w:space="0" w:color="auto"/>
        <w:left w:val="none" w:sz="0" w:space="0" w:color="auto"/>
        <w:bottom w:val="none" w:sz="0" w:space="0" w:color="auto"/>
        <w:right w:val="none" w:sz="0" w:space="0" w:color="auto"/>
      </w:divBdr>
    </w:div>
    <w:div w:id="1546067386">
      <w:bodyDiv w:val="1"/>
      <w:marLeft w:val="0"/>
      <w:marRight w:val="0"/>
      <w:marTop w:val="0"/>
      <w:marBottom w:val="0"/>
      <w:divBdr>
        <w:top w:val="none" w:sz="0" w:space="0" w:color="auto"/>
        <w:left w:val="none" w:sz="0" w:space="0" w:color="auto"/>
        <w:bottom w:val="none" w:sz="0" w:space="0" w:color="auto"/>
        <w:right w:val="none" w:sz="0" w:space="0" w:color="auto"/>
      </w:divBdr>
    </w:div>
    <w:div w:id="1546214361">
      <w:bodyDiv w:val="1"/>
      <w:marLeft w:val="0"/>
      <w:marRight w:val="0"/>
      <w:marTop w:val="0"/>
      <w:marBottom w:val="0"/>
      <w:divBdr>
        <w:top w:val="none" w:sz="0" w:space="0" w:color="auto"/>
        <w:left w:val="none" w:sz="0" w:space="0" w:color="auto"/>
        <w:bottom w:val="none" w:sz="0" w:space="0" w:color="auto"/>
        <w:right w:val="none" w:sz="0" w:space="0" w:color="auto"/>
      </w:divBdr>
    </w:div>
    <w:div w:id="1546258615">
      <w:bodyDiv w:val="1"/>
      <w:marLeft w:val="0"/>
      <w:marRight w:val="0"/>
      <w:marTop w:val="0"/>
      <w:marBottom w:val="0"/>
      <w:divBdr>
        <w:top w:val="none" w:sz="0" w:space="0" w:color="auto"/>
        <w:left w:val="none" w:sz="0" w:space="0" w:color="auto"/>
        <w:bottom w:val="none" w:sz="0" w:space="0" w:color="auto"/>
        <w:right w:val="none" w:sz="0" w:space="0" w:color="auto"/>
      </w:divBdr>
    </w:div>
    <w:div w:id="1546332174">
      <w:bodyDiv w:val="1"/>
      <w:marLeft w:val="0"/>
      <w:marRight w:val="0"/>
      <w:marTop w:val="0"/>
      <w:marBottom w:val="0"/>
      <w:divBdr>
        <w:top w:val="none" w:sz="0" w:space="0" w:color="auto"/>
        <w:left w:val="none" w:sz="0" w:space="0" w:color="auto"/>
        <w:bottom w:val="none" w:sz="0" w:space="0" w:color="auto"/>
        <w:right w:val="none" w:sz="0" w:space="0" w:color="auto"/>
      </w:divBdr>
    </w:div>
    <w:div w:id="1546336569">
      <w:bodyDiv w:val="1"/>
      <w:marLeft w:val="0"/>
      <w:marRight w:val="0"/>
      <w:marTop w:val="0"/>
      <w:marBottom w:val="0"/>
      <w:divBdr>
        <w:top w:val="none" w:sz="0" w:space="0" w:color="auto"/>
        <w:left w:val="none" w:sz="0" w:space="0" w:color="auto"/>
        <w:bottom w:val="none" w:sz="0" w:space="0" w:color="auto"/>
        <w:right w:val="none" w:sz="0" w:space="0" w:color="auto"/>
      </w:divBdr>
    </w:div>
    <w:div w:id="1546407265">
      <w:bodyDiv w:val="1"/>
      <w:marLeft w:val="0"/>
      <w:marRight w:val="0"/>
      <w:marTop w:val="0"/>
      <w:marBottom w:val="0"/>
      <w:divBdr>
        <w:top w:val="none" w:sz="0" w:space="0" w:color="auto"/>
        <w:left w:val="none" w:sz="0" w:space="0" w:color="auto"/>
        <w:bottom w:val="none" w:sz="0" w:space="0" w:color="auto"/>
        <w:right w:val="none" w:sz="0" w:space="0" w:color="auto"/>
      </w:divBdr>
    </w:div>
    <w:div w:id="1546409635">
      <w:bodyDiv w:val="1"/>
      <w:marLeft w:val="0"/>
      <w:marRight w:val="0"/>
      <w:marTop w:val="0"/>
      <w:marBottom w:val="0"/>
      <w:divBdr>
        <w:top w:val="none" w:sz="0" w:space="0" w:color="auto"/>
        <w:left w:val="none" w:sz="0" w:space="0" w:color="auto"/>
        <w:bottom w:val="none" w:sz="0" w:space="0" w:color="auto"/>
        <w:right w:val="none" w:sz="0" w:space="0" w:color="auto"/>
      </w:divBdr>
    </w:div>
    <w:div w:id="1546410420">
      <w:bodyDiv w:val="1"/>
      <w:marLeft w:val="0"/>
      <w:marRight w:val="0"/>
      <w:marTop w:val="0"/>
      <w:marBottom w:val="0"/>
      <w:divBdr>
        <w:top w:val="none" w:sz="0" w:space="0" w:color="auto"/>
        <w:left w:val="none" w:sz="0" w:space="0" w:color="auto"/>
        <w:bottom w:val="none" w:sz="0" w:space="0" w:color="auto"/>
        <w:right w:val="none" w:sz="0" w:space="0" w:color="auto"/>
      </w:divBdr>
    </w:div>
    <w:div w:id="1546453297">
      <w:bodyDiv w:val="1"/>
      <w:marLeft w:val="0"/>
      <w:marRight w:val="0"/>
      <w:marTop w:val="0"/>
      <w:marBottom w:val="0"/>
      <w:divBdr>
        <w:top w:val="none" w:sz="0" w:space="0" w:color="auto"/>
        <w:left w:val="none" w:sz="0" w:space="0" w:color="auto"/>
        <w:bottom w:val="none" w:sz="0" w:space="0" w:color="auto"/>
        <w:right w:val="none" w:sz="0" w:space="0" w:color="auto"/>
      </w:divBdr>
    </w:div>
    <w:div w:id="1546600242">
      <w:bodyDiv w:val="1"/>
      <w:marLeft w:val="0"/>
      <w:marRight w:val="0"/>
      <w:marTop w:val="0"/>
      <w:marBottom w:val="0"/>
      <w:divBdr>
        <w:top w:val="none" w:sz="0" w:space="0" w:color="auto"/>
        <w:left w:val="none" w:sz="0" w:space="0" w:color="auto"/>
        <w:bottom w:val="none" w:sz="0" w:space="0" w:color="auto"/>
        <w:right w:val="none" w:sz="0" w:space="0" w:color="auto"/>
      </w:divBdr>
    </w:div>
    <w:div w:id="1546679693">
      <w:bodyDiv w:val="1"/>
      <w:marLeft w:val="0"/>
      <w:marRight w:val="0"/>
      <w:marTop w:val="0"/>
      <w:marBottom w:val="0"/>
      <w:divBdr>
        <w:top w:val="none" w:sz="0" w:space="0" w:color="auto"/>
        <w:left w:val="none" w:sz="0" w:space="0" w:color="auto"/>
        <w:bottom w:val="none" w:sz="0" w:space="0" w:color="auto"/>
        <w:right w:val="none" w:sz="0" w:space="0" w:color="auto"/>
      </w:divBdr>
    </w:div>
    <w:div w:id="1546792992">
      <w:bodyDiv w:val="1"/>
      <w:marLeft w:val="0"/>
      <w:marRight w:val="0"/>
      <w:marTop w:val="0"/>
      <w:marBottom w:val="0"/>
      <w:divBdr>
        <w:top w:val="none" w:sz="0" w:space="0" w:color="auto"/>
        <w:left w:val="none" w:sz="0" w:space="0" w:color="auto"/>
        <w:bottom w:val="none" w:sz="0" w:space="0" w:color="auto"/>
        <w:right w:val="none" w:sz="0" w:space="0" w:color="auto"/>
      </w:divBdr>
    </w:div>
    <w:div w:id="1546867510">
      <w:bodyDiv w:val="1"/>
      <w:marLeft w:val="0"/>
      <w:marRight w:val="0"/>
      <w:marTop w:val="0"/>
      <w:marBottom w:val="0"/>
      <w:divBdr>
        <w:top w:val="none" w:sz="0" w:space="0" w:color="auto"/>
        <w:left w:val="none" w:sz="0" w:space="0" w:color="auto"/>
        <w:bottom w:val="none" w:sz="0" w:space="0" w:color="auto"/>
        <w:right w:val="none" w:sz="0" w:space="0" w:color="auto"/>
      </w:divBdr>
    </w:div>
    <w:div w:id="1546913859">
      <w:bodyDiv w:val="1"/>
      <w:marLeft w:val="0"/>
      <w:marRight w:val="0"/>
      <w:marTop w:val="0"/>
      <w:marBottom w:val="0"/>
      <w:divBdr>
        <w:top w:val="none" w:sz="0" w:space="0" w:color="auto"/>
        <w:left w:val="none" w:sz="0" w:space="0" w:color="auto"/>
        <w:bottom w:val="none" w:sz="0" w:space="0" w:color="auto"/>
        <w:right w:val="none" w:sz="0" w:space="0" w:color="auto"/>
      </w:divBdr>
    </w:div>
    <w:div w:id="1546940282">
      <w:bodyDiv w:val="1"/>
      <w:marLeft w:val="0"/>
      <w:marRight w:val="0"/>
      <w:marTop w:val="0"/>
      <w:marBottom w:val="0"/>
      <w:divBdr>
        <w:top w:val="none" w:sz="0" w:space="0" w:color="auto"/>
        <w:left w:val="none" w:sz="0" w:space="0" w:color="auto"/>
        <w:bottom w:val="none" w:sz="0" w:space="0" w:color="auto"/>
        <w:right w:val="none" w:sz="0" w:space="0" w:color="auto"/>
      </w:divBdr>
    </w:div>
    <w:div w:id="1546990038">
      <w:bodyDiv w:val="1"/>
      <w:marLeft w:val="0"/>
      <w:marRight w:val="0"/>
      <w:marTop w:val="0"/>
      <w:marBottom w:val="0"/>
      <w:divBdr>
        <w:top w:val="none" w:sz="0" w:space="0" w:color="auto"/>
        <w:left w:val="none" w:sz="0" w:space="0" w:color="auto"/>
        <w:bottom w:val="none" w:sz="0" w:space="0" w:color="auto"/>
        <w:right w:val="none" w:sz="0" w:space="0" w:color="auto"/>
      </w:divBdr>
    </w:div>
    <w:div w:id="1546991853">
      <w:bodyDiv w:val="1"/>
      <w:marLeft w:val="0"/>
      <w:marRight w:val="0"/>
      <w:marTop w:val="0"/>
      <w:marBottom w:val="0"/>
      <w:divBdr>
        <w:top w:val="none" w:sz="0" w:space="0" w:color="auto"/>
        <w:left w:val="none" w:sz="0" w:space="0" w:color="auto"/>
        <w:bottom w:val="none" w:sz="0" w:space="0" w:color="auto"/>
        <w:right w:val="none" w:sz="0" w:space="0" w:color="auto"/>
      </w:divBdr>
    </w:div>
    <w:div w:id="1547063870">
      <w:bodyDiv w:val="1"/>
      <w:marLeft w:val="0"/>
      <w:marRight w:val="0"/>
      <w:marTop w:val="0"/>
      <w:marBottom w:val="0"/>
      <w:divBdr>
        <w:top w:val="none" w:sz="0" w:space="0" w:color="auto"/>
        <w:left w:val="none" w:sz="0" w:space="0" w:color="auto"/>
        <w:bottom w:val="none" w:sz="0" w:space="0" w:color="auto"/>
        <w:right w:val="none" w:sz="0" w:space="0" w:color="auto"/>
      </w:divBdr>
    </w:div>
    <w:div w:id="1547134112">
      <w:bodyDiv w:val="1"/>
      <w:marLeft w:val="0"/>
      <w:marRight w:val="0"/>
      <w:marTop w:val="0"/>
      <w:marBottom w:val="0"/>
      <w:divBdr>
        <w:top w:val="none" w:sz="0" w:space="0" w:color="auto"/>
        <w:left w:val="none" w:sz="0" w:space="0" w:color="auto"/>
        <w:bottom w:val="none" w:sz="0" w:space="0" w:color="auto"/>
        <w:right w:val="none" w:sz="0" w:space="0" w:color="auto"/>
      </w:divBdr>
    </w:div>
    <w:div w:id="1547134697">
      <w:bodyDiv w:val="1"/>
      <w:marLeft w:val="0"/>
      <w:marRight w:val="0"/>
      <w:marTop w:val="0"/>
      <w:marBottom w:val="0"/>
      <w:divBdr>
        <w:top w:val="none" w:sz="0" w:space="0" w:color="auto"/>
        <w:left w:val="none" w:sz="0" w:space="0" w:color="auto"/>
        <w:bottom w:val="none" w:sz="0" w:space="0" w:color="auto"/>
        <w:right w:val="none" w:sz="0" w:space="0" w:color="auto"/>
      </w:divBdr>
    </w:div>
    <w:div w:id="1547255562">
      <w:bodyDiv w:val="1"/>
      <w:marLeft w:val="0"/>
      <w:marRight w:val="0"/>
      <w:marTop w:val="0"/>
      <w:marBottom w:val="0"/>
      <w:divBdr>
        <w:top w:val="none" w:sz="0" w:space="0" w:color="auto"/>
        <w:left w:val="none" w:sz="0" w:space="0" w:color="auto"/>
        <w:bottom w:val="none" w:sz="0" w:space="0" w:color="auto"/>
        <w:right w:val="none" w:sz="0" w:space="0" w:color="auto"/>
      </w:divBdr>
    </w:div>
    <w:div w:id="1547256593">
      <w:bodyDiv w:val="1"/>
      <w:marLeft w:val="0"/>
      <w:marRight w:val="0"/>
      <w:marTop w:val="0"/>
      <w:marBottom w:val="0"/>
      <w:divBdr>
        <w:top w:val="none" w:sz="0" w:space="0" w:color="auto"/>
        <w:left w:val="none" w:sz="0" w:space="0" w:color="auto"/>
        <w:bottom w:val="none" w:sz="0" w:space="0" w:color="auto"/>
        <w:right w:val="none" w:sz="0" w:space="0" w:color="auto"/>
      </w:divBdr>
    </w:div>
    <w:div w:id="1547259523">
      <w:bodyDiv w:val="1"/>
      <w:marLeft w:val="0"/>
      <w:marRight w:val="0"/>
      <w:marTop w:val="0"/>
      <w:marBottom w:val="0"/>
      <w:divBdr>
        <w:top w:val="none" w:sz="0" w:space="0" w:color="auto"/>
        <w:left w:val="none" w:sz="0" w:space="0" w:color="auto"/>
        <w:bottom w:val="none" w:sz="0" w:space="0" w:color="auto"/>
        <w:right w:val="none" w:sz="0" w:space="0" w:color="auto"/>
      </w:divBdr>
    </w:div>
    <w:div w:id="1547445355">
      <w:bodyDiv w:val="1"/>
      <w:marLeft w:val="0"/>
      <w:marRight w:val="0"/>
      <w:marTop w:val="0"/>
      <w:marBottom w:val="0"/>
      <w:divBdr>
        <w:top w:val="none" w:sz="0" w:space="0" w:color="auto"/>
        <w:left w:val="none" w:sz="0" w:space="0" w:color="auto"/>
        <w:bottom w:val="none" w:sz="0" w:space="0" w:color="auto"/>
        <w:right w:val="none" w:sz="0" w:space="0" w:color="auto"/>
      </w:divBdr>
    </w:div>
    <w:div w:id="1547524565">
      <w:bodyDiv w:val="1"/>
      <w:marLeft w:val="0"/>
      <w:marRight w:val="0"/>
      <w:marTop w:val="0"/>
      <w:marBottom w:val="0"/>
      <w:divBdr>
        <w:top w:val="none" w:sz="0" w:space="0" w:color="auto"/>
        <w:left w:val="none" w:sz="0" w:space="0" w:color="auto"/>
        <w:bottom w:val="none" w:sz="0" w:space="0" w:color="auto"/>
        <w:right w:val="none" w:sz="0" w:space="0" w:color="auto"/>
      </w:divBdr>
    </w:div>
    <w:div w:id="1547525270">
      <w:bodyDiv w:val="1"/>
      <w:marLeft w:val="0"/>
      <w:marRight w:val="0"/>
      <w:marTop w:val="0"/>
      <w:marBottom w:val="0"/>
      <w:divBdr>
        <w:top w:val="none" w:sz="0" w:space="0" w:color="auto"/>
        <w:left w:val="none" w:sz="0" w:space="0" w:color="auto"/>
        <w:bottom w:val="none" w:sz="0" w:space="0" w:color="auto"/>
        <w:right w:val="none" w:sz="0" w:space="0" w:color="auto"/>
      </w:divBdr>
    </w:div>
    <w:div w:id="1547639522">
      <w:bodyDiv w:val="1"/>
      <w:marLeft w:val="0"/>
      <w:marRight w:val="0"/>
      <w:marTop w:val="0"/>
      <w:marBottom w:val="0"/>
      <w:divBdr>
        <w:top w:val="none" w:sz="0" w:space="0" w:color="auto"/>
        <w:left w:val="none" w:sz="0" w:space="0" w:color="auto"/>
        <w:bottom w:val="none" w:sz="0" w:space="0" w:color="auto"/>
        <w:right w:val="none" w:sz="0" w:space="0" w:color="auto"/>
      </w:divBdr>
    </w:div>
    <w:div w:id="1547720985">
      <w:bodyDiv w:val="1"/>
      <w:marLeft w:val="0"/>
      <w:marRight w:val="0"/>
      <w:marTop w:val="0"/>
      <w:marBottom w:val="0"/>
      <w:divBdr>
        <w:top w:val="none" w:sz="0" w:space="0" w:color="auto"/>
        <w:left w:val="none" w:sz="0" w:space="0" w:color="auto"/>
        <w:bottom w:val="none" w:sz="0" w:space="0" w:color="auto"/>
        <w:right w:val="none" w:sz="0" w:space="0" w:color="auto"/>
      </w:divBdr>
    </w:div>
    <w:div w:id="1547792791">
      <w:bodyDiv w:val="1"/>
      <w:marLeft w:val="0"/>
      <w:marRight w:val="0"/>
      <w:marTop w:val="0"/>
      <w:marBottom w:val="0"/>
      <w:divBdr>
        <w:top w:val="none" w:sz="0" w:space="0" w:color="auto"/>
        <w:left w:val="none" w:sz="0" w:space="0" w:color="auto"/>
        <w:bottom w:val="none" w:sz="0" w:space="0" w:color="auto"/>
        <w:right w:val="none" w:sz="0" w:space="0" w:color="auto"/>
      </w:divBdr>
    </w:div>
    <w:div w:id="1547793904">
      <w:bodyDiv w:val="1"/>
      <w:marLeft w:val="0"/>
      <w:marRight w:val="0"/>
      <w:marTop w:val="0"/>
      <w:marBottom w:val="0"/>
      <w:divBdr>
        <w:top w:val="none" w:sz="0" w:space="0" w:color="auto"/>
        <w:left w:val="none" w:sz="0" w:space="0" w:color="auto"/>
        <w:bottom w:val="none" w:sz="0" w:space="0" w:color="auto"/>
        <w:right w:val="none" w:sz="0" w:space="0" w:color="auto"/>
      </w:divBdr>
    </w:div>
    <w:div w:id="1547836947">
      <w:bodyDiv w:val="1"/>
      <w:marLeft w:val="0"/>
      <w:marRight w:val="0"/>
      <w:marTop w:val="0"/>
      <w:marBottom w:val="0"/>
      <w:divBdr>
        <w:top w:val="none" w:sz="0" w:space="0" w:color="auto"/>
        <w:left w:val="none" w:sz="0" w:space="0" w:color="auto"/>
        <w:bottom w:val="none" w:sz="0" w:space="0" w:color="auto"/>
        <w:right w:val="none" w:sz="0" w:space="0" w:color="auto"/>
      </w:divBdr>
    </w:div>
    <w:div w:id="1547912845">
      <w:bodyDiv w:val="1"/>
      <w:marLeft w:val="0"/>
      <w:marRight w:val="0"/>
      <w:marTop w:val="0"/>
      <w:marBottom w:val="0"/>
      <w:divBdr>
        <w:top w:val="none" w:sz="0" w:space="0" w:color="auto"/>
        <w:left w:val="none" w:sz="0" w:space="0" w:color="auto"/>
        <w:bottom w:val="none" w:sz="0" w:space="0" w:color="auto"/>
        <w:right w:val="none" w:sz="0" w:space="0" w:color="auto"/>
      </w:divBdr>
    </w:div>
    <w:div w:id="1547984974">
      <w:bodyDiv w:val="1"/>
      <w:marLeft w:val="0"/>
      <w:marRight w:val="0"/>
      <w:marTop w:val="0"/>
      <w:marBottom w:val="0"/>
      <w:divBdr>
        <w:top w:val="none" w:sz="0" w:space="0" w:color="auto"/>
        <w:left w:val="none" w:sz="0" w:space="0" w:color="auto"/>
        <w:bottom w:val="none" w:sz="0" w:space="0" w:color="auto"/>
        <w:right w:val="none" w:sz="0" w:space="0" w:color="auto"/>
      </w:divBdr>
    </w:div>
    <w:div w:id="1548105005">
      <w:bodyDiv w:val="1"/>
      <w:marLeft w:val="0"/>
      <w:marRight w:val="0"/>
      <w:marTop w:val="0"/>
      <w:marBottom w:val="0"/>
      <w:divBdr>
        <w:top w:val="none" w:sz="0" w:space="0" w:color="auto"/>
        <w:left w:val="none" w:sz="0" w:space="0" w:color="auto"/>
        <w:bottom w:val="none" w:sz="0" w:space="0" w:color="auto"/>
        <w:right w:val="none" w:sz="0" w:space="0" w:color="auto"/>
      </w:divBdr>
    </w:div>
    <w:div w:id="1548108359">
      <w:bodyDiv w:val="1"/>
      <w:marLeft w:val="0"/>
      <w:marRight w:val="0"/>
      <w:marTop w:val="0"/>
      <w:marBottom w:val="0"/>
      <w:divBdr>
        <w:top w:val="none" w:sz="0" w:space="0" w:color="auto"/>
        <w:left w:val="none" w:sz="0" w:space="0" w:color="auto"/>
        <w:bottom w:val="none" w:sz="0" w:space="0" w:color="auto"/>
        <w:right w:val="none" w:sz="0" w:space="0" w:color="auto"/>
      </w:divBdr>
    </w:div>
    <w:div w:id="1548178465">
      <w:bodyDiv w:val="1"/>
      <w:marLeft w:val="0"/>
      <w:marRight w:val="0"/>
      <w:marTop w:val="0"/>
      <w:marBottom w:val="0"/>
      <w:divBdr>
        <w:top w:val="none" w:sz="0" w:space="0" w:color="auto"/>
        <w:left w:val="none" w:sz="0" w:space="0" w:color="auto"/>
        <w:bottom w:val="none" w:sz="0" w:space="0" w:color="auto"/>
        <w:right w:val="none" w:sz="0" w:space="0" w:color="auto"/>
      </w:divBdr>
    </w:div>
    <w:div w:id="1548179832">
      <w:bodyDiv w:val="1"/>
      <w:marLeft w:val="0"/>
      <w:marRight w:val="0"/>
      <w:marTop w:val="0"/>
      <w:marBottom w:val="0"/>
      <w:divBdr>
        <w:top w:val="none" w:sz="0" w:space="0" w:color="auto"/>
        <w:left w:val="none" w:sz="0" w:space="0" w:color="auto"/>
        <w:bottom w:val="none" w:sz="0" w:space="0" w:color="auto"/>
        <w:right w:val="none" w:sz="0" w:space="0" w:color="auto"/>
      </w:divBdr>
    </w:div>
    <w:div w:id="1548253822">
      <w:bodyDiv w:val="1"/>
      <w:marLeft w:val="0"/>
      <w:marRight w:val="0"/>
      <w:marTop w:val="0"/>
      <w:marBottom w:val="0"/>
      <w:divBdr>
        <w:top w:val="none" w:sz="0" w:space="0" w:color="auto"/>
        <w:left w:val="none" w:sz="0" w:space="0" w:color="auto"/>
        <w:bottom w:val="none" w:sz="0" w:space="0" w:color="auto"/>
        <w:right w:val="none" w:sz="0" w:space="0" w:color="auto"/>
      </w:divBdr>
    </w:div>
    <w:div w:id="1548293284">
      <w:bodyDiv w:val="1"/>
      <w:marLeft w:val="0"/>
      <w:marRight w:val="0"/>
      <w:marTop w:val="0"/>
      <w:marBottom w:val="0"/>
      <w:divBdr>
        <w:top w:val="none" w:sz="0" w:space="0" w:color="auto"/>
        <w:left w:val="none" w:sz="0" w:space="0" w:color="auto"/>
        <w:bottom w:val="none" w:sz="0" w:space="0" w:color="auto"/>
        <w:right w:val="none" w:sz="0" w:space="0" w:color="auto"/>
      </w:divBdr>
    </w:div>
    <w:div w:id="1548373296">
      <w:bodyDiv w:val="1"/>
      <w:marLeft w:val="0"/>
      <w:marRight w:val="0"/>
      <w:marTop w:val="0"/>
      <w:marBottom w:val="0"/>
      <w:divBdr>
        <w:top w:val="none" w:sz="0" w:space="0" w:color="auto"/>
        <w:left w:val="none" w:sz="0" w:space="0" w:color="auto"/>
        <w:bottom w:val="none" w:sz="0" w:space="0" w:color="auto"/>
        <w:right w:val="none" w:sz="0" w:space="0" w:color="auto"/>
      </w:divBdr>
    </w:div>
    <w:div w:id="1548488587">
      <w:bodyDiv w:val="1"/>
      <w:marLeft w:val="0"/>
      <w:marRight w:val="0"/>
      <w:marTop w:val="0"/>
      <w:marBottom w:val="0"/>
      <w:divBdr>
        <w:top w:val="none" w:sz="0" w:space="0" w:color="auto"/>
        <w:left w:val="none" w:sz="0" w:space="0" w:color="auto"/>
        <w:bottom w:val="none" w:sz="0" w:space="0" w:color="auto"/>
        <w:right w:val="none" w:sz="0" w:space="0" w:color="auto"/>
      </w:divBdr>
    </w:div>
    <w:div w:id="1548493843">
      <w:bodyDiv w:val="1"/>
      <w:marLeft w:val="0"/>
      <w:marRight w:val="0"/>
      <w:marTop w:val="0"/>
      <w:marBottom w:val="0"/>
      <w:divBdr>
        <w:top w:val="none" w:sz="0" w:space="0" w:color="auto"/>
        <w:left w:val="none" w:sz="0" w:space="0" w:color="auto"/>
        <w:bottom w:val="none" w:sz="0" w:space="0" w:color="auto"/>
        <w:right w:val="none" w:sz="0" w:space="0" w:color="auto"/>
      </w:divBdr>
    </w:div>
    <w:div w:id="1548569709">
      <w:bodyDiv w:val="1"/>
      <w:marLeft w:val="0"/>
      <w:marRight w:val="0"/>
      <w:marTop w:val="0"/>
      <w:marBottom w:val="0"/>
      <w:divBdr>
        <w:top w:val="none" w:sz="0" w:space="0" w:color="auto"/>
        <w:left w:val="none" w:sz="0" w:space="0" w:color="auto"/>
        <w:bottom w:val="none" w:sz="0" w:space="0" w:color="auto"/>
        <w:right w:val="none" w:sz="0" w:space="0" w:color="auto"/>
      </w:divBdr>
    </w:div>
    <w:div w:id="1548637089">
      <w:bodyDiv w:val="1"/>
      <w:marLeft w:val="0"/>
      <w:marRight w:val="0"/>
      <w:marTop w:val="0"/>
      <w:marBottom w:val="0"/>
      <w:divBdr>
        <w:top w:val="none" w:sz="0" w:space="0" w:color="auto"/>
        <w:left w:val="none" w:sz="0" w:space="0" w:color="auto"/>
        <w:bottom w:val="none" w:sz="0" w:space="0" w:color="auto"/>
        <w:right w:val="none" w:sz="0" w:space="0" w:color="auto"/>
      </w:divBdr>
    </w:div>
    <w:div w:id="1548637181">
      <w:bodyDiv w:val="1"/>
      <w:marLeft w:val="0"/>
      <w:marRight w:val="0"/>
      <w:marTop w:val="0"/>
      <w:marBottom w:val="0"/>
      <w:divBdr>
        <w:top w:val="none" w:sz="0" w:space="0" w:color="auto"/>
        <w:left w:val="none" w:sz="0" w:space="0" w:color="auto"/>
        <w:bottom w:val="none" w:sz="0" w:space="0" w:color="auto"/>
        <w:right w:val="none" w:sz="0" w:space="0" w:color="auto"/>
      </w:divBdr>
    </w:div>
    <w:div w:id="1548712514">
      <w:bodyDiv w:val="1"/>
      <w:marLeft w:val="0"/>
      <w:marRight w:val="0"/>
      <w:marTop w:val="0"/>
      <w:marBottom w:val="0"/>
      <w:divBdr>
        <w:top w:val="none" w:sz="0" w:space="0" w:color="auto"/>
        <w:left w:val="none" w:sz="0" w:space="0" w:color="auto"/>
        <w:bottom w:val="none" w:sz="0" w:space="0" w:color="auto"/>
        <w:right w:val="none" w:sz="0" w:space="0" w:color="auto"/>
      </w:divBdr>
    </w:div>
    <w:div w:id="1548762374">
      <w:bodyDiv w:val="1"/>
      <w:marLeft w:val="0"/>
      <w:marRight w:val="0"/>
      <w:marTop w:val="0"/>
      <w:marBottom w:val="0"/>
      <w:divBdr>
        <w:top w:val="none" w:sz="0" w:space="0" w:color="auto"/>
        <w:left w:val="none" w:sz="0" w:space="0" w:color="auto"/>
        <w:bottom w:val="none" w:sz="0" w:space="0" w:color="auto"/>
        <w:right w:val="none" w:sz="0" w:space="0" w:color="auto"/>
      </w:divBdr>
    </w:div>
    <w:div w:id="1548881729">
      <w:bodyDiv w:val="1"/>
      <w:marLeft w:val="0"/>
      <w:marRight w:val="0"/>
      <w:marTop w:val="0"/>
      <w:marBottom w:val="0"/>
      <w:divBdr>
        <w:top w:val="none" w:sz="0" w:space="0" w:color="auto"/>
        <w:left w:val="none" w:sz="0" w:space="0" w:color="auto"/>
        <w:bottom w:val="none" w:sz="0" w:space="0" w:color="auto"/>
        <w:right w:val="none" w:sz="0" w:space="0" w:color="auto"/>
      </w:divBdr>
    </w:div>
    <w:div w:id="1549024528">
      <w:bodyDiv w:val="1"/>
      <w:marLeft w:val="0"/>
      <w:marRight w:val="0"/>
      <w:marTop w:val="0"/>
      <w:marBottom w:val="0"/>
      <w:divBdr>
        <w:top w:val="none" w:sz="0" w:space="0" w:color="auto"/>
        <w:left w:val="none" w:sz="0" w:space="0" w:color="auto"/>
        <w:bottom w:val="none" w:sz="0" w:space="0" w:color="auto"/>
        <w:right w:val="none" w:sz="0" w:space="0" w:color="auto"/>
      </w:divBdr>
    </w:div>
    <w:div w:id="1549101903">
      <w:bodyDiv w:val="1"/>
      <w:marLeft w:val="0"/>
      <w:marRight w:val="0"/>
      <w:marTop w:val="0"/>
      <w:marBottom w:val="0"/>
      <w:divBdr>
        <w:top w:val="none" w:sz="0" w:space="0" w:color="auto"/>
        <w:left w:val="none" w:sz="0" w:space="0" w:color="auto"/>
        <w:bottom w:val="none" w:sz="0" w:space="0" w:color="auto"/>
        <w:right w:val="none" w:sz="0" w:space="0" w:color="auto"/>
      </w:divBdr>
    </w:div>
    <w:div w:id="1549104199">
      <w:bodyDiv w:val="1"/>
      <w:marLeft w:val="0"/>
      <w:marRight w:val="0"/>
      <w:marTop w:val="0"/>
      <w:marBottom w:val="0"/>
      <w:divBdr>
        <w:top w:val="none" w:sz="0" w:space="0" w:color="auto"/>
        <w:left w:val="none" w:sz="0" w:space="0" w:color="auto"/>
        <w:bottom w:val="none" w:sz="0" w:space="0" w:color="auto"/>
        <w:right w:val="none" w:sz="0" w:space="0" w:color="auto"/>
      </w:divBdr>
    </w:div>
    <w:div w:id="1549683592">
      <w:bodyDiv w:val="1"/>
      <w:marLeft w:val="0"/>
      <w:marRight w:val="0"/>
      <w:marTop w:val="0"/>
      <w:marBottom w:val="0"/>
      <w:divBdr>
        <w:top w:val="none" w:sz="0" w:space="0" w:color="auto"/>
        <w:left w:val="none" w:sz="0" w:space="0" w:color="auto"/>
        <w:bottom w:val="none" w:sz="0" w:space="0" w:color="auto"/>
        <w:right w:val="none" w:sz="0" w:space="0" w:color="auto"/>
      </w:divBdr>
    </w:div>
    <w:div w:id="1549757922">
      <w:bodyDiv w:val="1"/>
      <w:marLeft w:val="0"/>
      <w:marRight w:val="0"/>
      <w:marTop w:val="0"/>
      <w:marBottom w:val="0"/>
      <w:divBdr>
        <w:top w:val="none" w:sz="0" w:space="0" w:color="auto"/>
        <w:left w:val="none" w:sz="0" w:space="0" w:color="auto"/>
        <w:bottom w:val="none" w:sz="0" w:space="0" w:color="auto"/>
        <w:right w:val="none" w:sz="0" w:space="0" w:color="auto"/>
      </w:divBdr>
    </w:div>
    <w:div w:id="1549799632">
      <w:bodyDiv w:val="1"/>
      <w:marLeft w:val="0"/>
      <w:marRight w:val="0"/>
      <w:marTop w:val="0"/>
      <w:marBottom w:val="0"/>
      <w:divBdr>
        <w:top w:val="none" w:sz="0" w:space="0" w:color="auto"/>
        <w:left w:val="none" w:sz="0" w:space="0" w:color="auto"/>
        <w:bottom w:val="none" w:sz="0" w:space="0" w:color="auto"/>
        <w:right w:val="none" w:sz="0" w:space="0" w:color="auto"/>
      </w:divBdr>
    </w:div>
    <w:div w:id="1549876818">
      <w:bodyDiv w:val="1"/>
      <w:marLeft w:val="0"/>
      <w:marRight w:val="0"/>
      <w:marTop w:val="0"/>
      <w:marBottom w:val="0"/>
      <w:divBdr>
        <w:top w:val="none" w:sz="0" w:space="0" w:color="auto"/>
        <w:left w:val="none" w:sz="0" w:space="0" w:color="auto"/>
        <w:bottom w:val="none" w:sz="0" w:space="0" w:color="auto"/>
        <w:right w:val="none" w:sz="0" w:space="0" w:color="auto"/>
      </w:divBdr>
    </w:div>
    <w:div w:id="1549954074">
      <w:bodyDiv w:val="1"/>
      <w:marLeft w:val="0"/>
      <w:marRight w:val="0"/>
      <w:marTop w:val="0"/>
      <w:marBottom w:val="0"/>
      <w:divBdr>
        <w:top w:val="none" w:sz="0" w:space="0" w:color="auto"/>
        <w:left w:val="none" w:sz="0" w:space="0" w:color="auto"/>
        <w:bottom w:val="none" w:sz="0" w:space="0" w:color="auto"/>
        <w:right w:val="none" w:sz="0" w:space="0" w:color="auto"/>
      </w:divBdr>
    </w:div>
    <w:div w:id="1549993317">
      <w:bodyDiv w:val="1"/>
      <w:marLeft w:val="0"/>
      <w:marRight w:val="0"/>
      <w:marTop w:val="0"/>
      <w:marBottom w:val="0"/>
      <w:divBdr>
        <w:top w:val="none" w:sz="0" w:space="0" w:color="auto"/>
        <w:left w:val="none" w:sz="0" w:space="0" w:color="auto"/>
        <w:bottom w:val="none" w:sz="0" w:space="0" w:color="auto"/>
        <w:right w:val="none" w:sz="0" w:space="0" w:color="auto"/>
      </w:divBdr>
    </w:div>
    <w:div w:id="1550067377">
      <w:bodyDiv w:val="1"/>
      <w:marLeft w:val="0"/>
      <w:marRight w:val="0"/>
      <w:marTop w:val="0"/>
      <w:marBottom w:val="0"/>
      <w:divBdr>
        <w:top w:val="none" w:sz="0" w:space="0" w:color="auto"/>
        <w:left w:val="none" w:sz="0" w:space="0" w:color="auto"/>
        <w:bottom w:val="none" w:sz="0" w:space="0" w:color="auto"/>
        <w:right w:val="none" w:sz="0" w:space="0" w:color="auto"/>
      </w:divBdr>
    </w:div>
    <w:div w:id="1550143188">
      <w:bodyDiv w:val="1"/>
      <w:marLeft w:val="0"/>
      <w:marRight w:val="0"/>
      <w:marTop w:val="0"/>
      <w:marBottom w:val="0"/>
      <w:divBdr>
        <w:top w:val="none" w:sz="0" w:space="0" w:color="auto"/>
        <w:left w:val="none" w:sz="0" w:space="0" w:color="auto"/>
        <w:bottom w:val="none" w:sz="0" w:space="0" w:color="auto"/>
        <w:right w:val="none" w:sz="0" w:space="0" w:color="auto"/>
      </w:divBdr>
    </w:div>
    <w:div w:id="1550259767">
      <w:bodyDiv w:val="1"/>
      <w:marLeft w:val="0"/>
      <w:marRight w:val="0"/>
      <w:marTop w:val="0"/>
      <w:marBottom w:val="0"/>
      <w:divBdr>
        <w:top w:val="none" w:sz="0" w:space="0" w:color="auto"/>
        <w:left w:val="none" w:sz="0" w:space="0" w:color="auto"/>
        <w:bottom w:val="none" w:sz="0" w:space="0" w:color="auto"/>
        <w:right w:val="none" w:sz="0" w:space="0" w:color="auto"/>
      </w:divBdr>
    </w:div>
    <w:div w:id="1550412009">
      <w:bodyDiv w:val="1"/>
      <w:marLeft w:val="0"/>
      <w:marRight w:val="0"/>
      <w:marTop w:val="0"/>
      <w:marBottom w:val="0"/>
      <w:divBdr>
        <w:top w:val="none" w:sz="0" w:space="0" w:color="auto"/>
        <w:left w:val="none" w:sz="0" w:space="0" w:color="auto"/>
        <w:bottom w:val="none" w:sz="0" w:space="0" w:color="auto"/>
        <w:right w:val="none" w:sz="0" w:space="0" w:color="auto"/>
      </w:divBdr>
    </w:div>
    <w:div w:id="1550456682">
      <w:bodyDiv w:val="1"/>
      <w:marLeft w:val="0"/>
      <w:marRight w:val="0"/>
      <w:marTop w:val="0"/>
      <w:marBottom w:val="0"/>
      <w:divBdr>
        <w:top w:val="none" w:sz="0" w:space="0" w:color="auto"/>
        <w:left w:val="none" w:sz="0" w:space="0" w:color="auto"/>
        <w:bottom w:val="none" w:sz="0" w:space="0" w:color="auto"/>
        <w:right w:val="none" w:sz="0" w:space="0" w:color="auto"/>
      </w:divBdr>
    </w:div>
    <w:div w:id="1550460715">
      <w:bodyDiv w:val="1"/>
      <w:marLeft w:val="0"/>
      <w:marRight w:val="0"/>
      <w:marTop w:val="0"/>
      <w:marBottom w:val="0"/>
      <w:divBdr>
        <w:top w:val="none" w:sz="0" w:space="0" w:color="auto"/>
        <w:left w:val="none" w:sz="0" w:space="0" w:color="auto"/>
        <w:bottom w:val="none" w:sz="0" w:space="0" w:color="auto"/>
        <w:right w:val="none" w:sz="0" w:space="0" w:color="auto"/>
      </w:divBdr>
    </w:div>
    <w:div w:id="1550651388">
      <w:bodyDiv w:val="1"/>
      <w:marLeft w:val="0"/>
      <w:marRight w:val="0"/>
      <w:marTop w:val="0"/>
      <w:marBottom w:val="0"/>
      <w:divBdr>
        <w:top w:val="none" w:sz="0" w:space="0" w:color="auto"/>
        <w:left w:val="none" w:sz="0" w:space="0" w:color="auto"/>
        <w:bottom w:val="none" w:sz="0" w:space="0" w:color="auto"/>
        <w:right w:val="none" w:sz="0" w:space="0" w:color="auto"/>
      </w:divBdr>
    </w:div>
    <w:div w:id="1550654940">
      <w:bodyDiv w:val="1"/>
      <w:marLeft w:val="0"/>
      <w:marRight w:val="0"/>
      <w:marTop w:val="0"/>
      <w:marBottom w:val="0"/>
      <w:divBdr>
        <w:top w:val="none" w:sz="0" w:space="0" w:color="auto"/>
        <w:left w:val="none" w:sz="0" w:space="0" w:color="auto"/>
        <w:bottom w:val="none" w:sz="0" w:space="0" w:color="auto"/>
        <w:right w:val="none" w:sz="0" w:space="0" w:color="auto"/>
      </w:divBdr>
    </w:div>
    <w:div w:id="1550679307">
      <w:bodyDiv w:val="1"/>
      <w:marLeft w:val="0"/>
      <w:marRight w:val="0"/>
      <w:marTop w:val="0"/>
      <w:marBottom w:val="0"/>
      <w:divBdr>
        <w:top w:val="none" w:sz="0" w:space="0" w:color="auto"/>
        <w:left w:val="none" w:sz="0" w:space="0" w:color="auto"/>
        <w:bottom w:val="none" w:sz="0" w:space="0" w:color="auto"/>
        <w:right w:val="none" w:sz="0" w:space="0" w:color="auto"/>
      </w:divBdr>
    </w:div>
    <w:div w:id="1550725583">
      <w:bodyDiv w:val="1"/>
      <w:marLeft w:val="0"/>
      <w:marRight w:val="0"/>
      <w:marTop w:val="0"/>
      <w:marBottom w:val="0"/>
      <w:divBdr>
        <w:top w:val="none" w:sz="0" w:space="0" w:color="auto"/>
        <w:left w:val="none" w:sz="0" w:space="0" w:color="auto"/>
        <w:bottom w:val="none" w:sz="0" w:space="0" w:color="auto"/>
        <w:right w:val="none" w:sz="0" w:space="0" w:color="auto"/>
      </w:divBdr>
    </w:div>
    <w:div w:id="1550729231">
      <w:bodyDiv w:val="1"/>
      <w:marLeft w:val="0"/>
      <w:marRight w:val="0"/>
      <w:marTop w:val="0"/>
      <w:marBottom w:val="0"/>
      <w:divBdr>
        <w:top w:val="none" w:sz="0" w:space="0" w:color="auto"/>
        <w:left w:val="none" w:sz="0" w:space="0" w:color="auto"/>
        <w:bottom w:val="none" w:sz="0" w:space="0" w:color="auto"/>
        <w:right w:val="none" w:sz="0" w:space="0" w:color="auto"/>
      </w:divBdr>
    </w:div>
    <w:div w:id="1550872549">
      <w:bodyDiv w:val="1"/>
      <w:marLeft w:val="0"/>
      <w:marRight w:val="0"/>
      <w:marTop w:val="0"/>
      <w:marBottom w:val="0"/>
      <w:divBdr>
        <w:top w:val="none" w:sz="0" w:space="0" w:color="auto"/>
        <w:left w:val="none" w:sz="0" w:space="0" w:color="auto"/>
        <w:bottom w:val="none" w:sz="0" w:space="0" w:color="auto"/>
        <w:right w:val="none" w:sz="0" w:space="0" w:color="auto"/>
      </w:divBdr>
    </w:div>
    <w:div w:id="1550915137">
      <w:bodyDiv w:val="1"/>
      <w:marLeft w:val="0"/>
      <w:marRight w:val="0"/>
      <w:marTop w:val="0"/>
      <w:marBottom w:val="0"/>
      <w:divBdr>
        <w:top w:val="none" w:sz="0" w:space="0" w:color="auto"/>
        <w:left w:val="none" w:sz="0" w:space="0" w:color="auto"/>
        <w:bottom w:val="none" w:sz="0" w:space="0" w:color="auto"/>
        <w:right w:val="none" w:sz="0" w:space="0" w:color="auto"/>
      </w:divBdr>
    </w:div>
    <w:div w:id="1550922508">
      <w:bodyDiv w:val="1"/>
      <w:marLeft w:val="0"/>
      <w:marRight w:val="0"/>
      <w:marTop w:val="0"/>
      <w:marBottom w:val="0"/>
      <w:divBdr>
        <w:top w:val="none" w:sz="0" w:space="0" w:color="auto"/>
        <w:left w:val="none" w:sz="0" w:space="0" w:color="auto"/>
        <w:bottom w:val="none" w:sz="0" w:space="0" w:color="auto"/>
        <w:right w:val="none" w:sz="0" w:space="0" w:color="auto"/>
      </w:divBdr>
    </w:div>
    <w:div w:id="1550993438">
      <w:bodyDiv w:val="1"/>
      <w:marLeft w:val="0"/>
      <w:marRight w:val="0"/>
      <w:marTop w:val="0"/>
      <w:marBottom w:val="0"/>
      <w:divBdr>
        <w:top w:val="none" w:sz="0" w:space="0" w:color="auto"/>
        <w:left w:val="none" w:sz="0" w:space="0" w:color="auto"/>
        <w:bottom w:val="none" w:sz="0" w:space="0" w:color="auto"/>
        <w:right w:val="none" w:sz="0" w:space="0" w:color="auto"/>
      </w:divBdr>
    </w:div>
    <w:div w:id="1551064902">
      <w:bodyDiv w:val="1"/>
      <w:marLeft w:val="0"/>
      <w:marRight w:val="0"/>
      <w:marTop w:val="0"/>
      <w:marBottom w:val="0"/>
      <w:divBdr>
        <w:top w:val="none" w:sz="0" w:space="0" w:color="auto"/>
        <w:left w:val="none" w:sz="0" w:space="0" w:color="auto"/>
        <w:bottom w:val="none" w:sz="0" w:space="0" w:color="auto"/>
        <w:right w:val="none" w:sz="0" w:space="0" w:color="auto"/>
      </w:divBdr>
    </w:div>
    <w:div w:id="1551072706">
      <w:bodyDiv w:val="1"/>
      <w:marLeft w:val="0"/>
      <w:marRight w:val="0"/>
      <w:marTop w:val="0"/>
      <w:marBottom w:val="0"/>
      <w:divBdr>
        <w:top w:val="none" w:sz="0" w:space="0" w:color="auto"/>
        <w:left w:val="none" w:sz="0" w:space="0" w:color="auto"/>
        <w:bottom w:val="none" w:sz="0" w:space="0" w:color="auto"/>
        <w:right w:val="none" w:sz="0" w:space="0" w:color="auto"/>
      </w:divBdr>
    </w:div>
    <w:div w:id="1551110094">
      <w:bodyDiv w:val="1"/>
      <w:marLeft w:val="0"/>
      <w:marRight w:val="0"/>
      <w:marTop w:val="0"/>
      <w:marBottom w:val="0"/>
      <w:divBdr>
        <w:top w:val="none" w:sz="0" w:space="0" w:color="auto"/>
        <w:left w:val="none" w:sz="0" w:space="0" w:color="auto"/>
        <w:bottom w:val="none" w:sz="0" w:space="0" w:color="auto"/>
        <w:right w:val="none" w:sz="0" w:space="0" w:color="auto"/>
      </w:divBdr>
    </w:div>
    <w:div w:id="1551304817">
      <w:bodyDiv w:val="1"/>
      <w:marLeft w:val="0"/>
      <w:marRight w:val="0"/>
      <w:marTop w:val="0"/>
      <w:marBottom w:val="0"/>
      <w:divBdr>
        <w:top w:val="none" w:sz="0" w:space="0" w:color="auto"/>
        <w:left w:val="none" w:sz="0" w:space="0" w:color="auto"/>
        <w:bottom w:val="none" w:sz="0" w:space="0" w:color="auto"/>
        <w:right w:val="none" w:sz="0" w:space="0" w:color="auto"/>
      </w:divBdr>
    </w:div>
    <w:div w:id="1551333823">
      <w:bodyDiv w:val="1"/>
      <w:marLeft w:val="0"/>
      <w:marRight w:val="0"/>
      <w:marTop w:val="0"/>
      <w:marBottom w:val="0"/>
      <w:divBdr>
        <w:top w:val="none" w:sz="0" w:space="0" w:color="auto"/>
        <w:left w:val="none" w:sz="0" w:space="0" w:color="auto"/>
        <w:bottom w:val="none" w:sz="0" w:space="0" w:color="auto"/>
        <w:right w:val="none" w:sz="0" w:space="0" w:color="auto"/>
      </w:divBdr>
    </w:div>
    <w:div w:id="1551382922">
      <w:bodyDiv w:val="1"/>
      <w:marLeft w:val="0"/>
      <w:marRight w:val="0"/>
      <w:marTop w:val="0"/>
      <w:marBottom w:val="0"/>
      <w:divBdr>
        <w:top w:val="none" w:sz="0" w:space="0" w:color="auto"/>
        <w:left w:val="none" w:sz="0" w:space="0" w:color="auto"/>
        <w:bottom w:val="none" w:sz="0" w:space="0" w:color="auto"/>
        <w:right w:val="none" w:sz="0" w:space="0" w:color="auto"/>
      </w:divBdr>
    </w:div>
    <w:div w:id="1551575187">
      <w:bodyDiv w:val="1"/>
      <w:marLeft w:val="0"/>
      <w:marRight w:val="0"/>
      <w:marTop w:val="0"/>
      <w:marBottom w:val="0"/>
      <w:divBdr>
        <w:top w:val="none" w:sz="0" w:space="0" w:color="auto"/>
        <w:left w:val="none" w:sz="0" w:space="0" w:color="auto"/>
        <w:bottom w:val="none" w:sz="0" w:space="0" w:color="auto"/>
        <w:right w:val="none" w:sz="0" w:space="0" w:color="auto"/>
      </w:divBdr>
    </w:div>
    <w:div w:id="1551722133">
      <w:bodyDiv w:val="1"/>
      <w:marLeft w:val="0"/>
      <w:marRight w:val="0"/>
      <w:marTop w:val="0"/>
      <w:marBottom w:val="0"/>
      <w:divBdr>
        <w:top w:val="none" w:sz="0" w:space="0" w:color="auto"/>
        <w:left w:val="none" w:sz="0" w:space="0" w:color="auto"/>
        <w:bottom w:val="none" w:sz="0" w:space="0" w:color="auto"/>
        <w:right w:val="none" w:sz="0" w:space="0" w:color="auto"/>
      </w:divBdr>
    </w:div>
    <w:div w:id="1551724068">
      <w:bodyDiv w:val="1"/>
      <w:marLeft w:val="0"/>
      <w:marRight w:val="0"/>
      <w:marTop w:val="0"/>
      <w:marBottom w:val="0"/>
      <w:divBdr>
        <w:top w:val="none" w:sz="0" w:space="0" w:color="auto"/>
        <w:left w:val="none" w:sz="0" w:space="0" w:color="auto"/>
        <w:bottom w:val="none" w:sz="0" w:space="0" w:color="auto"/>
        <w:right w:val="none" w:sz="0" w:space="0" w:color="auto"/>
      </w:divBdr>
    </w:div>
    <w:div w:id="1551724689">
      <w:bodyDiv w:val="1"/>
      <w:marLeft w:val="0"/>
      <w:marRight w:val="0"/>
      <w:marTop w:val="0"/>
      <w:marBottom w:val="0"/>
      <w:divBdr>
        <w:top w:val="none" w:sz="0" w:space="0" w:color="auto"/>
        <w:left w:val="none" w:sz="0" w:space="0" w:color="auto"/>
        <w:bottom w:val="none" w:sz="0" w:space="0" w:color="auto"/>
        <w:right w:val="none" w:sz="0" w:space="0" w:color="auto"/>
      </w:divBdr>
    </w:div>
    <w:div w:id="1551727301">
      <w:bodyDiv w:val="1"/>
      <w:marLeft w:val="0"/>
      <w:marRight w:val="0"/>
      <w:marTop w:val="0"/>
      <w:marBottom w:val="0"/>
      <w:divBdr>
        <w:top w:val="none" w:sz="0" w:space="0" w:color="auto"/>
        <w:left w:val="none" w:sz="0" w:space="0" w:color="auto"/>
        <w:bottom w:val="none" w:sz="0" w:space="0" w:color="auto"/>
        <w:right w:val="none" w:sz="0" w:space="0" w:color="auto"/>
      </w:divBdr>
    </w:div>
    <w:div w:id="1551768389">
      <w:bodyDiv w:val="1"/>
      <w:marLeft w:val="0"/>
      <w:marRight w:val="0"/>
      <w:marTop w:val="0"/>
      <w:marBottom w:val="0"/>
      <w:divBdr>
        <w:top w:val="none" w:sz="0" w:space="0" w:color="auto"/>
        <w:left w:val="none" w:sz="0" w:space="0" w:color="auto"/>
        <w:bottom w:val="none" w:sz="0" w:space="0" w:color="auto"/>
        <w:right w:val="none" w:sz="0" w:space="0" w:color="auto"/>
      </w:divBdr>
    </w:div>
    <w:div w:id="1551913403">
      <w:bodyDiv w:val="1"/>
      <w:marLeft w:val="0"/>
      <w:marRight w:val="0"/>
      <w:marTop w:val="0"/>
      <w:marBottom w:val="0"/>
      <w:divBdr>
        <w:top w:val="none" w:sz="0" w:space="0" w:color="auto"/>
        <w:left w:val="none" w:sz="0" w:space="0" w:color="auto"/>
        <w:bottom w:val="none" w:sz="0" w:space="0" w:color="auto"/>
        <w:right w:val="none" w:sz="0" w:space="0" w:color="auto"/>
      </w:divBdr>
    </w:div>
    <w:div w:id="1551914653">
      <w:bodyDiv w:val="1"/>
      <w:marLeft w:val="0"/>
      <w:marRight w:val="0"/>
      <w:marTop w:val="0"/>
      <w:marBottom w:val="0"/>
      <w:divBdr>
        <w:top w:val="none" w:sz="0" w:space="0" w:color="auto"/>
        <w:left w:val="none" w:sz="0" w:space="0" w:color="auto"/>
        <w:bottom w:val="none" w:sz="0" w:space="0" w:color="auto"/>
        <w:right w:val="none" w:sz="0" w:space="0" w:color="auto"/>
      </w:divBdr>
    </w:div>
    <w:div w:id="1552033064">
      <w:bodyDiv w:val="1"/>
      <w:marLeft w:val="0"/>
      <w:marRight w:val="0"/>
      <w:marTop w:val="0"/>
      <w:marBottom w:val="0"/>
      <w:divBdr>
        <w:top w:val="none" w:sz="0" w:space="0" w:color="auto"/>
        <w:left w:val="none" w:sz="0" w:space="0" w:color="auto"/>
        <w:bottom w:val="none" w:sz="0" w:space="0" w:color="auto"/>
        <w:right w:val="none" w:sz="0" w:space="0" w:color="auto"/>
      </w:divBdr>
    </w:div>
    <w:div w:id="1552038904">
      <w:bodyDiv w:val="1"/>
      <w:marLeft w:val="0"/>
      <w:marRight w:val="0"/>
      <w:marTop w:val="0"/>
      <w:marBottom w:val="0"/>
      <w:divBdr>
        <w:top w:val="none" w:sz="0" w:space="0" w:color="auto"/>
        <w:left w:val="none" w:sz="0" w:space="0" w:color="auto"/>
        <w:bottom w:val="none" w:sz="0" w:space="0" w:color="auto"/>
        <w:right w:val="none" w:sz="0" w:space="0" w:color="auto"/>
      </w:divBdr>
    </w:div>
    <w:div w:id="1552107963">
      <w:bodyDiv w:val="1"/>
      <w:marLeft w:val="0"/>
      <w:marRight w:val="0"/>
      <w:marTop w:val="0"/>
      <w:marBottom w:val="0"/>
      <w:divBdr>
        <w:top w:val="none" w:sz="0" w:space="0" w:color="auto"/>
        <w:left w:val="none" w:sz="0" w:space="0" w:color="auto"/>
        <w:bottom w:val="none" w:sz="0" w:space="0" w:color="auto"/>
        <w:right w:val="none" w:sz="0" w:space="0" w:color="auto"/>
      </w:divBdr>
    </w:div>
    <w:div w:id="1552158558">
      <w:bodyDiv w:val="1"/>
      <w:marLeft w:val="0"/>
      <w:marRight w:val="0"/>
      <w:marTop w:val="0"/>
      <w:marBottom w:val="0"/>
      <w:divBdr>
        <w:top w:val="none" w:sz="0" w:space="0" w:color="auto"/>
        <w:left w:val="none" w:sz="0" w:space="0" w:color="auto"/>
        <w:bottom w:val="none" w:sz="0" w:space="0" w:color="auto"/>
        <w:right w:val="none" w:sz="0" w:space="0" w:color="auto"/>
      </w:divBdr>
    </w:div>
    <w:div w:id="1552376040">
      <w:bodyDiv w:val="1"/>
      <w:marLeft w:val="0"/>
      <w:marRight w:val="0"/>
      <w:marTop w:val="0"/>
      <w:marBottom w:val="0"/>
      <w:divBdr>
        <w:top w:val="none" w:sz="0" w:space="0" w:color="auto"/>
        <w:left w:val="none" w:sz="0" w:space="0" w:color="auto"/>
        <w:bottom w:val="none" w:sz="0" w:space="0" w:color="auto"/>
        <w:right w:val="none" w:sz="0" w:space="0" w:color="auto"/>
      </w:divBdr>
    </w:div>
    <w:div w:id="1552493644">
      <w:bodyDiv w:val="1"/>
      <w:marLeft w:val="0"/>
      <w:marRight w:val="0"/>
      <w:marTop w:val="0"/>
      <w:marBottom w:val="0"/>
      <w:divBdr>
        <w:top w:val="none" w:sz="0" w:space="0" w:color="auto"/>
        <w:left w:val="none" w:sz="0" w:space="0" w:color="auto"/>
        <w:bottom w:val="none" w:sz="0" w:space="0" w:color="auto"/>
        <w:right w:val="none" w:sz="0" w:space="0" w:color="auto"/>
      </w:divBdr>
    </w:div>
    <w:div w:id="1552578111">
      <w:bodyDiv w:val="1"/>
      <w:marLeft w:val="0"/>
      <w:marRight w:val="0"/>
      <w:marTop w:val="0"/>
      <w:marBottom w:val="0"/>
      <w:divBdr>
        <w:top w:val="none" w:sz="0" w:space="0" w:color="auto"/>
        <w:left w:val="none" w:sz="0" w:space="0" w:color="auto"/>
        <w:bottom w:val="none" w:sz="0" w:space="0" w:color="auto"/>
        <w:right w:val="none" w:sz="0" w:space="0" w:color="auto"/>
      </w:divBdr>
    </w:div>
    <w:div w:id="1552690792">
      <w:bodyDiv w:val="1"/>
      <w:marLeft w:val="0"/>
      <w:marRight w:val="0"/>
      <w:marTop w:val="0"/>
      <w:marBottom w:val="0"/>
      <w:divBdr>
        <w:top w:val="none" w:sz="0" w:space="0" w:color="auto"/>
        <w:left w:val="none" w:sz="0" w:space="0" w:color="auto"/>
        <w:bottom w:val="none" w:sz="0" w:space="0" w:color="auto"/>
        <w:right w:val="none" w:sz="0" w:space="0" w:color="auto"/>
      </w:divBdr>
    </w:div>
    <w:div w:id="1552693354">
      <w:bodyDiv w:val="1"/>
      <w:marLeft w:val="0"/>
      <w:marRight w:val="0"/>
      <w:marTop w:val="0"/>
      <w:marBottom w:val="0"/>
      <w:divBdr>
        <w:top w:val="none" w:sz="0" w:space="0" w:color="auto"/>
        <w:left w:val="none" w:sz="0" w:space="0" w:color="auto"/>
        <w:bottom w:val="none" w:sz="0" w:space="0" w:color="auto"/>
        <w:right w:val="none" w:sz="0" w:space="0" w:color="auto"/>
      </w:divBdr>
    </w:div>
    <w:div w:id="1552762424">
      <w:bodyDiv w:val="1"/>
      <w:marLeft w:val="0"/>
      <w:marRight w:val="0"/>
      <w:marTop w:val="0"/>
      <w:marBottom w:val="0"/>
      <w:divBdr>
        <w:top w:val="none" w:sz="0" w:space="0" w:color="auto"/>
        <w:left w:val="none" w:sz="0" w:space="0" w:color="auto"/>
        <w:bottom w:val="none" w:sz="0" w:space="0" w:color="auto"/>
        <w:right w:val="none" w:sz="0" w:space="0" w:color="auto"/>
      </w:divBdr>
    </w:div>
    <w:div w:id="1552767174">
      <w:bodyDiv w:val="1"/>
      <w:marLeft w:val="0"/>
      <w:marRight w:val="0"/>
      <w:marTop w:val="0"/>
      <w:marBottom w:val="0"/>
      <w:divBdr>
        <w:top w:val="none" w:sz="0" w:space="0" w:color="auto"/>
        <w:left w:val="none" w:sz="0" w:space="0" w:color="auto"/>
        <w:bottom w:val="none" w:sz="0" w:space="0" w:color="auto"/>
        <w:right w:val="none" w:sz="0" w:space="0" w:color="auto"/>
      </w:divBdr>
    </w:div>
    <w:div w:id="1552841710">
      <w:bodyDiv w:val="1"/>
      <w:marLeft w:val="0"/>
      <w:marRight w:val="0"/>
      <w:marTop w:val="0"/>
      <w:marBottom w:val="0"/>
      <w:divBdr>
        <w:top w:val="none" w:sz="0" w:space="0" w:color="auto"/>
        <w:left w:val="none" w:sz="0" w:space="0" w:color="auto"/>
        <w:bottom w:val="none" w:sz="0" w:space="0" w:color="auto"/>
        <w:right w:val="none" w:sz="0" w:space="0" w:color="auto"/>
      </w:divBdr>
    </w:div>
    <w:div w:id="1552958974">
      <w:bodyDiv w:val="1"/>
      <w:marLeft w:val="0"/>
      <w:marRight w:val="0"/>
      <w:marTop w:val="0"/>
      <w:marBottom w:val="0"/>
      <w:divBdr>
        <w:top w:val="none" w:sz="0" w:space="0" w:color="auto"/>
        <w:left w:val="none" w:sz="0" w:space="0" w:color="auto"/>
        <w:bottom w:val="none" w:sz="0" w:space="0" w:color="auto"/>
        <w:right w:val="none" w:sz="0" w:space="0" w:color="auto"/>
      </w:divBdr>
    </w:div>
    <w:div w:id="1552961643">
      <w:bodyDiv w:val="1"/>
      <w:marLeft w:val="0"/>
      <w:marRight w:val="0"/>
      <w:marTop w:val="0"/>
      <w:marBottom w:val="0"/>
      <w:divBdr>
        <w:top w:val="none" w:sz="0" w:space="0" w:color="auto"/>
        <w:left w:val="none" w:sz="0" w:space="0" w:color="auto"/>
        <w:bottom w:val="none" w:sz="0" w:space="0" w:color="auto"/>
        <w:right w:val="none" w:sz="0" w:space="0" w:color="auto"/>
      </w:divBdr>
    </w:div>
    <w:div w:id="1553031025">
      <w:bodyDiv w:val="1"/>
      <w:marLeft w:val="0"/>
      <w:marRight w:val="0"/>
      <w:marTop w:val="0"/>
      <w:marBottom w:val="0"/>
      <w:divBdr>
        <w:top w:val="none" w:sz="0" w:space="0" w:color="auto"/>
        <w:left w:val="none" w:sz="0" w:space="0" w:color="auto"/>
        <w:bottom w:val="none" w:sz="0" w:space="0" w:color="auto"/>
        <w:right w:val="none" w:sz="0" w:space="0" w:color="auto"/>
      </w:divBdr>
    </w:div>
    <w:div w:id="1553224905">
      <w:bodyDiv w:val="1"/>
      <w:marLeft w:val="0"/>
      <w:marRight w:val="0"/>
      <w:marTop w:val="0"/>
      <w:marBottom w:val="0"/>
      <w:divBdr>
        <w:top w:val="none" w:sz="0" w:space="0" w:color="auto"/>
        <w:left w:val="none" w:sz="0" w:space="0" w:color="auto"/>
        <w:bottom w:val="none" w:sz="0" w:space="0" w:color="auto"/>
        <w:right w:val="none" w:sz="0" w:space="0" w:color="auto"/>
      </w:divBdr>
    </w:div>
    <w:div w:id="1553465586">
      <w:bodyDiv w:val="1"/>
      <w:marLeft w:val="0"/>
      <w:marRight w:val="0"/>
      <w:marTop w:val="0"/>
      <w:marBottom w:val="0"/>
      <w:divBdr>
        <w:top w:val="none" w:sz="0" w:space="0" w:color="auto"/>
        <w:left w:val="none" w:sz="0" w:space="0" w:color="auto"/>
        <w:bottom w:val="none" w:sz="0" w:space="0" w:color="auto"/>
        <w:right w:val="none" w:sz="0" w:space="0" w:color="auto"/>
      </w:divBdr>
    </w:div>
    <w:div w:id="1553535666">
      <w:bodyDiv w:val="1"/>
      <w:marLeft w:val="0"/>
      <w:marRight w:val="0"/>
      <w:marTop w:val="0"/>
      <w:marBottom w:val="0"/>
      <w:divBdr>
        <w:top w:val="none" w:sz="0" w:space="0" w:color="auto"/>
        <w:left w:val="none" w:sz="0" w:space="0" w:color="auto"/>
        <w:bottom w:val="none" w:sz="0" w:space="0" w:color="auto"/>
        <w:right w:val="none" w:sz="0" w:space="0" w:color="auto"/>
      </w:divBdr>
    </w:div>
    <w:div w:id="1553536338">
      <w:bodyDiv w:val="1"/>
      <w:marLeft w:val="0"/>
      <w:marRight w:val="0"/>
      <w:marTop w:val="0"/>
      <w:marBottom w:val="0"/>
      <w:divBdr>
        <w:top w:val="none" w:sz="0" w:space="0" w:color="auto"/>
        <w:left w:val="none" w:sz="0" w:space="0" w:color="auto"/>
        <w:bottom w:val="none" w:sz="0" w:space="0" w:color="auto"/>
        <w:right w:val="none" w:sz="0" w:space="0" w:color="auto"/>
      </w:divBdr>
    </w:div>
    <w:div w:id="1553537367">
      <w:bodyDiv w:val="1"/>
      <w:marLeft w:val="0"/>
      <w:marRight w:val="0"/>
      <w:marTop w:val="0"/>
      <w:marBottom w:val="0"/>
      <w:divBdr>
        <w:top w:val="none" w:sz="0" w:space="0" w:color="auto"/>
        <w:left w:val="none" w:sz="0" w:space="0" w:color="auto"/>
        <w:bottom w:val="none" w:sz="0" w:space="0" w:color="auto"/>
        <w:right w:val="none" w:sz="0" w:space="0" w:color="auto"/>
      </w:divBdr>
    </w:div>
    <w:div w:id="1553538220">
      <w:bodyDiv w:val="1"/>
      <w:marLeft w:val="0"/>
      <w:marRight w:val="0"/>
      <w:marTop w:val="0"/>
      <w:marBottom w:val="0"/>
      <w:divBdr>
        <w:top w:val="none" w:sz="0" w:space="0" w:color="auto"/>
        <w:left w:val="none" w:sz="0" w:space="0" w:color="auto"/>
        <w:bottom w:val="none" w:sz="0" w:space="0" w:color="auto"/>
        <w:right w:val="none" w:sz="0" w:space="0" w:color="auto"/>
      </w:divBdr>
    </w:div>
    <w:div w:id="1553615961">
      <w:bodyDiv w:val="1"/>
      <w:marLeft w:val="0"/>
      <w:marRight w:val="0"/>
      <w:marTop w:val="0"/>
      <w:marBottom w:val="0"/>
      <w:divBdr>
        <w:top w:val="none" w:sz="0" w:space="0" w:color="auto"/>
        <w:left w:val="none" w:sz="0" w:space="0" w:color="auto"/>
        <w:bottom w:val="none" w:sz="0" w:space="0" w:color="auto"/>
        <w:right w:val="none" w:sz="0" w:space="0" w:color="auto"/>
      </w:divBdr>
    </w:div>
    <w:div w:id="1553804455">
      <w:bodyDiv w:val="1"/>
      <w:marLeft w:val="0"/>
      <w:marRight w:val="0"/>
      <w:marTop w:val="0"/>
      <w:marBottom w:val="0"/>
      <w:divBdr>
        <w:top w:val="none" w:sz="0" w:space="0" w:color="auto"/>
        <w:left w:val="none" w:sz="0" w:space="0" w:color="auto"/>
        <w:bottom w:val="none" w:sz="0" w:space="0" w:color="auto"/>
        <w:right w:val="none" w:sz="0" w:space="0" w:color="auto"/>
      </w:divBdr>
    </w:div>
    <w:div w:id="1554073832">
      <w:bodyDiv w:val="1"/>
      <w:marLeft w:val="0"/>
      <w:marRight w:val="0"/>
      <w:marTop w:val="0"/>
      <w:marBottom w:val="0"/>
      <w:divBdr>
        <w:top w:val="none" w:sz="0" w:space="0" w:color="auto"/>
        <w:left w:val="none" w:sz="0" w:space="0" w:color="auto"/>
        <w:bottom w:val="none" w:sz="0" w:space="0" w:color="auto"/>
        <w:right w:val="none" w:sz="0" w:space="0" w:color="auto"/>
      </w:divBdr>
    </w:div>
    <w:div w:id="1554077753">
      <w:bodyDiv w:val="1"/>
      <w:marLeft w:val="0"/>
      <w:marRight w:val="0"/>
      <w:marTop w:val="0"/>
      <w:marBottom w:val="0"/>
      <w:divBdr>
        <w:top w:val="none" w:sz="0" w:space="0" w:color="auto"/>
        <w:left w:val="none" w:sz="0" w:space="0" w:color="auto"/>
        <w:bottom w:val="none" w:sz="0" w:space="0" w:color="auto"/>
        <w:right w:val="none" w:sz="0" w:space="0" w:color="auto"/>
      </w:divBdr>
    </w:div>
    <w:div w:id="1554124762">
      <w:bodyDiv w:val="1"/>
      <w:marLeft w:val="0"/>
      <w:marRight w:val="0"/>
      <w:marTop w:val="0"/>
      <w:marBottom w:val="0"/>
      <w:divBdr>
        <w:top w:val="none" w:sz="0" w:space="0" w:color="auto"/>
        <w:left w:val="none" w:sz="0" w:space="0" w:color="auto"/>
        <w:bottom w:val="none" w:sz="0" w:space="0" w:color="auto"/>
        <w:right w:val="none" w:sz="0" w:space="0" w:color="auto"/>
      </w:divBdr>
    </w:div>
    <w:div w:id="1554150510">
      <w:bodyDiv w:val="1"/>
      <w:marLeft w:val="0"/>
      <w:marRight w:val="0"/>
      <w:marTop w:val="0"/>
      <w:marBottom w:val="0"/>
      <w:divBdr>
        <w:top w:val="none" w:sz="0" w:space="0" w:color="auto"/>
        <w:left w:val="none" w:sz="0" w:space="0" w:color="auto"/>
        <w:bottom w:val="none" w:sz="0" w:space="0" w:color="auto"/>
        <w:right w:val="none" w:sz="0" w:space="0" w:color="auto"/>
      </w:divBdr>
    </w:div>
    <w:div w:id="1554385916">
      <w:bodyDiv w:val="1"/>
      <w:marLeft w:val="0"/>
      <w:marRight w:val="0"/>
      <w:marTop w:val="0"/>
      <w:marBottom w:val="0"/>
      <w:divBdr>
        <w:top w:val="none" w:sz="0" w:space="0" w:color="auto"/>
        <w:left w:val="none" w:sz="0" w:space="0" w:color="auto"/>
        <w:bottom w:val="none" w:sz="0" w:space="0" w:color="auto"/>
        <w:right w:val="none" w:sz="0" w:space="0" w:color="auto"/>
      </w:divBdr>
    </w:div>
    <w:div w:id="1554386603">
      <w:bodyDiv w:val="1"/>
      <w:marLeft w:val="0"/>
      <w:marRight w:val="0"/>
      <w:marTop w:val="0"/>
      <w:marBottom w:val="0"/>
      <w:divBdr>
        <w:top w:val="none" w:sz="0" w:space="0" w:color="auto"/>
        <w:left w:val="none" w:sz="0" w:space="0" w:color="auto"/>
        <w:bottom w:val="none" w:sz="0" w:space="0" w:color="auto"/>
        <w:right w:val="none" w:sz="0" w:space="0" w:color="auto"/>
      </w:divBdr>
    </w:div>
    <w:div w:id="1554584828">
      <w:bodyDiv w:val="1"/>
      <w:marLeft w:val="0"/>
      <w:marRight w:val="0"/>
      <w:marTop w:val="0"/>
      <w:marBottom w:val="0"/>
      <w:divBdr>
        <w:top w:val="none" w:sz="0" w:space="0" w:color="auto"/>
        <w:left w:val="none" w:sz="0" w:space="0" w:color="auto"/>
        <w:bottom w:val="none" w:sz="0" w:space="0" w:color="auto"/>
        <w:right w:val="none" w:sz="0" w:space="0" w:color="auto"/>
      </w:divBdr>
    </w:div>
    <w:div w:id="1554611161">
      <w:bodyDiv w:val="1"/>
      <w:marLeft w:val="0"/>
      <w:marRight w:val="0"/>
      <w:marTop w:val="0"/>
      <w:marBottom w:val="0"/>
      <w:divBdr>
        <w:top w:val="none" w:sz="0" w:space="0" w:color="auto"/>
        <w:left w:val="none" w:sz="0" w:space="0" w:color="auto"/>
        <w:bottom w:val="none" w:sz="0" w:space="0" w:color="auto"/>
        <w:right w:val="none" w:sz="0" w:space="0" w:color="auto"/>
      </w:divBdr>
    </w:div>
    <w:div w:id="1554656246">
      <w:bodyDiv w:val="1"/>
      <w:marLeft w:val="0"/>
      <w:marRight w:val="0"/>
      <w:marTop w:val="0"/>
      <w:marBottom w:val="0"/>
      <w:divBdr>
        <w:top w:val="none" w:sz="0" w:space="0" w:color="auto"/>
        <w:left w:val="none" w:sz="0" w:space="0" w:color="auto"/>
        <w:bottom w:val="none" w:sz="0" w:space="0" w:color="auto"/>
        <w:right w:val="none" w:sz="0" w:space="0" w:color="auto"/>
      </w:divBdr>
    </w:div>
    <w:div w:id="1554728432">
      <w:bodyDiv w:val="1"/>
      <w:marLeft w:val="0"/>
      <w:marRight w:val="0"/>
      <w:marTop w:val="0"/>
      <w:marBottom w:val="0"/>
      <w:divBdr>
        <w:top w:val="none" w:sz="0" w:space="0" w:color="auto"/>
        <w:left w:val="none" w:sz="0" w:space="0" w:color="auto"/>
        <w:bottom w:val="none" w:sz="0" w:space="0" w:color="auto"/>
        <w:right w:val="none" w:sz="0" w:space="0" w:color="auto"/>
      </w:divBdr>
    </w:div>
    <w:div w:id="1554730789">
      <w:bodyDiv w:val="1"/>
      <w:marLeft w:val="0"/>
      <w:marRight w:val="0"/>
      <w:marTop w:val="0"/>
      <w:marBottom w:val="0"/>
      <w:divBdr>
        <w:top w:val="none" w:sz="0" w:space="0" w:color="auto"/>
        <w:left w:val="none" w:sz="0" w:space="0" w:color="auto"/>
        <w:bottom w:val="none" w:sz="0" w:space="0" w:color="auto"/>
        <w:right w:val="none" w:sz="0" w:space="0" w:color="auto"/>
      </w:divBdr>
    </w:div>
    <w:div w:id="1555042496">
      <w:bodyDiv w:val="1"/>
      <w:marLeft w:val="0"/>
      <w:marRight w:val="0"/>
      <w:marTop w:val="0"/>
      <w:marBottom w:val="0"/>
      <w:divBdr>
        <w:top w:val="none" w:sz="0" w:space="0" w:color="auto"/>
        <w:left w:val="none" w:sz="0" w:space="0" w:color="auto"/>
        <w:bottom w:val="none" w:sz="0" w:space="0" w:color="auto"/>
        <w:right w:val="none" w:sz="0" w:space="0" w:color="auto"/>
      </w:divBdr>
    </w:div>
    <w:div w:id="1555115419">
      <w:bodyDiv w:val="1"/>
      <w:marLeft w:val="0"/>
      <w:marRight w:val="0"/>
      <w:marTop w:val="0"/>
      <w:marBottom w:val="0"/>
      <w:divBdr>
        <w:top w:val="none" w:sz="0" w:space="0" w:color="auto"/>
        <w:left w:val="none" w:sz="0" w:space="0" w:color="auto"/>
        <w:bottom w:val="none" w:sz="0" w:space="0" w:color="auto"/>
        <w:right w:val="none" w:sz="0" w:space="0" w:color="auto"/>
      </w:divBdr>
    </w:div>
    <w:div w:id="1555236084">
      <w:bodyDiv w:val="1"/>
      <w:marLeft w:val="0"/>
      <w:marRight w:val="0"/>
      <w:marTop w:val="0"/>
      <w:marBottom w:val="0"/>
      <w:divBdr>
        <w:top w:val="none" w:sz="0" w:space="0" w:color="auto"/>
        <w:left w:val="none" w:sz="0" w:space="0" w:color="auto"/>
        <w:bottom w:val="none" w:sz="0" w:space="0" w:color="auto"/>
        <w:right w:val="none" w:sz="0" w:space="0" w:color="auto"/>
      </w:divBdr>
    </w:div>
    <w:div w:id="1555238184">
      <w:bodyDiv w:val="1"/>
      <w:marLeft w:val="0"/>
      <w:marRight w:val="0"/>
      <w:marTop w:val="0"/>
      <w:marBottom w:val="0"/>
      <w:divBdr>
        <w:top w:val="none" w:sz="0" w:space="0" w:color="auto"/>
        <w:left w:val="none" w:sz="0" w:space="0" w:color="auto"/>
        <w:bottom w:val="none" w:sz="0" w:space="0" w:color="auto"/>
        <w:right w:val="none" w:sz="0" w:space="0" w:color="auto"/>
      </w:divBdr>
    </w:div>
    <w:div w:id="1555311644">
      <w:bodyDiv w:val="1"/>
      <w:marLeft w:val="0"/>
      <w:marRight w:val="0"/>
      <w:marTop w:val="0"/>
      <w:marBottom w:val="0"/>
      <w:divBdr>
        <w:top w:val="none" w:sz="0" w:space="0" w:color="auto"/>
        <w:left w:val="none" w:sz="0" w:space="0" w:color="auto"/>
        <w:bottom w:val="none" w:sz="0" w:space="0" w:color="auto"/>
        <w:right w:val="none" w:sz="0" w:space="0" w:color="auto"/>
      </w:divBdr>
    </w:div>
    <w:div w:id="1555432619">
      <w:bodyDiv w:val="1"/>
      <w:marLeft w:val="0"/>
      <w:marRight w:val="0"/>
      <w:marTop w:val="0"/>
      <w:marBottom w:val="0"/>
      <w:divBdr>
        <w:top w:val="none" w:sz="0" w:space="0" w:color="auto"/>
        <w:left w:val="none" w:sz="0" w:space="0" w:color="auto"/>
        <w:bottom w:val="none" w:sz="0" w:space="0" w:color="auto"/>
        <w:right w:val="none" w:sz="0" w:space="0" w:color="auto"/>
      </w:divBdr>
    </w:div>
    <w:div w:id="1555507293">
      <w:bodyDiv w:val="1"/>
      <w:marLeft w:val="0"/>
      <w:marRight w:val="0"/>
      <w:marTop w:val="0"/>
      <w:marBottom w:val="0"/>
      <w:divBdr>
        <w:top w:val="none" w:sz="0" w:space="0" w:color="auto"/>
        <w:left w:val="none" w:sz="0" w:space="0" w:color="auto"/>
        <w:bottom w:val="none" w:sz="0" w:space="0" w:color="auto"/>
        <w:right w:val="none" w:sz="0" w:space="0" w:color="auto"/>
      </w:divBdr>
    </w:div>
    <w:div w:id="1555700071">
      <w:bodyDiv w:val="1"/>
      <w:marLeft w:val="0"/>
      <w:marRight w:val="0"/>
      <w:marTop w:val="0"/>
      <w:marBottom w:val="0"/>
      <w:divBdr>
        <w:top w:val="none" w:sz="0" w:space="0" w:color="auto"/>
        <w:left w:val="none" w:sz="0" w:space="0" w:color="auto"/>
        <w:bottom w:val="none" w:sz="0" w:space="0" w:color="auto"/>
        <w:right w:val="none" w:sz="0" w:space="0" w:color="auto"/>
      </w:divBdr>
    </w:div>
    <w:div w:id="1555700941">
      <w:bodyDiv w:val="1"/>
      <w:marLeft w:val="0"/>
      <w:marRight w:val="0"/>
      <w:marTop w:val="0"/>
      <w:marBottom w:val="0"/>
      <w:divBdr>
        <w:top w:val="none" w:sz="0" w:space="0" w:color="auto"/>
        <w:left w:val="none" w:sz="0" w:space="0" w:color="auto"/>
        <w:bottom w:val="none" w:sz="0" w:space="0" w:color="auto"/>
        <w:right w:val="none" w:sz="0" w:space="0" w:color="auto"/>
      </w:divBdr>
    </w:div>
    <w:div w:id="1555701944">
      <w:bodyDiv w:val="1"/>
      <w:marLeft w:val="0"/>
      <w:marRight w:val="0"/>
      <w:marTop w:val="0"/>
      <w:marBottom w:val="0"/>
      <w:divBdr>
        <w:top w:val="none" w:sz="0" w:space="0" w:color="auto"/>
        <w:left w:val="none" w:sz="0" w:space="0" w:color="auto"/>
        <w:bottom w:val="none" w:sz="0" w:space="0" w:color="auto"/>
        <w:right w:val="none" w:sz="0" w:space="0" w:color="auto"/>
      </w:divBdr>
    </w:div>
    <w:div w:id="1555703882">
      <w:bodyDiv w:val="1"/>
      <w:marLeft w:val="0"/>
      <w:marRight w:val="0"/>
      <w:marTop w:val="0"/>
      <w:marBottom w:val="0"/>
      <w:divBdr>
        <w:top w:val="none" w:sz="0" w:space="0" w:color="auto"/>
        <w:left w:val="none" w:sz="0" w:space="0" w:color="auto"/>
        <w:bottom w:val="none" w:sz="0" w:space="0" w:color="auto"/>
        <w:right w:val="none" w:sz="0" w:space="0" w:color="auto"/>
      </w:divBdr>
    </w:div>
    <w:div w:id="1555963574">
      <w:bodyDiv w:val="1"/>
      <w:marLeft w:val="0"/>
      <w:marRight w:val="0"/>
      <w:marTop w:val="0"/>
      <w:marBottom w:val="0"/>
      <w:divBdr>
        <w:top w:val="none" w:sz="0" w:space="0" w:color="auto"/>
        <w:left w:val="none" w:sz="0" w:space="0" w:color="auto"/>
        <w:bottom w:val="none" w:sz="0" w:space="0" w:color="auto"/>
        <w:right w:val="none" w:sz="0" w:space="0" w:color="auto"/>
      </w:divBdr>
    </w:div>
    <w:div w:id="1556090484">
      <w:bodyDiv w:val="1"/>
      <w:marLeft w:val="0"/>
      <w:marRight w:val="0"/>
      <w:marTop w:val="0"/>
      <w:marBottom w:val="0"/>
      <w:divBdr>
        <w:top w:val="none" w:sz="0" w:space="0" w:color="auto"/>
        <w:left w:val="none" w:sz="0" w:space="0" w:color="auto"/>
        <w:bottom w:val="none" w:sz="0" w:space="0" w:color="auto"/>
        <w:right w:val="none" w:sz="0" w:space="0" w:color="auto"/>
      </w:divBdr>
    </w:div>
    <w:div w:id="1556237360">
      <w:bodyDiv w:val="1"/>
      <w:marLeft w:val="0"/>
      <w:marRight w:val="0"/>
      <w:marTop w:val="0"/>
      <w:marBottom w:val="0"/>
      <w:divBdr>
        <w:top w:val="none" w:sz="0" w:space="0" w:color="auto"/>
        <w:left w:val="none" w:sz="0" w:space="0" w:color="auto"/>
        <w:bottom w:val="none" w:sz="0" w:space="0" w:color="auto"/>
        <w:right w:val="none" w:sz="0" w:space="0" w:color="auto"/>
      </w:divBdr>
    </w:div>
    <w:div w:id="1556239331">
      <w:bodyDiv w:val="1"/>
      <w:marLeft w:val="0"/>
      <w:marRight w:val="0"/>
      <w:marTop w:val="0"/>
      <w:marBottom w:val="0"/>
      <w:divBdr>
        <w:top w:val="none" w:sz="0" w:space="0" w:color="auto"/>
        <w:left w:val="none" w:sz="0" w:space="0" w:color="auto"/>
        <w:bottom w:val="none" w:sz="0" w:space="0" w:color="auto"/>
        <w:right w:val="none" w:sz="0" w:space="0" w:color="auto"/>
      </w:divBdr>
    </w:div>
    <w:div w:id="1556311076">
      <w:bodyDiv w:val="1"/>
      <w:marLeft w:val="0"/>
      <w:marRight w:val="0"/>
      <w:marTop w:val="0"/>
      <w:marBottom w:val="0"/>
      <w:divBdr>
        <w:top w:val="none" w:sz="0" w:space="0" w:color="auto"/>
        <w:left w:val="none" w:sz="0" w:space="0" w:color="auto"/>
        <w:bottom w:val="none" w:sz="0" w:space="0" w:color="auto"/>
        <w:right w:val="none" w:sz="0" w:space="0" w:color="auto"/>
      </w:divBdr>
    </w:div>
    <w:div w:id="1556311089">
      <w:bodyDiv w:val="1"/>
      <w:marLeft w:val="0"/>
      <w:marRight w:val="0"/>
      <w:marTop w:val="0"/>
      <w:marBottom w:val="0"/>
      <w:divBdr>
        <w:top w:val="none" w:sz="0" w:space="0" w:color="auto"/>
        <w:left w:val="none" w:sz="0" w:space="0" w:color="auto"/>
        <w:bottom w:val="none" w:sz="0" w:space="0" w:color="auto"/>
        <w:right w:val="none" w:sz="0" w:space="0" w:color="auto"/>
      </w:divBdr>
    </w:div>
    <w:div w:id="1556426672">
      <w:bodyDiv w:val="1"/>
      <w:marLeft w:val="0"/>
      <w:marRight w:val="0"/>
      <w:marTop w:val="0"/>
      <w:marBottom w:val="0"/>
      <w:divBdr>
        <w:top w:val="none" w:sz="0" w:space="0" w:color="auto"/>
        <w:left w:val="none" w:sz="0" w:space="0" w:color="auto"/>
        <w:bottom w:val="none" w:sz="0" w:space="0" w:color="auto"/>
        <w:right w:val="none" w:sz="0" w:space="0" w:color="auto"/>
      </w:divBdr>
    </w:div>
    <w:div w:id="1556432793">
      <w:bodyDiv w:val="1"/>
      <w:marLeft w:val="0"/>
      <w:marRight w:val="0"/>
      <w:marTop w:val="0"/>
      <w:marBottom w:val="0"/>
      <w:divBdr>
        <w:top w:val="none" w:sz="0" w:space="0" w:color="auto"/>
        <w:left w:val="none" w:sz="0" w:space="0" w:color="auto"/>
        <w:bottom w:val="none" w:sz="0" w:space="0" w:color="auto"/>
        <w:right w:val="none" w:sz="0" w:space="0" w:color="auto"/>
      </w:divBdr>
    </w:div>
    <w:div w:id="1556434323">
      <w:bodyDiv w:val="1"/>
      <w:marLeft w:val="0"/>
      <w:marRight w:val="0"/>
      <w:marTop w:val="0"/>
      <w:marBottom w:val="0"/>
      <w:divBdr>
        <w:top w:val="none" w:sz="0" w:space="0" w:color="auto"/>
        <w:left w:val="none" w:sz="0" w:space="0" w:color="auto"/>
        <w:bottom w:val="none" w:sz="0" w:space="0" w:color="auto"/>
        <w:right w:val="none" w:sz="0" w:space="0" w:color="auto"/>
      </w:divBdr>
    </w:div>
    <w:div w:id="1556506009">
      <w:bodyDiv w:val="1"/>
      <w:marLeft w:val="0"/>
      <w:marRight w:val="0"/>
      <w:marTop w:val="0"/>
      <w:marBottom w:val="0"/>
      <w:divBdr>
        <w:top w:val="none" w:sz="0" w:space="0" w:color="auto"/>
        <w:left w:val="none" w:sz="0" w:space="0" w:color="auto"/>
        <w:bottom w:val="none" w:sz="0" w:space="0" w:color="auto"/>
        <w:right w:val="none" w:sz="0" w:space="0" w:color="auto"/>
      </w:divBdr>
    </w:div>
    <w:div w:id="1556547586">
      <w:bodyDiv w:val="1"/>
      <w:marLeft w:val="0"/>
      <w:marRight w:val="0"/>
      <w:marTop w:val="0"/>
      <w:marBottom w:val="0"/>
      <w:divBdr>
        <w:top w:val="none" w:sz="0" w:space="0" w:color="auto"/>
        <w:left w:val="none" w:sz="0" w:space="0" w:color="auto"/>
        <w:bottom w:val="none" w:sz="0" w:space="0" w:color="auto"/>
        <w:right w:val="none" w:sz="0" w:space="0" w:color="auto"/>
      </w:divBdr>
    </w:div>
    <w:div w:id="1556619952">
      <w:bodyDiv w:val="1"/>
      <w:marLeft w:val="0"/>
      <w:marRight w:val="0"/>
      <w:marTop w:val="0"/>
      <w:marBottom w:val="0"/>
      <w:divBdr>
        <w:top w:val="none" w:sz="0" w:space="0" w:color="auto"/>
        <w:left w:val="none" w:sz="0" w:space="0" w:color="auto"/>
        <w:bottom w:val="none" w:sz="0" w:space="0" w:color="auto"/>
        <w:right w:val="none" w:sz="0" w:space="0" w:color="auto"/>
      </w:divBdr>
    </w:div>
    <w:div w:id="1556626875">
      <w:bodyDiv w:val="1"/>
      <w:marLeft w:val="0"/>
      <w:marRight w:val="0"/>
      <w:marTop w:val="0"/>
      <w:marBottom w:val="0"/>
      <w:divBdr>
        <w:top w:val="none" w:sz="0" w:space="0" w:color="auto"/>
        <w:left w:val="none" w:sz="0" w:space="0" w:color="auto"/>
        <w:bottom w:val="none" w:sz="0" w:space="0" w:color="auto"/>
        <w:right w:val="none" w:sz="0" w:space="0" w:color="auto"/>
      </w:divBdr>
    </w:div>
    <w:div w:id="1556698543">
      <w:bodyDiv w:val="1"/>
      <w:marLeft w:val="0"/>
      <w:marRight w:val="0"/>
      <w:marTop w:val="0"/>
      <w:marBottom w:val="0"/>
      <w:divBdr>
        <w:top w:val="none" w:sz="0" w:space="0" w:color="auto"/>
        <w:left w:val="none" w:sz="0" w:space="0" w:color="auto"/>
        <w:bottom w:val="none" w:sz="0" w:space="0" w:color="auto"/>
        <w:right w:val="none" w:sz="0" w:space="0" w:color="auto"/>
      </w:divBdr>
    </w:div>
    <w:div w:id="1556702454">
      <w:bodyDiv w:val="1"/>
      <w:marLeft w:val="0"/>
      <w:marRight w:val="0"/>
      <w:marTop w:val="0"/>
      <w:marBottom w:val="0"/>
      <w:divBdr>
        <w:top w:val="none" w:sz="0" w:space="0" w:color="auto"/>
        <w:left w:val="none" w:sz="0" w:space="0" w:color="auto"/>
        <w:bottom w:val="none" w:sz="0" w:space="0" w:color="auto"/>
        <w:right w:val="none" w:sz="0" w:space="0" w:color="auto"/>
      </w:divBdr>
    </w:div>
    <w:div w:id="1556743149">
      <w:bodyDiv w:val="1"/>
      <w:marLeft w:val="0"/>
      <w:marRight w:val="0"/>
      <w:marTop w:val="0"/>
      <w:marBottom w:val="0"/>
      <w:divBdr>
        <w:top w:val="none" w:sz="0" w:space="0" w:color="auto"/>
        <w:left w:val="none" w:sz="0" w:space="0" w:color="auto"/>
        <w:bottom w:val="none" w:sz="0" w:space="0" w:color="auto"/>
        <w:right w:val="none" w:sz="0" w:space="0" w:color="auto"/>
      </w:divBdr>
    </w:div>
    <w:div w:id="1556814642">
      <w:bodyDiv w:val="1"/>
      <w:marLeft w:val="0"/>
      <w:marRight w:val="0"/>
      <w:marTop w:val="0"/>
      <w:marBottom w:val="0"/>
      <w:divBdr>
        <w:top w:val="none" w:sz="0" w:space="0" w:color="auto"/>
        <w:left w:val="none" w:sz="0" w:space="0" w:color="auto"/>
        <w:bottom w:val="none" w:sz="0" w:space="0" w:color="auto"/>
        <w:right w:val="none" w:sz="0" w:space="0" w:color="auto"/>
      </w:divBdr>
    </w:div>
    <w:div w:id="1556815438">
      <w:bodyDiv w:val="1"/>
      <w:marLeft w:val="0"/>
      <w:marRight w:val="0"/>
      <w:marTop w:val="0"/>
      <w:marBottom w:val="0"/>
      <w:divBdr>
        <w:top w:val="none" w:sz="0" w:space="0" w:color="auto"/>
        <w:left w:val="none" w:sz="0" w:space="0" w:color="auto"/>
        <w:bottom w:val="none" w:sz="0" w:space="0" w:color="auto"/>
        <w:right w:val="none" w:sz="0" w:space="0" w:color="auto"/>
      </w:divBdr>
    </w:div>
    <w:div w:id="1556818515">
      <w:bodyDiv w:val="1"/>
      <w:marLeft w:val="0"/>
      <w:marRight w:val="0"/>
      <w:marTop w:val="0"/>
      <w:marBottom w:val="0"/>
      <w:divBdr>
        <w:top w:val="none" w:sz="0" w:space="0" w:color="auto"/>
        <w:left w:val="none" w:sz="0" w:space="0" w:color="auto"/>
        <w:bottom w:val="none" w:sz="0" w:space="0" w:color="auto"/>
        <w:right w:val="none" w:sz="0" w:space="0" w:color="auto"/>
      </w:divBdr>
    </w:div>
    <w:div w:id="1556819074">
      <w:bodyDiv w:val="1"/>
      <w:marLeft w:val="0"/>
      <w:marRight w:val="0"/>
      <w:marTop w:val="0"/>
      <w:marBottom w:val="0"/>
      <w:divBdr>
        <w:top w:val="none" w:sz="0" w:space="0" w:color="auto"/>
        <w:left w:val="none" w:sz="0" w:space="0" w:color="auto"/>
        <w:bottom w:val="none" w:sz="0" w:space="0" w:color="auto"/>
        <w:right w:val="none" w:sz="0" w:space="0" w:color="auto"/>
      </w:divBdr>
    </w:div>
    <w:div w:id="1556889633">
      <w:bodyDiv w:val="1"/>
      <w:marLeft w:val="0"/>
      <w:marRight w:val="0"/>
      <w:marTop w:val="0"/>
      <w:marBottom w:val="0"/>
      <w:divBdr>
        <w:top w:val="none" w:sz="0" w:space="0" w:color="auto"/>
        <w:left w:val="none" w:sz="0" w:space="0" w:color="auto"/>
        <w:bottom w:val="none" w:sz="0" w:space="0" w:color="auto"/>
        <w:right w:val="none" w:sz="0" w:space="0" w:color="auto"/>
      </w:divBdr>
    </w:div>
    <w:div w:id="1557008668">
      <w:bodyDiv w:val="1"/>
      <w:marLeft w:val="0"/>
      <w:marRight w:val="0"/>
      <w:marTop w:val="0"/>
      <w:marBottom w:val="0"/>
      <w:divBdr>
        <w:top w:val="none" w:sz="0" w:space="0" w:color="auto"/>
        <w:left w:val="none" w:sz="0" w:space="0" w:color="auto"/>
        <w:bottom w:val="none" w:sz="0" w:space="0" w:color="auto"/>
        <w:right w:val="none" w:sz="0" w:space="0" w:color="auto"/>
      </w:divBdr>
    </w:div>
    <w:div w:id="1557082541">
      <w:bodyDiv w:val="1"/>
      <w:marLeft w:val="0"/>
      <w:marRight w:val="0"/>
      <w:marTop w:val="0"/>
      <w:marBottom w:val="0"/>
      <w:divBdr>
        <w:top w:val="none" w:sz="0" w:space="0" w:color="auto"/>
        <w:left w:val="none" w:sz="0" w:space="0" w:color="auto"/>
        <w:bottom w:val="none" w:sz="0" w:space="0" w:color="auto"/>
        <w:right w:val="none" w:sz="0" w:space="0" w:color="auto"/>
      </w:divBdr>
    </w:div>
    <w:div w:id="1557088172">
      <w:bodyDiv w:val="1"/>
      <w:marLeft w:val="0"/>
      <w:marRight w:val="0"/>
      <w:marTop w:val="0"/>
      <w:marBottom w:val="0"/>
      <w:divBdr>
        <w:top w:val="none" w:sz="0" w:space="0" w:color="auto"/>
        <w:left w:val="none" w:sz="0" w:space="0" w:color="auto"/>
        <w:bottom w:val="none" w:sz="0" w:space="0" w:color="auto"/>
        <w:right w:val="none" w:sz="0" w:space="0" w:color="auto"/>
      </w:divBdr>
    </w:div>
    <w:div w:id="1557231641">
      <w:bodyDiv w:val="1"/>
      <w:marLeft w:val="0"/>
      <w:marRight w:val="0"/>
      <w:marTop w:val="0"/>
      <w:marBottom w:val="0"/>
      <w:divBdr>
        <w:top w:val="none" w:sz="0" w:space="0" w:color="auto"/>
        <w:left w:val="none" w:sz="0" w:space="0" w:color="auto"/>
        <w:bottom w:val="none" w:sz="0" w:space="0" w:color="auto"/>
        <w:right w:val="none" w:sz="0" w:space="0" w:color="auto"/>
      </w:divBdr>
    </w:div>
    <w:div w:id="1557273535">
      <w:bodyDiv w:val="1"/>
      <w:marLeft w:val="0"/>
      <w:marRight w:val="0"/>
      <w:marTop w:val="0"/>
      <w:marBottom w:val="0"/>
      <w:divBdr>
        <w:top w:val="none" w:sz="0" w:space="0" w:color="auto"/>
        <w:left w:val="none" w:sz="0" w:space="0" w:color="auto"/>
        <w:bottom w:val="none" w:sz="0" w:space="0" w:color="auto"/>
        <w:right w:val="none" w:sz="0" w:space="0" w:color="auto"/>
      </w:divBdr>
    </w:div>
    <w:div w:id="1557275632">
      <w:bodyDiv w:val="1"/>
      <w:marLeft w:val="0"/>
      <w:marRight w:val="0"/>
      <w:marTop w:val="0"/>
      <w:marBottom w:val="0"/>
      <w:divBdr>
        <w:top w:val="none" w:sz="0" w:space="0" w:color="auto"/>
        <w:left w:val="none" w:sz="0" w:space="0" w:color="auto"/>
        <w:bottom w:val="none" w:sz="0" w:space="0" w:color="auto"/>
        <w:right w:val="none" w:sz="0" w:space="0" w:color="auto"/>
      </w:divBdr>
    </w:div>
    <w:div w:id="1557282644">
      <w:bodyDiv w:val="1"/>
      <w:marLeft w:val="0"/>
      <w:marRight w:val="0"/>
      <w:marTop w:val="0"/>
      <w:marBottom w:val="0"/>
      <w:divBdr>
        <w:top w:val="none" w:sz="0" w:space="0" w:color="auto"/>
        <w:left w:val="none" w:sz="0" w:space="0" w:color="auto"/>
        <w:bottom w:val="none" w:sz="0" w:space="0" w:color="auto"/>
        <w:right w:val="none" w:sz="0" w:space="0" w:color="auto"/>
      </w:divBdr>
    </w:div>
    <w:div w:id="1557356760">
      <w:bodyDiv w:val="1"/>
      <w:marLeft w:val="0"/>
      <w:marRight w:val="0"/>
      <w:marTop w:val="0"/>
      <w:marBottom w:val="0"/>
      <w:divBdr>
        <w:top w:val="none" w:sz="0" w:space="0" w:color="auto"/>
        <w:left w:val="none" w:sz="0" w:space="0" w:color="auto"/>
        <w:bottom w:val="none" w:sz="0" w:space="0" w:color="auto"/>
        <w:right w:val="none" w:sz="0" w:space="0" w:color="auto"/>
      </w:divBdr>
    </w:div>
    <w:div w:id="1557472230">
      <w:bodyDiv w:val="1"/>
      <w:marLeft w:val="0"/>
      <w:marRight w:val="0"/>
      <w:marTop w:val="0"/>
      <w:marBottom w:val="0"/>
      <w:divBdr>
        <w:top w:val="none" w:sz="0" w:space="0" w:color="auto"/>
        <w:left w:val="none" w:sz="0" w:space="0" w:color="auto"/>
        <w:bottom w:val="none" w:sz="0" w:space="0" w:color="auto"/>
        <w:right w:val="none" w:sz="0" w:space="0" w:color="auto"/>
      </w:divBdr>
    </w:div>
    <w:div w:id="1557474962">
      <w:bodyDiv w:val="1"/>
      <w:marLeft w:val="0"/>
      <w:marRight w:val="0"/>
      <w:marTop w:val="0"/>
      <w:marBottom w:val="0"/>
      <w:divBdr>
        <w:top w:val="none" w:sz="0" w:space="0" w:color="auto"/>
        <w:left w:val="none" w:sz="0" w:space="0" w:color="auto"/>
        <w:bottom w:val="none" w:sz="0" w:space="0" w:color="auto"/>
        <w:right w:val="none" w:sz="0" w:space="0" w:color="auto"/>
      </w:divBdr>
    </w:div>
    <w:div w:id="1557626096">
      <w:bodyDiv w:val="1"/>
      <w:marLeft w:val="0"/>
      <w:marRight w:val="0"/>
      <w:marTop w:val="0"/>
      <w:marBottom w:val="0"/>
      <w:divBdr>
        <w:top w:val="none" w:sz="0" w:space="0" w:color="auto"/>
        <w:left w:val="none" w:sz="0" w:space="0" w:color="auto"/>
        <w:bottom w:val="none" w:sz="0" w:space="0" w:color="auto"/>
        <w:right w:val="none" w:sz="0" w:space="0" w:color="auto"/>
      </w:divBdr>
    </w:div>
    <w:div w:id="1557660572">
      <w:bodyDiv w:val="1"/>
      <w:marLeft w:val="0"/>
      <w:marRight w:val="0"/>
      <w:marTop w:val="0"/>
      <w:marBottom w:val="0"/>
      <w:divBdr>
        <w:top w:val="none" w:sz="0" w:space="0" w:color="auto"/>
        <w:left w:val="none" w:sz="0" w:space="0" w:color="auto"/>
        <w:bottom w:val="none" w:sz="0" w:space="0" w:color="auto"/>
        <w:right w:val="none" w:sz="0" w:space="0" w:color="auto"/>
      </w:divBdr>
    </w:div>
    <w:div w:id="1557738769">
      <w:bodyDiv w:val="1"/>
      <w:marLeft w:val="0"/>
      <w:marRight w:val="0"/>
      <w:marTop w:val="0"/>
      <w:marBottom w:val="0"/>
      <w:divBdr>
        <w:top w:val="none" w:sz="0" w:space="0" w:color="auto"/>
        <w:left w:val="none" w:sz="0" w:space="0" w:color="auto"/>
        <w:bottom w:val="none" w:sz="0" w:space="0" w:color="auto"/>
        <w:right w:val="none" w:sz="0" w:space="0" w:color="auto"/>
      </w:divBdr>
    </w:div>
    <w:div w:id="1557813254">
      <w:bodyDiv w:val="1"/>
      <w:marLeft w:val="0"/>
      <w:marRight w:val="0"/>
      <w:marTop w:val="0"/>
      <w:marBottom w:val="0"/>
      <w:divBdr>
        <w:top w:val="none" w:sz="0" w:space="0" w:color="auto"/>
        <w:left w:val="none" w:sz="0" w:space="0" w:color="auto"/>
        <w:bottom w:val="none" w:sz="0" w:space="0" w:color="auto"/>
        <w:right w:val="none" w:sz="0" w:space="0" w:color="auto"/>
      </w:divBdr>
    </w:div>
    <w:div w:id="1557858327">
      <w:bodyDiv w:val="1"/>
      <w:marLeft w:val="0"/>
      <w:marRight w:val="0"/>
      <w:marTop w:val="0"/>
      <w:marBottom w:val="0"/>
      <w:divBdr>
        <w:top w:val="none" w:sz="0" w:space="0" w:color="auto"/>
        <w:left w:val="none" w:sz="0" w:space="0" w:color="auto"/>
        <w:bottom w:val="none" w:sz="0" w:space="0" w:color="auto"/>
        <w:right w:val="none" w:sz="0" w:space="0" w:color="auto"/>
      </w:divBdr>
    </w:div>
    <w:div w:id="1557929029">
      <w:bodyDiv w:val="1"/>
      <w:marLeft w:val="0"/>
      <w:marRight w:val="0"/>
      <w:marTop w:val="0"/>
      <w:marBottom w:val="0"/>
      <w:divBdr>
        <w:top w:val="none" w:sz="0" w:space="0" w:color="auto"/>
        <w:left w:val="none" w:sz="0" w:space="0" w:color="auto"/>
        <w:bottom w:val="none" w:sz="0" w:space="0" w:color="auto"/>
        <w:right w:val="none" w:sz="0" w:space="0" w:color="auto"/>
      </w:divBdr>
    </w:div>
    <w:div w:id="1558010488">
      <w:bodyDiv w:val="1"/>
      <w:marLeft w:val="0"/>
      <w:marRight w:val="0"/>
      <w:marTop w:val="0"/>
      <w:marBottom w:val="0"/>
      <w:divBdr>
        <w:top w:val="none" w:sz="0" w:space="0" w:color="auto"/>
        <w:left w:val="none" w:sz="0" w:space="0" w:color="auto"/>
        <w:bottom w:val="none" w:sz="0" w:space="0" w:color="auto"/>
        <w:right w:val="none" w:sz="0" w:space="0" w:color="auto"/>
      </w:divBdr>
    </w:div>
    <w:div w:id="1558013428">
      <w:bodyDiv w:val="1"/>
      <w:marLeft w:val="0"/>
      <w:marRight w:val="0"/>
      <w:marTop w:val="0"/>
      <w:marBottom w:val="0"/>
      <w:divBdr>
        <w:top w:val="none" w:sz="0" w:space="0" w:color="auto"/>
        <w:left w:val="none" w:sz="0" w:space="0" w:color="auto"/>
        <w:bottom w:val="none" w:sz="0" w:space="0" w:color="auto"/>
        <w:right w:val="none" w:sz="0" w:space="0" w:color="auto"/>
      </w:divBdr>
    </w:div>
    <w:div w:id="1558080212">
      <w:bodyDiv w:val="1"/>
      <w:marLeft w:val="0"/>
      <w:marRight w:val="0"/>
      <w:marTop w:val="0"/>
      <w:marBottom w:val="0"/>
      <w:divBdr>
        <w:top w:val="none" w:sz="0" w:space="0" w:color="auto"/>
        <w:left w:val="none" w:sz="0" w:space="0" w:color="auto"/>
        <w:bottom w:val="none" w:sz="0" w:space="0" w:color="auto"/>
        <w:right w:val="none" w:sz="0" w:space="0" w:color="auto"/>
      </w:divBdr>
    </w:div>
    <w:div w:id="1558123619">
      <w:bodyDiv w:val="1"/>
      <w:marLeft w:val="0"/>
      <w:marRight w:val="0"/>
      <w:marTop w:val="0"/>
      <w:marBottom w:val="0"/>
      <w:divBdr>
        <w:top w:val="none" w:sz="0" w:space="0" w:color="auto"/>
        <w:left w:val="none" w:sz="0" w:space="0" w:color="auto"/>
        <w:bottom w:val="none" w:sz="0" w:space="0" w:color="auto"/>
        <w:right w:val="none" w:sz="0" w:space="0" w:color="auto"/>
      </w:divBdr>
    </w:div>
    <w:div w:id="1558127710">
      <w:bodyDiv w:val="1"/>
      <w:marLeft w:val="0"/>
      <w:marRight w:val="0"/>
      <w:marTop w:val="0"/>
      <w:marBottom w:val="0"/>
      <w:divBdr>
        <w:top w:val="none" w:sz="0" w:space="0" w:color="auto"/>
        <w:left w:val="none" w:sz="0" w:space="0" w:color="auto"/>
        <w:bottom w:val="none" w:sz="0" w:space="0" w:color="auto"/>
        <w:right w:val="none" w:sz="0" w:space="0" w:color="auto"/>
      </w:divBdr>
    </w:div>
    <w:div w:id="1558198715">
      <w:bodyDiv w:val="1"/>
      <w:marLeft w:val="0"/>
      <w:marRight w:val="0"/>
      <w:marTop w:val="0"/>
      <w:marBottom w:val="0"/>
      <w:divBdr>
        <w:top w:val="none" w:sz="0" w:space="0" w:color="auto"/>
        <w:left w:val="none" w:sz="0" w:space="0" w:color="auto"/>
        <w:bottom w:val="none" w:sz="0" w:space="0" w:color="auto"/>
        <w:right w:val="none" w:sz="0" w:space="0" w:color="auto"/>
      </w:divBdr>
    </w:div>
    <w:div w:id="1558200422">
      <w:bodyDiv w:val="1"/>
      <w:marLeft w:val="0"/>
      <w:marRight w:val="0"/>
      <w:marTop w:val="0"/>
      <w:marBottom w:val="0"/>
      <w:divBdr>
        <w:top w:val="none" w:sz="0" w:space="0" w:color="auto"/>
        <w:left w:val="none" w:sz="0" w:space="0" w:color="auto"/>
        <w:bottom w:val="none" w:sz="0" w:space="0" w:color="auto"/>
        <w:right w:val="none" w:sz="0" w:space="0" w:color="auto"/>
      </w:divBdr>
    </w:div>
    <w:div w:id="1558272728">
      <w:bodyDiv w:val="1"/>
      <w:marLeft w:val="0"/>
      <w:marRight w:val="0"/>
      <w:marTop w:val="0"/>
      <w:marBottom w:val="0"/>
      <w:divBdr>
        <w:top w:val="none" w:sz="0" w:space="0" w:color="auto"/>
        <w:left w:val="none" w:sz="0" w:space="0" w:color="auto"/>
        <w:bottom w:val="none" w:sz="0" w:space="0" w:color="auto"/>
        <w:right w:val="none" w:sz="0" w:space="0" w:color="auto"/>
      </w:divBdr>
    </w:div>
    <w:div w:id="1558274128">
      <w:bodyDiv w:val="1"/>
      <w:marLeft w:val="0"/>
      <w:marRight w:val="0"/>
      <w:marTop w:val="0"/>
      <w:marBottom w:val="0"/>
      <w:divBdr>
        <w:top w:val="none" w:sz="0" w:space="0" w:color="auto"/>
        <w:left w:val="none" w:sz="0" w:space="0" w:color="auto"/>
        <w:bottom w:val="none" w:sz="0" w:space="0" w:color="auto"/>
        <w:right w:val="none" w:sz="0" w:space="0" w:color="auto"/>
      </w:divBdr>
    </w:div>
    <w:div w:id="1558275967">
      <w:bodyDiv w:val="1"/>
      <w:marLeft w:val="0"/>
      <w:marRight w:val="0"/>
      <w:marTop w:val="0"/>
      <w:marBottom w:val="0"/>
      <w:divBdr>
        <w:top w:val="none" w:sz="0" w:space="0" w:color="auto"/>
        <w:left w:val="none" w:sz="0" w:space="0" w:color="auto"/>
        <w:bottom w:val="none" w:sz="0" w:space="0" w:color="auto"/>
        <w:right w:val="none" w:sz="0" w:space="0" w:color="auto"/>
      </w:divBdr>
    </w:div>
    <w:div w:id="1558281917">
      <w:bodyDiv w:val="1"/>
      <w:marLeft w:val="0"/>
      <w:marRight w:val="0"/>
      <w:marTop w:val="0"/>
      <w:marBottom w:val="0"/>
      <w:divBdr>
        <w:top w:val="none" w:sz="0" w:space="0" w:color="auto"/>
        <w:left w:val="none" w:sz="0" w:space="0" w:color="auto"/>
        <w:bottom w:val="none" w:sz="0" w:space="0" w:color="auto"/>
        <w:right w:val="none" w:sz="0" w:space="0" w:color="auto"/>
      </w:divBdr>
    </w:div>
    <w:div w:id="1558392319">
      <w:bodyDiv w:val="1"/>
      <w:marLeft w:val="0"/>
      <w:marRight w:val="0"/>
      <w:marTop w:val="0"/>
      <w:marBottom w:val="0"/>
      <w:divBdr>
        <w:top w:val="none" w:sz="0" w:space="0" w:color="auto"/>
        <w:left w:val="none" w:sz="0" w:space="0" w:color="auto"/>
        <w:bottom w:val="none" w:sz="0" w:space="0" w:color="auto"/>
        <w:right w:val="none" w:sz="0" w:space="0" w:color="auto"/>
      </w:divBdr>
    </w:div>
    <w:div w:id="1558392891">
      <w:bodyDiv w:val="1"/>
      <w:marLeft w:val="0"/>
      <w:marRight w:val="0"/>
      <w:marTop w:val="0"/>
      <w:marBottom w:val="0"/>
      <w:divBdr>
        <w:top w:val="none" w:sz="0" w:space="0" w:color="auto"/>
        <w:left w:val="none" w:sz="0" w:space="0" w:color="auto"/>
        <w:bottom w:val="none" w:sz="0" w:space="0" w:color="auto"/>
        <w:right w:val="none" w:sz="0" w:space="0" w:color="auto"/>
      </w:divBdr>
    </w:div>
    <w:div w:id="1558397565">
      <w:bodyDiv w:val="1"/>
      <w:marLeft w:val="0"/>
      <w:marRight w:val="0"/>
      <w:marTop w:val="0"/>
      <w:marBottom w:val="0"/>
      <w:divBdr>
        <w:top w:val="none" w:sz="0" w:space="0" w:color="auto"/>
        <w:left w:val="none" w:sz="0" w:space="0" w:color="auto"/>
        <w:bottom w:val="none" w:sz="0" w:space="0" w:color="auto"/>
        <w:right w:val="none" w:sz="0" w:space="0" w:color="auto"/>
      </w:divBdr>
    </w:div>
    <w:div w:id="1558468572">
      <w:bodyDiv w:val="1"/>
      <w:marLeft w:val="0"/>
      <w:marRight w:val="0"/>
      <w:marTop w:val="0"/>
      <w:marBottom w:val="0"/>
      <w:divBdr>
        <w:top w:val="none" w:sz="0" w:space="0" w:color="auto"/>
        <w:left w:val="none" w:sz="0" w:space="0" w:color="auto"/>
        <w:bottom w:val="none" w:sz="0" w:space="0" w:color="auto"/>
        <w:right w:val="none" w:sz="0" w:space="0" w:color="auto"/>
      </w:divBdr>
    </w:div>
    <w:div w:id="1558587815">
      <w:bodyDiv w:val="1"/>
      <w:marLeft w:val="0"/>
      <w:marRight w:val="0"/>
      <w:marTop w:val="0"/>
      <w:marBottom w:val="0"/>
      <w:divBdr>
        <w:top w:val="none" w:sz="0" w:space="0" w:color="auto"/>
        <w:left w:val="none" w:sz="0" w:space="0" w:color="auto"/>
        <w:bottom w:val="none" w:sz="0" w:space="0" w:color="auto"/>
        <w:right w:val="none" w:sz="0" w:space="0" w:color="auto"/>
      </w:divBdr>
    </w:div>
    <w:div w:id="1558591307">
      <w:bodyDiv w:val="1"/>
      <w:marLeft w:val="0"/>
      <w:marRight w:val="0"/>
      <w:marTop w:val="0"/>
      <w:marBottom w:val="0"/>
      <w:divBdr>
        <w:top w:val="none" w:sz="0" w:space="0" w:color="auto"/>
        <w:left w:val="none" w:sz="0" w:space="0" w:color="auto"/>
        <w:bottom w:val="none" w:sz="0" w:space="0" w:color="auto"/>
        <w:right w:val="none" w:sz="0" w:space="0" w:color="auto"/>
      </w:divBdr>
    </w:div>
    <w:div w:id="1558710820">
      <w:bodyDiv w:val="1"/>
      <w:marLeft w:val="0"/>
      <w:marRight w:val="0"/>
      <w:marTop w:val="0"/>
      <w:marBottom w:val="0"/>
      <w:divBdr>
        <w:top w:val="none" w:sz="0" w:space="0" w:color="auto"/>
        <w:left w:val="none" w:sz="0" w:space="0" w:color="auto"/>
        <w:bottom w:val="none" w:sz="0" w:space="0" w:color="auto"/>
        <w:right w:val="none" w:sz="0" w:space="0" w:color="auto"/>
      </w:divBdr>
    </w:div>
    <w:div w:id="1558780774">
      <w:bodyDiv w:val="1"/>
      <w:marLeft w:val="0"/>
      <w:marRight w:val="0"/>
      <w:marTop w:val="0"/>
      <w:marBottom w:val="0"/>
      <w:divBdr>
        <w:top w:val="none" w:sz="0" w:space="0" w:color="auto"/>
        <w:left w:val="none" w:sz="0" w:space="0" w:color="auto"/>
        <w:bottom w:val="none" w:sz="0" w:space="0" w:color="auto"/>
        <w:right w:val="none" w:sz="0" w:space="0" w:color="auto"/>
      </w:divBdr>
    </w:div>
    <w:div w:id="1558937067">
      <w:bodyDiv w:val="1"/>
      <w:marLeft w:val="0"/>
      <w:marRight w:val="0"/>
      <w:marTop w:val="0"/>
      <w:marBottom w:val="0"/>
      <w:divBdr>
        <w:top w:val="none" w:sz="0" w:space="0" w:color="auto"/>
        <w:left w:val="none" w:sz="0" w:space="0" w:color="auto"/>
        <w:bottom w:val="none" w:sz="0" w:space="0" w:color="auto"/>
        <w:right w:val="none" w:sz="0" w:space="0" w:color="auto"/>
      </w:divBdr>
    </w:div>
    <w:div w:id="1558937530">
      <w:bodyDiv w:val="1"/>
      <w:marLeft w:val="0"/>
      <w:marRight w:val="0"/>
      <w:marTop w:val="0"/>
      <w:marBottom w:val="0"/>
      <w:divBdr>
        <w:top w:val="none" w:sz="0" w:space="0" w:color="auto"/>
        <w:left w:val="none" w:sz="0" w:space="0" w:color="auto"/>
        <w:bottom w:val="none" w:sz="0" w:space="0" w:color="auto"/>
        <w:right w:val="none" w:sz="0" w:space="0" w:color="auto"/>
      </w:divBdr>
    </w:div>
    <w:div w:id="1558979347">
      <w:bodyDiv w:val="1"/>
      <w:marLeft w:val="0"/>
      <w:marRight w:val="0"/>
      <w:marTop w:val="0"/>
      <w:marBottom w:val="0"/>
      <w:divBdr>
        <w:top w:val="none" w:sz="0" w:space="0" w:color="auto"/>
        <w:left w:val="none" w:sz="0" w:space="0" w:color="auto"/>
        <w:bottom w:val="none" w:sz="0" w:space="0" w:color="auto"/>
        <w:right w:val="none" w:sz="0" w:space="0" w:color="auto"/>
      </w:divBdr>
    </w:div>
    <w:div w:id="1559170473">
      <w:bodyDiv w:val="1"/>
      <w:marLeft w:val="0"/>
      <w:marRight w:val="0"/>
      <w:marTop w:val="0"/>
      <w:marBottom w:val="0"/>
      <w:divBdr>
        <w:top w:val="none" w:sz="0" w:space="0" w:color="auto"/>
        <w:left w:val="none" w:sz="0" w:space="0" w:color="auto"/>
        <w:bottom w:val="none" w:sz="0" w:space="0" w:color="auto"/>
        <w:right w:val="none" w:sz="0" w:space="0" w:color="auto"/>
      </w:divBdr>
    </w:div>
    <w:div w:id="1559391798">
      <w:bodyDiv w:val="1"/>
      <w:marLeft w:val="0"/>
      <w:marRight w:val="0"/>
      <w:marTop w:val="0"/>
      <w:marBottom w:val="0"/>
      <w:divBdr>
        <w:top w:val="none" w:sz="0" w:space="0" w:color="auto"/>
        <w:left w:val="none" w:sz="0" w:space="0" w:color="auto"/>
        <w:bottom w:val="none" w:sz="0" w:space="0" w:color="auto"/>
        <w:right w:val="none" w:sz="0" w:space="0" w:color="auto"/>
      </w:divBdr>
    </w:div>
    <w:div w:id="1559585669">
      <w:bodyDiv w:val="1"/>
      <w:marLeft w:val="0"/>
      <w:marRight w:val="0"/>
      <w:marTop w:val="0"/>
      <w:marBottom w:val="0"/>
      <w:divBdr>
        <w:top w:val="none" w:sz="0" w:space="0" w:color="auto"/>
        <w:left w:val="none" w:sz="0" w:space="0" w:color="auto"/>
        <w:bottom w:val="none" w:sz="0" w:space="0" w:color="auto"/>
        <w:right w:val="none" w:sz="0" w:space="0" w:color="auto"/>
      </w:divBdr>
    </w:div>
    <w:div w:id="1559589008">
      <w:bodyDiv w:val="1"/>
      <w:marLeft w:val="0"/>
      <w:marRight w:val="0"/>
      <w:marTop w:val="0"/>
      <w:marBottom w:val="0"/>
      <w:divBdr>
        <w:top w:val="none" w:sz="0" w:space="0" w:color="auto"/>
        <w:left w:val="none" w:sz="0" w:space="0" w:color="auto"/>
        <w:bottom w:val="none" w:sz="0" w:space="0" w:color="auto"/>
        <w:right w:val="none" w:sz="0" w:space="0" w:color="auto"/>
      </w:divBdr>
    </w:div>
    <w:div w:id="1559825584">
      <w:bodyDiv w:val="1"/>
      <w:marLeft w:val="0"/>
      <w:marRight w:val="0"/>
      <w:marTop w:val="0"/>
      <w:marBottom w:val="0"/>
      <w:divBdr>
        <w:top w:val="none" w:sz="0" w:space="0" w:color="auto"/>
        <w:left w:val="none" w:sz="0" w:space="0" w:color="auto"/>
        <w:bottom w:val="none" w:sz="0" w:space="0" w:color="auto"/>
        <w:right w:val="none" w:sz="0" w:space="0" w:color="auto"/>
      </w:divBdr>
    </w:div>
    <w:div w:id="1559897902">
      <w:bodyDiv w:val="1"/>
      <w:marLeft w:val="0"/>
      <w:marRight w:val="0"/>
      <w:marTop w:val="0"/>
      <w:marBottom w:val="0"/>
      <w:divBdr>
        <w:top w:val="none" w:sz="0" w:space="0" w:color="auto"/>
        <w:left w:val="none" w:sz="0" w:space="0" w:color="auto"/>
        <w:bottom w:val="none" w:sz="0" w:space="0" w:color="auto"/>
        <w:right w:val="none" w:sz="0" w:space="0" w:color="auto"/>
      </w:divBdr>
    </w:div>
    <w:div w:id="1560050453">
      <w:bodyDiv w:val="1"/>
      <w:marLeft w:val="0"/>
      <w:marRight w:val="0"/>
      <w:marTop w:val="0"/>
      <w:marBottom w:val="0"/>
      <w:divBdr>
        <w:top w:val="none" w:sz="0" w:space="0" w:color="auto"/>
        <w:left w:val="none" w:sz="0" w:space="0" w:color="auto"/>
        <w:bottom w:val="none" w:sz="0" w:space="0" w:color="auto"/>
        <w:right w:val="none" w:sz="0" w:space="0" w:color="auto"/>
      </w:divBdr>
    </w:div>
    <w:div w:id="1560095210">
      <w:bodyDiv w:val="1"/>
      <w:marLeft w:val="0"/>
      <w:marRight w:val="0"/>
      <w:marTop w:val="0"/>
      <w:marBottom w:val="0"/>
      <w:divBdr>
        <w:top w:val="none" w:sz="0" w:space="0" w:color="auto"/>
        <w:left w:val="none" w:sz="0" w:space="0" w:color="auto"/>
        <w:bottom w:val="none" w:sz="0" w:space="0" w:color="auto"/>
        <w:right w:val="none" w:sz="0" w:space="0" w:color="auto"/>
      </w:divBdr>
    </w:div>
    <w:div w:id="1560166338">
      <w:bodyDiv w:val="1"/>
      <w:marLeft w:val="0"/>
      <w:marRight w:val="0"/>
      <w:marTop w:val="0"/>
      <w:marBottom w:val="0"/>
      <w:divBdr>
        <w:top w:val="none" w:sz="0" w:space="0" w:color="auto"/>
        <w:left w:val="none" w:sz="0" w:space="0" w:color="auto"/>
        <w:bottom w:val="none" w:sz="0" w:space="0" w:color="auto"/>
        <w:right w:val="none" w:sz="0" w:space="0" w:color="auto"/>
      </w:divBdr>
    </w:div>
    <w:div w:id="1560288488">
      <w:bodyDiv w:val="1"/>
      <w:marLeft w:val="0"/>
      <w:marRight w:val="0"/>
      <w:marTop w:val="0"/>
      <w:marBottom w:val="0"/>
      <w:divBdr>
        <w:top w:val="none" w:sz="0" w:space="0" w:color="auto"/>
        <w:left w:val="none" w:sz="0" w:space="0" w:color="auto"/>
        <w:bottom w:val="none" w:sz="0" w:space="0" w:color="auto"/>
        <w:right w:val="none" w:sz="0" w:space="0" w:color="auto"/>
      </w:divBdr>
    </w:div>
    <w:div w:id="1560360259">
      <w:bodyDiv w:val="1"/>
      <w:marLeft w:val="0"/>
      <w:marRight w:val="0"/>
      <w:marTop w:val="0"/>
      <w:marBottom w:val="0"/>
      <w:divBdr>
        <w:top w:val="none" w:sz="0" w:space="0" w:color="auto"/>
        <w:left w:val="none" w:sz="0" w:space="0" w:color="auto"/>
        <w:bottom w:val="none" w:sz="0" w:space="0" w:color="auto"/>
        <w:right w:val="none" w:sz="0" w:space="0" w:color="auto"/>
      </w:divBdr>
    </w:div>
    <w:div w:id="1560364669">
      <w:bodyDiv w:val="1"/>
      <w:marLeft w:val="0"/>
      <w:marRight w:val="0"/>
      <w:marTop w:val="0"/>
      <w:marBottom w:val="0"/>
      <w:divBdr>
        <w:top w:val="none" w:sz="0" w:space="0" w:color="auto"/>
        <w:left w:val="none" w:sz="0" w:space="0" w:color="auto"/>
        <w:bottom w:val="none" w:sz="0" w:space="0" w:color="auto"/>
        <w:right w:val="none" w:sz="0" w:space="0" w:color="auto"/>
      </w:divBdr>
    </w:div>
    <w:div w:id="1560477827">
      <w:bodyDiv w:val="1"/>
      <w:marLeft w:val="0"/>
      <w:marRight w:val="0"/>
      <w:marTop w:val="0"/>
      <w:marBottom w:val="0"/>
      <w:divBdr>
        <w:top w:val="none" w:sz="0" w:space="0" w:color="auto"/>
        <w:left w:val="none" w:sz="0" w:space="0" w:color="auto"/>
        <w:bottom w:val="none" w:sz="0" w:space="0" w:color="auto"/>
        <w:right w:val="none" w:sz="0" w:space="0" w:color="auto"/>
      </w:divBdr>
    </w:div>
    <w:div w:id="1560480723">
      <w:bodyDiv w:val="1"/>
      <w:marLeft w:val="0"/>
      <w:marRight w:val="0"/>
      <w:marTop w:val="0"/>
      <w:marBottom w:val="0"/>
      <w:divBdr>
        <w:top w:val="none" w:sz="0" w:space="0" w:color="auto"/>
        <w:left w:val="none" w:sz="0" w:space="0" w:color="auto"/>
        <w:bottom w:val="none" w:sz="0" w:space="0" w:color="auto"/>
        <w:right w:val="none" w:sz="0" w:space="0" w:color="auto"/>
      </w:divBdr>
    </w:div>
    <w:div w:id="1560509183">
      <w:bodyDiv w:val="1"/>
      <w:marLeft w:val="0"/>
      <w:marRight w:val="0"/>
      <w:marTop w:val="0"/>
      <w:marBottom w:val="0"/>
      <w:divBdr>
        <w:top w:val="none" w:sz="0" w:space="0" w:color="auto"/>
        <w:left w:val="none" w:sz="0" w:space="0" w:color="auto"/>
        <w:bottom w:val="none" w:sz="0" w:space="0" w:color="auto"/>
        <w:right w:val="none" w:sz="0" w:space="0" w:color="auto"/>
      </w:divBdr>
    </w:div>
    <w:div w:id="1560675135">
      <w:bodyDiv w:val="1"/>
      <w:marLeft w:val="0"/>
      <w:marRight w:val="0"/>
      <w:marTop w:val="0"/>
      <w:marBottom w:val="0"/>
      <w:divBdr>
        <w:top w:val="none" w:sz="0" w:space="0" w:color="auto"/>
        <w:left w:val="none" w:sz="0" w:space="0" w:color="auto"/>
        <w:bottom w:val="none" w:sz="0" w:space="0" w:color="auto"/>
        <w:right w:val="none" w:sz="0" w:space="0" w:color="auto"/>
      </w:divBdr>
    </w:div>
    <w:div w:id="1560676680">
      <w:bodyDiv w:val="1"/>
      <w:marLeft w:val="0"/>
      <w:marRight w:val="0"/>
      <w:marTop w:val="0"/>
      <w:marBottom w:val="0"/>
      <w:divBdr>
        <w:top w:val="none" w:sz="0" w:space="0" w:color="auto"/>
        <w:left w:val="none" w:sz="0" w:space="0" w:color="auto"/>
        <w:bottom w:val="none" w:sz="0" w:space="0" w:color="auto"/>
        <w:right w:val="none" w:sz="0" w:space="0" w:color="auto"/>
      </w:divBdr>
    </w:div>
    <w:div w:id="1560827851">
      <w:bodyDiv w:val="1"/>
      <w:marLeft w:val="0"/>
      <w:marRight w:val="0"/>
      <w:marTop w:val="0"/>
      <w:marBottom w:val="0"/>
      <w:divBdr>
        <w:top w:val="none" w:sz="0" w:space="0" w:color="auto"/>
        <w:left w:val="none" w:sz="0" w:space="0" w:color="auto"/>
        <w:bottom w:val="none" w:sz="0" w:space="0" w:color="auto"/>
        <w:right w:val="none" w:sz="0" w:space="0" w:color="auto"/>
      </w:divBdr>
    </w:div>
    <w:div w:id="1561014928">
      <w:bodyDiv w:val="1"/>
      <w:marLeft w:val="0"/>
      <w:marRight w:val="0"/>
      <w:marTop w:val="0"/>
      <w:marBottom w:val="0"/>
      <w:divBdr>
        <w:top w:val="none" w:sz="0" w:space="0" w:color="auto"/>
        <w:left w:val="none" w:sz="0" w:space="0" w:color="auto"/>
        <w:bottom w:val="none" w:sz="0" w:space="0" w:color="auto"/>
        <w:right w:val="none" w:sz="0" w:space="0" w:color="auto"/>
      </w:divBdr>
    </w:div>
    <w:div w:id="1561089414">
      <w:bodyDiv w:val="1"/>
      <w:marLeft w:val="0"/>
      <w:marRight w:val="0"/>
      <w:marTop w:val="0"/>
      <w:marBottom w:val="0"/>
      <w:divBdr>
        <w:top w:val="none" w:sz="0" w:space="0" w:color="auto"/>
        <w:left w:val="none" w:sz="0" w:space="0" w:color="auto"/>
        <w:bottom w:val="none" w:sz="0" w:space="0" w:color="auto"/>
        <w:right w:val="none" w:sz="0" w:space="0" w:color="auto"/>
      </w:divBdr>
    </w:div>
    <w:div w:id="1561134204">
      <w:bodyDiv w:val="1"/>
      <w:marLeft w:val="0"/>
      <w:marRight w:val="0"/>
      <w:marTop w:val="0"/>
      <w:marBottom w:val="0"/>
      <w:divBdr>
        <w:top w:val="none" w:sz="0" w:space="0" w:color="auto"/>
        <w:left w:val="none" w:sz="0" w:space="0" w:color="auto"/>
        <w:bottom w:val="none" w:sz="0" w:space="0" w:color="auto"/>
        <w:right w:val="none" w:sz="0" w:space="0" w:color="auto"/>
      </w:divBdr>
    </w:div>
    <w:div w:id="1561138110">
      <w:bodyDiv w:val="1"/>
      <w:marLeft w:val="0"/>
      <w:marRight w:val="0"/>
      <w:marTop w:val="0"/>
      <w:marBottom w:val="0"/>
      <w:divBdr>
        <w:top w:val="none" w:sz="0" w:space="0" w:color="auto"/>
        <w:left w:val="none" w:sz="0" w:space="0" w:color="auto"/>
        <w:bottom w:val="none" w:sz="0" w:space="0" w:color="auto"/>
        <w:right w:val="none" w:sz="0" w:space="0" w:color="auto"/>
      </w:divBdr>
    </w:div>
    <w:div w:id="1561283077">
      <w:bodyDiv w:val="1"/>
      <w:marLeft w:val="0"/>
      <w:marRight w:val="0"/>
      <w:marTop w:val="0"/>
      <w:marBottom w:val="0"/>
      <w:divBdr>
        <w:top w:val="none" w:sz="0" w:space="0" w:color="auto"/>
        <w:left w:val="none" w:sz="0" w:space="0" w:color="auto"/>
        <w:bottom w:val="none" w:sz="0" w:space="0" w:color="auto"/>
        <w:right w:val="none" w:sz="0" w:space="0" w:color="auto"/>
      </w:divBdr>
    </w:div>
    <w:div w:id="1561331591">
      <w:bodyDiv w:val="1"/>
      <w:marLeft w:val="0"/>
      <w:marRight w:val="0"/>
      <w:marTop w:val="0"/>
      <w:marBottom w:val="0"/>
      <w:divBdr>
        <w:top w:val="none" w:sz="0" w:space="0" w:color="auto"/>
        <w:left w:val="none" w:sz="0" w:space="0" w:color="auto"/>
        <w:bottom w:val="none" w:sz="0" w:space="0" w:color="auto"/>
        <w:right w:val="none" w:sz="0" w:space="0" w:color="auto"/>
      </w:divBdr>
    </w:div>
    <w:div w:id="1561549366">
      <w:bodyDiv w:val="1"/>
      <w:marLeft w:val="0"/>
      <w:marRight w:val="0"/>
      <w:marTop w:val="0"/>
      <w:marBottom w:val="0"/>
      <w:divBdr>
        <w:top w:val="none" w:sz="0" w:space="0" w:color="auto"/>
        <w:left w:val="none" w:sz="0" w:space="0" w:color="auto"/>
        <w:bottom w:val="none" w:sz="0" w:space="0" w:color="auto"/>
        <w:right w:val="none" w:sz="0" w:space="0" w:color="auto"/>
      </w:divBdr>
    </w:div>
    <w:div w:id="1561550631">
      <w:bodyDiv w:val="1"/>
      <w:marLeft w:val="0"/>
      <w:marRight w:val="0"/>
      <w:marTop w:val="0"/>
      <w:marBottom w:val="0"/>
      <w:divBdr>
        <w:top w:val="none" w:sz="0" w:space="0" w:color="auto"/>
        <w:left w:val="none" w:sz="0" w:space="0" w:color="auto"/>
        <w:bottom w:val="none" w:sz="0" w:space="0" w:color="auto"/>
        <w:right w:val="none" w:sz="0" w:space="0" w:color="auto"/>
      </w:divBdr>
    </w:div>
    <w:div w:id="1561672833">
      <w:bodyDiv w:val="1"/>
      <w:marLeft w:val="0"/>
      <w:marRight w:val="0"/>
      <w:marTop w:val="0"/>
      <w:marBottom w:val="0"/>
      <w:divBdr>
        <w:top w:val="none" w:sz="0" w:space="0" w:color="auto"/>
        <w:left w:val="none" w:sz="0" w:space="0" w:color="auto"/>
        <w:bottom w:val="none" w:sz="0" w:space="0" w:color="auto"/>
        <w:right w:val="none" w:sz="0" w:space="0" w:color="auto"/>
      </w:divBdr>
    </w:div>
    <w:div w:id="1561673770">
      <w:bodyDiv w:val="1"/>
      <w:marLeft w:val="0"/>
      <w:marRight w:val="0"/>
      <w:marTop w:val="0"/>
      <w:marBottom w:val="0"/>
      <w:divBdr>
        <w:top w:val="none" w:sz="0" w:space="0" w:color="auto"/>
        <w:left w:val="none" w:sz="0" w:space="0" w:color="auto"/>
        <w:bottom w:val="none" w:sz="0" w:space="0" w:color="auto"/>
        <w:right w:val="none" w:sz="0" w:space="0" w:color="auto"/>
      </w:divBdr>
    </w:div>
    <w:div w:id="1561744919">
      <w:bodyDiv w:val="1"/>
      <w:marLeft w:val="0"/>
      <w:marRight w:val="0"/>
      <w:marTop w:val="0"/>
      <w:marBottom w:val="0"/>
      <w:divBdr>
        <w:top w:val="none" w:sz="0" w:space="0" w:color="auto"/>
        <w:left w:val="none" w:sz="0" w:space="0" w:color="auto"/>
        <w:bottom w:val="none" w:sz="0" w:space="0" w:color="auto"/>
        <w:right w:val="none" w:sz="0" w:space="0" w:color="auto"/>
      </w:divBdr>
    </w:div>
    <w:div w:id="1561791522">
      <w:bodyDiv w:val="1"/>
      <w:marLeft w:val="0"/>
      <w:marRight w:val="0"/>
      <w:marTop w:val="0"/>
      <w:marBottom w:val="0"/>
      <w:divBdr>
        <w:top w:val="none" w:sz="0" w:space="0" w:color="auto"/>
        <w:left w:val="none" w:sz="0" w:space="0" w:color="auto"/>
        <w:bottom w:val="none" w:sz="0" w:space="0" w:color="auto"/>
        <w:right w:val="none" w:sz="0" w:space="0" w:color="auto"/>
      </w:divBdr>
    </w:div>
    <w:div w:id="1561861337">
      <w:bodyDiv w:val="1"/>
      <w:marLeft w:val="0"/>
      <w:marRight w:val="0"/>
      <w:marTop w:val="0"/>
      <w:marBottom w:val="0"/>
      <w:divBdr>
        <w:top w:val="none" w:sz="0" w:space="0" w:color="auto"/>
        <w:left w:val="none" w:sz="0" w:space="0" w:color="auto"/>
        <w:bottom w:val="none" w:sz="0" w:space="0" w:color="auto"/>
        <w:right w:val="none" w:sz="0" w:space="0" w:color="auto"/>
      </w:divBdr>
    </w:div>
    <w:div w:id="1561862431">
      <w:bodyDiv w:val="1"/>
      <w:marLeft w:val="0"/>
      <w:marRight w:val="0"/>
      <w:marTop w:val="0"/>
      <w:marBottom w:val="0"/>
      <w:divBdr>
        <w:top w:val="none" w:sz="0" w:space="0" w:color="auto"/>
        <w:left w:val="none" w:sz="0" w:space="0" w:color="auto"/>
        <w:bottom w:val="none" w:sz="0" w:space="0" w:color="auto"/>
        <w:right w:val="none" w:sz="0" w:space="0" w:color="auto"/>
      </w:divBdr>
    </w:div>
    <w:div w:id="1561944704">
      <w:bodyDiv w:val="1"/>
      <w:marLeft w:val="0"/>
      <w:marRight w:val="0"/>
      <w:marTop w:val="0"/>
      <w:marBottom w:val="0"/>
      <w:divBdr>
        <w:top w:val="none" w:sz="0" w:space="0" w:color="auto"/>
        <w:left w:val="none" w:sz="0" w:space="0" w:color="auto"/>
        <w:bottom w:val="none" w:sz="0" w:space="0" w:color="auto"/>
        <w:right w:val="none" w:sz="0" w:space="0" w:color="auto"/>
      </w:divBdr>
    </w:div>
    <w:div w:id="1561986766">
      <w:bodyDiv w:val="1"/>
      <w:marLeft w:val="0"/>
      <w:marRight w:val="0"/>
      <w:marTop w:val="0"/>
      <w:marBottom w:val="0"/>
      <w:divBdr>
        <w:top w:val="none" w:sz="0" w:space="0" w:color="auto"/>
        <w:left w:val="none" w:sz="0" w:space="0" w:color="auto"/>
        <w:bottom w:val="none" w:sz="0" w:space="0" w:color="auto"/>
        <w:right w:val="none" w:sz="0" w:space="0" w:color="auto"/>
      </w:divBdr>
    </w:div>
    <w:div w:id="1561986898">
      <w:bodyDiv w:val="1"/>
      <w:marLeft w:val="0"/>
      <w:marRight w:val="0"/>
      <w:marTop w:val="0"/>
      <w:marBottom w:val="0"/>
      <w:divBdr>
        <w:top w:val="none" w:sz="0" w:space="0" w:color="auto"/>
        <w:left w:val="none" w:sz="0" w:space="0" w:color="auto"/>
        <w:bottom w:val="none" w:sz="0" w:space="0" w:color="auto"/>
        <w:right w:val="none" w:sz="0" w:space="0" w:color="auto"/>
      </w:divBdr>
    </w:div>
    <w:div w:id="1562138750">
      <w:bodyDiv w:val="1"/>
      <w:marLeft w:val="0"/>
      <w:marRight w:val="0"/>
      <w:marTop w:val="0"/>
      <w:marBottom w:val="0"/>
      <w:divBdr>
        <w:top w:val="none" w:sz="0" w:space="0" w:color="auto"/>
        <w:left w:val="none" w:sz="0" w:space="0" w:color="auto"/>
        <w:bottom w:val="none" w:sz="0" w:space="0" w:color="auto"/>
        <w:right w:val="none" w:sz="0" w:space="0" w:color="auto"/>
      </w:divBdr>
    </w:div>
    <w:div w:id="1562330333">
      <w:bodyDiv w:val="1"/>
      <w:marLeft w:val="0"/>
      <w:marRight w:val="0"/>
      <w:marTop w:val="0"/>
      <w:marBottom w:val="0"/>
      <w:divBdr>
        <w:top w:val="none" w:sz="0" w:space="0" w:color="auto"/>
        <w:left w:val="none" w:sz="0" w:space="0" w:color="auto"/>
        <w:bottom w:val="none" w:sz="0" w:space="0" w:color="auto"/>
        <w:right w:val="none" w:sz="0" w:space="0" w:color="auto"/>
      </w:divBdr>
    </w:div>
    <w:div w:id="1562406541">
      <w:bodyDiv w:val="1"/>
      <w:marLeft w:val="0"/>
      <w:marRight w:val="0"/>
      <w:marTop w:val="0"/>
      <w:marBottom w:val="0"/>
      <w:divBdr>
        <w:top w:val="none" w:sz="0" w:space="0" w:color="auto"/>
        <w:left w:val="none" w:sz="0" w:space="0" w:color="auto"/>
        <w:bottom w:val="none" w:sz="0" w:space="0" w:color="auto"/>
        <w:right w:val="none" w:sz="0" w:space="0" w:color="auto"/>
      </w:divBdr>
    </w:div>
    <w:div w:id="1562522744">
      <w:bodyDiv w:val="1"/>
      <w:marLeft w:val="0"/>
      <w:marRight w:val="0"/>
      <w:marTop w:val="0"/>
      <w:marBottom w:val="0"/>
      <w:divBdr>
        <w:top w:val="none" w:sz="0" w:space="0" w:color="auto"/>
        <w:left w:val="none" w:sz="0" w:space="0" w:color="auto"/>
        <w:bottom w:val="none" w:sz="0" w:space="0" w:color="auto"/>
        <w:right w:val="none" w:sz="0" w:space="0" w:color="auto"/>
      </w:divBdr>
    </w:div>
    <w:div w:id="1562523878">
      <w:bodyDiv w:val="1"/>
      <w:marLeft w:val="0"/>
      <w:marRight w:val="0"/>
      <w:marTop w:val="0"/>
      <w:marBottom w:val="0"/>
      <w:divBdr>
        <w:top w:val="none" w:sz="0" w:space="0" w:color="auto"/>
        <w:left w:val="none" w:sz="0" w:space="0" w:color="auto"/>
        <w:bottom w:val="none" w:sz="0" w:space="0" w:color="auto"/>
        <w:right w:val="none" w:sz="0" w:space="0" w:color="auto"/>
      </w:divBdr>
    </w:div>
    <w:div w:id="1562595901">
      <w:bodyDiv w:val="1"/>
      <w:marLeft w:val="0"/>
      <w:marRight w:val="0"/>
      <w:marTop w:val="0"/>
      <w:marBottom w:val="0"/>
      <w:divBdr>
        <w:top w:val="none" w:sz="0" w:space="0" w:color="auto"/>
        <w:left w:val="none" w:sz="0" w:space="0" w:color="auto"/>
        <w:bottom w:val="none" w:sz="0" w:space="0" w:color="auto"/>
        <w:right w:val="none" w:sz="0" w:space="0" w:color="auto"/>
      </w:divBdr>
    </w:div>
    <w:div w:id="1562640494">
      <w:bodyDiv w:val="1"/>
      <w:marLeft w:val="0"/>
      <w:marRight w:val="0"/>
      <w:marTop w:val="0"/>
      <w:marBottom w:val="0"/>
      <w:divBdr>
        <w:top w:val="none" w:sz="0" w:space="0" w:color="auto"/>
        <w:left w:val="none" w:sz="0" w:space="0" w:color="auto"/>
        <w:bottom w:val="none" w:sz="0" w:space="0" w:color="auto"/>
        <w:right w:val="none" w:sz="0" w:space="0" w:color="auto"/>
      </w:divBdr>
    </w:div>
    <w:div w:id="1562786211">
      <w:bodyDiv w:val="1"/>
      <w:marLeft w:val="0"/>
      <w:marRight w:val="0"/>
      <w:marTop w:val="0"/>
      <w:marBottom w:val="0"/>
      <w:divBdr>
        <w:top w:val="none" w:sz="0" w:space="0" w:color="auto"/>
        <w:left w:val="none" w:sz="0" w:space="0" w:color="auto"/>
        <w:bottom w:val="none" w:sz="0" w:space="0" w:color="auto"/>
        <w:right w:val="none" w:sz="0" w:space="0" w:color="auto"/>
      </w:divBdr>
    </w:div>
    <w:div w:id="1562863258">
      <w:bodyDiv w:val="1"/>
      <w:marLeft w:val="0"/>
      <w:marRight w:val="0"/>
      <w:marTop w:val="0"/>
      <w:marBottom w:val="0"/>
      <w:divBdr>
        <w:top w:val="none" w:sz="0" w:space="0" w:color="auto"/>
        <w:left w:val="none" w:sz="0" w:space="0" w:color="auto"/>
        <w:bottom w:val="none" w:sz="0" w:space="0" w:color="auto"/>
        <w:right w:val="none" w:sz="0" w:space="0" w:color="auto"/>
      </w:divBdr>
    </w:div>
    <w:div w:id="1562863718">
      <w:bodyDiv w:val="1"/>
      <w:marLeft w:val="0"/>
      <w:marRight w:val="0"/>
      <w:marTop w:val="0"/>
      <w:marBottom w:val="0"/>
      <w:divBdr>
        <w:top w:val="none" w:sz="0" w:space="0" w:color="auto"/>
        <w:left w:val="none" w:sz="0" w:space="0" w:color="auto"/>
        <w:bottom w:val="none" w:sz="0" w:space="0" w:color="auto"/>
        <w:right w:val="none" w:sz="0" w:space="0" w:color="auto"/>
      </w:divBdr>
    </w:div>
    <w:div w:id="1562985055">
      <w:bodyDiv w:val="1"/>
      <w:marLeft w:val="0"/>
      <w:marRight w:val="0"/>
      <w:marTop w:val="0"/>
      <w:marBottom w:val="0"/>
      <w:divBdr>
        <w:top w:val="none" w:sz="0" w:space="0" w:color="auto"/>
        <w:left w:val="none" w:sz="0" w:space="0" w:color="auto"/>
        <w:bottom w:val="none" w:sz="0" w:space="0" w:color="auto"/>
        <w:right w:val="none" w:sz="0" w:space="0" w:color="auto"/>
      </w:divBdr>
    </w:div>
    <w:div w:id="1563054390">
      <w:bodyDiv w:val="1"/>
      <w:marLeft w:val="0"/>
      <w:marRight w:val="0"/>
      <w:marTop w:val="0"/>
      <w:marBottom w:val="0"/>
      <w:divBdr>
        <w:top w:val="none" w:sz="0" w:space="0" w:color="auto"/>
        <w:left w:val="none" w:sz="0" w:space="0" w:color="auto"/>
        <w:bottom w:val="none" w:sz="0" w:space="0" w:color="auto"/>
        <w:right w:val="none" w:sz="0" w:space="0" w:color="auto"/>
      </w:divBdr>
    </w:div>
    <w:div w:id="1563103369">
      <w:bodyDiv w:val="1"/>
      <w:marLeft w:val="0"/>
      <w:marRight w:val="0"/>
      <w:marTop w:val="0"/>
      <w:marBottom w:val="0"/>
      <w:divBdr>
        <w:top w:val="none" w:sz="0" w:space="0" w:color="auto"/>
        <w:left w:val="none" w:sz="0" w:space="0" w:color="auto"/>
        <w:bottom w:val="none" w:sz="0" w:space="0" w:color="auto"/>
        <w:right w:val="none" w:sz="0" w:space="0" w:color="auto"/>
      </w:divBdr>
    </w:div>
    <w:div w:id="1563105229">
      <w:bodyDiv w:val="1"/>
      <w:marLeft w:val="0"/>
      <w:marRight w:val="0"/>
      <w:marTop w:val="0"/>
      <w:marBottom w:val="0"/>
      <w:divBdr>
        <w:top w:val="none" w:sz="0" w:space="0" w:color="auto"/>
        <w:left w:val="none" w:sz="0" w:space="0" w:color="auto"/>
        <w:bottom w:val="none" w:sz="0" w:space="0" w:color="auto"/>
        <w:right w:val="none" w:sz="0" w:space="0" w:color="auto"/>
      </w:divBdr>
    </w:div>
    <w:div w:id="1563179975">
      <w:bodyDiv w:val="1"/>
      <w:marLeft w:val="0"/>
      <w:marRight w:val="0"/>
      <w:marTop w:val="0"/>
      <w:marBottom w:val="0"/>
      <w:divBdr>
        <w:top w:val="none" w:sz="0" w:space="0" w:color="auto"/>
        <w:left w:val="none" w:sz="0" w:space="0" w:color="auto"/>
        <w:bottom w:val="none" w:sz="0" w:space="0" w:color="auto"/>
        <w:right w:val="none" w:sz="0" w:space="0" w:color="auto"/>
      </w:divBdr>
    </w:div>
    <w:div w:id="1563248065">
      <w:bodyDiv w:val="1"/>
      <w:marLeft w:val="0"/>
      <w:marRight w:val="0"/>
      <w:marTop w:val="0"/>
      <w:marBottom w:val="0"/>
      <w:divBdr>
        <w:top w:val="none" w:sz="0" w:space="0" w:color="auto"/>
        <w:left w:val="none" w:sz="0" w:space="0" w:color="auto"/>
        <w:bottom w:val="none" w:sz="0" w:space="0" w:color="auto"/>
        <w:right w:val="none" w:sz="0" w:space="0" w:color="auto"/>
      </w:divBdr>
    </w:div>
    <w:div w:id="1563253574">
      <w:bodyDiv w:val="1"/>
      <w:marLeft w:val="0"/>
      <w:marRight w:val="0"/>
      <w:marTop w:val="0"/>
      <w:marBottom w:val="0"/>
      <w:divBdr>
        <w:top w:val="none" w:sz="0" w:space="0" w:color="auto"/>
        <w:left w:val="none" w:sz="0" w:space="0" w:color="auto"/>
        <w:bottom w:val="none" w:sz="0" w:space="0" w:color="auto"/>
        <w:right w:val="none" w:sz="0" w:space="0" w:color="auto"/>
      </w:divBdr>
    </w:div>
    <w:div w:id="1563326548">
      <w:bodyDiv w:val="1"/>
      <w:marLeft w:val="0"/>
      <w:marRight w:val="0"/>
      <w:marTop w:val="0"/>
      <w:marBottom w:val="0"/>
      <w:divBdr>
        <w:top w:val="none" w:sz="0" w:space="0" w:color="auto"/>
        <w:left w:val="none" w:sz="0" w:space="0" w:color="auto"/>
        <w:bottom w:val="none" w:sz="0" w:space="0" w:color="auto"/>
        <w:right w:val="none" w:sz="0" w:space="0" w:color="auto"/>
      </w:divBdr>
    </w:div>
    <w:div w:id="1563370293">
      <w:bodyDiv w:val="1"/>
      <w:marLeft w:val="0"/>
      <w:marRight w:val="0"/>
      <w:marTop w:val="0"/>
      <w:marBottom w:val="0"/>
      <w:divBdr>
        <w:top w:val="none" w:sz="0" w:space="0" w:color="auto"/>
        <w:left w:val="none" w:sz="0" w:space="0" w:color="auto"/>
        <w:bottom w:val="none" w:sz="0" w:space="0" w:color="auto"/>
        <w:right w:val="none" w:sz="0" w:space="0" w:color="auto"/>
      </w:divBdr>
    </w:div>
    <w:div w:id="1563370866">
      <w:bodyDiv w:val="1"/>
      <w:marLeft w:val="0"/>
      <w:marRight w:val="0"/>
      <w:marTop w:val="0"/>
      <w:marBottom w:val="0"/>
      <w:divBdr>
        <w:top w:val="none" w:sz="0" w:space="0" w:color="auto"/>
        <w:left w:val="none" w:sz="0" w:space="0" w:color="auto"/>
        <w:bottom w:val="none" w:sz="0" w:space="0" w:color="auto"/>
        <w:right w:val="none" w:sz="0" w:space="0" w:color="auto"/>
      </w:divBdr>
    </w:div>
    <w:div w:id="1563373806">
      <w:bodyDiv w:val="1"/>
      <w:marLeft w:val="0"/>
      <w:marRight w:val="0"/>
      <w:marTop w:val="0"/>
      <w:marBottom w:val="0"/>
      <w:divBdr>
        <w:top w:val="none" w:sz="0" w:space="0" w:color="auto"/>
        <w:left w:val="none" w:sz="0" w:space="0" w:color="auto"/>
        <w:bottom w:val="none" w:sz="0" w:space="0" w:color="auto"/>
        <w:right w:val="none" w:sz="0" w:space="0" w:color="auto"/>
      </w:divBdr>
    </w:div>
    <w:div w:id="1563517721">
      <w:bodyDiv w:val="1"/>
      <w:marLeft w:val="0"/>
      <w:marRight w:val="0"/>
      <w:marTop w:val="0"/>
      <w:marBottom w:val="0"/>
      <w:divBdr>
        <w:top w:val="none" w:sz="0" w:space="0" w:color="auto"/>
        <w:left w:val="none" w:sz="0" w:space="0" w:color="auto"/>
        <w:bottom w:val="none" w:sz="0" w:space="0" w:color="auto"/>
        <w:right w:val="none" w:sz="0" w:space="0" w:color="auto"/>
      </w:divBdr>
    </w:div>
    <w:div w:id="1563559451">
      <w:bodyDiv w:val="1"/>
      <w:marLeft w:val="0"/>
      <w:marRight w:val="0"/>
      <w:marTop w:val="0"/>
      <w:marBottom w:val="0"/>
      <w:divBdr>
        <w:top w:val="none" w:sz="0" w:space="0" w:color="auto"/>
        <w:left w:val="none" w:sz="0" w:space="0" w:color="auto"/>
        <w:bottom w:val="none" w:sz="0" w:space="0" w:color="auto"/>
        <w:right w:val="none" w:sz="0" w:space="0" w:color="auto"/>
      </w:divBdr>
    </w:div>
    <w:div w:id="1563633236">
      <w:bodyDiv w:val="1"/>
      <w:marLeft w:val="0"/>
      <w:marRight w:val="0"/>
      <w:marTop w:val="0"/>
      <w:marBottom w:val="0"/>
      <w:divBdr>
        <w:top w:val="none" w:sz="0" w:space="0" w:color="auto"/>
        <w:left w:val="none" w:sz="0" w:space="0" w:color="auto"/>
        <w:bottom w:val="none" w:sz="0" w:space="0" w:color="auto"/>
        <w:right w:val="none" w:sz="0" w:space="0" w:color="auto"/>
      </w:divBdr>
    </w:div>
    <w:div w:id="1563637391">
      <w:bodyDiv w:val="1"/>
      <w:marLeft w:val="0"/>
      <w:marRight w:val="0"/>
      <w:marTop w:val="0"/>
      <w:marBottom w:val="0"/>
      <w:divBdr>
        <w:top w:val="none" w:sz="0" w:space="0" w:color="auto"/>
        <w:left w:val="none" w:sz="0" w:space="0" w:color="auto"/>
        <w:bottom w:val="none" w:sz="0" w:space="0" w:color="auto"/>
        <w:right w:val="none" w:sz="0" w:space="0" w:color="auto"/>
      </w:divBdr>
    </w:div>
    <w:div w:id="1563638121">
      <w:bodyDiv w:val="1"/>
      <w:marLeft w:val="0"/>
      <w:marRight w:val="0"/>
      <w:marTop w:val="0"/>
      <w:marBottom w:val="0"/>
      <w:divBdr>
        <w:top w:val="none" w:sz="0" w:space="0" w:color="auto"/>
        <w:left w:val="none" w:sz="0" w:space="0" w:color="auto"/>
        <w:bottom w:val="none" w:sz="0" w:space="0" w:color="auto"/>
        <w:right w:val="none" w:sz="0" w:space="0" w:color="auto"/>
      </w:divBdr>
    </w:div>
    <w:div w:id="1563784498">
      <w:bodyDiv w:val="1"/>
      <w:marLeft w:val="0"/>
      <w:marRight w:val="0"/>
      <w:marTop w:val="0"/>
      <w:marBottom w:val="0"/>
      <w:divBdr>
        <w:top w:val="none" w:sz="0" w:space="0" w:color="auto"/>
        <w:left w:val="none" w:sz="0" w:space="0" w:color="auto"/>
        <w:bottom w:val="none" w:sz="0" w:space="0" w:color="auto"/>
        <w:right w:val="none" w:sz="0" w:space="0" w:color="auto"/>
      </w:divBdr>
    </w:div>
    <w:div w:id="1563835055">
      <w:bodyDiv w:val="1"/>
      <w:marLeft w:val="0"/>
      <w:marRight w:val="0"/>
      <w:marTop w:val="0"/>
      <w:marBottom w:val="0"/>
      <w:divBdr>
        <w:top w:val="none" w:sz="0" w:space="0" w:color="auto"/>
        <w:left w:val="none" w:sz="0" w:space="0" w:color="auto"/>
        <w:bottom w:val="none" w:sz="0" w:space="0" w:color="auto"/>
        <w:right w:val="none" w:sz="0" w:space="0" w:color="auto"/>
      </w:divBdr>
    </w:div>
    <w:div w:id="1563835666">
      <w:bodyDiv w:val="1"/>
      <w:marLeft w:val="0"/>
      <w:marRight w:val="0"/>
      <w:marTop w:val="0"/>
      <w:marBottom w:val="0"/>
      <w:divBdr>
        <w:top w:val="none" w:sz="0" w:space="0" w:color="auto"/>
        <w:left w:val="none" w:sz="0" w:space="0" w:color="auto"/>
        <w:bottom w:val="none" w:sz="0" w:space="0" w:color="auto"/>
        <w:right w:val="none" w:sz="0" w:space="0" w:color="auto"/>
      </w:divBdr>
    </w:div>
    <w:div w:id="1563906912">
      <w:bodyDiv w:val="1"/>
      <w:marLeft w:val="0"/>
      <w:marRight w:val="0"/>
      <w:marTop w:val="0"/>
      <w:marBottom w:val="0"/>
      <w:divBdr>
        <w:top w:val="none" w:sz="0" w:space="0" w:color="auto"/>
        <w:left w:val="none" w:sz="0" w:space="0" w:color="auto"/>
        <w:bottom w:val="none" w:sz="0" w:space="0" w:color="auto"/>
        <w:right w:val="none" w:sz="0" w:space="0" w:color="auto"/>
      </w:divBdr>
    </w:div>
    <w:div w:id="1564288355">
      <w:bodyDiv w:val="1"/>
      <w:marLeft w:val="0"/>
      <w:marRight w:val="0"/>
      <w:marTop w:val="0"/>
      <w:marBottom w:val="0"/>
      <w:divBdr>
        <w:top w:val="none" w:sz="0" w:space="0" w:color="auto"/>
        <w:left w:val="none" w:sz="0" w:space="0" w:color="auto"/>
        <w:bottom w:val="none" w:sz="0" w:space="0" w:color="auto"/>
        <w:right w:val="none" w:sz="0" w:space="0" w:color="auto"/>
      </w:divBdr>
    </w:div>
    <w:div w:id="1564414581">
      <w:bodyDiv w:val="1"/>
      <w:marLeft w:val="0"/>
      <w:marRight w:val="0"/>
      <w:marTop w:val="0"/>
      <w:marBottom w:val="0"/>
      <w:divBdr>
        <w:top w:val="none" w:sz="0" w:space="0" w:color="auto"/>
        <w:left w:val="none" w:sz="0" w:space="0" w:color="auto"/>
        <w:bottom w:val="none" w:sz="0" w:space="0" w:color="auto"/>
        <w:right w:val="none" w:sz="0" w:space="0" w:color="auto"/>
      </w:divBdr>
    </w:div>
    <w:div w:id="1564557848">
      <w:bodyDiv w:val="1"/>
      <w:marLeft w:val="0"/>
      <w:marRight w:val="0"/>
      <w:marTop w:val="0"/>
      <w:marBottom w:val="0"/>
      <w:divBdr>
        <w:top w:val="none" w:sz="0" w:space="0" w:color="auto"/>
        <w:left w:val="none" w:sz="0" w:space="0" w:color="auto"/>
        <w:bottom w:val="none" w:sz="0" w:space="0" w:color="auto"/>
        <w:right w:val="none" w:sz="0" w:space="0" w:color="auto"/>
      </w:divBdr>
    </w:div>
    <w:div w:id="1564561491">
      <w:bodyDiv w:val="1"/>
      <w:marLeft w:val="0"/>
      <w:marRight w:val="0"/>
      <w:marTop w:val="0"/>
      <w:marBottom w:val="0"/>
      <w:divBdr>
        <w:top w:val="none" w:sz="0" w:space="0" w:color="auto"/>
        <w:left w:val="none" w:sz="0" w:space="0" w:color="auto"/>
        <w:bottom w:val="none" w:sz="0" w:space="0" w:color="auto"/>
        <w:right w:val="none" w:sz="0" w:space="0" w:color="auto"/>
      </w:divBdr>
    </w:div>
    <w:div w:id="1564635025">
      <w:bodyDiv w:val="1"/>
      <w:marLeft w:val="0"/>
      <w:marRight w:val="0"/>
      <w:marTop w:val="0"/>
      <w:marBottom w:val="0"/>
      <w:divBdr>
        <w:top w:val="none" w:sz="0" w:space="0" w:color="auto"/>
        <w:left w:val="none" w:sz="0" w:space="0" w:color="auto"/>
        <w:bottom w:val="none" w:sz="0" w:space="0" w:color="auto"/>
        <w:right w:val="none" w:sz="0" w:space="0" w:color="auto"/>
      </w:divBdr>
    </w:div>
    <w:div w:id="1564638214">
      <w:bodyDiv w:val="1"/>
      <w:marLeft w:val="0"/>
      <w:marRight w:val="0"/>
      <w:marTop w:val="0"/>
      <w:marBottom w:val="0"/>
      <w:divBdr>
        <w:top w:val="none" w:sz="0" w:space="0" w:color="auto"/>
        <w:left w:val="none" w:sz="0" w:space="0" w:color="auto"/>
        <w:bottom w:val="none" w:sz="0" w:space="0" w:color="auto"/>
        <w:right w:val="none" w:sz="0" w:space="0" w:color="auto"/>
      </w:divBdr>
    </w:div>
    <w:div w:id="1564681009">
      <w:bodyDiv w:val="1"/>
      <w:marLeft w:val="0"/>
      <w:marRight w:val="0"/>
      <w:marTop w:val="0"/>
      <w:marBottom w:val="0"/>
      <w:divBdr>
        <w:top w:val="none" w:sz="0" w:space="0" w:color="auto"/>
        <w:left w:val="none" w:sz="0" w:space="0" w:color="auto"/>
        <w:bottom w:val="none" w:sz="0" w:space="0" w:color="auto"/>
        <w:right w:val="none" w:sz="0" w:space="0" w:color="auto"/>
      </w:divBdr>
    </w:div>
    <w:div w:id="1564833187">
      <w:bodyDiv w:val="1"/>
      <w:marLeft w:val="0"/>
      <w:marRight w:val="0"/>
      <w:marTop w:val="0"/>
      <w:marBottom w:val="0"/>
      <w:divBdr>
        <w:top w:val="none" w:sz="0" w:space="0" w:color="auto"/>
        <w:left w:val="none" w:sz="0" w:space="0" w:color="auto"/>
        <w:bottom w:val="none" w:sz="0" w:space="0" w:color="auto"/>
        <w:right w:val="none" w:sz="0" w:space="0" w:color="auto"/>
      </w:divBdr>
    </w:div>
    <w:div w:id="1564873515">
      <w:bodyDiv w:val="1"/>
      <w:marLeft w:val="0"/>
      <w:marRight w:val="0"/>
      <w:marTop w:val="0"/>
      <w:marBottom w:val="0"/>
      <w:divBdr>
        <w:top w:val="none" w:sz="0" w:space="0" w:color="auto"/>
        <w:left w:val="none" w:sz="0" w:space="0" w:color="auto"/>
        <w:bottom w:val="none" w:sz="0" w:space="0" w:color="auto"/>
        <w:right w:val="none" w:sz="0" w:space="0" w:color="auto"/>
      </w:divBdr>
    </w:div>
    <w:div w:id="1565141664">
      <w:bodyDiv w:val="1"/>
      <w:marLeft w:val="0"/>
      <w:marRight w:val="0"/>
      <w:marTop w:val="0"/>
      <w:marBottom w:val="0"/>
      <w:divBdr>
        <w:top w:val="none" w:sz="0" w:space="0" w:color="auto"/>
        <w:left w:val="none" w:sz="0" w:space="0" w:color="auto"/>
        <w:bottom w:val="none" w:sz="0" w:space="0" w:color="auto"/>
        <w:right w:val="none" w:sz="0" w:space="0" w:color="auto"/>
      </w:divBdr>
    </w:div>
    <w:div w:id="1565217758">
      <w:bodyDiv w:val="1"/>
      <w:marLeft w:val="0"/>
      <w:marRight w:val="0"/>
      <w:marTop w:val="0"/>
      <w:marBottom w:val="0"/>
      <w:divBdr>
        <w:top w:val="none" w:sz="0" w:space="0" w:color="auto"/>
        <w:left w:val="none" w:sz="0" w:space="0" w:color="auto"/>
        <w:bottom w:val="none" w:sz="0" w:space="0" w:color="auto"/>
        <w:right w:val="none" w:sz="0" w:space="0" w:color="auto"/>
      </w:divBdr>
    </w:div>
    <w:div w:id="1565338924">
      <w:bodyDiv w:val="1"/>
      <w:marLeft w:val="0"/>
      <w:marRight w:val="0"/>
      <w:marTop w:val="0"/>
      <w:marBottom w:val="0"/>
      <w:divBdr>
        <w:top w:val="none" w:sz="0" w:space="0" w:color="auto"/>
        <w:left w:val="none" w:sz="0" w:space="0" w:color="auto"/>
        <w:bottom w:val="none" w:sz="0" w:space="0" w:color="auto"/>
        <w:right w:val="none" w:sz="0" w:space="0" w:color="auto"/>
      </w:divBdr>
    </w:div>
    <w:div w:id="1565676035">
      <w:bodyDiv w:val="1"/>
      <w:marLeft w:val="0"/>
      <w:marRight w:val="0"/>
      <w:marTop w:val="0"/>
      <w:marBottom w:val="0"/>
      <w:divBdr>
        <w:top w:val="none" w:sz="0" w:space="0" w:color="auto"/>
        <w:left w:val="none" w:sz="0" w:space="0" w:color="auto"/>
        <w:bottom w:val="none" w:sz="0" w:space="0" w:color="auto"/>
        <w:right w:val="none" w:sz="0" w:space="0" w:color="auto"/>
      </w:divBdr>
    </w:div>
    <w:div w:id="1565679841">
      <w:bodyDiv w:val="1"/>
      <w:marLeft w:val="0"/>
      <w:marRight w:val="0"/>
      <w:marTop w:val="0"/>
      <w:marBottom w:val="0"/>
      <w:divBdr>
        <w:top w:val="none" w:sz="0" w:space="0" w:color="auto"/>
        <w:left w:val="none" w:sz="0" w:space="0" w:color="auto"/>
        <w:bottom w:val="none" w:sz="0" w:space="0" w:color="auto"/>
        <w:right w:val="none" w:sz="0" w:space="0" w:color="auto"/>
      </w:divBdr>
    </w:div>
    <w:div w:id="1565918781">
      <w:bodyDiv w:val="1"/>
      <w:marLeft w:val="0"/>
      <w:marRight w:val="0"/>
      <w:marTop w:val="0"/>
      <w:marBottom w:val="0"/>
      <w:divBdr>
        <w:top w:val="none" w:sz="0" w:space="0" w:color="auto"/>
        <w:left w:val="none" w:sz="0" w:space="0" w:color="auto"/>
        <w:bottom w:val="none" w:sz="0" w:space="0" w:color="auto"/>
        <w:right w:val="none" w:sz="0" w:space="0" w:color="auto"/>
      </w:divBdr>
    </w:div>
    <w:div w:id="1565994583">
      <w:bodyDiv w:val="1"/>
      <w:marLeft w:val="0"/>
      <w:marRight w:val="0"/>
      <w:marTop w:val="0"/>
      <w:marBottom w:val="0"/>
      <w:divBdr>
        <w:top w:val="none" w:sz="0" w:space="0" w:color="auto"/>
        <w:left w:val="none" w:sz="0" w:space="0" w:color="auto"/>
        <w:bottom w:val="none" w:sz="0" w:space="0" w:color="auto"/>
        <w:right w:val="none" w:sz="0" w:space="0" w:color="auto"/>
      </w:divBdr>
    </w:div>
    <w:div w:id="1566065084">
      <w:bodyDiv w:val="1"/>
      <w:marLeft w:val="0"/>
      <w:marRight w:val="0"/>
      <w:marTop w:val="0"/>
      <w:marBottom w:val="0"/>
      <w:divBdr>
        <w:top w:val="none" w:sz="0" w:space="0" w:color="auto"/>
        <w:left w:val="none" w:sz="0" w:space="0" w:color="auto"/>
        <w:bottom w:val="none" w:sz="0" w:space="0" w:color="auto"/>
        <w:right w:val="none" w:sz="0" w:space="0" w:color="auto"/>
      </w:divBdr>
    </w:div>
    <w:div w:id="1566141756">
      <w:bodyDiv w:val="1"/>
      <w:marLeft w:val="0"/>
      <w:marRight w:val="0"/>
      <w:marTop w:val="0"/>
      <w:marBottom w:val="0"/>
      <w:divBdr>
        <w:top w:val="none" w:sz="0" w:space="0" w:color="auto"/>
        <w:left w:val="none" w:sz="0" w:space="0" w:color="auto"/>
        <w:bottom w:val="none" w:sz="0" w:space="0" w:color="auto"/>
        <w:right w:val="none" w:sz="0" w:space="0" w:color="auto"/>
      </w:divBdr>
    </w:div>
    <w:div w:id="1566142722">
      <w:bodyDiv w:val="1"/>
      <w:marLeft w:val="0"/>
      <w:marRight w:val="0"/>
      <w:marTop w:val="0"/>
      <w:marBottom w:val="0"/>
      <w:divBdr>
        <w:top w:val="none" w:sz="0" w:space="0" w:color="auto"/>
        <w:left w:val="none" w:sz="0" w:space="0" w:color="auto"/>
        <w:bottom w:val="none" w:sz="0" w:space="0" w:color="auto"/>
        <w:right w:val="none" w:sz="0" w:space="0" w:color="auto"/>
      </w:divBdr>
    </w:div>
    <w:div w:id="1566185629">
      <w:bodyDiv w:val="1"/>
      <w:marLeft w:val="0"/>
      <w:marRight w:val="0"/>
      <w:marTop w:val="0"/>
      <w:marBottom w:val="0"/>
      <w:divBdr>
        <w:top w:val="none" w:sz="0" w:space="0" w:color="auto"/>
        <w:left w:val="none" w:sz="0" w:space="0" w:color="auto"/>
        <w:bottom w:val="none" w:sz="0" w:space="0" w:color="auto"/>
        <w:right w:val="none" w:sz="0" w:space="0" w:color="auto"/>
      </w:divBdr>
    </w:div>
    <w:div w:id="1566254866">
      <w:bodyDiv w:val="1"/>
      <w:marLeft w:val="0"/>
      <w:marRight w:val="0"/>
      <w:marTop w:val="0"/>
      <w:marBottom w:val="0"/>
      <w:divBdr>
        <w:top w:val="none" w:sz="0" w:space="0" w:color="auto"/>
        <w:left w:val="none" w:sz="0" w:space="0" w:color="auto"/>
        <w:bottom w:val="none" w:sz="0" w:space="0" w:color="auto"/>
        <w:right w:val="none" w:sz="0" w:space="0" w:color="auto"/>
      </w:divBdr>
    </w:div>
    <w:div w:id="1566262484">
      <w:bodyDiv w:val="1"/>
      <w:marLeft w:val="0"/>
      <w:marRight w:val="0"/>
      <w:marTop w:val="0"/>
      <w:marBottom w:val="0"/>
      <w:divBdr>
        <w:top w:val="none" w:sz="0" w:space="0" w:color="auto"/>
        <w:left w:val="none" w:sz="0" w:space="0" w:color="auto"/>
        <w:bottom w:val="none" w:sz="0" w:space="0" w:color="auto"/>
        <w:right w:val="none" w:sz="0" w:space="0" w:color="auto"/>
      </w:divBdr>
    </w:div>
    <w:div w:id="1566404666">
      <w:bodyDiv w:val="1"/>
      <w:marLeft w:val="0"/>
      <w:marRight w:val="0"/>
      <w:marTop w:val="0"/>
      <w:marBottom w:val="0"/>
      <w:divBdr>
        <w:top w:val="none" w:sz="0" w:space="0" w:color="auto"/>
        <w:left w:val="none" w:sz="0" w:space="0" w:color="auto"/>
        <w:bottom w:val="none" w:sz="0" w:space="0" w:color="auto"/>
        <w:right w:val="none" w:sz="0" w:space="0" w:color="auto"/>
      </w:divBdr>
    </w:div>
    <w:div w:id="1566448329">
      <w:bodyDiv w:val="1"/>
      <w:marLeft w:val="0"/>
      <w:marRight w:val="0"/>
      <w:marTop w:val="0"/>
      <w:marBottom w:val="0"/>
      <w:divBdr>
        <w:top w:val="none" w:sz="0" w:space="0" w:color="auto"/>
        <w:left w:val="none" w:sz="0" w:space="0" w:color="auto"/>
        <w:bottom w:val="none" w:sz="0" w:space="0" w:color="auto"/>
        <w:right w:val="none" w:sz="0" w:space="0" w:color="auto"/>
      </w:divBdr>
    </w:div>
    <w:div w:id="1566449857">
      <w:bodyDiv w:val="1"/>
      <w:marLeft w:val="0"/>
      <w:marRight w:val="0"/>
      <w:marTop w:val="0"/>
      <w:marBottom w:val="0"/>
      <w:divBdr>
        <w:top w:val="none" w:sz="0" w:space="0" w:color="auto"/>
        <w:left w:val="none" w:sz="0" w:space="0" w:color="auto"/>
        <w:bottom w:val="none" w:sz="0" w:space="0" w:color="auto"/>
        <w:right w:val="none" w:sz="0" w:space="0" w:color="auto"/>
      </w:divBdr>
    </w:div>
    <w:div w:id="1566451250">
      <w:bodyDiv w:val="1"/>
      <w:marLeft w:val="0"/>
      <w:marRight w:val="0"/>
      <w:marTop w:val="0"/>
      <w:marBottom w:val="0"/>
      <w:divBdr>
        <w:top w:val="none" w:sz="0" w:space="0" w:color="auto"/>
        <w:left w:val="none" w:sz="0" w:space="0" w:color="auto"/>
        <w:bottom w:val="none" w:sz="0" w:space="0" w:color="auto"/>
        <w:right w:val="none" w:sz="0" w:space="0" w:color="auto"/>
      </w:divBdr>
    </w:div>
    <w:div w:id="1566531863">
      <w:bodyDiv w:val="1"/>
      <w:marLeft w:val="0"/>
      <w:marRight w:val="0"/>
      <w:marTop w:val="0"/>
      <w:marBottom w:val="0"/>
      <w:divBdr>
        <w:top w:val="none" w:sz="0" w:space="0" w:color="auto"/>
        <w:left w:val="none" w:sz="0" w:space="0" w:color="auto"/>
        <w:bottom w:val="none" w:sz="0" w:space="0" w:color="auto"/>
        <w:right w:val="none" w:sz="0" w:space="0" w:color="auto"/>
      </w:divBdr>
    </w:div>
    <w:div w:id="1566601277">
      <w:bodyDiv w:val="1"/>
      <w:marLeft w:val="0"/>
      <w:marRight w:val="0"/>
      <w:marTop w:val="0"/>
      <w:marBottom w:val="0"/>
      <w:divBdr>
        <w:top w:val="none" w:sz="0" w:space="0" w:color="auto"/>
        <w:left w:val="none" w:sz="0" w:space="0" w:color="auto"/>
        <w:bottom w:val="none" w:sz="0" w:space="0" w:color="auto"/>
        <w:right w:val="none" w:sz="0" w:space="0" w:color="auto"/>
      </w:divBdr>
    </w:div>
    <w:div w:id="1566641719">
      <w:bodyDiv w:val="1"/>
      <w:marLeft w:val="0"/>
      <w:marRight w:val="0"/>
      <w:marTop w:val="0"/>
      <w:marBottom w:val="0"/>
      <w:divBdr>
        <w:top w:val="none" w:sz="0" w:space="0" w:color="auto"/>
        <w:left w:val="none" w:sz="0" w:space="0" w:color="auto"/>
        <w:bottom w:val="none" w:sz="0" w:space="0" w:color="auto"/>
        <w:right w:val="none" w:sz="0" w:space="0" w:color="auto"/>
      </w:divBdr>
    </w:div>
    <w:div w:id="1566649524">
      <w:bodyDiv w:val="1"/>
      <w:marLeft w:val="0"/>
      <w:marRight w:val="0"/>
      <w:marTop w:val="0"/>
      <w:marBottom w:val="0"/>
      <w:divBdr>
        <w:top w:val="none" w:sz="0" w:space="0" w:color="auto"/>
        <w:left w:val="none" w:sz="0" w:space="0" w:color="auto"/>
        <w:bottom w:val="none" w:sz="0" w:space="0" w:color="auto"/>
        <w:right w:val="none" w:sz="0" w:space="0" w:color="auto"/>
      </w:divBdr>
    </w:div>
    <w:div w:id="1566723206">
      <w:bodyDiv w:val="1"/>
      <w:marLeft w:val="0"/>
      <w:marRight w:val="0"/>
      <w:marTop w:val="0"/>
      <w:marBottom w:val="0"/>
      <w:divBdr>
        <w:top w:val="none" w:sz="0" w:space="0" w:color="auto"/>
        <w:left w:val="none" w:sz="0" w:space="0" w:color="auto"/>
        <w:bottom w:val="none" w:sz="0" w:space="0" w:color="auto"/>
        <w:right w:val="none" w:sz="0" w:space="0" w:color="auto"/>
      </w:divBdr>
    </w:div>
    <w:div w:id="1566797986">
      <w:bodyDiv w:val="1"/>
      <w:marLeft w:val="0"/>
      <w:marRight w:val="0"/>
      <w:marTop w:val="0"/>
      <w:marBottom w:val="0"/>
      <w:divBdr>
        <w:top w:val="none" w:sz="0" w:space="0" w:color="auto"/>
        <w:left w:val="none" w:sz="0" w:space="0" w:color="auto"/>
        <w:bottom w:val="none" w:sz="0" w:space="0" w:color="auto"/>
        <w:right w:val="none" w:sz="0" w:space="0" w:color="auto"/>
      </w:divBdr>
    </w:div>
    <w:div w:id="1566867383">
      <w:bodyDiv w:val="1"/>
      <w:marLeft w:val="0"/>
      <w:marRight w:val="0"/>
      <w:marTop w:val="0"/>
      <w:marBottom w:val="0"/>
      <w:divBdr>
        <w:top w:val="none" w:sz="0" w:space="0" w:color="auto"/>
        <w:left w:val="none" w:sz="0" w:space="0" w:color="auto"/>
        <w:bottom w:val="none" w:sz="0" w:space="0" w:color="auto"/>
        <w:right w:val="none" w:sz="0" w:space="0" w:color="auto"/>
      </w:divBdr>
    </w:div>
    <w:div w:id="1567107318">
      <w:bodyDiv w:val="1"/>
      <w:marLeft w:val="0"/>
      <w:marRight w:val="0"/>
      <w:marTop w:val="0"/>
      <w:marBottom w:val="0"/>
      <w:divBdr>
        <w:top w:val="none" w:sz="0" w:space="0" w:color="auto"/>
        <w:left w:val="none" w:sz="0" w:space="0" w:color="auto"/>
        <w:bottom w:val="none" w:sz="0" w:space="0" w:color="auto"/>
        <w:right w:val="none" w:sz="0" w:space="0" w:color="auto"/>
      </w:divBdr>
    </w:div>
    <w:div w:id="1567185930">
      <w:bodyDiv w:val="1"/>
      <w:marLeft w:val="0"/>
      <w:marRight w:val="0"/>
      <w:marTop w:val="0"/>
      <w:marBottom w:val="0"/>
      <w:divBdr>
        <w:top w:val="none" w:sz="0" w:space="0" w:color="auto"/>
        <w:left w:val="none" w:sz="0" w:space="0" w:color="auto"/>
        <w:bottom w:val="none" w:sz="0" w:space="0" w:color="auto"/>
        <w:right w:val="none" w:sz="0" w:space="0" w:color="auto"/>
      </w:divBdr>
    </w:div>
    <w:div w:id="1567228885">
      <w:bodyDiv w:val="1"/>
      <w:marLeft w:val="0"/>
      <w:marRight w:val="0"/>
      <w:marTop w:val="0"/>
      <w:marBottom w:val="0"/>
      <w:divBdr>
        <w:top w:val="none" w:sz="0" w:space="0" w:color="auto"/>
        <w:left w:val="none" w:sz="0" w:space="0" w:color="auto"/>
        <w:bottom w:val="none" w:sz="0" w:space="0" w:color="auto"/>
        <w:right w:val="none" w:sz="0" w:space="0" w:color="auto"/>
      </w:divBdr>
    </w:div>
    <w:div w:id="1567258920">
      <w:bodyDiv w:val="1"/>
      <w:marLeft w:val="0"/>
      <w:marRight w:val="0"/>
      <w:marTop w:val="0"/>
      <w:marBottom w:val="0"/>
      <w:divBdr>
        <w:top w:val="none" w:sz="0" w:space="0" w:color="auto"/>
        <w:left w:val="none" w:sz="0" w:space="0" w:color="auto"/>
        <w:bottom w:val="none" w:sz="0" w:space="0" w:color="auto"/>
        <w:right w:val="none" w:sz="0" w:space="0" w:color="auto"/>
      </w:divBdr>
    </w:div>
    <w:div w:id="1567374616">
      <w:bodyDiv w:val="1"/>
      <w:marLeft w:val="0"/>
      <w:marRight w:val="0"/>
      <w:marTop w:val="0"/>
      <w:marBottom w:val="0"/>
      <w:divBdr>
        <w:top w:val="none" w:sz="0" w:space="0" w:color="auto"/>
        <w:left w:val="none" w:sz="0" w:space="0" w:color="auto"/>
        <w:bottom w:val="none" w:sz="0" w:space="0" w:color="auto"/>
        <w:right w:val="none" w:sz="0" w:space="0" w:color="auto"/>
      </w:divBdr>
    </w:div>
    <w:div w:id="1567450100">
      <w:bodyDiv w:val="1"/>
      <w:marLeft w:val="0"/>
      <w:marRight w:val="0"/>
      <w:marTop w:val="0"/>
      <w:marBottom w:val="0"/>
      <w:divBdr>
        <w:top w:val="none" w:sz="0" w:space="0" w:color="auto"/>
        <w:left w:val="none" w:sz="0" w:space="0" w:color="auto"/>
        <w:bottom w:val="none" w:sz="0" w:space="0" w:color="auto"/>
        <w:right w:val="none" w:sz="0" w:space="0" w:color="auto"/>
      </w:divBdr>
    </w:div>
    <w:div w:id="1567454533">
      <w:bodyDiv w:val="1"/>
      <w:marLeft w:val="0"/>
      <w:marRight w:val="0"/>
      <w:marTop w:val="0"/>
      <w:marBottom w:val="0"/>
      <w:divBdr>
        <w:top w:val="none" w:sz="0" w:space="0" w:color="auto"/>
        <w:left w:val="none" w:sz="0" w:space="0" w:color="auto"/>
        <w:bottom w:val="none" w:sz="0" w:space="0" w:color="auto"/>
        <w:right w:val="none" w:sz="0" w:space="0" w:color="auto"/>
      </w:divBdr>
    </w:div>
    <w:div w:id="1567496637">
      <w:bodyDiv w:val="1"/>
      <w:marLeft w:val="0"/>
      <w:marRight w:val="0"/>
      <w:marTop w:val="0"/>
      <w:marBottom w:val="0"/>
      <w:divBdr>
        <w:top w:val="none" w:sz="0" w:space="0" w:color="auto"/>
        <w:left w:val="none" w:sz="0" w:space="0" w:color="auto"/>
        <w:bottom w:val="none" w:sz="0" w:space="0" w:color="auto"/>
        <w:right w:val="none" w:sz="0" w:space="0" w:color="auto"/>
      </w:divBdr>
    </w:div>
    <w:div w:id="1567642963">
      <w:bodyDiv w:val="1"/>
      <w:marLeft w:val="0"/>
      <w:marRight w:val="0"/>
      <w:marTop w:val="0"/>
      <w:marBottom w:val="0"/>
      <w:divBdr>
        <w:top w:val="none" w:sz="0" w:space="0" w:color="auto"/>
        <w:left w:val="none" w:sz="0" w:space="0" w:color="auto"/>
        <w:bottom w:val="none" w:sz="0" w:space="0" w:color="auto"/>
        <w:right w:val="none" w:sz="0" w:space="0" w:color="auto"/>
      </w:divBdr>
    </w:div>
    <w:div w:id="1567646635">
      <w:bodyDiv w:val="1"/>
      <w:marLeft w:val="0"/>
      <w:marRight w:val="0"/>
      <w:marTop w:val="0"/>
      <w:marBottom w:val="0"/>
      <w:divBdr>
        <w:top w:val="none" w:sz="0" w:space="0" w:color="auto"/>
        <w:left w:val="none" w:sz="0" w:space="0" w:color="auto"/>
        <w:bottom w:val="none" w:sz="0" w:space="0" w:color="auto"/>
        <w:right w:val="none" w:sz="0" w:space="0" w:color="auto"/>
      </w:divBdr>
    </w:div>
    <w:div w:id="1567689991">
      <w:bodyDiv w:val="1"/>
      <w:marLeft w:val="0"/>
      <w:marRight w:val="0"/>
      <w:marTop w:val="0"/>
      <w:marBottom w:val="0"/>
      <w:divBdr>
        <w:top w:val="none" w:sz="0" w:space="0" w:color="auto"/>
        <w:left w:val="none" w:sz="0" w:space="0" w:color="auto"/>
        <w:bottom w:val="none" w:sz="0" w:space="0" w:color="auto"/>
        <w:right w:val="none" w:sz="0" w:space="0" w:color="auto"/>
      </w:divBdr>
    </w:div>
    <w:div w:id="1567757730">
      <w:bodyDiv w:val="1"/>
      <w:marLeft w:val="0"/>
      <w:marRight w:val="0"/>
      <w:marTop w:val="0"/>
      <w:marBottom w:val="0"/>
      <w:divBdr>
        <w:top w:val="none" w:sz="0" w:space="0" w:color="auto"/>
        <w:left w:val="none" w:sz="0" w:space="0" w:color="auto"/>
        <w:bottom w:val="none" w:sz="0" w:space="0" w:color="auto"/>
        <w:right w:val="none" w:sz="0" w:space="0" w:color="auto"/>
      </w:divBdr>
    </w:div>
    <w:div w:id="1567842294">
      <w:bodyDiv w:val="1"/>
      <w:marLeft w:val="0"/>
      <w:marRight w:val="0"/>
      <w:marTop w:val="0"/>
      <w:marBottom w:val="0"/>
      <w:divBdr>
        <w:top w:val="none" w:sz="0" w:space="0" w:color="auto"/>
        <w:left w:val="none" w:sz="0" w:space="0" w:color="auto"/>
        <w:bottom w:val="none" w:sz="0" w:space="0" w:color="auto"/>
        <w:right w:val="none" w:sz="0" w:space="0" w:color="auto"/>
      </w:divBdr>
    </w:div>
    <w:div w:id="1567960302">
      <w:bodyDiv w:val="1"/>
      <w:marLeft w:val="0"/>
      <w:marRight w:val="0"/>
      <w:marTop w:val="0"/>
      <w:marBottom w:val="0"/>
      <w:divBdr>
        <w:top w:val="none" w:sz="0" w:space="0" w:color="auto"/>
        <w:left w:val="none" w:sz="0" w:space="0" w:color="auto"/>
        <w:bottom w:val="none" w:sz="0" w:space="0" w:color="auto"/>
        <w:right w:val="none" w:sz="0" w:space="0" w:color="auto"/>
      </w:divBdr>
    </w:div>
    <w:div w:id="1568026839">
      <w:bodyDiv w:val="1"/>
      <w:marLeft w:val="0"/>
      <w:marRight w:val="0"/>
      <w:marTop w:val="0"/>
      <w:marBottom w:val="0"/>
      <w:divBdr>
        <w:top w:val="none" w:sz="0" w:space="0" w:color="auto"/>
        <w:left w:val="none" w:sz="0" w:space="0" w:color="auto"/>
        <w:bottom w:val="none" w:sz="0" w:space="0" w:color="auto"/>
        <w:right w:val="none" w:sz="0" w:space="0" w:color="auto"/>
      </w:divBdr>
    </w:div>
    <w:div w:id="1568108747">
      <w:bodyDiv w:val="1"/>
      <w:marLeft w:val="0"/>
      <w:marRight w:val="0"/>
      <w:marTop w:val="0"/>
      <w:marBottom w:val="0"/>
      <w:divBdr>
        <w:top w:val="none" w:sz="0" w:space="0" w:color="auto"/>
        <w:left w:val="none" w:sz="0" w:space="0" w:color="auto"/>
        <w:bottom w:val="none" w:sz="0" w:space="0" w:color="auto"/>
        <w:right w:val="none" w:sz="0" w:space="0" w:color="auto"/>
      </w:divBdr>
    </w:div>
    <w:div w:id="1568149354">
      <w:bodyDiv w:val="1"/>
      <w:marLeft w:val="0"/>
      <w:marRight w:val="0"/>
      <w:marTop w:val="0"/>
      <w:marBottom w:val="0"/>
      <w:divBdr>
        <w:top w:val="none" w:sz="0" w:space="0" w:color="auto"/>
        <w:left w:val="none" w:sz="0" w:space="0" w:color="auto"/>
        <w:bottom w:val="none" w:sz="0" w:space="0" w:color="auto"/>
        <w:right w:val="none" w:sz="0" w:space="0" w:color="auto"/>
      </w:divBdr>
    </w:div>
    <w:div w:id="1568152917">
      <w:bodyDiv w:val="1"/>
      <w:marLeft w:val="0"/>
      <w:marRight w:val="0"/>
      <w:marTop w:val="0"/>
      <w:marBottom w:val="0"/>
      <w:divBdr>
        <w:top w:val="none" w:sz="0" w:space="0" w:color="auto"/>
        <w:left w:val="none" w:sz="0" w:space="0" w:color="auto"/>
        <w:bottom w:val="none" w:sz="0" w:space="0" w:color="auto"/>
        <w:right w:val="none" w:sz="0" w:space="0" w:color="auto"/>
      </w:divBdr>
    </w:div>
    <w:div w:id="1568224446">
      <w:bodyDiv w:val="1"/>
      <w:marLeft w:val="0"/>
      <w:marRight w:val="0"/>
      <w:marTop w:val="0"/>
      <w:marBottom w:val="0"/>
      <w:divBdr>
        <w:top w:val="none" w:sz="0" w:space="0" w:color="auto"/>
        <w:left w:val="none" w:sz="0" w:space="0" w:color="auto"/>
        <w:bottom w:val="none" w:sz="0" w:space="0" w:color="auto"/>
        <w:right w:val="none" w:sz="0" w:space="0" w:color="auto"/>
      </w:divBdr>
    </w:div>
    <w:div w:id="1568299403">
      <w:bodyDiv w:val="1"/>
      <w:marLeft w:val="0"/>
      <w:marRight w:val="0"/>
      <w:marTop w:val="0"/>
      <w:marBottom w:val="0"/>
      <w:divBdr>
        <w:top w:val="none" w:sz="0" w:space="0" w:color="auto"/>
        <w:left w:val="none" w:sz="0" w:space="0" w:color="auto"/>
        <w:bottom w:val="none" w:sz="0" w:space="0" w:color="auto"/>
        <w:right w:val="none" w:sz="0" w:space="0" w:color="auto"/>
      </w:divBdr>
    </w:div>
    <w:div w:id="1568301108">
      <w:bodyDiv w:val="1"/>
      <w:marLeft w:val="0"/>
      <w:marRight w:val="0"/>
      <w:marTop w:val="0"/>
      <w:marBottom w:val="0"/>
      <w:divBdr>
        <w:top w:val="none" w:sz="0" w:space="0" w:color="auto"/>
        <w:left w:val="none" w:sz="0" w:space="0" w:color="auto"/>
        <w:bottom w:val="none" w:sz="0" w:space="0" w:color="auto"/>
        <w:right w:val="none" w:sz="0" w:space="0" w:color="auto"/>
      </w:divBdr>
    </w:div>
    <w:div w:id="1568302561">
      <w:bodyDiv w:val="1"/>
      <w:marLeft w:val="0"/>
      <w:marRight w:val="0"/>
      <w:marTop w:val="0"/>
      <w:marBottom w:val="0"/>
      <w:divBdr>
        <w:top w:val="none" w:sz="0" w:space="0" w:color="auto"/>
        <w:left w:val="none" w:sz="0" w:space="0" w:color="auto"/>
        <w:bottom w:val="none" w:sz="0" w:space="0" w:color="auto"/>
        <w:right w:val="none" w:sz="0" w:space="0" w:color="auto"/>
      </w:divBdr>
    </w:div>
    <w:div w:id="1568421619">
      <w:bodyDiv w:val="1"/>
      <w:marLeft w:val="0"/>
      <w:marRight w:val="0"/>
      <w:marTop w:val="0"/>
      <w:marBottom w:val="0"/>
      <w:divBdr>
        <w:top w:val="none" w:sz="0" w:space="0" w:color="auto"/>
        <w:left w:val="none" w:sz="0" w:space="0" w:color="auto"/>
        <w:bottom w:val="none" w:sz="0" w:space="0" w:color="auto"/>
        <w:right w:val="none" w:sz="0" w:space="0" w:color="auto"/>
      </w:divBdr>
    </w:div>
    <w:div w:id="1568492403">
      <w:bodyDiv w:val="1"/>
      <w:marLeft w:val="0"/>
      <w:marRight w:val="0"/>
      <w:marTop w:val="0"/>
      <w:marBottom w:val="0"/>
      <w:divBdr>
        <w:top w:val="none" w:sz="0" w:space="0" w:color="auto"/>
        <w:left w:val="none" w:sz="0" w:space="0" w:color="auto"/>
        <w:bottom w:val="none" w:sz="0" w:space="0" w:color="auto"/>
        <w:right w:val="none" w:sz="0" w:space="0" w:color="auto"/>
      </w:divBdr>
    </w:div>
    <w:div w:id="1568495957">
      <w:bodyDiv w:val="1"/>
      <w:marLeft w:val="0"/>
      <w:marRight w:val="0"/>
      <w:marTop w:val="0"/>
      <w:marBottom w:val="0"/>
      <w:divBdr>
        <w:top w:val="none" w:sz="0" w:space="0" w:color="auto"/>
        <w:left w:val="none" w:sz="0" w:space="0" w:color="auto"/>
        <w:bottom w:val="none" w:sz="0" w:space="0" w:color="auto"/>
        <w:right w:val="none" w:sz="0" w:space="0" w:color="auto"/>
      </w:divBdr>
    </w:div>
    <w:div w:id="1568688239">
      <w:bodyDiv w:val="1"/>
      <w:marLeft w:val="0"/>
      <w:marRight w:val="0"/>
      <w:marTop w:val="0"/>
      <w:marBottom w:val="0"/>
      <w:divBdr>
        <w:top w:val="none" w:sz="0" w:space="0" w:color="auto"/>
        <w:left w:val="none" w:sz="0" w:space="0" w:color="auto"/>
        <w:bottom w:val="none" w:sz="0" w:space="0" w:color="auto"/>
        <w:right w:val="none" w:sz="0" w:space="0" w:color="auto"/>
      </w:divBdr>
    </w:div>
    <w:div w:id="1568806909">
      <w:bodyDiv w:val="1"/>
      <w:marLeft w:val="0"/>
      <w:marRight w:val="0"/>
      <w:marTop w:val="0"/>
      <w:marBottom w:val="0"/>
      <w:divBdr>
        <w:top w:val="none" w:sz="0" w:space="0" w:color="auto"/>
        <w:left w:val="none" w:sz="0" w:space="0" w:color="auto"/>
        <w:bottom w:val="none" w:sz="0" w:space="0" w:color="auto"/>
        <w:right w:val="none" w:sz="0" w:space="0" w:color="auto"/>
      </w:divBdr>
    </w:div>
    <w:div w:id="1568959213">
      <w:bodyDiv w:val="1"/>
      <w:marLeft w:val="0"/>
      <w:marRight w:val="0"/>
      <w:marTop w:val="0"/>
      <w:marBottom w:val="0"/>
      <w:divBdr>
        <w:top w:val="none" w:sz="0" w:space="0" w:color="auto"/>
        <w:left w:val="none" w:sz="0" w:space="0" w:color="auto"/>
        <w:bottom w:val="none" w:sz="0" w:space="0" w:color="auto"/>
        <w:right w:val="none" w:sz="0" w:space="0" w:color="auto"/>
      </w:divBdr>
    </w:div>
    <w:div w:id="1569026404">
      <w:bodyDiv w:val="1"/>
      <w:marLeft w:val="0"/>
      <w:marRight w:val="0"/>
      <w:marTop w:val="0"/>
      <w:marBottom w:val="0"/>
      <w:divBdr>
        <w:top w:val="none" w:sz="0" w:space="0" w:color="auto"/>
        <w:left w:val="none" w:sz="0" w:space="0" w:color="auto"/>
        <w:bottom w:val="none" w:sz="0" w:space="0" w:color="auto"/>
        <w:right w:val="none" w:sz="0" w:space="0" w:color="auto"/>
      </w:divBdr>
    </w:div>
    <w:div w:id="1569029460">
      <w:bodyDiv w:val="1"/>
      <w:marLeft w:val="0"/>
      <w:marRight w:val="0"/>
      <w:marTop w:val="0"/>
      <w:marBottom w:val="0"/>
      <w:divBdr>
        <w:top w:val="none" w:sz="0" w:space="0" w:color="auto"/>
        <w:left w:val="none" w:sz="0" w:space="0" w:color="auto"/>
        <w:bottom w:val="none" w:sz="0" w:space="0" w:color="auto"/>
        <w:right w:val="none" w:sz="0" w:space="0" w:color="auto"/>
      </w:divBdr>
    </w:div>
    <w:div w:id="1569069737">
      <w:bodyDiv w:val="1"/>
      <w:marLeft w:val="0"/>
      <w:marRight w:val="0"/>
      <w:marTop w:val="0"/>
      <w:marBottom w:val="0"/>
      <w:divBdr>
        <w:top w:val="none" w:sz="0" w:space="0" w:color="auto"/>
        <w:left w:val="none" w:sz="0" w:space="0" w:color="auto"/>
        <w:bottom w:val="none" w:sz="0" w:space="0" w:color="auto"/>
        <w:right w:val="none" w:sz="0" w:space="0" w:color="auto"/>
      </w:divBdr>
    </w:div>
    <w:div w:id="1569074633">
      <w:bodyDiv w:val="1"/>
      <w:marLeft w:val="0"/>
      <w:marRight w:val="0"/>
      <w:marTop w:val="0"/>
      <w:marBottom w:val="0"/>
      <w:divBdr>
        <w:top w:val="none" w:sz="0" w:space="0" w:color="auto"/>
        <w:left w:val="none" w:sz="0" w:space="0" w:color="auto"/>
        <w:bottom w:val="none" w:sz="0" w:space="0" w:color="auto"/>
        <w:right w:val="none" w:sz="0" w:space="0" w:color="auto"/>
      </w:divBdr>
    </w:div>
    <w:div w:id="1569077383">
      <w:bodyDiv w:val="1"/>
      <w:marLeft w:val="0"/>
      <w:marRight w:val="0"/>
      <w:marTop w:val="0"/>
      <w:marBottom w:val="0"/>
      <w:divBdr>
        <w:top w:val="none" w:sz="0" w:space="0" w:color="auto"/>
        <w:left w:val="none" w:sz="0" w:space="0" w:color="auto"/>
        <w:bottom w:val="none" w:sz="0" w:space="0" w:color="auto"/>
        <w:right w:val="none" w:sz="0" w:space="0" w:color="auto"/>
      </w:divBdr>
    </w:div>
    <w:div w:id="1569150563">
      <w:bodyDiv w:val="1"/>
      <w:marLeft w:val="0"/>
      <w:marRight w:val="0"/>
      <w:marTop w:val="0"/>
      <w:marBottom w:val="0"/>
      <w:divBdr>
        <w:top w:val="none" w:sz="0" w:space="0" w:color="auto"/>
        <w:left w:val="none" w:sz="0" w:space="0" w:color="auto"/>
        <w:bottom w:val="none" w:sz="0" w:space="0" w:color="auto"/>
        <w:right w:val="none" w:sz="0" w:space="0" w:color="auto"/>
      </w:divBdr>
    </w:div>
    <w:div w:id="1569262810">
      <w:bodyDiv w:val="1"/>
      <w:marLeft w:val="0"/>
      <w:marRight w:val="0"/>
      <w:marTop w:val="0"/>
      <w:marBottom w:val="0"/>
      <w:divBdr>
        <w:top w:val="none" w:sz="0" w:space="0" w:color="auto"/>
        <w:left w:val="none" w:sz="0" w:space="0" w:color="auto"/>
        <w:bottom w:val="none" w:sz="0" w:space="0" w:color="auto"/>
        <w:right w:val="none" w:sz="0" w:space="0" w:color="auto"/>
      </w:divBdr>
    </w:div>
    <w:div w:id="1569265844">
      <w:bodyDiv w:val="1"/>
      <w:marLeft w:val="0"/>
      <w:marRight w:val="0"/>
      <w:marTop w:val="0"/>
      <w:marBottom w:val="0"/>
      <w:divBdr>
        <w:top w:val="none" w:sz="0" w:space="0" w:color="auto"/>
        <w:left w:val="none" w:sz="0" w:space="0" w:color="auto"/>
        <w:bottom w:val="none" w:sz="0" w:space="0" w:color="auto"/>
        <w:right w:val="none" w:sz="0" w:space="0" w:color="auto"/>
      </w:divBdr>
    </w:div>
    <w:div w:id="1569342691">
      <w:bodyDiv w:val="1"/>
      <w:marLeft w:val="0"/>
      <w:marRight w:val="0"/>
      <w:marTop w:val="0"/>
      <w:marBottom w:val="0"/>
      <w:divBdr>
        <w:top w:val="none" w:sz="0" w:space="0" w:color="auto"/>
        <w:left w:val="none" w:sz="0" w:space="0" w:color="auto"/>
        <w:bottom w:val="none" w:sz="0" w:space="0" w:color="auto"/>
        <w:right w:val="none" w:sz="0" w:space="0" w:color="auto"/>
      </w:divBdr>
    </w:div>
    <w:div w:id="1569612312">
      <w:bodyDiv w:val="1"/>
      <w:marLeft w:val="0"/>
      <w:marRight w:val="0"/>
      <w:marTop w:val="0"/>
      <w:marBottom w:val="0"/>
      <w:divBdr>
        <w:top w:val="none" w:sz="0" w:space="0" w:color="auto"/>
        <w:left w:val="none" w:sz="0" w:space="0" w:color="auto"/>
        <w:bottom w:val="none" w:sz="0" w:space="0" w:color="auto"/>
        <w:right w:val="none" w:sz="0" w:space="0" w:color="auto"/>
      </w:divBdr>
    </w:div>
    <w:div w:id="1569613818">
      <w:bodyDiv w:val="1"/>
      <w:marLeft w:val="0"/>
      <w:marRight w:val="0"/>
      <w:marTop w:val="0"/>
      <w:marBottom w:val="0"/>
      <w:divBdr>
        <w:top w:val="none" w:sz="0" w:space="0" w:color="auto"/>
        <w:left w:val="none" w:sz="0" w:space="0" w:color="auto"/>
        <w:bottom w:val="none" w:sz="0" w:space="0" w:color="auto"/>
        <w:right w:val="none" w:sz="0" w:space="0" w:color="auto"/>
      </w:divBdr>
    </w:div>
    <w:div w:id="1569730569">
      <w:bodyDiv w:val="1"/>
      <w:marLeft w:val="0"/>
      <w:marRight w:val="0"/>
      <w:marTop w:val="0"/>
      <w:marBottom w:val="0"/>
      <w:divBdr>
        <w:top w:val="none" w:sz="0" w:space="0" w:color="auto"/>
        <w:left w:val="none" w:sz="0" w:space="0" w:color="auto"/>
        <w:bottom w:val="none" w:sz="0" w:space="0" w:color="auto"/>
        <w:right w:val="none" w:sz="0" w:space="0" w:color="auto"/>
      </w:divBdr>
    </w:div>
    <w:div w:id="1569850055">
      <w:bodyDiv w:val="1"/>
      <w:marLeft w:val="0"/>
      <w:marRight w:val="0"/>
      <w:marTop w:val="0"/>
      <w:marBottom w:val="0"/>
      <w:divBdr>
        <w:top w:val="none" w:sz="0" w:space="0" w:color="auto"/>
        <w:left w:val="none" w:sz="0" w:space="0" w:color="auto"/>
        <w:bottom w:val="none" w:sz="0" w:space="0" w:color="auto"/>
        <w:right w:val="none" w:sz="0" w:space="0" w:color="auto"/>
      </w:divBdr>
    </w:div>
    <w:div w:id="1569877157">
      <w:bodyDiv w:val="1"/>
      <w:marLeft w:val="0"/>
      <w:marRight w:val="0"/>
      <w:marTop w:val="0"/>
      <w:marBottom w:val="0"/>
      <w:divBdr>
        <w:top w:val="none" w:sz="0" w:space="0" w:color="auto"/>
        <w:left w:val="none" w:sz="0" w:space="0" w:color="auto"/>
        <w:bottom w:val="none" w:sz="0" w:space="0" w:color="auto"/>
        <w:right w:val="none" w:sz="0" w:space="0" w:color="auto"/>
      </w:divBdr>
    </w:div>
    <w:div w:id="1569921344">
      <w:bodyDiv w:val="1"/>
      <w:marLeft w:val="0"/>
      <w:marRight w:val="0"/>
      <w:marTop w:val="0"/>
      <w:marBottom w:val="0"/>
      <w:divBdr>
        <w:top w:val="none" w:sz="0" w:space="0" w:color="auto"/>
        <w:left w:val="none" w:sz="0" w:space="0" w:color="auto"/>
        <w:bottom w:val="none" w:sz="0" w:space="0" w:color="auto"/>
        <w:right w:val="none" w:sz="0" w:space="0" w:color="auto"/>
      </w:divBdr>
    </w:div>
    <w:div w:id="1570001387">
      <w:bodyDiv w:val="1"/>
      <w:marLeft w:val="0"/>
      <w:marRight w:val="0"/>
      <w:marTop w:val="0"/>
      <w:marBottom w:val="0"/>
      <w:divBdr>
        <w:top w:val="none" w:sz="0" w:space="0" w:color="auto"/>
        <w:left w:val="none" w:sz="0" w:space="0" w:color="auto"/>
        <w:bottom w:val="none" w:sz="0" w:space="0" w:color="auto"/>
        <w:right w:val="none" w:sz="0" w:space="0" w:color="auto"/>
      </w:divBdr>
    </w:div>
    <w:div w:id="1570071835">
      <w:bodyDiv w:val="1"/>
      <w:marLeft w:val="0"/>
      <w:marRight w:val="0"/>
      <w:marTop w:val="0"/>
      <w:marBottom w:val="0"/>
      <w:divBdr>
        <w:top w:val="none" w:sz="0" w:space="0" w:color="auto"/>
        <w:left w:val="none" w:sz="0" w:space="0" w:color="auto"/>
        <w:bottom w:val="none" w:sz="0" w:space="0" w:color="auto"/>
        <w:right w:val="none" w:sz="0" w:space="0" w:color="auto"/>
      </w:divBdr>
    </w:div>
    <w:div w:id="1570186588">
      <w:bodyDiv w:val="1"/>
      <w:marLeft w:val="0"/>
      <w:marRight w:val="0"/>
      <w:marTop w:val="0"/>
      <w:marBottom w:val="0"/>
      <w:divBdr>
        <w:top w:val="none" w:sz="0" w:space="0" w:color="auto"/>
        <w:left w:val="none" w:sz="0" w:space="0" w:color="auto"/>
        <w:bottom w:val="none" w:sz="0" w:space="0" w:color="auto"/>
        <w:right w:val="none" w:sz="0" w:space="0" w:color="auto"/>
      </w:divBdr>
    </w:div>
    <w:div w:id="1570386532">
      <w:bodyDiv w:val="1"/>
      <w:marLeft w:val="0"/>
      <w:marRight w:val="0"/>
      <w:marTop w:val="0"/>
      <w:marBottom w:val="0"/>
      <w:divBdr>
        <w:top w:val="none" w:sz="0" w:space="0" w:color="auto"/>
        <w:left w:val="none" w:sz="0" w:space="0" w:color="auto"/>
        <w:bottom w:val="none" w:sz="0" w:space="0" w:color="auto"/>
        <w:right w:val="none" w:sz="0" w:space="0" w:color="auto"/>
      </w:divBdr>
    </w:div>
    <w:div w:id="1570529698">
      <w:bodyDiv w:val="1"/>
      <w:marLeft w:val="0"/>
      <w:marRight w:val="0"/>
      <w:marTop w:val="0"/>
      <w:marBottom w:val="0"/>
      <w:divBdr>
        <w:top w:val="none" w:sz="0" w:space="0" w:color="auto"/>
        <w:left w:val="none" w:sz="0" w:space="0" w:color="auto"/>
        <w:bottom w:val="none" w:sz="0" w:space="0" w:color="auto"/>
        <w:right w:val="none" w:sz="0" w:space="0" w:color="auto"/>
      </w:divBdr>
    </w:div>
    <w:div w:id="1570536705">
      <w:bodyDiv w:val="1"/>
      <w:marLeft w:val="0"/>
      <w:marRight w:val="0"/>
      <w:marTop w:val="0"/>
      <w:marBottom w:val="0"/>
      <w:divBdr>
        <w:top w:val="none" w:sz="0" w:space="0" w:color="auto"/>
        <w:left w:val="none" w:sz="0" w:space="0" w:color="auto"/>
        <w:bottom w:val="none" w:sz="0" w:space="0" w:color="auto"/>
        <w:right w:val="none" w:sz="0" w:space="0" w:color="auto"/>
      </w:divBdr>
    </w:div>
    <w:div w:id="1570580388">
      <w:bodyDiv w:val="1"/>
      <w:marLeft w:val="0"/>
      <w:marRight w:val="0"/>
      <w:marTop w:val="0"/>
      <w:marBottom w:val="0"/>
      <w:divBdr>
        <w:top w:val="none" w:sz="0" w:space="0" w:color="auto"/>
        <w:left w:val="none" w:sz="0" w:space="0" w:color="auto"/>
        <w:bottom w:val="none" w:sz="0" w:space="0" w:color="auto"/>
        <w:right w:val="none" w:sz="0" w:space="0" w:color="auto"/>
      </w:divBdr>
    </w:div>
    <w:div w:id="1570799212">
      <w:bodyDiv w:val="1"/>
      <w:marLeft w:val="0"/>
      <w:marRight w:val="0"/>
      <w:marTop w:val="0"/>
      <w:marBottom w:val="0"/>
      <w:divBdr>
        <w:top w:val="none" w:sz="0" w:space="0" w:color="auto"/>
        <w:left w:val="none" w:sz="0" w:space="0" w:color="auto"/>
        <w:bottom w:val="none" w:sz="0" w:space="0" w:color="auto"/>
        <w:right w:val="none" w:sz="0" w:space="0" w:color="auto"/>
      </w:divBdr>
    </w:div>
    <w:div w:id="1570966713">
      <w:bodyDiv w:val="1"/>
      <w:marLeft w:val="0"/>
      <w:marRight w:val="0"/>
      <w:marTop w:val="0"/>
      <w:marBottom w:val="0"/>
      <w:divBdr>
        <w:top w:val="none" w:sz="0" w:space="0" w:color="auto"/>
        <w:left w:val="none" w:sz="0" w:space="0" w:color="auto"/>
        <w:bottom w:val="none" w:sz="0" w:space="0" w:color="auto"/>
        <w:right w:val="none" w:sz="0" w:space="0" w:color="auto"/>
      </w:divBdr>
    </w:div>
    <w:div w:id="1570995881">
      <w:bodyDiv w:val="1"/>
      <w:marLeft w:val="0"/>
      <w:marRight w:val="0"/>
      <w:marTop w:val="0"/>
      <w:marBottom w:val="0"/>
      <w:divBdr>
        <w:top w:val="none" w:sz="0" w:space="0" w:color="auto"/>
        <w:left w:val="none" w:sz="0" w:space="0" w:color="auto"/>
        <w:bottom w:val="none" w:sz="0" w:space="0" w:color="auto"/>
        <w:right w:val="none" w:sz="0" w:space="0" w:color="auto"/>
      </w:divBdr>
    </w:div>
    <w:div w:id="1571229093">
      <w:bodyDiv w:val="1"/>
      <w:marLeft w:val="0"/>
      <w:marRight w:val="0"/>
      <w:marTop w:val="0"/>
      <w:marBottom w:val="0"/>
      <w:divBdr>
        <w:top w:val="none" w:sz="0" w:space="0" w:color="auto"/>
        <w:left w:val="none" w:sz="0" w:space="0" w:color="auto"/>
        <w:bottom w:val="none" w:sz="0" w:space="0" w:color="auto"/>
        <w:right w:val="none" w:sz="0" w:space="0" w:color="auto"/>
      </w:divBdr>
    </w:div>
    <w:div w:id="1571384594">
      <w:bodyDiv w:val="1"/>
      <w:marLeft w:val="0"/>
      <w:marRight w:val="0"/>
      <w:marTop w:val="0"/>
      <w:marBottom w:val="0"/>
      <w:divBdr>
        <w:top w:val="none" w:sz="0" w:space="0" w:color="auto"/>
        <w:left w:val="none" w:sz="0" w:space="0" w:color="auto"/>
        <w:bottom w:val="none" w:sz="0" w:space="0" w:color="auto"/>
        <w:right w:val="none" w:sz="0" w:space="0" w:color="auto"/>
      </w:divBdr>
    </w:div>
    <w:div w:id="1571422284">
      <w:bodyDiv w:val="1"/>
      <w:marLeft w:val="0"/>
      <w:marRight w:val="0"/>
      <w:marTop w:val="0"/>
      <w:marBottom w:val="0"/>
      <w:divBdr>
        <w:top w:val="none" w:sz="0" w:space="0" w:color="auto"/>
        <w:left w:val="none" w:sz="0" w:space="0" w:color="auto"/>
        <w:bottom w:val="none" w:sz="0" w:space="0" w:color="auto"/>
        <w:right w:val="none" w:sz="0" w:space="0" w:color="auto"/>
      </w:divBdr>
    </w:div>
    <w:div w:id="1571425252">
      <w:bodyDiv w:val="1"/>
      <w:marLeft w:val="0"/>
      <w:marRight w:val="0"/>
      <w:marTop w:val="0"/>
      <w:marBottom w:val="0"/>
      <w:divBdr>
        <w:top w:val="none" w:sz="0" w:space="0" w:color="auto"/>
        <w:left w:val="none" w:sz="0" w:space="0" w:color="auto"/>
        <w:bottom w:val="none" w:sz="0" w:space="0" w:color="auto"/>
        <w:right w:val="none" w:sz="0" w:space="0" w:color="auto"/>
      </w:divBdr>
    </w:div>
    <w:div w:id="1571426519">
      <w:bodyDiv w:val="1"/>
      <w:marLeft w:val="0"/>
      <w:marRight w:val="0"/>
      <w:marTop w:val="0"/>
      <w:marBottom w:val="0"/>
      <w:divBdr>
        <w:top w:val="none" w:sz="0" w:space="0" w:color="auto"/>
        <w:left w:val="none" w:sz="0" w:space="0" w:color="auto"/>
        <w:bottom w:val="none" w:sz="0" w:space="0" w:color="auto"/>
        <w:right w:val="none" w:sz="0" w:space="0" w:color="auto"/>
      </w:divBdr>
    </w:div>
    <w:div w:id="1571496614">
      <w:bodyDiv w:val="1"/>
      <w:marLeft w:val="0"/>
      <w:marRight w:val="0"/>
      <w:marTop w:val="0"/>
      <w:marBottom w:val="0"/>
      <w:divBdr>
        <w:top w:val="none" w:sz="0" w:space="0" w:color="auto"/>
        <w:left w:val="none" w:sz="0" w:space="0" w:color="auto"/>
        <w:bottom w:val="none" w:sz="0" w:space="0" w:color="auto"/>
        <w:right w:val="none" w:sz="0" w:space="0" w:color="auto"/>
      </w:divBdr>
    </w:div>
    <w:div w:id="1571497854">
      <w:bodyDiv w:val="1"/>
      <w:marLeft w:val="0"/>
      <w:marRight w:val="0"/>
      <w:marTop w:val="0"/>
      <w:marBottom w:val="0"/>
      <w:divBdr>
        <w:top w:val="none" w:sz="0" w:space="0" w:color="auto"/>
        <w:left w:val="none" w:sz="0" w:space="0" w:color="auto"/>
        <w:bottom w:val="none" w:sz="0" w:space="0" w:color="auto"/>
        <w:right w:val="none" w:sz="0" w:space="0" w:color="auto"/>
      </w:divBdr>
    </w:div>
    <w:div w:id="1571571736">
      <w:bodyDiv w:val="1"/>
      <w:marLeft w:val="0"/>
      <w:marRight w:val="0"/>
      <w:marTop w:val="0"/>
      <w:marBottom w:val="0"/>
      <w:divBdr>
        <w:top w:val="none" w:sz="0" w:space="0" w:color="auto"/>
        <w:left w:val="none" w:sz="0" w:space="0" w:color="auto"/>
        <w:bottom w:val="none" w:sz="0" w:space="0" w:color="auto"/>
        <w:right w:val="none" w:sz="0" w:space="0" w:color="auto"/>
      </w:divBdr>
    </w:div>
    <w:div w:id="1571578049">
      <w:bodyDiv w:val="1"/>
      <w:marLeft w:val="0"/>
      <w:marRight w:val="0"/>
      <w:marTop w:val="0"/>
      <w:marBottom w:val="0"/>
      <w:divBdr>
        <w:top w:val="none" w:sz="0" w:space="0" w:color="auto"/>
        <w:left w:val="none" w:sz="0" w:space="0" w:color="auto"/>
        <w:bottom w:val="none" w:sz="0" w:space="0" w:color="auto"/>
        <w:right w:val="none" w:sz="0" w:space="0" w:color="auto"/>
      </w:divBdr>
    </w:div>
    <w:div w:id="1571579142">
      <w:bodyDiv w:val="1"/>
      <w:marLeft w:val="0"/>
      <w:marRight w:val="0"/>
      <w:marTop w:val="0"/>
      <w:marBottom w:val="0"/>
      <w:divBdr>
        <w:top w:val="none" w:sz="0" w:space="0" w:color="auto"/>
        <w:left w:val="none" w:sz="0" w:space="0" w:color="auto"/>
        <w:bottom w:val="none" w:sz="0" w:space="0" w:color="auto"/>
        <w:right w:val="none" w:sz="0" w:space="0" w:color="auto"/>
      </w:divBdr>
    </w:div>
    <w:div w:id="1571649084">
      <w:bodyDiv w:val="1"/>
      <w:marLeft w:val="0"/>
      <w:marRight w:val="0"/>
      <w:marTop w:val="0"/>
      <w:marBottom w:val="0"/>
      <w:divBdr>
        <w:top w:val="none" w:sz="0" w:space="0" w:color="auto"/>
        <w:left w:val="none" w:sz="0" w:space="0" w:color="auto"/>
        <w:bottom w:val="none" w:sz="0" w:space="0" w:color="auto"/>
        <w:right w:val="none" w:sz="0" w:space="0" w:color="auto"/>
      </w:divBdr>
    </w:div>
    <w:div w:id="1571691389">
      <w:bodyDiv w:val="1"/>
      <w:marLeft w:val="0"/>
      <w:marRight w:val="0"/>
      <w:marTop w:val="0"/>
      <w:marBottom w:val="0"/>
      <w:divBdr>
        <w:top w:val="none" w:sz="0" w:space="0" w:color="auto"/>
        <w:left w:val="none" w:sz="0" w:space="0" w:color="auto"/>
        <w:bottom w:val="none" w:sz="0" w:space="0" w:color="auto"/>
        <w:right w:val="none" w:sz="0" w:space="0" w:color="auto"/>
      </w:divBdr>
    </w:div>
    <w:div w:id="1571693484">
      <w:bodyDiv w:val="1"/>
      <w:marLeft w:val="0"/>
      <w:marRight w:val="0"/>
      <w:marTop w:val="0"/>
      <w:marBottom w:val="0"/>
      <w:divBdr>
        <w:top w:val="none" w:sz="0" w:space="0" w:color="auto"/>
        <w:left w:val="none" w:sz="0" w:space="0" w:color="auto"/>
        <w:bottom w:val="none" w:sz="0" w:space="0" w:color="auto"/>
        <w:right w:val="none" w:sz="0" w:space="0" w:color="auto"/>
      </w:divBdr>
    </w:div>
    <w:div w:id="1571695798">
      <w:bodyDiv w:val="1"/>
      <w:marLeft w:val="0"/>
      <w:marRight w:val="0"/>
      <w:marTop w:val="0"/>
      <w:marBottom w:val="0"/>
      <w:divBdr>
        <w:top w:val="none" w:sz="0" w:space="0" w:color="auto"/>
        <w:left w:val="none" w:sz="0" w:space="0" w:color="auto"/>
        <w:bottom w:val="none" w:sz="0" w:space="0" w:color="auto"/>
        <w:right w:val="none" w:sz="0" w:space="0" w:color="auto"/>
      </w:divBdr>
    </w:div>
    <w:div w:id="1571768735">
      <w:bodyDiv w:val="1"/>
      <w:marLeft w:val="0"/>
      <w:marRight w:val="0"/>
      <w:marTop w:val="0"/>
      <w:marBottom w:val="0"/>
      <w:divBdr>
        <w:top w:val="none" w:sz="0" w:space="0" w:color="auto"/>
        <w:left w:val="none" w:sz="0" w:space="0" w:color="auto"/>
        <w:bottom w:val="none" w:sz="0" w:space="0" w:color="auto"/>
        <w:right w:val="none" w:sz="0" w:space="0" w:color="auto"/>
      </w:divBdr>
    </w:div>
    <w:div w:id="1571769904">
      <w:bodyDiv w:val="1"/>
      <w:marLeft w:val="0"/>
      <w:marRight w:val="0"/>
      <w:marTop w:val="0"/>
      <w:marBottom w:val="0"/>
      <w:divBdr>
        <w:top w:val="none" w:sz="0" w:space="0" w:color="auto"/>
        <w:left w:val="none" w:sz="0" w:space="0" w:color="auto"/>
        <w:bottom w:val="none" w:sz="0" w:space="0" w:color="auto"/>
        <w:right w:val="none" w:sz="0" w:space="0" w:color="auto"/>
      </w:divBdr>
    </w:div>
    <w:div w:id="1571773167">
      <w:bodyDiv w:val="1"/>
      <w:marLeft w:val="0"/>
      <w:marRight w:val="0"/>
      <w:marTop w:val="0"/>
      <w:marBottom w:val="0"/>
      <w:divBdr>
        <w:top w:val="none" w:sz="0" w:space="0" w:color="auto"/>
        <w:left w:val="none" w:sz="0" w:space="0" w:color="auto"/>
        <w:bottom w:val="none" w:sz="0" w:space="0" w:color="auto"/>
        <w:right w:val="none" w:sz="0" w:space="0" w:color="auto"/>
      </w:divBdr>
    </w:div>
    <w:div w:id="1571840704">
      <w:bodyDiv w:val="1"/>
      <w:marLeft w:val="0"/>
      <w:marRight w:val="0"/>
      <w:marTop w:val="0"/>
      <w:marBottom w:val="0"/>
      <w:divBdr>
        <w:top w:val="none" w:sz="0" w:space="0" w:color="auto"/>
        <w:left w:val="none" w:sz="0" w:space="0" w:color="auto"/>
        <w:bottom w:val="none" w:sz="0" w:space="0" w:color="auto"/>
        <w:right w:val="none" w:sz="0" w:space="0" w:color="auto"/>
      </w:divBdr>
    </w:div>
    <w:div w:id="1571886072">
      <w:bodyDiv w:val="1"/>
      <w:marLeft w:val="0"/>
      <w:marRight w:val="0"/>
      <w:marTop w:val="0"/>
      <w:marBottom w:val="0"/>
      <w:divBdr>
        <w:top w:val="none" w:sz="0" w:space="0" w:color="auto"/>
        <w:left w:val="none" w:sz="0" w:space="0" w:color="auto"/>
        <w:bottom w:val="none" w:sz="0" w:space="0" w:color="auto"/>
        <w:right w:val="none" w:sz="0" w:space="0" w:color="auto"/>
      </w:divBdr>
    </w:div>
    <w:div w:id="1571958120">
      <w:bodyDiv w:val="1"/>
      <w:marLeft w:val="0"/>
      <w:marRight w:val="0"/>
      <w:marTop w:val="0"/>
      <w:marBottom w:val="0"/>
      <w:divBdr>
        <w:top w:val="none" w:sz="0" w:space="0" w:color="auto"/>
        <w:left w:val="none" w:sz="0" w:space="0" w:color="auto"/>
        <w:bottom w:val="none" w:sz="0" w:space="0" w:color="auto"/>
        <w:right w:val="none" w:sz="0" w:space="0" w:color="auto"/>
      </w:divBdr>
    </w:div>
    <w:div w:id="1572033859">
      <w:bodyDiv w:val="1"/>
      <w:marLeft w:val="0"/>
      <w:marRight w:val="0"/>
      <w:marTop w:val="0"/>
      <w:marBottom w:val="0"/>
      <w:divBdr>
        <w:top w:val="none" w:sz="0" w:space="0" w:color="auto"/>
        <w:left w:val="none" w:sz="0" w:space="0" w:color="auto"/>
        <w:bottom w:val="none" w:sz="0" w:space="0" w:color="auto"/>
        <w:right w:val="none" w:sz="0" w:space="0" w:color="auto"/>
      </w:divBdr>
    </w:div>
    <w:div w:id="1572234761">
      <w:bodyDiv w:val="1"/>
      <w:marLeft w:val="0"/>
      <w:marRight w:val="0"/>
      <w:marTop w:val="0"/>
      <w:marBottom w:val="0"/>
      <w:divBdr>
        <w:top w:val="none" w:sz="0" w:space="0" w:color="auto"/>
        <w:left w:val="none" w:sz="0" w:space="0" w:color="auto"/>
        <w:bottom w:val="none" w:sz="0" w:space="0" w:color="auto"/>
        <w:right w:val="none" w:sz="0" w:space="0" w:color="auto"/>
      </w:divBdr>
    </w:div>
    <w:div w:id="1572235631">
      <w:bodyDiv w:val="1"/>
      <w:marLeft w:val="0"/>
      <w:marRight w:val="0"/>
      <w:marTop w:val="0"/>
      <w:marBottom w:val="0"/>
      <w:divBdr>
        <w:top w:val="none" w:sz="0" w:space="0" w:color="auto"/>
        <w:left w:val="none" w:sz="0" w:space="0" w:color="auto"/>
        <w:bottom w:val="none" w:sz="0" w:space="0" w:color="auto"/>
        <w:right w:val="none" w:sz="0" w:space="0" w:color="auto"/>
      </w:divBdr>
    </w:div>
    <w:div w:id="1572305719">
      <w:bodyDiv w:val="1"/>
      <w:marLeft w:val="0"/>
      <w:marRight w:val="0"/>
      <w:marTop w:val="0"/>
      <w:marBottom w:val="0"/>
      <w:divBdr>
        <w:top w:val="none" w:sz="0" w:space="0" w:color="auto"/>
        <w:left w:val="none" w:sz="0" w:space="0" w:color="auto"/>
        <w:bottom w:val="none" w:sz="0" w:space="0" w:color="auto"/>
        <w:right w:val="none" w:sz="0" w:space="0" w:color="auto"/>
      </w:divBdr>
    </w:div>
    <w:div w:id="1572346035">
      <w:bodyDiv w:val="1"/>
      <w:marLeft w:val="0"/>
      <w:marRight w:val="0"/>
      <w:marTop w:val="0"/>
      <w:marBottom w:val="0"/>
      <w:divBdr>
        <w:top w:val="none" w:sz="0" w:space="0" w:color="auto"/>
        <w:left w:val="none" w:sz="0" w:space="0" w:color="auto"/>
        <w:bottom w:val="none" w:sz="0" w:space="0" w:color="auto"/>
        <w:right w:val="none" w:sz="0" w:space="0" w:color="auto"/>
      </w:divBdr>
    </w:div>
    <w:div w:id="1572421573">
      <w:bodyDiv w:val="1"/>
      <w:marLeft w:val="0"/>
      <w:marRight w:val="0"/>
      <w:marTop w:val="0"/>
      <w:marBottom w:val="0"/>
      <w:divBdr>
        <w:top w:val="none" w:sz="0" w:space="0" w:color="auto"/>
        <w:left w:val="none" w:sz="0" w:space="0" w:color="auto"/>
        <w:bottom w:val="none" w:sz="0" w:space="0" w:color="auto"/>
        <w:right w:val="none" w:sz="0" w:space="0" w:color="auto"/>
      </w:divBdr>
    </w:div>
    <w:div w:id="1572424177">
      <w:bodyDiv w:val="1"/>
      <w:marLeft w:val="0"/>
      <w:marRight w:val="0"/>
      <w:marTop w:val="0"/>
      <w:marBottom w:val="0"/>
      <w:divBdr>
        <w:top w:val="none" w:sz="0" w:space="0" w:color="auto"/>
        <w:left w:val="none" w:sz="0" w:space="0" w:color="auto"/>
        <w:bottom w:val="none" w:sz="0" w:space="0" w:color="auto"/>
        <w:right w:val="none" w:sz="0" w:space="0" w:color="auto"/>
      </w:divBdr>
    </w:div>
    <w:div w:id="1572690709">
      <w:bodyDiv w:val="1"/>
      <w:marLeft w:val="0"/>
      <w:marRight w:val="0"/>
      <w:marTop w:val="0"/>
      <w:marBottom w:val="0"/>
      <w:divBdr>
        <w:top w:val="none" w:sz="0" w:space="0" w:color="auto"/>
        <w:left w:val="none" w:sz="0" w:space="0" w:color="auto"/>
        <w:bottom w:val="none" w:sz="0" w:space="0" w:color="auto"/>
        <w:right w:val="none" w:sz="0" w:space="0" w:color="auto"/>
      </w:divBdr>
    </w:div>
    <w:div w:id="1572886330">
      <w:bodyDiv w:val="1"/>
      <w:marLeft w:val="0"/>
      <w:marRight w:val="0"/>
      <w:marTop w:val="0"/>
      <w:marBottom w:val="0"/>
      <w:divBdr>
        <w:top w:val="none" w:sz="0" w:space="0" w:color="auto"/>
        <w:left w:val="none" w:sz="0" w:space="0" w:color="auto"/>
        <w:bottom w:val="none" w:sz="0" w:space="0" w:color="auto"/>
        <w:right w:val="none" w:sz="0" w:space="0" w:color="auto"/>
      </w:divBdr>
    </w:div>
    <w:div w:id="1572931876">
      <w:bodyDiv w:val="1"/>
      <w:marLeft w:val="0"/>
      <w:marRight w:val="0"/>
      <w:marTop w:val="0"/>
      <w:marBottom w:val="0"/>
      <w:divBdr>
        <w:top w:val="none" w:sz="0" w:space="0" w:color="auto"/>
        <w:left w:val="none" w:sz="0" w:space="0" w:color="auto"/>
        <w:bottom w:val="none" w:sz="0" w:space="0" w:color="auto"/>
        <w:right w:val="none" w:sz="0" w:space="0" w:color="auto"/>
      </w:divBdr>
    </w:div>
    <w:div w:id="1573198851">
      <w:bodyDiv w:val="1"/>
      <w:marLeft w:val="0"/>
      <w:marRight w:val="0"/>
      <w:marTop w:val="0"/>
      <w:marBottom w:val="0"/>
      <w:divBdr>
        <w:top w:val="none" w:sz="0" w:space="0" w:color="auto"/>
        <w:left w:val="none" w:sz="0" w:space="0" w:color="auto"/>
        <w:bottom w:val="none" w:sz="0" w:space="0" w:color="auto"/>
        <w:right w:val="none" w:sz="0" w:space="0" w:color="auto"/>
      </w:divBdr>
    </w:div>
    <w:div w:id="1573390068">
      <w:bodyDiv w:val="1"/>
      <w:marLeft w:val="0"/>
      <w:marRight w:val="0"/>
      <w:marTop w:val="0"/>
      <w:marBottom w:val="0"/>
      <w:divBdr>
        <w:top w:val="none" w:sz="0" w:space="0" w:color="auto"/>
        <w:left w:val="none" w:sz="0" w:space="0" w:color="auto"/>
        <w:bottom w:val="none" w:sz="0" w:space="0" w:color="auto"/>
        <w:right w:val="none" w:sz="0" w:space="0" w:color="auto"/>
      </w:divBdr>
    </w:div>
    <w:div w:id="1573420641">
      <w:bodyDiv w:val="1"/>
      <w:marLeft w:val="0"/>
      <w:marRight w:val="0"/>
      <w:marTop w:val="0"/>
      <w:marBottom w:val="0"/>
      <w:divBdr>
        <w:top w:val="none" w:sz="0" w:space="0" w:color="auto"/>
        <w:left w:val="none" w:sz="0" w:space="0" w:color="auto"/>
        <w:bottom w:val="none" w:sz="0" w:space="0" w:color="auto"/>
        <w:right w:val="none" w:sz="0" w:space="0" w:color="auto"/>
      </w:divBdr>
    </w:div>
    <w:div w:id="1573468201">
      <w:bodyDiv w:val="1"/>
      <w:marLeft w:val="0"/>
      <w:marRight w:val="0"/>
      <w:marTop w:val="0"/>
      <w:marBottom w:val="0"/>
      <w:divBdr>
        <w:top w:val="none" w:sz="0" w:space="0" w:color="auto"/>
        <w:left w:val="none" w:sz="0" w:space="0" w:color="auto"/>
        <w:bottom w:val="none" w:sz="0" w:space="0" w:color="auto"/>
        <w:right w:val="none" w:sz="0" w:space="0" w:color="auto"/>
      </w:divBdr>
    </w:div>
    <w:div w:id="1573471295">
      <w:bodyDiv w:val="1"/>
      <w:marLeft w:val="0"/>
      <w:marRight w:val="0"/>
      <w:marTop w:val="0"/>
      <w:marBottom w:val="0"/>
      <w:divBdr>
        <w:top w:val="none" w:sz="0" w:space="0" w:color="auto"/>
        <w:left w:val="none" w:sz="0" w:space="0" w:color="auto"/>
        <w:bottom w:val="none" w:sz="0" w:space="0" w:color="auto"/>
        <w:right w:val="none" w:sz="0" w:space="0" w:color="auto"/>
      </w:divBdr>
    </w:div>
    <w:div w:id="1573614184">
      <w:bodyDiv w:val="1"/>
      <w:marLeft w:val="0"/>
      <w:marRight w:val="0"/>
      <w:marTop w:val="0"/>
      <w:marBottom w:val="0"/>
      <w:divBdr>
        <w:top w:val="none" w:sz="0" w:space="0" w:color="auto"/>
        <w:left w:val="none" w:sz="0" w:space="0" w:color="auto"/>
        <w:bottom w:val="none" w:sz="0" w:space="0" w:color="auto"/>
        <w:right w:val="none" w:sz="0" w:space="0" w:color="auto"/>
      </w:divBdr>
    </w:div>
    <w:div w:id="1573659482">
      <w:bodyDiv w:val="1"/>
      <w:marLeft w:val="0"/>
      <w:marRight w:val="0"/>
      <w:marTop w:val="0"/>
      <w:marBottom w:val="0"/>
      <w:divBdr>
        <w:top w:val="none" w:sz="0" w:space="0" w:color="auto"/>
        <w:left w:val="none" w:sz="0" w:space="0" w:color="auto"/>
        <w:bottom w:val="none" w:sz="0" w:space="0" w:color="auto"/>
        <w:right w:val="none" w:sz="0" w:space="0" w:color="auto"/>
      </w:divBdr>
    </w:div>
    <w:div w:id="1573733131">
      <w:bodyDiv w:val="1"/>
      <w:marLeft w:val="0"/>
      <w:marRight w:val="0"/>
      <w:marTop w:val="0"/>
      <w:marBottom w:val="0"/>
      <w:divBdr>
        <w:top w:val="none" w:sz="0" w:space="0" w:color="auto"/>
        <w:left w:val="none" w:sz="0" w:space="0" w:color="auto"/>
        <w:bottom w:val="none" w:sz="0" w:space="0" w:color="auto"/>
        <w:right w:val="none" w:sz="0" w:space="0" w:color="auto"/>
      </w:divBdr>
    </w:div>
    <w:div w:id="1573735913">
      <w:bodyDiv w:val="1"/>
      <w:marLeft w:val="0"/>
      <w:marRight w:val="0"/>
      <w:marTop w:val="0"/>
      <w:marBottom w:val="0"/>
      <w:divBdr>
        <w:top w:val="none" w:sz="0" w:space="0" w:color="auto"/>
        <w:left w:val="none" w:sz="0" w:space="0" w:color="auto"/>
        <w:bottom w:val="none" w:sz="0" w:space="0" w:color="auto"/>
        <w:right w:val="none" w:sz="0" w:space="0" w:color="auto"/>
      </w:divBdr>
    </w:div>
    <w:div w:id="1573737188">
      <w:bodyDiv w:val="1"/>
      <w:marLeft w:val="0"/>
      <w:marRight w:val="0"/>
      <w:marTop w:val="0"/>
      <w:marBottom w:val="0"/>
      <w:divBdr>
        <w:top w:val="none" w:sz="0" w:space="0" w:color="auto"/>
        <w:left w:val="none" w:sz="0" w:space="0" w:color="auto"/>
        <w:bottom w:val="none" w:sz="0" w:space="0" w:color="auto"/>
        <w:right w:val="none" w:sz="0" w:space="0" w:color="auto"/>
      </w:divBdr>
    </w:div>
    <w:div w:id="1573851234">
      <w:bodyDiv w:val="1"/>
      <w:marLeft w:val="0"/>
      <w:marRight w:val="0"/>
      <w:marTop w:val="0"/>
      <w:marBottom w:val="0"/>
      <w:divBdr>
        <w:top w:val="none" w:sz="0" w:space="0" w:color="auto"/>
        <w:left w:val="none" w:sz="0" w:space="0" w:color="auto"/>
        <w:bottom w:val="none" w:sz="0" w:space="0" w:color="auto"/>
        <w:right w:val="none" w:sz="0" w:space="0" w:color="auto"/>
      </w:divBdr>
    </w:div>
    <w:div w:id="1573933583">
      <w:bodyDiv w:val="1"/>
      <w:marLeft w:val="0"/>
      <w:marRight w:val="0"/>
      <w:marTop w:val="0"/>
      <w:marBottom w:val="0"/>
      <w:divBdr>
        <w:top w:val="none" w:sz="0" w:space="0" w:color="auto"/>
        <w:left w:val="none" w:sz="0" w:space="0" w:color="auto"/>
        <w:bottom w:val="none" w:sz="0" w:space="0" w:color="auto"/>
        <w:right w:val="none" w:sz="0" w:space="0" w:color="auto"/>
      </w:divBdr>
    </w:div>
    <w:div w:id="1574003833">
      <w:bodyDiv w:val="1"/>
      <w:marLeft w:val="0"/>
      <w:marRight w:val="0"/>
      <w:marTop w:val="0"/>
      <w:marBottom w:val="0"/>
      <w:divBdr>
        <w:top w:val="none" w:sz="0" w:space="0" w:color="auto"/>
        <w:left w:val="none" w:sz="0" w:space="0" w:color="auto"/>
        <w:bottom w:val="none" w:sz="0" w:space="0" w:color="auto"/>
        <w:right w:val="none" w:sz="0" w:space="0" w:color="auto"/>
      </w:divBdr>
    </w:div>
    <w:div w:id="1574126083">
      <w:bodyDiv w:val="1"/>
      <w:marLeft w:val="0"/>
      <w:marRight w:val="0"/>
      <w:marTop w:val="0"/>
      <w:marBottom w:val="0"/>
      <w:divBdr>
        <w:top w:val="none" w:sz="0" w:space="0" w:color="auto"/>
        <w:left w:val="none" w:sz="0" w:space="0" w:color="auto"/>
        <w:bottom w:val="none" w:sz="0" w:space="0" w:color="auto"/>
        <w:right w:val="none" w:sz="0" w:space="0" w:color="auto"/>
      </w:divBdr>
    </w:div>
    <w:div w:id="1574198632">
      <w:bodyDiv w:val="1"/>
      <w:marLeft w:val="0"/>
      <w:marRight w:val="0"/>
      <w:marTop w:val="0"/>
      <w:marBottom w:val="0"/>
      <w:divBdr>
        <w:top w:val="none" w:sz="0" w:space="0" w:color="auto"/>
        <w:left w:val="none" w:sz="0" w:space="0" w:color="auto"/>
        <w:bottom w:val="none" w:sz="0" w:space="0" w:color="auto"/>
        <w:right w:val="none" w:sz="0" w:space="0" w:color="auto"/>
      </w:divBdr>
    </w:div>
    <w:div w:id="1574242652">
      <w:bodyDiv w:val="1"/>
      <w:marLeft w:val="0"/>
      <w:marRight w:val="0"/>
      <w:marTop w:val="0"/>
      <w:marBottom w:val="0"/>
      <w:divBdr>
        <w:top w:val="none" w:sz="0" w:space="0" w:color="auto"/>
        <w:left w:val="none" w:sz="0" w:space="0" w:color="auto"/>
        <w:bottom w:val="none" w:sz="0" w:space="0" w:color="auto"/>
        <w:right w:val="none" w:sz="0" w:space="0" w:color="auto"/>
      </w:divBdr>
    </w:div>
    <w:div w:id="1574268755">
      <w:bodyDiv w:val="1"/>
      <w:marLeft w:val="0"/>
      <w:marRight w:val="0"/>
      <w:marTop w:val="0"/>
      <w:marBottom w:val="0"/>
      <w:divBdr>
        <w:top w:val="none" w:sz="0" w:space="0" w:color="auto"/>
        <w:left w:val="none" w:sz="0" w:space="0" w:color="auto"/>
        <w:bottom w:val="none" w:sz="0" w:space="0" w:color="auto"/>
        <w:right w:val="none" w:sz="0" w:space="0" w:color="auto"/>
      </w:divBdr>
    </w:div>
    <w:div w:id="1574272932">
      <w:bodyDiv w:val="1"/>
      <w:marLeft w:val="0"/>
      <w:marRight w:val="0"/>
      <w:marTop w:val="0"/>
      <w:marBottom w:val="0"/>
      <w:divBdr>
        <w:top w:val="none" w:sz="0" w:space="0" w:color="auto"/>
        <w:left w:val="none" w:sz="0" w:space="0" w:color="auto"/>
        <w:bottom w:val="none" w:sz="0" w:space="0" w:color="auto"/>
        <w:right w:val="none" w:sz="0" w:space="0" w:color="auto"/>
      </w:divBdr>
    </w:div>
    <w:div w:id="1574315120">
      <w:bodyDiv w:val="1"/>
      <w:marLeft w:val="0"/>
      <w:marRight w:val="0"/>
      <w:marTop w:val="0"/>
      <w:marBottom w:val="0"/>
      <w:divBdr>
        <w:top w:val="none" w:sz="0" w:space="0" w:color="auto"/>
        <w:left w:val="none" w:sz="0" w:space="0" w:color="auto"/>
        <w:bottom w:val="none" w:sz="0" w:space="0" w:color="auto"/>
        <w:right w:val="none" w:sz="0" w:space="0" w:color="auto"/>
      </w:divBdr>
    </w:div>
    <w:div w:id="1574317412">
      <w:bodyDiv w:val="1"/>
      <w:marLeft w:val="0"/>
      <w:marRight w:val="0"/>
      <w:marTop w:val="0"/>
      <w:marBottom w:val="0"/>
      <w:divBdr>
        <w:top w:val="none" w:sz="0" w:space="0" w:color="auto"/>
        <w:left w:val="none" w:sz="0" w:space="0" w:color="auto"/>
        <w:bottom w:val="none" w:sz="0" w:space="0" w:color="auto"/>
        <w:right w:val="none" w:sz="0" w:space="0" w:color="auto"/>
      </w:divBdr>
    </w:div>
    <w:div w:id="1574386240">
      <w:bodyDiv w:val="1"/>
      <w:marLeft w:val="0"/>
      <w:marRight w:val="0"/>
      <w:marTop w:val="0"/>
      <w:marBottom w:val="0"/>
      <w:divBdr>
        <w:top w:val="none" w:sz="0" w:space="0" w:color="auto"/>
        <w:left w:val="none" w:sz="0" w:space="0" w:color="auto"/>
        <w:bottom w:val="none" w:sz="0" w:space="0" w:color="auto"/>
        <w:right w:val="none" w:sz="0" w:space="0" w:color="auto"/>
      </w:divBdr>
    </w:div>
    <w:div w:id="1574467227">
      <w:bodyDiv w:val="1"/>
      <w:marLeft w:val="0"/>
      <w:marRight w:val="0"/>
      <w:marTop w:val="0"/>
      <w:marBottom w:val="0"/>
      <w:divBdr>
        <w:top w:val="none" w:sz="0" w:space="0" w:color="auto"/>
        <w:left w:val="none" w:sz="0" w:space="0" w:color="auto"/>
        <w:bottom w:val="none" w:sz="0" w:space="0" w:color="auto"/>
        <w:right w:val="none" w:sz="0" w:space="0" w:color="auto"/>
      </w:divBdr>
    </w:div>
    <w:div w:id="1574775669">
      <w:bodyDiv w:val="1"/>
      <w:marLeft w:val="0"/>
      <w:marRight w:val="0"/>
      <w:marTop w:val="0"/>
      <w:marBottom w:val="0"/>
      <w:divBdr>
        <w:top w:val="none" w:sz="0" w:space="0" w:color="auto"/>
        <w:left w:val="none" w:sz="0" w:space="0" w:color="auto"/>
        <w:bottom w:val="none" w:sz="0" w:space="0" w:color="auto"/>
        <w:right w:val="none" w:sz="0" w:space="0" w:color="auto"/>
      </w:divBdr>
    </w:div>
    <w:div w:id="1574854053">
      <w:bodyDiv w:val="1"/>
      <w:marLeft w:val="0"/>
      <w:marRight w:val="0"/>
      <w:marTop w:val="0"/>
      <w:marBottom w:val="0"/>
      <w:divBdr>
        <w:top w:val="none" w:sz="0" w:space="0" w:color="auto"/>
        <w:left w:val="none" w:sz="0" w:space="0" w:color="auto"/>
        <w:bottom w:val="none" w:sz="0" w:space="0" w:color="auto"/>
        <w:right w:val="none" w:sz="0" w:space="0" w:color="auto"/>
      </w:divBdr>
    </w:div>
    <w:div w:id="1574854626">
      <w:bodyDiv w:val="1"/>
      <w:marLeft w:val="0"/>
      <w:marRight w:val="0"/>
      <w:marTop w:val="0"/>
      <w:marBottom w:val="0"/>
      <w:divBdr>
        <w:top w:val="none" w:sz="0" w:space="0" w:color="auto"/>
        <w:left w:val="none" w:sz="0" w:space="0" w:color="auto"/>
        <w:bottom w:val="none" w:sz="0" w:space="0" w:color="auto"/>
        <w:right w:val="none" w:sz="0" w:space="0" w:color="auto"/>
      </w:divBdr>
    </w:div>
    <w:div w:id="1574896061">
      <w:bodyDiv w:val="1"/>
      <w:marLeft w:val="0"/>
      <w:marRight w:val="0"/>
      <w:marTop w:val="0"/>
      <w:marBottom w:val="0"/>
      <w:divBdr>
        <w:top w:val="none" w:sz="0" w:space="0" w:color="auto"/>
        <w:left w:val="none" w:sz="0" w:space="0" w:color="auto"/>
        <w:bottom w:val="none" w:sz="0" w:space="0" w:color="auto"/>
        <w:right w:val="none" w:sz="0" w:space="0" w:color="auto"/>
      </w:divBdr>
    </w:div>
    <w:div w:id="1574965801">
      <w:bodyDiv w:val="1"/>
      <w:marLeft w:val="0"/>
      <w:marRight w:val="0"/>
      <w:marTop w:val="0"/>
      <w:marBottom w:val="0"/>
      <w:divBdr>
        <w:top w:val="none" w:sz="0" w:space="0" w:color="auto"/>
        <w:left w:val="none" w:sz="0" w:space="0" w:color="auto"/>
        <w:bottom w:val="none" w:sz="0" w:space="0" w:color="auto"/>
        <w:right w:val="none" w:sz="0" w:space="0" w:color="auto"/>
      </w:divBdr>
    </w:div>
    <w:div w:id="1574970378">
      <w:bodyDiv w:val="1"/>
      <w:marLeft w:val="0"/>
      <w:marRight w:val="0"/>
      <w:marTop w:val="0"/>
      <w:marBottom w:val="0"/>
      <w:divBdr>
        <w:top w:val="none" w:sz="0" w:space="0" w:color="auto"/>
        <w:left w:val="none" w:sz="0" w:space="0" w:color="auto"/>
        <w:bottom w:val="none" w:sz="0" w:space="0" w:color="auto"/>
        <w:right w:val="none" w:sz="0" w:space="0" w:color="auto"/>
      </w:divBdr>
    </w:div>
    <w:div w:id="1574973153">
      <w:bodyDiv w:val="1"/>
      <w:marLeft w:val="0"/>
      <w:marRight w:val="0"/>
      <w:marTop w:val="0"/>
      <w:marBottom w:val="0"/>
      <w:divBdr>
        <w:top w:val="none" w:sz="0" w:space="0" w:color="auto"/>
        <w:left w:val="none" w:sz="0" w:space="0" w:color="auto"/>
        <w:bottom w:val="none" w:sz="0" w:space="0" w:color="auto"/>
        <w:right w:val="none" w:sz="0" w:space="0" w:color="auto"/>
      </w:divBdr>
    </w:div>
    <w:div w:id="1575237502">
      <w:bodyDiv w:val="1"/>
      <w:marLeft w:val="0"/>
      <w:marRight w:val="0"/>
      <w:marTop w:val="0"/>
      <w:marBottom w:val="0"/>
      <w:divBdr>
        <w:top w:val="none" w:sz="0" w:space="0" w:color="auto"/>
        <w:left w:val="none" w:sz="0" w:space="0" w:color="auto"/>
        <w:bottom w:val="none" w:sz="0" w:space="0" w:color="auto"/>
        <w:right w:val="none" w:sz="0" w:space="0" w:color="auto"/>
      </w:divBdr>
    </w:div>
    <w:div w:id="1575313304">
      <w:bodyDiv w:val="1"/>
      <w:marLeft w:val="0"/>
      <w:marRight w:val="0"/>
      <w:marTop w:val="0"/>
      <w:marBottom w:val="0"/>
      <w:divBdr>
        <w:top w:val="none" w:sz="0" w:space="0" w:color="auto"/>
        <w:left w:val="none" w:sz="0" w:space="0" w:color="auto"/>
        <w:bottom w:val="none" w:sz="0" w:space="0" w:color="auto"/>
        <w:right w:val="none" w:sz="0" w:space="0" w:color="auto"/>
      </w:divBdr>
    </w:div>
    <w:div w:id="1575315156">
      <w:bodyDiv w:val="1"/>
      <w:marLeft w:val="0"/>
      <w:marRight w:val="0"/>
      <w:marTop w:val="0"/>
      <w:marBottom w:val="0"/>
      <w:divBdr>
        <w:top w:val="none" w:sz="0" w:space="0" w:color="auto"/>
        <w:left w:val="none" w:sz="0" w:space="0" w:color="auto"/>
        <w:bottom w:val="none" w:sz="0" w:space="0" w:color="auto"/>
        <w:right w:val="none" w:sz="0" w:space="0" w:color="auto"/>
      </w:divBdr>
    </w:div>
    <w:div w:id="1575317282">
      <w:bodyDiv w:val="1"/>
      <w:marLeft w:val="0"/>
      <w:marRight w:val="0"/>
      <w:marTop w:val="0"/>
      <w:marBottom w:val="0"/>
      <w:divBdr>
        <w:top w:val="none" w:sz="0" w:space="0" w:color="auto"/>
        <w:left w:val="none" w:sz="0" w:space="0" w:color="auto"/>
        <w:bottom w:val="none" w:sz="0" w:space="0" w:color="auto"/>
        <w:right w:val="none" w:sz="0" w:space="0" w:color="auto"/>
      </w:divBdr>
    </w:div>
    <w:div w:id="1575317562">
      <w:bodyDiv w:val="1"/>
      <w:marLeft w:val="0"/>
      <w:marRight w:val="0"/>
      <w:marTop w:val="0"/>
      <w:marBottom w:val="0"/>
      <w:divBdr>
        <w:top w:val="none" w:sz="0" w:space="0" w:color="auto"/>
        <w:left w:val="none" w:sz="0" w:space="0" w:color="auto"/>
        <w:bottom w:val="none" w:sz="0" w:space="0" w:color="auto"/>
        <w:right w:val="none" w:sz="0" w:space="0" w:color="auto"/>
      </w:divBdr>
    </w:div>
    <w:div w:id="1575355709">
      <w:bodyDiv w:val="1"/>
      <w:marLeft w:val="0"/>
      <w:marRight w:val="0"/>
      <w:marTop w:val="0"/>
      <w:marBottom w:val="0"/>
      <w:divBdr>
        <w:top w:val="none" w:sz="0" w:space="0" w:color="auto"/>
        <w:left w:val="none" w:sz="0" w:space="0" w:color="auto"/>
        <w:bottom w:val="none" w:sz="0" w:space="0" w:color="auto"/>
        <w:right w:val="none" w:sz="0" w:space="0" w:color="auto"/>
      </w:divBdr>
    </w:div>
    <w:div w:id="1575355725">
      <w:bodyDiv w:val="1"/>
      <w:marLeft w:val="0"/>
      <w:marRight w:val="0"/>
      <w:marTop w:val="0"/>
      <w:marBottom w:val="0"/>
      <w:divBdr>
        <w:top w:val="none" w:sz="0" w:space="0" w:color="auto"/>
        <w:left w:val="none" w:sz="0" w:space="0" w:color="auto"/>
        <w:bottom w:val="none" w:sz="0" w:space="0" w:color="auto"/>
        <w:right w:val="none" w:sz="0" w:space="0" w:color="auto"/>
      </w:divBdr>
    </w:div>
    <w:div w:id="1575506130">
      <w:bodyDiv w:val="1"/>
      <w:marLeft w:val="0"/>
      <w:marRight w:val="0"/>
      <w:marTop w:val="0"/>
      <w:marBottom w:val="0"/>
      <w:divBdr>
        <w:top w:val="none" w:sz="0" w:space="0" w:color="auto"/>
        <w:left w:val="none" w:sz="0" w:space="0" w:color="auto"/>
        <w:bottom w:val="none" w:sz="0" w:space="0" w:color="auto"/>
        <w:right w:val="none" w:sz="0" w:space="0" w:color="auto"/>
      </w:divBdr>
    </w:div>
    <w:div w:id="1575582194">
      <w:bodyDiv w:val="1"/>
      <w:marLeft w:val="0"/>
      <w:marRight w:val="0"/>
      <w:marTop w:val="0"/>
      <w:marBottom w:val="0"/>
      <w:divBdr>
        <w:top w:val="none" w:sz="0" w:space="0" w:color="auto"/>
        <w:left w:val="none" w:sz="0" w:space="0" w:color="auto"/>
        <w:bottom w:val="none" w:sz="0" w:space="0" w:color="auto"/>
        <w:right w:val="none" w:sz="0" w:space="0" w:color="auto"/>
      </w:divBdr>
    </w:div>
    <w:div w:id="1575702874">
      <w:bodyDiv w:val="1"/>
      <w:marLeft w:val="0"/>
      <w:marRight w:val="0"/>
      <w:marTop w:val="0"/>
      <w:marBottom w:val="0"/>
      <w:divBdr>
        <w:top w:val="none" w:sz="0" w:space="0" w:color="auto"/>
        <w:left w:val="none" w:sz="0" w:space="0" w:color="auto"/>
        <w:bottom w:val="none" w:sz="0" w:space="0" w:color="auto"/>
        <w:right w:val="none" w:sz="0" w:space="0" w:color="auto"/>
      </w:divBdr>
    </w:div>
    <w:div w:id="1575973030">
      <w:bodyDiv w:val="1"/>
      <w:marLeft w:val="0"/>
      <w:marRight w:val="0"/>
      <w:marTop w:val="0"/>
      <w:marBottom w:val="0"/>
      <w:divBdr>
        <w:top w:val="none" w:sz="0" w:space="0" w:color="auto"/>
        <w:left w:val="none" w:sz="0" w:space="0" w:color="auto"/>
        <w:bottom w:val="none" w:sz="0" w:space="0" w:color="auto"/>
        <w:right w:val="none" w:sz="0" w:space="0" w:color="auto"/>
      </w:divBdr>
    </w:div>
    <w:div w:id="1576041044">
      <w:bodyDiv w:val="1"/>
      <w:marLeft w:val="0"/>
      <w:marRight w:val="0"/>
      <w:marTop w:val="0"/>
      <w:marBottom w:val="0"/>
      <w:divBdr>
        <w:top w:val="none" w:sz="0" w:space="0" w:color="auto"/>
        <w:left w:val="none" w:sz="0" w:space="0" w:color="auto"/>
        <w:bottom w:val="none" w:sz="0" w:space="0" w:color="auto"/>
        <w:right w:val="none" w:sz="0" w:space="0" w:color="auto"/>
      </w:divBdr>
    </w:div>
    <w:div w:id="1576089282">
      <w:bodyDiv w:val="1"/>
      <w:marLeft w:val="0"/>
      <w:marRight w:val="0"/>
      <w:marTop w:val="0"/>
      <w:marBottom w:val="0"/>
      <w:divBdr>
        <w:top w:val="none" w:sz="0" w:space="0" w:color="auto"/>
        <w:left w:val="none" w:sz="0" w:space="0" w:color="auto"/>
        <w:bottom w:val="none" w:sz="0" w:space="0" w:color="auto"/>
        <w:right w:val="none" w:sz="0" w:space="0" w:color="auto"/>
      </w:divBdr>
    </w:div>
    <w:div w:id="1576234557">
      <w:bodyDiv w:val="1"/>
      <w:marLeft w:val="0"/>
      <w:marRight w:val="0"/>
      <w:marTop w:val="0"/>
      <w:marBottom w:val="0"/>
      <w:divBdr>
        <w:top w:val="none" w:sz="0" w:space="0" w:color="auto"/>
        <w:left w:val="none" w:sz="0" w:space="0" w:color="auto"/>
        <w:bottom w:val="none" w:sz="0" w:space="0" w:color="auto"/>
        <w:right w:val="none" w:sz="0" w:space="0" w:color="auto"/>
      </w:divBdr>
    </w:div>
    <w:div w:id="1576356972">
      <w:bodyDiv w:val="1"/>
      <w:marLeft w:val="0"/>
      <w:marRight w:val="0"/>
      <w:marTop w:val="0"/>
      <w:marBottom w:val="0"/>
      <w:divBdr>
        <w:top w:val="none" w:sz="0" w:space="0" w:color="auto"/>
        <w:left w:val="none" w:sz="0" w:space="0" w:color="auto"/>
        <w:bottom w:val="none" w:sz="0" w:space="0" w:color="auto"/>
        <w:right w:val="none" w:sz="0" w:space="0" w:color="auto"/>
      </w:divBdr>
    </w:div>
    <w:div w:id="1576472159">
      <w:bodyDiv w:val="1"/>
      <w:marLeft w:val="0"/>
      <w:marRight w:val="0"/>
      <w:marTop w:val="0"/>
      <w:marBottom w:val="0"/>
      <w:divBdr>
        <w:top w:val="none" w:sz="0" w:space="0" w:color="auto"/>
        <w:left w:val="none" w:sz="0" w:space="0" w:color="auto"/>
        <w:bottom w:val="none" w:sz="0" w:space="0" w:color="auto"/>
        <w:right w:val="none" w:sz="0" w:space="0" w:color="auto"/>
      </w:divBdr>
    </w:div>
    <w:div w:id="1576551476">
      <w:bodyDiv w:val="1"/>
      <w:marLeft w:val="0"/>
      <w:marRight w:val="0"/>
      <w:marTop w:val="0"/>
      <w:marBottom w:val="0"/>
      <w:divBdr>
        <w:top w:val="none" w:sz="0" w:space="0" w:color="auto"/>
        <w:left w:val="none" w:sz="0" w:space="0" w:color="auto"/>
        <w:bottom w:val="none" w:sz="0" w:space="0" w:color="auto"/>
        <w:right w:val="none" w:sz="0" w:space="0" w:color="auto"/>
      </w:divBdr>
    </w:div>
    <w:div w:id="1576862632">
      <w:bodyDiv w:val="1"/>
      <w:marLeft w:val="0"/>
      <w:marRight w:val="0"/>
      <w:marTop w:val="0"/>
      <w:marBottom w:val="0"/>
      <w:divBdr>
        <w:top w:val="none" w:sz="0" w:space="0" w:color="auto"/>
        <w:left w:val="none" w:sz="0" w:space="0" w:color="auto"/>
        <w:bottom w:val="none" w:sz="0" w:space="0" w:color="auto"/>
        <w:right w:val="none" w:sz="0" w:space="0" w:color="auto"/>
      </w:divBdr>
    </w:div>
    <w:div w:id="1576891088">
      <w:bodyDiv w:val="1"/>
      <w:marLeft w:val="0"/>
      <w:marRight w:val="0"/>
      <w:marTop w:val="0"/>
      <w:marBottom w:val="0"/>
      <w:divBdr>
        <w:top w:val="none" w:sz="0" w:space="0" w:color="auto"/>
        <w:left w:val="none" w:sz="0" w:space="0" w:color="auto"/>
        <w:bottom w:val="none" w:sz="0" w:space="0" w:color="auto"/>
        <w:right w:val="none" w:sz="0" w:space="0" w:color="auto"/>
      </w:divBdr>
    </w:div>
    <w:div w:id="1576937238">
      <w:bodyDiv w:val="1"/>
      <w:marLeft w:val="0"/>
      <w:marRight w:val="0"/>
      <w:marTop w:val="0"/>
      <w:marBottom w:val="0"/>
      <w:divBdr>
        <w:top w:val="none" w:sz="0" w:space="0" w:color="auto"/>
        <w:left w:val="none" w:sz="0" w:space="0" w:color="auto"/>
        <w:bottom w:val="none" w:sz="0" w:space="0" w:color="auto"/>
        <w:right w:val="none" w:sz="0" w:space="0" w:color="auto"/>
      </w:divBdr>
    </w:div>
    <w:div w:id="1576937434">
      <w:bodyDiv w:val="1"/>
      <w:marLeft w:val="0"/>
      <w:marRight w:val="0"/>
      <w:marTop w:val="0"/>
      <w:marBottom w:val="0"/>
      <w:divBdr>
        <w:top w:val="none" w:sz="0" w:space="0" w:color="auto"/>
        <w:left w:val="none" w:sz="0" w:space="0" w:color="auto"/>
        <w:bottom w:val="none" w:sz="0" w:space="0" w:color="auto"/>
        <w:right w:val="none" w:sz="0" w:space="0" w:color="auto"/>
      </w:divBdr>
    </w:div>
    <w:div w:id="1577011313">
      <w:bodyDiv w:val="1"/>
      <w:marLeft w:val="0"/>
      <w:marRight w:val="0"/>
      <w:marTop w:val="0"/>
      <w:marBottom w:val="0"/>
      <w:divBdr>
        <w:top w:val="none" w:sz="0" w:space="0" w:color="auto"/>
        <w:left w:val="none" w:sz="0" w:space="0" w:color="auto"/>
        <w:bottom w:val="none" w:sz="0" w:space="0" w:color="auto"/>
        <w:right w:val="none" w:sz="0" w:space="0" w:color="auto"/>
      </w:divBdr>
    </w:div>
    <w:div w:id="1577087550">
      <w:bodyDiv w:val="1"/>
      <w:marLeft w:val="0"/>
      <w:marRight w:val="0"/>
      <w:marTop w:val="0"/>
      <w:marBottom w:val="0"/>
      <w:divBdr>
        <w:top w:val="none" w:sz="0" w:space="0" w:color="auto"/>
        <w:left w:val="none" w:sz="0" w:space="0" w:color="auto"/>
        <w:bottom w:val="none" w:sz="0" w:space="0" w:color="auto"/>
        <w:right w:val="none" w:sz="0" w:space="0" w:color="auto"/>
      </w:divBdr>
    </w:div>
    <w:div w:id="1577127551">
      <w:bodyDiv w:val="1"/>
      <w:marLeft w:val="0"/>
      <w:marRight w:val="0"/>
      <w:marTop w:val="0"/>
      <w:marBottom w:val="0"/>
      <w:divBdr>
        <w:top w:val="none" w:sz="0" w:space="0" w:color="auto"/>
        <w:left w:val="none" w:sz="0" w:space="0" w:color="auto"/>
        <w:bottom w:val="none" w:sz="0" w:space="0" w:color="auto"/>
        <w:right w:val="none" w:sz="0" w:space="0" w:color="auto"/>
      </w:divBdr>
    </w:div>
    <w:div w:id="1577203310">
      <w:bodyDiv w:val="1"/>
      <w:marLeft w:val="0"/>
      <w:marRight w:val="0"/>
      <w:marTop w:val="0"/>
      <w:marBottom w:val="0"/>
      <w:divBdr>
        <w:top w:val="none" w:sz="0" w:space="0" w:color="auto"/>
        <w:left w:val="none" w:sz="0" w:space="0" w:color="auto"/>
        <w:bottom w:val="none" w:sz="0" w:space="0" w:color="auto"/>
        <w:right w:val="none" w:sz="0" w:space="0" w:color="auto"/>
      </w:divBdr>
    </w:div>
    <w:div w:id="1577276322">
      <w:bodyDiv w:val="1"/>
      <w:marLeft w:val="0"/>
      <w:marRight w:val="0"/>
      <w:marTop w:val="0"/>
      <w:marBottom w:val="0"/>
      <w:divBdr>
        <w:top w:val="none" w:sz="0" w:space="0" w:color="auto"/>
        <w:left w:val="none" w:sz="0" w:space="0" w:color="auto"/>
        <w:bottom w:val="none" w:sz="0" w:space="0" w:color="auto"/>
        <w:right w:val="none" w:sz="0" w:space="0" w:color="auto"/>
      </w:divBdr>
    </w:div>
    <w:div w:id="1577279441">
      <w:bodyDiv w:val="1"/>
      <w:marLeft w:val="0"/>
      <w:marRight w:val="0"/>
      <w:marTop w:val="0"/>
      <w:marBottom w:val="0"/>
      <w:divBdr>
        <w:top w:val="none" w:sz="0" w:space="0" w:color="auto"/>
        <w:left w:val="none" w:sz="0" w:space="0" w:color="auto"/>
        <w:bottom w:val="none" w:sz="0" w:space="0" w:color="auto"/>
        <w:right w:val="none" w:sz="0" w:space="0" w:color="auto"/>
      </w:divBdr>
    </w:div>
    <w:div w:id="1577282054">
      <w:bodyDiv w:val="1"/>
      <w:marLeft w:val="0"/>
      <w:marRight w:val="0"/>
      <w:marTop w:val="0"/>
      <w:marBottom w:val="0"/>
      <w:divBdr>
        <w:top w:val="none" w:sz="0" w:space="0" w:color="auto"/>
        <w:left w:val="none" w:sz="0" w:space="0" w:color="auto"/>
        <w:bottom w:val="none" w:sz="0" w:space="0" w:color="auto"/>
        <w:right w:val="none" w:sz="0" w:space="0" w:color="auto"/>
      </w:divBdr>
    </w:div>
    <w:div w:id="1577282909">
      <w:bodyDiv w:val="1"/>
      <w:marLeft w:val="0"/>
      <w:marRight w:val="0"/>
      <w:marTop w:val="0"/>
      <w:marBottom w:val="0"/>
      <w:divBdr>
        <w:top w:val="none" w:sz="0" w:space="0" w:color="auto"/>
        <w:left w:val="none" w:sz="0" w:space="0" w:color="auto"/>
        <w:bottom w:val="none" w:sz="0" w:space="0" w:color="auto"/>
        <w:right w:val="none" w:sz="0" w:space="0" w:color="auto"/>
      </w:divBdr>
    </w:div>
    <w:div w:id="1577352569">
      <w:bodyDiv w:val="1"/>
      <w:marLeft w:val="0"/>
      <w:marRight w:val="0"/>
      <w:marTop w:val="0"/>
      <w:marBottom w:val="0"/>
      <w:divBdr>
        <w:top w:val="none" w:sz="0" w:space="0" w:color="auto"/>
        <w:left w:val="none" w:sz="0" w:space="0" w:color="auto"/>
        <w:bottom w:val="none" w:sz="0" w:space="0" w:color="auto"/>
        <w:right w:val="none" w:sz="0" w:space="0" w:color="auto"/>
      </w:divBdr>
    </w:div>
    <w:div w:id="1577471896">
      <w:bodyDiv w:val="1"/>
      <w:marLeft w:val="0"/>
      <w:marRight w:val="0"/>
      <w:marTop w:val="0"/>
      <w:marBottom w:val="0"/>
      <w:divBdr>
        <w:top w:val="none" w:sz="0" w:space="0" w:color="auto"/>
        <w:left w:val="none" w:sz="0" w:space="0" w:color="auto"/>
        <w:bottom w:val="none" w:sz="0" w:space="0" w:color="auto"/>
        <w:right w:val="none" w:sz="0" w:space="0" w:color="auto"/>
      </w:divBdr>
    </w:div>
    <w:div w:id="1577472480">
      <w:bodyDiv w:val="1"/>
      <w:marLeft w:val="0"/>
      <w:marRight w:val="0"/>
      <w:marTop w:val="0"/>
      <w:marBottom w:val="0"/>
      <w:divBdr>
        <w:top w:val="none" w:sz="0" w:space="0" w:color="auto"/>
        <w:left w:val="none" w:sz="0" w:space="0" w:color="auto"/>
        <w:bottom w:val="none" w:sz="0" w:space="0" w:color="auto"/>
        <w:right w:val="none" w:sz="0" w:space="0" w:color="auto"/>
      </w:divBdr>
    </w:div>
    <w:div w:id="1577473113">
      <w:bodyDiv w:val="1"/>
      <w:marLeft w:val="0"/>
      <w:marRight w:val="0"/>
      <w:marTop w:val="0"/>
      <w:marBottom w:val="0"/>
      <w:divBdr>
        <w:top w:val="none" w:sz="0" w:space="0" w:color="auto"/>
        <w:left w:val="none" w:sz="0" w:space="0" w:color="auto"/>
        <w:bottom w:val="none" w:sz="0" w:space="0" w:color="auto"/>
        <w:right w:val="none" w:sz="0" w:space="0" w:color="auto"/>
      </w:divBdr>
    </w:div>
    <w:div w:id="1577594022">
      <w:bodyDiv w:val="1"/>
      <w:marLeft w:val="0"/>
      <w:marRight w:val="0"/>
      <w:marTop w:val="0"/>
      <w:marBottom w:val="0"/>
      <w:divBdr>
        <w:top w:val="none" w:sz="0" w:space="0" w:color="auto"/>
        <w:left w:val="none" w:sz="0" w:space="0" w:color="auto"/>
        <w:bottom w:val="none" w:sz="0" w:space="0" w:color="auto"/>
        <w:right w:val="none" w:sz="0" w:space="0" w:color="auto"/>
      </w:divBdr>
    </w:div>
    <w:div w:id="1577594297">
      <w:bodyDiv w:val="1"/>
      <w:marLeft w:val="0"/>
      <w:marRight w:val="0"/>
      <w:marTop w:val="0"/>
      <w:marBottom w:val="0"/>
      <w:divBdr>
        <w:top w:val="none" w:sz="0" w:space="0" w:color="auto"/>
        <w:left w:val="none" w:sz="0" w:space="0" w:color="auto"/>
        <w:bottom w:val="none" w:sz="0" w:space="0" w:color="auto"/>
        <w:right w:val="none" w:sz="0" w:space="0" w:color="auto"/>
      </w:divBdr>
    </w:div>
    <w:div w:id="1577663310">
      <w:bodyDiv w:val="1"/>
      <w:marLeft w:val="0"/>
      <w:marRight w:val="0"/>
      <w:marTop w:val="0"/>
      <w:marBottom w:val="0"/>
      <w:divBdr>
        <w:top w:val="none" w:sz="0" w:space="0" w:color="auto"/>
        <w:left w:val="none" w:sz="0" w:space="0" w:color="auto"/>
        <w:bottom w:val="none" w:sz="0" w:space="0" w:color="auto"/>
        <w:right w:val="none" w:sz="0" w:space="0" w:color="auto"/>
      </w:divBdr>
    </w:div>
    <w:div w:id="1577785089">
      <w:bodyDiv w:val="1"/>
      <w:marLeft w:val="0"/>
      <w:marRight w:val="0"/>
      <w:marTop w:val="0"/>
      <w:marBottom w:val="0"/>
      <w:divBdr>
        <w:top w:val="none" w:sz="0" w:space="0" w:color="auto"/>
        <w:left w:val="none" w:sz="0" w:space="0" w:color="auto"/>
        <w:bottom w:val="none" w:sz="0" w:space="0" w:color="auto"/>
        <w:right w:val="none" w:sz="0" w:space="0" w:color="auto"/>
      </w:divBdr>
    </w:div>
    <w:div w:id="1577856166">
      <w:bodyDiv w:val="1"/>
      <w:marLeft w:val="0"/>
      <w:marRight w:val="0"/>
      <w:marTop w:val="0"/>
      <w:marBottom w:val="0"/>
      <w:divBdr>
        <w:top w:val="none" w:sz="0" w:space="0" w:color="auto"/>
        <w:left w:val="none" w:sz="0" w:space="0" w:color="auto"/>
        <w:bottom w:val="none" w:sz="0" w:space="0" w:color="auto"/>
        <w:right w:val="none" w:sz="0" w:space="0" w:color="auto"/>
      </w:divBdr>
    </w:div>
    <w:div w:id="1577856893">
      <w:bodyDiv w:val="1"/>
      <w:marLeft w:val="0"/>
      <w:marRight w:val="0"/>
      <w:marTop w:val="0"/>
      <w:marBottom w:val="0"/>
      <w:divBdr>
        <w:top w:val="none" w:sz="0" w:space="0" w:color="auto"/>
        <w:left w:val="none" w:sz="0" w:space="0" w:color="auto"/>
        <w:bottom w:val="none" w:sz="0" w:space="0" w:color="auto"/>
        <w:right w:val="none" w:sz="0" w:space="0" w:color="auto"/>
      </w:divBdr>
    </w:div>
    <w:div w:id="1577856990">
      <w:bodyDiv w:val="1"/>
      <w:marLeft w:val="0"/>
      <w:marRight w:val="0"/>
      <w:marTop w:val="0"/>
      <w:marBottom w:val="0"/>
      <w:divBdr>
        <w:top w:val="none" w:sz="0" w:space="0" w:color="auto"/>
        <w:left w:val="none" w:sz="0" w:space="0" w:color="auto"/>
        <w:bottom w:val="none" w:sz="0" w:space="0" w:color="auto"/>
        <w:right w:val="none" w:sz="0" w:space="0" w:color="auto"/>
      </w:divBdr>
    </w:div>
    <w:div w:id="1577938247">
      <w:bodyDiv w:val="1"/>
      <w:marLeft w:val="0"/>
      <w:marRight w:val="0"/>
      <w:marTop w:val="0"/>
      <w:marBottom w:val="0"/>
      <w:divBdr>
        <w:top w:val="none" w:sz="0" w:space="0" w:color="auto"/>
        <w:left w:val="none" w:sz="0" w:space="0" w:color="auto"/>
        <w:bottom w:val="none" w:sz="0" w:space="0" w:color="auto"/>
        <w:right w:val="none" w:sz="0" w:space="0" w:color="auto"/>
      </w:divBdr>
    </w:div>
    <w:div w:id="1577939059">
      <w:bodyDiv w:val="1"/>
      <w:marLeft w:val="0"/>
      <w:marRight w:val="0"/>
      <w:marTop w:val="0"/>
      <w:marBottom w:val="0"/>
      <w:divBdr>
        <w:top w:val="none" w:sz="0" w:space="0" w:color="auto"/>
        <w:left w:val="none" w:sz="0" w:space="0" w:color="auto"/>
        <w:bottom w:val="none" w:sz="0" w:space="0" w:color="auto"/>
        <w:right w:val="none" w:sz="0" w:space="0" w:color="auto"/>
      </w:divBdr>
    </w:div>
    <w:div w:id="1577940147">
      <w:bodyDiv w:val="1"/>
      <w:marLeft w:val="0"/>
      <w:marRight w:val="0"/>
      <w:marTop w:val="0"/>
      <w:marBottom w:val="0"/>
      <w:divBdr>
        <w:top w:val="none" w:sz="0" w:space="0" w:color="auto"/>
        <w:left w:val="none" w:sz="0" w:space="0" w:color="auto"/>
        <w:bottom w:val="none" w:sz="0" w:space="0" w:color="auto"/>
        <w:right w:val="none" w:sz="0" w:space="0" w:color="auto"/>
      </w:divBdr>
    </w:div>
    <w:div w:id="1577977863">
      <w:bodyDiv w:val="1"/>
      <w:marLeft w:val="0"/>
      <w:marRight w:val="0"/>
      <w:marTop w:val="0"/>
      <w:marBottom w:val="0"/>
      <w:divBdr>
        <w:top w:val="none" w:sz="0" w:space="0" w:color="auto"/>
        <w:left w:val="none" w:sz="0" w:space="0" w:color="auto"/>
        <w:bottom w:val="none" w:sz="0" w:space="0" w:color="auto"/>
        <w:right w:val="none" w:sz="0" w:space="0" w:color="auto"/>
      </w:divBdr>
    </w:div>
    <w:div w:id="1578052306">
      <w:bodyDiv w:val="1"/>
      <w:marLeft w:val="0"/>
      <w:marRight w:val="0"/>
      <w:marTop w:val="0"/>
      <w:marBottom w:val="0"/>
      <w:divBdr>
        <w:top w:val="none" w:sz="0" w:space="0" w:color="auto"/>
        <w:left w:val="none" w:sz="0" w:space="0" w:color="auto"/>
        <w:bottom w:val="none" w:sz="0" w:space="0" w:color="auto"/>
        <w:right w:val="none" w:sz="0" w:space="0" w:color="auto"/>
      </w:divBdr>
    </w:div>
    <w:div w:id="1578131478">
      <w:bodyDiv w:val="1"/>
      <w:marLeft w:val="0"/>
      <w:marRight w:val="0"/>
      <w:marTop w:val="0"/>
      <w:marBottom w:val="0"/>
      <w:divBdr>
        <w:top w:val="none" w:sz="0" w:space="0" w:color="auto"/>
        <w:left w:val="none" w:sz="0" w:space="0" w:color="auto"/>
        <w:bottom w:val="none" w:sz="0" w:space="0" w:color="auto"/>
        <w:right w:val="none" w:sz="0" w:space="0" w:color="auto"/>
      </w:divBdr>
    </w:div>
    <w:div w:id="1578173752">
      <w:bodyDiv w:val="1"/>
      <w:marLeft w:val="0"/>
      <w:marRight w:val="0"/>
      <w:marTop w:val="0"/>
      <w:marBottom w:val="0"/>
      <w:divBdr>
        <w:top w:val="none" w:sz="0" w:space="0" w:color="auto"/>
        <w:left w:val="none" w:sz="0" w:space="0" w:color="auto"/>
        <w:bottom w:val="none" w:sz="0" w:space="0" w:color="auto"/>
        <w:right w:val="none" w:sz="0" w:space="0" w:color="auto"/>
      </w:divBdr>
    </w:div>
    <w:div w:id="1578201585">
      <w:bodyDiv w:val="1"/>
      <w:marLeft w:val="0"/>
      <w:marRight w:val="0"/>
      <w:marTop w:val="0"/>
      <w:marBottom w:val="0"/>
      <w:divBdr>
        <w:top w:val="none" w:sz="0" w:space="0" w:color="auto"/>
        <w:left w:val="none" w:sz="0" w:space="0" w:color="auto"/>
        <w:bottom w:val="none" w:sz="0" w:space="0" w:color="auto"/>
        <w:right w:val="none" w:sz="0" w:space="0" w:color="auto"/>
      </w:divBdr>
    </w:div>
    <w:div w:id="1578202585">
      <w:bodyDiv w:val="1"/>
      <w:marLeft w:val="0"/>
      <w:marRight w:val="0"/>
      <w:marTop w:val="0"/>
      <w:marBottom w:val="0"/>
      <w:divBdr>
        <w:top w:val="none" w:sz="0" w:space="0" w:color="auto"/>
        <w:left w:val="none" w:sz="0" w:space="0" w:color="auto"/>
        <w:bottom w:val="none" w:sz="0" w:space="0" w:color="auto"/>
        <w:right w:val="none" w:sz="0" w:space="0" w:color="auto"/>
      </w:divBdr>
    </w:div>
    <w:div w:id="1578242073">
      <w:bodyDiv w:val="1"/>
      <w:marLeft w:val="0"/>
      <w:marRight w:val="0"/>
      <w:marTop w:val="0"/>
      <w:marBottom w:val="0"/>
      <w:divBdr>
        <w:top w:val="none" w:sz="0" w:space="0" w:color="auto"/>
        <w:left w:val="none" w:sz="0" w:space="0" w:color="auto"/>
        <w:bottom w:val="none" w:sz="0" w:space="0" w:color="auto"/>
        <w:right w:val="none" w:sz="0" w:space="0" w:color="auto"/>
      </w:divBdr>
    </w:div>
    <w:div w:id="1578248975">
      <w:bodyDiv w:val="1"/>
      <w:marLeft w:val="0"/>
      <w:marRight w:val="0"/>
      <w:marTop w:val="0"/>
      <w:marBottom w:val="0"/>
      <w:divBdr>
        <w:top w:val="none" w:sz="0" w:space="0" w:color="auto"/>
        <w:left w:val="none" w:sz="0" w:space="0" w:color="auto"/>
        <w:bottom w:val="none" w:sz="0" w:space="0" w:color="auto"/>
        <w:right w:val="none" w:sz="0" w:space="0" w:color="auto"/>
      </w:divBdr>
    </w:div>
    <w:div w:id="1578401120">
      <w:bodyDiv w:val="1"/>
      <w:marLeft w:val="0"/>
      <w:marRight w:val="0"/>
      <w:marTop w:val="0"/>
      <w:marBottom w:val="0"/>
      <w:divBdr>
        <w:top w:val="none" w:sz="0" w:space="0" w:color="auto"/>
        <w:left w:val="none" w:sz="0" w:space="0" w:color="auto"/>
        <w:bottom w:val="none" w:sz="0" w:space="0" w:color="auto"/>
        <w:right w:val="none" w:sz="0" w:space="0" w:color="auto"/>
      </w:divBdr>
    </w:div>
    <w:div w:id="1578443346">
      <w:bodyDiv w:val="1"/>
      <w:marLeft w:val="0"/>
      <w:marRight w:val="0"/>
      <w:marTop w:val="0"/>
      <w:marBottom w:val="0"/>
      <w:divBdr>
        <w:top w:val="none" w:sz="0" w:space="0" w:color="auto"/>
        <w:left w:val="none" w:sz="0" w:space="0" w:color="auto"/>
        <w:bottom w:val="none" w:sz="0" w:space="0" w:color="auto"/>
        <w:right w:val="none" w:sz="0" w:space="0" w:color="auto"/>
      </w:divBdr>
    </w:div>
    <w:div w:id="1578513009">
      <w:bodyDiv w:val="1"/>
      <w:marLeft w:val="0"/>
      <w:marRight w:val="0"/>
      <w:marTop w:val="0"/>
      <w:marBottom w:val="0"/>
      <w:divBdr>
        <w:top w:val="none" w:sz="0" w:space="0" w:color="auto"/>
        <w:left w:val="none" w:sz="0" w:space="0" w:color="auto"/>
        <w:bottom w:val="none" w:sz="0" w:space="0" w:color="auto"/>
        <w:right w:val="none" w:sz="0" w:space="0" w:color="auto"/>
      </w:divBdr>
    </w:div>
    <w:div w:id="1578632147">
      <w:bodyDiv w:val="1"/>
      <w:marLeft w:val="0"/>
      <w:marRight w:val="0"/>
      <w:marTop w:val="0"/>
      <w:marBottom w:val="0"/>
      <w:divBdr>
        <w:top w:val="none" w:sz="0" w:space="0" w:color="auto"/>
        <w:left w:val="none" w:sz="0" w:space="0" w:color="auto"/>
        <w:bottom w:val="none" w:sz="0" w:space="0" w:color="auto"/>
        <w:right w:val="none" w:sz="0" w:space="0" w:color="auto"/>
      </w:divBdr>
    </w:div>
    <w:div w:id="1578638315">
      <w:bodyDiv w:val="1"/>
      <w:marLeft w:val="0"/>
      <w:marRight w:val="0"/>
      <w:marTop w:val="0"/>
      <w:marBottom w:val="0"/>
      <w:divBdr>
        <w:top w:val="none" w:sz="0" w:space="0" w:color="auto"/>
        <w:left w:val="none" w:sz="0" w:space="0" w:color="auto"/>
        <w:bottom w:val="none" w:sz="0" w:space="0" w:color="auto"/>
        <w:right w:val="none" w:sz="0" w:space="0" w:color="auto"/>
      </w:divBdr>
    </w:div>
    <w:div w:id="1578830490">
      <w:bodyDiv w:val="1"/>
      <w:marLeft w:val="0"/>
      <w:marRight w:val="0"/>
      <w:marTop w:val="0"/>
      <w:marBottom w:val="0"/>
      <w:divBdr>
        <w:top w:val="none" w:sz="0" w:space="0" w:color="auto"/>
        <w:left w:val="none" w:sz="0" w:space="0" w:color="auto"/>
        <w:bottom w:val="none" w:sz="0" w:space="0" w:color="auto"/>
        <w:right w:val="none" w:sz="0" w:space="0" w:color="auto"/>
      </w:divBdr>
    </w:div>
    <w:div w:id="1578974232">
      <w:bodyDiv w:val="1"/>
      <w:marLeft w:val="0"/>
      <w:marRight w:val="0"/>
      <w:marTop w:val="0"/>
      <w:marBottom w:val="0"/>
      <w:divBdr>
        <w:top w:val="none" w:sz="0" w:space="0" w:color="auto"/>
        <w:left w:val="none" w:sz="0" w:space="0" w:color="auto"/>
        <w:bottom w:val="none" w:sz="0" w:space="0" w:color="auto"/>
        <w:right w:val="none" w:sz="0" w:space="0" w:color="auto"/>
      </w:divBdr>
    </w:div>
    <w:div w:id="1579048861">
      <w:bodyDiv w:val="1"/>
      <w:marLeft w:val="0"/>
      <w:marRight w:val="0"/>
      <w:marTop w:val="0"/>
      <w:marBottom w:val="0"/>
      <w:divBdr>
        <w:top w:val="none" w:sz="0" w:space="0" w:color="auto"/>
        <w:left w:val="none" w:sz="0" w:space="0" w:color="auto"/>
        <w:bottom w:val="none" w:sz="0" w:space="0" w:color="auto"/>
        <w:right w:val="none" w:sz="0" w:space="0" w:color="auto"/>
      </w:divBdr>
    </w:div>
    <w:div w:id="1579092331">
      <w:bodyDiv w:val="1"/>
      <w:marLeft w:val="0"/>
      <w:marRight w:val="0"/>
      <w:marTop w:val="0"/>
      <w:marBottom w:val="0"/>
      <w:divBdr>
        <w:top w:val="none" w:sz="0" w:space="0" w:color="auto"/>
        <w:left w:val="none" w:sz="0" w:space="0" w:color="auto"/>
        <w:bottom w:val="none" w:sz="0" w:space="0" w:color="auto"/>
        <w:right w:val="none" w:sz="0" w:space="0" w:color="auto"/>
      </w:divBdr>
    </w:div>
    <w:div w:id="1579096477">
      <w:bodyDiv w:val="1"/>
      <w:marLeft w:val="0"/>
      <w:marRight w:val="0"/>
      <w:marTop w:val="0"/>
      <w:marBottom w:val="0"/>
      <w:divBdr>
        <w:top w:val="none" w:sz="0" w:space="0" w:color="auto"/>
        <w:left w:val="none" w:sz="0" w:space="0" w:color="auto"/>
        <w:bottom w:val="none" w:sz="0" w:space="0" w:color="auto"/>
        <w:right w:val="none" w:sz="0" w:space="0" w:color="auto"/>
      </w:divBdr>
    </w:div>
    <w:div w:id="1579290517">
      <w:bodyDiv w:val="1"/>
      <w:marLeft w:val="0"/>
      <w:marRight w:val="0"/>
      <w:marTop w:val="0"/>
      <w:marBottom w:val="0"/>
      <w:divBdr>
        <w:top w:val="none" w:sz="0" w:space="0" w:color="auto"/>
        <w:left w:val="none" w:sz="0" w:space="0" w:color="auto"/>
        <w:bottom w:val="none" w:sz="0" w:space="0" w:color="auto"/>
        <w:right w:val="none" w:sz="0" w:space="0" w:color="auto"/>
      </w:divBdr>
    </w:div>
    <w:div w:id="1579366429">
      <w:bodyDiv w:val="1"/>
      <w:marLeft w:val="0"/>
      <w:marRight w:val="0"/>
      <w:marTop w:val="0"/>
      <w:marBottom w:val="0"/>
      <w:divBdr>
        <w:top w:val="none" w:sz="0" w:space="0" w:color="auto"/>
        <w:left w:val="none" w:sz="0" w:space="0" w:color="auto"/>
        <w:bottom w:val="none" w:sz="0" w:space="0" w:color="auto"/>
        <w:right w:val="none" w:sz="0" w:space="0" w:color="auto"/>
      </w:divBdr>
    </w:div>
    <w:div w:id="1579437004">
      <w:bodyDiv w:val="1"/>
      <w:marLeft w:val="0"/>
      <w:marRight w:val="0"/>
      <w:marTop w:val="0"/>
      <w:marBottom w:val="0"/>
      <w:divBdr>
        <w:top w:val="none" w:sz="0" w:space="0" w:color="auto"/>
        <w:left w:val="none" w:sz="0" w:space="0" w:color="auto"/>
        <w:bottom w:val="none" w:sz="0" w:space="0" w:color="auto"/>
        <w:right w:val="none" w:sz="0" w:space="0" w:color="auto"/>
      </w:divBdr>
    </w:div>
    <w:div w:id="1579438541">
      <w:bodyDiv w:val="1"/>
      <w:marLeft w:val="0"/>
      <w:marRight w:val="0"/>
      <w:marTop w:val="0"/>
      <w:marBottom w:val="0"/>
      <w:divBdr>
        <w:top w:val="none" w:sz="0" w:space="0" w:color="auto"/>
        <w:left w:val="none" w:sz="0" w:space="0" w:color="auto"/>
        <w:bottom w:val="none" w:sz="0" w:space="0" w:color="auto"/>
        <w:right w:val="none" w:sz="0" w:space="0" w:color="auto"/>
      </w:divBdr>
    </w:div>
    <w:div w:id="1579439969">
      <w:bodyDiv w:val="1"/>
      <w:marLeft w:val="0"/>
      <w:marRight w:val="0"/>
      <w:marTop w:val="0"/>
      <w:marBottom w:val="0"/>
      <w:divBdr>
        <w:top w:val="none" w:sz="0" w:space="0" w:color="auto"/>
        <w:left w:val="none" w:sz="0" w:space="0" w:color="auto"/>
        <w:bottom w:val="none" w:sz="0" w:space="0" w:color="auto"/>
        <w:right w:val="none" w:sz="0" w:space="0" w:color="auto"/>
      </w:divBdr>
    </w:div>
    <w:div w:id="1579441922">
      <w:bodyDiv w:val="1"/>
      <w:marLeft w:val="0"/>
      <w:marRight w:val="0"/>
      <w:marTop w:val="0"/>
      <w:marBottom w:val="0"/>
      <w:divBdr>
        <w:top w:val="none" w:sz="0" w:space="0" w:color="auto"/>
        <w:left w:val="none" w:sz="0" w:space="0" w:color="auto"/>
        <w:bottom w:val="none" w:sz="0" w:space="0" w:color="auto"/>
        <w:right w:val="none" w:sz="0" w:space="0" w:color="auto"/>
      </w:divBdr>
    </w:div>
    <w:div w:id="1579515497">
      <w:bodyDiv w:val="1"/>
      <w:marLeft w:val="0"/>
      <w:marRight w:val="0"/>
      <w:marTop w:val="0"/>
      <w:marBottom w:val="0"/>
      <w:divBdr>
        <w:top w:val="none" w:sz="0" w:space="0" w:color="auto"/>
        <w:left w:val="none" w:sz="0" w:space="0" w:color="auto"/>
        <w:bottom w:val="none" w:sz="0" w:space="0" w:color="auto"/>
        <w:right w:val="none" w:sz="0" w:space="0" w:color="auto"/>
      </w:divBdr>
    </w:div>
    <w:div w:id="1579897022">
      <w:bodyDiv w:val="1"/>
      <w:marLeft w:val="0"/>
      <w:marRight w:val="0"/>
      <w:marTop w:val="0"/>
      <w:marBottom w:val="0"/>
      <w:divBdr>
        <w:top w:val="none" w:sz="0" w:space="0" w:color="auto"/>
        <w:left w:val="none" w:sz="0" w:space="0" w:color="auto"/>
        <w:bottom w:val="none" w:sz="0" w:space="0" w:color="auto"/>
        <w:right w:val="none" w:sz="0" w:space="0" w:color="auto"/>
      </w:divBdr>
    </w:div>
    <w:div w:id="1579905332">
      <w:bodyDiv w:val="1"/>
      <w:marLeft w:val="0"/>
      <w:marRight w:val="0"/>
      <w:marTop w:val="0"/>
      <w:marBottom w:val="0"/>
      <w:divBdr>
        <w:top w:val="none" w:sz="0" w:space="0" w:color="auto"/>
        <w:left w:val="none" w:sz="0" w:space="0" w:color="auto"/>
        <w:bottom w:val="none" w:sz="0" w:space="0" w:color="auto"/>
        <w:right w:val="none" w:sz="0" w:space="0" w:color="auto"/>
      </w:divBdr>
    </w:div>
    <w:div w:id="1579944775">
      <w:bodyDiv w:val="1"/>
      <w:marLeft w:val="0"/>
      <w:marRight w:val="0"/>
      <w:marTop w:val="0"/>
      <w:marBottom w:val="0"/>
      <w:divBdr>
        <w:top w:val="none" w:sz="0" w:space="0" w:color="auto"/>
        <w:left w:val="none" w:sz="0" w:space="0" w:color="auto"/>
        <w:bottom w:val="none" w:sz="0" w:space="0" w:color="auto"/>
        <w:right w:val="none" w:sz="0" w:space="0" w:color="auto"/>
      </w:divBdr>
    </w:div>
    <w:div w:id="1580096679">
      <w:bodyDiv w:val="1"/>
      <w:marLeft w:val="0"/>
      <w:marRight w:val="0"/>
      <w:marTop w:val="0"/>
      <w:marBottom w:val="0"/>
      <w:divBdr>
        <w:top w:val="none" w:sz="0" w:space="0" w:color="auto"/>
        <w:left w:val="none" w:sz="0" w:space="0" w:color="auto"/>
        <w:bottom w:val="none" w:sz="0" w:space="0" w:color="auto"/>
        <w:right w:val="none" w:sz="0" w:space="0" w:color="auto"/>
      </w:divBdr>
    </w:div>
    <w:div w:id="1580555624">
      <w:bodyDiv w:val="1"/>
      <w:marLeft w:val="0"/>
      <w:marRight w:val="0"/>
      <w:marTop w:val="0"/>
      <w:marBottom w:val="0"/>
      <w:divBdr>
        <w:top w:val="none" w:sz="0" w:space="0" w:color="auto"/>
        <w:left w:val="none" w:sz="0" w:space="0" w:color="auto"/>
        <w:bottom w:val="none" w:sz="0" w:space="0" w:color="auto"/>
        <w:right w:val="none" w:sz="0" w:space="0" w:color="auto"/>
      </w:divBdr>
    </w:div>
    <w:div w:id="1580629001">
      <w:bodyDiv w:val="1"/>
      <w:marLeft w:val="0"/>
      <w:marRight w:val="0"/>
      <w:marTop w:val="0"/>
      <w:marBottom w:val="0"/>
      <w:divBdr>
        <w:top w:val="none" w:sz="0" w:space="0" w:color="auto"/>
        <w:left w:val="none" w:sz="0" w:space="0" w:color="auto"/>
        <w:bottom w:val="none" w:sz="0" w:space="0" w:color="auto"/>
        <w:right w:val="none" w:sz="0" w:space="0" w:color="auto"/>
      </w:divBdr>
    </w:div>
    <w:div w:id="1580748542">
      <w:bodyDiv w:val="1"/>
      <w:marLeft w:val="0"/>
      <w:marRight w:val="0"/>
      <w:marTop w:val="0"/>
      <w:marBottom w:val="0"/>
      <w:divBdr>
        <w:top w:val="none" w:sz="0" w:space="0" w:color="auto"/>
        <w:left w:val="none" w:sz="0" w:space="0" w:color="auto"/>
        <w:bottom w:val="none" w:sz="0" w:space="0" w:color="auto"/>
        <w:right w:val="none" w:sz="0" w:space="0" w:color="auto"/>
      </w:divBdr>
    </w:div>
    <w:div w:id="1580824303">
      <w:bodyDiv w:val="1"/>
      <w:marLeft w:val="0"/>
      <w:marRight w:val="0"/>
      <w:marTop w:val="0"/>
      <w:marBottom w:val="0"/>
      <w:divBdr>
        <w:top w:val="none" w:sz="0" w:space="0" w:color="auto"/>
        <w:left w:val="none" w:sz="0" w:space="0" w:color="auto"/>
        <w:bottom w:val="none" w:sz="0" w:space="0" w:color="auto"/>
        <w:right w:val="none" w:sz="0" w:space="0" w:color="auto"/>
      </w:divBdr>
    </w:div>
    <w:div w:id="1580942827">
      <w:bodyDiv w:val="1"/>
      <w:marLeft w:val="0"/>
      <w:marRight w:val="0"/>
      <w:marTop w:val="0"/>
      <w:marBottom w:val="0"/>
      <w:divBdr>
        <w:top w:val="none" w:sz="0" w:space="0" w:color="auto"/>
        <w:left w:val="none" w:sz="0" w:space="0" w:color="auto"/>
        <w:bottom w:val="none" w:sz="0" w:space="0" w:color="auto"/>
        <w:right w:val="none" w:sz="0" w:space="0" w:color="auto"/>
      </w:divBdr>
    </w:div>
    <w:div w:id="1580945929">
      <w:bodyDiv w:val="1"/>
      <w:marLeft w:val="0"/>
      <w:marRight w:val="0"/>
      <w:marTop w:val="0"/>
      <w:marBottom w:val="0"/>
      <w:divBdr>
        <w:top w:val="none" w:sz="0" w:space="0" w:color="auto"/>
        <w:left w:val="none" w:sz="0" w:space="0" w:color="auto"/>
        <w:bottom w:val="none" w:sz="0" w:space="0" w:color="auto"/>
        <w:right w:val="none" w:sz="0" w:space="0" w:color="auto"/>
      </w:divBdr>
    </w:div>
    <w:div w:id="1580946446">
      <w:bodyDiv w:val="1"/>
      <w:marLeft w:val="0"/>
      <w:marRight w:val="0"/>
      <w:marTop w:val="0"/>
      <w:marBottom w:val="0"/>
      <w:divBdr>
        <w:top w:val="none" w:sz="0" w:space="0" w:color="auto"/>
        <w:left w:val="none" w:sz="0" w:space="0" w:color="auto"/>
        <w:bottom w:val="none" w:sz="0" w:space="0" w:color="auto"/>
        <w:right w:val="none" w:sz="0" w:space="0" w:color="auto"/>
      </w:divBdr>
    </w:div>
    <w:div w:id="1581058806">
      <w:bodyDiv w:val="1"/>
      <w:marLeft w:val="0"/>
      <w:marRight w:val="0"/>
      <w:marTop w:val="0"/>
      <w:marBottom w:val="0"/>
      <w:divBdr>
        <w:top w:val="none" w:sz="0" w:space="0" w:color="auto"/>
        <w:left w:val="none" w:sz="0" w:space="0" w:color="auto"/>
        <w:bottom w:val="none" w:sz="0" w:space="0" w:color="auto"/>
        <w:right w:val="none" w:sz="0" w:space="0" w:color="auto"/>
      </w:divBdr>
    </w:div>
    <w:div w:id="1581134269">
      <w:bodyDiv w:val="1"/>
      <w:marLeft w:val="0"/>
      <w:marRight w:val="0"/>
      <w:marTop w:val="0"/>
      <w:marBottom w:val="0"/>
      <w:divBdr>
        <w:top w:val="none" w:sz="0" w:space="0" w:color="auto"/>
        <w:left w:val="none" w:sz="0" w:space="0" w:color="auto"/>
        <w:bottom w:val="none" w:sz="0" w:space="0" w:color="auto"/>
        <w:right w:val="none" w:sz="0" w:space="0" w:color="auto"/>
      </w:divBdr>
    </w:div>
    <w:div w:id="1581254870">
      <w:bodyDiv w:val="1"/>
      <w:marLeft w:val="0"/>
      <w:marRight w:val="0"/>
      <w:marTop w:val="0"/>
      <w:marBottom w:val="0"/>
      <w:divBdr>
        <w:top w:val="none" w:sz="0" w:space="0" w:color="auto"/>
        <w:left w:val="none" w:sz="0" w:space="0" w:color="auto"/>
        <w:bottom w:val="none" w:sz="0" w:space="0" w:color="auto"/>
        <w:right w:val="none" w:sz="0" w:space="0" w:color="auto"/>
      </w:divBdr>
    </w:div>
    <w:div w:id="1581479582">
      <w:bodyDiv w:val="1"/>
      <w:marLeft w:val="0"/>
      <w:marRight w:val="0"/>
      <w:marTop w:val="0"/>
      <w:marBottom w:val="0"/>
      <w:divBdr>
        <w:top w:val="none" w:sz="0" w:space="0" w:color="auto"/>
        <w:left w:val="none" w:sz="0" w:space="0" w:color="auto"/>
        <w:bottom w:val="none" w:sz="0" w:space="0" w:color="auto"/>
        <w:right w:val="none" w:sz="0" w:space="0" w:color="auto"/>
      </w:divBdr>
    </w:div>
    <w:div w:id="1581480990">
      <w:bodyDiv w:val="1"/>
      <w:marLeft w:val="0"/>
      <w:marRight w:val="0"/>
      <w:marTop w:val="0"/>
      <w:marBottom w:val="0"/>
      <w:divBdr>
        <w:top w:val="none" w:sz="0" w:space="0" w:color="auto"/>
        <w:left w:val="none" w:sz="0" w:space="0" w:color="auto"/>
        <w:bottom w:val="none" w:sz="0" w:space="0" w:color="auto"/>
        <w:right w:val="none" w:sz="0" w:space="0" w:color="auto"/>
      </w:divBdr>
    </w:div>
    <w:div w:id="1581481924">
      <w:bodyDiv w:val="1"/>
      <w:marLeft w:val="0"/>
      <w:marRight w:val="0"/>
      <w:marTop w:val="0"/>
      <w:marBottom w:val="0"/>
      <w:divBdr>
        <w:top w:val="none" w:sz="0" w:space="0" w:color="auto"/>
        <w:left w:val="none" w:sz="0" w:space="0" w:color="auto"/>
        <w:bottom w:val="none" w:sz="0" w:space="0" w:color="auto"/>
        <w:right w:val="none" w:sz="0" w:space="0" w:color="auto"/>
      </w:divBdr>
    </w:div>
    <w:div w:id="1581519505">
      <w:bodyDiv w:val="1"/>
      <w:marLeft w:val="0"/>
      <w:marRight w:val="0"/>
      <w:marTop w:val="0"/>
      <w:marBottom w:val="0"/>
      <w:divBdr>
        <w:top w:val="none" w:sz="0" w:space="0" w:color="auto"/>
        <w:left w:val="none" w:sz="0" w:space="0" w:color="auto"/>
        <w:bottom w:val="none" w:sz="0" w:space="0" w:color="auto"/>
        <w:right w:val="none" w:sz="0" w:space="0" w:color="auto"/>
      </w:divBdr>
    </w:div>
    <w:div w:id="1581527659">
      <w:bodyDiv w:val="1"/>
      <w:marLeft w:val="0"/>
      <w:marRight w:val="0"/>
      <w:marTop w:val="0"/>
      <w:marBottom w:val="0"/>
      <w:divBdr>
        <w:top w:val="none" w:sz="0" w:space="0" w:color="auto"/>
        <w:left w:val="none" w:sz="0" w:space="0" w:color="auto"/>
        <w:bottom w:val="none" w:sz="0" w:space="0" w:color="auto"/>
        <w:right w:val="none" w:sz="0" w:space="0" w:color="auto"/>
      </w:divBdr>
    </w:div>
    <w:div w:id="1581595654">
      <w:bodyDiv w:val="1"/>
      <w:marLeft w:val="0"/>
      <w:marRight w:val="0"/>
      <w:marTop w:val="0"/>
      <w:marBottom w:val="0"/>
      <w:divBdr>
        <w:top w:val="none" w:sz="0" w:space="0" w:color="auto"/>
        <w:left w:val="none" w:sz="0" w:space="0" w:color="auto"/>
        <w:bottom w:val="none" w:sz="0" w:space="0" w:color="auto"/>
        <w:right w:val="none" w:sz="0" w:space="0" w:color="auto"/>
      </w:divBdr>
    </w:div>
    <w:div w:id="1581602338">
      <w:bodyDiv w:val="1"/>
      <w:marLeft w:val="0"/>
      <w:marRight w:val="0"/>
      <w:marTop w:val="0"/>
      <w:marBottom w:val="0"/>
      <w:divBdr>
        <w:top w:val="none" w:sz="0" w:space="0" w:color="auto"/>
        <w:left w:val="none" w:sz="0" w:space="0" w:color="auto"/>
        <w:bottom w:val="none" w:sz="0" w:space="0" w:color="auto"/>
        <w:right w:val="none" w:sz="0" w:space="0" w:color="auto"/>
      </w:divBdr>
    </w:div>
    <w:div w:id="1581717860">
      <w:bodyDiv w:val="1"/>
      <w:marLeft w:val="0"/>
      <w:marRight w:val="0"/>
      <w:marTop w:val="0"/>
      <w:marBottom w:val="0"/>
      <w:divBdr>
        <w:top w:val="none" w:sz="0" w:space="0" w:color="auto"/>
        <w:left w:val="none" w:sz="0" w:space="0" w:color="auto"/>
        <w:bottom w:val="none" w:sz="0" w:space="0" w:color="auto"/>
        <w:right w:val="none" w:sz="0" w:space="0" w:color="auto"/>
      </w:divBdr>
    </w:div>
    <w:div w:id="1581913581">
      <w:bodyDiv w:val="1"/>
      <w:marLeft w:val="0"/>
      <w:marRight w:val="0"/>
      <w:marTop w:val="0"/>
      <w:marBottom w:val="0"/>
      <w:divBdr>
        <w:top w:val="none" w:sz="0" w:space="0" w:color="auto"/>
        <w:left w:val="none" w:sz="0" w:space="0" w:color="auto"/>
        <w:bottom w:val="none" w:sz="0" w:space="0" w:color="auto"/>
        <w:right w:val="none" w:sz="0" w:space="0" w:color="auto"/>
      </w:divBdr>
    </w:div>
    <w:div w:id="1582135962">
      <w:bodyDiv w:val="1"/>
      <w:marLeft w:val="0"/>
      <w:marRight w:val="0"/>
      <w:marTop w:val="0"/>
      <w:marBottom w:val="0"/>
      <w:divBdr>
        <w:top w:val="none" w:sz="0" w:space="0" w:color="auto"/>
        <w:left w:val="none" w:sz="0" w:space="0" w:color="auto"/>
        <w:bottom w:val="none" w:sz="0" w:space="0" w:color="auto"/>
        <w:right w:val="none" w:sz="0" w:space="0" w:color="auto"/>
      </w:divBdr>
    </w:div>
    <w:div w:id="1582180212">
      <w:bodyDiv w:val="1"/>
      <w:marLeft w:val="0"/>
      <w:marRight w:val="0"/>
      <w:marTop w:val="0"/>
      <w:marBottom w:val="0"/>
      <w:divBdr>
        <w:top w:val="none" w:sz="0" w:space="0" w:color="auto"/>
        <w:left w:val="none" w:sz="0" w:space="0" w:color="auto"/>
        <w:bottom w:val="none" w:sz="0" w:space="0" w:color="auto"/>
        <w:right w:val="none" w:sz="0" w:space="0" w:color="auto"/>
      </w:divBdr>
    </w:div>
    <w:div w:id="1582375229">
      <w:bodyDiv w:val="1"/>
      <w:marLeft w:val="0"/>
      <w:marRight w:val="0"/>
      <w:marTop w:val="0"/>
      <w:marBottom w:val="0"/>
      <w:divBdr>
        <w:top w:val="none" w:sz="0" w:space="0" w:color="auto"/>
        <w:left w:val="none" w:sz="0" w:space="0" w:color="auto"/>
        <w:bottom w:val="none" w:sz="0" w:space="0" w:color="auto"/>
        <w:right w:val="none" w:sz="0" w:space="0" w:color="auto"/>
      </w:divBdr>
    </w:div>
    <w:div w:id="1582444829">
      <w:bodyDiv w:val="1"/>
      <w:marLeft w:val="0"/>
      <w:marRight w:val="0"/>
      <w:marTop w:val="0"/>
      <w:marBottom w:val="0"/>
      <w:divBdr>
        <w:top w:val="none" w:sz="0" w:space="0" w:color="auto"/>
        <w:left w:val="none" w:sz="0" w:space="0" w:color="auto"/>
        <w:bottom w:val="none" w:sz="0" w:space="0" w:color="auto"/>
        <w:right w:val="none" w:sz="0" w:space="0" w:color="auto"/>
      </w:divBdr>
    </w:div>
    <w:div w:id="1582448662">
      <w:bodyDiv w:val="1"/>
      <w:marLeft w:val="0"/>
      <w:marRight w:val="0"/>
      <w:marTop w:val="0"/>
      <w:marBottom w:val="0"/>
      <w:divBdr>
        <w:top w:val="none" w:sz="0" w:space="0" w:color="auto"/>
        <w:left w:val="none" w:sz="0" w:space="0" w:color="auto"/>
        <w:bottom w:val="none" w:sz="0" w:space="0" w:color="auto"/>
        <w:right w:val="none" w:sz="0" w:space="0" w:color="auto"/>
      </w:divBdr>
    </w:div>
    <w:div w:id="1582449237">
      <w:bodyDiv w:val="1"/>
      <w:marLeft w:val="0"/>
      <w:marRight w:val="0"/>
      <w:marTop w:val="0"/>
      <w:marBottom w:val="0"/>
      <w:divBdr>
        <w:top w:val="none" w:sz="0" w:space="0" w:color="auto"/>
        <w:left w:val="none" w:sz="0" w:space="0" w:color="auto"/>
        <w:bottom w:val="none" w:sz="0" w:space="0" w:color="auto"/>
        <w:right w:val="none" w:sz="0" w:space="0" w:color="auto"/>
      </w:divBdr>
    </w:div>
    <w:div w:id="1582592999">
      <w:bodyDiv w:val="1"/>
      <w:marLeft w:val="0"/>
      <w:marRight w:val="0"/>
      <w:marTop w:val="0"/>
      <w:marBottom w:val="0"/>
      <w:divBdr>
        <w:top w:val="none" w:sz="0" w:space="0" w:color="auto"/>
        <w:left w:val="none" w:sz="0" w:space="0" w:color="auto"/>
        <w:bottom w:val="none" w:sz="0" w:space="0" w:color="auto"/>
        <w:right w:val="none" w:sz="0" w:space="0" w:color="auto"/>
      </w:divBdr>
    </w:div>
    <w:div w:id="1582787877">
      <w:bodyDiv w:val="1"/>
      <w:marLeft w:val="0"/>
      <w:marRight w:val="0"/>
      <w:marTop w:val="0"/>
      <w:marBottom w:val="0"/>
      <w:divBdr>
        <w:top w:val="none" w:sz="0" w:space="0" w:color="auto"/>
        <w:left w:val="none" w:sz="0" w:space="0" w:color="auto"/>
        <w:bottom w:val="none" w:sz="0" w:space="0" w:color="auto"/>
        <w:right w:val="none" w:sz="0" w:space="0" w:color="auto"/>
      </w:divBdr>
    </w:div>
    <w:div w:id="1582832363">
      <w:bodyDiv w:val="1"/>
      <w:marLeft w:val="0"/>
      <w:marRight w:val="0"/>
      <w:marTop w:val="0"/>
      <w:marBottom w:val="0"/>
      <w:divBdr>
        <w:top w:val="none" w:sz="0" w:space="0" w:color="auto"/>
        <w:left w:val="none" w:sz="0" w:space="0" w:color="auto"/>
        <w:bottom w:val="none" w:sz="0" w:space="0" w:color="auto"/>
        <w:right w:val="none" w:sz="0" w:space="0" w:color="auto"/>
      </w:divBdr>
    </w:div>
    <w:div w:id="1582905812">
      <w:bodyDiv w:val="1"/>
      <w:marLeft w:val="0"/>
      <w:marRight w:val="0"/>
      <w:marTop w:val="0"/>
      <w:marBottom w:val="0"/>
      <w:divBdr>
        <w:top w:val="none" w:sz="0" w:space="0" w:color="auto"/>
        <w:left w:val="none" w:sz="0" w:space="0" w:color="auto"/>
        <w:bottom w:val="none" w:sz="0" w:space="0" w:color="auto"/>
        <w:right w:val="none" w:sz="0" w:space="0" w:color="auto"/>
      </w:divBdr>
    </w:div>
    <w:div w:id="1582982223">
      <w:bodyDiv w:val="1"/>
      <w:marLeft w:val="0"/>
      <w:marRight w:val="0"/>
      <w:marTop w:val="0"/>
      <w:marBottom w:val="0"/>
      <w:divBdr>
        <w:top w:val="none" w:sz="0" w:space="0" w:color="auto"/>
        <w:left w:val="none" w:sz="0" w:space="0" w:color="auto"/>
        <w:bottom w:val="none" w:sz="0" w:space="0" w:color="auto"/>
        <w:right w:val="none" w:sz="0" w:space="0" w:color="auto"/>
      </w:divBdr>
    </w:div>
    <w:div w:id="1582982560">
      <w:bodyDiv w:val="1"/>
      <w:marLeft w:val="0"/>
      <w:marRight w:val="0"/>
      <w:marTop w:val="0"/>
      <w:marBottom w:val="0"/>
      <w:divBdr>
        <w:top w:val="none" w:sz="0" w:space="0" w:color="auto"/>
        <w:left w:val="none" w:sz="0" w:space="0" w:color="auto"/>
        <w:bottom w:val="none" w:sz="0" w:space="0" w:color="auto"/>
        <w:right w:val="none" w:sz="0" w:space="0" w:color="auto"/>
      </w:divBdr>
    </w:div>
    <w:div w:id="1582988772">
      <w:bodyDiv w:val="1"/>
      <w:marLeft w:val="0"/>
      <w:marRight w:val="0"/>
      <w:marTop w:val="0"/>
      <w:marBottom w:val="0"/>
      <w:divBdr>
        <w:top w:val="none" w:sz="0" w:space="0" w:color="auto"/>
        <w:left w:val="none" w:sz="0" w:space="0" w:color="auto"/>
        <w:bottom w:val="none" w:sz="0" w:space="0" w:color="auto"/>
        <w:right w:val="none" w:sz="0" w:space="0" w:color="auto"/>
      </w:divBdr>
    </w:div>
    <w:div w:id="1583025301">
      <w:bodyDiv w:val="1"/>
      <w:marLeft w:val="0"/>
      <w:marRight w:val="0"/>
      <w:marTop w:val="0"/>
      <w:marBottom w:val="0"/>
      <w:divBdr>
        <w:top w:val="none" w:sz="0" w:space="0" w:color="auto"/>
        <w:left w:val="none" w:sz="0" w:space="0" w:color="auto"/>
        <w:bottom w:val="none" w:sz="0" w:space="0" w:color="auto"/>
        <w:right w:val="none" w:sz="0" w:space="0" w:color="auto"/>
      </w:divBdr>
    </w:div>
    <w:div w:id="1583177073">
      <w:bodyDiv w:val="1"/>
      <w:marLeft w:val="0"/>
      <w:marRight w:val="0"/>
      <w:marTop w:val="0"/>
      <w:marBottom w:val="0"/>
      <w:divBdr>
        <w:top w:val="none" w:sz="0" w:space="0" w:color="auto"/>
        <w:left w:val="none" w:sz="0" w:space="0" w:color="auto"/>
        <w:bottom w:val="none" w:sz="0" w:space="0" w:color="auto"/>
        <w:right w:val="none" w:sz="0" w:space="0" w:color="auto"/>
      </w:divBdr>
    </w:div>
    <w:div w:id="1583418117">
      <w:bodyDiv w:val="1"/>
      <w:marLeft w:val="0"/>
      <w:marRight w:val="0"/>
      <w:marTop w:val="0"/>
      <w:marBottom w:val="0"/>
      <w:divBdr>
        <w:top w:val="none" w:sz="0" w:space="0" w:color="auto"/>
        <w:left w:val="none" w:sz="0" w:space="0" w:color="auto"/>
        <w:bottom w:val="none" w:sz="0" w:space="0" w:color="auto"/>
        <w:right w:val="none" w:sz="0" w:space="0" w:color="auto"/>
      </w:divBdr>
    </w:div>
    <w:div w:id="1583445588">
      <w:bodyDiv w:val="1"/>
      <w:marLeft w:val="0"/>
      <w:marRight w:val="0"/>
      <w:marTop w:val="0"/>
      <w:marBottom w:val="0"/>
      <w:divBdr>
        <w:top w:val="none" w:sz="0" w:space="0" w:color="auto"/>
        <w:left w:val="none" w:sz="0" w:space="0" w:color="auto"/>
        <w:bottom w:val="none" w:sz="0" w:space="0" w:color="auto"/>
        <w:right w:val="none" w:sz="0" w:space="0" w:color="auto"/>
      </w:divBdr>
    </w:div>
    <w:div w:id="1583445748">
      <w:bodyDiv w:val="1"/>
      <w:marLeft w:val="0"/>
      <w:marRight w:val="0"/>
      <w:marTop w:val="0"/>
      <w:marBottom w:val="0"/>
      <w:divBdr>
        <w:top w:val="none" w:sz="0" w:space="0" w:color="auto"/>
        <w:left w:val="none" w:sz="0" w:space="0" w:color="auto"/>
        <w:bottom w:val="none" w:sz="0" w:space="0" w:color="auto"/>
        <w:right w:val="none" w:sz="0" w:space="0" w:color="auto"/>
      </w:divBdr>
    </w:div>
    <w:div w:id="1583493192">
      <w:bodyDiv w:val="1"/>
      <w:marLeft w:val="0"/>
      <w:marRight w:val="0"/>
      <w:marTop w:val="0"/>
      <w:marBottom w:val="0"/>
      <w:divBdr>
        <w:top w:val="none" w:sz="0" w:space="0" w:color="auto"/>
        <w:left w:val="none" w:sz="0" w:space="0" w:color="auto"/>
        <w:bottom w:val="none" w:sz="0" w:space="0" w:color="auto"/>
        <w:right w:val="none" w:sz="0" w:space="0" w:color="auto"/>
      </w:divBdr>
    </w:div>
    <w:div w:id="1583567653">
      <w:bodyDiv w:val="1"/>
      <w:marLeft w:val="0"/>
      <w:marRight w:val="0"/>
      <w:marTop w:val="0"/>
      <w:marBottom w:val="0"/>
      <w:divBdr>
        <w:top w:val="none" w:sz="0" w:space="0" w:color="auto"/>
        <w:left w:val="none" w:sz="0" w:space="0" w:color="auto"/>
        <w:bottom w:val="none" w:sz="0" w:space="0" w:color="auto"/>
        <w:right w:val="none" w:sz="0" w:space="0" w:color="auto"/>
      </w:divBdr>
    </w:div>
    <w:div w:id="1583636390">
      <w:bodyDiv w:val="1"/>
      <w:marLeft w:val="0"/>
      <w:marRight w:val="0"/>
      <w:marTop w:val="0"/>
      <w:marBottom w:val="0"/>
      <w:divBdr>
        <w:top w:val="none" w:sz="0" w:space="0" w:color="auto"/>
        <w:left w:val="none" w:sz="0" w:space="0" w:color="auto"/>
        <w:bottom w:val="none" w:sz="0" w:space="0" w:color="auto"/>
        <w:right w:val="none" w:sz="0" w:space="0" w:color="auto"/>
      </w:divBdr>
    </w:div>
    <w:div w:id="1583638669">
      <w:bodyDiv w:val="1"/>
      <w:marLeft w:val="0"/>
      <w:marRight w:val="0"/>
      <w:marTop w:val="0"/>
      <w:marBottom w:val="0"/>
      <w:divBdr>
        <w:top w:val="none" w:sz="0" w:space="0" w:color="auto"/>
        <w:left w:val="none" w:sz="0" w:space="0" w:color="auto"/>
        <w:bottom w:val="none" w:sz="0" w:space="0" w:color="auto"/>
        <w:right w:val="none" w:sz="0" w:space="0" w:color="auto"/>
      </w:divBdr>
    </w:div>
    <w:div w:id="1583639875">
      <w:bodyDiv w:val="1"/>
      <w:marLeft w:val="0"/>
      <w:marRight w:val="0"/>
      <w:marTop w:val="0"/>
      <w:marBottom w:val="0"/>
      <w:divBdr>
        <w:top w:val="none" w:sz="0" w:space="0" w:color="auto"/>
        <w:left w:val="none" w:sz="0" w:space="0" w:color="auto"/>
        <w:bottom w:val="none" w:sz="0" w:space="0" w:color="auto"/>
        <w:right w:val="none" w:sz="0" w:space="0" w:color="auto"/>
      </w:divBdr>
    </w:div>
    <w:div w:id="1583642870">
      <w:bodyDiv w:val="1"/>
      <w:marLeft w:val="0"/>
      <w:marRight w:val="0"/>
      <w:marTop w:val="0"/>
      <w:marBottom w:val="0"/>
      <w:divBdr>
        <w:top w:val="none" w:sz="0" w:space="0" w:color="auto"/>
        <w:left w:val="none" w:sz="0" w:space="0" w:color="auto"/>
        <w:bottom w:val="none" w:sz="0" w:space="0" w:color="auto"/>
        <w:right w:val="none" w:sz="0" w:space="0" w:color="auto"/>
      </w:divBdr>
    </w:div>
    <w:div w:id="1583680040">
      <w:bodyDiv w:val="1"/>
      <w:marLeft w:val="0"/>
      <w:marRight w:val="0"/>
      <w:marTop w:val="0"/>
      <w:marBottom w:val="0"/>
      <w:divBdr>
        <w:top w:val="none" w:sz="0" w:space="0" w:color="auto"/>
        <w:left w:val="none" w:sz="0" w:space="0" w:color="auto"/>
        <w:bottom w:val="none" w:sz="0" w:space="0" w:color="auto"/>
        <w:right w:val="none" w:sz="0" w:space="0" w:color="auto"/>
      </w:divBdr>
    </w:div>
    <w:div w:id="1583829223">
      <w:bodyDiv w:val="1"/>
      <w:marLeft w:val="0"/>
      <w:marRight w:val="0"/>
      <w:marTop w:val="0"/>
      <w:marBottom w:val="0"/>
      <w:divBdr>
        <w:top w:val="none" w:sz="0" w:space="0" w:color="auto"/>
        <w:left w:val="none" w:sz="0" w:space="0" w:color="auto"/>
        <w:bottom w:val="none" w:sz="0" w:space="0" w:color="auto"/>
        <w:right w:val="none" w:sz="0" w:space="0" w:color="auto"/>
      </w:divBdr>
    </w:div>
    <w:div w:id="1583874755">
      <w:bodyDiv w:val="1"/>
      <w:marLeft w:val="0"/>
      <w:marRight w:val="0"/>
      <w:marTop w:val="0"/>
      <w:marBottom w:val="0"/>
      <w:divBdr>
        <w:top w:val="none" w:sz="0" w:space="0" w:color="auto"/>
        <w:left w:val="none" w:sz="0" w:space="0" w:color="auto"/>
        <w:bottom w:val="none" w:sz="0" w:space="0" w:color="auto"/>
        <w:right w:val="none" w:sz="0" w:space="0" w:color="auto"/>
      </w:divBdr>
    </w:div>
    <w:div w:id="1583880249">
      <w:bodyDiv w:val="1"/>
      <w:marLeft w:val="0"/>
      <w:marRight w:val="0"/>
      <w:marTop w:val="0"/>
      <w:marBottom w:val="0"/>
      <w:divBdr>
        <w:top w:val="none" w:sz="0" w:space="0" w:color="auto"/>
        <w:left w:val="none" w:sz="0" w:space="0" w:color="auto"/>
        <w:bottom w:val="none" w:sz="0" w:space="0" w:color="auto"/>
        <w:right w:val="none" w:sz="0" w:space="0" w:color="auto"/>
      </w:divBdr>
    </w:div>
    <w:div w:id="1584073349">
      <w:bodyDiv w:val="1"/>
      <w:marLeft w:val="0"/>
      <w:marRight w:val="0"/>
      <w:marTop w:val="0"/>
      <w:marBottom w:val="0"/>
      <w:divBdr>
        <w:top w:val="none" w:sz="0" w:space="0" w:color="auto"/>
        <w:left w:val="none" w:sz="0" w:space="0" w:color="auto"/>
        <w:bottom w:val="none" w:sz="0" w:space="0" w:color="auto"/>
        <w:right w:val="none" w:sz="0" w:space="0" w:color="auto"/>
      </w:divBdr>
    </w:div>
    <w:div w:id="1584143160">
      <w:bodyDiv w:val="1"/>
      <w:marLeft w:val="0"/>
      <w:marRight w:val="0"/>
      <w:marTop w:val="0"/>
      <w:marBottom w:val="0"/>
      <w:divBdr>
        <w:top w:val="none" w:sz="0" w:space="0" w:color="auto"/>
        <w:left w:val="none" w:sz="0" w:space="0" w:color="auto"/>
        <w:bottom w:val="none" w:sz="0" w:space="0" w:color="auto"/>
        <w:right w:val="none" w:sz="0" w:space="0" w:color="auto"/>
      </w:divBdr>
    </w:div>
    <w:div w:id="1584144607">
      <w:bodyDiv w:val="1"/>
      <w:marLeft w:val="0"/>
      <w:marRight w:val="0"/>
      <w:marTop w:val="0"/>
      <w:marBottom w:val="0"/>
      <w:divBdr>
        <w:top w:val="none" w:sz="0" w:space="0" w:color="auto"/>
        <w:left w:val="none" w:sz="0" w:space="0" w:color="auto"/>
        <w:bottom w:val="none" w:sz="0" w:space="0" w:color="auto"/>
        <w:right w:val="none" w:sz="0" w:space="0" w:color="auto"/>
      </w:divBdr>
    </w:div>
    <w:div w:id="1584146284">
      <w:bodyDiv w:val="1"/>
      <w:marLeft w:val="0"/>
      <w:marRight w:val="0"/>
      <w:marTop w:val="0"/>
      <w:marBottom w:val="0"/>
      <w:divBdr>
        <w:top w:val="none" w:sz="0" w:space="0" w:color="auto"/>
        <w:left w:val="none" w:sz="0" w:space="0" w:color="auto"/>
        <w:bottom w:val="none" w:sz="0" w:space="0" w:color="auto"/>
        <w:right w:val="none" w:sz="0" w:space="0" w:color="auto"/>
      </w:divBdr>
    </w:div>
    <w:div w:id="1584334677">
      <w:bodyDiv w:val="1"/>
      <w:marLeft w:val="0"/>
      <w:marRight w:val="0"/>
      <w:marTop w:val="0"/>
      <w:marBottom w:val="0"/>
      <w:divBdr>
        <w:top w:val="none" w:sz="0" w:space="0" w:color="auto"/>
        <w:left w:val="none" w:sz="0" w:space="0" w:color="auto"/>
        <w:bottom w:val="none" w:sz="0" w:space="0" w:color="auto"/>
        <w:right w:val="none" w:sz="0" w:space="0" w:color="auto"/>
      </w:divBdr>
    </w:div>
    <w:div w:id="1584340993">
      <w:bodyDiv w:val="1"/>
      <w:marLeft w:val="0"/>
      <w:marRight w:val="0"/>
      <w:marTop w:val="0"/>
      <w:marBottom w:val="0"/>
      <w:divBdr>
        <w:top w:val="none" w:sz="0" w:space="0" w:color="auto"/>
        <w:left w:val="none" w:sz="0" w:space="0" w:color="auto"/>
        <w:bottom w:val="none" w:sz="0" w:space="0" w:color="auto"/>
        <w:right w:val="none" w:sz="0" w:space="0" w:color="auto"/>
      </w:divBdr>
    </w:div>
    <w:div w:id="1584411856">
      <w:bodyDiv w:val="1"/>
      <w:marLeft w:val="0"/>
      <w:marRight w:val="0"/>
      <w:marTop w:val="0"/>
      <w:marBottom w:val="0"/>
      <w:divBdr>
        <w:top w:val="none" w:sz="0" w:space="0" w:color="auto"/>
        <w:left w:val="none" w:sz="0" w:space="0" w:color="auto"/>
        <w:bottom w:val="none" w:sz="0" w:space="0" w:color="auto"/>
        <w:right w:val="none" w:sz="0" w:space="0" w:color="auto"/>
      </w:divBdr>
    </w:div>
    <w:div w:id="1584485846">
      <w:bodyDiv w:val="1"/>
      <w:marLeft w:val="0"/>
      <w:marRight w:val="0"/>
      <w:marTop w:val="0"/>
      <w:marBottom w:val="0"/>
      <w:divBdr>
        <w:top w:val="none" w:sz="0" w:space="0" w:color="auto"/>
        <w:left w:val="none" w:sz="0" w:space="0" w:color="auto"/>
        <w:bottom w:val="none" w:sz="0" w:space="0" w:color="auto"/>
        <w:right w:val="none" w:sz="0" w:space="0" w:color="auto"/>
      </w:divBdr>
    </w:div>
    <w:div w:id="1584492527">
      <w:bodyDiv w:val="1"/>
      <w:marLeft w:val="0"/>
      <w:marRight w:val="0"/>
      <w:marTop w:val="0"/>
      <w:marBottom w:val="0"/>
      <w:divBdr>
        <w:top w:val="none" w:sz="0" w:space="0" w:color="auto"/>
        <w:left w:val="none" w:sz="0" w:space="0" w:color="auto"/>
        <w:bottom w:val="none" w:sz="0" w:space="0" w:color="auto"/>
        <w:right w:val="none" w:sz="0" w:space="0" w:color="auto"/>
      </w:divBdr>
    </w:div>
    <w:div w:id="1584800056">
      <w:bodyDiv w:val="1"/>
      <w:marLeft w:val="0"/>
      <w:marRight w:val="0"/>
      <w:marTop w:val="0"/>
      <w:marBottom w:val="0"/>
      <w:divBdr>
        <w:top w:val="none" w:sz="0" w:space="0" w:color="auto"/>
        <w:left w:val="none" w:sz="0" w:space="0" w:color="auto"/>
        <w:bottom w:val="none" w:sz="0" w:space="0" w:color="auto"/>
        <w:right w:val="none" w:sz="0" w:space="0" w:color="auto"/>
      </w:divBdr>
    </w:div>
    <w:div w:id="1584877159">
      <w:bodyDiv w:val="1"/>
      <w:marLeft w:val="0"/>
      <w:marRight w:val="0"/>
      <w:marTop w:val="0"/>
      <w:marBottom w:val="0"/>
      <w:divBdr>
        <w:top w:val="none" w:sz="0" w:space="0" w:color="auto"/>
        <w:left w:val="none" w:sz="0" w:space="0" w:color="auto"/>
        <w:bottom w:val="none" w:sz="0" w:space="0" w:color="auto"/>
        <w:right w:val="none" w:sz="0" w:space="0" w:color="auto"/>
      </w:divBdr>
    </w:div>
    <w:div w:id="1584878970">
      <w:bodyDiv w:val="1"/>
      <w:marLeft w:val="0"/>
      <w:marRight w:val="0"/>
      <w:marTop w:val="0"/>
      <w:marBottom w:val="0"/>
      <w:divBdr>
        <w:top w:val="none" w:sz="0" w:space="0" w:color="auto"/>
        <w:left w:val="none" w:sz="0" w:space="0" w:color="auto"/>
        <w:bottom w:val="none" w:sz="0" w:space="0" w:color="auto"/>
        <w:right w:val="none" w:sz="0" w:space="0" w:color="auto"/>
      </w:divBdr>
    </w:div>
    <w:div w:id="1584946748">
      <w:bodyDiv w:val="1"/>
      <w:marLeft w:val="0"/>
      <w:marRight w:val="0"/>
      <w:marTop w:val="0"/>
      <w:marBottom w:val="0"/>
      <w:divBdr>
        <w:top w:val="none" w:sz="0" w:space="0" w:color="auto"/>
        <w:left w:val="none" w:sz="0" w:space="0" w:color="auto"/>
        <w:bottom w:val="none" w:sz="0" w:space="0" w:color="auto"/>
        <w:right w:val="none" w:sz="0" w:space="0" w:color="auto"/>
      </w:divBdr>
    </w:div>
    <w:div w:id="1584950572">
      <w:bodyDiv w:val="1"/>
      <w:marLeft w:val="0"/>
      <w:marRight w:val="0"/>
      <w:marTop w:val="0"/>
      <w:marBottom w:val="0"/>
      <w:divBdr>
        <w:top w:val="none" w:sz="0" w:space="0" w:color="auto"/>
        <w:left w:val="none" w:sz="0" w:space="0" w:color="auto"/>
        <w:bottom w:val="none" w:sz="0" w:space="0" w:color="auto"/>
        <w:right w:val="none" w:sz="0" w:space="0" w:color="auto"/>
      </w:divBdr>
    </w:div>
    <w:div w:id="1584951890">
      <w:bodyDiv w:val="1"/>
      <w:marLeft w:val="0"/>
      <w:marRight w:val="0"/>
      <w:marTop w:val="0"/>
      <w:marBottom w:val="0"/>
      <w:divBdr>
        <w:top w:val="none" w:sz="0" w:space="0" w:color="auto"/>
        <w:left w:val="none" w:sz="0" w:space="0" w:color="auto"/>
        <w:bottom w:val="none" w:sz="0" w:space="0" w:color="auto"/>
        <w:right w:val="none" w:sz="0" w:space="0" w:color="auto"/>
      </w:divBdr>
    </w:div>
    <w:div w:id="1585067237">
      <w:bodyDiv w:val="1"/>
      <w:marLeft w:val="0"/>
      <w:marRight w:val="0"/>
      <w:marTop w:val="0"/>
      <w:marBottom w:val="0"/>
      <w:divBdr>
        <w:top w:val="none" w:sz="0" w:space="0" w:color="auto"/>
        <w:left w:val="none" w:sz="0" w:space="0" w:color="auto"/>
        <w:bottom w:val="none" w:sz="0" w:space="0" w:color="auto"/>
        <w:right w:val="none" w:sz="0" w:space="0" w:color="auto"/>
      </w:divBdr>
    </w:div>
    <w:div w:id="1585138930">
      <w:bodyDiv w:val="1"/>
      <w:marLeft w:val="0"/>
      <w:marRight w:val="0"/>
      <w:marTop w:val="0"/>
      <w:marBottom w:val="0"/>
      <w:divBdr>
        <w:top w:val="none" w:sz="0" w:space="0" w:color="auto"/>
        <w:left w:val="none" w:sz="0" w:space="0" w:color="auto"/>
        <w:bottom w:val="none" w:sz="0" w:space="0" w:color="auto"/>
        <w:right w:val="none" w:sz="0" w:space="0" w:color="auto"/>
      </w:divBdr>
    </w:div>
    <w:div w:id="1585142517">
      <w:bodyDiv w:val="1"/>
      <w:marLeft w:val="0"/>
      <w:marRight w:val="0"/>
      <w:marTop w:val="0"/>
      <w:marBottom w:val="0"/>
      <w:divBdr>
        <w:top w:val="none" w:sz="0" w:space="0" w:color="auto"/>
        <w:left w:val="none" w:sz="0" w:space="0" w:color="auto"/>
        <w:bottom w:val="none" w:sz="0" w:space="0" w:color="auto"/>
        <w:right w:val="none" w:sz="0" w:space="0" w:color="auto"/>
      </w:divBdr>
    </w:div>
    <w:div w:id="1585142859">
      <w:bodyDiv w:val="1"/>
      <w:marLeft w:val="0"/>
      <w:marRight w:val="0"/>
      <w:marTop w:val="0"/>
      <w:marBottom w:val="0"/>
      <w:divBdr>
        <w:top w:val="none" w:sz="0" w:space="0" w:color="auto"/>
        <w:left w:val="none" w:sz="0" w:space="0" w:color="auto"/>
        <w:bottom w:val="none" w:sz="0" w:space="0" w:color="auto"/>
        <w:right w:val="none" w:sz="0" w:space="0" w:color="auto"/>
      </w:divBdr>
    </w:div>
    <w:div w:id="1585147395">
      <w:bodyDiv w:val="1"/>
      <w:marLeft w:val="0"/>
      <w:marRight w:val="0"/>
      <w:marTop w:val="0"/>
      <w:marBottom w:val="0"/>
      <w:divBdr>
        <w:top w:val="none" w:sz="0" w:space="0" w:color="auto"/>
        <w:left w:val="none" w:sz="0" w:space="0" w:color="auto"/>
        <w:bottom w:val="none" w:sz="0" w:space="0" w:color="auto"/>
        <w:right w:val="none" w:sz="0" w:space="0" w:color="auto"/>
      </w:divBdr>
    </w:div>
    <w:div w:id="1585188648">
      <w:bodyDiv w:val="1"/>
      <w:marLeft w:val="0"/>
      <w:marRight w:val="0"/>
      <w:marTop w:val="0"/>
      <w:marBottom w:val="0"/>
      <w:divBdr>
        <w:top w:val="none" w:sz="0" w:space="0" w:color="auto"/>
        <w:left w:val="none" w:sz="0" w:space="0" w:color="auto"/>
        <w:bottom w:val="none" w:sz="0" w:space="0" w:color="auto"/>
        <w:right w:val="none" w:sz="0" w:space="0" w:color="auto"/>
      </w:divBdr>
    </w:div>
    <w:div w:id="1585261279">
      <w:bodyDiv w:val="1"/>
      <w:marLeft w:val="0"/>
      <w:marRight w:val="0"/>
      <w:marTop w:val="0"/>
      <w:marBottom w:val="0"/>
      <w:divBdr>
        <w:top w:val="none" w:sz="0" w:space="0" w:color="auto"/>
        <w:left w:val="none" w:sz="0" w:space="0" w:color="auto"/>
        <w:bottom w:val="none" w:sz="0" w:space="0" w:color="auto"/>
        <w:right w:val="none" w:sz="0" w:space="0" w:color="auto"/>
      </w:divBdr>
    </w:div>
    <w:div w:id="1585333522">
      <w:bodyDiv w:val="1"/>
      <w:marLeft w:val="0"/>
      <w:marRight w:val="0"/>
      <w:marTop w:val="0"/>
      <w:marBottom w:val="0"/>
      <w:divBdr>
        <w:top w:val="none" w:sz="0" w:space="0" w:color="auto"/>
        <w:left w:val="none" w:sz="0" w:space="0" w:color="auto"/>
        <w:bottom w:val="none" w:sz="0" w:space="0" w:color="auto"/>
        <w:right w:val="none" w:sz="0" w:space="0" w:color="auto"/>
      </w:divBdr>
    </w:div>
    <w:div w:id="1585382542">
      <w:bodyDiv w:val="1"/>
      <w:marLeft w:val="0"/>
      <w:marRight w:val="0"/>
      <w:marTop w:val="0"/>
      <w:marBottom w:val="0"/>
      <w:divBdr>
        <w:top w:val="none" w:sz="0" w:space="0" w:color="auto"/>
        <w:left w:val="none" w:sz="0" w:space="0" w:color="auto"/>
        <w:bottom w:val="none" w:sz="0" w:space="0" w:color="auto"/>
        <w:right w:val="none" w:sz="0" w:space="0" w:color="auto"/>
      </w:divBdr>
    </w:div>
    <w:div w:id="1585531745">
      <w:bodyDiv w:val="1"/>
      <w:marLeft w:val="0"/>
      <w:marRight w:val="0"/>
      <w:marTop w:val="0"/>
      <w:marBottom w:val="0"/>
      <w:divBdr>
        <w:top w:val="none" w:sz="0" w:space="0" w:color="auto"/>
        <w:left w:val="none" w:sz="0" w:space="0" w:color="auto"/>
        <w:bottom w:val="none" w:sz="0" w:space="0" w:color="auto"/>
        <w:right w:val="none" w:sz="0" w:space="0" w:color="auto"/>
      </w:divBdr>
    </w:div>
    <w:div w:id="1585648643">
      <w:bodyDiv w:val="1"/>
      <w:marLeft w:val="0"/>
      <w:marRight w:val="0"/>
      <w:marTop w:val="0"/>
      <w:marBottom w:val="0"/>
      <w:divBdr>
        <w:top w:val="none" w:sz="0" w:space="0" w:color="auto"/>
        <w:left w:val="none" w:sz="0" w:space="0" w:color="auto"/>
        <w:bottom w:val="none" w:sz="0" w:space="0" w:color="auto"/>
        <w:right w:val="none" w:sz="0" w:space="0" w:color="auto"/>
      </w:divBdr>
    </w:div>
    <w:div w:id="1585651093">
      <w:bodyDiv w:val="1"/>
      <w:marLeft w:val="0"/>
      <w:marRight w:val="0"/>
      <w:marTop w:val="0"/>
      <w:marBottom w:val="0"/>
      <w:divBdr>
        <w:top w:val="none" w:sz="0" w:space="0" w:color="auto"/>
        <w:left w:val="none" w:sz="0" w:space="0" w:color="auto"/>
        <w:bottom w:val="none" w:sz="0" w:space="0" w:color="auto"/>
        <w:right w:val="none" w:sz="0" w:space="0" w:color="auto"/>
      </w:divBdr>
    </w:div>
    <w:div w:id="1586183195">
      <w:bodyDiv w:val="1"/>
      <w:marLeft w:val="0"/>
      <w:marRight w:val="0"/>
      <w:marTop w:val="0"/>
      <w:marBottom w:val="0"/>
      <w:divBdr>
        <w:top w:val="none" w:sz="0" w:space="0" w:color="auto"/>
        <w:left w:val="none" w:sz="0" w:space="0" w:color="auto"/>
        <w:bottom w:val="none" w:sz="0" w:space="0" w:color="auto"/>
        <w:right w:val="none" w:sz="0" w:space="0" w:color="auto"/>
      </w:divBdr>
    </w:div>
    <w:div w:id="1586256676">
      <w:bodyDiv w:val="1"/>
      <w:marLeft w:val="0"/>
      <w:marRight w:val="0"/>
      <w:marTop w:val="0"/>
      <w:marBottom w:val="0"/>
      <w:divBdr>
        <w:top w:val="none" w:sz="0" w:space="0" w:color="auto"/>
        <w:left w:val="none" w:sz="0" w:space="0" w:color="auto"/>
        <w:bottom w:val="none" w:sz="0" w:space="0" w:color="auto"/>
        <w:right w:val="none" w:sz="0" w:space="0" w:color="auto"/>
      </w:divBdr>
    </w:div>
    <w:div w:id="1586260193">
      <w:bodyDiv w:val="1"/>
      <w:marLeft w:val="0"/>
      <w:marRight w:val="0"/>
      <w:marTop w:val="0"/>
      <w:marBottom w:val="0"/>
      <w:divBdr>
        <w:top w:val="none" w:sz="0" w:space="0" w:color="auto"/>
        <w:left w:val="none" w:sz="0" w:space="0" w:color="auto"/>
        <w:bottom w:val="none" w:sz="0" w:space="0" w:color="auto"/>
        <w:right w:val="none" w:sz="0" w:space="0" w:color="auto"/>
      </w:divBdr>
    </w:div>
    <w:div w:id="1586265604">
      <w:bodyDiv w:val="1"/>
      <w:marLeft w:val="0"/>
      <w:marRight w:val="0"/>
      <w:marTop w:val="0"/>
      <w:marBottom w:val="0"/>
      <w:divBdr>
        <w:top w:val="none" w:sz="0" w:space="0" w:color="auto"/>
        <w:left w:val="none" w:sz="0" w:space="0" w:color="auto"/>
        <w:bottom w:val="none" w:sz="0" w:space="0" w:color="auto"/>
        <w:right w:val="none" w:sz="0" w:space="0" w:color="auto"/>
      </w:divBdr>
    </w:div>
    <w:div w:id="1586374221">
      <w:bodyDiv w:val="1"/>
      <w:marLeft w:val="0"/>
      <w:marRight w:val="0"/>
      <w:marTop w:val="0"/>
      <w:marBottom w:val="0"/>
      <w:divBdr>
        <w:top w:val="none" w:sz="0" w:space="0" w:color="auto"/>
        <w:left w:val="none" w:sz="0" w:space="0" w:color="auto"/>
        <w:bottom w:val="none" w:sz="0" w:space="0" w:color="auto"/>
        <w:right w:val="none" w:sz="0" w:space="0" w:color="auto"/>
      </w:divBdr>
    </w:div>
    <w:div w:id="1586574560">
      <w:bodyDiv w:val="1"/>
      <w:marLeft w:val="0"/>
      <w:marRight w:val="0"/>
      <w:marTop w:val="0"/>
      <w:marBottom w:val="0"/>
      <w:divBdr>
        <w:top w:val="none" w:sz="0" w:space="0" w:color="auto"/>
        <w:left w:val="none" w:sz="0" w:space="0" w:color="auto"/>
        <w:bottom w:val="none" w:sz="0" w:space="0" w:color="auto"/>
        <w:right w:val="none" w:sz="0" w:space="0" w:color="auto"/>
      </w:divBdr>
    </w:div>
    <w:div w:id="1586647664">
      <w:bodyDiv w:val="1"/>
      <w:marLeft w:val="0"/>
      <w:marRight w:val="0"/>
      <w:marTop w:val="0"/>
      <w:marBottom w:val="0"/>
      <w:divBdr>
        <w:top w:val="none" w:sz="0" w:space="0" w:color="auto"/>
        <w:left w:val="none" w:sz="0" w:space="0" w:color="auto"/>
        <w:bottom w:val="none" w:sz="0" w:space="0" w:color="auto"/>
        <w:right w:val="none" w:sz="0" w:space="0" w:color="auto"/>
      </w:divBdr>
    </w:div>
    <w:div w:id="1586760997">
      <w:bodyDiv w:val="1"/>
      <w:marLeft w:val="0"/>
      <w:marRight w:val="0"/>
      <w:marTop w:val="0"/>
      <w:marBottom w:val="0"/>
      <w:divBdr>
        <w:top w:val="none" w:sz="0" w:space="0" w:color="auto"/>
        <w:left w:val="none" w:sz="0" w:space="0" w:color="auto"/>
        <w:bottom w:val="none" w:sz="0" w:space="0" w:color="auto"/>
        <w:right w:val="none" w:sz="0" w:space="0" w:color="auto"/>
      </w:divBdr>
    </w:div>
    <w:div w:id="1586761841">
      <w:bodyDiv w:val="1"/>
      <w:marLeft w:val="0"/>
      <w:marRight w:val="0"/>
      <w:marTop w:val="0"/>
      <w:marBottom w:val="0"/>
      <w:divBdr>
        <w:top w:val="none" w:sz="0" w:space="0" w:color="auto"/>
        <w:left w:val="none" w:sz="0" w:space="0" w:color="auto"/>
        <w:bottom w:val="none" w:sz="0" w:space="0" w:color="auto"/>
        <w:right w:val="none" w:sz="0" w:space="0" w:color="auto"/>
      </w:divBdr>
    </w:div>
    <w:div w:id="1586762337">
      <w:bodyDiv w:val="1"/>
      <w:marLeft w:val="0"/>
      <w:marRight w:val="0"/>
      <w:marTop w:val="0"/>
      <w:marBottom w:val="0"/>
      <w:divBdr>
        <w:top w:val="none" w:sz="0" w:space="0" w:color="auto"/>
        <w:left w:val="none" w:sz="0" w:space="0" w:color="auto"/>
        <w:bottom w:val="none" w:sz="0" w:space="0" w:color="auto"/>
        <w:right w:val="none" w:sz="0" w:space="0" w:color="auto"/>
      </w:divBdr>
    </w:div>
    <w:div w:id="1586766743">
      <w:bodyDiv w:val="1"/>
      <w:marLeft w:val="0"/>
      <w:marRight w:val="0"/>
      <w:marTop w:val="0"/>
      <w:marBottom w:val="0"/>
      <w:divBdr>
        <w:top w:val="none" w:sz="0" w:space="0" w:color="auto"/>
        <w:left w:val="none" w:sz="0" w:space="0" w:color="auto"/>
        <w:bottom w:val="none" w:sz="0" w:space="0" w:color="auto"/>
        <w:right w:val="none" w:sz="0" w:space="0" w:color="auto"/>
      </w:divBdr>
    </w:div>
    <w:div w:id="1586768058">
      <w:bodyDiv w:val="1"/>
      <w:marLeft w:val="0"/>
      <w:marRight w:val="0"/>
      <w:marTop w:val="0"/>
      <w:marBottom w:val="0"/>
      <w:divBdr>
        <w:top w:val="none" w:sz="0" w:space="0" w:color="auto"/>
        <w:left w:val="none" w:sz="0" w:space="0" w:color="auto"/>
        <w:bottom w:val="none" w:sz="0" w:space="0" w:color="auto"/>
        <w:right w:val="none" w:sz="0" w:space="0" w:color="auto"/>
      </w:divBdr>
    </w:div>
    <w:div w:id="1586842809">
      <w:bodyDiv w:val="1"/>
      <w:marLeft w:val="0"/>
      <w:marRight w:val="0"/>
      <w:marTop w:val="0"/>
      <w:marBottom w:val="0"/>
      <w:divBdr>
        <w:top w:val="none" w:sz="0" w:space="0" w:color="auto"/>
        <w:left w:val="none" w:sz="0" w:space="0" w:color="auto"/>
        <w:bottom w:val="none" w:sz="0" w:space="0" w:color="auto"/>
        <w:right w:val="none" w:sz="0" w:space="0" w:color="auto"/>
      </w:divBdr>
    </w:div>
    <w:div w:id="1586844175">
      <w:bodyDiv w:val="1"/>
      <w:marLeft w:val="0"/>
      <w:marRight w:val="0"/>
      <w:marTop w:val="0"/>
      <w:marBottom w:val="0"/>
      <w:divBdr>
        <w:top w:val="none" w:sz="0" w:space="0" w:color="auto"/>
        <w:left w:val="none" w:sz="0" w:space="0" w:color="auto"/>
        <w:bottom w:val="none" w:sz="0" w:space="0" w:color="auto"/>
        <w:right w:val="none" w:sz="0" w:space="0" w:color="auto"/>
      </w:divBdr>
    </w:div>
    <w:div w:id="1586955067">
      <w:bodyDiv w:val="1"/>
      <w:marLeft w:val="0"/>
      <w:marRight w:val="0"/>
      <w:marTop w:val="0"/>
      <w:marBottom w:val="0"/>
      <w:divBdr>
        <w:top w:val="none" w:sz="0" w:space="0" w:color="auto"/>
        <w:left w:val="none" w:sz="0" w:space="0" w:color="auto"/>
        <w:bottom w:val="none" w:sz="0" w:space="0" w:color="auto"/>
        <w:right w:val="none" w:sz="0" w:space="0" w:color="auto"/>
      </w:divBdr>
    </w:div>
    <w:div w:id="1586961704">
      <w:bodyDiv w:val="1"/>
      <w:marLeft w:val="0"/>
      <w:marRight w:val="0"/>
      <w:marTop w:val="0"/>
      <w:marBottom w:val="0"/>
      <w:divBdr>
        <w:top w:val="none" w:sz="0" w:space="0" w:color="auto"/>
        <w:left w:val="none" w:sz="0" w:space="0" w:color="auto"/>
        <w:bottom w:val="none" w:sz="0" w:space="0" w:color="auto"/>
        <w:right w:val="none" w:sz="0" w:space="0" w:color="auto"/>
      </w:divBdr>
    </w:div>
    <w:div w:id="1587035794">
      <w:bodyDiv w:val="1"/>
      <w:marLeft w:val="0"/>
      <w:marRight w:val="0"/>
      <w:marTop w:val="0"/>
      <w:marBottom w:val="0"/>
      <w:divBdr>
        <w:top w:val="none" w:sz="0" w:space="0" w:color="auto"/>
        <w:left w:val="none" w:sz="0" w:space="0" w:color="auto"/>
        <w:bottom w:val="none" w:sz="0" w:space="0" w:color="auto"/>
        <w:right w:val="none" w:sz="0" w:space="0" w:color="auto"/>
      </w:divBdr>
    </w:div>
    <w:div w:id="1587182066">
      <w:bodyDiv w:val="1"/>
      <w:marLeft w:val="0"/>
      <w:marRight w:val="0"/>
      <w:marTop w:val="0"/>
      <w:marBottom w:val="0"/>
      <w:divBdr>
        <w:top w:val="none" w:sz="0" w:space="0" w:color="auto"/>
        <w:left w:val="none" w:sz="0" w:space="0" w:color="auto"/>
        <w:bottom w:val="none" w:sz="0" w:space="0" w:color="auto"/>
        <w:right w:val="none" w:sz="0" w:space="0" w:color="auto"/>
      </w:divBdr>
    </w:div>
    <w:div w:id="1587230742">
      <w:bodyDiv w:val="1"/>
      <w:marLeft w:val="0"/>
      <w:marRight w:val="0"/>
      <w:marTop w:val="0"/>
      <w:marBottom w:val="0"/>
      <w:divBdr>
        <w:top w:val="none" w:sz="0" w:space="0" w:color="auto"/>
        <w:left w:val="none" w:sz="0" w:space="0" w:color="auto"/>
        <w:bottom w:val="none" w:sz="0" w:space="0" w:color="auto"/>
        <w:right w:val="none" w:sz="0" w:space="0" w:color="auto"/>
      </w:divBdr>
    </w:div>
    <w:div w:id="1587301860">
      <w:bodyDiv w:val="1"/>
      <w:marLeft w:val="0"/>
      <w:marRight w:val="0"/>
      <w:marTop w:val="0"/>
      <w:marBottom w:val="0"/>
      <w:divBdr>
        <w:top w:val="none" w:sz="0" w:space="0" w:color="auto"/>
        <w:left w:val="none" w:sz="0" w:space="0" w:color="auto"/>
        <w:bottom w:val="none" w:sz="0" w:space="0" w:color="auto"/>
        <w:right w:val="none" w:sz="0" w:space="0" w:color="auto"/>
      </w:divBdr>
    </w:div>
    <w:div w:id="1587373929">
      <w:bodyDiv w:val="1"/>
      <w:marLeft w:val="0"/>
      <w:marRight w:val="0"/>
      <w:marTop w:val="0"/>
      <w:marBottom w:val="0"/>
      <w:divBdr>
        <w:top w:val="none" w:sz="0" w:space="0" w:color="auto"/>
        <w:left w:val="none" w:sz="0" w:space="0" w:color="auto"/>
        <w:bottom w:val="none" w:sz="0" w:space="0" w:color="auto"/>
        <w:right w:val="none" w:sz="0" w:space="0" w:color="auto"/>
      </w:divBdr>
    </w:div>
    <w:div w:id="1587378504">
      <w:bodyDiv w:val="1"/>
      <w:marLeft w:val="0"/>
      <w:marRight w:val="0"/>
      <w:marTop w:val="0"/>
      <w:marBottom w:val="0"/>
      <w:divBdr>
        <w:top w:val="none" w:sz="0" w:space="0" w:color="auto"/>
        <w:left w:val="none" w:sz="0" w:space="0" w:color="auto"/>
        <w:bottom w:val="none" w:sz="0" w:space="0" w:color="auto"/>
        <w:right w:val="none" w:sz="0" w:space="0" w:color="auto"/>
      </w:divBdr>
    </w:div>
    <w:div w:id="1587380112">
      <w:bodyDiv w:val="1"/>
      <w:marLeft w:val="0"/>
      <w:marRight w:val="0"/>
      <w:marTop w:val="0"/>
      <w:marBottom w:val="0"/>
      <w:divBdr>
        <w:top w:val="none" w:sz="0" w:space="0" w:color="auto"/>
        <w:left w:val="none" w:sz="0" w:space="0" w:color="auto"/>
        <w:bottom w:val="none" w:sz="0" w:space="0" w:color="auto"/>
        <w:right w:val="none" w:sz="0" w:space="0" w:color="auto"/>
      </w:divBdr>
    </w:div>
    <w:div w:id="1587566723">
      <w:bodyDiv w:val="1"/>
      <w:marLeft w:val="0"/>
      <w:marRight w:val="0"/>
      <w:marTop w:val="0"/>
      <w:marBottom w:val="0"/>
      <w:divBdr>
        <w:top w:val="none" w:sz="0" w:space="0" w:color="auto"/>
        <w:left w:val="none" w:sz="0" w:space="0" w:color="auto"/>
        <w:bottom w:val="none" w:sz="0" w:space="0" w:color="auto"/>
        <w:right w:val="none" w:sz="0" w:space="0" w:color="auto"/>
      </w:divBdr>
    </w:div>
    <w:div w:id="1587567365">
      <w:bodyDiv w:val="1"/>
      <w:marLeft w:val="0"/>
      <w:marRight w:val="0"/>
      <w:marTop w:val="0"/>
      <w:marBottom w:val="0"/>
      <w:divBdr>
        <w:top w:val="none" w:sz="0" w:space="0" w:color="auto"/>
        <w:left w:val="none" w:sz="0" w:space="0" w:color="auto"/>
        <w:bottom w:val="none" w:sz="0" w:space="0" w:color="auto"/>
        <w:right w:val="none" w:sz="0" w:space="0" w:color="auto"/>
      </w:divBdr>
    </w:div>
    <w:div w:id="1587568953">
      <w:bodyDiv w:val="1"/>
      <w:marLeft w:val="0"/>
      <w:marRight w:val="0"/>
      <w:marTop w:val="0"/>
      <w:marBottom w:val="0"/>
      <w:divBdr>
        <w:top w:val="none" w:sz="0" w:space="0" w:color="auto"/>
        <w:left w:val="none" w:sz="0" w:space="0" w:color="auto"/>
        <w:bottom w:val="none" w:sz="0" w:space="0" w:color="auto"/>
        <w:right w:val="none" w:sz="0" w:space="0" w:color="auto"/>
      </w:divBdr>
    </w:div>
    <w:div w:id="1587571639">
      <w:bodyDiv w:val="1"/>
      <w:marLeft w:val="0"/>
      <w:marRight w:val="0"/>
      <w:marTop w:val="0"/>
      <w:marBottom w:val="0"/>
      <w:divBdr>
        <w:top w:val="none" w:sz="0" w:space="0" w:color="auto"/>
        <w:left w:val="none" w:sz="0" w:space="0" w:color="auto"/>
        <w:bottom w:val="none" w:sz="0" w:space="0" w:color="auto"/>
        <w:right w:val="none" w:sz="0" w:space="0" w:color="auto"/>
      </w:divBdr>
    </w:div>
    <w:div w:id="1587574444">
      <w:bodyDiv w:val="1"/>
      <w:marLeft w:val="0"/>
      <w:marRight w:val="0"/>
      <w:marTop w:val="0"/>
      <w:marBottom w:val="0"/>
      <w:divBdr>
        <w:top w:val="none" w:sz="0" w:space="0" w:color="auto"/>
        <w:left w:val="none" w:sz="0" w:space="0" w:color="auto"/>
        <w:bottom w:val="none" w:sz="0" w:space="0" w:color="auto"/>
        <w:right w:val="none" w:sz="0" w:space="0" w:color="auto"/>
      </w:divBdr>
    </w:div>
    <w:div w:id="1587616306">
      <w:bodyDiv w:val="1"/>
      <w:marLeft w:val="0"/>
      <w:marRight w:val="0"/>
      <w:marTop w:val="0"/>
      <w:marBottom w:val="0"/>
      <w:divBdr>
        <w:top w:val="none" w:sz="0" w:space="0" w:color="auto"/>
        <w:left w:val="none" w:sz="0" w:space="0" w:color="auto"/>
        <w:bottom w:val="none" w:sz="0" w:space="0" w:color="auto"/>
        <w:right w:val="none" w:sz="0" w:space="0" w:color="auto"/>
      </w:divBdr>
    </w:div>
    <w:div w:id="1587685718">
      <w:bodyDiv w:val="1"/>
      <w:marLeft w:val="0"/>
      <w:marRight w:val="0"/>
      <w:marTop w:val="0"/>
      <w:marBottom w:val="0"/>
      <w:divBdr>
        <w:top w:val="none" w:sz="0" w:space="0" w:color="auto"/>
        <w:left w:val="none" w:sz="0" w:space="0" w:color="auto"/>
        <w:bottom w:val="none" w:sz="0" w:space="0" w:color="auto"/>
        <w:right w:val="none" w:sz="0" w:space="0" w:color="auto"/>
      </w:divBdr>
    </w:div>
    <w:div w:id="1587692089">
      <w:bodyDiv w:val="1"/>
      <w:marLeft w:val="0"/>
      <w:marRight w:val="0"/>
      <w:marTop w:val="0"/>
      <w:marBottom w:val="0"/>
      <w:divBdr>
        <w:top w:val="none" w:sz="0" w:space="0" w:color="auto"/>
        <w:left w:val="none" w:sz="0" w:space="0" w:color="auto"/>
        <w:bottom w:val="none" w:sz="0" w:space="0" w:color="auto"/>
        <w:right w:val="none" w:sz="0" w:space="0" w:color="auto"/>
      </w:divBdr>
    </w:div>
    <w:div w:id="1587766002">
      <w:bodyDiv w:val="1"/>
      <w:marLeft w:val="0"/>
      <w:marRight w:val="0"/>
      <w:marTop w:val="0"/>
      <w:marBottom w:val="0"/>
      <w:divBdr>
        <w:top w:val="none" w:sz="0" w:space="0" w:color="auto"/>
        <w:left w:val="none" w:sz="0" w:space="0" w:color="auto"/>
        <w:bottom w:val="none" w:sz="0" w:space="0" w:color="auto"/>
        <w:right w:val="none" w:sz="0" w:space="0" w:color="auto"/>
      </w:divBdr>
    </w:div>
    <w:div w:id="1587807220">
      <w:bodyDiv w:val="1"/>
      <w:marLeft w:val="0"/>
      <w:marRight w:val="0"/>
      <w:marTop w:val="0"/>
      <w:marBottom w:val="0"/>
      <w:divBdr>
        <w:top w:val="none" w:sz="0" w:space="0" w:color="auto"/>
        <w:left w:val="none" w:sz="0" w:space="0" w:color="auto"/>
        <w:bottom w:val="none" w:sz="0" w:space="0" w:color="auto"/>
        <w:right w:val="none" w:sz="0" w:space="0" w:color="auto"/>
      </w:divBdr>
    </w:div>
    <w:div w:id="1587879750">
      <w:bodyDiv w:val="1"/>
      <w:marLeft w:val="0"/>
      <w:marRight w:val="0"/>
      <w:marTop w:val="0"/>
      <w:marBottom w:val="0"/>
      <w:divBdr>
        <w:top w:val="none" w:sz="0" w:space="0" w:color="auto"/>
        <w:left w:val="none" w:sz="0" w:space="0" w:color="auto"/>
        <w:bottom w:val="none" w:sz="0" w:space="0" w:color="auto"/>
        <w:right w:val="none" w:sz="0" w:space="0" w:color="auto"/>
      </w:divBdr>
    </w:div>
    <w:div w:id="1587881976">
      <w:bodyDiv w:val="1"/>
      <w:marLeft w:val="0"/>
      <w:marRight w:val="0"/>
      <w:marTop w:val="0"/>
      <w:marBottom w:val="0"/>
      <w:divBdr>
        <w:top w:val="none" w:sz="0" w:space="0" w:color="auto"/>
        <w:left w:val="none" w:sz="0" w:space="0" w:color="auto"/>
        <w:bottom w:val="none" w:sz="0" w:space="0" w:color="auto"/>
        <w:right w:val="none" w:sz="0" w:space="0" w:color="auto"/>
      </w:divBdr>
    </w:div>
    <w:div w:id="1587955164">
      <w:bodyDiv w:val="1"/>
      <w:marLeft w:val="0"/>
      <w:marRight w:val="0"/>
      <w:marTop w:val="0"/>
      <w:marBottom w:val="0"/>
      <w:divBdr>
        <w:top w:val="none" w:sz="0" w:space="0" w:color="auto"/>
        <w:left w:val="none" w:sz="0" w:space="0" w:color="auto"/>
        <w:bottom w:val="none" w:sz="0" w:space="0" w:color="auto"/>
        <w:right w:val="none" w:sz="0" w:space="0" w:color="auto"/>
      </w:divBdr>
    </w:div>
    <w:div w:id="1588030204">
      <w:bodyDiv w:val="1"/>
      <w:marLeft w:val="0"/>
      <w:marRight w:val="0"/>
      <w:marTop w:val="0"/>
      <w:marBottom w:val="0"/>
      <w:divBdr>
        <w:top w:val="none" w:sz="0" w:space="0" w:color="auto"/>
        <w:left w:val="none" w:sz="0" w:space="0" w:color="auto"/>
        <w:bottom w:val="none" w:sz="0" w:space="0" w:color="auto"/>
        <w:right w:val="none" w:sz="0" w:space="0" w:color="auto"/>
      </w:divBdr>
    </w:div>
    <w:div w:id="1588032522">
      <w:bodyDiv w:val="1"/>
      <w:marLeft w:val="0"/>
      <w:marRight w:val="0"/>
      <w:marTop w:val="0"/>
      <w:marBottom w:val="0"/>
      <w:divBdr>
        <w:top w:val="none" w:sz="0" w:space="0" w:color="auto"/>
        <w:left w:val="none" w:sz="0" w:space="0" w:color="auto"/>
        <w:bottom w:val="none" w:sz="0" w:space="0" w:color="auto"/>
        <w:right w:val="none" w:sz="0" w:space="0" w:color="auto"/>
      </w:divBdr>
    </w:div>
    <w:div w:id="1588149981">
      <w:bodyDiv w:val="1"/>
      <w:marLeft w:val="0"/>
      <w:marRight w:val="0"/>
      <w:marTop w:val="0"/>
      <w:marBottom w:val="0"/>
      <w:divBdr>
        <w:top w:val="none" w:sz="0" w:space="0" w:color="auto"/>
        <w:left w:val="none" w:sz="0" w:space="0" w:color="auto"/>
        <w:bottom w:val="none" w:sz="0" w:space="0" w:color="auto"/>
        <w:right w:val="none" w:sz="0" w:space="0" w:color="auto"/>
      </w:divBdr>
    </w:div>
    <w:div w:id="1588153575">
      <w:bodyDiv w:val="1"/>
      <w:marLeft w:val="0"/>
      <w:marRight w:val="0"/>
      <w:marTop w:val="0"/>
      <w:marBottom w:val="0"/>
      <w:divBdr>
        <w:top w:val="none" w:sz="0" w:space="0" w:color="auto"/>
        <w:left w:val="none" w:sz="0" w:space="0" w:color="auto"/>
        <w:bottom w:val="none" w:sz="0" w:space="0" w:color="auto"/>
        <w:right w:val="none" w:sz="0" w:space="0" w:color="auto"/>
      </w:divBdr>
    </w:div>
    <w:div w:id="1588224340">
      <w:bodyDiv w:val="1"/>
      <w:marLeft w:val="0"/>
      <w:marRight w:val="0"/>
      <w:marTop w:val="0"/>
      <w:marBottom w:val="0"/>
      <w:divBdr>
        <w:top w:val="none" w:sz="0" w:space="0" w:color="auto"/>
        <w:left w:val="none" w:sz="0" w:space="0" w:color="auto"/>
        <w:bottom w:val="none" w:sz="0" w:space="0" w:color="auto"/>
        <w:right w:val="none" w:sz="0" w:space="0" w:color="auto"/>
      </w:divBdr>
    </w:div>
    <w:div w:id="1588224929">
      <w:bodyDiv w:val="1"/>
      <w:marLeft w:val="0"/>
      <w:marRight w:val="0"/>
      <w:marTop w:val="0"/>
      <w:marBottom w:val="0"/>
      <w:divBdr>
        <w:top w:val="none" w:sz="0" w:space="0" w:color="auto"/>
        <w:left w:val="none" w:sz="0" w:space="0" w:color="auto"/>
        <w:bottom w:val="none" w:sz="0" w:space="0" w:color="auto"/>
        <w:right w:val="none" w:sz="0" w:space="0" w:color="auto"/>
      </w:divBdr>
    </w:div>
    <w:div w:id="1588265072">
      <w:bodyDiv w:val="1"/>
      <w:marLeft w:val="0"/>
      <w:marRight w:val="0"/>
      <w:marTop w:val="0"/>
      <w:marBottom w:val="0"/>
      <w:divBdr>
        <w:top w:val="none" w:sz="0" w:space="0" w:color="auto"/>
        <w:left w:val="none" w:sz="0" w:space="0" w:color="auto"/>
        <w:bottom w:val="none" w:sz="0" w:space="0" w:color="auto"/>
        <w:right w:val="none" w:sz="0" w:space="0" w:color="auto"/>
      </w:divBdr>
    </w:div>
    <w:div w:id="1588272904">
      <w:bodyDiv w:val="1"/>
      <w:marLeft w:val="0"/>
      <w:marRight w:val="0"/>
      <w:marTop w:val="0"/>
      <w:marBottom w:val="0"/>
      <w:divBdr>
        <w:top w:val="none" w:sz="0" w:space="0" w:color="auto"/>
        <w:left w:val="none" w:sz="0" w:space="0" w:color="auto"/>
        <w:bottom w:val="none" w:sz="0" w:space="0" w:color="auto"/>
        <w:right w:val="none" w:sz="0" w:space="0" w:color="auto"/>
      </w:divBdr>
    </w:div>
    <w:div w:id="1588348488">
      <w:bodyDiv w:val="1"/>
      <w:marLeft w:val="0"/>
      <w:marRight w:val="0"/>
      <w:marTop w:val="0"/>
      <w:marBottom w:val="0"/>
      <w:divBdr>
        <w:top w:val="none" w:sz="0" w:space="0" w:color="auto"/>
        <w:left w:val="none" w:sz="0" w:space="0" w:color="auto"/>
        <w:bottom w:val="none" w:sz="0" w:space="0" w:color="auto"/>
        <w:right w:val="none" w:sz="0" w:space="0" w:color="auto"/>
      </w:divBdr>
    </w:div>
    <w:div w:id="1588348806">
      <w:bodyDiv w:val="1"/>
      <w:marLeft w:val="0"/>
      <w:marRight w:val="0"/>
      <w:marTop w:val="0"/>
      <w:marBottom w:val="0"/>
      <w:divBdr>
        <w:top w:val="none" w:sz="0" w:space="0" w:color="auto"/>
        <w:left w:val="none" w:sz="0" w:space="0" w:color="auto"/>
        <w:bottom w:val="none" w:sz="0" w:space="0" w:color="auto"/>
        <w:right w:val="none" w:sz="0" w:space="0" w:color="auto"/>
      </w:divBdr>
    </w:div>
    <w:div w:id="1588418177">
      <w:bodyDiv w:val="1"/>
      <w:marLeft w:val="0"/>
      <w:marRight w:val="0"/>
      <w:marTop w:val="0"/>
      <w:marBottom w:val="0"/>
      <w:divBdr>
        <w:top w:val="none" w:sz="0" w:space="0" w:color="auto"/>
        <w:left w:val="none" w:sz="0" w:space="0" w:color="auto"/>
        <w:bottom w:val="none" w:sz="0" w:space="0" w:color="auto"/>
        <w:right w:val="none" w:sz="0" w:space="0" w:color="auto"/>
      </w:divBdr>
    </w:div>
    <w:div w:id="1588462421">
      <w:bodyDiv w:val="1"/>
      <w:marLeft w:val="0"/>
      <w:marRight w:val="0"/>
      <w:marTop w:val="0"/>
      <w:marBottom w:val="0"/>
      <w:divBdr>
        <w:top w:val="none" w:sz="0" w:space="0" w:color="auto"/>
        <w:left w:val="none" w:sz="0" w:space="0" w:color="auto"/>
        <w:bottom w:val="none" w:sz="0" w:space="0" w:color="auto"/>
        <w:right w:val="none" w:sz="0" w:space="0" w:color="auto"/>
      </w:divBdr>
    </w:div>
    <w:div w:id="1588492741">
      <w:bodyDiv w:val="1"/>
      <w:marLeft w:val="0"/>
      <w:marRight w:val="0"/>
      <w:marTop w:val="0"/>
      <w:marBottom w:val="0"/>
      <w:divBdr>
        <w:top w:val="none" w:sz="0" w:space="0" w:color="auto"/>
        <w:left w:val="none" w:sz="0" w:space="0" w:color="auto"/>
        <w:bottom w:val="none" w:sz="0" w:space="0" w:color="auto"/>
        <w:right w:val="none" w:sz="0" w:space="0" w:color="auto"/>
      </w:divBdr>
    </w:div>
    <w:div w:id="1588537873">
      <w:bodyDiv w:val="1"/>
      <w:marLeft w:val="0"/>
      <w:marRight w:val="0"/>
      <w:marTop w:val="0"/>
      <w:marBottom w:val="0"/>
      <w:divBdr>
        <w:top w:val="none" w:sz="0" w:space="0" w:color="auto"/>
        <w:left w:val="none" w:sz="0" w:space="0" w:color="auto"/>
        <w:bottom w:val="none" w:sz="0" w:space="0" w:color="auto"/>
        <w:right w:val="none" w:sz="0" w:space="0" w:color="auto"/>
      </w:divBdr>
    </w:div>
    <w:div w:id="1588658738">
      <w:bodyDiv w:val="1"/>
      <w:marLeft w:val="0"/>
      <w:marRight w:val="0"/>
      <w:marTop w:val="0"/>
      <w:marBottom w:val="0"/>
      <w:divBdr>
        <w:top w:val="none" w:sz="0" w:space="0" w:color="auto"/>
        <w:left w:val="none" w:sz="0" w:space="0" w:color="auto"/>
        <w:bottom w:val="none" w:sz="0" w:space="0" w:color="auto"/>
        <w:right w:val="none" w:sz="0" w:space="0" w:color="auto"/>
      </w:divBdr>
    </w:div>
    <w:div w:id="1588689458">
      <w:bodyDiv w:val="1"/>
      <w:marLeft w:val="0"/>
      <w:marRight w:val="0"/>
      <w:marTop w:val="0"/>
      <w:marBottom w:val="0"/>
      <w:divBdr>
        <w:top w:val="none" w:sz="0" w:space="0" w:color="auto"/>
        <w:left w:val="none" w:sz="0" w:space="0" w:color="auto"/>
        <w:bottom w:val="none" w:sz="0" w:space="0" w:color="auto"/>
        <w:right w:val="none" w:sz="0" w:space="0" w:color="auto"/>
      </w:divBdr>
    </w:div>
    <w:div w:id="1588922577">
      <w:bodyDiv w:val="1"/>
      <w:marLeft w:val="0"/>
      <w:marRight w:val="0"/>
      <w:marTop w:val="0"/>
      <w:marBottom w:val="0"/>
      <w:divBdr>
        <w:top w:val="none" w:sz="0" w:space="0" w:color="auto"/>
        <w:left w:val="none" w:sz="0" w:space="0" w:color="auto"/>
        <w:bottom w:val="none" w:sz="0" w:space="0" w:color="auto"/>
        <w:right w:val="none" w:sz="0" w:space="0" w:color="auto"/>
      </w:divBdr>
    </w:div>
    <w:div w:id="1588924751">
      <w:bodyDiv w:val="1"/>
      <w:marLeft w:val="0"/>
      <w:marRight w:val="0"/>
      <w:marTop w:val="0"/>
      <w:marBottom w:val="0"/>
      <w:divBdr>
        <w:top w:val="none" w:sz="0" w:space="0" w:color="auto"/>
        <w:left w:val="none" w:sz="0" w:space="0" w:color="auto"/>
        <w:bottom w:val="none" w:sz="0" w:space="0" w:color="auto"/>
        <w:right w:val="none" w:sz="0" w:space="0" w:color="auto"/>
      </w:divBdr>
    </w:div>
    <w:div w:id="1589195561">
      <w:bodyDiv w:val="1"/>
      <w:marLeft w:val="0"/>
      <w:marRight w:val="0"/>
      <w:marTop w:val="0"/>
      <w:marBottom w:val="0"/>
      <w:divBdr>
        <w:top w:val="none" w:sz="0" w:space="0" w:color="auto"/>
        <w:left w:val="none" w:sz="0" w:space="0" w:color="auto"/>
        <w:bottom w:val="none" w:sz="0" w:space="0" w:color="auto"/>
        <w:right w:val="none" w:sz="0" w:space="0" w:color="auto"/>
      </w:divBdr>
    </w:div>
    <w:div w:id="1589343709">
      <w:bodyDiv w:val="1"/>
      <w:marLeft w:val="0"/>
      <w:marRight w:val="0"/>
      <w:marTop w:val="0"/>
      <w:marBottom w:val="0"/>
      <w:divBdr>
        <w:top w:val="none" w:sz="0" w:space="0" w:color="auto"/>
        <w:left w:val="none" w:sz="0" w:space="0" w:color="auto"/>
        <w:bottom w:val="none" w:sz="0" w:space="0" w:color="auto"/>
        <w:right w:val="none" w:sz="0" w:space="0" w:color="auto"/>
      </w:divBdr>
    </w:div>
    <w:div w:id="1589383377">
      <w:bodyDiv w:val="1"/>
      <w:marLeft w:val="0"/>
      <w:marRight w:val="0"/>
      <w:marTop w:val="0"/>
      <w:marBottom w:val="0"/>
      <w:divBdr>
        <w:top w:val="none" w:sz="0" w:space="0" w:color="auto"/>
        <w:left w:val="none" w:sz="0" w:space="0" w:color="auto"/>
        <w:bottom w:val="none" w:sz="0" w:space="0" w:color="auto"/>
        <w:right w:val="none" w:sz="0" w:space="0" w:color="auto"/>
      </w:divBdr>
    </w:div>
    <w:div w:id="1589383590">
      <w:bodyDiv w:val="1"/>
      <w:marLeft w:val="0"/>
      <w:marRight w:val="0"/>
      <w:marTop w:val="0"/>
      <w:marBottom w:val="0"/>
      <w:divBdr>
        <w:top w:val="none" w:sz="0" w:space="0" w:color="auto"/>
        <w:left w:val="none" w:sz="0" w:space="0" w:color="auto"/>
        <w:bottom w:val="none" w:sz="0" w:space="0" w:color="auto"/>
        <w:right w:val="none" w:sz="0" w:space="0" w:color="auto"/>
      </w:divBdr>
    </w:div>
    <w:div w:id="1589533238">
      <w:bodyDiv w:val="1"/>
      <w:marLeft w:val="0"/>
      <w:marRight w:val="0"/>
      <w:marTop w:val="0"/>
      <w:marBottom w:val="0"/>
      <w:divBdr>
        <w:top w:val="none" w:sz="0" w:space="0" w:color="auto"/>
        <w:left w:val="none" w:sz="0" w:space="0" w:color="auto"/>
        <w:bottom w:val="none" w:sz="0" w:space="0" w:color="auto"/>
        <w:right w:val="none" w:sz="0" w:space="0" w:color="auto"/>
      </w:divBdr>
    </w:div>
    <w:div w:id="1589535676">
      <w:bodyDiv w:val="1"/>
      <w:marLeft w:val="0"/>
      <w:marRight w:val="0"/>
      <w:marTop w:val="0"/>
      <w:marBottom w:val="0"/>
      <w:divBdr>
        <w:top w:val="none" w:sz="0" w:space="0" w:color="auto"/>
        <w:left w:val="none" w:sz="0" w:space="0" w:color="auto"/>
        <w:bottom w:val="none" w:sz="0" w:space="0" w:color="auto"/>
        <w:right w:val="none" w:sz="0" w:space="0" w:color="auto"/>
      </w:divBdr>
    </w:div>
    <w:div w:id="1589535783">
      <w:bodyDiv w:val="1"/>
      <w:marLeft w:val="0"/>
      <w:marRight w:val="0"/>
      <w:marTop w:val="0"/>
      <w:marBottom w:val="0"/>
      <w:divBdr>
        <w:top w:val="none" w:sz="0" w:space="0" w:color="auto"/>
        <w:left w:val="none" w:sz="0" w:space="0" w:color="auto"/>
        <w:bottom w:val="none" w:sz="0" w:space="0" w:color="auto"/>
        <w:right w:val="none" w:sz="0" w:space="0" w:color="auto"/>
      </w:divBdr>
    </w:div>
    <w:div w:id="1589581562">
      <w:bodyDiv w:val="1"/>
      <w:marLeft w:val="0"/>
      <w:marRight w:val="0"/>
      <w:marTop w:val="0"/>
      <w:marBottom w:val="0"/>
      <w:divBdr>
        <w:top w:val="none" w:sz="0" w:space="0" w:color="auto"/>
        <w:left w:val="none" w:sz="0" w:space="0" w:color="auto"/>
        <w:bottom w:val="none" w:sz="0" w:space="0" w:color="auto"/>
        <w:right w:val="none" w:sz="0" w:space="0" w:color="auto"/>
      </w:divBdr>
    </w:div>
    <w:div w:id="1589607743">
      <w:bodyDiv w:val="1"/>
      <w:marLeft w:val="0"/>
      <w:marRight w:val="0"/>
      <w:marTop w:val="0"/>
      <w:marBottom w:val="0"/>
      <w:divBdr>
        <w:top w:val="none" w:sz="0" w:space="0" w:color="auto"/>
        <w:left w:val="none" w:sz="0" w:space="0" w:color="auto"/>
        <w:bottom w:val="none" w:sz="0" w:space="0" w:color="auto"/>
        <w:right w:val="none" w:sz="0" w:space="0" w:color="auto"/>
      </w:divBdr>
    </w:div>
    <w:div w:id="1589656384">
      <w:bodyDiv w:val="1"/>
      <w:marLeft w:val="0"/>
      <w:marRight w:val="0"/>
      <w:marTop w:val="0"/>
      <w:marBottom w:val="0"/>
      <w:divBdr>
        <w:top w:val="none" w:sz="0" w:space="0" w:color="auto"/>
        <w:left w:val="none" w:sz="0" w:space="0" w:color="auto"/>
        <w:bottom w:val="none" w:sz="0" w:space="0" w:color="auto"/>
        <w:right w:val="none" w:sz="0" w:space="0" w:color="auto"/>
      </w:divBdr>
    </w:div>
    <w:div w:id="1589659276">
      <w:bodyDiv w:val="1"/>
      <w:marLeft w:val="0"/>
      <w:marRight w:val="0"/>
      <w:marTop w:val="0"/>
      <w:marBottom w:val="0"/>
      <w:divBdr>
        <w:top w:val="none" w:sz="0" w:space="0" w:color="auto"/>
        <w:left w:val="none" w:sz="0" w:space="0" w:color="auto"/>
        <w:bottom w:val="none" w:sz="0" w:space="0" w:color="auto"/>
        <w:right w:val="none" w:sz="0" w:space="0" w:color="auto"/>
      </w:divBdr>
    </w:div>
    <w:div w:id="1589727552">
      <w:bodyDiv w:val="1"/>
      <w:marLeft w:val="0"/>
      <w:marRight w:val="0"/>
      <w:marTop w:val="0"/>
      <w:marBottom w:val="0"/>
      <w:divBdr>
        <w:top w:val="none" w:sz="0" w:space="0" w:color="auto"/>
        <w:left w:val="none" w:sz="0" w:space="0" w:color="auto"/>
        <w:bottom w:val="none" w:sz="0" w:space="0" w:color="auto"/>
        <w:right w:val="none" w:sz="0" w:space="0" w:color="auto"/>
      </w:divBdr>
    </w:div>
    <w:div w:id="1589803373">
      <w:bodyDiv w:val="1"/>
      <w:marLeft w:val="0"/>
      <w:marRight w:val="0"/>
      <w:marTop w:val="0"/>
      <w:marBottom w:val="0"/>
      <w:divBdr>
        <w:top w:val="none" w:sz="0" w:space="0" w:color="auto"/>
        <w:left w:val="none" w:sz="0" w:space="0" w:color="auto"/>
        <w:bottom w:val="none" w:sz="0" w:space="0" w:color="auto"/>
        <w:right w:val="none" w:sz="0" w:space="0" w:color="auto"/>
      </w:divBdr>
    </w:div>
    <w:div w:id="1589853344">
      <w:bodyDiv w:val="1"/>
      <w:marLeft w:val="0"/>
      <w:marRight w:val="0"/>
      <w:marTop w:val="0"/>
      <w:marBottom w:val="0"/>
      <w:divBdr>
        <w:top w:val="none" w:sz="0" w:space="0" w:color="auto"/>
        <w:left w:val="none" w:sz="0" w:space="0" w:color="auto"/>
        <w:bottom w:val="none" w:sz="0" w:space="0" w:color="auto"/>
        <w:right w:val="none" w:sz="0" w:space="0" w:color="auto"/>
      </w:divBdr>
    </w:div>
    <w:div w:id="1590045722">
      <w:bodyDiv w:val="1"/>
      <w:marLeft w:val="0"/>
      <w:marRight w:val="0"/>
      <w:marTop w:val="0"/>
      <w:marBottom w:val="0"/>
      <w:divBdr>
        <w:top w:val="none" w:sz="0" w:space="0" w:color="auto"/>
        <w:left w:val="none" w:sz="0" w:space="0" w:color="auto"/>
        <w:bottom w:val="none" w:sz="0" w:space="0" w:color="auto"/>
        <w:right w:val="none" w:sz="0" w:space="0" w:color="auto"/>
      </w:divBdr>
    </w:div>
    <w:div w:id="1590117277">
      <w:bodyDiv w:val="1"/>
      <w:marLeft w:val="0"/>
      <w:marRight w:val="0"/>
      <w:marTop w:val="0"/>
      <w:marBottom w:val="0"/>
      <w:divBdr>
        <w:top w:val="none" w:sz="0" w:space="0" w:color="auto"/>
        <w:left w:val="none" w:sz="0" w:space="0" w:color="auto"/>
        <w:bottom w:val="none" w:sz="0" w:space="0" w:color="auto"/>
        <w:right w:val="none" w:sz="0" w:space="0" w:color="auto"/>
      </w:divBdr>
    </w:div>
    <w:div w:id="1590122012">
      <w:bodyDiv w:val="1"/>
      <w:marLeft w:val="0"/>
      <w:marRight w:val="0"/>
      <w:marTop w:val="0"/>
      <w:marBottom w:val="0"/>
      <w:divBdr>
        <w:top w:val="none" w:sz="0" w:space="0" w:color="auto"/>
        <w:left w:val="none" w:sz="0" w:space="0" w:color="auto"/>
        <w:bottom w:val="none" w:sz="0" w:space="0" w:color="auto"/>
        <w:right w:val="none" w:sz="0" w:space="0" w:color="auto"/>
      </w:divBdr>
    </w:div>
    <w:div w:id="1590193880">
      <w:bodyDiv w:val="1"/>
      <w:marLeft w:val="0"/>
      <w:marRight w:val="0"/>
      <w:marTop w:val="0"/>
      <w:marBottom w:val="0"/>
      <w:divBdr>
        <w:top w:val="none" w:sz="0" w:space="0" w:color="auto"/>
        <w:left w:val="none" w:sz="0" w:space="0" w:color="auto"/>
        <w:bottom w:val="none" w:sz="0" w:space="0" w:color="auto"/>
        <w:right w:val="none" w:sz="0" w:space="0" w:color="auto"/>
      </w:divBdr>
    </w:div>
    <w:div w:id="1590236129">
      <w:bodyDiv w:val="1"/>
      <w:marLeft w:val="0"/>
      <w:marRight w:val="0"/>
      <w:marTop w:val="0"/>
      <w:marBottom w:val="0"/>
      <w:divBdr>
        <w:top w:val="none" w:sz="0" w:space="0" w:color="auto"/>
        <w:left w:val="none" w:sz="0" w:space="0" w:color="auto"/>
        <w:bottom w:val="none" w:sz="0" w:space="0" w:color="auto"/>
        <w:right w:val="none" w:sz="0" w:space="0" w:color="auto"/>
      </w:divBdr>
    </w:div>
    <w:div w:id="1590305686">
      <w:bodyDiv w:val="1"/>
      <w:marLeft w:val="0"/>
      <w:marRight w:val="0"/>
      <w:marTop w:val="0"/>
      <w:marBottom w:val="0"/>
      <w:divBdr>
        <w:top w:val="none" w:sz="0" w:space="0" w:color="auto"/>
        <w:left w:val="none" w:sz="0" w:space="0" w:color="auto"/>
        <w:bottom w:val="none" w:sz="0" w:space="0" w:color="auto"/>
        <w:right w:val="none" w:sz="0" w:space="0" w:color="auto"/>
      </w:divBdr>
    </w:div>
    <w:div w:id="1590386826">
      <w:bodyDiv w:val="1"/>
      <w:marLeft w:val="0"/>
      <w:marRight w:val="0"/>
      <w:marTop w:val="0"/>
      <w:marBottom w:val="0"/>
      <w:divBdr>
        <w:top w:val="none" w:sz="0" w:space="0" w:color="auto"/>
        <w:left w:val="none" w:sz="0" w:space="0" w:color="auto"/>
        <w:bottom w:val="none" w:sz="0" w:space="0" w:color="auto"/>
        <w:right w:val="none" w:sz="0" w:space="0" w:color="auto"/>
      </w:divBdr>
    </w:div>
    <w:div w:id="1590389951">
      <w:bodyDiv w:val="1"/>
      <w:marLeft w:val="0"/>
      <w:marRight w:val="0"/>
      <w:marTop w:val="0"/>
      <w:marBottom w:val="0"/>
      <w:divBdr>
        <w:top w:val="none" w:sz="0" w:space="0" w:color="auto"/>
        <w:left w:val="none" w:sz="0" w:space="0" w:color="auto"/>
        <w:bottom w:val="none" w:sz="0" w:space="0" w:color="auto"/>
        <w:right w:val="none" w:sz="0" w:space="0" w:color="auto"/>
      </w:divBdr>
    </w:div>
    <w:div w:id="1590429515">
      <w:bodyDiv w:val="1"/>
      <w:marLeft w:val="0"/>
      <w:marRight w:val="0"/>
      <w:marTop w:val="0"/>
      <w:marBottom w:val="0"/>
      <w:divBdr>
        <w:top w:val="none" w:sz="0" w:space="0" w:color="auto"/>
        <w:left w:val="none" w:sz="0" w:space="0" w:color="auto"/>
        <w:bottom w:val="none" w:sz="0" w:space="0" w:color="auto"/>
        <w:right w:val="none" w:sz="0" w:space="0" w:color="auto"/>
      </w:divBdr>
    </w:div>
    <w:div w:id="1590430781">
      <w:bodyDiv w:val="1"/>
      <w:marLeft w:val="0"/>
      <w:marRight w:val="0"/>
      <w:marTop w:val="0"/>
      <w:marBottom w:val="0"/>
      <w:divBdr>
        <w:top w:val="none" w:sz="0" w:space="0" w:color="auto"/>
        <w:left w:val="none" w:sz="0" w:space="0" w:color="auto"/>
        <w:bottom w:val="none" w:sz="0" w:space="0" w:color="auto"/>
        <w:right w:val="none" w:sz="0" w:space="0" w:color="auto"/>
      </w:divBdr>
    </w:div>
    <w:div w:id="1590432230">
      <w:bodyDiv w:val="1"/>
      <w:marLeft w:val="0"/>
      <w:marRight w:val="0"/>
      <w:marTop w:val="0"/>
      <w:marBottom w:val="0"/>
      <w:divBdr>
        <w:top w:val="none" w:sz="0" w:space="0" w:color="auto"/>
        <w:left w:val="none" w:sz="0" w:space="0" w:color="auto"/>
        <w:bottom w:val="none" w:sz="0" w:space="0" w:color="auto"/>
        <w:right w:val="none" w:sz="0" w:space="0" w:color="auto"/>
      </w:divBdr>
    </w:div>
    <w:div w:id="1590457082">
      <w:bodyDiv w:val="1"/>
      <w:marLeft w:val="0"/>
      <w:marRight w:val="0"/>
      <w:marTop w:val="0"/>
      <w:marBottom w:val="0"/>
      <w:divBdr>
        <w:top w:val="none" w:sz="0" w:space="0" w:color="auto"/>
        <w:left w:val="none" w:sz="0" w:space="0" w:color="auto"/>
        <w:bottom w:val="none" w:sz="0" w:space="0" w:color="auto"/>
        <w:right w:val="none" w:sz="0" w:space="0" w:color="auto"/>
      </w:divBdr>
    </w:div>
    <w:div w:id="1590500127">
      <w:bodyDiv w:val="1"/>
      <w:marLeft w:val="0"/>
      <w:marRight w:val="0"/>
      <w:marTop w:val="0"/>
      <w:marBottom w:val="0"/>
      <w:divBdr>
        <w:top w:val="none" w:sz="0" w:space="0" w:color="auto"/>
        <w:left w:val="none" w:sz="0" w:space="0" w:color="auto"/>
        <w:bottom w:val="none" w:sz="0" w:space="0" w:color="auto"/>
        <w:right w:val="none" w:sz="0" w:space="0" w:color="auto"/>
      </w:divBdr>
    </w:div>
    <w:div w:id="1590580544">
      <w:bodyDiv w:val="1"/>
      <w:marLeft w:val="0"/>
      <w:marRight w:val="0"/>
      <w:marTop w:val="0"/>
      <w:marBottom w:val="0"/>
      <w:divBdr>
        <w:top w:val="none" w:sz="0" w:space="0" w:color="auto"/>
        <w:left w:val="none" w:sz="0" w:space="0" w:color="auto"/>
        <w:bottom w:val="none" w:sz="0" w:space="0" w:color="auto"/>
        <w:right w:val="none" w:sz="0" w:space="0" w:color="auto"/>
      </w:divBdr>
    </w:div>
    <w:div w:id="1590626324">
      <w:bodyDiv w:val="1"/>
      <w:marLeft w:val="0"/>
      <w:marRight w:val="0"/>
      <w:marTop w:val="0"/>
      <w:marBottom w:val="0"/>
      <w:divBdr>
        <w:top w:val="none" w:sz="0" w:space="0" w:color="auto"/>
        <w:left w:val="none" w:sz="0" w:space="0" w:color="auto"/>
        <w:bottom w:val="none" w:sz="0" w:space="0" w:color="auto"/>
        <w:right w:val="none" w:sz="0" w:space="0" w:color="auto"/>
      </w:divBdr>
    </w:div>
    <w:div w:id="1590693178">
      <w:bodyDiv w:val="1"/>
      <w:marLeft w:val="0"/>
      <w:marRight w:val="0"/>
      <w:marTop w:val="0"/>
      <w:marBottom w:val="0"/>
      <w:divBdr>
        <w:top w:val="none" w:sz="0" w:space="0" w:color="auto"/>
        <w:left w:val="none" w:sz="0" w:space="0" w:color="auto"/>
        <w:bottom w:val="none" w:sz="0" w:space="0" w:color="auto"/>
        <w:right w:val="none" w:sz="0" w:space="0" w:color="auto"/>
      </w:divBdr>
    </w:div>
    <w:div w:id="1590698573">
      <w:bodyDiv w:val="1"/>
      <w:marLeft w:val="0"/>
      <w:marRight w:val="0"/>
      <w:marTop w:val="0"/>
      <w:marBottom w:val="0"/>
      <w:divBdr>
        <w:top w:val="none" w:sz="0" w:space="0" w:color="auto"/>
        <w:left w:val="none" w:sz="0" w:space="0" w:color="auto"/>
        <w:bottom w:val="none" w:sz="0" w:space="0" w:color="auto"/>
        <w:right w:val="none" w:sz="0" w:space="0" w:color="auto"/>
      </w:divBdr>
    </w:div>
    <w:div w:id="1590842857">
      <w:bodyDiv w:val="1"/>
      <w:marLeft w:val="0"/>
      <w:marRight w:val="0"/>
      <w:marTop w:val="0"/>
      <w:marBottom w:val="0"/>
      <w:divBdr>
        <w:top w:val="none" w:sz="0" w:space="0" w:color="auto"/>
        <w:left w:val="none" w:sz="0" w:space="0" w:color="auto"/>
        <w:bottom w:val="none" w:sz="0" w:space="0" w:color="auto"/>
        <w:right w:val="none" w:sz="0" w:space="0" w:color="auto"/>
      </w:divBdr>
    </w:div>
    <w:div w:id="1590850626">
      <w:bodyDiv w:val="1"/>
      <w:marLeft w:val="0"/>
      <w:marRight w:val="0"/>
      <w:marTop w:val="0"/>
      <w:marBottom w:val="0"/>
      <w:divBdr>
        <w:top w:val="none" w:sz="0" w:space="0" w:color="auto"/>
        <w:left w:val="none" w:sz="0" w:space="0" w:color="auto"/>
        <w:bottom w:val="none" w:sz="0" w:space="0" w:color="auto"/>
        <w:right w:val="none" w:sz="0" w:space="0" w:color="auto"/>
      </w:divBdr>
    </w:div>
    <w:div w:id="1590962369">
      <w:bodyDiv w:val="1"/>
      <w:marLeft w:val="0"/>
      <w:marRight w:val="0"/>
      <w:marTop w:val="0"/>
      <w:marBottom w:val="0"/>
      <w:divBdr>
        <w:top w:val="none" w:sz="0" w:space="0" w:color="auto"/>
        <w:left w:val="none" w:sz="0" w:space="0" w:color="auto"/>
        <w:bottom w:val="none" w:sz="0" w:space="0" w:color="auto"/>
        <w:right w:val="none" w:sz="0" w:space="0" w:color="auto"/>
      </w:divBdr>
    </w:div>
    <w:div w:id="1590962656">
      <w:bodyDiv w:val="1"/>
      <w:marLeft w:val="0"/>
      <w:marRight w:val="0"/>
      <w:marTop w:val="0"/>
      <w:marBottom w:val="0"/>
      <w:divBdr>
        <w:top w:val="none" w:sz="0" w:space="0" w:color="auto"/>
        <w:left w:val="none" w:sz="0" w:space="0" w:color="auto"/>
        <w:bottom w:val="none" w:sz="0" w:space="0" w:color="auto"/>
        <w:right w:val="none" w:sz="0" w:space="0" w:color="auto"/>
      </w:divBdr>
    </w:div>
    <w:div w:id="1590966505">
      <w:bodyDiv w:val="1"/>
      <w:marLeft w:val="0"/>
      <w:marRight w:val="0"/>
      <w:marTop w:val="0"/>
      <w:marBottom w:val="0"/>
      <w:divBdr>
        <w:top w:val="none" w:sz="0" w:space="0" w:color="auto"/>
        <w:left w:val="none" w:sz="0" w:space="0" w:color="auto"/>
        <w:bottom w:val="none" w:sz="0" w:space="0" w:color="auto"/>
        <w:right w:val="none" w:sz="0" w:space="0" w:color="auto"/>
      </w:divBdr>
    </w:div>
    <w:div w:id="1591036636">
      <w:bodyDiv w:val="1"/>
      <w:marLeft w:val="0"/>
      <w:marRight w:val="0"/>
      <w:marTop w:val="0"/>
      <w:marBottom w:val="0"/>
      <w:divBdr>
        <w:top w:val="none" w:sz="0" w:space="0" w:color="auto"/>
        <w:left w:val="none" w:sz="0" w:space="0" w:color="auto"/>
        <w:bottom w:val="none" w:sz="0" w:space="0" w:color="auto"/>
        <w:right w:val="none" w:sz="0" w:space="0" w:color="auto"/>
      </w:divBdr>
    </w:div>
    <w:div w:id="1591040862">
      <w:bodyDiv w:val="1"/>
      <w:marLeft w:val="0"/>
      <w:marRight w:val="0"/>
      <w:marTop w:val="0"/>
      <w:marBottom w:val="0"/>
      <w:divBdr>
        <w:top w:val="none" w:sz="0" w:space="0" w:color="auto"/>
        <w:left w:val="none" w:sz="0" w:space="0" w:color="auto"/>
        <w:bottom w:val="none" w:sz="0" w:space="0" w:color="auto"/>
        <w:right w:val="none" w:sz="0" w:space="0" w:color="auto"/>
      </w:divBdr>
    </w:div>
    <w:div w:id="1591086392">
      <w:bodyDiv w:val="1"/>
      <w:marLeft w:val="0"/>
      <w:marRight w:val="0"/>
      <w:marTop w:val="0"/>
      <w:marBottom w:val="0"/>
      <w:divBdr>
        <w:top w:val="none" w:sz="0" w:space="0" w:color="auto"/>
        <w:left w:val="none" w:sz="0" w:space="0" w:color="auto"/>
        <w:bottom w:val="none" w:sz="0" w:space="0" w:color="auto"/>
        <w:right w:val="none" w:sz="0" w:space="0" w:color="auto"/>
      </w:divBdr>
    </w:div>
    <w:div w:id="1591112871">
      <w:bodyDiv w:val="1"/>
      <w:marLeft w:val="0"/>
      <w:marRight w:val="0"/>
      <w:marTop w:val="0"/>
      <w:marBottom w:val="0"/>
      <w:divBdr>
        <w:top w:val="none" w:sz="0" w:space="0" w:color="auto"/>
        <w:left w:val="none" w:sz="0" w:space="0" w:color="auto"/>
        <w:bottom w:val="none" w:sz="0" w:space="0" w:color="auto"/>
        <w:right w:val="none" w:sz="0" w:space="0" w:color="auto"/>
      </w:divBdr>
    </w:div>
    <w:div w:id="1591154614">
      <w:bodyDiv w:val="1"/>
      <w:marLeft w:val="0"/>
      <w:marRight w:val="0"/>
      <w:marTop w:val="0"/>
      <w:marBottom w:val="0"/>
      <w:divBdr>
        <w:top w:val="none" w:sz="0" w:space="0" w:color="auto"/>
        <w:left w:val="none" w:sz="0" w:space="0" w:color="auto"/>
        <w:bottom w:val="none" w:sz="0" w:space="0" w:color="auto"/>
        <w:right w:val="none" w:sz="0" w:space="0" w:color="auto"/>
      </w:divBdr>
    </w:div>
    <w:div w:id="1591163416">
      <w:bodyDiv w:val="1"/>
      <w:marLeft w:val="0"/>
      <w:marRight w:val="0"/>
      <w:marTop w:val="0"/>
      <w:marBottom w:val="0"/>
      <w:divBdr>
        <w:top w:val="none" w:sz="0" w:space="0" w:color="auto"/>
        <w:left w:val="none" w:sz="0" w:space="0" w:color="auto"/>
        <w:bottom w:val="none" w:sz="0" w:space="0" w:color="auto"/>
        <w:right w:val="none" w:sz="0" w:space="0" w:color="auto"/>
      </w:divBdr>
    </w:div>
    <w:div w:id="1591232828">
      <w:bodyDiv w:val="1"/>
      <w:marLeft w:val="0"/>
      <w:marRight w:val="0"/>
      <w:marTop w:val="0"/>
      <w:marBottom w:val="0"/>
      <w:divBdr>
        <w:top w:val="none" w:sz="0" w:space="0" w:color="auto"/>
        <w:left w:val="none" w:sz="0" w:space="0" w:color="auto"/>
        <w:bottom w:val="none" w:sz="0" w:space="0" w:color="auto"/>
        <w:right w:val="none" w:sz="0" w:space="0" w:color="auto"/>
      </w:divBdr>
    </w:div>
    <w:div w:id="1591349447">
      <w:bodyDiv w:val="1"/>
      <w:marLeft w:val="0"/>
      <w:marRight w:val="0"/>
      <w:marTop w:val="0"/>
      <w:marBottom w:val="0"/>
      <w:divBdr>
        <w:top w:val="none" w:sz="0" w:space="0" w:color="auto"/>
        <w:left w:val="none" w:sz="0" w:space="0" w:color="auto"/>
        <w:bottom w:val="none" w:sz="0" w:space="0" w:color="auto"/>
        <w:right w:val="none" w:sz="0" w:space="0" w:color="auto"/>
      </w:divBdr>
    </w:div>
    <w:div w:id="1591430480">
      <w:bodyDiv w:val="1"/>
      <w:marLeft w:val="0"/>
      <w:marRight w:val="0"/>
      <w:marTop w:val="0"/>
      <w:marBottom w:val="0"/>
      <w:divBdr>
        <w:top w:val="none" w:sz="0" w:space="0" w:color="auto"/>
        <w:left w:val="none" w:sz="0" w:space="0" w:color="auto"/>
        <w:bottom w:val="none" w:sz="0" w:space="0" w:color="auto"/>
        <w:right w:val="none" w:sz="0" w:space="0" w:color="auto"/>
      </w:divBdr>
    </w:div>
    <w:div w:id="1591546892">
      <w:bodyDiv w:val="1"/>
      <w:marLeft w:val="0"/>
      <w:marRight w:val="0"/>
      <w:marTop w:val="0"/>
      <w:marBottom w:val="0"/>
      <w:divBdr>
        <w:top w:val="none" w:sz="0" w:space="0" w:color="auto"/>
        <w:left w:val="none" w:sz="0" w:space="0" w:color="auto"/>
        <w:bottom w:val="none" w:sz="0" w:space="0" w:color="auto"/>
        <w:right w:val="none" w:sz="0" w:space="0" w:color="auto"/>
      </w:divBdr>
    </w:div>
    <w:div w:id="1591548402">
      <w:bodyDiv w:val="1"/>
      <w:marLeft w:val="0"/>
      <w:marRight w:val="0"/>
      <w:marTop w:val="0"/>
      <w:marBottom w:val="0"/>
      <w:divBdr>
        <w:top w:val="none" w:sz="0" w:space="0" w:color="auto"/>
        <w:left w:val="none" w:sz="0" w:space="0" w:color="auto"/>
        <w:bottom w:val="none" w:sz="0" w:space="0" w:color="auto"/>
        <w:right w:val="none" w:sz="0" w:space="0" w:color="auto"/>
      </w:divBdr>
    </w:div>
    <w:div w:id="1591623480">
      <w:bodyDiv w:val="1"/>
      <w:marLeft w:val="0"/>
      <w:marRight w:val="0"/>
      <w:marTop w:val="0"/>
      <w:marBottom w:val="0"/>
      <w:divBdr>
        <w:top w:val="none" w:sz="0" w:space="0" w:color="auto"/>
        <w:left w:val="none" w:sz="0" w:space="0" w:color="auto"/>
        <w:bottom w:val="none" w:sz="0" w:space="0" w:color="auto"/>
        <w:right w:val="none" w:sz="0" w:space="0" w:color="auto"/>
      </w:divBdr>
    </w:div>
    <w:div w:id="1591694069">
      <w:bodyDiv w:val="1"/>
      <w:marLeft w:val="0"/>
      <w:marRight w:val="0"/>
      <w:marTop w:val="0"/>
      <w:marBottom w:val="0"/>
      <w:divBdr>
        <w:top w:val="none" w:sz="0" w:space="0" w:color="auto"/>
        <w:left w:val="none" w:sz="0" w:space="0" w:color="auto"/>
        <w:bottom w:val="none" w:sz="0" w:space="0" w:color="auto"/>
        <w:right w:val="none" w:sz="0" w:space="0" w:color="auto"/>
      </w:divBdr>
    </w:div>
    <w:div w:id="1591740972">
      <w:bodyDiv w:val="1"/>
      <w:marLeft w:val="0"/>
      <w:marRight w:val="0"/>
      <w:marTop w:val="0"/>
      <w:marBottom w:val="0"/>
      <w:divBdr>
        <w:top w:val="none" w:sz="0" w:space="0" w:color="auto"/>
        <w:left w:val="none" w:sz="0" w:space="0" w:color="auto"/>
        <w:bottom w:val="none" w:sz="0" w:space="0" w:color="auto"/>
        <w:right w:val="none" w:sz="0" w:space="0" w:color="auto"/>
      </w:divBdr>
    </w:div>
    <w:div w:id="1591742799">
      <w:bodyDiv w:val="1"/>
      <w:marLeft w:val="0"/>
      <w:marRight w:val="0"/>
      <w:marTop w:val="0"/>
      <w:marBottom w:val="0"/>
      <w:divBdr>
        <w:top w:val="none" w:sz="0" w:space="0" w:color="auto"/>
        <w:left w:val="none" w:sz="0" w:space="0" w:color="auto"/>
        <w:bottom w:val="none" w:sz="0" w:space="0" w:color="auto"/>
        <w:right w:val="none" w:sz="0" w:space="0" w:color="auto"/>
      </w:divBdr>
    </w:div>
    <w:div w:id="1591814023">
      <w:bodyDiv w:val="1"/>
      <w:marLeft w:val="0"/>
      <w:marRight w:val="0"/>
      <w:marTop w:val="0"/>
      <w:marBottom w:val="0"/>
      <w:divBdr>
        <w:top w:val="none" w:sz="0" w:space="0" w:color="auto"/>
        <w:left w:val="none" w:sz="0" w:space="0" w:color="auto"/>
        <w:bottom w:val="none" w:sz="0" w:space="0" w:color="auto"/>
        <w:right w:val="none" w:sz="0" w:space="0" w:color="auto"/>
      </w:divBdr>
    </w:div>
    <w:div w:id="1591962186">
      <w:bodyDiv w:val="1"/>
      <w:marLeft w:val="0"/>
      <w:marRight w:val="0"/>
      <w:marTop w:val="0"/>
      <w:marBottom w:val="0"/>
      <w:divBdr>
        <w:top w:val="none" w:sz="0" w:space="0" w:color="auto"/>
        <w:left w:val="none" w:sz="0" w:space="0" w:color="auto"/>
        <w:bottom w:val="none" w:sz="0" w:space="0" w:color="auto"/>
        <w:right w:val="none" w:sz="0" w:space="0" w:color="auto"/>
      </w:divBdr>
    </w:div>
    <w:div w:id="1591965396">
      <w:bodyDiv w:val="1"/>
      <w:marLeft w:val="0"/>
      <w:marRight w:val="0"/>
      <w:marTop w:val="0"/>
      <w:marBottom w:val="0"/>
      <w:divBdr>
        <w:top w:val="none" w:sz="0" w:space="0" w:color="auto"/>
        <w:left w:val="none" w:sz="0" w:space="0" w:color="auto"/>
        <w:bottom w:val="none" w:sz="0" w:space="0" w:color="auto"/>
        <w:right w:val="none" w:sz="0" w:space="0" w:color="auto"/>
      </w:divBdr>
    </w:div>
    <w:div w:id="1592078342">
      <w:bodyDiv w:val="1"/>
      <w:marLeft w:val="0"/>
      <w:marRight w:val="0"/>
      <w:marTop w:val="0"/>
      <w:marBottom w:val="0"/>
      <w:divBdr>
        <w:top w:val="none" w:sz="0" w:space="0" w:color="auto"/>
        <w:left w:val="none" w:sz="0" w:space="0" w:color="auto"/>
        <w:bottom w:val="none" w:sz="0" w:space="0" w:color="auto"/>
        <w:right w:val="none" w:sz="0" w:space="0" w:color="auto"/>
      </w:divBdr>
    </w:div>
    <w:div w:id="1592081115">
      <w:bodyDiv w:val="1"/>
      <w:marLeft w:val="0"/>
      <w:marRight w:val="0"/>
      <w:marTop w:val="0"/>
      <w:marBottom w:val="0"/>
      <w:divBdr>
        <w:top w:val="none" w:sz="0" w:space="0" w:color="auto"/>
        <w:left w:val="none" w:sz="0" w:space="0" w:color="auto"/>
        <w:bottom w:val="none" w:sz="0" w:space="0" w:color="auto"/>
        <w:right w:val="none" w:sz="0" w:space="0" w:color="auto"/>
      </w:divBdr>
    </w:div>
    <w:div w:id="1592160127">
      <w:bodyDiv w:val="1"/>
      <w:marLeft w:val="0"/>
      <w:marRight w:val="0"/>
      <w:marTop w:val="0"/>
      <w:marBottom w:val="0"/>
      <w:divBdr>
        <w:top w:val="none" w:sz="0" w:space="0" w:color="auto"/>
        <w:left w:val="none" w:sz="0" w:space="0" w:color="auto"/>
        <w:bottom w:val="none" w:sz="0" w:space="0" w:color="auto"/>
        <w:right w:val="none" w:sz="0" w:space="0" w:color="auto"/>
      </w:divBdr>
    </w:div>
    <w:div w:id="1592198015">
      <w:bodyDiv w:val="1"/>
      <w:marLeft w:val="0"/>
      <w:marRight w:val="0"/>
      <w:marTop w:val="0"/>
      <w:marBottom w:val="0"/>
      <w:divBdr>
        <w:top w:val="none" w:sz="0" w:space="0" w:color="auto"/>
        <w:left w:val="none" w:sz="0" w:space="0" w:color="auto"/>
        <w:bottom w:val="none" w:sz="0" w:space="0" w:color="auto"/>
        <w:right w:val="none" w:sz="0" w:space="0" w:color="auto"/>
      </w:divBdr>
    </w:div>
    <w:div w:id="1592199060">
      <w:bodyDiv w:val="1"/>
      <w:marLeft w:val="0"/>
      <w:marRight w:val="0"/>
      <w:marTop w:val="0"/>
      <w:marBottom w:val="0"/>
      <w:divBdr>
        <w:top w:val="none" w:sz="0" w:space="0" w:color="auto"/>
        <w:left w:val="none" w:sz="0" w:space="0" w:color="auto"/>
        <w:bottom w:val="none" w:sz="0" w:space="0" w:color="auto"/>
        <w:right w:val="none" w:sz="0" w:space="0" w:color="auto"/>
      </w:divBdr>
    </w:div>
    <w:div w:id="1592202276">
      <w:bodyDiv w:val="1"/>
      <w:marLeft w:val="0"/>
      <w:marRight w:val="0"/>
      <w:marTop w:val="0"/>
      <w:marBottom w:val="0"/>
      <w:divBdr>
        <w:top w:val="none" w:sz="0" w:space="0" w:color="auto"/>
        <w:left w:val="none" w:sz="0" w:space="0" w:color="auto"/>
        <w:bottom w:val="none" w:sz="0" w:space="0" w:color="auto"/>
        <w:right w:val="none" w:sz="0" w:space="0" w:color="auto"/>
      </w:divBdr>
    </w:div>
    <w:div w:id="1592277510">
      <w:bodyDiv w:val="1"/>
      <w:marLeft w:val="0"/>
      <w:marRight w:val="0"/>
      <w:marTop w:val="0"/>
      <w:marBottom w:val="0"/>
      <w:divBdr>
        <w:top w:val="none" w:sz="0" w:space="0" w:color="auto"/>
        <w:left w:val="none" w:sz="0" w:space="0" w:color="auto"/>
        <w:bottom w:val="none" w:sz="0" w:space="0" w:color="auto"/>
        <w:right w:val="none" w:sz="0" w:space="0" w:color="auto"/>
      </w:divBdr>
    </w:div>
    <w:div w:id="1592278664">
      <w:bodyDiv w:val="1"/>
      <w:marLeft w:val="0"/>
      <w:marRight w:val="0"/>
      <w:marTop w:val="0"/>
      <w:marBottom w:val="0"/>
      <w:divBdr>
        <w:top w:val="none" w:sz="0" w:space="0" w:color="auto"/>
        <w:left w:val="none" w:sz="0" w:space="0" w:color="auto"/>
        <w:bottom w:val="none" w:sz="0" w:space="0" w:color="auto"/>
        <w:right w:val="none" w:sz="0" w:space="0" w:color="auto"/>
      </w:divBdr>
    </w:div>
    <w:div w:id="1592348095">
      <w:bodyDiv w:val="1"/>
      <w:marLeft w:val="0"/>
      <w:marRight w:val="0"/>
      <w:marTop w:val="0"/>
      <w:marBottom w:val="0"/>
      <w:divBdr>
        <w:top w:val="none" w:sz="0" w:space="0" w:color="auto"/>
        <w:left w:val="none" w:sz="0" w:space="0" w:color="auto"/>
        <w:bottom w:val="none" w:sz="0" w:space="0" w:color="auto"/>
        <w:right w:val="none" w:sz="0" w:space="0" w:color="auto"/>
      </w:divBdr>
    </w:div>
    <w:div w:id="1592396539">
      <w:bodyDiv w:val="1"/>
      <w:marLeft w:val="0"/>
      <w:marRight w:val="0"/>
      <w:marTop w:val="0"/>
      <w:marBottom w:val="0"/>
      <w:divBdr>
        <w:top w:val="none" w:sz="0" w:space="0" w:color="auto"/>
        <w:left w:val="none" w:sz="0" w:space="0" w:color="auto"/>
        <w:bottom w:val="none" w:sz="0" w:space="0" w:color="auto"/>
        <w:right w:val="none" w:sz="0" w:space="0" w:color="auto"/>
      </w:divBdr>
    </w:div>
    <w:div w:id="1592425669">
      <w:bodyDiv w:val="1"/>
      <w:marLeft w:val="0"/>
      <w:marRight w:val="0"/>
      <w:marTop w:val="0"/>
      <w:marBottom w:val="0"/>
      <w:divBdr>
        <w:top w:val="none" w:sz="0" w:space="0" w:color="auto"/>
        <w:left w:val="none" w:sz="0" w:space="0" w:color="auto"/>
        <w:bottom w:val="none" w:sz="0" w:space="0" w:color="auto"/>
        <w:right w:val="none" w:sz="0" w:space="0" w:color="auto"/>
      </w:divBdr>
    </w:div>
    <w:div w:id="1592466091">
      <w:bodyDiv w:val="1"/>
      <w:marLeft w:val="0"/>
      <w:marRight w:val="0"/>
      <w:marTop w:val="0"/>
      <w:marBottom w:val="0"/>
      <w:divBdr>
        <w:top w:val="none" w:sz="0" w:space="0" w:color="auto"/>
        <w:left w:val="none" w:sz="0" w:space="0" w:color="auto"/>
        <w:bottom w:val="none" w:sz="0" w:space="0" w:color="auto"/>
        <w:right w:val="none" w:sz="0" w:space="0" w:color="auto"/>
      </w:divBdr>
    </w:div>
    <w:div w:id="1592591400">
      <w:bodyDiv w:val="1"/>
      <w:marLeft w:val="0"/>
      <w:marRight w:val="0"/>
      <w:marTop w:val="0"/>
      <w:marBottom w:val="0"/>
      <w:divBdr>
        <w:top w:val="none" w:sz="0" w:space="0" w:color="auto"/>
        <w:left w:val="none" w:sz="0" w:space="0" w:color="auto"/>
        <w:bottom w:val="none" w:sz="0" w:space="0" w:color="auto"/>
        <w:right w:val="none" w:sz="0" w:space="0" w:color="auto"/>
      </w:divBdr>
    </w:div>
    <w:div w:id="1592620824">
      <w:bodyDiv w:val="1"/>
      <w:marLeft w:val="0"/>
      <w:marRight w:val="0"/>
      <w:marTop w:val="0"/>
      <w:marBottom w:val="0"/>
      <w:divBdr>
        <w:top w:val="none" w:sz="0" w:space="0" w:color="auto"/>
        <w:left w:val="none" w:sz="0" w:space="0" w:color="auto"/>
        <w:bottom w:val="none" w:sz="0" w:space="0" w:color="auto"/>
        <w:right w:val="none" w:sz="0" w:space="0" w:color="auto"/>
      </w:divBdr>
    </w:div>
    <w:div w:id="1592814036">
      <w:bodyDiv w:val="1"/>
      <w:marLeft w:val="0"/>
      <w:marRight w:val="0"/>
      <w:marTop w:val="0"/>
      <w:marBottom w:val="0"/>
      <w:divBdr>
        <w:top w:val="none" w:sz="0" w:space="0" w:color="auto"/>
        <w:left w:val="none" w:sz="0" w:space="0" w:color="auto"/>
        <w:bottom w:val="none" w:sz="0" w:space="0" w:color="auto"/>
        <w:right w:val="none" w:sz="0" w:space="0" w:color="auto"/>
      </w:divBdr>
    </w:div>
    <w:div w:id="1592856584">
      <w:bodyDiv w:val="1"/>
      <w:marLeft w:val="0"/>
      <w:marRight w:val="0"/>
      <w:marTop w:val="0"/>
      <w:marBottom w:val="0"/>
      <w:divBdr>
        <w:top w:val="none" w:sz="0" w:space="0" w:color="auto"/>
        <w:left w:val="none" w:sz="0" w:space="0" w:color="auto"/>
        <w:bottom w:val="none" w:sz="0" w:space="0" w:color="auto"/>
        <w:right w:val="none" w:sz="0" w:space="0" w:color="auto"/>
      </w:divBdr>
    </w:div>
    <w:div w:id="1592930620">
      <w:bodyDiv w:val="1"/>
      <w:marLeft w:val="0"/>
      <w:marRight w:val="0"/>
      <w:marTop w:val="0"/>
      <w:marBottom w:val="0"/>
      <w:divBdr>
        <w:top w:val="none" w:sz="0" w:space="0" w:color="auto"/>
        <w:left w:val="none" w:sz="0" w:space="0" w:color="auto"/>
        <w:bottom w:val="none" w:sz="0" w:space="0" w:color="auto"/>
        <w:right w:val="none" w:sz="0" w:space="0" w:color="auto"/>
      </w:divBdr>
    </w:div>
    <w:div w:id="1592934470">
      <w:bodyDiv w:val="1"/>
      <w:marLeft w:val="0"/>
      <w:marRight w:val="0"/>
      <w:marTop w:val="0"/>
      <w:marBottom w:val="0"/>
      <w:divBdr>
        <w:top w:val="none" w:sz="0" w:space="0" w:color="auto"/>
        <w:left w:val="none" w:sz="0" w:space="0" w:color="auto"/>
        <w:bottom w:val="none" w:sz="0" w:space="0" w:color="auto"/>
        <w:right w:val="none" w:sz="0" w:space="0" w:color="auto"/>
      </w:divBdr>
    </w:div>
    <w:div w:id="1593201980">
      <w:bodyDiv w:val="1"/>
      <w:marLeft w:val="0"/>
      <w:marRight w:val="0"/>
      <w:marTop w:val="0"/>
      <w:marBottom w:val="0"/>
      <w:divBdr>
        <w:top w:val="none" w:sz="0" w:space="0" w:color="auto"/>
        <w:left w:val="none" w:sz="0" w:space="0" w:color="auto"/>
        <w:bottom w:val="none" w:sz="0" w:space="0" w:color="auto"/>
        <w:right w:val="none" w:sz="0" w:space="0" w:color="auto"/>
      </w:divBdr>
    </w:div>
    <w:div w:id="1593271738">
      <w:bodyDiv w:val="1"/>
      <w:marLeft w:val="0"/>
      <w:marRight w:val="0"/>
      <w:marTop w:val="0"/>
      <w:marBottom w:val="0"/>
      <w:divBdr>
        <w:top w:val="none" w:sz="0" w:space="0" w:color="auto"/>
        <w:left w:val="none" w:sz="0" w:space="0" w:color="auto"/>
        <w:bottom w:val="none" w:sz="0" w:space="0" w:color="auto"/>
        <w:right w:val="none" w:sz="0" w:space="0" w:color="auto"/>
      </w:divBdr>
    </w:div>
    <w:div w:id="1593319606">
      <w:bodyDiv w:val="1"/>
      <w:marLeft w:val="0"/>
      <w:marRight w:val="0"/>
      <w:marTop w:val="0"/>
      <w:marBottom w:val="0"/>
      <w:divBdr>
        <w:top w:val="none" w:sz="0" w:space="0" w:color="auto"/>
        <w:left w:val="none" w:sz="0" w:space="0" w:color="auto"/>
        <w:bottom w:val="none" w:sz="0" w:space="0" w:color="auto"/>
        <w:right w:val="none" w:sz="0" w:space="0" w:color="auto"/>
      </w:divBdr>
    </w:div>
    <w:div w:id="1593585359">
      <w:bodyDiv w:val="1"/>
      <w:marLeft w:val="0"/>
      <w:marRight w:val="0"/>
      <w:marTop w:val="0"/>
      <w:marBottom w:val="0"/>
      <w:divBdr>
        <w:top w:val="none" w:sz="0" w:space="0" w:color="auto"/>
        <w:left w:val="none" w:sz="0" w:space="0" w:color="auto"/>
        <w:bottom w:val="none" w:sz="0" w:space="0" w:color="auto"/>
        <w:right w:val="none" w:sz="0" w:space="0" w:color="auto"/>
      </w:divBdr>
    </w:div>
    <w:div w:id="1593707761">
      <w:bodyDiv w:val="1"/>
      <w:marLeft w:val="0"/>
      <w:marRight w:val="0"/>
      <w:marTop w:val="0"/>
      <w:marBottom w:val="0"/>
      <w:divBdr>
        <w:top w:val="none" w:sz="0" w:space="0" w:color="auto"/>
        <w:left w:val="none" w:sz="0" w:space="0" w:color="auto"/>
        <w:bottom w:val="none" w:sz="0" w:space="0" w:color="auto"/>
        <w:right w:val="none" w:sz="0" w:space="0" w:color="auto"/>
      </w:divBdr>
    </w:div>
    <w:div w:id="1593856549">
      <w:bodyDiv w:val="1"/>
      <w:marLeft w:val="0"/>
      <w:marRight w:val="0"/>
      <w:marTop w:val="0"/>
      <w:marBottom w:val="0"/>
      <w:divBdr>
        <w:top w:val="none" w:sz="0" w:space="0" w:color="auto"/>
        <w:left w:val="none" w:sz="0" w:space="0" w:color="auto"/>
        <w:bottom w:val="none" w:sz="0" w:space="0" w:color="auto"/>
        <w:right w:val="none" w:sz="0" w:space="0" w:color="auto"/>
      </w:divBdr>
    </w:div>
    <w:div w:id="1593971816">
      <w:bodyDiv w:val="1"/>
      <w:marLeft w:val="0"/>
      <w:marRight w:val="0"/>
      <w:marTop w:val="0"/>
      <w:marBottom w:val="0"/>
      <w:divBdr>
        <w:top w:val="none" w:sz="0" w:space="0" w:color="auto"/>
        <w:left w:val="none" w:sz="0" w:space="0" w:color="auto"/>
        <w:bottom w:val="none" w:sz="0" w:space="0" w:color="auto"/>
        <w:right w:val="none" w:sz="0" w:space="0" w:color="auto"/>
      </w:divBdr>
    </w:div>
    <w:div w:id="1594044092">
      <w:bodyDiv w:val="1"/>
      <w:marLeft w:val="0"/>
      <w:marRight w:val="0"/>
      <w:marTop w:val="0"/>
      <w:marBottom w:val="0"/>
      <w:divBdr>
        <w:top w:val="none" w:sz="0" w:space="0" w:color="auto"/>
        <w:left w:val="none" w:sz="0" w:space="0" w:color="auto"/>
        <w:bottom w:val="none" w:sz="0" w:space="0" w:color="auto"/>
        <w:right w:val="none" w:sz="0" w:space="0" w:color="auto"/>
      </w:divBdr>
    </w:div>
    <w:div w:id="1594194645">
      <w:bodyDiv w:val="1"/>
      <w:marLeft w:val="0"/>
      <w:marRight w:val="0"/>
      <w:marTop w:val="0"/>
      <w:marBottom w:val="0"/>
      <w:divBdr>
        <w:top w:val="none" w:sz="0" w:space="0" w:color="auto"/>
        <w:left w:val="none" w:sz="0" w:space="0" w:color="auto"/>
        <w:bottom w:val="none" w:sz="0" w:space="0" w:color="auto"/>
        <w:right w:val="none" w:sz="0" w:space="0" w:color="auto"/>
      </w:divBdr>
    </w:div>
    <w:div w:id="1594238301">
      <w:bodyDiv w:val="1"/>
      <w:marLeft w:val="0"/>
      <w:marRight w:val="0"/>
      <w:marTop w:val="0"/>
      <w:marBottom w:val="0"/>
      <w:divBdr>
        <w:top w:val="none" w:sz="0" w:space="0" w:color="auto"/>
        <w:left w:val="none" w:sz="0" w:space="0" w:color="auto"/>
        <w:bottom w:val="none" w:sz="0" w:space="0" w:color="auto"/>
        <w:right w:val="none" w:sz="0" w:space="0" w:color="auto"/>
      </w:divBdr>
    </w:div>
    <w:div w:id="1594314604">
      <w:bodyDiv w:val="1"/>
      <w:marLeft w:val="0"/>
      <w:marRight w:val="0"/>
      <w:marTop w:val="0"/>
      <w:marBottom w:val="0"/>
      <w:divBdr>
        <w:top w:val="none" w:sz="0" w:space="0" w:color="auto"/>
        <w:left w:val="none" w:sz="0" w:space="0" w:color="auto"/>
        <w:bottom w:val="none" w:sz="0" w:space="0" w:color="auto"/>
        <w:right w:val="none" w:sz="0" w:space="0" w:color="auto"/>
      </w:divBdr>
    </w:div>
    <w:div w:id="1594318974">
      <w:bodyDiv w:val="1"/>
      <w:marLeft w:val="0"/>
      <w:marRight w:val="0"/>
      <w:marTop w:val="0"/>
      <w:marBottom w:val="0"/>
      <w:divBdr>
        <w:top w:val="none" w:sz="0" w:space="0" w:color="auto"/>
        <w:left w:val="none" w:sz="0" w:space="0" w:color="auto"/>
        <w:bottom w:val="none" w:sz="0" w:space="0" w:color="auto"/>
        <w:right w:val="none" w:sz="0" w:space="0" w:color="auto"/>
      </w:divBdr>
    </w:div>
    <w:div w:id="1594320420">
      <w:bodyDiv w:val="1"/>
      <w:marLeft w:val="0"/>
      <w:marRight w:val="0"/>
      <w:marTop w:val="0"/>
      <w:marBottom w:val="0"/>
      <w:divBdr>
        <w:top w:val="none" w:sz="0" w:space="0" w:color="auto"/>
        <w:left w:val="none" w:sz="0" w:space="0" w:color="auto"/>
        <w:bottom w:val="none" w:sz="0" w:space="0" w:color="auto"/>
        <w:right w:val="none" w:sz="0" w:space="0" w:color="auto"/>
      </w:divBdr>
    </w:div>
    <w:div w:id="1594322195">
      <w:bodyDiv w:val="1"/>
      <w:marLeft w:val="0"/>
      <w:marRight w:val="0"/>
      <w:marTop w:val="0"/>
      <w:marBottom w:val="0"/>
      <w:divBdr>
        <w:top w:val="none" w:sz="0" w:space="0" w:color="auto"/>
        <w:left w:val="none" w:sz="0" w:space="0" w:color="auto"/>
        <w:bottom w:val="none" w:sz="0" w:space="0" w:color="auto"/>
        <w:right w:val="none" w:sz="0" w:space="0" w:color="auto"/>
      </w:divBdr>
    </w:div>
    <w:div w:id="1594433108">
      <w:bodyDiv w:val="1"/>
      <w:marLeft w:val="0"/>
      <w:marRight w:val="0"/>
      <w:marTop w:val="0"/>
      <w:marBottom w:val="0"/>
      <w:divBdr>
        <w:top w:val="none" w:sz="0" w:space="0" w:color="auto"/>
        <w:left w:val="none" w:sz="0" w:space="0" w:color="auto"/>
        <w:bottom w:val="none" w:sz="0" w:space="0" w:color="auto"/>
        <w:right w:val="none" w:sz="0" w:space="0" w:color="auto"/>
      </w:divBdr>
    </w:div>
    <w:div w:id="1594630953">
      <w:bodyDiv w:val="1"/>
      <w:marLeft w:val="0"/>
      <w:marRight w:val="0"/>
      <w:marTop w:val="0"/>
      <w:marBottom w:val="0"/>
      <w:divBdr>
        <w:top w:val="none" w:sz="0" w:space="0" w:color="auto"/>
        <w:left w:val="none" w:sz="0" w:space="0" w:color="auto"/>
        <w:bottom w:val="none" w:sz="0" w:space="0" w:color="auto"/>
        <w:right w:val="none" w:sz="0" w:space="0" w:color="auto"/>
      </w:divBdr>
    </w:div>
    <w:div w:id="1594633092">
      <w:bodyDiv w:val="1"/>
      <w:marLeft w:val="0"/>
      <w:marRight w:val="0"/>
      <w:marTop w:val="0"/>
      <w:marBottom w:val="0"/>
      <w:divBdr>
        <w:top w:val="none" w:sz="0" w:space="0" w:color="auto"/>
        <w:left w:val="none" w:sz="0" w:space="0" w:color="auto"/>
        <w:bottom w:val="none" w:sz="0" w:space="0" w:color="auto"/>
        <w:right w:val="none" w:sz="0" w:space="0" w:color="auto"/>
      </w:divBdr>
    </w:div>
    <w:div w:id="1594708816">
      <w:bodyDiv w:val="1"/>
      <w:marLeft w:val="0"/>
      <w:marRight w:val="0"/>
      <w:marTop w:val="0"/>
      <w:marBottom w:val="0"/>
      <w:divBdr>
        <w:top w:val="none" w:sz="0" w:space="0" w:color="auto"/>
        <w:left w:val="none" w:sz="0" w:space="0" w:color="auto"/>
        <w:bottom w:val="none" w:sz="0" w:space="0" w:color="auto"/>
        <w:right w:val="none" w:sz="0" w:space="0" w:color="auto"/>
      </w:divBdr>
    </w:div>
    <w:div w:id="1594780324">
      <w:bodyDiv w:val="1"/>
      <w:marLeft w:val="0"/>
      <w:marRight w:val="0"/>
      <w:marTop w:val="0"/>
      <w:marBottom w:val="0"/>
      <w:divBdr>
        <w:top w:val="none" w:sz="0" w:space="0" w:color="auto"/>
        <w:left w:val="none" w:sz="0" w:space="0" w:color="auto"/>
        <w:bottom w:val="none" w:sz="0" w:space="0" w:color="auto"/>
        <w:right w:val="none" w:sz="0" w:space="0" w:color="auto"/>
      </w:divBdr>
    </w:div>
    <w:div w:id="1594782930">
      <w:bodyDiv w:val="1"/>
      <w:marLeft w:val="0"/>
      <w:marRight w:val="0"/>
      <w:marTop w:val="0"/>
      <w:marBottom w:val="0"/>
      <w:divBdr>
        <w:top w:val="none" w:sz="0" w:space="0" w:color="auto"/>
        <w:left w:val="none" w:sz="0" w:space="0" w:color="auto"/>
        <w:bottom w:val="none" w:sz="0" w:space="0" w:color="auto"/>
        <w:right w:val="none" w:sz="0" w:space="0" w:color="auto"/>
      </w:divBdr>
    </w:div>
    <w:div w:id="1594819030">
      <w:bodyDiv w:val="1"/>
      <w:marLeft w:val="0"/>
      <w:marRight w:val="0"/>
      <w:marTop w:val="0"/>
      <w:marBottom w:val="0"/>
      <w:divBdr>
        <w:top w:val="none" w:sz="0" w:space="0" w:color="auto"/>
        <w:left w:val="none" w:sz="0" w:space="0" w:color="auto"/>
        <w:bottom w:val="none" w:sz="0" w:space="0" w:color="auto"/>
        <w:right w:val="none" w:sz="0" w:space="0" w:color="auto"/>
      </w:divBdr>
    </w:div>
    <w:div w:id="1594821644">
      <w:bodyDiv w:val="1"/>
      <w:marLeft w:val="0"/>
      <w:marRight w:val="0"/>
      <w:marTop w:val="0"/>
      <w:marBottom w:val="0"/>
      <w:divBdr>
        <w:top w:val="none" w:sz="0" w:space="0" w:color="auto"/>
        <w:left w:val="none" w:sz="0" w:space="0" w:color="auto"/>
        <w:bottom w:val="none" w:sz="0" w:space="0" w:color="auto"/>
        <w:right w:val="none" w:sz="0" w:space="0" w:color="auto"/>
      </w:divBdr>
    </w:div>
    <w:div w:id="1594895850">
      <w:bodyDiv w:val="1"/>
      <w:marLeft w:val="0"/>
      <w:marRight w:val="0"/>
      <w:marTop w:val="0"/>
      <w:marBottom w:val="0"/>
      <w:divBdr>
        <w:top w:val="none" w:sz="0" w:space="0" w:color="auto"/>
        <w:left w:val="none" w:sz="0" w:space="0" w:color="auto"/>
        <w:bottom w:val="none" w:sz="0" w:space="0" w:color="auto"/>
        <w:right w:val="none" w:sz="0" w:space="0" w:color="auto"/>
      </w:divBdr>
    </w:div>
    <w:div w:id="1594972999">
      <w:bodyDiv w:val="1"/>
      <w:marLeft w:val="0"/>
      <w:marRight w:val="0"/>
      <w:marTop w:val="0"/>
      <w:marBottom w:val="0"/>
      <w:divBdr>
        <w:top w:val="none" w:sz="0" w:space="0" w:color="auto"/>
        <w:left w:val="none" w:sz="0" w:space="0" w:color="auto"/>
        <w:bottom w:val="none" w:sz="0" w:space="0" w:color="auto"/>
        <w:right w:val="none" w:sz="0" w:space="0" w:color="auto"/>
      </w:divBdr>
    </w:div>
    <w:div w:id="1594975361">
      <w:bodyDiv w:val="1"/>
      <w:marLeft w:val="0"/>
      <w:marRight w:val="0"/>
      <w:marTop w:val="0"/>
      <w:marBottom w:val="0"/>
      <w:divBdr>
        <w:top w:val="none" w:sz="0" w:space="0" w:color="auto"/>
        <w:left w:val="none" w:sz="0" w:space="0" w:color="auto"/>
        <w:bottom w:val="none" w:sz="0" w:space="0" w:color="auto"/>
        <w:right w:val="none" w:sz="0" w:space="0" w:color="auto"/>
      </w:divBdr>
    </w:div>
    <w:div w:id="1595019329">
      <w:bodyDiv w:val="1"/>
      <w:marLeft w:val="0"/>
      <w:marRight w:val="0"/>
      <w:marTop w:val="0"/>
      <w:marBottom w:val="0"/>
      <w:divBdr>
        <w:top w:val="none" w:sz="0" w:space="0" w:color="auto"/>
        <w:left w:val="none" w:sz="0" w:space="0" w:color="auto"/>
        <w:bottom w:val="none" w:sz="0" w:space="0" w:color="auto"/>
        <w:right w:val="none" w:sz="0" w:space="0" w:color="auto"/>
      </w:divBdr>
    </w:div>
    <w:div w:id="1595088325">
      <w:bodyDiv w:val="1"/>
      <w:marLeft w:val="0"/>
      <w:marRight w:val="0"/>
      <w:marTop w:val="0"/>
      <w:marBottom w:val="0"/>
      <w:divBdr>
        <w:top w:val="none" w:sz="0" w:space="0" w:color="auto"/>
        <w:left w:val="none" w:sz="0" w:space="0" w:color="auto"/>
        <w:bottom w:val="none" w:sz="0" w:space="0" w:color="auto"/>
        <w:right w:val="none" w:sz="0" w:space="0" w:color="auto"/>
      </w:divBdr>
    </w:div>
    <w:div w:id="1595088607">
      <w:bodyDiv w:val="1"/>
      <w:marLeft w:val="0"/>
      <w:marRight w:val="0"/>
      <w:marTop w:val="0"/>
      <w:marBottom w:val="0"/>
      <w:divBdr>
        <w:top w:val="none" w:sz="0" w:space="0" w:color="auto"/>
        <w:left w:val="none" w:sz="0" w:space="0" w:color="auto"/>
        <w:bottom w:val="none" w:sz="0" w:space="0" w:color="auto"/>
        <w:right w:val="none" w:sz="0" w:space="0" w:color="auto"/>
      </w:divBdr>
    </w:div>
    <w:div w:id="1595169175">
      <w:bodyDiv w:val="1"/>
      <w:marLeft w:val="0"/>
      <w:marRight w:val="0"/>
      <w:marTop w:val="0"/>
      <w:marBottom w:val="0"/>
      <w:divBdr>
        <w:top w:val="none" w:sz="0" w:space="0" w:color="auto"/>
        <w:left w:val="none" w:sz="0" w:space="0" w:color="auto"/>
        <w:bottom w:val="none" w:sz="0" w:space="0" w:color="auto"/>
        <w:right w:val="none" w:sz="0" w:space="0" w:color="auto"/>
      </w:divBdr>
    </w:div>
    <w:div w:id="1595281329">
      <w:bodyDiv w:val="1"/>
      <w:marLeft w:val="0"/>
      <w:marRight w:val="0"/>
      <w:marTop w:val="0"/>
      <w:marBottom w:val="0"/>
      <w:divBdr>
        <w:top w:val="none" w:sz="0" w:space="0" w:color="auto"/>
        <w:left w:val="none" w:sz="0" w:space="0" w:color="auto"/>
        <w:bottom w:val="none" w:sz="0" w:space="0" w:color="auto"/>
        <w:right w:val="none" w:sz="0" w:space="0" w:color="auto"/>
      </w:divBdr>
    </w:div>
    <w:div w:id="1595437103">
      <w:bodyDiv w:val="1"/>
      <w:marLeft w:val="0"/>
      <w:marRight w:val="0"/>
      <w:marTop w:val="0"/>
      <w:marBottom w:val="0"/>
      <w:divBdr>
        <w:top w:val="none" w:sz="0" w:space="0" w:color="auto"/>
        <w:left w:val="none" w:sz="0" w:space="0" w:color="auto"/>
        <w:bottom w:val="none" w:sz="0" w:space="0" w:color="auto"/>
        <w:right w:val="none" w:sz="0" w:space="0" w:color="auto"/>
      </w:divBdr>
    </w:div>
    <w:div w:id="1595551397">
      <w:bodyDiv w:val="1"/>
      <w:marLeft w:val="0"/>
      <w:marRight w:val="0"/>
      <w:marTop w:val="0"/>
      <w:marBottom w:val="0"/>
      <w:divBdr>
        <w:top w:val="none" w:sz="0" w:space="0" w:color="auto"/>
        <w:left w:val="none" w:sz="0" w:space="0" w:color="auto"/>
        <w:bottom w:val="none" w:sz="0" w:space="0" w:color="auto"/>
        <w:right w:val="none" w:sz="0" w:space="0" w:color="auto"/>
      </w:divBdr>
    </w:div>
    <w:div w:id="1595552348">
      <w:bodyDiv w:val="1"/>
      <w:marLeft w:val="0"/>
      <w:marRight w:val="0"/>
      <w:marTop w:val="0"/>
      <w:marBottom w:val="0"/>
      <w:divBdr>
        <w:top w:val="none" w:sz="0" w:space="0" w:color="auto"/>
        <w:left w:val="none" w:sz="0" w:space="0" w:color="auto"/>
        <w:bottom w:val="none" w:sz="0" w:space="0" w:color="auto"/>
        <w:right w:val="none" w:sz="0" w:space="0" w:color="auto"/>
      </w:divBdr>
    </w:div>
    <w:div w:id="1595556425">
      <w:bodyDiv w:val="1"/>
      <w:marLeft w:val="0"/>
      <w:marRight w:val="0"/>
      <w:marTop w:val="0"/>
      <w:marBottom w:val="0"/>
      <w:divBdr>
        <w:top w:val="none" w:sz="0" w:space="0" w:color="auto"/>
        <w:left w:val="none" w:sz="0" w:space="0" w:color="auto"/>
        <w:bottom w:val="none" w:sz="0" w:space="0" w:color="auto"/>
        <w:right w:val="none" w:sz="0" w:space="0" w:color="auto"/>
      </w:divBdr>
    </w:div>
    <w:div w:id="1595673625">
      <w:bodyDiv w:val="1"/>
      <w:marLeft w:val="0"/>
      <w:marRight w:val="0"/>
      <w:marTop w:val="0"/>
      <w:marBottom w:val="0"/>
      <w:divBdr>
        <w:top w:val="none" w:sz="0" w:space="0" w:color="auto"/>
        <w:left w:val="none" w:sz="0" w:space="0" w:color="auto"/>
        <w:bottom w:val="none" w:sz="0" w:space="0" w:color="auto"/>
        <w:right w:val="none" w:sz="0" w:space="0" w:color="auto"/>
      </w:divBdr>
    </w:div>
    <w:div w:id="1595819715">
      <w:bodyDiv w:val="1"/>
      <w:marLeft w:val="0"/>
      <w:marRight w:val="0"/>
      <w:marTop w:val="0"/>
      <w:marBottom w:val="0"/>
      <w:divBdr>
        <w:top w:val="none" w:sz="0" w:space="0" w:color="auto"/>
        <w:left w:val="none" w:sz="0" w:space="0" w:color="auto"/>
        <w:bottom w:val="none" w:sz="0" w:space="0" w:color="auto"/>
        <w:right w:val="none" w:sz="0" w:space="0" w:color="auto"/>
      </w:divBdr>
    </w:div>
    <w:div w:id="1595894124">
      <w:bodyDiv w:val="1"/>
      <w:marLeft w:val="0"/>
      <w:marRight w:val="0"/>
      <w:marTop w:val="0"/>
      <w:marBottom w:val="0"/>
      <w:divBdr>
        <w:top w:val="none" w:sz="0" w:space="0" w:color="auto"/>
        <w:left w:val="none" w:sz="0" w:space="0" w:color="auto"/>
        <w:bottom w:val="none" w:sz="0" w:space="0" w:color="auto"/>
        <w:right w:val="none" w:sz="0" w:space="0" w:color="auto"/>
      </w:divBdr>
    </w:div>
    <w:div w:id="1595943498">
      <w:bodyDiv w:val="1"/>
      <w:marLeft w:val="0"/>
      <w:marRight w:val="0"/>
      <w:marTop w:val="0"/>
      <w:marBottom w:val="0"/>
      <w:divBdr>
        <w:top w:val="none" w:sz="0" w:space="0" w:color="auto"/>
        <w:left w:val="none" w:sz="0" w:space="0" w:color="auto"/>
        <w:bottom w:val="none" w:sz="0" w:space="0" w:color="auto"/>
        <w:right w:val="none" w:sz="0" w:space="0" w:color="auto"/>
      </w:divBdr>
    </w:div>
    <w:div w:id="1596010979">
      <w:bodyDiv w:val="1"/>
      <w:marLeft w:val="0"/>
      <w:marRight w:val="0"/>
      <w:marTop w:val="0"/>
      <w:marBottom w:val="0"/>
      <w:divBdr>
        <w:top w:val="none" w:sz="0" w:space="0" w:color="auto"/>
        <w:left w:val="none" w:sz="0" w:space="0" w:color="auto"/>
        <w:bottom w:val="none" w:sz="0" w:space="0" w:color="auto"/>
        <w:right w:val="none" w:sz="0" w:space="0" w:color="auto"/>
      </w:divBdr>
    </w:div>
    <w:div w:id="1596011791">
      <w:bodyDiv w:val="1"/>
      <w:marLeft w:val="0"/>
      <w:marRight w:val="0"/>
      <w:marTop w:val="0"/>
      <w:marBottom w:val="0"/>
      <w:divBdr>
        <w:top w:val="none" w:sz="0" w:space="0" w:color="auto"/>
        <w:left w:val="none" w:sz="0" w:space="0" w:color="auto"/>
        <w:bottom w:val="none" w:sz="0" w:space="0" w:color="auto"/>
        <w:right w:val="none" w:sz="0" w:space="0" w:color="auto"/>
      </w:divBdr>
    </w:div>
    <w:div w:id="1596013008">
      <w:bodyDiv w:val="1"/>
      <w:marLeft w:val="0"/>
      <w:marRight w:val="0"/>
      <w:marTop w:val="0"/>
      <w:marBottom w:val="0"/>
      <w:divBdr>
        <w:top w:val="none" w:sz="0" w:space="0" w:color="auto"/>
        <w:left w:val="none" w:sz="0" w:space="0" w:color="auto"/>
        <w:bottom w:val="none" w:sz="0" w:space="0" w:color="auto"/>
        <w:right w:val="none" w:sz="0" w:space="0" w:color="auto"/>
      </w:divBdr>
    </w:div>
    <w:div w:id="1596015456">
      <w:bodyDiv w:val="1"/>
      <w:marLeft w:val="0"/>
      <w:marRight w:val="0"/>
      <w:marTop w:val="0"/>
      <w:marBottom w:val="0"/>
      <w:divBdr>
        <w:top w:val="none" w:sz="0" w:space="0" w:color="auto"/>
        <w:left w:val="none" w:sz="0" w:space="0" w:color="auto"/>
        <w:bottom w:val="none" w:sz="0" w:space="0" w:color="auto"/>
        <w:right w:val="none" w:sz="0" w:space="0" w:color="auto"/>
      </w:divBdr>
    </w:div>
    <w:div w:id="1596086614">
      <w:bodyDiv w:val="1"/>
      <w:marLeft w:val="0"/>
      <w:marRight w:val="0"/>
      <w:marTop w:val="0"/>
      <w:marBottom w:val="0"/>
      <w:divBdr>
        <w:top w:val="none" w:sz="0" w:space="0" w:color="auto"/>
        <w:left w:val="none" w:sz="0" w:space="0" w:color="auto"/>
        <w:bottom w:val="none" w:sz="0" w:space="0" w:color="auto"/>
        <w:right w:val="none" w:sz="0" w:space="0" w:color="auto"/>
      </w:divBdr>
    </w:div>
    <w:div w:id="1596088577">
      <w:bodyDiv w:val="1"/>
      <w:marLeft w:val="0"/>
      <w:marRight w:val="0"/>
      <w:marTop w:val="0"/>
      <w:marBottom w:val="0"/>
      <w:divBdr>
        <w:top w:val="none" w:sz="0" w:space="0" w:color="auto"/>
        <w:left w:val="none" w:sz="0" w:space="0" w:color="auto"/>
        <w:bottom w:val="none" w:sz="0" w:space="0" w:color="auto"/>
        <w:right w:val="none" w:sz="0" w:space="0" w:color="auto"/>
      </w:divBdr>
    </w:div>
    <w:div w:id="1596281010">
      <w:bodyDiv w:val="1"/>
      <w:marLeft w:val="0"/>
      <w:marRight w:val="0"/>
      <w:marTop w:val="0"/>
      <w:marBottom w:val="0"/>
      <w:divBdr>
        <w:top w:val="none" w:sz="0" w:space="0" w:color="auto"/>
        <w:left w:val="none" w:sz="0" w:space="0" w:color="auto"/>
        <w:bottom w:val="none" w:sz="0" w:space="0" w:color="auto"/>
        <w:right w:val="none" w:sz="0" w:space="0" w:color="auto"/>
      </w:divBdr>
    </w:div>
    <w:div w:id="1596285868">
      <w:bodyDiv w:val="1"/>
      <w:marLeft w:val="0"/>
      <w:marRight w:val="0"/>
      <w:marTop w:val="0"/>
      <w:marBottom w:val="0"/>
      <w:divBdr>
        <w:top w:val="none" w:sz="0" w:space="0" w:color="auto"/>
        <w:left w:val="none" w:sz="0" w:space="0" w:color="auto"/>
        <w:bottom w:val="none" w:sz="0" w:space="0" w:color="auto"/>
        <w:right w:val="none" w:sz="0" w:space="0" w:color="auto"/>
      </w:divBdr>
    </w:div>
    <w:div w:id="1596398053">
      <w:bodyDiv w:val="1"/>
      <w:marLeft w:val="0"/>
      <w:marRight w:val="0"/>
      <w:marTop w:val="0"/>
      <w:marBottom w:val="0"/>
      <w:divBdr>
        <w:top w:val="none" w:sz="0" w:space="0" w:color="auto"/>
        <w:left w:val="none" w:sz="0" w:space="0" w:color="auto"/>
        <w:bottom w:val="none" w:sz="0" w:space="0" w:color="auto"/>
        <w:right w:val="none" w:sz="0" w:space="0" w:color="auto"/>
      </w:divBdr>
    </w:div>
    <w:div w:id="1596472596">
      <w:bodyDiv w:val="1"/>
      <w:marLeft w:val="0"/>
      <w:marRight w:val="0"/>
      <w:marTop w:val="0"/>
      <w:marBottom w:val="0"/>
      <w:divBdr>
        <w:top w:val="none" w:sz="0" w:space="0" w:color="auto"/>
        <w:left w:val="none" w:sz="0" w:space="0" w:color="auto"/>
        <w:bottom w:val="none" w:sz="0" w:space="0" w:color="auto"/>
        <w:right w:val="none" w:sz="0" w:space="0" w:color="auto"/>
      </w:divBdr>
    </w:div>
    <w:div w:id="1596865502">
      <w:bodyDiv w:val="1"/>
      <w:marLeft w:val="0"/>
      <w:marRight w:val="0"/>
      <w:marTop w:val="0"/>
      <w:marBottom w:val="0"/>
      <w:divBdr>
        <w:top w:val="none" w:sz="0" w:space="0" w:color="auto"/>
        <w:left w:val="none" w:sz="0" w:space="0" w:color="auto"/>
        <w:bottom w:val="none" w:sz="0" w:space="0" w:color="auto"/>
        <w:right w:val="none" w:sz="0" w:space="0" w:color="auto"/>
      </w:divBdr>
    </w:div>
    <w:div w:id="1597056952">
      <w:bodyDiv w:val="1"/>
      <w:marLeft w:val="0"/>
      <w:marRight w:val="0"/>
      <w:marTop w:val="0"/>
      <w:marBottom w:val="0"/>
      <w:divBdr>
        <w:top w:val="none" w:sz="0" w:space="0" w:color="auto"/>
        <w:left w:val="none" w:sz="0" w:space="0" w:color="auto"/>
        <w:bottom w:val="none" w:sz="0" w:space="0" w:color="auto"/>
        <w:right w:val="none" w:sz="0" w:space="0" w:color="auto"/>
      </w:divBdr>
    </w:div>
    <w:div w:id="1597060051">
      <w:bodyDiv w:val="1"/>
      <w:marLeft w:val="0"/>
      <w:marRight w:val="0"/>
      <w:marTop w:val="0"/>
      <w:marBottom w:val="0"/>
      <w:divBdr>
        <w:top w:val="none" w:sz="0" w:space="0" w:color="auto"/>
        <w:left w:val="none" w:sz="0" w:space="0" w:color="auto"/>
        <w:bottom w:val="none" w:sz="0" w:space="0" w:color="auto"/>
        <w:right w:val="none" w:sz="0" w:space="0" w:color="auto"/>
      </w:divBdr>
    </w:div>
    <w:div w:id="1597129127">
      <w:bodyDiv w:val="1"/>
      <w:marLeft w:val="0"/>
      <w:marRight w:val="0"/>
      <w:marTop w:val="0"/>
      <w:marBottom w:val="0"/>
      <w:divBdr>
        <w:top w:val="none" w:sz="0" w:space="0" w:color="auto"/>
        <w:left w:val="none" w:sz="0" w:space="0" w:color="auto"/>
        <w:bottom w:val="none" w:sz="0" w:space="0" w:color="auto"/>
        <w:right w:val="none" w:sz="0" w:space="0" w:color="auto"/>
      </w:divBdr>
    </w:div>
    <w:div w:id="1597203944">
      <w:bodyDiv w:val="1"/>
      <w:marLeft w:val="0"/>
      <w:marRight w:val="0"/>
      <w:marTop w:val="0"/>
      <w:marBottom w:val="0"/>
      <w:divBdr>
        <w:top w:val="none" w:sz="0" w:space="0" w:color="auto"/>
        <w:left w:val="none" w:sz="0" w:space="0" w:color="auto"/>
        <w:bottom w:val="none" w:sz="0" w:space="0" w:color="auto"/>
        <w:right w:val="none" w:sz="0" w:space="0" w:color="auto"/>
      </w:divBdr>
    </w:div>
    <w:div w:id="1597249454">
      <w:bodyDiv w:val="1"/>
      <w:marLeft w:val="0"/>
      <w:marRight w:val="0"/>
      <w:marTop w:val="0"/>
      <w:marBottom w:val="0"/>
      <w:divBdr>
        <w:top w:val="none" w:sz="0" w:space="0" w:color="auto"/>
        <w:left w:val="none" w:sz="0" w:space="0" w:color="auto"/>
        <w:bottom w:val="none" w:sz="0" w:space="0" w:color="auto"/>
        <w:right w:val="none" w:sz="0" w:space="0" w:color="auto"/>
      </w:divBdr>
    </w:div>
    <w:div w:id="1597329823">
      <w:bodyDiv w:val="1"/>
      <w:marLeft w:val="0"/>
      <w:marRight w:val="0"/>
      <w:marTop w:val="0"/>
      <w:marBottom w:val="0"/>
      <w:divBdr>
        <w:top w:val="none" w:sz="0" w:space="0" w:color="auto"/>
        <w:left w:val="none" w:sz="0" w:space="0" w:color="auto"/>
        <w:bottom w:val="none" w:sz="0" w:space="0" w:color="auto"/>
        <w:right w:val="none" w:sz="0" w:space="0" w:color="auto"/>
      </w:divBdr>
    </w:div>
    <w:div w:id="1597397112">
      <w:bodyDiv w:val="1"/>
      <w:marLeft w:val="0"/>
      <w:marRight w:val="0"/>
      <w:marTop w:val="0"/>
      <w:marBottom w:val="0"/>
      <w:divBdr>
        <w:top w:val="none" w:sz="0" w:space="0" w:color="auto"/>
        <w:left w:val="none" w:sz="0" w:space="0" w:color="auto"/>
        <w:bottom w:val="none" w:sz="0" w:space="0" w:color="auto"/>
        <w:right w:val="none" w:sz="0" w:space="0" w:color="auto"/>
      </w:divBdr>
    </w:div>
    <w:div w:id="1597400240">
      <w:bodyDiv w:val="1"/>
      <w:marLeft w:val="0"/>
      <w:marRight w:val="0"/>
      <w:marTop w:val="0"/>
      <w:marBottom w:val="0"/>
      <w:divBdr>
        <w:top w:val="none" w:sz="0" w:space="0" w:color="auto"/>
        <w:left w:val="none" w:sz="0" w:space="0" w:color="auto"/>
        <w:bottom w:val="none" w:sz="0" w:space="0" w:color="auto"/>
        <w:right w:val="none" w:sz="0" w:space="0" w:color="auto"/>
      </w:divBdr>
    </w:div>
    <w:div w:id="1597441442">
      <w:bodyDiv w:val="1"/>
      <w:marLeft w:val="0"/>
      <w:marRight w:val="0"/>
      <w:marTop w:val="0"/>
      <w:marBottom w:val="0"/>
      <w:divBdr>
        <w:top w:val="none" w:sz="0" w:space="0" w:color="auto"/>
        <w:left w:val="none" w:sz="0" w:space="0" w:color="auto"/>
        <w:bottom w:val="none" w:sz="0" w:space="0" w:color="auto"/>
        <w:right w:val="none" w:sz="0" w:space="0" w:color="auto"/>
      </w:divBdr>
    </w:div>
    <w:div w:id="1597515839">
      <w:bodyDiv w:val="1"/>
      <w:marLeft w:val="0"/>
      <w:marRight w:val="0"/>
      <w:marTop w:val="0"/>
      <w:marBottom w:val="0"/>
      <w:divBdr>
        <w:top w:val="none" w:sz="0" w:space="0" w:color="auto"/>
        <w:left w:val="none" w:sz="0" w:space="0" w:color="auto"/>
        <w:bottom w:val="none" w:sz="0" w:space="0" w:color="auto"/>
        <w:right w:val="none" w:sz="0" w:space="0" w:color="auto"/>
      </w:divBdr>
    </w:div>
    <w:div w:id="1597595267">
      <w:bodyDiv w:val="1"/>
      <w:marLeft w:val="0"/>
      <w:marRight w:val="0"/>
      <w:marTop w:val="0"/>
      <w:marBottom w:val="0"/>
      <w:divBdr>
        <w:top w:val="none" w:sz="0" w:space="0" w:color="auto"/>
        <w:left w:val="none" w:sz="0" w:space="0" w:color="auto"/>
        <w:bottom w:val="none" w:sz="0" w:space="0" w:color="auto"/>
        <w:right w:val="none" w:sz="0" w:space="0" w:color="auto"/>
      </w:divBdr>
    </w:div>
    <w:div w:id="1597667888">
      <w:bodyDiv w:val="1"/>
      <w:marLeft w:val="0"/>
      <w:marRight w:val="0"/>
      <w:marTop w:val="0"/>
      <w:marBottom w:val="0"/>
      <w:divBdr>
        <w:top w:val="none" w:sz="0" w:space="0" w:color="auto"/>
        <w:left w:val="none" w:sz="0" w:space="0" w:color="auto"/>
        <w:bottom w:val="none" w:sz="0" w:space="0" w:color="auto"/>
        <w:right w:val="none" w:sz="0" w:space="0" w:color="auto"/>
      </w:divBdr>
    </w:div>
    <w:div w:id="1597668032">
      <w:bodyDiv w:val="1"/>
      <w:marLeft w:val="0"/>
      <w:marRight w:val="0"/>
      <w:marTop w:val="0"/>
      <w:marBottom w:val="0"/>
      <w:divBdr>
        <w:top w:val="none" w:sz="0" w:space="0" w:color="auto"/>
        <w:left w:val="none" w:sz="0" w:space="0" w:color="auto"/>
        <w:bottom w:val="none" w:sz="0" w:space="0" w:color="auto"/>
        <w:right w:val="none" w:sz="0" w:space="0" w:color="auto"/>
      </w:divBdr>
    </w:div>
    <w:div w:id="1597791276">
      <w:bodyDiv w:val="1"/>
      <w:marLeft w:val="0"/>
      <w:marRight w:val="0"/>
      <w:marTop w:val="0"/>
      <w:marBottom w:val="0"/>
      <w:divBdr>
        <w:top w:val="none" w:sz="0" w:space="0" w:color="auto"/>
        <w:left w:val="none" w:sz="0" w:space="0" w:color="auto"/>
        <w:bottom w:val="none" w:sz="0" w:space="0" w:color="auto"/>
        <w:right w:val="none" w:sz="0" w:space="0" w:color="auto"/>
      </w:divBdr>
    </w:div>
    <w:div w:id="1597900553">
      <w:bodyDiv w:val="1"/>
      <w:marLeft w:val="0"/>
      <w:marRight w:val="0"/>
      <w:marTop w:val="0"/>
      <w:marBottom w:val="0"/>
      <w:divBdr>
        <w:top w:val="none" w:sz="0" w:space="0" w:color="auto"/>
        <w:left w:val="none" w:sz="0" w:space="0" w:color="auto"/>
        <w:bottom w:val="none" w:sz="0" w:space="0" w:color="auto"/>
        <w:right w:val="none" w:sz="0" w:space="0" w:color="auto"/>
      </w:divBdr>
    </w:div>
    <w:div w:id="1597903736">
      <w:bodyDiv w:val="1"/>
      <w:marLeft w:val="0"/>
      <w:marRight w:val="0"/>
      <w:marTop w:val="0"/>
      <w:marBottom w:val="0"/>
      <w:divBdr>
        <w:top w:val="none" w:sz="0" w:space="0" w:color="auto"/>
        <w:left w:val="none" w:sz="0" w:space="0" w:color="auto"/>
        <w:bottom w:val="none" w:sz="0" w:space="0" w:color="auto"/>
        <w:right w:val="none" w:sz="0" w:space="0" w:color="auto"/>
      </w:divBdr>
    </w:div>
    <w:div w:id="1597903770">
      <w:bodyDiv w:val="1"/>
      <w:marLeft w:val="0"/>
      <w:marRight w:val="0"/>
      <w:marTop w:val="0"/>
      <w:marBottom w:val="0"/>
      <w:divBdr>
        <w:top w:val="none" w:sz="0" w:space="0" w:color="auto"/>
        <w:left w:val="none" w:sz="0" w:space="0" w:color="auto"/>
        <w:bottom w:val="none" w:sz="0" w:space="0" w:color="auto"/>
        <w:right w:val="none" w:sz="0" w:space="0" w:color="auto"/>
      </w:divBdr>
    </w:div>
    <w:div w:id="1597907399">
      <w:bodyDiv w:val="1"/>
      <w:marLeft w:val="0"/>
      <w:marRight w:val="0"/>
      <w:marTop w:val="0"/>
      <w:marBottom w:val="0"/>
      <w:divBdr>
        <w:top w:val="none" w:sz="0" w:space="0" w:color="auto"/>
        <w:left w:val="none" w:sz="0" w:space="0" w:color="auto"/>
        <w:bottom w:val="none" w:sz="0" w:space="0" w:color="auto"/>
        <w:right w:val="none" w:sz="0" w:space="0" w:color="auto"/>
      </w:divBdr>
    </w:div>
    <w:div w:id="1598178260">
      <w:bodyDiv w:val="1"/>
      <w:marLeft w:val="0"/>
      <w:marRight w:val="0"/>
      <w:marTop w:val="0"/>
      <w:marBottom w:val="0"/>
      <w:divBdr>
        <w:top w:val="none" w:sz="0" w:space="0" w:color="auto"/>
        <w:left w:val="none" w:sz="0" w:space="0" w:color="auto"/>
        <w:bottom w:val="none" w:sz="0" w:space="0" w:color="auto"/>
        <w:right w:val="none" w:sz="0" w:space="0" w:color="auto"/>
      </w:divBdr>
    </w:div>
    <w:div w:id="1598247679">
      <w:bodyDiv w:val="1"/>
      <w:marLeft w:val="0"/>
      <w:marRight w:val="0"/>
      <w:marTop w:val="0"/>
      <w:marBottom w:val="0"/>
      <w:divBdr>
        <w:top w:val="none" w:sz="0" w:space="0" w:color="auto"/>
        <w:left w:val="none" w:sz="0" w:space="0" w:color="auto"/>
        <w:bottom w:val="none" w:sz="0" w:space="0" w:color="auto"/>
        <w:right w:val="none" w:sz="0" w:space="0" w:color="auto"/>
      </w:divBdr>
    </w:div>
    <w:div w:id="1598251664">
      <w:bodyDiv w:val="1"/>
      <w:marLeft w:val="0"/>
      <w:marRight w:val="0"/>
      <w:marTop w:val="0"/>
      <w:marBottom w:val="0"/>
      <w:divBdr>
        <w:top w:val="none" w:sz="0" w:space="0" w:color="auto"/>
        <w:left w:val="none" w:sz="0" w:space="0" w:color="auto"/>
        <w:bottom w:val="none" w:sz="0" w:space="0" w:color="auto"/>
        <w:right w:val="none" w:sz="0" w:space="0" w:color="auto"/>
      </w:divBdr>
    </w:div>
    <w:div w:id="1598294956">
      <w:bodyDiv w:val="1"/>
      <w:marLeft w:val="0"/>
      <w:marRight w:val="0"/>
      <w:marTop w:val="0"/>
      <w:marBottom w:val="0"/>
      <w:divBdr>
        <w:top w:val="none" w:sz="0" w:space="0" w:color="auto"/>
        <w:left w:val="none" w:sz="0" w:space="0" w:color="auto"/>
        <w:bottom w:val="none" w:sz="0" w:space="0" w:color="auto"/>
        <w:right w:val="none" w:sz="0" w:space="0" w:color="auto"/>
      </w:divBdr>
    </w:div>
    <w:div w:id="1598368536">
      <w:bodyDiv w:val="1"/>
      <w:marLeft w:val="0"/>
      <w:marRight w:val="0"/>
      <w:marTop w:val="0"/>
      <w:marBottom w:val="0"/>
      <w:divBdr>
        <w:top w:val="none" w:sz="0" w:space="0" w:color="auto"/>
        <w:left w:val="none" w:sz="0" w:space="0" w:color="auto"/>
        <w:bottom w:val="none" w:sz="0" w:space="0" w:color="auto"/>
        <w:right w:val="none" w:sz="0" w:space="0" w:color="auto"/>
      </w:divBdr>
    </w:div>
    <w:div w:id="1598370346">
      <w:bodyDiv w:val="1"/>
      <w:marLeft w:val="0"/>
      <w:marRight w:val="0"/>
      <w:marTop w:val="0"/>
      <w:marBottom w:val="0"/>
      <w:divBdr>
        <w:top w:val="none" w:sz="0" w:space="0" w:color="auto"/>
        <w:left w:val="none" w:sz="0" w:space="0" w:color="auto"/>
        <w:bottom w:val="none" w:sz="0" w:space="0" w:color="auto"/>
        <w:right w:val="none" w:sz="0" w:space="0" w:color="auto"/>
      </w:divBdr>
    </w:div>
    <w:div w:id="1598706865">
      <w:bodyDiv w:val="1"/>
      <w:marLeft w:val="0"/>
      <w:marRight w:val="0"/>
      <w:marTop w:val="0"/>
      <w:marBottom w:val="0"/>
      <w:divBdr>
        <w:top w:val="none" w:sz="0" w:space="0" w:color="auto"/>
        <w:left w:val="none" w:sz="0" w:space="0" w:color="auto"/>
        <w:bottom w:val="none" w:sz="0" w:space="0" w:color="auto"/>
        <w:right w:val="none" w:sz="0" w:space="0" w:color="auto"/>
      </w:divBdr>
    </w:div>
    <w:div w:id="1598708059">
      <w:bodyDiv w:val="1"/>
      <w:marLeft w:val="0"/>
      <w:marRight w:val="0"/>
      <w:marTop w:val="0"/>
      <w:marBottom w:val="0"/>
      <w:divBdr>
        <w:top w:val="none" w:sz="0" w:space="0" w:color="auto"/>
        <w:left w:val="none" w:sz="0" w:space="0" w:color="auto"/>
        <w:bottom w:val="none" w:sz="0" w:space="0" w:color="auto"/>
        <w:right w:val="none" w:sz="0" w:space="0" w:color="auto"/>
      </w:divBdr>
    </w:div>
    <w:div w:id="1598711484">
      <w:bodyDiv w:val="1"/>
      <w:marLeft w:val="0"/>
      <w:marRight w:val="0"/>
      <w:marTop w:val="0"/>
      <w:marBottom w:val="0"/>
      <w:divBdr>
        <w:top w:val="none" w:sz="0" w:space="0" w:color="auto"/>
        <w:left w:val="none" w:sz="0" w:space="0" w:color="auto"/>
        <w:bottom w:val="none" w:sz="0" w:space="0" w:color="auto"/>
        <w:right w:val="none" w:sz="0" w:space="0" w:color="auto"/>
      </w:divBdr>
    </w:div>
    <w:div w:id="1598782227">
      <w:bodyDiv w:val="1"/>
      <w:marLeft w:val="0"/>
      <w:marRight w:val="0"/>
      <w:marTop w:val="0"/>
      <w:marBottom w:val="0"/>
      <w:divBdr>
        <w:top w:val="none" w:sz="0" w:space="0" w:color="auto"/>
        <w:left w:val="none" w:sz="0" w:space="0" w:color="auto"/>
        <w:bottom w:val="none" w:sz="0" w:space="0" w:color="auto"/>
        <w:right w:val="none" w:sz="0" w:space="0" w:color="auto"/>
      </w:divBdr>
    </w:div>
    <w:div w:id="1598827333">
      <w:bodyDiv w:val="1"/>
      <w:marLeft w:val="0"/>
      <w:marRight w:val="0"/>
      <w:marTop w:val="0"/>
      <w:marBottom w:val="0"/>
      <w:divBdr>
        <w:top w:val="none" w:sz="0" w:space="0" w:color="auto"/>
        <w:left w:val="none" w:sz="0" w:space="0" w:color="auto"/>
        <w:bottom w:val="none" w:sz="0" w:space="0" w:color="auto"/>
        <w:right w:val="none" w:sz="0" w:space="0" w:color="auto"/>
      </w:divBdr>
    </w:div>
    <w:div w:id="1598832983">
      <w:bodyDiv w:val="1"/>
      <w:marLeft w:val="0"/>
      <w:marRight w:val="0"/>
      <w:marTop w:val="0"/>
      <w:marBottom w:val="0"/>
      <w:divBdr>
        <w:top w:val="none" w:sz="0" w:space="0" w:color="auto"/>
        <w:left w:val="none" w:sz="0" w:space="0" w:color="auto"/>
        <w:bottom w:val="none" w:sz="0" w:space="0" w:color="auto"/>
        <w:right w:val="none" w:sz="0" w:space="0" w:color="auto"/>
      </w:divBdr>
    </w:div>
    <w:div w:id="1598901589">
      <w:bodyDiv w:val="1"/>
      <w:marLeft w:val="0"/>
      <w:marRight w:val="0"/>
      <w:marTop w:val="0"/>
      <w:marBottom w:val="0"/>
      <w:divBdr>
        <w:top w:val="none" w:sz="0" w:space="0" w:color="auto"/>
        <w:left w:val="none" w:sz="0" w:space="0" w:color="auto"/>
        <w:bottom w:val="none" w:sz="0" w:space="0" w:color="auto"/>
        <w:right w:val="none" w:sz="0" w:space="0" w:color="auto"/>
      </w:divBdr>
    </w:div>
    <w:div w:id="1598948710">
      <w:bodyDiv w:val="1"/>
      <w:marLeft w:val="0"/>
      <w:marRight w:val="0"/>
      <w:marTop w:val="0"/>
      <w:marBottom w:val="0"/>
      <w:divBdr>
        <w:top w:val="none" w:sz="0" w:space="0" w:color="auto"/>
        <w:left w:val="none" w:sz="0" w:space="0" w:color="auto"/>
        <w:bottom w:val="none" w:sz="0" w:space="0" w:color="auto"/>
        <w:right w:val="none" w:sz="0" w:space="0" w:color="auto"/>
      </w:divBdr>
    </w:div>
    <w:div w:id="1598949858">
      <w:bodyDiv w:val="1"/>
      <w:marLeft w:val="0"/>
      <w:marRight w:val="0"/>
      <w:marTop w:val="0"/>
      <w:marBottom w:val="0"/>
      <w:divBdr>
        <w:top w:val="none" w:sz="0" w:space="0" w:color="auto"/>
        <w:left w:val="none" w:sz="0" w:space="0" w:color="auto"/>
        <w:bottom w:val="none" w:sz="0" w:space="0" w:color="auto"/>
        <w:right w:val="none" w:sz="0" w:space="0" w:color="auto"/>
      </w:divBdr>
    </w:div>
    <w:div w:id="1599026533">
      <w:bodyDiv w:val="1"/>
      <w:marLeft w:val="0"/>
      <w:marRight w:val="0"/>
      <w:marTop w:val="0"/>
      <w:marBottom w:val="0"/>
      <w:divBdr>
        <w:top w:val="none" w:sz="0" w:space="0" w:color="auto"/>
        <w:left w:val="none" w:sz="0" w:space="0" w:color="auto"/>
        <w:bottom w:val="none" w:sz="0" w:space="0" w:color="auto"/>
        <w:right w:val="none" w:sz="0" w:space="0" w:color="auto"/>
      </w:divBdr>
    </w:div>
    <w:div w:id="1599175198">
      <w:bodyDiv w:val="1"/>
      <w:marLeft w:val="0"/>
      <w:marRight w:val="0"/>
      <w:marTop w:val="0"/>
      <w:marBottom w:val="0"/>
      <w:divBdr>
        <w:top w:val="none" w:sz="0" w:space="0" w:color="auto"/>
        <w:left w:val="none" w:sz="0" w:space="0" w:color="auto"/>
        <w:bottom w:val="none" w:sz="0" w:space="0" w:color="auto"/>
        <w:right w:val="none" w:sz="0" w:space="0" w:color="auto"/>
      </w:divBdr>
    </w:div>
    <w:div w:id="1599294511">
      <w:bodyDiv w:val="1"/>
      <w:marLeft w:val="0"/>
      <w:marRight w:val="0"/>
      <w:marTop w:val="0"/>
      <w:marBottom w:val="0"/>
      <w:divBdr>
        <w:top w:val="none" w:sz="0" w:space="0" w:color="auto"/>
        <w:left w:val="none" w:sz="0" w:space="0" w:color="auto"/>
        <w:bottom w:val="none" w:sz="0" w:space="0" w:color="auto"/>
        <w:right w:val="none" w:sz="0" w:space="0" w:color="auto"/>
      </w:divBdr>
    </w:div>
    <w:div w:id="1599483375">
      <w:bodyDiv w:val="1"/>
      <w:marLeft w:val="0"/>
      <w:marRight w:val="0"/>
      <w:marTop w:val="0"/>
      <w:marBottom w:val="0"/>
      <w:divBdr>
        <w:top w:val="none" w:sz="0" w:space="0" w:color="auto"/>
        <w:left w:val="none" w:sz="0" w:space="0" w:color="auto"/>
        <w:bottom w:val="none" w:sz="0" w:space="0" w:color="auto"/>
        <w:right w:val="none" w:sz="0" w:space="0" w:color="auto"/>
      </w:divBdr>
    </w:div>
    <w:div w:id="1599634691">
      <w:bodyDiv w:val="1"/>
      <w:marLeft w:val="0"/>
      <w:marRight w:val="0"/>
      <w:marTop w:val="0"/>
      <w:marBottom w:val="0"/>
      <w:divBdr>
        <w:top w:val="none" w:sz="0" w:space="0" w:color="auto"/>
        <w:left w:val="none" w:sz="0" w:space="0" w:color="auto"/>
        <w:bottom w:val="none" w:sz="0" w:space="0" w:color="auto"/>
        <w:right w:val="none" w:sz="0" w:space="0" w:color="auto"/>
      </w:divBdr>
    </w:div>
    <w:div w:id="1600024509">
      <w:bodyDiv w:val="1"/>
      <w:marLeft w:val="0"/>
      <w:marRight w:val="0"/>
      <w:marTop w:val="0"/>
      <w:marBottom w:val="0"/>
      <w:divBdr>
        <w:top w:val="none" w:sz="0" w:space="0" w:color="auto"/>
        <w:left w:val="none" w:sz="0" w:space="0" w:color="auto"/>
        <w:bottom w:val="none" w:sz="0" w:space="0" w:color="auto"/>
        <w:right w:val="none" w:sz="0" w:space="0" w:color="auto"/>
      </w:divBdr>
    </w:div>
    <w:div w:id="1600061834">
      <w:bodyDiv w:val="1"/>
      <w:marLeft w:val="0"/>
      <w:marRight w:val="0"/>
      <w:marTop w:val="0"/>
      <w:marBottom w:val="0"/>
      <w:divBdr>
        <w:top w:val="none" w:sz="0" w:space="0" w:color="auto"/>
        <w:left w:val="none" w:sz="0" w:space="0" w:color="auto"/>
        <w:bottom w:val="none" w:sz="0" w:space="0" w:color="auto"/>
        <w:right w:val="none" w:sz="0" w:space="0" w:color="auto"/>
      </w:divBdr>
    </w:div>
    <w:div w:id="1600261747">
      <w:bodyDiv w:val="1"/>
      <w:marLeft w:val="0"/>
      <w:marRight w:val="0"/>
      <w:marTop w:val="0"/>
      <w:marBottom w:val="0"/>
      <w:divBdr>
        <w:top w:val="none" w:sz="0" w:space="0" w:color="auto"/>
        <w:left w:val="none" w:sz="0" w:space="0" w:color="auto"/>
        <w:bottom w:val="none" w:sz="0" w:space="0" w:color="auto"/>
        <w:right w:val="none" w:sz="0" w:space="0" w:color="auto"/>
      </w:divBdr>
    </w:div>
    <w:div w:id="1600290190">
      <w:bodyDiv w:val="1"/>
      <w:marLeft w:val="0"/>
      <w:marRight w:val="0"/>
      <w:marTop w:val="0"/>
      <w:marBottom w:val="0"/>
      <w:divBdr>
        <w:top w:val="none" w:sz="0" w:space="0" w:color="auto"/>
        <w:left w:val="none" w:sz="0" w:space="0" w:color="auto"/>
        <w:bottom w:val="none" w:sz="0" w:space="0" w:color="auto"/>
        <w:right w:val="none" w:sz="0" w:space="0" w:color="auto"/>
      </w:divBdr>
    </w:div>
    <w:div w:id="1600408244">
      <w:bodyDiv w:val="1"/>
      <w:marLeft w:val="0"/>
      <w:marRight w:val="0"/>
      <w:marTop w:val="0"/>
      <w:marBottom w:val="0"/>
      <w:divBdr>
        <w:top w:val="none" w:sz="0" w:space="0" w:color="auto"/>
        <w:left w:val="none" w:sz="0" w:space="0" w:color="auto"/>
        <w:bottom w:val="none" w:sz="0" w:space="0" w:color="auto"/>
        <w:right w:val="none" w:sz="0" w:space="0" w:color="auto"/>
      </w:divBdr>
    </w:div>
    <w:div w:id="1600409795">
      <w:bodyDiv w:val="1"/>
      <w:marLeft w:val="0"/>
      <w:marRight w:val="0"/>
      <w:marTop w:val="0"/>
      <w:marBottom w:val="0"/>
      <w:divBdr>
        <w:top w:val="none" w:sz="0" w:space="0" w:color="auto"/>
        <w:left w:val="none" w:sz="0" w:space="0" w:color="auto"/>
        <w:bottom w:val="none" w:sz="0" w:space="0" w:color="auto"/>
        <w:right w:val="none" w:sz="0" w:space="0" w:color="auto"/>
      </w:divBdr>
    </w:div>
    <w:div w:id="1600410654">
      <w:bodyDiv w:val="1"/>
      <w:marLeft w:val="0"/>
      <w:marRight w:val="0"/>
      <w:marTop w:val="0"/>
      <w:marBottom w:val="0"/>
      <w:divBdr>
        <w:top w:val="none" w:sz="0" w:space="0" w:color="auto"/>
        <w:left w:val="none" w:sz="0" w:space="0" w:color="auto"/>
        <w:bottom w:val="none" w:sz="0" w:space="0" w:color="auto"/>
        <w:right w:val="none" w:sz="0" w:space="0" w:color="auto"/>
      </w:divBdr>
    </w:div>
    <w:div w:id="1600455601">
      <w:bodyDiv w:val="1"/>
      <w:marLeft w:val="0"/>
      <w:marRight w:val="0"/>
      <w:marTop w:val="0"/>
      <w:marBottom w:val="0"/>
      <w:divBdr>
        <w:top w:val="none" w:sz="0" w:space="0" w:color="auto"/>
        <w:left w:val="none" w:sz="0" w:space="0" w:color="auto"/>
        <w:bottom w:val="none" w:sz="0" w:space="0" w:color="auto"/>
        <w:right w:val="none" w:sz="0" w:space="0" w:color="auto"/>
      </w:divBdr>
    </w:div>
    <w:div w:id="1600482558">
      <w:bodyDiv w:val="1"/>
      <w:marLeft w:val="0"/>
      <w:marRight w:val="0"/>
      <w:marTop w:val="0"/>
      <w:marBottom w:val="0"/>
      <w:divBdr>
        <w:top w:val="none" w:sz="0" w:space="0" w:color="auto"/>
        <w:left w:val="none" w:sz="0" w:space="0" w:color="auto"/>
        <w:bottom w:val="none" w:sz="0" w:space="0" w:color="auto"/>
        <w:right w:val="none" w:sz="0" w:space="0" w:color="auto"/>
      </w:divBdr>
    </w:div>
    <w:div w:id="1600486992">
      <w:bodyDiv w:val="1"/>
      <w:marLeft w:val="0"/>
      <w:marRight w:val="0"/>
      <w:marTop w:val="0"/>
      <w:marBottom w:val="0"/>
      <w:divBdr>
        <w:top w:val="none" w:sz="0" w:space="0" w:color="auto"/>
        <w:left w:val="none" w:sz="0" w:space="0" w:color="auto"/>
        <w:bottom w:val="none" w:sz="0" w:space="0" w:color="auto"/>
        <w:right w:val="none" w:sz="0" w:space="0" w:color="auto"/>
      </w:divBdr>
    </w:div>
    <w:div w:id="1600674595">
      <w:bodyDiv w:val="1"/>
      <w:marLeft w:val="0"/>
      <w:marRight w:val="0"/>
      <w:marTop w:val="0"/>
      <w:marBottom w:val="0"/>
      <w:divBdr>
        <w:top w:val="none" w:sz="0" w:space="0" w:color="auto"/>
        <w:left w:val="none" w:sz="0" w:space="0" w:color="auto"/>
        <w:bottom w:val="none" w:sz="0" w:space="0" w:color="auto"/>
        <w:right w:val="none" w:sz="0" w:space="0" w:color="auto"/>
      </w:divBdr>
    </w:div>
    <w:div w:id="1600794919">
      <w:bodyDiv w:val="1"/>
      <w:marLeft w:val="0"/>
      <w:marRight w:val="0"/>
      <w:marTop w:val="0"/>
      <w:marBottom w:val="0"/>
      <w:divBdr>
        <w:top w:val="none" w:sz="0" w:space="0" w:color="auto"/>
        <w:left w:val="none" w:sz="0" w:space="0" w:color="auto"/>
        <w:bottom w:val="none" w:sz="0" w:space="0" w:color="auto"/>
        <w:right w:val="none" w:sz="0" w:space="0" w:color="auto"/>
      </w:divBdr>
    </w:div>
    <w:div w:id="1600984008">
      <w:bodyDiv w:val="1"/>
      <w:marLeft w:val="0"/>
      <w:marRight w:val="0"/>
      <w:marTop w:val="0"/>
      <w:marBottom w:val="0"/>
      <w:divBdr>
        <w:top w:val="none" w:sz="0" w:space="0" w:color="auto"/>
        <w:left w:val="none" w:sz="0" w:space="0" w:color="auto"/>
        <w:bottom w:val="none" w:sz="0" w:space="0" w:color="auto"/>
        <w:right w:val="none" w:sz="0" w:space="0" w:color="auto"/>
      </w:divBdr>
    </w:div>
    <w:div w:id="1601062162">
      <w:bodyDiv w:val="1"/>
      <w:marLeft w:val="0"/>
      <w:marRight w:val="0"/>
      <w:marTop w:val="0"/>
      <w:marBottom w:val="0"/>
      <w:divBdr>
        <w:top w:val="none" w:sz="0" w:space="0" w:color="auto"/>
        <w:left w:val="none" w:sz="0" w:space="0" w:color="auto"/>
        <w:bottom w:val="none" w:sz="0" w:space="0" w:color="auto"/>
        <w:right w:val="none" w:sz="0" w:space="0" w:color="auto"/>
      </w:divBdr>
    </w:div>
    <w:div w:id="1601067545">
      <w:bodyDiv w:val="1"/>
      <w:marLeft w:val="0"/>
      <w:marRight w:val="0"/>
      <w:marTop w:val="0"/>
      <w:marBottom w:val="0"/>
      <w:divBdr>
        <w:top w:val="none" w:sz="0" w:space="0" w:color="auto"/>
        <w:left w:val="none" w:sz="0" w:space="0" w:color="auto"/>
        <w:bottom w:val="none" w:sz="0" w:space="0" w:color="auto"/>
        <w:right w:val="none" w:sz="0" w:space="0" w:color="auto"/>
      </w:divBdr>
    </w:div>
    <w:div w:id="1601177763">
      <w:bodyDiv w:val="1"/>
      <w:marLeft w:val="0"/>
      <w:marRight w:val="0"/>
      <w:marTop w:val="0"/>
      <w:marBottom w:val="0"/>
      <w:divBdr>
        <w:top w:val="none" w:sz="0" w:space="0" w:color="auto"/>
        <w:left w:val="none" w:sz="0" w:space="0" w:color="auto"/>
        <w:bottom w:val="none" w:sz="0" w:space="0" w:color="auto"/>
        <w:right w:val="none" w:sz="0" w:space="0" w:color="auto"/>
      </w:divBdr>
    </w:div>
    <w:div w:id="1601182773">
      <w:bodyDiv w:val="1"/>
      <w:marLeft w:val="0"/>
      <w:marRight w:val="0"/>
      <w:marTop w:val="0"/>
      <w:marBottom w:val="0"/>
      <w:divBdr>
        <w:top w:val="none" w:sz="0" w:space="0" w:color="auto"/>
        <w:left w:val="none" w:sz="0" w:space="0" w:color="auto"/>
        <w:bottom w:val="none" w:sz="0" w:space="0" w:color="auto"/>
        <w:right w:val="none" w:sz="0" w:space="0" w:color="auto"/>
      </w:divBdr>
    </w:div>
    <w:div w:id="1601257743">
      <w:bodyDiv w:val="1"/>
      <w:marLeft w:val="0"/>
      <w:marRight w:val="0"/>
      <w:marTop w:val="0"/>
      <w:marBottom w:val="0"/>
      <w:divBdr>
        <w:top w:val="none" w:sz="0" w:space="0" w:color="auto"/>
        <w:left w:val="none" w:sz="0" w:space="0" w:color="auto"/>
        <w:bottom w:val="none" w:sz="0" w:space="0" w:color="auto"/>
        <w:right w:val="none" w:sz="0" w:space="0" w:color="auto"/>
      </w:divBdr>
    </w:div>
    <w:div w:id="1601258809">
      <w:bodyDiv w:val="1"/>
      <w:marLeft w:val="0"/>
      <w:marRight w:val="0"/>
      <w:marTop w:val="0"/>
      <w:marBottom w:val="0"/>
      <w:divBdr>
        <w:top w:val="none" w:sz="0" w:space="0" w:color="auto"/>
        <w:left w:val="none" w:sz="0" w:space="0" w:color="auto"/>
        <w:bottom w:val="none" w:sz="0" w:space="0" w:color="auto"/>
        <w:right w:val="none" w:sz="0" w:space="0" w:color="auto"/>
      </w:divBdr>
    </w:div>
    <w:div w:id="1601334435">
      <w:bodyDiv w:val="1"/>
      <w:marLeft w:val="0"/>
      <w:marRight w:val="0"/>
      <w:marTop w:val="0"/>
      <w:marBottom w:val="0"/>
      <w:divBdr>
        <w:top w:val="none" w:sz="0" w:space="0" w:color="auto"/>
        <w:left w:val="none" w:sz="0" w:space="0" w:color="auto"/>
        <w:bottom w:val="none" w:sz="0" w:space="0" w:color="auto"/>
        <w:right w:val="none" w:sz="0" w:space="0" w:color="auto"/>
      </w:divBdr>
    </w:div>
    <w:div w:id="1601375981">
      <w:bodyDiv w:val="1"/>
      <w:marLeft w:val="0"/>
      <w:marRight w:val="0"/>
      <w:marTop w:val="0"/>
      <w:marBottom w:val="0"/>
      <w:divBdr>
        <w:top w:val="none" w:sz="0" w:space="0" w:color="auto"/>
        <w:left w:val="none" w:sz="0" w:space="0" w:color="auto"/>
        <w:bottom w:val="none" w:sz="0" w:space="0" w:color="auto"/>
        <w:right w:val="none" w:sz="0" w:space="0" w:color="auto"/>
      </w:divBdr>
    </w:div>
    <w:div w:id="1601376564">
      <w:bodyDiv w:val="1"/>
      <w:marLeft w:val="0"/>
      <w:marRight w:val="0"/>
      <w:marTop w:val="0"/>
      <w:marBottom w:val="0"/>
      <w:divBdr>
        <w:top w:val="none" w:sz="0" w:space="0" w:color="auto"/>
        <w:left w:val="none" w:sz="0" w:space="0" w:color="auto"/>
        <w:bottom w:val="none" w:sz="0" w:space="0" w:color="auto"/>
        <w:right w:val="none" w:sz="0" w:space="0" w:color="auto"/>
      </w:divBdr>
    </w:div>
    <w:div w:id="1601598100">
      <w:bodyDiv w:val="1"/>
      <w:marLeft w:val="0"/>
      <w:marRight w:val="0"/>
      <w:marTop w:val="0"/>
      <w:marBottom w:val="0"/>
      <w:divBdr>
        <w:top w:val="none" w:sz="0" w:space="0" w:color="auto"/>
        <w:left w:val="none" w:sz="0" w:space="0" w:color="auto"/>
        <w:bottom w:val="none" w:sz="0" w:space="0" w:color="auto"/>
        <w:right w:val="none" w:sz="0" w:space="0" w:color="auto"/>
      </w:divBdr>
    </w:div>
    <w:div w:id="1601642933">
      <w:bodyDiv w:val="1"/>
      <w:marLeft w:val="0"/>
      <w:marRight w:val="0"/>
      <w:marTop w:val="0"/>
      <w:marBottom w:val="0"/>
      <w:divBdr>
        <w:top w:val="none" w:sz="0" w:space="0" w:color="auto"/>
        <w:left w:val="none" w:sz="0" w:space="0" w:color="auto"/>
        <w:bottom w:val="none" w:sz="0" w:space="0" w:color="auto"/>
        <w:right w:val="none" w:sz="0" w:space="0" w:color="auto"/>
      </w:divBdr>
    </w:div>
    <w:div w:id="1601716471">
      <w:bodyDiv w:val="1"/>
      <w:marLeft w:val="0"/>
      <w:marRight w:val="0"/>
      <w:marTop w:val="0"/>
      <w:marBottom w:val="0"/>
      <w:divBdr>
        <w:top w:val="none" w:sz="0" w:space="0" w:color="auto"/>
        <w:left w:val="none" w:sz="0" w:space="0" w:color="auto"/>
        <w:bottom w:val="none" w:sz="0" w:space="0" w:color="auto"/>
        <w:right w:val="none" w:sz="0" w:space="0" w:color="auto"/>
      </w:divBdr>
    </w:div>
    <w:div w:id="1601790296">
      <w:bodyDiv w:val="1"/>
      <w:marLeft w:val="0"/>
      <w:marRight w:val="0"/>
      <w:marTop w:val="0"/>
      <w:marBottom w:val="0"/>
      <w:divBdr>
        <w:top w:val="none" w:sz="0" w:space="0" w:color="auto"/>
        <w:left w:val="none" w:sz="0" w:space="0" w:color="auto"/>
        <w:bottom w:val="none" w:sz="0" w:space="0" w:color="auto"/>
        <w:right w:val="none" w:sz="0" w:space="0" w:color="auto"/>
      </w:divBdr>
    </w:div>
    <w:div w:id="1601791916">
      <w:bodyDiv w:val="1"/>
      <w:marLeft w:val="0"/>
      <w:marRight w:val="0"/>
      <w:marTop w:val="0"/>
      <w:marBottom w:val="0"/>
      <w:divBdr>
        <w:top w:val="none" w:sz="0" w:space="0" w:color="auto"/>
        <w:left w:val="none" w:sz="0" w:space="0" w:color="auto"/>
        <w:bottom w:val="none" w:sz="0" w:space="0" w:color="auto"/>
        <w:right w:val="none" w:sz="0" w:space="0" w:color="auto"/>
      </w:divBdr>
    </w:div>
    <w:div w:id="1601831791">
      <w:bodyDiv w:val="1"/>
      <w:marLeft w:val="0"/>
      <w:marRight w:val="0"/>
      <w:marTop w:val="0"/>
      <w:marBottom w:val="0"/>
      <w:divBdr>
        <w:top w:val="none" w:sz="0" w:space="0" w:color="auto"/>
        <w:left w:val="none" w:sz="0" w:space="0" w:color="auto"/>
        <w:bottom w:val="none" w:sz="0" w:space="0" w:color="auto"/>
        <w:right w:val="none" w:sz="0" w:space="0" w:color="auto"/>
      </w:divBdr>
    </w:div>
    <w:div w:id="1601910760">
      <w:bodyDiv w:val="1"/>
      <w:marLeft w:val="0"/>
      <w:marRight w:val="0"/>
      <w:marTop w:val="0"/>
      <w:marBottom w:val="0"/>
      <w:divBdr>
        <w:top w:val="none" w:sz="0" w:space="0" w:color="auto"/>
        <w:left w:val="none" w:sz="0" w:space="0" w:color="auto"/>
        <w:bottom w:val="none" w:sz="0" w:space="0" w:color="auto"/>
        <w:right w:val="none" w:sz="0" w:space="0" w:color="auto"/>
      </w:divBdr>
    </w:div>
    <w:div w:id="1601989799">
      <w:bodyDiv w:val="1"/>
      <w:marLeft w:val="0"/>
      <w:marRight w:val="0"/>
      <w:marTop w:val="0"/>
      <w:marBottom w:val="0"/>
      <w:divBdr>
        <w:top w:val="none" w:sz="0" w:space="0" w:color="auto"/>
        <w:left w:val="none" w:sz="0" w:space="0" w:color="auto"/>
        <w:bottom w:val="none" w:sz="0" w:space="0" w:color="auto"/>
        <w:right w:val="none" w:sz="0" w:space="0" w:color="auto"/>
      </w:divBdr>
    </w:div>
    <w:div w:id="1602108369">
      <w:bodyDiv w:val="1"/>
      <w:marLeft w:val="0"/>
      <w:marRight w:val="0"/>
      <w:marTop w:val="0"/>
      <w:marBottom w:val="0"/>
      <w:divBdr>
        <w:top w:val="none" w:sz="0" w:space="0" w:color="auto"/>
        <w:left w:val="none" w:sz="0" w:space="0" w:color="auto"/>
        <w:bottom w:val="none" w:sz="0" w:space="0" w:color="auto"/>
        <w:right w:val="none" w:sz="0" w:space="0" w:color="auto"/>
      </w:divBdr>
    </w:div>
    <w:div w:id="1602252091">
      <w:bodyDiv w:val="1"/>
      <w:marLeft w:val="0"/>
      <w:marRight w:val="0"/>
      <w:marTop w:val="0"/>
      <w:marBottom w:val="0"/>
      <w:divBdr>
        <w:top w:val="none" w:sz="0" w:space="0" w:color="auto"/>
        <w:left w:val="none" w:sz="0" w:space="0" w:color="auto"/>
        <w:bottom w:val="none" w:sz="0" w:space="0" w:color="auto"/>
        <w:right w:val="none" w:sz="0" w:space="0" w:color="auto"/>
      </w:divBdr>
    </w:div>
    <w:div w:id="1602254014">
      <w:bodyDiv w:val="1"/>
      <w:marLeft w:val="0"/>
      <w:marRight w:val="0"/>
      <w:marTop w:val="0"/>
      <w:marBottom w:val="0"/>
      <w:divBdr>
        <w:top w:val="none" w:sz="0" w:space="0" w:color="auto"/>
        <w:left w:val="none" w:sz="0" w:space="0" w:color="auto"/>
        <w:bottom w:val="none" w:sz="0" w:space="0" w:color="auto"/>
        <w:right w:val="none" w:sz="0" w:space="0" w:color="auto"/>
      </w:divBdr>
    </w:div>
    <w:div w:id="1602298140">
      <w:bodyDiv w:val="1"/>
      <w:marLeft w:val="0"/>
      <w:marRight w:val="0"/>
      <w:marTop w:val="0"/>
      <w:marBottom w:val="0"/>
      <w:divBdr>
        <w:top w:val="none" w:sz="0" w:space="0" w:color="auto"/>
        <w:left w:val="none" w:sz="0" w:space="0" w:color="auto"/>
        <w:bottom w:val="none" w:sz="0" w:space="0" w:color="auto"/>
        <w:right w:val="none" w:sz="0" w:space="0" w:color="auto"/>
      </w:divBdr>
    </w:div>
    <w:div w:id="1602298736">
      <w:bodyDiv w:val="1"/>
      <w:marLeft w:val="0"/>
      <w:marRight w:val="0"/>
      <w:marTop w:val="0"/>
      <w:marBottom w:val="0"/>
      <w:divBdr>
        <w:top w:val="none" w:sz="0" w:space="0" w:color="auto"/>
        <w:left w:val="none" w:sz="0" w:space="0" w:color="auto"/>
        <w:bottom w:val="none" w:sz="0" w:space="0" w:color="auto"/>
        <w:right w:val="none" w:sz="0" w:space="0" w:color="auto"/>
      </w:divBdr>
    </w:div>
    <w:div w:id="1602376921">
      <w:bodyDiv w:val="1"/>
      <w:marLeft w:val="0"/>
      <w:marRight w:val="0"/>
      <w:marTop w:val="0"/>
      <w:marBottom w:val="0"/>
      <w:divBdr>
        <w:top w:val="none" w:sz="0" w:space="0" w:color="auto"/>
        <w:left w:val="none" w:sz="0" w:space="0" w:color="auto"/>
        <w:bottom w:val="none" w:sz="0" w:space="0" w:color="auto"/>
        <w:right w:val="none" w:sz="0" w:space="0" w:color="auto"/>
      </w:divBdr>
    </w:div>
    <w:div w:id="1602450246">
      <w:bodyDiv w:val="1"/>
      <w:marLeft w:val="0"/>
      <w:marRight w:val="0"/>
      <w:marTop w:val="0"/>
      <w:marBottom w:val="0"/>
      <w:divBdr>
        <w:top w:val="none" w:sz="0" w:space="0" w:color="auto"/>
        <w:left w:val="none" w:sz="0" w:space="0" w:color="auto"/>
        <w:bottom w:val="none" w:sz="0" w:space="0" w:color="auto"/>
        <w:right w:val="none" w:sz="0" w:space="0" w:color="auto"/>
      </w:divBdr>
    </w:div>
    <w:div w:id="1602570131">
      <w:bodyDiv w:val="1"/>
      <w:marLeft w:val="0"/>
      <w:marRight w:val="0"/>
      <w:marTop w:val="0"/>
      <w:marBottom w:val="0"/>
      <w:divBdr>
        <w:top w:val="none" w:sz="0" w:space="0" w:color="auto"/>
        <w:left w:val="none" w:sz="0" w:space="0" w:color="auto"/>
        <w:bottom w:val="none" w:sz="0" w:space="0" w:color="auto"/>
        <w:right w:val="none" w:sz="0" w:space="0" w:color="auto"/>
      </w:divBdr>
    </w:div>
    <w:div w:id="1602572110">
      <w:bodyDiv w:val="1"/>
      <w:marLeft w:val="0"/>
      <w:marRight w:val="0"/>
      <w:marTop w:val="0"/>
      <w:marBottom w:val="0"/>
      <w:divBdr>
        <w:top w:val="none" w:sz="0" w:space="0" w:color="auto"/>
        <w:left w:val="none" w:sz="0" w:space="0" w:color="auto"/>
        <w:bottom w:val="none" w:sz="0" w:space="0" w:color="auto"/>
        <w:right w:val="none" w:sz="0" w:space="0" w:color="auto"/>
      </w:divBdr>
    </w:div>
    <w:div w:id="1602684058">
      <w:bodyDiv w:val="1"/>
      <w:marLeft w:val="0"/>
      <w:marRight w:val="0"/>
      <w:marTop w:val="0"/>
      <w:marBottom w:val="0"/>
      <w:divBdr>
        <w:top w:val="none" w:sz="0" w:space="0" w:color="auto"/>
        <w:left w:val="none" w:sz="0" w:space="0" w:color="auto"/>
        <w:bottom w:val="none" w:sz="0" w:space="0" w:color="auto"/>
        <w:right w:val="none" w:sz="0" w:space="0" w:color="auto"/>
      </w:divBdr>
    </w:div>
    <w:div w:id="1602715278">
      <w:bodyDiv w:val="1"/>
      <w:marLeft w:val="0"/>
      <w:marRight w:val="0"/>
      <w:marTop w:val="0"/>
      <w:marBottom w:val="0"/>
      <w:divBdr>
        <w:top w:val="none" w:sz="0" w:space="0" w:color="auto"/>
        <w:left w:val="none" w:sz="0" w:space="0" w:color="auto"/>
        <w:bottom w:val="none" w:sz="0" w:space="0" w:color="auto"/>
        <w:right w:val="none" w:sz="0" w:space="0" w:color="auto"/>
      </w:divBdr>
    </w:div>
    <w:div w:id="1602912241">
      <w:bodyDiv w:val="1"/>
      <w:marLeft w:val="0"/>
      <w:marRight w:val="0"/>
      <w:marTop w:val="0"/>
      <w:marBottom w:val="0"/>
      <w:divBdr>
        <w:top w:val="none" w:sz="0" w:space="0" w:color="auto"/>
        <w:left w:val="none" w:sz="0" w:space="0" w:color="auto"/>
        <w:bottom w:val="none" w:sz="0" w:space="0" w:color="auto"/>
        <w:right w:val="none" w:sz="0" w:space="0" w:color="auto"/>
      </w:divBdr>
    </w:div>
    <w:div w:id="1602950231">
      <w:bodyDiv w:val="1"/>
      <w:marLeft w:val="0"/>
      <w:marRight w:val="0"/>
      <w:marTop w:val="0"/>
      <w:marBottom w:val="0"/>
      <w:divBdr>
        <w:top w:val="none" w:sz="0" w:space="0" w:color="auto"/>
        <w:left w:val="none" w:sz="0" w:space="0" w:color="auto"/>
        <w:bottom w:val="none" w:sz="0" w:space="0" w:color="auto"/>
        <w:right w:val="none" w:sz="0" w:space="0" w:color="auto"/>
      </w:divBdr>
    </w:div>
    <w:div w:id="1602951868">
      <w:bodyDiv w:val="1"/>
      <w:marLeft w:val="0"/>
      <w:marRight w:val="0"/>
      <w:marTop w:val="0"/>
      <w:marBottom w:val="0"/>
      <w:divBdr>
        <w:top w:val="none" w:sz="0" w:space="0" w:color="auto"/>
        <w:left w:val="none" w:sz="0" w:space="0" w:color="auto"/>
        <w:bottom w:val="none" w:sz="0" w:space="0" w:color="auto"/>
        <w:right w:val="none" w:sz="0" w:space="0" w:color="auto"/>
      </w:divBdr>
    </w:div>
    <w:div w:id="1603026781">
      <w:bodyDiv w:val="1"/>
      <w:marLeft w:val="0"/>
      <w:marRight w:val="0"/>
      <w:marTop w:val="0"/>
      <w:marBottom w:val="0"/>
      <w:divBdr>
        <w:top w:val="none" w:sz="0" w:space="0" w:color="auto"/>
        <w:left w:val="none" w:sz="0" w:space="0" w:color="auto"/>
        <w:bottom w:val="none" w:sz="0" w:space="0" w:color="auto"/>
        <w:right w:val="none" w:sz="0" w:space="0" w:color="auto"/>
      </w:divBdr>
    </w:div>
    <w:div w:id="1603100440">
      <w:bodyDiv w:val="1"/>
      <w:marLeft w:val="0"/>
      <w:marRight w:val="0"/>
      <w:marTop w:val="0"/>
      <w:marBottom w:val="0"/>
      <w:divBdr>
        <w:top w:val="none" w:sz="0" w:space="0" w:color="auto"/>
        <w:left w:val="none" w:sz="0" w:space="0" w:color="auto"/>
        <w:bottom w:val="none" w:sz="0" w:space="0" w:color="auto"/>
        <w:right w:val="none" w:sz="0" w:space="0" w:color="auto"/>
      </w:divBdr>
    </w:div>
    <w:div w:id="1603100799">
      <w:bodyDiv w:val="1"/>
      <w:marLeft w:val="0"/>
      <w:marRight w:val="0"/>
      <w:marTop w:val="0"/>
      <w:marBottom w:val="0"/>
      <w:divBdr>
        <w:top w:val="none" w:sz="0" w:space="0" w:color="auto"/>
        <w:left w:val="none" w:sz="0" w:space="0" w:color="auto"/>
        <w:bottom w:val="none" w:sz="0" w:space="0" w:color="auto"/>
        <w:right w:val="none" w:sz="0" w:space="0" w:color="auto"/>
      </w:divBdr>
    </w:div>
    <w:div w:id="1603102177">
      <w:bodyDiv w:val="1"/>
      <w:marLeft w:val="0"/>
      <w:marRight w:val="0"/>
      <w:marTop w:val="0"/>
      <w:marBottom w:val="0"/>
      <w:divBdr>
        <w:top w:val="none" w:sz="0" w:space="0" w:color="auto"/>
        <w:left w:val="none" w:sz="0" w:space="0" w:color="auto"/>
        <w:bottom w:val="none" w:sz="0" w:space="0" w:color="auto"/>
        <w:right w:val="none" w:sz="0" w:space="0" w:color="auto"/>
      </w:divBdr>
    </w:div>
    <w:div w:id="1603218603">
      <w:bodyDiv w:val="1"/>
      <w:marLeft w:val="0"/>
      <w:marRight w:val="0"/>
      <w:marTop w:val="0"/>
      <w:marBottom w:val="0"/>
      <w:divBdr>
        <w:top w:val="none" w:sz="0" w:space="0" w:color="auto"/>
        <w:left w:val="none" w:sz="0" w:space="0" w:color="auto"/>
        <w:bottom w:val="none" w:sz="0" w:space="0" w:color="auto"/>
        <w:right w:val="none" w:sz="0" w:space="0" w:color="auto"/>
      </w:divBdr>
    </w:div>
    <w:div w:id="1603296691">
      <w:bodyDiv w:val="1"/>
      <w:marLeft w:val="0"/>
      <w:marRight w:val="0"/>
      <w:marTop w:val="0"/>
      <w:marBottom w:val="0"/>
      <w:divBdr>
        <w:top w:val="none" w:sz="0" w:space="0" w:color="auto"/>
        <w:left w:val="none" w:sz="0" w:space="0" w:color="auto"/>
        <w:bottom w:val="none" w:sz="0" w:space="0" w:color="auto"/>
        <w:right w:val="none" w:sz="0" w:space="0" w:color="auto"/>
      </w:divBdr>
    </w:div>
    <w:div w:id="1603298713">
      <w:bodyDiv w:val="1"/>
      <w:marLeft w:val="0"/>
      <w:marRight w:val="0"/>
      <w:marTop w:val="0"/>
      <w:marBottom w:val="0"/>
      <w:divBdr>
        <w:top w:val="none" w:sz="0" w:space="0" w:color="auto"/>
        <w:left w:val="none" w:sz="0" w:space="0" w:color="auto"/>
        <w:bottom w:val="none" w:sz="0" w:space="0" w:color="auto"/>
        <w:right w:val="none" w:sz="0" w:space="0" w:color="auto"/>
      </w:divBdr>
    </w:div>
    <w:div w:id="1603298740">
      <w:bodyDiv w:val="1"/>
      <w:marLeft w:val="0"/>
      <w:marRight w:val="0"/>
      <w:marTop w:val="0"/>
      <w:marBottom w:val="0"/>
      <w:divBdr>
        <w:top w:val="none" w:sz="0" w:space="0" w:color="auto"/>
        <w:left w:val="none" w:sz="0" w:space="0" w:color="auto"/>
        <w:bottom w:val="none" w:sz="0" w:space="0" w:color="auto"/>
        <w:right w:val="none" w:sz="0" w:space="0" w:color="auto"/>
      </w:divBdr>
    </w:div>
    <w:div w:id="1603299937">
      <w:bodyDiv w:val="1"/>
      <w:marLeft w:val="0"/>
      <w:marRight w:val="0"/>
      <w:marTop w:val="0"/>
      <w:marBottom w:val="0"/>
      <w:divBdr>
        <w:top w:val="none" w:sz="0" w:space="0" w:color="auto"/>
        <w:left w:val="none" w:sz="0" w:space="0" w:color="auto"/>
        <w:bottom w:val="none" w:sz="0" w:space="0" w:color="auto"/>
        <w:right w:val="none" w:sz="0" w:space="0" w:color="auto"/>
      </w:divBdr>
    </w:div>
    <w:div w:id="1603301578">
      <w:bodyDiv w:val="1"/>
      <w:marLeft w:val="0"/>
      <w:marRight w:val="0"/>
      <w:marTop w:val="0"/>
      <w:marBottom w:val="0"/>
      <w:divBdr>
        <w:top w:val="none" w:sz="0" w:space="0" w:color="auto"/>
        <w:left w:val="none" w:sz="0" w:space="0" w:color="auto"/>
        <w:bottom w:val="none" w:sz="0" w:space="0" w:color="auto"/>
        <w:right w:val="none" w:sz="0" w:space="0" w:color="auto"/>
      </w:divBdr>
    </w:div>
    <w:div w:id="1603343035">
      <w:bodyDiv w:val="1"/>
      <w:marLeft w:val="0"/>
      <w:marRight w:val="0"/>
      <w:marTop w:val="0"/>
      <w:marBottom w:val="0"/>
      <w:divBdr>
        <w:top w:val="none" w:sz="0" w:space="0" w:color="auto"/>
        <w:left w:val="none" w:sz="0" w:space="0" w:color="auto"/>
        <w:bottom w:val="none" w:sz="0" w:space="0" w:color="auto"/>
        <w:right w:val="none" w:sz="0" w:space="0" w:color="auto"/>
      </w:divBdr>
    </w:div>
    <w:div w:id="1603343823">
      <w:bodyDiv w:val="1"/>
      <w:marLeft w:val="0"/>
      <w:marRight w:val="0"/>
      <w:marTop w:val="0"/>
      <w:marBottom w:val="0"/>
      <w:divBdr>
        <w:top w:val="none" w:sz="0" w:space="0" w:color="auto"/>
        <w:left w:val="none" w:sz="0" w:space="0" w:color="auto"/>
        <w:bottom w:val="none" w:sz="0" w:space="0" w:color="auto"/>
        <w:right w:val="none" w:sz="0" w:space="0" w:color="auto"/>
      </w:divBdr>
    </w:div>
    <w:div w:id="1603344096">
      <w:bodyDiv w:val="1"/>
      <w:marLeft w:val="0"/>
      <w:marRight w:val="0"/>
      <w:marTop w:val="0"/>
      <w:marBottom w:val="0"/>
      <w:divBdr>
        <w:top w:val="none" w:sz="0" w:space="0" w:color="auto"/>
        <w:left w:val="none" w:sz="0" w:space="0" w:color="auto"/>
        <w:bottom w:val="none" w:sz="0" w:space="0" w:color="auto"/>
        <w:right w:val="none" w:sz="0" w:space="0" w:color="auto"/>
      </w:divBdr>
    </w:div>
    <w:div w:id="1603370010">
      <w:bodyDiv w:val="1"/>
      <w:marLeft w:val="0"/>
      <w:marRight w:val="0"/>
      <w:marTop w:val="0"/>
      <w:marBottom w:val="0"/>
      <w:divBdr>
        <w:top w:val="none" w:sz="0" w:space="0" w:color="auto"/>
        <w:left w:val="none" w:sz="0" w:space="0" w:color="auto"/>
        <w:bottom w:val="none" w:sz="0" w:space="0" w:color="auto"/>
        <w:right w:val="none" w:sz="0" w:space="0" w:color="auto"/>
      </w:divBdr>
    </w:div>
    <w:div w:id="1603535015">
      <w:bodyDiv w:val="1"/>
      <w:marLeft w:val="0"/>
      <w:marRight w:val="0"/>
      <w:marTop w:val="0"/>
      <w:marBottom w:val="0"/>
      <w:divBdr>
        <w:top w:val="none" w:sz="0" w:space="0" w:color="auto"/>
        <w:left w:val="none" w:sz="0" w:space="0" w:color="auto"/>
        <w:bottom w:val="none" w:sz="0" w:space="0" w:color="auto"/>
        <w:right w:val="none" w:sz="0" w:space="0" w:color="auto"/>
      </w:divBdr>
    </w:div>
    <w:div w:id="1603561781">
      <w:bodyDiv w:val="1"/>
      <w:marLeft w:val="0"/>
      <w:marRight w:val="0"/>
      <w:marTop w:val="0"/>
      <w:marBottom w:val="0"/>
      <w:divBdr>
        <w:top w:val="none" w:sz="0" w:space="0" w:color="auto"/>
        <w:left w:val="none" w:sz="0" w:space="0" w:color="auto"/>
        <w:bottom w:val="none" w:sz="0" w:space="0" w:color="auto"/>
        <w:right w:val="none" w:sz="0" w:space="0" w:color="auto"/>
      </w:divBdr>
    </w:div>
    <w:div w:id="1603610471">
      <w:bodyDiv w:val="1"/>
      <w:marLeft w:val="0"/>
      <w:marRight w:val="0"/>
      <w:marTop w:val="0"/>
      <w:marBottom w:val="0"/>
      <w:divBdr>
        <w:top w:val="none" w:sz="0" w:space="0" w:color="auto"/>
        <w:left w:val="none" w:sz="0" w:space="0" w:color="auto"/>
        <w:bottom w:val="none" w:sz="0" w:space="0" w:color="auto"/>
        <w:right w:val="none" w:sz="0" w:space="0" w:color="auto"/>
      </w:divBdr>
    </w:div>
    <w:div w:id="1603805700">
      <w:bodyDiv w:val="1"/>
      <w:marLeft w:val="0"/>
      <w:marRight w:val="0"/>
      <w:marTop w:val="0"/>
      <w:marBottom w:val="0"/>
      <w:divBdr>
        <w:top w:val="none" w:sz="0" w:space="0" w:color="auto"/>
        <w:left w:val="none" w:sz="0" w:space="0" w:color="auto"/>
        <w:bottom w:val="none" w:sz="0" w:space="0" w:color="auto"/>
        <w:right w:val="none" w:sz="0" w:space="0" w:color="auto"/>
      </w:divBdr>
    </w:div>
    <w:div w:id="1603950567">
      <w:bodyDiv w:val="1"/>
      <w:marLeft w:val="0"/>
      <w:marRight w:val="0"/>
      <w:marTop w:val="0"/>
      <w:marBottom w:val="0"/>
      <w:divBdr>
        <w:top w:val="none" w:sz="0" w:space="0" w:color="auto"/>
        <w:left w:val="none" w:sz="0" w:space="0" w:color="auto"/>
        <w:bottom w:val="none" w:sz="0" w:space="0" w:color="auto"/>
        <w:right w:val="none" w:sz="0" w:space="0" w:color="auto"/>
      </w:divBdr>
    </w:div>
    <w:div w:id="1604067748">
      <w:bodyDiv w:val="1"/>
      <w:marLeft w:val="0"/>
      <w:marRight w:val="0"/>
      <w:marTop w:val="0"/>
      <w:marBottom w:val="0"/>
      <w:divBdr>
        <w:top w:val="none" w:sz="0" w:space="0" w:color="auto"/>
        <w:left w:val="none" w:sz="0" w:space="0" w:color="auto"/>
        <w:bottom w:val="none" w:sz="0" w:space="0" w:color="auto"/>
        <w:right w:val="none" w:sz="0" w:space="0" w:color="auto"/>
      </w:divBdr>
    </w:div>
    <w:div w:id="1604143588">
      <w:bodyDiv w:val="1"/>
      <w:marLeft w:val="0"/>
      <w:marRight w:val="0"/>
      <w:marTop w:val="0"/>
      <w:marBottom w:val="0"/>
      <w:divBdr>
        <w:top w:val="none" w:sz="0" w:space="0" w:color="auto"/>
        <w:left w:val="none" w:sz="0" w:space="0" w:color="auto"/>
        <w:bottom w:val="none" w:sz="0" w:space="0" w:color="auto"/>
        <w:right w:val="none" w:sz="0" w:space="0" w:color="auto"/>
      </w:divBdr>
    </w:div>
    <w:div w:id="1604193019">
      <w:bodyDiv w:val="1"/>
      <w:marLeft w:val="0"/>
      <w:marRight w:val="0"/>
      <w:marTop w:val="0"/>
      <w:marBottom w:val="0"/>
      <w:divBdr>
        <w:top w:val="none" w:sz="0" w:space="0" w:color="auto"/>
        <w:left w:val="none" w:sz="0" w:space="0" w:color="auto"/>
        <w:bottom w:val="none" w:sz="0" w:space="0" w:color="auto"/>
        <w:right w:val="none" w:sz="0" w:space="0" w:color="auto"/>
      </w:divBdr>
    </w:div>
    <w:div w:id="1604456419">
      <w:bodyDiv w:val="1"/>
      <w:marLeft w:val="0"/>
      <w:marRight w:val="0"/>
      <w:marTop w:val="0"/>
      <w:marBottom w:val="0"/>
      <w:divBdr>
        <w:top w:val="none" w:sz="0" w:space="0" w:color="auto"/>
        <w:left w:val="none" w:sz="0" w:space="0" w:color="auto"/>
        <w:bottom w:val="none" w:sz="0" w:space="0" w:color="auto"/>
        <w:right w:val="none" w:sz="0" w:space="0" w:color="auto"/>
      </w:divBdr>
    </w:div>
    <w:div w:id="1604457015">
      <w:bodyDiv w:val="1"/>
      <w:marLeft w:val="0"/>
      <w:marRight w:val="0"/>
      <w:marTop w:val="0"/>
      <w:marBottom w:val="0"/>
      <w:divBdr>
        <w:top w:val="none" w:sz="0" w:space="0" w:color="auto"/>
        <w:left w:val="none" w:sz="0" w:space="0" w:color="auto"/>
        <w:bottom w:val="none" w:sz="0" w:space="0" w:color="auto"/>
        <w:right w:val="none" w:sz="0" w:space="0" w:color="auto"/>
      </w:divBdr>
    </w:div>
    <w:div w:id="1604529317">
      <w:bodyDiv w:val="1"/>
      <w:marLeft w:val="0"/>
      <w:marRight w:val="0"/>
      <w:marTop w:val="0"/>
      <w:marBottom w:val="0"/>
      <w:divBdr>
        <w:top w:val="none" w:sz="0" w:space="0" w:color="auto"/>
        <w:left w:val="none" w:sz="0" w:space="0" w:color="auto"/>
        <w:bottom w:val="none" w:sz="0" w:space="0" w:color="auto"/>
        <w:right w:val="none" w:sz="0" w:space="0" w:color="auto"/>
      </w:divBdr>
    </w:div>
    <w:div w:id="1604725943">
      <w:bodyDiv w:val="1"/>
      <w:marLeft w:val="0"/>
      <w:marRight w:val="0"/>
      <w:marTop w:val="0"/>
      <w:marBottom w:val="0"/>
      <w:divBdr>
        <w:top w:val="none" w:sz="0" w:space="0" w:color="auto"/>
        <w:left w:val="none" w:sz="0" w:space="0" w:color="auto"/>
        <w:bottom w:val="none" w:sz="0" w:space="0" w:color="auto"/>
        <w:right w:val="none" w:sz="0" w:space="0" w:color="auto"/>
      </w:divBdr>
    </w:div>
    <w:div w:id="1604846373">
      <w:bodyDiv w:val="1"/>
      <w:marLeft w:val="0"/>
      <w:marRight w:val="0"/>
      <w:marTop w:val="0"/>
      <w:marBottom w:val="0"/>
      <w:divBdr>
        <w:top w:val="none" w:sz="0" w:space="0" w:color="auto"/>
        <w:left w:val="none" w:sz="0" w:space="0" w:color="auto"/>
        <w:bottom w:val="none" w:sz="0" w:space="0" w:color="auto"/>
        <w:right w:val="none" w:sz="0" w:space="0" w:color="auto"/>
      </w:divBdr>
    </w:div>
    <w:div w:id="1604991003">
      <w:bodyDiv w:val="1"/>
      <w:marLeft w:val="0"/>
      <w:marRight w:val="0"/>
      <w:marTop w:val="0"/>
      <w:marBottom w:val="0"/>
      <w:divBdr>
        <w:top w:val="none" w:sz="0" w:space="0" w:color="auto"/>
        <w:left w:val="none" w:sz="0" w:space="0" w:color="auto"/>
        <w:bottom w:val="none" w:sz="0" w:space="0" w:color="auto"/>
        <w:right w:val="none" w:sz="0" w:space="0" w:color="auto"/>
      </w:divBdr>
    </w:div>
    <w:div w:id="1605115957">
      <w:bodyDiv w:val="1"/>
      <w:marLeft w:val="0"/>
      <w:marRight w:val="0"/>
      <w:marTop w:val="0"/>
      <w:marBottom w:val="0"/>
      <w:divBdr>
        <w:top w:val="none" w:sz="0" w:space="0" w:color="auto"/>
        <w:left w:val="none" w:sz="0" w:space="0" w:color="auto"/>
        <w:bottom w:val="none" w:sz="0" w:space="0" w:color="auto"/>
        <w:right w:val="none" w:sz="0" w:space="0" w:color="auto"/>
      </w:divBdr>
    </w:div>
    <w:div w:id="1605264485">
      <w:bodyDiv w:val="1"/>
      <w:marLeft w:val="0"/>
      <w:marRight w:val="0"/>
      <w:marTop w:val="0"/>
      <w:marBottom w:val="0"/>
      <w:divBdr>
        <w:top w:val="none" w:sz="0" w:space="0" w:color="auto"/>
        <w:left w:val="none" w:sz="0" w:space="0" w:color="auto"/>
        <w:bottom w:val="none" w:sz="0" w:space="0" w:color="auto"/>
        <w:right w:val="none" w:sz="0" w:space="0" w:color="auto"/>
      </w:divBdr>
    </w:div>
    <w:div w:id="1605335165">
      <w:bodyDiv w:val="1"/>
      <w:marLeft w:val="0"/>
      <w:marRight w:val="0"/>
      <w:marTop w:val="0"/>
      <w:marBottom w:val="0"/>
      <w:divBdr>
        <w:top w:val="none" w:sz="0" w:space="0" w:color="auto"/>
        <w:left w:val="none" w:sz="0" w:space="0" w:color="auto"/>
        <w:bottom w:val="none" w:sz="0" w:space="0" w:color="auto"/>
        <w:right w:val="none" w:sz="0" w:space="0" w:color="auto"/>
      </w:divBdr>
    </w:div>
    <w:div w:id="1605335327">
      <w:bodyDiv w:val="1"/>
      <w:marLeft w:val="0"/>
      <w:marRight w:val="0"/>
      <w:marTop w:val="0"/>
      <w:marBottom w:val="0"/>
      <w:divBdr>
        <w:top w:val="none" w:sz="0" w:space="0" w:color="auto"/>
        <w:left w:val="none" w:sz="0" w:space="0" w:color="auto"/>
        <w:bottom w:val="none" w:sz="0" w:space="0" w:color="auto"/>
        <w:right w:val="none" w:sz="0" w:space="0" w:color="auto"/>
      </w:divBdr>
    </w:div>
    <w:div w:id="1605652224">
      <w:bodyDiv w:val="1"/>
      <w:marLeft w:val="0"/>
      <w:marRight w:val="0"/>
      <w:marTop w:val="0"/>
      <w:marBottom w:val="0"/>
      <w:divBdr>
        <w:top w:val="none" w:sz="0" w:space="0" w:color="auto"/>
        <w:left w:val="none" w:sz="0" w:space="0" w:color="auto"/>
        <w:bottom w:val="none" w:sz="0" w:space="0" w:color="auto"/>
        <w:right w:val="none" w:sz="0" w:space="0" w:color="auto"/>
      </w:divBdr>
    </w:div>
    <w:div w:id="1605652961">
      <w:bodyDiv w:val="1"/>
      <w:marLeft w:val="0"/>
      <w:marRight w:val="0"/>
      <w:marTop w:val="0"/>
      <w:marBottom w:val="0"/>
      <w:divBdr>
        <w:top w:val="none" w:sz="0" w:space="0" w:color="auto"/>
        <w:left w:val="none" w:sz="0" w:space="0" w:color="auto"/>
        <w:bottom w:val="none" w:sz="0" w:space="0" w:color="auto"/>
        <w:right w:val="none" w:sz="0" w:space="0" w:color="auto"/>
      </w:divBdr>
    </w:div>
    <w:div w:id="1605771675">
      <w:bodyDiv w:val="1"/>
      <w:marLeft w:val="0"/>
      <w:marRight w:val="0"/>
      <w:marTop w:val="0"/>
      <w:marBottom w:val="0"/>
      <w:divBdr>
        <w:top w:val="none" w:sz="0" w:space="0" w:color="auto"/>
        <w:left w:val="none" w:sz="0" w:space="0" w:color="auto"/>
        <w:bottom w:val="none" w:sz="0" w:space="0" w:color="auto"/>
        <w:right w:val="none" w:sz="0" w:space="0" w:color="auto"/>
      </w:divBdr>
    </w:div>
    <w:div w:id="1605840779">
      <w:bodyDiv w:val="1"/>
      <w:marLeft w:val="0"/>
      <w:marRight w:val="0"/>
      <w:marTop w:val="0"/>
      <w:marBottom w:val="0"/>
      <w:divBdr>
        <w:top w:val="none" w:sz="0" w:space="0" w:color="auto"/>
        <w:left w:val="none" w:sz="0" w:space="0" w:color="auto"/>
        <w:bottom w:val="none" w:sz="0" w:space="0" w:color="auto"/>
        <w:right w:val="none" w:sz="0" w:space="0" w:color="auto"/>
      </w:divBdr>
    </w:div>
    <w:div w:id="1605847460">
      <w:bodyDiv w:val="1"/>
      <w:marLeft w:val="0"/>
      <w:marRight w:val="0"/>
      <w:marTop w:val="0"/>
      <w:marBottom w:val="0"/>
      <w:divBdr>
        <w:top w:val="none" w:sz="0" w:space="0" w:color="auto"/>
        <w:left w:val="none" w:sz="0" w:space="0" w:color="auto"/>
        <w:bottom w:val="none" w:sz="0" w:space="0" w:color="auto"/>
        <w:right w:val="none" w:sz="0" w:space="0" w:color="auto"/>
      </w:divBdr>
    </w:div>
    <w:div w:id="1605920397">
      <w:bodyDiv w:val="1"/>
      <w:marLeft w:val="0"/>
      <w:marRight w:val="0"/>
      <w:marTop w:val="0"/>
      <w:marBottom w:val="0"/>
      <w:divBdr>
        <w:top w:val="none" w:sz="0" w:space="0" w:color="auto"/>
        <w:left w:val="none" w:sz="0" w:space="0" w:color="auto"/>
        <w:bottom w:val="none" w:sz="0" w:space="0" w:color="auto"/>
        <w:right w:val="none" w:sz="0" w:space="0" w:color="auto"/>
      </w:divBdr>
    </w:div>
    <w:div w:id="1605964555">
      <w:bodyDiv w:val="1"/>
      <w:marLeft w:val="0"/>
      <w:marRight w:val="0"/>
      <w:marTop w:val="0"/>
      <w:marBottom w:val="0"/>
      <w:divBdr>
        <w:top w:val="none" w:sz="0" w:space="0" w:color="auto"/>
        <w:left w:val="none" w:sz="0" w:space="0" w:color="auto"/>
        <w:bottom w:val="none" w:sz="0" w:space="0" w:color="auto"/>
        <w:right w:val="none" w:sz="0" w:space="0" w:color="auto"/>
      </w:divBdr>
    </w:div>
    <w:div w:id="1605991481">
      <w:bodyDiv w:val="1"/>
      <w:marLeft w:val="0"/>
      <w:marRight w:val="0"/>
      <w:marTop w:val="0"/>
      <w:marBottom w:val="0"/>
      <w:divBdr>
        <w:top w:val="none" w:sz="0" w:space="0" w:color="auto"/>
        <w:left w:val="none" w:sz="0" w:space="0" w:color="auto"/>
        <w:bottom w:val="none" w:sz="0" w:space="0" w:color="auto"/>
        <w:right w:val="none" w:sz="0" w:space="0" w:color="auto"/>
      </w:divBdr>
    </w:div>
    <w:div w:id="1606186734">
      <w:bodyDiv w:val="1"/>
      <w:marLeft w:val="0"/>
      <w:marRight w:val="0"/>
      <w:marTop w:val="0"/>
      <w:marBottom w:val="0"/>
      <w:divBdr>
        <w:top w:val="none" w:sz="0" w:space="0" w:color="auto"/>
        <w:left w:val="none" w:sz="0" w:space="0" w:color="auto"/>
        <w:bottom w:val="none" w:sz="0" w:space="0" w:color="auto"/>
        <w:right w:val="none" w:sz="0" w:space="0" w:color="auto"/>
      </w:divBdr>
    </w:div>
    <w:div w:id="1606234496">
      <w:bodyDiv w:val="1"/>
      <w:marLeft w:val="0"/>
      <w:marRight w:val="0"/>
      <w:marTop w:val="0"/>
      <w:marBottom w:val="0"/>
      <w:divBdr>
        <w:top w:val="none" w:sz="0" w:space="0" w:color="auto"/>
        <w:left w:val="none" w:sz="0" w:space="0" w:color="auto"/>
        <w:bottom w:val="none" w:sz="0" w:space="0" w:color="auto"/>
        <w:right w:val="none" w:sz="0" w:space="0" w:color="auto"/>
      </w:divBdr>
    </w:div>
    <w:div w:id="1606419363">
      <w:bodyDiv w:val="1"/>
      <w:marLeft w:val="0"/>
      <w:marRight w:val="0"/>
      <w:marTop w:val="0"/>
      <w:marBottom w:val="0"/>
      <w:divBdr>
        <w:top w:val="none" w:sz="0" w:space="0" w:color="auto"/>
        <w:left w:val="none" w:sz="0" w:space="0" w:color="auto"/>
        <w:bottom w:val="none" w:sz="0" w:space="0" w:color="auto"/>
        <w:right w:val="none" w:sz="0" w:space="0" w:color="auto"/>
      </w:divBdr>
    </w:div>
    <w:div w:id="1606421323">
      <w:bodyDiv w:val="1"/>
      <w:marLeft w:val="0"/>
      <w:marRight w:val="0"/>
      <w:marTop w:val="0"/>
      <w:marBottom w:val="0"/>
      <w:divBdr>
        <w:top w:val="none" w:sz="0" w:space="0" w:color="auto"/>
        <w:left w:val="none" w:sz="0" w:space="0" w:color="auto"/>
        <w:bottom w:val="none" w:sz="0" w:space="0" w:color="auto"/>
        <w:right w:val="none" w:sz="0" w:space="0" w:color="auto"/>
      </w:divBdr>
    </w:div>
    <w:div w:id="1606501446">
      <w:bodyDiv w:val="1"/>
      <w:marLeft w:val="0"/>
      <w:marRight w:val="0"/>
      <w:marTop w:val="0"/>
      <w:marBottom w:val="0"/>
      <w:divBdr>
        <w:top w:val="none" w:sz="0" w:space="0" w:color="auto"/>
        <w:left w:val="none" w:sz="0" w:space="0" w:color="auto"/>
        <w:bottom w:val="none" w:sz="0" w:space="0" w:color="auto"/>
        <w:right w:val="none" w:sz="0" w:space="0" w:color="auto"/>
      </w:divBdr>
    </w:div>
    <w:div w:id="1606764602">
      <w:bodyDiv w:val="1"/>
      <w:marLeft w:val="0"/>
      <w:marRight w:val="0"/>
      <w:marTop w:val="0"/>
      <w:marBottom w:val="0"/>
      <w:divBdr>
        <w:top w:val="none" w:sz="0" w:space="0" w:color="auto"/>
        <w:left w:val="none" w:sz="0" w:space="0" w:color="auto"/>
        <w:bottom w:val="none" w:sz="0" w:space="0" w:color="auto"/>
        <w:right w:val="none" w:sz="0" w:space="0" w:color="auto"/>
      </w:divBdr>
    </w:div>
    <w:div w:id="1606766897">
      <w:bodyDiv w:val="1"/>
      <w:marLeft w:val="0"/>
      <w:marRight w:val="0"/>
      <w:marTop w:val="0"/>
      <w:marBottom w:val="0"/>
      <w:divBdr>
        <w:top w:val="none" w:sz="0" w:space="0" w:color="auto"/>
        <w:left w:val="none" w:sz="0" w:space="0" w:color="auto"/>
        <w:bottom w:val="none" w:sz="0" w:space="0" w:color="auto"/>
        <w:right w:val="none" w:sz="0" w:space="0" w:color="auto"/>
      </w:divBdr>
    </w:div>
    <w:div w:id="1606767926">
      <w:bodyDiv w:val="1"/>
      <w:marLeft w:val="0"/>
      <w:marRight w:val="0"/>
      <w:marTop w:val="0"/>
      <w:marBottom w:val="0"/>
      <w:divBdr>
        <w:top w:val="none" w:sz="0" w:space="0" w:color="auto"/>
        <w:left w:val="none" w:sz="0" w:space="0" w:color="auto"/>
        <w:bottom w:val="none" w:sz="0" w:space="0" w:color="auto"/>
        <w:right w:val="none" w:sz="0" w:space="0" w:color="auto"/>
      </w:divBdr>
    </w:div>
    <w:div w:id="1606768278">
      <w:bodyDiv w:val="1"/>
      <w:marLeft w:val="0"/>
      <w:marRight w:val="0"/>
      <w:marTop w:val="0"/>
      <w:marBottom w:val="0"/>
      <w:divBdr>
        <w:top w:val="none" w:sz="0" w:space="0" w:color="auto"/>
        <w:left w:val="none" w:sz="0" w:space="0" w:color="auto"/>
        <w:bottom w:val="none" w:sz="0" w:space="0" w:color="auto"/>
        <w:right w:val="none" w:sz="0" w:space="0" w:color="auto"/>
      </w:divBdr>
    </w:div>
    <w:div w:id="1606840652">
      <w:bodyDiv w:val="1"/>
      <w:marLeft w:val="0"/>
      <w:marRight w:val="0"/>
      <w:marTop w:val="0"/>
      <w:marBottom w:val="0"/>
      <w:divBdr>
        <w:top w:val="none" w:sz="0" w:space="0" w:color="auto"/>
        <w:left w:val="none" w:sz="0" w:space="0" w:color="auto"/>
        <w:bottom w:val="none" w:sz="0" w:space="0" w:color="auto"/>
        <w:right w:val="none" w:sz="0" w:space="0" w:color="auto"/>
      </w:divBdr>
    </w:div>
    <w:div w:id="1606881447">
      <w:bodyDiv w:val="1"/>
      <w:marLeft w:val="0"/>
      <w:marRight w:val="0"/>
      <w:marTop w:val="0"/>
      <w:marBottom w:val="0"/>
      <w:divBdr>
        <w:top w:val="none" w:sz="0" w:space="0" w:color="auto"/>
        <w:left w:val="none" w:sz="0" w:space="0" w:color="auto"/>
        <w:bottom w:val="none" w:sz="0" w:space="0" w:color="auto"/>
        <w:right w:val="none" w:sz="0" w:space="0" w:color="auto"/>
      </w:divBdr>
    </w:div>
    <w:div w:id="1606962628">
      <w:bodyDiv w:val="1"/>
      <w:marLeft w:val="0"/>
      <w:marRight w:val="0"/>
      <w:marTop w:val="0"/>
      <w:marBottom w:val="0"/>
      <w:divBdr>
        <w:top w:val="none" w:sz="0" w:space="0" w:color="auto"/>
        <w:left w:val="none" w:sz="0" w:space="0" w:color="auto"/>
        <w:bottom w:val="none" w:sz="0" w:space="0" w:color="auto"/>
        <w:right w:val="none" w:sz="0" w:space="0" w:color="auto"/>
      </w:divBdr>
    </w:div>
    <w:div w:id="1607035263">
      <w:bodyDiv w:val="1"/>
      <w:marLeft w:val="0"/>
      <w:marRight w:val="0"/>
      <w:marTop w:val="0"/>
      <w:marBottom w:val="0"/>
      <w:divBdr>
        <w:top w:val="none" w:sz="0" w:space="0" w:color="auto"/>
        <w:left w:val="none" w:sz="0" w:space="0" w:color="auto"/>
        <w:bottom w:val="none" w:sz="0" w:space="0" w:color="auto"/>
        <w:right w:val="none" w:sz="0" w:space="0" w:color="auto"/>
      </w:divBdr>
    </w:div>
    <w:div w:id="1607075839">
      <w:bodyDiv w:val="1"/>
      <w:marLeft w:val="0"/>
      <w:marRight w:val="0"/>
      <w:marTop w:val="0"/>
      <w:marBottom w:val="0"/>
      <w:divBdr>
        <w:top w:val="none" w:sz="0" w:space="0" w:color="auto"/>
        <w:left w:val="none" w:sz="0" w:space="0" w:color="auto"/>
        <w:bottom w:val="none" w:sz="0" w:space="0" w:color="auto"/>
        <w:right w:val="none" w:sz="0" w:space="0" w:color="auto"/>
      </w:divBdr>
    </w:div>
    <w:div w:id="1607225821">
      <w:bodyDiv w:val="1"/>
      <w:marLeft w:val="0"/>
      <w:marRight w:val="0"/>
      <w:marTop w:val="0"/>
      <w:marBottom w:val="0"/>
      <w:divBdr>
        <w:top w:val="none" w:sz="0" w:space="0" w:color="auto"/>
        <w:left w:val="none" w:sz="0" w:space="0" w:color="auto"/>
        <w:bottom w:val="none" w:sz="0" w:space="0" w:color="auto"/>
        <w:right w:val="none" w:sz="0" w:space="0" w:color="auto"/>
      </w:divBdr>
    </w:div>
    <w:div w:id="1607272674">
      <w:bodyDiv w:val="1"/>
      <w:marLeft w:val="0"/>
      <w:marRight w:val="0"/>
      <w:marTop w:val="0"/>
      <w:marBottom w:val="0"/>
      <w:divBdr>
        <w:top w:val="none" w:sz="0" w:space="0" w:color="auto"/>
        <w:left w:val="none" w:sz="0" w:space="0" w:color="auto"/>
        <w:bottom w:val="none" w:sz="0" w:space="0" w:color="auto"/>
        <w:right w:val="none" w:sz="0" w:space="0" w:color="auto"/>
      </w:divBdr>
    </w:div>
    <w:div w:id="1607344513">
      <w:bodyDiv w:val="1"/>
      <w:marLeft w:val="0"/>
      <w:marRight w:val="0"/>
      <w:marTop w:val="0"/>
      <w:marBottom w:val="0"/>
      <w:divBdr>
        <w:top w:val="none" w:sz="0" w:space="0" w:color="auto"/>
        <w:left w:val="none" w:sz="0" w:space="0" w:color="auto"/>
        <w:bottom w:val="none" w:sz="0" w:space="0" w:color="auto"/>
        <w:right w:val="none" w:sz="0" w:space="0" w:color="auto"/>
      </w:divBdr>
    </w:div>
    <w:div w:id="1607350407">
      <w:bodyDiv w:val="1"/>
      <w:marLeft w:val="0"/>
      <w:marRight w:val="0"/>
      <w:marTop w:val="0"/>
      <w:marBottom w:val="0"/>
      <w:divBdr>
        <w:top w:val="none" w:sz="0" w:space="0" w:color="auto"/>
        <w:left w:val="none" w:sz="0" w:space="0" w:color="auto"/>
        <w:bottom w:val="none" w:sz="0" w:space="0" w:color="auto"/>
        <w:right w:val="none" w:sz="0" w:space="0" w:color="auto"/>
      </w:divBdr>
    </w:div>
    <w:div w:id="1607541722">
      <w:bodyDiv w:val="1"/>
      <w:marLeft w:val="0"/>
      <w:marRight w:val="0"/>
      <w:marTop w:val="0"/>
      <w:marBottom w:val="0"/>
      <w:divBdr>
        <w:top w:val="none" w:sz="0" w:space="0" w:color="auto"/>
        <w:left w:val="none" w:sz="0" w:space="0" w:color="auto"/>
        <w:bottom w:val="none" w:sz="0" w:space="0" w:color="auto"/>
        <w:right w:val="none" w:sz="0" w:space="0" w:color="auto"/>
      </w:divBdr>
    </w:div>
    <w:div w:id="1607618120">
      <w:bodyDiv w:val="1"/>
      <w:marLeft w:val="0"/>
      <w:marRight w:val="0"/>
      <w:marTop w:val="0"/>
      <w:marBottom w:val="0"/>
      <w:divBdr>
        <w:top w:val="none" w:sz="0" w:space="0" w:color="auto"/>
        <w:left w:val="none" w:sz="0" w:space="0" w:color="auto"/>
        <w:bottom w:val="none" w:sz="0" w:space="0" w:color="auto"/>
        <w:right w:val="none" w:sz="0" w:space="0" w:color="auto"/>
      </w:divBdr>
    </w:div>
    <w:div w:id="1607738670">
      <w:bodyDiv w:val="1"/>
      <w:marLeft w:val="0"/>
      <w:marRight w:val="0"/>
      <w:marTop w:val="0"/>
      <w:marBottom w:val="0"/>
      <w:divBdr>
        <w:top w:val="none" w:sz="0" w:space="0" w:color="auto"/>
        <w:left w:val="none" w:sz="0" w:space="0" w:color="auto"/>
        <w:bottom w:val="none" w:sz="0" w:space="0" w:color="auto"/>
        <w:right w:val="none" w:sz="0" w:space="0" w:color="auto"/>
      </w:divBdr>
    </w:div>
    <w:div w:id="1607805311">
      <w:bodyDiv w:val="1"/>
      <w:marLeft w:val="0"/>
      <w:marRight w:val="0"/>
      <w:marTop w:val="0"/>
      <w:marBottom w:val="0"/>
      <w:divBdr>
        <w:top w:val="none" w:sz="0" w:space="0" w:color="auto"/>
        <w:left w:val="none" w:sz="0" w:space="0" w:color="auto"/>
        <w:bottom w:val="none" w:sz="0" w:space="0" w:color="auto"/>
        <w:right w:val="none" w:sz="0" w:space="0" w:color="auto"/>
      </w:divBdr>
    </w:div>
    <w:div w:id="1607811225">
      <w:bodyDiv w:val="1"/>
      <w:marLeft w:val="0"/>
      <w:marRight w:val="0"/>
      <w:marTop w:val="0"/>
      <w:marBottom w:val="0"/>
      <w:divBdr>
        <w:top w:val="none" w:sz="0" w:space="0" w:color="auto"/>
        <w:left w:val="none" w:sz="0" w:space="0" w:color="auto"/>
        <w:bottom w:val="none" w:sz="0" w:space="0" w:color="auto"/>
        <w:right w:val="none" w:sz="0" w:space="0" w:color="auto"/>
      </w:divBdr>
    </w:div>
    <w:div w:id="1607926394">
      <w:bodyDiv w:val="1"/>
      <w:marLeft w:val="0"/>
      <w:marRight w:val="0"/>
      <w:marTop w:val="0"/>
      <w:marBottom w:val="0"/>
      <w:divBdr>
        <w:top w:val="none" w:sz="0" w:space="0" w:color="auto"/>
        <w:left w:val="none" w:sz="0" w:space="0" w:color="auto"/>
        <w:bottom w:val="none" w:sz="0" w:space="0" w:color="auto"/>
        <w:right w:val="none" w:sz="0" w:space="0" w:color="auto"/>
      </w:divBdr>
    </w:div>
    <w:div w:id="1608006829">
      <w:bodyDiv w:val="1"/>
      <w:marLeft w:val="0"/>
      <w:marRight w:val="0"/>
      <w:marTop w:val="0"/>
      <w:marBottom w:val="0"/>
      <w:divBdr>
        <w:top w:val="none" w:sz="0" w:space="0" w:color="auto"/>
        <w:left w:val="none" w:sz="0" w:space="0" w:color="auto"/>
        <w:bottom w:val="none" w:sz="0" w:space="0" w:color="auto"/>
        <w:right w:val="none" w:sz="0" w:space="0" w:color="auto"/>
      </w:divBdr>
    </w:div>
    <w:div w:id="1608152915">
      <w:bodyDiv w:val="1"/>
      <w:marLeft w:val="0"/>
      <w:marRight w:val="0"/>
      <w:marTop w:val="0"/>
      <w:marBottom w:val="0"/>
      <w:divBdr>
        <w:top w:val="none" w:sz="0" w:space="0" w:color="auto"/>
        <w:left w:val="none" w:sz="0" w:space="0" w:color="auto"/>
        <w:bottom w:val="none" w:sz="0" w:space="0" w:color="auto"/>
        <w:right w:val="none" w:sz="0" w:space="0" w:color="auto"/>
      </w:divBdr>
    </w:div>
    <w:div w:id="1608191455">
      <w:bodyDiv w:val="1"/>
      <w:marLeft w:val="0"/>
      <w:marRight w:val="0"/>
      <w:marTop w:val="0"/>
      <w:marBottom w:val="0"/>
      <w:divBdr>
        <w:top w:val="none" w:sz="0" w:space="0" w:color="auto"/>
        <w:left w:val="none" w:sz="0" w:space="0" w:color="auto"/>
        <w:bottom w:val="none" w:sz="0" w:space="0" w:color="auto"/>
        <w:right w:val="none" w:sz="0" w:space="0" w:color="auto"/>
      </w:divBdr>
    </w:div>
    <w:div w:id="1608267955">
      <w:bodyDiv w:val="1"/>
      <w:marLeft w:val="0"/>
      <w:marRight w:val="0"/>
      <w:marTop w:val="0"/>
      <w:marBottom w:val="0"/>
      <w:divBdr>
        <w:top w:val="none" w:sz="0" w:space="0" w:color="auto"/>
        <w:left w:val="none" w:sz="0" w:space="0" w:color="auto"/>
        <w:bottom w:val="none" w:sz="0" w:space="0" w:color="auto"/>
        <w:right w:val="none" w:sz="0" w:space="0" w:color="auto"/>
      </w:divBdr>
    </w:div>
    <w:div w:id="1608343202">
      <w:bodyDiv w:val="1"/>
      <w:marLeft w:val="0"/>
      <w:marRight w:val="0"/>
      <w:marTop w:val="0"/>
      <w:marBottom w:val="0"/>
      <w:divBdr>
        <w:top w:val="none" w:sz="0" w:space="0" w:color="auto"/>
        <w:left w:val="none" w:sz="0" w:space="0" w:color="auto"/>
        <w:bottom w:val="none" w:sz="0" w:space="0" w:color="auto"/>
        <w:right w:val="none" w:sz="0" w:space="0" w:color="auto"/>
      </w:divBdr>
    </w:div>
    <w:div w:id="1608343489">
      <w:bodyDiv w:val="1"/>
      <w:marLeft w:val="0"/>
      <w:marRight w:val="0"/>
      <w:marTop w:val="0"/>
      <w:marBottom w:val="0"/>
      <w:divBdr>
        <w:top w:val="none" w:sz="0" w:space="0" w:color="auto"/>
        <w:left w:val="none" w:sz="0" w:space="0" w:color="auto"/>
        <w:bottom w:val="none" w:sz="0" w:space="0" w:color="auto"/>
        <w:right w:val="none" w:sz="0" w:space="0" w:color="auto"/>
      </w:divBdr>
    </w:div>
    <w:div w:id="1608351324">
      <w:bodyDiv w:val="1"/>
      <w:marLeft w:val="0"/>
      <w:marRight w:val="0"/>
      <w:marTop w:val="0"/>
      <w:marBottom w:val="0"/>
      <w:divBdr>
        <w:top w:val="none" w:sz="0" w:space="0" w:color="auto"/>
        <w:left w:val="none" w:sz="0" w:space="0" w:color="auto"/>
        <w:bottom w:val="none" w:sz="0" w:space="0" w:color="auto"/>
        <w:right w:val="none" w:sz="0" w:space="0" w:color="auto"/>
      </w:divBdr>
    </w:div>
    <w:div w:id="1608540428">
      <w:bodyDiv w:val="1"/>
      <w:marLeft w:val="0"/>
      <w:marRight w:val="0"/>
      <w:marTop w:val="0"/>
      <w:marBottom w:val="0"/>
      <w:divBdr>
        <w:top w:val="none" w:sz="0" w:space="0" w:color="auto"/>
        <w:left w:val="none" w:sz="0" w:space="0" w:color="auto"/>
        <w:bottom w:val="none" w:sz="0" w:space="0" w:color="auto"/>
        <w:right w:val="none" w:sz="0" w:space="0" w:color="auto"/>
      </w:divBdr>
    </w:div>
    <w:div w:id="1608587366">
      <w:bodyDiv w:val="1"/>
      <w:marLeft w:val="0"/>
      <w:marRight w:val="0"/>
      <w:marTop w:val="0"/>
      <w:marBottom w:val="0"/>
      <w:divBdr>
        <w:top w:val="none" w:sz="0" w:space="0" w:color="auto"/>
        <w:left w:val="none" w:sz="0" w:space="0" w:color="auto"/>
        <w:bottom w:val="none" w:sz="0" w:space="0" w:color="auto"/>
        <w:right w:val="none" w:sz="0" w:space="0" w:color="auto"/>
      </w:divBdr>
    </w:div>
    <w:div w:id="1608653396">
      <w:bodyDiv w:val="1"/>
      <w:marLeft w:val="0"/>
      <w:marRight w:val="0"/>
      <w:marTop w:val="0"/>
      <w:marBottom w:val="0"/>
      <w:divBdr>
        <w:top w:val="none" w:sz="0" w:space="0" w:color="auto"/>
        <w:left w:val="none" w:sz="0" w:space="0" w:color="auto"/>
        <w:bottom w:val="none" w:sz="0" w:space="0" w:color="auto"/>
        <w:right w:val="none" w:sz="0" w:space="0" w:color="auto"/>
      </w:divBdr>
    </w:div>
    <w:div w:id="1608997441">
      <w:bodyDiv w:val="1"/>
      <w:marLeft w:val="0"/>
      <w:marRight w:val="0"/>
      <w:marTop w:val="0"/>
      <w:marBottom w:val="0"/>
      <w:divBdr>
        <w:top w:val="none" w:sz="0" w:space="0" w:color="auto"/>
        <w:left w:val="none" w:sz="0" w:space="0" w:color="auto"/>
        <w:bottom w:val="none" w:sz="0" w:space="0" w:color="auto"/>
        <w:right w:val="none" w:sz="0" w:space="0" w:color="auto"/>
      </w:divBdr>
    </w:div>
    <w:div w:id="1608998682">
      <w:bodyDiv w:val="1"/>
      <w:marLeft w:val="0"/>
      <w:marRight w:val="0"/>
      <w:marTop w:val="0"/>
      <w:marBottom w:val="0"/>
      <w:divBdr>
        <w:top w:val="none" w:sz="0" w:space="0" w:color="auto"/>
        <w:left w:val="none" w:sz="0" w:space="0" w:color="auto"/>
        <w:bottom w:val="none" w:sz="0" w:space="0" w:color="auto"/>
        <w:right w:val="none" w:sz="0" w:space="0" w:color="auto"/>
      </w:divBdr>
    </w:div>
    <w:div w:id="1609045101">
      <w:bodyDiv w:val="1"/>
      <w:marLeft w:val="0"/>
      <w:marRight w:val="0"/>
      <w:marTop w:val="0"/>
      <w:marBottom w:val="0"/>
      <w:divBdr>
        <w:top w:val="none" w:sz="0" w:space="0" w:color="auto"/>
        <w:left w:val="none" w:sz="0" w:space="0" w:color="auto"/>
        <w:bottom w:val="none" w:sz="0" w:space="0" w:color="auto"/>
        <w:right w:val="none" w:sz="0" w:space="0" w:color="auto"/>
      </w:divBdr>
    </w:div>
    <w:div w:id="1609196461">
      <w:bodyDiv w:val="1"/>
      <w:marLeft w:val="0"/>
      <w:marRight w:val="0"/>
      <w:marTop w:val="0"/>
      <w:marBottom w:val="0"/>
      <w:divBdr>
        <w:top w:val="none" w:sz="0" w:space="0" w:color="auto"/>
        <w:left w:val="none" w:sz="0" w:space="0" w:color="auto"/>
        <w:bottom w:val="none" w:sz="0" w:space="0" w:color="auto"/>
        <w:right w:val="none" w:sz="0" w:space="0" w:color="auto"/>
      </w:divBdr>
    </w:div>
    <w:div w:id="1609309620">
      <w:bodyDiv w:val="1"/>
      <w:marLeft w:val="0"/>
      <w:marRight w:val="0"/>
      <w:marTop w:val="0"/>
      <w:marBottom w:val="0"/>
      <w:divBdr>
        <w:top w:val="none" w:sz="0" w:space="0" w:color="auto"/>
        <w:left w:val="none" w:sz="0" w:space="0" w:color="auto"/>
        <w:bottom w:val="none" w:sz="0" w:space="0" w:color="auto"/>
        <w:right w:val="none" w:sz="0" w:space="0" w:color="auto"/>
      </w:divBdr>
    </w:div>
    <w:div w:id="1609311244">
      <w:bodyDiv w:val="1"/>
      <w:marLeft w:val="0"/>
      <w:marRight w:val="0"/>
      <w:marTop w:val="0"/>
      <w:marBottom w:val="0"/>
      <w:divBdr>
        <w:top w:val="none" w:sz="0" w:space="0" w:color="auto"/>
        <w:left w:val="none" w:sz="0" w:space="0" w:color="auto"/>
        <w:bottom w:val="none" w:sz="0" w:space="0" w:color="auto"/>
        <w:right w:val="none" w:sz="0" w:space="0" w:color="auto"/>
      </w:divBdr>
    </w:div>
    <w:div w:id="1609315826">
      <w:bodyDiv w:val="1"/>
      <w:marLeft w:val="0"/>
      <w:marRight w:val="0"/>
      <w:marTop w:val="0"/>
      <w:marBottom w:val="0"/>
      <w:divBdr>
        <w:top w:val="none" w:sz="0" w:space="0" w:color="auto"/>
        <w:left w:val="none" w:sz="0" w:space="0" w:color="auto"/>
        <w:bottom w:val="none" w:sz="0" w:space="0" w:color="auto"/>
        <w:right w:val="none" w:sz="0" w:space="0" w:color="auto"/>
      </w:divBdr>
    </w:div>
    <w:div w:id="1609393355">
      <w:bodyDiv w:val="1"/>
      <w:marLeft w:val="0"/>
      <w:marRight w:val="0"/>
      <w:marTop w:val="0"/>
      <w:marBottom w:val="0"/>
      <w:divBdr>
        <w:top w:val="none" w:sz="0" w:space="0" w:color="auto"/>
        <w:left w:val="none" w:sz="0" w:space="0" w:color="auto"/>
        <w:bottom w:val="none" w:sz="0" w:space="0" w:color="auto"/>
        <w:right w:val="none" w:sz="0" w:space="0" w:color="auto"/>
      </w:divBdr>
    </w:div>
    <w:div w:id="1609464557">
      <w:bodyDiv w:val="1"/>
      <w:marLeft w:val="0"/>
      <w:marRight w:val="0"/>
      <w:marTop w:val="0"/>
      <w:marBottom w:val="0"/>
      <w:divBdr>
        <w:top w:val="none" w:sz="0" w:space="0" w:color="auto"/>
        <w:left w:val="none" w:sz="0" w:space="0" w:color="auto"/>
        <w:bottom w:val="none" w:sz="0" w:space="0" w:color="auto"/>
        <w:right w:val="none" w:sz="0" w:space="0" w:color="auto"/>
      </w:divBdr>
    </w:div>
    <w:div w:id="1609509699">
      <w:bodyDiv w:val="1"/>
      <w:marLeft w:val="0"/>
      <w:marRight w:val="0"/>
      <w:marTop w:val="0"/>
      <w:marBottom w:val="0"/>
      <w:divBdr>
        <w:top w:val="none" w:sz="0" w:space="0" w:color="auto"/>
        <w:left w:val="none" w:sz="0" w:space="0" w:color="auto"/>
        <w:bottom w:val="none" w:sz="0" w:space="0" w:color="auto"/>
        <w:right w:val="none" w:sz="0" w:space="0" w:color="auto"/>
      </w:divBdr>
    </w:div>
    <w:div w:id="1609510728">
      <w:bodyDiv w:val="1"/>
      <w:marLeft w:val="0"/>
      <w:marRight w:val="0"/>
      <w:marTop w:val="0"/>
      <w:marBottom w:val="0"/>
      <w:divBdr>
        <w:top w:val="none" w:sz="0" w:space="0" w:color="auto"/>
        <w:left w:val="none" w:sz="0" w:space="0" w:color="auto"/>
        <w:bottom w:val="none" w:sz="0" w:space="0" w:color="auto"/>
        <w:right w:val="none" w:sz="0" w:space="0" w:color="auto"/>
      </w:divBdr>
    </w:div>
    <w:div w:id="1609580962">
      <w:bodyDiv w:val="1"/>
      <w:marLeft w:val="0"/>
      <w:marRight w:val="0"/>
      <w:marTop w:val="0"/>
      <w:marBottom w:val="0"/>
      <w:divBdr>
        <w:top w:val="none" w:sz="0" w:space="0" w:color="auto"/>
        <w:left w:val="none" w:sz="0" w:space="0" w:color="auto"/>
        <w:bottom w:val="none" w:sz="0" w:space="0" w:color="auto"/>
        <w:right w:val="none" w:sz="0" w:space="0" w:color="auto"/>
      </w:divBdr>
    </w:div>
    <w:div w:id="1609846910">
      <w:bodyDiv w:val="1"/>
      <w:marLeft w:val="0"/>
      <w:marRight w:val="0"/>
      <w:marTop w:val="0"/>
      <w:marBottom w:val="0"/>
      <w:divBdr>
        <w:top w:val="none" w:sz="0" w:space="0" w:color="auto"/>
        <w:left w:val="none" w:sz="0" w:space="0" w:color="auto"/>
        <w:bottom w:val="none" w:sz="0" w:space="0" w:color="auto"/>
        <w:right w:val="none" w:sz="0" w:space="0" w:color="auto"/>
      </w:divBdr>
    </w:div>
    <w:div w:id="1609849793">
      <w:bodyDiv w:val="1"/>
      <w:marLeft w:val="0"/>
      <w:marRight w:val="0"/>
      <w:marTop w:val="0"/>
      <w:marBottom w:val="0"/>
      <w:divBdr>
        <w:top w:val="none" w:sz="0" w:space="0" w:color="auto"/>
        <w:left w:val="none" w:sz="0" w:space="0" w:color="auto"/>
        <w:bottom w:val="none" w:sz="0" w:space="0" w:color="auto"/>
        <w:right w:val="none" w:sz="0" w:space="0" w:color="auto"/>
      </w:divBdr>
    </w:div>
    <w:div w:id="1610041262">
      <w:bodyDiv w:val="1"/>
      <w:marLeft w:val="0"/>
      <w:marRight w:val="0"/>
      <w:marTop w:val="0"/>
      <w:marBottom w:val="0"/>
      <w:divBdr>
        <w:top w:val="none" w:sz="0" w:space="0" w:color="auto"/>
        <w:left w:val="none" w:sz="0" w:space="0" w:color="auto"/>
        <w:bottom w:val="none" w:sz="0" w:space="0" w:color="auto"/>
        <w:right w:val="none" w:sz="0" w:space="0" w:color="auto"/>
      </w:divBdr>
    </w:div>
    <w:div w:id="1610116202">
      <w:bodyDiv w:val="1"/>
      <w:marLeft w:val="0"/>
      <w:marRight w:val="0"/>
      <w:marTop w:val="0"/>
      <w:marBottom w:val="0"/>
      <w:divBdr>
        <w:top w:val="none" w:sz="0" w:space="0" w:color="auto"/>
        <w:left w:val="none" w:sz="0" w:space="0" w:color="auto"/>
        <w:bottom w:val="none" w:sz="0" w:space="0" w:color="auto"/>
        <w:right w:val="none" w:sz="0" w:space="0" w:color="auto"/>
      </w:divBdr>
    </w:div>
    <w:div w:id="1610120375">
      <w:bodyDiv w:val="1"/>
      <w:marLeft w:val="0"/>
      <w:marRight w:val="0"/>
      <w:marTop w:val="0"/>
      <w:marBottom w:val="0"/>
      <w:divBdr>
        <w:top w:val="none" w:sz="0" w:space="0" w:color="auto"/>
        <w:left w:val="none" w:sz="0" w:space="0" w:color="auto"/>
        <w:bottom w:val="none" w:sz="0" w:space="0" w:color="auto"/>
        <w:right w:val="none" w:sz="0" w:space="0" w:color="auto"/>
      </w:divBdr>
    </w:div>
    <w:div w:id="1610308526">
      <w:bodyDiv w:val="1"/>
      <w:marLeft w:val="0"/>
      <w:marRight w:val="0"/>
      <w:marTop w:val="0"/>
      <w:marBottom w:val="0"/>
      <w:divBdr>
        <w:top w:val="none" w:sz="0" w:space="0" w:color="auto"/>
        <w:left w:val="none" w:sz="0" w:space="0" w:color="auto"/>
        <w:bottom w:val="none" w:sz="0" w:space="0" w:color="auto"/>
        <w:right w:val="none" w:sz="0" w:space="0" w:color="auto"/>
      </w:divBdr>
    </w:div>
    <w:div w:id="1610351589">
      <w:bodyDiv w:val="1"/>
      <w:marLeft w:val="0"/>
      <w:marRight w:val="0"/>
      <w:marTop w:val="0"/>
      <w:marBottom w:val="0"/>
      <w:divBdr>
        <w:top w:val="none" w:sz="0" w:space="0" w:color="auto"/>
        <w:left w:val="none" w:sz="0" w:space="0" w:color="auto"/>
        <w:bottom w:val="none" w:sz="0" w:space="0" w:color="auto"/>
        <w:right w:val="none" w:sz="0" w:space="0" w:color="auto"/>
      </w:divBdr>
    </w:div>
    <w:div w:id="1610507506">
      <w:bodyDiv w:val="1"/>
      <w:marLeft w:val="0"/>
      <w:marRight w:val="0"/>
      <w:marTop w:val="0"/>
      <w:marBottom w:val="0"/>
      <w:divBdr>
        <w:top w:val="none" w:sz="0" w:space="0" w:color="auto"/>
        <w:left w:val="none" w:sz="0" w:space="0" w:color="auto"/>
        <w:bottom w:val="none" w:sz="0" w:space="0" w:color="auto"/>
        <w:right w:val="none" w:sz="0" w:space="0" w:color="auto"/>
      </w:divBdr>
    </w:div>
    <w:div w:id="1610547426">
      <w:bodyDiv w:val="1"/>
      <w:marLeft w:val="0"/>
      <w:marRight w:val="0"/>
      <w:marTop w:val="0"/>
      <w:marBottom w:val="0"/>
      <w:divBdr>
        <w:top w:val="none" w:sz="0" w:space="0" w:color="auto"/>
        <w:left w:val="none" w:sz="0" w:space="0" w:color="auto"/>
        <w:bottom w:val="none" w:sz="0" w:space="0" w:color="auto"/>
        <w:right w:val="none" w:sz="0" w:space="0" w:color="auto"/>
      </w:divBdr>
    </w:div>
    <w:div w:id="1610548736">
      <w:bodyDiv w:val="1"/>
      <w:marLeft w:val="0"/>
      <w:marRight w:val="0"/>
      <w:marTop w:val="0"/>
      <w:marBottom w:val="0"/>
      <w:divBdr>
        <w:top w:val="none" w:sz="0" w:space="0" w:color="auto"/>
        <w:left w:val="none" w:sz="0" w:space="0" w:color="auto"/>
        <w:bottom w:val="none" w:sz="0" w:space="0" w:color="auto"/>
        <w:right w:val="none" w:sz="0" w:space="0" w:color="auto"/>
      </w:divBdr>
    </w:div>
    <w:div w:id="1610550038">
      <w:bodyDiv w:val="1"/>
      <w:marLeft w:val="0"/>
      <w:marRight w:val="0"/>
      <w:marTop w:val="0"/>
      <w:marBottom w:val="0"/>
      <w:divBdr>
        <w:top w:val="none" w:sz="0" w:space="0" w:color="auto"/>
        <w:left w:val="none" w:sz="0" w:space="0" w:color="auto"/>
        <w:bottom w:val="none" w:sz="0" w:space="0" w:color="auto"/>
        <w:right w:val="none" w:sz="0" w:space="0" w:color="auto"/>
      </w:divBdr>
    </w:div>
    <w:div w:id="1610552862">
      <w:bodyDiv w:val="1"/>
      <w:marLeft w:val="0"/>
      <w:marRight w:val="0"/>
      <w:marTop w:val="0"/>
      <w:marBottom w:val="0"/>
      <w:divBdr>
        <w:top w:val="none" w:sz="0" w:space="0" w:color="auto"/>
        <w:left w:val="none" w:sz="0" w:space="0" w:color="auto"/>
        <w:bottom w:val="none" w:sz="0" w:space="0" w:color="auto"/>
        <w:right w:val="none" w:sz="0" w:space="0" w:color="auto"/>
      </w:divBdr>
    </w:div>
    <w:div w:id="1610621690">
      <w:bodyDiv w:val="1"/>
      <w:marLeft w:val="0"/>
      <w:marRight w:val="0"/>
      <w:marTop w:val="0"/>
      <w:marBottom w:val="0"/>
      <w:divBdr>
        <w:top w:val="none" w:sz="0" w:space="0" w:color="auto"/>
        <w:left w:val="none" w:sz="0" w:space="0" w:color="auto"/>
        <w:bottom w:val="none" w:sz="0" w:space="0" w:color="auto"/>
        <w:right w:val="none" w:sz="0" w:space="0" w:color="auto"/>
      </w:divBdr>
    </w:div>
    <w:div w:id="1610699827">
      <w:bodyDiv w:val="1"/>
      <w:marLeft w:val="0"/>
      <w:marRight w:val="0"/>
      <w:marTop w:val="0"/>
      <w:marBottom w:val="0"/>
      <w:divBdr>
        <w:top w:val="none" w:sz="0" w:space="0" w:color="auto"/>
        <w:left w:val="none" w:sz="0" w:space="0" w:color="auto"/>
        <w:bottom w:val="none" w:sz="0" w:space="0" w:color="auto"/>
        <w:right w:val="none" w:sz="0" w:space="0" w:color="auto"/>
      </w:divBdr>
    </w:div>
    <w:div w:id="1610812321">
      <w:bodyDiv w:val="1"/>
      <w:marLeft w:val="0"/>
      <w:marRight w:val="0"/>
      <w:marTop w:val="0"/>
      <w:marBottom w:val="0"/>
      <w:divBdr>
        <w:top w:val="none" w:sz="0" w:space="0" w:color="auto"/>
        <w:left w:val="none" w:sz="0" w:space="0" w:color="auto"/>
        <w:bottom w:val="none" w:sz="0" w:space="0" w:color="auto"/>
        <w:right w:val="none" w:sz="0" w:space="0" w:color="auto"/>
      </w:divBdr>
    </w:div>
    <w:div w:id="1610965898">
      <w:bodyDiv w:val="1"/>
      <w:marLeft w:val="0"/>
      <w:marRight w:val="0"/>
      <w:marTop w:val="0"/>
      <w:marBottom w:val="0"/>
      <w:divBdr>
        <w:top w:val="none" w:sz="0" w:space="0" w:color="auto"/>
        <w:left w:val="none" w:sz="0" w:space="0" w:color="auto"/>
        <w:bottom w:val="none" w:sz="0" w:space="0" w:color="auto"/>
        <w:right w:val="none" w:sz="0" w:space="0" w:color="auto"/>
      </w:divBdr>
    </w:div>
    <w:div w:id="1610968001">
      <w:bodyDiv w:val="1"/>
      <w:marLeft w:val="0"/>
      <w:marRight w:val="0"/>
      <w:marTop w:val="0"/>
      <w:marBottom w:val="0"/>
      <w:divBdr>
        <w:top w:val="none" w:sz="0" w:space="0" w:color="auto"/>
        <w:left w:val="none" w:sz="0" w:space="0" w:color="auto"/>
        <w:bottom w:val="none" w:sz="0" w:space="0" w:color="auto"/>
        <w:right w:val="none" w:sz="0" w:space="0" w:color="auto"/>
      </w:divBdr>
    </w:div>
    <w:div w:id="1610972479">
      <w:bodyDiv w:val="1"/>
      <w:marLeft w:val="0"/>
      <w:marRight w:val="0"/>
      <w:marTop w:val="0"/>
      <w:marBottom w:val="0"/>
      <w:divBdr>
        <w:top w:val="none" w:sz="0" w:space="0" w:color="auto"/>
        <w:left w:val="none" w:sz="0" w:space="0" w:color="auto"/>
        <w:bottom w:val="none" w:sz="0" w:space="0" w:color="auto"/>
        <w:right w:val="none" w:sz="0" w:space="0" w:color="auto"/>
      </w:divBdr>
    </w:div>
    <w:div w:id="1611205133">
      <w:bodyDiv w:val="1"/>
      <w:marLeft w:val="0"/>
      <w:marRight w:val="0"/>
      <w:marTop w:val="0"/>
      <w:marBottom w:val="0"/>
      <w:divBdr>
        <w:top w:val="none" w:sz="0" w:space="0" w:color="auto"/>
        <w:left w:val="none" w:sz="0" w:space="0" w:color="auto"/>
        <w:bottom w:val="none" w:sz="0" w:space="0" w:color="auto"/>
        <w:right w:val="none" w:sz="0" w:space="0" w:color="auto"/>
      </w:divBdr>
    </w:div>
    <w:div w:id="1611275974">
      <w:bodyDiv w:val="1"/>
      <w:marLeft w:val="0"/>
      <w:marRight w:val="0"/>
      <w:marTop w:val="0"/>
      <w:marBottom w:val="0"/>
      <w:divBdr>
        <w:top w:val="none" w:sz="0" w:space="0" w:color="auto"/>
        <w:left w:val="none" w:sz="0" w:space="0" w:color="auto"/>
        <w:bottom w:val="none" w:sz="0" w:space="0" w:color="auto"/>
        <w:right w:val="none" w:sz="0" w:space="0" w:color="auto"/>
      </w:divBdr>
    </w:div>
    <w:div w:id="1611283442">
      <w:bodyDiv w:val="1"/>
      <w:marLeft w:val="0"/>
      <w:marRight w:val="0"/>
      <w:marTop w:val="0"/>
      <w:marBottom w:val="0"/>
      <w:divBdr>
        <w:top w:val="none" w:sz="0" w:space="0" w:color="auto"/>
        <w:left w:val="none" w:sz="0" w:space="0" w:color="auto"/>
        <w:bottom w:val="none" w:sz="0" w:space="0" w:color="auto"/>
        <w:right w:val="none" w:sz="0" w:space="0" w:color="auto"/>
      </w:divBdr>
    </w:div>
    <w:div w:id="1611473102">
      <w:bodyDiv w:val="1"/>
      <w:marLeft w:val="0"/>
      <w:marRight w:val="0"/>
      <w:marTop w:val="0"/>
      <w:marBottom w:val="0"/>
      <w:divBdr>
        <w:top w:val="none" w:sz="0" w:space="0" w:color="auto"/>
        <w:left w:val="none" w:sz="0" w:space="0" w:color="auto"/>
        <w:bottom w:val="none" w:sz="0" w:space="0" w:color="auto"/>
        <w:right w:val="none" w:sz="0" w:space="0" w:color="auto"/>
      </w:divBdr>
    </w:div>
    <w:div w:id="1611550511">
      <w:bodyDiv w:val="1"/>
      <w:marLeft w:val="0"/>
      <w:marRight w:val="0"/>
      <w:marTop w:val="0"/>
      <w:marBottom w:val="0"/>
      <w:divBdr>
        <w:top w:val="none" w:sz="0" w:space="0" w:color="auto"/>
        <w:left w:val="none" w:sz="0" w:space="0" w:color="auto"/>
        <w:bottom w:val="none" w:sz="0" w:space="0" w:color="auto"/>
        <w:right w:val="none" w:sz="0" w:space="0" w:color="auto"/>
      </w:divBdr>
    </w:div>
    <w:div w:id="1611624116">
      <w:bodyDiv w:val="1"/>
      <w:marLeft w:val="0"/>
      <w:marRight w:val="0"/>
      <w:marTop w:val="0"/>
      <w:marBottom w:val="0"/>
      <w:divBdr>
        <w:top w:val="none" w:sz="0" w:space="0" w:color="auto"/>
        <w:left w:val="none" w:sz="0" w:space="0" w:color="auto"/>
        <w:bottom w:val="none" w:sz="0" w:space="0" w:color="auto"/>
        <w:right w:val="none" w:sz="0" w:space="0" w:color="auto"/>
      </w:divBdr>
    </w:div>
    <w:div w:id="1611738020">
      <w:bodyDiv w:val="1"/>
      <w:marLeft w:val="0"/>
      <w:marRight w:val="0"/>
      <w:marTop w:val="0"/>
      <w:marBottom w:val="0"/>
      <w:divBdr>
        <w:top w:val="none" w:sz="0" w:space="0" w:color="auto"/>
        <w:left w:val="none" w:sz="0" w:space="0" w:color="auto"/>
        <w:bottom w:val="none" w:sz="0" w:space="0" w:color="auto"/>
        <w:right w:val="none" w:sz="0" w:space="0" w:color="auto"/>
      </w:divBdr>
    </w:div>
    <w:div w:id="1611741758">
      <w:bodyDiv w:val="1"/>
      <w:marLeft w:val="0"/>
      <w:marRight w:val="0"/>
      <w:marTop w:val="0"/>
      <w:marBottom w:val="0"/>
      <w:divBdr>
        <w:top w:val="none" w:sz="0" w:space="0" w:color="auto"/>
        <w:left w:val="none" w:sz="0" w:space="0" w:color="auto"/>
        <w:bottom w:val="none" w:sz="0" w:space="0" w:color="auto"/>
        <w:right w:val="none" w:sz="0" w:space="0" w:color="auto"/>
      </w:divBdr>
    </w:div>
    <w:div w:id="1611858522">
      <w:bodyDiv w:val="1"/>
      <w:marLeft w:val="0"/>
      <w:marRight w:val="0"/>
      <w:marTop w:val="0"/>
      <w:marBottom w:val="0"/>
      <w:divBdr>
        <w:top w:val="none" w:sz="0" w:space="0" w:color="auto"/>
        <w:left w:val="none" w:sz="0" w:space="0" w:color="auto"/>
        <w:bottom w:val="none" w:sz="0" w:space="0" w:color="auto"/>
        <w:right w:val="none" w:sz="0" w:space="0" w:color="auto"/>
      </w:divBdr>
    </w:div>
    <w:div w:id="1612006859">
      <w:bodyDiv w:val="1"/>
      <w:marLeft w:val="0"/>
      <w:marRight w:val="0"/>
      <w:marTop w:val="0"/>
      <w:marBottom w:val="0"/>
      <w:divBdr>
        <w:top w:val="none" w:sz="0" w:space="0" w:color="auto"/>
        <w:left w:val="none" w:sz="0" w:space="0" w:color="auto"/>
        <w:bottom w:val="none" w:sz="0" w:space="0" w:color="auto"/>
        <w:right w:val="none" w:sz="0" w:space="0" w:color="auto"/>
      </w:divBdr>
    </w:div>
    <w:div w:id="1612011936">
      <w:bodyDiv w:val="1"/>
      <w:marLeft w:val="0"/>
      <w:marRight w:val="0"/>
      <w:marTop w:val="0"/>
      <w:marBottom w:val="0"/>
      <w:divBdr>
        <w:top w:val="none" w:sz="0" w:space="0" w:color="auto"/>
        <w:left w:val="none" w:sz="0" w:space="0" w:color="auto"/>
        <w:bottom w:val="none" w:sz="0" w:space="0" w:color="auto"/>
        <w:right w:val="none" w:sz="0" w:space="0" w:color="auto"/>
      </w:divBdr>
    </w:div>
    <w:div w:id="1612123139">
      <w:bodyDiv w:val="1"/>
      <w:marLeft w:val="0"/>
      <w:marRight w:val="0"/>
      <w:marTop w:val="0"/>
      <w:marBottom w:val="0"/>
      <w:divBdr>
        <w:top w:val="none" w:sz="0" w:space="0" w:color="auto"/>
        <w:left w:val="none" w:sz="0" w:space="0" w:color="auto"/>
        <w:bottom w:val="none" w:sz="0" w:space="0" w:color="auto"/>
        <w:right w:val="none" w:sz="0" w:space="0" w:color="auto"/>
      </w:divBdr>
    </w:div>
    <w:div w:id="1612124268">
      <w:bodyDiv w:val="1"/>
      <w:marLeft w:val="0"/>
      <w:marRight w:val="0"/>
      <w:marTop w:val="0"/>
      <w:marBottom w:val="0"/>
      <w:divBdr>
        <w:top w:val="none" w:sz="0" w:space="0" w:color="auto"/>
        <w:left w:val="none" w:sz="0" w:space="0" w:color="auto"/>
        <w:bottom w:val="none" w:sz="0" w:space="0" w:color="auto"/>
        <w:right w:val="none" w:sz="0" w:space="0" w:color="auto"/>
      </w:divBdr>
    </w:div>
    <w:div w:id="1612199982">
      <w:bodyDiv w:val="1"/>
      <w:marLeft w:val="0"/>
      <w:marRight w:val="0"/>
      <w:marTop w:val="0"/>
      <w:marBottom w:val="0"/>
      <w:divBdr>
        <w:top w:val="none" w:sz="0" w:space="0" w:color="auto"/>
        <w:left w:val="none" w:sz="0" w:space="0" w:color="auto"/>
        <w:bottom w:val="none" w:sz="0" w:space="0" w:color="auto"/>
        <w:right w:val="none" w:sz="0" w:space="0" w:color="auto"/>
      </w:divBdr>
    </w:div>
    <w:div w:id="1612206812">
      <w:bodyDiv w:val="1"/>
      <w:marLeft w:val="0"/>
      <w:marRight w:val="0"/>
      <w:marTop w:val="0"/>
      <w:marBottom w:val="0"/>
      <w:divBdr>
        <w:top w:val="none" w:sz="0" w:space="0" w:color="auto"/>
        <w:left w:val="none" w:sz="0" w:space="0" w:color="auto"/>
        <w:bottom w:val="none" w:sz="0" w:space="0" w:color="auto"/>
        <w:right w:val="none" w:sz="0" w:space="0" w:color="auto"/>
      </w:divBdr>
    </w:div>
    <w:div w:id="1612274403">
      <w:bodyDiv w:val="1"/>
      <w:marLeft w:val="0"/>
      <w:marRight w:val="0"/>
      <w:marTop w:val="0"/>
      <w:marBottom w:val="0"/>
      <w:divBdr>
        <w:top w:val="none" w:sz="0" w:space="0" w:color="auto"/>
        <w:left w:val="none" w:sz="0" w:space="0" w:color="auto"/>
        <w:bottom w:val="none" w:sz="0" w:space="0" w:color="auto"/>
        <w:right w:val="none" w:sz="0" w:space="0" w:color="auto"/>
      </w:divBdr>
    </w:div>
    <w:div w:id="1612393725">
      <w:bodyDiv w:val="1"/>
      <w:marLeft w:val="0"/>
      <w:marRight w:val="0"/>
      <w:marTop w:val="0"/>
      <w:marBottom w:val="0"/>
      <w:divBdr>
        <w:top w:val="none" w:sz="0" w:space="0" w:color="auto"/>
        <w:left w:val="none" w:sz="0" w:space="0" w:color="auto"/>
        <w:bottom w:val="none" w:sz="0" w:space="0" w:color="auto"/>
        <w:right w:val="none" w:sz="0" w:space="0" w:color="auto"/>
      </w:divBdr>
    </w:div>
    <w:div w:id="1612397003">
      <w:bodyDiv w:val="1"/>
      <w:marLeft w:val="0"/>
      <w:marRight w:val="0"/>
      <w:marTop w:val="0"/>
      <w:marBottom w:val="0"/>
      <w:divBdr>
        <w:top w:val="none" w:sz="0" w:space="0" w:color="auto"/>
        <w:left w:val="none" w:sz="0" w:space="0" w:color="auto"/>
        <w:bottom w:val="none" w:sz="0" w:space="0" w:color="auto"/>
        <w:right w:val="none" w:sz="0" w:space="0" w:color="auto"/>
      </w:divBdr>
    </w:div>
    <w:div w:id="1612665249">
      <w:bodyDiv w:val="1"/>
      <w:marLeft w:val="0"/>
      <w:marRight w:val="0"/>
      <w:marTop w:val="0"/>
      <w:marBottom w:val="0"/>
      <w:divBdr>
        <w:top w:val="none" w:sz="0" w:space="0" w:color="auto"/>
        <w:left w:val="none" w:sz="0" w:space="0" w:color="auto"/>
        <w:bottom w:val="none" w:sz="0" w:space="0" w:color="auto"/>
        <w:right w:val="none" w:sz="0" w:space="0" w:color="auto"/>
      </w:divBdr>
    </w:div>
    <w:div w:id="1612741655">
      <w:bodyDiv w:val="1"/>
      <w:marLeft w:val="0"/>
      <w:marRight w:val="0"/>
      <w:marTop w:val="0"/>
      <w:marBottom w:val="0"/>
      <w:divBdr>
        <w:top w:val="none" w:sz="0" w:space="0" w:color="auto"/>
        <w:left w:val="none" w:sz="0" w:space="0" w:color="auto"/>
        <w:bottom w:val="none" w:sz="0" w:space="0" w:color="auto"/>
        <w:right w:val="none" w:sz="0" w:space="0" w:color="auto"/>
      </w:divBdr>
    </w:div>
    <w:div w:id="1612855110">
      <w:bodyDiv w:val="1"/>
      <w:marLeft w:val="0"/>
      <w:marRight w:val="0"/>
      <w:marTop w:val="0"/>
      <w:marBottom w:val="0"/>
      <w:divBdr>
        <w:top w:val="none" w:sz="0" w:space="0" w:color="auto"/>
        <w:left w:val="none" w:sz="0" w:space="0" w:color="auto"/>
        <w:bottom w:val="none" w:sz="0" w:space="0" w:color="auto"/>
        <w:right w:val="none" w:sz="0" w:space="0" w:color="auto"/>
      </w:divBdr>
    </w:div>
    <w:div w:id="1612855578">
      <w:bodyDiv w:val="1"/>
      <w:marLeft w:val="0"/>
      <w:marRight w:val="0"/>
      <w:marTop w:val="0"/>
      <w:marBottom w:val="0"/>
      <w:divBdr>
        <w:top w:val="none" w:sz="0" w:space="0" w:color="auto"/>
        <w:left w:val="none" w:sz="0" w:space="0" w:color="auto"/>
        <w:bottom w:val="none" w:sz="0" w:space="0" w:color="auto"/>
        <w:right w:val="none" w:sz="0" w:space="0" w:color="auto"/>
      </w:divBdr>
    </w:div>
    <w:div w:id="1612861196">
      <w:bodyDiv w:val="1"/>
      <w:marLeft w:val="0"/>
      <w:marRight w:val="0"/>
      <w:marTop w:val="0"/>
      <w:marBottom w:val="0"/>
      <w:divBdr>
        <w:top w:val="none" w:sz="0" w:space="0" w:color="auto"/>
        <w:left w:val="none" w:sz="0" w:space="0" w:color="auto"/>
        <w:bottom w:val="none" w:sz="0" w:space="0" w:color="auto"/>
        <w:right w:val="none" w:sz="0" w:space="0" w:color="auto"/>
      </w:divBdr>
    </w:div>
    <w:div w:id="1612862304">
      <w:bodyDiv w:val="1"/>
      <w:marLeft w:val="0"/>
      <w:marRight w:val="0"/>
      <w:marTop w:val="0"/>
      <w:marBottom w:val="0"/>
      <w:divBdr>
        <w:top w:val="none" w:sz="0" w:space="0" w:color="auto"/>
        <w:left w:val="none" w:sz="0" w:space="0" w:color="auto"/>
        <w:bottom w:val="none" w:sz="0" w:space="0" w:color="auto"/>
        <w:right w:val="none" w:sz="0" w:space="0" w:color="auto"/>
      </w:divBdr>
    </w:div>
    <w:div w:id="1612929156">
      <w:bodyDiv w:val="1"/>
      <w:marLeft w:val="0"/>
      <w:marRight w:val="0"/>
      <w:marTop w:val="0"/>
      <w:marBottom w:val="0"/>
      <w:divBdr>
        <w:top w:val="none" w:sz="0" w:space="0" w:color="auto"/>
        <w:left w:val="none" w:sz="0" w:space="0" w:color="auto"/>
        <w:bottom w:val="none" w:sz="0" w:space="0" w:color="auto"/>
        <w:right w:val="none" w:sz="0" w:space="0" w:color="auto"/>
      </w:divBdr>
    </w:div>
    <w:div w:id="1612972583">
      <w:bodyDiv w:val="1"/>
      <w:marLeft w:val="0"/>
      <w:marRight w:val="0"/>
      <w:marTop w:val="0"/>
      <w:marBottom w:val="0"/>
      <w:divBdr>
        <w:top w:val="none" w:sz="0" w:space="0" w:color="auto"/>
        <w:left w:val="none" w:sz="0" w:space="0" w:color="auto"/>
        <w:bottom w:val="none" w:sz="0" w:space="0" w:color="auto"/>
        <w:right w:val="none" w:sz="0" w:space="0" w:color="auto"/>
      </w:divBdr>
    </w:div>
    <w:div w:id="1612977689">
      <w:bodyDiv w:val="1"/>
      <w:marLeft w:val="0"/>
      <w:marRight w:val="0"/>
      <w:marTop w:val="0"/>
      <w:marBottom w:val="0"/>
      <w:divBdr>
        <w:top w:val="none" w:sz="0" w:space="0" w:color="auto"/>
        <w:left w:val="none" w:sz="0" w:space="0" w:color="auto"/>
        <w:bottom w:val="none" w:sz="0" w:space="0" w:color="auto"/>
        <w:right w:val="none" w:sz="0" w:space="0" w:color="auto"/>
      </w:divBdr>
    </w:div>
    <w:div w:id="1613127333">
      <w:bodyDiv w:val="1"/>
      <w:marLeft w:val="0"/>
      <w:marRight w:val="0"/>
      <w:marTop w:val="0"/>
      <w:marBottom w:val="0"/>
      <w:divBdr>
        <w:top w:val="none" w:sz="0" w:space="0" w:color="auto"/>
        <w:left w:val="none" w:sz="0" w:space="0" w:color="auto"/>
        <w:bottom w:val="none" w:sz="0" w:space="0" w:color="auto"/>
        <w:right w:val="none" w:sz="0" w:space="0" w:color="auto"/>
      </w:divBdr>
    </w:div>
    <w:div w:id="1613170867">
      <w:bodyDiv w:val="1"/>
      <w:marLeft w:val="0"/>
      <w:marRight w:val="0"/>
      <w:marTop w:val="0"/>
      <w:marBottom w:val="0"/>
      <w:divBdr>
        <w:top w:val="none" w:sz="0" w:space="0" w:color="auto"/>
        <w:left w:val="none" w:sz="0" w:space="0" w:color="auto"/>
        <w:bottom w:val="none" w:sz="0" w:space="0" w:color="auto"/>
        <w:right w:val="none" w:sz="0" w:space="0" w:color="auto"/>
      </w:divBdr>
    </w:div>
    <w:div w:id="1613200872">
      <w:bodyDiv w:val="1"/>
      <w:marLeft w:val="0"/>
      <w:marRight w:val="0"/>
      <w:marTop w:val="0"/>
      <w:marBottom w:val="0"/>
      <w:divBdr>
        <w:top w:val="none" w:sz="0" w:space="0" w:color="auto"/>
        <w:left w:val="none" w:sz="0" w:space="0" w:color="auto"/>
        <w:bottom w:val="none" w:sz="0" w:space="0" w:color="auto"/>
        <w:right w:val="none" w:sz="0" w:space="0" w:color="auto"/>
      </w:divBdr>
    </w:div>
    <w:div w:id="1613246921">
      <w:bodyDiv w:val="1"/>
      <w:marLeft w:val="0"/>
      <w:marRight w:val="0"/>
      <w:marTop w:val="0"/>
      <w:marBottom w:val="0"/>
      <w:divBdr>
        <w:top w:val="none" w:sz="0" w:space="0" w:color="auto"/>
        <w:left w:val="none" w:sz="0" w:space="0" w:color="auto"/>
        <w:bottom w:val="none" w:sz="0" w:space="0" w:color="auto"/>
        <w:right w:val="none" w:sz="0" w:space="0" w:color="auto"/>
      </w:divBdr>
    </w:div>
    <w:div w:id="1613511581">
      <w:bodyDiv w:val="1"/>
      <w:marLeft w:val="0"/>
      <w:marRight w:val="0"/>
      <w:marTop w:val="0"/>
      <w:marBottom w:val="0"/>
      <w:divBdr>
        <w:top w:val="none" w:sz="0" w:space="0" w:color="auto"/>
        <w:left w:val="none" w:sz="0" w:space="0" w:color="auto"/>
        <w:bottom w:val="none" w:sz="0" w:space="0" w:color="auto"/>
        <w:right w:val="none" w:sz="0" w:space="0" w:color="auto"/>
      </w:divBdr>
    </w:div>
    <w:div w:id="1613586338">
      <w:bodyDiv w:val="1"/>
      <w:marLeft w:val="0"/>
      <w:marRight w:val="0"/>
      <w:marTop w:val="0"/>
      <w:marBottom w:val="0"/>
      <w:divBdr>
        <w:top w:val="none" w:sz="0" w:space="0" w:color="auto"/>
        <w:left w:val="none" w:sz="0" w:space="0" w:color="auto"/>
        <w:bottom w:val="none" w:sz="0" w:space="0" w:color="auto"/>
        <w:right w:val="none" w:sz="0" w:space="0" w:color="auto"/>
      </w:divBdr>
    </w:div>
    <w:div w:id="1613588597">
      <w:bodyDiv w:val="1"/>
      <w:marLeft w:val="0"/>
      <w:marRight w:val="0"/>
      <w:marTop w:val="0"/>
      <w:marBottom w:val="0"/>
      <w:divBdr>
        <w:top w:val="none" w:sz="0" w:space="0" w:color="auto"/>
        <w:left w:val="none" w:sz="0" w:space="0" w:color="auto"/>
        <w:bottom w:val="none" w:sz="0" w:space="0" w:color="auto"/>
        <w:right w:val="none" w:sz="0" w:space="0" w:color="auto"/>
      </w:divBdr>
    </w:div>
    <w:div w:id="1613630460">
      <w:bodyDiv w:val="1"/>
      <w:marLeft w:val="0"/>
      <w:marRight w:val="0"/>
      <w:marTop w:val="0"/>
      <w:marBottom w:val="0"/>
      <w:divBdr>
        <w:top w:val="none" w:sz="0" w:space="0" w:color="auto"/>
        <w:left w:val="none" w:sz="0" w:space="0" w:color="auto"/>
        <w:bottom w:val="none" w:sz="0" w:space="0" w:color="auto"/>
        <w:right w:val="none" w:sz="0" w:space="0" w:color="auto"/>
      </w:divBdr>
    </w:div>
    <w:div w:id="1613777802">
      <w:bodyDiv w:val="1"/>
      <w:marLeft w:val="0"/>
      <w:marRight w:val="0"/>
      <w:marTop w:val="0"/>
      <w:marBottom w:val="0"/>
      <w:divBdr>
        <w:top w:val="none" w:sz="0" w:space="0" w:color="auto"/>
        <w:left w:val="none" w:sz="0" w:space="0" w:color="auto"/>
        <w:bottom w:val="none" w:sz="0" w:space="0" w:color="auto"/>
        <w:right w:val="none" w:sz="0" w:space="0" w:color="auto"/>
      </w:divBdr>
    </w:div>
    <w:div w:id="1613780342">
      <w:bodyDiv w:val="1"/>
      <w:marLeft w:val="0"/>
      <w:marRight w:val="0"/>
      <w:marTop w:val="0"/>
      <w:marBottom w:val="0"/>
      <w:divBdr>
        <w:top w:val="none" w:sz="0" w:space="0" w:color="auto"/>
        <w:left w:val="none" w:sz="0" w:space="0" w:color="auto"/>
        <w:bottom w:val="none" w:sz="0" w:space="0" w:color="auto"/>
        <w:right w:val="none" w:sz="0" w:space="0" w:color="auto"/>
      </w:divBdr>
    </w:div>
    <w:div w:id="1613828468">
      <w:bodyDiv w:val="1"/>
      <w:marLeft w:val="0"/>
      <w:marRight w:val="0"/>
      <w:marTop w:val="0"/>
      <w:marBottom w:val="0"/>
      <w:divBdr>
        <w:top w:val="none" w:sz="0" w:space="0" w:color="auto"/>
        <w:left w:val="none" w:sz="0" w:space="0" w:color="auto"/>
        <w:bottom w:val="none" w:sz="0" w:space="0" w:color="auto"/>
        <w:right w:val="none" w:sz="0" w:space="0" w:color="auto"/>
      </w:divBdr>
    </w:div>
    <w:div w:id="1613899609">
      <w:bodyDiv w:val="1"/>
      <w:marLeft w:val="0"/>
      <w:marRight w:val="0"/>
      <w:marTop w:val="0"/>
      <w:marBottom w:val="0"/>
      <w:divBdr>
        <w:top w:val="none" w:sz="0" w:space="0" w:color="auto"/>
        <w:left w:val="none" w:sz="0" w:space="0" w:color="auto"/>
        <w:bottom w:val="none" w:sz="0" w:space="0" w:color="auto"/>
        <w:right w:val="none" w:sz="0" w:space="0" w:color="auto"/>
      </w:divBdr>
    </w:div>
    <w:div w:id="1613901172">
      <w:bodyDiv w:val="1"/>
      <w:marLeft w:val="0"/>
      <w:marRight w:val="0"/>
      <w:marTop w:val="0"/>
      <w:marBottom w:val="0"/>
      <w:divBdr>
        <w:top w:val="none" w:sz="0" w:space="0" w:color="auto"/>
        <w:left w:val="none" w:sz="0" w:space="0" w:color="auto"/>
        <w:bottom w:val="none" w:sz="0" w:space="0" w:color="auto"/>
        <w:right w:val="none" w:sz="0" w:space="0" w:color="auto"/>
      </w:divBdr>
    </w:div>
    <w:div w:id="1613975993">
      <w:bodyDiv w:val="1"/>
      <w:marLeft w:val="0"/>
      <w:marRight w:val="0"/>
      <w:marTop w:val="0"/>
      <w:marBottom w:val="0"/>
      <w:divBdr>
        <w:top w:val="none" w:sz="0" w:space="0" w:color="auto"/>
        <w:left w:val="none" w:sz="0" w:space="0" w:color="auto"/>
        <w:bottom w:val="none" w:sz="0" w:space="0" w:color="auto"/>
        <w:right w:val="none" w:sz="0" w:space="0" w:color="auto"/>
      </w:divBdr>
    </w:div>
    <w:div w:id="1613976865">
      <w:bodyDiv w:val="1"/>
      <w:marLeft w:val="0"/>
      <w:marRight w:val="0"/>
      <w:marTop w:val="0"/>
      <w:marBottom w:val="0"/>
      <w:divBdr>
        <w:top w:val="none" w:sz="0" w:space="0" w:color="auto"/>
        <w:left w:val="none" w:sz="0" w:space="0" w:color="auto"/>
        <w:bottom w:val="none" w:sz="0" w:space="0" w:color="auto"/>
        <w:right w:val="none" w:sz="0" w:space="0" w:color="auto"/>
      </w:divBdr>
    </w:div>
    <w:div w:id="1613980316">
      <w:bodyDiv w:val="1"/>
      <w:marLeft w:val="0"/>
      <w:marRight w:val="0"/>
      <w:marTop w:val="0"/>
      <w:marBottom w:val="0"/>
      <w:divBdr>
        <w:top w:val="none" w:sz="0" w:space="0" w:color="auto"/>
        <w:left w:val="none" w:sz="0" w:space="0" w:color="auto"/>
        <w:bottom w:val="none" w:sz="0" w:space="0" w:color="auto"/>
        <w:right w:val="none" w:sz="0" w:space="0" w:color="auto"/>
      </w:divBdr>
    </w:div>
    <w:div w:id="1614047694">
      <w:bodyDiv w:val="1"/>
      <w:marLeft w:val="0"/>
      <w:marRight w:val="0"/>
      <w:marTop w:val="0"/>
      <w:marBottom w:val="0"/>
      <w:divBdr>
        <w:top w:val="none" w:sz="0" w:space="0" w:color="auto"/>
        <w:left w:val="none" w:sz="0" w:space="0" w:color="auto"/>
        <w:bottom w:val="none" w:sz="0" w:space="0" w:color="auto"/>
        <w:right w:val="none" w:sz="0" w:space="0" w:color="auto"/>
      </w:divBdr>
    </w:div>
    <w:div w:id="1614048392">
      <w:bodyDiv w:val="1"/>
      <w:marLeft w:val="0"/>
      <w:marRight w:val="0"/>
      <w:marTop w:val="0"/>
      <w:marBottom w:val="0"/>
      <w:divBdr>
        <w:top w:val="none" w:sz="0" w:space="0" w:color="auto"/>
        <w:left w:val="none" w:sz="0" w:space="0" w:color="auto"/>
        <w:bottom w:val="none" w:sz="0" w:space="0" w:color="auto"/>
        <w:right w:val="none" w:sz="0" w:space="0" w:color="auto"/>
      </w:divBdr>
    </w:div>
    <w:div w:id="1614166099">
      <w:bodyDiv w:val="1"/>
      <w:marLeft w:val="0"/>
      <w:marRight w:val="0"/>
      <w:marTop w:val="0"/>
      <w:marBottom w:val="0"/>
      <w:divBdr>
        <w:top w:val="none" w:sz="0" w:space="0" w:color="auto"/>
        <w:left w:val="none" w:sz="0" w:space="0" w:color="auto"/>
        <w:bottom w:val="none" w:sz="0" w:space="0" w:color="auto"/>
        <w:right w:val="none" w:sz="0" w:space="0" w:color="auto"/>
      </w:divBdr>
    </w:div>
    <w:div w:id="1614283888">
      <w:bodyDiv w:val="1"/>
      <w:marLeft w:val="0"/>
      <w:marRight w:val="0"/>
      <w:marTop w:val="0"/>
      <w:marBottom w:val="0"/>
      <w:divBdr>
        <w:top w:val="none" w:sz="0" w:space="0" w:color="auto"/>
        <w:left w:val="none" w:sz="0" w:space="0" w:color="auto"/>
        <w:bottom w:val="none" w:sz="0" w:space="0" w:color="auto"/>
        <w:right w:val="none" w:sz="0" w:space="0" w:color="auto"/>
      </w:divBdr>
    </w:div>
    <w:div w:id="1614284662">
      <w:bodyDiv w:val="1"/>
      <w:marLeft w:val="0"/>
      <w:marRight w:val="0"/>
      <w:marTop w:val="0"/>
      <w:marBottom w:val="0"/>
      <w:divBdr>
        <w:top w:val="none" w:sz="0" w:space="0" w:color="auto"/>
        <w:left w:val="none" w:sz="0" w:space="0" w:color="auto"/>
        <w:bottom w:val="none" w:sz="0" w:space="0" w:color="auto"/>
        <w:right w:val="none" w:sz="0" w:space="0" w:color="auto"/>
      </w:divBdr>
    </w:div>
    <w:div w:id="1614359021">
      <w:bodyDiv w:val="1"/>
      <w:marLeft w:val="0"/>
      <w:marRight w:val="0"/>
      <w:marTop w:val="0"/>
      <w:marBottom w:val="0"/>
      <w:divBdr>
        <w:top w:val="none" w:sz="0" w:space="0" w:color="auto"/>
        <w:left w:val="none" w:sz="0" w:space="0" w:color="auto"/>
        <w:bottom w:val="none" w:sz="0" w:space="0" w:color="auto"/>
        <w:right w:val="none" w:sz="0" w:space="0" w:color="auto"/>
      </w:divBdr>
    </w:div>
    <w:div w:id="1614510453">
      <w:bodyDiv w:val="1"/>
      <w:marLeft w:val="0"/>
      <w:marRight w:val="0"/>
      <w:marTop w:val="0"/>
      <w:marBottom w:val="0"/>
      <w:divBdr>
        <w:top w:val="none" w:sz="0" w:space="0" w:color="auto"/>
        <w:left w:val="none" w:sz="0" w:space="0" w:color="auto"/>
        <w:bottom w:val="none" w:sz="0" w:space="0" w:color="auto"/>
        <w:right w:val="none" w:sz="0" w:space="0" w:color="auto"/>
      </w:divBdr>
    </w:div>
    <w:div w:id="1614627403">
      <w:bodyDiv w:val="1"/>
      <w:marLeft w:val="0"/>
      <w:marRight w:val="0"/>
      <w:marTop w:val="0"/>
      <w:marBottom w:val="0"/>
      <w:divBdr>
        <w:top w:val="none" w:sz="0" w:space="0" w:color="auto"/>
        <w:left w:val="none" w:sz="0" w:space="0" w:color="auto"/>
        <w:bottom w:val="none" w:sz="0" w:space="0" w:color="auto"/>
        <w:right w:val="none" w:sz="0" w:space="0" w:color="auto"/>
      </w:divBdr>
    </w:div>
    <w:div w:id="1614676849">
      <w:bodyDiv w:val="1"/>
      <w:marLeft w:val="0"/>
      <w:marRight w:val="0"/>
      <w:marTop w:val="0"/>
      <w:marBottom w:val="0"/>
      <w:divBdr>
        <w:top w:val="none" w:sz="0" w:space="0" w:color="auto"/>
        <w:left w:val="none" w:sz="0" w:space="0" w:color="auto"/>
        <w:bottom w:val="none" w:sz="0" w:space="0" w:color="auto"/>
        <w:right w:val="none" w:sz="0" w:space="0" w:color="auto"/>
      </w:divBdr>
    </w:div>
    <w:div w:id="1614706260">
      <w:bodyDiv w:val="1"/>
      <w:marLeft w:val="0"/>
      <w:marRight w:val="0"/>
      <w:marTop w:val="0"/>
      <w:marBottom w:val="0"/>
      <w:divBdr>
        <w:top w:val="none" w:sz="0" w:space="0" w:color="auto"/>
        <w:left w:val="none" w:sz="0" w:space="0" w:color="auto"/>
        <w:bottom w:val="none" w:sz="0" w:space="0" w:color="auto"/>
        <w:right w:val="none" w:sz="0" w:space="0" w:color="auto"/>
      </w:divBdr>
    </w:div>
    <w:div w:id="1614708000">
      <w:bodyDiv w:val="1"/>
      <w:marLeft w:val="0"/>
      <w:marRight w:val="0"/>
      <w:marTop w:val="0"/>
      <w:marBottom w:val="0"/>
      <w:divBdr>
        <w:top w:val="none" w:sz="0" w:space="0" w:color="auto"/>
        <w:left w:val="none" w:sz="0" w:space="0" w:color="auto"/>
        <w:bottom w:val="none" w:sz="0" w:space="0" w:color="auto"/>
        <w:right w:val="none" w:sz="0" w:space="0" w:color="auto"/>
      </w:divBdr>
    </w:div>
    <w:div w:id="1614751441">
      <w:bodyDiv w:val="1"/>
      <w:marLeft w:val="0"/>
      <w:marRight w:val="0"/>
      <w:marTop w:val="0"/>
      <w:marBottom w:val="0"/>
      <w:divBdr>
        <w:top w:val="none" w:sz="0" w:space="0" w:color="auto"/>
        <w:left w:val="none" w:sz="0" w:space="0" w:color="auto"/>
        <w:bottom w:val="none" w:sz="0" w:space="0" w:color="auto"/>
        <w:right w:val="none" w:sz="0" w:space="0" w:color="auto"/>
      </w:divBdr>
    </w:div>
    <w:div w:id="1614897301">
      <w:bodyDiv w:val="1"/>
      <w:marLeft w:val="0"/>
      <w:marRight w:val="0"/>
      <w:marTop w:val="0"/>
      <w:marBottom w:val="0"/>
      <w:divBdr>
        <w:top w:val="none" w:sz="0" w:space="0" w:color="auto"/>
        <w:left w:val="none" w:sz="0" w:space="0" w:color="auto"/>
        <w:bottom w:val="none" w:sz="0" w:space="0" w:color="auto"/>
        <w:right w:val="none" w:sz="0" w:space="0" w:color="auto"/>
      </w:divBdr>
    </w:div>
    <w:div w:id="1614897833">
      <w:bodyDiv w:val="1"/>
      <w:marLeft w:val="0"/>
      <w:marRight w:val="0"/>
      <w:marTop w:val="0"/>
      <w:marBottom w:val="0"/>
      <w:divBdr>
        <w:top w:val="none" w:sz="0" w:space="0" w:color="auto"/>
        <w:left w:val="none" w:sz="0" w:space="0" w:color="auto"/>
        <w:bottom w:val="none" w:sz="0" w:space="0" w:color="auto"/>
        <w:right w:val="none" w:sz="0" w:space="0" w:color="auto"/>
      </w:divBdr>
    </w:div>
    <w:div w:id="1614942071">
      <w:bodyDiv w:val="1"/>
      <w:marLeft w:val="0"/>
      <w:marRight w:val="0"/>
      <w:marTop w:val="0"/>
      <w:marBottom w:val="0"/>
      <w:divBdr>
        <w:top w:val="none" w:sz="0" w:space="0" w:color="auto"/>
        <w:left w:val="none" w:sz="0" w:space="0" w:color="auto"/>
        <w:bottom w:val="none" w:sz="0" w:space="0" w:color="auto"/>
        <w:right w:val="none" w:sz="0" w:space="0" w:color="auto"/>
      </w:divBdr>
    </w:div>
    <w:div w:id="1615091434">
      <w:bodyDiv w:val="1"/>
      <w:marLeft w:val="0"/>
      <w:marRight w:val="0"/>
      <w:marTop w:val="0"/>
      <w:marBottom w:val="0"/>
      <w:divBdr>
        <w:top w:val="none" w:sz="0" w:space="0" w:color="auto"/>
        <w:left w:val="none" w:sz="0" w:space="0" w:color="auto"/>
        <w:bottom w:val="none" w:sz="0" w:space="0" w:color="auto"/>
        <w:right w:val="none" w:sz="0" w:space="0" w:color="auto"/>
      </w:divBdr>
    </w:div>
    <w:div w:id="1615163619">
      <w:bodyDiv w:val="1"/>
      <w:marLeft w:val="0"/>
      <w:marRight w:val="0"/>
      <w:marTop w:val="0"/>
      <w:marBottom w:val="0"/>
      <w:divBdr>
        <w:top w:val="none" w:sz="0" w:space="0" w:color="auto"/>
        <w:left w:val="none" w:sz="0" w:space="0" w:color="auto"/>
        <w:bottom w:val="none" w:sz="0" w:space="0" w:color="auto"/>
        <w:right w:val="none" w:sz="0" w:space="0" w:color="auto"/>
      </w:divBdr>
    </w:div>
    <w:div w:id="1615479147">
      <w:bodyDiv w:val="1"/>
      <w:marLeft w:val="0"/>
      <w:marRight w:val="0"/>
      <w:marTop w:val="0"/>
      <w:marBottom w:val="0"/>
      <w:divBdr>
        <w:top w:val="none" w:sz="0" w:space="0" w:color="auto"/>
        <w:left w:val="none" w:sz="0" w:space="0" w:color="auto"/>
        <w:bottom w:val="none" w:sz="0" w:space="0" w:color="auto"/>
        <w:right w:val="none" w:sz="0" w:space="0" w:color="auto"/>
      </w:divBdr>
    </w:div>
    <w:div w:id="1615549856">
      <w:bodyDiv w:val="1"/>
      <w:marLeft w:val="0"/>
      <w:marRight w:val="0"/>
      <w:marTop w:val="0"/>
      <w:marBottom w:val="0"/>
      <w:divBdr>
        <w:top w:val="none" w:sz="0" w:space="0" w:color="auto"/>
        <w:left w:val="none" w:sz="0" w:space="0" w:color="auto"/>
        <w:bottom w:val="none" w:sz="0" w:space="0" w:color="auto"/>
        <w:right w:val="none" w:sz="0" w:space="0" w:color="auto"/>
      </w:divBdr>
    </w:div>
    <w:div w:id="1615553146">
      <w:bodyDiv w:val="1"/>
      <w:marLeft w:val="0"/>
      <w:marRight w:val="0"/>
      <w:marTop w:val="0"/>
      <w:marBottom w:val="0"/>
      <w:divBdr>
        <w:top w:val="none" w:sz="0" w:space="0" w:color="auto"/>
        <w:left w:val="none" w:sz="0" w:space="0" w:color="auto"/>
        <w:bottom w:val="none" w:sz="0" w:space="0" w:color="auto"/>
        <w:right w:val="none" w:sz="0" w:space="0" w:color="auto"/>
      </w:divBdr>
    </w:div>
    <w:div w:id="1615558529">
      <w:bodyDiv w:val="1"/>
      <w:marLeft w:val="0"/>
      <w:marRight w:val="0"/>
      <w:marTop w:val="0"/>
      <w:marBottom w:val="0"/>
      <w:divBdr>
        <w:top w:val="none" w:sz="0" w:space="0" w:color="auto"/>
        <w:left w:val="none" w:sz="0" w:space="0" w:color="auto"/>
        <w:bottom w:val="none" w:sz="0" w:space="0" w:color="auto"/>
        <w:right w:val="none" w:sz="0" w:space="0" w:color="auto"/>
      </w:divBdr>
    </w:div>
    <w:div w:id="1615600625">
      <w:bodyDiv w:val="1"/>
      <w:marLeft w:val="0"/>
      <w:marRight w:val="0"/>
      <w:marTop w:val="0"/>
      <w:marBottom w:val="0"/>
      <w:divBdr>
        <w:top w:val="none" w:sz="0" w:space="0" w:color="auto"/>
        <w:left w:val="none" w:sz="0" w:space="0" w:color="auto"/>
        <w:bottom w:val="none" w:sz="0" w:space="0" w:color="auto"/>
        <w:right w:val="none" w:sz="0" w:space="0" w:color="auto"/>
      </w:divBdr>
    </w:div>
    <w:div w:id="1615675919">
      <w:bodyDiv w:val="1"/>
      <w:marLeft w:val="0"/>
      <w:marRight w:val="0"/>
      <w:marTop w:val="0"/>
      <w:marBottom w:val="0"/>
      <w:divBdr>
        <w:top w:val="none" w:sz="0" w:space="0" w:color="auto"/>
        <w:left w:val="none" w:sz="0" w:space="0" w:color="auto"/>
        <w:bottom w:val="none" w:sz="0" w:space="0" w:color="auto"/>
        <w:right w:val="none" w:sz="0" w:space="0" w:color="auto"/>
      </w:divBdr>
    </w:div>
    <w:div w:id="1615820039">
      <w:bodyDiv w:val="1"/>
      <w:marLeft w:val="0"/>
      <w:marRight w:val="0"/>
      <w:marTop w:val="0"/>
      <w:marBottom w:val="0"/>
      <w:divBdr>
        <w:top w:val="none" w:sz="0" w:space="0" w:color="auto"/>
        <w:left w:val="none" w:sz="0" w:space="0" w:color="auto"/>
        <w:bottom w:val="none" w:sz="0" w:space="0" w:color="auto"/>
        <w:right w:val="none" w:sz="0" w:space="0" w:color="auto"/>
      </w:divBdr>
    </w:div>
    <w:div w:id="1615864536">
      <w:bodyDiv w:val="1"/>
      <w:marLeft w:val="0"/>
      <w:marRight w:val="0"/>
      <w:marTop w:val="0"/>
      <w:marBottom w:val="0"/>
      <w:divBdr>
        <w:top w:val="none" w:sz="0" w:space="0" w:color="auto"/>
        <w:left w:val="none" w:sz="0" w:space="0" w:color="auto"/>
        <w:bottom w:val="none" w:sz="0" w:space="0" w:color="auto"/>
        <w:right w:val="none" w:sz="0" w:space="0" w:color="auto"/>
      </w:divBdr>
    </w:div>
    <w:div w:id="1616210250">
      <w:bodyDiv w:val="1"/>
      <w:marLeft w:val="0"/>
      <w:marRight w:val="0"/>
      <w:marTop w:val="0"/>
      <w:marBottom w:val="0"/>
      <w:divBdr>
        <w:top w:val="none" w:sz="0" w:space="0" w:color="auto"/>
        <w:left w:val="none" w:sz="0" w:space="0" w:color="auto"/>
        <w:bottom w:val="none" w:sz="0" w:space="0" w:color="auto"/>
        <w:right w:val="none" w:sz="0" w:space="0" w:color="auto"/>
      </w:divBdr>
    </w:div>
    <w:div w:id="1616251164">
      <w:bodyDiv w:val="1"/>
      <w:marLeft w:val="0"/>
      <w:marRight w:val="0"/>
      <w:marTop w:val="0"/>
      <w:marBottom w:val="0"/>
      <w:divBdr>
        <w:top w:val="none" w:sz="0" w:space="0" w:color="auto"/>
        <w:left w:val="none" w:sz="0" w:space="0" w:color="auto"/>
        <w:bottom w:val="none" w:sz="0" w:space="0" w:color="auto"/>
        <w:right w:val="none" w:sz="0" w:space="0" w:color="auto"/>
      </w:divBdr>
    </w:div>
    <w:div w:id="1616327576">
      <w:bodyDiv w:val="1"/>
      <w:marLeft w:val="0"/>
      <w:marRight w:val="0"/>
      <w:marTop w:val="0"/>
      <w:marBottom w:val="0"/>
      <w:divBdr>
        <w:top w:val="none" w:sz="0" w:space="0" w:color="auto"/>
        <w:left w:val="none" w:sz="0" w:space="0" w:color="auto"/>
        <w:bottom w:val="none" w:sz="0" w:space="0" w:color="auto"/>
        <w:right w:val="none" w:sz="0" w:space="0" w:color="auto"/>
      </w:divBdr>
    </w:div>
    <w:div w:id="1616332022">
      <w:bodyDiv w:val="1"/>
      <w:marLeft w:val="0"/>
      <w:marRight w:val="0"/>
      <w:marTop w:val="0"/>
      <w:marBottom w:val="0"/>
      <w:divBdr>
        <w:top w:val="none" w:sz="0" w:space="0" w:color="auto"/>
        <w:left w:val="none" w:sz="0" w:space="0" w:color="auto"/>
        <w:bottom w:val="none" w:sz="0" w:space="0" w:color="auto"/>
        <w:right w:val="none" w:sz="0" w:space="0" w:color="auto"/>
      </w:divBdr>
    </w:div>
    <w:div w:id="1616519745">
      <w:bodyDiv w:val="1"/>
      <w:marLeft w:val="0"/>
      <w:marRight w:val="0"/>
      <w:marTop w:val="0"/>
      <w:marBottom w:val="0"/>
      <w:divBdr>
        <w:top w:val="none" w:sz="0" w:space="0" w:color="auto"/>
        <w:left w:val="none" w:sz="0" w:space="0" w:color="auto"/>
        <w:bottom w:val="none" w:sz="0" w:space="0" w:color="auto"/>
        <w:right w:val="none" w:sz="0" w:space="0" w:color="auto"/>
      </w:divBdr>
    </w:div>
    <w:div w:id="1616523093">
      <w:bodyDiv w:val="1"/>
      <w:marLeft w:val="0"/>
      <w:marRight w:val="0"/>
      <w:marTop w:val="0"/>
      <w:marBottom w:val="0"/>
      <w:divBdr>
        <w:top w:val="none" w:sz="0" w:space="0" w:color="auto"/>
        <w:left w:val="none" w:sz="0" w:space="0" w:color="auto"/>
        <w:bottom w:val="none" w:sz="0" w:space="0" w:color="auto"/>
        <w:right w:val="none" w:sz="0" w:space="0" w:color="auto"/>
      </w:divBdr>
    </w:div>
    <w:div w:id="1616668453">
      <w:bodyDiv w:val="1"/>
      <w:marLeft w:val="0"/>
      <w:marRight w:val="0"/>
      <w:marTop w:val="0"/>
      <w:marBottom w:val="0"/>
      <w:divBdr>
        <w:top w:val="none" w:sz="0" w:space="0" w:color="auto"/>
        <w:left w:val="none" w:sz="0" w:space="0" w:color="auto"/>
        <w:bottom w:val="none" w:sz="0" w:space="0" w:color="auto"/>
        <w:right w:val="none" w:sz="0" w:space="0" w:color="auto"/>
      </w:divBdr>
    </w:div>
    <w:div w:id="1616710819">
      <w:bodyDiv w:val="1"/>
      <w:marLeft w:val="0"/>
      <w:marRight w:val="0"/>
      <w:marTop w:val="0"/>
      <w:marBottom w:val="0"/>
      <w:divBdr>
        <w:top w:val="none" w:sz="0" w:space="0" w:color="auto"/>
        <w:left w:val="none" w:sz="0" w:space="0" w:color="auto"/>
        <w:bottom w:val="none" w:sz="0" w:space="0" w:color="auto"/>
        <w:right w:val="none" w:sz="0" w:space="0" w:color="auto"/>
      </w:divBdr>
    </w:div>
    <w:div w:id="1616861560">
      <w:bodyDiv w:val="1"/>
      <w:marLeft w:val="0"/>
      <w:marRight w:val="0"/>
      <w:marTop w:val="0"/>
      <w:marBottom w:val="0"/>
      <w:divBdr>
        <w:top w:val="none" w:sz="0" w:space="0" w:color="auto"/>
        <w:left w:val="none" w:sz="0" w:space="0" w:color="auto"/>
        <w:bottom w:val="none" w:sz="0" w:space="0" w:color="auto"/>
        <w:right w:val="none" w:sz="0" w:space="0" w:color="auto"/>
      </w:divBdr>
    </w:div>
    <w:div w:id="1616908649">
      <w:bodyDiv w:val="1"/>
      <w:marLeft w:val="0"/>
      <w:marRight w:val="0"/>
      <w:marTop w:val="0"/>
      <w:marBottom w:val="0"/>
      <w:divBdr>
        <w:top w:val="none" w:sz="0" w:space="0" w:color="auto"/>
        <w:left w:val="none" w:sz="0" w:space="0" w:color="auto"/>
        <w:bottom w:val="none" w:sz="0" w:space="0" w:color="auto"/>
        <w:right w:val="none" w:sz="0" w:space="0" w:color="auto"/>
      </w:divBdr>
    </w:div>
    <w:div w:id="1616911051">
      <w:bodyDiv w:val="1"/>
      <w:marLeft w:val="0"/>
      <w:marRight w:val="0"/>
      <w:marTop w:val="0"/>
      <w:marBottom w:val="0"/>
      <w:divBdr>
        <w:top w:val="none" w:sz="0" w:space="0" w:color="auto"/>
        <w:left w:val="none" w:sz="0" w:space="0" w:color="auto"/>
        <w:bottom w:val="none" w:sz="0" w:space="0" w:color="auto"/>
        <w:right w:val="none" w:sz="0" w:space="0" w:color="auto"/>
      </w:divBdr>
    </w:div>
    <w:div w:id="1616985198">
      <w:bodyDiv w:val="1"/>
      <w:marLeft w:val="0"/>
      <w:marRight w:val="0"/>
      <w:marTop w:val="0"/>
      <w:marBottom w:val="0"/>
      <w:divBdr>
        <w:top w:val="none" w:sz="0" w:space="0" w:color="auto"/>
        <w:left w:val="none" w:sz="0" w:space="0" w:color="auto"/>
        <w:bottom w:val="none" w:sz="0" w:space="0" w:color="auto"/>
        <w:right w:val="none" w:sz="0" w:space="0" w:color="auto"/>
      </w:divBdr>
    </w:div>
    <w:div w:id="1617372410">
      <w:bodyDiv w:val="1"/>
      <w:marLeft w:val="0"/>
      <w:marRight w:val="0"/>
      <w:marTop w:val="0"/>
      <w:marBottom w:val="0"/>
      <w:divBdr>
        <w:top w:val="none" w:sz="0" w:space="0" w:color="auto"/>
        <w:left w:val="none" w:sz="0" w:space="0" w:color="auto"/>
        <w:bottom w:val="none" w:sz="0" w:space="0" w:color="auto"/>
        <w:right w:val="none" w:sz="0" w:space="0" w:color="auto"/>
      </w:divBdr>
    </w:div>
    <w:div w:id="1617440330">
      <w:bodyDiv w:val="1"/>
      <w:marLeft w:val="0"/>
      <w:marRight w:val="0"/>
      <w:marTop w:val="0"/>
      <w:marBottom w:val="0"/>
      <w:divBdr>
        <w:top w:val="none" w:sz="0" w:space="0" w:color="auto"/>
        <w:left w:val="none" w:sz="0" w:space="0" w:color="auto"/>
        <w:bottom w:val="none" w:sz="0" w:space="0" w:color="auto"/>
        <w:right w:val="none" w:sz="0" w:space="0" w:color="auto"/>
      </w:divBdr>
    </w:div>
    <w:div w:id="1617440883">
      <w:bodyDiv w:val="1"/>
      <w:marLeft w:val="0"/>
      <w:marRight w:val="0"/>
      <w:marTop w:val="0"/>
      <w:marBottom w:val="0"/>
      <w:divBdr>
        <w:top w:val="none" w:sz="0" w:space="0" w:color="auto"/>
        <w:left w:val="none" w:sz="0" w:space="0" w:color="auto"/>
        <w:bottom w:val="none" w:sz="0" w:space="0" w:color="auto"/>
        <w:right w:val="none" w:sz="0" w:space="0" w:color="auto"/>
      </w:divBdr>
    </w:div>
    <w:div w:id="1617441897">
      <w:bodyDiv w:val="1"/>
      <w:marLeft w:val="0"/>
      <w:marRight w:val="0"/>
      <w:marTop w:val="0"/>
      <w:marBottom w:val="0"/>
      <w:divBdr>
        <w:top w:val="none" w:sz="0" w:space="0" w:color="auto"/>
        <w:left w:val="none" w:sz="0" w:space="0" w:color="auto"/>
        <w:bottom w:val="none" w:sz="0" w:space="0" w:color="auto"/>
        <w:right w:val="none" w:sz="0" w:space="0" w:color="auto"/>
      </w:divBdr>
    </w:div>
    <w:div w:id="1617517178">
      <w:bodyDiv w:val="1"/>
      <w:marLeft w:val="0"/>
      <w:marRight w:val="0"/>
      <w:marTop w:val="0"/>
      <w:marBottom w:val="0"/>
      <w:divBdr>
        <w:top w:val="none" w:sz="0" w:space="0" w:color="auto"/>
        <w:left w:val="none" w:sz="0" w:space="0" w:color="auto"/>
        <w:bottom w:val="none" w:sz="0" w:space="0" w:color="auto"/>
        <w:right w:val="none" w:sz="0" w:space="0" w:color="auto"/>
      </w:divBdr>
    </w:div>
    <w:div w:id="1617518657">
      <w:bodyDiv w:val="1"/>
      <w:marLeft w:val="0"/>
      <w:marRight w:val="0"/>
      <w:marTop w:val="0"/>
      <w:marBottom w:val="0"/>
      <w:divBdr>
        <w:top w:val="none" w:sz="0" w:space="0" w:color="auto"/>
        <w:left w:val="none" w:sz="0" w:space="0" w:color="auto"/>
        <w:bottom w:val="none" w:sz="0" w:space="0" w:color="auto"/>
        <w:right w:val="none" w:sz="0" w:space="0" w:color="auto"/>
      </w:divBdr>
    </w:div>
    <w:div w:id="1617519112">
      <w:bodyDiv w:val="1"/>
      <w:marLeft w:val="0"/>
      <w:marRight w:val="0"/>
      <w:marTop w:val="0"/>
      <w:marBottom w:val="0"/>
      <w:divBdr>
        <w:top w:val="none" w:sz="0" w:space="0" w:color="auto"/>
        <w:left w:val="none" w:sz="0" w:space="0" w:color="auto"/>
        <w:bottom w:val="none" w:sz="0" w:space="0" w:color="auto"/>
        <w:right w:val="none" w:sz="0" w:space="0" w:color="auto"/>
      </w:divBdr>
    </w:div>
    <w:div w:id="1617519386">
      <w:bodyDiv w:val="1"/>
      <w:marLeft w:val="0"/>
      <w:marRight w:val="0"/>
      <w:marTop w:val="0"/>
      <w:marBottom w:val="0"/>
      <w:divBdr>
        <w:top w:val="none" w:sz="0" w:space="0" w:color="auto"/>
        <w:left w:val="none" w:sz="0" w:space="0" w:color="auto"/>
        <w:bottom w:val="none" w:sz="0" w:space="0" w:color="auto"/>
        <w:right w:val="none" w:sz="0" w:space="0" w:color="auto"/>
      </w:divBdr>
    </w:div>
    <w:div w:id="1617519944">
      <w:bodyDiv w:val="1"/>
      <w:marLeft w:val="0"/>
      <w:marRight w:val="0"/>
      <w:marTop w:val="0"/>
      <w:marBottom w:val="0"/>
      <w:divBdr>
        <w:top w:val="none" w:sz="0" w:space="0" w:color="auto"/>
        <w:left w:val="none" w:sz="0" w:space="0" w:color="auto"/>
        <w:bottom w:val="none" w:sz="0" w:space="0" w:color="auto"/>
        <w:right w:val="none" w:sz="0" w:space="0" w:color="auto"/>
      </w:divBdr>
    </w:div>
    <w:div w:id="1617561497">
      <w:bodyDiv w:val="1"/>
      <w:marLeft w:val="0"/>
      <w:marRight w:val="0"/>
      <w:marTop w:val="0"/>
      <w:marBottom w:val="0"/>
      <w:divBdr>
        <w:top w:val="none" w:sz="0" w:space="0" w:color="auto"/>
        <w:left w:val="none" w:sz="0" w:space="0" w:color="auto"/>
        <w:bottom w:val="none" w:sz="0" w:space="0" w:color="auto"/>
        <w:right w:val="none" w:sz="0" w:space="0" w:color="auto"/>
      </w:divBdr>
    </w:div>
    <w:div w:id="1617563034">
      <w:bodyDiv w:val="1"/>
      <w:marLeft w:val="0"/>
      <w:marRight w:val="0"/>
      <w:marTop w:val="0"/>
      <w:marBottom w:val="0"/>
      <w:divBdr>
        <w:top w:val="none" w:sz="0" w:space="0" w:color="auto"/>
        <w:left w:val="none" w:sz="0" w:space="0" w:color="auto"/>
        <w:bottom w:val="none" w:sz="0" w:space="0" w:color="auto"/>
        <w:right w:val="none" w:sz="0" w:space="0" w:color="auto"/>
      </w:divBdr>
    </w:div>
    <w:div w:id="1617565429">
      <w:bodyDiv w:val="1"/>
      <w:marLeft w:val="0"/>
      <w:marRight w:val="0"/>
      <w:marTop w:val="0"/>
      <w:marBottom w:val="0"/>
      <w:divBdr>
        <w:top w:val="none" w:sz="0" w:space="0" w:color="auto"/>
        <w:left w:val="none" w:sz="0" w:space="0" w:color="auto"/>
        <w:bottom w:val="none" w:sz="0" w:space="0" w:color="auto"/>
        <w:right w:val="none" w:sz="0" w:space="0" w:color="auto"/>
      </w:divBdr>
    </w:div>
    <w:div w:id="1617711128">
      <w:bodyDiv w:val="1"/>
      <w:marLeft w:val="0"/>
      <w:marRight w:val="0"/>
      <w:marTop w:val="0"/>
      <w:marBottom w:val="0"/>
      <w:divBdr>
        <w:top w:val="none" w:sz="0" w:space="0" w:color="auto"/>
        <w:left w:val="none" w:sz="0" w:space="0" w:color="auto"/>
        <w:bottom w:val="none" w:sz="0" w:space="0" w:color="auto"/>
        <w:right w:val="none" w:sz="0" w:space="0" w:color="auto"/>
      </w:divBdr>
    </w:div>
    <w:div w:id="1617712090">
      <w:bodyDiv w:val="1"/>
      <w:marLeft w:val="0"/>
      <w:marRight w:val="0"/>
      <w:marTop w:val="0"/>
      <w:marBottom w:val="0"/>
      <w:divBdr>
        <w:top w:val="none" w:sz="0" w:space="0" w:color="auto"/>
        <w:left w:val="none" w:sz="0" w:space="0" w:color="auto"/>
        <w:bottom w:val="none" w:sz="0" w:space="0" w:color="auto"/>
        <w:right w:val="none" w:sz="0" w:space="0" w:color="auto"/>
      </w:divBdr>
    </w:div>
    <w:div w:id="1617784513">
      <w:bodyDiv w:val="1"/>
      <w:marLeft w:val="0"/>
      <w:marRight w:val="0"/>
      <w:marTop w:val="0"/>
      <w:marBottom w:val="0"/>
      <w:divBdr>
        <w:top w:val="none" w:sz="0" w:space="0" w:color="auto"/>
        <w:left w:val="none" w:sz="0" w:space="0" w:color="auto"/>
        <w:bottom w:val="none" w:sz="0" w:space="0" w:color="auto"/>
        <w:right w:val="none" w:sz="0" w:space="0" w:color="auto"/>
      </w:divBdr>
    </w:div>
    <w:div w:id="1617907012">
      <w:bodyDiv w:val="1"/>
      <w:marLeft w:val="0"/>
      <w:marRight w:val="0"/>
      <w:marTop w:val="0"/>
      <w:marBottom w:val="0"/>
      <w:divBdr>
        <w:top w:val="none" w:sz="0" w:space="0" w:color="auto"/>
        <w:left w:val="none" w:sz="0" w:space="0" w:color="auto"/>
        <w:bottom w:val="none" w:sz="0" w:space="0" w:color="auto"/>
        <w:right w:val="none" w:sz="0" w:space="0" w:color="auto"/>
      </w:divBdr>
    </w:div>
    <w:div w:id="1617907447">
      <w:bodyDiv w:val="1"/>
      <w:marLeft w:val="0"/>
      <w:marRight w:val="0"/>
      <w:marTop w:val="0"/>
      <w:marBottom w:val="0"/>
      <w:divBdr>
        <w:top w:val="none" w:sz="0" w:space="0" w:color="auto"/>
        <w:left w:val="none" w:sz="0" w:space="0" w:color="auto"/>
        <w:bottom w:val="none" w:sz="0" w:space="0" w:color="auto"/>
        <w:right w:val="none" w:sz="0" w:space="0" w:color="auto"/>
      </w:divBdr>
    </w:div>
    <w:div w:id="1618174616">
      <w:bodyDiv w:val="1"/>
      <w:marLeft w:val="0"/>
      <w:marRight w:val="0"/>
      <w:marTop w:val="0"/>
      <w:marBottom w:val="0"/>
      <w:divBdr>
        <w:top w:val="none" w:sz="0" w:space="0" w:color="auto"/>
        <w:left w:val="none" w:sz="0" w:space="0" w:color="auto"/>
        <w:bottom w:val="none" w:sz="0" w:space="0" w:color="auto"/>
        <w:right w:val="none" w:sz="0" w:space="0" w:color="auto"/>
      </w:divBdr>
    </w:div>
    <w:div w:id="1618178222">
      <w:bodyDiv w:val="1"/>
      <w:marLeft w:val="0"/>
      <w:marRight w:val="0"/>
      <w:marTop w:val="0"/>
      <w:marBottom w:val="0"/>
      <w:divBdr>
        <w:top w:val="none" w:sz="0" w:space="0" w:color="auto"/>
        <w:left w:val="none" w:sz="0" w:space="0" w:color="auto"/>
        <w:bottom w:val="none" w:sz="0" w:space="0" w:color="auto"/>
        <w:right w:val="none" w:sz="0" w:space="0" w:color="auto"/>
      </w:divBdr>
    </w:div>
    <w:div w:id="1618218563">
      <w:bodyDiv w:val="1"/>
      <w:marLeft w:val="0"/>
      <w:marRight w:val="0"/>
      <w:marTop w:val="0"/>
      <w:marBottom w:val="0"/>
      <w:divBdr>
        <w:top w:val="none" w:sz="0" w:space="0" w:color="auto"/>
        <w:left w:val="none" w:sz="0" w:space="0" w:color="auto"/>
        <w:bottom w:val="none" w:sz="0" w:space="0" w:color="auto"/>
        <w:right w:val="none" w:sz="0" w:space="0" w:color="auto"/>
      </w:divBdr>
    </w:div>
    <w:div w:id="1618218620">
      <w:bodyDiv w:val="1"/>
      <w:marLeft w:val="0"/>
      <w:marRight w:val="0"/>
      <w:marTop w:val="0"/>
      <w:marBottom w:val="0"/>
      <w:divBdr>
        <w:top w:val="none" w:sz="0" w:space="0" w:color="auto"/>
        <w:left w:val="none" w:sz="0" w:space="0" w:color="auto"/>
        <w:bottom w:val="none" w:sz="0" w:space="0" w:color="auto"/>
        <w:right w:val="none" w:sz="0" w:space="0" w:color="auto"/>
      </w:divBdr>
    </w:div>
    <w:div w:id="1618292449">
      <w:bodyDiv w:val="1"/>
      <w:marLeft w:val="0"/>
      <w:marRight w:val="0"/>
      <w:marTop w:val="0"/>
      <w:marBottom w:val="0"/>
      <w:divBdr>
        <w:top w:val="none" w:sz="0" w:space="0" w:color="auto"/>
        <w:left w:val="none" w:sz="0" w:space="0" w:color="auto"/>
        <w:bottom w:val="none" w:sz="0" w:space="0" w:color="auto"/>
        <w:right w:val="none" w:sz="0" w:space="0" w:color="auto"/>
      </w:divBdr>
    </w:div>
    <w:div w:id="1618371670">
      <w:bodyDiv w:val="1"/>
      <w:marLeft w:val="0"/>
      <w:marRight w:val="0"/>
      <w:marTop w:val="0"/>
      <w:marBottom w:val="0"/>
      <w:divBdr>
        <w:top w:val="none" w:sz="0" w:space="0" w:color="auto"/>
        <w:left w:val="none" w:sz="0" w:space="0" w:color="auto"/>
        <w:bottom w:val="none" w:sz="0" w:space="0" w:color="auto"/>
        <w:right w:val="none" w:sz="0" w:space="0" w:color="auto"/>
      </w:divBdr>
    </w:div>
    <w:div w:id="1618372882">
      <w:bodyDiv w:val="1"/>
      <w:marLeft w:val="0"/>
      <w:marRight w:val="0"/>
      <w:marTop w:val="0"/>
      <w:marBottom w:val="0"/>
      <w:divBdr>
        <w:top w:val="none" w:sz="0" w:space="0" w:color="auto"/>
        <w:left w:val="none" w:sz="0" w:space="0" w:color="auto"/>
        <w:bottom w:val="none" w:sz="0" w:space="0" w:color="auto"/>
        <w:right w:val="none" w:sz="0" w:space="0" w:color="auto"/>
      </w:divBdr>
    </w:div>
    <w:div w:id="1618487421">
      <w:bodyDiv w:val="1"/>
      <w:marLeft w:val="0"/>
      <w:marRight w:val="0"/>
      <w:marTop w:val="0"/>
      <w:marBottom w:val="0"/>
      <w:divBdr>
        <w:top w:val="none" w:sz="0" w:space="0" w:color="auto"/>
        <w:left w:val="none" w:sz="0" w:space="0" w:color="auto"/>
        <w:bottom w:val="none" w:sz="0" w:space="0" w:color="auto"/>
        <w:right w:val="none" w:sz="0" w:space="0" w:color="auto"/>
      </w:divBdr>
    </w:div>
    <w:div w:id="1618490456">
      <w:bodyDiv w:val="1"/>
      <w:marLeft w:val="0"/>
      <w:marRight w:val="0"/>
      <w:marTop w:val="0"/>
      <w:marBottom w:val="0"/>
      <w:divBdr>
        <w:top w:val="none" w:sz="0" w:space="0" w:color="auto"/>
        <w:left w:val="none" w:sz="0" w:space="0" w:color="auto"/>
        <w:bottom w:val="none" w:sz="0" w:space="0" w:color="auto"/>
        <w:right w:val="none" w:sz="0" w:space="0" w:color="auto"/>
      </w:divBdr>
    </w:div>
    <w:div w:id="1618491305">
      <w:bodyDiv w:val="1"/>
      <w:marLeft w:val="0"/>
      <w:marRight w:val="0"/>
      <w:marTop w:val="0"/>
      <w:marBottom w:val="0"/>
      <w:divBdr>
        <w:top w:val="none" w:sz="0" w:space="0" w:color="auto"/>
        <w:left w:val="none" w:sz="0" w:space="0" w:color="auto"/>
        <w:bottom w:val="none" w:sz="0" w:space="0" w:color="auto"/>
        <w:right w:val="none" w:sz="0" w:space="0" w:color="auto"/>
      </w:divBdr>
    </w:div>
    <w:div w:id="1618563827">
      <w:bodyDiv w:val="1"/>
      <w:marLeft w:val="0"/>
      <w:marRight w:val="0"/>
      <w:marTop w:val="0"/>
      <w:marBottom w:val="0"/>
      <w:divBdr>
        <w:top w:val="none" w:sz="0" w:space="0" w:color="auto"/>
        <w:left w:val="none" w:sz="0" w:space="0" w:color="auto"/>
        <w:bottom w:val="none" w:sz="0" w:space="0" w:color="auto"/>
        <w:right w:val="none" w:sz="0" w:space="0" w:color="auto"/>
      </w:divBdr>
    </w:div>
    <w:div w:id="1618567171">
      <w:bodyDiv w:val="1"/>
      <w:marLeft w:val="0"/>
      <w:marRight w:val="0"/>
      <w:marTop w:val="0"/>
      <w:marBottom w:val="0"/>
      <w:divBdr>
        <w:top w:val="none" w:sz="0" w:space="0" w:color="auto"/>
        <w:left w:val="none" w:sz="0" w:space="0" w:color="auto"/>
        <w:bottom w:val="none" w:sz="0" w:space="0" w:color="auto"/>
        <w:right w:val="none" w:sz="0" w:space="0" w:color="auto"/>
      </w:divBdr>
    </w:div>
    <w:div w:id="1618750974">
      <w:bodyDiv w:val="1"/>
      <w:marLeft w:val="0"/>
      <w:marRight w:val="0"/>
      <w:marTop w:val="0"/>
      <w:marBottom w:val="0"/>
      <w:divBdr>
        <w:top w:val="none" w:sz="0" w:space="0" w:color="auto"/>
        <w:left w:val="none" w:sz="0" w:space="0" w:color="auto"/>
        <w:bottom w:val="none" w:sz="0" w:space="0" w:color="auto"/>
        <w:right w:val="none" w:sz="0" w:space="0" w:color="auto"/>
      </w:divBdr>
    </w:div>
    <w:div w:id="1618756199">
      <w:bodyDiv w:val="1"/>
      <w:marLeft w:val="0"/>
      <w:marRight w:val="0"/>
      <w:marTop w:val="0"/>
      <w:marBottom w:val="0"/>
      <w:divBdr>
        <w:top w:val="none" w:sz="0" w:space="0" w:color="auto"/>
        <w:left w:val="none" w:sz="0" w:space="0" w:color="auto"/>
        <w:bottom w:val="none" w:sz="0" w:space="0" w:color="auto"/>
        <w:right w:val="none" w:sz="0" w:space="0" w:color="auto"/>
      </w:divBdr>
    </w:div>
    <w:div w:id="1618758152">
      <w:bodyDiv w:val="1"/>
      <w:marLeft w:val="0"/>
      <w:marRight w:val="0"/>
      <w:marTop w:val="0"/>
      <w:marBottom w:val="0"/>
      <w:divBdr>
        <w:top w:val="none" w:sz="0" w:space="0" w:color="auto"/>
        <w:left w:val="none" w:sz="0" w:space="0" w:color="auto"/>
        <w:bottom w:val="none" w:sz="0" w:space="0" w:color="auto"/>
        <w:right w:val="none" w:sz="0" w:space="0" w:color="auto"/>
      </w:divBdr>
    </w:div>
    <w:div w:id="1618759748">
      <w:bodyDiv w:val="1"/>
      <w:marLeft w:val="0"/>
      <w:marRight w:val="0"/>
      <w:marTop w:val="0"/>
      <w:marBottom w:val="0"/>
      <w:divBdr>
        <w:top w:val="none" w:sz="0" w:space="0" w:color="auto"/>
        <w:left w:val="none" w:sz="0" w:space="0" w:color="auto"/>
        <w:bottom w:val="none" w:sz="0" w:space="0" w:color="auto"/>
        <w:right w:val="none" w:sz="0" w:space="0" w:color="auto"/>
      </w:divBdr>
    </w:div>
    <w:div w:id="1618760240">
      <w:bodyDiv w:val="1"/>
      <w:marLeft w:val="0"/>
      <w:marRight w:val="0"/>
      <w:marTop w:val="0"/>
      <w:marBottom w:val="0"/>
      <w:divBdr>
        <w:top w:val="none" w:sz="0" w:space="0" w:color="auto"/>
        <w:left w:val="none" w:sz="0" w:space="0" w:color="auto"/>
        <w:bottom w:val="none" w:sz="0" w:space="0" w:color="auto"/>
        <w:right w:val="none" w:sz="0" w:space="0" w:color="auto"/>
      </w:divBdr>
    </w:div>
    <w:div w:id="1618831709">
      <w:bodyDiv w:val="1"/>
      <w:marLeft w:val="0"/>
      <w:marRight w:val="0"/>
      <w:marTop w:val="0"/>
      <w:marBottom w:val="0"/>
      <w:divBdr>
        <w:top w:val="none" w:sz="0" w:space="0" w:color="auto"/>
        <w:left w:val="none" w:sz="0" w:space="0" w:color="auto"/>
        <w:bottom w:val="none" w:sz="0" w:space="0" w:color="auto"/>
        <w:right w:val="none" w:sz="0" w:space="0" w:color="auto"/>
      </w:divBdr>
    </w:div>
    <w:div w:id="1619028114">
      <w:bodyDiv w:val="1"/>
      <w:marLeft w:val="0"/>
      <w:marRight w:val="0"/>
      <w:marTop w:val="0"/>
      <w:marBottom w:val="0"/>
      <w:divBdr>
        <w:top w:val="none" w:sz="0" w:space="0" w:color="auto"/>
        <w:left w:val="none" w:sz="0" w:space="0" w:color="auto"/>
        <w:bottom w:val="none" w:sz="0" w:space="0" w:color="auto"/>
        <w:right w:val="none" w:sz="0" w:space="0" w:color="auto"/>
      </w:divBdr>
    </w:div>
    <w:div w:id="1619214280">
      <w:bodyDiv w:val="1"/>
      <w:marLeft w:val="0"/>
      <w:marRight w:val="0"/>
      <w:marTop w:val="0"/>
      <w:marBottom w:val="0"/>
      <w:divBdr>
        <w:top w:val="none" w:sz="0" w:space="0" w:color="auto"/>
        <w:left w:val="none" w:sz="0" w:space="0" w:color="auto"/>
        <w:bottom w:val="none" w:sz="0" w:space="0" w:color="auto"/>
        <w:right w:val="none" w:sz="0" w:space="0" w:color="auto"/>
      </w:divBdr>
    </w:div>
    <w:div w:id="1619219239">
      <w:bodyDiv w:val="1"/>
      <w:marLeft w:val="0"/>
      <w:marRight w:val="0"/>
      <w:marTop w:val="0"/>
      <w:marBottom w:val="0"/>
      <w:divBdr>
        <w:top w:val="none" w:sz="0" w:space="0" w:color="auto"/>
        <w:left w:val="none" w:sz="0" w:space="0" w:color="auto"/>
        <w:bottom w:val="none" w:sz="0" w:space="0" w:color="auto"/>
        <w:right w:val="none" w:sz="0" w:space="0" w:color="auto"/>
      </w:divBdr>
    </w:div>
    <w:div w:id="1619407142">
      <w:bodyDiv w:val="1"/>
      <w:marLeft w:val="0"/>
      <w:marRight w:val="0"/>
      <w:marTop w:val="0"/>
      <w:marBottom w:val="0"/>
      <w:divBdr>
        <w:top w:val="none" w:sz="0" w:space="0" w:color="auto"/>
        <w:left w:val="none" w:sz="0" w:space="0" w:color="auto"/>
        <w:bottom w:val="none" w:sz="0" w:space="0" w:color="auto"/>
        <w:right w:val="none" w:sz="0" w:space="0" w:color="auto"/>
      </w:divBdr>
    </w:div>
    <w:div w:id="1619482627">
      <w:bodyDiv w:val="1"/>
      <w:marLeft w:val="0"/>
      <w:marRight w:val="0"/>
      <w:marTop w:val="0"/>
      <w:marBottom w:val="0"/>
      <w:divBdr>
        <w:top w:val="none" w:sz="0" w:space="0" w:color="auto"/>
        <w:left w:val="none" w:sz="0" w:space="0" w:color="auto"/>
        <w:bottom w:val="none" w:sz="0" w:space="0" w:color="auto"/>
        <w:right w:val="none" w:sz="0" w:space="0" w:color="auto"/>
      </w:divBdr>
    </w:div>
    <w:div w:id="1619489920">
      <w:bodyDiv w:val="1"/>
      <w:marLeft w:val="0"/>
      <w:marRight w:val="0"/>
      <w:marTop w:val="0"/>
      <w:marBottom w:val="0"/>
      <w:divBdr>
        <w:top w:val="none" w:sz="0" w:space="0" w:color="auto"/>
        <w:left w:val="none" w:sz="0" w:space="0" w:color="auto"/>
        <w:bottom w:val="none" w:sz="0" w:space="0" w:color="auto"/>
        <w:right w:val="none" w:sz="0" w:space="0" w:color="auto"/>
      </w:divBdr>
    </w:div>
    <w:div w:id="1619602807">
      <w:bodyDiv w:val="1"/>
      <w:marLeft w:val="0"/>
      <w:marRight w:val="0"/>
      <w:marTop w:val="0"/>
      <w:marBottom w:val="0"/>
      <w:divBdr>
        <w:top w:val="none" w:sz="0" w:space="0" w:color="auto"/>
        <w:left w:val="none" w:sz="0" w:space="0" w:color="auto"/>
        <w:bottom w:val="none" w:sz="0" w:space="0" w:color="auto"/>
        <w:right w:val="none" w:sz="0" w:space="0" w:color="auto"/>
      </w:divBdr>
    </w:div>
    <w:div w:id="1619676601">
      <w:bodyDiv w:val="1"/>
      <w:marLeft w:val="0"/>
      <w:marRight w:val="0"/>
      <w:marTop w:val="0"/>
      <w:marBottom w:val="0"/>
      <w:divBdr>
        <w:top w:val="none" w:sz="0" w:space="0" w:color="auto"/>
        <w:left w:val="none" w:sz="0" w:space="0" w:color="auto"/>
        <w:bottom w:val="none" w:sz="0" w:space="0" w:color="auto"/>
        <w:right w:val="none" w:sz="0" w:space="0" w:color="auto"/>
      </w:divBdr>
    </w:div>
    <w:div w:id="1619680122">
      <w:bodyDiv w:val="1"/>
      <w:marLeft w:val="0"/>
      <w:marRight w:val="0"/>
      <w:marTop w:val="0"/>
      <w:marBottom w:val="0"/>
      <w:divBdr>
        <w:top w:val="none" w:sz="0" w:space="0" w:color="auto"/>
        <w:left w:val="none" w:sz="0" w:space="0" w:color="auto"/>
        <w:bottom w:val="none" w:sz="0" w:space="0" w:color="auto"/>
        <w:right w:val="none" w:sz="0" w:space="0" w:color="auto"/>
      </w:divBdr>
    </w:div>
    <w:div w:id="1619920284">
      <w:bodyDiv w:val="1"/>
      <w:marLeft w:val="0"/>
      <w:marRight w:val="0"/>
      <w:marTop w:val="0"/>
      <w:marBottom w:val="0"/>
      <w:divBdr>
        <w:top w:val="none" w:sz="0" w:space="0" w:color="auto"/>
        <w:left w:val="none" w:sz="0" w:space="0" w:color="auto"/>
        <w:bottom w:val="none" w:sz="0" w:space="0" w:color="auto"/>
        <w:right w:val="none" w:sz="0" w:space="0" w:color="auto"/>
      </w:divBdr>
    </w:div>
    <w:div w:id="1619946565">
      <w:bodyDiv w:val="1"/>
      <w:marLeft w:val="0"/>
      <w:marRight w:val="0"/>
      <w:marTop w:val="0"/>
      <w:marBottom w:val="0"/>
      <w:divBdr>
        <w:top w:val="none" w:sz="0" w:space="0" w:color="auto"/>
        <w:left w:val="none" w:sz="0" w:space="0" w:color="auto"/>
        <w:bottom w:val="none" w:sz="0" w:space="0" w:color="auto"/>
        <w:right w:val="none" w:sz="0" w:space="0" w:color="auto"/>
      </w:divBdr>
    </w:div>
    <w:div w:id="1619948085">
      <w:bodyDiv w:val="1"/>
      <w:marLeft w:val="0"/>
      <w:marRight w:val="0"/>
      <w:marTop w:val="0"/>
      <w:marBottom w:val="0"/>
      <w:divBdr>
        <w:top w:val="none" w:sz="0" w:space="0" w:color="auto"/>
        <w:left w:val="none" w:sz="0" w:space="0" w:color="auto"/>
        <w:bottom w:val="none" w:sz="0" w:space="0" w:color="auto"/>
        <w:right w:val="none" w:sz="0" w:space="0" w:color="auto"/>
      </w:divBdr>
    </w:div>
    <w:div w:id="1619986864">
      <w:bodyDiv w:val="1"/>
      <w:marLeft w:val="0"/>
      <w:marRight w:val="0"/>
      <w:marTop w:val="0"/>
      <w:marBottom w:val="0"/>
      <w:divBdr>
        <w:top w:val="none" w:sz="0" w:space="0" w:color="auto"/>
        <w:left w:val="none" w:sz="0" w:space="0" w:color="auto"/>
        <w:bottom w:val="none" w:sz="0" w:space="0" w:color="auto"/>
        <w:right w:val="none" w:sz="0" w:space="0" w:color="auto"/>
      </w:divBdr>
    </w:div>
    <w:div w:id="1619994957">
      <w:bodyDiv w:val="1"/>
      <w:marLeft w:val="0"/>
      <w:marRight w:val="0"/>
      <w:marTop w:val="0"/>
      <w:marBottom w:val="0"/>
      <w:divBdr>
        <w:top w:val="none" w:sz="0" w:space="0" w:color="auto"/>
        <w:left w:val="none" w:sz="0" w:space="0" w:color="auto"/>
        <w:bottom w:val="none" w:sz="0" w:space="0" w:color="auto"/>
        <w:right w:val="none" w:sz="0" w:space="0" w:color="auto"/>
      </w:divBdr>
    </w:div>
    <w:div w:id="1620064210">
      <w:bodyDiv w:val="1"/>
      <w:marLeft w:val="0"/>
      <w:marRight w:val="0"/>
      <w:marTop w:val="0"/>
      <w:marBottom w:val="0"/>
      <w:divBdr>
        <w:top w:val="none" w:sz="0" w:space="0" w:color="auto"/>
        <w:left w:val="none" w:sz="0" w:space="0" w:color="auto"/>
        <w:bottom w:val="none" w:sz="0" w:space="0" w:color="auto"/>
        <w:right w:val="none" w:sz="0" w:space="0" w:color="auto"/>
      </w:divBdr>
    </w:div>
    <w:div w:id="1620070705">
      <w:bodyDiv w:val="1"/>
      <w:marLeft w:val="0"/>
      <w:marRight w:val="0"/>
      <w:marTop w:val="0"/>
      <w:marBottom w:val="0"/>
      <w:divBdr>
        <w:top w:val="none" w:sz="0" w:space="0" w:color="auto"/>
        <w:left w:val="none" w:sz="0" w:space="0" w:color="auto"/>
        <w:bottom w:val="none" w:sz="0" w:space="0" w:color="auto"/>
        <w:right w:val="none" w:sz="0" w:space="0" w:color="auto"/>
      </w:divBdr>
    </w:div>
    <w:div w:id="1620187959">
      <w:bodyDiv w:val="1"/>
      <w:marLeft w:val="0"/>
      <w:marRight w:val="0"/>
      <w:marTop w:val="0"/>
      <w:marBottom w:val="0"/>
      <w:divBdr>
        <w:top w:val="none" w:sz="0" w:space="0" w:color="auto"/>
        <w:left w:val="none" w:sz="0" w:space="0" w:color="auto"/>
        <w:bottom w:val="none" w:sz="0" w:space="0" w:color="auto"/>
        <w:right w:val="none" w:sz="0" w:space="0" w:color="auto"/>
      </w:divBdr>
    </w:div>
    <w:div w:id="1620212120">
      <w:bodyDiv w:val="1"/>
      <w:marLeft w:val="0"/>
      <w:marRight w:val="0"/>
      <w:marTop w:val="0"/>
      <w:marBottom w:val="0"/>
      <w:divBdr>
        <w:top w:val="none" w:sz="0" w:space="0" w:color="auto"/>
        <w:left w:val="none" w:sz="0" w:space="0" w:color="auto"/>
        <w:bottom w:val="none" w:sz="0" w:space="0" w:color="auto"/>
        <w:right w:val="none" w:sz="0" w:space="0" w:color="auto"/>
      </w:divBdr>
    </w:div>
    <w:div w:id="1620407836">
      <w:bodyDiv w:val="1"/>
      <w:marLeft w:val="0"/>
      <w:marRight w:val="0"/>
      <w:marTop w:val="0"/>
      <w:marBottom w:val="0"/>
      <w:divBdr>
        <w:top w:val="none" w:sz="0" w:space="0" w:color="auto"/>
        <w:left w:val="none" w:sz="0" w:space="0" w:color="auto"/>
        <w:bottom w:val="none" w:sz="0" w:space="0" w:color="auto"/>
        <w:right w:val="none" w:sz="0" w:space="0" w:color="auto"/>
      </w:divBdr>
    </w:div>
    <w:div w:id="1620408278">
      <w:bodyDiv w:val="1"/>
      <w:marLeft w:val="0"/>
      <w:marRight w:val="0"/>
      <w:marTop w:val="0"/>
      <w:marBottom w:val="0"/>
      <w:divBdr>
        <w:top w:val="none" w:sz="0" w:space="0" w:color="auto"/>
        <w:left w:val="none" w:sz="0" w:space="0" w:color="auto"/>
        <w:bottom w:val="none" w:sz="0" w:space="0" w:color="auto"/>
        <w:right w:val="none" w:sz="0" w:space="0" w:color="auto"/>
      </w:divBdr>
    </w:div>
    <w:div w:id="1620449698">
      <w:bodyDiv w:val="1"/>
      <w:marLeft w:val="0"/>
      <w:marRight w:val="0"/>
      <w:marTop w:val="0"/>
      <w:marBottom w:val="0"/>
      <w:divBdr>
        <w:top w:val="none" w:sz="0" w:space="0" w:color="auto"/>
        <w:left w:val="none" w:sz="0" w:space="0" w:color="auto"/>
        <w:bottom w:val="none" w:sz="0" w:space="0" w:color="auto"/>
        <w:right w:val="none" w:sz="0" w:space="0" w:color="auto"/>
      </w:divBdr>
    </w:div>
    <w:div w:id="1620455680">
      <w:bodyDiv w:val="1"/>
      <w:marLeft w:val="0"/>
      <w:marRight w:val="0"/>
      <w:marTop w:val="0"/>
      <w:marBottom w:val="0"/>
      <w:divBdr>
        <w:top w:val="none" w:sz="0" w:space="0" w:color="auto"/>
        <w:left w:val="none" w:sz="0" w:space="0" w:color="auto"/>
        <w:bottom w:val="none" w:sz="0" w:space="0" w:color="auto"/>
        <w:right w:val="none" w:sz="0" w:space="0" w:color="auto"/>
      </w:divBdr>
    </w:div>
    <w:div w:id="1620600395">
      <w:bodyDiv w:val="1"/>
      <w:marLeft w:val="0"/>
      <w:marRight w:val="0"/>
      <w:marTop w:val="0"/>
      <w:marBottom w:val="0"/>
      <w:divBdr>
        <w:top w:val="none" w:sz="0" w:space="0" w:color="auto"/>
        <w:left w:val="none" w:sz="0" w:space="0" w:color="auto"/>
        <w:bottom w:val="none" w:sz="0" w:space="0" w:color="auto"/>
        <w:right w:val="none" w:sz="0" w:space="0" w:color="auto"/>
      </w:divBdr>
    </w:div>
    <w:div w:id="1620600884">
      <w:bodyDiv w:val="1"/>
      <w:marLeft w:val="0"/>
      <w:marRight w:val="0"/>
      <w:marTop w:val="0"/>
      <w:marBottom w:val="0"/>
      <w:divBdr>
        <w:top w:val="none" w:sz="0" w:space="0" w:color="auto"/>
        <w:left w:val="none" w:sz="0" w:space="0" w:color="auto"/>
        <w:bottom w:val="none" w:sz="0" w:space="0" w:color="auto"/>
        <w:right w:val="none" w:sz="0" w:space="0" w:color="auto"/>
      </w:divBdr>
    </w:div>
    <w:div w:id="1620721723">
      <w:bodyDiv w:val="1"/>
      <w:marLeft w:val="0"/>
      <w:marRight w:val="0"/>
      <w:marTop w:val="0"/>
      <w:marBottom w:val="0"/>
      <w:divBdr>
        <w:top w:val="none" w:sz="0" w:space="0" w:color="auto"/>
        <w:left w:val="none" w:sz="0" w:space="0" w:color="auto"/>
        <w:bottom w:val="none" w:sz="0" w:space="0" w:color="auto"/>
        <w:right w:val="none" w:sz="0" w:space="0" w:color="auto"/>
      </w:divBdr>
    </w:div>
    <w:div w:id="1620797039">
      <w:bodyDiv w:val="1"/>
      <w:marLeft w:val="0"/>
      <w:marRight w:val="0"/>
      <w:marTop w:val="0"/>
      <w:marBottom w:val="0"/>
      <w:divBdr>
        <w:top w:val="none" w:sz="0" w:space="0" w:color="auto"/>
        <w:left w:val="none" w:sz="0" w:space="0" w:color="auto"/>
        <w:bottom w:val="none" w:sz="0" w:space="0" w:color="auto"/>
        <w:right w:val="none" w:sz="0" w:space="0" w:color="auto"/>
      </w:divBdr>
    </w:div>
    <w:div w:id="1620799420">
      <w:bodyDiv w:val="1"/>
      <w:marLeft w:val="0"/>
      <w:marRight w:val="0"/>
      <w:marTop w:val="0"/>
      <w:marBottom w:val="0"/>
      <w:divBdr>
        <w:top w:val="none" w:sz="0" w:space="0" w:color="auto"/>
        <w:left w:val="none" w:sz="0" w:space="0" w:color="auto"/>
        <w:bottom w:val="none" w:sz="0" w:space="0" w:color="auto"/>
        <w:right w:val="none" w:sz="0" w:space="0" w:color="auto"/>
      </w:divBdr>
    </w:div>
    <w:div w:id="1620910760">
      <w:bodyDiv w:val="1"/>
      <w:marLeft w:val="0"/>
      <w:marRight w:val="0"/>
      <w:marTop w:val="0"/>
      <w:marBottom w:val="0"/>
      <w:divBdr>
        <w:top w:val="none" w:sz="0" w:space="0" w:color="auto"/>
        <w:left w:val="none" w:sz="0" w:space="0" w:color="auto"/>
        <w:bottom w:val="none" w:sz="0" w:space="0" w:color="auto"/>
        <w:right w:val="none" w:sz="0" w:space="0" w:color="auto"/>
      </w:divBdr>
    </w:div>
    <w:div w:id="1620916800">
      <w:bodyDiv w:val="1"/>
      <w:marLeft w:val="0"/>
      <w:marRight w:val="0"/>
      <w:marTop w:val="0"/>
      <w:marBottom w:val="0"/>
      <w:divBdr>
        <w:top w:val="none" w:sz="0" w:space="0" w:color="auto"/>
        <w:left w:val="none" w:sz="0" w:space="0" w:color="auto"/>
        <w:bottom w:val="none" w:sz="0" w:space="0" w:color="auto"/>
        <w:right w:val="none" w:sz="0" w:space="0" w:color="auto"/>
      </w:divBdr>
    </w:div>
    <w:div w:id="1620917250">
      <w:bodyDiv w:val="1"/>
      <w:marLeft w:val="0"/>
      <w:marRight w:val="0"/>
      <w:marTop w:val="0"/>
      <w:marBottom w:val="0"/>
      <w:divBdr>
        <w:top w:val="none" w:sz="0" w:space="0" w:color="auto"/>
        <w:left w:val="none" w:sz="0" w:space="0" w:color="auto"/>
        <w:bottom w:val="none" w:sz="0" w:space="0" w:color="auto"/>
        <w:right w:val="none" w:sz="0" w:space="0" w:color="auto"/>
      </w:divBdr>
    </w:div>
    <w:div w:id="1620992961">
      <w:bodyDiv w:val="1"/>
      <w:marLeft w:val="0"/>
      <w:marRight w:val="0"/>
      <w:marTop w:val="0"/>
      <w:marBottom w:val="0"/>
      <w:divBdr>
        <w:top w:val="none" w:sz="0" w:space="0" w:color="auto"/>
        <w:left w:val="none" w:sz="0" w:space="0" w:color="auto"/>
        <w:bottom w:val="none" w:sz="0" w:space="0" w:color="auto"/>
        <w:right w:val="none" w:sz="0" w:space="0" w:color="auto"/>
      </w:divBdr>
    </w:div>
    <w:div w:id="1620993860">
      <w:bodyDiv w:val="1"/>
      <w:marLeft w:val="0"/>
      <w:marRight w:val="0"/>
      <w:marTop w:val="0"/>
      <w:marBottom w:val="0"/>
      <w:divBdr>
        <w:top w:val="none" w:sz="0" w:space="0" w:color="auto"/>
        <w:left w:val="none" w:sz="0" w:space="0" w:color="auto"/>
        <w:bottom w:val="none" w:sz="0" w:space="0" w:color="auto"/>
        <w:right w:val="none" w:sz="0" w:space="0" w:color="auto"/>
      </w:divBdr>
    </w:div>
    <w:div w:id="1621061774">
      <w:bodyDiv w:val="1"/>
      <w:marLeft w:val="0"/>
      <w:marRight w:val="0"/>
      <w:marTop w:val="0"/>
      <w:marBottom w:val="0"/>
      <w:divBdr>
        <w:top w:val="none" w:sz="0" w:space="0" w:color="auto"/>
        <w:left w:val="none" w:sz="0" w:space="0" w:color="auto"/>
        <w:bottom w:val="none" w:sz="0" w:space="0" w:color="auto"/>
        <w:right w:val="none" w:sz="0" w:space="0" w:color="auto"/>
      </w:divBdr>
    </w:div>
    <w:div w:id="1621183070">
      <w:bodyDiv w:val="1"/>
      <w:marLeft w:val="0"/>
      <w:marRight w:val="0"/>
      <w:marTop w:val="0"/>
      <w:marBottom w:val="0"/>
      <w:divBdr>
        <w:top w:val="none" w:sz="0" w:space="0" w:color="auto"/>
        <w:left w:val="none" w:sz="0" w:space="0" w:color="auto"/>
        <w:bottom w:val="none" w:sz="0" w:space="0" w:color="auto"/>
        <w:right w:val="none" w:sz="0" w:space="0" w:color="auto"/>
      </w:divBdr>
    </w:div>
    <w:div w:id="1621260711">
      <w:bodyDiv w:val="1"/>
      <w:marLeft w:val="0"/>
      <w:marRight w:val="0"/>
      <w:marTop w:val="0"/>
      <w:marBottom w:val="0"/>
      <w:divBdr>
        <w:top w:val="none" w:sz="0" w:space="0" w:color="auto"/>
        <w:left w:val="none" w:sz="0" w:space="0" w:color="auto"/>
        <w:bottom w:val="none" w:sz="0" w:space="0" w:color="auto"/>
        <w:right w:val="none" w:sz="0" w:space="0" w:color="auto"/>
      </w:divBdr>
    </w:div>
    <w:div w:id="1621304831">
      <w:bodyDiv w:val="1"/>
      <w:marLeft w:val="0"/>
      <w:marRight w:val="0"/>
      <w:marTop w:val="0"/>
      <w:marBottom w:val="0"/>
      <w:divBdr>
        <w:top w:val="none" w:sz="0" w:space="0" w:color="auto"/>
        <w:left w:val="none" w:sz="0" w:space="0" w:color="auto"/>
        <w:bottom w:val="none" w:sz="0" w:space="0" w:color="auto"/>
        <w:right w:val="none" w:sz="0" w:space="0" w:color="auto"/>
      </w:divBdr>
    </w:div>
    <w:div w:id="1621305429">
      <w:bodyDiv w:val="1"/>
      <w:marLeft w:val="0"/>
      <w:marRight w:val="0"/>
      <w:marTop w:val="0"/>
      <w:marBottom w:val="0"/>
      <w:divBdr>
        <w:top w:val="none" w:sz="0" w:space="0" w:color="auto"/>
        <w:left w:val="none" w:sz="0" w:space="0" w:color="auto"/>
        <w:bottom w:val="none" w:sz="0" w:space="0" w:color="auto"/>
        <w:right w:val="none" w:sz="0" w:space="0" w:color="auto"/>
      </w:divBdr>
    </w:div>
    <w:div w:id="1621375286">
      <w:bodyDiv w:val="1"/>
      <w:marLeft w:val="0"/>
      <w:marRight w:val="0"/>
      <w:marTop w:val="0"/>
      <w:marBottom w:val="0"/>
      <w:divBdr>
        <w:top w:val="none" w:sz="0" w:space="0" w:color="auto"/>
        <w:left w:val="none" w:sz="0" w:space="0" w:color="auto"/>
        <w:bottom w:val="none" w:sz="0" w:space="0" w:color="auto"/>
        <w:right w:val="none" w:sz="0" w:space="0" w:color="auto"/>
      </w:divBdr>
    </w:div>
    <w:div w:id="1621377988">
      <w:bodyDiv w:val="1"/>
      <w:marLeft w:val="0"/>
      <w:marRight w:val="0"/>
      <w:marTop w:val="0"/>
      <w:marBottom w:val="0"/>
      <w:divBdr>
        <w:top w:val="none" w:sz="0" w:space="0" w:color="auto"/>
        <w:left w:val="none" w:sz="0" w:space="0" w:color="auto"/>
        <w:bottom w:val="none" w:sz="0" w:space="0" w:color="auto"/>
        <w:right w:val="none" w:sz="0" w:space="0" w:color="auto"/>
      </w:divBdr>
    </w:div>
    <w:div w:id="1621378477">
      <w:bodyDiv w:val="1"/>
      <w:marLeft w:val="0"/>
      <w:marRight w:val="0"/>
      <w:marTop w:val="0"/>
      <w:marBottom w:val="0"/>
      <w:divBdr>
        <w:top w:val="none" w:sz="0" w:space="0" w:color="auto"/>
        <w:left w:val="none" w:sz="0" w:space="0" w:color="auto"/>
        <w:bottom w:val="none" w:sz="0" w:space="0" w:color="auto"/>
        <w:right w:val="none" w:sz="0" w:space="0" w:color="auto"/>
      </w:divBdr>
    </w:div>
    <w:div w:id="1621380641">
      <w:bodyDiv w:val="1"/>
      <w:marLeft w:val="0"/>
      <w:marRight w:val="0"/>
      <w:marTop w:val="0"/>
      <w:marBottom w:val="0"/>
      <w:divBdr>
        <w:top w:val="none" w:sz="0" w:space="0" w:color="auto"/>
        <w:left w:val="none" w:sz="0" w:space="0" w:color="auto"/>
        <w:bottom w:val="none" w:sz="0" w:space="0" w:color="auto"/>
        <w:right w:val="none" w:sz="0" w:space="0" w:color="auto"/>
      </w:divBdr>
    </w:div>
    <w:div w:id="1621447221">
      <w:bodyDiv w:val="1"/>
      <w:marLeft w:val="0"/>
      <w:marRight w:val="0"/>
      <w:marTop w:val="0"/>
      <w:marBottom w:val="0"/>
      <w:divBdr>
        <w:top w:val="none" w:sz="0" w:space="0" w:color="auto"/>
        <w:left w:val="none" w:sz="0" w:space="0" w:color="auto"/>
        <w:bottom w:val="none" w:sz="0" w:space="0" w:color="auto"/>
        <w:right w:val="none" w:sz="0" w:space="0" w:color="auto"/>
      </w:divBdr>
    </w:div>
    <w:div w:id="1621447999">
      <w:bodyDiv w:val="1"/>
      <w:marLeft w:val="0"/>
      <w:marRight w:val="0"/>
      <w:marTop w:val="0"/>
      <w:marBottom w:val="0"/>
      <w:divBdr>
        <w:top w:val="none" w:sz="0" w:space="0" w:color="auto"/>
        <w:left w:val="none" w:sz="0" w:space="0" w:color="auto"/>
        <w:bottom w:val="none" w:sz="0" w:space="0" w:color="auto"/>
        <w:right w:val="none" w:sz="0" w:space="0" w:color="auto"/>
      </w:divBdr>
    </w:div>
    <w:div w:id="1621454595">
      <w:bodyDiv w:val="1"/>
      <w:marLeft w:val="0"/>
      <w:marRight w:val="0"/>
      <w:marTop w:val="0"/>
      <w:marBottom w:val="0"/>
      <w:divBdr>
        <w:top w:val="none" w:sz="0" w:space="0" w:color="auto"/>
        <w:left w:val="none" w:sz="0" w:space="0" w:color="auto"/>
        <w:bottom w:val="none" w:sz="0" w:space="0" w:color="auto"/>
        <w:right w:val="none" w:sz="0" w:space="0" w:color="auto"/>
      </w:divBdr>
    </w:div>
    <w:div w:id="1621498148">
      <w:bodyDiv w:val="1"/>
      <w:marLeft w:val="0"/>
      <w:marRight w:val="0"/>
      <w:marTop w:val="0"/>
      <w:marBottom w:val="0"/>
      <w:divBdr>
        <w:top w:val="none" w:sz="0" w:space="0" w:color="auto"/>
        <w:left w:val="none" w:sz="0" w:space="0" w:color="auto"/>
        <w:bottom w:val="none" w:sz="0" w:space="0" w:color="auto"/>
        <w:right w:val="none" w:sz="0" w:space="0" w:color="auto"/>
      </w:divBdr>
    </w:div>
    <w:div w:id="1621567938">
      <w:bodyDiv w:val="1"/>
      <w:marLeft w:val="0"/>
      <w:marRight w:val="0"/>
      <w:marTop w:val="0"/>
      <w:marBottom w:val="0"/>
      <w:divBdr>
        <w:top w:val="none" w:sz="0" w:space="0" w:color="auto"/>
        <w:left w:val="none" w:sz="0" w:space="0" w:color="auto"/>
        <w:bottom w:val="none" w:sz="0" w:space="0" w:color="auto"/>
        <w:right w:val="none" w:sz="0" w:space="0" w:color="auto"/>
      </w:divBdr>
    </w:div>
    <w:div w:id="1621570558">
      <w:bodyDiv w:val="1"/>
      <w:marLeft w:val="0"/>
      <w:marRight w:val="0"/>
      <w:marTop w:val="0"/>
      <w:marBottom w:val="0"/>
      <w:divBdr>
        <w:top w:val="none" w:sz="0" w:space="0" w:color="auto"/>
        <w:left w:val="none" w:sz="0" w:space="0" w:color="auto"/>
        <w:bottom w:val="none" w:sz="0" w:space="0" w:color="auto"/>
        <w:right w:val="none" w:sz="0" w:space="0" w:color="auto"/>
      </w:divBdr>
    </w:div>
    <w:div w:id="1621644513">
      <w:bodyDiv w:val="1"/>
      <w:marLeft w:val="0"/>
      <w:marRight w:val="0"/>
      <w:marTop w:val="0"/>
      <w:marBottom w:val="0"/>
      <w:divBdr>
        <w:top w:val="none" w:sz="0" w:space="0" w:color="auto"/>
        <w:left w:val="none" w:sz="0" w:space="0" w:color="auto"/>
        <w:bottom w:val="none" w:sz="0" w:space="0" w:color="auto"/>
        <w:right w:val="none" w:sz="0" w:space="0" w:color="auto"/>
      </w:divBdr>
    </w:div>
    <w:div w:id="1621648255">
      <w:bodyDiv w:val="1"/>
      <w:marLeft w:val="0"/>
      <w:marRight w:val="0"/>
      <w:marTop w:val="0"/>
      <w:marBottom w:val="0"/>
      <w:divBdr>
        <w:top w:val="none" w:sz="0" w:space="0" w:color="auto"/>
        <w:left w:val="none" w:sz="0" w:space="0" w:color="auto"/>
        <w:bottom w:val="none" w:sz="0" w:space="0" w:color="auto"/>
        <w:right w:val="none" w:sz="0" w:space="0" w:color="auto"/>
      </w:divBdr>
    </w:div>
    <w:div w:id="1621911895">
      <w:bodyDiv w:val="1"/>
      <w:marLeft w:val="0"/>
      <w:marRight w:val="0"/>
      <w:marTop w:val="0"/>
      <w:marBottom w:val="0"/>
      <w:divBdr>
        <w:top w:val="none" w:sz="0" w:space="0" w:color="auto"/>
        <w:left w:val="none" w:sz="0" w:space="0" w:color="auto"/>
        <w:bottom w:val="none" w:sz="0" w:space="0" w:color="auto"/>
        <w:right w:val="none" w:sz="0" w:space="0" w:color="auto"/>
      </w:divBdr>
    </w:div>
    <w:div w:id="1621954834">
      <w:bodyDiv w:val="1"/>
      <w:marLeft w:val="0"/>
      <w:marRight w:val="0"/>
      <w:marTop w:val="0"/>
      <w:marBottom w:val="0"/>
      <w:divBdr>
        <w:top w:val="none" w:sz="0" w:space="0" w:color="auto"/>
        <w:left w:val="none" w:sz="0" w:space="0" w:color="auto"/>
        <w:bottom w:val="none" w:sz="0" w:space="0" w:color="auto"/>
        <w:right w:val="none" w:sz="0" w:space="0" w:color="auto"/>
      </w:divBdr>
    </w:div>
    <w:div w:id="1621955906">
      <w:bodyDiv w:val="1"/>
      <w:marLeft w:val="0"/>
      <w:marRight w:val="0"/>
      <w:marTop w:val="0"/>
      <w:marBottom w:val="0"/>
      <w:divBdr>
        <w:top w:val="none" w:sz="0" w:space="0" w:color="auto"/>
        <w:left w:val="none" w:sz="0" w:space="0" w:color="auto"/>
        <w:bottom w:val="none" w:sz="0" w:space="0" w:color="auto"/>
        <w:right w:val="none" w:sz="0" w:space="0" w:color="auto"/>
      </w:divBdr>
    </w:div>
    <w:div w:id="1622032136">
      <w:bodyDiv w:val="1"/>
      <w:marLeft w:val="0"/>
      <w:marRight w:val="0"/>
      <w:marTop w:val="0"/>
      <w:marBottom w:val="0"/>
      <w:divBdr>
        <w:top w:val="none" w:sz="0" w:space="0" w:color="auto"/>
        <w:left w:val="none" w:sz="0" w:space="0" w:color="auto"/>
        <w:bottom w:val="none" w:sz="0" w:space="0" w:color="auto"/>
        <w:right w:val="none" w:sz="0" w:space="0" w:color="auto"/>
      </w:divBdr>
    </w:div>
    <w:div w:id="1622110080">
      <w:bodyDiv w:val="1"/>
      <w:marLeft w:val="0"/>
      <w:marRight w:val="0"/>
      <w:marTop w:val="0"/>
      <w:marBottom w:val="0"/>
      <w:divBdr>
        <w:top w:val="none" w:sz="0" w:space="0" w:color="auto"/>
        <w:left w:val="none" w:sz="0" w:space="0" w:color="auto"/>
        <w:bottom w:val="none" w:sz="0" w:space="0" w:color="auto"/>
        <w:right w:val="none" w:sz="0" w:space="0" w:color="auto"/>
      </w:divBdr>
    </w:div>
    <w:div w:id="1622111830">
      <w:bodyDiv w:val="1"/>
      <w:marLeft w:val="0"/>
      <w:marRight w:val="0"/>
      <w:marTop w:val="0"/>
      <w:marBottom w:val="0"/>
      <w:divBdr>
        <w:top w:val="none" w:sz="0" w:space="0" w:color="auto"/>
        <w:left w:val="none" w:sz="0" w:space="0" w:color="auto"/>
        <w:bottom w:val="none" w:sz="0" w:space="0" w:color="auto"/>
        <w:right w:val="none" w:sz="0" w:space="0" w:color="auto"/>
      </w:divBdr>
    </w:div>
    <w:div w:id="1622153795">
      <w:bodyDiv w:val="1"/>
      <w:marLeft w:val="0"/>
      <w:marRight w:val="0"/>
      <w:marTop w:val="0"/>
      <w:marBottom w:val="0"/>
      <w:divBdr>
        <w:top w:val="none" w:sz="0" w:space="0" w:color="auto"/>
        <w:left w:val="none" w:sz="0" w:space="0" w:color="auto"/>
        <w:bottom w:val="none" w:sz="0" w:space="0" w:color="auto"/>
        <w:right w:val="none" w:sz="0" w:space="0" w:color="auto"/>
      </w:divBdr>
    </w:div>
    <w:div w:id="1622295968">
      <w:bodyDiv w:val="1"/>
      <w:marLeft w:val="0"/>
      <w:marRight w:val="0"/>
      <w:marTop w:val="0"/>
      <w:marBottom w:val="0"/>
      <w:divBdr>
        <w:top w:val="none" w:sz="0" w:space="0" w:color="auto"/>
        <w:left w:val="none" w:sz="0" w:space="0" w:color="auto"/>
        <w:bottom w:val="none" w:sz="0" w:space="0" w:color="auto"/>
        <w:right w:val="none" w:sz="0" w:space="0" w:color="auto"/>
      </w:divBdr>
    </w:div>
    <w:div w:id="1622297283">
      <w:bodyDiv w:val="1"/>
      <w:marLeft w:val="0"/>
      <w:marRight w:val="0"/>
      <w:marTop w:val="0"/>
      <w:marBottom w:val="0"/>
      <w:divBdr>
        <w:top w:val="none" w:sz="0" w:space="0" w:color="auto"/>
        <w:left w:val="none" w:sz="0" w:space="0" w:color="auto"/>
        <w:bottom w:val="none" w:sz="0" w:space="0" w:color="auto"/>
        <w:right w:val="none" w:sz="0" w:space="0" w:color="auto"/>
      </w:divBdr>
    </w:div>
    <w:div w:id="1622413858">
      <w:bodyDiv w:val="1"/>
      <w:marLeft w:val="0"/>
      <w:marRight w:val="0"/>
      <w:marTop w:val="0"/>
      <w:marBottom w:val="0"/>
      <w:divBdr>
        <w:top w:val="none" w:sz="0" w:space="0" w:color="auto"/>
        <w:left w:val="none" w:sz="0" w:space="0" w:color="auto"/>
        <w:bottom w:val="none" w:sz="0" w:space="0" w:color="auto"/>
        <w:right w:val="none" w:sz="0" w:space="0" w:color="auto"/>
      </w:divBdr>
    </w:div>
    <w:div w:id="1622420997">
      <w:bodyDiv w:val="1"/>
      <w:marLeft w:val="0"/>
      <w:marRight w:val="0"/>
      <w:marTop w:val="0"/>
      <w:marBottom w:val="0"/>
      <w:divBdr>
        <w:top w:val="none" w:sz="0" w:space="0" w:color="auto"/>
        <w:left w:val="none" w:sz="0" w:space="0" w:color="auto"/>
        <w:bottom w:val="none" w:sz="0" w:space="0" w:color="auto"/>
        <w:right w:val="none" w:sz="0" w:space="0" w:color="auto"/>
      </w:divBdr>
    </w:div>
    <w:div w:id="1622421054">
      <w:bodyDiv w:val="1"/>
      <w:marLeft w:val="0"/>
      <w:marRight w:val="0"/>
      <w:marTop w:val="0"/>
      <w:marBottom w:val="0"/>
      <w:divBdr>
        <w:top w:val="none" w:sz="0" w:space="0" w:color="auto"/>
        <w:left w:val="none" w:sz="0" w:space="0" w:color="auto"/>
        <w:bottom w:val="none" w:sz="0" w:space="0" w:color="auto"/>
        <w:right w:val="none" w:sz="0" w:space="0" w:color="auto"/>
      </w:divBdr>
    </w:div>
    <w:div w:id="1622495663">
      <w:bodyDiv w:val="1"/>
      <w:marLeft w:val="0"/>
      <w:marRight w:val="0"/>
      <w:marTop w:val="0"/>
      <w:marBottom w:val="0"/>
      <w:divBdr>
        <w:top w:val="none" w:sz="0" w:space="0" w:color="auto"/>
        <w:left w:val="none" w:sz="0" w:space="0" w:color="auto"/>
        <w:bottom w:val="none" w:sz="0" w:space="0" w:color="auto"/>
        <w:right w:val="none" w:sz="0" w:space="0" w:color="auto"/>
      </w:divBdr>
    </w:div>
    <w:div w:id="1622498304">
      <w:bodyDiv w:val="1"/>
      <w:marLeft w:val="0"/>
      <w:marRight w:val="0"/>
      <w:marTop w:val="0"/>
      <w:marBottom w:val="0"/>
      <w:divBdr>
        <w:top w:val="none" w:sz="0" w:space="0" w:color="auto"/>
        <w:left w:val="none" w:sz="0" w:space="0" w:color="auto"/>
        <w:bottom w:val="none" w:sz="0" w:space="0" w:color="auto"/>
        <w:right w:val="none" w:sz="0" w:space="0" w:color="auto"/>
      </w:divBdr>
    </w:div>
    <w:div w:id="1622498746">
      <w:bodyDiv w:val="1"/>
      <w:marLeft w:val="0"/>
      <w:marRight w:val="0"/>
      <w:marTop w:val="0"/>
      <w:marBottom w:val="0"/>
      <w:divBdr>
        <w:top w:val="none" w:sz="0" w:space="0" w:color="auto"/>
        <w:left w:val="none" w:sz="0" w:space="0" w:color="auto"/>
        <w:bottom w:val="none" w:sz="0" w:space="0" w:color="auto"/>
        <w:right w:val="none" w:sz="0" w:space="0" w:color="auto"/>
      </w:divBdr>
    </w:div>
    <w:div w:id="1622682426">
      <w:bodyDiv w:val="1"/>
      <w:marLeft w:val="0"/>
      <w:marRight w:val="0"/>
      <w:marTop w:val="0"/>
      <w:marBottom w:val="0"/>
      <w:divBdr>
        <w:top w:val="none" w:sz="0" w:space="0" w:color="auto"/>
        <w:left w:val="none" w:sz="0" w:space="0" w:color="auto"/>
        <w:bottom w:val="none" w:sz="0" w:space="0" w:color="auto"/>
        <w:right w:val="none" w:sz="0" w:space="0" w:color="auto"/>
      </w:divBdr>
    </w:div>
    <w:div w:id="1622834586">
      <w:bodyDiv w:val="1"/>
      <w:marLeft w:val="0"/>
      <w:marRight w:val="0"/>
      <w:marTop w:val="0"/>
      <w:marBottom w:val="0"/>
      <w:divBdr>
        <w:top w:val="none" w:sz="0" w:space="0" w:color="auto"/>
        <w:left w:val="none" w:sz="0" w:space="0" w:color="auto"/>
        <w:bottom w:val="none" w:sz="0" w:space="0" w:color="auto"/>
        <w:right w:val="none" w:sz="0" w:space="0" w:color="auto"/>
      </w:divBdr>
    </w:div>
    <w:div w:id="1622876664">
      <w:bodyDiv w:val="1"/>
      <w:marLeft w:val="0"/>
      <w:marRight w:val="0"/>
      <w:marTop w:val="0"/>
      <w:marBottom w:val="0"/>
      <w:divBdr>
        <w:top w:val="none" w:sz="0" w:space="0" w:color="auto"/>
        <w:left w:val="none" w:sz="0" w:space="0" w:color="auto"/>
        <w:bottom w:val="none" w:sz="0" w:space="0" w:color="auto"/>
        <w:right w:val="none" w:sz="0" w:space="0" w:color="auto"/>
      </w:divBdr>
    </w:div>
    <w:div w:id="1622955621">
      <w:bodyDiv w:val="1"/>
      <w:marLeft w:val="0"/>
      <w:marRight w:val="0"/>
      <w:marTop w:val="0"/>
      <w:marBottom w:val="0"/>
      <w:divBdr>
        <w:top w:val="none" w:sz="0" w:space="0" w:color="auto"/>
        <w:left w:val="none" w:sz="0" w:space="0" w:color="auto"/>
        <w:bottom w:val="none" w:sz="0" w:space="0" w:color="auto"/>
        <w:right w:val="none" w:sz="0" w:space="0" w:color="auto"/>
      </w:divBdr>
    </w:div>
    <w:div w:id="1622999801">
      <w:bodyDiv w:val="1"/>
      <w:marLeft w:val="0"/>
      <w:marRight w:val="0"/>
      <w:marTop w:val="0"/>
      <w:marBottom w:val="0"/>
      <w:divBdr>
        <w:top w:val="none" w:sz="0" w:space="0" w:color="auto"/>
        <w:left w:val="none" w:sz="0" w:space="0" w:color="auto"/>
        <w:bottom w:val="none" w:sz="0" w:space="0" w:color="auto"/>
        <w:right w:val="none" w:sz="0" w:space="0" w:color="auto"/>
      </w:divBdr>
    </w:div>
    <w:div w:id="1623072433">
      <w:bodyDiv w:val="1"/>
      <w:marLeft w:val="0"/>
      <w:marRight w:val="0"/>
      <w:marTop w:val="0"/>
      <w:marBottom w:val="0"/>
      <w:divBdr>
        <w:top w:val="none" w:sz="0" w:space="0" w:color="auto"/>
        <w:left w:val="none" w:sz="0" w:space="0" w:color="auto"/>
        <w:bottom w:val="none" w:sz="0" w:space="0" w:color="auto"/>
        <w:right w:val="none" w:sz="0" w:space="0" w:color="auto"/>
      </w:divBdr>
    </w:div>
    <w:div w:id="1623076487">
      <w:bodyDiv w:val="1"/>
      <w:marLeft w:val="0"/>
      <w:marRight w:val="0"/>
      <w:marTop w:val="0"/>
      <w:marBottom w:val="0"/>
      <w:divBdr>
        <w:top w:val="none" w:sz="0" w:space="0" w:color="auto"/>
        <w:left w:val="none" w:sz="0" w:space="0" w:color="auto"/>
        <w:bottom w:val="none" w:sz="0" w:space="0" w:color="auto"/>
        <w:right w:val="none" w:sz="0" w:space="0" w:color="auto"/>
      </w:divBdr>
    </w:div>
    <w:div w:id="1623149167">
      <w:bodyDiv w:val="1"/>
      <w:marLeft w:val="0"/>
      <w:marRight w:val="0"/>
      <w:marTop w:val="0"/>
      <w:marBottom w:val="0"/>
      <w:divBdr>
        <w:top w:val="none" w:sz="0" w:space="0" w:color="auto"/>
        <w:left w:val="none" w:sz="0" w:space="0" w:color="auto"/>
        <w:bottom w:val="none" w:sz="0" w:space="0" w:color="auto"/>
        <w:right w:val="none" w:sz="0" w:space="0" w:color="auto"/>
      </w:divBdr>
    </w:div>
    <w:div w:id="1623340947">
      <w:bodyDiv w:val="1"/>
      <w:marLeft w:val="0"/>
      <w:marRight w:val="0"/>
      <w:marTop w:val="0"/>
      <w:marBottom w:val="0"/>
      <w:divBdr>
        <w:top w:val="none" w:sz="0" w:space="0" w:color="auto"/>
        <w:left w:val="none" w:sz="0" w:space="0" w:color="auto"/>
        <w:bottom w:val="none" w:sz="0" w:space="0" w:color="auto"/>
        <w:right w:val="none" w:sz="0" w:space="0" w:color="auto"/>
      </w:divBdr>
    </w:div>
    <w:div w:id="1623457866">
      <w:bodyDiv w:val="1"/>
      <w:marLeft w:val="0"/>
      <w:marRight w:val="0"/>
      <w:marTop w:val="0"/>
      <w:marBottom w:val="0"/>
      <w:divBdr>
        <w:top w:val="none" w:sz="0" w:space="0" w:color="auto"/>
        <w:left w:val="none" w:sz="0" w:space="0" w:color="auto"/>
        <w:bottom w:val="none" w:sz="0" w:space="0" w:color="auto"/>
        <w:right w:val="none" w:sz="0" w:space="0" w:color="auto"/>
      </w:divBdr>
    </w:div>
    <w:div w:id="1623458390">
      <w:bodyDiv w:val="1"/>
      <w:marLeft w:val="0"/>
      <w:marRight w:val="0"/>
      <w:marTop w:val="0"/>
      <w:marBottom w:val="0"/>
      <w:divBdr>
        <w:top w:val="none" w:sz="0" w:space="0" w:color="auto"/>
        <w:left w:val="none" w:sz="0" w:space="0" w:color="auto"/>
        <w:bottom w:val="none" w:sz="0" w:space="0" w:color="auto"/>
        <w:right w:val="none" w:sz="0" w:space="0" w:color="auto"/>
      </w:divBdr>
    </w:div>
    <w:div w:id="1623725343">
      <w:bodyDiv w:val="1"/>
      <w:marLeft w:val="0"/>
      <w:marRight w:val="0"/>
      <w:marTop w:val="0"/>
      <w:marBottom w:val="0"/>
      <w:divBdr>
        <w:top w:val="none" w:sz="0" w:space="0" w:color="auto"/>
        <w:left w:val="none" w:sz="0" w:space="0" w:color="auto"/>
        <w:bottom w:val="none" w:sz="0" w:space="0" w:color="auto"/>
        <w:right w:val="none" w:sz="0" w:space="0" w:color="auto"/>
      </w:divBdr>
    </w:div>
    <w:div w:id="1623727822">
      <w:bodyDiv w:val="1"/>
      <w:marLeft w:val="0"/>
      <w:marRight w:val="0"/>
      <w:marTop w:val="0"/>
      <w:marBottom w:val="0"/>
      <w:divBdr>
        <w:top w:val="none" w:sz="0" w:space="0" w:color="auto"/>
        <w:left w:val="none" w:sz="0" w:space="0" w:color="auto"/>
        <w:bottom w:val="none" w:sz="0" w:space="0" w:color="auto"/>
        <w:right w:val="none" w:sz="0" w:space="0" w:color="auto"/>
      </w:divBdr>
    </w:div>
    <w:div w:id="1623803185">
      <w:bodyDiv w:val="1"/>
      <w:marLeft w:val="0"/>
      <w:marRight w:val="0"/>
      <w:marTop w:val="0"/>
      <w:marBottom w:val="0"/>
      <w:divBdr>
        <w:top w:val="none" w:sz="0" w:space="0" w:color="auto"/>
        <w:left w:val="none" w:sz="0" w:space="0" w:color="auto"/>
        <w:bottom w:val="none" w:sz="0" w:space="0" w:color="auto"/>
        <w:right w:val="none" w:sz="0" w:space="0" w:color="auto"/>
      </w:divBdr>
    </w:div>
    <w:div w:id="1623804480">
      <w:bodyDiv w:val="1"/>
      <w:marLeft w:val="0"/>
      <w:marRight w:val="0"/>
      <w:marTop w:val="0"/>
      <w:marBottom w:val="0"/>
      <w:divBdr>
        <w:top w:val="none" w:sz="0" w:space="0" w:color="auto"/>
        <w:left w:val="none" w:sz="0" w:space="0" w:color="auto"/>
        <w:bottom w:val="none" w:sz="0" w:space="0" w:color="auto"/>
        <w:right w:val="none" w:sz="0" w:space="0" w:color="auto"/>
      </w:divBdr>
    </w:div>
    <w:div w:id="1623804486">
      <w:bodyDiv w:val="1"/>
      <w:marLeft w:val="0"/>
      <w:marRight w:val="0"/>
      <w:marTop w:val="0"/>
      <w:marBottom w:val="0"/>
      <w:divBdr>
        <w:top w:val="none" w:sz="0" w:space="0" w:color="auto"/>
        <w:left w:val="none" w:sz="0" w:space="0" w:color="auto"/>
        <w:bottom w:val="none" w:sz="0" w:space="0" w:color="auto"/>
        <w:right w:val="none" w:sz="0" w:space="0" w:color="auto"/>
      </w:divBdr>
    </w:div>
    <w:div w:id="1623999909">
      <w:bodyDiv w:val="1"/>
      <w:marLeft w:val="0"/>
      <w:marRight w:val="0"/>
      <w:marTop w:val="0"/>
      <w:marBottom w:val="0"/>
      <w:divBdr>
        <w:top w:val="none" w:sz="0" w:space="0" w:color="auto"/>
        <w:left w:val="none" w:sz="0" w:space="0" w:color="auto"/>
        <w:bottom w:val="none" w:sz="0" w:space="0" w:color="auto"/>
        <w:right w:val="none" w:sz="0" w:space="0" w:color="auto"/>
      </w:divBdr>
    </w:div>
    <w:div w:id="1624068408">
      <w:bodyDiv w:val="1"/>
      <w:marLeft w:val="0"/>
      <w:marRight w:val="0"/>
      <w:marTop w:val="0"/>
      <w:marBottom w:val="0"/>
      <w:divBdr>
        <w:top w:val="none" w:sz="0" w:space="0" w:color="auto"/>
        <w:left w:val="none" w:sz="0" w:space="0" w:color="auto"/>
        <w:bottom w:val="none" w:sz="0" w:space="0" w:color="auto"/>
        <w:right w:val="none" w:sz="0" w:space="0" w:color="auto"/>
      </w:divBdr>
    </w:div>
    <w:div w:id="1624073234">
      <w:bodyDiv w:val="1"/>
      <w:marLeft w:val="0"/>
      <w:marRight w:val="0"/>
      <w:marTop w:val="0"/>
      <w:marBottom w:val="0"/>
      <w:divBdr>
        <w:top w:val="none" w:sz="0" w:space="0" w:color="auto"/>
        <w:left w:val="none" w:sz="0" w:space="0" w:color="auto"/>
        <w:bottom w:val="none" w:sz="0" w:space="0" w:color="auto"/>
        <w:right w:val="none" w:sz="0" w:space="0" w:color="auto"/>
      </w:divBdr>
    </w:div>
    <w:div w:id="1624193641">
      <w:bodyDiv w:val="1"/>
      <w:marLeft w:val="0"/>
      <w:marRight w:val="0"/>
      <w:marTop w:val="0"/>
      <w:marBottom w:val="0"/>
      <w:divBdr>
        <w:top w:val="none" w:sz="0" w:space="0" w:color="auto"/>
        <w:left w:val="none" w:sz="0" w:space="0" w:color="auto"/>
        <w:bottom w:val="none" w:sz="0" w:space="0" w:color="auto"/>
        <w:right w:val="none" w:sz="0" w:space="0" w:color="auto"/>
      </w:divBdr>
    </w:div>
    <w:div w:id="1624262208">
      <w:bodyDiv w:val="1"/>
      <w:marLeft w:val="0"/>
      <w:marRight w:val="0"/>
      <w:marTop w:val="0"/>
      <w:marBottom w:val="0"/>
      <w:divBdr>
        <w:top w:val="none" w:sz="0" w:space="0" w:color="auto"/>
        <w:left w:val="none" w:sz="0" w:space="0" w:color="auto"/>
        <w:bottom w:val="none" w:sz="0" w:space="0" w:color="auto"/>
        <w:right w:val="none" w:sz="0" w:space="0" w:color="auto"/>
      </w:divBdr>
    </w:div>
    <w:div w:id="1624270660">
      <w:bodyDiv w:val="1"/>
      <w:marLeft w:val="0"/>
      <w:marRight w:val="0"/>
      <w:marTop w:val="0"/>
      <w:marBottom w:val="0"/>
      <w:divBdr>
        <w:top w:val="none" w:sz="0" w:space="0" w:color="auto"/>
        <w:left w:val="none" w:sz="0" w:space="0" w:color="auto"/>
        <w:bottom w:val="none" w:sz="0" w:space="0" w:color="auto"/>
        <w:right w:val="none" w:sz="0" w:space="0" w:color="auto"/>
      </w:divBdr>
    </w:div>
    <w:div w:id="1624341712">
      <w:bodyDiv w:val="1"/>
      <w:marLeft w:val="0"/>
      <w:marRight w:val="0"/>
      <w:marTop w:val="0"/>
      <w:marBottom w:val="0"/>
      <w:divBdr>
        <w:top w:val="none" w:sz="0" w:space="0" w:color="auto"/>
        <w:left w:val="none" w:sz="0" w:space="0" w:color="auto"/>
        <w:bottom w:val="none" w:sz="0" w:space="0" w:color="auto"/>
        <w:right w:val="none" w:sz="0" w:space="0" w:color="auto"/>
      </w:divBdr>
    </w:div>
    <w:div w:id="1624386612">
      <w:bodyDiv w:val="1"/>
      <w:marLeft w:val="0"/>
      <w:marRight w:val="0"/>
      <w:marTop w:val="0"/>
      <w:marBottom w:val="0"/>
      <w:divBdr>
        <w:top w:val="none" w:sz="0" w:space="0" w:color="auto"/>
        <w:left w:val="none" w:sz="0" w:space="0" w:color="auto"/>
        <w:bottom w:val="none" w:sz="0" w:space="0" w:color="auto"/>
        <w:right w:val="none" w:sz="0" w:space="0" w:color="auto"/>
      </w:divBdr>
    </w:div>
    <w:div w:id="1624387773">
      <w:bodyDiv w:val="1"/>
      <w:marLeft w:val="0"/>
      <w:marRight w:val="0"/>
      <w:marTop w:val="0"/>
      <w:marBottom w:val="0"/>
      <w:divBdr>
        <w:top w:val="none" w:sz="0" w:space="0" w:color="auto"/>
        <w:left w:val="none" w:sz="0" w:space="0" w:color="auto"/>
        <w:bottom w:val="none" w:sz="0" w:space="0" w:color="auto"/>
        <w:right w:val="none" w:sz="0" w:space="0" w:color="auto"/>
      </w:divBdr>
    </w:div>
    <w:div w:id="1624578391">
      <w:bodyDiv w:val="1"/>
      <w:marLeft w:val="0"/>
      <w:marRight w:val="0"/>
      <w:marTop w:val="0"/>
      <w:marBottom w:val="0"/>
      <w:divBdr>
        <w:top w:val="none" w:sz="0" w:space="0" w:color="auto"/>
        <w:left w:val="none" w:sz="0" w:space="0" w:color="auto"/>
        <w:bottom w:val="none" w:sz="0" w:space="0" w:color="auto"/>
        <w:right w:val="none" w:sz="0" w:space="0" w:color="auto"/>
      </w:divBdr>
    </w:div>
    <w:div w:id="1624653661">
      <w:bodyDiv w:val="1"/>
      <w:marLeft w:val="0"/>
      <w:marRight w:val="0"/>
      <w:marTop w:val="0"/>
      <w:marBottom w:val="0"/>
      <w:divBdr>
        <w:top w:val="none" w:sz="0" w:space="0" w:color="auto"/>
        <w:left w:val="none" w:sz="0" w:space="0" w:color="auto"/>
        <w:bottom w:val="none" w:sz="0" w:space="0" w:color="auto"/>
        <w:right w:val="none" w:sz="0" w:space="0" w:color="auto"/>
      </w:divBdr>
    </w:div>
    <w:div w:id="1624656680">
      <w:bodyDiv w:val="1"/>
      <w:marLeft w:val="0"/>
      <w:marRight w:val="0"/>
      <w:marTop w:val="0"/>
      <w:marBottom w:val="0"/>
      <w:divBdr>
        <w:top w:val="none" w:sz="0" w:space="0" w:color="auto"/>
        <w:left w:val="none" w:sz="0" w:space="0" w:color="auto"/>
        <w:bottom w:val="none" w:sz="0" w:space="0" w:color="auto"/>
        <w:right w:val="none" w:sz="0" w:space="0" w:color="auto"/>
      </w:divBdr>
    </w:div>
    <w:div w:id="1624730876">
      <w:bodyDiv w:val="1"/>
      <w:marLeft w:val="0"/>
      <w:marRight w:val="0"/>
      <w:marTop w:val="0"/>
      <w:marBottom w:val="0"/>
      <w:divBdr>
        <w:top w:val="none" w:sz="0" w:space="0" w:color="auto"/>
        <w:left w:val="none" w:sz="0" w:space="0" w:color="auto"/>
        <w:bottom w:val="none" w:sz="0" w:space="0" w:color="auto"/>
        <w:right w:val="none" w:sz="0" w:space="0" w:color="auto"/>
      </w:divBdr>
    </w:div>
    <w:div w:id="1624732766">
      <w:bodyDiv w:val="1"/>
      <w:marLeft w:val="0"/>
      <w:marRight w:val="0"/>
      <w:marTop w:val="0"/>
      <w:marBottom w:val="0"/>
      <w:divBdr>
        <w:top w:val="none" w:sz="0" w:space="0" w:color="auto"/>
        <w:left w:val="none" w:sz="0" w:space="0" w:color="auto"/>
        <w:bottom w:val="none" w:sz="0" w:space="0" w:color="auto"/>
        <w:right w:val="none" w:sz="0" w:space="0" w:color="auto"/>
      </w:divBdr>
    </w:div>
    <w:div w:id="1624926173">
      <w:bodyDiv w:val="1"/>
      <w:marLeft w:val="0"/>
      <w:marRight w:val="0"/>
      <w:marTop w:val="0"/>
      <w:marBottom w:val="0"/>
      <w:divBdr>
        <w:top w:val="none" w:sz="0" w:space="0" w:color="auto"/>
        <w:left w:val="none" w:sz="0" w:space="0" w:color="auto"/>
        <w:bottom w:val="none" w:sz="0" w:space="0" w:color="auto"/>
        <w:right w:val="none" w:sz="0" w:space="0" w:color="auto"/>
      </w:divBdr>
    </w:div>
    <w:div w:id="1625038278">
      <w:bodyDiv w:val="1"/>
      <w:marLeft w:val="0"/>
      <w:marRight w:val="0"/>
      <w:marTop w:val="0"/>
      <w:marBottom w:val="0"/>
      <w:divBdr>
        <w:top w:val="none" w:sz="0" w:space="0" w:color="auto"/>
        <w:left w:val="none" w:sz="0" w:space="0" w:color="auto"/>
        <w:bottom w:val="none" w:sz="0" w:space="0" w:color="auto"/>
        <w:right w:val="none" w:sz="0" w:space="0" w:color="auto"/>
      </w:divBdr>
    </w:div>
    <w:div w:id="1625040279">
      <w:bodyDiv w:val="1"/>
      <w:marLeft w:val="0"/>
      <w:marRight w:val="0"/>
      <w:marTop w:val="0"/>
      <w:marBottom w:val="0"/>
      <w:divBdr>
        <w:top w:val="none" w:sz="0" w:space="0" w:color="auto"/>
        <w:left w:val="none" w:sz="0" w:space="0" w:color="auto"/>
        <w:bottom w:val="none" w:sz="0" w:space="0" w:color="auto"/>
        <w:right w:val="none" w:sz="0" w:space="0" w:color="auto"/>
      </w:divBdr>
    </w:div>
    <w:div w:id="1625041419">
      <w:bodyDiv w:val="1"/>
      <w:marLeft w:val="0"/>
      <w:marRight w:val="0"/>
      <w:marTop w:val="0"/>
      <w:marBottom w:val="0"/>
      <w:divBdr>
        <w:top w:val="none" w:sz="0" w:space="0" w:color="auto"/>
        <w:left w:val="none" w:sz="0" w:space="0" w:color="auto"/>
        <w:bottom w:val="none" w:sz="0" w:space="0" w:color="auto"/>
        <w:right w:val="none" w:sz="0" w:space="0" w:color="auto"/>
      </w:divBdr>
    </w:div>
    <w:div w:id="1625042228">
      <w:bodyDiv w:val="1"/>
      <w:marLeft w:val="0"/>
      <w:marRight w:val="0"/>
      <w:marTop w:val="0"/>
      <w:marBottom w:val="0"/>
      <w:divBdr>
        <w:top w:val="none" w:sz="0" w:space="0" w:color="auto"/>
        <w:left w:val="none" w:sz="0" w:space="0" w:color="auto"/>
        <w:bottom w:val="none" w:sz="0" w:space="0" w:color="auto"/>
        <w:right w:val="none" w:sz="0" w:space="0" w:color="auto"/>
      </w:divBdr>
    </w:div>
    <w:div w:id="1625111988">
      <w:bodyDiv w:val="1"/>
      <w:marLeft w:val="0"/>
      <w:marRight w:val="0"/>
      <w:marTop w:val="0"/>
      <w:marBottom w:val="0"/>
      <w:divBdr>
        <w:top w:val="none" w:sz="0" w:space="0" w:color="auto"/>
        <w:left w:val="none" w:sz="0" w:space="0" w:color="auto"/>
        <w:bottom w:val="none" w:sz="0" w:space="0" w:color="auto"/>
        <w:right w:val="none" w:sz="0" w:space="0" w:color="auto"/>
      </w:divBdr>
    </w:div>
    <w:div w:id="1625187291">
      <w:bodyDiv w:val="1"/>
      <w:marLeft w:val="0"/>
      <w:marRight w:val="0"/>
      <w:marTop w:val="0"/>
      <w:marBottom w:val="0"/>
      <w:divBdr>
        <w:top w:val="none" w:sz="0" w:space="0" w:color="auto"/>
        <w:left w:val="none" w:sz="0" w:space="0" w:color="auto"/>
        <w:bottom w:val="none" w:sz="0" w:space="0" w:color="auto"/>
        <w:right w:val="none" w:sz="0" w:space="0" w:color="auto"/>
      </w:divBdr>
    </w:div>
    <w:div w:id="1625310083">
      <w:bodyDiv w:val="1"/>
      <w:marLeft w:val="0"/>
      <w:marRight w:val="0"/>
      <w:marTop w:val="0"/>
      <w:marBottom w:val="0"/>
      <w:divBdr>
        <w:top w:val="none" w:sz="0" w:space="0" w:color="auto"/>
        <w:left w:val="none" w:sz="0" w:space="0" w:color="auto"/>
        <w:bottom w:val="none" w:sz="0" w:space="0" w:color="auto"/>
        <w:right w:val="none" w:sz="0" w:space="0" w:color="auto"/>
      </w:divBdr>
    </w:div>
    <w:div w:id="1625573433">
      <w:bodyDiv w:val="1"/>
      <w:marLeft w:val="0"/>
      <w:marRight w:val="0"/>
      <w:marTop w:val="0"/>
      <w:marBottom w:val="0"/>
      <w:divBdr>
        <w:top w:val="none" w:sz="0" w:space="0" w:color="auto"/>
        <w:left w:val="none" w:sz="0" w:space="0" w:color="auto"/>
        <w:bottom w:val="none" w:sz="0" w:space="0" w:color="auto"/>
        <w:right w:val="none" w:sz="0" w:space="0" w:color="auto"/>
      </w:divBdr>
    </w:div>
    <w:div w:id="1625574548">
      <w:bodyDiv w:val="1"/>
      <w:marLeft w:val="0"/>
      <w:marRight w:val="0"/>
      <w:marTop w:val="0"/>
      <w:marBottom w:val="0"/>
      <w:divBdr>
        <w:top w:val="none" w:sz="0" w:space="0" w:color="auto"/>
        <w:left w:val="none" w:sz="0" w:space="0" w:color="auto"/>
        <w:bottom w:val="none" w:sz="0" w:space="0" w:color="auto"/>
        <w:right w:val="none" w:sz="0" w:space="0" w:color="auto"/>
      </w:divBdr>
    </w:div>
    <w:div w:id="1625579283">
      <w:bodyDiv w:val="1"/>
      <w:marLeft w:val="0"/>
      <w:marRight w:val="0"/>
      <w:marTop w:val="0"/>
      <w:marBottom w:val="0"/>
      <w:divBdr>
        <w:top w:val="none" w:sz="0" w:space="0" w:color="auto"/>
        <w:left w:val="none" w:sz="0" w:space="0" w:color="auto"/>
        <w:bottom w:val="none" w:sz="0" w:space="0" w:color="auto"/>
        <w:right w:val="none" w:sz="0" w:space="0" w:color="auto"/>
      </w:divBdr>
    </w:div>
    <w:div w:id="1625581325">
      <w:bodyDiv w:val="1"/>
      <w:marLeft w:val="0"/>
      <w:marRight w:val="0"/>
      <w:marTop w:val="0"/>
      <w:marBottom w:val="0"/>
      <w:divBdr>
        <w:top w:val="none" w:sz="0" w:space="0" w:color="auto"/>
        <w:left w:val="none" w:sz="0" w:space="0" w:color="auto"/>
        <w:bottom w:val="none" w:sz="0" w:space="0" w:color="auto"/>
        <w:right w:val="none" w:sz="0" w:space="0" w:color="auto"/>
      </w:divBdr>
    </w:div>
    <w:div w:id="1625690956">
      <w:bodyDiv w:val="1"/>
      <w:marLeft w:val="0"/>
      <w:marRight w:val="0"/>
      <w:marTop w:val="0"/>
      <w:marBottom w:val="0"/>
      <w:divBdr>
        <w:top w:val="none" w:sz="0" w:space="0" w:color="auto"/>
        <w:left w:val="none" w:sz="0" w:space="0" w:color="auto"/>
        <w:bottom w:val="none" w:sz="0" w:space="0" w:color="auto"/>
        <w:right w:val="none" w:sz="0" w:space="0" w:color="auto"/>
      </w:divBdr>
    </w:div>
    <w:div w:id="1625693423">
      <w:bodyDiv w:val="1"/>
      <w:marLeft w:val="0"/>
      <w:marRight w:val="0"/>
      <w:marTop w:val="0"/>
      <w:marBottom w:val="0"/>
      <w:divBdr>
        <w:top w:val="none" w:sz="0" w:space="0" w:color="auto"/>
        <w:left w:val="none" w:sz="0" w:space="0" w:color="auto"/>
        <w:bottom w:val="none" w:sz="0" w:space="0" w:color="auto"/>
        <w:right w:val="none" w:sz="0" w:space="0" w:color="auto"/>
      </w:divBdr>
    </w:div>
    <w:div w:id="1625841198">
      <w:bodyDiv w:val="1"/>
      <w:marLeft w:val="0"/>
      <w:marRight w:val="0"/>
      <w:marTop w:val="0"/>
      <w:marBottom w:val="0"/>
      <w:divBdr>
        <w:top w:val="none" w:sz="0" w:space="0" w:color="auto"/>
        <w:left w:val="none" w:sz="0" w:space="0" w:color="auto"/>
        <w:bottom w:val="none" w:sz="0" w:space="0" w:color="auto"/>
        <w:right w:val="none" w:sz="0" w:space="0" w:color="auto"/>
      </w:divBdr>
    </w:div>
    <w:div w:id="1626231896">
      <w:bodyDiv w:val="1"/>
      <w:marLeft w:val="0"/>
      <w:marRight w:val="0"/>
      <w:marTop w:val="0"/>
      <w:marBottom w:val="0"/>
      <w:divBdr>
        <w:top w:val="none" w:sz="0" w:space="0" w:color="auto"/>
        <w:left w:val="none" w:sz="0" w:space="0" w:color="auto"/>
        <w:bottom w:val="none" w:sz="0" w:space="0" w:color="auto"/>
        <w:right w:val="none" w:sz="0" w:space="0" w:color="auto"/>
      </w:divBdr>
    </w:div>
    <w:div w:id="1626232337">
      <w:bodyDiv w:val="1"/>
      <w:marLeft w:val="0"/>
      <w:marRight w:val="0"/>
      <w:marTop w:val="0"/>
      <w:marBottom w:val="0"/>
      <w:divBdr>
        <w:top w:val="none" w:sz="0" w:space="0" w:color="auto"/>
        <w:left w:val="none" w:sz="0" w:space="0" w:color="auto"/>
        <w:bottom w:val="none" w:sz="0" w:space="0" w:color="auto"/>
        <w:right w:val="none" w:sz="0" w:space="0" w:color="auto"/>
      </w:divBdr>
    </w:div>
    <w:div w:id="1626277037">
      <w:bodyDiv w:val="1"/>
      <w:marLeft w:val="0"/>
      <w:marRight w:val="0"/>
      <w:marTop w:val="0"/>
      <w:marBottom w:val="0"/>
      <w:divBdr>
        <w:top w:val="none" w:sz="0" w:space="0" w:color="auto"/>
        <w:left w:val="none" w:sz="0" w:space="0" w:color="auto"/>
        <w:bottom w:val="none" w:sz="0" w:space="0" w:color="auto"/>
        <w:right w:val="none" w:sz="0" w:space="0" w:color="auto"/>
      </w:divBdr>
    </w:div>
    <w:div w:id="1626307727">
      <w:bodyDiv w:val="1"/>
      <w:marLeft w:val="0"/>
      <w:marRight w:val="0"/>
      <w:marTop w:val="0"/>
      <w:marBottom w:val="0"/>
      <w:divBdr>
        <w:top w:val="none" w:sz="0" w:space="0" w:color="auto"/>
        <w:left w:val="none" w:sz="0" w:space="0" w:color="auto"/>
        <w:bottom w:val="none" w:sz="0" w:space="0" w:color="auto"/>
        <w:right w:val="none" w:sz="0" w:space="0" w:color="auto"/>
      </w:divBdr>
    </w:div>
    <w:div w:id="1626424272">
      <w:bodyDiv w:val="1"/>
      <w:marLeft w:val="0"/>
      <w:marRight w:val="0"/>
      <w:marTop w:val="0"/>
      <w:marBottom w:val="0"/>
      <w:divBdr>
        <w:top w:val="none" w:sz="0" w:space="0" w:color="auto"/>
        <w:left w:val="none" w:sz="0" w:space="0" w:color="auto"/>
        <w:bottom w:val="none" w:sz="0" w:space="0" w:color="auto"/>
        <w:right w:val="none" w:sz="0" w:space="0" w:color="auto"/>
      </w:divBdr>
    </w:div>
    <w:div w:id="1626429712">
      <w:bodyDiv w:val="1"/>
      <w:marLeft w:val="0"/>
      <w:marRight w:val="0"/>
      <w:marTop w:val="0"/>
      <w:marBottom w:val="0"/>
      <w:divBdr>
        <w:top w:val="none" w:sz="0" w:space="0" w:color="auto"/>
        <w:left w:val="none" w:sz="0" w:space="0" w:color="auto"/>
        <w:bottom w:val="none" w:sz="0" w:space="0" w:color="auto"/>
        <w:right w:val="none" w:sz="0" w:space="0" w:color="auto"/>
      </w:divBdr>
    </w:div>
    <w:div w:id="1626472945">
      <w:bodyDiv w:val="1"/>
      <w:marLeft w:val="0"/>
      <w:marRight w:val="0"/>
      <w:marTop w:val="0"/>
      <w:marBottom w:val="0"/>
      <w:divBdr>
        <w:top w:val="none" w:sz="0" w:space="0" w:color="auto"/>
        <w:left w:val="none" w:sz="0" w:space="0" w:color="auto"/>
        <w:bottom w:val="none" w:sz="0" w:space="0" w:color="auto"/>
        <w:right w:val="none" w:sz="0" w:space="0" w:color="auto"/>
      </w:divBdr>
    </w:div>
    <w:div w:id="1626622854">
      <w:bodyDiv w:val="1"/>
      <w:marLeft w:val="0"/>
      <w:marRight w:val="0"/>
      <w:marTop w:val="0"/>
      <w:marBottom w:val="0"/>
      <w:divBdr>
        <w:top w:val="none" w:sz="0" w:space="0" w:color="auto"/>
        <w:left w:val="none" w:sz="0" w:space="0" w:color="auto"/>
        <w:bottom w:val="none" w:sz="0" w:space="0" w:color="auto"/>
        <w:right w:val="none" w:sz="0" w:space="0" w:color="auto"/>
      </w:divBdr>
    </w:div>
    <w:div w:id="1626766471">
      <w:bodyDiv w:val="1"/>
      <w:marLeft w:val="0"/>
      <w:marRight w:val="0"/>
      <w:marTop w:val="0"/>
      <w:marBottom w:val="0"/>
      <w:divBdr>
        <w:top w:val="none" w:sz="0" w:space="0" w:color="auto"/>
        <w:left w:val="none" w:sz="0" w:space="0" w:color="auto"/>
        <w:bottom w:val="none" w:sz="0" w:space="0" w:color="auto"/>
        <w:right w:val="none" w:sz="0" w:space="0" w:color="auto"/>
      </w:divBdr>
    </w:div>
    <w:div w:id="1626812402">
      <w:bodyDiv w:val="1"/>
      <w:marLeft w:val="0"/>
      <w:marRight w:val="0"/>
      <w:marTop w:val="0"/>
      <w:marBottom w:val="0"/>
      <w:divBdr>
        <w:top w:val="none" w:sz="0" w:space="0" w:color="auto"/>
        <w:left w:val="none" w:sz="0" w:space="0" w:color="auto"/>
        <w:bottom w:val="none" w:sz="0" w:space="0" w:color="auto"/>
        <w:right w:val="none" w:sz="0" w:space="0" w:color="auto"/>
      </w:divBdr>
    </w:div>
    <w:div w:id="1626813117">
      <w:bodyDiv w:val="1"/>
      <w:marLeft w:val="0"/>
      <w:marRight w:val="0"/>
      <w:marTop w:val="0"/>
      <w:marBottom w:val="0"/>
      <w:divBdr>
        <w:top w:val="none" w:sz="0" w:space="0" w:color="auto"/>
        <w:left w:val="none" w:sz="0" w:space="0" w:color="auto"/>
        <w:bottom w:val="none" w:sz="0" w:space="0" w:color="auto"/>
        <w:right w:val="none" w:sz="0" w:space="0" w:color="auto"/>
      </w:divBdr>
    </w:div>
    <w:div w:id="1626815900">
      <w:bodyDiv w:val="1"/>
      <w:marLeft w:val="0"/>
      <w:marRight w:val="0"/>
      <w:marTop w:val="0"/>
      <w:marBottom w:val="0"/>
      <w:divBdr>
        <w:top w:val="none" w:sz="0" w:space="0" w:color="auto"/>
        <w:left w:val="none" w:sz="0" w:space="0" w:color="auto"/>
        <w:bottom w:val="none" w:sz="0" w:space="0" w:color="auto"/>
        <w:right w:val="none" w:sz="0" w:space="0" w:color="auto"/>
      </w:divBdr>
    </w:div>
    <w:div w:id="1626886212">
      <w:bodyDiv w:val="1"/>
      <w:marLeft w:val="0"/>
      <w:marRight w:val="0"/>
      <w:marTop w:val="0"/>
      <w:marBottom w:val="0"/>
      <w:divBdr>
        <w:top w:val="none" w:sz="0" w:space="0" w:color="auto"/>
        <w:left w:val="none" w:sz="0" w:space="0" w:color="auto"/>
        <w:bottom w:val="none" w:sz="0" w:space="0" w:color="auto"/>
        <w:right w:val="none" w:sz="0" w:space="0" w:color="auto"/>
      </w:divBdr>
    </w:div>
    <w:div w:id="1626933573">
      <w:bodyDiv w:val="1"/>
      <w:marLeft w:val="0"/>
      <w:marRight w:val="0"/>
      <w:marTop w:val="0"/>
      <w:marBottom w:val="0"/>
      <w:divBdr>
        <w:top w:val="none" w:sz="0" w:space="0" w:color="auto"/>
        <w:left w:val="none" w:sz="0" w:space="0" w:color="auto"/>
        <w:bottom w:val="none" w:sz="0" w:space="0" w:color="auto"/>
        <w:right w:val="none" w:sz="0" w:space="0" w:color="auto"/>
      </w:divBdr>
    </w:div>
    <w:div w:id="1627083520">
      <w:bodyDiv w:val="1"/>
      <w:marLeft w:val="0"/>
      <w:marRight w:val="0"/>
      <w:marTop w:val="0"/>
      <w:marBottom w:val="0"/>
      <w:divBdr>
        <w:top w:val="none" w:sz="0" w:space="0" w:color="auto"/>
        <w:left w:val="none" w:sz="0" w:space="0" w:color="auto"/>
        <w:bottom w:val="none" w:sz="0" w:space="0" w:color="auto"/>
        <w:right w:val="none" w:sz="0" w:space="0" w:color="auto"/>
      </w:divBdr>
    </w:div>
    <w:div w:id="1627269862">
      <w:bodyDiv w:val="1"/>
      <w:marLeft w:val="0"/>
      <w:marRight w:val="0"/>
      <w:marTop w:val="0"/>
      <w:marBottom w:val="0"/>
      <w:divBdr>
        <w:top w:val="none" w:sz="0" w:space="0" w:color="auto"/>
        <w:left w:val="none" w:sz="0" w:space="0" w:color="auto"/>
        <w:bottom w:val="none" w:sz="0" w:space="0" w:color="auto"/>
        <w:right w:val="none" w:sz="0" w:space="0" w:color="auto"/>
      </w:divBdr>
    </w:div>
    <w:div w:id="1627354296">
      <w:bodyDiv w:val="1"/>
      <w:marLeft w:val="0"/>
      <w:marRight w:val="0"/>
      <w:marTop w:val="0"/>
      <w:marBottom w:val="0"/>
      <w:divBdr>
        <w:top w:val="none" w:sz="0" w:space="0" w:color="auto"/>
        <w:left w:val="none" w:sz="0" w:space="0" w:color="auto"/>
        <w:bottom w:val="none" w:sz="0" w:space="0" w:color="auto"/>
        <w:right w:val="none" w:sz="0" w:space="0" w:color="auto"/>
      </w:divBdr>
    </w:div>
    <w:div w:id="1627472181">
      <w:bodyDiv w:val="1"/>
      <w:marLeft w:val="0"/>
      <w:marRight w:val="0"/>
      <w:marTop w:val="0"/>
      <w:marBottom w:val="0"/>
      <w:divBdr>
        <w:top w:val="none" w:sz="0" w:space="0" w:color="auto"/>
        <w:left w:val="none" w:sz="0" w:space="0" w:color="auto"/>
        <w:bottom w:val="none" w:sz="0" w:space="0" w:color="auto"/>
        <w:right w:val="none" w:sz="0" w:space="0" w:color="auto"/>
      </w:divBdr>
    </w:div>
    <w:div w:id="1627541743">
      <w:bodyDiv w:val="1"/>
      <w:marLeft w:val="0"/>
      <w:marRight w:val="0"/>
      <w:marTop w:val="0"/>
      <w:marBottom w:val="0"/>
      <w:divBdr>
        <w:top w:val="none" w:sz="0" w:space="0" w:color="auto"/>
        <w:left w:val="none" w:sz="0" w:space="0" w:color="auto"/>
        <w:bottom w:val="none" w:sz="0" w:space="0" w:color="auto"/>
        <w:right w:val="none" w:sz="0" w:space="0" w:color="auto"/>
      </w:divBdr>
    </w:div>
    <w:div w:id="1627589008">
      <w:bodyDiv w:val="1"/>
      <w:marLeft w:val="0"/>
      <w:marRight w:val="0"/>
      <w:marTop w:val="0"/>
      <w:marBottom w:val="0"/>
      <w:divBdr>
        <w:top w:val="none" w:sz="0" w:space="0" w:color="auto"/>
        <w:left w:val="none" w:sz="0" w:space="0" w:color="auto"/>
        <w:bottom w:val="none" w:sz="0" w:space="0" w:color="auto"/>
        <w:right w:val="none" w:sz="0" w:space="0" w:color="auto"/>
      </w:divBdr>
    </w:div>
    <w:div w:id="1627613300">
      <w:bodyDiv w:val="1"/>
      <w:marLeft w:val="0"/>
      <w:marRight w:val="0"/>
      <w:marTop w:val="0"/>
      <w:marBottom w:val="0"/>
      <w:divBdr>
        <w:top w:val="none" w:sz="0" w:space="0" w:color="auto"/>
        <w:left w:val="none" w:sz="0" w:space="0" w:color="auto"/>
        <w:bottom w:val="none" w:sz="0" w:space="0" w:color="auto"/>
        <w:right w:val="none" w:sz="0" w:space="0" w:color="auto"/>
      </w:divBdr>
    </w:div>
    <w:div w:id="1627614502">
      <w:bodyDiv w:val="1"/>
      <w:marLeft w:val="0"/>
      <w:marRight w:val="0"/>
      <w:marTop w:val="0"/>
      <w:marBottom w:val="0"/>
      <w:divBdr>
        <w:top w:val="none" w:sz="0" w:space="0" w:color="auto"/>
        <w:left w:val="none" w:sz="0" w:space="0" w:color="auto"/>
        <w:bottom w:val="none" w:sz="0" w:space="0" w:color="auto"/>
        <w:right w:val="none" w:sz="0" w:space="0" w:color="auto"/>
      </w:divBdr>
    </w:div>
    <w:div w:id="1627615860">
      <w:bodyDiv w:val="1"/>
      <w:marLeft w:val="0"/>
      <w:marRight w:val="0"/>
      <w:marTop w:val="0"/>
      <w:marBottom w:val="0"/>
      <w:divBdr>
        <w:top w:val="none" w:sz="0" w:space="0" w:color="auto"/>
        <w:left w:val="none" w:sz="0" w:space="0" w:color="auto"/>
        <w:bottom w:val="none" w:sz="0" w:space="0" w:color="auto"/>
        <w:right w:val="none" w:sz="0" w:space="0" w:color="auto"/>
      </w:divBdr>
    </w:div>
    <w:div w:id="1627663297">
      <w:bodyDiv w:val="1"/>
      <w:marLeft w:val="0"/>
      <w:marRight w:val="0"/>
      <w:marTop w:val="0"/>
      <w:marBottom w:val="0"/>
      <w:divBdr>
        <w:top w:val="none" w:sz="0" w:space="0" w:color="auto"/>
        <w:left w:val="none" w:sz="0" w:space="0" w:color="auto"/>
        <w:bottom w:val="none" w:sz="0" w:space="0" w:color="auto"/>
        <w:right w:val="none" w:sz="0" w:space="0" w:color="auto"/>
      </w:divBdr>
    </w:div>
    <w:div w:id="1627928383">
      <w:bodyDiv w:val="1"/>
      <w:marLeft w:val="0"/>
      <w:marRight w:val="0"/>
      <w:marTop w:val="0"/>
      <w:marBottom w:val="0"/>
      <w:divBdr>
        <w:top w:val="none" w:sz="0" w:space="0" w:color="auto"/>
        <w:left w:val="none" w:sz="0" w:space="0" w:color="auto"/>
        <w:bottom w:val="none" w:sz="0" w:space="0" w:color="auto"/>
        <w:right w:val="none" w:sz="0" w:space="0" w:color="auto"/>
      </w:divBdr>
    </w:div>
    <w:div w:id="1627928650">
      <w:bodyDiv w:val="1"/>
      <w:marLeft w:val="0"/>
      <w:marRight w:val="0"/>
      <w:marTop w:val="0"/>
      <w:marBottom w:val="0"/>
      <w:divBdr>
        <w:top w:val="none" w:sz="0" w:space="0" w:color="auto"/>
        <w:left w:val="none" w:sz="0" w:space="0" w:color="auto"/>
        <w:bottom w:val="none" w:sz="0" w:space="0" w:color="auto"/>
        <w:right w:val="none" w:sz="0" w:space="0" w:color="auto"/>
      </w:divBdr>
    </w:div>
    <w:div w:id="1628077621">
      <w:bodyDiv w:val="1"/>
      <w:marLeft w:val="0"/>
      <w:marRight w:val="0"/>
      <w:marTop w:val="0"/>
      <w:marBottom w:val="0"/>
      <w:divBdr>
        <w:top w:val="none" w:sz="0" w:space="0" w:color="auto"/>
        <w:left w:val="none" w:sz="0" w:space="0" w:color="auto"/>
        <w:bottom w:val="none" w:sz="0" w:space="0" w:color="auto"/>
        <w:right w:val="none" w:sz="0" w:space="0" w:color="auto"/>
      </w:divBdr>
    </w:div>
    <w:div w:id="1628195381">
      <w:bodyDiv w:val="1"/>
      <w:marLeft w:val="0"/>
      <w:marRight w:val="0"/>
      <w:marTop w:val="0"/>
      <w:marBottom w:val="0"/>
      <w:divBdr>
        <w:top w:val="none" w:sz="0" w:space="0" w:color="auto"/>
        <w:left w:val="none" w:sz="0" w:space="0" w:color="auto"/>
        <w:bottom w:val="none" w:sz="0" w:space="0" w:color="auto"/>
        <w:right w:val="none" w:sz="0" w:space="0" w:color="auto"/>
      </w:divBdr>
    </w:div>
    <w:div w:id="1628200128">
      <w:bodyDiv w:val="1"/>
      <w:marLeft w:val="0"/>
      <w:marRight w:val="0"/>
      <w:marTop w:val="0"/>
      <w:marBottom w:val="0"/>
      <w:divBdr>
        <w:top w:val="none" w:sz="0" w:space="0" w:color="auto"/>
        <w:left w:val="none" w:sz="0" w:space="0" w:color="auto"/>
        <w:bottom w:val="none" w:sz="0" w:space="0" w:color="auto"/>
        <w:right w:val="none" w:sz="0" w:space="0" w:color="auto"/>
      </w:divBdr>
    </w:div>
    <w:div w:id="1628244411">
      <w:bodyDiv w:val="1"/>
      <w:marLeft w:val="0"/>
      <w:marRight w:val="0"/>
      <w:marTop w:val="0"/>
      <w:marBottom w:val="0"/>
      <w:divBdr>
        <w:top w:val="none" w:sz="0" w:space="0" w:color="auto"/>
        <w:left w:val="none" w:sz="0" w:space="0" w:color="auto"/>
        <w:bottom w:val="none" w:sz="0" w:space="0" w:color="auto"/>
        <w:right w:val="none" w:sz="0" w:space="0" w:color="auto"/>
      </w:divBdr>
    </w:div>
    <w:div w:id="1628505125">
      <w:bodyDiv w:val="1"/>
      <w:marLeft w:val="0"/>
      <w:marRight w:val="0"/>
      <w:marTop w:val="0"/>
      <w:marBottom w:val="0"/>
      <w:divBdr>
        <w:top w:val="none" w:sz="0" w:space="0" w:color="auto"/>
        <w:left w:val="none" w:sz="0" w:space="0" w:color="auto"/>
        <w:bottom w:val="none" w:sz="0" w:space="0" w:color="auto"/>
        <w:right w:val="none" w:sz="0" w:space="0" w:color="auto"/>
      </w:divBdr>
    </w:div>
    <w:div w:id="1628511622">
      <w:bodyDiv w:val="1"/>
      <w:marLeft w:val="0"/>
      <w:marRight w:val="0"/>
      <w:marTop w:val="0"/>
      <w:marBottom w:val="0"/>
      <w:divBdr>
        <w:top w:val="none" w:sz="0" w:space="0" w:color="auto"/>
        <w:left w:val="none" w:sz="0" w:space="0" w:color="auto"/>
        <w:bottom w:val="none" w:sz="0" w:space="0" w:color="auto"/>
        <w:right w:val="none" w:sz="0" w:space="0" w:color="auto"/>
      </w:divBdr>
    </w:div>
    <w:div w:id="1628583598">
      <w:bodyDiv w:val="1"/>
      <w:marLeft w:val="0"/>
      <w:marRight w:val="0"/>
      <w:marTop w:val="0"/>
      <w:marBottom w:val="0"/>
      <w:divBdr>
        <w:top w:val="none" w:sz="0" w:space="0" w:color="auto"/>
        <w:left w:val="none" w:sz="0" w:space="0" w:color="auto"/>
        <w:bottom w:val="none" w:sz="0" w:space="0" w:color="auto"/>
        <w:right w:val="none" w:sz="0" w:space="0" w:color="auto"/>
      </w:divBdr>
    </w:div>
    <w:div w:id="1628587594">
      <w:bodyDiv w:val="1"/>
      <w:marLeft w:val="0"/>
      <w:marRight w:val="0"/>
      <w:marTop w:val="0"/>
      <w:marBottom w:val="0"/>
      <w:divBdr>
        <w:top w:val="none" w:sz="0" w:space="0" w:color="auto"/>
        <w:left w:val="none" w:sz="0" w:space="0" w:color="auto"/>
        <w:bottom w:val="none" w:sz="0" w:space="0" w:color="auto"/>
        <w:right w:val="none" w:sz="0" w:space="0" w:color="auto"/>
      </w:divBdr>
    </w:div>
    <w:div w:id="1628656399">
      <w:bodyDiv w:val="1"/>
      <w:marLeft w:val="0"/>
      <w:marRight w:val="0"/>
      <w:marTop w:val="0"/>
      <w:marBottom w:val="0"/>
      <w:divBdr>
        <w:top w:val="none" w:sz="0" w:space="0" w:color="auto"/>
        <w:left w:val="none" w:sz="0" w:space="0" w:color="auto"/>
        <w:bottom w:val="none" w:sz="0" w:space="0" w:color="auto"/>
        <w:right w:val="none" w:sz="0" w:space="0" w:color="auto"/>
      </w:divBdr>
    </w:div>
    <w:div w:id="1628658447">
      <w:bodyDiv w:val="1"/>
      <w:marLeft w:val="0"/>
      <w:marRight w:val="0"/>
      <w:marTop w:val="0"/>
      <w:marBottom w:val="0"/>
      <w:divBdr>
        <w:top w:val="none" w:sz="0" w:space="0" w:color="auto"/>
        <w:left w:val="none" w:sz="0" w:space="0" w:color="auto"/>
        <w:bottom w:val="none" w:sz="0" w:space="0" w:color="auto"/>
        <w:right w:val="none" w:sz="0" w:space="0" w:color="auto"/>
      </w:divBdr>
    </w:div>
    <w:div w:id="1628704418">
      <w:bodyDiv w:val="1"/>
      <w:marLeft w:val="0"/>
      <w:marRight w:val="0"/>
      <w:marTop w:val="0"/>
      <w:marBottom w:val="0"/>
      <w:divBdr>
        <w:top w:val="none" w:sz="0" w:space="0" w:color="auto"/>
        <w:left w:val="none" w:sz="0" w:space="0" w:color="auto"/>
        <w:bottom w:val="none" w:sz="0" w:space="0" w:color="auto"/>
        <w:right w:val="none" w:sz="0" w:space="0" w:color="auto"/>
      </w:divBdr>
    </w:div>
    <w:div w:id="1628732384">
      <w:bodyDiv w:val="1"/>
      <w:marLeft w:val="0"/>
      <w:marRight w:val="0"/>
      <w:marTop w:val="0"/>
      <w:marBottom w:val="0"/>
      <w:divBdr>
        <w:top w:val="none" w:sz="0" w:space="0" w:color="auto"/>
        <w:left w:val="none" w:sz="0" w:space="0" w:color="auto"/>
        <w:bottom w:val="none" w:sz="0" w:space="0" w:color="auto"/>
        <w:right w:val="none" w:sz="0" w:space="0" w:color="auto"/>
      </w:divBdr>
    </w:div>
    <w:div w:id="1628779115">
      <w:bodyDiv w:val="1"/>
      <w:marLeft w:val="0"/>
      <w:marRight w:val="0"/>
      <w:marTop w:val="0"/>
      <w:marBottom w:val="0"/>
      <w:divBdr>
        <w:top w:val="none" w:sz="0" w:space="0" w:color="auto"/>
        <w:left w:val="none" w:sz="0" w:space="0" w:color="auto"/>
        <w:bottom w:val="none" w:sz="0" w:space="0" w:color="auto"/>
        <w:right w:val="none" w:sz="0" w:space="0" w:color="auto"/>
      </w:divBdr>
    </w:div>
    <w:div w:id="1628848693">
      <w:bodyDiv w:val="1"/>
      <w:marLeft w:val="0"/>
      <w:marRight w:val="0"/>
      <w:marTop w:val="0"/>
      <w:marBottom w:val="0"/>
      <w:divBdr>
        <w:top w:val="none" w:sz="0" w:space="0" w:color="auto"/>
        <w:left w:val="none" w:sz="0" w:space="0" w:color="auto"/>
        <w:bottom w:val="none" w:sz="0" w:space="0" w:color="auto"/>
        <w:right w:val="none" w:sz="0" w:space="0" w:color="auto"/>
      </w:divBdr>
    </w:div>
    <w:div w:id="1628925146">
      <w:bodyDiv w:val="1"/>
      <w:marLeft w:val="0"/>
      <w:marRight w:val="0"/>
      <w:marTop w:val="0"/>
      <w:marBottom w:val="0"/>
      <w:divBdr>
        <w:top w:val="none" w:sz="0" w:space="0" w:color="auto"/>
        <w:left w:val="none" w:sz="0" w:space="0" w:color="auto"/>
        <w:bottom w:val="none" w:sz="0" w:space="0" w:color="auto"/>
        <w:right w:val="none" w:sz="0" w:space="0" w:color="auto"/>
      </w:divBdr>
    </w:div>
    <w:div w:id="1628926641">
      <w:bodyDiv w:val="1"/>
      <w:marLeft w:val="0"/>
      <w:marRight w:val="0"/>
      <w:marTop w:val="0"/>
      <w:marBottom w:val="0"/>
      <w:divBdr>
        <w:top w:val="none" w:sz="0" w:space="0" w:color="auto"/>
        <w:left w:val="none" w:sz="0" w:space="0" w:color="auto"/>
        <w:bottom w:val="none" w:sz="0" w:space="0" w:color="auto"/>
        <w:right w:val="none" w:sz="0" w:space="0" w:color="auto"/>
      </w:divBdr>
    </w:div>
    <w:div w:id="1629117553">
      <w:bodyDiv w:val="1"/>
      <w:marLeft w:val="0"/>
      <w:marRight w:val="0"/>
      <w:marTop w:val="0"/>
      <w:marBottom w:val="0"/>
      <w:divBdr>
        <w:top w:val="none" w:sz="0" w:space="0" w:color="auto"/>
        <w:left w:val="none" w:sz="0" w:space="0" w:color="auto"/>
        <w:bottom w:val="none" w:sz="0" w:space="0" w:color="auto"/>
        <w:right w:val="none" w:sz="0" w:space="0" w:color="auto"/>
      </w:divBdr>
    </w:div>
    <w:div w:id="1629431146">
      <w:bodyDiv w:val="1"/>
      <w:marLeft w:val="0"/>
      <w:marRight w:val="0"/>
      <w:marTop w:val="0"/>
      <w:marBottom w:val="0"/>
      <w:divBdr>
        <w:top w:val="none" w:sz="0" w:space="0" w:color="auto"/>
        <w:left w:val="none" w:sz="0" w:space="0" w:color="auto"/>
        <w:bottom w:val="none" w:sz="0" w:space="0" w:color="auto"/>
        <w:right w:val="none" w:sz="0" w:space="0" w:color="auto"/>
      </w:divBdr>
    </w:div>
    <w:div w:id="1629555938">
      <w:bodyDiv w:val="1"/>
      <w:marLeft w:val="0"/>
      <w:marRight w:val="0"/>
      <w:marTop w:val="0"/>
      <w:marBottom w:val="0"/>
      <w:divBdr>
        <w:top w:val="none" w:sz="0" w:space="0" w:color="auto"/>
        <w:left w:val="none" w:sz="0" w:space="0" w:color="auto"/>
        <w:bottom w:val="none" w:sz="0" w:space="0" w:color="auto"/>
        <w:right w:val="none" w:sz="0" w:space="0" w:color="auto"/>
      </w:divBdr>
    </w:div>
    <w:div w:id="1629579067">
      <w:bodyDiv w:val="1"/>
      <w:marLeft w:val="0"/>
      <w:marRight w:val="0"/>
      <w:marTop w:val="0"/>
      <w:marBottom w:val="0"/>
      <w:divBdr>
        <w:top w:val="none" w:sz="0" w:space="0" w:color="auto"/>
        <w:left w:val="none" w:sz="0" w:space="0" w:color="auto"/>
        <w:bottom w:val="none" w:sz="0" w:space="0" w:color="auto"/>
        <w:right w:val="none" w:sz="0" w:space="0" w:color="auto"/>
      </w:divBdr>
    </w:div>
    <w:div w:id="1629580485">
      <w:bodyDiv w:val="1"/>
      <w:marLeft w:val="0"/>
      <w:marRight w:val="0"/>
      <w:marTop w:val="0"/>
      <w:marBottom w:val="0"/>
      <w:divBdr>
        <w:top w:val="none" w:sz="0" w:space="0" w:color="auto"/>
        <w:left w:val="none" w:sz="0" w:space="0" w:color="auto"/>
        <w:bottom w:val="none" w:sz="0" w:space="0" w:color="auto"/>
        <w:right w:val="none" w:sz="0" w:space="0" w:color="auto"/>
      </w:divBdr>
    </w:div>
    <w:div w:id="1629900092">
      <w:bodyDiv w:val="1"/>
      <w:marLeft w:val="0"/>
      <w:marRight w:val="0"/>
      <w:marTop w:val="0"/>
      <w:marBottom w:val="0"/>
      <w:divBdr>
        <w:top w:val="none" w:sz="0" w:space="0" w:color="auto"/>
        <w:left w:val="none" w:sz="0" w:space="0" w:color="auto"/>
        <w:bottom w:val="none" w:sz="0" w:space="0" w:color="auto"/>
        <w:right w:val="none" w:sz="0" w:space="0" w:color="auto"/>
      </w:divBdr>
    </w:div>
    <w:div w:id="1629967453">
      <w:bodyDiv w:val="1"/>
      <w:marLeft w:val="0"/>
      <w:marRight w:val="0"/>
      <w:marTop w:val="0"/>
      <w:marBottom w:val="0"/>
      <w:divBdr>
        <w:top w:val="none" w:sz="0" w:space="0" w:color="auto"/>
        <w:left w:val="none" w:sz="0" w:space="0" w:color="auto"/>
        <w:bottom w:val="none" w:sz="0" w:space="0" w:color="auto"/>
        <w:right w:val="none" w:sz="0" w:space="0" w:color="auto"/>
      </w:divBdr>
    </w:div>
    <w:div w:id="1629968383">
      <w:bodyDiv w:val="1"/>
      <w:marLeft w:val="0"/>
      <w:marRight w:val="0"/>
      <w:marTop w:val="0"/>
      <w:marBottom w:val="0"/>
      <w:divBdr>
        <w:top w:val="none" w:sz="0" w:space="0" w:color="auto"/>
        <w:left w:val="none" w:sz="0" w:space="0" w:color="auto"/>
        <w:bottom w:val="none" w:sz="0" w:space="0" w:color="auto"/>
        <w:right w:val="none" w:sz="0" w:space="0" w:color="auto"/>
      </w:divBdr>
    </w:div>
    <w:div w:id="1630084278">
      <w:bodyDiv w:val="1"/>
      <w:marLeft w:val="0"/>
      <w:marRight w:val="0"/>
      <w:marTop w:val="0"/>
      <w:marBottom w:val="0"/>
      <w:divBdr>
        <w:top w:val="none" w:sz="0" w:space="0" w:color="auto"/>
        <w:left w:val="none" w:sz="0" w:space="0" w:color="auto"/>
        <w:bottom w:val="none" w:sz="0" w:space="0" w:color="auto"/>
        <w:right w:val="none" w:sz="0" w:space="0" w:color="auto"/>
      </w:divBdr>
    </w:div>
    <w:div w:id="1630088271">
      <w:bodyDiv w:val="1"/>
      <w:marLeft w:val="0"/>
      <w:marRight w:val="0"/>
      <w:marTop w:val="0"/>
      <w:marBottom w:val="0"/>
      <w:divBdr>
        <w:top w:val="none" w:sz="0" w:space="0" w:color="auto"/>
        <w:left w:val="none" w:sz="0" w:space="0" w:color="auto"/>
        <w:bottom w:val="none" w:sz="0" w:space="0" w:color="auto"/>
        <w:right w:val="none" w:sz="0" w:space="0" w:color="auto"/>
      </w:divBdr>
    </w:div>
    <w:div w:id="1630280616">
      <w:bodyDiv w:val="1"/>
      <w:marLeft w:val="0"/>
      <w:marRight w:val="0"/>
      <w:marTop w:val="0"/>
      <w:marBottom w:val="0"/>
      <w:divBdr>
        <w:top w:val="none" w:sz="0" w:space="0" w:color="auto"/>
        <w:left w:val="none" w:sz="0" w:space="0" w:color="auto"/>
        <w:bottom w:val="none" w:sz="0" w:space="0" w:color="auto"/>
        <w:right w:val="none" w:sz="0" w:space="0" w:color="auto"/>
      </w:divBdr>
    </w:div>
    <w:div w:id="1630358724">
      <w:bodyDiv w:val="1"/>
      <w:marLeft w:val="0"/>
      <w:marRight w:val="0"/>
      <w:marTop w:val="0"/>
      <w:marBottom w:val="0"/>
      <w:divBdr>
        <w:top w:val="none" w:sz="0" w:space="0" w:color="auto"/>
        <w:left w:val="none" w:sz="0" w:space="0" w:color="auto"/>
        <w:bottom w:val="none" w:sz="0" w:space="0" w:color="auto"/>
        <w:right w:val="none" w:sz="0" w:space="0" w:color="auto"/>
      </w:divBdr>
    </w:div>
    <w:div w:id="1630361763">
      <w:bodyDiv w:val="1"/>
      <w:marLeft w:val="0"/>
      <w:marRight w:val="0"/>
      <w:marTop w:val="0"/>
      <w:marBottom w:val="0"/>
      <w:divBdr>
        <w:top w:val="none" w:sz="0" w:space="0" w:color="auto"/>
        <w:left w:val="none" w:sz="0" w:space="0" w:color="auto"/>
        <w:bottom w:val="none" w:sz="0" w:space="0" w:color="auto"/>
        <w:right w:val="none" w:sz="0" w:space="0" w:color="auto"/>
      </w:divBdr>
    </w:div>
    <w:div w:id="1630428082">
      <w:bodyDiv w:val="1"/>
      <w:marLeft w:val="0"/>
      <w:marRight w:val="0"/>
      <w:marTop w:val="0"/>
      <w:marBottom w:val="0"/>
      <w:divBdr>
        <w:top w:val="none" w:sz="0" w:space="0" w:color="auto"/>
        <w:left w:val="none" w:sz="0" w:space="0" w:color="auto"/>
        <w:bottom w:val="none" w:sz="0" w:space="0" w:color="auto"/>
        <w:right w:val="none" w:sz="0" w:space="0" w:color="auto"/>
      </w:divBdr>
    </w:div>
    <w:div w:id="1630546561">
      <w:bodyDiv w:val="1"/>
      <w:marLeft w:val="0"/>
      <w:marRight w:val="0"/>
      <w:marTop w:val="0"/>
      <w:marBottom w:val="0"/>
      <w:divBdr>
        <w:top w:val="none" w:sz="0" w:space="0" w:color="auto"/>
        <w:left w:val="none" w:sz="0" w:space="0" w:color="auto"/>
        <w:bottom w:val="none" w:sz="0" w:space="0" w:color="auto"/>
        <w:right w:val="none" w:sz="0" w:space="0" w:color="auto"/>
      </w:divBdr>
    </w:div>
    <w:div w:id="1630549014">
      <w:bodyDiv w:val="1"/>
      <w:marLeft w:val="0"/>
      <w:marRight w:val="0"/>
      <w:marTop w:val="0"/>
      <w:marBottom w:val="0"/>
      <w:divBdr>
        <w:top w:val="none" w:sz="0" w:space="0" w:color="auto"/>
        <w:left w:val="none" w:sz="0" w:space="0" w:color="auto"/>
        <w:bottom w:val="none" w:sz="0" w:space="0" w:color="auto"/>
        <w:right w:val="none" w:sz="0" w:space="0" w:color="auto"/>
      </w:divBdr>
    </w:div>
    <w:div w:id="1630550735">
      <w:bodyDiv w:val="1"/>
      <w:marLeft w:val="0"/>
      <w:marRight w:val="0"/>
      <w:marTop w:val="0"/>
      <w:marBottom w:val="0"/>
      <w:divBdr>
        <w:top w:val="none" w:sz="0" w:space="0" w:color="auto"/>
        <w:left w:val="none" w:sz="0" w:space="0" w:color="auto"/>
        <w:bottom w:val="none" w:sz="0" w:space="0" w:color="auto"/>
        <w:right w:val="none" w:sz="0" w:space="0" w:color="auto"/>
      </w:divBdr>
    </w:div>
    <w:div w:id="1630668393">
      <w:bodyDiv w:val="1"/>
      <w:marLeft w:val="0"/>
      <w:marRight w:val="0"/>
      <w:marTop w:val="0"/>
      <w:marBottom w:val="0"/>
      <w:divBdr>
        <w:top w:val="none" w:sz="0" w:space="0" w:color="auto"/>
        <w:left w:val="none" w:sz="0" w:space="0" w:color="auto"/>
        <w:bottom w:val="none" w:sz="0" w:space="0" w:color="auto"/>
        <w:right w:val="none" w:sz="0" w:space="0" w:color="auto"/>
      </w:divBdr>
    </w:div>
    <w:div w:id="1630741987">
      <w:bodyDiv w:val="1"/>
      <w:marLeft w:val="0"/>
      <w:marRight w:val="0"/>
      <w:marTop w:val="0"/>
      <w:marBottom w:val="0"/>
      <w:divBdr>
        <w:top w:val="none" w:sz="0" w:space="0" w:color="auto"/>
        <w:left w:val="none" w:sz="0" w:space="0" w:color="auto"/>
        <w:bottom w:val="none" w:sz="0" w:space="0" w:color="auto"/>
        <w:right w:val="none" w:sz="0" w:space="0" w:color="auto"/>
      </w:divBdr>
    </w:div>
    <w:div w:id="1630814259">
      <w:bodyDiv w:val="1"/>
      <w:marLeft w:val="0"/>
      <w:marRight w:val="0"/>
      <w:marTop w:val="0"/>
      <w:marBottom w:val="0"/>
      <w:divBdr>
        <w:top w:val="none" w:sz="0" w:space="0" w:color="auto"/>
        <w:left w:val="none" w:sz="0" w:space="0" w:color="auto"/>
        <w:bottom w:val="none" w:sz="0" w:space="0" w:color="auto"/>
        <w:right w:val="none" w:sz="0" w:space="0" w:color="auto"/>
      </w:divBdr>
    </w:div>
    <w:div w:id="1630863797">
      <w:bodyDiv w:val="1"/>
      <w:marLeft w:val="0"/>
      <w:marRight w:val="0"/>
      <w:marTop w:val="0"/>
      <w:marBottom w:val="0"/>
      <w:divBdr>
        <w:top w:val="none" w:sz="0" w:space="0" w:color="auto"/>
        <w:left w:val="none" w:sz="0" w:space="0" w:color="auto"/>
        <w:bottom w:val="none" w:sz="0" w:space="0" w:color="auto"/>
        <w:right w:val="none" w:sz="0" w:space="0" w:color="auto"/>
      </w:divBdr>
    </w:div>
    <w:div w:id="1630932290">
      <w:bodyDiv w:val="1"/>
      <w:marLeft w:val="0"/>
      <w:marRight w:val="0"/>
      <w:marTop w:val="0"/>
      <w:marBottom w:val="0"/>
      <w:divBdr>
        <w:top w:val="none" w:sz="0" w:space="0" w:color="auto"/>
        <w:left w:val="none" w:sz="0" w:space="0" w:color="auto"/>
        <w:bottom w:val="none" w:sz="0" w:space="0" w:color="auto"/>
        <w:right w:val="none" w:sz="0" w:space="0" w:color="auto"/>
      </w:divBdr>
    </w:div>
    <w:div w:id="1630937028">
      <w:bodyDiv w:val="1"/>
      <w:marLeft w:val="0"/>
      <w:marRight w:val="0"/>
      <w:marTop w:val="0"/>
      <w:marBottom w:val="0"/>
      <w:divBdr>
        <w:top w:val="none" w:sz="0" w:space="0" w:color="auto"/>
        <w:left w:val="none" w:sz="0" w:space="0" w:color="auto"/>
        <w:bottom w:val="none" w:sz="0" w:space="0" w:color="auto"/>
        <w:right w:val="none" w:sz="0" w:space="0" w:color="auto"/>
      </w:divBdr>
    </w:div>
    <w:div w:id="1631009131">
      <w:bodyDiv w:val="1"/>
      <w:marLeft w:val="0"/>
      <w:marRight w:val="0"/>
      <w:marTop w:val="0"/>
      <w:marBottom w:val="0"/>
      <w:divBdr>
        <w:top w:val="none" w:sz="0" w:space="0" w:color="auto"/>
        <w:left w:val="none" w:sz="0" w:space="0" w:color="auto"/>
        <w:bottom w:val="none" w:sz="0" w:space="0" w:color="auto"/>
        <w:right w:val="none" w:sz="0" w:space="0" w:color="auto"/>
      </w:divBdr>
    </w:div>
    <w:div w:id="1631016746">
      <w:bodyDiv w:val="1"/>
      <w:marLeft w:val="0"/>
      <w:marRight w:val="0"/>
      <w:marTop w:val="0"/>
      <w:marBottom w:val="0"/>
      <w:divBdr>
        <w:top w:val="none" w:sz="0" w:space="0" w:color="auto"/>
        <w:left w:val="none" w:sz="0" w:space="0" w:color="auto"/>
        <w:bottom w:val="none" w:sz="0" w:space="0" w:color="auto"/>
        <w:right w:val="none" w:sz="0" w:space="0" w:color="auto"/>
      </w:divBdr>
    </w:div>
    <w:div w:id="1631083149">
      <w:bodyDiv w:val="1"/>
      <w:marLeft w:val="0"/>
      <w:marRight w:val="0"/>
      <w:marTop w:val="0"/>
      <w:marBottom w:val="0"/>
      <w:divBdr>
        <w:top w:val="none" w:sz="0" w:space="0" w:color="auto"/>
        <w:left w:val="none" w:sz="0" w:space="0" w:color="auto"/>
        <w:bottom w:val="none" w:sz="0" w:space="0" w:color="auto"/>
        <w:right w:val="none" w:sz="0" w:space="0" w:color="auto"/>
      </w:divBdr>
    </w:div>
    <w:div w:id="1631285462">
      <w:bodyDiv w:val="1"/>
      <w:marLeft w:val="0"/>
      <w:marRight w:val="0"/>
      <w:marTop w:val="0"/>
      <w:marBottom w:val="0"/>
      <w:divBdr>
        <w:top w:val="none" w:sz="0" w:space="0" w:color="auto"/>
        <w:left w:val="none" w:sz="0" w:space="0" w:color="auto"/>
        <w:bottom w:val="none" w:sz="0" w:space="0" w:color="auto"/>
        <w:right w:val="none" w:sz="0" w:space="0" w:color="auto"/>
      </w:divBdr>
    </w:div>
    <w:div w:id="1631327672">
      <w:bodyDiv w:val="1"/>
      <w:marLeft w:val="0"/>
      <w:marRight w:val="0"/>
      <w:marTop w:val="0"/>
      <w:marBottom w:val="0"/>
      <w:divBdr>
        <w:top w:val="none" w:sz="0" w:space="0" w:color="auto"/>
        <w:left w:val="none" w:sz="0" w:space="0" w:color="auto"/>
        <w:bottom w:val="none" w:sz="0" w:space="0" w:color="auto"/>
        <w:right w:val="none" w:sz="0" w:space="0" w:color="auto"/>
      </w:divBdr>
    </w:div>
    <w:div w:id="1631473107">
      <w:bodyDiv w:val="1"/>
      <w:marLeft w:val="0"/>
      <w:marRight w:val="0"/>
      <w:marTop w:val="0"/>
      <w:marBottom w:val="0"/>
      <w:divBdr>
        <w:top w:val="none" w:sz="0" w:space="0" w:color="auto"/>
        <w:left w:val="none" w:sz="0" w:space="0" w:color="auto"/>
        <w:bottom w:val="none" w:sz="0" w:space="0" w:color="auto"/>
        <w:right w:val="none" w:sz="0" w:space="0" w:color="auto"/>
      </w:divBdr>
    </w:div>
    <w:div w:id="1631596790">
      <w:bodyDiv w:val="1"/>
      <w:marLeft w:val="0"/>
      <w:marRight w:val="0"/>
      <w:marTop w:val="0"/>
      <w:marBottom w:val="0"/>
      <w:divBdr>
        <w:top w:val="none" w:sz="0" w:space="0" w:color="auto"/>
        <w:left w:val="none" w:sz="0" w:space="0" w:color="auto"/>
        <w:bottom w:val="none" w:sz="0" w:space="0" w:color="auto"/>
        <w:right w:val="none" w:sz="0" w:space="0" w:color="auto"/>
      </w:divBdr>
    </w:div>
    <w:div w:id="1631784634">
      <w:bodyDiv w:val="1"/>
      <w:marLeft w:val="0"/>
      <w:marRight w:val="0"/>
      <w:marTop w:val="0"/>
      <w:marBottom w:val="0"/>
      <w:divBdr>
        <w:top w:val="none" w:sz="0" w:space="0" w:color="auto"/>
        <w:left w:val="none" w:sz="0" w:space="0" w:color="auto"/>
        <w:bottom w:val="none" w:sz="0" w:space="0" w:color="auto"/>
        <w:right w:val="none" w:sz="0" w:space="0" w:color="auto"/>
      </w:divBdr>
    </w:div>
    <w:div w:id="1631856368">
      <w:bodyDiv w:val="1"/>
      <w:marLeft w:val="0"/>
      <w:marRight w:val="0"/>
      <w:marTop w:val="0"/>
      <w:marBottom w:val="0"/>
      <w:divBdr>
        <w:top w:val="none" w:sz="0" w:space="0" w:color="auto"/>
        <w:left w:val="none" w:sz="0" w:space="0" w:color="auto"/>
        <w:bottom w:val="none" w:sz="0" w:space="0" w:color="auto"/>
        <w:right w:val="none" w:sz="0" w:space="0" w:color="auto"/>
      </w:divBdr>
    </w:div>
    <w:div w:id="1631932545">
      <w:bodyDiv w:val="1"/>
      <w:marLeft w:val="0"/>
      <w:marRight w:val="0"/>
      <w:marTop w:val="0"/>
      <w:marBottom w:val="0"/>
      <w:divBdr>
        <w:top w:val="none" w:sz="0" w:space="0" w:color="auto"/>
        <w:left w:val="none" w:sz="0" w:space="0" w:color="auto"/>
        <w:bottom w:val="none" w:sz="0" w:space="0" w:color="auto"/>
        <w:right w:val="none" w:sz="0" w:space="0" w:color="auto"/>
      </w:divBdr>
    </w:div>
    <w:div w:id="1631936252">
      <w:bodyDiv w:val="1"/>
      <w:marLeft w:val="0"/>
      <w:marRight w:val="0"/>
      <w:marTop w:val="0"/>
      <w:marBottom w:val="0"/>
      <w:divBdr>
        <w:top w:val="none" w:sz="0" w:space="0" w:color="auto"/>
        <w:left w:val="none" w:sz="0" w:space="0" w:color="auto"/>
        <w:bottom w:val="none" w:sz="0" w:space="0" w:color="auto"/>
        <w:right w:val="none" w:sz="0" w:space="0" w:color="auto"/>
      </w:divBdr>
    </w:div>
    <w:div w:id="1631978215">
      <w:bodyDiv w:val="1"/>
      <w:marLeft w:val="0"/>
      <w:marRight w:val="0"/>
      <w:marTop w:val="0"/>
      <w:marBottom w:val="0"/>
      <w:divBdr>
        <w:top w:val="none" w:sz="0" w:space="0" w:color="auto"/>
        <w:left w:val="none" w:sz="0" w:space="0" w:color="auto"/>
        <w:bottom w:val="none" w:sz="0" w:space="0" w:color="auto"/>
        <w:right w:val="none" w:sz="0" w:space="0" w:color="auto"/>
      </w:divBdr>
    </w:div>
    <w:div w:id="1632131712">
      <w:bodyDiv w:val="1"/>
      <w:marLeft w:val="0"/>
      <w:marRight w:val="0"/>
      <w:marTop w:val="0"/>
      <w:marBottom w:val="0"/>
      <w:divBdr>
        <w:top w:val="none" w:sz="0" w:space="0" w:color="auto"/>
        <w:left w:val="none" w:sz="0" w:space="0" w:color="auto"/>
        <w:bottom w:val="none" w:sz="0" w:space="0" w:color="auto"/>
        <w:right w:val="none" w:sz="0" w:space="0" w:color="auto"/>
      </w:divBdr>
    </w:div>
    <w:div w:id="1632131881">
      <w:bodyDiv w:val="1"/>
      <w:marLeft w:val="0"/>
      <w:marRight w:val="0"/>
      <w:marTop w:val="0"/>
      <w:marBottom w:val="0"/>
      <w:divBdr>
        <w:top w:val="none" w:sz="0" w:space="0" w:color="auto"/>
        <w:left w:val="none" w:sz="0" w:space="0" w:color="auto"/>
        <w:bottom w:val="none" w:sz="0" w:space="0" w:color="auto"/>
        <w:right w:val="none" w:sz="0" w:space="0" w:color="auto"/>
      </w:divBdr>
    </w:div>
    <w:div w:id="1632243785">
      <w:bodyDiv w:val="1"/>
      <w:marLeft w:val="0"/>
      <w:marRight w:val="0"/>
      <w:marTop w:val="0"/>
      <w:marBottom w:val="0"/>
      <w:divBdr>
        <w:top w:val="none" w:sz="0" w:space="0" w:color="auto"/>
        <w:left w:val="none" w:sz="0" w:space="0" w:color="auto"/>
        <w:bottom w:val="none" w:sz="0" w:space="0" w:color="auto"/>
        <w:right w:val="none" w:sz="0" w:space="0" w:color="auto"/>
      </w:divBdr>
    </w:div>
    <w:div w:id="1632246106">
      <w:bodyDiv w:val="1"/>
      <w:marLeft w:val="0"/>
      <w:marRight w:val="0"/>
      <w:marTop w:val="0"/>
      <w:marBottom w:val="0"/>
      <w:divBdr>
        <w:top w:val="none" w:sz="0" w:space="0" w:color="auto"/>
        <w:left w:val="none" w:sz="0" w:space="0" w:color="auto"/>
        <w:bottom w:val="none" w:sz="0" w:space="0" w:color="auto"/>
        <w:right w:val="none" w:sz="0" w:space="0" w:color="auto"/>
      </w:divBdr>
    </w:div>
    <w:div w:id="1632246667">
      <w:bodyDiv w:val="1"/>
      <w:marLeft w:val="0"/>
      <w:marRight w:val="0"/>
      <w:marTop w:val="0"/>
      <w:marBottom w:val="0"/>
      <w:divBdr>
        <w:top w:val="none" w:sz="0" w:space="0" w:color="auto"/>
        <w:left w:val="none" w:sz="0" w:space="0" w:color="auto"/>
        <w:bottom w:val="none" w:sz="0" w:space="0" w:color="auto"/>
        <w:right w:val="none" w:sz="0" w:space="0" w:color="auto"/>
      </w:divBdr>
    </w:div>
    <w:div w:id="1632249026">
      <w:bodyDiv w:val="1"/>
      <w:marLeft w:val="0"/>
      <w:marRight w:val="0"/>
      <w:marTop w:val="0"/>
      <w:marBottom w:val="0"/>
      <w:divBdr>
        <w:top w:val="none" w:sz="0" w:space="0" w:color="auto"/>
        <w:left w:val="none" w:sz="0" w:space="0" w:color="auto"/>
        <w:bottom w:val="none" w:sz="0" w:space="0" w:color="auto"/>
        <w:right w:val="none" w:sz="0" w:space="0" w:color="auto"/>
      </w:divBdr>
    </w:div>
    <w:div w:id="1632251992">
      <w:bodyDiv w:val="1"/>
      <w:marLeft w:val="0"/>
      <w:marRight w:val="0"/>
      <w:marTop w:val="0"/>
      <w:marBottom w:val="0"/>
      <w:divBdr>
        <w:top w:val="none" w:sz="0" w:space="0" w:color="auto"/>
        <w:left w:val="none" w:sz="0" w:space="0" w:color="auto"/>
        <w:bottom w:val="none" w:sz="0" w:space="0" w:color="auto"/>
        <w:right w:val="none" w:sz="0" w:space="0" w:color="auto"/>
      </w:divBdr>
    </w:div>
    <w:div w:id="1632398239">
      <w:bodyDiv w:val="1"/>
      <w:marLeft w:val="0"/>
      <w:marRight w:val="0"/>
      <w:marTop w:val="0"/>
      <w:marBottom w:val="0"/>
      <w:divBdr>
        <w:top w:val="none" w:sz="0" w:space="0" w:color="auto"/>
        <w:left w:val="none" w:sz="0" w:space="0" w:color="auto"/>
        <w:bottom w:val="none" w:sz="0" w:space="0" w:color="auto"/>
        <w:right w:val="none" w:sz="0" w:space="0" w:color="auto"/>
      </w:divBdr>
    </w:div>
    <w:div w:id="1632403042">
      <w:bodyDiv w:val="1"/>
      <w:marLeft w:val="0"/>
      <w:marRight w:val="0"/>
      <w:marTop w:val="0"/>
      <w:marBottom w:val="0"/>
      <w:divBdr>
        <w:top w:val="none" w:sz="0" w:space="0" w:color="auto"/>
        <w:left w:val="none" w:sz="0" w:space="0" w:color="auto"/>
        <w:bottom w:val="none" w:sz="0" w:space="0" w:color="auto"/>
        <w:right w:val="none" w:sz="0" w:space="0" w:color="auto"/>
      </w:divBdr>
    </w:div>
    <w:div w:id="1632594851">
      <w:bodyDiv w:val="1"/>
      <w:marLeft w:val="0"/>
      <w:marRight w:val="0"/>
      <w:marTop w:val="0"/>
      <w:marBottom w:val="0"/>
      <w:divBdr>
        <w:top w:val="none" w:sz="0" w:space="0" w:color="auto"/>
        <w:left w:val="none" w:sz="0" w:space="0" w:color="auto"/>
        <w:bottom w:val="none" w:sz="0" w:space="0" w:color="auto"/>
        <w:right w:val="none" w:sz="0" w:space="0" w:color="auto"/>
      </w:divBdr>
    </w:div>
    <w:div w:id="1632704729">
      <w:bodyDiv w:val="1"/>
      <w:marLeft w:val="0"/>
      <w:marRight w:val="0"/>
      <w:marTop w:val="0"/>
      <w:marBottom w:val="0"/>
      <w:divBdr>
        <w:top w:val="none" w:sz="0" w:space="0" w:color="auto"/>
        <w:left w:val="none" w:sz="0" w:space="0" w:color="auto"/>
        <w:bottom w:val="none" w:sz="0" w:space="0" w:color="auto"/>
        <w:right w:val="none" w:sz="0" w:space="0" w:color="auto"/>
      </w:divBdr>
    </w:div>
    <w:div w:id="1632705459">
      <w:bodyDiv w:val="1"/>
      <w:marLeft w:val="0"/>
      <w:marRight w:val="0"/>
      <w:marTop w:val="0"/>
      <w:marBottom w:val="0"/>
      <w:divBdr>
        <w:top w:val="none" w:sz="0" w:space="0" w:color="auto"/>
        <w:left w:val="none" w:sz="0" w:space="0" w:color="auto"/>
        <w:bottom w:val="none" w:sz="0" w:space="0" w:color="auto"/>
        <w:right w:val="none" w:sz="0" w:space="0" w:color="auto"/>
      </w:divBdr>
    </w:div>
    <w:div w:id="1632903692">
      <w:bodyDiv w:val="1"/>
      <w:marLeft w:val="0"/>
      <w:marRight w:val="0"/>
      <w:marTop w:val="0"/>
      <w:marBottom w:val="0"/>
      <w:divBdr>
        <w:top w:val="none" w:sz="0" w:space="0" w:color="auto"/>
        <w:left w:val="none" w:sz="0" w:space="0" w:color="auto"/>
        <w:bottom w:val="none" w:sz="0" w:space="0" w:color="auto"/>
        <w:right w:val="none" w:sz="0" w:space="0" w:color="auto"/>
      </w:divBdr>
    </w:div>
    <w:div w:id="1632977991">
      <w:bodyDiv w:val="1"/>
      <w:marLeft w:val="0"/>
      <w:marRight w:val="0"/>
      <w:marTop w:val="0"/>
      <w:marBottom w:val="0"/>
      <w:divBdr>
        <w:top w:val="none" w:sz="0" w:space="0" w:color="auto"/>
        <w:left w:val="none" w:sz="0" w:space="0" w:color="auto"/>
        <w:bottom w:val="none" w:sz="0" w:space="0" w:color="auto"/>
        <w:right w:val="none" w:sz="0" w:space="0" w:color="auto"/>
      </w:divBdr>
    </w:div>
    <w:div w:id="1632980817">
      <w:bodyDiv w:val="1"/>
      <w:marLeft w:val="0"/>
      <w:marRight w:val="0"/>
      <w:marTop w:val="0"/>
      <w:marBottom w:val="0"/>
      <w:divBdr>
        <w:top w:val="none" w:sz="0" w:space="0" w:color="auto"/>
        <w:left w:val="none" w:sz="0" w:space="0" w:color="auto"/>
        <w:bottom w:val="none" w:sz="0" w:space="0" w:color="auto"/>
        <w:right w:val="none" w:sz="0" w:space="0" w:color="auto"/>
      </w:divBdr>
    </w:div>
    <w:div w:id="1633172943">
      <w:bodyDiv w:val="1"/>
      <w:marLeft w:val="0"/>
      <w:marRight w:val="0"/>
      <w:marTop w:val="0"/>
      <w:marBottom w:val="0"/>
      <w:divBdr>
        <w:top w:val="none" w:sz="0" w:space="0" w:color="auto"/>
        <w:left w:val="none" w:sz="0" w:space="0" w:color="auto"/>
        <w:bottom w:val="none" w:sz="0" w:space="0" w:color="auto"/>
        <w:right w:val="none" w:sz="0" w:space="0" w:color="auto"/>
      </w:divBdr>
    </w:div>
    <w:div w:id="1633246597">
      <w:bodyDiv w:val="1"/>
      <w:marLeft w:val="0"/>
      <w:marRight w:val="0"/>
      <w:marTop w:val="0"/>
      <w:marBottom w:val="0"/>
      <w:divBdr>
        <w:top w:val="none" w:sz="0" w:space="0" w:color="auto"/>
        <w:left w:val="none" w:sz="0" w:space="0" w:color="auto"/>
        <w:bottom w:val="none" w:sz="0" w:space="0" w:color="auto"/>
        <w:right w:val="none" w:sz="0" w:space="0" w:color="auto"/>
      </w:divBdr>
    </w:div>
    <w:div w:id="1633289978">
      <w:bodyDiv w:val="1"/>
      <w:marLeft w:val="0"/>
      <w:marRight w:val="0"/>
      <w:marTop w:val="0"/>
      <w:marBottom w:val="0"/>
      <w:divBdr>
        <w:top w:val="none" w:sz="0" w:space="0" w:color="auto"/>
        <w:left w:val="none" w:sz="0" w:space="0" w:color="auto"/>
        <w:bottom w:val="none" w:sz="0" w:space="0" w:color="auto"/>
        <w:right w:val="none" w:sz="0" w:space="0" w:color="auto"/>
      </w:divBdr>
    </w:div>
    <w:div w:id="1633291125">
      <w:bodyDiv w:val="1"/>
      <w:marLeft w:val="0"/>
      <w:marRight w:val="0"/>
      <w:marTop w:val="0"/>
      <w:marBottom w:val="0"/>
      <w:divBdr>
        <w:top w:val="none" w:sz="0" w:space="0" w:color="auto"/>
        <w:left w:val="none" w:sz="0" w:space="0" w:color="auto"/>
        <w:bottom w:val="none" w:sz="0" w:space="0" w:color="auto"/>
        <w:right w:val="none" w:sz="0" w:space="0" w:color="auto"/>
      </w:divBdr>
    </w:div>
    <w:div w:id="1633363301">
      <w:bodyDiv w:val="1"/>
      <w:marLeft w:val="0"/>
      <w:marRight w:val="0"/>
      <w:marTop w:val="0"/>
      <w:marBottom w:val="0"/>
      <w:divBdr>
        <w:top w:val="none" w:sz="0" w:space="0" w:color="auto"/>
        <w:left w:val="none" w:sz="0" w:space="0" w:color="auto"/>
        <w:bottom w:val="none" w:sz="0" w:space="0" w:color="auto"/>
        <w:right w:val="none" w:sz="0" w:space="0" w:color="auto"/>
      </w:divBdr>
    </w:div>
    <w:div w:id="1633441484">
      <w:bodyDiv w:val="1"/>
      <w:marLeft w:val="0"/>
      <w:marRight w:val="0"/>
      <w:marTop w:val="0"/>
      <w:marBottom w:val="0"/>
      <w:divBdr>
        <w:top w:val="none" w:sz="0" w:space="0" w:color="auto"/>
        <w:left w:val="none" w:sz="0" w:space="0" w:color="auto"/>
        <w:bottom w:val="none" w:sz="0" w:space="0" w:color="auto"/>
        <w:right w:val="none" w:sz="0" w:space="0" w:color="auto"/>
      </w:divBdr>
    </w:div>
    <w:div w:id="1633443373">
      <w:bodyDiv w:val="1"/>
      <w:marLeft w:val="0"/>
      <w:marRight w:val="0"/>
      <w:marTop w:val="0"/>
      <w:marBottom w:val="0"/>
      <w:divBdr>
        <w:top w:val="none" w:sz="0" w:space="0" w:color="auto"/>
        <w:left w:val="none" w:sz="0" w:space="0" w:color="auto"/>
        <w:bottom w:val="none" w:sz="0" w:space="0" w:color="auto"/>
        <w:right w:val="none" w:sz="0" w:space="0" w:color="auto"/>
      </w:divBdr>
    </w:div>
    <w:div w:id="1633514559">
      <w:bodyDiv w:val="1"/>
      <w:marLeft w:val="0"/>
      <w:marRight w:val="0"/>
      <w:marTop w:val="0"/>
      <w:marBottom w:val="0"/>
      <w:divBdr>
        <w:top w:val="none" w:sz="0" w:space="0" w:color="auto"/>
        <w:left w:val="none" w:sz="0" w:space="0" w:color="auto"/>
        <w:bottom w:val="none" w:sz="0" w:space="0" w:color="auto"/>
        <w:right w:val="none" w:sz="0" w:space="0" w:color="auto"/>
      </w:divBdr>
    </w:div>
    <w:div w:id="1633831424">
      <w:bodyDiv w:val="1"/>
      <w:marLeft w:val="0"/>
      <w:marRight w:val="0"/>
      <w:marTop w:val="0"/>
      <w:marBottom w:val="0"/>
      <w:divBdr>
        <w:top w:val="none" w:sz="0" w:space="0" w:color="auto"/>
        <w:left w:val="none" w:sz="0" w:space="0" w:color="auto"/>
        <w:bottom w:val="none" w:sz="0" w:space="0" w:color="auto"/>
        <w:right w:val="none" w:sz="0" w:space="0" w:color="auto"/>
      </w:divBdr>
    </w:div>
    <w:div w:id="1633949082">
      <w:bodyDiv w:val="1"/>
      <w:marLeft w:val="0"/>
      <w:marRight w:val="0"/>
      <w:marTop w:val="0"/>
      <w:marBottom w:val="0"/>
      <w:divBdr>
        <w:top w:val="none" w:sz="0" w:space="0" w:color="auto"/>
        <w:left w:val="none" w:sz="0" w:space="0" w:color="auto"/>
        <w:bottom w:val="none" w:sz="0" w:space="0" w:color="auto"/>
        <w:right w:val="none" w:sz="0" w:space="0" w:color="auto"/>
      </w:divBdr>
    </w:div>
    <w:div w:id="1634094968">
      <w:bodyDiv w:val="1"/>
      <w:marLeft w:val="0"/>
      <w:marRight w:val="0"/>
      <w:marTop w:val="0"/>
      <w:marBottom w:val="0"/>
      <w:divBdr>
        <w:top w:val="none" w:sz="0" w:space="0" w:color="auto"/>
        <w:left w:val="none" w:sz="0" w:space="0" w:color="auto"/>
        <w:bottom w:val="none" w:sz="0" w:space="0" w:color="auto"/>
        <w:right w:val="none" w:sz="0" w:space="0" w:color="auto"/>
      </w:divBdr>
    </w:div>
    <w:div w:id="1634214403">
      <w:bodyDiv w:val="1"/>
      <w:marLeft w:val="0"/>
      <w:marRight w:val="0"/>
      <w:marTop w:val="0"/>
      <w:marBottom w:val="0"/>
      <w:divBdr>
        <w:top w:val="none" w:sz="0" w:space="0" w:color="auto"/>
        <w:left w:val="none" w:sz="0" w:space="0" w:color="auto"/>
        <w:bottom w:val="none" w:sz="0" w:space="0" w:color="auto"/>
        <w:right w:val="none" w:sz="0" w:space="0" w:color="auto"/>
      </w:divBdr>
    </w:div>
    <w:div w:id="1634285399">
      <w:bodyDiv w:val="1"/>
      <w:marLeft w:val="0"/>
      <w:marRight w:val="0"/>
      <w:marTop w:val="0"/>
      <w:marBottom w:val="0"/>
      <w:divBdr>
        <w:top w:val="none" w:sz="0" w:space="0" w:color="auto"/>
        <w:left w:val="none" w:sz="0" w:space="0" w:color="auto"/>
        <w:bottom w:val="none" w:sz="0" w:space="0" w:color="auto"/>
        <w:right w:val="none" w:sz="0" w:space="0" w:color="auto"/>
      </w:divBdr>
    </w:div>
    <w:div w:id="1634285726">
      <w:bodyDiv w:val="1"/>
      <w:marLeft w:val="0"/>
      <w:marRight w:val="0"/>
      <w:marTop w:val="0"/>
      <w:marBottom w:val="0"/>
      <w:divBdr>
        <w:top w:val="none" w:sz="0" w:space="0" w:color="auto"/>
        <w:left w:val="none" w:sz="0" w:space="0" w:color="auto"/>
        <w:bottom w:val="none" w:sz="0" w:space="0" w:color="auto"/>
        <w:right w:val="none" w:sz="0" w:space="0" w:color="auto"/>
      </w:divBdr>
    </w:div>
    <w:div w:id="1634292629">
      <w:bodyDiv w:val="1"/>
      <w:marLeft w:val="0"/>
      <w:marRight w:val="0"/>
      <w:marTop w:val="0"/>
      <w:marBottom w:val="0"/>
      <w:divBdr>
        <w:top w:val="none" w:sz="0" w:space="0" w:color="auto"/>
        <w:left w:val="none" w:sz="0" w:space="0" w:color="auto"/>
        <w:bottom w:val="none" w:sz="0" w:space="0" w:color="auto"/>
        <w:right w:val="none" w:sz="0" w:space="0" w:color="auto"/>
      </w:divBdr>
    </w:div>
    <w:div w:id="1634405159">
      <w:bodyDiv w:val="1"/>
      <w:marLeft w:val="0"/>
      <w:marRight w:val="0"/>
      <w:marTop w:val="0"/>
      <w:marBottom w:val="0"/>
      <w:divBdr>
        <w:top w:val="none" w:sz="0" w:space="0" w:color="auto"/>
        <w:left w:val="none" w:sz="0" w:space="0" w:color="auto"/>
        <w:bottom w:val="none" w:sz="0" w:space="0" w:color="auto"/>
        <w:right w:val="none" w:sz="0" w:space="0" w:color="auto"/>
      </w:divBdr>
    </w:div>
    <w:div w:id="1634407937">
      <w:bodyDiv w:val="1"/>
      <w:marLeft w:val="0"/>
      <w:marRight w:val="0"/>
      <w:marTop w:val="0"/>
      <w:marBottom w:val="0"/>
      <w:divBdr>
        <w:top w:val="none" w:sz="0" w:space="0" w:color="auto"/>
        <w:left w:val="none" w:sz="0" w:space="0" w:color="auto"/>
        <w:bottom w:val="none" w:sz="0" w:space="0" w:color="auto"/>
        <w:right w:val="none" w:sz="0" w:space="0" w:color="auto"/>
      </w:divBdr>
    </w:div>
    <w:div w:id="1634410048">
      <w:bodyDiv w:val="1"/>
      <w:marLeft w:val="0"/>
      <w:marRight w:val="0"/>
      <w:marTop w:val="0"/>
      <w:marBottom w:val="0"/>
      <w:divBdr>
        <w:top w:val="none" w:sz="0" w:space="0" w:color="auto"/>
        <w:left w:val="none" w:sz="0" w:space="0" w:color="auto"/>
        <w:bottom w:val="none" w:sz="0" w:space="0" w:color="auto"/>
        <w:right w:val="none" w:sz="0" w:space="0" w:color="auto"/>
      </w:divBdr>
    </w:div>
    <w:div w:id="1634557026">
      <w:bodyDiv w:val="1"/>
      <w:marLeft w:val="0"/>
      <w:marRight w:val="0"/>
      <w:marTop w:val="0"/>
      <w:marBottom w:val="0"/>
      <w:divBdr>
        <w:top w:val="none" w:sz="0" w:space="0" w:color="auto"/>
        <w:left w:val="none" w:sz="0" w:space="0" w:color="auto"/>
        <w:bottom w:val="none" w:sz="0" w:space="0" w:color="auto"/>
        <w:right w:val="none" w:sz="0" w:space="0" w:color="auto"/>
      </w:divBdr>
    </w:div>
    <w:div w:id="1634560190">
      <w:bodyDiv w:val="1"/>
      <w:marLeft w:val="0"/>
      <w:marRight w:val="0"/>
      <w:marTop w:val="0"/>
      <w:marBottom w:val="0"/>
      <w:divBdr>
        <w:top w:val="none" w:sz="0" w:space="0" w:color="auto"/>
        <w:left w:val="none" w:sz="0" w:space="0" w:color="auto"/>
        <w:bottom w:val="none" w:sz="0" w:space="0" w:color="auto"/>
        <w:right w:val="none" w:sz="0" w:space="0" w:color="auto"/>
      </w:divBdr>
    </w:div>
    <w:div w:id="1634676000">
      <w:bodyDiv w:val="1"/>
      <w:marLeft w:val="0"/>
      <w:marRight w:val="0"/>
      <w:marTop w:val="0"/>
      <w:marBottom w:val="0"/>
      <w:divBdr>
        <w:top w:val="none" w:sz="0" w:space="0" w:color="auto"/>
        <w:left w:val="none" w:sz="0" w:space="0" w:color="auto"/>
        <w:bottom w:val="none" w:sz="0" w:space="0" w:color="auto"/>
        <w:right w:val="none" w:sz="0" w:space="0" w:color="auto"/>
      </w:divBdr>
    </w:div>
    <w:div w:id="1634679561">
      <w:bodyDiv w:val="1"/>
      <w:marLeft w:val="0"/>
      <w:marRight w:val="0"/>
      <w:marTop w:val="0"/>
      <w:marBottom w:val="0"/>
      <w:divBdr>
        <w:top w:val="none" w:sz="0" w:space="0" w:color="auto"/>
        <w:left w:val="none" w:sz="0" w:space="0" w:color="auto"/>
        <w:bottom w:val="none" w:sz="0" w:space="0" w:color="auto"/>
        <w:right w:val="none" w:sz="0" w:space="0" w:color="auto"/>
      </w:divBdr>
    </w:div>
    <w:div w:id="1634754043">
      <w:bodyDiv w:val="1"/>
      <w:marLeft w:val="0"/>
      <w:marRight w:val="0"/>
      <w:marTop w:val="0"/>
      <w:marBottom w:val="0"/>
      <w:divBdr>
        <w:top w:val="none" w:sz="0" w:space="0" w:color="auto"/>
        <w:left w:val="none" w:sz="0" w:space="0" w:color="auto"/>
        <w:bottom w:val="none" w:sz="0" w:space="0" w:color="auto"/>
        <w:right w:val="none" w:sz="0" w:space="0" w:color="auto"/>
      </w:divBdr>
    </w:div>
    <w:div w:id="1634872131">
      <w:bodyDiv w:val="1"/>
      <w:marLeft w:val="0"/>
      <w:marRight w:val="0"/>
      <w:marTop w:val="0"/>
      <w:marBottom w:val="0"/>
      <w:divBdr>
        <w:top w:val="none" w:sz="0" w:space="0" w:color="auto"/>
        <w:left w:val="none" w:sz="0" w:space="0" w:color="auto"/>
        <w:bottom w:val="none" w:sz="0" w:space="0" w:color="auto"/>
        <w:right w:val="none" w:sz="0" w:space="0" w:color="auto"/>
      </w:divBdr>
    </w:div>
    <w:div w:id="1634939495">
      <w:bodyDiv w:val="1"/>
      <w:marLeft w:val="0"/>
      <w:marRight w:val="0"/>
      <w:marTop w:val="0"/>
      <w:marBottom w:val="0"/>
      <w:divBdr>
        <w:top w:val="none" w:sz="0" w:space="0" w:color="auto"/>
        <w:left w:val="none" w:sz="0" w:space="0" w:color="auto"/>
        <w:bottom w:val="none" w:sz="0" w:space="0" w:color="auto"/>
        <w:right w:val="none" w:sz="0" w:space="0" w:color="auto"/>
      </w:divBdr>
    </w:div>
    <w:div w:id="1635023829">
      <w:bodyDiv w:val="1"/>
      <w:marLeft w:val="0"/>
      <w:marRight w:val="0"/>
      <w:marTop w:val="0"/>
      <w:marBottom w:val="0"/>
      <w:divBdr>
        <w:top w:val="none" w:sz="0" w:space="0" w:color="auto"/>
        <w:left w:val="none" w:sz="0" w:space="0" w:color="auto"/>
        <w:bottom w:val="none" w:sz="0" w:space="0" w:color="auto"/>
        <w:right w:val="none" w:sz="0" w:space="0" w:color="auto"/>
      </w:divBdr>
    </w:div>
    <w:div w:id="1635062462">
      <w:bodyDiv w:val="1"/>
      <w:marLeft w:val="0"/>
      <w:marRight w:val="0"/>
      <w:marTop w:val="0"/>
      <w:marBottom w:val="0"/>
      <w:divBdr>
        <w:top w:val="none" w:sz="0" w:space="0" w:color="auto"/>
        <w:left w:val="none" w:sz="0" w:space="0" w:color="auto"/>
        <w:bottom w:val="none" w:sz="0" w:space="0" w:color="auto"/>
        <w:right w:val="none" w:sz="0" w:space="0" w:color="auto"/>
      </w:divBdr>
    </w:div>
    <w:div w:id="1635064227">
      <w:bodyDiv w:val="1"/>
      <w:marLeft w:val="0"/>
      <w:marRight w:val="0"/>
      <w:marTop w:val="0"/>
      <w:marBottom w:val="0"/>
      <w:divBdr>
        <w:top w:val="none" w:sz="0" w:space="0" w:color="auto"/>
        <w:left w:val="none" w:sz="0" w:space="0" w:color="auto"/>
        <w:bottom w:val="none" w:sz="0" w:space="0" w:color="auto"/>
        <w:right w:val="none" w:sz="0" w:space="0" w:color="auto"/>
      </w:divBdr>
    </w:div>
    <w:div w:id="1635066315">
      <w:bodyDiv w:val="1"/>
      <w:marLeft w:val="0"/>
      <w:marRight w:val="0"/>
      <w:marTop w:val="0"/>
      <w:marBottom w:val="0"/>
      <w:divBdr>
        <w:top w:val="none" w:sz="0" w:space="0" w:color="auto"/>
        <w:left w:val="none" w:sz="0" w:space="0" w:color="auto"/>
        <w:bottom w:val="none" w:sz="0" w:space="0" w:color="auto"/>
        <w:right w:val="none" w:sz="0" w:space="0" w:color="auto"/>
      </w:divBdr>
    </w:div>
    <w:div w:id="1635135308">
      <w:bodyDiv w:val="1"/>
      <w:marLeft w:val="0"/>
      <w:marRight w:val="0"/>
      <w:marTop w:val="0"/>
      <w:marBottom w:val="0"/>
      <w:divBdr>
        <w:top w:val="none" w:sz="0" w:space="0" w:color="auto"/>
        <w:left w:val="none" w:sz="0" w:space="0" w:color="auto"/>
        <w:bottom w:val="none" w:sz="0" w:space="0" w:color="auto"/>
        <w:right w:val="none" w:sz="0" w:space="0" w:color="auto"/>
      </w:divBdr>
    </w:div>
    <w:div w:id="1635330881">
      <w:bodyDiv w:val="1"/>
      <w:marLeft w:val="0"/>
      <w:marRight w:val="0"/>
      <w:marTop w:val="0"/>
      <w:marBottom w:val="0"/>
      <w:divBdr>
        <w:top w:val="none" w:sz="0" w:space="0" w:color="auto"/>
        <w:left w:val="none" w:sz="0" w:space="0" w:color="auto"/>
        <w:bottom w:val="none" w:sz="0" w:space="0" w:color="auto"/>
        <w:right w:val="none" w:sz="0" w:space="0" w:color="auto"/>
      </w:divBdr>
    </w:div>
    <w:div w:id="1635402554">
      <w:bodyDiv w:val="1"/>
      <w:marLeft w:val="0"/>
      <w:marRight w:val="0"/>
      <w:marTop w:val="0"/>
      <w:marBottom w:val="0"/>
      <w:divBdr>
        <w:top w:val="none" w:sz="0" w:space="0" w:color="auto"/>
        <w:left w:val="none" w:sz="0" w:space="0" w:color="auto"/>
        <w:bottom w:val="none" w:sz="0" w:space="0" w:color="auto"/>
        <w:right w:val="none" w:sz="0" w:space="0" w:color="auto"/>
      </w:divBdr>
    </w:div>
    <w:div w:id="1635403505">
      <w:bodyDiv w:val="1"/>
      <w:marLeft w:val="0"/>
      <w:marRight w:val="0"/>
      <w:marTop w:val="0"/>
      <w:marBottom w:val="0"/>
      <w:divBdr>
        <w:top w:val="none" w:sz="0" w:space="0" w:color="auto"/>
        <w:left w:val="none" w:sz="0" w:space="0" w:color="auto"/>
        <w:bottom w:val="none" w:sz="0" w:space="0" w:color="auto"/>
        <w:right w:val="none" w:sz="0" w:space="0" w:color="auto"/>
      </w:divBdr>
    </w:div>
    <w:div w:id="1635480598">
      <w:bodyDiv w:val="1"/>
      <w:marLeft w:val="0"/>
      <w:marRight w:val="0"/>
      <w:marTop w:val="0"/>
      <w:marBottom w:val="0"/>
      <w:divBdr>
        <w:top w:val="none" w:sz="0" w:space="0" w:color="auto"/>
        <w:left w:val="none" w:sz="0" w:space="0" w:color="auto"/>
        <w:bottom w:val="none" w:sz="0" w:space="0" w:color="auto"/>
        <w:right w:val="none" w:sz="0" w:space="0" w:color="auto"/>
      </w:divBdr>
    </w:div>
    <w:div w:id="1635482960">
      <w:bodyDiv w:val="1"/>
      <w:marLeft w:val="0"/>
      <w:marRight w:val="0"/>
      <w:marTop w:val="0"/>
      <w:marBottom w:val="0"/>
      <w:divBdr>
        <w:top w:val="none" w:sz="0" w:space="0" w:color="auto"/>
        <w:left w:val="none" w:sz="0" w:space="0" w:color="auto"/>
        <w:bottom w:val="none" w:sz="0" w:space="0" w:color="auto"/>
        <w:right w:val="none" w:sz="0" w:space="0" w:color="auto"/>
      </w:divBdr>
    </w:div>
    <w:div w:id="1635525348">
      <w:bodyDiv w:val="1"/>
      <w:marLeft w:val="0"/>
      <w:marRight w:val="0"/>
      <w:marTop w:val="0"/>
      <w:marBottom w:val="0"/>
      <w:divBdr>
        <w:top w:val="none" w:sz="0" w:space="0" w:color="auto"/>
        <w:left w:val="none" w:sz="0" w:space="0" w:color="auto"/>
        <w:bottom w:val="none" w:sz="0" w:space="0" w:color="auto"/>
        <w:right w:val="none" w:sz="0" w:space="0" w:color="auto"/>
      </w:divBdr>
    </w:div>
    <w:div w:id="1635601391">
      <w:bodyDiv w:val="1"/>
      <w:marLeft w:val="0"/>
      <w:marRight w:val="0"/>
      <w:marTop w:val="0"/>
      <w:marBottom w:val="0"/>
      <w:divBdr>
        <w:top w:val="none" w:sz="0" w:space="0" w:color="auto"/>
        <w:left w:val="none" w:sz="0" w:space="0" w:color="auto"/>
        <w:bottom w:val="none" w:sz="0" w:space="0" w:color="auto"/>
        <w:right w:val="none" w:sz="0" w:space="0" w:color="auto"/>
      </w:divBdr>
    </w:div>
    <w:div w:id="1635672510">
      <w:bodyDiv w:val="1"/>
      <w:marLeft w:val="0"/>
      <w:marRight w:val="0"/>
      <w:marTop w:val="0"/>
      <w:marBottom w:val="0"/>
      <w:divBdr>
        <w:top w:val="none" w:sz="0" w:space="0" w:color="auto"/>
        <w:left w:val="none" w:sz="0" w:space="0" w:color="auto"/>
        <w:bottom w:val="none" w:sz="0" w:space="0" w:color="auto"/>
        <w:right w:val="none" w:sz="0" w:space="0" w:color="auto"/>
      </w:divBdr>
    </w:div>
    <w:div w:id="1635789414">
      <w:bodyDiv w:val="1"/>
      <w:marLeft w:val="0"/>
      <w:marRight w:val="0"/>
      <w:marTop w:val="0"/>
      <w:marBottom w:val="0"/>
      <w:divBdr>
        <w:top w:val="none" w:sz="0" w:space="0" w:color="auto"/>
        <w:left w:val="none" w:sz="0" w:space="0" w:color="auto"/>
        <w:bottom w:val="none" w:sz="0" w:space="0" w:color="auto"/>
        <w:right w:val="none" w:sz="0" w:space="0" w:color="auto"/>
      </w:divBdr>
    </w:div>
    <w:div w:id="1635794898">
      <w:bodyDiv w:val="1"/>
      <w:marLeft w:val="0"/>
      <w:marRight w:val="0"/>
      <w:marTop w:val="0"/>
      <w:marBottom w:val="0"/>
      <w:divBdr>
        <w:top w:val="none" w:sz="0" w:space="0" w:color="auto"/>
        <w:left w:val="none" w:sz="0" w:space="0" w:color="auto"/>
        <w:bottom w:val="none" w:sz="0" w:space="0" w:color="auto"/>
        <w:right w:val="none" w:sz="0" w:space="0" w:color="auto"/>
      </w:divBdr>
    </w:div>
    <w:div w:id="1635795205">
      <w:bodyDiv w:val="1"/>
      <w:marLeft w:val="0"/>
      <w:marRight w:val="0"/>
      <w:marTop w:val="0"/>
      <w:marBottom w:val="0"/>
      <w:divBdr>
        <w:top w:val="none" w:sz="0" w:space="0" w:color="auto"/>
        <w:left w:val="none" w:sz="0" w:space="0" w:color="auto"/>
        <w:bottom w:val="none" w:sz="0" w:space="0" w:color="auto"/>
        <w:right w:val="none" w:sz="0" w:space="0" w:color="auto"/>
      </w:divBdr>
    </w:div>
    <w:div w:id="1635909742">
      <w:bodyDiv w:val="1"/>
      <w:marLeft w:val="0"/>
      <w:marRight w:val="0"/>
      <w:marTop w:val="0"/>
      <w:marBottom w:val="0"/>
      <w:divBdr>
        <w:top w:val="none" w:sz="0" w:space="0" w:color="auto"/>
        <w:left w:val="none" w:sz="0" w:space="0" w:color="auto"/>
        <w:bottom w:val="none" w:sz="0" w:space="0" w:color="auto"/>
        <w:right w:val="none" w:sz="0" w:space="0" w:color="auto"/>
      </w:divBdr>
    </w:div>
    <w:div w:id="1635913693">
      <w:bodyDiv w:val="1"/>
      <w:marLeft w:val="0"/>
      <w:marRight w:val="0"/>
      <w:marTop w:val="0"/>
      <w:marBottom w:val="0"/>
      <w:divBdr>
        <w:top w:val="none" w:sz="0" w:space="0" w:color="auto"/>
        <w:left w:val="none" w:sz="0" w:space="0" w:color="auto"/>
        <w:bottom w:val="none" w:sz="0" w:space="0" w:color="auto"/>
        <w:right w:val="none" w:sz="0" w:space="0" w:color="auto"/>
      </w:divBdr>
    </w:div>
    <w:div w:id="1635988876">
      <w:bodyDiv w:val="1"/>
      <w:marLeft w:val="0"/>
      <w:marRight w:val="0"/>
      <w:marTop w:val="0"/>
      <w:marBottom w:val="0"/>
      <w:divBdr>
        <w:top w:val="none" w:sz="0" w:space="0" w:color="auto"/>
        <w:left w:val="none" w:sz="0" w:space="0" w:color="auto"/>
        <w:bottom w:val="none" w:sz="0" w:space="0" w:color="auto"/>
        <w:right w:val="none" w:sz="0" w:space="0" w:color="auto"/>
      </w:divBdr>
    </w:div>
    <w:div w:id="1636061881">
      <w:bodyDiv w:val="1"/>
      <w:marLeft w:val="0"/>
      <w:marRight w:val="0"/>
      <w:marTop w:val="0"/>
      <w:marBottom w:val="0"/>
      <w:divBdr>
        <w:top w:val="none" w:sz="0" w:space="0" w:color="auto"/>
        <w:left w:val="none" w:sz="0" w:space="0" w:color="auto"/>
        <w:bottom w:val="none" w:sz="0" w:space="0" w:color="auto"/>
        <w:right w:val="none" w:sz="0" w:space="0" w:color="auto"/>
      </w:divBdr>
    </w:div>
    <w:div w:id="1636134940">
      <w:bodyDiv w:val="1"/>
      <w:marLeft w:val="0"/>
      <w:marRight w:val="0"/>
      <w:marTop w:val="0"/>
      <w:marBottom w:val="0"/>
      <w:divBdr>
        <w:top w:val="none" w:sz="0" w:space="0" w:color="auto"/>
        <w:left w:val="none" w:sz="0" w:space="0" w:color="auto"/>
        <w:bottom w:val="none" w:sz="0" w:space="0" w:color="auto"/>
        <w:right w:val="none" w:sz="0" w:space="0" w:color="auto"/>
      </w:divBdr>
    </w:div>
    <w:div w:id="1636135099">
      <w:bodyDiv w:val="1"/>
      <w:marLeft w:val="0"/>
      <w:marRight w:val="0"/>
      <w:marTop w:val="0"/>
      <w:marBottom w:val="0"/>
      <w:divBdr>
        <w:top w:val="none" w:sz="0" w:space="0" w:color="auto"/>
        <w:left w:val="none" w:sz="0" w:space="0" w:color="auto"/>
        <w:bottom w:val="none" w:sz="0" w:space="0" w:color="auto"/>
        <w:right w:val="none" w:sz="0" w:space="0" w:color="auto"/>
      </w:divBdr>
    </w:div>
    <w:div w:id="1636256282">
      <w:bodyDiv w:val="1"/>
      <w:marLeft w:val="0"/>
      <w:marRight w:val="0"/>
      <w:marTop w:val="0"/>
      <w:marBottom w:val="0"/>
      <w:divBdr>
        <w:top w:val="none" w:sz="0" w:space="0" w:color="auto"/>
        <w:left w:val="none" w:sz="0" w:space="0" w:color="auto"/>
        <w:bottom w:val="none" w:sz="0" w:space="0" w:color="auto"/>
        <w:right w:val="none" w:sz="0" w:space="0" w:color="auto"/>
      </w:divBdr>
    </w:div>
    <w:div w:id="1636333364">
      <w:bodyDiv w:val="1"/>
      <w:marLeft w:val="0"/>
      <w:marRight w:val="0"/>
      <w:marTop w:val="0"/>
      <w:marBottom w:val="0"/>
      <w:divBdr>
        <w:top w:val="none" w:sz="0" w:space="0" w:color="auto"/>
        <w:left w:val="none" w:sz="0" w:space="0" w:color="auto"/>
        <w:bottom w:val="none" w:sz="0" w:space="0" w:color="auto"/>
        <w:right w:val="none" w:sz="0" w:space="0" w:color="auto"/>
      </w:divBdr>
    </w:div>
    <w:div w:id="1636443679">
      <w:bodyDiv w:val="1"/>
      <w:marLeft w:val="0"/>
      <w:marRight w:val="0"/>
      <w:marTop w:val="0"/>
      <w:marBottom w:val="0"/>
      <w:divBdr>
        <w:top w:val="none" w:sz="0" w:space="0" w:color="auto"/>
        <w:left w:val="none" w:sz="0" w:space="0" w:color="auto"/>
        <w:bottom w:val="none" w:sz="0" w:space="0" w:color="auto"/>
        <w:right w:val="none" w:sz="0" w:space="0" w:color="auto"/>
      </w:divBdr>
    </w:div>
    <w:div w:id="1636444996">
      <w:bodyDiv w:val="1"/>
      <w:marLeft w:val="0"/>
      <w:marRight w:val="0"/>
      <w:marTop w:val="0"/>
      <w:marBottom w:val="0"/>
      <w:divBdr>
        <w:top w:val="none" w:sz="0" w:space="0" w:color="auto"/>
        <w:left w:val="none" w:sz="0" w:space="0" w:color="auto"/>
        <w:bottom w:val="none" w:sz="0" w:space="0" w:color="auto"/>
        <w:right w:val="none" w:sz="0" w:space="0" w:color="auto"/>
      </w:divBdr>
    </w:div>
    <w:div w:id="1636450700">
      <w:bodyDiv w:val="1"/>
      <w:marLeft w:val="0"/>
      <w:marRight w:val="0"/>
      <w:marTop w:val="0"/>
      <w:marBottom w:val="0"/>
      <w:divBdr>
        <w:top w:val="none" w:sz="0" w:space="0" w:color="auto"/>
        <w:left w:val="none" w:sz="0" w:space="0" w:color="auto"/>
        <w:bottom w:val="none" w:sz="0" w:space="0" w:color="auto"/>
        <w:right w:val="none" w:sz="0" w:space="0" w:color="auto"/>
      </w:divBdr>
    </w:div>
    <w:div w:id="1636566389">
      <w:bodyDiv w:val="1"/>
      <w:marLeft w:val="0"/>
      <w:marRight w:val="0"/>
      <w:marTop w:val="0"/>
      <w:marBottom w:val="0"/>
      <w:divBdr>
        <w:top w:val="none" w:sz="0" w:space="0" w:color="auto"/>
        <w:left w:val="none" w:sz="0" w:space="0" w:color="auto"/>
        <w:bottom w:val="none" w:sz="0" w:space="0" w:color="auto"/>
        <w:right w:val="none" w:sz="0" w:space="0" w:color="auto"/>
      </w:divBdr>
    </w:div>
    <w:div w:id="1636642412">
      <w:bodyDiv w:val="1"/>
      <w:marLeft w:val="0"/>
      <w:marRight w:val="0"/>
      <w:marTop w:val="0"/>
      <w:marBottom w:val="0"/>
      <w:divBdr>
        <w:top w:val="none" w:sz="0" w:space="0" w:color="auto"/>
        <w:left w:val="none" w:sz="0" w:space="0" w:color="auto"/>
        <w:bottom w:val="none" w:sz="0" w:space="0" w:color="auto"/>
        <w:right w:val="none" w:sz="0" w:space="0" w:color="auto"/>
      </w:divBdr>
    </w:div>
    <w:div w:id="1636715042">
      <w:bodyDiv w:val="1"/>
      <w:marLeft w:val="0"/>
      <w:marRight w:val="0"/>
      <w:marTop w:val="0"/>
      <w:marBottom w:val="0"/>
      <w:divBdr>
        <w:top w:val="none" w:sz="0" w:space="0" w:color="auto"/>
        <w:left w:val="none" w:sz="0" w:space="0" w:color="auto"/>
        <w:bottom w:val="none" w:sz="0" w:space="0" w:color="auto"/>
        <w:right w:val="none" w:sz="0" w:space="0" w:color="auto"/>
      </w:divBdr>
    </w:div>
    <w:div w:id="1636790052">
      <w:bodyDiv w:val="1"/>
      <w:marLeft w:val="0"/>
      <w:marRight w:val="0"/>
      <w:marTop w:val="0"/>
      <w:marBottom w:val="0"/>
      <w:divBdr>
        <w:top w:val="none" w:sz="0" w:space="0" w:color="auto"/>
        <w:left w:val="none" w:sz="0" w:space="0" w:color="auto"/>
        <w:bottom w:val="none" w:sz="0" w:space="0" w:color="auto"/>
        <w:right w:val="none" w:sz="0" w:space="0" w:color="auto"/>
      </w:divBdr>
    </w:div>
    <w:div w:id="1636829903">
      <w:bodyDiv w:val="1"/>
      <w:marLeft w:val="0"/>
      <w:marRight w:val="0"/>
      <w:marTop w:val="0"/>
      <w:marBottom w:val="0"/>
      <w:divBdr>
        <w:top w:val="none" w:sz="0" w:space="0" w:color="auto"/>
        <w:left w:val="none" w:sz="0" w:space="0" w:color="auto"/>
        <w:bottom w:val="none" w:sz="0" w:space="0" w:color="auto"/>
        <w:right w:val="none" w:sz="0" w:space="0" w:color="auto"/>
      </w:divBdr>
    </w:div>
    <w:div w:id="1636986854">
      <w:bodyDiv w:val="1"/>
      <w:marLeft w:val="0"/>
      <w:marRight w:val="0"/>
      <w:marTop w:val="0"/>
      <w:marBottom w:val="0"/>
      <w:divBdr>
        <w:top w:val="none" w:sz="0" w:space="0" w:color="auto"/>
        <w:left w:val="none" w:sz="0" w:space="0" w:color="auto"/>
        <w:bottom w:val="none" w:sz="0" w:space="0" w:color="auto"/>
        <w:right w:val="none" w:sz="0" w:space="0" w:color="auto"/>
      </w:divBdr>
    </w:div>
    <w:div w:id="1637104023">
      <w:bodyDiv w:val="1"/>
      <w:marLeft w:val="0"/>
      <w:marRight w:val="0"/>
      <w:marTop w:val="0"/>
      <w:marBottom w:val="0"/>
      <w:divBdr>
        <w:top w:val="none" w:sz="0" w:space="0" w:color="auto"/>
        <w:left w:val="none" w:sz="0" w:space="0" w:color="auto"/>
        <w:bottom w:val="none" w:sz="0" w:space="0" w:color="auto"/>
        <w:right w:val="none" w:sz="0" w:space="0" w:color="auto"/>
      </w:divBdr>
    </w:div>
    <w:div w:id="1637106324">
      <w:bodyDiv w:val="1"/>
      <w:marLeft w:val="0"/>
      <w:marRight w:val="0"/>
      <w:marTop w:val="0"/>
      <w:marBottom w:val="0"/>
      <w:divBdr>
        <w:top w:val="none" w:sz="0" w:space="0" w:color="auto"/>
        <w:left w:val="none" w:sz="0" w:space="0" w:color="auto"/>
        <w:bottom w:val="none" w:sz="0" w:space="0" w:color="auto"/>
        <w:right w:val="none" w:sz="0" w:space="0" w:color="auto"/>
      </w:divBdr>
    </w:div>
    <w:div w:id="1637177176">
      <w:bodyDiv w:val="1"/>
      <w:marLeft w:val="0"/>
      <w:marRight w:val="0"/>
      <w:marTop w:val="0"/>
      <w:marBottom w:val="0"/>
      <w:divBdr>
        <w:top w:val="none" w:sz="0" w:space="0" w:color="auto"/>
        <w:left w:val="none" w:sz="0" w:space="0" w:color="auto"/>
        <w:bottom w:val="none" w:sz="0" w:space="0" w:color="auto"/>
        <w:right w:val="none" w:sz="0" w:space="0" w:color="auto"/>
      </w:divBdr>
    </w:div>
    <w:div w:id="1637295174">
      <w:bodyDiv w:val="1"/>
      <w:marLeft w:val="0"/>
      <w:marRight w:val="0"/>
      <w:marTop w:val="0"/>
      <w:marBottom w:val="0"/>
      <w:divBdr>
        <w:top w:val="none" w:sz="0" w:space="0" w:color="auto"/>
        <w:left w:val="none" w:sz="0" w:space="0" w:color="auto"/>
        <w:bottom w:val="none" w:sz="0" w:space="0" w:color="auto"/>
        <w:right w:val="none" w:sz="0" w:space="0" w:color="auto"/>
      </w:divBdr>
    </w:div>
    <w:div w:id="1637296311">
      <w:bodyDiv w:val="1"/>
      <w:marLeft w:val="0"/>
      <w:marRight w:val="0"/>
      <w:marTop w:val="0"/>
      <w:marBottom w:val="0"/>
      <w:divBdr>
        <w:top w:val="none" w:sz="0" w:space="0" w:color="auto"/>
        <w:left w:val="none" w:sz="0" w:space="0" w:color="auto"/>
        <w:bottom w:val="none" w:sz="0" w:space="0" w:color="auto"/>
        <w:right w:val="none" w:sz="0" w:space="0" w:color="auto"/>
      </w:divBdr>
    </w:div>
    <w:div w:id="1637419267">
      <w:bodyDiv w:val="1"/>
      <w:marLeft w:val="0"/>
      <w:marRight w:val="0"/>
      <w:marTop w:val="0"/>
      <w:marBottom w:val="0"/>
      <w:divBdr>
        <w:top w:val="none" w:sz="0" w:space="0" w:color="auto"/>
        <w:left w:val="none" w:sz="0" w:space="0" w:color="auto"/>
        <w:bottom w:val="none" w:sz="0" w:space="0" w:color="auto"/>
        <w:right w:val="none" w:sz="0" w:space="0" w:color="auto"/>
      </w:divBdr>
    </w:div>
    <w:div w:id="1637488819">
      <w:bodyDiv w:val="1"/>
      <w:marLeft w:val="0"/>
      <w:marRight w:val="0"/>
      <w:marTop w:val="0"/>
      <w:marBottom w:val="0"/>
      <w:divBdr>
        <w:top w:val="none" w:sz="0" w:space="0" w:color="auto"/>
        <w:left w:val="none" w:sz="0" w:space="0" w:color="auto"/>
        <w:bottom w:val="none" w:sz="0" w:space="0" w:color="auto"/>
        <w:right w:val="none" w:sz="0" w:space="0" w:color="auto"/>
      </w:divBdr>
    </w:div>
    <w:div w:id="1637492188">
      <w:bodyDiv w:val="1"/>
      <w:marLeft w:val="0"/>
      <w:marRight w:val="0"/>
      <w:marTop w:val="0"/>
      <w:marBottom w:val="0"/>
      <w:divBdr>
        <w:top w:val="none" w:sz="0" w:space="0" w:color="auto"/>
        <w:left w:val="none" w:sz="0" w:space="0" w:color="auto"/>
        <w:bottom w:val="none" w:sz="0" w:space="0" w:color="auto"/>
        <w:right w:val="none" w:sz="0" w:space="0" w:color="auto"/>
      </w:divBdr>
    </w:div>
    <w:div w:id="1637563807">
      <w:bodyDiv w:val="1"/>
      <w:marLeft w:val="0"/>
      <w:marRight w:val="0"/>
      <w:marTop w:val="0"/>
      <w:marBottom w:val="0"/>
      <w:divBdr>
        <w:top w:val="none" w:sz="0" w:space="0" w:color="auto"/>
        <w:left w:val="none" w:sz="0" w:space="0" w:color="auto"/>
        <w:bottom w:val="none" w:sz="0" w:space="0" w:color="auto"/>
        <w:right w:val="none" w:sz="0" w:space="0" w:color="auto"/>
      </w:divBdr>
    </w:div>
    <w:div w:id="1637564602">
      <w:bodyDiv w:val="1"/>
      <w:marLeft w:val="0"/>
      <w:marRight w:val="0"/>
      <w:marTop w:val="0"/>
      <w:marBottom w:val="0"/>
      <w:divBdr>
        <w:top w:val="none" w:sz="0" w:space="0" w:color="auto"/>
        <w:left w:val="none" w:sz="0" w:space="0" w:color="auto"/>
        <w:bottom w:val="none" w:sz="0" w:space="0" w:color="auto"/>
        <w:right w:val="none" w:sz="0" w:space="0" w:color="auto"/>
      </w:divBdr>
    </w:div>
    <w:div w:id="1637640418">
      <w:bodyDiv w:val="1"/>
      <w:marLeft w:val="0"/>
      <w:marRight w:val="0"/>
      <w:marTop w:val="0"/>
      <w:marBottom w:val="0"/>
      <w:divBdr>
        <w:top w:val="none" w:sz="0" w:space="0" w:color="auto"/>
        <w:left w:val="none" w:sz="0" w:space="0" w:color="auto"/>
        <w:bottom w:val="none" w:sz="0" w:space="0" w:color="auto"/>
        <w:right w:val="none" w:sz="0" w:space="0" w:color="auto"/>
      </w:divBdr>
    </w:div>
    <w:div w:id="1637679777">
      <w:bodyDiv w:val="1"/>
      <w:marLeft w:val="0"/>
      <w:marRight w:val="0"/>
      <w:marTop w:val="0"/>
      <w:marBottom w:val="0"/>
      <w:divBdr>
        <w:top w:val="none" w:sz="0" w:space="0" w:color="auto"/>
        <w:left w:val="none" w:sz="0" w:space="0" w:color="auto"/>
        <w:bottom w:val="none" w:sz="0" w:space="0" w:color="auto"/>
        <w:right w:val="none" w:sz="0" w:space="0" w:color="auto"/>
      </w:divBdr>
    </w:div>
    <w:div w:id="1637758031">
      <w:bodyDiv w:val="1"/>
      <w:marLeft w:val="0"/>
      <w:marRight w:val="0"/>
      <w:marTop w:val="0"/>
      <w:marBottom w:val="0"/>
      <w:divBdr>
        <w:top w:val="none" w:sz="0" w:space="0" w:color="auto"/>
        <w:left w:val="none" w:sz="0" w:space="0" w:color="auto"/>
        <w:bottom w:val="none" w:sz="0" w:space="0" w:color="auto"/>
        <w:right w:val="none" w:sz="0" w:space="0" w:color="auto"/>
      </w:divBdr>
    </w:div>
    <w:div w:id="1637879708">
      <w:bodyDiv w:val="1"/>
      <w:marLeft w:val="0"/>
      <w:marRight w:val="0"/>
      <w:marTop w:val="0"/>
      <w:marBottom w:val="0"/>
      <w:divBdr>
        <w:top w:val="none" w:sz="0" w:space="0" w:color="auto"/>
        <w:left w:val="none" w:sz="0" w:space="0" w:color="auto"/>
        <w:bottom w:val="none" w:sz="0" w:space="0" w:color="auto"/>
        <w:right w:val="none" w:sz="0" w:space="0" w:color="auto"/>
      </w:divBdr>
    </w:div>
    <w:div w:id="1637906734">
      <w:bodyDiv w:val="1"/>
      <w:marLeft w:val="0"/>
      <w:marRight w:val="0"/>
      <w:marTop w:val="0"/>
      <w:marBottom w:val="0"/>
      <w:divBdr>
        <w:top w:val="none" w:sz="0" w:space="0" w:color="auto"/>
        <w:left w:val="none" w:sz="0" w:space="0" w:color="auto"/>
        <w:bottom w:val="none" w:sz="0" w:space="0" w:color="auto"/>
        <w:right w:val="none" w:sz="0" w:space="0" w:color="auto"/>
      </w:divBdr>
    </w:div>
    <w:div w:id="1637949270">
      <w:bodyDiv w:val="1"/>
      <w:marLeft w:val="0"/>
      <w:marRight w:val="0"/>
      <w:marTop w:val="0"/>
      <w:marBottom w:val="0"/>
      <w:divBdr>
        <w:top w:val="none" w:sz="0" w:space="0" w:color="auto"/>
        <w:left w:val="none" w:sz="0" w:space="0" w:color="auto"/>
        <w:bottom w:val="none" w:sz="0" w:space="0" w:color="auto"/>
        <w:right w:val="none" w:sz="0" w:space="0" w:color="auto"/>
      </w:divBdr>
    </w:div>
    <w:div w:id="1637952589">
      <w:bodyDiv w:val="1"/>
      <w:marLeft w:val="0"/>
      <w:marRight w:val="0"/>
      <w:marTop w:val="0"/>
      <w:marBottom w:val="0"/>
      <w:divBdr>
        <w:top w:val="none" w:sz="0" w:space="0" w:color="auto"/>
        <w:left w:val="none" w:sz="0" w:space="0" w:color="auto"/>
        <w:bottom w:val="none" w:sz="0" w:space="0" w:color="auto"/>
        <w:right w:val="none" w:sz="0" w:space="0" w:color="auto"/>
      </w:divBdr>
    </w:div>
    <w:div w:id="1638023701">
      <w:bodyDiv w:val="1"/>
      <w:marLeft w:val="0"/>
      <w:marRight w:val="0"/>
      <w:marTop w:val="0"/>
      <w:marBottom w:val="0"/>
      <w:divBdr>
        <w:top w:val="none" w:sz="0" w:space="0" w:color="auto"/>
        <w:left w:val="none" w:sz="0" w:space="0" w:color="auto"/>
        <w:bottom w:val="none" w:sz="0" w:space="0" w:color="auto"/>
        <w:right w:val="none" w:sz="0" w:space="0" w:color="auto"/>
      </w:divBdr>
    </w:div>
    <w:div w:id="1638147139">
      <w:bodyDiv w:val="1"/>
      <w:marLeft w:val="0"/>
      <w:marRight w:val="0"/>
      <w:marTop w:val="0"/>
      <w:marBottom w:val="0"/>
      <w:divBdr>
        <w:top w:val="none" w:sz="0" w:space="0" w:color="auto"/>
        <w:left w:val="none" w:sz="0" w:space="0" w:color="auto"/>
        <w:bottom w:val="none" w:sz="0" w:space="0" w:color="auto"/>
        <w:right w:val="none" w:sz="0" w:space="0" w:color="auto"/>
      </w:divBdr>
    </w:div>
    <w:div w:id="1638218480">
      <w:bodyDiv w:val="1"/>
      <w:marLeft w:val="0"/>
      <w:marRight w:val="0"/>
      <w:marTop w:val="0"/>
      <w:marBottom w:val="0"/>
      <w:divBdr>
        <w:top w:val="none" w:sz="0" w:space="0" w:color="auto"/>
        <w:left w:val="none" w:sz="0" w:space="0" w:color="auto"/>
        <w:bottom w:val="none" w:sz="0" w:space="0" w:color="auto"/>
        <w:right w:val="none" w:sz="0" w:space="0" w:color="auto"/>
      </w:divBdr>
    </w:div>
    <w:div w:id="1638295813">
      <w:bodyDiv w:val="1"/>
      <w:marLeft w:val="0"/>
      <w:marRight w:val="0"/>
      <w:marTop w:val="0"/>
      <w:marBottom w:val="0"/>
      <w:divBdr>
        <w:top w:val="none" w:sz="0" w:space="0" w:color="auto"/>
        <w:left w:val="none" w:sz="0" w:space="0" w:color="auto"/>
        <w:bottom w:val="none" w:sz="0" w:space="0" w:color="auto"/>
        <w:right w:val="none" w:sz="0" w:space="0" w:color="auto"/>
      </w:divBdr>
    </w:div>
    <w:div w:id="1638297789">
      <w:bodyDiv w:val="1"/>
      <w:marLeft w:val="0"/>
      <w:marRight w:val="0"/>
      <w:marTop w:val="0"/>
      <w:marBottom w:val="0"/>
      <w:divBdr>
        <w:top w:val="none" w:sz="0" w:space="0" w:color="auto"/>
        <w:left w:val="none" w:sz="0" w:space="0" w:color="auto"/>
        <w:bottom w:val="none" w:sz="0" w:space="0" w:color="auto"/>
        <w:right w:val="none" w:sz="0" w:space="0" w:color="auto"/>
      </w:divBdr>
    </w:div>
    <w:div w:id="1638414382">
      <w:bodyDiv w:val="1"/>
      <w:marLeft w:val="0"/>
      <w:marRight w:val="0"/>
      <w:marTop w:val="0"/>
      <w:marBottom w:val="0"/>
      <w:divBdr>
        <w:top w:val="none" w:sz="0" w:space="0" w:color="auto"/>
        <w:left w:val="none" w:sz="0" w:space="0" w:color="auto"/>
        <w:bottom w:val="none" w:sz="0" w:space="0" w:color="auto"/>
        <w:right w:val="none" w:sz="0" w:space="0" w:color="auto"/>
      </w:divBdr>
    </w:div>
    <w:div w:id="1638418486">
      <w:bodyDiv w:val="1"/>
      <w:marLeft w:val="0"/>
      <w:marRight w:val="0"/>
      <w:marTop w:val="0"/>
      <w:marBottom w:val="0"/>
      <w:divBdr>
        <w:top w:val="none" w:sz="0" w:space="0" w:color="auto"/>
        <w:left w:val="none" w:sz="0" w:space="0" w:color="auto"/>
        <w:bottom w:val="none" w:sz="0" w:space="0" w:color="auto"/>
        <w:right w:val="none" w:sz="0" w:space="0" w:color="auto"/>
      </w:divBdr>
    </w:div>
    <w:div w:id="1638487033">
      <w:bodyDiv w:val="1"/>
      <w:marLeft w:val="0"/>
      <w:marRight w:val="0"/>
      <w:marTop w:val="0"/>
      <w:marBottom w:val="0"/>
      <w:divBdr>
        <w:top w:val="none" w:sz="0" w:space="0" w:color="auto"/>
        <w:left w:val="none" w:sz="0" w:space="0" w:color="auto"/>
        <w:bottom w:val="none" w:sz="0" w:space="0" w:color="auto"/>
        <w:right w:val="none" w:sz="0" w:space="0" w:color="auto"/>
      </w:divBdr>
    </w:div>
    <w:div w:id="1638488651">
      <w:bodyDiv w:val="1"/>
      <w:marLeft w:val="0"/>
      <w:marRight w:val="0"/>
      <w:marTop w:val="0"/>
      <w:marBottom w:val="0"/>
      <w:divBdr>
        <w:top w:val="none" w:sz="0" w:space="0" w:color="auto"/>
        <w:left w:val="none" w:sz="0" w:space="0" w:color="auto"/>
        <w:bottom w:val="none" w:sz="0" w:space="0" w:color="auto"/>
        <w:right w:val="none" w:sz="0" w:space="0" w:color="auto"/>
      </w:divBdr>
    </w:div>
    <w:div w:id="1638493232">
      <w:bodyDiv w:val="1"/>
      <w:marLeft w:val="0"/>
      <w:marRight w:val="0"/>
      <w:marTop w:val="0"/>
      <w:marBottom w:val="0"/>
      <w:divBdr>
        <w:top w:val="none" w:sz="0" w:space="0" w:color="auto"/>
        <w:left w:val="none" w:sz="0" w:space="0" w:color="auto"/>
        <w:bottom w:val="none" w:sz="0" w:space="0" w:color="auto"/>
        <w:right w:val="none" w:sz="0" w:space="0" w:color="auto"/>
      </w:divBdr>
    </w:div>
    <w:div w:id="1638608833">
      <w:bodyDiv w:val="1"/>
      <w:marLeft w:val="0"/>
      <w:marRight w:val="0"/>
      <w:marTop w:val="0"/>
      <w:marBottom w:val="0"/>
      <w:divBdr>
        <w:top w:val="none" w:sz="0" w:space="0" w:color="auto"/>
        <w:left w:val="none" w:sz="0" w:space="0" w:color="auto"/>
        <w:bottom w:val="none" w:sz="0" w:space="0" w:color="auto"/>
        <w:right w:val="none" w:sz="0" w:space="0" w:color="auto"/>
      </w:divBdr>
    </w:div>
    <w:div w:id="1638754478">
      <w:bodyDiv w:val="1"/>
      <w:marLeft w:val="0"/>
      <w:marRight w:val="0"/>
      <w:marTop w:val="0"/>
      <w:marBottom w:val="0"/>
      <w:divBdr>
        <w:top w:val="none" w:sz="0" w:space="0" w:color="auto"/>
        <w:left w:val="none" w:sz="0" w:space="0" w:color="auto"/>
        <w:bottom w:val="none" w:sz="0" w:space="0" w:color="auto"/>
        <w:right w:val="none" w:sz="0" w:space="0" w:color="auto"/>
      </w:divBdr>
    </w:div>
    <w:div w:id="1638757521">
      <w:bodyDiv w:val="1"/>
      <w:marLeft w:val="0"/>
      <w:marRight w:val="0"/>
      <w:marTop w:val="0"/>
      <w:marBottom w:val="0"/>
      <w:divBdr>
        <w:top w:val="none" w:sz="0" w:space="0" w:color="auto"/>
        <w:left w:val="none" w:sz="0" w:space="0" w:color="auto"/>
        <w:bottom w:val="none" w:sz="0" w:space="0" w:color="auto"/>
        <w:right w:val="none" w:sz="0" w:space="0" w:color="auto"/>
      </w:divBdr>
    </w:div>
    <w:div w:id="1638800204">
      <w:bodyDiv w:val="1"/>
      <w:marLeft w:val="0"/>
      <w:marRight w:val="0"/>
      <w:marTop w:val="0"/>
      <w:marBottom w:val="0"/>
      <w:divBdr>
        <w:top w:val="none" w:sz="0" w:space="0" w:color="auto"/>
        <w:left w:val="none" w:sz="0" w:space="0" w:color="auto"/>
        <w:bottom w:val="none" w:sz="0" w:space="0" w:color="auto"/>
        <w:right w:val="none" w:sz="0" w:space="0" w:color="auto"/>
      </w:divBdr>
    </w:div>
    <w:div w:id="1638992181">
      <w:bodyDiv w:val="1"/>
      <w:marLeft w:val="0"/>
      <w:marRight w:val="0"/>
      <w:marTop w:val="0"/>
      <w:marBottom w:val="0"/>
      <w:divBdr>
        <w:top w:val="none" w:sz="0" w:space="0" w:color="auto"/>
        <w:left w:val="none" w:sz="0" w:space="0" w:color="auto"/>
        <w:bottom w:val="none" w:sz="0" w:space="0" w:color="auto"/>
        <w:right w:val="none" w:sz="0" w:space="0" w:color="auto"/>
      </w:divBdr>
    </w:div>
    <w:div w:id="1639069475">
      <w:bodyDiv w:val="1"/>
      <w:marLeft w:val="0"/>
      <w:marRight w:val="0"/>
      <w:marTop w:val="0"/>
      <w:marBottom w:val="0"/>
      <w:divBdr>
        <w:top w:val="none" w:sz="0" w:space="0" w:color="auto"/>
        <w:left w:val="none" w:sz="0" w:space="0" w:color="auto"/>
        <w:bottom w:val="none" w:sz="0" w:space="0" w:color="auto"/>
        <w:right w:val="none" w:sz="0" w:space="0" w:color="auto"/>
      </w:divBdr>
    </w:div>
    <w:div w:id="1639189446">
      <w:bodyDiv w:val="1"/>
      <w:marLeft w:val="0"/>
      <w:marRight w:val="0"/>
      <w:marTop w:val="0"/>
      <w:marBottom w:val="0"/>
      <w:divBdr>
        <w:top w:val="none" w:sz="0" w:space="0" w:color="auto"/>
        <w:left w:val="none" w:sz="0" w:space="0" w:color="auto"/>
        <w:bottom w:val="none" w:sz="0" w:space="0" w:color="auto"/>
        <w:right w:val="none" w:sz="0" w:space="0" w:color="auto"/>
      </w:divBdr>
    </w:div>
    <w:div w:id="1639191441">
      <w:bodyDiv w:val="1"/>
      <w:marLeft w:val="0"/>
      <w:marRight w:val="0"/>
      <w:marTop w:val="0"/>
      <w:marBottom w:val="0"/>
      <w:divBdr>
        <w:top w:val="none" w:sz="0" w:space="0" w:color="auto"/>
        <w:left w:val="none" w:sz="0" w:space="0" w:color="auto"/>
        <w:bottom w:val="none" w:sz="0" w:space="0" w:color="auto"/>
        <w:right w:val="none" w:sz="0" w:space="0" w:color="auto"/>
      </w:divBdr>
    </w:div>
    <w:div w:id="1639383963">
      <w:bodyDiv w:val="1"/>
      <w:marLeft w:val="0"/>
      <w:marRight w:val="0"/>
      <w:marTop w:val="0"/>
      <w:marBottom w:val="0"/>
      <w:divBdr>
        <w:top w:val="none" w:sz="0" w:space="0" w:color="auto"/>
        <w:left w:val="none" w:sz="0" w:space="0" w:color="auto"/>
        <w:bottom w:val="none" w:sz="0" w:space="0" w:color="auto"/>
        <w:right w:val="none" w:sz="0" w:space="0" w:color="auto"/>
      </w:divBdr>
    </w:div>
    <w:div w:id="1639609613">
      <w:bodyDiv w:val="1"/>
      <w:marLeft w:val="0"/>
      <w:marRight w:val="0"/>
      <w:marTop w:val="0"/>
      <w:marBottom w:val="0"/>
      <w:divBdr>
        <w:top w:val="none" w:sz="0" w:space="0" w:color="auto"/>
        <w:left w:val="none" w:sz="0" w:space="0" w:color="auto"/>
        <w:bottom w:val="none" w:sz="0" w:space="0" w:color="auto"/>
        <w:right w:val="none" w:sz="0" w:space="0" w:color="auto"/>
      </w:divBdr>
    </w:div>
    <w:div w:id="1639610650">
      <w:bodyDiv w:val="1"/>
      <w:marLeft w:val="0"/>
      <w:marRight w:val="0"/>
      <w:marTop w:val="0"/>
      <w:marBottom w:val="0"/>
      <w:divBdr>
        <w:top w:val="none" w:sz="0" w:space="0" w:color="auto"/>
        <w:left w:val="none" w:sz="0" w:space="0" w:color="auto"/>
        <w:bottom w:val="none" w:sz="0" w:space="0" w:color="auto"/>
        <w:right w:val="none" w:sz="0" w:space="0" w:color="auto"/>
      </w:divBdr>
    </w:div>
    <w:div w:id="1639720463">
      <w:bodyDiv w:val="1"/>
      <w:marLeft w:val="0"/>
      <w:marRight w:val="0"/>
      <w:marTop w:val="0"/>
      <w:marBottom w:val="0"/>
      <w:divBdr>
        <w:top w:val="none" w:sz="0" w:space="0" w:color="auto"/>
        <w:left w:val="none" w:sz="0" w:space="0" w:color="auto"/>
        <w:bottom w:val="none" w:sz="0" w:space="0" w:color="auto"/>
        <w:right w:val="none" w:sz="0" w:space="0" w:color="auto"/>
      </w:divBdr>
    </w:div>
    <w:div w:id="1639797346">
      <w:bodyDiv w:val="1"/>
      <w:marLeft w:val="0"/>
      <w:marRight w:val="0"/>
      <w:marTop w:val="0"/>
      <w:marBottom w:val="0"/>
      <w:divBdr>
        <w:top w:val="none" w:sz="0" w:space="0" w:color="auto"/>
        <w:left w:val="none" w:sz="0" w:space="0" w:color="auto"/>
        <w:bottom w:val="none" w:sz="0" w:space="0" w:color="auto"/>
        <w:right w:val="none" w:sz="0" w:space="0" w:color="auto"/>
      </w:divBdr>
    </w:div>
    <w:div w:id="1639802009">
      <w:bodyDiv w:val="1"/>
      <w:marLeft w:val="0"/>
      <w:marRight w:val="0"/>
      <w:marTop w:val="0"/>
      <w:marBottom w:val="0"/>
      <w:divBdr>
        <w:top w:val="none" w:sz="0" w:space="0" w:color="auto"/>
        <w:left w:val="none" w:sz="0" w:space="0" w:color="auto"/>
        <w:bottom w:val="none" w:sz="0" w:space="0" w:color="auto"/>
        <w:right w:val="none" w:sz="0" w:space="0" w:color="auto"/>
      </w:divBdr>
    </w:div>
    <w:div w:id="1639846914">
      <w:bodyDiv w:val="1"/>
      <w:marLeft w:val="0"/>
      <w:marRight w:val="0"/>
      <w:marTop w:val="0"/>
      <w:marBottom w:val="0"/>
      <w:divBdr>
        <w:top w:val="none" w:sz="0" w:space="0" w:color="auto"/>
        <w:left w:val="none" w:sz="0" w:space="0" w:color="auto"/>
        <w:bottom w:val="none" w:sz="0" w:space="0" w:color="auto"/>
        <w:right w:val="none" w:sz="0" w:space="0" w:color="auto"/>
      </w:divBdr>
    </w:div>
    <w:div w:id="1639917465">
      <w:bodyDiv w:val="1"/>
      <w:marLeft w:val="0"/>
      <w:marRight w:val="0"/>
      <w:marTop w:val="0"/>
      <w:marBottom w:val="0"/>
      <w:divBdr>
        <w:top w:val="none" w:sz="0" w:space="0" w:color="auto"/>
        <w:left w:val="none" w:sz="0" w:space="0" w:color="auto"/>
        <w:bottom w:val="none" w:sz="0" w:space="0" w:color="auto"/>
        <w:right w:val="none" w:sz="0" w:space="0" w:color="auto"/>
      </w:divBdr>
    </w:div>
    <w:div w:id="1639919356">
      <w:bodyDiv w:val="1"/>
      <w:marLeft w:val="0"/>
      <w:marRight w:val="0"/>
      <w:marTop w:val="0"/>
      <w:marBottom w:val="0"/>
      <w:divBdr>
        <w:top w:val="none" w:sz="0" w:space="0" w:color="auto"/>
        <w:left w:val="none" w:sz="0" w:space="0" w:color="auto"/>
        <w:bottom w:val="none" w:sz="0" w:space="0" w:color="auto"/>
        <w:right w:val="none" w:sz="0" w:space="0" w:color="auto"/>
      </w:divBdr>
    </w:div>
    <w:div w:id="1639988551">
      <w:bodyDiv w:val="1"/>
      <w:marLeft w:val="0"/>
      <w:marRight w:val="0"/>
      <w:marTop w:val="0"/>
      <w:marBottom w:val="0"/>
      <w:divBdr>
        <w:top w:val="none" w:sz="0" w:space="0" w:color="auto"/>
        <w:left w:val="none" w:sz="0" w:space="0" w:color="auto"/>
        <w:bottom w:val="none" w:sz="0" w:space="0" w:color="auto"/>
        <w:right w:val="none" w:sz="0" w:space="0" w:color="auto"/>
      </w:divBdr>
    </w:div>
    <w:div w:id="1639992707">
      <w:bodyDiv w:val="1"/>
      <w:marLeft w:val="0"/>
      <w:marRight w:val="0"/>
      <w:marTop w:val="0"/>
      <w:marBottom w:val="0"/>
      <w:divBdr>
        <w:top w:val="none" w:sz="0" w:space="0" w:color="auto"/>
        <w:left w:val="none" w:sz="0" w:space="0" w:color="auto"/>
        <w:bottom w:val="none" w:sz="0" w:space="0" w:color="auto"/>
        <w:right w:val="none" w:sz="0" w:space="0" w:color="auto"/>
      </w:divBdr>
    </w:div>
    <w:div w:id="1639997542">
      <w:bodyDiv w:val="1"/>
      <w:marLeft w:val="0"/>
      <w:marRight w:val="0"/>
      <w:marTop w:val="0"/>
      <w:marBottom w:val="0"/>
      <w:divBdr>
        <w:top w:val="none" w:sz="0" w:space="0" w:color="auto"/>
        <w:left w:val="none" w:sz="0" w:space="0" w:color="auto"/>
        <w:bottom w:val="none" w:sz="0" w:space="0" w:color="auto"/>
        <w:right w:val="none" w:sz="0" w:space="0" w:color="auto"/>
      </w:divBdr>
    </w:div>
    <w:div w:id="1640107238">
      <w:bodyDiv w:val="1"/>
      <w:marLeft w:val="0"/>
      <w:marRight w:val="0"/>
      <w:marTop w:val="0"/>
      <w:marBottom w:val="0"/>
      <w:divBdr>
        <w:top w:val="none" w:sz="0" w:space="0" w:color="auto"/>
        <w:left w:val="none" w:sz="0" w:space="0" w:color="auto"/>
        <w:bottom w:val="none" w:sz="0" w:space="0" w:color="auto"/>
        <w:right w:val="none" w:sz="0" w:space="0" w:color="auto"/>
      </w:divBdr>
    </w:div>
    <w:div w:id="1640112359">
      <w:bodyDiv w:val="1"/>
      <w:marLeft w:val="0"/>
      <w:marRight w:val="0"/>
      <w:marTop w:val="0"/>
      <w:marBottom w:val="0"/>
      <w:divBdr>
        <w:top w:val="none" w:sz="0" w:space="0" w:color="auto"/>
        <w:left w:val="none" w:sz="0" w:space="0" w:color="auto"/>
        <w:bottom w:val="none" w:sz="0" w:space="0" w:color="auto"/>
        <w:right w:val="none" w:sz="0" w:space="0" w:color="auto"/>
      </w:divBdr>
    </w:div>
    <w:div w:id="1640113407">
      <w:bodyDiv w:val="1"/>
      <w:marLeft w:val="0"/>
      <w:marRight w:val="0"/>
      <w:marTop w:val="0"/>
      <w:marBottom w:val="0"/>
      <w:divBdr>
        <w:top w:val="none" w:sz="0" w:space="0" w:color="auto"/>
        <w:left w:val="none" w:sz="0" w:space="0" w:color="auto"/>
        <w:bottom w:val="none" w:sz="0" w:space="0" w:color="auto"/>
        <w:right w:val="none" w:sz="0" w:space="0" w:color="auto"/>
      </w:divBdr>
    </w:div>
    <w:div w:id="1640182885">
      <w:bodyDiv w:val="1"/>
      <w:marLeft w:val="0"/>
      <w:marRight w:val="0"/>
      <w:marTop w:val="0"/>
      <w:marBottom w:val="0"/>
      <w:divBdr>
        <w:top w:val="none" w:sz="0" w:space="0" w:color="auto"/>
        <w:left w:val="none" w:sz="0" w:space="0" w:color="auto"/>
        <w:bottom w:val="none" w:sz="0" w:space="0" w:color="auto"/>
        <w:right w:val="none" w:sz="0" w:space="0" w:color="auto"/>
      </w:divBdr>
    </w:div>
    <w:div w:id="1640263534">
      <w:bodyDiv w:val="1"/>
      <w:marLeft w:val="0"/>
      <w:marRight w:val="0"/>
      <w:marTop w:val="0"/>
      <w:marBottom w:val="0"/>
      <w:divBdr>
        <w:top w:val="none" w:sz="0" w:space="0" w:color="auto"/>
        <w:left w:val="none" w:sz="0" w:space="0" w:color="auto"/>
        <w:bottom w:val="none" w:sz="0" w:space="0" w:color="auto"/>
        <w:right w:val="none" w:sz="0" w:space="0" w:color="auto"/>
      </w:divBdr>
    </w:div>
    <w:div w:id="1640302907">
      <w:bodyDiv w:val="1"/>
      <w:marLeft w:val="0"/>
      <w:marRight w:val="0"/>
      <w:marTop w:val="0"/>
      <w:marBottom w:val="0"/>
      <w:divBdr>
        <w:top w:val="none" w:sz="0" w:space="0" w:color="auto"/>
        <w:left w:val="none" w:sz="0" w:space="0" w:color="auto"/>
        <w:bottom w:val="none" w:sz="0" w:space="0" w:color="auto"/>
        <w:right w:val="none" w:sz="0" w:space="0" w:color="auto"/>
      </w:divBdr>
    </w:div>
    <w:div w:id="1640303213">
      <w:bodyDiv w:val="1"/>
      <w:marLeft w:val="0"/>
      <w:marRight w:val="0"/>
      <w:marTop w:val="0"/>
      <w:marBottom w:val="0"/>
      <w:divBdr>
        <w:top w:val="none" w:sz="0" w:space="0" w:color="auto"/>
        <w:left w:val="none" w:sz="0" w:space="0" w:color="auto"/>
        <w:bottom w:val="none" w:sz="0" w:space="0" w:color="auto"/>
        <w:right w:val="none" w:sz="0" w:space="0" w:color="auto"/>
      </w:divBdr>
    </w:div>
    <w:div w:id="1640374996">
      <w:bodyDiv w:val="1"/>
      <w:marLeft w:val="0"/>
      <w:marRight w:val="0"/>
      <w:marTop w:val="0"/>
      <w:marBottom w:val="0"/>
      <w:divBdr>
        <w:top w:val="none" w:sz="0" w:space="0" w:color="auto"/>
        <w:left w:val="none" w:sz="0" w:space="0" w:color="auto"/>
        <w:bottom w:val="none" w:sz="0" w:space="0" w:color="auto"/>
        <w:right w:val="none" w:sz="0" w:space="0" w:color="auto"/>
      </w:divBdr>
    </w:div>
    <w:div w:id="1640375584">
      <w:bodyDiv w:val="1"/>
      <w:marLeft w:val="0"/>
      <w:marRight w:val="0"/>
      <w:marTop w:val="0"/>
      <w:marBottom w:val="0"/>
      <w:divBdr>
        <w:top w:val="none" w:sz="0" w:space="0" w:color="auto"/>
        <w:left w:val="none" w:sz="0" w:space="0" w:color="auto"/>
        <w:bottom w:val="none" w:sz="0" w:space="0" w:color="auto"/>
        <w:right w:val="none" w:sz="0" w:space="0" w:color="auto"/>
      </w:divBdr>
    </w:div>
    <w:div w:id="1640379304">
      <w:bodyDiv w:val="1"/>
      <w:marLeft w:val="0"/>
      <w:marRight w:val="0"/>
      <w:marTop w:val="0"/>
      <w:marBottom w:val="0"/>
      <w:divBdr>
        <w:top w:val="none" w:sz="0" w:space="0" w:color="auto"/>
        <w:left w:val="none" w:sz="0" w:space="0" w:color="auto"/>
        <w:bottom w:val="none" w:sz="0" w:space="0" w:color="auto"/>
        <w:right w:val="none" w:sz="0" w:space="0" w:color="auto"/>
      </w:divBdr>
    </w:div>
    <w:div w:id="1640450655">
      <w:bodyDiv w:val="1"/>
      <w:marLeft w:val="0"/>
      <w:marRight w:val="0"/>
      <w:marTop w:val="0"/>
      <w:marBottom w:val="0"/>
      <w:divBdr>
        <w:top w:val="none" w:sz="0" w:space="0" w:color="auto"/>
        <w:left w:val="none" w:sz="0" w:space="0" w:color="auto"/>
        <w:bottom w:val="none" w:sz="0" w:space="0" w:color="auto"/>
        <w:right w:val="none" w:sz="0" w:space="0" w:color="auto"/>
      </w:divBdr>
    </w:div>
    <w:div w:id="1640453869">
      <w:bodyDiv w:val="1"/>
      <w:marLeft w:val="0"/>
      <w:marRight w:val="0"/>
      <w:marTop w:val="0"/>
      <w:marBottom w:val="0"/>
      <w:divBdr>
        <w:top w:val="none" w:sz="0" w:space="0" w:color="auto"/>
        <w:left w:val="none" w:sz="0" w:space="0" w:color="auto"/>
        <w:bottom w:val="none" w:sz="0" w:space="0" w:color="auto"/>
        <w:right w:val="none" w:sz="0" w:space="0" w:color="auto"/>
      </w:divBdr>
    </w:div>
    <w:div w:id="1640498014">
      <w:bodyDiv w:val="1"/>
      <w:marLeft w:val="0"/>
      <w:marRight w:val="0"/>
      <w:marTop w:val="0"/>
      <w:marBottom w:val="0"/>
      <w:divBdr>
        <w:top w:val="none" w:sz="0" w:space="0" w:color="auto"/>
        <w:left w:val="none" w:sz="0" w:space="0" w:color="auto"/>
        <w:bottom w:val="none" w:sz="0" w:space="0" w:color="auto"/>
        <w:right w:val="none" w:sz="0" w:space="0" w:color="auto"/>
      </w:divBdr>
    </w:div>
    <w:div w:id="1640573851">
      <w:bodyDiv w:val="1"/>
      <w:marLeft w:val="0"/>
      <w:marRight w:val="0"/>
      <w:marTop w:val="0"/>
      <w:marBottom w:val="0"/>
      <w:divBdr>
        <w:top w:val="none" w:sz="0" w:space="0" w:color="auto"/>
        <w:left w:val="none" w:sz="0" w:space="0" w:color="auto"/>
        <w:bottom w:val="none" w:sz="0" w:space="0" w:color="auto"/>
        <w:right w:val="none" w:sz="0" w:space="0" w:color="auto"/>
      </w:divBdr>
    </w:div>
    <w:div w:id="1640647877">
      <w:bodyDiv w:val="1"/>
      <w:marLeft w:val="0"/>
      <w:marRight w:val="0"/>
      <w:marTop w:val="0"/>
      <w:marBottom w:val="0"/>
      <w:divBdr>
        <w:top w:val="none" w:sz="0" w:space="0" w:color="auto"/>
        <w:left w:val="none" w:sz="0" w:space="0" w:color="auto"/>
        <w:bottom w:val="none" w:sz="0" w:space="0" w:color="auto"/>
        <w:right w:val="none" w:sz="0" w:space="0" w:color="auto"/>
      </w:divBdr>
    </w:div>
    <w:div w:id="1640843193">
      <w:bodyDiv w:val="1"/>
      <w:marLeft w:val="0"/>
      <w:marRight w:val="0"/>
      <w:marTop w:val="0"/>
      <w:marBottom w:val="0"/>
      <w:divBdr>
        <w:top w:val="none" w:sz="0" w:space="0" w:color="auto"/>
        <w:left w:val="none" w:sz="0" w:space="0" w:color="auto"/>
        <w:bottom w:val="none" w:sz="0" w:space="0" w:color="auto"/>
        <w:right w:val="none" w:sz="0" w:space="0" w:color="auto"/>
      </w:divBdr>
    </w:div>
    <w:div w:id="1640959228">
      <w:bodyDiv w:val="1"/>
      <w:marLeft w:val="0"/>
      <w:marRight w:val="0"/>
      <w:marTop w:val="0"/>
      <w:marBottom w:val="0"/>
      <w:divBdr>
        <w:top w:val="none" w:sz="0" w:space="0" w:color="auto"/>
        <w:left w:val="none" w:sz="0" w:space="0" w:color="auto"/>
        <w:bottom w:val="none" w:sz="0" w:space="0" w:color="auto"/>
        <w:right w:val="none" w:sz="0" w:space="0" w:color="auto"/>
      </w:divBdr>
    </w:div>
    <w:div w:id="1641300798">
      <w:bodyDiv w:val="1"/>
      <w:marLeft w:val="0"/>
      <w:marRight w:val="0"/>
      <w:marTop w:val="0"/>
      <w:marBottom w:val="0"/>
      <w:divBdr>
        <w:top w:val="none" w:sz="0" w:space="0" w:color="auto"/>
        <w:left w:val="none" w:sz="0" w:space="0" w:color="auto"/>
        <w:bottom w:val="none" w:sz="0" w:space="0" w:color="auto"/>
        <w:right w:val="none" w:sz="0" w:space="0" w:color="auto"/>
      </w:divBdr>
    </w:div>
    <w:div w:id="1641378202">
      <w:bodyDiv w:val="1"/>
      <w:marLeft w:val="0"/>
      <w:marRight w:val="0"/>
      <w:marTop w:val="0"/>
      <w:marBottom w:val="0"/>
      <w:divBdr>
        <w:top w:val="none" w:sz="0" w:space="0" w:color="auto"/>
        <w:left w:val="none" w:sz="0" w:space="0" w:color="auto"/>
        <w:bottom w:val="none" w:sz="0" w:space="0" w:color="auto"/>
        <w:right w:val="none" w:sz="0" w:space="0" w:color="auto"/>
      </w:divBdr>
    </w:div>
    <w:div w:id="1641495401">
      <w:bodyDiv w:val="1"/>
      <w:marLeft w:val="0"/>
      <w:marRight w:val="0"/>
      <w:marTop w:val="0"/>
      <w:marBottom w:val="0"/>
      <w:divBdr>
        <w:top w:val="none" w:sz="0" w:space="0" w:color="auto"/>
        <w:left w:val="none" w:sz="0" w:space="0" w:color="auto"/>
        <w:bottom w:val="none" w:sz="0" w:space="0" w:color="auto"/>
        <w:right w:val="none" w:sz="0" w:space="0" w:color="auto"/>
      </w:divBdr>
    </w:div>
    <w:div w:id="1641570231">
      <w:bodyDiv w:val="1"/>
      <w:marLeft w:val="0"/>
      <w:marRight w:val="0"/>
      <w:marTop w:val="0"/>
      <w:marBottom w:val="0"/>
      <w:divBdr>
        <w:top w:val="none" w:sz="0" w:space="0" w:color="auto"/>
        <w:left w:val="none" w:sz="0" w:space="0" w:color="auto"/>
        <w:bottom w:val="none" w:sz="0" w:space="0" w:color="auto"/>
        <w:right w:val="none" w:sz="0" w:space="0" w:color="auto"/>
      </w:divBdr>
    </w:div>
    <w:div w:id="1641689248">
      <w:bodyDiv w:val="1"/>
      <w:marLeft w:val="0"/>
      <w:marRight w:val="0"/>
      <w:marTop w:val="0"/>
      <w:marBottom w:val="0"/>
      <w:divBdr>
        <w:top w:val="none" w:sz="0" w:space="0" w:color="auto"/>
        <w:left w:val="none" w:sz="0" w:space="0" w:color="auto"/>
        <w:bottom w:val="none" w:sz="0" w:space="0" w:color="auto"/>
        <w:right w:val="none" w:sz="0" w:space="0" w:color="auto"/>
      </w:divBdr>
    </w:div>
    <w:div w:id="1641690130">
      <w:bodyDiv w:val="1"/>
      <w:marLeft w:val="0"/>
      <w:marRight w:val="0"/>
      <w:marTop w:val="0"/>
      <w:marBottom w:val="0"/>
      <w:divBdr>
        <w:top w:val="none" w:sz="0" w:space="0" w:color="auto"/>
        <w:left w:val="none" w:sz="0" w:space="0" w:color="auto"/>
        <w:bottom w:val="none" w:sz="0" w:space="0" w:color="auto"/>
        <w:right w:val="none" w:sz="0" w:space="0" w:color="auto"/>
      </w:divBdr>
    </w:div>
    <w:div w:id="1641762581">
      <w:bodyDiv w:val="1"/>
      <w:marLeft w:val="0"/>
      <w:marRight w:val="0"/>
      <w:marTop w:val="0"/>
      <w:marBottom w:val="0"/>
      <w:divBdr>
        <w:top w:val="none" w:sz="0" w:space="0" w:color="auto"/>
        <w:left w:val="none" w:sz="0" w:space="0" w:color="auto"/>
        <w:bottom w:val="none" w:sz="0" w:space="0" w:color="auto"/>
        <w:right w:val="none" w:sz="0" w:space="0" w:color="auto"/>
      </w:divBdr>
    </w:div>
    <w:div w:id="1641766881">
      <w:bodyDiv w:val="1"/>
      <w:marLeft w:val="0"/>
      <w:marRight w:val="0"/>
      <w:marTop w:val="0"/>
      <w:marBottom w:val="0"/>
      <w:divBdr>
        <w:top w:val="none" w:sz="0" w:space="0" w:color="auto"/>
        <w:left w:val="none" w:sz="0" w:space="0" w:color="auto"/>
        <w:bottom w:val="none" w:sz="0" w:space="0" w:color="auto"/>
        <w:right w:val="none" w:sz="0" w:space="0" w:color="auto"/>
      </w:divBdr>
    </w:div>
    <w:div w:id="1641884144">
      <w:bodyDiv w:val="1"/>
      <w:marLeft w:val="0"/>
      <w:marRight w:val="0"/>
      <w:marTop w:val="0"/>
      <w:marBottom w:val="0"/>
      <w:divBdr>
        <w:top w:val="none" w:sz="0" w:space="0" w:color="auto"/>
        <w:left w:val="none" w:sz="0" w:space="0" w:color="auto"/>
        <w:bottom w:val="none" w:sz="0" w:space="0" w:color="auto"/>
        <w:right w:val="none" w:sz="0" w:space="0" w:color="auto"/>
      </w:divBdr>
    </w:div>
    <w:div w:id="1641957015">
      <w:bodyDiv w:val="1"/>
      <w:marLeft w:val="0"/>
      <w:marRight w:val="0"/>
      <w:marTop w:val="0"/>
      <w:marBottom w:val="0"/>
      <w:divBdr>
        <w:top w:val="none" w:sz="0" w:space="0" w:color="auto"/>
        <w:left w:val="none" w:sz="0" w:space="0" w:color="auto"/>
        <w:bottom w:val="none" w:sz="0" w:space="0" w:color="auto"/>
        <w:right w:val="none" w:sz="0" w:space="0" w:color="auto"/>
      </w:divBdr>
    </w:div>
    <w:div w:id="1642347553">
      <w:bodyDiv w:val="1"/>
      <w:marLeft w:val="0"/>
      <w:marRight w:val="0"/>
      <w:marTop w:val="0"/>
      <w:marBottom w:val="0"/>
      <w:divBdr>
        <w:top w:val="none" w:sz="0" w:space="0" w:color="auto"/>
        <w:left w:val="none" w:sz="0" w:space="0" w:color="auto"/>
        <w:bottom w:val="none" w:sz="0" w:space="0" w:color="auto"/>
        <w:right w:val="none" w:sz="0" w:space="0" w:color="auto"/>
      </w:divBdr>
    </w:div>
    <w:div w:id="1642417703">
      <w:bodyDiv w:val="1"/>
      <w:marLeft w:val="0"/>
      <w:marRight w:val="0"/>
      <w:marTop w:val="0"/>
      <w:marBottom w:val="0"/>
      <w:divBdr>
        <w:top w:val="none" w:sz="0" w:space="0" w:color="auto"/>
        <w:left w:val="none" w:sz="0" w:space="0" w:color="auto"/>
        <w:bottom w:val="none" w:sz="0" w:space="0" w:color="auto"/>
        <w:right w:val="none" w:sz="0" w:space="0" w:color="auto"/>
      </w:divBdr>
    </w:div>
    <w:div w:id="1642423008">
      <w:bodyDiv w:val="1"/>
      <w:marLeft w:val="0"/>
      <w:marRight w:val="0"/>
      <w:marTop w:val="0"/>
      <w:marBottom w:val="0"/>
      <w:divBdr>
        <w:top w:val="none" w:sz="0" w:space="0" w:color="auto"/>
        <w:left w:val="none" w:sz="0" w:space="0" w:color="auto"/>
        <w:bottom w:val="none" w:sz="0" w:space="0" w:color="auto"/>
        <w:right w:val="none" w:sz="0" w:space="0" w:color="auto"/>
      </w:divBdr>
    </w:div>
    <w:div w:id="1642616081">
      <w:bodyDiv w:val="1"/>
      <w:marLeft w:val="0"/>
      <w:marRight w:val="0"/>
      <w:marTop w:val="0"/>
      <w:marBottom w:val="0"/>
      <w:divBdr>
        <w:top w:val="none" w:sz="0" w:space="0" w:color="auto"/>
        <w:left w:val="none" w:sz="0" w:space="0" w:color="auto"/>
        <w:bottom w:val="none" w:sz="0" w:space="0" w:color="auto"/>
        <w:right w:val="none" w:sz="0" w:space="0" w:color="auto"/>
      </w:divBdr>
    </w:div>
    <w:div w:id="1642728267">
      <w:bodyDiv w:val="1"/>
      <w:marLeft w:val="0"/>
      <w:marRight w:val="0"/>
      <w:marTop w:val="0"/>
      <w:marBottom w:val="0"/>
      <w:divBdr>
        <w:top w:val="none" w:sz="0" w:space="0" w:color="auto"/>
        <w:left w:val="none" w:sz="0" w:space="0" w:color="auto"/>
        <w:bottom w:val="none" w:sz="0" w:space="0" w:color="auto"/>
        <w:right w:val="none" w:sz="0" w:space="0" w:color="auto"/>
      </w:divBdr>
    </w:div>
    <w:div w:id="1642879379">
      <w:bodyDiv w:val="1"/>
      <w:marLeft w:val="0"/>
      <w:marRight w:val="0"/>
      <w:marTop w:val="0"/>
      <w:marBottom w:val="0"/>
      <w:divBdr>
        <w:top w:val="none" w:sz="0" w:space="0" w:color="auto"/>
        <w:left w:val="none" w:sz="0" w:space="0" w:color="auto"/>
        <w:bottom w:val="none" w:sz="0" w:space="0" w:color="auto"/>
        <w:right w:val="none" w:sz="0" w:space="0" w:color="auto"/>
      </w:divBdr>
    </w:div>
    <w:div w:id="1642882235">
      <w:bodyDiv w:val="1"/>
      <w:marLeft w:val="0"/>
      <w:marRight w:val="0"/>
      <w:marTop w:val="0"/>
      <w:marBottom w:val="0"/>
      <w:divBdr>
        <w:top w:val="none" w:sz="0" w:space="0" w:color="auto"/>
        <w:left w:val="none" w:sz="0" w:space="0" w:color="auto"/>
        <w:bottom w:val="none" w:sz="0" w:space="0" w:color="auto"/>
        <w:right w:val="none" w:sz="0" w:space="0" w:color="auto"/>
      </w:divBdr>
    </w:div>
    <w:div w:id="1642883048">
      <w:bodyDiv w:val="1"/>
      <w:marLeft w:val="0"/>
      <w:marRight w:val="0"/>
      <w:marTop w:val="0"/>
      <w:marBottom w:val="0"/>
      <w:divBdr>
        <w:top w:val="none" w:sz="0" w:space="0" w:color="auto"/>
        <w:left w:val="none" w:sz="0" w:space="0" w:color="auto"/>
        <w:bottom w:val="none" w:sz="0" w:space="0" w:color="auto"/>
        <w:right w:val="none" w:sz="0" w:space="0" w:color="auto"/>
      </w:divBdr>
    </w:div>
    <w:div w:id="1642925466">
      <w:bodyDiv w:val="1"/>
      <w:marLeft w:val="0"/>
      <w:marRight w:val="0"/>
      <w:marTop w:val="0"/>
      <w:marBottom w:val="0"/>
      <w:divBdr>
        <w:top w:val="none" w:sz="0" w:space="0" w:color="auto"/>
        <w:left w:val="none" w:sz="0" w:space="0" w:color="auto"/>
        <w:bottom w:val="none" w:sz="0" w:space="0" w:color="auto"/>
        <w:right w:val="none" w:sz="0" w:space="0" w:color="auto"/>
      </w:divBdr>
    </w:div>
    <w:div w:id="1642925832">
      <w:bodyDiv w:val="1"/>
      <w:marLeft w:val="0"/>
      <w:marRight w:val="0"/>
      <w:marTop w:val="0"/>
      <w:marBottom w:val="0"/>
      <w:divBdr>
        <w:top w:val="none" w:sz="0" w:space="0" w:color="auto"/>
        <w:left w:val="none" w:sz="0" w:space="0" w:color="auto"/>
        <w:bottom w:val="none" w:sz="0" w:space="0" w:color="auto"/>
        <w:right w:val="none" w:sz="0" w:space="0" w:color="auto"/>
      </w:divBdr>
    </w:div>
    <w:div w:id="1643002275">
      <w:bodyDiv w:val="1"/>
      <w:marLeft w:val="0"/>
      <w:marRight w:val="0"/>
      <w:marTop w:val="0"/>
      <w:marBottom w:val="0"/>
      <w:divBdr>
        <w:top w:val="none" w:sz="0" w:space="0" w:color="auto"/>
        <w:left w:val="none" w:sz="0" w:space="0" w:color="auto"/>
        <w:bottom w:val="none" w:sz="0" w:space="0" w:color="auto"/>
        <w:right w:val="none" w:sz="0" w:space="0" w:color="auto"/>
      </w:divBdr>
    </w:div>
    <w:div w:id="1643072570">
      <w:bodyDiv w:val="1"/>
      <w:marLeft w:val="0"/>
      <w:marRight w:val="0"/>
      <w:marTop w:val="0"/>
      <w:marBottom w:val="0"/>
      <w:divBdr>
        <w:top w:val="none" w:sz="0" w:space="0" w:color="auto"/>
        <w:left w:val="none" w:sz="0" w:space="0" w:color="auto"/>
        <w:bottom w:val="none" w:sz="0" w:space="0" w:color="auto"/>
        <w:right w:val="none" w:sz="0" w:space="0" w:color="auto"/>
      </w:divBdr>
    </w:div>
    <w:div w:id="1643072886">
      <w:bodyDiv w:val="1"/>
      <w:marLeft w:val="0"/>
      <w:marRight w:val="0"/>
      <w:marTop w:val="0"/>
      <w:marBottom w:val="0"/>
      <w:divBdr>
        <w:top w:val="none" w:sz="0" w:space="0" w:color="auto"/>
        <w:left w:val="none" w:sz="0" w:space="0" w:color="auto"/>
        <w:bottom w:val="none" w:sz="0" w:space="0" w:color="auto"/>
        <w:right w:val="none" w:sz="0" w:space="0" w:color="auto"/>
      </w:divBdr>
    </w:div>
    <w:div w:id="1643073504">
      <w:bodyDiv w:val="1"/>
      <w:marLeft w:val="0"/>
      <w:marRight w:val="0"/>
      <w:marTop w:val="0"/>
      <w:marBottom w:val="0"/>
      <w:divBdr>
        <w:top w:val="none" w:sz="0" w:space="0" w:color="auto"/>
        <w:left w:val="none" w:sz="0" w:space="0" w:color="auto"/>
        <w:bottom w:val="none" w:sz="0" w:space="0" w:color="auto"/>
        <w:right w:val="none" w:sz="0" w:space="0" w:color="auto"/>
      </w:divBdr>
    </w:div>
    <w:div w:id="1643147448">
      <w:bodyDiv w:val="1"/>
      <w:marLeft w:val="0"/>
      <w:marRight w:val="0"/>
      <w:marTop w:val="0"/>
      <w:marBottom w:val="0"/>
      <w:divBdr>
        <w:top w:val="none" w:sz="0" w:space="0" w:color="auto"/>
        <w:left w:val="none" w:sz="0" w:space="0" w:color="auto"/>
        <w:bottom w:val="none" w:sz="0" w:space="0" w:color="auto"/>
        <w:right w:val="none" w:sz="0" w:space="0" w:color="auto"/>
      </w:divBdr>
    </w:div>
    <w:div w:id="1643151352">
      <w:bodyDiv w:val="1"/>
      <w:marLeft w:val="0"/>
      <w:marRight w:val="0"/>
      <w:marTop w:val="0"/>
      <w:marBottom w:val="0"/>
      <w:divBdr>
        <w:top w:val="none" w:sz="0" w:space="0" w:color="auto"/>
        <w:left w:val="none" w:sz="0" w:space="0" w:color="auto"/>
        <w:bottom w:val="none" w:sz="0" w:space="0" w:color="auto"/>
        <w:right w:val="none" w:sz="0" w:space="0" w:color="auto"/>
      </w:divBdr>
    </w:div>
    <w:div w:id="1643315364">
      <w:bodyDiv w:val="1"/>
      <w:marLeft w:val="0"/>
      <w:marRight w:val="0"/>
      <w:marTop w:val="0"/>
      <w:marBottom w:val="0"/>
      <w:divBdr>
        <w:top w:val="none" w:sz="0" w:space="0" w:color="auto"/>
        <w:left w:val="none" w:sz="0" w:space="0" w:color="auto"/>
        <w:bottom w:val="none" w:sz="0" w:space="0" w:color="auto"/>
        <w:right w:val="none" w:sz="0" w:space="0" w:color="auto"/>
      </w:divBdr>
    </w:div>
    <w:div w:id="1643651428">
      <w:bodyDiv w:val="1"/>
      <w:marLeft w:val="0"/>
      <w:marRight w:val="0"/>
      <w:marTop w:val="0"/>
      <w:marBottom w:val="0"/>
      <w:divBdr>
        <w:top w:val="none" w:sz="0" w:space="0" w:color="auto"/>
        <w:left w:val="none" w:sz="0" w:space="0" w:color="auto"/>
        <w:bottom w:val="none" w:sz="0" w:space="0" w:color="auto"/>
        <w:right w:val="none" w:sz="0" w:space="0" w:color="auto"/>
      </w:divBdr>
    </w:div>
    <w:div w:id="1643728824">
      <w:bodyDiv w:val="1"/>
      <w:marLeft w:val="0"/>
      <w:marRight w:val="0"/>
      <w:marTop w:val="0"/>
      <w:marBottom w:val="0"/>
      <w:divBdr>
        <w:top w:val="none" w:sz="0" w:space="0" w:color="auto"/>
        <w:left w:val="none" w:sz="0" w:space="0" w:color="auto"/>
        <w:bottom w:val="none" w:sz="0" w:space="0" w:color="auto"/>
        <w:right w:val="none" w:sz="0" w:space="0" w:color="auto"/>
      </w:divBdr>
    </w:div>
    <w:div w:id="1643847946">
      <w:bodyDiv w:val="1"/>
      <w:marLeft w:val="0"/>
      <w:marRight w:val="0"/>
      <w:marTop w:val="0"/>
      <w:marBottom w:val="0"/>
      <w:divBdr>
        <w:top w:val="none" w:sz="0" w:space="0" w:color="auto"/>
        <w:left w:val="none" w:sz="0" w:space="0" w:color="auto"/>
        <w:bottom w:val="none" w:sz="0" w:space="0" w:color="auto"/>
        <w:right w:val="none" w:sz="0" w:space="0" w:color="auto"/>
      </w:divBdr>
    </w:div>
    <w:div w:id="1643849747">
      <w:bodyDiv w:val="1"/>
      <w:marLeft w:val="0"/>
      <w:marRight w:val="0"/>
      <w:marTop w:val="0"/>
      <w:marBottom w:val="0"/>
      <w:divBdr>
        <w:top w:val="none" w:sz="0" w:space="0" w:color="auto"/>
        <w:left w:val="none" w:sz="0" w:space="0" w:color="auto"/>
        <w:bottom w:val="none" w:sz="0" w:space="0" w:color="auto"/>
        <w:right w:val="none" w:sz="0" w:space="0" w:color="auto"/>
      </w:divBdr>
    </w:div>
    <w:div w:id="1643851759">
      <w:bodyDiv w:val="1"/>
      <w:marLeft w:val="0"/>
      <w:marRight w:val="0"/>
      <w:marTop w:val="0"/>
      <w:marBottom w:val="0"/>
      <w:divBdr>
        <w:top w:val="none" w:sz="0" w:space="0" w:color="auto"/>
        <w:left w:val="none" w:sz="0" w:space="0" w:color="auto"/>
        <w:bottom w:val="none" w:sz="0" w:space="0" w:color="auto"/>
        <w:right w:val="none" w:sz="0" w:space="0" w:color="auto"/>
      </w:divBdr>
    </w:div>
    <w:div w:id="1643852454">
      <w:bodyDiv w:val="1"/>
      <w:marLeft w:val="0"/>
      <w:marRight w:val="0"/>
      <w:marTop w:val="0"/>
      <w:marBottom w:val="0"/>
      <w:divBdr>
        <w:top w:val="none" w:sz="0" w:space="0" w:color="auto"/>
        <w:left w:val="none" w:sz="0" w:space="0" w:color="auto"/>
        <w:bottom w:val="none" w:sz="0" w:space="0" w:color="auto"/>
        <w:right w:val="none" w:sz="0" w:space="0" w:color="auto"/>
      </w:divBdr>
    </w:div>
    <w:div w:id="1643997504">
      <w:bodyDiv w:val="1"/>
      <w:marLeft w:val="0"/>
      <w:marRight w:val="0"/>
      <w:marTop w:val="0"/>
      <w:marBottom w:val="0"/>
      <w:divBdr>
        <w:top w:val="none" w:sz="0" w:space="0" w:color="auto"/>
        <w:left w:val="none" w:sz="0" w:space="0" w:color="auto"/>
        <w:bottom w:val="none" w:sz="0" w:space="0" w:color="auto"/>
        <w:right w:val="none" w:sz="0" w:space="0" w:color="auto"/>
      </w:divBdr>
    </w:div>
    <w:div w:id="1644039108">
      <w:bodyDiv w:val="1"/>
      <w:marLeft w:val="0"/>
      <w:marRight w:val="0"/>
      <w:marTop w:val="0"/>
      <w:marBottom w:val="0"/>
      <w:divBdr>
        <w:top w:val="none" w:sz="0" w:space="0" w:color="auto"/>
        <w:left w:val="none" w:sz="0" w:space="0" w:color="auto"/>
        <w:bottom w:val="none" w:sz="0" w:space="0" w:color="auto"/>
        <w:right w:val="none" w:sz="0" w:space="0" w:color="auto"/>
      </w:divBdr>
    </w:div>
    <w:div w:id="1644043486">
      <w:bodyDiv w:val="1"/>
      <w:marLeft w:val="0"/>
      <w:marRight w:val="0"/>
      <w:marTop w:val="0"/>
      <w:marBottom w:val="0"/>
      <w:divBdr>
        <w:top w:val="none" w:sz="0" w:space="0" w:color="auto"/>
        <w:left w:val="none" w:sz="0" w:space="0" w:color="auto"/>
        <w:bottom w:val="none" w:sz="0" w:space="0" w:color="auto"/>
        <w:right w:val="none" w:sz="0" w:space="0" w:color="auto"/>
      </w:divBdr>
    </w:div>
    <w:div w:id="1644120979">
      <w:bodyDiv w:val="1"/>
      <w:marLeft w:val="0"/>
      <w:marRight w:val="0"/>
      <w:marTop w:val="0"/>
      <w:marBottom w:val="0"/>
      <w:divBdr>
        <w:top w:val="none" w:sz="0" w:space="0" w:color="auto"/>
        <w:left w:val="none" w:sz="0" w:space="0" w:color="auto"/>
        <w:bottom w:val="none" w:sz="0" w:space="0" w:color="auto"/>
        <w:right w:val="none" w:sz="0" w:space="0" w:color="auto"/>
      </w:divBdr>
    </w:div>
    <w:div w:id="1644189569">
      <w:bodyDiv w:val="1"/>
      <w:marLeft w:val="0"/>
      <w:marRight w:val="0"/>
      <w:marTop w:val="0"/>
      <w:marBottom w:val="0"/>
      <w:divBdr>
        <w:top w:val="none" w:sz="0" w:space="0" w:color="auto"/>
        <w:left w:val="none" w:sz="0" w:space="0" w:color="auto"/>
        <w:bottom w:val="none" w:sz="0" w:space="0" w:color="auto"/>
        <w:right w:val="none" w:sz="0" w:space="0" w:color="auto"/>
      </w:divBdr>
    </w:div>
    <w:div w:id="1644236752">
      <w:bodyDiv w:val="1"/>
      <w:marLeft w:val="0"/>
      <w:marRight w:val="0"/>
      <w:marTop w:val="0"/>
      <w:marBottom w:val="0"/>
      <w:divBdr>
        <w:top w:val="none" w:sz="0" w:space="0" w:color="auto"/>
        <w:left w:val="none" w:sz="0" w:space="0" w:color="auto"/>
        <w:bottom w:val="none" w:sz="0" w:space="0" w:color="auto"/>
        <w:right w:val="none" w:sz="0" w:space="0" w:color="auto"/>
      </w:divBdr>
    </w:div>
    <w:div w:id="1644311786">
      <w:bodyDiv w:val="1"/>
      <w:marLeft w:val="0"/>
      <w:marRight w:val="0"/>
      <w:marTop w:val="0"/>
      <w:marBottom w:val="0"/>
      <w:divBdr>
        <w:top w:val="none" w:sz="0" w:space="0" w:color="auto"/>
        <w:left w:val="none" w:sz="0" w:space="0" w:color="auto"/>
        <w:bottom w:val="none" w:sz="0" w:space="0" w:color="auto"/>
        <w:right w:val="none" w:sz="0" w:space="0" w:color="auto"/>
      </w:divBdr>
    </w:div>
    <w:div w:id="1644314576">
      <w:bodyDiv w:val="1"/>
      <w:marLeft w:val="0"/>
      <w:marRight w:val="0"/>
      <w:marTop w:val="0"/>
      <w:marBottom w:val="0"/>
      <w:divBdr>
        <w:top w:val="none" w:sz="0" w:space="0" w:color="auto"/>
        <w:left w:val="none" w:sz="0" w:space="0" w:color="auto"/>
        <w:bottom w:val="none" w:sz="0" w:space="0" w:color="auto"/>
        <w:right w:val="none" w:sz="0" w:space="0" w:color="auto"/>
      </w:divBdr>
    </w:div>
    <w:div w:id="1644383598">
      <w:bodyDiv w:val="1"/>
      <w:marLeft w:val="0"/>
      <w:marRight w:val="0"/>
      <w:marTop w:val="0"/>
      <w:marBottom w:val="0"/>
      <w:divBdr>
        <w:top w:val="none" w:sz="0" w:space="0" w:color="auto"/>
        <w:left w:val="none" w:sz="0" w:space="0" w:color="auto"/>
        <w:bottom w:val="none" w:sz="0" w:space="0" w:color="auto"/>
        <w:right w:val="none" w:sz="0" w:space="0" w:color="auto"/>
      </w:divBdr>
    </w:div>
    <w:div w:id="1644505189">
      <w:bodyDiv w:val="1"/>
      <w:marLeft w:val="0"/>
      <w:marRight w:val="0"/>
      <w:marTop w:val="0"/>
      <w:marBottom w:val="0"/>
      <w:divBdr>
        <w:top w:val="none" w:sz="0" w:space="0" w:color="auto"/>
        <w:left w:val="none" w:sz="0" w:space="0" w:color="auto"/>
        <w:bottom w:val="none" w:sz="0" w:space="0" w:color="auto"/>
        <w:right w:val="none" w:sz="0" w:space="0" w:color="auto"/>
      </w:divBdr>
    </w:div>
    <w:div w:id="1644888589">
      <w:bodyDiv w:val="1"/>
      <w:marLeft w:val="0"/>
      <w:marRight w:val="0"/>
      <w:marTop w:val="0"/>
      <w:marBottom w:val="0"/>
      <w:divBdr>
        <w:top w:val="none" w:sz="0" w:space="0" w:color="auto"/>
        <w:left w:val="none" w:sz="0" w:space="0" w:color="auto"/>
        <w:bottom w:val="none" w:sz="0" w:space="0" w:color="auto"/>
        <w:right w:val="none" w:sz="0" w:space="0" w:color="auto"/>
      </w:divBdr>
    </w:div>
    <w:div w:id="1644893232">
      <w:bodyDiv w:val="1"/>
      <w:marLeft w:val="0"/>
      <w:marRight w:val="0"/>
      <w:marTop w:val="0"/>
      <w:marBottom w:val="0"/>
      <w:divBdr>
        <w:top w:val="none" w:sz="0" w:space="0" w:color="auto"/>
        <w:left w:val="none" w:sz="0" w:space="0" w:color="auto"/>
        <w:bottom w:val="none" w:sz="0" w:space="0" w:color="auto"/>
        <w:right w:val="none" w:sz="0" w:space="0" w:color="auto"/>
      </w:divBdr>
    </w:div>
    <w:div w:id="1645042227">
      <w:bodyDiv w:val="1"/>
      <w:marLeft w:val="0"/>
      <w:marRight w:val="0"/>
      <w:marTop w:val="0"/>
      <w:marBottom w:val="0"/>
      <w:divBdr>
        <w:top w:val="none" w:sz="0" w:space="0" w:color="auto"/>
        <w:left w:val="none" w:sz="0" w:space="0" w:color="auto"/>
        <w:bottom w:val="none" w:sz="0" w:space="0" w:color="auto"/>
        <w:right w:val="none" w:sz="0" w:space="0" w:color="auto"/>
      </w:divBdr>
    </w:div>
    <w:div w:id="1645085506">
      <w:bodyDiv w:val="1"/>
      <w:marLeft w:val="0"/>
      <w:marRight w:val="0"/>
      <w:marTop w:val="0"/>
      <w:marBottom w:val="0"/>
      <w:divBdr>
        <w:top w:val="none" w:sz="0" w:space="0" w:color="auto"/>
        <w:left w:val="none" w:sz="0" w:space="0" w:color="auto"/>
        <w:bottom w:val="none" w:sz="0" w:space="0" w:color="auto"/>
        <w:right w:val="none" w:sz="0" w:space="0" w:color="auto"/>
      </w:divBdr>
    </w:div>
    <w:div w:id="1645113905">
      <w:bodyDiv w:val="1"/>
      <w:marLeft w:val="0"/>
      <w:marRight w:val="0"/>
      <w:marTop w:val="0"/>
      <w:marBottom w:val="0"/>
      <w:divBdr>
        <w:top w:val="none" w:sz="0" w:space="0" w:color="auto"/>
        <w:left w:val="none" w:sz="0" w:space="0" w:color="auto"/>
        <w:bottom w:val="none" w:sz="0" w:space="0" w:color="auto"/>
        <w:right w:val="none" w:sz="0" w:space="0" w:color="auto"/>
      </w:divBdr>
    </w:div>
    <w:div w:id="1645230716">
      <w:bodyDiv w:val="1"/>
      <w:marLeft w:val="0"/>
      <w:marRight w:val="0"/>
      <w:marTop w:val="0"/>
      <w:marBottom w:val="0"/>
      <w:divBdr>
        <w:top w:val="none" w:sz="0" w:space="0" w:color="auto"/>
        <w:left w:val="none" w:sz="0" w:space="0" w:color="auto"/>
        <w:bottom w:val="none" w:sz="0" w:space="0" w:color="auto"/>
        <w:right w:val="none" w:sz="0" w:space="0" w:color="auto"/>
      </w:divBdr>
    </w:div>
    <w:div w:id="1645281539">
      <w:bodyDiv w:val="1"/>
      <w:marLeft w:val="0"/>
      <w:marRight w:val="0"/>
      <w:marTop w:val="0"/>
      <w:marBottom w:val="0"/>
      <w:divBdr>
        <w:top w:val="none" w:sz="0" w:space="0" w:color="auto"/>
        <w:left w:val="none" w:sz="0" w:space="0" w:color="auto"/>
        <w:bottom w:val="none" w:sz="0" w:space="0" w:color="auto"/>
        <w:right w:val="none" w:sz="0" w:space="0" w:color="auto"/>
      </w:divBdr>
    </w:div>
    <w:div w:id="1645350272">
      <w:bodyDiv w:val="1"/>
      <w:marLeft w:val="0"/>
      <w:marRight w:val="0"/>
      <w:marTop w:val="0"/>
      <w:marBottom w:val="0"/>
      <w:divBdr>
        <w:top w:val="none" w:sz="0" w:space="0" w:color="auto"/>
        <w:left w:val="none" w:sz="0" w:space="0" w:color="auto"/>
        <w:bottom w:val="none" w:sz="0" w:space="0" w:color="auto"/>
        <w:right w:val="none" w:sz="0" w:space="0" w:color="auto"/>
      </w:divBdr>
    </w:div>
    <w:div w:id="1645353162">
      <w:bodyDiv w:val="1"/>
      <w:marLeft w:val="0"/>
      <w:marRight w:val="0"/>
      <w:marTop w:val="0"/>
      <w:marBottom w:val="0"/>
      <w:divBdr>
        <w:top w:val="none" w:sz="0" w:space="0" w:color="auto"/>
        <w:left w:val="none" w:sz="0" w:space="0" w:color="auto"/>
        <w:bottom w:val="none" w:sz="0" w:space="0" w:color="auto"/>
        <w:right w:val="none" w:sz="0" w:space="0" w:color="auto"/>
      </w:divBdr>
    </w:div>
    <w:div w:id="1645550914">
      <w:bodyDiv w:val="1"/>
      <w:marLeft w:val="0"/>
      <w:marRight w:val="0"/>
      <w:marTop w:val="0"/>
      <w:marBottom w:val="0"/>
      <w:divBdr>
        <w:top w:val="none" w:sz="0" w:space="0" w:color="auto"/>
        <w:left w:val="none" w:sz="0" w:space="0" w:color="auto"/>
        <w:bottom w:val="none" w:sz="0" w:space="0" w:color="auto"/>
        <w:right w:val="none" w:sz="0" w:space="0" w:color="auto"/>
      </w:divBdr>
    </w:div>
    <w:div w:id="1645575517">
      <w:bodyDiv w:val="1"/>
      <w:marLeft w:val="0"/>
      <w:marRight w:val="0"/>
      <w:marTop w:val="0"/>
      <w:marBottom w:val="0"/>
      <w:divBdr>
        <w:top w:val="none" w:sz="0" w:space="0" w:color="auto"/>
        <w:left w:val="none" w:sz="0" w:space="0" w:color="auto"/>
        <w:bottom w:val="none" w:sz="0" w:space="0" w:color="auto"/>
        <w:right w:val="none" w:sz="0" w:space="0" w:color="auto"/>
      </w:divBdr>
    </w:div>
    <w:div w:id="1645695706">
      <w:bodyDiv w:val="1"/>
      <w:marLeft w:val="0"/>
      <w:marRight w:val="0"/>
      <w:marTop w:val="0"/>
      <w:marBottom w:val="0"/>
      <w:divBdr>
        <w:top w:val="none" w:sz="0" w:space="0" w:color="auto"/>
        <w:left w:val="none" w:sz="0" w:space="0" w:color="auto"/>
        <w:bottom w:val="none" w:sz="0" w:space="0" w:color="auto"/>
        <w:right w:val="none" w:sz="0" w:space="0" w:color="auto"/>
      </w:divBdr>
    </w:div>
    <w:div w:id="1645695824">
      <w:bodyDiv w:val="1"/>
      <w:marLeft w:val="0"/>
      <w:marRight w:val="0"/>
      <w:marTop w:val="0"/>
      <w:marBottom w:val="0"/>
      <w:divBdr>
        <w:top w:val="none" w:sz="0" w:space="0" w:color="auto"/>
        <w:left w:val="none" w:sz="0" w:space="0" w:color="auto"/>
        <w:bottom w:val="none" w:sz="0" w:space="0" w:color="auto"/>
        <w:right w:val="none" w:sz="0" w:space="0" w:color="auto"/>
      </w:divBdr>
    </w:div>
    <w:div w:id="1645700516">
      <w:bodyDiv w:val="1"/>
      <w:marLeft w:val="0"/>
      <w:marRight w:val="0"/>
      <w:marTop w:val="0"/>
      <w:marBottom w:val="0"/>
      <w:divBdr>
        <w:top w:val="none" w:sz="0" w:space="0" w:color="auto"/>
        <w:left w:val="none" w:sz="0" w:space="0" w:color="auto"/>
        <w:bottom w:val="none" w:sz="0" w:space="0" w:color="auto"/>
        <w:right w:val="none" w:sz="0" w:space="0" w:color="auto"/>
      </w:divBdr>
    </w:div>
    <w:div w:id="1645701298">
      <w:bodyDiv w:val="1"/>
      <w:marLeft w:val="0"/>
      <w:marRight w:val="0"/>
      <w:marTop w:val="0"/>
      <w:marBottom w:val="0"/>
      <w:divBdr>
        <w:top w:val="none" w:sz="0" w:space="0" w:color="auto"/>
        <w:left w:val="none" w:sz="0" w:space="0" w:color="auto"/>
        <w:bottom w:val="none" w:sz="0" w:space="0" w:color="auto"/>
        <w:right w:val="none" w:sz="0" w:space="0" w:color="auto"/>
      </w:divBdr>
    </w:div>
    <w:div w:id="1645814448">
      <w:bodyDiv w:val="1"/>
      <w:marLeft w:val="0"/>
      <w:marRight w:val="0"/>
      <w:marTop w:val="0"/>
      <w:marBottom w:val="0"/>
      <w:divBdr>
        <w:top w:val="none" w:sz="0" w:space="0" w:color="auto"/>
        <w:left w:val="none" w:sz="0" w:space="0" w:color="auto"/>
        <w:bottom w:val="none" w:sz="0" w:space="0" w:color="auto"/>
        <w:right w:val="none" w:sz="0" w:space="0" w:color="auto"/>
      </w:divBdr>
    </w:div>
    <w:div w:id="1645815140">
      <w:bodyDiv w:val="1"/>
      <w:marLeft w:val="0"/>
      <w:marRight w:val="0"/>
      <w:marTop w:val="0"/>
      <w:marBottom w:val="0"/>
      <w:divBdr>
        <w:top w:val="none" w:sz="0" w:space="0" w:color="auto"/>
        <w:left w:val="none" w:sz="0" w:space="0" w:color="auto"/>
        <w:bottom w:val="none" w:sz="0" w:space="0" w:color="auto"/>
        <w:right w:val="none" w:sz="0" w:space="0" w:color="auto"/>
      </w:divBdr>
    </w:div>
    <w:div w:id="1645818486">
      <w:bodyDiv w:val="1"/>
      <w:marLeft w:val="0"/>
      <w:marRight w:val="0"/>
      <w:marTop w:val="0"/>
      <w:marBottom w:val="0"/>
      <w:divBdr>
        <w:top w:val="none" w:sz="0" w:space="0" w:color="auto"/>
        <w:left w:val="none" w:sz="0" w:space="0" w:color="auto"/>
        <w:bottom w:val="none" w:sz="0" w:space="0" w:color="auto"/>
        <w:right w:val="none" w:sz="0" w:space="0" w:color="auto"/>
      </w:divBdr>
    </w:div>
    <w:div w:id="1645937679">
      <w:bodyDiv w:val="1"/>
      <w:marLeft w:val="0"/>
      <w:marRight w:val="0"/>
      <w:marTop w:val="0"/>
      <w:marBottom w:val="0"/>
      <w:divBdr>
        <w:top w:val="none" w:sz="0" w:space="0" w:color="auto"/>
        <w:left w:val="none" w:sz="0" w:space="0" w:color="auto"/>
        <w:bottom w:val="none" w:sz="0" w:space="0" w:color="auto"/>
        <w:right w:val="none" w:sz="0" w:space="0" w:color="auto"/>
      </w:divBdr>
    </w:div>
    <w:div w:id="1646008390">
      <w:bodyDiv w:val="1"/>
      <w:marLeft w:val="0"/>
      <w:marRight w:val="0"/>
      <w:marTop w:val="0"/>
      <w:marBottom w:val="0"/>
      <w:divBdr>
        <w:top w:val="none" w:sz="0" w:space="0" w:color="auto"/>
        <w:left w:val="none" w:sz="0" w:space="0" w:color="auto"/>
        <w:bottom w:val="none" w:sz="0" w:space="0" w:color="auto"/>
        <w:right w:val="none" w:sz="0" w:space="0" w:color="auto"/>
      </w:divBdr>
    </w:div>
    <w:div w:id="1646082430">
      <w:bodyDiv w:val="1"/>
      <w:marLeft w:val="0"/>
      <w:marRight w:val="0"/>
      <w:marTop w:val="0"/>
      <w:marBottom w:val="0"/>
      <w:divBdr>
        <w:top w:val="none" w:sz="0" w:space="0" w:color="auto"/>
        <w:left w:val="none" w:sz="0" w:space="0" w:color="auto"/>
        <w:bottom w:val="none" w:sz="0" w:space="0" w:color="auto"/>
        <w:right w:val="none" w:sz="0" w:space="0" w:color="auto"/>
      </w:divBdr>
    </w:div>
    <w:div w:id="1646159916">
      <w:bodyDiv w:val="1"/>
      <w:marLeft w:val="0"/>
      <w:marRight w:val="0"/>
      <w:marTop w:val="0"/>
      <w:marBottom w:val="0"/>
      <w:divBdr>
        <w:top w:val="none" w:sz="0" w:space="0" w:color="auto"/>
        <w:left w:val="none" w:sz="0" w:space="0" w:color="auto"/>
        <w:bottom w:val="none" w:sz="0" w:space="0" w:color="auto"/>
        <w:right w:val="none" w:sz="0" w:space="0" w:color="auto"/>
      </w:divBdr>
    </w:div>
    <w:div w:id="1646162753">
      <w:bodyDiv w:val="1"/>
      <w:marLeft w:val="0"/>
      <w:marRight w:val="0"/>
      <w:marTop w:val="0"/>
      <w:marBottom w:val="0"/>
      <w:divBdr>
        <w:top w:val="none" w:sz="0" w:space="0" w:color="auto"/>
        <w:left w:val="none" w:sz="0" w:space="0" w:color="auto"/>
        <w:bottom w:val="none" w:sz="0" w:space="0" w:color="auto"/>
        <w:right w:val="none" w:sz="0" w:space="0" w:color="auto"/>
      </w:divBdr>
    </w:div>
    <w:div w:id="1646199269">
      <w:bodyDiv w:val="1"/>
      <w:marLeft w:val="0"/>
      <w:marRight w:val="0"/>
      <w:marTop w:val="0"/>
      <w:marBottom w:val="0"/>
      <w:divBdr>
        <w:top w:val="none" w:sz="0" w:space="0" w:color="auto"/>
        <w:left w:val="none" w:sz="0" w:space="0" w:color="auto"/>
        <w:bottom w:val="none" w:sz="0" w:space="0" w:color="auto"/>
        <w:right w:val="none" w:sz="0" w:space="0" w:color="auto"/>
      </w:divBdr>
    </w:div>
    <w:div w:id="1646203048">
      <w:bodyDiv w:val="1"/>
      <w:marLeft w:val="0"/>
      <w:marRight w:val="0"/>
      <w:marTop w:val="0"/>
      <w:marBottom w:val="0"/>
      <w:divBdr>
        <w:top w:val="none" w:sz="0" w:space="0" w:color="auto"/>
        <w:left w:val="none" w:sz="0" w:space="0" w:color="auto"/>
        <w:bottom w:val="none" w:sz="0" w:space="0" w:color="auto"/>
        <w:right w:val="none" w:sz="0" w:space="0" w:color="auto"/>
      </w:divBdr>
    </w:div>
    <w:div w:id="1646279973">
      <w:bodyDiv w:val="1"/>
      <w:marLeft w:val="0"/>
      <w:marRight w:val="0"/>
      <w:marTop w:val="0"/>
      <w:marBottom w:val="0"/>
      <w:divBdr>
        <w:top w:val="none" w:sz="0" w:space="0" w:color="auto"/>
        <w:left w:val="none" w:sz="0" w:space="0" w:color="auto"/>
        <w:bottom w:val="none" w:sz="0" w:space="0" w:color="auto"/>
        <w:right w:val="none" w:sz="0" w:space="0" w:color="auto"/>
      </w:divBdr>
    </w:div>
    <w:div w:id="1646349159">
      <w:bodyDiv w:val="1"/>
      <w:marLeft w:val="0"/>
      <w:marRight w:val="0"/>
      <w:marTop w:val="0"/>
      <w:marBottom w:val="0"/>
      <w:divBdr>
        <w:top w:val="none" w:sz="0" w:space="0" w:color="auto"/>
        <w:left w:val="none" w:sz="0" w:space="0" w:color="auto"/>
        <w:bottom w:val="none" w:sz="0" w:space="0" w:color="auto"/>
        <w:right w:val="none" w:sz="0" w:space="0" w:color="auto"/>
      </w:divBdr>
    </w:div>
    <w:div w:id="1646546256">
      <w:bodyDiv w:val="1"/>
      <w:marLeft w:val="0"/>
      <w:marRight w:val="0"/>
      <w:marTop w:val="0"/>
      <w:marBottom w:val="0"/>
      <w:divBdr>
        <w:top w:val="none" w:sz="0" w:space="0" w:color="auto"/>
        <w:left w:val="none" w:sz="0" w:space="0" w:color="auto"/>
        <w:bottom w:val="none" w:sz="0" w:space="0" w:color="auto"/>
        <w:right w:val="none" w:sz="0" w:space="0" w:color="auto"/>
      </w:divBdr>
    </w:div>
    <w:div w:id="1646734884">
      <w:bodyDiv w:val="1"/>
      <w:marLeft w:val="0"/>
      <w:marRight w:val="0"/>
      <w:marTop w:val="0"/>
      <w:marBottom w:val="0"/>
      <w:divBdr>
        <w:top w:val="none" w:sz="0" w:space="0" w:color="auto"/>
        <w:left w:val="none" w:sz="0" w:space="0" w:color="auto"/>
        <w:bottom w:val="none" w:sz="0" w:space="0" w:color="auto"/>
        <w:right w:val="none" w:sz="0" w:space="0" w:color="auto"/>
      </w:divBdr>
    </w:div>
    <w:div w:id="1646735655">
      <w:bodyDiv w:val="1"/>
      <w:marLeft w:val="0"/>
      <w:marRight w:val="0"/>
      <w:marTop w:val="0"/>
      <w:marBottom w:val="0"/>
      <w:divBdr>
        <w:top w:val="none" w:sz="0" w:space="0" w:color="auto"/>
        <w:left w:val="none" w:sz="0" w:space="0" w:color="auto"/>
        <w:bottom w:val="none" w:sz="0" w:space="0" w:color="auto"/>
        <w:right w:val="none" w:sz="0" w:space="0" w:color="auto"/>
      </w:divBdr>
    </w:div>
    <w:div w:id="1646742558">
      <w:bodyDiv w:val="1"/>
      <w:marLeft w:val="0"/>
      <w:marRight w:val="0"/>
      <w:marTop w:val="0"/>
      <w:marBottom w:val="0"/>
      <w:divBdr>
        <w:top w:val="none" w:sz="0" w:space="0" w:color="auto"/>
        <w:left w:val="none" w:sz="0" w:space="0" w:color="auto"/>
        <w:bottom w:val="none" w:sz="0" w:space="0" w:color="auto"/>
        <w:right w:val="none" w:sz="0" w:space="0" w:color="auto"/>
      </w:divBdr>
    </w:div>
    <w:div w:id="1646813536">
      <w:bodyDiv w:val="1"/>
      <w:marLeft w:val="0"/>
      <w:marRight w:val="0"/>
      <w:marTop w:val="0"/>
      <w:marBottom w:val="0"/>
      <w:divBdr>
        <w:top w:val="none" w:sz="0" w:space="0" w:color="auto"/>
        <w:left w:val="none" w:sz="0" w:space="0" w:color="auto"/>
        <w:bottom w:val="none" w:sz="0" w:space="0" w:color="auto"/>
        <w:right w:val="none" w:sz="0" w:space="0" w:color="auto"/>
      </w:divBdr>
    </w:div>
    <w:div w:id="1646885355">
      <w:bodyDiv w:val="1"/>
      <w:marLeft w:val="0"/>
      <w:marRight w:val="0"/>
      <w:marTop w:val="0"/>
      <w:marBottom w:val="0"/>
      <w:divBdr>
        <w:top w:val="none" w:sz="0" w:space="0" w:color="auto"/>
        <w:left w:val="none" w:sz="0" w:space="0" w:color="auto"/>
        <w:bottom w:val="none" w:sz="0" w:space="0" w:color="auto"/>
        <w:right w:val="none" w:sz="0" w:space="0" w:color="auto"/>
      </w:divBdr>
    </w:div>
    <w:div w:id="1646885384">
      <w:bodyDiv w:val="1"/>
      <w:marLeft w:val="0"/>
      <w:marRight w:val="0"/>
      <w:marTop w:val="0"/>
      <w:marBottom w:val="0"/>
      <w:divBdr>
        <w:top w:val="none" w:sz="0" w:space="0" w:color="auto"/>
        <w:left w:val="none" w:sz="0" w:space="0" w:color="auto"/>
        <w:bottom w:val="none" w:sz="0" w:space="0" w:color="auto"/>
        <w:right w:val="none" w:sz="0" w:space="0" w:color="auto"/>
      </w:divBdr>
    </w:div>
    <w:div w:id="1646934389">
      <w:bodyDiv w:val="1"/>
      <w:marLeft w:val="0"/>
      <w:marRight w:val="0"/>
      <w:marTop w:val="0"/>
      <w:marBottom w:val="0"/>
      <w:divBdr>
        <w:top w:val="none" w:sz="0" w:space="0" w:color="auto"/>
        <w:left w:val="none" w:sz="0" w:space="0" w:color="auto"/>
        <w:bottom w:val="none" w:sz="0" w:space="0" w:color="auto"/>
        <w:right w:val="none" w:sz="0" w:space="0" w:color="auto"/>
      </w:divBdr>
    </w:div>
    <w:div w:id="1647053049">
      <w:bodyDiv w:val="1"/>
      <w:marLeft w:val="0"/>
      <w:marRight w:val="0"/>
      <w:marTop w:val="0"/>
      <w:marBottom w:val="0"/>
      <w:divBdr>
        <w:top w:val="none" w:sz="0" w:space="0" w:color="auto"/>
        <w:left w:val="none" w:sz="0" w:space="0" w:color="auto"/>
        <w:bottom w:val="none" w:sz="0" w:space="0" w:color="auto"/>
        <w:right w:val="none" w:sz="0" w:space="0" w:color="auto"/>
      </w:divBdr>
    </w:div>
    <w:div w:id="1647079651">
      <w:bodyDiv w:val="1"/>
      <w:marLeft w:val="0"/>
      <w:marRight w:val="0"/>
      <w:marTop w:val="0"/>
      <w:marBottom w:val="0"/>
      <w:divBdr>
        <w:top w:val="none" w:sz="0" w:space="0" w:color="auto"/>
        <w:left w:val="none" w:sz="0" w:space="0" w:color="auto"/>
        <w:bottom w:val="none" w:sz="0" w:space="0" w:color="auto"/>
        <w:right w:val="none" w:sz="0" w:space="0" w:color="auto"/>
      </w:divBdr>
    </w:div>
    <w:div w:id="1647277399">
      <w:bodyDiv w:val="1"/>
      <w:marLeft w:val="0"/>
      <w:marRight w:val="0"/>
      <w:marTop w:val="0"/>
      <w:marBottom w:val="0"/>
      <w:divBdr>
        <w:top w:val="none" w:sz="0" w:space="0" w:color="auto"/>
        <w:left w:val="none" w:sz="0" w:space="0" w:color="auto"/>
        <w:bottom w:val="none" w:sz="0" w:space="0" w:color="auto"/>
        <w:right w:val="none" w:sz="0" w:space="0" w:color="auto"/>
      </w:divBdr>
    </w:div>
    <w:div w:id="1647279396">
      <w:bodyDiv w:val="1"/>
      <w:marLeft w:val="0"/>
      <w:marRight w:val="0"/>
      <w:marTop w:val="0"/>
      <w:marBottom w:val="0"/>
      <w:divBdr>
        <w:top w:val="none" w:sz="0" w:space="0" w:color="auto"/>
        <w:left w:val="none" w:sz="0" w:space="0" w:color="auto"/>
        <w:bottom w:val="none" w:sz="0" w:space="0" w:color="auto"/>
        <w:right w:val="none" w:sz="0" w:space="0" w:color="auto"/>
      </w:divBdr>
    </w:div>
    <w:div w:id="1647398702">
      <w:bodyDiv w:val="1"/>
      <w:marLeft w:val="0"/>
      <w:marRight w:val="0"/>
      <w:marTop w:val="0"/>
      <w:marBottom w:val="0"/>
      <w:divBdr>
        <w:top w:val="none" w:sz="0" w:space="0" w:color="auto"/>
        <w:left w:val="none" w:sz="0" w:space="0" w:color="auto"/>
        <w:bottom w:val="none" w:sz="0" w:space="0" w:color="auto"/>
        <w:right w:val="none" w:sz="0" w:space="0" w:color="auto"/>
      </w:divBdr>
    </w:div>
    <w:div w:id="1647466098">
      <w:bodyDiv w:val="1"/>
      <w:marLeft w:val="0"/>
      <w:marRight w:val="0"/>
      <w:marTop w:val="0"/>
      <w:marBottom w:val="0"/>
      <w:divBdr>
        <w:top w:val="none" w:sz="0" w:space="0" w:color="auto"/>
        <w:left w:val="none" w:sz="0" w:space="0" w:color="auto"/>
        <w:bottom w:val="none" w:sz="0" w:space="0" w:color="auto"/>
        <w:right w:val="none" w:sz="0" w:space="0" w:color="auto"/>
      </w:divBdr>
    </w:div>
    <w:div w:id="1647473417">
      <w:bodyDiv w:val="1"/>
      <w:marLeft w:val="0"/>
      <w:marRight w:val="0"/>
      <w:marTop w:val="0"/>
      <w:marBottom w:val="0"/>
      <w:divBdr>
        <w:top w:val="none" w:sz="0" w:space="0" w:color="auto"/>
        <w:left w:val="none" w:sz="0" w:space="0" w:color="auto"/>
        <w:bottom w:val="none" w:sz="0" w:space="0" w:color="auto"/>
        <w:right w:val="none" w:sz="0" w:space="0" w:color="auto"/>
      </w:divBdr>
    </w:div>
    <w:div w:id="1647584222">
      <w:bodyDiv w:val="1"/>
      <w:marLeft w:val="0"/>
      <w:marRight w:val="0"/>
      <w:marTop w:val="0"/>
      <w:marBottom w:val="0"/>
      <w:divBdr>
        <w:top w:val="none" w:sz="0" w:space="0" w:color="auto"/>
        <w:left w:val="none" w:sz="0" w:space="0" w:color="auto"/>
        <w:bottom w:val="none" w:sz="0" w:space="0" w:color="auto"/>
        <w:right w:val="none" w:sz="0" w:space="0" w:color="auto"/>
      </w:divBdr>
    </w:div>
    <w:div w:id="1647588673">
      <w:bodyDiv w:val="1"/>
      <w:marLeft w:val="0"/>
      <w:marRight w:val="0"/>
      <w:marTop w:val="0"/>
      <w:marBottom w:val="0"/>
      <w:divBdr>
        <w:top w:val="none" w:sz="0" w:space="0" w:color="auto"/>
        <w:left w:val="none" w:sz="0" w:space="0" w:color="auto"/>
        <w:bottom w:val="none" w:sz="0" w:space="0" w:color="auto"/>
        <w:right w:val="none" w:sz="0" w:space="0" w:color="auto"/>
      </w:divBdr>
    </w:div>
    <w:div w:id="1647658796">
      <w:bodyDiv w:val="1"/>
      <w:marLeft w:val="0"/>
      <w:marRight w:val="0"/>
      <w:marTop w:val="0"/>
      <w:marBottom w:val="0"/>
      <w:divBdr>
        <w:top w:val="none" w:sz="0" w:space="0" w:color="auto"/>
        <w:left w:val="none" w:sz="0" w:space="0" w:color="auto"/>
        <w:bottom w:val="none" w:sz="0" w:space="0" w:color="auto"/>
        <w:right w:val="none" w:sz="0" w:space="0" w:color="auto"/>
      </w:divBdr>
    </w:div>
    <w:div w:id="1647852093">
      <w:bodyDiv w:val="1"/>
      <w:marLeft w:val="0"/>
      <w:marRight w:val="0"/>
      <w:marTop w:val="0"/>
      <w:marBottom w:val="0"/>
      <w:divBdr>
        <w:top w:val="none" w:sz="0" w:space="0" w:color="auto"/>
        <w:left w:val="none" w:sz="0" w:space="0" w:color="auto"/>
        <w:bottom w:val="none" w:sz="0" w:space="0" w:color="auto"/>
        <w:right w:val="none" w:sz="0" w:space="0" w:color="auto"/>
      </w:divBdr>
    </w:div>
    <w:div w:id="1647930600">
      <w:bodyDiv w:val="1"/>
      <w:marLeft w:val="0"/>
      <w:marRight w:val="0"/>
      <w:marTop w:val="0"/>
      <w:marBottom w:val="0"/>
      <w:divBdr>
        <w:top w:val="none" w:sz="0" w:space="0" w:color="auto"/>
        <w:left w:val="none" w:sz="0" w:space="0" w:color="auto"/>
        <w:bottom w:val="none" w:sz="0" w:space="0" w:color="auto"/>
        <w:right w:val="none" w:sz="0" w:space="0" w:color="auto"/>
      </w:divBdr>
    </w:div>
    <w:div w:id="1647971264">
      <w:bodyDiv w:val="1"/>
      <w:marLeft w:val="0"/>
      <w:marRight w:val="0"/>
      <w:marTop w:val="0"/>
      <w:marBottom w:val="0"/>
      <w:divBdr>
        <w:top w:val="none" w:sz="0" w:space="0" w:color="auto"/>
        <w:left w:val="none" w:sz="0" w:space="0" w:color="auto"/>
        <w:bottom w:val="none" w:sz="0" w:space="0" w:color="auto"/>
        <w:right w:val="none" w:sz="0" w:space="0" w:color="auto"/>
      </w:divBdr>
    </w:div>
    <w:div w:id="1647978597">
      <w:bodyDiv w:val="1"/>
      <w:marLeft w:val="0"/>
      <w:marRight w:val="0"/>
      <w:marTop w:val="0"/>
      <w:marBottom w:val="0"/>
      <w:divBdr>
        <w:top w:val="none" w:sz="0" w:space="0" w:color="auto"/>
        <w:left w:val="none" w:sz="0" w:space="0" w:color="auto"/>
        <w:bottom w:val="none" w:sz="0" w:space="0" w:color="auto"/>
        <w:right w:val="none" w:sz="0" w:space="0" w:color="auto"/>
      </w:divBdr>
    </w:div>
    <w:div w:id="1648124110">
      <w:bodyDiv w:val="1"/>
      <w:marLeft w:val="0"/>
      <w:marRight w:val="0"/>
      <w:marTop w:val="0"/>
      <w:marBottom w:val="0"/>
      <w:divBdr>
        <w:top w:val="none" w:sz="0" w:space="0" w:color="auto"/>
        <w:left w:val="none" w:sz="0" w:space="0" w:color="auto"/>
        <w:bottom w:val="none" w:sz="0" w:space="0" w:color="auto"/>
        <w:right w:val="none" w:sz="0" w:space="0" w:color="auto"/>
      </w:divBdr>
    </w:div>
    <w:div w:id="1648129333">
      <w:bodyDiv w:val="1"/>
      <w:marLeft w:val="0"/>
      <w:marRight w:val="0"/>
      <w:marTop w:val="0"/>
      <w:marBottom w:val="0"/>
      <w:divBdr>
        <w:top w:val="none" w:sz="0" w:space="0" w:color="auto"/>
        <w:left w:val="none" w:sz="0" w:space="0" w:color="auto"/>
        <w:bottom w:val="none" w:sz="0" w:space="0" w:color="auto"/>
        <w:right w:val="none" w:sz="0" w:space="0" w:color="auto"/>
      </w:divBdr>
    </w:div>
    <w:div w:id="1648170147">
      <w:bodyDiv w:val="1"/>
      <w:marLeft w:val="0"/>
      <w:marRight w:val="0"/>
      <w:marTop w:val="0"/>
      <w:marBottom w:val="0"/>
      <w:divBdr>
        <w:top w:val="none" w:sz="0" w:space="0" w:color="auto"/>
        <w:left w:val="none" w:sz="0" w:space="0" w:color="auto"/>
        <w:bottom w:val="none" w:sz="0" w:space="0" w:color="auto"/>
        <w:right w:val="none" w:sz="0" w:space="0" w:color="auto"/>
      </w:divBdr>
    </w:div>
    <w:div w:id="1648243099">
      <w:bodyDiv w:val="1"/>
      <w:marLeft w:val="0"/>
      <w:marRight w:val="0"/>
      <w:marTop w:val="0"/>
      <w:marBottom w:val="0"/>
      <w:divBdr>
        <w:top w:val="none" w:sz="0" w:space="0" w:color="auto"/>
        <w:left w:val="none" w:sz="0" w:space="0" w:color="auto"/>
        <w:bottom w:val="none" w:sz="0" w:space="0" w:color="auto"/>
        <w:right w:val="none" w:sz="0" w:space="0" w:color="auto"/>
      </w:divBdr>
    </w:div>
    <w:div w:id="1648322669">
      <w:bodyDiv w:val="1"/>
      <w:marLeft w:val="0"/>
      <w:marRight w:val="0"/>
      <w:marTop w:val="0"/>
      <w:marBottom w:val="0"/>
      <w:divBdr>
        <w:top w:val="none" w:sz="0" w:space="0" w:color="auto"/>
        <w:left w:val="none" w:sz="0" w:space="0" w:color="auto"/>
        <w:bottom w:val="none" w:sz="0" w:space="0" w:color="auto"/>
        <w:right w:val="none" w:sz="0" w:space="0" w:color="auto"/>
      </w:divBdr>
    </w:div>
    <w:div w:id="1648432813">
      <w:bodyDiv w:val="1"/>
      <w:marLeft w:val="0"/>
      <w:marRight w:val="0"/>
      <w:marTop w:val="0"/>
      <w:marBottom w:val="0"/>
      <w:divBdr>
        <w:top w:val="none" w:sz="0" w:space="0" w:color="auto"/>
        <w:left w:val="none" w:sz="0" w:space="0" w:color="auto"/>
        <w:bottom w:val="none" w:sz="0" w:space="0" w:color="auto"/>
        <w:right w:val="none" w:sz="0" w:space="0" w:color="auto"/>
      </w:divBdr>
    </w:div>
    <w:div w:id="1648435133">
      <w:bodyDiv w:val="1"/>
      <w:marLeft w:val="0"/>
      <w:marRight w:val="0"/>
      <w:marTop w:val="0"/>
      <w:marBottom w:val="0"/>
      <w:divBdr>
        <w:top w:val="none" w:sz="0" w:space="0" w:color="auto"/>
        <w:left w:val="none" w:sz="0" w:space="0" w:color="auto"/>
        <w:bottom w:val="none" w:sz="0" w:space="0" w:color="auto"/>
        <w:right w:val="none" w:sz="0" w:space="0" w:color="auto"/>
      </w:divBdr>
    </w:div>
    <w:div w:id="1648513923">
      <w:bodyDiv w:val="1"/>
      <w:marLeft w:val="0"/>
      <w:marRight w:val="0"/>
      <w:marTop w:val="0"/>
      <w:marBottom w:val="0"/>
      <w:divBdr>
        <w:top w:val="none" w:sz="0" w:space="0" w:color="auto"/>
        <w:left w:val="none" w:sz="0" w:space="0" w:color="auto"/>
        <w:bottom w:val="none" w:sz="0" w:space="0" w:color="auto"/>
        <w:right w:val="none" w:sz="0" w:space="0" w:color="auto"/>
      </w:divBdr>
    </w:div>
    <w:div w:id="1648514279">
      <w:bodyDiv w:val="1"/>
      <w:marLeft w:val="0"/>
      <w:marRight w:val="0"/>
      <w:marTop w:val="0"/>
      <w:marBottom w:val="0"/>
      <w:divBdr>
        <w:top w:val="none" w:sz="0" w:space="0" w:color="auto"/>
        <w:left w:val="none" w:sz="0" w:space="0" w:color="auto"/>
        <w:bottom w:val="none" w:sz="0" w:space="0" w:color="auto"/>
        <w:right w:val="none" w:sz="0" w:space="0" w:color="auto"/>
      </w:divBdr>
    </w:div>
    <w:div w:id="1648587883">
      <w:bodyDiv w:val="1"/>
      <w:marLeft w:val="0"/>
      <w:marRight w:val="0"/>
      <w:marTop w:val="0"/>
      <w:marBottom w:val="0"/>
      <w:divBdr>
        <w:top w:val="none" w:sz="0" w:space="0" w:color="auto"/>
        <w:left w:val="none" w:sz="0" w:space="0" w:color="auto"/>
        <w:bottom w:val="none" w:sz="0" w:space="0" w:color="auto"/>
        <w:right w:val="none" w:sz="0" w:space="0" w:color="auto"/>
      </w:divBdr>
    </w:div>
    <w:div w:id="1648824247">
      <w:bodyDiv w:val="1"/>
      <w:marLeft w:val="0"/>
      <w:marRight w:val="0"/>
      <w:marTop w:val="0"/>
      <w:marBottom w:val="0"/>
      <w:divBdr>
        <w:top w:val="none" w:sz="0" w:space="0" w:color="auto"/>
        <w:left w:val="none" w:sz="0" w:space="0" w:color="auto"/>
        <w:bottom w:val="none" w:sz="0" w:space="0" w:color="auto"/>
        <w:right w:val="none" w:sz="0" w:space="0" w:color="auto"/>
      </w:divBdr>
    </w:div>
    <w:div w:id="1648827005">
      <w:bodyDiv w:val="1"/>
      <w:marLeft w:val="0"/>
      <w:marRight w:val="0"/>
      <w:marTop w:val="0"/>
      <w:marBottom w:val="0"/>
      <w:divBdr>
        <w:top w:val="none" w:sz="0" w:space="0" w:color="auto"/>
        <w:left w:val="none" w:sz="0" w:space="0" w:color="auto"/>
        <w:bottom w:val="none" w:sz="0" w:space="0" w:color="auto"/>
        <w:right w:val="none" w:sz="0" w:space="0" w:color="auto"/>
      </w:divBdr>
    </w:div>
    <w:div w:id="1648851136">
      <w:bodyDiv w:val="1"/>
      <w:marLeft w:val="0"/>
      <w:marRight w:val="0"/>
      <w:marTop w:val="0"/>
      <w:marBottom w:val="0"/>
      <w:divBdr>
        <w:top w:val="none" w:sz="0" w:space="0" w:color="auto"/>
        <w:left w:val="none" w:sz="0" w:space="0" w:color="auto"/>
        <w:bottom w:val="none" w:sz="0" w:space="0" w:color="auto"/>
        <w:right w:val="none" w:sz="0" w:space="0" w:color="auto"/>
      </w:divBdr>
    </w:div>
    <w:div w:id="1648895845">
      <w:bodyDiv w:val="1"/>
      <w:marLeft w:val="0"/>
      <w:marRight w:val="0"/>
      <w:marTop w:val="0"/>
      <w:marBottom w:val="0"/>
      <w:divBdr>
        <w:top w:val="none" w:sz="0" w:space="0" w:color="auto"/>
        <w:left w:val="none" w:sz="0" w:space="0" w:color="auto"/>
        <w:bottom w:val="none" w:sz="0" w:space="0" w:color="auto"/>
        <w:right w:val="none" w:sz="0" w:space="0" w:color="auto"/>
      </w:divBdr>
    </w:div>
    <w:div w:id="1648900512">
      <w:bodyDiv w:val="1"/>
      <w:marLeft w:val="0"/>
      <w:marRight w:val="0"/>
      <w:marTop w:val="0"/>
      <w:marBottom w:val="0"/>
      <w:divBdr>
        <w:top w:val="none" w:sz="0" w:space="0" w:color="auto"/>
        <w:left w:val="none" w:sz="0" w:space="0" w:color="auto"/>
        <w:bottom w:val="none" w:sz="0" w:space="0" w:color="auto"/>
        <w:right w:val="none" w:sz="0" w:space="0" w:color="auto"/>
      </w:divBdr>
    </w:div>
    <w:div w:id="1649048193">
      <w:bodyDiv w:val="1"/>
      <w:marLeft w:val="0"/>
      <w:marRight w:val="0"/>
      <w:marTop w:val="0"/>
      <w:marBottom w:val="0"/>
      <w:divBdr>
        <w:top w:val="none" w:sz="0" w:space="0" w:color="auto"/>
        <w:left w:val="none" w:sz="0" w:space="0" w:color="auto"/>
        <w:bottom w:val="none" w:sz="0" w:space="0" w:color="auto"/>
        <w:right w:val="none" w:sz="0" w:space="0" w:color="auto"/>
      </w:divBdr>
    </w:div>
    <w:div w:id="1649169530">
      <w:bodyDiv w:val="1"/>
      <w:marLeft w:val="0"/>
      <w:marRight w:val="0"/>
      <w:marTop w:val="0"/>
      <w:marBottom w:val="0"/>
      <w:divBdr>
        <w:top w:val="none" w:sz="0" w:space="0" w:color="auto"/>
        <w:left w:val="none" w:sz="0" w:space="0" w:color="auto"/>
        <w:bottom w:val="none" w:sz="0" w:space="0" w:color="auto"/>
        <w:right w:val="none" w:sz="0" w:space="0" w:color="auto"/>
      </w:divBdr>
    </w:div>
    <w:div w:id="1649245680">
      <w:bodyDiv w:val="1"/>
      <w:marLeft w:val="0"/>
      <w:marRight w:val="0"/>
      <w:marTop w:val="0"/>
      <w:marBottom w:val="0"/>
      <w:divBdr>
        <w:top w:val="none" w:sz="0" w:space="0" w:color="auto"/>
        <w:left w:val="none" w:sz="0" w:space="0" w:color="auto"/>
        <w:bottom w:val="none" w:sz="0" w:space="0" w:color="auto"/>
        <w:right w:val="none" w:sz="0" w:space="0" w:color="auto"/>
      </w:divBdr>
    </w:div>
    <w:div w:id="1649279896">
      <w:bodyDiv w:val="1"/>
      <w:marLeft w:val="0"/>
      <w:marRight w:val="0"/>
      <w:marTop w:val="0"/>
      <w:marBottom w:val="0"/>
      <w:divBdr>
        <w:top w:val="none" w:sz="0" w:space="0" w:color="auto"/>
        <w:left w:val="none" w:sz="0" w:space="0" w:color="auto"/>
        <w:bottom w:val="none" w:sz="0" w:space="0" w:color="auto"/>
        <w:right w:val="none" w:sz="0" w:space="0" w:color="auto"/>
      </w:divBdr>
    </w:div>
    <w:div w:id="1649355232">
      <w:bodyDiv w:val="1"/>
      <w:marLeft w:val="0"/>
      <w:marRight w:val="0"/>
      <w:marTop w:val="0"/>
      <w:marBottom w:val="0"/>
      <w:divBdr>
        <w:top w:val="none" w:sz="0" w:space="0" w:color="auto"/>
        <w:left w:val="none" w:sz="0" w:space="0" w:color="auto"/>
        <w:bottom w:val="none" w:sz="0" w:space="0" w:color="auto"/>
        <w:right w:val="none" w:sz="0" w:space="0" w:color="auto"/>
      </w:divBdr>
    </w:div>
    <w:div w:id="1649434370">
      <w:bodyDiv w:val="1"/>
      <w:marLeft w:val="0"/>
      <w:marRight w:val="0"/>
      <w:marTop w:val="0"/>
      <w:marBottom w:val="0"/>
      <w:divBdr>
        <w:top w:val="none" w:sz="0" w:space="0" w:color="auto"/>
        <w:left w:val="none" w:sz="0" w:space="0" w:color="auto"/>
        <w:bottom w:val="none" w:sz="0" w:space="0" w:color="auto"/>
        <w:right w:val="none" w:sz="0" w:space="0" w:color="auto"/>
      </w:divBdr>
    </w:div>
    <w:div w:id="1649436699">
      <w:bodyDiv w:val="1"/>
      <w:marLeft w:val="0"/>
      <w:marRight w:val="0"/>
      <w:marTop w:val="0"/>
      <w:marBottom w:val="0"/>
      <w:divBdr>
        <w:top w:val="none" w:sz="0" w:space="0" w:color="auto"/>
        <w:left w:val="none" w:sz="0" w:space="0" w:color="auto"/>
        <w:bottom w:val="none" w:sz="0" w:space="0" w:color="auto"/>
        <w:right w:val="none" w:sz="0" w:space="0" w:color="auto"/>
      </w:divBdr>
    </w:div>
    <w:div w:id="1649478758">
      <w:bodyDiv w:val="1"/>
      <w:marLeft w:val="0"/>
      <w:marRight w:val="0"/>
      <w:marTop w:val="0"/>
      <w:marBottom w:val="0"/>
      <w:divBdr>
        <w:top w:val="none" w:sz="0" w:space="0" w:color="auto"/>
        <w:left w:val="none" w:sz="0" w:space="0" w:color="auto"/>
        <w:bottom w:val="none" w:sz="0" w:space="0" w:color="auto"/>
        <w:right w:val="none" w:sz="0" w:space="0" w:color="auto"/>
      </w:divBdr>
    </w:div>
    <w:div w:id="1649557937">
      <w:bodyDiv w:val="1"/>
      <w:marLeft w:val="0"/>
      <w:marRight w:val="0"/>
      <w:marTop w:val="0"/>
      <w:marBottom w:val="0"/>
      <w:divBdr>
        <w:top w:val="none" w:sz="0" w:space="0" w:color="auto"/>
        <w:left w:val="none" w:sz="0" w:space="0" w:color="auto"/>
        <w:bottom w:val="none" w:sz="0" w:space="0" w:color="auto"/>
        <w:right w:val="none" w:sz="0" w:space="0" w:color="auto"/>
      </w:divBdr>
    </w:div>
    <w:div w:id="1649822065">
      <w:bodyDiv w:val="1"/>
      <w:marLeft w:val="0"/>
      <w:marRight w:val="0"/>
      <w:marTop w:val="0"/>
      <w:marBottom w:val="0"/>
      <w:divBdr>
        <w:top w:val="none" w:sz="0" w:space="0" w:color="auto"/>
        <w:left w:val="none" w:sz="0" w:space="0" w:color="auto"/>
        <w:bottom w:val="none" w:sz="0" w:space="0" w:color="auto"/>
        <w:right w:val="none" w:sz="0" w:space="0" w:color="auto"/>
      </w:divBdr>
    </w:div>
    <w:div w:id="1649822940">
      <w:bodyDiv w:val="1"/>
      <w:marLeft w:val="0"/>
      <w:marRight w:val="0"/>
      <w:marTop w:val="0"/>
      <w:marBottom w:val="0"/>
      <w:divBdr>
        <w:top w:val="none" w:sz="0" w:space="0" w:color="auto"/>
        <w:left w:val="none" w:sz="0" w:space="0" w:color="auto"/>
        <w:bottom w:val="none" w:sz="0" w:space="0" w:color="auto"/>
        <w:right w:val="none" w:sz="0" w:space="0" w:color="auto"/>
      </w:divBdr>
    </w:div>
    <w:div w:id="1649868911">
      <w:bodyDiv w:val="1"/>
      <w:marLeft w:val="0"/>
      <w:marRight w:val="0"/>
      <w:marTop w:val="0"/>
      <w:marBottom w:val="0"/>
      <w:divBdr>
        <w:top w:val="none" w:sz="0" w:space="0" w:color="auto"/>
        <w:left w:val="none" w:sz="0" w:space="0" w:color="auto"/>
        <w:bottom w:val="none" w:sz="0" w:space="0" w:color="auto"/>
        <w:right w:val="none" w:sz="0" w:space="0" w:color="auto"/>
      </w:divBdr>
    </w:div>
    <w:div w:id="1649895274">
      <w:bodyDiv w:val="1"/>
      <w:marLeft w:val="0"/>
      <w:marRight w:val="0"/>
      <w:marTop w:val="0"/>
      <w:marBottom w:val="0"/>
      <w:divBdr>
        <w:top w:val="none" w:sz="0" w:space="0" w:color="auto"/>
        <w:left w:val="none" w:sz="0" w:space="0" w:color="auto"/>
        <w:bottom w:val="none" w:sz="0" w:space="0" w:color="auto"/>
        <w:right w:val="none" w:sz="0" w:space="0" w:color="auto"/>
      </w:divBdr>
    </w:div>
    <w:div w:id="1649896015">
      <w:bodyDiv w:val="1"/>
      <w:marLeft w:val="0"/>
      <w:marRight w:val="0"/>
      <w:marTop w:val="0"/>
      <w:marBottom w:val="0"/>
      <w:divBdr>
        <w:top w:val="none" w:sz="0" w:space="0" w:color="auto"/>
        <w:left w:val="none" w:sz="0" w:space="0" w:color="auto"/>
        <w:bottom w:val="none" w:sz="0" w:space="0" w:color="auto"/>
        <w:right w:val="none" w:sz="0" w:space="0" w:color="auto"/>
      </w:divBdr>
    </w:div>
    <w:div w:id="1650012832">
      <w:bodyDiv w:val="1"/>
      <w:marLeft w:val="0"/>
      <w:marRight w:val="0"/>
      <w:marTop w:val="0"/>
      <w:marBottom w:val="0"/>
      <w:divBdr>
        <w:top w:val="none" w:sz="0" w:space="0" w:color="auto"/>
        <w:left w:val="none" w:sz="0" w:space="0" w:color="auto"/>
        <w:bottom w:val="none" w:sz="0" w:space="0" w:color="auto"/>
        <w:right w:val="none" w:sz="0" w:space="0" w:color="auto"/>
      </w:divBdr>
    </w:div>
    <w:div w:id="1650133334">
      <w:bodyDiv w:val="1"/>
      <w:marLeft w:val="0"/>
      <w:marRight w:val="0"/>
      <w:marTop w:val="0"/>
      <w:marBottom w:val="0"/>
      <w:divBdr>
        <w:top w:val="none" w:sz="0" w:space="0" w:color="auto"/>
        <w:left w:val="none" w:sz="0" w:space="0" w:color="auto"/>
        <w:bottom w:val="none" w:sz="0" w:space="0" w:color="auto"/>
        <w:right w:val="none" w:sz="0" w:space="0" w:color="auto"/>
      </w:divBdr>
    </w:div>
    <w:div w:id="1650211828">
      <w:bodyDiv w:val="1"/>
      <w:marLeft w:val="0"/>
      <w:marRight w:val="0"/>
      <w:marTop w:val="0"/>
      <w:marBottom w:val="0"/>
      <w:divBdr>
        <w:top w:val="none" w:sz="0" w:space="0" w:color="auto"/>
        <w:left w:val="none" w:sz="0" w:space="0" w:color="auto"/>
        <w:bottom w:val="none" w:sz="0" w:space="0" w:color="auto"/>
        <w:right w:val="none" w:sz="0" w:space="0" w:color="auto"/>
      </w:divBdr>
    </w:div>
    <w:div w:id="1650403987">
      <w:bodyDiv w:val="1"/>
      <w:marLeft w:val="0"/>
      <w:marRight w:val="0"/>
      <w:marTop w:val="0"/>
      <w:marBottom w:val="0"/>
      <w:divBdr>
        <w:top w:val="none" w:sz="0" w:space="0" w:color="auto"/>
        <w:left w:val="none" w:sz="0" w:space="0" w:color="auto"/>
        <w:bottom w:val="none" w:sz="0" w:space="0" w:color="auto"/>
        <w:right w:val="none" w:sz="0" w:space="0" w:color="auto"/>
      </w:divBdr>
    </w:div>
    <w:div w:id="1650549590">
      <w:bodyDiv w:val="1"/>
      <w:marLeft w:val="0"/>
      <w:marRight w:val="0"/>
      <w:marTop w:val="0"/>
      <w:marBottom w:val="0"/>
      <w:divBdr>
        <w:top w:val="none" w:sz="0" w:space="0" w:color="auto"/>
        <w:left w:val="none" w:sz="0" w:space="0" w:color="auto"/>
        <w:bottom w:val="none" w:sz="0" w:space="0" w:color="auto"/>
        <w:right w:val="none" w:sz="0" w:space="0" w:color="auto"/>
      </w:divBdr>
    </w:div>
    <w:div w:id="1650549753">
      <w:bodyDiv w:val="1"/>
      <w:marLeft w:val="0"/>
      <w:marRight w:val="0"/>
      <w:marTop w:val="0"/>
      <w:marBottom w:val="0"/>
      <w:divBdr>
        <w:top w:val="none" w:sz="0" w:space="0" w:color="auto"/>
        <w:left w:val="none" w:sz="0" w:space="0" w:color="auto"/>
        <w:bottom w:val="none" w:sz="0" w:space="0" w:color="auto"/>
        <w:right w:val="none" w:sz="0" w:space="0" w:color="auto"/>
      </w:divBdr>
    </w:div>
    <w:div w:id="1650551618">
      <w:bodyDiv w:val="1"/>
      <w:marLeft w:val="0"/>
      <w:marRight w:val="0"/>
      <w:marTop w:val="0"/>
      <w:marBottom w:val="0"/>
      <w:divBdr>
        <w:top w:val="none" w:sz="0" w:space="0" w:color="auto"/>
        <w:left w:val="none" w:sz="0" w:space="0" w:color="auto"/>
        <w:bottom w:val="none" w:sz="0" w:space="0" w:color="auto"/>
        <w:right w:val="none" w:sz="0" w:space="0" w:color="auto"/>
      </w:divBdr>
    </w:div>
    <w:div w:id="1650598598">
      <w:bodyDiv w:val="1"/>
      <w:marLeft w:val="0"/>
      <w:marRight w:val="0"/>
      <w:marTop w:val="0"/>
      <w:marBottom w:val="0"/>
      <w:divBdr>
        <w:top w:val="none" w:sz="0" w:space="0" w:color="auto"/>
        <w:left w:val="none" w:sz="0" w:space="0" w:color="auto"/>
        <w:bottom w:val="none" w:sz="0" w:space="0" w:color="auto"/>
        <w:right w:val="none" w:sz="0" w:space="0" w:color="auto"/>
      </w:divBdr>
    </w:div>
    <w:div w:id="1650816831">
      <w:bodyDiv w:val="1"/>
      <w:marLeft w:val="0"/>
      <w:marRight w:val="0"/>
      <w:marTop w:val="0"/>
      <w:marBottom w:val="0"/>
      <w:divBdr>
        <w:top w:val="none" w:sz="0" w:space="0" w:color="auto"/>
        <w:left w:val="none" w:sz="0" w:space="0" w:color="auto"/>
        <w:bottom w:val="none" w:sz="0" w:space="0" w:color="auto"/>
        <w:right w:val="none" w:sz="0" w:space="0" w:color="auto"/>
      </w:divBdr>
    </w:div>
    <w:div w:id="1650861518">
      <w:bodyDiv w:val="1"/>
      <w:marLeft w:val="0"/>
      <w:marRight w:val="0"/>
      <w:marTop w:val="0"/>
      <w:marBottom w:val="0"/>
      <w:divBdr>
        <w:top w:val="none" w:sz="0" w:space="0" w:color="auto"/>
        <w:left w:val="none" w:sz="0" w:space="0" w:color="auto"/>
        <w:bottom w:val="none" w:sz="0" w:space="0" w:color="auto"/>
        <w:right w:val="none" w:sz="0" w:space="0" w:color="auto"/>
      </w:divBdr>
    </w:div>
    <w:div w:id="1650940217">
      <w:bodyDiv w:val="1"/>
      <w:marLeft w:val="0"/>
      <w:marRight w:val="0"/>
      <w:marTop w:val="0"/>
      <w:marBottom w:val="0"/>
      <w:divBdr>
        <w:top w:val="none" w:sz="0" w:space="0" w:color="auto"/>
        <w:left w:val="none" w:sz="0" w:space="0" w:color="auto"/>
        <w:bottom w:val="none" w:sz="0" w:space="0" w:color="auto"/>
        <w:right w:val="none" w:sz="0" w:space="0" w:color="auto"/>
      </w:divBdr>
    </w:div>
    <w:div w:id="1651056261">
      <w:bodyDiv w:val="1"/>
      <w:marLeft w:val="0"/>
      <w:marRight w:val="0"/>
      <w:marTop w:val="0"/>
      <w:marBottom w:val="0"/>
      <w:divBdr>
        <w:top w:val="none" w:sz="0" w:space="0" w:color="auto"/>
        <w:left w:val="none" w:sz="0" w:space="0" w:color="auto"/>
        <w:bottom w:val="none" w:sz="0" w:space="0" w:color="auto"/>
        <w:right w:val="none" w:sz="0" w:space="0" w:color="auto"/>
      </w:divBdr>
    </w:div>
    <w:div w:id="1651129354">
      <w:bodyDiv w:val="1"/>
      <w:marLeft w:val="0"/>
      <w:marRight w:val="0"/>
      <w:marTop w:val="0"/>
      <w:marBottom w:val="0"/>
      <w:divBdr>
        <w:top w:val="none" w:sz="0" w:space="0" w:color="auto"/>
        <w:left w:val="none" w:sz="0" w:space="0" w:color="auto"/>
        <w:bottom w:val="none" w:sz="0" w:space="0" w:color="auto"/>
        <w:right w:val="none" w:sz="0" w:space="0" w:color="auto"/>
      </w:divBdr>
    </w:div>
    <w:div w:id="1651133807">
      <w:bodyDiv w:val="1"/>
      <w:marLeft w:val="0"/>
      <w:marRight w:val="0"/>
      <w:marTop w:val="0"/>
      <w:marBottom w:val="0"/>
      <w:divBdr>
        <w:top w:val="none" w:sz="0" w:space="0" w:color="auto"/>
        <w:left w:val="none" w:sz="0" w:space="0" w:color="auto"/>
        <w:bottom w:val="none" w:sz="0" w:space="0" w:color="auto"/>
        <w:right w:val="none" w:sz="0" w:space="0" w:color="auto"/>
      </w:divBdr>
    </w:div>
    <w:div w:id="1651205867">
      <w:bodyDiv w:val="1"/>
      <w:marLeft w:val="0"/>
      <w:marRight w:val="0"/>
      <w:marTop w:val="0"/>
      <w:marBottom w:val="0"/>
      <w:divBdr>
        <w:top w:val="none" w:sz="0" w:space="0" w:color="auto"/>
        <w:left w:val="none" w:sz="0" w:space="0" w:color="auto"/>
        <w:bottom w:val="none" w:sz="0" w:space="0" w:color="auto"/>
        <w:right w:val="none" w:sz="0" w:space="0" w:color="auto"/>
      </w:divBdr>
    </w:div>
    <w:div w:id="1651247905">
      <w:bodyDiv w:val="1"/>
      <w:marLeft w:val="0"/>
      <w:marRight w:val="0"/>
      <w:marTop w:val="0"/>
      <w:marBottom w:val="0"/>
      <w:divBdr>
        <w:top w:val="none" w:sz="0" w:space="0" w:color="auto"/>
        <w:left w:val="none" w:sz="0" w:space="0" w:color="auto"/>
        <w:bottom w:val="none" w:sz="0" w:space="0" w:color="auto"/>
        <w:right w:val="none" w:sz="0" w:space="0" w:color="auto"/>
      </w:divBdr>
    </w:div>
    <w:div w:id="1651329346">
      <w:bodyDiv w:val="1"/>
      <w:marLeft w:val="0"/>
      <w:marRight w:val="0"/>
      <w:marTop w:val="0"/>
      <w:marBottom w:val="0"/>
      <w:divBdr>
        <w:top w:val="none" w:sz="0" w:space="0" w:color="auto"/>
        <w:left w:val="none" w:sz="0" w:space="0" w:color="auto"/>
        <w:bottom w:val="none" w:sz="0" w:space="0" w:color="auto"/>
        <w:right w:val="none" w:sz="0" w:space="0" w:color="auto"/>
      </w:divBdr>
    </w:div>
    <w:div w:id="1651401826">
      <w:bodyDiv w:val="1"/>
      <w:marLeft w:val="0"/>
      <w:marRight w:val="0"/>
      <w:marTop w:val="0"/>
      <w:marBottom w:val="0"/>
      <w:divBdr>
        <w:top w:val="none" w:sz="0" w:space="0" w:color="auto"/>
        <w:left w:val="none" w:sz="0" w:space="0" w:color="auto"/>
        <w:bottom w:val="none" w:sz="0" w:space="0" w:color="auto"/>
        <w:right w:val="none" w:sz="0" w:space="0" w:color="auto"/>
      </w:divBdr>
    </w:div>
    <w:div w:id="1651518656">
      <w:bodyDiv w:val="1"/>
      <w:marLeft w:val="0"/>
      <w:marRight w:val="0"/>
      <w:marTop w:val="0"/>
      <w:marBottom w:val="0"/>
      <w:divBdr>
        <w:top w:val="none" w:sz="0" w:space="0" w:color="auto"/>
        <w:left w:val="none" w:sz="0" w:space="0" w:color="auto"/>
        <w:bottom w:val="none" w:sz="0" w:space="0" w:color="auto"/>
        <w:right w:val="none" w:sz="0" w:space="0" w:color="auto"/>
      </w:divBdr>
    </w:div>
    <w:div w:id="1651786496">
      <w:bodyDiv w:val="1"/>
      <w:marLeft w:val="0"/>
      <w:marRight w:val="0"/>
      <w:marTop w:val="0"/>
      <w:marBottom w:val="0"/>
      <w:divBdr>
        <w:top w:val="none" w:sz="0" w:space="0" w:color="auto"/>
        <w:left w:val="none" w:sz="0" w:space="0" w:color="auto"/>
        <w:bottom w:val="none" w:sz="0" w:space="0" w:color="auto"/>
        <w:right w:val="none" w:sz="0" w:space="0" w:color="auto"/>
      </w:divBdr>
    </w:div>
    <w:div w:id="1651791307">
      <w:bodyDiv w:val="1"/>
      <w:marLeft w:val="0"/>
      <w:marRight w:val="0"/>
      <w:marTop w:val="0"/>
      <w:marBottom w:val="0"/>
      <w:divBdr>
        <w:top w:val="none" w:sz="0" w:space="0" w:color="auto"/>
        <w:left w:val="none" w:sz="0" w:space="0" w:color="auto"/>
        <w:bottom w:val="none" w:sz="0" w:space="0" w:color="auto"/>
        <w:right w:val="none" w:sz="0" w:space="0" w:color="auto"/>
      </w:divBdr>
    </w:div>
    <w:div w:id="1651791836">
      <w:bodyDiv w:val="1"/>
      <w:marLeft w:val="0"/>
      <w:marRight w:val="0"/>
      <w:marTop w:val="0"/>
      <w:marBottom w:val="0"/>
      <w:divBdr>
        <w:top w:val="none" w:sz="0" w:space="0" w:color="auto"/>
        <w:left w:val="none" w:sz="0" w:space="0" w:color="auto"/>
        <w:bottom w:val="none" w:sz="0" w:space="0" w:color="auto"/>
        <w:right w:val="none" w:sz="0" w:space="0" w:color="auto"/>
      </w:divBdr>
    </w:div>
    <w:div w:id="1651905576">
      <w:bodyDiv w:val="1"/>
      <w:marLeft w:val="0"/>
      <w:marRight w:val="0"/>
      <w:marTop w:val="0"/>
      <w:marBottom w:val="0"/>
      <w:divBdr>
        <w:top w:val="none" w:sz="0" w:space="0" w:color="auto"/>
        <w:left w:val="none" w:sz="0" w:space="0" w:color="auto"/>
        <w:bottom w:val="none" w:sz="0" w:space="0" w:color="auto"/>
        <w:right w:val="none" w:sz="0" w:space="0" w:color="auto"/>
      </w:divBdr>
    </w:div>
    <w:div w:id="1651985237">
      <w:bodyDiv w:val="1"/>
      <w:marLeft w:val="0"/>
      <w:marRight w:val="0"/>
      <w:marTop w:val="0"/>
      <w:marBottom w:val="0"/>
      <w:divBdr>
        <w:top w:val="none" w:sz="0" w:space="0" w:color="auto"/>
        <w:left w:val="none" w:sz="0" w:space="0" w:color="auto"/>
        <w:bottom w:val="none" w:sz="0" w:space="0" w:color="auto"/>
        <w:right w:val="none" w:sz="0" w:space="0" w:color="auto"/>
      </w:divBdr>
    </w:div>
    <w:div w:id="1652056664">
      <w:bodyDiv w:val="1"/>
      <w:marLeft w:val="0"/>
      <w:marRight w:val="0"/>
      <w:marTop w:val="0"/>
      <w:marBottom w:val="0"/>
      <w:divBdr>
        <w:top w:val="none" w:sz="0" w:space="0" w:color="auto"/>
        <w:left w:val="none" w:sz="0" w:space="0" w:color="auto"/>
        <w:bottom w:val="none" w:sz="0" w:space="0" w:color="auto"/>
        <w:right w:val="none" w:sz="0" w:space="0" w:color="auto"/>
      </w:divBdr>
    </w:div>
    <w:div w:id="1652099421">
      <w:bodyDiv w:val="1"/>
      <w:marLeft w:val="0"/>
      <w:marRight w:val="0"/>
      <w:marTop w:val="0"/>
      <w:marBottom w:val="0"/>
      <w:divBdr>
        <w:top w:val="none" w:sz="0" w:space="0" w:color="auto"/>
        <w:left w:val="none" w:sz="0" w:space="0" w:color="auto"/>
        <w:bottom w:val="none" w:sz="0" w:space="0" w:color="auto"/>
        <w:right w:val="none" w:sz="0" w:space="0" w:color="auto"/>
      </w:divBdr>
    </w:div>
    <w:div w:id="1652172752">
      <w:bodyDiv w:val="1"/>
      <w:marLeft w:val="0"/>
      <w:marRight w:val="0"/>
      <w:marTop w:val="0"/>
      <w:marBottom w:val="0"/>
      <w:divBdr>
        <w:top w:val="none" w:sz="0" w:space="0" w:color="auto"/>
        <w:left w:val="none" w:sz="0" w:space="0" w:color="auto"/>
        <w:bottom w:val="none" w:sz="0" w:space="0" w:color="auto"/>
        <w:right w:val="none" w:sz="0" w:space="0" w:color="auto"/>
      </w:divBdr>
    </w:div>
    <w:div w:id="1652173958">
      <w:bodyDiv w:val="1"/>
      <w:marLeft w:val="0"/>
      <w:marRight w:val="0"/>
      <w:marTop w:val="0"/>
      <w:marBottom w:val="0"/>
      <w:divBdr>
        <w:top w:val="none" w:sz="0" w:space="0" w:color="auto"/>
        <w:left w:val="none" w:sz="0" w:space="0" w:color="auto"/>
        <w:bottom w:val="none" w:sz="0" w:space="0" w:color="auto"/>
        <w:right w:val="none" w:sz="0" w:space="0" w:color="auto"/>
      </w:divBdr>
    </w:div>
    <w:div w:id="1652247539">
      <w:bodyDiv w:val="1"/>
      <w:marLeft w:val="0"/>
      <w:marRight w:val="0"/>
      <w:marTop w:val="0"/>
      <w:marBottom w:val="0"/>
      <w:divBdr>
        <w:top w:val="none" w:sz="0" w:space="0" w:color="auto"/>
        <w:left w:val="none" w:sz="0" w:space="0" w:color="auto"/>
        <w:bottom w:val="none" w:sz="0" w:space="0" w:color="auto"/>
        <w:right w:val="none" w:sz="0" w:space="0" w:color="auto"/>
      </w:divBdr>
    </w:div>
    <w:div w:id="1652320503">
      <w:bodyDiv w:val="1"/>
      <w:marLeft w:val="0"/>
      <w:marRight w:val="0"/>
      <w:marTop w:val="0"/>
      <w:marBottom w:val="0"/>
      <w:divBdr>
        <w:top w:val="none" w:sz="0" w:space="0" w:color="auto"/>
        <w:left w:val="none" w:sz="0" w:space="0" w:color="auto"/>
        <w:bottom w:val="none" w:sz="0" w:space="0" w:color="auto"/>
        <w:right w:val="none" w:sz="0" w:space="0" w:color="auto"/>
      </w:divBdr>
    </w:div>
    <w:div w:id="1652323071">
      <w:bodyDiv w:val="1"/>
      <w:marLeft w:val="0"/>
      <w:marRight w:val="0"/>
      <w:marTop w:val="0"/>
      <w:marBottom w:val="0"/>
      <w:divBdr>
        <w:top w:val="none" w:sz="0" w:space="0" w:color="auto"/>
        <w:left w:val="none" w:sz="0" w:space="0" w:color="auto"/>
        <w:bottom w:val="none" w:sz="0" w:space="0" w:color="auto"/>
        <w:right w:val="none" w:sz="0" w:space="0" w:color="auto"/>
      </w:divBdr>
    </w:div>
    <w:div w:id="1652372073">
      <w:bodyDiv w:val="1"/>
      <w:marLeft w:val="0"/>
      <w:marRight w:val="0"/>
      <w:marTop w:val="0"/>
      <w:marBottom w:val="0"/>
      <w:divBdr>
        <w:top w:val="none" w:sz="0" w:space="0" w:color="auto"/>
        <w:left w:val="none" w:sz="0" w:space="0" w:color="auto"/>
        <w:bottom w:val="none" w:sz="0" w:space="0" w:color="auto"/>
        <w:right w:val="none" w:sz="0" w:space="0" w:color="auto"/>
      </w:divBdr>
    </w:div>
    <w:div w:id="1652440686">
      <w:bodyDiv w:val="1"/>
      <w:marLeft w:val="0"/>
      <w:marRight w:val="0"/>
      <w:marTop w:val="0"/>
      <w:marBottom w:val="0"/>
      <w:divBdr>
        <w:top w:val="none" w:sz="0" w:space="0" w:color="auto"/>
        <w:left w:val="none" w:sz="0" w:space="0" w:color="auto"/>
        <w:bottom w:val="none" w:sz="0" w:space="0" w:color="auto"/>
        <w:right w:val="none" w:sz="0" w:space="0" w:color="auto"/>
      </w:divBdr>
    </w:div>
    <w:div w:id="1652445663">
      <w:bodyDiv w:val="1"/>
      <w:marLeft w:val="0"/>
      <w:marRight w:val="0"/>
      <w:marTop w:val="0"/>
      <w:marBottom w:val="0"/>
      <w:divBdr>
        <w:top w:val="none" w:sz="0" w:space="0" w:color="auto"/>
        <w:left w:val="none" w:sz="0" w:space="0" w:color="auto"/>
        <w:bottom w:val="none" w:sz="0" w:space="0" w:color="auto"/>
        <w:right w:val="none" w:sz="0" w:space="0" w:color="auto"/>
      </w:divBdr>
    </w:div>
    <w:div w:id="1652560625">
      <w:bodyDiv w:val="1"/>
      <w:marLeft w:val="0"/>
      <w:marRight w:val="0"/>
      <w:marTop w:val="0"/>
      <w:marBottom w:val="0"/>
      <w:divBdr>
        <w:top w:val="none" w:sz="0" w:space="0" w:color="auto"/>
        <w:left w:val="none" w:sz="0" w:space="0" w:color="auto"/>
        <w:bottom w:val="none" w:sz="0" w:space="0" w:color="auto"/>
        <w:right w:val="none" w:sz="0" w:space="0" w:color="auto"/>
      </w:divBdr>
    </w:div>
    <w:div w:id="1652949966">
      <w:bodyDiv w:val="1"/>
      <w:marLeft w:val="0"/>
      <w:marRight w:val="0"/>
      <w:marTop w:val="0"/>
      <w:marBottom w:val="0"/>
      <w:divBdr>
        <w:top w:val="none" w:sz="0" w:space="0" w:color="auto"/>
        <w:left w:val="none" w:sz="0" w:space="0" w:color="auto"/>
        <w:bottom w:val="none" w:sz="0" w:space="0" w:color="auto"/>
        <w:right w:val="none" w:sz="0" w:space="0" w:color="auto"/>
      </w:divBdr>
    </w:div>
    <w:div w:id="1653101755">
      <w:bodyDiv w:val="1"/>
      <w:marLeft w:val="0"/>
      <w:marRight w:val="0"/>
      <w:marTop w:val="0"/>
      <w:marBottom w:val="0"/>
      <w:divBdr>
        <w:top w:val="none" w:sz="0" w:space="0" w:color="auto"/>
        <w:left w:val="none" w:sz="0" w:space="0" w:color="auto"/>
        <w:bottom w:val="none" w:sz="0" w:space="0" w:color="auto"/>
        <w:right w:val="none" w:sz="0" w:space="0" w:color="auto"/>
      </w:divBdr>
    </w:div>
    <w:div w:id="1653219272">
      <w:bodyDiv w:val="1"/>
      <w:marLeft w:val="0"/>
      <w:marRight w:val="0"/>
      <w:marTop w:val="0"/>
      <w:marBottom w:val="0"/>
      <w:divBdr>
        <w:top w:val="none" w:sz="0" w:space="0" w:color="auto"/>
        <w:left w:val="none" w:sz="0" w:space="0" w:color="auto"/>
        <w:bottom w:val="none" w:sz="0" w:space="0" w:color="auto"/>
        <w:right w:val="none" w:sz="0" w:space="0" w:color="auto"/>
      </w:divBdr>
    </w:div>
    <w:div w:id="1653288025">
      <w:bodyDiv w:val="1"/>
      <w:marLeft w:val="0"/>
      <w:marRight w:val="0"/>
      <w:marTop w:val="0"/>
      <w:marBottom w:val="0"/>
      <w:divBdr>
        <w:top w:val="none" w:sz="0" w:space="0" w:color="auto"/>
        <w:left w:val="none" w:sz="0" w:space="0" w:color="auto"/>
        <w:bottom w:val="none" w:sz="0" w:space="0" w:color="auto"/>
        <w:right w:val="none" w:sz="0" w:space="0" w:color="auto"/>
      </w:divBdr>
    </w:div>
    <w:div w:id="1653290736">
      <w:bodyDiv w:val="1"/>
      <w:marLeft w:val="0"/>
      <w:marRight w:val="0"/>
      <w:marTop w:val="0"/>
      <w:marBottom w:val="0"/>
      <w:divBdr>
        <w:top w:val="none" w:sz="0" w:space="0" w:color="auto"/>
        <w:left w:val="none" w:sz="0" w:space="0" w:color="auto"/>
        <w:bottom w:val="none" w:sz="0" w:space="0" w:color="auto"/>
        <w:right w:val="none" w:sz="0" w:space="0" w:color="auto"/>
      </w:divBdr>
    </w:div>
    <w:div w:id="1653294816">
      <w:bodyDiv w:val="1"/>
      <w:marLeft w:val="0"/>
      <w:marRight w:val="0"/>
      <w:marTop w:val="0"/>
      <w:marBottom w:val="0"/>
      <w:divBdr>
        <w:top w:val="none" w:sz="0" w:space="0" w:color="auto"/>
        <w:left w:val="none" w:sz="0" w:space="0" w:color="auto"/>
        <w:bottom w:val="none" w:sz="0" w:space="0" w:color="auto"/>
        <w:right w:val="none" w:sz="0" w:space="0" w:color="auto"/>
      </w:divBdr>
    </w:div>
    <w:div w:id="1653413908">
      <w:bodyDiv w:val="1"/>
      <w:marLeft w:val="0"/>
      <w:marRight w:val="0"/>
      <w:marTop w:val="0"/>
      <w:marBottom w:val="0"/>
      <w:divBdr>
        <w:top w:val="none" w:sz="0" w:space="0" w:color="auto"/>
        <w:left w:val="none" w:sz="0" w:space="0" w:color="auto"/>
        <w:bottom w:val="none" w:sz="0" w:space="0" w:color="auto"/>
        <w:right w:val="none" w:sz="0" w:space="0" w:color="auto"/>
      </w:divBdr>
    </w:div>
    <w:div w:id="1653561257">
      <w:bodyDiv w:val="1"/>
      <w:marLeft w:val="0"/>
      <w:marRight w:val="0"/>
      <w:marTop w:val="0"/>
      <w:marBottom w:val="0"/>
      <w:divBdr>
        <w:top w:val="none" w:sz="0" w:space="0" w:color="auto"/>
        <w:left w:val="none" w:sz="0" w:space="0" w:color="auto"/>
        <w:bottom w:val="none" w:sz="0" w:space="0" w:color="auto"/>
        <w:right w:val="none" w:sz="0" w:space="0" w:color="auto"/>
      </w:divBdr>
    </w:div>
    <w:div w:id="1653563677">
      <w:bodyDiv w:val="1"/>
      <w:marLeft w:val="0"/>
      <w:marRight w:val="0"/>
      <w:marTop w:val="0"/>
      <w:marBottom w:val="0"/>
      <w:divBdr>
        <w:top w:val="none" w:sz="0" w:space="0" w:color="auto"/>
        <w:left w:val="none" w:sz="0" w:space="0" w:color="auto"/>
        <w:bottom w:val="none" w:sz="0" w:space="0" w:color="auto"/>
        <w:right w:val="none" w:sz="0" w:space="0" w:color="auto"/>
      </w:divBdr>
    </w:div>
    <w:div w:id="1653632536">
      <w:bodyDiv w:val="1"/>
      <w:marLeft w:val="0"/>
      <w:marRight w:val="0"/>
      <w:marTop w:val="0"/>
      <w:marBottom w:val="0"/>
      <w:divBdr>
        <w:top w:val="none" w:sz="0" w:space="0" w:color="auto"/>
        <w:left w:val="none" w:sz="0" w:space="0" w:color="auto"/>
        <w:bottom w:val="none" w:sz="0" w:space="0" w:color="auto"/>
        <w:right w:val="none" w:sz="0" w:space="0" w:color="auto"/>
      </w:divBdr>
    </w:div>
    <w:div w:id="1653677176">
      <w:bodyDiv w:val="1"/>
      <w:marLeft w:val="0"/>
      <w:marRight w:val="0"/>
      <w:marTop w:val="0"/>
      <w:marBottom w:val="0"/>
      <w:divBdr>
        <w:top w:val="none" w:sz="0" w:space="0" w:color="auto"/>
        <w:left w:val="none" w:sz="0" w:space="0" w:color="auto"/>
        <w:bottom w:val="none" w:sz="0" w:space="0" w:color="auto"/>
        <w:right w:val="none" w:sz="0" w:space="0" w:color="auto"/>
      </w:divBdr>
    </w:div>
    <w:div w:id="1653752180">
      <w:bodyDiv w:val="1"/>
      <w:marLeft w:val="0"/>
      <w:marRight w:val="0"/>
      <w:marTop w:val="0"/>
      <w:marBottom w:val="0"/>
      <w:divBdr>
        <w:top w:val="none" w:sz="0" w:space="0" w:color="auto"/>
        <w:left w:val="none" w:sz="0" w:space="0" w:color="auto"/>
        <w:bottom w:val="none" w:sz="0" w:space="0" w:color="auto"/>
        <w:right w:val="none" w:sz="0" w:space="0" w:color="auto"/>
      </w:divBdr>
    </w:div>
    <w:div w:id="1653754274">
      <w:bodyDiv w:val="1"/>
      <w:marLeft w:val="0"/>
      <w:marRight w:val="0"/>
      <w:marTop w:val="0"/>
      <w:marBottom w:val="0"/>
      <w:divBdr>
        <w:top w:val="none" w:sz="0" w:space="0" w:color="auto"/>
        <w:left w:val="none" w:sz="0" w:space="0" w:color="auto"/>
        <w:bottom w:val="none" w:sz="0" w:space="0" w:color="auto"/>
        <w:right w:val="none" w:sz="0" w:space="0" w:color="auto"/>
      </w:divBdr>
    </w:div>
    <w:div w:id="1653754701">
      <w:bodyDiv w:val="1"/>
      <w:marLeft w:val="0"/>
      <w:marRight w:val="0"/>
      <w:marTop w:val="0"/>
      <w:marBottom w:val="0"/>
      <w:divBdr>
        <w:top w:val="none" w:sz="0" w:space="0" w:color="auto"/>
        <w:left w:val="none" w:sz="0" w:space="0" w:color="auto"/>
        <w:bottom w:val="none" w:sz="0" w:space="0" w:color="auto"/>
        <w:right w:val="none" w:sz="0" w:space="0" w:color="auto"/>
      </w:divBdr>
    </w:div>
    <w:div w:id="1653756112">
      <w:bodyDiv w:val="1"/>
      <w:marLeft w:val="0"/>
      <w:marRight w:val="0"/>
      <w:marTop w:val="0"/>
      <w:marBottom w:val="0"/>
      <w:divBdr>
        <w:top w:val="none" w:sz="0" w:space="0" w:color="auto"/>
        <w:left w:val="none" w:sz="0" w:space="0" w:color="auto"/>
        <w:bottom w:val="none" w:sz="0" w:space="0" w:color="auto"/>
        <w:right w:val="none" w:sz="0" w:space="0" w:color="auto"/>
      </w:divBdr>
    </w:div>
    <w:div w:id="1653756419">
      <w:bodyDiv w:val="1"/>
      <w:marLeft w:val="0"/>
      <w:marRight w:val="0"/>
      <w:marTop w:val="0"/>
      <w:marBottom w:val="0"/>
      <w:divBdr>
        <w:top w:val="none" w:sz="0" w:space="0" w:color="auto"/>
        <w:left w:val="none" w:sz="0" w:space="0" w:color="auto"/>
        <w:bottom w:val="none" w:sz="0" w:space="0" w:color="auto"/>
        <w:right w:val="none" w:sz="0" w:space="0" w:color="auto"/>
      </w:divBdr>
    </w:div>
    <w:div w:id="1653827576">
      <w:bodyDiv w:val="1"/>
      <w:marLeft w:val="0"/>
      <w:marRight w:val="0"/>
      <w:marTop w:val="0"/>
      <w:marBottom w:val="0"/>
      <w:divBdr>
        <w:top w:val="none" w:sz="0" w:space="0" w:color="auto"/>
        <w:left w:val="none" w:sz="0" w:space="0" w:color="auto"/>
        <w:bottom w:val="none" w:sz="0" w:space="0" w:color="auto"/>
        <w:right w:val="none" w:sz="0" w:space="0" w:color="auto"/>
      </w:divBdr>
    </w:div>
    <w:div w:id="1654022878">
      <w:bodyDiv w:val="1"/>
      <w:marLeft w:val="0"/>
      <w:marRight w:val="0"/>
      <w:marTop w:val="0"/>
      <w:marBottom w:val="0"/>
      <w:divBdr>
        <w:top w:val="none" w:sz="0" w:space="0" w:color="auto"/>
        <w:left w:val="none" w:sz="0" w:space="0" w:color="auto"/>
        <w:bottom w:val="none" w:sz="0" w:space="0" w:color="auto"/>
        <w:right w:val="none" w:sz="0" w:space="0" w:color="auto"/>
      </w:divBdr>
    </w:div>
    <w:div w:id="1654024557">
      <w:bodyDiv w:val="1"/>
      <w:marLeft w:val="0"/>
      <w:marRight w:val="0"/>
      <w:marTop w:val="0"/>
      <w:marBottom w:val="0"/>
      <w:divBdr>
        <w:top w:val="none" w:sz="0" w:space="0" w:color="auto"/>
        <w:left w:val="none" w:sz="0" w:space="0" w:color="auto"/>
        <w:bottom w:val="none" w:sz="0" w:space="0" w:color="auto"/>
        <w:right w:val="none" w:sz="0" w:space="0" w:color="auto"/>
      </w:divBdr>
    </w:div>
    <w:div w:id="1654026632">
      <w:bodyDiv w:val="1"/>
      <w:marLeft w:val="0"/>
      <w:marRight w:val="0"/>
      <w:marTop w:val="0"/>
      <w:marBottom w:val="0"/>
      <w:divBdr>
        <w:top w:val="none" w:sz="0" w:space="0" w:color="auto"/>
        <w:left w:val="none" w:sz="0" w:space="0" w:color="auto"/>
        <w:bottom w:val="none" w:sz="0" w:space="0" w:color="auto"/>
        <w:right w:val="none" w:sz="0" w:space="0" w:color="auto"/>
      </w:divBdr>
    </w:div>
    <w:div w:id="1654063849">
      <w:bodyDiv w:val="1"/>
      <w:marLeft w:val="0"/>
      <w:marRight w:val="0"/>
      <w:marTop w:val="0"/>
      <w:marBottom w:val="0"/>
      <w:divBdr>
        <w:top w:val="none" w:sz="0" w:space="0" w:color="auto"/>
        <w:left w:val="none" w:sz="0" w:space="0" w:color="auto"/>
        <w:bottom w:val="none" w:sz="0" w:space="0" w:color="auto"/>
        <w:right w:val="none" w:sz="0" w:space="0" w:color="auto"/>
      </w:divBdr>
    </w:div>
    <w:div w:id="1654136708">
      <w:bodyDiv w:val="1"/>
      <w:marLeft w:val="0"/>
      <w:marRight w:val="0"/>
      <w:marTop w:val="0"/>
      <w:marBottom w:val="0"/>
      <w:divBdr>
        <w:top w:val="none" w:sz="0" w:space="0" w:color="auto"/>
        <w:left w:val="none" w:sz="0" w:space="0" w:color="auto"/>
        <w:bottom w:val="none" w:sz="0" w:space="0" w:color="auto"/>
        <w:right w:val="none" w:sz="0" w:space="0" w:color="auto"/>
      </w:divBdr>
    </w:div>
    <w:div w:id="1654139774">
      <w:bodyDiv w:val="1"/>
      <w:marLeft w:val="0"/>
      <w:marRight w:val="0"/>
      <w:marTop w:val="0"/>
      <w:marBottom w:val="0"/>
      <w:divBdr>
        <w:top w:val="none" w:sz="0" w:space="0" w:color="auto"/>
        <w:left w:val="none" w:sz="0" w:space="0" w:color="auto"/>
        <w:bottom w:val="none" w:sz="0" w:space="0" w:color="auto"/>
        <w:right w:val="none" w:sz="0" w:space="0" w:color="auto"/>
      </w:divBdr>
    </w:div>
    <w:div w:id="1654142376">
      <w:bodyDiv w:val="1"/>
      <w:marLeft w:val="0"/>
      <w:marRight w:val="0"/>
      <w:marTop w:val="0"/>
      <w:marBottom w:val="0"/>
      <w:divBdr>
        <w:top w:val="none" w:sz="0" w:space="0" w:color="auto"/>
        <w:left w:val="none" w:sz="0" w:space="0" w:color="auto"/>
        <w:bottom w:val="none" w:sz="0" w:space="0" w:color="auto"/>
        <w:right w:val="none" w:sz="0" w:space="0" w:color="auto"/>
      </w:divBdr>
    </w:div>
    <w:div w:id="1654483684">
      <w:bodyDiv w:val="1"/>
      <w:marLeft w:val="0"/>
      <w:marRight w:val="0"/>
      <w:marTop w:val="0"/>
      <w:marBottom w:val="0"/>
      <w:divBdr>
        <w:top w:val="none" w:sz="0" w:space="0" w:color="auto"/>
        <w:left w:val="none" w:sz="0" w:space="0" w:color="auto"/>
        <w:bottom w:val="none" w:sz="0" w:space="0" w:color="auto"/>
        <w:right w:val="none" w:sz="0" w:space="0" w:color="auto"/>
      </w:divBdr>
    </w:div>
    <w:div w:id="1654599335">
      <w:bodyDiv w:val="1"/>
      <w:marLeft w:val="0"/>
      <w:marRight w:val="0"/>
      <w:marTop w:val="0"/>
      <w:marBottom w:val="0"/>
      <w:divBdr>
        <w:top w:val="none" w:sz="0" w:space="0" w:color="auto"/>
        <w:left w:val="none" w:sz="0" w:space="0" w:color="auto"/>
        <w:bottom w:val="none" w:sz="0" w:space="0" w:color="auto"/>
        <w:right w:val="none" w:sz="0" w:space="0" w:color="auto"/>
      </w:divBdr>
    </w:div>
    <w:div w:id="1654605780">
      <w:bodyDiv w:val="1"/>
      <w:marLeft w:val="0"/>
      <w:marRight w:val="0"/>
      <w:marTop w:val="0"/>
      <w:marBottom w:val="0"/>
      <w:divBdr>
        <w:top w:val="none" w:sz="0" w:space="0" w:color="auto"/>
        <w:left w:val="none" w:sz="0" w:space="0" w:color="auto"/>
        <w:bottom w:val="none" w:sz="0" w:space="0" w:color="auto"/>
        <w:right w:val="none" w:sz="0" w:space="0" w:color="auto"/>
      </w:divBdr>
    </w:div>
    <w:div w:id="1654677467">
      <w:bodyDiv w:val="1"/>
      <w:marLeft w:val="0"/>
      <w:marRight w:val="0"/>
      <w:marTop w:val="0"/>
      <w:marBottom w:val="0"/>
      <w:divBdr>
        <w:top w:val="none" w:sz="0" w:space="0" w:color="auto"/>
        <w:left w:val="none" w:sz="0" w:space="0" w:color="auto"/>
        <w:bottom w:val="none" w:sz="0" w:space="0" w:color="auto"/>
        <w:right w:val="none" w:sz="0" w:space="0" w:color="auto"/>
      </w:divBdr>
    </w:div>
    <w:div w:id="1654679385">
      <w:bodyDiv w:val="1"/>
      <w:marLeft w:val="0"/>
      <w:marRight w:val="0"/>
      <w:marTop w:val="0"/>
      <w:marBottom w:val="0"/>
      <w:divBdr>
        <w:top w:val="none" w:sz="0" w:space="0" w:color="auto"/>
        <w:left w:val="none" w:sz="0" w:space="0" w:color="auto"/>
        <w:bottom w:val="none" w:sz="0" w:space="0" w:color="auto"/>
        <w:right w:val="none" w:sz="0" w:space="0" w:color="auto"/>
      </w:divBdr>
    </w:div>
    <w:div w:id="1654748611">
      <w:bodyDiv w:val="1"/>
      <w:marLeft w:val="0"/>
      <w:marRight w:val="0"/>
      <w:marTop w:val="0"/>
      <w:marBottom w:val="0"/>
      <w:divBdr>
        <w:top w:val="none" w:sz="0" w:space="0" w:color="auto"/>
        <w:left w:val="none" w:sz="0" w:space="0" w:color="auto"/>
        <w:bottom w:val="none" w:sz="0" w:space="0" w:color="auto"/>
        <w:right w:val="none" w:sz="0" w:space="0" w:color="auto"/>
      </w:divBdr>
    </w:div>
    <w:div w:id="1654916619">
      <w:bodyDiv w:val="1"/>
      <w:marLeft w:val="0"/>
      <w:marRight w:val="0"/>
      <w:marTop w:val="0"/>
      <w:marBottom w:val="0"/>
      <w:divBdr>
        <w:top w:val="none" w:sz="0" w:space="0" w:color="auto"/>
        <w:left w:val="none" w:sz="0" w:space="0" w:color="auto"/>
        <w:bottom w:val="none" w:sz="0" w:space="0" w:color="auto"/>
        <w:right w:val="none" w:sz="0" w:space="0" w:color="auto"/>
      </w:divBdr>
    </w:div>
    <w:div w:id="1654944749">
      <w:bodyDiv w:val="1"/>
      <w:marLeft w:val="0"/>
      <w:marRight w:val="0"/>
      <w:marTop w:val="0"/>
      <w:marBottom w:val="0"/>
      <w:divBdr>
        <w:top w:val="none" w:sz="0" w:space="0" w:color="auto"/>
        <w:left w:val="none" w:sz="0" w:space="0" w:color="auto"/>
        <w:bottom w:val="none" w:sz="0" w:space="0" w:color="auto"/>
        <w:right w:val="none" w:sz="0" w:space="0" w:color="auto"/>
      </w:divBdr>
    </w:div>
    <w:div w:id="1654991378">
      <w:bodyDiv w:val="1"/>
      <w:marLeft w:val="0"/>
      <w:marRight w:val="0"/>
      <w:marTop w:val="0"/>
      <w:marBottom w:val="0"/>
      <w:divBdr>
        <w:top w:val="none" w:sz="0" w:space="0" w:color="auto"/>
        <w:left w:val="none" w:sz="0" w:space="0" w:color="auto"/>
        <w:bottom w:val="none" w:sz="0" w:space="0" w:color="auto"/>
        <w:right w:val="none" w:sz="0" w:space="0" w:color="auto"/>
      </w:divBdr>
    </w:div>
    <w:div w:id="1655059899">
      <w:bodyDiv w:val="1"/>
      <w:marLeft w:val="0"/>
      <w:marRight w:val="0"/>
      <w:marTop w:val="0"/>
      <w:marBottom w:val="0"/>
      <w:divBdr>
        <w:top w:val="none" w:sz="0" w:space="0" w:color="auto"/>
        <w:left w:val="none" w:sz="0" w:space="0" w:color="auto"/>
        <w:bottom w:val="none" w:sz="0" w:space="0" w:color="auto"/>
        <w:right w:val="none" w:sz="0" w:space="0" w:color="auto"/>
      </w:divBdr>
    </w:div>
    <w:div w:id="1655143584">
      <w:bodyDiv w:val="1"/>
      <w:marLeft w:val="0"/>
      <w:marRight w:val="0"/>
      <w:marTop w:val="0"/>
      <w:marBottom w:val="0"/>
      <w:divBdr>
        <w:top w:val="none" w:sz="0" w:space="0" w:color="auto"/>
        <w:left w:val="none" w:sz="0" w:space="0" w:color="auto"/>
        <w:bottom w:val="none" w:sz="0" w:space="0" w:color="auto"/>
        <w:right w:val="none" w:sz="0" w:space="0" w:color="auto"/>
      </w:divBdr>
    </w:div>
    <w:div w:id="1655177901">
      <w:bodyDiv w:val="1"/>
      <w:marLeft w:val="0"/>
      <w:marRight w:val="0"/>
      <w:marTop w:val="0"/>
      <w:marBottom w:val="0"/>
      <w:divBdr>
        <w:top w:val="none" w:sz="0" w:space="0" w:color="auto"/>
        <w:left w:val="none" w:sz="0" w:space="0" w:color="auto"/>
        <w:bottom w:val="none" w:sz="0" w:space="0" w:color="auto"/>
        <w:right w:val="none" w:sz="0" w:space="0" w:color="auto"/>
      </w:divBdr>
    </w:div>
    <w:div w:id="1655254085">
      <w:bodyDiv w:val="1"/>
      <w:marLeft w:val="0"/>
      <w:marRight w:val="0"/>
      <w:marTop w:val="0"/>
      <w:marBottom w:val="0"/>
      <w:divBdr>
        <w:top w:val="none" w:sz="0" w:space="0" w:color="auto"/>
        <w:left w:val="none" w:sz="0" w:space="0" w:color="auto"/>
        <w:bottom w:val="none" w:sz="0" w:space="0" w:color="auto"/>
        <w:right w:val="none" w:sz="0" w:space="0" w:color="auto"/>
      </w:divBdr>
    </w:div>
    <w:div w:id="1655329565">
      <w:bodyDiv w:val="1"/>
      <w:marLeft w:val="0"/>
      <w:marRight w:val="0"/>
      <w:marTop w:val="0"/>
      <w:marBottom w:val="0"/>
      <w:divBdr>
        <w:top w:val="none" w:sz="0" w:space="0" w:color="auto"/>
        <w:left w:val="none" w:sz="0" w:space="0" w:color="auto"/>
        <w:bottom w:val="none" w:sz="0" w:space="0" w:color="auto"/>
        <w:right w:val="none" w:sz="0" w:space="0" w:color="auto"/>
      </w:divBdr>
    </w:div>
    <w:div w:id="1655335646">
      <w:bodyDiv w:val="1"/>
      <w:marLeft w:val="0"/>
      <w:marRight w:val="0"/>
      <w:marTop w:val="0"/>
      <w:marBottom w:val="0"/>
      <w:divBdr>
        <w:top w:val="none" w:sz="0" w:space="0" w:color="auto"/>
        <w:left w:val="none" w:sz="0" w:space="0" w:color="auto"/>
        <w:bottom w:val="none" w:sz="0" w:space="0" w:color="auto"/>
        <w:right w:val="none" w:sz="0" w:space="0" w:color="auto"/>
      </w:divBdr>
    </w:div>
    <w:div w:id="1655449149">
      <w:bodyDiv w:val="1"/>
      <w:marLeft w:val="0"/>
      <w:marRight w:val="0"/>
      <w:marTop w:val="0"/>
      <w:marBottom w:val="0"/>
      <w:divBdr>
        <w:top w:val="none" w:sz="0" w:space="0" w:color="auto"/>
        <w:left w:val="none" w:sz="0" w:space="0" w:color="auto"/>
        <w:bottom w:val="none" w:sz="0" w:space="0" w:color="auto"/>
        <w:right w:val="none" w:sz="0" w:space="0" w:color="auto"/>
      </w:divBdr>
    </w:div>
    <w:div w:id="1655986946">
      <w:bodyDiv w:val="1"/>
      <w:marLeft w:val="0"/>
      <w:marRight w:val="0"/>
      <w:marTop w:val="0"/>
      <w:marBottom w:val="0"/>
      <w:divBdr>
        <w:top w:val="none" w:sz="0" w:space="0" w:color="auto"/>
        <w:left w:val="none" w:sz="0" w:space="0" w:color="auto"/>
        <w:bottom w:val="none" w:sz="0" w:space="0" w:color="auto"/>
        <w:right w:val="none" w:sz="0" w:space="0" w:color="auto"/>
      </w:divBdr>
    </w:div>
    <w:div w:id="1655991743">
      <w:bodyDiv w:val="1"/>
      <w:marLeft w:val="0"/>
      <w:marRight w:val="0"/>
      <w:marTop w:val="0"/>
      <w:marBottom w:val="0"/>
      <w:divBdr>
        <w:top w:val="none" w:sz="0" w:space="0" w:color="auto"/>
        <w:left w:val="none" w:sz="0" w:space="0" w:color="auto"/>
        <w:bottom w:val="none" w:sz="0" w:space="0" w:color="auto"/>
        <w:right w:val="none" w:sz="0" w:space="0" w:color="auto"/>
      </w:divBdr>
    </w:div>
    <w:div w:id="1656034184">
      <w:bodyDiv w:val="1"/>
      <w:marLeft w:val="0"/>
      <w:marRight w:val="0"/>
      <w:marTop w:val="0"/>
      <w:marBottom w:val="0"/>
      <w:divBdr>
        <w:top w:val="none" w:sz="0" w:space="0" w:color="auto"/>
        <w:left w:val="none" w:sz="0" w:space="0" w:color="auto"/>
        <w:bottom w:val="none" w:sz="0" w:space="0" w:color="auto"/>
        <w:right w:val="none" w:sz="0" w:space="0" w:color="auto"/>
      </w:divBdr>
    </w:div>
    <w:div w:id="1656110207">
      <w:bodyDiv w:val="1"/>
      <w:marLeft w:val="0"/>
      <w:marRight w:val="0"/>
      <w:marTop w:val="0"/>
      <w:marBottom w:val="0"/>
      <w:divBdr>
        <w:top w:val="none" w:sz="0" w:space="0" w:color="auto"/>
        <w:left w:val="none" w:sz="0" w:space="0" w:color="auto"/>
        <w:bottom w:val="none" w:sz="0" w:space="0" w:color="auto"/>
        <w:right w:val="none" w:sz="0" w:space="0" w:color="auto"/>
      </w:divBdr>
    </w:div>
    <w:div w:id="1656227495">
      <w:bodyDiv w:val="1"/>
      <w:marLeft w:val="0"/>
      <w:marRight w:val="0"/>
      <w:marTop w:val="0"/>
      <w:marBottom w:val="0"/>
      <w:divBdr>
        <w:top w:val="none" w:sz="0" w:space="0" w:color="auto"/>
        <w:left w:val="none" w:sz="0" w:space="0" w:color="auto"/>
        <w:bottom w:val="none" w:sz="0" w:space="0" w:color="auto"/>
        <w:right w:val="none" w:sz="0" w:space="0" w:color="auto"/>
      </w:divBdr>
    </w:div>
    <w:div w:id="1656294802">
      <w:bodyDiv w:val="1"/>
      <w:marLeft w:val="0"/>
      <w:marRight w:val="0"/>
      <w:marTop w:val="0"/>
      <w:marBottom w:val="0"/>
      <w:divBdr>
        <w:top w:val="none" w:sz="0" w:space="0" w:color="auto"/>
        <w:left w:val="none" w:sz="0" w:space="0" w:color="auto"/>
        <w:bottom w:val="none" w:sz="0" w:space="0" w:color="auto"/>
        <w:right w:val="none" w:sz="0" w:space="0" w:color="auto"/>
      </w:divBdr>
    </w:div>
    <w:div w:id="1656492318">
      <w:bodyDiv w:val="1"/>
      <w:marLeft w:val="0"/>
      <w:marRight w:val="0"/>
      <w:marTop w:val="0"/>
      <w:marBottom w:val="0"/>
      <w:divBdr>
        <w:top w:val="none" w:sz="0" w:space="0" w:color="auto"/>
        <w:left w:val="none" w:sz="0" w:space="0" w:color="auto"/>
        <w:bottom w:val="none" w:sz="0" w:space="0" w:color="auto"/>
        <w:right w:val="none" w:sz="0" w:space="0" w:color="auto"/>
      </w:divBdr>
    </w:div>
    <w:div w:id="1656566334">
      <w:bodyDiv w:val="1"/>
      <w:marLeft w:val="0"/>
      <w:marRight w:val="0"/>
      <w:marTop w:val="0"/>
      <w:marBottom w:val="0"/>
      <w:divBdr>
        <w:top w:val="none" w:sz="0" w:space="0" w:color="auto"/>
        <w:left w:val="none" w:sz="0" w:space="0" w:color="auto"/>
        <w:bottom w:val="none" w:sz="0" w:space="0" w:color="auto"/>
        <w:right w:val="none" w:sz="0" w:space="0" w:color="auto"/>
      </w:divBdr>
    </w:div>
    <w:div w:id="1656759826">
      <w:bodyDiv w:val="1"/>
      <w:marLeft w:val="0"/>
      <w:marRight w:val="0"/>
      <w:marTop w:val="0"/>
      <w:marBottom w:val="0"/>
      <w:divBdr>
        <w:top w:val="none" w:sz="0" w:space="0" w:color="auto"/>
        <w:left w:val="none" w:sz="0" w:space="0" w:color="auto"/>
        <w:bottom w:val="none" w:sz="0" w:space="0" w:color="auto"/>
        <w:right w:val="none" w:sz="0" w:space="0" w:color="auto"/>
      </w:divBdr>
    </w:div>
    <w:div w:id="1656836206">
      <w:bodyDiv w:val="1"/>
      <w:marLeft w:val="0"/>
      <w:marRight w:val="0"/>
      <w:marTop w:val="0"/>
      <w:marBottom w:val="0"/>
      <w:divBdr>
        <w:top w:val="none" w:sz="0" w:space="0" w:color="auto"/>
        <w:left w:val="none" w:sz="0" w:space="0" w:color="auto"/>
        <w:bottom w:val="none" w:sz="0" w:space="0" w:color="auto"/>
        <w:right w:val="none" w:sz="0" w:space="0" w:color="auto"/>
      </w:divBdr>
    </w:div>
    <w:div w:id="1656913780">
      <w:bodyDiv w:val="1"/>
      <w:marLeft w:val="0"/>
      <w:marRight w:val="0"/>
      <w:marTop w:val="0"/>
      <w:marBottom w:val="0"/>
      <w:divBdr>
        <w:top w:val="none" w:sz="0" w:space="0" w:color="auto"/>
        <w:left w:val="none" w:sz="0" w:space="0" w:color="auto"/>
        <w:bottom w:val="none" w:sz="0" w:space="0" w:color="auto"/>
        <w:right w:val="none" w:sz="0" w:space="0" w:color="auto"/>
      </w:divBdr>
    </w:div>
    <w:div w:id="1656954957">
      <w:bodyDiv w:val="1"/>
      <w:marLeft w:val="0"/>
      <w:marRight w:val="0"/>
      <w:marTop w:val="0"/>
      <w:marBottom w:val="0"/>
      <w:divBdr>
        <w:top w:val="none" w:sz="0" w:space="0" w:color="auto"/>
        <w:left w:val="none" w:sz="0" w:space="0" w:color="auto"/>
        <w:bottom w:val="none" w:sz="0" w:space="0" w:color="auto"/>
        <w:right w:val="none" w:sz="0" w:space="0" w:color="auto"/>
      </w:divBdr>
    </w:div>
    <w:div w:id="1657029851">
      <w:bodyDiv w:val="1"/>
      <w:marLeft w:val="0"/>
      <w:marRight w:val="0"/>
      <w:marTop w:val="0"/>
      <w:marBottom w:val="0"/>
      <w:divBdr>
        <w:top w:val="none" w:sz="0" w:space="0" w:color="auto"/>
        <w:left w:val="none" w:sz="0" w:space="0" w:color="auto"/>
        <w:bottom w:val="none" w:sz="0" w:space="0" w:color="auto"/>
        <w:right w:val="none" w:sz="0" w:space="0" w:color="auto"/>
      </w:divBdr>
    </w:div>
    <w:div w:id="1657109064">
      <w:bodyDiv w:val="1"/>
      <w:marLeft w:val="0"/>
      <w:marRight w:val="0"/>
      <w:marTop w:val="0"/>
      <w:marBottom w:val="0"/>
      <w:divBdr>
        <w:top w:val="none" w:sz="0" w:space="0" w:color="auto"/>
        <w:left w:val="none" w:sz="0" w:space="0" w:color="auto"/>
        <w:bottom w:val="none" w:sz="0" w:space="0" w:color="auto"/>
        <w:right w:val="none" w:sz="0" w:space="0" w:color="auto"/>
      </w:divBdr>
    </w:div>
    <w:div w:id="1657143849">
      <w:bodyDiv w:val="1"/>
      <w:marLeft w:val="0"/>
      <w:marRight w:val="0"/>
      <w:marTop w:val="0"/>
      <w:marBottom w:val="0"/>
      <w:divBdr>
        <w:top w:val="none" w:sz="0" w:space="0" w:color="auto"/>
        <w:left w:val="none" w:sz="0" w:space="0" w:color="auto"/>
        <w:bottom w:val="none" w:sz="0" w:space="0" w:color="auto"/>
        <w:right w:val="none" w:sz="0" w:space="0" w:color="auto"/>
      </w:divBdr>
    </w:div>
    <w:div w:id="1657301758">
      <w:bodyDiv w:val="1"/>
      <w:marLeft w:val="0"/>
      <w:marRight w:val="0"/>
      <w:marTop w:val="0"/>
      <w:marBottom w:val="0"/>
      <w:divBdr>
        <w:top w:val="none" w:sz="0" w:space="0" w:color="auto"/>
        <w:left w:val="none" w:sz="0" w:space="0" w:color="auto"/>
        <w:bottom w:val="none" w:sz="0" w:space="0" w:color="auto"/>
        <w:right w:val="none" w:sz="0" w:space="0" w:color="auto"/>
      </w:divBdr>
    </w:div>
    <w:div w:id="1657614540">
      <w:bodyDiv w:val="1"/>
      <w:marLeft w:val="0"/>
      <w:marRight w:val="0"/>
      <w:marTop w:val="0"/>
      <w:marBottom w:val="0"/>
      <w:divBdr>
        <w:top w:val="none" w:sz="0" w:space="0" w:color="auto"/>
        <w:left w:val="none" w:sz="0" w:space="0" w:color="auto"/>
        <w:bottom w:val="none" w:sz="0" w:space="0" w:color="auto"/>
        <w:right w:val="none" w:sz="0" w:space="0" w:color="auto"/>
      </w:divBdr>
    </w:div>
    <w:div w:id="1657685618">
      <w:bodyDiv w:val="1"/>
      <w:marLeft w:val="0"/>
      <w:marRight w:val="0"/>
      <w:marTop w:val="0"/>
      <w:marBottom w:val="0"/>
      <w:divBdr>
        <w:top w:val="none" w:sz="0" w:space="0" w:color="auto"/>
        <w:left w:val="none" w:sz="0" w:space="0" w:color="auto"/>
        <w:bottom w:val="none" w:sz="0" w:space="0" w:color="auto"/>
        <w:right w:val="none" w:sz="0" w:space="0" w:color="auto"/>
      </w:divBdr>
    </w:div>
    <w:div w:id="1657686712">
      <w:bodyDiv w:val="1"/>
      <w:marLeft w:val="0"/>
      <w:marRight w:val="0"/>
      <w:marTop w:val="0"/>
      <w:marBottom w:val="0"/>
      <w:divBdr>
        <w:top w:val="none" w:sz="0" w:space="0" w:color="auto"/>
        <w:left w:val="none" w:sz="0" w:space="0" w:color="auto"/>
        <w:bottom w:val="none" w:sz="0" w:space="0" w:color="auto"/>
        <w:right w:val="none" w:sz="0" w:space="0" w:color="auto"/>
      </w:divBdr>
    </w:div>
    <w:div w:id="1657764027">
      <w:bodyDiv w:val="1"/>
      <w:marLeft w:val="0"/>
      <w:marRight w:val="0"/>
      <w:marTop w:val="0"/>
      <w:marBottom w:val="0"/>
      <w:divBdr>
        <w:top w:val="none" w:sz="0" w:space="0" w:color="auto"/>
        <w:left w:val="none" w:sz="0" w:space="0" w:color="auto"/>
        <w:bottom w:val="none" w:sz="0" w:space="0" w:color="auto"/>
        <w:right w:val="none" w:sz="0" w:space="0" w:color="auto"/>
      </w:divBdr>
    </w:div>
    <w:div w:id="1657799125">
      <w:bodyDiv w:val="1"/>
      <w:marLeft w:val="0"/>
      <w:marRight w:val="0"/>
      <w:marTop w:val="0"/>
      <w:marBottom w:val="0"/>
      <w:divBdr>
        <w:top w:val="none" w:sz="0" w:space="0" w:color="auto"/>
        <w:left w:val="none" w:sz="0" w:space="0" w:color="auto"/>
        <w:bottom w:val="none" w:sz="0" w:space="0" w:color="auto"/>
        <w:right w:val="none" w:sz="0" w:space="0" w:color="auto"/>
      </w:divBdr>
    </w:div>
    <w:div w:id="1657874974">
      <w:bodyDiv w:val="1"/>
      <w:marLeft w:val="0"/>
      <w:marRight w:val="0"/>
      <w:marTop w:val="0"/>
      <w:marBottom w:val="0"/>
      <w:divBdr>
        <w:top w:val="none" w:sz="0" w:space="0" w:color="auto"/>
        <w:left w:val="none" w:sz="0" w:space="0" w:color="auto"/>
        <w:bottom w:val="none" w:sz="0" w:space="0" w:color="auto"/>
        <w:right w:val="none" w:sz="0" w:space="0" w:color="auto"/>
      </w:divBdr>
    </w:div>
    <w:div w:id="1657881764">
      <w:bodyDiv w:val="1"/>
      <w:marLeft w:val="0"/>
      <w:marRight w:val="0"/>
      <w:marTop w:val="0"/>
      <w:marBottom w:val="0"/>
      <w:divBdr>
        <w:top w:val="none" w:sz="0" w:space="0" w:color="auto"/>
        <w:left w:val="none" w:sz="0" w:space="0" w:color="auto"/>
        <w:bottom w:val="none" w:sz="0" w:space="0" w:color="auto"/>
        <w:right w:val="none" w:sz="0" w:space="0" w:color="auto"/>
      </w:divBdr>
    </w:div>
    <w:div w:id="1658027073">
      <w:bodyDiv w:val="1"/>
      <w:marLeft w:val="0"/>
      <w:marRight w:val="0"/>
      <w:marTop w:val="0"/>
      <w:marBottom w:val="0"/>
      <w:divBdr>
        <w:top w:val="none" w:sz="0" w:space="0" w:color="auto"/>
        <w:left w:val="none" w:sz="0" w:space="0" w:color="auto"/>
        <w:bottom w:val="none" w:sz="0" w:space="0" w:color="auto"/>
        <w:right w:val="none" w:sz="0" w:space="0" w:color="auto"/>
      </w:divBdr>
    </w:div>
    <w:div w:id="1658075600">
      <w:bodyDiv w:val="1"/>
      <w:marLeft w:val="0"/>
      <w:marRight w:val="0"/>
      <w:marTop w:val="0"/>
      <w:marBottom w:val="0"/>
      <w:divBdr>
        <w:top w:val="none" w:sz="0" w:space="0" w:color="auto"/>
        <w:left w:val="none" w:sz="0" w:space="0" w:color="auto"/>
        <w:bottom w:val="none" w:sz="0" w:space="0" w:color="auto"/>
        <w:right w:val="none" w:sz="0" w:space="0" w:color="auto"/>
      </w:divBdr>
    </w:div>
    <w:div w:id="1658147227">
      <w:bodyDiv w:val="1"/>
      <w:marLeft w:val="0"/>
      <w:marRight w:val="0"/>
      <w:marTop w:val="0"/>
      <w:marBottom w:val="0"/>
      <w:divBdr>
        <w:top w:val="none" w:sz="0" w:space="0" w:color="auto"/>
        <w:left w:val="none" w:sz="0" w:space="0" w:color="auto"/>
        <w:bottom w:val="none" w:sz="0" w:space="0" w:color="auto"/>
        <w:right w:val="none" w:sz="0" w:space="0" w:color="auto"/>
      </w:divBdr>
    </w:div>
    <w:div w:id="1658260706">
      <w:bodyDiv w:val="1"/>
      <w:marLeft w:val="0"/>
      <w:marRight w:val="0"/>
      <w:marTop w:val="0"/>
      <w:marBottom w:val="0"/>
      <w:divBdr>
        <w:top w:val="none" w:sz="0" w:space="0" w:color="auto"/>
        <w:left w:val="none" w:sz="0" w:space="0" w:color="auto"/>
        <w:bottom w:val="none" w:sz="0" w:space="0" w:color="auto"/>
        <w:right w:val="none" w:sz="0" w:space="0" w:color="auto"/>
      </w:divBdr>
    </w:div>
    <w:div w:id="1658269690">
      <w:bodyDiv w:val="1"/>
      <w:marLeft w:val="0"/>
      <w:marRight w:val="0"/>
      <w:marTop w:val="0"/>
      <w:marBottom w:val="0"/>
      <w:divBdr>
        <w:top w:val="none" w:sz="0" w:space="0" w:color="auto"/>
        <w:left w:val="none" w:sz="0" w:space="0" w:color="auto"/>
        <w:bottom w:val="none" w:sz="0" w:space="0" w:color="auto"/>
        <w:right w:val="none" w:sz="0" w:space="0" w:color="auto"/>
      </w:divBdr>
    </w:div>
    <w:div w:id="1658341496">
      <w:bodyDiv w:val="1"/>
      <w:marLeft w:val="0"/>
      <w:marRight w:val="0"/>
      <w:marTop w:val="0"/>
      <w:marBottom w:val="0"/>
      <w:divBdr>
        <w:top w:val="none" w:sz="0" w:space="0" w:color="auto"/>
        <w:left w:val="none" w:sz="0" w:space="0" w:color="auto"/>
        <w:bottom w:val="none" w:sz="0" w:space="0" w:color="auto"/>
        <w:right w:val="none" w:sz="0" w:space="0" w:color="auto"/>
      </w:divBdr>
    </w:div>
    <w:div w:id="1658344483">
      <w:bodyDiv w:val="1"/>
      <w:marLeft w:val="0"/>
      <w:marRight w:val="0"/>
      <w:marTop w:val="0"/>
      <w:marBottom w:val="0"/>
      <w:divBdr>
        <w:top w:val="none" w:sz="0" w:space="0" w:color="auto"/>
        <w:left w:val="none" w:sz="0" w:space="0" w:color="auto"/>
        <w:bottom w:val="none" w:sz="0" w:space="0" w:color="auto"/>
        <w:right w:val="none" w:sz="0" w:space="0" w:color="auto"/>
      </w:divBdr>
    </w:div>
    <w:div w:id="1658413108">
      <w:bodyDiv w:val="1"/>
      <w:marLeft w:val="0"/>
      <w:marRight w:val="0"/>
      <w:marTop w:val="0"/>
      <w:marBottom w:val="0"/>
      <w:divBdr>
        <w:top w:val="none" w:sz="0" w:space="0" w:color="auto"/>
        <w:left w:val="none" w:sz="0" w:space="0" w:color="auto"/>
        <w:bottom w:val="none" w:sz="0" w:space="0" w:color="auto"/>
        <w:right w:val="none" w:sz="0" w:space="0" w:color="auto"/>
      </w:divBdr>
    </w:div>
    <w:div w:id="1658454643">
      <w:bodyDiv w:val="1"/>
      <w:marLeft w:val="0"/>
      <w:marRight w:val="0"/>
      <w:marTop w:val="0"/>
      <w:marBottom w:val="0"/>
      <w:divBdr>
        <w:top w:val="none" w:sz="0" w:space="0" w:color="auto"/>
        <w:left w:val="none" w:sz="0" w:space="0" w:color="auto"/>
        <w:bottom w:val="none" w:sz="0" w:space="0" w:color="auto"/>
        <w:right w:val="none" w:sz="0" w:space="0" w:color="auto"/>
      </w:divBdr>
    </w:div>
    <w:div w:id="1658457645">
      <w:bodyDiv w:val="1"/>
      <w:marLeft w:val="0"/>
      <w:marRight w:val="0"/>
      <w:marTop w:val="0"/>
      <w:marBottom w:val="0"/>
      <w:divBdr>
        <w:top w:val="none" w:sz="0" w:space="0" w:color="auto"/>
        <w:left w:val="none" w:sz="0" w:space="0" w:color="auto"/>
        <w:bottom w:val="none" w:sz="0" w:space="0" w:color="auto"/>
        <w:right w:val="none" w:sz="0" w:space="0" w:color="auto"/>
      </w:divBdr>
    </w:div>
    <w:div w:id="1658486750">
      <w:bodyDiv w:val="1"/>
      <w:marLeft w:val="0"/>
      <w:marRight w:val="0"/>
      <w:marTop w:val="0"/>
      <w:marBottom w:val="0"/>
      <w:divBdr>
        <w:top w:val="none" w:sz="0" w:space="0" w:color="auto"/>
        <w:left w:val="none" w:sz="0" w:space="0" w:color="auto"/>
        <w:bottom w:val="none" w:sz="0" w:space="0" w:color="auto"/>
        <w:right w:val="none" w:sz="0" w:space="0" w:color="auto"/>
      </w:divBdr>
    </w:div>
    <w:div w:id="1658536294">
      <w:bodyDiv w:val="1"/>
      <w:marLeft w:val="0"/>
      <w:marRight w:val="0"/>
      <w:marTop w:val="0"/>
      <w:marBottom w:val="0"/>
      <w:divBdr>
        <w:top w:val="none" w:sz="0" w:space="0" w:color="auto"/>
        <w:left w:val="none" w:sz="0" w:space="0" w:color="auto"/>
        <w:bottom w:val="none" w:sz="0" w:space="0" w:color="auto"/>
        <w:right w:val="none" w:sz="0" w:space="0" w:color="auto"/>
      </w:divBdr>
    </w:div>
    <w:div w:id="1658651241">
      <w:bodyDiv w:val="1"/>
      <w:marLeft w:val="0"/>
      <w:marRight w:val="0"/>
      <w:marTop w:val="0"/>
      <w:marBottom w:val="0"/>
      <w:divBdr>
        <w:top w:val="none" w:sz="0" w:space="0" w:color="auto"/>
        <w:left w:val="none" w:sz="0" w:space="0" w:color="auto"/>
        <w:bottom w:val="none" w:sz="0" w:space="0" w:color="auto"/>
        <w:right w:val="none" w:sz="0" w:space="0" w:color="auto"/>
      </w:divBdr>
    </w:div>
    <w:div w:id="1658656035">
      <w:bodyDiv w:val="1"/>
      <w:marLeft w:val="0"/>
      <w:marRight w:val="0"/>
      <w:marTop w:val="0"/>
      <w:marBottom w:val="0"/>
      <w:divBdr>
        <w:top w:val="none" w:sz="0" w:space="0" w:color="auto"/>
        <w:left w:val="none" w:sz="0" w:space="0" w:color="auto"/>
        <w:bottom w:val="none" w:sz="0" w:space="0" w:color="auto"/>
        <w:right w:val="none" w:sz="0" w:space="0" w:color="auto"/>
      </w:divBdr>
    </w:div>
    <w:div w:id="1658797517">
      <w:bodyDiv w:val="1"/>
      <w:marLeft w:val="0"/>
      <w:marRight w:val="0"/>
      <w:marTop w:val="0"/>
      <w:marBottom w:val="0"/>
      <w:divBdr>
        <w:top w:val="none" w:sz="0" w:space="0" w:color="auto"/>
        <w:left w:val="none" w:sz="0" w:space="0" w:color="auto"/>
        <w:bottom w:val="none" w:sz="0" w:space="0" w:color="auto"/>
        <w:right w:val="none" w:sz="0" w:space="0" w:color="auto"/>
      </w:divBdr>
    </w:div>
    <w:div w:id="1658798497">
      <w:bodyDiv w:val="1"/>
      <w:marLeft w:val="0"/>
      <w:marRight w:val="0"/>
      <w:marTop w:val="0"/>
      <w:marBottom w:val="0"/>
      <w:divBdr>
        <w:top w:val="none" w:sz="0" w:space="0" w:color="auto"/>
        <w:left w:val="none" w:sz="0" w:space="0" w:color="auto"/>
        <w:bottom w:val="none" w:sz="0" w:space="0" w:color="auto"/>
        <w:right w:val="none" w:sz="0" w:space="0" w:color="auto"/>
      </w:divBdr>
    </w:div>
    <w:div w:id="1658849398">
      <w:bodyDiv w:val="1"/>
      <w:marLeft w:val="0"/>
      <w:marRight w:val="0"/>
      <w:marTop w:val="0"/>
      <w:marBottom w:val="0"/>
      <w:divBdr>
        <w:top w:val="none" w:sz="0" w:space="0" w:color="auto"/>
        <w:left w:val="none" w:sz="0" w:space="0" w:color="auto"/>
        <w:bottom w:val="none" w:sz="0" w:space="0" w:color="auto"/>
        <w:right w:val="none" w:sz="0" w:space="0" w:color="auto"/>
      </w:divBdr>
    </w:div>
    <w:div w:id="1658920542">
      <w:bodyDiv w:val="1"/>
      <w:marLeft w:val="0"/>
      <w:marRight w:val="0"/>
      <w:marTop w:val="0"/>
      <w:marBottom w:val="0"/>
      <w:divBdr>
        <w:top w:val="none" w:sz="0" w:space="0" w:color="auto"/>
        <w:left w:val="none" w:sz="0" w:space="0" w:color="auto"/>
        <w:bottom w:val="none" w:sz="0" w:space="0" w:color="auto"/>
        <w:right w:val="none" w:sz="0" w:space="0" w:color="auto"/>
      </w:divBdr>
    </w:div>
    <w:div w:id="1659111636">
      <w:bodyDiv w:val="1"/>
      <w:marLeft w:val="0"/>
      <w:marRight w:val="0"/>
      <w:marTop w:val="0"/>
      <w:marBottom w:val="0"/>
      <w:divBdr>
        <w:top w:val="none" w:sz="0" w:space="0" w:color="auto"/>
        <w:left w:val="none" w:sz="0" w:space="0" w:color="auto"/>
        <w:bottom w:val="none" w:sz="0" w:space="0" w:color="auto"/>
        <w:right w:val="none" w:sz="0" w:space="0" w:color="auto"/>
      </w:divBdr>
    </w:div>
    <w:div w:id="1659264705">
      <w:bodyDiv w:val="1"/>
      <w:marLeft w:val="0"/>
      <w:marRight w:val="0"/>
      <w:marTop w:val="0"/>
      <w:marBottom w:val="0"/>
      <w:divBdr>
        <w:top w:val="none" w:sz="0" w:space="0" w:color="auto"/>
        <w:left w:val="none" w:sz="0" w:space="0" w:color="auto"/>
        <w:bottom w:val="none" w:sz="0" w:space="0" w:color="auto"/>
        <w:right w:val="none" w:sz="0" w:space="0" w:color="auto"/>
      </w:divBdr>
    </w:div>
    <w:div w:id="1659267451">
      <w:bodyDiv w:val="1"/>
      <w:marLeft w:val="0"/>
      <w:marRight w:val="0"/>
      <w:marTop w:val="0"/>
      <w:marBottom w:val="0"/>
      <w:divBdr>
        <w:top w:val="none" w:sz="0" w:space="0" w:color="auto"/>
        <w:left w:val="none" w:sz="0" w:space="0" w:color="auto"/>
        <w:bottom w:val="none" w:sz="0" w:space="0" w:color="auto"/>
        <w:right w:val="none" w:sz="0" w:space="0" w:color="auto"/>
      </w:divBdr>
    </w:div>
    <w:div w:id="1659308028">
      <w:bodyDiv w:val="1"/>
      <w:marLeft w:val="0"/>
      <w:marRight w:val="0"/>
      <w:marTop w:val="0"/>
      <w:marBottom w:val="0"/>
      <w:divBdr>
        <w:top w:val="none" w:sz="0" w:space="0" w:color="auto"/>
        <w:left w:val="none" w:sz="0" w:space="0" w:color="auto"/>
        <w:bottom w:val="none" w:sz="0" w:space="0" w:color="auto"/>
        <w:right w:val="none" w:sz="0" w:space="0" w:color="auto"/>
      </w:divBdr>
    </w:div>
    <w:div w:id="1659335473">
      <w:bodyDiv w:val="1"/>
      <w:marLeft w:val="0"/>
      <w:marRight w:val="0"/>
      <w:marTop w:val="0"/>
      <w:marBottom w:val="0"/>
      <w:divBdr>
        <w:top w:val="none" w:sz="0" w:space="0" w:color="auto"/>
        <w:left w:val="none" w:sz="0" w:space="0" w:color="auto"/>
        <w:bottom w:val="none" w:sz="0" w:space="0" w:color="auto"/>
        <w:right w:val="none" w:sz="0" w:space="0" w:color="auto"/>
      </w:divBdr>
    </w:div>
    <w:div w:id="1659382155">
      <w:bodyDiv w:val="1"/>
      <w:marLeft w:val="0"/>
      <w:marRight w:val="0"/>
      <w:marTop w:val="0"/>
      <w:marBottom w:val="0"/>
      <w:divBdr>
        <w:top w:val="none" w:sz="0" w:space="0" w:color="auto"/>
        <w:left w:val="none" w:sz="0" w:space="0" w:color="auto"/>
        <w:bottom w:val="none" w:sz="0" w:space="0" w:color="auto"/>
        <w:right w:val="none" w:sz="0" w:space="0" w:color="auto"/>
      </w:divBdr>
    </w:div>
    <w:div w:id="1659384994">
      <w:bodyDiv w:val="1"/>
      <w:marLeft w:val="0"/>
      <w:marRight w:val="0"/>
      <w:marTop w:val="0"/>
      <w:marBottom w:val="0"/>
      <w:divBdr>
        <w:top w:val="none" w:sz="0" w:space="0" w:color="auto"/>
        <w:left w:val="none" w:sz="0" w:space="0" w:color="auto"/>
        <w:bottom w:val="none" w:sz="0" w:space="0" w:color="auto"/>
        <w:right w:val="none" w:sz="0" w:space="0" w:color="auto"/>
      </w:divBdr>
    </w:div>
    <w:div w:id="1659452961">
      <w:bodyDiv w:val="1"/>
      <w:marLeft w:val="0"/>
      <w:marRight w:val="0"/>
      <w:marTop w:val="0"/>
      <w:marBottom w:val="0"/>
      <w:divBdr>
        <w:top w:val="none" w:sz="0" w:space="0" w:color="auto"/>
        <w:left w:val="none" w:sz="0" w:space="0" w:color="auto"/>
        <w:bottom w:val="none" w:sz="0" w:space="0" w:color="auto"/>
        <w:right w:val="none" w:sz="0" w:space="0" w:color="auto"/>
      </w:divBdr>
    </w:div>
    <w:div w:id="1659502842">
      <w:bodyDiv w:val="1"/>
      <w:marLeft w:val="0"/>
      <w:marRight w:val="0"/>
      <w:marTop w:val="0"/>
      <w:marBottom w:val="0"/>
      <w:divBdr>
        <w:top w:val="none" w:sz="0" w:space="0" w:color="auto"/>
        <w:left w:val="none" w:sz="0" w:space="0" w:color="auto"/>
        <w:bottom w:val="none" w:sz="0" w:space="0" w:color="auto"/>
        <w:right w:val="none" w:sz="0" w:space="0" w:color="auto"/>
      </w:divBdr>
    </w:div>
    <w:div w:id="1659504439">
      <w:bodyDiv w:val="1"/>
      <w:marLeft w:val="0"/>
      <w:marRight w:val="0"/>
      <w:marTop w:val="0"/>
      <w:marBottom w:val="0"/>
      <w:divBdr>
        <w:top w:val="none" w:sz="0" w:space="0" w:color="auto"/>
        <w:left w:val="none" w:sz="0" w:space="0" w:color="auto"/>
        <w:bottom w:val="none" w:sz="0" w:space="0" w:color="auto"/>
        <w:right w:val="none" w:sz="0" w:space="0" w:color="auto"/>
      </w:divBdr>
    </w:div>
    <w:div w:id="1659571352">
      <w:bodyDiv w:val="1"/>
      <w:marLeft w:val="0"/>
      <w:marRight w:val="0"/>
      <w:marTop w:val="0"/>
      <w:marBottom w:val="0"/>
      <w:divBdr>
        <w:top w:val="none" w:sz="0" w:space="0" w:color="auto"/>
        <w:left w:val="none" w:sz="0" w:space="0" w:color="auto"/>
        <w:bottom w:val="none" w:sz="0" w:space="0" w:color="auto"/>
        <w:right w:val="none" w:sz="0" w:space="0" w:color="auto"/>
      </w:divBdr>
    </w:div>
    <w:div w:id="1659797441">
      <w:bodyDiv w:val="1"/>
      <w:marLeft w:val="0"/>
      <w:marRight w:val="0"/>
      <w:marTop w:val="0"/>
      <w:marBottom w:val="0"/>
      <w:divBdr>
        <w:top w:val="none" w:sz="0" w:space="0" w:color="auto"/>
        <w:left w:val="none" w:sz="0" w:space="0" w:color="auto"/>
        <w:bottom w:val="none" w:sz="0" w:space="0" w:color="auto"/>
        <w:right w:val="none" w:sz="0" w:space="0" w:color="auto"/>
      </w:divBdr>
    </w:div>
    <w:div w:id="1659844660">
      <w:bodyDiv w:val="1"/>
      <w:marLeft w:val="0"/>
      <w:marRight w:val="0"/>
      <w:marTop w:val="0"/>
      <w:marBottom w:val="0"/>
      <w:divBdr>
        <w:top w:val="none" w:sz="0" w:space="0" w:color="auto"/>
        <w:left w:val="none" w:sz="0" w:space="0" w:color="auto"/>
        <w:bottom w:val="none" w:sz="0" w:space="0" w:color="auto"/>
        <w:right w:val="none" w:sz="0" w:space="0" w:color="auto"/>
      </w:divBdr>
    </w:div>
    <w:div w:id="1659962234">
      <w:bodyDiv w:val="1"/>
      <w:marLeft w:val="0"/>
      <w:marRight w:val="0"/>
      <w:marTop w:val="0"/>
      <w:marBottom w:val="0"/>
      <w:divBdr>
        <w:top w:val="none" w:sz="0" w:space="0" w:color="auto"/>
        <w:left w:val="none" w:sz="0" w:space="0" w:color="auto"/>
        <w:bottom w:val="none" w:sz="0" w:space="0" w:color="auto"/>
        <w:right w:val="none" w:sz="0" w:space="0" w:color="auto"/>
      </w:divBdr>
    </w:div>
    <w:div w:id="1659963424">
      <w:bodyDiv w:val="1"/>
      <w:marLeft w:val="0"/>
      <w:marRight w:val="0"/>
      <w:marTop w:val="0"/>
      <w:marBottom w:val="0"/>
      <w:divBdr>
        <w:top w:val="none" w:sz="0" w:space="0" w:color="auto"/>
        <w:left w:val="none" w:sz="0" w:space="0" w:color="auto"/>
        <w:bottom w:val="none" w:sz="0" w:space="0" w:color="auto"/>
        <w:right w:val="none" w:sz="0" w:space="0" w:color="auto"/>
      </w:divBdr>
    </w:div>
    <w:div w:id="1660034153">
      <w:bodyDiv w:val="1"/>
      <w:marLeft w:val="0"/>
      <w:marRight w:val="0"/>
      <w:marTop w:val="0"/>
      <w:marBottom w:val="0"/>
      <w:divBdr>
        <w:top w:val="none" w:sz="0" w:space="0" w:color="auto"/>
        <w:left w:val="none" w:sz="0" w:space="0" w:color="auto"/>
        <w:bottom w:val="none" w:sz="0" w:space="0" w:color="auto"/>
        <w:right w:val="none" w:sz="0" w:space="0" w:color="auto"/>
      </w:divBdr>
    </w:div>
    <w:div w:id="1660034333">
      <w:bodyDiv w:val="1"/>
      <w:marLeft w:val="0"/>
      <w:marRight w:val="0"/>
      <w:marTop w:val="0"/>
      <w:marBottom w:val="0"/>
      <w:divBdr>
        <w:top w:val="none" w:sz="0" w:space="0" w:color="auto"/>
        <w:left w:val="none" w:sz="0" w:space="0" w:color="auto"/>
        <w:bottom w:val="none" w:sz="0" w:space="0" w:color="auto"/>
        <w:right w:val="none" w:sz="0" w:space="0" w:color="auto"/>
      </w:divBdr>
    </w:div>
    <w:div w:id="1660037871">
      <w:bodyDiv w:val="1"/>
      <w:marLeft w:val="0"/>
      <w:marRight w:val="0"/>
      <w:marTop w:val="0"/>
      <w:marBottom w:val="0"/>
      <w:divBdr>
        <w:top w:val="none" w:sz="0" w:space="0" w:color="auto"/>
        <w:left w:val="none" w:sz="0" w:space="0" w:color="auto"/>
        <w:bottom w:val="none" w:sz="0" w:space="0" w:color="auto"/>
        <w:right w:val="none" w:sz="0" w:space="0" w:color="auto"/>
      </w:divBdr>
    </w:div>
    <w:div w:id="1660042131">
      <w:bodyDiv w:val="1"/>
      <w:marLeft w:val="0"/>
      <w:marRight w:val="0"/>
      <w:marTop w:val="0"/>
      <w:marBottom w:val="0"/>
      <w:divBdr>
        <w:top w:val="none" w:sz="0" w:space="0" w:color="auto"/>
        <w:left w:val="none" w:sz="0" w:space="0" w:color="auto"/>
        <w:bottom w:val="none" w:sz="0" w:space="0" w:color="auto"/>
        <w:right w:val="none" w:sz="0" w:space="0" w:color="auto"/>
      </w:divBdr>
    </w:div>
    <w:div w:id="1660188654">
      <w:bodyDiv w:val="1"/>
      <w:marLeft w:val="0"/>
      <w:marRight w:val="0"/>
      <w:marTop w:val="0"/>
      <w:marBottom w:val="0"/>
      <w:divBdr>
        <w:top w:val="none" w:sz="0" w:space="0" w:color="auto"/>
        <w:left w:val="none" w:sz="0" w:space="0" w:color="auto"/>
        <w:bottom w:val="none" w:sz="0" w:space="0" w:color="auto"/>
        <w:right w:val="none" w:sz="0" w:space="0" w:color="auto"/>
      </w:divBdr>
    </w:div>
    <w:div w:id="1660228389">
      <w:bodyDiv w:val="1"/>
      <w:marLeft w:val="0"/>
      <w:marRight w:val="0"/>
      <w:marTop w:val="0"/>
      <w:marBottom w:val="0"/>
      <w:divBdr>
        <w:top w:val="none" w:sz="0" w:space="0" w:color="auto"/>
        <w:left w:val="none" w:sz="0" w:space="0" w:color="auto"/>
        <w:bottom w:val="none" w:sz="0" w:space="0" w:color="auto"/>
        <w:right w:val="none" w:sz="0" w:space="0" w:color="auto"/>
      </w:divBdr>
    </w:div>
    <w:div w:id="1660303297">
      <w:bodyDiv w:val="1"/>
      <w:marLeft w:val="0"/>
      <w:marRight w:val="0"/>
      <w:marTop w:val="0"/>
      <w:marBottom w:val="0"/>
      <w:divBdr>
        <w:top w:val="none" w:sz="0" w:space="0" w:color="auto"/>
        <w:left w:val="none" w:sz="0" w:space="0" w:color="auto"/>
        <w:bottom w:val="none" w:sz="0" w:space="0" w:color="auto"/>
        <w:right w:val="none" w:sz="0" w:space="0" w:color="auto"/>
      </w:divBdr>
    </w:div>
    <w:div w:id="1660306533">
      <w:bodyDiv w:val="1"/>
      <w:marLeft w:val="0"/>
      <w:marRight w:val="0"/>
      <w:marTop w:val="0"/>
      <w:marBottom w:val="0"/>
      <w:divBdr>
        <w:top w:val="none" w:sz="0" w:space="0" w:color="auto"/>
        <w:left w:val="none" w:sz="0" w:space="0" w:color="auto"/>
        <w:bottom w:val="none" w:sz="0" w:space="0" w:color="auto"/>
        <w:right w:val="none" w:sz="0" w:space="0" w:color="auto"/>
      </w:divBdr>
    </w:div>
    <w:div w:id="1660311148">
      <w:bodyDiv w:val="1"/>
      <w:marLeft w:val="0"/>
      <w:marRight w:val="0"/>
      <w:marTop w:val="0"/>
      <w:marBottom w:val="0"/>
      <w:divBdr>
        <w:top w:val="none" w:sz="0" w:space="0" w:color="auto"/>
        <w:left w:val="none" w:sz="0" w:space="0" w:color="auto"/>
        <w:bottom w:val="none" w:sz="0" w:space="0" w:color="auto"/>
        <w:right w:val="none" w:sz="0" w:space="0" w:color="auto"/>
      </w:divBdr>
    </w:div>
    <w:div w:id="1660381633">
      <w:bodyDiv w:val="1"/>
      <w:marLeft w:val="0"/>
      <w:marRight w:val="0"/>
      <w:marTop w:val="0"/>
      <w:marBottom w:val="0"/>
      <w:divBdr>
        <w:top w:val="none" w:sz="0" w:space="0" w:color="auto"/>
        <w:left w:val="none" w:sz="0" w:space="0" w:color="auto"/>
        <w:bottom w:val="none" w:sz="0" w:space="0" w:color="auto"/>
        <w:right w:val="none" w:sz="0" w:space="0" w:color="auto"/>
      </w:divBdr>
    </w:div>
    <w:div w:id="1660421678">
      <w:bodyDiv w:val="1"/>
      <w:marLeft w:val="0"/>
      <w:marRight w:val="0"/>
      <w:marTop w:val="0"/>
      <w:marBottom w:val="0"/>
      <w:divBdr>
        <w:top w:val="none" w:sz="0" w:space="0" w:color="auto"/>
        <w:left w:val="none" w:sz="0" w:space="0" w:color="auto"/>
        <w:bottom w:val="none" w:sz="0" w:space="0" w:color="auto"/>
        <w:right w:val="none" w:sz="0" w:space="0" w:color="auto"/>
      </w:divBdr>
    </w:div>
    <w:div w:id="1660425550">
      <w:bodyDiv w:val="1"/>
      <w:marLeft w:val="0"/>
      <w:marRight w:val="0"/>
      <w:marTop w:val="0"/>
      <w:marBottom w:val="0"/>
      <w:divBdr>
        <w:top w:val="none" w:sz="0" w:space="0" w:color="auto"/>
        <w:left w:val="none" w:sz="0" w:space="0" w:color="auto"/>
        <w:bottom w:val="none" w:sz="0" w:space="0" w:color="auto"/>
        <w:right w:val="none" w:sz="0" w:space="0" w:color="auto"/>
      </w:divBdr>
    </w:div>
    <w:div w:id="1660621409">
      <w:bodyDiv w:val="1"/>
      <w:marLeft w:val="0"/>
      <w:marRight w:val="0"/>
      <w:marTop w:val="0"/>
      <w:marBottom w:val="0"/>
      <w:divBdr>
        <w:top w:val="none" w:sz="0" w:space="0" w:color="auto"/>
        <w:left w:val="none" w:sz="0" w:space="0" w:color="auto"/>
        <w:bottom w:val="none" w:sz="0" w:space="0" w:color="auto"/>
        <w:right w:val="none" w:sz="0" w:space="0" w:color="auto"/>
      </w:divBdr>
    </w:div>
    <w:div w:id="1660645490">
      <w:bodyDiv w:val="1"/>
      <w:marLeft w:val="0"/>
      <w:marRight w:val="0"/>
      <w:marTop w:val="0"/>
      <w:marBottom w:val="0"/>
      <w:divBdr>
        <w:top w:val="none" w:sz="0" w:space="0" w:color="auto"/>
        <w:left w:val="none" w:sz="0" w:space="0" w:color="auto"/>
        <w:bottom w:val="none" w:sz="0" w:space="0" w:color="auto"/>
        <w:right w:val="none" w:sz="0" w:space="0" w:color="auto"/>
      </w:divBdr>
    </w:div>
    <w:div w:id="1660648346">
      <w:bodyDiv w:val="1"/>
      <w:marLeft w:val="0"/>
      <w:marRight w:val="0"/>
      <w:marTop w:val="0"/>
      <w:marBottom w:val="0"/>
      <w:divBdr>
        <w:top w:val="none" w:sz="0" w:space="0" w:color="auto"/>
        <w:left w:val="none" w:sz="0" w:space="0" w:color="auto"/>
        <w:bottom w:val="none" w:sz="0" w:space="0" w:color="auto"/>
        <w:right w:val="none" w:sz="0" w:space="0" w:color="auto"/>
      </w:divBdr>
    </w:div>
    <w:div w:id="1660770580">
      <w:bodyDiv w:val="1"/>
      <w:marLeft w:val="0"/>
      <w:marRight w:val="0"/>
      <w:marTop w:val="0"/>
      <w:marBottom w:val="0"/>
      <w:divBdr>
        <w:top w:val="none" w:sz="0" w:space="0" w:color="auto"/>
        <w:left w:val="none" w:sz="0" w:space="0" w:color="auto"/>
        <w:bottom w:val="none" w:sz="0" w:space="0" w:color="auto"/>
        <w:right w:val="none" w:sz="0" w:space="0" w:color="auto"/>
      </w:divBdr>
    </w:div>
    <w:div w:id="1660840653">
      <w:bodyDiv w:val="1"/>
      <w:marLeft w:val="0"/>
      <w:marRight w:val="0"/>
      <w:marTop w:val="0"/>
      <w:marBottom w:val="0"/>
      <w:divBdr>
        <w:top w:val="none" w:sz="0" w:space="0" w:color="auto"/>
        <w:left w:val="none" w:sz="0" w:space="0" w:color="auto"/>
        <w:bottom w:val="none" w:sz="0" w:space="0" w:color="auto"/>
        <w:right w:val="none" w:sz="0" w:space="0" w:color="auto"/>
      </w:divBdr>
    </w:div>
    <w:div w:id="1660840998">
      <w:bodyDiv w:val="1"/>
      <w:marLeft w:val="0"/>
      <w:marRight w:val="0"/>
      <w:marTop w:val="0"/>
      <w:marBottom w:val="0"/>
      <w:divBdr>
        <w:top w:val="none" w:sz="0" w:space="0" w:color="auto"/>
        <w:left w:val="none" w:sz="0" w:space="0" w:color="auto"/>
        <w:bottom w:val="none" w:sz="0" w:space="0" w:color="auto"/>
        <w:right w:val="none" w:sz="0" w:space="0" w:color="auto"/>
      </w:divBdr>
    </w:div>
    <w:div w:id="1660957548">
      <w:bodyDiv w:val="1"/>
      <w:marLeft w:val="0"/>
      <w:marRight w:val="0"/>
      <w:marTop w:val="0"/>
      <w:marBottom w:val="0"/>
      <w:divBdr>
        <w:top w:val="none" w:sz="0" w:space="0" w:color="auto"/>
        <w:left w:val="none" w:sz="0" w:space="0" w:color="auto"/>
        <w:bottom w:val="none" w:sz="0" w:space="0" w:color="auto"/>
        <w:right w:val="none" w:sz="0" w:space="0" w:color="auto"/>
      </w:divBdr>
    </w:div>
    <w:div w:id="1661152174">
      <w:bodyDiv w:val="1"/>
      <w:marLeft w:val="0"/>
      <w:marRight w:val="0"/>
      <w:marTop w:val="0"/>
      <w:marBottom w:val="0"/>
      <w:divBdr>
        <w:top w:val="none" w:sz="0" w:space="0" w:color="auto"/>
        <w:left w:val="none" w:sz="0" w:space="0" w:color="auto"/>
        <w:bottom w:val="none" w:sz="0" w:space="0" w:color="auto"/>
        <w:right w:val="none" w:sz="0" w:space="0" w:color="auto"/>
      </w:divBdr>
    </w:div>
    <w:div w:id="1661155449">
      <w:bodyDiv w:val="1"/>
      <w:marLeft w:val="0"/>
      <w:marRight w:val="0"/>
      <w:marTop w:val="0"/>
      <w:marBottom w:val="0"/>
      <w:divBdr>
        <w:top w:val="none" w:sz="0" w:space="0" w:color="auto"/>
        <w:left w:val="none" w:sz="0" w:space="0" w:color="auto"/>
        <w:bottom w:val="none" w:sz="0" w:space="0" w:color="auto"/>
        <w:right w:val="none" w:sz="0" w:space="0" w:color="auto"/>
      </w:divBdr>
    </w:div>
    <w:div w:id="1661228440">
      <w:bodyDiv w:val="1"/>
      <w:marLeft w:val="0"/>
      <w:marRight w:val="0"/>
      <w:marTop w:val="0"/>
      <w:marBottom w:val="0"/>
      <w:divBdr>
        <w:top w:val="none" w:sz="0" w:space="0" w:color="auto"/>
        <w:left w:val="none" w:sz="0" w:space="0" w:color="auto"/>
        <w:bottom w:val="none" w:sz="0" w:space="0" w:color="auto"/>
        <w:right w:val="none" w:sz="0" w:space="0" w:color="auto"/>
      </w:divBdr>
    </w:div>
    <w:div w:id="1661230096">
      <w:bodyDiv w:val="1"/>
      <w:marLeft w:val="0"/>
      <w:marRight w:val="0"/>
      <w:marTop w:val="0"/>
      <w:marBottom w:val="0"/>
      <w:divBdr>
        <w:top w:val="none" w:sz="0" w:space="0" w:color="auto"/>
        <w:left w:val="none" w:sz="0" w:space="0" w:color="auto"/>
        <w:bottom w:val="none" w:sz="0" w:space="0" w:color="auto"/>
        <w:right w:val="none" w:sz="0" w:space="0" w:color="auto"/>
      </w:divBdr>
    </w:div>
    <w:div w:id="1661303510">
      <w:bodyDiv w:val="1"/>
      <w:marLeft w:val="0"/>
      <w:marRight w:val="0"/>
      <w:marTop w:val="0"/>
      <w:marBottom w:val="0"/>
      <w:divBdr>
        <w:top w:val="none" w:sz="0" w:space="0" w:color="auto"/>
        <w:left w:val="none" w:sz="0" w:space="0" w:color="auto"/>
        <w:bottom w:val="none" w:sz="0" w:space="0" w:color="auto"/>
        <w:right w:val="none" w:sz="0" w:space="0" w:color="auto"/>
      </w:divBdr>
    </w:div>
    <w:div w:id="1661495272">
      <w:bodyDiv w:val="1"/>
      <w:marLeft w:val="0"/>
      <w:marRight w:val="0"/>
      <w:marTop w:val="0"/>
      <w:marBottom w:val="0"/>
      <w:divBdr>
        <w:top w:val="none" w:sz="0" w:space="0" w:color="auto"/>
        <w:left w:val="none" w:sz="0" w:space="0" w:color="auto"/>
        <w:bottom w:val="none" w:sz="0" w:space="0" w:color="auto"/>
        <w:right w:val="none" w:sz="0" w:space="0" w:color="auto"/>
      </w:divBdr>
    </w:div>
    <w:div w:id="1661495423">
      <w:bodyDiv w:val="1"/>
      <w:marLeft w:val="0"/>
      <w:marRight w:val="0"/>
      <w:marTop w:val="0"/>
      <w:marBottom w:val="0"/>
      <w:divBdr>
        <w:top w:val="none" w:sz="0" w:space="0" w:color="auto"/>
        <w:left w:val="none" w:sz="0" w:space="0" w:color="auto"/>
        <w:bottom w:val="none" w:sz="0" w:space="0" w:color="auto"/>
        <w:right w:val="none" w:sz="0" w:space="0" w:color="auto"/>
      </w:divBdr>
    </w:div>
    <w:div w:id="1661499136">
      <w:bodyDiv w:val="1"/>
      <w:marLeft w:val="0"/>
      <w:marRight w:val="0"/>
      <w:marTop w:val="0"/>
      <w:marBottom w:val="0"/>
      <w:divBdr>
        <w:top w:val="none" w:sz="0" w:space="0" w:color="auto"/>
        <w:left w:val="none" w:sz="0" w:space="0" w:color="auto"/>
        <w:bottom w:val="none" w:sz="0" w:space="0" w:color="auto"/>
        <w:right w:val="none" w:sz="0" w:space="0" w:color="auto"/>
      </w:divBdr>
    </w:div>
    <w:div w:id="1661691274">
      <w:bodyDiv w:val="1"/>
      <w:marLeft w:val="0"/>
      <w:marRight w:val="0"/>
      <w:marTop w:val="0"/>
      <w:marBottom w:val="0"/>
      <w:divBdr>
        <w:top w:val="none" w:sz="0" w:space="0" w:color="auto"/>
        <w:left w:val="none" w:sz="0" w:space="0" w:color="auto"/>
        <w:bottom w:val="none" w:sz="0" w:space="0" w:color="auto"/>
        <w:right w:val="none" w:sz="0" w:space="0" w:color="auto"/>
      </w:divBdr>
    </w:div>
    <w:div w:id="1661691763">
      <w:bodyDiv w:val="1"/>
      <w:marLeft w:val="0"/>
      <w:marRight w:val="0"/>
      <w:marTop w:val="0"/>
      <w:marBottom w:val="0"/>
      <w:divBdr>
        <w:top w:val="none" w:sz="0" w:space="0" w:color="auto"/>
        <w:left w:val="none" w:sz="0" w:space="0" w:color="auto"/>
        <w:bottom w:val="none" w:sz="0" w:space="0" w:color="auto"/>
        <w:right w:val="none" w:sz="0" w:space="0" w:color="auto"/>
      </w:divBdr>
    </w:div>
    <w:div w:id="1661696304">
      <w:bodyDiv w:val="1"/>
      <w:marLeft w:val="0"/>
      <w:marRight w:val="0"/>
      <w:marTop w:val="0"/>
      <w:marBottom w:val="0"/>
      <w:divBdr>
        <w:top w:val="none" w:sz="0" w:space="0" w:color="auto"/>
        <w:left w:val="none" w:sz="0" w:space="0" w:color="auto"/>
        <w:bottom w:val="none" w:sz="0" w:space="0" w:color="auto"/>
        <w:right w:val="none" w:sz="0" w:space="0" w:color="auto"/>
      </w:divBdr>
    </w:div>
    <w:div w:id="1661806187">
      <w:bodyDiv w:val="1"/>
      <w:marLeft w:val="0"/>
      <w:marRight w:val="0"/>
      <w:marTop w:val="0"/>
      <w:marBottom w:val="0"/>
      <w:divBdr>
        <w:top w:val="none" w:sz="0" w:space="0" w:color="auto"/>
        <w:left w:val="none" w:sz="0" w:space="0" w:color="auto"/>
        <w:bottom w:val="none" w:sz="0" w:space="0" w:color="auto"/>
        <w:right w:val="none" w:sz="0" w:space="0" w:color="auto"/>
      </w:divBdr>
    </w:div>
    <w:div w:id="1661882988">
      <w:bodyDiv w:val="1"/>
      <w:marLeft w:val="0"/>
      <w:marRight w:val="0"/>
      <w:marTop w:val="0"/>
      <w:marBottom w:val="0"/>
      <w:divBdr>
        <w:top w:val="none" w:sz="0" w:space="0" w:color="auto"/>
        <w:left w:val="none" w:sz="0" w:space="0" w:color="auto"/>
        <w:bottom w:val="none" w:sz="0" w:space="0" w:color="auto"/>
        <w:right w:val="none" w:sz="0" w:space="0" w:color="auto"/>
      </w:divBdr>
    </w:div>
    <w:div w:id="1661928985">
      <w:bodyDiv w:val="1"/>
      <w:marLeft w:val="0"/>
      <w:marRight w:val="0"/>
      <w:marTop w:val="0"/>
      <w:marBottom w:val="0"/>
      <w:divBdr>
        <w:top w:val="none" w:sz="0" w:space="0" w:color="auto"/>
        <w:left w:val="none" w:sz="0" w:space="0" w:color="auto"/>
        <w:bottom w:val="none" w:sz="0" w:space="0" w:color="auto"/>
        <w:right w:val="none" w:sz="0" w:space="0" w:color="auto"/>
      </w:divBdr>
    </w:div>
    <w:div w:id="1661929330">
      <w:bodyDiv w:val="1"/>
      <w:marLeft w:val="0"/>
      <w:marRight w:val="0"/>
      <w:marTop w:val="0"/>
      <w:marBottom w:val="0"/>
      <w:divBdr>
        <w:top w:val="none" w:sz="0" w:space="0" w:color="auto"/>
        <w:left w:val="none" w:sz="0" w:space="0" w:color="auto"/>
        <w:bottom w:val="none" w:sz="0" w:space="0" w:color="auto"/>
        <w:right w:val="none" w:sz="0" w:space="0" w:color="auto"/>
      </w:divBdr>
    </w:div>
    <w:div w:id="1661956188">
      <w:bodyDiv w:val="1"/>
      <w:marLeft w:val="0"/>
      <w:marRight w:val="0"/>
      <w:marTop w:val="0"/>
      <w:marBottom w:val="0"/>
      <w:divBdr>
        <w:top w:val="none" w:sz="0" w:space="0" w:color="auto"/>
        <w:left w:val="none" w:sz="0" w:space="0" w:color="auto"/>
        <w:bottom w:val="none" w:sz="0" w:space="0" w:color="auto"/>
        <w:right w:val="none" w:sz="0" w:space="0" w:color="auto"/>
      </w:divBdr>
    </w:div>
    <w:div w:id="1662004637">
      <w:bodyDiv w:val="1"/>
      <w:marLeft w:val="0"/>
      <w:marRight w:val="0"/>
      <w:marTop w:val="0"/>
      <w:marBottom w:val="0"/>
      <w:divBdr>
        <w:top w:val="none" w:sz="0" w:space="0" w:color="auto"/>
        <w:left w:val="none" w:sz="0" w:space="0" w:color="auto"/>
        <w:bottom w:val="none" w:sz="0" w:space="0" w:color="auto"/>
        <w:right w:val="none" w:sz="0" w:space="0" w:color="auto"/>
      </w:divBdr>
    </w:div>
    <w:div w:id="1662269919">
      <w:bodyDiv w:val="1"/>
      <w:marLeft w:val="0"/>
      <w:marRight w:val="0"/>
      <w:marTop w:val="0"/>
      <w:marBottom w:val="0"/>
      <w:divBdr>
        <w:top w:val="none" w:sz="0" w:space="0" w:color="auto"/>
        <w:left w:val="none" w:sz="0" w:space="0" w:color="auto"/>
        <w:bottom w:val="none" w:sz="0" w:space="0" w:color="auto"/>
        <w:right w:val="none" w:sz="0" w:space="0" w:color="auto"/>
      </w:divBdr>
    </w:div>
    <w:div w:id="1662464882">
      <w:bodyDiv w:val="1"/>
      <w:marLeft w:val="0"/>
      <w:marRight w:val="0"/>
      <w:marTop w:val="0"/>
      <w:marBottom w:val="0"/>
      <w:divBdr>
        <w:top w:val="none" w:sz="0" w:space="0" w:color="auto"/>
        <w:left w:val="none" w:sz="0" w:space="0" w:color="auto"/>
        <w:bottom w:val="none" w:sz="0" w:space="0" w:color="auto"/>
        <w:right w:val="none" w:sz="0" w:space="0" w:color="auto"/>
      </w:divBdr>
    </w:div>
    <w:div w:id="1662467181">
      <w:bodyDiv w:val="1"/>
      <w:marLeft w:val="0"/>
      <w:marRight w:val="0"/>
      <w:marTop w:val="0"/>
      <w:marBottom w:val="0"/>
      <w:divBdr>
        <w:top w:val="none" w:sz="0" w:space="0" w:color="auto"/>
        <w:left w:val="none" w:sz="0" w:space="0" w:color="auto"/>
        <w:bottom w:val="none" w:sz="0" w:space="0" w:color="auto"/>
        <w:right w:val="none" w:sz="0" w:space="0" w:color="auto"/>
      </w:divBdr>
    </w:div>
    <w:div w:id="1662542568">
      <w:bodyDiv w:val="1"/>
      <w:marLeft w:val="0"/>
      <w:marRight w:val="0"/>
      <w:marTop w:val="0"/>
      <w:marBottom w:val="0"/>
      <w:divBdr>
        <w:top w:val="none" w:sz="0" w:space="0" w:color="auto"/>
        <w:left w:val="none" w:sz="0" w:space="0" w:color="auto"/>
        <w:bottom w:val="none" w:sz="0" w:space="0" w:color="auto"/>
        <w:right w:val="none" w:sz="0" w:space="0" w:color="auto"/>
      </w:divBdr>
    </w:div>
    <w:div w:id="1662729791">
      <w:bodyDiv w:val="1"/>
      <w:marLeft w:val="0"/>
      <w:marRight w:val="0"/>
      <w:marTop w:val="0"/>
      <w:marBottom w:val="0"/>
      <w:divBdr>
        <w:top w:val="none" w:sz="0" w:space="0" w:color="auto"/>
        <w:left w:val="none" w:sz="0" w:space="0" w:color="auto"/>
        <w:bottom w:val="none" w:sz="0" w:space="0" w:color="auto"/>
        <w:right w:val="none" w:sz="0" w:space="0" w:color="auto"/>
      </w:divBdr>
    </w:div>
    <w:div w:id="1662810896">
      <w:bodyDiv w:val="1"/>
      <w:marLeft w:val="0"/>
      <w:marRight w:val="0"/>
      <w:marTop w:val="0"/>
      <w:marBottom w:val="0"/>
      <w:divBdr>
        <w:top w:val="none" w:sz="0" w:space="0" w:color="auto"/>
        <w:left w:val="none" w:sz="0" w:space="0" w:color="auto"/>
        <w:bottom w:val="none" w:sz="0" w:space="0" w:color="auto"/>
        <w:right w:val="none" w:sz="0" w:space="0" w:color="auto"/>
      </w:divBdr>
    </w:div>
    <w:div w:id="1662852762">
      <w:bodyDiv w:val="1"/>
      <w:marLeft w:val="0"/>
      <w:marRight w:val="0"/>
      <w:marTop w:val="0"/>
      <w:marBottom w:val="0"/>
      <w:divBdr>
        <w:top w:val="none" w:sz="0" w:space="0" w:color="auto"/>
        <w:left w:val="none" w:sz="0" w:space="0" w:color="auto"/>
        <w:bottom w:val="none" w:sz="0" w:space="0" w:color="auto"/>
        <w:right w:val="none" w:sz="0" w:space="0" w:color="auto"/>
      </w:divBdr>
    </w:div>
    <w:div w:id="1662923107">
      <w:bodyDiv w:val="1"/>
      <w:marLeft w:val="0"/>
      <w:marRight w:val="0"/>
      <w:marTop w:val="0"/>
      <w:marBottom w:val="0"/>
      <w:divBdr>
        <w:top w:val="none" w:sz="0" w:space="0" w:color="auto"/>
        <w:left w:val="none" w:sz="0" w:space="0" w:color="auto"/>
        <w:bottom w:val="none" w:sz="0" w:space="0" w:color="auto"/>
        <w:right w:val="none" w:sz="0" w:space="0" w:color="auto"/>
      </w:divBdr>
    </w:div>
    <w:div w:id="1662997979">
      <w:bodyDiv w:val="1"/>
      <w:marLeft w:val="0"/>
      <w:marRight w:val="0"/>
      <w:marTop w:val="0"/>
      <w:marBottom w:val="0"/>
      <w:divBdr>
        <w:top w:val="none" w:sz="0" w:space="0" w:color="auto"/>
        <w:left w:val="none" w:sz="0" w:space="0" w:color="auto"/>
        <w:bottom w:val="none" w:sz="0" w:space="0" w:color="auto"/>
        <w:right w:val="none" w:sz="0" w:space="0" w:color="auto"/>
      </w:divBdr>
    </w:div>
    <w:div w:id="1663047361">
      <w:bodyDiv w:val="1"/>
      <w:marLeft w:val="0"/>
      <w:marRight w:val="0"/>
      <w:marTop w:val="0"/>
      <w:marBottom w:val="0"/>
      <w:divBdr>
        <w:top w:val="none" w:sz="0" w:space="0" w:color="auto"/>
        <w:left w:val="none" w:sz="0" w:space="0" w:color="auto"/>
        <w:bottom w:val="none" w:sz="0" w:space="0" w:color="auto"/>
        <w:right w:val="none" w:sz="0" w:space="0" w:color="auto"/>
      </w:divBdr>
    </w:div>
    <w:div w:id="1663117112">
      <w:bodyDiv w:val="1"/>
      <w:marLeft w:val="0"/>
      <w:marRight w:val="0"/>
      <w:marTop w:val="0"/>
      <w:marBottom w:val="0"/>
      <w:divBdr>
        <w:top w:val="none" w:sz="0" w:space="0" w:color="auto"/>
        <w:left w:val="none" w:sz="0" w:space="0" w:color="auto"/>
        <w:bottom w:val="none" w:sz="0" w:space="0" w:color="auto"/>
        <w:right w:val="none" w:sz="0" w:space="0" w:color="auto"/>
      </w:divBdr>
    </w:div>
    <w:div w:id="1663119589">
      <w:bodyDiv w:val="1"/>
      <w:marLeft w:val="0"/>
      <w:marRight w:val="0"/>
      <w:marTop w:val="0"/>
      <w:marBottom w:val="0"/>
      <w:divBdr>
        <w:top w:val="none" w:sz="0" w:space="0" w:color="auto"/>
        <w:left w:val="none" w:sz="0" w:space="0" w:color="auto"/>
        <w:bottom w:val="none" w:sz="0" w:space="0" w:color="auto"/>
        <w:right w:val="none" w:sz="0" w:space="0" w:color="auto"/>
      </w:divBdr>
    </w:div>
    <w:div w:id="1663192704">
      <w:bodyDiv w:val="1"/>
      <w:marLeft w:val="0"/>
      <w:marRight w:val="0"/>
      <w:marTop w:val="0"/>
      <w:marBottom w:val="0"/>
      <w:divBdr>
        <w:top w:val="none" w:sz="0" w:space="0" w:color="auto"/>
        <w:left w:val="none" w:sz="0" w:space="0" w:color="auto"/>
        <w:bottom w:val="none" w:sz="0" w:space="0" w:color="auto"/>
        <w:right w:val="none" w:sz="0" w:space="0" w:color="auto"/>
      </w:divBdr>
    </w:div>
    <w:div w:id="1663195691">
      <w:bodyDiv w:val="1"/>
      <w:marLeft w:val="0"/>
      <w:marRight w:val="0"/>
      <w:marTop w:val="0"/>
      <w:marBottom w:val="0"/>
      <w:divBdr>
        <w:top w:val="none" w:sz="0" w:space="0" w:color="auto"/>
        <w:left w:val="none" w:sz="0" w:space="0" w:color="auto"/>
        <w:bottom w:val="none" w:sz="0" w:space="0" w:color="auto"/>
        <w:right w:val="none" w:sz="0" w:space="0" w:color="auto"/>
      </w:divBdr>
    </w:div>
    <w:div w:id="1663195841">
      <w:bodyDiv w:val="1"/>
      <w:marLeft w:val="0"/>
      <w:marRight w:val="0"/>
      <w:marTop w:val="0"/>
      <w:marBottom w:val="0"/>
      <w:divBdr>
        <w:top w:val="none" w:sz="0" w:space="0" w:color="auto"/>
        <w:left w:val="none" w:sz="0" w:space="0" w:color="auto"/>
        <w:bottom w:val="none" w:sz="0" w:space="0" w:color="auto"/>
        <w:right w:val="none" w:sz="0" w:space="0" w:color="auto"/>
      </w:divBdr>
    </w:div>
    <w:div w:id="1663384883">
      <w:bodyDiv w:val="1"/>
      <w:marLeft w:val="0"/>
      <w:marRight w:val="0"/>
      <w:marTop w:val="0"/>
      <w:marBottom w:val="0"/>
      <w:divBdr>
        <w:top w:val="none" w:sz="0" w:space="0" w:color="auto"/>
        <w:left w:val="none" w:sz="0" w:space="0" w:color="auto"/>
        <w:bottom w:val="none" w:sz="0" w:space="0" w:color="auto"/>
        <w:right w:val="none" w:sz="0" w:space="0" w:color="auto"/>
      </w:divBdr>
    </w:div>
    <w:div w:id="1663436165">
      <w:bodyDiv w:val="1"/>
      <w:marLeft w:val="0"/>
      <w:marRight w:val="0"/>
      <w:marTop w:val="0"/>
      <w:marBottom w:val="0"/>
      <w:divBdr>
        <w:top w:val="none" w:sz="0" w:space="0" w:color="auto"/>
        <w:left w:val="none" w:sz="0" w:space="0" w:color="auto"/>
        <w:bottom w:val="none" w:sz="0" w:space="0" w:color="auto"/>
        <w:right w:val="none" w:sz="0" w:space="0" w:color="auto"/>
      </w:divBdr>
    </w:div>
    <w:div w:id="1663466328">
      <w:bodyDiv w:val="1"/>
      <w:marLeft w:val="0"/>
      <w:marRight w:val="0"/>
      <w:marTop w:val="0"/>
      <w:marBottom w:val="0"/>
      <w:divBdr>
        <w:top w:val="none" w:sz="0" w:space="0" w:color="auto"/>
        <w:left w:val="none" w:sz="0" w:space="0" w:color="auto"/>
        <w:bottom w:val="none" w:sz="0" w:space="0" w:color="auto"/>
        <w:right w:val="none" w:sz="0" w:space="0" w:color="auto"/>
      </w:divBdr>
    </w:div>
    <w:div w:id="1663511311">
      <w:bodyDiv w:val="1"/>
      <w:marLeft w:val="0"/>
      <w:marRight w:val="0"/>
      <w:marTop w:val="0"/>
      <w:marBottom w:val="0"/>
      <w:divBdr>
        <w:top w:val="none" w:sz="0" w:space="0" w:color="auto"/>
        <w:left w:val="none" w:sz="0" w:space="0" w:color="auto"/>
        <w:bottom w:val="none" w:sz="0" w:space="0" w:color="auto"/>
        <w:right w:val="none" w:sz="0" w:space="0" w:color="auto"/>
      </w:divBdr>
    </w:div>
    <w:div w:id="1663582055">
      <w:bodyDiv w:val="1"/>
      <w:marLeft w:val="0"/>
      <w:marRight w:val="0"/>
      <w:marTop w:val="0"/>
      <w:marBottom w:val="0"/>
      <w:divBdr>
        <w:top w:val="none" w:sz="0" w:space="0" w:color="auto"/>
        <w:left w:val="none" w:sz="0" w:space="0" w:color="auto"/>
        <w:bottom w:val="none" w:sz="0" w:space="0" w:color="auto"/>
        <w:right w:val="none" w:sz="0" w:space="0" w:color="auto"/>
      </w:divBdr>
    </w:div>
    <w:div w:id="1663654798">
      <w:bodyDiv w:val="1"/>
      <w:marLeft w:val="0"/>
      <w:marRight w:val="0"/>
      <w:marTop w:val="0"/>
      <w:marBottom w:val="0"/>
      <w:divBdr>
        <w:top w:val="none" w:sz="0" w:space="0" w:color="auto"/>
        <w:left w:val="none" w:sz="0" w:space="0" w:color="auto"/>
        <w:bottom w:val="none" w:sz="0" w:space="0" w:color="auto"/>
        <w:right w:val="none" w:sz="0" w:space="0" w:color="auto"/>
      </w:divBdr>
    </w:div>
    <w:div w:id="1663657723">
      <w:bodyDiv w:val="1"/>
      <w:marLeft w:val="0"/>
      <w:marRight w:val="0"/>
      <w:marTop w:val="0"/>
      <w:marBottom w:val="0"/>
      <w:divBdr>
        <w:top w:val="none" w:sz="0" w:space="0" w:color="auto"/>
        <w:left w:val="none" w:sz="0" w:space="0" w:color="auto"/>
        <w:bottom w:val="none" w:sz="0" w:space="0" w:color="auto"/>
        <w:right w:val="none" w:sz="0" w:space="0" w:color="auto"/>
      </w:divBdr>
    </w:div>
    <w:div w:id="1663775441">
      <w:bodyDiv w:val="1"/>
      <w:marLeft w:val="0"/>
      <w:marRight w:val="0"/>
      <w:marTop w:val="0"/>
      <w:marBottom w:val="0"/>
      <w:divBdr>
        <w:top w:val="none" w:sz="0" w:space="0" w:color="auto"/>
        <w:left w:val="none" w:sz="0" w:space="0" w:color="auto"/>
        <w:bottom w:val="none" w:sz="0" w:space="0" w:color="auto"/>
        <w:right w:val="none" w:sz="0" w:space="0" w:color="auto"/>
      </w:divBdr>
    </w:div>
    <w:div w:id="1663894888">
      <w:bodyDiv w:val="1"/>
      <w:marLeft w:val="0"/>
      <w:marRight w:val="0"/>
      <w:marTop w:val="0"/>
      <w:marBottom w:val="0"/>
      <w:divBdr>
        <w:top w:val="none" w:sz="0" w:space="0" w:color="auto"/>
        <w:left w:val="none" w:sz="0" w:space="0" w:color="auto"/>
        <w:bottom w:val="none" w:sz="0" w:space="0" w:color="auto"/>
        <w:right w:val="none" w:sz="0" w:space="0" w:color="auto"/>
      </w:divBdr>
    </w:div>
    <w:div w:id="1664122239">
      <w:bodyDiv w:val="1"/>
      <w:marLeft w:val="0"/>
      <w:marRight w:val="0"/>
      <w:marTop w:val="0"/>
      <w:marBottom w:val="0"/>
      <w:divBdr>
        <w:top w:val="none" w:sz="0" w:space="0" w:color="auto"/>
        <w:left w:val="none" w:sz="0" w:space="0" w:color="auto"/>
        <w:bottom w:val="none" w:sz="0" w:space="0" w:color="auto"/>
        <w:right w:val="none" w:sz="0" w:space="0" w:color="auto"/>
      </w:divBdr>
    </w:div>
    <w:div w:id="1664233098">
      <w:bodyDiv w:val="1"/>
      <w:marLeft w:val="0"/>
      <w:marRight w:val="0"/>
      <w:marTop w:val="0"/>
      <w:marBottom w:val="0"/>
      <w:divBdr>
        <w:top w:val="none" w:sz="0" w:space="0" w:color="auto"/>
        <w:left w:val="none" w:sz="0" w:space="0" w:color="auto"/>
        <w:bottom w:val="none" w:sz="0" w:space="0" w:color="auto"/>
        <w:right w:val="none" w:sz="0" w:space="0" w:color="auto"/>
      </w:divBdr>
    </w:div>
    <w:div w:id="1664356273">
      <w:bodyDiv w:val="1"/>
      <w:marLeft w:val="0"/>
      <w:marRight w:val="0"/>
      <w:marTop w:val="0"/>
      <w:marBottom w:val="0"/>
      <w:divBdr>
        <w:top w:val="none" w:sz="0" w:space="0" w:color="auto"/>
        <w:left w:val="none" w:sz="0" w:space="0" w:color="auto"/>
        <w:bottom w:val="none" w:sz="0" w:space="0" w:color="auto"/>
        <w:right w:val="none" w:sz="0" w:space="0" w:color="auto"/>
      </w:divBdr>
    </w:div>
    <w:div w:id="1664426944">
      <w:bodyDiv w:val="1"/>
      <w:marLeft w:val="0"/>
      <w:marRight w:val="0"/>
      <w:marTop w:val="0"/>
      <w:marBottom w:val="0"/>
      <w:divBdr>
        <w:top w:val="none" w:sz="0" w:space="0" w:color="auto"/>
        <w:left w:val="none" w:sz="0" w:space="0" w:color="auto"/>
        <w:bottom w:val="none" w:sz="0" w:space="0" w:color="auto"/>
        <w:right w:val="none" w:sz="0" w:space="0" w:color="auto"/>
      </w:divBdr>
    </w:div>
    <w:div w:id="1664428744">
      <w:bodyDiv w:val="1"/>
      <w:marLeft w:val="0"/>
      <w:marRight w:val="0"/>
      <w:marTop w:val="0"/>
      <w:marBottom w:val="0"/>
      <w:divBdr>
        <w:top w:val="none" w:sz="0" w:space="0" w:color="auto"/>
        <w:left w:val="none" w:sz="0" w:space="0" w:color="auto"/>
        <w:bottom w:val="none" w:sz="0" w:space="0" w:color="auto"/>
        <w:right w:val="none" w:sz="0" w:space="0" w:color="auto"/>
      </w:divBdr>
    </w:div>
    <w:div w:id="1664431850">
      <w:bodyDiv w:val="1"/>
      <w:marLeft w:val="0"/>
      <w:marRight w:val="0"/>
      <w:marTop w:val="0"/>
      <w:marBottom w:val="0"/>
      <w:divBdr>
        <w:top w:val="none" w:sz="0" w:space="0" w:color="auto"/>
        <w:left w:val="none" w:sz="0" w:space="0" w:color="auto"/>
        <w:bottom w:val="none" w:sz="0" w:space="0" w:color="auto"/>
        <w:right w:val="none" w:sz="0" w:space="0" w:color="auto"/>
      </w:divBdr>
    </w:div>
    <w:div w:id="1664501899">
      <w:bodyDiv w:val="1"/>
      <w:marLeft w:val="0"/>
      <w:marRight w:val="0"/>
      <w:marTop w:val="0"/>
      <w:marBottom w:val="0"/>
      <w:divBdr>
        <w:top w:val="none" w:sz="0" w:space="0" w:color="auto"/>
        <w:left w:val="none" w:sz="0" w:space="0" w:color="auto"/>
        <w:bottom w:val="none" w:sz="0" w:space="0" w:color="auto"/>
        <w:right w:val="none" w:sz="0" w:space="0" w:color="auto"/>
      </w:divBdr>
    </w:div>
    <w:div w:id="1664510509">
      <w:bodyDiv w:val="1"/>
      <w:marLeft w:val="0"/>
      <w:marRight w:val="0"/>
      <w:marTop w:val="0"/>
      <w:marBottom w:val="0"/>
      <w:divBdr>
        <w:top w:val="none" w:sz="0" w:space="0" w:color="auto"/>
        <w:left w:val="none" w:sz="0" w:space="0" w:color="auto"/>
        <w:bottom w:val="none" w:sz="0" w:space="0" w:color="auto"/>
        <w:right w:val="none" w:sz="0" w:space="0" w:color="auto"/>
      </w:divBdr>
    </w:div>
    <w:div w:id="1664696512">
      <w:bodyDiv w:val="1"/>
      <w:marLeft w:val="0"/>
      <w:marRight w:val="0"/>
      <w:marTop w:val="0"/>
      <w:marBottom w:val="0"/>
      <w:divBdr>
        <w:top w:val="none" w:sz="0" w:space="0" w:color="auto"/>
        <w:left w:val="none" w:sz="0" w:space="0" w:color="auto"/>
        <w:bottom w:val="none" w:sz="0" w:space="0" w:color="auto"/>
        <w:right w:val="none" w:sz="0" w:space="0" w:color="auto"/>
      </w:divBdr>
    </w:div>
    <w:div w:id="1664774845">
      <w:bodyDiv w:val="1"/>
      <w:marLeft w:val="0"/>
      <w:marRight w:val="0"/>
      <w:marTop w:val="0"/>
      <w:marBottom w:val="0"/>
      <w:divBdr>
        <w:top w:val="none" w:sz="0" w:space="0" w:color="auto"/>
        <w:left w:val="none" w:sz="0" w:space="0" w:color="auto"/>
        <w:bottom w:val="none" w:sz="0" w:space="0" w:color="auto"/>
        <w:right w:val="none" w:sz="0" w:space="0" w:color="auto"/>
      </w:divBdr>
    </w:div>
    <w:div w:id="1664894844">
      <w:bodyDiv w:val="1"/>
      <w:marLeft w:val="0"/>
      <w:marRight w:val="0"/>
      <w:marTop w:val="0"/>
      <w:marBottom w:val="0"/>
      <w:divBdr>
        <w:top w:val="none" w:sz="0" w:space="0" w:color="auto"/>
        <w:left w:val="none" w:sz="0" w:space="0" w:color="auto"/>
        <w:bottom w:val="none" w:sz="0" w:space="0" w:color="auto"/>
        <w:right w:val="none" w:sz="0" w:space="0" w:color="auto"/>
      </w:divBdr>
    </w:div>
    <w:div w:id="1664964689">
      <w:bodyDiv w:val="1"/>
      <w:marLeft w:val="0"/>
      <w:marRight w:val="0"/>
      <w:marTop w:val="0"/>
      <w:marBottom w:val="0"/>
      <w:divBdr>
        <w:top w:val="none" w:sz="0" w:space="0" w:color="auto"/>
        <w:left w:val="none" w:sz="0" w:space="0" w:color="auto"/>
        <w:bottom w:val="none" w:sz="0" w:space="0" w:color="auto"/>
        <w:right w:val="none" w:sz="0" w:space="0" w:color="auto"/>
      </w:divBdr>
    </w:div>
    <w:div w:id="1665082525">
      <w:bodyDiv w:val="1"/>
      <w:marLeft w:val="0"/>
      <w:marRight w:val="0"/>
      <w:marTop w:val="0"/>
      <w:marBottom w:val="0"/>
      <w:divBdr>
        <w:top w:val="none" w:sz="0" w:space="0" w:color="auto"/>
        <w:left w:val="none" w:sz="0" w:space="0" w:color="auto"/>
        <w:bottom w:val="none" w:sz="0" w:space="0" w:color="auto"/>
        <w:right w:val="none" w:sz="0" w:space="0" w:color="auto"/>
      </w:divBdr>
    </w:div>
    <w:div w:id="1665089253">
      <w:bodyDiv w:val="1"/>
      <w:marLeft w:val="0"/>
      <w:marRight w:val="0"/>
      <w:marTop w:val="0"/>
      <w:marBottom w:val="0"/>
      <w:divBdr>
        <w:top w:val="none" w:sz="0" w:space="0" w:color="auto"/>
        <w:left w:val="none" w:sz="0" w:space="0" w:color="auto"/>
        <w:bottom w:val="none" w:sz="0" w:space="0" w:color="auto"/>
        <w:right w:val="none" w:sz="0" w:space="0" w:color="auto"/>
      </w:divBdr>
    </w:div>
    <w:div w:id="1665162277">
      <w:bodyDiv w:val="1"/>
      <w:marLeft w:val="0"/>
      <w:marRight w:val="0"/>
      <w:marTop w:val="0"/>
      <w:marBottom w:val="0"/>
      <w:divBdr>
        <w:top w:val="none" w:sz="0" w:space="0" w:color="auto"/>
        <w:left w:val="none" w:sz="0" w:space="0" w:color="auto"/>
        <w:bottom w:val="none" w:sz="0" w:space="0" w:color="auto"/>
        <w:right w:val="none" w:sz="0" w:space="0" w:color="auto"/>
      </w:divBdr>
    </w:div>
    <w:div w:id="1665234072">
      <w:bodyDiv w:val="1"/>
      <w:marLeft w:val="0"/>
      <w:marRight w:val="0"/>
      <w:marTop w:val="0"/>
      <w:marBottom w:val="0"/>
      <w:divBdr>
        <w:top w:val="none" w:sz="0" w:space="0" w:color="auto"/>
        <w:left w:val="none" w:sz="0" w:space="0" w:color="auto"/>
        <w:bottom w:val="none" w:sz="0" w:space="0" w:color="auto"/>
        <w:right w:val="none" w:sz="0" w:space="0" w:color="auto"/>
      </w:divBdr>
    </w:div>
    <w:div w:id="1665235058">
      <w:bodyDiv w:val="1"/>
      <w:marLeft w:val="0"/>
      <w:marRight w:val="0"/>
      <w:marTop w:val="0"/>
      <w:marBottom w:val="0"/>
      <w:divBdr>
        <w:top w:val="none" w:sz="0" w:space="0" w:color="auto"/>
        <w:left w:val="none" w:sz="0" w:space="0" w:color="auto"/>
        <w:bottom w:val="none" w:sz="0" w:space="0" w:color="auto"/>
        <w:right w:val="none" w:sz="0" w:space="0" w:color="auto"/>
      </w:divBdr>
    </w:div>
    <w:div w:id="1665283441">
      <w:bodyDiv w:val="1"/>
      <w:marLeft w:val="0"/>
      <w:marRight w:val="0"/>
      <w:marTop w:val="0"/>
      <w:marBottom w:val="0"/>
      <w:divBdr>
        <w:top w:val="none" w:sz="0" w:space="0" w:color="auto"/>
        <w:left w:val="none" w:sz="0" w:space="0" w:color="auto"/>
        <w:bottom w:val="none" w:sz="0" w:space="0" w:color="auto"/>
        <w:right w:val="none" w:sz="0" w:space="0" w:color="auto"/>
      </w:divBdr>
    </w:div>
    <w:div w:id="1665427439">
      <w:bodyDiv w:val="1"/>
      <w:marLeft w:val="0"/>
      <w:marRight w:val="0"/>
      <w:marTop w:val="0"/>
      <w:marBottom w:val="0"/>
      <w:divBdr>
        <w:top w:val="none" w:sz="0" w:space="0" w:color="auto"/>
        <w:left w:val="none" w:sz="0" w:space="0" w:color="auto"/>
        <w:bottom w:val="none" w:sz="0" w:space="0" w:color="auto"/>
        <w:right w:val="none" w:sz="0" w:space="0" w:color="auto"/>
      </w:divBdr>
    </w:div>
    <w:div w:id="1665545647">
      <w:bodyDiv w:val="1"/>
      <w:marLeft w:val="0"/>
      <w:marRight w:val="0"/>
      <w:marTop w:val="0"/>
      <w:marBottom w:val="0"/>
      <w:divBdr>
        <w:top w:val="none" w:sz="0" w:space="0" w:color="auto"/>
        <w:left w:val="none" w:sz="0" w:space="0" w:color="auto"/>
        <w:bottom w:val="none" w:sz="0" w:space="0" w:color="auto"/>
        <w:right w:val="none" w:sz="0" w:space="0" w:color="auto"/>
      </w:divBdr>
    </w:div>
    <w:div w:id="1665546866">
      <w:bodyDiv w:val="1"/>
      <w:marLeft w:val="0"/>
      <w:marRight w:val="0"/>
      <w:marTop w:val="0"/>
      <w:marBottom w:val="0"/>
      <w:divBdr>
        <w:top w:val="none" w:sz="0" w:space="0" w:color="auto"/>
        <w:left w:val="none" w:sz="0" w:space="0" w:color="auto"/>
        <w:bottom w:val="none" w:sz="0" w:space="0" w:color="auto"/>
        <w:right w:val="none" w:sz="0" w:space="0" w:color="auto"/>
      </w:divBdr>
    </w:div>
    <w:div w:id="1665740957">
      <w:bodyDiv w:val="1"/>
      <w:marLeft w:val="0"/>
      <w:marRight w:val="0"/>
      <w:marTop w:val="0"/>
      <w:marBottom w:val="0"/>
      <w:divBdr>
        <w:top w:val="none" w:sz="0" w:space="0" w:color="auto"/>
        <w:left w:val="none" w:sz="0" w:space="0" w:color="auto"/>
        <w:bottom w:val="none" w:sz="0" w:space="0" w:color="auto"/>
        <w:right w:val="none" w:sz="0" w:space="0" w:color="auto"/>
      </w:divBdr>
    </w:div>
    <w:div w:id="1665812695">
      <w:bodyDiv w:val="1"/>
      <w:marLeft w:val="0"/>
      <w:marRight w:val="0"/>
      <w:marTop w:val="0"/>
      <w:marBottom w:val="0"/>
      <w:divBdr>
        <w:top w:val="none" w:sz="0" w:space="0" w:color="auto"/>
        <w:left w:val="none" w:sz="0" w:space="0" w:color="auto"/>
        <w:bottom w:val="none" w:sz="0" w:space="0" w:color="auto"/>
        <w:right w:val="none" w:sz="0" w:space="0" w:color="auto"/>
      </w:divBdr>
    </w:div>
    <w:div w:id="1665818762">
      <w:bodyDiv w:val="1"/>
      <w:marLeft w:val="0"/>
      <w:marRight w:val="0"/>
      <w:marTop w:val="0"/>
      <w:marBottom w:val="0"/>
      <w:divBdr>
        <w:top w:val="none" w:sz="0" w:space="0" w:color="auto"/>
        <w:left w:val="none" w:sz="0" w:space="0" w:color="auto"/>
        <w:bottom w:val="none" w:sz="0" w:space="0" w:color="auto"/>
        <w:right w:val="none" w:sz="0" w:space="0" w:color="auto"/>
      </w:divBdr>
    </w:div>
    <w:div w:id="1665861767">
      <w:bodyDiv w:val="1"/>
      <w:marLeft w:val="0"/>
      <w:marRight w:val="0"/>
      <w:marTop w:val="0"/>
      <w:marBottom w:val="0"/>
      <w:divBdr>
        <w:top w:val="none" w:sz="0" w:space="0" w:color="auto"/>
        <w:left w:val="none" w:sz="0" w:space="0" w:color="auto"/>
        <w:bottom w:val="none" w:sz="0" w:space="0" w:color="auto"/>
        <w:right w:val="none" w:sz="0" w:space="0" w:color="auto"/>
      </w:divBdr>
    </w:div>
    <w:div w:id="1665861855">
      <w:bodyDiv w:val="1"/>
      <w:marLeft w:val="0"/>
      <w:marRight w:val="0"/>
      <w:marTop w:val="0"/>
      <w:marBottom w:val="0"/>
      <w:divBdr>
        <w:top w:val="none" w:sz="0" w:space="0" w:color="auto"/>
        <w:left w:val="none" w:sz="0" w:space="0" w:color="auto"/>
        <w:bottom w:val="none" w:sz="0" w:space="0" w:color="auto"/>
        <w:right w:val="none" w:sz="0" w:space="0" w:color="auto"/>
      </w:divBdr>
    </w:div>
    <w:div w:id="1665930638">
      <w:bodyDiv w:val="1"/>
      <w:marLeft w:val="0"/>
      <w:marRight w:val="0"/>
      <w:marTop w:val="0"/>
      <w:marBottom w:val="0"/>
      <w:divBdr>
        <w:top w:val="none" w:sz="0" w:space="0" w:color="auto"/>
        <w:left w:val="none" w:sz="0" w:space="0" w:color="auto"/>
        <w:bottom w:val="none" w:sz="0" w:space="0" w:color="auto"/>
        <w:right w:val="none" w:sz="0" w:space="0" w:color="auto"/>
      </w:divBdr>
    </w:div>
    <w:div w:id="1666081067">
      <w:bodyDiv w:val="1"/>
      <w:marLeft w:val="0"/>
      <w:marRight w:val="0"/>
      <w:marTop w:val="0"/>
      <w:marBottom w:val="0"/>
      <w:divBdr>
        <w:top w:val="none" w:sz="0" w:space="0" w:color="auto"/>
        <w:left w:val="none" w:sz="0" w:space="0" w:color="auto"/>
        <w:bottom w:val="none" w:sz="0" w:space="0" w:color="auto"/>
        <w:right w:val="none" w:sz="0" w:space="0" w:color="auto"/>
      </w:divBdr>
    </w:div>
    <w:div w:id="1666399074">
      <w:bodyDiv w:val="1"/>
      <w:marLeft w:val="0"/>
      <w:marRight w:val="0"/>
      <w:marTop w:val="0"/>
      <w:marBottom w:val="0"/>
      <w:divBdr>
        <w:top w:val="none" w:sz="0" w:space="0" w:color="auto"/>
        <w:left w:val="none" w:sz="0" w:space="0" w:color="auto"/>
        <w:bottom w:val="none" w:sz="0" w:space="0" w:color="auto"/>
        <w:right w:val="none" w:sz="0" w:space="0" w:color="auto"/>
      </w:divBdr>
    </w:div>
    <w:div w:id="1666543006">
      <w:bodyDiv w:val="1"/>
      <w:marLeft w:val="0"/>
      <w:marRight w:val="0"/>
      <w:marTop w:val="0"/>
      <w:marBottom w:val="0"/>
      <w:divBdr>
        <w:top w:val="none" w:sz="0" w:space="0" w:color="auto"/>
        <w:left w:val="none" w:sz="0" w:space="0" w:color="auto"/>
        <w:bottom w:val="none" w:sz="0" w:space="0" w:color="auto"/>
        <w:right w:val="none" w:sz="0" w:space="0" w:color="auto"/>
      </w:divBdr>
    </w:div>
    <w:div w:id="1666543040">
      <w:bodyDiv w:val="1"/>
      <w:marLeft w:val="0"/>
      <w:marRight w:val="0"/>
      <w:marTop w:val="0"/>
      <w:marBottom w:val="0"/>
      <w:divBdr>
        <w:top w:val="none" w:sz="0" w:space="0" w:color="auto"/>
        <w:left w:val="none" w:sz="0" w:space="0" w:color="auto"/>
        <w:bottom w:val="none" w:sz="0" w:space="0" w:color="auto"/>
        <w:right w:val="none" w:sz="0" w:space="0" w:color="auto"/>
      </w:divBdr>
    </w:div>
    <w:div w:id="1666545822">
      <w:bodyDiv w:val="1"/>
      <w:marLeft w:val="0"/>
      <w:marRight w:val="0"/>
      <w:marTop w:val="0"/>
      <w:marBottom w:val="0"/>
      <w:divBdr>
        <w:top w:val="none" w:sz="0" w:space="0" w:color="auto"/>
        <w:left w:val="none" w:sz="0" w:space="0" w:color="auto"/>
        <w:bottom w:val="none" w:sz="0" w:space="0" w:color="auto"/>
        <w:right w:val="none" w:sz="0" w:space="0" w:color="auto"/>
      </w:divBdr>
    </w:div>
    <w:div w:id="1666589658">
      <w:bodyDiv w:val="1"/>
      <w:marLeft w:val="0"/>
      <w:marRight w:val="0"/>
      <w:marTop w:val="0"/>
      <w:marBottom w:val="0"/>
      <w:divBdr>
        <w:top w:val="none" w:sz="0" w:space="0" w:color="auto"/>
        <w:left w:val="none" w:sz="0" w:space="0" w:color="auto"/>
        <w:bottom w:val="none" w:sz="0" w:space="0" w:color="auto"/>
        <w:right w:val="none" w:sz="0" w:space="0" w:color="auto"/>
      </w:divBdr>
    </w:div>
    <w:div w:id="1666743665">
      <w:bodyDiv w:val="1"/>
      <w:marLeft w:val="0"/>
      <w:marRight w:val="0"/>
      <w:marTop w:val="0"/>
      <w:marBottom w:val="0"/>
      <w:divBdr>
        <w:top w:val="none" w:sz="0" w:space="0" w:color="auto"/>
        <w:left w:val="none" w:sz="0" w:space="0" w:color="auto"/>
        <w:bottom w:val="none" w:sz="0" w:space="0" w:color="auto"/>
        <w:right w:val="none" w:sz="0" w:space="0" w:color="auto"/>
      </w:divBdr>
    </w:div>
    <w:div w:id="1666782003">
      <w:bodyDiv w:val="1"/>
      <w:marLeft w:val="0"/>
      <w:marRight w:val="0"/>
      <w:marTop w:val="0"/>
      <w:marBottom w:val="0"/>
      <w:divBdr>
        <w:top w:val="none" w:sz="0" w:space="0" w:color="auto"/>
        <w:left w:val="none" w:sz="0" w:space="0" w:color="auto"/>
        <w:bottom w:val="none" w:sz="0" w:space="0" w:color="auto"/>
        <w:right w:val="none" w:sz="0" w:space="0" w:color="auto"/>
      </w:divBdr>
    </w:div>
    <w:div w:id="1666854060">
      <w:bodyDiv w:val="1"/>
      <w:marLeft w:val="0"/>
      <w:marRight w:val="0"/>
      <w:marTop w:val="0"/>
      <w:marBottom w:val="0"/>
      <w:divBdr>
        <w:top w:val="none" w:sz="0" w:space="0" w:color="auto"/>
        <w:left w:val="none" w:sz="0" w:space="0" w:color="auto"/>
        <w:bottom w:val="none" w:sz="0" w:space="0" w:color="auto"/>
        <w:right w:val="none" w:sz="0" w:space="0" w:color="auto"/>
      </w:divBdr>
    </w:div>
    <w:div w:id="1666854130">
      <w:bodyDiv w:val="1"/>
      <w:marLeft w:val="0"/>
      <w:marRight w:val="0"/>
      <w:marTop w:val="0"/>
      <w:marBottom w:val="0"/>
      <w:divBdr>
        <w:top w:val="none" w:sz="0" w:space="0" w:color="auto"/>
        <w:left w:val="none" w:sz="0" w:space="0" w:color="auto"/>
        <w:bottom w:val="none" w:sz="0" w:space="0" w:color="auto"/>
        <w:right w:val="none" w:sz="0" w:space="0" w:color="auto"/>
      </w:divBdr>
    </w:div>
    <w:div w:id="1666930384">
      <w:bodyDiv w:val="1"/>
      <w:marLeft w:val="0"/>
      <w:marRight w:val="0"/>
      <w:marTop w:val="0"/>
      <w:marBottom w:val="0"/>
      <w:divBdr>
        <w:top w:val="none" w:sz="0" w:space="0" w:color="auto"/>
        <w:left w:val="none" w:sz="0" w:space="0" w:color="auto"/>
        <w:bottom w:val="none" w:sz="0" w:space="0" w:color="auto"/>
        <w:right w:val="none" w:sz="0" w:space="0" w:color="auto"/>
      </w:divBdr>
    </w:div>
    <w:div w:id="1666931924">
      <w:bodyDiv w:val="1"/>
      <w:marLeft w:val="0"/>
      <w:marRight w:val="0"/>
      <w:marTop w:val="0"/>
      <w:marBottom w:val="0"/>
      <w:divBdr>
        <w:top w:val="none" w:sz="0" w:space="0" w:color="auto"/>
        <w:left w:val="none" w:sz="0" w:space="0" w:color="auto"/>
        <w:bottom w:val="none" w:sz="0" w:space="0" w:color="auto"/>
        <w:right w:val="none" w:sz="0" w:space="0" w:color="auto"/>
      </w:divBdr>
    </w:div>
    <w:div w:id="1666932865">
      <w:bodyDiv w:val="1"/>
      <w:marLeft w:val="0"/>
      <w:marRight w:val="0"/>
      <w:marTop w:val="0"/>
      <w:marBottom w:val="0"/>
      <w:divBdr>
        <w:top w:val="none" w:sz="0" w:space="0" w:color="auto"/>
        <w:left w:val="none" w:sz="0" w:space="0" w:color="auto"/>
        <w:bottom w:val="none" w:sz="0" w:space="0" w:color="auto"/>
        <w:right w:val="none" w:sz="0" w:space="0" w:color="auto"/>
      </w:divBdr>
    </w:div>
    <w:div w:id="1667126851">
      <w:bodyDiv w:val="1"/>
      <w:marLeft w:val="0"/>
      <w:marRight w:val="0"/>
      <w:marTop w:val="0"/>
      <w:marBottom w:val="0"/>
      <w:divBdr>
        <w:top w:val="none" w:sz="0" w:space="0" w:color="auto"/>
        <w:left w:val="none" w:sz="0" w:space="0" w:color="auto"/>
        <w:bottom w:val="none" w:sz="0" w:space="0" w:color="auto"/>
        <w:right w:val="none" w:sz="0" w:space="0" w:color="auto"/>
      </w:divBdr>
    </w:div>
    <w:div w:id="1667241651">
      <w:bodyDiv w:val="1"/>
      <w:marLeft w:val="0"/>
      <w:marRight w:val="0"/>
      <w:marTop w:val="0"/>
      <w:marBottom w:val="0"/>
      <w:divBdr>
        <w:top w:val="none" w:sz="0" w:space="0" w:color="auto"/>
        <w:left w:val="none" w:sz="0" w:space="0" w:color="auto"/>
        <w:bottom w:val="none" w:sz="0" w:space="0" w:color="auto"/>
        <w:right w:val="none" w:sz="0" w:space="0" w:color="auto"/>
      </w:divBdr>
    </w:div>
    <w:div w:id="1667325680">
      <w:bodyDiv w:val="1"/>
      <w:marLeft w:val="0"/>
      <w:marRight w:val="0"/>
      <w:marTop w:val="0"/>
      <w:marBottom w:val="0"/>
      <w:divBdr>
        <w:top w:val="none" w:sz="0" w:space="0" w:color="auto"/>
        <w:left w:val="none" w:sz="0" w:space="0" w:color="auto"/>
        <w:bottom w:val="none" w:sz="0" w:space="0" w:color="auto"/>
        <w:right w:val="none" w:sz="0" w:space="0" w:color="auto"/>
      </w:divBdr>
    </w:div>
    <w:div w:id="1667442479">
      <w:bodyDiv w:val="1"/>
      <w:marLeft w:val="0"/>
      <w:marRight w:val="0"/>
      <w:marTop w:val="0"/>
      <w:marBottom w:val="0"/>
      <w:divBdr>
        <w:top w:val="none" w:sz="0" w:space="0" w:color="auto"/>
        <w:left w:val="none" w:sz="0" w:space="0" w:color="auto"/>
        <w:bottom w:val="none" w:sz="0" w:space="0" w:color="auto"/>
        <w:right w:val="none" w:sz="0" w:space="0" w:color="auto"/>
      </w:divBdr>
    </w:div>
    <w:div w:id="1667511712">
      <w:bodyDiv w:val="1"/>
      <w:marLeft w:val="0"/>
      <w:marRight w:val="0"/>
      <w:marTop w:val="0"/>
      <w:marBottom w:val="0"/>
      <w:divBdr>
        <w:top w:val="none" w:sz="0" w:space="0" w:color="auto"/>
        <w:left w:val="none" w:sz="0" w:space="0" w:color="auto"/>
        <w:bottom w:val="none" w:sz="0" w:space="0" w:color="auto"/>
        <w:right w:val="none" w:sz="0" w:space="0" w:color="auto"/>
      </w:divBdr>
    </w:div>
    <w:div w:id="1667829007">
      <w:bodyDiv w:val="1"/>
      <w:marLeft w:val="0"/>
      <w:marRight w:val="0"/>
      <w:marTop w:val="0"/>
      <w:marBottom w:val="0"/>
      <w:divBdr>
        <w:top w:val="none" w:sz="0" w:space="0" w:color="auto"/>
        <w:left w:val="none" w:sz="0" w:space="0" w:color="auto"/>
        <w:bottom w:val="none" w:sz="0" w:space="0" w:color="auto"/>
        <w:right w:val="none" w:sz="0" w:space="0" w:color="auto"/>
      </w:divBdr>
    </w:div>
    <w:div w:id="1668094740">
      <w:bodyDiv w:val="1"/>
      <w:marLeft w:val="0"/>
      <w:marRight w:val="0"/>
      <w:marTop w:val="0"/>
      <w:marBottom w:val="0"/>
      <w:divBdr>
        <w:top w:val="none" w:sz="0" w:space="0" w:color="auto"/>
        <w:left w:val="none" w:sz="0" w:space="0" w:color="auto"/>
        <w:bottom w:val="none" w:sz="0" w:space="0" w:color="auto"/>
        <w:right w:val="none" w:sz="0" w:space="0" w:color="auto"/>
      </w:divBdr>
    </w:div>
    <w:div w:id="1668164918">
      <w:bodyDiv w:val="1"/>
      <w:marLeft w:val="0"/>
      <w:marRight w:val="0"/>
      <w:marTop w:val="0"/>
      <w:marBottom w:val="0"/>
      <w:divBdr>
        <w:top w:val="none" w:sz="0" w:space="0" w:color="auto"/>
        <w:left w:val="none" w:sz="0" w:space="0" w:color="auto"/>
        <w:bottom w:val="none" w:sz="0" w:space="0" w:color="auto"/>
        <w:right w:val="none" w:sz="0" w:space="0" w:color="auto"/>
      </w:divBdr>
    </w:div>
    <w:div w:id="1668242288">
      <w:bodyDiv w:val="1"/>
      <w:marLeft w:val="0"/>
      <w:marRight w:val="0"/>
      <w:marTop w:val="0"/>
      <w:marBottom w:val="0"/>
      <w:divBdr>
        <w:top w:val="none" w:sz="0" w:space="0" w:color="auto"/>
        <w:left w:val="none" w:sz="0" w:space="0" w:color="auto"/>
        <w:bottom w:val="none" w:sz="0" w:space="0" w:color="auto"/>
        <w:right w:val="none" w:sz="0" w:space="0" w:color="auto"/>
      </w:divBdr>
    </w:div>
    <w:div w:id="1668242446">
      <w:bodyDiv w:val="1"/>
      <w:marLeft w:val="0"/>
      <w:marRight w:val="0"/>
      <w:marTop w:val="0"/>
      <w:marBottom w:val="0"/>
      <w:divBdr>
        <w:top w:val="none" w:sz="0" w:space="0" w:color="auto"/>
        <w:left w:val="none" w:sz="0" w:space="0" w:color="auto"/>
        <w:bottom w:val="none" w:sz="0" w:space="0" w:color="auto"/>
        <w:right w:val="none" w:sz="0" w:space="0" w:color="auto"/>
      </w:divBdr>
    </w:div>
    <w:div w:id="1668289515">
      <w:bodyDiv w:val="1"/>
      <w:marLeft w:val="0"/>
      <w:marRight w:val="0"/>
      <w:marTop w:val="0"/>
      <w:marBottom w:val="0"/>
      <w:divBdr>
        <w:top w:val="none" w:sz="0" w:space="0" w:color="auto"/>
        <w:left w:val="none" w:sz="0" w:space="0" w:color="auto"/>
        <w:bottom w:val="none" w:sz="0" w:space="0" w:color="auto"/>
        <w:right w:val="none" w:sz="0" w:space="0" w:color="auto"/>
      </w:divBdr>
    </w:div>
    <w:div w:id="1668316063">
      <w:bodyDiv w:val="1"/>
      <w:marLeft w:val="0"/>
      <w:marRight w:val="0"/>
      <w:marTop w:val="0"/>
      <w:marBottom w:val="0"/>
      <w:divBdr>
        <w:top w:val="none" w:sz="0" w:space="0" w:color="auto"/>
        <w:left w:val="none" w:sz="0" w:space="0" w:color="auto"/>
        <w:bottom w:val="none" w:sz="0" w:space="0" w:color="auto"/>
        <w:right w:val="none" w:sz="0" w:space="0" w:color="auto"/>
      </w:divBdr>
    </w:div>
    <w:div w:id="1668367545">
      <w:bodyDiv w:val="1"/>
      <w:marLeft w:val="0"/>
      <w:marRight w:val="0"/>
      <w:marTop w:val="0"/>
      <w:marBottom w:val="0"/>
      <w:divBdr>
        <w:top w:val="none" w:sz="0" w:space="0" w:color="auto"/>
        <w:left w:val="none" w:sz="0" w:space="0" w:color="auto"/>
        <w:bottom w:val="none" w:sz="0" w:space="0" w:color="auto"/>
        <w:right w:val="none" w:sz="0" w:space="0" w:color="auto"/>
      </w:divBdr>
    </w:div>
    <w:div w:id="1668438536">
      <w:bodyDiv w:val="1"/>
      <w:marLeft w:val="0"/>
      <w:marRight w:val="0"/>
      <w:marTop w:val="0"/>
      <w:marBottom w:val="0"/>
      <w:divBdr>
        <w:top w:val="none" w:sz="0" w:space="0" w:color="auto"/>
        <w:left w:val="none" w:sz="0" w:space="0" w:color="auto"/>
        <w:bottom w:val="none" w:sz="0" w:space="0" w:color="auto"/>
        <w:right w:val="none" w:sz="0" w:space="0" w:color="auto"/>
      </w:divBdr>
    </w:div>
    <w:div w:id="1668551918">
      <w:bodyDiv w:val="1"/>
      <w:marLeft w:val="0"/>
      <w:marRight w:val="0"/>
      <w:marTop w:val="0"/>
      <w:marBottom w:val="0"/>
      <w:divBdr>
        <w:top w:val="none" w:sz="0" w:space="0" w:color="auto"/>
        <w:left w:val="none" w:sz="0" w:space="0" w:color="auto"/>
        <w:bottom w:val="none" w:sz="0" w:space="0" w:color="auto"/>
        <w:right w:val="none" w:sz="0" w:space="0" w:color="auto"/>
      </w:divBdr>
    </w:div>
    <w:div w:id="1668556547">
      <w:bodyDiv w:val="1"/>
      <w:marLeft w:val="0"/>
      <w:marRight w:val="0"/>
      <w:marTop w:val="0"/>
      <w:marBottom w:val="0"/>
      <w:divBdr>
        <w:top w:val="none" w:sz="0" w:space="0" w:color="auto"/>
        <w:left w:val="none" w:sz="0" w:space="0" w:color="auto"/>
        <w:bottom w:val="none" w:sz="0" w:space="0" w:color="auto"/>
        <w:right w:val="none" w:sz="0" w:space="0" w:color="auto"/>
      </w:divBdr>
    </w:div>
    <w:div w:id="1668630668">
      <w:bodyDiv w:val="1"/>
      <w:marLeft w:val="0"/>
      <w:marRight w:val="0"/>
      <w:marTop w:val="0"/>
      <w:marBottom w:val="0"/>
      <w:divBdr>
        <w:top w:val="none" w:sz="0" w:space="0" w:color="auto"/>
        <w:left w:val="none" w:sz="0" w:space="0" w:color="auto"/>
        <w:bottom w:val="none" w:sz="0" w:space="0" w:color="auto"/>
        <w:right w:val="none" w:sz="0" w:space="0" w:color="auto"/>
      </w:divBdr>
    </w:div>
    <w:div w:id="1668635944">
      <w:bodyDiv w:val="1"/>
      <w:marLeft w:val="0"/>
      <w:marRight w:val="0"/>
      <w:marTop w:val="0"/>
      <w:marBottom w:val="0"/>
      <w:divBdr>
        <w:top w:val="none" w:sz="0" w:space="0" w:color="auto"/>
        <w:left w:val="none" w:sz="0" w:space="0" w:color="auto"/>
        <w:bottom w:val="none" w:sz="0" w:space="0" w:color="auto"/>
        <w:right w:val="none" w:sz="0" w:space="0" w:color="auto"/>
      </w:divBdr>
    </w:div>
    <w:div w:id="1668746174">
      <w:bodyDiv w:val="1"/>
      <w:marLeft w:val="0"/>
      <w:marRight w:val="0"/>
      <w:marTop w:val="0"/>
      <w:marBottom w:val="0"/>
      <w:divBdr>
        <w:top w:val="none" w:sz="0" w:space="0" w:color="auto"/>
        <w:left w:val="none" w:sz="0" w:space="0" w:color="auto"/>
        <w:bottom w:val="none" w:sz="0" w:space="0" w:color="auto"/>
        <w:right w:val="none" w:sz="0" w:space="0" w:color="auto"/>
      </w:divBdr>
    </w:div>
    <w:div w:id="1668896360">
      <w:bodyDiv w:val="1"/>
      <w:marLeft w:val="0"/>
      <w:marRight w:val="0"/>
      <w:marTop w:val="0"/>
      <w:marBottom w:val="0"/>
      <w:divBdr>
        <w:top w:val="none" w:sz="0" w:space="0" w:color="auto"/>
        <w:left w:val="none" w:sz="0" w:space="0" w:color="auto"/>
        <w:bottom w:val="none" w:sz="0" w:space="0" w:color="auto"/>
        <w:right w:val="none" w:sz="0" w:space="0" w:color="auto"/>
      </w:divBdr>
    </w:div>
    <w:div w:id="1668942393">
      <w:bodyDiv w:val="1"/>
      <w:marLeft w:val="0"/>
      <w:marRight w:val="0"/>
      <w:marTop w:val="0"/>
      <w:marBottom w:val="0"/>
      <w:divBdr>
        <w:top w:val="none" w:sz="0" w:space="0" w:color="auto"/>
        <w:left w:val="none" w:sz="0" w:space="0" w:color="auto"/>
        <w:bottom w:val="none" w:sz="0" w:space="0" w:color="auto"/>
        <w:right w:val="none" w:sz="0" w:space="0" w:color="auto"/>
      </w:divBdr>
    </w:div>
    <w:div w:id="1668945583">
      <w:bodyDiv w:val="1"/>
      <w:marLeft w:val="0"/>
      <w:marRight w:val="0"/>
      <w:marTop w:val="0"/>
      <w:marBottom w:val="0"/>
      <w:divBdr>
        <w:top w:val="none" w:sz="0" w:space="0" w:color="auto"/>
        <w:left w:val="none" w:sz="0" w:space="0" w:color="auto"/>
        <w:bottom w:val="none" w:sz="0" w:space="0" w:color="auto"/>
        <w:right w:val="none" w:sz="0" w:space="0" w:color="auto"/>
      </w:divBdr>
    </w:div>
    <w:div w:id="1669139751">
      <w:bodyDiv w:val="1"/>
      <w:marLeft w:val="0"/>
      <w:marRight w:val="0"/>
      <w:marTop w:val="0"/>
      <w:marBottom w:val="0"/>
      <w:divBdr>
        <w:top w:val="none" w:sz="0" w:space="0" w:color="auto"/>
        <w:left w:val="none" w:sz="0" w:space="0" w:color="auto"/>
        <w:bottom w:val="none" w:sz="0" w:space="0" w:color="auto"/>
        <w:right w:val="none" w:sz="0" w:space="0" w:color="auto"/>
      </w:divBdr>
    </w:div>
    <w:div w:id="1669400359">
      <w:bodyDiv w:val="1"/>
      <w:marLeft w:val="0"/>
      <w:marRight w:val="0"/>
      <w:marTop w:val="0"/>
      <w:marBottom w:val="0"/>
      <w:divBdr>
        <w:top w:val="none" w:sz="0" w:space="0" w:color="auto"/>
        <w:left w:val="none" w:sz="0" w:space="0" w:color="auto"/>
        <w:bottom w:val="none" w:sz="0" w:space="0" w:color="auto"/>
        <w:right w:val="none" w:sz="0" w:space="0" w:color="auto"/>
      </w:divBdr>
    </w:div>
    <w:div w:id="1669404851">
      <w:bodyDiv w:val="1"/>
      <w:marLeft w:val="0"/>
      <w:marRight w:val="0"/>
      <w:marTop w:val="0"/>
      <w:marBottom w:val="0"/>
      <w:divBdr>
        <w:top w:val="none" w:sz="0" w:space="0" w:color="auto"/>
        <w:left w:val="none" w:sz="0" w:space="0" w:color="auto"/>
        <w:bottom w:val="none" w:sz="0" w:space="0" w:color="auto"/>
        <w:right w:val="none" w:sz="0" w:space="0" w:color="auto"/>
      </w:divBdr>
    </w:div>
    <w:div w:id="1669557642">
      <w:bodyDiv w:val="1"/>
      <w:marLeft w:val="0"/>
      <w:marRight w:val="0"/>
      <w:marTop w:val="0"/>
      <w:marBottom w:val="0"/>
      <w:divBdr>
        <w:top w:val="none" w:sz="0" w:space="0" w:color="auto"/>
        <w:left w:val="none" w:sz="0" w:space="0" w:color="auto"/>
        <w:bottom w:val="none" w:sz="0" w:space="0" w:color="auto"/>
        <w:right w:val="none" w:sz="0" w:space="0" w:color="auto"/>
      </w:divBdr>
    </w:div>
    <w:div w:id="1669749051">
      <w:bodyDiv w:val="1"/>
      <w:marLeft w:val="0"/>
      <w:marRight w:val="0"/>
      <w:marTop w:val="0"/>
      <w:marBottom w:val="0"/>
      <w:divBdr>
        <w:top w:val="none" w:sz="0" w:space="0" w:color="auto"/>
        <w:left w:val="none" w:sz="0" w:space="0" w:color="auto"/>
        <w:bottom w:val="none" w:sz="0" w:space="0" w:color="auto"/>
        <w:right w:val="none" w:sz="0" w:space="0" w:color="auto"/>
      </w:divBdr>
    </w:div>
    <w:div w:id="1669820366">
      <w:bodyDiv w:val="1"/>
      <w:marLeft w:val="0"/>
      <w:marRight w:val="0"/>
      <w:marTop w:val="0"/>
      <w:marBottom w:val="0"/>
      <w:divBdr>
        <w:top w:val="none" w:sz="0" w:space="0" w:color="auto"/>
        <w:left w:val="none" w:sz="0" w:space="0" w:color="auto"/>
        <w:bottom w:val="none" w:sz="0" w:space="0" w:color="auto"/>
        <w:right w:val="none" w:sz="0" w:space="0" w:color="auto"/>
      </w:divBdr>
    </w:div>
    <w:div w:id="1669823165">
      <w:bodyDiv w:val="1"/>
      <w:marLeft w:val="0"/>
      <w:marRight w:val="0"/>
      <w:marTop w:val="0"/>
      <w:marBottom w:val="0"/>
      <w:divBdr>
        <w:top w:val="none" w:sz="0" w:space="0" w:color="auto"/>
        <w:left w:val="none" w:sz="0" w:space="0" w:color="auto"/>
        <w:bottom w:val="none" w:sz="0" w:space="0" w:color="auto"/>
        <w:right w:val="none" w:sz="0" w:space="0" w:color="auto"/>
      </w:divBdr>
    </w:div>
    <w:div w:id="1669943642">
      <w:bodyDiv w:val="1"/>
      <w:marLeft w:val="0"/>
      <w:marRight w:val="0"/>
      <w:marTop w:val="0"/>
      <w:marBottom w:val="0"/>
      <w:divBdr>
        <w:top w:val="none" w:sz="0" w:space="0" w:color="auto"/>
        <w:left w:val="none" w:sz="0" w:space="0" w:color="auto"/>
        <w:bottom w:val="none" w:sz="0" w:space="0" w:color="auto"/>
        <w:right w:val="none" w:sz="0" w:space="0" w:color="auto"/>
      </w:divBdr>
    </w:div>
    <w:div w:id="1670015786">
      <w:bodyDiv w:val="1"/>
      <w:marLeft w:val="0"/>
      <w:marRight w:val="0"/>
      <w:marTop w:val="0"/>
      <w:marBottom w:val="0"/>
      <w:divBdr>
        <w:top w:val="none" w:sz="0" w:space="0" w:color="auto"/>
        <w:left w:val="none" w:sz="0" w:space="0" w:color="auto"/>
        <w:bottom w:val="none" w:sz="0" w:space="0" w:color="auto"/>
        <w:right w:val="none" w:sz="0" w:space="0" w:color="auto"/>
      </w:divBdr>
    </w:div>
    <w:div w:id="1670134401">
      <w:bodyDiv w:val="1"/>
      <w:marLeft w:val="0"/>
      <w:marRight w:val="0"/>
      <w:marTop w:val="0"/>
      <w:marBottom w:val="0"/>
      <w:divBdr>
        <w:top w:val="none" w:sz="0" w:space="0" w:color="auto"/>
        <w:left w:val="none" w:sz="0" w:space="0" w:color="auto"/>
        <w:bottom w:val="none" w:sz="0" w:space="0" w:color="auto"/>
        <w:right w:val="none" w:sz="0" w:space="0" w:color="auto"/>
      </w:divBdr>
    </w:div>
    <w:div w:id="1670206280">
      <w:bodyDiv w:val="1"/>
      <w:marLeft w:val="0"/>
      <w:marRight w:val="0"/>
      <w:marTop w:val="0"/>
      <w:marBottom w:val="0"/>
      <w:divBdr>
        <w:top w:val="none" w:sz="0" w:space="0" w:color="auto"/>
        <w:left w:val="none" w:sz="0" w:space="0" w:color="auto"/>
        <w:bottom w:val="none" w:sz="0" w:space="0" w:color="auto"/>
        <w:right w:val="none" w:sz="0" w:space="0" w:color="auto"/>
      </w:divBdr>
    </w:div>
    <w:div w:id="1670254780">
      <w:bodyDiv w:val="1"/>
      <w:marLeft w:val="0"/>
      <w:marRight w:val="0"/>
      <w:marTop w:val="0"/>
      <w:marBottom w:val="0"/>
      <w:divBdr>
        <w:top w:val="none" w:sz="0" w:space="0" w:color="auto"/>
        <w:left w:val="none" w:sz="0" w:space="0" w:color="auto"/>
        <w:bottom w:val="none" w:sz="0" w:space="0" w:color="auto"/>
        <w:right w:val="none" w:sz="0" w:space="0" w:color="auto"/>
      </w:divBdr>
    </w:div>
    <w:div w:id="1670324349">
      <w:bodyDiv w:val="1"/>
      <w:marLeft w:val="0"/>
      <w:marRight w:val="0"/>
      <w:marTop w:val="0"/>
      <w:marBottom w:val="0"/>
      <w:divBdr>
        <w:top w:val="none" w:sz="0" w:space="0" w:color="auto"/>
        <w:left w:val="none" w:sz="0" w:space="0" w:color="auto"/>
        <w:bottom w:val="none" w:sz="0" w:space="0" w:color="auto"/>
        <w:right w:val="none" w:sz="0" w:space="0" w:color="auto"/>
      </w:divBdr>
    </w:div>
    <w:div w:id="1670326595">
      <w:bodyDiv w:val="1"/>
      <w:marLeft w:val="0"/>
      <w:marRight w:val="0"/>
      <w:marTop w:val="0"/>
      <w:marBottom w:val="0"/>
      <w:divBdr>
        <w:top w:val="none" w:sz="0" w:space="0" w:color="auto"/>
        <w:left w:val="none" w:sz="0" w:space="0" w:color="auto"/>
        <w:bottom w:val="none" w:sz="0" w:space="0" w:color="auto"/>
        <w:right w:val="none" w:sz="0" w:space="0" w:color="auto"/>
      </w:divBdr>
    </w:div>
    <w:div w:id="1670407576">
      <w:bodyDiv w:val="1"/>
      <w:marLeft w:val="0"/>
      <w:marRight w:val="0"/>
      <w:marTop w:val="0"/>
      <w:marBottom w:val="0"/>
      <w:divBdr>
        <w:top w:val="none" w:sz="0" w:space="0" w:color="auto"/>
        <w:left w:val="none" w:sz="0" w:space="0" w:color="auto"/>
        <w:bottom w:val="none" w:sz="0" w:space="0" w:color="auto"/>
        <w:right w:val="none" w:sz="0" w:space="0" w:color="auto"/>
      </w:divBdr>
    </w:div>
    <w:div w:id="1670475595">
      <w:bodyDiv w:val="1"/>
      <w:marLeft w:val="0"/>
      <w:marRight w:val="0"/>
      <w:marTop w:val="0"/>
      <w:marBottom w:val="0"/>
      <w:divBdr>
        <w:top w:val="none" w:sz="0" w:space="0" w:color="auto"/>
        <w:left w:val="none" w:sz="0" w:space="0" w:color="auto"/>
        <w:bottom w:val="none" w:sz="0" w:space="0" w:color="auto"/>
        <w:right w:val="none" w:sz="0" w:space="0" w:color="auto"/>
      </w:divBdr>
    </w:div>
    <w:div w:id="1670477612">
      <w:bodyDiv w:val="1"/>
      <w:marLeft w:val="0"/>
      <w:marRight w:val="0"/>
      <w:marTop w:val="0"/>
      <w:marBottom w:val="0"/>
      <w:divBdr>
        <w:top w:val="none" w:sz="0" w:space="0" w:color="auto"/>
        <w:left w:val="none" w:sz="0" w:space="0" w:color="auto"/>
        <w:bottom w:val="none" w:sz="0" w:space="0" w:color="auto"/>
        <w:right w:val="none" w:sz="0" w:space="0" w:color="auto"/>
      </w:divBdr>
    </w:div>
    <w:div w:id="1670594589">
      <w:bodyDiv w:val="1"/>
      <w:marLeft w:val="0"/>
      <w:marRight w:val="0"/>
      <w:marTop w:val="0"/>
      <w:marBottom w:val="0"/>
      <w:divBdr>
        <w:top w:val="none" w:sz="0" w:space="0" w:color="auto"/>
        <w:left w:val="none" w:sz="0" w:space="0" w:color="auto"/>
        <w:bottom w:val="none" w:sz="0" w:space="0" w:color="auto"/>
        <w:right w:val="none" w:sz="0" w:space="0" w:color="auto"/>
      </w:divBdr>
    </w:div>
    <w:div w:id="1670599009">
      <w:bodyDiv w:val="1"/>
      <w:marLeft w:val="0"/>
      <w:marRight w:val="0"/>
      <w:marTop w:val="0"/>
      <w:marBottom w:val="0"/>
      <w:divBdr>
        <w:top w:val="none" w:sz="0" w:space="0" w:color="auto"/>
        <w:left w:val="none" w:sz="0" w:space="0" w:color="auto"/>
        <w:bottom w:val="none" w:sz="0" w:space="0" w:color="auto"/>
        <w:right w:val="none" w:sz="0" w:space="0" w:color="auto"/>
      </w:divBdr>
    </w:div>
    <w:div w:id="1670671053">
      <w:bodyDiv w:val="1"/>
      <w:marLeft w:val="0"/>
      <w:marRight w:val="0"/>
      <w:marTop w:val="0"/>
      <w:marBottom w:val="0"/>
      <w:divBdr>
        <w:top w:val="none" w:sz="0" w:space="0" w:color="auto"/>
        <w:left w:val="none" w:sz="0" w:space="0" w:color="auto"/>
        <w:bottom w:val="none" w:sz="0" w:space="0" w:color="auto"/>
        <w:right w:val="none" w:sz="0" w:space="0" w:color="auto"/>
      </w:divBdr>
    </w:div>
    <w:div w:id="1670673917">
      <w:bodyDiv w:val="1"/>
      <w:marLeft w:val="0"/>
      <w:marRight w:val="0"/>
      <w:marTop w:val="0"/>
      <w:marBottom w:val="0"/>
      <w:divBdr>
        <w:top w:val="none" w:sz="0" w:space="0" w:color="auto"/>
        <w:left w:val="none" w:sz="0" w:space="0" w:color="auto"/>
        <w:bottom w:val="none" w:sz="0" w:space="0" w:color="auto"/>
        <w:right w:val="none" w:sz="0" w:space="0" w:color="auto"/>
      </w:divBdr>
    </w:div>
    <w:div w:id="1670906902">
      <w:bodyDiv w:val="1"/>
      <w:marLeft w:val="0"/>
      <w:marRight w:val="0"/>
      <w:marTop w:val="0"/>
      <w:marBottom w:val="0"/>
      <w:divBdr>
        <w:top w:val="none" w:sz="0" w:space="0" w:color="auto"/>
        <w:left w:val="none" w:sz="0" w:space="0" w:color="auto"/>
        <w:bottom w:val="none" w:sz="0" w:space="0" w:color="auto"/>
        <w:right w:val="none" w:sz="0" w:space="0" w:color="auto"/>
      </w:divBdr>
    </w:div>
    <w:div w:id="1670912354">
      <w:bodyDiv w:val="1"/>
      <w:marLeft w:val="0"/>
      <w:marRight w:val="0"/>
      <w:marTop w:val="0"/>
      <w:marBottom w:val="0"/>
      <w:divBdr>
        <w:top w:val="none" w:sz="0" w:space="0" w:color="auto"/>
        <w:left w:val="none" w:sz="0" w:space="0" w:color="auto"/>
        <w:bottom w:val="none" w:sz="0" w:space="0" w:color="auto"/>
        <w:right w:val="none" w:sz="0" w:space="0" w:color="auto"/>
      </w:divBdr>
    </w:div>
    <w:div w:id="1670985728">
      <w:bodyDiv w:val="1"/>
      <w:marLeft w:val="0"/>
      <w:marRight w:val="0"/>
      <w:marTop w:val="0"/>
      <w:marBottom w:val="0"/>
      <w:divBdr>
        <w:top w:val="none" w:sz="0" w:space="0" w:color="auto"/>
        <w:left w:val="none" w:sz="0" w:space="0" w:color="auto"/>
        <w:bottom w:val="none" w:sz="0" w:space="0" w:color="auto"/>
        <w:right w:val="none" w:sz="0" w:space="0" w:color="auto"/>
      </w:divBdr>
    </w:div>
    <w:div w:id="1671130094">
      <w:bodyDiv w:val="1"/>
      <w:marLeft w:val="0"/>
      <w:marRight w:val="0"/>
      <w:marTop w:val="0"/>
      <w:marBottom w:val="0"/>
      <w:divBdr>
        <w:top w:val="none" w:sz="0" w:space="0" w:color="auto"/>
        <w:left w:val="none" w:sz="0" w:space="0" w:color="auto"/>
        <w:bottom w:val="none" w:sz="0" w:space="0" w:color="auto"/>
        <w:right w:val="none" w:sz="0" w:space="0" w:color="auto"/>
      </w:divBdr>
    </w:div>
    <w:div w:id="1671174222">
      <w:bodyDiv w:val="1"/>
      <w:marLeft w:val="0"/>
      <w:marRight w:val="0"/>
      <w:marTop w:val="0"/>
      <w:marBottom w:val="0"/>
      <w:divBdr>
        <w:top w:val="none" w:sz="0" w:space="0" w:color="auto"/>
        <w:left w:val="none" w:sz="0" w:space="0" w:color="auto"/>
        <w:bottom w:val="none" w:sz="0" w:space="0" w:color="auto"/>
        <w:right w:val="none" w:sz="0" w:space="0" w:color="auto"/>
      </w:divBdr>
    </w:div>
    <w:div w:id="1671250040">
      <w:bodyDiv w:val="1"/>
      <w:marLeft w:val="0"/>
      <w:marRight w:val="0"/>
      <w:marTop w:val="0"/>
      <w:marBottom w:val="0"/>
      <w:divBdr>
        <w:top w:val="none" w:sz="0" w:space="0" w:color="auto"/>
        <w:left w:val="none" w:sz="0" w:space="0" w:color="auto"/>
        <w:bottom w:val="none" w:sz="0" w:space="0" w:color="auto"/>
        <w:right w:val="none" w:sz="0" w:space="0" w:color="auto"/>
      </w:divBdr>
    </w:div>
    <w:div w:id="1671252731">
      <w:bodyDiv w:val="1"/>
      <w:marLeft w:val="0"/>
      <w:marRight w:val="0"/>
      <w:marTop w:val="0"/>
      <w:marBottom w:val="0"/>
      <w:divBdr>
        <w:top w:val="none" w:sz="0" w:space="0" w:color="auto"/>
        <w:left w:val="none" w:sz="0" w:space="0" w:color="auto"/>
        <w:bottom w:val="none" w:sz="0" w:space="0" w:color="auto"/>
        <w:right w:val="none" w:sz="0" w:space="0" w:color="auto"/>
      </w:divBdr>
    </w:div>
    <w:div w:id="1671253747">
      <w:bodyDiv w:val="1"/>
      <w:marLeft w:val="0"/>
      <w:marRight w:val="0"/>
      <w:marTop w:val="0"/>
      <w:marBottom w:val="0"/>
      <w:divBdr>
        <w:top w:val="none" w:sz="0" w:space="0" w:color="auto"/>
        <w:left w:val="none" w:sz="0" w:space="0" w:color="auto"/>
        <w:bottom w:val="none" w:sz="0" w:space="0" w:color="auto"/>
        <w:right w:val="none" w:sz="0" w:space="0" w:color="auto"/>
      </w:divBdr>
    </w:div>
    <w:div w:id="1671330104">
      <w:bodyDiv w:val="1"/>
      <w:marLeft w:val="0"/>
      <w:marRight w:val="0"/>
      <w:marTop w:val="0"/>
      <w:marBottom w:val="0"/>
      <w:divBdr>
        <w:top w:val="none" w:sz="0" w:space="0" w:color="auto"/>
        <w:left w:val="none" w:sz="0" w:space="0" w:color="auto"/>
        <w:bottom w:val="none" w:sz="0" w:space="0" w:color="auto"/>
        <w:right w:val="none" w:sz="0" w:space="0" w:color="auto"/>
      </w:divBdr>
    </w:div>
    <w:div w:id="1671366345">
      <w:bodyDiv w:val="1"/>
      <w:marLeft w:val="0"/>
      <w:marRight w:val="0"/>
      <w:marTop w:val="0"/>
      <w:marBottom w:val="0"/>
      <w:divBdr>
        <w:top w:val="none" w:sz="0" w:space="0" w:color="auto"/>
        <w:left w:val="none" w:sz="0" w:space="0" w:color="auto"/>
        <w:bottom w:val="none" w:sz="0" w:space="0" w:color="auto"/>
        <w:right w:val="none" w:sz="0" w:space="0" w:color="auto"/>
      </w:divBdr>
    </w:div>
    <w:div w:id="1671518578">
      <w:bodyDiv w:val="1"/>
      <w:marLeft w:val="0"/>
      <w:marRight w:val="0"/>
      <w:marTop w:val="0"/>
      <w:marBottom w:val="0"/>
      <w:divBdr>
        <w:top w:val="none" w:sz="0" w:space="0" w:color="auto"/>
        <w:left w:val="none" w:sz="0" w:space="0" w:color="auto"/>
        <w:bottom w:val="none" w:sz="0" w:space="0" w:color="auto"/>
        <w:right w:val="none" w:sz="0" w:space="0" w:color="auto"/>
      </w:divBdr>
    </w:div>
    <w:div w:id="1671636082">
      <w:bodyDiv w:val="1"/>
      <w:marLeft w:val="0"/>
      <w:marRight w:val="0"/>
      <w:marTop w:val="0"/>
      <w:marBottom w:val="0"/>
      <w:divBdr>
        <w:top w:val="none" w:sz="0" w:space="0" w:color="auto"/>
        <w:left w:val="none" w:sz="0" w:space="0" w:color="auto"/>
        <w:bottom w:val="none" w:sz="0" w:space="0" w:color="auto"/>
        <w:right w:val="none" w:sz="0" w:space="0" w:color="auto"/>
      </w:divBdr>
    </w:div>
    <w:div w:id="1671642289">
      <w:bodyDiv w:val="1"/>
      <w:marLeft w:val="0"/>
      <w:marRight w:val="0"/>
      <w:marTop w:val="0"/>
      <w:marBottom w:val="0"/>
      <w:divBdr>
        <w:top w:val="none" w:sz="0" w:space="0" w:color="auto"/>
        <w:left w:val="none" w:sz="0" w:space="0" w:color="auto"/>
        <w:bottom w:val="none" w:sz="0" w:space="0" w:color="auto"/>
        <w:right w:val="none" w:sz="0" w:space="0" w:color="auto"/>
      </w:divBdr>
    </w:div>
    <w:div w:id="1671713781">
      <w:bodyDiv w:val="1"/>
      <w:marLeft w:val="0"/>
      <w:marRight w:val="0"/>
      <w:marTop w:val="0"/>
      <w:marBottom w:val="0"/>
      <w:divBdr>
        <w:top w:val="none" w:sz="0" w:space="0" w:color="auto"/>
        <w:left w:val="none" w:sz="0" w:space="0" w:color="auto"/>
        <w:bottom w:val="none" w:sz="0" w:space="0" w:color="auto"/>
        <w:right w:val="none" w:sz="0" w:space="0" w:color="auto"/>
      </w:divBdr>
    </w:div>
    <w:div w:id="1671718049">
      <w:bodyDiv w:val="1"/>
      <w:marLeft w:val="0"/>
      <w:marRight w:val="0"/>
      <w:marTop w:val="0"/>
      <w:marBottom w:val="0"/>
      <w:divBdr>
        <w:top w:val="none" w:sz="0" w:space="0" w:color="auto"/>
        <w:left w:val="none" w:sz="0" w:space="0" w:color="auto"/>
        <w:bottom w:val="none" w:sz="0" w:space="0" w:color="auto"/>
        <w:right w:val="none" w:sz="0" w:space="0" w:color="auto"/>
      </w:divBdr>
    </w:div>
    <w:div w:id="1671718472">
      <w:bodyDiv w:val="1"/>
      <w:marLeft w:val="0"/>
      <w:marRight w:val="0"/>
      <w:marTop w:val="0"/>
      <w:marBottom w:val="0"/>
      <w:divBdr>
        <w:top w:val="none" w:sz="0" w:space="0" w:color="auto"/>
        <w:left w:val="none" w:sz="0" w:space="0" w:color="auto"/>
        <w:bottom w:val="none" w:sz="0" w:space="0" w:color="auto"/>
        <w:right w:val="none" w:sz="0" w:space="0" w:color="auto"/>
      </w:divBdr>
    </w:div>
    <w:div w:id="1671761272">
      <w:bodyDiv w:val="1"/>
      <w:marLeft w:val="0"/>
      <w:marRight w:val="0"/>
      <w:marTop w:val="0"/>
      <w:marBottom w:val="0"/>
      <w:divBdr>
        <w:top w:val="none" w:sz="0" w:space="0" w:color="auto"/>
        <w:left w:val="none" w:sz="0" w:space="0" w:color="auto"/>
        <w:bottom w:val="none" w:sz="0" w:space="0" w:color="auto"/>
        <w:right w:val="none" w:sz="0" w:space="0" w:color="auto"/>
      </w:divBdr>
    </w:div>
    <w:div w:id="1671835333">
      <w:bodyDiv w:val="1"/>
      <w:marLeft w:val="0"/>
      <w:marRight w:val="0"/>
      <w:marTop w:val="0"/>
      <w:marBottom w:val="0"/>
      <w:divBdr>
        <w:top w:val="none" w:sz="0" w:space="0" w:color="auto"/>
        <w:left w:val="none" w:sz="0" w:space="0" w:color="auto"/>
        <w:bottom w:val="none" w:sz="0" w:space="0" w:color="auto"/>
        <w:right w:val="none" w:sz="0" w:space="0" w:color="auto"/>
      </w:divBdr>
    </w:div>
    <w:div w:id="1671909058">
      <w:bodyDiv w:val="1"/>
      <w:marLeft w:val="0"/>
      <w:marRight w:val="0"/>
      <w:marTop w:val="0"/>
      <w:marBottom w:val="0"/>
      <w:divBdr>
        <w:top w:val="none" w:sz="0" w:space="0" w:color="auto"/>
        <w:left w:val="none" w:sz="0" w:space="0" w:color="auto"/>
        <w:bottom w:val="none" w:sz="0" w:space="0" w:color="auto"/>
        <w:right w:val="none" w:sz="0" w:space="0" w:color="auto"/>
      </w:divBdr>
    </w:div>
    <w:div w:id="1672029131">
      <w:bodyDiv w:val="1"/>
      <w:marLeft w:val="0"/>
      <w:marRight w:val="0"/>
      <w:marTop w:val="0"/>
      <w:marBottom w:val="0"/>
      <w:divBdr>
        <w:top w:val="none" w:sz="0" w:space="0" w:color="auto"/>
        <w:left w:val="none" w:sz="0" w:space="0" w:color="auto"/>
        <w:bottom w:val="none" w:sz="0" w:space="0" w:color="auto"/>
        <w:right w:val="none" w:sz="0" w:space="0" w:color="auto"/>
      </w:divBdr>
    </w:div>
    <w:div w:id="1672104468">
      <w:bodyDiv w:val="1"/>
      <w:marLeft w:val="0"/>
      <w:marRight w:val="0"/>
      <w:marTop w:val="0"/>
      <w:marBottom w:val="0"/>
      <w:divBdr>
        <w:top w:val="none" w:sz="0" w:space="0" w:color="auto"/>
        <w:left w:val="none" w:sz="0" w:space="0" w:color="auto"/>
        <w:bottom w:val="none" w:sz="0" w:space="0" w:color="auto"/>
        <w:right w:val="none" w:sz="0" w:space="0" w:color="auto"/>
      </w:divBdr>
    </w:div>
    <w:div w:id="1672173117">
      <w:bodyDiv w:val="1"/>
      <w:marLeft w:val="0"/>
      <w:marRight w:val="0"/>
      <w:marTop w:val="0"/>
      <w:marBottom w:val="0"/>
      <w:divBdr>
        <w:top w:val="none" w:sz="0" w:space="0" w:color="auto"/>
        <w:left w:val="none" w:sz="0" w:space="0" w:color="auto"/>
        <w:bottom w:val="none" w:sz="0" w:space="0" w:color="auto"/>
        <w:right w:val="none" w:sz="0" w:space="0" w:color="auto"/>
      </w:divBdr>
    </w:div>
    <w:div w:id="1672218713">
      <w:bodyDiv w:val="1"/>
      <w:marLeft w:val="0"/>
      <w:marRight w:val="0"/>
      <w:marTop w:val="0"/>
      <w:marBottom w:val="0"/>
      <w:divBdr>
        <w:top w:val="none" w:sz="0" w:space="0" w:color="auto"/>
        <w:left w:val="none" w:sz="0" w:space="0" w:color="auto"/>
        <w:bottom w:val="none" w:sz="0" w:space="0" w:color="auto"/>
        <w:right w:val="none" w:sz="0" w:space="0" w:color="auto"/>
      </w:divBdr>
    </w:div>
    <w:div w:id="1672292341">
      <w:bodyDiv w:val="1"/>
      <w:marLeft w:val="0"/>
      <w:marRight w:val="0"/>
      <w:marTop w:val="0"/>
      <w:marBottom w:val="0"/>
      <w:divBdr>
        <w:top w:val="none" w:sz="0" w:space="0" w:color="auto"/>
        <w:left w:val="none" w:sz="0" w:space="0" w:color="auto"/>
        <w:bottom w:val="none" w:sz="0" w:space="0" w:color="auto"/>
        <w:right w:val="none" w:sz="0" w:space="0" w:color="auto"/>
      </w:divBdr>
    </w:div>
    <w:div w:id="1672491456">
      <w:bodyDiv w:val="1"/>
      <w:marLeft w:val="0"/>
      <w:marRight w:val="0"/>
      <w:marTop w:val="0"/>
      <w:marBottom w:val="0"/>
      <w:divBdr>
        <w:top w:val="none" w:sz="0" w:space="0" w:color="auto"/>
        <w:left w:val="none" w:sz="0" w:space="0" w:color="auto"/>
        <w:bottom w:val="none" w:sz="0" w:space="0" w:color="auto"/>
        <w:right w:val="none" w:sz="0" w:space="0" w:color="auto"/>
      </w:divBdr>
    </w:div>
    <w:div w:id="1672564134">
      <w:bodyDiv w:val="1"/>
      <w:marLeft w:val="0"/>
      <w:marRight w:val="0"/>
      <w:marTop w:val="0"/>
      <w:marBottom w:val="0"/>
      <w:divBdr>
        <w:top w:val="none" w:sz="0" w:space="0" w:color="auto"/>
        <w:left w:val="none" w:sz="0" w:space="0" w:color="auto"/>
        <w:bottom w:val="none" w:sz="0" w:space="0" w:color="auto"/>
        <w:right w:val="none" w:sz="0" w:space="0" w:color="auto"/>
      </w:divBdr>
    </w:div>
    <w:div w:id="1672635868">
      <w:bodyDiv w:val="1"/>
      <w:marLeft w:val="0"/>
      <w:marRight w:val="0"/>
      <w:marTop w:val="0"/>
      <w:marBottom w:val="0"/>
      <w:divBdr>
        <w:top w:val="none" w:sz="0" w:space="0" w:color="auto"/>
        <w:left w:val="none" w:sz="0" w:space="0" w:color="auto"/>
        <w:bottom w:val="none" w:sz="0" w:space="0" w:color="auto"/>
        <w:right w:val="none" w:sz="0" w:space="0" w:color="auto"/>
      </w:divBdr>
    </w:div>
    <w:div w:id="1672638619">
      <w:bodyDiv w:val="1"/>
      <w:marLeft w:val="0"/>
      <w:marRight w:val="0"/>
      <w:marTop w:val="0"/>
      <w:marBottom w:val="0"/>
      <w:divBdr>
        <w:top w:val="none" w:sz="0" w:space="0" w:color="auto"/>
        <w:left w:val="none" w:sz="0" w:space="0" w:color="auto"/>
        <w:bottom w:val="none" w:sz="0" w:space="0" w:color="auto"/>
        <w:right w:val="none" w:sz="0" w:space="0" w:color="auto"/>
      </w:divBdr>
    </w:div>
    <w:div w:id="1672640484">
      <w:bodyDiv w:val="1"/>
      <w:marLeft w:val="0"/>
      <w:marRight w:val="0"/>
      <w:marTop w:val="0"/>
      <w:marBottom w:val="0"/>
      <w:divBdr>
        <w:top w:val="none" w:sz="0" w:space="0" w:color="auto"/>
        <w:left w:val="none" w:sz="0" w:space="0" w:color="auto"/>
        <w:bottom w:val="none" w:sz="0" w:space="0" w:color="auto"/>
        <w:right w:val="none" w:sz="0" w:space="0" w:color="auto"/>
      </w:divBdr>
    </w:div>
    <w:div w:id="1672835903">
      <w:bodyDiv w:val="1"/>
      <w:marLeft w:val="0"/>
      <w:marRight w:val="0"/>
      <w:marTop w:val="0"/>
      <w:marBottom w:val="0"/>
      <w:divBdr>
        <w:top w:val="none" w:sz="0" w:space="0" w:color="auto"/>
        <w:left w:val="none" w:sz="0" w:space="0" w:color="auto"/>
        <w:bottom w:val="none" w:sz="0" w:space="0" w:color="auto"/>
        <w:right w:val="none" w:sz="0" w:space="0" w:color="auto"/>
      </w:divBdr>
    </w:div>
    <w:div w:id="1672836164">
      <w:bodyDiv w:val="1"/>
      <w:marLeft w:val="0"/>
      <w:marRight w:val="0"/>
      <w:marTop w:val="0"/>
      <w:marBottom w:val="0"/>
      <w:divBdr>
        <w:top w:val="none" w:sz="0" w:space="0" w:color="auto"/>
        <w:left w:val="none" w:sz="0" w:space="0" w:color="auto"/>
        <w:bottom w:val="none" w:sz="0" w:space="0" w:color="auto"/>
        <w:right w:val="none" w:sz="0" w:space="0" w:color="auto"/>
      </w:divBdr>
    </w:div>
    <w:div w:id="1672876888">
      <w:bodyDiv w:val="1"/>
      <w:marLeft w:val="0"/>
      <w:marRight w:val="0"/>
      <w:marTop w:val="0"/>
      <w:marBottom w:val="0"/>
      <w:divBdr>
        <w:top w:val="none" w:sz="0" w:space="0" w:color="auto"/>
        <w:left w:val="none" w:sz="0" w:space="0" w:color="auto"/>
        <w:bottom w:val="none" w:sz="0" w:space="0" w:color="auto"/>
        <w:right w:val="none" w:sz="0" w:space="0" w:color="auto"/>
      </w:divBdr>
    </w:div>
    <w:div w:id="1672903225">
      <w:bodyDiv w:val="1"/>
      <w:marLeft w:val="0"/>
      <w:marRight w:val="0"/>
      <w:marTop w:val="0"/>
      <w:marBottom w:val="0"/>
      <w:divBdr>
        <w:top w:val="none" w:sz="0" w:space="0" w:color="auto"/>
        <w:left w:val="none" w:sz="0" w:space="0" w:color="auto"/>
        <w:bottom w:val="none" w:sz="0" w:space="0" w:color="auto"/>
        <w:right w:val="none" w:sz="0" w:space="0" w:color="auto"/>
      </w:divBdr>
    </w:div>
    <w:div w:id="1673069746">
      <w:bodyDiv w:val="1"/>
      <w:marLeft w:val="0"/>
      <w:marRight w:val="0"/>
      <w:marTop w:val="0"/>
      <w:marBottom w:val="0"/>
      <w:divBdr>
        <w:top w:val="none" w:sz="0" w:space="0" w:color="auto"/>
        <w:left w:val="none" w:sz="0" w:space="0" w:color="auto"/>
        <w:bottom w:val="none" w:sz="0" w:space="0" w:color="auto"/>
        <w:right w:val="none" w:sz="0" w:space="0" w:color="auto"/>
      </w:divBdr>
    </w:div>
    <w:div w:id="1673215538">
      <w:bodyDiv w:val="1"/>
      <w:marLeft w:val="0"/>
      <w:marRight w:val="0"/>
      <w:marTop w:val="0"/>
      <w:marBottom w:val="0"/>
      <w:divBdr>
        <w:top w:val="none" w:sz="0" w:space="0" w:color="auto"/>
        <w:left w:val="none" w:sz="0" w:space="0" w:color="auto"/>
        <w:bottom w:val="none" w:sz="0" w:space="0" w:color="auto"/>
        <w:right w:val="none" w:sz="0" w:space="0" w:color="auto"/>
      </w:divBdr>
    </w:div>
    <w:div w:id="1673217928">
      <w:bodyDiv w:val="1"/>
      <w:marLeft w:val="0"/>
      <w:marRight w:val="0"/>
      <w:marTop w:val="0"/>
      <w:marBottom w:val="0"/>
      <w:divBdr>
        <w:top w:val="none" w:sz="0" w:space="0" w:color="auto"/>
        <w:left w:val="none" w:sz="0" w:space="0" w:color="auto"/>
        <w:bottom w:val="none" w:sz="0" w:space="0" w:color="auto"/>
        <w:right w:val="none" w:sz="0" w:space="0" w:color="auto"/>
      </w:divBdr>
    </w:div>
    <w:div w:id="1673289066">
      <w:bodyDiv w:val="1"/>
      <w:marLeft w:val="0"/>
      <w:marRight w:val="0"/>
      <w:marTop w:val="0"/>
      <w:marBottom w:val="0"/>
      <w:divBdr>
        <w:top w:val="none" w:sz="0" w:space="0" w:color="auto"/>
        <w:left w:val="none" w:sz="0" w:space="0" w:color="auto"/>
        <w:bottom w:val="none" w:sz="0" w:space="0" w:color="auto"/>
        <w:right w:val="none" w:sz="0" w:space="0" w:color="auto"/>
      </w:divBdr>
    </w:div>
    <w:div w:id="1673414649">
      <w:bodyDiv w:val="1"/>
      <w:marLeft w:val="0"/>
      <w:marRight w:val="0"/>
      <w:marTop w:val="0"/>
      <w:marBottom w:val="0"/>
      <w:divBdr>
        <w:top w:val="none" w:sz="0" w:space="0" w:color="auto"/>
        <w:left w:val="none" w:sz="0" w:space="0" w:color="auto"/>
        <w:bottom w:val="none" w:sz="0" w:space="0" w:color="auto"/>
        <w:right w:val="none" w:sz="0" w:space="0" w:color="auto"/>
      </w:divBdr>
    </w:div>
    <w:div w:id="1673489229">
      <w:bodyDiv w:val="1"/>
      <w:marLeft w:val="0"/>
      <w:marRight w:val="0"/>
      <w:marTop w:val="0"/>
      <w:marBottom w:val="0"/>
      <w:divBdr>
        <w:top w:val="none" w:sz="0" w:space="0" w:color="auto"/>
        <w:left w:val="none" w:sz="0" w:space="0" w:color="auto"/>
        <w:bottom w:val="none" w:sz="0" w:space="0" w:color="auto"/>
        <w:right w:val="none" w:sz="0" w:space="0" w:color="auto"/>
      </w:divBdr>
    </w:div>
    <w:div w:id="1673534437">
      <w:bodyDiv w:val="1"/>
      <w:marLeft w:val="0"/>
      <w:marRight w:val="0"/>
      <w:marTop w:val="0"/>
      <w:marBottom w:val="0"/>
      <w:divBdr>
        <w:top w:val="none" w:sz="0" w:space="0" w:color="auto"/>
        <w:left w:val="none" w:sz="0" w:space="0" w:color="auto"/>
        <w:bottom w:val="none" w:sz="0" w:space="0" w:color="auto"/>
        <w:right w:val="none" w:sz="0" w:space="0" w:color="auto"/>
      </w:divBdr>
    </w:div>
    <w:div w:id="1673606325">
      <w:bodyDiv w:val="1"/>
      <w:marLeft w:val="0"/>
      <w:marRight w:val="0"/>
      <w:marTop w:val="0"/>
      <w:marBottom w:val="0"/>
      <w:divBdr>
        <w:top w:val="none" w:sz="0" w:space="0" w:color="auto"/>
        <w:left w:val="none" w:sz="0" w:space="0" w:color="auto"/>
        <w:bottom w:val="none" w:sz="0" w:space="0" w:color="auto"/>
        <w:right w:val="none" w:sz="0" w:space="0" w:color="auto"/>
      </w:divBdr>
    </w:div>
    <w:div w:id="1673752618">
      <w:bodyDiv w:val="1"/>
      <w:marLeft w:val="0"/>
      <w:marRight w:val="0"/>
      <w:marTop w:val="0"/>
      <w:marBottom w:val="0"/>
      <w:divBdr>
        <w:top w:val="none" w:sz="0" w:space="0" w:color="auto"/>
        <w:left w:val="none" w:sz="0" w:space="0" w:color="auto"/>
        <w:bottom w:val="none" w:sz="0" w:space="0" w:color="auto"/>
        <w:right w:val="none" w:sz="0" w:space="0" w:color="auto"/>
      </w:divBdr>
    </w:div>
    <w:div w:id="1673755746">
      <w:bodyDiv w:val="1"/>
      <w:marLeft w:val="0"/>
      <w:marRight w:val="0"/>
      <w:marTop w:val="0"/>
      <w:marBottom w:val="0"/>
      <w:divBdr>
        <w:top w:val="none" w:sz="0" w:space="0" w:color="auto"/>
        <w:left w:val="none" w:sz="0" w:space="0" w:color="auto"/>
        <w:bottom w:val="none" w:sz="0" w:space="0" w:color="auto"/>
        <w:right w:val="none" w:sz="0" w:space="0" w:color="auto"/>
      </w:divBdr>
    </w:div>
    <w:div w:id="1673797365">
      <w:bodyDiv w:val="1"/>
      <w:marLeft w:val="0"/>
      <w:marRight w:val="0"/>
      <w:marTop w:val="0"/>
      <w:marBottom w:val="0"/>
      <w:divBdr>
        <w:top w:val="none" w:sz="0" w:space="0" w:color="auto"/>
        <w:left w:val="none" w:sz="0" w:space="0" w:color="auto"/>
        <w:bottom w:val="none" w:sz="0" w:space="0" w:color="auto"/>
        <w:right w:val="none" w:sz="0" w:space="0" w:color="auto"/>
      </w:divBdr>
    </w:div>
    <w:div w:id="1673869560">
      <w:bodyDiv w:val="1"/>
      <w:marLeft w:val="0"/>
      <w:marRight w:val="0"/>
      <w:marTop w:val="0"/>
      <w:marBottom w:val="0"/>
      <w:divBdr>
        <w:top w:val="none" w:sz="0" w:space="0" w:color="auto"/>
        <w:left w:val="none" w:sz="0" w:space="0" w:color="auto"/>
        <w:bottom w:val="none" w:sz="0" w:space="0" w:color="auto"/>
        <w:right w:val="none" w:sz="0" w:space="0" w:color="auto"/>
      </w:divBdr>
    </w:div>
    <w:div w:id="1673949162">
      <w:bodyDiv w:val="1"/>
      <w:marLeft w:val="0"/>
      <w:marRight w:val="0"/>
      <w:marTop w:val="0"/>
      <w:marBottom w:val="0"/>
      <w:divBdr>
        <w:top w:val="none" w:sz="0" w:space="0" w:color="auto"/>
        <w:left w:val="none" w:sz="0" w:space="0" w:color="auto"/>
        <w:bottom w:val="none" w:sz="0" w:space="0" w:color="auto"/>
        <w:right w:val="none" w:sz="0" w:space="0" w:color="auto"/>
      </w:divBdr>
    </w:div>
    <w:div w:id="1673990972">
      <w:bodyDiv w:val="1"/>
      <w:marLeft w:val="0"/>
      <w:marRight w:val="0"/>
      <w:marTop w:val="0"/>
      <w:marBottom w:val="0"/>
      <w:divBdr>
        <w:top w:val="none" w:sz="0" w:space="0" w:color="auto"/>
        <w:left w:val="none" w:sz="0" w:space="0" w:color="auto"/>
        <w:bottom w:val="none" w:sz="0" w:space="0" w:color="auto"/>
        <w:right w:val="none" w:sz="0" w:space="0" w:color="auto"/>
      </w:divBdr>
    </w:div>
    <w:div w:id="1673991262">
      <w:bodyDiv w:val="1"/>
      <w:marLeft w:val="0"/>
      <w:marRight w:val="0"/>
      <w:marTop w:val="0"/>
      <w:marBottom w:val="0"/>
      <w:divBdr>
        <w:top w:val="none" w:sz="0" w:space="0" w:color="auto"/>
        <w:left w:val="none" w:sz="0" w:space="0" w:color="auto"/>
        <w:bottom w:val="none" w:sz="0" w:space="0" w:color="auto"/>
        <w:right w:val="none" w:sz="0" w:space="0" w:color="auto"/>
      </w:divBdr>
    </w:div>
    <w:div w:id="1674213967">
      <w:bodyDiv w:val="1"/>
      <w:marLeft w:val="0"/>
      <w:marRight w:val="0"/>
      <w:marTop w:val="0"/>
      <w:marBottom w:val="0"/>
      <w:divBdr>
        <w:top w:val="none" w:sz="0" w:space="0" w:color="auto"/>
        <w:left w:val="none" w:sz="0" w:space="0" w:color="auto"/>
        <w:bottom w:val="none" w:sz="0" w:space="0" w:color="auto"/>
        <w:right w:val="none" w:sz="0" w:space="0" w:color="auto"/>
      </w:divBdr>
    </w:div>
    <w:div w:id="1674264957">
      <w:bodyDiv w:val="1"/>
      <w:marLeft w:val="0"/>
      <w:marRight w:val="0"/>
      <w:marTop w:val="0"/>
      <w:marBottom w:val="0"/>
      <w:divBdr>
        <w:top w:val="none" w:sz="0" w:space="0" w:color="auto"/>
        <w:left w:val="none" w:sz="0" w:space="0" w:color="auto"/>
        <w:bottom w:val="none" w:sz="0" w:space="0" w:color="auto"/>
        <w:right w:val="none" w:sz="0" w:space="0" w:color="auto"/>
      </w:divBdr>
    </w:div>
    <w:div w:id="1674334343">
      <w:bodyDiv w:val="1"/>
      <w:marLeft w:val="0"/>
      <w:marRight w:val="0"/>
      <w:marTop w:val="0"/>
      <w:marBottom w:val="0"/>
      <w:divBdr>
        <w:top w:val="none" w:sz="0" w:space="0" w:color="auto"/>
        <w:left w:val="none" w:sz="0" w:space="0" w:color="auto"/>
        <w:bottom w:val="none" w:sz="0" w:space="0" w:color="auto"/>
        <w:right w:val="none" w:sz="0" w:space="0" w:color="auto"/>
      </w:divBdr>
    </w:div>
    <w:div w:id="1674379660">
      <w:bodyDiv w:val="1"/>
      <w:marLeft w:val="0"/>
      <w:marRight w:val="0"/>
      <w:marTop w:val="0"/>
      <w:marBottom w:val="0"/>
      <w:divBdr>
        <w:top w:val="none" w:sz="0" w:space="0" w:color="auto"/>
        <w:left w:val="none" w:sz="0" w:space="0" w:color="auto"/>
        <w:bottom w:val="none" w:sz="0" w:space="0" w:color="auto"/>
        <w:right w:val="none" w:sz="0" w:space="0" w:color="auto"/>
      </w:divBdr>
    </w:div>
    <w:div w:id="1674525769">
      <w:bodyDiv w:val="1"/>
      <w:marLeft w:val="0"/>
      <w:marRight w:val="0"/>
      <w:marTop w:val="0"/>
      <w:marBottom w:val="0"/>
      <w:divBdr>
        <w:top w:val="none" w:sz="0" w:space="0" w:color="auto"/>
        <w:left w:val="none" w:sz="0" w:space="0" w:color="auto"/>
        <w:bottom w:val="none" w:sz="0" w:space="0" w:color="auto"/>
        <w:right w:val="none" w:sz="0" w:space="0" w:color="auto"/>
      </w:divBdr>
    </w:div>
    <w:div w:id="1674604086">
      <w:bodyDiv w:val="1"/>
      <w:marLeft w:val="0"/>
      <w:marRight w:val="0"/>
      <w:marTop w:val="0"/>
      <w:marBottom w:val="0"/>
      <w:divBdr>
        <w:top w:val="none" w:sz="0" w:space="0" w:color="auto"/>
        <w:left w:val="none" w:sz="0" w:space="0" w:color="auto"/>
        <w:bottom w:val="none" w:sz="0" w:space="0" w:color="auto"/>
        <w:right w:val="none" w:sz="0" w:space="0" w:color="auto"/>
      </w:divBdr>
    </w:div>
    <w:div w:id="1674607718">
      <w:bodyDiv w:val="1"/>
      <w:marLeft w:val="0"/>
      <w:marRight w:val="0"/>
      <w:marTop w:val="0"/>
      <w:marBottom w:val="0"/>
      <w:divBdr>
        <w:top w:val="none" w:sz="0" w:space="0" w:color="auto"/>
        <w:left w:val="none" w:sz="0" w:space="0" w:color="auto"/>
        <w:bottom w:val="none" w:sz="0" w:space="0" w:color="auto"/>
        <w:right w:val="none" w:sz="0" w:space="0" w:color="auto"/>
      </w:divBdr>
    </w:div>
    <w:div w:id="1674644829">
      <w:bodyDiv w:val="1"/>
      <w:marLeft w:val="0"/>
      <w:marRight w:val="0"/>
      <w:marTop w:val="0"/>
      <w:marBottom w:val="0"/>
      <w:divBdr>
        <w:top w:val="none" w:sz="0" w:space="0" w:color="auto"/>
        <w:left w:val="none" w:sz="0" w:space="0" w:color="auto"/>
        <w:bottom w:val="none" w:sz="0" w:space="0" w:color="auto"/>
        <w:right w:val="none" w:sz="0" w:space="0" w:color="auto"/>
      </w:divBdr>
    </w:div>
    <w:div w:id="1674719455">
      <w:bodyDiv w:val="1"/>
      <w:marLeft w:val="0"/>
      <w:marRight w:val="0"/>
      <w:marTop w:val="0"/>
      <w:marBottom w:val="0"/>
      <w:divBdr>
        <w:top w:val="none" w:sz="0" w:space="0" w:color="auto"/>
        <w:left w:val="none" w:sz="0" w:space="0" w:color="auto"/>
        <w:bottom w:val="none" w:sz="0" w:space="0" w:color="auto"/>
        <w:right w:val="none" w:sz="0" w:space="0" w:color="auto"/>
      </w:divBdr>
    </w:div>
    <w:div w:id="1674721769">
      <w:bodyDiv w:val="1"/>
      <w:marLeft w:val="0"/>
      <w:marRight w:val="0"/>
      <w:marTop w:val="0"/>
      <w:marBottom w:val="0"/>
      <w:divBdr>
        <w:top w:val="none" w:sz="0" w:space="0" w:color="auto"/>
        <w:left w:val="none" w:sz="0" w:space="0" w:color="auto"/>
        <w:bottom w:val="none" w:sz="0" w:space="0" w:color="auto"/>
        <w:right w:val="none" w:sz="0" w:space="0" w:color="auto"/>
      </w:divBdr>
    </w:div>
    <w:div w:id="1674724537">
      <w:bodyDiv w:val="1"/>
      <w:marLeft w:val="0"/>
      <w:marRight w:val="0"/>
      <w:marTop w:val="0"/>
      <w:marBottom w:val="0"/>
      <w:divBdr>
        <w:top w:val="none" w:sz="0" w:space="0" w:color="auto"/>
        <w:left w:val="none" w:sz="0" w:space="0" w:color="auto"/>
        <w:bottom w:val="none" w:sz="0" w:space="0" w:color="auto"/>
        <w:right w:val="none" w:sz="0" w:space="0" w:color="auto"/>
      </w:divBdr>
    </w:div>
    <w:div w:id="1674792742">
      <w:bodyDiv w:val="1"/>
      <w:marLeft w:val="0"/>
      <w:marRight w:val="0"/>
      <w:marTop w:val="0"/>
      <w:marBottom w:val="0"/>
      <w:divBdr>
        <w:top w:val="none" w:sz="0" w:space="0" w:color="auto"/>
        <w:left w:val="none" w:sz="0" w:space="0" w:color="auto"/>
        <w:bottom w:val="none" w:sz="0" w:space="0" w:color="auto"/>
        <w:right w:val="none" w:sz="0" w:space="0" w:color="auto"/>
      </w:divBdr>
    </w:div>
    <w:div w:id="1674794491">
      <w:bodyDiv w:val="1"/>
      <w:marLeft w:val="0"/>
      <w:marRight w:val="0"/>
      <w:marTop w:val="0"/>
      <w:marBottom w:val="0"/>
      <w:divBdr>
        <w:top w:val="none" w:sz="0" w:space="0" w:color="auto"/>
        <w:left w:val="none" w:sz="0" w:space="0" w:color="auto"/>
        <w:bottom w:val="none" w:sz="0" w:space="0" w:color="auto"/>
        <w:right w:val="none" w:sz="0" w:space="0" w:color="auto"/>
      </w:divBdr>
    </w:div>
    <w:div w:id="1675038307">
      <w:bodyDiv w:val="1"/>
      <w:marLeft w:val="0"/>
      <w:marRight w:val="0"/>
      <w:marTop w:val="0"/>
      <w:marBottom w:val="0"/>
      <w:divBdr>
        <w:top w:val="none" w:sz="0" w:space="0" w:color="auto"/>
        <w:left w:val="none" w:sz="0" w:space="0" w:color="auto"/>
        <w:bottom w:val="none" w:sz="0" w:space="0" w:color="auto"/>
        <w:right w:val="none" w:sz="0" w:space="0" w:color="auto"/>
      </w:divBdr>
    </w:div>
    <w:div w:id="1675066951">
      <w:bodyDiv w:val="1"/>
      <w:marLeft w:val="0"/>
      <w:marRight w:val="0"/>
      <w:marTop w:val="0"/>
      <w:marBottom w:val="0"/>
      <w:divBdr>
        <w:top w:val="none" w:sz="0" w:space="0" w:color="auto"/>
        <w:left w:val="none" w:sz="0" w:space="0" w:color="auto"/>
        <w:bottom w:val="none" w:sz="0" w:space="0" w:color="auto"/>
        <w:right w:val="none" w:sz="0" w:space="0" w:color="auto"/>
      </w:divBdr>
    </w:div>
    <w:div w:id="1675105791">
      <w:bodyDiv w:val="1"/>
      <w:marLeft w:val="0"/>
      <w:marRight w:val="0"/>
      <w:marTop w:val="0"/>
      <w:marBottom w:val="0"/>
      <w:divBdr>
        <w:top w:val="none" w:sz="0" w:space="0" w:color="auto"/>
        <w:left w:val="none" w:sz="0" w:space="0" w:color="auto"/>
        <w:bottom w:val="none" w:sz="0" w:space="0" w:color="auto"/>
        <w:right w:val="none" w:sz="0" w:space="0" w:color="auto"/>
      </w:divBdr>
    </w:div>
    <w:div w:id="1675304786">
      <w:bodyDiv w:val="1"/>
      <w:marLeft w:val="0"/>
      <w:marRight w:val="0"/>
      <w:marTop w:val="0"/>
      <w:marBottom w:val="0"/>
      <w:divBdr>
        <w:top w:val="none" w:sz="0" w:space="0" w:color="auto"/>
        <w:left w:val="none" w:sz="0" w:space="0" w:color="auto"/>
        <w:bottom w:val="none" w:sz="0" w:space="0" w:color="auto"/>
        <w:right w:val="none" w:sz="0" w:space="0" w:color="auto"/>
      </w:divBdr>
    </w:div>
    <w:div w:id="1675306692">
      <w:bodyDiv w:val="1"/>
      <w:marLeft w:val="0"/>
      <w:marRight w:val="0"/>
      <w:marTop w:val="0"/>
      <w:marBottom w:val="0"/>
      <w:divBdr>
        <w:top w:val="none" w:sz="0" w:space="0" w:color="auto"/>
        <w:left w:val="none" w:sz="0" w:space="0" w:color="auto"/>
        <w:bottom w:val="none" w:sz="0" w:space="0" w:color="auto"/>
        <w:right w:val="none" w:sz="0" w:space="0" w:color="auto"/>
      </w:divBdr>
    </w:div>
    <w:div w:id="1675378182">
      <w:bodyDiv w:val="1"/>
      <w:marLeft w:val="0"/>
      <w:marRight w:val="0"/>
      <w:marTop w:val="0"/>
      <w:marBottom w:val="0"/>
      <w:divBdr>
        <w:top w:val="none" w:sz="0" w:space="0" w:color="auto"/>
        <w:left w:val="none" w:sz="0" w:space="0" w:color="auto"/>
        <w:bottom w:val="none" w:sz="0" w:space="0" w:color="auto"/>
        <w:right w:val="none" w:sz="0" w:space="0" w:color="auto"/>
      </w:divBdr>
    </w:div>
    <w:div w:id="1675448389">
      <w:bodyDiv w:val="1"/>
      <w:marLeft w:val="0"/>
      <w:marRight w:val="0"/>
      <w:marTop w:val="0"/>
      <w:marBottom w:val="0"/>
      <w:divBdr>
        <w:top w:val="none" w:sz="0" w:space="0" w:color="auto"/>
        <w:left w:val="none" w:sz="0" w:space="0" w:color="auto"/>
        <w:bottom w:val="none" w:sz="0" w:space="0" w:color="auto"/>
        <w:right w:val="none" w:sz="0" w:space="0" w:color="auto"/>
      </w:divBdr>
    </w:div>
    <w:div w:id="1675569983">
      <w:bodyDiv w:val="1"/>
      <w:marLeft w:val="0"/>
      <w:marRight w:val="0"/>
      <w:marTop w:val="0"/>
      <w:marBottom w:val="0"/>
      <w:divBdr>
        <w:top w:val="none" w:sz="0" w:space="0" w:color="auto"/>
        <w:left w:val="none" w:sz="0" w:space="0" w:color="auto"/>
        <w:bottom w:val="none" w:sz="0" w:space="0" w:color="auto"/>
        <w:right w:val="none" w:sz="0" w:space="0" w:color="auto"/>
      </w:divBdr>
    </w:div>
    <w:div w:id="1675570206">
      <w:bodyDiv w:val="1"/>
      <w:marLeft w:val="0"/>
      <w:marRight w:val="0"/>
      <w:marTop w:val="0"/>
      <w:marBottom w:val="0"/>
      <w:divBdr>
        <w:top w:val="none" w:sz="0" w:space="0" w:color="auto"/>
        <w:left w:val="none" w:sz="0" w:space="0" w:color="auto"/>
        <w:bottom w:val="none" w:sz="0" w:space="0" w:color="auto"/>
        <w:right w:val="none" w:sz="0" w:space="0" w:color="auto"/>
      </w:divBdr>
    </w:div>
    <w:div w:id="1675572183">
      <w:bodyDiv w:val="1"/>
      <w:marLeft w:val="0"/>
      <w:marRight w:val="0"/>
      <w:marTop w:val="0"/>
      <w:marBottom w:val="0"/>
      <w:divBdr>
        <w:top w:val="none" w:sz="0" w:space="0" w:color="auto"/>
        <w:left w:val="none" w:sz="0" w:space="0" w:color="auto"/>
        <w:bottom w:val="none" w:sz="0" w:space="0" w:color="auto"/>
        <w:right w:val="none" w:sz="0" w:space="0" w:color="auto"/>
      </w:divBdr>
    </w:div>
    <w:div w:id="1675834575">
      <w:bodyDiv w:val="1"/>
      <w:marLeft w:val="0"/>
      <w:marRight w:val="0"/>
      <w:marTop w:val="0"/>
      <w:marBottom w:val="0"/>
      <w:divBdr>
        <w:top w:val="none" w:sz="0" w:space="0" w:color="auto"/>
        <w:left w:val="none" w:sz="0" w:space="0" w:color="auto"/>
        <w:bottom w:val="none" w:sz="0" w:space="0" w:color="auto"/>
        <w:right w:val="none" w:sz="0" w:space="0" w:color="auto"/>
      </w:divBdr>
    </w:div>
    <w:div w:id="1675917344">
      <w:bodyDiv w:val="1"/>
      <w:marLeft w:val="0"/>
      <w:marRight w:val="0"/>
      <w:marTop w:val="0"/>
      <w:marBottom w:val="0"/>
      <w:divBdr>
        <w:top w:val="none" w:sz="0" w:space="0" w:color="auto"/>
        <w:left w:val="none" w:sz="0" w:space="0" w:color="auto"/>
        <w:bottom w:val="none" w:sz="0" w:space="0" w:color="auto"/>
        <w:right w:val="none" w:sz="0" w:space="0" w:color="auto"/>
      </w:divBdr>
    </w:div>
    <w:div w:id="1675952747">
      <w:bodyDiv w:val="1"/>
      <w:marLeft w:val="0"/>
      <w:marRight w:val="0"/>
      <w:marTop w:val="0"/>
      <w:marBottom w:val="0"/>
      <w:divBdr>
        <w:top w:val="none" w:sz="0" w:space="0" w:color="auto"/>
        <w:left w:val="none" w:sz="0" w:space="0" w:color="auto"/>
        <w:bottom w:val="none" w:sz="0" w:space="0" w:color="auto"/>
        <w:right w:val="none" w:sz="0" w:space="0" w:color="auto"/>
      </w:divBdr>
    </w:div>
    <w:div w:id="1676111783">
      <w:bodyDiv w:val="1"/>
      <w:marLeft w:val="0"/>
      <w:marRight w:val="0"/>
      <w:marTop w:val="0"/>
      <w:marBottom w:val="0"/>
      <w:divBdr>
        <w:top w:val="none" w:sz="0" w:space="0" w:color="auto"/>
        <w:left w:val="none" w:sz="0" w:space="0" w:color="auto"/>
        <w:bottom w:val="none" w:sz="0" w:space="0" w:color="auto"/>
        <w:right w:val="none" w:sz="0" w:space="0" w:color="auto"/>
      </w:divBdr>
    </w:div>
    <w:div w:id="1676152519">
      <w:bodyDiv w:val="1"/>
      <w:marLeft w:val="0"/>
      <w:marRight w:val="0"/>
      <w:marTop w:val="0"/>
      <w:marBottom w:val="0"/>
      <w:divBdr>
        <w:top w:val="none" w:sz="0" w:space="0" w:color="auto"/>
        <w:left w:val="none" w:sz="0" w:space="0" w:color="auto"/>
        <w:bottom w:val="none" w:sz="0" w:space="0" w:color="auto"/>
        <w:right w:val="none" w:sz="0" w:space="0" w:color="auto"/>
      </w:divBdr>
    </w:div>
    <w:div w:id="1676373124">
      <w:bodyDiv w:val="1"/>
      <w:marLeft w:val="0"/>
      <w:marRight w:val="0"/>
      <w:marTop w:val="0"/>
      <w:marBottom w:val="0"/>
      <w:divBdr>
        <w:top w:val="none" w:sz="0" w:space="0" w:color="auto"/>
        <w:left w:val="none" w:sz="0" w:space="0" w:color="auto"/>
        <w:bottom w:val="none" w:sz="0" w:space="0" w:color="auto"/>
        <w:right w:val="none" w:sz="0" w:space="0" w:color="auto"/>
      </w:divBdr>
    </w:div>
    <w:div w:id="1676570388">
      <w:bodyDiv w:val="1"/>
      <w:marLeft w:val="0"/>
      <w:marRight w:val="0"/>
      <w:marTop w:val="0"/>
      <w:marBottom w:val="0"/>
      <w:divBdr>
        <w:top w:val="none" w:sz="0" w:space="0" w:color="auto"/>
        <w:left w:val="none" w:sz="0" w:space="0" w:color="auto"/>
        <w:bottom w:val="none" w:sz="0" w:space="0" w:color="auto"/>
        <w:right w:val="none" w:sz="0" w:space="0" w:color="auto"/>
      </w:divBdr>
    </w:div>
    <w:div w:id="1676691005">
      <w:bodyDiv w:val="1"/>
      <w:marLeft w:val="0"/>
      <w:marRight w:val="0"/>
      <w:marTop w:val="0"/>
      <w:marBottom w:val="0"/>
      <w:divBdr>
        <w:top w:val="none" w:sz="0" w:space="0" w:color="auto"/>
        <w:left w:val="none" w:sz="0" w:space="0" w:color="auto"/>
        <w:bottom w:val="none" w:sz="0" w:space="0" w:color="auto"/>
        <w:right w:val="none" w:sz="0" w:space="0" w:color="auto"/>
      </w:divBdr>
    </w:div>
    <w:div w:id="1676758645">
      <w:bodyDiv w:val="1"/>
      <w:marLeft w:val="0"/>
      <w:marRight w:val="0"/>
      <w:marTop w:val="0"/>
      <w:marBottom w:val="0"/>
      <w:divBdr>
        <w:top w:val="none" w:sz="0" w:space="0" w:color="auto"/>
        <w:left w:val="none" w:sz="0" w:space="0" w:color="auto"/>
        <w:bottom w:val="none" w:sz="0" w:space="0" w:color="auto"/>
        <w:right w:val="none" w:sz="0" w:space="0" w:color="auto"/>
      </w:divBdr>
    </w:div>
    <w:div w:id="1676760697">
      <w:bodyDiv w:val="1"/>
      <w:marLeft w:val="0"/>
      <w:marRight w:val="0"/>
      <w:marTop w:val="0"/>
      <w:marBottom w:val="0"/>
      <w:divBdr>
        <w:top w:val="none" w:sz="0" w:space="0" w:color="auto"/>
        <w:left w:val="none" w:sz="0" w:space="0" w:color="auto"/>
        <w:bottom w:val="none" w:sz="0" w:space="0" w:color="auto"/>
        <w:right w:val="none" w:sz="0" w:space="0" w:color="auto"/>
      </w:divBdr>
    </w:div>
    <w:div w:id="1676767418">
      <w:bodyDiv w:val="1"/>
      <w:marLeft w:val="0"/>
      <w:marRight w:val="0"/>
      <w:marTop w:val="0"/>
      <w:marBottom w:val="0"/>
      <w:divBdr>
        <w:top w:val="none" w:sz="0" w:space="0" w:color="auto"/>
        <w:left w:val="none" w:sz="0" w:space="0" w:color="auto"/>
        <w:bottom w:val="none" w:sz="0" w:space="0" w:color="auto"/>
        <w:right w:val="none" w:sz="0" w:space="0" w:color="auto"/>
      </w:divBdr>
    </w:div>
    <w:div w:id="1676806326">
      <w:bodyDiv w:val="1"/>
      <w:marLeft w:val="0"/>
      <w:marRight w:val="0"/>
      <w:marTop w:val="0"/>
      <w:marBottom w:val="0"/>
      <w:divBdr>
        <w:top w:val="none" w:sz="0" w:space="0" w:color="auto"/>
        <w:left w:val="none" w:sz="0" w:space="0" w:color="auto"/>
        <w:bottom w:val="none" w:sz="0" w:space="0" w:color="auto"/>
        <w:right w:val="none" w:sz="0" w:space="0" w:color="auto"/>
      </w:divBdr>
    </w:div>
    <w:div w:id="1676879705">
      <w:bodyDiv w:val="1"/>
      <w:marLeft w:val="0"/>
      <w:marRight w:val="0"/>
      <w:marTop w:val="0"/>
      <w:marBottom w:val="0"/>
      <w:divBdr>
        <w:top w:val="none" w:sz="0" w:space="0" w:color="auto"/>
        <w:left w:val="none" w:sz="0" w:space="0" w:color="auto"/>
        <w:bottom w:val="none" w:sz="0" w:space="0" w:color="auto"/>
        <w:right w:val="none" w:sz="0" w:space="0" w:color="auto"/>
      </w:divBdr>
    </w:div>
    <w:div w:id="1676882147">
      <w:bodyDiv w:val="1"/>
      <w:marLeft w:val="0"/>
      <w:marRight w:val="0"/>
      <w:marTop w:val="0"/>
      <w:marBottom w:val="0"/>
      <w:divBdr>
        <w:top w:val="none" w:sz="0" w:space="0" w:color="auto"/>
        <w:left w:val="none" w:sz="0" w:space="0" w:color="auto"/>
        <w:bottom w:val="none" w:sz="0" w:space="0" w:color="auto"/>
        <w:right w:val="none" w:sz="0" w:space="0" w:color="auto"/>
      </w:divBdr>
    </w:div>
    <w:div w:id="1676955729">
      <w:bodyDiv w:val="1"/>
      <w:marLeft w:val="0"/>
      <w:marRight w:val="0"/>
      <w:marTop w:val="0"/>
      <w:marBottom w:val="0"/>
      <w:divBdr>
        <w:top w:val="none" w:sz="0" w:space="0" w:color="auto"/>
        <w:left w:val="none" w:sz="0" w:space="0" w:color="auto"/>
        <w:bottom w:val="none" w:sz="0" w:space="0" w:color="auto"/>
        <w:right w:val="none" w:sz="0" w:space="0" w:color="auto"/>
      </w:divBdr>
    </w:div>
    <w:div w:id="1676960809">
      <w:bodyDiv w:val="1"/>
      <w:marLeft w:val="0"/>
      <w:marRight w:val="0"/>
      <w:marTop w:val="0"/>
      <w:marBottom w:val="0"/>
      <w:divBdr>
        <w:top w:val="none" w:sz="0" w:space="0" w:color="auto"/>
        <w:left w:val="none" w:sz="0" w:space="0" w:color="auto"/>
        <w:bottom w:val="none" w:sz="0" w:space="0" w:color="auto"/>
        <w:right w:val="none" w:sz="0" w:space="0" w:color="auto"/>
      </w:divBdr>
    </w:div>
    <w:div w:id="1677032080">
      <w:bodyDiv w:val="1"/>
      <w:marLeft w:val="0"/>
      <w:marRight w:val="0"/>
      <w:marTop w:val="0"/>
      <w:marBottom w:val="0"/>
      <w:divBdr>
        <w:top w:val="none" w:sz="0" w:space="0" w:color="auto"/>
        <w:left w:val="none" w:sz="0" w:space="0" w:color="auto"/>
        <w:bottom w:val="none" w:sz="0" w:space="0" w:color="auto"/>
        <w:right w:val="none" w:sz="0" w:space="0" w:color="auto"/>
      </w:divBdr>
    </w:div>
    <w:div w:id="1677148688">
      <w:bodyDiv w:val="1"/>
      <w:marLeft w:val="0"/>
      <w:marRight w:val="0"/>
      <w:marTop w:val="0"/>
      <w:marBottom w:val="0"/>
      <w:divBdr>
        <w:top w:val="none" w:sz="0" w:space="0" w:color="auto"/>
        <w:left w:val="none" w:sz="0" w:space="0" w:color="auto"/>
        <w:bottom w:val="none" w:sz="0" w:space="0" w:color="auto"/>
        <w:right w:val="none" w:sz="0" w:space="0" w:color="auto"/>
      </w:divBdr>
    </w:div>
    <w:div w:id="1677227677">
      <w:bodyDiv w:val="1"/>
      <w:marLeft w:val="0"/>
      <w:marRight w:val="0"/>
      <w:marTop w:val="0"/>
      <w:marBottom w:val="0"/>
      <w:divBdr>
        <w:top w:val="none" w:sz="0" w:space="0" w:color="auto"/>
        <w:left w:val="none" w:sz="0" w:space="0" w:color="auto"/>
        <w:bottom w:val="none" w:sz="0" w:space="0" w:color="auto"/>
        <w:right w:val="none" w:sz="0" w:space="0" w:color="auto"/>
      </w:divBdr>
    </w:div>
    <w:div w:id="1677539091">
      <w:bodyDiv w:val="1"/>
      <w:marLeft w:val="0"/>
      <w:marRight w:val="0"/>
      <w:marTop w:val="0"/>
      <w:marBottom w:val="0"/>
      <w:divBdr>
        <w:top w:val="none" w:sz="0" w:space="0" w:color="auto"/>
        <w:left w:val="none" w:sz="0" w:space="0" w:color="auto"/>
        <w:bottom w:val="none" w:sz="0" w:space="0" w:color="auto"/>
        <w:right w:val="none" w:sz="0" w:space="0" w:color="auto"/>
      </w:divBdr>
    </w:div>
    <w:div w:id="1677683203">
      <w:bodyDiv w:val="1"/>
      <w:marLeft w:val="0"/>
      <w:marRight w:val="0"/>
      <w:marTop w:val="0"/>
      <w:marBottom w:val="0"/>
      <w:divBdr>
        <w:top w:val="none" w:sz="0" w:space="0" w:color="auto"/>
        <w:left w:val="none" w:sz="0" w:space="0" w:color="auto"/>
        <w:bottom w:val="none" w:sz="0" w:space="0" w:color="auto"/>
        <w:right w:val="none" w:sz="0" w:space="0" w:color="auto"/>
      </w:divBdr>
    </w:div>
    <w:div w:id="1677686417">
      <w:bodyDiv w:val="1"/>
      <w:marLeft w:val="0"/>
      <w:marRight w:val="0"/>
      <w:marTop w:val="0"/>
      <w:marBottom w:val="0"/>
      <w:divBdr>
        <w:top w:val="none" w:sz="0" w:space="0" w:color="auto"/>
        <w:left w:val="none" w:sz="0" w:space="0" w:color="auto"/>
        <w:bottom w:val="none" w:sz="0" w:space="0" w:color="auto"/>
        <w:right w:val="none" w:sz="0" w:space="0" w:color="auto"/>
      </w:divBdr>
    </w:div>
    <w:div w:id="1677726392">
      <w:bodyDiv w:val="1"/>
      <w:marLeft w:val="0"/>
      <w:marRight w:val="0"/>
      <w:marTop w:val="0"/>
      <w:marBottom w:val="0"/>
      <w:divBdr>
        <w:top w:val="none" w:sz="0" w:space="0" w:color="auto"/>
        <w:left w:val="none" w:sz="0" w:space="0" w:color="auto"/>
        <w:bottom w:val="none" w:sz="0" w:space="0" w:color="auto"/>
        <w:right w:val="none" w:sz="0" w:space="0" w:color="auto"/>
      </w:divBdr>
    </w:div>
    <w:div w:id="1677731735">
      <w:bodyDiv w:val="1"/>
      <w:marLeft w:val="0"/>
      <w:marRight w:val="0"/>
      <w:marTop w:val="0"/>
      <w:marBottom w:val="0"/>
      <w:divBdr>
        <w:top w:val="none" w:sz="0" w:space="0" w:color="auto"/>
        <w:left w:val="none" w:sz="0" w:space="0" w:color="auto"/>
        <w:bottom w:val="none" w:sz="0" w:space="0" w:color="auto"/>
        <w:right w:val="none" w:sz="0" w:space="0" w:color="auto"/>
      </w:divBdr>
    </w:div>
    <w:div w:id="1677807018">
      <w:bodyDiv w:val="1"/>
      <w:marLeft w:val="0"/>
      <w:marRight w:val="0"/>
      <w:marTop w:val="0"/>
      <w:marBottom w:val="0"/>
      <w:divBdr>
        <w:top w:val="none" w:sz="0" w:space="0" w:color="auto"/>
        <w:left w:val="none" w:sz="0" w:space="0" w:color="auto"/>
        <w:bottom w:val="none" w:sz="0" w:space="0" w:color="auto"/>
        <w:right w:val="none" w:sz="0" w:space="0" w:color="auto"/>
      </w:divBdr>
    </w:div>
    <w:div w:id="1677875972">
      <w:bodyDiv w:val="1"/>
      <w:marLeft w:val="0"/>
      <w:marRight w:val="0"/>
      <w:marTop w:val="0"/>
      <w:marBottom w:val="0"/>
      <w:divBdr>
        <w:top w:val="none" w:sz="0" w:space="0" w:color="auto"/>
        <w:left w:val="none" w:sz="0" w:space="0" w:color="auto"/>
        <w:bottom w:val="none" w:sz="0" w:space="0" w:color="auto"/>
        <w:right w:val="none" w:sz="0" w:space="0" w:color="auto"/>
      </w:divBdr>
    </w:div>
    <w:div w:id="1677876195">
      <w:bodyDiv w:val="1"/>
      <w:marLeft w:val="0"/>
      <w:marRight w:val="0"/>
      <w:marTop w:val="0"/>
      <w:marBottom w:val="0"/>
      <w:divBdr>
        <w:top w:val="none" w:sz="0" w:space="0" w:color="auto"/>
        <w:left w:val="none" w:sz="0" w:space="0" w:color="auto"/>
        <w:bottom w:val="none" w:sz="0" w:space="0" w:color="auto"/>
        <w:right w:val="none" w:sz="0" w:space="0" w:color="auto"/>
      </w:divBdr>
    </w:div>
    <w:div w:id="1677884017">
      <w:bodyDiv w:val="1"/>
      <w:marLeft w:val="0"/>
      <w:marRight w:val="0"/>
      <w:marTop w:val="0"/>
      <w:marBottom w:val="0"/>
      <w:divBdr>
        <w:top w:val="none" w:sz="0" w:space="0" w:color="auto"/>
        <w:left w:val="none" w:sz="0" w:space="0" w:color="auto"/>
        <w:bottom w:val="none" w:sz="0" w:space="0" w:color="auto"/>
        <w:right w:val="none" w:sz="0" w:space="0" w:color="auto"/>
      </w:divBdr>
    </w:div>
    <w:div w:id="1677885048">
      <w:bodyDiv w:val="1"/>
      <w:marLeft w:val="0"/>
      <w:marRight w:val="0"/>
      <w:marTop w:val="0"/>
      <w:marBottom w:val="0"/>
      <w:divBdr>
        <w:top w:val="none" w:sz="0" w:space="0" w:color="auto"/>
        <w:left w:val="none" w:sz="0" w:space="0" w:color="auto"/>
        <w:bottom w:val="none" w:sz="0" w:space="0" w:color="auto"/>
        <w:right w:val="none" w:sz="0" w:space="0" w:color="auto"/>
      </w:divBdr>
    </w:div>
    <w:div w:id="1677885309">
      <w:bodyDiv w:val="1"/>
      <w:marLeft w:val="0"/>
      <w:marRight w:val="0"/>
      <w:marTop w:val="0"/>
      <w:marBottom w:val="0"/>
      <w:divBdr>
        <w:top w:val="none" w:sz="0" w:space="0" w:color="auto"/>
        <w:left w:val="none" w:sz="0" w:space="0" w:color="auto"/>
        <w:bottom w:val="none" w:sz="0" w:space="0" w:color="auto"/>
        <w:right w:val="none" w:sz="0" w:space="0" w:color="auto"/>
      </w:divBdr>
    </w:div>
    <w:div w:id="1677921534">
      <w:bodyDiv w:val="1"/>
      <w:marLeft w:val="0"/>
      <w:marRight w:val="0"/>
      <w:marTop w:val="0"/>
      <w:marBottom w:val="0"/>
      <w:divBdr>
        <w:top w:val="none" w:sz="0" w:space="0" w:color="auto"/>
        <w:left w:val="none" w:sz="0" w:space="0" w:color="auto"/>
        <w:bottom w:val="none" w:sz="0" w:space="0" w:color="auto"/>
        <w:right w:val="none" w:sz="0" w:space="0" w:color="auto"/>
      </w:divBdr>
    </w:div>
    <w:div w:id="1677925804">
      <w:bodyDiv w:val="1"/>
      <w:marLeft w:val="0"/>
      <w:marRight w:val="0"/>
      <w:marTop w:val="0"/>
      <w:marBottom w:val="0"/>
      <w:divBdr>
        <w:top w:val="none" w:sz="0" w:space="0" w:color="auto"/>
        <w:left w:val="none" w:sz="0" w:space="0" w:color="auto"/>
        <w:bottom w:val="none" w:sz="0" w:space="0" w:color="auto"/>
        <w:right w:val="none" w:sz="0" w:space="0" w:color="auto"/>
      </w:divBdr>
    </w:div>
    <w:div w:id="1678076046">
      <w:bodyDiv w:val="1"/>
      <w:marLeft w:val="0"/>
      <w:marRight w:val="0"/>
      <w:marTop w:val="0"/>
      <w:marBottom w:val="0"/>
      <w:divBdr>
        <w:top w:val="none" w:sz="0" w:space="0" w:color="auto"/>
        <w:left w:val="none" w:sz="0" w:space="0" w:color="auto"/>
        <w:bottom w:val="none" w:sz="0" w:space="0" w:color="auto"/>
        <w:right w:val="none" w:sz="0" w:space="0" w:color="auto"/>
      </w:divBdr>
    </w:div>
    <w:div w:id="1678117089">
      <w:bodyDiv w:val="1"/>
      <w:marLeft w:val="0"/>
      <w:marRight w:val="0"/>
      <w:marTop w:val="0"/>
      <w:marBottom w:val="0"/>
      <w:divBdr>
        <w:top w:val="none" w:sz="0" w:space="0" w:color="auto"/>
        <w:left w:val="none" w:sz="0" w:space="0" w:color="auto"/>
        <w:bottom w:val="none" w:sz="0" w:space="0" w:color="auto"/>
        <w:right w:val="none" w:sz="0" w:space="0" w:color="auto"/>
      </w:divBdr>
    </w:div>
    <w:div w:id="1678193342">
      <w:bodyDiv w:val="1"/>
      <w:marLeft w:val="0"/>
      <w:marRight w:val="0"/>
      <w:marTop w:val="0"/>
      <w:marBottom w:val="0"/>
      <w:divBdr>
        <w:top w:val="none" w:sz="0" w:space="0" w:color="auto"/>
        <w:left w:val="none" w:sz="0" w:space="0" w:color="auto"/>
        <w:bottom w:val="none" w:sz="0" w:space="0" w:color="auto"/>
        <w:right w:val="none" w:sz="0" w:space="0" w:color="auto"/>
      </w:divBdr>
    </w:div>
    <w:div w:id="1678194513">
      <w:bodyDiv w:val="1"/>
      <w:marLeft w:val="0"/>
      <w:marRight w:val="0"/>
      <w:marTop w:val="0"/>
      <w:marBottom w:val="0"/>
      <w:divBdr>
        <w:top w:val="none" w:sz="0" w:space="0" w:color="auto"/>
        <w:left w:val="none" w:sz="0" w:space="0" w:color="auto"/>
        <w:bottom w:val="none" w:sz="0" w:space="0" w:color="auto"/>
        <w:right w:val="none" w:sz="0" w:space="0" w:color="auto"/>
      </w:divBdr>
    </w:div>
    <w:div w:id="1678266544">
      <w:bodyDiv w:val="1"/>
      <w:marLeft w:val="0"/>
      <w:marRight w:val="0"/>
      <w:marTop w:val="0"/>
      <w:marBottom w:val="0"/>
      <w:divBdr>
        <w:top w:val="none" w:sz="0" w:space="0" w:color="auto"/>
        <w:left w:val="none" w:sz="0" w:space="0" w:color="auto"/>
        <w:bottom w:val="none" w:sz="0" w:space="0" w:color="auto"/>
        <w:right w:val="none" w:sz="0" w:space="0" w:color="auto"/>
      </w:divBdr>
    </w:div>
    <w:div w:id="1678339017">
      <w:bodyDiv w:val="1"/>
      <w:marLeft w:val="0"/>
      <w:marRight w:val="0"/>
      <w:marTop w:val="0"/>
      <w:marBottom w:val="0"/>
      <w:divBdr>
        <w:top w:val="none" w:sz="0" w:space="0" w:color="auto"/>
        <w:left w:val="none" w:sz="0" w:space="0" w:color="auto"/>
        <w:bottom w:val="none" w:sz="0" w:space="0" w:color="auto"/>
        <w:right w:val="none" w:sz="0" w:space="0" w:color="auto"/>
      </w:divBdr>
    </w:div>
    <w:div w:id="1678463565">
      <w:bodyDiv w:val="1"/>
      <w:marLeft w:val="0"/>
      <w:marRight w:val="0"/>
      <w:marTop w:val="0"/>
      <w:marBottom w:val="0"/>
      <w:divBdr>
        <w:top w:val="none" w:sz="0" w:space="0" w:color="auto"/>
        <w:left w:val="none" w:sz="0" w:space="0" w:color="auto"/>
        <w:bottom w:val="none" w:sz="0" w:space="0" w:color="auto"/>
        <w:right w:val="none" w:sz="0" w:space="0" w:color="auto"/>
      </w:divBdr>
    </w:div>
    <w:div w:id="1678771187">
      <w:bodyDiv w:val="1"/>
      <w:marLeft w:val="0"/>
      <w:marRight w:val="0"/>
      <w:marTop w:val="0"/>
      <w:marBottom w:val="0"/>
      <w:divBdr>
        <w:top w:val="none" w:sz="0" w:space="0" w:color="auto"/>
        <w:left w:val="none" w:sz="0" w:space="0" w:color="auto"/>
        <w:bottom w:val="none" w:sz="0" w:space="0" w:color="auto"/>
        <w:right w:val="none" w:sz="0" w:space="0" w:color="auto"/>
      </w:divBdr>
    </w:div>
    <w:div w:id="1678801547">
      <w:bodyDiv w:val="1"/>
      <w:marLeft w:val="0"/>
      <w:marRight w:val="0"/>
      <w:marTop w:val="0"/>
      <w:marBottom w:val="0"/>
      <w:divBdr>
        <w:top w:val="none" w:sz="0" w:space="0" w:color="auto"/>
        <w:left w:val="none" w:sz="0" w:space="0" w:color="auto"/>
        <w:bottom w:val="none" w:sz="0" w:space="0" w:color="auto"/>
        <w:right w:val="none" w:sz="0" w:space="0" w:color="auto"/>
      </w:divBdr>
    </w:div>
    <w:div w:id="1678848422">
      <w:bodyDiv w:val="1"/>
      <w:marLeft w:val="0"/>
      <w:marRight w:val="0"/>
      <w:marTop w:val="0"/>
      <w:marBottom w:val="0"/>
      <w:divBdr>
        <w:top w:val="none" w:sz="0" w:space="0" w:color="auto"/>
        <w:left w:val="none" w:sz="0" w:space="0" w:color="auto"/>
        <w:bottom w:val="none" w:sz="0" w:space="0" w:color="auto"/>
        <w:right w:val="none" w:sz="0" w:space="0" w:color="auto"/>
      </w:divBdr>
    </w:div>
    <w:div w:id="1678849772">
      <w:bodyDiv w:val="1"/>
      <w:marLeft w:val="0"/>
      <w:marRight w:val="0"/>
      <w:marTop w:val="0"/>
      <w:marBottom w:val="0"/>
      <w:divBdr>
        <w:top w:val="none" w:sz="0" w:space="0" w:color="auto"/>
        <w:left w:val="none" w:sz="0" w:space="0" w:color="auto"/>
        <w:bottom w:val="none" w:sz="0" w:space="0" w:color="auto"/>
        <w:right w:val="none" w:sz="0" w:space="0" w:color="auto"/>
      </w:divBdr>
    </w:div>
    <w:div w:id="1678926364">
      <w:bodyDiv w:val="1"/>
      <w:marLeft w:val="0"/>
      <w:marRight w:val="0"/>
      <w:marTop w:val="0"/>
      <w:marBottom w:val="0"/>
      <w:divBdr>
        <w:top w:val="none" w:sz="0" w:space="0" w:color="auto"/>
        <w:left w:val="none" w:sz="0" w:space="0" w:color="auto"/>
        <w:bottom w:val="none" w:sz="0" w:space="0" w:color="auto"/>
        <w:right w:val="none" w:sz="0" w:space="0" w:color="auto"/>
      </w:divBdr>
    </w:div>
    <w:div w:id="1678969839">
      <w:bodyDiv w:val="1"/>
      <w:marLeft w:val="0"/>
      <w:marRight w:val="0"/>
      <w:marTop w:val="0"/>
      <w:marBottom w:val="0"/>
      <w:divBdr>
        <w:top w:val="none" w:sz="0" w:space="0" w:color="auto"/>
        <w:left w:val="none" w:sz="0" w:space="0" w:color="auto"/>
        <w:bottom w:val="none" w:sz="0" w:space="0" w:color="auto"/>
        <w:right w:val="none" w:sz="0" w:space="0" w:color="auto"/>
      </w:divBdr>
    </w:div>
    <w:div w:id="1678993530">
      <w:bodyDiv w:val="1"/>
      <w:marLeft w:val="0"/>
      <w:marRight w:val="0"/>
      <w:marTop w:val="0"/>
      <w:marBottom w:val="0"/>
      <w:divBdr>
        <w:top w:val="none" w:sz="0" w:space="0" w:color="auto"/>
        <w:left w:val="none" w:sz="0" w:space="0" w:color="auto"/>
        <w:bottom w:val="none" w:sz="0" w:space="0" w:color="auto"/>
        <w:right w:val="none" w:sz="0" w:space="0" w:color="auto"/>
      </w:divBdr>
    </w:div>
    <w:div w:id="1679038204">
      <w:bodyDiv w:val="1"/>
      <w:marLeft w:val="0"/>
      <w:marRight w:val="0"/>
      <w:marTop w:val="0"/>
      <w:marBottom w:val="0"/>
      <w:divBdr>
        <w:top w:val="none" w:sz="0" w:space="0" w:color="auto"/>
        <w:left w:val="none" w:sz="0" w:space="0" w:color="auto"/>
        <w:bottom w:val="none" w:sz="0" w:space="0" w:color="auto"/>
        <w:right w:val="none" w:sz="0" w:space="0" w:color="auto"/>
      </w:divBdr>
    </w:div>
    <w:div w:id="1679040936">
      <w:bodyDiv w:val="1"/>
      <w:marLeft w:val="0"/>
      <w:marRight w:val="0"/>
      <w:marTop w:val="0"/>
      <w:marBottom w:val="0"/>
      <w:divBdr>
        <w:top w:val="none" w:sz="0" w:space="0" w:color="auto"/>
        <w:left w:val="none" w:sz="0" w:space="0" w:color="auto"/>
        <w:bottom w:val="none" w:sz="0" w:space="0" w:color="auto"/>
        <w:right w:val="none" w:sz="0" w:space="0" w:color="auto"/>
      </w:divBdr>
    </w:div>
    <w:div w:id="1679041625">
      <w:bodyDiv w:val="1"/>
      <w:marLeft w:val="0"/>
      <w:marRight w:val="0"/>
      <w:marTop w:val="0"/>
      <w:marBottom w:val="0"/>
      <w:divBdr>
        <w:top w:val="none" w:sz="0" w:space="0" w:color="auto"/>
        <w:left w:val="none" w:sz="0" w:space="0" w:color="auto"/>
        <w:bottom w:val="none" w:sz="0" w:space="0" w:color="auto"/>
        <w:right w:val="none" w:sz="0" w:space="0" w:color="auto"/>
      </w:divBdr>
    </w:div>
    <w:div w:id="1679116264">
      <w:bodyDiv w:val="1"/>
      <w:marLeft w:val="0"/>
      <w:marRight w:val="0"/>
      <w:marTop w:val="0"/>
      <w:marBottom w:val="0"/>
      <w:divBdr>
        <w:top w:val="none" w:sz="0" w:space="0" w:color="auto"/>
        <w:left w:val="none" w:sz="0" w:space="0" w:color="auto"/>
        <w:bottom w:val="none" w:sz="0" w:space="0" w:color="auto"/>
        <w:right w:val="none" w:sz="0" w:space="0" w:color="auto"/>
      </w:divBdr>
    </w:div>
    <w:div w:id="1679189771">
      <w:bodyDiv w:val="1"/>
      <w:marLeft w:val="0"/>
      <w:marRight w:val="0"/>
      <w:marTop w:val="0"/>
      <w:marBottom w:val="0"/>
      <w:divBdr>
        <w:top w:val="none" w:sz="0" w:space="0" w:color="auto"/>
        <w:left w:val="none" w:sz="0" w:space="0" w:color="auto"/>
        <w:bottom w:val="none" w:sz="0" w:space="0" w:color="auto"/>
        <w:right w:val="none" w:sz="0" w:space="0" w:color="auto"/>
      </w:divBdr>
    </w:div>
    <w:div w:id="1679191661">
      <w:bodyDiv w:val="1"/>
      <w:marLeft w:val="0"/>
      <w:marRight w:val="0"/>
      <w:marTop w:val="0"/>
      <w:marBottom w:val="0"/>
      <w:divBdr>
        <w:top w:val="none" w:sz="0" w:space="0" w:color="auto"/>
        <w:left w:val="none" w:sz="0" w:space="0" w:color="auto"/>
        <w:bottom w:val="none" w:sz="0" w:space="0" w:color="auto"/>
        <w:right w:val="none" w:sz="0" w:space="0" w:color="auto"/>
      </w:divBdr>
    </w:div>
    <w:div w:id="1679309484">
      <w:bodyDiv w:val="1"/>
      <w:marLeft w:val="0"/>
      <w:marRight w:val="0"/>
      <w:marTop w:val="0"/>
      <w:marBottom w:val="0"/>
      <w:divBdr>
        <w:top w:val="none" w:sz="0" w:space="0" w:color="auto"/>
        <w:left w:val="none" w:sz="0" w:space="0" w:color="auto"/>
        <w:bottom w:val="none" w:sz="0" w:space="0" w:color="auto"/>
        <w:right w:val="none" w:sz="0" w:space="0" w:color="auto"/>
      </w:divBdr>
    </w:div>
    <w:div w:id="1679380722">
      <w:bodyDiv w:val="1"/>
      <w:marLeft w:val="0"/>
      <w:marRight w:val="0"/>
      <w:marTop w:val="0"/>
      <w:marBottom w:val="0"/>
      <w:divBdr>
        <w:top w:val="none" w:sz="0" w:space="0" w:color="auto"/>
        <w:left w:val="none" w:sz="0" w:space="0" w:color="auto"/>
        <w:bottom w:val="none" w:sz="0" w:space="0" w:color="auto"/>
        <w:right w:val="none" w:sz="0" w:space="0" w:color="auto"/>
      </w:divBdr>
    </w:div>
    <w:div w:id="1679572994">
      <w:bodyDiv w:val="1"/>
      <w:marLeft w:val="0"/>
      <w:marRight w:val="0"/>
      <w:marTop w:val="0"/>
      <w:marBottom w:val="0"/>
      <w:divBdr>
        <w:top w:val="none" w:sz="0" w:space="0" w:color="auto"/>
        <w:left w:val="none" w:sz="0" w:space="0" w:color="auto"/>
        <w:bottom w:val="none" w:sz="0" w:space="0" w:color="auto"/>
        <w:right w:val="none" w:sz="0" w:space="0" w:color="auto"/>
      </w:divBdr>
    </w:div>
    <w:div w:id="1679580771">
      <w:bodyDiv w:val="1"/>
      <w:marLeft w:val="0"/>
      <w:marRight w:val="0"/>
      <w:marTop w:val="0"/>
      <w:marBottom w:val="0"/>
      <w:divBdr>
        <w:top w:val="none" w:sz="0" w:space="0" w:color="auto"/>
        <w:left w:val="none" w:sz="0" w:space="0" w:color="auto"/>
        <w:bottom w:val="none" w:sz="0" w:space="0" w:color="auto"/>
        <w:right w:val="none" w:sz="0" w:space="0" w:color="auto"/>
      </w:divBdr>
    </w:div>
    <w:div w:id="1679623910">
      <w:bodyDiv w:val="1"/>
      <w:marLeft w:val="0"/>
      <w:marRight w:val="0"/>
      <w:marTop w:val="0"/>
      <w:marBottom w:val="0"/>
      <w:divBdr>
        <w:top w:val="none" w:sz="0" w:space="0" w:color="auto"/>
        <w:left w:val="none" w:sz="0" w:space="0" w:color="auto"/>
        <w:bottom w:val="none" w:sz="0" w:space="0" w:color="auto"/>
        <w:right w:val="none" w:sz="0" w:space="0" w:color="auto"/>
      </w:divBdr>
    </w:div>
    <w:div w:id="1679652076">
      <w:bodyDiv w:val="1"/>
      <w:marLeft w:val="0"/>
      <w:marRight w:val="0"/>
      <w:marTop w:val="0"/>
      <w:marBottom w:val="0"/>
      <w:divBdr>
        <w:top w:val="none" w:sz="0" w:space="0" w:color="auto"/>
        <w:left w:val="none" w:sz="0" w:space="0" w:color="auto"/>
        <w:bottom w:val="none" w:sz="0" w:space="0" w:color="auto"/>
        <w:right w:val="none" w:sz="0" w:space="0" w:color="auto"/>
      </w:divBdr>
    </w:div>
    <w:div w:id="1679699879">
      <w:bodyDiv w:val="1"/>
      <w:marLeft w:val="0"/>
      <w:marRight w:val="0"/>
      <w:marTop w:val="0"/>
      <w:marBottom w:val="0"/>
      <w:divBdr>
        <w:top w:val="none" w:sz="0" w:space="0" w:color="auto"/>
        <w:left w:val="none" w:sz="0" w:space="0" w:color="auto"/>
        <w:bottom w:val="none" w:sz="0" w:space="0" w:color="auto"/>
        <w:right w:val="none" w:sz="0" w:space="0" w:color="auto"/>
      </w:divBdr>
    </w:div>
    <w:div w:id="1679773022">
      <w:bodyDiv w:val="1"/>
      <w:marLeft w:val="0"/>
      <w:marRight w:val="0"/>
      <w:marTop w:val="0"/>
      <w:marBottom w:val="0"/>
      <w:divBdr>
        <w:top w:val="none" w:sz="0" w:space="0" w:color="auto"/>
        <w:left w:val="none" w:sz="0" w:space="0" w:color="auto"/>
        <w:bottom w:val="none" w:sz="0" w:space="0" w:color="auto"/>
        <w:right w:val="none" w:sz="0" w:space="0" w:color="auto"/>
      </w:divBdr>
    </w:div>
    <w:div w:id="1679847127">
      <w:bodyDiv w:val="1"/>
      <w:marLeft w:val="0"/>
      <w:marRight w:val="0"/>
      <w:marTop w:val="0"/>
      <w:marBottom w:val="0"/>
      <w:divBdr>
        <w:top w:val="none" w:sz="0" w:space="0" w:color="auto"/>
        <w:left w:val="none" w:sz="0" w:space="0" w:color="auto"/>
        <w:bottom w:val="none" w:sz="0" w:space="0" w:color="auto"/>
        <w:right w:val="none" w:sz="0" w:space="0" w:color="auto"/>
      </w:divBdr>
    </w:div>
    <w:div w:id="1679967236">
      <w:bodyDiv w:val="1"/>
      <w:marLeft w:val="0"/>
      <w:marRight w:val="0"/>
      <w:marTop w:val="0"/>
      <w:marBottom w:val="0"/>
      <w:divBdr>
        <w:top w:val="none" w:sz="0" w:space="0" w:color="auto"/>
        <w:left w:val="none" w:sz="0" w:space="0" w:color="auto"/>
        <w:bottom w:val="none" w:sz="0" w:space="0" w:color="auto"/>
        <w:right w:val="none" w:sz="0" w:space="0" w:color="auto"/>
      </w:divBdr>
    </w:div>
    <w:div w:id="1679967655">
      <w:bodyDiv w:val="1"/>
      <w:marLeft w:val="0"/>
      <w:marRight w:val="0"/>
      <w:marTop w:val="0"/>
      <w:marBottom w:val="0"/>
      <w:divBdr>
        <w:top w:val="none" w:sz="0" w:space="0" w:color="auto"/>
        <w:left w:val="none" w:sz="0" w:space="0" w:color="auto"/>
        <w:bottom w:val="none" w:sz="0" w:space="0" w:color="auto"/>
        <w:right w:val="none" w:sz="0" w:space="0" w:color="auto"/>
      </w:divBdr>
    </w:div>
    <w:div w:id="1680043680">
      <w:bodyDiv w:val="1"/>
      <w:marLeft w:val="0"/>
      <w:marRight w:val="0"/>
      <w:marTop w:val="0"/>
      <w:marBottom w:val="0"/>
      <w:divBdr>
        <w:top w:val="none" w:sz="0" w:space="0" w:color="auto"/>
        <w:left w:val="none" w:sz="0" w:space="0" w:color="auto"/>
        <w:bottom w:val="none" w:sz="0" w:space="0" w:color="auto"/>
        <w:right w:val="none" w:sz="0" w:space="0" w:color="auto"/>
      </w:divBdr>
    </w:div>
    <w:div w:id="1680157001">
      <w:bodyDiv w:val="1"/>
      <w:marLeft w:val="0"/>
      <w:marRight w:val="0"/>
      <w:marTop w:val="0"/>
      <w:marBottom w:val="0"/>
      <w:divBdr>
        <w:top w:val="none" w:sz="0" w:space="0" w:color="auto"/>
        <w:left w:val="none" w:sz="0" w:space="0" w:color="auto"/>
        <w:bottom w:val="none" w:sz="0" w:space="0" w:color="auto"/>
        <w:right w:val="none" w:sz="0" w:space="0" w:color="auto"/>
      </w:divBdr>
    </w:div>
    <w:div w:id="1680158982">
      <w:bodyDiv w:val="1"/>
      <w:marLeft w:val="0"/>
      <w:marRight w:val="0"/>
      <w:marTop w:val="0"/>
      <w:marBottom w:val="0"/>
      <w:divBdr>
        <w:top w:val="none" w:sz="0" w:space="0" w:color="auto"/>
        <w:left w:val="none" w:sz="0" w:space="0" w:color="auto"/>
        <w:bottom w:val="none" w:sz="0" w:space="0" w:color="auto"/>
        <w:right w:val="none" w:sz="0" w:space="0" w:color="auto"/>
      </w:divBdr>
    </w:div>
    <w:div w:id="1680160155">
      <w:bodyDiv w:val="1"/>
      <w:marLeft w:val="0"/>
      <w:marRight w:val="0"/>
      <w:marTop w:val="0"/>
      <w:marBottom w:val="0"/>
      <w:divBdr>
        <w:top w:val="none" w:sz="0" w:space="0" w:color="auto"/>
        <w:left w:val="none" w:sz="0" w:space="0" w:color="auto"/>
        <w:bottom w:val="none" w:sz="0" w:space="0" w:color="auto"/>
        <w:right w:val="none" w:sz="0" w:space="0" w:color="auto"/>
      </w:divBdr>
    </w:div>
    <w:div w:id="1680229234">
      <w:bodyDiv w:val="1"/>
      <w:marLeft w:val="0"/>
      <w:marRight w:val="0"/>
      <w:marTop w:val="0"/>
      <w:marBottom w:val="0"/>
      <w:divBdr>
        <w:top w:val="none" w:sz="0" w:space="0" w:color="auto"/>
        <w:left w:val="none" w:sz="0" w:space="0" w:color="auto"/>
        <w:bottom w:val="none" w:sz="0" w:space="0" w:color="auto"/>
        <w:right w:val="none" w:sz="0" w:space="0" w:color="auto"/>
      </w:divBdr>
    </w:div>
    <w:div w:id="1680304891">
      <w:bodyDiv w:val="1"/>
      <w:marLeft w:val="0"/>
      <w:marRight w:val="0"/>
      <w:marTop w:val="0"/>
      <w:marBottom w:val="0"/>
      <w:divBdr>
        <w:top w:val="none" w:sz="0" w:space="0" w:color="auto"/>
        <w:left w:val="none" w:sz="0" w:space="0" w:color="auto"/>
        <w:bottom w:val="none" w:sz="0" w:space="0" w:color="auto"/>
        <w:right w:val="none" w:sz="0" w:space="0" w:color="auto"/>
      </w:divBdr>
    </w:div>
    <w:div w:id="1680346116">
      <w:bodyDiv w:val="1"/>
      <w:marLeft w:val="0"/>
      <w:marRight w:val="0"/>
      <w:marTop w:val="0"/>
      <w:marBottom w:val="0"/>
      <w:divBdr>
        <w:top w:val="none" w:sz="0" w:space="0" w:color="auto"/>
        <w:left w:val="none" w:sz="0" w:space="0" w:color="auto"/>
        <w:bottom w:val="none" w:sz="0" w:space="0" w:color="auto"/>
        <w:right w:val="none" w:sz="0" w:space="0" w:color="auto"/>
      </w:divBdr>
    </w:div>
    <w:div w:id="1680499745">
      <w:bodyDiv w:val="1"/>
      <w:marLeft w:val="0"/>
      <w:marRight w:val="0"/>
      <w:marTop w:val="0"/>
      <w:marBottom w:val="0"/>
      <w:divBdr>
        <w:top w:val="none" w:sz="0" w:space="0" w:color="auto"/>
        <w:left w:val="none" w:sz="0" w:space="0" w:color="auto"/>
        <w:bottom w:val="none" w:sz="0" w:space="0" w:color="auto"/>
        <w:right w:val="none" w:sz="0" w:space="0" w:color="auto"/>
      </w:divBdr>
    </w:div>
    <w:div w:id="1680505691">
      <w:bodyDiv w:val="1"/>
      <w:marLeft w:val="0"/>
      <w:marRight w:val="0"/>
      <w:marTop w:val="0"/>
      <w:marBottom w:val="0"/>
      <w:divBdr>
        <w:top w:val="none" w:sz="0" w:space="0" w:color="auto"/>
        <w:left w:val="none" w:sz="0" w:space="0" w:color="auto"/>
        <w:bottom w:val="none" w:sz="0" w:space="0" w:color="auto"/>
        <w:right w:val="none" w:sz="0" w:space="0" w:color="auto"/>
      </w:divBdr>
    </w:div>
    <w:div w:id="1680737102">
      <w:bodyDiv w:val="1"/>
      <w:marLeft w:val="0"/>
      <w:marRight w:val="0"/>
      <w:marTop w:val="0"/>
      <w:marBottom w:val="0"/>
      <w:divBdr>
        <w:top w:val="none" w:sz="0" w:space="0" w:color="auto"/>
        <w:left w:val="none" w:sz="0" w:space="0" w:color="auto"/>
        <w:bottom w:val="none" w:sz="0" w:space="0" w:color="auto"/>
        <w:right w:val="none" w:sz="0" w:space="0" w:color="auto"/>
      </w:divBdr>
    </w:div>
    <w:div w:id="1680737112">
      <w:bodyDiv w:val="1"/>
      <w:marLeft w:val="0"/>
      <w:marRight w:val="0"/>
      <w:marTop w:val="0"/>
      <w:marBottom w:val="0"/>
      <w:divBdr>
        <w:top w:val="none" w:sz="0" w:space="0" w:color="auto"/>
        <w:left w:val="none" w:sz="0" w:space="0" w:color="auto"/>
        <w:bottom w:val="none" w:sz="0" w:space="0" w:color="auto"/>
        <w:right w:val="none" w:sz="0" w:space="0" w:color="auto"/>
      </w:divBdr>
    </w:div>
    <w:div w:id="1680741704">
      <w:bodyDiv w:val="1"/>
      <w:marLeft w:val="0"/>
      <w:marRight w:val="0"/>
      <w:marTop w:val="0"/>
      <w:marBottom w:val="0"/>
      <w:divBdr>
        <w:top w:val="none" w:sz="0" w:space="0" w:color="auto"/>
        <w:left w:val="none" w:sz="0" w:space="0" w:color="auto"/>
        <w:bottom w:val="none" w:sz="0" w:space="0" w:color="auto"/>
        <w:right w:val="none" w:sz="0" w:space="0" w:color="auto"/>
      </w:divBdr>
    </w:div>
    <w:div w:id="1680765968">
      <w:bodyDiv w:val="1"/>
      <w:marLeft w:val="0"/>
      <w:marRight w:val="0"/>
      <w:marTop w:val="0"/>
      <w:marBottom w:val="0"/>
      <w:divBdr>
        <w:top w:val="none" w:sz="0" w:space="0" w:color="auto"/>
        <w:left w:val="none" w:sz="0" w:space="0" w:color="auto"/>
        <w:bottom w:val="none" w:sz="0" w:space="0" w:color="auto"/>
        <w:right w:val="none" w:sz="0" w:space="0" w:color="auto"/>
      </w:divBdr>
    </w:div>
    <w:div w:id="1680810429">
      <w:bodyDiv w:val="1"/>
      <w:marLeft w:val="0"/>
      <w:marRight w:val="0"/>
      <w:marTop w:val="0"/>
      <w:marBottom w:val="0"/>
      <w:divBdr>
        <w:top w:val="none" w:sz="0" w:space="0" w:color="auto"/>
        <w:left w:val="none" w:sz="0" w:space="0" w:color="auto"/>
        <w:bottom w:val="none" w:sz="0" w:space="0" w:color="auto"/>
        <w:right w:val="none" w:sz="0" w:space="0" w:color="auto"/>
      </w:divBdr>
    </w:div>
    <w:div w:id="1680815301">
      <w:bodyDiv w:val="1"/>
      <w:marLeft w:val="0"/>
      <w:marRight w:val="0"/>
      <w:marTop w:val="0"/>
      <w:marBottom w:val="0"/>
      <w:divBdr>
        <w:top w:val="none" w:sz="0" w:space="0" w:color="auto"/>
        <w:left w:val="none" w:sz="0" w:space="0" w:color="auto"/>
        <w:bottom w:val="none" w:sz="0" w:space="0" w:color="auto"/>
        <w:right w:val="none" w:sz="0" w:space="0" w:color="auto"/>
      </w:divBdr>
    </w:div>
    <w:div w:id="1680890205">
      <w:bodyDiv w:val="1"/>
      <w:marLeft w:val="0"/>
      <w:marRight w:val="0"/>
      <w:marTop w:val="0"/>
      <w:marBottom w:val="0"/>
      <w:divBdr>
        <w:top w:val="none" w:sz="0" w:space="0" w:color="auto"/>
        <w:left w:val="none" w:sz="0" w:space="0" w:color="auto"/>
        <w:bottom w:val="none" w:sz="0" w:space="0" w:color="auto"/>
        <w:right w:val="none" w:sz="0" w:space="0" w:color="auto"/>
      </w:divBdr>
    </w:div>
    <w:div w:id="1680962293">
      <w:bodyDiv w:val="1"/>
      <w:marLeft w:val="0"/>
      <w:marRight w:val="0"/>
      <w:marTop w:val="0"/>
      <w:marBottom w:val="0"/>
      <w:divBdr>
        <w:top w:val="none" w:sz="0" w:space="0" w:color="auto"/>
        <w:left w:val="none" w:sz="0" w:space="0" w:color="auto"/>
        <w:bottom w:val="none" w:sz="0" w:space="0" w:color="auto"/>
        <w:right w:val="none" w:sz="0" w:space="0" w:color="auto"/>
      </w:divBdr>
    </w:div>
    <w:div w:id="1680962621">
      <w:bodyDiv w:val="1"/>
      <w:marLeft w:val="0"/>
      <w:marRight w:val="0"/>
      <w:marTop w:val="0"/>
      <w:marBottom w:val="0"/>
      <w:divBdr>
        <w:top w:val="none" w:sz="0" w:space="0" w:color="auto"/>
        <w:left w:val="none" w:sz="0" w:space="0" w:color="auto"/>
        <w:bottom w:val="none" w:sz="0" w:space="0" w:color="auto"/>
        <w:right w:val="none" w:sz="0" w:space="0" w:color="auto"/>
      </w:divBdr>
    </w:div>
    <w:div w:id="1681003136">
      <w:bodyDiv w:val="1"/>
      <w:marLeft w:val="0"/>
      <w:marRight w:val="0"/>
      <w:marTop w:val="0"/>
      <w:marBottom w:val="0"/>
      <w:divBdr>
        <w:top w:val="none" w:sz="0" w:space="0" w:color="auto"/>
        <w:left w:val="none" w:sz="0" w:space="0" w:color="auto"/>
        <w:bottom w:val="none" w:sz="0" w:space="0" w:color="auto"/>
        <w:right w:val="none" w:sz="0" w:space="0" w:color="auto"/>
      </w:divBdr>
    </w:div>
    <w:div w:id="1681077152">
      <w:bodyDiv w:val="1"/>
      <w:marLeft w:val="0"/>
      <w:marRight w:val="0"/>
      <w:marTop w:val="0"/>
      <w:marBottom w:val="0"/>
      <w:divBdr>
        <w:top w:val="none" w:sz="0" w:space="0" w:color="auto"/>
        <w:left w:val="none" w:sz="0" w:space="0" w:color="auto"/>
        <w:bottom w:val="none" w:sz="0" w:space="0" w:color="auto"/>
        <w:right w:val="none" w:sz="0" w:space="0" w:color="auto"/>
      </w:divBdr>
    </w:div>
    <w:div w:id="1681158622">
      <w:bodyDiv w:val="1"/>
      <w:marLeft w:val="0"/>
      <w:marRight w:val="0"/>
      <w:marTop w:val="0"/>
      <w:marBottom w:val="0"/>
      <w:divBdr>
        <w:top w:val="none" w:sz="0" w:space="0" w:color="auto"/>
        <w:left w:val="none" w:sz="0" w:space="0" w:color="auto"/>
        <w:bottom w:val="none" w:sz="0" w:space="0" w:color="auto"/>
        <w:right w:val="none" w:sz="0" w:space="0" w:color="auto"/>
      </w:divBdr>
    </w:div>
    <w:div w:id="1681199560">
      <w:bodyDiv w:val="1"/>
      <w:marLeft w:val="0"/>
      <w:marRight w:val="0"/>
      <w:marTop w:val="0"/>
      <w:marBottom w:val="0"/>
      <w:divBdr>
        <w:top w:val="none" w:sz="0" w:space="0" w:color="auto"/>
        <w:left w:val="none" w:sz="0" w:space="0" w:color="auto"/>
        <w:bottom w:val="none" w:sz="0" w:space="0" w:color="auto"/>
        <w:right w:val="none" w:sz="0" w:space="0" w:color="auto"/>
      </w:divBdr>
    </w:div>
    <w:div w:id="1681276805">
      <w:bodyDiv w:val="1"/>
      <w:marLeft w:val="0"/>
      <w:marRight w:val="0"/>
      <w:marTop w:val="0"/>
      <w:marBottom w:val="0"/>
      <w:divBdr>
        <w:top w:val="none" w:sz="0" w:space="0" w:color="auto"/>
        <w:left w:val="none" w:sz="0" w:space="0" w:color="auto"/>
        <w:bottom w:val="none" w:sz="0" w:space="0" w:color="auto"/>
        <w:right w:val="none" w:sz="0" w:space="0" w:color="auto"/>
      </w:divBdr>
    </w:div>
    <w:div w:id="1681279182">
      <w:bodyDiv w:val="1"/>
      <w:marLeft w:val="0"/>
      <w:marRight w:val="0"/>
      <w:marTop w:val="0"/>
      <w:marBottom w:val="0"/>
      <w:divBdr>
        <w:top w:val="none" w:sz="0" w:space="0" w:color="auto"/>
        <w:left w:val="none" w:sz="0" w:space="0" w:color="auto"/>
        <w:bottom w:val="none" w:sz="0" w:space="0" w:color="auto"/>
        <w:right w:val="none" w:sz="0" w:space="0" w:color="auto"/>
      </w:divBdr>
    </w:div>
    <w:div w:id="1681465694">
      <w:bodyDiv w:val="1"/>
      <w:marLeft w:val="0"/>
      <w:marRight w:val="0"/>
      <w:marTop w:val="0"/>
      <w:marBottom w:val="0"/>
      <w:divBdr>
        <w:top w:val="none" w:sz="0" w:space="0" w:color="auto"/>
        <w:left w:val="none" w:sz="0" w:space="0" w:color="auto"/>
        <w:bottom w:val="none" w:sz="0" w:space="0" w:color="auto"/>
        <w:right w:val="none" w:sz="0" w:space="0" w:color="auto"/>
      </w:divBdr>
    </w:div>
    <w:div w:id="1681466477">
      <w:bodyDiv w:val="1"/>
      <w:marLeft w:val="0"/>
      <w:marRight w:val="0"/>
      <w:marTop w:val="0"/>
      <w:marBottom w:val="0"/>
      <w:divBdr>
        <w:top w:val="none" w:sz="0" w:space="0" w:color="auto"/>
        <w:left w:val="none" w:sz="0" w:space="0" w:color="auto"/>
        <w:bottom w:val="none" w:sz="0" w:space="0" w:color="auto"/>
        <w:right w:val="none" w:sz="0" w:space="0" w:color="auto"/>
      </w:divBdr>
    </w:div>
    <w:div w:id="1681467551">
      <w:bodyDiv w:val="1"/>
      <w:marLeft w:val="0"/>
      <w:marRight w:val="0"/>
      <w:marTop w:val="0"/>
      <w:marBottom w:val="0"/>
      <w:divBdr>
        <w:top w:val="none" w:sz="0" w:space="0" w:color="auto"/>
        <w:left w:val="none" w:sz="0" w:space="0" w:color="auto"/>
        <w:bottom w:val="none" w:sz="0" w:space="0" w:color="auto"/>
        <w:right w:val="none" w:sz="0" w:space="0" w:color="auto"/>
      </w:divBdr>
    </w:div>
    <w:div w:id="1681467670">
      <w:bodyDiv w:val="1"/>
      <w:marLeft w:val="0"/>
      <w:marRight w:val="0"/>
      <w:marTop w:val="0"/>
      <w:marBottom w:val="0"/>
      <w:divBdr>
        <w:top w:val="none" w:sz="0" w:space="0" w:color="auto"/>
        <w:left w:val="none" w:sz="0" w:space="0" w:color="auto"/>
        <w:bottom w:val="none" w:sz="0" w:space="0" w:color="auto"/>
        <w:right w:val="none" w:sz="0" w:space="0" w:color="auto"/>
      </w:divBdr>
    </w:div>
    <w:div w:id="1681664469">
      <w:bodyDiv w:val="1"/>
      <w:marLeft w:val="0"/>
      <w:marRight w:val="0"/>
      <w:marTop w:val="0"/>
      <w:marBottom w:val="0"/>
      <w:divBdr>
        <w:top w:val="none" w:sz="0" w:space="0" w:color="auto"/>
        <w:left w:val="none" w:sz="0" w:space="0" w:color="auto"/>
        <w:bottom w:val="none" w:sz="0" w:space="0" w:color="auto"/>
        <w:right w:val="none" w:sz="0" w:space="0" w:color="auto"/>
      </w:divBdr>
    </w:div>
    <w:div w:id="1681664597">
      <w:bodyDiv w:val="1"/>
      <w:marLeft w:val="0"/>
      <w:marRight w:val="0"/>
      <w:marTop w:val="0"/>
      <w:marBottom w:val="0"/>
      <w:divBdr>
        <w:top w:val="none" w:sz="0" w:space="0" w:color="auto"/>
        <w:left w:val="none" w:sz="0" w:space="0" w:color="auto"/>
        <w:bottom w:val="none" w:sz="0" w:space="0" w:color="auto"/>
        <w:right w:val="none" w:sz="0" w:space="0" w:color="auto"/>
      </w:divBdr>
    </w:div>
    <w:div w:id="1681816013">
      <w:bodyDiv w:val="1"/>
      <w:marLeft w:val="0"/>
      <w:marRight w:val="0"/>
      <w:marTop w:val="0"/>
      <w:marBottom w:val="0"/>
      <w:divBdr>
        <w:top w:val="none" w:sz="0" w:space="0" w:color="auto"/>
        <w:left w:val="none" w:sz="0" w:space="0" w:color="auto"/>
        <w:bottom w:val="none" w:sz="0" w:space="0" w:color="auto"/>
        <w:right w:val="none" w:sz="0" w:space="0" w:color="auto"/>
      </w:divBdr>
    </w:div>
    <w:div w:id="1681926897">
      <w:bodyDiv w:val="1"/>
      <w:marLeft w:val="0"/>
      <w:marRight w:val="0"/>
      <w:marTop w:val="0"/>
      <w:marBottom w:val="0"/>
      <w:divBdr>
        <w:top w:val="none" w:sz="0" w:space="0" w:color="auto"/>
        <w:left w:val="none" w:sz="0" w:space="0" w:color="auto"/>
        <w:bottom w:val="none" w:sz="0" w:space="0" w:color="auto"/>
        <w:right w:val="none" w:sz="0" w:space="0" w:color="auto"/>
      </w:divBdr>
    </w:div>
    <w:div w:id="1682051657">
      <w:bodyDiv w:val="1"/>
      <w:marLeft w:val="0"/>
      <w:marRight w:val="0"/>
      <w:marTop w:val="0"/>
      <w:marBottom w:val="0"/>
      <w:divBdr>
        <w:top w:val="none" w:sz="0" w:space="0" w:color="auto"/>
        <w:left w:val="none" w:sz="0" w:space="0" w:color="auto"/>
        <w:bottom w:val="none" w:sz="0" w:space="0" w:color="auto"/>
        <w:right w:val="none" w:sz="0" w:space="0" w:color="auto"/>
      </w:divBdr>
    </w:div>
    <w:div w:id="1682076239">
      <w:bodyDiv w:val="1"/>
      <w:marLeft w:val="0"/>
      <w:marRight w:val="0"/>
      <w:marTop w:val="0"/>
      <w:marBottom w:val="0"/>
      <w:divBdr>
        <w:top w:val="none" w:sz="0" w:space="0" w:color="auto"/>
        <w:left w:val="none" w:sz="0" w:space="0" w:color="auto"/>
        <w:bottom w:val="none" w:sz="0" w:space="0" w:color="auto"/>
        <w:right w:val="none" w:sz="0" w:space="0" w:color="auto"/>
      </w:divBdr>
    </w:div>
    <w:div w:id="1682126209">
      <w:bodyDiv w:val="1"/>
      <w:marLeft w:val="0"/>
      <w:marRight w:val="0"/>
      <w:marTop w:val="0"/>
      <w:marBottom w:val="0"/>
      <w:divBdr>
        <w:top w:val="none" w:sz="0" w:space="0" w:color="auto"/>
        <w:left w:val="none" w:sz="0" w:space="0" w:color="auto"/>
        <w:bottom w:val="none" w:sz="0" w:space="0" w:color="auto"/>
        <w:right w:val="none" w:sz="0" w:space="0" w:color="auto"/>
      </w:divBdr>
    </w:div>
    <w:div w:id="1682197961">
      <w:bodyDiv w:val="1"/>
      <w:marLeft w:val="0"/>
      <w:marRight w:val="0"/>
      <w:marTop w:val="0"/>
      <w:marBottom w:val="0"/>
      <w:divBdr>
        <w:top w:val="none" w:sz="0" w:space="0" w:color="auto"/>
        <w:left w:val="none" w:sz="0" w:space="0" w:color="auto"/>
        <w:bottom w:val="none" w:sz="0" w:space="0" w:color="auto"/>
        <w:right w:val="none" w:sz="0" w:space="0" w:color="auto"/>
      </w:divBdr>
    </w:div>
    <w:div w:id="1682198290">
      <w:bodyDiv w:val="1"/>
      <w:marLeft w:val="0"/>
      <w:marRight w:val="0"/>
      <w:marTop w:val="0"/>
      <w:marBottom w:val="0"/>
      <w:divBdr>
        <w:top w:val="none" w:sz="0" w:space="0" w:color="auto"/>
        <w:left w:val="none" w:sz="0" w:space="0" w:color="auto"/>
        <w:bottom w:val="none" w:sz="0" w:space="0" w:color="auto"/>
        <w:right w:val="none" w:sz="0" w:space="0" w:color="auto"/>
      </w:divBdr>
    </w:div>
    <w:div w:id="1682244094">
      <w:bodyDiv w:val="1"/>
      <w:marLeft w:val="0"/>
      <w:marRight w:val="0"/>
      <w:marTop w:val="0"/>
      <w:marBottom w:val="0"/>
      <w:divBdr>
        <w:top w:val="none" w:sz="0" w:space="0" w:color="auto"/>
        <w:left w:val="none" w:sz="0" w:space="0" w:color="auto"/>
        <w:bottom w:val="none" w:sz="0" w:space="0" w:color="auto"/>
        <w:right w:val="none" w:sz="0" w:space="0" w:color="auto"/>
      </w:divBdr>
    </w:div>
    <w:div w:id="1682274602">
      <w:bodyDiv w:val="1"/>
      <w:marLeft w:val="0"/>
      <w:marRight w:val="0"/>
      <w:marTop w:val="0"/>
      <w:marBottom w:val="0"/>
      <w:divBdr>
        <w:top w:val="none" w:sz="0" w:space="0" w:color="auto"/>
        <w:left w:val="none" w:sz="0" w:space="0" w:color="auto"/>
        <w:bottom w:val="none" w:sz="0" w:space="0" w:color="auto"/>
        <w:right w:val="none" w:sz="0" w:space="0" w:color="auto"/>
      </w:divBdr>
    </w:div>
    <w:div w:id="1682314066">
      <w:bodyDiv w:val="1"/>
      <w:marLeft w:val="0"/>
      <w:marRight w:val="0"/>
      <w:marTop w:val="0"/>
      <w:marBottom w:val="0"/>
      <w:divBdr>
        <w:top w:val="none" w:sz="0" w:space="0" w:color="auto"/>
        <w:left w:val="none" w:sz="0" w:space="0" w:color="auto"/>
        <w:bottom w:val="none" w:sz="0" w:space="0" w:color="auto"/>
        <w:right w:val="none" w:sz="0" w:space="0" w:color="auto"/>
      </w:divBdr>
    </w:div>
    <w:div w:id="1682471099">
      <w:bodyDiv w:val="1"/>
      <w:marLeft w:val="0"/>
      <w:marRight w:val="0"/>
      <w:marTop w:val="0"/>
      <w:marBottom w:val="0"/>
      <w:divBdr>
        <w:top w:val="none" w:sz="0" w:space="0" w:color="auto"/>
        <w:left w:val="none" w:sz="0" w:space="0" w:color="auto"/>
        <w:bottom w:val="none" w:sz="0" w:space="0" w:color="auto"/>
        <w:right w:val="none" w:sz="0" w:space="0" w:color="auto"/>
      </w:divBdr>
    </w:div>
    <w:div w:id="1682514105">
      <w:bodyDiv w:val="1"/>
      <w:marLeft w:val="0"/>
      <w:marRight w:val="0"/>
      <w:marTop w:val="0"/>
      <w:marBottom w:val="0"/>
      <w:divBdr>
        <w:top w:val="none" w:sz="0" w:space="0" w:color="auto"/>
        <w:left w:val="none" w:sz="0" w:space="0" w:color="auto"/>
        <w:bottom w:val="none" w:sz="0" w:space="0" w:color="auto"/>
        <w:right w:val="none" w:sz="0" w:space="0" w:color="auto"/>
      </w:divBdr>
    </w:div>
    <w:div w:id="1682583295">
      <w:bodyDiv w:val="1"/>
      <w:marLeft w:val="0"/>
      <w:marRight w:val="0"/>
      <w:marTop w:val="0"/>
      <w:marBottom w:val="0"/>
      <w:divBdr>
        <w:top w:val="none" w:sz="0" w:space="0" w:color="auto"/>
        <w:left w:val="none" w:sz="0" w:space="0" w:color="auto"/>
        <w:bottom w:val="none" w:sz="0" w:space="0" w:color="auto"/>
        <w:right w:val="none" w:sz="0" w:space="0" w:color="auto"/>
      </w:divBdr>
    </w:div>
    <w:div w:id="1682665301">
      <w:bodyDiv w:val="1"/>
      <w:marLeft w:val="0"/>
      <w:marRight w:val="0"/>
      <w:marTop w:val="0"/>
      <w:marBottom w:val="0"/>
      <w:divBdr>
        <w:top w:val="none" w:sz="0" w:space="0" w:color="auto"/>
        <w:left w:val="none" w:sz="0" w:space="0" w:color="auto"/>
        <w:bottom w:val="none" w:sz="0" w:space="0" w:color="auto"/>
        <w:right w:val="none" w:sz="0" w:space="0" w:color="auto"/>
      </w:divBdr>
    </w:div>
    <w:div w:id="1682734494">
      <w:bodyDiv w:val="1"/>
      <w:marLeft w:val="0"/>
      <w:marRight w:val="0"/>
      <w:marTop w:val="0"/>
      <w:marBottom w:val="0"/>
      <w:divBdr>
        <w:top w:val="none" w:sz="0" w:space="0" w:color="auto"/>
        <w:left w:val="none" w:sz="0" w:space="0" w:color="auto"/>
        <w:bottom w:val="none" w:sz="0" w:space="0" w:color="auto"/>
        <w:right w:val="none" w:sz="0" w:space="0" w:color="auto"/>
      </w:divBdr>
    </w:div>
    <w:div w:id="1682858021">
      <w:bodyDiv w:val="1"/>
      <w:marLeft w:val="0"/>
      <w:marRight w:val="0"/>
      <w:marTop w:val="0"/>
      <w:marBottom w:val="0"/>
      <w:divBdr>
        <w:top w:val="none" w:sz="0" w:space="0" w:color="auto"/>
        <w:left w:val="none" w:sz="0" w:space="0" w:color="auto"/>
        <w:bottom w:val="none" w:sz="0" w:space="0" w:color="auto"/>
        <w:right w:val="none" w:sz="0" w:space="0" w:color="auto"/>
      </w:divBdr>
    </w:div>
    <w:div w:id="1682899803">
      <w:bodyDiv w:val="1"/>
      <w:marLeft w:val="0"/>
      <w:marRight w:val="0"/>
      <w:marTop w:val="0"/>
      <w:marBottom w:val="0"/>
      <w:divBdr>
        <w:top w:val="none" w:sz="0" w:space="0" w:color="auto"/>
        <w:left w:val="none" w:sz="0" w:space="0" w:color="auto"/>
        <w:bottom w:val="none" w:sz="0" w:space="0" w:color="auto"/>
        <w:right w:val="none" w:sz="0" w:space="0" w:color="auto"/>
      </w:divBdr>
    </w:div>
    <w:div w:id="1682929231">
      <w:bodyDiv w:val="1"/>
      <w:marLeft w:val="0"/>
      <w:marRight w:val="0"/>
      <w:marTop w:val="0"/>
      <w:marBottom w:val="0"/>
      <w:divBdr>
        <w:top w:val="none" w:sz="0" w:space="0" w:color="auto"/>
        <w:left w:val="none" w:sz="0" w:space="0" w:color="auto"/>
        <w:bottom w:val="none" w:sz="0" w:space="0" w:color="auto"/>
        <w:right w:val="none" w:sz="0" w:space="0" w:color="auto"/>
      </w:divBdr>
    </w:div>
    <w:div w:id="1682969363">
      <w:bodyDiv w:val="1"/>
      <w:marLeft w:val="0"/>
      <w:marRight w:val="0"/>
      <w:marTop w:val="0"/>
      <w:marBottom w:val="0"/>
      <w:divBdr>
        <w:top w:val="none" w:sz="0" w:space="0" w:color="auto"/>
        <w:left w:val="none" w:sz="0" w:space="0" w:color="auto"/>
        <w:bottom w:val="none" w:sz="0" w:space="0" w:color="auto"/>
        <w:right w:val="none" w:sz="0" w:space="0" w:color="auto"/>
      </w:divBdr>
    </w:div>
    <w:div w:id="1683051285">
      <w:bodyDiv w:val="1"/>
      <w:marLeft w:val="0"/>
      <w:marRight w:val="0"/>
      <w:marTop w:val="0"/>
      <w:marBottom w:val="0"/>
      <w:divBdr>
        <w:top w:val="none" w:sz="0" w:space="0" w:color="auto"/>
        <w:left w:val="none" w:sz="0" w:space="0" w:color="auto"/>
        <w:bottom w:val="none" w:sz="0" w:space="0" w:color="auto"/>
        <w:right w:val="none" w:sz="0" w:space="0" w:color="auto"/>
      </w:divBdr>
    </w:div>
    <w:div w:id="1683120624">
      <w:bodyDiv w:val="1"/>
      <w:marLeft w:val="0"/>
      <w:marRight w:val="0"/>
      <w:marTop w:val="0"/>
      <w:marBottom w:val="0"/>
      <w:divBdr>
        <w:top w:val="none" w:sz="0" w:space="0" w:color="auto"/>
        <w:left w:val="none" w:sz="0" w:space="0" w:color="auto"/>
        <w:bottom w:val="none" w:sz="0" w:space="0" w:color="auto"/>
        <w:right w:val="none" w:sz="0" w:space="0" w:color="auto"/>
      </w:divBdr>
    </w:div>
    <w:div w:id="1683193422">
      <w:bodyDiv w:val="1"/>
      <w:marLeft w:val="0"/>
      <w:marRight w:val="0"/>
      <w:marTop w:val="0"/>
      <w:marBottom w:val="0"/>
      <w:divBdr>
        <w:top w:val="none" w:sz="0" w:space="0" w:color="auto"/>
        <w:left w:val="none" w:sz="0" w:space="0" w:color="auto"/>
        <w:bottom w:val="none" w:sz="0" w:space="0" w:color="auto"/>
        <w:right w:val="none" w:sz="0" w:space="0" w:color="auto"/>
      </w:divBdr>
    </w:div>
    <w:div w:id="1683245157">
      <w:bodyDiv w:val="1"/>
      <w:marLeft w:val="0"/>
      <w:marRight w:val="0"/>
      <w:marTop w:val="0"/>
      <w:marBottom w:val="0"/>
      <w:divBdr>
        <w:top w:val="none" w:sz="0" w:space="0" w:color="auto"/>
        <w:left w:val="none" w:sz="0" w:space="0" w:color="auto"/>
        <w:bottom w:val="none" w:sz="0" w:space="0" w:color="auto"/>
        <w:right w:val="none" w:sz="0" w:space="0" w:color="auto"/>
      </w:divBdr>
    </w:div>
    <w:div w:id="1684163601">
      <w:bodyDiv w:val="1"/>
      <w:marLeft w:val="0"/>
      <w:marRight w:val="0"/>
      <w:marTop w:val="0"/>
      <w:marBottom w:val="0"/>
      <w:divBdr>
        <w:top w:val="none" w:sz="0" w:space="0" w:color="auto"/>
        <w:left w:val="none" w:sz="0" w:space="0" w:color="auto"/>
        <w:bottom w:val="none" w:sz="0" w:space="0" w:color="auto"/>
        <w:right w:val="none" w:sz="0" w:space="0" w:color="auto"/>
      </w:divBdr>
    </w:div>
    <w:div w:id="1684209900">
      <w:bodyDiv w:val="1"/>
      <w:marLeft w:val="0"/>
      <w:marRight w:val="0"/>
      <w:marTop w:val="0"/>
      <w:marBottom w:val="0"/>
      <w:divBdr>
        <w:top w:val="none" w:sz="0" w:space="0" w:color="auto"/>
        <w:left w:val="none" w:sz="0" w:space="0" w:color="auto"/>
        <w:bottom w:val="none" w:sz="0" w:space="0" w:color="auto"/>
        <w:right w:val="none" w:sz="0" w:space="0" w:color="auto"/>
      </w:divBdr>
    </w:div>
    <w:div w:id="1684282195">
      <w:bodyDiv w:val="1"/>
      <w:marLeft w:val="0"/>
      <w:marRight w:val="0"/>
      <w:marTop w:val="0"/>
      <w:marBottom w:val="0"/>
      <w:divBdr>
        <w:top w:val="none" w:sz="0" w:space="0" w:color="auto"/>
        <w:left w:val="none" w:sz="0" w:space="0" w:color="auto"/>
        <w:bottom w:val="none" w:sz="0" w:space="0" w:color="auto"/>
        <w:right w:val="none" w:sz="0" w:space="0" w:color="auto"/>
      </w:divBdr>
    </w:div>
    <w:div w:id="1684283428">
      <w:bodyDiv w:val="1"/>
      <w:marLeft w:val="0"/>
      <w:marRight w:val="0"/>
      <w:marTop w:val="0"/>
      <w:marBottom w:val="0"/>
      <w:divBdr>
        <w:top w:val="none" w:sz="0" w:space="0" w:color="auto"/>
        <w:left w:val="none" w:sz="0" w:space="0" w:color="auto"/>
        <w:bottom w:val="none" w:sz="0" w:space="0" w:color="auto"/>
        <w:right w:val="none" w:sz="0" w:space="0" w:color="auto"/>
      </w:divBdr>
    </w:div>
    <w:div w:id="1684285151">
      <w:bodyDiv w:val="1"/>
      <w:marLeft w:val="0"/>
      <w:marRight w:val="0"/>
      <w:marTop w:val="0"/>
      <w:marBottom w:val="0"/>
      <w:divBdr>
        <w:top w:val="none" w:sz="0" w:space="0" w:color="auto"/>
        <w:left w:val="none" w:sz="0" w:space="0" w:color="auto"/>
        <w:bottom w:val="none" w:sz="0" w:space="0" w:color="auto"/>
        <w:right w:val="none" w:sz="0" w:space="0" w:color="auto"/>
      </w:divBdr>
    </w:div>
    <w:div w:id="1684287142">
      <w:bodyDiv w:val="1"/>
      <w:marLeft w:val="0"/>
      <w:marRight w:val="0"/>
      <w:marTop w:val="0"/>
      <w:marBottom w:val="0"/>
      <w:divBdr>
        <w:top w:val="none" w:sz="0" w:space="0" w:color="auto"/>
        <w:left w:val="none" w:sz="0" w:space="0" w:color="auto"/>
        <w:bottom w:val="none" w:sz="0" w:space="0" w:color="auto"/>
        <w:right w:val="none" w:sz="0" w:space="0" w:color="auto"/>
      </w:divBdr>
    </w:div>
    <w:div w:id="1684476368">
      <w:bodyDiv w:val="1"/>
      <w:marLeft w:val="0"/>
      <w:marRight w:val="0"/>
      <w:marTop w:val="0"/>
      <w:marBottom w:val="0"/>
      <w:divBdr>
        <w:top w:val="none" w:sz="0" w:space="0" w:color="auto"/>
        <w:left w:val="none" w:sz="0" w:space="0" w:color="auto"/>
        <w:bottom w:val="none" w:sz="0" w:space="0" w:color="auto"/>
        <w:right w:val="none" w:sz="0" w:space="0" w:color="auto"/>
      </w:divBdr>
    </w:div>
    <w:div w:id="1684671608">
      <w:bodyDiv w:val="1"/>
      <w:marLeft w:val="0"/>
      <w:marRight w:val="0"/>
      <w:marTop w:val="0"/>
      <w:marBottom w:val="0"/>
      <w:divBdr>
        <w:top w:val="none" w:sz="0" w:space="0" w:color="auto"/>
        <w:left w:val="none" w:sz="0" w:space="0" w:color="auto"/>
        <w:bottom w:val="none" w:sz="0" w:space="0" w:color="auto"/>
        <w:right w:val="none" w:sz="0" w:space="0" w:color="auto"/>
      </w:divBdr>
    </w:div>
    <w:div w:id="1684743169">
      <w:bodyDiv w:val="1"/>
      <w:marLeft w:val="0"/>
      <w:marRight w:val="0"/>
      <w:marTop w:val="0"/>
      <w:marBottom w:val="0"/>
      <w:divBdr>
        <w:top w:val="none" w:sz="0" w:space="0" w:color="auto"/>
        <w:left w:val="none" w:sz="0" w:space="0" w:color="auto"/>
        <w:bottom w:val="none" w:sz="0" w:space="0" w:color="auto"/>
        <w:right w:val="none" w:sz="0" w:space="0" w:color="auto"/>
      </w:divBdr>
    </w:div>
    <w:div w:id="1684745662">
      <w:bodyDiv w:val="1"/>
      <w:marLeft w:val="0"/>
      <w:marRight w:val="0"/>
      <w:marTop w:val="0"/>
      <w:marBottom w:val="0"/>
      <w:divBdr>
        <w:top w:val="none" w:sz="0" w:space="0" w:color="auto"/>
        <w:left w:val="none" w:sz="0" w:space="0" w:color="auto"/>
        <w:bottom w:val="none" w:sz="0" w:space="0" w:color="auto"/>
        <w:right w:val="none" w:sz="0" w:space="0" w:color="auto"/>
      </w:divBdr>
    </w:div>
    <w:div w:id="1684818271">
      <w:bodyDiv w:val="1"/>
      <w:marLeft w:val="0"/>
      <w:marRight w:val="0"/>
      <w:marTop w:val="0"/>
      <w:marBottom w:val="0"/>
      <w:divBdr>
        <w:top w:val="none" w:sz="0" w:space="0" w:color="auto"/>
        <w:left w:val="none" w:sz="0" w:space="0" w:color="auto"/>
        <w:bottom w:val="none" w:sz="0" w:space="0" w:color="auto"/>
        <w:right w:val="none" w:sz="0" w:space="0" w:color="auto"/>
      </w:divBdr>
    </w:div>
    <w:div w:id="1684819852">
      <w:bodyDiv w:val="1"/>
      <w:marLeft w:val="0"/>
      <w:marRight w:val="0"/>
      <w:marTop w:val="0"/>
      <w:marBottom w:val="0"/>
      <w:divBdr>
        <w:top w:val="none" w:sz="0" w:space="0" w:color="auto"/>
        <w:left w:val="none" w:sz="0" w:space="0" w:color="auto"/>
        <w:bottom w:val="none" w:sz="0" w:space="0" w:color="auto"/>
        <w:right w:val="none" w:sz="0" w:space="0" w:color="auto"/>
      </w:divBdr>
    </w:div>
    <w:div w:id="1684893199">
      <w:bodyDiv w:val="1"/>
      <w:marLeft w:val="0"/>
      <w:marRight w:val="0"/>
      <w:marTop w:val="0"/>
      <w:marBottom w:val="0"/>
      <w:divBdr>
        <w:top w:val="none" w:sz="0" w:space="0" w:color="auto"/>
        <w:left w:val="none" w:sz="0" w:space="0" w:color="auto"/>
        <w:bottom w:val="none" w:sz="0" w:space="0" w:color="auto"/>
        <w:right w:val="none" w:sz="0" w:space="0" w:color="auto"/>
      </w:divBdr>
    </w:div>
    <w:div w:id="1684936725">
      <w:bodyDiv w:val="1"/>
      <w:marLeft w:val="0"/>
      <w:marRight w:val="0"/>
      <w:marTop w:val="0"/>
      <w:marBottom w:val="0"/>
      <w:divBdr>
        <w:top w:val="none" w:sz="0" w:space="0" w:color="auto"/>
        <w:left w:val="none" w:sz="0" w:space="0" w:color="auto"/>
        <w:bottom w:val="none" w:sz="0" w:space="0" w:color="auto"/>
        <w:right w:val="none" w:sz="0" w:space="0" w:color="auto"/>
      </w:divBdr>
    </w:div>
    <w:div w:id="1685009635">
      <w:bodyDiv w:val="1"/>
      <w:marLeft w:val="0"/>
      <w:marRight w:val="0"/>
      <w:marTop w:val="0"/>
      <w:marBottom w:val="0"/>
      <w:divBdr>
        <w:top w:val="none" w:sz="0" w:space="0" w:color="auto"/>
        <w:left w:val="none" w:sz="0" w:space="0" w:color="auto"/>
        <w:bottom w:val="none" w:sz="0" w:space="0" w:color="auto"/>
        <w:right w:val="none" w:sz="0" w:space="0" w:color="auto"/>
      </w:divBdr>
    </w:div>
    <w:div w:id="1685015311">
      <w:bodyDiv w:val="1"/>
      <w:marLeft w:val="0"/>
      <w:marRight w:val="0"/>
      <w:marTop w:val="0"/>
      <w:marBottom w:val="0"/>
      <w:divBdr>
        <w:top w:val="none" w:sz="0" w:space="0" w:color="auto"/>
        <w:left w:val="none" w:sz="0" w:space="0" w:color="auto"/>
        <w:bottom w:val="none" w:sz="0" w:space="0" w:color="auto"/>
        <w:right w:val="none" w:sz="0" w:space="0" w:color="auto"/>
      </w:divBdr>
    </w:div>
    <w:div w:id="1685017177">
      <w:bodyDiv w:val="1"/>
      <w:marLeft w:val="0"/>
      <w:marRight w:val="0"/>
      <w:marTop w:val="0"/>
      <w:marBottom w:val="0"/>
      <w:divBdr>
        <w:top w:val="none" w:sz="0" w:space="0" w:color="auto"/>
        <w:left w:val="none" w:sz="0" w:space="0" w:color="auto"/>
        <w:bottom w:val="none" w:sz="0" w:space="0" w:color="auto"/>
        <w:right w:val="none" w:sz="0" w:space="0" w:color="auto"/>
      </w:divBdr>
    </w:div>
    <w:div w:id="1685017599">
      <w:bodyDiv w:val="1"/>
      <w:marLeft w:val="0"/>
      <w:marRight w:val="0"/>
      <w:marTop w:val="0"/>
      <w:marBottom w:val="0"/>
      <w:divBdr>
        <w:top w:val="none" w:sz="0" w:space="0" w:color="auto"/>
        <w:left w:val="none" w:sz="0" w:space="0" w:color="auto"/>
        <w:bottom w:val="none" w:sz="0" w:space="0" w:color="auto"/>
        <w:right w:val="none" w:sz="0" w:space="0" w:color="auto"/>
      </w:divBdr>
    </w:div>
    <w:div w:id="1685127402">
      <w:bodyDiv w:val="1"/>
      <w:marLeft w:val="0"/>
      <w:marRight w:val="0"/>
      <w:marTop w:val="0"/>
      <w:marBottom w:val="0"/>
      <w:divBdr>
        <w:top w:val="none" w:sz="0" w:space="0" w:color="auto"/>
        <w:left w:val="none" w:sz="0" w:space="0" w:color="auto"/>
        <w:bottom w:val="none" w:sz="0" w:space="0" w:color="auto"/>
        <w:right w:val="none" w:sz="0" w:space="0" w:color="auto"/>
      </w:divBdr>
    </w:div>
    <w:div w:id="1685130118">
      <w:bodyDiv w:val="1"/>
      <w:marLeft w:val="0"/>
      <w:marRight w:val="0"/>
      <w:marTop w:val="0"/>
      <w:marBottom w:val="0"/>
      <w:divBdr>
        <w:top w:val="none" w:sz="0" w:space="0" w:color="auto"/>
        <w:left w:val="none" w:sz="0" w:space="0" w:color="auto"/>
        <w:bottom w:val="none" w:sz="0" w:space="0" w:color="auto"/>
        <w:right w:val="none" w:sz="0" w:space="0" w:color="auto"/>
      </w:divBdr>
    </w:div>
    <w:div w:id="1685134744">
      <w:bodyDiv w:val="1"/>
      <w:marLeft w:val="0"/>
      <w:marRight w:val="0"/>
      <w:marTop w:val="0"/>
      <w:marBottom w:val="0"/>
      <w:divBdr>
        <w:top w:val="none" w:sz="0" w:space="0" w:color="auto"/>
        <w:left w:val="none" w:sz="0" w:space="0" w:color="auto"/>
        <w:bottom w:val="none" w:sz="0" w:space="0" w:color="auto"/>
        <w:right w:val="none" w:sz="0" w:space="0" w:color="auto"/>
      </w:divBdr>
    </w:div>
    <w:div w:id="1685278830">
      <w:bodyDiv w:val="1"/>
      <w:marLeft w:val="0"/>
      <w:marRight w:val="0"/>
      <w:marTop w:val="0"/>
      <w:marBottom w:val="0"/>
      <w:divBdr>
        <w:top w:val="none" w:sz="0" w:space="0" w:color="auto"/>
        <w:left w:val="none" w:sz="0" w:space="0" w:color="auto"/>
        <w:bottom w:val="none" w:sz="0" w:space="0" w:color="auto"/>
        <w:right w:val="none" w:sz="0" w:space="0" w:color="auto"/>
      </w:divBdr>
    </w:div>
    <w:div w:id="1685325072">
      <w:bodyDiv w:val="1"/>
      <w:marLeft w:val="0"/>
      <w:marRight w:val="0"/>
      <w:marTop w:val="0"/>
      <w:marBottom w:val="0"/>
      <w:divBdr>
        <w:top w:val="none" w:sz="0" w:space="0" w:color="auto"/>
        <w:left w:val="none" w:sz="0" w:space="0" w:color="auto"/>
        <w:bottom w:val="none" w:sz="0" w:space="0" w:color="auto"/>
        <w:right w:val="none" w:sz="0" w:space="0" w:color="auto"/>
      </w:divBdr>
    </w:div>
    <w:div w:id="1685352708">
      <w:bodyDiv w:val="1"/>
      <w:marLeft w:val="0"/>
      <w:marRight w:val="0"/>
      <w:marTop w:val="0"/>
      <w:marBottom w:val="0"/>
      <w:divBdr>
        <w:top w:val="none" w:sz="0" w:space="0" w:color="auto"/>
        <w:left w:val="none" w:sz="0" w:space="0" w:color="auto"/>
        <w:bottom w:val="none" w:sz="0" w:space="0" w:color="auto"/>
        <w:right w:val="none" w:sz="0" w:space="0" w:color="auto"/>
      </w:divBdr>
    </w:div>
    <w:div w:id="1685400820">
      <w:bodyDiv w:val="1"/>
      <w:marLeft w:val="0"/>
      <w:marRight w:val="0"/>
      <w:marTop w:val="0"/>
      <w:marBottom w:val="0"/>
      <w:divBdr>
        <w:top w:val="none" w:sz="0" w:space="0" w:color="auto"/>
        <w:left w:val="none" w:sz="0" w:space="0" w:color="auto"/>
        <w:bottom w:val="none" w:sz="0" w:space="0" w:color="auto"/>
        <w:right w:val="none" w:sz="0" w:space="0" w:color="auto"/>
      </w:divBdr>
    </w:div>
    <w:div w:id="1685477707">
      <w:bodyDiv w:val="1"/>
      <w:marLeft w:val="0"/>
      <w:marRight w:val="0"/>
      <w:marTop w:val="0"/>
      <w:marBottom w:val="0"/>
      <w:divBdr>
        <w:top w:val="none" w:sz="0" w:space="0" w:color="auto"/>
        <w:left w:val="none" w:sz="0" w:space="0" w:color="auto"/>
        <w:bottom w:val="none" w:sz="0" w:space="0" w:color="auto"/>
        <w:right w:val="none" w:sz="0" w:space="0" w:color="auto"/>
      </w:divBdr>
    </w:div>
    <w:div w:id="1685588746">
      <w:bodyDiv w:val="1"/>
      <w:marLeft w:val="0"/>
      <w:marRight w:val="0"/>
      <w:marTop w:val="0"/>
      <w:marBottom w:val="0"/>
      <w:divBdr>
        <w:top w:val="none" w:sz="0" w:space="0" w:color="auto"/>
        <w:left w:val="none" w:sz="0" w:space="0" w:color="auto"/>
        <w:bottom w:val="none" w:sz="0" w:space="0" w:color="auto"/>
        <w:right w:val="none" w:sz="0" w:space="0" w:color="auto"/>
      </w:divBdr>
    </w:div>
    <w:div w:id="1685744623">
      <w:bodyDiv w:val="1"/>
      <w:marLeft w:val="0"/>
      <w:marRight w:val="0"/>
      <w:marTop w:val="0"/>
      <w:marBottom w:val="0"/>
      <w:divBdr>
        <w:top w:val="none" w:sz="0" w:space="0" w:color="auto"/>
        <w:left w:val="none" w:sz="0" w:space="0" w:color="auto"/>
        <w:bottom w:val="none" w:sz="0" w:space="0" w:color="auto"/>
        <w:right w:val="none" w:sz="0" w:space="0" w:color="auto"/>
      </w:divBdr>
    </w:div>
    <w:div w:id="1685747206">
      <w:bodyDiv w:val="1"/>
      <w:marLeft w:val="0"/>
      <w:marRight w:val="0"/>
      <w:marTop w:val="0"/>
      <w:marBottom w:val="0"/>
      <w:divBdr>
        <w:top w:val="none" w:sz="0" w:space="0" w:color="auto"/>
        <w:left w:val="none" w:sz="0" w:space="0" w:color="auto"/>
        <w:bottom w:val="none" w:sz="0" w:space="0" w:color="auto"/>
        <w:right w:val="none" w:sz="0" w:space="0" w:color="auto"/>
      </w:divBdr>
    </w:div>
    <w:div w:id="1685748299">
      <w:bodyDiv w:val="1"/>
      <w:marLeft w:val="0"/>
      <w:marRight w:val="0"/>
      <w:marTop w:val="0"/>
      <w:marBottom w:val="0"/>
      <w:divBdr>
        <w:top w:val="none" w:sz="0" w:space="0" w:color="auto"/>
        <w:left w:val="none" w:sz="0" w:space="0" w:color="auto"/>
        <w:bottom w:val="none" w:sz="0" w:space="0" w:color="auto"/>
        <w:right w:val="none" w:sz="0" w:space="0" w:color="auto"/>
      </w:divBdr>
    </w:div>
    <w:div w:id="1685789317">
      <w:bodyDiv w:val="1"/>
      <w:marLeft w:val="0"/>
      <w:marRight w:val="0"/>
      <w:marTop w:val="0"/>
      <w:marBottom w:val="0"/>
      <w:divBdr>
        <w:top w:val="none" w:sz="0" w:space="0" w:color="auto"/>
        <w:left w:val="none" w:sz="0" w:space="0" w:color="auto"/>
        <w:bottom w:val="none" w:sz="0" w:space="0" w:color="auto"/>
        <w:right w:val="none" w:sz="0" w:space="0" w:color="auto"/>
      </w:divBdr>
    </w:div>
    <w:div w:id="1685814590">
      <w:bodyDiv w:val="1"/>
      <w:marLeft w:val="0"/>
      <w:marRight w:val="0"/>
      <w:marTop w:val="0"/>
      <w:marBottom w:val="0"/>
      <w:divBdr>
        <w:top w:val="none" w:sz="0" w:space="0" w:color="auto"/>
        <w:left w:val="none" w:sz="0" w:space="0" w:color="auto"/>
        <w:bottom w:val="none" w:sz="0" w:space="0" w:color="auto"/>
        <w:right w:val="none" w:sz="0" w:space="0" w:color="auto"/>
      </w:divBdr>
    </w:div>
    <w:div w:id="1685937468">
      <w:bodyDiv w:val="1"/>
      <w:marLeft w:val="0"/>
      <w:marRight w:val="0"/>
      <w:marTop w:val="0"/>
      <w:marBottom w:val="0"/>
      <w:divBdr>
        <w:top w:val="none" w:sz="0" w:space="0" w:color="auto"/>
        <w:left w:val="none" w:sz="0" w:space="0" w:color="auto"/>
        <w:bottom w:val="none" w:sz="0" w:space="0" w:color="auto"/>
        <w:right w:val="none" w:sz="0" w:space="0" w:color="auto"/>
      </w:divBdr>
    </w:div>
    <w:div w:id="1686056030">
      <w:bodyDiv w:val="1"/>
      <w:marLeft w:val="0"/>
      <w:marRight w:val="0"/>
      <w:marTop w:val="0"/>
      <w:marBottom w:val="0"/>
      <w:divBdr>
        <w:top w:val="none" w:sz="0" w:space="0" w:color="auto"/>
        <w:left w:val="none" w:sz="0" w:space="0" w:color="auto"/>
        <w:bottom w:val="none" w:sz="0" w:space="0" w:color="auto"/>
        <w:right w:val="none" w:sz="0" w:space="0" w:color="auto"/>
      </w:divBdr>
    </w:div>
    <w:div w:id="1686201648">
      <w:bodyDiv w:val="1"/>
      <w:marLeft w:val="0"/>
      <w:marRight w:val="0"/>
      <w:marTop w:val="0"/>
      <w:marBottom w:val="0"/>
      <w:divBdr>
        <w:top w:val="none" w:sz="0" w:space="0" w:color="auto"/>
        <w:left w:val="none" w:sz="0" w:space="0" w:color="auto"/>
        <w:bottom w:val="none" w:sz="0" w:space="0" w:color="auto"/>
        <w:right w:val="none" w:sz="0" w:space="0" w:color="auto"/>
      </w:divBdr>
    </w:div>
    <w:div w:id="1686319873">
      <w:bodyDiv w:val="1"/>
      <w:marLeft w:val="0"/>
      <w:marRight w:val="0"/>
      <w:marTop w:val="0"/>
      <w:marBottom w:val="0"/>
      <w:divBdr>
        <w:top w:val="none" w:sz="0" w:space="0" w:color="auto"/>
        <w:left w:val="none" w:sz="0" w:space="0" w:color="auto"/>
        <w:bottom w:val="none" w:sz="0" w:space="0" w:color="auto"/>
        <w:right w:val="none" w:sz="0" w:space="0" w:color="auto"/>
      </w:divBdr>
    </w:div>
    <w:div w:id="1686439263">
      <w:bodyDiv w:val="1"/>
      <w:marLeft w:val="0"/>
      <w:marRight w:val="0"/>
      <w:marTop w:val="0"/>
      <w:marBottom w:val="0"/>
      <w:divBdr>
        <w:top w:val="none" w:sz="0" w:space="0" w:color="auto"/>
        <w:left w:val="none" w:sz="0" w:space="0" w:color="auto"/>
        <w:bottom w:val="none" w:sz="0" w:space="0" w:color="auto"/>
        <w:right w:val="none" w:sz="0" w:space="0" w:color="auto"/>
      </w:divBdr>
    </w:div>
    <w:div w:id="1686595737">
      <w:bodyDiv w:val="1"/>
      <w:marLeft w:val="0"/>
      <w:marRight w:val="0"/>
      <w:marTop w:val="0"/>
      <w:marBottom w:val="0"/>
      <w:divBdr>
        <w:top w:val="none" w:sz="0" w:space="0" w:color="auto"/>
        <w:left w:val="none" w:sz="0" w:space="0" w:color="auto"/>
        <w:bottom w:val="none" w:sz="0" w:space="0" w:color="auto"/>
        <w:right w:val="none" w:sz="0" w:space="0" w:color="auto"/>
      </w:divBdr>
    </w:div>
    <w:div w:id="1686663588">
      <w:bodyDiv w:val="1"/>
      <w:marLeft w:val="0"/>
      <w:marRight w:val="0"/>
      <w:marTop w:val="0"/>
      <w:marBottom w:val="0"/>
      <w:divBdr>
        <w:top w:val="none" w:sz="0" w:space="0" w:color="auto"/>
        <w:left w:val="none" w:sz="0" w:space="0" w:color="auto"/>
        <w:bottom w:val="none" w:sz="0" w:space="0" w:color="auto"/>
        <w:right w:val="none" w:sz="0" w:space="0" w:color="auto"/>
      </w:divBdr>
    </w:div>
    <w:div w:id="1686712615">
      <w:bodyDiv w:val="1"/>
      <w:marLeft w:val="0"/>
      <w:marRight w:val="0"/>
      <w:marTop w:val="0"/>
      <w:marBottom w:val="0"/>
      <w:divBdr>
        <w:top w:val="none" w:sz="0" w:space="0" w:color="auto"/>
        <w:left w:val="none" w:sz="0" w:space="0" w:color="auto"/>
        <w:bottom w:val="none" w:sz="0" w:space="0" w:color="auto"/>
        <w:right w:val="none" w:sz="0" w:space="0" w:color="auto"/>
      </w:divBdr>
    </w:div>
    <w:div w:id="1686785112">
      <w:bodyDiv w:val="1"/>
      <w:marLeft w:val="0"/>
      <w:marRight w:val="0"/>
      <w:marTop w:val="0"/>
      <w:marBottom w:val="0"/>
      <w:divBdr>
        <w:top w:val="none" w:sz="0" w:space="0" w:color="auto"/>
        <w:left w:val="none" w:sz="0" w:space="0" w:color="auto"/>
        <w:bottom w:val="none" w:sz="0" w:space="0" w:color="auto"/>
        <w:right w:val="none" w:sz="0" w:space="0" w:color="auto"/>
      </w:divBdr>
    </w:div>
    <w:div w:id="1686907272">
      <w:bodyDiv w:val="1"/>
      <w:marLeft w:val="0"/>
      <w:marRight w:val="0"/>
      <w:marTop w:val="0"/>
      <w:marBottom w:val="0"/>
      <w:divBdr>
        <w:top w:val="none" w:sz="0" w:space="0" w:color="auto"/>
        <w:left w:val="none" w:sz="0" w:space="0" w:color="auto"/>
        <w:bottom w:val="none" w:sz="0" w:space="0" w:color="auto"/>
        <w:right w:val="none" w:sz="0" w:space="0" w:color="auto"/>
      </w:divBdr>
    </w:div>
    <w:div w:id="1686978503">
      <w:bodyDiv w:val="1"/>
      <w:marLeft w:val="0"/>
      <w:marRight w:val="0"/>
      <w:marTop w:val="0"/>
      <w:marBottom w:val="0"/>
      <w:divBdr>
        <w:top w:val="none" w:sz="0" w:space="0" w:color="auto"/>
        <w:left w:val="none" w:sz="0" w:space="0" w:color="auto"/>
        <w:bottom w:val="none" w:sz="0" w:space="0" w:color="auto"/>
        <w:right w:val="none" w:sz="0" w:space="0" w:color="auto"/>
      </w:divBdr>
    </w:div>
    <w:div w:id="1686978896">
      <w:bodyDiv w:val="1"/>
      <w:marLeft w:val="0"/>
      <w:marRight w:val="0"/>
      <w:marTop w:val="0"/>
      <w:marBottom w:val="0"/>
      <w:divBdr>
        <w:top w:val="none" w:sz="0" w:space="0" w:color="auto"/>
        <w:left w:val="none" w:sz="0" w:space="0" w:color="auto"/>
        <w:bottom w:val="none" w:sz="0" w:space="0" w:color="auto"/>
        <w:right w:val="none" w:sz="0" w:space="0" w:color="auto"/>
      </w:divBdr>
    </w:div>
    <w:div w:id="1686982184">
      <w:bodyDiv w:val="1"/>
      <w:marLeft w:val="0"/>
      <w:marRight w:val="0"/>
      <w:marTop w:val="0"/>
      <w:marBottom w:val="0"/>
      <w:divBdr>
        <w:top w:val="none" w:sz="0" w:space="0" w:color="auto"/>
        <w:left w:val="none" w:sz="0" w:space="0" w:color="auto"/>
        <w:bottom w:val="none" w:sz="0" w:space="0" w:color="auto"/>
        <w:right w:val="none" w:sz="0" w:space="0" w:color="auto"/>
      </w:divBdr>
    </w:div>
    <w:div w:id="1687051405">
      <w:bodyDiv w:val="1"/>
      <w:marLeft w:val="0"/>
      <w:marRight w:val="0"/>
      <w:marTop w:val="0"/>
      <w:marBottom w:val="0"/>
      <w:divBdr>
        <w:top w:val="none" w:sz="0" w:space="0" w:color="auto"/>
        <w:left w:val="none" w:sz="0" w:space="0" w:color="auto"/>
        <w:bottom w:val="none" w:sz="0" w:space="0" w:color="auto"/>
        <w:right w:val="none" w:sz="0" w:space="0" w:color="auto"/>
      </w:divBdr>
    </w:div>
    <w:div w:id="1687051598">
      <w:bodyDiv w:val="1"/>
      <w:marLeft w:val="0"/>
      <w:marRight w:val="0"/>
      <w:marTop w:val="0"/>
      <w:marBottom w:val="0"/>
      <w:divBdr>
        <w:top w:val="none" w:sz="0" w:space="0" w:color="auto"/>
        <w:left w:val="none" w:sz="0" w:space="0" w:color="auto"/>
        <w:bottom w:val="none" w:sz="0" w:space="0" w:color="auto"/>
        <w:right w:val="none" w:sz="0" w:space="0" w:color="auto"/>
      </w:divBdr>
    </w:div>
    <w:div w:id="1687058201">
      <w:bodyDiv w:val="1"/>
      <w:marLeft w:val="0"/>
      <w:marRight w:val="0"/>
      <w:marTop w:val="0"/>
      <w:marBottom w:val="0"/>
      <w:divBdr>
        <w:top w:val="none" w:sz="0" w:space="0" w:color="auto"/>
        <w:left w:val="none" w:sz="0" w:space="0" w:color="auto"/>
        <w:bottom w:val="none" w:sz="0" w:space="0" w:color="auto"/>
        <w:right w:val="none" w:sz="0" w:space="0" w:color="auto"/>
      </w:divBdr>
    </w:div>
    <w:div w:id="1687172061">
      <w:bodyDiv w:val="1"/>
      <w:marLeft w:val="0"/>
      <w:marRight w:val="0"/>
      <w:marTop w:val="0"/>
      <w:marBottom w:val="0"/>
      <w:divBdr>
        <w:top w:val="none" w:sz="0" w:space="0" w:color="auto"/>
        <w:left w:val="none" w:sz="0" w:space="0" w:color="auto"/>
        <w:bottom w:val="none" w:sz="0" w:space="0" w:color="auto"/>
        <w:right w:val="none" w:sz="0" w:space="0" w:color="auto"/>
      </w:divBdr>
    </w:div>
    <w:div w:id="1687175678">
      <w:bodyDiv w:val="1"/>
      <w:marLeft w:val="0"/>
      <w:marRight w:val="0"/>
      <w:marTop w:val="0"/>
      <w:marBottom w:val="0"/>
      <w:divBdr>
        <w:top w:val="none" w:sz="0" w:space="0" w:color="auto"/>
        <w:left w:val="none" w:sz="0" w:space="0" w:color="auto"/>
        <w:bottom w:val="none" w:sz="0" w:space="0" w:color="auto"/>
        <w:right w:val="none" w:sz="0" w:space="0" w:color="auto"/>
      </w:divBdr>
    </w:div>
    <w:div w:id="1687294457">
      <w:bodyDiv w:val="1"/>
      <w:marLeft w:val="0"/>
      <w:marRight w:val="0"/>
      <w:marTop w:val="0"/>
      <w:marBottom w:val="0"/>
      <w:divBdr>
        <w:top w:val="none" w:sz="0" w:space="0" w:color="auto"/>
        <w:left w:val="none" w:sz="0" w:space="0" w:color="auto"/>
        <w:bottom w:val="none" w:sz="0" w:space="0" w:color="auto"/>
        <w:right w:val="none" w:sz="0" w:space="0" w:color="auto"/>
      </w:divBdr>
    </w:div>
    <w:div w:id="1687294530">
      <w:bodyDiv w:val="1"/>
      <w:marLeft w:val="0"/>
      <w:marRight w:val="0"/>
      <w:marTop w:val="0"/>
      <w:marBottom w:val="0"/>
      <w:divBdr>
        <w:top w:val="none" w:sz="0" w:space="0" w:color="auto"/>
        <w:left w:val="none" w:sz="0" w:space="0" w:color="auto"/>
        <w:bottom w:val="none" w:sz="0" w:space="0" w:color="auto"/>
        <w:right w:val="none" w:sz="0" w:space="0" w:color="auto"/>
      </w:divBdr>
    </w:div>
    <w:div w:id="1687436257">
      <w:bodyDiv w:val="1"/>
      <w:marLeft w:val="0"/>
      <w:marRight w:val="0"/>
      <w:marTop w:val="0"/>
      <w:marBottom w:val="0"/>
      <w:divBdr>
        <w:top w:val="none" w:sz="0" w:space="0" w:color="auto"/>
        <w:left w:val="none" w:sz="0" w:space="0" w:color="auto"/>
        <w:bottom w:val="none" w:sz="0" w:space="0" w:color="auto"/>
        <w:right w:val="none" w:sz="0" w:space="0" w:color="auto"/>
      </w:divBdr>
    </w:div>
    <w:div w:id="1687442129">
      <w:bodyDiv w:val="1"/>
      <w:marLeft w:val="0"/>
      <w:marRight w:val="0"/>
      <w:marTop w:val="0"/>
      <w:marBottom w:val="0"/>
      <w:divBdr>
        <w:top w:val="none" w:sz="0" w:space="0" w:color="auto"/>
        <w:left w:val="none" w:sz="0" w:space="0" w:color="auto"/>
        <w:bottom w:val="none" w:sz="0" w:space="0" w:color="auto"/>
        <w:right w:val="none" w:sz="0" w:space="0" w:color="auto"/>
      </w:divBdr>
    </w:div>
    <w:div w:id="1687515038">
      <w:bodyDiv w:val="1"/>
      <w:marLeft w:val="0"/>
      <w:marRight w:val="0"/>
      <w:marTop w:val="0"/>
      <w:marBottom w:val="0"/>
      <w:divBdr>
        <w:top w:val="none" w:sz="0" w:space="0" w:color="auto"/>
        <w:left w:val="none" w:sz="0" w:space="0" w:color="auto"/>
        <w:bottom w:val="none" w:sz="0" w:space="0" w:color="auto"/>
        <w:right w:val="none" w:sz="0" w:space="0" w:color="auto"/>
      </w:divBdr>
    </w:div>
    <w:div w:id="1687517950">
      <w:bodyDiv w:val="1"/>
      <w:marLeft w:val="0"/>
      <w:marRight w:val="0"/>
      <w:marTop w:val="0"/>
      <w:marBottom w:val="0"/>
      <w:divBdr>
        <w:top w:val="none" w:sz="0" w:space="0" w:color="auto"/>
        <w:left w:val="none" w:sz="0" w:space="0" w:color="auto"/>
        <w:bottom w:val="none" w:sz="0" w:space="0" w:color="auto"/>
        <w:right w:val="none" w:sz="0" w:space="0" w:color="auto"/>
      </w:divBdr>
    </w:div>
    <w:div w:id="1687556758">
      <w:bodyDiv w:val="1"/>
      <w:marLeft w:val="0"/>
      <w:marRight w:val="0"/>
      <w:marTop w:val="0"/>
      <w:marBottom w:val="0"/>
      <w:divBdr>
        <w:top w:val="none" w:sz="0" w:space="0" w:color="auto"/>
        <w:left w:val="none" w:sz="0" w:space="0" w:color="auto"/>
        <w:bottom w:val="none" w:sz="0" w:space="0" w:color="auto"/>
        <w:right w:val="none" w:sz="0" w:space="0" w:color="auto"/>
      </w:divBdr>
    </w:div>
    <w:div w:id="1687561694">
      <w:bodyDiv w:val="1"/>
      <w:marLeft w:val="0"/>
      <w:marRight w:val="0"/>
      <w:marTop w:val="0"/>
      <w:marBottom w:val="0"/>
      <w:divBdr>
        <w:top w:val="none" w:sz="0" w:space="0" w:color="auto"/>
        <w:left w:val="none" w:sz="0" w:space="0" w:color="auto"/>
        <w:bottom w:val="none" w:sz="0" w:space="0" w:color="auto"/>
        <w:right w:val="none" w:sz="0" w:space="0" w:color="auto"/>
      </w:divBdr>
    </w:div>
    <w:div w:id="1687631539">
      <w:bodyDiv w:val="1"/>
      <w:marLeft w:val="0"/>
      <w:marRight w:val="0"/>
      <w:marTop w:val="0"/>
      <w:marBottom w:val="0"/>
      <w:divBdr>
        <w:top w:val="none" w:sz="0" w:space="0" w:color="auto"/>
        <w:left w:val="none" w:sz="0" w:space="0" w:color="auto"/>
        <w:bottom w:val="none" w:sz="0" w:space="0" w:color="auto"/>
        <w:right w:val="none" w:sz="0" w:space="0" w:color="auto"/>
      </w:divBdr>
    </w:div>
    <w:div w:id="1687631752">
      <w:bodyDiv w:val="1"/>
      <w:marLeft w:val="0"/>
      <w:marRight w:val="0"/>
      <w:marTop w:val="0"/>
      <w:marBottom w:val="0"/>
      <w:divBdr>
        <w:top w:val="none" w:sz="0" w:space="0" w:color="auto"/>
        <w:left w:val="none" w:sz="0" w:space="0" w:color="auto"/>
        <w:bottom w:val="none" w:sz="0" w:space="0" w:color="auto"/>
        <w:right w:val="none" w:sz="0" w:space="0" w:color="auto"/>
      </w:divBdr>
    </w:div>
    <w:div w:id="1687635228">
      <w:bodyDiv w:val="1"/>
      <w:marLeft w:val="0"/>
      <w:marRight w:val="0"/>
      <w:marTop w:val="0"/>
      <w:marBottom w:val="0"/>
      <w:divBdr>
        <w:top w:val="none" w:sz="0" w:space="0" w:color="auto"/>
        <w:left w:val="none" w:sz="0" w:space="0" w:color="auto"/>
        <w:bottom w:val="none" w:sz="0" w:space="0" w:color="auto"/>
        <w:right w:val="none" w:sz="0" w:space="0" w:color="auto"/>
      </w:divBdr>
    </w:div>
    <w:div w:id="1687635825">
      <w:bodyDiv w:val="1"/>
      <w:marLeft w:val="0"/>
      <w:marRight w:val="0"/>
      <w:marTop w:val="0"/>
      <w:marBottom w:val="0"/>
      <w:divBdr>
        <w:top w:val="none" w:sz="0" w:space="0" w:color="auto"/>
        <w:left w:val="none" w:sz="0" w:space="0" w:color="auto"/>
        <w:bottom w:val="none" w:sz="0" w:space="0" w:color="auto"/>
        <w:right w:val="none" w:sz="0" w:space="0" w:color="auto"/>
      </w:divBdr>
    </w:div>
    <w:div w:id="1687712995">
      <w:bodyDiv w:val="1"/>
      <w:marLeft w:val="0"/>
      <w:marRight w:val="0"/>
      <w:marTop w:val="0"/>
      <w:marBottom w:val="0"/>
      <w:divBdr>
        <w:top w:val="none" w:sz="0" w:space="0" w:color="auto"/>
        <w:left w:val="none" w:sz="0" w:space="0" w:color="auto"/>
        <w:bottom w:val="none" w:sz="0" w:space="0" w:color="auto"/>
        <w:right w:val="none" w:sz="0" w:space="0" w:color="auto"/>
      </w:divBdr>
    </w:div>
    <w:div w:id="1688021133">
      <w:bodyDiv w:val="1"/>
      <w:marLeft w:val="0"/>
      <w:marRight w:val="0"/>
      <w:marTop w:val="0"/>
      <w:marBottom w:val="0"/>
      <w:divBdr>
        <w:top w:val="none" w:sz="0" w:space="0" w:color="auto"/>
        <w:left w:val="none" w:sz="0" w:space="0" w:color="auto"/>
        <w:bottom w:val="none" w:sz="0" w:space="0" w:color="auto"/>
        <w:right w:val="none" w:sz="0" w:space="0" w:color="auto"/>
      </w:divBdr>
    </w:div>
    <w:div w:id="1688168158">
      <w:bodyDiv w:val="1"/>
      <w:marLeft w:val="0"/>
      <w:marRight w:val="0"/>
      <w:marTop w:val="0"/>
      <w:marBottom w:val="0"/>
      <w:divBdr>
        <w:top w:val="none" w:sz="0" w:space="0" w:color="auto"/>
        <w:left w:val="none" w:sz="0" w:space="0" w:color="auto"/>
        <w:bottom w:val="none" w:sz="0" w:space="0" w:color="auto"/>
        <w:right w:val="none" w:sz="0" w:space="0" w:color="auto"/>
      </w:divBdr>
    </w:div>
    <w:div w:id="1688171633">
      <w:bodyDiv w:val="1"/>
      <w:marLeft w:val="0"/>
      <w:marRight w:val="0"/>
      <w:marTop w:val="0"/>
      <w:marBottom w:val="0"/>
      <w:divBdr>
        <w:top w:val="none" w:sz="0" w:space="0" w:color="auto"/>
        <w:left w:val="none" w:sz="0" w:space="0" w:color="auto"/>
        <w:bottom w:val="none" w:sz="0" w:space="0" w:color="auto"/>
        <w:right w:val="none" w:sz="0" w:space="0" w:color="auto"/>
      </w:divBdr>
    </w:div>
    <w:div w:id="1688285960">
      <w:bodyDiv w:val="1"/>
      <w:marLeft w:val="0"/>
      <w:marRight w:val="0"/>
      <w:marTop w:val="0"/>
      <w:marBottom w:val="0"/>
      <w:divBdr>
        <w:top w:val="none" w:sz="0" w:space="0" w:color="auto"/>
        <w:left w:val="none" w:sz="0" w:space="0" w:color="auto"/>
        <w:bottom w:val="none" w:sz="0" w:space="0" w:color="auto"/>
        <w:right w:val="none" w:sz="0" w:space="0" w:color="auto"/>
      </w:divBdr>
    </w:div>
    <w:div w:id="1688291310">
      <w:bodyDiv w:val="1"/>
      <w:marLeft w:val="0"/>
      <w:marRight w:val="0"/>
      <w:marTop w:val="0"/>
      <w:marBottom w:val="0"/>
      <w:divBdr>
        <w:top w:val="none" w:sz="0" w:space="0" w:color="auto"/>
        <w:left w:val="none" w:sz="0" w:space="0" w:color="auto"/>
        <w:bottom w:val="none" w:sz="0" w:space="0" w:color="auto"/>
        <w:right w:val="none" w:sz="0" w:space="0" w:color="auto"/>
      </w:divBdr>
    </w:div>
    <w:div w:id="1688292361">
      <w:bodyDiv w:val="1"/>
      <w:marLeft w:val="0"/>
      <w:marRight w:val="0"/>
      <w:marTop w:val="0"/>
      <w:marBottom w:val="0"/>
      <w:divBdr>
        <w:top w:val="none" w:sz="0" w:space="0" w:color="auto"/>
        <w:left w:val="none" w:sz="0" w:space="0" w:color="auto"/>
        <w:bottom w:val="none" w:sz="0" w:space="0" w:color="auto"/>
        <w:right w:val="none" w:sz="0" w:space="0" w:color="auto"/>
      </w:divBdr>
    </w:div>
    <w:div w:id="1688292592">
      <w:bodyDiv w:val="1"/>
      <w:marLeft w:val="0"/>
      <w:marRight w:val="0"/>
      <w:marTop w:val="0"/>
      <w:marBottom w:val="0"/>
      <w:divBdr>
        <w:top w:val="none" w:sz="0" w:space="0" w:color="auto"/>
        <w:left w:val="none" w:sz="0" w:space="0" w:color="auto"/>
        <w:bottom w:val="none" w:sz="0" w:space="0" w:color="auto"/>
        <w:right w:val="none" w:sz="0" w:space="0" w:color="auto"/>
      </w:divBdr>
    </w:div>
    <w:div w:id="1688484697">
      <w:bodyDiv w:val="1"/>
      <w:marLeft w:val="0"/>
      <w:marRight w:val="0"/>
      <w:marTop w:val="0"/>
      <w:marBottom w:val="0"/>
      <w:divBdr>
        <w:top w:val="none" w:sz="0" w:space="0" w:color="auto"/>
        <w:left w:val="none" w:sz="0" w:space="0" w:color="auto"/>
        <w:bottom w:val="none" w:sz="0" w:space="0" w:color="auto"/>
        <w:right w:val="none" w:sz="0" w:space="0" w:color="auto"/>
      </w:divBdr>
    </w:div>
    <w:div w:id="1688749878">
      <w:bodyDiv w:val="1"/>
      <w:marLeft w:val="0"/>
      <w:marRight w:val="0"/>
      <w:marTop w:val="0"/>
      <w:marBottom w:val="0"/>
      <w:divBdr>
        <w:top w:val="none" w:sz="0" w:space="0" w:color="auto"/>
        <w:left w:val="none" w:sz="0" w:space="0" w:color="auto"/>
        <w:bottom w:val="none" w:sz="0" w:space="0" w:color="auto"/>
        <w:right w:val="none" w:sz="0" w:space="0" w:color="auto"/>
      </w:divBdr>
    </w:div>
    <w:div w:id="1688798615">
      <w:bodyDiv w:val="1"/>
      <w:marLeft w:val="0"/>
      <w:marRight w:val="0"/>
      <w:marTop w:val="0"/>
      <w:marBottom w:val="0"/>
      <w:divBdr>
        <w:top w:val="none" w:sz="0" w:space="0" w:color="auto"/>
        <w:left w:val="none" w:sz="0" w:space="0" w:color="auto"/>
        <w:bottom w:val="none" w:sz="0" w:space="0" w:color="auto"/>
        <w:right w:val="none" w:sz="0" w:space="0" w:color="auto"/>
      </w:divBdr>
    </w:div>
    <w:div w:id="1688822389">
      <w:bodyDiv w:val="1"/>
      <w:marLeft w:val="0"/>
      <w:marRight w:val="0"/>
      <w:marTop w:val="0"/>
      <w:marBottom w:val="0"/>
      <w:divBdr>
        <w:top w:val="none" w:sz="0" w:space="0" w:color="auto"/>
        <w:left w:val="none" w:sz="0" w:space="0" w:color="auto"/>
        <w:bottom w:val="none" w:sz="0" w:space="0" w:color="auto"/>
        <w:right w:val="none" w:sz="0" w:space="0" w:color="auto"/>
      </w:divBdr>
    </w:div>
    <w:div w:id="1688825261">
      <w:bodyDiv w:val="1"/>
      <w:marLeft w:val="0"/>
      <w:marRight w:val="0"/>
      <w:marTop w:val="0"/>
      <w:marBottom w:val="0"/>
      <w:divBdr>
        <w:top w:val="none" w:sz="0" w:space="0" w:color="auto"/>
        <w:left w:val="none" w:sz="0" w:space="0" w:color="auto"/>
        <w:bottom w:val="none" w:sz="0" w:space="0" w:color="auto"/>
        <w:right w:val="none" w:sz="0" w:space="0" w:color="auto"/>
      </w:divBdr>
    </w:div>
    <w:div w:id="1689019287">
      <w:bodyDiv w:val="1"/>
      <w:marLeft w:val="0"/>
      <w:marRight w:val="0"/>
      <w:marTop w:val="0"/>
      <w:marBottom w:val="0"/>
      <w:divBdr>
        <w:top w:val="none" w:sz="0" w:space="0" w:color="auto"/>
        <w:left w:val="none" w:sz="0" w:space="0" w:color="auto"/>
        <w:bottom w:val="none" w:sz="0" w:space="0" w:color="auto"/>
        <w:right w:val="none" w:sz="0" w:space="0" w:color="auto"/>
      </w:divBdr>
    </w:div>
    <w:div w:id="1689061212">
      <w:bodyDiv w:val="1"/>
      <w:marLeft w:val="0"/>
      <w:marRight w:val="0"/>
      <w:marTop w:val="0"/>
      <w:marBottom w:val="0"/>
      <w:divBdr>
        <w:top w:val="none" w:sz="0" w:space="0" w:color="auto"/>
        <w:left w:val="none" w:sz="0" w:space="0" w:color="auto"/>
        <w:bottom w:val="none" w:sz="0" w:space="0" w:color="auto"/>
        <w:right w:val="none" w:sz="0" w:space="0" w:color="auto"/>
      </w:divBdr>
    </w:div>
    <w:div w:id="1689091799">
      <w:bodyDiv w:val="1"/>
      <w:marLeft w:val="0"/>
      <w:marRight w:val="0"/>
      <w:marTop w:val="0"/>
      <w:marBottom w:val="0"/>
      <w:divBdr>
        <w:top w:val="none" w:sz="0" w:space="0" w:color="auto"/>
        <w:left w:val="none" w:sz="0" w:space="0" w:color="auto"/>
        <w:bottom w:val="none" w:sz="0" w:space="0" w:color="auto"/>
        <w:right w:val="none" w:sz="0" w:space="0" w:color="auto"/>
      </w:divBdr>
    </w:div>
    <w:div w:id="1689137909">
      <w:bodyDiv w:val="1"/>
      <w:marLeft w:val="0"/>
      <w:marRight w:val="0"/>
      <w:marTop w:val="0"/>
      <w:marBottom w:val="0"/>
      <w:divBdr>
        <w:top w:val="none" w:sz="0" w:space="0" w:color="auto"/>
        <w:left w:val="none" w:sz="0" w:space="0" w:color="auto"/>
        <w:bottom w:val="none" w:sz="0" w:space="0" w:color="auto"/>
        <w:right w:val="none" w:sz="0" w:space="0" w:color="auto"/>
      </w:divBdr>
    </w:div>
    <w:div w:id="1689214299">
      <w:bodyDiv w:val="1"/>
      <w:marLeft w:val="0"/>
      <w:marRight w:val="0"/>
      <w:marTop w:val="0"/>
      <w:marBottom w:val="0"/>
      <w:divBdr>
        <w:top w:val="none" w:sz="0" w:space="0" w:color="auto"/>
        <w:left w:val="none" w:sz="0" w:space="0" w:color="auto"/>
        <w:bottom w:val="none" w:sz="0" w:space="0" w:color="auto"/>
        <w:right w:val="none" w:sz="0" w:space="0" w:color="auto"/>
      </w:divBdr>
    </w:div>
    <w:div w:id="1689256287">
      <w:bodyDiv w:val="1"/>
      <w:marLeft w:val="0"/>
      <w:marRight w:val="0"/>
      <w:marTop w:val="0"/>
      <w:marBottom w:val="0"/>
      <w:divBdr>
        <w:top w:val="none" w:sz="0" w:space="0" w:color="auto"/>
        <w:left w:val="none" w:sz="0" w:space="0" w:color="auto"/>
        <w:bottom w:val="none" w:sz="0" w:space="0" w:color="auto"/>
        <w:right w:val="none" w:sz="0" w:space="0" w:color="auto"/>
      </w:divBdr>
    </w:div>
    <w:div w:id="1689331551">
      <w:bodyDiv w:val="1"/>
      <w:marLeft w:val="0"/>
      <w:marRight w:val="0"/>
      <w:marTop w:val="0"/>
      <w:marBottom w:val="0"/>
      <w:divBdr>
        <w:top w:val="none" w:sz="0" w:space="0" w:color="auto"/>
        <w:left w:val="none" w:sz="0" w:space="0" w:color="auto"/>
        <w:bottom w:val="none" w:sz="0" w:space="0" w:color="auto"/>
        <w:right w:val="none" w:sz="0" w:space="0" w:color="auto"/>
      </w:divBdr>
    </w:div>
    <w:div w:id="1689406675">
      <w:bodyDiv w:val="1"/>
      <w:marLeft w:val="0"/>
      <w:marRight w:val="0"/>
      <w:marTop w:val="0"/>
      <w:marBottom w:val="0"/>
      <w:divBdr>
        <w:top w:val="none" w:sz="0" w:space="0" w:color="auto"/>
        <w:left w:val="none" w:sz="0" w:space="0" w:color="auto"/>
        <w:bottom w:val="none" w:sz="0" w:space="0" w:color="auto"/>
        <w:right w:val="none" w:sz="0" w:space="0" w:color="auto"/>
      </w:divBdr>
    </w:div>
    <w:div w:id="1689406951">
      <w:bodyDiv w:val="1"/>
      <w:marLeft w:val="0"/>
      <w:marRight w:val="0"/>
      <w:marTop w:val="0"/>
      <w:marBottom w:val="0"/>
      <w:divBdr>
        <w:top w:val="none" w:sz="0" w:space="0" w:color="auto"/>
        <w:left w:val="none" w:sz="0" w:space="0" w:color="auto"/>
        <w:bottom w:val="none" w:sz="0" w:space="0" w:color="auto"/>
        <w:right w:val="none" w:sz="0" w:space="0" w:color="auto"/>
      </w:divBdr>
    </w:div>
    <w:div w:id="1689410918">
      <w:bodyDiv w:val="1"/>
      <w:marLeft w:val="0"/>
      <w:marRight w:val="0"/>
      <w:marTop w:val="0"/>
      <w:marBottom w:val="0"/>
      <w:divBdr>
        <w:top w:val="none" w:sz="0" w:space="0" w:color="auto"/>
        <w:left w:val="none" w:sz="0" w:space="0" w:color="auto"/>
        <w:bottom w:val="none" w:sz="0" w:space="0" w:color="auto"/>
        <w:right w:val="none" w:sz="0" w:space="0" w:color="auto"/>
      </w:divBdr>
    </w:div>
    <w:div w:id="1689484639">
      <w:bodyDiv w:val="1"/>
      <w:marLeft w:val="0"/>
      <w:marRight w:val="0"/>
      <w:marTop w:val="0"/>
      <w:marBottom w:val="0"/>
      <w:divBdr>
        <w:top w:val="none" w:sz="0" w:space="0" w:color="auto"/>
        <w:left w:val="none" w:sz="0" w:space="0" w:color="auto"/>
        <w:bottom w:val="none" w:sz="0" w:space="0" w:color="auto"/>
        <w:right w:val="none" w:sz="0" w:space="0" w:color="auto"/>
      </w:divBdr>
    </w:div>
    <w:div w:id="1689521973">
      <w:bodyDiv w:val="1"/>
      <w:marLeft w:val="0"/>
      <w:marRight w:val="0"/>
      <w:marTop w:val="0"/>
      <w:marBottom w:val="0"/>
      <w:divBdr>
        <w:top w:val="none" w:sz="0" w:space="0" w:color="auto"/>
        <w:left w:val="none" w:sz="0" w:space="0" w:color="auto"/>
        <w:bottom w:val="none" w:sz="0" w:space="0" w:color="auto"/>
        <w:right w:val="none" w:sz="0" w:space="0" w:color="auto"/>
      </w:divBdr>
    </w:div>
    <w:div w:id="1689598115">
      <w:bodyDiv w:val="1"/>
      <w:marLeft w:val="0"/>
      <w:marRight w:val="0"/>
      <w:marTop w:val="0"/>
      <w:marBottom w:val="0"/>
      <w:divBdr>
        <w:top w:val="none" w:sz="0" w:space="0" w:color="auto"/>
        <w:left w:val="none" w:sz="0" w:space="0" w:color="auto"/>
        <w:bottom w:val="none" w:sz="0" w:space="0" w:color="auto"/>
        <w:right w:val="none" w:sz="0" w:space="0" w:color="auto"/>
      </w:divBdr>
    </w:div>
    <w:div w:id="1689718134">
      <w:bodyDiv w:val="1"/>
      <w:marLeft w:val="0"/>
      <w:marRight w:val="0"/>
      <w:marTop w:val="0"/>
      <w:marBottom w:val="0"/>
      <w:divBdr>
        <w:top w:val="none" w:sz="0" w:space="0" w:color="auto"/>
        <w:left w:val="none" w:sz="0" w:space="0" w:color="auto"/>
        <w:bottom w:val="none" w:sz="0" w:space="0" w:color="auto"/>
        <w:right w:val="none" w:sz="0" w:space="0" w:color="auto"/>
      </w:divBdr>
    </w:div>
    <w:div w:id="1689746916">
      <w:bodyDiv w:val="1"/>
      <w:marLeft w:val="0"/>
      <w:marRight w:val="0"/>
      <w:marTop w:val="0"/>
      <w:marBottom w:val="0"/>
      <w:divBdr>
        <w:top w:val="none" w:sz="0" w:space="0" w:color="auto"/>
        <w:left w:val="none" w:sz="0" w:space="0" w:color="auto"/>
        <w:bottom w:val="none" w:sz="0" w:space="0" w:color="auto"/>
        <w:right w:val="none" w:sz="0" w:space="0" w:color="auto"/>
      </w:divBdr>
    </w:div>
    <w:div w:id="1689791074">
      <w:bodyDiv w:val="1"/>
      <w:marLeft w:val="0"/>
      <w:marRight w:val="0"/>
      <w:marTop w:val="0"/>
      <w:marBottom w:val="0"/>
      <w:divBdr>
        <w:top w:val="none" w:sz="0" w:space="0" w:color="auto"/>
        <w:left w:val="none" w:sz="0" w:space="0" w:color="auto"/>
        <w:bottom w:val="none" w:sz="0" w:space="0" w:color="auto"/>
        <w:right w:val="none" w:sz="0" w:space="0" w:color="auto"/>
      </w:divBdr>
    </w:div>
    <w:div w:id="1689863933">
      <w:bodyDiv w:val="1"/>
      <w:marLeft w:val="0"/>
      <w:marRight w:val="0"/>
      <w:marTop w:val="0"/>
      <w:marBottom w:val="0"/>
      <w:divBdr>
        <w:top w:val="none" w:sz="0" w:space="0" w:color="auto"/>
        <w:left w:val="none" w:sz="0" w:space="0" w:color="auto"/>
        <w:bottom w:val="none" w:sz="0" w:space="0" w:color="auto"/>
        <w:right w:val="none" w:sz="0" w:space="0" w:color="auto"/>
      </w:divBdr>
    </w:div>
    <w:div w:id="1689913220">
      <w:bodyDiv w:val="1"/>
      <w:marLeft w:val="0"/>
      <w:marRight w:val="0"/>
      <w:marTop w:val="0"/>
      <w:marBottom w:val="0"/>
      <w:divBdr>
        <w:top w:val="none" w:sz="0" w:space="0" w:color="auto"/>
        <w:left w:val="none" w:sz="0" w:space="0" w:color="auto"/>
        <w:bottom w:val="none" w:sz="0" w:space="0" w:color="auto"/>
        <w:right w:val="none" w:sz="0" w:space="0" w:color="auto"/>
      </w:divBdr>
    </w:div>
    <w:div w:id="1689989991">
      <w:bodyDiv w:val="1"/>
      <w:marLeft w:val="0"/>
      <w:marRight w:val="0"/>
      <w:marTop w:val="0"/>
      <w:marBottom w:val="0"/>
      <w:divBdr>
        <w:top w:val="none" w:sz="0" w:space="0" w:color="auto"/>
        <w:left w:val="none" w:sz="0" w:space="0" w:color="auto"/>
        <w:bottom w:val="none" w:sz="0" w:space="0" w:color="auto"/>
        <w:right w:val="none" w:sz="0" w:space="0" w:color="auto"/>
      </w:divBdr>
    </w:div>
    <w:div w:id="1690060418">
      <w:bodyDiv w:val="1"/>
      <w:marLeft w:val="0"/>
      <w:marRight w:val="0"/>
      <w:marTop w:val="0"/>
      <w:marBottom w:val="0"/>
      <w:divBdr>
        <w:top w:val="none" w:sz="0" w:space="0" w:color="auto"/>
        <w:left w:val="none" w:sz="0" w:space="0" w:color="auto"/>
        <w:bottom w:val="none" w:sz="0" w:space="0" w:color="auto"/>
        <w:right w:val="none" w:sz="0" w:space="0" w:color="auto"/>
      </w:divBdr>
    </w:div>
    <w:div w:id="1690133984">
      <w:bodyDiv w:val="1"/>
      <w:marLeft w:val="0"/>
      <w:marRight w:val="0"/>
      <w:marTop w:val="0"/>
      <w:marBottom w:val="0"/>
      <w:divBdr>
        <w:top w:val="none" w:sz="0" w:space="0" w:color="auto"/>
        <w:left w:val="none" w:sz="0" w:space="0" w:color="auto"/>
        <w:bottom w:val="none" w:sz="0" w:space="0" w:color="auto"/>
        <w:right w:val="none" w:sz="0" w:space="0" w:color="auto"/>
      </w:divBdr>
    </w:div>
    <w:div w:id="1690525269">
      <w:bodyDiv w:val="1"/>
      <w:marLeft w:val="0"/>
      <w:marRight w:val="0"/>
      <w:marTop w:val="0"/>
      <w:marBottom w:val="0"/>
      <w:divBdr>
        <w:top w:val="none" w:sz="0" w:space="0" w:color="auto"/>
        <w:left w:val="none" w:sz="0" w:space="0" w:color="auto"/>
        <w:bottom w:val="none" w:sz="0" w:space="0" w:color="auto"/>
        <w:right w:val="none" w:sz="0" w:space="0" w:color="auto"/>
      </w:divBdr>
    </w:div>
    <w:div w:id="1690598879">
      <w:bodyDiv w:val="1"/>
      <w:marLeft w:val="0"/>
      <w:marRight w:val="0"/>
      <w:marTop w:val="0"/>
      <w:marBottom w:val="0"/>
      <w:divBdr>
        <w:top w:val="none" w:sz="0" w:space="0" w:color="auto"/>
        <w:left w:val="none" w:sz="0" w:space="0" w:color="auto"/>
        <w:bottom w:val="none" w:sz="0" w:space="0" w:color="auto"/>
        <w:right w:val="none" w:sz="0" w:space="0" w:color="auto"/>
      </w:divBdr>
    </w:div>
    <w:div w:id="1690982782">
      <w:bodyDiv w:val="1"/>
      <w:marLeft w:val="0"/>
      <w:marRight w:val="0"/>
      <w:marTop w:val="0"/>
      <w:marBottom w:val="0"/>
      <w:divBdr>
        <w:top w:val="none" w:sz="0" w:space="0" w:color="auto"/>
        <w:left w:val="none" w:sz="0" w:space="0" w:color="auto"/>
        <w:bottom w:val="none" w:sz="0" w:space="0" w:color="auto"/>
        <w:right w:val="none" w:sz="0" w:space="0" w:color="auto"/>
      </w:divBdr>
    </w:div>
    <w:div w:id="1690989898">
      <w:bodyDiv w:val="1"/>
      <w:marLeft w:val="0"/>
      <w:marRight w:val="0"/>
      <w:marTop w:val="0"/>
      <w:marBottom w:val="0"/>
      <w:divBdr>
        <w:top w:val="none" w:sz="0" w:space="0" w:color="auto"/>
        <w:left w:val="none" w:sz="0" w:space="0" w:color="auto"/>
        <w:bottom w:val="none" w:sz="0" w:space="0" w:color="auto"/>
        <w:right w:val="none" w:sz="0" w:space="0" w:color="auto"/>
      </w:divBdr>
    </w:div>
    <w:div w:id="1691099269">
      <w:bodyDiv w:val="1"/>
      <w:marLeft w:val="0"/>
      <w:marRight w:val="0"/>
      <w:marTop w:val="0"/>
      <w:marBottom w:val="0"/>
      <w:divBdr>
        <w:top w:val="none" w:sz="0" w:space="0" w:color="auto"/>
        <w:left w:val="none" w:sz="0" w:space="0" w:color="auto"/>
        <w:bottom w:val="none" w:sz="0" w:space="0" w:color="auto"/>
        <w:right w:val="none" w:sz="0" w:space="0" w:color="auto"/>
      </w:divBdr>
    </w:div>
    <w:div w:id="1691107710">
      <w:bodyDiv w:val="1"/>
      <w:marLeft w:val="0"/>
      <w:marRight w:val="0"/>
      <w:marTop w:val="0"/>
      <w:marBottom w:val="0"/>
      <w:divBdr>
        <w:top w:val="none" w:sz="0" w:space="0" w:color="auto"/>
        <w:left w:val="none" w:sz="0" w:space="0" w:color="auto"/>
        <w:bottom w:val="none" w:sz="0" w:space="0" w:color="auto"/>
        <w:right w:val="none" w:sz="0" w:space="0" w:color="auto"/>
      </w:divBdr>
    </w:div>
    <w:div w:id="1691174607">
      <w:bodyDiv w:val="1"/>
      <w:marLeft w:val="0"/>
      <w:marRight w:val="0"/>
      <w:marTop w:val="0"/>
      <w:marBottom w:val="0"/>
      <w:divBdr>
        <w:top w:val="none" w:sz="0" w:space="0" w:color="auto"/>
        <w:left w:val="none" w:sz="0" w:space="0" w:color="auto"/>
        <w:bottom w:val="none" w:sz="0" w:space="0" w:color="auto"/>
        <w:right w:val="none" w:sz="0" w:space="0" w:color="auto"/>
      </w:divBdr>
    </w:div>
    <w:div w:id="1691174930">
      <w:bodyDiv w:val="1"/>
      <w:marLeft w:val="0"/>
      <w:marRight w:val="0"/>
      <w:marTop w:val="0"/>
      <w:marBottom w:val="0"/>
      <w:divBdr>
        <w:top w:val="none" w:sz="0" w:space="0" w:color="auto"/>
        <w:left w:val="none" w:sz="0" w:space="0" w:color="auto"/>
        <w:bottom w:val="none" w:sz="0" w:space="0" w:color="auto"/>
        <w:right w:val="none" w:sz="0" w:space="0" w:color="auto"/>
      </w:divBdr>
    </w:div>
    <w:div w:id="1691293413">
      <w:bodyDiv w:val="1"/>
      <w:marLeft w:val="0"/>
      <w:marRight w:val="0"/>
      <w:marTop w:val="0"/>
      <w:marBottom w:val="0"/>
      <w:divBdr>
        <w:top w:val="none" w:sz="0" w:space="0" w:color="auto"/>
        <w:left w:val="none" w:sz="0" w:space="0" w:color="auto"/>
        <w:bottom w:val="none" w:sz="0" w:space="0" w:color="auto"/>
        <w:right w:val="none" w:sz="0" w:space="0" w:color="auto"/>
      </w:divBdr>
    </w:div>
    <w:div w:id="1691418791">
      <w:bodyDiv w:val="1"/>
      <w:marLeft w:val="0"/>
      <w:marRight w:val="0"/>
      <w:marTop w:val="0"/>
      <w:marBottom w:val="0"/>
      <w:divBdr>
        <w:top w:val="none" w:sz="0" w:space="0" w:color="auto"/>
        <w:left w:val="none" w:sz="0" w:space="0" w:color="auto"/>
        <w:bottom w:val="none" w:sz="0" w:space="0" w:color="auto"/>
        <w:right w:val="none" w:sz="0" w:space="0" w:color="auto"/>
      </w:divBdr>
    </w:div>
    <w:div w:id="1691450968">
      <w:bodyDiv w:val="1"/>
      <w:marLeft w:val="0"/>
      <w:marRight w:val="0"/>
      <w:marTop w:val="0"/>
      <w:marBottom w:val="0"/>
      <w:divBdr>
        <w:top w:val="none" w:sz="0" w:space="0" w:color="auto"/>
        <w:left w:val="none" w:sz="0" w:space="0" w:color="auto"/>
        <w:bottom w:val="none" w:sz="0" w:space="0" w:color="auto"/>
        <w:right w:val="none" w:sz="0" w:space="0" w:color="auto"/>
      </w:divBdr>
    </w:div>
    <w:div w:id="1691568533">
      <w:bodyDiv w:val="1"/>
      <w:marLeft w:val="0"/>
      <w:marRight w:val="0"/>
      <w:marTop w:val="0"/>
      <w:marBottom w:val="0"/>
      <w:divBdr>
        <w:top w:val="none" w:sz="0" w:space="0" w:color="auto"/>
        <w:left w:val="none" w:sz="0" w:space="0" w:color="auto"/>
        <w:bottom w:val="none" w:sz="0" w:space="0" w:color="auto"/>
        <w:right w:val="none" w:sz="0" w:space="0" w:color="auto"/>
      </w:divBdr>
    </w:div>
    <w:div w:id="1691687502">
      <w:bodyDiv w:val="1"/>
      <w:marLeft w:val="0"/>
      <w:marRight w:val="0"/>
      <w:marTop w:val="0"/>
      <w:marBottom w:val="0"/>
      <w:divBdr>
        <w:top w:val="none" w:sz="0" w:space="0" w:color="auto"/>
        <w:left w:val="none" w:sz="0" w:space="0" w:color="auto"/>
        <w:bottom w:val="none" w:sz="0" w:space="0" w:color="auto"/>
        <w:right w:val="none" w:sz="0" w:space="0" w:color="auto"/>
      </w:divBdr>
    </w:div>
    <w:div w:id="1691762948">
      <w:bodyDiv w:val="1"/>
      <w:marLeft w:val="0"/>
      <w:marRight w:val="0"/>
      <w:marTop w:val="0"/>
      <w:marBottom w:val="0"/>
      <w:divBdr>
        <w:top w:val="none" w:sz="0" w:space="0" w:color="auto"/>
        <w:left w:val="none" w:sz="0" w:space="0" w:color="auto"/>
        <w:bottom w:val="none" w:sz="0" w:space="0" w:color="auto"/>
        <w:right w:val="none" w:sz="0" w:space="0" w:color="auto"/>
      </w:divBdr>
    </w:div>
    <w:div w:id="1691881367">
      <w:bodyDiv w:val="1"/>
      <w:marLeft w:val="0"/>
      <w:marRight w:val="0"/>
      <w:marTop w:val="0"/>
      <w:marBottom w:val="0"/>
      <w:divBdr>
        <w:top w:val="none" w:sz="0" w:space="0" w:color="auto"/>
        <w:left w:val="none" w:sz="0" w:space="0" w:color="auto"/>
        <w:bottom w:val="none" w:sz="0" w:space="0" w:color="auto"/>
        <w:right w:val="none" w:sz="0" w:space="0" w:color="auto"/>
      </w:divBdr>
    </w:div>
    <w:div w:id="1691954428">
      <w:bodyDiv w:val="1"/>
      <w:marLeft w:val="0"/>
      <w:marRight w:val="0"/>
      <w:marTop w:val="0"/>
      <w:marBottom w:val="0"/>
      <w:divBdr>
        <w:top w:val="none" w:sz="0" w:space="0" w:color="auto"/>
        <w:left w:val="none" w:sz="0" w:space="0" w:color="auto"/>
        <w:bottom w:val="none" w:sz="0" w:space="0" w:color="auto"/>
        <w:right w:val="none" w:sz="0" w:space="0" w:color="auto"/>
      </w:divBdr>
    </w:div>
    <w:div w:id="1692025716">
      <w:bodyDiv w:val="1"/>
      <w:marLeft w:val="0"/>
      <w:marRight w:val="0"/>
      <w:marTop w:val="0"/>
      <w:marBottom w:val="0"/>
      <w:divBdr>
        <w:top w:val="none" w:sz="0" w:space="0" w:color="auto"/>
        <w:left w:val="none" w:sz="0" w:space="0" w:color="auto"/>
        <w:bottom w:val="none" w:sz="0" w:space="0" w:color="auto"/>
        <w:right w:val="none" w:sz="0" w:space="0" w:color="auto"/>
      </w:divBdr>
    </w:div>
    <w:div w:id="1692295908">
      <w:bodyDiv w:val="1"/>
      <w:marLeft w:val="0"/>
      <w:marRight w:val="0"/>
      <w:marTop w:val="0"/>
      <w:marBottom w:val="0"/>
      <w:divBdr>
        <w:top w:val="none" w:sz="0" w:space="0" w:color="auto"/>
        <w:left w:val="none" w:sz="0" w:space="0" w:color="auto"/>
        <w:bottom w:val="none" w:sz="0" w:space="0" w:color="auto"/>
        <w:right w:val="none" w:sz="0" w:space="0" w:color="auto"/>
      </w:divBdr>
    </w:div>
    <w:div w:id="1692338150">
      <w:bodyDiv w:val="1"/>
      <w:marLeft w:val="0"/>
      <w:marRight w:val="0"/>
      <w:marTop w:val="0"/>
      <w:marBottom w:val="0"/>
      <w:divBdr>
        <w:top w:val="none" w:sz="0" w:space="0" w:color="auto"/>
        <w:left w:val="none" w:sz="0" w:space="0" w:color="auto"/>
        <w:bottom w:val="none" w:sz="0" w:space="0" w:color="auto"/>
        <w:right w:val="none" w:sz="0" w:space="0" w:color="auto"/>
      </w:divBdr>
    </w:div>
    <w:div w:id="1692338686">
      <w:bodyDiv w:val="1"/>
      <w:marLeft w:val="0"/>
      <w:marRight w:val="0"/>
      <w:marTop w:val="0"/>
      <w:marBottom w:val="0"/>
      <w:divBdr>
        <w:top w:val="none" w:sz="0" w:space="0" w:color="auto"/>
        <w:left w:val="none" w:sz="0" w:space="0" w:color="auto"/>
        <w:bottom w:val="none" w:sz="0" w:space="0" w:color="auto"/>
        <w:right w:val="none" w:sz="0" w:space="0" w:color="auto"/>
      </w:divBdr>
    </w:div>
    <w:div w:id="1692418202">
      <w:bodyDiv w:val="1"/>
      <w:marLeft w:val="0"/>
      <w:marRight w:val="0"/>
      <w:marTop w:val="0"/>
      <w:marBottom w:val="0"/>
      <w:divBdr>
        <w:top w:val="none" w:sz="0" w:space="0" w:color="auto"/>
        <w:left w:val="none" w:sz="0" w:space="0" w:color="auto"/>
        <w:bottom w:val="none" w:sz="0" w:space="0" w:color="auto"/>
        <w:right w:val="none" w:sz="0" w:space="0" w:color="auto"/>
      </w:divBdr>
    </w:div>
    <w:div w:id="1692492657">
      <w:bodyDiv w:val="1"/>
      <w:marLeft w:val="0"/>
      <w:marRight w:val="0"/>
      <w:marTop w:val="0"/>
      <w:marBottom w:val="0"/>
      <w:divBdr>
        <w:top w:val="none" w:sz="0" w:space="0" w:color="auto"/>
        <w:left w:val="none" w:sz="0" w:space="0" w:color="auto"/>
        <w:bottom w:val="none" w:sz="0" w:space="0" w:color="auto"/>
        <w:right w:val="none" w:sz="0" w:space="0" w:color="auto"/>
      </w:divBdr>
    </w:div>
    <w:div w:id="1692680272">
      <w:bodyDiv w:val="1"/>
      <w:marLeft w:val="0"/>
      <w:marRight w:val="0"/>
      <w:marTop w:val="0"/>
      <w:marBottom w:val="0"/>
      <w:divBdr>
        <w:top w:val="none" w:sz="0" w:space="0" w:color="auto"/>
        <w:left w:val="none" w:sz="0" w:space="0" w:color="auto"/>
        <w:bottom w:val="none" w:sz="0" w:space="0" w:color="auto"/>
        <w:right w:val="none" w:sz="0" w:space="0" w:color="auto"/>
      </w:divBdr>
    </w:div>
    <w:div w:id="1692683243">
      <w:bodyDiv w:val="1"/>
      <w:marLeft w:val="0"/>
      <w:marRight w:val="0"/>
      <w:marTop w:val="0"/>
      <w:marBottom w:val="0"/>
      <w:divBdr>
        <w:top w:val="none" w:sz="0" w:space="0" w:color="auto"/>
        <w:left w:val="none" w:sz="0" w:space="0" w:color="auto"/>
        <w:bottom w:val="none" w:sz="0" w:space="0" w:color="auto"/>
        <w:right w:val="none" w:sz="0" w:space="0" w:color="auto"/>
      </w:divBdr>
    </w:div>
    <w:div w:id="1692801641">
      <w:bodyDiv w:val="1"/>
      <w:marLeft w:val="0"/>
      <w:marRight w:val="0"/>
      <w:marTop w:val="0"/>
      <w:marBottom w:val="0"/>
      <w:divBdr>
        <w:top w:val="none" w:sz="0" w:space="0" w:color="auto"/>
        <w:left w:val="none" w:sz="0" w:space="0" w:color="auto"/>
        <w:bottom w:val="none" w:sz="0" w:space="0" w:color="auto"/>
        <w:right w:val="none" w:sz="0" w:space="0" w:color="auto"/>
      </w:divBdr>
    </w:div>
    <w:div w:id="1692880826">
      <w:bodyDiv w:val="1"/>
      <w:marLeft w:val="0"/>
      <w:marRight w:val="0"/>
      <w:marTop w:val="0"/>
      <w:marBottom w:val="0"/>
      <w:divBdr>
        <w:top w:val="none" w:sz="0" w:space="0" w:color="auto"/>
        <w:left w:val="none" w:sz="0" w:space="0" w:color="auto"/>
        <w:bottom w:val="none" w:sz="0" w:space="0" w:color="auto"/>
        <w:right w:val="none" w:sz="0" w:space="0" w:color="auto"/>
      </w:divBdr>
    </w:div>
    <w:div w:id="1693142625">
      <w:bodyDiv w:val="1"/>
      <w:marLeft w:val="0"/>
      <w:marRight w:val="0"/>
      <w:marTop w:val="0"/>
      <w:marBottom w:val="0"/>
      <w:divBdr>
        <w:top w:val="none" w:sz="0" w:space="0" w:color="auto"/>
        <w:left w:val="none" w:sz="0" w:space="0" w:color="auto"/>
        <w:bottom w:val="none" w:sz="0" w:space="0" w:color="auto"/>
        <w:right w:val="none" w:sz="0" w:space="0" w:color="auto"/>
      </w:divBdr>
    </w:div>
    <w:div w:id="1693148110">
      <w:bodyDiv w:val="1"/>
      <w:marLeft w:val="0"/>
      <w:marRight w:val="0"/>
      <w:marTop w:val="0"/>
      <w:marBottom w:val="0"/>
      <w:divBdr>
        <w:top w:val="none" w:sz="0" w:space="0" w:color="auto"/>
        <w:left w:val="none" w:sz="0" w:space="0" w:color="auto"/>
        <w:bottom w:val="none" w:sz="0" w:space="0" w:color="auto"/>
        <w:right w:val="none" w:sz="0" w:space="0" w:color="auto"/>
      </w:divBdr>
    </w:div>
    <w:div w:id="1693190814">
      <w:bodyDiv w:val="1"/>
      <w:marLeft w:val="0"/>
      <w:marRight w:val="0"/>
      <w:marTop w:val="0"/>
      <w:marBottom w:val="0"/>
      <w:divBdr>
        <w:top w:val="none" w:sz="0" w:space="0" w:color="auto"/>
        <w:left w:val="none" w:sz="0" w:space="0" w:color="auto"/>
        <w:bottom w:val="none" w:sz="0" w:space="0" w:color="auto"/>
        <w:right w:val="none" w:sz="0" w:space="0" w:color="auto"/>
      </w:divBdr>
    </w:div>
    <w:div w:id="1693336619">
      <w:bodyDiv w:val="1"/>
      <w:marLeft w:val="0"/>
      <w:marRight w:val="0"/>
      <w:marTop w:val="0"/>
      <w:marBottom w:val="0"/>
      <w:divBdr>
        <w:top w:val="none" w:sz="0" w:space="0" w:color="auto"/>
        <w:left w:val="none" w:sz="0" w:space="0" w:color="auto"/>
        <w:bottom w:val="none" w:sz="0" w:space="0" w:color="auto"/>
        <w:right w:val="none" w:sz="0" w:space="0" w:color="auto"/>
      </w:divBdr>
    </w:div>
    <w:div w:id="1693409075">
      <w:bodyDiv w:val="1"/>
      <w:marLeft w:val="0"/>
      <w:marRight w:val="0"/>
      <w:marTop w:val="0"/>
      <w:marBottom w:val="0"/>
      <w:divBdr>
        <w:top w:val="none" w:sz="0" w:space="0" w:color="auto"/>
        <w:left w:val="none" w:sz="0" w:space="0" w:color="auto"/>
        <w:bottom w:val="none" w:sz="0" w:space="0" w:color="auto"/>
        <w:right w:val="none" w:sz="0" w:space="0" w:color="auto"/>
      </w:divBdr>
    </w:div>
    <w:div w:id="1693414790">
      <w:bodyDiv w:val="1"/>
      <w:marLeft w:val="0"/>
      <w:marRight w:val="0"/>
      <w:marTop w:val="0"/>
      <w:marBottom w:val="0"/>
      <w:divBdr>
        <w:top w:val="none" w:sz="0" w:space="0" w:color="auto"/>
        <w:left w:val="none" w:sz="0" w:space="0" w:color="auto"/>
        <w:bottom w:val="none" w:sz="0" w:space="0" w:color="auto"/>
        <w:right w:val="none" w:sz="0" w:space="0" w:color="auto"/>
      </w:divBdr>
    </w:div>
    <w:div w:id="1693416414">
      <w:bodyDiv w:val="1"/>
      <w:marLeft w:val="0"/>
      <w:marRight w:val="0"/>
      <w:marTop w:val="0"/>
      <w:marBottom w:val="0"/>
      <w:divBdr>
        <w:top w:val="none" w:sz="0" w:space="0" w:color="auto"/>
        <w:left w:val="none" w:sz="0" w:space="0" w:color="auto"/>
        <w:bottom w:val="none" w:sz="0" w:space="0" w:color="auto"/>
        <w:right w:val="none" w:sz="0" w:space="0" w:color="auto"/>
      </w:divBdr>
    </w:div>
    <w:div w:id="1693454664">
      <w:bodyDiv w:val="1"/>
      <w:marLeft w:val="0"/>
      <w:marRight w:val="0"/>
      <w:marTop w:val="0"/>
      <w:marBottom w:val="0"/>
      <w:divBdr>
        <w:top w:val="none" w:sz="0" w:space="0" w:color="auto"/>
        <w:left w:val="none" w:sz="0" w:space="0" w:color="auto"/>
        <w:bottom w:val="none" w:sz="0" w:space="0" w:color="auto"/>
        <w:right w:val="none" w:sz="0" w:space="0" w:color="auto"/>
      </w:divBdr>
    </w:div>
    <w:div w:id="1693526760">
      <w:bodyDiv w:val="1"/>
      <w:marLeft w:val="0"/>
      <w:marRight w:val="0"/>
      <w:marTop w:val="0"/>
      <w:marBottom w:val="0"/>
      <w:divBdr>
        <w:top w:val="none" w:sz="0" w:space="0" w:color="auto"/>
        <w:left w:val="none" w:sz="0" w:space="0" w:color="auto"/>
        <w:bottom w:val="none" w:sz="0" w:space="0" w:color="auto"/>
        <w:right w:val="none" w:sz="0" w:space="0" w:color="auto"/>
      </w:divBdr>
    </w:div>
    <w:div w:id="1693611683">
      <w:bodyDiv w:val="1"/>
      <w:marLeft w:val="0"/>
      <w:marRight w:val="0"/>
      <w:marTop w:val="0"/>
      <w:marBottom w:val="0"/>
      <w:divBdr>
        <w:top w:val="none" w:sz="0" w:space="0" w:color="auto"/>
        <w:left w:val="none" w:sz="0" w:space="0" w:color="auto"/>
        <w:bottom w:val="none" w:sz="0" w:space="0" w:color="auto"/>
        <w:right w:val="none" w:sz="0" w:space="0" w:color="auto"/>
      </w:divBdr>
    </w:div>
    <w:div w:id="1693651714">
      <w:bodyDiv w:val="1"/>
      <w:marLeft w:val="0"/>
      <w:marRight w:val="0"/>
      <w:marTop w:val="0"/>
      <w:marBottom w:val="0"/>
      <w:divBdr>
        <w:top w:val="none" w:sz="0" w:space="0" w:color="auto"/>
        <w:left w:val="none" w:sz="0" w:space="0" w:color="auto"/>
        <w:bottom w:val="none" w:sz="0" w:space="0" w:color="auto"/>
        <w:right w:val="none" w:sz="0" w:space="0" w:color="auto"/>
      </w:divBdr>
    </w:div>
    <w:div w:id="1693843608">
      <w:bodyDiv w:val="1"/>
      <w:marLeft w:val="0"/>
      <w:marRight w:val="0"/>
      <w:marTop w:val="0"/>
      <w:marBottom w:val="0"/>
      <w:divBdr>
        <w:top w:val="none" w:sz="0" w:space="0" w:color="auto"/>
        <w:left w:val="none" w:sz="0" w:space="0" w:color="auto"/>
        <w:bottom w:val="none" w:sz="0" w:space="0" w:color="auto"/>
        <w:right w:val="none" w:sz="0" w:space="0" w:color="auto"/>
      </w:divBdr>
    </w:div>
    <w:div w:id="1693843997">
      <w:bodyDiv w:val="1"/>
      <w:marLeft w:val="0"/>
      <w:marRight w:val="0"/>
      <w:marTop w:val="0"/>
      <w:marBottom w:val="0"/>
      <w:divBdr>
        <w:top w:val="none" w:sz="0" w:space="0" w:color="auto"/>
        <w:left w:val="none" w:sz="0" w:space="0" w:color="auto"/>
        <w:bottom w:val="none" w:sz="0" w:space="0" w:color="auto"/>
        <w:right w:val="none" w:sz="0" w:space="0" w:color="auto"/>
      </w:divBdr>
    </w:div>
    <w:div w:id="1694188942">
      <w:bodyDiv w:val="1"/>
      <w:marLeft w:val="0"/>
      <w:marRight w:val="0"/>
      <w:marTop w:val="0"/>
      <w:marBottom w:val="0"/>
      <w:divBdr>
        <w:top w:val="none" w:sz="0" w:space="0" w:color="auto"/>
        <w:left w:val="none" w:sz="0" w:space="0" w:color="auto"/>
        <w:bottom w:val="none" w:sz="0" w:space="0" w:color="auto"/>
        <w:right w:val="none" w:sz="0" w:space="0" w:color="auto"/>
      </w:divBdr>
    </w:div>
    <w:div w:id="1694263262">
      <w:bodyDiv w:val="1"/>
      <w:marLeft w:val="0"/>
      <w:marRight w:val="0"/>
      <w:marTop w:val="0"/>
      <w:marBottom w:val="0"/>
      <w:divBdr>
        <w:top w:val="none" w:sz="0" w:space="0" w:color="auto"/>
        <w:left w:val="none" w:sz="0" w:space="0" w:color="auto"/>
        <w:bottom w:val="none" w:sz="0" w:space="0" w:color="auto"/>
        <w:right w:val="none" w:sz="0" w:space="0" w:color="auto"/>
      </w:divBdr>
    </w:div>
    <w:div w:id="1694302876">
      <w:bodyDiv w:val="1"/>
      <w:marLeft w:val="0"/>
      <w:marRight w:val="0"/>
      <w:marTop w:val="0"/>
      <w:marBottom w:val="0"/>
      <w:divBdr>
        <w:top w:val="none" w:sz="0" w:space="0" w:color="auto"/>
        <w:left w:val="none" w:sz="0" w:space="0" w:color="auto"/>
        <w:bottom w:val="none" w:sz="0" w:space="0" w:color="auto"/>
        <w:right w:val="none" w:sz="0" w:space="0" w:color="auto"/>
      </w:divBdr>
    </w:div>
    <w:div w:id="1694333266">
      <w:bodyDiv w:val="1"/>
      <w:marLeft w:val="0"/>
      <w:marRight w:val="0"/>
      <w:marTop w:val="0"/>
      <w:marBottom w:val="0"/>
      <w:divBdr>
        <w:top w:val="none" w:sz="0" w:space="0" w:color="auto"/>
        <w:left w:val="none" w:sz="0" w:space="0" w:color="auto"/>
        <w:bottom w:val="none" w:sz="0" w:space="0" w:color="auto"/>
        <w:right w:val="none" w:sz="0" w:space="0" w:color="auto"/>
      </w:divBdr>
    </w:div>
    <w:div w:id="1694577293">
      <w:bodyDiv w:val="1"/>
      <w:marLeft w:val="0"/>
      <w:marRight w:val="0"/>
      <w:marTop w:val="0"/>
      <w:marBottom w:val="0"/>
      <w:divBdr>
        <w:top w:val="none" w:sz="0" w:space="0" w:color="auto"/>
        <w:left w:val="none" w:sz="0" w:space="0" w:color="auto"/>
        <w:bottom w:val="none" w:sz="0" w:space="0" w:color="auto"/>
        <w:right w:val="none" w:sz="0" w:space="0" w:color="auto"/>
      </w:divBdr>
    </w:div>
    <w:div w:id="1694577547">
      <w:bodyDiv w:val="1"/>
      <w:marLeft w:val="0"/>
      <w:marRight w:val="0"/>
      <w:marTop w:val="0"/>
      <w:marBottom w:val="0"/>
      <w:divBdr>
        <w:top w:val="none" w:sz="0" w:space="0" w:color="auto"/>
        <w:left w:val="none" w:sz="0" w:space="0" w:color="auto"/>
        <w:bottom w:val="none" w:sz="0" w:space="0" w:color="auto"/>
        <w:right w:val="none" w:sz="0" w:space="0" w:color="auto"/>
      </w:divBdr>
    </w:div>
    <w:div w:id="1694646936">
      <w:bodyDiv w:val="1"/>
      <w:marLeft w:val="0"/>
      <w:marRight w:val="0"/>
      <w:marTop w:val="0"/>
      <w:marBottom w:val="0"/>
      <w:divBdr>
        <w:top w:val="none" w:sz="0" w:space="0" w:color="auto"/>
        <w:left w:val="none" w:sz="0" w:space="0" w:color="auto"/>
        <w:bottom w:val="none" w:sz="0" w:space="0" w:color="auto"/>
        <w:right w:val="none" w:sz="0" w:space="0" w:color="auto"/>
      </w:divBdr>
    </w:div>
    <w:div w:id="1694769572">
      <w:bodyDiv w:val="1"/>
      <w:marLeft w:val="0"/>
      <w:marRight w:val="0"/>
      <w:marTop w:val="0"/>
      <w:marBottom w:val="0"/>
      <w:divBdr>
        <w:top w:val="none" w:sz="0" w:space="0" w:color="auto"/>
        <w:left w:val="none" w:sz="0" w:space="0" w:color="auto"/>
        <w:bottom w:val="none" w:sz="0" w:space="0" w:color="auto"/>
        <w:right w:val="none" w:sz="0" w:space="0" w:color="auto"/>
      </w:divBdr>
    </w:div>
    <w:div w:id="1694842788">
      <w:bodyDiv w:val="1"/>
      <w:marLeft w:val="0"/>
      <w:marRight w:val="0"/>
      <w:marTop w:val="0"/>
      <w:marBottom w:val="0"/>
      <w:divBdr>
        <w:top w:val="none" w:sz="0" w:space="0" w:color="auto"/>
        <w:left w:val="none" w:sz="0" w:space="0" w:color="auto"/>
        <w:bottom w:val="none" w:sz="0" w:space="0" w:color="auto"/>
        <w:right w:val="none" w:sz="0" w:space="0" w:color="auto"/>
      </w:divBdr>
    </w:div>
    <w:div w:id="1694914808">
      <w:bodyDiv w:val="1"/>
      <w:marLeft w:val="0"/>
      <w:marRight w:val="0"/>
      <w:marTop w:val="0"/>
      <w:marBottom w:val="0"/>
      <w:divBdr>
        <w:top w:val="none" w:sz="0" w:space="0" w:color="auto"/>
        <w:left w:val="none" w:sz="0" w:space="0" w:color="auto"/>
        <w:bottom w:val="none" w:sz="0" w:space="0" w:color="auto"/>
        <w:right w:val="none" w:sz="0" w:space="0" w:color="auto"/>
      </w:divBdr>
    </w:div>
    <w:div w:id="1694921796">
      <w:bodyDiv w:val="1"/>
      <w:marLeft w:val="0"/>
      <w:marRight w:val="0"/>
      <w:marTop w:val="0"/>
      <w:marBottom w:val="0"/>
      <w:divBdr>
        <w:top w:val="none" w:sz="0" w:space="0" w:color="auto"/>
        <w:left w:val="none" w:sz="0" w:space="0" w:color="auto"/>
        <w:bottom w:val="none" w:sz="0" w:space="0" w:color="auto"/>
        <w:right w:val="none" w:sz="0" w:space="0" w:color="auto"/>
      </w:divBdr>
    </w:div>
    <w:div w:id="1695037177">
      <w:bodyDiv w:val="1"/>
      <w:marLeft w:val="0"/>
      <w:marRight w:val="0"/>
      <w:marTop w:val="0"/>
      <w:marBottom w:val="0"/>
      <w:divBdr>
        <w:top w:val="none" w:sz="0" w:space="0" w:color="auto"/>
        <w:left w:val="none" w:sz="0" w:space="0" w:color="auto"/>
        <w:bottom w:val="none" w:sz="0" w:space="0" w:color="auto"/>
        <w:right w:val="none" w:sz="0" w:space="0" w:color="auto"/>
      </w:divBdr>
    </w:div>
    <w:div w:id="1695111560">
      <w:bodyDiv w:val="1"/>
      <w:marLeft w:val="0"/>
      <w:marRight w:val="0"/>
      <w:marTop w:val="0"/>
      <w:marBottom w:val="0"/>
      <w:divBdr>
        <w:top w:val="none" w:sz="0" w:space="0" w:color="auto"/>
        <w:left w:val="none" w:sz="0" w:space="0" w:color="auto"/>
        <w:bottom w:val="none" w:sz="0" w:space="0" w:color="auto"/>
        <w:right w:val="none" w:sz="0" w:space="0" w:color="auto"/>
      </w:divBdr>
    </w:div>
    <w:div w:id="1695229882">
      <w:bodyDiv w:val="1"/>
      <w:marLeft w:val="0"/>
      <w:marRight w:val="0"/>
      <w:marTop w:val="0"/>
      <w:marBottom w:val="0"/>
      <w:divBdr>
        <w:top w:val="none" w:sz="0" w:space="0" w:color="auto"/>
        <w:left w:val="none" w:sz="0" w:space="0" w:color="auto"/>
        <w:bottom w:val="none" w:sz="0" w:space="0" w:color="auto"/>
        <w:right w:val="none" w:sz="0" w:space="0" w:color="auto"/>
      </w:divBdr>
    </w:div>
    <w:div w:id="1695299543">
      <w:bodyDiv w:val="1"/>
      <w:marLeft w:val="0"/>
      <w:marRight w:val="0"/>
      <w:marTop w:val="0"/>
      <w:marBottom w:val="0"/>
      <w:divBdr>
        <w:top w:val="none" w:sz="0" w:space="0" w:color="auto"/>
        <w:left w:val="none" w:sz="0" w:space="0" w:color="auto"/>
        <w:bottom w:val="none" w:sz="0" w:space="0" w:color="auto"/>
        <w:right w:val="none" w:sz="0" w:space="0" w:color="auto"/>
      </w:divBdr>
    </w:div>
    <w:div w:id="1695420034">
      <w:bodyDiv w:val="1"/>
      <w:marLeft w:val="0"/>
      <w:marRight w:val="0"/>
      <w:marTop w:val="0"/>
      <w:marBottom w:val="0"/>
      <w:divBdr>
        <w:top w:val="none" w:sz="0" w:space="0" w:color="auto"/>
        <w:left w:val="none" w:sz="0" w:space="0" w:color="auto"/>
        <w:bottom w:val="none" w:sz="0" w:space="0" w:color="auto"/>
        <w:right w:val="none" w:sz="0" w:space="0" w:color="auto"/>
      </w:divBdr>
    </w:div>
    <w:div w:id="1695569528">
      <w:bodyDiv w:val="1"/>
      <w:marLeft w:val="0"/>
      <w:marRight w:val="0"/>
      <w:marTop w:val="0"/>
      <w:marBottom w:val="0"/>
      <w:divBdr>
        <w:top w:val="none" w:sz="0" w:space="0" w:color="auto"/>
        <w:left w:val="none" w:sz="0" w:space="0" w:color="auto"/>
        <w:bottom w:val="none" w:sz="0" w:space="0" w:color="auto"/>
        <w:right w:val="none" w:sz="0" w:space="0" w:color="auto"/>
      </w:divBdr>
    </w:div>
    <w:div w:id="1695576058">
      <w:bodyDiv w:val="1"/>
      <w:marLeft w:val="0"/>
      <w:marRight w:val="0"/>
      <w:marTop w:val="0"/>
      <w:marBottom w:val="0"/>
      <w:divBdr>
        <w:top w:val="none" w:sz="0" w:space="0" w:color="auto"/>
        <w:left w:val="none" w:sz="0" w:space="0" w:color="auto"/>
        <w:bottom w:val="none" w:sz="0" w:space="0" w:color="auto"/>
        <w:right w:val="none" w:sz="0" w:space="0" w:color="auto"/>
      </w:divBdr>
    </w:div>
    <w:div w:id="1695613515">
      <w:bodyDiv w:val="1"/>
      <w:marLeft w:val="0"/>
      <w:marRight w:val="0"/>
      <w:marTop w:val="0"/>
      <w:marBottom w:val="0"/>
      <w:divBdr>
        <w:top w:val="none" w:sz="0" w:space="0" w:color="auto"/>
        <w:left w:val="none" w:sz="0" w:space="0" w:color="auto"/>
        <w:bottom w:val="none" w:sz="0" w:space="0" w:color="auto"/>
        <w:right w:val="none" w:sz="0" w:space="0" w:color="auto"/>
      </w:divBdr>
    </w:div>
    <w:div w:id="1695643870">
      <w:bodyDiv w:val="1"/>
      <w:marLeft w:val="0"/>
      <w:marRight w:val="0"/>
      <w:marTop w:val="0"/>
      <w:marBottom w:val="0"/>
      <w:divBdr>
        <w:top w:val="none" w:sz="0" w:space="0" w:color="auto"/>
        <w:left w:val="none" w:sz="0" w:space="0" w:color="auto"/>
        <w:bottom w:val="none" w:sz="0" w:space="0" w:color="auto"/>
        <w:right w:val="none" w:sz="0" w:space="0" w:color="auto"/>
      </w:divBdr>
    </w:div>
    <w:div w:id="1695686126">
      <w:bodyDiv w:val="1"/>
      <w:marLeft w:val="0"/>
      <w:marRight w:val="0"/>
      <w:marTop w:val="0"/>
      <w:marBottom w:val="0"/>
      <w:divBdr>
        <w:top w:val="none" w:sz="0" w:space="0" w:color="auto"/>
        <w:left w:val="none" w:sz="0" w:space="0" w:color="auto"/>
        <w:bottom w:val="none" w:sz="0" w:space="0" w:color="auto"/>
        <w:right w:val="none" w:sz="0" w:space="0" w:color="auto"/>
      </w:divBdr>
    </w:div>
    <w:div w:id="1695812828">
      <w:bodyDiv w:val="1"/>
      <w:marLeft w:val="0"/>
      <w:marRight w:val="0"/>
      <w:marTop w:val="0"/>
      <w:marBottom w:val="0"/>
      <w:divBdr>
        <w:top w:val="none" w:sz="0" w:space="0" w:color="auto"/>
        <w:left w:val="none" w:sz="0" w:space="0" w:color="auto"/>
        <w:bottom w:val="none" w:sz="0" w:space="0" w:color="auto"/>
        <w:right w:val="none" w:sz="0" w:space="0" w:color="auto"/>
      </w:divBdr>
    </w:div>
    <w:div w:id="1695838466">
      <w:bodyDiv w:val="1"/>
      <w:marLeft w:val="0"/>
      <w:marRight w:val="0"/>
      <w:marTop w:val="0"/>
      <w:marBottom w:val="0"/>
      <w:divBdr>
        <w:top w:val="none" w:sz="0" w:space="0" w:color="auto"/>
        <w:left w:val="none" w:sz="0" w:space="0" w:color="auto"/>
        <w:bottom w:val="none" w:sz="0" w:space="0" w:color="auto"/>
        <w:right w:val="none" w:sz="0" w:space="0" w:color="auto"/>
      </w:divBdr>
    </w:div>
    <w:div w:id="1695888613">
      <w:bodyDiv w:val="1"/>
      <w:marLeft w:val="0"/>
      <w:marRight w:val="0"/>
      <w:marTop w:val="0"/>
      <w:marBottom w:val="0"/>
      <w:divBdr>
        <w:top w:val="none" w:sz="0" w:space="0" w:color="auto"/>
        <w:left w:val="none" w:sz="0" w:space="0" w:color="auto"/>
        <w:bottom w:val="none" w:sz="0" w:space="0" w:color="auto"/>
        <w:right w:val="none" w:sz="0" w:space="0" w:color="auto"/>
      </w:divBdr>
    </w:div>
    <w:div w:id="1695959275">
      <w:bodyDiv w:val="1"/>
      <w:marLeft w:val="0"/>
      <w:marRight w:val="0"/>
      <w:marTop w:val="0"/>
      <w:marBottom w:val="0"/>
      <w:divBdr>
        <w:top w:val="none" w:sz="0" w:space="0" w:color="auto"/>
        <w:left w:val="none" w:sz="0" w:space="0" w:color="auto"/>
        <w:bottom w:val="none" w:sz="0" w:space="0" w:color="auto"/>
        <w:right w:val="none" w:sz="0" w:space="0" w:color="auto"/>
      </w:divBdr>
    </w:div>
    <w:div w:id="1696077228">
      <w:bodyDiv w:val="1"/>
      <w:marLeft w:val="0"/>
      <w:marRight w:val="0"/>
      <w:marTop w:val="0"/>
      <w:marBottom w:val="0"/>
      <w:divBdr>
        <w:top w:val="none" w:sz="0" w:space="0" w:color="auto"/>
        <w:left w:val="none" w:sz="0" w:space="0" w:color="auto"/>
        <w:bottom w:val="none" w:sz="0" w:space="0" w:color="auto"/>
        <w:right w:val="none" w:sz="0" w:space="0" w:color="auto"/>
      </w:divBdr>
    </w:div>
    <w:div w:id="1696148602">
      <w:bodyDiv w:val="1"/>
      <w:marLeft w:val="0"/>
      <w:marRight w:val="0"/>
      <w:marTop w:val="0"/>
      <w:marBottom w:val="0"/>
      <w:divBdr>
        <w:top w:val="none" w:sz="0" w:space="0" w:color="auto"/>
        <w:left w:val="none" w:sz="0" w:space="0" w:color="auto"/>
        <w:bottom w:val="none" w:sz="0" w:space="0" w:color="auto"/>
        <w:right w:val="none" w:sz="0" w:space="0" w:color="auto"/>
      </w:divBdr>
    </w:div>
    <w:div w:id="1696151292">
      <w:bodyDiv w:val="1"/>
      <w:marLeft w:val="0"/>
      <w:marRight w:val="0"/>
      <w:marTop w:val="0"/>
      <w:marBottom w:val="0"/>
      <w:divBdr>
        <w:top w:val="none" w:sz="0" w:space="0" w:color="auto"/>
        <w:left w:val="none" w:sz="0" w:space="0" w:color="auto"/>
        <w:bottom w:val="none" w:sz="0" w:space="0" w:color="auto"/>
        <w:right w:val="none" w:sz="0" w:space="0" w:color="auto"/>
      </w:divBdr>
    </w:div>
    <w:div w:id="1696157365">
      <w:bodyDiv w:val="1"/>
      <w:marLeft w:val="0"/>
      <w:marRight w:val="0"/>
      <w:marTop w:val="0"/>
      <w:marBottom w:val="0"/>
      <w:divBdr>
        <w:top w:val="none" w:sz="0" w:space="0" w:color="auto"/>
        <w:left w:val="none" w:sz="0" w:space="0" w:color="auto"/>
        <w:bottom w:val="none" w:sz="0" w:space="0" w:color="auto"/>
        <w:right w:val="none" w:sz="0" w:space="0" w:color="auto"/>
      </w:divBdr>
    </w:div>
    <w:div w:id="1696416899">
      <w:bodyDiv w:val="1"/>
      <w:marLeft w:val="0"/>
      <w:marRight w:val="0"/>
      <w:marTop w:val="0"/>
      <w:marBottom w:val="0"/>
      <w:divBdr>
        <w:top w:val="none" w:sz="0" w:space="0" w:color="auto"/>
        <w:left w:val="none" w:sz="0" w:space="0" w:color="auto"/>
        <w:bottom w:val="none" w:sz="0" w:space="0" w:color="auto"/>
        <w:right w:val="none" w:sz="0" w:space="0" w:color="auto"/>
      </w:divBdr>
    </w:div>
    <w:div w:id="1696734950">
      <w:bodyDiv w:val="1"/>
      <w:marLeft w:val="0"/>
      <w:marRight w:val="0"/>
      <w:marTop w:val="0"/>
      <w:marBottom w:val="0"/>
      <w:divBdr>
        <w:top w:val="none" w:sz="0" w:space="0" w:color="auto"/>
        <w:left w:val="none" w:sz="0" w:space="0" w:color="auto"/>
        <w:bottom w:val="none" w:sz="0" w:space="0" w:color="auto"/>
        <w:right w:val="none" w:sz="0" w:space="0" w:color="auto"/>
      </w:divBdr>
    </w:div>
    <w:div w:id="1696803955">
      <w:bodyDiv w:val="1"/>
      <w:marLeft w:val="0"/>
      <w:marRight w:val="0"/>
      <w:marTop w:val="0"/>
      <w:marBottom w:val="0"/>
      <w:divBdr>
        <w:top w:val="none" w:sz="0" w:space="0" w:color="auto"/>
        <w:left w:val="none" w:sz="0" w:space="0" w:color="auto"/>
        <w:bottom w:val="none" w:sz="0" w:space="0" w:color="auto"/>
        <w:right w:val="none" w:sz="0" w:space="0" w:color="auto"/>
      </w:divBdr>
    </w:div>
    <w:div w:id="1696812660">
      <w:bodyDiv w:val="1"/>
      <w:marLeft w:val="0"/>
      <w:marRight w:val="0"/>
      <w:marTop w:val="0"/>
      <w:marBottom w:val="0"/>
      <w:divBdr>
        <w:top w:val="none" w:sz="0" w:space="0" w:color="auto"/>
        <w:left w:val="none" w:sz="0" w:space="0" w:color="auto"/>
        <w:bottom w:val="none" w:sz="0" w:space="0" w:color="auto"/>
        <w:right w:val="none" w:sz="0" w:space="0" w:color="auto"/>
      </w:divBdr>
    </w:div>
    <w:div w:id="1696878535">
      <w:bodyDiv w:val="1"/>
      <w:marLeft w:val="0"/>
      <w:marRight w:val="0"/>
      <w:marTop w:val="0"/>
      <w:marBottom w:val="0"/>
      <w:divBdr>
        <w:top w:val="none" w:sz="0" w:space="0" w:color="auto"/>
        <w:left w:val="none" w:sz="0" w:space="0" w:color="auto"/>
        <w:bottom w:val="none" w:sz="0" w:space="0" w:color="auto"/>
        <w:right w:val="none" w:sz="0" w:space="0" w:color="auto"/>
      </w:divBdr>
    </w:div>
    <w:div w:id="1696882467">
      <w:bodyDiv w:val="1"/>
      <w:marLeft w:val="0"/>
      <w:marRight w:val="0"/>
      <w:marTop w:val="0"/>
      <w:marBottom w:val="0"/>
      <w:divBdr>
        <w:top w:val="none" w:sz="0" w:space="0" w:color="auto"/>
        <w:left w:val="none" w:sz="0" w:space="0" w:color="auto"/>
        <w:bottom w:val="none" w:sz="0" w:space="0" w:color="auto"/>
        <w:right w:val="none" w:sz="0" w:space="0" w:color="auto"/>
      </w:divBdr>
    </w:div>
    <w:div w:id="1696886197">
      <w:bodyDiv w:val="1"/>
      <w:marLeft w:val="0"/>
      <w:marRight w:val="0"/>
      <w:marTop w:val="0"/>
      <w:marBottom w:val="0"/>
      <w:divBdr>
        <w:top w:val="none" w:sz="0" w:space="0" w:color="auto"/>
        <w:left w:val="none" w:sz="0" w:space="0" w:color="auto"/>
        <w:bottom w:val="none" w:sz="0" w:space="0" w:color="auto"/>
        <w:right w:val="none" w:sz="0" w:space="0" w:color="auto"/>
      </w:divBdr>
    </w:div>
    <w:div w:id="1696924451">
      <w:bodyDiv w:val="1"/>
      <w:marLeft w:val="0"/>
      <w:marRight w:val="0"/>
      <w:marTop w:val="0"/>
      <w:marBottom w:val="0"/>
      <w:divBdr>
        <w:top w:val="none" w:sz="0" w:space="0" w:color="auto"/>
        <w:left w:val="none" w:sz="0" w:space="0" w:color="auto"/>
        <w:bottom w:val="none" w:sz="0" w:space="0" w:color="auto"/>
        <w:right w:val="none" w:sz="0" w:space="0" w:color="auto"/>
      </w:divBdr>
    </w:div>
    <w:div w:id="1696928077">
      <w:bodyDiv w:val="1"/>
      <w:marLeft w:val="0"/>
      <w:marRight w:val="0"/>
      <w:marTop w:val="0"/>
      <w:marBottom w:val="0"/>
      <w:divBdr>
        <w:top w:val="none" w:sz="0" w:space="0" w:color="auto"/>
        <w:left w:val="none" w:sz="0" w:space="0" w:color="auto"/>
        <w:bottom w:val="none" w:sz="0" w:space="0" w:color="auto"/>
        <w:right w:val="none" w:sz="0" w:space="0" w:color="auto"/>
      </w:divBdr>
    </w:div>
    <w:div w:id="1696955209">
      <w:bodyDiv w:val="1"/>
      <w:marLeft w:val="0"/>
      <w:marRight w:val="0"/>
      <w:marTop w:val="0"/>
      <w:marBottom w:val="0"/>
      <w:divBdr>
        <w:top w:val="none" w:sz="0" w:space="0" w:color="auto"/>
        <w:left w:val="none" w:sz="0" w:space="0" w:color="auto"/>
        <w:bottom w:val="none" w:sz="0" w:space="0" w:color="auto"/>
        <w:right w:val="none" w:sz="0" w:space="0" w:color="auto"/>
      </w:divBdr>
    </w:div>
    <w:div w:id="1697075179">
      <w:bodyDiv w:val="1"/>
      <w:marLeft w:val="0"/>
      <w:marRight w:val="0"/>
      <w:marTop w:val="0"/>
      <w:marBottom w:val="0"/>
      <w:divBdr>
        <w:top w:val="none" w:sz="0" w:space="0" w:color="auto"/>
        <w:left w:val="none" w:sz="0" w:space="0" w:color="auto"/>
        <w:bottom w:val="none" w:sz="0" w:space="0" w:color="auto"/>
        <w:right w:val="none" w:sz="0" w:space="0" w:color="auto"/>
      </w:divBdr>
    </w:div>
    <w:div w:id="1697077223">
      <w:bodyDiv w:val="1"/>
      <w:marLeft w:val="0"/>
      <w:marRight w:val="0"/>
      <w:marTop w:val="0"/>
      <w:marBottom w:val="0"/>
      <w:divBdr>
        <w:top w:val="none" w:sz="0" w:space="0" w:color="auto"/>
        <w:left w:val="none" w:sz="0" w:space="0" w:color="auto"/>
        <w:bottom w:val="none" w:sz="0" w:space="0" w:color="auto"/>
        <w:right w:val="none" w:sz="0" w:space="0" w:color="auto"/>
      </w:divBdr>
    </w:div>
    <w:div w:id="1697148723">
      <w:bodyDiv w:val="1"/>
      <w:marLeft w:val="0"/>
      <w:marRight w:val="0"/>
      <w:marTop w:val="0"/>
      <w:marBottom w:val="0"/>
      <w:divBdr>
        <w:top w:val="none" w:sz="0" w:space="0" w:color="auto"/>
        <w:left w:val="none" w:sz="0" w:space="0" w:color="auto"/>
        <w:bottom w:val="none" w:sz="0" w:space="0" w:color="auto"/>
        <w:right w:val="none" w:sz="0" w:space="0" w:color="auto"/>
      </w:divBdr>
    </w:div>
    <w:div w:id="1697190926">
      <w:bodyDiv w:val="1"/>
      <w:marLeft w:val="0"/>
      <w:marRight w:val="0"/>
      <w:marTop w:val="0"/>
      <w:marBottom w:val="0"/>
      <w:divBdr>
        <w:top w:val="none" w:sz="0" w:space="0" w:color="auto"/>
        <w:left w:val="none" w:sz="0" w:space="0" w:color="auto"/>
        <w:bottom w:val="none" w:sz="0" w:space="0" w:color="auto"/>
        <w:right w:val="none" w:sz="0" w:space="0" w:color="auto"/>
      </w:divBdr>
    </w:div>
    <w:div w:id="1697194506">
      <w:bodyDiv w:val="1"/>
      <w:marLeft w:val="0"/>
      <w:marRight w:val="0"/>
      <w:marTop w:val="0"/>
      <w:marBottom w:val="0"/>
      <w:divBdr>
        <w:top w:val="none" w:sz="0" w:space="0" w:color="auto"/>
        <w:left w:val="none" w:sz="0" w:space="0" w:color="auto"/>
        <w:bottom w:val="none" w:sz="0" w:space="0" w:color="auto"/>
        <w:right w:val="none" w:sz="0" w:space="0" w:color="auto"/>
      </w:divBdr>
    </w:div>
    <w:div w:id="1697267061">
      <w:bodyDiv w:val="1"/>
      <w:marLeft w:val="0"/>
      <w:marRight w:val="0"/>
      <w:marTop w:val="0"/>
      <w:marBottom w:val="0"/>
      <w:divBdr>
        <w:top w:val="none" w:sz="0" w:space="0" w:color="auto"/>
        <w:left w:val="none" w:sz="0" w:space="0" w:color="auto"/>
        <w:bottom w:val="none" w:sz="0" w:space="0" w:color="auto"/>
        <w:right w:val="none" w:sz="0" w:space="0" w:color="auto"/>
      </w:divBdr>
    </w:div>
    <w:div w:id="1697274210">
      <w:bodyDiv w:val="1"/>
      <w:marLeft w:val="0"/>
      <w:marRight w:val="0"/>
      <w:marTop w:val="0"/>
      <w:marBottom w:val="0"/>
      <w:divBdr>
        <w:top w:val="none" w:sz="0" w:space="0" w:color="auto"/>
        <w:left w:val="none" w:sz="0" w:space="0" w:color="auto"/>
        <w:bottom w:val="none" w:sz="0" w:space="0" w:color="auto"/>
        <w:right w:val="none" w:sz="0" w:space="0" w:color="auto"/>
      </w:divBdr>
    </w:div>
    <w:div w:id="1697343224">
      <w:bodyDiv w:val="1"/>
      <w:marLeft w:val="0"/>
      <w:marRight w:val="0"/>
      <w:marTop w:val="0"/>
      <w:marBottom w:val="0"/>
      <w:divBdr>
        <w:top w:val="none" w:sz="0" w:space="0" w:color="auto"/>
        <w:left w:val="none" w:sz="0" w:space="0" w:color="auto"/>
        <w:bottom w:val="none" w:sz="0" w:space="0" w:color="auto"/>
        <w:right w:val="none" w:sz="0" w:space="0" w:color="auto"/>
      </w:divBdr>
    </w:div>
    <w:div w:id="1697385518">
      <w:bodyDiv w:val="1"/>
      <w:marLeft w:val="0"/>
      <w:marRight w:val="0"/>
      <w:marTop w:val="0"/>
      <w:marBottom w:val="0"/>
      <w:divBdr>
        <w:top w:val="none" w:sz="0" w:space="0" w:color="auto"/>
        <w:left w:val="none" w:sz="0" w:space="0" w:color="auto"/>
        <w:bottom w:val="none" w:sz="0" w:space="0" w:color="auto"/>
        <w:right w:val="none" w:sz="0" w:space="0" w:color="auto"/>
      </w:divBdr>
    </w:div>
    <w:div w:id="1697389652">
      <w:bodyDiv w:val="1"/>
      <w:marLeft w:val="0"/>
      <w:marRight w:val="0"/>
      <w:marTop w:val="0"/>
      <w:marBottom w:val="0"/>
      <w:divBdr>
        <w:top w:val="none" w:sz="0" w:space="0" w:color="auto"/>
        <w:left w:val="none" w:sz="0" w:space="0" w:color="auto"/>
        <w:bottom w:val="none" w:sz="0" w:space="0" w:color="auto"/>
        <w:right w:val="none" w:sz="0" w:space="0" w:color="auto"/>
      </w:divBdr>
    </w:div>
    <w:div w:id="1697582191">
      <w:bodyDiv w:val="1"/>
      <w:marLeft w:val="0"/>
      <w:marRight w:val="0"/>
      <w:marTop w:val="0"/>
      <w:marBottom w:val="0"/>
      <w:divBdr>
        <w:top w:val="none" w:sz="0" w:space="0" w:color="auto"/>
        <w:left w:val="none" w:sz="0" w:space="0" w:color="auto"/>
        <w:bottom w:val="none" w:sz="0" w:space="0" w:color="auto"/>
        <w:right w:val="none" w:sz="0" w:space="0" w:color="auto"/>
      </w:divBdr>
    </w:div>
    <w:div w:id="1697611554">
      <w:bodyDiv w:val="1"/>
      <w:marLeft w:val="0"/>
      <w:marRight w:val="0"/>
      <w:marTop w:val="0"/>
      <w:marBottom w:val="0"/>
      <w:divBdr>
        <w:top w:val="none" w:sz="0" w:space="0" w:color="auto"/>
        <w:left w:val="none" w:sz="0" w:space="0" w:color="auto"/>
        <w:bottom w:val="none" w:sz="0" w:space="0" w:color="auto"/>
        <w:right w:val="none" w:sz="0" w:space="0" w:color="auto"/>
      </w:divBdr>
    </w:div>
    <w:div w:id="1697653878">
      <w:bodyDiv w:val="1"/>
      <w:marLeft w:val="0"/>
      <w:marRight w:val="0"/>
      <w:marTop w:val="0"/>
      <w:marBottom w:val="0"/>
      <w:divBdr>
        <w:top w:val="none" w:sz="0" w:space="0" w:color="auto"/>
        <w:left w:val="none" w:sz="0" w:space="0" w:color="auto"/>
        <w:bottom w:val="none" w:sz="0" w:space="0" w:color="auto"/>
        <w:right w:val="none" w:sz="0" w:space="0" w:color="auto"/>
      </w:divBdr>
    </w:div>
    <w:div w:id="1697658695">
      <w:bodyDiv w:val="1"/>
      <w:marLeft w:val="0"/>
      <w:marRight w:val="0"/>
      <w:marTop w:val="0"/>
      <w:marBottom w:val="0"/>
      <w:divBdr>
        <w:top w:val="none" w:sz="0" w:space="0" w:color="auto"/>
        <w:left w:val="none" w:sz="0" w:space="0" w:color="auto"/>
        <w:bottom w:val="none" w:sz="0" w:space="0" w:color="auto"/>
        <w:right w:val="none" w:sz="0" w:space="0" w:color="auto"/>
      </w:divBdr>
    </w:div>
    <w:div w:id="1697776052">
      <w:bodyDiv w:val="1"/>
      <w:marLeft w:val="0"/>
      <w:marRight w:val="0"/>
      <w:marTop w:val="0"/>
      <w:marBottom w:val="0"/>
      <w:divBdr>
        <w:top w:val="none" w:sz="0" w:space="0" w:color="auto"/>
        <w:left w:val="none" w:sz="0" w:space="0" w:color="auto"/>
        <w:bottom w:val="none" w:sz="0" w:space="0" w:color="auto"/>
        <w:right w:val="none" w:sz="0" w:space="0" w:color="auto"/>
      </w:divBdr>
    </w:div>
    <w:div w:id="1697849506">
      <w:bodyDiv w:val="1"/>
      <w:marLeft w:val="0"/>
      <w:marRight w:val="0"/>
      <w:marTop w:val="0"/>
      <w:marBottom w:val="0"/>
      <w:divBdr>
        <w:top w:val="none" w:sz="0" w:space="0" w:color="auto"/>
        <w:left w:val="none" w:sz="0" w:space="0" w:color="auto"/>
        <w:bottom w:val="none" w:sz="0" w:space="0" w:color="auto"/>
        <w:right w:val="none" w:sz="0" w:space="0" w:color="auto"/>
      </w:divBdr>
    </w:div>
    <w:div w:id="1697997944">
      <w:bodyDiv w:val="1"/>
      <w:marLeft w:val="0"/>
      <w:marRight w:val="0"/>
      <w:marTop w:val="0"/>
      <w:marBottom w:val="0"/>
      <w:divBdr>
        <w:top w:val="none" w:sz="0" w:space="0" w:color="auto"/>
        <w:left w:val="none" w:sz="0" w:space="0" w:color="auto"/>
        <w:bottom w:val="none" w:sz="0" w:space="0" w:color="auto"/>
        <w:right w:val="none" w:sz="0" w:space="0" w:color="auto"/>
      </w:divBdr>
    </w:div>
    <w:div w:id="1697999429">
      <w:bodyDiv w:val="1"/>
      <w:marLeft w:val="0"/>
      <w:marRight w:val="0"/>
      <w:marTop w:val="0"/>
      <w:marBottom w:val="0"/>
      <w:divBdr>
        <w:top w:val="none" w:sz="0" w:space="0" w:color="auto"/>
        <w:left w:val="none" w:sz="0" w:space="0" w:color="auto"/>
        <w:bottom w:val="none" w:sz="0" w:space="0" w:color="auto"/>
        <w:right w:val="none" w:sz="0" w:space="0" w:color="auto"/>
      </w:divBdr>
    </w:div>
    <w:div w:id="1698040157">
      <w:bodyDiv w:val="1"/>
      <w:marLeft w:val="0"/>
      <w:marRight w:val="0"/>
      <w:marTop w:val="0"/>
      <w:marBottom w:val="0"/>
      <w:divBdr>
        <w:top w:val="none" w:sz="0" w:space="0" w:color="auto"/>
        <w:left w:val="none" w:sz="0" w:space="0" w:color="auto"/>
        <w:bottom w:val="none" w:sz="0" w:space="0" w:color="auto"/>
        <w:right w:val="none" w:sz="0" w:space="0" w:color="auto"/>
      </w:divBdr>
    </w:div>
    <w:div w:id="1698045306">
      <w:bodyDiv w:val="1"/>
      <w:marLeft w:val="0"/>
      <w:marRight w:val="0"/>
      <w:marTop w:val="0"/>
      <w:marBottom w:val="0"/>
      <w:divBdr>
        <w:top w:val="none" w:sz="0" w:space="0" w:color="auto"/>
        <w:left w:val="none" w:sz="0" w:space="0" w:color="auto"/>
        <w:bottom w:val="none" w:sz="0" w:space="0" w:color="auto"/>
        <w:right w:val="none" w:sz="0" w:space="0" w:color="auto"/>
      </w:divBdr>
    </w:div>
    <w:div w:id="1698120420">
      <w:bodyDiv w:val="1"/>
      <w:marLeft w:val="0"/>
      <w:marRight w:val="0"/>
      <w:marTop w:val="0"/>
      <w:marBottom w:val="0"/>
      <w:divBdr>
        <w:top w:val="none" w:sz="0" w:space="0" w:color="auto"/>
        <w:left w:val="none" w:sz="0" w:space="0" w:color="auto"/>
        <w:bottom w:val="none" w:sz="0" w:space="0" w:color="auto"/>
        <w:right w:val="none" w:sz="0" w:space="0" w:color="auto"/>
      </w:divBdr>
    </w:div>
    <w:div w:id="1698191558">
      <w:bodyDiv w:val="1"/>
      <w:marLeft w:val="0"/>
      <w:marRight w:val="0"/>
      <w:marTop w:val="0"/>
      <w:marBottom w:val="0"/>
      <w:divBdr>
        <w:top w:val="none" w:sz="0" w:space="0" w:color="auto"/>
        <w:left w:val="none" w:sz="0" w:space="0" w:color="auto"/>
        <w:bottom w:val="none" w:sz="0" w:space="0" w:color="auto"/>
        <w:right w:val="none" w:sz="0" w:space="0" w:color="auto"/>
      </w:divBdr>
    </w:div>
    <w:div w:id="1698307875">
      <w:bodyDiv w:val="1"/>
      <w:marLeft w:val="0"/>
      <w:marRight w:val="0"/>
      <w:marTop w:val="0"/>
      <w:marBottom w:val="0"/>
      <w:divBdr>
        <w:top w:val="none" w:sz="0" w:space="0" w:color="auto"/>
        <w:left w:val="none" w:sz="0" w:space="0" w:color="auto"/>
        <w:bottom w:val="none" w:sz="0" w:space="0" w:color="auto"/>
        <w:right w:val="none" w:sz="0" w:space="0" w:color="auto"/>
      </w:divBdr>
    </w:div>
    <w:div w:id="1698311739">
      <w:bodyDiv w:val="1"/>
      <w:marLeft w:val="0"/>
      <w:marRight w:val="0"/>
      <w:marTop w:val="0"/>
      <w:marBottom w:val="0"/>
      <w:divBdr>
        <w:top w:val="none" w:sz="0" w:space="0" w:color="auto"/>
        <w:left w:val="none" w:sz="0" w:space="0" w:color="auto"/>
        <w:bottom w:val="none" w:sz="0" w:space="0" w:color="auto"/>
        <w:right w:val="none" w:sz="0" w:space="0" w:color="auto"/>
      </w:divBdr>
    </w:div>
    <w:div w:id="1698585282">
      <w:bodyDiv w:val="1"/>
      <w:marLeft w:val="0"/>
      <w:marRight w:val="0"/>
      <w:marTop w:val="0"/>
      <w:marBottom w:val="0"/>
      <w:divBdr>
        <w:top w:val="none" w:sz="0" w:space="0" w:color="auto"/>
        <w:left w:val="none" w:sz="0" w:space="0" w:color="auto"/>
        <w:bottom w:val="none" w:sz="0" w:space="0" w:color="auto"/>
        <w:right w:val="none" w:sz="0" w:space="0" w:color="auto"/>
      </w:divBdr>
    </w:div>
    <w:div w:id="1698653760">
      <w:bodyDiv w:val="1"/>
      <w:marLeft w:val="0"/>
      <w:marRight w:val="0"/>
      <w:marTop w:val="0"/>
      <w:marBottom w:val="0"/>
      <w:divBdr>
        <w:top w:val="none" w:sz="0" w:space="0" w:color="auto"/>
        <w:left w:val="none" w:sz="0" w:space="0" w:color="auto"/>
        <w:bottom w:val="none" w:sz="0" w:space="0" w:color="auto"/>
        <w:right w:val="none" w:sz="0" w:space="0" w:color="auto"/>
      </w:divBdr>
    </w:div>
    <w:div w:id="1698889742">
      <w:bodyDiv w:val="1"/>
      <w:marLeft w:val="0"/>
      <w:marRight w:val="0"/>
      <w:marTop w:val="0"/>
      <w:marBottom w:val="0"/>
      <w:divBdr>
        <w:top w:val="none" w:sz="0" w:space="0" w:color="auto"/>
        <w:left w:val="none" w:sz="0" w:space="0" w:color="auto"/>
        <w:bottom w:val="none" w:sz="0" w:space="0" w:color="auto"/>
        <w:right w:val="none" w:sz="0" w:space="0" w:color="auto"/>
      </w:divBdr>
    </w:div>
    <w:div w:id="1698964682">
      <w:bodyDiv w:val="1"/>
      <w:marLeft w:val="0"/>
      <w:marRight w:val="0"/>
      <w:marTop w:val="0"/>
      <w:marBottom w:val="0"/>
      <w:divBdr>
        <w:top w:val="none" w:sz="0" w:space="0" w:color="auto"/>
        <w:left w:val="none" w:sz="0" w:space="0" w:color="auto"/>
        <w:bottom w:val="none" w:sz="0" w:space="0" w:color="auto"/>
        <w:right w:val="none" w:sz="0" w:space="0" w:color="auto"/>
      </w:divBdr>
    </w:div>
    <w:div w:id="1699042858">
      <w:bodyDiv w:val="1"/>
      <w:marLeft w:val="0"/>
      <w:marRight w:val="0"/>
      <w:marTop w:val="0"/>
      <w:marBottom w:val="0"/>
      <w:divBdr>
        <w:top w:val="none" w:sz="0" w:space="0" w:color="auto"/>
        <w:left w:val="none" w:sz="0" w:space="0" w:color="auto"/>
        <w:bottom w:val="none" w:sz="0" w:space="0" w:color="auto"/>
        <w:right w:val="none" w:sz="0" w:space="0" w:color="auto"/>
      </w:divBdr>
    </w:div>
    <w:div w:id="1699087428">
      <w:bodyDiv w:val="1"/>
      <w:marLeft w:val="0"/>
      <w:marRight w:val="0"/>
      <w:marTop w:val="0"/>
      <w:marBottom w:val="0"/>
      <w:divBdr>
        <w:top w:val="none" w:sz="0" w:space="0" w:color="auto"/>
        <w:left w:val="none" w:sz="0" w:space="0" w:color="auto"/>
        <w:bottom w:val="none" w:sz="0" w:space="0" w:color="auto"/>
        <w:right w:val="none" w:sz="0" w:space="0" w:color="auto"/>
      </w:divBdr>
    </w:div>
    <w:div w:id="1699161299">
      <w:bodyDiv w:val="1"/>
      <w:marLeft w:val="0"/>
      <w:marRight w:val="0"/>
      <w:marTop w:val="0"/>
      <w:marBottom w:val="0"/>
      <w:divBdr>
        <w:top w:val="none" w:sz="0" w:space="0" w:color="auto"/>
        <w:left w:val="none" w:sz="0" w:space="0" w:color="auto"/>
        <w:bottom w:val="none" w:sz="0" w:space="0" w:color="auto"/>
        <w:right w:val="none" w:sz="0" w:space="0" w:color="auto"/>
      </w:divBdr>
    </w:div>
    <w:div w:id="1699505874">
      <w:bodyDiv w:val="1"/>
      <w:marLeft w:val="0"/>
      <w:marRight w:val="0"/>
      <w:marTop w:val="0"/>
      <w:marBottom w:val="0"/>
      <w:divBdr>
        <w:top w:val="none" w:sz="0" w:space="0" w:color="auto"/>
        <w:left w:val="none" w:sz="0" w:space="0" w:color="auto"/>
        <w:bottom w:val="none" w:sz="0" w:space="0" w:color="auto"/>
        <w:right w:val="none" w:sz="0" w:space="0" w:color="auto"/>
      </w:divBdr>
    </w:div>
    <w:div w:id="1699507909">
      <w:bodyDiv w:val="1"/>
      <w:marLeft w:val="0"/>
      <w:marRight w:val="0"/>
      <w:marTop w:val="0"/>
      <w:marBottom w:val="0"/>
      <w:divBdr>
        <w:top w:val="none" w:sz="0" w:space="0" w:color="auto"/>
        <w:left w:val="none" w:sz="0" w:space="0" w:color="auto"/>
        <w:bottom w:val="none" w:sz="0" w:space="0" w:color="auto"/>
        <w:right w:val="none" w:sz="0" w:space="0" w:color="auto"/>
      </w:divBdr>
    </w:div>
    <w:div w:id="1699546532">
      <w:bodyDiv w:val="1"/>
      <w:marLeft w:val="0"/>
      <w:marRight w:val="0"/>
      <w:marTop w:val="0"/>
      <w:marBottom w:val="0"/>
      <w:divBdr>
        <w:top w:val="none" w:sz="0" w:space="0" w:color="auto"/>
        <w:left w:val="none" w:sz="0" w:space="0" w:color="auto"/>
        <w:bottom w:val="none" w:sz="0" w:space="0" w:color="auto"/>
        <w:right w:val="none" w:sz="0" w:space="0" w:color="auto"/>
      </w:divBdr>
    </w:div>
    <w:div w:id="1699575948">
      <w:bodyDiv w:val="1"/>
      <w:marLeft w:val="0"/>
      <w:marRight w:val="0"/>
      <w:marTop w:val="0"/>
      <w:marBottom w:val="0"/>
      <w:divBdr>
        <w:top w:val="none" w:sz="0" w:space="0" w:color="auto"/>
        <w:left w:val="none" w:sz="0" w:space="0" w:color="auto"/>
        <w:bottom w:val="none" w:sz="0" w:space="0" w:color="auto"/>
        <w:right w:val="none" w:sz="0" w:space="0" w:color="auto"/>
      </w:divBdr>
    </w:div>
    <w:div w:id="1699617907">
      <w:bodyDiv w:val="1"/>
      <w:marLeft w:val="0"/>
      <w:marRight w:val="0"/>
      <w:marTop w:val="0"/>
      <w:marBottom w:val="0"/>
      <w:divBdr>
        <w:top w:val="none" w:sz="0" w:space="0" w:color="auto"/>
        <w:left w:val="none" w:sz="0" w:space="0" w:color="auto"/>
        <w:bottom w:val="none" w:sz="0" w:space="0" w:color="auto"/>
        <w:right w:val="none" w:sz="0" w:space="0" w:color="auto"/>
      </w:divBdr>
    </w:div>
    <w:div w:id="1699620823">
      <w:bodyDiv w:val="1"/>
      <w:marLeft w:val="0"/>
      <w:marRight w:val="0"/>
      <w:marTop w:val="0"/>
      <w:marBottom w:val="0"/>
      <w:divBdr>
        <w:top w:val="none" w:sz="0" w:space="0" w:color="auto"/>
        <w:left w:val="none" w:sz="0" w:space="0" w:color="auto"/>
        <w:bottom w:val="none" w:sz="0" w:space="0" w:color="auto"/>
        <w:right w:val="none" w:sz="0" w:space="0" w:color="auto"/>
      </w:divBdr>
    </w:div>
    <w:div w:id="1699623877">
      <w:bodyDiv w:val="1"/>
      <w:marLeft w:val="0"/>
      <w:marRight w:val="0"/>
      <w:marTop w:val="0"/>
      <w:marBottom w:val="0"/>
      <w:divBdr>
        <w:top w:val="none" w:sz="0" w:space="0" w:color="auto"/>
        <w:left w:val="none" w:sz="0" w:space="0" w:color="auto"/>
        <w:bottom w:val="none" w:sz="0" w:space="0" w:color="auto"/>
        <w:right w:val="none" w:sz="0" w:space="0" w:color="auto"/>
      </w:divBdr>
    </w:div>
    <w:div w:id="1699816193">
      <w:bodyDiv w:val="1"/>
      <w:marLeft w:val="0"/>
      <w:marRight w:val="0"/>
      <w:marTop w:val="0"/>
      <w:marBottom w:val="0"/>
      <w:divBdr>
        <w:top w:val="none" w:sz="0" w:space="0" w:color="auto"/>
        <w:left w:val="none" w:sz="0" w:space="0" w:color="auto"/>
        <w:bottom w:val="none" w:sz="0" w:space="0" w:color="auto"/>
        <w:right w:val="none" w:sz="0" w:space="0" w:color="auto"/>
      </w:divBdr>
    </w:div>
    <w:div w:id="1699817433">
      <w:bodyDiv w:val="1"/>
      <w:marLeft w:val="0"/>
      <w:marRight w:val="0"/>
      <w:marTop w:val="0"/>
      <w:marBottom w:val="0"/>
      <w:divBdr>
        <w:top w:val="none" w:sz="0" w:space="0" w:color="auto"/>
        <w:left w:val="none" w:sz="0" w:space="0" w:color="auto"/>
        <w:bottom w:val="none" w:sz="0" w:space="0" w:color="auto"/>
        <w:right w:val="none" w:sz="0" w:space="0" w:color="auto"/>
      </w:divBdr>
    </w:div>
    <w:div w:id="1699891178">
      <w:bodyDiv w:val="1"/>
      <w:marLeft w:val="0"/>
      <w:marRight w:val="0"/>
      <w:marTop w:val="0"/>
      <w:marBottom w:val="0"/>
      <w:divBdr>
        <w:top w:val="none" w:sz="0" w:space="0" w:color="auto"/>
        <w:left w:val="none" w:sz="0" w:space="0" w:color="auto"/>
        <w:bottom w:val="none" w:sz="0" w:space="0" w:color="auto"/>
        <w:right w:val="none" w:sz="0" w:space="0" w:color="auto"/>
      </w:divBdr>
    </w:div>
    <w:div w:id="1699963325">
      <w:bodyDiv w:val="1"/>
      <w:marLeft w:val="0"/>
      <w:marRight w:val="0"/>
      <w:marTop w:val="0"/>
      <w:marBottom w:val="0"/>
      <w:divBdr>
        <w:top w:val="none" w:sz="0" w:space="0" w:color="auto"/>
        <w:left w:val="none" w:sz="0" w:space="0" w:color="auto"/>
        <w:bottom w:val="none" w:sz="0" w:space="0" w:color="auto"/>
        <w:right w:val="none" w:sz="0" w:space="0" w:color="auto"/>
      </w:divBdr>
    </w:div>
    <w:div w:id="1700007452">
      <w:bodyDiv w:val="1"/>
      <w:marLeft w:val="0"/>
      <w:marRight w:val="0"/>
      <w:marTop w:val="0"/>
      <w:marBottom w:val="0"/>
      <w:divBdr>
        <w:top w:val="none" w:sz="0" w:space="0" w:color="auto"/>
        <w:left w:val="none" w:sz="0" w:space="0" w:color="auto"/>
        <w:bottom w:val="none" w:sz="0" w:space="0" w:color="auto"/>
        <w:right w:val="none" w:sz="0" w:space="0" w:color="auto"/>
      </w:divBdr>
    </w:div>
    <w:div w:id="1700079669">
      <w:bodyDiv w:val="1"/>
      <w:marLeft w:val="0"/>
      <w:marRight w:val="0"/>
      <w:marTop w:val="0"/>
      <w:marBottom w:val="0"/>
      <w:divBdr>
        <w:top w:val="none" w:sz="0" w:space="0" w:color="auto"/>
        <w:left w:val="none" w:sz="0" w:space="0" w:color="auto"/>
        <w:bottom w:val="none" w:sz="0" w:space="0" w:color="auto"/>
        <w:right w:val="none" w:sz="0" w:space="0" w:color="auto"/>
      </w:divBdr>
    </w:div>
    <w:div w:id="1700086964">
      <w:bodyDiv w:val="1"/>
      <w:marLeft w:val="0"/>
      <w:marRight w:val="0"/>
      <w:marTop w:val="0"/>
      <w:marBottom w:val="0"/>
      <w:divBdr>
        <w:top w:val="none" w:sz="0" w:space="0" w:color="auto"/>
        <w:left w:val="none" w:sz="0" w:space="0" w:color="auto"/>
        <w:bottom w:val="none" w:sz="0" w:space="0" w:color="auto"/>
        <w:right w:val="none" w:sz="0" w:space="0" w:color="auto"/>
      </w:divBdr>
    </w:div>
    <w:div w:id="1700203217">
      <w:bodyDiv w:val="1"/>
      <w:marLeft w:val="0"/>
      <w:marRight w:val="0"/>
      <w:marTop w:val="0"/>
      <w:marBottom w:val="0"/>
      <w:divBdr>
        <w:top w:val="none" w:sz="0" w:space="0" w:color="auto"/>
        <w:left w:val="none" w:sz="0" w:space="0" w:color="auto"/>
        <w:bottom w:val="none" w:sz="0" w:space="0" w:color="auto"/>
        <w:right w:val="none" w:sz="0" w:space="0" w:color="auto"/>
      </w:divBdr>
    </w:div>
    <w:div w:id="1700231457">
      <w:bodyDiv w:val="1"/>
      <w:marLeft w:val="0"/>
      <w:marRight w:val="0"/>
      <w:marTop w:val="0"/>
      <w:marBottom w:val="0"/>
      <w:divBdr>
        <w:top w:val="none" w:sz="0" w:space="0" w:color="auto"/>
        <w:left w:val="none" w:sz="0" w:space="0" w:color="auto"/>
        <w:bottom w:val="none" w:sz="0" w:space="0" w:color="auto"/>
        <w:right w:val="none" w:sz="0" w:space="0" w:color="auto"/>
      </w:divBdr>
    </w:div>
    <w:div w:id="1700279749">
      <w:bodyDiv w:val="1"/>
      <w:marLeft w:val="0"/>
      <w:marRight w:val="0"/>
      <w:marTop w:val="0"/>
      <w:marBottom w:val="0"/>
      <w:divBdr>
        <w:top w:val="none" w:sz="0" w:space="0" w:color="auto"/>
        <w:left w:val="none" w:sz="0" w:space="0" w:color="auto"/>
        <w:bottom w:val="none" w:sz="0" w:space="0" w:color="auto"/>
        <w:right w:val="none" w:sz="0" w:space="0" w:color="auto"/>
      </w:divBdr>
    </w:div>
    <w:div w:id="1700350982">
      <w:bodyDiv w:val="1"/>
      <w:marLeft w:val="0"/>
      <w:marRight w:val="0"/>
      <w:marTop w:val="0"/>
      <w:marBottom w:val="0"/>
      <w:divBdr>
        <w:top w:val="none" w:sz="0" w:space="0" w:color="auto"/>
        <w:left w:val="none" w:sz="0" w:space="0" w:color="auto"/>
        <w:bottom w:val="none" w:sz="0" w:space="0" w:color="auto"/>
        <w:right w:val="none" w:sz="0" w:space="0" w:color="auto"/>
      </w:divBdr>
    </w:div>
    <w:div w:id="1700426302">
      <w:bodyDiv w:val="1"/>
      <w:marLeft w:val="0"/>
      <w:marRight w:val="0"/>
      <w:marTop w:val="0"/>
      <w:marBottom w:val="0"/>
      <w:divBdr>
        <w:top w:val="none" w:sz="0" w:space="0" w:color="auto"/>
        <w:left w:val="none" w:sz="0" w:space="0" w:color="auto"/>
        <w:bottom w:val="none" w:sz="0" w:space="0" w:color="auto"/>
        <w:right w:val="none" w:sz="0" w:space="0" w:color="auto"/>
      </w:divBdr>
    </w:div>
    <w:div w:id="1700620035">
      <w:bodyDiv w:val="1"/>
      <w:marLeft w:val="0"/>
      <w:marRight w:val="0"/>
      <w:marTop w:val="0"/>
      <w:marBottom w:val="0"/>
      <w:divBdr>
        <w:top w:val="none" w:sz="0" w:space="0" w:color="auto"/>
        <w:left w:val="none" w:sz="0" w:space="0" w:color="auto"/>
        <w:bottom w:val="none" w:sz="0" w:space="0" w:color="auto"/>
        <w:right w:val="none" w:sz="0" w:space="0" w:color="auto"/>
      </w:divBdr>
    </w:div>
    <w:div w:id="1700660441">
      <w:bodyDiv w:val="1"/>
      <w:marLeft w:val="0"/>
      <w:marRight w:val="0"/>
      <w:marTop w:val="0"/>
      <w:marBottom w:val="0"/>
      <w:divBdr>
        <w:top w:val="none" w:sz="0" w:space="0" w:color="auto"/>
        <w:left w:val="none" w:sz="0" w:space="0" w:color="auto"/>
        <w:bottom w:val="none" w:sz="0" w:space="0" w:color="auto"/>
        <w:right w:val="none" w:sz="0" w:space="0" w:color="auto"/>
      </w:divBdr>
    </w:div>
    <w:div w:id="1700663185">
      <w:bodyDiv w:val="1"/>
      <w:marLeft w:val="0"/>
      <w:marRight w:val="0"/>
      <w:marTop w:val="0"/>
      <w:marBottom w:val="0"/>
      <w:divBdr>
        <w:top w:val="none" w:sz="0" w:space="0" w:color="auto"/>
        <w:left w:val="none" w:sz="0" w:space="0" w:color="auto"/>
        <w:bottom w:val="none" w:sz="0" w:space="0" w:color="auto"/>
        <w:right w:val="none" w:sz="0" w:space="0" w:color="auto"/>
      </w:divBdr>
    </w:div>
    <w:div w:id="1700665219">
      <w:bodyDiv w:val="1"/>
      <w:marLeft w:val="0"/>
      <w:marRight w:val="0"/>
      <w:marTop w:val="0"/>
      <w:marBottom w:val="0"/>
      <w:divBdr>
        <w:top w:val="none" w:sz="0" w:space="0" w:color="auto"/>
        <w:left w:val="none" w:sz="0" w:space="0" w:color="auto"/>
        <w:bottom w:val="none" w:sz="0" w:space="0" w:color="auto"/>
        <w:right w:val="none" w:sz="0" w:space="0" w:color="auto"/>
      </w:divBdr>
    </w:div>
    <w:div w:id="1700742526">
      <w:bodyDiv w:val="1"/>
      <w:marLeft w:val="0"/>
      <w:marRight w:val="0"/>
      <w:marTop w:val="0"/>
      <w:marBottom w:val="0"/>
      <w:divBdr>
        <w:top w:val="none" w:sz="0" w:space="0" w:color="auto"/>
        <w:left w:val="none" w:sz="0" w:space="0" w:color="auto"/>
        <w:bottom w:val="none" w:sz="0" w:space="0" w:color="auto"/>
        <w:right w:val="none" w:sz="0" w:space="0" w:color="auto"/>
      </w:divBdr>
    </w:div>
    <w:div w:id="1700818779">
      <w:bodyDiv w:val="1"/>
      <w:marLeft w:val="0"/>
      <w:marRight w:val="0"/>
      <w:marTop w:val="0"/>
      <w:marBottom w:val="0"/>
      <w:divBdr>
        <w:top w:val="none" w:sz="0" w:space="0" w:color="auto"/>
        <w:left w:val="none" w:sz="0" w:space="0" w:color="auto"/>
        <w:bottom w:val="none" w:sz="0" w:space="0" w:color="auto"/>
        <w:right w:val="none" w:sz="0" w:space="0" w:color="auto"/>
      </w:divBdr>
    </w:div>
    <w:div w:id="1700934904">
      <w:bodyDiv w:val="1"/>
      <w:marLeft w:val="0"/>
      <w:marRight w:val="0"/>
      <w:marTop w:val="0"/>
      <w:marBottom w:val="0"/>
      <w:divBdr>
        <w:top w:val="none" w:sz="0" w:space="0" w:color="auto"/>
        <w:left w:val="none" w:sz="0" w:space="0" w:color="auto"/>
        <w:bottom w:val="none" w:sz="0" w:space="0" w:color="auto"/>
        <w:right w:val="none" w:sz="0" w:space="0" w:color="auto"/>
      </w:divBdr>
    </w:div>
    <w:div w:id="1700936418">
      <w:bodyDiv w:val="1"/>
      <w:marLeft w:val="0"/>
      <w:marRight w:val="0"/>
      <w:marTop w:val="0"/>
      <w:marBottom w:val="0"/>
      <w:divBdr>
        <w:top w:val="none" w:sz="0" w:space="0" w:color="auto"/>
        <w:left w:val="none" w:sz="0" w:space="0" w:color="auto"/>
        <w:bottom w:val="none" w:sz="0" w:space="0" w:color="auto"/>
        <w:right w:val="none" w:sz="0" w:space="0" w:color="auto"/>
      </w:divBdr>
    </w:div>
    <w:div w:id="1700937493">
      <w:bodyDiv w:val="1"/>
      <w:marLeft w:val="0"/>
      <w:marRight w:val="0"/>
      <w:marTop w:val="0"/>
      <w:marBottom w:val="0"/>
      <w:divBdr>
        <w:top w:val="none" w:sz="0" w:space="0" w:color="auto"/>
        <w:left w:val="none" w:sz="0" w:space="0" w:color="auto"/>
        <w:bottom w:val="none" w:sz="0" w:space="0" w:color="auto"/>
        <w:right w:val="none" w:sz="0" w:space="0" w:color="auto"/>
      </w:divBdr>
    </w:div>
    <w:div w:id="1701010997">
      <w:bodyDiv w:val="1"/>
      <w:marLeft w:val="0"/>
      <w:marRight w:val="0"/>
      <w:marTop w:val="0"/>
      <w:marBottom w:val="0"/>
      <w:divBdr>
        <w:top w:val="none" w:sz="0" w:space="0" w:color="auto"/>
        <w:left w:val="none" w:sz="0" w:space="0" w:color="auto"/>
        <w:bottom w:val="none" w:sz="0" w:space="0" w:color="auto"/>
        <w:right w:val="none" w:sz="0" w:space="0" w:color="auto"/>
      </w:divBdr>
    </w:div>
    <w:div w:id="1701124241">
      <w:bodyDiv w:val="1"/>
      <w:marLeft w:val="0"/>
      <w:marRight w:val="0"/>
      <w:marTop w:val="0"/>
      <w:marBottom w:val="0"/>
      <w:divBdr>
        <w:top w:val="none" w:sz="0" w:space="0" w:color="auto"/>
        <w:left w:val="none" w:sz="0" w:space="0" w:color="auto"/>
        <w:bottom w:val="none" w:sz="0" w:space="0" w:color="auto"/>
        <w:right w:val="none" w:sz="0" w:space="0" w:color="auto"/>
      </w:divBdr>
    </w:div>
    <w:div w:id="1701280587">
      <w:bodyDiv w:val="1"/>
      <w:marLeft w:val="0"/>
      <w:marRight w:val="0"/>
      <w:marTop w:val="0"/>
      <w:marBottom w:val="0"/>
      <w:divBdr>
        <w:top w:val="none" w:sz="0" w:space="0" w:color="auto"/>
        <w:left w:val="none" w:sz="0" w:space="0" w:color="auto"/>
        <w:bottom w:val="none" w:sz="0" w:space="0" w:color="auto"/>
        <w:right w:val="none" w:sz="0" w:space="0" w:color="auto"/>
      </w:divBdr>
    </w:div>
    <w:div w:id="1701391545">
      <w:bodyDiv w:val="1"/>
      <w:marLeft w:val="0"/>
      <w:marRight w:val="0"/>
      <w:marTop w:val="0"/>
      <w:marBottom w:val="0"/>
      <w:divBdr>
        <w:top w:val="none" w:sz="0" w:space="0" w:color="auto"/>
        <w:left w:val="none" w:sz="0" w:space="0" w:color="auto"/>
        <w:bottom w:val="none" w:sz="0" w:space="0" w:color="auto"/>
        <w:right w:val="none" w:sz="0" w:space="0" w:color="auto"/>
      </w:divBdr>
    </w:div>
    <w:div w:id="1701392769">
      <w:bodyDiv w:val="1"/>
      <w:marLeft w:val="0"/>
      <w:marRight w:val="0"/>
      <w:marTop w:val="0"/>
      <w:marBottom w:val="0"/>
      <w:divBdr>
        <w:top w:val="none" w:sz="0" w:space="0" w:color="auto"/>
        <w:left w:val="none" w:sz="0" w:space="0" w:color="auto"/>
        <w:bottom w:val="none" w:sz="0" w:space="0" w:color="auto"/>
        <w:right w:val="none" w:sz="0" w:space="0" w:color="auto"/>
      </w:divBdr>
    </w:div>
    <w:div w:id="1701466860">
      <w:bodyDiv w:val="1"/>
      <w:marLeft w:val="0"/>
      <w:marRight w:val="0"/>
      <w:marTop w:val="0"/>
      <w:marBottom w:val="0"/>
      <w:divBdr>
        <w:top w:val="none" w:sz="0" w:space="0" w:color="auto"/>
        <w:left w:val="none" w:sz="0" w:space="0" w:color="auto"/>
        <w:bottom w:val="none" w:sz="0" w:space="0" w:color="auto"/>
        <w:right w:val="none" w:sz="0" w:space="0" w:color="auto"/>
      </w:divBdr>
    </w:div>
    <w:div w:id="1701472978">
      <w:bodyDiv w:val="1"/>
      <w:marLeft w:val="0"/>
      <w:marRight w:val="0"/>
      <w:marTop w:val="0"/>
      <w:marBottom w:val="0"/>
      <w:divBdr>
        <w:top w:val="none" w:sz="0" w:space="0" w:color="auto"/>
        <w:left w:val="none" w:sz="0" w:space="0" w:color="auto"/>
        <w:bottom w:val="none" w:sz="0" w:space="0" w:color="auto"/>
        <w:right w:val="none" w:sz="0" w:space="0" w:color="auto"/>
      </w:divBdr>
    </w:div>
    <w:div w:id="1701474142">
      <w:bodyDiv w:val="1"/>
      <w:marLeft w:val="0"/>
      <w:marRight w:val="0"/>
      <w:marTop w:val="0"/>
      <w:marBottom w:val="0"/>
      <w:divBdr>
        <w:top w:val="none" w:sz="0" w:space="0" w:color="auto"/>
        <w:left w:val="none" w:sz="0" w:space="0" w:color="auto"/>
        <w:bottom w:val="none" w:sz="0" w:space="0" w:color="auto"/>
        <w:right w:val="none" w:sz="0" w:space="0" w:color="auto"/>
      </w:divBdr>
    </w:div>
    <w:div w:id="1701584912">
      <w:bodyDiv w:val="1"/>
      <w:marLeft w:val="0"/>
      <w:marRight w:val="0"/>
      <w:marTop w:val="0"/>
      <w:marBottom w:val="0"/>
      <w:divBdr>
        <w:top w:val="none" w:sz="0" w:space="0" w:color="auto"/>
        <w:left w:val="none" w:sz="0" w:space="0" w:color="auto"/>
        <w:bottom w:val="none" w:sz="0" w:space="0" w:color="auto"/>
        <w:right w:val="none" w:sz="0" w:space="0" w:color="auto"/>
      </w:divBdr>
    </w:div>
    <w:div w:id="1701708033">
      <w:bodyDiv w:val="1"/>
      <w:marLeft w:val="0"/>
      <w:marRight w:val="0"/>
      <w:marTop w:val="0"/>
      <w:marBottom w:val="0"/>
      <w:divBdr>
        <w:top w:val="none" w:sz="0" w:space="0" w:color="auto"/>
        <w:left w:val="none" w:sz="0" w:space="0" w:color="auto"/>
        <w:bottom w:val="none" w:sz="0" w:space="0" w:color="auto"/>
        <w:right w:val="none" w:sz="0" w:space="0" w:color="auto"/>
      </w:divBdr>
    </w:div>
    <w:div w:id="1701975978">
      <w:bodyDiv w:val="1"/>
      <w:marLeft w:val="0"/>
      <w:marRight w:val="0"/>
      <w:marTop w:val="0"/>
      <w:marBottom w:val="0"/>
      <w:divBdr>
        <w:top w:val="none" w:sz="0" w:space="0" w:color="auto"/>
        <w:left w:val="none" w:sz="0" w:space="0" w:color="auto"/>
        <w:bottom w:val="none" w:sz="0" w:space="0" w:color="auto"/>
        <w:right w:val="none" w:sz="0" w:space="0" w:color="auto"/>
      </w:divBdr>
    </w:div>
    <w:div w:id="1702046082">
      <w:bodyDiv w:val="1"/>
      <w:marLeft w:val="0"/>
      <w:marRight w:val="0"/>
      <w:marTop w:val="0"/>
      <w:marBottom w:val="0"/>
      <w:divBdr>
        <w:top w:val="none" w:sz="0" w:space="0" w:color="auto"/>
        <w:left w:val="none" w:sz="0" w:space="0" w:color="auto"/>
        <w:bottom w:val="none" w:sz="0" w:space="0" w:color="auto"/>
        <w:right w:val="none" w:sz="0" w:space="0" w:color="auto"/>
      </w:divBdr>
    </w:div>
    <w:div w:id="1702125465">
      <w:bodyDiv w:val="1"/>
      <w:marLeft w:val="0"/>
      <w:marRight w:val="0"/>
      <w:marTop w:val="0"/>
      <w:marBottom w:val="0"/>
      <w:divBdr>
        <w:top w:val="none" w:sz="0" w:space="0" w:color="auto"/>
        <w:left w:val="none" w:sz="0" w:space="0" w:color="auto"/>
        <w:bottom w:val="none" w:sz="0" w:space="0" w:color="auto"/>
        <w:right w:val="none" w:sz="0" w:space="0" w:color="auto"/>
      </w:divBdr>
    </w:div>
    <w:div w:id="1702169294">
      <w:bodyDiv w:val="1"/>
      <w:marLeft w:val="0"/>
      <w:marRight w:val="0"/>
      <w:marTop w:val="0"/>
      <w:marBottom w:val="0"/>
      <w:divBdr>
        <w:top w:val="none" w:sz="0" w:space="0" w:color="auto"/>
        <w:left w:val="none" w:sz="0" w:space="0" w:color="auto"/>
        <w:bottom w:val="none" w:sz="0" w:space="0" w:color="auto"/>
        <w:right w:val="none" w:sz="0" w:space="0" w:color="auto"/>
      </w:divBdr>
    </w:div>
    <w:div w:id="1702239217">
      <w:bodyDiv w:val="1"/>
      <w:marLeft w:val="0"/>
      <w:marRight w:val="0"/>
      <w:marTop w:val="0"/>
      <w:marBottom w:val="0"/>
      <w:divBdr>
        <w:top w:val="none" w:sz="0" w:space="0" w:color="auto"/>
        <w:left w:val="none" w:sz="0" w:space="0" w:color="auto"/>
        <w:bottom w:val="none" w:sz="0" w:space="0" w:color="auto"/>
        <w:right w:val="none" w:sz="0" w:space="0" w:color="auto"/>
      </w:divBdr>
    </w:div>
    <w:div w:id="1702318129">
      <w:bodyDiv w:val="1"/>
      <w:marLeft w:val="0"/>
      <w:marRight w:val="0"/>
      <w:marTop w:val="0"/>
      <w:marBottom w:val="0"/>
      <w:divBdr>
        <w:top w:val="none" w:sz="0" w:space="0" w:color="auto"/>
        <w:left w:val="none" w:sz="0" w:space="0" w:color="auto"/>
        <w:bottom w:val="none" w:sz="0" w:space="0" w:color="auto"/>
        <w:right w:val="none" w:sz="0" w:space="0" w:color="auto"/>
      </w:divBdr>
    </w:div>
    <w:div w:id="1702323564">
      <w:bodyDiv w:val="1"/>
      <w:marLeft w:val="0"/>
      <w:marRight w:val="0"/>
      <w:marTop w:val="0"/>
      <w:marBottom w:val="0"/>
      <w:divBdr>
        <w:top w:val="none" w:sz="0" w:space="0" w:color="auto"/>
        <w:left w:val="none" w:sz="0" w:space="0" w:color="auto"/>
        <w:bottom w:val="none" w:sz="0" w:space="0" w:color="auto"/>
        <w:right w:val="none" w:sz="0" w:space="0" w:color="auto"/>
      </w:divBdr>
    </w:div>
    <w:div w:id="1702389694">
      <w:bodyDiv w:val="1"/>
      <w:marLeft w:val="0"/>
      <w:marRight w:val="0"/>
      <w:marTop w:val="0"/>
      <w:marBottom w:val="0"/>
      <w:divBdr>
        <w:top w:val="none" w:sz="0" w:space="0" w:color="auto"/>
        <w:left w:val="none" w:sz="0" w:space="0" w:color="auto"/>
        <w:bottom w:val="none" w:sz="0" w:space="0" w:color="auto"/>
        <w:right w:val="none" w:sz="0" w:space="0" w:color="auto"/>
      </w:divBdr>
    </w:div>
    <w:div w:id="1702394156">
      <w:bodyDiv w:val="1"/>
      <w:marLeft w:val="0"/>
      <w:marRight w:val="0"/>
      <w:marTop w:val="0"/>
      <w:marBottom w:val="0"/>
      <w:divBdr>
        <w:top w:val="none" w:sz="0" w:space="0" w:color="auto"/>
        <w:left w:val="none" w:sz="0" w:space="0" w:color="auto"/>
        <w:bottom w:val="none" w:sz="0" w:space="0" w:color="auto"/>
        <w:right w:val="none" w:sz="0" w:space="0" w:color="auto"/>
      </w:divBdr>
    </w:div>
    <w:div w:id="1702432347">
      <w:bodyDiv w:val="1"/>
      <w:marLeft w:val="0"/>
      <w:marRight w:val="0"/>
      <w:marTop w:val="0"/>
      <w:marBottom w:val="0"/>
      <w:divBdr>
        <w:top w:val="none" w:sz="0" w:space="0" w:color="auto"/>
        <w:left w:val="none" w:sz="0" w:space="0" w:color="auto"/>
        <w:bottom w:val="none" w:sz="0" w:space="0" w:color="auto"/>
        <w:right w:val="none" w:sz="0" w:space="0" w:color="auto"/>
      </w:divBdr>
    </w:div>
    <w:div w:id="1702508956">
      <w:bodyDiv w:val="1"/>
      <w:marLeft w:val="0"/>
      <w:marRight w:val="0"/>
      <w:marTop w:val="0"/>
      <w:marBottom w:val="0"/>
      <w:divBdr>
        <w:top w:val="none" w:sz="0" w:space="0" w:color="auto"/>
        <w:left w:val="none" w:sz="0" w:space="0" w:color="auto"/>
        <w:bottom w:val="none" w:sz="0" w:space="0" w:color="auto"/>
        <w:right w:val="none" w:sz="0" w:space="0" w:color="auto"/>
      </w:divBdr>
    </w:div>
    <w:div w:id="1702510241">
      <w:bodyDiv w:val="1"/>
      <w:marLeft w:val="0"/>
      <w:marRight w:val="0"/>
      <w:marTop w:val="0"/>
      <w:marBottom w:val="0"/>
      <w:divBdr>
        <w:top w:val="none" w:sz="0" w:space="0" w:color="auto"/>
        <w:left w:val="none" w:sz="0" w:space="0" w:color="auto"/>
        <w:bottom w:val="none" w:sz="0" w:space="0" w:color="auto"/>
        <w:right w:val="none" w:sz="0" w:space="0" w:color="auto"/>
      </w:divBdr>
    </w:div>
    <w:div w:id="1702591050">
      <w:bodyDiv w:val="1"/>
      <w:marLeft w:val="0"/>
      <w:marRight w:val="0"/>
      <w:marTop w:val="0"/>
      <w:marBottom w:val="0"/>
      <w:divBdr>
        <w:top w:val="none" w:sz="0" w:space="0" w:color="auto"/>
        <w:left w:val="none" w:sz="0" w:space="0" w:color="auto"/>
        <w:bottom w:val="none" w:sz="0" w:space="0" w:color="auto"/>
        <w:right w:val="none" w:sz="0" w:space="0" w:color="auto"/>
      </w:divBdr>
    </w:div>
    <w:div w:id="1702631381">
      <w:bodyDiv w:val="1"/>
      <w:marLeft w:val="0"/>
      <w:marRight w:val="0"/>
      <w:marTop w:val="0"/>
      <w:marBottom w:val="0"/>
      <w:divBdr>
        <w:top w:val="none" w:sz="0" w:space="0" w:color="auto"/>
        <w:left w:val="none" w:sz="0" w:space="0" w:color="auto"/>
        <w:bottom w:val="none" w:sz="0" w:space="0" w:color="auto"/>
        <w:right w:val="none" w:sz="0" w:space="0" w:color="auto"/>
      </w:divBdr>
    </w:div>
    <w:div w:id="1702631439">
      <w:bodyDiv w:val="1"/>
      <w:marLeft w:val="0"/>
      <w:marRight w:val="0"/>
      <w:marTop w:val="0"/>
      <w:marBottom w:val="0"/>
      <w:divBdr>
        <w:top w:val="none" w:sz="0" w:space="0" w:color="auto"/>
        <w:left w:val="none" w:sz="0" w:space="0" w:color="auto"/>
        <w:bottom w:val="none" w:sz="0" w:space="0" w:color="auto"/>
        <w:right w:val="none" w:sz="0" w:space="0" w:color="auto"/>
      </w:divBdr>
    </w:div>
    <w:div w:id="1702783528">
      <w:bodyDiv w:val="1"/>
      <w:marLeft w:val="0"/>
      <w:marRight w:val="0"/>
      <w:marTop w:val="0"/>
      <w:marBottom w:val="0"/>
      <w:divBdr>
        <w:top w:val="none" w:sz="0" w:space="0" w:color="auto"/>
        <w:left w:val="none" w:sz="0" w:space="0" w:color="auto"/>
        <w:bottom w:val="none" w:sz="0" w:space="0" w:color="auto"/>
        <w:right w:val="none" w:sz="0" w:space="0" w:color="auto"/>
      </w:divBdr>
    </w:div>
    <w:div w:id="1702784230">
      <w:bodyDiv w:val="1"/>
      <w:marLeft w:val="0"/>
      <w:marRight w:val="0"/>
      <w:marTop w:val="0"/>
      <w:marBottom w:val="0"/>
      <w:divBdr>
        <w:top w:val="none" w:sz="0" w:space="0" w:color="auto"/>
        <w:left w:val="none" w:sz="0" w:space="0" w:color="auto"/>
        <w:bottom w:val="none" w:sz="0" w:space="0" w:color="auto"/>
        <w:right w:val="none" w:sz="0" w:space="0" w:color="auto"/>
      </w:divBdr>
    </w:div>
    <w:div w:id="1702901737">
      <w:bodyDiv w:val="1"/>
      <w:marLeft w:val="0"/>
      <w:marRight w:val="0"/>
      <w:marTop w:val="0"/>
      <w:marBottom w:val="0"/>
      <w:divBdr>
        <w:top w:val="none" w:sz="0" w:space="0" w:color="auto"/>
        <w:left w:val="none" w:sz="0" w:space="0" w:color="auto"/>
        <w:bottom w:val="none" w:sz="0" w:space="0" w:color="auto"/>
        <w:right w:val="none" w:sz="0" w:space="0" w:color="auto"/>
      </w:divBdr>
    </w:div>
    <w:div w:id="1703093645">
      <w:bodyDiv w:val="1"/>
      <w:marLeft w:val="0"/>
      <w:marRight w:val="0"/>
      <w:marTop w:val="0"/>
      <w:marBottom w:val="0"/>
      <w:divBdr>
        <w:top w:val="none" w:sz="0" w:space="0" w:color="auto"/>
        <w:left w:val="none" w:sz="0" w:space="0" w:color="auto"/>
        <w:bottom w:val="none" w:sz="0" w:space="0" w:color="auto"/>
        <w:right w:val="none" w:sz="0" w:space="0" w:color="auto"/>
      </w:divBdr>
    </w:div>
    <w:div w:id="1703241574">
      <w:bodyDiv w:val="1"/>
      <w:marLeft w:val="0"/>
      <w:marRight w:val="0"/>
      <w:marTop w:val="0"/>
      <w:marBottom w:val="0"/>
      <w:divBdr>
        <w:top w:val="none" w:sz="0" w:space="0" w:color="auto"/>
        <w:left w:val="none" w:sz="0" w:space="0" w:color="auto"/>
        <w:bottom w:val="none" w:sz="0" w:space="0" w:color="auto"/>
        <w:right w:val="none" w:sz="0" w:space="0" w:color="auto"/>
      </w:divBdr>
    </w:div>
    <w:div w:id="1703361141">
      <w:bodyDiv w:val="1"/>
      <w:marLeft w:val="0"/>
      <w:marRight w:val="0"/>
      <w:marTop w:val="0"/>
      <w:marBottom w:val="0"/>
      <w:divBdr>
        <w:top w:val="none" w:sz="0" w:space="0" w:color="auto"/>
        <w:left w:val="none" w:sz="0" w:space="0" w:color="auto"/>
        <w:bottom w:val="none" w:sz="0" w:space="0" w:color="auto"/>
        <w:right w:val="none" w:sz="0" w:space="0" w:color="auto"/>
      </w:divBdr>
    </w:div>
    <w:div w:id="1703361492">
      <w:bodyDiv w:val="1"/>
      <w:marLeft w:val="0"/>
      <w:marRight w:val="0"/>
      <w:marTop w:val="0"/>
      <w:marBottom w:val="0"/>
      <w:divBdr>
        <w:top w:val="none" w:sz="0" w:space="0" w:color="auto"/>
        <w:left w:val="none" w:sz="0" w:space="0" w:color="auto"/>
        <w:bottom w:val="none" w:sz="0" w:space="0" w:color="auto"/>
        <w:right w:val="none" w:sz="0" w:space="0" w:color="auto"/>
      </w:divBdr>
    </w:div>
    <w:div w:id="1703628930">
      <w:bodyDiv w:val="1"/>
      <w:marLeft w:val="0"/>
      <w:marRight w:val="0"/>
      <w:marTop w:val="0"/>
      <w:marBottom w:val="0"/>
      <w:divBdr>
        <w:top w:val="none" w:sz="0" w:space="0" w:color="auto"/>
        <w:left w:val="none" w:sz="0" w:space="0" w:color="auto"/>
        <w:bottom w:val="none" w:sz="0" w:space="0" w:color="auto"/>
        <w:right w:val="none" w:sz="0" w:space="0" w:color="auto"/>
      </w:divBdr>
    </w:div>
    <w:div w:id="1703748871">
      <w:bodyDiv w:val="1"/>
      <w:marLeft w:val="0"/>
      <w:marRight w:val="0"/>
      <w:marTop w:val="0"/>
      <w:marBottom w:val="0"/>
      <w:divBdr>
        <w:top w:val="none" w:sz="0" w:space="0" w:color="auto"/>
        <w:left w:val="none" w:sz="0" w:space="0" w:color="auto"/>
        <w:bottom w:val="none" w:sz="0" w:space="0" w:color="auto"/>
        <w:right w:val="none" w:sz="0" w:space="0" w:color="auto"/>
      </w:divBdr>
    </w:div>
    <w:div w:id="1703819645">
      <w:bodyDiv w:val="1"/>
      <w:marLeft w:val="0"/>
      <w:marRight w:val="0"/>
      <w:marTop w:val="0"/>
      <w:marBottom w:val="0"/>
      <w:divBdr>
        <w:top w:val="none" w:sz="0" w:space="0" w:color="auto"/>
        <w:left w:val="none" w:sz="0" w:space="0" w:color="auto"/>
        <w:bottom w:val="none" w:sz="0" w:space="0" w:color="auto"/>
        <w:right w:val="none" w:sz="0" w:space="0" w:color="auto"/>
      </w:divBdr>
    </w:div>
    <w:div w:id="1703823667">
      <w:bodyDiv w:val="1"/>
      <w:marLeft w:val="0"/>
      <w:marRight w:val="0"/>
      <w:marTop w:val="0"/>
      <w:marBottom w:val="0"/>
      <w:divBdr>
        <w:top w:val="none" w:sz="0" w:space="0" w:color="auto"/>
        <w:left w:val="none" w:sz="0" w:space="0" w:color="auto"/>
        <w:bottom w:val="none" w:sz="0" w:space="0" w:color="auto"/>
        <w:right w:val="none" w:sz="0" w:space="0" w:color="auto"/>
      </w:divBdr>
    </w:div>
    <w:div w:id="1703823709">
      <w:bodyDiv w:val="1"/>
      <w:marLeft w:val="0"/>
      <w:marRight w:val="0"/>
      <w:marTop w:val="0"/>
      <w:marBottom w:val="0"/>
      <w:divBdr>
        <w:top w:val="none" w:sz="0" w:space="0" w:color="auto"/>
        <w:left w:val="none" w:sz="0" w:space="0" w:color="auto"/>
        <w:bottom w:val="none" w:sz="0" w:space="0" w:color="auto"/>
        <w:right w:val="none" w:sz="0" w:space="0" w:color="auto"/>
      </w:divBdr>
    </w:div>
    <w:div w:id="1703824427">
      <w:bodyDiv w:val="1"/>
      <w:marLeft w:val="0"/>
      <w:marRight w:val="0"/>
      <w:marTop w:val="0"/>
      <w:marBottom w:val="0"/>
      <w:divBdr>
        <w:top w:val="none" w:sz="0" w:space="0" w:color="auto"/>
        <w:left w:val="none" w:sz="0" w:space="0" w:color="auto"/>
        <w:bottom w:val="none" w:sz="0" w:space="0" w:color="auto"/>
        <w:right w:val="none" w:sz="0" w:space="0" w:color="auto"/>
      </w:divBdr>
    </w:div>
    <w:div w:id="1703895064">
      <w:bodyDiv w:val="1"/>
      <w:marLeft w:val="0"/>
      <w:marRight w:val="0"/>
      <w:marTop w:val="0"/>
      <w:marBottom w:val="0"/>
      <w:divBdr>
        <w:top w:val="none" w:sz="0" w:space="0" w:color="auto"/>
        <w:left w:val="none" w:sz="0" w:space="0" w:color="auto"/>
        <w:bottom w:val="none" w:sz="0" w:space="0" w:color="auto"/>
        <w:right w:val="none" w:sz="0" w:space="0" w:color="auto"/>
      </w:divBdr>
    </w:div>
    <w:div w:id="1703896519">
      <w:bodyDiv w:val="1"/>
      <w:marLeft w:val="0"/>
      <w:marRight w:val="0"/>
      <w:marTop w:val="0"/>
      <w:marBottom w:val="0"/>
      <w:divBdr>
        <w:top w:val="none" w:sz="0" w:space="0" w:color="auto"/>
        <w:left w:val="none" w:sz="0" w:space="0" w:color="auto"/>
        <w:bottom w:val="none" w:sz="0" w:space="0" w:color="auto"/>
        <w:right w:val="none" w:sz="0" w:space="0" w:color="auto"/>
      </w:divBdr>
    </w:div>
    <w:div w:id="1703940574">
      <w:bodyDiv w:val="1"/>
      <w:marLeft w:val="0"/>
      <w:marRight w:val="0"/>
      <w:marTop w:val="0"/>
      <w:marBottom w:val="0"/>
      <w:divBdr>
        <w:top w:val="none" w:sz="0" w:space="0" w:color="auto"/>
        <w:left w:val="none" w:sz="0" w:space="0" w:color="auto"/>
        <w:bottom w:val="none" w:sz="0" w:space="0" w:color="auto"/>
        <w:right w:val="none" w:sz="0" w:space="0" w:color="auto"/>
      </w:divBdr>
    </w:div>
    <w:div w:id="1703944946">
      <w:bodyDiv w:val="1"/>
      <w:marLeft w:val="0"/>
      <w:marRight w:val="0"/>
      <w:marTop w:val="0"/>
      <w:marBottom w:val="0"/>
      <w:divBdr>
        <w:top w:val="none" w:sz="0" w:space="0" w:color="auto"/>
        <w:left w:val="none" w:sz="0" w:space="0" w:color="auto"/>
        <w:bottom w:val="none" w:sz="0" w:space="0" w:color="auto"/>
        <w:right w:val="none" w:sz="0" w:space="0" w:color="auto"/>
      </w:divBdr>
    </w:div>
    <w:div w:id="1704011444">
      <w:bodyDiv w:val="1"/>
      <w:marLeft w:val="0"/>
      <w:marRight w:val="0"/>
      <w:marTop w:val="0"/>
      <w:marBottom w:val="0"/>
      <w:divBdr>
        <w:top w:val="none" w:sz="0" w:space="0" w:color="auto"/>
        <w:left w:val="none" w:sz="0" w:space="0" w:color="auto"/>
        <w:bottom w:val="none" w:sz="0" w:space="0" w:color="auto"/>
        <w:right w:val="none" w:sz="0" w:space="0" w:color="auto"/>
      </w:divBdr>
    </w:div>
    <w:div w:id="1704088274">
      <w:bodyDiv w:val="1"/>
      <w:marLeft w:val="0"/>
      <w:marRight w:val="0"/>
      <w:marTop w:val="0"/>
      <w:marBottom w:val="0"/>
      <w:divBdr>
        <w:top w:val="none" w:sz="0" w:space="0" w:color="auto"/>
        <w:left w:val="none" w:sz="0" w:space="0" w:color="auto"/>
        <w:bottom w:val="none" w:sz="0" w:space="0" w:color="auto"/>
        <w:right w:val="none" w:sz="0" w:space="0" w:color="auto"/>
      </w:divBdr>
    </w:div>
    <w:div w:id="1704210694">
      <w:bodyDiv w:val="1"/>
      <w:marLeft w:val="0"/>
      <w:marRight w:val="0"/>
      <w:marTop w:val="0"/>
      <w:marBottom w:val="0"/>
      <w:divBdr>
        <w:top w:val="none" w:sz="0" w:space="0" w:color="auto"/>
        <w:left w:val="none" w:sz="0" w:space="0" w:color="auto"/>
        <w:bottom w:val="none" w:sz="0" w:space="0" w:color="auto"/>
        <w:right w:val="none" w:sz="0" w:space="0" w:color="auto"/>
      </w:divBdr>
    </w:div>
    <w:div w:id="1704405792">
      <w:bodyDiv w:val="1"/>
      <w:marLeft w:val="0"/>
      <w:marRight w:val="0"/>
      <w:marTop w:val="0"/>
      <w:marBottom w:val="0"/>
      <w:divBdr>
        <w:top w:val="none" w:sz="0" w:space="0" w:color="auto"/>
        <w:left w:val="none" w:sz="0" w:space="0" w:color="auto"/>
        <w:bottom w:val="none" w:sz="0" w:space="0" w:color="auto"/>
        <w:right w:val="none" w:sz="0" w:space="0" w:color="auto"/>
      </w:divBdr>
    </w:div>
    <w:div w:id="1704594700">
      <w:bodyDiv w:val="1"/>
      <w:marLeft w:val="0"/>
      <w:marRight w:val="0"/>
      <w:marTop w:val="0"/>
      <w:marBottom w:val="0"/>
      <w:divBdr>
        <w:top w:val="none" w:sz="0" w:space="0" w:color="auto"/>
        <w:left w:val="none" w:sz="0" w:space="0" w:color="auto"/>
        <w:bottom w:val="none" w:sz="0" w:space="0" w:color="auto"/>
        <w:right w:val="none" w:sz="0" w:space="0" w:color="auto"/>
      </w:divBdr>
    </w:div>
    <w:div w:id="1704599731">
      <w:bodyDiv w:val="1"/>
      <w:marLeft w:val="0"/>
      <w:marRight w:val="0"/>
      <w:marTop w:val="0"/>
      <w:marBottom w:val="0"/>
      <w:divBdr>
        <w:top w:val="none" w:sz="0" w:space="0" w:color="auto"/>
        <w:left w:val="none" w:sz="0" w:space="0" w:color="auto"/>
        <w:bottom w:val="none" w:sz="0" w:space="0" w:color="auto"/>
        <w:right w:val="none" w:sz="0" w:space="0" w:color="auto"/>
      </w:divBdr>
    </w:div>
    <w:div w:id="1704671763">
      <w:bodyDiv w:val="1"/>
      <w:marLeft w:val="0"/>
      <w:marRight w:val="0"/>
      <w:marTop w:val="0"/>
      <w:marBottom w:val="0"/>
      <w:divBdr>
        <w:top w:val="none" w:sz="0" w:space="0" w:color="auto"/>
        <w:left w:val="none" w:sz="0" w:space="0" w:color="auto"/>
        <w:bottom w:val="none" w:sz="0" w:space="0" w:color="auto"/>
        <w:right w:val="none" w:sz="0" w:space="0" w:color="auto"/>
      </w:divBdr>
    </w:div>
    <w:div w:id="1704672801">
      <w:bodyDiv w:val="1"/>
      <w:marLeft w:val="0"/>
      <w:marRight w:val="0"/>
      <w:marTop w:val="0"/>
      <w:marBottom w:val="0"/>
      <w:divBdr>
        <w:top w:val="none" w:sz="0" w:space="0" w:color="auto"/>
        <w:left w:val="none" w:sz="0" w:space="0" w:color="auto"/>
        <w:bottom w:val="none" w:sz="0" w:space="0" w:color="auto"/>
        <w:right w:val="none" w:sz="0" w:space="0" w:color="auto"/>
      </w:divBdr>
    </w:div>
    <w:div w:id="1705133441">
      <w:bodyDiv w:val="1"/>
      <w:marLeft w:val="0"/>
      <w:marRight w:val="0"/>
      <w:marTop w:val="0"/>
      <w:marBottom w:val="0"/>
      <w:divBdr>
        <w:top w:val="none" w:sz="0" w:space="0" w:color="auto"/>
        <w:left w:val="none" w:sz="0" w:space="0" w:color="auto"/>
        <w:bottom w:val="none" w:sz="0" w:space="0" w:color="auto"/>
        <w:right w:val="none" w:sz="0" w:space="0" w:color="auto"/>
      </w:divBdr>
    </w:div>
    <w:div w:id="1705448255">
      <w:bodyDiv w:val="1"/>
      <w:marLeft w:val="0"/>
      <w:marRight w:val="0"/>
      <w:marTop w:val="0"/>
      <w:marBottom w:val="0"/>
      <w:divBdr>
        <w:top w:val="none" w:sz="0" w:space="0" w:color="auto"/>
        <w:left w:val="none" w:sz="0" w:space="0" w:color="auto"/>
        <w:bottom w:val="none" w:sz="0" w:space="0" w:color="auto"/>
        <w:right w:val="none" w:sz="0" w:space="0" w:color="auto"/>
      </w:divBdr>
    </w:div>
    <w:div w:id="1705640475">
      <w:bodyDiv w:val="1"/>
      <w:marLeft w:val="0"/>
      <w:marRight w:val="0"/>
      <w:marTop w:val="0"/>
      <w:marBottom w:val="0"/>
      <w:divBdr>
        <w:top w:val="none" w:sz="0" w:space="0" w:color="auto"/>
        <w:left w:val="none" w:sz="0" w:space="0" w:color="auto"/>
        <w:bottom w:val="none" w:sz="0" w:space="0" w:color="auto"/>
        <w:right w:val="none" w:sz="0" w:space="0" w:color="auto"/>
      </w:divBdr>
    </w:div>
    <w:div w:id="1705670479">
      <w:bodyDiv w:val="1"/>
      <w:marLeft w:val="0"/>
      <w:marRight w:val="0"/>
      <w:marTop w:val="0"/>
      <w:marBottom w:val="0"/>
      <w:divBdr>
        <w:top w:val="none" w:sz="0" w:space="0" w:color="auto"/>
        <w:left w:val="none" w:sz="0" w:space="0" w:color="auto"/>
        <w:bottom w:val="none" w:sz="0" w:space="0" w:color="auto"/>
        <w:right w:val="none" w:sz="0" w:space="0" w:color="auto"/>
      </w:divBdr>
    </w:div>
    <w:div w:id="1705709560">
      <w:bodyDiv w:val="1"/>
      <w:marLeft w:val="0"/>
      <w:marRight w:val="0"/>
      <w:marTop w:val="0"/>
      <w:marBottom w:val="0"/>
      <w:divBdr>
        <w:top w:val="none" w:sz="0" w:space="0" w:color="auto"/>
        <w:left w:val="none" w:sz="0" w:space="0" w:color="auto"/>
        <w:bottom w:val="none" w:sz="0" w:space="0" w:color="auto"/>
        <w:right w:val="none" w:sz="0" w:space="0" w:color="auto"/>
      </w:divBdr>
    </w:div>
    <w:div w:id="1705864512">
      <w:bodyDiv w:val="1"/>
      <w:marLeft w:val="0"/>
      <w:marRight w:val="0"/>
      <w:marTop w:val="0"/>
      <w:marBottom w:val="0"/>
      <w:divBdr>
        <w:top w:val="none" w:sz="0" w:space="0" w:color="auto"/>
        <w:left w:val="none" w:sz="0" w:space="0" w:color="auto"/>
        <w:bottom w:val="none" w:sz="0" w:space="0" w:color="auto"/>
        <w:right w:val="none" w:sz="0" w:space="0" w:color="auto"/>
      </w:divBdr>
    </w:div>
    <w:div w:id="1705909497">
      <w:bodyDiv w:val="1"/>
      <w:marLeft w:val="0"/>
      <w:marRight w:val="0"/>
      <w:marTop w:val="0"/>
      <w:marBottom w:val="0"/>
      <w:divBdr>
        <w:top w:val="none" w:sz="0" w:space="0" w:color="auto"/>
        <w:left w:val="none" w:sz="0" w:space="0" w:color="auto"/>
        <w:bottom w:val="none" w:sz="0" w:space="0" w:color="auto"/>
        <w:right w:val="none" w:sz="0" w:space="0" w:color="auto"/>
      </w:divBdr>
    </w:div>
    <w:div w:id="1706052587">
      <w:bodyDiv w:val="1"/>
      <w:marLeft w:val="0"/>
      <w:marRight w:val="0"/>
      <w:marTop w:val="0"/>
      <w:marBottom w:val="0"/>
      <w:divBdr>
        <w:top w:val="none" w:sz="0" w:space="0" w:color="auto"/>
        <w:left w:val="none" w:sz="0" w:space="0" w:color="auto"/>
        <w:bottom w:val="none" w:sz="0" w:space="0" w:color="auto"/>
        <w:right w:val="none" w:sz="0" w:space="0" w:color="auto"/>
      </w:divBdr>
    </w:div>
    <w:div w:id="1706102401">
      <w:bodyDiv w:val="1"/>
      <w:marLeft w:val="0"/>
      <w:marRight w:val="0"/>
      <w:marTop w:val="0"/>
      <w:marBottom w:val="0"/>
      <w:divBdr>
        <w:top w:val="none" w:sz="0" w:space="0" w:color="auto"/>
        <w:left w:val="none" w:sz="0" w:space="0" w:color="auto"/>
        <w:bottom w:val="none" w:sz="0" w:space="0" w:color="auto"/>
        <w:right w:val="none" w:sz="0" w:space="0" w:color="auto"/>
      </w:divBdr>
    </w:div>
    <w:div w:id="1706562946">
      <w:bodyDiv w:val="1"/>
      <w:marLeft w:val="0"/>
      <w:marRight w:val="0"/>
      <w:marTop w:val="0"/>
      <w:marBottom w:val="0"/>
      <w:divBdr>
        <w:top w:val="none" w:sz="0" w:space="0" w:color="auto"/>
        <w:left w:val="none" w:sz="0" w:space="0" w:color="auto"/>
        <w:bottom w:val="none" w:sz="0" w:space="0" w:color="auto"/>
        <w:right w:val="none" w:sz="0" w:space="0" w:color="auto"/>
      </w:divBdr>
    </w:div>
    <w:div w:id="1706826041">
      <w:bodyDiv w:val="1"/>
      <w:marLeft w:val="0"/>
      <w:marRight w:val="0"/>
      <w:marTop w:val="0"/>
      <w:marBottom w:val="0"/>
      <w:divBdr>
        <w:top w:val="none" w:sz="0" w:space="0" w:color="auto"/>
        <w:left w:val="none" w:sz="0" w:space="0" w:color="auto"/>
        <w:bottom w:val="none" w:sz="0" w:space="0" w:color="auto"/>
        <w:right w:val="none" w:sz="0" w:space="0" w:color="auto"/>
      </w:divBdr>
    </w:div>
    <w:div w:id="1706952614">
      <w:bodyDiv w:val="1"/>
      <w:marLeft w:val="0"/>
      <w:marRight w:val="0"/>
      <w:marTop w:val="0"/>
      <w:marBottom w:val="0"/>
      <w:divBdr>
        <w:top w:val="none" w:sz="0" w:space="0" w:color="auto"/>
        <w:left w:val="none" w:sz="0" w:space="0" w:color="auto"/>
        <w:bottom w:val="none" w:sz="0" w:space="0" w:color="auto"/>
        <w:right w:val="none" w:sz="0" w:space="0" w:color="auto"/>
      </w:divBdr>
    </w:div>
    <w:div w:id="1707177560">
      <w:bodyDiv w:val="1"/>
      <w:marLeft w:val="0"/>
      <w:marRight w:val="0"/>
      <w:marTop w:val="0"/>
      <w:marBottom w:val="0"/>
      <w:divBdr>
        <w:top w:val="none" w:sz="0" w:space="0" w:color="auto"/>
        <w:left w:val="none" w:sz="0" w:space="0" w:color="auto"/>
        <w:bottom w:val="none" w:sz="0" w:space="0" w:color="auto"/>
        <w:right w:val="none" w:sz="0" w:space="0" w:color="auto"/>
      </w:divBdr>
    </w:div>
    <w:div w:id="1707363743">
      <w:bodyDiv w:val="1"/>
      <w:marLeft w:val="0"/>
      <w:marRight w:val="0"/>
      <w:marTop w:val="0"/>
      <w:marBottom w:val="0"/>
      <w:divBdr>
        <w:top w:val="none" w:sz="0" w:space="0" w:color="auto"/>
        <w:left w:val="none" w:sz="0" w:space="0" w:color="auto"/>
        <w:bottom w:val="none" w:sz="0" w:space="0" w:color="auto"/>
        <w:right w:val="none" w:sz="0" w:space="0" w:color="auto"/>
      </w:divBdr>
    </w:div>
    <w:div w:id="1707485485">
      <w:bodyDiv w:val="1"/>
      <w:marLeft w:val="0"/>
      <w:marRight w:val="0"/>
      <w:marTop w:val="0"/>
      <w:marBottom w:val="0"/>
      <w:divBdr>
        <w:top w:val="none" w:sz="0" w:space="0" w:color="auto"/>
        <w:left w:val="none" w:sz="0" w:space="0" w:color="auto"/>
        <w:bottom w:val="none" w:sz="0" w:space="0" w:color="auto"/>
        <w:right w:val="none" w:sz="0" w:space="0" w:color="auto"/>
      </w:divBdr>
    </w:div>
    <w:div w:id="1707559827">
      <w:bodyDiv w:val="1"/>
      <w:marLeft w:val="0"/>
      <w:marRight w:val="0"/>
      <w:marTop w:val="0"/>
      <w:marBottom w:val="0"/>
      <w:divBdr>
        <w:top w:val="none" w:sz="0" w:space="0" w:color="auto"/>
        <w:left w:val="none" w:sz="0" w:space="0" w:color="auto"/>
        <w:bottom w:val="none" w:sz="0" w:space="0" w:color="auto"/>
        <w:right w:val="none" w:sz="0" w:space="0" w:color="auto"/>
      </w:divBdr>
    </w:div>
    <w:div w:id="1707674141">
      <w:bodyDiv w:val="1"/>
      <w:marLeft w:val="0"/>
      <w:marRight w:val="0"/>
      <w:marTop w:val="0"/>
      <w:marBottom w:val="0"/>
      <w:divBdr>
        <w:top w:val="none" w:sz="0" w:space="0" w:color="auto"/>
        <w:left w:val="none" w:sz="0" w:space="0" w:color="auto"/>
        <w:bottom w:val="none" w:sz="0" w:space="0" w:color="auto"/>
        <w:right w:val="none" w:sz="0" w:space="0" w:color="auto"/>
      </w:divBdr>
    </w:div>
    <w:div w:id="1707757605">
      <w:bodyDiv w:val="1"/>
      <w:marLeft w:val="0"/>
      <w:marRight w:val="0"/>
      <w:marTop w:val="0"/>
      <w:marBottom w:val="0"/>
      <w:divBdr>
        <w:top w:val="none" w:sz="0" w:space="0" w:color="auto"/>
        <w:left w:val="none" w:sz="0" w:space="0" w:color="auto"/>
        <w:bottom w:val="none" w:sz="0" w:space="0" w:color="auto"/>
        <w:right w:val="none" w:sz="0" w:space="0" w:color="auto"/>
      </w:divBdr>
    </w:div>
    <w:div w:id="1707832364">
      <w:bodyDiv w:val="1"/>
      <w:marLeft w:val="0"/>
      <w:marRight w:val="0"/>
      <w:marTop w:val="0"/>
      <w:marBottom w:val="0"/>
      <w:divBdr>
        <w:top w:val="none" w:sz="0" w:space="0" w:color="auto"/>
        <w:left w:val="none" w:sz="0" w:space="0" w:color="auto"/>
        <w:bottom w:val="none" w:sz="0" w:space="0" w:color="auto"/>
        <w:right w:val="none" w:sz="0" w:space="0" w:color="auto"/>
      </w:divBdr>
    </w:div>
    <w:div w:id="1707869665">
      <w:bodyDiv w:val="1"/>
      <w:marLeft w:val="0"/>
      <w:marRight w:val="0"/>
      <w:marTop w:val="0"/>
      <w:marBottom w:val="0"/>
      <w:divBdr>
        <w:top w:val="none" w:sz="0" w:space="0" w:color="auto"/>
        <w:left w:val="none" w:sz="0" w:space="0" w:color="auto"/>
        <w:bottom w:val="none" w:sz="0" w:space="0" w:color="auto"/>
        <w:right w:val="none" w:sz="0" w:space="0" w:color="auto"/>
      </w:divBdr>
    </w:div>
    <w:div w:id="1707947658">
      <w:bodyDiv w:val="1"/>
      <w:marLeft w:val="0"/>
      <w:marRight w:val="0"/>
      <w:marTop w:val="0"/>
      <w:marBottom w:val="0"/>
      <w:divBdr>
        <w:top w:val="none" w:sz="0" w:space="0" w:color="auto"/>
        <w:left w:val="none" w:sz="0" w:space="0" w:color="auto"/>
        <w:bottom w:val="none" w:sz="0" w:space="0" w:color="auto"/>
        <w:right w:val="none" w:sz="0" w:space="0" w:color="auto"/>
      </w:divBdr>
    </w:div>
    <w:div w:id="1707949985">
      <w:bodyDiv w:val="1"/>
      <w:marLeft w:val="0"/>
      <w:marRight w:val="0"/>
      <w:marTop w:val="0"/>
      <w:marBottom w:val="0"/>
      <w:divBdr>
        <w:top w:val="none" w:sz="0" w:space="0" w:color="auto"/>
        <w:left w:val="none" w:sz="0" w:space="0" w:color="auto"/>
        <w:bottom w:val="none" w:sz="0" w:space="0" w:color="auto"/>
        <w:right w:val="none" w:sz="0" w:space="0" w:color="auto"/>
      </w:divBdr>
    </w:div>
    <w:div w:id="1707950432">
      <w:bodyDiv w:val="1"/>
      <w:marLeft w:val="0"/>
      <w:marRight w:val="0"/>
      <w:marTop w:val="0"/>
      <w:marBottom w:val="0"/>
      <w:divBdr>
        <w:top w:val="none" w:sz="0" w:space="0" w:color="auto"/>
        <w:left w:val="none" w:sz="0" w:space="0" w:color="auto"/>
        <w:bottom w:val="none" w:sz="0" w:space="0" w:color="auto"/>
        <w:right w:val="none" w:sz="0" w:space="0" w:color="auto"/>
      </w:divBdr>
    </w:div>
    <w:div w:id="1708065629">
      <w:bodyDiv w:val="1"/>
      <w:marLeft w:val="0"/>
      <w:marRight w:val="0"/>
      <w:marTop w:val="0"/>
      <w:marBottom w:val="0"/>
      <w:divBdr>
        <w:top w:val="none" w:sz="0" w:space="0" w:color="auto"/>
        <w:left w:val="none" w:sz="0" w:space="0" w:color="auto"/>
        <w:bottom w:val="none" w:sz="0" w:space="0" w:color="auto"/>
        <w:right w:val="none" w:sz="0" w:space="0" w:color="auto"/>
      </w:divBdr>
    </w:div>
    <w:div w:id="1708215553">
      <w:bodyDiv w:val="1"/>
      <w:marLeft w:val="0"/>
      <w:marRight w:val="0"/>
      <w:marTop w:val="0"/>
      <w:marBottom w:val="0"/>
      <w:divBdr>
        <w:top w:val="none" w:sz="0" w:space="0" w:color="auto"/>
        <w:left w:val="none" w:sz="0" w:space="0" w:color="auto"/>
        <w:bottom w:val="none" w:sz="0" w:space="0" w:color="auto"/>
        <w:right w:val="none" w:sz="0" w:space="0" w:color="auto"/>
      </w:divBdr>
    </w:div>
    <w:div w:id="1708218961">
      <w:bodyDiv w:val="1"/>
      <w:marLeft w:val="0"/>
      <w:marRight w:val="0"/>
      <w:marTop w:val="0"/>
      <w:marBottom w:val="0"/>
      <w:divBdr>
        <w:top w:val="none" w:sz="0" w:space="0" w:color="auto"/>
        <w:left w:val="none" w:sz="0" w:space="0" w:color="auto"/>
        <w:bottom w:val="none" w:sz="0" w:space="0" w:color="auto"/>
        <w:right w:val="none" w:sz="0" w:space="0" w:color="auto"/>
      </w:divBdr>
    </w:div>
    <w:div w:id="1708262537">
      <w:bodyDiv w:val="1"/>
      <w:marLeft w:val="0"/>
      <w:marRight w:val="0"/>
      <w:marTop w:val="0"/>
      <w:marBottom w:val="0"/>
      <w:divBdr>
        <w:top w:val="none" w:sz="0" w:space="0" w:color="auto"/>
        <w:left w:val="none" w:sz="0" w:space="0" w:color="auto"/>
        <w:bottom w:val="none" w:sz="0" w:space="0" w:color="auto"/>
        <w:right w:val="none" w:sz="0" w:space="0" w:color="auto"/>
      </w:divBdr>
    </w:div>
    <w:div w:id="1708287502">
      <w:bodyDiv w:val="1"/>
      <w:marLeft w:val="0"/>
      <w:marRight w:val="0"/>
      <w:marTop w:val="0"/>
      <w:marBottom w:val="0"/>
      <w:divBdr>
        <w:top w:val="none" w:sz="0" w:space="0" w:color="auto"/>
        <w:left w:val="none" w:sz="0" w:space="0" w:color="auto"/>
        <w:bottom w:val="none" w:sz="0" w:space="0" w:color="auto"/>
        <w:right w:val="none" w:sz="0" w:space="0" w:color="auto"/>
      </w:divBdr>
    </w:div>
    <w:div w:id="1708335063">
      <w:bodyDiv w:val="1"/>
      <w:marLeft w:val="0"/>
      <w:marRight w:val="0"/>
      <w:marTop w:val="0"/>
      <w:marBottom w:val="0"/>
      <w:divBdr>
        <w:top w:val="none" w:sz="0" w:space="0" w:color="auto"/>
        <w:left w:val="none" w:sz="0" w:space="0" w:color="auto"/>
        <w:bottom w:val="none" w:sz="0" w:space="0" w:color="auto"/>
        <w:right w:val="none" w:sz="0" w:space="0" w:color="auto"/>
      </w:divBdr>
    </w:div>
    <w:div w:id="1708412469">
      <w:bodyDiv w:val="1"/>
      <w:marLeft w:val="0"/>
      <w:marRight w:val="0"/>
      <w:marTop w:val="0"/>
      <w:marBottom w:val="0"/>
      <w:divBdr>
        <w:top w:val="none" w:sz="0" w:space="0" w:color="auto"/>
        <w:left w:val="none" w:sz="0" w:space="0" w:color="auto"/>
        <w:bottom w:val="none" w:sz="0" w:space="0" w:color="auto"/>
        <w:right w:val="none" w:sz="0" w:space="0" w:color="auto"/>
      </w:divBdr>
    </w:div>
    <w:div w:id="1708524702">
      <w:bodyDiv w:val="1"/>
      <w:marLeft w:val="0"/>
      <w:marRight w:val="0"/>
      <w:marTop w:val="0"/>
      <w:marBottom w:val="0"/>
      <w:divBdr>
        <w:top w:val="none" w:sz="0" w:space="0" w:color="auto"/>
        <w:left w:val="none" w:sz="0" w:space="0" w:color="auto"/>
        <w:bottom w:val="none" w:sz="0" w:space="0" w:color="auto"/>
        <w:right w:val="none" w:sz="0" w:space="0" w:color="auto"/>
      </w:divBdr>
    </w:div>
    <w:div w:id="1708605420">
      <w:bodyDiv w:val="1"/>
      <w:marLeft w:val="0"/>
      <w:marRight w:val="0"/>
      <w:marTop w:val="0"/>
      <w:marBottom w:val="0"/>
      <w:divBdr>
        <w:top w:val="none" w:sz="0" w:space="0" w:color="auto"/>
        <w:left w:val="none" w:sz="0" w:space="0" w:color="auto"/>
        <w:bottom w:val="none" w:sz="0" w:space="0" w:color="auto"/>
        <w:right w:val="none" w:sz="0" w:space="0" w:color="auto"/>
      </w:divBdr>
    </w:div>
    <w:div w:id="1708674092">
      <w:bodyDiv w:val="1"/>
      <w:marLeft w:val="0"/>
      <w:marRight w:val="0"/>
      <w:marTop w:val="0"/>
      <w:marBottom w:val="0"/>
      <w:divBdr>
        <w:top w:val="none" w:sz="0" w:space="0" w:color="auto"/>
        <w:left w:val="none" w:sz="0" w:space="0" w:color="auto"/>
        <w:bottom w:val="none" w:sz="0" w:space="0" w:color="auto"/>
        <w:right w:val="none" w:sz="0" w:space="0" w:color="auto"/>
      </w:divBdr>
    </w:div>
    <w:div w:id="1708681440">
      <w:bodyDiv w:val="1"/>
      <w:marLeft w:val="0"/>
      <w:marRight w:val="0"/>
      <w:marTop w:val="0"/>
      <w:marBottom w:val="0"/>
      <w:divBdr>
        <w:top w:val="none" w:sz="0" w:space="0" w:color="auto"/>
        <w:left w:val="none" w:sz="0" w:space="0" w:color="auto"/>
        <w:bottom w:val="none" w:sz="0" w:space="0" w:color="auto"/>
        <w:right w:val="none" w:sz="0" w:space="0" w:color="auto"/>
      </w:divBdr>
    </w:div>
    <w:div w:id="1708791500">
      <w:bodyDiv w:val="1"/>
      <w:marLeft w:val="0"/>
      <w:marRight w:val="0"/>
      <w:marTop w:val="0"/>
      <w:marBottom w:val="0"/>
      <w:divBdr>
        <w:top w:val="none" w:sz="0" w:space="0" w:color="auto"/>
        <w:left w:val="none" w:sz="0" w:space="0" w:color="auto"/>
        <w:bottom w:val="none" w:sz="0" w:space="0" w:color="auto"/>
        <w:right w:val="none" w:sz="0" w:space="0" w:color="auto"/>
      </w:divBdr>
    </w:div>
    <w:div w:id="1708795297">
      <w:bodyDiv w:val="1"/>
      <w:marLeft w:val="0"/>
      <w:marRight w:val="0"/>
      <w:marTop w:val="0"/>
      <w:marBottom w:val="0"/>
      <w:divBdr>
        <w:top w:val="none" w:sz="0" w:space="0" w:color="auto"/>
        <w:left w:val="none" w:sz="0" w:space="0" w:color="auto"/>
        <w:bottom w:val="none" w:sz="0" w:space="0" w:color="auto"/>
        <w:right w:val="none" w:sz="0" w:space="0" w:color="auto"/>
      </w:divBdr>
    </w:div>
    <w:div w:id="1708874054">
      <w:bodyDiv w:val="1"/>
      <w:marLeft w:val="0"/>
      <w:marRight w:val="0"/>
      <w:marTop w:val="0"/>
      <w:marBottom w:val="0"/>
      <w:divBdr>
        <w:top w:val="none" w:sz="0" w:space="0" w:color="auto"/>
        <w:left w:val="none" w:sz="0" w:space="0" w:color="auto"/>
        <w:bottom w:val="none" w:sz="0" w:space="0" w:color="auto"/>
        <w:right w:val="none" w:sz="0" w:space="0" w:color="auto"/>
      </w:divBdr>
    </w:div>
    <w:div w:id="1709065361">
      <w:bodyDiv w:val="1"/>
      <w:marLeft w:val="0"/>
      <w:marRight w:val="0"/>
      <w:marTop w:val="0"/>
      <w:marBottom w:val="0"/>
      <w:divBdr>
        <w:top w:val="none" w:sz="0" w:space="0" w:color="auto"/>
        <w:left w:val="none" w:sz="0" w:space="0" w:color="auto"/>
        <w:bottom w:val="none" w:sz="0" w:space="0" w:color="auto"/>
        <w:right w:val="none" w:sz="0" w:space="0" w:color="auto"/>
      </w:divBdr>
    </w:div>
    <w:div w:id="1709067981">
      <w:bodyDiv w:val="1"/>
      <w:marLeft w:val="0"/>
      <w:marRight w:val="0"/>
      <w:marTop w:val="0"/>
      <w:marBottom w:val="0"/>
      <w:divBdr>
        <w:top w:val="none" w:sz="0" w:space="0" w:color="auto"/>
        <w:left w:val="none" w:sz="0" w:space="0" w:color="auto"/>
        <w:bottom w:val="none" w:sz="0" w:space="0" w:color="auto"/>
        <w:right w:val="none" w:sz="0" w:space="0" w:color="auto"/>
      </w:divBdr>
    </w:div>
    <w:div w:id="1709068217">
      <w:bodyDiv w:val="1"/>
      <w:marLeft w:val="0"/>
      <w:marRight w:val="0"/>
      <w:marTop w:val="0"/>
      <w:marBottom w:val="0"/>
      <w:divBdr>
        <w:top w:val="none" w:sz="0" w:space="0" w:color="auto"/>
        <w:left w:val="none" w:sz="0" w:space="0" w:color="auto"/>
        <w:bottom w:val="none" w:sz="0" w:space="0" w:color="auto"/>
        <w:right w:val="none" w:sz="0" w:space="0" w:color="auto"/>
      </w:divBdr>
    </w:div>
    <w:div w:id="1709258323">
      <w:bodyDiv w:val="1"/>
      <w:marLeft w:val="0"/>
      <w:marRight w:val="0"/>
      <w:marTop w:val="0"/>
      <w:marBottom w:val="0"/>
      <w:divBdr>
        <w:top w:val="none" w:sz="0" w:space="0" w:color="auto"/>
        <w:left w:val="none" w:sz="0" w:space="0" w:color="auto"/>
        <w:bottom w:val="none" w:sz="0" w:space="0" w:color="auto"/>
        <w:right w:val="none" w:sz="0" w:space="0" w:color="auto"/>
      </w:divBdr>
    </w:div>
    <w:div w:id="1709379433">
      <w:bodyDiv w:val="1"/>
      <w:marLeft w:val="0"/>
      <w:marRight w:val="0"/>
      <w:marTop w:val="0"/>
      <w:marBottom w:val="0"/>
      <w:divBdr>
        <w:top w:val="none" w:sz="0" w:space="0" w:color="auto"/>
        <w:left w:val="none" w:sz="0" w:space="0" w:color="auto"/>
        <w:bottom w:val="none" w:sz="0" w:space="0" w:color="auto"/>
        <w:right w:val="none" w:sz="0" w:space="0" w:color="auto"/>
      </w:divBdr>
    </w:div>
    <w:div w:id="1709456196">
      <w:bodyDiv w:val="1"/>
      <w:marLeft w:val="0"/>
      <w:marRight w:val="0"/>
      <w:marTop w:val="0"/>
      <w:marBottom w:val="0"/>
      <w:divBdr>
        <w:top w:val="none" w:sz="0" w:space="0" w:color="auto"/>
        <w:left w:val="none" w:sz="0" w:space="0" w:color="auto"/>
        <w:bottom w:val="none" w:sz="0" w:space="0" w:color="auto"/>
        <w:right w:val="none" w:sz="0" w:space="0" w:color="auto"/>
      </w:divBdr>
    </w:div>
    <w:div w:id="1709573193">
      <w:bodyDiv w:val="1"/>
      <w:marLeft w:val="0"/>
      <w:marRight w:val="0"/>
      <w:marTop w:val="0"/>
      <w:marBottom w:val="0"/>
      <w:divBdr>
        <w:top w:val="none" w:sz="0" w:space="0" w:color="auto"/>
        <w:left w:val="none" w:sz="0" w:space="0" w:color="auto"/>
        <w:bottom w:val="none" w:sz="0" w:space="0" w:color="auto"/>
        <w:right w:val="none" w:sz="0" w:space="0" w:color="auto"/>
      </w:divBdr>
    </w:div>
    <w:div w:id="1709716067">
      <w:bodyDiv w:val="1"/>
      <w:marLeft w:val="0"/>
      <w:marRight w:val="0"/>
      <w:marTop w:val="0"/>
      <w:marBottom w:val="0"/>
      <w:divBdr>
        <w:top w:val="none" w:sz="0" w:space="0" w:color="auto"/>
        <w:left w:val="none" w:sz="0" w:space="0" w:color="auto"/>
        <w:bottom w:val="none" w:sz="0" w:space="0" w:color="auto"/>
        <w:right w:val="none" w:sz="0" w:space="0" w:color="auto"/>
      </w:divBdr>
    </w:div>
    <w:div w:id="1709798752">
      <w:bodyDiv w:val="1"/>
      <w:marLeft w:val="0"/>
      <w:marRight w:val="0"/>
      <w:marTop w:val="0"/>
      <w:marBottom w:val="0"/>
      <w:divBdr>
        <w:top w:val="none" w:sz="0" w:space="0" w:color="auto"/>
        <w:left w:val="none" w:sz="0" w:space="0" w:color="auto"/>
        <w:bottom w:val="none" w:sz="0" w:space="0" w:color="auto"/>
        <w:right w:val="none" w:sz="0" w:space="0" w:color="auto"/>
      </w:divBdr>
    </w:div>
    <w:div w:id="1709841950">
      <w:bodyDiv w:val="1"/>
      <w:marLeft w:val="0"/>
      <w:marRight w:val="0"/>
      <w:marTop w:val="0"/>
      <w:marBottom w:val="0"/>
      <w:divBdr>
        <w:top w:val="none" w:sz="0" w:space="0" w:color="auto"/>
        <w:left w:val="none" w:sz="0" w:space="0" w:color="auto"/>
        <w:bottom w:val="none" w:sz="0" w:space="0" w:color="auto"/>
        <w:right w:val="none" w:sz="0" w:space="0" w:color="auto"/>
      </w:divBdr>
    </w:div>
    <w:div w:id="1709911517">
      <w:bodyDiv w:val="1"/>
      <w:marLeft w:val="0"/>
      <w:marRight w:val="0"/>
      <w:marTop w:val="0"/>
      <w:marBottom w:val="0"/>
      <w:divBdr>
        <w:top w:val="none" w:sz="0" w:space="0" w:color="auto"/>
        <w:left w:val="none" w:sz="0" w:space="0" w:color="auto"/>
        <w:bottom w:val="none" w:sz="0" w:space="0" w:color="auto"/>
        <w:right w:val="none" w:sz="0" w:space="0" w:color="auto"/>
      </w:divBdr>
    </w:div>
    <w:div w:id="1710105883">
      <w:bodyDiv w:val="1"/>
      <w:marLeft w:val="0"/>
      <w:marRight w:val="0"/>
      <w:marTop w:val="0"/>
      <w:marBottom w:val="0"/>
      <w:divBdr>
        <w:top w:val="none" w:sz="0" w:space="0" w:color="auto"/>
        <w:left w:val="none" w:sz="0" w:space="0" w:color="auto"/>
        <w:bottom w:val="none" w:sz="0" w:space="0" w:color="auto"/>
        <w:right w:val="none" w:sz="0" w:space="0" w:color="auto"/>
      </w:divBdr>
    </w:div>
    <w:div w:id="1710301578">
      <w:bodyDiv w:val="1"/>
      <w:marLeft w:val="0"/>
      <w:marRight w:val="0"/>
      <w:marTop w:val="0"/>
      <w:marBottom w:val="0"/>
      <w:divBdr>
        <w:top w:val="none" w:sz="0" w:space="0" w:color="auto"/>
        <w:left w:val="none" w:sz="0" w:space="0" w:color="auto"/>
        <w:bottom w:val="none" w:sz="0" w:space="0" w:color="auto"/>
        <w:right w:val="none" w:sz="0" w:space="0" w:color="auto"/>
      </w:divBdr>
    </w:div>
    <w:div w:id="1710302353">
      <w:bodyDiv w:val="1"/>
      <w:marLeft w:val="0"/>
      <w:marRight w:val="0"/>
      <w:marTop w:val="0"/>
      <w:marBottom w:val="0"/>
      <w:divBdr>
        <w:top w:val="none" w:sz="0" w:space="0" w:color="auto"/>
        <w:left w:val="none" w:sz="0" w:space="0" w:color="auto"/>
        <w:bottom w:val="none" w:sz="0" w:space="0" w:color="auto"/>
        <w:right w:val="none" w:sz="0" w:space="0" w:color="auto"/>
      </w:divBdr>
    </w:div>
    <w:div w:id="1710371900">
      <w:bodyDiv w:val="1"/>
      <w:marLeft w:val="0"/>
      <w:marRight w:val="0"/>
      <w:marTop w:val="0"/>
      <w:marBottom w:val="0"/>
      <w:divBdr>
        <w:top w:val="none" w:sz="0" w:space="0" w:color="auto"/>
        <w:left w:val="none" w:sz="0" w:space="0" w:color="auto"/>
        <w:bottom w:val="none" w:sz="0" w:space="0" w:color="auto"/>
        <w:right w:val="none" w:sz="0" w:space="0" w:color="auto"/>
      </w:divBdr>
    </w:div>
    <w:div w:id="1710565675">
      <w:bodyDiv w:val="1"/>
      <w:marLeft w:val="0"/>
      <w:marRight w:val="0"/>
      <w:marTop w:val="0"/>
      <w:marBottom w:val="0"/>
      <w:divBdr>
        <w:top w:val="none" w:sz="0" w:space="0" w:color="auto"/>
        <w:left w:val="none" w:sz="0" w:space="0" w:color="auto"/>
        <w:bottom w:val="none" w:sz="0" w:space="0" w:color="auto"/>
        <w:right w:val="none" w:sz="0" w:space="0" w:color="auto"/>
      </w:divBdr>
    </w:div>
    <w:div w:id="1710686256">
      <w:bodyDiv w:val="1"/>
      <w:marLeft w:val="0"/>
      <w:marRight w:val="0"/>
      <w:marTop w:val="0"/>
      <w:marBottom w:val="0"/>
      <w:divBdr>
        <w:top w:val="none" w:sz="0" w:space="0" w:color="auto"/>
        <w:left w:val="none" w:sz="0" w:space="0" w:color="auto"/>
        <w:bottom w:val="none" w:sz="0" w:space="0" w:color="auto"/>
        <w:right w:val="none" w:sz="0" w:space="0" w:color="auto"/>
      </w:divBdr>
    </w:div>
    <w:div w:id="1710688241">
      <w:bodyDiv w:val="1"/>
      <w:marLeft w:val="0"/>
      <w:marRight w:val="0"/>
      <w:marTop w:val="0"/>
      <w:marBottom w:val="0"/>
      <w:divBdr>
        <w:top w:val="none" w:sz="0" w:space="0" w:color="auto"/>
        <w:left w:val="none" w:sz="0" w:space="0" w:color="auto"/>
        <w:bottom w:val="none" w:sz="0" w:space="0" w:color="auto"/>
        <w:right w:val="none" w:sz="0" w:space="0" w:color="auto"/>
      </w:divBdr>
    </w:div>
    <w:div w:id="1710718929">
      <w:bodyDiv w:val="1"/>
      <w:marLeft w:val="0"/>
      <w:marRight w:val="0"/>
      <w:marTop w:val="0"/>
      <w:marBottom w:val="0"/>
      <w:divBdr>
        <w:top w:val="none" w:sz="0" w:space="0" w:color="auto"/>
        <w:left w:val="none" w:sz="0" w:space="0" w:color="auto"/>
        <w:bottom w:val="none" w:sz="0" w:space="0" w:color="auto"/>
        <w:right w:val="none" w:sz="0" w:space="0" w:color="auto"/>
      </w:divBdr>
    </w:div>
    <w:div w:id="1710759886">
      <w:bodyDiv w:val="1"/>
      <w:marLeft w:val="0"/>
      <w:marRight w:val="0"/>
      <w:marTop w:val="0"/>
      <w:marBottom w:val="0"/>
      <w:divBdr>
        <w:top w:val="none" w:sz="0" w:space="0" w:color="auto"/>
        <w:left w:val="none" w:sz="0" w:space="0" w:color="auto"/>
        <w:bottom w:val="none" w:sz="0" w:space="0" w:color="auto"/>
        <w:right w:val="none" w:sz="0" w:space="0" w:color="auto"/>
      </w:divBdr>
    </w:div>
    <w:div w:id="1711031200">
      <w:bodyDiv w:val="1"/>
      <w:marLeft w:val="0"/>
      <w:marRight w:val="0"/>
      <w:marTop w:val="0"/>
      <w:marBottom w:val="0"/>
      <w:divBdr>
        <w:top w:val="none" w:sz="0" w:space="0" w:color="auto"/>
        <w:left w:val="none" w:sz="0" w:space="0" w:color="auto"/>
        <w:bottom w:val="none" w:sz="0" w:space="0" w:color="auto"/>
        <w:right w:val="none" w:sz="0" w:space="0" w:color="auto"/>
      </w:divBdr>
    </w:div>
    <w:div w:id="1711107405">
      <w:bodyDiv w:val="1"/>
      <w:marLeft w:val="0"/>
      <w:marRight w:val="0"/>
      <w:marTop w:val="0"/>
      <w:marBottom w:val="0"/>
      <w:divBdr>
        <w:top w:val="none" w:sz="0" w:space="0" w:color="auto"/>
        <w:left w:val="none" w:sz="0" w:space="0" w:color="auto"/>
        <w:bottom w:val="none" w:sz="0" w:space="0" w:color="auto"/>
        <w:right w:val="none" w:sz="0" w:space="0" w:color="auto"/>
      </w:divBdr>
    </w:div>
    <w:div w:id="1711110751">
      <w:bodyDiv w:val="1"/>
      <w:marLeft w:val="0"/>
      <w:marRight w:val="0"/>
      <w:marTop w:val="0"/>
      <w:marBottom w:val="0"/>
      <w:divBdr>
        <w:top w:val="none" w:sz="0" w:space="0" w:color="auto"/>
        <w:left w:val="none" w:sz="0" w:space="0" w:color="auto"/>
        <w:bottom w:val="none" w:sz="0" w:space="0" w:color="auto"/>
        <w:right w:val="none" w:sz="0" w:space="0" w:color="auto"/>
      </w:divBdr>
    </w:div>
    <w:div w:id="1711150025">
      <w:bodyDiv w:val="1"/>
      <w:marLeft w:val="0"/>
      <w:marRight w:val="0"/>
      <w:marTop w:val="0"/>
      <w:marBottom w:val="0"/>
      <w:divBdr>
        <w:top w:val="none" w:sz="0" w:space="0" w:color="auto"/>
        <w:left w:val="none" w:sz="0" w:space="0" w:color="auto"/>
        <w:bottom w:val="none" w:sz="0" w:space="0" w:color="auto"/>
        <w:right w:val="none" w:sz="0" w:space="0" w:color="auto"/>
      </w:divBdr>
    </w:div>
    <w:div w:id="1711301296">
      <w:bodyDiv w:val="1"/>
      <w:marLeft w:val="0"/>
      <w:marRight w:val="0"/>
      <w:marTop w:val="0"/>
      <w:marBottom w:val="0"/>
      <w:divBdr>
        <w:top w:val="none" w:sz="0" w:space="0" w:color="auto"/>
        <w:left w:val="none" w:sz="0" w:space="0" w:color="auto"/>
        <w:bottom w:val="none" w:sz="0" w:space="0" w:color="auto"/>
        <w:right w:val="none" w:sz="0" w:space="0" w:color="auto"/>
      </w:divBdr>
    </w:div>
    <w:div w:id="1711488179">
      <w:bodyDiv w:val="1"/>
      <w:marLeft w:val="0"/>
      <w:marRight w:val="0"/>
      <w:marTop w:val="0"/>
      <w:marBottom w:val="0"/>
      <w:divBdr>
        <w:top w:val="none" w:sz="0" w:space="0" w:color="auto"/>
        <w:left w:val="none" w:sz="0" w:space="0" w:color="auto"/>
        <w:bottom w:val="none" w:sz="0" w:space="0" w:color="auto"/>
        <w:right w:val="none" w:sz="0" w:space="0" w:color="auto"/>
      </w:divBdr>
    </w:div>
    <w:div w:id="1711488728">
      <w:bodyDiv w:val="1"/>
      <w:marLeft w:val="0"/>
      <w:marRight w:val="0"/>
      <w:marTop w:val="0"/>
      <w:marBottom w:val="0"/>
      <w:divBdr>
        <w:top w:val="none" w:sz="0" w:space="0" w:color="auto"/>
        <w:left w:val="none" w:sz="0" w:space="0" w:color="auto"/>
        <w:bottom w:val="none" w:sz="0" w:space="0" w:color="auto"/>
        <w:right w:val="none" w:sz="0" w:space="0" w:color="auto"/>
      </w:divBdr>
    </w:div>
    <w:div w:id="1711565368">
      <w:bodyDiv w:val="1"/>
      <w:marLeft w:val="0"/>
      <w:marRight w:val="0"/>
      <w:marTop w:val="0"/>
      <w:marBottom w:val="0"/>
      <w:divBdr>
        <w:top w:val="none" w:sz="0" w:space="0" w:color="auto"/>
        <w:left w:val="none" w:sz="0" w:space="0" w:color="auto"/>
        <w:bottom w:val="none" w:sz="0" w:space="0" w:color="auto"/>
        <w:right w:val="none" w:sz="0" w:space="0" w:color="auto"/>
      </w:divBdr>
    </w:div>
    <w:div w:id="1711570134">
      <w:bodyDiv w:val="1"/>
      <w:marLeft w:val="0"/>
      <w:marRight w:val="0"/>
      <w:marTop w:val="0"/>
      <w:marBottom w:val="0"/>
      <w:divBdr>
        <w:top w:val="none" w:sz="0" w:space="0" w:color="auto"/>
        <w:left w:val="none" w:sz="0" w:space="0" w:color="auto"/>
        <w:bottom w:val="none" w:sz="0" w:space="0" w:color="auto"/>
        <w:right w:val="none" w:sz="0" w:space="0" w:color="auto"/>
      </w:divBdr>
    </w:div>
    <w:div w:id="1711682744">
      <w:bodyDiv w:val="1"/>
      <w:marLeft w:val="0"/>
      <w:marRight w:val="0"/>
      <w:marTop w:val="0"/>
      <w:marBottom w:val="0"/>
      <w:divBdr>
        <w:top w:val="none" w:sz="0" w:space="0" w:color="auto"/>
        <w:left w:val="none" w:sz="0" w:space="0" w:color="auto"/>
        <w:bottom w:val="none" w:sz="0" w:space="0" w:color="auto"/>
        <w:right w:val="none" w:sz="0" w:space="0" w:color="auto"/>
      </w:divBdr>
    </w:div>
    <w:div w:id="1711876773">
      <w:bodyDiv w:val="1"/>
      <w:marLeft w:val="0"/>
      <w:marRight w:val="0"/>
      <w:marTop w:val="0"/>
      <w:marBottom w:val="0"/>
      <w:divBdr>
        <w:top w:val="none" w:sz="0" w:space="0" w:color="auto"/>
        <w:left w:val="none" w:sz="0" w:space="0" w:color="auto"/>
        <w:bottom w:val="none" w:sz="0" w:space="0" w:color="auto"/>
        <w:right w:val="none" w:sz="0" w:space="0" w:color="auto"/>
      </w:divBdr>
    </w:div>
    <w:div w:id="1711952867">
      <w:bodyDiv w:val="1"/>
      <w:marLeft w:val="0"/>
      <w:marRight w:val="0"/>
      <w:marTop w:val="0"/>
      <w:marBottom w:val="0"/>
      <w:divBdr>
        <w:top w:val="none" w:sz="0" w:space="0" w:color="auto"/>
        <w:left w:val="none" w:sz="0" w:space="0" w:color="auto"/>
        <w:bottom w:val="none" w:sz="0" w:space="0" w:color="auto"/>
        <w:right w:val="none" w:sz="0" w:space="0" w:color="auto"/>
      </w:divBdr>
    </w:div>
    <w:div w:id="1711956019">
      <w:bodyDiv w:val="1"/>
      <w:marLeft w:val="0"/>
      <w:marRight w:val="0"/>
      <w:marTop w:val="0"/>
      <w:marBottom w:val="0"/>
      <w:divBdr>
        <w:top w:val="none" w:sz="0" w:space="0" w:color="auto"/>
        <w:left w:val="none" w:sz="0" w:space="0" w:color="auto"/>
        <w:bottom w:val="none" w:sz="0" w:space="0" w:color="auto"/>
        <w:right w:val="none" w:sz="0" w:space="0" w:color="auto"/>
      </w:divBdr>
    </w:div>
    <w:div w:id="1712073305">
      <w:bodyDiv w:val="1"/>
      <w:marLeft w:val="0"/>
      <w:marRight w:val="0"/>
      <w:marTop w:val="0"/>
      <w:marBottom w:val="0"/>
      <w:divBdr>
        <w:top w:val="none" w:sz="0" w:space="0" w:color="auto"/>
        <w:left w:val="none" w:sz="0" w:space="0" w:color="auto"/>
        <w:bottom w:val="none" w:sz="0" w:space="0" w:color="auto"/>
        <w:right w:val="none" w:sz="0" w:space="0" w:color="auto"/>
      </w:divBdr>
    </w:div>
    <w:div w:id="1712144160">
      <w:bodyDiv w:val="1"/>
      <w:marLeft w:val="0"/>
      <w:marRight w:val="0"/>
      <w:marTop w:val="0"/>
      <w:marBottom w:val="0"/>
      <w:divBdr>
        <w:top w:val="none" w:sz="0" w:space="0" w:color="auto"/>
        <w:left w:val="none" w:sz="0" w:space="0" w:color="auto"/>
        <w:bottom w:val="none" w:sz="0" w:space="0" w:color="auto"/>
        <w:right w:val="none" w:sz="0" w:space="0" w:color="auto"/>
      </w:divBdr>
    </w:div>
    <w:div w:id="1712531875">
      <w:bodyDiv w:val="1"/>
      <w:marLeft w:val="0"/>
      <w:marRight w:val="0"/>
      <w:marTop w:val="0"/>
      <w:marBottom w:val="0"/>
      <w:divBdr>
        <w:top w:val="none" w:sz="0" w:space="0" w:color="auto"/>
        <w:left w:val="none" w:sz="0" w:space="0" w:color="auto"/>
        <w:bottom w:val="none" w:sz="0" w:space="0" w:color="auto"/>
        <w:right w:val="none" w:sz="0" w:space="0" w:color="auto"/>
      </w:divBdr>
    </w:div>
    <w:div w:id="1712536134">
      <w:bodyDiv w:val="1"/>
      <w:marLeft w:val="0"/>
      <w:marRight w:val="0"/>
      <w:marTop w:val="0"/>
      <w:marBottom w:val="0"/>
      <w:divBdr>
        <w:top w:val="none" w:sz="0" w:space="0" w:color="auto"/>
        <w:left w:val="none" w:sz="0" w:space="0" w:color="auto"/>
        <w:bottom w:val="none" w:sz="0" w:space="0" w:color="auto"/>
        <w:right w:val="none" w:sz="0" w:space="0" w:color="auto"/>
      </w:divBdr>
    </w:div>
    <w:div w:id="1712683172">
      <w:bodyDiv w:val="1"/>
      <w:marLeft w:val="0"/>
      <w:marRight w:val="0"/>
      <w:marTop w:val="0"/>
      <w:marBottom w:val="0"/>
      <w:divBdr>
        <w:top w:val="none" w:sz="0" w:space="0" w:color="auto"/>
        <w:left w:val="none" w:sz="0" w:space="0" w:color="auto"/>
        <w:bottom w:val="none" w:sz="0" w:space="0" w:color="auto"/>
        <w:right w:val="none" w:sz="0" w:space="0" w:color="auto"/>
      </w:divBdr>
    </w:div>
    <w:div w:id="1712728750">
      <w:bodyDiv w:val="1"/>
      <w:marLeft w:val="0"/>
      <w:marRight w:val="0"/>
      <w:marTop w:val="0"/>
      <w:marBottom w:val="0"/>
      <w:divBdr>
        <w:top w:val="none" w:sz="0" w:space="0" w:color="auto"/>
        <w:left w:val="none" w:sz="0" w:space="0" w:color="auto"/>
        <w:bottom w:val="none" w:sz="0" w:space="0" w:color="auto"/>
        <w:right w:val="none" w:sz="0" w:space="0" w:color="auto"/>
      </w:divBdr>
    </w:div>
    <w:div w:id="1712730780">
      <w:bodyDiv w:val="1"/>
      <w:marLeft w:val="0"/>
      <w:marRight w:val="0"/>
      <w:marTop w:val="0"/>
      <w:marBottom w:val="0"/>
      <w:divBdr>
        <w:top w:val="none" w:sz="0" w:space="0" w:color="auto"/>
        <w:left w:val="none" w:sz="0" w:space="0" w:color="auto"/>
        <w:bottom w:val="none" w:sz="0" w:space="0" w:color="auto"/>
        <w:right w:val="none" w:sz="0" w:space="0" w:color="auto"/>
      </w:divBdr>
    </w:div>
    <w:div w:id="1712801431">
      <w:bodyDiv w:val="1"/>
      <w:marLeft w:val="0"/>
      <w:marRight w:val="0"/>
      <w:marTop w:val="0"/>
      <w:marBottom w:val="0"/>
      <w:divBdr>
        <w:top w:val="none" w:sz="0" w:space="0" w:color="auto"/>
        <w:left w:val="none" w:sz="0" w:space="0" w:color="auto"/>
        <w:bottom w:val="none" w:sz="0" w:space="0" w:color="auto"/>
        <w:right w:val="none" w:sz="0" w:space="0" w:color="auto"/>
      </w:divBdr>
    </w:div>
    <w:div w:id="1712850588">
      <w:bodyDiv w:val="1"/>
      <w:marLeft w:val="0"/>
      <w:marRight w:val="0"/>
      <w:marTop w:val="0"/>
      <w:marBottom w:val="0"/>
      <w:divBdr>
        <w:top w:val="none" w:sz="0" w:space="0" w:color="auto"/>
        <w:left w:val="none" w:sz="0" w:space="0" w:color="auto"/>
        <w:bottom w:val="none" w:sz="0" w:space="0" w:color="auto"/>
        <w:right w:val="none" w:sz="0" w:space="0" w:color="auto"/>
      </w:divBdr>
    </w:div>
    <w:div w:id="1712875853">
      <w:bodyDiv w:val="1"/>
      <w:marLeft w:val="0"/>
      <w:marRight w:val="0"/>
      <w:marTop w:val="0"/>
      <w:marBottom w:val="0"/>
      <w:divBdr>
        <w:top w:val="none" w:sz="0" w:space="0" w:color="auto"/>
        <w:left w:val="none" w:sz="0" w:space="0" w:color="auto"/>
        <w:bottom w:val="none" w:sz="0" w:space="0" w:color="auto"/>
        <w:right w:val="none" w:sz="0" w:space="0" w:color="auto"/>
      </w:divBdr>
    </w:div>
    <w:div w:id="1712881570">
      <w:bodyDiv w:val="1"/>
      <w:marLeft w:val="0"/>
      <w:marRight w:val="0"/>
      <w:marTop w:val="0"/>
      <w:marBottom w:val="0"/>
      <w:divBdr>
        <w:top w:val="none" w:sz="0" w:space="0" w:color="auto"/>
        <w:left w:val="none" w:sz="0" w:space="0" w:color="auto"/>
        <w:bottom w:val="none" w:sz="0" w:space="0" w:color="auto"/>
        <w:right w:val="none" w:sz="0" w:space="0" w:color="auto"/>
      </w:divBdr>
    </w:div>
    <w:div w:id="1713070086">
      <w:bodyDiv w:val="1"/>
      <w:marLeft w:val="0"/>
      <w:marRight w:val="0"/>
      <w:marTop w:val="0"/>
      <w:marBottom w:val="0"/>
      <w:divBdr>
        <w:top w:val="none" w:sz="0" w:space="0" w:color="auto"/>
        <w:left w:val="none" w:sz="0" w:space="0" w:color="auto"/>
        <w:bottom w:val="none" w:sz="0" w:space="0" w:color="auto"/>
        <w:right w:val="none" w:sz="0" w:space="0" w:color="auto"/>
      </w:divBdr>
    </w:div>
    <w:div w:id="1713071741">
      <w:bodyDiv w:val="1"/>
      <w:marLeft w:val="0"/>
      <w:marRight w:val="0"/>
      <w:marTop w:val="0"/>
      <w:marBottom w:val="0"/>
      <w:divBdr>
        <w:top w:val="none" w:sz="0" w:space="0" w:color="auto"/>
        <w:left w:val="none" w:sz="0" w:space="0" w:color="auto"/>
        <w:bottom w:val="none" w:sz="0" w:space="0" w:color="auto"/>
        <w:right w:val="none" w:sz="0" w:space="0" w:color="auto"/>
      </w:divBdr>
    </w:div>
    <w:div w:id="1713116209">
      <w:bodyDiv w:val="1"/>
      <w:marLeft w:val="0"/>
      <w:marRight w:val="0"/>
      <w:marTop w:val="0"/>
      <w:marBottom w:val="0"/>
      <w:divBdr>
        <w:top w:val="none" w:sz="0" w:space="0" w:color="auto"/>
        <w:left w:val="none" w:sz="0" w:space="0" w:color="auto"/>
        <w:bottom w:val="none" w:sz="0" w:space="0" w:color="auto"/>
        <w:right w:val="none" w:sz="0" w:space="0" w:color="auto"/>
      </w:divBdr>
    </w:div>
    <w:div w:id="1713118866">
      <w:bodyDiv w:val="1"/>
      <w:marLeft w:val="0"/>
      <w:marRight w:val="0"/>
      <w:marTop w:val="0"/>
      <w:marBottom w:val="0"/>
      <w:divBdr>
        <w:top w:val="none" w:sz="0" w:space="0" w:color="auto"/>
        <w:left w:val="none" w:sz="0" w:space="0" w:color="auto"/>
        <w:bottom w:val="none" w:sz="0" w:space="0" w:color="auto"/>
        <w:right w:val="none" w:sz="0" w:space="0" w:color="auto"/>
      </w:divBdr>
    </w:div>
    <w:div w:id="1713143106">
      <w:bodyDiv w:val="1"/>
      <w:marLeft w:val="0"/>
      <w:marRight w:val="0"/>
      <w:marTop w:val="0"/>
      <w:marBottom w:val="0"/>
      <w:divBdr>
        <w:top w:val="none" w:sz="0" w:space="0" w:color="auto"/>
        <w:left w:val="none" w:sz="0" w:space="0" w:color="auto"/>
        <w:bottom w:val="none" w:sz="0" w:space="0" w:color="auto"/>
        <w:right w:val="none" w:sz="0" w:space="0" w:color="auto"/>
      </w:divBdr>
    </w:div>
    <w:div w:id="1713189558">
      <w:bodyDiv w:val="1"/>
      <w:marLeft w:val="0"/>
      <w:marRight w:val="0"/>
      <w:marTop w:val="0"/>
      <w:marBottom w:val="0"/>
      <w:divBdr>
        <w:top w:val="none" w:sz="0" w:space="0" w:color="auto"/>
        <w:left w:val="none" w:sz="0" w:space="0" w:color="auto"/>
        <w:bottom w:val="none" w:sz="0" w:space="0" w:color="auto"/>
        <w:right w:val="none" w:sz="0" w:space="0" w:color="auto"/>
      </w:divBdr>
    </w:div>
    <w:div w:id="1713263713">
      <w:bodyDiv w:val="1"/>
      <w:marLeft w:val="0"/>
      <w:marRight w:val="0"/>
      <w:marTop w:val="0"/>
      <w:marBottom w:val="0"/>
      <w:divBdr>
        <w:top w:val="none" w:sz="0" w:space="0" w:color="auto"/>
        <w:left w:val="none" w:sz="0" w:space="0" w:color="auto"/>
        <w:bottom w:val="none" w:sz="0" w:space="0" w:color="auto"/>
        <w:right w:val="none" w:sz="0" w:space="0" w:color="auto"/>
      </w:divBdr>
    </w:div>
    <w:div w:id="1713384962">
      <w:bodyDiv w:val="1"/>
      <w:marLeft w:val="0"/>
      <w:marRight w:val="0"/>
      <w:marTop w:val="0"/>
      <w:marBottom w:val="0"/>
      <w:divBdr>
        <w:top w:val="none" w:sz="0" w:space="0" w:color="auto"/>
        <w:left w:val="none" w:sz="0" w:space="0" w:color="auto"/>
        <w:bottom w:val="none" w:sz="0" w:space="0" w:color="auto"/>
        <w:right w:val="none" w:sz="0" w:space="0" w:color="auto"/>
      </w:divBdr>
    </w:div>
    <w:div w:id="1713505795">
      <w:bodyDiv w:val="1"/>
      <w:marLeft w:val="0"/>
      <w:marRight w:val="0"/>
      <w:marTop w:val="0"/>
      <w:marBottom w:val="0"/>
      <w:divBdr>
        <w:top w:val="none" w:sz="0" w:space="0" w:color="auto"/>
        <w:left w:val="none" w:sz="0" w:space="0" w:color="auto"/>
        <w:bottom w:val="none" w:sz="0" w:space="0" w:color="auto"/>
        <w:right w:val="none" w:sz="0" w:space="0" w:color="auto"/>
      </w:divBdr>
    </w:div>
    <w:div w:id="1713529022">
      <w:bodyDiv w:val="1"/>
      <w:marLeft w:val="0"/>
      <w:marRight w:val="0"/>
      <w:marTop w:val="0"/>
      <w:marBottom w:val="0"/>
      <w:divBdr>
        <w:top w:val="none" w:sz="0" w:space="0" w:color="auto"/>
        <w:left w:val="none" w:sz="0" w:space="0" w:color="auto"/>
        <w:bottom w:val="none" w:sz="0" w:space="0" w:color="auto"/>
        <w:right w:val="none" w:sz="0" w:space="0" w:color="auto"/>
      </w:divBdr>
    </w:div>
    <w:div w:id="1713577722">
      <w:bodyDiv w:val="1"/>
      <w:marLeft w:val="0"/>
      <w:marRight w:val="0"/>
      <w:marTop w:val="0"/>
      <w:marBottom w:val="0"/>
      <w:divBdr>
        <w:top w:val="none" w:sz="0" w:space="0" w:color="auto"/>
        <w:left w:val="none" w:sz="0" w:space="0" w:color="auto"/>
        <w:bottom w:val="none" w:sz="0" w:space="0" w:color="auto"/>
        <w:right w:val="none" w:sz="0" w:space="0" w:color="auto"/>
      </w:divBdr>
    </w:div>
    <w:div w:id="1713728178">
      <w:bodyDiv w:val="1"/>
      <w:marLeft w:val="0"/>
      <w:marRight w:val="0"/>
      <w:marTop w:val="0"/>
      <w:marBottom w:val="0"/>
      <w:divBdr>
        <w:top w:val="none" w:sz="0" w:space="0" w:color="auto"/>
        <w:left w:val="none" w:sz="0" w:space="0" w:color="auto"/>
        <w:bottom w:val="none" w:sz="0" w:space="0" w:color="auto"/>
        <w:right w:val="none" w:sz="0" w:space="0" w:color="auto"/>
      </w:divBdr>
    </w:div>
    <w:div w:id="1713840525">
      <w:bodyDiv w:val="1"/>
      <w:marLeft w:val="0"/>
      <w:marRight w:val="0"/>
      <w:marTop w:val="0"/>
      <w:marBottom w:val="0"/>
      <w:divBdr>
        <w:top w:val="none" w:sz="0" w:space="0" w:color="auto"/>
        <w:left w:val="none" w:sz="0" w:space="0" w:color="auto"/>
        <w:bottom w:val="none" w:sz="0" w:space="0" w:color="auto"/>
        <w:right w:val="none" w:sz="0" w:space="0" w:color="auto"/>
      </w:divBdr>
    </w:div>
    <w:div w:id="1713842750">
      <w:bodyDiv w:val="1"/>
      <w:marLeft w:val="0"/>
      <w:marRight w:val="0"/>
      <w:marTop w:val="0"/>
      <w:marBottom w:val="0"/>
      <w:divBdr>
        <w:top w:val="none" w:sz="0" w:space="0" w:color="auto"/>
        <w:left w:val="none" w:sz="0" w:space="0" w:color="auto"/>
        <w:bottom w:val="none" w:sz="0" w:space="0" w:color="auto"/>
        <w:right w:val="none" w:sz="0" w:space="0" w:color="auto"/>
      </w:divBdr>
    </w:div>
    <w:div w:id="1713846643">
      <w:bodyDiv w:val="1"/>
      <w:marLeft w:val="0"/>
      <w:marRight w:val="0"/>
      <w:marTop w:val="0"/>
      <w:marBottom w:val="0"/>
      <w:divBdr>
        <w:top w:val="none" w:sz="0" w:space="0" w:color="auto"/>
        <w:left w:val="none" w:sz="0" w:space="0" w:color="auto"/>
        <w:bottom w:val="none" w:sz="0" w:space="0" w:color="auto"/>
        <w:right w:val="none" w:sz="0" w:space="0" w:color="auto"/>
      </w:divBdr>
    </w:div>
    <w:div w:id="1713849555">
      <w:bodyDiv w:val="1"/>
      <w:marLeft w:val="0"/>
      <w:marRight w:val="0"/>
      <w:marTop w:val="0"/>
      <w:marBottom w:val="0"/>
      <w:divBdr>
        <w:top w:val="none" w:sz="0" w:space="0" w:color="auto"/>
        <w:left w:val="none" w:sz="0" w:space="0" w:color="auto"/>
        <w:bottom w:val="none" w:sz="0" w:space="0" w:color="auto"/>
        <w:right w:val="none" w:sz="0" w:space="0" w:color="auto"/>
      </w:divBdr>
    </w:div>
    <w:div w:id="1713916551">
      <w:bodyDiv w:val="1"/>
      <w:marLeft w:val="0"/>
      <w:marRight w:val="0"/>
      <w:marTop w:val="0"/>
      <w:marBottom w:val="0"/>
      <w:divBdr>
        <w:top w:val="none" w:sz="0" w:space="0" w:color="auto"/>
        <w:left w:val="none" w:sz="0" w:space="0" w:color="auto"/>
        <w:bottom w:val="none" w:sz="0" w:space="0" w:color="auto"/>
        <w:right w:val="none" w:sz="0" w:space="0" w:color="auto"/>
      </w:divBdr>
    </w:div>
    <w:div w:id="1713920472">
      <w:bodyDiv w:val="1"/>
      <w:marLeft w:val="0"/>
      <w:marRight w:val="0"/>
      <w:marTop w:val="0"/>
      <w:marBottom w:val="0"/>
      <w:divBdr>
        <w:top w:val="none" w:sz="0" w:space="0" w:color="auto"/>
        <w:left w:val="none" w:sz="0" w:space="0" w:color="auto"/>
        <w:bottom w:val="none" w:sz="0" w:space="0" w:color="auto"/>
        <w:right w:val="none" w:sz="0" w:space="0" w:color="auto"/>
      </w:divBdr>
    </w:div>
    <w:div w:id="1713966072">
      <w:bodyDiv w:val="1"/>
      <w:marLeft w:val="0"/>
      <w:marRight w:val="0"/>
      <w:marTop w:val="0"/>
      <w:marBottom w:val="0"/>
      <w:divBdr>
        <w:top w:val="none" w:sz="0" w:space="0" w:color="auto"/>
        <w:left w:val="none" w:sz="0" w:space="0" w:color="auto"/>
        <w:bottom w:val="none" w:sz="0" w:space="0" w:color="auto"/>
        <w:right w:val="none" w:sz="0" w:space="0" w:color="auto"/>
      </w:divBdr>
    </w:div>
    <w:div w:id="1714109280">
      <w:bodyDiv w:val="1"/>
      <w:marLeft w:val="0"/>
      <w:marRight w:val="0"/>
      <w:marTop w:val="0"/>
      <w:marBottom w:val="0"/>
      <w:divBdr>
        <w:top w:val="none" w:sz="0" w:space="0" w:color="auto"/>
        <w:left w:val="none" w:sz="0" w:space="0" w:color="auto"/>
        <w:bottom w:val="none" w:sz="0" w:space="0" w:color="auto"/>
        <w:right w:val="none" w:sz="0" w:space="0" w:color="auto"/>
      </w:divBdr>
    </w:div>
    <w:div w:id="1714112642">
      <w:bodyDiv w:val="1"/>
      <w:marLeft w:val="0"/>
      <w:marRight w:val="0"/>
      <w:marTop w:val="0"/>
      <w:marBottom w:val="0"/>
      <w:divBdr>
        <w:top w:val="none" w:sz="0" w:space="0" w:color="auto"/>
        <w:left w:val="none" w:sz="0" w:space="0" w:color="auto"/>
        <w:bottom w:val="none" w:sz="0" w:space="0" w:color="auto"/>
        <w:right w:val="none" w:sz="0" w:space="0" w:color="auto"/>
      </w:divBdr>
    </w:div>
    <w:div w:id="1714113523">
      <w:bodyDiv w:val="1"/>
      <w:marLeft w:val="0"/>
      <w:marRight w:val="0"/>
      <w:marTop w:val="0"/>
      <w:marBottom w:val="0"/>
      <w:divBdr>
        <w:top w:val="none" w:sz="0" w:space="0" w:color="auto"/>
        <w:left w:val="none" w:sz="0" w:space="0" w:color="auto"/>
        <w:bottom w:val="none" w:sz="0" w:space="0" w:color="auto"/>
        <w:right w:val="none" w:sz="0" w:space="0" w:color="auto"/>
      </w:divBdr>
    </w:div>
    <w:div w:id="1714227983">
      <w:bodyDiv w:val="1"/>
      <w:marLeft w:val="0"/>
      <w:marRight w:val="0"/>
      <w:marTop w:val="0"/>
      <w:marBottom w:val="0"/>
      <w:divBdr>
        <w:top w:val="none" w:sz="0" w:space="0" w:color="auto"/>
        <w:left w:val="none" w:sz="0" w:space="0" w:color="auto"/>
        <w:bottom w:val="none" w:sz="0" w:space="0" w:color="auto"/>
        <w:right w:val="none" w:sz="0" w:space="0" w:color="auto"/>
      </w:divBdr>
    </w:div>
    <w:div w:id="1714303743">
      <w:bodyDiv w:val="1"/>
      <w:marLeft w:val="0"/>
      <w:marRight w:val="0"/>
      <w:marTop w:val="0"/>
      <w:marBottom w:val="0"/>
      <w:divBdr>
        <w:top w:val="none" w:sz="0" w:space="0" w:color="auto"/>
        <w:left w:val="none" w:sz="0" w:space="0" w:color="auto"/>
        <w:bottom w:val="none" w:sz="0" w:space="0" w:color="auto"/>
        <w:right w:val="none" w:sz="0" w:space="0" w:color="auto"/>
      </w:divBdr>
    </w:div>
    <w:div w:id="1714304819">
      <w:bodyDiv w:val="1"/>
      <w:marLeft w:val="0"/>
      <w:marRight w:val="0"/>
      <w:marTop w:val="0"/>
      <w:marBottom w:val="0"/>
      <w:divBdr>
        <w:top w:val="none" w:sz="0" w:space="0" w:color="auto"/>
        <w:left w:val="none" w:sz="0" w:space="0" w:color="auto"/>
        <w:bottom w:val="none" w:sz="0" w:space="0" w:color="auto"/>
        <w:right w:val="none" w:sz="0" w:space="0" w:color="auto"/>
      </w:divBdr>
    </w:div>
    <w:div w:id="1714424749">
      <w:bodyDiv w:val="1"/>
      <w:marLeft w:val="0"/>
      <w:marRight w:val="0"/>
      <w:marTop w:val="0"/>
      <w:marBottom w:val="0"/>
      <w:divBdr>
        <w:top w:val="none" w:sz="0" w:space="0" w:color="auto"/>
        <w:left w:val="none" w:sz="0" w:space="0" w:color="auto"/>
        <w:bottom w:val="none" w:sz="0" w:space="0" w:color="auto"/>
        <w:right w:val="none" w:sz="0" w:space="0" w:color="auto"/>
      </w:divBdr>
    </w:div>
    <w:div w:id="1714424981">
      <w:bodyDiv w:val="1"/>
      <w:marLeft w:val="0"/>
      <w:marRight w:val="0"/>
      <w:marTop w:val="0"/>
      <w:marBottom w:val="0"/>
      <w:divBdr>
        <w:top w:val="none" w:sz="0" w:space="0" w:color="auto"/>
        <w:left w:val="none" w:sz="0" w:space="0" w:color="auto"/>
        <w:bottom w:val="none" w:sz="0" w:space="0" w:color="auto"/>
        <w:right w:val="none" w:sz="0" w:space="0" w:color="auto"/>
      </w:divBdr>
    </w:div>
    <w:div w:id="1714573053">
      <w:bodyDiv w:val="1"/>
      <w:marLeft w:val="0"/>
      <w:marRight w:val="0"/>
      <w:marTop w:val="0"/>
      <w:marBottom w:val="0"/>
      <w:divBdr>
        <w:top w:val="none" w:sz="0" w:space="0" w:color="auto"/>
        <w:left w:val="none" w:sz="0" w:space="0" w:color="auto"/>
        <w:bottom w:val="none" w:sz="0" w:space="0" w:color="auto"/>
        <w:right w:val="none" w:sz="0" w:space="0" w:color="auto"/>
      </w:divBdr>
    </w:div>
    <w:div w:id="1714577008">
      <w:bodyDiv w:val="1"/>
      <w:marLeft w:val="0"/>
      <w:marRight w:val="0"/>
      <w:marTop w:val="0"/>
      <w:marBottom w:val="0"/>
      <w:divBdr>
        <w:top w:val="none" w:sz="0" w:space="0" w:color="auto"/>
        <w:left w:val="none" w:sz="0" w:space="0" w:color="auto"/>
        <w:bottom w:val="none" w:sz="0" w:space="0" w:color="auto"/>
        <w:right w:val="none" w:sz="0" w:space="0" w:color="auto"/>
      </w:divBdr>
    </w:div>
    <w:div w:id="1714577342">
      <w:bodyDiv w:val="1"/>
      <w:marLeft w:val="0"/>
      <w:marRight w:val="0"/>
      <w:marTop w:val="0"/>
      <w:marBottom w:val="0"/>
      <w:divBdr>
        <w:top w:val="none" w:sz="0" w:space="0" w:color="auto"/>
        <w:left w:val="none" w:sz="0" w:space="0" w:color="auto"/>
        <w:bottom w:val="none" w:sz="0" w:space="0" w:color="auto"/>
        <w:right w:val="none" w:sz="0" w:space="0" w:color="auto"/>
      </w:divBdr>
    </w:div>
    <w:div w:id="1714769584">
      <w:bodyDiv w:val="1"/>
      <w:marLeft w:val="0"/>
      <w:marRight w:val="0"/>
      <w:marTop w:val="0"/>
      <w:marBottom w:val="0"/>
      <w:divBdr>
        <w:top w:val="none" w:sz="0" w:space="0" w:color="auto"/>
        <w:left w:val="none" w:sz="0" w:space="0" w:color="auto"/>
        <w:bottom w:val="none" w:sz="0" w:space="0" w:color="auto"/>
        <w:right w:val="none" w:sz="0" w:space="0" w:color="auto"/>
      </w:divBdr>
    </w:div>
    <w:div w:id="1714960693">
      <w:bodyDiv w:val="1"/>
      <w:marLeft w:val="0"/>
      <w:marRight w:val="0"/>
      <w:marTop w:val="0"/>
      <w:marBottom w:val="0"/>
      <w:divBdr>
        <w:top w:val="none" w:sz="0" w:space="0" w:color="auto"/>
        <w:left w:val="none" w:sz="0" w:space="0" w:color="auto"/>
        <w:bottom w:val="none" w:sz="0" w:space="0" w:color="auto"/>
        <w:right w:val="none" w:sz="0" w:space="0" w:color="auto"/>
      </w:divBdr>
    </w:div>
    <w:div w:id="1714960814">
      <w:bodyDiv w:val="1"/>
      <w:marLeft w:val="0"/>
      <w:marRight w:val="0"/>
      <w:marTop w:val="0"/>
      <w:marBottom w:val="0"/>
      <w:divBdr>
        <w:top w:val="none" w:sz="0" w:space="0" w:color="auto"/>
        <w:left w:val="none" w:sz="0" w:space="0" w:color="auto"/>
        <w:bottom w:val="none" w:sz="0" w:space="0" w:color="auto"/>
        <w:right w:val="none" w:sz="0" w:space="0" w:color="auto"/>
      </w:divBdr>
    </w:div>
    <w:div w:id="1715041944">
      <w:bodyDiv w:val="1"/>
      <w:marLeft w:val="0"/>
      <w:marRight w:val="0"/>
      <w:marTop w:val="0"/>
      <w:marBottom w:val="0"/>
      <w:divBdr>
        <w:top w:val="none" w:sz="0" w:space="0" w:color="auto"/>
        <w:left w:val="none" w:sz="0" w:space="0" w:color="auto"/>
        <w:bottom w:val="none" w:sz="0" w:space="0" w:color="auto"/>
        <w:right w:val="none" w:sz="0" w:space="0" w:color="auto"/>
      </w:divBdr>
    </w:div>
    <w:div w:id="1715079516">
      <w:bodyDiv w:val="1"/>
      <w:marLeft w:val="0"/>
      <w:marRight w:val="0"/>
      <w:marTop w:val="0"/>
      <w:marBottom w:val="0"/>
      <w:divBdr>
        <w:top w:val="none" w:sz="0" w:space="0" w:color="auto"/>
        <w:left w:val="none" w:sz="0" w:space="0" w:color="auto"/>
        <w:bottom w:val="none" w:sz="0" w:space="0" w:color="auto"/>
        <w:right w:val="none" w:sz="0" w:space="0" w:color="auto"/>
      </w:divBdr>
    </w:div>
    <w:div w:id="1715303576">
      <w:bodyDiv w:val="1"/>
      <w:marLeft w:val="0"/>
      <w:marRight w:val="0"/>
      <w:marTop w:val="0"/>
      <w:marBottom w:val="0"/>
      <w:divBdr>
        <w:top w:val="none" w:sz="0" w:space="0" w:color="auto"/>
        <w:left w:val="none" w:sz="0" w:space="0" w:color="auto"/>
        <w:bottom w:val="none" w:sz="0" w:space="0" w:color="auto"/>
        <w:right w:val="none" w:sz="0" w:space="0" w:color="auto"/>
      </w:divBdr>
    </w:div>
    <w:div w:id="1715304343">
      <w:bodyDiv w:val="1"/>
      <w:marLeft w:val="0"/>
      <w:marRight w:val="0"/>
      <w:marTop w:val="0"/>
      <w:marBottom w:val="0"/>
      <w:divBdr>
        <w:top w:val="none" w:sz="0" w:space="0" w:color="auto"/>
        <w:left w:val="none" w:sz="0" w:space="0" w:color="auto"/>
        <w:bottom w:val="none" w:sz="0" w:space="0" w:color="auto"/>
        <w:right w:val="none" w:sz="0" w:space="0" w:color="auto"/>
      </w:divBdr>
    </w:div>
    <w:div w:id="1715347028">
      <w:bodyDiv w:val="1"/>
      <w:marLeft w:val="0"/>
      <w:marRight w:val="0"/>
      <w:marTop w:val="0"/>
      <w:marBottom w:val="0"/>
      <w:divBdr>
        <w:top w:val="none" w:sz="0" w:space="0" w:color="auto"/>
        <w:left w:val="none" w:sz="0" w:space="0" w:color="auto"/>
        <w:bottom w:val="none" w:sz="0" w:space="0" w:color="auto"/>
        <w:right w:val="none" w:sz="0" w:space="0" w:color="auto"/>
      </w:divBdr>
    </w:div>
    <w:div w:id="1715349175">
      <w:bodyDiv w:val="1"/>
      <w:marLeft w:val="0"/>
      <w:marRight w:val="0"/>
      <w:marTop w:val="0"/>
      <w:marBottom w:val="0"/>
      <w:divBdr>
        <w:top w:val="none" w:sz="0" w:space="0" w:color="auto"/>
        <w:left w:val="none" w:sz="0" w:space="0" w:color="auto"/>
        <w:bottom w:val="none" w:sz="0" w:space="0" w:color="auto"/>
        <w:right w:val="none" w:sz="0" w:space="0" w:color="auto"/>
      </w:divBdr>
    </w:div>
    <w:div w:id="1715419986">
      <w:bodyDiv w:val="1"/>
      <w:marLeft w:val="0"/>
      <w:marRight w:val="0"/>
      <w:marTop w:val="0"/>
      <w:marBottom w:val="0"/>
      <w:divBdr>
        <w:top w:val="none" w:sz="0" w:space="0" w:color="auto"/>
        <w:left w:val="none" w:sz="0" w:space="0" w:color="auto"/>
        <w:bottom w:val="none" w:sz="0" w:space="0" w:color="auto"/>
        <w:right w:val="none" w:sz="0" w:space="0" w:color="auto"/>
      </w:divBdr>
    </w:div>
    <w:div w:id="1715420775">
      <w:bodyDiv w:val="1"/>
      <w:marLeft w:val="0"/>
      <w:marRight w:val="0"/>
      <w:marTop w:val="0"/>
      <w:marBottom w:val="0"/>
      <w:divBdr>
        <w:top w:val="none" w:sz="0" w:space="0" w:color="auto"/>
        <w:left w:val="none" w:sz="0" w:space="0" w:color="auto"/>
        <w:bottom w:val="none" w:sz="0" w:space="0" w:color="auto"/>
        <w:right w:val="none" w:sz="0" w:space="0" w:color="auto"/>
      </w:divBdr>
    </w:div>
    <w:div w:id="1715502635">
      <w:bodyDiv w:val="1"/>
      <w:marLeft w:val="0"/>
      <w:marRight w:val="0"/>
      <w:marTop w:val="0"/>
      <w:marBottom w:val="0"/>
      <w:divBdr>
        <w:top w:val="none" w:sz="0" w:space="0" w:color="auto"/>
        <w:left w:val="none" w:sz="0" w:space="0" w:color="auto"/>
        <w:bottom w:val="none" w:sz="0" w:space="0" w:color="auto"/>
        <w:right w:val="none" w:sz="0" w:space="0" w:color="auto"/>
      </w:divBdr>
    </w:div>
    <w:div w:id="1715541058">
      <w:bodyDiv w:val="1"/>
      <w:marLeft w:val="0"/>
      <w:marRight w:val="0"/>
      <w:marTop w:val="0"/>
      <w:marBottom w:val="0"/>
      <w:divBdr>
        <w:top w:val="none" w:sz="0" w:space="0" w:color="auto"/>
        <w:left w:val="none" w:sz="0" w:space="0" w:color="auto"/>
        <w:bottom w:val="none" w:sz="0" w:space="0" w:color="auto"/>
        <w:right w:val="none" w:sz="0" w:space="0" w:color="auto"/>
      </w:divBdr>
    </w:div>
    <w:div w:id="1715693272">
      <w:bodyDiv w:val="1"/>
      <w:marLeft w:val="0"/>
      <w:marRight w:val="0"/>
      <w:marTop w:val="0"/>
      <w:marBottom w:val="0"/>
      <w:divBdr>
        <w:top w:val="none" w:sz="0" w:space="0" w:color="auto"/>
        <w:left w:val="none" w:sz="0" w:space="0" w:color="auto"/>
        <w:bottom w:val="none" w:sz="0" w:space="0" w:color="auto"/>
        <w:right w:val="none" w:sz="0" w:space="0" w:color="auto"/>
      </w:divBdr>
    </w:div>
    <w:div w:id="1715696144">
      <w:bodyDiv w:val="1"/>
      <w:marLeft w:val="0"/>
      <w:marRight w:val="0"/>
      <w:marTop w:val="0"/>
      <w:marBottom w:val="0"/>
      <w:divBdr>
        <w:top w:val="none" w:sz="0" w:space="0" w:color="auto"/>
        <w:left w:val="none" w:sz="0" w:space="0" w:color="auto"/>
        <w:bottom w:val="none" w:sz="0" w:space="0" w:color="auto"/>
        <w:right w:val="none" w:sz="0" w:space="0" w:color="auto"/>
      </w:divBdr>
    </w:div>
    <w:div w:id="1715884473">
      <w:bodyDiv w:val="1"/>
      <w:marLeft w:val="0"/>
      <w:marRight w:val="0"/>
      <w:marTop w:val="0"/>
      <w:marBottom w:val="0"/>
      <w:divBdr>
        <w:top w:val="none" w:sz="0" w:space="0" w:color="auto"/>
        <w:left w:val="none" w:sz="0" w:space="0" w:color="auto"/>
        <w:bottom w:val="none" w:sz="0" w:space="0" w:color="auto"/>
        <w:right w:val="none" w:sz="0" w:space="0" w:color="auto"/>
      </w:divBdr>
    </w:div>
    <w:div w:id="1715885268">
      <w:bodyDiv w:val="1"/>
      <w:marLeft w:val="0"/>
      <w:marRight w:val="0"/>
      <w:marTop w:val="0"/>
      <w:marBottom w:val="0"/>
      <w:divBdr>
        <w:top w:val="none" w:sz="0" w:space="0" w:color="auto"/>
        <w:left w:val="none" w:sz="0" w:space="0" w:color="auto"/>
        <w:bottom w:val="none" w:sz="0" w:space="0" w:color="auto"/>
        <w:right w:val="none" w:sz="0" w:space="0" w:color="auto"/>
      </w:divBdr>
    </w:div>
    <w:div w:id="1715887812">
      <w:bodyDiv w:val="1"/>
      <w:marLeft w:val="0"/>
      <w:marRight w:val="0"/>
      <w:marTop w:val="0"/>
      <w:marBottom w:val="0"/>
      <w:divBdr>
        <w:top w:val="none" w:sz="0" w:space="0" w:color="auto"/>
        <w:left w:val="none" w:sz="0" w:space="0" w:color="auto"/>
        <w:bottom w:val="none" w:sz="0" w:space="0" w:color="auto"/>
        <w:right w:val="none" w:sz="0" w:space="0" w:color="auto"/>
      </w:divBdr>
    </w:div>
    <w:div w:id="1715888315">
      <w:bodyDiv w:val="1"/>
      <w:marLeft w:val="0"/>
      <w:marRight w:val="0"/>
      <w:marTop w:val="0"/>
      <w:marBottom w:val="0"/>
      <w:divBdr>
        <w:top w:val="none" w:sz="0" w:space="0" w:color="auto"/>
        <w:left w:val="none" w:sz="0" w:space="0" w:color="auto"/>
        <w:bottom w:val="none" w:sz="0" w:space="0" w:color="auto"/>
        <w:right w:val="none" w:sz="0" w:space="0" w:color="auto"/>
      </w:divBdr>
    </w:div>
    <w:div w:id="1716196036">
      <w:bodyDiv w:val="1"/>
      <w:marLeft w:val="0"/>
      <w:marRight w:val="0"/>
      <w:marTop w:val="0"/>
      <w:marBottom w:val="0"/>
      <w:divBdr>
        <w:top w:val="none" w:sz="0" w:space="0" w:color="auto"/>
        <w:left w:val="none" w:sz="0" w:space="0" w:color="auto"/>
        <w:bottom w:val="none" w:sz="0" w:space="0" w:color="auto"/>
        <w:right w:val="none" w:sz="0" w:space="0" w:color="auto"/>
      </w:divBdr>
    </w:div>
    <w:div w:id="1716197508">
      <w:bodyDiv w:val="1"/>
      <w:marLeft w:val="0"/>
      <w:marRight w:val="0"/>
      <w:marTop w:val="0"/>
      <w:marBottom w:val="0"/>
      <w:divBdr>
        <w:top w:val="none" w:sz="0" w:space="0" w:color="auto"/>
        <w:left w:val="none" w:sz="0" w:space="0" w:color="auto"/>
        <w:bottom w:val="none" w:sz="0" w:space="0" w:color="auto"/>
        <w:right w:val="none" w:sz="0" w:space="0" w:color="auto"/>
      </w:divBdr>
    </w:div>
    <w:div w:id="1716269261">
      <w:bodyDiv w:val="1"/>
      <w:marLeft w:val="0"/>
      <w:marRight w:val="0"/>
      <w:marTop w:val="0"/>
      <w:marBottom w:val="0"/>
      <w:divBdr>
        <w:top w:val="none" w:sz="0" w:space="0" w:color="auto"/>
        <w:left w:val="none" w:sz="0" w:space="0" w:color="auto"/>
        <w:bottom w:val="none" w:sz="0" w:space="0" w:color="auto"/>
        <w:right w:val="none" w:sz="0" w:space="0" w:color="auto"/>
      </w:divBdr>
    </w:div>
    <w:div w:id="1716273872">
      <w:bodyDiv w:val="1"/>
      <w:marLeft w:val="0"/>
      <w:marRight w:val="0"/>
      <w:marTop w:val="0"/>
      <w:marBottom w:val="0"/>
      <w:divBdr>
        <w:top w:val="none" w:sz="0" w:space="0" w:color="auto"/>
        <w:left w:val="none" w:sz="0" w:space="0" w:color="auto"/>
        <w:bottom w:val="none" w:sz="0" w:space="0" w:color="auto"/>
        <w:right w:val="none" w:sz="0" w:space="0" w:color="auto"/>
      </w:divBdr>
    </w:div>
    <w:div w:id="1716344530">
      <w:bodyDiv w:val="1"/>
      <w:marLeft w:val="0"/>
      <w:marRight w:val="0"/>
      <w:marTop w:val="0"/>
      <w:marBottom w:val="0"/>
      <w:divBdr>
        <w:top w:val="none" w:sz="0" w:space="0" w:color="auto"/>
        <w:left w:val="none" w:sz="0" w:space="0" w:color="auto"/>
        <w:bottom w:val="none" w:sz="0" w:space="0" w:color="auto"/>
        <w:right w:val="none" w:sz="0" w:space="0" w:color="auto"/>
      </w:divBdr>
    </w:div>
    <w:div w:id="1716462695">
      <w:bodyDiv w:val="1"/>
      <w:marLeft w:val="0"/>
      <w:marRight w:val="0"/>
      <w:marTop w:val="0"/>
      <w:marBottom w:val="0"/>
      <w:divBdr>
        <w:top w:val="none" w:sz="0" w:space="0" w:color="auto"/>
        <w:left w:val="none" w:sz="0" w:space="0" w:color="auto"/>
        <w:bottom w:val="none" w:sz="0" w:space="0" w:color="auto"/>
        <w:right w:val="none" w:sz="0" w:space="0" w:color="auto"/>
      </w:divBdr>
    </w:div>
    <w:div w:id="1716464699">
      <w:bodyDiv w:val="1"/>
      <w:marLeft w:val="0"/>
      <w:marRight w:val="0"/>
      <w:marTop w:val="0"/>
      <w:marBottom w:val="0"/>
      <w:divBdr>
        <w:top w:val="none" w:sz="0" w:space="0" w:color="auto"/>
        <w:left w:val="none" w:sz="0" w:space="0" w:color="auto"/>
        <w:bottom w:val="none" w:sz="0" w:space="0" w:color="auto"/>
        <w:right w:val="none" w:sz="0" w:space="0" w:color="auto"/>
      </w:divBdr>
    </w:div>
    <w:div w:id="1716537415">
      <w:bodyDiv w:val="1"/>
      <w:marLeft w:val="0"/>
      <w:marRight w:val="0"/>
      <w:marTop w:val="0"/>
      <w:marBottom w:val="0"/>
      <w:divBdr>
        <w:top w:val="none" w:sz="0" w:space="0" w:color="auto"/>
        <w:left w:val="none" w:sz="0" w:space="0" w:color="auto"/>
        <w:bottom w:val="none" w:sz="0" w:space="0" w:color="auto"/>
        <w:right w:val="none" w:sz="0" w:space="0" w:color="auto"/>
      </w:divBdr>
    </w:div>
    <w:div w:id="1716616198">
      <w:bodyDiv w:val="1"/>
      <w:marLeft w:val="0"/>
      <w:marRight w:val="0"/>
      <w:marTop w:val="0"/>
      <w:marBottom w:val="0"/>
      <w:divBdr>
        <w:top w:val="none" w:sz="0" w:space="0" w:color="auto"/>
        <w:left w:val="none" w:sz="0" w:space="0" w:color="auto"/>
        <w:bottom w:val="none" w:sz="0" w:space="0" w:color="auto"/>
        <w:right w:val="none" w:sz="0" w:space="0" w:color="auto"/>
      </w:divBdr>
    </w:div>
    <w:div w:id="1716658982">
      <w:bodyDiv w:val="1"/>
      <w:marLeft w:val="0"/>
      <w:marRight w:val="0"/>
      <w:marTop w:val="0"/>
      <w:marBottom w:val="0"/>
      <w:divBdr>
        <w:top w:val="none" w:sz="0" w:space="0" w:color="auto"/>
        <w:left w:val="none" w:sz="0" w:space="0" w:color="auto"/>
        <w:bottom w:val="none" w:sz="0" w:space="0" w:color="auto"/>
        <w:right w:val="none" w:sz="0" w:space="0" w:color="auto"/>
      </w:divBdr>
    </w:div>
    <w:div w:id="1716664018">
      <w:bodyDiv w:val="1"/>
      <w:marLeft w:val="0"/>
      <w:marRight w:val="0"/>
      <w:marTop w:val="0"/>
      <w:marBottom w:val="0"/>
      <w:divBdr>
        <w:top w:val="none" w:sz="0" w:space="0" w:color="auto"/>
        <w:left w:val="none" w:sz="0" w:space="0" w:color="auto"/>
        <w:bottom w:val="none" w:sz="0" w:space="0" w:color="auto"/>
        <w:right w:val="none" w:sz="0" w:space="0" w:color="auto"/>
      </w:divBdr>
    </w:div>
    <w:div w:id="1716733736">
      <w:bodyDiv w:val="1"/>
      <w:marLeft w:val="0"/>
      <w:marRight w:val="0"/>
      <w:marTop w:val="0"/>
      <w:marBottom w:val="0"/>
      <w:divBdr>
        <w:top w:val="none" w:sz="0" w:space="0" w:color="auto"/>
        <w:left w:val="none" w:sz="0" w:space="0" w:color="auto"/>
        <w:bottom w:val="none" w:sz="0" w:space="0" w:color="auto"/>
        <w:right w:val="none" w:sz="0" w:space="0" w:color="auto"/>
      </w:divBdr>
    </w:div>
    <w:div w:id="1716734066">
      <w:bodyDiv w:val="1"/>
      <w:marLeft w:val="0"/>
      <w:marRight w:val="0"/>
      <w:marTop w:val="0"/>
      <w:marBottom w:val="0"/>
      <w:divBdr>
        <w:top w:val="none" w:sz="0" w:space="0" w:color="auto"/>
        <w:left w:val="none" w:sz="0" w:space="0" w:color="auto"/>
        <w:bottom w:val="none" w:sz="0" w:space="0" w:color="auto"/>
        <w:right w:val="none" w:sz="0" w:space="0" w:color="auto"/>
      </w:divBdr>
    </w:div>
    <w:div w:id="1716737120">
      <w:bodyDiv w:val="1"/>
      <w:marLeft w:val="0"/>
      <w:marRight w:val="0"/>
      <w:marTop w:val="0"/>
      <w:marBottom w:val="0"/>
      <w:divBdr>
        <w:top w:val="none" w:sz="0" w:space="0" w:color="auto"/>
        <w:left w:val="none" w:sz="0" w:space="0" w:color="auto"/>
        <w:bottom w:val="none" w:sz="0" w:space="0" w:color="auto"/>
        <w:right w:val="none" w:sz="0" w:space="0" w:color="auto"/>
      </w:divBdr>
    </w:div>
    <w:div w:id="1716739411">
      <w:bodyDiv w:val="1"/>
      <w:marLeft w:val="0"/>
      <w:marRight w:val="0"/>
      <w:marTop w:val="0"/>
      <w:marBottom w:val="0"/>
      <w:divBdr>
        <w:top w:val="none" w:sz="0" w:space="0" w:color="auto"/>
        <w:left w:val="none" w:sz="0" w:space="0" w:color="auto"/>
        <w:bottom w:val="none" w:sz="0" w:space="0" w:color="auto"/>
        <w:right w:val="none" w:sz="0" w:space="0" w:color="auto"/>
      </w:divBdr>
    </w:div>
    <w:div w:id="1716849356">
      <w:bodyDiv w:val="1"/>
      <w:marLeft w:val="0"/>
      <w:marRight w:val="0"/>
      <w:marTop w:val="0"/>
      <w:marBottom w:val="0"/>
      <w:divBdr>
        <w:top w:val="none" w:sz="0" w:space="0" w:color="auto"/>
        <w:left w:val="none" w:sz="0" w:space="0" w:color="auto"/>
        <w:bottom w:val="none" w:sz="0" w:space="0" w:color="auto"/>
        <w:right w:val="none" w:sz="0" w:space="0" w:color="auto"/>
      </w:divBdr>
    </w:div>
    <w:div w:id="1716850465">
      <w:bodyDiv w:val="1"/>
      <w:marLeft w:val="0"/>
      <w:marRight w:val="0"/>
      <w:marTop w:val="0"/>
      <w:marBottom w:val="0"/>
      <w:divBdr>
        <w:top w:val="none" w:sz="0" w:space="0" w:color="auto"/>
        <w:left w:val="none" w:sz="0" w:space="0" w:color="auto"/>
        <w:bottom w:val="none" w:sz="0" w:space="0" w:color="auto"/>
        <w:right w:val="none" w:sz="0" w:space="0" w:color="auto"/>
      </w:divBdr>
    </w:div>
    <w:div w:id="1716857085">
      <w:bodyDiv w:val="1"/>
      <w:marLeft w:val="0"/>
      <w:marRight w:val="0"/>
      <w:marTop w:val="0"/>
      <w:marBottom w:val="0"/>
      <w:divBdr>
        <w:top w:val="none" w:sz="0" w:space="0" w:color="auto"/>
        <w:left w:val="none" w:sz="0" w:space="0" w:color="auto"/>
        <w:bottom w:val="none" w:sz="0" w:space="0" w:color="auto"/>
        <w:right w:val="none" w:sz="0" w:space="0" w:color="auto"/>
      </w:divBdr>
    </w:div>
    <w:div w:id="1716857266">
      <w:bodyDiv w:val="1"/>
      <w:marLeft w:val="0"/>
      <w:marRight w:val="0"/>
      <w:marTop w:val="0"/>
      <w:marBottom w:val="0"/>
      <w:divBdr>
        <w:top w:val="none" w:sz="0" w:space="0" w:color="auto"/>
        <w:left w:val="none" w:sz="0" w:space="0" w:color="auto"/>
        <w:bottom w:val="none" w:sz="0" w:space="0" w:color="auto"/>
        <w:right w:val="none" w:sz="0" w:space="0" w:color="auto"/>
      </w:divBdr>
    </w:div>
    <w:div w:id="1716857529">
      <w:bodyDiv w:val="1"/>
      <w:marLeft w:val="0"/>
      <w:marRight w:val="0"/>
      <w:marTop w:val="0"/>
      <w:marBottom w:val="0"/>
      <w:divBdr>
        <w:top w:val="none" w:sz="0" w:space="0" w:color="auto"/>
        <w:left w:val="none" w:sz="0" w:space="0" w:color="auto"/>
        <w:bottom w:val="none" w:sz="0" w:space="0" w:color="auto"/>
        <w:right w:val="none" w:sz="0" w:space="0" w:color="auto"/>
      </w:divBdr>
    </w:div>
    <w:div w:id="1716930547">
      <w:bodyDiv w:val="1"/>
      <w:marLeft w:val="0"/>
      <w:marRight w:val="0"/>
      <w:marTop w:val="0"/>
      <w:marBottom w:val="0"/>
      <w:divBdr>
        <w:top w:val="none" w:sz="0" w:space="0" w:color="auto"/>
        <w:left w:val="none" w:sz="0" w:space="0" w:color="auto"/>
        <w:bottom w:val="none" w:sz="0" w:space="0" w:color="auto"/>
        <w:right w:val="none" w:sz="0" w:space="0" w:color="auto"/>
      </w:divBdr>
    </w:div>
    <w:div w:id="1716931124">
      <w:bodyDiv w:val="1"/>
      <w:marLeft w:val="0"/>
      <w:marRight w:val="0"/>
      <w:marTop w:val="0"/>
      <w:marBottom w:val="0"/>
      <w:divBdr>
        <w:top w:val="none" w:sz="0" w:space="0" w:color="auto"/>
        <w:left w:val="none" w:sz="0" w:space="0" w:color="auto"/>
        <w:bottom w:val="none" w:sz="0" w:space="0" w:color="auto"/>
        <w:right w:val="none" w:sz="0" w:space="0" w:color="auto"/>
      </w:divBdr>
    </w:div>
    <w:div w:id="1717002859">
      <w:bodyDiv w:val="1"/>
      <w:marLeft w:val="0"/>
      <w:marRight w:val="0"/>
      <w:marTop w:val="0"/>
      <w:marBottom w:val="0"/>
      <w:divBdr>
        <w:top w:val="none" w:sz="0" w:space="0" w:color="auto"/>
        <w:left w:val="none" w:sz="0" w:space="0" w:color="auto"/>
        <w:bottom w:val="none" w:sz="0" w:space="0" w:color="auto"/>
        <w:right w:val="none" w:sz="0" w:space="0" w:color="auto"/>
      </w:divBdr>
    </w:div>
    <w:div w:id="1717004122">
      <w:bodyDiv w:val="1"/>
      <w:marLeft w:val="0"/>
      <w:marRight w:val="0"/>
      <w:marTop w:val="0"/>
      <w:marBottom w:val="0"/>
      <w:divBdr>
        <w:top w:val="none" w:sz="0" w:space="0" w:color="auto"/>
        <w:left w:val="none" w:sz="0" w:space="0" w:color="auto"/>
        <w:bottom w:val="none" w:sz="0" w:space="0" w:color="auto"/>
        <w:right w:val="none" w:sz="0" w:space="0" w:color="auto"/>
      </w:divBdr>
    </w:div>
    <w:div w:id="1717007145">
      <w:bodyDiv w:val="1"/>
      <w:marLeft w:val="0"/>
      <w:marRight w:val="0"/>
      <w:marTop w:val="0"/>
      <w:marBottom w:val="0"/>
      <w:divBdr>
        <w:top w:val="none" w:sz="0" w:space="0" w:color="auto"/>
        <w:left w:val="none" w:sz="0" w:space="0" w:color="auto"/>
        <w:bottom w:val="none" w:sz="0" w:space="0" w:color="auto"/>
        <w:right w:val="none" w:sz="0" w:space="0" w:color="auto"/>
      </w:divBdr>
    </w:div>
    <w:div w:id="1717116978">
      <w:bodyDiv w:val="1"/>
      <w:marLeft w:val="0"/>
      <w:marRight w:val="0"/>
      <w:marTop w:val="0"/>
      <w:marBottom w:val="0"/>
      <w:divBdr>
        <w:top w:val="none" w:sz="0" w:space="0" w:color="auto"/>
        <w:left w:val="none" w:sz="0" w:space="0" w:color="auto"/>
        <w:bottom w:val="none" w:sz="0" w:space="0" w:color="auto"/>
        <w:right w:val="none" w:sz="0" w:space="0" w:color="auto"/>
      </w:divBdr>
    </w:div>
    <w:div w:id="1717197703">
      <w:bodyDiv w:val="1"/>
      <w:marLeft w:val="0"/>
      <w:marRight w:val="0"/>
      <w:marTop w:val="0"/>
      <w:marBottom w:val="0"/>
      <w:divBdr>
        <w:top w:val="none" w:sz="0" w:space="0" w:color="auto"/>
        <w:left w:val="none" w:sz="0" w:space="0" w:color="auto"/>
        <w:bottom w:val="none" w:sz="0" w:space="0" w:color="auto"/>
        <w:right w:val="none" w:sz="0" w:space="0" w:color="auto"/>
      </w:divBdr>
    </w:div>
    <w:div w:id="1717310072">
      <w:bodyDiv w:val="1"/>
      <w:marLeft w:val="0"/>
      <w:marRight w:val="0"/>
      <w:marTop w:val="0"/>
      <w:marBottom w:val="0"/>
      <w:divBdr>
        <w:top w:val="none" w:sz="0" w:space="0" w:color="auto"/>
        <w:left w:val="none" w:sz="0" w:space="0" w:color="auto"/>
        <w:bottom w:val="none" w:sz="0" w:space="0" w:color="auto"/>
        <w:right w:val="none" w:sz="0" w:space="0" w:color="auto"/>
      </w:divBdr>
    </w:div>
    <w:div w:id="1717316682">
      <w:bodyDiv w:val="1"/>
      <w:marLeft w:val="0"/>
      <w:marRight w:val="0"/>
      <w:marTop w:val="0"/>
      <w:marBottom w:val="0"/>
      <w:divBdr>
        <w:top w:val="none" w:sz="0" w:space="0" w:color="auto"/>
        <w:left w:val="none" w:sz="0" w:space="0" w:color="auto"/>
        <w:bottom w:val="none" w:sz="0" w:space="0" w:color="auto"/>
        <w:right w:val="none" w:sz="0" w:space="0" w:color="auto"/>
      </w:divBdr>
    </w:div>
    <w:div w:id="1717466594">
      <w:bodyDiv w:val="1"/>
      <w:marLeft w:val="0"/>
      <w:marRight w:val="0"/>
      <w:marTop w:val="0"/>
      <w:marBottom w:val="0"/>
      <w:divBdr>
        <w:top w:val="none" w:sz="0" w:space="0" w:color="auto"/>
        <w:left w:val="none" w:sz="0" w:space="0" w:color="auto"/>
        <w:bottom w:val="none" w:sz="0" w:space="0" w:color="auto"/>
        <w:right w:val="none" w:sz="0" w:space="0" w:color="auto"/>
      </w:divBdr>
    </w:div>
    <w:div w:id="1717510410">
      <w:bodyDiv w:val="1"/>
      <w:marLeft w:val="0"/>
      <w:marRight w:val="0"/>
      <w:marTop w:val="0"/>
      <w:marBottom w:val="0"/>
      <w:divBdr>
        <w:top w:val="none" w:sz="0" w:space="0" w:color="auto"/>
        <w:left w:val="none" w:sz="0" w:space="0" w:color="auto"/>
        <w:bottom w:val="none" w:sz="0" w:space="0" w:color="auto"/>
        <w:right w:val="none" w:sz="0" w:space="0" w:color="auto"/>
      </w:divBdr>
    </w:div>
    <w:div w:id="1717655631">
      <w:bodyDiv w:val="1"/>
      <w:marLeft w:val="0"/>
      <w:marRight w:val="0"/>
      <w:marTop w:val="0"/>
      <w:marBottom w:val="0"/>
      <w:divBdr>
        <w:top w:val="none" w:sz="0" w:space="0" w:color="auto"/>
        <w:left w:val="none" w:sz="0" w:space="0" w:color="auto"/>
        <w:bottom w:val="none" w:sz="0" w:space="0" w:color="auto"/>
        <w:right w:val="none" w:sz="0" w:space="0" w:color="auto"/>
      </w:divBdr>
    </w:div>
    <w:div w:id="1717698946">
      <w:bodyDiv w:val="1"/>
      <w:marLeft w:val="0"/>
      <w:marRight w:val="0"/>
      <w:marTop w:val="0"/>
      <w:marBottom w:val="0"/>
      <w:divBdr>
        <w:top w:val="none" w:sz="0" w:space="0" w:color="auto"/>
        <w:left w:val="none" w:sz="0" w:space="0" w:color="auto"/>
        <w:bottom w:val="none" w:sz="0" w:space="0" w:color="auto"/>
        <w:right w:val="none" w:sz="0" w:space="0" w:color="auto"/>
      </w:divBdr>
    </w:div>
    <w:div w:id="1717701245">
      <w:bodyDiv w:val="1"/>
      <w:marLeft w:val="0"/>
      <w:marRight w:val="0"/>
      <w:marTop w:val="0"/>
      <w:marBottom w:val="0"/>
      <w:divBdr>
        <w:top w:val="none" w:sz="0" w:space="0" w:color="auto"/>
        <w:left w:val="none" w:sz="0" w:space="0" w:color="auto"/>
        <w:bottom w:val="none" w:sz="0" w:space="0" w:color="auto"/>
        <w:right w:val="none" w:sz="0" w:space="0" w:color="auto"/>
      </w:divBdr>
    </w:div>
    <w:div w:id="1717729166">
      <w:bodyDiv w:val="1"/>
      <w:marLeft w:val="0"/>
      <w:marRight w:val="0"/>
      <w:marTop w:val="0"/>
      <w:marBottom w:val="0"/>
      <w:divBdr>
        <w:top w:val="none" w:sz="0" w:space="0" w:color="auto"/>
        <w:left w:val="none" w:sz="0" w:space="0" w:color="auto"/>
        <w:bottom w:val="none" w:sz="0" w:space="0" w:color="auto"/>
        <w:right w:val="none" w:sz="0" w:space="0" w:color="auto"/>
      </w:divBdr>
    </w:div>
    <w:div w:id="1717853829">
      <w:bodyDiv w:val="1"/>
      <w:marLeft w:val="0"/>
      <w:marRight w:val="0"/>
      <w:marTop w:val="0"/>
      <w:marBottom w:val="0"/>
      <w:divBdr>
        <w:top w:val="none" w:sz="0" w:space="0" w:color="auto"/>
        <w:left w:val="none" w:sz="0" w:space="0" w:color="auto"/>
        <w:bottom w:val="none" w:sz="0" w:space="0" w:color="auto"/>
        <w:right w:val="none" w:sz="0" w:space="0" w:color="auto"/>
      </w:divBdr>
    </w:div>
    <w:div w:id="1717899388">
      <w:bodyDiv w:val="1"/>
      <w:marLeft w:val="0"/>
      <w:marRight w:val="0"/>
      <w:marTop w:val="0"/>
      <w:marBottom w:val="0"/>
      <w:divBdr>
        <w:top w:val="none" w:sz="0" w:space="0" w:color="auto"/>
        <w:left w:val="none" w:sz="0" w:space="0" w:color="auto"/>
        <w:bottom w:val="none" w:sz="0" w:space="0" w:color="auto"/>
        <w:right w:val="none" w:sz="0" w:space="0" w:color="auto"/>
      </w:divBdr>
    </w:div>
    <w:div w:id="1717922702">
      <w:bodyDiv w:val="1"/>
      <w:marLeft w:val="0"/>
      <w:marRight w:val="0"/>
      <w:marTop w:val="0"/>
      <w:marBottom w:val="0"/>
      <w:divBdr>
        <w:top w:val="none" w:sz="0" w:space="0" w:color="auto"/>
        <w:left w:val="none" w:sz="0" w:space="0" w:color="auto"/>
        <w:bottom w:val="none" w:sz="0" w:space="0" w:color="auto"/>
        <w:right w:val="none" w:sz="0" w:space="0" w:color="auto"/>
      </w:divBdr>
    </w:div>
    <w:div w:id="1717973568">
      <w:bodyDiv w:val="1"/>
      <w:marLeft w:val="0"/>
      <w:marRight w:val="0"/>
      <w:marTop w:val="0"/>
      <w:marBottom w:val="0"/>
      <w:divBdr>
        <w:top w:val="none" w:sz="0" w:space="0" w:color="auto"/>
        <w:left w:val="none" w:sz="0" w:space="0" w:color="auto"/>
        <w:bottom w:val="none" w:sz="0" w:space="0" w:color="auto"/>
        <w:right w:val="none" w:sz="0" w:space="0" w:color="auto"/>
      </w:divBdr>
    </w:div>
    <w:div w:id="1718047749">
      <w:bodyDiv w:val="1"/>
      <w:marLeft w:val="0"/>
      <w:marRight w:val="0"/>
      <w:marTop w:val="0"/>
      <w:marBottom w:val="0"/>
      <w:divBdr>
        <w:top w:val="none" w:sz="0" w:space="0" w:color="auto"/>
        <w:left w:val="none" w:sz="0" w:space="0" w:color="auto"/>
        <w:bottom w:val="none" w:sz="0" w:space="0" w:color="auto"/>
        <w:right w:val="none" w:sz="0" w:space="0" w:color="auto"/>
      </w:divBdr>
    </w:div>
    <w:div w:id="1718117117">
      <w:bodyDiv w:val="1"/>
      <w:marLeft w:val="0"/>
      <w:marRight w:val="0"/>
      <w:marTop w:val="0"/>
      <w:marBottom w:val="0"/>
      <w:divBdr>
        <w:top w:val="none" w:sz="0" w:space="0" w:color="auto"/>
        <w:left w:val="none" w:sz="0" w:space="0" w:color="auto"/>
        <w:bottom w:val="none" w:sz="0" w:space="0" w:color="auto"/>
        <w:right w:val="none" w:sz="0" w:space="0" w:color="auto"/>
      </w:divBdr>
    </w:div>
    <w:div w:id="1718117456">
      <w:bodyDiv w:val="1"/>
      <w:marLeft w:val="0"/>
      <w:marRight w:val="0"/>
      <w:marTop w:val="0"/>
      <w:marBottom w:val="0"/>
      <w:divBdr>
        <w:top w:val="none" w:sz="0" w:space="0" w:color="auto"/>
        <w:left w:val="none" w:sz="0" w:space="0" w:color="auto"/>
        <w:bottom w:val="none" w:sz="0" w:space="0" w:color="auto"/>
        <w:right w:val="none" w:sz="0" w:space="0" w:color="auto"/>
      </w:divBdr>
    </w:div>
    <w:div w:id="1718124148">
      <w:bodyDiv w:val="1"/>
      <w:marLeft w:val="0"/>
      <w:marRight w:val="0"/>
      <w:marTop w:val="0"/>
      <w:marBottom w:val="0"/>
      <w:divBdr>
        <w:top w:val="none" w:sz="0" w:space="0" w:color="auto"/>
        <w:left w:val="none" w:sz="0" w:space="0" w:color="auto"/>
        <w:bottom w:val="none" w:sz="0" w:space="0" w:color="auto"/>
        <w:right w:val="none" w:sz="0" w:space="0" w:color="auto"/>
      </w:divBdr>
    </w:div>
    <w:div w:id="1718124444">
      <w:bodyDiv w:val="1"/>
      <w:marLeft w:val="0"/>
      <w:marRight w:val="0"/>
      <w:marTop w:val="0"/>
      <w:marBottom w:val="0"/>
      <w:divBdr>
        <w:top w:val="none" w:sz="0" w:space="0" w:color="auto"/>
        <w:left w:val="none" w:sz="0" w:space="0" w:color="auto"/>
        <w:bottom w:val="none" w:sz="0" w:space="0" w:color="auto"/>
        <w:right w:val="none" w:sz="0" w:space="0" w:color="auto"/>
      </w:divBdr>
    </w:div>
    <w:div w:id="1718165070">
      <w:bodyDiv w:val="1"/>
      <w:marLeft w:val="0"/>
      <w:marRight w:val="0"/>
      <w:marTop w:val="0"/>
      <w:marBottom w:val="0"/>
      <w:divBdr>
        <w:top w:val="none" w:sz="0" w:space="0" w:color="auto"/>
        <w:left w:val="none" w:sz="0" w:space="0" w:color="auto"/>
        <w:bottom w:val="none" w:sz="0" w:space="0" w:color="auto"/>
        <w:right w:val="none" w:sz="0" w:space="0" w:color="auto"/>
      </w:divBdr>
    </w:div>
    <w:div w:id="1718167303">
      <w:bodyDiv w:val="1"/>
      <w:marLeft w:val="0"/>
      <w:marRight w:val="0"/>
      <w:marTop w:val="0"/>
      <w:marBottom w:val="0"/>
      <w:divBdr>
        <w:top w:val="none" w:sz="0" w:space="0" w:color="auto"/>
        <w:left w:val="none" w:sz="0" w:space="0" w:color="auto"/>
        <w:bottom w:val="none" w:sz="0" w:space="0" w:color="auto"/>
        <w:right w:val="none" w:sz="0" w:space="0" w:color="auto"/>
      </w:divBdr>
    </w:div>
    <w:div w:id="1718313544">
      <w:bodyDiv w:val="1"/>
      <w:marLeft w:val="0"/>
      <w:marRight w:val="0"/>
      <w:marTop w:val="0"/>
      <w:marBottom w:val="0"/>
      <w:divBdr>
        <w:top w:val="none" w:sz="0" w:space="0" w:color="auto"/>
        <w:left w:val="none" w:sz="0" w:space="0" w:color="auto"/>
        <w:bottom w:val="none" w:sz="0" w:space="0" w:color="auto"/>
        <w:right w:val="none" w:sz="0" w:space="0" w:color="auto"/>
      </w:divBdr>
    </w:div>
    <w:div w:id="1718386415">
      <w:bodyDiv w:val="1"/>
      <w:marLeft w:val="0"/>
      <w:marRight w:val="0"/>
      <w:marTop w:val="0"/>
      <w:marBottom w:val="0"/>
      <w:divBdr>
        <w:top w:val="none" w:sz="0" w:space="0" w:color="auto"/>
        <w:left w:val="none" w:sz="0" w:space="0" w:color="auto"/>
        <w:bottom w:val="none" w:sz="0" w:space="0" w:color="auto"/>
        <w:right w:val="none" w:sz="0" w:space="0" w:color="auto"/>
      </w:divBdr>
    </w:div>
    <w:div w:id="1718434654">
      <w:bodyDiv w:val="1"/>
      <w:marLeft w:val="0"/>
      <w:marRight w:val="0"/>
      <w:marTop w:val="0"/>
      <w:marBottom w:val="0"/>
      <w:divBdr>
        <w:top w:val="none" w:sz="0" w:space="0" w:color="auto"/>
        <w:left w:val="none" w:sz="0" w:space="0" w:color="auto"/>
        <w:bottom w:val="none" w:sz="0" w:space="0" w:color="auto"/>
        <w:right w:val="none" w:sz="0" w:space="0" w:color="auto"/>
      </w:divBdr>
    </w:div>
    <w:div w:id="1718579499">
      <w:bodyDiv w:val="1"/>
      <w:marLeft w:val="0"/>
      <w:marRight w:val="0"/>
      <w:marTop w:val="0"/>
      <w:marBottom w:val="0"/>
      <w:divBdr>
        <w:top w:val="none" w:sz="0" w:space="0" w:color="auto"/>
        <w:left w:val="none" w:sz="0" w:space="0" w:color="auto"/>
        <w:bottom w:val="none" w:sz="0" w:space="0" w:color="auto"/>
        <w:right w:val="none" w:sz="0" w:space="0" w:color="auto"/>
      </w:divBdr>
    </w:div>
    <w:div w:id="1718580210">
      <w:bodyDiv w:val="1"/>
      <w:marLeft w:val="0"/>
      <w:marRight w:val="0"/>
      <w:marTop w:val="0"/>
      <w:marBottom w:val="0"/>
      <w:divBdr>
        <w:top w:val="none" w:sz="0" w:space="0" w:color="auto"/>
        <w:left w:val="none" w:sz="0" w:space="0" w:color="auto"/>
        <w:bottom w:val="none" w:sz="0" w:space="0" w:color="auto"/>
        <w:right w:val="none" w:sz="0" w:space="0" w:color="auto"/>
      </w:divBdr>
    </w:div>
    <w:div w:id="1718699051">
      <w:bodyDiv w:val="1"/>
      <w:marLeft w:val="0"/>
      <w:marRight w:val="0"/>
      <w:marTop w:val="0"/>
      <w:marBottom w:val="0"/>
      <w:divBdr>
        <w:top w:val="none" w:sz="0" w:space="0" w:color="auto"/>
        <w:left w:val="none" w:sz="0" w:space="0" w:color="auto"/>
        <w:bottom w:val="none" w:sz="0" w:space="0" w:color="auto"/>
        <w:right w:val="none" w:sz="0" w:space="0" w:color="auto"/>
      </w:divBdr>
    </w:div>
    <w:div w:id="1718702916">
      <w:bodyDiv w:val="1"/>
      <w:marLeft w:val="0"/>
      <w:marRight w:val="0"/>
      <w:marTop w:val="0"/>
      <w:marBottom w:val="0"/>
      <w:divBdr>
        <w:top w:val="none" w:sz="0" w:space="0" w:color="auto"/>
        <w:left w:val="none" w:sz="0" w:space="0" w:color="auto"/>
        <w:bottom w:val="none" w:sz="0" w:space="0" w:color="auto"/>
        <w:right w:val="none" w:sz="0" w:space="0" w:color="auto"/>
      </w:divBdr>
    </w:div>
    <w:div w:id="1718779114">
      <w:bodyDiv w:val="1"/>
      <w:marLeft w:val="0"/>
      <w:marRight w:val="0"/>
      <w:marTop w:val="0"/>
      <w:marBottom w:val="0"/>
      <w:divBdr>
        <w:top w:val="none" w:sz="0" w:space="0" w:color="auto"/>
        <w:left w:val="none" w:sz="0" w:space="0" w:color="auto"/>
        <w:bottom w:val="none" w:sz="0" w:space="0" w:color="auto"/>
        <w:right w:val="none" w:sz="0" w:space="0" w:color="auto"/>
      </w:divBdr>
    </w:div>
    <w:div w:id="1719548684">
      <w:bodyDiv w:val="1"/>
      <w:marLeft w:val="0"/>
      <w:marRight w:val="0"/>
      <w:marTop w:val="0"/>
      <w:marBottom w:val="0"/>
      <w:divBdr>
        <w:top w:val="none" w:sz="0" w:space="0" w:color="auto"/>
        <w:left w:val="none" w:sz="0" w:space="0" w:color="auto"/>
        <w:bottom w:val="none" w:sz="0" w:space="0" w:color="auto"/>
        <w:right w:val="none" w:sz="0" w:space="0" w:color="auto"/>
      </w:divBdr>
    </w:div>
    <w:div w:id="1719553646">
      <w:bodyDiv w:val="1"/>
      <w:marLeft w:val="0"/>
      <w:marRight w:val="0"/>
      <w:marTop w:val="0"/>
      <w:marBottom w:val="0"/>
      <w:divBdr>
        <w:top w:val="none" w:sz="0" w:space="0" w:color="auto"/>
        <w:left w:val="none" w:sz="0" w:space="0" w:color="auto"/>
        <w:bottom w:val="none" w:sz="0" w:space="0" w:color="auto"/>
        <w:right w:val="none" w:sz="0" w:space="0" w:color="auto"/>
      </w:divBdr>
    </w:div>
    <w:div w:id="1719620211">
      <w:bodyDiv w:val="1"/>
      <w:marLeft w:val="0"/>
      <w:marRight w:val="0"/>
      <w:marTop w:val="0"/>
      <w:marBottom w:val="0"/>
      <w:divBdr>
        <w:top w:val="none" w:sz="0" w:space="0" w:color="auto"/>
        <w:left w:val="none" w:sz="0" w:space="0" w:color="auto"/>
        <w:bottom w:val="none" w:sz="0" w:space="0" w:color="auto"/>
        <w:right w:val="none" w:sz="0" w:space="0" w:color="auto"/>
      </w:divBdr>
    </w:div>
    <w:div w:id="1719741625">
      <w:bodyDiv w:val="1"/>
      <w:marLeft w:val="0"/>
      <w:marRight w:val="0"/>
      <w:marTop w:val="0"/>
      <w:marBottom w:val="0"/>
      <w:divBdr>
        <w:top w:val="none" w:sz="0" w:space="0" w:color="auto"/>
        <w:left w:val="none" w:sz="0" w:space="0" w:color="auto"/>
        <w:bottom w:val="none" w:sz="0" w:space="0" w:color="auto"/>
        <w:right w:val="none" w:sz="0" w:space="0" w:color="auto"/>
      </w:divBdr>
    </w:div>
    <w:div w:id="1719746281">
      <w:bodyDiv w:val="1"/>
      <w:marLeft w:val="0"/>
      <w:marRight w:val="0"/>
      <w:marTop w:val="0"/>
      <w:marBottom w:val="0"/>
      <w:divBdr>
        <w:top w:val="none" w:sz="0" w:space="0" w:color="auto"/>
        <w:left w:val="none" w:sz="0" w:space="0" w:color="auto"/>
        <w:bottom w:val="none" w:sz="0" w:space="0" w:color="auto"/>
        <w:right w:val="none" w:sz="0" w:space="0" w:color="auto"/>
      </w:divBdr>
    </w:div>
    <w:div w:id="1719819573">
      <w:bodyDiv w:val="1"/>
      <w:marLeft w:val="0"/>
      <w:marRight w:val="0"/>
      <w:marTop w:val="0"/>
      <w:marBottom w:val="0"/>
      <w:divBdr>
        <w:top w:val="none" w:sz="0" w:space="0" w:color="auto"/>
        <w:left w:val="none" w:sz="0" w:space="0" w:color="auto"/>
        <w:bottom w:val="none" w:sz="0" w:space="0" w:color="auto"/>
        <w:right w:val="none" w:sz="0" w:space="0" w:color="auto"/>
      </w:divBdr>
    </w:div>
    <w:div w:id="1719890211">
      <w:bodyDiv w:val="1"/>
      <w:marLeft w:val="0"/>
      <w:marRight w:val="0"/>
      <w:marTop w:val="0"/>
      <w:marBottom w:val="0"/>
      <w:divBdr>
        <w:top w:val="none" w:sz="0" w:space="0" w:color="auto"/>
        <w:left w:val="none" w:sz="0" w:space="0" w:color="auto"/>
        <w:bottom w:val="none" w:sz="0" w:space="0" w:color="auto"/>
        <w:right w:val="none" w:sz="0" w:space="0" w:color="auto"/>
      </w:divBdr>
    </w:div>
    <w:div w:id="1719933695">
      <w:bodyDiv w:val="1"/>
      <w:marLeft w:val="0"/>
      <w:marRight w:val="0"/>
      <w:marTop w:val="0"/>
      <w:marBottom w:val="0"/>
      <w:divBdr>
        <w:top w:val="none" w:sz="0" w:space="0" w:color="auto"/>
        <w:left w:val="none" w:sz="0" w:space="0" w:color="auto"/>
        <w:bottom w:val="none" w:sz="0" w:space="0" w:color="auto"/>
        <w:right w:val="none" w:sz="0" w:space="0" w:color="auto"/>
      </w:divBdr>
    </w:div>
    <w:div w:id="1720130660">
      <w:bodyDiv w:val="1"/>
      <w:marLeft w:val="0"/>
      <w:marRight w:val="0"/>
      <w:marTop w:val="0"/>
      <w:marBottom w:val="0"/>
      <w:divBdr>
        <w:top w:val="none" w:sz="0" w:space="0" w:color="auto"/>
        <w:left w:val="none" w:sz="0" w:space="0" w:color="auto"/>
        <w:bottom w:val="none" w:sz="0" w:space="0" w:color="auto"/>
        <w:right w:val="none" w:sz="0" w:space="0" w:color="auto"/>
      </w:divBdr>
    </w:div>
    <w:div w:id="1720199609">
      <w:bodyDiv w:val="1"/>
      <w:marLeft w:val="0"/>
      <w:marRight w:val="0"/>
      <w:marTop w:val="0"/>
      <w:marBottom w:val="0"/>
      <w:divBdr>
        <w:top w:val="none" w:sz="0" w:space="0" w:color="auto"/>
        <w:left w:val="none" w:sz="0" w:space="0" w:color="auto"/>
        <w:bottom w:val="none" w:sz="0" w:space="0" w:color="auto"/>
        <w:right w:val="none" w:sz="0" w:space="0" w:color="auto"/>
      </w:divBdr>
    </w:div>
    <w:div w:id="1720276399">
      <w:bodyDiv w:val="1"/>
      <w:marLeft w:val="0"/>
      <w:marRight w:val="0"/>
      <w:marTop w:val="0"/>
      <w:marBottom w:val="0"/>
      <w:divBdr>
        <w:top w:val="none" w:sz="0" w:space="0" w:color="auto"/>
        <w:left w:val="none" w:sz="0" w:space="0" w:color="auto"/>
        <w:bottom w:val="none" w:sz="0" w:space="0" w:color="auto"/>
        <w:right w:val="none" w:sz="0" w:space="0" w:color="auto"/>
      </w:divBdr>
    </w:div>
    <w:div w:id="1720395068">
      <w:bodyDiv w:val="1"/>
      <w:marLeft w:val="0"/>
      <w:marRight w:val="0"/>
      <w:marTop w:val="0"/>
      <w:marBottom w:val="0"/>
      <w:divBdr>
        <w:top w:val="none" w:sz="0" w:space="0" w:color="auto"/>
        <w:left w:val="none" w:sz="0" w:space="0" w:color="auto"/>
        <w:bottom w:val="none" w:sz="0" w:space="0" w:color="auto"/>
        <w:right w:val="none" w:sz="0" w:space="0" w:color="auto"/>
      </w:divBdr>
    </w:div>
    <w:div w:id="1720399091">
      <w:bodyDiv w:val="1"/>
      <w:marLeft w:val="0"/>
      <w:marRight w:val="0"/>
      <w:marTop w:val="0"/>
      <w:marBottom w:val="0"/>
      <w:divBdr>
        <w:top w:val="none" w:sz="0" w:space="0" w:color="auto"/>
        <w:left w:val="none" w:sz="0" w:space="0" w:color="auto"/>
        <w:bottom w:val="none" w:sz="0" w:space="0" w:color="auto"/>
        <w:right w:val="none" w:sz="0" w:space="0" w:color="auto"/>
      </w:divBdr>
    </w:div>
    <w:div w:id="1720544046">
      <w:bodyDiv w:val="1"/>
      <w:marLeft w:val="0"/>
      <w:marRight w:val="0"/>
      <w:marTop w:val="0"/>
      <w:marBottom w:val="0"/>
      <w:divBdr>
        <w:top w:val="none" w:sz="0" w:space="0" w:color="auto"/>
        <w:left w:val="none" w:sz="0" w:space="0" w:color="auto"/>
        <w:bottom w:val="none" w:sz="0" w:space="0" w:color="auto"/>
        <w:right w:val="none" w:sz="0" w:space="0" w:color="auto"/>
      </w:divBdr>
    </w:div>
    <w:div w:id="1720544853">
      <w:bodyDiv w:val="1"/>
      <w:marLeft w:val="0"/>
      <w:marRight w:val="0"/>
      <w:marTop w:val="0"/>
      <w:marBottom w:val="0"/>
      <w:divBdr>
        <w:top w:val="none" w:sz="0" w:space="0" w:color="auto"/>
        <w:left w:val="none" w:sz="0" w:space="0" w:color="auto"/>
        <w:bottom w:val="none" w:sz="0" w:space="0" w:color="auto"/>
        <w:right w:val="none" w:sz="0" w:space="0" w:color="auto"/>
      </w:divBdr>
    </w:div>
    <w:div w:id="1720547469">
      <w:bodyDiv w:val="1"/>
      <w:marLeft w:val="0"/>
      <w:marRight w:val="0"/>
      <w:marTop w:val="0"/>
      <w:marBottom w:val="0"/>
      <w:divBdr>
        <w:top w:val="none" w:sz="0" w:space="0" w:color="auto"/>
        <w:left w:val="none" w:sz="0" w:space="0" w:color="auto"/>
        <w:bottom w:val="none" w:sz="0" w:space="0" w:color="auto"/>
        <w:right w:val="none" w:sz="0" w:space="0" w:color="auto"/>
      </w:divBdr>
    </w:div>
    <w:div w:id="1720586655">
      <w:bodyDiv w:val="1"/>
      <w:marLeft w:val="0"/>
      <w:marRight w:val="0"/>
      <w:marTop w:val="0"/>
      <w:marBottom w:val="0"/>
      <w:divBdr>
        <w:top w:val="none" w:sz="0" w:space="0" w:color="auto"/>
        <w:left w:val="none" w:sz="0" w:space="0" w:color="auto"/>
        <w:bottom w:val="none" w:sz="0" w:space="0" w:color="auto"/>
        <w:right w:val="none" w:sz="0" w:space="0" w:color="auto"/>
      </w:divBdr>
    </w:div>
    <w:div w:id="1720588492">
      <w:bodyDiv w:val="1"/>
      <w:marLeft w:val="0"/>
      <w:marRight w:val="0"/>
      <w:marTop w:val="0"/>
      <w:marBottom w:val="0"/>
      <w:divBdr>
        <w:top w:val="none" w:sz="0" w:space="0" w:color="auto"/>
        <w:left w:val="none" w:sz="0" w:space="0" w:color="auto"/>
        <w:bottom w:val="none" w:sz="0" w:space="0" w:color="auto"/>
        <w:right w:val="none" w:sz="0" w:space="0" w:color="auto"/>
      </w:divBdr>
    </w:div>
    <w:div w:id="1720591079">
      <w:bodyDiv w:val="1"/>
      <w:marLeft w:val="0"/>
      <w:marRight w:val="0"/>
      <w:marTop w:val="0"/>
      <w:marBottom w:val="0"/>
      <w:divBdr>
        <w:top w:val="none" w:sz="0" w:space="0" w:color="auto"/>
        <w:left w:val="none" w:sz="0" w:space="0" w:color="auto"/>
        <w:bottom w:val="none" w:sz="0" w:space="0" w:color="auto"/>
        <w:right w:val="none" w:sz="0" w:space="0" w:color="auto"/>
      </w:divBdr>
    </w:div>
    <w:div w:id="1720594017">
      <w:bodyDiv w:val="1"/>
      <w:marLeft w:val="0"/>
      <w:marRight w:val="0"/>
      <w:marTop w:val="0"/>
      <w:marBottom w:val="0"/>
      <w:divBdr>
        <w:top w:val="none" w:sz="0" w:space="0" w:color="auto"/>
        <w:left w:val="none" w:sz="0" w:space="0" w:color="auto"/>
        <w:bottom w:val="none" w:sz="0" w:space="0" w:color="auto"/>
        <w:right w:val="none" w:sz="0" w:space="0" w:color="auto"/>
      </w:divBdr>
    </w:div>
    <w:div w:id="1720788321">
      <w:bodyDiv w:val="1"/>
      <w:marLeft w:val="0"/>
      <w:marRight w:val="0"/>
      <w:marTop w:val="0"/>
      <w:marBottom w:val="0"/>
      <w:divBdr>
        <w:top w:val="none" w:sz="0" w:space="0" w:color="auto"/>
        <w:left w:val="none" w:sz="0" w:space="0" w:color="auto"/>
        <w:bottom w:val="none" w:sz="0" w:space="0" w:color="auto"/>
        <w:right w:val="none" w:sz="0" w:space="0" w:color="auto"/>
      </w:divBdr>
    </w:div>
    <w:div w:id="1720858414">
      <w:bodyDiv w:val="1"/>
      <w:marLeft w:val="0"/>
      <w:marRight w:val="0"/>
      <w:marTop w:val="0"/>
      <w:marBottom w:val="0"/>
      <w:divBdr>
        <w:top w:val="none" w:sz="0" w:space="0" w:color="auto"/>
        <w:left w:val="none" w:sz="0" w:space="0" w:color="auto"/>
        <w:bottom w:val="none" w:sz="0" w:space="0" w:color="auto"/>
        <w:right w:val="none" w:sz="0" w:space="0" w:color="auto"/>
      </w:divBdr>
    </w:div>
    <w:div w:id="1720931045">
      <w:bodyDiv w:val="1"/>
      <w:marLeft w:val="0"/>
      <w:marRight w:val="0"/>
      <w:marTop w:val="0"/>
      <w:marBottom w:val="0"/>
      <w:divBdr>
        <w:top w:val="none" w:sz="0" w:space="0" w:color="auto"/>
        <w:left w:val="none" w:sz="0" w:space="0" w:color="auto"/>
        <w:bottom w:val="none" w:sz="0" w:space="0" w:color="auto"/>
        <w:right w:val="none" w:sz="0" w:space="0" w:color="auto"/>
      </w:divBdr>
    </w:div>
    <w:div w:id="1720934706">
      <w:bodyDiv w:val="1"/>
      <w:marLeft w:val="0"/>
      <w:marRight w:val="0"/>
      <w:marTop w:val="0"/>
      <w:marBottom w:val="0"/>
      <w:divBdr>
        <w:top w:val="none" w:sz="0" w:space="0" w:color="auto"/>
        <w:left w:val="none" w:sz="0" w:space="0" w:color="auto"/>
        <w:bottom w:val="none" w:sz="0" w:space="0" w:color="auto"/>
        <w:right w:val="none" w:sz="0" w:space="0" w:color="auto"/>
      </w:divBdr>
    </w:div>
    <w:div w:id="1720976864">
      <w:bodyDiv w:val="1"/>
      <w:marLeft w:val="0"/>
      <w:marRight w:val="0"/>
      <w:marTop w:val="0"/>
      <w:marBottom w:val="0"/>
      <w:divBdr>
        <w:top w:val="none" w:sz="0" w:space="0" w:color="auto"/>
        <w:left w:val="none" w:sz="0" w:space="0" w:color="auto"/>
        <w:bottom w:val="none" w:sz="0" w:space="0" w:color="auto"/>
        <w:right w:val="none" w:sz="0" w:space="0" w:color="auto"/>
      </w:divBdr>
    </w:div>
    <w:div w:id="1721048256">
      <w:bodyDiv w:val="1"/>
      <w:marLeft w:val="0"/>
      <w:marRight w:val="0"/>
      <w:marTop w:val="0"/>
      <w:marBottom w:val="0"/>
      <w:divBdr>
        <w:top w:val="none" w:sz="0" w:space="0" w:color="auto"/>
        <w:left w:val="none" w:sz="0" w:space="0" w:color="auto"/>
        <w:bottom w:val="none" w:sz="0" w:space="0" w:color="auto"/>
        <w:right w:val="none" w:sz="0" w:space="0" w:color="auto"/>
      </w:divBdr>
    </w:div>
    <w:div w:id="1721132578">
      <w:bodyDiv w:val="1"/>
      <w:marLeft w:val="0"/>
      <w:marRight w:val="0"/>
      <w:marTop w:val="0"/>
      <w:marBottom w:val="0"/>
      <w:divBdr>
        <w:top w:val="none" w:sz="0" w:space="0" w:color="auto"/>
        <w:left w:val="none" w:sz="0" w:space="0" w:color="auto"/>
        <w:bottom w:val="none" w:sz="0" w:space="0" w:color="auto"/>
        <w:right w:val="none" w:sz="0" w:space="0" w:color="auto"/>
      </w:divBdr>
    </w:div>
    <w:div w:id="1721202632">
      <w:bodyDiv w:val="1"/>
      <w:marLeft w:val="0"/>
      <w:marRight w:val="0"/>
      <w:marTop w:val="0"/>
      <w:marBottom w:val="0"/>
      <w:divBdr>
        <w:top w:val="none" w:sz="0" w:space="0" w:color="auto"/>
        <w:left w:val="none" w:sz="0" w:space="0" w:color="auto"/>
        <w:bottom w:val="none" w:sz="0" w:space="0" w:color="auto"/>
        <w:right w:val="none" w:sz="0" w:space="0" w:color="auto"/>
      </w:divBdr>
    </w:div>
    <w:div w:id="1721242433">
      <w:bodyDiv w:val="1"/>
      <w:marLeft w:val="0"/>
      <w:marRight w:val="0"/>
      <w:marTop w:val="0"/>
      <w:marBottom w:val="0"/>
      <w:divBdr>
        <w:top w:val="none" w:sz="0" w:space="0" w:color="auto"/>
        <w:left w:val="none" w:sz="0" w:space="0" w:color="auto"/>
        <w:bottom w:val="none" w:sz="0" w:space="0" w:color="auto"/>
        <w:right w:val="none" w:sz="0" w:space="0" w:color="auto"/>
      </w:divBdr>
    </w:div>
    <w:div w:id="1721248199">
      <w:bodyDiv w:val="1"/>
      <w:marLeft w:val="0"/>
      <w:marRight w:val="0"/>
      <w:marTop w:val="0"/>
      <w:marBottom w:val="0"/>
      <w:divBdr>
        <w:top w:val="none" w:sz="0" w:space="0" w:color="auto"/>
        <w:left w:val="none" w:sz="0" w:space="0" w:color="auto"/>
        <w:bottom w:val="none" w:sz="0" w:space="0" w:color="auto"/>
        <w:right w:val="none" w:sz="0" w:space="0" w:color="auto"/>
      </w:divBdr>
    </w:div>
    <w:div w:id="1721249618">
      <w:bodyDiv w:val="1"/>
      <w:marLeft w:val="0"/>
      <w:marRight w:val="0"/>
      <w:marTop w:val="0"/>
      <w:marBottom w:val="0"/>
      <w:divBdr>
        <w:top w:val="none" w:sz="0" w:space="0" w:color="auto"/>
        <w:left w:val="none" w:sz="0" w:space="0" w:color="auto"/>
        <w:bottom w:val="none" w:sz="0" w:space="0" w:color="auto"/>
        <w:right w:val="none" w:sz="0" w:space="0" w:color="auto"/>
      </w:divBdr>
    </w:div>
    <w:div w:id="1721250058">
      <w:bodyDiv w:val="1"/>
      <w:marLeft w:val="0"/>
      <w:marRight w:val="0"/>
      <w:marTop w:val="0"/>
      <w:marBottom w:val="0"/>
      <w:divBdr>
        <w:top w:val="none" w:sz="0" w:space="0" w:color="auto"/>
        <w:left w:val="none" w:sz="0" w:space="0" w:color="auto"/>
        <w:bottom w:val="none" w:sz="0" w:space="0" w:color="auto"/>
        <w:right w:val="none" w:sz="0" w:space="0" w:color="auto"/>
      </w:divBdr>
    </w:div>
    <w:div w:id="1721317965">
      <w:bodyDiv w:val="1"/>
      <w:marLeft w:val="0"/>
      <w:marRight w:val="0"/>
      <w:marTop w:val="0"/>
      <w:marBottom w:val="0"/>
      <w:divBdr>
        <w:top w:val="none" w:sz="0" w:space="0" w:color="auto"/>
        <w:left w:val="none" w:sz="0" w:space="0" w:color="auto"/>
        <w:bottom w:val="none" w:sz="0" w:space="0" w:color="auto"/>
        <w:right w:val="none" w:sz="0" w:space="0" w:color="auto"/>
      </w:divBdr>
    </w:div>
    <w:div w:id="1721435462">
      <w:bodyDiv w:val="1"/>
      <w:marLeft w:val="0"/>
      <w:marRight w:val="0"/>
      <w:marTop w:val="0"/>
      <w:marBottom w:val="0"/>
      <w:divBdr>
        <w:top w:val="none" w:sz="0" w:space="0" w:color="auto"/>
        <w:left w:val="none" w:sz="0" w:space="0" w:color="auto"/>
        <w:bottom w:val="none" w:sz="0" w:space="0" w:color="auto"/>
        <w:right w:val="none" w:sz="0" w:space="0" w:color="auto"/>
      </w:divBdr>
    </w:div>
    <w:div w:id="1721437658">
      <w:bodyDiv w:val="1"/>
      <w:marLeft w:val="0"/>
      <w:marRight w:val="0"/>
      <w:marTop w:val="0"/>
      <w:marBottom w:val="0"/>
      <w:divBdr>
        <w:top w:val="none" w:sz="0" w:space="0" w:color="auto"/>
        <w:left w:val="none" w:sz="0" w:space="0" w:color="auto"/>
        <w:bottom w:val="none" w:sz="0" w:space="0" w:color="auto"/>
        <w:right w:val="none" w:sz="0" w:space="0" w:color="auto"/>
      </w:divBdr>
    </w:div>
    <w:div w:id="1721439329">
      <w:bodyDiv w:val="1"/>
      <w:marLeft w:val="0"/>
      <w:marRight w:val="0"/>
      <w:marTop w:val="0"/>
      <w:marBottom w:val="0"/>
      <w:divBdr>
        <w:top w:val="none" w:sz="0" w:space="0" w:color="auto"/>
        <w:left w:val="none" w:sz="0" w:space="0" w:color="auto"/>
        <w:bottom w:val="none" w:sz="0" w:space="0" w:color="auto"/>
        <w:right w:val="none" w:sz="0" w:space="0" w:color="auto"/>
      </w:divBdr>
    </w:div>
    <w:div w:id="1721636177">
      <w:bodyDiv w:val="1"/>
      <w:marLeft w:val="0"/>
      <w:marRight w:val="0"/>
      <w:marTop w:val="0"/>
      <w:marBottom w:val="0"/>
      <w:divBdr>
        <w:top w:val="none" w:sz="0" w:space="0" w:color="auto"/>
        <w:left w:val="none" w:sz="0" w:space="0" w:color="auto"/>
        <w:bottom w:val="none" w:sz="0" w:space="0" w:color="auto"/>
        <w:right w:val="none" w:sz="0" w:space="0" w:color="auto"/>
      </w:divBdr>
    </w:div>
    <w:div w:id="1721976032">
      <w:bodyDiv w:val="1"/>
      <w:marLeft w:val="0"/>
      <w:marRight w:val="0"/>
      <w:marTop w:val="0"/>
      <w:marBottom w:val="0"/>
      <w:divBdr>
        <w:top w:val="none" w:sz="0" w:space="0" w:color="auto"/>
        <w:left w:val="none" w:sz="0" w:space="0" w:color="auto"/>
        <w:bottom w:val="none" w:sz="0" w:space="0" w:color="auto"/>
        <w:right w:val="none" w:sz="0" w:space="0" w:color="auto"/>
      </w:divBdr>
    </w:div>
    <w:div w:id="1722050083">
      <w:bodyDiv w:val="1"/>
      <w:marLeft w:val="0"/>
      <w:marRight w:val="0"/>
      <w:marTop w:val="0"/>
      <w:marBottom w:val="0"/>
      <w:divBdr>
        <w:top w:val="none" w:sz="0" w:space="0" w:color="auto"/>
        <w:left w:val="none" w:sz="0" w:space="0" w:color="auto"/>
        <w:bottom w:val="none" w:sz="0" w:space="0" w:color="auto"/>
        <w:right w:val="none" w:sz="0" w:space="0" w:color="auto"/>
      </w:divBdr>
    </w:div>
    <w:div w:id="1722051427">
      <w:bodyDiv w:val="1"/>
      <w:marLeft w:val="0"/>
      <w:marRight w:val="0"/>
      <w:marTop w:val="0"/>
      <w:marBottom w:val="0"/>
      <w:divBdr>
        <w:top w:val="none" w:sz="0" w:space="0" w:color="auto"/>
        <w:left w:val="none" w:sz="0" w:space="0" w:color="auto"/>
        <w:bottom w:val="none" w:sz="0" w:space="0" w:color="auto"/>
        <w:right w:val="none" w:sz="0" w:space="0" w:color="auto"/>
      </w:divBdr>
    </w:div>
    <w:div w:id="1722167493">
      <w:bodyDiv w:val="1"/>
      <w:marLeft w:val="0"/>
      <w:marRight w:val="0"/>
      <w:marTop w:val="0"/>
      <w:marBottom w:val="0"/>
      <w:divBdr>
        <w:top w:val="none" w:sz="0" w:space="0" w:color="auto"/>
        <w:left w:val="none" w:sz="0" w:space="0" w:color="auto"/>
        <w:bottom w:val="none" w:sz="0" w:space="0" w:color="auto"/>
        <w:right w:val="none" w:sz="0" w:space="0" w:color="auto"/>
      </w:divBdr>
    </w:div>
    <w:div w:id="1722169326">
      <w:bodyDiv w:val="1"/>
      <w:marLeft w:val="0"/>
      <w:marRight w:val="0"/>
      <w:marTop w:val="0"/>
      <w:marBottom w:val="0"/>
      <w:divBdr>
        <w:top w:val="none" w:sz="0" w:space="0" w:color="auto"/>
        <w:left w:val="none" w:sz="0" w:space="0" w:color="auto"/>
        <w:bottom w:val="none" w:sz="0" w:space="0" w:color="auto"/>
        <w:right w:val="none" w:sz="0" w:space="0" w:color="auto"/>
      </w:divBdr>
    </w:div>
    <w:div w:id="1722292483">
      <w:bodyDiv w:val="1"/>
      <w:marLeft w:val="0"/>
      <w:marRight w:val="0"/>
      <w:marTop w:val="0"/>
      <w:marBottom w:val="0"/>
      <w:divBdr>
        <w:top w:val="none" w:sz="0" w:space="0" w:color="auto"/>
        <w:left w:val="none" w:sz="0" w:space="0" w:color="auto"/>
        <w:bottom w:val="none" w:sz="0" w:space="0" w:color="auto"/>
        <w:right w:val="none" w:sz="0" w:space="0" w:color="auto"/>
      </w:divBdr>
    </w:div>
    <w:div w:id="1722514862">
      <w:bodyDiv w:val="1"/>
      <w:marLeft w:val="0"/>
      <w:marRight w:val="0"/>
      <w:marTop w:val="0"/>
      <w:marBottom w:val="0"/>
      <w:divBdr>
        <w:top w:val="none" w:sz="0" w:space="0" w:color="auto"/>
        <w:left w:val="none" w:sz="0" w:space="0" w:color="auto"/>
        <w:bottom w:val="none" w:sz="0" w:space="0" w:color="auto"/>
        <w:right w:val="none" w:sz="0" w:space="0" w:color="auto"/>
      </w:divBdr>
    </w:div>
    <w:div w:id="1722553238">
      <w:bodyDiv w:val="1"/>
      <w:marLeft w:val="0"/>
      <w:marRight w:val="0"/>
      <w:marTop w:val="0"/>
      <w:marBottom w:val="0"/>
      <w:divBdr>
        <w:top w:val="none" w:sz="0" w:space="0" w:color="auto"/>
        <w:left w:val="none" w:sz="0" w:space="0" w:color="auto"/>
        <w:bottom w:val="none" w:sz="0" w:space="0" w:color="auto"/>
        <w:right w:val="none" w:sz="0" w:space="0" w:color="auto"/>
      </w:divBdr>
    </w:div>
    <w:div w:id="1722632803">
      <w:bodyDiv w:val="1"/>
      <w:marLeft w:val="0"/>
      <w:marRight w:val="0"/>
      <w:marTop w:val="0"/>
      <w:marBottom w:val="0"/>
      <w:divBdr>
        <w:top w:val="none" w:sz="0" w:space="0" w:color="auto"/>
        <w:left w:val="none" w:sz="0" w:space="0" w:color="auto"/>
        <w:bottom w:val="none" w:sz="0" w:space="0" w:color="auto"/>
        <w:right w:val="none" w:sz="0" w:space="0" w:color="auto"/>
      </w:divBdr>
    </w:div>
    <w:div w:id="1722635208">
      <w:bodyDiv w:val="1"/>
      <w:marLeft w:val="0"/>
      <w:marRight w:val="0"/>
      <w:marTop w:val="0"/>
      <w:marBottom w:val="0"/>
      <w:divBdr>
        <w:top w:val="none" w:sz="0" w:space="0" w:color="auto"/>
        <w:left w:val="none" w:sz="0" w:space="0" w:color="auto"/>
        <w:bottom w:val="none" w:sz="0" w:space="0" w:color="auto"/>
        <w:right w:val="none" w:sz="0" w:space="0" w:color="auto"/>
      </w:divBdr>
    </w:div>
    <w:div w:id="1722704217">
      <w:bodyDiv w:val="1"/>
      <w:marLeft w:val="0"/>
      <w:marRight w:val="0"/>
      <w:marTop w:val="0"/>
      <w:marBottom w:val="0"/>
      <w:divBdr>
        <w:top w:val="none" w:sz="0" w:space="0" w:color="auto"/>
        <w:left w:val="none" w:sz="0" w:space="0" w:color="auto"/>
        <w:bottom w:val="none" w:sz="0" w:space="0" w:color="auto"/>
        <w:right w:val="none" w:sz="0" w:space="0" w:color="auto"/>
      </w:divBdr>
    </w:div>
    <w:div w:id="1722747645">
      <w:bodyDiv w:val="1"/>
      <w:marLeft w:val="0"/>
      <w:marRight w:val="0"/>
      <w:marTop w:val="0"/>
      <w:marBottom w:val="0"/>
      <w:divBdr>
        <w:top w:val="none" w:sz="0" w:space="0" w:color="auto"/>
        <w:left w:val="none" w:sz="0" w:space="0" w:color="auto"/>
        <w:bottom w:val="none" w:sz="0" w:space="0" w:color="auto"/>
        <w:right w:val="none" w:sz="0" w:space="0" w:color="auto"/>
      </w:divBdr>
    </w:div>
    <w:div w:id="1723097602">
      <w:bodyDiv w:val="1"/>
      <w:marLeft w:val="0"/>
      <w:marRight w:val="0"/>
      <w:marTop w:val="0"/>
      <w:marBottom w:val="0"/>
      <w:divBdr>
        <w:top w:val="none" w:sz="0" w:space="0" w:color="auto"/>
        <w:left w:val="none" w:sz="0" w:space="0" w:color="auto"/>
        <w:bottom w:val="none" w:sz="0" w:space="0" w:color="auto"/>
        <w:right w:val="none" w:sz="0" w:space="0" w:color="auto"/>
      </w:divBdr>
    </w:div>
    <w:div w:id="1723167469">
      <w:bodyDiv w:val="1"/>
      <w:marLeft w:val="0"/>
      <w:marRight w:val="0"/>
      <w:marTop w:val="0"/>
      <w:marBottom w:val="0"/>
      <w:divBdr>
        <w:top w:val="none" w:sz="0" w:space="0" w:color="auto"/>
        <w:left w:val="none" w:sz="0" w:space="0" w:color="auto"/>
        <w:bottom w:val="none" w:sz="0" w:space="0" w:color="auto"/>
        <w:right w:val="none" w:sz="0" w:space="0" w:color="auto"/>
      </w:divBdr>
    </w:div>
    <w:div w:id="1723214814">
      <w:bodyDiv w:val="1"/>
      <w:marLeft w:val="0"/>
      <w:marRight w:val="0"/>
      <w:marTop w:val="0"/>
      <w:marBottom w:val="0"/>
      <w:divBdr>
        <w:top w:val="none" w:sz="0" w:space="0" w:color="auto"/>
        <w:left w:val="none" w:sz="0" w:space="0" w:color="auto"/>
        <w:bottom w:val="none" w:sz="0" w:space="0" w:color="auto"/>
        <w:right w:val="none" w:sz="0" w:space="0" w:color="auto"/>
      </w:divBdr>
    </w:div>
    <w:div w:id="1723215426">
      <w:bodyDiv w:val="1"/>
      <w:marLeft w:val="0"/>
      <w:marRight w:val="0"/>
      <w:marTop w:val="0"/>
      <w:marBottom w:val="0"/>
      <w:divBdr>
        <w:top w:val="none" w:sz="0" w:space="0" w:color="auto"/>
        <w:left w:val="none" w:sz="0" w:space="0" w:color="auto"/>
        <w:bottom w:val="none" w:sz="0" w:space="0" w:color="auto"/>
        <w:right w:val="none" w:sz="0" w:space="0" w:color="auto"/>
      </w:divBdr>
    </w:div>
    <w:div w:id="1723475904">
      <w:bodyDiv w:val="1"/>
      <w:marLeft w:val="0"/>
      <w:marRight w:val="0"/>
      <w:marTop w:val="0"/>
      <w:marBottom w:val="0"/>
      <w:divBdr>
        <w:top w:val="none" w:sz="0" w:space="0" w:color="auto"/>
        <w:left w:val="none" w:sz="0" w:space="0" w:color="auto"/>
        <w:bottom w:val="none" w:sz="0" w:space="0" w:color="auto"/>
        <w:right w:val="none" w:sz="0" w:space="0" w:color="auto"/>
      </w:divBdr>
    </w:div>
    <w:div w:id="1723555350">
      <w:bodyDiv w:val="1"/>
      <w:marLeft w:val="0"/>
      <w:marRight w:val="0"/>
      <w:marTop w:val="0"/>
      <w:marBottom w:val="0"/>
      <w:divBdr>
        <w:top w:val="none" w:sz="0" w:space="0" w:color="auto"/>
        <w:left w:val="none" w:sz="0" w:space="0" w:color="auto"/>
        <w:bottom w:val="none" w:sz="0" w:space="0" w:color="auto"/>
        <w:right w:val="none" w:sz="0" w:space="0" w:color="auto"/>
      </w:divBdr>
    </w:div>
    <w:div w:id="1723599102">
      <w:bodyDiv w:val="1"/>
      <w:marLeft w:val="0"/>
      <w:marRight w:val="0"/>
      <w:marTop w:val="0"/>
      <w:marBottom w:val="0"/>
      <w:divBdr>
        <w:top w:val="none" w:sz="0" w:space="0" w:color="auto"/>
        <w:left w:val="none" w:sz="0" w:space="0" w:color="auto"/>
        <w:bottom w:val="none" w:sz="0" w:space="0" w:color="auto"/>
        <w:right w:val="none" w:sz="0" w:space="0" w:color="auto"/>
      </w:divBdr>
    </w:div>
    <w:div w:id="1723601209">
      <w:bodyDiv w:val="1"/>
      <w:marLeft w:val="0"/>
      <w:marRight w:val="0"/>
      <w:marTop w:val="0"/>
      <w:marBottom w:val="0"/>
      <w:divBdr>
        <w:top w:val="none" w:sz="0" w:space="0" w:color="auto"/>
        <w:left w:val="none" w:sz="0" w:space="0" w:color="auto"/>
        <w:bottom w:val="none" w:sz="0" w:space="0" w:color="auto"/>
        <w:right w:val="none" w:sz="0" w:space="0" w:color="auto"/>
      </w:divBdr>
    </w:div>
    <w:div w:id="1723941430">
      <w:bodyDiv w:val="1"/>
      <w:marLeft w:val="0"/>
      <w:marRight w:val="0"/>
      <w:marTop w:val="0"/>
      <w:marBottom w:val="0"/>
      <w:divBdr>
        <w:top w:val="none" w:sz="0" w:space="0" w:color="auto"/>
        <w:left w:val="none" w:sz="0" w:space="0" w:color="auto"/>
        <w:bottom w:val="none" w:sz="0" w:space="0" w:color="auto"/>
        <w:right w:val="none" w:sz="0" w:space="0" w:color="auto"/>
      </w:divBdr>
    </w:div>
    <w:div w:id="1724402857">
      <w:bodyDiv w:val="1"/>
      <w:marLeft w:val="0"/>
      <w:marRight w:val="0"/>
      <w:marTop w:val="0"/>
      <w:marBottom w:val="0"/>
      <w:divBdr>
        <w:top w:val="none" w:sz="0" w:space="0" w:color="auto"/>
        <w:left w:val="none" w:sz="0" w:space="0" w:color="auto"/>
        <w:bottom w:val="none" w:sz="0" w:space="0" w:color="auto"/>
        <w:right w:val="none" w:sz="0" w:space="0" w:color="auto"/>
      </w:divBdr>
    </w:div>
    <w:div w:id="1724407421">
      <w:bodyDiv w:val="1"/>
      <w:marLeft w:val="0"/>
      <w:marRight w:val="0"/>
      <w:marTop w:val="0"/>
      <w:marBottom w:val="0"/>
      <w:divBdr>
        <w:top w:val="none" w:sz="0" w:space="0" w:color="auto"/>
        <w:left w:val="none" w:sz="0" w:space="0" w:color="auto"/>
        <w:bottom w:val="none" w:sz="0" w:space="0" w:color="auto"/>
        <w:right w:val="none" w:sz="0" w:space="0" w:color="auto"/>
      </w:divBdr>
    </w:div>
    <w:div w:id="1724475328">
      <w:bodyDiv w:val="1"/>
      <w:marLeft w:val="0"/>
      <w:marRight w:val="0"/>
      <w:marTop w:val="0"/>
      <w:marBottom w:val="0"/>
      <w:divBdr>
        <w:top w:val="none" w:sz="0" w:space="0" w:color="auto"/>
        <w:left w:val="none" w:sz="0" w:space="0" w:color="auto"/>
        <w:bottom w:val="none" w:sz="0" w:space="0" w:color="auto"/>
        <w:right w:val="none" w:sz="0" w:space="0" w:color="auto"/>
      </w:divBdr>
    </w:div>
    <w:div w:id="1724524400">
      <w:bodyDiv w:val="1"/>
      <w:marLeft w:val="0"/>
      <w:marRight w:val="0"/>
      <w:marTop w:val="0"/>
      <w:marBottom w:val="0"/>
      <w:divBdr>
        <w:top w:val="none" w:sz="0" w:space="0" w:color="auto"/>
        <w:left w:val="none" w:sz="0" w:space="0" w:color="auto"/>
        <w:bottom w:val="none" w:sz="0" w:space="0" w:color="auto"/>
        <w:right w:val="none" w:sz="0" w:space="0" w:color="auto"/>
      </w:divBdr>
    </w:div>
    <w:div w:id="1724524701">
      <w:bodyDiv w:val="1"/>
      <w:marLeft w:val="0"/>
      <w:marRight w:val="0"/>
      <w:marTop w:val="0"/>
      <w:marBottom w:val="0"/>
      <w:divBdr>
        <w:top w:val="none" w:sz="0" w:space="0" w:color="auto"/>
        <w:left w:val="none" w:sz="0" w:space="0" w:color="auto"/>
        <w:bottom w:val="none" w:sz="0" w:space="0" w:color="auto"/>
        <w:right w:val="none" w:sz="0" w:space="0" w:color="auto"/>
      </w:divBdr>
    </w:div>
    <w:div w:id="1724525288">
      <w:bodyDiv w:val="1"/>
      <w:marLeft w:val="0"/>
      <w:marRight w:val="0"/>
      <w:marTop w:val="0"/>
      <w:marBottom w:val="0"/>
      <w:divBdr>
        <w:top w:val="none" w:sz="0" w:space="0" w:color="auto"/>
        <w:left w:val="none" w:sz="0" w:space="0" w:color="auto"/>
        <w:bottom w:val="none" w:sz="0" w:space="0" w:color="auto"/>
        <w:right w:val="none" w:sz="0" w:space="0" w:color="auto"/>
      </w:divBdr>
    </w:div>
    <w:div w:id="1724598500">
      <w:bodyDiv w:val="1"/>
      <w:marLeft w:val="0"/>
      <w:marRight w:val="0"/>
      <w:marTop w:val="0"/>
      <w:marBottom w:val="0"/>
      <w:divBdr>
        <w:top w:val="none" w:sz="0" w:space="0" w:color="auto"/>
        <w:left w:val="none" w:sz="0" w:space="0" w:color="auto"/>
        <w:bottom w:val="none" w:sz="0" w:space="0" w:color="auto"/>
        <w:right w:val="none" w:sz="0" w:space="0" w:color="auto"/>
      </w:divBdr>
    </w:div>
    <w:div w:id="1724669381">
      <w:bodyDiv w:val="1"/>
      <w:marLeft w:val="0"/>
      <w:marRight w:val="0"/>
      <w:marTop w:val="0"/>
      <w:marBottom w:val="0"/>
      <w:divBdr>
        <w:top w:val="none" w:sz="0" w:space="0" w:color="auto"/>
        <w:left w:val="none" w:sz="0" w:space="0" w:color="auto"/>
        <w:bottom w:val="none" w:sz="0" w:space="0" w:color="auto"/>
        <w:right w:val="none" w:sz="0" w:space="0" w:color="auto"/>
      </w:divBdr>
    </w:div>
    <w:div w:id="1724677063">
      <w:bodyDiv w:val="1"/>
      <w:marLeft w:val="0"/>
      <w:marRight w:val="0"/>
      <w:marTop w:val="0"/>
      <w:marBottom w:val="0"/>
      <w:divBdr>
        <w:top w:val="none" w:sz="0" w:space="0" w:color="auto"/>
        <w:left w:val="none" w:sz="0" w:space="0" w:color="auto"/>
        <w:bottom w:val="none" w:sz="0" w:space="0" w:color="auto"/>
        <w:right w:val="none" w:sz="0" w:space="0" w:color="auto"/>
      </w:divBdr>
    </w:div>
    <w:div w:id="1724711980">
      <w:bodyDiv w:val="1"/>
      <w:marLeft w:val="0"/>
      <w:marRight w:val="0"/>
      <w:marTop w:val="0"/>
      <w:marBottom w:val="0"/>
      <w:divBdr>
        <w:top w:val="none" w:sz="0" w:space="0" w:color="auto"/>
        <w:left w:val="none" w:sz="0" w:space="0" w:color="auto"/>
        <w:bottom w:val="none" w:sz="0" w:space="0" w:color="auto"/>
        <w:right w:val="none" w:sz="0" w:space="0" w:color="auto"/>
      </w:divBdr>
    </w:div>
    <w:div w:id="1724786389">
      <w:bodyDiv w:val="1"/>
      <w:marLeft w:val="0"/>
      <w:marRight w:val="0"/>
      <w:marTop w:val="0"/>
      <w:marBottom w:val="0"/>
      <w:divBdr>
        <w:top w:val="none" w:sz="0" w:space="0" w:color="auto"/>
        <w:left w:val="none" w:sz="0" w:space="0" w:color="auto"/>
        <w:bottom w:val="none" w:sz="0" w:space="0" w:color="auto"/>
        <w:right w:val="none" w:sz="0" w:space="0" w:color="auto"/>
      </w:divBdr>
    </w:div>
    <w:div w:id="1724791452">
      <w:bodyDiv w:val="1"/>
      <w:marLeft w:val="0"/>
      <w:marRight w:val="0"/>
      <w:marTop w:val="0"/>
      <w:marBottom w:val="0"/>
      <w:divBdr>
        <w:top w:val="none" w:sz="0" w:space="0" w:color="auto"/>
        <w:left w:val="none" w:sz="0" w:space="0" w:color="auto"/>
        <w:bottom w:val="none" w:sz="0" w:space="0" w:color="auto"/>
        <w:right w:val="none" w:sz="0" w:space="0" w:color="auto"/>
      </w:divBdr>
    </w:div>
    <w:div w:id="1724865003">
      <w:bodyDiv w:val="1"/>
      <w:marLeft w:val="0"/>
      <w:marRight w:val="0"/>
      <w:marTop w:val="0"/>
      <w:marBottom w:val="0"/>
      <w:divBdr>
        <w:top w:val="none" w:sz="0" w:space="0" w:color="auto"/>
        <w:left w:val="none" w:sz="0" w:space="0" w:color="auto"/>
        <w:bottom w:val="none" w:sz="0" w:space="0" w:color="auto"/>
        <w:right w:val="none" w:sz="0" w:space="0" w:color="auto"/>
      </w:divBdr>
    </w:div>
    <w:div w:id="1724910894">
      <w:bodyDiv w:val="1"/>
      <w:marLeft w:val="0"/>
      <w:marRight w:val="0"/>
      <w:marTop w:val="0"/>
      <w:marBottom w:val="0"/>
      <w:divBdr>
        <w:top w:val="none" w:sz="0" w:space="0" w:color="auto"/>
        <w:left w:val="none" w:sz="0" w:space="0" w:color="auto"/>
        <w:bottom w:val="none" w:sz="0" w:space="0" w:color="auto"/>
        <w:right w:val="none" w:sz="0" w:space="0" w:color="auto"/>
      </w:divBdr>
    </w:div>
    <w:div w:id="1724980570">
      <w:bodyDiv w:val="1"/>
      <w:marLeft w:val="0"/>
      <w:marRight w:val="0"/>
      <w:marTop w:val="0"/>
      <w:marBottom w:val="0"/>
      <w:divBdr>
        <w:top w:val="none" w:sz="0" w:space="0" w:color="auto"/>
        <w:left w:val="none" w:sz="0" w:space="0" w:color="auto"/>
        <w:bottom w:val="none" w:sz="0" w:space="0" w:color="auto"/>
        <w:right w:val="none" w:sz="0" w:space="0" w:color="auto"/>
      </w:divBdr>
    </w:div>
    <w:div w:id="1724982752">
      <w:bodyDiv w:val="1"/>
      <w:marLeft w:val="0"/>
      <w:marRight w:val="0"/>
      <w:marTop w:val="0"/>
      <w:marBottom w:val="0"/>
      <w:divBdr>
        <w:top w:val="none" w:sz="0" w:space="0" w:color="auto"/>
        <w:left w:val="none" w:sz="0" w:space="0" w:color="auto"/>
        <w:bottom w:val="none" w:sz="0" w:space="0" w:color="auto"/>
        <w:right w:val="none" w:sz="0" w:space="0" w:color="auto"/>
      </w:divBdr>
    </w:div>
    <w:div w:id="1725058057">
      <w:bodyDiv w:val="1"/>
      <w:marLeft w:val="0"/>
      <w:marRight w:val="0"/>
      <w:marTop w:val="0"/>
      <w:marBottom w:val="0"/>
      <w:divBdr>
        <w:top w:val="none" w:sz="0" w:space="0" w:color="auto"/>
        <w:left w:val="none" w:sz="0" w:space="0" w:color="auto"/>
        <w:bottom w:val="none" w:sz="0" w:space="0" w:color="auto"/>
        <w:right w:val="none" w:sz="0" w:space="0" w:color="auto"/>
      </w:divBdr>
    </w:div>
    <w:div w:id="1725107008">
      <w:bodyDiv w:val="1"/>
      <w:marLeft w:val="0"/>
      <w:marRight w:val="0"/>
      <w:marTop w:val="0"/>
      <w:marBottom w:val="0"/>
      <w:divBdr>
        <w:top w:val="none" w:sz="0" w:space="0" w:color="auto"/>
        <w:left w:val="none" w:sz="0" w:space="0" w:color="auto"/>
        <w:bottom w:val="none" w:sz="0" w:space="0" w:color="auto"/>
        <w:right w:val="none" w:sz="0" w:space="0" w:color="auto"/>
      </w:divBdr>
    </w:div>
    <w:div w:id="1725250736">
      <w:bodyDiv w:val="1"/>
      <w:marLeft w:val="0"/>
      <w:marRight w:val="0"/>
      <w:marTop w:val="0"/>
      <w:marBottom w:val="0"/>
      <w:divBdr>
        <w:top w:val="none" w:sz="0" w:space="0" w:color="auto"/>
        <w:left w:val="none" w:sz="0" w:space="0" w:color="auto"/>
        <w:bottom w:val="none" w:sz="0" w:space="0" w:color="auto"/>
        <w:right w:val="none" w:sz="0" w:space="0" w:color="auto"/>
      </w:divBdr>
    </w:div>
    <w:div w:id="1725324606">
      <w:bodyDiv w:val="1"/>
      <w:marLeft w:val="0"/>
      <w:marRight w:val="0"/>
      <w:marTop w:val="0"/>
      <w:marBottom w:val="0"/>
      <w:divBdr>
        <w:top w:val="none" w:sz="0" w:space="0" w:color="auto"/>
        <w:left w:val="none" w:sz="0" w:space="0" w:color="auto"/>
        <w:bottom w:val="none" w:sz="0" w:space="0" w:color="auto"/>
        <w:right w:val="none" w:sz="0" w:space="0" w:color="auto"/>
      </w:divBdr>
    </w:div>
    <w:div w:id="1725331036">
      <w:bodyDiv w:val="1"/>
      <w:marLeft w:val="0"/>
      <w:marRight w:val="0"/>
      <w:marTop w:val="0"/>
      <w:marBottom w:val="0"/>
      <w:divBdr>
        <w:top w:val="none" w:sz="0" w:space="0" w:color="auto"/>
        <w:left w:val="none" w:sz="0" w:space="0" w:color="auto"/>
        <w:bottom w:val="none" w:sz="0" w:space="0" w:color="auto"/>
        <w:right w:val="none" w:sz="0" w:space="0" w:color="auto"/>
      </w:divBdr>
    </w:div>
    <w:div w:id="1725332820">
      <w:bodyDiv w:val="1"/>
      <w:marLeft w:val="0"/>
      <w:marRight w:val="0"/>
      <w:marTop w:val="0"/>
      <w:marBottom w:val="0"/>
      <w:divBdr>
        <w:top w:val="none" w:sz="0" w:space="0" w:color="auto"/>
        <w:left w:val="none" w:sz="0" w:space="0" w:color="auto"/>
        <w:bottom w:val="none" w:sz="0" w:space="0" w:color="auto"/>
        <w:right w:val="none" w:sz="0" w:space="0" w:color="auto"/>
      </w:divBdr>
    </w:div>
    <w:div w:id="1725566990">
      <w:bodyDiv w:val="1"/>
      <w:marLeft w:val="0"/>
      <w:marRight w:val="0"/>
      <w:marTop w:val="0"/>
      <w:marBottom w:val="0"/>
      <w:divBdr>
        <w:top w:val="none" w:sz="0" w:space="0" w:color="auto"/>
        <w:left w:val="none" w:sz="0" w:space="0" w:color="auto"/>
        <w:bottom w:val="none" w:sz="0" w:space="0" w:color="auto"/>
        <w:right w:val="none" w:sz="0" w:space="0" w:color="auto"/>
      </w:divBdr>
    </w:div>
    <w:div w:id="1725715682">
      <w:bodyDiv w:val="1"/>
      <w:marLeft w:val="0"/>
      <w:marRight w:val="0"/>
      <w:marTop w:val="0"/>
      <w:marBottom w:val="0"/>
      <w:divBdr>
        <w:top w:val="none" w:sz="0" w:space="0" w:color="auto"/>
        <w:left w:val="none" w:sz="0" w:space="0" w:color="auto"/>
        <w:bottom w:val="none" w:sz="0" w:space="0" w:color="auto"/>
        <w:right w:val="none" w:sz="0" w:space="0" w:color="auto"/>
      </w:divBdr>
    </w:div>
    <w:div w:id="1725717375">
      <w:bodyDiv w:val="1"/>
      <w:marLeft w:val="0"/>
      <w:marRight w:val="0"/>
      <w:marTop w:val="0"/>
      <w:marBottom w:val="0"/>
      <w:divBdr>
        <w:top w:val="none" w:sz="0" w:space="0" w:color="auto"/>
        <w:left w:val="none" w:sz="0" w:space="0" w:color="auto"/>
        <w:bottom w:val="none" w:sz="0" w:space="0" w:color="auto"/>
        <w:right w:val="none" w:sz="0" w:space="0" w:color="auto"/>
      </w:divBdr>
    </w:div>
    <w:div w:id="1725834650">
      <w:bodyDiv w:val="1"/>
      <w:marLeft w:val="0"/>
      <w:marRight w:val="0"/>
      <w:marTop w:val="0"/>
      <w:marBottom w:val="0"/>
      <w:divBdr>
        <w:top w:val="none" w:sz="0" w:space="0" w:color="auto"/>
        <w:left w:val="none" w:sz="0" w:space="0" w:color="auto"/>
        <w:bottom w:val="none" w:sz="0" w:space="0" w:color="auto"/>
        <w:right w:val="none" w:sz="0" w:space="0" w:color="auto"/>
      </w:divBdr>
    </w:div>
    <w:div w:id="1725905059">
      <w:bodyDiv w:val="1"/>
      <w:marLeft w:val="0"/>
      <w:marRight w:val="0"/>
      <w:marTop w:val="0"/>
      <w:marBottom w:val="0"/>
      <w:divBdr>
        <w:top w:val="none" w:sz="0" w:space="0" w:color="auto"/>
        <w:left w:val="none" w:sz="0" w:space="0" w:color="auto"/>
        <w:bottom w:val="none" w:sz="0" w:space="0" w:color="auto"/>
        <w:right w:val="none" w:sz="0" w:space="0" w:color="auto"/>
      </w:divBdr>
    </w:div>
    <w:div w:id="1725983464">
      <w:bodyDiv w:val="1"/>
      <w:marLeft w:val="0"/>
      <w:marRight w:val="0"/>
      <w:marTop w:val="0"/>
      <w:marBottom w:val="0"/>
      <w:divBdr>
        <w:top w:val="none" w:sz="0" w:space="0" w:color="auto"/>
        <w:left w:val="none" w:sz="0" w:space="0" w:color="auto"/>
        <w:bottom w:val="none" w:sz="0" w:space="0" w:color="auto"/>
        <w:right w:val="none" w:sz="0" w:space="0" w:color="auto"/>
      </w:divBdr>
    </w:div>
    <w:div w:id="1726025535">
      <w:bodyDiv w:val="1"/>
      <w:marLeft w:val="0"/>
      <w:marRight w:val="0"/>
      <w:marTop w:val="0"/>
      <w:marBottom w:val="0"/>
      <w:divBdr>
        <w:top w:val="none" w:sz="0" w:space="0" w:color="auto"/>
        <w:left w:val="none" w:sz="0" w:space="0" w:color="auto"/>
        <w:bottom w:val="none" w:sz="0" w:space="0" w:color="auto"/>
        <w:right w:val="none" w:sz="0" w:space="0" w:color="auto"/>
      </w:divBdr>
    </w:div>
    <w:div w:id="1726029061">
      <w:bodyDiv w:val="1"/>
      <w:marLeft w:val="0"/>
      <w:marRight w:val="0"/>
      <w:marTop w:val="0"/>
      <w:marBottom w:val="0"/>
      <w:divBdr>
        <w:top w:val="none" w:sz="0" w:space="0" w:color="auto"/>
        <w:left w:val="none" w:sz="0" w:space="0" w:color="auto"/>
        <w:bottom w:val="none" w:sz="0" w:space="0" w:color="auto"/>
        <w:right w:val="none" w:sz="0" w:space="0" w:color="auto"/>
      </w:divBdr>
    </w:div>
    <w:div w:id="1726179439">
      <w:bodyDiv w:val="1"/>
      <w:marLeft w:val="0"/>
      <w:marRight w:val="0"/>
      <w:marTop w:val="0"/>
      <w:marBottom w:val="0"/>
      <w:divBdr>
        <w:top w:val="none" w:sz="0" w:space="0" w:color="auto"/>
        <w:left w:val="none" w:sz="0" w:space="0" w:color="auto"/>
        <w:bottom w:val="none" w:sz="0" w:space="0" w:color="auto"/>
        <w:right w:val="none" w:sz="0" w:space="0" w:color="auto"/>
      </w:divBdr>
    </w:div>
    <w:div w:id="1726249583">
      <w:bodyDiv w:val="1"/>
      <w:marLeft w:val="0"/>
      <w:marRight w:val="0"/>
      <w:marTop w:val="0"/>
      <w:marBottom w:val="0"/>
      <w:divBdr>
        <w:top w:val="none" w:sz="0" w:space="0" w:color="auto"/>
        <w:left w:val="none" w:sz="0" w:space="0" w:color="auto"/>
        <w:bottom w:val="none" w:sz="0" w:space="0" w:color="auto"/>
        <w:right w:val="none" w:sz="0" w:space="0" w:color="auto"/>
      </w:divBdr>
    </w:div>
    <w:div w:id="1726249912">
      <w:bodyDiv w:val="1"/>
      <w:marLeft w:val="0"/>
      <w:marRight w:val="0"/>
      <w:marTop w:val="0"/>
      <w:marBottom w:val="0"/>
      <w:divBdr>
        <w:top w:val="none" w:sz="0" w:space="0" w:color="auto"/>
        <w:left w:val="none" w:sz="0" w:space="0" w:color="auto"/>
        <w:bottom w:val="none" w:sz="0" w:space="0" w:color="auto"/>
        <w:right w:val="none" w:sz="0" w:space="0" w:color="auto"/>
      </w:divBdr>
    </w:div>
    <w:div w:id="1726297504">
      <w:bodyDiv w:val="1"/>
      <w:marLeft w:val="0"/>
      <w:marRight w:val="0"/>
      <w:marTop w:val="0"/>
      <w:marBottom w:val="0"/>
      <w:divBdr>
        <w:top w:val="none" w:sz="0" w:space="0" w:color="auto"/>
        <w:left w:val="none" w:sz="0" w:space="0" w:color="auto"/>
        <w:bottom w:val="none" w:sz="0" w:space="0" w:color="auto"/>
        <w:right w:val="none" w:sz="0" w:space="0" w:color="auto"/>
      </w:divBdr>
    </w:div>
    <w:div w:id="1726368609">
      <w:bodyDiv w:val="1"/>
      <w:marLeft w:val="0"/>
      <w:marRight w:val="0"/>
      <w:marTop w:val="0"/>
      <w:marBottom w:val="0"/>
      <w:divBdr>
        <w:top w:val="none" w:sz="0" w:space="0" w:color="auto"/>
        <w:left w:val="none" w:sz="0" w:space="0" w:color="auto"/>
        <w:bottom w:val="none" w:sz="0" w:space="0" w:color="auto"/>
        <w:right w:val="none" w:sz="0" w:space="0" w:color="auto"/>
      </w:divBdr>
    </w:div>
    <w:div w:id="1726489547">
      <w:bodyDiv w:val="1"/>
      <w:marLeft w:val="0"/>
      <w:marRight w:val="0"/>
      <w:marTop w:val="0"/>
      <w:marBottom w:val="0"/>
      <w:divBdr>
        <w:top w:val="none" w:sz="0" w:space="0" w:color="auto"/>
        <w:left w:val="none" w:sz="0" w:space="0" w:color="auto"/>
        <w:bottom w:val="none" w:sz="0" w:space="0" w:color="auto"/>
        <w:right w:val="none" w:sz="0" w:space="0" w:color="auto"/>
      </w:divBdr>
    </w:div>
    <w:div w:id="1726561149">
      <w:bodyDiv w:val="1"/>
      <w:marLeft w:val="0"/>
      <w:marRight w:val="0"/>
      <w:marTop w:val="0"/>
      <w:marBottom w:val="0"/>
      <w:divBdr>
        <w:top w:val="none" w:sz="0" w:space="0" w:color="auto"/>
        <w:left w:val="none" w:sz="0" w:space="0" w:color="auto"/>
        <w:bottom w:val="none" w:sz="0" w:space="0" w:color="auto"/>
        <w:right w:val="none" w:sz="0" w:space="0" w:color="auto"/>
      </w:divBdr>
    </w:div>
    <w:div w:id="1726638298">
      <w:bodyDiv w:val="1"/>
      <w:marLeft w:val="0"/>
      <w:marRight w:val="0"/>
      <w:marTop w:val="0"/>
      <w:marBottom w:val="0"/>
      <w:divBdr>
        <w:top w:val="none" w:sz="0" w:space="0" w:color="auto"/>
        <w:left w:val="none" w:sz="0" w:space="0" w:color="auto"/>
        <w:bottom w:val="none" w:sz="0" w:space="0" w:color="auto"/>
        <w:right w:val="none" w:sz="0" w:space="0" w:color="auto"/>
      </w:divBdr>
    </w:div>
    <w:div w:id="1726642784">
      <w:bodyDiv w:val="1"/>
      <w:marLeft w:val="0"/>
      <w:marRight w:val="0"/>
      <w:marTop w:val="0"/>
      <w:marBottom w:val="0"/>
      <w:divBdr>
        <w:top w:val="none" w:sz="0" w:space="0" w:color="auto"/>
        <w:left w:val="none" w:sz="0" w:space="0" w:color="auto"/>
        <w:bottom w:val="none" w:sz="0" w:space="0" w:color="auto"/>
        <w:right w:val="none" w:sz="0" w:space="0" w:color="auto"/>
      </w:divBdr>
    </w:div>
    <w:div w:id="1726678317">
      <w:bodyDiv w:val="1"/>
      <w:marLeft w:val="0"/>
      <w:marRight w:val="0"/>
      <w:marTop w:val="0"/>
      <w:marBottom w:val="0"/>
      <w:divBdr>
        <w:top w:val="none" w:sz="0" w:space="0" w:color="auto"/>
        <w:left w:val="none" w:sz="0" w:space="0" w:color="auto"/>
        <w:bottom w:val="none" w:sz="0" w:space="0" w:color="auto"/>
        <w:right w:val="none" w:sz="0" w:space="0" w:color="auto"/>
      </w:divBdr>
    </w:div>
    <w:div w:id="1726680088">
      <w:bodyDiv w:val="1"/>
      <w:marLeft w:val="0"/>
      <w:marRight w:val="0"/>
      <w:marTop w:val="0"/>
      <w:marBottom w:val="0"/>
      <w:divBdr>
        <w:top w:val="none" w:sz="0" w:space="0" w:color="auto"/>
        <w:left w:val="none" w:sz="0" w:space="0" w:color="auto"/>
        <w:bottom w:val="none" w:sz="0" w:space="0" w:color="auto"/>
        <w:right w:val="none" w:sz="0" w:space="0" w:color="auto"/>
      </w:divBdr>
    </w:div>
    <w:div w:id="1726680445">
      <w:bodyDiv w:val="1"/>
      <w:marLeft w:val="0"/>
      <w:marRight w:val="0"/>
      <w:marTop w:val="0"/>
      <w:marBottom w:val="0"/>
      <w:divBdr>
        <w:top w:val="none" w:sz="0" w:space="0" w:color="auto"/>
        <w:left w:val="none" w:sz="0" w:space="0" w:color="auto"/>
        <w:bottom w:val="none" w:sz="0" w:space="0" w:color="auto"/>
        <w:right w:val="none" w:sz="0" w:space="0" w:color="auto"/>
      </w:divBdr>
    </w:div>
    <w:div w:id="1726753446">
      <w:bodyDiv w:val="1"/>
      <w:marLeft w:val="0"/>
      <w:marRight w:val="0"/>
      <w:marTop w:val="0"/>
      <w:marBottom w:val="0"/>
      <w:divBdr>
        <w:top w:val="none" w:sz="0" w:space="0" w:color="auto"/>
        <w:left w:val="none" w:sz="0" w:space="0" w:color="auto"/>
        <w:bottom w:val="none" w:sz="0" w:space="0" w:color="auto"/>
        <w:right w:val="none" w:sz="0" w:space="0" w:color="auto"/>
      </w:divBdr>
    </w:div>
    <w:div w:id="1726755369">
      <w:bodyDiv w:val="1"/>
      <w:marLeft w:val="0"/>
      <w:marRight w:val="0"/>
      <w:marTop w:val="0"/>
      <w:marBottom w:val="0"/>
      <w:divBdr>
        <w:top w:val="none" w:sz="0" w:space="0" w:color="auto"/>
        <w:left w:val="none" w:sz="0" w:space="0" w:color="auto"/>
        <w:bottom w:val="none" w:sz="0" w:space="0" w:color="auto"/>
        <w:right w:val="none" w:sz="0" w:space="0" w:color="auto"/>
      </w:divBdr>
    </w:div>
    <w:div w:id="1727147963">
      <w:bodyDiv w:val="1"/>
      <w:marLeft w:val="0"/>
      <w:marRight w:val="0"/>
      <w:marTop w:val="0"/>
      <w:marBottom w:val="0"/>
      <w:divBdr>
        <w:top w:val="none" w:sz="0" w:space="0" w:color="auto"/>
        <w:left w:val="none" w:sz="0" w:space="0" w:color="auto"/>
        <w:bottom w:val="none" w:sz="0" w:space="0" w:color="auto"/>
        <w:right w:val="none" w:sz="0" w:space="0" w:color="auto"/>
      </w:divBdr>
    </w:div>
    <w:div w:id="1727333650">
      <w:bodyDiv w:val="1"/>
      <w:marLeft w:val="0"/>
      <w:marRight w:val="0"/>
      <w:marTop w:val="0"/>
      <w:marBottom w:val="0"/>
      <w:divBdr>
        <w:top w:val="none" w:sz="0" w:space="0" w:color="auto"/>
        <w:left w:val="none" w:sz="0" w:space="0" w:color="auto"/>
        <w:bottom w:val="none" w:sz="0" w:space="0" w:color="auto"/>
        <w:right w:val="none" w:sz="0" w:space="0" w:color="auto"/>
      </w:divBdr>
    </w:div>
    <w:div w:id="1727338952">
      <w:bodyDiv w:val="1"/>
      <w:marLeft w:val="0"/>
      <w:marRight w:val="0"/>
      <w:marTop w:val="0"/>
      <w:marBottom w:val="0"/>
      <w:divBdr>
        <w:top w:val="none" w:sz="0" w:space="0" w:color="auto"/>
        <w:left w:val="none" w:sz="0" w:space="0" w:color="auto"/>
        <w:bottom w:val="none" w:sz="0" w:space="0" w:color="auto"/>
        <w:right w:val="none" w:sz="0" w:space="0" w:color="auto"/>
      </w:divBdr>
    </w:div>
    <w:div w:id="1727407466">
      <w:bodyDiv w:val="1"/>
      <w:marLeft w:val="0"/>
      <w:marRight w:val="0"/>
      <w:marTop w:val="0"/>
      <w:marBottom w:val="0"/>
      <w:divBdr>
        <w:top w:val="none" w:sz="0" w:space="0" w:color="auto"/>
        <w:left w:val="none" w:sz="0" w:space="0" w:color="auto"/>
        <w:bottom w:val="none" w:sz="0" w:space="0" w:color="auto"/>
        <w:right w:val="none" w:sz="0" w:space="0" w:color="auto"/>
      </w:divBdr>
    </w:div>
    <w:div w:id="1727489794">
      <w:bodyDiv w:val="1"/>
      <w:marLeft w:val="0"/>
      <w:marRight w:val="0"/>
      <w:marTop w:val="0"/>
      <w:marBottom w:val="0"/>
      <w:divBdr>
        <w:top w:val="none" w:sz="0" w:space="0" w:color="auto"/>
        <w:left w:val="none" w:sz="0" w:space="0" w:color="auto"/>
        <w:bottom w:val="none" w:sz="0" w:space="0" w:color="auto"/>
        <w:right w:val="none" w:sz="0" w:space="0" w:color="auto"/>
      </w:divBdr>
    </w:div>
    <w:div w:id="1727534649">
      <w:bodyDiv w:val="1"/>
      <w:marLeft w:val="0"/>
      <w:marRight w:val="0"/>
      <w:marTop w:val="0"/>
      <w:marBottom w:val="0"/>
      <w:divBdr>
        <w:top w:val="none" w:sz="0" w:space="0" w:color="auto"/>
        <w:left w:val="none" w:sz="0" w:space="0" w:color="auto"/>
        <w:bottom w:val="none" w:sz="0" w:space="0" w:color="auto"/>
        <w:right w:val="none" w:sz="0" w:space="0" w:color="auto"/>
      </w:divBdr>
    </w:div>
    <w:div w:id="1727608346">
      <w:bodyDiv w:val="1"/>
      <w:marLeft w:val="0"/>
      <w:marRight w:val="0"/>
      <w:marTop w:val="0"/>
      <w:marBottom w:val="0"/>
      <w:divBdr>
        <w:top w:val="none" w:sz="0" w:space="0" w:color="auto"/>
        <w:left w:val="none" w:sz="0" w:space="0" w:color="auto"/>
        <w:bottom w:val="none" w:sz="0" w:space="0" w:color="auto"/>
        <w:right w:val="none" w:sz="0" w:space="0" w:color="auto"/>
      </w:divBdr>
    </w:div>
    <w:div w:id="1727678311">
      <w:bodyDiv w:val="1"/>
      <w:marLeft w:val="0"/>
      <w:marRight w:val="0"/>
      <w:marTop w:val="0"/>
      <w:marBottom w:val="0"/>
      <w:divBdr>
        <w:top w:val="none" w:sz="0" w:space="0" w:color="auto"/>
        <w:left w:val="none" w:sz="0" w:space="0" w:color="auto"/>
        <w:bottom w:val="none" w:sz="0" w:space="0" w:color="auto"/>
        <w:right w:val="none" w:sz="0" w:space="0" w:color="auto"/>
      </w:divBdr>
    </w:div>
    <w:div w:id="1727796441">
      <w:bodyDiv w:val="1"/>
      <w:marLeft w:val="0"/>
      <w:marRight w:val="0"/>
      <w:marTop w:val="0"/>
      <w:marBottom w:val="0"/>
      <w:divBdr>
        <w:top w:val="none" w:sz="0" w:space="0" w:color="auto"/>
        <w:left w:val="none" w:sz="0" w:space="0" w:color="auto"/>
        <w:bottom w:val="none" w:sz="0" w:space="0" w:color="auto"/>
        <w:right w:val="none" w:sz="0" w:space="0" w:color="auto"/>
      </w:divBdr>
    </w:div>
    <w:div w:id="1727869479">
      <w:bodyDiv w:val="1"/>
      <w:marLeft w:val="0"/>
      <w:marRight w:val="0"/>
      <w:marTop w:val="0"/>
      <w:marBottom w:val="0"/>
      <w:divBdr>
        <w:top w:val="none" w:sz="0" w:space="0" w:color="auto"/>
        <w:left w:val="none" w:sz="0" w:space="0" w:color="auto"/>
        <w:bottom w:val="none" w:sz="0" w:space="0" w:color="auto"/>
        <w:right w:val="none" w:sz="0" w:space="0" w:color="auto"/>
      </w:divBdr>
    </w:div>
    <w:div w:id="1727872073">
      <w:bodyDiv w:val="1"/>
      <w:marLeft w:val="0"/>
      <w:marRight w:val="0"/>
      <w:marTop w:val="0"/>
      <w:marBottom w:val="0"/>
      <w:divBdr>
        <w:top w:val="none" w:sz="0" w:space="0" w:color="auto"/>
        <w:left w:val="none" w:sz="0" w:space="0" w:color="auto"/>
        <w:bottom w:val="none" w:sz="0" w:space="0" w:color="auto"/>
        <w:right w:val="none" w:sz="0" w:space="0" w:color="auto"/>
      </w:divBdr>
    </w:div>
    <w:div w:id="1727873138">
      <w:bodyDiv w:val="1"/>
      <w:marLeft w:val="0"/>
      <w:marRight w:val="0"/>
      <w:marTop w:val="0"/>
      <w:marBottom w:val="0"/>
      <w:divBdr>
        <w:top w:val="none" w:sz="0" w:space="0" w:color="auto"/>
        <w:left w:val="none" w:sz="0" w:space="0" w:color="auto"/>
        <w:bottom w:val="none" w:sz="0" w:space="0" w:color="auto"/>
        <w:right w:val="none" w:sz="0" w:space="0" w:color="auto"/>
      </w:divBdr>
    </w:div>
    <w:div w:id="1727873461">
      <w:bodyDiv w:val="1"/>
      <w:marLeft w:val="0"/>
      <w:marRight w:val="0"/>
      <w:marTop w:val="0"/>
      <w:marBottom w:val="0"/>
      <w:divBdr>
        <w:top w:val="none" w:sz="0" w:space="0" w:color="auto"/>
        <w:left w:val="none" w:sz="0" w:space="0" w:color="auto"/>
        <w:bottom w:val="none" w:sz="0" w:space="0" w:color="auto"/>
        <w:right w:val="none" w:sz="0" w:space="0" w:color="auto"/>
      </w:divBdr>
    </w:div>
    <w:div w:id="1727875591">
      <w:bodyDiv w:val="1"/>
      <w:marLeft w:val="0"/>
      <w:marRight w:val="0"/>
      <w:marTop w:val="0"/>
      <w:marBottom w:val="0"/>
      <w:divBdr>
        <w:top w:val="none" w:sz="0" w:space="0" w:color="auto"/>
        <w:left w:val="none" w:sz="0" w:space="0" w:color="auto"/>
        <w:bottom w:val="none" w:sz="0" w:space="0" w:color="auto"/>
        <w:right w:val="none" w:sz="0" w:space="0" w:color="auto"/>
      </w:divBdr>
    </w:div>
    <w:div w:id="1727949015">
      <w:bodyDiv w:val="1"/>
      <w:marLeft w:val="0"/>
      <w:marRight w:val="0"/>
      <w:marTop w:val="0"/>
      <w:marBottom w:val="0"/>
      <w:divBdr>
        <w:top w:val="none" w:sz="0" w:space="0" w:color="auto"/>
        <w:left w:val="none" w:sz="0" w:space="0" w:color="auto"/>
        <w:bottom w:val="none" w:sz="0" w:space="0" w:color="auto"/>
        <w:right w:val="none" w:sz="0" w:space="0" w:color="auto"/>
      </w:divBdr>
    </w:div>
    <w:div w:id="1727996291">
      <w:bodyDiv w:val="1"/>
      <w:marLeft w:val="0"/>
      <w:marRight w:val="0"/>
      <w:marTop w:val="0"/>
      <w:marBottom w:val="0"/>
      <w:divBdr>
        <w:top w:val="none" w:sz="0" w:space="0" w:color="auto"/>
        <w:left w:val="none" w:sz="0" w:space="0" w:color="auto"/>
        <w:bottom w:val="none" w:sz="0" w:space="0" w:color="auto"/>
        <w:right w:val="none" w:sz="0" w:space="0" w:color="auto"/>
      </w:divBdr>
    </w:div>
    <w:div w:id="1728069889">
      <w:bodyDiv w:val="1"/>
      <w:marLeft w:val="0"/>
      <w:marRight w:val="0"/>
      <w:marTop w:val="0"/>
      <w:marBottom w:val="0"/>
      <w:divBdr>
        <w:top w:val="none" w:sz="0" w:space="0" w:color="auto"/>
        <w:left w:val="none" w:sz="0" w:space="0" w:color="auto"/>
        <w:bottom w:val="none" w:sz="0" w:space="0" w:color="auto"/>
        <w:right w:val="none" w:sz="0" w:space="0" w:color="auto"/>
      </w:divBdr>
    </w:div>
    <w:div w:id="1728141783">
      <w:bodyDiv w:val="1"/>
      <w:marLeft w:val="0"/>
      <w:marRight w:val="0"/>
      <w:marTop w:val="0"/>
      <w:marBottom w:val="0"/>
      <w:divBdr>
        <w:top w:val="none" w:sz="0" w:space="0" w:color="auto"/>
        <w:left w:val="none" w:sz="0" w:space="0" w:color="auto"/>
        <w:bottom w:val="none" w:sz="0" w:space="0" w:color="auto"/>
        <w:right w:val="none" w:sz="0" w:space="0" w:color="auto"/>
      </w:divBdr>
    </w:div>
    <w:div w:id="1728184933">
      <w:bodyDiv w:val="1"/>
      <w:marLeft w:val="0"/>
      <w:marRight w:val="0"/>
      <w:marTop w:val="0"/>
      <w:marBottom w:val="0"/>
      <w:divBdr>
        <w:top w:val="none" w:sz="0" w:space="0" w:color="auto"/>
        <w:left w:val="none" w:sz="0" w:space="0" w:color="auto"/>
        <w:bottom w:val="none" w:sz="0" w:space="0" w:color="auto"/>
        <w:right w:val="none" w:sz="0" w:space="0" w:color="auto"/>
      </w:divBdr>
    </w:div>
    <w:div w:id="1728185636">
      <w:bodyDiv w:val="1"/>
      <w:marLeft w:val="0"/>
      <w:marRight w:val="0"/>
      <w:marTop w:val="0"/>
      <w:marBottom w:val="0"/>
      <w:divBdr>
        <w:top w:val="none" w:sz="0" w:space="0" w:color="auto"/>
        <w:left w:val="none" w:sz="0" w:space="0" w:color="auto"/>
        <w:bottom w:val="none" w:sz="0" w:space="0" w:color="auto"/>
        <w:right w:val="none" w:sz="0" w:space="0" w:color="auto"/>
      </w:divBdr>
    </w:div>
    <w:div w:id="1728188477">
      <w:bodyDiv w:val="1"/>
      <w:marLeft w:val="0"/>
      <w:marRight w:val="0"/>
      <w:marTop w:val="0"/>
      <w:marBottom w:val="0"/>
      <w:divBdr>
        <w:top w:val="none" w:sz="0" w:space="0" w:color="auto"/>
        <w:left w:val="none" w:sz="0" w:space="0" w:color="auto"/>
        <w:bottom w:val="none" w:sz="0" w:space="0" w:color="auto"/>
        <w:right w:val="none" w:sz="0" w:space="0" w:color="auto"/>
      </w:divBdr>
    </w:div>
    <w:div w:id="1728336416">
      <w:bodyDiv w:val="1"/>
      <w:marLeft w:val="0"/>
      <w:marRight w:val="0"/>
      <w:marTop w:val="0"/>
      <w:marBottom w:val="0"/>
      <w:divBdr>
        <w:top w:val="none" w:sz="0" w:space="0" w:color="auto"/>
        <w:left w:val="none" w:sz="0" w:space="0" w:color="auto"/>
        <w:bottom w:val="none" w:sz="0" w:space="0" w:color="auto"/>
        <w:right w:val="none" w:sz="0" w:space="0" w:color="auto"/>
      </w:divBdr>
    </w:div>
    <w:div w:id="1728339902">
      <w:bodyDiv w:val="1"/>
      <w:marLeft w:val="0"/>
      <w:marRight w:val="0"/>
      <w:marTop w:val="0"/>
      <w:marBottom w:val="0"/>
      <w:divBdr>
        <w:top w:val="none" w:sz="0" w:space="0" w:color="auto"/>
        <w:left w:val="none" w:sz="0" w:space="0" w:color="auto"/>
        <w:bottom w:val="none" w:sz="0" w:space="0" w:color="auto"/>
        <w:right w:val="none" w:sz="0" w:space="0" w:color="auto"/>
      </w:divBdr>
    </w:div>
    <w:div w:id="1728407662">
      <w:bodyDiv w:val="1"/>
      <w:marLeft w:val="0"/>
      <w:marRight w:val="0"/>
      <w:marTop w:val="0"/>
      <w:marBottom w:val="0"/>
      <w:divBdr>
        <w:top w:val="none" w:sz="0" w:space="0" w:color="auto"/>
        <w:left w:val="none" w:sz="0" w:space="0" w:color="auto"/>
        <w:bottom w:val="none" w:sz="0" w:space="0" w:color="auto"/>
        <w:right w:val="none" w:sz="0" w:space="0" w:color="auto"/>
      </w:divBdr>
    </w:div>
    <w:div w:id="1728411774">
      <w:bodyDiv w:val="1"/>
      <w:marLeft w:val="0"/>
      <w:marRight w:val="0"/>
      <w:marTop w:val="0"/>
      <w:marBottom w:val="0"/>
      <w:divBdr>
        <w:top w:val="none" w:sz="0" w:space="0" w:color="auto"/>
        <w:left w:val="none" w:sz="0" w:space="0" w:color="auto"/>
        <w:bottom w:val="none" w:sz="0" w:space="0" w:color="auto"/>
        <w:right w:val="none" w:sz="0" w:space="0" w:color="auto"/>
      </w:divBdr>
    </w:div>
    <w:div w:id="1728532448">
      <w:bodyDiv w:val="1"/>
      <w:marLeft w:val="0"/>
      <w:marRight w:val="0"/>
      <w:marTop w:val="0"/>
      <w:marBottom w:val="0"/>
      <w:divBdr>
        <w:top w:val="none" w:sz="0" w:space="0" w:color="auto"/>
        <w:left w:val="none" w:sz="0" w:space="0" w:color="auto"/>
        <w:bottom w:val="none" w:sz="0" w:space="0" w:color="auto"/>
        <w:right w:val="none" w:sz="0" w:space="0" w:color="auto"/>
      </w:divBdr>
    </w:div>
    <w:div w:id="1728645729">
      <w:bodyDiv w:val="1"/>
      <w:marLeft w:val="0"/>
      <w:marRight w:val="0"/>
      <w:marTop w:val="0"/>
      <w:marBottom w:val="0"/>
      <w:divBdr>
        <w:top w:val="none" w:sz="0" w:space="0" w:color="auto"/>
        <w:left w:val="none" w:sz="0" w:space="0" w:color="auto"/>
        <w:bottom w:val="none" w:sz="0" w:space="0" w:color="auto"/>
        <w:right w:val="none" w:sz="0" w:space="0" w:color="auto"/>
      </w:divBdr>
    </w:div>
    <w:div w:id="1728726183">
      <w:bodyDiv w:val="1"/>
      <w:marLeft w:val="0"/>
      <w:marRight w:val="0"/>
      <w:marTop w:val="0"/>
      <w:marBottom w:val="0"/>
      <w:divBdr>
        <w:top w:val="none" w:sz="0" w:space="0" w:color="auto"/>
        <w:left w:val="none" w:sz="0" w:space="0" w:color="auto"/>
        <w:bottom w:val="none" w:sz="0" w:space="0" w:color="auto"/>
        <w:right w:val="none" w:sz="0" w:space="0" w:color="auto"/>
      </w:divBdr>
    </w:div>
    <w:div w:id="1728918978">
      <w:bodyDiv w:val="1"/>
      <w:marLeft w:val="0"/>
      <w:marRight w:val="0"/>
      <w:marTop w:val="0"/>
      <w:marBottom w:val="0"/>
      <w:divBdr>
        <w:top w:val="none" w:sz="0" w:space="0" w:color="auto"/>
        <w:left w:val="none" w:sz="0" w:space="0" w:color="auto"/>
        <w:bottom w:val="none" w:sz="0" w:space="0" w:color="auto"/>
        <w:right w:val="none" w:sz="0" w:space="0" w:color="auto"/>
      </w:divBdr>
    </w:div>
    <w:div w:id="1728989196">
      <w:bodyDiv w:val="1"/>
      <w:marLeft w:val="0"/>
      <w:marRight w:val="0"/>
      <w:marTop w:val="0"/>
      <w:marBottom w:val="0"/>
      <w:divBdr>
        <w:top w:val="none" w:sz="0" w:space="0" w:color="auto"/>
        <w:left w:val="none" w:sz="0" w:space="0" w:color="auto"/>
        <w:bottom w:val="none" w:sz="0" w:space="0" w:color="auto"/>
        <w:right w:val="none" w:sz="0" w:space="0" w:color="auto"/>
      </w:divBdr>
    </w:div>
    <w:div w:id="1728990004">
      <w:bodyDiv w:val="1"/>
      <w:marLeft w:val="0"/>
      <w:marRight w:val="0"/>
      <w:marTop w:val="0"/>
      <w:marBottom w:val="0"/>
      <w:divBdr>
        <w:top w:val="none" w:sz="0" w:space="0" w:color="auto"/>
        <w:left w:val="none" w:sz="0" w:space="0" w:color="auto"/>
        <w:bottom w:val="none" w:sz="0" w:space="0" w:color="auto"/>
        <w:right w:val="none" w:sz="0" w:space="0" w:color="auto"/>
      </w:divBdr>
    </w:div>
    <w:div w:id="1729067877">
      <w:bodyDiv w:val="1"/>
      <w:marLeft w:val="0"/>
      <w:marRight w:val="0"/>
      <w:marTop w:val="0"/>
      <w:marBottom w:val="0"/>
      <w:divBdr>
        <w:top w:val="none" w:sz="0" w:space="0" w:color="auto"/>
        <w:left w:val="none" w:sz="0" w:space="0" w:color="auto"/>
        <w:bottom w:val="none" w:sz="0" w:space="0" w:color="auto"/>
        <w:right w:val="none" w:sz="0" w:space="0" w:color="auto"/>
      </w:divBdr>
    </w:div>
    <w:div w:id="1729107473">
      <w:bodyDiv w:val="1"/>
      <w:marLeft w:val="0"/>
      <w:marRight w:val="0"/>
      <w:marTop w:val="0"/>
      <w:marBottom w:val="0"/>
      <w:divBdr>
        <w:top w:val="none" w:sz="0" w:space="0" w:color="auto"/>
        <w:left w:val="none" w:sz="0" w:space="0" w:color="auto"/>
        <w:bottom w:val="none" w:sz="0" w:space="0" w:color="auto"/>
        <w:right w:val="none" w:sz="0" w:space="0" w:color="auto"/>
      </w:divBdr>
    </w:div>
    <w:div w:id="1729113936">
      <w:bodyDiv w:val="1"/>
      <w:marLeft w:val="0"/>
      <w:marRight w:val="0"/>
      <w:marTop w:val="0"/>
      <w:marBottom w:val="0"/>
      <w:divBdr>
        <w:top w:val="none" w:sz="0" w:space="0" w:color="auto"/>
        <w:left w:val="none" w:sz="0" w:space="0" w:color="auto"/>
        <w:bottom w:val="none" w:sz="0" w:space="0" w:color="auto"/>
        <w:right w:val="none" w:sz="0" w:space="0" w:color="auto"/>
      </w:divBdr>
    </w:div>
    <w:div w:id="1729183535">
      <w:bodyDiv w:val="1"/>
      <w:marLeft w:val="0"/>
      <w:marRight w:val="0"/>
      <w:marTop w:val="0"/>
      <w:marBottom w:val="0"/>
      <w:divBdr>
        <w:top w:val="none" w:sz="0" w:space="0" w:color="auto"/>
        <w:left w:val="none" w:sz="0" w:space="0" w:color="auto"/>
        <w:bottom w:val="none" w:sz="0" w:space="0" w:color="auto"/>
        <w:right w:val="none" w:sz="0" w:space="0" w:color="auto"/>
      </w:divBdr>
    </w:div>
    <w:div w:id="1729375497">
      <w:bodyDiv w:val="1"/>
      <w:marLeft w:val="0"/>
      <w:marRight w:val="0"/>
      <w:marTop w:val="0"/>
      <w:marBottom w:val="0"/>
      <w:divBdr>
        <w:top w:val="none" w:sz="0" w:space="0" w:color="auto"/>
        <w:left w:val="none" w:sz="0" w:space="0" w:color="auto"/>
        <w:bottom w:val="none" w:sz="0" w:space="0" w:color="auto"/>
        <w:right w:val="none" w:sz="0" w:space="0" w:color="auto"/>
      </w:divBdr>
    </w:div>
    <w:div w:id="1729454642">
      <w:bodyDiv w:val="1"/>
      <w:marLeft w:val="0"/>
      <w:marRight w:val="0"/>
      <w:marTop w:val="0"/>
      <w:marBottom w:val="0"/>
      <w:divBdr>
        <w:top w:val="none" w:sz="0" w:space="0" w:color="auto"/>
        <w:left w:val="none" w:sz="0" w:space="0" w:color="auto"/>
        <w:bottom w:val="none" w:sz="0" w:space="0" w:color="auto"/>
        <w:right w:val="none" w:sz="0" w:space="0" w:color="auto"/>
      </w:divBdr>
    </w:div>
    <w:div w:id="1729723520">
      <w:bodyDiv w:val="1"/>
      <w:marLeft w:val="0"/>
      <w:marRight w:val="0"/>
      <w:marTop w:val="0"/>
      <w:marBottom w:val="0"/>
      <w:divBdr>
        <w:top w:val="none" w:sz="0" w:space="0" w:color="auto"/>
        <w:left w:val="none" w:sz="0" w:space="0" w:color="auto"/>
        <w:bottom w:val="none" w:sz="0" w:space="0" w:color="auto"/>
        <w:right w:val="none" w:sz="0" w:space="0" w:color="auto"/>
      </w:divBdr>
    </w:div>
    <w:div w:id="1729959097">
      <w:bodyDiv w:val="1"/>
      <w:marLeft w:val="0"/>
      <w:marRight w:val="0"/>
      <w:marTop w:val="0"/>
      <w:marBottom w:val="0"/>
      <w:divBdr>
        <w:top w:val="none" w:sz="0" w:space="0" w:color="auto"/>
        <w:left w:val="none" w:sz="0" w:space="0" w:color="auto"/>
        <w:bottom w:val="none" w:sz="0" w:space="0" w:color="auto"/>
        <w:right w:val="none" w:sz="0" w:space="0" w:color="auto"/>
      </w:divBdr>
    </w:div>
    <w:div w:id="1729961109">
      <w:bodyDiv w:val="1"/>
      <w:marLeft w:val="0"/>
      <w:marRight w:val="0"/>
      <w:marTop w:val="0"/>
      <w:marBottom w:val="0"/>
      <w:divBdr>
        <w:top w:val="none" w:sz="0" w:space="0" w:color="auto"/>
        <w:left w:val="none" w:sz="0" w:space="0" w:color="auto"/>
        <w:bottom w:val="none" w:sz="0" w:space="0" w:color="auto"/>
        <w:right w:val="none" w:sz="0" w:space="0" w:color="auto"/>
      </w:divBdr>
    </w:div>
    <w:div w:id="1729962401">
      <w:bodyDiv w:val="1"/>
      <w:marLeft w:val="0"/>
      <w:marRight w:val="0"/>
      <w:marTop w:val="0"/>
      <w:marBottom w:val="0"/>
      <w:divBdr>
        <w:top w:val="none" w:sz="0" w:space="0" w:color="auto"/>
        <w:left w:val="none" w:sz="0" w:space="0" w:color="auto"/>
        <w:bottom w:val="none" w:sz="0" w:space="0" w:color="auto"/>
        <w:right w:val="none" w:sz="0" w:space="0" w:color="auto"/>
      </w:divBdr>
    </w:div>
    <w:div w:id="1730037397">
      <w:bodyDiv w:val="1"/>
      <w:marLeft w:val="0"/>
      <w:marRight w:val="0"/>
      <w:marTop w:val="0"/>
      <w:marBottom w:val="0"/>
      <w:divBdr>
        <w:top w:val="none" w:sz="0" w:space="0" w:color="auto"/>
        <w:left w:val="none" w:sz="0" w:space="0" w:color="auto"/>
        <w:bottom w:val="none" w:sz="0" w:space="0" w:color="auto"/>
        <w:right w:val="none" w:sz="0" w:space="0" w:color="auto"/>
      </w:divBdr>
    </w:div>
    <w:div w:id="1730151551">
      <w:bodyDiv w:val="1"/>
      <w:marLeft w:val="0"/>
      <w:marRight w:val="0"/>
      <w:marTop w:val="0"/>
      <w:marBottom w:val="0"/>
      <w:divBdr>
        <w:top w:val="none" w:sz="0" w:space="0" w:color="auto"/>
        <w:left w:val="none" w:sz="0" w:space="0" w:color="auto"/>
        <w:bottom w:val="none" w:sz="0" w:space="0" w:color="auto"/>
        <w:right w:val="none" w:sz="0" w:space="0" w:color="auto"/>
      </w:divBdr>
    </w:div>
    <w:div w:id="1730376320">
      <w:bodyDiv w:val="1"/>
      <w:marLeft w:val="0"/>
      <w:marRight w:val="0"/>
      <w:marTop w:val="0"/>
      <w:marBottom w:val="0"/>
      <w:divBdr>
        <w:top w:val="none" w:sz="0" w:space="0" w:color="auto"/>
        <w:left w:val="none" w:sz="0" w:space="0" w:color="auto"/>
        <w:bottom w:val="none" w:sz="0" w:space="0" w:color="auto"/>
        <w:right w:val="none" w:sz="0" w:space="0" w:color="auto"/>
      </w:divBdr>
    </w:div>
    <w:div w:id="1730610159">
      <w:bodyDiv w:val="1"/>
      <w:marLeft w:val="0"/>
      <w:marRight w:val="0"/>
      <w:marTop w:val="0"/>
      <w:marBottom w:val="0"/>
      <w:divBdr>
        <w:top w:val="none" w:sz="0" w:space="0" w:color="auto"/>
        <w:left w:val="none" w:sz="0" w:space="0" w:color="auto"/>
        <w:bottom w:val="none" w:sz="0" w:space="0" w:color="auto"/>
        <w:right w:val="none" w:sz="0" w:space="0" w:color="auto"/>
      </w:divBdr>
    </w:div>
    <w:div w:id="1730613136">
      <w:bodyDiv w:val="1"/>
      <w:marLeft w:val="0"/>
      <w:marRight w:val="0"/>
      <w:marTop w:val="0"/>
      <w:marBottom w:val="0"/>
      <w:divBdr>
        <w:top w:val="none" w:sz="0" w:space="0" w:color="auto"/>
        <w:left w:val="none" w:sz="0" w:space="0" w:color="auto"/>
        <w:bottom w:val="none" w:sz="0" w:space="0" w:color="auto"/>
        <w:right w:val="none" w:sz="0" w:space="0" w:color="auto"/>
      </w:divBdr>
    </w:div>
    <w:div w:id="1730692027">
      <w:bodyDiv w:val="1"/>
      <w:marLeft w:val="0"/>
      <w:marRight w:val="0"/>
      <w:marTop w:val="0"/>
      <w:marBottom w:val="0"/>
      <w:divBdr>
        <w:top w:val="none" w:sz="0" w:space="0" w:color="auto"/>
        <w:left w:val="none" w:sz="0" w:space="0" w:color="auto"/>
        <w:bottom w:val="none" w:sz="0" w:space="0" w:color="auto"/>
        <w:right w:val="none" w:sz="0" w:space="0" w:color="auto"/>
      </w:divBdr>
    </w:div>
    <w:div w:id="1730763825">
      <w:bodyDiv w:val="1"/>
      <w:marLeft w:val="0"/>
      <w:marRight w:val="0"/>
      <w:marTop w:val="0"/>
      <w:marBottom w:val="0"/>
      <w:divBdr>
        <w:top w:val="none" w:sz="0" w:space="0" w:color="auto"/>
        <w:left w:val="none" w:sz="0" w:space="0" w:color="auto"/>
        <w:bottom w:val="none" w:sz="0" w:space="0" w:color="auto"/>
        <w:right w:val="none" w:sz="0" w:space="0" w:color="auto"/>
      </w:divBdr>
    </w:div>
    <w:div w:id="1730767709">
      <w:bodyDiv w:val="1"/>
      <w:marLeft w:val="0"/>
      <w:marRight w:val="0"/>
      <w:marTop w:val="0"/>
      <w:marBottom w:val="0"/>
      <w:divBdr>
        <w:top w:val="none" w:sz="0" w:space="0" w:color="auto"/>
        <w:left w:val="none" w:sz="0" w:space="0" w:color="auto"/>
        <w:bottom w:val="none" w:sz="0" w:space="0" w:color="auto"/>
        <w:right w:val="none" w:sz="0" w:space="0" w:color="auto"/>
      </w:divBdr>
    </w:div>
    <w:div w:id="1730880116">
      <w:bodyDiv w:val="1"/>
      <w:marLeft w:val="0"/>
      <w:marRight w:val="0"/>
      <w:marTop w:val="0"/>
      <w:marBottom w:val="0"/>
      <w:divBdr>
        <w:top w:val="none" w:sz="0" w:space="0" w:color="auto"/>
        <w:left w:val="none" w:sz="0" w:space="0" w:color="auto"/>
        <w:bottom w:val="none" w:sz="0" w:space="0" w:color="auto"/>
        <w:right w:val="none" w:sz="0" w:space="0" w:color="auto"/>
      </w:divBdr>
    </w:div>
    <w:div w:id="1730885156">
      <w:bodyDiv w:val="1"/>
      <w:marLeft w:val="0"/>
      <w:marRight w:val="0"/>
      <w:marTop w:val="0"/>
      <w:marBottom w:val="0"/>
      <w:divBdr>
        <w:top w:val="none" w:sz="0" w:space="0" w:color="auto"/>
        <w:left w:val="none" w:sz="0" w:space="0" w:color="auto"/>
        <w:bottom w:val="none" w:sz="0" w:space="0" w:color="auto"/>
        <w:right w:val="none" w:sz="0" w:space="0" w:color="auto"/>
      </w:divBdr>
    </w:div>
    <w:div w:id="1730960577">
      <w:bodyDiv w:val="1"/>
      <w:marLeft w:val="0"/>
      <w:marRight w:val="0"/>
      <w:marTop w:val="0"/>
      <w:marBottom w:val="0"/>
      <w:divBdr>
        <w:top w:val="none" w:sz="0" w:space="0" w:color="auto"/>
        <w:left w:val="none" w:sz="0" w:space="0" w:color="auto"/>
        <w:bottom w:val="none" w:sz="0" w:space="0" w:color="auto"/>
        <w:right w:val="none" w:sz="0" w:space="0" w:color="auto"/>
      </w:divBdr>
    </w:div>
    <w:div w:id="1731028611">
      <w:bodyDiv w:val="1"/>
      <w:marLeft w:val="0"/>
      <w:marRight w:val="0"/>
      <w:marTop w:val="0"/>
      <w:marBottom w:val="0"/>
      <w:divBdr>
        <w:top w:val="none" w:sz="0" w:space="0" w:color="auto"/>
        <w:left w:val="none" w:sz="0" w:space="0" w:color="auto"/>
        <w:bottom w:val="none" w:sz="0" w:space="0" w:color="auto"/>
        <w:right w:val="none" w:sz="0" w:space="0" w:color="auto"/>
      </w:divBdr>
    </w:div>
    <w:div w:id="1731073978">
      <w:bodyDiv w:val="1"/>
      <w:marLeft w:val="0"/>
      <w:marRight w:val="0"/>
      <w:marTop w:val="0"/>
      <w:marBottom w:val="0"/>
      <w:divBdr>
        <w:top w:val="none" w:sz="0" w:space="0" w:color="auto"/>
        <w:left w:val="none" w:sz="0" w:space="0" w:color="auto"/>
        <w:bottom w:val="none" w:sz="0" w:space="0" w:color="auto"/>
        <w:right w:val="none" w:sz="0" w:space="0" w:color="auto"/>
      </w:divBdr>
    </w:div>
    <w:div w:id="1731150174">
      <w:bodyDiv w:val="1"/>
      <w:marLeft w:val="0"/>
      <w:marRight w:val="0"/>
      <w:marTop w:val="0"/>
      <w:marBottom w:val="0"/>
      <w:divBdr>
        <w:top w:val="none" w:sz="0" w:space="0" w:color="auto"/>
        <w:left w:val="none" w:sz="0" w:space="0" w:color="auto"/>
        <w:bottom w:val="none" w:sz="0" w:space="0" w:color="auto"/>
        <w:right w:val="none" w:sz="0" w:space="0" w:color="auto"/>
      </w:divBdr>
    </w:div>
    <w:div w:id="1731223858">
      <w:bodyDiv w:val="1"/>
      <w:marLeft w:val="0"/>
      <w:marRight w:val="0"/>
      <w:marTop w:val="0"/>
      <w:marBottom w:val="0"/>
      <w:divBdr>
        <w:top w:val="none" w:sz="0" w:space="0" w:color="auto"/>
        <w:left w:val="none" w:sz="0" w:space="0" w:color="auto"/>
        <w:bottom w:val="none" w:sz="0" w:space="0" w:color="auto"/>
        <w:right w:val="none" w:sz="0" w:space="0" w:color="auto"/>
      </w:divBdr>
    </w:div>
    <w:div w:id="1731339563">
      <w:bodyDiv w:val="1"/>
      <w:marLeft w:val="0"/>
      <w:marRight w:val="0"/>
      <w:marTop w:val="0"/>
      <w:marBottom w:val="0"/>
      <w:divBdr>
        <w:top w:val="none" w:sz="0" w:space="0" w:color="auto"/>
        <w:left w:val="none" w:sz="0" w:space="0" w:color="auto"/>
        <w:bottom w:val="none" w:sz="0" w:space="0" w:color="auto"/>
        <w:right w:val="none" w:sz="0" w:space="0" w:color="auto"/>
      </w:divBdr>
    </w:div>
    <w:div w:id="1731418996">
      <w:bodyDiv w:val="1"/>
      <w:marLeft w:val="0"/>
      <w:marRight w:val="0"/>
      <w:marTop w:val="0"/>
      <w:marBottom w:val="0"/>
      <w:divBdr>
        <w:top w:val="none" w:sz="0" w:space="0" w:color="auto"/>
        <w:left w:val="none" w:sz="0" w:space="0" w:color="auto"/>
        <w:bottom w:val="none" w:sz="0" w:space="0" w:color="auto"/>
        <w:right w:val="none" w:sz="0" w:space="0" w:color="auto"/>
      </w:divBdr>
    </w:div>
    <w:div w:id="1731658535">
      <w:bodyDiv w:val="1"/>
      <w:marLeft w:val="0"/>
      <w:marRight w:val="0"/>
      <w:marTop w:val="0"/>
      <w:marBottom w:val="0"/>
      <w:divBdr>
        <w:top w:val="none" w:sz="0" w:space="0" w:color="auto"/>
        <w:left w:val="none" w:sz="0" w:space="0" w:color="auto"/>
        <w:bottom w:val="none" w:sz="0" w:space="0" w:color="auto"/>
        <w:right w:val="none" w:sz="0" w:space="0" w:color="auto"/>
      </w:divBdr>
    </w:div>
    <w:div w:id="1731726927">
      <w:bodyDiv w:val="1"/>
      <w:marLeft w:val="0"/>
      <w:marRight w:val="0"/>
      <w:marTop w:val="0"/>
      <w:marBottom w:val="0"/>
      <w:divBdr>
        <w:top w:val="none" w:sz="0" w:space="0" w:color="auto"/>
        <w:left w:val="none" w:sz="0" w:space="0" w:color="auto"/>
        <w:bottom w:val="none" w:sz="0" w:space="0" w:color="auto"/>
        <w:right w:val="none" w:sz="0" w:space="0" w:color="auto"/>
      </w:divBdr>
    </w:div>
    <w:div w:id="1731733155">
      <w:bodyDiv w:val="1"/>
      <w:marLeft w:val="0"/>
      <w:marRight w:val="0"/>
      <w:marTop w:val="0"/>
      <w:marBottom w:val="0"/>
      <w:divBdr>
        <w:top w:val="none" w:sz="0" w:space="0" w:color="auto"/>
        <w:left w:val="none" w:sz="0" w:space="0" w:color="auto"/>
        <w:bottom w:val="none" w:sz="0" w:space="0" w:color="auto"/>
        <w:right w:val="none" w:sz="0" w:space="0" w:color="auto"/>
      </w:divBdr>
    </w:div>
    <w:div w:id="1731884513">
      <w:bodyDiv w:val="1"/>
      <w:marLeft w:val="0"/>
      <w:marRight w:val="0"/>
      <w:marTop w:val="0"/>
      <w:marBottom w:val="0"/>
      <w:divBdr>
        <w:top w:val="none" w:sz="0" w:space="0" w:color="auto"/>
        <w:left w:val="none" w:sz="0" w:space="0" w:color="auto"/>
        <w:bottom w:val="none" w:sz="0" w:space="0" w:color="auto"/>
        <w:right w:val="none" w:sz="0" w:space="0" w:color="auto"/>
      </w:divBdr>
    </w:div>
    <w:div w:id="1731925314">
      <w:bodyDiv w:val="1"/>
      <w:marLeft w:val="0"/>
      <w:marRight w:val="0"/>
      <w:marTop w:val="0"/>
      <w:marBottom w:val="0"/>
      <w:divBdr>
        <w:top w:val="none" w:sz="0" w:space="0" w:color="auto"/>
        <w:left w:val="none" w:sz="0" w:space="0" w:color="auto"/>
        <w:bottom w:val="none" w:sz="0" w:space="0" w:color="auto"/>
        <w:right w:val="none" w:sz="0" w:space="0" w:color="auto"/>
      </w:divBdr>
    </w:div>
    <w:div w:id="1731925674">
      <w:bodyDiv w:val="1"/>
      <w:marLeft w:val="0"/>
      <w:marRight w:val="0"/>
      <w:marTop w:val="0"/>
      <w:marBottom w:val="0"/>
      <w:divBdr>
        <w:top w:val="none" w:sz="0" w:space="0" w:color="auto"/>
        <w:left w:val="none" w:sz="0" w:space="0" w:color="auto"/>
        <w:bottom w:val="none" w:sz="0" w:space="0" w:color="auto"/>
        <w:right w:val="none" w:sz="0" w:space="0" w:color="auto"/>
      </w:divBdr>
    </w:div>
    <w:div w:id="1732074401">
      <w:bodyDiv w:val="1"/>
      <w:marLeft w:val="0"/>
      <w:marRight w:val="0"/>
      <w:marTop w:val="0"/>
      <w:marBottom w:val="0"/>
      <w:divBdr>
        <w:top w:val="none" w:sz="0" w:space="0" w:color="auto"/>
        <w:left w:val="none" w:sz="0" w:space="0" w:color="auto"/>
        <w:bottom w:val="none" w:sz="0" w:space="0" w:color="auto"/>
        <w:right w:val="none" w:sz="0" w:space="0" w:color="auto"/>
      </w:divBdr>
    </w:div>
    <w:div w:id="1732191630">
      <w:bodyDiv w:val="1"/>
      <w:marLeft w:val="0"/>
      <w:marRight w:val="0"/>
      <w:marTop w:val="0"/>
      <w:marBottom w:val="0"/>
      <w:divBdr>
        <w:top w:val="none" w:sz="0" w:space="0" w:color="auto"/>
        <w:left w:val="none" w:sz="0" w:space="0" w:color="auto"/>
        <w:bottom w:val="none" w:sz="0" w:space="0" w:color="auto"/>
        <w:right w:val="none" w:sz="0" w:space="0" w:color="auto"/>
      </w:divBdr>
    </w:div>
    <w:div w:id="1732192460">
      <w:bodyDiv w:val="1"/>
      <w:marLeft w:val="0"/>
      <w:marRight w:val="0"/>
      <w:marTop w:val="0"/>
      <w:marBottom w:val="0"/>
      <w:divBdr>
        <w:top w:val="none" w:sz="0" w:space="0" w:color="auto"/>
        <w:left w:val="none" w:sz="0" w:space="0" w:color="auto"/>
        <w:bottom w:val="none" w:sz="0" w:space="0" w:color="auto"/>
        <w:right w:val="none" w:sz="0" w:space="0" w:color="auto"/>
      </w:divBdr>
    </w:div>
    <w:div w:id="1732342544">
      <w:bodyDiv w:val="1"/>
      <w:marLeft w:val="0"/>
      <w:marRight w:val="0"/>
      <w:marTop w:val="0"/>
      <w:marBottom w:val="0"/>
      <w:divBdr>
        <w:top w:val="none" w:sz="0" w:space="0" w:color="auto"/>
        <w:left w:val="none" w:sz="0" w:space="0" w:color="auto"/>
        <w:bottom w:val="none" w:sz="0" w:space="0" w:color="auto"/>
        <w:right w:val="none" w:sz="0" w:space="0" w:color="auto"/>
      </w:divBdr>
    </w:div>
    <w:div w:id="1732343887">
      <w:bodyDiv w:val="1"/>
      <w:marLeft w:val="0"/>
      <w:marRight w:val="0"/>
      <w:marTop w:val="0"/>
      <w:marBottom w:val="0"/>
      <w:divBdr>
        <w:top w:val="none" w:sz="0" w:space="0" w:color="auto"/>
        <w:left w:val="none" w:sz="0" w:space="0" w:color="auto"/>
        <w:bottom w:val="none" w:sz="0" w:space="0" w:color="auto"/>
        <w:right w:val="none" w:sz="0" w:space="0" w:color="auto"/>
      </w:divBdr>
    </w:div>
    <w:div w:id="1732539489">
      <w:bodyDiv w:val="1"/>
      <w:marLeft w:val="0"/>
      <w:marRight w:val="0"/>
      <w:marTop w:val="0"/>
      <w:marBottom w:val="0"/>
      <w:divBdr>
        <w:top w:val="none" w:sz="0" w:space="0" w:color="auto"/>
        <w:left w:val="none" w:sz="0" w:space="0" w:color="auto"/>
        <w:bottom w:val="none" w:sz="0" w:space="0" w:color="auto"/>
        <w:right w:val="none" w:sz="0" w:space="0" w:color="auto"/>
      </w:divBdr>
    </w:div>
    <w:div w:id="1732582376">
      <w:bodyDiv w:val="1"/>
      <w:marLeft w:val="0"/>
      <w:marRight w:val="0"/>
      <w:marTop w:val="0"/>
      <w:marBottom w:val="0"/>
      <w:divBdr>
        <w:top w:val="none" w:sz="0" w:space="0" w:color="auto"/>
        <w:left w:val="none" w:sz="0" w:space="0" w:color="auto"/>
        <w:bottom w:val="none" w:sz="0" w:space="0" w:color="auto"/>
        <w:right w:val="none" w:sz="0" w:space="0" w:color="auto"/>
      </w:divBdr>
    </w:div>
    <w:div w:id="1732607245">
      <w:bodyDiv w:val="1"/>
      <w:marLeft w:val="0"/>
      <w:marRight w:val="0"/>
      <w:marTop w:val="0"/>
      <w:marBottom w:val="0"/>
      <w:divBdr>
        <w:top w:val="none" w:sz="0" w:space="0" w:color="auto"/>
        <w:left w:val="none" w:sz="0" w:space="0" w:color="auto"/>
        <w:bottom w:val="none" w:sz="0" w:space="0" w:color="auto"/>
        <w:right w:val="none" w:sz="0" w:space="0" w:color="auto"/>
      </w:divBdr>
    </w:div>
    <w:div w:id="1732775277">
      <w:bodyDiv w:val="1"/>
      <w:marLeft w:val="0"/>
      <w:marRight w:val="0"/>
      <w:marTop w:val="0"/>
      <w:marBottom w:val="0"/>
      <w:divBdr>
        <w:top w:val="none" w:sz="0" w:space="0" w:color="auto"/>
        <w:left w:val="none" w:sz="0" w:space="0" w:color="auto"/>
        <w:bottom w:val="none" w:sz="0" w:space="0" w:color="auto"/>
        <w:right w:val="none" w:sz="0" w:space="0" w:color="auto"/>
      </w:divBdr>
    </w:div>
    <w:div w:id="1732776324">
      <w:bodyDiv w:val="1"/>
      <w:marLeft w:val="0"/>
      <w:marRight w:val="0"/>
      <w:marTop w:val="0"/>
      <w:marBottom w:val="0"/>
      <w:divBdr>
        <w:top w:val="none" w:sz="0" w:space="0" w:color="auto"/>
        <w:left w:val="none" w:sz="0" w:space="0" w:color="auto"/>
        <w:bottom w:val="none" w:sz="0" w:space="0" w:color="auto"/>
        <w:right w:val="none" w:sz="0" w:space="0" w:color="auto"/>
      </w:divBdr>
    </w:div>
    <w:div w:id="1732845026">
      <w:bodyDiv w:val="1"/>
      <w:marLeft w:val="0"/>
      <w:marRight w:val="0"/>
      <w:marTop w:val="0"/>
      <w:marBottom w:val="0"/>
      <w:divBdr>
        <w:top w:val="none" w:sz="0" w:space="0" w:color="auto"/>
        <w:left w:val="none" w:sz="0" w:space="0" w:color="auto"/>
        <w:bottom w:val="none" w:sz="0" w:space="0" w:color="auto"/>
        <w:right w:val="none" w:sz="0" w:space="0" w:color="auto"/>
      </w:divBdr>
    </w:div>
    <w:div w:id="1732849849">
      <w:bodyDiv w:val="1"/>
      <w:marLeft w:val="0"/>
      <w:marRight w:val="0"/>
      <w:marTop w:val="0"/>
      <w:marBottom w:val="0"/>
      <w:divBdr>
        <w:top w:val="none" w:sz="0" w:space="0" w:color="auto"/>
        <w:left w:val="none" w:sz="0" w:space="0" w:color="auto"/>
        <w:bottom w:val="none" w:sz="0" w:space="0" w:color="auto"/>
        <w:right w:val="none" w:sz="0" w:space="0" w:color="auto"/>
      </w:divBdr>
    </w:div>
    <w:div w:id="1732921064">
      <w:bodyDiv w:val="1"/>
      <w:marLeft w:val="0"/>
      <w:marRight w:val="0"/>
      <w:marTop w:val="0"/>
      <w:marBottom w:val="0"/>
      <w:divBdr>
        <w:top w:val="none" w:sz="0" w:space="0" w:color="auto"/>
        <w:left w:val="none" w:sz="0" w:space="0" w:color="auto"/>
        <w:bottom w:val="none" w:sz="0" w:space="0" w:color="auto"/>
        <w:right w:val="none" w:sz="0" w:space="0" w:color="auto"/>
      </w:divBdr>
    </w:div>
    <w:div w:id="1732926450">
      <w:bodyDiv w:val="1"/>
      <w:marLeft w:val="0"/>
      <w:marRight w:val="0"/>
      <w:marTop w:val="0"/>
      <w:marBottom w:val="0"/>
      <w:divBdr>
        <w:top w:val="none" w:sz="0" w:space="0" w:color="auto"/>
        <w:left w:val="none" w:sz="0" w:space="0" w:color="auto"/>
        <w:bottom w:val="none" w:sz="0" w:space="0" w:color="auto"/>
        <w:right w:val="none" w:sz="0" w:space="0" w:color="auto"/>
      </w:divBdr>
    </w:div>
    <w:div w:id="1733000218">
      <w:bodyDiv w:val="1"/>
      <w:marLeft w:val="0"/>
      <w:marRight w:val="0"/>
      <w:marTop w:val="0"/>
      <w:marBottom w:val="0"/>
      <w:divBdr>
        <w:top w:val="none" w:sz="0" w:space="0" w:color="auto"/>
        <w:left w:val="none" w:sz="0" w:space="0" w:color="auto"/>
        <w:bottom w:val="none" w:sz="0" w:space="0" w:color="auto"/>
        <w:right w:val="none" w:sz="0" w:space="0" w:color="auto"/>
      </w:divBdr>
    </w:div>
    <w:div w:id="1733037589">
      <w:bodyDiv w:val="1"/>
      <w:marLeft w:val="0"/>
      <w:marRight w:val="0"/>
      <w:marTop w:val="0"/>
      <w:marBottom w:val="0"/>
      <w:divBdr>
        <w:top w:val="none" w:sz="0" w:space="0" w:color="auto"/>
        <w:left w:val="none" w:sz="0" w:space="0" w:color="auto"/>
        <w:bottom w:val="none" w:sz="0" w:space="0" w:color="auto"/>
        <w:right w:val="none" w:sz="0" w:space="0" w:color="auto"/>
      </w:divBdr>
    </w:div>
    <w:div w:id="1733116166">
      <w:bodyDiv w:val="1"/>
      <w:marLeft w:val="0"/>
      <w:marRight w:val="0"/>
      <w:marTop w:val="0"/>
      <w:marBottom w:val="0"/>
      <w:divBdr>
        <w:top w:val="none" w:sz="0" w:space="0" w:color="auto"/>
        <w:left w:val="none" w:sz="0" w:space="0" w:color="auto"/>
        <w:bottom w:val="none" w:sz="0" w:space="0" w:color="auto"/>
        <w:right w:val="none" w:sz="0" w:space="0" w:color="auto"/>
      </w:divBdr>
    </w:div>
    <w:div w:id="1733232350">
      <w:bodyDiv w:val="1"/>
      <w:marLeft w:val="0"/>
      <w:marRight w:val="0"/>
      <w:marTop w:val="0"/>
      <w:marBottom w:val="0"/>
      <w:divBdr>
        <w:top w:val="none" w:sz="0" w:space="0" w:color="auto"/>
        <w:left w:val="none" w:sz="0" w:space="0" w:color="auto"/>
        <w:bottom w:val="none" w:sz="0" w:space="0" w:color="auto"/>
        <w:right w:val="none" w:sz="0" w:space="0" w:color="auto"/>
      </w:divBdr>
    </w:div>
    <w:div w:id="1733236162">
      <w:bodyDiv w:val="1"/>
      <w:marLeft w:val="0"/>
      <w:marRight w:val="0"/>
      <w:marTop w:val="0"/>
      <w:marBottom w:val="0"/>
      <w:divBdr>
        <w:top w:val="none" w:sz="0" w:space="0" w:color="auto"/>
        <w:left w:val="none" w:sz="0" w:space="0" w:color="auto"/>
        <w:bottom w:val="none" w:sz="0" w:space="0" w:color="auto"/>
        <w:right w:val="none" w:sz="0" w:space="0" w:color="auto"/>
      </w:divBdr>
    </w:div>
    <w:div w:id="1733236365">
      <w:bodyDiv w:val="1"/>
      <w:marLeft w:val="0"/>
      <w:marRight w:val="0"/>
      <w:marTop w:val="0"/>
      <w:marBottom w:val="0"/>
      <w:divBdr>
        <w:top w:val="none" w:sz="0" w:space="0" w:color="auto"/>
        <w:left w:val="none" w:sz="0" w:space="0" w:color="auto"/>
        <w:bottom w:val="none" w:sz="0" w:space="0" w:color="auto"/>
        <w:right w:val="none" w:sz="0" w:space="0" w:color="auto"/>
      </w:divBdr>
    </w:div>
    <w:div w:id="1733432284">
      <w:bodyDiv w:val="1"/>
      <w:marLeft w:val="0"/>
      <w:marRight w:val="0"/>
      <w:marTop w:val="0"/>
      <w:marBottom w:val="0"/>
      <w:divBdr>
        <w:top w:val="none" w:sz="0" w:space="0" w:color="auto"/>
        <w:left w:val="none" w:sz="0" w:space="0" w:color="auto"/>
        <w:bottom w:val="none" w:sz="0" w:space="0" w:color="auto"/>
        <w:right w:val="none" w:sz="0" w:space="0" w:color="auto"/>
      </w:divBdr>
    </w:div>
    <w:div w:id="1733507783">
      <w:bodyDiv w:val="1"/>
      <w:marLeft w:val="0"/>
      <w:marRight w:val="0"/>
      <w:marTop w:val="0"/>
      <w:marBottom w:val="0"/>
      <w:divBdr>
        <w:top w:val="none" w:sz="0" w:space="0" w:color="auto"/>
        <w:left w:val="none" w:sz="0" w:space="0" w:color="auto"/>
        <w:bottom w:val="none" w:sz="0" w:space="0" w:color="auto"/>
        <w:right w:val="none" w:sz="0" w:space="0" w:color="auto"/>
      </w:divBdr>
    </w:div>
    <w:div w:id="1733581975">
      <w:bodyDiv w:val="1"/>
      <w:marLeft w:val="0"/>
      <w:marRight w:val="0"/>
      <w:marTop w:val="0"/>
      <w:marBottom w:val="0"/>
      <w:divBdr>
        <w:top w:val="none" w:sz="0" w:space="0" w:color="auto"/>
        <w:left w:val="none" w:sz="0" w:space="0" w:color="auto"/>
        <w:bottom w:val="none" w:sz="0" w:space="0" w:color="auto"/>
        <w:right w:val="none" w:sz="0" w:space="0" w:color="auto"/>
      </w:divBdr>
    </w:div>
    <w:div w:id="1733655830">
      <w:bodyDiv w:val="1"/>
      <w:marLeft w:val="0"/>
      <w:marRight w:val="0"/>
      <w:marTop w:val="0"/>
      <w:marBottom w:val="0"/>
      <w:divBdr>
        <w:top w:val="none" w:sz="0" w:space="0" w:color="auto"/>
        <w:left w:val="none" w:sz="0" w:space="0" w:color="auto"/>
        <w:bottom w:val="none" w:sz="0" w:space="0" w:color="auto"/>
        <w:right w:val="none" w:sz="0" w:space="0" w:color="auto"/>
      </w:divBdr>
    </w:div>
    <w:div w:id="1733771872">
      <w:bodyDiv w:val="1"/>
      <w:marLeft w:val="0"/>
      <w:marRight w:val="0"/>
      <w:marTop w:val="0"/>
      <w:marBottom w:val="0"/>
      <w:divBdr>
        <w:top w:val="none" w:sz="0" w:space="0" w:color="auto"/>
        <w:left w:val="none" w:sz="0" w:space="0" w:color="auto"/>
        <w:bottom w:val="none" w:sz="0" w:space="0" w:color="auto"/>
        <w:right w:val="none" w:sz="0" w:space="0" w:color="auto"/>
      </w:divBdr>
    </w:div>
    <w:div w:id="1733772224">
      <w:bodyDiv w:val="1"/>
      <w:marLeft w:val="0"/>
      <w:marRight w:val="0"/>
      <w:marTop w:val="0"/>
      <w:marBottom w:val="0"/>
      <w:divBdr>
        <w:top w:val="none" w:sz="0" w:space="0" w:color="auto"/>
        <w:left w:val="none" w:sz="0" w:space="0" w:color="auto"/>
        <w:bottom w:val="none" w:sz="0" w:space="0" w:color="auto"/>
        <w:right w:val="none" w:sz="0" w:space="0" w:color="auto"/>
      </w:divBdr>
    </w:div>
    <w:div w:id="1734113541">
      <w:bodyDiv w:val="1"/>
      <w:marLeft w:val="0"/>
      <w:marRight w:val="0"/>
      <w:marTop w:val="0"/>
      <w:marBottom w:val="0"/>
      <w:divBdr>
        <w:top w:val="none" w:sz="0" w:space="0" w:color="auto"/>
        <w:left w:val="none" w:sz="0" w:space="0" w:color="auto"/>
        <w:bottom w:val="none" w:sz="0" w:space="0" w:color="auto"/>
        <w:right w:val="none" w:sz="0" w:space="0" w:color="auto"/>
      </w:divBdr>
    </w:div>
    <w:div w:id="1734347221">
      <w:bodyDiv w:val="1"/>
      <w:marLeft w:val="0"/>
      <w:marRight w:val="0"/>
      <w:marTop w:val="0"/>
      <w:marBottom w:val="0"/>
      <w:divBdr>
        <w:top w:val="none" w:sz="0" w:space="0" w:color="auto"/>
        <w:left w:val="none" w:sz="0" w:space="0" w:color="auto"/>
        <w:bottom w:val="none" w:sz="0" w:space="0" w:color="auto"/>
        <w:right w:val="none" w:sz="0" w:space="0" w:color="auto"/>
      </w:divBdr>
    </w:div>
    <w:div w:id="1734349684">
      <w:bodyDiv w:val="1"/>
      <w:marLeft w:val="0"/>
      <w:marRight w:val="0"/>
      <w:marTop w:val="0"/>
      <w:marBottom w:val="0"/>
      <w:divBdr>
        <w:top w:val="none" w:sz="0" w:space="0" w:color="auto"/>
        <w:left w:val="none" w:sz="0" w:space="0" w:color="auto"/>
        <w:bottom w:val="none" w:sz="0" w:space="0" w:color="auto"/>
        <w:right w:val="none" w:sz="0" w:space="0" w:color="auto"/>
      </w:divBdr>
    </w:div>
    <w:div w:id="1734503001">
      <w:bodyDiv w:val="1"/>
      <w:marLeft w:val="0"/>
      <w:marRight w:val="0"/>
      <w:marTop w:val="0"/>
      <w:marBottom w:val="0"/>
      <w:divBdr>
        <w:top w:val="none" w:sz="0" w:space="0" w:color="auto"/>
        <w:left w:val="none" w:sz="0" w:space="0" w:color="auto"/>
        <w:bottom w:val="none" w:sz="0" w:space="0" w:color="auto"/>
        <w:right w:val="none" w:sz="0" w:space="0" w:color="auto"/>
      </w:divBdr>
    </w:div>
    <w:div w:id="1734545405">
      <w:bodyDiv w:val="1"/>
      <w:marLeft w:val="0"/>
      <w:marRight w:val="0"/>
      <w:marTop w:val="0"/>
      <w:marBottom w:val="0"/>
      <w:divBdr>
        <w:top w:val="none" w:sz="0" w:space="0" w:color="auto"/>
        <w:left w:val="none" w:sz="0" w:space="0" w:color="auto"/>
        <w:bottom w:val="none" w:sz="0" w:space="0" w:color="auto"/>
        <w:right w:val="none" w:sz="0" w:space="0" w:color="auto"/>
      </w:divBdr>
    </w:div>
    <w:div w:id="1734546253">
      <w:bodyDiv w:val="1"/>
      <w:marLeft w:val="0"/>
      <w:marRight w:val="0"/>
      <w:marTop w:val="0"/>
      <w:marBottom w:val="0"/>
      <w:divBdr>
        <w:top w:val="none" w:sz="0" w:space="0" w:color="auto"/>
        <w:left w:val="none" w:sz="0" w:space="0" w:color="auto"/>
        <w:bottom w:val="none" w:sz="0" w:space="0" w:color="auto"/>
        <w:right w:val="none" w:sz="0" w:space="0" w:color="auto"/>
      </w:divBdr>
    </w:div>
    <w:div w:id="1734616576">
      <w:bodyDiv w:val="1"/>
      <w:marLeft w:val="0"/>
      <w:marRight w:val="0"/>
      <w:marTop w:val="0"/>
      <w:marBottom w:val="0"/>
      <w:divBdr>
        <w:top w:val="none" w:sz="0" w:space="0" w:color="auto"/>
        <w:left w:val="none" w:sz="0" w:space="0" w:color="auto"/>
        <w:bottom w:val="none" w:sz="0" w:space="0" w:color="auto"/>
        <w:right w:val="none" w:sz="0" w:space="0" w:color="auto"/>
      </w:divBdr>
    </w:div>
    <w:div w:id="1734691783">
      <w:bodyDiv w:val="1"/>
      <w:marLeft w:val="0"/>
      <w:marRight w:val="0"/>
      <w:marTop w:val="0"/>
      <w:marBottom w:val="0"/>
      <w:divBdr>
        <w:top w:val="none" w:sz="0" w:space="0" w:color="auto"/>
        <w:left w:val="none" w:sz="0" w:space="0" w:color="auto"/>
        <w:bottom w:val="none" w:sz="0" w:space="0" w:color="auto"/>
        <w:right w:val="none" w:sz="0" w:space="0" w:color="auto"/>
      </w:divBdr>
    </w:div>
    <w:div w:id="1734692405">
      <w:bodyDiv w:val="1"/>
      <w:marLeft w:val="0"/>
      <w:marRight w:val="0"/>
      <w:marTop w:val="0"/>
      <w:marBottom w:val="0"/>
      <w:divBdr>
        <w:top w:val="none" w:sz="0" w:space="0" w:color="auto"/>
        <w:left w:val="none" w:sz="0" w:space="0" w:color="auto"/>
        <w:bottom w:val="none" w:sz="0" w:space="0" w:color="auto"/>
        <w:right w:val="none" w:sz="0" w:space="0" w:color="auto"/>
      </w:divBdr>
    </w:div>
    <w:div w:id="1734694429">
      <w:bodyDiv w:val="1"/>
      <w:marLeft w:val="0"/>
      <w:marRight w:val="0"/>
      <w:marTop w:val="0"/>
      <w:marBottom w:val="0"/>
      <w:divBdr>
        <w:top w:val="none" w:sz="0" w:space="0" w:color="auto"/>
        <w:left w:val="none" w:sz="0" w:space="0" w:color="auto"/>
        <w:bottom w:val="none" w:sz="0" w:space="0" w:color="auto"/>
        <w:right w:val="none" w:sz="0" w:space="0" w:color="auto"/>
      </w:divBdr>
    </w:div>
    <w:div w:id="1734739153">
      <w:bodyDiv w:val="1"/>
      <w:marLeft w:val="0"/>
      <w:marRight w:val="0"/>
      <w:marTop w:val="0"/>
      <w:marBottom w:val="0"/>
      <w:divBdr>
        <w:top w:val="none" w:sz="0" w:space="0" w:color="auto"/>
        <w:left w:val="none" w:sz="0" w:space="0" w:color="auto"/>
        <w:bottom w:val="none" w:sz="0" w:space="0" w:color="auto"/>
        <w:right w:val="none" w:sz="0" w:space="0" w:color="auto"/>
      </w:divBdr>
    </w:div>
    <w:div w:id="1734766966">
      <w:bodyDiv w:val="1"/>
      <w:marLeft w:val="0"/>
      <w:marRight w:val="0"/>
      <w:marTop w:val="0"/>
      <w:marBottom w:val="0"/>
      <w:divBdr>
        <w:top w:val="none" w:sz="0" w:space="0" w:color="auto"/>
        <w:left w:val="none" w:sz="0" w:space="0" w:color="auto"/>
        <w:bottom w:val="none" w:sz="0" w:space="0" w:color="auto"/>
        <w:right w:val="none" w:sz="0" w:space="0" w:color="auto"/>
      </w:divBdr>
    </w:div>
    <w:div w:id="1734815007">
      <w:bodyDiv w:val="1"/>
      <w:marLeft w:val="0"/>
      <w:marRight w:val="0"/>
      <w:marTop w:val="0"/>
      <w:marBottom w:val="0"/>
      <w:divBdr>
        <w:top w:val="none" w:sz="0" w:space="0" w:color="auto"/>
        <w:left w:val="none" w:sz="0" w:space="0" w:color="auto"/>
        <w:bottom w:val="none" w:sz="0" w:space="0" w:color="auto"/>
        <w:right w:val="none" w:sz="0" w:space="0" w:color="auto"/>
      </w:divBdr>
    </w:div>
    <w:div w:id="1734889240">
      <w:bodyDiv w:val="1"/>
      <w:marLeft w:val="0"/>
      <w:marRight w:val="0"/>
      <w:marTop w:val="0"/>
      <w:marBottom w:val="0"/>
      <w:divBdr>
        <w:top w:val="none" w:sz="0" w:space="0" w:color="auto"/>
        <w:left w:val="none" w:sz="0" w:space="0" w:color="auto"/>
        <w:bottom w:val="none" w:sz="0" w:space="0" w:color="auto"/>
        <w:right w:val="none" w:sz="0" w:space="0" w:color="auto"/>
      </w:divBdr>
    </w:div>
    <w:div w:id="1734965746">
      <w:bodyDiv w:val="1"/>
      <w:marLeft w:val="0"/>
      <w:marRight w:val="0"/>
      <w:marTop w:val="0"/>
      <w:marBottom w:val="0"/>
      <w:divBdr>
        <w:top w:val="none" w:sz="0" w:space="0" w:color="auto"/>
        <w:left w:val="none" w:sz="0" w:space="0" w:color="auto"/>
        <w:bottom w:val="none" w:sz="0" w:space="0" w:color="auto"/>
        <w:right w:val="none" w:sz="0" w:space="0" w:color="auto"/>
      </w:divBdr>
    </w:div>
    <w:div w:id="1735004976">
      <w:bodyDiv w:val="1"/>
      <w:marLeft w:val="0"/>
      <w:marRight w:val="0"/>
      <w:marTop w:val="0"/>
      <w:marBottom w:val="0"/>
      <w:divBdr>
        <w:top w:val="none" w:sz="0" w:space="0" w:color="auto"/>
        <w:left w:val="none" w:sz="0" w:space="0" w:color="auto"/>
        <w:bottom w:val="none" w:sz="0" w:space="0" w:color="auto"/>
        <w:right w:val="none" w:sz="0" w:space="0" w:color="auto"/>
      </w:divBdr>
    </w:div>
    <w:div w:id="1735008524">
      <w:bodyDiv w:val="1"/>
      <w:marLeft w:val="0"/>
      <w:marRight w:val="0"/>
      <w:marTop w:val="0"/>
      <w:marBottom w:val="0"/>
      <w:divBdr>
        <w:top w:val="none" w:sz="0" w:space="0" w:color="auto"/>
        <w:left w:val="none" w:sz="0" w:space="0" w:color="auto"/>
        <w:bottom w:val="none" w:sz="0" w:space="0" w:color="auto"/>
        <w:right w:val="none" w:sz="0" w:space="0" w:color="auto"/>
      </w:divBdr>
    </w:div>
    <w:div w:id="1735009717">
      <w:bodyDiv w:val="1"/>
      <w:marLeft w:val="0"/>
      <w:marRight w:val="0"/>
      <w:marTop w:val="0"/>
      <w:marBottom w:val="0"/>
      <w:divBdr>
        <w:top w:val="none" w:sz="0" w:space="0" w:color="auto"/>
        <w:left w:val="none" w:sz="0" w:space="0" w:color="auto"/>
        <w:bottom w:val="none" w:sz="0" w:space="0" w:color="auto"/>
        <w:right w:val="none" w:sz="0" w:space="0" w:color="auto"/>
      </w:divBdr>
    </w:div>
    <w:div w:id="1735011538">
      <w:bodyDiv w:val="1"/>
      <w:marLeft w:val="0"/>
      <w:marRight w:val="0"/>
      <w:marTop w:val="0"/>
      <w:marBottom w:val="0"/>
      <w:divBdr>
        <w:top w:val="none" w:sz="0" w:space="0" w:color="auto"/>
        <w:left w:val="none" w:sz="0" w:space="0" w:color="auto"/>
        <w:bottom w:val="none" w:sz="0" w:space="0" w:color="auto"/>
        <w:right w:val="none" w:sz="0" w:space="0" w:color="auto"/>
      </w:divBdr>
    </w:div>
    <w:div w:id="1735077853">
      <w:bodyDiv w:val="1"/>
      <w:marLeft w:val="0"/>
      <w:marRight w:val="0"/>
      <w:marTop w:val="0"/>
      <w:marBottom w:val="0"/>
      <w:divBdr>
        <w:top w:val="none" w:sz="0" w:space="0" w:color="auto"/>
        <w:left w:val="none" w:sz="0" w:space="0" w:color="auto"/>
        <w:bottom w:val="none" w:sz="0" w:space="0" w:color="auto"/>
        <w:right w:val="none" w:sz="0" w:space="0" w:color="auto"/>
      </w:divBdr>
    </w:div>
    <w:div w:id="1735083454">
      <w:bodyDiv w:val="1"/>
      <w:marLeft w:val="0"/>
      <w:marRight w:val="0"/>
      <w:marTop w:val="0"/>
      <w:marBottom w:val="0"/>
      <w:divBdr>
        <w:top w:val="none" w:sz="0" w:space="0" w:color="auto"/>
        <w:left w:val="none" w:sz="0" w:space="0" w:color="auto"/>
        <w:bottom w:val="none" w:sz="0" w:space="0" w:color="auto"/>
        <w:right w:val="none" w:sz="0" w:space="0" w:color="auto"/>
      </w:divBdr>
    </w:div>
    <w:div w:id="1735393318">
      <w:bodyDiv w:val="1"/>
      <w:marLeft w:val="0"/>
      <w:marRight w:val="0"/>
      <w:marTop w:val="0"/>
      <w:marBottom w:val="0"/>
      <w:divBdr>
        <w:top w:val="none" w:sz="0" w:space="0" w:color="auto"/>
        <w:left w:val="none" w:sz="0" w:space="0" w:color="auto"/>
        <w:bottom w:val="none" w:sz="0" w:space="0" w:color="auto"/>
        <w:right w:val="none" w:sz="0" w:space="0" w:color="auto"/>
      </w:divBdr>
    </w:div>
    <w:div w:id="1735426042">
      <w:bodyDiv w:val="1"/>
      <w:marLeft w:val="0"/>
      <w:marRight w:val="0"/>
      <w:marTop w:val="0"/>
      <w:marBottom w:val="0"/>
      <w:divBdr>
        <w:top w:val="none" w:sz="0" w:space="0" w:color="auto"/>
        <w:left w:val="none" w:sz="0" w:space="0" w:color="auto"/>
        <w:bottom w:val="none" w:sz="0" w:space="0" w:color="auto"/>
        <w:right w:val="none" w:sz="0" w:space="0" w:color="auto"/>
      </w:divBdr>
    </w:div>
    <w:div w:id="1735469766">
      <w:bodyDiv w:val="1"/>
      <w:marLeft w:val="0"/>
      <w:marRight w:val="0"/>
      <w:marTop w:val="0"/>
      <w:marBottom w:val="0"/>
      <w:divBdr>
        <w:top w:val="none" w:sz="0" w:space="0" w:color="auto"/>
        <w:left w:val="none" w:sz="0" w:space="0" w:color="auto"/>
        <w:bottom w:val="none" w:sz="0" w:space="0" w:color="auto"/>
        <w:right w:val="none" w:sz="0" w:space="0" w:color="auto"/>
      </w:divBdr>
    </w:div>
    <w:div w:id="1735471011">
      <w:bodyDiv w:val="1"/>
      <w:marLeft w:val="0"/>
      <w:marRight w:val="0"/>
      <w:marTop w:val="0"/>
      <w:marBottom w:val="0"/>
      <w:divBdr>
        <w:top w:val="none" w:sz="0" w:space="0" w:color="auto"/>
        <w:left w:val="none" w:sz="0" w:space="0" w:color="auto"/>
        <w:bottom w:val="none" w:sz="0" w:space="0" w:color="auto"/>
        <w:right w:val="none" w:sz="0" w:space="0" w:color="auto"/>
      </w:divBdr>
    </w:div>
    <w:div w:id="1735544772">
      <w:bodyDiv w:val="1"/>
      <w:marLeft w:val="0"/>
      <w:marRight w:val="0"/>
      <w:marTop w:val="0"/>
      <w:marBottom w:val="0"/>
      <w:divBdr>
        <w:top w:val="none" w:sz="0" w:space="0" w:color="auto"/>
        <w:left w:val="none" w:sz="0" w:space="0" w:color="auto"/>
        <w:bottom w:val="none" w:sz="0" w:space="0" w:color="auto"/>
        <w:right w:val="none" w:sz="0" w:space="0" w:color="auto"/>
      </w:divBdr>
    </w:div>
    <w:div w:id="1735659272">
      <w:bodyDiv w:val="1"/>
      <w:marLeft w:val="0"/>
      <w:marRight w:val="0"/>
      <w:marTop w:val="0"/>
      <w:marBottom w:val="0"/>
      <w:divBdr>
        <w:top w:val="none" w:sz="0" w:space="0" w:color="auto"/>
        <w:left w:val="none" w:sz="0" w:space="0" w:color="auto"/>
        <w:bottom w:val="none" w:sz="0" w:space="0" w:color="auto"/>
        <w:right w:val="none" w:sz="0" w:space="0" w:color="auto"/>
      </w:divBdr>
    </w:div>
    <w:div w:id="1735814976">
      <w:bodyDiv w:val="1"/>
      <w:marLeft w:val="0"/>
      <w:marRight w:val="0"/>
      <w:marTop w:val="0"/>
      <w:marBottom w:val="0"/>
      <w:divBdr>
        <w:top w:val="none" w:sz="0" w:space="0" w:color="auto"/>
        <w:left w:val="none" w:sz="0" w:space="0" w:color="auto"/>
        <w:bottom w:val="none" w:sz="0" w:space="0" w:color="auto"/>
        <w:right w:val="none" w:sz="0" w:space="0" w:color="auto"/>
      </w:divBdr>
    </w:div>
    <w:div w:id="1735816132">
      <w:bodyDiv w:val="1"/>
      <w:marLeft w:val="0"/>
      <w:marRight w:val="0"/>
      <w:marTop w:val="0"/>
      <w:marBottom w:val="0"/>
      <w:divBdr>
        <w:top w:val="none" w:sz="0" w:space="0" w:color="auto"/>
        <w:left w:val="none" w:sz="0" w:space="0" w:color="auto"/>
        <w:bottom w:val="none" w:sz="0" w:space="0" w:color="auto"/>
        <w:right w:val="none" w:sz="0" w:space="0" w:color="auto"/>
      </w:divBdr>
    </w:div>
    <w:div w:id="1735934684">
      <w:bodyDiv w:val="1"/>
      <w:marLeft w:val="0"/>
      <w:marRight w:val="0"/>
      <w:marTop w:val="0"/>
      <w:marBottom w:val="0"/>
      <w:divBdr>
        <w:top w:val="none" w:sz="0" w:space="0" w:color="auto"/>
        <w:left w:val="none" w:sz="0" w:space="0" w:color="auto"/>
        <w:bottom w:val="none" w:sz="0" w:space="0" w:color="auto"/>
        <w:right w:val="none" w:sz="0" w:space="0" w:color="auto"/>
      </w:divBdr>
    </w:div>
    <w:div w:id="1736010087">
      <w:bodyDiv w:val="1"/>
      <w:marLeft w:val="0"/>
      <w:marRight w:val="0"/>
      <w:marTop w:val="0"/>
      <w:marBottom w:val="0"/>
      <w:divBdr>
        <w:top w:val="none" w:sz="0" w:space="0" w:color="auto"/>
        <w:left w:val="none" w:sz="0" w:space="0" w:color="auto"/>
        <w:bottom w:val="none" w:sz="0" w:space="0" w:color="auto"/>
        <w:right w:val="none" w:sz="0" w:space="0" w:color="auto"/>
      </w:divBdr>
    </w:div>
    <w:div w:id="1736076965">
      <w:bodyDiv w:val="1"/>
      <w:marLeft w:val="0"/>
      <w:marRight w:val="0"/>
      <w:marTop w:val="0"/>
      <w:marBottom w:val="0"/>
      <w:divBdr>
        <w:top w:val="none" w:sz="0" w:space="0" w:color="auto"/>
        <w:left w:val="none" w:sz="0" w:space="0" w:color="auto"/>
        <w:bottom w:val="none" w:sz="0" w:space="0" w:color="auto"/>
        <w:right w:val="none" w:sz="0" w:space="0" w:color="auto"/>
      </w:divBdr>
    </w:div>
    <w:div w:id="1736196151">
      <w:bodyDiv w:val="1"/>
      <w:marLeft w:val="0"/>
      <w:marRight w:val="0"/>
      <w:marTop w:val="0"/>
      <w:marBottom w:val="0"/>
      <w:divBdr>
        <w:top w:val="none" w:sz="0" w:space="0" w:color="auto"/>
        <w:left w:val="none" w:sz="0" w:space="0" w:color="auto"/>
        <w:bottom w:val="none" w:sz="0" w:space="0" w:color="auto"/>
        <w:right w:val="none" w:sz="0" w:space="0" w:color="auto"/>
      </w:divBdr>
    </w:div>
    <w:div w:id="1736665930">
      <w:bodyDiv w:val="1"/>
      <w:marLeft w:val="0"/>
      <w:marRight w:val="0"/>
      <w:marTop w:val="0"/>
      <w:marBottom w:val="0"/>
      <w:divBdr>
        <w:top w:val="none" w:sz="0" w:space="0" w:color="auto"/>
        <w:left w:val="none" w:sz="0" w:space="0" w:color="auto"/>
        <w:bottom w:val="none" w:sz="0" w:space="0" w:color="auto"/>
        <w:right w:val="none" w:sz="0" w:space="0" w:color="auto"/>
      </w:divBdr>
    </w:div>
    <w:div w:id="1736706270">
      <w:bodyDiv w:val="1"/>
      <w:marLeft w:val="0"/>
      <w:marRight w:val="0"/>
      <w:marTop w:val="0"/>
      <w:marBottom w:val="0"/>
      <w:divBdr>
        <w:top w:val="none" w:sz="0" w:space="0" w:color="auto"/>
        <w:left w:val="none" w:sz="0" w:space="0" w:color="auto"/>
        <w:bottom w:val="none" w:sz="0" w:space="0" w:color="auto"/>
        <w:right w:val="none" w:sz="0" w:space="0" w:color="auto"/>
      </w:divBdr>
    </w:div>
    <w:div w:id="1736781142">
      <w:bodyDiv w:val="1"/>
      <w:marLeft w:val="0"/>
      <w:marRight w:val="0"/>
      <w:marTop w:val="0"/>
      <w:marBottom w:val="0"/>
      <w:divBdr>
        <w:top w:val="none" w:sz="0" w:space="0" w:color="auto"/>
        <w:left w:val="none" w:sz="0" w:space="0" w:color="auto"/>
        <w:bottom w:val="none" w:sz="0" w:space="0" w:color="auto"/>
        <w:right w:val="none" w:sz="0" w:space="0" w:color="auto"/>
      </w:divBdr>
    </w:div>
    <w:div w:id="1736782176">
      <w:bodyDiv w:val="1"/>
      <w:marLeft w:val="0"/>
      <w:marRight w:val="0"/>
      <w:marTop w:val="0"/>
      <w:marBottom w:val="0"/>
      <w:divBdr>
        <w:top w:val="none" w:sz="0" w:space="0" w:color="auto"/>
        <w:left w:val="none" w:sz="0" w:space="0" w:color="auto"/>
        <w:bottom w:val="none" w:sz="0" w:space="0" w:color="auto"/>
        <w:right w:val="none" w:sz="0" w:space="0" w:color="auto"/>
      </w:divBdr>
    </w:div>
    <w:div w:id="1736902062">
      <w:bodyDiv w:val="1"/>
      <w:marLeft w:val="0"/>
      <w:marRight w:val="0"/>
      <w:marTop w:val="0"/>
      <w:marBottom w:val="0"/>
      <w:divBdr>
        <w:top w:val="none" w:sz="0" w:space="0" w:color="auto"/>
        <w:left w:val="none" w:sz="0" w:space="0" w:color="auto"/>
        <w:bottom w:val="none" w:sz="0" w:space="0" w:color="auto"/>
        <w:right w:val="none" w:sz="0" w:space="0" w:color="auto"/>
      </w:divBdr>
    </w:div>
    <w:div w:id="1736902244">
      <w:bodyDiv w:val="1"/>
      <w:marLeft w:val="0"/>
      <w:marRight w:val="0"/>
      <w:marTop w:val="0"/>
      <w:marBottom w:val="0"/>
      <w:divBdr>
        <w:top w:val="none" w:sz="0" w:space="0" w:color="auto"/>
        <w:left w:val="none" w:sz="0" w:space="0" w:color="auto"/>
        <w:bottom w:val="none" w:sz="0" w:space="0" w:color="auto"/>
        <w:right w:val="none" w:sz="0" w:space="0" w:color="auto"/>
      </w:divBdr>
    </w:div>
    <w:div w:id="1736927650">
      <w:bodyDiv w:val="1"/>
      <w:marLeft w:val="0"/>
      <w:marRight w:val="0"/>
      <w:marTop w:val="0"/>
      <w:marBottom w:val="0"/>
      <w:divBdr>
        <w:top w:val="none" w:sz="0" w:space="0" w:color="auto"/>
        <w:left w:val="none" w:sz="0" w:space="0" w:color="auto"/>
        <w:bottom w:val="none" w:sz="0" w:space="0" w:color="auto"/>
        <w:right w:val="none" w:sz="0" w:space="0" w:color="auto"/>
      </w:divBdr>
    </w:div>
    <w:div w:id="1736968346">
      <w:bodyDiv w:val="1"/>
      <w:marLeft w:val="0"/>
      <w:marRight w:val="0"/>
      <w:marTop w:val="0"/>
      <w:marBottom w:val="0"/>
      <w:divBdr>
        <w:top w:val="none" w:sz="0" w:space="0" w:color="auto"/>
        <w:left w:val="none" w:sz="0" w:space="0" w:color="auto"/>
        <w:bottom w:val="none" w:sz="0" w:space="0" w:color="auto"/>
        <w:right w:val="none" w:sz="0" w:space="0" w:color="auto"/>
      </w:divBdr>
    </w:div>
    <w:div w:id="1736975412">
      <w:bodyDiv w:val="1"/>
      <w:marLeft w:val="0"/>
      <w:marRight w:val="0"/>
      <w:marTop w:val="0"/>
      <w:marBottom w:val="0"/>
      <w:divBdr>
        <w:top w:val="none" w:sz="0" w:space="0" w:color="auto"/>
        <w:left w:val="none" w:sz="0" w:space="0" w:color="auto"/>
        <w:bottom w:val="none" w:sz="0" w:space="0" w:color="auto"/>
        <w:right w:val="none" w:sz="0" w:space="0" w:color="auto"/>
      </w:divBdr>
    </w:div>
    <w:div w:id="1737051795">
      <w:bodyDiv w:val="1"/>
      <w:marLeft w:val="0"/>
      <w:marRight w:val="0"/>
      <w:marTop w:val="0"/>
      <w:marBottom w:val="0"/>
      <w:divBdr>
        <w:top w:val="none" w:sz="0" w:space="0" w:color="auto"/>
        <w:left w:val="none" w:sz="0" w:space="0" w:color="auto"/>
        <w:bottom w:val="none" w:sz="0" w:space="0" w:color="auto"/>
        <w:right w:val="none" w:sz="0" w:space="0" w:color="auto"/>
      </w:divBdr>
    </w:div>
    <w:div w:id="1737118586">
      <w:bodyDiv w:val="1"/>
      <w:marLeft w:val="0"/>
      <w:marRight w:val="0"/>
      <w:marTop w:val="0"/>
      <w:marBottom w:val="0"/>
      <w:divBdr>
        <w:top w:val="none" w:sz="0" w:space="0" w:color="auto"/>
        <w:left w:val="none" w:sz="0" w:space="0" w:color="auto"/>
        <w:bottom w:val="none" w:sz="0" w:space="0" w:color="auto"/>
        <w:right w:val="none" w:sz="0" w:space="0" w:color="auto"/>
      </w:divBdr>
    </w:div>
    <w:div w:id="1737166674">
      <w:bodyDiv w:val="1"/>
      <w:marLeft w:val="0"/>
      <w:marRight w:val="0"/>
      <w:marTop w:val="0"/>
      <w:marBottom w:val="0"/>
      <w:divBdr>
        <w:top w:val="none" w:sz="0" w:space="0" w:color="auto"/>
        <w:left w:val="none" w:sz="0" w:space="0" w:color="auto"/>
        <w:bottom w:val="none" w:sz="0" w:space="0" w:color="auto"/>
        <w:right w:val="none" w:sz="0" w:space="0" w:color="auto"/>
      </w:divBdr>
    </w:div>
    <w:div w:id="1737167982">
      <w:bodyDiv w:val="1"/>
      <w:marLeft w:val="0"/>
      <w:marRight w:val="0"/>
      <w:marTop w:val="0"/>
      <w:marBottom w:val="0"/>
      <w:divBdr>
        <w:top w:val="none" w:sz="0" w:space="0" w:color="auto"/>
        <w:left w:val="none" w:sz="0" w:space="0" w:color="auto"/>
        <w:bottom w:val="none" w:sz="0" w:space="0" w:color="auto"/>
        <w:right w:val="none" w:sz="0" w:space="0" w:color="auto"/>
      </w:divBdr>
    </w:div>
    <w:div w:id="1737359490">
      <w:bodyDiv w:val="1"/>
      <w:marLeft w:val="0"/>
      <w:marRight w:val="0"/>
      <w:marTop w:val="0"/>
      <w:marBottom w:val="0"/>
      <w:divBdr>
        <w:top w:val="none" w:sz="0" w:space="0" w:color="auto"/>
        <w:left w:val="none" w:sz="0" w:space="0" w:color="auto"/>
        <w:bottom w:val="none" w:sz="0" w:space="0" w:color="auto"/>
        <w:right w:val="none" w:sz="0" w:space="0" w:color="auto"/>
      </w:divBdr>
    </w:div>
    <w:div w:id="1737360808">
      <w:bodyDiv w:val="1"/>
      <w:marLeft w:val="0"/>
      <w:marRight w:val="0"/>
      <w:marTop w:val="0"/>
      <w:marBottom w:val="0"/>
      <w:divBdr>
        <w:top w:val="none" w:sz="0" w:space="0" w:color="auto"/>
        <w:left w:val="none" w:sz="0" w:space="0" w:color="auto"/>
        <w:bottom w:val="none" w:sz="0" w:space="0" w:color="auto"/>
        <w:right w:val="none" w:sz="0" w:space="0" w:color="auto"/>
      </w:divBdr>
    </w:div>
    <w:div w:id="1737429879">
      <w:bodyDiv w:val="1"/>
      <w:marLeft w:val="0"/>
      <w:marRight w:val="0"/>
      <w:marTop w:val="0"/>
      <w:marBottom w:val="0"/>
      <w:divBdr>
        <w:top w:val="none" w:sz="0" w:space="0" w:color="auto"/>
        <w:left w:val="none" w:sz="0" w:space="0" w:color="auto"/>
        <w:bottom w:val="none" w:sz="0" w:space="0" w:color="auto"/>
        <w:right w:val="none" w:sz="0" w:space="0" w:color="auto"/>
      </w:divBdr>
    </w:div>
    <w:div w:id="1737430615">
      <w:bodyDiv w:val="1"/>
      <w:marLeft w:val="0"/>
      <w:marRight w:val="0"/>
      <w:marTop w:val="0"/>
      <w:marBottom w:val="0"/>
      <w:divBdr>
        <w:top w:val="none" w:sz="0" w:space="0" w:color="auto"/>
        <w:left w:val="none" w:sz="0" w:space="0" w:color="auto"/>
        <w:bottom w:val="none" w:sz="0" w:space="0" w:color="auto"/>
        <w:right w:val="none" w:sz="0" w:space="0" w:color="auto"/>
      </w:divBdr>
    </w:div>
    <w:div w:id="1737435863">
      <w:bodyDiv w:val="1"/>
      <w:marLeft w:val="0"/>
      <w:marRight w:val="0"/>
      <w:marTop w:val="0"/>
      <w:marBottom w:val="0"/>
      <w:divBdr>
        <w:top w:val="none" w:sz="0" w:space="0" w:color="auto"/>
        <w:left w:val="none" w:sz="0" w:space="0" w:color="auto"/>
        <w:bottom w:val="none" w:sz="0" w:space="0" w:color="auto"/>
        <w:right w:val="none" w:sz="0" w:space="0" w:color="auto"/>
      </w:divBdr>
    </w:div>
    <w:div w:id="1737505944">
      <w:bodyDiv w:val="1"/>
      <w:marLeft w:val="0"/>
      <w:marRight w:val="0"/>
      <w:marTop w:val="0"/>
      <w:marBottom w:val="0"/>
      <w:divBdr>
        <w:top w:val="none" w:sz="0" w:space="0" w:color="auto"/>
        <w:left w:val="none" w:sz="0" w:space="0" w:color="auto"/>
        <w:bottom w:val="none" w:sz="0" w:space="0" w:color="auto"/>
        <w:right w:val="none" w:sz="0" w:space="0" w:color="auto"/>
      </w:divBdr>
    </w:div>
    <w:div w:id="1737508477">
      <w:bodyDiv w:val="1"/>
      <w:marLeft w:val="0"/>
      <w:marRight w:val="0"/>
      <w:marTop w:val="0"/>
      <w:marBottom w:val="0"/>
      <w:divBdr>
        <w:top w:val="none" w:sz="0" w:space="0" w:color="auto"/>
        <w:left w:val="none" w:sz="0" w:space="0" w:color="auto"/>
        <w:bottom w:val="none" w:sz="0" w:space="0" w:color="auto"/>
        <w:right w:val="none" w:sz="0" w:space="0" w:color="auto"/>
      </w:divBdr>
    </w:div>
    <w:div w:id="1737556652">
      <w:bodyDiv w:val="1"/>
      <w:marLeft w:val="0"/>
      <w:marRight w:val="0"/>
      <w:marTop w:val="0"/>
      <w:marBottom w:val="0"/>
      <w:divBdr>
        <w:top w:val="none" w:sz="0" w:space="0" w:color="auto"/>
        <w:left w:val="none" w:sz="0" w:space="0" w:color="auto"/>
        <w:bottom w:val="none" w:sz="0" w:space="0" w:color="auto"/>
        <w:right w:val="none" w:sz="0" w:space="0" w:color="auto"/>
      </w:divBdr>
    </w:div>
    <w:div w:id="1737702021">
      <w:bodyDiv w:val="1"/>
      <w:marLeft w:val="0"/>
      <w:marRight w:val="0"/>
      <w:marTop w:val="0"/>
      <w:marBottom w:val="0"/>
      <w:divBdr>
        <w:top w:val="none" w:sz="0" w:space="0" w:color="auto"/>
        <w:left w:val="none" w:sz="0" w:space="0" w:color="auto"/>
        <w:bottom w:val="none" w:sz="0" w:space="0" w:color="auto"/>
        <w:right w:val="none" w:sz="0" w:space="0" w:color="auto"/>
      </w:divBdr>
    </w:div>
    <w:div w:id="1737818498">
      <w:bodyDiv w:val="1"/>
      <w:marLeft w:val="0"/>
      <w:marRight w:val="0"/>
      <w:marTop w:val="0"/>
      <w:marBottom w:val="0"/>
      <w:divBdr>
        <w:top w:val="none" w:sz="0" w:space="0" w:color="auto"/>
        <w:left w:val="none" w:sz="0" w:space="0" w:color="auto"/>
        <w:bottom w:val="none" w:sz="0" w:space="0" w:color="auto"/>
        <w:right w:val="none" w:sz="0" w:space="0" w:color="auto"/>
      </w:divBdr>
    </w:div>
    <w:div w:id="1737824765">
      <w:bodyDiv w:val="1"/>
      <w:marLeft w:val="0"/>
      <w:marRight w:val="0"/>
      <w:marTop w:val="0"/>
      <w:marBottom w:val="0"/>
      <w:divBdr>
        <w:top w:val="none" w:sz="0" w:space="0" w:color="auto"/>
        <w:left w:val="none" w:sz="0" w:space="0" w:color="auto"/>
        <w:bottom w:val="none" w:sz="0" w:space="0" w:color="auto"/>
        <w:right w:val="none" w:sz="0" w:space="0" w:color="auto"/>
      </w:divBdr>
    </w:div>
    <w:div w:id="1738162551">
      <w:bodyDiv w:val="1"/>
      <w:marLeft w:val="0"/>
      <w:marRight w:val="0"/>
      <w:marTop w:val="0"/>
      <w:marBottom w:val="0"/>
      <w:divBdr>
        <w:top w:val="none" w:sz="0" w:space="0" w:color="auto"/>
        <w:left w:val="none" w:sz="0" w:space="0" w:color="auto"/>
        <w:bottom w:val="none" w:sz="0" w:space="0" w:color="auto"/>
        <w:right w:val="none" w:sz="0" w:space="0" w:color="auto"/>
      </w:divBdr>
    </w:div>
    <w:div w:id="1738279660">
      <w:bodyDiv w:val="1"/>
      <w:marLeft w:val="0"/>
      <w:marRight w:val="0"/>
      <w:marTop w:val="0"/>
      <w:marBottom w:val="0"/>
      <w:divBdr>
        <w:top w:val="none" w:sz="0" w:space="0" w:color="auto"/>
        <w:left w:val="none" w:sz="0" w:space="0" w:color="auto"/>
        <w:bottom w:val="none" w:sz="0" w:space="0" w:color="auto"/>
        <w:right w:val="none" w:sz="0" w:space="0" w:color="auto"/>
      </w:divBdr>
    </w:div>
    <w:div w:id="1738286788">
      <w:bodyDiv w:val="1"/>
      <w:marLeft w:val="0"/>
      <w:marRight w:val="0"/>
      <w:marTop w:val="0"/>
      <w:marBottom w:val="0"/>
      <w:divBdr>
        <w:top w:val="none" w:sz="0" w:space="0" w:color="auto"/>
        <w:left w:val="none" w:sz="0" w:space="0" w:color="auto"/>
        <w:bottom w:val="none" w:sz="0" w:space="0" w:color="auto"/>
        <w:right w:val="none" w:sz="0" w:space="0" w:color="auto"/>
      </w:divBdr>
    </w:div>
    <w:div w:id="1738354788">
      <w:bodyDiv w:val="1"/>
      <w:marLeft w:val="0"/>
      <w:marRight w:val="0"/>
      <w:marTop w:val="0"/>
      <w:marBottom w:val="0"/>
      <w:divBdr>
        <w:top w:val="none" w:sz="0" w:space="0" w:color="auto"/>
        <w:left w:val="none" w:sz="0" w:space="0" w:color="auto"/>
        <w:bottom w:val="none" w:sz="0" w:space="0" w:color="auto"/>
        <w:right w:val="none" w:sz="0" w:space="0" w:color="auto"/>
      </w:divBdr>
    </w:div>
    <w:div w:id="1738354833">
      <w:bodyDiv w:val="1"/>
      <w:marLeft w:val="0"/>
      <w:marRight w:val="0"/>
      <w:marTop w:val="0"/>
      <w:marBottom w:val="0"/>
      <w:divBdr>
        <w:top w:val="none" w:sz="0" w:space="0" w:color="auto"/>
        <w:left w:val="none" w:sz="0" w:space="0" w:color="auto"/>
        <w:bottom w:val="none" w:sz="0" w:space="0" w:color="auto"/>
        <w:right w:val="none" w:sz="0" w:space="0" w:color="auto"/>
      </w:divBdr>
    </w:div>
    <w:div w:id="1738438418">
      <w:bodyDiv w:val="1"/>
      <w:marLeft w:val="0"/>
      <w:marRight w:val="0"/>
      <w:marTop w:val="0"/>
      <w:marBottom w:val="0"/>
      <w:divBdr>
        <w:top w:val="none" w:sz="0" w:space="0" w:color="auto"/>
        <w:left w:val="none" w:sz="0" w:space="0" w:color="auto"/>
        <w:bottom w:val="none" w:sz="0" w:space="0" w:color="auto"/>
        <w:right w:val="none" w:sz="0" w:space="0" w:color="auto"/>
      </w:divBdr>
    </w:div>
    <w:div w:id="1738476325">
      <w:bodyDiv w:val="1"/>
      <w:marLeft w:val="0"/>
      <w:marRight w:val="0"/>
      <w:marTop w:val="0"/>
      <w:marBottom w:val="0"/>
      <w:divBdr>
        <w:top w:val="none" w:sz="0" w:space="0" w:color="auto"/>
        <w:left w:val="none" w:sz="0" w:space="0" w:color="auto"/>
        <w:bottom w:val="none" w:sz="0" w:space="0" w:color="auto"/>
        <w:right w:val="none" w:sz="0" w:space="0" w:color="auto"/>
      </w:divBdr>
    </w:div>
    <w:div w:id="1738547663">
      <w:bodyDiv w:val="1"/>
      <w:marLeft w:val="0"/>
      <w:marRight w:val="0"/>
      <w:marTop w:val="0"/>
      <w:marBottom w:val="0"/>
      <w:divBdr>
        <w:top w:val="none" w:sz="0" w:space="0" w:color="auto"/>
        <w:left w:val="none" w:sz="0" w:space="0" w:color="auto"/>
        <w:bottom w:val="none" w:sz="0" w:space="0" w:color="auto"/>
        <w:right w:val="none" w:sz="0" w:space="0" w:color="auto"/>
      </w:divBdr>
    </w:div>
    <w:div w:id="1738743180">
      <w:bodyDiv w:val="1"/>
      <w:marLeft w:val="0"/>
      <w:marRight w:val="0"/>
      <w:marTop w:val="0"/>
      <w:marBottom w:val="0"/>
      <w:divBdr>
        <w:top w:val="none" w:sz="0" w:space="0" w:color="auto"/>
        <w:left w:val="none" w:sz="0" w:space="0" w:color="auto"/>
        <w:bottom w:val="none" w:sz="0" w:space="0" w:color="auto"/>
        <w:right w:val="none" w:sz="0" w:space="0" w:color="auto"/>
      </w:divBdr>
    </w:div>
    <w:div w:id="1738867056">
      <w:bodyDiv w:val="1"/>
      <w:marLeft w:val="0"/>
      <w:marRight w:val="0"/>
      <w:marTop w:val="0"/>
      <w:marBottom w:val="0"/>
      <w:divBdr>
        <w:top w:val="none" w:sz="0" w:space="0" w:color="auto"/>
        <w:left w:val="none" w:sz="0" w:space="0" w:color="auto"/>
        <w:bottom w:val="none" w:sz="0" w:space="0" w:color="auto"/>
        <w:right w:val="none" w:sz="0" w:space="0" w:color="auto"/>
      </w:divBdr>
    </w:div>
    <w:div w:id="1738897583">
      <w:bodyDiv w:val="1"/>
      <w:marLeft w:val="0"/>
      <w:marRight w:val="0"/>
      <w:marTop w:val="0"/>
      <w:marBottom w:val="0"/>
      <w:divBdr>
        <w:top w:val="none" w:sz="0" w:space="0" w:color="auto"/>
        <w:left w:val="none" w:sz="0" w:space="0" w:color="auto"/>
        <w:bottom w:val="none" w:sz="0" w:space="0" w:color="auto"/>
        <w:right w:val="none" w:sz="0" w:space="0" w:color="auto"/>
      </w:divBdr>
    </w:div>
    <w:div w:id="1739091468">
      <w:bodyDiv w:val="1"/>
      <w:marLeft w:val="0"/>
      <w:marRight w:val="0"/>
      <w:marTop w:val="0"/>
      <w:marBottom w:val="0"/>
      <w:divBdr>
        <w:top w:val="none" w:sz="0" w:space="0" w:color="auto"/>
        <w:left w:val="none" w:sz="0" w:space="0" w:color="auto"/>
        <w:bottom w:val="none" w:sz="0" w:space="0" w:color="auto"/>
        <w:right w:val="none" w:sz="0" w:space="0" w:color="auto"/>
      </w:divBdr>
    </w:div>
    <w:div w:id="1739203622">
      <w:bodyDiv w:val="1"/>
      <w:marLeft w:val="0"/>
      <w:marRight w:val="0"/>
      <w:marTop w:val="0"/>
      <w:marBottom w:val="0"/>
      <w:divBdr>
        <w:top w:val="none" w:sz="0" w:space="0" w:color="auto"/>
        <w:left w:val="none" w:sz="0" w:space="0" w:color="auto"/>
        <w:bottom w:val="none" w:sz="0" w:space="0" w:color="auto"/>
        <w:right w:val="none" w:sz="0" w:space="0" w:color="auto"/>
      </w:divBdr>
    </w:div>
    <w:div w:id="1739205643">
      <w:bodyDiv w:val="1"/>
      <w:marLeft w:val="0"/>
      <w:marRight w:val="0"/>
      <w:marTop w:val="0"/>
      <w:marBottom w:val="0"/>
      <w:divBdr>
        <w:top w:val="none" w:sz="0" w:space="0" w:color="auto"/>
        <w:left w:val="none" w:sz="0" w:space="0" w:color="auto"/>
        <w:bottom w:val="none" w:sz="0" w:space="0" w:color="auto"/>
        <w:right w:val="none" w:sz="0" w:space="0" w:color="auto"/>
      </w:divBdr>
    </w:div>
    <w:div w:id="1739205879">
      <w:bodyDiv w:val="1"/>
      <w:marLeft w:val="0"/>
      <w:marRight w:val="0"/>
      <w:marTop w:val="0"/>
      <w:marBottom w:val="0"/>
      <w:divBdr>
        <w:top w:val="none" w:sz="0" w:space="0" w:color="auto"/>
        <w:left w:val="none" w:sz="0" w:space="0" w:color="auto"/>
        <w:bottom w:val="none" w:sz="0" w:space="0" w:color="auto"/>
        <w:right w:val="none" w:sz="0" w:space="0" w:color="auto"/>
      </w:divBdr>
    </w:div>
    <w:div w:id="1739281823">
      <w:bodyDiv w:val="1"/>
      <w:marLeft w:val="0"/>
      <w:marRight w:val="0"/>
      <w:marTop w:val="0"/>
      <w:marBottom w:val="0"/>
      <w:divBdr>
        <w:top w:val="none" w:sz="0" w:space="0" w:color="auto"/>
        <w:left w:val="none" w:sz="0" w:space="0" w:color="auto"/>
        <w:bottom w:val="none" w:sz="0" w:space="0" w:color="auto"/>
        <w:right w:val="none" w:sz="0" w:space="0" w:color="auto"/>
      </w:divBdr>
    </w:div>
    <w:div w:id="1739326230">
      <w:bodyDiv w:val="1"/>
      <w:marLeft w:val="0"/>
      <w:marRight w:val="0"/>
      <w:marTop w:val="0"/>
      <w:marBottom w:val="0"/>
      <w:divBdr>
        <w:top w:val="none" w:sz="0" w:space="0" w:color="auto"/>
        <w:left w:val="none" w:sz="0" w:space="0" w:color="auto"/>
        <w:bottom w:val="none" w:sz="0" w:space="0" w:color="auto"/>
        <w:right w:val="none" w:sz="0" w:space="0" w:color="auto"/>
      </w:divBdr>
    </w:div>
    <w:div w:id="1739404993">
      <w:bodyDiv w:val="1"/>
      <w:marLeft w:val="0"/>
      <w:marRight w:val="0"/>
      <w:marTop w:val="0"/>
      <w:marBottom w:val="0"/>
      <w:divBdr>
        <w:top w:val="none" w:sz="0" w:space="0" w:color="auto"/>
        <w:left w:val="none" w:sz="0" w:space="0" w:color="auto"/>
        <w:bottom w:val="none" w:sz="0" w:space="0" w:color="auto"/>
        <w:right w:val="none" w:sz="0" w:space="0" w:color="auto"/>
      </w:divBdr>
    </w:div>
    <w:div w:id="1739476029">
      <w:bodyDiv w:val="1"/>
      <w:marLeft w:val="0"/>
      <w:marRight w:val="0"/>
      <w:marTop w:val="0"/>
      <w:marBottom w:val="0"/>
      <w:divBdr>
        <w:top w:val="none" w:sz="0" w:space="0" w:color="auto"/>
        <w:left w:val="none" w:sz="0" w:space="0" w:color="auto"/>
        <w:bottom w:val="none" w:sz="0" w:space="0" w:color="auto"/>
        <w:right w:val="none" w:sz="0" w:space="0" w:color="auto"/>
      </w:divBdr>
    </w:div>
    <w:div w:id="1739548218">
      <w:bodyDiv w:val="1"/>
      <w:marLeft w:val="0"/>
      <w:marRight w:val="0"/>
      <w:marTop w:val="0"/>
      <w:marBottom w:val="0"/>
      <w:divBdr>
        <w:top w:val="none" w:sz="0" w:space="0" w:color="auto"/>
        <w:left w:val="none" w:sz="0" w:space="0" w:color="auto"/>
        <w:bottom w:val="none" w:sz="0" w:space="0" w:color="auto"/>
        <w:right w:val="none" w:sz="0" w:space="0" w:color="auto"/>
      </w:divBdr>
    </w:div>
    <w:div w:id="1739551896">
      <w:bodyDiv w:val="1"/>
      <w:marLeft w:val="0"/>
      <w:marRight w:val="0"/>
      <w:marTop w:val="0"/>
      <w:marBottom w:val="0"/>
      <w:divBdr>
        <w:top w:val="none" w:sz="0" w:space="0" w:color="auto"/>
        <w:left w:val="none" w:sz="0" w:space="0" w:color="auto"/>
        <w:bottom w:val="none" w:sz="0" w:space="0" w:color="auto"/>
        <w:right w:val="none" w:sz="0" w:space="0" w:color="auto"/>
      </w:divBdr>
    </w:div>
    <w:div w:id="1739593269">
      <w:bodyDiv w:val="1"/>
      <w:marLeft w:val="0"/>
      <w:marRight w:val="0"/>
      <w:marTop w:val="0"/>
      <w:marBottom w:val="0"/>
      <w:divBdr>
        <w:top w:val="none" w:sz="0" w:space="0" w:color="auto"/>
        <w:left w:val="none" w:sz="0" w:space="0" w:color="auto"/>
        <w:bottom w:val="none" w:sz="0" w:space="0" w:color="auto"/>
        <w:right w:val="none" w:sz="0" w:space="0" w:color="auto"/>
      </w:divBdr>
    </w:div>
    <w:div w:id="1739786951">
      <w:bodyDiv w:val="1"/>
      <w:marLeft w:val="0"/>
      <w:marRight w:val="0"/>
      <w:marTop w:val="0"/>
      <w:marBottom w:val="0"/>
      <w:divBdr>
        <w:top w:val="none" w:sz="0" w:space="0" w:color="auto"/>
        <w:left w:val="none" w:sz="0" w:space="0" w:color="auto"/>
        <w:bottom w:val="none" w:sz="0" w:space="0" w:color="auto"/>
        <w:right w:val="none" w:sz="0" w:space="0" w:color="auto"/>
      </w:divBdr>
    </w:div>
    <w:div w:id="1739789748">
      <w:bodyDiv w:val="1"/>
      <w:marLeft w:val="0"/>
      <w:marRight w:val="0"/>
      <w:marTop w:val="0"/>
      <w:marBottom w:val="0"/>
      <w:divBdr>
        <w:top w:val="none" w:sz="0" w:space="0" w:color="auto"/>
        <w:left w:val="none" w:sz="0" w:space="0" w:color="auto"/>
        <w:bottom w:val="none" w:sz="0" w:space="0" w:color="auto"/>
        <w:right w:val="none" w:sz="0" w:space="0" w:color="auto"/>
      </w:divBdr>
    </w:div>
    <w:div w:id="1739860087">
      <w:bodyDiv w:val="1"/>
      <w:marLeft w:val="0"/>
      <w:marRight w:val="0"/>
      <w:marTop w:val="0"/>
      <w:marBottom w:val="0"/>
      <w:divBdr>
        <w:top w:val="none" w:sz="0" w:space="0" w:color="auto"/>
        <w:left w:val="none" w:sz="0" w:space="0" w:color="auto"/>
        <w:bottom w:val="none" w:sz="0" w:space="0" w:color="auto"/>
        <w:right w:val="none" w:sz="0" w:space="0" w:color="auto"/>
      </w:divBdr>
    </w:div>
    <w:div w:id="1739865467">
      <w:bodyDiv w:val="1"/>
      <w:marLeft w:val="0"/>
      <w:marRight w:val="0"/>
      <w:marTop w:val="0"/>
      <w:marBottom w:val="0"/>
      <w:divBdr>
        <w:top w:val="none" w:sz="0" w:space="0" w:color="auto"/>
        <w:left w:val="none" w:sz="0" w:space="0" w:color="auto"/>
        <w:bottom w:val="none" w:sz="0" w:space="0" w:color="auto"/>
        <w:right w:val="none" w:sz="0" w:space="0" w:color="auto"/>
      </w:divBdr>
    </w:div>
    <w:div w:id="1739934079">
      <w:bodyDiv w:val="1"/>
      <w:marLeft w:val="0"/>
      <w:marRight w:val="0"/>
      <w:marTop w:val="0"/>
      <w:marBottom w:val="0"/>
      <w:divBdr>
        <w:top w:val="none" w:sz="0" w:space="0" w:color="auto"/>
        <w:left w:val="none" w:sz="0" w:space="0" w:color="auto"/>
        <w:bottom w:val="none" w:sz="0" w:space="0" w:color="auto"/>
        <w:right w:val="none" w:sz="0" w:space="0" w:color="auto"/>
      </w:divBdr>
    </w:div>
    <w:div w:id="1739936804">
      <w:bodyDiv w:val="1"/>
      <w:marLeft w:val="0"/>
      <w:marRight w:val="0"/>
      <w:marTop w:val="0"/>
      <w:marBottom w:val="0"/>
      <w:divBdr>
        <w:top w:val="none" w:sz="0" w:space="0" w:color="auto"/>
        <w:left w:val="none" w:sz="0" w:space="0" w:color="auto"/>
        <w:bottom w:val="none" w:sz="0" w:space="0" w:color="auto"/>
        <w:right w:val="none" w:sz="0" w:space="0" w:color="auto"/>
      </w:divBdr>
    </w:div>
    <w:div w:id="1739983020">
      <w:bodyDiv w:val="1"/>
      <w:marLeft w:val="0"/>
      <w:marRight w:val="0"/>
      <w:marTop w:val="0"/>
      <w:marBottom w:val="0"/>
      <w:divBdr>
        <w:top w:val="none" w:sz="0" w:space="0" w:color="auto"/>
        <w:left w:val="none" w:sz="0" w:space="0" w:color="auto"/>
        <w:bottom w:val="none" w:sz="0" w:space="0" w:color="auto"/>
        <w:right w:val="none" w:sz="0" w:space="0" w:color="auto"/>
      </w:divBdr>
    </w:div>
    <w:div w:id="1739984499">
      <w:bodyDiv w:val="1"/>
      <w:marLeft w:val="0"/>
      <w:marRight w:val="0"/>
      <w:marTop w:val="0"/>
      <w:marBottom w:val="0"/>
      <w:divBdr>
        <w:top w:val="none" w:sz="0" w:space="0" w:color="auto"/>
        <w:left w:val="none" w:sz="0" w:space="0" w:color="auto"/>
        <w:bottom w:val="none" w:sz="0" w:space="0" w:color="auto"/>
        <w:right w:val="none" w:sz="0" w:space="0" w:color="auto"/>
      </w:divBdr>
    </w:div>
    <w:div w:id="1740009065">
      <w:bodyDiv w:val="1"/>
      <w:marLeft w:val="0"/>
      <w:marRight w:val="0"/>
      <w:marTop w:val="0"/>
      <w:marBottom w:val="0"/>
      <w:divBdr>
        <w:top w:val="none" w:sz="0" w:space="0" w:color="auto"/>
        <w:left w:val="none" w:sz="0" w:space="0" w:color="auto"/>
        <w:bottom w:val="none" w:sz="0" w:space="0" w:color="auto"/>
        <w:right w:val="none" w:sz="0" w:space="0" w:color="auto"/>
      </w:divBdr>
    </w:div>
    <w:div w:id="1740204025">
      <w:bodyDiv w:val="1"/>
      <w:marLeft w:val="0"/>
      <w:marRight w:val="0"/>
      <w:marTop w:val="0"/>
      <w:marBottom w:val="0"/>
      <w:divBdr>
        <w:top w:val="none" w:sz="0" w:space="0" w:color="auto"/>
        <w:left w:val="none" w:sz="0" w:space="0" w:color="auto"/>
        <w:bottom w:val="none" w:sz="0" w:space="0" w:color="auto"/>
        <w:right w:val="none" w:sz="0" w:space="0" w:color="auto"/>
      </w:divBdr>
    </w:div>
    <w:div w:id="1740204230">
      <w:bodyDiv w:val="1"/>
      <w:marLeft w:val="0"/>
      <w:marRight w:val="0"/>
      <w:marTop w:val="0"/>
      <w:marBottom w:val="0"/>
      <w:divBdr>
        <w:top w:val="none" w:sz="0" w:space="0" w:color="auto"/>
        <w:left w:val="none" w:sz="0" w:space="0" w:color="auto"/>
        <w:bottom w:val="none" w:sz="0" w:space="0" w:color="auto"/>
        <w:right w:val="none" w:sz="0" w:space="0" w:color="auto"/>
      </w:divBdr>
    </w:div>
    <w:div w:id="1740209668">
      <w:bodyDiv w:val="1"/>
      <w:marLeft w:val="0"/>
      <w:marRight w:val="0"/>
      <w:marTop w:val="0"/>
      <w:marBottom w:val="0"/>
      <w:divBdr>
        <w:top w:val="none" w:sz="0" w:space="0" w:color="auto"/>
        <w:left w:val="none" w:sz="0" w:space="0" w:color="auto"/>
        <w:bottom w:val="none" w:sz="0" w:space="0" w:color="auto"/>
        <w:right w:val="none" w:sz="0" w:space="0" w:color="auto"/>
      </w:divBdr>
    </w:div>
    <w:div w:id="1740247201">
      <w:bodyDiv w:val="1"/>
      <w:marLeft w:val="0"/>
      <w:marRight w:val="0"/>
      <w:marTop w:val="0"/>
      <w:marBottom w:val="0"/>
      <w:divBdr>
        <w:top w:val="none" w:sz="0" w:space="0" w:color="auto"/>
        <w:left w:val="none" w:sz="0" w:space="0" w:color="auto"/>
        <w:bottom w:val="none" w:sz="0" w:space="0" w:color="auto"/>
        <w:right w:val="none" w:sz="0" w:space="0" w:color="auto"/>
      </w:divBdr>
    </w:div>
    <w:div w:id="1740398291">
      <w:bodyDiv w:val="1"/>
      <w:marLeft w:val="0"/>
      <w:marRight w:val="0"/>
      <w:marTop w:val="0"/>
      <w:marBottom w:val="0"/>
      <w:divBdr>
        <w:top w:val="none" w:sz="0" w:space="0" w:color="auto"/>
        <w:left w:val="none" w:sz="0" w:space="0" w:color="auto"/>
        <w:bottom w:val="none" w:sz="0" w:space="0" w:color="auto"/>
        <w:right w:val="none" w:sz="0" w:space="0" w:color="auto"/>
      </w:divBdr>
    </w:div>
    <w:div w:id="1740404395">
      <w:bodyDiv w:val="1"/>
      <w:marLeft w:val="0"/>
      <w:marRight w:val="0"/>
      <w:marTop w:val="0"/>
      <w:marBottom w:val="0"/>
      <w:divBdr>
        <w:top w:val="none" w:sz="0" w:space="0" w:color="auto"/>
        <w:left w:val="none" w:sz="0" w:space="0" w:color="auto"/>
        <w:bottom w:val="none" w:sz="0" w:space="0" w:color="auto"/>
        <w:right w:val="none" w:sz="0" w:space="0" w:color="auto"/>
      </w:divBdr>
    </w:div>
    <w:div w:id="1740588446">
      <w:bodyDiv w:val="1"/>
      <w:marLeft w:val="0"/>
      <w:marRight w:val="0"/>
      <w:marTop w:val="0"/>
      <w:marBottom w:val="0"/>
      <w:divBdr>
        <w:top w:val="none" w:sz="0" w:space="0" w:color="auto"/>
        <w:left w:val="none" w:sz="0" w:space="0" w:color="auto"/>
        <w:bottom w:val="none" w:sz="0" w:space="0" w:color="auto"/>
        <w:right w:val="none" w:sz="0" w:space="0" w:color="auto"/>
      </w:divBdr>
    </w:div>
    <w:div w:id="1740637363">
      <w:bodyDiv w:val="1"/>
      <w:marLeft w:val="0"/>
      <w:marRight w:val="0"/>
      <w:marTop w:val="0"/>
      <w:marBottom w:val="0"/>
      <w:divBdr>
        <w:top w:val="none" w:sz="0" w:space="0" w:color="auto"/>
        <w:left w:val="none" w:sz="0" w:space="0" w:color="auto"/>
        <w:bottom w:val="none" w:sz="0" w:space="0" w:color="auto"/>
        <w:right w:val="none" w:sz="0" w:space="0" w:color="auto"/>
      </w:divBdr>
    </w:div>
    <w:div w:id="1740707058">
      <w:bodyDiv w:val="1"/>
      <w:marLeft w:val="0"/>
      <w:marRight w:val="0"/>
      <w:marTop w:val="0"/>
      <w:marBottom w:val="0"/>
      <w:divBdr>
        <w:top w:val="none" w:sz="0" w:space="0" w:color="auto"/>
        <w:left w:val="none" w:sz="0" w:space="0" w:color="auto"/>
        <w:bottom w:val="none" w:sz="0" w:space="0" w:color="auto"/>
        <w:right w:val="none" w:sz="0" w:space="0" w:color="auto"/>
      </w:divBdr>
    </w:div>
    <w:div w:id="1740783232">
      <w:bodyDiv w:val="1"/>
      <w:marLeft w:val="0"/>
      <w:marRight w:val="0"/>
      <w:marTop w:val="0"/>
      <w:marBottom w:val="0"/>
      <w:divBdr>
        <w:top w:val="none" w:sz="0" w:space="0" w:color="auto"/>
        <w:left w:val="none" w:sz="0" w:space="0" w:color="auto"/>
        <w:bottom w:val="none" w:sz="0" w:space="0" w:color="auto"/>
        <w:right w:val="none" w:sz="0" w:space="0" w:color="auto"/>
      </w:divBdr>
    </w:div>
    <w:div w:id="1740783273">
      <w:bodyDiv w:val="1"/>
      <w:marLeft w:val="0"/>
      <w:marRight w:val="0"/>
      <w:marTop w:val="0"/>
      <w:marBottom w:val="0"/>
      <w:divBdr>
        <w:top w:val="none" w:sz="0" w:space="0" w:color="auto"/>
        <w:left w:val="none" w:sz="0" w:space="0" w:color="auto"/>
        <w:bottom w:val="none" w:sz="0" w:space="0" w:color="auto"/>
        <w:right w:val="none" w:sz="0" w:space="0" w:color="auto"/>
      </w:divBdr>
    </w:div>
    <w:div w:id="1740787710">
      <w:bodyDiv w:val="1"/>
      <w:marLeft w:val="0"/>
      <w:marRight w:val="0"/>
      <w:marTop w:val="0"/>
      <w:marBottom w:val="0"/>
      <w:divBdr>
        <w:top w:val="none" w:sz="0" w:space="0" w:color="auto"/>
        <w:left w:val="none" w:sz="0" w:space="0" w:color="auto"/>
        <w:bottom w:val="none" w:sz="0" w:space="0" w:color="auto"/>
        <w:right w:val="none" w:sz="0" w:space="0" w:color="auto"/>
      </w:divBdr>
    </w:div>
    <w:div w:id="1740789975">
      <w:bodyDiv w:val="1"/>
      <w:marLeft w:val="0"/>
      <w:marRight w:val="0"/>
      <w:marTop w:val="0"/>
      <w:marBottom w:val="0"/>
      <w:divBdr>
        <w:top w:val="none" w:sz="0" w:space="0" w:color="auto"/>
        <w:left w:val="none" w:sz="0" w:space="0" w:color="auto"/>
        <w:bottom w:val="none" w:sz="0" w:space="0" w:color="auto"/>
        <w:right w:val="none" w:sz="0" w:space="0" w:color="auto"/>
      </w:divBdr>
    </w:div>
    <w:div w:id="1740900549">
      <w:bodyDiv w:val="1"/>
      <w:marLeft w:val="0"/>
      <w:marRight w:val="0"/>
      <w:marTop w:val="0"/>
      <w:marBottom w:val="0"/>
      <w:divBdr>
        <w:top w:val="none" w:sz="0" w:space="0" w:color="auto"/>
        <w:left w:val="none" w:sz="0" w:space="0" w:color="auto"/>
        <w:bottom w:val="none" w:sz="0" w:space="0" w:color="auto"/>
        <w:right w:val="none" w:sz="0" w:space="0" w:color="auto"/>
      </w:divBdr>
    </w:div>
    <w:div w:id="1741101484">
      <w:bodyDiv w:val="1"/>
      <w:marLeft w:val="0"/>
      <w:marRight w:val="0"/>
      <w:marTop w:val="0"/>
      <w:marBottom w:val="0"/>
      <w:divBdr>
        <w:top w:val="none" w:sz="0" w:space="0" w:color="auto"/>
        <w:left w:val="none" w:sz="0" w:space="0" w:color="auto"/>
        <w:bottom w:val="none" w:sz="0" w:space="0" w:color="auto"/>
        <w:right w:val="none" w:sz="0" w:space="0" w:color="auto"/>
      </w:divBdr>
    </w:div>
    <w:div w:id="1741322593">
      <w:bodyDiv w:val="1"/>
      <w:marLeft w:val="0"/>
      <w:marRight w:val="0"/>
      <w:marTop w:val="0"/>
      <w:marBottom w:val="0"/>
      <w:divBdr>
        <w:top w:val="none" w:sz="0" w:space="0" w:color="auto"/>
        <w:left w:val="none" w:sz="0" w:space="0" w:color="auto"/>
        <w:bottom w:val="none" w:sz="0" w:space="0" w:color="auto"/>
        <w:right w:val="none" w:sz="0" w:space="0" w:color="auto"/>
      </w:divBdr>
    </w:div>
    <w:div w:id="1741440191">
      <w:bodyDiv w:val="1"/>
      <w:marLeft w:val="0"/>
      <w:marRight w:val="0"/>
      <w:marTop w:val="0"/>
      <w:marBottom w:val="0"/>
      <w:divBdr>
        <w:top w:val="none" w:sz="0" w:space="0" w:color="auto"/>
        <w:left w:val="none" w:sz="0" w:space="0" w:color="auto"/>
        <w:bottom w:val="none" w:sz="0" w:space="0" w:color="auto"/>
        <w:right w:val="none" w:sz="0" w:space="0" w:color="auto"/>
      </w:divBdr>
    </w:div>
    <w:div w:id="1741441248">
      <w:bodyDiv w:val="1"/>
      <w:marLeft w:val="0"/>
      <w:marRight w:val="0"/>
      <w:marTop w:val="0"/>
      <w:marBottom w:val="0"/>
      <w:divBdr>
        <w:top w:val="none" w:sz="0" w:space="0" w:color="auto"/>
        <w:left w:val="none" w:sz="0" w:space="0" w:color="auto"/>
        <w:bottom w:val="none" w:sz="0" w:space="0" w:color="auto"/>
        <w:right w:val="none" w:sz="0" w:space="0" w:color="auto"/>
      </w:divBdr>
    </w:div>
    <w:div w:id="1741444631">
      <w:bodyDiv w:val="1"/>
      <w:marLeft w:val="0"/>
      <w:marRight w:val="0"/>
      <w:marTop w:val="0"/>
      <w:marBottom w:val="0"/>
      <w:divBdr>
        <w:top w:val="none" w:sz="0" w:space="0" w:color="auto"/>
        <w:left w:val="none" w:sz="0" w:space="0" w:color="auto"/>
        <w:bottom w:val="none" w:sz="0" w:space="0" w:color="auto"/>
        <w:right w:val="none" w:sz="0" w:space="0" w:color="auto"/>
      </w:divBdr>
    </w:div>
    <w:div w:id="1741559304">
      <w:bodyDiv w:val="1"/>
      <w:marLeft w:val="0"/>
      <w:marRight w:val="0"/>
      <w:marTop w:val="0"/>
      <w:marBottom w:val="0"/>
      <w:divBdr>
        <w:top w:val="none" w:sz="0" w:space="0" w:color="auto"/>
        <w:left w:val="none" w:sz="0" w:space="0" w:color="auto"/>
        <w:bottom w:val="none" w:sz="0" w:space="0" w:color="auto"/>
        <w:right w:val="none" w:sz="0" w:space="0" w:color="auto"/>
      </w:divBdr>
    </w:div>
    <w:div w:id="1741559650">
      <w:bodyDiv w:val="1"/>
      <w:marLeft w:val="0"/>
      <w:marRight w:val="0"/>
      <w:marTop w:val="0"/>
      <w:marBottom w:val="0"/>
      <w:divBdr>
        <w:top w:val="none" w:sz="0" w:space="0" w:color="auto"/>
        <w:left w:val="none" w:sz="0" w:space="0" w:color="auto"/>
        <w:bottom w:val="none" w:sz="0" w:space="0" w:color="auto"/>
        <w:right w:val="none" w:sz="0" w:space="0" w:color="auto"/>
      </w:divBdr>
    </w:div>
    <w:div w:id="1741711265">
      <w:bodyDiv w:val="1"/>
      <w:marLeft w:val="0"/>
      <w:marRight w:val="0"/>
      <w:marTop w:val="0"/>
      <w:marBottom w:val="0"/>
      <w:divBdr>
        <w:top w:val="none" w:sz="0" w:space="0" w:color="auto"/>
        <w:left w:val="none" w:sz="0" w:space="0" w:color="auto"/>
        <w:bottom w:val="none" w:sz="0" w:space="0" w:color="auto"/>
        <w:right w:val="none" w:sz="0" w:space="0" w:color="auto"/>
      </w:divBdr>
    </w:div>
    <w:div w:id="1741780949">
      <w:bodyDiv w:val="1"/>
      <w:marLeft w:val="0"/>
      <w:marRight w:val="0"/>
      <w:marTop w:val="0"/>
      <w:marBottom w:val="0"/>
      <w:divBdr>
        <w:top w:val="none" w:sz="0" w:space="0" w:color="auto"/>
        <w:left w:val="none" w:sz="0" w:space="0" w:color="auto"/>
        <w:bottom w:val="none" w:sz="0" w:space="0" w:color="auto"/>
        <w:right w:val="none" w:sz="0" w:space="0" w:color="auto"/>
      </w:divBdr>
    </w:div>
    <w:div w:id="1741898925">
      <w:bodyDiv w:val="1"/>
      <w:marLeft w:val="0"/>
      <w:marRight w:val="0"/>
      <w:marTop w:val="0"/>
      <w:marBottom w:val="0"/>
      <w:divBdr>
        <w:top w:val="none" w:sz="0" w:space="0" w:color="auto"/>
        <w:left w:val="none" w:sz="0" w:space="0" w:color="auto"/>
        <w:bottom w:val="none" w:sz="0" w:space="0" w:color="auto"/>
        <w:right w:val="none" w:sz="0" w:space="0" w:color="auto"/>
      </w:divBdr>
    </w:div>
    <w:div w:id="1741948373">
      <w:bodyDiv w:val="1"/>
      <w:marLeft w:val="0"/>
      <w:marRight w:val="0"/>
      <w:marTop w:val="0"/>
      <w:marBottom w:val="0"/>
      <w:divBdr>
        <w:top w:val="none" w:sz="0" w:space="0" w:color="auto"/>
        <w:left w:val="none" w:sz="0" w:space="0" w:color="auto"/>
        <w:bottom w:val="none" w:sz="0" w:space="0" w:color="auto"/>
        <w:right w:val="none" w:sz="0" w:space="0" w:color="auto"/>
      </w:divBdr>
    </w:div>
    <w:div w:id="1741950271">
      <w:bodyDiv w:val="1"/>
      <w:marLeft w:val="0"/>
      <w:marRight w:val="0"/>
      <w:marTop w:val="0"/>
      <w:marBottom w:val="0"/>
      <w:divBdr>
        <w:top w:val="none" w:sz="0" w:space="0" w:color="auto"/>
        <w:left w:val="none" w:sz="0" w:space="0" w:color="auto"/>
        <w:bottom w:val="none" w:sz="0" w:space="0" w:color="auto"/>
        <w:right w:val="none" w:sz="0" w:space="0" w:color="auto"/>
      </w:divBdr>
    </w:div>
    <w:div w:id="1742093457">
      <w:bodyDiv w:val="1"/>
      <w:marLeft w:val="0"/>
      <w:marRight w:val="0"/>
      <w:marTop w:val="0"/>
      <w:marBottom w:val="0"/>
      <w:divBdr>
        <w:top w:val="none" w:sz="0" w:space="0" w:color="auto"/>
        <w:left w:val="none" w:sz="0" w:space="0" w:color="auto"/>
        <w:bottom w:val="none" w:sz="0" w:space="0" w:color="auto"/>
        <w:right w:val="none" w:sz="0" w:space="0" w:color="auto"/>
      </w:divBdr>
    </w:div>
    <w:div w:id="1742287190">
      <w:bodyDiv w:val="1"/>
      <w:marLeft w:val="0"/>
      <w:marRight w:val="0"/>
      <w:marTop w:val="0"/>
      <w:marBottom w:val="0"/>
      <w:divBdr>
        <w:top w:val="none" w:sz="0" w:space="0" w:color="auto"/>
        <w:left w:val="none" w:sz="0" w:space="0" w:color="auto"/>
        <w:bottom w:val="none" w:sz="0" w:space="0" w:color="auto"/>
        <w:right w:val="none" w:sz="0" w:space="0" w:color="auto"/>
      </w:divBdr>
    </w:div>
    <w:div w:id="1742364447">
      <w:bodyDiv w:val="1"/>
      <w:marLeft w:val="0"/>
      <w:marRight w:val="0"/>
      <w:marTop w:val="0"/>
      <w:marBottom w:val="0"/>
      <w:divBdr>
        <w:top w:val="none" w:sz="0" w:space="0" w:color="auto"/>
        <w:left w:val="none" w:sz="0" w:space="0" w:color="auto"/>
        <w:bottom w:val="none" w:sz="0" w:space="0" w:color="auto"/>
        <w:right w:val="none" w:sz="0" w:space="0" w:color="auto"/>
      </w:divBdr>
    </w:div>
    <w:div w:id="1742365111">
      <w:bodyDiv w:val="1"/>
      <w:marLeft w:val="0"/>
      <w:marRight w:val="0"/>
      <w:marTop w:val="0"/>
      <w:marBottom w:val="0"/>
      <w:divBdr>
        <w:top w:val="none" w:sz="0" w:space="0" w:color="auto"/>
        <w:left w:val="none" w:sz="0" w:space="0" w:color="auto"/>
        <w:bottom w:val="none" w:sz="0" w:space="0" w:color="auto"/>
        <w:right w:val="none" w:sz="0" w:space="0" w:color="auto"/>
      </w:divBdr>
    </w:div>
    <w:div w:id="1742369297">
      <w:bodyDiv w:val="1"/>
      <w:marLeft w:val="0"/>
      <w:marRight w:val="0"/>
      <w:marTop w:val="0"/>
      <w:marBottom w:val="0"/>
      <w:divBdr>
        <w:top w:val="none" w:sz="0" w:space="0" w:color="auto"/>
        <w:left w:val="none" w:sz="0" w:space="0" w:color="auto"/>
        <w:bottom w:val="none" w:sz="0" w:space="0" w:color="auto"/>
        <w:right w:val="none" w:sz="0" w:space="0" w:color="auto"/>
      </w:divBdr>
    </w:div>
    <w:div w:id="1742436785">
      <w:bodyDiv w:val="1"/>
      <w:marLeft w:val="0"/>
      <w:marRight w:val="0"/>
      <w:marTop w:val="0"/>
      <w:marBottom w:val="0"/>
      <w:divBdr>
        <w:top w:val="none" w:sz="0" w:space="0" w:color="auto"/>
        <w:left w:val="none" w:sz="0" w:space="0" w:color="auto"/>
        <w:bottom w:val="none" w:sz="0" w:space="0" w:color="auto"/>
        <w:right w:val="none" w:sz="0" w:space="0" w:color="auto"/>
      </w:divBdr>
    </w:div>
    <w:div w:id="1742756964">
      <w:bodyDiv w:val="1"/>
      <w:marLeft w:val="0"/>
      <w:marRight w:val="0"/>
      <w:marTop w:val="0"/>
      <w:marBottom w:val="0"/>
      <w:divBdr>
        <w:top w:val="none" w:sz="0" w:space="0" w:color="auto"/>
        <w:left w:val="none" w:sz="0" w:space="0" w:color="auto"/>
        <w:bottom w:val="none" w:sz="0" w:space="0" w:color="auto"/>
        <w:right w:val="none" w:sz="0" w:space="0" w:color="auto"/>
      </w:divBdr>
    </w:div>
    <w:div w:id="1742826217">
      <w:bodyDiv w:val="1"/>
      <w:marLeft w:val="0"/>
      <w:marRight w:val="0"/>
      <w:marTop w:val="0"/>
      <w:marBottom w:val="0"/>
      <w:divBdr>
        <w:top w:val="none" w:sz="0" w:space="0" w:color="auto"/>
        <w:left w:val="none" w:sz="0" w:space="0" w:color="auto"/>
        <w:bottom w:val="none" w:sz="0" w:space="0" w:color="auto"/>
        <w:right w:val="none" w:sz="0" w:space="0" w:color="auto"/>
      </w:divBdr>
    </w:div>
    <w:div w:id="1742826322">
      <w:bodyDiv w:val="1"/>
      <w:marLeft w:val="0"/>
      <w:marRight w:val="0"/>
      <w:marTop w:val="0"/>
      <w:marBottom w:val="0"/>
      <w:divBdr>
        <w:top w:val="none" w:sz="0" w:space="0" w:color="auto"/>
        <w:left w:val="none" w:sz="0" w:space="0" w:color="auto"/>
        <w:bottom w:val="none" w:sz="0" w:space="0" w:color="auto"/>
        <w:right w:val="none" w:sz="0" w:space="0" w:color="auto"/>
      </w:divBdr>
    </w:div>
    <w:div w:id="1742866937">
      <w:bodyDiv w:val="1"/>
      <w:marLeft w:val="0"/>
      <w:marRight w:val="0"/>
      <w:marTop w:val="0"/>
      <w:marBottom w:val="0"/>
      <w:divBdr>
        <w:top w:val="none" w:sz="0" w:space="0" w:color="auto"/>
        <w:left w:val="none" w:sz="0" w:space="0" w:color="auto"/>
        <w:bottom w:val="none" w:sz="0" w:space="0" w:color="auto"/>
        <w:right w:val="none" w:sz="0" w:space="0" w:color="auto"/>
      </w:divBdr>
    </w:div>
    <w:div w:id="1742943705">
      <w:bodyDiv w:val="1"/>
      <w:marLeft w:val="0"/>
      <w:marRight w:val="0"/>
      <w:marTop w:val="0"/>
      <w:marBottom w:val="0"/>
      <w:divBdr>
        <w:top w:val="none" w:sz="0" w:space="0" w:color="auto"/>
        <w:left w:val="none" w:sz="0" w:space="0" w:color="auto"/>
        <w:bottom w:val="none" w:sz="0" w:space="0" w:color="auto"/>
        <w:right w:val="none" w:sz="0" w:space="0" w:color="auto"/>
      </w:divBdr>
    </w:div>
    <w:div w:id="1742948751">
      <w:bodyDiv w:val="1"/>
      <w:marLeft w:val="0"/>
      <w:marRight w:val="0"/>
      <w:marTop w:val="0"/>
      <w:marBottom w:val="0"/>
      <w:divBdr>
        <w:top w:val="none" w:sz="0" w:space="0" w:color="auto"/>
        <w:left w:val="none" w:sz="0" w:space="0" w:color="auto"/>
        <w:bottom w:val="none" w:sz="0" w:space="0" w:color="auto"/>
        <w:right w:val="none" w:sz="0" w:space="0" w:color="auto"/>
      </w:divBdr>
    </w:div>
    <w:div w:id="1743016162">
      <w:bodyDiv w:val="1"/>
      <w:marLeft w:val="0"/>
      <w:marRight w:val="0"/>
      <w:marTop w:val="0"/>
      <w:marBottom w:val="0"/>
      <w:divBdr>
        <w:top w:val="none" w:sz="0" w:space="0" w:color="auto"/>
        <w:left w:val="none" w:sz="0" w:space="0" w:color="auto"/>
        <w:bottom w:val="none" w:sz="0" w:space="0" w:color="auto"/>
        <w:right w:val="none" w:sz="0" w:space="0" w:color="auto"/>
      </w:divBdr>
    </w:div>
    <w:div w:id="1743091368">
      <w:bodyDiv w:val="1"/>
      <w:marLeft w:val="0"/>
      <w:marRight w:val="0"/>
      <w:marTop w:val="0"/>
      <w:marBottom w:val="0"/>
      <w:divBdr>
        <w:top w:val="none" w:sz="0" w:space="0" w:color="auto"/>
        <w:left w:val="none" w:sz="0" w:space="0" w:color="auto"/>
        <w:bottom w:val="none" w:sz="0" w:space="0" w:color="auto"/>
        <w:right w:val="none" w:sz="0" w:space="0" w:color="auto"/>
      </w:divBdr>
    </w:div>
    <w:div w:id="1743134495">
      <w:bodyDiv w:val="1"/>
      <w:marLeft w:val="0"/>
      <w:marRight w:val="0"/>
      <w:marTop w:val="0"/>
      <w:marBottom w:val="0"/>
      <w:divBdr>
        <w:top w:val="none" w:sz="0" w:space="0" w:color="auto"/>
        <w:left w:val="none" w:sz="0" w:space="0" w:color="auto"/>
        <w:bottom w:val="none" w:sz="0" w:space="0" w:color="auto"/>
        <w:right w:val="none" w:sz="0" w:space="0" w:color="auto"/>
      </w:divBdr>
    </w:div>
    <w:div w:id="1743210206">
      <w:bodyDiv w:val="1"/>
      <w:marLeft w:val="0"/>
      <w:marRight w:val="0"/>
      <w:marTop w:val="0"/>
      <w:marBottom w:val="0"/>
      <w:divBdr>
        <w:top w:val="none" w:sz="0" w:space="0" w:color="auto"/>
        <w:left w:val="none" w:sz="0" w:space="0" w:color="auto"/>
        <w:bottom w:val="none" w:sz="0" w:space="0" w:color="auto"/>
        <w:right w:val="none" w:sz="0" w:space="0" w:color="auto"/>
      </w:divBdr>
    </w:div>
    <w:div w:id="1743407917">
      <w:bodyDiv w:val="1"/>
      <w:marLeft w:val="0"/>
      <w:marRight w:val="0"/>
      <w:marTop w:val="0"/>
      <w:marBottom w:val="0"/>
      <w:divBdr>
        <w:top w:val="none" w:sz="0" w:space="0" w:color="auto"/>
        <w:left w:val="none" w:sz="0" w:space="0" w:color="auto"/>
        <w:bottom w:val="none" w:sz="0" w:space="0" w:color="auto"/>
        <w:right w:val="none" w:sz="0" w:space="0" w:color="auto"/>
      </w:divBdr>
    </w:div>
    <w:div w:id="1743411218">
      <w:bodyDiv w:val="1"/>
      <w:marLeft w:val="0"/>
      <w:marRight w:val="0"/>
      <w:marTop w:val="0"/>
      <w:marBottom w:val="0"/>
      <w:divBdr>
        <w:top w:val="none" w:sz="0" w:space="0" w:color="auto"/>
        <w:left w:val="none" w:sz="0" w:space="0" w:color="auto"/>
        <w:bottom w:val="none" w:sz="0" w:space="0" w:color="auto"/>
        <w:right w:val="none" w:sz="0" w:space="0" w:color="auto"/>
      </w:divBdr>
    </w:div>
    <w:div w:id="1743478327">
      <w:bodyDiv w:val="1"/>
      <w:marLeft w:val="0"/>
      <w:marRight w:val="0"/>
      <w:marTop w:val="0"/>
      <w:marBottom w:val="0"/>
      <w:divBdr>
        <w:top w:val="none" w:sz="0" w:space="0" w:color="auto"/>
        <w:left w:val="none" w:sz="0" w:space="0" w:color="auto"/>
        <w:bottom w:val="none" w:sz="0" w:space="0" w:color="auto"/>
        <w:right w:val="none" w:sz="0" w:space="0" w:color="auto"/>
      </w:divBdr>
    </w:div>
    <w:div w:id="1743483530">
      <w:bodyDiv w:val="1"/>
      <w:marLeft w:val="0"/>
      <w:marRight w:val="0"/>
      <w:marTop w:val="0"/>
      <w:marBottom w:val="0"/>
      <w:divBdr>
        <w:top w:val="none" w:sz="0" w:space="0" w:color="auto"/>
        <w:left w:val="none" w:sz="0" w:space="0" w:color="auto"/>
        <w:bottom w:val="none" w:sz="0" w:space="0" w:color="auto"/>
        <w:right w:val="none" w:sz="0" w:space="0" w:color="auto"/>
      </w:divBdr>
    </w:div>
    <w:div w:id="1743604827">
      <w:bodyDiv w:val="1"/>
      <w:marLeft w:val="0"/>
      <w:marRight w:val="0"/>
      <w:marTop w:val="0"/>
      <w:marBottom w:val="0"/>
      <w:divBdr>
        <w:top w:val="none" w:sz="0" w:space="0" w:color="auto"/>
        <w:left w:val="none" w:sz="0" w:space="0" w:color="auto"/>
        <w:bottom w:val="none" w:sz="0" w:space="0" w:color="auto"/>
        <w:right w:val="none" w:sz="0" w:space="0" w:color="auto"/>
      </w:divBdr>
    </w:div>
    <w:div w:id="1743604843">
      <w:bodyDiv w:val="1"/>
      <w:marLeft w:val="0"/>
      <w:marRight w:val="0"/>
      <w:marTop w:val="0"/>
      <w:marBottom w:val="0"/>
      <w:divBdr>
        <w:top w:val="none" w:sz="0" w:space="0" w:color="auto"/>
        <w:left w:val="none" w:sz="0" w:space="0" w:color="auto"/>
        <w:bottom w:val="none" w:sz="0" w:space="0" w:color="auto"/>
        <w:right w:val="none" w:sz="0" w:space="0" w:color="auto"/>
      </w:divBdr>
    </w:div>
    <w:div w:id="1743680132">
      <w:bodyDiv w:val="1"/>
      <w:marLeft w:val="0"/>
      <w:marRight w:val="0"/>
      <w:marTop w:val="0"/>
      <w:marBottom w:val="0"/>
      <w:divBdr>
        <w:top w:val="none" w:sz="0" w:space="0" w:color="auto"/>
        <w:left w:val="none" w:sz="0" w:space="0" w:color="auto"/>
        <w:bottom w:val="none" w:sz="0" w:space="0" w:color="auto"/>
        <w:right w:val="none" w:sz="0" w:space="0" w:color="auto"/>
      </w:divBdr>
    </w:div>
    <w:div w:id="1743720704">
      <w:bodyDiv w:val="1"/>
      <w:marLeft w:val="0"/>
      <w:marRight w:val="0"/>
      <w:marTop w:val="0"/>
      <w:marBottom w:val="0"/>
      <w:divBdr>
        <w:top w:val="none" w:sz="0" w:space="0" w:color="auto"/>
        <w:left w:val="none" w:sz="0" w:space="0" w:color="auto"/>
        <w:bottom w:val="none" w:sz="0" w:space="0" w:color="auto"/>
        <w:right w:val="none" w:sz="0" w:space="0" w:color="auto"/>
      </w:divBdr>
    </w:div>
    <w:div w:id="1743747485">
      <w:bodyDiv w:val="1"/>
      <w:marLeft w:val="0"/>
      <w:marRight w:val="0"/>
      <w:marTop w:val="0"/>
      <w:marBottom w:val="0"/>
      <w:divBdr>
        <w:top w:val="none" w:sz="0" w:space="0" w:color="auto"/>
        <w:left w:val="none" w:sz="0" w:space="0" w:color="auto"/>
        <w:bottom w:val="none" w:sz="0" w:space="0" w:color="auto"/>
        <w:right w:val="none" w:sz="0" w:space="0" w:color="auto"/>
      </w:divBdr>
    </w:div>
    <w:div w:id="1743790746">
      <w:bodyDiv w:val="1"/>
      <w:marLeft w:val="0"/>
      <w:marRight w:val="0"/>
      <w:marTop w:val="0"/>
      <w:marBottom w:val="0"/>
      <w:divBdr>
        <w:top w:val="none" w:sz="0" w:space="0" w:color="auto"/>
        <w:left w:val="none" w:sz="0" w:space="0" w:color="auto"/>
        <w:bottom w:val="none" w:sz="0" w:space="0" w:color="auto"/>
        <w:right w:val="none" w:sz="0" w:space="0" w:color="auto"/>
      </w:divBdr>
    </w:div>
    <w:div w:id="1743795879">
      <w:bodyDiv w:val="1"/>
      <w:marLeft w:val="0"/>
      <w:marRight w:val="0"/>
      <w:marTop w:val="0"/>
      <w:marBottom w:val="0"/>
      <w:divBdr>
        <w:top w:val="none" w:sz="0" w:space="0" w:color="auto"/>
        <w:left w:val="none" w:sz="0" w:space="0" w:color="auto"/>
        <w:bottom w:val="none" w:sz="0" w:space="0" w:color="auto"/>
        <w:right w:val="none" w:sz="0" w:space="0" w:color="auto"/>
      </w:divBdr>
    </w:div>
    <w:div w:id="1743796142">
      <w:bodyDiv w:val="1"/>
      <w:marLeft w:val="0"/>
      <w:marRight w:val="0"/>
      <w:marTop w:val="0"/>
      <w:marBottom w:val="0"/>
      <w:divBdr>
        <w:top w:val="none" w:sz="0" w:space="0" w:color="auto"/>
        <w:left w:val="none" w:sz="0" w:space="0" w:color="auto"/>
        <w:bottom w:val="none" w:sz="0" w:space="0" w:color="auto"/>
        <w:right w:val="none" w:sz="0" w:space="0" w:color="auto"/>
      </w:divBdr>
    </w:div>
    <w:div w:id="1743912988">
      <w:bodyDiv w:val="1"/>
      <w:marLeft w:val="0"/>
      <w:marRight w:val="0"/>
      <w:marTop w:val="0"/>
      <w:marBottom w:val="0"/>
      <w:divBdr>
        <w:top w:val="none" w:sz="0" w:space="0" w:color="auto"/>
        <w:left w:val="none" w:sz="0" w:space="0" w:color="auto"/>
        <w:bottom w:val="none" w:sz="0" w:space="0" w:color="auto"/>
        <w:right w:val="none" w:sz="0" w:space="0" w:color="auto"/>
      </w:divBdr>
    </w:div>
    <w:div w:id="1743987305">
      <w:bodyDiv w:val="1"/>
      <w:marLeft w:val="0"/>
      <w:marRight w:val="0"/>
      <w:marTop w:val="0"/>
      <w:marBottom w:val="0"/>
      <w:divBdr>
        <w:top w:val="none" w:sz="0" w:space="0" w:color="auto"/>
        <w:left w:val="none" w:sz="0" w:space="0" w:color="auto"/>
        <w:bottom w:val="none" w:sz="0" w:space="0" w:color="auto"/>
        <w:right w:val="none" w:sz="0" w:space="0" w:color="auto"/>
      </w:divBdr>
    </w:div>
    <w:div w:id="1743991013">
      <w:bodyDiv w:val="1"/>
      <w:marLeft w:val="0"/>
      <w:marRight w:val="0"/>
      <w:marTop w:val="0"/>
      <w:marBottom w:val="0"/>
      <w:divBdr>
        <w:top w:val="none" w:sz="0" w:space="0" w:color="auto"/>
        <w:left w:val="none" w:sz="0" w:space="0" w:color="auto"/>
        <w:bottom w:val="none" w:sz="0" w:space="0" w:color="auto"/>
        <w:right w:val="none" w:sz="0" w:space="0" w:color="auto"/>
      </w:divBdr>
    </w:div>
    <w:div w:id="1744334053">
      <w:bodyDiv w:val="1"/>
      <w:marLeft w:val="0"/>
      <w:marRight w:val="0"/>
      <w:marTop w:val="0"/>
      <w:marBottom w:val="0"/>
      <w:divBdr>
        <w:top w:val="none" w:sz="0" w:space="0" w:color="auto"/>
        <w:left w:val="none" w:sz="0" w:space="0" w:color="auto"/>
        <w:bottom w:val="none" w:sz="0" w:space="0" w:color="auto"/>
        <w:right w:val="none" w:sz="0" w:space="0" w:color="auto"/>
      </w:divBdr>
    </w:div>
    <w:div w:id="1744376564">
      <w:bodyDiv w:val="1"/>
      <w:marLeft w:val="0"/>
      <w:marRight w:val="0"/>
      <w:marTop w:val="0"/>
      <w:marBottom w:val="0"/>
      <w:divBdr>
        <w:top w:val="none" w:sz="0" w:space="0" w:color="auto"/>
        <w:left w:val="none" w:sz="0" w:space="0" w:color="auto"/>
        <w:bottom w:val="none" w:sz="0" w:space="0" w:color="auto"/>
        <w:right w:val="none" w:sz="0" w:space="0" w:color="auto"/>
      </w:divBdr>
    </w:div>
    <w:div w:id="1744377917">
      <w:bodyDiv w:val="1"/>
      <w:marLeft w:val="0"/>
      <w:marRight w:val="0"/>
      <w:marTop w:val="0"/>
      <w:marBottom w:val="0"/>
      <w:divBdr>
        <w:top w:val="none" w:sz="0" w:space="0" w:color="auto"/>
        <w:left w:val="none" w:sz="0" w:space="0" w:color="auto"/>
        <w:bottom w:val="none" w:sz="0" w:space="0" w:color="auto"/>
        <w:right w:val="none" w:sz="0" w:space="0" w:color="auto"/>
      </w:divBdr>
    </w:div>
    <w:div w:id="1744445980">
      <w:bodyDiv w:val="1"/>
      <w:marLeft w:val="0"/>
      <w:marRight w:val="0"/>
      <w:marTop w:val="0"/>
      <w:marBottom w:val="0"/>
      <w:divBdr>
        <w:top w:val="none" w:sz="0" w:space="0" w:color="auto"/>
        <w:left w:val="none" w:sz="0" w:space="0" w:color="auto"/>
        <w:bottom w:val="none" w:sz="0" w:space="0" w:color="auto"/>
        <w:right w:val="none" w:sz="0" w:space="0" w:color="auto"/>
      </w:divBdr>
    </w:div>
    <w:div w:id="1744527286">
      <w:bodyDiv w:val="1"/>
      <w:marLeft w:val="0"/>
      <w:marRight w:val="0"/>
      <w:marTop w:val="0"/>
      <w:marBottom w:val="0"/>
      <w:divBdr>
        <w:top w:val="none" w:sz="0" w:space="0" w:color="auto"/>
        <w:left w:val="none" w:sz="0" w:space="0" w:color="auto"/>
        <w:bottom w:val="none" w:sz="0" w:space="0" w:color="auto"/>
        <w:right w:val="none" w:sz="0" w:space="0" w:color="auto"/>
      </w:divBdr>
    </w:div>
    <w:div w:id="1744595436">
      <w:bodyDiv w:val="1"/>
      <w:marLeft w:val="0"/>
      <w:marRight w:val="0"/>
      <w:marTop w:val="0"/>
      <w:marBottom w:val="0"/>
      <w:divBdr>
        <w:top w:val="none" w:sz="0" w:space="0" w:color="auto"/>
        <w:left w:val="none" w:sz="0" w:space="0" w:color="auto"/>
        <w:bottom w:val="none" w:sz="0" w:space="0" w:color="auto"/>
        <w:right w:val="none" w:sz="0" w:space="0" w:color="auto"/>
      </w:divBdr>
    </w:div>
    <w:div w:id="1744647374">
      <w:bodyDiv w:val="1"/>
      <w:marLeft w:val="0"/>
      <w:marRight w:val="0"/>
      <w:marTop w:val="0"/>
      <w:marBottom w:val="0"/>
      <w:divBdr>
        <w:top w:val="none" w:sz="0" w:space="0" w:color="auto"/>
        <w:left w:val="none" w:sz="0" w:space="0" w:color="auto"/>
        <w:bottom w:val="none" w:sz="0" w:space="0" w:color="auto"/>
        <w:right w:val="none" w:sz="0" w:space="0" w:color="auto"/>
      </w:divBdr>
    </w:div>
    <w:div w:id="1744721247">
      <w:bodyDiv w:val="1"/>
      <w:marLeft w:val="0"/>
      <w:marRight w:val="0"/>
      <w:marTop w:val="0"/>
      <w:marBottom w:val="0"/>
      <w:divBdr>
        <w:top w:val="none" w:sz="0" w:space="0" w:color="auto"/>
        <w:left w:val="none" w:sz="0" w:space="0" w:color="auto"/>
        <w:bottom w:val="none" w:sz="0" w:space="0" w:color="auto"/>
        <w:right w:val="none" w:sz="0" w:space="0" w:color="auto"/>
      </w:divBdr>
    </w:div>
    <w:div w:id="1744722387">
      <w:bodyDiv w:val="1"/>
      <w:marLeft w:val="0"/>
      <w:marRight w:val="0"/>
      <w:marTop w:val="0"/>
      <w:marBottom w:val="0"/>
      <w:divBdr>
        <w:top w:val="none" w:sz="0" w:space="0" w:color="auto"/>
        <w:left w:val="none" w:sz="0" w:space="0" w:color="auto"/>
        <w:bottom w:val="none" w:sz="0" w:space="0" w:color="auto"/>
        <w:right w:val="none" w:sz="0" w:space="0" w:color="auto"/>
      </w:divBdr>
    </w:div>
    <w:div w:id="1744791865">
      <w:bodyDiv w:val="1"/>
      <w:marLeft w:val="0"/>
      <w:marRight w:val="0"/>
      <w:marTop w:val="0"/>
      <w:marBottom w:val="0"/>
      <w:divBdr>
        <w:top w:val="none" w:sz="0" w:space="0" w:color="auto"/>
        <w:left w:val="none" w:sz="0" w:space="0" w:color="auto"/>
        <w:bottom w:val="none" w:sz="0" w:space="0" w:color="auto"/>
        <w:right w:val="none" w:sz="0" w:space="0" w:color="auto"/>
      </w:divBdr>
    </w:div>
    <w:div w:id="1744833486">
      <w:bodyDiv w:val="1"/>
      <w:marLeft w:val="0"/>
      <w:marRight w:val="0"/>
      <w:marTop w:val="0"/>
      <w:marBottom w:val="0"/>
      <w:divBdr>
        <w:top w:val="none" w:sz="0" w:space="0" w:color="auto"/>
        <w:left w:val="none" w:sz="0" w:space="0" w:color="auto"/>
        <w:bottom w:val="none" w:sz="0" w:space="0" w:color="auto"/>
        <w:right w:val="none" w:sz="0" w:space="0" w:color="auto"/>
      </w:divBdr>
    </w:div>
    <w:div w:id="1744909409">
      <w:bodyDiv w:val="1"/>
      <w:marLeft w:val="0"/>
      <w:marRight w:val="0"/>
      <w:marTop w:val="0"/>
      <w:marBottom w:val="0"/>
      <w:divBdr>
        <w:top w:val="none" w:sz="0" w:space="0" w:color="auto"/>
        <w:left w:val="none" w:sz="0" w:space="0" w:color="auto"/>
        <w:bottom w:val="none" w:sz="0" w:space="0" w:color="auto"/>
        <w:right w:val="none" w:sz="0" w:space="0" w:color="auto"/>
      </w:divBdr>
    </w:div>
    <w:div w:id="1744910893">
      <w:bodyDiv w:val="1"/>
      <w:marLeft w:val="0"/>
      <w:marRight w:val="0"/>
      <w:marTop w:val="0"/>
      <w:marBottom w:val="0"/>
      <w:divBdr>
        <w:top w:val="none" w:sz="0" w:space="0" w:color="auto"/>
        <w:left w:val="none" w:sz="0" w:space="0" w:color="auto"/>
        <w:bottom w:val="none" w:sz="0" w:space="0" w:color="auto"/>
        <w:right w:val="none" w:sz="0" w:space="0" w:color="auto"/>
      </w:divBdr>
    </w:div>
    <w:div w:id="1744982811">
      <w:bodyDiv w:val="1"/>
      <w:marLeft w:val="0"/>
      <w:marRight w:val="0"/>
      <w:marTop w:val="0"/>
      <w:marBottom w:val="0"/>
      <w:divBdr>
        <w:top w:val="none" w:sz="0" w:space="0" w:color="auto"/>
        <w:left w:val="none" w:sz="0" w:space="0" w:color="auto"/>
        <w:bottom w:val="none" w:sz="0" w:space="0" w:color="auto"/>
        <w:right w:val="none" w:sz="0" w:space="0" w:color="auto"/>
      </w:divBdr>
    </w:div>
    <w:div w:id="1744989656">
      <w:bodyDiv w:val="1"/>
      <w:marLeft w:val="0"/>
      <w:marRight w:val="0"/>
      <w:marTop w:val="0"/>
      <w:marBottom w:val="0"/>
      <w:divBdr>
        <w:top w:val="none" w:sz="0" w:space="0" w:color="auto"/>
        <w:left w:val="none" w:sz="0" w:space="0" w:color="auto"/>
        <w:bottom w:val="none" w:sz="0" w:space="0" w:color="auto"/>
        <w:right w:val="none" w:sz="0" w:space="0" w:color="auto"/>
      </w:divBdr>
    </w:div>
    <w:div w:id="1745031354">
      <w:bodyDiv w:val="1"/>
      <w:marLeft w:val="0"/>
      <w:marRight w:val="0"/>
      <w:marTop w:val="0"/>
      <w:marBottom w:val="0"/>
      <w:divBdr>
        <w:top w:val="none" w:sz="0" w:space="0" w:color="auto"/>
        <w:left w:val="none" w:sz="0" w:space="0" w:color="auto"/>
        <w:bottom w:val="none" w:sz="0" w:space="0" w:color="auto"/>
        <w:right w:val="none" w:sz="0" w:space="0" w:color="auto"/>
      </w:divBdr>
    </w:div>
    <w:div w:id="1745105227">
      <w:bodyDiv w:val="1"/>
      <w:marLeft w:val="0"/>
      <w:marRight w:val="0"/>
      <w:marTop w:val="0"/>
      <w:marBottom w:val="0"/>
      <w:divBdr>
        <w:top w:val="none" w:sz="0" w:space="0" w:color="auto"/>
        <w:left w:val="none" w:sz="0" w:space="0" w:color="auto"/>
        <w:bottom w:val="none" w:sz="0" w:space="0" w:color="auto"/>
        <w:right w:val="none" w:sz="0" w:space="0" w:color="auto"/>
      </w:divBdr>
    </w:div>
    <w:div w:id="1745106209">
      <w:bodyDiv w:val="1"/>
      <w:marLeft w:val="0"/>
      <w:marRight w:val="0"/>
      <w:marTop w:val="0"/>
      <w:marBottom w:val="0"/>
      <w:divBdr>
        <w:top w:val="none" w:sz="0" w:space="0" w:color="auto"/>
        <w:left w:val="none" w:sz="0" w:space="0" w:color="auto"/>
        <w:bottom w:val="none" w:sz="0" w:space="0" w:color="auto"/>
        <w:right w:val="none" w:sz="0" w:space="0" w:color="auto"/>
      </w:divBdr>
    </w:div>
    <w:div w:id="1745182519">
      <w:bodyDiv w:val="1"/>
      <w:marLeft w:val="0"/>
      <w:marRight w:val="0"/>
      <w:marTop w:val="0"/>
      <w:marBottom w:val="0"/>
      <w:divBdr>
        <w:top w:val="none" w:sz="0" w:space="0" w:color="auto"/>
        <w:left w:val="none" w:sz="0" w:space="0" w:color="auto"/>
        <w:bottom w:val="none" w:sz="0" w:space="0" w:color="auto"/>
        <w:right w:val="none" w:sz="0" w:space="0" w:color="auto"/>
      </w:divBdr>
    </w:div>
    <w:div w:id="1745296435">
      <w:bodyDiv w:val="1"/>
      <w:marLeft w:val="0"/>
      <w:marRight w:val="0"/>
      <w:marTop w:val="0"/>
      <w:marBottom w:val="0"/>
      <w:divBdr>
        <w:top w:val="none" w:sz="0" w:space="0" w:color="auto"/>
        <w:left w:val="none" w:sz="0" w:space="0" w:color="auto"/>
        <w:bottom w:val="none" w:sz="0" w:space="0" w:color="auto"/>
        <w:right w:val="none" w:sz="0" w:space="0" w:color="auto"/>
      </w:divBdr>
    </w:div>
    <w:div w:id="1745299959">
      <w:bodyDiv w:val="1"/>
      <w:marLeft w:val="0"/>
      <w:marRight w:val="0"/>
      <w:marTop w:val="0"/>
      <w:marBottom w:val="0"/>
      <w:divBdr>
        <w:top w:val="none" w:sz="0" w:space="0" w:color="auto"/>
        <w:left w:val="none" w:sz="0" w:space="0" w:color="auto"/>
        <w:bottom w:val="none" w:sz="0" w:space="0" w:color="auto"/>
        <w:right w:val="none" w:sz="0" w:space="0" w:color="auto"/>
      </w:divBdr>
    </w:div>
    <w:div w:id="1745494514">
      <w:bodyDiv w:val="1"/>
      <w:marLeft w:val="0"/>
      <w:marRight w:val="0"/>
      <w:marTop w:val="0"/>
      <w:marBottom w:val="0"/>
      <w:divBdr>
        <w:top w:val="none" w:sz="0" w:space="0" w:color="auto"/>
        <w:left w:val="none" w:sz="0" w:space="0" w:color="auto"/>
        <w:bottom w:val="none" w:sz="0" w:space="0" w:color="auto"/>
        <w:right w:val="none" w:sz="0" w:space="0" w:color="auto"/>
      </w:divBdr>
    </w:div>
    <w:div w:id="1745562841">
      <w:bodyDiv w:val="1"/>
      <w:marLeft w:val="0"/>
      <w:marRight w:val="0"/>
      <w:marTop w:val="0"/>
      <w:marBottom w:val="0"/>
      <w:divBdr>
        <w:top w:val="none" w:sz="0" w:space="0" w:color="auto"/>
        <w:left w:val="none" w:sz="0" w:space="0" w:color="auto"/>
        <w:bottom w:val="none" w:sz="0" w:space="0" w:color="auto"/>
        <w:right w:val="none" w:sz="0" w:space="0" w:color="auto"/>
      </w:divBdr>
    </w:div>
    <w:div w:id="1745838615">
      <w:bodyDiv w:val="1"/>
      <w:marLeft w:val="0"/>
      <w:marRight w:val="0"/>
      <w:marTop w:val="0"/>
      <w:marBottom w:val="0"/>
      <w:divBdr>
        <w:top w:val="none" w:sz="0" w:space="0" w:color="auto"/>
        <w:left w:val="none" w:sz="0" w:space="0" w:color="auto"/>
        <w:bottom w:val="none" w:sz="0" w:space="0" w:color="auto"/>
        <w:right w:val="none" w:sz="0" w:space="0" w:color="auto"/>
      </w:divBdr>
    </w:div>
    <w:div w:id="1746029611">
      <w:bodyDiv w:val="1"/>
      <w:marLeft w:val="0"/>
      <w:marRight w:val="0"/>
      <w:marTop w:val="0"/>
      <w:marBottom w:val="0"/>
      <w:divBdr>
        <w:top w:val="none" w:sz="0" w:space="0" w:color="auto"/>
        <w:left w:val="none" w:sz="0" w:space="0" w:color="auto"/>
        <w:bottom w:val="none" w:sz="0" w:space="0" w:color="auto"/>
        <w:right w:val="none" w:sz="0" w:space="0" w:color="auto"/>
      </w:divBdr>
    </w:div>
    <w:div w:id="1746143091">
      <w:bodyDiv w:val="1"/>
      <w:marLeft w:val="0"/>
      <w:marRight w:val="0"/>
      <w:marTop w:val="0"/>
      <w:marBottom w:val="0"/>
      <w:divBdr>
        <w:top w:val="none" w:sz="0" w:space="0" w:color="auto"/>
        <w:left w:val="none" w:sz="0" w:space="0" w:color="auto"/>
        <w:bottom w:val="none" w:sz="0" w:space="0" w:color="auto"/>
        <w:right w:val="none" w:sz="0" w:space="0" w:color="auto"/>
      </w:divBdr>
    </w:div>
    <w:div w:id="1746221574">
      <w:bodyDiv w:val="1"/>
      <w:marLeft w:val="0"/>
      <w:marRight w:val="0"/>
      <w:marTop w:val="0"/>
      <w:marBottom w:val="0"/>
      <w:divBdr>
        <w:top w:val="none" w:sz="0" w:space="0" w:color="auto"/>
        <w:left w:val="none" w:sz="0" w:space="0" w:color="auto"/>
        <w:bottom w:val="none" w:sz="0" w:space="0" w:color="auto"/>
        <w:right w:val="none" w:sz="0" w:space="0" w:color="auto"/>
      </w:divBdr>
    </w:div>
    <w:div w:id="1746343685">
      <w:bodyDiv w:val="1"/>
      <w:marLeft w:val="0"/>
      <w:marRight w:val="0"/>
      <w:marTop w:val="0"/>
      <w:marBottom w:val="0"/>
      <w:divBdr>
        <w:top w:val="none" w:sz="0" w:space="0" w:color="auto"/>
        <w:left w:val="none" w:sz="0" w:space="0" w:color="auto"/>
        <w:bottom w:val="none" w:sz="0" w:space="0" w:color="auto"/>
        <w:right w:val="none" w:sz="0" w:space="0" w:color="auto"/>
      </w:divBdr>
    </w:div>
    <w:div w:id="1746344267">
      <w:bodyDiv w:val="1"/>
      <w:marLeft w:val="0"/>
      <w:marRight w:val="0"/>
      <w:marTop w:val="0"/>
      <w:marBottom w:val="0"/>
      <w:divBdr>
        <w:top w:val="none" w:sz="0" w:space="0" w:color="auto"/>
        <w:left w:val="none" w:sz="0" w:space="0" w:color="auto"/>
        <w:bottom w:val="none" w:sz="0" w:space="0" w:color="auto"/>
        <w:right w:val="none" w:sz="0" w:space="0" w:color="auto"/>
      </w:divBdr>
    </w:div>
    <w:div w:id="1746492401">
      <w:bodyDiv w:val="1"/>
      <w:marLeft w:val="0"/>
      <w:marRight w:val="0"/>
      <w:marTop w:val="0"/>
      <w:marBottom w:val="0"/>
      <w:divBdr>
        <w:top w:val="none" w:sz="0" w:space="0" w:color="auto"/>
        <w:left w:val="none" w:sz="0" w:space="0" w:color="auto"/>
        <w:bottom w:val="none" w:sz="0" w:space="0" w:color="auto"/>
        <w:right w:val="none" w:sz="0" w:space="0" w:color="auto"/>
      </w:divBdr>
    </w:div>
    <w:div w:id="1746493591">
      <w:bodyDiv w:val="1"/>
      <w:marLeft w:val="0"/>
      <w:marRight w:val="0"/>
      <w:marTop w:val="0"/>
      <w:marBottom w:val="0"/>
      <w:divBdr>
        <w:top w:val="none" w:sz="0" w:space="0" w:color="auto"/>
        <w:left w:val="none" w:sz="0" w:space="0" w:color="auto"/>
        <w:bottom w:val="none" w:sz="0" w:space="0" w:color="auto"/>
        <w:right w:val="none" w:sz="0" w:space="0" w:color="auto"/>
      </w:divBdr>
    </w:div>
    <w:div w:id="1746679824">
      <w:bodyDiv w:val="1"/>
      <w:marLeft w:val="0"/>
      <w:marRight w:val="0"/>
      <w:marTop w:val="0"/>
      <w:marBottom w:val="0"/>
      <w:divBdr>
        <w:top w:val="none" w:sz="0" w:space="0" w:color="auto"/>
        <w:left w:val="none" w:sz="0" w:space="0" w:color="auto"/>
        <w:bottom w:val="none" w:sz="0" w:space="0" w:color="auto"/>
        <w:right w:val="none" w:sz="0" w:space="0" w:color="auto"/>
      </w:divBdr>
    </w:div>
    <w:div w:id="1746679911">
      <w:bodyDiv w:val="1"/>
      <w:marLeft w:val="0"/>
      <w:marRight w:val="0"/>
      <w:marTop w:val="0"/>
      <w:marBottom w:val="0"/>
      <w:divBdr>
        <w:top w:val="none" w:sz="0" w:space="0" w:color="auto"/>
        <w:left w:val="none" w:sz="0" w:space="0" w:color="auto"/>
        <w:bottom w:val="none" w:sz="0" w:space="0" w:color="auto"/>
        <w:right w:val="none" w:sz="0" w:space="0" w:color="auto"/>
      </w:divBdr>
    </w:div>
    <w:div w:id="1746686464">
      <w:bodyDiv w:val="1"/>
      <w:marLeft w:val="0"/>
      <w:marRight w:val="0"/>
      <w:marTop w:val="0"/>
      <w:marBottom w:val="0"/>
      <w:divBdr>
        <w:top w:val="none" w:sz="0" w:space="0" w:color="auto"/>
        <w:left w:val="none" w:sz="0" w:space="0" w:color="auto"/>
        <w:bottom w:val="none" w:sz="0" w:space="0" w:color="auto"/>
        <w:right w:val="none" w:sz="0" w:space="0" w:color="auto"/>
      </w:divBdr>
    </w:div>
    <w:div w:id="1746758282">
      <w:bodyDiv w:val="1"/>
      <w:marLeft w:val="0"/>
      <w:marRight w:val="0"/>
      <w:marTop w:val="0"/>
      <w:marBottom w:val="0"/>
      <w:divBdr>
        <w:top w:val="none" w:sz="0" w:space="0" w:color="auto"/>
        <w:left w:val="none" w:sz="0" w:space="0" w:color="auto"/>
        <w:bottom w:val="none" w:sz="0" w:space="0" w:color="auto"/>
        <w:right w:val="none" w:sz="0" w:space="0" w:color="auto"/>
      </w:divBdr>
    </w:div>
    <w:div w:id="1746800971">
      <w:bodyDiv w:val="1"/>
      <w:marLeft w:val="0"/>
      <w:marRight w:val="0"/>
      <w:marTop w:val="0"/>
      <w:marBottom w:val="0"/>
      <w:divBdr>
        <w:top w:val="none" w:sz="0" w:space="0" w:color="auto"/>
        <w:left w:val="none" w:sz="0" w:space="0" w:color="auto"/>
        <w:bottom w:val="none" w:sz="0" w:space="0" w:color="auto"/>
        <w:right w:val="none" w:sz="0" w:space="0" w:color="auto"/>
      </w:divBdr>
    </w:div>
    <w:div w:id="1746872831">
      <w:bodyDiv w:val="1"/>
      <w:marLeft w:val="0"/>
      <w:marRight w:val="0"/>
      <w:marTop w:val="0"/>
      <w:marBottom w:val="0"/>
      <w:divBdr>
        <w:top w:val="none" w:sz="0" w:space="0" w:color="auto"/>
        <w:left w:val="none" w:sz="0" w:space="0" w:color="auto"/>
        <w:bottom w:val="none" w:sz="0" w:space="0" w:color="auto"/>
        <w:right w:val="none" w:sz="0" w:space="0" w:color="auto"/>
      </w:divBdr>
    </w:div>
    <w:div w:id="1746873028">
      <w:bodyDiv w:val="1"/>
      <w:marLeft w:val="0"/>
      <w:marRight w:val="0"/>
      <w:marTop w:val="0"/>
      <w:marBottom w:val="0"/>
      <w:divBdr>
        <w:top w:val="none" w:sz="0" w:space="0" w:color="auto"/>
        <w:left w:val="none" w:sz="0" w:space="0" w:color="auto"/>
        <w:bottom w:val="none" w:sz="0" w:space="0" w:color="auto"/>
        <w:right w:val="none" w:sz="0" w:space="0" w:color="auto"/>
      </w:divBdr>
    </w:div>
    <w:div w:id="1746875612">
      <w:bodyDiv w:val="1"/>
      <w:marLeft w:val="0"/>
      <w:marRight w:val="0"/>
      <w:marTop w:val="0"/>
      <w:marBottom w:val="0"/>
      <w:divBdr>
        <w:top w:val="none" w:sz="0" w:space="0" w:color="auto"/>
        <w:left w:val="none" w:sz="0" w:space="0" w:color="auto"/>
        <w:bottom w:val="none" w:sz="0" w:space="0" w:color="auto"/>
        <w:right w:val="none" w:sz="0" w:space="0" w:color="auto"/>
      </w:divBdr>
    </w:div>
    <w:div w:id="1746881212">
      <w:bodyDiv w:val="1"/>
      <w:marLeft w:val="0"/>
      <w:marRight w:val="0"/>
      <w:marTop w:val="0"/>
      <w:marBottom w:val="0"/>
      <w:divBdr>
        <w:top w:val="none" w:sz="0" w:space="0" w:color="auto"/>
        <w:left w:val="none" w:sz="0" w:space="0" w:color="auto"/>
        <w:bottom w:val="none" w:sz="0" w:space="0" w:color="auto"/>
        <w:right w:val="none" w:sz="0" w:space="0" w:color="auto"/>
      </w:divBdr>
    </w:div>
    <w:div w:id="1746950067">
      <w:bodyDiv w:val="1"/>
      <w:marLeft w:val="0"/>
      <w:marRight w:val="0"/>
      <w:marTop w:val="0"/>
      <w:marBottom w:val="0"/>
      <w:divBdr>
        <w:top w:val="none" w:sz="0" w:space="0" w:color="auto"/>
        <w:left w:val="none" w:sz="0" w:space="0" w:color="auto"/>
        <w:bottom w:val="none" w:sz="0" w:space="0" w:color="auto"/>
        <w:right w:val="none" w:sz="0" w:space="0" w:color="auto"/>
      </w:divBdr>
    </w:div>
    <w:div w:id="1747023941">
      <w:bodyDiv w:val="1"/>
      <w:marLeft w:val="0"/>
      <w:marRight w:val="0"/>
      <w:marTop w:val="0"/>
      <w:marBottom w:val="0"/>
      <w:divBdr>
        <w:top w:val="none" w:sz="0" w:space="0" w:color="auto"/>
        <w:left w:val="none" w:sz="0" w:space="0" w:color="auto"/>
        <w:bottom w:val="none" w:sz="0" w:space="0" w:color="auto"/>
        <w:right w:val="none" w:sz="0" w:space="0" w:color="auto"/>
      </w:divBdr>
    </w:div>
    <w:div w:id="1747066955">
      <w:bodyDiv w:val="1"/>
      <w:marLeft w:val="0"/>
      <w:marRight w:val="0"/>
      <w:marTop w:val="0"/>
      <w:marBottom w:val="0"/>
      <w:divBdr>
        <w:top w:val="none" w:sz="0" w:space="0" w:color="auto"/>
        <w:left w:val="none" w:sz="0" w:space="0" w:color="auto"/>
        <w:bottom w:val="none" w:sz="0" w:space="0" w:color="auto"/>
        <w:right w:val="none" w:sz="0" w:space="0" w:color="auto"/>
      </w:divBdr>
    </w:div>
    <w:div w:id="1747070682">
      <w:bodyDiv w:val="1"/>
      <w:marLeft w:val="0"/>
      <w:marRight w:val="0"/>
      <w:marTop w:val="0"/>
      <w:marBottom w:val="0"/>
      <w:divBdr>
        <w:top w:val="none" w:sz="0" w:space="0" w:color="auto"/>
        <w:left w:val="none" w:sz="0" w:space="0" w:color="auto"/>
        <w:bottom w:val="none" w:sz="0" w:space="0" w:color="auto"/>
        <w:right w:val="none" w:sz="0" w:space="0" w:color="auto"/>
      </w:divBdr>
    </w:div>
    <w:div w:id="1747147629">
      <w:bodyDiv w:val="1"/>
      <w:marLeft w:val="0"/>
      <w:marRight w:val="0"/>
      <w:marTop w:val="0"/>
      <w:marBottom w:val="0"/>
      <w:divBdr>
        <w:top w:val="none" w:sz="0" w:space="0" w:color="auto"/>
        <w:left w:val="none" w:sz="0" w:space="0" w:color="auto"/>
        <w:bottom w:val="none" w:sz="0" w:space="0" w:color="auto"/>
        <w:right w:val="none" w:sz="0" w:space="0" w:color="auto"/>
      </w:divBdr>
    </w:div>
    <w:div w:id="1747217738">
      <w:bodyDiv w:val="1"/>
      <w:marLeft w:val="0"/>
      <w:marRight w:val="0"/>
      <w:marTop w:val="0"/>
      <w:marBottom w:val="0"/>
      <w:divBdr>
        <w:top w:val="none" w:sz="0" w:space="0" w:color="auto"/>
        <w:left w:val="none" w:sz="0" w:space="0" w:color="auto"/>
        <w:bottom w:val="none" w:sz="0" w:space="0" w:color="auto"/>
        <w:right w:val="none" w:sz="0" w:space="0" w:color="auto"/>
      </w:divBdr>
    </w:div>
    <w:div w:id="1747263582">
      <w:bodyDiv w:val="1"/>
      <w:marLeft w:val="0"/>
      <w:marRight w:val="0"/>
      <w:marTop w:val="0"/>
      <w:marBottom w:val="0"/>
      <w:divBdr>
        <w:top w:val="none" w:sz="0" w:space="0" w:color="auto"/>
        <w:left w:val="none" w:sz="0" w:space="0" w:color="auto"/>
        <w:bottom w:val="none" w:sz="0" w:space="0" w:color="auto"/>
        <w:right w:val="none" w:sz="0" w:space="0" w:color="auto"/>
      </w:divBdr>
    </w:div>
    <w:div w:id="1747342157">
      <w:bodyDiv w:val="1"/>
      <w:marLeft w:val="0"/>
      <w:marRight w:val="0"/>
      <w:marTop w:val="0"/>
      <w:marBottom w:val="0"/>
      <w:divBdr>
        <w:top w:val="none" w:sz="0" w:space="0" w:color="auto"/>
        <w:left w:val="none" w:sz="0" w:space="0" w:color="auto"/>
        <w:bottom w:val="none" w:sz="0" w:space="0" w:color="auto"/>
        <w:right w:val="none" w:sz="0" w:space="0" w:color="auto"/>
      </w:divBdr>
    </w:div>
    <w:div w:id="1747612625">
      <w:bodyDiv w:val="1"/>
      <w:marLeft w:val="0"/>
      <w:marRight w:val="0"/>
      <w:marTop w:val="0"/>
      <w:marBottom w:val="0"/>
      <w:divBdr>
        <w:top w:val="none" w:sz="0" w:space="0" w:color="auto"/>
        <w:left w:val="none" w:sz="0" w:space="0" w:color="auto"/>
        <w:bottom w:val="none" w:sz="0" w:space="0" w:color="auto"/>
        <w:right w:val="none" w:sz="0" w:space="0" w:color="auto"/>
      </w:divBdr>
    </w:div>
    <w:div w:id="1747727800">
      <w:bodyDiv w:val="1"/>
      <w:marLeft w:val="0"/>
      <w:marRight w:val="0"/>
      <w:marTop w:val="0"/>
      <w:marBottom w:val="0"/>
      <w:divBdr>
        <w:top w:val="none" w:sz="0" w:space="0" w:color="auto"/>
        <w:left w:val="none" w:sz="0" w:space="0" w:color="auto"/>
        <w:bottom w:val="none" w:sz="0" w:space="0" w:color="auto"/>
        <w:right w:val="none" w:sz="0" w:space="0" w:color="auto"/>
      </w:divBdr>
    </w:div>
    <w:div w:id="1747990180">
      <w:bodyDiv w:val="1"/>
      <w:marLeft w:val="0"/>
      <w:marRight w:val="0"/>
      <w:marTop w:val="0"/>
      <w:marBottom w:val="0"/>
      <w:divBdr>
        <w:top w:val="none" w:sz="0" w:space="0" w:color="auto"/>
        <w:left w:val="none" w:sz="0" w:space="0" w:color="auto"/>
        <w:bottom w:val="none" w:sz="0" w:space="0" w:color="auto"/>
        <w:right w:val="none" w:sz="0" w:space="0" w:color="auto"/>
      </w:divBdr>
    </w:div>
    <w:div w:id="1747996268">
      <w:bodyDiv w:val="1"/>
      <w:marLeft w:val="0"/>
      <w:marRight w:val="0"/>
      <w:marTop w:val="0"/>
      <w:marBottom w:val="0"/>
      <w:divBdr>
        <w:top w:val="none" w:sz="0" w:space="0" w:color="auto"/>
        <w:left w:val="none" w:sz="0" w:space="0" w:color="auto"/>
        <w:bottom w:val="none" w:sz="0" w:space="0" w:color="auto"/>
        <w:right w:val="none" w:sz="0" w:space="0" w:color="auto"/>
      </w:divBdr>
    </w:div>
    <w:div w:id="1747996732">
      <w:bodyDiv w:val="1"/>
      <w:marLeft w:val="0"/>
      <w:marRight w:val="0"/>
      <w:marTop w:val="0"/>
      <w:marBottom w:val="0"/>
      <w:divBdr>
        <w:top w:val="none" w:sz="0" w:space="0" w:color="auto"/>
        <w:left w:val="none" w:sz="0" w:space="0" w:color="auto"/>
        <w:bottom w:val="none" w:sz="0" w:space="0" w:color="auto"/>
        <w:right w:val="none" w:sz="0" w:space="0" w:color="auto"/>
      </w:divBdr>
    </w:div>
    <w:div w:id="1748041782">
      <w:bodyDiv w:val="1"/>
      <w:marLeft w:val="0"/>
      <w:marRight w:val="0"/>
      <w:marTop w:val="0"/>
      <w:marBottom w:val="0"/>
      <w:divBdr>
        <w:top w:val="none" w:sz="0" w:space="0" w:color="auto"/>
        <w:left w:val="none" w:sz="0" w:space="0" w:color="auto"/>
        <w:bottom w:val="none" w:sz="0" w:space="0" w:color="auto"/>
        <w:right w:val="none" w:sz="0" w:space="0" w:color="auto"/>
      </w:divBdr>
    </w:div>
    <w:div w:id="1748067624">
      <w:bodyDiv w:val="1"/>
      <w:marLeft w:val="0"/>
      <w:marRight w:val="0"/>
      <w:marTop w:val="0"/>
      <w:marBottom w:val="0"/>
      <w:divBdr>
        <w:top w:val="none" w:sz="0" w:space="0" w:color="auto"/>
        <w:left w:val="none" w:sz="0" w:space="0" w:color="auto"/>
        <w:bottom w:val="none" w:sz="0" w:space="0" w:color="auto"/>
        <w:right w:val="none" w:sz="0" w:space="0" w:color="auto"/>
      </w:divBdr>
    </w:div>
    <w:div w:id="1748184504">
      <w:bodyDiv w:val="1"/>
      <w:marLeft w:val="0"/>
      <w:marRight w:val="0"/>
      <w:marTop w:val="0"/>
      <w:marBottom w:val="0"/>
      <w:divBdr>
        <w:top w:val="none" w:sz="0" w:space="0" w:color="auto"/>
        <w:left w:val="none" w:sz="0" w:space="0" w:color="auto"/>
        <w:bottom w:val="none" w:sz="0" w:space="0" w:color="auto"/>
        <w:right w:val="none" w:sz="0" w:space="0" w:color="auto"/>
      </w:divBdr>
    </w:div>
    <w:div w:id="1748265188">
      <w:bodyDiv w:val="1"/>
      <w:marLeft w:val="0"/>
      <w:marRight w:val="0"/>
      <w:marTop w:val="0"/>
      <w:marBottom w:val="0"/>
      <w:divBdr>
        <w:top w:val="none" w:sz="0" w:space="0" w:color="auto"/>
        <w:left w:val="none" w:sz="0" w:space="0" w:color="auto"/>
        <w:bottom w:val="none" w:sz="0" w:space="0" w:color="auto"/>
        <w:right w:val="none" w:sz="0" w:space="0" w:color="auto"/>
      </w:divBdr>
    </w:div>
    <w:div w:id="1748335796">
      <w:bodyDiv w:val="1"/>
      <w:marLeft w:val="0"/>
      <w:marRight w:val="0"/>
      <w:marTop w:val="0"/>
      <w:marBottom w:val="0"/>
      <w:divBdr>
        <w:top w:val="none" w:sz="0" w:space="0" w:color="auto"/>
        <w:left w:val="none" w:sz="0" w:space="0" w:color="auto"/>
        <w:bottom w:val="none" w:sz="0" w:space="0" w:color="auto"/>
        <w:right w:val="none" w:sz="0" w:space="0" w:color="auto"/>
      </w:divBdr>
    </w:div>
    <w:div w:id="1748376978">
      <w:bodyDiv w:val="1"/>
      <w:marLeft w:val="0"/>
      <w:marRight w:val="0"/>
      <w:marTop w:val="0"/>
      <w:marBottom w:val="0"/>
      <w:divBdr>
        <w:top w:val="none" w:sz="0" w:space="0" w:color="auto"/>
        <w:left w:val="none" w:sz="0" w:space="0" w:color="auto"/>
        <w:bottom w:val="none" w:sz="0" w:space="0" w:color="auto"/>
        <w:right w:val="none" w:sz="0" w:space="0" w:color="auto"/>
      </w:divBdr>
    </w:div>
    <w:div w:id="1748380178">
      <w:bodyDiv w:val="1"/>
      <w:marLeft w:val="0"/>
      <w:marRight w:val="0"/>
      <w:marTop w:val="0"/>
      <w:marBottom w:val="0"/>
      <w:divBdr>
        <w:top w:val="none" w:sz="0" w:space="0" w:color="auto"/>
        <w:left w:val="none" w:sz="0" w:space="0" w:color="auto"/>
        <w:bottom w:val="none" w:sz="0" w:space="0" w:color="auto"/>
        <w:right w:val="none" w:sz="0" w:space="0" w:color="auto"/>
      </w:divBdr>
    </w:div>
    <w:div w:id="1748648383">
      <w:bodyDiv w:val="1"/>
      <w:marLeft w:val="0"/>
      <w:marRight w:val="0"/>
      <w:marTop w:val="0"/>
      <w:marBottom w:val="0"/>
      <w:divBdr>
        <w:top w:val="none" w:sz="0" w:space="0" w:color="auto"/>
        <w:left w:val="none" w:sz="0" w:space="0" w:color="auto"/>
        <w:bottom w:val="none" w:sz="0" w:space="0" w:color="auto"/>
        <w:right w:val="none" w:sz="0" w:space="0" w:color="auto"/>
      </w:divBdr>
    </w:div>
    <w:div w:id="1748845346">
      <w:bodyDiv w:val="1"/>
      <w:marLeft w:val="0"/>
      <w:marRight w:val="0"/>
      <w:marTop w:val="0"/>
      <w:marBottom w:val="0"/>
      <w:divBdr>
        <w:top w:val="none" w:sz="0" w:space="0" w:color="auto"/>
        <w:left w:val="none" w:sz="0" w:space="0" w:color="auto"/>
        <w:bottom w:val="none" w:sz="0" w:space="0" w:color="auto"/>
        <w:right w:val="none" w:sz="0" w:space="0" w:color="auto"/>
      </w:divBdr>
    </w:div>
    <w:div w:id="1748990545">
      <w:bodyDiv w:val="1"/>
      <w:marLeft w:val="0"/>
      <w:marRight w:val="0"/>
      <w:marTop w:val="0"/>
      <w:marBottom w:val="0"/>
      <w:divBdr>
        <w:top w:val="none" w:sz="0" w:space="0" w:color="auto"/>
        <w:left w:val="none" w:sz="0" w:space="0" w:color="auto"/>
        <w:bottom w:val="none" w:sz="0" w:space="0" w:color="auto"/>
        <w:right w:val="none" w:sz="0" w:space="0" w:color="auto"/>
      </w:divBdr>
    </w:div>
    <w:div w:id="1749034218">
      <w:bodyDiv w:val="1"/>
      <w:marLeft w:val="0"/>
      <w:marRight w:val="0"/>
      <w:marTop w:val="0"/>
      <w:marBottom w:val="0"/>
      <w:divBdr>
        <w:top w:val="none" w:sz="0" w:space="0" w:color="auto"/>
        <w:left w:val="none" w:sz="0" w:space="0" w:color="auto"/>
        <w:bottom w:val="none" w:sz="0" w:space="0" w:color="auto"/>
        <w:right w:val="none" w:sz="0" w:space="0" w:color="auto"/>
      </w:divBdr>
    </w:div>
    <w:div w:id="1749185167">
      <w:bodyDiv w:val="1"/>
      <w:marLeft w:val="0"/>
      <w:marRight w:val="0"/>
      <w:marTop w:val="0"/>
      <w:marBottom w:val="0"/>
      <w:divBdr>
        <w:top w:val="none" w:sz="0" w:space="0" w:color="auto"/>
        <w:left w:val="none" w:sz="0" w:space="0" w:color="auto"/>
        <w:bottom w:val="none" w:sz="0" w:space="0" w:color="auto"/>
        <w:right w:val="none" w:sz="0" w:space="0" w:color="auto"/>
      </w:divBdr>
    </w:div>
    <w:div w:id="1749231955">
      <w:bodyDiv w:val="1"/>
      <w:marLeft w:val="0"/>
      <w:marRight w:val="0"/>
      <w:marTop w:val="0"/>
      <w:marBottom w:val="0"/>
      <w:divBdr>
        <w:top w:val="none" w:sz="0" w:space="0" w:color="auto"/>
        <w:left w:val="none" w:sz="0" w:space="0" w:color="auto"/>
        <w:bottom w:val="none" w:sz="0" w:space="0" w:color="auto"/>
        <w:right w:val="none" w:sz="0" w:space="0" w:color="auto"/>
      </w:divBdr>
    </w:div>
    <w:div w:id="1749301598">
      <w:bodyDiv w:val="1"/>
      <w:marLeft w:val="0"/>
      <w:marRight w:val="0"/>
      <w:marTop w:val="0"/>
      <w:marBottom w:val="0"/>
      <w:divBdr>
        <w:top w:val="none" w:sz="0" w:space="0" w:color="auto"/>
        <w:left w:val="none" w:sz="0" w:space="0" w:color="auto"/>
        <w:bottom w:val="none" w:sz="0" w:space="0" w:color="auto"/>
        <w:right w:val="none" w:sz="0" w:space="0" w:color="auto"/>
      </w:divBdr>
    </w:div>
    <w:div w:id="1749309079">
      <w:bodyDiv w:val="1"/>
      <w:marLeft w:val="0"/>
      <w:marRight w:val="0"/>
      <w:marTop w:val="0"/>
      <w:marBottom w:val="0"/>
      <w:divBdr>
        <w:top w:val="none" w:sz="0" w:space="0" w:color="auto"/>
        <w:left w:val="none" w:sz="0" w:space="0" w:color="auto"/>
        <w:bottom w:val="none" w:sz="0" w:space="0" w:color="auto"/>
        <w:right w:val="none" w:sz="0" w:space="0" w:color="auto"/>
      </w:divBdr>
    </w:div>
    <w:div w:id="1749375906">
      <w:bodyDiv w:val="1"/>
      <w:marLeft w:val="0"/>
      <w:marRight w:val="0"/>
      <w:marTop w:val="0"/>
      <w:marBottom w:val="0"/>
      <w:divBdr>
        <w:top w:val="none" w:sz="0" w:space="0" w:color="auto"/>
        <w:left w:val="none" w:sz="0" w:space="0" w:color="auto"/>
        <w:bottom w:val="none" w:sz="0" w:space="0" w:color="auto"/>
        <w:right w:val="none" w:sz="0" w:space="0" w:color="auto"/>
      </w:divBdr>
    </w:div>
    <w:div w:id="1749376392">
      <w:bodyDiv w:val="1"/>
      <w:marLeft w:val="0"/>
      <w:marRight w:val="0"/>
      <w:marTop w:val="0"/>
      <w:marBottom w:val="0"/>
      <w:divBdr>
        <w:top w:val="none" w:sz="0" w:space="0" w:color="auto"/>
        <w:left w:val="none" w:sz="0" w:space="0" w:color="auto"/>
        <w:bottom w:val="none" w:sz="0" w:space="0" w:color="auto"/>
        <w:right w:val="none" w:sz="0" w:space="0" w:color="auto"/>
      </w:divBdr>
    </w:div>
    <w:div w:id="1749383773">
      <w:bodyDiv w:val="1"/>
      <w:marLeft w:val="0"/>
      <w:marRight w:val="0"/>
      <w:marTop w:val="0"/>
      <w:marBottom w:val="0"/>
      <w:divBdr>
        <w:top w:val="none" w:sz="0" w:space="0" w:color="auto"/>
        <w:left w:val="none" w:sz="0" w:space="0" w:color="auto"/>
        <w:bottom w:val="none" w:sz="0" w:space="0" w:color="auto"/>
        <w:right w:val="none" w:sz="0" w:space="0" w:color="auto"/>
      </w:divBdr>
    </w:div>
    <w:div w:id="1749418897">
      <w:bodyDiv w:val="1"/>
      <w:marLeft w:val="0"/>
      <w:marRight w:val="0"/>
      <w:marTop w:val="0"/>
      <w:marBottom w:val="0"/>
      <w:divBdr>
        <w:top w:val="none" w:sz="0" w:space="0" w:color="auto"/>
        <w:left w:val="none" w:sz="0" w:space="0" w:color="auto"/>
        <w:bottom w:val="none" w:sz="0" w:space="0" w:color="auto"/>
        <w:right w:val="none" w:sz="0" w:space="0" w:color="auto"/>
      </w:divBdr>
    </w:div>
    <w:div w:id="1749571766">
      <w:bodyDiv w:val="1"/>
      <w:marLeft w:val="0"/>
      <w:marRight w:val="0"/>
      <w:marTop w:val="0"/>
      <w:marBottom w:val="0"/>
      <w:divBdr>
        <w:top w:val="none" w:sz="0" w:space="0" w:color="auto"/>
        <w:left w:val="none" w:sz="0" w:space="0" w:color="auto"/>
        <w:bottom w:val="none" w:sz="0" w:space="0" w:color="auto"/>
        <w:right w:val="none" w:sz="0" w:space="0" w:color="auto"/>
      </w:divBdr>
    </w:div>
    <w:div w:id="1749574058">
      <w:bodyDiv w:val="1"/>
      <w:marLeft w:val="0"/>
      <w:marRight w:val="0"/>
      <w:marTop w:val="0"/>
      <w:marBottom w:val="0"/>
      <w:divBdr>
        <w:top w:val="none" w:sz="0" w:space="0" w:color="auto"/>
        <w:left w:val="none" w:sz="0" w:space="0" w:color="auto"/>
        <w:bottom w:val="none" w:sz="0" w:space="0" w:color="auto"/>
        <w:right w:val="none" w:sz="0" w:space="0" w:color="auto"/>
      </w:divBdr>
    </w:div>
    <w:div w:id="1749577270">
      <w:bodyDiv w:val="1"/>
      <w:marLeft w:val="0"/>
      <w:marRight w:val="0"/>
      <w:marTop w:val="0"/>
      <w:marBottom w:val="0"/>
      <w:divBdr>
        <w:top w:val="none" w:sz="0" w:space="0" w:color="auto"/>
        <w:left w:val="none" w:sz="0" w:space="0" w:color="auto"/>
        <w:bottom w:val="none" w:sz="0" w:space="0" w:color="auto"/>
        <w:right w:val="none" w:sz="0" w:space="0" w:color="auto"/>
      </w:divBdr>
    </w:div>
    <w:div w:id="1749578258">
      <w:bodyDiv w:val="1"/>
      <w:marLeft w:val="0"/>
      <w:marRight w:val="0"/>
      <w:marTop w:val="0"/>
      <w:marBottom w:val="0"/>
      <w:divBdr>
        <w:top w:val="none" w:sz="0" w:space="0" w:color="auto"/>
        <w:left w:val="none" w:sz="0" w:space="0" w:color="auto"/>
        <w:bottom w:val="none" w:sz="0" w:space="0" w:color="auto"/>
        <w:right w:val="none" w:sz="0" w:space="0" w:color="auto"/>
      </w:divBdr>
    </w:div>
    <w:div w:id="1749644017">
      <w:bodyDiv w:val="1"/>
      <w:marLeft w:val="0"/>
      <w:marRight w:val="0"/>
      <w:marTop w:val="0"/>
      <w:marBottom w:val="0"/>
      <w:divBdr>
        <w:top w:val="none" w:sz="0" w:space="0" w:color="auto"/>
        <w:left w:val="none" w:sz="0" w:space="0" w:color="auto"/>
        <w:bottom w:val="none" w:sz="0" w:space="0" w:color="auto"/>
        <w:right w:val="none" w:sz="0" w:space="0" w:color="auto"/>
      </w:divBdr>
    </w:div>
    <w:div w:id="1749690325">
      <w:bodyDiv w:val="1"/>
      <w:marLeft w:val="0"/>
      <w:marRight w:val="0"/>
      <w:marTop w:val="0"/>
      <w:marBottom w:val="0"/>
      <w:divBdr>
        <w:top w:val="none" w:sz="0" w:space="0" w:color="auto"/>
        <w:left w:val="none" w:sz="0" w:space="0" w:color="auto"/>
        <w:bottom w:val="none" w:sz="0" w:space="0" w:color="auto"/>
        <w:right w:val="none" w:sz="0" w:space="0" w:color="auto"/>
      </w:divBdr>
    </w:div>
    <w:div w:id="1749690871">
      <w:bodyDiv w:val="1"/>
      <w:marLeft w:val="0"/>
      <w:marRight w:val="0"/>
      <w:marTop w:val="0"/>
      <w:marBottom w:val="0"/>
      <w:divBdr>
        <w:top w:val="none" w:sz="0" w:space="0" w:color="auto"/>
        <w:left w:val="none" w:sz="0" w:space="0" w:color="auto"/>
        <w:bottom w:val="none" w:sz="0" w:space="0" w:color="auto"/>
        <w:right w:val="none" w:sz="0" w:space="0" w:color="auto"/>
      </w:divBdr>
    </w:div>
    <w:div w:id="1749762227">
      <w:bodyDiv w:val="1"/>
      <w:marLeft w:val="0"/>
      <w:marRight w:val="0"/>
      <w:marTop w:val="0"/>
      <w:marBottom w:val="0"/>
      <w:divBdr>
        <w:top w:val="none" w:sz="0" w:space="0" w:color="auto"/>
        <w:left w:val="none" w:sz="0" w:space="0" w:color="auto"/>
        <w:bottom w:val="none" w:sz="0" w:space="0" w:color="auto"/>
        <w:right w:val="none" w:sz="0" w:space="0" w:color="auto"/>
      </w:divBdr>
    </w:div>
    <w:div w:id="1749838464">
      <w:bodyDiv w:val="1"/>
      <w:marLeft w:val="0"/>
      <w:marRight w:val="0"/>
      <w:marTop w:val="0"/>
      <w:marBottom w:val="0"/>
      <w:divBdr>
        <w:top w:val="none" w:sz="0" w:space="0" w:color="auto"/>
        <w:left w:val="none" w:sz="0" w:space="0" w:color="auto"/>
        <w:bottom w:val="none" w:sz="0" w:space="0" w:color="auto"/>
        <w:right w:val="none" w:sz="0" w:space="0" w:color="auto"/>
      </w:divBdr>
    </w:div>
    <w:div w:id="1750078854">
      <w:bodyDiv w:val="1"/>
      <w:marLeft w:val="0"/>
      <w:marRight w:val="0"/>
      <w:marTop w:val="0"/>
      <w:marBottom w:val="0"/>
      <w:divBdr>
        <w:top w:val="none" w:sz="0" w:space="0" w:color="auto"/>
        <w:left w:val="none" w:sz="0" w:space="0" w:color="auto"/>
        <w:bottom w:val="none" w:sz="0" w:space="0" w:color="auto"/>
        <w:right w:val="none" w:sz="0" w:space="0" w:color="auto"/>
      </w:divBdr>
    </w:div>
    <w:div w:id="1750079137">
      <w:bodyDiv w:val="1"/>
      <w:marLeft w:val="0"/>
      <w:marRight w:val="0"/>
      <w:marTop w:val="0"/>
      <w:marBottom w:val="0"/>
      <w:divBdr>
        <w:top w:val="none" w:sz="0" w:space="0" w:color="auto"/>
        <w:left w:val="none" w:sz="0" w:space="0" w:color="auto"/>
        <w:bottom w:val="none" w:sz="0" w:space="0" w:color="auto"/>
        <w:right w:val="none" w:sz="0" w:space="0" w:color="auto"/>
      </w:divBdr>
    </w:div>
    <w:div w:id="1750227884">
      <w:bodyDiv w:val="1"/>
      <w:marLeft w:val="0"/>
      <w:marRight w:val="0"/>
      <w:marTop w:val="0"/>
      <w:marBottom w:val="0"/>
      <w:divBdr>
        <w:top w:val="none" w:sz="0" w:space="0" w:color="auto"/>
        <w:left w:val="none" w:sz="0" w:space="0" w:color="auto"/>
        <w:bottom w:val="none" w:sz="0" w:space="0" w:color="auto"/>
        <w:right w:val="none" w:sz="0" w:space="0" w:color="auto"/>
      </w:divBdr>
    </w:div>
    <w:div w:id="1750275510">
      <w:bodyDiv w:val="1"/>
      <w:marLeft w:val="0"/>
      <w:marRight w:val="0"/>
      <w:marTop w:val="0"/>
      <w:marBottom w:val="0"/>
      <w:divBdr>
        <w:top w:val="none" w:sz="0" w:space="0" w:color="auto"/>
        <w:left w:val="none" w:sz="0" w:space="0" w:color="auto"/>
        <w:bottom w:val="none" w:sz="0" w:space="0" w:color="auto"/>
        <w:right w:val="none" w:sz="0" w:space="0" w:color="auto"/>
      </w:divBdr>
    </w:div>
    <w:div w:id="1750419732">
      <w:bodyDiv w:val="1"/>
      <w:marLeft w:val="0"/>
      <w:marRight w:val="0"/>
      <w:marTop w:val="0"/>
      <w:marBottom w:val="0"/>
      <w:divBdr>
        <w:top w:val="none" w:sz="0" w:space="0" w:color="auto"/>
        <w:left w:val="none" w:sz="0" w:space="0" w:color="auto"/>
        <w:bottom w:val="none" w:sz="0" w:space="0" w:color="auto"/>
        <w:right w:val="none" w:sz="0" w:space="0" w:color="auto"/>
      </w:divBdr>
    </w:div>
    <w:div w:id="1750541761">
      <w:bodyDiv w:val="1"/>
      <w:marLeft w:val="0"/>
      <w:marRight w:val="0"/>
      <w:marTop w:val="0"/>
      <w:marBottom w:val="0"/>
      <w:divBdr>
        <w:top w:val="none" w:sz="0" w:space="0" w:color="auto"/>
        <w:left w:val="none" w:sz="0" w:space="0" w:color="auto"/>
        <w:bottom w:val="none" w:sz="0" w:space="0" w:color="auto"/>
        <w:right w:val="none" w:sz="0" w:space="0" w:color="auto"/>
      </w:divBdr>
    </w:div>
    <w:div w:id="1750732912">
      <w:bodyDiv w:val="1"/>
      <w:marLeft w:val="0"/>
      <w:marRight w:val="0"/>
      <w:marTop w:val="0"/>
      <w:marBottom w:val="0"/>
      <w:divBdr>
        <w:top w:val="none" w:sz="0" w:space="0" w:color="auto"/>
        <w:left w:val="none" w:sz="0" w:space="0" w:color="auto"/>
        <w:bottom w:val="none" w:sz="0" w:space="0" w:color="auto"/>
        <w:right w:val="none" w:sz="0" w:space="0" w:color="auto"/>
      </w:divBdr>
    </w:div>
    <w:div w:id="1750736770">
      <w:bodyDiv w:val="1"/>
      <w:marLeft w:val="0"/>
      <w:marRight w:val="0"/>
      <w:marTop w:val="0"/>
      <w:marBottom w:val="0"/>
      <w:divBdr>
        <w:top w:val="none" w:sz="0" w:space="0" w:color="auto"/>
        <w:left w:val="none" w:sz="0" w:space="0" w:color="auto"/>
        <w:bottom w:val="none" w:sz="0" w:space="0" w:color="auto"/>
        <w:right w:val="none" w:sz="0" w:space="0" w:color="auto"/>
      </w:divBdr>
    </w:div>
    <w:div w:id="1750804294">
      <w:bodyDiv w:val="1"/>
      <w:marLeft w:val="0"/>
      <w:marRight w:val="0"/>
      <w:marTop w:val="0"/>
      <w:marBottom w:val="0"/>
      <w:divBdr>
        <w:top w:val="none" w:sz="0" w:space="0" w:color="auto"/>
        <w:left w:val="none" w:sz="0" w:space="0" w:color="auto"/>
        <w:bottom w:val="none" w:sz="0" w:space="0" w:color="auto"/>
        <w:right w:val="none" w:sz="0" w:space="0" w:color="auto"/>
      </w:divBdr>
    </w:div>
    <w:div w:id="1750879441">
      <w:bodyDiv w:val="1"/>
      <w:marLeft w:val="0"/>
      <w:marRight w:val="0"/>
      <w:marTop w:val="0"/>
      <w:marBottom w:val="0"/>
      <w:divBdr>
        <w:top w:val="none" w:sz="0" w:space="0" w:color="auto"/>
        <w:left w:val="none" w:sz="0" w:space="0" w:color="auto"/>
        <w:bottom w:val="none" w:sz="0" w:space="0" w:color="auto"/>
        <w:right w:val="none" w:sz="0" w:space="0" w:color="auto"/>
      </w:divBdr>
    </w:div>
    <w:div w:id="1750925723">
      <w:bodyDiv w:val="1"/>
      <w:marLeft w:val="0"/>
      <w:marRight w:val="0"/>
      <w:marTop w:val="0"/>
      <w:marBottom w:val="0"/>
      <w:divBdr>
        <w:top w:val="none" w:sz="0" w:space="0" w:color="auto"/>
        <w:left w:val="none" w:sz="0" w:space="0" w:color="auto"/>
        <w:bottom w:val="none" w:sz="0" w:space="0" w:color="auto"/>
        <w:right w:val="none" w:sz="0" w:space="0" w:color="auto"/>
      </w:divBdr>
    </w:div>
    <w:div w:id="1750998120">
      <w:bodyDiv w:val="1"/>
      <w:marLeft w:val="0"/>
      <w:marRight w:val="0"/>
      <w:marTop w:val="0"/>
      <w:marBottom w:val="0"/>
      <w:divBdr>
        <w:top w:val="none" w:sz="0" w:space="0" w:color="auto"/>
        <w:left w:val="none" w:sz="0" w:space="0" w:color="auto"/>
        <w:bottom w:val="none" w:sz="0" w:space="0" w:color="auto"/>
        <w:right w:val="none" w:sz="0" w:space="0" w:color="auto"/>
      </w:divBdr>
    </w:div>
    <w:div w:id="1751193165">
      <w:bodyDiv w:val="1"/>
      <w:marLeft w:val="0"/>
      <w:marRight w:val="0"/>
      <w:marTop w:val="0"/>
      <w:marBottom w:val="0"/>
      <w:divBdr>
        <w:top w:val="none" w:sz="0" w:space="0" w:color="auto"/>
        <w:left w:val="none" w:sz="0" w:space="0" w:color="auto"/>
        <w:bottom w:val="none" w:sz="0" w:space="0" w:color="auto"/>
        <w:right w:val="none" w:sz="0" w:space="0" w:color="auto"/>
      </w:divBdr>
    </w:div>
    <w:div w:id="1751267957">
      <w:bodyDiv w:val="1"/>
      <w:marLeft w:val="0"/>
      <w:marRight w:val="0"/>
      <w:marTop w:val="0"/>
      <w:marBottom w:val="0"/>
      <w:divBdr>
        <w:top w:val="none" w:sz="0" w:space="0" w:color="auto"/>
        <w:left w:val="none" w:sz="0" w:space="0" w:color="auto"/>
        <w:bottom w:val="none" w:sz="0" w:space="0" w:color="auto"/>
        <w:right w:val="none" w:sz="0" w:space="0" w:color="auto"/>
      </w:divBdr>
    </w:div>
    <w:div w:id="1751271579">
      <w:bodyDiv w:val="1"/>
      <w:marLeft w:val="0"/>
      <w:marRight w:val="0"/>
      <w:marTop w:val="0"/>
      <w:marBottom w:val="0"/>
      <w:divBdr>
        <w:top w:val="none" w:sz="0" w:space="0" w:color="auto"/>
        <w:left w:val="none" w:sz="0" w:space="0" w:color="auto"/>
        <w:bottom w:val="none" w:sz="0" w:space="0" w:color="auto"/>
        <w:right w:val="none" w:sz="0" w:space="0" w:color="auto"/>
      </w:divBdr>
    </w:div>
    <w:div w:id="1751345269">
      <w:bodyDiv w:val="1"/>
      <w:marLeft w:val="0"/>
      <w:marRight w:val="0"/>
      <w:marTop w:val="0"/>
      <w:marBottom w:val="0"/>
      <w:divBdr>
        <w:top w:val="none" w:sz="0" w:space="0" w:color="auto"/>
        <w:left w:val="none" w:sz="0" w:space="0" w:color="auto"/>
        <w:bottom w:val="none" w:sz="0" w:space="0" w:color="auto"/>
        <w:right w:val="none" w:sz="0" w:space="0" w:color="auto"/>
      </w:divBdr>
    </w:div>
    <w:div w:id="1751464254">
      <w:bodyDiv w:val="1"/>
      <w:marLeft w:val="0"/>
      <w:marRight w:val="0"/>
      <w:marTop w:val="0"/>
      <w:marBottom w:val="0"/>
      <w:divBdr>
        <w:top w:val="none" w:sz="0" w:space="0" w:color="auto"/>
        <w:left w:val="none" w:sz="0" w:space="0" w:color="auto"/>
        <w:bottom w:val="none" w:sz="0" w:space="0" w:color="auto"/>
        <w:right w:val="none" w:sz="0" w:space="0" w:color="auto"/>
      </w:divBdr>
    </w:div>
    <w:div w:id="1751542385">
      <w:bodyDiv w:val="1"/>
      <w:marLeft w:val="0"/>
      <w:marRight w:val="0"/>
      <w:marTop w:val="0"/>
      <w:marBottom w:val="0"/>
      <w:divBdr>
        <w:top w:val="none" w:sz="0" w:space="0" w:color="auto"/>
        <w:left w:val="none" w:sz="0" w:space="0" w:color="auto"/>
        <w:bottom w:val="none" w:sz="0" w:space="0" w:color="auto"/>
        <w:right w:val="none" w:sz="0" w:space="0" w:color="auto"/>
      </w:divBdr>
    </w:div>
    <w:div w:id="1751585456">
      <w:bodyDiv w:val="1"/>
      <w:marLeft w:val="0"/>
      <w:marRight w:val="0"/>
      <w:marTop w:val="0"/>
      <w:marBottom w:val="0"/>
      <w:divBdr>
        <w:top w:val="none" w:sz="0" w:space="0" w:color="auto"/>
        <w:left w:val="none" w:sz="0" w:space="0" w:color="auto"/>
        <w:bottom w:val="none" w:sz="0" w:space="0" w:color="auto"/>
        <w:right w:val="none" w:sz="0" w:space="0" w:color="auto"/>
      </w:divBdr>
    </w:div>
    <w:div w:id="1751653837">
      <w:bodyDiv w:val="1"/>
      <w:marLeft w:val="0"/>
      <w:marRight w:val="0"/>
      <w:marTop w:val="0"/>
      <w:marBottom w:val="0"/>
      <w:divBdr>
        <w:top w:val="none" w:sz="0" w:space="0" w:color="auto"/>
        <w:left w:val="none" w:sz="0" w:space="0" w:color="auto"/>
        <w:bottom w:val="none" w:sz="0" w:space="0" w:color="auto"/>
        <w:right w:val="none" w:sz="0" w:space="0" w:color="auto"/>
      </w:divBdr>
    </w:div>
    <w:div w:id="1751654604">
      <w:bodyDiv w:val="1"/>
      <w:marLeft w:val="0"/>
      <w:marRight w:val="0"/>
      <w:marTop w:val="0"/>
      <w:marBottom w:val="0"/>
      <w:divBdr>
        <w:top w:val="none" w:sz="0" w:space="0" w:color="auto"/>
        <w:left w:val="none" w:sz="0" w:space="0" w:color="auto"/>
        <w:bottom w:val="none" w:sz="0" w:space="0" w:color="auto"/>
        <w:right w:val="none" w:sz="0" w:space="0" w:color="auto"/>
      </w:divBdr>
    </w:div>
    <w:div w:id="1751729691">
      <w:bodyDiv w:val="1"/>
      <w:marLeft w:val="0"/>
      <w:marRight w:val="0"/>
      <w:marTop w:val="0"/>
      <w:marBottom w:val="0"/>
      <w:divBdr>
        <w:top w:val="none" w:sz="0" w:space="0" w:color="auto"/>
        <w:left w:val="none" w:sz="0" w:space="0" w:color="auto"/>
        <w:bottom w:val="none" w:sz="0" w:space="0" w:color="auto"/>
        <w:right w:val="none" w:sz="0" w:space="0" w:color="auto"/>
      </w:divBdr>
    </w:div>
    <w:div w:id="1751804298">
      <w:bodyDiv w:val="1"/>
      <w:marLeft w:val="0"/>
      <w:marRight w:val="0"/>
      <w:marTop w:val="0"/>
      <w:marBottom w:val="0"/>
      <w:divBdr>
        <w:top w:val="none" w:sz="0" w:space="0" w:color="auto"/>
        <w:left w:val="none" w:sz="0" w:space="0" w:color="auto"/>
        <w:bottom w:val="none" w:sz="0" w:space="0" w:color="auto"/>
        <w:right w:val="none" w:sz="0" w:space="0" w:color="auto"/>
      </w:divBdr>
    </w:div>
    <w:div w:id="1751925452">
      <w:bodyDiv w:val="1"/>
      <w:marLeft w:val="0"/>
      <w:marRight w:val="0"/>
      <w:marTop w:val="0"/>
      <w:marBottom w:val="0"/>
      <w:divBdr>
        <w:top w:val="none" w:sz="0" w:space="0" w:color="auto"/>
        <w:left w:val="none" w:sz="0" w:space="0" w:color="auto"/>
        <w:bottom w:val="none" w:sz="0" w:space="0" w:color="auto"/>
        <w:right w:val="none" w:sz="0" w:space="0" w:color="auto"/>
      </w:divBdr>
    </w:div>
    <w:div w:id="1752000094">
      <w:bodyDiv w:val="1"/>
      <w:marLeft w:val="0"/>
      <w:marRight w:val="0"/>
      <w:marTop w:val="0"/>
      <w:marBottom w:val="0"/>
      <w:divBdr>
        <w:top w:val="none" w:sz="0" w:space="0" w:color="auto"/>
        <w:left w:val="none" w:sz="0" w:space="0" w:color="auto"/>
        <w:bottom w:val="none" w:sz="0" w:space="0" w:color="auto"/>
        <w:right w:val="none" w:sz="0" w:space="0" w:color="auto"/>
      </w:divBdr>
    </w:div>
    <w:div w:id="1752006155">
      <w:bodyDiv w:val="1"/>
      <w:marLeft w:val="0"/>
      <w:marRight w:val="0"/>
      <w:marTop w:val="0"/>
      <w:marBottom w:val="0"/>
      <w:divBdr>
        <w:top w:val="none" w:sz="0" w:space="0" w:color="auto"/>
        <w:left w:val="none" w:sz="0" w:space="0" w:color="auto"/>
        <w:bottom w:val="none" w:sz="0" w:space="0" w:color="auto"/>
        <w:right w:val="none" w:sz="0" w:space="0" w:color="auto"/>
      </w:divBdr>
    </w:div>
    <w:div w:id="1752042296">
      <w:bodyDiv w:val="1"/>
      <w:marLeft w:val="0"/>
      <w:marRight w:val="0"/>
      <w:marTop w:val="0"/>
      <w:marBottom w:val="0"/>
      <w:divBdr>
        <w:top w:val="none" w:sz="0" w:space="0" w:color="auto"/>
        <w:left w:val="none" w:sz="0" w:space="0" w:color="auto"/>
        <w:bottom w:val="none" w:sz="0" w:space="0" w:color="auto"/>
        <w:right w:val="none" w:sz="0" w:space="0" w:color="auto"/>
      </w:divBdr>
    </w:div>
    <w:div w:id="1752042786">
      <w:bodyDiv w:val="1"/>
      <w:marLeft w:val="0"/>
      <w:marRight w:val="0"/>
      <w:marTop w:val="0"/>
      <w:marBottom w:val="0"/>
      <w:divBdr>
        <w:top w:val="none" w:sz="0" w:space="0" w:color="auto"/>
        <w:left w:val="none" w:sz="0" w:space="0" w:color="auto"/>
        <w:bottom w:val="none" w:sz="0" w:space="0" w:color="auto"/>
        <w:right w:val="none" w:sz="0" w:space="0" w:color="auto"/>
      </w:divBdr>
    </w:div>
    <w:div w:id="1752115490">
      <w:bodyDiv w:val="1"/>
      <w:marLeft w:val="0"/>
      <w:marRight w:val="0"/>
      <w:marTop w:val="0"/>
      <w:marBottom w:val="0"/>
      <w:divBdr>
        <w:top w:val="none" w:sz="0" w:space="0" w:color="auto"/>
        <w:left w:val="none" w:sz="0" w:space="0" w:color="auto"/>
        <w:bottom w:val="none" w:sz="0" w:space="0" w:color="auto"/>
        <w:right w:val="none" w:sz="0" w:space="0" w:color="auto"/>
      </w:divBdr>
    </w:div>
    <w:div w:id="1752121881">
      <w:bodyDiv w:val="1"/>
      <w:marLeft w:val="0"/>
      <w:marRight w:val="0"/>
      <w:marTop w:val="0"/>
      <w:marBottom w:val="0"/>
      <w:divBdr>
        <w:top w:val="none" w:sz="0" w:space="0" w:color="auto"/>
        <w:left w:val="none" w:sz="0" w:space="0" w:color="auto"/>
        <w:bottom w:val="none" w:sz="0" w:space="0" w:color="auto"/>
        <w:right w:val="none" w:sz="0" w:space="0" w:color="auto"/>
      </w:divBdr>
    </w:div>
    <w:div w:id="1752238020">
      <w:bodyDiv w:val="1"/>
      <w:marLeft w:val="0"/>
      <w:marRight w:val="0"/>
      <w:marTop w:val="0"/>
      <w:marBottom w:val="0"/>
      <w:divBdr>
        <w:top w:val="none" w:sz="0" w:space="0" w:color="auto"/>
        <w:left w:val="none" w:sz="0" w:space="0" w:color="auto"/>
        <w:bottom w:val="none" w:sz="0" w:space="0" w:color="auto"/>
        <w:right w:val="none" w:sz="0" w:space="0" w:color="auto"/>
      </w:divBdr>
    </w:div>
    <w:div w:id="1752310014">
      <w:bodyDiv w:val="1"/>
      <w:marLeft w:val="0"/>
      <w:marRight w:val="0"/>
      <w:marTop w:val="0"/>
      <w:marBottom w:val="0"/>
      <w:divBdr>
        <w:top w:val="none" w:sz="0" w:space="0" w:color="auto"/>
        <w:left w:val="none" w:sz="0" w:space="0" w:color="auto"/>
        <w:bottom w:val="none" w:sz="0" w:space="0" w:color="auto"/>
        <w:right w:val="none" w:sz="0" w:space="0" w:color="auto"/>
      </w:divBdr>
    </w:div>
    <w:div w:id="1752390890">
      <w:bodyDiv w:val="1"/>
      <w:marLeft w:val="0"/>
      <w:marRight w:val="0"/>
      <w:marTop w:val="0"/>
      <w:marBottom w:val="0"/>
      <w:divBdr>
        <w:top w:val="none" w:sz="0" w:space="0" w:color="auto"/>
        <w:left w:val="none" w:sz="0" w:space="0" w:color="auto"/>
        <w:bottom w:val="none" w:sz="0" w:space="0" w:color="auto"/>
        <w:right w:val="none" w:sz="0" w:space="0" w:color="auto"/>
      </w:divBdr>
    </w:div>
    <w:div w:id="1752580479">
      <w:bodyDiv w:val="1"/>
      <w:marLeft w:val="0"/>
      <w:marRight w:val="0"/>
      <w:marTop w:val="0"/>
      <w:marBottom w:val="0"/>
      <w:divBdr>
        <w:top w:val="none" w:sz="0" w:space="0" w:color="auto"/>
        <w:left w:val="none" w:sz="0" w:space="0" w:color="auto"/>
        <w:bottom w:val="none" w:sz="0" w:space="0" w:color="auto"/>
        <w:right w:val="none" w:sz="0" w:space="0" w:color="auto"/>
      </w:divBdr>
    </w:div>
    <w:div w:id="1752653061">
      <w:bodyDiv w:val="1"/>
      <w:marLeft w:val="0"/>
      <w:marRight w:val="0"/>
      <w:marTop w:val="0"/>
      <w:marBottom w:val="0"/>
      <w:divBdr>
        <w:top w:val="none" w:sz="0" w:space="0" w:color="auto"/>
        <w:left w:val="none" w:sz="0" w:space="0" w:color="auto"/>
        <w:bottom w:val="none" w:sz="0" w:space="0" w:color="auto"/>
        <w:right w:val="none" w:sz="0" w:space="0" w:color="auto"/>
      </w:divBdr>
    </w:div>
    <w:div w:id="1752656152">
      <w:bodyDiv w:val="1"/>
      <w:marLeft w:val="0"/>
      <w:marRight w:val="0"/>
      <w:marTop w:val="0"/>
      <w:marBottom w:val="0"/>
      <w:divBdr>
        <w:top w:val="none" w:sz="0" w:space="0" w:color="auto"/>
        <w:left w:val="none" w:sz="0" w:space="0" w:color="auto"/>
        <w:bottom w:val="none" w:sz="0" w:space="0" w:color="auto"/>
        <w:right w:val="none" w:sz="0" w:space="0" w:color="auto"/>
      </w:divBdr>
    </w:div>
    <w:div w:id="1752656497">
      <w:bodyDiv w:val="1"/>
      <w:marLeft w:val="0"/>
      <w:marRight w:val="0"/>
      <w:marTop w:val="0"/>
      <w:marBottom w:val="0"/>
      <w:divBdr>
        <w:top w:val="none" w:sz="0" w:space="0" w:color="auto"/>
        <w:left w:val="none" w:sz="0" w:space="0" w:color="auto"/>
        <w:bottom w:val="none" w:sz="0" w:space="0" w:color="auto"/>
        <w:right w:val="none" w:sz="0" w:space="0" w:color="auto"/>
      </w:divBdr>
    </w:div>
    <w:div w:id="1752701190">
      <w:bodyDiv w:val="1"/>
      <w:marLeft w:val="0"/>
      <w:marRight w:val="0"/>
      <w:marTop w:val="0"/>
      <w:marBottom w:val="0"/>
      <w:divBdr>
        <w:top w:val="none" w:sz="0" w:space="0" w:color="auto"/>
        <w:left w:val="none" w:sz="0" w:space="0" w:color="auto"/>
        <w:bottom w:val="none" w:sz="0" w:space="0" w:color="auto"/>
        <w:right w:val="none" w:sz="0" w:space="0" w:color="auto"/>
      </w:divBdr>
    </w:div>
    <w:div w:id="1752969286">
      <w:bodyDiv w:val="1"/>
      <w:marLeft w:val="0"/>
      <w:marRight w:val="0"/>
      <w:marTop w:val="0"/>
      <w:marBottom w:val="0"/>
      <w:divBdr>
        <w:top w:val="none" w:sz="0" w:space="0" w:color="auto"/>
        <w:left w:val="none" w:sz="0" w:space="0" w:color="auto"/>
        <w:bottom w:val="none" w:sz="0" w:space="0" w:color="auto"/>
        <w:right w:val="none" w:sz="0" w:space="0" w:color="auto"/>
      </w:divBdr>
    </w:div>
    <w:div w:id="1753046863">
      <w:bodyDiv w:val="1"/>
      <w:marLeft w:val="0"/>
      <w:marRight w:val="0"/>
      <w:marTop w:val="0"/>
      <w:marBottom w:val="0"/>
      <w:divBdr>
        <w:top w:val="none" w:sz="0" w:space="0" w:color="auto"/>
        <w:left w:val="none" w:sz="0" w:space="0" w:color="auto"/>
        <w:bottom w:val="none" w:sz="0" w:space="0" w:color="auto"/>
        <w:right w:val="none" w:sz="0" w:space="0" w:color="auto"/>
      </w:divBdr>
    </w:div>
    <w:div w:id="1753088917">
      <w:bodyDiv w:val="1"/>
      <w:marLeft w:val="0"/>
      <w:marRight w:val="0"/>
      <w:marTop w:val="0"/>
      <w:marBottom w:val="0"/>
      <w:divBdr>
        <w:top w:val="none" w:sz="0" w:space="0" w:color="auto"/>
        <w:left w:val="none" w:sz="0" w:space="0" w:color="auto"/>
        <w:bottom w:val="none" w:sz="0" w:space="0" w:color="auto"/>
        <w:right w:val="none" w:sz="0" w:space="0" w:color="auto"/>
      </w:divBdr>
    </w:div>
    <w:div w:id="1753116601">
      <w:bodyDiv w:val="1"/>
      <w:marLeft w:val="0"/>
      <w:marRight w:val="0"/>
      <w:marTop w:val="0"/>
      <w:marBottom w:val="0"/>
      <w:divBdr>
        <w:top w:val="none" w:sz="0" w:space="0" w:color="auto"/>
        <w:left w:val="none" w:sz="0" w:space="0" w:color="auto"/>
        <w:bottom w:val="none" w:sz="0" w:space="0" w:color="auto"/>
        <w:right w:val="none" w:sz="0" w:space="0" w:color="auto"/>
      </w:divBdr>
    </w:div>
    <w:div w:id="1753120301">
      <w:bodyDiv w:val="1"/>
      <w:marLeft w:val="0"/>
      <w:marRight w:val="0"/>
      <w:marTop w:val="0"/>
      <w:marBottom w:val="0"/>
      <w:divBdr>
        <w:top w:val="none" w:sz="0" w:space="0" w:color="auto"/>
        <w:left w:val="none" w:sz="0" w:space="0" w:color="auto"/>
        <w:bottom w:val="none" w:sz="0" w:space="0" w:color="auto"/>
        <w:right w:val="none" w:sz="0" w:space="0" w:color="auto"/>
      </w:divBdr>
    </w:div>
    <w:div w:id="1753165149">
      <w:bodyDiv w:val="1"/>
      <w:marLeft w:val="0"/>
      <w:marRight w:val="0"/>
      <w:marTop w:val="0"/>
      <w:marBottom w:val="0"/>
      <w:divBdr>
        <w:top w:val="none" w:sz="0" w:space="0" w:color="auto"/>
        <w:left w:val="none" w:sz="0" w:space="0" w:color="auto"/>
        <w:bottom w:val="none" w:sz="0" w:space="0" w:color="auto"/>
        <w:right w:val="none" w:sz="0" w:space="0" w:color="auto"/>
      </w:divBdr>
    </w:div>
    <w:div w:id="1753240425">
      <w:bodyDiv w:val="1"/>
      <w:marLeft w:val="0"/>
      <w:marRight w:val="0"/>
      <w:marTop w:val="0"/>
      <w:marBottom w:val="0"/>
      <w:divBdr>
        <w:top w:val="none" w:sz="0" w:space="0" w:color="auto"/>
        <w:left w:val="none" w:sz="0" w:space="0" w:color="auto"/>
        <w:bottom w:val="none" w:sz="0" w:space="0" w:color="auto"/>
        <w:right w:val="none" w:sz="0" w:space="0" w:color="auto"/>
      </w:divBdr>
    </w:div>
    <w:div w:id="1753312167">
      <w:bodyDiv w:val="1"/>
      <w:marLeft w:val="0"/>
      <w:marRight w:val="0"/>
      <w:marTop w:val="0"/>
      <w:marBottom w:val="0"/>
      <w:divBdr>
        <w:top w:val="none" w:sz="0" w:space="0" w:color="auto"/>
        <w:left w:val="none" w:sz="0" w:space="0" w:color="auto"/>
        <w:bottom w:val="none" w:sz="0" w:space="0" w:color="auto"/>
        <w:right w:val="none" w:sz="0" w:space="0" w:color="auto"/>
      </w:divBdr>
    </w:div>
    <w:div w:id="1753429053">
      <w:bodyDiv w:val="1"/>
      <w:marLeft w:val="0"/>
      <w:marRight w:val="0"/>
      <w:marTop w:val="0"/>
      <w:marBottom w:val="0"/>
      <w:divBdr>
        <w:top w:val="none" w:sz="0" w:space="0" w:color="auto"/>
        <w:left w:val="none" w:sz="0" w:space="0" w:color="auto"/>
        <w:bottom w:val="none" w:sz="0" w:space="0" w:color="auto"/>
        <w:right w:val="none" w:sz="0" w:space="0" w:color="auto"/>
      </w:divBdr>
    </w:div>
    <w:div w:id="1753619012">
      <w:bodyDiv w:val="1"/>
      <w:marLeft w:val="0"/>
      <w:marRight w:val="0"/>
      <w:marTop w:val="0"/>
      <w:marBottom w:val="0"/>
      <w:divBdr>
        <w:top w:val="none" w:sz="0" w:space="0" w:color="auto"/>
        <w:left w:val="none" w:sz="0" w:space="0" w:color="auto"/>
        <w:bottom w:val="none" w:sz="0" w:space="0" w:color="auto"/>
        <w:right w:val="none" w:sz="0" w:space="0" w:color="auto"/>
      </w:divBdr>
    </w:div>
    <w:div w:id="1753622920">
      <w:bodyDiv w:val="1"/>
      <w:marLeft w:val="0"/>
      <w:marRight w:val="0"/>
      <w:marTop w:val="0"/>
      <w:marBottom w:val="0"/>
      <w:divBdr>
        <w:top w:val="none" w:sz="0" w:space="0" w:color="auto"/>
        <w:left w:val="none" w:sz="0" w:space="0" w:color="auto"/>
        <w:bottom w:val="none" w:sz="0" w:space="0" w:color="auto"/>
        <w:right w:val="none" w:sz="0" w:space="0" w:color="auto"/>
      </w:divBdr>
    </w:div>
    <w:div w:id="1753624324">
      <w:bodyDiv w:val="1"/>
      <w:marLeft w:val="0"/>
      <w:marRight w:val="0"/>
      <w:marTop w:val="0"/>
      <w:marBottom w:val="0"/>
      <w:divBdr>
        <w:top w:val="none" w:sz="0" w:space="0" w:color="auto"/>
        <w:left w:val="none" w:sz="0" w:space="0" w:color="auto"/>
        <w:bottom w:val="none" w:sz="0" w:space="0" w:color="auto"/>
        <w:right w:val="none" w:sz="0" w:space="0" w:color="auto"/>
      </w:divBdr>
    </w:div>
    <w:div w:id="1753697953">
      <w:bodyDiv w:val="1"/>
      <w:marLeft w:val="0"/>
      <w:marRight w:val="0"/>
      <w:marTop w:val="0"/>
      <w:marBottom w:val="0"/>
      <w:divBdr>
        <w:top w:val="none" w:sz="0" w:space="0" w:color="auto"/>
        <w:left w:val="none" w:sz="0" w:space="0" w:color="auto"/>
        <w:bottom w:val="none" w:sz="0" w:space="0" w:color="auto"/>
        <w:right w:val="none" w:sz="0" w:space="0" w:color="auto"/>
      </w:divBdr>
    </w:div>
    <w:div w:id="1753775648">
      <w:bodyDiv w:val="1"/>
      <w:marLeft w:val="0"/>
      <w:marRight w:val="0"/>
      <w:marTop w:val="0"/>
      <w:marBottom w:val="0"/>
      <w:divBdr>
        <w:top w:val="none" w:sz="0" w:space="0" w:color="auto"/>
        <w:left w:val="none" w:sz="0" w:space="0" w:color="auto"/>
        <w:bottom w:val="none" w:sz="0" w:space="0" w:color="auto"/>
        <w:right w:val="none" w:sz="0" w:space="0" w:color="auto"/>
      </w:divBdr>
    </w:div>
    <w:div w:id="1753969054">
      <w:bodyDiv w:val="1"/>
      <w:marLeft w:val="0"/>
      <w:marRight w:val="0"/>
      <w:marTop w:val="0"/>
      <w:marBottom w:val="0"/>
      <w:divBdr>
        <w:top w:val="none" w:sz="0" w:space="0" w:color="auto"/>
        <w:left w:val="none" w:sz="0" w:space="0" w:color="auto"/>
        <w:bottom w:val="none" w:sz="0" w:space="0" w:color="auto"/>
        <w:right w:val="none" w:sz="0" w:space="0" w:color="auto"/>
      </w:divBdr>
    </w:div>
    <w:div w:id="1753971952">
      <w:bodyDiv w:val="1"/>
      <w:marLeft w:val="0"/>
      <w:marRight w:val="0"/>
      <w:marTop w:val="0"/>
      <w:marBottom w:val="0"/>
      <w:divBdr>
        <w:top w:val="none" w:sz="0" w:space="0" w:color="auto"/>
        <w:left w:val="none" w:sz="0" w:space="0" w:color="auto"/>
        <w:bottom w:val="none" w:sz="0" w:space="0" w:color="auto"/>
        <w:right w:val="none" w:sz="0" w:space="0" w:color="auto"/>
      </w:divBdr>
    </w:div>
    <w:div w:id="1754276474">
      <w:bodyDiv w:val="1"/>
      <w:marLeft w:val="0"/>
      <w:marRight w:val="0"/>
      <w:marTop w:val="0"/>
      <w:marBottom w:val="0"/>
      <w:divBdr>
        <w:top w:val="none" w:sz="0" w:space="0" w:color="auto"/>
        <w:left w:val="none" w:sz="0" w:space="0" w:color="auto"/>
        <w:bottom w:val="none" w:sz="0" w:space="0" w:color="auto"/>
        <w:right w:val="none" w:sz="0" w:space="0" w:color="auto"/>
      </w:divBdr>
    </w:div>
    <w:div w:id="1754467633">
      <w:bodyDiv w:val="1"/>
      <w:marLeft w:val="0"/>
      <w:marRight w:val="0"/>
      <w:marTop w:val="0"/>
      <w:marBottom w:val="0"/>
      <w:divBdr>
        <w:top w:val="none" w:sz="0" w:space="0" w:color="auto"/>
        <w:left w:val="none" w:sz="0" w:space="0" w:color="auto"/>
        <w:bottom w:val="none" w:sz="0" w:space="0" w:color="auto"/>
        <w:right w:val="none" w:sz="0" w:space="0" w:color="auto"/>
      </w:divBdr>
    </w:div>
    <w:div w:id="1754470394">
      <w:bodyDiv w:val="1"/>
      <w:marLeft w:val="0"/>
      <w:marRight w:val="0"/>
      <w:marTop w:val="0"/>
      <w:marBottom w:val="0"/>
      <w:divBdr>
        <w:top w:val="none" w:sz="0" w:space="0" w:color="auto"/>
        <w:left w:val="none" w:sz="0" w:space="0" w:color="auto"/>
        <w:bottom w:val="none" w:sz="0" w:space="0" w:color="auto"/>
        <w:right w:val="none" w:sz="0" w:space="0" w:color="auto"/>
      </w:divBdr>
    </w:div>
    <w:div w:id="1754620481">
      <w:bodyDiv w:val="1"/>
      <w:marLeft w:val="0"/>
      <w:marRight w:val="0"/>
      <w:marTop w:val="0"/>
      <w:marBottom w:val="0"/>
      <w:divBdr>
        <w:top w:val="none" w:sz="0" w:space="0" w:color="auto"/>
        <w:left w:val="none" w:sz="0" w:space="0" w:color="auto"/>
        <w:bottom w:val="none" w:sz="0" w:space="0" w:color="auto"/>
        <w:right w:val="none" w:sz="0" w:space="0" w:color="auto"/>
      </w:divBdr>
    </w:div>
    <w:div w:id="1754625832">
      <w:bodyDiv w:val="1"/>
      <w:marLeft w:val="0"/>
      <w:marRight w:val="0"/>
      <w:marTop w:val="0"/>
      <w:marBottom w:val="0"/>
      <w:divBdr>
        <w:top w:val="none" w:sz="0" w:space="0" w:color="auto"/>
        <w:left w:val="none" w:sz="0" w:space="0" w:color="auto"/>
        <w:bottom w:val="none" w:sz="0" w:space="0" w:color="auto"/>
        <w:right w:val="none" w:sz="0" w:space="0" w:color="auto"/>
      </w:divBdr>
    </w:div>
    <w:div w:id="1754667530">
      <w:bodyDiv w:val="1"/>
      <w:marLeft w:val="0"/>
      <w:marRight w:val="0"/>
      <w:marTop w:val="0"/>
      <w:marBottom w:val="0"/>
      <w:divBdr>
        <w:top w:val="none" w:sz="0" w:space="0" w:color="auto"/>
        <w:left w:val="none" w:sz="0" w:space="0" w:color="auto"/>
        <w:bottom w:val="none" w:sz="0" w:space="0" w:color="auto"/>
        <w:right w:val="none" w:sz="0" w:space="0" w:color="auto"/>
      </w:divBdr>
    </w:div>
    <w:div w:id="1754692963">
      <w:bodyDiv w:val="1"/>
      <w:marLeft w:val="0"/>
      <w:marRight w:val="0"/>
      <w:marTop w:val="0"/>
      <w:marBottom w:val="0"/>
      <w:divBdr>
        <w:top w:val="none" w:sz="0" w:space="0" w:color="auto"/>
        <w:left w:val="none" w:sz="0" w:space="0" w:color="auto"/>
        <w:bottom w:val="none" w:sz="0" w:space="0" w:color="auto"/>
        <w:right w:val="none" w:sz="0" w:space="0" w:color="auto"/>
      </w:divBdr>
    </w:div>
    <w:div w:id="1754858603">
      <w:bodyDiv w:val="1"/>
      <w:marLeft w:val="0"/>
      <w:marRight w:val="0"/>
      <w:marTop w:val="0"/>
      <w:marBottom w:val="0"/>
      <w:divBdr>
        <w:top w:val="none" w:sz="0" w:space="0" w:color="auto"/>
        <w:left w:val="none" w:sz="0" w:space="0" w:color="auto"/>
        <w:bottom w:val="none" w:sz="0" w:space="0" w:color="auto"/>
        <w:right w:val="none" w:sz="0" w:space="0" w:color="auto"/>
      </w:divBdr>
    </w:div>
    <w:div w:id="1754886856">
      <w:bodyDiv w:val="1"/>
      <w:marLeft w:val="0"/>
      <w:marRight w:val="0"/>
      <w:marTop w:val="0"/>
      <w:marBottom w:val="0"/>
      <w:divBdr>
        <w:top w:val="none" w:sz="0" w:space="0" w:color="auto"/>
        <w:left w:val="none" w:sz="0" w:space="0" w:color="auto"/>
        <w:bottom w:val="none" w:sz="0" w:space="0" w:color="auto"/>
        <w:right w:val="none" w:sz="0" w:space="0" w:color="auto"/>
      </w:divBdr>
    </w:div>
    <w:div w:id="1754931434">
      <w:bodyDiv w:val="1"/>
      <w:marLeft w:val="0"/>
      <w:marRight w:val="0"/>
      <w:marTop w:val="0"/>
      <w:marBottom w:val="0"/>
      <w:divBdr>
        <w:top w:val="none" w:sz="0" w:space="0" w:color="auto"/>
        <w:left w:val="none" w:sz="0" w:space="0" w:color="auto"/>
        <w:bottom w:val="none" w:sz="0" w:space="0" w:color="auto"/>
        <w:right w:val="none" w:sz="0" w:space="0" w:color="auto"/>
      </w:divBdr>
    </w:div>
    <w:div w:id="1755054280">
      <w:bodyDiv w:val="1"/>
      <w:marLeft w:val="0"/>
      <w:marRight w:val="0"/>
      <w:marTop w:val="0"/>
      <w:marBottom w:val="0"/>
      <w:divBdr>
        <w:top w:val="none" w:sz="0" w:space="0" w:color="auto"/>
        <w:left w:val="none" w:sz="0" w:space="0" w:color="auto"/>
        <w:bottom w:val="none" w:sz="0" w:space="0" w:color="auto"/>
        <w:right w:val="none" w:sz="0" w:space="0" w:color="auto"/>
      </w:divBdr>
    </w:div>
    <w:div w:id="1755055308">
      <w:bodyDiv w:val="1"/>
      <w:marLeft w:val="0"/>
      <w:marRight w:val="0"/>
      <w:marTop w:val="0"/>
      <w:marBottom w:val="0"/>
      <w:divBdr>
        <w:top w:val="none" w:sz="0" w:space="0" w:color="auto"/>
        <w:left w:val="none" w:sz="0" w:space="0" w:color="auto"/>
        <w:bottom w:val="none" w:sz="0" w:space="0" w:color="auto"/>
        <w:right w:val="none" w:sz="0" w:space="0" w:color="auto"/>
      </w:divBdr>
    </w:div>
    <w:div w:id="1755125851">
      <w:bodyDiv w:val="1"/>
      <w:marLeft w:val="0"/>
      <w:marRight w:val="0"/>
      <w:marTop w:val="0"/>
      <w:marBottom w:val="0"/>
      <w:divBdr>
        <w:top w:val="none" w:sz="0" w:space="0" w:color="auto"/>
        <w:left w:val="none" w:sz="0" w:space="0" w:color="auto"/>
        <w:bottom w:val="none" w:sz="0" w:space="0" w:color="auto"/>
        <w:right w:val="none" w:sz="0" w:space="0" w:color="auto"/>
      </w:divBdr>
    </w:div>
    <w:div w:id="1755280780">
      <w:bodyDiv w:val="1"/>
      <w:marLeft w:val="0"/>
      <w:marRight w:val="0"/>
      <w:marTop w:val="0"/>
      <w:marBottom w:val="0"/>
      <w:divBdr>
        <w:top w:val="none" w:sz="0" w:space="0" w:color="auto"/>
        <w:left w:val="none" w:sz="0" w:space="0" w:color="auto"/>
        <w:bottom w:val="none" w:sz="0" w:space="0" w:color="auto"/>
        <w:right w:val="none" w:sz="0" w:space="0" w:color="auto"/>
      </w:divBdr>
    </w:div>
    <w:div w:id="1755321207">
      <w:bodyDiv w:val="1"/>
      <w:marLeft w:val="0"/>
      <w:marRight w:val="0"/>
      <w:marTop w:val="0"/>
      <w:marBottom w:val="0"/>
      <w:divBdr>
        <w:top w:val="none" w:sz="0" w:space="0" w:color="auto"/>
        <w:left w:val="none" w:sz="0" w:space="0" w:color="auto"/>
        <w:bottom w:val="none" w:sz="0" w:space="0" w:color="auto"/>
        <w:right w:val="none" w:sz="0" w:space="0" w:color="auto"/>
      </w:divBdr>
    </w:div>
    <w:div w:id="1755541603">
      <w:bodyDiv w:val="1"/>
      <w:marLeft w:val="0"/>
      <w:marRight w:val="0"/>
      <w:marTop w:val="0"/>
      <w:marBottom w:val="0"/>
      <w:divBdr>
        <w:top w:val="none" w:sz="0" w:space="0" w:color="auto"/>
        <w:left w:val="none" w:sz="0" w:space="0" w:color="auto"/>
        <w:bottom w:val="none" w:sz="0" w:space="0" w:color="auto"/>
        <w:right w:val="none" w:sz="0" w:space="0" w:color="auto"/>
      </w:divBdr>
    </w:div>
    <w:div w:id="1755587113">
      <w:bodyDiv w:val="1"/>
      <w:marLeft w:val="0"/>
      <w:marRight w:val="0"/>
      <w:marTop w:val="0"/>
      <w:marBottom w:val="0"/>
      <w:divBdr>
        <w:top w:val="none" w:sz="0" w:space="0" w:color="auto"/>
        <w:left w:val="none" w:sz="0" w:space="0" w:color="auto"/>
        <w:bottom w:val="none" w:sz="0" w:space="0" w:color="auto"/>
        <w:right w:val="none" w:sz="0" w:space="0" w:color="auto"/>
      </w:divBdr>
    </w:div>
    <w:div w:id="1755660402">
      <w:bodyDiv w:val="1"/>
      <w:marLeft w:val="0"/>
      <w:marRight w:val="0"/>
      <w:marTop w:val="0"/>
      <w:marBottom w:val="0"/>
      <w:divBdr>
        <w:top w:val="none" w:sz="0" w:space="0" w:color="auto"/>
        <w:left w:val="none" w:sz="0" w:space="0" w:color="auto"/>
        <w:bottom w:val="none" w:sz="0" w:space="0" w:color="auto"/>
        <w:right w:val="none" w:sz="0" w:space="0" w:color="auto"/>
      </w:divBdr>
    </w:div>
    <w:div w:id="1755666698">
      <w:bodyDiv w:val="1"/>
      <w:marLeft w:val="0"/>
      <w:marRight w:val="0"/>
      <w:marTop w:val="0"/>
      <w:marBottom w:val="0"/>
      <w:divBdr>
        <w:top w:val="none" w:sz="0" w:space="0" w:color="auto"/>
        <w:left w:val="none" w:sz="0" w:space="0" w:color="auto"/>
        <w:bottom w:val="none" w:sz="0" w:space="0" w:color="auto"/>
        <w:right w:val="none" w:sz="0" w:space="0" w:color="auto"/>
      </w:divBdr>
    </w:div>
    <w:div w:id="1755737540">
      <w:bodyDiv w:val="1"/>
      <w:marLeft w:val="0"/>
      <w:marRight w:val="0"/>
      <w:marTop w:val="0"/>
      <w:marBottom w:val="0"/>
      <w:divBdr>
        <w:top w:val="none" w:sz="0" w:space="0" w:color="auto"/>
        <w:left w:val="none" w:sz="0" w:space="0" w:color="auto"/>
        <w:bottom w:val="none" w:sz="0" w:space="0" w:color="auto"/>
        <w:right w:val="none" w:sz="0" w:space="0" w:color="auto"/>
      </w:divBdr>
    </w:div>
    <w:div w:id="1755738254">
      <w:bodyDiv w:val="1"/>
      <w:marLeft w:val="0"/>
      <w:marRight w:val="0"/>
      <w:marTop w:val="0"/>
      <w:marBottom w:val="0"/>
      <w:divBdr>
        <w:top w:val="none" w:sz="0" w:space="0" w:color="auto"/>
        <w:left w:val="none" w:sz="0" w:space="0" w:color="auto"/>
        <w:bottom w:val="none" w:sz="0" w:space="0" w:color="auto"/>
        <w:right w:val="none" w:sz="0" w:space="0" w:color="auto"/>
      </w:divBdr>
    </w:div>
    <w:div w:id="1755779945">
      <w:bodyDiv w:val="1"/>
      <w:marLeft w:val="0"/>
      <w:marRight w:val="0"/>
      <w:marTop w:val="0"/>
      <w:marBottom w:val="0"/>
      <w:divBdr>
        <w:top w:val="none" w:sz="0" w:space="0" w:color="auto"/>
        <w:left w:val="none" w:sz="0" w:space="0" w:color="auto"/>
        <w:bottom w:val="none" w:sz="0" w:space="0" w:color="auto"/>
        <w:right w:val="none" w:sz="0" w:space="0" w:color="auto"/>
      </w:divBdr>
    </w:div>
    <w:div w:id="1755783837">
      <w:bodyDiv w:val="1"/>
      <w:marLeft w:val="0"/>
      <w:marRight w:val="0"/>
      <w:marTop w:val="0"/>
      <w:marBottom w:val="0"/>
      <w:divBdr>
        <w:top w:val="none" w:sz="0" w:space="0" w:color="auto"/>
        <w:left w:val="none" w:sz="0" w:space="0" w:color="auto"/>
        <w:bottom w:val="none" w:sz="0" w:space="0" w:color="auto"/>
        <w:right w:val="none" w:sz="0" w:space="0" w:color="auto"/>
      </w:divBdr>
    </w:div>
    <w:div w:id="1755931849">
      <w:bodyDiv w:val="1"/>
      <w:marLeft w:val="0"/>
      <w:marRight w:val="0"/>
      <w:marTop w:val="0"/>
      <w:marBottom w:val="0"/>
      <w:divBdr>
        <w:top w:val="none" w:sz="0" w:space="0" w:color="auto"/>
        <w:left w:val="none" w:sz="0" w:space="0" w:color="auto"/>
        <w:bottom w:val="none" w:sz="0" w:space="0" w:color="auto"/>
        <w:right w:val="none" w:sz="0" w:space="0" w:color="auto"/>
      </w:divBdr>
    </w:div>
    <w:div w:id="1755933287">
      <w:bodyDiv w:val="1"/>
      <w:marLeft w:val="0"/>
      <w:marRight w:val="0"/>
      <w:marTop w:val="0"/>
      <w:marBottom w:val="0"/>
      <w:divBdr>
        <w:top w:val="none" w:sz="0" w:space="0" w:color="auto"/>
        <w:left w:val="none" w:sz="0" w:space="0" w:color="auto"/>
        <w:bottom w:val="none" w:sz="0" w:space="0" w:color="auto"/>
        <w:right w:val="none" w:sz="0" w:space="0" w:color="auto"/>
      </w:divBdr>
    </w:div>
    <w:div w:id="1755936243">
      <w:bodyDiv w:val="1"/>
      <w:marLeft w:val="0"/>
      <w:marRight w:val="0"/>
      <w:marTop w:val="0"/>
      <w:marBottom w:val="0"/>
      <w:divBdr>
        <w:top w:val="none" w:sz="0" w:space="0" w:color="auto"/>
        <w:left w:val="none" w:sz="0" w:space="0" w:color="auto"/>
        <w:bottom w:val="none" w:sz="0" w:space="0" w:color="auto"/>
        <w:right w:val="none" w:sz="0" w:space="0" w:color="auto"/>
      </w:divBdr>
    </w:div>
    <w:div w:id="1755971628">
      <w:bodyDiv w:val="1"/>
      <w:marLeft w:val="0"/>
      <w:marRight w:val="0"/>
      <w:marTop w:val="0"/>
      <w:marBottom w:val="0"/>
      <w:divBdr>
        <w:top w:val="none" w:sz="0" w:space="0" w:color="auto"/>
        <w:left w:val="none" w:sz="0" w:space="0" w:color="auto"/>
        <w:bottom w:val="none" w:sz="0" w:space="0" w:color="auto"/>
        <w:right w:val="none" w:sz="0" w:space="0" w:color="auto"/>
      </w:divBdr>
    </w:div>
    <w:div w:id="1755975564">
      <w:bodyDiv w:val="1"/>
      <w:marLeft w:val="0"/>
      <w:marRight w:val="0"/>
      <w:marTop w:val="0"/>
      <w:marBottom w:val="0"/>
      <w:divBdr>
        <w:top w:val="none" w:sz="0" w:space="0" w:color="auto"/>
        <w:left w:val="none" w:sz="0" w:space="0" w:color="auto"/>
        <w:bottom w:val="none" w:sz="0" w:space="0" w:color="auto"/>
        <w:right w:val="none" w:sz="0" w:space="0" w:color="auto"/>
      </w:divBdr>
    </w:div>
    <w:div w:id="1755977580">
      <w:bodyDiv w:val="1"/>
      <w:marLeft w:val="0"/>
      <w:marRight w:val="0"/>
      <w:marTop w:val="0"/>
      <w:marBottom w:val="0"/>
      <w:divBdr>
        <w:top w:val="none" w:sz="0" w:space="0" w:color="auto"/>
        <w:left w:val="none" w:sz="0" w:space="0" w:color="auto"/>
        <w:bottom w:val="none" w:sz="0" w:space="0" w:color="auto"/>
        <w:right w:val="none" w:sz="0" w:space="0" w:color="auto"/>
      </w:divBdr>
    </w:div>
    <w:div w:id="1756441938">
      <w:bodyDiv w:val="1"/>
      <w:marLeft w:val="0"/>
      <w:marRight w:val="0"/>
      <w:marTop w:val="0"/>
      <w:marBottom w:val="0"/>
      <w:divBdr>
        <w:top w:val="none" w:sz="0" w:space="0" w:color="auto"/>
        <w:left w:val="none" w:sz="0" w:space="0" w:color="auto"/>
        <w:bottom w:val="none" w:sz="0" w:space="0" w:color="auto"/>
        <w:right w:val="none" w:sz="0" w:space="0" w:color="auto"/>
      </w:divBdr>
    </w:div>
    <w:div w:id="1756629618">
      <w:bodyDiv w:val="1"/>
      <w:marLeft w:val="0"/>
      <w:marRight w:val="0"/>
      <w:marTop w:val="0"/>
      <w:marBottom w:val="0"/>
      <w:divBdr>
        <w:top w:val="none" w:sz="0" w:space="0" w:color="auto"/>
        <w:left w:val="none" w:sz="0" w:space="0" w:color="auto"/>
        <w:bottom w:val="none" w:sz="0" w:space="0" w:color="auto"/>
        <w:right w:val="none" w:sz="0" w:space="0" w:color="auto"/>
      </w:divBdr>
    </w:div>
    <w:div w:id="1756785841">
      <w:bodyDiv w:val="1"/>
      <w:marLeft w:val="0"/>
      <w:marRight w:val="0"/>
      <w:marTop w:val="0"/>
      <w:marBottom w:val="0"/>
      <w:divBdr>
        <w:top w:val="none" w:sz="0" w:space="0" w:color="auto"/>
        <w:left w:val="none" w:sz="0" w:space="0" w:color="auto"/>
        <w:bottom w:val="none" w:sz="0" w:space="0" w:color="auto"/>
        <w:right w:val="none" w:sz="0" w:space="0" w:color="auto"/>
      </w:divBdr>
    </w:div>
    <w:div w:id="1756899085">
      <w:bodyDiv w:val="1"/>
      <w:marLeft w:val="0"/>
      <w:marRight w:val="0"/>
      <w:marTop w:val="0"/>
      <w:marBottom w:val="0"/>
      <w:divBdr>
        <w:top w:val="none" w:sz="0" w:space="0" w:color="auto"/>
        <w:left w:val="none" w:sz="0" w:space="0" w:color="auto"/>
        <w:bottom w:val="none" w:sz="0" w:space="0" w:color="auto"/>
        <w:right w:val="none" w:sz="0" w:space="0" w:color="auto"/>
      </w:divBdr>
    </w:div>
    <w:div w:id="1756973720">
      <w:bodyDiv w:val="1"/>
      <w:marLeft w:val="0"/>
      <w:marRight w:val="0"/>
      <w:marTop w:val="0"/>
      <w:marBottom w:val="0"/>
      <w:divBdr>
        <w:top w:val="none" w:sz="0" w:space="0" w:color="auto"/>
        <w:left w:val="none" w:sz="0" w:space="0" w:color="auto"/>
        <w:bottom w:val="none" w:sz="0" w:space="0" w:color="auto"/>
        <w:right w:val="none" w:sz="0" w:space="0" w:color="auto"/>
      </w:divBdr>
    </w:div>
    <w:div w:id="1756974669">
      <w:bodyDiv w:val="1"/>
      <w:marLeft w:val="0"/>
      <w:marRight w:val="0"/>
      <w:marTop w:val="0"/>
      <w:marBottom w:val="0"/>
      <w:divBdr>
        <w:top w:val="none" w:sz="0" w:space="0" w:color="auto"/>
        <w:left w:val="none" w:sz="0" w:space="0" w:color="auto"/>
        <w:bottom w:val="none" w:sz="0" w:space="0" w:color="auto"/>
        <w:right w:val="none" w:sz="0" w:space="0" w:color="auto"/>
      </w:divBdr>
    </w:div>
    <w:div w:id="1756974694">
      <w:bodyDiv w:val="1"/>
      <w:marLeft w:val="0"/>
      <w:marRight w:val="0"/>
      <w:marTop w:val="0"/>
      <w:marBottom w:val="0"/>
      <w:divBdr>
        <w:top w:val="none" w:sz="0" w:space="0" w:color="auto"/>
        <w:left w:val="none" w:sz="0" w:space="0" w:color="auto"/>
        <w:bottom w:val="none" w:sz="0" w:space="0" w:color="auto"/>
        <w:right w:val="none" w:sz="0" w:space="0" w:color="auto"/>
      </w:divBdr>
    </w:div>
    <w:div w:id="1756977610">
      <w:bodyDiv w:val="1"/>
      <w:marLeft w:val="0"/>
      <w:marRight w:val="0"/>
      <w:marTop w:val="0"/>
      <w:marBottom w:val="0"/>
      <w:divBdr>
        <w:top w:val="none" w:sz="0" w:space="0" w:color="auto"/>
        <w:left w:val="none" w:sz="0" w:space="0" w:color="auto"/>
        <w:bottom w:val="none" w:sz="0" w:space="0" w:color="auto"/>
        <w:right w:val="none" w:sz="0" w:space="0" w:color="auto"/>
      </w:divBdr>
    </w:div>
    <w:div w:id="1757241223">
      <w:bodyDiv w:val="1"/>
      <w:marLeft w:val="0"/>
      <w:marRight w:val="0"/>
      <w:marTop w:val="0"/>
      <w:marBottom w:val="0"/>
      <w:divBdr>
        <w:top w:val="none" w:sz="0" w:space="0" w:color="auto"/>
        <w:left w:val="none" w:sz="0" w:space="0" w:color="auto"/>
        <w:bottom w:val="none" w:sz="0" w:space="0" w:color="auto"/>
        <w:right w:val="none" w:sz="0" w:space="0" w:color="auto"/>
      </w:divBdr>
    </w:div>
    <w:div w:id="1757284366">
      <w:bodyDiv w:val="1"/>
      <w:marLeft w:val="0"/>
      <w:marRight w:val="0"/>
      <w:marTop w:val="0"/>
      <w:marBottom w:val="0"/>
      <w:divBdr>
        <w:top w:val="none" w:sz="0" w:space="0" w:color="auto"/>
        <w:left w:val="none" w:sz="0" w:space="0" w:color="auto"/>
        <w:bottom w:val="none" w:sz="0" w:space="0" w:color="auto"/>
        <w:right w:val="none" w:sz="0" w:space="0" w:color="auto"/>
      </w:divBdr>
    </w:div>
    <w:div w:id="1757285481">
      <w:bodyDiv w:val="1"/>
      <w:marLeft w:val="0"/>
      <w:marRight w:val="0"/>
      <w:marTop w:val="0"/>
      <w:marBottom w:val="0"/>
      <w:divBdr>
        <w:top w:val="none" w:sz="0" w:space="0" w:color="auto"/>
        <w:left w:val="none" w:sz="0" w:space="0" w:color="auto"/>
        <w:bottom w:val="none" w:sz="0" w:space="0" w:color="auto"/>
        <w:right w:val="none" w:sz="0" w:space="0" w:color="auto"/>
      </w:divBdr>
    </w:div>
    <w:div w:id="1757314669">
      <w:bodyDiv w:val="1"/>
      <w:marLeft w:val="0"/>
      <w:marRight w:val="0"/>
      <w:marTop w:val="0"/>
      <w:marBottom w:val="0"/>
      <w:divBdr>
        <w:top w:val="none" w:sz="0" w:space="0" w:color="auto"/>
        <w:left w:val="none" w:sz="0" w:space="0" w:color="auto"/>
        <w:bottom w:val="none" w:sz="0" w:space="0" w:color="auto"/>
        <w:right w:val="none" w:sz="0" w:space="0" w:color="auto"/>
      </w:divBdr>
    </w:div>
    <w:div w:id="1757358079">
      <w:bodyDiv w:val="1"/>
      <w:marLeft w:val="0"/>
      <w:marRight w:val="0"/>
      <w:marTop w:val="0"/>
      <w:marBottom w:val="0"/>
      <w:divBdr>
        <w:top w:val="none" w:sz="0" w:space="0" w:color="auto"/>
        <w:left w:val="none" w:sz="0" w:space="0" w:color="auto"/>
        <w:bottom w:val="none" w:sz="0" w:space="0" w:color="auto"/>
        <w:right w:val="none" w:sz="0" w:space="0" w:color="auto"/>
      </w:divBdr>
    </w:div>
    <w:div w:id="1757433301">
      <w:bodyDiv w:val="1"/>
      <w:marLeft w:val="0"/>
      <w:marRight w:val="0"/>
      <w:marTop w:val="0"/>
      <w:marBottom w:val="0"/>
      <w:divBdr>
        <w:top w:val="none" w:sz="0" w:space="0" w:color="auto"/>
        <w:left w:val="none" w:sz="0" w:space="0" w:color="auto"/>
        <w:bottom w:val="none" w:sz="0" w:space="0" w:color="auto"/>
        <w:right w:val="none" w:sz="0" w:space="0" w:color="auto"/>
      </w:divBdr>
    </w:div>
    <w:div w:id="1757435501">
      <w:bodyDiv w:val="1"/>
      <w:marLeft w:val="0"/>
      <w:marRight w:val="0"/>
      <w:marTop w:val="0"/>
      <w:marBottom w:val="0"/>
      <w:divBdr>
        <w:top w:val="none" w:sz="0" w:space="0" w:color="auto"/>
        <w:left w:val="none" w:sz="0" w:space="0" w:color="auto"/>
        <w:bottom w:val="none" w:sz="0" w:space="0" w:color="auto"/>
        <w:right w:val="none" w:sz="0" w:space="0" w:color="auto"/>
      </w:divBdr>
    </w:div>
    <w:div w:id="1757507550">
      <w:bodyDiv w:val="1"/>
      <w:marLeft w:val="0"/>
      <w:marRight w:val="0"/>
      <w:marTop w:val="0"/>
      <w:marBottom w:val="0"/>
      <w:divBdr>
        <w:top w:val="none" w:sz="0" w:space="0" w:color="auto"/>
        <w:left w:val="none" w:sz="0" w:space="0" w:color="auto"/>
        <w:bottom w:val="none" w:sz="0" w:space="0" w:color="auto"/>
        <w:right w:val="none" w:sz="0" w:space="0" w:color="auto"/>
      </w:divBdr>
    </w:div>
    <w:div w:id="1757550197">
      <w:bodyDiv w:val="1"/>
      <w:marLeft w:val="0"/>
      <w:marRight w:val="0"/>
      <w:marTop w:val="0"/>
      <w:marBottom w:val="0"/>
      <w:divBdr>
        <w:top w:val="none" w:sz="0" w:space="0" w:color="auto"/>
        <w:left w:val="none" w:sz="0" w:space="0" w:color="auto"/>
        <w:bottom w:val="none" w:sz="0" w:space="0" w:color="auto"/>
        <w:right w:val="none" w:sz="0" w:space="0" w:color="auto"/>
      </w:divBdr>
    </w:div>
    <w:div w:id="1757551084">
      <w:bodyDiv w:val="1"/>
      <w:marLeft w:val="0"/>
      <w:marRight w:val="0"/>
      <w:marTop w:val="0"/>
      <w:marBottom w:val="0"/>
      <w:divBdr>
        <w:top w:val="none" w:sz="0" w:space="0" w:color="auto"/>
        <w:left w:val="none" w:sz="0" w:space="0" w:color="auto"/>
        <w:bottom w:val="none" w:sz="0" w:space="0" w:color="auto"/>
        <w:right w:val="none" w:sz="0" w:space="0" w:color="auto"/>
      </w:divBdr>
    </w:div>
    <w:div w:id="1757704482">
      <w:bodyDiv w:val="1"/>
      <w:marLeft w:val="0"/>
      <w:marRight w:val="0"/>
      <w:marTop w:val="0"/>
      <w:marBottom w:val="0"/>
      <w:divBdr>
        <w:top w:val="none" w:sz="0" w:space="0" w:color="auto"/>
        <w:left w:val="none" w:sz="0" w:space="0" w:color="auto"/>
        <w:bottom w:val="none" w:sz="0" w:space="0" w:color="auto"/>
        <w:right w:val="none" w:sz="0" w:space="0" w:color="auto"/>
      </w:divBdr>
    </w:div>
    <w:div w:id="1757821833">
      <w:bodyDiv w:val="1"/>
      <w:marLeft w:val="0"/>
      <w:marRight w:val="0"/>
      <w:marTop w:val="0"/>
      <w:marBottom w:val="0"/>
      <w:divBdr>
        <w:top w:val="none" w:sz="0" w:space="0" w:color="auto"/>
        <w:left w:val="none" w:sz="0" w:space="0" w:color="auto"/>
        <w:bottom w:val="none" w:sz="0" w:space="0" w:color="auto"/>
        <w:right w:val="none" w:sz="0" w:space="0" w:color="auto"/>
      </w:divBdr>
    </w:div>
    <w:div w:id="1757943638">
      <w:bodyDiv w:val="1"/>
      <w:marLeft w:val="0"/>
      <w:marRight w:val="0"/>
      <w:marTop w:val="0"/>
      <w:marBottom w:val="0"/>
      <w:divBdr>
        <w:top w:val="none" w:sz="0" w:space="0" w:color="auto"/>
        <w:left w:val="none" w:sz="0" w:space="0" w:color="auto"/>
        <w:bottom w:val="none" w:sz="0" w:space="0" w:color="auto"/>
        <w:right w:val="none" w:sz="0" w:space="0" w:color="auto"/>
      </w:divBdr>
    </w:div>
    <w:div w:id="1758088719">
      <w:bodyDiv w:val="1"/>
      <w:marLeft w:val="0"/>
      <w:marRight w:val="0"/>
      <w:marTop w:val="0"/>
      <w:marBottom w:val="0"/>
      <w:divBdr>
        <w:top w:val="none" w:sz="0" w:space="0" w:color="auto"/>
        <w:left w:val="none" w:sz="0" w:space="0" w:color="auto"/>
        <w:bottom w:val="none" w:sz="0" w:space="0" w:color="auto"/>
        <w:right w:val="none" w:sz="0" w:space="0" w:color="auto"/>
      </w:divBdr>
    </w:div>
    <w:div w:id="1758089298">
      <w:bodyDiv w:val="1"/>
      <w:marLeft w:val="0"/>
      <w:marRight w:val="0"/>
      <w:marTop w:val="0"/>
      <w:marBottom w:val="0"/>
      <w:divBdr>
        <w:top w:val="none" w:sz="0" w:space="0" w:color="auto"/>
        <w:left w:val="none" w:sz="0" w:space="0" w:color="auto"/>
        <w:bottom w:val="none" w:sz="0" w:space="0" w:color="auto"/>
        <w:right w:val="none" w:sz="0" w:space="0" w:color="auto"/>
      </w:divBdr>
    </w:div>
    <w:div w:id="1758211342">
      <w:bodyDiv w:val="1"/>
      <w:marLeft w:val="0"/>
      <w:marRight w:val="0"/>
      <w:marTop w:val="0"/>
      <w:marBottom w:val="0"/>
      <w:divBdr>
        <w:top w:val="none" w:sz="0" w:space="0" w:color="auto"/>
        <w:left w:val="none" w:sz="0" w:space="0" w:color="auto"/>
        <w:bottom w:val="none" w:sz="0" w:space="0" w:color="auto"/>
        <w:right w:val="none" w:sz="0" w:space="0" w:color="auto"/>
      </w:divBdr>
    </w:div>
    <w:div w:id="1758214262">
      <w:bodyDiv w:val="1"/>
      <w:marLeft w:val="0"/>
      <w:marRight w:val="0"/>
      <w:marTop w:val="0"/>
      <w:marBottom w:val="0"/>
      <w:divBdr>
        <w:top w:val="none" w:sz="0" w:space="0" w:color="auto"/>
        <w:left w:val="none" w:sz="0" w:space="0" w:color="auto"/>
        <w:bottom w:val="none" w:sz="0" w:space="0" w:color="auto"/>
        <w:right w:val="none" w:sz="0" w:space="0" w:color="auto"/>
      </w:divBdr>
    </w:div>
    <w:div w:id="1758214479">
      <w:bodyDiv w:val="1"/>
      <w:marLeft w:val="0"/>
      <w:marRight w:val="0"/>
      <w:marTop w:val="0"/>
      <w:marBottom w:val="0"/>
      <w:divBdr>
        <w:top w:val="none" w:sz="0" w:space="0" w:color="auto"/>
        <w:left w:val="none" w:sz="0" w:space="0" w:color="auto"/>
        <w:bottom w:val="none" w:sz="0" w:space="0" w:color="auto"/>
        <w:right w:val="none" w:sz="0" w:space="0" w:color="auto"/>
      </w:divBdr>
    </w:div>
    <w:div w:id="1758284834">
      <w:bodyDiv w:val="1"/>
      <w:marLeft w:val="0"/>
      <w:marRight w:val="0"/>
      <w:marTop w:val="0"/>
      <w:marBottom w:val="0"/>
      <w:divBdr>
        <w:top w:val="none" w:sz="0" w:space="0" w:color="auto"/>
        <w:left w:val="none" w:sz="0" w:space="0" w:color="auto"/>
        <w:bottom w:val="none" w:sz="0" w:space="0" w:color="auto"/>
        <w:right w:val="none" w:sz="0" w:space="0" w:color="auto"/>
      </w:divBdr>
    </w:div>
    <w:div w:id="1758287955">
      <w:bodyDiv w:val="1"/>
      <w:marLeft w:val="0"/>
      <w:marRight w:val="0"/>
      <w:marTop w:val="0"/>
      <w:marBottom w:val="0"/>
      <w:divBdr>
        <w:top w:val="none" w:sz="0" w:space="0" w:color="auto"/>
        <w:left w:val="none" w:sz="0" w:space="0" w:color="auto"/>
        <w:bottom w:val="none" w:sz="0" w:space="0" w:color="auto"/>
        <w:right w:val="none" w:sz="0" w:space="0" w:color="auto"/>
      </w:divBdr>
    </w:div>
    <w:div w:id="1758331227">
      <w:bodyDiv w:val="1"/>
      <w:marLeft w:val="0"/>
      <w:marRight w:val="0"/>
      <w:marTop w:val="0"/>
      <w:marBottom w:val="0"/>
      <w:divBdr>
        <w:top w:val="none" w:sz="0" w:space="0" w:color="auto"/>
        <w:left w:val="none" w:sz="0" w:space="0" w:color="auto"/>
        <w:bottom w:val="none" w:sz="0" w:space="0" w:color="auto"/>
        <w:right w:val="none" w:sz="0" w:space="0" w:color="auto"/>
      </w:divBdr>
    </w:div>
    <w:div w:id="1758359681">
      <w:bodyDiv w:val="1"/>
      <w:marLeft w:val="0"/>
      <w:marRight w:val="0"/>
      <w:marTop w:val="0"/>
      <w:marBottom w:val="0"/>
      <w:divBdr>
        <w:top w:val="none" w:sz="0" w:space="0" w:color="auto"/>
        <w:left w:val="none" w:sz="0" w:space="0" w:color="auto"/>
        <w:bottom w:val="none" w:sz="0" w:space="0" w:color="auto"/>
        <w:right w:val="none" w:sz="0" w:space="0" w:color="auto"/>
      </w:divBdr>
    </w:div>
    <w:div w:id="1758404455">
      <w:bodyDiv w:val="1"/>
      <w:marLeft w:val="0"/>
      <w:marRight w:val="0"/>
      <w:marTop w:val="0"/>
      <w:marBottom w:val="0"/>
      <w:divBdr>
        <w:top w:val="none" w:sz="0" w:space="0" w:color="auto"/>
        <w:left w:val="none" w:sz="0" w:space="0" w:color="auto"/>
        <w:bottom w:val="none" w:sz="0" w:space="0" w:color="auto"/>
        <w:right w:val="none" w:sz="0" w:space="0" w:color="auto"/>
      </w:divBdr>
    </w:div>
    <w:div w:id="1758550103">
      <w:bodyDiv w:val="1"/>
      <w:marLeft w:val="0"/>
      <w:marRight w:val="0"/>
      <w:marTop w:val="0"/>
      <w:marBottom w:val="0"/>
      <w:divBdr>
        <w:top w:val="none" w:sz="0" w:space="0" w:color="auto"/>
        <w:left w:val="none" w:sz="0" w:space="0" w:color="auto"/>
        <w:bottom w:val="none" w:sz="0" w:space="0" w:color="auto"/>
        <w:right w:val="none" w:sz="0" w:space="0" w:color="auto"/>
      </w:divBdr>
    </w:div>
    <w:div w:id="1758551019">
      <w:bodyDiv w:val="1"/>
      <w:marLeft w:val="0"/>
      <w:marRight w:val="0"/>
      <w:marTop w:val="0"/>
      <w:marBottom w:val="0"/>
      <w:divBdr>
        <w:top w:val="none" w:sz="0" w:space="0" w:color="auto"/>
        <w:left w:val="none" w:sz="0" w:space="0" w:color="auto"/>
        <w:bottom w:val="none" w:sz="0" w:space="0" w:color="auto"/>
        <w:right w:val="none" w:sz="0" w:space="0" w:color="auto"/>
      </w:divBdr>
    </w:div>
    <w:div w:id="1758595220">
      <w:bodyDiv w:val="1"/>
      <w:marLeft w:val="0"/>
      <w:marRight w:val="0"/>
      <w:marTop w:val="0"/>
      <w:marBottom w:val="0"/>
      <w:divBdr>
        <w:top w:val="none" w:sz="0" w:space="0" w:color="auto"/>
        <w:left w:val="none" w:sz="0" w:space="0" w:color="auto"/>
        <w:bottom w:val="none" w:sz="0" w:space="0" w:color="auto"/>
        <w:right w:val="none" w:sz="0" w:space="0" w:color="auto"/>
      </w:divBdr>
    </w:div>
    <w:div w:id="1758598193">
      <w:bodyDiv w:val="1"/>
      <w:marLeft w:val="0"/>
      <w:marRight w:val="0"/>
      <w:marTop w:val="0"/>
      <w:marBottom w:val="0"/>
      <w:divBdr>
        <w:top w:val="none" w:sz="0" w:space="0" w:color="auto"/>
        <w:left w:val="none" w:sz="0" w:space="0" w:color="auto"/>
        <w:bottom w:val="none" w:sz="0" w:space="0" w:color="auto"/>
        <w:right w:val="none" w:sz="0" w:space="0" w:color="auto"/>
      </w:divBdr>
    </w:div>
    <w:div w:id="1758598895">
      <w:bodyDiv w:val="1"/>
      <w:marLeft w:val="0"/>
      <w:marRight w:val="0"/>
      <w:marTop w:val="0"/>
      <w:marBottom w:val="0"/>
      <w:divBdr>
        <w:top w:val="none" w:sz="0" w:space="0" w:color="auto"/>
        <w:left w:val="none" w:sz="0" w:space="0" w:color="auto"/>
        <w:bottom w:val="none" w:sz="0" w:space="0" w:color="auto"/>
        <w:right w:val="none" w:sz="0" w:space="0" w:color="auto"/>
      </w:divBdr>
    </w:div>
    <w:div w:id="1758669739">
      <w:bodyDiv w:val="1"/>
      <w:marLeft w:val="0"/>
      <w:marRight w:val="0"/>
      <w:marTop w:val="0"/>
      <w:marBottom w:val="0"/>
      <w:divBdr>
        <w:top w:val="none" w:sz="0" w:space="0" w:color="auto"/>
        <w:left w:val="none" w:sz="0" w:space="0" w:color="auto"/>
        <w:bottom w:val="none" w:sz="0" w:space="0" w:color="auto"/>
        <w:right w:val="none" w:sz="0" w:space="0" w:color="auto"/>
      </w:divBdr>
    </w:div>
    <w:div w:id="1758743673">
      <w:bodyDiv w:val="1"/>
      <w:marLeft w:val="0"/>
      <w:marRight w:val="0"/>
      <w:marTop w:val="0"/>
      <w:marBottom w:val="0"/>
      <w:divBdr>
        <w:top w:val="none" w:sz="0" w:space="0" w:color="auto"/>
        <w:left w:val="none" w:sz="0" w:space="0" w:color="auto"/>
        <w:bottom w:val="none" w:sz="0" w:space="0" w:color="auto"/>
        <w:right w:val="none" w:sz="0" w:space="0" w:color="auto"/>
      </w:divBdr>
    </w:div>
    <w:div w:id="1758865460">
      <w:bodyDiv w:val="1"/>
      <w:marLeft w:val="0"/>
      <w:marRight w:val="0"/>
      <w:marTop w:val="0"/>
      <w:marBottom w:val="0"/>
      <w:divBdr>
        <w:top w:val="none" w:sz="0" w:space="0" w:color="auto"/>
        <w:left w:val="none" w:sz="0" w:space="0" w:color="auto"/>
        <w:bottom w:val="none" w:sz="0" w:space="0" w:color="auto"/>
        <w:right w:val="none" w:sz="0" w:space="0" w:color="auto"/>
      </w:divBdr>
    </w:div>
    <w:div w:id="1758986465">
      <w:bodyDiv w:val="1"/>
      <w:marLeft w:val="0"/>
      <w:marRight w:val="0"/>
      <w:marTop w:val="0"/>
      <w:marBottom w:val="0"/>
      <w:divBdr>
        <w:top w:val="none" w:sz="0" w:space="0" w:color="auto"/>
        <w:left w:val="none" w:sz="0" w:space="0" w:color="auto"/>
        <w:bottom w:val="none" w:sz="0" w:space="0" w:color="auto"/>
        <w:right w:val="none" w:sz="0" w:space="0" w:color="auto"/>
      </w:divBdr>
    </w:div>
    <w:div w:id="1759135331">
      <w:bodyDiv w:val="1"/>
      <w:marLeft w:val="0"/>
      <w:marRight w:val="0"/>
      <w:marTop w:val="0"/>
      <w:marBottom w:val="0"/>
      <w:divBdr>
        <w:top w:val="none" w:sz="0" w:space="0" w:color="auto"/>
        <w:left w:val="none" w:sz="0" w:space="0" w:color="auto"/>
        <w:bottom w:val="none" w:sz="0" w:space="0" w:color="auto"/>
        <w:right w:val="none" w:sz="0" w:space="0" w:color="auto"/>
      </w:divBdr>
    </w:div>
    <w:div w:id="1759212658">
      <w:bodyDiv w:val="1"/>
      <w:marLeft w:val="0"/>
      <w:marRight w:val="0"/>
      <w:marTop w:val="0"/>
      <w:marBottom w:val="0"/>
      <w:divBdr>
        <w:top w:val="none" w:sz="0" w:space="0" w:color="auto"/>
        <w:left w:val="none" w:sz="0" w:space="0" w:color="auto"/>
        <w:bottom w:val="none" w:sz="0" w:space="0" w:color="auto"/>
        <w:right w:val="none" w:sz="0" w:space="0" w:color="auto"/>
      </w:divBdr>
    </w:div>
    <w:div w:id="1759324683">
      <w:bodyDiv w:val="1"/>
      <w:marLeft w:val="0"/>
      <w:marRight w:val="0"/>
      <w:marTop w:val="0"/>
      <w:marBottom w:val="0"/>
      <w:divBdr>
        <w:top w:val="none" w:sz="0" w:space="0" w:color="auto"/>
        <w:left w:val="none" w:sz="0" w:space="0" w:color="auto"/>
        <w:bottom w:val="none" w:sz="0" w:space="0" w:color="auto"/>
        <w:right w:val="none" w:sz="0" w:space="0" w:color="auto"/>
      </w:divBdr>
    </w:div>
    <w:div w:id="1759404039">
      <w:bodyDiv w:val="1"/>
      <w:marLeft w:val="0"/>
      <w:marRight w:val="0"/>
      <w:marTop w:val="0"/>
      <w:marBottom w:val="0"/>
      <w:divBdr>
        <w:top w:val="none" w:sz="0" w:space="0" w:color="auto"/>
        <w:left w:val="none" w:sz="0" w:space="0" w:color="auto"/>
        <w:bottom w:val="none" w:sz="0" w:space="0" w:color="auto"/>
        <w:right w:val="none" w:sz="0" w:space="0" w:color="auto"/>
      </w:divBdr>
    </w:div>
    <w:div w:id="1759406001">
      <w:bodyDiv w:val="1"/>
      <w:marLeft w:val="0"/>
      <w:marRight w:val="0"/>
      <w:marTop w:val="0"/>
      <w:marBottom w:val="0"/>
      <w:divBdr>
        <w:top w:val="none" w:sz="0" w:space="0" w:color="auto"/>
        <w:left w:val="none" w:sz="0" w:space="0" w:color="auto"/>
        <w:bottom w:val="none" w:sz="0" w:space="0" w:color="auto"/>
        <w:right w:val="none" w:sz="0" w:space="0" w:color="auto"/>
      </w:divBdr>
    </w:div>
    <w:div w:id="1759448357">
      <w:bodyDiv w:val="1"/>
      <w:marLeft w:val="0"/>
      <w:marRight w:val="0"/>
      <w:marTop w:val="0"/>
      <w:marBottom w:val="0"/>
      <w:divBdr>
        <w:top w:val="none" w:sz="0" w:space="0" w:color="auto"/>
        <w:left w:val="none" w:sz="0" w:space="0" w:color="auto"/>
        <w:bottom w:val="none" w:sz="0" w:space="0" w:color="auto"/>
        <w:right w:val="none" w:sz="0" w:space="0" w:color="auto"/>
      </w:divBdr>
    </w:div>
    <w:div w:id="1759515878">
      <w:bodyDiv w:val="1"/>
      <w:marLeft w:val="0"/>
      <w:marRight w:val="0"/>
      <w:marTop w:val="0"/>
      <w:marBottom w:val="0"/>
      <w:divBdr>
        <w:top w:val="none" w:sz="0" w:space="0" w:color="auto"/>
        <w:left w:val="none" w:sz="0" w:space="0" w:color="auto"/>
        <w:bottom w:val="none" w:sz="0" w:space="0" w:color="auto"/>
        <w:right w:val="none" w:sz="0" w:space="0" w:color="auto"/>
      </w:divBdr>
    </w:div>
    <w:div w:id="1759516657">
      <w:bodyDiv w:val="1"/>
      <w:marLeft w:val="0"/>
      <w:marRight w:val="0"/>
      <w:marTop w:val="0"/>
      <w:marBottom w:val="0"/>
      <w:divBdr>
        <w:top w:val="none" w:sz="0" w:space="0" w:color="auto"/>
        <w:left w:val="none" w:sz="0" w:space="0" w:color="auto"/>
        <w:bottom w:val="none" w:sz="0" w:space="0" w:color="auto"/>
        <w:right w:val="none" w:sz="0" w:space="0" w:color="auto"/>
      </w:divBdr>
    </w:div>
    <w:div w:id="1759520069">
      <w:bodyDiv w:val="1"/>
      <w:marLeft w:val="0"/>
      <w:marRight w:val="0"/>
      <w:marTop w:val="0"/>
      <w:marBottom w:val="0"/>
      <w:divBdr>
        <w:top w:val="none" w:sz="0" w:space="0" w:color="auto"/>
        <w:left w:val="none" w:sz="0" w:space="0" w:color="auto"/>
        <w:bottom w:val="none" w:sz="0" w:space="0" w:color="auto"/>
        <w:right w:val="none" w:sz="0" w:space="0" w:color="auto"/>
      </w:divBdr>
    </w:div>
    <w:div w:id="1759668722">
      <w:bodyDiv w:val="1"/>
      <w:marLeft w:val="0"/>
      <w:marRight w:val="0"/>
      <w:marTop w:val="0"/>
      <w:marBottom w:val="0"/>
      <w:divBdr>
        <w:top w:val="none" w:sz="0" w:space="0" w:color="auto"/>
        <w:left w:val="none" w:sz="0" w:space="0" w:color="auto"/>
        <w:bottom w:val="none" w:sz="0" w:space="0" w:color="auto"/>
        <w:right w:val="none" w:sz="0" w:space="0" w:color="auto"/>
      </w:divBdr>
    </w:div>
    <w:div w:id="1759713527">
      <w:bodyDiv w:val="1"/>
      <w:marLeft w:val="0"/>
      <w:marRight w:val="0"/>
      <w:marTop w:val="0"/>
      <w:marBottom w:val="0"/>
      <w:divBdr>
        <w:top w:val="none" w:sz="0" w:space="0" w:color="auto"/>
        <w:left w:val="none" w:sz="0" w:space="0" w:color="auto"/>
        <w:bottom w:val="none" w:sz="0" w:space="0" w:color="auto"/>
        <w:right w:val="none" w:sz="0" w:space="0" w:color="auto"/>
      </w:divBdr>
    </w:div>
    <w:div w:id="1759787106">
      <w:bodyDiv w:val="1"/>
      <w:marLeft w:val="0"/>
      <w:marRight w:val="0"/>
      <w:marTop w:val="0"/>
      <w:marBottom w:val="0"/>
      <w:divBdr>
        <w:top w:val="none" w:sz="0" w:space="0" w:color="auto"/>
        <w:left w:val="none" w:sz="0" w:space="0" w:color="auto"/>
        <w:bottom w:val="none" w:sz="0" w:space="0" w:color="auto"/>
        <w:right w:val="none" w:sz="0" w:space="0" w:color="auto"/>
      </w:divBdr>
    </w:div>
    <w:div w:id="1759787748">
      <w:bodyDiv w:val="1"/>
      <w:marLeft w:val="0"/>
      <w:marRight w:val="0"/>
      <w:marTop w:val="0"/>
      <w:marBottom w:val="0"/>
      <w:divBdr>
        <w:top w:val="none" w:sz="0" w:space="0" w:color="auto"/>
        <w:left w:val="none" w:sz="0" w:space="0" w:color="auto"/>
        <w:bottom w:val="none" w:sz="0" w:space="0" w:color="auto"/>
        <w:right w:val="none" w:sz="0" w:space="0" w:color="auto"/>
      </w:divBdr>
    </w:div>
    <w:div w:id="1759907889">
      <w:bodyDiv w:val="1"/>
      <w:marLeft w:val="0"/>
      <w:marRight w:val="0"/>
      <w:marTop w:val="0"/>
      <w:marBottom w:val="0"/>
      <w:divBdr>
        <w:top w:val="none" w:sz="0" w:space="0" w:color="auto"/>
        <w:left w:val="none" w:sz="0" w:space="0" w:color="auto"/>
        <w:bottom w:val="none" w:sz="0" w:space="0" w:color="auto"/>
        <w:right w:val="none" w:sz="0" w:space="0" w:color="auto"/>
      </w:divBdr>
    </w:div>
    <w:div w:id="1760055158">
      <w:bodyDiv w:val="1"/>
      <w:marLeft w:val="0"/>
      <w:marRight w:val="0"/>
      <w:marTop w:val="0"/>
      <w:marBottom w:val="0"/>
      <w:divBdr>
        <w:top w:val="none" w:sz="0" w:space="0" w:color="auto"/>
        <w:left w:val="none" w:sz="0" w:space="0" w:color="auto"/>
        <w:bottom w:val="none" w:sz="0" w:space="0" w:color="auto"/>
        <w:right w:val="none" w:sz="0" w:space="0" w:color="auto"/>
      </w:divBdr>
    </w:div>
    <w:div w:id="1760058216">
      <w:bodyDiv w:val="1"/>
      <w:marLeft w:val="0"/>
      <w:marRight w:val="0"/>
      <w:marTop w:val="0"/>
      <w:marBottom w:val="0"/>
      <w:divBdr>
        <w:top w:val="none" w:sz="0" w:space="0" w:color="auto"/>
        <w:left w:val="none" w:sz="0" w:space="0" w:color="auto"/>
        <w:bottom w:val="none" w:sz="0" w:space="0" w:color="auto"/>
        <w:right w:val="none" w:sz="0" w:space="0" w:color="auto"/>
      </w:divBdr>
    </w:div>
    <w:div w:id="1760102374">
      <w:bodyDiv w:val="1"/>
      <w:marLeft w:val="0"/>
      <w:marRight w:val="0"/>
      <w:marTop w:val="0"/>
      <w:marBottom w:val="0"/>
      <w:divBdr>
        <w:top w:val="none" w:sz="0" w:space="0" w:color="auto"/>
        <w:left w:val="none" w:sz="0" w:space="0" w:color="auto"/>
        <w:bottom w:val="none" w:sz="0" w:space="0" w:color="auto"/>
        <w:right w:val="none" w:sz="0" w:space="0" w:color="auto"/>
      </w:divBdr>
    </w:div>
    <w:div w:id="1760439608">
      <w:bodyDiv w:val="1"/>
      <w:marLeft w:val="0"/>
      <w:marRight w:val="0"/>
      <w:marTop w:val="0"/>
      <w:marBottom w:val="0"/>
      <w:divBdr>
        <w:top w:val="none" w:sz="0" w:space="0" w:color="auto"/>
        <w:left w:val="none" w:sz="0" w:space="0" w:color="auto"/>
        <w:bottom w:val="none" w:sz="0" w:space="0" w:color="auto"/>
        <w:right w:val="none" w:sz="0" w:space="0" w:color="auto"/>
      </w:divBdr>
    </w:div>
    <w:div w:id="1760520221">
      <w:bodyDiv w:val="1"/>
      <w:marLeft w:val="0"/>
      <w:marRight w:val="0"/>
      <w:marTop w:val="0"/>
      <w:marBottom w:val="0"/>
      <w:divBdr>
        <w:top w:val="none" w:sz="0" w:space="0" w:color="auto"/>
        <w:left w:val="none" w:sz="0" w:space="0" w:color="auto"/>
        <w:bottom w:val="none" w:sz="0" w:space="0" w:color="auto"/>
        <w:right w:val="none" w:sz="0" w:space="0" w:color="auto"/>
      </w:divBdr>
    </w:div>
    <w:div w:id="1760562446">
      <w:bodyDiv w:val="1"/>
      <w:marLeft w:val="0"/>
      <w:marRight w:val="0"/>
      <w:marTop w:val="0"/>
      <w:marBottom w:val="0"/>
      <w:divBdr>
        <w:top w:val="none" w:sz="0" w:space="0" w:color="auto"/>
        <w:left w:val="none" w:sz="0" w:space="0" w:color="auto"/>
        <w:bottom w:val="none" w:sz="0" w:space="0" w:color="auto"/>
        <w:right w:val="none" w:sz="0" w:space="0" w:color="auto"/>
      </w:divBdr>
    </w:div>
    <w:div w:id="1760590912">
      <w:bodyDiv w:val="1"/>
      <w:marLeft w:val="0"/>
      <w:marRight w:val="0"/>
      <w:marTop w:val="0"/>
      <w:marBottom w:val="0"/>
      <w:divBdr>
        <w:top w:val="none" w:sz="0" w:space="0" w:color="auto"/>
        <w:left w:val="none" w:sz="0" w:space="0" w:color="auto"/>
        <w:bottom w:val="none" w:sz="0" w:space="0" w:color="auto"/>
        <w:right w:val="none" w:sz="0" w:space="0" w:color="auto"/>
      </w:divBdr>
    </w:div>
    <w:div w:id="1760632856">
      <w:bodyDiv w:val="1"/>
      <w:marLeft w:val="0"/>
      <w:marRight w:val="0"/>
      <w:marTop w:val="0"/>
      <w:marBottom w:val="0"/>
      <w:divBdr>
        <w:top w:val="none" w:sz="0" w:space="0" w:color="auto"/>
        <w:left w:val="none" w:sz="0" w:space="0" w:color="auto"/>
        <w:bottom w:val="none" w:sz="0" w:space="0" w:color="auto"/>
        <w:right w:val="none" w:sz="0" w:space="0" w:color="auto"/>
      </w:divBdr>
    </w:div>
    <w:div w:id="1760830855">
      <w:bodyDiv w:val="1"/>
      <w:marLeft w:val="0"/>
      <w:marRight w:val="0"/>
      <w:marTop w:val="0"/>
      <w:marBottom w:val="0"/>
      <w:divBdr>
        <w:top w:val="none" w:sz="0" w:space="0" w:color="auto"/>
        <w:left w:val="none" w:sz="0" w:space="0" w:color="auto"/>
        <w:bottom w:val="none" w:sz="0" w:space="0" w:color="auto"/>
        <w:right w:val="none" w:sz="0" w:space="0" w:color="auto"/>
      </w:divBdr>
    </w:div>
    <w:div w:id="1760834871">
      <w:bodyDiv w:val="1"/>
      <w:marLeft w:val="0"/>
      <w:marRight w:val="0"/>
      <w:marTop w:val="0"/>
      <w:marBottom w:val="0"/>
      <w:divBdr>
        <w:top w:val="none" w:sz="0" w:space="0" w:color="auto"/>
        <w:left w:val="none" w:sz="0" w:space="0" w:color="auto"/>
        <w:bottom w:val="none" w:sz="0" w:space="0" w:color="auto"/>
        <w:right w:val="none" w:sz="0" w:space="0" w:color="auto"/>
      </w:divBdr>
    </w:div>
    <w:div w:id="1761098955">
      <w:bodyDiv w:val="1"/>
      <w:marLeft w:val="0"/>
      <w:marRight w:val="0"/>
      <w:marTop w:val="0"/>
      <w:marBottom w:val="0"/>
      <w:divBdr>
        <w:top w:val="none" w:sz="0" w:space="0" w:color="auto"/>
        <w:left w:val="none" w:sz="0" w:space="0" w:color="auto"/>
        <w:bottom w:val="none" w:sz="0" w:space="0" w:color="auto"/>
        <w:right w:val="none" w:sz="0" w:space="0" w:color="auto"/>
      </w:divBdr>
    </w:div>
    <w:div w:id="1761173788">
      <w:bodyDiv w:val="1"/>
      <w:marLeft w:val="0"/>
      <w:marRight w:val="0"/>
      <w:marTop w:val="0"/>
      <w:marBottom w:val="0"/>
      <w:divBdr>
        <w:top w:val="none" w:sz="0" w:space="0" w:color="auto"/>
        <w:left w:val="none" w:sz="0" w:space="0" w:color="auto"/>
        <w:bottom w:val="none" w:sz="0" w:space="0" w:color="auto"/>
        <w:right w:val="none" w:sz="0" w:space="0" w:color="auto"/>
      </w:divBdr>
    </w:div>
    <w:div w:id="1761293337">
      <w:bodyDiv w:val="1"/>
      <w:marLeft w:val="0"/>
      <w:marRight w:val="0"/>
      <w:marTop w:val="0"/>
      <w:marBottom w:val="0"/>
      <w:divBdr>
        <w:top w:val="none" w:sz="0" w:space="0" w:color="auto"/>
        <w:left w:val="none" w:sz="0" w:space="0" w:color="auto"/>
        <w:bottom w:val="none" w:sz="0" w:space="0" w:color="auto"/>
        <w:right w:val="none" w:sz="0" w:space="0" w:color="auto"/>
      </w:divBdr>
    </w:div>
    <w:div w:id="1761372049">
      <w:bodyDiv w:val="1"/>
      <w:marLeft w:val="0"/>
      <w:marRight w:val="0"/>
      <w:marTop w:val="0"/>
      <w:marBottom w:val="0"/>
      <w:divBdr>
        <w:top w:val="none" w:sz="0" w:space="0" w:color="auto"/>
        <w:left w:val="none" w:sz="0" w:space="0" w:color="auto"/>
        <w:bottom w:val="none" w:sz="0" w:space="0" w:color="auto"/>
        <w:right w:val="none" w:sz="0" w:space="0" w:color="auto"/>
      </w:divBdr>
    </w:div>
    <w:div w:id="1761412377">
      <w:bodyDiv w:val="1"/>
      <w:marLeft w:val="0"/>
      <w:marRight w:val="0"/>
      <w:marTop w:val="0"/>
      <w:marBottom w:val="0"/>
      <w:divBdr>
        <w:top w:val="none" w:sz="0" w:space="0" w:color="auto"/>
        <w:left w:val="none" w:sz="0" w:space="0" w:color="auto"/>
        <w:bottom w:val="none" w:sz="0" w:space="0" w:color="auto"/>
        <w:right w:val="none" w:sz="0" w:space="0" w:color="auto"/>
      </w:divBdr>
    </w:div>
    <w:div w:id="1761483556">
      <w:bodyDiv w:val="1"/>
      <w:marLeft w:val="0"/>
      <w:marRight w:val="0"/>
      <w:marTop w:val="0"/>
      <w:marBottom w:val="0"/>
      <w:divBdr>
        <w:top w:val="none" w:sz="0" w:space="0" w:color="auto"/>
        <w:left w:val="none" w:sz="0" w:space="0" w:color="auto"/>
        <w:bottom w:val="none" w:sz="0" w:space="0" w:color="auto"/>
        <w:right w:val="none" w:sz="0" w:space="0" w:color="auto"/>
      </w:divBdr>
    </w:div>
    <w:div w:id="1761489918">
      <w:bodyDiv w:val="1"/>
      <w:marLeft w:val="0"/>
      <w:marRight w:val="0"/>
      <w:marTop w:val="0"/>
      <w:marBottom w:val="0"/>
      <w:divBdr>
        <w:top w:val="none" w:sz="0" w:space="0" w:color="auto"/>
        <w:left w:val="none" w:sz="0" w:space="0" w:color="auto"/>
        <w:bottom w:val="none" w:sz="0" w:space="0" w:color="auto"/>
        <w:right w:val="none" w:sz="0" w:space="0" w:color="auto"/>
      </w:divBdr>
    </w:div>
    <w:div w:id="1761635332">
      <w:bodyDiv w:val="1"/>
      <w:marLeft w:val="0"/>
      <w:marRight w:val="0"/>
      <w:marTop w:val="0"/>
      <w:marBottom w:val="0"/>
      <w:divBdr>
        <w:top w:val="none" w:sz="0" w:space="0" w:color="auto"/>
        <w:left w:val="none" w:sz="0" w:space="0" w:color="auto"/>
        <w:bottom w:val="none" w:sz="0" w:space="0" w:color="auto"/>
        <w:right w:val="none" w:sz="0" w:space="0" w:color="auto"/>
      </w:divBdr>
    </w:div>
    <w:div w:id="1761753083">
      <w:bodyDiv w:val="1"/>
      <w:marLeft w:val="0"/>
      <w:marRight w:val="0"/>
      <w:marTop w:val="0"/>
      <w:marBottom w:val="0"/>
      <w:divBdr>
        <w:top w:val="none" w:sz="0" w:space="0" w:color="auto"/>
        <w:left w:val="none" w:sz="0" w:space="0" w:color="auto"/>
        <w:bottom w:val="none" w:sz="0" w:space="0" w:color="auto"/>
        <w:right w:val="none" w:sz="0" w:space="0" w:color="auto"/>
      </w:divBdr>
    </w:div>
    <w:div w:id="1761871153">
      <w:bodyDiv w:val="1"/>
      <w:marLeft w:val="0"/>
      <w:marRight w:val="0"/>
      <w:marTop w:val="0"/>
      <w:marBottom w:val="0"/>
      <w:divBdr>
        <w:top w:val="none" w:sz="0" w:space="0" w:color="auto"/>
        <w:left w:val="none" w:sz="0" w:space="0" w:color="auto"/>
        <w:bottom w:val="none" w:sz="0" w:space="0" w:color="auto"/>
        <w:right w:val="none" w:sz="0" w:space="0" w:color="auto"/>
      </w:divBdr>
    </w:div>
    <w:div w:id="1761871233">
      <w:bodyDiv w:val="1"/>
      <w:marLeft w:val="0"/>
      <w:marRight w:val="0"/>
      <w:marTop w:val="0"/>
      <w:marBottom w:val="0"/>
      <w:divBdr>
        <w:top w:val="none" w:sz="0" w:space="0" w:color="auto"/>
        <w:left w:val="none" w:sz="0" w:space="0" w:color="auto"/>
        <w:bottom w:val="none" w:sz="0" w:space="0" w:color="auto"/>
        <w:right w:val="none" w:sz="0" w:space="0" w:color="auto"/>
      </w:divBdr>
    </w:div>
    <w:div w:id="1761901441">
      <w:bodyDiv w:val="1"/>
      <w:marLeft w:val="0"/>
      <w:marRight w:val="0"/>
      <w:marTop w:val="0"/>
      <w:marBottom w:val="0"/>
      <w:divBdr>
        <w:top w:val="none" w:sz="0" w:space="0" w:color="auto"/>
        <w:left w:val="none" w:sz="0" w:space="0" w:color="auto"/>
        <w:bottom w:val="none" w:sz="0" w:space="0" w:color="auto"/>
        <w:right w:val="none" w:sz="0" w:space="0" w:color="auto"/>
      </w:divBdr>
    </w:div>
    <w:div w:id="1762094658">
      <w:bodyDiv w:val="1"/>
      <w:marLeft w:val="0"/>
      <w:marRight w:val="0"/>
      <w:marTop w:val="0"/>
      <w:marBottom w:val="0"/>
      <w:divBdr>
        <w:top w:val="none" w:sz="0" w:space="0" w:color="auto"/>
        <w:left w:val="none" w:sz="0" w:space="0" w:color="auto"/>
        <w:bottom w:val="none" w:sz="0" w:space="0" w:color="auto"/>
        <w:right w:val="none" w:sz="0" w:space="0" w:color="auto"/>
      </w:divBdr>
    </w:div>
    <w:div w:id="1762097112">
      <w:bodyDiv w:val="1"/>
      <w:marLeft w:val="0"/>
      <w:marRight w:val="0"/>
      <w:marTop w:val="0"/>
      <w:marBottom w:val="0"/>
      <w:divBdr>
        <w:top w:val="none" w:sz="0" w:space="0" w:color="auto"/>
        <w:left w:val="none" w:sz="0" w:space="0" w:color="auto"/>
        <w:bottom w:val="none" w:sz="0" w:space="0" w:color="auto"/>
        <w:right w:val="none" w:sz="0" w:space="0" w:color="auto"/>
      </w:divBdr>
    </w:div>
    <w:div w:id="1762137386">
      <w:bodyDiv w:val="1"/>
      <w:marLeft w:val="0"/>
      <w:marRight w:val="0"/>
      <w:marTop w:val="0"/>
      <w:marBottom w:val="0"/>
      <w:divBdr>
        <w:top w:val="none" w:sz="0" w:space="0" w:color="auto"/>
        <w:left w:val="none" w:sz="0" w:space="0" w:color="auto"/>
        <w:bottom w:val="none" w:sz="0" w:space="0" w:color="auto"/>
        <w:right w:val="none" w:sz="0" w:space="0" w:color="auto"/>
      </w:divBdr>
    </w:div>
    <w:div w:id="1762220022">
      <w:bodyDiv w:val="1"/>
      <w:marLeft w:val="0"/>
      <w:marRight w:val="0"/>
      <w:marTop w:val="0"/>
      <w:marBottom w:val="0"/>
      <w:divBdr>
        <w:top w:val="none" w:sz="0" w:space="0" w:color="auto"/>
        <w:left w:val="none" w:sz="0" w:space="0" w:color="auto"/>
        <w:bottom w:val="none" w:sz="0" w:space="0" w:color="auto"/>
        <w:right w:val="none" w:sz="0" w:space="0" w:color="auto"/>
      </w:divBdr>
    </w:div>
    <w:div w:id="1762220354">
      <w:bodyDiv w:val="1"/>
      <w:marLeft w:val="0"/>
      <w:marRight w:val="0"/>
      <w:marTop w:val="0"/>
      <w:marBottom w:val="0"/>
      <w:divBdr>
        <w:top w:val="none" w:sz="0" w:space="0" w:color="auto"/>
        <w:left w:val="none" w:sz="0" w:space="0" w:color="auto"/>
        <w:bottom w:val="none" w:sz="0" w:space="0" w:color="auto"/>
        <w:right w:val="none" w:sz="0" w:space="0" w:color="auto"/>
      </w:divBdr>
    </w:div>
    <w:div w:id="1762294757">
      <w:bodyDiv w:val="1"/>
      <w:marLeft w:val="0"/>
      <w:marRight w:val="0"/>
      <w:marTop w:val="0"/>
      <w:marBottom w:val="0"/>
      <w:divBdr>
        <w:top w:val="none" w:sz="0" w:space="0" w:color="auto"/>
        <w:left w:val="none" w:sz="0" w:space="0" w:color="auto"/>
        <w:bottom w:val="none" w:sz="0" w:space="0" w:color="auto"/>
        <w:right w:val="none" w:sz="0" w:space="0" w:color="auto"/>
      </w:divBdr>
    </w:div>
    <w:div w:id="1762337469">
      <w:bodyDiv w:val="1"/>
      <w:marLeft w:val="0"/>
      <w:marRight w:val="0"/>
      <w:marTop w:val="0"/>
      <w:marBottom w:val="0"/>
      <w:divBdr>
        <w:top w:val="none" w:sz="0" w:space="0" w:color="auto"/>
        <w:left w:val="none" w:sz="0" w:space="0" w:color="auto"/>
        <w:bottom w:val="none" w:sz="0" w:space="0" w:color="auto"/>
        <w:right w:val="none" w:sz="0" w:space="0" w:color="auto"/>
      </w:divBdr>
    </w:div>
    <w:div w:id="1762339167">
      <w:bodyDiv w:val="1"/>
      <w:marLeft w:val="0"/>
      <w:marRight w:val="0"/>
      <w:marTop w:val="0"/>
      <w:marBottom w:val="0"/>
      <w:divBdr>
        <w:top w:val="none" w:sz="0" w:space="0" w:color="auto"/>
        <w:left w:val="none" w:sz="0" w:space="0" w:color="auto"/>
        <w:bottom w:val="none" w:sz="0" w:space="0" w:color="auto"/>
        <w:right w:val="none" w:sz="0" w:space="0" w:color="auto"/>
      </w:divBdr>
    </w:div>
    <w:div w:id="1762489428">
      <w:bodyDiv w:val="1"/>
      <w:marLeft w:val="0"/>
      <w:marRight w:val="0"/>
      <w:marTop w:val="0"/>
      <w:marBottom w:val="0"/>
      <w:divBdr>
        <w:top w:val="none" w:sz="0" w:space="0" w:color="auto"/>
        <w:left w:val="none" w:sz="0" w:space="0" w:color="auto"/>
        <w:bottom w:val="none" w:sz="0" w:space="0" w:color="auto"/>
        <w:right w:val="none" w:sz="0" w:space="0" w:color="auto"/>
      </w:divBdr>
    </w:div>
    <w:div w:id="1762525310">
      <w:bodyDiv w:val="1"/>
      <w:marLeft w:val="0"/>
      <w:marRight w:val="0"/>
      <w:marTop w:val="0"/>
      <w:marBottom w:val="0"/>
      <w:divBdr>
        <w:top w:val="none" w:sz="0" w:space="0" w:color="auto"/>
        <w:left w:val="none" w:sz="0" w:space="0" w:color="auto"/>
        <w:bottom w:val="none" w:sz="0" w:space="0" w:color="auto"/>
        <w:right w:val="none" w:sz="0" w:space="0" w:color="auto"/>
      </w:divBdr>
    </w:div>
    <w:div w:id="1762531018">
      <w:bodyDiv w:val="1"/>
      <w:marLeft w:val="0"/>
      <w:marRight w:val="0"/>
      <w:marTop w:val="0"/>
      <w:marBottom w:val="0"/>
      <w:divBdr>
        <w:top w:val="none" w:sz="0" w:space="0" w:color="auto"/>
        <w:left w:val="none" w:sz="0" w:space="0" w:color="auto"/>
        <w:bottom w:val="none" w:sz="0" w:space="0" w:color="auto"/>
        <w:right w:val="none" w:sz="0" w:space="0" w:color="auto"/>
      </w:divBdr>
    </w:div>
    <w:div w:id="1762598764">
      <w:bodyDiv w:val="1"/>
      <w:marLeft w:val="0"/>
      <w:marRight w:val="0"/>
      <w:marTop w:val="0"/>
      <w:marBottom w:val="0"/>
      <w:divBdr>
        <w:top w:val="none" w:sz="0" w:space="0" w:color="auto"/>
        <w:left w:val="none" w:sz="0" w:space="0" w:color="auto"/>
        <w:bottom w:val="none" w:sz="0" w:space="0" w:color="auto"/>
        <w:right w:val="none" w:sz="0" w:space="0" w:color="auto"/>
      </w:divBdr>
    </w:div>
    <w:div w:id="1762679664">
      <w:bodyDiv w:val="1"/>
      <w:marLeft w:val="0"/>
      <w:marRight w:val="0"/>
      <w:marTop w:val="0"/>
      <w:marBottom w:val="0"/>
      <w:divBdr>
        <w:top w:val="none" w:sz="0" w:space="0" w:color="auto"/>
        <w:left w:val="none" w:sz="0" w:space="0" w:color="auto"/>
        <w:bottom w:val="none" w:sz="0" w:space="0" w:color="auto"/>
        <w:right w:val="none" w:sz="0" w:space="0" w:color="auto"/>
      </w:divBdr>
    </w:div>
    <w:div w:id="1762680070">
      <w:bodyDiv w:val="1"/>
      <w:marLeft w:val="0"/>
      <w:marRight w:val="0"/>
      <w:marTop w:val="0"/>
      <w:marBottom w:val="0"/>
      <w:divBdr>
        <w:top w:val="none" w:sz="0" w:space="0" w:color="auto"/>
        <w:left w:val="none" w:sz="0" w:space="0" w:color="auto"/>
        <w:bottom w:val="none" w:sz="0" w:space="0" w:color="auto"/>
        <w:right w:val="none" w:sz="0" w:space="0" w:color="auto"/>
      </w:divBdr>
    </w:div>
    <w:div w:id="1762680348">
      <w:bodyDiv w:val="1"/>
      <w:marLeft w:val="0"/>
      <w:marRight w:val="0"/>
      <w:marTop w:val="0"/>
      <w:marBottom w:val="0"/>
      <w:divBdr>
        <w:top w:val="none" w:sz="0" w:space="0" w:color="auto"/>
        <w:left w:val="none" w:sz="0" w:space="0" w:color="auto"/>
        <w:bottom w:val="none" w:sz="0" w:space="0" w:color="auto"/>
        <w:right w:val="none" w:sz="0" w:space="0" w:color="auto"/>
      </w:divBdr>
    </w:div>
    <w:div w:id="1762682006">
      <w:bodyDiv w:val="1"/>
      <w:marLeft w:val="0"/>
      <w:marRight w:val="0"/>
      <w:marTop w:val="0"/>
      <w:marBottom w:val="0"/>
      <w:divBdr>
        <w:top w:val="none" w:sz="0" w:space="0" w:color="auto"/>
        <w:left w:val="none" w:sz="0" w:space="0" w:color="auto"/>
        <w:bottom w:val="none" w:sz="0" w:space="0" w:color="auto"/>
        <w:right w:val="none" w:sz="0" w:space="0" w:color="auto"/>
      </w:divBdr>
    </w:div>
    <w:div w:id="1762722647">
      <w:bodyDiv w:val="1"/>
      <w:marLeft w:val="0"/>
      <w:marRight w:val="0"/>
      <w:marTop w:val="0"/>
      <w:marBottom w:val="0"/>
      <w:divBdr>
        <w:top w:val="none" w:sz="0" w:space="0" w:color="auto"/>
        <w:left w:val="none" w:sz="0" w:space="0" w:color="auto"/>
        <w:bottom w:val="none" w:sz="0" w:space="0" w:color="auto"/>
        <w:right w:val="none" w:sz="0" w:space="0" w:color="auto"/>
      </w:divBdr>
    </w:div>
    <w:div w:id="1762724128">
      <w:bodyDiv w:val="1"/>
      <w:marLeft w:val="0"/>
      <w:marRight w:val="0"/>
      <w:marTop w:val="0"/>
      <w:marBottom w:val="0"/>
      <w:divBdr>
        <w:top w:val="none" w:sz="0" w:space="0" w:color="auto"/>
        <w:left w:val="none" w:sz="0" w:space="0" w:color="auto"/>
        <w:bottom w:val="none" w:sz="0" w:space="0" w:color="auto"/>
        <w:right w:val="none" w:sz="0" w:space="0" w:color="auto"/>
      </w:divBdr>
    </w:div>
    <w:div w:id="1762794548">
      <w:bodyDiv w:val="1"/>
      <w:marLeft w:val="0"/>
      <w:marRight w:val="0"/>
      <w:marTop w:val="0"/>
      <w:marBottom w:val="0"/>
      <w:divBdr>
        <w:top w:val="none" w:sz="0" w:space="0" w:color="auto"/>
        <w:left w:val="none" w:sz="0" w:space="0" w:color="auto"/>
        <w:bottom w:val="none" w:sz="0" w:space="0" w:color="auto"/>
        <w:right w:val="none" w:sz="0" w:space="0" w:color="auto"/>
      </w:divBdr>
    </w:div>
    <w:div w:id="1762799084">
      <w:bodyDiv w:val="1"/>
      <w:marLeft w:val="0"/>
      <w:marRight w:val="0"/>
      <w:marTop w:val="0"/>
      <w:marBottom w:val="0"/>
      <w:divBdr>
        <w:top w:val="none" w:sz="0" w:space="0" w:color="auto"/>
        <w:left w:val="none" w:sz="0" w:space="0" w:color="auto"/>
        <w:bottom w:val="none" w:sz="0" w:space="0" w:color="auto"/>
        <w:right w:val="none" w:sz="0" w:space="0" w:color="auto"/>
      </w:divBdr>
    </w:div>
    <w:div w:id="1762867511">
      <w:bodyDiv w:val="1"/>
      <w:marLeft w:val="0"/>
      <w:marRight w:val="0"/>
      <w:marTop w:val="0"/>
      <w:marBottom w:val="0"/>
      <w:divBdr>
        <w:top w:val="none" w:sz="0" w:space="0" w:color="auto"/>
        <w:left w:val="none" w:sz="0" w:space="0" w:color="auto"/>
        <w:bottom w:val="none" w:sz="0" w:space="0" w:color="auto"/>
        <w:right w:val="none" w:sz="0" w:space="0" w:color="auto"/>
      </w:divBdr>
    </w:div>
    <w:div w:id="1762869755">
      <w:bodyDiv w:val="1"/>
      <w:marLeft w:val="0"/>
      <w:marRight w:val="0"/>
      <w:marTop w:val="0"/>
      <w:marBottom w:val="0"/>
      <w:divBdr>
        <w:top w:val="none" w:sz="0" w:space="0" w:color="auto"/>
        <w:left w:val="none" w:sz="0" w:space="0" w:color="auto"/>
        <w:bottom w:val="none" w:sz="0" w:space="0" w:color="auto"/>
        <w:right w:val="none" w:sz="0" w:space="0" w:color="auto"/>
      </w:divBdr>
    </w:div>
    <w:div w:id="1762872305">
      <w:bodyDiv w:val="1"/>
      <w:marLeft w:val="0"/>
      <w:marRight w:val="0"/>
      <w:marTop w:val="0"/>
      <w:marBottom w:val="0"/>
      <w:divBdr>
        <w:top w:val="none" w:sz="0" w:space="0" w:color="auto"/>
        <w:left w:val="none" w:sz="0" w:space="0" w:color="auto"/>
        <w:bottom w:val="none" w:sz="0" w:space="0" w:color="auto"/>
        <w:right w:val="none" w:sz="0" w:space="0" w:color="auto"/>
      </w:divBdr>
    </w:div>
    <w:div w:id="1762943434">
      <w:bodyDiv w:val="1"/>
      <w:marLeft w:val="0"/>
      <w:marRight w:val="0"/>
      <w:marTop w:val="0"/>
      <w:marBottom w:val="0"/>
      <w:divBdr>
        <w:top w:val="none" w:sz="0" w:space="0" w:color="auto"/>
        <w:left w:val="none" w:sz="0" w:space="0" w:color="auto"/>
        <w:bottom w:val="none" w:sz="0" w:space="0" w:color="auto"/>
        <w:right w:val="none" w:sz="0" w:space="0" w:color="auto"/>
      </w:divBdr>
    </w:div>
    <w:div w:id="1762989396">
      <w:bodyDiv w:val="1"/>
      <w:marLeft w:val="0"/>
      <w:marRight w:val="0"/>
      <w:marTop w:val="0"/>
      <w:marBottom w:val="0"/>
      <w:divBdr>
        <w:top w:val="none" w:sz="0" w:space="0" w:color="auto"/>
        <w:left w:val="none" w:sz="0" w:space="0" w:color="auto"/>
        <w:bottom w:val="none" w:sz="0" w:space="0" w:color="auto"/>
        <w:right w:val="none" w:sz="0" w:space="0" w:color="auto"/>
      </w:divBdr>
    </w:div>
    <w:div w:id="1762989599">
      <w:bodyDiv w:val="1"/>
      <w:marLeft w:val="0"/>
      <w:marRight w:val="0"/>
      <w:marTop w:val="0"/>
      <w:marBottom w:val="0"/>
      <w:divBdr>
        <w:top w:val="none" w:sz="0" w:space="0" w:color="auto"/>
        <w:left w:val="none" w:sz="0" w:space="0" w:color="auto"/>
        <w:bottom w:val="none" w:sz="0" w:space="0" w:color="auto"/>
        <w:right w:val="none" w:sz="0" w:space="0" w:color="auto"/>
      </w:divBdr>
    </w:div>
    <w:div w:id="1763070201">
      <w:bodyDiv w:val="1"/>
      <w:marLeft w:val="0"/>
      <w:marRight w:val="0"/>
      <w:marTop w:val="0"/>
      <w:marBottom w:val="0"/>
      <w:divBdr>
        <w:top w:val="none" w:sz="0" w:space="0" w:color="auto"/>
        <w:left w:val="none" w:sz="0" w:space="0" w:color="auto"/>
        <w:bottom w:val="none" w:sz="0" w:space="0" w:color="auto"/>
        <w:right w:val="none" w:sz="0" w:space="0" w:color="auto"/>
      </w:divBdr>
    </w:div>
    <w:div w:id="1763184225">
      <w:bodyDiv w:val="1"/>
      <w:marLeft w:val="0"/>
      <w:marRight w:val="0"/>
      <w:marTop w:val="0"/>
      <w:marBottom w:val="0"/>
      <w:divBdr>
        <w:top w:val="none" w:sz="0" w:space="0" w:color="auto"/>
        <w:left w:val="none" w:sz="0" w:space="0" w:color="auto"/>
        <w:bottom w:val="none" w:sz="0" w:space="0" w:color="auto"/>
        <w:right w:val="none" w:sz="0" w:space="0" w:color="auto"/>
      </w:divBdr>
    </w:div>
    <w:div w:id="1763254330">
      <w:bodyDiv w:val="1"/>
      <w:marLeft w:val="0"/>
      <w:marRight w:val="0"/>
      <w:marTop w:val="0"/>
      <w:marBottom w:val="0"/>
      <w:divBdr>
        <w:top w:val="none" w:sz="0" w:space="0" w:color="auto"/>
        <w:left w:val="none" w:sz="0" w:space="0" w:color="auto"/>
        <w:bottom w:val="none" w:sz="0" w:space="0" w:color="auto"/>
        <w:right w:val="none" w:sz="0" w:space="0" w:color="auto"/>
      </w:divBdr>
    </w:div>
    <w:div w:id="1763262336">
      <w:bodyDiv w:val="1"/>
      <w:marLeft w:val="0"/>
      <w:marRight w:val="0"/>
      <w:marTop w:val="0"/>
      <w:marBottom w:val="0"/>
      <w:divBdr>
        <w:top w:val="none" w:sz="0" w:space="0" w:color="auto"/>
        <w:left w:val="none" w:sz="0" w:space="0" w:color="auto"/>
        <w:bottom w:val="none" w:sz="0" w:space="0" w:color="auto"/>
        <w:right w:val="none" w:sz="0" w:space="0" w:color="auto"/>
      </w:divBdr>
    </w:div>
    <w:div w:id="1763329497">
      <w:bodyDiv w:val="1"/>
      <w:marLeft w:val="0"/>
      <w:marRight w:val="0"/>
      <w:marTop w:val="0"/>
      <w:marBottom w:val="0"/>
      <w:divBdr>
        <w:top w:val="none" w:sz="0" w:space="0" w:color="auto"/>
        <w:left w:val="none" w:sz="0" w:space="0" w:color="auto"/>
        <w:bottom w:val="none" w:sz="0" w:space="0" w:color="auto"/>
        <w:right w:val="none" w:sz="0" w:space="0" w:color="auto"/>
      </w:divBdr>
    </w:div>
    <w:div w:id="1763333297">
      <w:bodyDiv w:val="1"/>
      <w:marLeft w:val="0"/>
      <w:marRight w:val="0"/>
      <w:marTop w:val="0"/>
      <w:marBottom w:val="0"/>
      <w:divBdr>
        <w:top w:val="none" w:sz="0" w:space="0" w:color="auto"/>
        <w:left w:val="none" w:sz="0" w:space="0" w:color="auto"/>
        <w:bottom w:val="none" w:sz="0" w:space="0" w:color="auto"/>
        <w:right w:val="none" w:sz="0" w:space="0" w:color="auto"/>
      </w:divBdr>
    </w:div>
    <w:div w:id="1763599779">
      <w:bodyDiv w:val="1"/>
      <w:marLeft w:val="0"/>
      <w:marRight w:val="0"/>
      <w:marTop w:val="0"/>
      <w:marBottom w:val="0"/>
      <w:divBdr>
        <w:top w:val="none" w:sz="0" w:space="0" w:color="auto"/>
        <w:left w:val="none" w:sz="0" w:space="0" w:color="auto"/>
        <w:bottom w:val="none" w:sz="0" w:space="0" w:color="auto"/>
        <w:right w:val="none" w:sz="0" w:space="0" w:color="auto"/>
      </w:divBdr>
    </w:div>
    <w:div w:id="1763644677">
      <w:bodyDiv w:val="1"/>
      <w:marLeft w:val="0"/>
      <w:marRight w:val="0"/>
      <w:marTop w:val="0"/>
      <w:marBottom w:val="0"/>
      <w:divBdr>
        <w:top w:val="none" w:sz="0" w:space="0" w:color="auto"/>
        <w:left w:val="none" w:sz="0" w:space="0" w:color="auto"/>
        <w:bottom w:val="none" w:sz="0" w:space="0" w:color="auto"/>
        <w:right w:val="none" w:sz="0" w:space="0" w:color="auto"/>
      </w:divBdr>
    </w:div>
    <w:div w:id="1763718745">
      <w:bodyDiv w:val="1"/>
      <w:marLeft w:val="0"/>
      <w:marRight w:val="0"/>
      <w:marTop w:val="0"/>
      <w:marBottom w:val="0"/>
      <w:divBdr>
        <w:top w:val="none" w:sz="0" w:space="0" w:color="auto"/>
        <w:left w:val="none" w:sz="0" w:space="0" w:color="auto"/>
        <w:bottom w:val="none" w:sz="0" w:space="0" w:color="auto"/>
        <w:right w:val="none" w:sz="0" w:space="0" w:color="auto"/>
      </w:divBdr>
    </w:div>
    <w:div w:id="1763720163">
      <w:bodyDiv w:val="1"/>
      <w:marLeft w:val="0"/>
      <w:marRight w:val="0"/>
      <w:marTop w:val="0"/>
      <w:marBottom w:val="0"/>
      <w:divBdr>
        <w:top w:val="none" w:sz="0" w:space="0" w:color="auto"/>
        <w:left w:val="none" w:sz="0" w:space="0" w:color="auto"/>
        <w:bottom w:val="none" w:sz="0" w:space="0" w:color="auto"/>
        <w:right w:val="none" w:sz="0" w:space="0" w:color="auto"/>
      </w:divBdr>
    </w:div>
    <w:div w:id="1763723563">
      <w:bodyDiv w:val="1"/>
      <w:marLeft w:val="0"/>
      <w:marRight w:val="0"/>
      <w:marTop w:val="0"/>
      <w:marBottom w:val="0"/>
      <w:divBdr>
        <w:top w:val="none" w:sz="0" w:space="0" w:color="auto"/>
        <w:left w:val="none" w:sz="0" w:space="0" w:color="auto"/>
        <w:bottom w:val="none" w:sz="0" w:space="0" w:color="auto"/>
        <w:right w:val="none" w:sz="0" w:space="0" w:color="auto"/>
      </w:divBdr>
    </w:div>
    <w:div w:id="1763840678">
      <w:bodyDiv w:val="1"/>
      <w:marLeft w:val="0"/>
      <w:marRight w:val="0"/>
      <w:marTop w:val="0"/>
      <w:marBottom w:val="0"/>
      <w:divBdr>
        <w:top w:val="none" w:sz="0" w:space="0" w:color="auto"/>
        <w:left w:val="none" w:sz="0" w:space="0" w:color="auto"/>
        <w:bottom w:val="none" w:sz="0" w:space="0" w:color="auto"/>
        <w:right w:val="none" w:sz="0" w:space="0" w:color="auto"/>
      </w:divBdr>
    </w:div>
    <w:div w:id="1763913780">
      <w:bodyDiv w:val="1"/>
      <w:marLeft w:val="0"/>
      <w:marRight w:val="0"/>
      <w:marTop w:val="0"/>
      <w:marBottom w:val="0"/>
      <w:divBdr>
        <w:top w:val="none" w:sz="0" w:space="0" w:color="auto"/>
        <w:left w:val="none" w:sz="0" w:space="0" w:color="auto"/>
        <w:bottom w:val="none" w:sz="0" w:space="0" w:color="auto"/>
        <w:right w:val="none" w:sz="0" w:space="0" w:color="auto"/>
      </w:divBdr>
    </w:div>
    <w:div w:id="1764034101">
      <w:bodyDiv w:val="1"/>
      <w:marLeft w:val="0"/>
      <w:marRight w:val="0"/>
      <w:marTop w:val="0"/>
      <w:marBottom w:val="0"/>
      <w:divBdr>
        <w:top w:val="none" w:sz="0" w:space="0" w:color="auto"/>
        <w:left w:val="none" w:sz="0" w:space="0" w:color="auto"/>
        <w:bottom w:val="none" w:sz="0" w:space="0" w:color="auto"/>
        <w:right w:val="none" w:sz="0" w:space="0" w:color="auto"/>
      </w:divBdr>
    </w:div>
    <w:div w:id="1764063944">
      <w:bodyDiv w:val="1"/>
      <w:marLeft w:val="0"/>
      <w:marRight w:val="0"/>
      <w:marTop w:val="0"/>
      <w:marBottom w:val="0"/>
      <w:divBdr>
        <w:top w:val="none" w:sz="0" w:space="0" w:color="auto"/>
        <w:left w:val="none" w:sz="0" w:space="0" w:color="auto"/>
        <w:bottom w:val="none" w:sz="0" w:space="0" w:color="auto"/>
        <w:right w:val="none" w:sz="0" w:space="0" w:color="auto"/>
      </w:divBdr>
    </w:div>
    <w:div w:id="1764108610">
      <w:bodyDiv w:val="1"/>
      <w:marLeft w:val="0"/>
      <w:marRight w:val="0"/>
      <w:marTop w:val="0"/>
      <w:marBottom w:val="0"/>
      <w:divBdr>
        <w:top w:val="none" w:sz="0" w:space="0" w:color="auto"/>
        <w:left w:val="none" w:sz="0" w:space="0" w:color="auto"/>
        <w:bottom w:val="none" w:sz="0" w:space="0" w:color="auto"/>
        <w:right w:val="none" w:sz="0" w:space="0" w:color="auto"/>
      </w:divBdr>
    </w:div>
    <w:div w:id="1764304233">
      <w:bodyDiv w:val="1"/>
      <w:marLeft w:val="0"/>
      <w:marRight w:val="0"/>
      <w:marTop w:val="0"/>
      <w:marBottom w:val="0"/>
      <w:divBdr>
        <w:top w:val="none" w:sz="0" w:space="0" w:color="auto"/>
        <w:left w:val="none" w:sz="0" w:space="0" w:color="auto"/>
        <w:bottom w:val="none" w:sz="0" w:space="0" w:color="auto"/>
        <w:right w:val="none" w:sz="0" w:space="0" w:color="auto"/>
      </w:divBdr>
    </w:div>
    <w:div w:id="1764375642">
      <w:bodyDiv w:val="1"/>
      <w:marLeft w:val="0"/>
      <w:marRight w:val="0"/>
      <w:marTop w:val="0"/>
      <w:marBottom w:val="0"/>
      <w:divBdr>
        <w:top w:val="none" w:sz="0" w:space="0" w:color="auto"/>
        <w:left w:val="none" w:sz="0" w:space="0" w:color="auto"/>
        <w:bottom w:val="none" w:sz="0" w:space="0" w:color="auto"/>
        <w:right w:val="none" w:sz="0" w:space="0" w:color="auto"/>
      </w:divBdr>
    </w:div>
    <w:div w:id="1764491809">
      <w:bodyDiv w:val="1"/>
      <w:marLeft w:val="0"/>
      <w:marRight w:val="0"/>
      <w:marTop w:val="0"/>
      <w:marBottom w:val="0"/>
      <w:divBdr>
        <w:top w:val="none" w:sz="0" w:space="0" w:color="auto"/>
        <w:left w:val="none" w:sz="0" w:space="0" w:color="auto"/>
        <w:bottom w:val="none" w:sz="0" w:space="0" w:color="auto"/>
        <w:right w:val="none" w:sz="0" w:space="0" w:color="auto"/>
      </w:divBdr>
    </w:div>
    <w:div w:id="1764491908">
      <w:bodyDiv w:val="1"/>
      <w:marLeft w:val="0"/>
      <w:marRight w:val="0"/>
      <w:marTop w:val="0"/>
      <w:marBottom w:val="0"/>
      <w:divBdr>
        <w:top w:val="none" w:sz="0" w:space="0" w:color="auto"/>
        <w:left w:val="none" w:sz="0" w:space="0" w:color="auto"/>
        <w:bottom w:val="none" w:sz="0" w:space="0" w:color="auto"/>
        <w:right w:val="none" w:sz="0" w:space="0" w:color="auto"/>
      </w:divBdr>
    </w:div>
    <w:div w:id="1764573351">
      <w:bodyDiv w:val="1"/>
      <w:marLeft w:val="0"/>
      <w:marRight w:val="0"/>
      <w:marTop w:val="0"/>
      <w:marBottom w:val="0"/>
      <w:divBdr>
        <w:top w:val="none" w:sz="0" w:space="0" w:color="auto"/>
        <w:left w:val="none" w:sz="0" w:space="0" w:color="auto"/>
        <w:bottom w:val="none" w:sz="0" w:space="0" w:color="auto"/>
        <w:right w:val="none" w:sz="0" w:space="0" w:color="auto"/>
      </w:divBdr>
    </w:div>
    <w:div w:id="1764574180">
      <w:bodyDiv w:val="1"/>
      <w:marLeft w:val="0"/>
      <w:marRight w:val="0"/>
      <w:marTop w:val="0"/>
      <w:marBottom w:val="0"/>
      <w:divBdr>
        <w:top w:val="none" w:sz="0" w:space="0" w:color="auto"/>
        <w:left w:val="none" w:sz="0" w:space="0" w:color="auto"/>
        <w:bottom w:val="none" w:sz="0" w:space="0" w:color="auto"/>
        <w:right w:val="none" w:sz="0" w:space="0" w:color="auto"/>
      </w:divBdr>
    </w:div>
    <w:div w:id="1764644286">
      <w:bodyDiv w:val="1"/>
      <w:marLeft w:val="0"/>
      <w:marRight w:val="0"/>
      <w:marTop w:val="0"/>
      <w:marBottom w:val="0"/>
      <w:divBdr>
        <w:top w:val="none" w:sz="0" w:space="0" w:color="auto"/>
        <w:left w:val="none" w:sz="0" w:space="0" w:color="auto"/>
        <w:bottom w:val="none" w:sz="0" w:space="0" w:color="auto"/>
        <w:right w:val="none" w:sz="0" w:space="0" w:color="auto"/>
      </w:divBdr>
    </w:div>
    <w:div w:id="1764688791">
      <w:bodyDiv w:val="1"/>
      <w:marLeft w:val="0"/>
      <w:marRight w:val="0"/>
      <w:marTop w:val="0"/>
      <w:marBottom w:val="0"/>
      <w:divBdr>
        <w:top w:val="none" w:sz="0" w:space="0" w:color="auto"/>
        <w:left w:val="none" w:sz="0" w:space="0" w:color="auto"/>
        <w:bottom w:val="none" w:sz="0" w:space="0" w:color="auto"/>
        <w:right w:val="none" w:sz="0" w:space="0" w:color="auto"/>
      </w:divBdr>
    </w:div>
    <w:div w:id="1764758053">
      <w:bodyDiv w:val="1"/>
      <w:marLeft w:val="0"/>
      <w:marRight w:val="0"/>
      <w:marTop w:val="0"/>
      <w:marBottom w:val="0"/>
      <w:divBdr>
        <w:top w:val="none" w:sz="0" w:space="0" w:color="auto"/>
        <w:left w:val="none" w:sz="0" w:space="0" w:color="auto"/>
        <w:bottom w:val="none" w:sz="0" w:space="0" w:color="auto"/>
        <w:right w:val="none" w:sz="0" w:space="0" w:color="auto"/>
      </w:divBdr>
    </w:div>
    <w:div w:id="1764758300">
      <w:bodyDiv w:val="1"/>
      <w:marLeft w:val="0"/>
      <w:marRight w:val="0"/>
      <w:marTop w:val="0"/>
      <w:marBottom w:val="0"/>
      <w:divBdr>
        <w:top w:val="none" w:sz="0" w:space="0" w:color="auto"/>
        <w:left w:val="none" w:sz="0" w:space="0" w:color="auto"/>
        <w:bottom w:val="none" w:sz="0" w:space="0" w:color="auto"/>
        <w:right w:val="none" w:sz="0" w:space="0" w:color="auto"/>
      </w:divBdr>
    </w:div>
    <w:div w:id="1764763640">
      <w:bodyDiv w:val="1"/>
      <w:marLeft w:val="0"/>
      <w:marRight w:val="0"/>
      <w:marTop w:val="0"/>
      <w:marBottom w:val="0"/>
      <w:divBdr>
        <w:top w:val="none" w:sz="0" w:space="0" w:color="auto"/>
        <w:left w:val="none" w:sz="0" w:space="0" w:color="auto"/>
        <w:bottom w:val="none" w:sz="0" w:space="0" w:color="auto"/>
        <w:right w:val="none" w:sz="0" w:space="0" w:color="auto"/>
      </w:divBdr>
    </w:div>
    <w:div w:id="1764833503">
      <w:bodyDiv w:val="1"/>
      <w:marLeft w:val="0"/>
      <w:marRight w:val="0"/>
      <w:marTop w:val="0"/>
      <w:marBottom w:val="0"/>
      <w:divBdr>
        <w:top w:val="none" w:sz="0" w:space="0" w:color="auto"/>
        <w:left w:val="none" w:sz="0" w:space="0" w:color="auto"/>
        <w:bottom w:val="none" w:sz="0" w:space="0" w:color="auto"/>
        <w:right w:val="none" w:sz="0" w:space="0" w:color="auto"/>
      </w:divBdr>
    </w:div>
    <w:div w:id="1764834592">
      <w:bodyDiv w:val="1"/>
      <w:marLeft w:val="0"/>
      <w:marRight w:val="0"/>
      <w:marTop w:val="0"/>
      <w:marBottom w:val="0"/>
      <w:divBdr>
        <w:top w:val="none" w:sz="0" w:space="0" w:color="auto"/>
        <w:left w:val="none" w:sz="0" w:space="0" w:color="auto"/>
        <w:bottom w:val="none" w:sz="0" w:space="0" w:color="auto"/>
        <w:right w:val="none" w:sz="0" w:space="0" w:color="auto"/>
      </w:divBdr>
    </w:div>
    <w:div w:id="1764954580">
      <w:bodyDiv w:val="1"/>
      <w:marLeft w:val="0"/>
      <w:marRight w:val="0"/>
      <w:marTop w:val="0"/>
      <w:marBottom w:val="0"/>
      <w:divBdr>
        <w:top w:val="none" w:sz="0" w:space="0" w:color="auto"/>
        <w:left w:val="none" w:sz="0" w:space="0" w:color="auto"/>
        <w:bottom w:val="none" w:sz="0" w:space="0" w:color="auto"/>
        <w:right w:val="none" w:sz="0" w:space="0" w:color="auto"/>
      </w:divBdr>
    </w:div>
    <w:div w:id="1765111343">
      <w:bodyDiv w:val="1"/>
      <w:marLeft w:val="0"/>
      <w:marRight w:val="0"/>
      <w:marTop w:val="0"/>
      <w:marBottom w:val="0"/>
      <w:divBdr>
        <w:top w:val="none" w:sz="0" w:space="0" w:color="auto"/>
        <w:left w:val="none" w:sz="0" w:space="0" w:color="auto"/>
        <w:bottom w:val="none" w:sz="0" w:space="0" w:color="auto"/>
        <w:right w:val="none" w:sz="0" w:space="0" w:color="auto"/>
      </w:divBdr>
    </w:div>
    <w:div w:id="1765221731">
      <w:bodyDiv w:val="1"/>
      <w:marLeft w:val="0"/>
      <w:marRight w:val="0"/>
      <w:marTop w:val="0"/>
      <w:marBottom w:val="0"/>
      <w:divBdr>
        <w:top w:val="none" w:sz="0" w:space="0" w:color="auto"/>
        <w:left w:val="none" w:sz="0" w:space="0" w:color="auto"/>
        <w:bottom w:val="none" w:sz="0" w:space="0" w:color="auto"/>
        <w:right w:val="none" w:sz="0" w:space="0" w:color="auto"/>
      </w:divBdr>
    </w:div>
    <w:div w:id="1765374235">
      <w:bodyDiv w:val="1"/>
      <w:marLeft w:val="0"/>
      <w:marRight w:val="0"/>
      <w:marTop w:val="0"/>
      <w:marBottom w:val="0"/>
      <w:divBdr>
        <w:top w:val="none" w:sz="0" w:space="0" w:color="auto"/>
        <w:left w:val="none" w:sz="0" w:space="0" w:color="auto"/>
        <w:bottom w:val="none" w:sz="0" w:space="0" w:color="auto"/>
        <w:right w:val="none" w:sz="0" w:space="0" w:color="auto"/>
      </w:divBdr>
    </w:div>
    <w:div w:id="1765419193">
      <w:bodyDiv w:val="1"/>
      <w:marLeft w:val="0"/>
      <w:marRight w:val="0"/>
      <w:marTop w:val="0"/>
      <w:marBottom w:val="0"/>
      <w:divBdr>
        <w:top w:val="none" w:sz="0" w:space="0" w:color="auto"/>
        <w:left w:val="none" w:sz="0" w:space="0" w:color="auto"/>
        <w:bottom w:val="none" w:sz="0" w:space="0" w:color="auto"/>
        <w:right w:val="none" w:sz="0" w:space="0" w:color="auto"/>
      </w:divBdr>
    </w:div>
    <w:div w:id="1765422831">
      <w:bodyDiv w:val="1"/>
      <w:marLeft w:val="0"/>
      <w:marRight w:val="0"/>
      <w:marTop w:val="0"/>
      <w:marBottom w:val="0"/>
      <w:divBdr>
        <w:top w:val="none" w:sz="0" w:space="0" w:color="auto"/>
        <w:left w:val="none" w:sz="0" w:space="0" w:color="auto"/>
        <w:bottom w:val="none" w:sz="0" w:space="0" w:color="auto"/>
        <w:right w:val="none" w:sz="0" w:space="0" w:color="auto"/>
      </w:divBdr>
    </w:div>
    <w:div w:id="1765611335">
      <w:bodyDiv w:val="1"/>
      <w:marLeft w:val="0"/>
      <w:marRight w:val="0"/>
      <w:marTop w:val="0"/>
      <w:marBottom w:val="0"/>
      <w:divBdr>
        <w:top w:val="none" w:sz="0" w:space="0" w:color="auto"/>
        <w:left w:val="none" w:sz="0" w:space="0" w:color="auto"/>
        <w:bottom w:val="none" w:sz="0" w:space="0" w:color="auto"/>
        <w:right w:val="none" w:sz="0" w:space="0" w:color="auto"/>
      </w:divBdr>
    </w:div>
    <w:div w:id="1765614074">
      <w:bodyDiv w:val="1"/>
      <w:marLeft w:val="0"/>
      <w:marRight w:val="0"/>
      <w:marTop w:val="0"/>
      <w:marBottom w:val="0"/>
      <w:divBdr>
        <w:top w:val="none" w:sz="0" w:space="0" w:color="auto"/>
        <w:left w:val="none" w:sz="0" w:space="0" w:color="auto"/>
        <w:bottom w:val="none" w:sz="0" w:space="0" w:color="auto"/>
        <w:right w:val="none" w:sz="0" w:space="0" w:color="auto"/>
      </w:divBdr>
    </w:div>
    <w:div w:id="1765875418">
      <w:bodyDiv w:val="1"/>
      <w:marLeft w:val="0"/>
      <w:marRight w:val="0"/>
      <w:marTop w:val="0"/>
      <w:marBottom w:val="0"/>
      <w:divBdr>
        <w:top w:val="none" w:sz="0" w:space="0" w:color="auto"/>
        <w:left w:val="none" w:sz="0" w:space="0" w:color="auto"/>
        <w:bottom w:val="none" w:sz="0" w:space="0" w:color="auto"/>
        <w:right w:val="none" w:sz="0" w:space="0" w:color="auto"/>
      </w:divBdr>
    </w:div>
    <w:div w:id="1765881190">
      <w:bodyDiv w:val="1"/>
      <w:marLeft w:val="0"/>
      <w:marRight w:val="0"/>
      <w:marTop w:val="0"/>
      <w:marBottom w:val="0"/>
      <w:divBdr>
        <w:top w:val="none" w:sz="0" w:space="0" w:color="auto"/>
        <w:left w:val="none" w:sz="0" w:space="0" w:color="auto"/>
        <w:bottom w:val="none" w:sz="0" w:space="0" w:color="auto"/>
        <w:right w:val="none" w:sz="0" w:space="0" w:color="auto"/>
      </w:divBdr>
    </w:div>
    <w:div w:id="1765884496">
      <w:bodyDiv w:val="1"/>
      <w:marLeft w:val="0"/>
      <w:marRight w:val="0"/>
      <w:marTop w:val="0"/>
      <w:marBottom w:val="0"/>
      <w:divBdr>
        <w:top w:val="none" w:sz="0" w:space="0" w:color="auto"/>
        <w:left w:val="none" w:sz="0" w:space="0" w:color="auto"/>
        <w:bottom w:val="none" w:sz="0" w:space="0" w:color="auto"/>
        <w:right w:val="none" w:sz="0" w:space="0" w:color="auto"/>
      </w:divBdr>
    </w:div>
    <w:div w:id="1765999138">
      <w:bodyDiv w:val="1"/>
      <w:marLeft w:val="0"/>
      <w:marRight w:val="0"/>
      <w:marTop w:val="0"/>
      <w:marBottom w:val="0"/>
      <w:divBdr>
        <w:top w:val="none" w:sz="0" w:space="0" w:color="auto"/>
        <w:left w:val="none" w:sz="0" w:space="0" w:color="auto"/>
        <w:bottom w:val="none" w:sz="0" w:space="0" w:color="auto"/>
        <w:right w:val="none" w:sz="0" w:space="0" w:color="auto"/>
      </w:divBdr>
    </w:div>
    <w:div w:id="1766222342">
      <w:bodyDiv w:val="1"/>
      <w:marLeft w:val="0"/>
      <w:marRight w:val="0"/>
      <w:marTop w:val="0"/>
      <w:marBottom w:val="0"/>
      <w:divBdr>
        <w:top w:val="none" w:sz="0" w:space="0" w:color="auto"/>
        <w:left w:val="none" w:sz="0" w:space="0" w:color="auto"/>
        <w:bottom w:val="none" w:sz="0" w:space="0" w:color="auto"/>
        <w:right w:val="none" w:sz="0" w:space="0" w:color="auto"/>
      </w:divBdr>
    </w:div>
    <w:div w:id="1766223125">
      <w:bodyDiv w:val="1"/>
      <w:marLeft w:val="0"/>
      <w:marRight w:val="0"/>
      <w:marTop w:val="0"/>
      <w:marBottom w:val="0"/>
      <w:divBdr>
        <w:top w:val="none" w:sz="0" w:space="0" w:color="auto"/>
        <w:left w:val="none" w:sz="0" w:space="0" w:color="auto"/>
        <w:bottom w:val="none" w:sz="0" w:space="0" w:color="auto"/>
        <w:right w:val="none" w:sz="0" w:space="0" w:color="auto"/>
      </w:divBdr>
    </w:div>
    <w:div w:id="1766224189">
      <w:bodyDiv w:val="1"/>
      <w:marLeft w:val="0"/>
      <w:marRight w:val="0"/>
      <w:marTop w:val="0"/>
      <w:marBottom w:val="0"/>
      <w:divBdr>
        <w:top w:val="none" w:sz="0" w:space="0" w:color="auto"/>
        <w:left w:val="none" w:sz="0" w:space="0" w:color="auto"/>
        <w:bottom w:val="none" w:sz="0" w:space="0" w:color="auto"/>
        <w:right w:val="none" w:sz="0" w:space="0" w:color="auto"/>
      </w:divBdr>
    </w:div>
    <w:div w:id="1766270411">
      <w:bodyDiv w:val="1"/>
      <w:marLeft w:val="0"/>
      <w:marRight w:val="0"/>
      <w:marTop w:val="0"/>
      <w:marBottom w:val="0"/>
      <w:divBdr>
        <w:top w:val="none" w:sz="0" w:space="0" w:color="auto"/>
        <w:left w:val="none" w:sz="0" w:space="0" w:color="auto"/>
        <w:bottom w:val="none" w:sz="0" w:space="0" w:color="auto"/>
        <w:right w:val="none" w:sz="0" w:space="0" w:color="auto"/>
      </w:divBdr>
    </w:div>
    <w:div w:id="1766345571">
      <w:bodyDiv w:val="1"/>
      <w:marLeft w:val="0"/>
      <w:marRight w:val="0"/>
      <w:marTop w:val="0"/>
      <w:marBottom w:val="0"/>
      <w:divBdr>
        <w:top w:val="none" w:sz="0" w:space="0" w:color="auto"/>
        <w:left w:val="none" w:sz="0" w:space="0" w:color="auto"/>
        <w:bottom w:val="none" w:sz="0" w:space="0" w:color="auto"/>
        <w:right w:val="none" w:sz="0" w:space="0" w:color="auto"/>
      </w:divBdr>
    </w:div>
    <w:div w:id="1766417377">
      <w:bodyDiv w:val="1"/>
      <w:marLeft w:val="0"/>
      <w:marRight w:val="0"/>
      <w:marTop w:val="0"/>
      <w:marBottom w:val="0"/>
      <w:divBdr>
        <w:top w:val="none" w:sz="0" w:space="0" w:color="auto"/>
        <w:left w:val="none" w:sz="0" w:space="0" w:color="auto"/>
        <w:bottom w:val="none" w:sz="0" w:space="0" w:color="auto"/>
        <w:right w:val="none" w:sz="0" w:space="0" w:color="auto"/>
      </w:divBdr>
    </w:div>
    <w:div w:id="1766611112">
      <w:bodyDiv w:val="1"/>
      <w:marLeft w:val="0"/>
      <w:marRight w:val="0"/>
      <w:marTop w:val="0"/>
      <w:marBottom w:val="0"/>
      <w:divBdr>
        <w:top w:val="none" w:sz="0" w:space="0" w:color="auto"/>
        <w:left w:val="none" w:sz="0" w:space="0" w:color="auto"/>
        <w:bottom w:val="none" w:sz="0" w:space="0" w:color="auto"/>
        <w:right w:val="none" w:sz="0" w:space="0" w:color="auto"/>
      </w:divBdr>
    </w:div>
    <w:div w:id="1766685313">
      <w:bodyDiv w:val="1"/>
      <w:marLeft w:val="0"/>
      <w:marRight w:val="0"/>
      <w:marTop w:val="0"/>
      <w:marBottom w:val="0"/>
      <w:divBdr>
        <w:top w:val="none" w:sz="0" w:space="0" w:color="auto"/>
        <w:left w:val="none" w:sz="0" w:space="0" w:color="auto"/>
        <w:bottom w:val="none" w:sz="0" w:space="0" w:color="auto"/>
        <w:right w:val="none" w:sz="0" w:space="0" w:color="auto"/>
      </w:divBdr>
    </w:div>
    <w:div w:id="1766724111">
      <w:bodyDiv w:val="1"/>
      <w:marLeft w:val="0"/>
      <w:marRight w:val="0"/>
      <w:marTop w:val="0"/>
      <w:marBottom w:val="0"/>
      <w:divBdr>
        <w:top w:val="none" w:sz="0" w:space="0" w:color="auto"/>
        <w:left w:val="none" w:sz="0" w:space="0" w:color="auto"/>
        <w:bottom w:val="none" w:sz="0" w:space="0" w:color="auto"/>
        <w:right w:val="none" w:sz="0" w:space="0" w:color="auto"/>
      </w:divBdr>
    </w:div>
    <w:div w:id="1766798991">
      <w:bodyDiv w:val="1"/>
      <w:marLeft w:val="0"/>
      <w:marRight w:val="0"/>
      <w:marTop w:val="0"/>
      <w:marBottom w:val="0"/>
      <w:divBdr>
        <w:top w:val="none" w:sz="0" w:space="0" w:color="auto"/>
        <w:left w:val="none" w:sz="0" w:space="0" w:color="auto"/>
        <w:bottom w:val="none" w:sz="0" w:space="0" w:color="auto"/>
        <w:right w:val="none" w:sz="0" w:space="0" w:color="auto"/>
      </w:divBdr>
    </w:div>
    <w:div w:id="1766801657">
      <w:bodyDiv w:val="1"/>
      <w:marLeft w:val="0"/>
      <w:marRight w:val="0"/>
      <w:marTop w:val="0"/>
      <w:marBottom w:val="0"/>
      <w:divBdr>
        <w:top w:val="none" w:sz="0" w:space="0" w:color="auto"/>
        <w:left w:val="none" w:sz="0" w:space="0" w:color="auto"/>
        <w:bottom w:val="none" w:sz="0" w:space="0" w:color="auto"/>
        <w:right w:val="none" w:sz="0" w:space="0" w:color="auto"/>
      </w:divBdr>
    </w:div>
    <w:div w:id="1766807312">
      <w:bodyDiv w:val="1"/>
      <w:marLeft w:val="0"/>
      <w:marRight w:val="0"/>
      <w:marTop w:val="0"/>
      <w:marBottom w:val="0"/>
      <w:divBdr>
        <w:top w:val="none" w:sz="0" w:space="0" w:color="auto"/>
        <w:left w:val="none" w:sz="0" w:space="0" w:color="auto"/>
        <w:bottom w:val="none" w:sz="0" w:space="0" w:color="auto"/>
        <w:right w:val="none" w:sz="0" w:space="0" w:color="auto"/>
      </w:divBdr>
    </w:div>
    <w:div w:id="1766879120">
      <w:bodyDiv w:val="1"/>
      <w:marLeft w:val="0"/>
      <w:marRight w:val="0"/>
      <w:marTop w:val="0"/>
      <w:marBottom w:val="0"/>
      <w:divBdr>
        <w:top w:val="none" w:sz="0" w:space="0" w:color="auto"/>
        <w:left w:val="none" w:sz="0" w:space="0" w:color="auto"/>
        <w:bottom w:val="none" w:sz="0" w:space="0" w:color="auto"/>
        <w:right w:val="none" w:sz="0" w:space="0" w:color="auto"/>
      </w:divBdr>
    </w:div>
    <w:div w:id="1766919293">
      <w:bodyDiv w:val="1"/>
      <w:marLeft w:val="0"/>
      <w:marRight w:val="0"/>
      <w:marTop w:val="0"/>
      <w:marBottom w:val="0"/>
      <w:divBdr>
        <w:top w:val="none" w:sz="0" w:space="0" w:color="auto"/>
        <w:left w:val="none" w:sz="0" w:space="0" w:color="auto"/>
        <w:bottom w:val="none" w:sz="0" w:space="0" w:color="auto"/>
        <w:right w:val="none" w:sz="0" w:space="0" w:color="auto"/>
      </w:divBdr>
    </w:div>
    <w:div w:id="1766924273">
      <w:bodyDiv w:val="1"/>
      <w:marLeft w:val="0"/>
      <w:marRight w:val="0"/>
      <w:marTop w:val="0"/>
      <w:marBottom w:val="0"/>
      <w:divBdr>
        <w:top w:val="none" w:sz="0" w:space="0" w:color="auto"/>
        <w:left w:val="none" w:sz="0" w:space="0" w:color="auto"/>
        <w:bottom w:val="none" w:sz="0" w:space="0" w:color="auto"/>
        <w:right w:val="none" w:sz="0" w:space="0" w:color="auto"/>
      </w:divBdr>
    </w:div>
    <w:div w:id="1767112841">
      <w:bodyDiv w:val="1"/>
      <w:marLeft w:val="0"/>
      <w:marRight w:val="0"/>
      <w:marTop w:val="0"/>
      <w:marBottom w:val="0"/>
      <w:divBdr>
        <w:top w:val="none" w:sz="0" w:space="0" w:color="auto"/>
        <w:left w:val="none" w:sz="0" w:space="0" w:color="auto"/>
        <w:bottom w:val="none" w:sz="0" w:space="0" w:color="auto"/>
        <w:right w:val="none" w:sz="0" w:space="0" w:color="auto"/>
      </w:divBdr>
    </w:div>
    <w:div w:id="1767187775">
      <w:bodyDiv w:val="1"/>
      <w:marLeft w:val="0"/>
      <w:marRight w:val="0"/>
      <w:marTop w:val="0"/>
      <w:marBottom w:val="0"/>
      <w:divBdr>
        <w:top w:val="none" w:sz="0" w:space="0" w:color="auto"/>
        <w:left w:val="none" w:sz="0" w:space="0" w:color="auto"/>
        <w:bottom w:val="none" w:sz="0" w:space="0" w:color="auto"/>
        <w:right w:val="none" w:sz="0" w:space="0" w:color="auto"/>
      </w:divBdr>
    </w:div>
    <w:div w:id="1767311647">
      <w:bodyDiv w:val="1"/>
      <w:marLeft w:val="0"/>
      <w:marRight w:val="0"/>
      <w:marTop w:val="0"/>
      <w:marBottom w:val="0"/>
      <w:divBdr>
        <w:top w:val="none" w:sz="0" w:space="0" w:color="auto"/>
        <w:left w:val="none" w:sz="0" w:space="0" w:color="auto"/>
        <w:bottom w:val="none" w:sz="0" w:space="0" w:color="auto"/>
        <w:right w:val="none" w:sz="0" w:space="0" w:color="auto"/>
      </w:divBdr>
    </w:div>
    <w:div w:id="1767387565">
      <w:bodyDiv w:val="1"/>
      <w:marLeft w:val="0"/>
      <w:marRight w:val="0"/>
      <w:marTop w:val="0"/>
      <w:marBottom w:val="0"/>
      <w:divBdr>
        <w:top w:val="none" w:sz="0" w:space="0" w:color="auto"/>
        <w:left w:val="none" w:sz="0" w:space="0" w:color="auto"/>
        <w:bottom w:val="none" w:sz="0" w:space="0" w:color="auto"/>
        <w:right w:val="none" w:sz="0" w:space="0" w:color="auto"/>
      </w:divBdr>
    </w:div>
    <w:div w:id="1767388282">
      <w:bodyDiv w:val="1"/>
      <w:marLeft w:val="0"/>
      <w:marRight w:val="0"/>
      <w:marTop w:val="0"/>
      <w:marBottom w:val="0"/>
      <w:divBdr>
        <w:top w:val="none" w:sz="0" w:space="0" w:color="auto"/>
        <w:left w:val="none" w:sz="0" w:space="0" w:color="auto"/>
        <w:bottom w:val="none" w:sz="0" w:space="0" w:color="auto"/>
        <w:right w:val="none" w:sz="0" w:space="0" w:color="auto"/>
      </w:divBdr>
    </w:div>
    <w:div w:id="1767454736">
      <w:bodyDiv w:val="1"/>
      <w:marLeft w:val="0"/>
      <w:marRight w:val="0"/>
      <w:marTop w:val="0"/>
      <w:marBottom w:val="0"/>
      <w:divBdr>
        <w:top w:val="none" w:sz="0" w:space="0" w:color="auto"/>
        <w:left w:val="none" w:sz="0" w:space="0" w:color="auto"/>
        <w:bottom w:val="none" w:sz="0" w:space="0" w:color="auto"/>
        <w:right w:val="none" w:sz="0" w:space="0" w:color="auto"/>
      </w:divBdr>
    </w:div>
    <w:div w:id="1767534405">
      <w:bodyDiv w:val="1"/>
      <w:marLeft w:val="0"/>
      <w:marRight w:val="0"/>
      <w:marTop w:val="0"/>
      <w:marBottom w:val="0"/>
      <w:divBdr>
        <w:top w:val="none" w:sz="0" w:space="0" w:color="auto"/>
        <w:left w:val="none" w:sz="0" w:space="0" w:color="auto"/>
        <w:bottom w:val="none" w:sz="0" w:space="0" w:color="auto"/>
        <w:right w:val="none" w:sz="0" w:space="0" w:color="auto"/>
      </w:divBdr>
    </w:div>
    <w:div w:id="1767535189">
      <w:bodyDiv w:val="1"/>
      <w:marLeft w:val="0"/>
      <w:marRight w:val="0"/>
      <w:marTop w:val="0"/>
      <w:marBottom w:val="0"/>
      <w:divBdr>
        <w:top w:val="none" w:sz="0" w:space="0" w:color="auto"/>
        <w:left w:val="none" w:sz="0" w:space="0" w:color="auto"/>
        <w:bottom w:val="none" w:sz="0" w:space="0" w:color="auto"/>
        <w:right w:val="none" w:sz="0" w:space="0" w:color="auto"/>
      </w:divBdr>
    </w:div>
    <w:div w:id="1767648081">
      <w:bodyDiv w:val="1"/>
      <w:marLeft w:val="0"/>
      <w:marRight w:val="0"/>
      <w:marTop w:val="0"/>
      <w:marBottom w:val="0"/>
      <w:divBdr>
        <w:top w:val="none" w:sz="0" w:space="0" w:color="auto"/>
        <w:left w:val="none" w:sz="0" w:space="0" w:color="auto"/>
        <w:bottom w:val="none" w:sz="0" w:space="0" w:color="auto"/>
        <w:right w:val="none" w:sz="0" w:space="0" w:color="auto"/>
      </w:divBdr>
    </w:div>
    <w:div w:id="1767726861">
      <w:bodyDiv w:val="1"/>
      <w:marLeft w:val="0"/>
      <w:marRight w:val="0"/>
      <w:marTop w:val="0"/>
      <w:marBottom w:val="0"/>
      <w:divBdr>
        <w:top w:val="none" w:sz="0" w:space="0" w:color="auto"/>
        <w:left w:val="none" w:sz="0" w:space="0" w:color="auto"/>
        <w:bottom w:val="none" w:sz="0" w:space="0" w:color="auto"/>
        <w:right w:val="none" w:sz="0" w:space="0" w:color="auto"/>
      </w:divBdr>
    </w:div>
    <w:div w:id="1767844407">
      <w:bodyDiv w:val="1"/>
      <w:marLeft w:val="0"/>
      <w:marRight w:val="0"/>
      <w:marTop w:val="0"/>
      <w:marBottom w:val="0"/>
      <w:divBdr>
        <w:top w:val="none" w:sz="0" w:space="0" w:color="auto"/>
        <w:left w:val="none" w:sz="0" w:space="0" w:color="auto"/>
        <w:bottom w:val="none" w:sz="0" w:space="0" w:color="auto"/>
        <w:right w:val="none" w:sz="0" w:space="0" w:color="auto"/>
      </w:divBdr>
    </w:div>
    <w:div w:id="1767849285">
      <w:bodyDiv w:val="1"/>
      <w:marLeft w:val="0"/>
      <w:marRight w:val="0"/>
      <w:marTop w:val="0"/>
      <w:marBottom w:val="0"/>
      <w:divBdr>
        <w:top w:val="none" w:sz="0" w:space="0" w:color="auto"/>
        <w:left w:val="none" w:sz="0" w:space="0" w:color="auto"/>
        <w:bottom w:val="none" w:sz="0" w:space="0" w:color="auto"/>
        <w:right w:val="none" w:sz="0" w:space="0" w:color="auto"/>
      </w:divBdr>
    </w:div>
    <w:div w:id="1767966208">
      <w:bodyDiv w:val="1"/>
      <w:marLeft w:val="0"/>
      <w:marRight w:val="0"/>
      <w:marTop w:val="0"/>
      <w:marBottom w:val="0"/>
      <w:divBdr>
        <w:top w:val="none" w:sz="0" w:space="0" w:color="auto"/>
        <w:left w:val="none" w:sz="0" w:space="0" w:color="auto"/>
        <w:bottom w:val="none" w:sz="0" w:space="0" w:color="auto"/>
        <w:right w:val="none" w:sz="0" w:space="0" w:color="auto"/>
      </w:divBdr>
    </w:div>
    <w:div w:id="1767995907">
      <w:bodyDiv w:val="1"/>
      <w:marLeft w:val="0"/>
      <w:marRight w:val="0"/>
      <w:marTop w:val="0"/>
      <w:marBottom w:val="0"/>
      <w:divBdr>
        <w:top w:val="none" w:sz="0" w:space="0" w:color="auto"/>
        <w:left w:val="none" w:sz="0" w:space="0" w:color="auto"/>
        <w:bottom w:val="none" w:sz="0" w:space="0" w:color="auto"/>
        <w:right w:val="none" w:sz="0" w:space="0" w:color="auto"/>
      </w:divBdr>
    </w:div>
    <w:div w:id="1768041808">
      <w:bodyDiv w:val="1"/>
      <w:marLeft w:val="0"/>
      <w:marRight w:val="0"/>
      <w:marTop w:val="0"/>
      <w:marBottom w:val="0"/>
      <w:divBdr>
        <w:top w:val="none" w:sz="0" w:space="0" w:color="auto"/>
        <w:left w:val="none" w:sz="0" w:space="0" w:color="auto"/>
        <w:bottom w:val="none" w:sz="0" w:space="0" w:color="auto"/>
        <w:right w:val="none" w:sz="0" w:space="0" w:color="auto"/>
      </w:divBdr>
    </w:div>
    <w:div w:id="1768193095">
      <w:bodyDiv w:val="1"/>
      <w:marLeft w:val="0"/>
      <w:marRight w:val="0"/>
      <w:marTop w:val="0"/>
      <w:marBottom w:val="0"/>
      <w:divBdr>
        <w:top w:val="none" w:sz="0" w:space="0" w:color="auto"/>
        <w:left w:val="none" w:sz="0" w:space="0" w:color="auto"/>
        <w:bottom w:val="none" w:sz="0" w:space="0" w:color="auto"/>
        <w:right w:val="none" w:sz="0" w:space="0" w:color="auto"/>
      </w:divBdr>
    </w:div>
    <w:div w:id="1768228460">
      <w:bodyDiv w:val="1"/>
      <w:marLeft w:val="0"/>
      <w:marRight w:val="0"/>
      <w:marTop w:val="0"/>
      <w:marBottom w:val="0"/>
      <w:divBdr>
        <w:top w:val="none" w:sz="0" w:space="0" w:color="auto"/>
        <w:left w:val="none" w:sz="0" w:space="0" w:color="auto"/>
        <w:bottom w:val="none" w:sz="0" w:space="0" w:color="auto"/>
        <w:right w:val="none" w:sz="0" w:space="0" w:color="auto"/>
      </w:divBdr>
    </w:div>
    <w:div w:id="1768231963">
      <w:bodyDiv w:val="1"/>
      <w:marLeft w:val="0"/>
      <w:marRight w:val="0"/>
      <w:marTop w:val="0"/>
      <w:marBottom w:val="0"/>
      <w:divBdr>
        <w:top w:val="none" w:sz="0" w:space="0" w:color="auto"/>
        <w:left w:val="none" w:sz="0" w:space="0" w:color="auto"/>
        <w:bottom w:val="none" w:sz="0" w:space="0" w:color="auto"/>
        <w:right w:val="none" w:sz="0" w:space="0" w:color="auto"/>
      </w:divBdr>
    </w:div>
    <w:div w:id="1768498698">
      <w:bodyDiv w:val="1"/>
      <w:marLeft w:val="0"/>
      <w:marRight w:val="0"/>
      <w:marTop w:val="0"/>
      <w:marBottom w:val="0"/>
      <w:divBdr>
        <w:top w:val="none" w:sz="0" w:space="0" w:color="auto"/>
        <w:left w:val="none" w:sz="0" w:space="0" w:color="auto"/>
        <w:bottom w:val="none" w:sz="0" w:space="0" w:color="auto"/>
        <w:right w:val="none" w:sz="0" w:space="0" w:color="auto"/>
      </w:divBdr>
    </w:div>
    <w:div w:id="1768574892">
      <w:bodyDiv w:val="1"/>
      <w:marLeft w:val="0"/>
      <w:marRight w:val="0"/>
      <w:marTop w:val="0"/>
      <w:marBottom w:val="0"/>
      <w:divBdr>
        <w:top w:val="none" w:sz="0" w:space="0" w:color="auto"/>
        <w:left w:val="none" w:sz="0" w:space="0" w:color="auto"/>
        <w:bottom w:val="none" w:sz="0" w:space="0" w:color="auto"/>
        <w:right w:val="none" w:sz="0" w:space="0" w:color="auto"/>
      </w:divBdr>
    </w:div>
    <w:div w:id="1768646846">
      <w:bodyDiv w:val="1"/>
      <w:marLeft w:val="0"/>
      <w:marRight w:val="0"/>
      <w:marTop w:val="0"/>
      <w:marBottom w:val="0"/>
      <w:divBdr>
        <w:top w:val="none" w:sz="0" w:space="0" w:color="auto"/>
        <w:left w:val="none" w:sz="0" w:space="0" w:color="auto"/>
        <w:bottom w:val="none" w:sz="0" w:space="0" w:color="auto"/>
        <w:right w:val="none" w:sz="0" w:space="0" w:color="auto"/>
      </w:divBdr>
    </w:div>
    <w:div w:id="1768765556">
      <w:bodyDiv w:val="1"/>
      <w:marLeft w:val="0"/>
      <w:marRight w:val="0"/>
      <w:marTop w:val="0"/>
      <w:marBottom w:val="0"/>
      <w:divBdr>
        <w:top w:val="none" w:sz="0" w:space="0" w:color="auto"/>
        <w:left w:val="none" w:sz="0" w:space="0" w:color="auto"/>
        <w:bottom w:val="none" w:sz="0" w:space="0" w:color="auto"/>
        <w:right w:val="none" w:sz="0" w:space="0" w:color="auto"/>
      </w:divBdr>
    </w:div>
    <w:div w:id="1768885534">
      <w:bodyDiv w:val="1"/>
      <w:marLeft w:val="0"/>
      <w:marRight w:val="0"/>
      <w:marTop w:val="0"/>
      <w:marBottom w:val="0"/>
      <w:divBdr>
        <w:top w:val="none" w:sz="0" w:space="0" w:color="auto"/>
        <w:left w:val="none" w:sz="0" w:space="0" w:color="auto"/>
        <w:bottom w:val="none" w:sz="0" w:space="0" w:color="auto"/>
        <w:right w:val="none" w:sz="0" w:space="0" w:color="auto"/>
      </w:divBdr>
    </w:div>
    <w:div w:id="1768888570">
      <w:bodyDiv w:val="1"/>
      <w:marLeft w:val="0"/>
      <w:marRight w:val="0"/>
      <w:marTop w:val="0"/>
      <w:marBottom w:val="0"/>
      <w:divBdr>
        <w:top w:val="none" w:sz="0" w:space="0" w:color="auto"/>
        <w:left w:val="none" w:sz="0" w:space="0" w:color="auto"/>
        <w:bottom w:val="none" w:sz="0" w:space="0" w:color="auto"/>
        <w:right w:val="none" w:sz="0" w:space="0" w:color="auto"/>
      </w:divBdr>
    </w:div>
    <w:div w:id="1769041162">
      <w:bodyDiv w:val="1"/>
      <w:marLeft w:val="0"/>
      <w:marRight w:val="0"/>
      <w:marTop w:val="0"/>
      <w:marBottom w:val="0"/>
      <w:divBdr>
        <w:top w:val="none" w:sz="0" w:space="0" w:color="auto"/>
        <w:left w:val="none" w:sz="0" w:space="0" w:color="auto"/>
        <w:bottom w:val="none" w:sz="0" w:space="0" w:color="auto"/>
        <w:right w:val="none" w:sz="0" w:space="0" w:color="auto"/>
      </w:divBdr>
    </w:div>
    <w:div w:id="1769228318">
      <w:bodyDiv w:val="1"/>
      <w:marLeft w:val="0"/>
      <w:marRight w:val="0"/>
      <w:marTop w:val="0"/>
      <w:marBottom w:val="0"/>
      <w:divBdr>
        <w:top w:val="none" w:sz="0" w:space="0" w:color="auto"/>
        <w:left w:val="none" w:sz="0" w:space="0" w:color="auto"/>
        <w:bottom w:val="none" w:sz="0" w:space="0" w:color="auto"/>
        <w:right w:val="none" w:sz="0" w:space="0" w:color="auto"/>
      </w:divBdr>
    </w:div>
    <w:div w:id="1769230175">
      <w:bodyDiv w:val="1"/>
      <w:marLeft w:val="0"/>
      <w:marRight w:val="0"/>
      <w:marTop w:val="0"/>
      <w:marBottom w:val="0"/>
      <w:divBdr>
        <w:top w:val="none" w:sz="0" w:space="0" w:color="auto"/>
        <w:left w:val="none" w:sz="0" w:space="0" w:color="auto"/>
        <w:bottom w:val="none" w:sz="0" w:space="0" w:color="auto"/>
        <w:right w:val="none" w:sz="0" w:space="0" w:color="auto"/>
      </w:divBdr>
    </w:div>
    <w:div w:id="1769231729">
      <w:bodyDiv w:val="1"/>
      <w:marLeft w:val="0"/>
      <w:marRight w:val="0"/>
      <w:marTop w:val="0"/>
      <w:marBottom w:val="0"/>
      <w:divBdr>
        <w:top w:val="none" w:sz="0" w:space="0" w:color="auto"/>
        <w:left w:val="none" w:sz="0" w:space="0" w:color="auto"/>
        <w:bottom w:val="none" w:sz="0" w:space="0" w:color="auto"/>
        <w:right w:val="none" w:sz="0" w:space="0" w:color="auto"/>
      </w:divBdr>
    </w:div>
    <w:div w:id="1769306549">
      <w:bodyDiv w:val="1"/>
      <w:marLeft w:val="0"/>
      <w:marRight w:val="0"/>
      <w:marTop w:val="0"/>
      <w:marBottom w:val="0"/>
      <w:divBdr>
        <w:top w:val="none" w:sz="0" w:space="0" w:color="auto"/>
        <w:left w:val="none" w:sz="0" w:space="0" w:color="auto"/>
        <w:bottom w:val="none" w:sz="0" w:space="0" w:color="auto"/>
        <w:right w:val="none" w:sz="0" w:space="0" w:color="auto"/>
      </w:divBdr>
    </w:div>
    <w:div w:id="1769422454">
      <w:bodyDiv w:val="1"/>
      <w:marLeft w:val="0"/>
      <w:marRight w:val="0"/>
      <w:marTop w:val="0"/>
      <w:marBottom w:val="0"/>
      <w:divBdr>
        <w:top w:val="none" w:sz="0" w:space="0" w:color="auto"/>
        <w:left w:val="none" w:sz="0" w:space="0" w:color="auto"/>
        <w:bottom w:val="none" w:sz="0" w:space="0" w:color="auto"/>
        <w:right w:val="none" w:sz="0" w:space="0" w:color="auto"/>
      </w:divBdr>
    </w:div>
    <w:div w:id="1769499133">
      <w:bodyDiv w:val="1"/>
      <w:marLeft w:val="0"/>
      <w:marRight w:val="0"/>
      <w:marTop w:val="0"/>
      <w:marBottom w:val="0"/>
      <w:divBdr>
        <w:top w:val="none" w:sz="0" w:space="0" w:color="auto"/>
        <w:left w:val="none" w:sz="0" w:space="0" w:color="auto"/>
        <w:bottom w:val="none" w:sz="0" w:space="0" w:color="auto"/>
        <w:right w:val="none" w:sz="0" w:space="0" w:color="auto"/>
      </w:divBdr>
    </w:div>
    <w:div w:id="1769502652">
      <w:bodyDiv w:val="1"/>
      <w:marLeft w:val="0"/>
      <w:marRight w:val="0"/>
      <w:marTop w:val="0"/>
      <w:marBottom w:val="0"/>
      <w:divBdr>
        <w:top w:val="none" w:sz="0" w:space="0" w:color="auto"/>
        <w:left w:val="none" w:sz="0" w:space="0" w:color="auto"/>
        <w:bottom w:val="none" w:sz="0" w:space="0" w:color="auto"/>
        <w:right w:val="none" w:sz="0" w:space="0" w:color="auto"/>
      </w:divBdr>
    </w:div>
    <w:div w:id="1769688748">
      <w:bodyDiv w:val="1"/>
      <w:marLeft w:val="0"/>
      <w:marRight w:val="0"/>
      <w:marTop w:val="0"/>
      <w:marBottom w:val="0"/>
      <w:divBdr>
        <w:top w:val="none" w:sz="0" w:space="0" w:color="auto"/>
        <w:left w:val="none" w:sz="0" w:space="0" w:color="auto"/>
        <w:bottom w:val="none" w:sz="0" w:space="0" w:color="auto"/>
        <w:right w:val="none" w:sz="0" w:space="0" w:color="auto"/>
      </w:divBdr>
    </w:div>
    <w:div w:id="1769695845">
      <w:bodyDiv w:val="1"/>
      <w:marLeft w:val="0"/>
      <w:marRight w:val="0"/>
      <w:marTop w:val="0"/>
      <w:marBottom w:val="0"/>
      <w:divBdr>
        <w:top w:val="none" w:sz="0" w:space="0" w:color="auto"/>
        <w:left w:val="none" w:sz="0" w:space="0" w:color="auto"/>
        <w:bottom w:val="none" w:sz="0" w:space="0" w:color="auto"/>
        <w:right w:val="none" w:sz="0" w:space="0" w:color="auto"/>
      </w:divBdr>
    </w:div>
    <w:div w:id="1769812538">
      <w:bodyDiv w:val="1"/>
      <w:marLeft w:val="0"/>
      <w:marRight w:val="0"/>
      <w:marTop w:val="0"/>
      <w:marBottom w:val="0"/>
      <w:divBdr>
        <w:top w:val="none" w:sz="0" w:space="0" w:color="auto"/>
        <w:left w:val="none" w:sz="0" w:space="0" w:color="auto"/>
        <w:bottom w:val="none" w:sz="0" w:space="0" w:color="auto"/>
        <w:right w:val="none" w:sz="0" w:space="0" w:color="auto"/>
      </w:divBdr>
    </w:div>
    <w:div w:id="1769957359">
      <w:bodyDiv w:val="1"/>
      <w:marLeft w:val="0"/>
      <w:marRight w:val="0"/>
      <w:marTop w:val="0"/>
      <w:marBottom w:val="0"/>
      <w:divBdr>
        <w:top w:val="none" w:sz="0" w:space="0" w:color="auto"/>
        <w:left w:val="none" w:sz="0" w:space="0" w:color="auto"/>
        <w:bottom w:val="none" w:sz="0" w:space="0" w:color="auto"/>
        <w:right w:val="none" w:sz="0" w:space="0" w:color="auto"/>
      </w:divBdr>
    </w:div>
    <w:div w:id="1769960623">
      <w:bodyDiv w:val="1"/>
      <w:marLeft w:val="0"/>
      <w:marRight w:val="0"/>
      <w:marTop w:val="0"/>
      <w:marBottom w:val="0"/>
      <w:divBdr>
        <w:top w:val="none" w:sz="0" w:space="0" w:color="auto"/>
        <w:left w:val="none" w:sz="0" w:space="0" w:color="auto"/>
        <w:bottom w:val="none" w:sz="0" w:space="0" w:color="auto"/>
        <w:right w:val="none" w:sz="0" w:space="0" w:color="auto"/>
      </w:divBdr>
    </w:div>
    <w:div w:id="1769963291">
      <w:bodyDiv w:val="1"/>
      <w:marLeft w:val="0"/>
      <w:marRight w:val="0"/>
      <w:marTop w:val="0"/>
      <w:marBottom w:val="0"/>
      <w:divBdr>
        <w:top w:val="none" w:sz="0" w:space="0" w:color="auto"/>
        <w:left w:val="none" w:sz="0" w:space="0" w:color="auto"/>
        <w:bottom w:val="none" w:sz="0" w:space="0" w:color="auto"/>
        <w:right w:val="none" w:sz="0" w:space="0" w:color="auto"/>
      </w:divBdr>
    </w:div>
    <w:div w:id="1770153175">
      <w:bodyDiv w:val="1"/>
      <w:marLeft w:val="0"/>
      <w:marRight w:val="0"/>
      <w:marTop w:val="0"/>
      <w:marBottom w:val="0"/>
      <w:divBdr>
        <w:top w:val="none" w:sz="0" w:space="0" w:color="auto"/>
        <w:left w:val="none" w:sz="0" w:space="0" w:color="auto"/>
        <w:bottom w:val="none" w:sz="0" w:space="0" w:color="auto"/>
        <w:right w:val="none" w:sz="0" w:space="0" w:color="auto"/>
      </w:divBdr>
    </w:div>
    <w:div w:id="1770153197">
      <w:bodyDiv w:val="1"/>
      <w:marLeft w:val="0"/>
      <w:marRight w:val="0"/>
      <w:marTop w:val="0"/>
      <w:marBottom w:val="0"/>
      <w:divBdr>
        <w:top w:val="none" w:sz="0" w:space="0" w:color="auto"/>
        <w:left w:val="none" w:sz="0" w:space="0" w:color="auto"/>
        <w:bottom w:val="none" w:sz="0" w:space="0" w:color="auto"/>
        <w:right w:val="none" w:sz="0" w:space="0" w:color="auto"/>
      </w:divBdr>
    </w:div>
    <w:div w:id="1770546064">
      <w:bodyDiv w:val="1"/>
      <w:marLeft w:val="0"/>
      <w:marRight w:val="0"/>
      <w:marTop w:val="0"/>
      <w:marBottom w:val="0"/>
      <w:divBdr>
        <w:top w:val="none" w:sz="0" w:space="0" w:color="auto"/>
        <w:left w:val="none" w:sz="0" w:space="0" w:color="auto"/>
        <w:bottom w:val="none" w:sz="0" w:space="0" w:color="auto"/>
        <w:right w:val="none" w:sz="0" w:space="0" w:color="auto"/>
      </w:divBdr>
    </w:div>
    <w:div w:id="1770657107">
      <w:bodyDiv w:val="1"/>
      <w:marLeft w:val="0"/>
      <w:marRight w:val="0"/>
      <w:marTop w:val="0"/>
      <w:marBottom w:val="0"/>
      <w:divBdr>
        <w:top w:val="none" w:sz="0" w:space="0" w:color="auto"/>
        <w:left w:val="none" w:sz="0" w:space="0" w:color="auto"/>
        <w:bottom w:val="none" w:sz="0" w:space="0" w:color="auto"/>
        <w:right w:val="none" w:sz="0" w:space="0" w:color="auto"/>
      </w:divBdr>
    </w:div>
    <w:div w:id="1770733742">
      <w:bodyDiv w:val="1"/>
      <w:marLeft w:val="0"/>
      <w:marRight w:val="0"/>
      <w:marTop w:val="0"/>
      <w:marBottom w:val="0"/>
      <w:divBdr>
        <w:top w:val="none" w:sz="0" w:space="0" w:color="auto"/>
        <w:left w:val="none" w:sz="0" w:space="0" w:color="auto"/>
        <w:bottom w:val="none" w:sz="0" w:space="0" w:color="auto"/>
        <w:right w:val="none" w:sz="0" w:space="0" w:color="auto"/>
      </w:divBdr>
    </w:div>
    <w:div w:id="1770930852">
      <w:bodyDiv w:val="1"/>
      <w:marLeft w:val="0"/>
      <w:marRight w:val="0"/>
      <w:marTop w:val="0"/>
      <w:marBottom w:val="0"/>
      <w:divBdr>
        <w:top w:val="none" w:sz="0" w:space="0" w:color="auto"/>
        <w:left w:val="none" w:sz="0" w:space="0" w:color="auto"/>
        <w:bottom w:val="none" w:sz="0" w:space="0" w:color="auto"/>
        <w:right w:val="none" w:sz="0" w:space="0" w:color="auto"/>
      </w:divBdr>
    </w:div>
    <w:div w:id="1771118394">
      <w:bodyDiv w:val="1"/>
      <w:marLeft w:val="0"/>
      <w:marRight w:val="0"/>
      <w:marTop w:val="0"/>
      <w:marBottom w:val="0"/>
      <w:divBdr>
        <w:top w:val="none" w:sz="0" w:space="0" w:color="auto"/>
        <w:left w:val="none" w:sz="0" w:space="0" w:color="auto"/>
        <w:bottom w:val="none" w:sz="0" w:space="0" w:color="auto"/>
        <w:right w:val="none" w:sz="0" w:space="0" w:color="auto"/>
      </w:divBdr>
    </w:div>
    <w:div w:id="1771121194">
      <w:bodyDiv w:val="1"/>
      <w:marLeft w:val="0"/>
      <w:marRight w:val="0"/>
      <w:marTop w:val="0"/>
      <w:marBottom w:val="0"/>
      <w:divBdr>
        <w:top w:val="none" w:sz="0" w:space="0" w:color="auto"/>
        <w:left w:val="none" w:sz="0" w:space="0" w:color="auto"/>
        <w:bottom w:val="none" w:sz="0" w:space="0" w:color="auto"/>
        <w:right w:val="none" w:sz="0" w:space="0" w:color="auto"/>
      </w:divBdr>
    </w:div>
    <w:div w:id="1771124093">
      <w:bodyDiv w:val="1"/>
      <w:marLeft w:val="0"/>
      <w:marRight w:val="0"/>
      <w:marTop w:val="0"/>
      <w:marBottom w:val="0"/>
      <w:divBdr>
        <w:top w:val="none" w:sz="0" w:space="0" w:color="auto"/>
        <w:left w:val="none" w:sz="0" w:space="0" w:color="auto"/>
        <w:bottom w:val="none" w:sz="0" w:space="0" w:color="auto"/>
        <w:right w:val="none" w:sz="0" w:space="0" w:color="auto"/>
      </w:divBdr>
    </w:div>
    <w:div w:id="1771124720">
      <w:bodyDiv w:val="1"/>
      <w:marLeft w:val="0"/>
      <w:marRight w:val="0"/>
      <w:marTop w:val="0"/>
      <w:marBottom w:val="0"/>
      <w:divBdr>
        <w:top w:val="none" w:sz="0" w:space="0" w:color="auto"/>
        <w:left w:val="none" w:sz="0" w:space="0" w:color="auto"/>
        <w:bottom w:val="none" w:sz="0" w:space="0" w:color="auto"/>
        <w:right w:val="none" w:sz="0" w:space="0" w:color="auto"/>
      </w:divBdr>
    </w:div>
    <w:div w:id="1771268768">
      <w:bodyDiv w:val="1"/>
      <w:marLeft w:val="0"/>
      <w:marRight w:val="0"/>
      <w:marTop w:val="0"/>
      <w:marBottom w:val="0"/>
      <w:divBdr>
        <w:top w:val="none" w:sz="0" w:space="0" w:color="auto"/>
        <w:left w:val="none" w:sz="0" w:space="0" w:color="auto"/>
        <w:bottom w:val="none" w:sz="0" w:space="0" w:color="auto"/>
        <w:right w:val="none" w:sz="0" w:space="0" w:color="auto"/>
      </w:divBdr>
    </w:div>
    <w:div w:id="1771313080">
      <w:bodyDiv w:val="1"/>
      <w:marLeft w:val="0"/>
      <w:marRight w:val="0"/>
      <w:marTop w:val="0"/>
      <w:marBottom w:val="0"/>
      <w:divBdr>
        <w:top w:val="none" w:sz="0" w:space="0" w:color="auto"/>
        <w:left w:val="none" w:sz="0" w:space="0" w:color="auto"/>
        <w:bottom w:val="none" w:sz="0" w:space="0" w:color="auto"/>
        <w:right w:val="none" w:sz="0" w:space="0" w:color="auto"/>
      </w:divBdr>
    </w:div>
    <w:div w:id="1771389323">
      <w:bodyDiv w:val="1"/>
      <w:marLeft w:val="0"/>
      <w:marRight w:val="0"/>
      <w:marTop w:val="0"/>
      <w:marBottom w:val="0"/>
      <w:divBdr>
        <w:top w:val="none" w:sz="0" w:space="0" w:color="auto"/>
        <w:left w:val="none" w:sz="0" w:space="0" w:color="auto"/>
        <w:bottom w:val="none" w:sz="0" w:space="0" w:color="auto"/>
        <w:right w:val="none" w:sz="0" w:space="0" w:color="auto"/>
      </w:divBdr>
    </w:div>
    <w:div w:id="1771469006">
      <w:bodyDiv w:val="1"/>
      <w:marLeft w:val="0"/>
      <w:marRight w:val="0"/>
      <w:marTop w:val="0"/>
      <w:marBottom w:val="0"/>
      <w:divBdr>
        <w:top w:val="none" w:sz="0" w:space="0" w:color="auto"/>
        <w:left w:val="none" w:sz="0" w:space="0" w:color="auto"/>
        <w:bottom w:val="none" w:sz="0" w:space="0" w:color="auto"/>
        <w:right w:val="none" w:sz="0" w:space="0" w:color="auto"/>
      </w:divBdr>
    </w:div>
    <w:div w:id="1771469800">
      <w:bodyDiv w:val="1"/>
      <w:marLeft w:val="0"/>
      <w:marRight w:val="0"/>
      <w:marTop w:val="0"/>
      <w:marBottom w:val="0"/>
      <w:divBdr>
        <w:top w:val="none" w:sz="0" w:space="0" w:color="auto"/>
        <w:left w:val="none" w:sz="0" w:space="0" w:color="auto"/>
        <w:bottom w:val="none" w:sz="0" w:space="0" w:color="auto"/>
        <w:right w:val="none" w:sz="0" w:space="0" w:color="auto"/>
      </w:divBdr>
    </w:div>
    <w:div w:id="1771509306">
      <w:bodyDiv w:val="1"/>
      <w:marLeft w:val="0"/>
      <w:marRight w:val="0"/>
      <w:marTop w:val="0"/>
      <w:marBottom w:val="0"/>
      <w:divBdr>
        <w:top w:val="none" w:sz="0" w:space="0" w:color="auto"/>
        <w:left w:val="none" w:sz="0" w:space="0" w:color="auto"/>
        <w:bottom w:val="none" w:sz="0" w:space="0" w:color="auto"/>
        <w:right w:val="none" w:sz="0" w:space="0" w:color="auto"/>
      </w:divBdr>
    </w:div>
    <w:div w:id="1771774969">
      <w:bodyDiv w:val="1"/>
      <w:marLeft w:val="0"/>
      <w:marRight w:val="0"/>
      <w:marTop w:val="0"/>
      <w:marBottom w:val="0"/>
      <w:divBdr>
        <w:top w:val="none" w:sz="0" w:space="0" w:color="auto"/>
        <w:left w:val="none" w:sz="0" w:space="0" w:color="auto"/>
        <w:bottom w:val="none" w:sz="0" w:space="0" w:color="auto"/>
        <w:right w:val="none" w:sz="0" w:space="0" w:color="auto"/>
      </w:divBdr>
    </w:div>
    <w:div w:id="1771854771">
      <w:bodyDiv w:val="1"/>
      <w:marLeft w:val="0"/>
      <w:marRight w:val="0"/>
      <w:marTop w:val="0"/>
      <w:marBottom w:val="0"/>
      <w:divBdr>
        <w:top w:val="none" w:sz="0" w:space="0" w:color="auto"/>
        <w:left w:val="none" w:sz="0" w:space="0" w:color="auto"/>
        <w:bottom w:val="none" w:sz="0" w:space="0" w:color="auto"/>
        <w:right w:val="none" w:sz="0" w:space="0" w:color="auto"/>
      </w:divBdr>
    </w:div>
    <w:div w:id="1771857063">
      <w:bodyDiv w:val="1"/>
      <w:marLeft w:val="0"/>
      <w:marRight w:val="0"/>
      <w:marTop w:val="0"/>
      <w:marBottom w:val="0"/>
      <w:divBdr>
        <w:top w:val="none" w:sz="0" w:space="0" w:color="auto"/>
        <w:left w:val="none" w:sz="0" w:space="0" w:color="auto"/>
        <w:bottom w:val="none" w:sz="0" w:space="0" w:color="auto"/>
        <w:right w:val="none" w:sz="0" w:space="0" w:color="auto"/>
      </w:divBdr>
    </w:div>
    <w:div w:id="1772116756">
      <w:bodyDiv w:val="1"/>
      <w:marLeft w:val="0"/>
      <w:marRight w:val="0"/>
      <w:marTop w:val="0"/>
      <w:marBottom w:val="0"/>
      <w:divBdr>
        <w:top w:val="none" w:sz="0" w:space="0" w:color="auto"/>
        <w:left w:val="none" w:sz="0" w:space="0" w:color="auto"/>
        <w:bottom w:val="none" w:sz="0" w:space="0" w:color="auto"/>
        <w:right w:val="none" w:sz="0" w:space="0" w:color="auto"/>
      </w:divBdr>
    </w:div>
    <w:div w:id="1772118193">
      <w:bodyDiv w:val="1"/>
      <w:marLeft w:val="0"/>
      <w:marRight w:val="0"/>
      <w:marTop w:val="0"/>
      <w:marBottom w:val="0"/>
      <w:divBdr>
        <w:top w:val="none" w:sz="0" w:space="0" w:color="auto"/>
        <w:left w:val="none" w:sz="0" w:space="0" w:color="auto"/>
        <w:bottom w:val="none" w:sz="0" w:space="0" w:color="auto"/>
        <w:right w:val="none" w:sz="0" w:space="0" w:color="auto"/>
      </w:divBdr>
    </w:div>
    <w:div w:id="1772234542">
      <w:bodyDiv w:val="1"/>
      <w:marLeft w:val="0"/>
      <w:marRight w:val="0"/>
      <w:marTop w:val="0"/>
      <w:marBottom w:val="0"/>
      <w:divBdr>
        <w:top w:val="none" w:sz="0" w:space="0" w:color="auto"/>
        <w:left w:val="none" w:sz="0" w:space="0" w:color="auto"/>
        <w:bottom w:val="none" w:sz="0" w:space="0" w:color="auto"/>
        <w:right w:val="none" w:sz="0" w:space="0" w:color="auto"/>
      </w:divBdr>
    </w:div>
    <w:div w:id="1772238291">
      <w:bodyDiv w:val="1"/>
      <w:marLeft w:val="0"/>
      <w:marRight w:val="0"/>
      <w:marTop w:val="0"/>
      <w:marBottom w:val="0"/>
      <w:divBdr>
        <w:top w:val="none" w:sz="0" w:space="0" w:color="auto"/>
        <w:left w:val="none" w:sz="0" w:space="0" w:color="auto"/>
        <w:bottom w:val="none" w:sz="0" w:space="0" w:color="auto"/>
        <w:right w:val="none" w:sz="0" w:space="0" w:color="auto"/>
      </w:divBdr>
    </w:div>
    <w:div w:id="1772239056">
      <w:bodyDiv w:val="1"/>
      <w:marLeft w:val="0"/>
      <w:marRight w:val="0"/>
      <w:marTop w:val="0"/>
      <w:marBottom w:val="0"/>
      <w:divBdr>
        <w:top w:val="none" w:sz="0" w:space="0" w:color="auto"/>
        <w:left w:val="none" w:sz="0" w:space="0" w:color="auto"/>
        <w:bottom w:val="none" w:sz="0" w:space="0" w:color="auto"/>
        <w:right w:val="none" w:sz="0" w:space="0" w:color="auto"/>
      </w:divBdr>
    </w:div>
    <w:div w:id="1772317785">
      <w:bodyDiv w:val="1"/>
      <w:marLeft w:val="0"/>
      <w:marRight w:val="0"/>
      <w:marTop w:val="0"/>
      <w:marBottom w:val="0"/>
      <w:divBdr>
        <w:top w:val="none" w:sz="0" w:space="0" w:color="auto"/>
        <w:left w:val="none" w:sz="0" w:space="0" w:color="auto"/>
        <w:bottom w:val="none" w:sz="0" w:space="0" w:color="auto"/>
        <w:right w:val="none" w:sz="0" w:space="0" w:color="auto"/>
      </w:divBdr>
    </w:div>
    <w:div w:id="1772356308">
      <w:bodyDiv w:val="1"/>
      <w:marLeft w:val="0"/>
      <w:marRight w:val="0"/>
      <w:marTop w:val="0"/>
      <w:marBottom w:val="0"/>
      <w:divBdr>
        <w:top w:val="none" w:sz="0" w:space="0" w:color="auto"/>
        <w:left w:val="none" w:sz="0" w:space="0" w:color="auto"/>
        <w:bottom w:val="none" w:sz="0" w:space="0" w:color="auto"/>
        <w:right w:val="none" w:sz="0" w:space="0" w:color="auto"/>
      </w:divBdr>
    </w:div>
    <w:div w:id="1772359606">
      <w:bodyDiv w:val="1"/>
      <w:marLeft w:val="0"/>
      <w:marRight w:val="0"/>
      <w:marTop w:val="0"/>
      <w:marBottom w:val="0"/>
      <w:divBdr>
        <w:top w:val="none" w:sz="0" w:space="0" w:color="auto"/>
        <w:left w:val="none" w:sz="0" w:space="0" w:color="auto"/>
        <w:bottom w:val="none" w:sz="0" w:space="0" w:color="auto"/>
        <w:right w:val="none" w:sz="0" w:space="0" w:color="auto"/>
      </w:divBdr>
    </w:div>
    <w:div w:id="1772504620">
      <w:bodyDiv w:val="1"/>
      <w:marLeft w:val="0"/>
      <w:marRight w:val="0"/>
      <w:marTop w:val="0"/>
      <w:marBottom w:val="0"/>
      <w:divBdr>
        <w:top w:val="none" w:sz="0" w:space="0" w:color="auto"/>
        <w:left w:val="none" w:sz="0" w:space="0" w:color="auto"/>
        <w:bottom w:val="none" w:sz="0" w:space="0" w:color="auto"/>
        <w:right w:val="none" w:sz="0" w:space="0" w:color="auto"/>
      </w:divBdr>
    </w:div>
    <w:div w:id="1772508394">
      <w:bodyDiv w:val="1"/>
      <w:marLeft w:val="0"/>
      <w:marRight w:val="0"/>
      <w:marTop w:val="0"/>
      <w:marBottom w:val="0"/>
      <w:divBdr>
        <w:top w:val="none" w:sz="0" w:space="0" w:color="auto"/>
        <w:left w:val="none" w:sz="0" w:space="0" w:color="auto"/>
        <w:bottom w:val="none" w:sz="0" w:space="0" w:color="auto"/>
        <w:right w:val="none" w:sz="0" w:space="0" w:color="auto"/>
      </w:divBdr>
    </w:div>
    <w:div w:id="1772623506">
      <w:bodyDiv w:val="1"/>
      <w:marLeft w:val="0"/>
      <w:marRight w:val="0"/>
      <w:marTop w:val="0"/>
      <w:marBottom w:val="0"/>
      <w:divBdr>
        <w:top w:val="none" w:sz="0" w:space="0" w:color="auto"/>
        <w:left w:val="none" w:sz="0" w:space="0" w:color="auto"/>
        <w:bottom w:val="none" w:sz="0" w:space="0" w:color="auto"/>
        <w:right w:val="none" w:sz="0" w:space="0" w:color="auto"/>
      </w:divBdr>
    </w:div>
    <w:div w:id="1772772806">
      <w:bodyDiv w:val="1"/>
      <w:marLeft w:val="0"/>
      <w:marRight w:val="0"/>
      <w:marTop w:val="0"/>
      <w:marBottom w:val="0"/>
      <w:divBdr>
        <w:top w:val="none" w:sz="0" w:space="0" w:color="auto"/>
        <w:left w:val="none" w:sz="0" w:space="0" w:color="auto"/>
        <w:bottom w:val="none" w:sz="0" w:space="0" w:color="auto"/>
        <w:right w:val="none" w:sz="0" w:space="0" w:color="auto"/>
      </w:divBdr>
    </w:div>
    <w:div w:id="1772777226">
      <w:bodyDiv w:val="1"/>
      <w:marLeft w:val="0"/>
      <w:marRight w:val="0"/>
      <w:marTop w:val="0"/>
      <w:marBottom w:val="0"/>
      <w:divBdr>
        <w:top w:val="none" w:sz="0" w:space="0" w:color="auto"/>
        <w:left w:val="none" w:sz="0" w:space="0" w:color="auto"/>
        <w:bottom w:val="none" w:sz="0" w:space="0" w:color="auto"/>
        <w:right w:val="none" w:sz="0" w:space="0" w:color="auto"/>
      </w:divBdr>
    </w:div>
    <w:div w:id="1772821977">
      <w:bodyDiv w:val="1"/>
      <w:marLeft w:val="0"/>
      <w:marRight w:val="0"/>
      <w:marTop w:val="0"/>
      <w:marBottom w:val="0"/>
      <w:divBdr>
        <w:top w:val="none" w:sz="0" w:space="0" w:color="auto"/>
        <w:left w:val="none" w:sz="0" w:space="0" w:color="auto"/>
        <w:bottom w:val="none" w:sz="0" w:space="0" w:color="auto"/>
        <w:right w:val="none" w:sz="0" w:space="0" w:color="auto"/>
      </w:divBdr>
    </w:div>
    <w:div w:id="1772898702">
      <w:bodyDiv w:val="1"/>
      <w:marLeft w:val="0"/>
      <w:marRight w:val="0"/>
      <w:marTop w:val="0"/>
      <w:marBottom w:val="0"/>
      <w:divBdr>
        <w:top w:val="none" w:sz="0" w:space="0" w:color="auto"/>
        <w:left w:val="none" w:sz="0" w:space="0" w:color="auto"/>
        <w:bottom w:val="none" w:sz="0" w:space="0" w:color="auto"/>
        <w:right w:val="none" w:sz="0" w:space="0" w:color="auto"/>
      </w:divBdr>
    </w:div>
    <w:div w:id="1773089577">
      <w:bodyDiv w:val="1"/>
      <w:marLeft w:val="0"/>
      <w:marRight w:val="0"/>
      <w:marTop w:val="0"/>
      <w:marBottom w:val="0"/>
      <w:divBdr>
        <w:top w:val="none" w:sz="0" w:space="0" w:color="auto"/>
        <w:left w:val="none" w:sz="0" w:space="0" w:color="auto"/>
        <w:bottom w:val="none" w:sz="0" w:space="0" w:color="auto"/>
        <w:right w:val="none" w:sz="0" w:space="0" w:color="auto"/>
      </w:divBdr>
    </w:div>
    <w:div w:id="1773090662">
      <w:bodyDiv w:val="1"/>
      <w:marLeft w:val="0"/>
      <w:marRight w:val="0"/>
      <w:marTop w:val="0"/>
      <w:marBottom w:val="0"/>
      <w:divBdr>
        <w:top w:val="none" w:sz="0" w:space="0" w:color="auto"/>
        <w:left w:val="none" w:sz="0" w:space="0" w:color="auto"/>
        <w:bottom w:val="none" w:sz="0" w:space="0" w:color="auto"/>
        <w:right w:val="none" w:sz="0" w:space="0" w:color="auto"/>
      </w:divBdr>
    </w:div>
    <w:div w:id="1773158936">
      <w:bodyDiv w:val="1"/>
      <w:marLeft w:val="0"/>
      <w:marRight w:val="0"/>
      <w:marTop w:val="0"/>
      <w:marBottom w:val="0"/>
      <w:divBdr>
        <w:top w:val="none" w:sz="0" w:space="0" w:color="auto"/>
        <w:left w:val="none" w:sz="0" w:space="0" w:color="auto"/>
        <w:bottom w:val="none" w:sz="0" w:space="0" w:color="auto"/>
        <w:right w:val="none" w:sz="0" w:space="0" w:color="auto"/>
      </w:divBdr>
    </w:div>
    <w:div w:id="1773237757">
      <w:bodyDiv w:val="1"/>
      <w:marLeft w:val="0"/>
      <w:marRight w:val="0"/>
      <w:marTop w:val="0"/>
      <w:marBottom w:val="0"/>
      <w:divBdr>
        <w:top w:val="none" w:sz="0" w:space="0" w:color="auto"/>
        <w:left w:val="none" w:sz="0" w:space="0" w:color="auto"/>
        <w:bottom w:val="none" w:sz="0" w:space="0" w:color="auto"/>
        <w:right w:val="none" w:sz="0" w:space="0" w:color="auto"/>
      </w:divBdr>
    </w:div>
    <w:div w:id="1773284675">
      <w:bodyDiv w:val="1"/>
      <w:marLeft w:val="0"/>
      <w:marRight w:val="0"/>
      <w:marTop w:val="0"/>
      <w:marBottom w:val="0"/>
      <w:divBdr>
        <w:top w:val="none" w:sz="0" w:space="0" w:color="auto"/>
        <w:left w:val="none" w:sz="0" w:space="0" w:color="auto"/>
        <w:bottom w:val="none" w:sz="0" w:space="0" w:color="auto"/>
        <w:right w:val="none" w:sz="0" w:space="0" w:color="auto"/>
      </w:divBdr>
    </w:div>
    <w:div w:id="1773359026">
      <w:bodyDiv w:val="1"/>
      <w:marLeft w:val="0"/>
      <w:marRight w:val="0"/>
      <w:marTop w:val="0"/>
      <w:marBottom w:val="0"/>
      <w:divBdr>
        <w:top w:val="none" w:sz="0" w:space="0" w:color="auto"/>
        <w:left w:val="none" w:sz="0" w:space="0" w:color="auto"/>
        <w:bottom w:val="none" w:sz="0" w:space="0" w:color="auto"/>
        <w:right w:val="none" w:sz="0" w:space="0" w:color="auto"/>
      </w:divBdr>
    </w:div>
    <w:div w:id="1773432420">
      <w:bodyDiv w:val="1"/>
      <w:marLeft w:val="0"/>
      <w:marRight w:val="0"/>
      <w:marTop w:val="0"/>
      <w:marBottom w:val="0"/>
      <w:divBdr>
        <w:top w:val="none" w:sz="0" w:space="0" w:color="auto"/>
        <w:left w:val="none" w:sz="0" w:space="0" w:color="auto"/>
        <w:bottom w:val="none" w:sz="0" w:space="0" w:color="auto"/>
        <w:right w:val="none" w:sz="0" w:space="0" w:color="auto"/>
      </w:divBdr>
    </w:div>
    <w:div w:id="1773471869">
      <w:bodyDiv w:val="1"/>
      <w:marLeft w:val="0"/>
      <w:marRight w:val="0"/>
      <w:marTop w:val="0"/>
      <w:marBottom w:val="0"/>
      <w:divBdr>
        <w:top w:val="none" w:sz="0" w:space="0" w:color="auto"/>
        <w:left w:val="none" w:sz="0" w:space="0" w:color="auto"/>
        <w:bottom w:val="none" w:sz="0" w:space="0" w:color="auto"/>
        <w:right w:val="none" w:sz="0" w:space="0" w:color="auto"/>
      </w:divBdr>
    </w:div>
    <w:div w:id="1773546253">
      <w:bodyDiv w:val="1"/>
      <w:marLeft w:val="0"/>
      <w:marRight w:val="0"/>
      <w:marTop w:val="0"/>
      <w:marBottom w:val="0"/>
      <w:divBdr>
        <w:top w:val="none" w:sz="0" w:space="0" w:color="auto"/>
        <w:left w:val="none" w:sz="0" w:space="0" w:color="auto"/>
        <w:bottom w:val="none" w:sz="0" w:space="0" w:color="auto"/>
        <w:right w:val="none" w:sz="0" w:space="0" w:color="auto"/>
      </w:divBdr>
    </w:div>
    <w:div w:id="1773546636">
      <w:bodyDiv w:val="1"/>
      <w:marLeft w:val="0"/>
      <w:marRight w:val="0"/>
      <w:marTop w:val="0"/>
      <w:marBottom w:val="0"/>
      <w:divBdr>
        <w:top w:val="none" w:sz="0" w:space="0" w:color="auto"/>
        <w:left w:val="none" w:sz="0" w:space="0" w:color="auto"/>
        <w:bottom w:val="none" w:sz="0" w:space="0" w:color="auto"/>
        <w:right w:val="none" w:sz="0" w:space="0" w:color="auto"/>
      </w:divBdr>
    </w:div>
    <w:div w:id="1773548689">
      <w:bodyDiv w:val="1"/>
      <w:marLeft w:val="0"/>
      <w:marRight w:val="0"/>
      <w:marTop w:val="0"/>
      <w:marBottom w:val="0"/>
      <w:divBdr>
        <w:top w:val="none" w:sz="0" w:space="0" w:color="auto"/>
        <w:left w:val="none" w:sz="0" w:space="0" w:color="auto"/>
        <w:bottom w:val="none" w:sz="0" w:space="0" w:color="auto"/>
        <w:right w:val="none" w:sz="0" w:space="0" w:color="auto"/>
      </w:divBdr>
    </w:div>
    <w:div w:id="1773666331">
      <w:bodyDiv w:val="1"/>
      <w:marLeft w:val="0"/>
      <w:marRight w:val="0"/>
      <w:marTop w:val="0"/>
      <w:marBottom w:val="0"/>
      <w:divBdr>
        <w:top w:val="none" w:sz="0" w:space="0" w:color="auto"/>
        <w:left w:val="none" w:sz="0" w:space="0" w:color="auto"/>
        <w:bottom w:val="none" w:sz="0" w:space="0" w:color="auto"/>
        <w:right w:val="none" w:sz="0" w:space="0" w:color="auto"/>
      </w:divBdr>
    </w:div>
    <w:div w:id="1773743697">
      <w:bodyDiv w:val="1"/>
      <w:marLeft w:val="0"/>
      <w:marRight w:val="0"/>
      <w:marTop w:val="0"/>
      <w:marBottom w:val="0"/>
      <w:divBdr>
        <w:top w:val="none" w:sz="0" w:space="0" w:color="auto"/>
        <w:left w:val="none" w:sz="0" w:space="0" w:color="auto"/>
        <w:bottom w:val="none" w:sz="0" w:space="0" w:color="auto"/>
        <w:right w:val="none" w:sz="0" w:space="0" w:color="auto"/>
      </w:divBdr>
    </w:div>
    <w:div w:id="1773746228">
      <w:bodyDiv w:val="1"/>
      <w:marLeft w:val="0"/>
      <w:marRight w:val="0"/>
      <w:marTop w:val="0"/>
      <w:marBottom w:val="0"/>
      <w:divBdr>
        <w:top w:val="none" w:sz="0" w:space="0" w:color="auto"/>
        <w:left w:val="none" w:sz="0" w:space="0" w:color="auto"/>
        <w:bottom w:val="none" w:sz="0" w:space="0" w:color="auto"/>
        <w:right w:val="none" w:sz="0" w:space="0" w:color="auto"/>
      </w:divBdr>
    </w:div>
    <w:div w:id="1773863724">
      <w:bodyDiv w:val="1"/>
      <w:marLeft w:val="0"/>
      <w:marRight w:val="0"/>
      <w:marTop w:val="0"/>
      <w:marBottom w:val="0"/>
      <w:divBdr>
        <w:top w:val="none" w:sz="0" w:space="0" w:color="auto"/>
        <w:left w:val="none" w:sz="0" w:space="0" w:color="auto"/>
        <w:bottom w:val="none" w:sz="0" w:space="0" w:color="auto"/>
        <w:right w:val="none" w:sz="0" w:space="0" w:color="auto"/>
      </w:divBdr>
    </w:div>
    <w:div w:id="1773933255">
      <w:bodyDiv w:val="1"/>
      <w:marLeft w:val="0"/>
      <w:marRight w:val="0"/>
      <w:marTop w:val="0"/>
      <w:marBottom w:val="0"/>
      <w:divBdr>
        <w:top w:val="none" w:sz="0" w:space="0" w:color="auto"/>
        <w:left w:val="none" w:sz="0" w:space="0" w:color="auto"/>
        <w:bottom w:val="none" w:sz="0" w:space="0" w:color="auto"/>
        <w:right w:val="none" w:sz="0" w:space="0" w:color="auto"/>
      </w:divBdr>
    </w:div>
    <w:div w:id="1774277520">
      <w:bodyDiv w:val="1"/>
      <w:marLeft w:val="0"/>
      <w:marRight w:val="0"/>
      <w:marTop w:val="0"/>
      <w:marBottom w:val="0"/>
      <w:divBdr>
        <w:top w:val="none" w:sz="0" w:space="0" w:color="auto"/>
        <w:left w:val="none" w:sz="0" w:space="0" w:color="auto"/>
        <w:bottom w:val="none" w:sz="0" w:space="0" w:color="auto"/>
        <w:right w:val="none" w:sz="0" w:space="0" w:color="auto"/>
      </w:divBdr>
    </w:div>
    <w:div w:id="1774351629">
      <w:bodyDiv w:val="1"/>
      <w:marLeft w:val="0"/>
      <w:marRight w:val="0"/>
      <w:marTop w:val="0"/>
      <w:marBottom w:val="0"/>
      <w:divBdr>
        <w:top w:val="none" w:sz="0" w:space="0" w:color="auto"/>
        <w:left w:val="none" w:sz="0" w:space="0" w:color="auto"/>
        <w:bottom w:val="none" w:sz="0" w:space="0" w:color="auto"/>
        <w:right w:val="none" w:sz="0" w:space="0" w:color="auto"/>
      </w:divBdr>
    </w:div>
    <w:div w:id="1774352814">
      <w:bodyDiv w:val="1"/>
      <w:marLeft w:val="0"/>
      <w:marRight w:val="0"/>
      <w:marTop w:val="0"/>
      <w:marBottom w:val="0"/>
      <w:divBdr>
        <w:top w:val="none" w:sz="0" w:space="0" w:color="auto"/>
        <w:left w:val="none" w:sz="0" w:space="0" w:color="auto"/>
        <w:bottom w:val="none" w:sz="0" w:space="0" w:color="auto"/>
        <w:right w:val="none" w:sz="0" w:space="0" w:color="auto"/>
      </w:divBdr>
    </w:div>
    <w:div w:id="1774473927">
      <w:bodyDiv w:val="1"/>
      <w:marLeft w:val="0"/>
      <w:marRight w:val="0"/>
      <w:marTop w:val="0"/>
      <w:marBottom w:val="0"/>
      <w:divBdr>
        <w:top w:val="none" w:sz="0" w:space="0" w:color="auto"/>
        <w:left w:val="none" w:sz="0" w:space="0" w:color="auto"/>
        <w:bottom w:val="none" w:sz="0" w:space="0" w:color="auto"/>
        <w:right w:val="none" w:sz="0" w:space="0" w:color="auto"/>
      </w:divBdr>
    </w:div>
    <w:div w:id="1774476968">
      <w:bodyDiv w:val="1"/>
      <w:marLeft w:val="0"/>
      <w:marRight w:val="0"/>
      <w:marTop w:val="0"/>
      <w:marBottom w:val="0"/>
      <w:divBdr>
        <w:top w:val="none" w:sz="0" w:space="0" w:color="auto"/>
        <w:left w:val="none" w:sz="0" w:space="0" w:color="auto"/>
        <w:bottom w:val="none" w:sz="0" w:space="0" w:color="auto"/>
        <w:right w:val="none" w:sz="0" w:space="0" w:color="auto"/>
      </w:divBdr>
    </w:div>
    <w:div w:id="1774545193">
      <w:bodyDiv w:val="1"/>
      <w:marLeft w:val="0"/>
      <w:marRight w:val="0"/>
      <w:marTop w:val="0"/>
      <w:marBottom w:val="0"/>
      <w:divBdr>
        <w:top w:val="none" w:sz="0" w:space="0" w:color="auto"/>
        <w:left w:val="none" w:sz="0" w:space="0" w:color="auto"/>
        <w:bottom w:val="none" w:sz="0" w:space="0" w:color="auto"/>
        <w:right w:val="none" w:sz="0" w:space="0" w:color="auto"/>
      </w:divBdr>
    </w:div>
    <w:div w:id="1774546511">
      <w:bodyDiv w:val="1"/>
      <w:marLeft w:val="0"/>
      <w:marRight w:val="0"/>
      <w:marTop w:val="0"/>
      <w:marBottom w:val="0"/>
      <w:divBdr>
        <w:top w:val="none" w:sz="0" w:space="0" w:color="auto"/>
        <w:left w:val="none" w:sz="0" w:space="0" w:color="auto"/>
        <w:bottom w:val="none" w:sz="0" w:space="0" w:color="auto"/>
        <w:right w:val="none" w:sz="0" w:space="0" w:color="auto"/>
      </w:divBdr>
    </w:div>
    <w:div w:id="1774589575">
      <w:bodyDiv w:val="1"/>
      <w:marLeft w:val="0"/>
      <w:marRight w:val="0"/>
      <w:marTop w:val="0"/>
      <w:marBottom w:val="0"/>
      <w:divBdr>
        <w:top w:val="none" w:sz="0" w:space="0" w:color="auto"/>
        <w:left w:val="none" w:sz="0" w:space="0" w:color="auto"/>
        <w:bottom w:val="none" w:sz="0" w:space="0" w:color="auto"/>
        <w:right w:val="none" w:sz="0" w:space="0" w:color="auto"/>
      </w:divBdr>
    </w:div>
    <w:div w:id="1774742151">
      <w:bodyDiv w:val="1"/>
      <w:marLeft w:val="0"/>
      <w:marRight w:val="0"/>
      <w:marTop w:val="0"/>
      <w:marBottom w:val="0"/>
      <w:divBdr>
        <w:top w:val="none" w:sz="0" w:space="0" w:color="auto"/>
        <w:left w:val="none" w:sz="0" w:space="0" w:color="auto"/>
        <w:bottom w:val="none" w:sz="0" w:space="0" w:color="auto"/>
        <w:right w:val="none" w:sz="0" w:space="0" w:color="auto"/>
      </w:divBdr>
    </w:div>
    <w:div w:id="1774744134">
      <w:bodyDiv w:val="1"/>
      <w:marLeft w:val="0"/>
      <w:marRight w:val="0"/>
      <w:marTop w:val="0"/>
      <w:marBottom w:val="0"/>
      <w:divBdr>
        <w:top w:val="none" w:sz="0" w:space="0" w:color="auto"/>
        <w:left w:val="none" w:sz="0" w:space="0" w:color="auto"/>
        <w:bottom w:val="none" w:sz="0" w:space="0" w:color="auto"/>
        <w:right w:val="none" w:sz="0" w:space="0" w:color="auto"/>
      </w:divBdr>
    </w:div>
    <w:div w:id="1774813154">
      <w:bodyDiv w:val="1"/>
      <w:marLeft w:val="0"/>
      <w:marRight w:val="0"/>
      <w:marTop w:val="0"/>
      <w:marBottom w:val="0"/>
      <w:divBdr>
        <w:top w:val="none" w:sz="0" w:space="0" w:color="auto"/>
        <w:left w:val="none" w:sz="0" w:space="0" w:color="auto"/>
        <w:bottom w:val="none" w:sz="0" w:space="0" w:color="auto"/>
        <w:right w:val="none" w:sz="0" w:space="0" w:color="auto"/>
      </w:divBdr>
    </w:div>
    <w:div w:id="1775126231">
      <w:bodyDiv w:val="1"/>
      <w:marLeft w:val="0"/>
      <w:marRight w:val="0"/>
      <w:marTop w:val="0"/>
      <w:marBottom w:val="0"/>
      <w:divBdr>
        <w:top w:val="none" w:sz="0" w:space="0" w:color="auto"/>
        <w:left w:val="none" w:sz="0" w:space="0" w:color="auto"/>
        <w:bottom w:val="none" w:sz="0" w:space="0" w:color="auto"/>
        <w:right w:val="none" w:sz="0" w:space="0" w:color="auto"/>
      </w:divBdr>
    </w:div>
    <w:div w:id="1775126307">
      <w:bodyDiv w:val="1"/>
      <w:marLeft w:val="0"/>
      <w:marRight w:val="0"/>
      <w:marTop w:val="0"/>
      <w:marBottom w:val="0"/>
      <w:divBdr>
        <w:top w:val="none" w:sz="0" w:space="0" w:color="auto"/>
        <w:left w:val="none" w:sz="0" w:space="0" w:color="auto"/>
        <w:bottom w:val="none" w:sz="0" w:space="0" w:color="auto"/>
        <w:right w:val="none" w:sz="0" w:space="0" w:color="auto"/>
      </w:divBdr>
    </w:div>
    <w:div w:id="1775249945">
      <w:bodyDiv w:val="1"/>
      <w:marLeft w:val="0"/>
      <w:marRight w:val="0"/>
      <w:marTop w:val="0"/>
      <w:marBottom w:val="0"/>
      <w:divBdr>
        <w:top w:val="none" w:sz="0" w:space="0" w:color="auto"/>
        <w:left w:val="none" w:sz="0" w:space="0" w:color="auto"/>
        <w:bottom w:val="none" w:sz="0" w:space="0" w:color="auto"/>
        <w:right w:val="none" w:sz="0" w:space="0" w:color="auto"/>
      </w:divBdr>
    </w:div>
    <w:div w:id="1775317932">
      <w:bodyDiv w:val="1"/>
      <w:marLeft w:val="0"/>
      <w:marRight w:val="0"/>
      <w:marTop w:val="0"/>
      <w:marBottom w:val="0"/>
      <w:divBdr>
        <w:top w:val="none" w:sz="0" w:space="0" w:color="auto"/>
        <w:left w:val="none" w:sz="0" w:space="0" w:color="auto"/>
        <w:bottom w:val="none" w:sz="0" w:space="0" w:color="auto"/>
        <w:right w:val="none" w:sz="0" w:space="0" w:color="auto"/>
      </w:divBdr>
    </w:div>
    <w:div w:id="1775325383">
      <w:bodyDiv w:val="1"/>
      <w:marLeft w:val="0"/>
      <w:marRight w:val="0"/>
      <w:marTop w:val="0"/>
      <w:marBottom w:val="0"/>
      <w:divBdr>
        <w:top w:val="none" w:sz="0" w:space="0" w:color="auto"/>
        <w:left w:val="none" w:sz="0" w:space="0" w:color="auto"/>
        <w:bottom w:val="none" w:sz="0" w:space="0" w:color="auto"/>
        <w:right w:val="none" w:sz="0" w:space="0" w:color="auto"/>
      </w:divBdr>
    </w:div>
    <w:div w:id="1775513162">
      <w:bodyDiv w:val="1"/>
      <w:marLeft w:val="0"/>
      <w:marRight w:val="0"/>
      <w:marTop w:val="0"/>
      <w:marBottom w:val="0"/>
      <w:divBdr>
        <w:top w:val="none" w:sz="0" w:space="0" w:color="auto"/>
        <w:left w:val="none" w:sz="0" w:space="0" w:color="auto"/>
        <w:bottom w:val="none" w:sz="0" w:space="0" w:color="auto"/>
        <w:right w:val="none" w:sz="0" w:space="0" w:color="auto"/>
      </w:divBdr>
    </w:div>
    <w:div w:id="1775593606">
      <w:bodyDiv w:val="1"/>
      <w:marLeft w:val="0"/>
      <w:marRight w:val="0"/>
      <w:marTop w:val="0"/>
      <w:marBottom w:val="0"/>
      <w:divBdr>
        <w:top w:val="none" w:sz="0" w:space="0" w:color="auto"/>
        <w:left w:val="none" w:sz="0" w:space="0" w:color="auto"/>
        <w:bottom w:val="none" w:sz="0" w:space="0" w:color="auto"/>
        <w:right w:val="none" w:sz="0" w:space="0" w:color="auto"/>
      </w:divBdr>
    </w:div>
    <w:div w:id="1775711450">
      <w:bodyDiv w:val="1"/>
      <w:marLeft w:val="0"/>
      <w:marRight w:val="0"/>
      <w:marTop w:val="0"/>
      <w:marBottom w:val="0"/>
      <w:divBdr>
        <w:top w:val="none" w:sz="0" w:space="0" w:color="auto"/>
        <w:left w:val="none" w:sz="0" w:space="0" w:color="auto"/>
        <w:bottom w:val="none" w:sz="0" w:space="0" w:color="auto"/>
        <w:right w:val="none" w:sz="0" w:space="0" w:color="auto"/>
      </w:divBdr>
    </w:div>
    <w:div w:id="1775973003">
      <w:bodyDiv w:val="1"/>
      <w:marLeft w:val="0"/>
      <w:marRight w:val="0"/>
      <w:marTop w:val="0"/>
      <w:marBottom w:val="0"/>
      <w:divBdr>
        <w:top w:val="none" w:sz="0" w:space="0" w:color="auto"/>
        <w:left w:val="none" w:sz="0" w:space="0" w:color="auto"/>
        <w:bottom w:val="none" w:sz="0" w:space="0" w:color="auto"/>
        <w:right w:val="none" w:sz="0" w:space="0" w:color="auto"/>
      </w:divBdr>
    </w:div>
    <w:div w:id="1776054126">
      <w:bodyDiv w:val="1"/>
      <w:marLeft w:val="0"/>
      <w:marRight w:val="0"/>
      <w:marTop w:val="0"/>
      <w:marBottom w:val="0"/>
      <w:divBdr>
        <w:top w:val="none" w:sz="0" w:space="0" w:color="auto"/>
        <w:left w:val="none" w:sz="0" w:space="0" w:color="auto"/>
        <w:bottom w:val="none" w:sz="0" w:space="0" w:color="auto"/>
        <w:right w:val="none" w:sz="0" w:space="0" w:color="auto"/>
      </w:divBdr>
    </w:div>
    <w:div w:id="1776054819">
      <w:bodyDiv w:val="1"/>
      <w:marLeft w:val="0"/>
      <w:marRight w:val="0"/>
      <w:marTop w:val="0"/>
      <w:marBottom w:val="0"/>
      <w:divBdr>
        <w:top w:val="none" w:sz="0" w:space="0" w:color="auto"/>
        <w:left w:val="none" w:sz="0" w:space="0" w:color="auto"/>
        <w:bottom w:val="none" w:sz="0" w:space="0" w:color="auto"/>
        <w:right w:val="none" w:sz="0" w:space="0" w:color="auto"/>
      </w:divBdr>
    </w:div>
    <w:div w:id="1776246979">
      <w:bodyDiv w:val="1"/>
      <w:marLeft w:val="0"/>
      <w:marRight w:val="0"/>
      <w:marTop w:val="0"/>
      <w:marBottom w:val="0"/>
      <w:divBdr>
        <w:top w:val="none" w:sz="0" w:space="0" w:color="auto"/>
        <w:left w:val="none" w:sz="0" w:space="0" w:color="auto"/>
        <w:bottom w:val="none" w:sz="0" w:space="0" w:color="auto"/>
        <w:right w:val="none" w:sz="0" w:space="0" w:color="auto"/>
      </w:divBdr>
    </w:div>
    <w:div w:id="1776249644">
      <w:bodyDiv w:val="1"/>
      <w:marLeft w:val="0"/>
      <w:marRight w:val="0"/>
      <w:marTop w:val="0"/>
      <w:marBottom w:val="0"/>
      <w:divBdr>
        <w:top w:val="none" w:sz="0" w:space="0" w:color="auto"/>
        <w:left w:val="none" w:sz="0" w:space="0" w:color="auto"/>
        <w:bottom w:val="none" w:sz="0" w:space="0" w:color="auto"/>
        <w:right w:val="none" w:sz="0" w:space="0" w:color="auto"/>
      </w:divBdr>
    </w:div>
    <w:div w:id="1776319098">
      <w:bodyDiv w:val="1"/>
      <w:marLeft w:val="0"/>
      <w:marRight w:val="0"/>
      <w:marTop w:val="0"/>
      <w:marBottom w:val="0"/>
      <w:divBdr>
        <w:top w:val="none" w:sz="0" w:space="0" w:color="auto"/>
        <w:left w:val="none" w:sz="0" w:space="0" w:color="auto"/>
        <w:bottom w:val="none" w:sz="0" w:space="0" w:color="auto"/>
        <w:right w:val="none" w:sz="0" w:space="0" w:color="auto"/>
      </w:divBdr>
    </w:div>
    <w:div w:id="1776437779">
      <w:bodyDiv w:val="1"/>
      <w:marLeft w:val="0"/>
      <w:marRight w:val="0"/>
      <w:marTop w:val="0"/>
      <w:marBottom w:val="0"/>
      <w:divBdr>
        <w:top w:val="none" w:sz="0" w:space="0" w:color="auto"/>
        <w:left w:val="none" w:sz="0" w:space="0" w:color="auto"/>
        <w:bottom w:val="none" w:sz="0" w:space="0" w:color="auto"/>
        <w:right w:val="none" w:sz="0" w:space="0" w:color="auto"/>
      </w:divBdr>
    </w:div>
    <w:div w:id="1776512287">
      <w:bodyDiv w:val="1"/>
      <w:marLeft w:val="0"/>
      <w:marRight w:val="0"/>
      <w:marTop w:val="0"/>
      <w:marBottom w:val="0"/>
      <w:divBdr>
        <w:top w:val="none" w:sz="0" w:space="0" w:color="auto"/>
        <w:left w:val="none" w:sz="0" w:space="0" w:color="auto"/>
        <w:bottom w:val="none" w:sz="0" w:space="0" w:color="auto"/>
        <w:right w:val="none" w:sz="0" w:space="0" w:color="auto"/>
      </w:divBdr>
    </w:div>
    <w:div w:id="1776516398">
      <w:bodyDiv w:val="1"/>
      <w:marLeft w:val="0"/>
      <w:marRight w:val="0"/>
      <w:marTop w:val="0"/>
      <w:marBottom w:val="0"/>
      <w:divBdr>
        <w:top w:val="none" w:sz="0" w:space="0" w:color="auto"/>
        <w:left w:val="none" w:sz="0" w:space="0" w:color="auto"/>
        <w:bottom w:val="none" w:sz="0" w:space="0" w:color="auto"/>
        <w:right w:val="none" w:sz="0" w:space="0" w:color="auto"/>
      </w:divBdr>
    </w:div>
    <w:div w:id="1776631158">
      <w:bodyDiv w:val="1"/>
      <w:marLeft w:val="0"/>
      <w:marRight w:val="0"/>
      <w:marTop w:val="0"/>
      <w:marBottom w:val="0"/>
      <w:divBdr>
        <w:top w:val="none" w:sz="0" w:space="0" w:color="auto"/>
        <w:left w:val="none" w:sz="0" w:space="0" w:color="auto"/>
        <w:bottom w:val="none" w:sz="0" w:space="0" w:color="auto"/>
        <w:right w:val="none" w:sz="0" w:space="0" w:color="auto"/>
      </w:divBdr>
    </w:div>
    <w:div w:id="1776635217">
      <w:bodyDiv w:val="1"/>
      <w:marLeft w:val="0"/>
      <w:marRight w:val="0"/>
      <w:marTop w:val="0"/>
      <w:marBottom w:val="0"/>
      <w:divBdr>
        <w:top w:val="none" w:sz="0" w:space="0" w:color="auto"/>
        <w:left w:val="none" w:sz="0" w:space="0" w:color="auto"/>
        <w:bottom w:val="none" w:sz="0" w:space="0" w:color="auto"/>
        <w:right w:val="none" w:sz="0" w:space="0" w:color="auto"/>
      </w:divBdr>
    </w:div>
    <w:div w:id="1776826378">
      <w:bodyDiv w:val="1"/>
      <w:marLeft w:val="0"/>
      <w:marRight w:val="0"/>
      <w:marTop w:val="0"/>
      <w:marBottom w:val="0"/>
      <w:divBdr>
        <w:top w:val="none" w:sz="0" w:space="0" w:color="auto"/>
        <w:left w:val="none" w:sz="0" w:space="0" w:color="auto"/>
        <w:bottom w:val="none" w:sz="0" w:space="0" w:color="auto"/>
        <w:right w:val="none" w:sz="0" w:space="0" w:color="auto"/>
      </w:divBdr>
    </w:div>
    <w:div w:id="1776830588">
      <w:bodyDiv w:val="1"/>
      <w:marLeft w:val="0"/>
      <w:marRight w:val="0"/>
      <w:marTop w:val="0"/>
      <w:marBottom w:val="0"/>
      <w:divBdr>
        <w:top w:val="none" w:sz="0" w:space="0" w:color="auto"/>
        <w:left w:val="none" w:sz="0" w:space="0" w:color="auto"/>
        <w:bottom w:val="none" w:sz="0" w:space="0" w:color="auto"/>
        <w:right w:val="none" w:sz="0" w:space="0" w:color="auto"/>
      </w:divBdr>
    </w:div>
    <w:div w:id="1776899557">
      <w:bodyDiv w:val="1"/>
      <w:marLeft w:val="0"/>
      <w:marRight w:val="0"/>
      <w:marTop w:val="0"/>
      <w:marBottom w:val="0"/>
      <w:divBdr>
        <w:top w:val="none" w:sz="0" w:space="0" w:color="auto"/>
        <w:left w:val="none" w:sz="0" w:space="0" w:color="auto"/>
        <w:bottom w:val="none" w:sz="0" w:space="0" w:color="auto"/>
        <w:right w:val="none" w:sz="0" w:space="0" w:color="auto"/>
      </w:divBdr>
    </w:div>
    <w:div w:id="1777018437">
      <w:bodyDiv w:val="1"/>
      <w:marLeft w:val="0"/>
      <w:marRight w:val="0"/>
      <w:marTop w:val="0"/>
      <w:marBottom w:val="0"/>
      <w:divBdr>
        <w:top w:val="none" w:sz="0" w:space="0" w:color="auto"/>
        <w:left w:val="none" w:sz="0" w:space="0" w:color="auto"/>
        <w:bottom w:val="none" w:sz="0" w:space="0" w:color="auto"/>
        <w:right w:val="none" w:sz="0" w:space="0" w:color="auto"/>
      </w:divBdr>
    </w:div>
    <w:div w:id="1777098932">
      <w:bodyDiv w:val="1"/>
      <w:marLeft w:val="0"/>
      <w:marRight w:val="0"/>
      <w:marTop w:val="0"/>
      <w:marBottom w:val="0"/>
      <w:divBdr>
        <w:top w:val="none" w:sz="0" w:space="0" w:color="auto"/>
        <w:left w:val="none" w:sz="0" w:space="0" w:color="auto"/>
        <w:bottom w:val="none" w:sz="0" w:space="0" w:color="auto"/>
        <w:right w:val="none" w:sz="0" w:space="0" w:color="auto"/>
      </w:divBdr>
    </w:div>
    <w:div w:id="1777285482">
      <w:bodyDiv w:val="1"/>
      <w:marLeft w:val="0"/>
      <w:marRight w:val="0"/>
      <w:marTop w:val="0"/>
      <w:marBottom w:val="0"/>
      <w:divBdr>
        <w:top w:val="none" w:sz="0" w:space="0" w:color="auto"/>
        <w:left w:val="none" w:sz="0" w:space="0" w:color="auto"/>
        <w:bottom w:val="none" w:sz="0" w:space="0" w:color="auto"/>
        <w:right w:val="none" w:sz="0" w:space="0" w:color="auto"/>
      </w:divBdr>
    </w:div>
    <w:div w:id="1777287528">
      <w:bodyDiv w:val="1"/>
      <w:marLeft w:val="0"/>
      <w:marRight w:val="0"/>
      <w:marTop w:val="0"/>
      <w:marBottom w:val="0"/>
      <w:divBdr>
        <w:top w:val="none" w:sz="0" w:space="0" w:color="auto"/>
        <w:left w:val="none" w:sz="0" w:space="0" w:color="auto"/>
        <w:bottom w:val="none" w:sz="0" w:space="0" w:color="auto"/>
        <w:right w:val="none" w:sz="0" w:space="0" w:color="auto"/>
      </w:divBdr>
    </w:div>
    <w:div w:id="1777403049">
      <w:bodyDiv w:val="1"/>
      <w:marLeft w:val="0"/>
      <w:marRight w:val="0"/>
      <w:marTop w:val="0"/>
      <w:marBottom w:val="0"/>
      <w:divBdr>
        <w:top w:val="none" w:sz="0" w:space="0" w:color="auto"/>
        <w:left w:val="none" w:sz="0" w:space="0" w:color="auto"/>
        <w:bottom w:val="none" w:sz="0" w:space="0" w:color="auto"/>
        <w:right w:val="none" w:sz="0" w:space="0" w:color="auto"/>
      </w:divBdr>
    </w:div>
    <w:div w:id="1777406473">
      <w:bodyDiv w:val="1"/>
      <w:marLeft w:val="0"/>
      <w:marRight w:val="0"/>
      <w:marTop w:val="0"/>
      <w:marBottom w:val="0"/>
      <w:divBdr>
        <w:top w:val="none" w:sz="0" w:space="0" w:color="auto"/>
        <w:left w:val="none" w:sz="0" w:space="0" w:color="auto"/>
        <w:bottom w:val="none" w:sz="0" w:space="0" w:color="auto"/>
        <w:right w:val="none" w:sz="0" w:space="0" w:color="auto"/>
      </w:divBdr>
    </w:div>
    <w:div w:id="1777629207">
      <w:bodyDiv w:val="1"/>
      <w:marLeft w:val="0"/>
      <w:marRight w:val="0"/>
      <w:marTop w:val="0"/>
      <w:marBottom w:val="0"/>
      <w:divBdr>
        <w:top w:val="none" w:sz="0" w:space="0" w:color="auto"/>
        <w:left w:val="none" w:sz="0" w:space="0" w:color="auto"/>
        <w:bottom w:val="none" w:sz="0" w:space="0" w:color="auto"/>
        <w:right w:val="none" w:sz="0" w:space="0" w:color="auto"/>
      </w:divBdr>
    </w:div>
    <w:div w:id="1777678221">
      <w:bodyDiv w:val="1"/>
      <w:marLeft w:val="0"/>
      <w:marRight w:val="0"/>
      <w:marTop w:val="0"/>
      <w:marBottom w:val="0"/>
      <w:divBdr>
        <w:top w:val="none" w:sz="0" w:space="0" w:color="auto"/>
        <w:left w:val="none" w:sz="0" w:space="0" w:color="auto"/>
        <w:bottom w:val="none" w:sz="0" w:space="0" w:color="auto"/>
        <w:right w:val="none" w:sz="0" w:space="0" w:color="auto"/>
      </w:divBdr>
    </w:div>
    <w:div w:id="1777747428">
      <w:bodyDiv w:val="1"/>
      <w:marLeft w:val="0"/>
      <w:marRight w:val="0"/>
      <w:marTop w:val="0"/>
      <w:marBottom w:val="0"/>
      <w:divBdr>
        <w:top w:val="none" w:sz="0" w:space="0" w:color="auto"/>
        <w:left w:val="none" w:sz="0" w:space="0" w:color="auto"/>
        <w:bottom w:val="none" w:sz="0" w:space="0" w:color="auto"/>
        <w:right w:val="none" w:sz="0" w:space="0" w:color="auto"/>
      </w:divBdr>
    </w:div>
    <w:div w:id="1777750788">
      <w:bodyDiv w:val="1"/>
      <w:marLeft w:val="0"/>
      <w:marRight w:val="0"/>
      <w:marTop w:val="0"/>
      <w:marBottom w:val="0"/>
      <w:divBdr>
        <w:top w:val="none" w:sz="0" w:space="0" w:color="auto"/>
        <w:left w:val="none" w:sz="0" w:space="0" w:color="auto"/>
        <w:bottom w:val="none" w:sz="0" w:space="0" w:color="auto"/>
        <w:right w:val="none" w:sz="0" w:space="0" w:color="auto"/>
      </w:divBdr>
    </w:div>
    <w:div w:id="1777752217">
      <w:bodyDiv w:val="1"/>
      <w:marLeft w:val="0"/>
      <w:marRight w:val="0"/>
      <w:marTop w:val="0"/>
      <w:marBottom w:val="0"/>
      <w:divBdr>
        <w:top w:val="none" w:sz="0" w:space="0" w:color="auto"/>
        <w:left w:val="none" w:sz="0" w:space="0" w:color="auto"/>
        <w:bottom w:val="none" w:sz="0" w:space="0" w:color="auto"/>
        <w:right w:val="none" w:sz="0" w:space="0" w:color="auto"/>
      </w:divBdr>
    </w:div>
    <w:div w:id="1777865216">
      <w:bodyDiv w:val="1"/>
      <w:marLeft w:val="0"/>
      <w:marRight w:val="0"/>
      <w:marTop w:val="0"/>
      <w:marBottom w:val="0"/>
      <w:divBdr>
        <w:top w:val="none" w:sz="0" w:space="0" w:color="auto"/>
        <w:left w:val="none" w:sz="0" w:space="0" w:color="auto"/>
        <w:bottom w:val="none" w:sz="0" w:space="0" w:color="auto"/>
        <w:right w:val="none" w:sz="0" w:space="0" w:color="auto"/>
      </w:divBdr>
    </w:div>
    <w:div w:id="1777940330">
      <w:bodyDiv w:val="1"/>
      <w:marLeft w:val="0"/>
      <w:marRight w:val="0"/>
      <w:marTop w:val="0"/>
      <w:marBottom w:val="0"/>
      <w:divBdr>
        <w:top w:val="none" w:sz="0" w:space="0" w:color="auto"/>
        <w:left w:val="none" w:sz="0" w:space="0" w:color="auto"/>
        <w:bottom w:val="none" w:sz="0" w:space="0" w:color="auto"/>
        <w:right w:val="none" w:sz="0" w:space="0" w:color="auto"/>
      </w:divBdr>
    </w:div>
    <w:div w:id="1777944799">
      <w:bodyDiv w:val="1"/>
      <w:marLeft w:val="0"/>
      <w:marRight w:val="0"/>
      <w:marTop w:val="0"/>
      <w:marBottom w:val="0"/>
      <w:divBdr>
        <w:top w:val="none" w:sz="0" w:space="0" w:color="auto"/>
        <w:left w:val="none" w:sz="0" w:space="0" w:color="auto"/>
        <w:bottom w:val="none" w:sz="0" w:space="0" w:color="auto"/>
        <w:right w:val="none" w:sz="0" w:space="0" w:color="auto"/>
      </w:divBdr>
    </w:div>
    <w:div w:id="1778021287">
      <w:bodyDiv w:val="1"/>
      <w:marLeft w:val="0"/>
      <w:marRight w:val="0"/>
      <w:marTop w:val="0"/>
      <w:marBottom w:val="0"/>
      <w:divBdr>
        <w:top w:val="none" w:sz="0" w:space="0" w:color="auto"/>
        <w:left w:val="none" w:sz="0" w:space="0" w:color="auto"/>
        <w:bottom w:val="none" w:sz="0" w:space="0" w:color="auto"/>
        <w:right w:val="none" w:sz="0" w:space="0" w:color="auto"/>
      </w:divBdr>
    </w:div>
    <w:div w:id="1778135759">
      <w:bodyDiv w:val="1"/>
      <w:marLeft w:val="0"/>
      <w:marRight w:val="0"/>
      <w:marTop w:val="0"/>
      <w:marBottom w:val="0"/>
      <w:divBdr>
        <w:top w:val="none" w:sz="0" w:space="0" w:color="auto"/>
        <w:left w:val="none" w:sz="0" w:space="0" w:color="auto"/>
        <w:bottom w:val="none" w:sz="0" w:space="0" w:color="auto"/>
        <w:right w:val="none" w:sz="0" w:space="0" w:color="auto"/>
      </w:divBdr>
    </w:div>
    <w:div w:id="1778254490">
      <w:bodyDiv w:val="1"/>
      <w:marLeft w:val="0"/>
      <w:marRight w:val="0"/>
      <w:marTop w:val="0"/>
      <w:marBottom w:val="0"/>
      <w:divBdr>
        <w:top w:val="none" w:sz="0" w:space="0" w:color="auto"/>
        <w:left w:val="none" w:sz="0" w:space="0" w:color="auto"/>
        <w:bottom w:val="none" w:sz="0" w:space="0" w:color="auto"/>
        <w:right w:val="none" w:sz="0" w:space="0" w:color="auto"/>
      </w:divBdr>
    </w:div>
    <w:div w:id="1778330117">
      <w:bodyDiv w:val="1"/>
      <w:marLeft w:val="0"/>
      <w:marRight w:val="0"/>
      <w:marTop w:val="0"/>
      <w:marBottom w:val="0"/>
      <w:divBdr>
        <w:top w:val="none" w:sz="0" w:space="0" w:color="auto"/>
        <w:left w:val="none" w:sz="0" w:space="0" w:color="auto"/>
        <w:bottom w:val="none" w:sz="0" w:space="0" w:color="auto"/>
        <w:right w:val="none" w:sz="0" w:space="0" w:color="auto"/>
      </w:divBdr>
    </w:div>
    <w:div w:id="1778403222">
      <w:bodyDiv w:val="1"/>
      <w:marLeft w:val="0"/>
      <w:marRight w:val="0"/>
      <w:marTop w:val="0"/>
      <w:marBottom w:val="0"/>
      <w:divBdr>
        <w:top w:val="none" w:sz="0" w:space="0" w:color="auto"/>
        <w:left w:val="none" w:sz="0" w:space="0" w:color="auto"/>
        <w:bottom w:val="none" w:sz="0" w:space="0" w:color="auto"/>
        <w:right w:val="none" w:sz="0" w:space="0" w:color="auto"/>
      </w:divBdr>
    </w:div>
    <w:div w:id="1778409840">
      <w:bodyDiv w:val="1"/>
      <w:marLeft w:val="0"/>
      <w:marRight w:val="0"/>
      <w:marTop w:val="0"/>
      <w:marBottom w:val="0"/>
      <w:divBdr>
        <w:top w:val="none" w:sz="0" w:space="0" w:color="auto"/>
        <w:left w:val="none" w:sz="0" w:space="0" w:color="auto"/>
        <w:bottom w:val="none" w:sz="0" w:space="0" w:color="auto"/>
        <w:right w:val="none" w:sz="0" w:space="0" w:color="auto"/>
      </w:divBdr>
    </w:div>
    <w:div w:id="1778477766">
      <w:bodyDiv w:val="1"/>
      <w:marLeft w:val="0"/>
      <w:marRight w:val="0"/>
      <w:marTop w:val="0"/>
      <w:marBottom w:val="0"/>
      <w:divBdr>
        <w:top w:val="none" w:sz="0" w:space="0" w:color="auto"/>
        <w:left w:val="none" w:sz="0" w:space="0" w:color="auto"/>
        <w:bottom w:val="none" w:sz="0" w:space="0" w:color="auto"/>
        <w:right w:val="none" w:sz="0" w:space="0" w:color="auto"/>
      </w:divBdr>
    </w:div>
    <w:div w:id="1778480117">
      <w:bodyDiv w:val="1"/>
      <w:marLeft w:val="0"/>
      <w:marRight w:val="0"/>
      <w:marTop w:val="0"/>
      <w:marBottom w:val="0"/>
      <w:divBdr>
        <w:top w:val="none" w:sz="0" w:space="0" w:color="auto"/>
        <w:left w:val="none" w:sz="0" w:space="0" w:color="auto"/>
        <w:bottom w:val="none" w:sz="0" w:space="0" w:color="auto"/>
        <w:right w:val="none" w:sz="0" w:space="0" w:color="auto"/>
      </w:divBdr>
    </w:div>
    <w:div w:id="1778677368">
      <w:bodyDiv w:val="1"/>
      <w:marLeft w:val="0"/>
      <w:marRight w:val="0"/>
      <w:marTop w:val="0"/>
      <w:marBottom w:val="0"/>
      <w:divBdr>
        <w:top w:val="none" w:sz="0" w:space="0" w:color="auto"/>
        <w:left w:val="none" w:sz="0" w:space="0" w:color="auto"/>
        <w:bottom w:val="none" w:sz="0" w:space="0" w:color="auto"/>
        <w:right w:val="none" w:sz="0" w:space="0" w:color="auto"/>
      </w:divBdr>
    </w:div>
    <w:div w:id="1778719367">
      <w:bodyDiv w:val="1"/>
      <w:marLeft w:val="0"/>
      <w:marRight w:val="0"/>
      <w:marTop w:val="0"/>
      <w:marBottom w:val="0"/>
      <w:divBdr>
        <w:top w:val="none" w:sz="0" w:space="0" w:color="auto"/>
        <w:left w:val="none" w:sz="0" w:space="0" w:color="auto"/>
        <w:bottom w:val="none" w:sz="0" w:space="0" w:color="auto"/>
        <w:right w:val="none" w:sz="0" w:space="0" w:color="auto"/>
      </w:divBdr>
    </w:div>
    <w:div w:id="1778868080">
      <w:bodyDiv w:val="1"/>
      <w:marLeft w:val="0"/>
      <w:marRight w:val="0"/>
      <w:marTop w:val="0"/>
      <w:marBottom w:val="0"/>
      <w:divBdr>
        <w:top w:val="none" w:sz="0" w:space="0" w:color="auto"/>
        <w:left w:val="none" w:sz="0" w:space="0" w:color="auto"/>
        <w:bottom w:val="none" w:sz="0" w:space="0" w:color="auto"/>
        <w:right w:val="none" w:sz="0" w:space="0" w:color="auto"/>
      </w:divBdr>
    </w:div>
    <w:div w:id="1778982633">
      <w:bodyDiv w:val="1"/>
      <w:marLeft w:val="0"/>
      <w:marRight w:val="0"/>
      <w:marTop w:val="0"/>
      <w:marBottom w:val="0"/>
      <w:divBdr>
        <w:top w:val="none" w:sz="0" w:space="0" w:color="auto"/>
        <w:left w:val="none" w:sz="0" w:space="0" w:color="auto"/>
        <w:bottom w:val="none" w:sz="0" w:space="0" w:color="auto"/>
        <w:right w:val="none" w:sz="0" w:space="0" w:color="auto"/>
      </w:divBdr>
    </w:div>
    <w:div w:id="1778984389">
      <w:bodyDiv w:val="1"/>
      <w:marLeft w:val="0"/>
      <w:marRight w:val="0"/>
      <w:marTop w:val="0"/>
      <w:marBottom w:val="0"/>
      <w:divBdr>
        <w:top w:val="none" w:sz="0" w:space="0" w:color="auto"/>
        <w:left w:val="none" w:sz="0" w:space="0" w:color="auto"/>
        <w:bottom w:val="none" w:sz="0" w:space="0" w:color="auto"/>
        <w:right w:val="none" w:sz="0" w:space="0" w:color="auto"/>
      </w:divBdr>
    </w:div>
    <w:div w:id="1778985667">
      <w:bodyDiv w:val="1"/>
      <w:marLeft w:val="0"/>
      <w:marRight w:val="0"/>
      <w:marTop w:val="0"/>
      <w:marBottom w:val="0"/>
      <w:divBdr>
        <w:top w:val="none" w:sz="0" w:space="0" w:color="auto"/>
        <w:left w:val="none" w:sz="0" w:space="0" w:color="auto"/>
        <w:bottom w:val="none" w:sz="0" w:space="0" w:color="auto"/>
        <w:right w:val="none" w:sz="0" w:space="0" w:color="auto"/>
      </w:divBdr>
    </w:div>
    <w:div w:id="1778988283">
      <w:bodyDiv w:val="1"/>
      <w:marLeft w:val="0"/>
      <w:marRight w:val="0"/>
      <w:marTop w:val="0"/>
      <w:marBottom w:val="0"/>
      <w:divBdr>
        <w:top w:val="none" w:sz="0" w:space="0" w:color="auto"/>
        <w:left w:val="none" w:sz="0" w:space="0" w:color="auto"/>
        <w:bottom w:val="none" w:sz="0" w:space="0" w:color="auto"/>
        <w:right w:val="none" w:sz="0" w:space="0" w:color="auto"/>
      </w:divBdr>
    </w:div>
    <w:div w:id="1779135211">
      <w:bodyDiv w:val="1"/>
      <w:marLeft w:val="0"/>
      <w:marRight w:val="0"/>
      <w:marTop w:val="0"/>
      <w:marBottom w:val="0"/>
      <w:divBdr>
        <w:top w:val="none" w:sz="0" w:space="0" w:color="auto"/>
        <w:left w:val="none" w:sz="0" w:space="0" w:color="auto"/>
        <w:bottom w:val="none" w:sz="0" w:space="0" w:color="auto"/>
        <w:right w:val="none" w:sz="0" w:space="0" w:color="auto"/>
      </w:divBdr>
    </w:div>
    <w:div w:id="1779252527">
      <w:bodyDiv w:val="1"/>
      <w:marLeft w:val="0"/>
      <w:marRight w:val="0"/>
      <w:marTop w:val="0"/>
      <w:marBottom w:val="0"/>
      <w:divBdr>
        <w:top w:val="none" w:sz="0" w:space="0" w:color="auto"/>
        <w:left w:val="none" w:sz="0" w:space="0" w:color="auto"/>
        <w:bottom w:val="none" w:sz="0" w:space="0" w:color="auto"/>
        <w:right w:val="none" w:sz="0" w:space="0" w:color="auto"/>
      </w:divBdr>
    </w:div>
    <w:div w:id="1779443348">
      <w:bodyDiv w:val="1"/>
      <w:marLeft w:val="0"/>
      <w:marRight w:val="0"/>
      <w:marTop w:val="0"/>
      <w:marBottom w:val="0"/>
      <w:divBdr>
        <w:top w:val="none" w:sz="0" w:space="0" w:color="auto"/>
        <w:left w:val="none" w:sz="0" w:space="0" w:color="auto"/>
        <w:bottom w:val="none" w:sz="0" w:space="0" w:color="auto"/>
        <w:right w:val="none" w:sz="0" w:space="0" w:color="auto"/>
      </w:divBdr>
    </w:div>
    <w:div w:id="1779525984">
      <w:bodyDiv w:val="1"/>
      <w:marLeft w:val="0"/>
      <w:marRight w:val="0"/>
      <w:marTop w:val="0"/>
      <w:marBottom w:val="0"/>
      <w:divBdr>
        <w:top w:val="none" w:sz="0" w:space="0" w:color="auto"/>
        <w:left w:val="none" w:sz="0" w:space="0" w:color="auto"/>
        <w:bottom w:val="none" w:sz="0" w:space="0" w:color="auto"/>
        <w:right w:val="none" w:sz="0" w:space="0" w:color="auto"/>
      </w:divBdr>
    </w:div>
    <w:div w:id="1779568524">
      <w:bodyDiv w:val="1"/>
      <w:marLeft w:val="0"/>
      <w:marRight w:val="0"/>
      <w:marTop w:val="0"/>
      <w:marBottom w:val="0"/>
      <w:divBdr>
        <w:top w:val="none" w:sz="0" w:space="0" w:color="auto"/>
        <w:left w:val="none" w:sz="0" w:space="0" w:color="auto"/>
        <w:bottom w:val="none" w:sz="0" w:space="0" w:color="auto"/>
        <w:right w:val="none" w:sz="0" w:space="0" w:color="auto"/>
      </w:divBdr>
    </w:div>
    <w:div w:id="1779636829">
      <w:bodyDiv w:val="1"/>
      <w:marLeft w:val="0"/>
      <w:marRight w:val="0"/>
      <w:marTop w:val="0"/>
      <w:marBottom w:val="0"/>
      <w:divBdr>
        <w:top w:val="none" w:sz="0" w:space="0" w:color="auto"/>
        <w:left w:val="none" w:sz="0" w:space="0" w:color="auto"/>
        <w:bottom w:val="none" w:sz="0" w:space="0" w:color="auto"/>
        <w:right w:val="none" w:sz="0" w:space="0" w:color="auto"/>
      </w:divBdr>
    </w:div>
    <w:div w:id="1779637871">
      <w:bodyDiv w:val="1"/>
      <w:marLeft w:val="0"/>
      <w:marRight w:val="0"/>
      <w:marTop w:val="0"/>
      <w:marBottom w:val="0"/>
      <w:divBdr>
        <w:top w:val="none" w:sz="0" w:space="0" w:color="auto"/>
        <w:left w:val="none" w:sz="0" w:space="0" w:color="auto"/>
        <w:bottom w:val="none" w:sz="0" w:space="0" w:color="auto"/>
        <w:right w:val="none" w:sz="0" w:space="0" w:color="auto"/>
      </w:divBdr>
    </w:div>
    <w:div w:id="1779638113">
      <w:bodyDiv w:val="1"/>
      <w:marLeft w:val="0"/>
      <w:marRight w:val="0"/>
      <w:marTop w:val="0"/>
      <w:marBottom w:val="0"/>
      <w:divBdr>
        <w:top w:val="none" w:sz="0" w:space="0" w:color="auto"/>
        <w:left w:val="none" w:sz="0" w:space="0" w:color="auto"/>
        <w:bottom w:val="none" w:sz="0" w:space="0" w:color="auto"/>
        <w:right w:val="none" w:sz="0" w:space="0" w:color="auto"/>
      </w:divBdr>
    </w:div>
    <w:div w:id="1779833440">
      <w:bodyDiv w:val="1"/>
      <w:marLeft w:val="0"/>
      <w:marRight w:val="0"/>
      <w:marTop w:val="0"/>
      <w:marBottom w:val="0"/>
      <w:divBdr>
        <w:top w:val="none" w:sz="0" w:space="0" w:color="auto"/>
        <w:left w:val="none" w:sz="0" w:space="0" w:color="auto"/>
        <w:bottom w:val="none" w:sz="0" w:space="0" w:color="auto"/>
        <w:right w:val="none" w:sz="0" w:space="0" w:color="auto"/>
      </w:divBdr>
    </w:div>
    <w:div w:id="1779909341">
      <w:bodyDiv w:val="1"/>
      <w:marLeft w:val="0"/>
      <w:marRight w:val="0"/>
      <w:marTop w:val="0"/>
      <w:marBottom w:val="0"/>
      <w:divBdr>
        <w:top w:val="none" w:sz="0" w:space="0" w:color="auto"/>
        <w:left w:val="none" w:sz="0" w:space="0" w:color="auto"/>
        <w:bottom w:val="none" w:sz="0" w:space="0" w:color="auto"/>
        <w:right w:val="none" w:sz="0" w:space="0" w:color="auto"/>
      </w:divBdr>
    </w:div>
    <w:div w:id="1779911118">
      <w:bodyDiv w:val="1"/>
      <w:marLeft w:val="0"/>
      <w:marRight w:val="0"/>
      <w:marTop w:val="0"/>
      <w:marBottom w:val="0"/>
      <w:divBdr>
        <w:top w:val="none" w:sz="0" w:space="0" w:color="auto"/>
        <w:left w:val="none" w:sz="0" w:space="0" w:color="auto"/>
        <w:bottom w:val="none" w:sz="0" w:space="0" w:color="auto"/>
        <w:right w:val="none" w:sz="0" w:space="0" w:color="auto"/>
      </w:divBdr>
    </w:div>
    <w:div w:id="1780055760">
      <w:bodyDiv w:val="1"/>
      <w:marLeft w:val="0"/>
      <w:marRight w:val="0"/>
      <w:marTop w:val="0"/>
      <w:marBottom w:val="0"/>
      <w:divBdr>
        <w:top w:val="none" w:sz="0" w:space="0" w:color="auto"/>
        <w:left w:val="none" w:sz="0" w:space="0" w:color="auto"/>
        <w:bottom w:val="none" w:sz="0" w:space="0" w:color="auto"/>
        <w:right w:val="none" w:sz="0" w:space="0" w:color="auto"/>
      </w:divBdr>
    </w:div>
    <w:div w:id="1780055997">
      <w:bodyDiv w:val="1"/>
      <w:marLeft w:val="0"/>
      <w:marRight w:val="0"/>
      <w:marTop w:val="0"/>
      <w:marBottom w:val="0"/>
      <w:divBdr>
        <w:top w:val="none" w:sz="0" w:space="0" w:color="auto"/>
        <w:left w:val="none" w:sz="0" w:space="0" w:color="auto"/>
        <w:bottom w:val="none" w:sz="0" w:space="0" w:color="auto"/>
        <w:right w:val="none" w:sz="0" w:space="0" w:color="auto"/>
      </w:divBdr>
    </w:div>
    <w:div w:id="1780097942">
      <w:bodyDiv w:val="1"/>
      <w:marLeft w:val="0"/>
      <w:marRight w:val="0"/>
      <w:marTop w:val="0"/>
      <w:marBottom w:val="0"/>
      <w:divBdr>
        <w:top w:val="none" w:sz="0" w:space="0" w:color="auto"/>
        <w:left w:val="none" w:sz="0" w:space="0" w:color="auto"/>
        <w:bottom w:val="none" w:sz="0" w:space="0" w:color="auto"/>
        <w:right w:val="none" w:sz="0" w:space="0" w:color="auto"/>
      </w:divBdr>
    </w:div>
    <w:div w:id="1780102803">
      <w:bodyDiv w:val="1"/>
      <w:marLeft w:val="0"/>
      <w:marRight w:val="0"/>
      <w:marTop w:val="0"/>
      <w:marBottom w:val="0"/>
      <w:divBdr>
        <w:top w:val="none" w:sz="0" w:space="0" w:color="auto"/>
        <w:left w:val="none" w:sz="0" w:space="0" w:color="auto"/>
        <w:bottom w:val="none" w:sz="0" w:space="0" w:color="auto"/>
        <w:right w:val="none" w:sz="0" w:space="0" w:color="auto"/>
      </w:divBdr>
    </w:div>
    <w:div w:id="1780104075">
      <w:bodyDiv w:val="1"/>
      <w:marLeft w:val="0"/>
      <w:marRight w:val="0"/>
      <w:marTop w:val="0"/>
      <w:marBottom w:val="0"/>
      <w:divBdr>
        <w:top w:val="none" w:sz="0" w:space="0" w:color="auto"/>
        <w:left w:val="none" w:sz="0" w:space="0" w:color="auto"/>
        <w:bottom w:val="none" w:sz="0" w:space="0" w:color="auto"/>
        <w:right w:val="none" w:sz="0" w:space="0" w:color="auto"/>
      </w:divBdr>
    </w:div>
    <w:div w:id="1780175197">
      <w:bodyDiv w:val="1"/>
      <w:marLeft w:val="0"/>
      <w:marRight w:val="0"/>
      <w:marTop w:val="0"/>
      <w:marBottom w:val="0"/>
      <w:divBdr>
        <w:top w:val="none" w:sz="0" w:space="0" w:color="auto"/>
        <w:left w:val="none" w:sz="0" w:space="0" w:color="auto"/>
        <w:bottom w:val="none" w:sz="0" w:space="0" w:color="auto"/>
        <w:right w:val="none" w:sz="0" w:space="0" w:color="auto"/>
      </w:divBdr>
    </w:div>
    <w:div w:id="1780179964">
      <w:bodyDiv w:val="1"/>
      <w:marLeft w:val="0"/>
      <w:marRight w:val="0"/>
      <w:marTop w:val="0"/>
      <w:marBottom w:val="0"/>
      <w:divBdr>
        <w:top w:val="none" w:sz="0" w:space="0" w:color="auto"/>
        <w:left w:val="none" w:sz="0" w:space="0" w:color="auto"/>
        <w:bottom w:val="none" w:sz="0" w:space="0" w:color="auto"/>
        <w:right w:val="none" w:sz="0" w:space="0" w:color="auto"/>
      </w:divBdr>
    </w:div>
    <w:div w:id="1780369635">
      <w:bodyDiv w:val="1"/>
      <w:marLeft w:val="0"/>
      <w:marRight w:val="0"/>
      <w:marTop w:val="0"/>
      <w:marBottom w:val="0"/>
      <w:divBdr>
        <w:top w:val="none" w:sz="0" w:space="0" w:color="auto"/>
        <w:left w:val="none" w:sz="0" w:space="0" w:color="auto"/>
        <w:bottom w:val="none" w:sz="0" w:space="0" w:color="auto"/>
        <w:right w:val="none" w:sz="0" w:space="0" w:color="auto"/>
      </w:divBdr>
    </w:div>
    <w:div w:id="1780416736">
      <w:bodyDiv w:val="1"/>
      <w:marLeft w:val="0"/>
      <w:marRight w:val="0"/>
      <w:marTop w:val="0"/>
      <w:marBottom w:val="0"/>
      <w:divBdr>
        <w:top w:val="none" w:sz="0" w:space="0" w:color="auto"/>
        <w:left w:val="none" w:sz="0" w:space="0" w:color="auto"/>
        <w:bottom w:val="none" w:sz="0" w:space="0" w:color="auto"/>
        <w:right w:val="none" w:sz="0" w:space="0" w:color="auto"/>
      </w:divBdr>
    </w:div>
    <w:div w:id="1780444821">
      <w:bodyDiv w:val="1"/>
      <w:marLeft w:val="0"/>
      <w:marRight w:val="0"/>
      <w:marTop w:val="0"/>
      <w:marBottom w:val="0"/>
      <w:divBdr>
        <w:top w:val="none" w:sz="0" w:space="0" w:color="auto"/>
        <w:left w:val="none" w:sz="0" w:space="0" w:color="auto"/>
        <w:bottom w:val="none" w:sz="0" w:space="0" w:color="auto"/>
        <w:right w:val="none" w:sz="0" w:space="0" w:color="auto"/>
      </w:divBdr>
    </w:div>
    <w:div w:id="1780446884">
      <w:bodyDiv w:val="1"/>
      <w:marLeft w:val="0"/>
      <w:marRight w:val="0"/>
      <w:marTop w:val="0"/>
      <w:marBottom w:val="0"/>
      <w:divBdr>
        <w:top w:val="none" w:sz="0" w:space="0" w:color="auto"/>
        <w:left w:val="none" w:sz="0" w:space="0" w:color="auto"/>
        <w:bottom w:val="none" w:sz="0" w:space="0" w:color="auto"/>
        <w:right w:val="none" w:sz="0" w:space="0" w:color="auto"/>
      </w:divBdr>
    </w:div>
    <w:div w:id="1780759229">
      <w:bodyDiv w:val="1"/>
      <w:marLeft w:val="0"/>
      <w:marRight w:val="0"/>
      <w:marTop w:val="0"/>
      <w:marBottom w:val="0"/>
      <w:divBdr>
        <w:top w:val="none" w:sz="0" w:space="0" w:color="auto"/>
        <w:left w:val="none" w:sz="0" w:space="0" w:color="auto"/>
        <w:bottom w:val="none" w:sz="0" w:space="0" w:color="auto"/>
        <w:right w:val="none" w:sz="0" w:space="0" w:color="auto"/>
      </w:divBdr>
    </w:div>
    <w:div w:id="1780832390">
      <w:bodyDiv w:val="1"/>
      <w:marLeft w:val="0"/>
      <w:marRight w:val="0"/>
      <w:marTop w:val="0"/>
      <w:marBottom w:val="0"/>
      <w:divBdr>
        <w:top w:val="none" w:sz="0" w:space="0" w:color="auto"/>
        <w:left w:val="none" w:sz="0" w:space="0" w:color="auto"/>
        <w:bottom w:val="none" w:sz="0" w:space="0" w:color="auto"/>
        <w:right w:val="none" w:sz="0" w:space="0" w:color="auto"/>
      </w:divBdr>
    </w:div>
    <w:div w:id="1780876946">
      <w:bodyDiv w:val="1"/>
      <w:marLeft w:val="0"/>
      <w:marRight w:val="0"/>
      <w:marTop w:val="0"/>
      <w:marBottom w:val="0"/>
      <w:divBdr>
        <w:top w:val="none" w:sz="0" w:space="0" w:color="auto"/>
        <w:left w:val="none" w:sz="0" w:space="0" w:color="auto"/>
        <w:bottom w:val="none" w:sz="0" w:space="0" w:color="auto"/>
        <w:right w:val="none" w:sz="0" w:space="0" w:color="auto"/>
      </w:divBdr>
    </w:div>
    <w:div w:id="1780879542">
      <w:bodyDiv w:val="1"/>
      <w:marLeft w:val="0"/>
      <w:marRight w:val="0"/>
      <w:marTop w:val="0"/>
      <w:marBottom w:val="0"/>
      <w:divBdr>
        <w:top w:val="none" w:sz="0" w:space="0" w:color="auto"/>
        <w:left w:val="none" w:sz="0" w:space="0" w:color="auto"/>
        <w:bottom w:val="none" w:sz="0" w:space="0" w:color="auto"/>
        <w:right w:val="none" w:sz="0" w:space="0" w:color="auto"/>
      </w:divBdr>
    </w:div>
    <w:div w:id="1780879913">
      <w:bodyDiv w:val="1"/>
      <w:marLeft w:val="0"/>
      <w:marRight w:val="0"/>
      <w:marTop w:val="0"/>
      <w:marBottom w:val="0"/>
      <w:divBdr>
        <w:top w:val="none" w:sz="0" w:space="0" w:color="auto"/>
        <w:left w:val="none" w:sz="0" w:space="0" w:color="auto"/>
        <w:bottom w:val="none" w:sz="0" w:space="0" w:color="auto"/>
        <w:right w:val="none" w:sz="0" w:space="0" w:color="auto"/>
      </w:divBdr>
    </w:div>
    <w:div w:id="1781024447">
      <w:bodyDiv w:val="1"/>
      <w:marLeft w:val="0"/>
      <w:marRight w:val="0"/>
      <w:marTop w:val="0"/>
      <w:marBottom w:val="0"/>
      <w:divBdr>
        <w:top w:val="none" w:sz="0" w:space="0" w:color="auto"/>
        <w:left w:val="none" w:sz="0" w:space="0" w:color="auto"/>
        <w:bottom w:val="none" w:sz="0" w:space="0" w:color="auto"/>
        <w:right w:val="none" w:sz="0" w:space="0" w:color="auto"/>
      </w:divBdr>
    </w:div>
    <w:div w:id="1781028293">
      <w:bodyDiv w:val="1"/>
      <w:marLeft w:val="0"/>
      <w:marRight w:val="0"/>
      <w:marTop w:val="0"/>
      <w:marBottom w:val="0"/>
      <w:divBdr>
        <w:top w:val="none" w:sz="0" w:space="0" w:color="auto"/>
        <w:left w:val="none" w:sz="0" w:space="0" w:color="auto"/>
        <w:bottom w:val="none" w:sz="0" w:space="0" w:color="auto"/>
        <w:right w:val="none" w:sz="0" w:space="0" w:color="auto"/>
      </w:divBdr>
    </w:div>
    <w:div w:id="1781298333">
      <w:bodyDiv w:val="1"/>
      <w:marLeft w:val="0"/>
      <w:marRight w:val="0"/>
      <w:marTop w:val="0"/>
      <w:marBottom w:val="0"/>
      <w:divBdr>
        <w:top w:val="none" w:sz="0" w:space="0" w:color="auto"/>
        <w:left w:val="none" w:sz="0" w:space="0" w:color="auto"/>
        <w:bottom w:val="none" w:sz="0" w:space="0" w:color="auto"/>
        <w:right w:val="none" w:sz="0" w:space="0" w:color="auto"/>
      </w:divBdr>
    </w:div>
    <w:div w:id="1781604058">
      <w:bodyDiv w:val="1"/>
      <w:marLeft w:val="0"/>
      <w:marRight w:val="0"/>
      <w:marTop w:val="0"/>
      <w:marBottom w:val="0"/>
      <w:divBdr>
        <w:top w:val="none" w:sz="0" w:space="0" w:color="auto"/>
        <w:left w:val="none" w:sz="0" w:space="0" w:color="auto"/>
        <w:bottom w:val="none" w:sz="0" w:space="0" w:color="auto"/>
        <w:right w:val="none" w:sz="0" w:space="0" w:color="auto"/>
      </w:divBdr>
    </w:div>
    <w:div w:id="1781678284">
      <w:bodyDiv w:val="1"/>
      <w:marLeft w:val="0"/>
      <w:marRight w:val="0"/>
      <w:marTop w:val="0"/>
      <w:marBottom w:val="0"/>
      <w:divBdr>
        <w:top w:val="none" w:sz="0" w:space="0" w:color="auto"/>
        <w:left w:val="none" w:sz="0" w:space="0" w:color="auto"/>
        <w:bottom w:val="none" w:sz="0" w:space="0" w:color="auto"/>
        <w:right w:val="none" w:sz="0" w:space="0" w:color="auto"/>
      </w:divBdr>
    </w:div>
    <w:div w:id="1781754990">
      <w:bodyDiv w:val="1"/>
      <w:marLeft w:val="0"/>
      <w:marRight w:val="0"/>
      <w:marTop w:val="0"/>
      <w:marBottom w:val="0"/>
      <w:divBdr>
        <w:top w:val="none" w:sz="0" w:space="0" w:color="auto"/>
        <w:left w:val="none" w:sz="0" w:space="0" w:color="auto"/>
        <w:bottom w:val="none" w:sz="0" w:space="0" w:color="auto"/>
        <w:right w:val="none" w:sz="0" w:space="0" w:color="auto"/>
      </w:divBdr>
    </w:div>
    <w:div w:id="1781755193">
      <w:bodyDiv w:val="1"/>
      <w:marLeft w:val="0"/>
      <w:marRight w:val="0"/>
      <w:marTop w:val="0"/>
      <w:marBottom w:val="0"/>
      <w:divBdr>
        <w:top w:val="none" w:sz="0" w:space="0" w:color="auto"/>
        <w:left w:val="none" w:sz="0" w:space="0" w:color="auto"/>
        <w:bottom w:val="none" w:sz="0" w:space="0" w:color="auto"/>
        <w:right w:val="none" w:sz="0" w:space="0" w:color="auto"/>
      </w:divBdr>
    </w:div>
    <w:div w:id="1781995332">
      <w:bodyDiv w:val="1"/>
      <w:marLeft w:val="0"/>
      <w:marRight w:val="0"/>
      <w:marTop w:val="0"/>
      <w:marBottom w:val="0"/>
      <w:divBdr>
        <w:top w:val="none" w:sz="0" w:space="0" w:color="auto"/>
        <w:left w:val="none" w:sz="0" w:space="0" w:color="auto"/>
        <w:bottom w:val="none" w:sz="0" w:space="0" w:color="auto"/>
        <w:right w:val="none" w:sz="0" w:space="0" w:color="auto"/>
      </w:divBdr>
    </w:div>
    <w:div w:id="1782143224">
      <w:bodyDiv w:val="1"/>
      <w:marLeft w:val="0"/>
      <w:marRight w:val="0"/>
      <w:marTop w:val="0"/>
      <w:marBottom w:val="0"/>
      <w:divBdr>
        <w:top w:val="none" w:sz="0" w:space="0" w:color="auto"/>
        <w:left w:val="none" w:sz="0" w:space="0" w:color="auto"/>
        <w:bottom w:val="none" w:sz="0" w:space="0" w:color="auto"/>
        <w:right w:val="none" w:sz="0" w:space="0" w:color="auto"/>
      </w:divBdr>
    </w:div>
    <w:div w:id="1782147591">
      <w:bodyDiv w:val="1"/>
      <w:marLeft w:val="0"/>
      <w:marRight w:val="0"/>
      <w:marTop w:val="0"/>
      <w:marBottom w:val="0"/>
      <w:divBdr>
        <w:top w:val="none" w:sz="0" w:space="0" w:color="auto"/>
        <w:left w:val="none" w:sz="0" w:space="0" w:color="auto"/>
        <w:bottom w:val="none" w:sz="0" w:space="0" w:color="auto"/>
        <w:right w:val="none" w:sz="0" w:space="0" w:color="auto"/>
      </w:divBdr>
    </w:div>
    <w:div w:id="1782147992">
      <w:bodyDiv w:val="1"/>
      <w:marLeft w:val="0"/>
      <w:marRight w:val="0"/>
      <w:marTop w:val="0"/>
      <w:marBottom w:val="0"/>
      <w:divBdr>
        <w:top w:val="none" w:sz="0" w:space="0" w:color="auto"/>
        <w:left w:val="none" w:sz="0" w:space="0" w:color="auto"/>
        <w:bottom w:val="none" w:sz="0" w:space="0" w:color="auto"/>
        <w:right w:val="none" w:sz="0" w:space="0" w:color="auto"/>
      </w:divBdr>
    </w:div>
    <w:div w:id="1782187929">
      <w:bodyDiv w:val="1"/>
      <w:marLeft w:val="0"/>
      <w:marRight w:val="0"/>
      <w:marTop w:val="0"/>
      <w:marBottom w:val="0"/>
      <w:divBdr>
        <w:top w:val="none" w:sz="0" w:space="0" w:color="auto"/>
        <w:left w:val="none" w:sz="0" w:space="0" w:color="auto"/>
        <w:bottom w:val="none" w:sz="0" w:space="0" w:color="auto"/>
        <w:right w:val="none" w:sz="0" w:space="0" w:color="auto"/>
      </w:divBdr>
    </w:div>
    <w:div w:id="1782408477">
      <w:bodyDiv w:val="1"/>
      <w:marLeft w:val="0"/>
      <w:marRight w:val="0"/>
      <w:marTop w:val="0"/>
      <w:marBottom w:val="0"/>
      <w:divBdr>
        <w:top w:val="none" w:sz="0" w:space="0" w:color="auto"/>
        <w:left w:val="none" w:sz="0" w:space="0" w:color="auto"/>
        <w:bottom w:val="none" w:sz="0" w:space="0" w:color="auto"/>
        <w:right w:val="none" w:sz="0" w:space="0" w:color="auto"/>
      </w:divBdr>
    </w:div>
    <w:div w:id="1782408529">
      <w:bodyDiv w:val="1"/>
      <w:marLeft w:val="0"/>
      <w:marRight w:val="0"/>
      <w:marTop w:val="0"/>
      <w:marBottom w:val="0"/>
      <w:divBdr>
        <w:top w:val="none" w:sz="0" w:space="0" w:color="auto"/>
        <w:left w:val="none" w:sz="0" w:space="0" w:color="auto"/>
        <w:bottom w:val="none" w:sz="0" w:space="0" w:color="auto"/>
        <w:right w:val="none" w:sz="0" w:space="0" w:color="auto"/>
      </w:divBdr>
    </w:div>
    <w:div w:id="1782410071">
      <w:bodyDiv w:val="1"/>
      <w:marLeft w:val="0"/>
      <w:marRight w:val="0"/>
      <w:marTop w:val="0"/>
      <w:marBottom w:val="0"/>
      <w:divBdr>
        <w:top w:val="none" w:sz="0" w:space="0" w:color="auto"/>
        <w:left w:val="none" w:sz="0" w:space="0" w:color="auto"/>
        <w:bottom w:val="none" w:sz="0" w:space="0" w:color="auto"/>
        <w:right w:val="none" w:sz="0" w:space="0" w:color="auto"/>
      </w:divBdr>
    </w:div>
    <w:div w:id="1782412334">
      <w:bodyDiv w:val="1"/>
      <w:marLeft w:val="0"/>
      <w:marRight w:val="0"/>
      <w:marTop w:val="0"/>
      <w:marBottom w:val="0"/>
      <w:divBdr>
        <w:top w:val="none" w:sz="0" w:space="0" w:color="auto"/>
        <w:left w:val="none" w:sz="0" w:space="0" w:color="auto"/>
        <w:bottom w:val="none" w:sz="0" w:space="0" w:color="auto"/>
        <w:right w:val="none" w:sz="0" w:space="0" w:color="auto"/>
      </w:divBdr>
    </w:div>
    <w:div w:id="1782457128">
      <w:bodyDiv w:val="1"/>
      <w:marLeft w:val="0"/>
      <w:marRight w:val="0"/>
      <w:marTop w:val="0"/>
      <w:marBottom w:val="0"/>
      <w:divBdr>
        <w:top w:val="none" w:sz="0" w:space="0" w:color="auto"/>
        <w:left w:val="none" w:sz="0" w:space="0" w:color="auto"/>
        <w:bottom w:val="none" w:sz="0" w:space="0" w:color="auto"/>
        <w:right w:val="none" w:sz="0" w:space="0" w:color="auto"/>
      </w:divBdr>
    </w:div>
    <w:div w:id="1782531049">
      <w:bodyDiv w:val="1"/>
      <w:marLeft w:val="0"/>
      <w:marRight w:val="0"/>
      <w:marTop w:val="0"/>
      <w:marBottom w:val="0"/>
      <w:divBdr>
        <w:top w:val="none" w:sz="0" w:space="0" w:color="auto"/>
        <w:left w:val="none" w:sz="0" w:space="0" w:color="auto"/>
        <w:bottom w:val="none" w:sz="0" w:space="0" w:color="auto"/>
        <w:right w:val="none" w:sz="0" w:space="0" w:color="auto"/>
      </w:divBdr>
    </w:div>
    <w:div w:id="1782533426">
      <w:bodyDiv w:val="1"/>
      <w:marLeft w:val="0"/>
      <w:marRight w:val="0"/>
      <w:marTop w:val="0"/>
      <w:marBottom w:val="0"/>
      <w:divBdr>
        <w:top w:val="none" w:sz="0" w:space="0" w:color="auto"/>
        <w:left w:val="none" w:sz="0" w:space="0" w:color="auto"/>
        <w:bottom w:val="none" w:sz="0" w:space="0" w:color="auto"/>
        <w:right w:val="none" w:sz="0" w:space="0" w:color="auto"/>
      </w:divBdr>
    </w:div>
    <w:div w:id="1782533585">
      <w:bodyDiv w:val="1"/>
      <w:marLeft w:val="0"/>
      <w:marRight w:val="0"/>
      <w:marTop w:val="0"/>
      <w:marBottom w:val="0"/>
      <w:divBdr>
        <w:top w:val="none" w:sz="0" w:space="0" w:color="auto"/>
        <w:left w:val="none" w:sz="0" w:space="0" w:color="auto"/>
        <w:bottom w:val="none" w:sz="0" w:space="0" w:color="auto"/>
        <w:right w:val="none" w:sz="0" w:space="0" w:color="auto"/>
      </w:divBdr>
    </w:div>
    <w:div w:id="1782802325">
      <w:bodyDiv w:val="1"/>
      <w:marLeft w:val="0"/>
      <w:marRight w:val="0"/>
      <w:marTop w:val="0"/>
      <w:marBottom w:val="0"/>
      <w:divBdr>
        <w:top w:val="none" w:sz="0" w:space="0" w:color="auto"/>
        <w:left w:val="none" w:sz="0" w:space="0" w:color="auto"/>
        <w:bottom w:val="none" w:sz="0" w:space="0" w:color="auto"/>
        <w:right w:val="none" w:sz="0" w:space="0" w:color="auto"/>
      </w:divBdr>
    </w:div>
    <w:div w:id="1782846393">
      <w:bodyDiv w:val="1"/>
      <w:marLeft w:val="0"/>
      <w:marRight w:val="0"/>
      <w:marTop w:val="0"/>
      <w:marBottom w:val="0"/>
      <w:divBdr>
        <w:top w:val="none" w:sz="0" w:space="0" w:color="auto"/>
        <w:left w:val="none" w:sz="0" w:space="0" w:color="auto"/>
        <w:bottom w:val="none" w:sz="0" w:space="0" w:color="auto"/>
        <w:right w:val="none" w:sz="0" w:space="0" w:color="auto"/>
      </w:divBdr>
    </w:div>
    <w:div w:id="1782870212">
      <w:bodyDiv w:val="1"/>
      <w:marLeft w:val="0"/>
      <w:marRight w:val="0"/>
      <w:marTop w:val="0"/>
      <w:marBottom w:val="0"/>
      <w:divBdr>
        <w:top w:val="none" w:sz="0" w:space="0" w:color="auto"/>
        <w:left w:val="none" w:sz="0" w:space="0" w:color="auto"/>
        <w:bottom w:val="none" w:sz="0" w:space="0" w:color="auto"/>
        <w:right w:val="none" w:sz="0" w:space="0" w:color="auto"/>
      </w:divBdr>
    </w:div>
    <w:div w:id="1782870382">
      <w:bodyDiv w:val="1"/>
      <w:marLeft w:val="0"/>
      <w:marRight w:val="0"/>
      <w:marTop w:val="0"/>
      <w:marBottom w:val="0"/>
      <w:divBdr>
        <w:top w:val="none" w:sz="0" w:space="0" w:color="auto"/>
        <w:left w:val="none" w:sz="0" w:space="0" w:color="auto"/>
        <w:bottom w:val="none" w:sz="0" w:space="0" w:color="auto"/>
        <w:right w:val="none" w:sz="0" w:space="0" w:color="auto"/>
      </w:divBdr>
    </w:div>
    <w:div w:id="1782871597">
      <w:bodyDiv w:val="1"/>
      <w:marLeft w:val="0"/>
      <w:marRight w:val="0"/>
      <w:marTop w:val="0"/>
      <w:marBottom w:val="0"/>
      <w:divBdr>
        <w:top w:val="none" w:sz="0" w:space="0" w:color="auto"/>
        <w:left w:val="none" w:sz="0" w:space="0" w:color="auto"/>
        <w:bottom w:val="none" w:sz="0" w:space="0" w:color="auto"/>
        <w:right w:val="none" w:sz="0" w:space="0" w:color="auto"/>
      </w:divBdr>
    </w:div>
    <w:div w:id="1782873840">
      <w:bodyDiv w:val="1"/>
      <w:marLeft w:val="0"/>
      <w:marRight w:val="0"/>
      <w:marTop w:val="0"/>
      <w:marBottom w:val="0"/>
      <w:divBdr>
        <w:top w:val="none" w:sz="0" w:space="0" w:color="auto"/>
        <w:left w:val="none" w:sz="0" w:space="0" w:color="auto"/>
        <w:bottom w:val="none" w:sz="0" w:space="0" w:color="auto"/>
        <w:right w:val="none" w:sz="0" w:space="0" w:color="auto"/>
      </w:divBdr>
    </w:div>
    <w:div w:id="1782917880">
      <w:bodyDiv w:val="1"/>
      <w:marLeft w:val="0"/>
      <w:marRight w:val="0"/>
      <w:marTop w:val="0"/>
      <w:marBottom w:val="0"/>
      <w:divBdr>
        <w:top w:val="none" w:sz="0" w:space="0" w:color="auto"/>
        <w:left w:val="none" w:sz="0" w:space="0" w:color="auto"/>
        <w:bottom w:val="none" w:sz="0" w:space="0" w:color="auto"/>
        <w:right w:val="none" w:sz="0" w:space="0" w:color="auto"/>
      </w:divBdr>
    </w:div>
    <w:div w:id="1782921232">
      <w:bodyDiv w:val="1"/>
      <w:marLeft w:val="0"/>
      <w:marRight w:val="0"/>
      <w:marTop w:val="0"/>
      <w:marBottom w:val="0"/>
      <w:divBdr>
        <w:top w:val="none" w:sz="0" w:space="0" w:color="auto"/>
        <w:left w:val="none" w:sz="0" w:space="0" w:color="auto"/>
        <w:bottom w:val="none" w:sz="0" w:space="0" w:color="auto"/>
        <w:right w:val="none" w:sz="0" w:space="0" w:color="auto"/>
      </w:divBdr>
    </w:div>
    <w:div w:id="1782988390">
      <w:bodyDiv w:val="1"/>
      <w:marLeft w:val="0"/>
      <w:marRight w:val="0"/>
      <w:marTop w:val="0"/>
      <w:marBottom w:val="0"/>
      <w:divBdr>
        <w:top w:val="none" w:sz="0" w:space="0" w:color="auto"/>
        <w:left w:val="none" w:sz="0" w:space="0" w:color="auto"/>
        <w:bottom w:val="none" w:sz="0" w:space="0" w:color="auto"/>
        <w:right w:val="none" w:sz="0" w:space="0" w:color="auto"/>
      </w:divBdr>
    </w:div>
    <w:div w:id="1783070424">
      <w:bodyDiv w:val="1"/>
      <w:marLeft w:val="0"/>
      <w:marRight w:val="0"/>
      <w:marTop w:val="0"/>
      <w:marBottom w:val="0"/>
      <w:divBdr>
        <w:top w:val="none" w:sz="0" w:space="0" w:color="auto"/>
        <w:left w:val="none" w:sz="0" w:space="0" w:color="auto"/>
        <w:bottom w:val="none" w:sz="0" w:space="0" w:color="auto"/>
        <w:right w:val="none" w:sz="0" w:space="0" w:color="auto"/>
      </w:divBdr>
    </w:div>
    <w:div w:id="1783180849">
      <w:bodyDiv w:val="1"/>
      <w:marLeft w:val="0"/>
      <w:marRight w:val="0"/>
      <w:marTop w:val="0"/>
      <w:marBottom w:val="0"/>
      <w:divBdr>
        <w:top w:val="none" w:sz="0" w:space="0" w:color="auto"/>
        <w:left w:val="none" w:sz="0" w:space="0" w:color="auto"/>
        <w:bottom w:val="none" w:sz="0" w:space="0" w:color="auto"/>
        <w:right w:val="none" w:sz="0" w:space="0" w:color="auto"/>
      </w:divBdr>
    </w:div>
    <w:div w:id="1783256902">
      <w:bodyDiv w:val="1"/>
      <w:marLeft w:val="0"/>
      <w:marRight w:val="0"/>
      <w:marTop w:val="0"/>
      <w:marBottom w:val="0"/>
      <w:divBdr>
        <w:top w:val="none" w:sz="0" w:space="0" w:color="auto"/>
        <w:left w:val="none" w:sz="0" w:space="0" w:color="auto"/>
        <w:bottom w:val="none" w:sz="0" w:space="0" w:color="auto"/>
        <w:right w:val="none" w:sz="0" w:space="0" w:color="auto"/>
      </w:divBdr>
    </w:div>
    <w:div w:id="1783382863">
      <w:bodyDiv w:val="1"/>
      <w:marLeft w:val="0"/>
      <w:marRight w:val="0"/>
      <w:marTop w:val="0"/>
      <w:marBottom w:val="0"/>
      <w:divBdr>
        <w:top w:val="none" w:sz="0" w:space="0" w:color="auto"/>
        <w:left w:val="none" w:sz="0" w:space="0" w:color="auto"/>
        <w:bottom w:val="none" w:sz="0" w:space="0" w:color="auto"/>
        <w:right w:val="none" w:sz="0" w:space="0" w:color="auto"/>
      </w:divBdr>
    </w:div>
    <w:div w:id="1783500095">
      <w:bodyDiv w:val="1"/>
      <w:marLeft w:val="0"/>
      <w:marRight w:val="0"/>
      <w:marTop w:val="0"/>
      <w:marBottom w:val="0"/>
      <w:divBdr>
        <w:top w:val="none" w:sz="0" w:space="0" w:color="auto"/>
        <w:left w:val="none" w:sz="0" w:space="0" w:color="auto"/>
        <w:bottom w:val="none" w:sz="0" w:space="0" w:color="auto"/>
        <w:right w:val="none" w:sz="0" w:space="0" w:color="auto"/>
      </w:divBdr>
    </w:div>
    <w:div w:id="1783718548">
      <w:bodyDiv w:val="1"/>
      <w:marLeft w:val="0"/>
      <w:marRight w:val="0"/>
      <w:marTop w:val="0"/>
      <w:marBottom w:val="0"/>
      <w:divBdr>
        <w:top w:val="none" w:sz="0" w:space="0" w:color="auto"/>
        <w:left w:val="none" w:sz="0" w:space="0" w:color="auto"/>
        <w:bottom w:val="none" w:sz="0" w:space="0" w:color="auto"/>
        <w:right w:val="none" w:sz="0" w:space="0" w:color="auto"/>
      </w:divBdr>
    </w:div>
    <w:div w:id="1783722370">
      <w:bodyDiv w:val="1"/>
      <w:marLeft w:val="0"/>
      <w:marRight w:val="0"/>
      <w:marTop w:val="0"/>
      <w:marBottom w:val="0"/>
      <w:divBdr>
        <w:top w:val="none" w:sz="0" w:space="0" w:color="auto"/>
        <w:left w:val="none" w:sz="0" w:space="0" w:color="auto"/>
        <w:bottom w:val="none" w:sz="0" w:space="0" w:color="auto"/>
        <w:right w:val="none" w:sz="0" w:space="0" w:color="auto"/>
      </w:divBdr>
    </w:div>
    <w:div w:id="1783764274">
      <w:bodyDiv w:val="1"/>
      <w:marLeft w:val="0"/>
      <w:marRight w:val="0"/>
      <w:marTop w:val="0"/>
      <w:marBottom w:val="0"/>
      <w:divBdr>
        <w:top w:val="none" w:sz="0" w:space="0" w:color="auto"/>
        <w:left w:val="none" w:sz="0" w:space="0" w:color="auto"/>
        <w:bottom w:val="none" w:sz="0" w:space="0" w:color="auto"/>
        <w:right w:val="none" w:sz="0" w:space="0" w:color="auto"/>
      </w:divBdr>
    </w:div>
    <w:div w:id="1783920886">
      <w:bodyDiv w:val="1"/>
      <w:marLeft w:val="0"/>
      <w:marRight w:val="0"/>
      <w:marTop w:val="0"/>
      <w:marBottom w:val="0"/>
      <w:divBdr>
        <w:top w:val="none" w:sz="0" w:space="0" w:color="auto"/>
        <w:left w:val="none" w:sz="0" w:space="0" w:color="auto"/>
        <w:bottom w:val="none" w:sz="0" w:space="0" w:color="auto"/>
        <w:right w:val="none" w:sz="0" w:space="0" w:color="auto"/>
      </w:divBdr>
    </w:div>
    <w:div w:id="1783955766">
      <w:bodyDiv w:val="1"/>
      <w:marLeft w:val="0"/>
      <w:marRight w:val="0"/>
      <w:marTop w:val="0"/>
      <w:marBottom w:val="0"/>
      <w:divBdr>
        <w:top w:val="none" w:sz="0" w:space="0" w:color="auto"/>
        <w:left w:val="none" w:sz="0" w:space="0" w:color="auto"/>
        <w:bottom w:val="none" w:sz="0" w:space="0" w:color="auto"/>
        <w:right w:val="none" w:sz="0" w:space="0" w:color="auto"/>
      </w:divBdr>
    </w:div>
    <w:div w:id="1783960587">
      <w:bodyDiv w:val="1"/>
      <w:marLeft w:val="0"/>
      <w:marRight w:val="0"/>
      <w:marTop w:val="0"/>
      <w:marBottom w:val="0"/>
      <w:divBdr>
        <w:top w:val="none" w:sz="0" w:space="0" w:color="auto"/>
        <w:left w:val="none" w:sz="0" w:space="0" w:color="auto"/>
        <w:bottom w:val="none" w:sz="0" w:space="0" w:color="auto"/>
        <w:right w:val="none" w:sz="0" w:space="0" w:color="auto"/>
      </w:divBdr>
    </w:div>
    <w:div w:id="1784179967">
      <w:bodyDiv w:val="1"/>
      <w:marLeft w:val="0"/>
      <w:marRight w:val="0"/>
      <w:marTop w:val="0"/>
      <w:marBottom w:val="0"/>
      <w:divBdr>
        <w:top w:val="none" w:sz="0" w:space="0" w:color="auto"/>
        <w:left w:val="none" w:sz="0" w:space="0" w:color="auto"/>
        <w:bottom w:val="none" w:sz="0" w:space="0" w:color="auto"/>
        <w:right w:val="none" w:sz="0" w:space="0" w:color="auto"/>
      </w:divBdr>
    </w:div>
    <w:div w:id="1784298636">
      <w:bodyDiv w:val="1"/>
      <w:marLeft w:val="0"/>
      <w:marRight w:val="0"/>
      <w:marTop w:val="0"/>
      <w:marBottom w:val="0"/>
      <w:divBdr>
        <w:top w:val="none" w:sz="0" w:space="0" w:color="auto"/>
        <w:left w:val="none" w:sz="0" w:space="0" w:color="auto"/>
        <w:bottom w:val="none" w:sz="0" w:space="0" w:color="auto"/>
        <w:right w:val="none" w:sz="0" w:space="0" w:color="auto"/>
      </w:divBdr>
    </w:div>
    <w:div w:id="1784303541">
      <w:bodyDiv w:val="1"/>
      <w:marLeft w:val="0"/>
      <w:marRight w:val="0"/>
      <w:marTop w:val="0"/>
      <w:marBottom w:val="0"/>
      <w:divBdr>
        <w:top w:val="none" w:sz="0" w:space="0" w:color="auto"/>
        <w:left w:val="none" w:sz="0" w:space="0" w:color="auto"/>
        <w:bottom w:val="none" w:sz="0" w:space="0" w:color="auto"/>
        <w:right w:val="none" w:sz="0" w:space="0" w:color="auto"/>
      </w:divBdr>
    </w:div>
    <w:div w:id="1784573166">
      <w:bodyDiv w:val="1"/>
      <w:marLeft w:val="0"/>
      <w:marRight w:val="0"/>
      <w:marTop w:val="0"/>
      <w:marBottom w:val="0"/>
      <w:divBdr>
        <w:top w:val="none" w:sz="0" w:space="0" w:color="auto"/>
        <w:left w:val="none" w:sz="0" w:space="0" w:color="auto"/>
        <w:bottom w:val="none" w:sz="0" w:space="0" w:color="auto"/>
        <w:right w:val="none" w:sz="0" w:space="0" w:color="auto"/>
      </w:divBdr>
    </w:div>
    <w:div w:id="1784686237">
      <w:bodyDiv w:val="1"/>
      <w:marLeft w:val="0"/>
      <w:marRight w:val="0"/>
      <w:marTop w:val="0"/>
      <w:marBottom w:val="0"/>
      <w:divBdr>
        <w:top w:val="none" w:sz="0" w:space="0" w:color="auto"/>
        <w:left w:val="none" w:sz="0" w:space="0" w:color="auto"/>
        <w:bottom w:val="none" w:sz="0" w:space="0" w:color="auto"/>
        <w:right w:val="none" w:sz="0" w:space="0" w:color="auto"/>
      </w:divBdr>
    </w:div>
    <w:div w:id="1784693283">
      <w:bodyDiv w:val="1"/>
      <w:marLeft w:val="0"/>
      <w:marRight w:val="0"/>
      <w:marTop w:val="0"/>
      <w:marBottom w:val="0"/>
      <w:divBdr>
        <w:top w:val="none" w:sz="0" w:space="0" w:color="auto"/>
        <w:left w:val="none" w:sz="0" w:space="0" w:color="auto"/>
        <w:bottom w:val="none" w:sz="0" w:space="0" w:color="auto"/>
        <w:right w:val="none" w:sz="0" w:space="0" w:color="auto"/>
      </w:divBdr>
    </w:div>
    <w:div w:id="1784878833">
      <w:bodyDiv w:val="1"/>
      <w:marLeft w:val="0"/>
      <w:marRight w:val="0"/>
      <w:marTop w:val="0"/>
      <w:marBottom w:val="0"/>
      <w:divBdr>
        <w:top w:val="none" w:sz="0" w:space="0" w:color="auto"/>
        <w:left w:val="none" w:sz="0" w:space="0" w:color="auto"/>
        <w:bottom w:val="none" w:sz="0" w:space="0" w:color="auto"/>
        <w:right w:val="none" w:sz="0" w:space="0" w:color="auto"/>
      </w:divBdr>
    </w:div>
    <w:div w:id="1784886328">
      <w:bodyDiv w:val="1"/>
      <w:marLeft w:val="0"/>
      <w:marRight w:val="0"/>
      <w:marTop w:val="0"/>
      <w:marBottom w:val="0"/>
      <w:divBdr>
        <w:top w:val="none" w:sz="0" w:space="0" w:color="auto"/>
        <w:left w:val="none" w:sz="0" w:space="0" w:color="auto"/>
        <w:bottom w:val="none" w:sz="0" w:space="0" w:color="auto"/>
        <w:right w:val="none" w:sz="0" w:space="0" w:color="auto"/>
      </w:divBdr>
    </w:div>
    <w:div w:id="1784962093">
      <w:bodyDiv w:val="1"/>
      <w:marLeft w:val="0"/>
      <w:marRight w:val="0"/>
      <w:marTop w:val="0"/>
      <w:marBottom w:val="0"/>
      <w:divBdr>
        <w:top w:val="none" w:sz="0" w:space="0" w:color="auto"/>
        <w:left w:val="none" w:sz="0" w:space="0" w:color="auto"/>
        <w:bottom w:val="none" w:sz="0" w:space="0" w:color="auto"/>
        <w:right w:val="none" w:sz="0" w:space="0" w:color="auto"/>
      </w:divBdr>
    </w:div>
    <w:div w:id="1785035610">
      <w:bodyDiv w:val="1"/>
      <w:marLeft w:val="0"/>
      <w:marRight w:val="0"/>
      <w:marTop w:val="0"/>
      <w:marBottom w:val="0"/>
      <w:divBdr>
        <w:top w:val="none" w:sz="0" w:space="0" w:color="auto"/>
        <w:left w:val="none" w:sz="0" w:space="0" w:color="auto"/>
        <w:bottom w:val="none" w:sz="0" w:space="0" w:color="auto"/>
        <w:right w:val="none" w:sz="0" w:space="0" w:color="auto"/>
      </w:divBdr>
    </w:div>
    <w:div w:id="1785222185">
      <w:bodyDiv w:val="1"/>
      <w:marLeft w:val="0"/>
      <w:marRight w:val="0"/>
      <w:marTop w:val="0"/>
      <w:marBottom w:val="0"/>
      <w:divBdr>
        <w:top w:val="none" w:sz="0" w:space="0" w:color="auto"/>
        <w:left w:val="none" w:sz="0" w:space="0" w:color="auto"/>
        <w:bottom w:val="none" w:sz="0" w:space="0" w:color="auto"/>
        <w:right w:val="none" w:sz="0" w:space="0" w:color="auto"/>
      </w:divBdr>
    </w:div>
    <w:div w:id="1785227619">
      <w:bodyDiv w:val="1"/>
      <w:marLeft w:val="0"/>
      <w:marRight w:val="0"/>
      <w:marTop w:val="0"/>
      <w:marBottom w:val="0"/>
      <w:divBdr>
        <w:top w:val="none" w:sz="0" w:space="0" w:color="auto"/>
        <w:left w:val="none" w:sz="0" w:space="0" w:color="auto"/>
        <w:bottom w:val="none" w:sz="0" w:space="0" w:color="auto"/>
        <w:right w:val="none" w:sz="0" w:space="0" w:color="auto"/>
      </w:divBdr>
    </w:div>
    <w:div w:id="1785229521">
      <w:bodyDiv w:val="1"/>
      <w:marLeft w:val="0"/>
      <w:marRight w:val="0"/>
      <w:marTop w:val="0"/>
      <w:marBottom w:val="0"/>
      <w:divBdr>
        <w:top w:val="none" w:sz="0" w:space="0" w:color="auto"/>
        <w:left w:val="none" w:sz="0" w:space="0" w:color="auto"/>
        <w:bottom w:val="none" w:sz="0" w:space="0" w:color="auto"/>
        <w:right w:val="none" w:sz="0" w:space="0" w:color="auto"/>
      </w:divBdr>
    </w:div>
    <w:div w:id="1785297837">
      <w:bodyDiv w:val="1"/>
      <w:marLeft w:val="0"/>
      <w:marRight w:val="0"/>
      <w:marTop w:val="0"/>
      <w:marBottom w:val="0"/>
      <w:divBdr>
        <w:top w:val="none" w:sz="0" w:space="0" w:color="auto"/>
        <w:left w:val="none" w:sz="0" w:space="0" w:color="auto"/>
        <w:bottom w:val="none" w:sz="0" w:space="0" w:color="auto"/>
        <w:right w:val="none" w:sz="0" w:space="0" w:color="auto"/>
      </w:divBdr>
    </w:div>
    <w:div w:id="1785345876">
      <w:bodyDiv w:val="1"/>
      <w:marLeft w:val="0"/>
      <w:marRight w:val="0"/>
      <w:marTop w:val="0"/>
      <w:marBottom w:val="0"/>
      <w:divBdr>
        <w:top w:val="none" w:sz="0" w:space="0" w:color="auto"/>
        <w:left w:val="none" w:sz="0" w:space="0" w:color="auto"/>
        <w:bottom w:val="none" w:sz="0" w:space="0" w:color="auto"/>
        <w:right w:val="none" w:sz="0" w:space="0" w:color="auto"/>
      </w:divBdr>
    </w:div>
    <w:div w:id="1785347091">
      <w:bodyDiv w:val="1"/>
      <w:marLeft w:val="0"/>
      <w:marRight w:val="0"/>
      <w:marTop w:val="0"/>
      <w:marBottom w:val="0"/>
      <w:divBdr>
        <w:top w:val="none" w:sz="0" w:space="0" w:color="auto"/>
        <w:left w:val="none" w:sz="0" w:space="0" w:color="auto"/>
        <w:bottom w:val="none" w:sz="0" w:space="0" w:color="auto"/>
        <w:right w:val="none" w:sz="0" w:space="0" w:color="auto"/>
      </w:divBdr>
    </w:div>
    <w:div w:id="1785415160">
      <w:bodyDiv w:val="1"/>
      <w:marLeft w:val="0"/>
      <w:marRight w:val="0"/>
      <w:marTop w:val="0"/>
      <w:marBottom w:val="0"/>
      <w:divBdr>
        <w:top w:val="none" w:sz="0" w:space="0" w:color="auto"/>
        <w:left w:val="none" w:sz="0" w:space="0" w:color="auto"/>
        <w:bottom w:val="none" w:sz="0" w:space="0" w:color="auto"/>
        <w:right w:val="none" w:sz="0" w:space="0" w:color="auto"/>
      </w:divBdr>
    </w:div>
    <w:div w:id="1785464359">
      <w:bodyDiv w:val="1"/>
      <w:marLeft w:val="0"/>
      <w:marRight w:val="0"/>
      <w:marTop w:val="0"/>
      <w:marBottom w:val="0"/>
      <w:divBdr>
        <w:top w:val="none" w:sz="0" w:space="0" w:color="auto"/>
        <w:left w:val="none" w:sz="0" w:space="0" w:color="auto"/>
        <w:bottom w:val="none" w:sz="0" w:space="0" w:color="auto"/>
        <w:right w:val="none" w:sz="0" w:space="0" w:color="auto"/>
      </w:divBdr>
    </w:div>
    <w:div w:id="1785540245">
      <w:bodyDiv w:val="1"/>
      <w:marLeft w:val="0"/>
      <w:marRight w:val="0"/>
      <w:marTop w:val="0"/>
      <w:marBottom w:val="0"/>
      <w:divBdr>
        <w:top w:val="none" w:sz="0" w:space="0" w:color="auto"/>
        <w:left w:val="none" w:sz="0" w:space="0" w:color="auto"/>
        <w:bottom w:val="none" w:sz="0" w:space="0" w:color="auto"/>
        <w:right w:val="none" w:sz="0" w:space="0" w:color="auto"/>
      </w:divBdr>
    </w:div>
    <w:div w:id="1785616107">
      <w:bodyDiv w:val="1"/>
      <w:marLeft w:val="0"/>
      <w:marRight w:val="0"/>
      <w:marTop w:val="0"/>
      <w:marBottom w:val="0"/>
      <w:divBdr>
        <w:top w:val="none" w:sz="0" w:space="0" w:color="auto"/>
        <w:left w:val="none" w:sz="0" w:space="0" w:color="auto"/>
        <w:bottom w:val="none" w:sz="0" w:space="0" w:color="auto"/>
        <w:right w:val="none" w:sz="0" w:space="0" w:color="auto"/>
      </w:divBdr>
    </w:div>
    <w:div w:id="1785726883">
      <w:bodyDiv w:val="1"/>
      <w:marLeft w:val="0"/>
      <w:marRight w:val="0"/>
      <w:marTop w:val="0"/>
      <w:marBottom w:val="0"/>
      <w:divBdr>
        <w:top w:val="none" w:sz="0" w:space="0" w:color="auto"/>
        <w:left w:val="none" w:sz="0" w:space="0" w:color="auto"/>
        <w:bottom w:val="none" w:sz="0" w:space="0" w:color="auto"/>
        <w:right w:val="none" w:sz="0" w:space="0" w:color="auto"/>
      </w:divBdr>
    </w:div>
    <w:div w:id="1785807787">
      <w:bodyDiv w:val="1"/>
      <w:marLeft w:val="0"/>
      <w:marRight w:val="0"/>
      <w:marTop w:val="0"/>
      <w:marBottom w:val="0"/>
      <w:divBdr>
        <w:top w:val="none" w:sz="0" w:space="0" w:color="auto"/>
        <w:left w:val="none" w:sz="0" w:space="0" w:color="auto"/>
        <w:bottom w:val="none" w:sz="0" w:space="0" w:color="auto"/>
        <w:right w:val="none" w:sz="0" w:space="0" w:color="auto"/>
      </w:divBdr>
    </w:div>
    <w:div w:id="1785809689">
      <w:bodyDiv w:val="1"/>
      <w:marLeft w:val="0"/>
      <w:marRight w:val="0"/>
      <w:marTop w:val="0"/>
      <w:marBottom w:val="0"/>
      <w:divBdr>
        <w:top w:val="none" w:sz="0" w:space="0" w:color="auto"/>
        <w:left w:val="none" w:sz="0" w:space="0" w:color="auto"/>
        <w:bottom w:val="none" w:sz="0" w:space="0" w:color="auto"/>
        <w:right w:val="none" w:sz="0" w:space="0" w:color="auto"/>
      </w:divBdr>
    </w:div>
    <w:div w:id="1785999475">
      <w:bodyDiv w:val="1"/>
      <w:marLeft w:val="0"/>
      <w:marRight w:val="0"/>
      <w:marTop w:val="0"/>
      <w:marBottom w:val="0"/>
      <w:divBdr>
        <w:top w:val="none" w:sz="0" w:space="0" w:color="auto"/>
        <w:left w:val="none" w:sz="0" w:space="0" w:color="auto"/>
        <w:bottom w:val="none" w:sz="0" w:space="0" w:color="auto"/>
        <w:right w:val="none" w:sz="0" w:space="0" w:color="auto"/>
      </w:divBdr>
    </w:div>
    <w:div w:id="1786188729">
      <w:bodyDiv w:val="1"/>
      <w:marLeft w:val="0"/>
      <w:marRight w:val="0"/>
      <w:marTop w:val="0"/>
      <w:marBottom w:val="0"/>
      <w:divBdr>
        <w:top w:val="none" w:sz="0" w:space="0" w:color="auto"/>
        <w:left w:val="none" w:sz="0" w:space="0" w:color="auto"/>
        <w:bottom w:val="none" w:sz="0" w:space="0" w:color="auto"/>
        <w:right w:val="none" w:sz="0" w:space="0" w:color="auto"/>
      </w:divBdr>
    </w:div>
    <w:div w:id="1786194787">
      <w:bodyDiv w:val="1"/>
      <w:marLeft w:val="0"/>
      <w:marRight w:val="0"/>
      <w:marTop w:val="0"/>
      <w:marBottom w:val="0"/>
      <w:divBdr>
        <w:top w:val="none" w:sz="0" w:space="0" w:color="auto"/>
        <w:left w:val="none" w:sz="0" w:space="0" w:color="auto"/>
        <w:bottom w:val="none" w:sz="0" w:space="0" w:color="auto"/>
        <w:right w:val="none" w:sz="0" w:space="0" w:color="auto"/>
      </w:divBdr>
    </w:div>
    <w:div w:id="1786195959">
      <w:bodyDiv w:val="1"/>
      <w:marLeft w:val="0"/>
      <w:marRight w:val="0"/>
      <w:marTop w:val="0"/>
      <w:marBottom w:val="0"/>
      <w:divBdr>
        <w:top w:val="none" w:sz="0" w:space="0" w:color="auto"/>
        <w:left w:val="none" w:sz="0" w:space="0" w:color="auto"/>
        <w:bottom w:val="none" w:sz="0" w:space="0" w:color="auto"/>
        <w:right w:val="none" w:sz="0" w:space="0" w:color="auto"/>
      </w:divBdr>
    </w:div>
    <w:div w:id="1786268298">
      <w:bodyDiv w:val="1"/>
      <w:marLeft w:val="0"/>
      <w:marRight w:val="0"/>
      <w:marTop w:val="0"/>
      <w:marBottom w:val="0"/>
      <w:divBdr>
        <w:top w:val="none" w:sz="0" w:space="0" w:color="auto"/>
        <w:left w:val="none" w:sz="0" w:space="0" w:color="auto"/>
        <w:bottom w:val="none" w:sz="0" w:space="0" w:color="auto"/>
        <w:right w:val="none" w:sz="0" w:space="0" w:color="auto"/>
      </w:divBdr>
    </w:div>
    <w:div w:id="1786460257">
      <w:bodyDiv w:val="1"/>
      <w:marLeft w:val="0"/>
      <w:marRight w:val="0"/>
      <w:marTop w:val="0"/>
      <w:marBottom w:val="0"/>
      <w:divBdr>
        <w:top w:val="none" w:sz="0" w:space="0" w:color="auto"/>
        <w:left w:val="none" w:sz="0" w:space="0" w:color="auto"/>
        <w:bottom w:val="none" w:sz="0" w:space="0" w:color="auto"/>
        <w:right w:val="none" w:sz="0" w:space="0" w:color="auto"/>
      </w:divBdr>
    </w:div>
    <w:div w:id="1786583666">
      <w:bodyDiv w:val="1"/>
      <w:marLeft w:val="0"/>
      <w:marRight w:val="0"/>
      <w:marTop w:val="0"/>
      <w:marBottom w:val="0"/>
      <w:divBdr>
        <w:top w:val="none" w:sz="0" w:space="0" w:color="auto"/>
        <w:left w:val="none" w:sz="0" w:space="0" w:color="auto"/>
        <w:bottom w:val="none" w:sz="0" w:space="0" w:color="auto"/>
        <w:right w:val="none" w:sz="0" w:space="0" w:color="auto"/>
      </w:divBdr>
    </w:div>
    <w:div w:id="1786995264">
      <w:bodyDiv w:val="1"/>
      <w:marLeft w:val="0"/>
      <w:marRight w:val="0"/>
      <w:marTop w:val="0"/>
      <w:marBottom w:val="0"/>
      <w:divBdr>
        <w:top w:val="none" w:sz="0" w:space="0" w:color="auto"/>
        <w:left w:val="none" w:sz="0" w:space="0" w:color="auto"/>
        <w:bottom w:val="none" w:sz="0" w:space="0" w:color="auto"/>
        <w:right w:val="none" w:sz="0" w:space="0" w:color="auto"/>
      </w:divBdr>
    </w:div>
    <w:div w:id="1786997183">
      <w:bodyDiv w:val="1"/>
      <w:marLeft w:val="0"/>
      <w:marRight w:val="0"/>
      <w:marTop w:val="0"/>
      <w:marBottom w:val="0"/>
      <w:divBdr>
        <w:top w:val="none" w:sz="0" w:space="0" w:color="auto"/>
        <w:left w:val="none" w:sz="0" w:space="0" w:color="auto"/>
        <w:bottom w:val="none" w:sz="0" w:space="0" w:color="auto"/>
        <w:right w:val="none" w:sz="0" w:space="0" w:color="auto"/>
      </w:divBdr>
    </w:div>
    <w:div w:id="1787113235">
      <w:bodyDiv w:val="1"/>
      <w:marLeft w:val="0"/>
      <w:marRight w:val="0"/>
      <w:marTop w:val="0"/>
      <w:marBottom w:val="0"/>
      <w:divBdr>
        <w:top w:val="none" w:sz="0" w:space="0" w:color="auto"/>
        <w:left w:val="none" w:sz="0" w:space="0" w:color="auto"/>
        <w:bottom w:val="none" w:sz="0" w:space="0" w:color="auto"/>
        <w:right w:val="none" w:sz="0" w:space="0" w:color="auto"/>
      </w:divBdr>
    </w:div>
    <w:div w:id="1787190291">
      <w:bodyDiv w:val="1"/>
      <w:marLeft w:val="0"/>
      <w:marRight w:val="0"/>
      <w:marTop w:val="0"/>
      <w:marBottom w:val="0"/>
      <w:divBdr>
        <w:top w:val="none" w:sz="0" w:space="0" w:color="auto"/>
        <w:left w:val="none" w:sz="0" w:space="0" w:color="auto"/>
        <w:bottom w:val="none" w:sz="0" w:space="0" w:color="auto"/>
        <w:right w:val="none" w:sz="0" w:space="0" w:color="auto"/>
      </w:divBdr>
    </w:div>
    <w:div w:id="1787233585">
      <w:bodyDiv w:val="1"/>
      <w:marLeft w:val="0"/>
      <w:marRight w:val="0"/>
      <w:marTop w:val="0"/>
      <w:marBottom w:val="0"/>
      <w:divBdr>
        <w:top w:val="none" w:sz="0" w:space="0" w:color="auto"/>
        <w:left w:val="none" w:sz="0" w:space="0" w:color="auto"/>
        <w:bottom w:val="none" w:sz="0" w:space="0" w:color="auto"/>
        <w:right w:val="none" w:sz="0" w:space="0" w:color="auto"/>
      </w:divBdr>
    </w:div>
    <w:div w:id="1787234733">
      <w:bodyDiv w:val="1"/>
      <w:marLeft w:val="0"/>
      <w:marRight w:val="0"/>
      <w:marTop w:val="0"/>
      <w:marBottom w:val="0"/>
      <w:divBdr>
        <w:top w:val="none" w:sz="0" w:space="0" w:color="auto"/>
        <w:left w:val="none" w:sz="0" w:space="0" w:color="auto"/>
        <w:bottom w:val="none" w:sz="0" w:space="0" w:color="auto"/>
        <w:right w:val="none" w:sz="0" w:space="0" w:color="auto"/>
      </w:divBdr>
    </w:div>
    <w:div w:id="1787311130">
      <w:bodyDiv w:val="1"/>
      <w:marLeft w:val="0"/>
      <w:marRight w:val="0"/>
      <w:marTop w:val="0"/>
      <w:marBottom w:val="0"/>
      <w:divBdr>
        <w:top w:val="none" w:sz="0" w:space="0" w:color="auto"/>
        <w:left w:val="none" w:sz="0" w:space="0" w:color="auto"/>
        <w:bottom w:val="none" w:sz="0" w:space="0" w:color="auto"/>
        <w:right w:val="none" w:sz="0" w:space="0" w:color="auto"/>
      </w:divBdr>
    </w:div>
    <w:div w:id="1787655512">
      <w:bodyDiv w:val="1"/>
      <w:marLeft w:val="0"/>
      <w:marRight w:val="0"/>
      <w:marTop w:val="0"/>
      <w:marBottom w:val="0"/>
      <w:divBdr>
        <w:top w:val="none" w:sz="0" w:space="0" w:color="auto"/>
        <w:left w:val="none" w:sz="0" w:space="0" w:color="auto"/>
        <w:bottom w:val="none" w:sz="0" w:space="0" w:color="auto"/>
        <w:right w:val="none" w:sz="0" w:space="0" w:color="auto"/>
      </w:divBdr>
    </w:div>
    <w:div w:id="1787695894">
      <w:bodyDiv w:val="1"/>
      <w:marLeft w:val="0"/>
      <w:marRight w:val="0"/>
      <w:marTop w:val="0"/>
      <w:marBottom w:val="0"/>
      <w:divBdr>
        <w:top w:val="none" w:sz="0" w:space="0" w:color="auto"/>
        <w:left w:val="none" w:sz="0" w:space="0" w:color="auto"/>
        <w:bottom w:val="none" w:sz="0" w:space="0" w:color="auto"/>
        <w:right w:val="none" w:sz="0" w:space="0" w:color="auto"/>
      </w:divBdr>
    </w:div>
    <w:div w:id="1787775504">
      <w:bodyDiv w:val="1"/>
      <w:marLeft w:val="0"/>
      <w:marRight w:val="0"/>
      <w:marTop w:val="0"/>
      <w:marBottom w:val="0"/>
      <w:divBdr>
        <w:top w:val="none" w:sz="0" w:space="0" w:color="auto"/>
        <w:left w:val="none" w:sz="0" w:space="0" w:color="auto"/>
        <w:bottom w:val="none" w:sz="0" w:space="0" w:color="auto"/>
        <w:right w:val="none" w:sz="0" w:space="0" w:color="auto"/>
      </w:divBdr>
    </w:div>
    <w:div w:id="1787776224">
      <w:bodyDiv w:val="1"/>
      <w:marLeft w:val="0"/>
      <w:marRight w:val="0"/>
      <w:marTop w:val="0"/>
      <w:marBottom w:val="0"/>
      <w:divBdr>
        <w:top w:val="none" w:sz="0" w:space="0" w:color="auto"/>
        <w:left w:val="none" w:sz="0" w:space="0" w:color="auto"/>
        <w:bottom w:val="none" w:sz="0" w:space="0" w:color="auto"/>
        <w:right w:val="none" w:sz="0" w:space="0" w:color="auto"/>
      </w:divBdr>
    </w:div>
    <w:div w:id="1787895227">
      <w:bodyDiv w:val="1"/>
      <w:marLeft w:val="0"/>
      <w:marRight w:val="0"/>
      <w:marTop w:val="0"/>
      <w:marBottom w:val="0"/>
      <w:divBdr>
        <w:top w:val="none" w:sz="0" w:space="0" w:color="auto"/>
        <w:left w:val="none" w:sz="0" w:space="0" w:color="auto"/>
        <w:bottom w:val="none" w:sz="0" w:space="0" w:color="auto"/>
        <w:right w:val="none" w:sz="0" w:space="0" w:color="auto"/>
      </w:divBdr>
    </w:div>
    <w:div w:id="1787919775">
      <w:bodyDiv w:val="1"/>
      <w:marLeft w:val="0"/>
      <w:marRight w:val="0"/>
      <w:marTop w:val="0"/>
      <w:marBottom w:val="0"/>
      <w:divBdr>
        <w:top w:val="none" w:sz="0" w:space="0" w:color="auto"/>
        <w:left w:val="none" w:sz="0" w:space="0" w:color="auto"/>
        <w:bottom w:val="none" w:sz="0" w:space="0" w:color="auto"/>
        <w:right w:val="none" w:sz="0" w:space="0" w:color="auto"/>
      </w:divBdr>
    </w:div>
    <w:div w:id="1787965563">
      <w:bodyDiv w:val="1"/>
      <w:marLeft w:val="0"/>
      <w:marRight w:val="0"/>
      <w:marTop w:val="0"/>
      <w:marBottom w:val="0"/>
      <w:divBdr>
        <w:top w:val="none" w:sz="0" w:space="0" w:color="auto"/>
        <w:left w:val="none" w:sz="0" w:space="0" w:color="auto"/>
        <w:bottom w:val="none" w:sz="0" w:space="0" w:color="auto"/>
        <w:right w:val="none" w:sz="0" w:space="0" w:color="auto"/>
      </w:divBdr>
    </w:div>
    <w:div w:id="1788045113">
      <w:bodyDiv w:val="1"/>
      <w:marLeft w:val="0"/>
      <w:marRight w:val="0"/>
      <w:marTop w:val="0"/>
      <w:marBottom w:val="0"/>
      <w:divBdr>
        <w:top w:val="none" w:sz="0" w:space="0" w:color="auto"/>
        <w:left w:val="none" w:sz="0" w:space="0" w:color="auto"/>
        <w:bottom w:val="none" w:sz="0" w:space="0" w:color="auto"/>
        <w:right w:val="none" w:sz="0" w:space="0" w:color="auto"/>
      </w:divBdr>
    </w:div>
    <w:div w:id="1788084242">
      <w:bodyDiv w:val="1"/>
      <w:marLeft w:val="0"/>
      <w:marRight w:val="0"/>
      <w:marTop w:val="0"/>
      <w:marBottom w:val="0"/>
      <w:divBdr>
        <w:top w:val="none" w:sz="0" w:space="0" w:color="auto"/>
        <w:left w:val="none" w:sz="0" w:space="0" w:color="auto"/>
        <w:bottom w:val="none" w:sz="0" w:space="0" w:color="auto"/>
        <w:right w:val="none" w:sz="0" w:space="0" w:color="auto"/>
      </w:divBdr>
    </w:div>
    <w:div w:id="1788088437">
      <w:bodyDiv w:val="1"/>
      <w:marLeft w:val="0"/>
      <w:marRight w:val="0"/>
      <w:marTop w:val="0"/>
      <w:marBottom w:val="0"/>
      <w:divBdr>
        <w:top w:val="none" w:sz="0" w:space="0" w:color="auto"/>
        <w:left w:val="none" w:sz="0" w:space="0" w:color="auto"/>
        <w:bottom w:val="none" w:sz="0" w:space="0" w:color="auto"/>
        <w:right w:val="none" w:sz="0" w:space="0" w:color="auto"/>
      </w:divBdr>
    </w:div>
    <w:div w:id="1788116870">
      <w:bodyDiv w:val="1"/>
      <w:marLeft w:val="0"/>
      <w:marRight w:val="0"/>
      <w:marTop w:val="0"/>
      <w:marBottom w:val="0"/>
      <w:divBdr>
        <w:top w:val="none" w:sz="0" w:space="0" w:color="auto"/>
        <w:left w:val="none" w:sz="0" w:space="0" w:color="auto"/>
        <w:bottom w:val="none" w:sz="0" w:space="0" w:color="auto"/>
        <w:right w:val="none" w:sz="0" w:space="0" w:color="auto"/>
      </w:divBdr>
    </w:div>
    <w:div w:id="1788238407">
      <w:bodyDiv w:val="1"/>
      <w:marLeft w:val="0"/>
      <w:marRight w:val="0"/>
      <w:marTop w:val="0"/>
      <w:marBottom w:val="0"/>
      <w:divBdr>
        <w:top w:val="none" w:sz="0" w:space="0" w:color="auto"/>
        <w:left w:val="none" w:sz="0" w:space="0" w:color="auto"/>
        <w:bottom w:val="none" w:sz="0" w:space="0" w:color="auto"/>
        <w:right w:val="none" w:sz="0" w:space="0" w:color="auto"/>
      </w:divBdr>
    </w:div>
    <w:div w:id="1788307221">
      <w:bodyDiv w:val="1"/>
      <w:marLeft w:val="0"/>
      <w:marRight w:val="0"/>
      <w:marTop w:val="0"/>
      <w:marBottom w:val="0"/>
      <w:divBdr>
        <w:top w:val="none" w:sz="0" w:space="0" w:color="auto"/>
        <w:left w:val="none" w:sz="0" w:space="0" w:color="auto"/>
        <w:bottom w:val="none" w:sz="0" w:space="0" w:color="auto"/>
        <w:right w:val="none" w:sz="0" w:space="0" w:color="auto"/>
      </w:divBdr>
    </w:div>
    <w:div w:id="1788424086">
      <w:bodyDiv w:val="1"/>
      <w:marLeft w:val="0"/>
      <w:marRight w:val="0"/>
      <w:marTop w:val="0"/>
      <w:marBottom w:val="0"/>
      <w:divBdr>
        <w:top w:val="none" w:sz="0" w:space="0" w:color="auto"/>
        <w:left w:val="none" w:sz="0" w:space="0" w:color="auto"/>
        <w:bottom w:val="none" w:sz="0" w:space="0" w:color="auto"/>
        <w:right w:val="none" w:sz="0" w:space="0" w:color="auto"/>
      </w:divBdr>
    </w:div>
    <w:div w:id="1788427422">
      <w:bodyDiv w:val="1"/>
      <w:marLeft w:val="0"/>
      <w:marRight w:val="0"/>
      <w:marTop w:val="0"/>
      <w:marBottom w:val="0"/>
      <w:divBdr>
        <w:top w:val="none" w:sz="0" w:space="0" w:color="auto"/>
        <w:left w:val="none" w:sz="0" w:space="0" w:color="auto"/>
        <w:bottom w:val="none" w:sz="0" w:space="0" w:color="auto"/>
        <w:right w:val="none" w:sz="0" w:space="0" w:color="auto"/>
      </w:divBdr>
    </w:div>
    <w:div w:id="1788574135">
      <w:bodyDiv w:val="1"/>
      <w:marLeft w:val="0"/>
      <w:marRight w:val="0"/>
      <w:marTop w:val="0"/>
      <w:marBottom w:val="0"/>
      <w:divBdr>
        <w:top w:val="none" w:sz="0" w:space="0" w:color="auto"/>
        <w:left w:val="none" w:sz="0" w:space="0" w:color="auto"/>
        <w:bottom w:val="none" w:sz="0" w:space="0" w:color="auto"/>
        <w:right w:val="none" w:sz="0" w:space="0" w:color="auto"/>
      </w:divBdr>
    </w:div>
    <w:div w:id="1788692009">
      <w:bodyDiv w:val="1"/>
      <w:marLeft w:val="0"/>
      <w:marRight w:val="0"/>
      <w:marTop w:val="0"/>
      <w:marBottom w:val="0"/>
      <w:divBdr>
        <w:top w:val="none" w:sz="0" w:space="0" w:color="auto"/>
        <w:left w:val="none" w:sz="0" w:space="0" w:color="auto"/>
        <w:bottom w:val="none" w:sz="0" w:space="0" w:color="auto"/>
        <w:right w:val="none" w:sz="0" w:space="0" w:color="auto"/>
      </w:divBdr>
    </w:div>
    <w:div w:id="1788692518">
      <w:bodyDiv w:val="1"/>
      <w:marLeft w:val="0"/>
      <w:marRight w:val="0"/>
      <w:marTop w:val="0"/>
      <w:marBottom w:val="0"/>
      <w:divBdr>
        <w:top w:val="none" w:sz="0" w:space="0" w:color="auto"/>
        <w:left w:val="none" w:sz="0" w:space="0" w:color="auto"/>
        <w:bottom w:val="none" w:sz="0" w:space="0" w:color="auto"/>
        <w:right w:val="none" w:sz="0" w:space="0" w:color="auto"/>
      </w:divBdr>
    </w:div>
    <w:div w:id="1788739689">
      <w:bodyDiv w:val="1"/>
      <w:marLeft w:val="0"/>
      <w:marRight w:val="0"/>
      <w:marTop w:val="0"/>
      <w:marBottom w:val="0"/>
      <w:divBdr>
        <w:top w:val="none" w:sz="0" w:space="0" w:color="auto"/>
        <w:left w:val="none" w:sz="0" w:space="0" w:color="auto"/>
        <w:bottom w:val="none" w:sz="0" w:space="0" w:color="auto"/>
        <w:right w:val="none" w:sz="0" w:space="0" w:color="auto"/>
      </w:divBdr>
    </w:div>
    <w:div w:id="1788890488">
      <w:bodyDiv w:val="1"/>
      <w:marLeft w:val="0"/>
      <w:marRight w:val="0"/>
      <w:marTop w:val="0"/>
      <w:marBottom w:val="0"/>
      <w:divBdr>
        <w:top w:val="none" w:sz="0" w:space="0" w:color="auto"/>
        <w:left w:val="none" w:sz="0" w:space="0" w:color="auto"/>
        <w:bottom w:val="none" w:sz="0" w:space="0" w:color="auto"/>
        <w:right w:val="none" w:sz="0" w:space="0" w:color="auto"/>
      </w:divBdr>
    </w:div>
    <w:div w:id="1788960793">
      <w:bodyDiv w:val="1"/>
      <w:marLeft w:val="0"/>
      <w:marRight w:val="0"/>
      <w:marTop w:val="0"/>
      <w:marBottom w:val="0"/>
      <w:divBdr>
        <w:top w:val="none" w:sz="0" w:space="0" w:color="auto"/>
        <w:left w:val="none" w:sz="0" w:space="0" w:color="auto"/>
        <w:bottom w:val="none" w:sz="0" w:space="0" w:color="auto"/>
        <w:right w:val="none" w:sz="0" w:space="0" w:color="auto"/>
      </w:divBdr>
    </w:div>
    <w:div w:id="1788964630">
      <w:bodyDiv w:val="1"/>
      <w:marLeft w:val="0"/>
      <w:marRight w:val="0"/>
      <w:marTop w:val="0"/>
      <w:marBottom w:val="0"/>
      <w:divBdr>
        <w:top w:val="none" w:sz="0" w:space="0" w:color="auto"/>
        <w:left w:val="none" w:sz="0" w:space="0" w:color="auto"/>
        <w:bottom w:val="none" w:sz="0" w:space="0" w:color="auto"/>
        <w:right w:val="none" w:sz="0" w:space="0" w:color="auto"/>
      </w:divBdr>
    </w:div>
    <w:div w:id="1789004253">
      <w:bodyDiv w:val="1"/>
      <w:marLeft w:val="0"/>
      <w:marRight w:val="0"/>
      <w:marTop w:val="0"/>
      <w:marBottom w:val="0"/>
      <w:divBdr>
        <w:top w:val="none" w:sz="0" w:space="0" w:color="auto"/>
        <w:left w:val="none" w:sz="0" w:space="0" w:color="auto"/>
        <w:bottom w:val="none" w:sz="0" w:space="0" w:color="auto"/>
        <w:right w:val="none" w:sz="0" w:space="0" w:color="auto"/>
      </w:divBdr>
    </w:div>
    <w:div w:id="1789085174">
      <w:bodyDiv w:val="1"/>
      <w:marLeft w:val="0"/>
      <w:marRight w:val="0"/>
      <w:marTop w:val="0"/>
      <w:marBottom w:val="0"/>
      <w:divBdr>
        <w:top w:val="none" w:sz="0" w:space="0" w:color="auto"/>
        <w:left w:val="none" w:sz="0" w:space="0" w:color="auto"/>
        <w:bottom w:val="none" w:sz="0" w:space="0" w:color="auto"/>
        <w:right w:val="none" w:sz="0" w:space="0" w:color="auto"/>
      </w:divBdr>
    </w:div>
    <w:div w:id="1789154016">
      <w:bodyDiv w:val="1"/>
      <w:marLeft w:val="0"/>
      <w:marRight w:val="0"/>
      <w:marTop w:val="0"/>
      <w:marBottom w:val="0"/>
      <w:divBdr>
        <w:top w:val="none" w:sz="0" w:space="0" w:color="auto"/>
        <w:left w:val="none" w:sz="0" w:space="0" w:color="auto"/>
        <w:bottom w:val="none" w:sz="0" w:space="0" w:color="auto"/>
        <w:right w:val="none" w:sz="0" w:space="0" w:color="auto"/>
      </w:divBdr>
    </w:div>
    <w:div w:id="1789160687">
      <w:bodyDiv w:val="1"/>
      <w:marLeft w:val="0"/>
      <w:marRight w:val="0"/>
      <w:marTop w:val="0"/>
      <w:marBottom w:val="0"/>
      <w:divBdr>
        <w:top w:val="none" w:sz="0" w:space="0" w:color="auto"/>
        <w:left w:val="none" w:sz="0" w:space="0" w:color="auto"/>
        <w:bottom w:val="none" w:sz="0" w:space="0" w:color="auto"/>
        <w:right w:val="none" w:sz="0" w:space="0" w:color="auto"/>
      </w:divBdr>
    </w:div>
    <w:div w:id="1789205762">
      <w:bodyDiv w:val="1"/>
      <w:marLeft w:val="0"/>
      <w:marRight w:val="0"/>
      <w:marTop w:val="0"/>
      <w:marBottom w:val="0"/>
      <w:divBdr>
        <w:top w:val="none" w:sz="0" w:space="0" w:color="auto"/>
        <w:left w:val="none" w:sz="0" w:space="0" w:color="auto"/>
        <w:bottom w:val="none" w:sz="0" w:space="0" w:color="auto"/>
        <w:right w:val="none" w:sz="0" w:space="0" w:color="auto"/>
      </w:divBdr>
    </w:div>
    <w:div w:id="1789273052">
      <w:bodyDiv w:val="1"/>
      <w:marLeft w:val="0"/>
      <w:marRight w:val="0"/>
      <w:marTop w:val="0"/>
      <w:marBottom w:val="0"/>
      <w:divBdr>
        <w:top w:val="none" w:sz="0" w:space="0" w:color="auto"/>
        <w:left w:val="none" w:sz="0" w:space="0" w:color="auto"/>
        <w:bottom w:val="none" w:sz="0" w:space="0" w:color="auto"/>
        <w:right w:val="none" w:sz="0" w:space="0" w:color="auto"/>
      </w:divBdr>
    </w:div>
    <w:div w:id="1789276927">
      <w:bodyDiv w:val="1"/>
      <w:marLeft w:val="0"/>
      <w:marRight w:val="0"/>
      <w:marTop w:val="0"/>
      <w:marBottom w:val="0"/>
      <w:divBdr>
        <w:top w:val="none" w:sz="0" w:space="0" w:color="auto"/>
        <w:left w:val="none" w:sz="0" w:space="0" w:color="auto"/>
        <w:bottom w:val="none" w:sz="0" w:space="0" w:color="auto"/>
        <w:right w:val="none" w:sz="0" w:space="0" w:color="auto"/>
      </w:divBdr>
    </w:div>
    <w:div w:id="1789469668">
      <w:bodyDiv w:val="1"/>
      <w:marLeft w:val="0"/>
      <w:marRight w:val="0"/>
      <w:marTop w:val="0"/>
      <w:marBottom w:val="0"/>
      <w:divBdr>
        <w:top w:val="none" w:sz="0" w:space="0" w:color="auto"/>
        <w:left w:val="none" w:sz="0" w:space="0" w:color="auto"/>
        <w:bottom w:val="none" w:sz="0" w:space="0" w:color="auto"/>
        <w:right w:val="none" w:sz="0" w:space="0" w:color="auto"/>
      </w:divBdr>
    </w:div>
    <w:div w:id="1789664258">
      <w:bodyDiv w:val="1"/>
      <w:marLeft w:val="0"/>
      <w:marRight w:val="0"/>
      <w:marTop w:val="0"/>
      <w:marBottom w:val="0"/>
      <w:divBdr>
        <w:top w:val="none" w:sz="0" w:space="0" w:color="auto"/>
        <w:left w:val="none" w:sz="0" w:space="0" w:color="auto"/>
        <w:bottom w:val="none" w:sz="0" w:space="0" w:color="auto"/>
        <w:right w:val="none" w:sz="0" w:space="0" w:color="auto"/>
      </w:divBdr>
    </w:div>
    <w:div w:id="1789737801">
      <w:bodyDiv w:val="1"/>
      <w:marLeft w:val="0"/>
      <w:marRight w:val="0"/>
      <w:marTop w:val="0"/>
      <w:marBottom w:val="0"/>
      <w:divBdr>
        <w:top w:val="none" w:sz="0" w:space="0" w:color="auto"/>
        <w:left w:val="none" w:sz="0" w:space="0" w:color="auto"/>
        <w:bottom w:val="none" w:sz="0" w:space="0" w:color="auto"/>
        <w:right w:val="none" w:sz="0" w:space="0" w:color="auto"/>
      </w:divBdr>
    </w:div>
    <w:div w:id="1789816875">
      <w:bodyDiv w:val="1"/>
      <w:marLeft w:val="0"/>
      <w:marRight w:val="0"/>
      <w:marTop w:val="0"/>
      <w:marBottom w:val="0"/>
      <w:divBdr>
        <w:top w:val="none" w:sz="0" w:space="0" w:color="auto"/>
        <w:left w:val="none" w:sz="0" w:space="0" w:color="auto"/>
        <w:bottom w:val="none" w:sz="0" w:space="0" w:color="auto"/>
        <w:right w:val="none" w:sz="0" w:space="0" w:color="auto"/>
      </w:divBdr>
    </w:div>
    <w:div w:id="1789816983">
      <w:bodyDiv w:val="1"/>
      <w:marLeft w:val="0"/>
      <w:marRight w:val="0"/>
      <w:marTop w:val="0"/>
      <w:marBottom w:val="0"/>
      <w:divBdr>
        <w:top w:val="none" w:sz="0" w:space="0" w:color="auto"/>
        <w:left w:val="none" w:sz="0" w:space="0" w:color="auto"/>
        <w:bottom w:val="none" w:sz="0" w:space="0" w:color="auto"/>
        <w:right w:val="none" w:sz="0" w:space="0" w:color="auto"/>
      </w:divBdr>
    </w:div>
    <w:div w:id="1789855485">
      <w:bodyDiv w:val="1"/>
      <w:marLeft w:val="0"/>
      <w:marRight w:val="0"/>
      <w:marTop w:val="0"/>
      <w:marBottom w:val="0"/>
      <w:divBdr>
        <w:top w:val="none" w:sz="0" w:space="0" w:color="auto"/>
        <w:left w:val="none" w:sz="0" w:space="0" w:color="auto"/>
        <w:bottom w:val="none" w:sz="0" w:space="0" w:color="auto"/>
        <w:right w:val="none" w:sz="0" w:space="0" w:color="auto"/>
      </w:divBdr>
    </w:div>
    <w:div w:id="1789856081">
      <w:bodyDiv w:val="1"/>
      <w:marLeft w:val="0"/>
      <w:marRight w:val="0"/>
      <w:marTop w:val="0"/>
      <w:marBottom w:val="0"/>
      <w:divBdr>
        <w:top w:val="none" w:sz="0" w:space="0" w:color="auto"/>
        <w:left w:val="none" w:sz="0" w:space="0" w:color="auto"/>
        <w:bottom w:val="none" w:sz="0" w:space="0" w:color="auto"/>
        <w:right w:val="none" w:sz="0" w:space="0" w:color="auto"/>
      </w:divBdr>
    </w:div>
    <w:div w:id="1789860647">
      <w:bodyDiv w:val="1"/>
      <w:marLeft w:val="0"/>
      <w:marRight w:val="0"/>
      <w:marTop w:val="0"/>
      <w:marBottom w:val="0"/>
      <w:divBdr>
        <w:top w:val="none" w:sz="0" w:space="0" w:color="auto"/>
        <w:left w:val="none" w:sz="0" w:space="0" w:color="auto"/>
        <w:bottom w:val="none" w:sz="0" w:space="0" w:color="auto"/>
        <w:right w:val="none" w:sz="0" w:space="0" w:color="auto"/>
      </w:divBdr>
    </w:div>
    <w:div w:id="1790005831">
      <w:bodyDiv w:val="1"/>
      <w:marLeft w:val="0"/>
      <w:marRight w:val="0"/>
      <w:marTop w:val="0"/>
      <w:marBottom w:val="0"/>
      <w:divBdr>
        <w:top w:val="none" w:sz="0" w:space="0" w:color="auto"/>
        <w:left w:val="none" w:sz="0" w:space="0" w:color="auto"/>
        <w:bottom w:val="none" w:sz="0" w:space="0" w:color="auto"/>
        <w:right w:val="none" w:sz="0" w:space="0" w:color="auto"/>
      </w:divBdr>
    </w:div>
    <w:div w:id="1790008288">
      <w:bodyDiv w:val="1"/>
      <w:marLeft w:val="0"/>
      <w:marRight w:val="0"/>
      <w:marTop w:val="0"/>
      <w:marBottom w:val="0"/>
      <w:divBdr>
        <w:top w:val="none" w:sz="0" w:space="0" w:color="auto"/>
        <w:left w:val="none" w:sz="0" w:space="0" w:color="auto"/>
        <w:bottom w:val="none" w:sz="0" w:space="0" w:color="auto"/>
        <w:right w:val="none" w:sz="0" w:space="0" w:color="auto"/>
      </w:divBdr>
    </w:div>
    <w:div w:id="1790200366">
      <w:bodyDiv w:val="1"/>
      <w:marLeft w:val="0"/>
      <w:marRight w:val="0"/>
      <w:marTop w:val="0"/>
      <w:marBottom w:val="0"/>
      <w:divBdr>
        <w:top w:val="none" w:sz="0" w:space="0" w:color="auto"/>
        <w:left w:val="none" w:sz="0" w:space="0" w:color="auto"/>
        <w:bottom w:val="none" w:sz="0" w:space="0" w:color="auto"/>
        <w:right w:val="none" w:sz="0" w:space="0" w:color="auto"/>
      </w:divBdr>
    </w:div>
    <w:div w:id="1790273331">
      <w:bodyDiv w:val="1"/>
      <w:marLeft w:val="0"/>
      <w:marRight w:val="0"/>
      <w:marTop w:val="0"/>
      <w:marBottom w:val="0"/>
      <w:divBdr>
        <w:top w:val="none" w:sz="0" w:space="0" w:color="auto"/>
        <w:left w:val="none" w:sz="0" w:space="0" w:color="auto"/>
        <w:bottom w:val="none" w:sz="0" w:space="0" w:color="auto"/>
        <w:right w:val="none" w:sz="0" w:space="0" w:color="auto"/>
      </w:divBdr>
    </w:div>
    <w:div w:id="1790276927">
      <w:bodyDiv w:val="1"/>
      <w:marLeft w:val="0"/>
      <w:marRight w:val="0"/>
      <w:marTop w:val="0"/>
      <w:marBottom w:val="0"/>
      <w:divBdr>
        <w:top w:val="none" w:sz="0" w:space="0" w:color="auto"/>
        <w:left w:val="none" w:sz="0" w:space="0" w:color="auto"/>
        <w:bottom w:val="none" w:sz="0" w:space="0" w:color="auto"/>
        <w:right w:val="none" w:sz="0" w:space="0" w:color="auto"/>
      </w:divBdr>
    </w:div>
    <w:div w:id="1790320724">
      <w:bodyDiv w:val="1"/>
      <w:marLeft w:val="0"/>
      <w:marRight w:val="0"/>
      <w:marTop w:val="0"/>
      <w:marBottom w:val="0"/>
      <w:divBdr>
        <w:top w:val="none" w:sz="0" w:space="0" w:color="auto"/>
        <w:left w:val="none" w:sz="0" w:space="0" w:color="auto"/>
        <w:bottom w:val="none" w:sz="0" w:space="0" w:color="auto"/>
        <w:right w:val="none" w:sz="0" w:space="0" w:color="auto"/>
      </w:divBdr>
    </w:div>
    <w:div w:id="1790586324">
      <w:bodyDiv w:val="1"/>
      <w:marLeft w:val="0"/>
      <w:marRight w:val="0"/>
      <w:marTop w:val="0"/>
      <w:marBottom w:val="0"/>
      <w:divBdr>
        <w:top w:val="none" w:sz="0" w:space="0" w:color="auto"/>
        <w:left w:val="none" w:sz="0" w:space="0" w:color="auto"/>
        <w:bottom w:val="none" w:sz="0" w:space="0" w:color="auto"/>
        <w:right w:val="none" w:sz="0" w:space="0" w:color="auto"/>
      </w:divBdr>
    </w:div>
    <w:div w:id="1790586529">
      <w:bodyDiv w:val="1"/>
      <w:marLeft w:val="0"/>
      <w:marRight w:val="0"/>
      <w:marTop w:val="0"/>
      <w:marBottom w:val="0"/>
      <w:divBdr>
        <w:top w:val="none" w:sz="0" w:space="0" w:color="auto"/>
        <w:left w:val="none" w:sz="0" w:space="0" w:color="auto"/>
        <w:bottom w:val="none" w:sz="0" w:space="0" w:color="auto"/>
        <w:right w:val="none" w:sz="0" w:space="0" w:color="auto"/>
      </w:divBdr>
    </w:div>
    <w:div w:id="1790778310">
      <w:bodyDiv w:val="1"/>
      <w:marLeft w:val="0"/>
      <w:marRight w:val="0"/>
      <w:marTop w:val="0"/>
      <w:marBottom w:val="0"/>
      <w:divBdr>
        <w:top w:val="none" w:sz="0" w:space="0" w:color="auto"/>
        <w:left w:val="none" w:sz="0" w:space="0" w:color="auto"/>
        <w:bottom w:val="none" w:sz="0" w:space="0" w:color="auto"/>
        <w:right w:val="none" w:sz="0" w:space="0" w:color="auto"/>
      </w:divBdr>
    </w:div>
    <w:div w:id="1790852883">
      <w:bodyDiv w:val="1"/>
      <w:marLeft w:val="0"/>
      <w:marRight w:val="0"/>
      <w:marTop w:val="0"/>
      <w:marBottom w:val="0"/>
      <w:divBdr>
        <w:top w:val="none" w:sz="0" w:space="0" w:color="auto"/>
        <w:left w:val="none" w:sz="0" w:space="0" w:color="auto"/>
        <w:bottom w:val="none" w:sz="0" w:space="0" w:color="auto"/>
        <w:right w:val="none" w:sz="0" w:space="0" w:color="auto"/>
      </w:divBdr>
    </w:div>
    <w:div w:id="1790855612">
      <w:bodyDiv w:val="1"/>
      <w:marLeft w:val="0"/>
      <w:marRight w:val="0"/>
      <w:marTop w:val="0"/>
      <w:marBottom w:val="0"/>
      <w:divBdr>
        <w:top w:val="none" w:sz="0" w:space="0" w:color="auto"/>
        <w:left w:val="none" w:sz="0" w:space="0" w:color="auto"/>
        <w:bottom w:val="none" w:sz="0" w:space="0" w:color="auto"/>
        <w:right w:val="none" w:sz="0" w:space="0" w:color="auto"/>
      </w:divBdr>
    </w:div>
    <w:div w:id="1790926071">
      <w:bodyDiv w:val="1"/>
      <w:marLeft w:val="0"/>
      <w:marRight w:val="0"/>
      <w:marTop w:val="0"/>
      <w:marBottom w:val="0"/>
      <w:divBdr>
        <w:top w:val="none" w:sz="0" w:space="0" w:color="auto"/>
        <w:left w:val="none" w:sz="0" w:space="0" w:color="auto"/>
        <w:bottom w:val="none" w:sz="0" w:space="0" w:color="auto"/>
        <w:right w:val="none" w:sz="0" w:space="0" w:color="auto"/>
      </w:divBdr>
    </w:div>
    <w:div w:id="1790930036">
      <w:bodyDiv w:val="1"/>
      <w:marLeft w:val="0"/>
      <w:marRight w:val="0"/>
      <w:marTop w:val="0"/>
      <w:marBottom w:val="0"/>
      <w:divBdr>
        <w:top w:val="none" w:sz="0" w:space="0" w:color="auto"/>
        <w:left w:val="none" w:sz="0" w:space="0" w:color="auto"/>
        <w:bottom w:val="none" w:sz="0" w:space="0" w:color="auto"/>
        <w:right w:val="none" w:sz="0" w:space="0" w:color="auto"/>
      </w:divBdr>
    </w:div>
    <w:div w:id="1790973862">
      <w:bodyDiv w:val="1"/>
      <w:marLeft w:val="0"/>
      <w:marRight w:val="0"/>
      <w:marTop w:val="0"/>
      <w:marBottom w:val="0"/>
      <w:divBdr>
        <w:top w:val="none" w:sz="0" w:space="0" w:color="auto"/>
        <w:left w:val="none" w:sz="0" w:space="0" w:color="auto"/>
        <w:bottom w:val="none" w:sz="0" w:space="0" w:color="auto"/>
        <w:right w:val="none" w:sz="0" w:space="0" w:color="auto"/>
      </w:divBdr>
    </w:div>
    <w:div w:id="1791044660">
      <w:bodyDiv w:val="1"/>
      <w:marLeft w:val="0"/>
      <w:marRight w:val="0"/>
      <w:marTop w:val="0"/>
      <w:marBottom w:val="0"/>
      <w:divBdr>
        <w:top w:val="none" w:sz="0" w:space="0" w:color="auto"/>
        <w:left w:val="none" w:sz="0" w:space="0" w:color="auto"/>
        <w:bottom w:val="none" w:sz="0" w:space="0" w:color="auto"/>
        <w:right w:val="none" w:sz="0" w:space="0" w:color="auto"/>
      </w:divBdr>
    </w:div>
    <w:div w:id="1791044952">
      <w:bodyDiv w:val="1"/>
      <w:marLeft w:val="0"/>
      <w:marRight w:val="0"/>
      <w:marTop w:val="0"/>
      <w:marBottom w:val="0"/>
      <w:divBdr>
        <w:top w:val="none" w:sz="0" w:space="0" w:color="auto"/>
        <w:left w:val="none" w:sz="0" w:space="0" w:color="auto"/>
        <w:bottom w:val="none" w:sz="0" w:space="0" w:color="auto"/>
        <w:right w:val="none" w:sz="0" w:space="0" w:color="auto"/>
      </w:divBdr>
    </w:div>
    <w:div w:id="1791168582">
      <w:bodyDiv w:val="1"/>
      <w:marLeft w:val="0"/>
      <w:marRight w:val="0"/>
      <w:marTop w:val="0"/>
      <w:marBottom w:val="0"/>
      <w:divBdr>
        <w:top w:val="none" w:sz="0" w:space="0" w:color="auto"/>
        <w:left w:val="none" w:sz="0" w:space="0" w:color="auto"/>
        <w:bottom w:val="none" w:sz="0" w:space="0" w:color="auto"/>
        <w:right w:val="none" w:sz="0" w:space="0" w:color="auto"/>
      </w:divBdr>
    </w:div>
    <w:div w:id="1791239861">
      <w:bodyDiv w:val="1"/>
      <w:marLeft w:val="0"/>
      <w:marRight w:val="0"/>
      <w:marTop w:val="0"/>
      <w:marBottom w:val="0"/>
      <w:divBdr>
        <w:top w:val="none" w:sz="0" w:space="0" w:color="auto"/>
        <w:left w:val="none" w:sz="0" w:space="0" w:color="auto"/>
        <w:bottom w:val="none" w:sz="0" w:space="0" w:color="auto"/>
        <w:right w:val="none" w:sz="0" w:space="0" w:color="auto"/>
      </w:divBdr>
    </w:div>
    <w:div w:id="1791318861">
      <w:bodyDiv w:val="1"/>
      <w:marLeft w:val="0"/>
      <w:marRight w:val="0"/>
      <w:marTop w:val="0"/>
      <w:marBottom w:val="0"/>
      <w:divBdr>
        <w:top w:val="none" w:sz="0" w:space="0" w:color="auto"/>
        <w:left w:val="none" w:sz="0" w:space="0" w:color="auto"/>
        <w:bottom w:val="none" w:sz="0" w:space="0" w:color="auto"/>
        <w:right w:val="none" w:sz="0" w:space="0" w:color="auto"/>
      </w:divBdr>
    </w:div>
    <w:div w:id="1791389900">
      <w:bodyDiv w:val="1"/>
      <w:marLeft w:val="0"/>
      <w:marRight w:val="0"/>
      <w:marTop w:val="0"/>
      <w:marBottom w:val="0"/>
      <w:divBdr>
        <w:top w:val="none" w:sz="0" w:space="0" w:color="auto"/>
        <w:left w:val="none" w:sz="0" w:space="0" w:color="auto"/>
        <w:bottom w:val="none" w:sz="0" w:space="0" w:color="auto"/>
        <w:right w:val="none" w:sz="0" w:space="0" w:color="auto"/>
      </w:divBdr>
    </w:div>
    <w:div w:id="1791432411">
      <w:bodyDiv w:val="1"/>
      <w:marLeft w:val="0"/>
      <w:marRight w:val="0"/>
      <w:marTop w:val="0"/>
      <w:marBottom w:val="0"/>
      <w:divBdr>
        <w:top w:val="none" w:sz="0" w:space="0" w:color="auto"/>
        <w:left w:val="none" w:sz="0" w:space="0" w:color="auto"/>
        <w:bottom w:val="none" w:sz="0" w:space="0" w:color="auto"/>
        <w:right w:val="none" w:sz="0" w:space="0" w:color="auto"/>
      </w:divBdr>
    </w:div>
    <w:div w:id="1791439509">
      <w:bodyDiv w:val="1"/>
      <w:marLeft w:val="0"/>
      <w:marRight w:val="0"/>
      <w:marTop w:val="0"/>
      <w:marBottom w:val="0"/>
      <w:divBdr>
        <w:top w:val="none" w:sz="0" w:space="0" w:color="auto"/>
        <w:left w:val="none" w:sz="0" w:space="0" w:color="auto"/>
        <w:bottom w:val="none" w:sz="0" w:space="0" w:color="auto"/>
        <w:right w:val="none" w:sz="0" w:space="0" w:color="auto"/>
      </w:divBdr>
    </w:div>
    <w:div w:id="1791583549">
      <w:bodyDiv w:val="1"/>
      <w:marLeft w:val="0"/>
      <w:marRight w:val="0"/>
      <w:marTop w:val="0"/>
      <w:marBottom w:val="0"/>
      <w:divBdr>
        <w:top w:val="none" w:sz="0" w:space="0" w:color="auto"/>
        <w:left w:val="none" w:sz="0" w:space="0" w:color="auto"/>
        <w:bottom w:val="none" w:sz="0" w:space="0" w:color="auto"/>
        <w:right w:val="none" w:sz="0" w:space="0" w:color="auto"/>
      </w:divBdr>
    </w:div>
    <w:div w:id="1791589571">
      <w:bodyDiv w:val="1"/>
      <w:marLeft w:val="0"/>
      <w:marRight w:val="0"/>
      <w:marTop w:val="0"/>
      <w:marBottom w:val="0"/>
      <w:divBdr>
        <w:top w:val="none" w:sz="0" w:space="0" w:color="auto"/>
        <w:left w:val="none" w:sz="0" w:space="0" w:color="auto"/>
        <w:bottom w:val="none" w:sz="0" w:space="0" w:color="auto"/>
        <w:right w:val="none" w:sz="0" w:space="0" w:color="auto"/>
      </w:divBdr>
    </w:div>
    <w:div w:id="1791628121">
      <w:bodyDiv w:val="1"/>
      <w:marLeft w:val="0"/>
      <w:marRight w:val="0"/>
      <w:marTop w:val="0"/>
      <w:marBottom w:val="0"/>
      <w:divBdr>
        <w:top w:val="none" w:sz="0" w:space="0" w:color="auto"/>
        <w:left w:val="none" w:sz="0" w:space="0" w:color="auto"/>
        <w:bottom w:val="none" w:sz="0" w:space="0" w:color="auto"/>
        <w:right w:val="none" w:sz="0" w:space="0" w:color="auto"/>
      </w:divBdr>
    </w:div>
    <w:div w:id="1791699332">
      <w:bodyDiv w:val="1"/>
      <w:marLeft w:val="0"/>
      <w:marRight w:val="0"/>
      <w:marTop w:val="0"/>
      <w:marBottom w:val="0"/>
      <w:divBdr>
        <w:top w:val="none" w:sz="0" w:space="0" w:color="auto"/>
        <w:left w:val="none" w:sz="0" w:space="0" w:color="auto"/>
        <w:bottom w:val="none" w:sz="0" w:space="0" w:color="auto"/>
        <w:right w:val="none" w:sz="0" w:space="0" w:color="auto"/>
      </w:divBdr>
    </w:div>
    <w:div w:id="1791779929">
      <w:bodyDiv w:val="1"/>
      <w:marLeft w:val="0"/>
      <w:marRight w:val="0"/>
      <w:marTop w:val="0"/>
      <w:marBottom w:val="0"/>
      <w:divBdr>
        <w:top w:val="none" w:sz="0" w:space="0" w:color="auto"/>
        <w:left w:val="none" w:sz="0" w:space="0" w:color="auto"/>
        <w:bottom w:val="none" w:sz="0" w:space="0" w:color="auto"/>
        <w:right w:val="none" w:sz="0" w:space="0" w:color="auto"/>
      </w:divBdr>
    </w:div>
    <w:div w:id="1791783722">
      <w:bodyDiv w:val="1"/>
      <w:marLeft w:val="0"/>
      <w:marRight w:val="0"/>
      <w:marTop w:val="0"/>
      <w:marBottom w:val="0"/>
      <w:divBdr>
        <w:top w:val="none" w:sz="0" w:space="0" w:color="auto"/>
        <w:left w:val="none" w:sz="0" w:space="0" w:color="auto"/>
        <w:bottom w:val="none" w:sz="0" w:space="0" w:color="auto"/>
        <w:right w:val="none" w:sz="0" w:space="0" w:color="auto"/>
      </w:divBdr>
    </w:div>
    <w:div w:id="1791825360">
      <w:bodyDiv w:val="1"/>
      <w:marLeft w:val="0"/>
      <w:marRight w:val="0"/>
      <w:marTop w:val="0"/>
      <w:marBottom w:val="0"/>
      <w:divBdr>
        <w:top w:val="none" w:sz="0" w:space="0" w:color="auto"/>
        <w:left w:val="none" w:sz="0" w:space="0" w:color="auto"/>
        <w:bottom w:val="none" w:sz="0" w:space="0" w:color="auto"/>
        <w:right w:val="none" w:sz="0" w:space="0" w:color="auto"/>
      </w:divBdr>
    </w:div>
    <w:div w:id="1791894538">
      <w:bodyDiv w:val="1"/>
      <w:marLeft w:val="0"/>
      <w:marRight w:val="0"/>
      <w:marTop w:val="0"/>
      <w:marBottom w:val="0"/>
      <w:divBdr>
        <w:top w:val="none" w:sz="0" w:space="0" w:color="auto"/>
        <w:left w:val="none" w:sz="0" w:space="0" w:color="auto"/>
        <w:bottom w:val="none" w:sz="0" w:space="0" w:color="auto"/>
        <w:right w:val="none" w:sz="0" w:space="0" w:color="auto"/>
      </w:divBdr>
    </w:div>
    <w:div w:id="1791898324">
      <w:bodyDiv w:val="1"/>
      <w:marLeft w:val="0"/>
      <w:marRight w:val="0"/>
      <w:marTop w:val="0"/>
      <w:marBottom w:val="0"/>
      <w:divBdr>
        <w:top w:val="none" w:sz="0" w:space="0" w:color="auto"/>
        <w:left w:val="none" w:sz="0" w:space="0" w:color="auto"/>
        <w:bottom w:val="none" w:sz="0" w:space="0" w:color="auto"/>
        <w:right w:val="none" w:sz="0" w:space="0" w:color="auto"/>
      </w:divBdr>
    </w:div>
    <w:div w:id="1791976238">
      <w:bodyDiv w:val="1"/>
      <w:marLeft w:val="0"/>
      <w:marRight w:val="0"/>
      <w:marTop w:val="0"/>
      <w:marBottom w:val="0"/>
      <w:divBdr>
        <w:top w:val="none" w:sz="0" w:space="0" w:color="auto"/>
        <w:left w:val="none" w:sz="0" w:space="0" w:color="auto"/>
        <w:bottom w:val="none" w:sz="0" w:space="0" w:color="auto"/>
        <w:right w:val="none" w:sz="0" w:space="0" w:color="auto"/>
      </w:divBdr>
    </w:div>
    <w:div w:id="1792044778">
      <w:bodyDiv w:val="1"/>
      <w:marLeft w:val="0"/>
      <w:marRight w:val="0"/>
      <w:marTop w:val="0"/>
      <w:marBottom w:val="0"/>
      <w:divBdr>
        <w:top w:val="none" w:sz="0" w:space="0" w:color="auto"/>
        <w:left w:val="none" w:sz="0" w:space="0" w:color="auto"/>
        <w:bottom w:val="none" w:sz="0" w:space="0" w:color="auto"/>
        <w:right w:val="none" w:sz="0" w:space="0" w:color="auto"/>
      </w:divBdr>
    </w:div>
    <w:div w:id="1792355427">
      <w:bodyDiv w:val="1"/>
      <w:marLeft w:val="0"/>
      <w:marRight w:val="0"/>
      <w:marTop w:val="0"/>
      <w:marBottom w:val="0"/>
      <w:divBdr>
        <w:top w:val="none" w:sz="0" w:space="0" w:color="auto"/>
        <w:left w:val="none" w:sz="0" w:space="0" w:color="auto"/>
        <w:bottom w:val="none" w:sz="0" w:space="0" w:color="auto"/>
        <w:right w:val="none" w:sz="0" w:space="0" w:color="auto"/>
      </w:divBdr>
    </w:div>
    <w:div w:id="1792360344">
      <w:bodyDiv w:val="1"/>
      <w:marLeft w:val="0"/>
      <w:marRight w:val="0"/>
      <w:marTop w:val="0"/>
      <w:marBottom w:val="0"/>
      <w:divBdr>
        <w:top w:val="none" w:sz="0" w:space="0" w:color="auto"/>
        <w:left w:val="none" w:sz="0" w:space="0" w:color="auto"/>
        <w:bottom w:val="none" w:sz="0" w:space="0" w:color="auto"/>
        <w:right w:val="none" w:sz="0" w:space="0" w:color="auto"/>
      </w:divBdr>
    </w:div>
    <w:div w:id="1792360827">
      <w:bodyDiv w:val="1"/>
      <w:marLeft w:val="0"/>
      <w:marRight w:val="0"/>
      <w:marTop w:val="0"/>
      <w:marBottom w:val="0"/>
      <w:divBdr>
        <w:top w:val="none" w:sz="0" w:space="0" w:color="auto"/>
        <w:left w:val="none" w:sz="0" w:space="0" w:color="auto"/>
        <w:bottom w:val="none" w:sz="0" w:space="0" w:color="auto"/>
        <w:right w:val="none" w:sz="0" w:space="0" w:color="auto"/>
      </w:divBdr>
    </w:div>
    <w:div w:id="1792438370">
      <w:bodyDiv w:val="1"/>
      <w:marLeft w:val="0"/>
      <w:marRight w:val="0"/>
      <w:marTop w:val="0"/>
      <w:marBottom w:val="0"/>
      <w:divBdr>
        <w:top w:val="none" w:sz="0" w:space="0" w:color="auto"/>
        <w:left w:val="none" w:sz="0" w:space="0" w:color="auto"/>
        <w:bottom w:val="none" w:sz="0" w:space="0" w:color="auto"/>
        <w:right w:val="none" w:sz="0" w:space="0" w:color="auto"/>
      </w:divBdr>
    </w:div>
    <w:div w:id="1792507409">
      <w:bodyDiv w:val="1"/>
      <w:marLeft w:val="0"/>
      <w:marRight w:val="0"/>
      <w:marTop w:val="0"/>
      <w:marBottom w:val="0"/>
      <w:divBdr>
        <w:top w:val="none" w:sz="0" w:space="0" w:color="auto"/>
        <w:left w:val="none" w:sz="0" w:space="0" w:color="auto"/>
        <w:bottom w:val="none" w:sz="0" w:space="0" w:color="auto"/>
        <w:right w:val="none" w:sz="0" w:space="0" w:color="auto"/>
      </w:divBdr>
    </w:div>
    <w:div w:id="1792549991">
      <w:bodyDiv w:val="1"/>
      <w:marLeft w:val="0"/>
      <w:marRight w:val="0"/>
      <w:marTop w:val="0"/>
      <w:marBottom w:val="0"/>
      <w:divBdr>
        <w:top w:val="none" w:sz="0" w:space="0" w:color="auto"/>
        <w:left w:val="none" w:sz="0" w:space="0" w:color="auto"/>
        <w:bottom w:val="none" w:sz="0" w:space="0" w:color="auto"/>
        <w:right w:val="none" w:sz="0" w:space="0" w:color="auto"/>
      </w:divBdr>
    </w:div>
    <w:div w:id="1792552485">
      <w:bodyDiv w:val="1"/>
      <w:marLeft w:val="0"/>
      <w:marRight w:val="0"/>
      <w:marTop w:val="0"/>
      <w:marBottom w:val="0"/>
      <w:divBdr>
        <w:top w:val="none" w:sz="0" w:space="0" w:color="auto"/>
        <w:left w:val="none" w:sz="0" w:space="0" w:color="auto"/>
        <w:bottom w:val="none" w:sz="0" w:space="0" w:color="auto"/>
        <w:right w:val="none" w:sz="0" w:space="0" w:color="auto"/>
      </w:divBdr>
    </w:div>
    <w:div w:id="1792556605">
      <w:bodyDiv w:val="1"/>
      <w:marLeft w:val="0"/>
      <w:marRight w:val="0"/>
      <w:marTop w:val="0"/>
      <w:marBottom w:val="0"/>
      <w:divBdr>
        <w:top w:val="none" w:sz="0" w:space="0" w:color="auto"/>
        <w:left w:val="none" w:sz="0" w:space="0" w:color="auto"/>
        <w:bottom w:val="none" w:sz="0" w:space="0" w:color="auto"/>
        <w:right w:val="none" w:sz="0" w:space="0" w:color="auto"/>
      </w:divBdr>
    </w:div>
    <w:div w:id="1792557428">
      <w:bodyDiv w:val="1"/>
      <w:marLeft w:val="0"/>
      <w:marRight w:val="0"/>
      <w:marTop w:val="0"/>
      <w:marBottom w:val="0"/>
      <w:divBdr>
        <w:top w:val="none" w:sz="0" w:space="0" w:color="auto"/>
        <w:left w:val="none" w:sz="0" w:space="0" w:color="auto"/>
        <w:bottom w:val="none" w:sz="0" w:space="0" w:color="auto"/>
        <w:right w:val="none" w:sz="0" w:space="0" w:color="auto"/>
      </w:divBdr>
    </w:div>
    <w:div w:id="1792741065">
      <w:bodyDiv w:val="1"/>
      <w:marLeft w:val="0"/>
      <w:marRight w:val="0"/>
      <w:marTop w:val="0"/>
      <w:marBottom w:val="0"/>
      <w:divBdr>
        <w:top w:val="none" w:sz="0" w:space="0" w:color="auto"/>
        <w:left w:val="none" w:sz="0" w:space="0" w:color="auto"/>
        <w:bottom w:val="none" w:sz="0" w:space="0" w:color="auto"/>
        <w:right w:val="none" w:sz="0" w:space="0" w:color="auto"/>
      </w:divBdr>
    </w:div>
    <w:div w:id="1792750732">
      <w:bodyDiv w:val="1"/>
      <w:marLeft w:val="0"/>
      <w:marRight w:val="0"/>
      <w:marTop w:val="0"/>
      <w:marBottom w:val="0"/>
      <w:divBdr>
        <w:top w:val="none" w:sz="0" w:space="0" w:color="auto"/>
        <w:left w:val="none" w:sz="0" w:space="0" w:color="auto"/>
        <w:bottom w:val="none" w:sz="0" w:space="0" w:color="auto"/>
        <w:right w:val="none" w:sz="0" w:space="0" w:color="auto"/>
      </w:divBdr>
    </w:div>
    <w:div w:id="1793010427">
      <w:bodyDiv w:val="1"/>
      <w:marLeft w:val="0"/>
      <w:marRight w:val="0"/>
      <w:marTop w:val="0"/>
      <w:marBottom w:val="0"/>
      <w:divBdr>
        <w:top w:val="none" w:sz="0" w:space="0" w:color="auto"/>
        <w:left w:val="none" w:sz="0" w:space="0" w:color="auto"/>
        <w:bottom w:val="none" w:sz="0" w:space="0" w:color="auto"/>
        <w:right w:val="none" w:sz="0" w:space="0" w:color="auto"/>
      </w:divBdr>
    </w:div>
    <w:div w:id="1793132588">
      <w:bodyDiv w:val="1"/>
      <w:marLeft w:val="0"/>
      <w:marRight w:val="0"/>
      <w:marTop w:val="0"/>
      <w:marBottom w:val="0"/>
      <w:divBdr>
        <w:top w:val="none" w:sz="0" w:space="0" w:color="auto"/>
        <w:left w:val="none" w:sz="0" w:space="0" w:color="auto"/>
        <w:bottom w:val="none" w:sz="0" w:space="0" w:color="auto"/>
        <w:right w:val="none" w:sz="0" w:space="0" w:color="auto"/>
      </w:divBdr>
    </w:div>
    <w:div w:id="1793286647">
      <w:bodyDiv w:val="1"/>
      <w:marLeft w:val="0"/>
      <w:marRight w:val="0"/>
      <w:marTop w:val="0"/>
      <w:marBottom w:val="0"/>
      <w:divBdr>
        <w:top w:val="none" w:sz="0" w:space="0" w:color="auto"/>
        <w:left w:val="none" w:sz="0" w:space="0" w:color="auto"/>
        <w:bottom w:val="none" w:sz="0" w:space="0" w:color="auto"/>
        <w:right w:val="none" w:sz="0" w:space="0" w:color="auto"/>
      </w:divBdr>
    </w:div>
    <w:div w:id="1793357090">
      <w:bodyDiv w:val="1"/>
      <w:marLeft w:val="0"/>
      <w:marRight w:val="0"/>
      <w:marTop w:val="0"/>
      <w:marBottom w:val="0"/>
      <w:divBdr>
        <w:top w:val="none" w:sz="0" w:space="0" w:color="auto"/>
        <w:left w:val="none" w:sz="0" w:space="0" w:color="auto"/>
        <w:bottom w:val="none" w:sz="0" w:space="0" w:color="auto"/>
        <w:right w:val="none" w:sz="0" w:space="0" w:color="auto"/>
      </w:divBdr>
    </w:div>
    <w:div w:id="1793358153">
      <w:bodyDiv w:val="1"/>
      <w:marLeft w:val="0"/>
      <w:marRight w:val="0"/>
      <w:marTop w:val="0"/>
      <w:marBottom w:val="0"/>
      <w:divBdr>
        <w:top w:val="none" w:sz="0" w:space="0" w:color="auto"/>
        <w:left w:val="none" w:sz="0" w:space="0" w:color="auto"/>
        <w:bottom w:val="none" w:sz="0" w:space="0" w:color="auto"/>
        <w:right w:val="none" w:sz="0" w:space="0" w:color="auto"/>
      </w:divBdr>
    </w:div>
    <w:div w:id="1793359157">
      <w:bodyDiv w:val="1"/>
      <w:marLeft w:val="0"/>
      <w:marRight w:val="0"/>
      <w:marTop w:val="0"/>
      <w:marBottom w:val="0"/>
      <w:divBdr>
        <w:top w:val="none" w:sz="0" w:space="0" w:color="auto"/>
        <w:left w:val="none" w:sz="0" w:space="0" w:color="auto"/>
        <w:bottom w:val="none" w:sz="0" w:space="0" w:color="auto"/>
        <w:right w:val="none" w:sz="0" w:space="0" w:color="auto"/>
      </w:divBdr>
    </w:div>
    <w:div w:id="1793480462">
      <w:bodyDiv w:val="1"/>
      <w:marLeft w:val="0"/>
      <w:marRight w:val="0"/>
      <w:marTop w:val="0"/>
      <w:marBottom w:val="0"/>
      <w:divBdr>
        <w:top w:val="none" w:sz="0" w:space="0" w:color="auto"/>
        <w:left w:val="none" w:sz="0" w:space="0" w:color="auto"/>
        <w:bottom w:val="none" w:sz="0" w:space="0" w:color="auto"/>
        <w:right w:val="none" w:sz="0" w:space="0" w:color="auto"/>
      </w:divBdr>
    </w:div>
    <w:div w:id="1793867008">
      <w:bodyDiv w:val="1"/>
      <w:marLeft w:val="0"/>
      <w:marRight w:val="0"/>
      <w:marTop w:val="0"/>
      <w:marBottom w:val="0"/>
      <w:divBdr>
        <w:top w:val="none" w:sz="0" w:space="0" w:color="auto"/>
        <w:left w:val="none" w:sz="0" w:space="0" w:color="auto"/>
        <w:bottom w:val="none" w:sz="0" w:space="0" w:color="auto"/>
        <w:right w:val="none" w:sz="0" w:space="0" w:color="auto"/>
      </w:divBdr>
    </w:div>
    <w:div w:id="1793942733">
      <w:bodyDiv w:val="1"/>
      <w:marLeft w:val="0"/>
      <w:marRight w:val="0"/>
      <w:marTop w:val="0"/>
      <w:marBottom w:val="0"/>
      <w:divBdr>
        <w:top w:val="none" w:sz="0" w:space="0" w:color="auto"/>
        <w:left w:val="none" w:sz="0" w:space="0" w:color="auto"/>
        <w:bottom w:val="none" w:sz="0" w:space="0" w:color="auto"/>
        <w:right w:val="none" w:sz="0" w:space="0" w:color="auto"/>
      </w:divBdr>
    </w:div>
    <w:div w:id="1794010786">
      <w:bodyDiv w:val="1"/>
      <w:marLeft w:val="0"/>
      <w:marRight w:val="0"/>
      <w:marTop w:val="0"/>
      <w:marBottom w:val="0"/>
      <w:divBdr>
        <w:top w:val="none" w:sz="0" w:space="0" w:color="auto"/>
        <w:left w:val="none" w:sz="0" w:space="0" w:color="auto"/>
        <w:bottom w:val="none" w:sz="0" w:space="0" w:color="auto"/>
        <w:right w:val="none" w:sz="0" w:space="0" w:color="auto"/>
      </w:divBdr>
    </w:div>
    <w:div w:id="1794012037">
      <w:bodyDiv w:val="1"/>
      <w:marLeft w:val="0"/>
      <w:marRight w:val="0"/>
      <w:marTop w:val="0"/>
      <w:marBottom w:val="0"/>
      <w:divBdr>
        <w:top w:val="none" w:sz="0" w:space="0" w:color="auto"/>
        <w:left w:val="none" w:sz="0" w:space="0" w:color="auto"/>
        <w:bottom w:val="none" w:sz="0" w:space="0" w:color="auto"/>
        <w:right w:val="none" w:sz="0" w:space="0" w:color="auto"/>
      </w:divBdr>
    </w:div>
    <w:div w:id="1794053964">
      <w:bodyDiv w:val="1"/>
      <w:marLeft w:val="0"/>
      <w:marRight w:val="0"/>
      <w:marTop w:val="0"/>
      <w:marBottom w:val="0"/>
      <w:divBdr>
        <w:top w:val="none" w:sz="0" w:space="0" w:color="auto"/>
        <w:left w:val="none" w:sz="0" w:space="0" w:color="auto"/>
        <w:bottom w:val="none" w:sz="0" w:space="0" w:color="auto"/>
        <w:right w:val="none" w:sz="0" w:space="0" w:color="auto"/>
      </w:divBdr>
    </w:div>
    <w:div w:id="1794058510">
      <w:bodyDiv w:val="1"/>
      <w:marLeft w:val="0"/>
      <w:marRight w:val="0"/>
      <w:marTop w:val="0"/>
      <w:marBottom w:val="0"/>
      <w:divBdr>
        <w:top w:val="none" w:sz="0" w:space="0" w:color="auto"/>
        <w:left w:val="none" w:sz="0" w:space="0" w:color="auto"/>
        <w:bottom w:val="none" w:sz="0" w:space="0" w:color="auto"/>
        <w:right w:val="none" w:sz="0" w:space="0" w:color="auto"/>
      </w:divBdr>
    </w:div>
    <w:div w:id="1794204551">
      <w:bodyDiv w:val="1"/>
      <w:marLeft w:val="0"/>
      <w:marRight w:val="0"/>
      <w:marTop w:val="0"/>
      <w:marBottom w:val="0"/>
      <w:divBdr>
        <w:top w:val="none" w:sz="0" w:space="0" w:color="auto"/>
        <w:left w:val="none" w:sz="0" w:space="0" w:color="auto"/>
        <w:bottom w:val="none" w:sz="0" w:space="0" w:color="auto"/>
        <w:right w:val="none" w:sz="0" w:space="0" w:color="auto"/>
      </w:divBdr>
    </w:div>
    <w:div w:id="1794247465">
      <w:bodyDiv w:val="1"/>
      <w:marLeft w:val="0"/>
      <w:marRight w:val="0"/>
      <w:marTop w:val="0"/>
      <w:marBottom w:val="0"/>
      <w:divBdr>
        <w:top w:val="none" w:sz="0" w:space="0" w:color="auto"/>
        <w:left w:val="none" w:sz="0" w:space="0" w:color="auto"/>
        <w:bottom w:val="none" w:sz="0" w:space="0" w:color="auto"/>
        <w:right w:val="none" w:sz="0" w:space="0" w:color="auto"/>
      </w:divBdr>
    </w:div>
    <w:div w:id="1794251020">
      <w:bodyDiv w:val="1"/>
      <w:marLeft w:val="0"/>
      <w:marRight w:val="0"/>
      <w:marTop w:val="0"/>
      <w:marBottom w:val="0"/>
      <w:divBdr>
        <w:top w:val="none" w:sz="0" w:space="0" w:color="auto"/>
        <w:left w:val="none" w:sz="0" w:space="0" w:color="auto"/>
        <w:bottom w:val="none" w:sz="0" w:space="0" w:color="auto"/>
        <w:right w:val="none" w:sz="0" w:space="0" w:color="auto"/>
      </w:divBdr>
    </w:div>
    <w:div w:id="1794398009">
      <w:bodyDiv w:val="1"/>
      <w:marLeft w:val="0"/>
      <w:marRight w:val="0"/>
      <w:marTop w:val="0"/>
      <w:marBottom w:val="0"/>
      <w:divBdr>
        <w:top w:val="none" w:sz="0" w:space="0" w:color="auto"/>
        <w:left w:val="none" w:sz="0" w:space="0" w:color="auto"/>
        <w:bottom w:val="none" w:sz="0" w:space="0" w:color="auto"/>
        <w:right w:val="none" w:sz="0" w:space="0" w:color="auto"/>
      </w:divBdr>
    </w:div>
    <w:div w:id="1794402256">
      <w:bodyDiv w:val="1"/>
      <w:marLeft w:val="0"/>
      <w:marRight w:val="0"/>
      <w:marTop w:val="0"/>
      <w:marBottom w:val="0"/>
      <w:divBdr>
        <w:top w:val="none" w:sz="0" w:space="0" w:color="auto"/>
        <w:left w:val="none" w:sz="0" w:space="0" w:color="auto"/>
        <w:bottom w:val="none" w:sz="0" w:space="0" w:color="auto"/>
        <w:right w:val="none" w:sz="0" w:space="0" w:color="auto"/>
      </w:divBdr>
    </w:div>
    <w:div w:id="1794403819">
      <w:bodyDiv w:val="1"/>
      <w:marLeft w:val="0"/>
      <w:marRight w:val="0"/>
      <w:marTop w:val="0"/>
      <w:marBottom w:val="0"/>
      <w:divBdr>
        <w:top w:val="none" w:sz="0" w:space="0" w:color="auto"/>
        <w:left w:val="none" w:sz="0" w:space="0" w:color="auto"/>
        <w:bottom w:val="none" w:sz="0" w:space="0" w:color="auto"/>
        <w:right w:val="none" w:sz="0" w:space="0" w:color="auto"/>
      </w:divBdr>
    </w:div>
    <w:div w:id="1794443921">
      <w:bodyDiv w:val="1"/>
      <w:marLeft w:val="0"/>
      <w:marRight w:val="0"/>
      <w:marTop w:val="0"/>
      <w:marBottom w:val="0"/>
      <w:divBdr>
        <w:top w:val="none" w:sz="0" w:space="0" w:color="auto"/>
        <w:left w:val="none" w:sz="0" w:space="0" w:color="auto"/>
        <w:bottom w:val="none" w:sz="0" w:space="0" w:color="auto"/>
        <w:right w:val="none" w:sz="0" w:space="0" w:color="auto"/>
      </w:divBdr>
    </w:div>
    <w:div w:id="1794471620">
      <w:bodyDiv w:val="1"/>
      <w:marLeft w:val="0"/>
      <w:marRight w:val="0"/>
      <w:marTop w:val="0"/>
      <w:marBottom w:val="0"/>
      <w:divBdr>
        <w:top w:val="none" w:sz="0" w:space="0" w:color="auto"/>
        <w:left w:val="none" w:sz="0" w:space="0" w:color="auto"/>
        <w:bottom w:val="none" w:sz="0" w:space="0" w:color="auto"/>
        <w:right w:val="none" w:sz="0" w:space="0" w:color="auto"/>
      </w:divBdr>
    </w:div>
    <w:div w:id="1794515211">
      <w:bodyDiv w:val="1"/>
      <w:marLeft w:val="0"/>
      <w:marRight w:val="0"/>
      <w:marTop w:val="0"/>
      <w:marBottom w:val="0"/>
      <w:divBdr>
        <w:top w:val="none" w:sz="0" w:space="0" w:color="auto"/>
        <w:left w:val="none" w:sz="0" w:space="0" w:color="auto"/>
        <w:bottom w:val="none" w:sz="0" w:space="0" w:color="auto"/>
        <w:right w:val="none" w:sz="0" w:space="0" w:color="auto"/>
      </w:divBdr>
    </w:div>
    <w:div w:id="1794518067">
      <w:bodyDiv w:val="1"/>
      <w:marLeft w:val="0"/>
      <w:marRight w:val="0"/>
      <w:marTop w:val="0"/>
      <w:marBottom w:val="0"/>
      <w:divBdr>
        <w:top w:val="none" w:sz="0" w:space="0" w:color="auto"/>
        <w:left w:val="none" w:sz="0" w:space="0" w:color="auto"/>
        <w:bottom w:val="none" w:sz="0" w:space="0" w:color="auto"/>
        <w:right w:val="none" w:sz="0" w:space="0" w:color="auto"/>
      </w:divBdr>
    </w:div>
    <w:div w:id="1794590516">
      <w:bodyDiv w:val="1"/>
      <w:marLeft w:val="0"/>
      <w:marRight w:val="0"/>
      <w:marTop w:val="0"/>
      <w:marBottom w:val="0"/>
      <w:divBdr>
        <w:top w:val="none" w:sz="0" w:space="0" w:color="auto"/>
        <w:left w:val="none" w:sz="0" w:space="0" w:color="auto"/>
        <w:bottom w:val="none" w:sz="0" w:space="0" w:color="auto"/>
        <w:right w:val="none" w:sz="0" w:space="0" w:color="auto"/>
      </w:divBdr>
    </w:div>
    <w:div w:id="1794591617">
      <w:bodyDiv w:val="1"/>
      <w:marLeft w:val="0"/>
      <w:marRight w:val="0"/>
      <w:marTop w:val="0"/>
      <w:marBottom w:val="0"/>
      <w:divBdr>
        <w:top w:val="none" w:sz="0" w:space="0" w:color="auto"/>
        <w:left w:val="none" w:sz="0" w:space="0" w:color="auto"/>
        <w:bottom w:val="none" w:sz="0" w:space="0" w:color="auto"/>
        <w:right w:val="none" w:sz="0" w:space="0" w:color="auto"/>
      </w:divBdr>
    </w:div>
    <w:div w:id="1794640184">
      <w:bodyDiv w:val="1"/>
      <w:marLeft w:val="0"/>
      <w:marRight w:val="0"/>
      <w:marTop w:val="0"/>
      <w:marBottom w:val="0"/>
      <w:divBdr>
        <w:top w:val="none" w:sz="0" w:space="0" w:color="auto"/>
        <w:left w:val="none" w:sz="0" w:space="0" w:color="auto"/>
        <w:bottom w:val="none" w:sz="0" w:space="0" w:color="auto"/>
        <w:right w:val="none" w:sz="0" w:space="0" w:color="auto"/>
      </w:divBdr>
    </w:div>
    <w:div w:id="1794980351">
      <w:bodyDiv w:val="1"/>
      <w:marLeft w:val="0"/>
      <w:marRight w:val="0"/>
      <w:marTop w:val="0"/>
      <w:marBottom w:val="0"/>
      <w:divBdr>
        <w:top w:val="none" w:sz="0" w:space="0" w:color="auto"/>
        <w:left w:val="none" w:sz="0" w:space="0" w:color="auto"/>
        <w:bottom w:val="none" w:sz="0" w:space="0" w:color="auto"/>
        <w:right w:val="none" w:sz="0" w:space="0" w:color="auto"/>
      </w:divBdr>
    </w:div>
    <w:div w:id="1794982590">
      <w:bodyDiv w:val="1"/>
      <w:marLeft w:val="0"/>
      <w:marRight w:val="0"/>
      <w:marTop w:val="0"/>
      <w:marBottom w:val="0"/>
      <w:divBdr>
        <w:top w:val="none" w:sz="0" w:space="0" w:color="auto"/>
        <w:left w:val="none" w:sz="0" w:space="0" w:color="auto"/>
        <w:bottom w:val="none" w:sz="0" w:space="0" w:color="auto"/>
        <w:right w:val="none" w:sz="0" w:space="0" w:color="auto"/>
      </w:divBdr>
    </w:div>
    <w:div w:id="1794983446">
      <w:bodyDiv w:val="1"/>
      <w:marLeft w:val="0"/>
      <w:marRight w:val="0"/>
      <w:marTop w:val="0"/>
      <w:marBottom w:val="0"/>
      <w:divBdr>
        <w:top w:val="none" w:sz="0" w:space="0" w:color="auto"/>
        <w:left w:val="none" w:sz="0" w:space="0" w:color="auto"/>
        <w:bottom w:val="none" w:sz="0" w:space="0" w:color="auto"/>
        <w:right w:val="none" w:sz="0" w:space="0" w:color="auto"/>
      </w:divBdr>
    </w:div>
    <w:div w:id="1795055446">
      <w:bodyDiv w:val="1"/>
      <w:marLeft w:val="0"/>
      <w:marRight w:val="0"/>
      <w:marTop w:val="0"/>
      <w:marBottom w:val="0"/>
      <w:divBdr>
        <w:top w:val="none" w:sz="0" w:space="0" w:color="auto"/>
        <w:left w:val="none" w:sz="0" w:space="0" w:color="auto"/>
        <w:bottom w:val="none" w:sz="0" w:space="0" w:color="auto"/>
        <w:right w:val="none" w:sz="0" w:space="0" w:color="auto"/>
      </w:divBdr>
    </w:div>
    <w:div w:id="1795060383">
      <w:bodyDiv w:val="1"/>
      <w:marLeft w:val="0"/>
      <w:marRight w:val="0"/>
      <w:marTop w:val="0"/>
      <w:marBottom w:val="0"/>
      <w:divBdr>
        <w:top w:val="none" w:sz="0" w:space="0" w:color="auto"/>
        <w:left w:val="none" w:sz="0" w:space="0" w:color="auto"/>
        <w:bottom w:val="none" w:sz="0" w:space="0" w:color="auto"/>
        <w:right w:val="none" w:sz="0" w:space="0" w:color="auto"/>
      </w:divBdr>
    </w:div>
    <w:div w:id="1795248744">
      <w:bodyDiv w:val="1"/>
      <w:marLeft w:val="0"/>
      <w:marRight w:val="0"/>
      <w:marTop w:val="0"/>
      <w:marBottom w:val="0"/>
      <w:divBdr>
        <w:top w:val="none" w:sz="0" w:space="0" w:color="auto"/>
        <w:left w:val="none" w:sz="0" w:space="0" w:color="auto"/>
        <w:bottom w:val="none" w:sz="0" w:space="0" w:color="auto"/>
        <w:right w:val="none" w:sz="0" w:space="0" w:color="auto"/>
      </w:divBdr>
    </w:div>
    <w:div w:id="1795370989">
      <w:bodyDiv w:val="1"/>
      <w:marLeft w:val="0"/>
      <w:marRight w:val="0"/>
      <w:marTop w:val="0"/>
      <w:marBottom w:val="0"/>
      <w:divBdr>
        <w:top w:val="none" w:sz="0" w:space="0" w:color="auto"/>
        <w:left w:val="none" w:sz="0" w:space="0" w:color="auto"/>
        <w:bottom w:val="none" w:sz="0" w:space="0" w:color="auto"/>
        <w:right w:val="none" w:sz="0" w:space="0" w:color="auto"/>
      </w:divBdr>
    </w:div>
    <w:div w:id="1795439986">
      <w:bodyDiv w:val="1"/>
      <w:marLeft w:val="0"/>
      <w:marRight w:val="0"/>
      <w:marTop w:val="0"/>
      <w:marBottom w:val="0"/>
      <w:divBdr>
        <w:top w:val="none" w:sz="0" w:space="0" w:color="auto"/>
        <w:left w:val="none" w:sz="0" w:space="0" w:color="auto"/>
        <w:bottom w:val="none" w:sz="0" w:space="0" w:color="auto"/>
        <w:right w:val="none" w:sz="0" w:space="0" w:color="auto"/>
      </w:divBdr>
    </w:div>
    <w:div w:id="1795513235">
      <w:bodyDiv w:val="1"/>
      <w:marLeft w:val="0"/>
      <w:marRight w:val="0"/>
      <w:marTop w:val="0"/>
      <w:marBottom w:val="0"/>
      <w:divBdr>
        <w:top w:val="none" w:sz="0" w:space="0" w:color="auto"/>
        <w:left w:val="none" w:sz="0" w:space="0" w:color="auto"/>
        <w:bottom w:val="none" w:sz="0" w:space="0" w:color="auto"/>
        <w:right w:val="none" w:sz="0" w:space="0" w:color="auto"/>
      </w:divBdr>
    </w:div>
    <w:div w:id="1795513780">
      <w:bodyDiv w:val="1"/>
      <w:marLeft w:val="0"/>
      <w:marRight w:val="0"/>
      <w:marTop w:val="0"/>
      <w:marBottom w:val="0"/>
      <w:divBdr>
        <w:top w:val="none" w:sz="0" w:space="0" w:color="auto"/>
        <w:left w:val="none" w:sz="0" w:space="0" w:color="auto"/>
        <w:bottom w:val="none" w:sz="0" w:space="0" w:color="auto"/>
        <w:right w:val="none" w:sz="0" w:space="0" w:color="auto"/>
      </w:divBdr>
    </w:div>
    <w:div w:id="1795555458">
      <w:bodyDiv w:val="1"/>
      <w:marLeft w:val="0"/>
      <w:marRight w:val="0"/>
      <w:marTop w:val="0"/>
      <w:marBottom w:val="0"/>
      <w:divBdr>
        <w:top w:val="none" w:sz="0" w:space="0" w:color="auto"/>
        <w:left w:val="none" w:sz="0" w:space="0" w:color="auto"/>
        <w:bottom w:val="none" w:sz="0" w:space="0" w:color="auto"/>
        <w:right w:val="none" w:sz="0" w:space="0" w:color="auto"/>
      </w:divBdr>
    </w:div>
    <w:div w:id="1795557159">
      <w:bodyDiv w:val="1"/>
      <w:marLeft w:val="0"/>
      <w:marRight w:val="0"/>
      <w:marTop w:val="0"/>
      <w:marBottom w:val="0"/>
      <w:divBdr>
        <w:top w:val="none" w:sz="0" w:space="0" w:color="auto"/>
        <w:left w:val="none" w:sz="0" w:space="0" w:color="auto"/>
        <w:bottom w:val="none" w:sz="0" w:space="0" w:color="auto"/>
        <w:right w:val="none" w:sz="0" w:space="0" w:color="auto"/>
      </w:divBdr>
    </w:div>
    <w:div w:id="1795560865">
      <w:bodyDiv w:val="1"/>
      <w:marLeft w:val="0"/>
      <w:marRight w:val="0"/>
      <w:marTop w:val="0"/>
      <w:marBottom w:val="0"/>
      <w:divBdr>
        <w:top w:val="none" w:sz="0" w:space="0" w:color="auto"/>
        <w:left w:val="none" w:sz="0" w:space="0" w:color="auto"/>
        <w:bottom w:val="none" w:sz="0" w:space="0" w:color="auto"/>
        <w:right w:val="none" w:sz="0" w:space="0" w:color="auto"/>
      </w:divBdr>
    </w:div>
    <w:div w:id="1795639540">
      <w:bodyDiv w:val="1"/>
      <w:marLeft w:val="0"/>
      <w:marRight w:val="0"/>
      <w:marTop w:val="0"/>
      <w:marBottom w:val="0"/>
      <w:divBdr>
        <w:top w:val="none" w:sz="0" w:space="0" w:color="auto"/>
        <w:left w:val="none" w:sz="0" w:space="0" w:color="auto"/>
        <w:bottom w:val="none" w:sz="0" w:space="0" w:color="auto"/>
        <w:right w:val="none" w:sz="0" w:space="0" w:color="auto"/>
      </w:divBdr>
    </w:div>
    <w:div w:id="1795712144">
      <w:bodyDiv w:val="1"/>
      <w:marLeft w:val="0"/>
      <w:marRight w:val="0"/>
      <w:marTop w:val="0"/>
      <w:marBottom w:val="0"/>
      <w:divBdr>
        <w:top w:val="none" w:sz="0" w:space="0" w:color="auto"/>
        <w:left w:val="none" w:sz="0" w:space="0" w:color="auto"/>
        <w:bottom w:val="none" w:sz="0" w:space="0" w:color="auto"/>
        <w:right w:val="none" w:sz="0" w:space="0" w:color="auto"/>
      </w:divBdr>
    </w:div>
    <w:div w:id="1795828640">
      <w:bodyDiv w:val="1"/>
      <w:marLeft w:val="0"/>
      <w:marRight w:val="0"/>
      <w:marTop w:val="0"/>
      <w:marBottom w:val="0"/>
      <w:divBdr>
        <w:top w:val="none" w:sz="0" w:space="0" w:color="auto"/>
        <w:left w:val="none" w:sz="0" w:space="0" w:color="auto"/>
        <w:bottom w:val="none" w:sz="0" w:space="0" w:color="auto"/>
        <w:right w:val="none" w:sz="0" w:space="0" w:color="auto"/>
      </w:divBdr>
    </w:div>
    <w:div w:id="1795831571">
      <w:bodyDiv w:val="1"/>
      <w:marLeft w:val="0"/>
      <w:marRight w:val="0"/>
      <w:marTop w:val="0"/>
      <w:marBottom w:val="0"/>
      <w:divBdr>
        <w:top w:val="none" w:sz="0" w:space="0" w:color="auto"/>
        <w:left w:val="none" w:sz="0" w:space="0" w:color="auto"/>
        <w:bottom w:val="none" w:sz="0" w:space="0" w:color="auto"/>
        <w:right w:val="none" w:sz="0" w:space="0" w:color="auto"/>
      </w:divBdr>
    </w:div>
    <w:div w:id="1795900057">
      <w:bodyDiv w:val="1"/>
      <w:marLeft w:val="0"/>
      <w:marRight w:val="0"/>
      <w:marTop w:val="0"/>
      <w:marBottom w:val="0"/>
      <w:divBdr>
        <w:top w:val="none" w:sz="0" w:space="0" w:color="auto"/>
        <w:left w:val="none" w:sz="0" w:space="0" w:color="auto"/>
        <w:bottom w:val="none" w:sz="0" w:space="0" w:color="auto"/>
        <w:right w:val="none" w:sz="0" w:space="0" w:color="auto"/>
      </w:divBdr>
    </w:div>
    <w:div w:id="1795975059">
      <w:bodyDiv w:val="1"/>
      <w:marLeft w:val="0"/>
      <w:marRight w:val="0"/>
      <w:marTop w:val="0"/>
      <w:marBottom w:val="0"/>
      <w:divBdr>
        <w:top w:val="none" w:sz="0" w:space="0" w:color="auto"/>
        <w:left w:val="none" w:sz="0" w:space="0" w:color="auto"/>
        <w:bottom w:val="none" w:sz="0" w:space="0" w:color="auto"/>
        <w:right w:val="none" w:sz="0" w:space="0" w:color="auto"/>
      </w:divBdr>
    </w:div>
    <w:div w:id="1795975832">
      <w:bodyDiv w:val="1"/>
      <w:marLeft w:val="0"/>
      <w:marRight w:val="0"/>
      <w:marTop w:val="0"/>
      <w:marBottom w:val="0"/>
      <w:divBdr>
        <w:top w:val="none" w:sz="0" w:space="0" w:color="auto"/>
        <w:left w:val="none" w:sz="0" w:space="0" w:color="auto"/>
        <w:bottom w:val="none" w:sz="0" w:space="0" w:color="auto"/>
        <w:right w:val="none" w:sz="0" w:space="0" w:color="auto"/>
      </w:divBdr>
    </w:div>
    <w:div w:id="1795975992">
      <w:bodyDiv w:val="1"/>
      <w:marLeft w:val="0"/>
      <w:marRight w:val="0"/>
      <w:marTop w:val="0"/>
      <w:marBottom w:val="0"/>
      <w:divBdr>
        <w:top w:val="none" w:sz="0" w:space="0" w:color="auto"/>
        <w:left w:val="none" w:sz="0" w:space="0" w:color="auto"/>
        <w:bottom w:val="none" w:sz="0" w:space="0" w:color="auto"/>
        <w:right w:val="none" w:sz="0" w:space="0" w:color="auto"/>
      </w:divBdr>
    </w:div>
    <w:div w:id="1796169155">
      <w:bodyDiv w:val="1"/>
      <w:marLeft w:val="0"/>
      <w:marRight w:val="0"/>
      <w:marTop w:val="0"/>
      <w:marBottom w:val="0"/>
      <w:divBdr>
        <w:top w:val="none" w:sz="0" w:space="0" w:color="auto"/>
        <w:left w:val="none" w:sz="0" w:space="0" w:color="auto"/>
        <w:bottom w:val="none" w:sz="0" w:space="0" w:color="auto"/>
        <w:right w:val="none" w:sz="0" w:space="0" w:color="auto"/>
      </w:divBdr>
    </w:div>
    <w:div w:id="1796177218">
      <w:bodyDiv w:val="1"/>
      <w:marLeft w:val="0"/>
      <w:marRight w:val="0"/>
      <w:marTop w:val="0"/>
      <w:marBottom w:val="0"/>
      <w:divBdr>
        <w:top w:val="none" w:sz="0" w:space="0" w:color="auto"/>
        <w:left w:val="none" w:sz="0" w:space="0" w:color="auto"/>
        <w:bottom w:val="none" w:sz="0" w:space="0" w:color="auto"/>
        <w:right w:val="none" w:sz="0" w:space="0" w:color="auto"/>
      </w:divBdr>
    </w:div>
    <w:div w:id="1796290731">
      <w:bodyDiv w:val="1"/>
      <w:marLeft w:val="0"/>
      <w:marRight w:val="0"/>
      <w:marTop w:val="0"/>
      <w:marBottom w:val="0"/>
      <w:divBdr>
        <w:top w:val="none" w:sz="0" w:space="0" w:color="auto"/>
        <w:left w:val="none" w:sz="0" w:space="0" w:color="auto"/>
        <w:bottom w:val="none" w:sz="0" w:space="0" w:color="auto"/>
        <w:right w:val="none" w:sz="0" w:space="0" w:color="auto"/>
      </w:divBdr>
    </w:div>
    <w:div w:id="1796487407">
      <w:bodyDiv w:val="1"/>
      <w:marLeft w:val="0"/>
      <w:marRight w:val="0"/>
      <w:marTop w:val="0"/>
      <w:marBottom w:val="0"/>
      <w:divBdr>
        <w:top w:val="none" w:sz="0" w:space="0" w:color="auto"/>
        <w:left w:val="none" w:sz="0" w:space="0" w:color="auto"/>
        <w:bottom w:val="none" w:sz="0" w:space="0" w:color="auto"/>
        <w:right w:val="none" w:sz="0" w:space="0" w:color="auto"/>
      </w:divBdr>
    </w:div>
    <w:div w:id="1796488977">
      <w:bodyDiv w:val="1"/>
      <w:marLeft w:val="0"/>
      <w:marRight w:val="0"/>
      <w:marTop w:val="0"/>
      <w:marBottom w:val="0"/>
      <w:divBdr>
        <w:top w:val="none" w:sz="0" w:space="0" w:color="auto"/>
        <w:left w:val="none" w:sz="0" w:space="0" w:color="auto"/>
        <w:bottom w:val="none" w:sz="0" w:space="0" w:color="auto"/>
        <w:right w:val="none" w:sz="0" w:space="0" w:color="auto"/>
      </w:divBdr>
    </w:div>
    <w:div w:id="1796673073">
      <w:bodyDiv w:val="1"/>
      <w:marLeft w:val="0"/>
      <w:marRight w:val="0"/>
      <w:marTop w:val="0"/>
      <w:marBottom w:val="0"/>
      <w:divBdr>
        <w:top w:val="none" w:sz="0" w:space="0" w:color="auto"/>
        <w:left w:val="none" w:sz="0" w:space="0" w:color="auto"/>
        <w:bottom w:val="none" w:sz="0" w:space="0" w:color="auto"/>
        <w:right w:val="none" w:sz="0" w:space="0" w:color="auto"/>
      </w:divBdr>
    </w:div>
    <w:div w:id="1796750115">
      <w:bodyDiv w:val="1"/>
      <w:marLeft w:val="0"/>
      <w:marRight w:val="0"/>
      <w:marTop w:val="0"/>
      <w:marBottom w:val="0"/>
      <w:divBdr>
        <w:top w:val="none" w:sz="0" w:space="0" w:color="auto"/>
        <w:left w:val="none" w:sz="0" w:space="0" w:color="auto"/>
        <w:bottom w:val="none" w:sz="0" w:space="0" w:color="auto"/>
        <w:right w:val="none" w:sz="0" w:space="0" w:color="auto"/>
      </w:divBdr>
    </w:div>
    <w:div w:id="1796828500">
      <w:bodyDiv w:val="1"/>
      <w:marLeft w:val="0"/>
      <w:marRight w:val="0"/>
      <w:marTop w:val="0"/>
      <w:marBottom w:val="0"/>
      <w:divBdr>
        <w:top w:val="none" w:sz="0" w:space="0" w:color="auto"/>
        <w:left w:val="none" w:sz="0" w:space="0" w:color="auto"/>
        <w:bottom w:val="none" w:sz="0" w:space="0" w:color="auto"/>
        <w:right w:val="none" w:sz="0" w:space="0" w:color="auto"/>
      </w:divBdr>
    </w:div>
    <w:div w:id="1796832273">
      <w:bodyDiv w:val="1"/>
      <w:marLeft w:val="0"/>
      <w:marRight w:val="0"/>
      <w:marTop w:val="0"/>
      <w:marBottom w:val="0"/>
      <w:divBdr>
        <w:top w:val="none" w:sz="0" w:space="0" w:color="auto"/>
        <w:left w:val="none" w:sz="0" w:space="0" w:color="auto"/>
        <w:bottom w:val="none" w:sz="0" w:space="0" w:color="auto"/>
        <w:right w:val="none" w:sz="0" w:space="0" w:color="auto"/>
      </w:divBdr>
    </w:div>
    <w:div w:id="1796945859">
      <w:bodyDiv w:val="1"/>
      <w:marLeft w:val="0"/>
      <w:marRight w:val="0"/>
      <w:marTop w:val="0"/>
      <w:marBottom w:val="0"/>
      <w:divBdr>
        <w:top w:val="none" w:sz="0" w:space="0" w:color="auto"/>
        <w:left w:val="none" w:sz="0" w:space="0" w:color="auto"/>
        <w:bottom w:val="none" w:sz="0" w:space="0" w:color="auto"/>
        <w:right w:val="none" w:sz="0" w:space="0" w:color="auto"/>
      </w:divBdr>
    </w:div>
    <w:div w:id="1797017324">
      <w:bodyDiv w:val="1"/>
      <w:marLeft w:val="0"/>
      <w:marRight w:val="0"/>
      <w:marTop w:val="0"/>
      <w:marBottom w:val="0"/>
      <w:divBdr>
        <w:top w:val="none" w:sz="0" w:space="0" w:color="auto"/>
        <w:left w:val="none" w:sz="0" w:space="0" w:color="auto"/>
        <w:bottom w:val="none" w:sz="0" w:space="0" w:color="auto"/>
        <w:right w:val="none" w:sz="0" w:space="0" w:color="auto"/>
      </w:divBdr>
    </w:div>
    <w:div w:id="1797021485">
      <w:bodyDiv w:val="1"/>
      <w:marLeft w:val="0"/>
      <w:marRight w:val="0"/>
      <w:marTop w:val="0"/>
      <w:marBottom w:val="0"/>
      <w:divBdr>
        <w:top w:val="none" w:sz="0" w:space="0" w:color="auto"/>
        <w:left w:val="none" w:sz="0" w:space="0" w:color="auto"/>
        <w:bottom w:val="none" w:sz="0" w:space="0" w:color="auto"/>
        <w:right w:val="none" w:sz="0" w:space="0" w:color="auto"/>
      </w:divBdr>
    </w:div>
    <w:div w:id="1797063628">
      <w:bodyDiv w:val="1"/>
      <w:marLeft w:val="0"/>
      <w:marRight w:val="0"/>
      <w:marTop w:val="0"/>
      <w:marBottom w:val="0"/>
      <w:divBdr>
        <w:top w:val="none" w:sz="0" w:space="0" w:color="auto"/>
        <w:left w:val="none" w:sz="0" w:space="0" w:color="auto"/>
        <w:bottom w:val="none" w:sz="0" w:space="0" w:color="auto"/>
        <w:right w:val="none" w:sz="0" w:space="0" w:color="auto"/>
      </w:divBdr>
    </w:div>
    <w:div w:id="1797210386">
      <w:bodyDiv w:val="1"/>
      <w:marLeft w:val="0"/>
      <w:marRight w:val="0"/>
      <w:marTop w:val="0"/>
      <w:marBottom w:val="0"/>
      <w:divBdr>
        <w:top w:val="none" w:sz="0" w:space="0" w:color="auto"/>
        <w:left w:val="none" w:sz="0" w:space="0" w:color="auto"/>
        <w:bottom w:val="none" w:sz="0" w:space="0" w:color="auto"/>
        <w:right w:val="none" w:sz="0" w:space="0" w:color="auto"/>
      </w:divBdr>
    </w:div>
    <w:div w:id="1797215035">
      <w:bodyDiv w:val="1"/>
      <w:marLeft w:val="0"/>
      <w:marRight w:val="0"/>
      <w:marTop w:val="0"/>
      <w:marBottom w:val="0"/>
      <w:divBdr>
        <w:top w:val="none" w:sz="0" w:space="0" w:color="auto"/>
        <w:left w:val="none" w:sz="0" w:space="0" w:color="auto"/>
        <w:bottom w:val="none" w:sz="0" w:space="0" w:color="auto"/>
        <w:right w:val="none" w:sz="0" w:space="0" w:color="auto"/>
      </w:divBdr>
    </w:div>
    <w:div w:id="1797289592">
      <w:bodyDiv w:val="1"/>
      <w:marLeft w:val="0"/>
      <w:marRight w:val="0"/>
      <w:marTop w:val="0"/>
      <w:marBottom w:val="0"/>
      <w:divBdr>
        <w:top w:val="none" w:sz="0" w:space="0" w:color="auto"/>
        <w:left w:val="none" w:sz="0" w:space="0" w:color="auto"/>
        <w:bottom w:val="none" w:sz="0" w:space="0" w:color="auto"/>
        <w:right w:val="none" w:sz="0" w:space="0" w:color="auto"/>
      </w:divBdr>
    </w:div>
    <w:div w:id="1797405542">
      <w:bodyDiv w:val="1"/>
      <w:marLeft w:val="0"/>
      <w:marRight w:val="0"/>
      <w:marTop w:val="0"/>
      <w:marBottom w:val="0"/>
      <w:divBdr>
        <w:top w:val="none" w:sz="0" w:space="0" w:color="auto"/>
        <w:left w:val="none" w:sz="0" w:space="0" w:color="auto"/>
        <w:bottom w:val="none" w:sz="0" w:space="0" w:color="auto"/>
        <w:right w:val="none" w:sz="0" w:space="0" w:color="auto"/>
      </w:divBdr>
    </w:div>
    <w:div w:id="1797408572">
      <w:bodyDiv w:val="1"/>
      <w:marLeft w:val="0"/>
      <w:marRight w:val="0"/>
      <w:marTop w:val="0"/>
      <w:marBottom w:val="0"/>
      <w:divBdr>
        <w:top w:val="none" w:sz="0" w:space="0" w:color="auto"/>
        <w:left w:val="none" w:sz="0" w:space="0" w:color="auto"/>
        <w:bottom w:val="none" w:sz="0" w:space="0" w:color="auto"/>
        <w:right w:val="none" w:sz="0" w:space="0" w:color="auto"/>
      </w:divBdr>
    </w:div>
    <w:div w:id="1797479123">
      <w:bodyDiv w:val="1"/>
      <w:marLeft w:val="0"/>
      <w:marRight w:val="0"/>
      <w:marTop w:val="0"/>
      <w:marBottom w:val="0"/>
      <w:divBdr>
        <w:top w:val="none" w:sz="0" w:space="0" w:color="auto"/>
        <w:left w:val="none" w:sz="0" w:space="0" w:color="auto"/>
        <w:bottom w:val="none" w:sz="0" w:space="0" w:color="auto"/>
        <w:right w:val="none" w:sz="0" w:space="0" w:color="auto"/>
      </w:divBdr>
    </w:div>
    <w:div w:id="1797486325">
      <w:bodyDiv w:val="1"/>
      <w:marLeft w:val="0"/>
      <w:marRight w:val="0"/>
      <w:marTop w:val="0"/>
      <w:marBottom w:val="0"/>
      <w:divBdr>
        <w:top w:val="none" w:sz="0" w:space="0" w:color="auto"/>
        <w:left w:val="none" w:sz="0" w:space="0" w:color="auto"/>
        <w:bottom w:val="none" w:sz="0" w:space="0" w:color="auto"/>
        <w:right w:val="none" w:sz="0" w:space="0" w:color="auto"/>
      </w:divBdr>
    </w:div>
    <w:div w:id="1797679633">
      <w:bodyDiv w:val="1"/>
      <w:marLeft w:val="0"/>
      <w:marRight w:val="0"/>
      <w:marTop w:val="0"/>
      <w:marBottom w:val="0"/>
      <w:divBdr>
        <w:top w:val="none" w:sz="0" w:space="0" w:color="auto"/>
        <w:left w:val="none" w:sz="0" w:space="0" w:color="auto"/>
        <w:bottom w:val="none" w:sz="0" w:space="0" w:color="auto"/>
        <w:right w:val="none" w:sz="0" w:space="0" w:color="auto"/>
      </w:divBdr>
    </w:div>
    <w:div w:id="1797680216">
      <w:bodyDiv w:val="1"/>
      <w:marLeft w:val="0"/>
      <w:marRight w:val="0"/>
      <w:marTop w:val="0"/>
      <w:marBottom w:val="0"/>
      <w:divBdr>
        <w:top w:val="none" w:sz="0" w:space="0" w:color="auto"/>
        <w:left w:val="none" w:sz="0" w:space="0" w:color="auto"/>
        <w:bottom w:val="none" w:sz="0" w:space="0" w:color="auto"/>
        <w:right w:val="none" w:sz="0" w:space="0" w:color="auto"/>
      </w:divBdr>
    </w:div>
    <w:div w:id="1797718939">
      <w:bodyDiv w:val="1"/>
      <w:marLeft w:val="0"/>
      <w:marRight w:val="0"/>
      <w:marTop w:val="0"/>
      <w:marBottom w:val="0"/>
      <w:divBdr>
        <w:top w:val="none" w:sz="0" w:space="0" w:color="auto"/>
        <w:left w:val="none" w:sz="0" w:space="0" w:color="auto"/>
        <w:bottom w:val="none" w:sz="0" w:space="0" w:color="auto"/>
        <w:right w:val="none" w:sz="0" w:space="0" w:color="auto"/>
      </w:divBdr>
    </w:div>
    <w:div w:id="1797797105">
      <w:bodyDiv w:val="1"/>
      <w:marLeft w:val="0"/>
      <w:marRight w:val="0"/>
      <w:marTop w:val="0"/>
      <w:marBottom w:val="0"/>
      <w:divBdr>
        <w:top w:val="none" w:sz="0" w:space="0" w:color="auto"/>
        <w:left w:val="none" w:sz="0" w:space="0" w:color="auto"/>
        <w:bottom w:val="none" w:sz="0" w:space="0" w:color="auto"/>
        <w:right w:val="none" w:sz="0" w:space="0" w:color="auto"/>
      </w:divBdr>
    </w:div>
    <w:div w:id="1797872961">
      <w:bodyDiv w:val="1"/>
      <w:marLeft w:val="0"/>
      <w:marRight w:val="0"/>
      <w:marTop w:val="0"/>
      <w:marBottom w:val="0"/>
      <w:divBdr>
        <w:top w:val="none" w:sz="0" w:space="0" w:color="auto"/>
        <w:left w:val="none" w:sz="0" w:space="0" w:color="auto"/>
        <w:bottom w:val="none" w:sz="0" w:space="0" w:color="auto"/>
        <w:right w:val="none" w:sz="0" w:space="0" w:color="auto"/>
      </w:divBdr>
    </w:div>
    <w:div w:id="1797984226">
      <w:bodyDiv w:val="1"/>
      <w:marLeft w:val="0"/>
      <w:marRight w:val="0"/>
      <w:marTop w:val="0"/>
      <w:marBottom w:val="0"/>
      <w:divBdr>
        <w:top w:val="none" w:sz="0" w:space="0" w:color="auto"/>
        <w:left w:val="none" w:sz="0" w:space="0" w:color="auto"/>
        <w:bottom w:val="none" w:sz="0" w:space="0" w:color="auto"/>
        <w:right w:val="none" w:sz="0" w:space="0" w:color="auto"/>
      </w:divBdr>
    </w:div>
    <w:div w:id="1798140580">
      <w:bodyDiv w:val="1"/>
      <w:marLeft w:val="0"/>
      <w:marRight w:val="0"/>
      <w:marTop w:val="0"/>
      <w:marBottom w:val="0"/>
      <w:divBdr>
        <w:top w:val="none" w:sz="0" w:space="0" w:color="auto"/>
        <w:left w:val="none" w:sz="0" w:space="0" w:color="auto"/>
        <w:bottom w:val="none" w:sz="0" w:space="0" w:color="auto"/>
        <w:right w:val="none" w:sz="0" w:space="0" w:color="auto"/>
      </w:divBdr>
    </w:div>
    <w:div w:id="1798143276">
      <w:bodyDiv w:val="1"/>
      <w:marLeft w:val="0"/>
      <w:marRight w:val="0"/>
      <w:marTop w:val="0"/>
      <w:marBottom w:val="0"/>
      <w:divBdr>
        <w:top w:val="none" w:sz="0" w:space="0" w:color="auto"/>
        <w:left w:val="none" w:sz="0" w:space="0" w:color="auto"/>
        <w:bottom w:val="none" w:sz="0" w:space="0" w:color="auto"/>
        <w:right w:val="none" w:sz="0" w:space="0" w:color="auto"/>
      </w:divBdr>
    </w:div>
    <w:div w:id="1798258700">
      <w:bodyDiv w:val="1"/>
      <w:marLeft w:val="0"/>
      <w:marRight w:val="0"/>
      <w:marTop w:val="0"/>
      <w:marBottom w:val="0"/>
      <w:divBdr>
        <w:top w:val="none" w:sz="0" w:space="0" w:color="auto"/>
        <w:left w:val="none" w:sz="0" w:space="0" w:color="auto"/>
        <w:bottom w:val="none" w:sz="0" w:space="0" w:color="auto"/>
        <w:right w:val="none" w:sz="0" w:space="0" w:color="auto"/>
      </w:divBdr>
    </w:div>
    <w:div w:id="1798336260">
      <w:bodyDiv w:val="1"/>
      <w:marLeft w:val="0"/>
      <w:marRight w:val="0"/>
      <w:marTop w:val="0"/>
      <w:marBottom w:val="0"/>
      <w:divBdr>
        <w:top w:val="none" w:sz="0" w:space="0" w:color="auto"/>
        <w:left w:val="none" w:sz="0" w:space="0" w:color="auto"/>
        <w:bottom w:val="none" w:sz="0" w:space="0" w:color="auto"/>
        <w:right w:val="none" w:sz="0" w:space="0" w:color="auto"/>
      </w:divBdr>
    </w:div>
    <w:div w:id="1798376106">
      <w:bodyDiv w:val="1"/>
      <w:marLeft w:val="0"/>
      <w:marRight w:val="0"/>
      <w:marTop w:val="0"/>
      <w:marBottom w:val="0"/>
      <w:divBdr>
        <w:top w:val="none" w:sz="0" w:space="0" w:color="auto"/>
        <w:left w:val="none" w:sz="0" w:space="0" w:color="auto"/>
        <w:bottom w:val="none" w:sz="0" w:space="0" w:color="auto"/>
        <w:right w:val="none" w:sz="0" w:space="0" w:color="auto"/>
      </w:divBdr>
    </w:div>
    <w:div w:id="1798376825">
      <w:bodyDiv w:val="1"/>
      <w:marLeft w:val="0"/>
      <w:marRight w:val="0"/>
      <w:marTop w:val="0"/>
      <w:marBottom w:val="0"/>
      <w:divBdr>
        <w:top w:val="none" w:sz="0" w:space="0" w:color="auto"/>
        <w:left w:val="none" w:sz="0" w:space="0" w:color="auto"/>
        <w:bottom w:val="none" w:sz="0" w:space="0" w:color="auto"/>
        <w:right w:val="none" w:sz="0" w:space="0" w:color="auto"/>
      </w:divBdr>
    </w:div>
    <w:div w:id="1798449495">
      <w:bodyDiv w:val="1"/>
      <w:marLeft w:val="0"/>
      <w:marRight w:val="0"/>
      <w:marTop w:val="0"/>
      <w:marBottom w:val="0"/>
      <w:divBdr>
        <w:top w:val="none" w:sz="0" w:space="0" w:color="auto"/>
        <w:left w:val="none" w:sz="0" w:space="0" w:color="auto"/>
        <w:bottom w:val="none" w:sz="0" w:space="0" w:color="auto"/>
        <w:right w:val="none" w:sz="0" w:space="0" w:color="auto"/>
      </w:divBdr>
    </w:div>
    <w:div w:id="1798527556">
      <w:bodyDiv w:val="1"/>
      <w:marLeft w:val="0"/>
      <w:marRight w:val="0"/>
      <w:marTop w:val="0"/>
      <w:marBottom w:val="0"/>
      <w:divBdr>
        <w:top w:val="none" w:sz="0" w:space="0" w:color="auto"/>
        <w:left w:val="none" w:sz="0" w:space="0" w:color="auto"/>
        <w:bottom w:val="none" w:sz="0" w:space="0" w:color="auto"/>
        <w:right w:val="none" w:sz="0" w:space="0" w:color="auto"/>
      </w:divBdr>
    </w:div>
    <w:div w:id="1798638539">
      <w:bodyDiv w:val="1"/>
      <w:marLeft w:val="0"/>
      <w:marRight w:val="0"/>
      <w:marTop w:val="0"/>
      <w:marBottom w:val="0"/>
      <w:divBdr>
        <w:top w:val="none" w:sz="0" w:space="0" w:color="auto"/>
        <w:left w:val="none" w:sz="0" w:space="0" w:color="auto"/>
        <w:bottom w:val="none" w:sz="0" w:space="0" w:color="auto"/>
        <w:right w:val="none" w:sz="0" w:space="0" w:color="auto"/>
      </w:divBdr>
    </w:div>
    <w:div w:id="1798645487">
      <w:bodyDiv w:val="1"/>
      <w:marLeft w:val="0"/>
      <w:marRight w:val="0"/>
      <w:marTop w:val="0"/>
      <w:marBottom w:val="0"/>
      <w:divBdr>
        <w:top w:val="none" w:sz="0" w:space="0" w:color="auto"/>
        <w:left w:val="none" w:sz="0" w:space="0" w:color="auto"/>
        <w:bottom w:val="none" w:sz="0" w:space="0" w:color="auto"/>
        <w:right w:val="none" w:sz="0" w:space="0" w:color="auto"/>
      </w:divBdr>
    </w:div>
    <w:div w:id="1798835872">
      <w:bodyDiv w:val="1"/>
      <w:marLeft w:val="0"/>
      <w:marRight w:val="0"/>
      <w:marTop w:val="0"/>
      <w:marBottom w:val="0"/>
      <w:divBdr>
        <w:top w:val="none" w:sz="0" w:space="0" w:color="auto"/>
        <w:left w:val="none" w:sz="0" w:space="0" w:color="auto"/>
        <w:bottom w:val="none" w:sz="0" w:space="0" w:color="auto"/>
        <w:right w:val="none" w:sz="0" w:space="0" w:color="auto"/>
      </w:divBdr>
    </w:div>
    <w:div w:id="1798838184">
      <w:bodyDiv w:val="1"/>
      <w:marLeft w:val="0"/>
      <w:marRight w:val="0"/>
      <w:marTop w:val="0"/>
      <w:marBottom w:val="0"/>
      <w:divBdr>
        <w:top w:val="none" w:sz="0" w:space="0" w:color="auto"/>
        <w:left w:val="none" w:sz="0" w:space="0" w:color="auto"/>
        <w:bottom w:val="none" w:sz="0" w:space="0" w:color="auto"/>
        <w:right w:val="none" w:sz="0" w:space="0" w:color="auto"/>
      </w:divBdr>
    </w:div>
    <w:div w:id="1799034250">
      <w:bodyDiv w:val="1"/>
      <w:marLeft w:val="0"/>
      <w:marRight w:val="0"/>
      <w:marTop w:val="0"/>
      <w:marBottom w:val="0"/>
      <w:divBdr>
        <w:top w:val="none" w:sz="0" w:space="0" w:color="auto"/>
        <w:left w:val="none" w:sz="0" w:space="0" w:color="auto"/>
        <w:bottom w:val="none" w:sz="0" w:space="0" w:color="auto"/>
        <w:right w:val="none" w:sz="0" w:space="0" w:color="auto"/>
      </w:divBdr>
    </w:div>
    <w:div w:id="1799109837">
      <w:bodyDiv w:val="1"/>
      <w:marLeft w:val="0"/>
      <w:marRight w:val="0"/>
      <w:marTop w:val="0"/>
      <w:marBottom w:val="0"/>
      <w:divBdr>
        <w:top w:val="none" w:sz="0" w:space="0" w:color="auto"/>
        <w:left w:val="none" w:sz="0" w:space="0" w:color="auto"/>
        <w:bottom w:val="none" w:sz="0" w:space="0" w:color="auto"/>
        <w:right w:val="none" w:sz="0" w:space="0" w:color="auto"/>
      </w:divBdr>
    </w:div>
    <w:div w:id="1799447729">
      <w:bodyDiv w:val="1"/>
      <w:marLeft w:val="0"/>
      <w:marRight w:val="0"/>
      <w:marTop w:val="0"/>
      <w:marBottom w:val="0"/>
      <w:divBdr>
        <w:top w:val="none" w:sz="0" w:space="0" w:color="auto"/>
        <w:left w:val="none" w:sz="0" w:space="0" w:color="auto"/>
        <w:bottom w:val="none" w:sz="0" w:space="0" w:color="auto"/>
        <w:right w:val="none" w:sz="0" w:space="0" w:color="auto"/>
      </w:divBdr>
    </w:div>
    <w:div w:id="1799451723">
      <w:bodyDiv w:val="1"/>
      <w:marLeft w:val="0"/>
      <w:marRight w:val="0"/>
      <w:marTop w:val="0"/>
      <w:marBottom w:val="0"/>
      <w:divBdr>
        <w:top w:val="none" w:sz="0" w:space="0" w:color="auto"/>
        <w:left w:val="none" w:sz="0" w:space="0" w:color="auto"/>
        <w:bottom w:val="none" w:sz="0" w:space="0" w:color="auto"/>
        <w:right w:val="none" w:sz="0" w:space="0" w:color="auto"/>
      </w:divBdr>
    </w:div>
    <w:div w:id="1799646056">
      <w:bodyDiv w:val="1"/>
      <w:marLeft w:val="0"/>
      <w:marRight w:val="0"/>
      <w:marTop w:val="0"/>
      <w:marBottom w:val="0"/>
      <w:divBdr>
        <w:top w:val="none" w:sz="0" w:space="0" w:color="auto"/>
        <w:left w:val="none" w:sz="0" w:space="0" w:color="auto"/>
        <w:bottom w:val="none" w:sz="0" w:space="0" w:color="auto"/>
        <w:right w:val="none" w:sz="0" w:space="0" w:color="auto"/>
      </w:divBdr>
    </w:div>
    <w:div w:id="1799715239">
      <w:bodyDiv w:val="1"/>
      <w:marLeft w:val="0"/>
      <w:marRight w:val="0"/>
      <w:marTop w:val="0"/>
      <w:marBottom w:val="0"/>
      <w:divBdr>
        <w:top w:val="none" w:sz="0" w:space="0" w:color="auto"/>
        <w:left w:val="none" w:sz="0" w:space="0" w:color="auto"/>
        <w:bottom w:val="none" w:sz="0" w:space="0" w:color="auto"/>
        <w:right w:val="none" w:sz="0" w:space="0" w:color="auto"/>
      </w:divBdr>
    </w:div>
    <w:div w:id="1799762648">
      <w:bodyDiv w:val="1"/>
      <w:marLeft w:val="0"/>
      <w:marRight w:val="0"/>
      <w:marTop w:val="0"/>
      <w:marBottom w:val="0"/>
      <w:divBdr>
        <w:top w:val="none" w:sz="0" w:space="0" w:color="auto"/>
        <w:left w:val="none" w:sz="0" w:space="0" w:color="auto"/>
        <w:bottom w:val="none" w:sz="0" w:space="0" w:color="auto"/>
        <w:right w:val="none" w:sz="0" w:space="0" w:color="auto"/>
      </w:divBdr>
    </w:div>
    <w:div w:id="1799831858">
      <w:bodyDiv w:val="1"/>
      <w:marLeft w:val="0"/>
      <w:marRight w:val="0"/>
      <w:marTop w:val="0"/>
      <w:marBottom w:val="0"/>
      <w:divBdr>
        <w:top w:val="none" w:sz="0" w:space="0" w:color="auto"/>
        <w:left w:val="none" w:sz="0" w:space="0" w:color="auto"/>
        <w:bottom w:val="none" w:sz="0" w:space="0" w:color="auto"/>
        <w:right w:val="none" w:sz="0" w:space="0" w:color="auto"/>
      </w:divBdr>
    </w:div>
    <w:div w:id="1799834793">
      <w:bodyDiv w:val="1"/>
      <w:marLeft w:val="0"/>
      <w:marRight w:val="0"/>
      <w:marTop w:val="0"/>
      <w:marBottom w:val="0"/>
      <w:divBdr>
        <w:top w:val="none" w:sz="0" w:space="0" w:color="auto"/>
        <w:left w:val="none" w:sz="0" w:space="0" w:color="auto"/>
        <w:bottom w:val="none" w:sz="0" w:space="0" w:color="auto"/>
        <w:right w:val="none" w:sz="0" w:space="0" w:color="auto"/>
      </w:divBdr>
    </w:div>
    <w:div w:id="1799881223">
      <w:bodyDiv w:val="1"/>
      <w:marLeft w:val="0"/>
      <w:marRight w:val="0"/>
      <w:marTop w:val="0"/>
      <w:marBottom w:val="0"/>
      <w:divBdr>
        <w:top w:val="none" w:sz="0" w:space="0" w:color="auto"/>
        <w:left w:val="none" w:sz="0" w:space="0" w:color="auto"/>
        <w:bottom w:val="none" w:sz="0" w:space="0" w:color="auto"/>
        <w:right w:val="none" w:sz="0" w:space="0" w:color="auto"/>
      </w:divBdr>
    </w:div>
    <w:div w:id="1799881988">
      <w:bodyDiv w:val="1"/>
      <w:marLeft w:val="0"/>
      <w:marRight w:val="0"/>
      <w:marTop w:val="0"/>
      <w:marBottom w:val="0"/>
      <w:divBdr>
        <w:top w:val="none" w:sz="0" w:space="0" w:color="auto"/>
        <w:left w:val="none" w:sz="0" w:space="0" w:color="auto"/>
        <w:bottom w:val="none" w:sz="0" w:space="0" w:color="auto"/>
        <w:right w:val="none" w:sz="0" w:space="0" w:color="auto"/>
      </w:divBdr>
    </w:div>
    <w:div w:id="1799908368">
      <w:bodyDiv w:val="1"/>
      <w:marLeft w:val="0"/>
      <w:marRight w:val="0"/>
      <w:marTop w:val="0"/>
      <w:marBottom w:val="0"/>
      <w:divBdr>
        <w:top w:val="none" w:sz="0" w:space="0" w:color="auto"/>
        <w:left w:val="none" w:sz="0" w:space="0" w:color="auto"/>
        <w:bottom w:val="none" w:sz="0" w:space="0" w:color="auto"/>
        <w:right w:val="none" w:sz="0" w:space="0" w:color="auto"/>
      </w:divBdr>
    </w:div>
    <w:div w:id="1799955359">
      <w:bodyDiv w:val="1"/>
      <w:marLeft w:val="0"/>
      <w:marRight w:val="0"/>
      <w:marTop w:val="0"/>
      <w:marBottom w:val="0"/>
      <w:divBdr>
        <w:top w:val="none" w:sz="0" w:space="0" w:color="auto"/>
        <w:left w:val="none" w:sz="0" w:space="0" w:color="auto"/>
        <w:bottom w:val="none" w:sz="0" w:space="0" w:color="auto"/>
        <w:right w:val="none" w:sz="0" w:space="0" w:color="auto"/>
      </w:divBdr>
    </w:div>
    <w:div w:id="1800030697">
      <w:bodyDiv w:val="1"/>
      <w:marLeft w:val="0"/>
      <w:marRight w:val="0"/>
      <w:marTop w:val="0"/>
      <w:marBottom w:val="0"/>
      <w:divBdr>
        <w:top w:val="none" w:sz="0" w:space="0" w:color="auto"/>
        <w:left w:val="none" w:sz="0" w:space="0" w:color="auto"/>
        <w:bottom w:val="none" w:sz="0" w:space="0" w:color="auto"/>
        <w:right w:val="none" w:sz="0" w:space="0" w:color="auto"/>
      </w:divBdr>
    </w:div>
    <w:div w:id="1800103877">
      <w:bodyDiv w:val="1"/>
      <w:marLeft w:val="0"/>
      <w:marRight w:val="0"/>
      <w:marTop w:val="0"/>
      <w:marBottom w:val="0"/>
      <w:divBdr>
        <w:top w:val="none" w:sz="0" w:space="0" w:color="auto"/>
        <w:left w:val="none" w:sz="0" w:space="0" w:color="auto"/>
        <w:bottom w:val="none" w:sz="0" w:space="0" w:color="auto"/>
        <w:right w:val="none" w:sz="0" w:space="0" w:color="auto"/>
      </w:divBdr>
    </w:div>
    <w:div w:id="1800108543">
      <w:bodyDiv w:val="1"/>
      <w:marLeft w:val="0"/>
      <w:marRight w:val="0"/>
      <w:marTop w:val="0"/>
      <w:marBottom w:val="0"/>
      <w:divBdr>
        <w:top w:val="none" w:sz="0" w:space="0" w:color="auto"/>
        <w:left w:val="none" w:sz="0" w:space="0" w:color="auto"/>
        <w:bottom w:val="none" w:sz="0" w:space="0" w:color="auto"/>
        <w:right w:val="none" w:sz="0" w:space="0" w:color="auto"/>
      </w:divBdr>
    </w:div>
    <w:div w:id="1800175195">
      <w:bodyDiv w:val="1"/>
      <w:marLeft w:val="0"/>
      <w:marRight w:val="0"/>
      <w:marTop w:val="0"/>
      <w:marBottom w:val="0"/>
      <w:divBdr>
        <w:top w:val="none" w:sz="0" w:space="0" w:color="auto"/>
        <w:left w:val="none" w:sz="0" w:space="0" w:color="auto"/>
        <w:bottom w:val="none" w:sz="0" w:space="0" w:color="auto"/>
        <w:right w:val="none" w:sz="0" w:space="0" w:color="auto"/>
      </w:divBdr>
    </w:div>
    <w:div w:id="1800226434">
      <w:bodyDiv w:val="1"/>
      <w:marLeft w:val="0"/>
      <w:marRight w:val="0"/>
      <w:marTop w:val="0"/>
      <w:marBottom w:val="0"/>
      <w:divBdr>
        <w:top w:val="none" w:sz="0" w:space="0" w:color="auto"/>
        <w:left w:val="none" w:sz="0" w:space="0" w:color="auto"/>
        <w:bottom w:val="none" w:sz="0" w:space="0" w:color="auto"/>
        <w:right w:val="none" w:sz="0" w:space="0" w:color="auto"/>
      </w:divBdr>
    </w:div>
    <w:div w:id="1800300737">
      <w:bodyDiv w:val="1"/>
      <w:marLeft w:val="0"/>
      <w:marRight w:val="0"/>
      <w:marTop w:val="0"/>
      <w:marBottom w:val="0"/>
      <w:divBdr>
        <w:top w:val="none" w:sz="0" w:space="0" w:color="auto"/>
        <w:left w:val="none" w:sz="0" w:space="0" w:color="auto"/>
        <w:bottom w:val="none" w:sz="0" w:space="0" w:color="auto"/>
        <w:right w:val="none" w:sz="0" w:space="0" w:color="auto"/>
      </w:divBdr>
    </w:div>
    <w:div w:id="1800339498">
      <w:bodyDiv w:val="1"/>
      <w:marLeft w:val="0"/>
      <w:marRight w:val="0"/>
      <w:marTop w:val="0"/>
      <w:marBottom w:val="0"/>
      <w:divBdr>
        <w:top w:val="none" w:sz="0" w:space="0" w:color="auto"/>
        <w:left w:val="none" w:sz="0" w:space="0" w:color="auto"/>
        <w:bottom w:val="none" w:sz="0" w:space="0" w:color="auto"/>
        <w:right w:val="none" w:sz="0" w:space="0" w:color="auto"/>
      </w:divBdr>
    </w:div>
    <w:div w:id="1800568451">
      <w:bodyDiv w:val="1"/>
      <w:marLeft w:val="0"/>
      <w:marRight w:val="0"/>
      <w:marTop w:val="0"/>
      <w:marBottom w:val="0"/>
      <w:divBdr>
        <w:top w:val="none" w:sz="0" w:space="0" w:color="auto"/>
        <w:left w:val="none" w:sz="0" w:space="0" w:color="auto"/>
        <w:bottom w:val="none" w:sz="0" w:space="0" w:color="auto"/>
        <w:right w:val="none" w:sz="0" w:space="0" w:color="auto"/>
      </w:divBdr>
    </w:div>
    <w:div w:id="1800609617">
      <w:bodyDiv w:val="1"/>
      <w:marLeft w:val="0"/>
      <w:marRight w:val="0"/>
      <w:marTop w:val="0"/>
      <w:marBottom w:val="0"/>
      <w:divBdr>
        <w:top w:val="none" w:sz="0" w:space="0" w:color="auto"/>
        <w:left w:val="none" w:sz="0" w:space="0" w:color="auto"/>
        <w:bottom w:val="none" w:sz="0" w:space="0" w:color="auto"/>
        <w:right w:val="none" w:sz="0" w:space="0" w:color="auto"/>
      </w:divBdr>
    </w:div>
    <w:div w:id="1800759061">
      <w:bodyDiv w:val="1"/>
      <w:marLeft w:val="0"/>
      <w:marRight w:val="0"/>
      <w:marTop w:val="0"/>
      <w:marBottom w:val="0"/>
      <w:divBdr>
        <w:top w:val="none" w:sz="0" w:space="0" w:color="auto"/>
        <w:left w:val="none" w:sz="0" w:space="0" w:color="auto"/>
        <w:bottom w:val="none" w:sz="0" w:space="0" w:color="auto"/>
        <w:right w:val="none" w:sz="0" w:space="0" w:color="auto"/>
      </w:divBdr>
    </w:div>
    <w:div w:id="1800998337">
      <w:bodyDiv w:val="1"/>
      <w:marLeft w:val="0"/>
      <w:marRight w:val="0"/>
      <w:marTop w:val="0"/>
      <w:marBottom w:val="0"/>
      <w:divBdr>
        <w:top w:val="none" w:sz="0" w:space="0" w:color="auto"/>
        <w:left w:val="none" w:sz="0" w:space="0" w:color="auto"/>
        <w:bottom w:val="none" w:sz="0" w:space="0" w:color="auto"/>
        <w:right w:val="none" w:sz="0" w:space="0" w:color="auto"/>
      </w:divBdr>
    </w:div>
    <w:div w:id="1801193031">
      <w:bodyDiv w:val="1"/>
      <w:marLeft w:val="0"/>
      <w:marRight w:val="0"/>
      <w:marTop w:val="0"/>
      <w:marBottom w:val="0"/>
      <w:divBdr>
        <w:top w:val="none" w:sz="0" w:space="0" w:color="auto"/>
        <w:left w:val="none" w:sz="0" w:space="0" w:color="auto"/>
        <w:bottom w:val="none" w:sz="0" w:space="0" w:color="auto"/>
        <w:right w:val="none" w:sz="0" w:space="0" w:color="auto"/>
      </w:divBdr>
    </w:div>
    <w:div w:id="1801260749">
      <w:bodyDiv w:val="1"/>
      <w:marLeft w:val="0"/>
      <w:marRight w:val="0"/>
      <w:marTop w:val="0"/>
      <w:marBottom w:val="0"/>
      <w:divBdr>
        <w:top w:val="none" w:sz="0" w:space="0" w:color="auto"/>
        <w:left w:val="none" w:sz="0" w:space="0" w:color="auto"/>
        <w:bottom w:val="none" w:sz="0" w:space="0" w:color="auto"/>
        <w:right w:val="none" w:sz="0" w:space="0" w:color="auto"/>
      </w:divBdr>
    </w:div>
    <w:div w:id="1801339091">
      <w:bodyDiv w:val="1"/>
      <w:marLeft w:val="0"/>
      <w:marRight w:val="0"/>
      <w:marTop w:val="0"/>
      <w:marBottom w:val="0"/>
      <w:divBdr>
        <w:top w:val="none" w:sz="0" w:space="0" w:color="auto"/>
        <w:left w:val="none" w:sz="0" w:space="0" w:color="auto"/>
        <w:bottom w:val="none" w:sz="0" w:space="0" w:color="auto"/>
        <w:right w:val="none" w:sz="0" w:space="0" w:color="auto"/>
      </w:divBdr>
    </w:div>
    <w:div w:id="1801415552">
      <w:bodyDiv w:val="1"/>
      <w:marLeft w:val="0"/>
      <w:marRight w:val="0"/>
      <w:marTop w:val="0"/>
      <w:marBottom w:val="0"/>
      <w:divBdr>
        <w:top w:val="none" w:sz="0" w:space="0" w:color="auto"/>
        <w:left w:val="none" w:sz="0" w:space="0" w:color="auto"/>
        <w:bottom w:val="none" w:sz="0" w:space="0" w:color="auto"/>
        <w:right w:val="none" w:sz="0" w:space="0" w:color="auto"/>
      </w:divBdr>
    </w:div>
    <w:div w:id="1801459976">
      <w:bodyDiv w:val="1"/>
      <w:marLeft w:val="0"/>
      <w:marRight w:val="0"/>
      <w:marTop w:val="0"/>
      <w:marBottom w:val="0"/>
      <w:divBdr>
        <w:top w:val="none" w:sz="0" w:space="0" w:color="auto"/>
        <w:left w:val="none" w:sz="0" w:space="0" w:color="auto"/>
        <w:bottom w:val="none" w:sz="0" w:space="0" w:color="auto"/>
        <w:right w:val="none" w:sz="0" w:space="0" w:color="auto"/>
      </w:divBdr>
    </w:div>
    <w:div w:id="1801537474">
      <w:bodyDiv w:val="1"/>
      <w:marLeft w:val="0"/>
      <w:marRight w:val="0"/>
      <w:marTop w:val="0"/>
      <w:marBottom w:val="0"/>
      <w:divBdr>
        <w:top w:val="none" w:sz="0" w:space="0" w:color="auto"/>
        <w:left w:val="none" w:sz="0" w:space="0" w:color="auto"/>
        <w:bottom w:val="none" w:sz="0" w:space="0" w:color="auto"/>
        <w:right w:val="none" w:sz="0" w:space="0" w:color="auto"/>
      </w:divBdr>
    </w:div>
    <w:div w:id="1801604350">
      <w:bodyDiv w:val="1"/>
      <w:marLeft w:val="0"/>
      <w:marRight w:val="0"/>
      <w:marTop w:val="0"/>
      <w:marBottom w:val="0"/>
      <w:divBdr>
        <w:top w:val="none" w:sz="0" w:space="0" w:color="auto"/>
        <w:left w:val="none" w:sz="0" w:space="0" w:color="auto"/>
        <w:bottom w:val="none" w:sz="0" w:space="0" w:color="auto"/>
        <w:right w:val="none" w:sz="0" w:space="0" w:color="auto"/>
      </w:divBdr>
    </w:div>
    <w:div w:id="1801611088">
      <w:bodyDiv w:val="1"/>
      <w:marLeft w:val="0"/>
      <w:marRight w:val="0"/>
      <w:marTop w:val="0"/>
      <w:marBottom w:val="0"/>
      <w:divBdr>
        <w:top w:val="none" w:sz="0" w:space="0" w:color="auto"/>
        <w:left w:val="none" w:sz="0" w:space="0" w:color="auto"/>
        <w:bottom w:val="none" w:sz="0" w:space="0" w:color="auto"/>
        <w:right w:val="none" w:sz="0" w:space="0" w:color="auto"/>
      </w:divBdr>
    </w:div>
    <w:div w:id="1801805440">
      <w:bodyDiv w:val="1"/>
      <w:marLeft w:val="0"/>
      <w:marRight w:val="0"/>
      <w:marTop w:val="0"/>
      <w:marBottom w:val="0"/>
      <w:divBdr>
        <w:top w:val="none" w:sz="0" w:space="0" w:color="auto"/>
        <w:left w:val="none" w:sz="0" w:space="0" w:color="auto"/>
        <w:bottom w:val="none" w:sz="0" w:space="0" w:color="auto"/>
        <w:right w:val="none" w:sz="0" w:space="0" w:color="auto"/>
      </w:divBdr>
    </w:div>
    <w:div w:id="1801848895">
      <w:bodyDiv w:val="1"/>
      <w:marLeft w:val="0"/>
      <w:marRight w:val="0"/>
      <w:marTop w:val="0"/>
      <w:marBottom w:val="0"/>
      <w:divBdr>
        <w:top w:val="none" w:sz="0" w:space="0" w:color="auto"/>
        <w:left w:val="none" w:sz="0" w:space="0" w:color="auto"/>
        <w:bottom w:val="none" w:sz="0" w:space="0" w:color="auto"/>
        <w:right w:val="none" w:sz="0" w:space="0" w:color="auto"/>
      </w:divBdr>
    </w:div>
    <w:div w:id="1802185424">
      <w:bodyDiv w:val="1"/>
      <w:marLeft w:val="0"/>
      <w:marRight w:val="0"/>
      <w:marTop w:val="0"/>
      <w:marBottom w:val="0"/>
      <w:divBdr>
        <w:top w:val="none" w:sz="0" w:space="0" w:color="auto"/>
        <w:left w:val="none" w:sz="0" w:space="0" w:color="auto"/>
        <w:bottom w:val="none" w:sz="0" w:space="0" w:color="auto"/>
        <w:right w:val="none" w:sz="0" w:space="0" w:color="auto"/>
      </w:divBdr>
    </w:div>
    <w:div w:id="1802306507">
      <w:bodyDiv w:val="1"/>
      <w:marLeft w:val="0"/>
      <w:marRight w:val="0"/>
      <w:marTop w:val="0"/>
      <w:marBottom w:val="0"/>
      <w:divBdr>
        <w:top w:val="none" w:sz="0" w:space="0" w:color="auto"/>
        <w:left w:val="none" w:sz="0" w:space="0" w:color="auto"/>
        <w:bottom w:val="none" w:sz="0" w:space="0" w:color="auto"/>
        <w:right w:val="none" w:sz="0" w:space="0" w:color="auto"/>
      </w:divBdr>
    </w:div>
    <w:div w:id="1802459390">
      <w:bodyDiv w:val="1"/>
      <w:marLeft w:val="0"/>
      <w:marRight w:val="0"/>
      <w:marTop w:val="0"/>
      <w:marBottom w:val="0"/>
      <w:divBdr>
        <w:top w:val="none" w:sz="0" w:space="0" w:color="auto"/>
        <w:left w:val="none" w:sz="0" w:space="0" w:color="auto"/>
        <w:bottom w:val="none" w:sz="0" w:space="0" w:color="auto"/>
        <w:right w:val="none" w:sz="0" w:space="0" w:color="auto"/>
      </w:divBdr>
    </w:div>
    <w:div w:id="1802529201">
      <w:bodyDiv w:val="1"/>
      <w:marLeft w:val="0"/>
      <w:marRight w:val="0"/>
      <w:marTop w:val="0"/>
      <w:marBottom w:val="0"/>
      <w:divBdr>
        <w:top w:val="none" w:sz="0" w:space="0" w:color="auto"/>
        <w:left w:val="none" w:sz="0" w:space="0" w:color="auto"/>
        <w:bottom w:val="none" w:sz="0" w:space="0" w:color="auto"/>
        <w:right w:val="none" w:sz="0" w:space="0" w:color="auto"/>
      </w:divBdr>
    </w:div>
    <w:div w:id="1802534057">
      <w:bodyDiv w:val="1"/>
      <w:marLeft w:val="0"/>
      <w:marRight w:val="0"/>
      <w:marTop w:val="0"/>
      <w:marBottom w:val="0"/>
      <w:divBdr>
        <w:top w:val="none" w:sz="0" w:space="0" w:color="auto"/>
        <w:left w:val="none" w:sz="0" w:space="0" w:color="auto"/>
        <w:bottom w:val="none" w:sz="0" w:space="0" w:color="auto"/>
        <w:right w:val="none" w:sz="0" w:space="0" w:color="auto"/>
      </w:divBdr>
    </w:div>
    <w:div w:id="1802534247">
      <w:bodyDiv w:val="1"/>
      <w:marLeft w:val="0"/>
      <w:marRight w:val="0"/>
      <w:marTop w:val="0"/>
      <w:marBottom w:val="0"/>
      <w:divBdr>
        <w:top w:val="none" w:sz="0" w:space="0" w:color="auto"/>
        <w:left w:val="none" w:sz="0" w:space="0" w:color="auto"/>
        <w:bottom w:val="none" w:sz="0" w:space="0" w:color="auto"/>
        <w:right w:val="none" w:sz="0" w:space="0" w:color="auto"/>
      </w:divBdr>
    </w:div>
    <w:div w:id="1802570509">
      <w:bodyDiv w:val="1"/>
      <w:marLeft w:val="0"/>
      <w:marRight w:val="0"/>
      <w:marTop w:val="0"/>
      <w:marBottom w:val="0"/>
      <w:divBdr>
        <w:top w:val="none" w:sz="0" w:space="0" w:color="auto"/>
        <w:left w:val="none" w:sz="0" w:space="0" w:color="auto"/>
        <w:bottom w:val="none" w:sz="0" w:space="0" w:color="auto"/>
        <w:right w:val="none" w:sz="0" w:space="0" w:color="auto"/>
      </w:divBdr>
    </w:div>
    <w:div w:id="1802653400">
      <w:bodyDiv w:val="1"/>
      <w:marLeft w:val="0"/>
      <w:marRight w:val="0"/>
      <w:marTop w:val="0"/>
      <w:marBottom w:val="0"/>
      <w:divBdr>
        <w:top w:val="none" w:sz="0" w:space="0" w:color="auto"/>
        <w:left w:val="none" w:sz="0" w:space="0" w:color="auto"/>
        <w:bottom w:val="none" w:sz="0" w:space="0" w:color="auto"/>
        <w:right w:val="none" w:sz="0" w:space="0" w:color="auto"/>
      </w:divBdr>
    </w:div>
    <w:div w:id="1802728969">
      <w:bodyDiv w:val="1"/>
      <w:marLeft w:val="0"/>
      <w:marRight w:val="0"/>
      <w:marTop w:val="0"/>
      <w:marBottom w:val="0"/>
      <w:divBdr>
        <w:top w:val="none" w:sz="0" w:space="0" w:color="auto"/>
        <w:left w:val="none" w:sz="0" w:space="0" w:color="auto"/>
        <w:bottom w:val="none" w:sz="0" w:space="0" w:color="auto"/>
        <w:right w:val="none" w:sz="0" w:space="0" w:color="auto"/>
      </w:divBdr>
    </w:div>
    <w:div w:id="1802844295">
      <w:bodyDiv w:val="1"/>
      <w:marLeft w:val="0"/>
      <w:marRight w:val="0"/>
      <w:marTop w:val="0"/>
      <w:marBottom w:val="0"/>
      <w:divBdr>
        <w:top w:val="none" w:sz="0" w:space="0" w:color="auto"/>
        <w:left w:val="none" w:sz="0" w:space="0" w:color="auto"/>
        <w:bottom w:val="none" w:sz="0" w:space="0" w:color="auto"/>
        <w:right w:val="none" w:sz="0" w:space="0" w:color="auto"/>
      </w:divBdr>
    </w:div>
    <w:div w:id="1802846655">
      <w:bodyDiv w:val="1"/>
      <w:marLeft w:val="0"/>
      <w:marRight w:val="0"/>
      <w:marTop w:val="0"/>
      <w:marBottom w:val="0"/>
      <w:divBdr>
        <w:top w:val="none" w:sz="0" w:space="0" w:color="auto"/>
        <w:left w:val="none" w:sz="0" w:space="0" w:color="auto"/>
        <w:bottom w:val="none" w:sz="0" w:space="0" w:color="auto"/>
        <w:right w:val="none" w:sz="0" w:space="0" w:color="auto"/>
      </w:divBdr>
    </w:div>
    <w:div w:id="1802847628">
      <w:bodyDiv w:val="1"/>
      <w:marLeft w:val="0"/>
      <w:marRight w:val="0"/>
      <w:marTop w:val="0"/>
      <w:marBottom w:val="0"/>
      <w:divBdr>
        <w:top w:val="none" w:sz="0" w:space="0" w:color="auto"/>
        <w:left w:val="none" w:sz="0" w:space="0" w:color="auto"/>
        <w:bottom w:val="none" w:sz="0" w:space="0" w:color="auto"/>
        <w:right w:val="none" w:sz="0" w:space="0" w:color="auto"/>
      </w:divBdr>
    </w:div>
    <w:div w:id="1802848147">
      <w:bodyDiv w:val="1"/>
      <w:marLeft w:val="0"/>
      <w:marRight w:val="0"/>
      <w:marTop w:val="0"/>
      <w:marBottom w:val="0"/>
      <w:divBdr>
        <w:top w:val="none" w:sz="0" w:space="0" w:color="auto"/>
        <w:left w:val="none" w:sz="0" w:space="0" w:color="auto"/>
        <w:bottom w:val="none" w:sz="0" w:space="0" w:color="auto"/>
        <w:right w:val="none" w:sz="0" w:space="0" w:color="auto"/>
      </w:divBdr>
    </w:div>
    <w:div w:id="1802920862">
      <w:bodyDiv w:val="1"/>
      <w:marLeft w:val="0"/>
      <w:marRight w:val="0"/>
      <w:marTop w:val="0"/>
      <w:marBottom w:val="0"/>
      <w:divBdr>
        <w:top w:val="none" w:sz="0" w:space="0" w:color="auto"/>
        <w:left w:val="none" w:sz="0" w:space="0" w:color="auto"/>
        <w:bottom w:val="none" w:sz="0" w:space="0" w:color="auto"/>
        <w:right w:val="none" w:sz="0" w:space="0" w:color="auto"/>
      </w:divBdr>
    </w:div>
    <w:div w:id="1802962160">
      <w:bodyDiv w:val="1"/>
      <w:marLeft w:val="0"/>
      <w:marRight w:val="0"/>
      <w:marTop w:val="0"/>
      <w:marBottom w:val="0"/>
      <w:divBdr>
        <w:top w:val="none" w:sz="0" w:space="0" w:color="auto"/>
        <w:left w:val="none" w:sz="0" w:space="0" w:color="auto"/>
        <w:bottom w:val="none" w:sz="0" w:space="0" w:color="auto"/>
        <w:right w:val="none" w:sz="0" w:space="0" w:color="auto"/>
      </w:divBdr>
    </w:div>
    <w:div w:id="1802990428">
      <w:bodyDiv w:val="1"/>
      <w:marLeft w:val="0"/>
      <w:marRight w:val="0"/>
      <w:marTop w:val="0"/>
      <w:marBottom w:val="0"/>
      <w:divBdr>
        <w:top w:val="none" w:sz="0" w:space="0" w:color="auto"/>
        <w:left w:val="none" w:sz="0" w:space="0" w:color="auto"/>
        <w:bottom w:val="none" w:sz="0" w:space="0" w:color="auto"/>
        <w:right w:val="none" w:sz="0" w:space="0" w:color="auto"/>
      </w:divBdr>
    </w:div>
    <w:div w:id="1802992176">
      <w:bodyDiv w:val="1"/>
      <w:marLeft w:val="0"/>
      <w:marRight w:val="0"/>
      <w:marTop w:val="0"/>
      <w:marBottom w:val="0"/>
      <w:divBdr>
        <w:top w:val="none" w:sz="0" w:space="0" w:color="auto"/>
        <w:left w:val="none" w:sz="0" w:space="0" w:color="auto"/>
        <w:bottom w:val="none" w:sz="0" w:space="0" w:color="auto"/>
        <w:right w:val="none" w:sz="0" w:space="0" w:color="auto"/>
      </w:divBdr>
    </w:div>
    <w:div w:id="1803033518">
      <w:bodyDiv w:val="1"/>
      <w:marLeft w:val="0"/>
      <w:marRight w:val="0"/>
      <w:marTop w:val="0"/>
      <w:marBottom w:val="0"/>
      <w:divBdr>
        <w:top w:val="none" w:sz="0" w:space="0" w:color="auto"/>
        <w:left w:val="none" w:sz="0" w:space="0" w:color="auto"/>
        <w:bottom w:val="none" w:sz="0" w:space="0" w:color="auto"/>
        <w:right w:val="none" w:sz="0" w:space="0" w:color="auto"/>
      </w:divBdr>
    </w:div>
    <w:div w:id="1803033894">
      <w:bodyDiv w:val="1"/>
      <w:marLeft w:val="0"/>
      <w:marRight w:val="0"/>
      <w:marTop w:val="0"/>
      <w:marBottom w:val="0"/>
      <w:divBdr>
        <w:top w:val="none" w:sz="0" w:space="0" w:color="auto"/>
        <w:left w:val="none" w:sz="0" w:space="0" w:color="auto"/>
        <w:bottom w:val="none" w:sz="0" w:space="0" w:color="auto"/>
        <w:right w:val="none" w:sz="0" w:space="0" w:color="auto"/>
      </w:divBdr>
    </w:div>
    <w:div w:id="1803034776">
      <w:bodyDiv w:val="1"/>
      <w:marLeft w:val="0"/>
      <w:marRight w:val="0"/>
      <w:marTop w:val="0"/>
      <w:marBottom w:val="0"/>
      <w:divBdr>
        <w:top w:val="none" w:sz="0" w:space="0" w:color="auto"/>
        <w:left w:val="none" w:sz="0" w:space="0" w:color="auto"/>
        <w:bottom w:val="none" w:sz="0" w:space="0" w:color="auto"/>
        <w:right w:val="none" w:sz="0" w:space="0" w:color="auto"/>
      </w:divBdr>
    </w:div>
    <w:div w:id="1803109323">
      <w:bodyDiv w:val="1"/>
      <w:marLeft w:val="0"/>
      <w:marRight w:val="0"/>
      <w:marTop w:val="0"/>
      <w:marBottom w:val="0"/>
      <w:divBdr>
        <w:top w:val="none" w:sz="0" w:space="0" w:color="auto"/>
        <w:left w:val="none" w:sz="0" w:space="0" w:color="auto"/>
        <w:bottom w:val="none" w:sz="0" w:space="0" w:color="auto"/>
        <w:right w:val="none" w:sz="0" w:space="0" w:color="auto"/>
      </w:divBdr>
    </w:div>
    <w:div w:id="1803110392">
      <w:bodyDiv w:val="1"/>
      <w:marLeft w:val="0"/>
      <w:marRight w:val="0"/>
      <w:marTop w:val="0"/>
      <w:marBottom w:val="0"/>
      <w:divBdr>
        <w:top w:val="none" w:sz="0" w:space="0" w:color="auto"/>
        <w:left w:val="none" w:sz="0" w:space="0" w:color="auto"/>
        <w:bottom w:val="none" w:sz="0" w:space="0" w:color="auto"/>
        <w:right w:val="none" w:sz="0" w:space="0" w:color="auto"/>
      </w:divBdr>
    </w:div>
    <w:div w:id="1803225693">
      <w:bodyDiv w:val="1"/>
      <w:marLeft w:val="0"/>
      <w:marRight w:val="0"/>
      <w:marTop w:val="0"/>
      <w:marBottom w:val="0"/>
      <w:divBdr>
        <w:top w:val="none" w:sz="0" w:space="0" w:color="auto"/>
        <w:left w:val="none" w:sz="0" w:space="0" w:color="auto"/>
        <w:bottom w:val="none" w:sz="0" w:space="0" w:color="auto"/>
        <w:right w:val="none" w:sz="0" w:space="0" w:color="auto"/>
      </w:divBdr>
    </w:div>
    <w:div w:id="1803309279">
      <w:bodyDiv w:val="1"/>
      <w:marLeft w:val="0"/>
      <w:marRight w:val="0"/>
      <w:marTop w:val="0"/>
      <w:marBottom w:val="0"/>
      <w:divBdr>
        <w:top w:val="none" w:sz="0" w:space="0" w:color="auto"/>
        <w:left w:val="none" w:sz="0" w:space="0" w:color="auto"/>
        <w:bottom w:val="none" w:sz="0" w:space="0" w:color="auto"/>
        <w:right w:val="none" w:sz="0" w:space="0" w:color="auto"/>
      </w:divBdr>
    </w:div>
    <w:div w:id="1803309317">
      <w:bodyDiv w:val="1"/>
      <w:marLeft w:val="0"/>
      <w:marRight w:val="0"/>
      <w:marTop w:val="0"/>
      <w:marBottom w:val="0"/>
      <w:divBdr>
        <w:top w:val="none" w:sz="0" w:space="0" w:color="auto"/>
        <w:left w:val="none" w:sz="0" w:space="0" w:color="auto"/>
        <w:bottom w:val="none" w:sz="0" w:space="0" w:color="auto"/>
        <w:right w:val="none" w:sz="0" w:space="0" w:color="auto"/>
      </w:divBdr>
    </w:div>
    <w:div w:id="1803426594">
      <w:bodyDiv w:val="1"/>
      <w:marLeft w:val="0"/>
      <w:marRight w:val="0"/>
      <w:marTop w:val="0"/>
      <w:marBottom w:val="0"/>
      <w:divBdr>
        <w:top w:val="none" w:sz="0" w:space="0" w:color="auto"/>
        <w:left w:val="none" w:sz="0" w:space="0" w:color="auto"/>
        <w:bottom w:val="none" w:sz="0" w:space="0" w:color="auto"/>
        <w:right w:val="none" w:sz="0" w:space="0" w:color="auto"/>
      </w:divBdr>
    </w:div>
    <w:div w:id="1803496193">
      <w:bodyDiv w:val="1"/>
      <w:marLeft w:val="0"/>
      <w:marRight w:val="0"/>
      <w:marTop w:val="0"/>
      <w:marBottom w:val="0"/>
      <w:divBdr>
        <w:top w:val="none" w:sz="0" w:space="0" w:color="auto"/>
        <w:left w:val="none" w:sz="0" w:space="0" w:color="auto"/>
        <w:bottom w:val="none" w:sz="0" w:space="0" w:color="auto"/>
        <w:right w:val="none" w:sz="0" w:space="0" w:color="auto"/>
      </w:divBdr>
    </w:div>
    <w:div w:id="1803814410">
      <w:bodyDiv w:val="1"/>
      <w:marLeft w:val="0"/>
      <w:marRight w:val="0"/>
      <w:marTop w:val="0"/>
      <w:marBottom w:val="0"/>
      <w:divBdr>
        <w:top w:val="none" w:sz="0" w:space="0" w:color="auto"/>
        <w:left w:val="none" w:sz="0" w:space="0" w:color="auto"/>
        <w:bottom w:val="none" w:sz="0" w:space="0" w:color="auto"/>
        <w:right w:val="none" w:sz="0" w:space="0" w:color="auto"/>
      </w:divBdr>
    </w:div>
    <w:div w:id="1803958463">
      <w:bodyDiv w:val="1"/>
      <w:marLeft w:val="0"/>
      <w:marRight w:val="0"/>
      <w:marTop w:val="0"/>
      <w:marBottom w:val="0"/>
      <w:divBdr>
        <w:top w:val="none" w:sz="0" w:space="0" w:color="auto"/>
        <w:left w:val="none" w:sz="0" w:space="0" w:color="auto"/>
        <w:bottom w:val="none" w:sz="0" w:space="0" w:color="auto"/>
        <w:right w:val="none" w:sz="0" w:space="0" w:color="auto"/>
      </w:divBdr>
    </w:div>
    <w:div w:id="1803959789">
      <w:bodyDiv w:val="1"/>
      <w:marLeft w:val="0"/>
      <w:marRight w:val="0"/>
      <w:marTop w:val="0"/>
      <w:marBottom w:val="0"/>
      <w:divBdr>
        <w:top w:val="none" w:sz="0" w:space="0" w:color="auto"/>
        <w:left w:val="none" w:sz="0" w:space="0" w:color="auto"/>
        <w:bottom w:val="none" w:sz="0" w:space="0" w:color="auto"/>
        <w:right w:val="none" w:sz="0" w:space="0" w:color="auto"/>
      </w:divBdr>
    </w:div>
    <w:div w:id="1803965243">
      <w:bodyDiv w:val="1"/>
      <w:marLeft w:val="0"/>
      <w:marRight w:val="0"/>
      <w:marTop w:val="0"/>
      <w:marBottom w:val="0"/>
      <w:divBdr>
        <w:top w:val="none" w:sz="0" w:space="0" w:color="auto"/>
        <w:left w:val="none" w:sz="0" w:space="0" w:color="auto"/>
        <w:bottom w:val="none" w:sz="0" w:space="0" w:color="auto"/>
        <w:right w:val="none" w:sz="0" w:space="0" w:color="auto"/>
      </w:divBdr>
    </w:div>
    <w:div w:id="1804034007">
      <w:bodyDiv w:val="1"/>
      <w:marLeft w:val="0"/>
      <w:marRight w:val="0"/>
      <w:marTop w:val="0"/>
      <w:marBottom w:val="0"/>
      <w:divBdr>
        <w:top w:val="none" w:sz="0" w:space="0" w:color="auto"/>
        <w:left w:val="none" w:sz="0" w:space="0" w:color="auto"/>
        <w:bottom w:val="none" w:sz="0" w:space="0" w:color="auto"/>
        <w:right w:val="none" w:sz="0" w:space="0" w:color="auto"/>
      </w:divBdr>
    </w:div>
    <w:div w:id="1804153343">
      <w:bodyDiv w:val="1"/>
      <w:marLeft w:val="0"/>
      <w:marRight w:val="0"/>
      <w:marTop w:val="0"/>
      <w:marBottom w:val="0"/>
      <w:divBdr>
        <w:top w:val="none" w:sz="0" w:space="0" w:color="auto"/>
        <w:left w:val="none" w:sz="0" w:space="0" w:color="auto"/>
        <w:bottom w:val="none" w:sz="0" w:space="0" w:color="auto"/>
        <w:right w:val="none" w:sz="0" w:space="0" w:color="auto"/>
      </w:divBdr>
    </w:div>
    <w:div w:id="1804344471">
      <w:bodyDiv w:val="1"/>
      <w:marLeft w:val="0"/>
      <w:marRight w:val="0"/>
      <w:marTop w:val="0"/>
      <w:marBottom w:val="0"/>
      <w:divBdr>
        <w:top w:val="none" w:sz="0" w:space="0" w:color="auto"/>
        <w:left w:val="none" w:sz="0" w:space="0" w:color="auto"/>
        <w:bottom w:val="none" w:sz="0" w:space="0" w:color="auto"/>
        <w:right w:val="none" w:sz="0" w:space="0" w:color="auto"/>
      </w:divBdr>
    </w:div>
    <w:div w:id="1804497261">
      <w:bodyDiv w:val="1"/>
      <w:marLeft w:val="0"/>
      <w:marRight w:val="0"/>
      <w:marTop w:val="0"/>
      <w:marBottom w:val="0"/>
      <w:divBdr>
        <w:top w:val="none" w:sz="0" w:space="0" w:color="auto"/>
        <w:left w:val="none" w:sz="0" w:space="0" w:color="auto"/>
        <w:bottom w:val="none" w:sz="0" w:space="0" w:color="auto"/>
        <w:right w:val="none" w:sz="0" w:space="0" w:color="auto"/>
      </w:divBdr>
    </w:div>
    <w:div w:id="1804539922">
      <w:bodyDiv w:val="1"/>
      <w:marLeft w:val="0"/>
      <w:marRight w:val="0"/>
      <w:marTop w:val="0"/>
      <w:marBottom w:val="0"/>
      <w:divBdr>
        <w:top w:val="none" w:sz="0" w:space="0" w:color="auto"/>
        <w:left w:val="none" w:sz="0" w:space="0" w:color="auto"/>
        <w:bottom w:val="none" w:sz="0" w:space="0" w:color="auto"/>
        <w:right w:val="none" w:sz="0" w:space="0" w:color="auto"/>
      </w:divBdr>
    </w:div>
    <w:div w:id="1804615117">
      <w:bodyDiv w:val="1"/>
      <w:marLeft w:val="0"/>
      <w:marRight w:val="0"/>
      <w:marTop w:val="0"/>
      <w:marBottom w:val="0"/>
      <w:divBdr>
        <w:top w:val="none" w:sz="0" w:space="0" w:color="auto"/>
        <w:left w:val="none" w:sz="0" w:space="0" w:color="auto"/>
        <w:bottom w:val="none" w:sz="0" w:space="0" w:color="auto"/>
        <w:right w:val="none" w:sz="0" w:space="0" w:color="auto"/>
      </w:divBdr>
    </w:div>
    <w:div w:id="1804619302">
      <w:bodyDiv w:val="1"/>
      <w:marLeft w:val="0"/>
      <w:marRight w:val="0"/>
      <w:marTop w:val="0"/>
      <w:marBottom w:val="0"/>
      <w:divBdr>
        <w:top w:val="none" w:sz="0" w:space="0" w:color="auto"/>
        <w:left w:val="none" w:sz="0" w:space="0" w:color="auto"/>
        <w:bottom w:val="none" w:sz="0" w:space="0" w:color="auto"/>
        <w:right w:val="none" w:sz="0" w:space="0" w:color="auto"/>
      </w:divBdr>
    </w:div>
    <w:div w:id="1804686919">
      <w:bodyDiv w:val="1"/>
      <w:marLeft w:val="0"/>
      <w:marRight w:val="0"/>
      <w:marTop w:val="0"/>
      <w:marBottom w:val="0"/>
      <w:divBdr>
        <w:top w:val="none" w:sz="0" w:space="0" w:color="auto"/>
        <w:left w:val="none" w:sz="0" w:space="0" w:color="auto"/>
        <w:bottom w:val="none" w:sz="0" w:space="0" w:color="auto"/>
        <w:right w:val="none" w:sz="0" w:space="0" w:color="auto"/>
      </w:divBdr>
    </w:div>
    <w:div w:id="1804692154">
      <w:bodyDiv w:val="1"/>
      <w:marLeft w:val="0"/>
      <w:marRight w:val="0"/>
      <w:marTop w:val="0"/>
      <w:marBottom w:val="0"/>
      <w:divBdr>
        <w:top w:val="none" w:sz="0" w:space="0" w:color="auto"/>
        <w:left w:val="none" w:sz="0" w:space="0" w:color="auto"/>
        <w:bottom w:val="none" w:sz="0" w:space="0" w:color="auto"/>
        <w:right w:val="none" w:sz="0" w:space="0" w:color="auto"/>
      </w:divBdr>
    </w:div>
    <w:div w:id="1804733953">
      <w:bodyDiv w:val="1"/>
      <w:marLeft w:val="0"/>
      <w:marRight w:val="0"/>
      <w:marTop w:val="0"/>
      <w:marBottom w:val="0"/>
      <w:divBdr>
        <w:top w:val="none" w:sz="0" w:space="0" w:color="auto"/>
        <w:left w:val="none" w:sz="0" w:space="0" w:color="auto"/>
        <w:bottom w:val="none" w:sz="0" w:space="0" w:color="auto"/>
        <w:right w:val="none" w:sz="0" w:space="0" w:color="auto"/>
      </w:divBdr>
    </w:div>
    <w:div w:id="1804881205">
      <w:bodyDiv w:val="1"/>
      <w:marLeft w:val="0"/>
      <w:marRight w:val="0"/>
      <w:marTop w:val="0"/>
      <w:marBottom w:val="0"/>
      <w:divBdr>
        <w:top w:val="none" w:sz="0" w:space="0" w:color="auto"/>
        <w:left w:val="none" w:sz="0" w:space="0" w:color="auto"/>
        <w:bottom w:val="none" w:sz="0" w:space="0" w:color="auto"/>
        <w:right w:val="none" w:sz="0" w:space="0" w:color="auto"/>
      </w:divBdr>
    </w:div>
    <w:div w:id="1804884498">
      <w:bodyDiv w:val="1"/>
      <w:marLeft w:val="0"/>
      <w:marRight w:val="0"/>
      <w:marTop w:val="0"/>
      <w:marBottom w:val="0"/>
      <w:divBdr>
        <w:top w:val="none" w:sz="0" w:space="0" w:color="auto"/>
        <w:left w:val="none" w:sz="0" w:space="0" w:color="auto"/>
        <w:bottom w:val="none" w:sz="0" w:space="0" w:color="auto"/>
        <w:right w:val="none" w:sz="0" w:space="0" w:color="auto"/>
      </w:divBdr>
    </w:div>
    <w:div w:id="1805005853">
      <w:bodyDiv w:val="1"/>
      <w:marLeft w:val="0"/>
      <w:marRight w:val="0"/>
      <w:marTop w:val="0"/>
      <w:marBottom w:val="0"/>
      <w:divBdr>
        <w:top w:val="none" w:sz="0" w:space="0" w:color="auto"/>
        <w:left w:val="none" w:sz="0" w:space="0" w:color="auto"/>
        <w:bottom w:val="none" w:sz="0" w:space="0" w:color="auto"/>
        <w:right w:val="none" w:sz="0" w:space="0" w:color="auto"/>
      </w:divBdr>
    </w:div>
    <w:div w:id="1805078235">
      <w:bodyDiv w:val="1"/>
      <w:marLeft w:val="0"/>
      <w:marRight w:val="0"/>
      <w:marTop w:val="0"/>
      <w:marBottom w:val="0"/>
      <w:divBdr>
        <w:top w:val="none" w:sz="0" w:space="0" w:color="auto"/>
        <w:left w:val="none" w:sz="0" w:space="0" w:color="auto"/>
        <w:bottom w:val="none" w:sz="0" w:space="0" w:color="auto"/>
        <w:right w:val="none" w:sz="0" w:space="0" w:color="auto"/>
      </w:divBdr>
    </w:div>
    <w:div w:id="1805195753">
      <w:bodyDiv w:val="1"/>
      <w:marLeft w:val="0"/>
      <w:marRight w:val="0"/>
      <w:marTop w:val="0"/>
      <w:marBottom w:val="0"/>
      <w:divBdr>
        <w:top w:val="none" w:sz="0" w:space="0" w:color="auto"/>
        <w:left w:val="none" w:sz="0" w:space="0" w:color="auto"/>
        <w:bottom w:val="none" w:sz="0" w:space="0" w:color="auto"/>
        <w:right w:val="none" w:sz="0" w:space="0" w:color="auto"/>
      </w:divBdr>
    </w:div>
    <w:div w:id="1805268509">
      <w:bodyDiv w:val="1"/>
      <w:marLeft w:val="0"/>
      <w:marRight w:val="0"/>
      <w:marTop w:val="0"/>
      <w:marBottom w:val="0"/>
      <w:divBdr>
        <w:top w:val="none" w:sz="0" w:space="0" w:color="auto"/>
        <w:left w:val="none" w:sz="0" w:space="0" w:color="auto"/>
        <w:bottom w:val="none" w:sz="0" w:space="0" w:color="auto"/>
        <w:right w:val="none" w:sz="0" w:space="0" w:color="auto"/>
      </w:divBdr>
    </w:div>
    <w:div w:id="1805350705">
      <w:bodyDiv w:val="1"/>
      <w:marLeft w:val="0"/>
      <w:marRight w:val="0"/>
      <w:marTop w:val="0"/>
      <w:marBottom w:val="0"/>
      <w:divBdr>
        <w:top w:val="none" w:sz="0" w:space="0" w:color="auto"/>
        <w:left w:val="none" w:sz="0" w:space="0" w:color="auto"/>
        <w:bottom w:val="none" w:sz="0" w:space="0" w:color="auto"/>
        <w:right w:val="none" w:sz="0" w:space="0" w:color="auto"/>
      </w:divBdr>
    </w:div>
    <w:div w:id="1805463275">
      <w:bodyDiv w:val="1"/>
      <w:marLeft w:val="0"/>
      <w:marRight w:val="0"/>
      <w:marTop w:val="0"/>
      <w:marBottom w:val="0"/>
      <w:divBdr>
        <w:top w:val="none" w:sz="0" w:space="0" w:color="auto"/>
        <w:left w:val="none" w:sz="0" w:space="0" w:color="auto"/>
        <w:bottom w:val="none" w:sz="0" w:space="0" w:color="auto"/>
        <w:right w:val="none" w:sz="0" w:space="0" w:color="auto"/>
      </w:divBdr>
    </w:div>
    <w:div w:id="1805730267">
      <w:bodyDiv w:val="1"/>
      <w:marLeft w:val="0"/>
      <w:marRight w:val="0"/>
      <w:marTop w:val="0"/>
      <w:marBottom w:val="0"/>
      <w:divBdr>
        <w:top w:val="none" w:sz="0" w:space="0" w:color="auto"/>
        <w:left w:val="none" w:sz="0" w:space="0" w:color="auto"/>
        <w:bottom w:val="none" w:sz="0" w:space="0" w:color="auto"/>
        <w:right w:val="none" w:sz="0" w:space="0" w:color="auto"/>
      </w:divBdr>
    </w:div>
    <w:div w:id="1805734487">
      <w:bodyDiv w:val="1"/>
      <w:marLeft w:val="0"/>
      <w:marRight w:val="0"/>
      <w:marTop w:val="0"/>
      <w:marBottom w:val="0"/>
      <w:divBdr>
        <w:top w:val="none" w:sz="0" w:space="0" w:color="auto"/>
        <w:left w:val="none" w:sz="0" w:space="0" w:color="auto"/>
        <w:bottom w:val="none" w:sz="0" w:space="0" w:color="auto"/>
        <w:right w:val="none" w:sz="0" w:space="0" w:color="auto"/>
      </w:divBdr>
    </w:div>
    <w:div w:id="1805737554">
      <w:bodyDiv w:val="1"/>
      <w:marLeft w:val="0"/>
      <w:marRight w:val="0"/>
      <w:marTop w:val="0"/>
      <w:marBottom w:val="0"/>
      <w:divBdr>
        <w:top w:val="none" w:sz="0" w:space="0" w:color="auto"/>
        <w:left w:val="none" w:sz="0" w:space="0" w:color="auto"/>
        <w:bottom w:val="none" w:sz="0" w:space="0" w:color="auto"/>
        <w:right w:val="none" w:sz="0" w:space="0" w:color="auto"/>
      </w:divBdr>
    </w:div>
    <w:div w:id="1805847825">
      <w:bodyDiv w:val="1"/>
      <w:marLeft w:val="0"/>
      <w:marRight w:val="0"/>
      <w:marTop w:val="0"/>
      <w:marBottom w:val="0"/>
      <w:divBdr>
        <w:top w:val="none" w:sz="0" w:space="0" w:color="auto"/>
        <w:left w:val="none" w:sz="0" w:space="0" w:color="auto"/>
        <w:bottom w:val="none" w:sz="0" w:space="0" w:color="auto"/>
        <w:right w:val="none" w:sz="0" w:space="0" w:color="auto"/>
      </w:divBdr>
    </w:div>
    <w:div w:id="1805851618">
      <w:bodyDiv w:val="1"/>
      <w:marLeft w:val="0"/>
      <w:marRight w:val="0"/>
      <w:marTop w:val="0"/>
      <w:marBottom w:val="0"/>
      <w:divBdr>
        <w:top w:val="none" w:sz="0" w:space="0" w:color="auto"/>
        <w:left w:val="none" w:sz="0" w:space="0" w:color="auto"/>
        <w:bottom w:val="none" w:sz="0" w:space="0" w:color="auto"/>
        <w:right w:val="none" w:sz="0" w:space="0" w:color="auto"/>
      </w:divBdr>
    </w:div>
    <w:div w:id="1805997319">
      <w:bodyDiv w:val="1"/>
      <w:marLeft w:val="0"/>
      <w:marRight w:val="0"/>
      <w:marTop w:val="0"/>
      <w:marBottom w:val="0"/>
      <w:divBdr>
        <w:top w:val="none" w:sz="0" w:space="0" w:color="auto"/>
        <w:left w:val="none" w:sz="0" w:space="0" w:color="auto"/>
        <w:bottom w:val="none" w:sz="0" w:space="0" w:color="auto"/>
        <w:right w:val="none" w:sz="0" w:space="0" w:color="auto"/>
      </w:divBdr>
    </w:div>
    <w:div w:id="1806049396">
      <w:bodyDiv w:val="1"/>
      <w:marLeft w:val="0"/>
      <w:marRight w:val="0"/>
      <w:marTop w:val="0"/>
      <w:marBottom w:val="0"/>
      <w:divBdr>
        <w:top w:val="none" w:sz="0" w:space="0" w:color="auto"/>
        <w:left w:val="none" w:sz="0" w:space="0" w:color="auto"/>
        <w:bottom w:val="none" w:sz="0" w:space="0" w:color="auto"/>
        <w:right w:val="none" w:sz="0" w:space="0" w:color="auto"/>
      </w:divBdr>
    </w:div>
    <w:div w:id="1806121233">
      <w:bodyDiv w:val="1"/>
      <w:marLeft w:val="0"/>
      <w:marRight w:val="0"/>
      <w:marTop w:val="0"/>
      <w:marBottom w:val="0"/>
      <w:divBdr>
        <w:top w:val="none" w:sz="0" w:space="0" w:color="auto"/>
        <w:left w:val="none" w:sz="0" w:space="0" w:color="auto"/>
        <w:bottom w:val="none" w:sz="0" w:space="0" w:color="auto"/>
        <w:right w:val="none" w:sz="0" w:space="0" w:color="auto"/>
      </w:divBdr>
    </w:div>
    <w:div w:id="1806123945">
      <w:bodyDiv w:val="1"/>
      <w:marLeft w:val="0"/>
      <w:marRight w:val="0"/>
      <w:marTop w:val="0"/>
      <w:marBottom w:val="0"/>
      <w:divBdr>
        <w:top w:val="none" w:sz="0" w:space="0" w:color="auto"/>
        <w:left w:val="none" w:sz="0" w:space="0" w:color="auto"/>
        <w:bottom w:val="none" w:sz="0" w:space="0" w:color="auto"/>
        <w:right w:val="none" w:sz="0" w:space="0" w:color="auto"/>
      </w:divBdr>
    </w:div>
    <w:div w:id="1806195459">
      <w:bodyDiv w:val="1"/>
      <w:marLeft w:val="0"/>
      <w:marRight w:val="0"/>
      <w:marTop w:val="0"/>
      <w:marBottom w:val="0"/>
      <w:divBdr>
        <w:top w:val="none" w:sz="0" w:space="0" w:color="auto"/>
        <w:left w:val="none" w:sz="0" w:space="0" w:color="auto"/>
        <w:bottom w:val="none" w:sz="0" w:space="0" w:color="auto"/>
        <w:right w:val="none" w:sz="0" w:space="0" w:color="auto"/>
      </w:divBdr>
    </w:div>
    <w:div w:id="1806197414">
      <w:bodyDiv w:val="1"/>
      <w:marLeft w:val="0"/>
      <w:marRight w:val="0"/>
      <w:marTop w:val="0"/>
      <w:marBottom w:val="0"/>
      <w:divBdr>
        <w:top w:val="none" w:sz="0" w:space="0" w:color="auto"/>
        <w:left w:val="none" w:sz="0" w:space="0" w:color="auto"/>
        <w:bottom w:val="none" w:sz="0" w:space="0" w:color="auto"/>
        <w:right w:val="none" w:sz="0" w:space="0" w:color="auto"/>
      </w:divBdr>
    </w:div>
    <w:div w:id="1806199320">
      <w:bodyDiv w:val="1"/>
      <w:marLeft w:val="0"/>
      <w:marRight w:val="0"/>
      <w:marTop w:val="0"/>
      <w:marBottom w:val="0"/>
      <w:divBdr>
        <w:top w:val="none" w:sz="0" w:space="0" w:color="auto"/>
        <w:left w:val="none" w:sz="0" w:space="0" w:color="auto"/>
        <w:bottom w:val="none" w:sz="0" w:space="0" w:color="auto"/>
        <w:right w:val="none" w:sz="0" w:space="0" w:color="auto"/>
      </w:divBdr>
    </w:div>
    <w:div w:id="1806240920">
      <w:bodyDiv w:val="1"/>
      <w:marLeft w:val="0"/>
      <w:marRight w:val="0"/>
      <w:marTop w:val="0"/>
      <w:marBottom w:val="0"/>
      <w:divBdr>
        <w:top w:val="none" w:sz="0" w:space="0" w:color="auto"/>
        <w:left w:val="none" w:sz="0" w:space="0" w:color="auto"/>
        <w:bottom w:val="none" w:sz="0" w:space="0" w:color="auto"/>
        <w:right w:val="none" w:sz="0" w:space="0" w:color="auto"/>
      </w:divBdr>
    </w:div>
    <w:div w:id="1806388022">
      <w:bodyDiv w:val="1"/>
      <w:marLeft w:val="0"/>
      <w:marRight w:val="0"/>
      <w:marTop w:val="0"/>
      <w:marBottom w:val="0"/>
      <w:divBdr>
        <w:top w:val="none" w:sz="0" w:space="0" w:color="auto"/>
        <w:left w:val="none" w:sz="0" w:space="0" w:color="auto"/>
        <w:bottom w:val="none" w:sz="0" w:space="0" w:color="auto"/>
        <w:right w:val="none" w:sz="0" w:space="0" w:color="auto"/>
      </w:divBdr>
    </w:div>
    <w:div w:id="1806391586">
      <w:bodyDiv w:val="1"/>
      <w:marLeft w:val="0"/>
      <w:marRight w:val="0"/>
      <w:marTop w:val="0"/>
      <w:marBottom w:val="0"/>
      <w:divBdr>
        <w:top w:val="none" w:sz="0" w:space="0" w:color="auto"/>
        <w:left w:val="none" w:sz="0" w:space="0" w:color="auto"/>
        <w:bottom w:val="none" w:sz="0" w:space="0" w:color="auto"/>
        <w:right w:val="none" w:sz="0" w:space="0" w:color="auto"/>
      </w:divBdr>
    </w:div>
    <w:div w:id="1806435712">
      <w:bodyDiv w:val="1"/>
      <w:marLeft w:val="0"/>
      <w:marRight w:val="0"/>
      <w:marTop w:val="0"/>
      <w:marBottom w:val="0"/>
      <w:divBdr>
        <w:top w:val="none" w:sz="0" w:space="0" w:color="auto"/>
        <w:left w:val="none" w:sz="0" w:space="0" w:color="auto"/>
        <w:bottom w:val="none" w:sz="0" w:space="0" w:color="auto"/>
        <w:right w:val="none" w:sz="0" w:space="0" w:color="auto"/>
      </w:divBdr>
    </w:div>
    <w:div w:id="1806501915">
      <w:bodyDiv w:val="1"/>
      <w:marLeft w:val="0"/>
      <w:marRight w:val="0"/>
      <w:marTop w:val="0"/>
      <w:marBottom w:val="0"/>
      <w:divBdr>
        <w:top w:val="none" w:sz="0" w:space="0" w:color="auto"/>
        <w:left w:val="none" w:sz="0" w:space="0" w:color="auto"/>
        <w:bottom w:val="none" w:sz="0" w:space="0" w:color="auto"/>
        <w:right w:val="none" w:sz="0" w:space="0" w:color="auto"/>
      </w:divBdr>
    </w:div>
    <w:div w:id="1806510887">
      <w:bodyDiv w:val="1"/>
      <w:marLeft w:val="0"/>
      <w:marRight w:val="0"/>
      <w:marTop w:val="0"/>
      <w:marBottom w:val="0"/>
      <w:divBdr>
        <w:top w:val="none" w:sz="0" w:space="0" w:color="auto"/>
        <w:left w:val="none" w:sz="0" w:space="0" w:color="auto"/>
        <w:bottom w:val="none" w:sz="0" w:space="0" w:color="auto"/>
        <w:right w:val="none" w:sz="0" w:space="0" w:color="auto"/>
      </w:divBdr>
    </w:div>
    <w:div w:id="1806511260">
      <w:bodyDiv w:val="1"/>
      <w:marLeft w:val="0"/>
      <w:marRight w:val="0"/>
      <w:marTop w:val="0"/>
      <w:marBottom w:val="0"/>
      <w:divBdr>
        <w:top w:val="none" w:sz="0" w:space="0" w:color="auto"/>
        <w:left w:val="none" w:sz="0" w:space="0" w:color="auto"/>
        <w:bottom w:val="none" w:sz="0" w:space="0" w:color="auto"/>
        <w:right w:val="none" w:sz="0" w:space="0" w:color="auto"/>
      </w:divBdr>
    </w:div>
    <w:div w:id="1806780091">
      <w:bodyDiv w:val="1"/>
      <w:marLeft w:val="0"/>
      <w:marRight w:val="0"/>
      <w:marTop w:val="0"/>
      <w:marBottom w:val="0"/>
      <w:divBdr>
        <w:top w:val="none" w:sz="0" w:space="0" w:color="auto"/>
        <w:left w:val="none" w:sz="0" w:space="0" w:color="auto"/>
        <w:bottom w:val="none" w:sz="0" w:space="0" w:color="auto"/>
        <w:right w:val="none" w:sz="0" w:space="0" w:color="auto"/>
      </w:divBdr>
    </w:div>
    <w:div w:id="1806894837">
      <w:bodyDiv w:val="1"/>
      <w:marLeft w:val="0"/>
      <w:marRight w:val="0"/>
      <w:marTop w:val="0"/>
      <w:marBottom w:val="0"/>
      <w:divBdr>
        <w:top w:val="none" w:sz="0" w:space="0" w:color="auto"/>
        <w:left w:val="none" w:sz="0" w:space="0" w:color="auto"/>
        <w:bottom w:val="none" w:sz="0" w:space="0" w:color="auto"/>
        <w:right w:val="none" w:sz="0" w:space="0" w:color="auto"/>
      </w:divBdr>
    </w:div>
    <w:div w:id="1806895518">
      <w:bodyDiv w:val="1"/>
      <w:marLeft w:val="0"/>
      <w:marRight w:val="0"/>
      <w:marTop w:val="0"/>
      <w:marBottom w:val="0"/>
      <w:divBdr>
        <w:top w:val="none" w:sz="0" w:space="0" w:color="auto"/>
        <w:left w:val="none" w:sz="0" w:space="0" w:color="auto"/>
        <w:bottom w:val="none" w:sz="0" w:space="0" w:color="auto"/>
        <w:right w:val="none" w:sz="0" w:space="0" w:color="auto"/>
      </w:divBdr>
    </w:div>
    <w:div w:id="1806925708">
      <w:bodyDiv w:val="1"/>
      <w:marLeft w:val="0"/>
      <w:marRight w:val="0"/>
      <w:marTop w:val="0"/>
      <w:marBottom w:val="0"/>
      <w:divBdr>
        <w:top w:val="none" w:sz="0" w:space="0" w:color="auto"/>
        <w:left w:val="none" w:sz="0" w:space="0" w:color="auto"/>
        <w:bottom w:val="none" w:sz="0" w:space="0" w:color="auto"/>
        <w:right w:val="none" w:sz="0" w:space="0" w:color="auto"/>
      </w:divBdr>
    </w:div>
    <w:div w:id="1807116764">
      <w:bodyDiv w:val="1"/>
      <w:marLeft w:val="0"/>
      <w:marRight w:val="0"/>
      <w:marTop w:val="0"/>
      <w:marBottom w:val="0"/>
      <w:divBdr>
        <w:top w:val="none" w:sz="0" w:space="0" w:color="auto"/>
        <w:left w:val="none" w:sz="0" w:space="0" w:color="auto"/>
        <w:bottom w:val="none" w:sz="0" w:space="0" w:color="auto"/>
        <w:right w:val="none" w:sz="0" w:space="0" w:color="auto"/>
      </w:divBdr>
    </w:div>
    <w:div w:id="1807119261">
      <w:bodyDiv w:val="1"/>
      <w:marLeft w:val="0"/>
      <w:marRight w:val="0"/>
      <w:marTop w:val="0"/>
      <w:marBottom w:val="0"/>
      <w:divBdr>
        <w:top w:val="none" w:sz="0" w:space="0" w:color="auto"/>
        <w:left w:val="none" w:sz="0" w:space="0" w:color="auto"/>
        <w:bottom w:val="none" w:sz="0" w:space="0" w:color="auto"/>
        <w:right w:val="none" w:sz="0" w:space="0" w:color="auto"/>
      </w:divBdr>
    </w:div>
    <w:div w:id="1807158758">
      <w:bodyDiv w:val="1"/>
      <w:marLeft w:val="0"/>
      <w:marRight w:val="0"/>
      <w:marTop w:val="0"/>
      <w:marBottom w:val="0"/>
      <w:divBdr>
        <w:top w:val="none" w:sz="0" w:space="0" w:color="auto"/>
        <w:left w:val="none" w:sz="0" w:space="0" w:color="auto"/>
        <w:bottom w:val="none" w:sz="0" w:space="0" w:color="auto"/>
        <w:right w:val="none" w:sz="0" w:space="0" w:color="auto"/>
      </w:divBdr>
    </w:div>
    <w:div w:id="1807165860">
      <w:bodyDiv w:val="1"/>
      <w:marLeft w:val="0"/>
      <w:marRight w:val="0"/>
      <w:marTop w:val="0"/>
      <w:marBottom w:val="0"/>
      <w:divBdr>
        <w:top w:val="none" w:sz="0" w:space="0" w:color="auto"/>
        <w:left w:val="none" w:sz="0" w:space="0" w:color="auto"/>
        <w:bottom w:val="none" w:sz="0" w:space="0" w:color="auto"/>
        <w:right w:val="none" w:sz="0" w:space="0" w:color="auto"/>
      </w:divBdr>
    </w:div>
    <w:div w:id="1807232538">
      <w:bodyDiv w:val="1"/>
      <w:marLeft w:val="0"/>
      <w:marRight w:val="0"/>
      <w:marTop w:val="0"/>
      <w:marBottom w:val="0"/>
      <w:divBdr>
        <w:top w:val="none" w:sz="0" w:space="0" w:color="auto"/>
        <w:left w:val="none" w:sz="0" w:space="0" w:color="auto"/>
        <w:bottom w:val="none" w:sz="0" w:space="0" w:color="auto"/>
        <w:right w:val="none" w:sz="0" w:space="0" w:color="auto"/>
      </w:divBdr>
    </w:div>
    <w:div w:id="1807429515">
      <w:bodyDiv w:val="1"/>
      <w:marLeft w:val="0"/>
      <w:marRight w:val="0"/>
      <w:marTop w:val="0"/>
      <w:marBottom w:val="0"/>
      <w:divBdr>
        <w:top w:val="none" w:sz="0" w:space="0" w:color="auto"/>
        <w:left w:val="none" w:sz="0" w:space="0" w:color="auto"/>
        <w:bottom w:val="none" w:sz="0" w:space="0" w:color="auto"/>
        <w:right w:val="none" w:sz="0" w:space="0" w:color="auto"/>
      </w:divBdr>
    </w:div>
    <w:div w:id="1807430762">
      <w:bodyDiv w:val="1"/>
      <w:marLeft w:val="0"/>
      <w:marRight w:val="0"/>
      <w:marTop w:val="0"/>
      <w:marBottom w:val="0"/>
      <w:divBdr>
        <w:top w:val="none" w:sz="0" w:space="0" w:color="auto"/>
        <w:left w:val="none" w:sz="0" w:space="0" w:color="auto"/>
        <w:bottom w:val="none" w:sz="0" w:space="0" w:color="auto"/>
        <w:right w:val="none" w:sz="0" w:space="0" w:color="auto"/>
      </w:divBdr>
    </w:div>
    <w:div w:id="1807508479">
      <w:bodyDiv w:val="1"/>
      <w:marLeft w:val="0"/>
      <w:marRight w:val="0"/>
      <w:marTop w:val="0"/>
      <w:marBottom w:val="0"/>
      <w:divBdr>
        <w:top w:val="none" w:sz="0" w:space="0" w:color="auto"/>
        <w:left w:val="none" w:sz="0" w:space="0" w:color="auto"/>
        <w:bottom w:val="none" w:sz="0" w:space="0" w:color="auto"/>
        <w:right w:val="none" w:sz="0" w:space="0" w:color="auto"/>
      </w:divBdr>
    </w:div>
    <w:div w:id="1807579208">
      <w:bodyDiv w:val="1"/>
      <w:marLeft w:val="0"/>
      <w:marRight w:val="0"/>
      <w:marTop w:val="0"/>
      <w:marBottom w:val="0"/>
      <w:divBdr>
        <w:top w:val="none" w:sz="0" w:space="0" w:color="auto"/>
        <w:left w:val="none" w:sz="0" w:space="0" w:color="auto"/>
        <w:bottom w:val="none" w:sz="0" w:space="0" w:color="auto"/>
        <w:right w:val="none" w:sz="0" w:space="0" w:color="auto"/>
      </w:divBdr>
    </w:div>
    <w:div w:id="1807620017">
      <w:bodyDiv w:val="1"/>
      <w:marLeft w:val="0"/>
      <w:marRight w:val="0"/>
      <w:marTop w:val="0"/>
      <w:marBottom w:val="0"/>
      <w:divBdr>
        <w:top w:val="none" w:sz="0" w:space="0" w:color="auto"/>
        <w:left w:val="none" w:sz="0" w:space="0" w:color="auto"/>
        <w:bottom w:val="none" w:sz="0" w:space="0" w:color="auto"/>
        <w:right w:val="none" w:sz="0" w:space="0" w:color="auto"/>
      </w:divBdr>
    </w:div>
    <w:div w:id="1807621352">
      <w:bodyDiv w:val="1"/>
      <w:marLeft w:val="0"/>
      <w:marRight w:val="0"/>
      <w:marTop w:val="0"/>
      <w:marBottom w:val="0"/>
      <w:divBdr>
        <w:top w:val="none" w:sz="0" w:space="0" w:color="auto"/>
        <w:left w:val="none" w:sz="0" w:space="0" w:color="auto"/>
        <w:bottom w:val="none" w:sz="0" w:space="0" w:color="auto"/>
        <w:right w:val="none" w:sz="0" w:space="0" w:color="auto"/>
      </w:divBdr>
    </w:div>
    <w:div w:id="1807621821">
      <w:bodyDiv w:val="1"/>
      <w:marLeft w:val="0"/>
      <w:marRight w:val="0"/>
      <w:marTop w:val="0"/>
      <w:marBottom w:val="0"/>
      <w:divBdr>
        <w:top w:val="none" w:sz="0" w:space="0" w:color="auto"/>
        <w:left w:val="none" w:sz="0" w:space="0" w:color="auto"/>
        <w:bottom w:val="none" w:sz="0" w:space="0" w:color="auto"/>
        <w:right w:val="none" w:sz="0" w:space="0" w:color="auto"/>
      </w:divBdr>
    </w:div>
    <w:div w:id="1807626089">
      <w:bodyDiv w:val="1"/>
      <w:marLeft w:val="0"/>
      <w:marRight w:val="0"/>
      <w:marTop w:val="0"/>
      <w:marBottom w:val="0"/>
      <w:divBdr>
        <w:top w:val="none" w:sz="0" w:space="0" w:color="auto"/>
        <w:left w:val="none" w:sz="0" w:space="0" w:color="auto"/>
        <w:bottom w:val="none" w:sz="0" w:space="0" w:color="auto"/>
        <w:right w:val="none" w:sz="0" w:space="0" w:color="auto"/>
      </w:divBdr>
    </w:div>
    <w:div w:id="1807628210">
      <w:bodyDiv w:val="1"/>
      <w:marLeft w:val="0"/>
      <w:marRight w:val="0"/>
      <w:marTop w:val="0"/>
      <w:marBottom w:val="0"/>
      <w:divBdr>
        <w:top w:val="none" w:sz="0" w:space="0" w:color="auto"/>
        <w:left w:val="none" w:sz="0" w:space="0" w:color="auto"/>
        <w:bottom w:val="none" w:sz="0" w:space="0" w:color="auto"/>
        <w:right w:val="none" w:sz="0" w:space="0" w:color="auto"/>
      </w:divBdr>
    </w:div>
    <w:div w:id="1807701120">
      <w:bodyDiv w:val="1"/>
      <w:marLeft w:val="0"/>
      <w:marRight w:val="0"/>
      <w:marTop w:val="0"/>
      <w:marBottom w:val="0"/>
      <w:divBdr>
        <w:top w:val="none" w:sz="0" w:space="0" w:color="auto"/>
        <w:left w:val="none" w:sz="0" w:space="0" w:color="auto"/>
        <w:bottom w:val="none" w:sz="0" w:space="0" w:color="auto"/>
        <w:right w:val="none" w:sz="0" w:space="0" w:color="auto"/>
      </w:divBdr>
    </w:div>
    <w:div w:id="1807771074">
      <w:bodyDiv w:val="1"/>
      <w:marLeft w:val="0"/>
      <w:marRight w:val="0"/>
      <w:marTop w:val="0"/>
      <w:marBottom w:val="0"/>
      <w:divBdr>
        <w:top w:val="none" w:sz="0" w:space="0" w:color="auto"/>
        <w:left w:val="none" w:sz="0" w:space="0" w:color="auto"/>
        <w:bottom w:val="none" w:sz="0" w:space="0" w:color="auto"/>
        <w:right w:val="none" w:sz="0" w:space="0" w:color="auto"/>
      </w:divBdr>
    </w:div>
    <w:div w:id="1807812419">
      <w:bodyDiv w:val="1"/>
      <w:marLeft w:val="0"/>
      <w:marRight w:val="0"/>
      <w:marTop w:val="0"/>
      <w:marBottom w:val="0"/>
      <w:divBdr>
        <w:top w:val="none" w:sz="0" w:space="0" w:color="auto"/>
        <w:left w:val="none" w:sz="0" w:space="0" w:color="auto"/>
        <w:bottom w:val="none" w:sz="0" w:space="0" w:color="auto"/>
        <w:right w:val="none" w:sz="0" w:space="0" w:color="auto"/>
      </w:divBdr>
    </w:div>
    <w:div w:id="1807821951">
      <w:bodyDiv w:val="1"/>
      <w:marLeft w:val="0"/>
      <w:marRight w:val="0"/>
      <w:marTop w:val="0"/>
      <w:marBottom w:val="0"/>
      <w:divBdr>
        <w:top w:val="none" w:sz="0" w:space="0" w:color="auto"/>
        <w:left w:val="none" w:sz="0" w:space="0" w:color="auto"/>
        <w:bottom w:val="none" w:sz="0" w:space="0" w:color="auto"/>
        <w:right w:val="none" w:sz="0" w:space="0" w:color="auto"/>
      </w:divBdr>
    </w:div>
    <w:div w:id="1807967657">
      <w:bodyDiv w:val="1"/>
      <w:marLeft w:val="0"/>
      <w:marRight w:val="0"/>
      <w:marTop w:val="0"/>
      <w:marBottom w:val="0"/>
      <w:divBdr>
        <w:top w:val="none" w:sz="0" w:space="0" w:color="auto"/>
        <w:left w:val="none" w:sz="0" w:space="0" w:color="auto"/>
        <w:bottom w:val="none" w:sz="0" w:space="0" w:color="auto"/>
        <w:right w:val="none" w:sz="0" w:space="0" w:color="auto"/>
      </w:divBdr>
    </w:div>
    <w:div w:id="1807971703">
      <w:bodyDiv w:val="1"/>
      <w:marLeft w:val="0"/>
      <w:marRight w:val="0"/>
      <w:marTop w:val="0"/>
      <w:marBottom w:val="0"/>
      <w:divBdr>
        <w:top w:val="none" w:sz="0" w:space="0" w:color="auto"/>
        <w:left w:val="none" w:sz="0" w:space="0" w:color="auto"/>
        <w:bottom w:val="none" w:sz="0" w:space="0" w:color="auto"/>
        <w:right w:val="none" w:sz="0" w:space="0" w:color="auto"/>
      </w:divBdr>
    </w:div>
    <w:div w:id="1808162865">
      <w:bodyDiv w:val="1"/>
      <w:marLeft w:val="0"/>
      <w:marRight w:val="0"/>
      <w:marTop w:val="0"/>
      <w:marBottom w:val="0"/>
      <w:divBdr>
        <w:top w:val="none" w:sz="0" w:space="0" w:color="auto"/>
        <w:left w:val="none" w:sz="0" w:space="0" w:color="auto"/>
        <w:bottom w:val="none" w:sz="0" w:space="0" w:color="auto"/>
        <w:right w:val="none" w:sz="0" w:space="0" w:color="auto"/>
      </w:divBdr>
    </w:div>
    <w:div w:id="1808235115">
      <w:bodyDiv w:val="1"/>
      <w:marLeft w:val="0"/>
      <w:marRight w:val="0"/>
      <w:marTop w:val="0"/>
      <w:marBottom w:val="0"/>
      <w:divBdr>
        <w:top w:val="none" w:sz="0" w:space="0" w:color="auto"/>
        <w:left w:val="none" w:sz="0" w:space="0" w:color="auto"/>
        <w:bottom w:val="none" w:sz="0" w:space="0" w:color="auto"/>
        <w:right w:val="none" w:sz="0" w:space="0" w:color="auto"/>
      </w:divBdr>
    </w:div>
    <w:div w:id="1808279826">
      <w:bodyDiv w:val="1"/>
      <w:marLeft w:val="0"/>
      <w:marRight w:val="0"/>
      <w:marTop w:val="0"/>
      <w:marBottom w:val="0"/>
      <w:divBdr>
        <w:top w:val="none" w:sz="0" w:space="0" w:color="auto"/>
        <w:left w:val="none" w:sz="0" w:space="0" w:color="auto"/>
        <w:bottom w:val="none" w:sz="0" w:space="0" w:color="auto"/>
        <w:right w:val="none" w:sz="0" w:space="0" w:color="auto"/>
      </w:divBdr>
    </w:div>
    <w:div w:id="1808351188">
      <w:bodyDiv w:val="1"/>
      <w:marLeft w:val="0"/>
      <w:marRight w:val="0"/>
      <w:marTop w:val="0"/>
      <w:marBottom w:val="0"/>
      <w:divBdr>
        <w:top w:val="none" w:sz="0" w:space="0" w:color="auto"/>
        <w:left w:val="none" w:sz="0" w:space="0" w:color="auto"/>
        <w:bottom w:val="none" w:sz="0" w:space="0" w:color="auto"/>
        <w:right w:val="none" w:sz="0" w:space="0" w:color="auto"/>
      </w:divBdr>
    </w:div>
    <w:div w:id="1808357009">
      <w:bodyDiv w:val="1"/>
      <w:marLeft w:val="0"/>
      <w:marRight w:val="0"/>
      <w:marTop w:val="0"/>
      <w:marBottom w:val="0"/>
      <w:divBdr>
        <w:top w:val="none" w:sz="0" w:space="0" w:color="auto"/>
        <w:left w:val="none" w:sz="0" w:space="0" w:color="auto"/>
        <w:bottom w:val="none" w:sz="0" w:space="0" w:color="auto"/>
        <w:right w:val="none" w:sz="0" w:space="0" w:color="auto"/>
      </w:divBdr>
    </w:div>
    <w:div w:id="1808425871">
      <w:bodyDiv w:val="1"/>
      <w:marLeft w:val="0"/>
      <w:marRight w:val="0"/>
      <w:marTop w:val="0"/>
      <w:marBottom w:val="0"/>
      <w:divBdr>
        <w:top w:val="none" w:sz="0" w:space="0" w:color="auto"/>
        <w:left w:val="none" w:sz="0" w:space="0" w:color="auto"/>
        <w:bottom w:val="none" w:sz="0" w:space="0" w:color="auto"/>
        <w:right w:val="none" w:sz="0" w:space="0" w:color="auto"/>
      </w:divBdr>
    </w:div>
    <w:div w:id="1808432288">
      <w:bodyDiv w:val="1"/>
      <w:marLeft w:val="0"/>
      <w:marRight w:val="0"/>
      <w:marTop w:val="0"/>
      <w:marBottom w:val="0"/>
      <w:divBdr>
        <w:top w:val="none" w:sz="0" w:space="0" w:color="auto"/>
        <w:left w:val="none" w:sz="0" w:space="0" w:color="auto"/>
        <w:bottom w:val="none" w:sz="0" w:space="0" w:color="auto"/>
        <w:right w:val="none" w:sz="0" w:space="0" w:color="auto"/>
      </w:divBdr>
    </w:div>
    <w:div w:id="1808468625">
      <w:bodyDiv w:val="1"/>
      <w:marLeft w:val="0"/>
      <w:marRight w:val="0"/>
      <w:marTop w:val="0"/>
      <w:marBottom w:val="0"/>
      <w:divBdr>
        <w:top w:val="none" w:sz="0" w:space="0" w:color="auto"/>
        <w:left w:val="none" w:sz="0" w:space="0" w:color="auto"/>
        <w:bottom w:val="none" w:sz="0" w:space="0" w:color="auto"/>
        <w:right w:val="none" w:sz="0" w:space="0" w:color="auto"/>
      </w:divBdr>
    </w:div>
    <w:div w:id="1808471976">
      <w:bodyDiv w:val="1"/>
      <w:marLeft w:val="0"/>
      <w:marRight w:val="0"/>
      <w:marTop w:val="0"/>
      <w:marBottom w:val="0"/>
      <w:divBdr>
        <w:top w:val="none" w:sz="0" w:space="0" w:color="auto"/>
        <w:left w:val="none" w:sz="0" w:space="0" w:color="auto"/>
        <w:bottom w:val="none" w:sz="0" w:space="0" w:color="auto"/>
        <w:right w:val="none" w:sz="0" w:space="0" w:color="auto"/>
      </w:divBdr>
    </w:div>
    <w:div w:id="1808477062">
      <w:bodyDiv w:val="1"/>
      <w:marLeft w:val="0"/>
      <w:marRight w:val="0"/>
      <w:marTop w:val="0"/>
      <w:marBottom w:val="0"/>
      <w:divBdr>
        <w:top w:val="none" w:sz="0" w:space="0" w:color="auto"/>
        <w:left w:val="none" w:sz="0" w:space="0" w:color="auto"/>
        <w:bottom w:val="none" w:sz="0" w:space="0" w:color="auto"/>
        <w:right w:val="none" w:sz="0" w:space="0" w:color="auto"/>
      </w:divBdr>
    </w:div>
    <w:div w:id="1808544180">
      <w:bodyDiv w:val="1"/>
      <w:marLeft w:val="0"/>
      <w:marRight w:val="0"/>
      <w:marTop w:val="0"/>
      <w:marBottom w:val="0"/>
      <w:divBdr>
        <w:top w:val="none" w:sz="0" w:space="0" w:color="auto"/>
        <w:left w:val="none" w:sz="0" w:space="0" w:color="auto"/>
        <w:bottom w:val="none" w:sz="0" w:space="0" w:color="auto"/>
        <w:right w:val="none" w:sz="0" w:space="0" w:color="auto"/>
      </w:divBdr>
    </w:div>
    <w:div w:id="1808549260">
      <w:bodyDiv w:val="1"/>
      <w:marLeft w:val="0"/>
      <w:marRight w:val="0"/>
      <w:marTop w:val="0"/>
      <w:marBottom w:val="0"/>
      <w:divBdr>
        <w:top w:val="none" w:sz="0" w:space="0" w:color="auto"/>
        <w:left w:val="none" w:sz="0" w:space="0" w:color="auto"/>
        <w:bottom w:val="none" w:sz="0" w:space="0" w:color="auto"/>
        <w:right w:val="none" w:sz="0" w:space="0" w:color="auto"/>
      </w:divBdr>
    </w:div>
    <w:div w:id="1808550380">
      <w:bodyDiv w:val="1"/>
      <w:marLeft w:val="0"/>
      <w:marRight w:val="0"/>
      <w:marTop w:val="0"/>
      <w:marBottom w:val="0"/>
      <w:divBdr>
        <w:top w:val="none" w:sz="0" w:space="0" w:color="auto"/>
        <w:left w:val="none" w:sz="0" w:space="0" w:color="auto"/>
        <w:bottom w:val="none" w:sz="0" w:space="0" w:color="auto"/>
        <w:right w:val="none" w:sz="0" w:space="0" w:color="auto"/>
      </w:divBdr>
    </w:div>
    <w:div w:id="1808664525">
      <w:bodyDiv w:val="1"/>
      <w:marLeft w:val="0"/>
      <w:marRight w:val="0"/>
      <w:marTop w:val="0"/>
      <w:marBottom w:val="0"/>
      <w:divBdr>
        <w:top w:val="none" w:sz="0" w:space="0" w:color="auto"/>
        <w:left w:val="none" w:sz="0" w:space="0" w:color="auto"/>
        <w:bottom w:val="none" w:sz="0" w:space="0" w:color="auto"/>
        <w:right w:val="none" w:sz="0" w:space="0" w:color="auto"/>
      </w:divBdr>
    </w:div>
    <w:div w:id="1808664850">
      <w:bodyDiv w:val="1"/>
      <w:marLeft w:val="0"/>
      <w:marRight w:val="0"/>
      <w:marTop w:val="0"/>
      <w:marBottom w:val="0"/>
      <w:divBdr>
        <w:top w:val="none" w:sz="0" w:space="0" w:color="auto"/>
        <w:left w:val="none" w:sz="0" w:space="0" w:color="auto"/>
        <w:bottom w:val="none" w:sz="0" w:space="0" w:color="auto"/>
        <w:right w:val="none" w:sz="0" w:space="0" w:color="auto"/>
      </w:divBdr>
    </w:div>
    <w:div w:id="1808740092">
      <w:bodyDiv w:val="1"/>
      <w:marLeft w:val="0"/>
      <w:marRight w:val="0"/>
      <w:marTop w:val="0"/>
      <w:marBottom w:val="0"/>
      <w:divBdr>
        <w:top w:val="none" w:sz="0" w:space="0" w:color="auto"/>
        <w:left w:val="none" w:sz="0" w:space="0" w:color="auto"/>
        <w:bottom w:val="none" w:sz="0" w:space="0" w:color="auto"/>
        <w:right w:val="none" w:sz="0" w:space="0" w:color="auto"/>
      </w:divBdr>
    </w:div>
    <w:div w:id="1809085152">
      <w:bodyDiv w:val="1"/>
      <w:marLeft w:val="0"/>
      <w:marRight w:val="0"/>
      <w:marTop w:val="0"/>
      <w:marBottom w:val="0"/>
      <w:divBdr>
        <w:top w:val="none" w:sz="0" w:space="0" w:color="auto"/>
        <w:left w:val="none" w:sz="0" w:space="0" w:color="auto"/>
        <w:bottom w:val="none" w:sz="0" w:space="0" w:color="auto"/>
        <w:right w:val="none" w:sz="0" w:space="0" w:color="auto"/>
      </w:divBdr>
    </w:div>
    <w:div w:id="1809087561">
      <w:bodyDiv w:val="1"/>
      <w:marLeft w:val="0"/>
      <w:marRight w:val="0"/>
      <w:marTop w:val="0"/>
      <w:marBottom w:val="0"/>
      <w:divBdr>
        <w:top w:val="none" w:sz="0" w:space="0" w:color="auto"/>
        <w:left w:val="none" w:sz="0" w:space="0" w:color="auto"/>
        <w:bottom w:val="none" w:sz="0" w:space="0" w:color="auto"/>
        <w:right w:val="none" w:sz="0" w:space="0" w:color="auto"/>
      </w:divBdr>
    </w:div>
    <w:div w:id="1809132541">
      <w:bodyDiv w:val="1"/>
      <w:marLeft w:val="0"/>
      <w:marRight w:val="0"/>
      <w:marTop w:val="0"/>
      <w:marBottom w:val="0"/>
      <w:divBdr>
        <w:top w:val="none" w:sz="0" w:space="0" w:color="auto"/>
        <w:left w:val="none" w:sz="0" w:space="0" w:color="auto"/>
        <w:bottom w:val="none" w:sz="0" w:space="0" w:color="auto"/>
        <w:right w:val="none" w:sz="0" w:space="0" w:color="auto"/>
      </w:divBdr>
    </w:div>
    <w:div w:id="1809275232">
      <w:bodyDiv w:val="1"/>
      <w:marLeft w:val="0"/>
      <w:marRight w:val="0"/>
      <w:marTop w:val="0"/>
      <w:marBottom w:val="0"/>
      <w:divBdr>
        <w:top w:val="none" w:sz="0" w:space="0" w:color="auto"/>
        <w:left w:val="none" w:sz="0" w:space="0" w:color="auto"/>
        <w:bottom w:val="none" w:sz="0" w:space="0" w:color="auto"/>
        <w:right w:val="none" w:sz="0" w:space="0" w:color="auto"/>
      </w:divBdr>
    </w:div>
    <w:div w:id="1809396875">
      <w:bodyDiv w:val="1"/>
      <w:marLeft w:val="0"/>
      <w:marRight w:val="0"/>
      <w:marTop w:val="0"/>
      <w:marBottom w:val="0"/>
      <w:divBdr>
        <w:top w:val="none" w:sz="0" w:space="0" w:color="auto"/>
        <w:left w:val="none" w:sz="0" w:space="0" w:color="auto"/>
        <w:bottom w:val="none" w:sz="0" w:space="0" w:color="auto"/>
        <w:right w:val="none" w:sz="0" w:space="0" w:color="auto"/>
      </w:divBdr>
    </w:div>
    <w:div w:id="1809401041">
      <w:bodyDiv w:val="1"/>
      <w:marLeft w:val="0"/>
      <w:marRight w:val="0"/>
      <w:marTop w:val="0"/>
      <w:marBottom w:val="0"/>
      <w:divBdr>
        <w:top w:val="none" w:sz="0" w:space="0" w:color="auto"/>
        <w:left w:val="none" w:sz="0" w:space="0" w:color="auto"/>
        <w:bottom w:val="none" w:sz="0" w:space="0" w:color="auto"/>
        <w:right w:val="none" w:sz="0" w:space="0" w:color="auto"/>
      </w:divBdr>
    </w:div>
    <w:div w:id="1809780956">
      <w:bodyDiv w:val="1"/>
      <w:marLeft w:val="0"/>
      <w:marRight w:val="0"/>
      <w:marTop w:val="0"/>
      <w:marBottom w:val="0"/>
      <w:divBdr>
        <w:top w:val="none" w:sz="0" w:space="0" w:color="auto"/>
        <w:left w:val="none" w:sz="0" w:space="0" w:color="auto"/>
        <w:bottom w:val="none" w:sz="0" w:space="0" w:color="auto"/>
        <w:right w:val="none" w:sz="0" w:space="0" w:color="auto"/>
      </w:divBdr>
    </w:div>
    <w:div w:id="1810005106">
      <w:bodyDiv w:val="1"/>
      <w:marLeft w:val="0"/>
      <w:marRight w:val="0"/>
      <w:marTop w:val="0"/>
      <w:marBottom w:val="0"/>
      <w:divBdr>
        <w:top w:val="none" w:sz="0" w:space="0" w:color="auto"/>
        <w:left w:val="none" w:sz="0" w:space="0" w:color="auto"/>
        <w:bottom w:val="none" w:sz="0" w:space="0" w:color="auto"/>
        <w:right w:val="none" w:sz="0" w:space="0" w:color="auto"/>
      </w:divBdr>
    </w:div>
    <w:div w:id="1810391017">
      <w:bodyDiv w:val="1"/>
      <w:marLeft w:val="0"/>
      <w:marRight w:val="0"/>
      <w:marTop w:val="0"/>
      <w:marBottom w:val="0"/>
      <w:divBdr>
        <w:top w:val="none" w:sz="0" w:space="0" w:color="auto"/>
        <w:left w:val="none" w:sz="0" w:space="0" w:color="auto"/>
        <w:bottom w:val="none" w:sz="0" w:space="0" w:color="auto"/>
        <w:right w:val="none" w:sz="0" w:space="0" w:color="auto"/>
      </w:divBdr>
    </w:div>
    <w:div w:id="1810512965">
      <w:bodyDiv w:val="1"/>
      <w:marLeft w:val="0"/>
      <w:marRight w:val="0"/>
      <w:marTop w:val="0"/>
      <w:marBottom w:val="0"/>
      <w:divBdr>
        <w:top w:val="none" w:sz="0" w:space="0" w:color="auto"/>
        <w:left w:val="none" w:sz="0" w:space="0" w:color="auto"/>
        <w:bottom w:val="none" w:sz="0" w:space="0" w:color="auto"/>
        <w:right w:val="none" w:sz="0" w:space="0" w:color="auto"/>
      </w:divBdr>
    </w:div>
    <w:div w:id="1810584117">
      <w:bodyDiv w:val="1"/>
      <w:marLeft w:val="0"/>
      <w:marRight w:val="0"/>
      <w:marTop w:val="0"/>
      <w:marBottom w:val="0"/>
      <w:divBdr>
        <w:top w:val="none" w:sz="0" w:space="0" w:color="auto"/>
        <w:left w:val="none" w:sz="0" w:space="0" w:color="auto"/>
        <w:bottom w:val="none" w:sz="0" w:space="0" w:color="auto"/>
        <w:right w:val="none" w:sz="0" w:space="0" w:color="auto"/>
      </w:divBdr>
    </w:div>
    <w:div w:id="1810633708">
      <w:bodyDiv w:val="1"/>
      <w:marLeft w:val="0"/>
      <w:marRight w:val="0"/>
      <w:marTop w:val="0"/>
      <w:marBottom w:val="0"/>
      <w:divBdr>
        <w:top w:val="none" w:sz="0" w:space="0" w:color="auto"/>
        <w:left w:val="none" w:sz="0" w:space="0" w:color="auto"/>
        <w:bottom w:val="none" w:sz="0" w:space="0" w:color="auto"/>
        <w:right w:val="none" w:sz="0" w:space="0" w:color="auto"/>
      </w:divBdr>
    </w:div>
    <w:div w:id="1810636324">
      <w:bodyDiv w:val="1"/>
      <w:marLeft w:val="0"/>
      <w:marRight w:val="0"/>
      <w:marTop w:val="0"/>
      <w:marBottom w:val="0"/>
      <w:divBdr>
        <w:top w:val="none" w:sz="0" w:space="0" w:color="auto"/>
        <w:left w:val="none" w:sz="0" w:space="0" w:color="auto"/>
        <w:bottom w:val="none" w:sz="0" w:space="0" w:color="auto"/>
        <w:right w:val="none" w:sz="0" w:space="0" w:color="auto"/>
      </w:divBdr>
    </w:div>
    <w:div w:id="1810702408">
      <w:bodyDiv w:val="1"/>
      <w:marLeft w:val="0"/>
      <w:marRight w:val="0"/>
      <w:marTop w:val="0"/>
      <w:marBottom w:val="0"/>
      <w:divBdr>
        <w:top w:val="none" w:sz="0" w:space="0" w:color="auto"/>
        <w:left w:val="none" w:sz="0" w:space="0" w:color="auto"/>
        <w:bottom w:val="none" w:sz="0" w:space="0" w:color="auto"/>
        <w:right w:val="none" w:sz="0" w:space="0" w:color="auto"/>
      </w:divBdr>
    </w:div>
    <w:div w:id="1810704267">
      <w:bodyDiv w:val="1"/>
      <w:marLeft w:val="0"/>
      <w:marRight w:val="0"/>
      <w:marTop w:val="0"/>
      <w:marBottom w:val="0"/>
      <w:divBdr>
        <w:top w:val="none" w:sz="0" w:space="0" w:color="auto"/>
        <w:left w:val="none" w:sz="0" w:space="0" w:color="auto"/>
        <w:bottom w:val="none" w:sz="0" w:space="0" w:color="auto"/>
        <w:right w:val="none" w:sz="0" w:space="0" w:color="auto"/>
      </w:divBdr>
    </w:div>
    <w:div w:id="1810704882">
      <w:bodyDiv w:val="1"/>
      <w:marLeft w:val="0"/>
      <w:marRight w:val="0"/>
      <w:marTop w:val="0"/>
      <w:marBottom w:val="0"/>
      <w:divBdr>
        <w:top w:val="none" w:sz="0" w:space="0" w:color="auto"/>
        <w:left w:val="none" w:sz="0" w:space="0" w:color="auto"/>
        <w:bottom w:val="none" w:sz="0" w:space="0" w:color="auto"/>
        <w:right w:val="none" w:sz="0" w:space="0" w:color="auto"/>
      </w:divBdr>
    </w:div>
    <w:div w:id="1810779658">
      <w:bodyDiv w:val="1"/>
      <w:marLeft w:val="0"/>
      <w:marRight w:val="0"/>
      <w:marTop w:val="0"/>
      <w:marBottom w:val="0"/>
      <w:divBdr>
        <w:top w:val="none" w:sz="0" w:space="0" w:color="auto"/>
        <w:left w:val="none" w:sz="0" w:space="0" w:color="auto"/>
        <w:bottom w:val="none" w:sz="0" w:space="0" w:color="auto"/>
        <w:right w:val="none" w:sz="0" w:space="0" w:color="auto"/>
      </w:divBdr>
    </w:div>
    <w:div w:id="1810825871">
      <w:bodyDiv w:val="1"/>
      <w:marLeft w:val="0"/>
      <w:marRight w:val="0"/>
      <w:marTop w:val="0"/>
      <w:marBottom w:val="0"/>
      <w:divBdr>
        <w:top w:val="none" w:sz="0" w:space="0" w:color="auto"/>
        <w:left w:val="none" w:sz="0" w:space="0" w:color="auto"/>
        <w:bottom w:val="none" w:sz="0" w:space="0" w:color="auto"/>
        <w:right w:val="none" w:sz="0" w:space="0" w:color="auto"/>
      </w:divBdr>
    </w:div>
    <w:div w:id="1810899679">
      <w:bodyDiv w:val="1"/>
      <w:marLeft w:val="0"/>
      <w:marRight w:val="0"/>
      <w:marTop w:val="0"/>
      <w:marBottom w:val="0"/>
      <w:divBdr>
        <w:top w:val="none" w:sz="0" w:space="0" w:color="auto"/>
        <w:left w:val="none" w:sz="0" w:space="0" w:color="auto"/>
        <w:bottom w:val="none" w:sz="0" w:space="0" w:color="auto"/>
        <w:right w:val="none" w:sz="0" w:space="0" w:color="auto"/>
      </w:divBdr>
    </w:div>
    <w:div w:id="1810902408">
      <w:bodyDiv w:val="1"/>
      <w:marLeft w:val="0"/>
      <w:marRight w:val="0"/>
      <w:marTop w:val="0"/>
      <w:marBottom w:val="0"/>
      <w:divBdr>
        <w:top w:val="none" w:sz="0" w:space="0" w:color="auto"/>
        <w:left w:val="none" w:sz="0" w:space="0" w:color="auto"/>
        <w:bottom w:val="none" w:sz="0" w:space="0" w:color="auto"/>
        <w:right w:val="none" w:sz="0" w:space="0" w:color="auto"/>
      </w:divBdr>
    </w:div>
    <w:div w:id="1811314992">
      <w:bodyDiv w:val="1"/>
      <w:marLeft w:val="0"/>
      <w:marRight w:val="0"/>
      <w:marTop w:val="0"/>
      <w:marBottom w:val="0"/>
      <w:divBdr>
        <w:top w:val="none" w:sz="0" w:space="0" w:color="auto"/>
        <w:left w:val="none" w:sz="0" w:space="0" w:color="auto"/>
        <w:bottom w:val="none" w:sz="0" w:space="0" w:color="auto"/>
        <w:right w:val="none" w:sz="0" w:space="0" w:color="auto"/>
      </w:divBdr>
    </w:div>
    <w:div w:id="1811360380">
      <w:bodyDiv w:val="1"/>
      <w:marLeft w:val="0"/>
      <w:marRight w:val="0"/>
      <w:marTop w:val="0"/>
      <w:marBottom w:val="0"/>
      <w:divBdr>
        <w:top w:val="none" w:sz="0" w:space="0" w:color="auto"/>
        <w:left w:val="none" w:sz="0" w:space="0" w:color="auto"/>
        <w:bottom w:val="none" w:sz="0" w:space="0" w:color="auto"/>
        <w:right w:val="none" w:sz="0" w:space="0" w:color="auto"/>
      </w:divBdr>
    </w:div>
    <w:div w:id="1811558124">
      <w:bodyDiv w:val="1"/>
      <w:marLeft w:val="0"/>
      <w:marRight w:val="0"/>
      <w:marTop w:val="0"/>
      <w:marBottom w:val="0"/>
      <w:divBdr>
        <w:top w:val="none" w:sz="0" w:space="0" w:color="auto"/>
        <w:left w:val="none" w:sz="0" w:space="0" w:color="auto"/>
        <w:bottom w:val="none" w:sz="0" w:space="0" w:color="auto"/>
        <w:right w:val="none" w:sz="0" w:space="0" w:color="auto"/>
      </w:divBdr>
    </w:div>
    <w:div w:id="1811628138">
      <w:bodyDiv w:val="1"/>
      <w:marLeft w:val="0"/>
      <w:marRight w:val="0"/>
      <w:marTop w:val="0"/>
      <w:marBottom w:val="0"/>
      <w:divBdr>
        <w:top w:val="none" w:sz="0" w:space="0" w:color="auto"/>
        <w:left w:val="none" w:sz="0" w:space="0" w:color="auto"/>
        <w:bottom w:val="none" w:sz="0" w:space="0" w:color="auto"/>
        <w:right w:val="none" w:sz="0" w:space="0" w:color="auto"/>
      </w:divBdr>
    </w:div>
    <w:div w:id="1811751744">
      <w:bodyDiv w:val="1"/>
      <w:marLeft w:val="0"/>
      <w:marRight w:val="0"/>
      <w:marTop w:val="0"/>
      <w:marBottom w:val="0"/>
      <w:divBdr>
        <w:top w:val="none" w:sz="0" w:space="0" w:color="auto"/>
        <w:left w:val="none" w:sz="0" w:space="0" w:color="auto"/>
        <w:bottom w:val="none" w:sz="0" w:space="0" w:color="auto"/>
        <w:right w:val="none" w:sz="0" w:space="0" w:color="auto"/>
      </w:divBdr>
    </w:div>
    <w:div w:id="1811751788">
      <w:bodyDiv w:val="1"/>
      <w:marLeft w:val="0"/>
      <w:marRight w:val="0"/>
      <w:marTop w:val="0"/>
      <w:marBottom w:val="0"/>
      <w:divBdr>
        <w:top w:val="none" w:sz="0" w:space="0" w:color="auto"/>
        <w:left w:val="none" w:sz="0" w:space="0" w:color="auto"/>
        <w:bottom w:val="none" w:sz="0" w:space="0" w:color="auto"/>
        <w:right w:val="none" w:sz="0" w:space="0" w:color="auto"/>
      </w:divBdr>
    </w:div>
    <w:div w:id="1811823988">
      <w:bodyDiv w:val="1"/>
      <w:marLeft w:val="0"/>
      <w:marRight w:val="0"/>
      <w:marTop w:val="0"/>
      <w:marBottom w:val="0"/>
      <w:divBdr>
        <w:top w:val="none" w:sz="0" w:space="0" w:color="auto"/>
        <w:left w:val="none" w:sz="0" w:space="0" w:color="auto"/>
        <w:bottom w:val="none" w:sz="0" w:space="0" w:color="auto"/>
        <w:right w:val="none" w:sz="0" w:space="0" w:color="auto"/>
      </w:divBdr>
    </w:div>
    <w:div w:id="1811899939">
      <w:bodyDiv w:val="1"/>
      <w:marLeft w:val="0"/>
      <w:marRight w:val="0"/>
      <w:marTop w:val="0"/>
      <w:marBottom w:val="0"/>
      <w:divBdr>
        <w:top w:val="none" w:sz="0" w:space="0" w:color="auto"/>
        <w:left w:val="none" w:sz="0" w:space="0" w:color="auto"/>
        <w:bottom w:val="none" w:sz="0" w:space="0" w:color="auto"/>
        <w:right w:val="none" w:sz="0" w:space="0" w:color="auto"/>
      </w:divBdr>
    </w:div>
    <w:div w:id="1811942545">
      <w:bodyDiv w:val="1"/>
      <w:marLeft w:val="0"/>
      <w:marRight w:val="0"/>
      <w:marTop w:val="0"/>
      <w:marBottom w:val="0"/>
      <w:divBdr>
        <w:top w:val="none" w:sz="0" w:space="0" w:color="auto"/>
        <w:left w:val="none" w:sz="0" w:space="0" w:color="auto"/>
        <w:bottom w:val="none" w:sz="0" w:space="0" w:color="auto"/>
        <w:right w:val="none" w:sz="0" w:space="0" w:color="auto"/>
      </w:divBdr>
    </w:div>
    <w:div w:id="1812091131">
      <w:bodyDiv w:val="1"/>
      <w:marLeft w:val="0"/>
      <w:marRight w:val="0"/>
      <w:marTop w:val="0"/>
      <w:marBottom w:val="0"/>
      <w:divBdr>
        <w:top w:val="none" w:sz="0" w:space="0" w:color="auto"/>
        <w:left w:val="none" w:sz="0" w:space="0" w:color="auto"/>
        <w:bottom w:val="none" w:sz="0" w:space="0" w:color="auto"/>
        <w:right w:val="none" w:sz="0" w:space="0" w:color="auto"/>
      </w:divBdr>
    </w:div>
    <w:div w:id="1812168392">
      <w:bodyDiv w:val="1"/>
      <w:marLeft w:val="0"/>
      <w:marRight w:val="0"/>
      <w:marTop w:val="0"/>
      <w:marBottom w:val="0"/>
      <w:divBdr>
        <w:top w:val="none" w:sz="0" w:space="0" w:color="auto"/>
        <w:left w:val="none" w:sz="0" w:space="0" w:color="auto"/>
        <w:bottom w:val="none" w:sz="0" w:space="0" w:color="auto"/>
        <w:right w:val="none" w:sz="0" w:space="0" w:color="auto"/>
      </w:divBdr>
    </w:div>
    <w:div w:id="1812207071">
      <w:bodyDiv w:val="1"/>
      <w:marLeft w:val="0"/>
      <w:marRight w:val="0"/>
      <w:marTop w:val="0"/>
      <w:marBottom w:val="0"/>
      <w:divBdr>
        <w:top w:val="none" w:sz="0" w:space="0" w:color="auto"/>
        <w:left w:val="none" w:sz="0" w:space="0" w:color="auto"/>
        <w:bottom w:val="none" w:sz="0" w:space="0" w:color="auto"/>
        <w:right w:val="none" w:sz="0" w:space="0" w:color="auto"/>
      </w:divBdr>
    </w:div>
    <w:div w:id="1812210164">
      <w:bodyDiv w:val="1"/>
      <w:marLeft w:val="0"/>
      <w:marRight w:val="0"/>
      <w:marTop w:val="0"/>
      <w:marBottom w:val="0"/>
      <w:divBdr>
        <w:top w:val="none" w:sz="0" w:space="0" w:color="auto"/>
        <w:left w:val="none" w:sz="0" w:space="0" w:color="auto"/>
        <w:bottom w:val="none" w:sz="0" w:space="0" w:color="auto"/>
        <w:right w:val="none" w:sz="0" w:space="0" w:color="auto"/>
      </w:divBdr>
    </w:div>
    <w:div w:id="1812360040">
      <w:bodyDiv w:val="1"/>
      <w:marLeft w:val="0"/>
      <w:marRight w:val="0"/>
      <w:marTop w:val="0"/>
      <w:marBottom w:val="0"/>
      <w:divBdr>
        <w:top w:val="none" w:sz="0" w:space="0" w:color="auto"/>
        <w:left w:val="none" w:sz="0" w:space="0" w:color="auto"/>
        <w:bottom w:val="none" w:sz="0" w:space="0" w:color="auto"/>
        <w:right w:val="none" w:sz="0" w:space="0" w:color="auto"/>
      </w:divBdr>
    </w:div>
    <w:div w:id="1812476414">
      <w:bodyDiv w:val="1"/>
      <w:marLeft w:val="0"/>
      <w:marRight w:val="0"/>
      <w:marTop w:val="0"/>
      <w:marBottom w:val="0"/>
      <w:divBdr>
        <w:top w:val="none" w:sz="0" w:space="0" w:color="auto"/>
        <w:left w:val="none" w:sz="0" w:space="0" w:color="auto"/>
        <w:bottom w:val="none" w:sz="0" w:space="0" w:color="auto"/>
        <w:right w:val="none" w:sz="0" w:space="0" w:color="auto"/>
      </w:divBdr>
    </w:div>
    <w:div w:id="1812481782">
      <w:bodyDiv w:val="1"/>
      <w:marLeft w:val="0"/>
      <w:marRight w:val="0"/>
      <w:marTop w:val="0"/>
      <w:marBottom w:val="0"/>
      <w:divBdr>
        <w:top w:val="none" w:sz="0" w:space="0" w:color="auto"/>
        <w:left w:val="none" w:sz="0" w:space="0" w:color="auto"/>
        <w:bottom w:val="none" w:sz="0" w:space="0" w:color="auto"/>
        <w:right w:val="none" w:sz="0" w:space="0" w:color="auto"/>
      </w:divBdr>
    </w:div>
    <w:div w:id="1812594806">
      <w:bodyDiv w:val="1"/>
      <w:marLeft w:val="0"/>
      <w:marRight w:val="0"/>
      <w:marTop w:val="0"/>
      <w:marBottom w:val="0"/>
      <w:divBdr>
        <w:top w:val="none" w:sz="0" w:space="0" w:color="auto"/>
        <w:left w:val="none" w:sz="0" w:space="0" w:color="auto"/>
        <w:bottom w:val="none" w:sz="0" w:space="0" w:color="auto"/>
        <w:right w:val="none" w:sz="0" w:space="0" w:color="auto"/>
      </w:divBdr>
    </w:div>
    <w:div w:id="1812626763">
      <w:bodyDiv w:val="1"/>
      <w:marLeft w:val="0"/>
      <w:marRight w:val="0"/>
      <w:marTop w:val="0"/>
      <w:marBottom w:val="0"/>
      <w:divBdr>
        <w:top w:val="none" w:sz="0" w:space="0" w:color="auto"/>
        <w:left w:val="none" w:sz="0" w:space="0" w:color="auto"/>
        <w:bottom w:val="none" w:sz="0" w:space="0" w:color="auto"/>
        <w:right w:val="none" w:sz="0" w:space="0" w:color="auto"/>
      </w:divBdr>
    </w:div>
    <w:div w:id="1812751160">
      <w:bodyDiv w:val="1"/>
      <w:marLeft w:val="0"/>
      <w:marRight w:val="0"/>
      <w:marTop w:val="0"/>
      <w:marBottom w:val="0"/>
      <w:divBdr>
        <w:top w:val="none" w:sz="0" w:space="0" w:color="auto"/>
        <w:left w:val="none" w:sz="0" w:space="0" w:color="auto"/>
        <w:bottom w:val="none" w:sz="0" w:space="0" w:color="auto"/>
        <w:right w:val="none" w:sz="0" w:space="0" w:color="auto"/>
      </w:divBdr>
    </w:div>
    <w:div w:id="1812751756">
      <w:bodyDiv w:val="1"/>
      <w:marLeft w:val="0"/>
      <w:marRight w:val="0"/>
      <w:marTop w:val="0"/>
      <w:marBottom w:val="0"/>
      <w:divBdr>
        <w:top w:val="none" w:sz="0" w:space="0" w:color="auto"/>
        <w:left w:val="none" w:sz="0" w:space="0" w:color="auto"/>
        <w:bottom w:val="none" w:sz="0" w:space="0" w:color="auto"/>
        <w:right w:val="none" w:sz="0" w:space="0" w:color="auto"/>
      </w:divBdr>
    </w:div>
    <w:div w:id="1812819018">
      <w:bodyDiv w:val="1"/>
      <w:marLeft w:val="0"/>
      <w:marRight w:val="0"/>
      <w:marTop w:val="0"/>
      <w:marBottom w:val="0"/>
      <w:divBdr>
        <w:top w:val="none" w:sz="0" w:space="0" w:color="auto"/>
        <w:left w:val="none" w:sz="0" w:space="0" w:color="auto"/>
        <w:bottom w:val="none" w:sz="0" w:space="0" w:color="auto"/>
        <w:right w:val="none" w:sz="0" w:space="0" w:color="auto"/>
      </w:divBdr>
    </w:div>
    <w:div w:id="1812938866">
      <w:bodyDiv w:val="1"/>
      <w:marLeft w:val="0"/>
      <w:marRight w:val="0"/>
      <w:marTop w:val="0"/>
      <w:marBottom w:val="0"/>
      <w:divBdr>
        <w:top w:val="none" w:sz="0" w:space="0" w:color="auto"/>
        <w:left w:val="none" w:sz="0" w:space="0" w:color="auto"/>
        <w:bottom w:val="none" w:sz="0" w:space="0" w:color="auto"/>
        <w:right w:val="none" w:sz="0" w:space="0" w:color="auto"/>
      </w:divBdr>
    </w:div>
    <w:div w:id="1813017981">
      <w:bodyDiv w:val="1"/>
      <w:marLeft w:val="0"/>
      <w:marRight w:val="0"/>
      <w:marTop w:val="0"/>
      <w:marBottom w:val="0"/>
      <w:divBdr>
        <w:top w:val="none" w:sz="0" w:space="0" w:color="auto"/>
        <w:left w:val="none" w:sz="0" w:space="0" w:color="auto"/>
        <w:bottom w:val="none" w:sz="0" w:space="0" w:color="auto"/>
        <w:right w:val="none" w:sz="0" w:space="0" w:color="auto"/>
      </w:divBdr>
    </w:div>
    <w:div w:id="1813055697">
      <w:bodyDiv w:val="1"/>
      <w:marLeft w:val="0"/>
      <w:marRight w:val="0"/>
      <w:marTop w:val="0"/>
      <w:marBottom w:val="0"/>
      <w:divBdr>
        <w:top w:val="none" w:sz="0" w:space="0" w:color="auto"/>
        <w:left w:val="none" w:sz="0" w:space="0" w:color="auto"/>
        <w:bottom w:val="none" w:sz="0" w:space="0" w:color="auto"/>
        <w:right w:val="none" w:sz="0" w:space="0" w:color="auto"/>
      </w:divBdr>
    </w:div>
    <w:div w:id="1813207716">
      <w:bodyDiv w:val="1"/>
      <w:marLeft w:val="0"/>
      <w:marRight w:val="0"/>
      <w:marTop w:val="0"/>
      <w:marBottom w:val="0"/>
      <w:divBdr>
        <w:top w:val="none" w:sz="0" w:space="0" w:color="auto"/>
        <w:left w:val="none" w:sz="0" w:space="0" w:color="auto"/>
        <w:bottom w:val="none" w:sz="0" w:space="0" w:color="auto"/>
        <w:right w:val="none" w:sz="0" w:space="0" w:color="auto"/>
      </w:divBdr>
    </w:div>
    <w:div w:id="1813212955">
      <w:bodyDiv w:val="1"/>
      <w:marLeft w:val="0"/>
      <w:marRight w:val="0"/>
      <w:marTop w:val="0"/>
      <w:marBottom w:val="0"/>
      <w:divBdr>
        <w:top w:val="none" w:sz="0" w:space="0" w:color="auto"/>
        <w:left w:val="none" w:sz="0" w:space="0" w:color="auto"/>
        <w:bottom w:val="none" w:sz="0" w:space="0" w:color="auto"/>
        <w:right w:val="none" w:sz="0" w:space="0" w:color="auto"/>
      </w:divBdr>
    </w:div>
    <w:div w:id="1813251535">
      <w:bodyDiv w:val="1"/>
      <w:marLeft w:val="0"/>
      <w:marRight w:val="0"/>
      <w:marTop w:val="0"/>
      <w:marBottom w:val="0"/>
      <w:divBdr>
        <w:top w:val="none" w:sz="0" w:space="0" w:color="auto"/>
        <w:left w:val="none" w:sz="0" w:space="0" w:color="auto"/>
        <w:bottom w:val="none" w:sz="0" w:space="0" w:color="auto"/>
        <w:right w:val="none" w:sz="0" w:space="0" w:color="auto"/>
      </w:divBdr>
    </w:div>
    <w:div w:id="1813252759">
      <w:bodyDiv w:val="1"/>
      <w:marLeft w:val="0"/>
      <w:marRight w:val="0"/>
      <w:marTop w:val="0"/>
      <w:marBottom w:val="0"/>
      <w:divBdr>
        <w:top w:val="none" w:sz="0" w:space="0" w:color="auto"/>
        <w:left w:val="none" w:sz="0" w:space="0" w:color="auto"/>
        <w:bottom w:val="none" w:sz="0" w:space="0" w:color="auto"/>
        <w:right w:val="none" w:sz="0" w:space="0" w:color="auto"/>
      </w:divBdr>
    </w:div>
    <w:div w:id="1813253243">
      <w:bodyDiv w:val="1"/>
      <w:marLeft w:val="0"/>
      <w:marRight w:val="0"/>
      <w:marTop w:val="0"/>
      <w:marBottom w:val="0"/>
      <w:divBdr>
        <w:top w:val="none" w:sz="0" w:space="0" w:color="auto"/>
        <w:left w:val="none" w:sz="0" w:space="0" w:color="auto"/>
        <w:bottom w:val="none" w:sz="0" w:space="0" w:color="auto"/>
        <w:right w:val="none" w:sz="0" w:space="0" w:color="auto"/>
      </w:divBdr>
    </w:div>
    <w:div w:id="1813326480">
      <w:bodyDiv w:val="1"/>
      <w:marLeft w:val="0"/>
      <w:marRight w:val="0"/>
      <w:marTop w:val="0"/>
      <w:marBottom w:val="0"/>
      <w:divBdr>
        <w:top w:val="none" w:sz="0" w:space="0" w:color="auto"/>
        <w:left w:val="none" w:sz="0" w:space="0" w:color="auto"/>
        <w:bottom w:val="none" w:sz="0" w:space="0" w:color="auto"/>
        <w:right w:val="none" w:sz="0" w:space="0" w:color="auto"/>
      </w:divBdr>
    </w:div>
    <w:div w:id="1813447582">
      <w:bodyDiv w:val="1"/>
      <w:marLeft w:val="0"/>
      <w:marRight w:val="0"/>
      <w:marTop w:val="0"/>
      <w:marBottom w:val="0"/>
      <w:divBdr>
        <w:top w:val="none" w:sz="0" w:space="0" w:color="auto"/>
        <w:left w:val="none" w:sz="0" w:space="0" w:color="auto"/>
        <w:bottom w:val="none" w:sz="0" w:space="0" w:color="auto"/>
        <w:right w:val="none" w:sz="0" w:space="0" w:color="auto"/>
      </w:divBdr>
    </w:div>
    <w:div w:id="1813522259">
      <w:bodyDiv w:val="1"/>
      <w:marLeft w:val="0"/>
      <w:marRight w:val="0"/>
      <w:marTop w:val="0"/>
      <w:marBottom w:val="0"/>
      <w:divBdr>
        <w:top w:val="none" w:sz="0" w:space="0" w:color="auto"/>
        <w:left w:val="none" w:sz="0" w:space="0" w:color="auto"/>
        <w:bottom w:val="none" w:sz="0" w:space="0" w:color="auto"/>
        <w:right w:val="none" w:sz="0" w:space="0" w:color="auto"/>
      </w:divBdr>
    </w:div>
    <w:div w:id="1813525807">
      <w:bodyDiv w:val="1"/>
      <w:marLeft w:val="0"/>
      <w:marRight w:val="0"/>
      <w:marTop w:val="0"/>
      <w:marBottom w:val="0"/>
      <w:divBdr>
        <w:top w:val="none" w:sz="0" w:space="0" w:color="auto"/>
        <w:left w:val="none" w:sz="0" w:space="0" w:color="auto"/>
        <w:bottom w:val="none" w:sz="0" w:space="0" w:color="auto"/>
        <w:right w:val="none" w:sz="0" w:space="0" w:color="auto"/>
      </w:divBdr>
    </w:div>
    <w:div w:id="1813601358">
      <w:bodyDiv w:val="1"/>
      <w:marLeft w:val="0"/>
      <w:marRight w:val="0"/>
      <w:marTop w:val="0"/>
      <w:marBottom w:val="0"/>
      <w:divBdr>
        <w:top w:val="none" w:sz="0" w:space="0" w:color="auto"/>
        <w:left w:val="none" w:sz="0" w:space="0" w:color="auto"/>
        <w:bottom w:val="none" w:sz="0" w:space="0" w:color="auto"/>
        <w:right w:val="none" w:sz="0" w:space="0" w:color="auto"/>
      </w:divBdr>
    </w:div>
    <w:div w:id="1813717894">
      <w:bodyDiv w:val="1"/>
      <w:marLeft w:val="0"/>
      <w:marRight w:val="0"/>
      <w:marTop w:val="0"/>
      <w:marBottom w:val="0"/>
      <w:divBdr>
        <w:top w:val="none" w:sz="0" w:space="0" w:color="auto"/>
        <w:left w:val="none" w:sz="0" w:space="0" w:color="auto"/>
        <w:bottom w:val="none" w:sz="0" w:space="0" w:color="auto"/>
        <w:right w:val="none" w:sz="0" w:space="0" w:color="auto"/>
      </w:divBdr>
    </w:div>
    <w:div w:id="1813717973">
      <w:bodyDiv w:val="1"/>
      <w:marLeft w:val="0"/>
      <w:marRight w:val="0"/>
      <w:marTop w:val="0"/>
      <w:marBottom w:val="0"/>
      <w:divBdr>
        <w:top w:val="none" w:sz="0" w:space="0" w:color="auto"/>
        <w:left w:val="none" w:sz="0" w:space="0" w:color="auto"/>
        <w:bottom w:val="none" w:sz="0" w:space="0" w:color="auto"/>
        <w:right w:val="none" w:sz="0" w:space="0" w:color="auto"/>
      </w:divBdr>
    </w:div>
    <w:div w:id="1813789217">
      <w:bodyDiv w:val="1"/>
      <w:marLeft w:val="0"/>
      <w:marRight w:val="0"/>
      <w:marTop w:val="0"/>
      <w:marBottom w:val="0"/>
      <w:divBdr>
        <w:top w:val="none" w:sz="0" w:space="0" w:color="auto"/>
        <w:left w:val="none" w:sz="0" w:space="0" w:color="auto"/>
        <w:bottom w:val="none" w:sz="0" w:space="0" w:color="auto"/>
        <w:right w:val="none" w:sz="0" w:space="0" w:color="auto"/>
      </w:divBdr>
    </w:div>
    <w:div w:id="1813793045">
      <w:bodyDiv w:val="1"/>
      <w:marLeft w:val="0"/>
      <w:marRight w:val="0"/>
      <w:marTop w:val="0"/>
      <w:marBottom w:val="0"/>
      <w:divBdr>
        <w:top w:val="none" w:sz="0" w:space="0" w:color="auto"/>
        <w:left w:val="none" w:sz="0" w:space="0" w:color="auto"/>
        <w:bottom w:val="none" w:sz="0" w:space="0" w:color="auto"/>
        <w:right w:val="none" w:sz="0" w:space="0" w:color="auto"/>
      </w:divBdr>
    </w:div>
    <w:div w:id="1813861030">
      <w:bodyDiv w:val="1"/>
      <w:marLeft w:val="0"/>
      <w:marRight w:val="0"/>
      <w:marTop w:val="0"/>
      <w:marBottom w:val="0"/>
      <w:divBdr>
        <w:top w:val="none" w:sz="0" w:space="0" w:color="auto"/>
        <w:left w:val="none" w:sz="0" w:space="0" w:color="auto"/>
        <w:bottom w:val="none" w:sz="0" w:space="0" w:color="auto"/>
        <w:right w:val="none" w:sz="0" w:space="0" w:color="auto"/>
      </w:divBdr>
    </w:div>
    <w:div w:id="1813863146">
      <w:bodyDiv w:val="1"/>
      <w:marLeft w:val="0"/>
      <w:marRight w:val="0"/>
      <w:marTop w:val="0"/>
      <w:marBottom w:val="0"/>
      <w:divBdr>
        <w:top w:val="none" w:sz="0" w:space="0" w:color="auto"/>
        <w:left w:val="none" w:sz="0" w:space="0" w:color="auto"/>
        <w:bottom w:val="none" w:sz="0" w:space="0" w:color="auto"/>
        <w:right w:val="none" w:sz="0" w:space="0" w:color="auto"/>
      </w:divBdr>
    </w:div>
    <w:div w:id="1813936195">
      <w:bodyDiv w:val="1"/>
      <w:marLeft w:val="0"/>
      <w:marRight w:val="0"/>
      <w:marTop w:val="0"/>
      <w:marBottom w:val="0"/>
      <w:divBdr>
        <w:top w:val="none" w:sz="0" w:space="0" w:color="auto"/>
        <w:left w:val="none" w:sz="0" w:space="0" w:color="auto"/>
        <w:bottom w:val="none" w:sz="0" w:space="0" w:color="auto"/>
        <w:right w:val="none" w:sz="0" w:space="0" w:color="auto"/>
      </w:divBdr>
    </w:div>
    <w:div w:id="1813982470">
      <w:bodyDiv w:val="1"/>
      <w:marLeft w:val="0"/>
      <w:marRight w:val="0"/>
      <w:marTop w:val="0"/>
      <w:marBottom w:val="0"/>
      <w:divBdr>
        <w:top w:val="none" w:sz="0" w:space="0" w:color="auto"/>
        <w:left w:val="none" w:sz="0" w:space="0" w:color="auto"/>
        <w:bottom w:val="none" w:sz="0" w:space="0" w:color="auto"/>
        <w:right w:val="none" w:sz="0" w:space="0" w:color="auto"/>
      </w:divBdr>
    </w:div>
    <w:div w:id="1814130068">
      <w:bodyDiv w:val="1"/>
      <w:marLeft w:val="0"/>
      <w:marRight w:val="0"/>
      <w:marTop w:val="0"/>
      <w:marBottom w:val="0"/>
      <w:divBdr>
        <w:top w:val="none" w:sz="0" w:space="0" w:color="auto"/>
        <w:left w:val="none" w:sz="0" w:space="0" w:color="auto"/>
        <w:bottom w:val="none" w:sz="0" w:space="0" w:color="auto"/>
        <w:right w:val="none" w:sz="0" w:space="0" w:color="auto"/>
      </w:divBdr>
    </w:div>
    <w:div w:id="1814132696">
      <w:bodyDiv w:val="1"/>
      <w:marLeft w:val="0"/>
      <w:marRight w:val="0"/>
      <w:marTop w:val="0"/>
      <w:marBottom w:val="0"/>
      <w:divBdr>
        <w:top w:val="none" w:sz="0" w:space="0" w:color="auto"/>
        <w:left w:val="none" w:sz="0" w:space="0" w:color="auto"/>
        <w:bottom w:val="none" w:sz="0" w:space="0" w:color="auto"/>
        <w:right w:val="none" w:sz="0" w:space="0" w:color="auto"/>
      </w:divBdr>
    </w:div>
    <w:div w:id="1814179259">
      <w:bodyDiv w:val="1"/>
      <w:marLeft w:val="0"/>
      <w:marRight w:val="0"/>
      <w:marTop w:val="0"/>
      <w:marBottom w:val="0"/>
      <w:divBdr>
        <w:top w:val="none" w:sz="0" w:space="0" w:color="auto"/>
        <w:left w:val="none" w:sz="0" w:space="0" w:color="auto"/>
        <w:bottom w:val="none" w:sz="0" w:space="0" w:color="auto"/>
        <w:right w:val="none" w:sz="0" w:space="0" w:color="auto"/>
      </w:divBdr>
    </w:div>
    <w:div w:id="1814179379">
      <w:bodyDiv w:val="1"/>
      <w:marLeft w:val="0"/>
      <w:marRight w:val="0"/>
      <w:marTop w:val="0"/>
      <w:marBottom w:val="0"/>
      <w:divBdr>
        <w:top w:val="none" w:sz="0" w:space="0" w:color="auto"/>
        <w:left w:val="none" w:sz="0" w:space="0" w:color="auto"/>
        <w:bottom w:val="none" w:sz="0" w:space="0" w:color="auto"/>
        <w:right w:val="none" w:sz="0" w:space="0" w:color="auto"/>
      </w:divBdr>
    </w:div>
    <w:div w:id="1814179953">
      <w:bodyDiv w:val="1"/>
      <w:marLeft w:val="0"/>
      <w:marRight w:val="0"/>
      <w:marTop w:val="0"/>
      <w:marBottom w:val="0"/>
      <w:divBdr>
        <w:top w:val="none" w:sz="0" w:space="0" w:color="auto"/>
        <w:left w:val="none" w:sz="0" w:space="0" w:color="auto"/>
        <w:bottom w:val="none" w:sz="0" w:space="0" w:color="auto"/>
        <w:right w:val="none" w:sz="0" w:space="0" w:color="auto"/>
      </w:divBdr>
    </w:div>
    <w:div w:id="1814324638">
      <w:bodyDiv w:val="1"/>
      <w:marLeft w:val="0"/>
      <w:marRight w:val="0"/>
      <w:marTop w:val="0"/>
      <w:marBottom w:val="0"/>
      <w:divBdr>
        <w:top w:val="none" w:sz="0" w:space="0" w:color="auto"/>
        <w:left w:val="none" w:sz="0" w:space="0" w:color="auto"/>
        <w:bottom w:val="none" w:sz="0" w:space="0" w:color="auto"/>
        <w:right w:val="none" w:sz="0" w:space="0" w:color="auto"/>
      </w:divBdr>
    </w:div>
    <w:div w:id="1814326239">
      <w:bodyDiv w:val="1"/>
      <w:marLeft w:val="0"/>
      <w:marRight w:val="0"/>
      <w:marTop w:val="0"/>
      <w:marBottom w:val="0"/>
      <w:divBdr>
        <w:top w:val="none" w:sz="0" w:space="0" w:color="auto"/>
        <w:left w:val="none" w:sz="0" w:space="0" w:color="auto"/>
        <w:bottom w:val="none" w:sz="0" w:space="0" w:color="auto"/>
        <w:right w:val="none" w:sz="0" w:space="0" w:color="auto"/>
      </w:divBdr>
    </w:div>
    <w:div w:id="1814329395">
      <w:bodyDiv w:val="1"/>
      <w:marLeft w:val="0"/>
      <w:marRight w:val="0"/>
      <w:marTop w:val="0"/>
      <w:marBottom w:val="0"/>
      <w:divBdr>
        <w:top w:val="none" w:sz="0" w:space="0" w:color="auto"/>
        <w:left w:val="none" w:sz="0" w:space="0" w:color="auto"/>
        <w:bottom w:val="none" w:sz="0" w:space="0" w:color="auto"/>
        <w:right w:val="none" w:sz="0" w:space="0" w:color="auto"/>
      </w:divBdr>
    </w:div>
    <w:div w:id="1814329730">
      <w:bodyDiv w:val="1"/>
      <w:marLeft w:val="0"/>
      <w:marRight w:val="0"/>
      <w:marTop w:val="0"/>
      <w:marBottom w:val="0"/>
      <w:divBdr>
        <w:top w:val="none" w:sz="0" w:space="0" w:color="auto"/>
        <w:left w:val="none" w:sz="0" w:space="0" w:color="auto"/>
        <w:bottom w:val="none" w:sz="0" w:space="0" w:color="auto"/>
        <w:right w:val="none" w:sz="0" w:space="0" w:color="auto"/>
      </w:divBdr>
    </w:div>
    <w:div w:id="1814368815">
      <w:bodyDiv w:val="1"/>
      <w:marLeft w:val="0"/>
      <w:marRight w:val="0"/>
      <w:marTop w:val="0"/>
      <w:marBottom w:val="0"/>
      <w:divBdr>
        <w:top w:val="none" w:sz="0" w:space="0" w:color="auto"/>
        <w:left w:val="none" w:sz="0" w:space="0" w:color="auto"/>
        <w:bottom w:val="none" w:sz="0" w:space="0" w:color="auto"/>
        <w:right w:val="none" w:sz="0" w:space="0" w:color="auto"/>
      </w:divBdr>
    </w:div>
    <w:div w:id="1814370601">
      <w:bodyDiv w:val="1"/>
      <w:marLeft w:val="0"/>
      <w:marRight w:val="0"/>
      <w:marTop w:val="0"/>
      <w:marBottom w:val="0"/>
      <w:divBdr>
        <w:top w:val="none" w:sz="0" w:space="0" w:color="auto"/>
        <w:left w:val="none" w:sz="0" w:space="0" w:color="auto"/>
        <w:bottom w:val="none" w:sz="0" w:space="0" w:color="auto"/>
        <w:right w:val="none" w:sz="0" w:space="0" w:color="auto"/>
      </w:divBdr>
    </w:div>
    <w:div w:id="1814561336">
      <w:bodyDiv w:val="1"/>
      <w:marLeft w:val="0"/>
      <w:marRight w:val="0"/>
      <w:marTop w:val="0"/>
      <w:marBottom w:val="0"/>
      <w:divBdr>
        <w:top w:val="none" w:sz="0" w:space="0" w:color="auto"/>
        <w:left w:val="none" w:sz="0" w:space="0" w:color="auto"/>
        <w:bottom w:val="none" w:sz="0" w:space="0" w:color="auto"/>
        <w:right w:val="none" w:sz="0" w:space="0" w:color="auto"/>
      </w:divBdr>
    </w:div>
    <w:div w:id="1814593204">
      <w:bodyDiv w:val="1"/>
      <w:marLeft w:val="0"/>
      <w:marRight w:val="0"/>
      <w:marTop w:val="0"/>
      <w:marBottom w:val="0"/>
      <w:divBdr>
        <w:top w:val="none" w:sz="0" w:space="0" w:color="auto"/>
        <w:left w:val="none" w:sz="0" w:space="0" w:color="auto"/>
        <w:bottom w:val="none" w:sz="0" w:space="0" w:color="auto"/>
        <w:right w:val="none" w:sz="0" w:space="0" w:color="auto"/>
      </w:divBdr>
    </w:div>
    <w:div w:id="1814635425">
      <w:bodyDiv w:val="1"/>
      <w:marLeft w:val="0"/>
      <w:marRight w:val="0"/>
      <w:marTop w:val="0"/>
      <w:marBottom w:val="0"/>
      <w:divBdr>
        <w:top w:val="none" w:sz="0" w:space="0" w:color="auto"/>
        <w:left w:val="none" w:sz="0" w:space="0" w:color="auto"/>
        <w:bottom w:val="none" w:sz="0" w:space="0" w:color="auto"/>
        <w:right w:val="none" w:sz="0" w:space="0" w:color="auto"/>
      </w:divBdr>
    </w:div>
    <w:div w:id="1814640378">
      <w:bodyDiv w:val="1"/>
      <w:marLeft w:val="0"/>
      <w:marRight w:val="0"/>
      <w:marTop w:val="0"/>
      <w:marBottom w:val="0"/>
      <w:divBdr>
        <w:top w:val="none" w:sz="0" w:space="0" w:color="auto"/>
        <w:left w:val="none" w:sz="0" w:space="0" w:color="auto"/>
        <w:bottom w:val="none" w:sz="0" w:space="0" w:color="auto"/>
        <w:right w:val="none" w:sz="0" w:space="0" w:color="auto"/>
      </w:divBdr>
    </w:div>
    <w:div w:id="1814829113">
      <w:bodyDiv w:val="1"/>
      <w:marLeft w:val="0"/>
      <w:marRight w:val="0"/>
      <w:marTop w:val="0"/>
      <w:marBottom w:val="0"/>
      <w:divBdr>
        <w:top w:val="none" w:sz="0" w:space="0" w:color="auto"/>
        <w:left w:val="none" w:sz="0" w:space="0" w:color="auto"/>
        <w:bottom w:val="none" w:sz="0" w:space="0" w:color="auto"/>
        <w:right w:val="none" w:sz="0" w:space="0" w:color="auto"/>
      </w:divBdr>
    </w:div>
    <w:div w:id="1814834034">
      <w:bodyDiv w:val="1"/>
      <w:marLeft w:val="0"/>
      <w:marRight w:val="0"/>
      <w:marTop w:val="0"/>
      <w:marBottom w:val="0"/>
      <w:divBdr>
        <w:top w:val="none" w:sz="0" w:space="0" w:color="auto"/>
        <w:left w:val="none" w:sz="0" w:space="0" w:color="auto"/>
        <w:bottom w:val="none" w:sz="0" w:space="0" w:color="auto"/>
        <w:right w:val="none" w:sz="0" w:space="0" w:color="auto"/>
      </w:divBdr>
    </w:div>
    <w:div w:id="1815024575">
      <w:bodyDiv w:val="1"/>
      <w:marLeft w:val="0"/>
      <w:marRight w:val="0"/>
      <w:marTop w:val="0"/>
      <w:marBottom w:val="0"/>
      <w:divBdr>
        <w:top w:val="none" w:sz="0" w:space="0" w:color="auto"/>
        <w:left w:val="none" w:sz="0" w:space="0" w:color="auto"/>
        <w:bottom w:val="none" w:sz="0" w:space="0" w:color="auto"/>
        <w:right w:val="none" w:sz="0" w:space="0" w:color="auto"/>
      </w:divBdr>
    </w:div>
    <w:div w:id="1815098228">
      <w:bodyDiv w:val="1"/>
      <w:marLeft w:val="0"/>
      <w:marRight w:val="0"/>
      <w:marTop w:val="0"/>
      <w:marBottom w:val="0"/>
      <w:divBdr>
        <w:top w:val="none" w:sz="0" w:space="0" w:color="auto"/>
        <w:left w:val="none" w:sz="0" w:space="0" w:color="auto"/>
        <w:bottom w:val="none" w:sz="0" w:space="0" w:color="auto"/>
        <w:right w:val="none" w:sz="0" w:space="0" w:color="auto"/>
      </w:divBdr>
    </w:div>
    <w:div w:id="1815100093">
      <w:bodyDiv w:val="1"/>
      <w:marLeft w:val="0"/>
      <w:marRight w:val="0"/>
      <w:marTop w:val="0"/>
      <w:marBottom w:val="0"/>
      <w:divBdr>
        <w:top w:val="none" w:sz="0" w:space="0" w:color="auto"/>
        <w:left w:val="none" w:sz="0" w:space="0" w:color="auto"/>
        <w:bottom w:val="none" w:sz="0" w:space="0" w:color="auto"/>
        <w:right w:val="none" w:sz="0" w:space="0" w:color="auto"/>
      </w:divBdr>
    </w:div>
    <w:div w:id="1815172448">
      <w:bodyDiv w:val="1"/>
      <w:marLeft w:val="0"/>
      <w:marRight w:val="0"/>
      <w:marTop w:val="0"/>
      <w:marBottom w:val="0"/>
      <w:divBdr>
        <w:top w:val="none" w:sz="0" w:space="0" w:color="auto"/>
        <w:left w:val="none" w:sz="0" w:space="0" w:color="auto"/>
        <w:bottom w:val="none" w:sz="0" w:space="0" w:color="auto"/>
        <w:right w:val="none" w:sz="0" w:space="0" w:color="auto"/>
      </w:divBdr>
    </w:div>
    <w:div w:id="1815176262">
      <w:bodyDiv w:val="1"/>
      <w:marLeft w:val="0"/>
      <w:marRight w:val="0"/>
      <w:marTop w:val="0"/>
      <w:marBottom w:val="0"/>
      <w:divBdr>
        <w:top w:val="none" w:sz="0" w:space="0" w:color="auto"/>
        <w:left w:val="none" w:sz="0" w:space="0" w:color="auto"/>
        <w:bottom w:val="none" w:sz="0" w:space="0" w:color="auto"/>
        <w:right w:val="none" w:sz="0" w:space="0" w:color="auto"/>
      </w:divBdr>
    </w:div>
    <w:div w:id="1815217500">
      <w:bodyDiv w:val="1"/>
      <w:marLeft w:val="0"/>
      <w:marRight w:val="0"/>
      <w:marTop w:val="0"/>
      <w:marBottom w:val="0"/>
      <w:divBdr>
        <w:top w:val="none" w:sz="0" w:space="0" w:color="auto"/>
        <w:left w:val="none" w:sz="0" w:space="0" w:color="auto"/>
        <w:bottom w:val="none" w:sz="0" w:space="0" w:color="auto"/>
        <w:right w:val="none" w:sz="0" w:space="0" w:color="auto"/>
      </w:divBdr>
    </w:div>
    <w:div w:id="1815220805">
      <w:bodyDiv w:val="1"/>
      <w:marLeft w:val="0"/>
      <w:marRight w:val="0"/>
      <w:marTop w:val="0"/>
      <w:marBottom w:val="0"/>
      <w:divBdr>
        <w:top w:val="none" w:sz="0" w:space="0" w:color="auto"/>
        <w:left w:val="none" w:sz="0" w:space="0" w:color="auto"/>
        <w:bottom w:val="none" w:sz="0" w:space="0" w:color="auto"/>
        <w:right w:val="none" w:sz="0" w:space="0" w:color="auto"/>
      </w:divBdr>
    </w:div>
    <w:div w:id="1815368337">
      <w:bodyDiv w:val="1"/>
      <w:marLeft w:val="0"/>
      <w:marRight w:val="0"/>
      <w:marTop w:val="0"/>
      <w:marBottom w:val="0"/>
      <w:divBdr>
        <w:top w:val="none" w:sz="0" w:space="0" w:color="auto"/>
        <w:left w:val="none" w:sz="0" w:space="0" w:color="auto"/>
        <w:bottom w:val="none" w:sz="0" w:space="0" w:color="auto"/>
        <w:right w:val="none" w:sz="0" w:space="0" w:color="auto"/>
      </w:divBdr>
    </w:div>
    <w:div w:id="1815490262">
      <w:bodyDiv w:val="1"/>
      <w:marLeft w:val="0"/>
      <w:marRight w:val="0"/>
      <w:marTop w:val="0"/>
      <w:marBottom w:val="0"/>
      <w:divBdr>
        <w:top w:val="none" w:sz="0" w:space="0" w:color="auto"/>
        <w:left w:val="none" w:sz="0" w:space="0" w:color="auto"/>
        <w:bottom w:val="none" w:sz="0" w:space="0" w:color="auto"/>
        <w:right w:val="none" w:sz="0" w:space="0" w:color="auto"/>
      </w:divBdr>
    </w:div>
    <w:div w:id="1815562867">
      <w:bodyDiv w:val="1"/>
      <w:marLeft w:val="0"/>
      <w:marRight w:val="0"/>
      <w:marTop w:val="0"/>
      <w:marBottom w:val="0"/>
      <w:divBdr>
        <w:top w:val="none" w:sz="0" w:space="0" w:color="auto"/>
        <w:left w:val="none" w:sz="0" w:space="0" w:color="auto"/>
        <w:bottom w:val="none" w:sz="0" w:space="0" w:color="auto"/>
        <w:right w:val="none" w:sz="0" w:space="0" w:color="auto"/>
      </w:divBdr>
    </w:div>
    <w:div w:id="1815566787">
      <w:bodyDiv w:val="1"/>
      <w:marLeft w:val="0"/>
      <w:marRight w:val="0"/>
      <w:marTop w:val="0"/>
      <w:marBottom w:val="0"/>
      <w:divBdr>
        <w:top w:val="none" w:sz="0" w:space="0" w:color="auto"/>
        <w:left w:val="none" w:sz="0" w:space="0" w:color="auto"/>
        <w:bottom w:val="none" w:sz="0" w:space="0" w:color="auto"/>
        <w:right w:val="none" w:sz="0" w:space="0" w:color="auto"/>
      </w:divBdr>
    </w:div>
    <w:div w:id="1815678473">
      <w:bodyDiv w:val="1"/>
      <w:marLeft w:val="0"/>
      <w:marRight w:val="0"/>
      <w:marTop w:val="0"/>
      <w:marBottom w:val="0"/>
      <w:divBdr>
        <w:top w:val="none" w:sz="0" w:space="0" w:color="auto"/>
        <w:left w:val="none" w:sz="0" w:space="0" w:color="auto"/>
        <w:bottom w:val="none" w:sz="0" w:space="0" w:color="auto"/>
        <w:right w:val="none" w:sz="0" w:space="0" w:color="auto"/>
      </w:divBdr>
    </w:div>
    <w:div w:id="1815679164">
      <w:bodyDiv w:val="1"/>
      <w:marLeft w:val="0"/>
      <w:marRight w:val="0"/>
      <w:marTop w:val="0"/>
      <w:marBottom w:val="0"/>
      <w:divBdr>
        <w:top w:val="none" w:sz="0" w:space="0" w:color="auto"/>
        <w:left w:val="none" w:sz="0" w:space="0" w:color="auto"/>
        <w:bottom w:val="none" w:sz="0" w:space="0" w:color="auto"/>
        <w:right w:val="none" w:sz="0" w:space="0" w:color="auto"/>
      </w:divBdr>
    </w:div>
    <w:div w:id="1815755322">
      <w:bodyDiv w:val="1"/>
      <w:marLeft w:val="0"/>
      <w:marRight w:val="0"/>
      <w:marTop w:val="0"/>
      <w:marBottom w:val="0"/>
      <w:divBdr>
        <w:top w:val="none" w:sz="0" w:space="0" w:color="auto"/>
        <w:left w:val="none" w:sz="0" w:space="0" w:color="auto"/>
        <w:bottom w:val="none" w:sz="0" w:space="0" w:color="auto"/>
        <w:right w:val="none" w:sz="0" w:space="0" w:color="auto"/>
      </w:divBdr>
    </w:div>
    <w:div w:id="1815755608">
      <w:bodyDiv w:val="1"/>
      <w:marLeft w:val="0"/>
      <w:marRight w:val="0"/>
      <w:marTop w:val="0"/>
      <w:marBottom w:val="0"/>
      <w:divBdr>
        <w:top w:val="none" w:sz="0" w:space="0" w:color="auto"/>
        <w:left w:val="none" w:sz="0" w:space="0" w:color="auto"/>
        <w:bottom w:val="none" w:sz="0" w:space="0" w:color="auto"/>
        <w:right w:val="none" w:sz="0" w:space="0" w:color="auto"/>
      </w:divBdr>
    </w:div>
    <w:div w:id="1815873323">
      <w:bodyDiv w:val="1"/>
      <w:marLeft w:val="0"/>
      <w:marRight w:val="0"/>
      <w:marTop w:val="0"/>
      <w:marBottom w:val="0"/>
      <w:divBdr>
        <w:top w:val="none" w:sz="0" w:space="0" w:color="auto"/>
        <w:left w:val="none" w:sz="0" w:space="0" w:color="auto"/>
        <w:bottom w:val="none" w:sz="0" w:space="0" w:color="auto"/>
        <w:right w:val="none" w:sz="0" w:space="0" w:color="auto"/>
      </w:divBdr>
    </w:div>
    <w:div w:id="1815944993">
      <w:bodyDiv w:val="1"/>
      <w:marLeft w:val="0"/>
      <w:marRight w:val="0"/>
      <w:marTop w:val="0"/>
      <w:marBottom w:val="0"/>
      <w:divBdr>
        <w:top w:val="none" w:sz="0" w:space="0" w:color="auto"/>
        <w:left w:val="none" w:sz="0" w:space="0" w:color="auto"/>
        <w:bottom w:val="none" w:sz="0" w:space="0" w:color="auto"/>
        <w:right w:val="none" w:sz="0" w:space="0" w:color="auto"/>
      </w:divBdr>
    </w:div>
    <w:div w:id="1816100395">
      <w:bodyDiv w:val="1"/>
      <w:marLeft w:val="0"/>
      <w:marRight w:val="0"/>
      <w:marTop w:val="0"/>
      <w:marBottom w:val="0"/>
      <w:divBdr>
        <w:top w:val="none" w:sz="0" w:space="0" w:color="auto"/>
        <w:left w:val="none" w:sz="0" w:space="0" w:color="auto"/>
        <w:bottom w:val="none" w:sz="0" w:space="0" w:color="auto"/>
        <w:right w:val="none" w:sz="0" w:space="0" w:color="auto"/>
      </w:divBdr>
    </w:div>
    <w:div w:id="1816219433">
      <w:bodyDiv w:val="1"/>
      <w:marLeft w:val="0"/>
      <w:marRight w:val="0"/>
      <w:marTop w:val="0"/>
      <w:marBottom w:val="0"/>
      <w:divBdr>
        <w:top w:val="none" w:sz="0" w:space="0" w:color="auto"/>
        <w:left w:val="none" w:sz="0" w:space="0" w:color="auto"/>
        <w:bottom w:val="none" w:sz="0" w:space="0" w:color="auto"/>
        <w:right w:val="none" w:sz="0" w:space="0" w:color="auto"/>
      </w:divBdr>
    </w:div>
    <w:div w:id="1816221197">
      <w:bodyDiv w:val="1"/>
      <w:marLeft w:val="0"/>
      <w:marRight w:val="0"/>
      <w:marTop w:val="0"/>
      <w:marBottom w:val="0"/>
      <w:divBdr>
        <w:top w:val="none" w:sz="0" w:space="0" w:color="auto"/>
        <w:left w:val="none" w:sz="0" w:space="0" w:color="auto"/>
        <w:bottom w:val="none" w:sz="0" w:space="0" w:color="auto"/>
        <w:right w:val="none" w:sz="0" w:space="0" w:color="auto"/>
      </w:divBdr>
    </w:div>
    <w:div w:id="1816221793">
      <w:bodyDiv w:val="1"/>
      <w:marLeft w:val="0"/>
      <w:marRight w:val="0"/>
      <w:marTop w:val="0"/>
      <w:marBottom w:val="0"/>
      <w:divBdr>
        <w:top w:val="none" w:sz="0" w:space="0" w:color="auto"/>
        <w:left w:val="none" w:sz="0" w:space="0" w:color="auto"/>
        <w:bottom w:val="none" w:sz="0" w:space="0" w:color="auto"/>
        <w:right w:val="none" w:sz="0" w:space="0" w:color="auto"/>
      </w:divBdr>
    </w:div>
    <w:div w:id="1816331133">
      <w:bodyDiv w:val="1"/>
      <w:marLeft w:val="0"/>
      <w:marRight w:val="0"/>
      <w:marTop w:val="0"/>
      <w:marBottom w:val="0"/>
      <w:divBdr>
        <w:top w:val="none" w:sz="0" w:space="0" w:color="auto"/>
        <w:left w:val="none" w:sz="0" w:space="0" w:color="auto"/>
        <w:bottom w:val="none" w:sz="0" w:space="0" w:color="auto"/>
        <w:right w:val="none" w:sz="0" w:space="0" w:color="auto"/>
      </w:divBdr>
    </w:div>
    <w:div w:id="1816408190">
      <w:bodyDiv w:val="1"/>
      <w:marLeft w:val="0"/>
      <w:marRight w:val="0"/>
      <w:marTop w:val="0"/>
      <w:marBottom w:val="0"/>
      <w:divBdr>
        <w:top w:val="none" w:sz="0" w:space="0" w:color="auto"/>
        <w:left w:val="none" w:sz="0" w:space="0" w:color="auto"/>
        <w:bottom w:val="none" w:sz="0" w:space="0" w:color="auto"/>
        <w:right w:val="none" w:sz="0" w:space="0" w:color="auto"/>
      </w:divBdr>
    </w:div>
    <w:div w:id="1816529423">
      <w:bodyDiv w:val="1"/>
      <w:marLeft w:val="0"/>
      <w:marRight w:val="0"/>
      <w:marTop w:val="0"/>
      <w:marBottom w:val="0"/>
      <w:divBdr>
        <w:top w:val="none" w:sz="0" w:space="0" w:color="auto"/>
        <w:left w:val="none" w:sz="0" w:space="0" w:color="auto"/>
        <w:bottom w:val="none" w:sz="0" w:space="0" w:color="auto"/>
        <w:right w:val="none" w:sz="0" w:space="0" w:color="auto"/>
      </w:divBdr>
    </w:div>
    <w:div w:id="1816557410">
      <w:bodyDiv w:val="1"/>
      <w:marLeft w:val="0"/>
      <w:marRight w:val="0"/>
      <w:marTop w:val="0"/>
      <w:marBottom w:val="0"/>
      <w:divBdr>
        <w:top w:val="none" w:sz="0" w:space="0" w:color="auto"/>
        <w:left w:val="none" w:sz="0" w:space="0" w:color="auto"/>
        <w:bottom w:val="none" w:sz="0" w:space="0" w:color="auto"/>
        <w:right w:val="none" w:sz="0" w:space="0" w:color="auto"/>
      </w:divBdr>
    </w:div>
    <w:div w:id="1816751180">
      <w:bodyDiv w:val="1"/>
      <w:marLeft w:val="0"/>
      <w:marRight w:val="0"/>
      <w:marTop w:val="0"/>
      <w:marBottom w:val="0"/>
      <w:divBdr>
        <w:top w:val="none" w:sz="0" w:space="0" w:color="auto"/>
        <w:left w:val="none" w:sz="0" w:space="0" w:color="auto"/>
        <w:bottom w:val="none" w:sz="0" w:space="0" w:color="auto"/>
        <w:right w:val="none" w:sz="0" w:space="0" w:color="auto"/>
      </w:divBdr>
    </w:div>
    <w:div w:id="1816796954">
      <w:bodyDiv w:val="1"/>
      <w:marLeft w:val="0"/>
      <w:marRight w:val="0"/>
      <w:marTop w:val="0"/>
      <w:marBottom w:val="0"/>
      <w:divBdr>
        <w:top w:val="none" w:sz="0" w:space="0" w:color="auto"/>
        <w:left w:val="none" w:sz="0" w:space="0" w:color="auto"/>
        <w:bottom w:val="none" w:sz="0" w:space="0" w:color="auto"/>
        <w:right w:val="none" w:sz="0" w:space="0" w:color="auto"/>
      </w:divBdr>
    </w:div>
    <w:div w:id="1817137484">
      <w:bodyDiv w:val="1"/>
      <w:marLeft w:val="0"/>
      <w:marRight w:val="0"/>
      <w:marTop w:val="0"/>
      <w:marBottom w:val="0"/>
      <w:divBdr>
        <w:top w:val="none" w:sz="0" w:space="0" w:color="auto"/>
        <w:left w:val="none" w:sz="0" w:space="0" w:color="auto"/>
        <w:bottom w:val="none" w:sz="0" w:space="0" w:color="auto"/>
        <w:right w:val="none" w:sz="0" w:space="0" w:color="auto"/>
      </w:divBdr>
    </w:div>
    <w:div w:id="1817183154">
      <w:bodyDiv w:val="1"/>
      <w:marLeft w:val="0"/>
      <w:marRight w:val="0"/>
      <w:marTop w:val="0"/>
      <w:marBottom w:val="0"/>
      <w:divBdr>
        <w:top w:val="none" w:sz="0" w:space="0" w:color="auto"/>
        <w:left w:val="none" w:sz="0" w:space="0" w:color="auto"/>
        <w:bottom w:val="none" w:sz="0" w:space="0" w:color="auto"/>
        <w:right w:val="none" w:sz="0" w:space="0" w:color="auto"/>
      </w:divBdr>
    </w:div>
    <w:div w:id="1817183294">
      <w:bodyDiv w:val="1"/>
      <w:marLeft w:val="0"/>
      <w:marRight w:val="0"/>
      <w:marTop w:val="0"/>
      <w:marBottom w:val="0"/>
      <w:divBdr>
        <w:top w:val="none" w:sz="0" w:space="0" w:color="auto"/>
        <w:left w:val="none" w:sz="0" w:space="0" w:color="auto"/>
        <w:bottom w:val="none" w:sz="0" w:space="0" w:color="auto"/>
        <w:right w:val="none" w:sz="0" w:space="0" w:color="auto"/>
      </w:divBdr>
    </w:div>
    <w:div w:id="1817184088">
      <w:bodyDiv w:val="1"/>
      <w:marLeft w:val="0"/>
      <w:marRight w:val="0"/>
      <w:marTop w:val="0"/>
      <w:marBottom w:val="0"/>
      <w:divBdr>
        <w:top w:val="none" w:sz="0" w:space="0" w:color="auto"/>
        <w:left w:val="none" w:sz="0" w:space="0" w:color="auto"/>
        <w:bottom w:val="none" w:sz="0" w:space="0" w:color="auto"/>
        <w:right w:val="none" w:sz="0" w:space="0" w:color="auto"/>
      </w:divBdr>
    </w:div>
    <w:div w:id="1817330054">
      <w:bodyDiv w:val="1"/>
      <w:marLeft w:val="0"/>
      <w:marRight w:val="0"/>
      <w:marTop w:val="0"/>
      <w:marBottom w:val="0"/>
      <w:divBdr>
        <w:top w:val="none" w:sz="0" w:space="0" w:color="auto"/>
        <w:left w:val="none" w:sz="0" w:space="0" w:color="auto"/>
        <w:bottom w:val="none" w:sz="0" w:space="0" w:color="auto"/>
        <w:right w:val="none" w:sz="0" w:space="0" w:color="auto"/>
      </w:divBdr>
    </w:div>
    <w:div w:id="1817330173">
      <w:bodyDiv w:val="1"/>
      <w:marLeft w:val="0"/>
      <w:marRight w:val="0"/>
      <w:marTop w:val="0"/>
      <w:marBottom w:val="0"/>
      <w:divBdr>
        <w:top w:val="none" w:sz="0" w:space="0" w:color="auto"/>
        <w:left w:val="none" w:sz="0" w:space="0" w:color="auto"/>
        <w:bottom w:val="none" w:sz="0" w:space="0" w:color="auto"/>
        <w:right w:val="none" w:sz="0" w:space="0" w:color="auto"/>
      </w:divBdr>
    </w:div>
    <w:div w:id="1817339662">
      <w:bodyDiv w:val="1"/>
      <w:marLeft w:val="0"/>
      <w:marRight w:val="0"/>
      <w:marTop w:val="0"/>
      <w:marBottom w:val="0"/>
      <w:divBdr>
        <w:top w:val="none" w:sz="0" w:space="0" w:color="auto"/>
        <w:left w:val="none" w:sz="0" w:space="0" w:color="auto"/>
        <w:bottom w:val="none" w:sz="0" w:space="0" w:color="auto"/>
        <w:right w:val="none" w:sz="0" w:space="0" w:color="auto"/>
      </w:divBdr>
    </w:div>
    <w:div w:id="1817457514">
      <w:bodyDiv w:val="1"/>
      <w:marLeft w:val="0"/>
      <w:marRight w:val="0"/>
      <w:marTop w:val="0"/>
      <w:marBottom w:val="0"/>
      <w:divBdr>
        <w:top w:val="none" w:sz="0" w:space="0" w:color="auto"/>
        <w:left w:val="none" w:sz="0" w:space="0" w:color="auto"/>
        <w:bottom w:val="none" w:sz="0" w:space="0" w:color="auto"/>
        <w:right w:val="none" w:sz="0" w:space="0" w:color="auto"/>
      </w:divBdr>
    </w:div>
    <w:div w:id="1817525574">
      <w:bodyDiv w:val="1"/>
      <w:marLeft w:val="0"/>
      <w:marRight w:val="0"/>
      <w:marTop w:val="0"/>
      <w:marBottom w:val="0"/>
      <w:divBdr>
        <w:top w:val="none" w:sz="0" w:space="0" w:color="auto"/>
        <w:left w:val="none" w:sz="0" w:space="0" w:color="auto"/>
        <w:bottom w:val="none" w:sz="0" w:space="0" w:color="auto"/>
        <w:right w:val="none" w:sz="0" w:space="0" w:color="auto"/>
      </w:divBdr>
    </w:div>
    <w:div w:id="1817603765">
      <w:bodyDiv w:val="1"/>
      <w:marLeft w:val="0"/>
      <w:marRight w:val="0"/>
      <w:marTop w:val="0"/>
      <w:marBottom w:val="0"/>
      <w:divBdr>
        <w:top w:val="none" w:sz="0" w:space="0" w:color="auto"/>
        <w:left w:val="none" w:sz="0" w:space="0" w:color="auto"/>
        <w:bottom w:val="none" w:sz="0" w:space="0" w:color="auto"/>
        <w:right w:val="none" w:sz="0" w:space="0" w:color="auto"/>
      </w:divBdr>
    </w:div>
    <w:div w:id="1817606178">
      <w:bodyDiv w:val="1"/>
      <w:marLeft w:val="0"/>
      <w:marRight w:val="0"/>
      <w:marTop w:val="0"/>
      <w:marBottom w:val="0"/>
      <w:divBdr>
        <w:top w:val="none" w:sz="0" w:space="0" w:color="auto"/>
        <w:left w:val="none" w:sz="0" w:space="0" w:color="auto"/>
        <w:bottom w:val="none" w:sz="0" w:space="0" w:color="auto"/>
        <w:right w:val="none" w:sz="0" w:space="0" w:color="auto"/>
      </w:divBdr>
    </w:div>
    <w:div w:id="1817642277">
      <w:bodyDiv w:val="1"/>
      <w:marLeft w:val="0"/>
      <w:marRight w:val="0"/>
      <w:marTop w:val="0"/>
      <w:marBottom w:val="0"/>
      <w:divBdr>
        <w:top w:val="none" w:sz="0" w:space="0" w:color="auto"/>
        <w:left w:val="none" w:sz="0" w:space="0" w:color="auto"/>
        <w:bottom w:val="none" w:sz="0" w:space="0" w:color="auto"/>
        <w:right w:val="none" w:sz="0" w:space="0" w:color="auto"/>
      </w:divBdr>
    </w:div>
    <w:div w:id="1817724395">
      <w:bodyDiv w:val="1"/>
      <w:marLeft w:val="0"/>
      <w:marRight w:val="0"/>
      <w:marTop w:val="0"/>
      <w:marBottom w:val="0"/>
      <w:divBdr>
        <w:top w:val="none" w:sz="0" w:space="0" w:color="auto"/>
        <w:left w:val="none" w:sz="0" w:space="0" w:color="auto"/>
        <w:bottom w:val="none" w:sz="0" w:space="0" w:color="auto"/>
        <w:right w:val="none" w:sz="0" w:space="0" w:color="auto"/>
      </w:divBdr>
    </w:div>
    <w:div w:id="1817985537">
      <w:bodyDiv w:val="1"/>
      <w:marLeft w:val="0"/>
      <w:marRight w:val="0"/>
      <w:marTop w:val="0"/>
      <w:marBottom w:val="0"/>
      <w:divBdr>
        <w:top w:val="none" w:sz="0" w:space="0" w:color="auto"/>
        <w:left w:val="none" w:sz="0" w:space="0" w:color="auto"/>
        <w:bottom w:val="none" w:sz="0" w:space="0" w:color="auto"/>
        <w:right w:val="none" w:sz="0" w:space="0" w:color="auto"/>
      </w:divBdr>
    </w:div>
    <w:div w:id="1817993170">
      <w:bodyDiv w:val="1"/>
      <w:marLeft w:val="0"/>
      <w:marRight w:val="0"/>
      <w:marTop w:val="0"/>
      <w:marBottom w:val="0"/>
      <w:divBdr>
        <w:top w:val="none" w:sz="0" w:space="0" w:color="auto"/>
        <w:left w:val="none" w:sz="0" w:space="0" w:color="auto"/>
        <w:bottom w:val="none" w:sz="0" w:space="0" w:color="auto"/>
        <w:right w:val="none" w:sz="0" w:space="0" w:color="auto"/>
      </w:divBdr>
    </w:div>
    <w:div w:id="1818035265">
      <w:bodyDiv w:val="1"/>
      <w:marLeft w:val="0"/>
      <w:marRight w:val="0"/>
      <w:marTop w:val="0"/>
      <w:marBottom w:val="0"/>
      <w:divBdr>
        <w:top w:val="none" w:sz="0" w:space="0" w:color="auto"/>
        <w:left w:val="none" w:sz="0" w:space="0" w:color="auto"/>
        <w:bottom w:val="none" w:sz="0" w:space="0" w:color="auto"/>
        <w:right w:val="none" w:sz="0" w:space="0" w:color="auto"/>
      </w:divBdr>
    </w:div>
    <w:div w:id="1818104506">
      <w:bodyDiv w:val="1"/>
      <w:marLeft w:val="0"/>
      <w:marRight w:val="0"/>
      <w:marTop w:val="0"/>
      <w:marBottom w:val="0"/>
      <w:divBdr>
        <w:top w:val="none" w:sz="0" w:space="0" w:color="auto"/>
        <w:left w:val="none" w:sz="0" w:space="0" w:color="auto"/>
        <w:bottom w:val="none" w:sz="0" w:space="0" w:color="auto"/>
        <w:right w:val="none" w:sz="0" w:space="0" w:color="auto"/>
      </w:divBdr>
    </w:div>
    <w:div w:id="1818111027">
      <w:bodyDiv w:val="1"/>
      <w:marLeft w:val="0"/>
      <w:marRight w:val="0"/>
      <w:marTop w:val="0"/>
      <w:marBottom w:val="0"/>
      <w:divBdr>
        <w:top w:val="none" w:sz="0" w:space="0" w:color="auto"/>
        <w:left w:val="none" w:sz="0" w:space="0" w:color="auto"/>
        <w:bottom w:val="none" w:sz="0" w:space="0" w:color="auto"/>
        <w:right w:val="none" w:sz="0" w:space="0" w:color="auto"/>
      </w:divBdr>
    </w:div>
    <w:div w:id="1818112177">
      <w:bodyDiv w:val="1"/>
      <w:marLeft w:val="0"/>
      <w:marRight w:val="0"/>
      <w:marTop w:val="0"/>
      <w:marBottom w:val="0"/>
      <w:divBdr>
        <w:top w:val="none" w:sz="0" w:space="0" w:color="auto"/>
        <w:left w:val="none" w:sz="0" w:space="0" w:color="auto"/>
        <w:bottom w:val="none" w:sz="0" w:space="0" w:color="auto"/>
        <w:right w:val="none" w:sz="0" w:space="0" w:color="auto"/>
      </w:divBdr>
    </w:div>
    <w:div w:id="1818182990">
      <w:bodyDiv w:val="1"/>
      <w:marLeft w:val="0"/>
      <w:marRight w:val="0"/>
      <w:marTop w:val="0"/>
      <w:marBottom w:val="0"/>
      <w:divBdr>
        <w:top w:val="none" w:sz="0" w:space="0" w:color="auto"/>
        <w:left w:val="none" w:sz="0" w:space="0" w:color="auto"/>
        <w:bottom w:val="none" w:sz="0" w:space="0" w:color="auto"/>
        <w:right w:val="none" w:sz="0" w:space="0" w:color="auto"/>
      </w:divBdr>
    </w:div>
    <w:div w:id="1818254087">
      <w:bodyDiv w:val="1"/>
      <w:marLeft w:val="0"/>
      <w:marRight w:val="0"/>
      <w:marTop w:val="0"/>
      <w:marBottom w:val="0"/>
      <w:divBdr>
        <w:top w:val="none" w:sz="0" w:space="0" w:color="auto"/>
        <w:left w:val="none" w:sz="0" w:space="0" w:color="auto"/>
        <w:bottom w:val="none" w:sz="0" w:space="0" w:color="auto"/>
        <w:right w:val="none" w:sz="0" w:space="0" w:color="auto"/>
      </w:divBdr>
    </w:div>
    <w:div w:id="1818255345">
      <w:bodyDiv w:val="1"/>
      <w:marLeft w:val="0"/>
      <w:marRight w:val="0"/>
      <w:marTop w:val="0"/>
      <w:marBottom w:val="0"/>
      <w:divBdr>
        <w:top w:val="none" w:sz="0" w:space="0" w:color="auto"/>
        <w:left w:val="none" w:sz="0" w:space="0" w:color="auto"/>
        <w:bottom w:val="none" w:sz="0" w:space="0" w:color="auto"/>
        <w:right w:val="none" w:sz="0" w:space="0" w:color="auto"/>
      </w:divBdr>
    </w:div>
    <w:div w:id="1818261333">
      <w:bodyDiv w:val="1"/>
      <w:marLeft w:val="0"/>
      <w:marRight w:val="0"/>
      <w:marTop w:val="0"/>
      <w:marBottom w:val="0"/>
      <w:divBdr>
        <w:top w:val="none" w:sz="0" w:space="0" w:color="auto"/>
        <w:left w:val="none" w:sz="0" w:space="0" w:color="auto"/>
        <w:bottom w:val="none" w:sz="0" w:space="0" w:color="auto"/>
        <w:right w:val="none" w:sz="0" w:space="0" w:color="auto"/>
      </w:divBdr>
    </w:div>
    <w:div w:id="1818304152">
      <w:bodyDiv w:val="1"/>
      <w:marLeft w:val="0"/>
      <w:marRight w:val="0"/>
      <w:marTop w:val="0"/>
      <w:marBottom w:val="0"/>
      <w:divBdr>
        <w:top w:val="none" w:sz="0" w:space="0" w:color="auto"/>
        <w:left w:val="none" w:sz="0" w:space="0" w:color="auto"/>
        <w:bottom w:val="none" w:sz="0" w:space="0" w:color="auto"/>
        <w:right w:val="none" w:sz="0" w:space="0" w:color="auto"/>
      </w:divBdr>
    </w:div>
    <w:div w:id="1818377106">
      <w:bodyDiv w:val="1"/>
      <w:marLeft w:val="0"/>
      <w:marRight w:val="0"/>
      <w:marTop w:val="0"/>
      <w:marBottom w:val="0"/>
      <w:divBdr>
        <w:top w:val="none" w:sz="0" w:space="0" w:color="auto"/>
        <w:left w:val="none" w:sz="0" w:space="0" w:color="auto"/>
        <w:bottom w:val="none" w:sz="0" w:space="0" w:color="auto"/>
        <w:right w:val="none" w:sz="0" w:space="0" w:color="auto"/>
      </w:divBdr>
    </w:div>
    <w:div w:id="1818448783">
      <w:bodyDiv w:val="1"/>
      <w:marLeft w:val="0"/>
      <w:marRight w:val="0"/>
      <w:marTop w:val="0"/>
      <w:marBottom w:val="0"/>
      <w:divBdr>
        <w:top w:val="none" w:sz="0" w:space="0" w:color="auto"/>
        <w:left w:val="none" w:sz="0" w:space="0" w:color="auto"/>
        <w:bottom w:val="none" w:sz="0" w:space="0" w:color="auto"/>
        <w:right w:val="none" w:sz="0" w:space="0" w:color="auto"/>
      </w:divBdr>
    </w:div>
    <w:div w:id="1818450020">
      <w:bodyDiv w:val="1"/>
      <w:marLeft w:val="0"/>
      <w:marRight w:val="0"/>
      <w:marTop w:val="0"/>
      <w:marBottom w:val="0"/>
      <w:divBdr>
        <w:top w:val="none" w:sz="0" w:space="0" w:color="auto"/>
        <w:left w:val="none" w:sz="0" w:space="0" w:color="auto"/>
        <w:bottom w:val="none" w:sz="0" w:space="0" w:color="auto"/>
        <w:right w:val="none" w:sz="0" w:space="0" w:color="auto"/>
      </w:divBdr>
    </w:div>
    <w:div w:id="1818571677">
      <w:bodyDiv w:val="1"/>
      <w:marLeft w:val="0"/>
      <w:marRight w:val="0"/>
      <w:marTop w:val="0"/>
      <w:marBottom w:val="0"/>
      <w:divBdr>
        <w:top w:val="none" w:sz="0" w:space="0" w:color="auto"/>
        <w:left w:val="none" w:sz="0" w:space="0" w:color="auto"/>
        <w:bottom w:val="none" w:sz="0" w:space="0" w:color="auto"/>
        <w:right w:val="none" w:sz="0" w:space="0" w:color="auto"/>
      </w:divBdr>
    </w:div>
    <w:div w:id="1818644166">
      <w:bodyDiv w:val="1"/>
      <w:marLeft w:val="0"/>
      <w:marRight w:val="0"/>
      <w:marTop w:val="0"/>
      <w:marBottom w:val="0"/>
      <w:divBdr>
        <w:top w:val="none" w:sz="0" w:space="0" w:color="auto"/>
        <w:left w:val="none" w:sz="0" w:space="0" w:color="auto"/>
        <w:bottom w:val="none" w:sz="0" w:space="0" w:color="auto"/>
        <w:right w:val="none" w:sz="0" w:space="0" w:color="auto"/>
      </w:divBdr>
    </w:div>
    <w:div w:id="1818644189">
      <w:bodyDiv w:val="1"/>
      <w:marLeft w:val="0"/>
      <w:marRight w:val="0"/>
      <w:marTop w:val="0"/>
      <w:marBottom w:val="0"/>
      <w:divBdr>
        <w:top w:val="none" w:sz="0" w:space="0" w:color="auto"/>
        <w:left w:val="none" w:sz="0" w:space="0" w:color="auto"/>
        <w:bottom w:val="none" w:sz="0" w:space="0" w:color="auto"/>
        <w:right w:val="none" w:sz="0" w:space="0" w:color="auto"/>
      </w:divBdr>
    </w:div>
    <w:div w:id="1818764932">
      <w:bodyDiv w:val="1"/>
      <w:marLeft w:val="0"/>
      <w:marRight w:val="0"/>
      <w:marTop w:val="0"/>
      <w:marBottom w:val="0"/>
      <w:divBdr>
        <w:top w:val="none" w:sz="0" w:space="0" w:color="auto"/>
        <w:left w:val="none" w:sz="0" w:space="0" w:color="auto"/>
        <w:bottom w:val="none" w:sz="0" w:space="0" w:color="auto"/>
        <w:right w:val="none" w:sz="0" w:space="0" w:color="auto"/>
      </w:divBdr>
    </w:div>
    <w:div w:id="1818836699">
      <w:bodyDiv w:val="1"/>
      <w:marLeft w:val="0"/>
      <w:marRight w:val="0"/>
      <w:marTop w:val="0"/>
      <w:marBottom w:val="0"/>
      <w:divBdr>
        <w:top w:val="none" w:sz="0" w:space="0" w:color="auto"/>
        <w:left w:val="none" w:sz="0" w:space="0" w:color="auto"/>
        <w:bottom w:val="none" w:sz="0" w:space="0" w:color="auto"/>
        <w:right w:val="none" w:sz="0" w:space="0" w:color="auto"/>
      </w:divBdr>
    </w:div>
    <w:div w:id="1818837672">
      <w:bodyDiv w:val="1"/>
      <w:marLeft w:val="0"/>
      <w:marRight w:val="0"/>
      <w:marTop w:val="0"/>
      <w:marBottom w:val="0"/>
      <w:divBdr>
        <w:top w:val="none" w:sz="0" w:space="0" w:color="auto"/>
        <w:left w:val="none" w:sz="0" w:space="0" w:color="auto"/>
        <w:bottom w:val="none" w:sz="0" w:space="0" w:color="auto"/>
        <w:right w:val="none" w:sz="0" w:space="0" w:color="auto"/>
      </w:divBdr>
    </w:div>
    <w:div w:id="1818914520">
      <w:bodyDiv w:val="1"/>
      <w:marLeft w:val="0"/>
      <w:marRight w:val="0"/>
      <w:marTop w:val="0"/>
      <w:marBottom w:val="0"/>
      <w:divBdr>
        <w:top w:val="none" w:sz="0" w:space="0" w:color="auto"/>
        <w:left w:val="none" w:sz="0" w:space="0" w:color="auto"/>
        <w:bottom w:val="none" w:sz="0" w:space="0" w:color="auto"/>
        <w:right w:val="none" w:sz="0" w:space="0" w:color="auto"/>
      </w:divBdr>
    </w:div>
    <w:div w:id="1818953112">
      <w:bodyDiv w:val="1"/>
      <w:marLeft w:val="0"/>
      <w:marRight w:val="0"/>
      <w:marTop w:val="0"/>
      <w:marBottom w:val="0"/>
      <w:divBdr>
        <w:top w:val="none" w:sz="0" w:space="0" w:color="auto"/>
        <w:left w:val="none" w:sz="0" w:space="0" w:color="auto"/>
        <w:bottom w:val="none" w:sz="0" w:space="0" w:color="auto"/>
        <w:right w:val="none" w:sz="0" w:space="0" w:color="auto"/>
      </w:divBdr>
    </w:div>
    <w:div w:id="1818953906">
      <w:bodyDiv w:val="1"/>
      <w:marLeft w:val="0"/>
      <w:marRight w:val="0"/>
      <w:marTop w:val="0"/>
      <w:marBottom w:val="0"/>
      <w:divBdr>
        <w:top w:val="none" w:sz="0" w:space="0" w:color="auto"/>
        <w:left w:val="none" w:sz="0" w:space="0" w:color="auto"/>
        <w:bottom w:val="none" w:sz="0" w:space="0" w:color="auto"/>
        <w:right w:val="none" w:sz="0" w:space="0" w:color="auto"/>
      </w:divBdr>
    </w:div>
    <w:div w:id="1819028717">
      <w:bodyDiv w:val="1"/>
      <w:marLeft w:val="0"/>
      <w:marRight w:val="0"/>
      <w:marTop w:val="0"/>
      <w:marBottom w:val="0"/>
      <w:divBdr>
        <w:top w:val="none" w:sz="0" w:space="0" w:color="auto"/>
        <w:left w:val="none" w:sz="0" w:space="0" w:color="auto"/>
        <w:bottom w:val="none" w:sz="0" w:space="0" w:color="auto"/>
        <w:right w:val="none" w:sz="0" w:space="0" w:color="auto"/>
      </w:divBdr>
    </w:div>
    <w:div w:id="1819030422">
      <w:bodyDiv w:val="1"/>
      <w:marLeft w:val="0"/>
      <w:marRight w:val="0"/>
      <w:marTop w:val="0"/>
      <w:marBottom w:val="0"/>
      <w:divBdr>
        <w:top w:val="none" w:sz="0" w:space="0" w:color="auto"/>
        <w:left w:val="none" w:sz="0" w:space="0" w:color="auto"/>
        <w:bottom w:val="none" w:sz="0" w:space="0" w:color="auto"/>
        <w:right w:val="none" w:sz="0" w:space="0" w:color="auto"/>
      </w:divBdr>
    </w:div>
    <w:div w:id="1819103917">
      <w:bodyDiv w:val="1"/>
      <w:marLeft w:val="0"/>
      <w:marRight w:val="0"/>
      <w:marTop w:val="0"/>
      <w:marBottom w:val="0"/>
      <w:divBdr>
        <w:top w:val="none" w:sz="0" w:space="0" w:color="auto"/>
        <w:left w:val="none" w:sz="0" w:space="0" w:color="auto"/>
        <w:bottom w:val="none" w:sz="0" w:space="0" w:color="auto"/>
        <w:right w:val="none" w:sz="0" w:space="0" w:color="auto"/>
      </w:divBdr>
    </w:div>
    <w:div w:id="1819151532">
      <w:bodyDiv w:val="1"/>
      <w:marLeft w:val="0"/>
      <w:marRight w:val="0"/>
      <w:marTop w:val="0"/>
      <w:marBottom w:val="0"/>
      <w:divBdr>
        <w:top w:val="none" w:sz="0" w:space="0" w:color="auto"/>
        <w:left w:val="none" w:sz="0" w:space="0" w:color="auto"/>
        <w:bottom w:val="none" w:sz="0" w:space="0" w:color="auto"/>
        <w:right w:val="none" w:sz="0" w:space="0" w:color="auto"/>
      </w:divBdr>
    </w:div>
    <w:div w:id="1819179084">
      <w:bodyDiv w:val="1"/>
      <w:marLeft w:val="0"/>
      <w:marRight w:val="0"/>
      <w:marTop w:val="0"/>
      <w:marBottom w:val="0"/>
      <w:divBdr>
        <w:top w:val="none" w:sz="0" w:space="0" w:color="auto"/>
        <w:left w:val="none" w:sz="0" w:space="0" w:color="auto"/>
        <w:bottom w:val="none" w:sz="0" w:space="0" w:color="auto"/>
        <w:right w:val="none" w:sz="0" w:space="0" w:color="auto"/>
      </w:divBdr>
    </w:div>
    <w:div w:id="1819225970">
      <w:bodyDiv w:val="1"/>
      <w:marLeft w:val="0"/>
      <w:marRight w:val="0"/>
      <w:marTop w:val="0"/>
      <w:marBottom w:val="0"/>
      <w:divBdr>
        <w:top w:val="none" w:sz="0" w:space="0" w:color="auto"/>
        <w:left w:val="none" w:sz="0" w:space="0" w:color="auto"/>
        <w:bottom w:val="none" w:sz="0" w:space="0" w:color="auto"/>
        <w:right w:val="none" w:sz="0" w:space="0" w:color="auto"/>
      </w:divBdr>
    </w:div>
    <w:div w:id="1819305586">
      <w:bodyDiv w:val="1"/>
      <w:marLeft w:val="0"/>
      <w:marRight w:val="0"/>
      <w:marTop w:val="0"/>
      <w:marBottom w:val="0"/>
      <w:divBdr>
        <w:top w:val="none" w:sz="0" w:space="0" w:color="auto"/>
        <w:left w:val="none" w:sz="0" w:space="0" w:color="auto"/>
        <w:bottom w:val="none" w:sz="0" w:space="0" w:color="auto"/>
        <w:right w:val="none" w:sz="0" w:space="0" w:color="auto"/>
      </w:divBdr>
    </w:div>
    <w:div w:id="1819373398">
      <w:bodyDiv w:val="1"/>
      <w:marLeft w:val="0"/>
      <w:marRight w:val="0"/>
      <w:marTop w:val="0"/>
      <w:marBottom w:val="0"/>
      <w:divBdr>
        <w:top w:val="none" w:sz="0" w:space="0" w:color="auto"/>
        <w:left w:val="none" w:sz="0" w:space="0" w:color="auto"/>
        <w:bottom w:val="none" w:sz="0" w:space="0" w:color="auto"/>
        <w:right w:val="none" w:sz="0" w:space="0" w:color="auto"/>
      </w:divBdr>
    </w:div>
    <w:div w:id="1819420235">
      <w:bodyDiv w:val="1"/>
      <w:marLeft w:val="0"/>
      <w:marRight w:val="0"/>
      <w:marTop w:val="0"/>
      <w:marBottom w:val="0"/>
      <w:divBdr>
        <w:top w:val="none" w:sz="0" w:space="0" w:color="auto"/>
        <w:left w:val="none" w:sz="0" w:space="0" w:color="auto"/>
        <w:bottom w:val="none" w:sz="0" w:space="0" w:color="auto"/>
        <w:right w:val="none" w:sz="0" w:space="0" w:color="auto"/>
      </w:divBdr>
    </w:div>
    <w:div w:id="1819422194">
      <w:bodyDiv w:val="1"/>
      <w:marLeft w:val="0"/>
      <w:marRight w:val="0"/>
      <w:marTop w:val="0"/>
      <w:marBottom w:val="0"/>
      <w:divBdr>
        <w:top w:val="none" w:sz="0" w:space="0" w:color="auto"/>
        <w:left w:val="none" w:sz="0" w:space="0" w:color="auto"/>
        <w:bottom w:val="none" w:sz="0" w:space="0" w:color="auto"/>
        <w:right w:val="none" w:sz="0" w:space="0" w:color="auto"/>
      </w:divBdr>
    </w:div>
    <w:div w:id="1819498855">
      <w:bodyDiv w:val="1"/>
      <w:marLeft w:val="0"/>
      <w:marRight w:val="0"/>
      <w:marTop w:val="0"/>
      <w:marBottom w:val="0"/>
      <w:divBdr>
        <w:top w:val="none" w:sz="0" w:space="0" w:color="auto"/>
        <w:left w:val="none" w:sz="0" w:space="0" w:color="auto"/>
        <w:bottom w:val="none" w:sz="0" w:space="0" w:color="auto"/>
        <w:right w:val="none" w:sz="0" w:space="0" w:color="auto"/>
      </w:divBdr>
    </w:div>
    <w:div w:id="1819565783">
      <w:bodyDiv w:val="1"/>
      <w:marLeft w:val="0"/>
      <w:marRight w:val="0"/>
      <w:marTop w:val="0"/>
      <w:marBottom w:val="0"/>
      <w:divBdr>
        <w:top w:val="none" w:sz="0" w:space="0" w:color="auto"/>
        <w:left w:val="none" w:sz="0" w:space="0" w:color="auto"/>
        <w:bottom w:val="none" w:sz="0" w:space="0" w:color="auto"/>
        <w:right w:val="none" w:sz="0" w:space="0" w:color="auto"/>
      </w:divBdr>
    </w:div>
    <w:div w:id="1819567949">
      <w:bodyDiv w:val="1"/>
      <w:marLeft w:val="0"/>
      <w:marRight w:val="0"/>
      <w:marTop w:val="0"/>
      <w:marBottom w:val="0"/>
      <w:divBdr>
        <w:top w:val="none" w:sz="0" w:space="0" w:color="auto"/>
        <w:left w:val="none" w:sz="0" w:space="0" w:color="auto"/>
        <w:bottom w:val="none" w:sz="0" w:space="0" w:color="auto"/>
        <w:right w:val="none" w:sz="0" w:space="0" w:color="auto"/>
      </w:divBdr>
    </w:div>
    <w:div w:id="1819573146">
      <w:bodyDiv w:val="1"/>
      <w:marLeft w:val="0"/>
      <w:marRight w:val="0"/>
      <w:marTop w:val="0"/>
      <w:marBottom w:val="0"/>
      <w:divBdr>
        <w:top w:val="none" w:sz="0" w:space="0" w:color="auto"/>
        <w:left w:val="none" w:sz="0" w:space="0" w:color="auto"/>
        <w:bottom w:val="none" w:sz="0" w:space="0" w:color="auto"/>
        <w:right w:val="none" w:sz="0" w:space="0" w:color="auto"/>
      </w:divBdr>
    </w:div>
    <w:div w:id="1819805576">
      <w:bodyDiv w:val="1"/>
      <w:marLeft w:val="0"/>
      <w:marRight w:val="0"/>
      <w:marTop w:val="0"/>
      <w:marBottom w:val="0"/>
      <w:divBdr>
        <w:top w:val="none" w:sz="0" w:space="0" w:color="auto"/>
        <w:left w:val="none" w:sz="0" w:space="0" w:color="auto"/>
        <w:bottom w:val="none" w:sz="0" w:space="0" w:color="auto"/>
        <w:right w:val="none" w:sz="0" w:space="0" w:color="auto"/>
      </w:divBdr>
    </w:div>
    <w:div w:id="1819806158">
      <w:bodyDiv w:val="1"/>
      <w:marLeft w:val="0"/>
      <w:marRight w:val="0"/>
      <w:marTop w:val="0"/>
      <w:marBottom w:val="0"/>
      <w:divBdr>
        <w:top w:val="none" w:sz="0" w:space="0" w:color="auto"/>
        <w:left w:val="none" w:sz="0" w:space="0" w:color="auto"/>
        <w:bottom w:val="none" w:sz="0" w:space="0" w:color="auto"/>
        <w:right w:val="none" w:sz="0" w:space="0" w:color="auto"/>
      </w:divBdr>
    </w:div>
    <w:div w:id="1819807042">
      <w:bodyDiv w:val="1"/>
      <w:marLeft w:val="0"/>
      <w:marRight w:val="0"/>
      <w:marTop w:val="0"/>
      <w:marBottom w:val="0"/>
      <w:divBdr>
        <w:top w:val="none" w:sz="0" w:space="0" w:color="auto"/>
        <w:left w:val="none" w:sz="0" w:space="0" w:color="auto"/>
        <w:bottom w:val="none" w:sz="0" w:space="0" w:color="auto"/>
        <w:right w:val="none" w:sz="0" w:space="0" w:color="auto"/>
      </w:divBdr>
    </w:div>
    <w:div w:id="1819810061">
      <w:bodyDiv w:val="1"/>
      <w:marLeft w:val="0"/>
      <w:marRight w:val="0"/>
      <w:marTop w:val="0"/>
      <w:marBottom w:val="0"/>
      <w:divBdr>
        <w:top w:val="none" w:sz="0" w:space="0" w:color="auto"/>
        <w:left w:val="none" w:sz="0" w:space="0" w:color="auto"/>
        <w:bottom w:val="none" w:sz="0" w:space="0" w:color="auto"/>
        <w:right w:val="none" w:sz="0" w:space="0" w:color="auto"/>
      </w:divBdr>
    </w:div>
    <w:div w:id="1819877820">
      <w:bodyDiv w:val="1"/>
      <w:marLeft w:val="0"/>
      <w:marRight w:val="0"/>
      <w:marTop w:val="0"/>
      <w:marBottom w:val="0"/>
      <w:divBdr>
        <w:top w:val="none" w:sz="0" w:space="0" w:color="auto"/>
        <w:left w:val="none" w:sz="0" w:space="0" w:color="auto"/>
        <w:bottom w:val="none" w:sz="0" w:space="0" w:color="auto"/>
        <w:right w:val="none" w:sz="0" w:space="0" w:color="auto"/>
      </w:divBdr>
    </w:div>
    <w:div w:id="1819880985">
      <w:bodyDiv w:val="1"/>
      <w:marLeft w:val="0"/>
      <w:marRight w:val="0"/>
      <w:marTop w:val="0"/>
      <w:marBottom w:val="0"/>
      <w:divBdr>
        <w:top w:val="none" w:sz="0" w:space="0" w:color="auto"/>
        <w:left w:val="none" w:sz="0" w:space="0" w:color="auto"/>
        <w:bottom w:val="none" w:sz="0" w:space="0" w:color="auto"/>
        <w:right w:val="none" w:sz="0" w:space="0" w:color="auto"/>
      </w:divBdr>
    </w:div>
    <w:div w:id="1819953718">
      <w:bodyDiv w:val="1"/>
      <w:marLeft w:val="0"/>
      <w:marRight w:val="0"/>
      <w:marTop w:val="0"/>
      <w:marBottom w:val="0"/>
      <w:divBdr>
        <w:top w:val="none" w:sz="0" w:space="0" w:color="auto"/>
        <w:left w:val="none" w:sz="0" w:space="0" w:color="auto"/>
        <w:bottom w:val="none" w:sz="0" w:space="0" w:color="auto"/>
        <w:right w:val="none" w:sz="0" w:space="0" w:color="auto"/>
      </w:divBdr>
    </w:div>
    <w:div w:id="1819954355">
      <w:bodyDiv w:val="1"/>
      <w:marLeft w:val="0"/>
      <w:marRight w:val="0"/>
      <w:marTop w:val="0"/>
      <w:marBottom w:val="0"/>
      <w:divBdr>
        <w:top w:val="none" w:sz="0" w:space="0" w:color="auto"/>
        <w:left w:val="none" w:sz="0" w:space="0" w:color="auto"/>
        <w:bottom w:val="none" w:sz="0" w:space="0" w:color="auto"/>
        <w:right w:val="none" w:sz="0" w:space="0" w:color="auto"/>
      </w:divBdr>
    </w:div>
    <w:div w:id="1819958909">
      <w:bodyDiv w:val="1"/>
      <w:marLeft w:val="0"/>
      <w:marRight w:val="0"/>
      <w:marTop w:val="0"/>
      <w:marBottom w:val="0"/>
      <w:divBdr>
        <w:top w:val="none" w:sz="0" w:space="0" w:color="auto"/>
        <w:left w:val="none" w:sz="0" w:space="0" w:color="auto"/>
        <w:bottom w:val="none" w:sz="0" w:space="0" w:color="auto"/>
        <w:right w:val="none" w:sz="0" w:space="0" w:color="auto"/>
      </w:divBdr>
    </w:div>
    <w:div w:id="1820003327">
      <w:bodyDiv w:val="1"/>
      <w:marLeft w:val="0"/>
      <w:marRight w:val="0"/>
      <w:marTop w:val="0"/>
      <w:marBottom w:val="0"/>
      <w:divBdr>
        <w:top w:val="none" w:sz="0" w:space="0" w:color="auto"/>
        <w:left w:val="none" w:sz="0" w:space="0" w:color="auto"/>
        <w:bottom w:val="none" w:sz="0" w:space="0" w:color="auto"/>
        <w:right w:val="none" w:sz="0" w:space="0" w:color="auto"/>
      </w:divBdr>
    </w:div>
    <w:div w:id="1820070518">
      <w:bodyDiv w:val="1"/>
      <w:marLeft w:val="0"/>
      <w:marRight w:val="0"/>
      <w:marTop w:val="0"/>
      <w:marBottom w:val="0"/>
      <w:divBdr>
        <w:top w:val="none" w:sz="0" w:space="0" w:color="auto"/>
        <w:left w:val="none" w:sz="0" w:space="0" w:color="auto"/>
        <w:bottom w:val="none" w:sz="0" w:space="0" w:color="auto"/>
        <w:right w:val="none" w:sz="0" w:space="0" w:color="auto"/>
      </w:divBdr>
    </w:div>
    <w:div w:id="1820153649">
      <w:bodyDiv w:val="1"/>
      <w:marLeft w:val="0"/>
      <w:marRight w:val="0"/>
      <w:marTop w:val="0"/>
      <w:marBottom w:val="0"/>
      <w:divBdr>
        <w:top w:val="none" w:sz="0" w:space="0" w:color="auto"/>
        <w:left w:val="none" w:sz="0" w:space="0" w:color="auto"/>
        <w:bottom w:val="none" w:sz="0" w:space="0" w:color="auto"/>
        <w:right w:val="none" w:sz="0" w:space="0" w:color="auto"/>
      </w:divBdr>
    </w:div>
    <w:div w:id="1820415115">
      <w:bodyDiv w:val="1"/>
      <w:marLeft w:val="0"/>
      <w:marRight w:val="0"/>
      <w:marTop w:val="0"/>
      <w:marBottom w:val="0"/>
      <w:divBdr>
        <w:top w:val="none" w:sz="0" w:space="0" w:color="auto"/>
        <w:left w:val="none" w:sz="0" w:space="0" w:color="auto"/>
        <w:bottom w:val="none" w:sz="0" w:space="0" w:color="auto"/>
        <w:right w:val="none" w:sz="0" w:space="0" w:color="auto"/>
      </w:divBdr>
    </w:div>
    <w:div w:id="1820419560">
      <w:bodyDiv w:val="1"/>
      <w:marLeft w:val="0"/>
      <w:marRight w:val="0"/>
      <w:marTop w:val="0"/>
      <w:marBottom w:val="0"/>
      <w:divBdr>
        <w:top w:val="none" w:sz="0" w:space="0" w:color="auto"/>
        <w:left w:val="none" w:sz="0" w:space="0" w:color="auto"/>
        <w:bottom w:val="none" w:sz="0" w:space="0" w:color="auto"/>
        <w:right w:val="none" w:sz="0" w:space="0" w:color="auto"/>
      </w:divBdr>
    </w:div>
    <w:div w:id="1820540630">
      <w:bodyDiv w:val="1"/>
      <w:marLeft w:val="0"/>
      <w:marRight w:val="0"/>
      <w:marTop w:val="0"/>
      <w:marBottom w:val="0"/>
      <w:divBdr>
        <w:top w:val="none" w:sz="0" w:space="0" w:color="auto"/>
        <w:left w:val="none" w:sz="0" w:space="0" w:color="auto"/>
        <w:bottom w:val="none" w:sz="0" w:space="0" w:color="auto"/>
        <w:right w:val="none" w:sz="0" w:space="0" w:color="auto"/>
      </w:divBdr>
    </w:div>
    <w:div w:id="1820683720">
      <w:bodyDiv w:val="1"/>
      <w:marLeft w:val="0"/>
      <w:marRight w:val="0"/>
      <w:marTop w:val="0"/>
      <w:marBottom w:val="0"/>
      <w:divBdr>
        <w:top w:val="none" w:sz="0" w:space="0" w:color="auto"/>
        <w:left w:val="none" w:sz="0" w:space="0" w:color="auto"/>
        <w:bottom w:val="none" w:sz="0" w:space="0" w:color="auto"/>
        <w:right w:val="none" w:sz="0" w:space="0" w:color="auto"/>
      </w:divBdr>
    </w:div>
    <w:div w:id="1820801812">
      <w:bodyDiv w:val="1"/>
      <w:marLeft w:val="0"/>
      <w:marRight w:val="0"/>
      <w:marTop w:val="0"/>
      <w:marBottom w:val="0"/>
      <w:divBdr>
        <w:top w:val="none" w:sz="0" w:space="0" w:color="auto"/>
        <w:left w:val="none" w:sz="0" w:space="0" w:color="auto"/>
        <w:bottom w:val="none" w:sz="0" w:space="0" w:color="auto"/>
        <w:right w:val="none" w:sz="0" w:space="0" w:color="auto"/>
      </w:divBdr>
    </w:div>
    <w:div w:id="1820802665">
      <w:bodyDiv w:val="1"/>
      <w:marLeft w:val="0"/>
      <w:marRight w:val="0"/>
      <w:marTop w:val="0"/>
      <w:marBottom w:val="0"/>
      <w:divBdr>
        <w:top w:val="none" w:sz="0" w:space="0" w:color="auto"/>
        <w:left w:val="none" w:sz="0" w:space="0" w:color="auto"/>
        <w:bottom w:val="none" w:sz="0" w:space="0" w:color="auto"/>
        <w:right w:val="none" w:sz="0" w:space="0" w:color="auto"/>
      </w:divBdr>
    </w:div>
    <w:div w:id="1820806998">
      <w:bodyDiv w:val="1"/>
      <w:marLeft w:val="0"/>
      <w:marRight w:val="0"/>
      <w:marTop w:val="0"/>
      <w:marBottom w:val="0"/>
      <w:divBdr>
        <w:top w:val="none" w:sz="0" w:space="0" w:color="auto"/>
        <w:left w:val="none" w:sz="0" w:space="0" w:color="auto"/>
        <w:bottom w:val="none" w:sz="0" w:space="0" w:color="auto"/>
        <w:right w:val="none" w:sz="0" w:space="0" w:color="auto"/>
      </w:divBdr>
    </w:div>
    <w:div w:id="1820880356">
      <w:bodyDiv w:val="1"/>
      <w:marLeft w:val="0"/>
      <w:marRight w:val="0"/>
      <w:marTop w:val="0"/>
      <w:marBottom w:val="0"/>
      <w:divBdr>
        <w:top w:val="none" w:sz="0" w:space="0" w:color="auto"/>
        <w:left w:val="none" w:sz="0" w:space="0" w:color="auto"/>
        <w:bottom w:val="none" w:sz="0" w:space="0" w:color="auto"/>
        <w:right w:val="none" w:sz="0" w:space="0" w:color="auto"/>
      </w:divBdr>
    </w:div>
    <w:div w:id="1820998531">
      <w:bodyDiv w:val="1"/>
      <w:marLeft w:val="0"/>
      <w:marRight w:val="0"/>
      <w:marTop w:val="0"/>
      <w:marBottom w:val="0"/>
      <w:divBdr>
        <w:top w:val="none" w:sz="0" w:space="0" w:color="auto"/>
        <w:left w:val="none" w:sz="0" w:space="0" w:color="auto"/>
        <w:bottom w:val="none" w:sz="0" w:space="0" w:color="auto"/>
        <w:right w:val="none" w:sz="0" w:space="0" w:color="auto"/>
      </w:divBdr>
    </w:div>
    <w:div w:id="1821117242">
      <w:bodyDiv w:val="1"/>
      <w:marLeft w:val="0"/>
      <w:marRight w:val="0"/>
      <w:marTop w:val="0"/>
      <w:marBottom w:val="0"/>
      <w:divBdr>
        <w:top w:val="none" w:sz="0" w:space="0" w:color="auto"/>
        <w:left w:val="none" w:sz="0" w:space="0" w:color="auto"/>
        <w:bottom w:val="none" w:sz="0" w:space="0" w:color="auto"/>
        <w:right w:val="none" w:sz="0" w:space="0" w:color="auto"/>
      </w:divBdr>
    </w:div>
    <w:div w:id="1821118870">
      <w:bodyDiv w:val="1"/>
      <w:marLeft w:val="0"/>
      <w:marRight w:val="0"/>
      <w:marTop w:val="0"/>
      <w:marBottom w:val="0"/>
      <w:divBdr>
        <w:top w:val="none" w:sz="0" w:space="0" w:color="auto"/>
        <w:left w:val="none" w:sz="0" w:space="0" w:color="auto"/>
        <w:bottom w:val="none" w:sz="0" w:space="0" w:color="auto"/>
        <w:right w:val="none" w:sz="0" w:space="0" w:color="auto"/>
      </w:divBdr>
    </w:div>
    <w:div w:id="1821144401">
      <w:bodyDiv w:val="1"/>
      <w:marLeft w:val="0"/>
      <w:marRight w:val="0"/>
      <w:marTop w:val="0"/>
      <w:marBottom w:val="0"/>
      <w:divBdr>
        <w:top w:val="none" w:sz="0" w:space="0" w:color="auto"/>
        <w:left w:val="none" w:sz="0" w:space="0" w:color="auto"/>
        <w:bottom w:val="none" w:sz="0" w:space="0" w:color="auto"/>
        <w:right w:val="none" w:sz="0" w:space="0" w:color="auto"/>
      </w:divBdr>
    </w:div>
    <w:div w:id="1821146739">
      <w:bodyDiv w:val="1"/>
      <w:marLeft w:val="0"/>
      <w:marRight w:val="0"/>
      <w:marTop w:val="0"/>
      <w:marBottom w:val="0"/>
      <w:divBdr>
        <w:top w:val="none" w:sz="0" w:space="0" w:color="auto"/>
        <w:left w:val="none" w:sz="0" w:space="0" w:color="auto"/>
        <w:bottom w:val="none" w:sz="0" w:space="0" w:color="auto"/>
        <w:right w:val="none" w:sz="0" w:space="0" w:color="auto"/>
      </w:divBdr>
    </w:div>
    <w:div w:id="1821193163">
      <w:bodyDiv w:val="1"/>
      <w:marLeft w:val="0"/>
      <w:marRight w:val="0"/>
      <w:marTop w:val="0"/>
      <w:marBottom w:val="0"/>
      <w:divBdr>
        <w:top w:val="none" w:sz="0" w:space="0" w:color="auto"/>
        <w:left w:val="none" w:sz="0" w:space="0" w:color="auto"/>
        <w:bottom w:val="none" w:sz="0" w:space="0" w:color="auto"/>
        <w:right w:val="none" w:sz="0" w:space="0" w:color="auto"/>
      </w:divBdr>
    </w:div>
    <w:div w:id="1821262247">
      <w:bodyDiv w:val="1"/>
      <w:marLeft w:val="0"/>
      <w:marRight w:val="0"/>
      <w:marTop w:val="0"/>
      <w:marBottom w:val="0"/>
      <w:divBdr>
        <w:top w:val="none" w:sz="0" w:space="0" w:color="auto"/>
        <w:left w:val="none" w:sz="0" w:space="0" w:color="auto"/>
        <w:bottom w:val="none" w:sz="0" w:space="0" w:color="auto"/>
        <w:right w:val="none" w:sz="0" w:space="0" w:color="auto"/>
      </w:divBdr>
    </w:div>
    <w:div w:id="1821454948">
      <w:bodyDiv w:val="1"/>
      <w:marLeft w:val="0"/>
      <w:marRight w:val="0"/>
      <w:marTop w:val="0"/>
      <w:marBottom w:val="0"/>
      <w:divBdr>
        <w:top w:val="none" w:sz="0" w:space="0" w:color="auto"/>
        <w:left w:val="none" w:sz="0" w:space="0" w:color="auto"/>
        <w:bottom w:val="none" w:sz="0" w:space="0" w:color="auto"/>
        <w:right w:val="none" w:sz="0" w:space="0" w:color="auto"/>
      </w:divBdr>
    </w:div>
    <w:div w:id="1821650311">
      <w:bodyDiv w:val="1"/>
      <w:marLeft w:val="0"/>
      <w:marRight w:val="0"/>
      <w:marTop w:val="0"/>
      <w:marBottom w:val="0"/>
      <w:divBdr>
        <w:top w:val="none" w:sz="0" w:space="0" w:color="auto"/>
        <w:left w:val="none" w:sz="0" w:space="0" w:color="auto"/>
        <w:bottom w:val="none" w:sz="0" w:space="0" w:color="auto"/>
        <w:right w:val="none" w:sz="0" w:space="0" w:color="auto"/>
      </w:divBdr>
    </w:div>
    <w:div w:id="1821725236">
      <w:bodyDiv w:val="1"/>
      <w:marLeft w:val="0"/>
      <w:marRight w:val="0"/>
      <w:marTop w:val="0"/>
      <w:marBottom w:val="0"/>
      <w:divBdr>
        <w:top w:val="none" w:sz="0" w:space="0" w:color="auto"/>
        <w:left w:val="none" w:sz="0" w:space="0" w:color="auto"/>
        <w:bottom w:val="none" w:sz="0" w:space="0" w:color="auto"/>
        <w:right w:val="none" w:sz="0" w:space="0" w:color="auto"/>
      </w:divBdr>
    </w:div>
    <w:div w:id="1821732215">
      <w:bodyDiv w:val="1"/>
      <w:marLeft w:val="0"/>
      <w:marRight w:val="0"/>
      <w:marTop w:val="0"/>
      <w:marBottom w:val="0"/>
      <w:divBdr>
        <w:top w:val="none" w:sz="0" w:space="0" w:color="auto"/>
        <w:left w:val="none" w:sz="0" w:space="0" w:color="auto"/>
        <w:bottom w:val="none" w:sz="0" w:space="0" w:color="auto"/>
        <w:right w:val="none" w:sz="0" w:space="0" w:color="auto"/>
      </w:divBdr>
    </w:div>
    <w:div w:id="1821925558">
      <w:bodyDiv w:val="1"/>
      <w:marLeft w:val="0"/>
      <w:marRight w:val="0"/>
      <w:marTop w:val="0"/>
      <w:marBottom w:val="0"/>
      <w:divBdr>
        <w:top w:val="none" w:sz="0" w:space="0" w:color="auto"/>
        <w:left w:val="none" w:sz="0" w:space="0" w:color="auto"/>
        <w:bottom w:val="none" w:sz="0" w:space="0" w:color="auto"/>
        <w:right w:val="none" w:sz="0" w:space="0" w:color="auto"/>
      </w:divBdr>
    </w:div>
    <w:div w:id="1822114063">
      <w:bodyDiv w:val="1"/>
      <w:marLeft w:val="0"/>
      <w:marRight w:val="0"/>
      <w:marTop w:val="0"/>
      <w:marBottom w:val="0"/>
      <w:divBdr>
        <w:top w:val="none" w:sz="0" w:space="0" w:color="auto"/>
        <w:left w:val="none" w:sz="0" w:space="0" w:color="auto"/>
        <w:bottom w:val="none" w:sz="0" w:space="0" w:color="auto"/>
        <w:right w:val="none" w:sz="0" w:space="0" w:color="auto"/>
      </w:divBdr>
    </w:div>
    <w:div w:id="1822186236">
      <w:bodyDiv w:val="1"/>
      <w:marLeft w:val="0"/>
      <w:marRight w:val="0"/>
      <w:marTop w:val="0"/>
      <w:marBottom w:val="0"/>
      <w:divBdr>
        <w:top w:val="none" w:sz="0" w:space="0" w:color="auto"/>
        <w:left w:val="none" w:sz="0" w:space="0" w:color="auto"/>
        <w:bottom w:val="none" w:sz="0" w:space="0" w:color="auto"/>
        <w:right w:val="none" w:sz="0" w:space="0" w:color="auto"/>
      </w:divBdr>
    </w:div>
    <w:div w:id="1822455628">
      <w:bodyDiv w:val="1"/>
      <w:marLeft w:val="0"/>
      <w:marRight w:val="0"/>
      <w:marTop w:val="0"/>
      <w:marBottom w:val="0"/>
      <w:divBdr>
        <w:top w:val="none" w:sz="0" w:space="0" w:color="auto"/>
        <w:left w:val="none" w:sz="0" w:space="0" w:color="auto"/>
        <w:bottom w:val="none" w:sz="0" w:space="0" w:color="auto"/>
        <w:right w:val="none" w:sz="0" w:space="0" w:color="auto"/>
      </w:divBdr>
    </w:div>
    <w:div w:id="1822694874">
      <w:bodyDiv w:val="1"/>
      <w:marLeft w:val="0"/>
      <w:marRight w:val="0"/>
      <w:marTop w:val="0"/>
      <w:marBottom w:val="0"/>
      <w:divBdr>
        <w:top w:val="none" w:sz="0" w:space="0" w:color="auto"/>
        <w:left w:val="none" w:sz="0" w:space="0" w:color="auto"/>
        <w:bottom w:val="none" w:sz="0" w:space="0" w:color="auto"/>
        <w:right w:val="none" w:sz="0" w:space="0" w:color="auto"/>
      </w:divBdr>
    </w:div>
    <w:div w:id="1822771041">
      <w:bodyDiv w:val="1"/>
      <w:marLeft w:val="0"/>
      <w:marRight w:val="0"/>
      <w:marTop w:val="0"/>
      <w:marBottom w:val="0"/>
      <w:divBdr>
        <w:top w:val="none" w:sz="0" w:space="0" w:color="auto"/>
        <w:left w:val="none" w:sz="0" w:space="0" w:color="auto"/>
        <w:bottom w:val="none" w:sz="0" w:space="0" w:color="auto"/>
        <w:right w:val="none" w:sz="0" w:space="0" w:color="auto"/>
      </w:divBdr>
    </w:div>
    <w:div w:id="1822844016">
      <w:bodyDiv w:val="1"/>
      <w:marLeft w:val="0"/>
      <w:marRight w:val="0"/>
      <w:marTop w:val="0"/>
      <w:marBottom w:val="0"/>
      <w:divBdr>
        <w:top w:val="none" w:sz="0" w:space="0" w:color="auto"/>
        <w:left w:val="none" w:sz="0" w:space="0" w:color="auto"/>
        <w:bottom w:val="none" w:sz="0" w:space="0" w:color="auto"/>
        <w:right w:val="none" w:sz="0" w:space="0" w:color="auto"/>
      </w:divBdr>
    </w:div>
    <w:div w:id="1822887945">
      <w:bodyDiv w:val="1"/>
      <w:marLeft w:val="0"/>
      <w:marRight w:val="0"/>
      <w:marTop w:val="0"/>
      <w:marBottom w:val="0"/>
      <w:divBdr>
        <w:top w:val="none" w:sz="0" w:space="0" w:color="auto"/>
        <w:left w:val="none" w:sz="0" w:space="0" w:color="auto"/>
        <w:bottom w:val="none" w:sz="0" w:space="0" w:color="auto"/>
        <w:right w:val="none" w:sz="0" w:space="0" w:color="auto"/>
      </w:divBdr>
    </w:div>
    <w:div w:id="1822889080">
      <w:bodyDiv w:val="1"/>
      <w:marLeft w:val="0"/>
      <w:marRight w:val="0"/>
      <w:marTop w:val="0"/>
      <w:marBottom w:val="0"/>
      <w:divBdr>
        <w:top w:val="none" w:sz="0" w:space="0" w:color="auto"/>
        <w:left w:val="none" w:sz="0" w:space="0" w:color="auto"/>
        <w:bottom w:val="none" w:sz="0" w:space="0" w:color="auto"/>
        <w:right w:val="none" w:sz="0" w:space="0" w:color="auto"/>
      </w:divBdr>
    </w:div>
    <w:div w:id="1822958928">
      <w:bodyDiv w:val="1"/>
      <w:marLeft w:val="0"/>
      <w:marRight w:val="0"/>
      <w:marTop w:val="0"/>
      <w:marBottom w:val="0"/>
      <w:divBdr>
        <w:top w:val="none" w:sz="0" w:space="0" w:color="auto"/>
        <w:left w:val="none" w:sz="0" w:space="0" w:color="auto"/>
        <w:bottom w:val="none" w:sz="0" w:space="0" w:color="auto"/>
        <w:right w:val="none" w:sz="0" w:space="0" w:color="auto"/>
      </w:divBdr>
    </w:div>
    <w:div w:id="1822965947">
      <w:bodyDiv w:val="1"/>
      <w:marLeft w:val="0"/>
      <w:marRight w:val="0"/>
      <w:marTop w:val="0"/>
      <w:marBottom w:val="0"/>
      <w:divBdr>
        <w:top w:val="none" w:sz="0" w:space="0" w:color="auto"/>
        <w:left w:val="none" w:sz="0" w:space="0" w:color="auto"/>
        <w:bottom w:val="none" w:sz="0" w:space="0" w:color="auto"/>
        <w:right w:val="none" w:sz="0" w:space="0" w:color="auto"/>
      </w:divBdr>
    </w:div>
    <w:div w:id="1823110912">
      <w:bodyDiv w:val="1"/>
      <w:marLeft w:val="0"/>
      <w:marRight w:val="0"/>
      <w:marTop w:val="0"/>
      <w:marBottom w:val="0"/>
      <w:divBdr>
        <w:top w:val="none" w:sz="0" w:space="0" w:color="auto"/>
        <w:left w:val="none" w:sz="0" w:space="0" w:color="auto"/>
        <w:bottom w:val="none" w:sz="0" w:space="0" w:color="auto"/>
        <w:right w:val="none" w:sz="0" w:space="0" w:color="auto"/>
      </w:divBdr>
    </w:div>
    <w:div w:id="1823278067">
      <w:bodyDiv w:val="1"/>
      <w:marLeft w:val="0"/>
      <w:marRight w:val="0"/>
      <w:marTop w:val="0"/>
      <w:marBottom w:val="0"/>
      <w:divBdr>
        <w:top w:val="none" w:sz="0" w:space="0" w:color="auto"/>
        <w:left w:val="none" w:sz="0" w:space="0" w:color="auto"/>
        <w:bottom w:val="none" w:sz="0" w:space="0" w:color="auto"/>
        <w:right w:val="none" w:sz="0" w:space="0" w:color="auto"/>
      </w:divBdr>
    </w:div>
    <w:div w:id="1823306989">
      <w:bodyDiv w:val="1"/>
      <w:marLeft w:val="0"/>
      <w:marRight w:val="0"/>
      <w:marTop w:val="0"/>
      <w:marBottom w:val="0"/>
      <w:divBdr>
        <w:top w:val="none" w:sz="0" w:space="0" w:color="auto"/>
        <w:left w:val="none" w:sz="0" w:space="0" w:color="auto"/>
        <w:bottom w:val="none" w:sz="0" w:space="0" w:color="auto"/>
        <w:right w:val="none" w:sz="0" w:space="0" w:color="auto"/>
      </w:divBdr>
    </w:div>
    <w:div w:id="1823423775">
      <w:bodyDiv w:val="1"/>
      <w:marLeft w:val="0"/>
      <w:marRight w:val="0"/>
      <w:marTop w:val="0"/>
      <w:marBottom w:val="0"/>
      <w:divBdr>
        <w:top w:val="none" w:sz="0" w:space="0" w:color="auto"/>
        <w:left w:val="none" w:sz="0" w:space="0" w:color="auto"/>
        <w:bottom w:val="none" w:sz="0" w:space="0" w:color="auto"/>
        <w:right w:val="none" w:sz="0" w:space="0" w:color="auto"/>
      </w:divBdr>
    </w:div>
    <w:div w:id="1823546035">
      <w:bodyDiv w:val="1"/>
      <w:marLeft w:val="0"/>
      <w:marRight w:val="0"/>
      <w:marTop w:val="0"/>
      <w:marBottom w:val="0"/>
      <w:divBdr>
        <w:top w:val="none" w:sz="0" w:space="0" w:color="auto"/>
        <w:left w:val="none" w:sz="0" w:space="0" w:color="auto"/>
        <w:bottom w:val="none" w:sz="0" w:space="0" w:color="auto"/>
        <w:right w:val="none" w:sz="0" w:space="0" w:color="auto"/>
      </w:divBdr>
    </w:div>
    <w:div w:id="1823547992">
      <w:bodyDiv w:val="1"/>
      <w:marLeft w:val="0"/>
      <w:marRight w:val="0"/>
      <w:marTop w:val="0"/>
      <w:marBottom w:val="0"/>
      <w:divBdr>
        <w:top w:val="none" w:sz="0" w:space="0" w:color="auto"/>
        <w:left w:val="none" w:sz="0" w:space="0" w:color="auto"/>
        <w:bottom w:val="none" w:sz="0" w:space="0" w:color="auto"/>
        <w:right w:val="none" w:sz="0" w:space="0" w:color="auto"/>
      </w:divBdr>
    </w:div>
    <w:div w:id="1823961374">
      <w:bodyDiv w:val="1"/>
      <w:marLeft w:val="0"/>
      <w:marRight w:val="0"/>
      <w:marTop w:val="0"/>
      <w:marBottom w:val="0"/>
      <w:divBdr>
        <w:top w:val="none" w:sz="0" w:space="0" w:color="auto"/>
        <w:left w:val="none" w:sz="0" w:space="0" w:color="auto"/>
        <w:bottom w:val="none" w:sz="0" w:space="0" w:color="auto"/>
        <w:right w:val="none" w:sz="0" w:space="0" w:color="auto"/>
      </w:divBdr>
    </w:div>
    <w:div w:id="1824084279">
      <w:bodyDiv w:val="1"/>
      <w:marLeft w:val="0"/>
      <w:marRight w:val="0"/>
      <w:marTop w:val="0"/>
      <w:marBottom w:val="0"/>
      <w:divBdr>
        <w:top w:val="none" w:sz="0" w:space="0" w:color="auto"/>
        <w:left w:val="none" w:sz="0" w:space="0" w:color="auto"/>
        <w:bottom w:val="none" w:sz="0" w:space="0" w:color="auto"/>
        <w:right w:val="none" w:sz="0" w:space="0" w:color="auto"/>
      </w:divBdr>
    </w:div>
    <w:div w:id="1824270129">
      <w:bodyDiv w:val="1"/>
      <w:marLeft w:val="0"/>
      <w:marRight w:val="0"/>
      <w:marTop w:val="0"/>
      <w:marBottom w:val="0"/>
      <w:divBdr>
        <w:top w:val="none" w:sz="0" w:space="0" w:color="auto"/>
        <w:left w:val="none" w:sz="0" w:space="0" w:color="auto"/>
        <w:bottom w:val="none" w:sz="0" w:space="0" w:color="auto"/>
        <w:right w:val="none" w:sz="0" w:space="0" w:color="auto"/>
      </w:divBdr>
    </w:div>
    <w:div w:id="1824351385">
      <w:bodyDiv w:val="1"/>
      <w:marLeft w:val="0"/>
      <w:marRight w:val="0"/>
      <w:marTop w:val="0"/>
      <w:marBottom w:val="0"/>
      <w:divBdr>
        <w:top w:val="none" w:sz="0" w:space="0" w:color="auto"/>
        <w:left w:val="none" w:sz="0" w:space="0" w:color="auto"/>
        <w:bottom w:val="none" w:sz="0" w:space="0" w:color="auto"/>
        <w:right w:val="none" w:sz="0" w:space="0" w:color="auto"/>
      </w:divBdr>
    </w:div>
    <w:div w:id="1824463529">
      <w:bodyDiv w:val="1"/>
      <w:marLeft w:val="0"/>
      <w:marRight w:val="0"/>
      <w:marTop w:val="0"/>
      <w:marBottom w:val="0"/>
      <w:divBdr>
        <w:top w:val="none" w:sz="0" w:space="0" w:color="auto"/>
        <w:left w:val="none" w:sz="0" w:space="0" w:color="auto"/>
        <w:bottom w:val="none" w:sz="0" w:space="0" w:color="auto"/>
        <w:right w:val="none" w:sz="0" w:space="0" w:color="auto"/>
      </w:divBdr>
    </w:div>
    <w:div w:id="1824469360">
      <w:bodyDiv w:val="1"/>
      <w:marLeft w:val="0"/>
      <w:marRight w:val="0"/>
      <w:marTop w:val="0"/>
      <w:marBottom w:val="0"/>
      <w:divBdr>
        <w:top w:val="none" w:sz="0" w:space="0" w:color="auto"/>
        <w:left w:val="none" w:sz="0" w:space="0" w:color="auto"/>
        <w:bottom w:val="none" w:sz="0" w:space="0" w:color="auto"/>
        <w:right w:val="none" w:sz="0" w:space="0" w:color="auto"/>
      </w:divBdr>
    </w:div>
    <w:div w:id="1824546737">
      <w:bodyDiv w:val="1"/>
      <w:marLeft w:val="0"/>
      <w:marRight w:val="0"/>
      <w:marTop w:val="0"/>
      <w:marBottom w:val="0"/>
      <w:divBdr>
        <w:top w:val="none" w:sz="0" w:space="0" w:color="auto"/>
        <w:left w:val="none" w:sz="0" w:space="0" w:color="auto"/>
        <w:bottom w:val="none" w:sz="0" w:space="0" w:color="auto"/>
        <w:right w:val="none" w:sz="0" w:space="0" w:color="auto"/>
      </w:divBdr>
    </w:div>
    <w:div w:id="1824546854">
      <w:bodyDiv w:val="1"/>
      <w:marLeft w:val="0"/>
      <w:marRight w:val="0"/>
      <w:marTop w:val="0"/>
      <w:marBottom w:val="0"/>
      <w:divBdr>
        <w:top w:val="none" w:sz="0" w:space="0" w:color="auto"/>
        <w:left w:val="none" w:sz="0" w:space="0" w:color="auto"/>
        <w:bottom w:val="none" w:sz="0" w:space="0" w:color="auto"/>
        <w:right w:val="none" w:sz="0" w:space="0" w:color="auto"/>
      </w:divBdr>
    </w:div>
    <w:div w:id="1824615931">
      <w:bodyDiv w:val="1"/>
      <w:marLeft w:val="0"/>
      <w:marRight w:val="0"/>
      <w:marTop w:val="0"/>
      <w:marBottom w:val="0"/>
      <w:divBdr>
        <w:top w:val="none" w:sz="0" w:space="0" w:color="auto"/>
        <w:left w:val="none" w:sz="0" w:space="0" w:color="auto"/>
        <w:bottom w:val="none" w:sz="0" w:space="0" w:color="auto"/>
        <w:right w:val="none" w:sz="0" w:space="0" w:color="auto"/>
      </w:divBdr>
    </w:div>
    <w:div w:id="1824731637">
      <w:bodyDiv w:val="1"/>
      <w:marLeft w:val="0"/>
      <w:marRight w:val="0"/>
      <w:marTop w:val="0"/>
      <w:marBottom w:val="0"/>
      <w:divBdr>
        <w:top w:val="none" w:sz="0" w:space="0" w:color="auto"/>
        <w:left w:val="none" w:sz="0" w:space="0" w:color="auto"/>
        <w:bottom w:val="none" w:sz="0" w:space="0" w:color="auto"/>
        <w:right w:val="none" w:sz="0" w:space="0" w:color="auto"/>
      </w:divBdr>
    </w:div>
    <w:div w:id="1824740092">
      <w:bodyDiv w:val="1"/>
      <w:marLeft w:val="0"/>
      <w:marRight w:val="0"/>
      <w:marTop w:val="0"/>
      <w:marBottom w:val="0"/>
      <w:divBdr>
        <w:top w:val="none" w:sz="0" w:space="0" w:color="auto"/>
        <w:left w:val="none" w:sz="0" w:space="0" w:color="auto"/>
        <w:bottom w:val="none" w:sz="0" w:space="0" w:color="auto"/>
        <w:right w:val="none" w:sz="0" w:space="0" w:color="auto"/>
      </w:divBdr>
    </w:div>
    <w:div w:id="1824812632">
      <w:bodyDiv w:val="1"/>
      <w:marLeft w:val="0"/>
      <w:marRight w:val="0"/>
      <w:marTop w:val="0"/>
      <w:marBottom w:val="0"/>
      <w:divBdr>
        <w:top w:val="none" w:sz="0" w:space="0" w:color="auto"/>
        <w:left w:val="none" w:sz="0" w:space="0" w:color="auto"/>
        <w:bottom w:val="none" w:sz="0" w:space="0" w:color="auto"/>
        <w:right w:val="none" w:sz="0" w:space="0" w:color="auto"/>
      </w:divBdr>
    </w:div>
    <w:div w:id="1824928895">
      <w:bodyDiv w:val="1"/>
      <w:marLeft w:val="0"/>
      <w:marRight w:val="0"/>
      <w:marTop w:val="0"/>
      <w:marBottom w:val="0"/>
      <w:divBdr>
        <w:top w:val="none" w:sz="0" w:space="0" w:color="auto"/>
        <w:left w:val="none" w:sz="0" w:space="0" w:color="auto"/>
        <w:bottom w:val="none" w:sz="0" w:space="0" w:color="auto"/>
        <w:right w:val="none" w:sz="0" w:space="0" w:color="auto"/>
      </w:divBdr>
    </w:div>
    <w:div w:id="1825003128">
      <w:bodyDiv w:val="1"/>
      <w:marLeft w:val="0"/>
      <w:marRight w:val="0"/>
      <w:marTop w:val="0"/>
      <w:marBottom w:val="0"/>
      <w:divBdr>
        <w:top w:val="none" w:sz="0" w:space="0" w:color="auto"/>
        <w:left w:val="none" w:sz="0" w:space="0" w:color="auto"/>
        <w:bottom w:val="none" w:sz="0" w:space="0" w:color="auto"/>
        <w:right w:val="none" w:sz="0" w:space="0" w:color="auto"/>
      </w:divBdr>
    </w:div>
    <w:div w:id="1825271311">
      <w:bodyDiv w:val="1"/>
      <w:marLeft w:val="0"/>
      <w:marRight w:val="0"/>
      <w:marTop w:val="0"/>
      <w:marBottom w:val="0"/>
      <w:divBdr>
        <w:top w:val="none" w:sz="0" w:space="0" w:color="auto"/>
        <w:left w:val="none" w:sz="0" w:space="0" w:color="auto"/>
        <w:bottom w:val="none" w:sz="0" w:space="0" w:color="auto"/>
        <w:right w:val="none" w:sz="0" w:space="0" w:color="auto"/>
      </w:divBdr>
    </w:div>
    <w:div w:id="1825393828">
      <w:bodyDiv w:val="1"/>
      <w:marLeft w:val="0"/>
      <w:marRight w:val="0"/>
      <w:marTop w:val="0"/>
      <w:marBottom w:val="0"/>
      <w:divBdr>
        <w:top w:val="none" w:sz="0" w:space="0" w:color="auto"/>
        <w:left w:val="none" w:sz="0" w:space="0" w:color="auto"/>
        <w:bottom w:val="none" w:sz="0" w:space="0" w:color="auto"/>
        <w:right w:val="none" w:sz="0" w:space="0" w:color="auto"/>
      </w:divBdr>
    </w:div>
    <w:div w:id="1825511677">
      <w:bodyDiv w:val="1"/>
      <w:marLeft w:val="0"/>
      <w:marRight w:val="0"/>
      <w:marTop w:val="0"/>
      <w:marBottom w:val="0"/>
      <w:divBdr>
        <w:top w:val="none" w:sz="0" w:space="0" w:color="auto"/>
        <w:left w:val="none" w:sz="0" w:space="0" w:color="auto"/>
        <w:bottom w:val="none" w:sz="0" w:space="0" w:color="auto"/>
        <w:right w:val="none" w:sz="0" w:space="0" w:color="auto"/>
      </w:divBdr>
    </w:div>
    <w:div w:id="1825585809">
      <w:bodyDiv w:val="1"/>
      <w:marLeft w:val="0"/>
      <w:marRight w:val="0"/>
      <w:marTop w:val="0"/>
      <w:marBottom w:val="0"/>
      <w:divBdr>
        <w:top w:val="none" w:sz="0" w:space="0" w:color="auto"/>
        <w:left w:val="none" w:sz="0" w:space="0" w:color="auto"/>
        <w:bottom w:val="none" w:sz="0" w:space="0" w:color="auto"/>
        <w:right w:val="none" w:sz="0" w:space="0" w:color="auto"/>
      </w:divBdr>
    </w:div>
    <w:div w:id="1825779569">
      <w:bodyDiv w:val="1"/>
      <w:marLeft w:val="0"/>
      <w:marRight w:val="0"/>
      <w:marTop w:val="0"/>
      <w:marBottom w:val="0"/>
      <w:divBdr>
        <w:top w:val="none" w:sz="0" w:space="0" w:color="auto"/>
        <w:left w:val="none" w:sz="0" w:space="0" w:color="auto"/>
        <w:bottom w:val="none" w:sz="0" w:space="0" w:color="auto"/>
        <w:right w:val="none" w:sz="0" w:space="0" w:color="auto"/>
      </w:divBdr>
    </w:div>
    <w:div w:id="1825780383">
      <w:bodyDiv w:val="1"/>
      <w:marLeft w:val="0"/>
      <w:marRight w:val="0"/>
      <w:marTop w:val="0"/>
      <w:marBottom w:val="0"/>
      <w:divBdr>
        <w:top w:val="none" w:sz="0" w:space="0" w:color="auto"/>
        <w:left w:val="none" w:sz="0" w:space="0" w:color="auto"/>
        <w:bottom w:val="none" w:sz="0" w:space="0" w:color="auto"/>
        <w:right w:val="none" w:sz="0" w:space="0" w:color="auto"/>
      </w:divBdr>
    </w:div>
    <w:div w:id="1825852109">
      <w:bodyDiv w:val="1"/>
      <w:marLeft w:val="0"/>
      <w:marRight w:val="0"/>
      <w:marTop w:val="0"/>
      <w:marBottom w:val="0"/>
      <w:divBdr>
        <w:top w:val="none" w:sz="0" w:space="0" w:color="auto"/>
        <w:left w:val="none" w:sz="0" w:space="0" w:color="auto"/>
        <w:bottom w:val="none" w:sz="0" w:space="0" w:color="auto"/>
        <w:right w:val="none" w:sz="0" w:space="0" w:color="auto"/>
      </w:divBdr>
    </w:div>
    <w:div w:id="1825899635">
      <w:bodyDiv w:val="1"/>
      <w:marLeft w:val="0"/>
      <w:marRight w:val="0"/>
      <w:marTop w:val="0"/>
      <w:marBottom w:val="0"/>
      <w:divBdr>
        <w:top w:val="none" w:sz="0" w:space="0" w:color="auto"/>
        <w:left w:val="none" w:sz="0" w:space="0" w:color="auto"/>
        <w:bottom w:val="none" w:sz="0" w:space="0" w:color="auto"/>
        <w:right w:val="none" w:sz="0" w:space="0" w:color="auto"/>
      </w:divBdr>
    </w:div>
    <w:div w:id="1826045741">
      <w:bodyDiv w:val="1"/>
      <w:marLeft w:val="0"/>
      <w:marRight w:val="0"/>
      <w:marTop w:val="0"/>
      <w:marBottom w:val="0"/>
      <w:divBdr>
        <w:top w:val="none" w:sz="0" w:space="0" w:color="auto"/>
        <w:left w:val="none" w:sz="0" w:space="0" w:color="auto"/>
        <w:bottom w:val="none" w:sz="0" w:space="0" w:color="auto"/>
        <w:right w:val="none" w:sz="0" w:space="0" w:color="auto"/>
      </w:divBdr>
    </w:div>
    <w:div w:id="1826120662">
      <w:bodyDiv w:val="1"/>
      <w:marLeft w:val="0"/>
      <w:marRight w:val="0"/>
      <w:marTop w:val="0"/>
      <w:marBottom w:val="0"/>
      <w:divBdr>
        <w:top w:val="none" w:sz="0" w:space="0" w:color="auto"/>
        <w:left w:val="none" w:sz="0" w:space="0" w:color="auto"/>
        <w:bottom w:val="none" w:sz="0" w:space="0" w:color="auto"/>
        <w:right w:val="none" w:sz="0" w:space="0" w:color="auto"/>
      </w:divBdr>
    </w:div>
    <w:div w:id="1826235859">
      <w:bodyDiv w:val="1"/>
      <w:marLeft w:val="0"/>
      <w:marRight w:val="0"/>
      <w:marTop w:val="0"/>
      <w:marBottom w:val="0"/>
      <w:divBdr>
        <w:top w:val="none" w:sz="0" w:space="0" w:color="auto"/>
        <w:left w:val="none" w:sz="0" w:space="0" w:color="auto"/>
        <w:bottom w:val="none" w:sz="0" w:space="0" w:color="auto"/>
        <w:right w:val="none" w:sz="0" w:space="0" w:color="auto"/>
      </w:divBdr>
    </w:div>
    <w:div w:id="1826237970">
      <w:bodyDiv w:val="1"/>
      <w:marLeft w:val="0"/>
      <w:marRight w:val="0"/>
      <w:marTop w:val="0"/>
      <w:marBottom w:val="0"/>
      <w:divBdr>
        <w:top w:val="none" w:sz="0" w:space="0" w:color="auto"/>
        <w:left w:val="none" w:sz="0" w:space="0" w:color="auto"/>
        <w:bottom w:val="none" w:sz="0" w:space="0" w:color="auto"/>
        <w:right w:val="none" w:sz="0" w:space="0" w:color="auto"/>
      </w:divBdr>
    </w:div>
    <w:div w:id="1826239629">
      <w:bodyDiv w:val="1"/>
      <w:marLeft w:val="0"/>
      <w:marRight w:val="0"/>
      <w:marTop w:val="0"/>
      <w:marBottom w:val="0"/>
      <w:divBdr>
        <w:top w:val="none" w:sz="0" w:space="0" w:color="auto"/>
        <w:left w:val="none" w:sz="0" w:space="0" w:color="auto"/>
        <w:bottom w:val="none" w:sz="0" w:space="0" w:color="auto"/>
        <w:right w:val="none" w:sz="0" w:space="0" w:color="auto"/>
      </w:divBdr>
    </w:div>
    <w:div w:id="1826241682">
      <w:bodyDiv w:val="1"/>
      <w:marLeft w:val="0"/>
      <w:marRight w:val="0"/>
      <w:marTop w:val="0"/>
      <w:marBottom w:val="0"/>
      <w:divBdr>
        <w:top w:val="none" w:sz="0" w:space="0" w:color="auto"/>
        <w:left w:val="none" w:sz="0" w:space="0" w:color="auto"/>
        <w:bottom w:val="none" w:sz="0" w:space="0" w:color="auto"/>
        <w:right w:val="none" w:sz="0" w:space="0" w:color="auto"/>
      </w:divBdr>
    </w:div>
    <w:div w:id="1826316134">
      <w:bodyDiv w:val="1"/>
      <w:marLeft w:val="0"/>
      <w:marRight w:val="0"/>
      <w:marTop w:val="0"/>
      <w:marBottom w:val="0"/>
      <w:divBdr>
        <w:top w:val="none" w:sz="0" w:space="0" w:color="auto"/>
        <w:left w:val="none" w:sz="0" w:space="0" w:color="auto"/>
        <w:bottom w:val="none" w:sz="0" w:space="0" w:color="auto"/>
        <w:right w:val="none" w:sz="0" w:space="0" w:color="auto"/>
      </w:divBdr>
    </w:div>
    <w:div w:id="1826360586">
      <w:bodyDiv w:val="1"/>
      <w:marLeft w:val="0"/>
      <w:marRight w:val="0"/>
      <w:marTop w:val="0"/>
      <w:marBottom w:val="0"/>
      <w:divBdr>
        <w:top w:val="none" w:sz="0" w:space="0" w:color="auto"/>
        <w:left w:val="none" w:sz="0" w:space="0" w:color="auto"/>
        <w:bottom w:val="none" w:sz="0" w:space="0" w:color="auto"/>
        <w:right w:val="none" w:sz="0" w:space="0" w:color="auto"/>
      </w:divBdr>
    </w:div>
    <w:div w:id="1826361897">
      <w:bodyDiv w:val="1"/>
      <w:marLeft w:val="0"/>
      <w:marRight w:val="0"/>
      <w:marTop w:val="0"/>
      <w:marBottom w:val="0"/>
      <w:divBdr>
        <w:top w:val="none" w:sz="0" w:space="0" w:color="auto"/>
        <w:left w:val="none" w:sz="0" w:space="0" w:color="auto"/>
        <w:bottom w:val="none" w:sz="0" w:space="0" w:color="auto"/>
        <w:right w:val="none" w:sz="0" w:space="0" w:color="auto"/>
      </w:divBdr>
    </w:div>
    <w:div w:id="1826386398">
      <w:bodyDiv w:val="1"/>
      <w:marLeft w:val="0"/>
      <w:marRight w:val="0"/>
      <w:marTop w:val="0"/>
      <w:marBottom w:val="0"/>
      <w:divBdr>
        <w:top w:val="none" w:sz="0" w:space="0" w:color="auto"/>
        <w:left w:val="none" w:sz="0" w:space="0" w:color="auto"/>
        <w:bottom w:val="none" w:sz="0" w:space="0" w:color="auto"/>
        <w:right w:val="none" w:sz="0" w:space="0" w:color="auto"/>
      </w:divBdr>
    </w:div>
    <w:div w:id="1826433375">
      <w:bodyDiv w:val="1"/>
      <w:marLeft w:val="0"/>
      <w:marRight w:val="0"/>
      <w:marTop w:val="0"/>
      <w:marBottom w:val="0"/>
      <w:divBdr>
        <w:top w:val="none" w:sz="0" w:space="0" w:color="auto"/>
        <w:left w:val="none" w:sz="0" w:space="0" w:color="auto"/>
        <w:bottom w:val="none" w:sz="0" w:space="0" w:color="auto"/>
        <w:right w:val="none" w:sz="0" w:space="0" w:color="auto"/>
      </w:divBdr>
    </w:div>
    <w:div w:id="1826583461">
      <w:bodyDiv w:val="1"/>
      <w:marLeft w:val="0"/>
      <w:marRight w:val="0"/>
      <w:marTop w:val="0"/>
      <w:marBottom w:val="0"/>
      <w:divBdr>
        <w:top w:val="none" w:sz="0" w:space="0" w:color="auto"/>
        <w:left w:val="none" w:sz="0" w:space="0" w:color="auto"/>
        <w:bottom w:val="none" w:sz="0" w:space="0" w:color="auto"/>
        <w:right w:val="none" w:sz="0" w:space="0" w:color="auto"/>
      </w:divBdr>
    </w:div>
    <w:div w:id="1826624059">
      <w:bodyDiv w:val="1"/>
      <w:marLeft w:val="0"/>
      <w:marRight w:val="0"/>
      <w:marTop w:val="0"/>
      <w:marBottom w:val="0"/>
      <w:divBdr>
        <w:top w:val="none" w:sz="0" w:space="0" w:color="auto"/>
        <w:left w:val="none" w:sz="0" w:space="0" w:color="auto"/>
        <w:bottom w:val="none" w:sz="0" w:space="0" w:color="auto"/>
        <w:right w:val="none" w:sz="0" w:space="0" w:color="auto"/>
      </w:divBdr>
    </w:div>
    <w:div w:id="1826781600">
      <w:bodyDiv w:val="1"/>
      <w:marLeft w:val="0"/>
      <w:marRight w:val="0"/>
      <w:marTop w:val="0"/>
      <w:marBottom w:val="0"/>
      <w:divBdr>
        <w:top w:val="none" w:sz="0" w:space="0" w:color="auto"/>
        <w:left w:val="none" w:sz="0" w:space="0" w:color="auto"/>
        <w:bottom w:val="none" w:sz="0" w:space="0" w:color="auto"/>
        <w:right w:val="none" w:sz="0" w:space="0" w:color="auto"/>
      </w:divBdr>
    </w:div>
    <w:div w:id="1826818031">
      <w:bodyDiv w:val="1"/>
      <w:marLeft w:val="0"/>
      <w:marRight w:val="0"/>
      <w:marTop w:val="0"/>
      <w:marBottom w:val="0"/>
      <w:divBdr>
        <w:top w:val="none" w:sz="0" w:space="0" w:color="auto"/>
        <w:left w:val="none" w:sz="0" w:space="0" w:color="auto"/>
        <w:bottom w:val="none" w:sz="0" w:space="0" w:color="auto"/>
        <w:right w:val="none" w:sz="0" w:space="0" w:color="auto"/>
      </w:divBdr>
    </w:div>
    <w:div w:id="1826824812">
      <w:bodyDiv w:val="1"/>
      <w:marLeft w:val="0"/>
      <w:marRight w:val="0"/>
      <w:marTop w:val="0"/>
      <w:marBottom w:val="0"/>
      <w:divBdr>
        <w:top w:val="none" w:sz="0" w:space="0" w:color="auto"/>
        <w:left w:val="none" w:sz="0" w:space="0" w:color="auto"/>
        <w:bottom w:val="none" w:sz="0" w:space="0" w:color="auto"/>
        <w:right w:val="none" w:sz="0" w:space="0" w:color="auto"/>
      </w:divBdr>
    </w:div>
    <w:div w:id="1826896292">
      <w:bodyDiv w:val="1"/>
      <w:marLeft w:val="0"/>
      <w:marRight w:val="0"/>
      <w:marTop w:val="0"/>
      <w:marBottom w:val="0"/>
      <w:divBdr>
        <w:top w:val="none" w:sz="0" w:space="0" w:color="auto"/>
        <w:left w:val="none" w:sz="0" w:space="0" w:color="auto"/>
        <w:bottom w:val="none" w:sz="0" w:space="0" w:color="auto"/>
        <w:right w:val="none" w:sz="0" w:space="0" w:color="auto"/>
      </w:divBdr>
    </w:div>
    <w:div w:id="1827166515">
      <w:bodyDiv w:val="1"/>
      <w:marLeft w:val="0"/>
      <w:marRight w:val="0"/>
      <w:marTop w:val="0"/>
      <w:marBottom w:val="0"/>
      <w:divBdr>
        <w:top w:val="none" w:sz="0" w:space="0" w:color="auto"/>
        <w:left w:val="none" w:sz="0" w:space="0" w:color="auto"/>
        <w:bottom w:val="none" w:sz="0" w:space="0" w:color="auto"/>
        <w:right w:val="none" w:sz="0" w:space="0" w:color="auto"/>
      </w:divBdr>
    </w:div>
    <w:div w:id="1827210384">
      <w:bodyDiv w:val="1"/>
      <w:marLeft w:val="0"/>
      <w:marRight w:val="0"/>
      <w:marTop w:val="0"/>
      <w:marBottom w:val="0"/>
      <w:divBdr>
        <w:top w:val="none" w:sz="0" w:space="0" w:color="auto"/>
        <w:left w:val="none" w:sz="0" w:space="0" w:color="auto"/>
        <w:bottom w:val="none" w:sz="0" w:space="0" w:color="auto"/>
        <w:right w:val="none" w:sz="0" w:space="0" w:color="auto"/>
      </w:divBdr>
    </w:div>
    <w:div w:id="1827235067">
      <w:bodyDiv w:val="1"/>
      <w:marLeft w:val="0"/>
      <w:marRight w:val="0"/>
      <w:marTop w:val="0"/>
      <w:marBottom w:val="0"/>
      <w:divBdr>
        <w:top w:val="none" w:sz="0" w:space="0" w:color="auto"/>
        <w:left w:val="none" w:sz="0" w:space="0" w:color="auto"/>
        <w:bottom w:val="none" w:sz="0" w:space="0" w:color="auto"/>
        <w:right w:val="none" w:sz="0" w:space="0" w:color="auto"/>
      </w:divBdr>
    </w:div>
    <w:div w:id="1827237046">
      <w:bodyDiv w:val="1"/>
      <w:marLeft w:val="0"/>
      <w:marRight w:val="0"/>
      <w:marTop w:val="0"/>
      <w:marBottom w:val="0"/>
      <w:divBdr>
        <w:top w:val="none" w:sz="0" w:space="0" w:color="auto"/>
        <w:left w:val="none" w:sz="0" w:space="0" w:color="auto"/>
        <w:bottom w:val="none" w:sz="0" w:space="0" w:color="auto"/>
        <w:right w:val="none" w:sz="0" w:space="0" w:color="auto"/>
      </w:divBdr>
    </w:div>
    <w:div w:id="1827430723">
      <w:bodyDiv w:val="1"/>
      <w:marLeft w:val="0"/>
      <w:marRight w:val="0"/>
      <w:marTop w:val="0"/>
      <w:marBottom w:val="0"/>
      <w:divBdr>
        <w:top w:val="none" w:sz="0" w:space="0" w:color="auto"/>
        <w:left w:val="none" w:sz="0" w:space="0" w:color="auto"/>
        <w:bottom w:val="none" w:sz="0" w:space="0" w:color="auto"/>
        <w:right w:val="none" w:sz="0" w:space="0" w:color="auto"/>
      </w:divBdr>
    </w:div>
    <w:div w:id="1827471448">
      <w:bodyDiv w:val="1"/>
      <w:marLeft w:val="0"/>
      <w:marRight w:val="0"/>
      <w:marTop w:val="0"/>
      <w:marBottom w:val="0"/>
      <w:divBdr>
        <w:top w:val="none" w:sz="0" w:space="0" w:color="auto"/>
        <w:left w:val="none" w:sz="0" w:space="0" w:color="auto"/>
        <w:bottom w:val="none" w:sz="0" w:space="0" w:color="auto"/>
        <w:right w:val="none" w:sz="0" w:space="0" w:color="auto"/>
      </w:divBdr>
    </w:div>
    <w:div w:id="1827554300">
      <w:bodyDiv w:val="1"/>
      <w:marLeft w:val="0"/>
      <w:marRight w:val="0"/>
      <w:marTop w:val="0"/>
      <w:marBottom w:val="0"/>
      <w:divBdr>
        <w:top w:val="none" w:sz="0" w:space="0" w:color="auto"/>
        <w:left w:val="none" w:sz="0" w:space="0" w:color="auto"/>
        <w:bottom w:val="none" w:sz="0" w:space="0" w:color="auto"/>
        <w:right w:val="none" w:sz="0" w:space="0" w:color="auto"/>
      </w:divBdr>
    </w:div>
    <w:div w:id="1827697096">
      <w:bodyDiv w:val="1"/>
      <w:marLeft w:val="0"/>
      <w:marRight w:val="0"/>
      <w:marTop w:val="0"/>
      <w:marBottom w:val="0"/>
      <w:divBdr>
        <w:top w:val="none" w:sz="0" w:space="0" w:color="auto"/>
        <w:left w:val="none" w:sz="0" w:space="0" w:color="auto"/>
        <w:bottom w:val="none" w:sz="0" w:space="0" w:color="auto"/>
        <w:right w:val="none" w:sz="0" w:space="0" w:color="auto"/>
      </w:divBdr>
    </w:div>
    <w:div w:id="1827744386">
      <w:bodyDiv w:val="1"/>
      <w:marLeft w:val="0"/>
      <w:marRight w:val="0"/>
      <w:marTop w:val="0"/>
      <w:marBottom w:val="0"/>
      <w:divBdr>
        <w:top w:val="none" w:sz="0" w:space="0" w:color="auto"/>
        <w:left w:val="none" w:sz="0" w:space="0" w:color="auto"/>
        <w:bottom w:val="none" w:sz="0" w:space="0" w:color="auto"/>
        <w:right w:val="none" w:sz="0" w:space="0" w:color="auto"/>
      </w:divBdr>
    </w:div>
    <w:div w:id="1827746188">
      <w:bodyDiv w:val="1"/>
      <w:marLeft w:val="0"/>
      <w:marRight w:val="0"/>
      <w:marTop w:val="0"/>
      <w:marBottom w:val="0"/>
      <w:divBdr>
        <w:top w:val="none" w:sz="0" w:space="0" w:color="auto"/>
        <w:left w:val="none" w:sz="0" w:space="0" w:color="auto"/>
        <w:bottom w:val="none" w:sz="0" w:space="0" w:color="auto"/>
        <w:right w:val="none" w:sz="0" w:space="0" w:color="auto"/>
      </w:divBdr>
    </w:div>
    <w:div w:id="1827747395">
      <w:bodyDiv w:val="1"/>
      <w:marLeft w:val="0"/>
      <w:marRight w:val="0"/>
      <w:marTop w:val="0"/>
      <w:marBottom w:val="0"/>
      <w:divBdr>
        <w:top w:val="none" w:sz="0" w:space="0" w:color="auto"/>
        <w:left w:val="none" w:sz="0" w:space="0" w:color="auto"/>
        <w:bottom w:val="none" w:sz="0" w:space="0" w:color="auto"/>
        <w:right w:val="none" w:sz="0" w:space="0" w:color="auto"/>
      </w:divBdr>
    </w:div>
    <w:div w:id="1827748242">
      <w:bodyDiv w:val="1"/>
      <w:marLeft w:val="0"/>
      <w:marRight w:val="0"/>
      <w:marTop w:val="0"/>
      <w:marBottom w:val="0"/>
      <w:divBdr>
        <w:top w:val="none" w:sz="0" w:space="0" w:color="auto"/>
        <w:left w:val="none" w:sz="0" w:space="0" w:color="auto"/>
        <w:bottom w:val="none" w:sz="0" w:space="0" w:color="auto"/>
        <w:right w:val="none" w:sz="0" w:space="0" w:color="auto"/>
      </w:divBdr>
    </w:div>
    <w:div w:id="1827823716">
      <w:bodyDiv w:val="1"/>
      <w:marLeft w:val="0"/>
      <w:marRight w:val="0"/>
      <w:marTop w:val="0"/>
      <w:marBottom w:val="0"/>
      <w:divBdr>
        <w:top w:val="none" w:sz="0" w:space="0" w:color="auto"/>
        <w:left w:val="none" w:sz="0" w:space="0" w:color="auto"/>
        <w:bottom w:val="none" w:sz="0" w:space="0" w:color="auto"/>
        <w:right w:val="none" w:sz="0" w:space="0" w:color="auto"/>
      </w:divBdr>
    </w:div>
    <w:div w:id="1827891702">
      <w:bodyDiv w:val="1"/>
      <w:marLeft w:val="0"/>
      <w:marRight w:val="0"/>
      <w:marTop w:val="0"/>
      <w:marBottom w:val="0"/>
      <w:divBdr>
        <w:top w:val="none" w:sz="0" w:space="0" w:color="auto"/>
        <w:left w:val="none" w:sz="0" w:space="0" w:color="auto"/>
        <w:bottom w:val="none" w:sz="0" w:space="0" w:color="auto"/>
        <w:right w:val="none" w:sz="0" w:space="0" w:color="auto"/>
      </w:divBdr>
    </w:div>
    <w:div w:id="1827935908">
      <w:bodyDiv w:val="1"/>
      <w:marLeft w:val="0"/>
      <w:marRight w:val="0"/>
      <w:marTop w:val="0"/>
      <w:marBottom w:val="0"/>
      <w:divBdr>
        <w:top w:val="none" w:sz="0" w:space="0" w:color="auto"/>
        <w:left w:val="none" w:sz="0" w:space="0" w:color="auto"/>
        <w:bottom w:val="none" w:sz="0" w:space="0" w:color="auto"/>
        <w:right w:val="none" w:sz="0" w:space="0" w:color="auto"/>
      </w:divBdr>
    </w:div>
    <w:div w:id="1827937231">
      <w:bodyDiv w:val="1"/>
      <w:marLeft w:val="0"/>
      <w:marRight w:val="0"/>
      <w:marTop w:val="0"/>
      <w:marBottom w:val="0"/>
      <w:divBdr>
        <w:top w:val="none" w:sz="0" w:space="0" w:color="auto"/>
        <w:left w:val="none" w:sz="0" w:space="0" w:color="auto"/>
        <w:bottom w:val="none" w:sz="0" w:space="0" w:color="auto"/>
        <w:right w:val="none" w:sz="0" w:space="0" w:color="auto"/>
      </w:divBdr>
    </w:div>
    <w:div w:id="1828008517">
      <w:bodyDiv w:val="1"/>
      <w:marLeft w:val="0"/>
      <w:marRight w:val="0"/>
      <w:marTop w:val="0"/>
      <w:marBottom w:val="0"/>
      <w:divBdr>
        <w:top w:val="none" w:sz="0" w:space="0" w:color="auto"/>
        <w:left w:val="none" w:sz="0" w:space="0" w:color="auto"/>
        <w:bottom w:val="none" w:sz="0" w:space="0" w:color="auto"/>
        <w:right w:val="none" w:sz="0" w:space="0" w:color="auto"/>
      </w:divBdr>
    </w:div>
    <w:div w:id="1828084485">
      <w:bodyDiv w:val="1"/>
      <w:marLeft w:val="0"/>
      <w:marRight w:val="0"/>
      <w:marTop w:val="0"/>
      <w:marBottom w:val="0"/>
      <w:divBdr>
        <w:top w:val="none" w:sz="0" w:space="0" w:color="auto"/>
        <w:left w:val="none" w:sz="0" w:space="0" w:color="auto"/>
        <w:bottom w:val="none" w:sz="0" w:space="0" w:color="auto"/>
        <w:right w:val="none" w:sz="0" w:space="0" w:color="auto"/>
      </w:divBdr>
    </w:div>
    <w:div w:id="1828087763">
      <w:bodyDiv w:val="1"/>
      <w:marLeft w:val="0"/>
      <w:marRight w:val="0"/>
      <w:marTop w:val="0"/>
      <w:marBottom w:val="0"/>
      <w:divBdr>
        <w:top w:val="none" w:sz="0" w:space="0" w:color="auto"/>
        <w:left w:val="none" w:sz="0" w:space="0" w:color="auto"/>
        <w:bottom w:val="none" w:sz="0" w:space="0" w:color="auto"/>
        <w:right w:val="none" w:sz="0" w:space="0" w:color="auto"/>
      </w:divBdr>
    </w:div>
    <w:div w:id="1828129405">
      <w:bodyDiv w:val="1"/>
      <w:marLeft w:val="0"/>
      <w:marRight w:val="0"/>
      <w:marTop w:val="0"/>
      <w:marBottom w:val="0"/>
      <w:divBdr>
        <w:top w:val="none" w:sz="0" w:space="0" w:color="auto"/>
        <w:left w:val="none" w:sz="0" w:space="0" w:color="auto"/>
        <w:bottom w:val="none" w:sz="0" w:space="0" w:color="auto"/>
        <w:right w:val="none" w:sz="0" w:space="0" w:color="auto"/>
      </w:divBdr>
    </w:div>
    <w:div w:id="1828206875">
      <w:bodyDiv w:val="1"/>
      <w:marLeft w:val="0"/>
      <w:marRight w:val="0"/>
      <w:marTop w:val="0"/>
      <w:marBottom w:val="0"/>
      <w:divBdr>
        <w:top w:val="none" w:sz="0" w:space="0" w:color="auto"/>
        <w:left w:val="none" w:sz="0" w:space="0" w:color="auto"/>
        <w:bottom w:val="none" w:sz="0" w:space="0" w:color="auto"/>
        <w:right w:val="none" w:sz="0" w:space="0" w:color="auto"/>
      </w:divBdr>
    </w:div>
    <w:div w:id="1828208265">
      <w:bodyDiv w:val="1"/>
      <w:marLeft w:val="0"/>
      <w:marRight w:val="0"/>
      <w:marTop w:val="0"/>
      <w:marBottom w:val="0"/>
      <w:divBdr>
        <w:top w:val="none" w:sz="0" w:space="0" w:color="auto"/>
        <w:left w:val="none" w:sz="0" w:space="0" w:color="auto"/>
        <w:bottom w:val="none" w:sz="0" w:space="0" w:color="auto"/>
        <w:right w:val="none" w:sz="0" w:space="0" w:color="auto"/>
      </w:divBdr>
    </w:div>
    <w:div w:id="1828284284">
      <w:bodyDiv w:val="1"/>
      <w:marLeft w:val="0"/>
      <w:marRight w:val="0"/>
      <w:marTop w:val="0"/>
      <w:marBottom w:val="0"/>
      <w:divBdr>
        <w:top w:val="none" w:sz="0" w:space="0" w:color="auto"/>
        <w:left w:val="none" w:sz="0" w:space="0" w:color="auto"/>
        <w:bottom w:val="none" w:sz="0" w:space="0" w:color="auto"/>
        <w:right w:val="none" w:sz="0" w:space="0" w:color="auto"/>
      </w:divBdr>
    </w:div>
    <w:div w:id="1828395181">
      <w:bodyDiv w:val="1"/>
      <w:marLeft w:val="0"/>
      <w:marRight w:val="0"/>
      <w:marTop w:val="0"/>
      <w:marBottom w:val="0"/>
      <w:divBdr>
        <w:top w:val="none" w:sz="0" w:space="0" w:color="auto"/>
        <w:left w:val="none" w:sz="0" w:space="0" w:color="auto"/>
        <w:bottom w:val="none" w:sz="0" w:space="0" w:color="auto"/>
        <w:right w:val="none" w:sz="0" w:space="0" w:color="auto"/>
      </w:divBdr>
    </w:div>
    <w:div w:id="1828395475">
      <w:bodyDiv w:val="1"/>
      <w:marLeft w:val="0"/>
      <w:marRight w:val="0"/>
      <w:marTop w:val="0"/>
      <w:marBottom w:val="0"/>
      <w:divBdr>
        <w:top w:val="none" w:sz="0" w:space="0" w:color="auto"/>
        <w:left w:val="none" w:sz="0" w:space="0" w:color="auto"/>
        <w:bottom w:val="none" w:sz="0" w:space="0" w:color="auto"/>
        <w:right w:val="none" w:sz="0" w:space="0" w:color="auto"/>
      </w:divBdr>
    </w:div>
    <w:div w:id="1828549265">
      <w:bodyDiv w:val="1"/>
      <w:marLeft w:val="0"/>
      <w:marRight w:val="0"/>
      <w:marTop w:val="0"/>
      <w:marBottom w:val="0"/>
      <w:divBdr>
        <w:top w:val="none" w:sz="0" w:space="0" w:color="auto"/>
        <w:left w:val="none" w:sz="0" w:space="0" w:color="auto"/>
        <w:bottom w:val="none" w:sz="0" w:space="0" w:color="auto"/>
        <w:right w:val="none" w:sz="0" w:space="0" w:color="auto"/>
      </w:divBdr>
    </w:div>
    <w:div w:id="1828551028">
      <w:bodyDiv w:val="1"/>
      <w:marLeft w:val="0"/>
      <w:marRight w:val="0"/>
      <w:marTop w:val="0"/>
      <w:marBottom w:val="0"/>
      <w:divBdr>
        <w:top w:val="none" w:sz="0" w:space="0" w:color="auto"/>
        <w:left w:val="none" w:sz="0" w:space="0" w:color="auto"/>
        <w:bottom w:val="none" w:sz="0" w:space="0" w:color="auto"/>
        <w:right w:val="none" w:sz="0" w:space="0" w:color="auto"/>
      </w:divBdr>
    </w:div>
    <w:div w:id="1828589499">
      <w:bodyDiv w:val="1"/>
      <w:marLeft w:val="0"/>
      <w:marRight w:val="0"/>
      <w:marTop w:val="0"/>
      <w:marBottom w:val="0"/>
      <w:divBdr>
        <w:top w:val="none" w:sz="0" w:space="0" w:color="auto"/>
        <w:left w:val="none" w:sz="0" w:space="0" w:color="auto"/>
        <w:bottom w:val="none" w:sz="0" w:space="0" w:color="auto"/>
        <w:right w:val="none" w:sz="0" w:space="0" w:color="auto"/>
      </w:divBdr>
    </w:div>
    <w:div w:id="1828590269">
      <w:bodyDiv w:val="1"/>
      <w:marLeft w:val="0"/>
      <w:marRight w:val="0"/>
      <w:marTop w:val="0"/>
      <w:marBottom w:val="0"/>
      <w:divBdr>
        <w:top w:val="none" w:sz="0" w:space="0" w:color="auto"/>
        <w:left w:val="none" w:sz="0" w:space="0" w:color="auto"/>
        <w:bottom w:val="none" w:sz="0" w:space="0" w:color="auto"/>
        <w:right w:val="none" w:sz="0" w:space="0" w:color="auto"/>
      </w:divBdr>
    </w:div>
    <w:div w:id="1828664752">
      <w:bodyDiv w:val="1"/>
      <w:marLeft w:val="0"/>
      <w:marRight w:val="0"/>
      <w:marTop w:val="0"/>
      <w:marBottom w:val="0"/>
      <w:divBdr>
        <w:top w:val="none" w:sz="0" w:space="0" w:color="auto"/>
        <w:left w:val="none" w:sz="0" w:space="0" w:color="auto"/>
        <w:bottom w:val="none" w:sz="0" w:space="0" w:color="auto"/>
        <w:right w:val="none" w:sz="0" w:space="0" w:color="auto"/>
      </w:divBdr>
    </w:div>
    <w:div w:id="1828665505">
      <w:bodyDiv w:val="1"/>
      <w:marLeft w:val="0"/>
      <w:marRight w:val="0"/>
      <w:marTop w:val="0"/>
      <w:marBottom w:val="0"/>
      <w:divBdr>
        <w:top w:val="none" w:sz="0" w:space="0" w:color="auto"/>
        <w:left w:val="none" w:sz="0" w:space="0" w:color="auto"/>
        <w:bottom w:val="none" w:sz="0" w:space="0" w:color="auto"/>
        <w:right w:val="none" w:sz="0" w:space="0" w:color="auto"/>
      </w:divBdr>
    </w:div>
    <w:div w:id="1828748021">
      <w:bodyDiv w:val="1"/>
      <w:marLeft w:val="0"/>
      <w:marRight w:val="0"/>
      <w:marTop w:val="0"/>
      <w:marBottom w:val="0"/>
      <w:divBdr>
        <w:top w:val="none" w:sz="0" w:space="0" w:color="auto"/>
        <w:left w:val="none" w:sz="0" w:space="0" w:color="auto"/>
        <w:bottom w:val="none" w:sz="0" w:space="0" w:color="auto"/>
        <w:right w:val="none" w:sz="0" w:space="0" w:color="auto"/>
      </w:divBdr>
    </w:div>
    <w:div w:id="1828785228">
      <w:bodyDiv w:val="1"/>
      <w:marLeft w:val="0"/>
      <w:marRight w:val="0"/>
      <w:marTop w:val="0"/>
      <w:marBottom w:val="0"/>
      <w:divBdr>
        <w:top w:val="none" w:sz="0" w:space="0" w:color="auto"/>
        <w:left w:val="none" w:sz="0" w:space="0" w:color="auto"/>
        <w:bottom w:val="none" w:sz="0" w:space="0" w:color="auto"/>
        <w:right w:val="none" w:sz="0" w:space="0" w:color="auto"/>
      </w:divBdr>
    </w:div>
    <w:div w:id="1828785325">
      <w:bodyDiv w:val="1"/>
      <w:marLeft w:val="0"/>
      <w:marRight w:val="0"/>
      <w:marTop w:val="0"/>
      <w:marBottom w:val="0"/>
      <w:divBdr>
        <w:top w:val="none" w:sz="0" w:space="0" w:color="auto"/>
        <w:left w:val="none" w:sz="0" w:space="0" w:color="auto"/>
        <w:bottom w:val="none" w:sz="0" w:space="0" w:color="auto"/>
        <w:right w:val="none" w:sz="0" w:space="0" w:color="auto"/>
      </w:divBdr>
    </w:div>
    <w:div w:id="1828787374">
      <w:bodyDiv w:val="1"/>
      <w:marLeft w:val="0"/>
      <w:marRight w:val="0"/>
      <w:marTop w:val="0"/>
      <w:marBottom w:val="0"/>
      <w:divBdr>
        <w:top w:val="none" w:sz="0" w:space="0" w:color="auto"/>
        <w:left w:val="none" w:sz="0" w:space="0" w:color="auto"/>
        <w:bottom w:val="none" w:sz="0" w:space="0" w:color="auto"/>
        <w:right w:val="none" w:sz="0" w:space="0" w:color="auto"/>
      </w:divBdr>
    </w:div>
    <w:div w:id="1828814200">
      <w:bodyDiv w:val="1"/>
      <w:marLeft w:val="0"/>
      <w:marRight w:val="0"/>
      <w:marTop w:val="0"/>
      <w:marBottom w:val="0"/>
      <w:divBdr>
        <w:top w:val="none" w:sz="0" w:space="0" w:color="auto"/>
        <w:left w:val="none" w:sz="0" w:space="0" w:color="auto"/>
        <w:bottom w:val="none" w:sz="0" w:space="0" w:color="auto"/>
        <w:right w:val="none" w:sz="0" w:space="0" w:color="auto"/>
      </w:divBdr>
    </w:div>
    <w:div w:id="1828864336">
      <w:bodyDiv w:val="1"/>
      <w:marLeft w:val="0"/>
      <w:marRight w:val="0"/>
      <w:marTop w:val="0"/>
      <w:marBottom w:val="0"/>
      <w:divBdr>
        <w:top w:val="none" w:sz="0" w:space="0" w:color="auto"/>
        <w:left w:val="none" w:sz="0" w:space="0" w:color="auto"/>
        <w:bottom w:val="none" w:sz="0" w:space="0" w:color="auto"/>
        <w:right w:val="none" w:sz="0" w:space="0" w:color="auto"/>
      </w:divBdr>
    </w:div>
    <w:div w:id="1828934884">
      <w:bodyDiv w:val="1"/>
      <w:marLeft w:val="0"/>
      <w:marRight w:val="0"/>
      <w:marTop w:val="0"/>
      <w:marBottom w:val="0"/>
      <w:divBdr>
        <w:top w:val="none" w:sz="0" w:space="0" w:color="auto"/>
        <w:left w:val="none" w:sz="0" w:space="0" w:color="auto"/>
        <w:bottom w:val="none" w:sz="0" w:space="0" w:color="auto"/>
        <w:right w:val="none" w:sz="0" w:space="0" w:color="auto"/>
      </w:divBdr>
    </w:div>
    <w:div w:id="1829007952">
      <w:bodyDiv w:val="1"/>
      <w:marLeft w:val="0"/>
      <w:marRight w:val="0"/>
      <w:marTop w:val="0"/>
      <w:marBottom w:val="0"/>
      <w:divBdr>
        <w:top w:val="none" w:sz="0" w:space="0" w:color="auto"/>
        <w:left w:val="none" w:sz="0" w:space="0" w:color="auto"/>
        <w:bottom w:val="none" w:sz="0" w:space="0" w:color="auto"/>
        <w:right w:val="none" w:sz="0" w:space="0" w:color="auto"/>
      </w:divBdr>
    </w:div>
    <w:div w:id="1829051902">
      <w:bodyDiv w:val="1"/>
      <w:marLeft w:val="0"/>
      <w:marRight w:val="0"/>
      <w:marTop w:val="0"/>
      <w:marBottom w:val="0"/>
      <w:divBdr>
        <w:top w:val="none" w:sz="0" w:space="0" w:color="auto"/>
        <w:left w:val="none" w:sz="0" w:space="0" w:color="auto"/>
        <w:bottom w:val="none" w:sz="0" w:space="0" w:color="auto"/>
        <w:right w:val="none" w:sz="0" w:space="0" w:color="auto"/>
      </w:divBdr>
    </w:div>
    <w:div w:id="1829126006">
      <w:bodyDiv w:val="1"/>
      <w:marLeft w:val="0"/>
      <w:marRight w:val="0"/>
      <w:marTop w:val="0"/>
      <w:marBottom w:val="0"/>
      <w:divBdr>
        <w:top w:val="none" w:sz="0" w:space="0" w:color="auto"/>
        <w:left w:val="none" w:sz="0" w:space="0" w:color="auto"/>
        <w:bottom w:val="none" w:sz="0" w:space="0" w:color="auto"/>
        <w:right w:val="none" w:sz="0" w:space="0" w:color="auto"/>
      </w:divBdr>
    </w:div>
    <w:div w:id="1829128367">
      <w:bodyDiv w:val="1"/>
      <w:marLeft w:val="0"/>
      <w:marRight w:val="0"/>
      <w:marTop w:val="0"/>
      <w:marBottom w:val="0"/>
      <w:divBdr>
        <w:top w:val="none" w:sz="0" w:space="0" w:color="auto"/>
        <w:left w:val="none" w:sz="0" w:space="0" w:color="auto"/>
        <w:bottom w:val="none" w:sz="0" w:space="0" w:color="auto"/>
        <w:right w:val="none" w:sz="0" w:space="0" w:color="auto"/>
      </w:divBdr>
    </w:div>
    <w:div w:id="1829202591">
      <w:bodyDiv w:val="1"/>
      <w:marLeft w:val="0"/>
      <w:marRight w:val="0"/>
      <w:marTop w:val="0"/>
      <w:marBottom w:val="0"/>
      <w:divBdr>
        <w:top w:val="none" w:sz="0" w:space="0" w:color="auto"/>
        <w:left w:val="none" w:sz="0" w:space="0" w:color="auto"/>
        <w:bottom w:val="none" w:sz="0" w:space="0" w:color="auto"/>
        <w:right w:val="none" w:sz="0" w:space="0" w:color="auto"/>
      </w:divBdr>
    </w:div>
    <w:div w:id="1829205615">
      <w:bodyDiv w:val="1"/>
      <w:marLeft w:val="0"/>
      <w:marRight w:val="0"/>
      <w:marTop w:val="0"/>
      <w:marBottom w:val="0"/>
      <w:divBdr>
        <w:top w:val="none" w:sz="0" w:space="0" w:color="auto"/>
        <w:left w:val="none" w:sz="0" w:space="0" w:color="auto"/>
        <w:bottom w:val="none" w:sz="0" w:space="0" w:color="auto"/>
        <w:right w:val="none" w:sz="0" w:space="0" w:color="auto"/>
      </w:divBdr>
    </w:div>
    <w:div w:id="1829319356">
      <w:bodyDiv w:val="1"/>
      <w:marLeft w:val="0"/>
      <w:marRight w:val="0"/>
      <w:marTop w:val="0"/>
      <w:marBottom w:val="0"/>
      <w:divBdr>
        <w:top w:val="none" w:sz="0" w:space="0" w:color="auto"/>
        <w:left w:val="none" w:sz="0" w:space="0" w:color="auto"/>
        <w:bottom w:val="none" w:sz="0" w:space="0" w:color="auto"/>
        <w:right w:val="none" w:sz="0" w:space="0" w:color="auto"/>
      </w:divBdr>
    </w:div>
    <w:div w:id="1829397933">
      <w:bodyDiv w:val="1"/>
      <w:marLeft w:val="0"/>
      <w:marRight w:val="0"/>
      <w:marTop w:val="0"/>
      <w:marBottom w:val="0"/>
      <w:divBdr>
        <w:top w:val="none" w:sz="0" w:space="0" w:color="auto"/>
        <w:left w:val="none" w:sz="0" w:space="0" w:color="auto"/>
        <w:bottom w:val="none" w:sz="0" w:space="0" w:color="auto"/>
        <w:right w:val="none" w:sz="0" w:space="0" w:color="auto"/>
      </w:divBdr>
    </w:div>
    <w:div w:id="1829511833">
      <w:bodyDiv w:val="1"/>
      <w:marLeft w:val="0"/>
      <w:marRight w:val="0"/>
      <w:marTop w:val="0"/>
      <w:marBottom w:val="0"/>
      <w:divBdr>
        <w:top w:val="none" w:sz="0" w:space="0" w:color="auto"/>
        <w:left w:val="none" w:sz="0" w:space="0" w:color="auto"/>
        <w:bottom w:val="none" w:sz="0" w:space="0" w:color="auto"/>
        <w:right w:val="none" w:sz="0" w:space="0" w:color="auto"/>
      </w:divBdr>
    </w:div>
    <w:div w:id="1829706801">
      <w:bodyDiv w:val="1"/>
      <w:marLeft w:val="0"/>
      <w:marRight w:val="0"/>
      <w:marTop w:val="0"/>
      <w:marBottom w:val="0"/>
      <w:divBdr>
        <w:top w:val="none" w:sz="0" w:space="0" w:color="auto"/>
        <w:left w:val="none" w:sz="0" w:space="0" w:color="auto"/>
        <w:bottom w:val="none" w:sz="0" w:space="0" w:color="auto"/>
        <w:right w:val="none" w:sz="0" w:space="0" w:color="auto"/>
      </w:divBdr>
    </w:div>
    <w:div w:id="1829786253">
      <w:bodyDiv w:val="1"/>
      <w:marLeft w:val="0"/>
      <w:marRight w:val="0"/>
      <w:marTop w:val="0"/>
      <w:marBottom w:val="0"/>
      <w:divBdr>
        <w:top w:val="none" w:sz="0" w:space="0" w:color="auto"/>
        <w:left w:val="none" w:sz="0" w:space="0" w:color="auto"/>
        <w:bottom w:val="none" w:sz="0" w:space="0" w:color="auto"/>
        <w:right w:val="none" w:sz="0" w:space="0" w:color="auto"/>
      </w:divBdr>
    </w:div>
    <w:div w:id="1829907676">
      <w:bodyDiv w:val="1"/>
      <w:marLeft w:val="0"/>
      <w:marRight w:val="0"/>
      <w:marTop w:val="0"/>
      <w:marBottom w:val="0"/>
      <w:divBdr>
        <w:top w:val="none" w:sz="0" w:space="0" w:color="auto"/>
        <w:left w:val="none" w:sz="0" w:space="0" w:color="auto"/>
        <w:bottom w:val="none" w:sz="0" w:space="0" w:color="auto"/>
        <w:right w:val="none" w:sz="0" w:space="0" w:color="auto"/>
      </w:divBdr>
    </w:div>
    <w:div w:id="1829976771">
      <w:bodyDiv w:val="1"/>
      <w:marLeft w:val="0"/>
      <w:marRight w:val="0"/>
      <w:marTop w:val="0"/>
      <w:marBottom w:val="0"/>
      <w:divBdr>
        <w:top w:val="none" w:sz="0" w:space="0" w:color="auto"/>
        <w:left w:val="none" w:sz="0" w:space="0" w:color="auto"/>
        <w:bottom w:val="none" w:sz="0" w:space="0" w:color="auto"/>
        <w:right w:val="none" w:sz="0" w:space="0" w:color="auto"/>
      </w:divBdr>
    </w:div>
    <w:div w:id="1829979253">
      <w:bodyDiv w:val="1"/>
      <w:marLeft w:val="0"/>
      <w:marRight w:val="0"/>
      <w:marTop w:val="0"/>
      <w:marBottom w:val="0"/>
      <w:divBdr>
        <w:top w:val="none" w:sz="0" w:space="0" w:color="auto"/>
        <w:left w:val="none" w:sz="0" w:space="0" w:color="auto"/>
        <w:bottom w:val="none" w:sz="0" w:space="0" w:color="auto"/>
        <w:right w:val="none" w:sz="0" w:space="0" w:color="auto"/>
      </w:divBdr>
    </w:div>
    <w:div w:id="1829982866">
      <w:bodyDiv w:val="1"/>
      <w:marLeft w:val="0"/>
      <w:marRight w:val="0"/>
      <w:marTop w:val="0"/>
      <w:marBottom w:val="0"/>
      <w:divBdr>
        <w:top w:val="none" w:sz="0" w:space="0" w:color="auto"/>
        <w:left w:val="none" w:sz="0" w:space="0" w:color="auto"/>
        <w:bottom w:val="none" w:sz="0" w:space="0" w:color="auto"/>
        <w:right w:val="none" w:sz="0" w:space="0" w:color="auto"/>
      </w:divBdr>
    </w:div>
    <w:div w:id="1830055079">
      <w:bodyDiv w:val="1"/>
      <w:marLeft w:val="0"/>
      <w:marRight w:val="0"/>
      <w:marTop w:val="0"/>
      <w:marBottom w:val="0"/>
      <w:divBdr>
        <w:top w:val="none" w:sz="0" w:space="0" w:color="auto"/>
        <w:left w:val="none" w:sz="0" w:space="0" w:color="auto"/>
        <w:bottom w:val="none" w:sz="0" w:space="0" w:color="auto"/>
        <w:right w:val="none" w:sz="0" w:space="0" w:color="auto"/>
      </w:divBdr>
    </w:div>
    <w:div w:id="1830057912">
      <w:bodyDiv w:val="1"/>
      <w:marLeft w:val="0"/>
      <w:marRight w:val="0"/>
      <w:marTop w:val="0"/>
      <w:marBottom w:val="0"/>
      <w:divBdr>
        <w:top w:val="none" w:sz="0" w:space="0" w:color="auto"/>
        <w:left w:val="none" w:sz="0" w:space="0" w:color="auto"/>
        <w:bottom w:val="none" w:sz="0" w:space="0" w:color="auto"/>
        <w:right w:val="none" w:sz="0" w:space="0" w:color="auto"/>
      </w:divBdr>
    </w:div>
    <w:div w:id="1830249694">
      <w:bodyDiv w:val="1"/>
      <w:marLeft w:val="0"/>
      <w:marRight w:val="0"/>
      <w:marTop w:val="0"/>
      <w:marBottom w:val="0"/>
      <w:divBdr>
        <w:top w:val="none" w:sz="0" w:space="0" w:color="auto"/>
        <w:left w:val="none" w:sz="0" w:space="0" w:color="auto"/>
        <w:bottom w:val="none" w:sz="0" w:space="0" w:color="auto"/>
        <w:right w:val="none" w:sz="0" w:space="0" w:color="auto"/>
      </w:divBdr>
    </w:div>
    <w:div w:id="1830294454">
      <w:bodyDiv w:val="1"/>
      <w:marLeft w:val="0"/>
      <w:marRight w:val="0"/>
      <w:marTop w:val="0"/>
      <w:marBottom w:val="0"/>
      <w:divBdr>
        <w:top w:val="none" w:sz="0" w:space="0" w:color="auto"/>
        <w:left w:val="none" w:sz="0" w:space="0" w:color="auto"/>
        <w:bottom w:val="none" w:sz="0" w:space="0" w:color="auto"/>
        <w:right w:val="none" w:sz="0" w:space="0" w:color="auto"/>
      </w:divBdr>
    </w:div>
    <w:div w:id="1830442883">
      <w:bodyDiv w:val="1"/>
      <w:marLeft w:val="0"/>
      <w:marRight w:val="0"/>
      <w:marTop w:val="0"/>
      <w:marBottom w:val="0"/>
      <w:divBdr>
        <w:top w:val="none" w:sz="0" w:space="0" w:color="auto"/>
        <w:left w:val="none" w:sz="0" w:space="0" w:color="auto"/>
        <w:bottom w:val="none" w:sz="0" w:space="0" w:color="auto"/>
        <w:right w:val="none" w:sz="0" w:space="0" w:color="auto"/>
      </w:divBdr>
    </w:div>
    <w:div w:id="1830443365">
      <w:bodyDiv w:val="1"/>
      <w:marLeft w:val="0"/>
      <w:marRight w:val="0"/>
      <w:marTop w:val="0"/>
      <w:marBottom w:val="0"/>
      <w:divBdr>
        <w:top w:val="none" w:sz="0" w:space="0" w:color="auto"/>
        <w:left w:val="none" w:sz="0" w:space="0" w:color="auto"/>
        <w:bottom w:val="none" w:sz="0" w:space="0" w:color="auto"/>
        <w:right w:val="none" w:sz="0" w:space="0" w:color="auto"/>
      </w:divBdr>
    </w:div>
    <w:div w:id="1830512959">
      <w:bodyDiv w:val="1"/>
      <w:marLeft w:val="0"/>
      <w:marRight w:val="0"/>
      <w:marTop w:val="0"/>
      <w:marBottom w:val="0"/>
      <w:divBdr>
        <w:top w:val="none" w:sz="0" w:space="0" w:color="auto"/>
        <w:left w:val="none" w:sz="0" w:space="0" w:color="auto"/>
        <w:bottom w:val="none" w:sz="0" w:space="0" w:color="auto"/>
        <w:right w:val="none" w:sz="0" w:space="0" w:color="auto"/>
      </w:divBdr>
    </w:div>
    <w:div w:id="1830515177">
      <w:bodyDiv w:val="1"/>
      <w:marLeft w:val="0"/>
      <w:marRight w:val="0"/>
      <w:marTop w:val="0"/>
      <w:marBottom w:val="0"/>
      <w:divBdr>
        <w:top w:val="none" w:sz="0" w:space="0" w:color="auto"/>
        <w:left w:val="none" w:sz="0" w:space="0" w:color="auto"/>
        <w:bottom w:val="none" w:sz="0" w:space="0" w:color="auto"/>
        <w:right w:val="none" w:sz="0" w:space="0" w:color="auto"/>
      </w:divBdr>
    </w:div>
    <w:div w:id="1830555731">
      <w:bodyDiv w:val="1"/>
      <w:marLeft w:val="0"/>
      <w:marRight w:val="0"/>
      <w:marTop w:val="0"/>
      <w:marBottom w:val="0"/>
      <w:divBdr>
        <w:top w:val="none" w:sz="0" w:space="0" w:color="auto"/>
        <w:left w:val="none" w:sz="0" w:space="0" w:color="auto"/>
        <w:bottom w:val="none" w:sz="0" w:space="0" w:color="auto"/>
        <w:right w:val="none" w:sz="0" w:space="0" w:color="auto"/>
      </w:divBdr>
    </w:div>
    <w:div w:id="1830704808">
      <w:bodyDiv w:val="1"/>
      <w:marLeft w:val="0"/>
      <w:marRight w:val="0"/>
      <w:marTop w:val="0"/>
      <w:marBottom w:val="0"/>
      <w:divBdr>
        <w:top w:val="none" w:sz="0" w:space="0" w:color="auto"/>
        <w:left w:val="none" w:sz="0" w:space="0" w:color="auto"/>
        <w:bottom w:val="none" w:sz="0" w:space="0" w:color="auto"/>
        <w:right w:val="none" w:sz="0" w:space="0" w:color="auto"/>
      </w:divBdr>
    </w:div>
    <w:div w:id="1830824169">
      <w:bodyDiv w:val="1"/>
      <w:marLeft w:val="0"/>
      <w:marRight w:val="0"/>
      <w:marTop w:val="0"/>
      <w:marBottom w:val="0"/>
      <w:divBdr>
        <w:top w:val="none" w:sz="0" w:space="0" w:color="auto"/>
        <w:left w:val="none" w:sz="0" w:space="0" w:color="auto"/>
        <w:bottom w:val="none" w:sz="0" w:space="0" w:color="auto"/>
        <w:right w:val="none" w:sz="0" w:space="0" w:color="auto"/>
      </w:divBdr>
    </w:div>
    <w:div w:id="1831024682">
      <w:bodyDiv w:val="1"/>
      <w:marLeft w:val="0"/>
      <w:marRight w:val="0"/>
      <w:marTop w:val="0"/>
      <w:marBottom w:val="0"/>
      <w:divBdr>
        <w:top w:val="none" w:sz="0" w:space="0" w:color="auto"/>
        <w:left w:val="none" w:sz="0" w:space="0" w:color="auto"/>
        <w:bottom w:val="none" w:sz="0" w:space="0" w:color="auto"/>
        <w:right w:val="none" w:sz="0" w:space="0" w:color="auto"/>
      </w:divBdr>
    </w:div>
    <w:div w:id="1831098724">
      <w:bodyDiv w:val="1"/>
      <w:marLeft w:val="0"/>
      <w:marRight w:val="0"/>
      <w:marTop w:val="0"/>
      <w:marBottom w:val="0"/>
      <w:divBdr>
        <w:top w:val="none" w:sz="0" w:space="0" w:color="auto"/>
        <w:left w:val="none" w:sz="0" w:space="0" w:color="auto"/>
        <w:bottom w:val="none" w:sz="0" w:space="0" w:color="auto"/>
        <w:right w:val="none" w:sz="0" w:space="0" w:color="auto"/>
      </w:divBdr>
    </w:div>
    <w:div w:id="1831168418">
      <w:bodyDiv w:val="1"/>
      <w:marLeft w:val="0"/>
      <w:marRight w:val="0"/>
      <w:marTop w:val="0"/>
      <w:marBottom w:val="0"/>
      <w:divBdr>
        <w:top w:val="none" w:sz="0" w:space="0" w:color="auto"/>
        <w:left w:val="none" w:sz="0" w:space="0" w:color="auto"/>
        <w:bottom w:val="none" w:sz="0" w:space="0" w:color="auto"/>
        <w:right w:val="none" w:sz="0" w:space="0" w:color="auto"/>
      </w:divBdr>
    </w:div>
    <w:div w:id="1831406356">
      <w:bodyDiv w:val="1"/>
      <w:marLeft w:val="0"/>
      <w:marRight w:val="0"/>
      <w:marTop w:val="0"/>
      <w:marBottom w:val="0"/>
      <w:divBdr>
        <w:top w:val="none" w:sz="0" w:space="0" w:color="auto"/>
        <w:left w:val="none" w:sz="0" w:space="0" w:color="auto"/>
        <w:bottom w:val="none" w:sz="0" w:space="0" w:color="auto"/>
        <w:right w:val="none" w:sz="0" w:space="0" w:color="auto"/>
      </w:divBdr>
    </w:div>
    <w:div w:id="1831483603">
      <w:bodyDiv w:val="1"/>
      <w:marLeft w:val="0"/>
      <w:marRight w:val="0"/>
      <w:marTop w:val="0"/>
      <w:marBottom w:val="0"/>
      <w:divBdr>
        <w:top w:val="none" w:sz="0" w:space="0" w:color="auto"/>
        <w:left w:val="none" w:sz="0" w:space="0" w:color="auto"/>
        <w:bottom w:val="none" w:sz="0" w:space="0" w:color="auto"/>
        <w:right w:val="none" w:sz="0" w:space="0" w:color="auto"/>
      </w:divBdr>
    </w:div>
    <w:div w:id="1831601875">
      <w:bodyDiv w:val="1"/>
      <w:marLeft w:val="0"/>
      <w:marRight w:val="0"/>
      <w:marTop w:val="0"/>
      <w:marBottom w:val="0"/>
      <w:divBdr>
        <w:top w:val="none" w:sz="0" w:space="0" w:color="auto"/>
        <w:left w:val="none" w:sz="0" w:space="0" w:color="auto"/>
        <w:bottom w:val="none" w:sz="0" w:space="0" w:color="auto"/>
        <w:right w:val="none" w:sz="0" w:space="0" w:color="auto"/>
      </w:divBdr>
    </w:div>
    <w:div w:id="1831679522">
      <w:bodyDiv w:val="1"/>
      <w:marLeft w:val="0"/>
      <w:marRight w:val="0"/>
      <w:marTop w:val="0"/>
      <w:marBottom w:val="0"/>
      <w:divBdr>
        <w:top w:val="none" w:sz="0" w:space="0" w:color="auto"/>
        <w:left w:val="none" w:sz="0" w:space="0" w:color="auto"/>
        <w:bottom w:val="none" w:sz="0" w:space="0" w:color="auto"/>
        <w:right w:val="none" w:sz="0" w:space="0" w:color="auto"/>
      </w:divBdr>
    </w:div>
    <w:div w:id="1831823619">
      <w:bodyDiv w:val="1"/>
      <w:marLeft w:val="0"/>
      <w:marRight w:val="0"/>
      <w:marTop w:val="0"/>
      <w:marBottom w:val="0"/>
      <w:divBdr>
        <w:top w:val="none" w:sz="0" w:space="0" w:color="auto"/>
        <w:left w:val="none" w:sz="0" w:space="0" w:color="auto"/>
        <w:bottom w:val="none" w:sz="0" w:space="0" w:color="auto"/>
        <w:right w:val="none" w:sz="0" w:space="0" w:color="auto"/>
      </w:divBdr>
    </w:div>
    <w:div w:id="1831827313">
      <w:bodyDiv w:val="1"/>
      <w:marLeft w:val="0"/>
      <w:marRight w:val="0"/>
      <w:marTop w:val="0"/>
      <w:marBottom w:val="0"/>
      <w:divBdr>
        <w:top w:val="none" w:sz="0" w:space="0" w:color="auto"/>
        <w:left w:val="none" w:sz="0" w:space="0" w:color="auto"/>
        <w:bottom w:val="none" w:sz="0" w:space="0" w:color="auto"/>
        <w:right w:val="none" w:sz="0" w:space="0" w:color="auto"/>
      </w:divBdr>
    </w:div>
    <w:div w:id="1831942854">
      <w:bodyDiv w:val="1"/>
      <w:marLeft w:val="0"/>
      <w:marRight w:val="0"/>
      <w:marTop w:val="0"/>
      <w:marBottom w:val="0"/>
      <w:divBdr>
        <w:top w:val="none" w:sz="0" w:space="0" w:color="auto"/>
        <w:left w:val="none" w:sz="0" w:space="0" w:color="auto"/>
        <w:bottom w:val="none" w:sz="0" w:space="0" w:color="auto"/>
        <w:right w:val="none" w:sz="0" w:space="0" w:color="auto"/>
      </w:divBdr>
    </w:div>
    <w:div w:id="1831947511">
      <w:bodyDiv w:val="1"/>
      <w:marLeft w:val="0"/>
      <w:marRight w:val="0"/>
      <w:marTop w:val="0"/>
      <w:marBottom w:val="0"/>
      <w:divBdr>
        <w:top w:val="none" w:sz="0" w:space="0" w:color="auto"/>
        <w:left w:val="none" w:sz="0" w:space="0" w:color="auto"/>
        <w:bottom w:val="none" w:sz="0" w:space="0" w:color="auto"/>
        <w:right w:val="none" w:sz="0" w:space="0" w:color="auto"/>
      </w:divBdr>
    </w:div>
    <w:div w:id="1832017379">
      <w:bodyDiv w:val="1"/>
      <w:marLeft w:val="0"/>
      <w:marRight w:val="0"/>
      <w:marTop w:val="0"/>
      <w:marBottom w:val="0"/>
      <w:divBdr>
        <w:top w:val="none" w:sz="0" w:space="0" w:color="auto"/>
        <w:left w:val="none" w:sz="0" w:space="0" w:color="auto"/>
        <w:bottom w:val="none" w:sz="0" w:space="0" w:color="auto"/>
        <w:right w:val="none" w:sz="0" w:space="0" w:color="auto"/>
      </w:divBdr>
    </w:div>
    <w:div w:id="1832062324">
      <w:bodyDiv w:val="1"/>
      <w:marLeft w:val="0"/>
      <w:marRight w:val="0"/>
      <w:marTop w:val="0"/>
      <w:marBottom w:val="0"/>
      <w:divBdr>
        <w:top w:val="none" w:sz="0" w:space="0" w:color="auto"/>
        <w:left w:val="none" w:sz="0" w:space="0" w:color="auto"/>
        <w:bottom w:val="none" w:sz="0" w:space="0" w:color="auto"/>
        <w:right w:val="none" w:sz="0" w:space="0" w:color="auto"/>
      </w:divBdr>
    </w:div>
    <w:div w:id="1832256065">
      <w:bodyDiv w:val="1"/>
      <w:marLeft w:val="0"/>
      <w:marRight w:val="0"/>
      <w:marTop w:val="0"/>
      <w:marBottom w:val="0"/>
      <w:divBdr>
        <w:top w:val="none" w:sz="0" w:space="0" w:color="auto"/>
        <w:left w:val="none" w:sz="0" w:space="0" w:color="auto"/>
        <w:bottom w:val="none" w:sz="0" w:space="0" w:color="auto"/>
        <w:right w:val="none" w:sz="0" w:space="0" w:color="auto"/>
      </w:divBdr>
    </w:div>
    <w:div w:id="1832331510">
      <w:bodyDiv w:val="1"/>
      <w:marLeft w:val="0"/>
      <w:marRight w:val="0"/>
      <w:marTop w:val="0"/>
      <w:marBottom w:val="0"/>
      <w:divBdr>
        <w:top w:val="none" w:sz="0" w:space="0" w:color="auto"/>
        <w:left w:val="none" w:sz="0" w:space="0" w:color="auto"/>
        <w:bottom w:val="none" w:sz="0" w:space="0" w:color="auto"/>
        <w:right w:val="none" w:sz="0" w:space="0" w:color="auto"/>
      </w:divBdr>
    </w:div>
    <w:div w:id="1832453273">
      <w:bodyDiv w:val="1"/>
      <w:marLeft w:val="0"/>
      <w:marRight w:val="0"/>
      <w:marTop w:val="0"/>
      <w:marBottom w:val="0"/>
      <w:divBdr>
        <w:top w:val="none" w:sz="0" w:space="0" w:color="auto"/>
        <w:left w:val="none" w:sz="0" w:space="0" w:color="auto"/>
        <w:bottom w:val="none" w:sz="0" w:space="0" w:color="auto"/>
        <w:right w:val="none" w:sz="0" w:space="0" w:color="auto"/>
      </w:divBdr>
    </w:div>
    <w:div w:id="1832483210">
      <w:bodyDiv w:val="1"/>
      <w:marLeft w:val="0"/>
      <w:marRight w:val="0"/>
      <w:marTop w:val="0"/>
      <w:marBottom w:val="0"/>
      <w:divBdr>
        <w:top w:val="none" w:sz="0" w:space="0" w:color="auto"/>
        <w:left w:val="none" w:sz="0" w:space="0" w:color="auto"/>
        <w:bottom w:val="none" w:sz="0" w:space="0" w:color="auto"/>
        <w:right w:val="none" w:sz="0" w:space="0" w:color="auto"/>
      </w:divBdr>
    </w:div>
    <w:div w:id="1832525442">
      <w:bodyDiv w:val="1"/>
      <w:marLeft w:val="0"/>
      <w:marRight w:val="0"/>
      <w:marTop w:val="0"/>
      <w:marBottom w:val="0"/>
      <w:divBdr>
        <w:top w:val="none" w:sz="0" w:space="0" w:color="auto"/>
        <w:left w:val="none" w:sz="0" w:space="0" w:color="auto"/>
        <w:bottom w:val="none" w:sz="0" w:space="0" w:color="auto"/>
        <w:right w:val="none" w:sz="0" w:space="0" w:color="auto"/>
      </w:divBdr>
    </w:div>
    <w:div w:id="1832676672">
      <w:bodyDiv w:val="1"/>
      <w:marLeft w:val="0"/>
      <w:marRight w:val="0"/>
      <w:marTop w:val="0"/>
      <w:marBottom w:val="0"/>
      <w:divBdr>
        <w:top w:val="none" w:sz="0" w:space="0" w:color="auto"/>
        <w:left w:val="none" w:sz="0" w:space="0" w:color="auto"/>
        <w:bottom w:val="none" w:sz="0" w:space="0" w:color="auto"/>
        <w:right w:val="none" w:sz="0" w:space="0" w:color="auto"/>
      </w:divBdr>
    </w:div>
    <w:div w:id="1832716038">
      <w:bodyDiv w:val="1"/>
      <w:marLeft w:val="0"/>
      <w:marRight w:val="0"/>
      <w:marTop w:val="0"/>
      <w:marBottom w:val="0"/>
      <w:divBdr>
        <w:top w:val="none" w:sz="0" w:space="0" w:color="auto"/>
        <w:left w:val="none" w:sz="0" w:space="0" w:color="auto"/>
        <w:bottom w:val="none" w:sz="0" w:space="0" w:color="auto"/>
        <w:right w:val="none" w:sz="0" w:space="0" w:color="auto"/>
      </w:divBdr>
    </w:div>
    <w:div w:id="1832941427">
      <w:bodyDiv w:val="1"/>
      <w:marLeft w:val="0"/>
      <w:marRight w:val="0"/>
      <w:marTop w:val="0"/>
      <w:marBottom w:val="0"/>
      <w:divBdr>
        <w:top w:val="none" w:sz="0" w:space="0" w:color="auto"/>
        <w:left w:val="none" w:sz="0" w:space="0" w:color="auto"/>
        <w:bottom w:val="none" w:sz="0" w:space="0" w:color="auto"/>
        <w:right w:val="none" w:sz="0" w:space="0" w:color="auto"/>
      </w:divBdr>
    </w:div>
    <w:div w:id="1832985307">
      <w:bodyDiv w:val="1"/>
      <w:marLeft w:val="0"/>
      <w:marRight w:val="0"/>
      <w:marTop w:val="0"/>
      <w:marBottom w:val="0"/>
      <w:divBdr>
        <w:top w:val="none" w:sz="0" w:space="0" w:color="auto"/>
        <w:left w:val="none" w:sz="0" w:space="0" w:color="auto"/>
        <w:bottom w:val="none" w:sz="0" w:space="0" w:color="auto"/>
        <w:right w:val="none" w:sz="0" w:space="0" w:color="auto"/>
      </w:divBdr>
    </w:div>
    <w:div w:id="1833108523">
      <w:bodyDiv w:val="1"/>
      <w:marLeft w:val="0"/>
      <w:marRight w:val="0"/>
      <w:marTop w:val="0"/>
      <w:marBottom w:val="0"/>
      <w:divBdr>
        <w:top w:val="none" w:sz="0" w:space="0" w:color="auto"/>
        <w:left w:val="none" w:sz="0" w:space="0" w:color="auto"/>
        <w:bottom w:val="none" w:sz="0" w:space="0" w:color="auto"/>
        <w:right w:val="none" w:sz="0" w:space="0" w:color="auto"/>
      </w:divBdr>
    </w:div>
    <w:div w:id="1833178612">
      <w:bodyDiv w:val="1"/>
      <w:marLeft w:val="0"/>
      <w:marRight w:val="0"/>
      <w:marTop w:val="0"/>
      <w:marBottom w:val="0"/>
      <w:divBdr>
        <w:top w:val="none" w:sz="0" w:space="0" w:color="auto"/>
        <w:left w:val="none" w:sz="0" w:space="0" w:color="auto"/>
        <w:bottom w:val="none" w:sz="0" w:space="0" w:color="auto"/>
        <w:right w:val="none" w:sz="0" w:space="0" w:color="auto"/>
      </w:divBdr>
    </w:div>
    <w:div w:id="1833372123">
      <w:bodyDiv w:val="1"/>
      <w:marLeft w:val="0"/>
      <w:marRight w:val="0"/>
      <w:marTop w:val="0"/>
      <w:marBottom w:val="0"/>
      <w:divBdr>
        <w:top w:val="none" w:sz="0" w:space="0" w:color="auto"/>
        <w:left w:val="none" w:sz="0" w:space="0" w:color="auto"/>
        <w:bottom w:val="none" w:sz="0" w:space="0" w:color="auto"/>
        <w:right w:val="none" w:sz="0" w:space="0" w:color="auto"/>
      </w:divBdr>
    </w:div>
    <w:div w:id="1833374853">
      <w:bodyDiv w:val="1"/>
      <w:marLeft w:val="0"/>
      <w:marRight w:val="0"/>
      <w:marTop w:val="0"/>
      <w:marBottom w:val="0"/>
      <w:divBdr>
        <w:top w:val="none" w:sz="0" w:space="0" w:color="auto"/>
        <w:left w:val="none" w:sz="0" w:space="0" w:color="auto"/>
        <w:bottom w:val="none" w:sz="0" w:space="0" w:color="auto"/>
        <w:right w:val="none" w:sz="0" w:space="0" w:color="auto"/>
      </w:divBdr>
    </w:div>
    <w:div w:id="1833570185">
      <w:bodyDiv w:val="1"/>
      <w:marLeft w:val="0"/>
      <w:marRight w:val="0"/>
      <w:marTop w:val="0"/>
      <w:marBottom w:val="0"/>
      <w:divBdr>
        <w:top w:val="none" w:sz="0" w:space="0" w:color="auto"/>
        <w:left w:val="none" w:sz="0" w:space="0" w:color="auto"/>
        <w:bottom w:val="none" w:sz="0" w:space="0" w:color="auto"/>
        <w:right w:val="none" w:sz="0" w:space="0" w:color="auto"/>
      </w:divBdr>
    </w:div>
    <w:div w:id="1833642213">
      <w:bodyDiv w:val="1"/>
      <w:marLeft w:val="0"/>
      <w:marRight w:val="0"/>
      <w:marTop w:val="0"/>
      <w:marBottom w:val="0"/>
      <w:divBdr>
        <w:top w:val="none" w:sz="0" w:space="0" w:color="auto"/>
        <w:left w:val="none" w:sz="0" w:space="0" w:color="auto"/>
        <w:bottom w:val="none" w:sz="0" w:space="0" w:color="auto"/>
        <w:right w:val="none" w:sz="0" w:space="0" w:color="auto"/>
      </w:divBdr>
    </w:div>
    <w:div w:id="1833830273">
      <w:bodyDiv w:val="1"/>
      <w:marLeft w:val="0"/>
      <w:marRight w:val="0"/>
      <w:marTop w:val="0"/>
      <w:marBottom w:val="0"/>
      <w:divBdr>
        <w:top w:val="none" w:sz="0" w:space="0" w:color="auto"/>
        <w:left w:val="none" w:sz="0" w:space="0" w:color="auto"/>
        <w:bottom w:val="none" w:sz="0" w:space="0" w:color="auto"/>
        <w:right w:val="none" w:sz="0" w:space="0" w:color="auto"/>
      </w:divBdr>
    </w:div>
    <w:div w:id="1833906511">
      <w:bodyDiv w:val="1"/>
      <w:marLeft w:val="0"/>
      <w:marRight w:val="0"/>
      <w:marTop w:val="0"/>
      <w:marBottom w:val="0"/>
      <w:divBdr>
        <w:top w:val="none" w:sz="0" w:space="0" w:color="auto"/>
        <w:left w:val="none" w:sz="0" w:space="0" w:color="auto"/>
        <w:bottom w:val="none" w:sz="0" w:space="0" w:color="auto"/>
        <w:right w:val="none" w:sz="0" w:space="0" w:color="auto"/>
      </w:divBdr>
    </w:div>
    <w:div w:id="1833906584">
      <w:bodyDiv w:val="1"/>
      <w:marLeft w:val="0"/>
      <w:marRight w:val="0"/>
      <w:marTop w:val="0"/>
      <w:marBottom w:val="0"/>
      <w:divBdr>
        <w:top w:val="none" w:sz="0" w:space="0" w:color="auto"/>
        <w:left w:val="none" w:sz="0" w:space="0" w:color="auto"/>
        <w:bottom w:val="none" w:sz="0" w:space="0" w:color="auto"/>
        <w:right w:val="none" w:sz="0" w:space="0" w:color="auto"/>
      </w:divBdr>
    </w:div>
    <w:div w:id="1834031673">
      <w:bodyDiv w:val="1"/>
      <w:marLeft w:val="0"/>
      <w:marRight w:val="0"/>
      <w:marTop w:val="0"/>
      <w:marBottom w:val="0"/>
      <w:divBdr>
        <w:top w:val="none" w:sz="0" w:space="0" w:color="auto"/>
        <w:left w:val="none" w:sz="0" w:space="0" w:color="auto"/>
        <w:bottom w:val="none" w:sz="0" w:space="0" w:color="auto"/>
        <w:right w:val="none" w:sz="0" w:space="0" w:color="auto"/>
      </w:divBdr>
    </w:div>
    <w:div w:id="1834104164">
      <w:bodyDiv w:val="1"/>
      <w:marLeft w:val="0"/>
      <w:marRight w:val="0"/>
      <w:marTop w:val="0"/>
      <w:marBottom w:val="0"/>
      <w:divBdr>
        <w:top w:val="none" w:sz="0" w:space="0" w:color="auto"/>
        <w:left w:val="none" w:sz="0" w:space="0" w:color="auto"/>
        <w:bottom w:val="none" w:sz="0" w:space="0" w:color="auto"/>
        <w:right w:val="none" w:sz="0" w:space="0" w:color="auto"/>
      </w:divBdr>
    </w:div>
    <w:div w:id="1834293692">
      <w:bodyDiv w:val="1"/>
      <w:marLeft w:val="0"/>
      <w:marRight w:val="0"/>
      <w:marTop w:val="0"/>
      <w:marBottom w:val="0"/>
      <w:divBdr>
        <w:top w:val="none" w:sz="0" w:space="0" w:color="auto"/>
        <w:left w:val="none" w:sz="0" w:space="0" w:color="auto"/>
        <w:bottom w:val="none" w:sz="0" w:space="0" w:color="auto"/>
        <w:right w:val="none" w:sz="0" w:space="0" w:color="auto"/>
      </w:divBdr>
    </w:div>
    <w:div w:id="1834299756">
      <w:bodyDiv w:val="1"/>
      <w:marLeft w:val="0"/>
      <w:marRight w:val="0"/>
      <w:marTop w:val="0"/>
      <w:marBottom w:val="0"/>
      <w:divBdr>
        <w:top w:val="none" w:sz="0" w:space="0" w:color="auto"/>
        <w:left w:val="none" w:sz="0" w:space="0" w:color="auto"/>
        <w:bottom w:val="none" w:sz="0" w:space="0" w:color="auto"/>
        <w:right w:val="none" w:sz="0" w:space="0" w:color="auto"/>
      </w:divBdr>
    </w:div>
    <w:div w:id="1834448760">
      <w:bodyDiv w:val="1"/>
      <w:marLeft w:val="0"/>
      <w:marRight w:val="0"/>
      <w:marTop w:val="0"/>
      <w:marBottom w:val="0"/>
      <w:divBdr>
        <w:top w:val="none" w:sz="0" w:space="0" w:color="auto"/>
        <w:left w:val="none" w:sz="0" w:space="0" w:color="auto"/>
        <w:bottom w:val="none" w:sz="0" w:space="0" w:color="auto"/>
        <w:right w:val="none" w:sz="0" w:space="0" w:color="auto"/>
      </w:divBdr>
    </w:div>
    <w:div w:id="1834487464">
      <w:bodyDiv w:val="1"/>
      <w:marLeft w:val="0"/>
      <w:marRight w:val="0"/>
      <w:marTop w:val="0"/>
      <w:marBottom w:val="0"/>
      <w:divBdr>
        <w:top w:val="none" w:sz="0" w:space="0" w:color="auto"/>
        <w:left w:val="none" w:sz="0" w:space="0" w:color="auto"/>
        <w:bottom w:val="none" w:sz="0" w:space="0" w:color="auto"/>
        <w:right w:val="none" w:sz="0" w:space="0" w:color="auto"/>
      </w:divBdr>
    </w:div>
    <w:div w:id="1834568270">
      <w:bodyDiv w:val="1"/>
      <w:marLeft w:val="0"/>
      <w:marRight w:val="0"/>
      <w:marTop w:val="0"/>
      <w:marBottom w:val="0"/>
      <w:divBdr>
        <w:top w:val="none" w:sz="0" w:space="0" w:color="auto"/>
        <w:left w:val="none" w:sz="0" w:space="0" w:color="auto"/>
        <w:bottom w:val="none" w:sz="0" w:space="0" w:color="auto"/>
        <w:right w:val="none" w:sz="0" w:space="0" w:color="auto"/>
      </w:divBdr>
    </w:div>
    <w:div w:id="1834637342">
      <w:bodyDiv w:val="1"/>
      <w:marLeft w:val="0"/>
      <w:marRight w:val="0"/>
      <w:marTop w:val="0"/>
      <w:marBottom w:val="0"/>
      <w:divBdr>
        <w:top w:val="none" w:sz="0" w:space="0" w:color="auto"/>
        <w:left w:val="none" w:sz="0" w:space="0" w:color="auto"/>
        <w:bottom w:val="none" w:sz="0" w:space="0" w:color="auto"/>
        <w:right w:val="none" w:sz="0" w:space="0" w:color="auto"/>
      </w:divBdr>
    </w:div>
    <w:div w:id="1834877396">
      <w:bodyDiv w:val="1"/>
      <w:marLeft w:val="0"/>
      <w:marRight w:val="0"/>
      <w:marTop w:val="0"/>
      <w:marBottom w:val="0"/>
      <w:divBdr>
        <w:top w:val="none" w:sz="0" w:space="0" w:color="auto"/>
        <w:left w:val="none" w:sz="0" w:space="0" w:color="auto"/>
        <w:bottom w:val="none" w:sz="0" w:space="0" w:color="auto"/>
        <w:right w:val="none" w:sz="0" w:space="0" w:color="auto"/>
      </w:divBdr>
    </w:div>
    <w:div w:id="1834907642">
      <w:bodyDiv w:val="1"/>
      <w:marLeft w:val="0"/>
      <w:marRight w:val="0"/>
      <w:marTop w:val="0"/>
      <w:marBottom w:val="0"/>
      <w:divBdr>
        <w:top w:val="none" w:sz="0" w:space="0" w:color="auto"/>
        <w:left w:val="none" w:sz="0" w:space="0" w:color="auto"/>
        <w:bottom w:val="none" w:sz="0" w:space="0" w:color="auto"/>
        <w:right w:val="none" w:sz="0" w:space="0" w:color="auto"/>
      </w:divBdr>
    </w:div>
    <w:div w:id="1834951217">
      <w:bodyDiv w:val="1"/>
      <w:marLeft w:val="0"/>
      <w:marRight w:val="0"/>
      <w:marTop w:val="0"/>
      <w:marBottom w:val="0"/>
      <w:divBdr>
        <w:top w:val="none" w:sz="0" w:space="0" w:color="auto"/>
        <w:left w:val="none" w:sz="0" w:space="0" w:color="auto"/>
        <w:bottom w:val="none" w:sz="0" w:space="0" w:color="auto"/>
        <w:right w:val="none" w:sz="0" w:space="0" w:color="auto"/>
      </w:divBdr>
    </w:div>
    <w:div w:id="1834951709">
      <w:bodyDiv w:val="1"/>
      <w:marLeft w:val="0"/>
      <w:marRight w:val="0"/>
      <w:marTop w:val="0"/>
      <w:marBottom w:val="0"/>
      <w:divBdr>
        <w:top w:val="none" w:sz="0" w:space="0" w:color="auto"/>
        <w:left w:val="none" w:sz="0" w:space="0" w:color="auto"/>
        <w:bottom w:val="none" w:sz="0" w:space="0" w:color="auto"/>
        <w:right w:val="none" w:sz="0" w:space="0" w:color="auto"/>
      </w:divBdr>
    </w:div>
    <w:div w:id="1834956002">
      <w:bodyDiv w:val="1"/>
      <w:marLeft w:val="0"/>
      <w:marRight w:val="0"/>
      <w:marTop w:val="0"/>
      <w:marBottom w:val="0"/>
      <w:divBdr>
        <w:top w:val="none" w:sz="0" w:space="0" w:color="auto"/>
        <w:left w:val="none" w:sz="0" w:space="0" w:color="auto"/>
        <w:bottom w:val="none" w:sz="0" w:space="0" w:color="auto"/>
        <w:right w:val="none" w:sz="0" w:space="0" w:color="auto"/>
      </w:divBdr>
    </w:div>
    <w:div w:id="1835221406">
      <w:bodyDiv w:val="1"/>
      <w:marLeft w:val="0"/>
      <w:marRight w:val="0"/>
      <w:marTop w:val="0"/>
      <w:marBottom w:val="0"/>
      <w:divBdr>
        <w:top w:val="none" w:sz="0" w:space="0" w:color="auto"/>
        <w:left w:val="none" w:sz="0" w:space="0" w:color="auto"/>
        <w:bottom w:val="none" w:sz="0" w:space="0" w:color="auto"/>
        <w:right w:val="none" w:sz="0" w:space="0" w:color="auto"/>
      </w:divBdr>
    </w:div>
    <w:div w:id="1835343202">
      <w:bodyDiv w:val="1"/>
      <w:marLeft w:val="0"/>
      <w:marRight w:val="0"/>
      <w:marTop w:val="0"/>
      <w:marBottom w:val="0"/>
      <w:divBdr>
        <w:top w:val="none" w:sz="0" w:space="0" w:color="auto"/>
        <w:left w:val="none" w:sz="0" w:space="0" w:color="auto"/>
        <w:bottom w:val="none" w:sz="0" w:space="0" w:color="auto"/>
        <w:right w:val="none" w:sz="0" w:space="0" w:color="auto"/>
      </w:divBdr>
    </w:div>
    <w:div w:id="1835412367">
      <w:bodyDiv w:val="1"/>
      <w:marLeft w:val="0"/>
      <w:marRight w:val="0"/>
      <w:marTop w:val="0"/>
      <w:marBottom w:val="0"/>
      <w:divBdr>
        <w:top w:val="none" w:sz="0" w:space="0" w:color="auto"/>
        <w:left w:val="none" w:sz="0" w:space="0" w:color="auto"/>
        <w:bottom w:val="none" w:sz="0" w:space="0" w:color="auto"/>
        <w:right w:val="none" w:sz="0" w:space="0" w:color="auto"/>
      </w:divBdr>
    </w:div>
    <w:div w:id="1835486122">
      <w:bodyDiv w:val="1"/>
      <w:marLeft w:val="0"/>
      <w:marRight w:val="0"/>
      <w:marTop w:val="0"/>
      <w:marBottom w:val="0"/>
      <w:divBdr>
        <w:top w:val="none" w:sz="0" w:space="0" w:color="auto"/>
        <w:left w:val="none" w:sz="0" w:space="0" w:color="auto"/>
        <w:bottom w:val="none" w:sz="0" w:space="0" w:color="auto"/>
        <w:right w:val="none" w:sz="0" w:space="0" w:color="auto"/>
      </w:divBdr>
    </w:div>
    <w:div w:id="1835488416">
      <w:bodyDiv w:val="1"/>
      <w:marLeft w:val="0"/>
      <w:marRight w:val="0"/>
      <w:marTop w:val="0"/>
      <w:marBottom w:val="0"/>
      <w:divBdr>
        <w:top w:val="none" w:sz="0" w:space="0" w:color="auto"/>
        <w:left w:val="none" w:sz="0" w:space="0" w:color="auto"/>
        <w:bottom w:val="none" w:sz="0" w:space="0" w:color="auto"/>
        <w:right w:val="none" w:sz="0" w:space="0" w:color="auto"/>
      </w:divBdr>
    </w:div>
    <w:div w:id="1835492025">
      <w:bodyDiv w:val="1"/>
      <w:marLeft w:val="0"/>
      <w:marRight w:val="0"/>
      <w:marTop w:val="0"/>
      <w:marBottom w:val="0"/>
      <w:divBdr>
        <w:top w:val="none" w:sz="0" w:space="0" w:color="auto"/>
        <w:left w:val="none" w:sz="0" w:space="0" w:color="auto"/>
        <w:bottom w:val="none" w:sz="0" w:space="0" w:color="auto"/>
        <w:right w:val="none" w:sz="0" w:space="0" w:color="auto"/>
      </w:divBdr>
    </w:div>
    <w:div w:id="1835532994">
      <w:bodyDiv w:val="1"/>
      <w:marLeft w:val="0"/>
      <w:marRight w:val="0"/>
      <w:marTop w:val="0"/>
      <w:marBottom w:val="0"/>
      <w:divBdr>
        <w:top w:val="none" w:sz="0" w:space="0" w:color="auto"/>
        <w:left w:val="none" w:sz="0" w:space="0" w:color="auto"/>
        <w:bottom w:val="none" w:sz="0" w:space="0" w:color="auto"/>
        <w:right w:val="none" w:sz="0" w:space="0" w:color="auto"/>
      </w:divBdr>
    </w:div>
    <w:div w:id="1835535924">
      <w:bodyDiv w:val="1"/>
      <w:marLeft w:val="0"/>
      <w:marRight w:val="0"/>
      <w:marTop w:val="0"/>
      <w:marBottom w:val="0"/>
      <w:divBdr>
        <w:top w:val="none" w:sz="0" w:space="0" w:color="auto"/>
        <w:left w:val="none" w:sz="0" w:space="0" w:color="auto"/>
        <w:bottom w:val="none" w:sz="0" w:space="0" w:color="auto"/>
        <w:right w:val="none" w:sz="0" w:space="0" w:color="auto"/>
      </w:divBdr>
    </w:div>
    <w:div w:id="1835561680">
      <w:bodyDiv w:val="1"/>
      <w:marLeft w:val="0"/>
      <w:marRight w:val="0"/>
      <w:marTop w:val="0"/>
      <w:marBottom w:val="0"/>
      <w:divBdr>
        <w:top w:val="none" w:sz="0" w:space="0" w:color="auto"/>
        <w:left w:val="none" w:sz="0" w:space="0" w:color="auto"/>
        <w:bottom w:val="none" w:sz="0" w:space="0" w:color="auto"/>
        <w:right w:val="none" w:sz="0" w:space="0" w:color="auto"/>
      </w:divBdr>
    </w:div>
    <w:div w:id="1835606681">
      <w:bodyDiv w:val="1"/>
      <w:marLeft w:val="0"/>
      <w:marRight w:val="0"/>
      <w:marTop w:val="0"/>
      <w:marBottom w:val="0"/>
      <w:divBdr>
        <w:top w:val="none" w:sz="0" w:space="0" w:color="auto"/>
        <w:left w:val="none" w:sz="0" w:space="0" w:color="auto"/>
        <w:bottom w:val="none" w:sz="0" w:space="0" w:color="auto"/>
        <w:right w:val="none" w:sz="0" w:space="0" w:color="auto"/>
      </w:divBdr>
    </w:div>
    <w:div w:id="1835761214">
      <w:bodyDiv w:val="1"/>
      <w:marLeft w:val="0"/>
      <w:marRight w:val="0"/>
      <w:marTop w:val="0"/>
      <w:marBottom w:val="0"/>
      <w:divBdr>
        <w:top w:val="none" w:sz="0" w:space="0" w:color="auto"/>
        <w:left w:val="none" w:sz="0" w:space="0" w:color="auto"/>
        <w:bottom w:val="none" w:sz="0" w:space="0" w:color="auto"/>
        <w:right w:val="none" w:sz="0" w:space="0" w:color="auto"/>
      </w:divBdr>
    </w:div>
    <w:div w:id="1835875797">
      <w:bodyDiv w:val="1"/>
      <w:marLeft w:val="0"/>
      <w:marRight w:val="0"/>
      <w:marTop w:val="0"/>
      <w:marBottom w:val="0"/>
      <w:divBdr>
        <w:top w:val="none" w:sz="0" w:space="0" w:color="auto"/>
        <w:left w:val="none" w:sz="0" w:space="0" w:color="auto"/>
        <w:bottom w:val="none" w:sz="0" w:space="0" w:color="auto"/>
        <w:right w:val="none" w:sz="0" w:space="0" w:color="auto"/>
      </w:divBdr>
    </w:div>
    <w:div w:id="1835947949">
      <w:bodyDiv w:val="1"/>
      <w:marLeft w:val="0"/>
      <w:marRight w:val="0"/>
      <w:marTop w:val="0"/>
      <w:marBottom w:val="0"/>
      <w:divBdr>
        <w:top w:val="none" w:sz="0" w:space="0" w:color="auto"/>
        <w:left w:val="none" w:sz="0" w:space="0" w:color="auto"/>
        <w:bottom w:val="none" w:sz="0" w:space="0" w:color="auto"/>
        <w:right w:val="none" w:sz="0" w:space="0" w:color="auto"/>
      </w:divBdr>
    </w:div>
    <w:div w:id="1835992146">
      <w:bodyDiv w:val="1"/>
      <w:marLeft w:val="0"/>
      <w:marRight w:val="0"/>
      <w:marTop w:val="0"/>
      <w:marBottom w:val="0"/>
      <w:divBdr>
        <w:top w:val="none" w:sz="0" w:space="0" w:color="auto"/>
        <w:left w:val="none" w:sz="0" w:space="0" w:color="auto"/>
        <w:bottom w:val="none" w:sz="0" w:space="0" w:color="auto"/>
        <w:right w:val="none" w:sz="0" w:space="0" w:color="auto"/>
      </w:divBdr>
    </w:div>
    <w:div w:id="1836073062">
      <w:bodyDiv w:val="1"/>
      <w:marLeft w:val="0"/>
      <w:marRight w:val="0"/>
      <w:marTop w:val="0"/>
      <w:marBottom w:val="0"/>
      <w:divBdr>
        <w:top w:val="none" w:sz="0" w:space="0" w:color="auto"/>
        <w:left w:val="none" w:sz="0" w:space="0" w:color="auto"/>
        <w:bottom w:val="none" w:sz="0" w:space="0" w:color="auto"/>
        <w:right w:val="none" w:sz="0" w:space="0" w:color="auto"/>
      </w:divBdr>
    </w:div>
    <w:div w:id="1836191131">
      <w:bodyDiv w:val="1"/>
      <w:marLeft w:val="0"/>
      <w:marRight w:val="0"/>
      <w:marTop w:val="0"/>
      <w:marBottom w:val="0"/>
      <w:divBdr>
        <w:top w:val="none" w:sz="0" w:space="0" w:color="auto"/>
        <w:left w:val="none" w:sz="0" w:space="0" w:color="auto"/>
        <w:bottom w:val="none" w:sz="0" w:space="0" w:color="auto"/>
        <w:right w:val="none" w:sz="0" w:space="0" w:color="auto"/>
      </w:divBdr>
    </w:div>
    <w:div w:id="1836261309">
      <w:bodyDiv w:val="1"/>
      <w:marLeft w:val="0"/>
      <w:marRight w:val="0"/>
      <w:marTop w:val="0"/>
      <w:marBottom w:val="0"/>
      <w:divBdr>
        <w:top w:val="none" w:sz="0" w:space="0" w:color="auto"/>
        <w:left w:val="none" w:sz="0" w:space="0" w:color="auto"/>
        <w:bottom w:val="none" w:sz="0" w:space="0" w:color="auto"/>
        <w:right w:val="none" w:sz="0" w:space="0" w:color="auto"/>
      </w:divBdr>
    </w:div>
    <w:div w:id="1836263457">
      <w:bodyDiv w:val="1"/>
      <w:marLeft w:val="0"/>
      <w:marRight w:val="0"/>
      <w:marTop w:val="0"/>
      <w:marBottom w:val="0"/>
      <w:divBdr>
        <w:top w:val="none" w:sz="0" w:space="0" w:color="auto"/>
        <w:left w:val="none" w:sz="0" w:space="0" w:color="auto"/>
        <w:bottom w:val="none" w:sz="0" w:space="0" w:color="auto"/>
        <w:right w:val="none" w:sz="0" w:space="0" w:color="auto"/>
      </w:divBdr>
    </w:div>
    <w:div w:id="1836531374">
      <w:bodyDiv w:val="1"/>
      <w:marLeft w:val="0"/>
      <w:marRight w:val="0"/>
      <w:marTop w:val="0"/>
      <w:marBottom w:val="0"/>
      <w:divBdr>
        <w:top w:val="none" w:sz="0" w:space="0" w:color="auto"/>
        <w:left w:val="none" w:sz="0" w:space="0" w:color="auto"/>
        <w:bottom w:val="none" w:sz="0" w:space="0" w:color="auto"/>
        <w:right w:val="none" w:sz="0" w:space="0" w:color="auto"/>
      </w:divBdr>
    </w:div>
    <w:div w:id="1836531959">
      <w:bodyDiv w:val="1"/>
      <w:marLeft w:val="0"/>
      <w:marRight w:val="0"/>
      <w:marTop w:val="0"/>
      <w:marBottom w:val="0"/>
      <w:divBdr>
        <w:top w:val="none" w:sz="0" w:space="0" w:color="auto"/>
        <w:left w:val="none" w:sz="0" w:space="0" w:color="auto"/>
        <w:bottom w:val="none" w:sz="0" w:space="0" w:color="auto"/>
        <w:right w:val="none" w:sz="0" w:space="0" w:color="auto"/>
      </w:divBdr>
    </w:div>
    <w:div w:id="1836533614">
      <w:bodyDiv w:val="1"/>
      <w:marLeft w:val="0"/>
      <w:marRight w:val="0"/>
      <w:marTop w:val="0"/>
      <w:marBottom w:val="0"/>
      <w:divBdr>
        <w:top w:val="none" w:sz="0" w:space="0" w:color="auto"/>
        <w:left w:val="none" w:sz="0" w:space="0" w:color="auto"/>
        <w:bottom w:val="none" w:sz="0" w:space="0" w:color="auto"/>
        <w:right w:val="none" w:sz="0" w:space="0" w:color="auto"/>
      </w:divBdr>
    </w:div>
    <w:div w:id="1836603654">
      <w:bodyDiv w:val="1"/>
      <w:marLeft w:val="0"/>
      <w:marRight w:val="0"/>
      <w:marTop w:val="0"/>
      <w:marBottom w:val="0"/>
      <w:divBdr>
        <w:top w:val="none" w:sz="0" w:space="0" w:color="auto"/>
        <w:left w:val="none" w:sz="0" w:space="0" w:color="auto"/>
        <w:bottom w:val="none" w:sz="0" w:space="0" w:color="auto"/>
        <w:right w:val="none" w:sz="0" w:space="0" w:color="auto"/>
      </w:divBdr>
    </w:div>
    <w:div w:id="1836605960">
      <w:bodyDiv w:val="1"/>
      <w:marLeft w:val="0"/>
      <w:marRight w:val="0"/>
      <w:marTop w:val="0"/>
      <w:marBottom w:val="0"/>
      <w:divBdr>
        <w:top w:val="none" w:sz="0" w:space="0" w:color="auto"/>
        <w:left w:val="none" w:sz="0" w:space="0" w:color="auto"/>
        <w:bottom w:val="none" w:sz="0" w:space="0" w:color="auto"/>
        <w:right w:val="none" w:sz="0" w:space="0" w:color="auto"/>
      </w:divBdr>
    </w:div>
    <w:div w:id="1836653518">
      <w:bodyDiv w:val="1"/>
      <w:marLeft w:val="0"/>
      <w:marRight w:val="0"/>
      <w:marTop w:val="0"/>
      <w:marBottom w:val="0"/>
      <w:divBdr>
        <w:top w:val="none" w:sz="0" w:space="0" w:color="auto"/>
        <w:left w:val="none" w:sz="0" w:space="0" w:color="auto"/>
        <w:bottom w:val="none" w:sz="0" w:space="0" w:color="auto"/>
        <w:right w:val="none" w:sz="0" w:space="0" w:color="auto"/>
      </w:divBdr>
    </w:div>
    <w:div w:id="1836724797">
      <w:bodyDiv w:val="1"/>
      <w:marLeft w:val="0"/>
      <w:marRight w:val="0"/>
      <w:marTop w:val="0"/>
      <w:marBottom w:val="0"/>
      <w:divBdr>
        <w:top w:val="none" w:sz="0" w:space="0" w:color="auto"/>
        <w:left w:val="none" w:sz="0" w:space="0" w:color="auto"/>
        <w:bottom w:val="none" w:sz="0" w:space="0" w:color="auto"/>
        <w:right w:val="none" w:sz="0" w:space="0" w:color="auto"/>
      </w:divBdr>
    </w:div>
    <w:div w:id="1836726888">
      <w:bodyDiv w:val="1"/>
      <w:marLeft w:val="0"/>
      <w:marRight w:val="0"/>
      <w:marTop w:val="0"/>
      <w:marBottom w:val="0"/>
      <w:divBdr>
        <w:top w:val="none" w:sz="0" w:space="0" w:color="auto"/>
        <w:left w:val="none" w:sz="0" w:space="0" w:color="auto"/>
        <w:bottom w:val="none" w:sz="0" w:space="0" w:color="auto"/>
        <w:right w:val="none" w:sz="0" w:space="0" w:color="auto"/>
      </w:divBdr>
    </w:div>
    <w:div w:id="1836728053">
      <w:bodyDiv w:val="1"/>
      <w:marLeft w:val="0"/>
      <w:marRight w:val="0"/>
      <w:marTop w:val="0"/>
      <w:marBottom w:val="0"/>
      <w:divBdr>
        <w:top w:val="none" w:sz="0" w:space="0" w:color="auto"/>
        <w:left w:val="none" w:sz="0" w:space="0" w:color="auto"/>
        <w:bottom w:val="none" w:sz="0" w:space="0" w:color="auto"/>
        <w:right w:val="none" w:sz="0" w:space="0" w:color="auto"/>
      </w:divBdr>
    </w:div>
    <w:div w:id="1836846585">
      <w:bodyDiv w:val="1"/>
      <w:marLeft w:val="0"/>
      <w:marRight w:val="0"/>
      <w:marTop w:val="0"/>
      <w:marBottom w:val="0"/>
      <w:divBdr>
        <w:top w:val="none" w:sz="0" w:space="0" w:color="auto"/>
        <w:left w:val="none" w:sz="0" w:space="0" w:color="auto"/>
        <w:bottom w:val="none" w:sz="0" w:space="0" w:color="auto"/>
        <w:right w:val="none" w:sz="0" w:space="0" w:color="auto"/>
      </w:divBdr>
    </w:div>
    <w:div w:id="1836916959">
      <w:bodyDiv w:val="1"/>
      <w:marLeft w:val="0"/>
      <w:marRight w:val="0"/>
      <w:marTop w:val="0"/>
      <w:marBottom w:val="0"/>
      <w:divBdr>
        <w:top w:val="none" w:sz="0" w:space="0" w:color="auto"/>
        <w:left w:val="none" w:sz="0" w:space="0" w:color="auto"/>
        <w:bottom w:val="none" w:sz="0" w:space="0" w:color="auto"/>
        <w:right w:val="none" w:sz="0" w:space="0" w:color="auto"/>
      </w:divBdr>
    </w:div>
    <w:div w:id="1836992976">
      <w:bodyDiv w:val="1"/>
      <w:marLeft w:val="0"/>
      <w:marRight w:val="0"/>
      <w:marTop w:val="0"/>
      <w:marBottom w:val="0"/>
      <w:divBdr>
        <w:top w:val="none" w:sz="0" w:space="0" w:color="auto"/>
        <w:left w:val="none" w:sz="0" w:space="0" w:color="auto"/>
        <w:bottom w:val="none" w:sz="0" w:space="0" w:color="auto"/>
        <w:right w:val="none" w:sz="0" w:space="0" w:color="auto"/>
      </w:divBdr>
    </w:div>
    <w:div w:id="1837069097">
      <w:bodyDiv w:val="1"/>
      <w:marLeft w:val="0"/>
      <w:marRight w:val="0"/>
      <w:marTop w:val="0"/>
      <w:marBottom w:val="0"/>
      <w:divBdr>
        <w:top w:val="none" w:sz="0" w:space="0" w:color="auto"/>
        <w:left w:val="none" w:sz="0" w:space="0" w:color="auto"/>
        <w:bottom w:val="none" w:sz="0" w:space="0" w:color="auto"/>
        <w:right w:val="none" w:sz="0" w:space="0" w:color="auto"/>
      </w:divBdr>
    </w:div>
    <w:div w:id="1837111986">
      <w:bodyDiv w:val="1"/>
      <w:marLeft w:val="0"/>
      <w:marRight w:val="0"/>
      <w:marTop w:val="0"/>
      <w:marBottom w:val="0"/>
      <w:divBdr>
        <w:top w:val="none" w:sz="0" w:space="0" w:color="auto"/>
        <w:left w:val="none" w:sz="0" w:space="0" w:color="auto"/>
        <w:bottom w:val="none" w:sz="0" w:space="0" w:color="auto"/>
        <w:right w:val="none" w:sz="0" w:space="0" w:color="auto"/>
      </w:divBdr>
    </w:div>
    <w:div w:id="1837185301">
      <w:bodyDiv w:val="1"/>
      <w:marLeft w:val="0"/>
      <w:marRight w:val="0"/>
      <w:marTop w:val="0"/>
      <w:marBottom w:val="0"/>
      <w:divBdr>
        <w:top w:val="none" w:sz="0" w:space="0" w:color="auto"/>
        <w:left w:val="none" w:sz="0" w:space="0" w:color="auto"/>
        <w:bottom w:val="none" w:sz="0" w:space="0" w:color="auto"/>
        <w:right w:val="none" w:sz="0" w:space="0" w:color="auto"/>
      </w:divBdr>
    </w:div>
    <w:div w:id="1837186865">
      <w:bodyDiv w:val="1"/>
      <w:marLeft w:val="0"/>
      <w:marRight w:val="0"/>
      <w:marTop w:val="0"/>
      <w:marBottom w:val="0"/>
      <w:divBdr>
        <w:top w:val="none" w:sz="0" w:space="0" w:color="auto"/>
        <w:left w:val="none" w:sz="0" w:space="0" w:color="auto"/>
        <w:bottom w:val="none" w:sz="0" w:space="0" w:color="auto"/>
        <w:right w:val="none" w:sz="0" w:space="0" w:color="auto"/>
      </w:divBdr>
    </w:div>
    <w:div w:id="1837190983">
      <w:bodyDiv w:val="1"/>
      <w:marLeft w:val="0"/>
      <w:marRight w:val="0"/>
      <w:marTop w:val="0"/>
      <w:marBottom w:val="0"/>
      <w:divBdr>
        <w:top w:val="none" w:sz="0" w:space="0" w:color="auto"/>
        <w:left w:val="none" w:sz="0" w:space="0" w:color="auto"/>
        <w:bottom w:val="none" w:sz="0" w:space="0" w:color="auto"/>
        <w:right w:val="none" w:sz="0" w:space="0" w:color="auto"/>
      </w:divBdr>
    </w:div>
    <w:div w:id="1837261560">
      <w:bodyDiv w:val="1"/>
      <w:marLeft w:val="0"/>
      <w:marRight w:val="0"/>
      <w:marTop w:val="0"/>
      <w:marBottom w:val="0"/>
      <w:divBdr>
        <w:top w:val="none" w:sz="0" w:space="0" w:color="auto"/>
        <w:left w:val="none" w:sz="0" w:space="0" w:color="auto"/>
        <w:bottom w:val="none" w:sz="0" w:space="0" w:color="auto"/>
        <w:right w:val="none" w:sz="0" w:space="0" w:color="auto"/>
      </w:divBdr>
    </w:div>
    <w:div w:id="1837376689">
      <w:bodyDiv w:val="1"/>
      <w:marLeft w:val="0"/>
      <w:marRight w:val="0"/>
      <w:marTop w:val="0"/>
      <w:marBottom w:val="0"/>
      <w:divBdr>
        <w:top w:val="none" w:sz="0" w:space="0" w:color="auto"/>
        <w:left w:val="none" w:sz="0" w:space="0" w:color="auto"/>
        <w:bottom w:val="none" w:sz="0" w:space="0" w:color="auto"/>
        <w:right w:val="none" w:sz="0" w:space="0" w:color="auto"/>
      </w:divBdr>
    </w:div>
    <w:div w:id="1837377658">
      <w:bodyDiv w:val="1"/>
      <w:marLeft w:val="0"/>
      <w:marRight w:val="0"/>
      <w:marTop w:val="0"/>
      <w:marBottom w:val="0"/>
      <w:divBdr>
        <w:top w:val="none" w:sz="0" w:space="0" w:color="auto"/>
        <w:left w:val="none" w:sz="0" w:space="0" w:color="auto"/>
        <w:bottom w:val="none" w:sz="0" w:space="0" w:color="auto"/>
        <w:right w:val="none" w:sz="0" w:space="0" w:color="auto"/>
      </w:divBdr>
    </w:div>
    <w:div w:id="1837378587">
      <w:bodyDiv w:val="1"/>
      <w:marLeft w:val="0"/>
      <w:marRight w:val="0"/>
      <w:marTop w:val="0"/>
      <w:marBottom w:val="0"/>
      <w:divBdr>
        <w:top w:val="none" w:sz="0" w:space="0" w:color="auto"/>
        <w:left w:val="none" w:sz="0" w:space="0" w:color="auto"/>
        <w:bottom w:val="none" w:sz="0" w:space="0" w:color="auto"/>
        <w:right w:val="none" w:sz="0" w:space="0" w:color="auto"/>
      </w:divBdr>
    </w:div>
    <w:div w:id="1837529840">
      <w:bodyDiv w:val="1"/>
      <w:marLeft w:val="0"/>
      <w:marRight w:val="0"/>
      <w:marTop w:val="0"/>
      <w:marBottom w:val="0"/>
      <w:divBdr>
        <w:top w:val="none" w:sz="0" w:space="0" w:color="auto"/>
        <w:left w:val="none" w:sz="0" w:space="0" w:color="auto"/>
        <w:bottom w:val="none" w:sz="0" w:space="0" w:color="auto"/>
        <w:right w:val="none" w:sz="0" w:space="0" w:color="auto"/>
      </w:divBdr>
    </w:div>
    <w:div w:id="1837569440">
      <w:bodyDiv w:val="1"/>
      <w:marLeft w:val="0"/>
      <w:marRight w:val="0"/>
      <w:marTop w:val="0"/>
      <w:marBottom w:val="0"/>
      <w:divBdr>
        <w:top w:val="none" w:sz="0" w:space="0" w:color="auto"/>
        <w:left w:val="none" w:sz="0" w:space="0" w:color="auto"/>
        <w:bottom w:val="none" w:sz="0" w:space="0" w:color="auto"/>
        <w:right w:val="none" w:sz="0" w:space="0" w:color="auto"/>
      </w:divBdr>
    </w:div>
    <w:div w:id="1837572039">
      <w:bodyDiv w:val="1"/>
      <w:marLeft w:val="0"/>
      <w:marRight w:val="0"/>
      <w:marTop w:val="0"/>
      <w:marBottom w:val="0"/>
      <w:divBdr>
        <w:top w:val="none" w:sz="0" w:space="0" w:color="auto"/>
        <w:left w:val="none" w:sz="0" w:space="0" w:color="auto"/>
        <w:bottom w:val="none" w:sz="0" w:space="0" w:color="auto"/>
        <w:right w:val="none" w:sz="0" w:space="0" w:color="auto"/>
      </w:divBdr>
    </w:div>
    <w:div w:id="1837647712">
      <w:bodyDiv w:val="1"/>
      <w:marLeft w:val="0"/>
      <w:marRight w:val="0"/>
      <w:marTop w:val="0"/>
      <w:marBottom w:val="0"/>
      <w:divBdr>
        <w:top w:val="none" w:sz="0" w:space="0" w:color="auto"/>
        <w:left w:val="none" w:sz="0" w:space="0" w:color="auto"/>
        <w:bottom w:val="none" w:sz="0" w:space="0" w:color="auto"/>
        <w:right w:val="none" w:sz="0" w:space="0" w:color="auto"/>
      </w:divBdr>
    </w:div>
    <w:div w:id="1837650410">
      <w:bodyDiv w:val="1"/>
      <w:marLeft w:val="0"/>
      <w:marRight w:val="0"/>
      <w:marTop w:val="0"/>
      <w:marBottom w:val="0"/>
      <w:divBdr>
        <w:top w:val="none" w:sz="0" w:space="0" w:color="auto"/>
        <w:left w:val="none" w:sz="0" w:space="0" w:color="auto"/>
        <w:bottom w:val="none" w:sz="0" w:space="0" w:color="auto"/>
        <w:right w:val="none" w:sz="0" w:space="0" w:color="auto"/>
      </w:divBdr>
    </w:div>
    <w:div w:id="1837765342">
      <w:bodyDiv w:val="1"/>
      <w:marLeft w:val="0"/>
      <w:marRight w:val="0"/>
      <w:marTop w:val="0"/>
      <w:marBottom w:val="0"/>
      <w:divBdr>
        <w:top w:val="none" w:sz="0" w:space="0" w:color="auto"/>
        <w:left w:val="none" w:sz="0" w:space="0" w:color="auto"/>
        <w:bottom w:val="none" w:sz="0" w:space="0" w:color="auto"/>
        <w:right w:val="none" w:sz="0" w:space="0" w:color="auto"/>
      </w:divBdr>
    </w:div>
    <w:div w:id="1837839164">
      <w:bodyDiv w:val="1"/>
      <w:marLeft w:val="0"/>
      <w:marRight w:val="0"/>
      <w:marTop w:val="0"/>
      <w:marBottom w:val="0"/>
      <w:divBdr>
        <w:top w:val="none" w:sz="0" w:space="0" w:color="auto"/>
        <w:left w:val="none" w:sz="0" w:space="0" w:color="auto"/>
        <w:bottom w:val="none" w:sz="0" w:space="0" w:color="auto"/>
        <w:right w:val="none" w:sz="0" w:space="0" w:color="auto"/>
      </w:divBdr>
    </w:div>
    <w:div w:id="1837914514">
      <w:bodyDiv w:val="1"/>
      <w:marLeft w:val="0"/>
      <w:marRight w:val="0"/>
      <w:marTop w:val="0"/>
      <w:marBottom w:val="0"/>
      <w:divBdr>
        <w:top w:val="none" w:sz="0" w:space="0" w:color="auto"/>
        <w:left w:val="none" w:sz="0" w:space="0" w:color="auto"/>
        <w:bottom w:val="none" w:sz="0" w:space="0" w:color="auto"/>
        <w:right w:val="none" w:sz="0" w:space="0" w:color="auto"/>
      </w:divBdr>
    </w:div>
    <w:div w:id="1837915250">
      <w:bodyDiv w:val="1"/>
      <w:marLeft w:val="0"/>
      <w:marRight w:val="0"/>
      <w:marTop w:val="0"/>
      <w:marBottom w:val="0"/>
      <w:divBdr>
        <w:top w:val="none" w:sz="0" w:space="0" w:color="auto"/>
        <w:left w:val="none" w:sz="0" w:space="0" w:color="auto"/>
        <w:bottom w:val="none" w:sz="0" w:space="0" w:color="auto"/>
        <w:right w:val="none" w:sz="0" w:space="0" w:color="auto"/>
      </w:divBdr>
    </w:div>
    <w:div w:id="1837963292">
      <w:bodyDiv w:val="1"/>
      <w:marLeft w:val="0"/>
      <w:marRight w:val="0"/>
      <w:marTop w:val="0"/>
      <w:marBottom w:val="0"/>
      <w:divBdr>
        <w:top w:val="none" w:sz="0" w:space="0" w:color="auto"/>
        <w:left w:val="none" w:sz="0" w:space="0" w:color="auto"/>
        <w:bottom w:val="none" w:sz="0" w:space="0" w:color="auto"/>
        <w:right w:val="none" w:sz="0" w:space="0" w:color="auto"/>
      </w:divBdr>
    </w:div>
    <w:div w:id="1838110497">
      <w:bodyDiv w:val="1"/>
      <w:marLeft w:val="0"/>
      <w:marRight w:val="0"/>
      <w:marTop w:val="0"/>
      <w:marBottom w:val="0"/>
      <w:divBdr>
        <w:top w:val="none" w:sz="0" w:space="0" w:color="auto"/>
        <w:left w:val="none" w:sz="0" w:space="0" w:color="auto"/>
        <w:bottom w:val="none" w:sz="0" w:space="0" w:color="auto"/>
        <w:right w:val="none" w:sz="0" w:space="0" w:color="auto"/>
      </w:divBdr>
    </w:div>
    <w:div w:id="1838381573">
      <w:bodyDiv w:val="1"/>
      <w:marLeft w:val="0"/>
      <w:marRight w:val="0"/>
      <w:marTop w:val="0"/>
      <w:marBottom w:val="0"/>
      <w:divBdr>
        <w:top w:val="none" w:sz="0" w:space="0" w:color="auto"/>
        <w:left w:val="none" w:sz="0" w:space="0" w:color="auto"/>
        <w:bottom w:val="none" w:sz="0" w:space="0" w:color="auto"/>
        <w:right w:val="none" w:sz="0" w:space="0" w:color="auto"/>
      </w:divBdr>
    </w:div>
    <w:div w:id="1838383098">
      <w:bodyDiv w:val="1"/>
      <w:marLeft w:val="0"/>
      <w:marRight w:val="0"/>
      <w:marTop w:val="0"/>
      <w:marBottom w:val="0"/>
      <w:divBdr>
        <w:top w:val="none" w:sz="0" w:space="0" w:color="auto"/>
        <w:left w:val="none" w:sz="0" w:space="0" w:color="auto"/>
        <w:bottom w:val="none" w:sz="0" w:space="0" w:color="auto"/>
        <w:right w:val="none" w:sz="0" w:space="0" w:color="auto"/>
      </w:divBdr>
    </w:div>
    <w:div w:id="1838422448">
      <w:bodyDiv w:val="1"/>
      <w:marLeft w:val="0"/>
      <w:marRight w:val="0"/>
      <w:marTop w:val="0"/>
      <w:marBottom w:val="0"/>
      <w:divBdr>
        <w:top w:val="none" w:sz="0" w:space="0" w:color="auto"/>
        <w:left w:val="none" w:sz="0" w:space="0" w:color="auto"/>
        <w:bottom w:val="none" w:sz="0" w:space="0" w:color="auto"/>
        <w:right w:val="none" w:sz="0" w:space="0" w:color="auto"/>
      </w:divBdr>
    </w:div>
    <w:div w:id="1838425300">
      <w:bodyDiv w:val="1"/>
      <w:marLeft w:val="0"/>
      <w:marRight w:val="0"/>
      <w:marTop w:val="0"/>
      <w:marBottom w:val="0"/>
      <w:divBdr>
        <w:top w:val="none" w:sz="0" w:space="0" w:color="auto"/>
        <w:left w:val="none" w:sz="0" w:space="0" w:color="auto"/>
        <w:bottom w:val="none" w:sz="0" w:space="0" w:color="auto"/>
        <w:right w:val="none" w:sz="0" w:space="0" w:color="auto"/>
      </w:divBdr>
    </w:div>
    <w:div w:id="1838568330">
      <w:bodyDiv w:val="1"/>
      <w:marLeft w:val="0"/>
      <w:marRight w:val="0"/>
      <w:marTop w:val="0"/>
      <w:marBottom w:val="0"/>
      <w:divBdr>
        <w:top w:val="none" w:sz="0" w:space="0" w:color="auto"/>
        <w:left w:val="none" w:sz="0" w:space="0" w:color="auto"/>
        <w:bottom w:val="none" w:sz="0" w:space="0" w:color="auto"/>
        <w:right w:val="none" w:sz="0" w:space="0" w:color="auto"/>
      </w:divBdr>
    </w:div>
    <w:div w:id="1838764595">
      <w:bodyDiv w:val="1"/>
      <w:marLeft w:val="0"/>
      <w:marRight w:val="0"/>
      <w:marTop w:val="0"/>
      <w:marBottom w:val="0"/>
      <w:divBdr>
        <w:top w:val="none" w:sz="0" w:space="0" w:color="auto"/>
        <w:left w:val="none" w:sz="0" w:space="0" w:color="auto"/>
        <w:bottom w:val="none" w:sz="0" w:space="0" w:color="auto"/>
        <w:right w:val="none" w:sz="0" w:space="0" w:color="auto"/>
      </w:divBdr>
    </w:div>
    <w:div w:id="1838837059">
      <w:bodyDiv w:val="1"/>
      <w:marLeft w:val="0"/>
      <w:marRight w:val="0"/>
      <w:marTop w:val="0"/>
      <w:marBottom w:val="0"/>
      <w:divBdr>
        <w:top w:val="none" w:sz="0" w:space="0" w:color="auto"/>
        <w:left w:val="none" w:sz="0" w:space="0" w:color="auto"/>
        <w:bottom w:val="none" w:sz="0" w:space="0" w:color="auto"/>
        <w:right w:val="none" w:sz="0" w:space="0" w:color="auto"/>
      </w:divBdr>
    </w:div>
    <w:div w:id="1838837273">
      <w:bodyDiv w:val="1"/>
      <w:marLeft w:val="0"/>
      <w:marRight w:val="0"/>
      <w:marTop w:val="0"/>
      <w:marBottom w:val="0"/>
      <w:divBdr>
        <w:top w:val="none" w:sz="0" w:space="0" w:color="auto"/>
        <w:left w:val="none" w:sz="0" w:space="0" w:color="auto"/>
        <w:bottom w:val="none" w:sz="0" w:space="0" w:color="auto"/>
        <w:right w:val="none" w:sz="0" w:space="0" w:color="auto"/>
      </w:divBdr>
    </w:div>
    <w:div w:id="1838886038">
      <w:bodyDiv w:val="1"/>
      <w:marLeft w:val="0"/>
      <w:marRight w:val="0"/>
      <w:marTop w:val="0"/>
      <w:marBottom w:val="0"/>
      <w:divBdr>
        <w:top w:val="none" w:sz="0" w:space="0" w:color="auto"/>
        <w:left w:val="none" w:sz="0" w:space="0" w:color="auto"/>
        <w:bottom w:val="none" w:sz="0" w:space="0" w:color="auto"/>
        <w:right w:val="none" w:sz="0" w:space="0" w:color="auto"/>
      </w:divBdr>
    </w:div>
    <w:div w:id="1838887111">
      <w:bodyDiv w:val="1"/>
      <w:marLeft w:val="0"/>
      <w:marRight w:val="0"/>
      <w:marTop w:val="0"/>
      <w:marBottom w:val="0"/>
      <w:divBdr>
        <w:top w:val="none" w:sz="0" w:space="0" w:color="auto"/>
        <w:left w:val="none" w:sz="0" w:space="0" w:color="auto"/>
        <w:bottom w:val="none" w:sz="0" w:space="0" w:color="auto"/>
        <w:right w:val="none" w:sz="0" w:space="0" w:color="auto"/>
      </w:divBdr>
    </w:div>
    <w:div w:id="1838955768">
      <w:bodyDiv w:val="1"/>
      <w:marLeft w:val="0"/>
      <w:marRight w:val="0"/>
      <w:marTop w:val="0"/>
      <w:marBottom w:val="0"/>
      <w:divBdr>
        <w:top w:val="none" w:sz="0" w:space="0" w:color="auto"/>
        <w:left w:val="none" w:sz="0" w:space="0" w:color="auto"/>
        <w:bottom w:val="none" w:sz="0" w:space="0" w:color="auto"/>
        <w:right w:val="none" w:sz="0" w:space="0" w:color="auto"/>
      </w:divBdr>
    </w:div>
    <w:div w:id="1838959254">
      <w:bodyDiv w:val="1"/>
      <w:marLeft w:val="0"/>
      <w:marRight w:val="0"/>
      <w:marTop w:val="0"/>
      <w:marBottom w:val="0"/>
      <w:divBdr>
        <w:top w:val="none" w:sz="0" w:space="0" w:color="auto"/>
        <w:left w:val="none" w:sz="0" w:space="0" w:color="auto"/>
        <w:bottom w:val="none" w:sz="0" w:space="0" w:color="auto"/>
        <w:right w:val="none" w:sz="0" w:space="0" w:color="auto"/>
      </w:divBdr>
    </w:div>
    <w:div w:id="1838962035">
      <w:bodyDiv w:val="1"/>
      <w:marLeft w:val="0"/>
      <w:marRight w:val="0"/>
      <w:marTop w:val="0"/>
      <w:marBottom w:val="0"/>
      <w:divBdr>
        <w:top w:val="none" w:sz="0" w:space="0" w:color="auto"/>
        <w:left w:val="none" w:sz="0" w:space="0" w:color="auto"/>
        <w:bottom w:val="none" w:sz="0" w:space="0" w:color="auto"/>
        <w:right w:val="none" w:sz="0" w:space="0" w:color="auto"/>
      </w:divBdr>
    </w:div>
    <w:div w:id="1839032649">
      <w:bodyDiv w:val="1"/>
      <w:marLeft w:val="0"/>
      <w:marRight w:val="0"/>
      <w:marTop w:val="0"/>
      <w:marBottom w:val="0"/>
      <w:divBdr>
        <w:top w:val="none" w:sz="0" w:space="0" w:color="auto"/>
        <w:left w:val="none" w:sz="0" w:space="0" w:color="auto"/>
        <w:bottom w:val="none" w:sz="0" w:space="0" w:color="auto"/>
        <w:right w:val="none" w:sz="0" w:space="0" w:color="auto"/>
      </w:divBdr>
    </w:div>
    <w:div w:id="1839080454">
      <w:bodyDiv w:val="1"/>
      <w:marLeft w:val="0"/>
      <w:marRight w:val="0"/>
      <w:marTop w:val="0"/>
      <w:marBottom w:val="0"/>
      <w:divBdr>
        <w:top w:val="none" w:sz="0" w:space="0" w:color="auto"/>
        <w:left w:val="none" w:sz="0" w:space="0" w:color="auto"/>
        <w:bottom w:val="none" w:sz="0" w:space="0" w:color="auto"/>
        <w:right w:val="none" w:sz="0" w:space="0" w:color="auto"/>
      </w:divBdr>
    </w:div>
    <w:div w:id="1839152107">
      <w:bodyDiv w:val="1"/>
      <w:marLeft w:val="0"/>
      <w:marRight w:val="0"/>
      <w:marTop w:val="0"/>
      <w:marBottom w:val="0"/>
      <w:divBdr>
        <w:top w:val="none" w:sz="0" w:space="0" w:color="auto"/>
        <w:left w:val="none" w:sz="0" w:space="0" w:color="auto"/>
        <w:bottom w:val="none" w:sz="0" w:space="0" w:color="auto"/>
        <w:right w:val="none" w:sz="0" w:space="0" w:color="auto"/>
      </w:divBdr>
    </w:div>
    <w:div w:id="1839154058">
      <w:bodyDiv w:val="1"/>
      <w:marLeft w:val="0"/>
      <w:marRight w:val="0"/>
      <w:marTop w:val="0"/>
      <w:marBottom w:val="0"/>
      <w:divBdr>
        <w:top w:val="none" w:sz="0" w:space="0" w:color="auto"/>
        <w:left w:val="none" w:sz="0" w:space="0" w:color="auto"/>
        <w:bottom w:val="none" w:sz="0" w:space="0" w:color="auto"/>
        <w:right w:val="none" w:sz="0" w:space="0" w:color="auto"/>
      </w:divBdr>
    </w:div>
    <w:div w:id="1839228249">
      <w:bodyDiv w:val="1"/>
      <w:marLeft w:val="0"/>
      <w:marRight w:val="0"/>
      <w:marTop w:val="0"/>
      <w:marBottom w:val="0"/>
      <w:divBdr>
        <w:top w:val="none" w:sz="0" w:space="0" w:color="auto"/>
        <w:left w:val="none" w:sz="0" w:space="0" w:color="auto"/>
        <w:bottom w:val="none" w:sz="0" w:space="0" w:color="auto"/>
        <w:right w:val="none" w:sz="0" w:space="0" w:color="auto"/>
      </w:divBdr>
    </w:div>
    <w:div w:id="1839270163">
      <w:bodyDiv w:val="1"/>
      <w:marLeft w:val="0"/>
      <w:marRight w:val="0"/>
      <w:marTop w:val="0"/>
      <w:marBottom w:val="0"/>
      <w:divBdr>
        <w:top w:val="none" w:sz="0" w:space="0" w:color="auto"/>
        <w:left w:val="none" w:sz="0" w:space="0" w:color="auto"/>
        <w:bottom w:val="none" w:sz="0" w:space="0" w:color="auto"/>
        <w:right w:val="none" w:sz="0" w:space="0" w:color="auto"/>
      </w:divBdr>
    </w:div>
    <w:div w:id="1839349458">
      <w:bodyDiv w:val="1"/>
      <w:marLeft w:val="0"/>
      <w:marRight w:val="0"/>
      <w:marTop w:val="0"/>
      <w:marBottom w:val="0"/>
      <w:divBdr>
        <w:top w:val="none" w:sz="0" w:space="0" w:color="auto"/>
        <w:left w:val="none" w:sz="0" w:space="0" w:color="auto"/>
        <w:bottom w:val="none" w:sz="0" w:space="0" w:color="auto"/>
        <w:right w:val="none" w:sz="0" w:space="0" w:color="auto"/>
      </w:divBdr>
    </w:div>
    <w:div w:id="1839615263">
      <w:bodyDiv w:val="1"/>
      <w:marLeft w:val="0"/>
      <w:marRight w:val="0"/>
      <w:marTop w:val="0"/>
      <w:marBottom w:val="0"/>
      <w:divBdr>
        <w:top w:val="none" w:sz="0" w:space="0" w:color="auto"/>
        <w:left w:val="none" w:sz="0" w:space="0" w:color="auto"/>
        <w:bottom w:val="none" w:sz="0" w:space="0" w:color="auto"/>
        <w:right w:val="none" w:sz="0" w:space="0" w:color="auto"/>
      </w:divBdr>
    </w:div>
    <w:div w:id="1839616123">
      <w:bodyDiv w:val="1"/>
      <w:marLeft w:val="0"/>
      <w:marRight w:val="0"/>
      <w:marTop w:val="0"/>
      <w:marBottom w:val="0"/>
      <w:divBdr>
        <w:top w:val="none" w:sz="0" w:space="0" w:color="auto"/>
        <w:left w:val="none" w:sz="0" w:space="0" w:color="auto"/>
        <w:bottom w:val="none" w:sz="0" w:space="0" w:color="auto"/>
        <w:right w:val="none" w:sz="0" w:space="0" w:color="auto"/>
      </w:divBdr>
    </w:div>
    <w:div w:id="1839805537">
      <w:bodyDiv w:val="1"/>
      <w:marLeft w:val="0"/>
      <w:marRight w:val="0"/>
      <w:marTop w:val="0"/>
      <w:marBottom w:val="0"/>
      <w:divBdr>
        <w:top w:val="none" w:sz="0" w:space="0" w:color="auto"/>
        <w:left w:val="none" w:sz="0" w:space="0" w:color="auto"/>
        <w:bottom w:val="none" w:sz="0" w:space="0" w:color="auto"/>
        <w:right w:val="none" w:sz="0" w:space="0" w:color="auto"/>
      </w:divBdr>
    </w:div>
    <w:div w:id="1839928799">
      <w:bodyDiv w:val="1"/>
      <w:marLeft w:val="0"/>
      <w:marRight w:val="0"/>
      <w:marTop w:val="0"/>
      <w:marBottom w:val="0"/>
      <w:divBdr>
        <w:top w:val="none" w:sz="0" w:space="0" w:color="auto"/>
        <w:left w:val="none" w:sz="0" w:space="0" w:color="auto"/>
        <w:bottom w:val="none" w:sz="0" w:space="0" w:color="auto"/>
        <w:right w:val="none" w:sz="0" w:space="0" w:color="auto"/>
      </w:divBdr>
    </w:div>
    <w:div w:id="1840121794">
      <w:bodyDiv w:val="1"/>
      <w:marLeft w:val="0"/>
      <w:marRight w:val="0"/>
      <w:marTop w:val="0"/>
      <w:marBottom w:val="0"/>
      <w:divBdr>
        <w:top w:val="none" w:sz="0" w:space="0" w:color="auto"/>
        <w:left w:val="none" w:sz="0" w:space="0" w:color="auto"/>
        <w:bottom w:val="none" w:sz="0" w:space="0" w:color="auto"/>
        <w:right w:val="none" w:sz="0" w:space="0" w:color="auto"/>
      </w:divBdr>
    </w:div>
    <w:div w:id="1840149985">
      <w:bodyDiv w:val="1"/>
      <w:marLeft w:val="0"/>
      <w:marRight w:val="0"/>
      <w:marTop w:val="0"/>
      <w:marBottom w:val="0"/>
      <w:divBdr>
        <w:top w:val="none" w:sz="0" w:space="0" w:color="auto"/>
        <w:left w:val="none" w:sz="0" w:space="0" w:color="auto"/>
        <w:bottom w:val="none" w:sz="0" w:space="0" w:color="auto"/>
        <w:right w:val="none" w:sz="0" w:space="0" w:color="auto"/>
      </w:divBdr>
    </w:div>
    <w:div w:id="1840151586">
      <w:bodyDiv w:val="1"/>
      <w:marLeft w:val="0"/>
      <w:marRight w:val="0"/>
      <w:marTop w:val="0"/>
      <w:marBottom w:val="0"/>
      <w:divBdr>
        <w:top w:val="none" w:sz="0" w:space="0" w:color="auto"/>
        <w:left w:val="none" w:sz="0" w:space="0" w:color="auto"/>
        <w:bottom w:val="none" w:sz="0" w:space="0" w:color="auto"/>
        <w:right w:val="none" w:sz="0" w:space="0" w:color="auto"/>
      </w:divBdr>
    </w:div>
    <w:div w:id="1840268691">
      <w:bodyDiv w:val="1"/>
      <w:marLeft w:val="0"/>
      <w:marRight w:val="0"/>
      <w:marTop w:val="0"/>
      <w:marBottom w:val="0"/>
      <w:divBdr>
        <w:top w:val="none" w:sz="0" w:space="0" w:color="auto"/>
        <w:left w:val="none" w:sz="0" w:space="0" w:color="auto"/>
        <w:bottom w:val="none" w:sz="0" w:space="0" w:color="auto"/>
        <w:right w:val="none" w:sz="0" w:space="0" w:color="auto"/>
      </w:divBdr>
    </w:div>
    <w:div w:id="1840269343">
      <w:bodyDiv w:val="1"/>
      <w:marLeft w:val="0"/>
      <w:marRight w:val="0"/>
      <w:marTop w:val="0"/>
      <w:marBottom w:val="0"/>
      <w:divBdr>
        <w:top w:val="none" w:sz="0" w:space="0" w:color="auto"/>
        <w:left w:val="none" w:sz="0" w:space="0" w:color="auto"/>
        <w:bottom w:val="none" w:sz="0" w:space="0" w:color="auto"/>
        <w:right w:val="none" w:sz="0" w:space="0" w:color="auto"/>
      </w:divBdr>
    </w:div>
    <w:div w:id="1840270436">
      <w:bodyDiv w:val="1"/>
      <w:marLeft w:val="0"/>
      <w:marRight w:val="0"/>
      <w:marTop w:val="0"/>
      <w:marBottom w:val="0"/>
      <w:divBdr>
        <w:top w:val="none" w:sz="0" w:space="0" w:color="auto"/>
        <w:left w:val="none" w:sz="0" w:space="0" w:color="auto"/>
        <w:bottom w:val="none" w:sz="0" w:space="0" w:color="auto"/>
        <w:right w:val="none" w:sz="0" w:space="0" w:color="auto"/>
      </w:divBdr>
    </w:div>
    <w:div w:id="1840316742">
      <w:bodyDiv w:val="1"/>
      <w:marLeft w:val="0"/>
      <w:marRight w:val="0"/>
      <w:marTop w:val="0"/>
      <w:marBottom w:val="0"/>
      <w:divBdr>
        <w:top w:val="none" w:sz="0" w:space="0" w:color="auto"/>
        <w:left w:val="none" w:sz="0" w:space="0" w:color="auto"/>
        <w:bottom w:val="none" w:sz="0" w:space="0" w:color="auto"/>
        <w:right w:val="none" w:sz="0" w:space="0" w:color="auto"/>
      </w:divBdr>
    </w:div>
    <w:div w:id="1840340342">
      <w:bodyDiv w:val="1"/>
      <w:marLeft w:val="0"/>
      <w:marRight w:val="0"/>
      <w:marTop w:val="0"/>
      <w:marBottom w:val="0"/>
      <w:divBdr>
        <w:top w:val="none" w:sz="0" w:space="0" w:color="auto"/>
        <w:left w:val="none" w:sz="0" w:space="0" w:color="auto"/>
        <w:bottom w:val="none" w:sz="0" w:space="0" w:color="auto"/>
        <w:right w:val="none" w:sz="0" w:space="0" w:color="auto"/>
      </w:divBdr>
    </w:div>
    <w:div w:id="1840344652">
      <w:bodyDiv w:val="1"/>
      <w:marLeft w:val="0"/>
      <w:marRight w:val="0"/>
      <w:marTop w:val="0"/>
      <w:marBottom w:val="0"/>
      <w:divBdr>
        <w:top w:val="none" w:sz="0" w:space="0" w:color="auto"/>
        <w:left w:val="none" w:sz="0" w:space="0" w:color="auto"/>
        <w:bottom w:val="none" w:sz="0" w:space="0" w:color="auto"/>
        <w:right w:val="none" w:sz="0" w:space="0" w:color="auto"/>
      </w:divBdr>
    </w:div>
    <w:div w:id="1840345926">
      <w:bodyDiv w:val="1"/>
      <w:marLeft w:val="0"/>
      <w:marRight w:val="0"/>
      <w:marTop w:val="0"/>
      <w:marBottom w:val="0"/>
      <w:divBdr>
        <w:top w:val="none" w:sz="0" w:space="0" w:color="auto"/>
        <w:left w:val="none" w:sz="0" w:space="0" w:color="auto"/>
        <w:bottom w:val="none" w:sz="0" w:space="0" w:color="auto"/>
        <w:right w:val="none" w:sz="0" w:space="0" w:color="auto"/>
      </w:divBdr>
    </w:div>
    <w:div w:id="1840348353">
      <w:bodyDiv w:val="1"/>
      <w:marLeft w:val="0"/>
      <w:marRight w:val="0"/>
      <w:marTop w:val="0"/>
      <w:marBottom w:val="0"/>
      <w:divBdr>
        <w:top w:val="none" w:sz="0" w:space="0" w:color="auto"/>
        <w:left w:val="none" w:sz="0" w:space="0" w:color="auto"/>
        <w:bottom w:val="none" w:sz="0" w:space="0" w:color="auto"/>
        <w:right w:val="none" w:sz="0" w:space="0" w:color="auto"/>
      </w:divBdr>
    </w:div>
    <w:div w:id="1840385243">
      <w:bodyDiv w:val="1"/>
      <w:marLeft w:val="0"/>
      <w:marRight w:val="0"/>
      <w:marTop w:val="0"/>
      <w:marBottom w:val="0"/>
      <w:divBdr>
        <w:top w:val="none" w:sz="0" w:space="0" w:color="auto"/>
        <w:left w:val="none" w:sz="0" w:space="0" w:color="auto"/>
        <w:bottom w:val="none" w:sz="0" w:space="0" w:color="auto"/>
        <w:right w:val="none" w:sz="0" w:space="0" w:color="auto"/>
      </w:divBdr>
    </w:div>
    <w:div w:id="1840610337">
      <w:bodyDiv w:val="1"/>
      <w:marLeft w:val="0"/>
      <w:marRight w:val="0"/>
      <w:marTop w:val="0"/>
      <w:marBottom w:val="0"/>
      <w:divBdr>
        <w:top w:val="none" w:sz="0" w:space="0" w:color="auto"/>
        <w:left w:val="none" w:sz="0" w:space="0" w:color="auto"/>
        <w:bottom w:val="none" w:sz="0" w:space="0" w:color="auto"/>
        <w:right w:val="none" w:sz="0" w:space="0" w:color="auto"/>
      </w:divBdr>
    </w:div>
    <w:div w:id="1840659784">
      <w:bodyDiv w:val="1"/>
      <w:marLeft w:val="0"/>
      <w:marRight w:val="0"/>
      <w:marTop w:val="0"/>
      <w:marBottom w:val="0"/>
      <w:divBdr>
        <w:top w:val="none" w:sz="0" w:space="0" w:color="auto"/>
        <w:left w:val="none" w:sz="0" w:space="0" w:color="auto"/>
        <w:bottom w:val="none" w:sz="0" w:space="0" w:color="auto"/>
        <w:right w:val="none" w:sz="0" w:space="0" w:color="auto"/>
      </w:divBdr>
    </w:div>
    <w:div w:id="1840735639">
      <w:bodyDiv w:val="1"/>
      <w:marLeft w:val="0"/>
      <w:marRight w:val="0"/>
      <w:marTop w:val="0"/>
      <w:marBottom w:val="0"/>
      <w:divBdr>
        <w:top w:val="none" w:sz="0" w:space="0" w:color="auto"/>
        <w:left w:val="none" w:sz="0" w:space="0" w:color="auto"/>
        <w:bottom w:val="none" w:sz="0" w:space="0" w:color="auto"/>
        <w:right w:val="none" w:sz="0" w:space="0" w:color="auto"/>
      </w:divBdr>
    </w:div>
    <w:div w:id="1840804288">
      <w:bodyDiv w:val="1"/>
      <w:marLeft w:val="0"/>
      <w:marRight w:val="0"/>
      <w:marTop w:val="0"/>
      <w:marBottom w:val="0"/>
      <w:divBdr>
        <w:top w:val="none" w:sz="0" w:space="0" w:color="auto"/>
        <w:left w:val="none" w:sz="0" w:space="0" w:color="auto"/>
        <w:bottom w:val="none" w:sz="0" w:space="0" w:color="auto"/>
        <w:right w:val="none" w:sz="0" w:space="0" w:color="auto"/>
      </w:divBdr>
    </w:div>
    <w:div w:id="1840851287">
      <w:bodyDiv w:val="1"/>
      <w:marLeft w:val="0"/>
      <w:marRight w:val="0"/>
      <w:marTop w:val="0"/>
      <w:marBottom w:val="0"/>
      <w:divBdr>
        <w:top w:val="none" w:sz="0" w:space="0" w:color="auto"/>
        <w:left w:val="none" w:sz="0" w:space="0" w:color="auto"/>
        <w:bottom w:val="none" w:sz="0" w:space="0" w:color="auto"/>
        <w:right w:val="none" w:sz="0" w:space="0" w:color="auto"/>
      </w:divBdr>
    </w:div>
    <w:div w:id="1840921327">
      <w:bodyDiv w:val="1"/>
      <w:marLeft w:val="0"/>
      <w:marRight w:val="0"/>
      <w:marTop w:val="0"/>
      <w:marBottom w:val="0"/>
      <w:divBdr>
        <w:top w:val="none" w:sz="0" w:space="0" w:color="auto"/>
        <w:left w:val="none" w:sz="0" w:space="0" w:color="auto"/>
        <w:bottom w:val="none" w:sz="0" w:space="0" w:color="auto"/>
        <w:right w:val="none" w:sz="0" w:space="0" w:color="auto"/>
      </w:divBdr>
    </w:div>
    <w:div w:id="1841001057">
      <w:bodyDiv w:val="1"/>
      <w:marLeft w:val="0"/>
      <w:marRight w:val="0"/>
      <w:marTop w:val="0"/>
      <w:marBottom w:val="0"/>
      <w:divBdr>
        <w:top w:val="none" w:sz="0" w:space="0" w:color="auto"/>
        <w:left w:val="none" w:sz="0" w:space="0" w:color="auto"/>
        <w:bottom w:val="none" w:sz="0" w:space="0" w:color="auto"/>
        <w:right w:val="none" w:sz="0" w:space="0" w:color="auto"/>
      </w:divBdr>
    </w:div>
    <w:div w:id="1841003601">
      <w:bodyDiv w:val="1"/>
      <w:marLeft w:val="0"/>
      <w:marRight w:val="0"/>
      <w:marTop w:val="0"/>
      <w:marBottom w:val="0"/>
      <w:divBdr>
        <w:top w:val="none" w:sz="0" w:space="0" w:color="auto"/>
        <w:left w:val="none" w:sz="0" w:space="0" w:color="auto"/>
        <w:bottom w:val="none" w:sz="0" w:space="0" w:color="auto"/>
        <w:right w:val="none" w:sz="0" w:space="0" w:color="auto"/>
      </w:divBdr>
    </w:div>
    <w:div w:id="1841037668">
      <w:bodyDiv w:val="1"/>
      <w:marLeft w:val="0"/>
      <w:marRight w:val="0"/>
      <w:marTop w:val="0"/>
      <w:marBottom w:val="0"/>
      <w:divBdr>
        <w:top w:val="none" w:sz="0" w:space="0" w:color="auto"/>
        <w:left w:val="none" w:sz="0" w:space="0" w:color="auto"/>
        <w:bottom w:val="none" w:sz="0" w:space="0" w:color="auto"/>
        <w:right w:val="none" w:sz="0" w:space="0" w:color="auto"/>
      </w:divBdr>
    </w:div>
    <w:div w:id="1841117858">
      <w:bodyDiv w:val="1"/>
      <w:marLeft w:val="0"/>
      <w:marRight w:val="0"/>
      <w:marTop w:val="0"/>
      <w:marBottom w:val="0"/>
      <w:divBdr>
        <w:top w:val="none" w:sz="0" w:space="0" w:color="auto"/>
        <w:left w:val="none" w:sz="0" w:space="0" w:color="auto"/>
        <w:bottom w:val="none" w:sz="0" w:space="0" w:color="auto"/>
        <w:right w:val="none" w:sz="0" w:space="0" w:color="auto"/>
      </w:divBdr>
    </w:div>
    <w:div w:id="1841265800">
      <w:bodyDiv w:val="1"/>
      <w:marLeft w:val="0"/>
      <w:marRight w:val="0"/>
      <w:marTop w:val="0"/>
      <w:marBottom w:val="0"/>
      <w:divBdr>
        <w:top w:val="none" w:sz="0" w:space="0" w:color="auto"/>
        <w:left w:val="none" w:sz="0" w:space="0" w:color="auto"/>
        <w:bottom w:val="none" w:sz="0" w:space="0" w:color="auto"/>
        <w:right w:val="none" w:sz="0" w:space="0" w:color="auto"/>
      </w:divBdr>
    </w:div>
    <w:div w:id="1841309619">
      <w:bodyDiv w:val="1"/>
      <w:marLeft w:val="0"/>
      <w:marRight w:val="0"/>
      <w:marTop w:val="0"/>
      <w:marBottom w:val="0"/>
      <w:divBdr>
        <w:top w:val="none" w:sz="0" w:space="0" w:color="auto"/>
        <w:left w:val="none" w:sz="0" w:space="0" w:color="auto"/>
        <w:bottom w:val="none" w:sz="0" w:space="0" w:color="auto"/>
        <w:right w:val="none" w:sz="0" w:space="0" w:color="auto"/>
      </w:divBdr>
    </w:div>
    <w:div w:id="1841386110">
      <w:bodyDiv w:val="1"/>
      <w:marLeft w:val="0"/>
      <w:marRight w:val="0"/>
      <w:marTop w:val="0"/>
      <w:marBottom w:val="0"/>
      <w:divBdr>
        <w:top w:val="none" w:sz="0" w:space="0" w:color="auto"/>
        <w:left w:val="none" w:sz="0" w:space="0" w:color="auto"/>
        <w:bottom w:val="none" w:sz="0" w:space="0" w:color="auto"/>
        <w:right w:val="none" w:sz="0" w:space="0" w:color="auto"/>
      </w:divBdr>
    </w:div>
    <w:div w:id="1841458572">
      <w:bodyDiv w:val="1"/>
      <w:marLeft w:val="0"/>
      <w:marRight w:val="0"/>
      <w:marTop w:val="0"/>
      <w:marBottom w:val="0"/>
      <w:divBdr>
        <w:top w:val="none" w:sz="0" w:space="0" w:color="auto"/>
        <w:left w:val="none" w:sz="0" w:space="0" w:color="auto"/>
        <w:bottom w:val="none" w:sz="0" w:space="0" w:color="auto"/>
        <w:right w:val="none" w:sz="0" w:space="0" w:color="auto"/>
      </w:divBdr>
    </w:div>
    <w:div w:id="1841502136">
      <w:bodyDiv w:val="1"/>
      <w:marLeft w:val="0"/>
      <w:marRight w:val="0"/>
      <w:marTop w:val="0"/>
      <w:marBottom w:val="0"/>
      <w:divBdr>
        <w:top w:val="none" w:sz="0" w:space="0" w:color="auto"/>
        <w:left w:val="none" w:sz="0" w:space="0" w:color="auto"/>
        <w:bottom w:val="none" w:sz="0" w:space="0" w:color="auto"/>
        <w:right w:val="none" w:sz="0" w:space="0" w:color="auto"/>
      </w:divBdr>
    </w:div>
    <w:div w:id="1841847593">
      <w:bodyDiv w:val="1"/>
      <w:marLeft w:val="0"/>
      <w:marRight w:val="0"/>
      <w:marTop w:val="0"/>
      <w:marBottom w:val="0"/>
      <w:divBdr>
        <w:top w:val="none" w:sz="0" w:space="0" w:color="auto"/>
        <w:left w:val="none" w:sz="0" w:space="0" w:color="auto"/>
        <w:bottom w:val="none" w:sz="0" w:space="0" w:color="auto"/>
        <w:right w:val="none" w:sz="0" w:space="0" w:color="auto"/>
      </w:divBdr>
    </w:div>
    <w:div w:id="1841848561">
      <w:bodyDiv w:val="1"/>
      <w:marLeft w:val="0"/>
      <w:marRight w:val="0"/>
      <w:marTop w:val="0"/>
      <w:marBottom w:val="0"/>
      <w:divBdr>
        <w:top w:val="none" w:sz="0" w:space="0" w:color="auto"/>
        <w:left w:val="none" w:sz="0" w:space="0" w:color="auto"/>
        <w:bottom w:val="none" w:sz="0" w:space="0" w:color="auto"/>
        <w:right w:val="none" w:sz="0" w:space="0" w:color="auto"/>
      </w:divBdr>
    </w:div>
    <w:div w:id="1842041675">
      <w:bodyDiv w:val="1"/>
      <w:marLeft w:val="0"/>
      <w:marRight w:val="0"/>
      <w:marTop w:val="0"/>
      <w:marBottom w:val="0"/>
      <w:divBdr>
        <w:top w:val="none" w:sz="0" w:space="0" w:color="auto"/>
        <w:left w:val="none" w:sz="0" w:space="0" w:color="auto"/>
        <w:bottom w:val="none" w:sz="0" w:space="0" w:color="auto"/>
        <w:right w:val="none" w:sz="0" w:space="0" w:color="auto"/>
      </w:divBdr>
    </w:div>
    <w:div w:id="1842041729">
      <w:bodyDiv w:val="1"/>
      <w:marLeft w:val="0"/>
      <w:marRight w:val="0"/>
      <w:marTop w:val="0"/>
      <w:marBottom w:val="0"/>
      <w:divBdr>
        <w:top w:val="none" w:sz="0" w:space="0" w:color="auto"/>
        <w:left w:val="none" w:sz="0" w:space="0" w:color="auto"/>
        <w:bottom w:val="none" w:sz="0" w:space="0" w:color="auto"/>
        <w:right w:val="none" w:sz="0" w:space="0" w:color="auto"/>
      </w:divBdr>
    </w:div>
    <w:div w:id="1842045852">
      <w:bodyDiv w:val="1"/>
      <w:marLeft w:val="0"/>
      <w:marRight w:val="0"/>
      <w:marTop w:val="0"/>
      <w:marBottom w:val="0"/>
      <w:divBdr>
        <w:top w:val="none" w:sz="0" w:space="0" w:color="auto"/>
        <w:left w:val="none" w:sz="0" w:space="0" w:color="auto"/>
        <w:bottom w:val="none" w:sz="0" w:space="0" w:color="auto"/>
        <w:right w:val="none" w:sz="0" w:space="0" w:color="auto"/>
      </w:divBdr>
    </w:div>
    <w:div w:id="1842087303">
      <w:bodyDiv w:val="1"/>
      <w:marLeft w:val="0"/>
      <w:marRight w:val="0"/>
      <w:marTop w:val="0"/>
      <w:marBottom w:val="0"/>
      <w:divBdr>
        <w:top w:val="none" w:sz="0" w:space="0" w:color="auto"/>
        <w:left w:val="none" w:sz="0" w:space="0" w:color="auto"/>
        <w:bottom w:val="none" w:sz="0" w:space="0" w:color="auto"/>
        <w:right w:val="none" w:sz="0" w:space="0" w:color="auto"/>
      </w:divBdr>
    </w:div>
    <w:div w:id="1842308996">
      <w:bodyDiv w:val="1"/>
      <w:marLeft w:val="0"/>
      <w:marRight w:val="0"/>
      <w:marTop w:val="0"/>
      <w:marBottom w:val="0"/>
      <w:divBdr>
        <w:top w:val="none" w:sz="0" w:space="0" w:color="auto"/>
        <w:left w:val="none" w:sz="0" w:space="0" w:color="auto"/>
        <w:bottom w:val="none" w:sz="0" w:space="0" w:color="auto"/>
        <w:right w:val="none" w:sz="0" w:space="0" w:color="auto"/>
      </w:divBdr>
    </w:div>
    <w:div w:id="1842355171">
      <w:bodyDiv w:val="1"/>
      <w:marLeft w:val="0"/>
      <w:marRight w:val="0"/>
      <w:marTop w:val="0"/>
      <w:marBottom w:val="0"/>
      <w:divBdr>
        <w:top w:val="none" w:sz="0" w:space="0" w:color="auto"/>
        <w:left w:val="none" w:sz="0" w:space="0" w:color="auto"/>
        <w:bottom w:val="none" w:sz="0" w:space="0" w:color="auto"/>
        <w:right w:val="none" w:sz="0" w:space="0" w:color="auto"/>
      </w:divBdr>
    </w:div>
    <w:div w:id="1842616842">
      <w:bodyDiv w:val="1"/>
      <w:marLeft w:val="0"/>
      <w:marRight w:val="0"/>
      <w:marTop w:val="0"/>
      <w:marBottom w:val="0"/>
      <w:divBdr>
        <w:top w:val="none" w:sz="0" w:space="0" w:color="auto"/>
        <w:left w:val="none" w:sz="0" w:space="0" w:color="auto"/>
        <w:bottom w:val="none" w:sz="0" w:space="0" w:color="auto"/>
        <w:right w:val="none" w:sz="0" w:space="0" w:color="auto"/>
      </w:divBdr>
    </w:div>
    <w:div w:id="1842743822">
      <w:bodyDiv w:val="1"/>
      <w:marLeft w:val="0"/>
      <w:marRight w:val="0"/>
      <w:marTop w:val="0"/>
      <w:marBottom w:val="0"/>
      <w:divBdr>
        <w:top w:val="none" w:sz="0" w:space="0" w:color="auto"/>
        <w:left w:val="none" w:sz="0" w:space="0" w:color="auto"/>
        <w:bottom w:val="none" w:sz="0" w:space="0" w:color="auto"/>
        <w:right w:val="none" w:sz="0" w:space="0" w:color="auto"/>
      </w:divBdr>
    </w:div>
    <w:div w:id="1842811298">
      <w:bodyDiv w:val="1"/>
      <w:marLeft w:val="0"/>
      <w:marRight w:val="0"/>
      <w:marTop w:val="0"/>
      <w:marBottom w:val="0"/>
      <w:divBdr>
        <w:top w:val="none" w:sz="0" w:space="0" w:color="auto"/>
        <w:left w:val="none" w:sz="0" w:space="0" w:color="auto"/>
        <w:bottom w:val="none" w:sz="0" w:space="0" w:color="auto"/>
        <w:right w:val="none" w:sz="0" w:space="0" w:color="auto"/>
      </w:divBdr>
    </w:div>
    <w:div w:id="1842817309">
      <w:bodyDiv w:val="1"/>
      <w:marLeft w:val="0"/>
      <w:marRight w:val="0"/>
      <w:marTop w:val="0"/>
      <w:marBottom w:val="0"/>
      <w:divBdr>
        <w:top w:val="none" w:sz="0" w:space="0" w:color="auto"/>
        <w:left w:val="none" w:sz="0" w:space="0" w:color="auto"/>
        <w:bottom w:val="none" w:sz="0" w:space="0" w:color="auto"/>
        <w:right w:val="none" w:sz="0" w:space="0" w:color="auto"/>
      </w:divBdr>
    </w:div>
    <w:div w:id="1842962161">
      <w:bodyDiv w:val="1"/>
      <w:marLeft w:val="0"/>
      <w:marRight w:val="0"/>
      <w:marTop w:val="0"/>
      <w:marBottom w:val="0"/>
      <w:divBdr>
        <w:top w:val="none" w:sz="0" w:space="0" w:color="auto"/>
        <w:left w:val="none" w:sz="0" w:space="0" w:color="auto"/>
        <w:bottom w:val="none" w:sz="0" w:space="0" w:color="auto"/>
        <w:right w:val="none" w:sz="0" w:space="0" w:color="auto"/>
      </w:divBdr>
    </w:div>
    <w:div w:id="1843003591">
      <w:bodyDiv w:val="1"/>
      <w:marLeft w:val="0"/>
      <w:marRight w:val="0"/>
      <w:marTop w:val="0"/>
      <w:marBottom w:val="0"/>
      <w:divBdr>
        <w:top w:val="none" w:sz="0" w:space="0" w:color="auto"/>
        <w:left w:val="none" w:sz="0" w:space="0" w:color="auto"/>
        <w:bottom w:val="none" w:sz="0" w:space="0" w:color="auto"/>
        <w:right w:val="none" w:sz="0" w:space="0" w:color="auto"/>
      </w:divBdr>
    </w:div>
    <w:div w:id="1843155752">
      <w:bodyDiv w:val="1"/>
      <w:marLeft w:val="0"/>
      <w:marRight w:val="0"/>
      <w:marTop w:val="0"/>
      <w:marBottom w:val="0"/>
      <w:divBdr>
        <w:top w:val="none" w:sz="0" w:space="0" w:color="auto"/>
        <w:left w:val="none" w:sz="0" w:space="0" w:color="auto"/>
        <w:bottom w:val="none" w:sz="0" w:space="0" w:color="auto"/>
        <w:right w:val="none" w:sz="0" w:space="0" w:color="auto"/>
      </w:divBdr>
    </w:div>
    <w:div w:id="1843349180">
      <w:bodyDiv w:val="1"/>
      <w:marLeft w:val="0"/>
      <w:marRight w:val="0"/>
      <w:marTop w:val="0"/>
      <w:marBottom w:val="0"/>
      <w:divBdr>
        <w:top w:val="none" w:sz="0" w:space="0" w:color="auto"/>
        <w:left w:val="none" w:sz="0" w:space="0" w:color="auto"/>
        <w:bottom w:val="none" w:sz="0" w:space="0" w:color="auto"/>
        <w:right w:val="none" w:sz="0" w:space="0" w:color="auto"/>
      </w:divBdr>
    </w:div>
    <w:div w:id="1843423938">
      <w:bodyDiv w:val="1"/>
      <w:marLeft w:val="0"/>
      <w:marRight w:val="0"/>
      <w:marTop w:val="0"/>
      <w:marBottom w:val="0"/>
      <w:divBdr>
        <w:top w:val="none" w:sz="0" w:space="0" w:color="auto"/>
        <w:left w:val="none" w:sz="0" w:space="0" w:color="auto"/>
        <w:bottom w:val="none" w:sz="0" w:space="0" w:color="auto"/>
        <w:right w:val="none" w:sz="0" w:space="0" w:color="auto"/>
      </w:divBdr>
    </w:div>
    <w:div w:id="1843470194">
      <w:bodyDiv w:val="1"/>
      <w:marLeft w:val="0"/>
      <w:marRight w:val="0"/>
      <w:marTop w:val="0"/>
      <w:marBottom w:val="0"/>
      <w:divBdr>
        <w:top w:val="none" w:sz="0" w:space="0" w:color="auto"/>
        <w:left w:val="none" w:sz="0" w:space="0" w:color="auto"/>
        <w:bottom w:val="none" w:sz="0" w:space="0" w:color="auto"/>
        <w:right w:val="none" w:sz="0" w:space="0" w:color="auto"/>
      </w:divBdr>
    </w:div>
    <w:div w:id="1843470857">
      <w:bodyDiv w:val="1"/>
      <w:marLeft w:val="0"/>
      <w:marRight w:val="0"/>
      <w:marTop w:val="0"/>
      <w:marBottom w:val="0"/>
      <w:divBdr>
        <w:top w:val="none" w:sz="0" w:space="0" w:color="auto"/>
        <w:left w:val="none" w:sz="0" w:space="0" w:color="auto"/>
        <w:bottom w:val="none" w:sz="0" w:space="0" w:color="auto"/>
        <w:right w:val="none" w:sz="0" w:space="0" w:color="auto"/>
      </w:divBdr>
    </w:div>
    <w:div w:id="1843620795">
      <w:bodyDiv w:val="1"/>
      <w:marLeft w:val="0"/>
      <w:marRight w:val="0"/>
      <w:marTop w:val="0"/>
      <w:marBottom w:val="0"/>
      <w:divBdr>
        <w:top w:val="none" w:sz="0" w:space="0" w:color="auto"/>
        <w:left w:val="none" w:sz="0" w:space="0" w:color="auto"/>
        <w:bottom w:val="none" w:sz="0" w:space="0" w:color="auto"/>
        <w:right w:val="none" w:sz="0" w:space="0" w:color="auto"/>
      </w:divBdr>
    </w:div>
    <w:div w:id="1843813497">
      <w:bodyDiv w:val="1"/>
      <w:marLeft w:val="0"/>
      <w:marRight w:val="0"/>
      <w:marTop w:val="0"/>
      <w:marBottom w:val="0"/>
      <w:divBdr>
        <w:top w:val="none" w:sz="0" w:space="0" w:color="auto"/>
        <w:left w:val="none" w:sz="0" w:space="0" w:color="auto"/>
        <w:bottom w:val="none" w:sz="0" w:space="0" w:color="auto"/>
        <w:right w:val="none" w:sz="0" w:space="0" w:color="auto"/>
      </w:divBdr>
    </w:div>
    <w:div w:id="1843928116">
      <w:bodyDiv w:val="1"/>
      <w:marLeft w:val="0"/>
      <w:marRight w:val="0"/>
      <w:marTop w:val="0"/>
      <w:marBottom w:val="0"/>
      <w:divBdr>
        <w:top w:val="none" w:sz="0" w:space="0" w:color="auto"/>
        <w:left w:val="none" w:sz="0" w:space="0" w:color="auto"/>
        <w:bottom w:val="none" w:sz="0" w:space="0" w:color="auto"/>
        <w:right w:val="none" w:sz="0" w:space="0" w:color="auto"/>
      </w:divBdr>
    </w:div>
    <w:div w:id="1843936133">
      <w:bodyDiv w:val="1"/>
      <w:marLeft w:val="0"/>
      <w:marRight w:val="0"/>
      <w:marTop w:val="0"/>
      <w:marBottom w:val="0"/>
      <w:divBdr>
        <w:top w:val="none" w:sz="0" w:space="0" w:color="auto"/>
        <w:left w:val="none" w:sz="0" w:space="0" w:color="auto"/>
        <w:bottom w:val="none" w:sz="0" w:space="0" w:color="auto"/>
        <w:right w:val="none" w:sz="0" w:space="0" w:color="auto"/>
      </w:divBdr>
    </w:div>
    <w:div w:id="1844083332">
      <w:bodyDiv w:val="1"/>
      <w:marLeft w:val="0"/>
      <w:marRight w:val="0"/>
      <w:marTop w:val="0"/>
      <w:marBottom w:val="0"/>
      <w:divBdr>
        <w:top w:val="none" w:sz="0" w:space="0" w:color="auto"/>
        <w:left w:val="none" w:sz="0" w:space="0" w:color="auto"/>
        <w:bottom w:val="none" w:sz="0" w:space="0" w:color="auto"/>
        <w:right w:val="none" w:sz="0" w:space="0" w:color="auto"/>
      </w:divBdr>
    </w:div>
    <w:div w:id="1844196086">
      <w:bodyDiv w:val="1"/>
      <w:marLeft w:val="0"/>
      <w:marRight w:val="0"/>
      <w:marTop w:val="0"/>
      <w:marBottom w:val="0"/>
      <w:divBdr>
        <w:top w:val="none" w:sz="0" w:space="0" w:color="auto"/>
        <w:left w:val="none" w:sz="0" w:space="0" w:color="auto"/>
        <w:bottom w:val="none" w:sz="0" w:space="0" w:color="auto"/>
        <w:right w:val="none" w:sz="0" w:space="0" w:color="auto"/>
      </w:divBdr>
    </w:div>
    <w:div w:id="1844273569">
      <w:bodyDiv w:val="1"/>
      <w:marLeft w:val="0"/>
      <w:marRight w:val="0"/>
      <w:marTop w:val="0"/>
      <w:marBottom w:val="0"/>
      <w:divBdr>
        <w:top w:val="none" w:sz="0" w:space="0" w:color="auto"/>
        <w:left w:val="none" w:sz="0" w:space="0" w:color="auto"/>
        <w:bottom w:val="none" w:sz="0" w:space="0" w:color="auto"/>
        <w:right w:val="none" w:sz="0" w:space="0" w:color="auto"/>
      </w:divBdr>
    </w:div>
    <w:div w:id="1844346764">
      <w:bodyDiv w:val="1"/>
      <w:marLeft w:val="0"/>
      <w:marRight w:val="0"/>
      <w:marTop w:val="0"/>
      <w:marBottom w:val="0"/>
      <w:divBdr>
        <w:top w:val="none" w:sz="0" w:space="0" w:color="auto"/>
        <w:left w:val="none" w:sz="0" w:space="0" w:color="auto"/>
        <w:bottom w:val="none" w:sz="0" w:space="0" w:color="auto"/>
        <w:right w:val="none" w:sz="0" w:space="0" w:color="auto"/>
      </w:divBdr>
    </w:div>
    <w:div w:id="1844397357">
      <w:bodyDiv w:val="1"/>
      <w:marLeft w:val="0"/>
      <w:marRight w:val="0"/>
      <w:marTop w:val="0"/>
      <w:marBottom w:val="0"/>
      <w:divBdr>
        <w:top w:val="none" w:sz="0" w:space="0" w:color="auto"/>
        <w:left w:val="none" w:sz="0" w:space="0" w:color="auto"/>
        <w:bottom w:val="none" w:sz="0" w:space="0" w:color="auto"/>
        <w:right w:val="none" w:sz="0" w:space="0" w:color="auto"/>
      </w:divBdr>
    </w:div>
    <w:div w:id="1844513362">
      <w:bodyDiv w:val="1"/>
      <w:marLeft w:val="0"/>
      <w:marRight w:val="0"/>
      <w:marTop w:val="0"/>
      <w:marBottom w:val="0"/>
      <w:divBdr>
        <w:top w:val="none" w:sz="0" w:space="0" w:color="auto"/>
        <w:left w:val="none" w:sz="0" w:space="0" w:color="auto"/>
        <w:bottom w:val="none" w:sz="0" w:space="0" w:color="auto"/>
        <w:right w:val="none" w:sz="0" w:space="0" w:color="auto"/>
      </w:divBdr>
    </w:div>
    <w:div w:id="1844665361">
      <w:bodyDiv w:val="1"/>
      <w:marLeft w:val="0"/>
      <w:marRight w:val="0"/>
      <w:marTop w:val="0"/>
      <w:marBottom w:val="0"/>
      <w:divBdr>
        <w:top w:val="none" w:sz="0" w:space="0" w:color="auto"/>
        <w:left w:val="none" w:sz="0" w:space="0" w:color="auto"/>
        <w:bottom w:val="none" w:sz="0" w:space="0" w:color="auto"/>
        <w:right w:val="none" w:sz="0" w:space="0" w:color="auto"/>
      </w:divBdr>
    </w:div>
    <w:div w:id="1844776806">
      <w:bodyDiv w:val="1"/>
      <w:marLeft w:val="0"/>
      <w:marRight w:val="0"/>
      <w:marTop w:val="0"/>
      <w:marBottom w:val="0"/>
      <w:divBdr>
        <w:top w:val="none" w:sz="0" w:space="0" w:color="auto"/>
        <w:left w:val="none" w:sz="0" w:space="0" w:color="auto"/>
        <w:bottom w:val="none" w:sz="0" w:space="0" w:color="auto"/>
        <w:right w:val="none" w:sz="0" w:space="0" w:color="auto"/>
      </w:divBdr>
    </w:div>
    <w:div w:id="1844856027">
      <w:bodyDiv w:val="1"/>
      <w:marLeft w:val="0"/>
      <w:marRight w:val="0"/>
      <w:marTop w:val="0"/>
      <w:marBottom w:val="0"/>
      <w:divBdr>
        <w:top w:val="none" w:sz="0" w:space="0" w:color="auto"/>
        <w:left w:val="none" w:sz="0" w:space="0" w:color="auto"/>
        <w:bottom w:val="none" w:sz="0" w:space="0" w:color="auto"/>
        <w:right w:val="none" w:sz="0" w:space="0" w:color="auto"/>
      </w:divBdr>
    </w:div>
    <w:div w:id="1844970898">
      <w:bodyDiv w:val="1"/>
      <w:marLeft w:val="0"/>
      <w:marRight w:val="0"/>
      <w:marTop w:val="0"/>
      <w:marBottom w:val="0"/>
      <w:divBdr>
        <w:top w:val="none" w:sz="0" w:space="0" w:color="auto"/>
        <w:left w:val="none" w:sz="0" w:space="0" w:color="auto"/>
        <w:bottom w:val="none" w:sz="0" w:space="0" w:color="auto"/>
        <w:right w:val="none" w:sz="0" w:space="0" w:color="auto"/>
      </w:divBdr>
    </w:div>
    <w:div w:id="1845170531">
      <w:bodyDiv w:val="1"/>
      <w:marLeft w:val="0"/>
      <w:marRight w:val="0"/>
      <w:marTop w:val="0"/>
      <w:marBottom w:val="0"/>
      <w:divBdr>
        <w:top w:val="none" w:sz="0" w:space="0" w:color="auto"/>
        <w:left w:val="none" w:sz="0" w:space="0" w:color="auto"/>
        <w:bottom w:val="none" w:sz="0" w:space="0" w:color="auto"/>
        <w:right w:val="none" w:sz="0" w:space="0" w:color="auto"/>
      </w:divBdr>
    </w:div>
    <w:div w:id="1845171915">
      <w:bodyDiv w:val="1"/>
      <w:marLeft w:val="0"/>
      <w:marRight w:val="0"/>
      <w:marTop w:val="0"/>
      <w:marBottom w:val="0"/>
      <w:divBdr>
        <w:top w:val="none" w:sz="0" w:space="0" w:color="auto"/>
        <w:left w:val="none" w:sz="0" w:space="0" w:color="auto"/>
        <w:bottom w:val="none" w:sz="0" w:space="0" w:color="auto"/>
        <w:right w:val="none" w:sz="0" w:space="0" w:color="auto"/>
      </w:divBdr>
    </w:div>
    <w:div w:id="1845391425">
      <w:bodyDiv w:val="1"/>
      <w:marLeft w:val="0"/>
      <w:marRight w:val="0"/>
      <w:marTop w:val="0"/>
      <w:marBottom w:val="0"/>
      <w:divBdr>
        <w:top w:val="none" w:sz="0" w:space="0" w:color="auto"/>
        <w:left w:val="none" w:sz="0" w:space="0" w:color="auto"/>
        <w:bottom w:val="none" w:sz="0" w:space="0" w:color="auto"/>
        <w:right w:val="none" w:sz="0" w:space="0" w:color="auto"/>
      </w:divBdr>
    </w:div>
    <w:div w:id="1845392658">
      <w:bodyDiv w:val="1"/>
      <w:marLeft w:val="0"/>
      <w:marRight w:val="0"/>
      <w:marTop w:val="0"/>
      <w:marBottom w:val="0"/>
      <w:divBdr>
        <w:top w:val="none" w:sz="0" w:space="0" w:color="auto"/>
        <w:left w:val="none" w:sz="0" w:space="0" w:color="auto"/>
        <w:bottom w:val="none" w:sz="0" w:space="0" w:color="auto"/>
        <w:right w:val="none" w:sz="0" w:space="0" w:color="auto"/>
      </w:divBdr>
    </w:div>
    <w:div w:id="1845431675">
      <w:bodyDiv w:val="1"/>
      <w:marLeft w:val="0"/>
      <w:marRight w:val="0"/>
      <w:marTop w:val="0"/>
      <w:marBottom w:val="0"/>
      <w:divBdr>
        <w:top w:val="none" w:sz="0" w:space="0" w:color="auto"/>
        <w:left w:val="none" w:sz="0" w:space="0" w:color="auto"/>
        <w:bottom w:val="none" w:sz="0" w:space="0" w:color="auto"/>
        <w:right w:val="none" w:sz="0" w:space="0" w:color="auto"/>
      </w:divBdr>
    </w:div>
    <w:div w:id="1845435731">
      <w:bodyDiv w:val="1"/>
      <w:marLeft w:val="0"/>
      <w:marRight w:val="0"/>
      <w:marTop w:val="0"/>
      <w:marBottom w:val="0"/>
      <w:divBdr>
        <w:top w:val="none" w:sz="0" w:space="0" w:color="auto"/>
        <w:left w:val="none" w:sz="0" w:space="0" w:color="auto"/>
        <w:bottom w:val="none" w:sz="0" w:space="0" w:color="auto"/>
        <w:right w:val="none" w:sz="0" w:space="0" w:color="auto"/>
      </w:divBdr>
    </w:div>
    <w:div w:id="1845507950">
      <w:bodyDiv w:val="1"/>
      <w:marLeft w:val="0"/>
      <w:marRight w:val="0"/>
      <w:marTop w:val="0"/>
      <w:marBottom w:val="0"/>
      <w:divBdr>
        <w:top w:val="none" w:sz="0" w:space="0" w:color="auto"/>
        <w:left w:val="none" w:sz="0" w:space="0" w:color="auto"/>
        <w:bottom w:val="none" w:sz="0" w:space="0" w:color="auto"/>
        <w:right w:val="none" w:sz="0" w:space="0" w:color="auto"/>
      </w:divBdr>
    </w:div>
    <w:div w:id="1845512494">
      <w:bodyDiv w:val="1"/>
      <w:marLeft w:val="0"/>
      <w:marRight w:val="0"/>
      <w:marTop w:val="0"/>
      <w:marBottom w:val="0"/>
      <w:divBdr>
        <w:top w:val="none" w:sz="0" w:space="0" w:color="auto"/>
        <w:left w:val="none" w:sz="0" w:space="0" w:color="auto"/>
        <w:bottom w:val="none" w:sz="0" w:space="0" w:color="auto"/>
        <w:right w:val="none" w:sz="0" w:space="0" w:color="auto"/>
      </w:divBdr>
    </w:div>
    <w:div w:id="1845513240">
      <w:bodyDiv w:val="1"/>
      <w:marLeft w:val="0"/>
      <w:marRight w:val="0"/>
      <w:marTop w:val="0"/>
      <w:marBottom w:val="0"/>
      <w:divBdr>
        <w:top w:val="none" w:sz="0" w:space="0" w:color="auto"/>
        <w:left w:val="none" w:sz="0" w:space="0" w:color="auto"/>
        <w:bottom w:val="none" w:sz="0" w:space="0" w:color="auto"/>
        <w:right w:val="none" w:sz="0" w:space="0" w:color="auto"/>
      </w:divBdr>
    </w:div>
    <w:div w:id="1845627838">
      <w:bodyDiv w:val="1"/>
      <w:marLeft w:val="0"/>
      <w:marRight w:val="0"/>
      <w:marTop w:val="0"/>
      <w:marBottom w:val="0"/>
      <w:divBdr>
        <w:top w:val="none" w:sz="0" w:space="0" w:color="auto"/>
        <w:left w:val="none" w:sz="0" w:space="0" w:color="auto"/>
        <w:bottom w:val="none" w:sz="0" w:space="0" w:color="auto"/>
        <w:right w:val="none" w:sz="0" w:space="0" w:color="auto"/>
      </w:divBdr>
    </w:div>
    <w:div w:id="1845702998">
      <w:bodyDiv w:val="1"/>
      <w:marLeft w:val="0"/>
      <w:marRight w:val="0"/>
      <w:marTop w:val="0"/>
      <w:marBottom w:val="0"/>
      <w:divBdr>
        <w:top w:val="none" w:sz="0" w:space="0" w:color="auto"/>
        <w:left w:val="none" w:sz="0" w:space="0" w:color="auto"/>
        <w:bottom w:val="none" w:sz="0" w:space="0" w:color="auto"/>
        <w:right w:val="none" w:sz="0" w:space="0" w:color="auto"/>
      </w:divBdr>
    </w:div>
    <w:div w:id="1845708277">
      <w:bodyDiv w:val="1"/>
      <w:marLeft w:val="0"/>
      <w:marRight w:val="0"/>
      <w:marTop w:val="0"/>
      <w:marBottom w:val="0"/>
      <w:divBdr>
        <w:top w:val="none" w:sz="0" w:space="0" w:color="auto"/>
        <w:left w:val="none" w:sz="0" w:space="0" w:color="auto"/>
        <w:bottom w:val="none" w:sz="0" w:space="0" w:color="auto"/>
        <w:right w:val="none" w:sz="0" w:space="0" w:color="auto"/>
      </w:divBdr>
    </w:div>
    <w:div w:id="1845852398">
      <w:bodyDiv w:val="1"/>
      <w:marLeft w:val="0"/>
      <w:marRight w:val="0"/>
      <w:marTop w:val="0"/>
      <w:marBottom w:val="0"/>
      <w:divBdr>
        <w:top w:val="none" w:sz="0" w:space="0" w:color="auto"/>
        <w:left w:val="none" w:sz="0" w:space="0" w:color="auto"/>
        <w:bottom w:val="none" w:sz="0" w:space="0" w:color="auto"/>
        <w:right w:val="none" w:sz="0" w:space="0" w:color="auto"/>
      </w:divBdr>
    </w:div>
    <w:div w:id="1845902268">
      <w:bodyDiv w:val="1"/>
      <w:marLeft w:val="0"/>
      <w:marRight w:val="0"/>
      <w:marTop w:val="0"/>
      <w:marBottom w:val="0"/>
      <w:divBdr>
        <w:top w:val="none" w:sz="0" w:space="0" w:color="auto"/>
        <w:left w:val="none" w:sz="0" w:space="0" w:color="auto"/>
        <w:bottom w:val="none" w:sz="0" w:space="0" w:color="auto"/>
        <w:right w:val="none" w:sz="0" w:space="0" w:color="auto"/>
      </w:divBdr>
    </w:div>
    <w:div w:id="1846162309">
      <w:bodyDiv w:val="1"/>
      <w:marLeft w:val="0"/>
      <w:marRight w:val="0"/>
      <w:marTop w:val="0"/>
      <w:marBottom w:val="0"/>
      <w:divBdr>
        <w:top w:val="none" w:sz="0" w:space="0" w:color="auto"/>
        <w:left w:val="none" w:sz="0" w:space="0" w:color="auto"/>
        <w:bottom w:val="none" w:sz="0" w:space="0" w:color="auto"/>
        <w:right w:val="none" w:sz="0" w:space="0" w:color="auto"/>
      </w:divBdr>
    </w:div>
    <w:div w:id="1846167880">
      <w:bodyDiv w:val="1"/>
      <w:marLeft w:val="0"/>
      <w:marRight w:val="0"/>
      <w:marTop w:val="0"/>
      <w:marBottom w:val="0"/>
      <w:divBdr>
        <w:top w:val="none" w:sz="0" w:space="0" w:color="auto"/>
        <w:left w:val="none" w:sz="0" w:space="0" w:color="auto"/>
        <w:bottom w:val="none" w:sz="0" w:space="0" w:color="auto"/>
        <w:right w:val="none" w:sz="0" w:space="0" w:color="auto"/>
      </w:divBdr>
    </w:div>
    <w:div w:id="1846169657">
      <w:bodyDiv w:val="1"/>
      <w:marLeft w:val="0"/>
      <w:marRight w:val="0"/>
      <w:marTop w:val="0"/>
      <w:marBottom w:val="0"/>
      <w:divBdr>
        <w:top w:val="none" w:sz="0" w:space="0" w:color="auto"/>
        <w:left w:val="none" w:sz="0" w:space="0" w:color="auto"/>
        <w:bottom w:val="none" w:sz="0" w:space="0" w:color="auto"/>
        <w:right w:val="none" w:sz="0" w:space="0" w:color="auto"/>
      </w:divBdr>
    </w:div>
    <w:div w:id="1846548940">
      <w:bodyDiv w:val="1"/>
      <w:marLeft w:val="0"/>
      <w:marRight w:val="0"/>
      <w:marTop w:val="0"/>
      <w:marBottom w:val="0"/>
      <w:divBdr>
        <w:top w:val="none" w:sz="0" w:space="0" w:color="auto"/>
        <w:left w:val="none" w:sz="0" w:space="0" w:color="auto"/>
        <w:bottom w:val="none" w:sz="0" w:space="0" w:color="auto"/>
        <w:right w:val="none" w:sz="0" w:space="0" w:color="auto"/>
      </w:divBdr>
    </w:div>
    <w:div w:id="1846630243">
      <w:bodyDiv w:val="1"/>
      <w:marLeft w:val="0"/>
      <w:marRight w:val="0"/>
      <w:marTop w:val="0"/>
      <w:marBottom w:val="0"/>
      <w:divBdr>
        <w:top w:val="none" w:sz="0" w:space="0" w:color="auto"/>
        <w:left w:val="none" w:sz="0" w:space="0" w:color="auto"/>
        <w:bottom w:val="none" w:sz="0" w:space="0" w:color="auto"/>
        <w:right w:val="none" w:sz="0" w:space="0" w:color="auto"/>
      </w:divBdr>
    </w:div>
    <w:div w:id="1846675095">
      <w:bodyDiv w:val="1"/>
      <w:marLeft w:val="0"/>
      <w:marRight w:val="0"/>
      <w:marTop w:val="0"/>
      <w:marBottom w:val="0"/>
      <w:divBdr>
        <w:top w:val="none" w:sz="0" w:space="0" w:color="auto"/>
        <w:left w:val="none" w:sz="0" w:space="0" w:color="auto"/>
        <w:bottom w:val="none" w:sz="0" w:space="0" w:color="auto"/>
        <w:right w:val="none" w:sz="0" w:space="0" w:color="auto"/>
      </w:divBdr>
    </w:div>
    <w:div w:id="1846676083">
      <w:bodyDiv w:val="1"/>
      <w:marLeft w:val="0"/>
      <w:marRight w:val="0"/>
      <w:marTop w:val="0"/>
      <w:marBottom w:val="0"/>
      <w:divBdr>
        <w:top w:val="none" w:sz="0" w:space="0" w:color="auto"/>
        <w:left w:val="none" w:sz="0" w:space="0" w:color="auto"/>
        <w:bottom w:val="none" w:sz="0" w:space="0" w:color="auto"/>
        <w:right w:val="none" w:sz="0" w:space="0" w:color="auto"/>
      </w:divBdr>
    </w:div>
    <w:div w:id="1846700512">
      <w:bodyDiv w:val="1"/>
      <w:marLeft w:val="0"/>
      <w:marRight w:val="0"/>
      <w:marTop w:val="0"/>
      <w:marBottom w:val="0"/>
      <w:divBdr>
        <w:top w:val="none" w:sz="0" w:space="0" w:color="auto"/>
        <w:left w:val="none" w:sz="0" w:space="0" w:color="auto"/>
        <w:bottom w:val="none" w:sz="0" w:space="0" w:color="auto"/>
        <w:right w:val="none" w:sz="0" w:space="0" w:color="auto"/>
      </w:divBdr>
    </w:div>
    <w:div w:id="1846704463">
      <w:bodyDiv w:val="1"/>
      <w:marLeft w:val="0"/>
      <w:marRight w:val="0"/>
      <w:marTop w:val="0"/>
      <w:marBottom w:val="0"/>
      <w:divBdr>
        <w:top w:val="none" w:sz="0" w:space="0" w:color="auto"/>
        <w:left w:val="none" w:sz="0" w:space="0" w:color="auto"/>
        <w:bottom w:val="none" w:sz="0" w:space="0" w:color="auto"/>
        <w:right w:val="none" w:sz="0" w:space="0" w:color="auto"/>
      </w:divBdr>
    </w:div>
    <w:div w:id="1846704899">
      <w:bodyDiv w:val="1"/>
      <w:marLeft w:val="0"/>
      <w:marRight w:val="0"/>
      <w:marTop w:val="0"/>
      <w:marBottom w:val="0"/>
      <w:divBdr>
        <w:top w:val="none" w:sz="0" w:space="0" w:color="auto"/>
        <w:left w:val="none" w:sz="0" w:space="0" w:color="auto"/>
        <w:bottom w:val="none" w:sz="0" w:space="0" w:color="auto"/>
        <w:right w:val="none" w:sz="0" w:space="0" w:color="auto"/>
      </w:divBdr>
    </w:div>
    <w:div w:id="1846745828">
      <w:bodyDiv w:val="1"/>
      <w:marLeft w:val="0"/>
      <w:marRight w:val="0"/>
      <w:marTop w:val="0"/>
      <w:marBottom w:val="0"/>
      <w:divBdr>
        <w:top w:val="none" w:sz="0" w:space="0" w:color="auto"/>
        <w:left w:val="none" w:sz="0" w:space="0" w:color="auto"/>
        <w:bottom w:val="none" w:sz="0" w:space="0" w:color="auto"/>
        <w:right w:val="none" w:sz="0" w:space="0" w:color="auto"/>
      </w:divBdr>
    </w:div>
    <w:div w:id="1846822448">
      <w:bodyDiv w:val="1"/>
      <w:marLeft w:val="0"/>
      <w:marRight w:val="0"/>
      <w:marTop w:val="0"/>
      <w:marBottom w:val="0"/>
      <w:divBdr>
        <w:top w:val="none" w:sz="0" w:space="0" w:color="auto"/>
        <w:left w:val="none" w:sz="0" w:space="0" w:color="auto"/>
        <w:bottom w:val="none" w:sz="0" w:space="0" w:color="auto"/>
        <w:right w:val="none" w:sz="0" w:space="0" w:color="auto"/>
      </w:divBdr>
    </w:div>
    <w:div w:id="1846824272">
      <w:bodyDiv w:val="1"/>
      <w:marLeft w:val="0"/>
      <w:marRight w:val="0"/>
      <w:marTop w:val="0"/>
      <w:marBottom w:val="0"/>
      <w:divBdr>
        <w:top w:val="none" w:sz="0" w:space="0" w:color="auto"/>
        <w:left w:val="none" w:sz="0" w:space="0" w:color="auto"/>
        <w:bottom w:val="none" w:sz="0" w:space="0" w:color="auto"/>
        <w:right w:val="none" w:sz="0" w:space="0" w:color="auto"/>
      </w:divBdr>
    </w:div>
    <w:div w:id="1847012914">
      <w:bodyDiv w:val="1"/>
      <w:marLeft w:val="0"/>
      <w:marRight w:val="0"/>
      <w:marTop w:val="0"/>
      <w:marBottom w:val="0"/>
      <w:divBdr>
        <w:top w:val="none" w:sz="0" w:space="0" w:color="auto"/>
        <w:left w:val="none" w:sz="0" w:space="0" w:color="auto"/>
        <w:bottom w:val="none" w:sz="0" w:space="0" w:color="auto"/>
        <w:right w:val="none" w:sz="0" w:space="0" w:color="auto"/>
      </w:divBdr>
    </w:div>
    <w:div w:id="1847014764">
      <w:bodyDiv w:val="1"/>
      <w:marLeft w:val="0"/>
      <w:marRight w:val="0"/>
      <w:marTop w:val="0"/>
      <w:marBottom w:val="0"/>
      <w:divBdr>
        <w:top w:val="none" w:sz="0" w:space="0" w:color="auto"/>
        <w:left w:val="none" w:sz="0" w:space="0" w:color="auto"/>
        <w:bottom w:val="none" w:sz="0" w:space="0" w:color="auto"/>
        <w:right w:val="none" w:sz="0" w:space="0" w:color="auto"/>
      </w:divBdr>
    </w:div>
    <w:div w:id="1847016705">
      <w:bodyDiv w:val="1"/>
      <w:marLeft w:val="0"/>
      <w:marRight w:val="0"/>
      <w:marTop w:val="0"/>
      <w:marBottom w:val="0"/>
      <w:divBdr>
        <w:top w:val="none" w:sz="0" w:space="0" w:color="auto"/>
        <w:left w:val="none" w:sz="0" w:space="0" w:color="auto"/>
        <w:bottom w:val="none" w:sz="0" w:space="0" w:color="auto"/>
        <w:right w:val="none" w:sz="0" w:space="0" w:color="auto"/>
      </w:divBdr>
    </w:div>
    <w:div w:id="1847163495">
      <w:bodyDiv w:val="1"/>
      <w:marLeft w:val="0"/>
      <w:marRight w:val="0"/>
      <w:marTop w:val="0"/>
      <w:marBottom w:val="0"/>
      <w:divBdr>
        <w:top w:val="none" w:sz="0" w:space="0" w:color="auto"/>
        <w:left w:val="none" w:sz="0" w:space="0" w:color="auto"/>
        <w:bottom w:val="none" w:sz="0" w:space="0" w:color="auto"/>
        <w:right w:val="none" w:sz="0" w:space="0" w:color="auto"/>
      </w:divBdr>
    </w:div>
    <w:div w:id="1847163865">
      <w:bodyDiv w:val="1"/>
      <w:marLeft w:val="0"/>
      <w:marRight w:val="0"/>
      <w:marTop w:val="0"/>
      <w:marBottom w:val="0"/>
      <w:divBdr>
        <w:top w:val="none" w:sz="0" w:space="0" w:color="auto"/>
        <w:left w:val="none" w:sz="0" w:space="0" w:color="auto"/>
        <w:bottom w:val="none" w:sz="0" w:space="0" w:color="auto"/>
        <w:right w:val="none" w:sz="0" w:space="0" w:color="auto"/>
      </w:divBdr>
    </w:div>
    <w:div w:id="1847282399">
      <w:bodyDiv w:val="1"/>
      <w:marLeft w:val="0"/>
      <w:marRight w:val="0"/>
      <w:marTop w:val="0"/>
      <w:marBottom w:val="0"/>
      <w:divBdr>
        <w:top w:val="none" w:sz="0" w:space="0" w:color="auto"/>
        <w:left w:val="none" w:sz="0" w:space="0" w:color="auto"/>
        <w:bottom w:val="none" w:sz="0" w:space="0" w:color="auto"/>
        <w:right w:val="none" w:sz="0" w:space="0" w:color="auto"/>
      </w:divBdr>
    </w:div>
    <w:div w:id="1847398651">
      <w:bodyDiv w:val="1"/>
      <w:marLeft w:val="0"/>
      <w:marRight w:val="0"/>
      <w:marTop w:val="0"/>
      <w:marBottom w:val="0"/>
      <w:divBdr>
        <w:top w:val="none" w:sz="0" w:space="0" w:color="auto"/>
        <w:left w:val="none" w:sz="0" w:space="0" w:color="auto"/>
        <w:bottom w:val="none" w:sz="0" w:space="0" w:color="auto"/>
        <w:right w:val="none" w:sz="0" w:space="0" w:color="auto"/>
      </w:divBdr>
    </w:div>
    <w:div w:id="1847402522">
      <w:bodyDiv w:val="1"/>
      <w:marLeft w:val="0"/>
      <w:marRight w:val="0"/>
      <w:marTop w:val="0"/>
      <w:marBottom w:val="0"/>
      <w:divBdr>
        <w:top w:val="none" w:sz="0" w:space="0" w:color="auto"/>
        <w:left w:val="none" w:sz="0" w:space="0" w:color="auto"/>
        <w:bottom w:val="none" w:sz="0" w:space="0" w:color="auto"/>
        <w:right w:val="none" w:sz="0" w:space="0" w:color="auto"/>
      </w:divBdr>
    </w:div>
    <w:div w:id="1847402671">
      <w:bodyDiv w:val="1"/>
      <w:marLeft w:val="0"/>
      <w:marRight w:val="0"/>
      <w:marTop w:val="0"/>
      <w:marBottom w:val="0"/>
      <w:divBdr>
        <w:top w:val="none" w:sz="0" w:space="0" w:color="auto"/>
        <w:left w:val="none" w:sz="0" w:space="0" w:color="auto"/>
        <w:bottom w:val="none" w:sz="0" w:space="0" w:color="auto"/>
        <w:right w:val="none" w:sz="0" w:space="0" w:color="auto"/>
      </w:divBdr>
    </w:div>
    <w:div w:id="1847477008">
      <w:bodyDiv w:val="1"/>
      <w:marLeft w:val="0"/>
      <w:marRight w:val="0"/>
      <w:marTop w:val="0"/>
      <w:marBottom w:val="0"/>
      <w:divBdr>
        <w:top w:val="none" w:sz="0" w:space="0" w:color="auto"/>
        <w:left w:val="none" w:sz="0" w:space="0" w:color="auto"/>
        <w:bottom w:val="none" w:sz="0" w:space="0" w:color="auto"/>
        <w:right w:val="none" w:sz="0" w:space="0" w:color="auto"/>
      </w:divBdr>
    </w:div>
    <w:div w:id="1847548024">
      <w:bodyDiv w:val="1"/>
      <w:marLeft w:val="0"/>
      <w:marRight w:val="0"/>
      <w:marTop w:val="0"/>
      <w:marBottom w:val="0"/>
      <w:divBdr>
        <w:top w:val="none" w:sz="0" w:space="0" w:color="auto"/>
        <w:left w:val="none" w:sz="0" w:space="0" w:color="auto"/>
        <w:bottom w:val="none" w:sz="0" w:space="0" w:color="auto"/>
        <w:right w:val="none" w:sz="0" w:space="0" w:color="auto"/>
      </w:divBdr>
    </w:div>
    <w:div w:id="1847596401">
      <w:bodyDiv w:val="1"/>
      <w:marLeft w:val="0"/>
      <w:marRight w:val="0"/>
      <w:marTop w:val="0"/>
      <w:marBottom w:val="0"/>
      <w:divBdr>
        <w:top w:val="none" w:sz="0" w:space="0" w:color="auto"/>
        <w:left w:val="none" w:sz="0" w:space="0" w:color="auto"/>
        <w:bottom w:val="none" w:sz="0" w:space="0" w:color="auto"/>
        <w:right w:val="none" w:sz="0" w:space="0" w:color="auto"/>
      </w:divBdr>
    </w:div>
    <w:div w:id="1847747104">
      <w:bodyDiv w:val="1"/>
      <w:marLeft w:val="0"/>
      <w:marRight w:val="0"/>
      <w:marTop w:val="0"/>
      <w:marBottom w:val="0"/>
      <w:divBdr>
        <w:top w:val="none" w:sz="0" w:space="0" w:color="auto"/>
        <w:left w:val="none" w:sz="0" w:space="0" w:color="auto"/>
        <w:bottom w:val="none" w:sz="0" w:space="0" w:color="auto"/>
        <w:right w:val="none" w:sz="0" w:space="0" w:color="auto"/>
      </w:divBdr>
    </w:div>
    <w:div w:id="1847788903">
      <w:bodyDiv w:val="1"/>
      <w:marLeft w:val="0"/>
      <w:marRight w:val="0"/>
      <w:marTop w:val="0"/>
      <w:marBottom w:val="0"/>
      <w:divBdr>
        <w:top w:val="none" w:sz="0" w:space="0" w:color="auto"/>
        <w:left w:val="none" w:sz="0" w:space="0" w:color="auto"/>
        <w:bottom w:val="none" w:sz="0" w:space="0" w:color="auto"/>
        <w:right w:val="none" w:sz="0" w:space="0" w:color="auto"/>
      </w:divBdr>
    </w:div>
    <w:div w:id="1847790728">
      <w:bodyDiv w:val="1"/>
      <w:marLeft w:val="0"/>
      <w:marRight w:val="0"/>
      <w:marTop w:val="0"/>
      <w:marBottom w:val="0"/>
      <w:divBdr>
        <w:top w:val="none" w:sz="0" w:space="0" w:color="auto"/>
        <w:left w:val="none" w:sz="0" w:space="0" w:color="auto"/>
        <w:bottom w:val="none" w:sz="0" w:space="0" w:color="auto"/>
        <w:right w:val="none" w:sz="0" w:space="0" w:color="auto"/>
      </w:divBdr>
    </w:div>
    <w:div w:id="1847939907">
      <w:bodyDiv w:val="1"/>
      <w:marLeft w:val="0"/>
      <w:marRight w:val="0"/>
      <w:marTop w:val="0"/>
      <w:marBottom w:val="0"/>
      <w:divBdr>
        <w:top w:val="none" w:sz="0" w:space="0" w:color="auto"/>
        <w:left w:val="none" w:sz="0" w:space="0" w:color="auto"/>
        <w:bottom w:val="none" w:sz="0" w:space="0" w:color="auto"/>
        <w:right w:val="none" w:sz="0" w:space="0" w:color="auto"/>
      </w:divBdr>
    </w:div>
    <w:div w:id="1848015065">
      <w:bodyDiv w:val="1"/>
      <w:marLeft w:val="0"/>
      <w:marRight w:val="0"/>
      <w:marTop w:val="0"/>
      <w:marBottom w:val="0"/>
      <w:divBdr>
        <w:top w:val="none" w:sz="0" w:space="0" w:color="auto"/>
        <w:left w:val="none" w:sz="0" w:space="0" w:color="auto"/>
        <w:bottom w:val="none" w:sz="0" w:space="0" w:color="auto"/>
        <w:right w:val="none" w:sz="0" w:space="0" w:color="auto"/>
      </w:divBdr>
    </w:div>
    <w:div w:id="1848060182">
      <w:bodyDiv w:val="1"/>
      <w:marLeft w:val="0"/>
      <w:marRight w:val="0"/>
      <w:marTop w:val="0"/>
      <w:marBottom w:val="0"/>
      <w:divBdr>
        <w:top w:val="none" w:sz="0" w:space="0" w:color="auto"/>
        <w:left w:val="none" w:sz="0" w:space="0" w:color="auto"/>
        <w:bottom w:val="none" w:sz="0" w:space="0" w:color="auto"/>
        <w:right w:val="none" w:sz="0" w:space="0" w:color="auto"/>
      </w:divBdr>
    </w:div>
    <w:div w:id="1848062085">
      <w:bodyDiv w:val="1"/>
      <w:marLeft w:val="0"/>
      <w:marRight w:val="0"/>
      <w:marTop w:val="0"/>
      <w:marBottom w:val="0"/>
      <w:divBdr>
        <w:top w:val="none" w:sz="0" w:space="0" w:color="auto"/>
        <w:left w:val="none" w:sz="0" w:space="0" w:color="auto"/>
        <w:bottom w:val="none" w:sz="0" w:space="0" w:color="auto"/>
        <w:right w:val="none" w:sz="0" w:space="0" w:color="auto"/>
      </w:divBdr>
    </w:div>
    <w:div w:id="1848133956">
      <w:bodyDiv w:val="1"/>
      <w:marLeft w:val="0"/>
      <w:marRight w:val="0"/>
      <w:marTop w:val="0"/>
      <w:marBottom w:val="0"/>
      <w:divBdr>
        <w:top w:val="none" w:sz="0" w:space="0" w:color="auto"/>
        <w:left w:val="none" w:sz="0" w:space="0" w:color="auto"/>
        <w:bottom w:val="none" w:sz="0" w:space="0" w:color="auto"/>
        <w:right w:val="none" w:sz="0" w:space="0" w:color="auto"/>
      </w:divBdr>
    </w:div>
    <w:div w:id="1848136629">
      <w:bodyDiv w:val="1"/>
      <w:marLeft w:val="0"/>
      <w:marRight w:val="0"/>
      <w:marTop w:val="0"/>
      <w:marBottom w:val="0"/>
      <w:divBdr>
        <w:top w:val="none" w:sz="0" w:space="0" w:color="auto"/>
        <w:left w:val="none" w:sz="0" w:space="0" w:color="auto"/>
        <w:bottom w:val="none" w:sz="0" w:space="0" w:color="auto"/>
        <w:right w:val="none" w:sz="0" w:space="0" w:color="auto"/>
      </w:divBdr>
    </w:div>
    <w:div w:id="1848321133">
      <w:bodyDiv w:val="1"/>
      <w:marLeft w:val="0"/>
      <w:marRight w:val="0"/>
      <w:marTop w:val="0"/>
      <w:marBottom w:val="0"/>
      <w:divBdr>
        <w:top w:val="none" w:sz="0" w:space="0" w:color="auto"/>
        <w:left w:val="none" w:sz="0" w:space="0" w:color="auto"/>
        <w:bottom w:val="none" w:sz="0" w:space="0" w:color="auto"/>
        <w:right w:val="none" w:sz="0" w:space="0" w:color="auto"/>
      </w:divBdr>
    </w:div>
    <w:div w:id="1848324898">
      <w:bodyDiv w:val="1"/>
      <w:marLeft w:val="0"/>
      <w:marRight w:val="0"/>
      <w:marTop w:val="0"/>
      <w:marBottom w:val="0"/>
      <w:divBdr>
        <w:top w:val="none" w:sz="0" w:space="0" w:color="auto"/>
        <w:left w:val="none" w:sz="0" w:space="0" w:color="auto"/>
        <w:bottom w:val="none" w:sz="0" w:space="0" w:color="auto"/>
        <w:right w:val="none" w:sz="0" w:space="0" w:color="auto"/>
      </w:divBdr>
    </w:div>
    <w:div w:id="1848329732">
      <w:bodyDiv w:val="1"/>
      <w:marLeft w:val="0"/>
      <w:marRight w:val="0"/>
      <w:marTop w:val="0"/>
      <w:marBottom w:val="0"/>
      <w:divBdr>
        <w:top w:val="none" w:sz="0" w:space="0" w:color="auto"/>
        <w:left w:val="none" w:sz="0" w:space="0" w:color="auto"/>
        <w:bottom w:val="none" w:sz="0" w:space="0" w:color="auto"/>
        <w:right w:val="none" w:sz="0" w:space="0" w:color="auto"/>
      </w:divBdr>
    </w:div>
    <w:div w:id="1848404169">
      <w:bodyDiv w:val="1"/>
      <w:marLeft w:val="0"/>
      <w:marRight w:val="0"/>
      <w:marTop w:val="0"/>
      <w:marBottom w:val="0"/>
      <w:divBdr>
        <w:top w:val="none" w:sz="0" w:space="0" w:color="auto"/>
        <w:left w:val="none" w:sz="0" w:space="0" w:color="auto"/>
        <w:bottom w:val="none" w:sz="0" w:space="0" w:color="auto"/>
        <w:right w:val="none" w:sz="0" w:space="0" w:color="auto"/>
      </w:divBdr>
    </w:div>
    <w:div w:id="1848514545">
      <w:bodyDiv w:val="1"/>
      <w:marLeft w:val="0"/>
      <w:marRight w:val="0"/>
      <w:marTop w:val="0"/>
      <w:marBottom w:val="0"/>
      <w:divBdr>
        <w:top w:val="none" w:sz="0" w:space="0" w:color="auto"/>
        <w:left w:val="none" w:sz="0" w:space="0" w:color="auto"/>
        <w:bottom w:val="none" w:sz="0" w:space="0" w:color="auto"/>
        <w:right w:val="none" w:sz="0" w:space="0" w:color="auto"/>
      </w:divBdr>
    </w:div>
    <w:div w:id="1848515488">
      <w:bodyDiv w:val="1"/>
      <w:marLeft w:val="0"/>
      <w:marRight w:val="0"/>
      <w:marTop w:val="0"/>
      <w:marBottom w:val="0"/>
      <w:divBdr>
        <w:top w:val="none" w:sz="0" w:space="0" w:color="auto"/>
        <w:left w:val="none" w:sz="0" w:space="0" w:color="auto"/>
        <w:bottom w:val="none" w:sz="0" w:space="0" w:color="auto"/>
        <w:right w:val="none" w:sz="0" w:space="0" w:color="auto"/>
      </w:divBdr>
    </w:div>
    <w:div w:id="1848666152">
      <w:bodyDiv w:val="1"/>
      <w:marLeft w:val="0"/>
      <w:marRight w:val="0"/>
      <w:marTop w:val="0"/>
      <w:marBottom w:val="0"/>
      <w:divBdr>
        <w:top w:val="none" w:sz="0" w:space="0" w:color="auto"/>
        <w:left w:val="none" w:sz="0" w:space="0" w:color="auto"/>
        <w:bottom w:val="none" w:sz="0" w:space="0" w:color="auto"/>
        <w:right w:val="none" w:sz="0" w:space="0" w:color="auto"/>
      </w:divBdr>
    </w:div>
    <w:div w:id="1848709482">
      <w:bodyDiv w:val="1"/>
      <w:marLeft w:val="0"/>
      <w:marRight w:val="0"/>
      <w:marTop w:val="0"/>
      <w:marBottom w:val="0"/>
      <w:divBdr>
        <w:top w:val="none" w:sz="0" w:space="0" w:color="auto"/>
        <w:left w:val="none" w:sz="0" w:space="0" w:color="auto"/>
        <w:bottom w:val="none" w:sz="0" w:space="0" w:color="auto"/>
        <w:right w:val="none" w:sz="0" w:space="0" w:color="auto"/>
      </w:divBdr>
    </w:div>
    <w:div w:id="1848789135">
      <w:bodyDiv w:val="1"/>
      <w:marLeft w:val="0"/>
      <w:marRight w:val="0"/>
      <w:marTop w:val="0"/>
      <w:marBottom w:val="0"/>
      <w:divBdr>
        <w:top w:val="none" w:sz="0" w:space="0" w:color="auto"/>
        <w:left w:val="none" w:sz="0" w:space="0" w:color="auto"/>
        <w:bottom w:val="none" w:sz="0" w:space="0" w:color="auto"/>
        <w:right w:val="none" w:sz="0" w:space="0" w:color="auto"/>
      </w:divBdr>
    </w:div>
    <w:div w:id="1848862038">
      <w:bodyDiv w:val="1"/>
      <w:marLeft w:val="0"/>
      <w:marRight w:val="0"/>
      <w:marTop w:val="0"/>
      <w:marBottom w:val="0"/>
      <w:divBdr>
        <w:top w:val="none" w:sz="0" w:space="0" w:color="auto"/>
        <w:left w:val="none" w:sz="0" w:space="0" w:color="auto"/>
        <w:bottom w:val="none" w:sz="0" w:space="0" w:color="auto"/>
        <w:right w:val="none" w:sz="0" w:space="0" w:color="auto"/>
      </w:divBdr>
    </w:div>
    <w:div w:id="1848981266">
      <w:bodyDiv w:val="1"/>
      <w:marLeft w:val="0"/>
      <w:marRight w:val="0"/>
      <w:marTop w:val="0"/>
      <w:marBottom w:val="0"/>
      <w:divBdr>
        <w:top w:val="none" w:sz="0" w:space="0" w:color="auto"/>
        <w:left w:val="none" w:sz="0" w:space="0" w:color="auto"/>
        <w:bottom w:val="none" w:sz="0" w:space="0" w:color="auto"/>
        <w:right w:val="none" w:sz="0" w:space="0" w:color="auto"/>
      </w:divBdr>
    </w:div>
    <w:div w:id="1849127840">
      <w:bodyDiv w:val="1"/>
      <w:marLeft w:val="0"/>
      <w:marRight w:val="0"/>
      <w:marTop w:val="0"/>
      <w:marBottom w:val="0"/>
      <w:divBdr>
        <w:top w:val="none" w:sz="0" w:space="0" w:color="auto"/>
        <w:left w:val="none" w:sz="0" w:space="0" w:color="auto"/>
        <w:bottom w:val="none" w:sz="0" w:space="0" w:color="auto"/>
        <w:right w:val="none" w:sz="0" w:space="0" w:color="auto"/>
      </w:divBdr>
    </w:div>
    <w:div w:id="1849252477">
      <w:bodyDiv w:val="1"/>
      <w:marLeft w:val="0"/>
      <w:marRight w:val="0"/>
      <w:marTop w:val="0"/>
      <w:marBottom w:val="0"/>
      <w:divBdr>
        <w:top w:val="none" w:sz="0" w:space="0" w:color="auto"/>
        <w:left w:val="none" w:sz="0" w:space="0" w:color="auto"/>
        <w:bottom w:val="none" w:sz="0" w:space="0" w:color="auto"/>
        <w:right w:val="none" w:sz="0" w:space="0" w:color="auto"/>
      </w:divBdr>
    </w:div>
    <w:div w:id="1849320244">
      <w:bodyDiv w:val="1"/>
      <w:marLeft w:val="0"/>
      <w:marRight w:val="0"/>
      <w:marTop w:val="0"/>
      <w:marBottom w:val="0"/>
      <w:divBdr>
        <w:top w:val="none" w:sz="0" w:space="0" w:color="auto"/>
        <w:left w:val="none" w:sz="0" w:space="0" w:color="auto"/>
        <w:bottom w:val="none" w:sz="0" w:space="0" w:color="auto"/>
        <w:right w:val="none" w:sz="0" w:space="0" w:color="auto"/>
      </w:divBdr>
    </w:div>
    <w:div w:id="1849326979">
      <w:bodyDiv w:val="1"/>
      <w:marLeft w:val="0"/>
      <w:marRight w:val="0"/>
      <w:marTop w:val="0"/>
      <w:marBottom w:val="0"/>
      <w:divBdr>
        <w:top w:val="none" w:sz="0" w:space="0" w:color="auto"/>
        <w:left w:val="none" w:sz="0" w:space="0" w:color="auto"/>
        <w:bottom w:val="none" w:sz="0" w:space="0" w:color="auto"/>
        <w:right w:val="none" w:sz="0" w:space="0" w:color="auto"/>
      </w:divBdr>
    </w:div>
    <w:div w:id="1849443260">
      <w:bodyDiv w:val="1"/>
      <w:marLeft w:val="0"/>
      <w:marRight w:val="0"/>
      <w:marTop w:val="0"/>
      <w:marBottom w:val="0"/>
      <w:divBdr>
        <w:top w:val="none" w:sz="0" w:space="0" w:color="auto"/>
        <w:left w:val="none" w:sz="0" w:space="0" w:color="auto"/>
        <w:bottom w:val="none" w:sz="0" w:space="0" w:color="auto"/>
        <w:right w:val="none" w:sz="0" w:space="0" w:color="auto"/>
      </w:divBdr>
    </w:div>
    <w:div w:id="1849445253">
      <w:bodyDiv w:val="1"/>
      <w:marLeft w:val="0"/>
      <w:marRight w:val="0"/>
      <w:marTop w:val="0"/>
      <w:marBottom w:val="0"/>
      <w:divBdr>
        <w:top w:val="none" w:sz="0" w:space="0" w:color="auto"/>
        <w:left w:val="none" w:sz="0" w:space="0" w:color="auto"/>
        <w:bottom w:val="none" w:sz="0" w:space="0" w:color="auto"/>
        <w:right w:val="none" w:sz="0" w:space="0" w:color="auto"/>
      </w:divBdr>
    </w:div>
    <w:div w:id="1849446754">
      <w:bodyDiv w:val="1"/>
      <w:marLeft w:val="0"/>
      <w:marRight w:val="0"/>
      <w:marTop w:val="0"/>
      <w:marBottom w:val="0"/>
      <w:divBdr>
        <w:top w:val="none" w:sz="0" w:space="0" w:color="auto"/>
        <w:left w:val="none" w:sz="0" w:space="0" w:color="auto"/>
        <w:bottom w:val="none" w:sz="0" w:space="0" w:color="auto"/>
        <w:right w:val="none" w:sz="0" w:space="0" w:color="auto"/>
      </w:divBdr>
    </w:div>
    <w:div w:id="1849447664">
      <w:bodyDiv w:val="1"/>
      <w:marLeft w:val="0"/>
      <w:marRight w:val="0"/>
      <w:marTop w:val="0"/>
      <w:marBottom w:val="0"/>
      <w:divBdr>
        <w:top w:val="none" w:sz="0" w:space="0" w:color="auto"/>
        <w:left w:val="none" w:sz="0" w:space="0" w:color="auto"/>
        <w:bottom w:val="none" w:sz="0" w:space="0" w:color="auto"/>
        <w:right w:val="none" w:sz="0" w:space="0" w:color="auto"/>
      </w:divBdr>
    </w:div>
    <w:div w:id="1849632452">
      <w:bodyDiv w:val="1"/>
      <w:marLeft w:val="0"/>
      <w:marRight w:val="0"/>
      <w:marTop w:val="0"/>
      <w:marBottom w:val="0"/>
      <w:divBdr>
        <w:top w:val="none" w:sz="0" w:space="0" w:color="auto"/>
        <w:left w:val="none" w:sz="0" w:space="0" w:color="auto"/>
        <w:bottom w:val="none" w:sz="0" w:space="0" w:color="auto"/>
        <w:right w:val="none" w:sz="0" w:space="0" w:color="auto"/>
      </w:divBdr>
    </w:div>
    <w:div w:id="1849637562">
      <w:bodyDiv w:val="1"/>
      <w:marLeft w:val="0"/>
      <w:marRight w:val="0"/>
      <w:marTop w:val="0"/>
      <w:marBottom w:val="0"/>
      <w:divBdr>
        <w:top w:val="none" w:sz="0" w:space="0" w:color="auto"/>
        <w:left w:val="none" w:sz="0" w:space="0" w:color="auto"/>
        <w:bottom w:val="none" w:sz="0" w:space="0" w:color="auto"/>
        <w:right w:val="none" w:sz="0" w:space="0" w:color="auto"/>
      </w:divBdr>
    </w:div>
    <w:div w:id="1849712864">
      <w:bodyDiv w:val="1"/>
      <w:marLeft w:val="0"/>
      <w:marRight w:val="0"/>
      <w:marTop w:val="0"/>
      <w:marBottom w:val="0"/>
      <w:divBdr>
        <w:top w:val="none" w:sz="0" w:space="0" w:color="auto"/>
        <w:left w:val="none" w:sz="0" w:space="0" w:color="auto"/>
        <w:bottom w:val="none" w:sz="0" w:space="0" w:color="auto"/>
        <w:right w:val="none" w:sz="0" w:space="0" w:color="auto"/>
      </w:divBdr>
    </w:div>
    <w:div w:id="1849784749">
      <w:bodyDiv w:val="1"/>
      <w:marLeft w:val="0"/>
      <w:marRight w:val="0"/>
      <w:marTop w:val="0"/>
      <w:marBottom w:val="0"/>
      <w:divBdr>
        <w:top w:val="none" w:sz="0" w:space="0" w:color="auto"/>
        <w:left w:val="none" w:sz="0" w:space="0" w:color="auto"/>
        <w:bottom w:val="none" w:sz="0" w:space="0" w:color="auto"/>
        <w:right w:val="none" w:sz="0" w:space="0" w:color="auto"/>
      </w:divBdr>
    </w:div>
    <w:div w:id="1849829798">
      <w:bodyDiv w:val="1"/>
      <w:marLeft w:val="0"/>
      <w:marRight w:val="0"/>
      <w:marTop w:val="0"/>
      <w:marBottom w:val="0"/>
      <w:divBdr>
        <w:top w:val="none" w:sz="0" w:space="0" w:color="auto"/>
        <w:left w:val="none" w:sz="0" w:space="0" w:color="auto"/>
        <w:bottom w:val="none" w:sz="0" w:space="0" w:color="auto"/>
        <w:right w:val="none" w:sz="0" w:space="0" w:color="auto"/>
      </w:divBdr>
    </w:div>
    <w:div w:id="1849982932">
      <w:bodyDiv w:val="1"/>
      <w:marLeft w:val="0"/>
      <w:marRight w:val="0"/>
      <w:marTop w:val="0"/>
      <w:marBottom w:val="0"/>
      <w:divBdr>
        <w:top w:val="none" w:sz="0" w:space="0" w:color="auto"/>
        <w:left w:val="none" w:sz="0" w:space="0" w:color="auto"/>
        <w:bottom w:val="none" w:sz="0" w:space="0" w:color="auto"/>
        <w:right w:val="none" w:sz="0" w:space="0" w:color="auto"/>
      </w:divBdr>
    </w:div>
    <w:div w:id="1850025406">
      <w:bodyDiv w:val="1"/>
      <w:marLeft w:val="0"/>
      <w:marRight w:val="0"/>
      <w:marTop w:val="0"/>
      <w:marBottom w:val="0"/>
      <w:divBdr>
        <w:top w:val="none" w:sz="0" w:space="0" w:color="auto"/>
        <w:left w:val="none" w:sz="0" w:space="0" w:color="auto"/>
        <w:bottom w:val="none" w:sz="0" w:space="0" w:color="auto"/>
        <w:right w:val="none" w:sz="0" w:space="0" w:color="auto"/>
      </w:divBdr>
    </w:div>
    <w:div w:id="1850097722">
      <w:bodyDiv w:val="1"/>
      <w:marLeft w:val="0"/>
      <w:marRight w:val="0"/>
      <w:marTop w:val="0"/>
      <w:marBottom w:val="0"/>
      <w:divBdr>
        <w:top w:val="none" w:sz="0" w:space="0" w:color="auto"/>
        <w:left w:val="none" w:sz="0" w:space="0" w:color="auto"/>
        <w:bottom w:val="none" w:sz="0" w:space="0" w:color="auto"/>
        <w:right w:val="none" w:sz="0" w:space="0" w:color="auto"/>
      </w:divBdr>
    </w:div>
    <w:div w:id="1850100195">
      <w:bodyDiv w:val="1"/>
      <w:marLeft w:val="0"/>
      <w:marRight w:val="0"/>
      <w:marTop w:val="0"/>
      <w:marBottom w:val="0"/>
      <w:divBdr>
        <w:top w:val="none" w:sz="0" w:space="0" w:color="auto"/>
        <w:left w:val="none" w:sz="0" w:space="0" w:color="auto"/>
        <w:bottom w:val="none" w:sz="0" w:space="0" w:color="auto"/>
        <w:right w:val="none" w:sz="0" w:space="0" w:color="auto"/>
      </w:divBdr>
    </w:div>
    <w:div w:id="1850172870">
      <w:bodyDiv w:val="1"/>
      <w:marLeft w:val="0"/>
      <w:marRight w:val="0"/>
      <w:marTop w:val="0"/>
      <w:marBottom w:val="0"/>
      <w:divBdr>
        <w:top w:val="none" w:sz="0" w:space="0" w:color="auto"/>
        <w:left w:val="none" w:sz="0" w:space="0" w:color="auto"/>
        <w:bottom w:val="none" w:sz="0" w:space="0" w:color="auto"/>
        <w:right w:val="none" w:sz="0" w:space="0" w:color="auto"/>
      </w:divBdr>
    </w:div>
    <w:div w:id="1850174962">
      <w:bodyDiv w:val="1"/>
      <w:marLeft w:val="0"/>
      <w:marRight w:val="0"/>
      <w:marTop w:val="0"/>
      <w:marBottom w:val="0"/>
      <w:divBdr>
        <w:top w:val="none" w:sz="0" w:space="0" w:color="auto"/>
        <w:left w:val="none" w:sz="0" w:space="0" w:color="auto"/>
        <w:bottom w:val="none" w:sz="0" w:space="0" w:color="auto"/>
        <w:right w:val="none" w:sz="0" w:space="0" w:color="auto"/>
      </w:divBdr>
    </w:div>
    <w:div w:id="1850178318">
      <w:bodyDiv w:val="1"/>
      <w:marLeft w:val="0"/>
      <w:marRight w:val="0"/>
      <w:marTop w:val="0"/>
      <w:marBottom w:val="0"/>
      <w:divBdr>
        <w:top w:val="none" w:sz="0" w:space="0" w:color="auto"/>
        <w:left w:val="none" w:sz="0" w:space="0" w:color="auto"/>
        <w:bottom w:val="none" w:sz="0" w:space="0" w:color="auto"/>
        <w:right w:val="none" w:sz="0" w:space="0" w:color="auto"/>
      </w:divBdr>
    </w:div>
    <w:div w:id="1850215334">
      <w:bodyDiv w:val="1"/>
      <w:marLeft w:val="0"/>
      <w:marRight w:val="0"/>
      <w:marTop w:val="0"/>
      <w:marBottom w:val="0"/>
      <w:divBdr>
        <w:top w:val="none" w:sz="0" w:space="0" w:color="auto"/>
        <w:left w:val="none" w:sz="0" w:space="0" w:color="auto"/>
        <w:bottom w:val="none" w:sz="0" w:space="0" w:color="auto"/>
        <w:right w:val="none" w:sz="0" w:space="0" w:color="auto"/>
      </w:divBdr>
    </w:div>
    <w:div w:id="1850291219">
      <w:bodyDiv w:val="1"/>
      <w:marLeft w:val="0"/>
      <w:marRight w:val="0"/>
      <w:marTop w:val="0"/>
      <w:marBottom w:val="0"/>
      <w:divBdr>
        <w:top w:val="none" w:sz="0" w:space="0" w:color="auto"/>
        <w:left w:val="none" w:sz="0" w:space="0" w:color="auto"/>
        <w:bottom w:val="none" w:sz="0" w:space="0" w:color="auto"/>
        <w:right w:val="none" w:sz="0" w:space="0" w:color="auto"/>
      </w:divBdr>
    </w:div>
    <w:div w:id="1850362281">
      <w:bodyDiv w:val="1"/>
      <w:marLeft w:val="0"/>
      <w:marRight w:val="0"/>
      <w:marTop w:val="0"/>
      <w:marBottom w:val="0"/>
      <w:divBdr>
        <w:top w:val="none" w:sz="0" w:space="0" w:color="auto"/>
        <w:left w:val="none" w:sz="0" w:space="0" w:color="auto"/>
        <w:bottom w:val="none" w:sz="0" w:space="0" w:color="auto"/>
        <w:right w:val="none" w:sz="0" w:space="0" w:color="auto"/>
      </w:divBdr>
    </w:div>
    <w:div w:id="1850362938">
      <w:bodyDiv w:val="1"/>
      <w:marLeft w:val="0"/>
      <w:marRight w:val="0"/>
      <w:marTop w:val="0"/>
      <w:marBottom w:val="0"/>
      <w:divBdr>
        <w:top w:val="none" w:sz="0" w:space="0" w:color="auto"/>
        <w:left w:val="none" w:sz="0" w:space="0" w:color="auto"/>
        <w:bottom w:val="none" w:sz="0" w:space="0" w:color="auto"/>
        <w:right w:val="none" w:sz="0" w:space="0" w:color="auto"/>
      </w:divBdr>
    </w:div>
    <w:div w:id="1850366593">
      <w:bodyDiv w:val="1"/>
      <w:marLeft w:val="0"/>
      <w:marRight w:val="0"/>
      <w:marTop w:val="0"/>
      <w:marBottom w:val="0"/>
      <w:divBdr>
        <w:top w:val="none" w:sz="0" w:space="0" w:color="auto"/>
        <w:left w:val="none" w:sz="0" w:space="0" w:color="auto"/>
        <w:bottom w:val="none" w:sz="0" w:space="0" w:color="auto"/>
        <w:right w:val="none" w:sz="0" w:space="0" w:color="auto"/>
      </w:divBdr>
    </w:div>
    <w:div w:id="1850409866">
      <w:bodyDiv w:val="1"/>
      <w:marLeft w:val="0"/>
      <w:marRight w:val="0"/>
      <w:marTop w:val="0"/>
      <w:marBottom w:val="0"/>
      <w:divBdr>
        <w:top w:val="none" w:sz="0" w:space="0" w:color="auto"/>
        <w:left w:val="none" w:sz="0" w:space="0" w:color="auto"/>
        <w:bottom w:val="none" w:sz="0" w:space="0" w:color="auto"/>
        <w:right w:val="none" w:sz="0" w:space="0" w:color="auto"/>
      </w:divBdr>
    </w:div>
    <w:div w:id="1850412333">
      <w:bodyDiv w:val="1"/>
      <w:marLeft w:val="0"/>
      <w:marRight w:val="0"/>
      <w:marTop w:val="0"/>
      <w:marBottom w:val="0"/>
      <w:divBdr>
        <w:top w:val="none" w:sz="0" w:space="0" w:color="auto"/>
        <w:left w:val="none" w:sz="0" w:space="0" w:color="auto"/>
        <w:bottom w:val="none" w:sz="0" w:space="0" w:color="auto"/>
        <w:right w:val="none" w:sz="0" w:space="0" w:color="auto"/>
      </w:divBdr>
    </w:div>
    <w:div w:id="1850560406">
      <w:bodyDiv w:val="1"/>
      <w:marLeft w:val="0"/>
      <w:marRight w:val="0"/>
      <w:marTop w:val="0"/>
      <w:marBottom w:val="0"/>
      <w:divBdr>
        <w:top w:val="none" w:sz="0" w:space="0" w:color="auto"/>
        <w:left w:val="none" w:sz="0" w:space="0" w:color="auto"/>
        <w:bottom w:val="none" w:sz="0" w:space="0" w:color="auto"/>
        <w:right w:val="none" w:sz="0" w:space="0" w:color="auto"/>
      </w:divBdr>
    </w:div>
    <w:div w:id="1850605802">
      <w:bodyDiv w:val="1"/>
      <w:marLeft w:val="0"/>
      <w:marRight w:val="0"/>
      <w:marTop w:val="0"/>
      <w:marBottom w:val="0"/>
      <w:divBdr>
        <w:top w:val="none" w:sz="0" w:space="0" w:color="auto"/>
        <w:left w:val="none" w:sz="0" w:space="0" w:color="auto"/>
        <w:bottom w:val="none" w:sz="0" w:space="0" w:color="auto"/>
        <w:right w:val="none" w:sz="0" w:space="0" w:color="auto"/>
      </w:divBdr>
    </w:div>
    <w:div w:id="1850681910">
      <w:bodyDiv w:val="1"/>
      <w:marLeft w:val="0"/>
      <w:marRight w:val="0"/>
      <w:marTop w:val="0"/>
      <w:marBottom w:val="0"/>
      <w:divBdr>
        <w:top w:val="none" w:sz="0" w:space="0" w:color="auto"/>
        <w:left w:val="none" w:sz="0" w:space="0" w:color="auto"/>
        <w:bottom w:val="none" w:sz="0" w:space="0" w:color="auto"/>
        <w:right w:val="none" w:sz="0" w:space="0" w:color="auto"/>
      </w:divBdr>
    </w:div>
    <w:div w:id="1850750175">
      <w:bodyDiv w:val="1"/>
      <w:marLeft w:val="0"/>
      <w:marRight w:val="0"/>
      <w:marTop w:val="0"/>
      <w:marBottom w:val="0"/>
      <w:divBdr>
        <w:top w:val="none" w:sz="0" w:space="0" w:color="auto"/>
        <w:left w:val="none" w:sz="0" w:space="0" w:color="auto"/>
        <w:bottom w:val="none" w:sz="0" w:space="0" w:color="auto"/>
        <w:right w:val="none" w:sz="0" w:space="0" w:color="auto"/>
      </w:divBdr>
    </w:div>
    <w:div w:id="1850756400">
      <w:bodyDiv w:val="1"/>
      <w:marLeft w:val="0"/>
      <w:marRight w:val="0"/>
      <w:marTop w:val="0"/>
      <w:marBottom w:val="0"/>
      <w:divBdr>
        <w:top w:val="none" w:sz="0" w:space="0" w:color="auto"/>
        <w:left w:val="none" w:sz="0" w:space="0" w:color="auto"/>
        <w:bottom w:val="none" w:sz="0" w:space="0" w:color="auto"/>
        <w:right w:val="none" w:sz="0" w:space="0" w:color="auto"/>
      </w:divBdr>
    </w:div>
    <w:div w:id="1850874478">
      <w:bodyDiv w:val="1"/>
      <w:marLeft w:val="0"/>
      <w:marRight w:val="0"/>
      <w:marTop w:val="0"/>
      <w:marBottom w:val="0"/>
      <w:divBdr>
        <w:top w:val="none" w:sz="0" w:space="0" w:color="auto"/>
        <w:left w:val="none" w:sz="0" w:space="0" w:color="auto"/>
        <w:bottom w:val="none" w:sz="0" w:space="0" w:color="auto"/>
        <w:right w:val="none" w:sz="0" w:space="0" w:color="auto"/>
      </w:divBdr>
    </w:div>
    <w:div w:id="1851139141">
      <w:bodyDiv w:val="1"/>
      <w:marLeft w:val="0"/>
      <w:marRight w:val="0"/>
      <w:marTop w:val="0"/>
      <w:marBottom w:val="0"/>
      <w:divBdr>
        <w:top w:val="none" w:sz="0" w:space="0" w:color="auto"/>
        <w:left w:val="none" w:sz="0" w:space="0" w:color="auto"/>
        <w:bottom w:val="none" w:sz="0" w:space="0" w:color="auto"/>
        <w:right w:val="none" w:sz="0" w:space="0" w:color="auto"/>
      </w:divBdr>
    </w:div>
    <w:div w:id="1851332509">
      <w:bodyDiv w:val="1"/>
      <w:marLeft w:val="0"/>
      <w:marRight w:val="0"/>
      <w:marTop w:val="0"/>
      <w:marBottom w:val="0"/>
      <w:divBdr>
        <w:top w:val="none" w:sz="0" w:space="0" w:color="auto"/>
        <w:left w:val="none" w:sz="0" w:space="0" w:color="auto"/>
        <w:bottom w:val="none" w:sz="0" w:space="0" w:color="auto"/>
        <w:right w:val="none" w:sz="0" w:space="0" w:color="auto"/>
      </w:divBdr>
    </w:div>
    <w:div w:id="1851337072">
      <w:bodyDiv w:val="1"/>
      <w:marLeft w:val="0"/>
      <w:marRight w:val="0"/>
      <w:marTop w:val="0"/>
      <w:marBottom w:val="0"/>
      <w:divBdr>
        <w:top w:val="none" w:sz="0" w:space="0" w:color="auto"/>
        <w:left w:val="none" w:sz="0" w:space="0" w:color="auto"/>
        <w:bottom w:val="none" w:sz="0" w:space="0" w:color="auto"/>
        <w:right w:val="none" w:sz="0" w:space="0" w:color="auto"/>
      </w:divBdr>
    </w:div>
    <w:div w:id="1851484169">
      <w:bodyDiv w:val="1"/>
      <w:marLeft w:val="0"/>
      <w:marRight w:val="0"/>
      <w:marTop w:val="0"/>
      <w:marBottom w:val="0"/>
      <w:divBdr>
        <w:top w:val="none" w:sz="0" w:space="0" w:color="auto"/>
        <w:left w:val="none" w:sz="0" w:space="0" w:color="auto"/>
        <w:bottom w:val="none" w:sz="0" w:space="0" w:color="auto"/>
        <w:right w:val="none" w:sz="0" w:space="0" w:color="auto"/>
      </w:divBdr>
    </w:div>
    <w:div w:id="1851529187">
      <w:bodyDiv w:val="1"/>
      <w:marLeft w:val="0"/>
      <w:marRight w:val="0"/>
      <w:marTop w:val="0"/>
      <w:marBottom w:val="0"/>
      <w:divBdr>
        <w:top w:val="none" w:sz="0" w:space="0" w:color="auto"/>
        <w:left w:val="none" w:sz="0" w:space="0" w:color="auto"/>
        <w:bottom w:val="none" w:sz="0" w:space="0" w:color="auto"/>
        <w:right w:val="none" w:sz="0" w:space="0" w:color="auto"/>
      </w:divBdr>
    </w:div>
    <w:div w:id="1851603528">
      <w:bodyDiv w:val="1"/>
      <w:marLeft w:val="0"/>
      <w:marRight w:val="0"/>
      <w:marTop w:val="0"/>
      <w:marBottom w:val="0"/>
      <w:divBdr>
        <w:top w:val="none" w:sz="0" w:space="0" w:color="auto"/>
        <w:left w:val="none" w:sz="0" w:space="0" w:color="auto"/>
        <w:bottom w:val="none" w:sz="0" w:space="0" w:color="auto"/>
        <w:right w:val="none" w:sz="0" w:space="0" w:color="auto"/>
      </w:divBdr>
    </w:div>
    <w:div w:id="1851604961">
      <w:bodyDiv w:val="1"/>
      <w:marLeft w:val="0"/>
      <w:marRight w:val="0"/>
      <w:marTop w:val="0"/>
      <w:marBottom w:val="0"/>
      <w:divBdr>
        <w:top w:val="none" w:sz="0" w:space="0" w:color="auto"/>
        <w:left w:val="none" w:sz="0" w:space="0" w:color="auto"/>
        <w:bottom w:val="none" w:sz="0" w:space="0" w:color="auto"/>
        <w:right w:val="none" w:sz="0" w:space="0" w:color="auto"/>
      </w:divBdr>
    </w:div>
    <w:div w:id="1851605352">
      <w:bodyDiv w:val="1"/>
      <w:marLeft w:val="0"/>
      <w:marRight w:val="0"/>
      <w:marTop w:val="0"/>
      <w:marBottom w:val="0"/>
      <w:divBdr>
        <w:top w:val="none" w:sz="0" w:space="0" w:color="auto"/>
        <w:left w:val="none" w:sz="0" w:space="0" w:color="auto"/>
        <w:bottom w:val="none" w:sz="0" w:space="0" w:color="auto"/>
        <w:right w:val="none" w:sz="0" w:space="0" w:color="auto"/>
      </w:divBdr>
    </w:div>
    <w:div w:id="1851606287">
      <w:bodyDiv w:val="1"/>
      <w:marLeft w:val="0"/>
      <w:marRight w:val="0"/>
      <w:marTop w:val="0"/>
      <w:marBottom w:val="0"/>
      <w:divBdr>
        <w:top w:val="none" w:sz="0" w:space="0" w:color="auto"/>
        <w:left w:val="none" w:sz="0" w:space="0" w:color="auto"/>
        <w:bottom w:val="none" w:sz="0" w:space="0" w:color="auto"/>
        <w:right w:val="none" w:sz="0" w:space="0" w:color="auto"/>
      </w:divBdr>
    </w:div>
    <w:div w:id="1851675308">
      <w:bodyDiv w:val="1"/>
      <w:marLeft w:val="0"/>
      <w:marRight w:val="0"/>
      <w:marTop w:val="0"/>
      <w:marBottom w:val="0"/>
      <w:divBdr>
        <w:top w:val="none" w:sz="0" w:space="0" w:color="auto"/>
        <w:left w:val="none" w:sz="0" w:space="0" w:color="auto"/>
        <w:bottom w:val="none" w:sz="0" w:space="0" w:color="auto"/>
        <w:right w:val="none" w:sz="0" w:space="0" w:color="auto"/>
      </w:divBdr>
    </w:div>
    <w:div w:id="1851676230">
      <w:bodyDiv w:val="1"/>
      <w:marLeft w:val="0"/>
      <w:marRight w:val="0"/>
      <w:marTop w:val="0"/>
      <w:marBottom w:val="0"/>
      <w:divBdr>
        <w:top w:val="none" w:sz="0" w:space="0" w:color="auto"/>
        <w:left w:val="none" w:sz="0" w:space="0" w:color="auto"/>
        <w:bottom w:val="none" w:sz="0" w:space="0" w:color="auto"/>
        <w:right w:val="none" w:sz="0" w:space="0" w:color="auto"/>
      </w:divBdr>
    </w:div>
    <w:div w:id="1851677805">
      <w:bodyDiv w:val="1"/>
      <w:marLeft w:val="0"/>
      <w:marRight w:val="0"/>
      <w:marTop w:val="0"/>
      <w:marBottom w:val="0"/>
      <w:divBdr>
        <w:top w:val="none" w:sz="0" w:space="0" w:color="auto"/>
        <w:left w:val="none" w:sz="0" w:space="0" w:color="auto"/>
        <w:bottom w:val="none" w:sz="0" w:space="0" w:color="auto"/>
        <w:right w:val="none" w:sz="0" w:space="0" w:color="auto"/>
      </w:divBdr>
    </w:div>
    <w:div w:id="1851722111">
      <w:bodyDiv w:val="1"/>
      <w:marLeft w:val="0"/>
      <w:marRight w:val="0"/>
      <w:marTop w:val="0"/>
      <w:marBottom w:val="0"/>
      <w:divBdr>
        <w:top w:val="none" w:sz="0" w:space="0" w:color="auto"/>
        <w:left w:val="none" w:sz="0" w:space="0" w:color="auto"/>
        <w:bottom w:val="none" w:sz="0" w:space="0" w:color="auto"/>
        <w:right w:val="none" w:sz="0" w:space="0" w:color="auto"/>
      </w:divBdr>
    </w:div>
    <w:div w:id="1851724112">
      <w:bodyDiv w:val="1"/>
      <w:marLeft w:val="0"/>
      <w:marRight w:val="0"/>
      <w:marTop w:val="0"/>
      <w:marBottom w:val="0"/>
      <w:divBdr>
        <w:top w:val="none" w:sz="0" w:space="0" w:color="auto"/>
        <w:left w:val="none" w:sz="0" w:space="0" w:color="auto"/>
        <w:bottom w:val="none" w:sz="0" w:space="0" w:color="auto"/>
        <w:right w:val="none" w:sz="0" w:space="0" w:color="auto"/>
      </w:divBdr>
    </w:div>
    <w:div w:id="1851792168">
      <w:bodyDiv w:val="1"/>
      <w:marLeft w:val="0"/>
      <w:marRight w:val="0"/>
      <w:marTop w:val="0"/>
      <w:marBottom w:val="0"/>
      <w:divBdr>
        <w:top w:val="none" w:sz="0" w:space="0" w:color="auto"/>
        <w:left w:val="none" w:sz="0" w:space="0" w:color="auto"/>
        <w:bottom w:val="none" w:sz="0" w:space="0" w:color="auto"/>
        <w:right w:val="none" w:sz="0" w:space="0" w:color="auto"/>
      </w:divBdr>
    </w:div>
    <w:div w:id="1851868029">
      <w:bodyDiv w:val="1"/>
      <w:marLeft w:val="0"/>
      <w:marRight w:val="0"/>
      <w:marTop w:val="0"/>
      <w:marBottom w:val="0"/>
      <w:divBdr>
        <w:top w:val="none" w:sz="0" w:space="0" w:color="auto"/>
        <w:left w:val="none" w:sz="0" w:space="0" w:color="auto"/>
        <w:bottom w:val="none" w:sz="0" w:space="0" w:color="auto"/>
        <w:right w:val="none" w:sz="0" w:space="0" w:color="auto"/>
      </w:divBdr>
    </w:div>
    <w:div w:id="1851871794">
      <w:bodyDiv w:val="1"/>
      <w:marLeft w:val="0"/>
      <w:marRight w:val="0"/>
      <w:marTop w:val="0"/>
      <w:marBottom w:val="0"/>
      <w:divBdr>
        <w:top w:val="none" w:sz="0" w:space="0" w:color="auto"/>
        <w:left w:val="none" w:sz="0" w:space="0" w:color="auto"/>
        <w:bottom w:val="none" w:sz="0" w:space="0" w:color="auto"/>
        <w:right w:val="none" w:sz="0" w:space="0" w:color="auto"/>
      </w:divBdr>
    </w:div>
    <w:div w:id="1851917597">
      <w:bodyDiv w:val="1"/>
      <w:marLeft w:val="0"/>
      <w:marRight w:val="0"/>
      <w:marTop w:val="0"/>
      <w:marBottom w:val="0"/>
      <w:divBdr>
        <w:top w:val="none" w:sz="0" w:space="0" w:color="auto"/>
        <w:left w:val="none" w:sz="0" w:space="0" w:color="auto"/>
        <w:bottom w:val="none" w:sz="0" w:space="0" w:color="auto"/>
        <w:right w:val="none" w:sz="0" w:space="0" w:color="auto"/>
      </w:divBdr>
    </w:div>
    <w:div w:id="1851946167">
      <w:bodyDiv w:val="1"/>
      <w:marLeft w:val="0"/>
      <w:marRight w:val="0"/>
      <w:marTop w:val="0"/>
      <w:marBottom w:val="0"/>
      <w:divBdr>
        <w:top w:val="none" w:sz="0" w:space="0" w:color="auto"/>
        <w:left w:val="none" w:sz="0" w:space="0" w:color="auto"/>
        <w:bottom w:val="none" w:sz="0" w:space="0" w:color="auto"/>
        <w:right w:val="none" w:sz="0" w:space="0" w:color="auto"/>
      </w:divBdr>
    </w:div>
    <w:div w:id="1851985553">
      <w:bodyDiv w:val="1"/>
      <w:marLeft w:val="0"/>
      <w:marRight w:val="0"/>
      <w:marTop w:val="0"/>
      <w:marBottom w:val="0"/>
      <w:divBdr>
        <w:top w:val="none" w:sz="0" w:space="0" w:color="auto"/>
        <w:left w:val="none" w:sz="0" w:space="0" w:color="auto"/>
        <w:bottom w:val="none" w:sz="0" w:space="0" w:color="auto"/>
        <w:right w:val="none" w:sz="0" w:space="0" w:color="auto"/>
      </w:divBdr>
    </w:div>
    <w:div w:id="1851989771">
      <w:bodyDiv w:val="1"/>
      <w:marLeft w:val="0"/>
      <w:marRight w:val="0"/>
      <w:marTop w:val="0"/>
      <w:marBottom w:val="0"/>
      <w:divBdr>
        <w:top w:val="none" w:sz="0" w:space="0" w:color="auto"/>
        <w:left w:val="none" w:sz="0" w:space="0" w:color="auto"/>
        <w:bottom w:val="none" w:sz="0" w:space="0" w:color="auto"/>
        <w:right w:val="none" w:sz="0" w:space="0" w:color="auto"/>
      </w:divBdr>
    </w:div>
    <w:div w:id="1852255804">
      <w:bodyDiv w:val="1"/>
      <w:marLeft w:val="0"/>
      <w:marRight w:val="0"/>
      <w:marTop w:val="0"/>
      <w:marBottom w:val="0"/>
      <w:divBdr>
        <w:top w:val="none" w:sz="0" w:space="0" w:color="auto"/>
        <w:left w:val="none" w:sz="0" w:space="0" w:color="auto"/>
        <w:bottom w:val="none" w:sz="0" w:space="0" w:color="auto"/>
        <w:right w:val="none" w:sz="0" w:space="0" w:color="auto"/>
      </w:divBdr>
    </w:div>
    <w:div w:id="1852378595">
      <w:bodyDiv w:val="1"/>
      <w:marLeft w:val="0"/>
      <w:marRight w:val="0"/>
      <w:marTop w:val="0"/>
      <w:marBottom w:val="0"/>
      <w:divBdr>
        <w:top w:val="none" w:sz="0" w:space="0" w:color="auto"/>
        <w:left w:val="none" w:sz="0" w:space="0" w:color="auto"/>
        <w:bottom w:val="none" w:sz="0" w:space="0" w:color="auto"/>
        <w:right w:val="none" w:sz="0" w:space="0" w:color="auto"/>
      </w:divBdr>
    </w:div>
    <w:div w:id="1852525726">
      <w:bodyDiv w:val="1"/>
      <w:marLeft w:val="0"/>
      <w:marRight w:val="0"/>
      <w:marTop w:val="0"/>
      <w:marBottom w:val="0"/>
      <w:divBdr>
        <w:top w:val="none" w:sz="0" w:space="0" w:color="auto"/>
        <w:left w:val="none" w:sz="0" w:space="0" w:color="auto"/>
        <w:bottom w:val="none" w:sz="0" w:space="0" w:color="auto"/>
        <w:right w:val="none" w:sz="0" w:space="0" w:color="auto"/>
      </w:divBdr>
    </w:div>
    <w:div w:id="1852639267">
      <w:bodyDiv w:val="1"/>
      <w:marLeft w:val="0"/>
      <w:marRight w:val="0"/>
      <w:marTop w:val="0"/>
      <w:marBottom w:val="0"/>
      <w:divBdr>
        <w:top w:val="none" w:sz="0" w:space="0" w:color="auto"/>
        <w:left w:val="none" w:sz="0" w:space="0" w:color="auto"/>
        <w:bottom w:val="none" w:sz="0" w:space="0" w:color="auto"/>
        <w:right w:val="none" w:sz="0" w:space="0" w:color="auto"/>
      </w:divBdr>
    </w:div>
    <w:div w:id="1852642659">
      <w:bodyDiv w:val="1"/>
      <w:marLeft w:val="0"/>
      <w:marRight w:val="0"/>
      <w:marTop w:val="0"/>
      <w:marBottom w:val="0"/>
      <w:divBdr>
        <w:top w:val="none" w:sz="0" w:space="0" w:color="auto"/>
        <w:left w:val="none" w:sz="0" w:space="0" w:color="auto"/>
        <w:bottom w:val="none" w:sz="0" w:space="0" w:color="auto"/>
        <w:right w:val="none" w:sz="0" w:space="0" w:color="auto"/>
      </w:divBdr>
    </w:div>
    <w:div w:id="1852791766">
      <w:bodyDiv w:val="1"/>
      <w:marLeft w:val="0"/>
      <w:marRight w:val="0"/>
      <w:marTop w:val="0"/>
      <w:marBottom w:val="0"/>
      <w:divBdr>
        <w:top w:val="none" w:sz="0" w:space="0" w:color="auto"/>
        <w:left w:val="none" w:sz="0" w:space="0" w:color="auto"/>
        <w:bottom w:val="none" w:sz="0" w:space="0" w:color="auto"/>
        <w:right w:val="none" w:sz="0" w:space="0" w:color="auto"/>
      </w:divBdr>
    </w:div>
    <w:div w:id="1852837624">
      <w:bodyDiv w:val="1"/>
      <w:marLeft w:val="0"/>
      <w:marRight w:val="0"/>
      <w:marTop w:val="0"/>
      <w:marBottom w:val="0"/>
      <w:divBdr>
        <w:top w:val="none" w:sz="0" w:space="0" w:color="auto"/>
        <w:left w:val="none" w:sz="0" w:space="0" w:color="auto"/>
        <w:bottom w:val="none" w:sz="0" w:space="0" w:color="auto"/>
        <w:right w:val="none" w:sz="0" w:space="0" w:color="auto"/>
      </w:divBdr>
    </w:div>
    <w:div w:id="1852908605">
      <w:bodyDiv w:val="1"/>
      <w:marLeft w:val="0"/>
      <w:marRight w:val="0"/>
      <w:marTop w:val="0"/>
      <w:marBottom w:val="0"/>
      <w:divBdr>
        <w:top w:val="none" w:sz="0" w:space="0" w:color="auto"/>
        <w:left w:val="none" w:sz="0" w:space="0" w:color="auto"/>
        <w:bottom w:val="none" w:sz="0" w:space="0" w:color="auto"/>
        <w:right w:val="none" w:sz="0" w:space="0" w:color="auto"/>
      </w:divBdr>
    </w:div>
    <w:div w:id="1853105439">
      <w:bodyDiv w:val="1"/>
      <w:marLeft w:val="0"/>
      <w:marRight w:val="0"/>
      <w:marTop w:val="0"/>
      <w:marBottom w:val="0"/>
      <w:divBdr>
        <w:top w:val="none" w:sz="0" w:space="0" w:color="auto"/>
        <w:left w:val="none" w:sz="0" w:space="0" w:color="auto"/>
        <w:bottom w:val="none" w:sz="0" w:space="0" w:color="auto"/>
        <w:right w:val="none" w:sz="0" w:space="0" w:color="auto"/>
      </w:divBdr>
    </w:div>
    <w:div w:id="1853182603">
      <w:bodyDiv w:val="1"/>
      <w:marLeft w:val="0"/>
      <w:marRight w:val="0"/>
      <w:marTop w:val="0"/>
      <w:marBottom w:val="0"/>
      <w:divBdr>
        <w:top w:val="none" w:sz="0" w:space="0" w:color="auto"/>
        <w:left w:val="none" w:sz="0" w:space="0" w:color="auto"/>
        <w:bottom w:val="none" w:sz="0" w:space="0" w:color="auto"/>
        <w:right w:val="none" w:sz="0" w:space="0" w:color="auto"/>
      </w:divBdr>
    </w:div>
    <w:div w:id="1853373170">
      <w:bodyDiv w:val="1"/>
      <w:marLeft w:val="0"/>
      <w:marRight w:val="0"/>
      <w:marTop w:val="0"/>
      <w:marBottom w:val="0"/>
      <w:divBdr>
        <w:top w:val="none" w:sz="0" w:space="0" w:color="auto"/>
        <w:left w:val="none" w:sz="0" w:space="0" w:color="auto"/>
        <w:bottom w:val="none" w:sz="0" w:space="0" w:color="auto"/>
        <w:right w:val="none" w:sz="0" w:space="0" w:color="auto"/>
      </w:divBdr>
    </w:div>
    <w:div w:id="1853495302">
      <w:bodyDiv w:val="1"/>
      <w:marLeft w:val="0"/>
      <w:marRight w:val="0"/>
      <w:marTop w:val="0"/>
      <w:marBottom w:val="0"/>
      <w:divBdr>
        <w:top w:val="none" w:sz="0" w:space="0" w:color="auto"/>
        <w:left w:val="none" w:sz="0" w:space="0" w:color="auto"/>
        <w:bottom w:val="none" w:sz="0" w:space="0" w:color="auto"/>
        <w:right w:val="none" w:sz="0" w:space="0" w:color="auto"/>
      </w:divBdr>
    </w:div>
    <w:div w:id="1853640162">
      <w:bodyDiv w:val="1"/>
      <w:marLeft w:val="0"/>
      <w:marRight w:val="0"/>
      <w:marTop w:val="0"/>
      <w:marBottom w:val="0"/>
      <w:divBdr>
        <w:top w:val="none" w:sz="0" w:space="0" w:color="auto"/>
        <w:left w:val="none" w:sz="0" w:space="0" w:color="auto"/>
        <w:bottom w:val="none" w:sz="0" w:space="0" w:color="auto"/>
        <w:right w:val="none" w:sz="0" w:space="0" w:color="auto"/>
      </w:divBdr>
    </w:div>
    <w:div w:id="1853641728">
      <w:bodyDiv w:val="1"/>
      <w:marLeft w:val="0"/>
      <w:marRight w:val="0"/>
      <w:marTop w:val="0"/>
      <w:marBottom w:val="0"/>
      <w:divBdr>
        <w:top w:val="none" w:sz="0" w:space="0" w:color="auto"/>
        <w:left w:val="none" w:sz="0" w:space="0" w:color="auto"/>
        <w:bottom w:val="none" w:sz="0" w:space="0" w:color="auto"/>
        <w:right w:val="none" w:sz="0" w:space="0" w:color="auto"/>
      </w:divBdr>
    </w:div>
    <w:div w:id="1853688987">
      <w:bodyDiv w:val="1"/>
      <w:marLeft w:val="0"/>
      <w:marRight w:val="0"/>
      <w:marTop w:val="0"/>
      <w:marBottom w:val="0"/>
      <w:divBdr>
        <w:top w:val="none" w:sz="0" w:space="0" w:color="auto"/>
        <w:left w:val="none" w:sz="0" w:space="0" w:color="auto"/>
        <w:bottom w:val="none" w:sz="0" w:space="0" w:color="auto"/>
        <w:right w:val="none" w:sz="0" w:space="0" w:color="auto"/>
      </w:divBdr>
    </w:div>
    <w:div w:id="1853833695">
      <w:bodyDiv w:val="1"/>
      <w:marLeft w:val="0"/>
      <w:marRight w:val="0"/>
      <w:marTop w:val="0"/>
      <w:marBottom w:val="0"/>
      <w:divBdr>
        <w:top w:val="none" w:sz="0" w:space="0" w:color="auto"/>
        <w:left w:val="none" w:sz="0" w:space="0" w:color="auto"/>
        <w:bottom w:val="none" w:sz="0" w:space="0" w:color="auto"/>
        <w:right w:val="none" w:sz="0" w:space="0" w:color="auto"/>
      </w:divBdr>
    </w:div>
    <w:div w:id="1853914700">
      <w:bodyDiv w:val="1"/>
      <w:marLeft w:val="0"/>
      <w:marRight w:val="0"/>
      <w:marTop w:val="0"/>
      <w:marBottom w:val="0"/>
      <w:divBdr>
        <w:top w:val="none" w:sz="0" w:space="0" w:color="auto"/>
        <w:left w:val="none" w:sz="0" w:space="0" w:color="auto"/>
        <w:bottom w:val="none" w:sz="0" w:space="0" w:color="auto"/>
        <w:right w:val="none" w:sz="0" w:space="0" w:color="auto"/>
      </w:divBdr>
    </w:div>
    <w:div w:id="1853953734">
      <w:bodyDiv w:val="1"/>
      <w:marLeft w:val="0"/>
      <w:marRight w:val="0"/>
      <w:marTop w:val="0"/>
      <w:marBottom w:val="0"/>
      <w:divBdr>
        <w:top w:val="none" w:sz="0" w:space="0" w:color="auto"/>
        <w:left w:val="none" w:sz="0" w:space="0" w:color="auto"/>
        <w:bottom w:val="none" w:sz="0" w:space="0" w:color="auto"/>
        <w:right w:val="none" w:sz="0" w:space="0" w:color="auto"/>
      </w:divBdr>
    </w:div>
    <w:div w:id="1854032304">
      <w:bodyDiv w:val="1"/>
      <w:marLeft w:val="0"/>
      <w:marRight w:val="0"/>
      <w:marTop w:val="0"/>
      <w:marBottom w:val="0"/>
      <w:divBdr>
        <w:top w:val="none" w:sz="0" w:space="0" w:color="auto"/>
        <w:left w:val="none" w:sz="0" w:space="0" w:color="auto"/>
        <w:bottom w:val="none" w:sz="0" w:space="0" w:color="auto"/>
        <w:right w:val="none" w:sz="0" w:space="0" w:color="auto"/>
      </w:divBdr>
    </w:div>
    <w:div w:id="1854176543">
      <w:bodyDiv w:val="1"/>
      <w:marLeft w:val="0"/>
      <w:marRight w:val="0"/>
      <w:marTop w:val="0"/>
      <w:marBottom w:val="0"/>
      <w:divBdr>
        <w:top w:val="none" w:sz="0" w:space="0" w:color="auto"/>
        <w:left w:val="none" w:sz="0" w:space="0" w:color="auto"/>
        <w:bottom w:val="none" w:sz="0" w:space="0" w:color="auto"/>
        <w:right w:val="none" w:sz="0" w:space="0" w:color="auto"/>
      </w:divBdr>
    </w:div>
    <w:div w:id="1854220899">
      <w:bodyDiv w:val="1"/>
      <w:marLeft w:val="0"/>
      <w:marRight w:val="0"/>
      <w:marTop w:val="0"/>
      <w:marBottom w:val="0"/>
      <w:divBdr>
        <w:top w:val="none" w:sz="0" w:space="0" w:color="auto"/>
        <w:left w:val="none" w:sz="0" w:space="0" w:color="auto"/>
        <w:bottom w:val="none" w:sz="0" w:space="0" w:color="auto"/>
        <w:right w:val="none" w:sz="0" w:space="0" w:color="auto"/>
      </w:divBdr>
    </w:div>
    <w:div w:id="1854299113">
      <w:bodyDiv w:val="1"/>
      <w:marLeft w:val="0"/>
      <w:marRight w:val="0"/>
      <w:marTop w:val="0"/>
      <w:marBottom w:val="0"/>
      <w:divBdr>
        <w:top w:val="none" w:sz="0" w:space="0" w:color="auto"/>
        <w:left w:val="none" w:sz="0" w:space="0" w:color="auto"/>
        <w:bottom w:val="none" w:sz="0" w:space="0" w:color="auto"/>
        <w:right w:val="none" w:sz="0" w:space="0" w:color="auto"/>
      </w:divBdr>
    </w:div>
    <w:div w:id="1854302039">
      <w:bodyDiv w:val="1"/>
      <w:marLeft w:val="0"/>
      <w:marRight w:val="0"/>
      <w:marTop w:val="0"/>
      <w:marBottom w:val="0"/>
      <w:divBdr>
        <w:top w:val="none" w:sz="0" w:space="0" w:color="auto"/>
        <w:left w:val="none" w:sz="0" w:space="0" w:color="auto"/>
        <w:bottom w:val="none" w:sz="0" w:space="0" w:color="auto"/>
        <w:right w:val="none" w:sz="0" w:space="0" w:color="auto"/>
      </w:divBdr>
    </w:div>
    <w:div w:id="1854341325">
      <w:bodyDiv w:val="1"/>
      <w:marLeft w:val="0"/>
      <w:marRight w:val="0"/>
      <w:marTop w:val="0"/>
      <w:marBottom w:val="0"/>
      <w:divBdr>
        <w:top w:val="none" w:sz="0" w:space="0" w:color="auto"/>
        <w:left w:val="none" w:sz="0" w:space="0" w:color="auto"/>
        <w:bottom w:val="none" w:sz="0" w:space="0" w:color="auto"/>
        <w:right w:val="none" w:sz="0" w:space="0" w:color="auto"/>
      </w:divBdr>
    </w:div>
    <w:div w:id="1854492369">
      <w:bodyDiv w:val="1"/>
      <w:marLeft w:val="0"/>
      <w:marRight w:val="0"/>
      <w:marTop w:val="0"/>
      <w:marBottom w:val="0"/>
      <w:divBdr>
        <w:top w:val="none" w:sz="0" w:space="0" w:color="auto"/>
        <w:left w:val="none" w:sz="0" w:space="0" w:color="auto"/>
        <w:bottom w:val="none" w:sz="0" w:space="0" w:color="auto"/>
        <w:right w:val="none" w:sz="0" w:space="0" w:color="auto"/>
      </w:divBdr>
    </w:div>
    <w:div w:id="1854562398">
      <w:bodyDiv w:val="1"/>
      <w:marLeft w:val="0"/>
      <w:marRight w:val="0"/>
      <w:marTop w:val="0"/>
      <w:marBottom w:val="0"/>
      <w:divBdr>
        <w:top w:val="none" w:sz="0" w:space="0" w:color="auto"/>
        <w:left w:val="none" w:sz="0" w:space="0" w:color="auto"/>
        <w:bottom w:val="none" w:sz="0" w:space="0" w:color="auto"/>
        <w:right w:val="none" w:sz="0" w:space="0" w:color="auto"/>
      </w:divBdr>
    </w:div>
    <w:div w:id="1854684658">
      <w:bodyDiv w:val="1"/>
      <w:marLeft w:val="0"/>
      <w:marRight w:val="0"/>
      <w:marTop w:val="0"/>
      <w:marBottom w:val="0"/>
      <w:divBdr>
        <w:top w:val="none" w:sz="0" w:space="0" w:color="auto"/>
        <w:left w:val="none" w:sz="0" w:space="0" w:color="auto"/>
        <w:bottom w:val="none" w:sz="0" w:space="0" w:color="auto"/>
        <w:right w:val="none" w:sz="0" w:space="0" w:color="auto"/>
      </w:divBdr>
    </w:div>
    <w:div w:id="1854759956">
      <w:bodyDiv w:val="1"/>
      <w:marLeft w:val="0"/>
      <w:marRight w:val="0"/>
      <w:marTop w:val="0"/>
      <w:marBottom w:val="0"/>
      <w:divBdr>
        <w:top w:val="none" w:sz="0" w:space="0" w:color="auto"/>
        <w:left w:val="none" w:sz="0" w:space="0" w:color="auto"/>
        <w:bottom w:val="none" w:sz="0" w:space="0" w:color="auto"/>
        <w:right w:val="none" w:sz="0" w:space="0" w:color="auto"/>
      </w:divBdr>
    </w:div>
    <w:div w:id="1855073261">
      <w:bodyDiv w:val="1"/>
      <w:marLeft w:val="0"/>
      <w:marRight w:val="0"/>
      <w:marTop w:val="0"/>
      <w:marBottom w:val="0"/>
      <w:divBdr>
        <w:top w:val="none" w:sz="0" w:space="0" w:color="auto"/>
        <w:left w:val="none" w:sz="0" w:space="0" w:color="auto"/>
        <w:bottom w:val="none" w:sz="0" w:space="0" w:color="auto"/>
        <w:right w:val="none" w:sz="0" w:space="0" w:color="auto"/>
      </w:divBdr>
    </w:div>
    <w:div w:id="1855147708">
      <w:bodyDiv w:val="1"/>
      <w:marLeft w:val="0"/>
      <w:marRight w:val="0"/>
      <w:marTop w:val="0"/>
      <w:marBottom w:val="0"/>
      <w:divBdr>
        <w:top w:val="none" w:sz="0" w:space="0" w:color="auto"/>
        <w:left w:val="none" w:sz="0" w:space="0" w:color="auto"/>
        <w:bottom w:val="none" w:sz="0" w:space="0" w:color="auto"/>
        <w:right w:val="none" w:sz="0" w:space="0" w:color="auto"/>
      </w:divBdr>
    </w:div>
    <w:div w:id="1855148223">
      <w:bodyDiv w:val="1"/>
      <w:marLeft w:val="0"/>
      <w:marRight w:val="0"/>
      <w:marTop w:val="0"/>
      <w:marBottom w:val="0"/>
      <w:divBdr>
        <w:top w:val="none" w:sz="0" w:space="0" w:color="auto"/>
        <w:left w:val="none" w:sz="0" w:space="0" w:color="auto"/>
        <w:bottom w:val="none" w:sz="0" w:space="0" w:color="auto"/>
        <w:right w:val="none" w:sz="0" w:space="0" w:color="auto"/>
      </w:divBdr>
    </w:div>
    <w:div w:id="1855148353">
      <w:bodyDiv w:val="1"/>
      <w:marLeft w:val="0"/>
      <w:marRight w:val="0"/>
      <w:marTop w:val="0"/>
      <w:marBottom w:val="0"/>
      <w:divBdr>
        <w:top w:val="none" w:sz="0" w:space="0" w:color="auto"/>
        <w:left w:val="none" w:sz="0" w:space="0" w:color="auto"/>
        <w:bottom w:val="none" w:sz="0" w:space="0" w:color="auto"/>
        <w:right w:val="none" w:sz="0" w:space="0" w:color="auto"/>
      </w:divBdr>
    </w:div>
    <w:div w:id="1855220884">
      <w:bodyDiv w:val="1"/>
      <w:marLeft w:val="0"/>
      <w:marRight w:val="0"/>
      <w:marTop w:val="0"/>
      <w:marBottom w:val="0"/>
      <w:divBdr>
        <w:top w:val="none" w:sz="0" w:space="0" w:color="auto"/>
        <w:left w:val="none" w:sz="0" w:space="0" w:color="auto"/>
        <w:bottom w:val="none" w:sz="0" w:space="0" w:color="auto"/>
        <w:right w:val="none" w:sz="0" w:space="0" w:color="auto"/>
      </w:divBdr>
    </w:div>
    <w:div w:id="1855224527">
      <w:bodyDiv w:val="1"/>
      <w:marLeft w:val="0"/>
      <w:marRight w:val="0"/>
      <w:marTop w:val="0"/>
      <w:marBottom w:val="0"/>
      <w:divBdr>
        <w:top w:val="none" w:sz="0" w:space="0" w:color="auto"/>
        <w:left w:val="none" w:sz="0" w:space="0" w:color="auto"/>
        <w:bottom w:val="none" w:sz="0" w:space="0" w:color="auto"/>
        <w:right w:val="none" w:sz="0" w:space="0" w:color="auto"/>
      </w:divBdr>
    </w:div>
    <w:div w:id="1855457925">
      <w:bodyDiv w:val="1"/>
      <w:marLeft w:val="0"/>
      <w:marRight w:val="0"/>
      <w:marTop w:val="0"/>
      <w:marBottom w:val="0"/>
      <w:divBdr>
        <w:top w:val="none" w:sz="0" w:space="0" w:color="auto"/>
        <w:left w:val="none" w:sz="0" w:space="0" w:color="auto"/>
        <w:bottom w:val="none" w:sz="0" w:space="0" w:color="auto"/>
        <w:right w:val="none" w:sz="0" w:space="0" w:color="auto"/>
      </w:divBdr>
    </w:div>
    <w:div w:id="1855458236">
      <w:bodyDiv w:val="1"/>
      <w:marLeft w:val="0"/>
      <w:marRight w:val="0"/>
      <w:marTop w:val="0"/>
      <w:marBottom w:val="0"/>
      <w:divBdr>
        <w:top w:val="none" w:sz="0" w:space="0" w:color="auto"/>
        <w:left w:val="none" w:sz="0" w:space="0" w:color="auto"/>
        <w:bottom w:val="none" w:sz="0" w:space="0" w:color="auto"/>
        <w:right w:val="none" w:sz="0" w:space="0" w:color="auto"/>
      </w:divBdr>
    </w:div>
    <w:div w:id="1855536243">
      <w:bodyDiv w:val="1"/>
      <w:marLeft w:val="0"/>
      <w:marRight w:val="0"/>
      <w:marTop w:val="0"/>
      <w:marBottom w:val="0"/>
      <w:divBdr>
        <w:top w:val="none" w:sz="0" w:space="0" w:color="auto"/>
        <w:left w:val="none" w:sz="0" w:space="0" w:color="auto"/>
        <w:bottom w:val="none" w:sz="0" w:space="0" w:color="auto"/>
        <w:right w:val="none" w:sz="0" w:space="0" w:color="auto"/>
      </w:divBdr>
    </w:div>
    <w:div w:id="1855728417">
      <w:bodyDiv w:val="1"/>
      <w:marLeft w:val="0"/>
      <w:marRight w:val="0"/>
      <w:marTop w:val="0"/>
      <w:marBottom w:val="0"/>
      <w:divBdr>
        <w:top w:val="none" w:sz="0" w:space="0" w:color="auto"/>
        <w:left w:val="none" w:sz="0" w:space="0" w:color="auto"/>
        <w:bottom w:val="none" w:sz="0" w:space="0" w:color="auto"/>
        <w:right w:val="none" w:sz="0" w:space="0" w:color="auto"/>
      </w:divBdr>
    </w:div>
    <w:div w:id="1855803773">
      <w:bodyDiv w:val="1"/>
      <w:marLeft w:val="0"/>
      <w:marRight w:val="0"/>
      <w:marTop w:val="0"/>
      <w:marBottom w:val="0"/>
      <w:divBdr>
        <w:top w:val="none" w:sz="0" w:space="0" w:color="auto"/>
        <w:left w:val="none" w:sz="0" w:space="0" w:color="auto"/>
        <w:bottom w:val="none" w:sz="0" w:space="0" w:color="auto"/>
        <w:right w:val="none" w:sz="0" w:space="0" w:color="auto"/>
      </w:divBdr>
    </w:div>
    <w:div w:id="1855849707">
      <w:bodyDiv w:val="1"/>
      <w:marLeft w:val="0"/>
      <w:marRight w:val="0"/>
      <w:marTop w:val="0"/>
      <w:marBottom w:val="0"/>
      <w:divBdr>
        <w:top w:val="none" w:sz="0" w:space="0" w:color="auto"/>
        <w:left w:val="none" w:sz="0" w:space="0" w:color="auto"/>
        <w:bottom w:val="none" w:sz="0" w:space="0" w:color="auto"/>
        <w:right w:val="none" w:sz="0" w:space="0" w:color="auto"/>
      </w:divBdr>
    </w:div>
    <w:div w:id="1855873302">
      <w:bodyDiv w:val="1"/>
      <w:marLeft w:val="0"/>
      <w:marRight w:val="0"/>
      <w:marTop w:val="0"/>
      <w:marBottom w:val="0"/>
      <w:divBdr>
        <w:top w:val="none" w:sz="0" w:space="0" w:color="auto"/>
        <w:left w:val="none" w:sz="0" w:space="0" w:color="auto"/>
        <w:bottom w:val="none" w:sz="0" w:space="0" w:color="auto"/>
        <w:right w:val="none" w:sz="0" w:space="0" w:color="auto"/>
      </w:divBdr>
    </w:div>
    <w:div w:id="1856113191">
      <w:bodyDiv w:val="1"/>
      <w:marLeft w:val="0"/>
      <w:marRight w:val="0"/>
      <w:marTop w:val="0"/>
      <w:marBottom w:val="0"/>
      <w:divBdr>
        <w:top w:val="none" w:sz="0" w:space="0" w:color="auto"/>
        <w:left w:val="none" w:sz="0" w:space="0" w:color="auto"/>
        <w:bottom w:val="none" w:sz="0" w:space="0" w:color="auto"/>
        <w:right w:val="none" w:sz="0" w:space="0" w:color="auto"/>
      </w:divBdr>
    </w:div>
    <w:div w:id="1856142077">
      <w:bodyDiv w:val="1"/>
      <w:marLeft w:val="0"/>
      <w:marRight w:val="0"/>
      <w:marTop w:val="0"/>
      <w:marBottom w:val="0"/>
      <w:divBdr>
        <w:top w:val="none" w:sz="0" w:space="0" w:color="auto"/>
        <w:left w:val="none" w:sz="0" w:space="0" w:color="auto"/>
        <w:bottom w:val="none" w:sz="0" w:space="0" w:color="auto"/>
        <w:right w:val="none" w:sz="0" w:space="0" w:color="auto"/>
      </w:divBdr>
    </w:div>
    <w:div w:id="1856262281">
      <w:bodyDiv w:val="1"/>
      <w:marLeft w:val="0"/>
      <w:marRight w:val="0"/>
      <w:marTop w:val="0"/>
      <w:marBottom w:val="0"/>
      <w:divBdr>
        <w:top w:val="none" w:sz="0" w:space="0" w:color="auto"/>
        <w:left w:val="none" w:sz="0" w:space="0" w:color="auto"/>
        <w:bottom w:val="none" w:sz="0" w:space="0" w:color="auto"/>
        <w:right w:val="none" w:sz="0" w:space="0" w:color="auto"/>
      </w:divBdr>
    </w:div>
    <w:div w:id="1856307785">
      <w:bodyDiv w:val="1"/>
      <w:marLeft w:val="0"/>
      <w:marRight w:val="0"/>
      <w:marTop w:val="0"/>
      <w:marBottom w:val="0"/>
      <w:divBdr>
        <w:top w:val="none" w:sz="0" w:space="0" w:color="auto"/>
        <w:left w:val="none" w:sz="0" w:space="0" w:color="auto"/>
        <w:bottom w:val="none" w:sz="0" w:space="0" w:color="auto"/>
        <w:right w:val="none" w:sz="0" w:space="0" w:color="auto"/>
      </w:divBdr>
    </w:div>
    <w:div w:id="1856308150">
      <w:bodyDiv w:val="1"/>
      <w:marLeft w:val="0"/>
      <w:marRight w:val="0"/>
      <w:marTop w:val="0"/>
      <w:marBottom w:val="0"/>
      <w:divBdr>
        <w:top w:val="none" w:sz="0" w:space="0" w:color="auto"/>
        <w:left w:val="none" w:sz="0" w:space="0" w:color="auto"/>
        <w:bottom w:val="none" w:sz="0" w:space="0" w:color="auto"/>
        <w:right w:val="none" w:sz="0" w:space="0" w:color="auto"/>
      </w:divBdr>
    </w:div>
    <w:div w:id="1856462037">
      <w:bodyDiv w:val="1"/>
      <w:marLeft w:val="0"/>
      <w:marRight w:val="0"/>
      <w:marTop w:val="0"/>
      <w:marBottom w:val="0"/>
      <w:divBdr>
        <w:top w:val="none" w:sz="0" w:space="0" w:color="auto"/>
        <w:left w:val="none" w:sz="0" w:space="0" w:color="auto"/>
        <w:bottom w:val="none" w:sz="0" w:space="0" w:color="auto"/>
        <w:right w:val="none" w:sz="0" w:space="0" w:color="auto"/>
      </w:divBdr>
    </w:div>
    <w:div w:id="1856534733">
      <w:bodyDiv w:val="1"/>
      <w:marLeft w:val="0"/>
      <w:marRight w:val="0"/>
      <w:marTop w:val="0"/>
      <w:marBottom w:val="0"/>
      <w:divBdr>
        <w:top w:val="none" w:sz="0" w:space="0" w:color="auto"/>
        <w:left w:val="none" w:sz="0" w:space="0" w:color="auto"/>
        <w:bottom w:val="none" w:sz="0" w:space="0" w:color="auto"/>
        <w:right w:val="none" w:sz="0" w:space="0" w:color="auto"/>
      </w:divBdr>
    </w:div>
    <w:div w:id="1856647441">
      <w:bodyDiv w:val="1"/>
      <w:marLeft w:val="0"/>
      <w:marRight w:val="0"/>
      <w:marTop w:val="0"/>
      <w:marBottom w:val="0"/>
      <w:divBdr>
        <w:top w:val="none" w:sz="0" w:space="0" w:color="auto"/>
        <w:left w:val="none" w:sz="0" w:space="0" w:color="auto"/>
        <w:bottom w:val="none" w:sz="0" w:space="0" w:color="auto"/>
        <w:right w:val="none" w:sz="0" w:space="0" w:color="auto"/>
      </w:divBdr>
    </w:div>
    <w:div w:id="1856842427">
      <w:bodyDiv w:val="1"/>
      <w:marLeft w:val="0"/>
      <w:marRight w:val="0"/>
      <w:marTop w:val="0"/>
      <w:marBottom w:val="0"/>
      <w:divBdr>
        <w:top w:val="none" w:sz="0" w:space="0" w:color="auto"/>
        <w:left w:val="none" w:sz="0" w:space="0" w:color="auto"/>
        <w:bottom w:val="none" w:sz="0" w:space="0" w:color="auto"/>
        <w:right w:val="none" w:sz="0" w:space="0" w:color="auto"/>
      </w:divBdr>
    </w:div>
    <w:div w:id="1856920457">
      <w:bodyDiv w:val="1"/>
      <w:marLeft w:val="0"/>
      <w:marRight w:val="0"/>
      <w:marTop w:val="0"/>
      <w:marBottom w:val="0"/>
      <w:divBdr>
        <w:top w:val="none" w:sz="0" w:space="0" w:color="auto"/>
        <w:left w:val="none" w:sz="0" w:space="0" w:color="auto"/>
        <w:bottom w:val="none" w:sz="0" w:space="0" w:color="auto"/>
        <w:right w:val="none" w:sz="0" w:space="0" w:color="auto"/>
      </w:divBdr>
    </w:div>
    <w:div w:id="1856965367">
      <w:bodyDiv w:val="1"/>
      <w:marLeft w:val="0"/>
      <w:marRight w:val="0"/>
      <w:marTop w:val="0"/>
      <w:marBottom w:val="0"/>
      <w:divBdr>
        <w:top w:val="none" w:sz="0" w:space="0" w:color="auto"/>
        <w:left w:val="none" w:sz="0" w:space="0" w:color="auto"/>
        <w:bottom w:val="none" w:sz="0" w:space="0" w:color="auto"/>
        <w:right w:val="none" w:sz="0" w:space="0" w:color="auto"/>
      </w:divBdr>
    </w:div>
    <w:div w:id="1857110849">
      <w:bodyDiv w:val="1"/>
      <w:marLeft w:val="0"/>
      <w:marRight w:val="0"/>
      <w:marTop w:val="0"/>
      <w:marBottom w:val="0"/>
      <w:divBdr>
        <w:top w:val="none" w:sz="0" w:space="0" w:color="auto"/>
        <w:left w:val="none" w:sz="0" w:space="0" w:color="auto"/>
        <w:bottom w:val="none" w:sz="0" w:space="0" w:color="auto"/>
        <w:right w:val="none" w:sz="0" w:space="0" w:color="auto"/>
      </w:divBdr>
    </w:div>
    <w:div w:id="1857385830">
      <w:bodyDiv w:val="1"/>
      <w:marLeft w:val="0"/>
      <w:marRight w:val="0"/>
      <w:marTop w:val="0"/>
      <w:marBottom w:val="0"/>
      <w:divBdr>
        <w:top w:val="none" w:sz="0" w:space="0" w:color="auto"/>
        <w:left w:val="none" w:sz="0" w:space="0" w:color="auto"/>
        <w:bottom w:val="none" w:sz="0" w:space="0" w:color="auto"/>
        <w:right w:val="none" w:sz="0" w:space="0" w:color="auto"/>
      </w:divBdr>
    </w:div>
    <w:div w:id="1857385955">
      <w:bodyDiv w:val="1"/>
      <w:marLeft w:val="0"/>
      <w:marRight w:val="0"/>
      <w:marTop w:val="0"/>
      <w:marBottom w:val="0"/>
      <w:divBdr>
        <w:top w:val="none" w:sz="0" w:space="0" w:color="auto"/>
        <w:left w:val="none" w:sz="0" w:space="0" w:color="auto"/>
        <w:bottom w:val="none" w:sz="0" w:space="0" w:color="auto"/>
        <w:right w:val="none" w:sz="0" w:space="0" w:color="auto"/>
      </w:divBdr>
    </w:div>
    <w:div w:id="1857496298">
      <w:bodyDiv w:val="1"/>
      <w:marLeft w:val="0"/>
      <w:marRight w:val="0"/>
      <w:marTop w:val="0"/>
      <w:marBottom w:val="0"/>
      <w:divBdr>
        <w:top w:val="none" w:sz="0" w:space="0" w:color="auto"/>
        <w:left w:val="none" w:sz="0" w:space="0" w:color="auto"/>
        <w:bottom w:val="none" w:sz="0" w:space="0" w:color="auto"/>
        <w:right w:val="none" w:sz="0" w:space="0" w:color="auto"/>
      </w:divBdr>
    </w:div>
    <w:div w:id="1857573376">
      <w:bodyDiv w:val="1"/>
      <w:marLeft w:val="0"/>
      <w:marRight w:val="0"/>
      <w:marTop w:val="0"/>
      <w:marBottom w:val="0"/>
      <w:divBdr>
        <w:top w:val="none" w:sz="0" w:space="0" w:color="auto"/>
        <w:left w:val="none" w:sz="0" w:space="0" w:color="auto"/>
        <w:bottom w:val="none" w:sz="0" w:space="0" w:color="auto"/>
        <w:right w:val="none" w:sz="0" w:space="0" w:color="auto"/>
      </w:divBdr>
    </w:div>
    <w:div w:id="1857648951">
      <w:bodyDiv w:val="1"/>
      <w:marLeft w:val="0"/>
      <w:marRight w:val="0"/>
      <w:marTop w:val="0"/>
      <w:marBottom w:val="0"/>
      <w:divBdr>
        <w:top w:val="none" w:sz="0" w:space="0" w:color="auto"/>
        <w:left w:val="none" w:sz="0" w:space="0" w:color="auto"/>
        <w:bottom w:val="none" w:sz="0" w:space="0" w:color="auto"/>
        <w:right w:val="none" w:sz="0" w:space="0" w:color="auto"/>
      </w:divBdr>
    </w:div>
    <w:div w:id="1857689513">
      <w:bodyDiv w:val="1"/>
      <w:marLeft w:val="0"/>
      <w:marRight w:val="0"/>
      <w:marTop w:val="0"/>
      <w:marBottom w:val="0"/>
      <w:divBdr>
        <w:top w:val="none" w:sz="0" w:space="0" w:color="auto"/>
        <w:left w:val="none" w:sz="0" w:space="0" w:color="auto"/>
        <w:bottom w:val="none" w:sz="0" w:space="0" w:color="auto"/>
        <w:right w:val="none" w:sz="0" w:space="0" w:color="auto"/>
      </w:divBdr>
    </w:div>
    <w:div w:id="1857695806">
      <w:bodyDiv w:val="1"/>
      <w:marLeft w:val="0"/>
      <w:marRight w:val="0"/>
      <w:marTop w:val="0"/>
      <w:marBottom w:val="0"/>
      <w:divBdr>
        <w:top w:val="none" w:sz="0" w:space="0" w:color="auto"/>
        <w:left w:val="none" w:sz="0" w:space="0" w:color="auto"/>
        <w:bottom w:val="none" w:sz="0" w:space="0" w:color="auto"/>
        <w:right w:val="none" w:sz="0" w:space="0" w:color="auto"/>
      </w:divBdr>
    </w:div>
    <w:div w:id="1857843792">
      <w:bodyDiv w:val="1"/>
      <w:marLeft w:val="0"/>
      <w:marRight w:val="0"/>
      <w:marTop w:val="0"/>
      <w:marBottom w:val="0"/>
      <w:divBdr>
        <w:top w:val="none" w:sz="0" w:space="0" w:color="auto"/>
        <w:left w:val="none" w:sz="0" w:space="0" w:color="auto"/>
        <w:bottom w:val="none" w:sz="0" w:space="0" w:color="auto"/>
        <w:right w:val="none" w:sz="0" w:space="0" w:color="auto"/>
      </w:divBdr>
    </w:div>
    <w:div w:id="1857884148">
      <w:bodyDiv w:val="1"/>
      <w:marLeft w:val="0"/>
      <w:marRight w:val="0"/>
      <w:marTop w:val="0"/>
      <w:marBottom w:val="0"/>
      <w:divBdr>
        <w:top w:val="none" w:sz="0" w:space="0" w:color="auto"/>
        <w:left w:val="none" w:sz="0" w:space="0" w:color="auto"/>
        <w:bottom w:val="none" w:sz="0" w:space="0" w:color="auto"/>
        <w:right w:val="none" w:sz="0" w:space="0" w:color="auto"/>
      </w:divBdr>
    </w:div>
    <w:div w:id="1858226996">
      <w:bodyDiv w:val="1"/>
      <w:marLeft w:val="0"/>
      <w:marRight w:val="0"/>
      <w:marTop w:val="0"/>
      <w:marBottom w:val="0"/>
      <w:divBdr>
        <w:top w:val="none" w:sz="0" w:space="0" w:color="auto"/>
        <w:left w:val="none" w:sz="0" w:space="0" w:color="auto"/>
        <w:bottom w:val="none" w:sz="0" w:space="0" w:color="auto"/>
        <w:right w:val="none" w:sz="0" w:space="0" w:color="auto"/>
      </w:divBdr>
    </w:div>
    <w:div w:id="1858229223">
      <w:bodyDiv w:val="1"/>
      <w:marLeft w:val="0"/>
      <w:marRight w:val="0"/>
      <w:marTop w:val="0"/>
      <w:marBottom w:val="0"/>
      <w:divBdr>
        <w:top w:val="none" w:sz="0" w:space="0" w:color="auto"/>
        <w:left w:val="none" w:sz="0" w:space="0" w:color="auto"/>
        <w:bottom w:val="none" w:sz="0" w:space="0" w:color="auto"/>
        <w:right w:val="none" w:sz="0" w:space="0" w:color="auto"/>
      </w:divBdr>
    </w:div>
    <w:div w:id="1858351286">
      <w:bodyDiv w:val="1"/>
      <w:marLeft w:val="0"/>
      <w:marRight w:val="0"/>
      <w:marTop w:val="0"/>
      <w:marBottom w:val="0"/>
      <w:divBdr>
        <w:top w:val="none" w:sz="0" w:space="0" w:color="auto"/>
        <w:left w:val="none" w:sz="0" w:space="0" w:color="auto"/>
        <w:bottom w:val="none" w:sz="0" w:space="0" w:color="auto"/>
        <w:right w:val="none" w:sz="0" w:space="0" w:color="auto"/>
      </w:divBdr>
    </w:div>
    <w:div w:id="1858351767">
      <w:bodyDiv w:val="1"/>
      <w:marLeft w:val="0"/>
      <w:marRight w:val="0"/>
      <w:marTop w:val="0"/>
      <w:marBottom w:val="0"/>
      <w:divBdr>
        <w:top w:val="none" w:sz="0" w:space="0" w:color="auto"/>
        <w:left w:val="none" w:sz="0" w:space="0" w:color="auto"/>
        <w:bottom w:val="none" w:sz="0" w:space="0" w:color="auto"/>
        <w:right w:val="none" w:sz="0" w:space="0" w:color="auto"/>
      </w:divBdr>
    </w:div>
    <w:div w:id="1858470264">
      <w:bodyDiv w:val="1"/>
      <w:marLeft w:val="0"/>
      <w:marRight w:val="0"/>
      <w:marTop w:val="0"/>
      <w:marBottom w:val="0"/>
      <w:divBdr>
        <w:top w:val="none" w:sz="0" w:space="0" w:color="auto"/>
        <w:left w:val="none" w:sz="0" w:space="0" w:color="auto"/>
        <w:bottom w:val="none" w:sz="0" w:space="0" w:color="auto"/>
        <w:right w:val="none" w:sz="0" w:space="0" w:color="auto"/>
      </w:divBdr>
    </w:div>
    <w:div w:id="1858498148">
      <w:bodyDiv w:val="1"/>
      <w:marLeft w:val="0"/>
      <w:marRight w:val="0"/>
      <w:marTop w:val="0"/>
      <w:marBottom w:val="0"/>
      <w:divBdr>
        <w:top w:val="none" w:sz="0" w:space="0" w:color="auto"/>
        <w:left w:val="none" w:sz="0" w:space="0" w:color="auto"/>
        <w:bottom w:val="none" w:sz="0" w:space="0" w:color="auto"/>
        <w:right w:val="none" w:sz="0" w:space="0" w:color="auto"/>
      </w:divBdr>
    </w:div>
    <w:div w:id="1858500078">
      <w:bodyDiv w:val="1"/>
      <w:marLeft w:val="0"/>
      <w:marRight w:val="0"/>
      <w:marTop w:val="0"/>
      <w:marBottom w:val="0"/>
      <w:divBdr>
        <w:top w:val="none" w:sz="0" w:space="0" w:color="auto"/>
        <w:left w:val="none" w:sz="0" w:space="0" w:color="auto"/>
        <w:bottom w:val="none" w:sz="0" w:space="0" w:color="auto"/>
        <w:right w:val="none" w:sz="0" w:space="0" w:color="auto"/>
      </w:divBdr>
    </w:div>
    <w:div w:id="1858538073">
      <w:bodyDiv w:val="1"/>
      <w:marLeft w:val="0"/>
      <w:marRight w:val="0"/>
      <w:marTop w:val="0"/>
      <w:marBottom w:val="0"/>
      <w:divBdr>
        <w:top w:val="none" w:sz="0" w:space="0" w:color="auto"/>
        <w:left w:val="none" w:sz="0" w:space="0" w:color="auto"/>
        <w:bottom w:val="none" w:sz="0" w:space="0" w:color="auto"/>
        <w:right w:val="none" w:sz="0" w:space="0" w:color="auto"/>
      </w:divBdr>
    </w:div>
    <w:div w:id="1858806568">
      <w:bodyDiv w:val="1"/>
      <w:marLeft w:val="0"/>
      <w:marRight w:val="0"/>
      <w:marTop w:val="0"/>
      <w:marBottom w:val="0"/>
      <w:divBdr>
        <w:top w:val="none" w:sz="0" w:space="0" w:color="auto"/>
        <w:left w:val="none" w:sz="0" w:space="0" w:color="auto"/>
        <w:bottom w:val="none" w:sz="0" w:space="0" w:color="auto"/>
        <w:right w:val="none" w:sz="0" w:space="0" w:color="auto"/>
      </w:divBdr>
    </w:div>
    <w:div w:id="1858814852">
      <w:bodyDiv w:val="1"/>
      <w:marLeft w:val="0"/>
      <w:marRight w:val="0"/>
      <w:marTop w:val="0"/>
      <w:marBottom w:val="0"/>
      <w:divBdr>
        <w:top w:val="none" w:sz="0" w:space="0" w:color="auto"/>
        <w:left w:val="none" w:sz="0" w:space="0" w:color="auto"/>
        <w:bottom w:val="none" w:sz="0" w:space="0" w:color="auto"/>
        <w:right w:val="none" w:sz="0" w:space="0" w:color="auto"/>
      </w:divBdr>
    </w:div>
    <w:div w:id="1858882900">
      <w:bodyDiv w:val="1"/>
      <w:marLeft w:val="0"/>
      <w:marRight w:val="0"/>
      <w:marTop w:val="0"/>
      <w:marBottom w:val="0"/>
      <w:divBdr>
        <w:top w:val="none" w:sz="0" w:space="0" w:color="auto"/>
        <w:left w:val="none" w:sz="0" w:space="0" w:color="auto"/>
        <w:bottom w:val="none" w:sz="0" w:space="0" w:color="auto"/>
        <w:right w:val="none" w:sz="0" w:space="0" w:color="auto"/>
      </w:divBdr>
    </w:div>
    <w:div w:id="1858961243">
      <w:bodyDiv w:val="1"/>
      <w:marLeft w:val="0"/>
      <w:marRight w:val="0"/>
      <w:marTop w:val="0"/>
      <w:marBottom w:val="0"/>
      <w:divBdr>
        <w:top w:val="none" w:sz="0" w:space="0" w:color="auto"/>
        <w:left w:val="none" w:sz="0" w:space="0" w:color="auto"/>
        <w:bottom w:val="none" w:sz="0" w:space="0" w:color="auto"/>
        <w:right w:val="none" w:sz="0" w:space="0" w:color="auto"/>
      </w:divBdr>
    </w:div>
    <w:div w:id="1859196201">
      <w:bodyDiv w:val="1"/>
      <w:marLeft w:val="0"/>
      <w:marRight w:val="0"/>
      <w:marTop w:val="0"/>
      <w:marBottom w:val="0"/>
      <w:divBdr>
        <w:top w:val="none" w:sz="0" w:space="0" w:color="auto"/>
        <w:left w:val="none" w:sz="0" w:space="0" w:color="auto"/>
        <w:bottom w:val="none" w:sz="0" w:space="0" w:color="auto"/>
        <w:right w:val="none" w:sz="0" w:space="0" w:color="auto"/>
      </w:divBdr>
    </w:div>
    <w:div w:id="1859272319">
      <w:bodyDiv w:val="1"/>
      <w:marLeft w:val="0"/>
      <w:marRight w:val="0"/>
      <w:marTop w:val="0"/>
      <w:marBottom w:val="0"/>
      <w:divBdr>
        <w:top w:val="none" w:sz="0" w:space="0" w:color="auto"/>
        <w:left w:val="none" w:sz="0" w:space="0" w:color="auto"/>
        <w:bottom w:val="none" w:sz="0" w:space="0" w:color="auto"/>
        <w:right w:val="none" w:sz="0" w:space="0" w:color="auto"/>
      </w:divBdr>
    </w:div>
    <w:div w:id="1859391138">
      <w:bodyDiv w:val="1"/>
      <w:marLeft w:val="0"/>
      <w:marRight w:val="0"/>
      <w:marTop w:val="0"/>
      <w:marBottom w:val="0"/>
      <w:divBdr>
        <w:top w:val="none" w:sz="0" w:space="0" w:color="auto"/>
        <w:left w:val="none" w:sz="0" w:space="0" w:color="auto"/>
        <w:bottom w:val="none" w:sz="0" w:space="0" w:color="auto"/>
        <w:right w:val="none" w:sz="0" w:space="0" w:color="auto"/>
      </w:divBdr>
    </w:div>
    <w:div w:id="1859538570">
      <w:bodyDiv w:val="1"/>
      <w:marLeft w:val="0"/>
      <w:marRight w:val="0"/>
      <w:marTop w:val="0"/>
      <w:marBottom w:val="0"/>
      <w:divBdr>
        <w:top w:val="none" w:sz="0" w:space="0" w:color="auto"/>
        <w:left w:val="none" w:sz="0" w:space="0" w:color="auto"/>
        <w:bottom w:val="none" w:sz="0" w:space="0" w:color="auto"/>
        <w:right w:val="none" w:sz="0" w:space="0" w:color="auto"/>
      </w:divBdr>
    </w:div>
    <w:div w:id="1859541259">
      <w:bodyDiv w:val="1"/>
      <w:marLeft w:val="0"/>
      <w:marRight w:val="0"/>
      <w:marTop w:val="0"/>
      <w:marBottom w:val="0"/>
      <w:divBdr>
        <w:top w:val="none" w:sz="0" w:space="0" w:color="auto"/>
        <w:left w:val="none" w:sz="0" w:space="0" w:color="auto"/>
        <w:bottom w:val="none" w:sz="0" w:space="0" w:color="auto"/>
        <w:right w:val="none" w:sz="0" w:space="0" w:color="auto"/>
      </w:divBdr>
    </w:div>
    <w:div w:id="1859542601">
      <w:bodyDiv w:val="1"/>
      <w:marLeft w:val="0"/>
      <w:marRight w:val="0"/>
      <w:marTop w:val="0"/>
      <w:marBottom w:val="0"/>
      <w:divBdr>
        <w:top w:val="none" w:sz="0" w:space="0" w:color="auto"/>
        <w:left w:val="none" w:sz="0" w:space="0" w:color="auto"/>
        <w:bottom w:val="none" w:sz="0" w:space="0" w:color="auto"/>
        <w:right w:val="none" w:sz="0" w:space="0" w:color="auto"/>
      </w:divBdr>
    </w:div>
    <w:div w:id="1859611720">
      <w:bodyDiv w:val="1"/>
      <w:marLeft w:val="0"/>
      <w:marRight w:val="0"/>
      <w:marTop w:val="0"/>
      <w:marBottom w:val="0"/>
      <w:divBdr>
        <w:top w:val="none" w:sz="0" w:space="0" w:color="auto"/>
        <w:left w:val="none" w:sz="0" w:space="0" w:color="auto"/>
        <w:bottom w:val="none" w:sz="0" w:space="0" w:color="auto"/>
        <w:right w:val="none" w:sz="0" w:space="0" w:color="auto"/>
      </w:divBdr>
    </w:div>
    <w:div w:id="1859654800">
      <w:bodyDiv w:val="1"/>
      <w:marLeft w:val="0"/>
      <w:marRight w:val="0"/>
      <w:marTop w:val="0"/>
      <w:marBottom w:val="0"/>
      <w:divBdr>
        <w:top w:val="none" w:sz="0" w:space="0" w:color="auto"/>
        <w:left w:val="none" w:sz="0" w:space="0" w:color="auto"/>
        <w:bottom w:val="none" w:sz="0" w:space="0" w:color="auto"/>
        <w:right w:val="none" w:sz="0" w:space="0" w:color="auto"/>
      </w:divBdr>
    </w:div>
    <w:div w:id="1859657291">
      <w:bodyDiv w:val="1"/>
      <w:marLeft w:val="0"/>
      <w:marRight w:val="0"/>
      <w:marTop w:val="0"/>
      <w:marBottom w:val="0"/>
      <w:divBdr>
        <w:top w:val="none" w:sz="0" w:space="0" w:color="auto"/>
        <w:left w:val="none" w:sz="0" w:space="0" w:color="auto"/>
        <w:bottom w:val="none" w:sz="0" w:space="0" w:color="auto"/>
        <w:right w:val="none" w:sz="0" w:space="0" w:color="auto"/>
      </w:divBdr>
    </w:div>
    <w:div w:id="1859813295">
      <w:bodyDiv w:val="1"/>
      <w:marLeft w:val="0"/>
      <w:marRight w:val="0"/>
      <w:marTop w:val="0"/>
      <w:marBottom w:val="0"/>
      <w:divBdr>
        <w:top w:val="none" w:sz="0" w:space="0" w:color="auto"/>
        <w:left w:val="none" w:sz="0" w:space="0" w:color="auto"/>
        <w:bottom w:val="none" w:sz="0" w:space="0" w:color="auto"/>
        <w:right w:val="none" w:sz="0" w:space="0" w:color="auto"/>
      </w:divBdr>
    </w:div>
    <w:div w:id="1860001658">
      <w:bodyDiv w:val="1"/>
      <w:marLeft w:val="0"/>
      <w:marRight w:val="0"/>
      <w:marTop w:val="0"/>
      <w:marBottom w:val="0"/>
      <w:divBdr>
        <w:top w:val="none" w:sz="0" w:space="0" w:color="auto"/>
        <w:left w:val="none" w:sz="0" w:space="0" w:color="auto"/>
        <w:bottom w:val="none" w:sz="0" w:space="0" w:color="auto"/>
        <w:right w:val="none" w:sz="0" w:space="0" w:color="auto"/>
      </w:divBdr>
    </w:div>
    <w:div w:id="1860046402">
      <w:bodyDiv w:val="1"/>
      <w:marLeft w:val="0"/>
      <w:marRight w:val="0"/>
      <w:marTop w:val="0"/>
      <w:marBottom w:val="0"/>
      <w:divBdr>
        <w:top w:val="none" w:sz="0" w:space="0" w:color="auto"/>
        <w:left w:val="none" w:sz="0" w:space="0" w:color="auto"/>
        <w:bottom w:val="none" w:sz="0" w:space="0" w:color="auto"/>
        <w:right w:val="none" w:sz="0" w:space="0" w:color="auto"/>
      </w:divBdr>
    </w:div>
    <w:div w:id="1860123311">
      <w:bodyDiv w:val="1"/>
      <w:marLeft w:val="0"/>
      <w:marRight w:val="0"/>
      <w:marTop w:val="0"/>
      <w:marBottom w:val="0"/>
      <w:divBdr>
        <w:top w:val="none" w:sz="0" w:space="0" w:color="auto"/>
        <w:left w:val="none" w:sz="0" w:space="0" w:color="auto"/>
        <w:bottom w:val="none" w:sz="0" w:space="0" w:color="auto"/>
        <w:right w:val="none" w:sz="0" w:space="0" w:color="auto"/>
      </w:divBdr>
    </w:div>
    <w:div w:id="1860269471">
      <w:bodyDiv w:val="1"/>
      <w:marLeft w:val="0"/>
      <w:marRight w:val="0"/>
      <w:marTop w:val="0"/>
      <w:marBottom w:val="0"/>
      <w:divBdr>
        <w:top w:val="none" w:sz="0" w:space="0" w:color="auto"/>
        <w:left w:val="none" w:sz="0" w:space="0" w:color="auto"/>
        <w:bottom w:val="none" w:sz="0" w:space="0" w:color="auto"/>
        <w:right w:val="none" w:sz="0" w:space="0" w:color="auto"/>
      </w:divBdr>
    </w:div>
    <w:div w:id="1860269657">
      <w:bodyDiv w:val="1"/>
      <w:marLeft w:val="0"/>
      <w:marRight w:val="0"/>
      <w:marTop w:val="0"/>
      <w:marBottom w:val="0"/>
      <w:divBdr>
        <w:top w:val="none" w:sz="0" w:space="0" w:color="auto"/>
        <w:left w:val="none" w:sz="0" w:space="0" w:color="auto"/>
        <w:bottom w:val="none" w:sz="0" w:space="0" w:color="auto"/>
        <w:right w:val="none" w:sz="0" w:space="0" w:color="auto"/>
      </w:divBdr>
    </w:div>
    <w:div w:id="1860315949">
      <w:bodyDiv w:val="1"/>
      <w:marLeft w:val="0"/>
      <w:marRight w:val="0"/>
      <w:marTop w:val="0"/>
      <w:marBottom w:val="0"/>
      <w:divBdr>
        <w:top w:val="none" w:sz="0" w:space="0" w:color="auto"/>
        <w:left w:val="none" w:sz="0" w:space="0" w:color="auto"/>
        <w:bottom w:val="none" w:sz="0" w:space="0" w:color="auto"/>
        <w:right w:val="none" w:sz="0" w:space="0" w:color="auto"/>
      </w:divBdr>
    </w:div>
    <w:div w:id="1860506596">
      <w:bodyDiv w:val="1"/>
      <w:marLeft w:val="0"/>
      <w:marRight w:val="0"/>
      <w:marTop w:val="0"/>
      <w:marBottom w:val="0"/>
      <w:divBdr>
        <w:top w:val="none" w:sz="0" w:space="0" w:color="auto"/>
        <w:left w:val="none" w:sz="0" w:space="0" w:color="auto"/>
        <w:bottom w:val="none" w:sz="0" w:space="0" w:color="auto"/>
        <w:right w:val="none" w:sz="0" w:space="0" w:color="auto"/>
      </w:divBdr>
    </w:div>
    <w:div w:id="1860509334">
      <w:bodyDiv w:val="1"/>
      <w:marLeft w:val="0"/>
      <w:marRight w:val="0"/>
      <w:marTop w:val="0"/>
      <w:marBottom w:val="0"/>
      <w:divBdr>
        <w:top w:val="none" w:sz="0" w:space="0" w:color="auto"/>
        <w:left w:val="none" w:sz="0" w:space="0" w:color="auto"/>
        <w:bottom w:val="none" w:sz="0" w:space="0" w:color="auto"/>
        <w:right w:val="none" w:sz="0" w:space="0" w:color="auto"/>
      </w:divBdr>
    </w:div>
    <w:div w:id="1860510394">
      <w:bodyDiv w:val="1"/>
      <w:marLeft w:val="0"/>
      <w:marRight w:val="0"/>
      <w:marTop w:val="0"/>
      <w:marBottom w:val="0"/>
      <w:divBdr>
        <w:top w:val="none" w:sz="0" w:space="0" w:color="auto"/>
        <w:left w:val="none" w:sz="0" w:space="0" w:color="auto"/>
        <w:bottom w:val="none" w:sz="0" w:space="0" w:color="auto"/>
        <w:right w:val="none" w:sz="0" w:space="0" w:color="auto"/>
      </w:divBdr>
    </w:div>
    <w:div w:id="1860585264">
      <w:bodyDiv w:val="1"/>
      <w:marLeft w:val="0"/>
      <w:marRight w:val="0"/>
      <w:marTop w:val="0"/>
      <w:marBottom w:val="0"/>
      <w:divBdr>
        <w:top w:val="none" w:sz="0" w:space="0" w:color="auto"/>
        <w:left w:val="none" w:sz="0" w:space="0" w:color="auto"/>
        <w:bottom w:val="none" w:sz="0" w:space="0" w:color="auto"/>
        <w:right w:val="none" w:sz="0" w:space="0" w:color="auto"/>
      </w:divBdr>
    </w:div>
    <w:div w:id="1860698244">
      <w:bodyDiv w:val="1"/>
      <w:marLeft w:val="0"/>
      <w:marRight w:val="0"/>
      <w:marTop w:val="0"/>
      <w:marBottom w:val="0"/>
      <w:divBdr>
        <w:top w:val="none" w:sz="0" w:space="0" w:color="auto"/>
        <w:left w:val="none" w:sz="0" w:space="0" w:color="auto"/>
        <w:bottom w:val="none" w:sz="0" w:space="0" w:color="auto"/>
        <w:right w:val="none" w:sz="0" w:space="0" w:color="auto"/>
      </w:divBdr>
    </w:div>
    <w:div w:id="1860704542">
      <w:bodyDiv w:val="1"/>
      <w:marLeft w:val="0"/>
      <w:marRight w:val="0"/>
      <w:marTop w:val="0"/>
      <w:marBottom w:val="0"/>
      <w:divBdr>
        <w:top w:val="none" w:sz="0" w:space="0" w:color="auto"/>
        <w:left w:val="none" w:sz="0" w:space="0" w:color="auto"/>
        <w:bottom w:val="none" w:sz="0" w:space="0" w:color="auto"/>
        <w:right w:val="none" w:sz="0" w:space="0" w:color="auto"/>
      </w:divBdr>
    </w:div>
    <w:div w:id="1860773131">
      <w:bodyDiv w:val="1"/>
      <w:marLeft w:val="0"/>
      <w:marRight w:val="0"/>
      <w:marTop w:val="0"/>
      <w:marBottom w:val="0"/>
      <w:divBdr>
        <w:top w:val="none" w:sz="0" w:space="0" w:color="auto"/>
        <w:left w:val="none" w:sz="0" w:space="0" w:color="auto"/>
        <w:bottom w:val="none" w:sz="0" w:space="0" w:color="auto"/>
        <w:right w:val="none" w:sz="0" w:space="0" w:color="auto"/>
      </w:divBdr>
    </w:div>
    <w:div w:id="1860773301">
      <w:bodyDiv w:val="1"/>
      <w:marLeft w:val="0"/>
      <w:marRight w:val="0"/>
      <w:marTop w:val="0"/>
      <w:marBottom w:val="0"/>
      <w:divBdr>
        <w:top w:val="none" w:sz="0" w:space="0" w:color="auto"/>
        <w:left w:val="none" w:sz="0" w:space="0" w:color="auto"/>
        <w:bottom w:val="none" w:sz="0" w:space="0" w:color="auto"/>
        <w:right w:val="none" w:sz="0" w:space="0" w:color="auto"/>
      </w:divBdr>
    </w:div>
    <w:div w:id="1860777333">
      <w:bodyDiv w:val="1"/>
      <w:marLeft w:val="0"/>
      <w:marRight w:val="0"/>
      <w:marTop w:val="0"/>
      <w:marBottom w:val="0"/>
      <w:divBdr>
        <w:top w:val="none" w:sz="0" w:space="0" w:color="auto"/>
        <w:left w:val="none" w:sz="0" w:space="0" w:color="auto"/>
        <w:bottom w:val="none" w:sz="0" w:space="0" w:color="auto"/>
        <w:right w:val="none" w:sz="0" w:space="0" w:color="auto"/>
      </w:divBdr>
    </w:div>
    <w:div w:id="1860778595">
      <w:bodyDiv w:val="1"/>
      <w:marLeft w:val="0"/>
      <w:marRight w:val="0"/>
      <w:marTop w:val="0"/>
      <w:marBottom w:val="0"/>
      <w:divBdr>
        <w:top w:val="none" w:sz="0" w:space="0" w:color="auto"/>
        <w:left w:val="none" w:sz="0" w:space="0" w:color="auto"/>
        <w:bottom w:val="none" w:sz="0" w:space="0" w:color="auto"/>
        <w:right w:val="none" w:sz="0" w:space="0" w:color="auto"/>
      </w:divBdr>
    </w:div>
    <w:div w:id="1860779351">
      <w:bodyDiv w:val="1"/>
      <w:marLeft w:val="0"/>
      <w:marRight w:val="0"/>
      <w:marTop w:val="0"/>
      <w:marBottom w:val="0"/>
      <w:divBdr>
        <w:top w:val="none" w:sz="0" w:space="0" w:color="auto"/>
        <w:left w:val="none" w:sz="0" w:space="0" w:color="auto"/>
        <w:bottom w:val="none" w:sz="0" w:space="0" w:color="auto"/>
        <w:right w:val="none" w:sz="0" w:space="0" w:color="auto"/>
      </w:divBdr>
    </w:div>
    <w:div w:id="1860925924">
      <w:bodyDiv w:val="1"/>
      <w:marLeft w:val="0"/>
      <w:marRight w:val="0"/>
      <w:marTop w:val="0"/>
      <w:marBottom w:val="0"/>
      <w:divBdr>
        <w:top w:val="none" w:sz="0" w:space="0" w:color="auto"/>
        <w:left w:val="none" w:sz="0" w:space="0" w:color="auto"/>
        <w:bottom w:val="none" w:sz="0" w:space="0" w:color="auto"/>
        <w:right w:val="none" w:sz="0" w:space="0" w:color="auto"/>
      </w:divBdr>
    </w:div>
    <w:div w:id="1860966311">
      <w:bodyDiv w:val="1"/>
      <w:marLeft w:val="0"/>
      <w:marRight w:val="0"/>
      <w:marTop w:val="0"/>
      <w:marBottom w:val="0"/>
      <w:divBdr>
        <w:top w:val="none" w:sz="0" w:space="0" w:color="auto"/>
        <w:left w:val="none" w:sz="0" w:space="0" w:color="auto"/>
        <w:bottom w:val="none" w:sz="0" w:space="0" w:color="auto"/>
        <w:right w:val="none" w:sz="0" w:space="0" w:color="auto"/>
      </w:divBdr>
    </w:div>
    <w:div w:id="1860967346">
      <w:bodyDiv w:val="1"/>
      <w:marLeft w:val="0"/>
      <w:marRight w:val="0"/>
      <w:marTop w:val="0"/>
      <w:marBottom w:val="0"/>
      <w:divBdr>
        <w:top w:val="none" w:sz="0" w:space="0" w:color="auto"/>
        <w:left w:val="none" w:sz="0" w:space="0" w:color="auto"/>
        <w:bottom w:val="none" w:sz="0" w:space="0" w:color="auto"/>
        <w:right w:val="none" w:sz="0" w:space="0" w:color="auto"/>
      </w:divBdr>
    </w:div>
    <w:div w:id="1861238315">
      <w:bodyDiv w:val="1"/>
      <w:marLeft w:val="0"/>
      <w:marRight w:val="0"/>
      <w:marTop w:val="0"/>
      <w:marBottom w:val="0"/>
      <w:divBdr>
        <w:top w:val="none" w:sz="0" w:space="0" w:color="auto"/>
        <w:left w:val="none" w:sz="0" w:space="0" w:color="auto"/>
        <w:bottom w:val="none" w:sz="0" w:space="0" w:color="auto"/>
        <w:right w:val="none" w:sz="0" w:space="0" w:color="auto"/>
      </w:divBdr>
    </w:div>
    <w:div w:id="1861354797">
      <w:bodyDiv w:val="1"/>
      <w:marLeft w:val="0"/>
      <w:marRight w:val="0"/>
      <w:marTop w:val="0"/>
      <w:marBottom w:val="0"/>
      <w:divBdr>
        <w:top w:val="none" w:sz="0" w:space="0" w:color="auto"/>
        <w:left w:val="none" w:sz="0" w:space="0" w:color="auto"/>
        <w:bottom w:val="none" w:sz="0" w:space="0" w:color="auto"/>
        <w:right w:val="none" w:sz="0" w:space="0" w:color="auto"/>
      </w:divBdr>
    </w:div>
    <w:div w:id="1861577448">
      <w:bodyDiv w:val="1"/>
      <w:marLeft w:val="0"/>
      <w:marRight w:val="0"/>
      <w:marTop w:val="0"/>
      <w:marBottom w:val="0"/>
      <w:divBdr>
        <w:top w:val="none" w:sz="0" w:space="0" w:color="auto"/>
        <w:left w:val="none" w:sz="0" w:space="0" w:color="auto"/>
        <w:bottom w:val="none" w:sz="0" w:space="0" w:color="auto"/>
        <w:right w:val="none" w:sz="0" w:space="0" w:color="auto"/>
      </w:divBdr>
    </w:div>
    <w:div w:id="1861582260">
      <w:bodyDiv w:val="1"/>
      <w:marLeft w:val="0"/>
      <w:marRight w:val="0"/>
      <w:marTop w:val="0"/>
      <w:marBottom w:val="0"/>
      <w:divBdr>
        <w:top w:val="none" w:sz="0" w:space="0" w:color="auto"/>
        <w:left w:val="none" w:sz="0" w:space="0" w:color="auto"/>
        <w:bottom w:val="none" w:sz="0" w:space="0" w:color="auto"/>
        <w:right w:val="none" w:sz="0" w:space="0" w:color="auto"/>
      </w:divBdr>
    </w:div>
    <w:div w:id="1861620278">
      <w:bodyDiv w:val="1"/>
      <w:marLeft w:val="0"/>
      <w:marRight w:val="0"/>
      <w:marTop w:val="0"/>
      <w:marBottom w:val="0"/>
      <w:divBdr>
        <w:top w:val="none" w:sz="0" w:space="0" w:color="auto"/>
        <w:left w:val="none" w:sz="0" w:space="0" w:color="auto"/>
        <w:bottom w:val="none" w:sz="0" w:space="0" w:color="auto"/>
        <w:right w:val="none" w:sz="0" w:space="0" w:color="auto"/>
      </w:divBdr>
    </w:div>
    <w:div w:id="1861620617">
      <w:bodyDiv w:val="1"/>
      <w:marLeft w:val="0"/>
      <w:marRight w:val="0"/>
      <w:marTop w:val="0"/>
      <w:marBottom w:val="0"/>
      <w:divBdr>
        <w:top w:val="none" w:sz="0" w:space="0" w:color="auto"/>
        <w:left w:val="none" w:sz="0" w:space="0" w:color="auto"/>
        <w:bottom w:val="none" w:sz="0" w:space="0" w:color="auto"/>
        <w:right w:val="none" w:sz="0" w:space="0" w:color="auto"/>
      </w:divBdr>
    </w:div>
    <w:div w:id="1861623211">
      <w:bodyDiv w:val="1"/>
      <w:marLeft w:val="0"/>
      <w:marRight w:val="0"/>
      <w:marTop w:val="0"/>
      <w:marBottom w:val="0"/>
      <w:divBdr>
        <w:top w:val="none" w:sz="0" w:space="0" w:color="auto"/>
        <w:left w:val="none" w:sz="0" w:space="0" w:color="auto"/>
        <w:bottom w:val="none" w:sz="0" w:space="0" w:color="auto"/>
        <w:right w:val="none" w:sz="0" w:space="0" w:color="auto"/>
      </w:divBdr>
    </w:div>
    <w:div w:id="1861700727">
      <w:bodyDiv w:val="1"/>
      <w:marLeft w:val="0"/>
      <w:marRight w:val="0"/>
      <w:marTop w:val="0"/>
      <w:marBottom w:val="0"/>
      <w:divBdr>
        <w:top w:val="none" w:sz="0" w:space="0" w:color="auto"/>
        <w:left w:val="none" w:sz="0" w:space="0" w:color="auto"/>
        <w:bottom w:val="none" w:sz="0" w:space="0" w:color="auto"/>
        <w:right w:val="none" w:sz="0" w:space="0" w:color="auto"/>
      </w:divBdr>
    </w:div>
    <w:div w:id="1861704562">
      <w:bodyDiv w:val="1"/>
      <w:marLeft w:val="0"/>
      <w:marRight w:val="0"/>
      <w:marTop w:val="0"/>
      <w:marBottom w:val="0"/>
      <w:divBdr>
        <w:top w:val="none" w:sz="0" w:space="0" w:color="auto"/>
        <w:left w:val="none" w:sz="0" w:space="0" w:color="auto"/>
        <w:bottom w:val="none" w:sz="0" w:space="0" w:color="auto"/>
        <w:right w:val="none" w:sz="0" w:space="0" w:color="auto"/>
      </w:divBdr>
    </w:div>
    <w:div w:id="1861897308">
      <w:bodyDiv w:val="1"/>
      <w:marLeft w:val="0"/>
      <w:marRight w:val="0"/>
      <w:marTop w:val="0"/>
      <w:marBottom w:val="0"/>
      <w:divBdr>
        <w:top w:val="none" w:sz="0" w:space="0" w:color="auto"/>
        <w:left w:val="none" w:sz="0" w:space="0" w:color="auto"/>
        <w:bottom w:val="none" w:sz="0" w:space="0" w:color="auto"/>
        <w:right w:val="none" w:sz="0" w:space="0" w:color="auto"/>
      </w:divBdr>
    </w:div>
    <w:div w:id="1861897342">
      <w:bodyDiv w:val="1"/>
      <w:marLeft w:val="0"/>
      <w:marRight w:val="0"/>
      <w:marTop w:val="0"/>
      <w:marBottom w:val="0"/>
      <w:divBdr>
        <w:top w:val="none" w:sz="0" w:space="0" w:color="auto"/>
        <w:left w:val="none" w:sz="0" w:space="0" w:color="auto"/>
        <w:bottom w:val="none" w:sz="0" w:space="0" w:color="auto"/>
        <w:right w:val="none" w:sz="0" w:space="0" w:color="auto"/>
      </w:divBdr>
    </w:div>
    <w:div w:id="1861969025">
      <w:bodyDiv w:val="1"/>
      <w:marLeft w:val="0"/>
      <w:marRight w:val="0"/>
      <w:marTop w:val="0"/>
      <w:marBottom w:val="0"/>
      <w:divBdr>
        <w:top w:val="none" w:sz="0" w:space="0" w:color="auto"/>
        <w:left w:val="none" w:sz="0" w:space="0" w:color="auto"/>
        <w:bottom w:val="none" w:sz="0" w:space="0" w:color="auto"/>
        <w:right w:val="none" w:sz="0" w:space="0" w:color="auto"/>
      </w:divBdr>
    </w:div>
    <w:div w:id="1862084864">
      <w:bodyDiv w:val="1"/>
      <w:marLeft w:val="0"/>
      <w:marRight w:val="0"/>
      <w:marTop w:val="0"/>
      <w:marBottom w:val="0"/>
      <w:divBdr>
        <w:top w:val="none" w:sz="0" w:space="0" w:color="auto"/>
        <w:left w:val="none" w:sz="0" w:space="0" w:color="auto"/>
        <w:bottom w:val="none" w:sz="0" w:space="0" w:color="auto"/>
        <w:right w:val="none" w:sz="0" w:space="0" w:color="auto"/>
      </w:divBdr>
    </w:div>
    <w:div w:id="1862090547">
      <w:bodyDiv w:val="1"/>
      <w:marLeft w:val="0"/>
      <w:marRight w:val="0"/>
      <w:marTop w:val="0"/>
      <w:marBottom w:val="0"/>
      <w:divBdr>
        <w:top w:val="none" w:sz="0" w:space="0" w:color="auto"/>
        <w:left w:val="none" w:sz="0" w:space="0" w:color="auto"/>
        <w:bottom w:val="none" w:sz="0" w:space="0" w:color="auto"/>
        <w:right w:val="none" w:sz="0" w:space="0" w:color="auto"/>
      </w:divBdr>
    </w:div>
    <w:div w:id="1862351665">
      <w:bodyDiv w:val="1"/>
      <w:marLeft w:val="0"/>
      <w:marRight w:val="0"/>
      <w:marTop w:val="0"/>
      <w:marBottom w:val="0"/>
      <w:divBdr>
        <w:top w:val="none" w:sz="0" w:space="0" w:color="auto"/>
        <w:left w:val="none" w:sz="0" w:space="0" w:color="auto"/>
        <w:bottom w:val="none" w:sz="0" w:space="0" w:color="auto"/>
        <w:right w:val="none" w:sz="0" w:space="0" w:color="auto"/>
      </w:divBdr>
    </w:div>
    <w:div w:id="1862552901">
      <w:bodyDiv w:val="1"/>
      <w:marLeft w:val="0"/>
      <w:marRight w:val="0"/>
      <w:marTop w:val="0"/>
      <w:marBottom w:val="0"/>
      <w:divBdr>
        <w:top w:val="none" w:sz="0" w:space="0" w:color="auto"/>
        <w:left w:val="none" w:sz="0" w:space="0" w:color="auto"/>
        <w:bottom w:val="none" w:sz="0" w:space="0" w:color="auto"/>
        <w:right w:val="none" w:sz="0" w:space="0" w:color="auto"/>
      </w:divBdr>
    </w:div>
    <w:div w:id="1862628486">
      <w:bodyDiv w:val="1"/>
      <w:marLeft w:val="0"/>
      <w:marRight w:val="0"/>
      <w:marTop w:val="0"/>
      <w:marBottom w:val="0"/>
      <w:divBdr>
        <w:top w:val="none" w:sz="0" w:space="0" w:color="auto"/>
        <w:left w:val="none" w:sz="0" w:space="0" w:color="auto"/>
        <w:bottom w:val="none" w:sz="0" w:space="0" w:color="auto"/>
        <w:right w:val="none" w:sz="0" w:space="0" w:color="auto"/>
      </w:divBdr>
    </w:div>
    <w:div w:id="1862861598">
      <w:bodyDiv w:val="1"/>
      <w:marLeft w:val="0"/>
      <w:marRight w:val="0"/>
      <w:marTop w:val="0"/>
      <w:marBottom w:val="0"/>
      <w:divBdr>
        <w:top w:val="none" w:sz="0" w:space="0" w:color="auto"/>
        <w:left w:val="none" w:sz="0" w:space="0" w:color="auto"/>
        <w:bottom w:val="none" w:sz="0" w:space="0" w:color="auto"/>
        <w:right w:val="none" w:sz="0" w:space="0" w:color="auto"/>
      </w:divBdr>
    </w:div>
    <w:div w:id="1862890751">
      <w:bodyDiv w:val="1"/>
      <w:marLeft w:val="0"/>
      <w:marRight w:val="0"/>
      <w:marTop w:val="0"/>
      <w:marBottom w:val="0"/>
      <w:divBdr>
        <w:top w:val="none" w:sz="0" w:space="0" w:color="auto"/>
        <w:left w:val="none" w:sz="0" w:space="0" w:color="auto"/>
        <w:bottom w:val="none" w:sz="0" w:space="0" w:color="auto"/>
        <w:right w:val="none" w:sz="0" w:space="0" w:color="auto"/>
      </w:divBdr>
    </w:div>
    <w:div w:id="1862931969">
      <w:bodyDiv w:val="1"/>
      <w:marLeft w:val="0"/>
      <w:marRight w:val="0"/>
      <w:marTop w:val="0"/>
      <w:marBottom w:val="0"/>
      <w:divBdr>
        <w:top w:val="none" w:sz="0" w:space="0" w:color="auto"/>
        <w:left w:val="none" w:sz="0" w:space="0" w:color="auto"/>
        <w:bottom w:val="none" w:sz="0" w:space="0" w:color="auto"/>
        <w:right w:val="none" w:sz="0" w:space="0" w:color="auto"/>
      </w:divBdr>
    </w:div>
    <w:div w:id="1863006350">
      <w:bodyDiv w:val="1"/>
      <w:marLeft w:val="0"/>
      <w:marRight w:val="0"/>
      <w:marTop w:val="0"/>
      <w:marBottom w:val="0"/>
      <w:divBdr>
        <w:top w:val="none" w:sz="0" w:space="0" w:color="auto"/>
        <w:left w:val="none" w:sz="0" w:space="0" w:color="auto"/>
        <w:bottom w:val="none" w:sz="0" w:space="0" w:color="auto"/>
        <w:right w:val="none" w:sz="0" w:space="0" w:color="auto"/>
      </w:divBdr>
    </w:div>
    <w:div w:id="1863088703">
      <w:bodyDiv w:val="1"/>
      <w:marLeft w:val="0"/>
      <w:marRight w:val="0"/>
      <w:marTop w:val="0"/>
      <w:marBottom w:val="0"/>
      <w:divBdr>
        <w:top w:val="none" w:sz="0" w:space="0" w:color="auto"/>
        <w:left w:val="none" w:sz="0" w:space="0" w:color="auto"/>
        <w:bottom w:val="none" w:sz="0" w:space="0" w:color="auto"/>
        <w:right w:val="none" w:sz="0" w:space="0" w:color="auto"/>
      </w:divBdr>
    </w:div>
    <w:div w:id="1863204438">
      <w:bodyDiv w:val="1"/>
      <w:marLeft w:val="0"/>
      <w:marRight w:val="0"/>
      <w:marTop w:val="0"/>
      <w:marBottom w:val="0"/>
      <w:divBdr>
        <w:top w:val="none" w:sz="0" w:space="0" w:color="auto"/>
        <w:left w:val="none" w:sz="0" w:space="0" w:color="auto"/>
        <w:bottom w:val="none" w:sz="0" w:space="0" w:color="auto"/>
        <w:right w:val="none" w:sz="0" w:space="0" w:color="auto"/>
      </w:divBdr>
    </w:div>
    <w:div w:id="1863279682">
      <w:bodyDiv w:val="1"/>
      <w:marLeft w:val="0"/>
      <w:marRight w:val="0"/>
      <w:marTop w:val="0"/>
      <w:marBottom w:val="0"/>
      <w:divBdr>
        <w:top w:val="none" w:sz="0" w:space="0" w:color="auto"/>
        <w:left w:val="none" w:sz="0" w:space="0" w:color="auto"/>
        <w:bottom w:val="none" w:sz="0" w:space="0" w:color="auto"/>
        <w:right w:val="none" w:sz="0" w:space="0" w:color="auto"/>
      </w:divBdr>
    </w:div>
    <w:div w:id="1863397804">
      <w:bodyDiv w:val="1"/>
      <w:marLeft w:val="0"/>
      <w:marRight w:val="0"/>
      <w:marTop w:val="0"/>
      <w:marBottom w:val="0"/>
      <w:divBdr>
        <w:top w:val="none" w:sz="0" w:space="0" w:color="auto"/>
        <w:left w:val="none" w:sz="0" w:space="0" w:color="auto"/>
        <w:bottom w:val="none" w:sz="0" w:space="0" w:color="auto"/>
        <w:right w:val="none" w:sz="0" w:space="0" w:color="auto"/>
      </w:divBdr>
    </w:div>
    <w:div w:id="1863398379">
      <w:bodyDiv w:val="1"/>
      <w:marLeft w:val="0"/>
      <w:marRight w:val="0"/>
      <w:marTop w:val="0"/>
      <w:marBottom w:val="0"/>
      <w:divBdr>
        <w:top w:val="none" w:sz="0" w:space="0" w:color="auto"/>
        <w:left w:val="none" w:sz="0" w:space="0" w:color="auto"/>
        <w:bottom w:val="none" w:sz="0" w:space="0" w:color="auto"/>
        <w:right w:val="none" w:sz="0" w:space="0" w:color="auto"/>
      </w:divBdr>
    </w:div>
    <w:div w:id="1863473692">
      <w:bodyDiv w:val="1"/>
      <w:marLeft w:val="0"/>
      <w:marRight w:val="0"/>
      <w:marTop w:val="0"/>
      <w:marBottom w:val="0"/>
      <w:divBdr>
        <w:top w:val="none" w:sz="0" w:space="0" w:color="auto"/>
        <w:left w:val="none" w:sz="0" w:space="0" w:color="auto"/>
        <w:bottom w:val="none" w:sz="0" w:space="0" w:color="auto"/>
        <w:right w:val="none" w:sz="0" w:space="0" w:color="auto"/>
      </w:divBdr>
    </w:div>
    <w:div w:id="1863588252">
      <w:bodyDiv w:val="1"/>
      <w:marLeft w:val="0"/>
      <w:marRight w:val="0"/>
      <w:marTop w:val="0"/>
      <w:marBottom w:val="0"/>
      <w:divBdr>
        <w:top w:val="none" w:sz="0" w:space="0" w:color="auto"/>
        <w:left w:val="none" w:sz="0" w:space="0" w:color="auto"/>
        <w:bottom w:val="none" w:sz="0" w:space="0" w:color="auto"/>
        <w:right w:val="none" w:sz="0" w:space="0" w:color="auto"/>
      </w:divBdr>
    </w:div>
    <w:div w:id="1863660956">
      <w:bodyDiv w:val="1"/>
      <w:marLeft w:val="0"/>
      <w:marRight w:val="0"/>
      <w:marTop w:val="0"/>
      <w:marBottom w:val="0"/>
      <w:divBdr>
        <w:top w:val="none" w:sz="0" w:space="0" w:color="auto"/>
        <w:left w:val="none" w:sz="0" w:space="0" w:color="auto"/>
        <w:bottom w:val="none" w:sz="0" w:space="0" w:color="auto"/>
        <w:right w:val="none" w:sz="0" w:space="0" w:color="auto"/>
      </w:divBdr>
    </w:div>
    <w:div w:id="1863665975">
      <w:bodyDiv w:val="1"/>
      <w:marLeft w:val="0"/>
      <w:marRight w:val="0"/>
      <w:marTop w:val="0"/>
      <w:marBottom w:val="0"/>
      <w:divBdr>
        <w:top w:val="none" w:sz="0" w:space="0" w:color="auto"/>
        <w:left w:val="none" w:sz="0" w:space="0" w:color="auto"/>
        <w:bottom w:val="none" w:sz="0" w:space="0" w:color="auto"/>
        <w:right w:val="none" w:sz="0" w:space="0" w:color="auto"/>
      </w:divBdr>
    </w:div>
    <w:div w:id="1863666902">
      <w:bodyDiv w:val="1"/>
      <w:marLeft w:val="0"/>
      <w:marRight w:val="0"/>
      <w:marTop w:val="0"/>
      <w:marBottom w:val="0"/>
      <w:divBdr>
        <w:top w:val="none" w:sz="0" w:space="0" w:color="auto"/>
        <w:left w:val="none" w:sz="0" w:space="0" w:color="auto"/>
        <w:bottom w:val="none" w:sz="0" w:space="0" w:color="auto"/>
        <w:right w:val="none" w:sz="0" w:space="0" w:color="auto"/>
      </w:divBdr>
    </w:div>
    <w:div w:id="1863859108">
      <w:bodyDiv w:val="1"/>
      <w:marLeft w:val="0"/>
      <w:marRight w:val="0"/>
      <w:marTop w:val="0"/>
      <w:marBottom w:val="0"/>
      <w:divBdr>
        <w:top w:val="none" w:sz="0" w:space="0" w:color="auto"/>
        <w:left w:val="none" w:sz="0" w:space="0" w:color="auto"/>
        <w:bottom w:val="none" w:sz="0" w:space="0" w:color="auto"/>
        <w:right w:val="none" w:sz="0" w:space="0" w:color="auto"/>
      </w:divBdr>
    </w:div>
    <w:div w:id="1863981058">
      <w:bodyDiv w:val="1"/>
      <w:marLeft w:val="0"/>
      <w:marRight w:val="0"/>
      <w:marTop w:val="0"/>
      <w:marBottom w:val="0"/>
      <w:divBdr>
        <w:top w:val="none" w:sz="0" w:space="0" w:color="auto"/>
        <w:left w:val="none" w:sz="0" w:space="0" w:color="auto"/>
        <w:bottom w:val="none" w:sz="0" w:space="0" w:color="auto"/>
        <w:right w:val="none" w:sz="0" w:space="0" w:color="auto"/>
      </w:divBdr>
    </w:div>
    <w:div w:id="1864126084">
      <w:bodyDiv w:val="1"/>
      <w:marLeft w:val="0"/>
      <w:marRight w:val="0"/>
      <w:marTop w:val="0"/>
      <w:marBottom w:val="0"/>
      <w:divBdr>
        <w:top w:val="none" w:sz="0" w:space="0" w:color="auto"/>
        <w:left w:val="none" w:sz="0" w:space="0" w:color="auto"/>
        <w:bottom w:val="none" w:sz="0" w:space="0" w:color="auto"/>
        <w:right w:val="none" w:sz="0" w:space="0" w:color="auto"/>
      </w:divBdr>
    </w:div>
    <w:div w:id="1864198202">
      <w:bodyDiv w:val="1"/>
      <w:marLeft w:val="0"/>
      <w:marRight w:val="0"/>
      <w:marTop w:val="0"/>
      <w:marBottom w:val="0"/>
      <w:divBdr>
        <w:top w:val="none" w:sz="0" w:space="0" w:color="auto"/>
        <w:left w:val="none" w:sz="0" w:space="0" w:color="auto"/>
        <w:bottom w:val="none" w:sz="0" w:space="0" w:color="auto"/>
        <w:right w:val="none" w:sz="0" w:space="0" w:color="auto"/>
      </w:divBdr>
    </w:div>
    <w:div w:id="1864199327">
      <w:bodyDiv w:val="1"/>
      <w:marLeft w:val="0"/>
      <w:marRight w:val="0"/>
      <w:marTop w:val="0"/>
      <w:marBottom w:val="0"/>
      <w:divBdr>
        <w:top w:val="none" w:sz="0" w:space="0" w:color="auto"/>
        <w:left w:val="none" w:sz="0" w:space="0" w:color="auto"/>
        <w:bottom w:val="none" w:sz="0" w:space="0" w:color="auto"/>
        <w:right w:val="none" w:sz="0" w:space="0" w:color="auto"/>
      </w:divBdr>
    </w:div>
    <w:div w:id="1864441633">
      <w:bodyDiv w:val="1"/>
      <w:marLeft w:val="0"/>
      <w:marRight w:val="0"/>
      <w:marTop w:val="0"/>
      <w:marBottom w:val="0"/>
      <w:divBdr>
        <w:top w:val="none" w:sz="0" w:space="0" w:color="auto"/>
        <w:left w:val="none" w:sz="0" w:space="0" w:color="auto"/>
        <w:bottom w:val="none" w:sz="0" w:space="0" w:color="auto"/>
        <w:right w:val="none" w:sz="0" w:space="0" w:color="auto"/>
      </w:divBdr>
    </w:div>
    <w:div w:id="1864631212">
      <w:bodyDiv w:val="1"/>
      <w:marLeft w:val="0"/>
      <w:marRight w:val="0"/>
      <w:marTop w:val="0"/>
      <w:marBottom w:val="0"/>
      <w:divBdr>
        <w:top w:val="none" w:sz="0" w:space="0" w:color="auto"/>
        <w:left w:val="none" w:sz="0" w:space="0" w:color="auto"/>
        <w:bottom w:val="none" w:sz="0" w:space="0" w:color="auto"/>
        <w:right w:val="none" w:sz="0" w:space="0" w:color="auto"/>
      </w:divBdr>
    </w:div>
    <w:div w:id="1864634170">
      <w:bodyDiv w:val="1"/>
      <w:marLeft w:val="0"/>
      <w:marRight w:val="0"/>
      <w:marTop w:val="0"/>
      <w:marBottom w:val="0"/>
      <w:divBdr>
        <w:top w:val="none" w:sz="0" w:space="0" w:color="auto"/>
        <w:left w:val="none" w:sz="0" w:space="0" w:color="auto"/>
        <w:bottom w:val="none" w:sz="0" w:space="0" w:color="auto"/>
        <w:right w:val="none" w:sz="0" w:space="0" w:color="auto"/>
      </w:divBdr>
    </w:div>
    <w:div w:id="1864828840">
      <w:bodyDiv w:val="1"/>
      <w:marLeft w:val="0"/>
      <w:marRight w:val="0"/>
      <w:marTop w:val="0"/>
      <w:marBottom w:val="0"/>
      <w:divBdr>
        <w:top w:val="none" w:sz="0" w:space="0" w:color="auto"/>
        <w:left w:val="none" w:sz="0" w:space="0" w:color="auto"/>
        <w:bottom w:val="none" w:sz="0" w:space="0" w:color="auto"/>
        <w:right w:val="none" w:sz="0" w:space="0" w:color="auto"/>
      </w:divBdr>
    </w:div>
    <w:div w:id="1864905621">
      <w:bodyDiv w:val="1"/>
      <w:marLeft w:val="0"/>
      <w:marRight w:val="0"/>
      <w:marTop w:val="0"/>
      <w:marBottom w:val="0"/>
      <w:divBdr>
        <w:top w:val="none" w:sz="0" w:space="0" w:color="auto"/>
        <w:left w:val="none" w:sz="0" w:space="0" w:color="auto"/>
        <w:bottom w:val="none" w:sz="0" w:space="0" w:color="auto"/>
        <w:right w:val="none" w:sz="0" w:space="0" w:color="auto"/>
      </w:divBdr>
    </w:div>
    <w:div w:id="1864977190">
      <w:bodyDiv w:val="1"/>
      <w:marLeft w:val="0"/>
      <w:marRight w:val="0"/>
      <w:marTop w:val="0"/>
      <w:marBottom w:val="0"/>
      <w:divBdr>
        <w:top w:val="none" w:sz="0" w:space="0" w:color="auto"/>
        <w:left w:val="none" w:sz="0" w:space="0" w:color="auto"/>
        <w:bottom w:val="none" w:sz="0" w:space="0" w:color="auto"/>
        <w:right w:val="none" w:sz="0" w:space="0" w:color="auto"/>
      </w:divBdr>
    </w:div>
    <w:div w:id="1865168842">
      <w:bodyDiv w:val="1"/>
      <w:marLeft w:val="0"/>
      <w:marRight w:val="0"/>
      <w:marTop w:val="0"/>
      <w:marBottom w:val="0"/>
      <w:divBdr>
        <w:top w:val="none" w:sz="0" w:space="0" w:color="auto"/>
        <w:left w:val="none" w:sz="0" w:space="0" w:color="auto"/>
        <w:bottom w:val="none" w:sz="0" w:space="0" w:color="auto"/>
        <w:right w:val="none" w:sz="0" w:space="0" w:color="auto"/>
      </w:divBdr>
    </w:div>
    <w:div w:id="1865171324">
      <w:bodyDiv w:val="1"/>
      <w:marLeft w:val="0"/>
      <w:marRight w:val="0"/>
      <w:marTop w:val="0"/>
      <w:marBottom w:val="0"/>
      <w:divBdr>
        <w:top w:val="none" w:sz="0" w:space="0" w:color="auto"/>
        <w:left w:val="none" w:sz="0" w:space="0" w:color="auto"/>
        <w:bottom w:val="none" w:sz="0" w:space="0" w:color="auto"/>
        <w:right w:val="none" w:sz="0" w:space="0" w:color="auto"/>
      </w:divBdr>
    </w:div>
    <w:div w:id="1865240491">
      <w:bodyDiv w:val="1"/>
      <w:marLeft w:val="0"/>
      <w:marRight w:val="0"/>
      <w:marTop w:val="0"/>
      <w:marBottom w:val="0"/>
      <w:divBdr>
        <w:top w:val="none" w:sz="0" w:space="0" w:color="auto"/>
        <w:left w:val="none" w:sz="0" w:space="0" w:color="auto"/>
        <w:bottom w:val="none" w:sz="0" w:space="0" w:color="auto"/>
        <w:right w:val="none" w:sz="0" w:space="0" w:color="auto"/>
      </w:divBdr>
    </w:div>
    <w:div w:id="1865242973">
      <w:bodyDiv w:val="1"/>
      <w:marLeft w:val="0"/>
      <w:marRight w:val="0"/>
      <w:marTop w:val="0"/>
      <w:marBottom w:val="0"/>
      <w:divBdr>
        <w:top w:val="none" w:sz="0" w:space="0" w:color="auto"/>
        <w:left w:val="none" w:sz="0" w:space="0" w:color="auto"/>
        <w:bottom w:val="none" w:sz="0" w:space="0" w:color="auto"/>
        <w:right w:val="none" w:sz="0" w:space="0" w:color="auto"/>
      </w:divBdr>
    </w:div>
    <w:div w:id="1865248401">
      <w:bodyDiv w:val="1"/>
      <w:marLeft w:val="0"/>
      <w:marRight w:val="0"/>
      <w:marTop w:val="0"/>
      <w:marBottom w:val="0"/>
      <w:divBdr>
        <w:top w:val="none" w:sz="0" w:space="0" w:color="auto"/>
        <w:left w:val="none" w:sz="0" w:space="0" w:color="auto"/>
        <w:bottom w:val="none" w:sz="0" w:space="0" w:color="auto"/>
        <w:right w:val="none" w:sz="0" w:space="0" w:color="auto"/>
      </w:divBdr>
    </w:div>
    <w:div w:id="1865317893">
      <w:bodyDiv w:val="1"/>
      <w:marLeft w:val="0"/>
      <w:marRight w:val="0"/>
      <w:marTop w:val="0"/>
      <w:marBottom w:val="0"/>
      <w:divBdr>
        <w:top w:val="none" w:sz="0" w:space="0" w:color="auto"/>
        <w:left w:val="none" w:sz="0" w:space="0" w:color="auto"/>
        <w:bottom w:val="none" w:sz="0" w:space="0" w:color="auto"/>
        <w:right w:val="none" w:sz="0" w:space="0" w:color="auto"/>
      </w:divBdr>
    </w:div>
    <w:div w:id="1865484235">
      <w:bodyDiv w:val="1"/>
      <w:marLeft w:val="0"/>
      <w:marRight w:val="0"/>
      <w:marTop w:val="0"/>
      <w:marBottom w:val="0"/>
      <w:divBdr>
        <w:top w:val="none" w:sz="0" w:space="0" w:color="auto"/>
        <w:left w:val="none" w:sz="0" w:space="0" w:color="auto"/>
        <w:bottom w:val="none" w:sz="0" w:space="0" w:color="auto"/>
        <w:right w:val="none" w:sz="0" w:space="0" w:color="auto"/>
      </w:divBdr>
    </w:div>
    <w:div w:id="1865560150">
      <w:bodyDiv w:val="1"/>
      <w:marLeft w:val="0"/>
      <w:marRight w:val="0"/>
      <w:marTop w:val="0"/>
      <w:marBottom w:val="0"/>
      <w:divBdr>
        <w:top w:val="none" w:sz="0" w:space="0" w:color="auto"/>
        <w:left w:val="none" w:sz="0" w:space="0" w:color="auto"/>
        <w:bottom w:val="none" w:sz="0" w:space="0" w:color="auto"/>
        <w:right w:val="none" w:sz="0" w:space="0" w:color="auto"/>
      </w:divBdr>
    </w:div>
    <w:div w:id="1865560659">
      <w:bodyDiv w:val="1"/>
      <w:marLeft w:val="0"/>
      <w:marRight w:val="0"/>
      <w:marTop w:val="0"/>
      <w:marBottom w:val="0"/>
      <w:divBdr>
        <w:top w:val="none" w:sz="0" w:space="0" w:color="auto"/>
        <w:left w:val="none" w:sz="0" w:space="0" w:color="auto"/>
        <w:bottom w:val="none" w:sz="0" w:space="0" w:color="auto"/>
        <w:right w:val="none" w:sz="0" w:space="0" w:color="auto"/>
      </w:divBdr>
    </w:div>
    <w:div w:id="1865633993">
      <w:bodyDiv w:val="1"/>
      <w:marLeft w:val="0"/>
      <w:marRight w:val="0"/>
      <w:marTop w:val="0"/>
      <w:marBottom w:val="0"/>
      <w:divBdr>
        <w:top w:val="none" w:sz="0" w:space="0" w:color="auto"/>
        <w:left w:val="none" w:sz="0" w:space="0" w:color="auto"/>
        <w:bottom w:val="none" w:sz="0" w:space="0" w:color="auto"/>
        <w:right w:val="none" w:sz="0" w:space="0" w:color="auto"/>
      </w:divBdr>
    </w:div>
    <w:div w:id="1865709793">
      <w:bodyDiv w:val="1"/>
      <w:marLeft w:val="0"/>
      <w:marRight w:val="0"/>
      <w:marTop w:val="0"/>
      <w:marBottom w:val="0"/>
      <w:divBdr>
        <w:top w:val="none" w:sz="0" w:space="0" w:color="auto"/>
        <w:left w:val="none" w:sz="0" w:space="0" w:color="auto"/>
        <w:bottom w:val="none" w:sz="0" w:space="0" w:color="auto"/>
        <w:right w:val="none" w:sz="0" w:space="0" w:color="auto"/>
      </w:divBdr>
    </w:div>
    <w:div w:id="1865751693">
      <w:bodyDiv w:val="1"/>
      <w:marLeft w:val="0"/>
      <w:marRight w:val="0"/>
      <w:marTop w:val="0"/>
      <w:marBottom w:val="0"/>
      <w:divBdr>
        <w:top w:val="none" w:sz="0" w:space="0" w:color="auto"/>
        <w:left w:val="none" w:sz="0" w:space="0" w:color="auto"/>
        <w:bottom w:val="none" w:sz="0" w:space="0" w:color="auto"/>
        <w:right w:val="none" w:sz="0" w:space="0" w:color="auto"/>
      </w:divBdr>
    </w:div>
    <w:div w:id="1865826700">
      <w:bodyDiv w:val="1"/>
      <w:marLeft w:val="0"/>
      <w:marRight w:val="0"/>
      <w:marTop w:val="0"/>
      <w:marBottom w:val="0"/>
      <w:divBdr>
        <w:top w:val="none" w:sz="0" w:space="0" w:color="auto"/>
        <w:left w:val="none" w:sz="0" w:space="0" w:color="auto"/>
        <w:bottom w:val="none" w:sz="0" w:space="0" w:color="auto"/>
        <w:right w:val="none" w:sz="0" w:space="0" w:color="auto"/>
      </w:divBdr>
    </w:div>
    <w:div w:id="1865973421">
      <w:bodyDiv w:val="1"/>
      <w:marLeft w:val="0"/>
      <w:marRight w:val="0"/>
      <w:marTop w:val="0"/>
      <w:marBottom w:val="0"/>
      <w:divBdr>
        <w:top w:val="none" w:sz="0" w:space="0" w:color="auto"/>
        <w:left w:val="none" w:sz="0" w:space="0" w:color="auto"/>
        <w:bottom w:val="none" w:sz="0" w:space="0" w:color="auto"/>
        <w:right w:val="none" w:sz="0" w:space="0" w:color="auto"/>
      </w:divBdr>
    </w:div>
    <w:div w:id="1866139120">
      <w:bodyDiv w:val="1"/>
      <w:marLeft w:val="0"/>
      <w:marRight w:val="0"/>
      <w:marTop w:val="0"/>
      <w:marBottom w:val="0"/>
      <w:divBdr>
        <w:top w:val="none" w:sz="0" w:space="0" w:color="auto"/>
        <w:left w:val="none" w:sz="0" w:space="0" w:color="auto"/>
        <w:bottom w:val="none" w:sz="0" w:space="0" w:color="auto"/>
        <w:right w:val="none" w:sz="0" w:space="0" w:color="auto"/>
      </w:divBdr>
    </w:div>
    <w:div w:id="1866140002">
      <w:bodyDiv w:val="1"/>
      <w:marLeft w:val="0"/>
      <w:marRight w:val="0"/>
      <w:marTop w:val="0"/>
      <w:marBottom w:val="0"/>
      <w:divBdr>
        <w:top w:val="none" w:sz="0" w:space="0" w:color="auto"/>
        <w:left w:val="none" w:sz="0" w:space="0" w:color="auto"/>
        <w:bottom w:val="none" w:sz="0" w:space="0" w:color="auto"/>
        <w:right w:val="none" w:sz="0" w:space="0" w:color="auto"/>
      </w:divBdr>
    </w:div>
    <w:div w:id="1866284010">
      <w:bodyDiv w:val="1"/>
      <w:marLeft w:val="0"/>
      <w:marRight w:val="0"/>
      <w:marTop w:val="0"/>
      <w:marBottom w:val="0"/>
      <w:divBdr>
        <w:top w:val="none" w:sz="0" w:space="0" w:color="auto"/>
        <w:left w:val="none" w:sz="0" w:space="0" w:color="auto"/>
        <w:bottom w:val="none" w:sz="0" w:space="0" w:color="auto"/>
        <w:right w:val="none" w:sz="0" w:space="0" w:color="auto"/>
      </w:divBdr>
    </w:div>
    <w:div w:id="1866289767">
      <w:bodyDiv w:val="1"/>
      <w:marLeft w:val="0"/>
      <w:marRight w:val="0"/>
      <w:marTop w:val="0"/>
      <w:marBottom w:val="0"/>
      <w:divBdr>
        <w:top w:val="none" w:sz="0" w:space="0" w:color="auto"/>
        <w:left w:val="none" w:sz="0" w:space="0" w:color="auto"/>
        <w:bottom w:val="none" w:sz="0" w:space="0" w:color="auto"/>
        <w:right w:val="none" w:sz="0" w:space="0" w:color="auto"/>
      </w:divBdr>
    </w:div>
    <w:div w:id="1866363356">
      <w:bodyDiv w:val="1"/>
      <w:marLeft w:val="0"/>
      <w:marRight w:val="0"/>
      <w:marTop w:val="0"/>
      <w:marBottom w:val="0"/>
      <w:divBdr>
        <w:top w:val="none" w:sz="0" w:space="0" w:color="auto"/>
        <w:left w:val="none" w:sz="0" w:space="0" w:color="auto"/>
        <w:bottom w:val="none" w:sz="0" w:space="0" w:color="auto"/>
        <w:right w:val="none" w:sz="0" w:space="0" w:color="auto"/>
      </w:divBdr>
    </w:div>
    <w:div w:id="1866364360">
      <w:bodyDiv w:val="1"/>
      <w:marLeft w:val="0"/>
      <w:marRight w:val="0"/>
      <w:marTop w:val="0"/>
      <w:marBottom w:val="0"/>
      <w:divBdr>
        <w:top w:val="none" w:sz="0" w:space="0" w:color="auto"/>
        <w:left w:val="none" w:sz="0" w:space="0" w:color="auto"/>
        <w:bottom w:val="none" w:sz="0" w:space="0" w:color="auto"/>
        <w:right w:val="none" w:sz="0" w:space="0" w:color="auto"/>
      </w:divBdr>
    </w:div>
    <w:div w:id="1866475690">
      <w:bodyDiv w:val="1"/>
      <w:marLeft w:val="0"/>
      <w:marRight w:val="0"/>
      <w:marTop w:val="0"/>
      <w:marBottom w:val="0"/>
      <w:divBdr>
        <w:top w:val="none" w:sz="0" w:space="0" w:color="auto"/>
        <w:left w:val="none" w:sz="0" w:space="0" w:color="auto"/>
        <w:bottom w:val="none" w:sz="0" w:space="0" w:color="auto"/>
        <w:right w:val="none" w:sz="0" w:space="0" w:color="auto"/>
      </w:divBdr>
    </w:div>
    <w:div w:id="1866552478">
      <w:bodyDiv w:val="1"/>
      <w:marLeft w:val="0"/>
      <w:marRight w:val="0"/>
      <w:marTop w:val="0"/>
      <w:marBottom w:val="0"/>
      <w:divBdr>
        <w:top w:val="none" w:sz="0" w:space="0" w:color="auto"/>
        <w:left w:val="none" w:sz="0" w:space="0" w:color="auto"/>
        <w:bottom w:val="none" w:sz="0" w:space="0" w:color="auto"/>
        <w:right w:val="none" w:sz="0" w:space="0" w:color="auto"/>
      </w:divBdr>
    </w:div>
    <w:div w:id="1866557251">
      <w:bodyDiv w:val="1"/>
      <w:marLeft w:val="0"/>
      <w:marRight w:val="0"/>
      <w:marTop w:val="0"/>
      <w:marBottom w:val="0"/>
      <w:divBdr>
        <w:top w:val="none" w:sz="0" w:space="0" w:color="auto"/>
        <w:left w:val="none" w:sz="0" w:space="0" w:color="auto"/>
        <w:bottom w:val="none" w:sz="0" w:space="0" w:color="auto"/>
        <w:right w:val="none" w:sz="0" w:space="0" w:color="auto"/>
      </w:divBdr>
    </w:div>
    <w:div w:id="1866596977">
      <w:bodyDiv w:val="1"/>
      <w:marLeft w:val="0"/>
      <w:marRight w:val="0"/>
      <w:marTop w:val="0"/>
      <w:marBottom w:val="0"/>
      <w:divBdr>
        <w:top w:val="none" w:sz="0" w:space="0" w:color="auto"/>
        <w:left w:val="none" w:sz="0" w:space="0" w:color="auto"/>
        <w:bottom w:val="none" w:sz="0" w:space="0" w:color="auto"/>
        <w:right w:val="none" w:sz="0" w:space="0" w:color="auto"/>
      </w:divBdr>
    </w:div>
    <w:div w:id="1866669010">
      <w:bodyDiv w:val="1"/>
      <w:marLeft w:val="0"/>
      <w:marRight w:val="0"/>
      <w:marTop w:val="0"/>
      <w:marBottom w:val="0"/>
      <w:divBdr>
        <w:top w:val="none" w:sz="0" w:space="0" w:color="auto"/>
        <w:left w:val="none" w:sz="0" w:space="0" w:color="auto"/>
        <w:bottom w:val="none" w:sz="0" w:space="0" w:color="auto"/>
        <w:right w:val="none" w:sz="0" w:space="0" w:color="auto"/>
      </w:divBdr>
    </w:div>
    <w:div w:id="1866671179">
      <w:bodyDiv w:val="1"/>
      <w:marLeft w:val="0"/>
      <w:marRight w:val="0"/>
      <w:marTop w:val="0"/>
      <w:marBottom w:val="0"/>
      <w:divBdr>
        <w:top w:val="none" w:sz="0" w:space="0" w:color="auto"/>
        <w:left w:val="none" w:sz="0" w:space="0" w:color="auto"/>
        <w:bottom w:val="none" w:sz="0" w:space="0" w:color="auto"/>
        <w:right w:val="none" w:sz="0" w:space="0" w:color="auto"/>
      </w:divBdr>
    </w:div>
    <w:div w:id="1866678090">
      <w:bodyDiv w:val="1"/>
      <w:marLeft w:val="0"/>
      <w:marRight w:val="0"/>
      <w:marTop w:val="0"/>
      <w:marBottom w:val="0"/>
      <w:divBdr>
        <w:top w:val="none" w:sz="0" w:space="0" w:color="auto"/>
        <w:left w:val="none" w:sz="0" w:space="0" w:color="auto"/>
        <w:bottom w:val="none" w:sz="0" w:space="0" w:color="auto"/>
        <w:right w:val="none" w:sz="0" w:space="0" w:color="auto"/>
      </w:divBdr>
    </w:div>
    <w:div w:id="1866750475">
      <w:bodyDiv w:val="1"/>
      <w:marLeft w:val="0"/>
      <w:marRight w:val="0"/>
      <w:marTop w:val="0"/>
      <w:marBottom w:val="0"/>
      <w:divBdr>
        <w:top w:val="none" w:sz="0" w:space="0" w:color="auto"/>
        <w:left w:val="none" w:sz="0" w:space="0" w:color="auto"/>
        <w:bottom w:val="none" w:sz="0" w:space="0" w:color="auto"/>
        <w:right w:val="none" w:sz="0" w:space="0" w:color="auto"/>
      </w:divBdr>
    </w:div>
    <w:div w:id="1866794172">
      <w:bodyDiv w:val="1"/>
      <w:marLeft w:val="0"/>
      <w:marRight w:val="0"/>
      <w:marTop w:val="0"/>
      <w:marBottom w:val="0"/>
      <w:divBdr>
        <w:top w:val="none" w:sz="0" w:space="0" w:color="auto"/>
        <w:left w:val="none" w:sz="0" w:space="0" w:color="auto"/>
        <w:bottom w:val="none" w:sz="0" w:space="0" w:color="auto"/>
        <w:right w:val="none" w:sz="0" w:space="0" w:color="auto"/>
      </w:divBdr>
    </w:div>
    <w:div w:id="1866862406">
      <w:bodyDiv w:val="1"/>
      <w:marLeft w:val="0"/>
      <w:marRight w:val="0"/>
      <w:marTop w:val="0"/>
      <w:marBottom w:val="0"/>
      <w:divBdr>
        <w:top w:val="none" w:sz="0" w:space="0" w:color="auto"/>
        <w:left w:val="none" w:sz="0" w:space="0" w:color="auto"/>
        <w:bottom w:val="none" w:sz="0" w:space="0" w:color="auto"/>
        <w:right w:val="none" w:sz="0" w:space="0" w:color="auto"/>
      </w:divBdr>
    </w:div>
    <w:div w:id="1867055475">
      <w:bodyDiv w:val="1"/>
      <w:marLeft w:val="0"/>
      <w:marRight w:val="0"/>
      <w:marTop w:val="0"/>
      <w:marBottom w:val="0"/>
      <w:divBdr>
        <w:top w:val="none" w:sz="0" w:space="0" w:color="auto"/>
        <w:left w:val="none" w:sz="0" w:space="0" w:color="auto"/>
        <w:bottom w:val="none" w:sz="0" w:space="0" w:color="auto"/>
        <w:right w:val="none" w:sz="0" w:space="0" w:color="auto"/>
      </w:divBdr>
    </w:div>
    <w:div w:id="1867256742">
      <w:bodyDiv w:val="1"/>
      <w:marLeft w:val="0"/>
      <w:marRight w:val="0"/>
      <w:marTop w:val="0"/>
      <w:marBottom w:val="0"/>
      <w:divBdr>
        <w:top w:val="none" w:sz="0" w:space="0" w:color="auto"/>
        <w:left w:val="none" w:sz="0" w:space="0" w:color="auto"/>
        <w:bottom w:val="none" w:sz="0" w:space="0" w:color="auto"/>
        <w:right w:val="none" w:sz="0" w:space="0" w:color="auto"/>
      </w:divBdr>
    </w:div>
    <w:div w:id="1867323778">
      <w:bodyDiv w:val="1"/>
      <w:marLeft w:val="0"/>
      <w:marRight w:val="0"/>
      <w:marTop w:val="0"/>
      <w:marBottom w:val="0"/>
      <w:divBdr>
        <w:top w:val="none" w:sz="0" w:space="0" w:color="auto"/>
        <w:left w:val="none" w:sz="0" w:space="0" w:color="auto"/>
        <w:bottom w:val="none" w:sz="0" w:space="0" w:color="auto"/>
        <w:right w:val="none" w:sz="0" w:space="0" w:color="auto"/>
      </w:divBdr>
    </w:div>
    <w:div w:id="1867327847">
      <w:bodyDiv w:val="1"/>
      <w:marLeft w:val="0"/>
      <w:marRight w:val="0"/>
      <w:marTop w:val="0"/>
      <w:marBottom w:val="0"/>
      <w:divBdr>
        <w:top w:val="none" w:sz="0" w:space="0" w:color="auto"/>
        <w:left w:val="none" w:sz="0" w:space="0" w:color="auto"/>
        <w:bottom w:val="none" w:sz="0" w:space="0" w:color="auto"/>
        <w:right w:val="none" w:sz="0" w:space="0" w:color="auto"/>
      </w:divBdr>
    </w:div>
    <w:div w:id="1867402645">
      <w:bodyDiv w:val="1"/>
      <w:marLeft w:val="0"/>
      <w:marRight w:val="0"/>
      <w:marTop w:val="0"/>
      <w:marBottom w:val="0"/>
      <w:divBdr>
        <w:top w:val="none" w:sz="0" w:space="0" w:color="auto"/>
        <w:left w:val="none" w:sz="0" w:space="0" w:color="auto"/>
        <w:bottom w:val="none" w:sz="0" w:space="0" w:color="auto"/>
        <w:right w:val="none" w:sz="0" w:space="0" w:color="auto"/>
      </w:divBdr>
    </w:div>
    <w:div w:id="1867480304">
      <w:bodyDiv w:val="1"/>
      <w:marLeft w:val="0"/>
      <w:marRight w:val="0"/>
      <w:marTop w:val="0"/>
      <w:marBottom w:val="0"/>
      <w:divBdr>
        <w:top w:val="none" w:sz="0" w:space="0" w:color="auto"/>
        <w:left w:val="none" w:sz="0" w:space="0" w:color="auto"/>
        <w:bottom w:val="none" w:sz="0" w:space="0" w:color="auto"/>
        <w:right w:val="none" w:sz="0" w:space="0" w:color="auto"/>
      </w:divBdr>
    </w:div>
    <w:div w:id="1867601236">
      <w:bodyDiv w:val="1"/>
      <w:marLeft w:val="0"/>
      <w:marRight w:val="0"/>
      <w:marTop w:val="0"/>
      <w:marBottom w:val="0"/>
      <w:divBdr>
        <w:top w:val="none" w:sz="0" w:space="0" w:color="auto"/>
        <w:left w:val="none" w:sz="0" w:space="0" w:color="auto"/>
        <w:bottom w:val="none" w:sz="0" w:space="0" w:color="auto"/>
        <w:right w:val="none" w:sz="0" w:space="0" w:color="auto"/>
      </w:divBdr>
    </w:div>
    <w:div w:id="1867672687">
      <w:bodyDiv w:val="1"/>
      <w:marLeft w:val="0"/>
      <w:marRight w:val="0"/>
      <w:marTop w:val="0"/>
      <w:marBottom w:val="0"/>
      <w:divBdr>
        <w:top w:val="none" w:sz="0" w:space="0" w:color="auto"/>
        <w:left w:val="none" w:sz="0" w:space="0" w:color="auto"/>
        <w:bottom w:val="none" w:sz="0" w:space="0" w:color="auto"/>
        <w:right w:val="none" w:sz="0" w:space="0" w:color="auto"/>
      </w:divBdr>
    </w:div>
    <w:div w:id="1867713558">
      <w:bodyDiv w:val="1"/>
      <w:marLeft w:val="0"/>
      <w:marRight w:val="0"/>
      <w:marTop w:val="0"/>
      <w:marBottom w:val="0"/>
      <w:divBdr>
        <w:top w:val="none" w:sz="0" w:space="0" w:color="auto"/>
        <w:left w:val="none" w:sz="0" w:space="0" w:color="auto"/>
        <w:bottom w:val="none" w:sz="0" w:space="0" w:color="auto"/>
        <w:right w:val="none" w:sz="0" w:space="0" w:color="auto"/>
      </w:divBdr>
    </w:div>
    <w:div w:id="1867789404">
      <w:bodyDiv w:val="1"/>
      <w:marLeft w:val="0"/>
      <w:marRight w:val="0"/>
      <w:marTop w:val="0"/>
      <w:marBottom w:val="0"/>
      <w:divBdr>
        <w:top w:val="none" w:sz="0" w:space="0" w:color="auto"/>
        <w:left w:val="none" w:sz="0" w:space="0" w:color="auto"/>
        <w:bottom w:val="none" w:sz="0" w:space="0" w:color="auto"/>
        <w:right w:val="none" w:sz="0" w:space="0" w:color="auto"/>
      </w:divBdr>
    </w:div>
    <w:div w:id="1867865561">
      <w:bodyDiv w:val="1"/>
      <w:marLeft w:val="0"/>
      <w:marRight w:val="0"/>
      <w:marTop w:val="0"/>
      <w:marBottom w:val="0"/>
      <w:divBdr>
        <w:top w:val="none" w:sz="0" w:space="0" w:color="auto"/>
        <w:left w:val="none" w:sz="0" w:space="0" w:color="auto"/>
        <w:bottom w:val="none" w:sz="0" w:space="0" w:color="auto"/>
        <w:right w:val="none" w:sz="0" w:space="0" w:color="auto"/>
      </w:divBdr>
    </w:div>
    <w:div w:id="1867910177">
      <w:bodyDiv w:val="1"/>
      <w:marLeft w:val="0"/>
      <w:marRight w:val="0"/>
      <w:marTop w:val="0"/>
      <w:marBottom w:val="0"/>
      <w:divBdr>
        <w:top w:val="none" w:sz="0" w:space="0" w:color="auto"/>
        <w:left w:val="none" w:sz="0" w:space="0" w:color="auto"/>
        <w:bottom w:val="none" w:sz="0" w:space="0" w:color="auto"/>
        <w:right w:val="none" w:sz="0" w:space="0" w:color="auto"/>
      </w:divBdr>
    </w:div>
    <w:div w:id="1868176878">
      <w:bodyDiv w:val="1"/>
      <w:marLeft w:val="0"/>
      <w:marRight w:val="0"/>
      <w:marTop w:val="0"/>
      <w:marBottom w:val="0"/>
      <w:divBdr>
        <w:top w:val="none" w:sz="0" w:space="0" w:color="auto"/>
        <w:left w:val="none" w:sz="0" w:space="0" w:color="auto"/>
        <w:bottom w:val="none" w:sz="0" w:space="0" w:color="auto"/>
        <w:right w:val="none" w:sz="0" w:space="0" w:color="auto"/>
      </w:divBdr>
    </w:div>
    <w:div w:id="1868177148">
      <w:bodyDiv w:val="1"/>
      <w:marLeft w:val="0"/>
      <w:marRight w:val="0"/>
      <w:marTop w:val="0"/>
      <w:marBottom w:val="0"/>
      <w:divBdr>
        <w:top w:val="none" w:sz="0" w:space="0" w:color="auto"/>
        <w:left w:val="none" w:sz="0" w:space="0" w:color="auto"/>
        <w:bottom w:val="none" w:sz="0" w:space="0" w:color="auto"/>
        <w:right w:val="none" w:sz="0" w:space="0" w:color="auto"/>
      </w:divBdr>
    </w:div>
    <w:div w:id="1868177528">
      <w:bodyDiv w:val="1"/>
      <w:marLeft w:val="0"/>
      <w:marRight w:val="0"/>
      <w:marTop w:val="0"/>
      <w:marBottom w:val="0"/>
      <w:divBdr>
        <w:top w:val="none" w:sz="0" w:space="0" w:color="auto"/>
        <w:left w:val="none" w:sz="0" w:space="0" w:color="auto"/>
        <w:bottom w:val="none" w:sz="0" w:space="0" w:color="auto"/>
        <w:right w:val="none" w:sz="0" w:space="0" w:color="auto"/>
      </w:divBdr>
    </w:div>
    <w:div w:id="1868327306">
      <w:bodyDiv w:val="1"/>
      <w:marLeft w:val="0"/>
      <w:marRight w:val="0"/>
      <w:marTop w:val="0"/>
      <w:marBottom w:val="0"/>
      <w:divBdr>
        <w:top w:val="none" w:sz="0" w:space="0" w:color="auto"/>
        <w:left w:val="none" w:sz="0" w:space="0" w:color="auto"/>
        <w:bottom w:val="none" w:sz="0" w:space="0" w:color="auto"/>
        <w:right w:val="none" w:sz="0" w:space="0" w:color="auto"/>
      </w:divBdr>
    </w:div>
    <w:div w:id="1868366839">
      <w:bodyDiv w:val="1"/>
      <w:marLeft w:val="0"/>
      <w:marRight w:val="0"/>
      <w:marTop w:val="0"/>
      <w:marBottom w:val="0"/>
      <w:divBdr>
        <w:top w:val="none" w:sz="0" w:space="0" w:color="auto"/>
        <w:left w:val="none" w:sz="0" w:space="0" w:color="auto"/>
        <w:bottom w:val="none" w:sz="0" w:space="0" w:color="auto"/>
        <w:right w:val="none" w:sz="0" w:space="0" w:color="auto"/>
      </w:divBdr>
    </w:div>
    <w:div w:id="1868369516">
      <w:bodyDiv w:val="1"/>
      <w:marLeft w:val="0"/>
      <w:marRight w:val="0"/>
      <w:marTop w:val="0"/>
      <w:marBottom w:val="0"/>
      <w:divBdr>
        <w:top w:val="none" w:sz="0" w:space="0" w:color="auto"/>
        <w:left w:val="none" w:sz="0" w:space="0" w:color="auto"/>
        <w:bottom w:val="none" w:sz="0" w:space="0" w:color="auto"/>
        <w:right w:val="none" w:sz="0" w:space="0" w:color="auto"/>
      </w:divBdr>
    </w:div>
    <w:div w:id="1868369729">
      <w:bodyDiv w:val="1"/>
      <w:marLeft w:val="0"/>
      <w:marRight w:val="0"/>
      <w:marTop w:val="0"/>
      <w:marBottom w:val="0"/>
      <w:divBdr>
        <w:top w:val="none" w:sz="0" w:space="0" w:color="auto"/>
        <w:left w:val="none" w:sz="0" w:space="0" w:color="auto"/>
        <w:bottom w:val="none" w:sz="0" w:space="0" w:color="auto"/>
        <w:right w:val="none" w:sz="0" w:space="0" w:color="auto"/>
      </w:divBdr>
    </w:div>
    <w:div w:id="1868518353">
      <w:bodyDiv w:val="1"/>
      <w:marLeft w:val="0"/>
      <w:marRight w:val="0"/>
      <w:marTop w:val="0"/>
      <w:marBottom w:val="0"/>
      <w:divBdr>
        <w:top w:val="none" w:sz="0" w:space="0" w:color="auto"/>
        <w:left w:val="none" w:sz="0" w:space="0" w:color="auto"/>
        <w:bottom w:val="none" w:sz="0" w:space="0" w:color="auto"/>
        <w:right w:val="none" w:sz="0" w:space="0" w:color="auto"/>
      </w:divBdr>
    </w:div>
    <w:div w:id="1868564908">
      <w:bodyDiv w:val="1"/>
      <w:marLeft w:val="0"/>
      <w:marRight w:val="0"/>
      <w:marTop w:val="0"/>
      <w:marBottom w:val="0"/>
      <w:divBdr>
        <w:top w:val="none" w:sz="0" w:space="0" w:color="auto"/>
        <w:left w:val="none" w:sz="0" w:space="0" w:color="auto"/>
        <w:bottom w:val="none" w:sz="0" w:space="0" w:color="auto"/>
        <w:right w:val="none" w:sz="0" w:space="0" w:color="auto"/>
      </w:divBdr>
    </w:div>
    <w:div w:id="1868566554">
      <w:bodyDiv w:val="1"/>
      <w:marLeft w:val="0"/>
      <w:marRight w:val="0"/>
      <w:marTop w:val="0"/>
      <w:marBottom w:val="0"/>
      <w:divBdr>
        <w:top w:val="none" w:sz="0" w:space="0" w:color="auto"/>
        <w:left w:val="none" w:sz="0" w:space="0" w:color="auto"/>
        <w:bottom w:val="none" w:sz="0" w:space="0" w:color="auto"/>
        <w:right w:val="none" w:sz="0" w:space="0" w:color="auto"/>
      </w:divBdr>
    </w:div>
    <w:div w:id="1868641461">
      <w:bodyDiv w:val="1"/>
      <w:marLeft w:val="0"/>
      <w:marRight w:val="0"/>
      <w:marTop w:val="0"/>
      <w:marBottom w:val="0"/>
      <w:divBdr>
        <w:top w:val="none" w:sz="0" w:space="0" w:color="auto"/>
        <w:left w:val="none" w:sz="0" w:space="0" w:color="auto"/>
        <w:bottom w:val="none" w:sz="0" w:space="0" w:color="auto"/>
        <w:right w:val="none" w:sz="0" w:space="0" w:color="auto"/>
      </w:divBdr>
    </w:div>
    <w:div w:id="1868717684">
      <w:bodyDiv w:val="1"/>
      <w:marLeft w:val="0"/>
      <w:marRight w:val="0"/>
      <w:marTop w:val="0"/>
      <w:marBottom w:val="0"/>
      <w:divBdr>
        <w:top w:val="none" w:sz="0" w:space="0" w:color="auto"/>
        <w:left w:val="none" w:sz="0" w:space="0" w:color="auto"/>
        <w:bottom w:val="none" w:sz="0" w:space="0" w:color="auto"/>
        <w:right w:val="none" w:sz="0" w:space="0" w:color="auto"/>
      </w:divBdr>
    </w:div>
    <w:div w:id="1868719409">
      <w:bodyDiv w:val="1"/>
      <w:marLeft w:val="0"/>
      <w:marRight w:val="0"/>
      <w:marTop w:val="0"/>
      <w:marBottom w:val="0"/>
      <w:divBdr>
        <w:top w:val="none" w:sz="0" w:space="0" w:color="auto"/>
        <w:left w:val="none" w:sz="0" w:space="0" w:color="auto"/>
        <w:bottom w:val="none" w:sz="0" w:space="0" w:color="auto"/>
        <w:right w:val="none" w:sz="0" w:space="0" w:color="auto"/>
      </w:divBdr>
    </w:div>
    <w:div w:id="1868910701">
      <w:bodyDiv w:val="1"/>
      <w:marLeft w:val="0"/>
      <w:marRight w:val="0"/>
      <w:marTop w:val="0"/>
      <w:marBottom w:val="0"/>
      <w:divBdr>
        <w:top w:val="none" w:sz="0" w:space="0" w:color="auto"/>
        <w:left w:val="none" w:sz="0" w:space="0" w:color="auto"/>
        <w:bottom w:val="none" w:sz="0" w:space="0" w:color="auto"/>
        <w:right w:val="none" w:sz="0" w:space="0" w:color="auto"/>
      </w:divBdr>
    </w:div>
    <w:div w:id="1869105492">
      <w:bodyDiv w:val="1"/>
      <w:marLeft w:val="0"/>
      <w:marRight w:val="0"/>
      <w:marTop w:val="0"/>
      <w:marBottom w:val="0"/>
      <w:divBdr>
        <w:top w:val="none" w:sz="0" w:space="0" w:color="auto"/>
        <w:left w:val="none" w:sz="0" w:space="0" w:color="auto"/>
        <w:bottom w:val="none" w:sz="0" w:space="0" w:color="auto"/>
        <w:right w:val="none" w:sz="0" w:space="0" w:color="auto"/>
      </w:divBdr>
    </w:div>
    <w:div w:id="1869172512">
      <w:bodyDiv w:val="1"/>
      <w:marLeft w:val="0"/>
      <w:marRight w:val="0"/>
      <w:marTop w:val="0"/>
      <w:marBottom w:val="0"/>
      <w:divBdr>
        <w:top w:val="none" w:sz="0" w:space="0" w:color="auto"/>
        <w:left w:val="none" w:sz="0" w:space="0" w:color="auto"/>
        <w:bottom w:val="none" w:sz="0" w:space="0" w:color="auto"/>
        <w:right w:val="none" w:sz="0" w:space="0" w:color="auto"/>
      </w:divBdr>
    </w:div>
    <w:div w:id="1869178861">
      <w:bodyDiv w:val="1"/>
      <w:marLeft w:val="0"/>
      <w:marRight w:val="0"/>
      <w:marTop w:val="0"/>
      <w:marBottom w:val="0"/>
      <w:divBdr>
        <w:top w:val="none" w:sz="0" w:space="0" w:color="auto"/>
        <w:left w:val="none" w:sz="0" w:space="0" w:color="auto"/>
        <w:bottom w:val="none" w:sz="0" w:space="0" w:color="auto"/>
        <w:right w:val="none" w:sz="0" w:space="0" w:color="auto"/>
      </w:divBdr>
    </w:div>
    <w:div w:id="1869218837">
      <w:bodyDiv w:val="1"/>
      <w:marLeft w:val="0"/>
      <w:marRight w:val="0"/>
      <w:marTop w:val="0"/>
      <w:marBottom w:val="0"/>
      <w:divBdr>
        <w:top w:val="none" w:sz="0" w:space="0" w:color="auto"/>
        <w:left w:val="none" w:sz="0" w:space="0" w:color="auto"/>
        <w:bottom w:val="none" w:sz="0" w:space="0" w:color="auto"/>
        <w:right w:val="none" w:sz="0" w:space="0" w:color="auto"/>
      </w:divBdr>
    </w:div>
    <w:div w:id="1869222163">
      <w:bodyDiv w:val="1"/>
      <w:marLeft w:val="0"/>
      <w:marRight w:val="0"/>
      <w:marTop w:val="0"/>
      <w:marBottom w:val="0"/>
      <w:divBdr>
        <w:top w:val="none" w:sz="0" w:space="0" w:color="auto"/>
        <w:left w:val="none" w:sz="0" w:space="0" w:color="auto"/>
        <w:bottom w:val="none" w:sz="0" w:space="0" w:color="auto"/>
        <w:right w:val="none" w:sz="0" w:space="0" w:color="auto"/>
      </w:divBdr>
    </w:div>
    <w:div w:id="1869367875">
      <w:bodyDiv w:val="1"/>
      <w:marLeft w:val="0"/>
      <w:marRight w:val="0"/>
      <w:marTop w:val="0"/>
      <w:marBottom w:val="0"/>
      <w:divBdr>
        <w:top w:val="none" w:sz="0" w:space="0" w:color="auto"/>
        <w:left w:val="none" w:sz="0" w:space="0" w:color="auto"/>
        <w:bottom w:val="none" w:sz="0" w:space="0" w:color="auto"/>
        <w:right w:val="none" w:sz="0" w:space="0" w:color="auto"/>
      </w:divBdr>
    </w:div>
    <w:div w:id="1869369031">
      <w:bodyDiv w:val="1"/>
      <w:marLeft w:val="0"/>
      <w:marRight w:val="0"/>
      <w:marTop w:val="0"/>
      <w:marBottom w:val="0"/>
      <w:divBdr>
        <w:top w:val="none" w:sz="0" w:space="0" w:color="auto"/>
        <w:left w:val="none" w:sz="0" w:space="0" w:color="auto"/>
        <w:bottom w:val="none" w:sz="0" w:space="0" w:color="auto"/>
        <w:right w:val="none" w:sz="0" w:space="0" w:color="auto"/>
      </w:divBdr>
    </w:div>
    <w:div w:id="1869369216">
      <w:bodyDiv w:val="1"/>
      <w:marLeft w:val="0"/>
      <w:marRight w:val="0"/>
      <w:marTop w:val="0"/>
      <w:marBottom w:val="0"/>
      <w:divBdr>
        <w:top w:val="none" w:sz="0" w:space="0" w:color="auto"/>
        <w:left w:val="none" w:sz="0" w:space="0" w:color="auto"/>
        <w:bottom w:val="none" w:sz="0" w:space="0" w:color="auto"/>
        <w:right w:val="none" w:sz="0" w:space="0" w:color="auto"/>
      </w:divBdr>
    </w:div>
    <w:div w:id="1869369744">
      <w:bodyDiv w:val="1"/>
      <w:marLeft w:val="0"/>
      <w:marRight w:val="0"/>
      <w:marTop w:val="0"/>
      <w:marBottom w:val="0"/>
      <w:divBdr>
        <w:top w:val="none" w:sz="0" w:space="0" w:color="auto"/>
        <w:left w:val="none" w:sz="0" w:space="0" w:color="auto"/>
        <w:bottom w:val="none" w:sz="0" w:space="0" w:color="auto"/>
        <w:right w:val="none" w:sz="0" w:space="0" w:color="auto"/>
      </w:divBdr>
    </w:div>
    <w:div w:id="1869563966">
      <w:bodyDiv w:val="1"/>
      <w:marLeft w:val="0"/>
      <w:marRight w:val="0"/>
      <w:marTop w:val="0"/>
      <w:marBottom w:val="0"/>
      <w:divBdr>
        <w:top w:val="none" w:sz="0" w:space="0" w:color="auto"/>
        <w:left w:val="none" w:sz="0" w:space="0" w:color="auto"/>
        <w:bottom w:val="none" w:sz="0" w:space="0" w:color="auto"/>
        <w:right w:val="none" w:sz="0" w:space="0" w:color="auto"/>
      </w:divBdr>
    </w:div>
    <w:div w:id="1869565032">
      <w:bodyDiv w:val="1"/>
      <w:marLeft w:val="0"/>
      <w:marRight w:val="0"/>
      <w:marTop w:val="0"/>
      <w:marBottom w:val="0"/>
      <w:divBdr>
        <w:top w:val="none" w:sz="0" w:space="0" w:color="auto"/>
        <w:left w:val="none" w:sz="0" w:space="0" w:color="auto"/>
        <w:bottom w:val="none" w:sz="0" w:space="0" w:color="auto"/>
        <w:right w:val="none" w:sz="0" w:space="0" w:color="auto"/>
      </w:divBdr>
    </w:div>
    <w:div w:id="1869567617">
      <w:bodyDiv w:val="1"/>
      <w:marLeft w:val="0"/>
      <w:marRight w:val="0"/>
      <w:marTop w:val="0"/>
      <w:marBottom w:val="0"/>
      <w:divBdr>
        <w:top w:val="none" w:sz="0" w:space="0" w:color="auto"/>
        <w:left w:val="none" w:sz="0" w:space="0" w:color="auto"/>
        <w:bottom w:val="none" w:sz="0" w:space="0" w:color="auto"/>
        <w:right w:val="none" w:sz="0" w:space="0" w:color="auto"/>
      </w:divBdr>
    </w:div>
    <w:div w:id="1869905290">
      <w:bodyDiv w:val="1"/>
      <w:marLeft w:val="0"/>
      <w:marRight w:val="0"/>
      <w:marTop w:val="0"/>
      <w:marBottom w:val="0"/>
      <w:divBdr>
        <w:top w:val="none" w:sz="0" w:space="0" w:color="auto"/>
        <w:left w:val="none" w:sz="0" w:space="0" w:color="auto"/>
        <w:bottom w:val="none" w:sz="0" w:space="0" w:color="auto"/>
        <w:right w:val="none" w:sz="0" w:space="0" w:color="auto"/>
      </w:divBdr>
    </w:div>
    <w:div w:id="1869951123">
      <w:bodyDiv w:val="1"/>
      <w:marLeft w:val="0"/>
      <w:marRight w:val="0"/>
      <w:marTop w:val="0"/>
      <w:marBottom w:val="0"/>
      <w:divBdr>
        <w:top w:val="none" w:sz="0" w:space="0" w:color="auto"/>
        <w:left w:val="none" w:sz="0" w:space="0" w:color="auto"/>
        <w:bottom w:val="none" w:sz="0" w:space="0" w:color="auto"/>
        <w:right w:val="none" w:sz="0" w:space="0" w:color="auto"/>
      </w:divBdr>
    </w:div>
    <w:div w:id="1870024293">
      <w:bodyDiv w:val="1"/>
      <w:marLeft w:val="0"/>
      <w:marRight w:val="0"/>
      <w:marTop w:val="0"/>
      <w:marBottom w:val="0"/>
      <w:divBdr>
        <w:top w:val="none" w:sz="0" w:space="0" w:color="auto"/>
        <w:left w:val="none" w:sz="0" w:space="0" w:color="auto"/>
        <w:bottom w:val="none" w:sz="0" w:space="0" w:color="auto"/>
        <w:right w:val="none" w:sz="0" w:space="0" w:color="auto"/>
      </w:divBdr>
    </w:div>
    <w:div w:id="1870027840">
      <w:bodyDiv w:val="1"/>
      <w:marLeft w:val="0"/>
      <w:marRight w:val="0"/>
      <w:marTop w:val="0"/>
      <w:marBottom w:val="0"/>
      <w:divBdr>
        <w:top w:val="none" w:sz="0" w:space="0" w:color="auto"/>
        <w:left w:val="none" w:sz="0" w:space="0" w:color="auto"/>
        <w:bottom w:val="none" w:sz="0" w:space="0" w:color="auto"/>
        <w:right w:val="none" w:sz="0" w:space="0" w:color="auto"/>
      </w:divBdr>
    </w:div>
    <w:div w:id="1870070663">
      <w:bodyDiv w:val="1"/>
      <w:marLeft w:val="0"/>
      <w:marRight w:val="0"/>
      <w:marTop w:val="0"/>
      <w:marBottom w:val="0"/>
      <w:divBdr>
        <w:top w:val="none" w:sz="0" w:space="0" w:color="auto"/>
        <w:left w:val="none" w:sz="0" w:space="0" w:color="auto"/>
        <w:bottom w:val="none" w:sz="0" w:space="0" w:color="auto"/>
        <w:right w:val="none" w:sz="0" w:space="0" w:color="auto"/>
      </w:divBdr>
    </w:div>
    <w:div w:id="1870095723">
      <w:bodyDiv w:val="1"/>
      <w:marLeft w:val="0"/>
      <w:marRight w:val="0"/>
      <w:marTop w:val="0"/>
      <w:marBottom w:val="0"/>
      <w:divBdr>
        <w:top w:val="none" w:sz="0" w:space="0" w:color="auto"/>
        <w:left w:val="none" w:sz="0" w:space="0" w:color="auto"/>
        <w:bottom w:val="none" w:sz="0" w:space="0" w:color="auto"/>
        <w:right w:val="none" w:sz="0" w:space="0" w:color="auto"/>
      </w:divBdr>
    </w:div>
    <w:div w:id="1870099540">
      <w:bodyDiv w:val="1"/>
      <w:marLeft w:val="0"/>
      <w:marRight w:val="0"/>
      <w:marTop w:val="0"/>
      <w:marBottom w:val="0"/>
      <w:divBdr>
        <w:top w:val="none" w:sz="0" w:space="0" w:color="auto"/>
        <w:left w:val="none" w:sz="0" w:space="0" w:color="auto"/>
        <w:bottom w:val="none" w:sz="0" w:space="0" w:color="auto"/>
        <w:right w:val="none" w:sz="0" w:space="0" w:color="auto"/>
      </w:divBdr>
    </w:div>
    <w:div w:id="1870140852">
      <w:bodyDiv w:val="1"/>
      <w:marLeft w:val="0"/>
      <w:marRight w:val="0"/>
      <w:marTop w:val="0"/>
      <w:marBottom w:val="0"/>
      <w:divBdr>
        <w:top w:val="none" w:sz="0" w:space="0" w:color="auto"/>
        <w:left w:val="none" w:sz="0" w:space="0" w:color="auto"/>
        <w:bottom w:val="none" w:sz="0" w:space="0" w:color="auto"/>
        <w:right w:val="none" w:sz="0" w:space="0" w:color="auto"/>
      </w:divBdr>
    </w:div>
    <w:div w:id="1870214226">
      <w:bodyDiv w:val="1"/>
      <w:marLeft w:val="0"/>
      <w:marRight w:val="0"/>
      <w:marTop w:val="0"/>
      <w:marBottom w:val="0"/>
      <w:divBdr>
        <w:top w:val="none" w:sz="0" w:space="0" w:color="auto"/>
        <w:left w:val="none" w:sz="0" w:space="0" w:color="auto"/>
        <w:bottom w:val="none" w:sz="0" w:space="0" w:color="auto"/>
        <w:right w:val="none" w:sz="0" w:space="0" w:color="auto"/>
      </w:divBdr>
    </w:div>
    <w:div w:id="1870291458">
      <w:bodyDiv w:val="1"/>
      <w:marLeft w:val="0"/>
      <w:marRight w:val="0"/>
      <w:marTop w:val="0"/>
      <w:marBottom w:val="0"/>
      <w:divBdr>
        <w:top w:val="none" w:sz="0" w:space="0" w:color="auto"/>
        <w:left w:val="none" w:sz="0" w:space="0" w:color="auto"/>
        <w:bottom w:val="none" w:sz="0" w:space="0" w:color="auto"/>
        <w:right w:val="none" w:sz="0" w:space="0" w:color="auto"/>
      </w:divBdr>
    </w:div>
    <w:div w:id="1870332187">
      <w:bodyDiv w:val="1"/>
      <w:marLeft w:val="0"/>
      <w:marRight w:val="0"/>
      <w:marTop w:val="0"/>
      <w:marBottom w:val="0"/>
      <w:divBdr>
        <w:top w:val="none" w:sz="0" w:space="0" w:color="auto"/>
        <w:left w:val="none" w:sz="0" w:space="0" w:color="auto"/>
        <w:bottom w:val="none" w:sz="0" w:space="0" w:color="auto"/>
        <w:right w:val="none" w:sz="0" w:space="0" w:color="auto"/>
      </w:divBdr>
    </w:div>
    <w:div w:id="1870364342">
      <w:bodyDiv w:val="1"/>
      <w:marLeft w:val="0"/>
      <w:marRight w:val="0"/>
      <w:marTop w:val="0"/>
      <w:marBottom w:val="0"/>
      <w:divBdr>
        <w:top w:val="none" w:sz="0" w:space="0" w:color="auto"/>
        <w:left w:val="none" w:sz="0" w:space="0" w:color="auto"/>
        <w:bottom w:val="none" w:sz="0" w:space="0" w:color="auto"/>
        <w:right w:val="none" w:sz="0" w:space="0" w:color="auto"/>
      </w:divBdr>
    </w:div>
    <w:div w:id="1870412535">
      <w:bodyDiv w:val="1"/>
      <w:marLeft w:val="0"/>
      <w:marRight w:val="0"/>
      <w:marTop w:val="0"/>
      <w:marBottom w:val="0"/>
      <w:divBdr>
        <w:top w:val="none" w:sz="0" w:space="0" w:color="auto"/>
        <w:left w:val="none" w:sz="0" w:space="0" w:color="auto"/>
        <w:bottom w:val="none" w:sz="0" w:space="0" w:color="auto"/>
        <w:right w:val="none" w:sz="0" w:space="0" w:color="auto"/>
      </w:divBdr>
    </w:div>
    <w:div w:id="1870489403">
      <w:bodyDiv w:val="1"/>
      <w:marLeft w:val="0"/>
      <w:marRight w:val="0"/>
      <w:marTop w:val="0"/>
      <w:marBottom w:val="0"/>
      <w:divBdr>
        <w:top w:val="none" w:sz="0" w:space="0" w:color="auto"/>
        <w:left w:val="none" w:sz="0" w:space="0" w:color="auto"/>
        <w:bottom w:val="none" w:sz="0" w:space="0" w:color="auto"/>
        <w:right w:val="none" w:sz="0" w:space="0" w:color="auto"/>
      </w:divBdr>
    </w:div>
    <w:div w:id="1870490178">
      <w:bodyDiv w:val="1"/>
      <w:marLeft w:val="0"/>
      <w:marRight w:val="0"/>
      <w:marTop w:val="0"/>
      <w:marBottom w:val="0"/>
      <w:divBdr>
        <w:top w:val="none" w:sz="0" w:space="0" w:color="auto"/>
        <w:left w:val="none" w:sz="0" w:space="0" w:color="auto"/>
        <w:bottom w:val="none" w:sz="0" w:space="0" w:color="auto"/>
        <w:right w:val="none" w:sz="0" w:space="0" w:color="auto"/>
      </w:divBdr>
    </w:div>
    <w:div w:id="1870609340">
      <w:bodyDiv w:val="1"/>
      <w:marLeft w:val="0"/>
      <w:marRight w:val="0"/>
      <w:marTop w:val="0"/>
      <w:marBottom w:val="0"/>
      <w:divBdr>
        <w:top w:val="none" w:sz="0" w:space="0" w:color="auto"/>
        <w:left w:val="none" w:sz="0" w:space="0" w:color="auto"/>
        <w:bottom w:val="none" w:sz="0" w:space="0" w:color="auto"/>
        <w:right w:val="none" w:sz="0" w:space="0" w:color="auto"/>
      </w:divBdr>
    </w:div>
    <w:div w:id="1870682046">
      <w:bodyDiv w:val="1"/>
      <w:marLeft w:val="0"/>
      <w:marRight w:val="0"/>
      <w:marTop w:val="0"/>
      <w:marBottom w:val="0"/>
      <w:divBdr>
        <w:top w:val="none" w:sz="0" w:space="0" w:color="auto"/>
        <w:left w:val="none" w:sz="0" w:space="0" w:color="auto"/>
        <w:bottom w:val="none" w:sz="0" w:space="0" w:color="auto"/>
        <w:right w:val="none" w:sz="0" w:space="0" w:color="auto"/>
      </w:divBdr>
    </w:div>
    <w:div w:id="1870683414">
      <w:bodyDiv w:val="1"/>
      <w:marLeft w:val="0"/>
      <w:marRight w:val="0"/>
      <w:marTop w:val="0"/>
      <w:marBottom w:val="0"/>
      <w:divBdr>
        <w:top w:val="none" w:sz="0" w:space="0" w:color="auto"/>
        <w:left w:val="none" w:sz="0" w:space="0" w:color="auto"/>
        <w:bottom w:val="none" w:sz="0" w:space="0" w:color="auto"/>
        <w:right w:val="none" w:sz="0" w:space="0" w:color="auto"/>
      </w:divBdr>
    </w:div>
    <w:div w:id="1870727620">
      <w:bodyDiv w:val="1"/>
      <w:marLeft w:val="0"/>
      <w:marRight w:val="0"/>
      <w:marTop w:val="0"/>
      <w:marBottom w:val="0"/>
      <w:divBdr>
        <w:top w:val="none" w:sz="0" w:space="0" w:color="auto"/>
        <w:left w:val="none" w:sz="0" w:space="0" w:color="auto"/>
        <w:bottom w:val="none" w:sz="0" w:space="0" w:color="auto"/>
        <w:right w:val="none" w:sz="0" w:space="0" w:color="auto"/>
      </w:divBdr>
    </w:div>
    <w:div w:id="1870754512">
      <w:bodyDiv w:val="1"/>
      <w:marLeft w:val="0"/>
      <w:marRight w:val="0"/>
      <w:marTop w:val="0"/>
      <w:marBottom w:val="0"/>
      <w:divBdr>
        <w:top w:val="none" w:sz="0" w:space="0" w:color="auto"/>
        <w:left w:val="none" w:sz="0" w:space="0" w:color="auto"/>
        <w:bottom w:val="none" w:sz="0" w:space="0" w:color="auto"/>
        <w:right w:val="none" w:sz="0" w:space="0" w:color="auto"/>
      </w:divBdr>
    </w:div>
    <w:div w:id="1870794918">
      <w:bodyDiv w:val="1"/>
      <w:marLeft w:val="0"/>
      <w:marRight w:val="0"/>
      <w:marTop w:val="0"/>
      <w:marBottom w:val="0"/>
      <w:divBdr>
        <w:top w:val="none" w:sz="0" w:space="0" w:color="auto"/>
        <w:left w:val="none" w:sz="0" w:space="0" w:color="auto"/>
        <w:bottom w:val="none" w:sz="0" w:space="0" w:color="auto"/>
        <w:right w:val="none" w:sz="0" w:space="0" w:color="auto"/>
      </w:divBdr>
    </w:div>
    <w:div w:id="1870799872">
      <w:bodyDiv w:val="1"/>
      <w:marLeft w:val="0"/>
      <w:marRight w:val="0"/>
      <w:marTop w:val="0"/>
      <w:marBottom w:val="0"/>
      <w:divBdr>
        <w:top w:val="none" w:sz="0" w:space="0" w:color="auto"/>
        <w:left w:val="none" w:sz="0" w:space="0" w:color="auto"/>
        <w:bottom w:val="none" w:sz="0" w:space="0" w:color="auto"/>
        <w:right w:val="none" w:sz="0" w:space="0" w:color="auto"/>
      </w:divBdr>
    </w:div>
    <w:div w:id="1870947067">
      <w:bodyDiv w:val="1"/>
      <w:marLeft w:val="0"/>
      <w:marRight w:val="0"/>
      <w:marTop w:val="0"/>
      <w:marBottom w:val="0"/>
      <w:divBdr>
        <w:top w:val="none" w:sz="0" w:space="0" w:color="auto"/>
        <w:left w:val="none" w:sz="0" w:space="0" w:color="auto"/>
        <w:bottom w:val="none" w:sz="0" w:space="0" w:color="auto"/>
        <w:right w:val="none" w:sz="0" w:space="0" w:color="auto"/>
      </w:divBdr>
    </w:div>
    <w:div w:id="1871187684">
      <w:bodyDiv w:val="1"/>
      <w:marLeft w:val="0"/>
      <w:marRight w:val="0"/>
      <w:marTop w:val="0"/>
      <w:marBottom w:val="0"/>
      <w:divBdr>
        <w:top w:val="none" w:sz="0" w:space="0" w:color="auto"/>
        <w:left w:val="none" w:sz="0" w:space="0" w:color="auto"/>
        <w:bottom w:val="none" w:sz="0" w:space="0" w:color="auto"/>
        <w:right w:val="none" w:sz="0" w:space="0" w:color="auto"/>
      </w:divBdr>
    </w:div>
    <w:div w:id="1871256730">
      <w:bodyDiv w:val="1"/>
      <w:marLeft w:val="0"/>
      <w:marRight w:val="0"/>
      <w:marTop w:val="0"/>
      <w:marBottom w:val="0"/>
      <w:divBdr>
        <w:top w:val="none" w:sz="0" w:space="0" w:color="auto"/>
        <w:left w:val="none" w:sz="0" w:space="0" w:color="auto"/>
        <w:bottom w:val="none" w:sz="0" w:space="0" w:color="auto"/>
        <w:right w:val="none" w:sz="0" w:space="0" w:color="auto"/>
      </w:divBdr>
    </w:div>
    <w:div w:id="1871256743">
      <w:bodyDiv w:val="1"/>
      <w:marLeft w:val="0"/>
      <w:marRight w:val="0"/>
      <w:marTop w:val="0"/>
      <w:marBottom w:val="0"/>
      <w:divBdr>
        <w:top w:val="none" w:sz="0" w:space="0" w:color="auto"/>
        <w:left w:val="none" w:sz="0" w:space="0" w:color="auto"/>
        <w:bottom w:val="none" w:sz="0" w:space="0" w:color="auto"/>
        <w:right w:val="none" w:sz="0" w:space="0" w:color="auto"/>
      </w:divBdr>
    </w:div>
    <w:div w:id="1871333182">
      <w:bodyDiv w:val="1"/>
      <w:marLeft w:val="0"/>
      <w:marRight w:val="0"/>
      <w:marTop w:val="0"/>
      <w:marBottom w:val="0"/>
      <w:divBdr>
        <w:top w:val="none" w:sz="0" w:space="0" w:color="auto"/>
        <w:left w:val="none" w:sz="0" w:space="0" w:color="auto"/>
        <w:bottom w:val="none" w:sz="0" w:space="0" w:color="auto"/>
        <w:right w:val="none" w:sz="0" w:space="0" w:color="auto"/>
      </w:divBdr>
    </w:div>
    <w:div w:id="1871381005">
      <w:bodyDiv w:val="1"/>
      <w:marLeft w:val="0"/>
      <w:marRight w:val="0"/>
      <w:marTop w:val="0"/>
      <w:marBottom w:val="0"/>
      <w:divBdr>
        <w:top w:val="none" w:sz="0" w:space="0" w:color="auto"/>
        <w:left w:val="none" w:sz="0" w:space="0" w:color="auto"/>
        <w:bottom w:val="none" w:sz="0" w:space="0" w:color="auto"/>
        <w:right w:val="none" w:sz="0" w:space="0" w:color="auto"/>
      </w:divBdr>
    </w:div>
    <w:div w:id="1871451176">
      <w:bodyDiv w:val="1"/>
      <w:marLeft w:val="0"/>
      <w:marRight w:val="0"/>
      <w:marTop w:val="0"/>
      <w:marBottom w:val="0"/>
      <w:divBdr>
        <w:top w:val="none" w:sz="0" w:space="0" w:color="auto"/>
        <w:left w:val="none" w:sz="0" w:space="0" w:color="auto"/>
        <w:bottom w:val="none" w:sz="0" w:space="0" w:color="auto"/>
        <w:right w:val="none" w:sz="0" w:space="0" w:color="auto"/>
      </w:divBdr>
    </w:div>
    <w:div w:id="1871453269">
      <w:bodyDiv w:val="1"/>
      <w:marLeft w:val="0"/>
      <w:marRight w:val="0"/>
      <w:marTop w:val="0"/>
      <w:marBottom w:val="0"/>
      <w:divBdr>
        <w:top w:val="none" w:sz="0" w:space="0" w:color="auto"/>
        <w:left w:val="none" w:sz="0" w:space="0" w:color="auto"/>
        <w:bottom w:val="none" w:sz="0" w:space="0" w:color="auto"/>
        <w:right w:val="none" w:sz="0" w:space="0" w:color="auto"/>
      </w:divBdr>
    </w:div>
    <w:div w:id="1871453964">
      <w:bodyDiv w:val="1"/>
      <w:marLeft w:val="0"/>
      <w:marRight w:val="0"/>
      <w:marTop w:val="0"/>
      <w:marBottom w:val="0"/>
      <w:divBdr>
        <w:top w:val="none" w:sz="0" w:space="0" w:color="auto"/>
        <w:left w:val="none" w:sz="0" w:space="0" w:color="auto"/>
        <w:bottom w:val="none" w:sz="0" w:space="0" w:color="auto"/>
        <w:right w:val="none" w:sz="0" w:space="0" w:color="auto"/>
      </w:divBdr>
    </w:div>
    <w:div w:id="1871600286">
      <w:bodyDiv w:val="1"/>
      <w:marLeft w:val="0"/>
      <w:marRight w:val="0"/>
      <w:marTop w:val="0"/>
      <w:marBottom w:val="0"/>
      <w:divBdr>
        <w:top w:val="none" w:sz="0" w:space="0" w:color="auto"/>
        <w:left w:val="none" w:sz="0" w:space="0" w:color="auto"/>
        <w:bottom w:val="none" w:sz="0" w:space="0" w:color="auto"/>
        <w:right w:val="none" w:sz="0" w:space="0" w:color="auto"/>
      </w:divBdr>
    </w:div>
    <w:div w:id="1871607813">
      <w:bodyDiv w:val="1"/>
      <w:marLeft w:val="0"/>
      <w:marRight w:val="0"/>
      <w:marTop w:val="0"/>
      <w:marBottom w:val="0"/>
      <w:divBdr>
        <w:top w:val="none" w:sz="0" w:space="0" w:color="auto"/>
        <w:left w:val="none" w:sz="0" w:space="0" w:color="auto"/>
        <w:bottom w:val="none" w:sz="0" w:space="0" w:color="auto"/>
        <w:right w:val="none" w:sz="0" w:space="0" w:color="auto"/>
      </w:divBdr>
    </w:div>
    <w:div w:id="1871839562">
      <w:bodyDiv w:val="1"/>
      <w:marLeft w:val="0"/>
      <w:marRight w:val="0"/>
      <w:marTop w:val="0"/>
      <w:marBottom w:val="0"/>
      <w:divBdr>
        <w:top w:val="none" w:sz="0" w:space="0" w:color="auto"/>
        <w:left w:val="none" w:sz="0" w:space="0" w:color="auto"/>
        <w:bottom w:val="none" w:sz="0" w:space="0" w:color="auto"/>
        <w:right w:val="none" w:sz="0" w:space="0" w:color="auto"/>
      </w:divBdr>
    </w:div>
    <w:div w:id="1871841919">
      <w:bodyDiv w:val="1"/>
      <w:marLeft w:val="0"/>
      <w:marRight w:val="0"/>
      <w:marTop w:val="0"/>
      <w:marBottom w:val="0"/>
      <w:divBdr>
        <w:top w:val="none" w:sz="0" w:space="0" w:color="auto"/>
        <w:left w:val="none" w:sz="0" w:space="0" w:color="auto"/>
        <w:bottom w:val="none" w:sz="0" w:space="0" w:color="auto"/>
        <w:right w:val="none" w:sz="0" w:space="0" w:color="auto"/>
      </w:divBdr>
    </w:div>
    <w:div w:id="1871868998">
      <w:bodyDiv w:val="1"/>
      <w:marLeft w:val="0"/>
      <w:marRight w:val="0"/>
      <w:marTop w:val="0"/>
      <w:marBottom w:val="0"/>
      <w:divBdr>
        <w:top w:val="none" w:sz="0" w:space="0" w:color="auto"/>
        <w:left w:val="none" w:sz="0" w:space="0" w:color="auto"/>
        <w:bottom w:val="none" w:sz="0" w:space="0" w:color="auto"/>
        <w:right w:val="none" w:sz="0" w:space="0" w:color="auto"/>
      </w:divBdr>
    </w:div>
    <w:div w:id="1871869978">
      <w:bodyDiv w:val="1"/>
      <w:marLeft w:val="0"/>
      <w:marRight w:val="0"/>
      <w:marTop w:val="0"/>
      <w:marBottom w:val="0"/>
      <w:divBdr>
        <w:top w:val="none" w:sz="0" w:space="0" w:color="auto"/>
        <w:left w:val="none" w:sz="0" w:space="0" w:color="auto"/>
        <w:bottom w:val="none" w:sz="0" w:space="0" w:color="auto"/>
        <w:right w:val="none" w:sz="0" w:space="0" w:color="auto"/>
      </w:divBdr>
    </w:div>
    <w:div w:id="1871911629">
      <w:bodyDiv w:val="1"/>
      <w:marLeft w:val="0"/>
      <w:marRight w:val="0"/>
      <w:marTop w:val="0"/>
      <w:marBottom w:val="0"/>
      <w:divBdr>
        <w:top w:val="none" w:sz="0" w:space="0" w:color="auto"/>
        <w:left w:val="none" w:sz="0" w:space="0" w:color="auto"/>
        <w:bottom w:val="none" w:sz="0" w:space="0" w:color="auto"/>
        <w:right w:val="none" w:sz="0" w:space="0" w:color="auto"/>
      </w:divBdr>
    </w:div>
    <w:div w:id="1871918929">
      <w:bodyDiv w:val="1"/>
      <w:marLeft w:val="0"/>
      <w:marRight w:val="0"/>
      <w:marTop w:val="0"/>
      <w:marBottom w:val="0"/>
      <w:divBdr>
        <w:top w:val="none" w:sz="0" w:space="0" w:color="auto"/>
        <w:left w:val="none" w:sz="0" w:space="0" w:color="auto"/>
        <w:bottom w:val="none" w:sz="0" w:space="0" w:color="auto"/>
        <w:right w:val="none" w:sz="0" w:space="0" w:color="auto"/>
      </w:divBdr>
    </w:div>
    <w:div w:id="1871988827">
      <w:bodyDiv w:val="1"/>
      <w:marLeft w:val="0"/>
      <w:marRight w:val="0"/>
      <w:marTop w:val="0"/>
      <w:marBottom w:val="0"/>
      <w:divBdr>
        <w:top w:val="none" w:sz="0" w:space="0" w:color="auto"/>
        <w:left w:val="none" w:sz="0" w:space="0" w:color="auto"/>
        <w:bottom w:val="none" w:sz="0" w:space="0" w:color="auto"/>
        <w:right w:val="none" w:sz="0" w:space="0" w:color="auto"/>
      </w:divBdr>
    </w:div>
    <w:div w:id="1872061873">
      <w:bodyDiv w:val="1"/>
      <w:marLeft w:val="0"/>
      <w:marRight w:val="0"/>
      <w:marTop w:val="0"/>
      <w:marBottom w:val="0"/>
      <w:divBdr>
        <w:top w:val="none" w:sz="0" w:space="0" w:color="auto"/>
        <w:left w:val="none" w:sz="0" w:space="0" w:color="auto"/>
        <w:bottom w:val="none" w:sz="0" w:space="0" w:color="auto"/>
        <w:right w:val="none" w:sz="0" w:space="0" w:color="auto"/>
      </w:divBdr>
    </w:div>
    <w:div w:id="1872104214">
      <w:bodyDiv w:val="1"/>
      <w:marLeft w:val="0"/>
      <w:marRight w:val="0"/>
      <w:marTop w:val="0"/>
      <w:marBottom w:val="0"/>
      <w:divBdr>
        <w:top w:val="none" w:sz="0" w:space="0" w:color="auto"/>
        <w:left w:val="none" w:sz="0" w:space="0" w:color="auto"/>
        <w:bottom w:val="none" w:sz="0" w:space="0" w:color="auto"/>
        <w:right w:val="none" w:sz="0" w:space="0" w:color="auto"/>
      </w:divBdr>
    </w:div>
    <w:div w:id="1872104419">
      <w:bodyDiv w:val="1"/>
      <w:marLeft w:val="0"/>
      <w:marRight w:val="0"/>
      <w:marTop w:val="0"/>
      <w:marBottom w:val="0"/>
      <w:divBdr>
        <w:top w:val="none" w:sz="0" w:space="0" w:color="auto"/>
        <w:left w:val="none" w:sz="0" w:space="0" w:color="auto"/>
        <w:bottom w:val="none" w:sz="0" w:space="0" w:color="auto"/>
        <w:right w:val="none" w:sz="0" w:space="0" w:color="auto"/>
      </w:divBdr>
    </w:div>
    <w:div w:id="1872105372">
      <w:bodyDiv w:val="1"/>
      <w:marLeft w:val="0"/>
      <w:marRight w:val="0"/>
      <w:marTop w:val="0"/>
      <w:marBottom w:val="0"/>
      <w:divBdr>
        <w:top w:val="none" w:sz="0" w:space="0" w:color="auto"/>
        <w:left w:val="none" w:sz="0" w:space="0" w:color="auto"/>
        <w:bottom w:val="none" w:sz="0" w:space="0" w:color="auto"/>
        <w:right w:val="none" w:sz="0" w:space="0" w:color="auto"/>
      </w:divBdr>
    </w:div>
    <w:div w:id="1872257624">
      <w:bodyDiv w:val="1"/>
      <w:marLeft w:val="0"/>
      <w:marRight w:val="0"/>
      <w:marTop w:val="0"/>
      <w:marBottom w:val="0"/>
      <w:divBdr>
        <w:top w:val="none" w:sz="0" w:space="0" w:color="auto"/>
        <w:left w:val="none" w:sz="0" w:space="0" w:color="auto"/>
        <w:bottom w:val="none" w:sz="0" w:space="0" w:color="auto"/>
        <w:right w:val="none" w:sz="0" w:space="0" w:color="auto"/>
      </w:divBdr>
    </w:div>
    <w:div w:id="1872569259">
      <w:bodyDiv w:val="1"/>
      <w:marLeft w:val="0"/>
      <w:marRight w:val="0"/>
      <w:marTop w:val="0"/>
      <w:marBottom w:val="0"/>
      <w:divBdr>
        <w:top w:val="none" w:sz="0" w:space="0" w:color="auto"/>
        <w:left w:val="none" w:sz="0" w:space="0" w:color="auto"/>
        <w:bottom w:val="none" w:sz="0" w:space="0" w:color="auto"/>
        <w:right w:val="none" w:sz="0" w:space="0" w:color="auto"/>
      </w:divBdr>
    </w:div>
    <w:div w:id="1872571844">
      <w:bodyDiv w:val="1"/>
      <w:marLeft w:val="0"/>
      <w:marRight w:val="0"/>
      <w:marTop w:val="0"/>
      <w:marBottom w:val="0"/>
      <w:divBdr>
        <w:top w:val="none" w:sz="0" w:space="0" w:color="auto"/>
        <w:left w:val="none" w:sz="0" w:space="0" w:color="auto"/>
        <w:bottom w:val="none" w:sz="0" w:space="0" w:color="auto"/>
        <w:right w:val="none" w:sz="0" w:space="0" w:color="auto"/>
      </w:divBdr>
    </w:div>
    <w:div w:id="1872573916">
      <w:bodyDiv w:val="1"/>
      <w:marLeft w:val="0"/>
      <w:marRight w:val="0"/>
      <w:marTop w:val="0"/>
      <w:marBottom w:val="0"/>
      <w:divBdr>
        <w:top w:val="none" w:sz="0" w:space="0" w:color="auto"/>
        <w:left w:val="none" w:sz="0" w:space="0" w:color="auto"/>
        <w:bottom w:val="none" w:sz="0" w:space="0" w:color="auto"/>
        <w:right w:val="none" w:sz="0" w:space="0" w:color="auto"/>
      </w:divBdr>
    </w:div>
    <w:div w:id="1872722701">
      <w:bodyDiv w:val="1"/>
      <w:marLeft w:val="0"/>
      <w:marRight w:val="0"/>
      <w:marTop w:val="0"/>
      <w:marBottom w:val="0"/>
      <w:divBdr>
        <w:top w:val="none" w:sz="0" w:space="0" w:color="auto"/>
        <w:left w:val="none" w:sz="0" w:space="0" w:color="auto"/>
        <w:bottom w:val="none" w:sz="0" w:space="0" w:color="auto"/>
        <w:right w:val="none" w:sz="0" w:space="0" w:color="auto"/>
      </w:divBdr>
    </w:div>
    <w:div w:id="1872761181">
      <w:bodyDiv w:val="1"/>
      <w:marLeft w:val="0"/>
      <w:marRight w:val="0"/>
      <w:marTop w:val="0"/>
      <w:marBottom w:val="0"/>
      <w:divBdr>
        <w:top w:val="none" w:sz="0" w:space="0" w:color="auto"/>
        <w:left w:val="none" w:sz="0" w:space="0" w:color="auto"/>
        <w:bottom w:val="none" w:sz="0" w:space="0" w:color="auto"/>
        <w:right w:val="none" w:sz="0" w:space="0" w:color="auto"/>
      </w:divBdr>
    </w:div>
    <w:div w:id="1872840207">
      <w:bodyDiv w:val="1"/>
      <w:marLeft w:val="0"/>
      <w:marRight w:val="0"/>
      <w:marTop w:val="0"/>
      <w:marBottom w:val="0"/>
      <w:divBdr>
        <w:top w:val="none" w:sz="0" w:space="0" w:color="auto"/>
        <w:left w:val="none" w:sz="0" w:space="0" w:color="auto"/>
        <w:bottom w:val="none" w:sz="0" w:space="0" w:color="auto"/>
        <w:right w:val="none" w:sz="0" w:space="0" w:color="auto"/>
      </w:divBdr>
    </w:div>
    <w:div w:id="1872840261">
      <w:bodyDiv w:val="1"/>
      <w:marLeft w:val="0"/>
      <w:marRight w:val="0"/>
      <w:marTop w:val="0"/>
      <w:marBottom w:val="0"/>
      <w:divBdr>
        <w:top w:val="none" w:sz="0" w:space="0" w:color="auto"/>
        <w:left w:val="none" w:sz="0" w:space="0" w:color="auto"/>
        <w:bottom w:val="none" w:sz="0" w:space="0" w:color="auto"/>
        <w:right w:val="none" w:sz="0" w:space="0" w:color="auto"/>
      </w:divBdr>
    </w:div>
    <w:div w:id="1873031455">
      <w:bodyDiv w:val="1"/>
      <w:marLeft w:val="0"/>
      <w:marRight w:val="0"/>
      <w:marTop w:val="0"/>
      <w:marBottom w:val="0"/>
      <w:divBdr>
        <w:top w:val="none" w:sz="0" w:space="0" w:color="auto"/>
        <w:left w:val="none" w:sz="0" w:space="0" w:color="auto"/>
        <w:bottom w:val="none" w:sz="0" w:space="0" w:color="auto"/>
        <w:right w:val="none" w:sz="0" w:space="0" w:color="auto"/>
      </w:divBdr>
    </w:div>
    <w:div w:id="1873036071">
      <w:bodyDiv w:val="1"/>
      <w:marLeft w:val="0"/>
      <w:marRight w:val="0"/>
      <w:marTop w:val="0"/>
      <w:marBottom w:val="0"/>
      <w:divBdr>
        <w:top w:val="none" w:sz="0" w:space="0" w:color="auto"/>
        <w:left w:val="none" w:sz="0" w:space="0" w:color="auto"/>
        <w:bottom w:val="none" w:sz="0" w:space="0" w:color="auto"/>
        <w:right w:val="none" w:sz="0" w:space="0" w:color="auto"/>
      </w:divBdr>
    </w:div>
    <w:div w:id="1873036740">
      <w:bodyDiv w:val="1"/>
      <w:marLeft w:val="0"/>
      <w:marRight w:val="0"/>
      <w:marTop w:val="0"/>
      <w:marBottom w:val="0"/>
      <w:divBdr>
        <w:top w:val="none" w:sz="0" w:space="0" w:color="auto"/>
        <w:left w:val="none" w:sz="0" w:space="0" w:color="auto"/>
        <w:bottom w:val="none" w:sz="0" w:space="0" w:color="auto"/>
        <w:right w:val="none" w:sz="0" w:space="0" w:color="auto"/>
      </w:divBdr>
    </w:div>
    <w:div w:id="1873111029">
      <w:bodyDiv w:val="1"/>
      <w:marLeft w:val="0"/>
      <w:marRight w:val="0"/>
      <w:marTop w:val="0"/>
      <w:marBottom w:val="0"/>
      <w:divBdr>
        <w:top w:val="none" w:sz="0" w:space="0" w:color="auto"/>
        <w:left w:val="none" w:sz="0" w:space="0" w:color="auto"/>
        <w:bottom w:val="none" w:sz="0" w:space="0" w:color="auto"/>
        <w:right w:val="none" w:sz="0" w:space="0" w:color="auto"/>
      </w:divBdr>
    </w:div>
    <w:div w:id="1873155477">
      <w:bodyDiv w:val="1"/>
      <w:marLeft w:val="0"/>
      <w:marRight w:val="0"/>
      <w:marTop w:val="0"/>
      <w:marBottom w:val="0"/>
      <w:divBdr>
        <w:top w:val="none" w:sz="0" w:space="0" w:color="auto"/>
        <w:left w:val="none" w:sz="0" w:space="0" w:color="auto"/>
        <w:bottom w:val="none" w:sz="0" w:space="0" w:color="auto"/>
        <w:right w:val="none" w:sz="0" w:space="0" w:color="auto"/>
      </w:divBdr>
    </w:div>
    <w:div w:id="1873182692">
      <w:bodyDiv w:val="1"/>
      <w:marLeft w:val="0"/>
      <w:marRight w:val="0"/>
      <w:marTop w:val="0"/>
      <w:marBottom w:val="0"/>
      <w:divBdr>
        <w:top w:val="none" w:sz="0" w:space="0" w:color="auto"/>
        <w:left w:val="none" w:sz="0" w:space="0" w:color="auto"/>
        <w:bottom w:val="none" w:sz="0" w:space="0" w:color="auto"/>
        <w:right w:val="none" w:sz="0" w:space="0" w:color="auto"/>
      </w:divBdr>
    </w:div>
    <w:div w:id="1873230057">
      <w:bodyDiv w:val="1"/>
      <w:marLeft w:val="0"/>
      <w:marRight w:val="0"/>
      <w:marTop w:val="0"/>
      <w:marBottom w:val="0"/>
      <w:divBdr>
        <w:top w:val="none" w:sz="0" w:space="0" w:color="auto"/>
        <w:left w:val="none" w:sz="0" w:space="0" w:color="auto"/>
        <w:bottom w:val="none" w:sz="0" w:space="0" w:color="auto"/>
        <w:right w:val="none" w:sz="0" w:space="0" w:color="auto"/>
      </w:divBdr>
    </w:div>
    <w:div w:id="1873298373">
      <w:bodyDiv w:val="1"/>
      <w:marLeft w:val="0"/>
      <w:marRight w:val="0"/>
      <w:marTop w:val="0"/>
      <w:marBottom w:val="0"/>
      <w:divBdr>
        <w:top w:val="none" w:sz="0" w:space="0" w:color="auto"/>
        <w:left w:val="none" w:sz="0" w:space="0" w:color="auto"/>
        <w:bottom w:val="none" w:sz="0" w:space="0" w:color="auto"/>
        <w:right w:val="none" w:sz="0" w:space="0" w:color="auto"/>
      </w:divBdr>
    </w:div>
    <w:div w:id="1873372100">
      <w:bodyDiv w:val="1"/>
      <w:marLeft w:val="0"/>
      <w:marRight w:val="0"/>
      <w:marTop w:val="0"/>
      <w:marBottom w:val="0"/>
      <w:divBdr>
        <w:top w:val="none" w:sz="0" w:space="0" w:color="auto"/>
        <w:left w:val="none" w:sz="0" w:space="0" w:color="auto"/>
        <w:bottom w:val="none" w:sz="0" w:space="0" w:color="auto"/>
        <w:right w:val="none" w:sz="0" w:space="0" w:color="auto"/>
      </w:divBdr>
    </w:div>
    <w:div w:id="1873422348">
      <w:bodyDiv w:val="1"/>
      <w:marLeft w:val="0"/>
      <w:marRight w:val="0"/>
      <w:marTop w:val="0"/>
      <w:marBottom w:val="0"/>
      <w:divBdr>
        <w:top w:val="none" w:sz="0" w:space="0" w:color="auto"/>
        <w:left w:val="none" w:sz="0" w:space="0" w:color="auto"/>
        <w:bottom w:val="none" w:sz="0" w:space="0" w:color="auto"/>
        <w:right w:val="none" w:sz="0" w:space="0" w:color="auto"/>
      </w:divBdr>
    </w:div>
    <w:div w:id="1873567678">
      <w:bodyDiv w:val="1"/>
      <w:marLeft w:val="0"/>
      <w:marRight w:val="0"/>
      <w:marTop w:val="0"/>
      <w:marBottom w:val="0"/>
      <w:divBdr>
        <w:top w:val="none" w:sz="0" w:space="0" w:color="auto"/>
        <w:left w:val="none" w:sz="0" w:space="0" w:color="auto"/>
        <w:bottom w:val="none" w:sz="0" w:space="0" w:color="auto"/>
        <w:right w:val="none" w:sz="0" w:space="0" w:color="auto"/>
      </w:divBdr>
    </w:div>
    <w:div w:id="1873611981">
      <w:bodyDiv w:val="1"/>
      <w:marLeft w:val="0"/>
      <w:marRight w:val="0"/>
      <w:marTop w:val="0"/>
      <w:marBottom w:val="0"/>
      <w:divBdr>
        <w:top w:val="none" w:sz="0" w:space="0" w:color="auto"/>
        <w:left w:val="none" w:sz="0" w:space="0" w:color="auto"/>
        <w:bottom w:val="none" w:sz="0" w:space="0" w:color="auto"/>
        <w:right w:val="none" w:sz="0" w:space="0" w:color="auto"/>
      </w:divBdr>
    </w:div>
    <w:div w:id="1873683347">
      <w:bodyDiv w:val="1"/>
      <w:marLeft w:val="0"/>
      <w:marRight w:val="0"/>
      <w:marTop w:val="0"/>
      <w:marBottom w:val="0"/>
      <w:divBdr>
        <w:top w:val="none" w:sz="0" w:space="0" w:color="auto"/>
        <w:left w:val="none" w:sz="0" w:space="0" w:color="auto"/>
        <w:bottom w:val="none" w:sz="0" w:space="0" w:color="auto"/>
        <w:right w:val="none" w:sz="0" w:space="0" w:color="auto"/>
      </w:divBdr>
    </w:div>
    <w:div w:id="1873689552">
      <w:bodyDiv w:val="1"/>
      <w:marLeft w:val="0"/>
      <w:marRight w:val="0"/>
      <w:marTop w:val="0"/>
      <w:marBottom w:val="0"/>
      <w:divBdr>
        <w:top w:val="none" w:sz="0" w:space="0" w:color="auto"/>
        <w:left w:val="none" w:sz="0" w:space="0" w:color="auto"/>
        <w:bottom w:val="none" w:sz="0" w:space="0" w:color="auto"/>
        <w:right w:val="none" w:sz="0" w:space="0" w:color="auto"/>
      </w:divBdr>
    </w:div>
    <w:div w:id="1873691571">
      <w:bodyDiv w:val="1"/>
      <w:marLeft w:val="0"/>
      <w:marRight w:val="0"/>
      <w:marTop w:val="0"/>
      <w:marBottom w:val="0"/>
      <w:divBdr>
        <w:top w:val="none" w:sz="0" w:space="0" w:color="auto"/>
        <w:left w:val="none" w:sz="0" w:space="0" w:color="auto"/>
        <w:bottom w:val="none" w:sz="0" w:space="0" w:color="auto"/>
        <w:right w:val="none" w:sz="0" w:space="0" w:color="auto"/>
      </w:divBdr>
    </w:div>
    <w:div w:id="1873760510">
      <w:bodyDiv w:val="1"/>
      <w:marLeft w:val="0"/>
      <w:marRight w:val="0"/>
      <w:marTop w:val="0"/>
      <w:marBottom w:val="0"/>
      <w:divBdr>
        <w:top w:val="none" w:sz="0" w:space="0" w:color="auto"/>
        <w:left w:val="none" w:sz="0" w:space="0" w:color="auto"/>
        <w:bottom w:val="none" w:sz="0" w:space="0" w:color="auto"/>
        <w:right w:val="none" w:sz="0" w:space="0" w:color="auto"/>
      </w:divBdr>
    </w:div>
    <w:div w:id="1873765405">
      <w:bodyDiv w:val="1"/>
      <w:marLeft w:val="0"/>
      <w:marRight w:val="0"/>
      <w:marTop w:val="0"/>
      <w:marBottom w:val="0"/>
      <w:divBdr>
        <w:top w:val="none" w:sz="0" w:space="0" w:color="auto"/>
        <w:left w:val="none" w:sz="0" w:space="0" w:color="auto"/>
        <w:bottom w:val="none" w:sz="0" w:space="0" w:color="auto"/>
        <w:right w:val="none" w:sz="0" w:space="0" w:color="auto"/>
      </w:divBdr>
    </w:div>
    <w:div w:id="1873809354">
      <w:bodyDiv w:val="1"/>
      <w:marLeft w:val="0"/>
      <w:marRight w:val="0"/>
      <w:marTop w:val="0"/>
      <w:marBottom w:val="0"/>
      <w:divBdr>
        <w:top w:val="none" w:sz="0" w:space="0" w:color="auto"/>
        <w:left w:val="none" w:sz="0" w:space="0" w:color="auto"/>
        <w:bottom w:val="none" w:sz="0" w:space="0" w:color="auto"/>
        <w:right w:val="none" w:sz="0" w:space="0" w:color="auto"/>
      </w:divBdr>
    </w:div>
    <w:div w:id="1874034062">
      <w:bodyDiv w:val="1"/>
      <w:marLeft w:val="0"/>
      <w:marRight w:val="0"/>
      <w:marTop w:val="0"/>
      <w:marBottom w:val="0"/>
      <w:divBdr>
        <w:top w:val="none" w:sz="0" w:space="0" w:color="auto"/>
        <w:left w:val="none" w:sz="0" w:space="0" w:color="auto"/>
        <w:bottom w:val="none" w:sz="0" w:space="0" w:color="auto"/>
        <w:right w:val="none" w:sz="0" w:space="0" w:color="auto"/>
      </w:divBdr>
    </w:div>
    <w:div w:id="1874069999">
      <w:bodyDiv w:val="1"/>
      <w:marLeft w:val="0"/>
      <w:marRight w:val="0"/>
      <w:marTop w:val="0"/>
      <w:marBottom w:val="0"/>
      <w:divBdr>
        <w:top w:val="none" w:sz="0" w:space="0" w:color="auto"/>
        <w:left w:val="none" w:sz="0" w:space="0" w:color="auto"/>
        <w:bottom w:val="none" w:sz="0" w:space="0" w:color="auto"/>
        <w:right w:val="none" w:sz="0" w:space="0" w:color="auto"/>
      </w:divBdr>
    </w:div>
    <w:div w:id="1874079183">
      <w:bodyDiv w:val="1"/>
      <w:marLeft w:val="0"/>
      <w:marRight w:val="0"/>
      <w:marTop w:val="0"/>
      <w:marBottom w:val="0"/>
      <w:divBdr>
        <w:top w:val="none" w:sz="0" w:space="0" w:color="auto"/>
        <w:left w:val="none" w:sz="0" w:space="0" w:color="auto"/>
        <w:bottom w:val="none" w:sz="0" w:space="0" w:color="auto"/>
        <w:right w:val="none" w:sz="0" w:space="0" w:color="auto"/>
      </w:divBdr>
    </w:div>
    <w:div w:id="1874146148">
      <w:bodyDiv w:val="1"/>
      <w:marLeft w:val="0"/>
      <w:marRight w:val="0"/>
      <w:marTop w:val="0"/>
      <w:marBottom w:val="0"/>
      <w:divBdr>
        <w:top w:val="none" w:sz="0" w:space="0" w:color="auto"/>
        <w:left w:val="none" w:sz="0" w:space="0" w:color="auto"/>
        <w:bottom w:val="none" w:sz="0" w:space="0" w:color="auto"/>
        <w:right w:val="none" w:sz="0" w:space="0" w:color="auto"/>
      </w:divBdr>
    </w:div>
    <w:div w:id="1874224907">
      <w:bodyDiv w:val="1"/>
      <w:marLeft w:val="0"/>
      <w:marRight w:val="0"/>
      <w:marTop w:val="0"/>
      <w:marBottom w:val="0"/>
      <w:divBdr>
        <w:top w:val="none" w:sz="0" w:space="0" w:color="auto"/>
        <w:left w:val="none" w:sz="0" w:space="0" w:color="auto"/>
        <w:bottom w:val="none" w:sz="0" w:space="0" w:color="auto"/>
        <w:right w:val="none" w:sz="0" w:space="0" w:color="auto"/>
      </w:divBdr>
    </w:div>
    <w:div w:id="1874267991">
      <w:bodyDiv w:val="1"/>
      <w:marLeft w:val="0"/>
      <w:marRight w:val="0"/>
      <w:marTop w:val="0"/>
      <w:marBottom w:val="0"/>
      <w:divBdr>
        <w:top w:val="none" w:sz="0" w:space="0" w:color="auto"/>
        <w:left w:val="none" w:sz="0" w:space="0" w:color="auto"/>
        <w:bottom w:val="none" w:sz="0" w:space="0" w:color="auto"/>
        <w:right w:val="none" w:sz="0" w:space="0" w:color="auto"/>
      </w:divBdr>
    </w:div>
    <w:div w:id="1874489351">
      <w:bodyDiv w:val="1"/>
      <w:marLeft w:val="0"/>
      <w:marRight w:val="0"/>
      <w:marTop w:val="0"/>
      <w:marBottom w:val="0"/>
      <w:divBdr>
        <w:top w:val="none" w:sz="0" w:space="0" w:color="auto"/>
        <w:left w:val="none" w:sz="0" w:space="0" w:color="auto"/>
        <w:bottom w:val="none" w:sz="0" w:space="0" w:color="auto"/>
        <w:right w:val="none" w:sz="0" w:space="0" w:color="auto"/>
      </w:divBdr>
    </w:div>
    <w:div w:id="1874492089">
      <w:bodyDiv w:val="1"/>
      <w:marLeft w:val="0"/>
      <w:marRight w:val="0"/>
      <w:marTop w:val="0"/>
      <w:marBottom w:val="0"/>
      <w:divBdr>
        <w:top w:val="none" w:sz="0" w:space="0" w:color="auto"/>
        <w:left w:val="none" w:sz="0" w:space="0" w:color="auto"/>
        <w:bottom w:val="none" w:sz="0" w:space="0" w:color="auto"/>
        <w:right w:val="none" w:sz="0" w:space="0" w:color="auto"/>
      </w:divBdr>
    </w:div>
    <w:div w:id="1874493186">
      <w:bodyDiv w:val="1"/>
      <w:marLeft w:val="0"/>
      <w:marRight w:val="0"/>
      <w:marTop w:val="0"/>
      <w:marBottom w:val="0"/>
      <w:divBdr>
        <w:top w:val="none" w:sz="0" w:space="0" w:color="auto"/>
        <w:left w:val="none" w:sz="0" w:space="0" w:color="auto"/>
        <w:bottom w:val="none" w:sz="0" w:space="0" w:color="auto"/>
        <w:right w:val="none" w:sz="0" w:space="0" w:color="auto"/>
      </w:divBdr>
    </w:div>
    <w:div w:id="1874539756">
      <w:bodyDiv w:val="1"/>
      <w:marLeft w:val="0"/>
      <w:marRight w:val="0"/>
      <w:marTop w:val="0"/>
      <w:marBottom w:val="0"/>
      <w:divBdr>
        <w:top w:val="none" w:sz="0" w:space="0" w:color="auto"/>
        <w:left w:val="none" w:sz="0" w:space="0" w:color="auto"/>
        <w:bottom w:val="none" w:sz="0" w:space="0" w:color="auto"/>
        <w:right w:val="none" w:sz="0" w:space="0" w:color="auto"/>
      </w:divBdr>
    </w:div>
    <w:div w:id="1874541395">
      <w:bodyDiv w:val="1"/>
      <w:marLeft w:val="0"/>
      <w:marRight w:val="0"/>
      <w:marTop w:val="0"/>
      <w:marBottom w:val="0"/>
      <w:divBdr>
        <w:top w:val="none" w:sz="0" w:space="0" w:color="auto"/>
        <w:left w:val="none" w:sz="0" w:space="0" w:color="auto"/>
        <w:bottom w:val="none" w:sz="0" w:space="0" w:color="auto"/>
        <w:right w:val="none" w:sz="0" w:space="0" w:color="auto"/>
      </w:divBdr>
    </w:div>
    <w:div w:id="1874613580">
      <w:bodyDiv w:val="1"/>
      <w:marLeft w:val="0"/>
      <w:marRight w:val="0"/>
      <w:marTop w:val="0"/>
      <w:marBottom w:val="0"/>
      <w:divBdr>
        <w:top w:val="none" w:sz="0" w:space="0" w:color="auto"/>
        <w:left w:val="none" w:sz="0" w:space="0" w:color="auto"/>
        <w:bottom w:val="none" w:sz="0" w:space="0" w:color="auto"/>
        <w:right w:val="none" w:sz="0" w:space="0" w:color="auto"/>
      </w:divBdr>
    </w:div>
    <w:div w:id="1874684632">
      <w:bodyDiv w:val="1"/>
      <w:marLeft w:val="0"/>
      <w:marRight w:val="0"/>
      <w:marTop w:val="0"/>
      <w:marBottom w:val="0"/>
      <w:divBdr>
        <w:top w:val="none" w:sz="0" w:space="0" w:color="auto"/>
        <w:left w:val="none" w:sz="0" w:space="0" w:color="auto"/>
        <w:bottom w:val="none" w:sz="0" w:space="0" w:color="auto"/>
        <w:right w:val="none" w:sz="0" w:space="0" w:color="auto"/>
      </w:divBdr>
    </w:div>
    <w:div w:id="1874686979">
      <w:bodyDiv w:val="1"/>
      <w:marLeft w:val="0"/>
      <w:marRight w:val="0"/>
      <w:marTop w:val="0"/>
      <w:marBottom w:val="0"/>
      <w:divBdr>
        <w:top w:val="none" w:sz="0" w:space="0" w:color="auto"/>
        <w:left w:val="none" w:sz="0" w:space="0" w:color="auto"/>
        <w:bottom w:val="none" w:sz="0" w:space="0" w:color="auto"/>
        <w:right w:val="none" w:sz="0" w:space="0" w:color="auto"/>
      </w:divBdr>
    </w:div>
    <w:div w:id="1874729752">
      <w:bodyDiv w:val="1"/>
      <w:marLeft w:val="0"/>
      <w:marRight w:val="0"/>
      <w:marTop w:val="0"/>
      <w:marBottom w:val="0"/>
      <w:divBdr>
        <w:top w:val="none" w:sz="0" w:space="0" w:color="auto"/>
        <w:left w:val="none" w:sz="0" w:space="0" w:color="auto"/>
        <w:bottom w:val="none" w:sz="0" w:space="0" w:color="auto"/>
        <w:right w:val="none" w:sz="0" w:space="0" w:color="auto"/>
      </w:divBdr>
    </w:div>
    <w:div w:id="1874730800">
      <w:bodyDiv w:val="1"/>
      <w:marLeft w:val="0"/>
      <w:marRight w:val="0"/>
      <w:marTop w:val="0"/>
      <w:marBottom w:val="0"/>
      <w:divBdr>
        <w:top w:val="none" w:sz="0" w:space="0" w:color="auto"/>
        <w:left w:val="none" w:sz="0" w:space="0" w:color="auto"/>
        <w:bottom w:val="none" w:sz="0" w:space="0" w:color="auto"/>
        <w:right w:val="none" w:sz="0" w:space="0" w:color="auto"/>
      </w:divBdr>
    </w:div>
    <w:div w:id="1874730928">
      <w:bodyDiv w:val="1"/>
      <w:marLeft w:val="0"/>
      <w:marRight w:val="0"/>
      <w:marTop w:val="0"/>
      <w:marBottom w:val="0"/>
      <w:divBdr>
        <w:top w:val="none" w:sz="0" w:space="0" w:color="auto"/>
        <w:left w:val="none" w:sz="0" w:space="0" w:color="auto"/>
        <w:bottom w:val="none" w:sz="0" w:space="0" w:color="auto"/>
        <w:right w:val="none" w:sz="0" w:space="0" w:color="auto"/>
      </w:divBdr>
    </w:div>
    <w:div w:id="1874877074">
      <w:bodyDiv w:val="1"/>
      <w:marLeft w:val="0"/>
      <w:marRight w:val="0"/>
      <w:marTop w:val="0"/>
      <w:marBottom w:val="0"/>
      <w:divBdr>
        <w:top w:val="none" w:sz="0" w:space="0" w:color="auto"/>
        <w:left w:val="none" w:sz="0" w:space="0" w:color="auto"/>
        <w:bottom w:val="none" w:sz="0" w:space="0" w:color="auto"/>
        <w:right w:val="none" w:sz="0" w:space="0" w:color="auto"/>
      </w:divBdr>
    </w:div>
    <w:div w:id="1875187039">
      <w:bodyDiv w:val="1"/>
      <w:marLeft w:val="0"/>
      <w:marRight w:val="0"/>
      <w:marTop w:val="0"/>
      <w:marBottom w:val="0"/>
      <w:divBdr>
        <w:top w:val="none" w:sz="0" w:space="0" w:color="auto"/>
        <w:left w:val="none" w:sz="0" w:space="0" w:color="auto"/>
        <w:bottom w:val="none" w:sz="0" w:space="0" w:color="auto"/>
        <w:right w:val="none" w:sz="0" w:space="0" w:color="auto"/>
      </w:divBdr>
    </w:div>
    <w:div w:id="1875381061">
      <w:bodyDiv w:val="1"/>
      <w:marLeft w:val="0"/>
      <w:marRight w:val="0"/>
      <w:marTop w:val="0"/>
      <w:marBottom w:val="0"/>
      <w:divBdr>
        <w:top w:val="none" w:sz="0" w:space="0" w:color="auto"/>
        <w:left w:val="none" w:sz="0" w:space="0" w:color="auto"/>
        <w:bottom w:val="none" w:sz="0" w:space="0" w:color="auto"/>
        <w:right w:val="none" w:sz="0" w:space="0" w:color="auto"/>
      </w:divBdr>
    </w:div>
    <w:div w:id="1875533112">
      <w:bodyDiv w:val="1"/>
      <w:marLeft w:val="0"/>
      <w:marRight w:val="0"/>
      <w:marTop w:val="0"/>
      <w:marBottom w:val="0"/>
      <w:divBdr>
        <w:top w:val="none" w:sz="0" w:space="0" w:color="auto"/>
        <w:left w:val="none" w:sz="0" w:space="0" w:color="auto"/>
        <w:bottom w:val="none" w:sz="0" w:space="0" w:color="auto"/>
        <w:right w:val="none" w:sz="0" w:space="0" w:color="auto"/>
      </w:divBdr>
    </w:div>
    <w:div w:id="1875653494">
      <w:bodyDiv w:val="1"/>
      <w:marLeft w:val="0"/>
      <w:marRight w:val="0"/>
      <w:marTop w:val="0"/>
      <w:marBottom w:val="0"/>
      <w:divBdr>
        <w:top w:val="none" w:sz="0" w:space="0" w:color="auto"/>
        <w:left w:val="none" w:sz="0" w:space="0" w:color="auto"/>
        <w:bottom w:val="none" w:sz="0" w:space="0" w:color="auto"/>
        <w:right w:val="none" w:sz="0" w:space="0" w:color="auto"/>
      </w:divBdr>
    </w:div>
    <w:div w:id="1875728686">
      <w:bodyDiv w:val="1"/>
      <w:marLeft w:val="0"/>
      <w:marRight w:val="0"/>
      <w:marTop w:val="0"/>
      <w:marBottom w:val="0"/>
      <w:divBdr>
        <w:top w:val="none" w:sz="0" w:space="0" w:color="auto"/>
        <w:left w:val="none" w:sz="0" w:space="0" w:color="auto"/>
        <w:bottom w:val="none" w:sz="0" w:space="0" w:color="auto"/>
        <w:right w:val="none" w:sz="0" w:space="0" w:color="auto"/>
      </w:divBdr>
    </w:div>
    <w:div w:id="1875919032">
      <w:bodyDiv w:val="1"/>
      <w:marLeft w:val="0"/>
      <w:marRight w:val="0"/>
      <w:marTop w:val="0"/>
      <w:marBottom w:val="0"/>
      <w:divBdr>
        <w:top w:val="none" w:sz="0" w:space="0" w:color="auto"/>
        <w:left w:val="none" w:sz="0" w:space="0" w:color="auto"/>
        <w:bottom w:val="none" w:sz="0" w:space="0" w:color="auto"/>
        <w:right w:val="none" w:sz="0" w:space="0" w:color="auto"/>
      </w:divBdr>
    </w:div>
    <w:div w:id="1875921676">
      <w:bodyDiv w:val="1"/>
      <w:marLeft w:val="0"/>
      <w:marRight w:val="0"/>
      <w:marTop w:val="0"/>
      <w:marBottom w:val="0"/>
      <w:divBdr>
        <w:top w:val="none" w:sz="0" w:space="0" w:color="auto"/>
        <w:left w:val="none" w:sz="0" w:space="0" w:color="auto"/>
        <w:bottom w:val="none" w:sz="0" w:space="0" w:color="auto"/>
        <w:right w:val="none" w:sz="0" w:space="0" w:color="auto"/>
      </w:divBdr>
    </w:div>
    <w:div w:id="1875998250">
      <w:bodyDiv w:val="1"/>
      <w:marLeft w:val="0"/>
      <w:marRight w:val="0"/>
      <w:marTop w:val="0"/>
      <w:marBottom w:val="0"/>
      <w:divBdr>
        <w:top w:val="none" w:sz="0" w:space="0" w:color="auto"/>
        <w:left w:val="none" w:sz="0" w:space="0" w:color="auto"/>
        <w:bottom w:val="none" w:sz="0" w:space="0" w:color="auto"/>
        <w:right w:val="none" w:sz="0" w:space="0" w:color="auto"/>
      </w:divBdr>
    </w:div>
    <w:div w:id="1875999922">
      <w:bodyDiv w:val="1"/>
      <w:marLeft w:val="0"/>
      <w:marRight w:val="0"/>
      <w:marTop w:val="0"/>
      <w:marBottom w:val="0"/>
      <w:divBdr>
        <w:top w:val="none" w:sz="0" w:space="0" w:color="auto"/>
        <w:left w:val="none" w:sz="0" w:space="0" w:color="auto"/>
        <w:bottom w:val="none" w:sz="0" w:space="0" w:color="auto"/>
        <w:right w:val="none" w:sz="0" w:space="0" w:color="auto"/>
      </w:divBdr>
    </w:div>
    <w:div w:id="1876114194">
      <w:bodyDiv w:val="1"/>
      <w:marLeft w:val="0"/>
      <w:marRight w:val="0"/>
      <w:marTop w:val="0"/>
      <w:marBottom w:val="0"/>
      <w:divBdr>
        <w:top w:val="none" w:sz="0" w:space="0" w:color="auto"/>
        <w:left w:val="none" w:sz="0" w:space="0" w:color="auto"/>
        <w:bottom w:val="none" w:sz="0" w:space="0" w:color="auto"/>
        <w:right w:val="none" w:sz="0" w:space="0" w:color="auto"/>
      </w:divBdr>
    </w:div>
    <w:div w:id="1876117942">
      <w:bodyDiv w:val="1"/>
      <w:marLeft w:val="0"/>
      <w:marRight w:val="0"/>
      <w:marTop w:val="0"/>
      <w:marBottom w:val="0"/>
      <w:divBdr>
        <w:top w:val="none" w:sz="0" w:space="0" w:color="auto"/>
        <w:left w:val="none" w:sz="0" w:space="0" w:color="auto"/>
        <w:bottom w:val="none" w:sz="0" w:space="0" w:color="auto"/>
        <w:right w:val="none" w:sz="0" w:space="0" w:color="auto"/>
      </w:divBdr>
    </w:div>
    <w:div w:id="1876191228">
      <w:bodyDiv w:val="1"/>
      <w:marLeft w:val="0"/>
      <w:marRight w:val="0"/>
      <w:marTop w:val="0"/>
      <w:marBottom w:val="0"/>
      <w:divBdr>
        <w:top w:val="none" w:sz="0" w:space="0" w:color="auto"/>
        <w:left w:val="none" w:sz="0" w:space="0" w:color="auto"/>
        <w:bottom w:val="none" w:sz="0" w:space="0" w:color="auto"/>
        <w:right w:val="none" w:sz="0" w:space="0" w:color="auto"/>
      </w:divBdr>
    </w:div>
    <w:div w:id="1876261928">
      <w:bodyDiv w:val="1"/>
      <w:marLeft w:val="0"/>
      <w:marRight w:val="0"/>
      <w:marTop w:val="0"/>
      <w:marBottom w:val="0"/>
      <w:divBdr>
        <w:top w:val="none" w:sz="0" w:space="0" w:color="auto"/>
        <w:left w:val="none" w:sz="0" w:space="0" w:color="auto"/>
        <w:bottom w:val="none" w:sz="0" w:space="0" w:color="auto"/>
        <w:right w:val="none" w:sz="0" w:space="0" w:color="auto"/>
      </w:divBdr>
    </w:div>
    <w:div w:id="1876310642">
      <w:bodyDiv w:val="1"/>
      <w:marLeft w:val="0"/>
      <w:marRight w:val="0"/>
      <w:marTop w:val="0"/>
      <w:marBottom w:val="0"/>
      <w:divBdr>
        <w:top w:val="none" w:sz="0" w:space="0" w:color="auto"/>
        <w:left w:val="none" w:sz="0" w:space="0" w:color="auto"/>
        <w:bottom w:val="none" w:sz="0" w:space="0" w:color="auto"/>
        <w:right w:val="none" w:sz="0" w:space="0" w:color="auto"/>
      </w:divBdr>
    </w:div>
    <w:div w:id="1876311462">
      <w:bodyDiv w:val="1"/>
      <w:marLeft w:val="0"/>
      <w:marRight w:val="0"/>
      <w:marTop w:val="0"/>
      <w:marBottom w:val="0"/>
      <w:divBdr>
        <w:top w:val="none" w:sz="0" w:space="0" w:color="auto"/>
        <w:left w:val="none" w:sz="0" w:space="0" w:color="auto"/>
        <w:bottom w:val="none" w:sz="0" w:space="0" w:color="auto"/>
        <w:right w:val="none" w:sz="0" w:space="0" w:color="auto"/>
      </w:divBdr>
    </w:div>
    <w:div w:id="1876383871">
      <w:bodyDiv w:val="1"/>
      <w:marLeft w:val="0"/>
      <w:marRight w:val="0"/>
      <w:marTop w:val="0"/>
      <w:marBottom w:val="0"/>
      <w:divBdr>
        <w:top w:val="none" w:sz="0" w:space="0" w:color="auto"/>
        <w:left w:val="none" w:sz="0" w:space="0" w:color="auto"/>
        <w:bottom w:val="none" w:sz="0" w:space="0" w:color="auto"/>
        <w:right w:val="none" w:sz="0" w:space="0" w:color="auto"/>
      </w:divBdr>
    </w:div>
    <w:div w:id="1876385269">
      <w:bodyDiv w:val="1"/>
      <w:marLeft w:val="0"/>
      <w:marRight w:val="0"/>
      <w:marTop w:val="0"/>
      <w:marBottom w:val="0"/>
      <w:divBdr>
        <w:top w:val="none" w:sz="0" w:space="0" w:color="auto"/>
        <w:left w:val="none" w:sz="0" w:space="0" w:color="auto"/>
        <w:bottom w:val="none" w:sz="0" w:space="0" w:color="auto"/>
        <w:right w:val="none" w:sz="0" w:space="0" w:color="auto"/>
      </w:divBdr>
    </w:div>
    <w:div w:id="1876385398">
      <w:bodyDiv w:val="1"/>
      <w:marLeft w:val="0"/>
      <w:marRight w:val="0"/>
      <w:marTop w:val="0"/>
      <w:marBottom w:val="0"/>
      <w:divBdr>
        <w:top w:val="none" w:sz="0" w:space="0" w:color="auto"/>
        <w:left w:val="none" w:sz="0" w:space="0" w:color="auto"/>
        <w:bottom w:val="none" w:sz="0" w:space="0" w:color="auto"/>
        <w:right w:val="none" w:sz="0" w:space="0" w:color="auto"/>
      </w:divBdr>
    </w:div>
    <w:div w:id="1876386112">
      <w:bodyDiv w:val="1"/>
      <w:marLeft w:val="0"/>
      <w:marRight w:val="0"/>
      <w:marTop w:val="0"/>
      <w:marBottom w:val="0"/>
      <w:divBdr>
        <w:top w:val="none" w:sz="0" w:space="0" w:color="auto"/>
        <w:left w:val="none" w:sz="0" w:space="0" w:color="auto"/>
        <w:bottom w:val="none" w:sz="0" w:space="0" w:color="auto"/>
        <w:right w:val="none" w:sz="0" w:space="0" w:color="auto"/>
      </w:divBdr>
    </w:div>
    <w:div w:id="1876430773">
      <w:bodyDiv w:val="1"/>
      <w:marLeft w:val="0"/>
      <w:marRight w:val="0"/>
      <w:marTop w:val="0"/>
      <w:marBottom w:val="0"/>
      <w:divBdr>
        <w:top w:val="none" w:sz="0" w:space="0" w:color="auto"/>
        <w:left w:val="none" w:sz="0" w:space="0" w:color="auto"/>
        <w:bottom w:val="none" w:sz="0" w:space="0" w:color="auto"/>
        <w:right w:val="none" w:sz="0" w:space="0" w:color="auto"/>
      </w:divBdr>
    </w:div>
    <w:div w:id="1876455100">
      <w:bodyDiv w:val="1"/>
      <w:marLeft w:val="0"/>
      <w:marRight w:val="0"/>
      <w:marTop w:val="0"/>
      <w:marBottom w:val="0"/>
      <w:divBdr>
        <w:top w:val="none" w:sz="0" w:space="0" w:color="auto"/>
        <w:left w:val="none" w:sz="0" w:space="0" w:color="auto"/>
        <w:bottom w:val="none" w:sz="0" w:space="0" w:color="auto"/>
        <w:right w:val="none" w:sz="0" w:space="0" w:color="auto"/>
      </w:divBdr>
    </w:div>
    <w:div w:id="1876459319">
      <w:bodyDiv w:val="1"/>
      <w:marLeft w:val="0"/>
      <w:marRight w:val="0"/>
      <w:marTop w:val="0"/>
      <w:marBottom w:val="0"/>
      <w:divBdr>
        <w:top w:val="none" w:sz="0" w:space="0" w:color="auto"/>
        <w:left w:val="none" w:sz="0" w:space="0" w:color="auto"/>
        <w:bottom w:val="none" w:sz="0" w:space="0" w:color="auto"/>
        <w:right w:val="none" w:sz="0" w:space="0" w:color="auto"/>
      </w:divBdr>
    </w:div>
    <w:div w:id="1876499984">
      <w:bodyDiv w:val="1"/>
      <w:marLeft w:val="0"/>
      <w:marRight w:val="0"/>
      <w:marTop w:val="0"/>
      <w:marBottom w:val="0"/>
      <w:divBdr>
        <w:top w:val="none" w:sz="0" w:space="0" w:color="auto"/>
        <w:left w:val="none" w:sz="0" w:space="0" w:color="auto"/>
        <w:bottom w:val="none" w:sz="0" w:space="0" w:color="auto"/>
        <w:right w:val="none" w:sz="0" w:space="0" w:color="auto"/>
      </w:divBdr>
    </w:div>
    <w:div w:id="1876696713">
      <w:bodyDiv w:val="1"/>
      <w:marLeft w:val="0"/>
      <w:marRight w:val="0"/>
      <w:marTop w:val="0"/>
      <w:marBottom w:val="0"/>
      <w:divBdr>
        <w:top w:val="none" w:sz="0" w:space="0" w:color="auto"/>
        <w:left w:val="none" w:sz="0" w:space="0" w:color="auto"/>
        <w:bottom w:val="none" w:sz="0" w:space="0" w:color="auto"/>
        <w:right w:val="none" w:sz="0" w:space="0" w:color="auto"/>
      </w:divBdr>
    </w:div>
    <w:div w:id="1876697249">
      <w:bodyDiv w:val="1"/>
      <w:marLeft w:val="0"/>
      <w:marRight w:val="0"/>
      <w:marTop w:val="0"/>
      <w:marBottom w:val="0"/>
      <w:divBdr>
        <w:top w:val="none" w:sz="0" w:space="0" w:color="auto"/>
        <w:left w:val="none" w:sz="0" w:space="0" w:color="auto"/>
        <w:bottom w:val="none" w:sz="0" w:space="0" w:color="auto"/>
        <w:right w:val="none" w:sz="0" w:space="0" w:color="auto"/>
      </w:divBdr>
    </w:div>
    <w:div w:id="1876774803">
      <w:bodyDiv w:val="1"/>
      <w:marLeft w:val="0"/>
      <w:marRight w:val="0"/>
      <w:marTop w:val="0"/>
      <w:marBottom w:val="0"/>
      <w:divBdr>
        <w:top w:val="none" w:sz="0" w:space="0" w:color="auto"/>
        <w:left w:val="none" w:sz="0" w:space="0" w:color="auto"/>
        <w:bottom w:val="none" w:sz="0" w:space="0" w:color="auto"/>
        <w:right w:val="none" w:sz="0" w:space="0" w:color="auto"/>
      </w:divBdr>
    </w:div>
    <w:div w:id="1876887597">
      <w:bodyDiv w:val="1"/>
      <w:marLeft w:val="0"/>
      <w:marRight w:val="0"/>
      <w:marTop w:val="0"/>
      <w:marBottom w:val="0"/>
      <w:divBdr>
        <w:top w:val="none" w:sz="0" w:space="0" w:color="auto"/>
        <w:left w:val="none" w:sz="0" w:space="0" w:color="auto"/>
        <w:bottom w:val="none" w:sz="0" w:space="0" w:color="auto"/>
        <w:right w:val="none" w:sz="0" w:space="0" w:color="auto"/>
      </w:divBdr>
    </w:div>
    <w:div w:id="1876964289">
      <w:bodyDiv w:val="1"/>
      <w:marLeft w:val="0"/>
      <w:marRight w:val="0"/>
      <w:marTop w:val="0"/>
      <w:marBottom w:val="0"/>
      <w:divBdr>
        <w:top w:val="none" w:sz="0" w:space="0" w:color="auto"/>
        <w:left w:val="none" w:sz="0" w:space="0" w:color="auto"/>
        <w:bottom w:val="none" w:sz="0" w:space="0" w:color="auto"/>
        <w:right w:val="none" w:sz="0" w:space="0" w:color="auto"/>
      </w:divBdr>
    </w:div>
    <w:div w:id="1877039675">
      <w:bodyDiv w:val="1"/>
      <w:marLeft w:val="0"/>
      <w:marRight w:val="0"/>
      <w:marTop w:val="0"/>
      <w:marBottom w:val="0"/>
      <w:divBdr>
        <w:top w:val="none" w:sz="0" w:space="0" w:color="auto"/>
        <w:left w:val="none" w:sz="0" w:space="0" w:color="auto"/>
        <w:bottom w:val="none" w:sz="0" w:space="0" w:color="auto"/>
        <w:right w:val="none" w:sz="0" w:space="0" w:color="auto"/>
      </w:divBdr>
    </w:div>
    <w:div w:id="1877083005">
      <w:bodyDiv w:val="1"/>
      <w:marLeft w:val="0"/>
      <w:marRight w:val="0"/>
      <w:marTop w:val="0"/>
      <w:marBottom w:val="0"/>
      <w:divBdr>
        <w:top w:val="none" w:sz="0" w:space="0" w:color="auto"/>
        <w:left w:val="none" w:sz="0" w:space="0" w:color="auto"/>
        <w:bottom w:val="none" w:sz="0" w:space="0" w:color="auto"/>
        <w:right w:val="none" w:sz="0" w:space="0" w:color="auto"/>
      </w:divBdr>
    </w:div>
    <w:div w:id="1877112852">
      <w:bodyDiv w:val="1"/>
      <w:marLeft w:val="0"/>
      <w:marRight w:val="0"/>
      <w:marTop w:val="0"/>
      <w:marBottom w:val="0"/>
      <w:divBdr>
        <w:top w:val="none" w:sz="0" w:space="0" w:color="auto"/>
        <w:left w:val="none" w:sz="0" w:space="0" w:color="auto"/>
        <w:bottom w:val="none" w:sz="0" w:space="0" w:color="auto"/>
        <w:right w:val="none" w:sz="0" w:space="0" w:color="auto"/>
      </w:divBdr>
    </w:div>
    <w:div w:id="1877112984">
      <w:bodyDiv w:val="1"/>
      <w:marLeft w:val="0"/>
      <w:marRight w:val="0"/>
      <w:marTop w:val="0"/>
      <w:marBottom w:val="0"/>
      <w:divBdr>
        <w:top w:val="none" w:sz="0" w:space="0" w:color="auto"/>
        <w:left w:val="none" w:sz="0" w:space="0" w:color="auto"/>
        <w:bottom w:val="none" w:sz="0" w:space="0" w:color="auto"/>
        <w:right w:val="none" w:sz="0" w:space="0" w:color="auto"/>
      </w:divBdr>
    </w:div>
    <w:div w:id="1877162563">
      <w:bodyDiv w:val="1"/>
      <w:marLeft w:val="0"/>
      <w:marRight w:val="0"/>
      <w:marTop w:val="0"/>
      <w:marBottom w:val="0"/>
      <w:divBdr>
        <w:top w:val="none" w:sz="0" w:space="0" w:color="auto"/>
        <w:left w:val="none" w:sz="0" w:space="0" w:color="auto"/>
        <w:bottom w:val="none" w:sz="0" w:space="0" w:color="auto"/>
        <w:right w:val="none" w:sz="0" w:space="0" w:color="auto"/>
      </w:divBdr>
    </w:div>
    <w:div w:id="1877230407">
      <w:bodyDiv w:val="1"/>
      <w:marLeft w:val="0"/>
      <w:marRight w:val="0"/>
      <w:marTop w:val="0"/>
      <w:marBottom w:val="0"/>
      <w:divBdr>
        <w:top w:val="none" w:sz="0" w:space="0" w:color="auto"/>
        <w:left w:val="none" w:sz="0" w:space="0" w:color="auto"/>
        <w:bottom w:val="none" w:sz="0" w:space="0" w:color="auto"/>
        <w:right w:val="none" w:sz="0" w:space="0" w:color="auto"/>
      </w:divBdr>
    </w:div>
    <w:div w:id="1877234594">
      <w:bodyDiv w:val="1"/>
      <w:marLeft w:val="0"/>
      <w:marRight w:val="0"/>
      <w:marTop w:val="0"/>
      <w:marBottom w:val="0"/>
      <w:divBdr>
        <w:top w:val="none" w:sz="0" w:space="0" w:color="auto"/>
        <w:left w:val="none" w:sz="0" w:space="0" w:color="auto"/>
        <w:bottom w:val="none" w:sz="0" w:space="0" w:color="auto"/>
        <w:right w:val="none" w:sz="0" w:space="0" w:color="auto"/>
      </w:divBdr>
    </w:div>
    <w:div w:id="1877349397">
      <w:bodyDiv w:val="1"/>
      <w:marLeft w:val="0"/>
      <w:marRight w:val="0"/>
      <w:marTop w:val="0"/>
      <w:marBottom w:val="0"/>
      <w:divBdr>
        <w:top w:val="none" w:sz="0" w:space="0" w:color="auto"/>
        <w:left w:val="none" w:sz="0" w:space="0" w:color="auto"/>
        <w:bottom w:val="none" w:sz="0" w:space="0" w:color="auto"/>
        <w:right w:val="none" w:sz="0" w:space="0" w:color="auto"/>
      </w:divBdr>
    </w:div>
    <w:div w:id="1877422735">
      <w:bodyDiv w:val="1"/>
      <w:marLeft w:val="0"/>
      <w:marRight w:val="0"/>
      <w:marTop w:val="0"/>
      <w:marBottom w:val="0"/>
      <w:divBdr>
        <w:top w:val="none" w:sz="0" w:space="0" w:color="auto"/>
        <w:left w:val="none" w:sz="0" w:space="0" w:color="auto"/>
        <w:bottom w:val="none" w:sz="0" w:space="0" w:color="auto"/>
        <w:right w:val="none" w:sz="0" w:space="0" w:color="auto"/>
      </w:divBdr>
    </w:div>
    <w:div w:id="1877502469">
      <w:bodyDiv w:val="1"/>
      <w:marLeft w:val="0"/>
      <w:marRight w:val="0"/>
      <w:marTop w:val="0"/>
      <w:marBottom w:val="0"/>
      <w:divBdr>
        <w:top w:val="none" w:sz="0" w:space="0" w:color="auto"/>
        <w:left w:val="none" w:sz="0" w:space="0" w:color="auto"/>
        <w:bottom w:val="none" w:sz="0" w:space="0" w:color="auto"/>
        <w:right w:val="none" w:sz="0" w:space="0" w:color="auto"/>
      </w:divBdr>
    </w:div>
    <w:div w:id="1877543900">
      <w:bodyDiv w:val="1"/>
      <w:marLeft w:val="0"/>
      <w:marRight w:val="0"/>
      <w:marTop w:val="0"/>
      <w:marBottom w:val="0"/>
      <w:divBdr>
        <w:top w:val="none" w:sz="0" w:space="0" w:color="auto"/>
        <w:left w:val="none" w:sz="0" w:space="0" w:color="auto"/>
        <w:bottom w:val="none" w:sz="0" w:space="0" w:color="auto"/>
        <w:right w:val="none" w:sz="0" w:space="0" w:color="auto"/>
      </w:divBdr>
    </w:div>
    <w:div w:id="1877545309">
      <w:bodyDiv w:val="1"/>
      <w:marLeft w:val="0"/>
      <w:marRight w:val="0"/>
      <w:marTop w:val="0"/>
      <w:marBottom w:val="0"/>
      <w:divBdr>
        <w:top w:val="none" w:sz="0" w:space="0" w:color="auto"/>
        <w:left w:val="none" w:sz="0" w:space="0" w:color="auto"/>
        <w:bottom w:val="none" w:sz="0" w:space="0" w:color="auto"/>
        <w:right w:val="none" w:sz="0" w:space="0" w:color="auto"/>
      </w:divBdr>
    </w:div>
    <w:div w:id="1877616464">
      <w:bodyDiv w:val="1"/>
      <w:marLeft w:val="0"/>
      <w:marRight w:val="0"/>
      <w:marTop w:val="0"/>
      <w:marBottom w:val="0"/>
      <w:divBdr>
        <w:top w:val="none" w:sz="0" w:space="0" w:color="auto"/>
        <w:left w:val="none" w:sz="0" w:space="0" w:color="auto"/>
        <w:bottom w:val="none" w:sz="0" w:space="0" w:color="auto"/>
        <w:right w:val="none" w:sz="0" w:space="0" w:color="auto"/>
      </w:divBdr>
    </w:div>
    <w:div w:id="1877698340">
      <w:bodyDiv w:val="1"/>
      <w:marLeft w:val="0"/>
      <w:marRight w:val="0"/>
      <w:marTop w:val="0"/>
      <w:marBottom w:val="0"/>
      <w:divBdr>
        <w:top w:val="none" w:sz="0" w:space="0" w:color="auto"/>
        <w:left w:val="none" w:sz="0" w:space="0" w:color="auto"/>
        <w:bottom w:val="none" w:sz="0" w:space="0" w:color="auto"/>
        <w:right w:val="none" w:sz="0" w:space="0" w:color="auto"/>
      </w:divBdr>
    </w:div>
    <w:div w:id="1877699372">
      <w:bodyDiv w:val="1"/>
      <w:marLeft w:val="0"/>
      <w:marRight w:val="0"/>
      <w:marTop w:val="0"/>
      <w:marBottom w:val="0"/>
      <w:divBdr>
        <w:top w:val="none" w:sz="0" w:space="0" w:color="auto"/>
        <w:left w:val="none" w:sz="0" w:space="0" w:color="auto"/>
        <w:bottom w:val="none" w:sz="0" w:space="0" w:color="auto"/>
        <w:right w:val="none" w:sz="0" w:space="0" w:color="auto"/>
      </w:divBdr>
    </w:div>
    <w:div w:id="1877809071">
      <w:bodyDiv w:val="1"/>
      <w:marLeft w:val="0"/>
      <w:marRight w:val="0"/>
      <w:marTop w:val="0"/>
      <w:marBottom w:val="0"/>
      <w:divBdr>
        <w:top w:val="none" w:sz="0" w:space="0" w:color="auto"/>
        <w:left w:val="none" w:sz="0" w:space="0" w:color="auto"/>
        <w:bottom w:val="none" w:sz="0" w:space="0" w:color="auto"/>
        <w:right w:val="none" w:sz="0" w:space="0" w:color="auto"/>
      </w:divBdr>
    </w:div>
    <w:div w:id="1877964618">
      <w:bodyDiv w:val="1"/>
      <w:marLeft w:val="0"/>
      <w:marRight w:val="0"/>
      <w:marTop w:val="0"/>
      <w:marBottom w:val="0"/>
      <w:divBdr>
        <w:top w:val="none" w:sz="0" w:space="0" w:color="auto"/>
        <w:left w:val="none" w:sz="0" w:space="0" w:color="auto"/>
        <w:bottom w:val="none" w:sz="0" w:space="0" w:color="auto"/>
        <w:right w:val="none" w:sz="0" w:space="0" w:color="auto"/>
      </w:divBdr>
    </w:div>
    <w:div w:id="1878154763">
      <w:bodyDiv w:val="1"/>
      <w:marLeft w:val="0"/>
      <w:marRight w:val="0"/>
      <w:marTop w:val="0"/>
      <w:marBottom w:val="0"/>
      <w:divBdr>
        <w:top w:val="none" w:sz="0" w:space="0" w:color="auto"/>
        <w:left w:val="none" w:sz="0" w:space="0" w:color="auto"/>
        <w:bottom w:val="none" w:sz="0" w:space="0" w:color="auto"/>
        <w:right w:val="none" w:sz="0" w:space="0" w:color="auto"/>
      </w:divBdr>
    </w:div>
    <w:div w:id="1878202077">
      <w:bodyDiv w:val="1"/>
      <w:marLeft w:val="0"/>
      <w:marRight w:val="0"/>
      <w:marTop w:val="0"/>
      <w:marBottom w:val="0"/>
      <w:divBdr>
        <w:top w:val="none" w:sz="0" w:space="0" w:color="auto"/>
        <w:left w:val="none" w:sz="0" w:space="0" w:color="auto"/>
        <w:bottom w:val="none" w:sz="0" w:space="0" w:color="auto"/>
        <w:right w:val="none" w:sz="0" w:space="0" w:color="auto"/>
      </w:divBdr>
    </w:div>
    <w:div w:id="1878227737">
      <w:bodyDiv w:val="1"/>
      <w:marLeft w:val="0"/>
      <w:marRight w:val="0"/>
      <w:marTop w:val="0"/>
      <w:marBottom w:val="0"/>
      <w:divBdr>
        <w:top w:val="none" w:sz="0" w:space="0" w:color="auto"/>
        <w:left w:val="none" w:sz="0" w:space="0" w:color="auto"/>
        <w:bottom w:val="none" w:sz="0" w:space="0" w:color="auto"/>
        <w:right w:val="none" w:sz="0" w:space="0" w:color="auto"/>
      </w:divBdr>
    </w:div>
    <w:div w:id="1878271230">
      <w:bodyDiv w:val="1"/>
      <w:marLeft w:val="0"/>
      <w:marRight w:val="0"/>
      <w:marTop w:val="0"/>
      <w:marBottom w:val="0"/>
      <w:divBdr>
        <w:top w:val="none" w:sz="0" w:space="0" w:color="auto"/>
        <w:left w:val="none" w:sz="0" w:space="0" w:color="auto"/>
        <w:bottom w:val="none" w:sz="0" w:space="0" w:color="auto"/>
        <w:right w:val="none" w:sz="0" w:space="0" w:color="auto"/>
      </w:divBdr>
    </w:div>
    <w:div w:id="1878271657">
      <w:bodyDiv w:val="1"/>
      <w:marLeft w:val="0"/>
      <w:marRight w:val="0"/>
      <w:marTop w:val="0"/>
      <w:marBottom w:val="0"/>
      <w:divBdr>
        <w:top w:val="none" w:sz="0" w:space="0" w:color="auto"/>
        <w:left w:val="none" w:sz="0" w:space="0" w:color="auto"/>
        <w:bottom w:val="none" w:sz="0" w:space="0" w:color="auto"/>
        <w:right w:val="none" w:sz="0" w:space="0" w:color="auto"/>
      </w:divBdr>
    </w:div>
    <w:div w:id="1878348904">
      <w:bodyDiv w:val="1"/>
      <w:marLeft w:val="0"/>
      <w:marRight w:val="0"/>
      <w:marTop w:val="0"/>
      <w:marBottom w:val="0"/>
      <w:divBdr>
        <w:top w:val="none" w:sz="0" w:space="0" w:color="auto"/>
        <w:left w:val="none" w:sz="0" w:space="0" w:color="auto"/>
        <w:bottom w:val="none" w:sz="0" w:space="0" w:color="auto"/>
        <w:right w:val="none" w:sz="0" w:space="0" w:color="auto"/>
      </w:divBdr>
    </w:div>
    <w:div w:id="1878350183">
      <w:bodyDiv w:val="1"/>
      <w:marLeft w:val="0"/>
      <w:marRight w:val="0"/>
      <w:marTop w:val="0"/>
      <w:marBottom w:val="0"/>
      <w:divBdr>
        <w:top w:val="none" w:sz="0" w:space="0" w:color="auto"/>
        <w:left w:val="none" w:sz="0" w:space="0" w:color="auto"/>
        <w:bottom w:val="none" w:sz="0" w:space="0" w:color="auto"/>
        <w:right w:val="none" w:sz="0" w:space="0" w:color="auto"/>
      </w:divBdr>
    </w:div>
    <w:div w:id="1878353138">
      <w:bodyDiv w:val="1"/>
      <w:marLeft w:val="0"/>
      <w:marRight w:val="0"/>
      <w:marTop w:val="0"/>
      <w:marBottom w:val="0"/>
      <w:divBdr>
        <w:top w:val="none" w:sz="0" w:space="0" w:color="auto"/>
        <w:left w:val="none" w:sz="0" w:space="0" w:color="auto"/>
        <w:bottom w:val="none" w:sz="0" w:space="0" w:color="auto"/>
        <w:right w:val="none" w:sz="0" w:space="0" w:color="auto"/>
      </w:divBdr>
    </w:div>
    <w:div w:id="1878424372">
      <w:bodyDiv w:val="1"/>
      <w:marLeft w:val="0"/>
      <w:marRight w:val="0"/>
      <w:marTop w:val="0"/>
      <w:marBottom w:val="0"/>
      <w:divBdr>
        <w:top w:val="none" w:sz="0" w:space="0" w:color="auto"/>
        <w:left w:val="none" w:sz="0" w:space="0" w:color="auto"/>
        <w:bottom w:val="none" w:sz="0" w:space="0" w:color="auto"/>
        <w:right w:val="none" w:sz="0" w:space="0" w:color="auto"/>
      </w:divBdr>
    </w:div>
    <w:div w:id="1878463480">
      <w:bodyDiv w:val="1"/>
      <w:marLeft w:val="0"/>
      <w:marRight w:val="0"/>
      <w:marTop w:val="0"/>
      <w:marBottom w:val="0"/>
      <w:divBdr>
        <w:top w:val="none" w:sz="0" w:space="0" w:color="auto"/>
        <w:left w:val="none" w:sz="0" w:space="0" w:color="auto"/>
        <w:bottom w:val="none" w:sz="0" w:space="0" w:color="auto"/>
        <w:right w:val="none" w:sz="0" w:space="0" w:color="auto"/>
      </w:divBdr>
    </w:div>
    <w:div w:id="1878542319">
      <w:bodyDiv w:val="1"/>
      <w:marLeft w:val="0"/>
      <w:marRight w:val="0"/>
      <w:marTop w:val="0"/>
      <w:marBottom w:val="0"/>
      <w:divBdr>
        <w:top w:val="none" w:sz="0" w:space="0" w:color="auto"/>
        <w:left w:val="none" w:sz="0" w:space="0" w:color="auto"/>
        <w:bottom w:val="none" w:sz="0" w:space="0" w:color="auto"/>
        <w:right w:val="none" w:sz="0" w:space="0" w:color="auto"/>
      </w:divBdr>
    </w:div>
    <w:div w:id="1878659898">
      <w:bodyDiv w:val="1"/>
      <w:marLeft w:val="0"/>
      <w:marRight w:val="0"/>
      <w:marTop w:val="0"/>
      <w:marBottom w:val="0"/>
      <w:divBdr>
        <w:top w:val="none" w:sz="0" w:space="0" w:color="auto"/>
        <w:left w:val="none" w:sz="0" w:space="0" w:color="auto"/>
        <w:bottom w:val="none" w:sz="0" w:space="0" w:color="auto"/>
        <w:right w:val="none" w:sz="0" w:space="0" w:color="auto"/>
      </w:divBdr>
    </w:div>
    <w:div w:id="1878732026">
      <w:bodyDiv w:val="1"/>
      <w:marLeft w:val="0"/>
      <w:marRight w:val="0"/>
      <w:marTop w:val="0"/>
      <w:marBottom w:val="0"/>
      <w:divBdr>
        <w:top w:val="none" w:sz="0" w:space="0" w:color="auto"/>
        <w:left w:val="none" w:sz="0" w:space="0" w:color="auto"/>
        <w:bottom w:val="none" w:sz="0" w:space="0" w:color="auto"/>
        <w:right w:val="none" w:sz="0" w:space="0" w:color="auto"/>
      </w:divBdr>
    </w:div>
    <w:div w:id="1878814062">
      <w:bodyDiv w:val="1"/>
      <w:marLeft w:val="0"/>
      <w:marRight w:val="0"/>
      <w:marTop w:val="0"/>
      <w:marBottom w:val="0"/>
      <w:divBdr>
        <w:top w:val="none" w:sz="0" w:space="0" w:color="auto"/>
        <w:left w:val="none" w:sz="0" w:space="0" w:color="auto"/>
        <w:bottom w:val="none" w:sz="0" w:space="0" w:color="auto"/>
        <w:right w:val="none" w:sz="0" w:space="0" w:color="auto"/>
      </w:divBdr>
    </w:div>
    <w:div w:id="1878854788">
      <w:bodyDiv w:val="1"/>
      <w:marLeft w:val="0"/>
      <w:marRight w:val="0"/>
      <w:marTop w:val="0"/>
      <w:marBottom w:val="0"/>
      <w:divBdr>
        <w:top w:val="none" w:sz="0" w:space="0" w:color="auto"/>
        <w:left w:val="none" w:sz="0" w:space="0" w:color="auto"/>
        <w:bottom w:val="none" w:sz="0" w:space="0" w:color="auto"/>
        <w:right w:val="none" w:sz="0" w:space="0" w:color="auto"/>
      </w:divBdr>
    </w:div>
    <w:div w:id="1878855211">
      <w:bodyDiv w:val="1"/>
      <w:marLeft w:val="0"/>
      <w:marRight w:val="0"/>
      <w:marTop w:val="0"/>
      <w:marBottom w:val="0"/>
      <w:divBdr>
        <w:top w:val="none" w:sz="0" w:space="0" w:color="auto"/>
        <w:left w:val="none" w:sz="0" w:space="0" w:color="auto"/>
        <w:bottom w:val="none" w:sz="0" w:space="0" w:color="auto"/>
        <w:right w:val="none" w:sz="0" w:space="0" w:color="auto"/>
      </w:divBdr>
    </w:div>
    <w:div w:id="1879008782">
      <w:bodyDiv w:val="1"/>
      <w:marLeft w:val="0"/>
      <w:marRight w:val="0"/>
      <w:marTop w:val="0"/>
      <w:marBottom w:val="0"/>
      <w:divBdr>
        <w:top w:val="none" w:sz="0" w:space="0" w:color="auto"/>
        <w:left w:val="none" w:sz="0" w:space="0" w:color="auto"/>
        <w:bottom w:val="none" w:sz="0" w:space="0" w:color="auto"/>
        <w:right w:val="none" w:sz="0" w:space="0" w:color="auto"/>
      </w:divBdr>
    </w:div>
    <w:div w:id="1879076290">
      <w:bodyDiv w:val="1"/>
      <w:marLeft w:val="0"/>
      <w:marRight w:val="0"/>
      <w:marTop w:val="0"/>
      <w:marBottom w:val="0"/>
      <w:divBdr>
        <w:top w:val="none" w:sz="0" w:space="0" w:color="auto"/>
        <w:left w:val="none" w:sz="0" w:space="0" w:color="auto"/>
        <w:bottom w:val="none" w:sz="0" w:space="0" w:color="auto"/>
        <w:right w:val="none" w:sz="0" w:space="0" w:color="auto"/>
      </w:divBdr>
    </w:div>
    <w:div w:id="1879080042">
      <w:bodyDiv w:val="1"/>
      <w:marLeft w:val="0"/>
      <w:marRight w:val="0"/>
      <w:marTop w:val="0"/>
      <w:marBottom w:val="0"/>
      <w:divBdr>
        <w:top w:val="none" w:sz="0" w:space="0" w:color="auto"/>
        <w:left w:val="none" w:sz="0" w:space="0" w:color="auto"/>
        <w:bottom w:val="none" w:sz="0" w:space="0" w:color="auto"/>
        <w:right w:val="none" w:sz="0" w:space="0" w:color="auto"/>
      </w:divBdr>
    </w:div>
    <w:div w:id="1879118922">
      <w:bodyDiv w:val="1"/>
      <w:marLeft w:val="0"/>
      <w:marRight w:val="0"/>
      <w:marTop w:val="0"/>
      <w:marBottom w:val="0"/>
      <w:divBdr>
        <w:top w:val="none" w:sz="0" w:space="0" w:color="auto"/>
        <w:left w:val="none" w:sz="0" w:space="0" w:color="auto"/>
        <w:bottom w:val="none" w:sz="0" w:space="0" w:color="auto"/>
        <w:right w:val="none" w:sz="0" w:space="0" w:color="auto"/>
      </w:divBdr>
    </w:div>
    <w:div w:id="1879315020">
      <w:bodyDiv w:val="1"/>
      <w:marLeft w:val="0"/>
      <w:marRight w:val="0"/>
      <w:marTop w:val="0"/>
      <w:marBottom w:val="0"/>
      <w:divBdr>
        <w:top w:val="none" w:sz="0" w:space="0" w:color="auto"/>
        <w:left w:val="none" w:sz="0" w:space="0" w:color="auto"/>
        <w:bottom w:val="none" w:sz="0" w:space="0" w:color="auto"/>
        <w:right w:val="none" w:sz="0" w:space="0" w:color="auto"/>
      </w:divBdr>
    </w:div>
    <w:div w:id="1879466784">
      <w:bodyDiv w:val="1"/>
      <w:marLeft w:val="0"/>
      <w:marRight w:val="0"/>
      <w:marTop w:val="0"/>
      <w:marBottom w:val="0"/>
      <w:divBdr>
        <w:top w:val="none" w:sz="0" w:space="0" w:color="auto"/>
        <w:left w:val="none" w:sz="0" w:space="0" w:color="auto"/>
        <w:bottom w:val="none" w:sz="0" w:space="0" w:color="auto"/>
        <w:right w:val="none" w:sz="0" w:space="0" w:color="auto"/>
      </w:divBdr>
    </w:div>
    <w:div w:id="1879580944">
      <w:bodyDiv w:val="1"/>
      <w:marLeft w:val="0"/>
      <w:marRight w:val="0"/>
      <w:marTop w:val="0"/>
      <w:marBottom w:val="0"/>
      <w:divBdr>
        <w:top w:val="none" w:sz="0" w:space="0" w:color="auto"/>
        <w:left w:val="none" w:sz="0" w:space="0" w:color="auto"/>
        <w:bottom w:val="none" w:sz="0" w:space="0" w:color="auto"/>
        <w:right w:val="none" w:sz="0" w:space="0" w:color="auto"/>
      </w:divBdr>
    </w:div>
    <w:div w:id="1879582910">
      <w:bodyDiv w:val="1"/>
      <w:marLeft w:val="0"/>
      <w:marRight w:val="0"/>
      <w:marTop w:val="0"/>
      <w:marBottom w:val="0"/>
      <w:divBdr>
        <w:top w:val="none" w:sz="0" w:space="0" w:color="auto"/>
        <w:left w:val="none" w:sz="0" w:space="0" w:color="auto"/>
        <w:bottom w:val="none" w:sz="0" w:space="0" w:color="auto"/>
        <w:right w:val="none" w:sz="0" w:space="0" w:color="auto"/>
      </w:divBdr>
    </w:div>
    <w:div w:id="1879588991">
      <w:bodyDiv w:val="1"/>
      <w:marLeft w:val="0"/>
      <w:marRight w:val="0"/>
      <w:marTop w:val="0"/>
      <w:marBottom w:val="0"/>
      <w:divBdr>
        <w:top w:val="none" w:sz="0" w:space="0" w:color="auto"/>
        <w:left w:val="none" w:sz="0" w:space="0" w:color="auto"/>
        <w:bottom w:val="none" w:sz="0" w:space="0" w:color="auto"/>
        <w:right w:val="none" w:sz="0" w:space="0" w:color="auto"/>
      </w:divBdr>
    </w:div>
    <w:div w:id="1879660862">
      <w:bodyDiv w:val="1"/>
      <w:marLeft w:val="0"/>
      <w:marRight w:val="0"/>
      <w:marTop w:val="0"/>
      <w:marBottom w:val="0"/>
      <w:divBdr>
        <w:top w:val="none" w:sz="0" w:space="0" w:color="auto"/>
        <w:left w:val="none" w:sz="0" w:space="0" w:color="auto"/>
        <w:bottom w:val="none" w:sz="0" w:space="0" w:color="auto"/>
        <w:right w:val="none" w:sz="0" w:space="0" w:color="auto"/>
      </w:divBdr>
    </w:div>
    <w:div w:id="1879664225">
      <w:bodyDiv w:val="1"/>
      <w:marLeft w:val="0"/>
      <w:marRight w:val="0"/>
      <w:marTop w:val="0"/>
      <w:marBottom w:val="0"/>
      <w:divBdr>
        <w:top w:val="none" w:sz="0" w:space="0" w:color="auto"/>
        <w:left w:val="none" w:sz="0" w:space="0" w:color="auto"/>
        <w:bottom w:val="none" w:sz="0" w:space="0" w:color="auto"/>
        <w:right w:val="none" w:sz="0" w:space="0" w:color="auto"/>
      </w:divBdr>
    </w:div>
    <w:div w:id="1879735784">
      <w:bodyDiv w:val="1"/>
      <w:marLeft w:val="0"/>
      <w:marRight w:val="0"/>
      <w:marTop w:val="0"/>
      <w:marBottom w:val="0"/>
      <w:divBdr>
        <w:top w:val="none" w:sz="0" w:space="0" w:color="auto"/>
        <w:left w:val="none" w:sz="0" w:space="0" w:color="auto"/>
        <w:bottom w:val="none" w:sz="0" w:space="0" w:color="auto"/>
        <w:right w:val="none" w:sz="0" w:space="0" w:color="auto"/>
      </w:divBdr>
    </w:div>
    <w:div w:id="1879927476">
      <w:bodyDiv w:val="1"/>
      <w:marLeft w:val="0"/>
      <w:marRight w:val="0"/>
      <w:marTop w:val="0"/>
      <w:marBottom w:val="0"/>
      <w:divBdr>
        <w:top w:val="none" w:sz="0" w:space="0" w:color="auto"/>
        <w:left w:val="none" w:sz="0" w:space="0" w:color="auto"/>
        <w:bottom w:val="none" w:sz="0" w:space="0" w:color="auto"/>
        <w:right w:val="none" w:sz="0" w:space="0" w:color="auto"/>
      </w:divBdr>
    </w:div>
    <w:div w:id="1879930376">
      <w:bodyDiv w:val="1"/>
      <w:marLeft w:val="0"/>
      <w:marRight w:val="0"/>
      <w:marTop w:val="0"/>
      <w:marBottom w:val="0"/>
      <w:divBdr>
        <w:top w:val="none" w:sz="0" w:space="0" w:color="auto"/>
        <w:left w:val="none" w:sz="0" w:space="0" w:color="auto"/>
        <w:bottom w:val="none" w:sz="0" w:space="0" w:color="auto"/>
        <w:right w:val="none" w:sz="0" w:space="0" w:color="auto"/>
      </w:divBdr>
    </w:div>
    <w:div w:id="1879930506">
      <w:bodyDiv w:val="1"/>
      <w:marLeft w:val="0"/>
      <w:marRight w:val="0"/>
      <w:marTop w:val="0"/>
      <w:marBottom w:val="0"/>
      <w:divBdr>
        <w:top w:val="none" w:sz="0" w:space="0" w:color="auto"/>
        <w:left w:val="none" w:sz="0" w:space="0" w:color="auto"/>
        <w:bottom w:val="none" w:sz="0" w:space="0" w:color="auto"/>
        <w:right w:val="none" w:sz="0" w:space="0" w:color="auto"/>
      </w:divBdr>
    </w:div>
    <w:div w:id="1879967446">
      <w:bodyDiv w:val="1"/>
      <w:marLeft w:val="0"/>
      <w:marRight w:val="0"/>
      <w:marTop w:val="0"/>
      <w:marBottom w:val="0"/>
      <w:divBdr>
        <w:top w:val="none" w:sz="0" w:space="0" w:color="auto"/>
        <w:left w:val="none" w:sz="0" w:space="0" w:color="auto"/>
        <w:bottom w:val="none" w:sz="0" w:space="0" w:color="auto"/>
        <w:right w:val="none" w:sz="0" w:space="0" w:color="auto"/>
      </w:divBdr>
    </w:div>
    <w:div w:id="1880046448">
      <w:bodyDiv w:val="1"/>
      <w:marLeft w:val="0"/>
      <w:marRight w:val="0"/>
      <w:marTop w:val="0"/>
      <w:marBottom w:val="0"/>
      <w:divBdr>
        <w:top w:val="none" w:sz="0" w:space="0" w:color="auto"/>
        <w:left w:val="none" w:sz="0" w:space="0" w:color="auto"/>
        <w:bottom w:val="none" w:sz="0" w:space="0" w:color="auto"/>
        <w:right w:val="none" w:sz="0" w:space="0" w:color="auto"/>
      </w:divBdr>
    </w:div>
    <w:div w:id="1880052286">
      <w:bodyDiv w:val="1"/>
      <w:marLeft w:val="0"/>
      <w:marRight w:val="0"/>
      <w:marTop w:val="0"/>
      <w:marBottom w:val="0"/>
      <w:divBdr>
        <w:top w:val="none" w:sz="0" w:space="0" w:color="auto"/>
        <w:left w:val="none" w:sz="0" w:space="0" w:color="auto"/>
        <w:bottom w:val="none" w:sz="0" w:space="0" w:color="auto"/>
        <w:right w:val="none" w:sz="0" w:space="0" w:color="auto"/>
      </w:divBdr>
    </w:div>
    <w:div w:id="1880120346">
      <w:bodyDiv w:val="1"/>
      <w:marLeft w:val="0"/>
      <w:marRight w:val="0"/>
      <w:marTop w:val="0"/>
      <w:marBottom w:val="0"/>
      <w:divBdr>
        <w:top w:val="none" w:sz="0" w:space="0" w:color="auto"/>
        <w:left w:val="none" w:sz="0" w:space="0" w:color="auto"/>
        <w:bottom w:val="none" w:sz="0" w:space="0" w:color="auto"/>
        <w:right w:val="none" w:sz="0" w:space="0" w:color="auto"/>
      </w:divBdr>
    </w:div>
    <w:div w:id="1880121486">
      <w:bodyDiv w:val="1"/>
      <w:marLeft w:val="0"/>
      <w:marRight w:val="0"/>
      <w:marTop w:val="0"/>
      <w:marBottom w:val="0"/>
      <w:divBdr>
        <w:top w:val="none" w:sz="0" w:space="0" w:color="auto"/>
        <w:left w:val="none" w:sz="0" w:space="0" w:color="auto"/>
        <w:bottom w:val="none" w:sz="0" w:space="0" w:color="auto"/>
        <w:right w:val="none" w:sz="0" w:space="0" w:color="auto"/>
      </w:divBdr>
    </w:div>
    <w:div w:id="1880316984">
      <w:bodyDiv w:val="1"/>
      <w:marLeft w:val="0"/>
      <w:marRight w:val="0"/>
      <w:marTop w:val="0"/>
      <w:marBottom w:val="0"/>
      <w:divBdr>
        <w:top w:val="none" w:sz="0" w:space="0" w:color="auto"/>
        <w:left w:val="none" w:sz="0" w:space="0" w:color="auto"/>
        <w:bottom w:val="none" w:sz="0" w:space="0" w:color="auto"/>
        <w:right w:val="none" w:sz="0" w:space="0" w:color="auto"/>
      </w:divBdr>
    </w:div>
    <w:div w:id="1880320914">
      <w:bodyDiv w:val="1"/>
      <w:marLeft w:val="0"/>
      <w:marRight w:val="0"/>
      <w:marTop w:val="0"/>
      <w:marBottom w:val="0"/>
      <w:divBdr>
        <w:top w:val="none" w:sz="0" w:space="0" w:color="auto"/>
        <w:left w:val="none" w:sz="0" w:space="0" w:color="auto"/>
        <w:bottom w:val="none" w:sz="0" w:space="0" w:color="auto"/>
        <w:right w:val="none" w:sz="0" w:space="0" w:color="auto"/>
      </w:divBdr>
    </w:div>
    <w:div w:id="1880362589">
      <w:bodyDiv w:val="1"/>
      <w:marLeft w:val="0"/>
      <w:marRight w:val="0"/>
      <w:marTop w:val="0"/>
      <w:marBottom w:val="0"/>
      <w:divBdr>
        <w:top w:val="none" w:sz="0" w:space="0" w:color="auto"/>
        <w:left w:val="none" w:sz="0" w:space="0" w:color="auto"/>
        <w:bottom w:val="none" w:sz="0" w:space="0" w:color="auto"/>
        <w:right w:val="none" w:sz="0" w:space="0" w:color="auto"/>
      </w:divBdr>
    </w:div>
    <w:div w:id="1880431144">
      <w:bodyDiv w:val="1"/>
      <w:marLeft w:val="0"/>
      <w:marRight w:val="0"/>
      <w:marTop w:val="0"/>
      <w:marBottom w:val="0"/>
      <w:divBdr>
        <w:top w:val="none" w:sz="0" w:space="0" w:color="auto"/>
        <w:left w:val="none" w:sz="0" w:space="0" w:color="auto"/>
        <w:bottom w:val="none" w:sz="0" w:space="0" w:color="auto"/>
        <w:right w:val="none" w:sz="0" w:space="0" w:color="auto"/>
      </w:divBdr>
    </w:div>
    <w:div w:id="1880586104">
      <w:bodyDiv w:val="1"/>
      <w:marLeft w:val="0"/>
      <w:marRight w:val="0"/>
      <w:marTop w:val="0"/>
      <w:marBottom w:val="0"/>
      <w:divBdr>
        <w:top w:val="none" w:sz="0" w:space="0" w:color="auto"/>
        <w:left w:val="none" w:sz="0" w:space="0" w:color="auto"/>
        <w:bottom w:val="none" w:sz="0" w:space="0" w:color="auto"/>
        <w:right w:val="none" w:sz="0" w:space="0" w:color="auto"/>
      </w:divBdr>
    </w:div>
    <w:div w:id="1880625024">
      <w:bodyDiv w:val="1"/>
      <w:marLeft w:val="0"/>
      <w:marRight w:val="0"/>
      <w:marTop w:val="0"/>
      <w:marBottom w:val="0"/>
      <w:divBdr>
        <w:top w:val="none" w:sz="0" w:space="0" w:color="auto"/>
        <w:left w:val="none" w:sz="0" w:space="0" w:color="auto"/>
        <w:bottom w:val="none" w:sz="0" w:space="0" w:color="auto"/>
        <w:right w:val="none" w:sz="0" w:space="0" w:color="auto"/>
      </w:divBdr>
    </w:div>
    <w:div w:id="1880625502">
      <w:bodyDiv w:val="1"/>
      <w:marLeft w:val="0"/>
      <w:marRight w:val="0"/>
      <w:marTop w:val="0"/>
      <w:marBottom w:val="0"/>
      <w:divBdr>
        <w:top w:val="none" w:sz="0" w:space="0" w:color="auto"/>
        <w:left w:val="none" w:sz="0" w:space="0" w:color="auto"/>
        <w:bottom w:val="none" w:sz="0" w:space="0" w:color="auto"/>
        <w:right w:val="none" w:sz="0" w:space="0" w:color="auto"/>
      </w:divBdr>
    </w:div>
    <w:div w:id="1880626059">
      <w:bodyDiv w:val="1"/>
      <w:marLeft w:val="0"/>
      <w:marRight w:val="0"/>
      <w:marTop w:val="0"/>
      <w:marBottom w:val="0"/>
      <w:divBdr>
        <w:top w:val="none" w:sz="0" w:space="0" w:color="auto"/>
        <w:left w:val="none" w:sz="0" w:space="0" w:color="auto"/>
        <w:bottom w:val="none" w:sz="0" w:space="0" w:color="auto"/>
        <w:right w:val="none" w:sz="0" w:space="0" w:color="auto"/>
      </w:divBdr>
    </w:div>
    <w:div w:id="1880631328">
      <w:bodyDiv w:val="1"/>
      <w:marLeft w:val="0"/>
      <w:marRight w:val="0"/>
      <w:marTop w:val="0"/>
      <w:marBottom w:val="0"/>
      <w:divBdr>
        <w:top w:val="none" w:sz="0" w:space="0" w:color="auto"/>
        <w:left w:val="none" w:sz="0" w:space="0" w:color="auto"/>
        <w:bottom w:val="none" w:sz="0" w:space="0" w:color="auto"/>
        <w:right w:val="none" w:sz="0" w:space="0" w:color="auto"/>
      </w:divBdr>
    </w:div>
    <w:div w:id="1880779651">
      <w:bodyDiv w:val="1"/>
      <w:marLeft w:val="0"/>
      <w:marRight w:val="0"/>
      <w:marTop w:val="0"/>
      <w:marBottom w:val="0"/>
      <w:divBdr>
        <w:top w:val="none" w:sz="0" w:space="0" w:color="auto"/>
        <w:left w:val="none" w:sz="0" w:space="0" w:color="auto"/>
        <w:bottom w:val="none" w:sz="0" w:space="0" w:color="auto"/>
        <w:right w:val="none" w:sz="0" w:space="0" w:color="auto"/>
      </w:divBdr>
    </w:div>
    <w:div w:id="1880892178">
      <w:bodyDiv w:val="1"/>
      <w:marLeft w:val="0"/>
      <w:marRight w:val="0"/>
      <w:marTop w:val="0"/>
      <w:marBottom w:val="0"/>
      <w:divBdr>
        <w:top w:val="none" w:sz="0" w:space="0" w:color="auto"/>
        <w:left w:val="none" w:sz="0" w:space="0" w:color="auto"/>
        <w:bottom w:val="none" w:sz="0" w:space="0" w:color="auto"/>
        <w:right w:val="none" w:sz="0" w:space="0" w:color="auto"/>
      </w:divBdr>
    </w:div>
    <w:div w:id="1881041806">
      <w:bodyDiv w:val="1"/>
      <w:marLeft w:val="0"/>
      <w:marRight w:val="0"/>
      <w:marTop w:val="0"/>
      <w:marBottom w:val="0"/>
      <w:divBdr>
        <w:top w:val="none" w:sz="0" w:space="0" w:color="auto"/>
        <w:left w:val="none" w:sz="0" w:space="0" w:color="auto"/>
        <w:bottom w:val="none" w:sz="0" w:space="0" w:color="auto"/>
        <w:right w:val="none" w:sz="0" w:space="0" w:color="auto"/>
      </w:divBdr>
    </w:div>
    <w:div w:id="1881043170">
      <w:bodyDiv w:val="1"/>
      <w:marLeft w:val="0"/>
      <w:marRight w:val="0"/>
      <w:marTop w:val="0"/>
      <w:marBottom w:val="0"/>
      <w:divBdr>
        <w:top w:val="none" w:sz="0" w:space="0" w:color="auto"/>
        <w:left w:val="none" w:sz="0" w:space="0" w:color="auto"/>
        <w:bottom w:val="none" w:sz="0" w:space="0" w:color="auto"/>
        <w:right w:val="none" w:sz="0" w:space="0" w:color="auto"/>
      </w:divBdr>
    </w:div>
    <w:div w:id="1881088878">
      <w:bodyDiv w:val="1"/>
      <w:marLeft w:val="0"/>
      <w:marRight w:val="0"/>
      <w:marTop w:val="0"/>
      <w:marBottom w:val="0"/>
      <w:divBdr>
        <w:top w:val="none" w:sz="0" w:space="0" w:color="auto"/>
        <w:left w:val="none" w:sz="0" w:space="0" w:color="auto"/>
        <w:bottom w:val="none" w:sz="0" w:space="0" w:color="auto"/>
        <w:right w:val="none" w:sz="0" w:space="0" w:color="auto"/>
      </w:divBdr>
    </w:div>
    <w:div w:id="1881239877">
      <w:bodyDiv w:val="1"/>
      <w:marLeft w:val="0"/>
      <w:marRight w:val="0"/>
      <w:marTop w:val="0"/>
      <w:marBottom w:val="0"/>
      <w:divBdr>
        <w:top w:val="none" w:sz="0" w:space="0" w:color="auto"/>
        <w:left w:val="none" w:sz="0" w:space="0" w:color="auto"/>
        <w:bottom w:val="none" w:sz="0" w:space="0" w:color="auto"/>
        <w:right w:val="none" w:sz="0" w:space="0" w:color="auto"/>
      </w:divBdr>
    </w:div>
    <w:div w:id="1881284476">
      <w:bodyDiv w:val="1"/>
      <w:marLeft w:val="0"/>
      <w:marRight w:val="0"/>
      <w:marTop w:val="0"/>
      <w:marBottom w:val="0"/>
      <w:divBdr>
        <w:top w:val="none" w:sz="0" w:space="0" w:color="auto"/>
        <w:left w:val="none" w:sz="0" w:space="0" w:color="auto"/>
        <w:bottom w:val="none" w:sz="0" w:space="0" w:color="auto"/>
        <w:right w:val="none" w:sz="0" w:space="0" w:color="auto"/>
      </w:divBdr>
    </w:div>
    <w:div w:id="1881354068">
      <w:bodyDiv w:val="1"/>
      <w:marLeft w:val="0"/>
      <w:marRight w:val="0"/>
      <w:marTop w:val="0"/>
      <w:marBottom w:val="0"/>
      <w:divBdr>
        <w:top w:val="none" w:sz="0" w:space="0" w:color="auto"/>
        <w:left w:val="none" w:sz="0" w:space="0" w:color="auto"/>
        <w:bottom w:val="none" w:sz="0" w:space="0" w:color="auto"/>
        <w:right w:val="none" w:sz="0" w:space="0" w:color="auto"/>
      </w:divBdr>
    </w:div>
    <w:div w:id="1881359687">
      <w:bodyDiv w:val="1"/>
      <w:marLeft w:val="0"/>
      <w:marRight w:val="0"/>
      <w:marTop w:val="0"/>
      <w:marBottom w:val="0"/>
      <w:divBdr>
        <w:top w:val="none" w:sz="0" w:space="0" w:color="auto"/>
        <w:left w:val="none" w:sz="0" w:space="0" w:color="auto"/>
        <w:bottom w:val="none" w:sz="0" w:space="0" w:color="auto"/>
        <w:right w:val="none" w:sz="0" w:space="0" w:color="auto"/>
      </w:divBdr>
    </w:div>
    <w:div w:id="1881360578">
      <w:bodyDiv w:val="1"/>
      <w:marLeft w:val="0"/>
      <w:marRight w:val="0"/>
      <w:marTop w:val="0"/>
      <w:marBottom w:val="0"/>
      <w:divBdr>
        <w:top w:val="none" w:sz="0" w:space="0" w:color="auto"/>
        <w:left w:val="none" w:sz="0" w:space="0" w:color="auto"/>
        <w:bottom w:val="none" w:sz="0" w:space="0" w:color="auto"/>
        <w:right w:val="none" w:sz="0" w:space="0" w:color="auto"/>
      </w:divBdr>
    </w:div>
    <w:div w:id="1881362614">
      <w:bodyDiv w:val="1"/>
      <w:marLeft w:val="0"/>
      <w:marRight w:val="0"/>
      <w:marTop w:val="0"/>
      <w:marBottom w:val="0"/>
      <w:divBdr>
        <w:top w:val="none" w:sz="0" w:space="0" w:color="auto"/>
        <w:left w:val="none" w:sz="0" w:space="0" w:color="auto"/>
        <w:bottom w:val="none" w:sz="0" w:space="0" w:color="auto"/>
        <w:right w:val="none" w:sz="0" w:space="0" w:color="auto"/>
      </w:divBdr>
    </w:div>
    <w:div w:id="1881504826">
      <w:bodyDiv w:val="1"/>
      <w:marLeft w:val="0"/>
      <w:marRight w:val="0"/>
      <w:marTop w:val="0"/>
      <w:marBottom w:val="0"/>
      <w:divBdr>
        <w:top w:val="none" w:sz="0" w:space="0" w:color="auto"/>
        <w:left w:val="none" w:sz="0" w:space="0" w:color="auto"/>
        <w:bottom w:val="none" w:sz="0" w:space="0" w:color="auto"/>
        <w:right w:val="none" w:sz="0" w:space="0" w:color="auto"/>
      </w:divBdr>
    </w:div>
    <w:div w:id="1881505117">
      <w:bodyDiv w:val="1"/>
      <w:marLeft w:val="0"/>
      <w:marRight w:val="0"/>
      <w:marTop w:val="0"/>
      <w:marBottom w:val="0"/>
      <w:divBdr>
        <w:top w:val="none" w:sz="0" w:space="0" w:color="auto"/>
        <w:left w:val="none" w:sz="0" w:space="0" w:color="auto"/>
        <w:bottom w:val="none" w:sz="0" w:space="0" w:color="auto"/>
        <w:right w:val="none" w:sz="0" w:space="0" w:color="auto"/>
      </w:divBdr>
    </w:div>
    <w:div w:id="1881554207">
      <w:bodyDiv w:val="1"/>
      <w:marLeft w:val="0"/>
      <w:marRight w:val="0"/>
      <w:marTop w:val="0"/>
      <w:marBottom w:val="0"/>
      <w:divBdr>
        <w:top w:val="none" w:sz="0" w:space="0" w:color="auto"/>
        <w:left w:val="none" w:sz="0" w:space="0" w:color="auto"/>
        <w:bottom w:val="none" w:sz="0" w:space="0" w:color="auto"/>
        <w:right w:val="none" w:sz="0" w:space="0" w:color="auto"/>
      </w:divBdr>
    </w:div>
    <w:div w:id="1881672017">
      <w:bodyDiv w:val="1"/>
      <w:marLeft w:val="0"/>
      <w:marRight w:val="0"/>
      <w:marTop w:val="0"/>
      <w:marBottom w:val="0"/>
      <w:divBdr>
        <w:top w:val="none" w:sz="0" w:space="0" w:color="auto"/>
        <w:left w:val="none" w:sz="0" w:space="0" w:color="auto"/>
        <w:bottom w:val="none" w:sz="0" w:space="0" w:color="auto"/>
        <w:right w:val="none" w:sz="0" w:space="0" w:color="auto"/>
      </w:divBdr>
    </w:div>
    <w:div w:id="1881741998">
      <w:bodyDiv w:val="1"/>
      <w:marLeft w:val="0"/>
      <w:marRight w:val="0"/>
      <w:marTop w:val="0"/>
      <w:marBottom w:val="0"/>
      <w:divBdr>
        <w:top w:val="none" w:sz="0" w:space="0" w:color="auto"/>
        <w:left w:val="none" w:sz="0" w:space="0" w:color="auto"/>
        <w:bottom w:val="none" w:sz="0" w:space="0" w:color="auto"/>
        <w:right w:val="none" w:sz="0" w:space="0" w:color="auto"/>
      </w:divBdr>
    </w:div>
    <w:div w:id="1881746386">
      <w:bodyDiv w:val="1"/>
      <w:marLeft w:val="0"/>
      <w:marRight w:val="0"/>
      <w:marTop w:val="0"/>
      <w:marBottom w:val="0"/>
      <w:divBdr>
        <w:top w:val="none" w:sz="0" w:space="0" w:color="auto"/>
        <w:left w:val="none" w:sz="0" w:space="0" w:color="auto"/>
        <w:bottom w:val="none" w:sz="0" w:space="0" w:color="auto"/>
        <w:right w:val="none" w:sz="0" w:space="0" w:color="auto"/>
      </w:divBdr>
    </w:div>
    <w:div w:id="1881815906">
      <w:bodyDiv w:val="1"/>
      <w:marLeft w:val="0"/>
      <w:marRight w:val="0"/>
      <w:marTop w:val="0"/>
      <w:marBottom w:val="0"/>
      <w:divBdr>
        <w:top w:val="none" w:sz="0" w:space="0" w:color="auto"/>
        <w:left w:val="none" w:sz="0" w:space="0" w:color="auto"/>
        <w:bottom w:val="none" w:sz="0" w:space="0" w:color="auto"/>
        <w:right w:val="none" w:sz="0" w:space="0" w:color="auto"/>
      </w:divBdr>
    </w:div>
    <w:div w:id="1881897965">
      <w:bodyDiv w:val="1"/>
      <w:marLeft w:val="0"/>
      <w:marRight w:val="0"/>
      <w:marTop w:val="0"/>
      <w:marBottom w:val="0"/>
      <w:divBdr>
        <w:top w:val="none" w:sz="0" w:space="0" w:color="auto"/>
        <w:left w:val="none" w:sz="0" w:space="0" w:color="auto"/>
        <w:bottom w:val="none" w:sz="0" w:space="0" w:color="auto"/>
        <w:right w:val="none" w:sz="0" w:space="0" w:color="auto"/>
      </w:divBdr>
    </w:div>
    <w:div w:id="1881934825">
      <w:bodyDiv w:val="1"/>
      <w:marLeft w:val="0"/>
      <w:marRight w:val="0"/>
      <w:marTop w:val="0"/>
      <w:marBottom w:val="0"/>
      <w:divBdr>
        <w:top w:val="none" w:sz="0" w:space="0" w:color="auto"/>
        <w:left w:val="none" w:sz="0" w:space="0" w:color="auto"/>
        <w:bottom w:val="none" w:sz="0" w:space="0" w:color="auto"/>
        <w:right w:val="none" w:sz="0" w:space="0" w:color="auto"/>
      </w:divBdr>
    </w:div>
    <w:div w:id="1881935419">
      <w:bodyDiv w:val="1"/>
      <w:marLeft w:val="0"/>
      <w:marRight w:val="0"/>
      <w:marTop w:val="0"/>
      <w:marBottom w:val="0"/>
      <w:divBdr>
        <w:top w:val="none" w:sz="0" w:space="0" w:color="auto"/>
        <w:left w:val="none" w:sz="0" w:space="0" w:color="auto"/>
        <w:bottom w:val="none" w:sz="0" w:space="0" w:color="auto"/>
        <w:right w:val="none" w:sz="0" w:space="0" w:color="auto"/>
      </w:divBdr>
    </w:div>
    <w:div w:id="1881938361">
      <w:bodyDiv w:val="1"/>
      <w:marLeft w:val="0"/>
      <w:marRight w:val="0"/>
      <w:marTop w:val="0"/>
      <w:marBottom w:val="0"/>
      <w:divBdr>
        <w:top w:val="none" w:sz="0" w:space="0" w:color="auto"/>
        <w:left w:val="none" w:sz="0" w:space="0" w:color="auto"/>
        <w:bottom w:val="none" w:sz="0" w:space="0" w:color="auto"/>
        <w:right w:val="none" w:sz="0" w:space="0" w:color="auto"/>
      </w:divBdr>
    </w:div>
    <w:div w:id="1882010258">
      <w:bodyDiv w:val="1"/>
      <w:marLeft w:val="0"/>
      <w:marRight w:val="0"/>
      <w:marTop w:val="0"/>
      <w:marBottom w:val="0"/>
      <w:divBdr>
        <w:top w:val="none" w:sz="0" w:space="0" w:color="auto"/>
        <w:left w:val="none" w:sz="0" w:space="0" w:color="auto"/>
        <w:bottom w:val="none" w:sz="0" w:space="0" w:color="auto"/>
        <w:right w:val="none" w:sz="0" w:space="0" w:color="auto"/>
      </w:divBdr>
    </w:div>
    <w:div w:id="1882014734">
      <w:bodyDiv w:val="1"/>
      <w:marLeft w:val="0"/>
      <w:marRight w:val="0"/>
      <w:marTop w:val="0"/>
      <w:marBottom w:val="0"/>
      <w:divBdr>
        <w:top w:val="none" w:sz="0" w:space="0" w:color="auto"/>
        <w:left w:val="none" w:sz="0" w:space="0" w:color="auto"/>
        <w:bottom w:val="none" w:sz="0" w:space="0" w:color="auto"/>
        <w:right w:val="none" w:sz="0" w:space="0" w:color="auto"/>
      </w:divBdr>
    </w:div>
    <w:div w:id="1882017485">
      <w:bodyDiv w:val="1"/>
      <w:marLeft w:val="0"/>
      <w:marRight w:val="0"/>
      <w:marTop w:val="0"/>
      <w:marBottom w:val="0"/>
      <w:divBdr>
        <w:top w:val="none" w:sz="0" w:space="0" w:color="auto"/>
        <w:left w:val="none" w:sz="0" w:space="0" w:color="auto"/>
        <w:bottom w:val="none" w:sz="0" w:space="0" w:color="auto"/>
        <w:right w:val="none" w:sz="0" w:space="0" w:color="auto"/>
      </w:divBdr>
    </w:div>
    <w:div w:id="1882128709">
      <w:bodyDiv w:val="1"/>
      <w:marLeft w:val="0"/>
      <w:marRight w:val="0"/>
      <w:marTop w:val="0"/>
      <w:marBottom w:val="0"/>
      <w:divBdr>
        <w:top w:val="none" w:sz="0" w:space="0" w:color="auto"/>
        <w:left w:val="none" w:sz="0" w:space="0" w:color="auto"/>
        <w:bottom w:val="none" w:sz="0" w:space="0" w:color="auto"/>
        <w:right w:val="none" w:sz="0" w:space="0" w:color="auto"/>
      </w:divBdr>
    </w:div>
    <w:div w:id="1882131275">
      <w:bodyDiv w:val="1"/>
      <w:marLeft w:val="0"/>
      <w:marRight w:val="0"/>
      <w:marTop w:val="0"/>
      <w:marBottom w:val="0"/>
      <w:divBdr>
        <w:top w:val="none" w:sz="0" w:space="0" w:color="auto"/>
        <w:left w:val="none" w:sz="0" w:space="0" w:color="auto"/>
        <w:bottom w:val="none" w:sz="0" w:space="0" w:color="auto"/>
        <w:right w:val="none" w:sz="0" w:space="0" w:color="auto"/>
      </w:divBdr>
    </w:div>
    <w:div w:id="1882203293">
      <w:bodyDiv w:val="1"/>
      <w:marLeft w:val="0"/>
      <w:marRight w:val="0"/>
      <w:marTop w:val="0"/>
      <w:marBottom w:val="0"/>
      <w:divBdr>
        <w:top w:val="none" w:sz="0" w:space="0" w:color="auto"/>
        <w:left w:val="none" w:sz="0" w:space="0" w:color="auto"/>
        <w:bottom w:val="none" w:sz="0" w:space="0" w:color="auto"/>
        <w:right w:val="none" w:sz="0" w:space="0" w:color="auto"/>
      </w:divBdr>
    </w:div>
    <w:div w:id="1882208009">
      <w:bodyDiv w:val="1"/>
      <w:marLeft w:val="0"/>
      <w:marRight w:val="0"/>
      <w:marTop w:val="0"/>
      <w:marBottom w:val="0"/>
      <w:divBdr>
        <w:top w:val="none" w:sz="0" w:space="0" w:color="auto"/>
        <w:left w:val="none" w:sz="0" w:space="0" w:color="auto"/>
        <w:bottom w:val="none" w:sz="0" w:space="0" w:color="auto"/>
        <w:right w:val="none" w:sz="0" w:space="0" w:color="auto"/>
      </w:divBdr>
    </w:div>
    <w:div w:id="1882210883">
      <w:bodyDiv w:val="1"/>
      <w:marLeft w:val="0"/>
      <w:marRight w:val="0"/>
      <w:marTop w:val="0"/>
      <w:marBottom w:val="0"/>
      <w:divBdr>
        <w:top w:val="none" w:sz="0" w:space="0" w:color="auto"/>
        <w:left w:val="none" w:sz="0" w:space="0" w:color="auto"/>
        <w:bottom w:val="none" w:sz="0" w:space="0" w:color="auto"/>
        <w:right w:val="none" w:sz="0" w:space="0" w:color="auto"/>
      </w:divBdr>
    </w:div>
    <w:div w:id="1882283691">
      <w:bodyDiv w:val="1"/>
      <w:marLeft w:val="0"/>
      <w:marRight w:val="0"/>
      <w:marTop w:val="0"/>
      <w:marBottom w:val="0"/>
      <w:divBdr>
        <w:top w:val="none" w:sz="0" w:space="0" w:color="auto"/>
        <w:left w:val="none" w:sz="0" w:space="0" w:color="auto"/>
        <w:bottom w:val="none" w:sz="0" w:space="0" w:color="auto"/>
        <w:right w:val="none" w:sz="0" w:space="0" w:color="auto"/>
      </w:divBdr>
    </w:div>
    <w:div w:id="1882326795">
      <w:bodyDiv w:val="1"/>
      <w:marLeft w:val="0"/>
      <w:marRight w:val="0"/>
      <w:marTop w:val="0"/>
      <w:marBottom w:val="0"/>
      <w:divBdr>
        <w:top w:val="none" w:sz="0" w:space="0" w:color="auto"/>
        <w:left w:val="none" w:sz="0" w:space="0" w:color="auto"/>
        <w:bottom w:val="none" w:sz="0" w:space="0" w:color="auto"/>
        <w:right w:val="none" w:sz="0" w:space="0" w:color="auto"/>
      </w:divBdr>
    </w:div>
    <w:div w:id="1882357118">
      <w:bodyDiv w:val="1"/>
      <w:marLeft w:val="0"/>
      <w:marRight w:val="0"/>
      <w:marTop w:val="0"/>
      <w:marBottom w:val="0"/>
      <w:divBdr>
        <w:top w:val="none" w:sz="0" w:space="0" w:color="auto"/>
        <w:left w:val="none" w:sz="0" w:space="0" w:color="auto"/>
        <w:bottom w:val="none" w:sz="0" w:space="0" w:color="auto"/>
        <w:right w:val="none" w:sz="0" w:space="0" w:color="auto"/>
      </w:divBdr>
    </w:div>
    <w:div w:id="1882402730">
      <w:bodyDiv w:val="1"/>
      <w:marLeft w:val="0"/>
      <w:marRight w:val="0"/>
      <w:marTop w:val="0"/>
      <w:marBottom w:val="0"/>
      <w:divBdr>
        <w:top w:val="none" w:sz="0" w:space="0" w:color="auto"/>
        <w:left w:val="none" w:sz="0" w:space="0" w:color="auto"/>
        <w:bottom w:val="none" w:sz="0" w:space="0" w:color="auto"/>
        <w:right w:val="none" w:sz="0" w:space="0" w:color="auto"/>
      </w:divBdr>
    </w:div>
    <w:div w:id="1882479752">
      <w:bodyDiv w:val="1"/>
      <w:marLeft w:val="0"/>
      <w:marRight w:val="0"/>
      <w:marTop w:val="0"/>
      <w:marBottom w:val="0"/>
      <w:divBdr>
        <w:top w:val="none" w:sz="0" w:space="0" w:color="auto"/>
        <w:left w:val="none" w:sz="0" w:space="0" w:color="auto"/>
        <w:bottom w:val="none" w:sz="0" w:space="0" w:color="auto"/>
        <w:right w:val="none" w:sz="0" w:space="0" w:color="auto"/>
      </w:divBdr>
    </w:div>
    <w:div w:id="1882548720">
      <w:bodyDiv w:val="1"/>
      <w:marLeft w:val="0"/>
      <w:marRight w:val="0"/>
      <w:marTop w:val="0"/>
      <w:marBottom w:val="0"/>
      <w:divBdr>
        <w:top w:val="none" w:sz="0" w:space="0" w:color="auto"/>
        <w:left w:val="none" w:sz="0" w:space="0" w:color="auto"/>
        <w:bottom w:val="none" w:sz="0" w:space="0" w:color="auto"/>
        <w:right w:val="none" w:sz="0" w:space="0" w:color="auto"/>
      </w:divBdr>
    </w:div>
    <w:div w:id="1882670887">
      <w:bodyDiv w:val="1"/>
      <w:marLeft w:val="0"/>
      <w:marRight w:val="0"/>
      <w:marTop w:val="0"/>
      <w:marBottom w:val="0"/>
      <w:divBdr>
        <w:top w:val="none" w:sz="0" w:space="0" w:color="auto"/>
        <w:left w:val="none" w:sz="0" w:space="0" w:color="auto"/>
        <w:bottom w:val="none" w:sz="0" w:space="0" w:color="auto"/>
        <w:right w:val="none" w:sz="0" w:space="0" w:color="auto"/>
      </w:divBdr>
    </w:div>
    <w:div w:id="1882784413">
      <w:bodyDiv w:val="1"/>
      <w:marLeft w:val="0"/>
      <w:marRight w:val="0"/>
      <w:marTop w:val="0"/>
      <w:marBottom w:val="0"/>
      <w:divBdr>
        <w:top w:val="none" w:sz="0" w:space="0" w:color="auto"/>
        <w:left w:val="none" w:sz="0" w:space="0" w:color="auto"/>
        <w:bottom w:val="none" w:sz="0" w:space="0" w:color="auto"/>
        <w:right w:val="none" w:sz="0" w:space="0" w:color="auto"/>
      </w:divBdr>
    </w:div>
    <w:div w:id="1882790077">
      <w:bodyDiv w:val="1"/>
      <w:marLeft w:val="0"/>
      <w:marRight w:val="0"/>
      <w:marTop w:val="0"/>
      <w:marBottom w:val="0"/>
      <w:divBdr>
        <w:top w:val="none" w:sz="0" w:space="0" w:color="auto"/>
        <w:left w:val="none" w:sz="0" w:space="0" w:color="auto"/>
        <w:bottom w:val="none" w:sz="0" w:space="0" w:color="auto"/>
        <w:right w:val="none" w:sz="0" w:space="0" w:color="auto"/>
      </w:divBdr>
    </w:div>
    <w:div w:id="1882791280">
      <w:bodyDiv w:val="1"/>
      <w:marLeft w:val="0"/>
      <w:marRight w:val="0"/>
      <w:marTop w:val="0"/>
      <w:marBottom w:val="0"/>
      <w:divBdr>
        <w:top w:val="none" w:sz="0" w:space="0" w:color="auto"/>
        <w:left w:val="none" w:sz="0" w:space="0" w:color="auto"/>
        <w:bottom w:val="none" w:sz="0" w:space="0" w:color="auto"/>
        <w:right w:val="none" w:sz="0" w:space="0" w:color="auto"/>
      </w:divBdr>
    </w:div>
    <w:div w:id="1882941715">
      <w:bodyDiv w:val="1"/>
      <w:marLeft w:val="0"/>
      <w:marRight w:val="0"/>
      <w:marTop w:val="0"/>
      <w:marBottom w:val="0"/>
      <w:divBdr>
        <w:top w:val="none" w:sz="0" w:space="0" w:color="auto"/>
        <w:left w:val="none" w:sz="0" w:space="0" w:color="auto"/>
        <w:bottom w:val="none" w:sz="0" w:space="0" w:color="auto"/>
        <w:right w:val="none" w:sz="0" w:space="0" w:color="auto"/>
      </w:divBdr>
    </w:div>
    <w:div w:id="1882982588">
      <w:bodyDiv w:val="1"/>
      <w:marLeft w:val="0"/>
      <w:marRight w:val="0"/>
      <w:marTop w:val="0"/>
      <w:marBottom w:val="0"/>
      <w:divBdr>
        <w:top w:val="none" w:sz="0" w:space="0" w:color="auto"/>
        <w:left w:val="none" w:sz="0" w:space="0" w:color="auto"/>
        <w:bottom w:val="none" w:sz="0" w:space="0" w:color="auto"/>
        <w:right w:val="none" w:sz="0" w:space="0" w:color="auto"/>
      </w:divBdr>
    </w:div>
    <w:div w:id="1883007742">
      <w:bodyDiv w:val="1"/>
      <w:marLeft w:val="0"/>
      <w:marRight w:val="0"/>
      <w:marTop w:val="0"/>
      <w:marBottom w:val="0"/>
      <w:divBdr>
        <w:top w:val="none" w:sz="0" w:space="0" w:color="auto"/>
        <w:left w:val="none" w:sz="0" w:space="0" w:color="auto"/>
        <w:bottom w:val="none" w:sz="0" w:space="0" w:color="auto"/>
        <w:right w:val="none" w:sz="0" w:space="0" w:color="auto"/>
      </w:divBdr>
    </w:div>
    <w:div w:id="1883056697">
      <w:bodyDiv w:val="1"/>
      <w:marLeft w:val="0"/>
      <w:marRight w:val="0"/>
      <w:marTop w:val="0"/>
      <w:marBottom w:val="0"/>
      <w:divBdr>
        <w:top w:val="none" w:sz="0" w:space="0" w:color="auto"/>
        <w:left w:val="none" w:sz="0" w:space="0" w:color="auto"/>
        <w:bottom w:val="none" w:sz="0" w:space="0" w:color="auto"/>
        <w:right w:val="none" w:sz="0" w:space="0" w:color="auto"/>
      </w:divBdr>
    </w:div>
    <w:div w:id="1883059585">
      <w:bodyDiv w:val="1"/>
      <w:marLeft w:val="0"/>
      <w:marRight w:val="0"/>
      <w:marTop w:val="0"/>
      <w:marBottom w:val="0"/>
      <w:divBdr>
        <w:top w:val="none" w:sz="0" w:space="0" w:color="auto"/>
        <w:left w:val="none" w:sz="0" w:space="0" w:color="auto"/>
        <w:bottom w:val="none" w:sz="0" w:space="0" w:color="auto"/>
        <w:right w:val="none" w:sz="0" w:space="0" w:color="auto"/>
      </w:divBdr>
    </w:div>
    <w:div w:id="1883130275">
      <w:bodyDiv w:val="1"/>
      <w:marLeft w:val="0"/>
      <w:marRight w:val="0"/>
      <w:marTop w:val="0"/>
      <w:marBottom w:val="0"/>
      <w:divBdr>
        <w:top w:val="none" w:sz="0" w:space="0" w:color="auto"/>
        <w:left w:val="none" w:sz="0" w:space="0" w:color="auto"/>
        <w:bottom w:val="none" w:sz="0" w:space="0" w:color="auto"/>
        <w:right w:val="none" w:sz="0" w:space="0" w:color="auto"/>
      </w:divBdr>
    </w:div>
    <w:div w:id="1883130528">
      <w:bodyDiv w:val="1"/>
      <w:marLeft w:val="0"/>
      <w:marRight w:val="0"/>
      <w:marTop w:val="0"/>
      <w:marBottom w:val="0"/>
      <w:divBdr>
        <w:top w:val="none" w:sz="0" w:space="0" w:color="auto"/>
        <w:left w:val="none" w:sz="0" w:space="0" w:color="auto"/>
        <w:bottom w:val="none" w:sz="0" w:space="0" w:color="auto"/>
        <w:right w:val="none" w:sz="0" w:space="0" w:color="auto"/>
      </w:divBdr>
    </w:div>
    <w:div w:id="1883204539">
      <w:bodyDiv w:val="1"/>
      <w:marLeft w:val="0"/>
      <w:marRight w:val="0"/>
      <w:marTop w:val="0"/>
      <w:marBottom w:val="0"/>
      <w:divBdr>
        <w:top w:val="none" w:sz="0" w:space="0" w:color="auto"/>
        <w:left w:val="none" w:sz="0" w:space="0" w:color="auto"/>
        <w:bottom w:val="none" w:sz="0" w:space="0" w:color="auto"/>
        <w:right w:val="none" w:sz="0" w:space="0" w:color="auto"/>
      </w:divBdr>
    </w:div>
    <w:div w:id="1883319721">
      <w:bodyDiv w:val="1"/>
      <w:marLeft w:val="0"/>
      <w:marRight w:val="0"/>
      <w:marTop w:val="0"/>
      <w:marBottom w:val="0"/>
      <w:divBdr>
        <w:top w:val="none" w:sz="0" w:space="0" w:color="auto"/>
        <w:left w:val="none" w:sz="0" w:space="0" w:color="auto"/>
        <w:bottom w:val="none" w:sz="0" w:space="0" w:color="auto"/>
        <w:right w:val="none" w:sz="0" w:space="0" w:color="auto"/>
      </w:divBdr>
    </w:div>
    <w:div w:id="1883396455">
      <w:bodyDiv w:val="1"/>
      <w:marLeft w:val="0"/>
      <w:marRight w:val="0"/>
      <w:marTop w:val="0"/>
      <w:marBottom w:val="0"/>
      <w:divBdr>
        <w:top w:val="none" w:sz="0" w:space="0" w:color="auto"/>
        <w:left w:val="none" w:sz="0" w:space="0" w:color="auto"/>
        <w:bottom w:val="none" w:sz="0" w:space="0" w:color="auto"/>
        <w:right w:val="none" w:sz="0" w:space="0" w:color="auto"/>
      </w:divBdr>
    </w:div>
    <w:div w:id="1883402129">
      <w:bodyDiv w:val="1"/>
      <w:marLeft w:val="0"/>
      <w:marRight w:val="0"/>
      <w:marTop w:val="0"/>
      <w:marBottom w:val="0"/>
      <w:divBdr>
        <w:top w:val="none" w:sz="0" w:space="0" w:color="auto"/>
        <w:left w:val="none" w:sz="0" w:space="0" w:color="auto"/>
        <w:bottom w:val="none" w:sz="0" w:space="0" w:color="auto"/>
        <w:right w:val="none" w:sz="0" w:space="0" w:color="auto"/>
      </w:divBdr>
    </w:div>
    <w:div w:id="1883440808">
      <w:bodyDiv w:val="1"/>
      <w:marLeft w:val="0"/>
      <w:marRight w:val="0"/>
      <w:marTop w:val="0"/>
      <w:marBottom w:val="0"/>
      <w:divBdr>
        <w:top w:val="none" w:sz="0" w:space="0" w:color="auto"/>
        <w:left w:val="none" w:sz="0" w:space="0" w:color="auto"/>
        <w:bottom w:val="none" w:sz="0" w:space="0" w:color="auto"/>
        <w:right w:val="none" w:sz="0" w:space="0" w:color="auto"/>
      </w:divBdr>
    </w:div>
    <w:div w:id="1883512917">
      <w:bodyDiv w:val="1"/>
      <w:marLeft w:val="0"/>
      <w:marRight w:val="0"/>
      <w:marTop w:val="0"/>
      <w:marBottom w:val="0"/>
      <w:divBdr>
        <w:top w:val="none" w:sz="0" w:space="0" w:color="auto"/>
        <w:left w:val="none" w:sz="0" w:space="0" w:color="auto"/>
        <w:bottom w:val="none" w:sz="0" w:space="0" w:color="auto"/>
        <w:right w:val="none" w:sz="0" w:space="0" w:color="auto"/>
      </w:divBdr>
    </w:div>
    <w:div w:id="1883587646">
      <w:bodyDiv w:val="1"/>
      <w:marLeft w:val="0"/>
      <w:marRight w:val="0"/>
      <w:marTop w:val="0"/>
      <w:marBottom w:val="0"/>
      <w:divBdr>
        <w:top w:val="none" w:sz="0" w:space="0" w:color="auto"/>
        <w:left w:val="none" w:sz="0" w:space="0" w:color="auto"/>
        <w:bottom w:val="none" w:sz="0" w:space="0" w:color="auto"/>
        <w:right w:val="none" w:sz="0" w:space="0" w:color="auto"/>
      </w:divBdr>
    </w:div>
    <w:div w:id="1883592523">
      <w:bodyDiv w:val="1"/>
      <w:marLeft w:val="0"/>
      <w:marRight w:val="0"/>
      <w:marTop w:val="0"/>
      <w:marBottom w:val="0"/>
      <w:divBdr>
        <w:top w:val="none" w:sz="0" w:space="0" w:color="auto"/>
        <w:left w:val="none" w:sz="0" w:space="0" w:color="auto"/>
        <w:bottom w:val="none" w:sz="0" w:space="0" w:color="auto"/>
        <w:right w:val="none" w:sz="0" w:space="0" w:color="auto"/>
      </w:divBdr>
    </w:div>
    <w:div w:id="1883788010">
      <w:bodyDiv w:val="1"/>
      <w:marLeft w:val="0"/>
      <w:marRight w:val="0"/>
      <w:marTop w:val="0"/>
      <w:marBottom w:val="0"/>
      <w:divBdr>
        <w:top w:val="none" w:sz="0" w:space="0" w:color="auto"/>
        <w:left w:val="none" w:sz="0" w:space="0" w:color="auto"/>
        <w:bottom w:val="none" w:sz="0" w:space="0" w:color="auto"/>
        <w:right w:val="none" w:sz="0" w:space="0" w:color="auto"/>
      </w:divBdr>
    </w:div>
    <w:div w:id="1883789976">
      <w:bodyDiv w:val="1"/>
      <w:marLeft w:val="0"/>
      <w:marRight w:val="0"/>
      <w:marTop w:val="0"/>
      <w:marBottom w:val="0"/>
      <w:divBdr>
        <w:top w:val="none" w:sz="0" w:space="0" w:color="auto"/>
        <w:left w:val="none" w:sz="0" w:space="0" w:color="auto"/>
        <w:bottom w:val="none" w:sz="0" w:space="0" w:color="auto"/>
        <w:right w:val="none" w:sz="0" w:space="0" w:color="auto"/>
      </w:divBdr>
    </w:div>
    <w:div w:id="1883832664">
      <w:bodyDiv w:val="1"/>
      <w:marLeft w:val="0"/>
      <w:marRight w:val="0"/>
      <w:marTop w:val="0"/>
      <w:marBottom w:val="0"/>
      <w:divBdr>
        <w:top w:val="none" w:sz="0" w:space="0" w:color="auto"/>
        <w:left w:val="none" w:sz="0" w:space="0" w:color="auto"/>
        <w:bottom w:val="none" w:sz="0" w:space="0" w:color="auto"/>
        <w:right w:val="none" w:sz="0" w:space="0" w:color="auto"/>
      </w:divBdr>
    </w:div>
    <w:div w:id="1883902935">
      <w:bodyDiv w:val="1"/>
      <w:marLeft w:val="0"/>
      <w:marRight w:val="0"/>
      <w:marTop w:val="0"/>
      <w:marBottom w:val="0"/>
      <w:divBdr>
        <w:top w:val="none" w:sz="0" w:space="0" w:color="auto"/>
        <w:left w:val="none" w:sz="0" w:space="0" w:color="auto"/>
        <w:bottom w:val="none" w:sz="0" w:space="0" w:color="auto"/>
        <w:right w:val="none" w:sz="0" w:space="0" w:color="auto"/>
      </w:divBdr>
    </w:div>
    <w:div w:id="1883904280">
      <w:bodyDiv w:val="1"/>
      <w:marLeft w:val="0"/>
      <w:marRight w:val="0"/>
      <w:marTop w:val="0"/>
      <w:marBottom w:val="0"/>
      <w:divBdr>
        <w:top w:val="none" w:sz="0" w:space="0" w:color="auto"/>
        <w:left w:val="none" w:sz="0" w:space="0" w:color="auto"/>
        <w:bottom w:val="none" w:sz="0" w:space="0" w:color="auto"/>
        <w:right w:val="none" w:sz="0" w:space="0" w:color="auto"/>
      </w:divBdr>
    </w:div>
    <w:div w:id="1883908293">
      <w:bodyDiv w:val="1"/>
      <w:marLeft w:val="0"/>
      <w:marRight w:val="0"/>
      <w:marTop w:val="0"/>
      <w:marBottom w:val="0"/>
      <w:divBdr>
        <w:top w:val="none" w:sz="0" w:space="0" w:color="auto"/>
        <w:left w:val="none" w:sz="0" w:space="0" w:color="auto"/>
        <w:bottom w:val="none" w:sz="0" w:space="0" w:color="auto"/>
        <w:right w:val="none" w:sz="0" w:space="0" w:color="auto"/>
      </w:divBdr>
    </w:div>
    <w:div w:id="1883978444">
      <w:bodyDiv w:val="1"/>
      <w:marLeft w:val="0"/>
      <w:marRight w:val="0"/>
      <w:marTop w:val="0"/>
      <w:marBottom w:val="0"/>
      <w:divBdr>
        <w:top w:val="none" w:sz="0" w:space="0" w:color="auto"/>
        <w:left w:val="none" w:sz="0" w:space="0" w:color="auto"/>
        <w:bottom w:val="none" w:sz="0" w:space="0" w:color="auto"/>
        <w:right w:val="none" w:sz="0" w:space="0" w:color="auto"/>
      </w:divBdr>
    </w:div>
    <w:div w:id="1884057761">
      <w:bodyDiv w:val="1"/>
      <w:marLeft w:val="0"/>
      <w:marRight w:val="0"/>
      <w:marTop w:val="0"/>
      <w:marBottom w:val="0"/>
      <w:divBdr>
        <w:top w:val="none" w:sz="0" w:space="0" w:color="auto"/>
        <w:left w:val="none" w:sz="0" w:space="0" w:color="auto"/>
        <w:bottom w:val="none" w:sz="0" w:space="0" w:color="auto"/>
        <w:right w:val="none" w:sz="0" w:space="0" w:color="auto"/>
      </w:divBdr>
    </w:div>
    <w:div w:id="1884098481">
      <w:bodyDiv w:val="1"/>
      <w:marLeft w:val="0"/>
      <w:marRight w:val="0"/>
      <w:marTop w:val="0"/>
      <w:marBottom w:val="0"/>
      <w:divBdr>
        <w:top w:val="none" w:sz="0" w:space="0" w:color="auto"/>
        <w:left w:val="none" w:sz="0" w:space="0" w:color="auto"/>
        <w:bottom w:val="none" w:sz="0" w:space="0" w:color="auto"/>
        <w:right w:val="none" w:sz="0" w:space="0" w:color="auto"/>
      </w:divBdr>
    </w:div>
    <w:div w:id="1884100346">
      <w:bodyDiv w:val="1"/>
      <w:marLeft w:val="0"/>
      <w:marRight w:val="0"/>
      <w:marTop w:val="0"/>
      <w:marBottom w:val="0"/>
      <w:divBdr>
        <w:top w:val="none" w:sz="0" w:space="0" w:color="auto"/>
        <w:left w:val="none" w:sz="0" w:space="0" w:color="auto"/>
        <w:bottom w:val="none" w:sz="0" w:space="0" w:color="auto"/>
        <w:right w:val="none" w:sz="0" w:space="0" w:color="auto"/>
      </w:divBdr>
    </w:div>
    <w:div w:id="1884173355">
      <w:bodyDiv w:val="1"/>
      <w:marLeft w:val="0"/>
      <w:marRight w:val="0"/>
      <w:marTop w:val="0"/>
      <w:marBottom w:val="0"/>
      <w:divBdr>
        <w:top w:val="none" w:sz="0" w:space="0" w:color="auto"/>
        <w:left w:val="none" w:sz="0" w:space="0" w:color="auto"/>
        <w:bottom w:val="none" w:sz="0" w:space="0" w:color="auto"/>
        <w:right w:val="none" w:sz="0" w:space="0" w:color="auto"/>
      </w:divBdr>
    </w:div>
    <w:div w:id="1884244692">
      <w:bodyDiv w:val="1"/>
      <w:marLeft w:val="0"/>
      <w:marRight w:val="0"/>
      <w:marTop w:val="0"/>
      <w:marBottom w:val="0"/>
      <w:divBdr>
        <w:top w:val="none" w:sz="0" w:space="0" w:color="auto"/>
        <w:left w:val="none" w:sz="0" w:space="0" w:color="auto"/>
        <w:bottom w:val="none" w:sz="0" w:space="0" w:color="auto"/>
        <w:right w:val="none" w:sz="0" w:space="0" w:color="auto"/>
      </w:divBdr>
    </w:div>
    <w:div w:id="1884249443">
      <w:bodyDiv w:val="1"/>
      <w:marLeft w:val="0"/>
      <w:marRight w:val="0"/>
      <w:marTop w:val="0"/>
      <w:marBottom w:val="0"/>
      <w:divBdr>
        <w:top w:val="none" w:sz="0" w:space="0" w:color="auto"/>
        <w:left w:val="none" w:sz="0" w:space="0" w:color="auto"/>
        <w:bottom w:val="none" w:sz="0" w:space="0" w:color="auto"/>
        <w:right w:val="none" w:sz="0" w:space="0" w:color="auto"/>
      </w:divBdr>
    </w:div>
    <w:div w:id="1884511829">
      <w:bodyDiv w:val="1"/>
      <w:marLeft w:val="0"/>
      <w:marRight w:val="0"/>
      <w:marTop w:val="0"/>
      <w:marBottom w:val="0"/>
      <w:divBdr>
        <w:top w:val="none" w:sz="0" w:space="0" w:color="auto"/>
        <w:left w:val="none" w:sz="0" w:space="0" w:color="auto"/>
        <w:bottom w:val="none" w:sz="0" w:space="0" w:color="auto"/>
        <w:right w:val="none" w:sz="0" w:space="0" w:color="auto"/>
      </w:divBdr>
    </w:div>
    <w:div w:id="1884515999">
      <w:bodyDiv w:val="1"/>
      <w:marLeft w:val="0"/>
      <w:marRight w:val="0"/>
      <w:marTop w:val="0"/>
      <w:marBottom w:val="0"/>
      <w:divBdr>
        <w:top w:val="none" w:sz="0" w:space="0" w:color="auto"/>
        <w:left w:val="none" w:sz="0" w:space="0" w:color="auto"/>
        <w:bottom w:val="none" w:sz="0" w:space="0" w:color="auto"/>
        <w:right w:val="none" w:sz="0" w:space="0" w:color="auto"/>
      </w:divBdr>
    </w:div>
    <w:div w:id="1884560150">
      <w:bodyDiv w:val="1"/>
      <w:marLeft w:val="0"/>
      <w:marRight w:val="0"/>
      <w:marTop w:val="0"/>
      <w:marBottom w:val="0"/>
      <w:divBdr>
        <w:top w:val="none" w:sz="0" w:space="0" w:color="auto"/>
        <w:left w:val="none" w:sz="0" w:space="0" w:color="auto"/>
        <w:bottom w:val="none" w:sz="0" w:space="0" w:color="auto"/>
        <w:right w:val="none" w:sz="0" w:space="0" w:color="auto"/>
      </w:divBdr>
    </w:div>
    <w:div w:id="1884630272">
      <w:bodyDiv w:val="1"/>
      <w:marLeft w:val="0"/>
      <w:marRight w:val="0"/>
      <w:marTop w:val="0"/>
      <w:marBottom w:val="0"/>
      <w:divBdr>
        <w:top w:val="none" w:sz="0" w:space="0" w:color="auto"/>
        <w:left w:val="none" w:sz="0" w:space="0" w:color="auto"/>
        <w:bottom w:val="none" w:sz="0" w:space="0" w:color="auto"/>
        <w:right w:val="none" w:sz="0" w:space="0" w:color="auto"/>
      </w:divBdr>
    </w:div>
    <w:div w:id="1884631485">
      <w:bodyDiv w:val="1"/>
      <w:marLeft w:val="0"/>
      <w:marRight w:val="0"/>
      <w:marTop w:val="0"/>
      <w:marBottom w:val="0"/>
      <w:divBdr>
        <w:top w:val="none" w:sz="0" w:space="0" w:color="auto"/>
        <w:left w:val="none" w:sz="0" w:space="0" w:color="auto"/>
        <w:bottom w:val="none" w:sz="0" w:space="0" w:color="auto"/>
        <w:right w:val="none" w:sz="0" w:space="0" w:color="auto"/>
      </w:divBdr>
    </w:div>
    <w:div w:id="1884636857">
      <w:bodyDiv w:val="1"/>
      <w:marLeft w:val="0"/>
      <w:marRight w:val="0"/>
      <w:marTop w:val="0"/>
      <w:marBottom w:val="0"/>
      <w:divBdr>
        <w:top w:val="none" w:sz="0" w:space="0" w:color="auto"/>
        <w:left w:val="none" w:sz="0" w:space="0" w:color="auto"/>
        <w:bottom w:val="none" w:sz="0" w:space="0" w:color="auto"/>
        <w:right w:val="none" w:sz="0" w:space="0" w:color="auto"/>
      </w:divBdr>
    </w:div>
    <w:div w:id="1884713922">
      <w:bodyDiv w:val="1"/>
      <w:marLeft w:val="0"/>
      <w:marRight w:val="0"/>
      <w:marTop w:val="0"/>
      <w:marBottom w:val="0"/>
      <w:divBdr>
        <w:top w:val="none" w:sz="0" w:space="0" w:color="auto"/>
        <w:left w:val="none" w:sz="0" w:space="0" w:color="auto"/>
        <w:bottom w:val="none" w:sz="0" w:space="0" w:color="auto"/>
        <w:right w:val="none" w:sz="0" w:space="0" w:color="auto"/>
      </w:divBdr>
    </w:div>
    <w:div w:id="1884949574">
      <w:bodyDiv w:val="1"/>
      <w:marLeft w:val="0"/>
      <w:marRight w:val="0"/>
      <w:marTop w:val="0"/>
      <w:marBottom w:val="0"/>
      <w:divBdr>
        <w:top w:val="none" w:sz="0" w:space="0" w:color="auto"/>
        <w:left w:val="none" w:sz="0" w:space="0" w:color="auto"/>
        <w:bottom w:val="none" w:sz="0" w:space="0" w:color="auto"/>
        <w:right w:val="none" w:sz="0" w:space="0" w:color="auto"/>
      </w:divBdr>
    </w:div>
    <w:div w:id="1885021251">
      <w:bodyDiv w:val="1"/>
      <w:marLeft w:val="0"/>
      <w:marRight w:val="0"/>
      <w:marTop w:val="0"/>
      <w:marBottom w:val="0"/>
      <w:divBdr>
        <w:top w:val="none" w:sz="0" w:space="0" w:color="auto"/>
        <w:left w:val="none" w:sz="0" w:space="0" w:color="auto"/>
        <w:bottom w:val="none" w:sz="0" w:space="0" w:color="auto"/>
        <w:right w:val="none" w:sz="0" w:space="0" w:color="auto"/>
      </w:divBdr>
    </w:div>
    <w:div w:id="1885022952">
      <w:bodyDiv w:val="1"/>
      <w:marLeft w:val="0"/>
      <w:marRight w:val="0"/>
      <w:marTop w:val="0"/>
      <w:marBottom w:val="0"/>
      <w:divBdr>
        <w:top w:val="none" w:sz="0" w:space="0" w:color="auto"/>
        <w:left w:val="none" w:sz="0" w:space="0" w:color="auto"/>
        <w:bottom w:val="none" w:sz="0" w:space="0" w:color="auto"/>
        <w:right w:val="none" w:sz="0" w:space="0" w:color="auto"/>
      </w:divBdr>
    </w:div>
    <w:div w:id="1885024676">
      <w:bodyDiv w:val="1"/>
      <w:marLeft w:val="0"/>
      <w:marRight w:val="0"/>
      <w:marTop w:val="0"/>
      <w:marBottom w:val="0"/>
      <w:divBdr>
        <w:top w:val="none" w:sz="0" w:space="0" w:color="auto"/>
        <w:left w:val="none" w:sz="0" w:space="0" w:color="auto"/>
        <w:bottom w:val="none" w:sz="0" w:space="0" w:color="auto"/>
        <w:right w:val="none" w:sz="0" w:space="0" w:color="auto"/>
      </w:divBdr>
    </w:div>
    <w:div w:id="1885174007">
      <w:bodyDiv w:val="1"/>
      <w:marLeft w:val="0"/>
      <w:marRight w:val="0"/>
      <w:marTop w:val="0"/>
      <w:marBottom w:val="0"/>
      <w:divBdr>
        <w:top w:val="none" w:sz="0" w:space="0" w:color="auto"/>
        <w:left w:val="none" w:sz="0" w:space="0" w:color="auto"/>
        <w:bottom w:val="none" w:sz="0" w:space="0" w:color="auto"/>
        <w:right w:val="none" w:sz="0" w:space="0" w:color="auto"/>
      </w:divBdr>
    </w:div>
    <w:div w:id="1885175006">
      <w:bodyDiv w:val="1"/>
      <w:marLeft w:val="0"/>
      <w:marRight w:val="0"/>
      <w:marTop w:val="0"/>
      <w:marBottom w:val="0"/>
      <w:divBdr>
        <w:top w:val="none" w:sz="0" w:space="0" w:color="auto"/>
        <w:left w:val="none" w:sz="0" w:space="0" w:color="auto"/>
        <w:bottom w:val="none" w:sz="0" w:space="0" w:color="auto"/>
        <w:right w:val="none" w:sz="0" w:space="0" w:color="auto"/>
      </w:divBdr>
    </w:div>
    <w:div w:id="1885290754">
      <w:bodyDiv w:val="1"/>
      <w:marLeft w:val="0"/>
      <w:marRight w:val="0"/>
      <w:marTop w:val="0"/>
      <w:marBottom w:val="0"/>
      <w:divBdr>
        <w:top w:val="none" w:sz="0" w:space="0" w:color="auto"/>
        <w:left w:val="none" w:sz="0" w:space="0" w:color="auto"/>
        <w:bottom w:val="none" w:sz="0" w:space="0" w:color="auto"/>
        <w:right w:val="none" w:sz="0" w:space="0" w:color="auto"/>
      </w:divBdr>
    </w:div>
    <w:div w:id="1885361394">
      <w:bodyDiv w:val="1"/>
      <w:marLeft w:val="0"/>
      <w:marRight w:val="0"/>
      <w:marTop w:val="0"/>
      <w:marBottom w:val="0"/>
      <w:divBdr>
        <w:top w:val="none" w:sz="0" w:space="0" w:color="auto"/>
        <w:left w:val="none" w:sz="0" w:space="0" w:color="auto"/>
        <w:bottom w:val="none" w:sz="0" w:space="0" w:color="auto"/>
        <w:right w:val="none" w:sz="0" w:space="0" w:color="auto"/>
      </w:divBdr>
    </w:div>
    <w:div w:id="1885484642">
      <w:bodyDiv w:val="1"/>
      <w:marLeft w:val="0"/>
      <w:marRight w:val="0"/>
      <w:marTop w:val="0"/>
      <w:marBottom w:val="0"/>
      <w:divBdr>
        <w:top w:val="none" w:sz="0" w:space="0" w:color="auto"/>
        <w:left w:val="none" w:sz="0" w:space="0" w:color="auto"/>
        <w:bottom w:val="none" w:sz="0" w:space="0" w:color="auto"/>
        <w:right w:val="none" w:sz="0" w:space="0" w:color="auto"/>
      </w:divBdr>
    </w:div>
    <w:div w:id="1885553336">
      <w:bodyDiv w:val="1"/>
      <w:marLeft w:val="0"/>
      <w:marRight w:val="0"/>
      <w:marTop w:val="0"/>
      <w:marBottom w:val="0"/>
      <w:divBdr>
        <w:top w:val="none" w:sz="0" w:space="0" w:color="auto"/>
        <w:left w:val="none" w:sz="0" w:space="0" w:color="auto"/>
        <w:bottom w:val="none" w:sz="0" w:space="0" w:color="auto"/>
        <w:right w:val="none" w:sz="0" w:space="0" w:color="auto"/>
      </w:divBdr>
    </w:div>
    <w:div w:id="1885555774">
      <w:bodyDiv w:val="1"/>
      <w:marLeft w:val="0"/>
      <w:marRight w:val="0"/>
      <w:marTop w:val="0"/>
      <w:marBottom w:val="0"/>
      <w:divBdr>
        <w:top w:val="none" w:sz="0" w:space="0" w:color="auto"/>
        <w:left w:val="none" w:sz="0" w:space="0" w:color="auto"/>
        <w:bottom w:val="none" w:sz="0" w:space="0" w:color="auto"/>
        <w:right w:val="none" w:sz="0" w:space="0" w:color="auto"/>
      </w:divBdr>
    </w:div>
    <w:div w:id="1885559623">
      <w:bodyDiv w:val="1"/>
      <w:marLeft w:val="0"/>
      <w:marRight w:val="0"/>
      <w:marTop w:val="0"/>
      <w:marBottom w:val="0"/>
      <w:divBdr>
        <w:top w:val="none" w:sz="0" w:space="0" w:color="auto"/>
        <w:left w:val="none" w:sz="0" w:space="0" w:color="auto"/>
        <w:bottom w:val="none" w:sz="0" w:space="0" w:color="auto"/>
        <w:right w:val="none" w:sz="0" w:space="0" w:color="auto"/>
      </w:divBdr>
    </w:div>
    <w:div w:id="1885604447">
      <w:bodyDiv w:val="1"/>
      <w:marLeft w:val="0"/>
      <w:marRight w:val="0"/>
      <w:marTop w:val="0"/>
      <w:marBottom w:val="0"/>
      <w:divBdr>
        <w:top w:val="none" w:sz="0" w:space="0" w:color="auto"/>
        <w:left w:val="none" w:sz="0" w:space="0" w:color="auto"/>
        <w:bottom w:val="none" w:sz="0" w:space="0" w:color="auto"/>
        <w:right w:val="none" w:sz="0" w:space="0" w:color="auto"/>
      </w:divBdr>
    </w:div>
    <w:div w:id="1885632998">
      <w:bodyDiv w:val="1"/>
      <w:marLeft w:val="0"/>
      <w:marRight w:val="0"/>
      <w:marTop w:val="0"/>
      <w:marBottom w:val="0"/>
      <w:divBdr>
        <w:top w:val="none" w:sz="0" w:space="0" w:color="auto"/>
        <w:left w:val="none" w:sz="0" w:space="0" w:color="auto"/>
        <w:bottom w:val="none" w:sz="0" w:space="0" w:color="auto"/>
        <w:right w:val="none" w:sz="0" w:space="0" w:color="auto"/>
      </w:divBdr>
    </w:div>
    <w:div w:id="1885672700">
      <w:bodyDiv w:val="1"/>
      <w:marLeft w:val="0"/>
      <w:marRight w:val="0"/>
      <w:marTop w:val="0"/>
      <w:marBottom w:val="0"/>
      <w:divBdr>
        <w:top w:val="none" w:sz="0" w:space="0" w:color="auto"/>
        <w:left w:val="none" w:sz="0" w:space="0" w:color="auto"/>
        <w:bottom w:val="none" w:sz="0" w:space="0" w:color="auto"/>
        <w:right w:val="none" w:sz="0" w:space="0" w:color="auto"/>
      </w:divBdr>
    </w:div>
    <w:div w:id="1885674531">
      <w:bodyDiv w:val="1"/>
      <w:marLeft w:val="0"/>
      <w:marRight w:val="0"/>
      <w:marTop w:val="0"/>
      <w:marBottom w:val="0"/>
      <w:divBdr>
        <w:top w:val="none" w:sz="0" w:space="0" w:color="auto"/>
        <w:left w:val="none" w:sz="0" w:space="0" w:color="auto"/>
        <w:bottom w:val="none" w:sz="0" w:space="0" w:color="auto"/>
        <w:right w:val="none" w:sz="0" w:space="0" w:color="auto"/>
      </w:divBdr>
    </w:div>
    <w:div w:id="1885753218">
      <w:bodyDiv w:val="1"/>
      <w:marLeft w:val="0"/>
      <w:marRight w:val="0"/>
      <w:marTop w:val="0"/>
      <w:marBottom w:val="0"/>
      <w:divBdr>
        <w:top w:val="none" w:sz="0" w:space="0" w:color="auto"/>
        <w:left w:val="none" w:sz="0" w:space="0" w:color="auto"/>
        <w:bottom w:val="none" w:sz="0" w:space="0" w:color="auto"/>
        <w:right w:val="none" w:sz="0" w:space="0" w:color="auto"/>
      </w:divBdr>
    </w:div>
    <w:div w:id="1885753800">
      <w:bodyDiv w:val="1"/>
      <w:marLeft w:val="0"/>
      <w:marRight w:val="0"/>
      <w:marTop w:val="0"/>
      <w:marBottom w:val="0"/>
      <w:divBdr>
        <w:top w:val="none" w:sz="0" w:space="0" w:color="auto"/>
        <w:left w:val="none" w:sz="0" w:space="0" w:color="auto"/>
        <w:bottom w:val="none" w:sz="0" w:space="0" w:color="auto"/>
        <w:right w:val="none" w:sz="0" w:space="0" w:color="auto"/>
      </w:divBdr>
    </w:div>
    <w:div w:id="1885755316">
      <w:bodyDiv w:val="1"/>
      <w:marLeft w:val="0"/>
      <w:marRight w:val="0"/>
      <w:marTop w:val="0"/>
      <w:marBottom w:val="0"/>
      <w:divBdr>
        <w:top w:val="none" w:sz="0" w:space="0" w:color="auto"/>
        <w:left w:val="none" w:sz="0" w:space="0" w:color="auto"/>
        <w:bottom w:val="none" w:sz="0" w:space="0" w:color="auto"/>
        <w:right w:val="none" w:sz="0" w:space="0" w:color="auto"/>
      </w:divBdr>
    </w:div>
    <w:div w:id="1885944411">
      <w:bodyDiv w:val="1"/>
      <w:marLeft w:val="0"/>
      <w:marRight w:val="0"/>
      <w:marTop w:val="0"/>
      <w:marBottom w:val="0"/>
      <w:divBdr>
        <w:top w:val="none" w:sz="0" w:space="0" w:color="auto"/>
        <w:left w:val="none" w:sz="0" w:space="0" w:color="auto"/>
        <w:bottom w:val="none" w:sz="0" w:space="0" w:color="auto"/>
        <w:right w:val="none" w:sz="0" w:space="0" w:color="auto"/>
      </w:divBdr>
    </w:div>
    <w:div w:id="1885947653">
      <w:bodyDiv w:val="1"/>
      <w:marLeft w:val="0"/>
      <w:marRight w:val="0"/>
      <w:marTop w:val="0"/>
      <w:marBottom w:val="0"/>
      <w:divBdr>
        <w:top w:val="none" w:sz="0" w:space="0" w:color="auto"/>
        <w:left w:val="none" w:sz="0" w:space="0" w:color="auto"/>
        <w:bottom w:val="none" w:sz="0" w:space="0" w:color="auto"/>
        <w:right w:val="none" w:sz="0" w:space="0" w:color="auto"/>
      </w:divBdr>
    </w:div>
    <w:div w:id="1886021332">
      <w:bodyDiv w:val="1"/>
      <w:marLeft w:val="0"/>
      <w:marRight w:val="0"/>
      <w:marTop w:val="0"/>
      <w:marBottom w:val="0"/>
      <w:divBdr>
        <w:top w:val="none" w:sz="0" w:space="0" w:color="auto"/>
        <w:left w:val="none" w:sz="0" w:space="0" w:color="auto"/>
        <w:bottom w:val="none" w:sz="0" w:space="0" w:color="auto"/>
        <w:right w:val="none" w:sz="0" w:space="0" w:color="auto"/>
      </w:divBdr>
    </w:div>
    <w:div w:id="1886060559">
      <w:bodyDiv w:val="1"/>
      <w:marLeft w:val="0"/>
      <w:marRight w:val="0"/>
      <w:marTop w:val="0"/>
      <w:marBottom w:val="0"/>
      <w:divBdr>
        <w:top w:val="none" w:sz="0" w:space="0" w:color="auto"/>
        <w:left w:val="none" w:sz="0" w:space="0" w:color="auto"/>
        <w:bottom w:val="none" w:sz="0" w:space="0" w:color="auto"/>
        <w:right w:val="none" w:sz="0" w:space="0" w:color="auto"/>
      </w:divBdr>
    </w:div>
    <w:div w:id="1886063520">
      <w:bodyDiv w:val="1"/>
      <w:marLeft w:val="0"/>
      <w:marRight w:val="0"/>
      <w:marTop w:val="0"/>
      <w:marBottom w:val="0"/>
      <w:divBdr>
        <w:top w:val="none" w:sz="0" w:space="0" w:color="auto"/>
        <w:left w:val="none" w:sz="0" w:space="0" w:color="auto"/>
        <w:bottom w:val="none" w:sz="0" w:space="0" w:color="auto"/>
        <w:right w:val="none" w:sz="0" w:space="0" w:color="auto"/>
      </w:divBdr>
    </w:div>
    <w:div w:id="1886092965">
      <w:bodyDiv w:val="1"/>
      <w:marLeft w:val="0"/>
      <w:marRight w:val="0"/>
      <w:marTop w:val="0"/>
      <w:marBottom w:val="0"/>
      <w:divBdr>
        <w:top w:val="none" w:sz="0" w:space="0" w:color="auto"/>
        <w:left w:val="none" w:sz="0" w:space="0" w:color="auto"/>
        <w:bottom w:val="none" w:sz="0" w:space="0" w:color="auto"/>
        <w:right w:val="none" w:sz="0" w:space="0" w:color="auto"/>
      </w:divBdr>
    </w:div>
    <w:div w:id="1886209269">
      <w:bodyDiv w:val="1"/>
      <w:marLeft w:val="0"/>
      <w:marRight w:val="0"/>
      <w:marTop w:val="0"/>
      <w:marBottom w:val="0"/>
      <w:divBdr>
        <w:top w:val="none" w:sz="0" w:space="0" w:color="auto"/>
        <w:left w:val="none" w:sz="0" w:space="0" w:color="auto"/>
        <w:bottom w:val="none" w:sz="0" w:space="0" w:color="auto"/>
        <w:right w:val="none" w:sz="0" w:space="0" w:color="auto"/>
      </w:divBdr>
    </w:div>
    <w:div w:id="1886333236">
      <w:bodyDiv w:val="1"/>
      <w:marLeft w:val="0"/>
      <w:marRight w:val="0"/>
      <w:marTop w:val="0"/>
      <w:marBottom w:val="0"/>
      <w:divBdr>
        <w:top w:val="none" w:sz="0" w:space="0" w:color="auto"/>
        <w:left w:val="none" w:sz="0" w:space="0" w:color="auto"/>
        <w:bottom w:val="none" w:sz="0" w:space="0" w:color="auto"/>
        <w:right w:val="none" w:sz="0" w:space="0" w:color="auto"/>
      </w:divBdr>
    </w:div>
    <w:div w:id="1886334019">
      <w:bodyDiv w:val="1"/>
      <w:marLeft w:val="0"/>
      <w:marRight w:val="0"/>
      <w:marTop w:val="0"/>
      <w:marBottom w:val="0"/>
      <w:divBdr>
        <w:top w:val="none" w:sz="0" w:space="0" w:color="auto"/>
        <w:left w:val="none" w:sz="0" w:space="0" w:color="auto"/>
        <w:bottom w:val="none" w:sz="0" w:space="0" w:color="auto"/>
        <w:right w:val="none" w:sz="0" w:space="0" w:color="auto"/>
      </w:divBdr>
    </w:div>
    <w:div w:id="1886404844">
      <w:bodyDiv w:val="1"/>
      <w:marLeft w:val="0"/>
      <w:marRight w:val="0"/>
      <w:marTop w:val="0"/>
      <w:marBottom w:val="0"/>
      <w:divBdr>
        <w:top w:val="none" w:sz="0" w:space="0" w:color="auto"/>
        <w:left w:val="none" w:sz="0" w:space="0" w:color="auto"/>
        <w:bottom w:val="none" w:sz="0" w:space="0" w:color="auto"/>
        <w:right w:val="none" w:sz="0" w:space="0" w:color="auto"/>
      </w:divBdr>
    </w:div>
    <w:div w:id="1886485508">
      <w:bodyDiv w:val="1"/>
      <w:marLeft w:val="0"/>
      <w:marRight w:val="0"/>
      <w:marTop w:val="0"/>
      <w:marBottom w:val="0"/>
      <w:divBdr>
        <w:top w:val="none" w:sz="0" w:space="0" w:color="auto"/>
        <w:left w:val="none" w:sz="0" w:space="0" w:color="auto"/>
        <w:bottom w:val="none" w:sz="0" w:space="0" w:color="auto"/>
        <w:right w:val="none" w:sz="0" w:space="0" w:color="auto"/>
      </w:divBdr>
    </w:div>
    <w:div w:id="1886598423">
      <w:bodyDiv w:val="1"/>
      <w:marLeft w:val="0"/>
      <w:marRight w:val="0"/>
      <w:marTop w:val="0"/>
      <w:marBottom w:val="0"/>
      <w:divBdr>
        <w:top w:val="none" w:sz="0" w:space="0" w:color="auto"/>
        <w:left w:val="none" w:sz="0" w:space="0" w:color="auto"/>
        <w:bottom w:val="none" w:sz="0" w:space="0" w:color="auto"/>
        <w:right w:val="none" w:sz="0" w:space="0" w:color="auto"/>
      </w:divBdr>
    </w:div>
    <w:div w:id="1886601582">
      <w:bodyDiv w:val="1"/>
      <w:marLeft w:val="0"/>
      <w:marRight w:val="0"/>
      <w:marTop w:val="0"/>
      <w:marBottom w:val="0"/>
      <w:divBdr>
        <w:top w:val="none" w:sz="0" w:space="0" w:color="auto"/>
        <w:left w:val="none" w:sz="0" w:space="0" w:color="auto"/>
        <w:bottom w:val="none" w:sz="0" w:space="0" w:color="auto"/>
        <w:right w:val="none" w:sz="0" w:space="0" w:color="auto"/>
      </w:divBdr>
    </w:div>
    <w:div w:id="1886603950">
      <w:bodyDiv w:val="1"/>
      <w:marLeft w:val="0"/>
      <w:marRight w:val="0"/>
      <w:marTop w:val="0"/>
      <w:marBottom w:val="0"/>
      <w:divBdr>
        <w:top w:val="none" w:sz="0" w:space="0" w:color="auto"/>
        <w:left w:val="none" w:sz="0" w:space="0" w:color="auto"/>
        <w:bottom w:val="none" w:sz="0" w:space="0" w:color="auto"/>
        <w:right w:val="none" w:sz="0" w:space="0" w:color="auto"/>
      </w:divBdr>
    </w:div>
    <w:div w:id="1886720007">
      <w:bodyDiv w:val="1"/>
      <w:marLeft w:val="0"/>
      <w:marRight w:val="0"/>
      <w:marTop w:val="0"/>
      <w:marBottom w:val="0"/>
      <w:divBdr>
        <w:top w:val="none" w:sz="0" w:space="0" w:color="auto"/>
        <w:left w:val="none" w:sz="0" w:space="0" w:color="auto"/>
        <w:bottom w:val="none" w:sz="0" w:space="0" w:color="auto"/>
        <w:right w:val="none" w:sz="0" w:space="0" w:color="auto"/>
      </w:divBdr>
    </w:div>
    <w:div w:id="1886747462">
      <w:bodyDiv w:val="1"/>
      <w:marLeft w:val="0"/>
      <w:marRight w:val="0"/>
      <w:marTop w:val="0"/>
      <w:marBottom w:val="0"/>
      <w:divBdr>
        <w:top w:val="none" w:sz="0" w:space="0" w:color="auto"/>
        <w:left w:val="none" w:sz="0" w:space="0" w:color="auto"/>
        <w:bottom w:val="none" w:sz="0" w:space="0" w:color="auto"/>
        <w:right w:val="none" w:sz="0" w:space="0" w:color="auto"/>
      </w:divBdr>
    </w:div>
    <w:div w:id="1886864118">
      <w:bodyDiv w:val="1"/>
      <w:marLeft w:val="0"/>
      <w:marRight w:val="0"/>
      <w:marTop w:val="0"/>
      <w:marBottom w:val="0"/>
      <w:divBdr>
        <w:top w:val="none" w:sz="0" w:space="0" w:color="auto"/>
        <w:left w:val="none" w:sz="0" w:space="0" w:color="auto"/>
        <w:bottom w:val="none" w:sz="0" w:space="0" w:color="auto"/>
        <w:right w:val="none" w:sz="0" w:space="0" w:color="auto"/>
      </w:divBdr>
    </w:div>
    <w:div w:id="1886865602">
      <w:bodyDiv w:val="1"/>
      <w:marLeft w:val="0"/>
      <w:marRight w:val="0"/>
      <w:marTop w:val="0"/>
      <w:marBottom w:val="0"/>
      <w:divBdr>
        <w:top w:val="none" w:sz="0" w:space="0" w:color="auto"/>
        <w:left w:val="none" w:sz="0" w:space="0" w:color="auto"/>
        <w:bottom w:val="none" w:sz="0" w:space="0" w:color="auto"/>
        <w:right w:val="none" w:sz="0" w:space="0" w:color="auto"/>
      </w:divBdr>
    </w:div>
    <w:div w:id="1886944133">
      <w:bodyDiv w:val="1"/>
      <w:marLeft w:val="0"/>
      <w:marRight w:val="0"/>
      <w:marTop w:val="0"/>
      <w:marBottom w:val="0"/>
      <w:divBdr>
        <w:top w:val="none" w:sz="0" w:space="0" w:color="auto"/>
        <w:left w:val="none" w:sz="0" w:space="0" w:color="auto"/>
        <w:bottom w:val="none" w:sz="0" w:space="0" w:color="auto"/>
        <w:right w:val="none" w:sz="0" w:space="0" w:color="auto"/>
      </w:divBdr>
    </w:div>
    <w:div w:id="1887062376">
      <w:bodyDiv w:val="1"/>
      <w:marLeft w:val="0"/>
      <w:marRight w:val="0"/>
      <w:marTop w:val="0"/>
      <w:marBottom w:val="0"/>
      <w:divBdr>
        <w:top w:val="none" w:sz="0" w:space="0" w:color="auto"/>
        <w:left w:val="none" w:sz="0" w:space="0" w:color="auto"/>
        <w:bottom w:val="none" w:sz="0" w:space="0" w:color="auto"/>
        <w:right w:val="none" w:sz="0" w:space="0" w:color="auto"/>
      </w:divBdr>
    </w:div>
    <w:div w:id="1887176472">
      <w:bodyDiv w:val="1"/>
      <w:marLeft w:val="0"/>
      <w:marRight w:val="0"/>
      <w:marTop w:val="0"/>
      <w:marBottom w:val="0"/>
      <w:divBdr>
        <w:top w:val="none" w:sz="0" w:space="0" w:color="auto"/>
        <w:left w:val="none" w:sz="0" w:space="0" w:color="auto"/>
        <w:bottom w:val="none" w:sz="0" w:space="0" w:color="auto"/>
        <w:right w:val="none" w:sz="0" w:space="0" w:color="auto"/>
      </w:divBdr>
    </w:div>
    <w:div w:id="1887181026">
      <w:bodyDiv w:val="1"/>
      <w:marLeft w:val="0"/>
      <w:marRight w:val="0"/>
      <w:marTop w:val="0"/>
      <w:marBottom w:val="0"/>
      <w:divBdr>
        <w:top w:val="none" w:sz="0" w:space="0" w:color="auto"/>
        <w:left w:val="none" w:sz="0" w:space="0" w:color="auto"/>
        <w:bottom w:val="none" w:sz="0" w:space="0" w:color="auto"/>
        <w:right w:val="none" w:sz="0" w:space="0" w:color="auto"/>
      </w:divBdr>
    </w:div>
    <w:div w:id="1887184098">
      <w:bodyDiv w:val="1"/>
      <w:marLeft w:val="0"/>
      <w:marRight w:val="0"/>
      <w:marTop w:val="0"/>
      <w:marBottom w:val="0"/>
      <w:divBdr>
        <w:top w:val="none" w:sz="0" w:space="0" w:color="auto"/>
        <w:left w:val="none" w:sz="0" w:space="0" w:color="auto"/>
        <w:bottom w:val="none" w:sz="0" w:space="0" w:color="auto"/>
        <w:right w:val="none" w:sz="0" w:space="0" w:color="auto"/>
      </w:divBdr>
    </w:div>
    <w:div w:id="1887251891">
      <w:bodyDiv w:val="1"/>
      <w:marLeft w:val="0"/>
      <w:marRight w:val="0"/>
      <w:marTop w:val="0"/>
      <w:marBottom w:val="0"/>
      <w:divBdr>
        <w:top w:val="none" w:sz="0" w:space="0" w:color="auto"/>
        <w:left w:val="none" w:sz="0" w:space="0" w:color="auto"/>
        <w:bottom w:val="none" w:sz="0" w:space="0" w:color="auto"/>
        <w:right w:val="none" w:sz="0" w:space="0" w:color="auto"/>
      </w:divBdr>
    </w:div>
    <w:div w:id="1887255342">
      <w:bodyDiv w:val="1"/>
      <w:marLeft w:val="0"/>
      <w:marRight w:val="0"/>
      <w:marTop w:val="0"/>
      <w:marBottom w:val="0"/>
      <w:divBdr>
        <w:top w:val="none" w:sz="0" w:space="0" w:color="auto"/>
        <w:left w:val="none" w:sz="0" w:space="0" w:color="auto"/>
        <w:bottom w:val="none" w:sz="0" w:space="0" w:color="auto"/>
        <w:right w:val="none" w:sz="0" w:space="0" w:color="auto"/>
      </w:divBdr>
    </w:div>
    <w:div w:id="1887332157">
      <w:bodyDiv w:val="1"/>
      <w:marLeft w:val="0"/>
      <w:marRight w:val="0"/>
      <w:marTop w:val="0"/>
      <w:marBottom w:val="0"/>
      <w:divBdr>
        <w:top w:val="none" w:sz="0" w:space="0" w:color="auto"/>
        <w:left w:val="none" w:sz="0" w:space="0" w:color="auto"/>
        <w:bottom w:val="none" w:sz="0" w:space="0" w:color="auto"/>
        <w:right w:val="none" w:sz="0" w:space="0" w:color="auto"/>
      </w:divBdr>
    </w:div>
    <w:div w:id="1887332236">
      <w:bodyDiv w:val="1"/>
      <w:marLeft w:val="0"/>
      <w:marRight w:val="0"/>
      <w:marTop w:val="0"/>
      <w:marBottom w:val="0"/>
      <w:divBdr>
        <w:top w:val="none" w:sz="0" w:space="0" w:color="auto"/>
        <w:left w:val="none" w:sz="0" w:space="0" w:color="auto"/>
        <w:bottom w:val="none" w:sz="0" w:space="0" w:color="auto"/>
        <w:right w:val="none" w:sz="0" w:space="0" w:color="auto"/>
      </w:divBdr>
    </w:div>
    <w:div w:id="1887401796">
      <w:bodyDiv w:val="1"/>
      <w:marLeft w:val="0"/>
      <w:marRight w:val="0"/>
      <w:marTop w:val="0"/>
      <w:marBottom w:val="0"/>
      <w:divBdr>
        <w:top w:val="none" w:sz="0" w:space="0" w:color="auto"/>
        <w:left w:val="none" w:sz="0" w:space="0" w:color="auto"/>
        <w:bottom w:val="none" w:sz="0" w:space="0" w:color="auto"/>
        <w:right w:val="none" w:sz="0" w:space="0" w:color="auto"/>
      </w:divBdr>
    </w:div>
    <w:div w:id="1887402459">
      <w:bodyDiv w:val="1"/>
      <w:marLeft w:val="0"/>
      <w:marRight w:val="0"/>
      <w:marTop w:val="0"/>
      <w:marBottom w:val="0"/>
      <w:divBdr>
        <w:top w:val="none" w:sz="0" w:space="0" w:color="auto"/>
        <w:left w:val="none" w:sz="0" w:space="0" w:color="auto"/>
        <w:bottom w:val="none" w:sz="0" w:space="0" w:color="auto"/>
        <w:right w:val="none" w:sz="0" w:space="0" w:color="auto"/>
      </w:divBdr>
    </w:div>
    <w:div w:id="1887402974">
      <w:bodyDiv w:val="1"/>
      <w:marLeft w:val="0"/>
      <w:marRight w:val="0"/>
      <w:marTop w:val="0"/>
      <w:marBottom w:val="0"/>
      <w:divBdr>
        <w:top w:val="none" w:sz="0" w:space="0" w:color="auto"/>
        <w:left w:val="none" w:sz="0" w:space="0" w:color="auto"/>
        <w:bottom w:val="none" w:sz="0" w:space="0" w:color="auto"/>
        <w:right w:val="none" w:sz="0" w:space="0" w:color="auto"/>
      </w:divBdr>
    </w:div>
    <w:div w:id="1887527736">
      <w:bodyDiv w:val="1"/>
      <w:marLeft w:val="0"/>
      <w:marRight w:val="0"/>
      <w:marTop w:val="0"/>
      <w:marBottom w:val="0"/>
      <w:divBdr>
        <w:top w:val="none" w:sz="0" w:space="0" w:color="auto"/>
        <w:left w:val="none" w:sz="0" w:space="0" w:color="auto"/>
        <w:bottom w:val="none" w:sz="0" w:space="0" w:color="auto"/>
        <w:right w:val="none" w:sz="0" w:space="0" w:color="auto"/>
      </w:divBdr>
    </w:div>
    <w:div w:id="1887570272">
      <w:bodyDiv w:val="1"/>
      <w:marLeft w:val="0"/>
      <w:marRight w:val="0"/>
      <w:marTop w:val="0"/>
      <w:marBottom w:val="0"/>
      <w:divBdr>
        <w:top w:val="none" w:sz="0" w:space="0" w:color="auto"/>
        <w:left w:val="none" w:sz="0" w:space="0" w:color="auto"/>
        <w:bottom w:val="none" w:sz="0" w:space="0" w:color="auto"/>
        <w:right w:val="none" w:sz="0" w:space="0" w:color="auto"/>
      </w:divBdr>
    </w:div>
    <w:div w:id="1887638378">
      <w:bodyDiv w:val="1"/>
      <w:marLeft w:val="0"/>
      <w:marRight w:val="0"/>
      <w:marTop w:val="0"/>
      <w:marBottom w:val="0"/>
      <w:divBdr>
        <w:top w:val="none" w:sz="0" w:space="0" w:color="auto"/>
        <w:left w:val="none" w:sz="0" w:space="0" w:color="auto"/>
        <w:bottom w:val="none" w:sz="0" w:space="0" w:color="auto"/>
        <w:right w:val="none" w:sz="0" w:space="0" w:color="auto"/>
      </w:divBdr>
    </w:div>
    <w:div w:id="1887787967">
      <w:bodyDiv w:val="1"/>
      <w:marLeft w:val="0"/>
      <w:marRight w:val="0"/>
      <w:marTop w:val="0"/>
      <w:marBottom w:val="0"/>
      <w:divBdr>
        <w:top w:val="none" w:sz="0" w:space="0" w:color="auto"/>
        <w:left w:val="none" w:sz="0" w:space="0" w:color="auto"/>
        <w:bottom w:val="none" w:sz="0" w:space="0" w:color="auto"/>
        <w:right w:val="none" w:sz="0" w:space="0" w:color="auto"/>
      </w:divBdr>
    </w:div>
    <w:div w:id="1887982132">
      <w:bodyDiv w:val="1"/>
      <w:marLeft w:val="0"/>
      <w:marRight w:val="0"/>
      <w:marTop w:val="0"/>
      <w:marBottom w:val="0"/>
      <w:divBdr>
        <w:top w:val="none" w:sz="0" w:space="0" w:color="auto"/>
        <w:left w:val="none" w:sz="0" w:space="0" w:color="auto"/>
        <w:bottom w:val="none" w:sz="0" w:space="0" w:color="auto"/>
        <w:right w:val="none" w:sz="0" w:space="0" w:color="auto"/>
      </w:divBdr>
    </w:div>
    <w:div w:id="1887986806">
      <w:bodyDiv w:val="1"/>
      <w:marLeft w:val="0"/>
      <w:marRight w:val="0"/>
      <w:marTop w:val="0"/>
      <w:marBottom w:val="0"/>
      <w:divBdr>
        <w:top w:val="none" w:sz="0" w:space="0" w:color="auto"/>
        <w:left w:val="none" w:sz="0" w:space="0" w:color="auto"/>
        <w:bottom w:val="none" w:sz="0" w:space="0" w:color="auto"/>
        <w:right w:val="none" w:sz="0" w:space="0" w:color="auto"/>
      </w:divBdr>
    </w:div>
    <w:div w:id="1888032595">
      <w:bodyDiv w:val="1"/>
      <w:marLeft w:val="0"/>
      <w:marRight w:val="0"/>
      <w:marTop w:val="0"/>
      <w:marBottom w:val="0"/>
      <w:divBdr>
        <w:top w:val="none" w:sz="0" w:space="0" w:color="auto"/>
        <w:left w:val="none" w:sz="0" w:space="0" w:color="auto"/>
        <w:bottom w:val="none" w:sz="0" w:space="0" w:color="auto"/>
        <w:right w:val="none" w:sz="0" w:space="0" w:color="auto"/>
      </w:divBdr>
    </w:div>
    <w:div w:id="1888032697">
      <w:bodyDiv w:val="1"/>
      <w:marLeft w:val="0"/>
      <w:marRight w:val="0"/>
      <w:marTop w:val="0"/>
      <w:marBottom w:val="0"/>
      <w:divBdr>
        <w:top w:val="none" w:sz="0" w:space="0" w:color="auto"/>
        <w:left w:val="none" w:sz="0" w:space="0" w:color="auto"/>
        <w:bottom w:val="none" w:sz="0" w:space="0" w:color="auto"/>
        <w:right w:val="none" w:sz="0" w:space="0" w:color="auto"/>
      </w:divBdr>
    </w:div>
    <w:div w:id="1888033361">
      <w:bodyDiv w:val="1"/>
      <w:marLeft w:val="0"/>
      <w:marRight w:val="0"/>
      <w:marTop w:val="0"/>
      <w:marBottom w:val="0"/>
      <w:divBdr>
        <w:top w:val="none" w:sz="0" w:space="0" w:color="auto"/>
        <w:left w:val="none" w:sz="0" w:space="0" w:color="auto"/>
        <w:bottom w:val="none" w:sz="0" w:space="0" w:color="auto"/>
        <w:right w:val="none" w:sz="0" w:space="0" w:color="auto"/>
      </w:divBdr>
    </w:div>
    <w:div w:id="1888101421">
      <w:bodyDiv w:val="1"/>
      <w:marLeft w:val="0"/>
      <w:marRight w:val="0"/>
      <w:marTop w:val="0"/>
      <w:marBottom w:val="0"/>
      <w:divBdr>
        <w:top w:val="none" w:sz="0" w:space="0" w:color="auto"/>
        <w:left w:val="none" w:sz="0" w:space="0" w:color="auto"/>
        <w:bottom w:val="none" w:sz="0" w:space="0" w:color="auto"/>
        <w:right w:val="none" w:sz="0" w:space="0" w:color="auto"/>
      </w:divBdr>
    </w:div>
    <w:div w:id="1888294109">
      <w:bodyDiv w:val="1"/>
      <w:marLeft w:val="0"/>
      <w:marRight w:val="0"/>
      <w:marTop w:val="0"/>
      <w:marBottom w:val="0"/>
      <w:divBdr>
        <w:top w:val="none" w:sz="0" w:space="0" w:color="auto"/>
        <w:left w:val="none" w:sz="0" w:space="0" w:color="auto"/>
        <w:bottom w:val="none" w:sz="0" w:space="0" w:color="auto"/>
        <w:right w:val="none" w:sz="0" w:space="0" w:color="auto"/>
      </w:divBdr>
    </w:div>
    <w:div w:id="1888369066">
      <w:bodyDiv w:val="1"/>
      <w:marLeft w:val="0"/>
      <w:marRight w:val="0"/>
      <w:marTop w:val="0"/>
      <w:marBottom w:val="0"/>
      <w:divBdr>
        <w:top w:val="none" w:sz="0" w:space="0" w:color="auto"/>
        <w:left w:val="none" w:sz="0" w:space="0" w:color="auto"/>
        <w:bottom w:val="none" w:sz="0" w:space="0" w:color="auto"/>
        <w:right w:val="none" w:sz="0" w:space="0" w:color="auto"/>
      </w:divBdr>
    </w:div>
    <w:div w:id="1888370627">
      <w:bodyDiv w:val="1"/>
      <w:marLeft w:val="0"/>
      <w:marRight w:val="0"/>
      <w:marTop w:val="0"/>
      <w:marBottom w:val="0"/>
      <w:divBdr>
        <w:top w:val="none" w:sz="0" w:space="0" w:color="auto"/>
        <w:left w:val="none" w:sz="0" w:space="0" w:color="auto"/>
        <w:bottom w:val="none" w:sz="0" w:space="0" w:color="auto"/>
        <w:right w:val="none" w:sz="0" w:space="0" w:color="auto"/>
      </w:divBdr>
    </w:div>
    <w:div w:id="1888370958">
      <w:bodyDiv w:val="1"/>
      <w:marLeft w:val="0"/>
      <w:marRight w:val="0"/>
      <w:marTop w:val="0"/>
      <w:marBottom w:val="0"/>
      <w:divBdr>
        <w:top w:val="none" w:sz="0" w:space="0" w:color="auto"/>
        <w:left w:val="none" w:sz="0" w:space="0" w:color="auto"/>
        <w:bottom w:val="none" w:sz="0" w:space="0" w:color="auto"/>
        <w:right w:val="none" w:sz="0" w:space="0" w:color="auto"/>
      </w:divBdr>
    </w:div>
    <w:div w:id="1888371979">
      <w:bodyDiv w:val="1"/>
      <w:marLeft w:val="0"/>
      <w:marRight w:val="0"/>
      <w:marTop w:val="0"/>
      <w:marBottom w:val="0"/>
      <w:divBdr>
        <w:top w:val="none" w:sz="0" w:space="0" w:color="auto"/>
        <w:left w:val="none" w:sz="0" w:space="0" w:color="auto"/>
        <w:bottom w:val="none" w:sz="0" w:space="0" w:color="auto"/>
        <w:right w:val="none" w:sz="0" w:space="0" w:color="auto"/>
      </w:divBdr>
    </w:div>
    <w:div w:id="1888486710">
      <w:bodyDiv w:val="1"/>
      <w:marLeft w:val="0"/>
      <w:marRight w:val="0"/>
      <w:marTop w:val="0"/>
      <w:marBottom w:val="0"/>
      <w:divBdr>
        <w:top w:val="none" w:sz="0" w:space="0" w:color="auto"/>
        <w:left w:val="none" w:sz="0" w:space="0" w:color="auto"/>
        <w:bottom w:val="none" w:sz="0" w:space="0" w:color="auto"/>
        <w:right w:val="none" w:sz="0" w:space="0" w:color="auto"/>
      </w:divBdr>
    </w:div>
    <w:div w:id="1888567660">
      <w:bodyDiv w:val="1"/>
      <w:marLeft w:val="0"/>
      <w:marRight w:val="0"/>
      <w:marTop w:val="0"/>
      <w:marBottom w:val="0"/>
      <w:divBdr>
        <w:top w:val="none" w:sz="0" w:space="0" w:color="auto"/>
        <w:left w:val="none" w:sz="0" w:space="0" w:color="auto"/>
        <w:bottom w:val="none" w:sz="0" w:space="0" w:color="auto"/>
        <w:right w:val="none" w:sz="0" w:space="0" w:color="auto"/>
      </w:divBdr>
    </w:div>
    <w:div w:id="1888636919">
      <w:bodyDiv w:val="1"/>
      <w:marLeft w:val="0"/>
      <w:marRight w:val="0"/>
      <w:marTop w:val="0"/>
      <w:marBottom w:val="0"/>
      <w:divBdr>
        <w:top w:val="none" w:sz="0" w:space="0" w:color="auto"/>
        <w:left w:val="none" w:sz="0" w:space="0" w:color="auto"/>
        <w:bottom w:val="none" w:sz="0" w:space="0" w:color="auto"/>
        <w:right w:val="none" w:sz="0" w:space="0" w:color="auto"/>
      </w:divBdr>
    </w:div>
    <w:div w:id="1888642033">
      <w:bodyDiv w:val="1"/>
      <w:marLeft w:val="0"/>
      <w:marRight w:val="0"/>
      <w:marTop w:val="0"/>
      <w:marBottom w:val="0"/>
      <w:divBdr>
        <w:top w:val="none" w:sz="0" w:space="0" w:color="auto"/>
        <w:left w:val="none" w:sz="0" w:space="0" w:color="auto"/>
        <w:bottom w:val="none" w:sz="0" w:space="0" w:color="auto"/>
        <w:right w:val="none" w:sz="0" w:space="0" w:color="auto"/>
      </w:divBdr>
    </w:div>
    <w:div w:id="1888760036">
      <w:bodyDiv w:val="1"/>
      <w:marLeft w:val="0"/>
      <w:marRight w:val="0"/>
      <w:marTop w:val="0"/>
      <w:marBottom w:val="0"/>
      <w:divBdr>
        <w:top w:val="none" w:sz="0" w:space="0" w:color="auto"/>
        <w:left w:val="none" w:sz="0" w:space="0" w:color="auto"/>
        <w:bottom w:val="none" w:sz="0" w:space="0" w:color="auto"/>
        <w:right w:val="none" w:sz="0" w:space="0" w:color="auto"/>
      </w:divBdr>
    </w:div>
    <w:div w:id="1888910972">
      <w:bodyDiv w:val="1"/>
      <w:marLeft w:val="0"/>
      <w:marRight w:val="0"/>
      <w:marTop w:val="0"/>
      <w:marBottom w:val="0"/>
      <w:divBdr>
        <w:top w:val="none" w:sz="0" w:space="0" w:color="auto"/>
        <w:left w:val="none" w:sz="0" w:space="0" w:color="auto"/>
        <w:bottom w:val="none" w:sz="0" w:space="0" w:color="auto"/>
        <w:right w:val="none" w:sz="0" w:space="0" w:color="auto"/>
      </w:divBdr>
    </w:div>
    <w:div w:id="1889099013">
      <w:bodyDiv w:val="1"/>
      <w:marLeft w:val="0"/>
      <w:marRight w:val="0"/>
      <w:marTop w:val="0"/>
      <w:marBottom w:val="0"/>
      <w:divBdr>
        <w:top w:val="none" w:sz="0" w:space="0" w:color="auto"/>
        <w:left w:val="none" w:sz="0" w:space="0" w:color="auto"/>
        <w:bottom w:val="none" w:sz="0" w:space="0" w:color="auto"/>
        <w:right w:val="none" w:sz="0" w:space="0" w:color="auto"/>
      </w:divBdr>
    </w:div>
    <w:div w:id="1889101392">
      <w:bodyDiv w:val="1"/>
      <w:marLeft w:val="0"/>
      <w:marRight w:val="0"/>
      <w:marTop w:val="0"/>
      <w:marBottom w:val="0"/>
      <w:divBdr>
        <w:top w:val="none" w:sz="0" w:space="0" w:color="auto"/>
        <w:left w:val="none" w:sz="0" w:space="0" w:color="auto"/>
        <w:bottom w:val="none" w:sz="0" w:space="0" w:color="auto"/>
        <w:right w:val="none" w:sz="0" w:space="0" w:color="auto"/>
      </w:divBdr>
    </w:div>
    <w:div w:id="1889220769">
      <w:bodyDiv w:val="1"/>
      <w:marLeft w:val="0"/>
      <w:marRight w:val="0"/>
      <w:marTop w:val="0"/>
      <w:marBottom w:val="0"/>
      <w:divBdr>
        <w:top w:val="none" w:sz="0" w:space="0" w:color="auto"/>
        <w:left w:val="none" w:sz="0" w:space="0" w:color="auto"/>
        <w:bottom w:val="none" w:sz="0" w:space="0" w:color="auto"/>
        <w:right w:val="none" w:sz="0" w:space="0" w:color="auto"/>
      </w:divBdr>
    </w:div>
    <w:div w:id="1889297010">
      <w:bodyDiv w:val="1"/>
      <w:marLeft w:val="0"/>
      <w:marRight w:val="0"/>
      <w:marTop w:val="0"/>
      <w:marBottom w:val="0"/>
      <w:divBdr>
        <w:top w:val="none" w:sz="0" w:space="0" w:color="auto"/>
        <w:left w:val="none" w:sz="0" w:space="0" w:color="auto"/>
        <w:bottom w:val="none" w:sz="0" w:space="0" w:color="auto"/>
        <w:right w:val="none" w:sz="0" w:space="0" w:color="auto"/>
      </w:divBdr>
    </w:div>
    <w:div w:id="1889339991">
      <w:bodyDiv w:val="1"/>
      <w:marLeft w:val="0"/>
      <w:marRight w:val="0"/>
      <w:marTop w:val="0"/>
      <w:marBottom w:val="0"/>
      <w:divBdr>
        <w:top w:val="none" w:sz="0" w:space="0" w:color="auto"/>
        <w:left w:val="none" w:sz="0" w:space="0" w:color="auto"/>
        <w:bottom w:val="none" w:sz="0" w:space="0" w:color="auto"/>
        <w:right w:val="none" w:sz="0" w:space="0" w:color="auto"/>
      </w:divBdr>
    </w:div>
    <w:div w:id="1889368338">
      <w:bodyDiv w:val="1"/>
      <w:marLeft w:val="0"/>
      <w:marRight w:val="0"/>
      <w:marTop w:val="0"/>
      <w:marBottom w:val="0"/>
      <w:divBdr>
        <w:top w:val="none" w:sz="0" w:space="0" w:color="auto"/>
        <w:left w:val="none" w:sz="0" w:space="0" w:color="auto"/>
        <w:bottom w:val="none" w:sz="0" w:space="0" w:color="auto"/>
        <w:right w:val="none" w:sz="0" w:space="0" w:color="auto"/>
      </w:divBdr>
    </w:div>
    <w:div w:id="1889410927">
      <w:bodyDiv w:val="1"/>
      <w:marLeft w:val="0"/>
      <w:marRight w:val="0"/>
      <w:marTop w:val="0"/>
      <w:marBottom w:val="0"/>
      <w:divBdr>
        <w:top w:val="none" w:sz="0" w:space="0" w:color="auto"/>
        <w:left w:val="none" w:sz="0" w:space="0" w:color="auto"/>
        <w:bottom w:val="none" w:sz="0" w:space="0" w:color="auto"/>
        <w:right w:val="none" w:sz="0" w:space="0" w:color="auto"/>
      </w:divBdr>
    </w:div>
    <w:div w:id="1889755540">
      <w:bodyDiv w:val="1"/>
      <w:marLeft w:val="0"/>
      <w:marRight w:val="0"/>
      <w:marTop w:val="0"/>
      <w:marBottom w:val="0"/>
      <w:divBdr>
        <w:top w:val="none" w:sz="0" w:space="0" w:color="auto"/>
        <w:left w:val="none" w:sz="0" w:space="0" w:color="auto"/>
        <w:bottom w:val="none" w:sz="0" w:space="0" w:color="auto"/>
        <w:right w:val="none" w:sz="0" w:space="0" w:color="auto"/>
      </w:divBdr>
    </w:div>
    <w:div w:id="1889755646">
      <w:bodyDiv w:val="1"/>
      <w:marLeft w:val="0"/>
      <w:marRight w:val="0"/>
      <w:marTop w:val="0"/>
      <w:marBottom w:val="0"/>
      <w:divBdr>
        <w:top w:val="none" w:sz="0" w:space="0" w:color="auto"/>
        <w:left w:val="none" w:sz="0" w:space="0" w:color="auto"/>
        <w:bottom w:val="none" w:sz="0" w:space="0" w:color="auto"/>
        <w:right w:val="none" w:sz="0" w:space="0" w:color="auto"/>
      </w:divBdr>
    </w:div>
    <w:div w:id="1889803973">
      <w:bodyDiv w:val="1"/>
      <w:marLeft w:val="0"/>
      <w:marRight w:val="0"/>
      <w:marTop w:val="0"/>
      <w:marBottom w:val="0"/>
      <w:divBdr>
        <w:top w:val="none" w:sz="0" w:space="0" w:color="auto"/>
        <w:left w:val="none" w:sz="0" w:space="0" w:color="auto"/>
        <w:bottom w:val="none" w:sz="0" w:space="0" w:color="auto"/>
        <w:right w:val="none" w:sz="0" w:space="0" w:color="auto"/>
      </w:divBdr>
    </w:div>
    <w:div w:id="1889804591">
      <w:bodyDiv w:val="1"/>
      <w:marLeft w:val="0"/>
      <w:marRight w:val="0"/>
      <w:marTop w:val="0"/>
      <w:marBottom w:val="0"/>
      <w:divBdr>
        <w:top w:val="none" w:sz="0" w:space="0" w:color="auto"/>
        <w:left w:val="none" w:sz="0" w:space="0" w:color="auto"/>
        <w:bottom w:val="none" w:sz="0" w:space="0" w:color="auto"/>
        <w:right w:val="none" w:sz="0" w:space="0" w:color="auto"/>
      </w:divBdr>
    </w:div>
    <w:div w:id="1889878132">
      <w:bodyDiv w:val="1"/>
      <w:marLeft w:val="0"/>
      <w:marRight w:val="0"/>
      <w:marTop w:val="0"/>
      <w:marBottom w:val="0"/>
      <w:divBdr>
        <w:top w:val="none" w:sz="0" w:space="0" w:color="auto"/>
        <w:left w:val="none" w:sz="0" w:space="0" w:color="auto"/>
        <w:bottom w:val="none" w:sz="0" w:space="0" w:color="auto"/>
        <w:right w:val="none" w:sz="0" w:space="0" w:color="auto"/>
      </w:divBdr>
    </w:div>
    <w:div w:id="1889878453">
      <w:bodyDiv w:val="1"/>
      <w:marLeft w:val="0"/>
      <w:marRight w:val="0"/>
      <w:marTop w:val="0"/>
      <w:marBottom w:val="0"/>
      <w:divBdr>
        <w:top w:val="none" w:sz="0" w:space="0" w:color="auto"/>
        <w:left w:val="none" w:sz="0" w:space="0" w:color="auto"/>
        <w:bottom w:val="none" w:sz="0" w:space="0" w:color="auto"/>
        <w:right w:val="none" w:sz="0" w:space="0" w:color="auto"/>
      </w:divBdr>
    </w:div>
    <w:div w:id="1889950078">
      <w:bodyDiv w:val="1"/>
      <w:marLeft w:val="0"/>
      <w:marRight w:val="0"/>
      <w:marTop w:val="0"/>
      <w:marBottom w:val="0"/>
      <w:divBdr>
        <w:top w:val="none" w:sz="0" w:space="0" w:color="auto"/>
        <w:left w:val="none" w:sz="0" w:space="0" w:color="auto"/>
        <w:bottom w:val="none" w:sz="0" w:space="0" w:color="auto"/>
        <w:right w:val="none" w:sz="0" w:space="0" w:color="auto"/>
      </w:divBdr>
    </w:div>
    <w:div w:id="1889952651">
      <w:bodyDiv w:val="1"/>
      <w:marLeft w:val="0"/>
      <w:marRight w:val="0"/>
      <w:marTop w:val="0"/>
      <w:marBottom w:val="0"/>
      <w:divBdr>
        <w:top w:val="none" w:sz="0" w:space="0" w:color="auto"/>
        <w:left w:val="none" w:sz="0" w:space="0" w:color="auto"/>
        <w:bottom w:val="none" w:sz="0" w:space="0" w:color="auto"/>
        <w:right w:val="none" w:sz="0" w:space="0" w:color="auto"/>
      </w:divBdr>
    </w:div>
    <w:div w:id="1889953310">
      <w:bodyDiv w:val="1"/>
      <w:marLeft w:val="0"/>
      <w:marRight w:val="0"/>
      <w:marTop w:val="0"/>
      <w:marBottom w:val="0"/>
      <w:divBdr>
        <w:top w:val="none" w:sz="0" w:space="0" w:color="auto"/>
        <w:left w:val="none" w:sz="0" w:space="0" w:color="auto"/>
        <w:bottom w:val="none" w:sz="0" w:space="0" w:color="auto"/>
        <w:right w:val="none" w:sz="0" w:space="0" w:color="auto"/>
      </w:divBdr>
    </w:div>
    <w:div w:id="1890190018">
      <w:bodyDiv w:val="1"/>
      <w:marLeft w:val="0"/>
      <w:marRight w:val="0"/>
      <w:marTop w:val="0"/>
      <w:marBottom w:val="0"/>
      <w:divBdr>
        <w:top w:val="none" w:sz="0" w:space="0" w:color="auto"/>
        <w:left w:val="none" w:sz="0" w:space="0" w:color="auto"/>
        <w:bottom w:val="none" w:sz="0" w:space="0" w:color="auto"/>
        <w:right w:val="none" w:sz="0" w:space="0" w:color="auto"/>
      </w:divBdr>
    </w:div>
    <w:div w:id="1890259326">
      <w:bodyDiv w:val="1"/>
      <w:marLeft w:val="0"/>
      <w:marRight w:val="0"/>
      <w:marTop w:val="0"/>
      <w:marBottom w:val="0"/>
      <w:divBdr>
        <w:top w:val="none" w:sz="0" w:space="0" w:color="auto"/>
        <w:left w:val="none" w:sz="0" w:space="0" w:color="auto"/>
        <w:bottom w:val="none" w:sz="0" w:space="0" w:color="auto"/>
        <w:right w:val="none" w:sz="0" w:space="0" w:color="auto"/>
      </w:divBdr>
    </w:div>
    <w:div w:id="1890333654">
      <w:bodyDiv w:val="1"/>
      <w:marLeft w:val="0"/>
      <w:marRight w:val="0"/>
      <w:marTop w:val="0"/>
      <w:marBottom w:val="0"/>
      <w:divBdr>
        <w:top w:val="none" w:sz="0" w:space="0" w:color="auto"/>
        <w:left w:val="none" w:sz="0" w:space="0" w:color="auto"/>
        <w:bottom w:val="none" w:sz="0" w:space="0" w:color="auto"/>
        <w:right w:val="none" w:sz="0" w:space="0" w:color="auto"/>
      </w:divBdr>
    </w:div>
    <w:div w:id="1890411567">
      <w:bodyDiv w:val="1"/>
      <w:marLeft w:val="0"/>
      <w:marRight w:val="0"/>
      <w:marTop w:val="0"/>
      <w:marBottom w:val="0"/>
      <w:divBdr>
        <w:top w:val="none" w:sz="0" w:space="0" w:color="auto"/>
        <w:left w:val="none" w:sz="0" w:space="0" w:color="auto"/>
        <w:bottom w:val="none" w:sz="0" w:space="0" w:color="auto"/>
        <w:right w:val="none" w:sz="0" w:space="0" w:color="auto"/>
      </w:divBdr>
    </w:div>
    <w:div w:id="1890417329">
      <w:bodyDiv w:val="1"/>
      <w:marLeft w:val="0"/>
      <w:marRight w:val="0"/>
      <w:marTop w:val="0"/>
      <w:marBottom w:val="0"/>
      <w:divBdr>
        <w:top w:val="none" w:sz="0" w:space="0" w:color="auto"/>
        <w:left w:val="none" w:sz="0" w:space="0" w:color="auto"/>
        <w:bottom w:val="none" w:sz="0" w:space="0" w:color="auto"/>
        <w:right w:val="none" w:sz="0" w:space="0" w:color="auto"/>
      </w:divBdr>
    </w:div>
    <w:div w:id="1890610587">
      <w:bodyDiv w:val="1"/>
      <w:marLeft w:val="0"/>
      <w:marRight w:val="0"/>
      <w:marTop w:val="0"/>
      <w:marBottom w:val="0"/>
      <w:divBdr>
        <w:top w:val="none" w:sz="0" w:space="0" w:color="auto"/>
        <w:left w:val="none" w:sz="0" w:space="0" w:color="auto"/>
        <w:bottom w:val="none" w:sz="0" w:space="0" w:color="auto"/>
        <w:right w:val="none" w:sz="0" w:space="0" w:color="auto"/>
      </w:divBdr>
    </w:div>
    <w:div w:id="1890721482">
      <w:bodyDiv w:val="1"/>
      <w:marLeft w:val="0"/>
      <w:marRight w:val="0"/>
      <w:marTop w:val="0"/>
      <w:marBottom w:val="0"/>
      <w:divBdr>
        <w:top w:val="none" w:sz="0" w:space="0" w:color="auto"/>
        <w:left w:val="none" w:sz="0" w:space="0" w:color="auto"/>
        <w:bottom w:val="none" w:sz="0" w:space="0" w:color="auto"/>
        <w:right w:val="none" w:sz="0" w:space="0" w:color="auto"/>
      </w:divBdr>
    </w:div>
    <w:div w:id="1890726210">
      <w:bodyDiv w:val="1"/>
      <w:marLeft w:val="0"/>
      <w:marRight w:val="0"/>
      <w:marTop w:val="0"/>
      <w:marBottom w:val="0"/>
      <w:divBdr>
        <w:top w:val="none" w:sz="0" w:space="0" w:color="auto"/>
        <w:left w:val="none" w:sz="0" w:space="0" w:color="auto"/>
        <w:bottom w:val="none" w:sz="0" w:space="0" w:color="auto"/>
        <w:right w:val="none" w:sz="0" w:space="0" w:color="auto"/>
      </w:divBdr>
    </w:div>
    <w:div w:id="1890729321">
      <w:bodyDiv w:val="1"/>
      <w:marLeft w:val="0"/>
      <w:marRight w:val="0"/>
      <w:marTop w:val="0"/>
      <w:marBottom w:val="0"/>
      <w:divBdr>
        <w:top w:val="none" w:sz="0" w:space="0" w:color="auto"/>
        <w:left w:val="none" w:sz="0" w:space="0" w:color="auto"/>
        <w:bottom w:val="none" w:sz="0" w:space="0" w:color="auto"/>
        <w:right w:val="none" w:sz="0" w:space="0" w:color="auto"/>
      </w:divBdr>
    </w:div>
    <w:div w:id="1890795800">
      <w:bodyDiv w:val="1"/>
      <w:marLeft w:val="0"/>
      <w:marRight w:val="0"/>
      <w:marTop w:val="0"/>
      <w:marBottom w:val="0"/>
      <w:divBdr>
        <w:top w:val="none" w:sz="0" w:space="0" w:color="auto"/>
        <w:left w:val="none" w:sz="0" w:space="0" w:color="auto"/>
        <w:bottom w:val="none" w:sz="0" w:space="0" w:color="auto"/>
        <w:right w:val="none" w:sz="0" w:space="0" w:color="auto"/>
      </w:divBdr>
    </w:div>
    <w:div w:id="1890796774">
      <w:bodyDiv w:val="1"/>
      <w:marLeft w:val="0"/>
      <w:marRight w:val="0"/>
      <w:marTop w:val="0"/>
      <w:marBottom w:val="0"/>
      <w:divBdr>
        <w:top w:val="none" w:sz="0" w:space="0" w:color="auto"/>
        <w:left w:val="none" w:sz="0" w:space="0" w:color="auto"/>
        <w:bottom w:val="none" w:sz="0" w:space="0" w:color="auto"/>
        <w:right w:val="none" w:sz="0" w:space="0" w:color="auto"/>
      </w:divBdr>
    </w:div>
    <w:div w:id="1890797512">
      <w:bodyDiv w:val="1"/>
      <w:marLeft w:val="0"/>
      <w:marRight w:val="0"/>
      <w:marTop w:val="0"/>
      <w:marBottom w:val="0"/>
      <w:divBdr>
        <w:top w:val="none" w:sz="0" w:space="0" w:color="auto"/>
        <w:left w:val="none" w:sz="0" w:space="0" w:color="auto"/>
        <w:bottom w:val="none" w:sz="0" w:space="0" w:color="auto"/>
        <w:right w:val="none" w:sz="0" w:space="0" w:color="auto"/>
      </w:divBdr>
    </w:div>
    <w:div w:id="1890798649">
      <w:bodyDiv w:val="1"/>
      <w:marLeft w:val="0"/>
      <w:marRight w:val="0"/>
      <w:marTop w:val="0"/>
      <w:marBottom w:val="0"/>
      <w:divBdr>
        <w:top w:val="none" w:sz="0" w:space="0" w:color="auto"/>
        <w:left w:val="none" w:sz="0" w:space="0" w:color="auto"/>
        <w:bottom w:val="none" w:sz="0" w:space="0" w:color="auto"/>
        <w:right w:val="none" w:sz="0" w:space="0" w:color="auto"/>
      </w:divBdr>
    </w:div>
    <w:div w:id="1890845768">
      <w:bodyDiv w:val="1"/>
      <w:marLeft w:val="0"/>
      <w:marRight w:val="0"/>
      <w:marTop w:val="0"/>
      <w:marBottom w:val="0"/>
      <w:divBdr>
        <w:top w:val="none" w:sz="0" w:space="0" w:color="auto"/>
        <w:left w:val="none" w:sz="0" w:space="0" w:color="auto"/>
        <w:bottom w:val="none" w:sz="0" w:space="0" w:color="auto"/>
        <w:right w:val="none" w:sz="0" w:space="0" w:color="auto"/>
      </w:divBdr>
    </w:div>
    <w:div w:id="1890922247">
      <w:bodyDiv w:val="1"/>
      <w:marLeft w:val="0"/>
      <w:marRight w:val="0"/>
      <w:marTop w:val="0"/>
      <w:marBottom w:val="0"/>
      <w:divBdr>
        <w:top w:val="none" w:sz="0" w:space="0" w:color="auto"/>
        <w:left w:val="none" w:sz="0" w:space="0" w:color="auto"/>
        <w:bottom w:val="none" w:sz="0" w:space="0" w:color="auto"/>
        <w:right w:val="none" w:sz="0" w:space="0" w:color="auto"/>
      </w:divBdr>
    </w:div>
    <w:div w:id="1891067711">
      <w:bodyDiv w:val="1"/>
      <w:marLeft w:val="0"/>
      <w:marRight w:val="0"/>
      <w:marTop w:val="0"/>
      <w:marBottom w:val="0"/>
      <w:divBdr>
        <w:top w:val="none" w:sz="0" w:space="0" w:color="auto"/>
        <w:left w:val="none" w:sz="0" w:space="0" w:color="auto"/>
        <w:bottom w:val="none" w:sz="0" w:space="0" w:color="auto"/>
        <w:right w:val="none" w:sz="0" w:space="0" w:color="auto"/>
      </w:divBdr>
    </w:div>
    <w:div w:id="1891185099">
      <w:bodyDiv w:val="1"/>
      <w:marLeft w:val="0"/>
      <w:marRight w:val="0"/>
      <w:marTop w:val="0"/>
      <w:marBottom w:val="0"/>
      <w:divBdr>
        <w:top w:val="none" w:sz="0" w:space="0" w:color="auto"/>
        <w:left w:val="none" w:sz="0" w:space="0" w:color="auto"/>
        <w:bottom w:val="none" w:sz="0" w:space="0" w:color="auto"/>
        <w:right w:val="none" w:sz="0" w:space="0" w:color="auto"/>
      </w:divBdr>
    </w:div>
    <w:div w:id="1891308893">
      <w:bodyDiv w:val="1"/>
      <w:marLeft w:val="0"/>
      <w:marRight w:val="0"/>
      <w:marTop w:val="0"/>
      <w:marBottom w:val="0"/>
      <w:divBdr>
        <w:top w:val="none" w:sz="0" w:space="0" w:color="auto"/>
        <w:left w:val="none" w:sz="0" w:space="0" w:color="auto"/>
        <w:bottom w:val="none" w:sz="0" w:space="0" w:color="auto"/>
        <w:right w:val="none" w:sz="0" w:space="0" w:color="auto"/>
      </w:divBdr>
    </w:div>
    <w:div w:id="1891719447">
      <w:bodyDiv w:val="1"/>
      <w:marLeft w:val="0"/>
      <w:marRight w:val="0"/>
      <w:marTop w:val="0"/>
      <w:marBottom w:val="0"/>
      <w:divBdr>
        <w:top w:val="none" w:sz="0" w:space="0" w:color="auto"/>
        <w:left w:val="none" w:sz="0" w:space="0" w:color="auto"/>
        <w:bottom w:val="none" w:sz="0" w:space="0" w:color="auto"/>
        <w:right w:val="none" w:sz="0" w:space="0" w:color="auto"/>
      </w:divBdr>
    </w:div>
    <w:div w:id="1891723512">
      <w:bodyDiv w:val="1"/>
      <w:marLeft w:val="0"/>
      <w:marRight w:val="0"/>
      <w:marTop w:val="0"/>
      <w:marBottom w:val="0"/>
      <w:divBdr>
        <w:top w:val="none" w:sz="0" w:space="0" w:color="auto"/>
        <w:left w:val="none" w:sz="0" w:space="0" w:color="auto"/>
        <w:bottom w:val="none" w:sz="0" w:space="0" w:color="auto"/>
        <w:right w:val="none" w:sz="0" w:space="0" w:color="auto"/>
      </w:divBdr>
    </w:div>
    <w:div w:id="1891771015">
      <w:bodyDiv w:val="1"/>
      <w:marLeft w:val="0"/>
      <w:marRight w:val="0"/>
      <w:marTop w:val="0"/>
      <w:marBottom w:val="0"/>
      <w:divBdr>
        <w:top w:val="none" w:sz="0" w:space="0" w:color="auto"/>
        <w:left w:val="none" w:sz="0" w:space="0" w:color="auto"/>
        <w:bottom w:val="none" w:sz="0" w:space="0" w:color="auto"/>
        <w:right w:val="none" w:sz="0" w:space="0" w:color="auto"/>
      </w:divBdr>
    </w:div>
    <w:div w:id="1891959596">
      <w:bodyDiv w:val="1"/>
      <w:marLeft w:val="0"/>
      <w:marRight w:val="0"/>
      <w:marTop w:val="0"/>
      <w:marBottom w:val="0"/>
      <w:divBdr>
        <w:top w:val="none" w:sz="0" w:space="0" w:color="auto"/>
        <w:left w:val="none" w:sz="0" w:space="0" w:color="auto"/>
        <w:bottom w:val="none" w:sz="0" w:space="0" w:color="auto"/>
        <w:right w:val="none" w:sz="0" w:space="0" w:color="auto"/>
      </w:divBdr>
    </w:div>
    <w:div w:id="1891990166">
      <w:bodyDiv w:val="1"/>
      <w:marLeft w:val="0"/>
      <w:marRight w:val="0"/>
      <w:marTop w:val="0"/>
      <w:marBottom w:val="0"/>
      <w:divBdr>
        <w:top w:val="none" w:sz="0" w:space="0" w:color="auto"/>
        <w:left w:val="none" w:sz="0" w:space="0" w:color="auto"/>
        <w:bottom w:val="none" w:sz="0" w:space="0" w:color="auto"/>
        <w:right w:val="none" w:sz="0" w:space="0" w:color="auto"/>
      </w:divBdr>
    </w:div>
    <w:div w:id="1892032286">
      <w:bodyDiv w:val="1"/>
      <w:marLeft w:val="0"/>
      <w:marRight w:val="0"/>
      <w:marTop w:val="0"/>
      <w:marBottom w:val="0"/>
      <w:divBdr>
        <w:top w:val="none" w:sz="0" w:space="0" w:color="auto"/>
        <w:left w:val="none" w:sz="0" w:space="0" w:color="auto"/>
        <w:bottom w:val="none" w:sz="0" w:space="0" w:color="auto"/>
        <w:right w:val="none" w:sz="0" w:space="0" w:color="auto"/>
      </w:divBdr>
    </w:div>
    <w:div w:id="1892108580">
      <w:bodyDiv w:val="1"/>
      <w:marLeft w:val="0"/>
      <w:marRight w:val="0"/>
      <w:marTop w:val="0"/>
      <w:marBottom w:val="0"/>
      <w:divBdr>
        <w:top w:val="none" w:sz="0" w:space="0" w:color="auto"/>
        <w:left w:val="none" w:sz="0" w:space="0" w:color="auto"/>
        <w:bottom w:val="none" w:sz="0" w:space="0" w:color="auto"/>
        <w:right w:val="none" w:sz="0" w:space="0" w:color="auto"/>
      </w:divBdr>
    </w:div>
    <w:div w:id="1892305749">
      <w:bodyDiv w:val="1"/>
      <w:marLeft w:val="0"/>
      <w:marRight w:val="0"/>
      <w:marTop w:val="0"/>
      <w:marBottom w:val="0"/>
      <w:divBdr>
        <w:top w:val="none" w:sz="0" w:space="0" w:color="auto"/>
        <w:left w:val="none" w:sz="0" w:space="0" w:color="auto"/>
        <w:bottom w:val="none" w:sz="0" w:space="0" w:color="auto"/>
        <w:right w:val="none" w:sz="0" w:space="0" w:color="auto"/>
      </w:divBdr>
    </w:div>
    <w:div w:id="1892423961">
      <w:bodyDiv w:val="1"/>
      <w:marLeft w:val="0"/>
      <w:marRight w:val="0"/>
      <w:marTop w:val="0"/>
      <w:marBottom w:val="0"/>
      <w:divBdr>
        <w:top w:val="none" w:sz="0" w:space="0" w:color="auto"/>
        <w:left w:val="none" w:sz="0" w:space="0" w:color="auto"/>
        <w:bottom w:val="none" w:sz="0" w:space="0" w:color="auto"/>
        <w:right w:val="none" w:sz="0" w:space="0" w:color="auto"/>
      </w:divBdr>
    </w:div>
    <w:div w:id="1892767607">
      <w:bodyDiv w:val="1"/>
      <w:marLeft w:val="0"/>
      <w:marRight w:val="0"/>
      <w:marTop w:val="0"/>
      <w:marBottom w:val="0"/>
      <w:divBdr>
        <w:top w:val="none" w:sz="0" w:space="0" w:color="auto"/>
        <w:left w:val="none" w:sz="0" w:space="0" w:color="auto"/>
        <w:bottom w:val="none" w:sz="0" w:space="0" w:color="auto"/>
        <w:right w:val="none" w:sz="0" w:space="0" w:color="auto"/>
      </w:divBdr>
    </w:div>
    <w:div w:id="1892840413">
      <w:bodyDiv w:val="1"/>
      <w:marLeft w:val="0"/>
      <w:marRight w:val="0"/>
      <w:marTop w:val="0"/>
      <w:marBottom w:val="0"/>
      <w:divBdr>
        <w:top w:val="none" w:sz="0" w:space="0" w:color="auto"/>
        <w:left w:val="none" w:sz="0" w:space="0" w:color="auto"/>
        <w:bottom w:val="none" w:sz="0" w:space="0" w:color="auto"/>
        <w:right w:val="none" w:sz="0" w:space="0" w:color="auto"/>
      </w:divBdr>
    </w:div>
    <w:div w:id="1892883207">
      <w:bodyDiv w:val="1"/>
      <w:marLeft w:val="0"/>
      <w:marRight w:val="0"/>
      <w:marTop w:val="0"/>
      <w:marBottom w:val="0"/>
      <w:divBdr>
        <w:top w:val="none" w:sz="0" w:space="0" w:color="auto"/>
        <w:left w:val="none" w:sz="0" w:space="0" w:color="auto"/>
        <w:bottom w:val="none" w:sz="0" w:space="0" w:color="auto"/>
        <w:right w:val="none" w:sz="0" w:space="0" w:color="auto"/>
      </w:divBdr>
    </w:div>
    <w:div w:id="1892964355">
      <w:bodyDiv w:val="1"/>
      <w:marLeft w:val="0"/>
      <w:marRight w:val="0"/>
      <w:marTop w:val="0"/>
      <w:marBottom w:val="0"/>
      <w:divBdr>
        <w:top w:val="none" w:sz="0" w:space="0" w:color="auto"/>
        <w:left w:val="none" w:sz="0" w:space="0" w:color="auto"/>
        <w:bottom w:val="none" w:sz="0" w:space="0" w:color="auto"/>
        <w:right w:val="none" w:sz="0" w:space="0" w:color="auto"/>
      </w:divBdr>
    </w:div>
    <w:div w:id="1893035833">
      <w:bodyDiv w:val="1"/>
      <w:marLeft w:val="0"/>
      <w:marRight w:val="0"/>
      <w:marTop w:val="0"/>
      <w:marBottom w:val="0"/>
      <w:divBdr>
        <w:top w:val="none" w:sz="0" w:space="0" w:color="auto"/>
        <w:left w:val="none" w:sz="0" w:space="0" w:color="auto"/>
        <w:bottom w:val="none" w:sz="0" w:space="0" w:color="auto"/>
        <w:right w:val="none" w:sz="0" w:space="0" w:color="auto"/>
      </w:divBdr>
    </w:div>
    <w:div w:id="1893075973">
      <w:bodyDiv w:val="1"/>
      <w:marLeft w:val="0"/>
      <w:marRight w:val="0"/>
      <w:marTop w:val="0"/>
      <w:marBottom w:val="0"/>
      <w:divBdr>
        <w:top w:val="none" w:sz="0" w:space="0" w:color="auto"/>
        <w:left w:val="none" w:sz="0" w:space="0" w:color="auto"/>
        <w:bottom w:val="none" w:sz="0" w:space="0" w:color="auto"/>
        <w:right w:val="none" w:sz="0" w:space="0" w:color="auto"/>
      </w:divBdr>
    </w:div>
    <w:div w:id="1893081195">
      <w:bodyDiv w:val="1"/>
      <w:marLeft w:val="0"/>
      <w:marRight w:val="0"/>
      <w:marTop w:val="0"/>
      <w:marBottom w:val="0"/>
      <w:divBdr>
        <w:top w:val="none" w:sz="0" w:space="0" w:color="auto"/>
        <w:left w:val="none" w:sz="0" w:space="0" w:color="auto"/>
        <w:bottom w:val="none" w:sz="0" w:space="0" w:color="auto"/>
        <w:right w:val="none" w:sz="0" w:space="0" w:color="auto"/>
      </w:divBdr>
    </w:div>
    <w:div w:id="1893150758">
      <w:bodyDiv w:val="1"/>
      <w:marLeft w:val="0"/>
      <w:marRight w:val="0"/>
      <w:marTop w:val="0"/>
      <w:marBottom w:val="0"/>
      <w:divBdr>
        <w:top w:val="none" w:sz="0" w:space="0" w:color="auto"/>
        <w:left w:val="none" w:sz="0" w:space="0" w:color="auto"/>
        <w:bottom w:val="none" w:sz="0" w:space="0" w:color="auto"/>
        <w:right w:val="none" w:sz="0" w:space="0" w:color="auto"/>
      </w:divBdr>
    </w:div>
    <w:div w:id="1893151287">
      <w:bodyDiv w:val="1"/>
      <w:marLeft w:val="0"/>
      <w:marRight w:val="0"/>
      <w:marTop w:val="0"/>
      <w:marBottom w:val="0"/>
      <w:divBdr>
        <w:top w:val="none" w:sz="0" w:space="0" w:color="auto"/>
        <w:left w:val="none" w:sz="0" w:space="0" w:color="auto"/>
        <w:bottom w:val="none" w:sz="0" w:space="0" w:color="auto"/>
        <w:right w:val="none" w:sz="0" w:space="0" w:color="auto"/>
      </w:divBdr>
    </w:div>
    <w:div w:id="1893154231">
      <w:bodyDiv w:val="1"/>
      <w:marLeft w:val="0"/>
      <w:marRight w:val="0"/>
      <w:marTop w:val="0"/>
      <w:marBottom w:val="0"/>
      <w:divBdr>
        <w:top w:val="none" w:sz="0" w:space="0" w:color="auto"/>
        <w:left w:val="none" w:sz="0" w:space="0" w:color="auto"/>
        <w:bottom w:val="none" w:sz="0" w:space="0" w:color="auto"/>
        <w:right w:val="none" w:sz="0" w:space="0" w:color="auto"/>
      </w:divBdr>
    </w:div>
    <w:div w:id="1893154238">
      <w:bodyDiv w:val="1"/>
      <w:marLeft w:val="0"/>
      <w:marRight w:val="0"/>
      <w:marTop w:val="0"/>
      <w:marBottom w:val="0"/>
      <w:divBdr>
        <w:top w:val="none" w:sz="0" w:space="0" w:color="auto"/>
        <w:left w:val="none" w:sz="0" w:space="0" w:color="auto"/>
        <w:bottom w:val="none" w:sz="0" w:space="0" w:color="auto"/>
        <w:right w:val="none" w:sz="0" w:space="0" w:color="auto"/>
      </w:divBdr>
    </w:div>
    <w:div w:id="1893229930">
      <w:bodyDiv w:val="1"/>
      <w:marLeft w:val="0"/>
      <w:marRight w:val="0"/>
      <w:marTop w:val="0"/>
      <w:marBottom w:val="0"/>
      <w:divBdr>
        <w:top w:val="none" w:sz="0" w:space="0" w:color="auto"/>
        <w:left w:val="none" w:sz="0" w:space="0" w:color="auto"/>
        <w:bottom w:val="none" w:sz="0" w:space="0" w:color="auto"/>
        <w:right w:val="none" w:sz="0" w:space="0" w:color="auto"/>
      </w:divBdr>
    </w:div>
    <w:div w:id="1893422143">
      <w:bodyDiv w:val="1"/>
      <w:marLeft w:val="0"/>
      <w:marRight w:val="0"/>
      <w:marTop w:val="0"/>
      <w:marBottom w:val="0"/>
      <w:divBdr>
        <w:top w:val="none" w:sz="0" w:space="0" w:color="auto"/>
        <w:left w:val="none" w:sz="0" w:space="0" w:color="auto"/>
        <w:bottom w:val="none" w:sz="0" w:space="0" w:color="auto"/>
        <w:right w:val="none" w:sz="0" w:space="0" w:color="auto"/>
      </w:divBdr>
    </w:div>
    <w:div w:id="1893467817">
      <w:bodyDiv w:val="1"/>
      <w:marLeft w:val="0"/>
      <w:marRight w:val="0"/>
      <w:marTop w:val="0"/>
      <w:marBottom w:val="0"/>
      <w:divBdr>
        <w:top w:val="none" w:sz="0" w:space="0" w:color="auto"/>
        <w:left w:val="none" w:sz="0" w:space="0" w:color="auto"/>
        <w:bottom w:val="none" w:sz="0" w:space="0" w:color="auto"/>
        <w:right w:val="none" w:sz="0" w:space="0" w:color="auto"/>
      </w:divBdr>
    </w:div>
    <w:div w:id="1893492709">
      <w:bodyDiv w:val="1"/>
      <w:marLeft w:val="0"/>
      <w:marRight w:val="0"/>
      <w:marTop w:val="0"/>
      <w:marBottom w:val="0"/>
      <w:divBdr>
        <w:top w:val="none" w:sz="0" w:space="0" w:color="auto"/>
        <w:left w:val="none" w:sz="0" w:space="0" w:color="auto"/>
        <w:bottom w:val="none" w:sz="0" w:space="0" w:color="auto"/>
        <w:right w:val="none" w:sz="0" w:space="0" w:color="auto"/>
      </w:divBdr>
    </w:div>
    <w:div w:id="1893497196">
      <w:bodyDiv w:val="1"/>
      <w:marLeft w:val="0"/>
      <w:marRight w:val="0"/>
      <w:marTop w:val="0"/>
      <w:marBottom w:val="0"/>
      <w:divBdr>
        <w:top w:val="none" w:sz="0" w:space="0" w:color="auto"/>
        <w:left w:val="none" w:sz="0" w:space="0" w:color="auto"/>
        <w:bottom w:val="none" w:sz="0" w:space="0" w:color="auto"/>
        <w:right w:val="none" w:sz="0" w:space="0" w:color="auto"/>
      </w:divBdr>
    </w:div>
    <w:div w:id="1893538234">
      <w:bodyDiv w:val="1"/>
      <w:marLeft w:val="0"/>
      <w:marRight w:val="0"/>
      <w:marTop w:val="0"/>
      <w:marBottom w:val="0"/>
      <w:divBdr>
        <w:top w:val="none" w:sz="0" w:space="0" w:color="auto"/>
        <w:left w:val="none" w:sz="0" w:space="0" w:color="auto"/>
        <w:bottom w:val="none" w:sz="0" w:space="0" w:color="auto"/>
        <w:right w:val="none" w:sz="0" w:space="0" w:color="auto"/>
      </w:divBdr>
    </w:div>
    <w:div w:id="1893541345">
      <w:bodyDiv w:val="1"/>
      <w:marLeft w:val="0"/>
      <w:marRight w:val="0"/>
      <w:marTop w:val="0"/>
      <w:marBottom w:val="0"/>
      <w:divBdr>
        <w:top w:val="none" w:sz="0" w:space="0" w:color="auto"/>
        <w:left w:val="none" w:sz="0" w:space="0" w:color="auto"/>
        <w:bottom w:val="none" w:sz="0" w:space="0" w:color="auto"/>
        <w:right w:val="none" w:sz="0" w:space="0" w:color="auto"/>
      </w:divBdr>
    </w:div>
    <w:div w:id="1893543466">
      <w:bodyDiv w:val="1"/>
      <w:marLeft w:val="0"/>
      <w:marRight w:val="0"/>
      <w:marTop w:val="0"/>
      <w:marBottom w:val="0"/>
      <w:divBdr>
        <w:top w:val="none" w:sz="0" w:space="0" w:color="auto"/>
        <w:left w:val="none" w:sz="0" w:space="0" w:color="auto"/>
        <w:bottom w:val="none" w:sz="0" w:space="0" w:color="auto"/>
        <w:right w:val="none" w:sz="0" w:space="0" w:color="auto"/>
      </w:divBdr>
    </w:div>
    <w:div w:id="1893543938">
      <w:bodyDiv w:val="1"/>
      <w:marLeft w:val="0"/>
      <w:marRight w:val="0"/>
      <w:marTop w:val="0"/>
      <w:marBottom w:val="0"/>
      <w:divBdr>
        <w:top w:val="none" w:sz="0" w:space="0" w:color="auto"/>
        <w:left w:val="none" w:sz="0" w:space="0" w:color="auto"/>
        <w:bottom w:val="none" w:sz="0" w:space="0" w:color="auto"/>
        <w:right w:val="none" w:sz="0" w:space="0" w:color="auto"/>
      </w:divBdr>
    </w:div>
    <w:div w:id="1893611571">
      <w:bodyDiv w:val="1"/>
      <w:marLeft w:val="0"/>
      <w:marRight w:val="0"/>
      <w:marTop w:val="0"/>
      <w:marBottom w:val="0"/>
      <w:divBdr>
        <w:top w:val="none" w:sz="0" w:space="0" w:color="auto"/>
        <w:left w:val="none" w:sz="0" w:space="0" w:color="auto"/>
        <w:bottom w:val="none" w:sz="0" w:space="0" w:color="auto"/>
        <w:right w:val="none" w:sz="0" w:space="0" w:color="auto"/>
      </w:divBdr>
    </w:div>
    <w:div w:id="1893689101">
      <w:bodyDiv w:val="1"/>
      <w:marLeft w:val="0"/>
      <w:marRight w:val="0"/>
      <w:marTop w:val="0"/>
      <w:marBottom w:val="0"/>
      <w:divBdr>
        <w:top w:val="none" w:sz="0" w:space="0" w:color="auto"/>
        <w:left w:val="none" w:sz="0" w:space="0" w:color="auto"/>
        <w:bottom w:val="none" w:sz="0" w:space="0" w:color="auto"/>
        <w:right w:val="none" w:sz="0" w:space="0" w:color="auto"/>
      </w:divBdr>
    </w:div>
    <w:div w:id="1893690707">
      <w:bodyDiv w:val="1"/>
      <w:marLeft w:val="0"/>
      <w:marRight w:val="0"/>
      <w:marTop w:val="0"/>
      <w:marBottom w:val="0"/>
      <w:divBdr>
        <w:top w:val="none" w:sz="0" w:space="0" w:color="auto"/>
        <w:left w:val="none" w:sz="0" w:space="0" w:color="auto"/>
        <w:bottom w:val="none" w:sz="0" w:space="0" w:color="auto"/>
        <w:right w:val="none" w:sz="0" w:space="0" w:color="auto"/>
      </w:divBdr>
    </w:div>
    <w:div w:id="1893885256">
      <w:bodyDiv w:val="1"/>
      <w:marLeft w:val="0"/>
      <w:marRight w:val="0"/>
      <w:marTop w:val="0"/>
      <w:marBottom w:val="0"/>
      <w:divBdr>
        <w:top w:val="none" w:sz="0" w:space="0" w:color="auto"/>
        <w:left w:val="none" w:sz="0" w:space="0" w:color="auto"/>
        <w:bottom w:val="none" w:sz="0" w:space="0" w:color="auto"/>
        <w:right w:val="none" w:sz="0" w:space="0" w:color="auto"/>
      </w:divBdr>
    </w:div>
    <w:div w:id="1893955364">
      <w:bodyDiv w:val="1"/>
      <w:marLeft w:val="0"/>
      <w:marRight w:val="0"/>
      <w:marTop w:val="0"/>
      <w:marBottom w:val="0"/>
      <w:divBdr>
        <w:top w:val="none" w:sz="0" w:space="0" w:color="auto"/>
        <w:left w:val="none" w:sz="0" w:space="0" w:color="auto"/>
        <w:bottom w:val="none" w:sz="0" w:space="0" w:color="auto"/>
        <w:right w:val="none" w:sz="0" w:space="0" w:color="auto"/>
      </w:divBdr>
    </w:div>
    <w:div w:id="1894000891">
      <w:bodyDiv w:val="1"/>
      <w:marLeft w:val="0"/>
      <w:marRight w:val="0"/>
      <w:marTop w:val="0"/>
      <w:marBottom w:val="0"/>
      <w:divBdr>
        <w:top w:val="none" w:sz="0" w:space="0" w:color="auto"/>
        <w:left w:val="none" w:sz="0" w:space="0" w:color="auto"/>
        <w:bottom w:val="none" w:sz="0" w:space="0" w:color="auto"/>
        <w:right w:val="none" w:sz="0" w:space="0" w:color="auto"/>
      </w:divBdr>
    </w:div>
    <w:div w:id="1894001509">
      <w:bodyDiv w:val="1"/>
      <w:marLeft w:val="0"/>
      <w:marRight w:val="0"/>
      <w:marTop w:val="0"/>
      <w:marBottom w:val="0"/>
      <w:divBdr>
        <w:top w:val="none" w:sz="0" w:space="0" w:color="auto"/>
        <w:left w:val="none" w:sz="0" w:space="0" w:color="auto"/>
        <w:bottom w:val="none" w:sz="0" w:space="0" w:color="auto"/>
        <w:right w:val="none" w:sz="0" w:space="0" w:color="auto"/>
      </w:divBdr>
    </w:div>
    <w:div w:id="1894002528">
      <w:bodyDiv w:val="1"/>
      <w:marLeft w:val="0"/>
      <w:marRight w:val="0"/>
      <w:marTop w:val="0"/>
      <w:marBottom w:val="0"/>
      <w:divBdr>
        <w:top w:val="none" w:sz="0" w:space="0" w:color="auto"/>
        <w:left w:val="none" w:sz="0" w:space="0" w:color="auto"/>
        <w:bottom w:val="none" w:sz="0" w:space="0" w:color="auto"/>
        <w:right w:val="none" w:sz="0" w:space="0" w:color="auto"/>
      </w:divBdr>
    </w:div>
    <w:div w:id="1894347572">
      <w:bodyDiv w:val="1"/>
      <w:marLeft w:val="0"/>
      <w:marRight w:val="0"/>
      <w:marTop w:val="0"/>
      <w:marBottom w:val="0"/>
      <w:divBdr>
        <w:top w:val="none" w:sz="0" w:space="0" w:color="auto"/>
        <w:left w:val="none" w:sz="0" w:space="0" w:color="auto"/>
        <w:bottom w:val="none" w:sz="0" w:space="0" w:color="auto"/>
        <w:right w:val="none" w:sz="0" w:space="0" w:color="auto"/>
      </w:divBdr>
    </w:div>
    <w:div w:id="1894384464">
      <w:bodyDiv w:val="1"/>
      <w:marLeft w:val="0"/>
      <w:marRight w:val="0"/>
      <w:marTop w:val="0"/>
      <w:marBottom w:val="0"/>
      <w:divBdr>
        <w:top w:val="none" w:sz="0" w:space="0" w:color="auto"/>
        <w:left w:val="none" w:sz="0" w:space="0" w:color="auto"/>
        <w:bottom w:val="none" w:sz="0" w:space="0" w:color="auto"/>
        <w:right w:val="none" w:sz="0" w:space="0" w:color="auto"/>
      </w:divBdr>
    </w:div>
    <w:div w:id="1894390452">
      <w:bodyDiv w:val="1"/>
      <w:marLeft w:val="0"/>
      <w:marRight w:val="0"/>
      <w:marTop w:val="0"/>
      <w:marBottom w:val="0"/>
      <w:divBdr>
        <w:top w:val="none" w:sz="0" w:space="0" w:color="auto"/>
        <w:left w:val="none" w:sz="0" w:space="0" w:color="auto"/>
        <w:bottom w:val="none" w:sz="0" w:space="0" w:color="auto"/>
        <w:right w:val="none" w:sz="0" w:space="0" w:color="auto"/>
      </w:divBdr>
    </w:div>
    <w:div w:id="1894392787">
      <w:bodyDiv w:val="1"/>
      <w:marLeft w:val="0"/>
      <w:marRight w:val="0"/>
      <w:marTop w:val="0"/>
      <w:marBottom w:val="0"/>
      <w:divBdr>
        <w:top w:val="none" w:sz="0" w:space="0" w:color="auto"/>
        <w:left w:val="none" w:sz="0" w:space="0" w:color="auto"/>
        <w:bottom w:val="none" w:sz="0" w:space="0" w:color="auto"/>
        <w:right w:val="none" w:sz="0" w:space="0" w:color="auto"/>
      </w:divBdr>
    </w:div>
    <w:div w:id="1894541231">
      <w:bodyDiv w:val="1"/>
      <w:marLeft w:val="0"/>
      <w:marRight w:val="0"/>
      <w:marTop w:val="0"/>
      <w:marBottom w:val="0"/>
      <w:divBdr>
        <w:top w:val="none" w:sz="0" w:space="0" w:color="auto"/>
        <w:left w:val="none" w:sz="0" w:space="0" w:color="auto"/>
        <w:bottom w:val="none" w:sz="0" w:space="0" w:color="auto"/>
        <w:right w:val="none" w:sz="0" w:space="0" w:color="auto"/>
      </w:divBdr>
    </w:div>
    <w:div w:id="1894611111">
      <w:bodyDiv w:val="1"/>
      <w:marLeft w:val="0"/>
      <w:marRight w:val="0"/>
      <w:marTop w:val="0"/>
      <w:marBottom w:val="0"/>
      <w:divBdr>
        <w:top w:val="none" w:sz="0" w:space="0" w:color="auto"/>
        <w:left w:val="none" w:sz="0" w:space="0" w:color="auto"/>
        <w:bottom w:val="none" w:sz="0" w:space="0" w:color="auto"/>
        <w:right w:val="none" w:sz="0" w:space="0" w:color="auto"/>
      </w:divBdr>
    </w:div>
    <w:div w:id="1894651914">
      <w:bodyDiv w:val="1"/>
      <w:marLeft w:val="0"/>
      <w:marRight w:val="0"/>
      <w:marTop w:val="0"/>
      <w:marBottom w:val="0"/>
      <w:divBdr>
        <w:top w:val="none" w:sz="0" w:space="0" w:color="auto"/>
        <w:left w:val="none" w:sz="0" w:space="0" w:color="auto"/>
        <w:bottom w:val="none" w:sz="0" w:space="0" w:color="auto"/>
        <w:right w:val="none" w:sz="0" w:space="0" w:color="auto"/>
      </w:divBdr>
    </w:div>
    <w:div w:id="1894807572">
      <w:bodyDiv w:val="1"/>
      <w:marLeft w:val="0"/>
      <w:marRight w:val="0"/>
      <w:marTop w:val="0"/>
      <w:marBottom w:val="0"/>
      <w:divBdr>
        <w:top w:val="none" w:sz="0" w:space="0" w:color="auto"/>
        <w:left w:val="none" w:sz="0" w:space="0" w:color="auto"/>
        <w:bottom w:val="none" w:sz="0" w:space="0" w:color="auto"/>
        <w:right w:val="none" w:sz="0" w:space="0" w:color="auto"/>
      </w:divBdr>
    </w:div>
    <w:div w:id="1894924710">
      <w:bodyDiv w:val="1"/>
      <w:marLeft w:val="0"/>
      <w:marRight w:val="0"/>
      <w:marTop w:val="0"/>
      <w:marBottom w:val="0"/>
      <w:divBdr>
        <w:top w:val="none" w:sz="0" w:space="0" w:color="auto"/>
        <w:left w:val="none" w:sz="0" w:space="0" w:color="auto"/>
        <w:bottom w:val="none" w:sz="0" w:space="0" w:color="auto"/>
        <w:right w:val="none" w:sz="0" w:space="0" w:color="auto"/>
      </w:divBdr>
    </w:div>
    <w:div w:id="1895040006">
      <w:bodyDiv w:val="1"/>
      <w:marLeft w:val="0"/>
      <w:marRight w:val="0"/>
      <w:marTop w:val="0"/>
      <w:marBottom w:val="0"/>
      <w:divBdr>
        <w:top w:val="none" w:sz="0" w:space="0" w:color="auto"/>
        <w:left w:val="none" w:sz="0" w:space="0" w:color="auto"/>
        <w:bottom w:val="none" w:sz="0" w:space="0" w:color="auto"/>
        <w:right w:val="none" w:sz="0" w:space="0" w:color="auto"/>
      </w:divBdr>
    </w:div>
    <w:div w:id="1895044901">
      <w:bodyDiv w:val="1"/>
      <w:marLeft w:val="0"/>
      <w:marRight w:val="0"/>
      <w:marTop w:val="0"/>
      <w:marBottom w:val="0"/>
      <w:divBdr>
        <w:top w:val="none" w:sz="0" w:space="0" w:color="auto"/>
        <w:left w:val="none" w:sz="0" w:space="0" w:color="auto"/>
        <w:bottom w:val="none" w:sz="0" w:space="0" w:color="auto"/>
        <w:right w:val="none" w:sz="0" w:space="0" w:color="auto"/>
      </w:divBdr>
    </w:div>
    <w:div w:id="1895114070">
      <w:bodyDiv w:val="1"/>
      <w:marLeft w:val="0"/>
      <w:marRight w:val="0"/>
      <w:marTop w:val="0"/>
      <w:marBottom w:val="0"/>
      <w:divBdr>
        <w:top w:val="none" w:sz="0" w:space="0" w:color="auto"/>
        <w:left w:val="none" w:sz="0" w:space="0" w:color="auto"/>
        <w:bottom w:val="none" w:sz="0" w:space="0" w:color="auto"/>
        <w:right w:val="none" w:sz="0" w:space="0" w:color="auto"/>
      </w:divBdr>
    </w:div>
    <w:div w:id="1895196240">
      <w:bodyDiv w:val="1"/>
      <w:marLeft w:val="0"/>
      <w:marRight w:val="0"/>
      <w:marTop w:val="0"/>
      <w:marBottom w:val="0"/>
      <w:divBdr>
        <w:top w:val="none" w:sz="0" w:space="0" w:color="auto"/>
        <w:left w:val="none" w:sz="0" w:space="0" w:color="auto"/>
        <w:bottom w:val="none" w:sz="0" w:space="0" w:color="auto"/>
        <w:right w:val="none" w:sz="0" w:space="0" w:color="auto"/>
      </w:divBdr>
    </w:div>
    <w:div w:id="1895197868">
      <w:bodyDiv w:val="1"/>
      <w:marLeft w:val="0"/>
      <w:marRight w:val="0"/>
      <w:marTop w:val="0"/>
      <w:marBottom w:val="0"/>
      <w:divBdr>
        <w:top w:val="none" w:sz="0" w:space="0" w:color="auto"/>
        <w:left w:val="none" w:sz="0" w:space="0" w:color="auto"/>
        <w:bottom w:val="none" w:sz="0" w:space="0" w:color="auto"/>
        <w:right w:val="none" w:sz="0" w:space="0" w:color="auto"/>
      </w:divBdr>
    </w:div>
    <w:div w:id="1895236497">
      <w:bodyDiv w:val="1"/>
      <w:marLeft w:val="0"/>
      <w:marRight w:val="0"/>
      <w:marTop w:val="0"/>
      <w:marBottom w:val="0"/>
      <w:divBdr>
        <w:top w:val="none" w:sz="0" w:space="0" w:color="auto"/>
        <w:left w:val="none" w:sz="0" w:space="0" w:color="auto"/>
        <w:bottom w:val="none" w:sz="0" w:space="0" w:color="auto"/>
        <w:right w:val="none" w:sz="0" w:space="0" w:color="auto"/>
      </w:divBdr>
    </w:div>
    <w:div w:id="1895310414">
      <w:bodyDiv w:val="1"/>
      <w:marLeft w:val="0"/>
      <w:marRight w:val="0"/>
      <w:marTop w:val="0"/>
      <w:marBottom w:val="0"/>
      <w:divBdr>
        <w:top w:val="none" w:sz="0" w:space="0" w:color="auto"/>
        <w:left w:val="none" w:sz="0" w:space="0" w:color="auto"/>
        <w:bottom w:val="none" w:sz="0" w:space="0" w:color="auto"/>
        <w:right w:val="none" w:sz="0" w:space="0" w:color="auto"/>
      </w:divBdr>
    </w:div>
    <w:div w:id="1895462109">
      <w:bodyDiv w:val="1"/>
      <w:marLeft w:val="0"/>
      <w:marRight w:val="0"/>
      <w:marTop w:val="0"/>
      <w:marBottom w:val="0"/>
      <w:divBdr>
        <w:top w:val="none" w:sz="0" w:space="0" w:color="auto"/>
        <w:left w:val="none" w:sz="0" w:space="0" w:color="auto"/>
        <w:bottom w:val="none" w:sz="0" w:space="0" w:color="auto"/>
        <w:right w:val="none" w:sz="0" w:space="0" w:color="auto"/>
      </w:divBdr>
    </w:div>
    <w:div w:id="1895504042">
      <w:bodyDiv w:val="1"/>
      <w:marLeft w:val="0"/>
      <w:marRight w:val="0"/>
      <w:marTop w:val="0"/>
      <w:marBottom w:val="0"/>
      <w:divBdr>
        <w:top w:val="none" w:sz="0" w:space="0" w:color="auto"/>
        <w:left w:val="none" w:sz="0" w:space="0" w:color="auto"/>
        <w:bottom w:val="none" w:sz="0" w:space="0" w:color="auto"/>
        <w:right w:val="none" w:sz="0" w:space="0" w:color="auto"/>
      </w:divBdr>
    </w:div>
    <w:div w:id="1895506136">
      <w:bodyDiv w:val="1"/>
      <w:marLeft w:val="0"/>
      <w:marRight w:val="0"/>
      <w:marTop w:val="0"/>
      <w:marBottom w:val="0"/>
      <w:divBdr>
        <w:top w:val="none" w:sz="0" w:space="0" w:color="auto"/>
        <w:left w:val="none" w:sz="0" w:space="0" w:color="auto"/>
        <w:bottom w:val="none" w:sz="0" w:space="0" w:color="auto"/>
        <w:right w:val="none" w:sz="0" w:space="0" w:color="auto"/>
      </w:divBdr>
    </w:div>
    <w:div w:id="1895582995">
      <w:bodyDiv w:val="1"/>
      <w:marLeft w:val="0"/>
      <w:marRight w:val="0"/>
      <w:marTop w:val="0"/>
      <w:marBottom w:val="0"/>
      <w:divBdr>
        <w:top w:val="none" w:sz="0" w:space="0" w:color="auto"/>
        <w:left w:val="none" w:sz="0" w:space="0" w:color="auto"/>
        <w:bottom w:val="none" w:sz="0" w:space="0" w:color="auto"/>
        <w:right w:val="none" w:sz="0" w:space="0" w:color="auto"/>
      </w:divBdr>
    </w:div>
    <w:div w:id="1895770559">
      <w:bodyDiv w:val="1"/>
      <w:marLeft w:val="0"/>
      <w:marRight w:val="0"/>
      <w:marTop w:val="0"/>
      <w:marBottom w:val="0"/>
      <w:divBdr>
        <w:top w:val="none" w:sz="0" w:space="0" w:color="auto"/>
        <w:left w:val="none" w:sz="0" w:space="0" w:color="auto"/>
        <w:bottom w:val="none" w:sz="0" w:space="0" w:color="auto"/>
        <w:right w:val="none" w:sz="0" w:space="0" w:color="auto"/>
      </w:divBdr>
    </w:div>
    <w:div w:id="1895778484">
      <w:bodyDiv w:val="1"/>
      <w:marLeft w:val="0"/>
      <w:marRight w:val="0"/>
      <w:marTop w:val="0"/>
      <w:marBottom w:val="0"/>
      <w:divBdr>
        <w:top w:val="none" w:sz="0" w:space="0" w:color="auto"/>
        <w:left w:val="none" w:sz="0" w:space="0" w:color="auto"/>
        <w:bottom w:val="none" w:sz="0" w:space="0" w:color="auto"/>
        <w:right w:val="none" w:sz="0" w:space="0" w:color="auto"/>
      </w:divBdr>
    </w:div>
    <w:div w:id="1896039350">
      <w:bodyDiv w:val="1"/>
      <w:marLeft w:val="0"/>
      <w:marRight w:val="0"/>
      <w:marTop w:val="0"/>
      <w:marBottom w:val="0"/>
      <w:divBdr>
        <w:top w:val="none" w:sz="0" w:space="0" w:color="auto"/>
        <w:left w:val="none" w:sz="0" w:space="0" w:color="auto"/>
        <w:bottom w:val="none" w:sz="0" w:space="0" w:color="auto"/>
        <w:right w:val="none" w:sz="0" w:space="0" w:color="auto"/>
      </w:divBdr>
    </w:div>
    <w:div w:id="1896039588">
      <w:bodyDiv w:val="1"/>
      <w:marLeft w:val="0"/>
      <w:marRight w:val="0"/>
      <w:marTop w:val="0"/>
      <w:marBottom w:val="0"/>
      <w:divBdr>
        <w:top w:val="none" w:sz="0" w:space="0" w:color="auto"/>
        <w:left w:val="none" w:sz="0" w:space="0" w:color="auto"/>
        <w:bottom w:val="none" w:sz="0" w:space="0" w:color="auto"/>
        <w:right w:val="none" w:sz="0" w:space="0" w:color="auto"/>
      </w:divBdr>
    </w:div>
    <w:div w:id="1896308031">
      <w:bodyDiv w:val="1"/>
      <w:marLeft w:val="0"/>
      <w:marRight w:val="0"/>
      <w:marTop w:val="0"/>
      <w:marBottom w:val="0"/>
      <w:divBdr>
        <w:top w:val="none" w:sz="0" w:space="0" w:color="auto"/>
        <w:left w:val="none" w:sz="0" w:space="0" w:color="auto"/>
        <w:bottom w:val="none" w:sz="0" w:space="0" w:color="auto"/>
        <w:right w:val="none" w:sz="0" w:space="0" w:color="auto"/>
      </w:divBdr>
    </w:div>
    <w:div w:id="1896427564">
      <w:bodyDiv w:val="1"/>
      <w:marLeft w:val="0"/>
      <w:marRight w:val="0"/>
      <w:marTop w:val="0"/>
      <w:marBottom w:val="0"/>
      <w:divBdr>
        <w:top w:val="none" w:sz="0" w:space="0" w:color="auto"/>
        <w:left w:val="none" w:sz="0" w:space="0" w:color="auto"/>
        <w:bottom w:val="none" w:sz="0" w:space="0" w:color="auto"/>
        <w:right w:val="none" w:sz="0" w:space="0" w:color="auto"/>
      </w:divBdr>
    </w:div>
    <w:div w:id="1896431686">
      <w:bodyDiv w:val="1"/>
      <w:marLeft w:val="0"/>
      <w:marRight w:val="0"/>
      <w:marTop w:val="0"/>
      <w:marBottom w:val="0"/>
      <w:divBdr>
        <w:top w:val="none" w:sz="0" w:space="0" w:color="auto"/>
        <w:left w:val="none" w:sz="0" w:space="0" w:color="auto"/>
        <w:bottom w:val="none" w:sz="0" w:space="0" w:color="auto"/>
        <w:right w:val="none" w:sz="0" w:space="0" w:color="auto"/>
      </w:divBdr>
    </w:div>
    <w:div w:id="1896625352">
      <w:bodyDiv w:val="1"/>
      <w:marLeft w:val="0"/>
      <w:marRight w:val="0"/>
      <w:marTop w:val="0"/>
      <w:marBottom w:val="0"/>
      <w:divBdr>
        <w:top w:val="none" w:sz="0" w:space="0" w:color="auto"/>
        <w:left w:val="none" w:sz="0" w:space="0" w:color="auto"/>
        <w:bottom w:val="none" w:sz="0" w:space="0" w:color="auto"/>
        <w:right w:val="none" w:sz="0" w:space="0" w:color="auto"/>
      </w:divBdr>
    </w:div>
    <w:div w:id="1896625717">
      <w:bodyDiv w:val="1"/>
      <w:marLeft w:val="0"/>
      <w:marRight w:val="0"/>
      <w:marTop w:val="0"/>
      <w:marBottom w:val="0"/>
      <w:divBdr>
        <w:top w:val="none" w:sz="0" w:space="0" w:color="auto"/>
        <w:left w:val="none" w:sz="0" w:space="0" w:color="auto"/>
        <w:bottom w:val="none" w:sz="0" w:space="0" w:color="auto"/>
        <w:right w:val="none" w:sz="0" w:space="0" w:color="auto"/>
      </w:divBdr>
    </w:div>
    <w:div w:id="1896744028">
      <w:bodyDiv w:val="1"/>
      <w:marLeft w:val="0"/>
      <w:marRight w:val="0"/>
      <w:marTop w:val="0"/>
      <w:marBottom w:val="0"/>
      <w:divBdr>
        <w:top w:val="none" w:sz="0" w:space="0" w:color="auto"/>
        <w:left w:val="none" w:sz="0" w:space="0" w:color="auto"/>
        <w:bottom w:val="none" w:sz="0" w:space="0" w:color="auto"/>
        <w:right w:val="none" w:sz="0" w:space="0" w:color="auto"/>
      </w:divBdr>
    </w:div>
    <w:div w:id="1896744069">
      <w:bodyDiv w:val="1"/>
      <w:marLeft w:val="0"/>
      <w:marRight w:val="0"/>
      <w:marTop w:val="0"/>
      <w:marBottom w:val="0"/>
      <w:divBdr>
        <w:top w:val="none" w:sz="0" w:space="0" w:color="auto"/>
        <w:left w:val="none" w:sz="0" w:space="0" w:color="auto"/>
        <w:bottom w:val="none" w:sz="0" w:space="0" w:color="auto"/>
        <w:right w:val="none" w:sz="0" w:space="0" w:color="auto"/>
      </w:divBdr>
    </w:div>
    <w:div w:id="1896888606">
      <w:bodyDiv w:val="1"/>
      <w:marLeft w:val="0"/>
      <w:marRight w:val="0"/>
      <w:marTop w:val="0"/>
      <w:marBottom w:val="0"/>
      <w:divBdr>
        <w:top w:val="none" w:sz="0" w:space="0" w:color="auto"/>
        <w:left w:val="none" w:sz="0" w:space="0" w:color="auto"/>
        <w:bottom w:val="none" w:sz="0" w:space="0" w:color="auto"/>
        <w:right w:val="none" w:sz="0" w:space="0" w:color="auto"/>
      </w:divBdr>
    </w:div>
    <w:div w:id="1896962662">
      <w:bodyDiv w:val="1"/>
      <w:marLeft w:val="0"/>
      <w:marRight w:val="0"/>
      <w:marTop w:val="0"/>
      <w:marBottom w:val="0"/>
      <w:divBdr>
        <w:top w:val="none" w:sz="0" w:space="0" w:color="auto"/>
        <w:left w:val="none" w:sz="0" w:space="0" w:color="auto"/>
        <w:bottom w:val="none" w:sz="0" w:space="0" w:color="auto"/>
        <w:right w:val="none" w:sz="0" w:space="0" w:color="auto"/>
      </w:divBdr>
    </w:div>
    <w:div w:id="1896964289">
      <w:bodyDiv w:val="1"/>
      <w:marLeft w:val="0"/>
      <w:marRight w:val="0"/>
      <w:marTop w:val="0"/>
      <w:marBottom w:val="0"/>
      <w:divBdr>
        <w:top w:val="none" w:sz="0" w:space="0" w:color="auto"/>
        <w:left w:val="none" w:sz="0" w:space="0" w:color="auto"/>
        <w:bottom w:val="none" w:sz="0" w:space="0" w:color="auto"/>
        <w:right w:val="none" w:sz="0" w:space="0" w:color="auto"/>
      </w:divBdr>
    </w:div>
    <w:div w:id="1896968471">
      <w:bodyDiv w:val="1"/>
      <w:marLeft w:val="0"/>
      <w:marRight w:val="0"/>
      <w:marTop w:val="0"/>
      <w:marBottom w:val="0"/>
      <w:divBdr>
        <w:top w:val="none" w:sz="0" w:space="0" w:color="auto"/>
        <w:left w:val="none" w:sz="0" w:space="0" w:color="auto"/>
        <w:bottom w:val="none" w:sz="0" w:space="0" w:color="auto"/>
        <w:right w:val="none" w:sz="0" w:space="0" w:color="auto"/>
      </w:divBdr>
    </w:div>
    <w:div w:id="1897010363">
      <w:bodyDiv w:val="1"/>
      <w:marLeft w:val="0"/>
      <w:marRight w:val="0"/>
      <w:marTop w:val="0"/>
      <w:marBottom w:val="0"/>
      <w:divBdr>
        <w:top w:val="none" w:sz="0" w:space="0" w:color="auto"/>
        <w:left w:val="none" w:sz="0" w:space="0" w:color="auto"/>
        <w:bottom w:val="none" w:sz="0" w:space="0" w:color="auto"/>
        <w:right w:val="none" w:sz="0" w:space="0" w:color="auto"/>
      </w:divBdr>
    </w:div>
    <w:div w:id="1897085517">
      <w:bodyDiv w:val="1"/>
      <w:marLeft w:val="0"/>
      <w:marRight w:val="0"/>
      <w:marTop w:val="0"/>
      <w:marBottom w:val="0"/>
      <w:divBdr>
        <w:top w:val="none" w:sz="0" w:space="0" w:color="auto"/>
        <w:left w:val="none" w:sz="0" w:space="0" w:color="auto"/>
        <w:bottom w:val="none" w:sz="0" w:space="0" w:color="auto"/>
        <w:right w:val="none" w:sz="0" w:space="0" w:color="auto"/>
      </w:divBdr>
    </w:div>
    <w:div w:id="1897205897">
      <w:bodyDiv w:val="1"/>
      <w:marLeft w:val="0"/>
      <w:marRight w:val="0"/>
      <w:marTop w:val="0"/>
      <w:marBottom w:val="0"/>
      <w:divBdr>
        <w:top w:val="none" w:sz="0" w:space="0" w:color="auto"/>
        <w:left w:val="none" w:sz="0" w:space="0" w:color="auto"/>
        <w:bottom w:val="none" w:sz="0" w:space="0" w:color="auto"/>
        <w:right w:val="none" w:sz="0" w:space="0" w:color="auto"/>
      </w:divBdr>
    </w:div>
    <w:div w:id="1897348459">
      <w:bodyDiv w:val="1"/>
      <w:marLeft w:val="0"/>
      <w:marRight w:val="0"/>
      <w:marTop w:val="0"/>
      <w:marBottom w:val="0"/>
      <w:divBdr>
        <w:top w:val="none" w:sz="0" w:space="0" w:color="auto"/>
        <w:left w:val="none" w:sz="0" w:space="0" w:color="auto"/>
        <w:bottom w:val="none" w:sz="0" w:space="0" w:color="auto"/>
        <w:right w:val="none" w:sz="0" w:space="0" w:color="auto"/>
      </w:divBdr>
    </w:div>
    <w:div w:id="1897425071">
      <w:bodyDiv w:val="1"/>
      <w:marLeft w:val="0"/>
      <w:marRight w:val="0"/>
      <w:marTop w:val="0"/>
      <w:marBottom w:val="0"/>
      <w:divBdr>
        <w:top w:val="none" w:sz="0" w:space="0" w:color="auto"/>
        <w:left w:val="none" w:sz="0" w:space="0" w:color="auto"/>
        <w:bottom w:val="none" w:sz="0" w:space="0" w:color="auto"/>
        <w:right w:val="none" w:sz="0" w:space="0" w:color="auto"/>
      </w:divBdr>
    </w:div>
    <w:div w:id="1897543959">
      <w:bodyDiv w:val="1"/>
      <w:marLeft w:val="0"/>
      <w:marRight w:val="0"/>
      <w:marTop w:val="0"/>
      <w:marBottom w:val="0"/>
      <w:divBdr>
        <w:top w:val="none" w:sz="0" w:space="0" w:color="auto"/>
        <w:left w:val="none" w:sz="0" w:space="0" w:color="auto"/>
        <w:bottom w:val="none" w:sz="0" w:space="0" w:color="auto"/>
        <w:right w:val="none" w:sz="0" w:space="0" w:color="auto"/>
      </w:divBdr>
    </w:div>
    <w:div w:id="1897548569">
      <w:bodyDiv w:val="1"/>
      <w:marLeft w:val="0"/>
      <w:marRight w:val="0"/>
      <w:marTop w:val="0"/>
      <w:marBottom w:val="0"/>
      <w:divBdr>
        <w:top w:val="none" w:sz="0" w:space="0" w:color="auto"/>
        <w:left w:val="none" w:sz="0" w:space="0" w:color="auto"/>
        <w:bottom w:val="none" w:sz="0" w:space="0" w:color="auto"/>
        <w:right w:val="none" w:sz="0" w:space="0" w:color="auto"/>
      </w:divBdr>
    </w:div>
    <w:div w:id="1897620256">
      <w:bodyDiv w:val="1"/>
      <w:marLeft w:val="0"/>
      <w:marRight w:val="0"/>
      <w:marTop w:val="0"/>
      <w:marBottom w:val="0"/>
      <w:divBdr>
        <w:top w:val="none" w:sz="0" w:space="0" w:color="auto"/>
        <w:left w:val="none" w:sz="0" w:space="0" w:color="auto"/>
        <w:bottom w:val="none" w:sz="0" w:space="0" w:color="auto"/>
        <w:right w:val="none" w:sz="0" w:space="0" w:color="auto"/>
      </w:divBdr>
    </w:div>
    <w:div w:id="1897624982">
      <w:bodyDiv w:val="1"/>
      <w:marLeft w:val="0"/>
      <w:marRight w:val="0"/>
      <w:marTop w:val="0"/>
      <w:marBottom w:val="0"/>
      <w:divBdr>
        <w:top w:val="none" w:sz="0" w:space="0" w:color="auto"/>
        <w:left w:val="none" w:sz="0" w:space="0" w:color="auto"/>
        <w:bottom w:val="none" w:sz="0" w:space="0" w:color="auto"/>
        <w:right w:val="none" w:sz="0" w:space="0" w:color="auto"/>
      </w:divBdr>
    </w:div>
    <w:div w:id="1897737218">
      <w:bodyDiv w:val="1"/>
      <w:marLeft w:val="0"/>
      <w:marRight w:val="0"/>
      <w:marTop w:val="0"/>
      <w:marBottom w:val="0"/>
      <w:divBdr>
        <w:top w:val="none" w:sz="0" w:space="0" w:color="auto"/>
        <w:left w:val="none" w:sz="0" w:space="0" w:color="auto"/>
        <w:bottom w:val="none" w:sz="0" w:space="0" w:color="auto"/>
        <w:right w:val="none" w:sz="0" w:space="0" w:color="auto"/>
      </w:divBdr>
    </w:div>
    <w:div w:id="1897858525">
      <w:bodyDiv w:val="1"/>
      <w:marLeft w:val="0"/>
      <w:marRight w:val="0"/>
      <w:marTop w:val="0"/>
      <w:marBottom w:val="0"/>
      <w:divBdr>
        <w:top w:val="none" w:sz="0" w:space="0" w:color="auto"/>
        <w:left w:val="none" w:sz="0" w:space="0" w:color="auto"/>
        <w:bottom w:val="none" w:sz="0" w:space="0" w:color="auto"/>
        <w:right w:val="none" w:sz="0" w:space="0" w:color="auto"/>
      </w:divBdr>
    </w:div>
    <w:div w:id="1897930601">
      <w:bodyDiv w:val="1"/>
      <w:marLeft w:val="0"/>
      <w:marRight w:val="0"/>
      <w:marTop w:val="0"/>
      <w:marBottom w:val="0"/>
      <w:divBdr>
        <w:top w:val="none" w:sz="0" w:space="0" w:color="auto"/>
        <w:left w:val="none" w:sz="0" w:space="0" w:color="auto"/>
        <w:bottom w:val="none" w:sz="0" w:space="0" w:color="auto"/>
        <w:right w:val="none" w:sz="0" w:space="0" w:color="auto"/>
      </w:divBdr>
    </w:div>
    <w:div w:id="1897934966">
      <w:bodyDiv w:val="1"/>
      <w:marLeft w:val="0"/>
      <w:marRight w:val="0"/>
      <w:marTop w:val="0"/>
      <w:marBottom w:val="0"/>
      <w:divBdr>
        <w:top w:val="none" w:sz="0" w:space="0" w:color="auto"/>
        <w:left w:val="none" w:sz="0" w:space="0" w:color="auto"/>
        <w:bottom w:val="none" w:sz="0" w:space="0" w:color="auto"/>
        <w:right w:val="none" w:sz="0" w:space="0" w:color="auto"/>
      </w:divBdr>
    </w:div>
    <w:div w:id="1898003588">
      <w:bodyDiv w:val="1"/>
      <w:marLeft w:val="0"/>
      <w:marRight w:val="0"/>
      <w:marTop w:val="0"/>
      <w:marBottom w:val="0"/>
      <w:divBdr>
        <w:top w:val="none" w:sz="0" w:space="0" w:color="auto"/>
        <w:left w:val="none" w:sz="0" w:space="0" w:color="auto"/>
        <w:bottom w:val="none" w:sz="0" w:space="0" w:color="auto"/>
        <w:right w:val="none" w:sz="0" w:space="0" w:color="auto"/>
      </w:divBdr>
    </w:div>
    <w:div w:id="1898079225">
      <w:bodyDiv w:val="1"/>
      <w:marLeft w:val="0"/>
      <w:marRight w:val="0"/>
      <w:marTop w:val="0"/>
      <w:marBottom w:val="0"/>
      <w:divBdr>
        <w:top w:val="none" w:sz="0" w:space="0" w:color="auto"/>
        <w:left w:val="none" w:sz="0" w:space="0" w:color="auto"/>
        <w:bottom w:val="none" w:sz="0" w:space="0" w:color="auto"/>
        <w:right w:val="none" w:sz="0" w:space="0" w:color="auto"/>
      </w:divBdr>
    </w:div>
    <w:div w:id="1898275898">
      <w:bodyDiv w:val="1"/>
      <w:marLeft w:val="0"/>
      <w:marRight w:val="0"/>
      <w:marTop w:val="0"/>
      <w:marBottom w:val="0"/>
      <w:divBdr>
        <w:top w:val="none" w:sz="0" w:space="0" w:color="auto"/>
        <w:left w:val="none" w:sz="0" w:space="0" w:color="auto"/>
        <w:bottom w:val="none" w:sz="0" w:space="0" w:color="auto"/>
        <w:right w:val="none" w:sz="0" w:space="0" w:color="auto"/>
      </w:divBdr>
    </w:div>
    <w:div w:id="1898390625">
      <w:bodyDiv w:val="1"/>
      <w:marLeft w:val="0"/>
      <w:marRight w:val="0"/>
      <w:marTop w:val="0"/>
      <w:marBottom w:val="0"/>
      <w:divBdr>
        <w:top w:val="none" w:sz="0" w:space="0" w:color="auto"/>
        <w:left w:val="none" w:sz="0" w:space="0" w:color="auto"/>
        <w:bottom w:val="none" w:sz="0" w:space="0" w:color="auto"/>
        <w:right w:val="none" w:sz="0" w:space="0" w:color="auto"/>
      </w:divBdr>
    </w:div>
    <w:div w:id="1898391434">
      <w:bodyDiv w:val="1"/>
      <w:marLeft w:val="0"/>
      <w:marRight w:val="0"/>
      <w:marTop w:val="0"/>
      <w:marBottom w:val="0"/>
      <w:divBdr>
        <w:top w:val="none" w:sz="0" w:space="0" w:color="auto"/>
        <w:left w:val="none" w:sz="0" w:space="0" w:color="auto"/>
        <w:bottom w:val="none" w:sz="0" w:space="0" w:color="auto"/>
        <w:right w:val="none" w:sz="0" w:space="0" w:color="auto"/>
      </w:divBdr>
    </w:div>
    <w:div w:id="1898395701">
      <w:bodyDiv w:val="1"/>
      <w:marLeft w:val="0"/>
      <w:marRight w:val="0"/>
      <w:marTop w:val="0"/>
      <w:marBottom w:val="0"/>
      <w:divBdr>
        <w:top w:val="none" w:sz="0" w:space="0" w:color="auto"/>
        <w:left w:val="none" w:sz="0" w:space="0" w:color="auto"/>
        <w:bottom w:val="none" w:sz="0" w:space="0" w:color="auto"/>
        <w:right w:val="none" w:sz="0" w:space="0" w:color="auto"/>
      </w:divBdr>
    </w:div>
    <w:div w:id="1898469005">
      <w:bodyDiv w:val="1"/>
      <w:marLeft w:val="0"/>
      <w:marRight w:val="0"/>
      <w:marTop w:val="0"/>
      <w:marBottom w:val="0"/>
      <w:divBdr>
        <w:top w:val="none" w:sz="0" w:space="0" w:color="auto"/>
        <w:left w:val="none" w:sz="0" w:space="0" w:color="auto"/>
        <w:bottom w:val="none" w:sz="0" w:space="0" w:color="auto"/>
        <w:right w:val="none" w:sz="0" w:space="0" w:color="auto"/>
      </w:divBdr>
    </w:div>
    <w:div w:id="1898474986">
      <w:bodyDiv w:val="1"/>
      <w:marLeft w:val="0"/>
      <w:marRight w:val="0"/>
      <w:marTop w:val="0"/>
      <w:marBottom w:val="0"/>
      <w:divBdr>
        <w:top w:val="none" w:sz="0" w:space="0" w:color="auto"/>
        <w:left w:val="none" w:sz="0" w:space="0" w:color="auto"/>
        <w:bottom w:val="none" w:sz="0" w:space="0" w:color="auto"/>
        <w:right w:val="none" w:sz="0" w:space="0" w:color="auto"/>
      </w:divBdr>
    </w:div>
    <w:div w:id="1898709559">
      <w:bodyDiv w:val="1"/>
      <w:marLeft w:val="0"/>
      <w:marRight w:val="0"/>
      <w:marTop w:val="0"/>
      <w:marBottom w:val="0"/>
      <w:divBdr>
        <w:top w:val="none" w:sz="0" w:space="0" w:color="auto"/>
        <w:left w:val="none" w:sz="0" w:space="0" w:color="auto"/>
        <w:bottom w:val="none" w:sz="0" w:space="0" w:color="auto"/>
        <w:right w:val="none" w:sz="0" w:space="0" w:color="auto"/>
      </w:divBdr>
    </w:div>
    <w:div w:id="1898781790">
      <w:bodyDiv w:val="1"/>
      <w:marLeft w:val="0"/>
      <w:marRight w:val="0"/>
      <w:marTop w:val="0"/>
      <w:marBottom w:val="0"/>
      <w:divBdr>
        <w:top w:val="none" w:sz="0" w:space="0" w:color="auto"/>
        <w:left w:val="none" w:sz="0" w:space="0" w:color="auto"/>
        <w:bottom w:val="none" w:sz="0" w:space="0" w:color="auto"/>
        <w:right w:val="none" w:sz="0" w:space="0" w:color="auto"/>
      </w:divBdr>
    </w:div>
    <w:div w:id="1899051966">
      <w:bodyDiv w:val="1"/>
      <w:marLeft w:val="0"/>
      <w:marRight w:val="0"/>
      <w:marTop w:val="0"/>
      <w:marBottom w:val="0"/>
      <w:divBdr>
        <w:top w:val="none" w:sz="0" w:space="0" w:color="auto"/>
        <w:left w:val="none" w:sz="0" w:space="0" w:color="auto"/>
        <w:bottom w:val="none" w:sz="0" w:space="0" w:color="auto"/>
        <w:right w:val="none" w:sz="0" w:space="0" w:color="auto"/>
      </w:divBdr>
    </w:div>
    <w:div w:id="1899170880">
      <w:bodyDiv w:val="1"/>
      <w:marLeft w:val="0"/>
      <w:marRight w:val="0"/>
      <w:marTop w:val="0"/>
      <w:marBottom w:val="0"/>
      <w:divBdr>
        <w:top w:val="none" w:sz="0" w:space="0" w:color="auto"/>
        <w:left w:val="none" w:sz="0" w:space="0" w:color="auto"/>
        <w:bottom w:val="none" w:sz="0" w:space="0" w:color="auto"/>
        <w:right w:val="none" w:sz="0" w:space="0" w:color="auto"/>
      </w:divBdr>
    </w:div>
    <w:div w:id="1899316140">
      <w:bodyDiv w:val="1"/>
      <w:marLeft w:val="0"/>
      <w:marRight w:val="0"/>
      <w:marTop w:val="0"/>
      <w:marBottom w:val="0"/>
      <w:divBdr>
        <w:top w:val="none" w:sz="0" w:space="0" w:color="auto"/>
        <w:left w:val="none" w:sz="0" w:space="0" w:color="auto"/>
        <w:bottom w:val="none" w:sz="0" w:space="0" w:color="auto"/>
        <w:right w:val="none" w:sz="0" w:space="0" w:color="auto"/>
      </w:divBdr>
    </w:div>
    <w:div w:id="1899633503">
      <w:bodyDiv w:val="1"/>
      <w:marLeft w:val="0"/>
      <w:marRight w:val="0"/>
      <w:marTop w:val="0"/>
      <w:marBottom w:val="0"/>
      <w:divBdr>
        <w:top w:val="none" w:sz="0" w:space="0" w:color="auto"/>
        <w:left w:val="none" w:sz="0" w:space="0" w:color="auto"/>
        <w:bottom w:val="none" w:sz="0" w:space="0" w:color="auto"/>
        <w:right w:val="none" w:sz="0" w:space="0" w:color="auto"/>
      </w:divBdr>
    </w:div>
    <w:div w:id="1899658469">
      <w:bodyDiv w:val="1"/>
      <w:marLeft w:val="0"/>
      <w:marRight w:val="0"/>
      <w:marTop w:val="0"/>
      <w:marBottom w:val="0"/>
      <w:divBdr>
        <w:top w:val="none" w:sz="0" w:space="0" w:color="auto"/>
        <w:left w:val="none" w:sz="0" w:space="0" w:color="auto"/>
        <w:bottom w:val="none" w:sz="0" w:space="0" w:color="auto"/>
        <w:right w:val="none" w:sz="0" w:space="0" w:color="auto"/>
      </w:divBdr>
    </w:div>
    <w:div w:id="1899898532">
      <w:bodyDiv w:val="1"/>
      <w:marLeft w:val="0"/>
      <w:marRight w:val="0"/>
      <w:marTop w:val="0"/>
      <w:marBottom w:val="0"/>
      <w:divBdr>
        <w:top w:val="none" w:sz="0" w:space="0" w:color="auto"/>
        <w:left w:val="none" w:sz="0" w:space="0" w:color="auto"/>
        <w:bottom w:val="none" w:sz="0" w:space="0" w:color="auto"/>
        <w:right w:val="none" w:sz="0" w:space="0" w:color="auto"/>
      </w:divBdr>
    </w:div>
    <w:div w:id="1899899148">
      <w:bodyDiv w:val="1"/>
      <w:marLeft w:val="0"/>
      <w:marRight w:val="0"/>
      <w:marTop w:val="0"/>
      <w:marBottom w:val="0"/>
      <w:divBdr>
        <w:top w:val="none" w:sz="0" w:space="0" w:color="auto"/>
        <w:left w:val="none" w:sz="0" w:space="0" w:color="auto"/>
        <w:bottom w:val="none" w:sz="0" w:space="0" w:color="auto"/>
        <w:right w:val="none" w:sz="0" w:space="0" w:color="auto"/>
      </w:divBdr>
    </w:div>
    <w:div w:id="1900020388">
      <w:bodyDiv w:val="1"/>
      <w:marLeft w:val="0"/>
      <w:marRight w:val="0"/>
      <w:marTop w:val="0"/>
      <w:marBottom w:val="0"/>
      <w:divBdr>
        <w:top w:val="none" w:sz="0" w:space="0" w:color="auto"/>
        <w:left w:val="none" w:sz="0" w:space="0" w:color="auto"/>
        <w:bottom w:val="none" w:sz="0" w:space="0" w:color="auto"/>
        <w:right w:val="none" w:sz="0" w:space="0" w:color="auto"/>
      </w:divBdr>
    </w:div>
    <w:div w:id="1900089871">
      <w:bodyDiv w:val="1"/>
      <w:marLeft w:val="0"/>
      <w:marRight w:val="0"/>
      <w:marTop w:val="0"/>
      <w:marBottom w:val="0"/>
      <w:divBdr>
        <w:top w:val="none" w:sz="0" w:space="0" w:color="auto"/>
        <w:left w:val="none" w:sz="0" w:space="0" w:color="auto"/>
        <w:bottom w:val="none" w:sz="0" w:space="0" w:color="auto"/>
        <w:right w:val="none" w:sz="0" w:space="0" w:color="auto"/>
      </w:divBdr>
    </w:div>
    <w:div w:id="1900092962">
      <w:bodyDiv w:val="1"/>
      <w:marLeft w:val="0"/>
      <w:marRight w:val="0"/>
      <w:marTop w:val="0"/>
      <w:marBottom w:val="0"/>
      <w:divBdr>
        <w:top w:val="none" w:sz="0" w:space="0" w:color="auto"/>
        <w:left w:val="none" w:sz="0" w:space="0" w:color="auto"/>
        <w:bottom w:val="none" w:sz="0" w:space="0" w:color="auto"/>
        <w:right w:val="none" w:sz="0" w:space="0" w:color="auto"/>
      </w:divBdr>
    </w:div>
    <w:div w:id="1900096941">
      <w:bodyDiv w:val="1"/>
      <w:marLeft w:val="0"/>
      <w:marRight w:val="0"/>
      <w:marTop w:val="0"/>
      <w:marBottom w:val="0"/>
      <w:divBdr>
        <w:top w:val="none" w:sz="0" w:space="0" w:color="auto"/>
        <w:left w:val="none" w:sz="0" w:space="0" w:color="auto"/>
        <w:bottom w:val="none" w:sz="0" w:space="0" w:color="auto"/>
        <w:right w:val="none" w:sz="0" w:space="0" w:color="auto"/>
      </w:divBdr>
    </w:div>
    <w:div w:id="1900163571">
      <w:bodyDiv w:val="1"/>
      <w:marLeft w:val="0"/>
      <w:marRight w:val="0"/>
      <w:marTop w:val="0"/>
      <w:marBottom w:val="0"/>
      <w:divBdr>
        <w:top w:val="none" w:sz="0" w:space="0" w:color="auto"/>
        <w:left w:val="none" w:sz="0" w:space="0" w:color="auto"/>
        <w:bottom w:val="none" w:sz="0" w:space="0" w:color="auto"/>
        <w:right w:val="none" w:sz="0" w:space="0" w:color="auto"/>
      </w:divBdr>
    </w:div>
    <w:div w:id="1900164394">
      <w:bodyDiv w:val="1"/>
      <w:marLeft w:val="0"/>
      <w:marRight w:val="0"/>
      <w:marTop w:val="0"/>
      <w:marBottom w:val="0"/>
      <w:divBdr>
        <w:top w:val="none" w:sz="0" w:space="0" w:color="auto"/>
        <w:left w:val="none" w:sz="0" w:space="0" w:color="auto"/>
        <w:bottom w:val="none" w:sz="0" w:space="0" w:color="auto"/>
        <w:right w:val="none" w:sz="0" w:space="0" w:color="auto"/>
      </w:divBdr>
    </w:div>
    <w:div w:id="1900170248">
      <w:bodyDiv w:val="1"/>
      <w:marLeft w:val="0"/>
      <w:marRight w:val="0"/>
      <w:marTop w:val="0"/>
      <w:marBottom w:val="0"/>
      <w:divBdr>
        <w:top w:val="none" w:sz="0" w:space="0" w:color="auto"/>
        <w:left w:val="none" w:sz="0" w:space="0" w:color="auto"/>
        <w:bottom w:val="none" w:sz="0" w:space="0" w:color="auto"/>
        <w:right w:val="none" w:sz="0" w:space="0" w:color="auto"/>
      </w:divBdr>
    </w:div>
    <w:div w:id="1900238930">
      <w:bodyDiv w:val="1"/>
      <w:marLeft w:val="0"/>
      <w:marRight w:val="0"/>
      <w:marTop w:val="0"/>
      <w:marBottom w:val="0"/>
      <w:divBdr>
        <w:top w:val="none" w:sz="0" w:space="0" w:color="auto"/>
        <w:left w:val="none" w:sz="0" w:space="0" w:color="auto"/>
        <w:bottom w:val="none" w:sz="0" w:space="0" w:color="auto"/>
        <w:right w:val="none" w:sz="0" w:space="0" w:color="auto"/>
      </w:divBdr>
    </w:div>
    <w:div w:id="1900240617">
      <w:bodyDiv w:val="1"/>
      <w:marLeft w:val="0"/>
      <w:marRight w:val="0"/>
      <w:marTop w:val="0"/>
      <w:marBottom w:val="0"/>
      <w:divBdr>
        <w:top w:val="none" w:sz="0" w:space="0" w:color="auto"/>
        <w:left w:val="none" w:sz="0" w:space="0" w:color="auto"/>
        <w:bottom w:val="none" w:sz="0" w:space="0" w:color="auto"/>
        <w:right w:val="none" w:sz="0" w:space="0" w:color="auto"/>
      </w:divBdr>
    </w:div>
    <w:div w:id="1900284754">
      <w:bodyDiv w:val="1"/>
      <w:marLeft w:val="0"/>
      <w:marRight w:val="0"/>
      <w:marTop w:val="0"/>
      <w:marBottom w:val="0"/>
      <w:divBdr>
        <w:top w:val="none" w:sz="0" w:space="0" w:color="auto"/>
        <w:left w:val="none" w:sz="0" w:space="0" w:color="auto"/>
        <w:bottom w:val="none" w:sz="0" w:space="0" w:color="auto"/>
        <w:right w:val="none" w:sz="0" w:space="0" w:color="auto"/>
      </w:divBdr>
    </w:div>
    <w:div w:id="1900360333">
      <w:bodyDiv w:val="1"/>
      <w:marLeft w:val="0"/>
      <w:marRight w:val="0"/>
      <w:marTop w:val="0"/>
      <w:marBottom w:val="0"/>
      <w:divBdr>
        <w:top w:val="none" w:sz="0" w:space="0" w:color="auto"/>
        <w:left w:val="none" w:sz="0" w:space="0" w:color="auto"/>
        <w:bottom w:val="none" w:sz="0" w:space="0" w:color="auto"/>
        <w:right w:val="none" w:sz="0" w:space="0" w:color="auto"/>
      </w:divBdr>
    </w:div>
    <w:div w:id="1900365569">
      <w:bodyDiv w:val="1"/>
      <w:marLeft w:val="0"/>
      <w:marRight w:val="0"/>
      <w:marTop w:val="0"/>
      <w:marBottom w:val="0"/>
      <w:divBdr>
        <w:top w:val="none" w:sz="0" w:space="0" w:color="auto"/>
        <w:left w:val="none" w:sz="0" w:space="0" w:color="auto"/>
        <w:bottom w:val="none" w:sz="0" w:space="0" w:color="auto"/>
        <w:right w:val="none" w:sz="0" w:space="0" w:color="auto"/>
      </w:divBdr>
    </w:div>
    <w:div w:id="1900432583">
      <w:bodyDiv w:val="1"/>
      <w:marLeft w:val="0"/>
      <w:marRight w:val="0"/>
      <w:marTop w:val="0"/>
      <w:marBottom w:val="0"/>
      <w:divBdr>
        <w:top w:val="none" w:sz="0" w:space="0" w:color="auto"/>
        <w:left w:val="none" w:sz="0" w:space="0" w:color="auto"/>
        <w:bottom w:val="none" w:sz="0" w:space="0" w:color="auto"/>
        <w:right w:val="none" w:sz="0" w:space="0" w:color="auto"/>
      </w:divBdr>
    </w:div>
    <w:div w:id="1900435373">
      <w:bodyDiv w:val="1"/>
      <w:marLeft w:val="0"/>
      <w:marRight w:val="0"/>
      <w:marTop w:val="0"/>
      <w:marBottom w:val="0"/>
      <w:divBdr>
        <w:top w:val="none" w:sz="0" w:space="0" w:color="auto"/>
        <w:left w:val="none" w:sz="0" w:space="0" w:color="auto"/>
        <w:bottom w:val="none" w:sz="0" w:space="0" w:color="auto"/>
        <w:right w:val="none" w:sz="0" w:space="0" w:color="auto"/>
      </w:divBdr>
    </w:div>
    <w:div w:id="1900558962">
      <w:bodyDiv w:val="1"/>
      <w:marLeft w:val="0"/>
      <w:marRight w:val="0"/>
      <w:marTop w:val="0"/>
      <w:marBottom w:val="0"/>
      <w:divBdr>
        <w:top w:val="none" w:sz="0" w:space="0" w:color="auto"/>
        <w:left w:val="none" w:sz="0" w:space="0" w:color="auto"/>
        <w:bottom w:val="none" w:sz="0" w:space="0" w:color="auto"/>
        <w:right w:val="none" w:sz="0" w:space="0" w:color="auto"/>
      </w:divBdr>
    </w:div>
    <w:div w:id="1900627275">
      <w:bodyDiv w:val="1"/>
      <w:marLeft w:val="0"/>
      <w:marRight w:val="0"/>
      <w:marTop w:val="0"/>
      <w:marBottom w:val="0"/>
      <w:divBdr>
        <w:top w:val="none" w:sz="0" w:space="0" w:color="auto"/>
        <w:left w:val="none" w:sz="0" w:space="0" w:color="auto"/>
        <w:bottom w:val="none" w:sz="0" w:space="0" w:color="auto"/>
        <w:right w:val="none" w:sz="0" w:space="0" w:color="auto"/>
      </w:divBdr>
    </w:div>
    <w:div w:id="1900676416">
      <w:bodyDiv w:val="1"/>
      <w:marLeft w:val="0"/>
      <w:marRight w:val="0"/>
      <w:marTop w:val="0"/>
      <w:marBottom w:val="0"/>
      <w:divBdr>
        <w:top w:val="none" w:sz="0" w:space="0" w:color="auto"/>
        <w:left w:val="none" w:sz="0" w:space="0" w:color="auto"/>
        <w:bottom w:val="none" w:sz="0" w:space="0" w:color="auto"/>
        <w:right w:val="none" w:sz="0" w:space="0" w:color="auto"/>
      </w:divBdr>
    </w:div>
    <w:div w:id="1900704412">
      <w:bodyDiv w:val="1"/>
      <w:marLeft w:val="0"/>
      <w:marRight w:val="0"/>
      <w:marTop w:val="0"/>
      <w:marBottom w:val="0"/>
      <w:divBdr>
        <w:top w:val="none" w:sz="0" w:space="0" w:color="auto"/>
        <w:left w:val="none" w:sz="0" w:space="0" w:color="auto"/>
        <w:bottom w:val="none" w:sz="0" w:space="0" w:color="auto"/>
        <w:right w:val="none" w:sz="0" w:space="0" w:color="auto"/>
      </w:divBdr>
    </w:div>
    <w:div w:id="1900750881">
      <w:bodyDiv w:val="1"/>
      <w:marLeft w:val="0"/>
      <w:marRight w:val="0"/>
      <w:marTop w:val="0"/>
      <w:marBottom w:val="0"/>
      <w:divBdr>
        <w:top w:val="none" w:sz="0" w:space="0" w:color="auto"/>
        <w:left w:val="none" w:sz="0" w:space="0" w:color="auto"/>
        <w:bottom w:val="none" w:sz="0" w:space="0" w:color="auto"/>
        <w:right w:val="none" w:sz="0" w:space="0" w:color="auto"/>
      </w:divBdr>
    </w:div>
    <w:div w:id="1900900179">
      <w:bodyDiv w:val="1"/>
      <w:marLeft w:val="0"/>
      <w:marRight w:val="0"/>
      <w:marTop w:val="0"/>
      <w:marBottom w:val="0"/>
      <w:divBdr>
        <w:top w:val="none" w:sz="0" w:space="0" w:color="auto"/>
        <w:left w:val="none" w:sz="0" w:space="0" w:color="auto"/>
        <w:bottom w:val="none" w:sz="0" w:space="0" w:color="auto"/>
        <w:right w:val="none" w:sz="0" w:space="0" w:color="auto"/>
      </w:divBdr>
    </w:div>
    <w:div w:id="1901015193">
      <w:bodyDiv w:val="1"/>
      <w:marLeft w:val="0"/>
      <w:marRight w:val="0"/>
      <w:marTop w:val="0"/>
      <w:marBottom w:val="0"/>
      <w:divBdr>
        <w:top w:val="none" w:sz="0" w:space="0" w:color="auto"/>
        <w:left w:val="none" w:sz="0" w:space="0" w:color="auto"/>
        <w:bottom w:val="none" w:sz="0" w:space="0" w:color="auto"/>
        <w:right w:val="none" w:sz="0" w:space="0" w:color="auto"/>
      </w:divBdr>
    </w:div>
    <w:div w:id="1901137150">
      <w:bodyDiv w:val="1"/>
      <w:marLeft w:val="0"/>
      <w:marRight w:val="0"/>
      <w:marTop w:val="0"/>
      <w:marBottom w:val="0"/>
      <w:divBdr>
        <w:top w:val="none" w:sz="0" w:space="0" w:color="auto"/>
        <w:left w:val="none" w:sz="0" w:space="0" w:color="auto"/>
        <w:bottom w:val="none" w:sz="0" w:space="0" w:color="auto"/>
        <w:right w:val="none" w:sz="0" w:space="0" w:color="auto"/>
      </w:divBdr>
    </w:div>
    <w:div w:id="1901166225">
      <w:bodyDiv w:val="1"/>
      <w:marLeft w:val="0"/>
      <w:marRight w:val="0"/>
      <w:marTop w:val="0"/>
      <w:marBottom w:val="0"/>
      <w:divBdr>
        <w:top w:val="none" w:sz="0" w:space="0" w:color="auto"/>
        <w:left w:val="none" w:sz="0" w:space="0" w:color="auto"/>
        <w:bottom w:val="none" w:sz="0" w:space="0" w:color="auto"/>
        <w:right w:val="none" w:sz="0" w:space="0" w:color="auto"/>
      </w:divBdr>
    </w:div>
    <w:div w:id="1901212888">
      <w:bodyDiv w:val="1"/>
      <w:marLeft w:val="0"/>
      <w:marRight w:val="0"/>
      <w:marTop w:val="0"/>
      <w:marBottom w:val="0"/>
      <w:divBdr>
        <w:top w:val="none" w:sz="0" w:space="0" w:color="auto"/>
        <w:left w:val="none" w:sz="0" w:space="0" w:color="auto"/>
        <w:bottom w:val="none" w:sz="0" w:space="0" w:color="auto"/>
        <w:right w:val="none" w:sz="0" w:space="0" w:color="auto"/>
      </w:divBdr>
    </w:div>
    <w:div w:id="1901280478">
      <w:bodyDiv w:val="1"/>
      <w:marLeft w:val="0"/>
      <w:marRight w:val="0"/>
      <w:marTop w:val="0"/>
      <w:marBottom w:val="0"/>
      <w:divBdr>
        <w:top w:val="none" w:sz="0" w:space="0" w:color="auto"/>
        <w:left w:val="none" w:sz="0" w:space="0" w:color="auto"/>
        <w:bottom w:val="none" w:sz="0" w:space="0" w:color="auto"/>
        <w:right w:val="none" w:sz="0" w:space="0" w:color="auto"/>
      </w:divBdr>
    </w:div>
    <w:div w:id="1901474346">
      <w:bodyDiv w:val="1"/>
      <w:marLeft w:val="0"/>
      <w:marRight w:val="0"/>
      <w:marTop w:val="0"/>
      <w:marBottom w:val="0"/>
      <w:divBdr>
        <w:top w:val="none" w:sz="0" w:space="0" w:color="auto"/>
        <w:left w:val="none" w:sz="0" w:space="0" w:color="auto"/>
        <w:bottom w:val="none" w:sz="0" w:space="0" w:color="auto"/>
        <w:right w:val="none" w:sz="0" w:space="0" w:color="auto"/>
      </w:divBdr>
    </w:div>
    <w:div w:id="1901477994">
      <w:bodyDiv w:val="1"/>
      <w:marLeft w:val="0"/>
      <w:marRight w:val="0"/>
      <w:marTop w:val="0"/>
      <w:marBottom w:val="0"/>
      <w:divBdr>
        <w:top w:val="none" w:sz="0" w:space="0" w:color="auto"/>
        <w:left w:val="none" w:sz="0" w:space="0" w:color="auto"/>
        <w:bottom w:val="none" w:sz="0" w:space="0" w:color="auto"/>
        <w:right w:val="none" w:sz="0" w:space="0" w:color="auto"/>
      </w:divBdr>
    </w:div>
    <w:div w:id="1901480363">
      <w:bodyDiv w:val="1"/>
      <w:marLeft w:val="0"/>
      <w:marRight w:val="0"/>
      <w:marTop w:val="0"/>
      <w:marBottom w:val="0"/>
      <w:divBdr>
        <w:top w:val="none" w:sz="0" w:space="0" w:color="auto"/>
        <w:left w:val="none" w:sz="0" w:space="0" w:color="auto"/>
        <w:bottom w:val="none" w:sz="0" w:space="0" w:color="auto"/>
        <w:right w:val="none" w:sz="0" w:space="0" w:color="auto"/>
      </w:divBdr>
    </w:div>
    <w:div w:id="1901745070">
      <w:bodyDiv w:val="1"/>
      <w:marLeft w:val="0"/>
      <w:marRight w:val="0"/>
      <w:marTop w:val="0"/>
      <w:marBottom w:val="0"/>
      <w:divBdr>
        <w:top w:val="none" w:sz="0" w:space="0" w:color="auto"/>
        <w:left w:val="none" w:sz="0" w:space="0" w:color="auto"/>
        <w:bottom w:val="none" w:sz="0" w:space="0" w:color="auto"/>
        <w:right w:val="none" w:sz="0" w:space="0" w:color="auto"/>
      </w:divBdr>
    </w:div>
    <w:div w:id="1901745478">
      <w:bodyDiv w:val="1"/>
      <w:marLeft w:val="0"/>
      <w:marRight w:val="0"/>
      <w:marTop w:val="0"/>
      <w:marBottom w:val="0"/>
      <w:divBdr>
        <w:top w:val="none" w:sz="0" w:space="0" w:color="auto"/>
        <w:left w:val="none" w:sz="0" w:space="0" w:color="auto"/>
        <w:bottom w:val="none" w:sz="0" w:space="0" w:color="auto"/>
        <w:right w:val="none" w:sz="0" w:space="0" w:color="auto"/>
      </w:divBdr>
    </w:div>
    <w:div w:id="1901865978">
      <w:bodyDiv w:val="1"/>
      <w:marLeft w:val="0"/>
      <w:marRight w:val="0"/>
      <w:marTop w:val="0"/>
      <w:marBottom w:val="0"/>
      <w:divBdr>
        <w:top w:val="none" w:sz="0" w:space="0" w:color="auto"/>
        <w:left w:val="none" w:sz="0" w:space="0" w:color="auto"/>
        <w:bottom w:val="none" w:sz="0" w:space="0" w:color="auto"/>
        <w:right w:val="none" w:sz="0" w:space="0" w:color="auto"/>
      </w:divBdr>
    </w:div>
    <w:div w:id="1901867019">
      <w:bodyDiv w:val="1"/>
      <w:marLeft w:val="0"/>
      <w:marRight w:val="0"/>
      <w:marTop w:val="0"/>
      <w:marBottom w:val="0"/>
      <w:divBdr>
        <w:top w:val="none" w:sz="0" w:space="0" w:color="auto"/>
        <w:left w:val="none" w:sz="0" w:space="0" w:color="auto"/>
        <w:bottom w:val="none" w:sz="0" w:space="0" w:color="auto"/>
        <w:right w:val="none" w:sz="0" w:space="0" w:color="auto"/>
      </w:divBdr>
    </w:div>
    <w:div w:id="1901935169">
      <w:bodyDiv w:val="1"/>
      <w:marLeft w:val="0"/>
      <w:marRight w:val="0"/>
      <w:marTop w:val="0"/>
      <w:marBottom w:val="0"/>
      <w:divBdr>
        <w:top w:val="none" w:sz="0" w:space="0" w:color="auto"/>
        <w:left w:val="none" w:sz="0" w:space="0" w:color="auto"/>
        <w:bottom w:val="none" w:sz="0" w:space="0" w:color="auto"/>
        <w:right w:val="none" w:sz="0" w:space="0" w:color="auto"/>
      </w:divBdr>
    </w:div>
    <w:div w:id="1901939811">
      <w:bodyDiv w:val="1"/>
      <w:marLeft w:val="0"/>
      <w:marRight w:val="0"/>
      <w:marTop w:val="0"/>
      <w:marBottom w:val="0"/>
      <w:divBdr>
        <w:top w:val="none" w:sz="0" w:space="0" w:color="auto"/>
        <w:left w:val="none" w:sz="0" w:space="0" w:color="auto"/>
        <w:bottom w:val="none" w:sz="0" w:space="0" w:color="auto"/>
        <w:right w:val="none" w:sz="0" w:space="0" w:color="auto"/>
      </w:divBdr>
    </w:div>
    <w:div w:id="1901943107">
      <w:bodyDiv w:val="1"/>
      <w:marLeft w:val="0"/>
      <w:marRight w:val="0"/>
      <w:marTop w:val="0"/>
      <w:marBottom w:val="0"/>
      <w:divBdr>
        <w:top w:val="none" w:sz="0" w:space="0" w:color="auto"/>
        <w:left w:val="none" w:sz="0" w:space="0" w:color="auto"/>
        <w:bottom w:val="none" w:sz="0" w:space="0" w:color="auto"/>
        <w:right w:val="none" w:sz="0" w:space="0" w:color="auto"/>
      </w:divBdr>
    </w:div>
    <w:div w:id="1902012781">
      <w:bodyDiv w:val="1"/>
      <w:marLeft w:val="0"/>
      <w:marRight w:val="0"/>
      <w:marTop w:val="0"/>
      <w:marBottom w:val="0"/>
      <w:divBdr>
        <w:top w:val="none" w:sz="0" w:space="0" w:color="auto"/>
        <w:left w:val="none" w:sz="0" w:space="0" w:color="auto"/>
        <w:bottom w:val="none" w:sz="0" w:space="0" w:color="auto"/>
        <w:right w:val="none" w:sz="0" w:space="0" w:color="auto"/>
      </w:divBdr>
    </w:div>
    <w:div w:id="1902253616">
      <w:bodyDiv w:val="1"/>
      <w:marLeft w:val="0"/>
      <w:marRight w:val="0"/>
      <w:marTop w:val="0"/>
      <w:marBottom w:val="0"/>
      <w:divBdr>
        <w:top w:val="none" w:sz="0" w:space="0" w:color="auto"/>
        <w:left w:val="none" w:sz="0" w:space="0" w:color="auto"/>
        <w:bottom w:val="none" w:sz="0" w:space="0" w:color="auto"/>
        <w:right w:val="none" w:sz="0" w:space="0" w:color="auto"/>
      </w:divBdr>
    </w:div>
    <w:div w:id="1902322447">
      <w:bodyDiv w:val="1"/>
      <w:marLeft w:val="0"/>
      <w:marRight w:val="0"/>
      <w:marTop w:val="0"/>
      <w:marBottom w:val="0"/>
      <w:divBdr>
        <w:top w:val="none" w:sz="0" w:space="0" w:color="auto"/>
        <w:left w:val="none" w:sz="0" w:space="0" w:color="auto"/>
        <w:bottom w:val="none" w:sz="0" w:space="0" w:color="auto"/>
        <w:right w:val="none" w:sz="0" w:space="0" w:color="auto"/>
      </w:divBdr>
    </w:div>
    <w:div w:id="1902397208">
      <w:bodyDiv w:val="1"/>
      <w:marLeft w:val="0"/>
      <w:marRight w:val="0"/>
      <w:marTop w:val="0"/>
      <w:marBottom w:val="0"/>
      <w:divBdr>
        <w:top w:val="none" w:sz="0" w:space="0" w:color="auto"/>
        <w:left w:val="none" w:sz="0" w:space="0" w:color="auto"/>
        <w:bottom w:val="none" w:sz="0" w:space="0" w:color="auto"/>
        <w:right w:val="none" w:sz="0" w:space="0" w:color="auto"/>
      </w:divBdr>
    </w:div>
    <w:div w:id="1902518625">
      <w:bodyDiv w:val="1"/>
      <w:marLeft w:val="0"/>
      <w:marRight w:val="0"/>
      <w:marTop w:val="0"/>
      <w:marBottom w:val="0"/>
      <w:divBdr>
        <w:top w:val="none" w:sz="0" w:space="0" w:color="auto"/>
        <w:left w:val="none" w:sz="0" w:space="0" w:color="auto"/>
        <w:bottom w:val="none" w:sz="0" w:space="0" w:color="auto"/>
        <w:right w:val="none" w:sz="0" w:space="0" w:color="auto"/>
      </w:divBdr>
    </w:div>
    <w:div w:id="1902713305">
      <w:bodyDiv w:val="1"/>
      <w:marLeft w:val="0"/>
      <w:marRight w:val="0"/>
      <w:marTop w:val="0"/>
      <w:marBottom w:val="0"/>
      <w:divBdr>
        <w:top w:val="none" w:sz="0" w:space="0" w:color="auto"/>
        <w:left w:val="none" w:sz="0" w:space="0" w:color="auto"/>
        <w:bottom w:val="none" w:sz="0" w:space="0" w:color="auto"/>
        <w:right w:val="none" w:sz="0" w:space="0" w:color="auto"/>
      </w:divBdr>
    </w:div>
    <w:div w:id="1902791193">
      <w:bodyDiv w:val="1"/>
      <w:marLeft w:val="0"/>
      <w:marRight w:val="0"/>
      <w:marTop w:val="0"/>
      <w:marBottom w:val="0"/>
      <w:divBdr>
        <w:top w:val="none" w:sz="0" w:space="0" w:color="auto"/>
        <w:left w:val="none" w:sz="0" w:space="0" w:color="auto"/>
        <w:bottom w:val="none" w:sz="0" w:space="0" w:color="auto"/>
        <w:right w:val="none" w:sz="0" w:space="0" w:color="auto"/>
      </w:divBdr>
    </w:div>
    <w:div w:id="1902976964">
      <w:bodyDiv w:val="1"/>
      <w:marLeft w:val="0"/>
      <w:marRight w:val="0"/>
      <w:marTop w:val="0"/>
      <w:marBottom w:val="0"/>
      <w:divBdr>
        <w:top w:val="none" w:sz="0" w:space="0" w:color="auto"/>
        <w:left w:val="none" w:sz="0" w:space="0" w:color="auto"/>
        <w:bottom w:val="none" w:sz="0" w:space="0" w:color="auto"/>
        <w:right w:val="none" w:sz="0" w:space="0" w:color="auto"/>
      </w:divBdr>
    </w:div>
    <w:div w:id="1902982532">
      <w:bodyDiv w:val="1"/>
      <w:marLeft w:val="0"/>
      <w:marRight w:val="0"/>
      <w:marTop w:val="0"/>
      <w:marBottom w:val="0"/>
      <w:divBdr>
        <w:top w:val="none" w:sz="0" w:space="0" w:color="auto"/>
        <w:left w:val="none" w:sz="0" w:space="0" w:color="auto"/>
        <w:bottom w:val="none" w:sz="0" w:space="0" w:color="auto"/>
        <w:right w:val="none" w:sz="0" w:space="0" w:color="auto"/>
      </w:divBdr>
    </w:div>
    <w:div w:id="1903055954">
      <w:bodyDiv w:val="1"/>
      <w:marLeft w:val="0"/>
      <w:marRight w:val="0"/>
      <w:marTop w:val="0"/>
      <w:marBottom w:val="0"/>
      <w:divBdr>
        <w:top w:val="none" w:sz="0" w:space="0" w:color="auto"/>
        <w:left w:val="none" w:sz="0" w:space="0" w:color="auto"/>
        <w:bottom w:val="none" w:sz="0" w:space="0" w:color="auto"/>
        <w:right w:val="none" w:sz="0" w:space="0" w:color="auto"/>
      </w:divBdr>
    </w:div>
    <w:div w:id="1903177059">
      <w:bodyDiv w:val="1"/>
      <w:marLeft w:val="0"/>
      <w:marRight w:val="0"/>
      <w:marTop w:val="0"/>
      <w:marBottom w:val="0"/>
      <w:divBdr>
        <w:top w:val="none" w:sz="0" w:space="0" w:color="auto"/>
        <w:left w:val="none" w:sz="0" w:space="0" w:color="auto"/>
        <w:bottom w:val="none" w:sz="0" w:space="0" w:color="auto"/>
        <w:right w:val="none" w:sz="0" w:space="0" w:color="auto"/>
      </w:divBdr>
    </w:div>
    <w:div w:id="1903254515">
      <w:bodyDiv w:val="1"/>
      <w:marLeft w:val="0"/>
      <w:marRight w:val="0"/>
      <w:marTop w:val="0"/>
      <w:marBottom w:val="0"/>
      <w:divBdr>
        <w:top w:val="none" w:sz="0" w:space="0" w:color="auto"/>
        <w:left w:val="none" w:sz="0" w:space="0" w:color="auto"/>
        <w:bottom w:val="none" w:sz="0" w:space="0" w:color="auto"/>
        <w:right w:val="none" w:sz="0" w:space="0" w:color="auto"/>
      </w:divBdr>
    </w:div>
    <w:div w:id="1903368312">
      <w:bodyDiv w:val="1"/>
      <w:marLeft w:val="0"/>
      <w:marRight w:val="0"/>
      <w:marTop w:val="0"/>
      <w:marBottom w:val="0"/>
      <w:divBdr>
        <w:top w:val="none" w:sz="0" w:space="0" w:color="auto"/>
        <w:left w:val="none" w:sz="0" w:space="0" w:color="auto"/>
        <w:bottom w:val="none" w:sz="0" w:space="0" w:color="auto"/>
        <w:right w:val="none" w:sz="0" w:space="0" w:color="auto"/>
      </w:divBdr>
    </w:div>
    <w:div w:id="1903372617">
      <w:bodyDiv w:val="1"/>
      <w:marLeft w:val="0"/>
      <w:marRight w:val="0"/>
      <w:marTop w:val="0"/>
      <w:marBottom w:val="0"/>
      <w:divBdr>
        <w:top w:val="none" w:sz="0" w:space="0" w:color="auto"/>
        <w:left w:val="none" w:sz="0" w:space="0" w:color="auto"/>
        <w:bottom w:val="none" w:sz="0" w:space="0" w:color="auto"/>
        <w:right w:val="none" w:sz="0" w:space="0" w:color="auto"/>
      </w:divBdr>
    </w:div>
    <w:div w:id="1903522885">
      <w:bodyDiv w:val="1"/>
      <w:marLeft w:val="0"/>
      <w:marRight w:val="0"/>
      <w:marTop w:val="0"/>
      <w:marBottom w:val="0"/>
      <w:divBdr>
        <w:top w:val="none" w:sz="0" w:space="0" w:color="auto"/>
        <w:left w:val="none" w:sz="0" w:space="0" w:color="auto"/>
        <w:bottom w:val="none" w:sz="0" w:space="0" w:color="auto"/>
        <w:right w:val="none" w:sz="0" w:space="0" w:color="auto"/>
      </w:divBdr>
    </w:div>
    <w:div w:id="1903566648">
      <w:bodyDiv w:val="1"/>
      <w:marLeft w:val="0"/>
      <w:marRight w:val="0"/>
      <w:marTop w:val="0"/>
      <w:marBottom w:val="0"/>
      <w:divBdr>
        <w:top w:val="none" w:sz="0" w:space="0" w:color="auto"/>
        <w:left w:val="none" w:sz="0" w:space="0" w:color="auto"/>
        <w:bottom w:val="none" w:sz="0" w:space="0" w:color="auto"/>
        <w:right w:val="none" w:sz="0" w:space="0" w:color="auto"/>
      </w:divBdr>
    </w:div>
    <w:div w:id="1903710517">
      <w:bodyDiv w:val="1"/>
      <w:marLeft w:val="0"/>
      <w:marRight w:val="0"/>
      <w:marTop w:val="0"/>
      <w:marBottom w:val="0"/>
      <w:divBdr>
        <w:top w:val="none" w:sz="0" w:space="0" w:color="auto"/>
        <w:left w:val="none" w:sz="0" w:space="0" w:color="auto"/>
        <w:bottom w:val="none" w:sz="0" w:space="0" w:color="auto"/>
        <w:right w:val="none" w:sz="0" w:space="0" w:color="auto"/>
      </w:divBdr>
    </w:div>
    <w:div w:id="1903710739">
      <w:bodyDiv w:val="1"/>
      <w:marLeft w:val="0"/>
      <w:marRight w:val="0"/>
      <w:marTop w:val="0"/>
      <w:marBottom w:val="0"/>
      <w:divBdr>
        <w:top w:val="none" w:sz="0" w:space="0" w:color="auto"/>
        <w:left w:val="none" w:sz="0" w:space="0" w:color="auto"/>
        <w:bottom w:val="none" w:sz="0" w:space="0" w:color="auto"/>
        <w:right w:val="none" w:sz="0" w:space="0" w:color="auto"/>
      </w:divBdr>
    </w:div>
    <w:div w:id="1903829301">
      <w:bodyDiv w:val="1"/>
      <w:marLeft w:val="0"/>
      <w:marRight w:val="0"/>
      <w:marTop w:val="0"/>
      <w:marBottom w:val="0"/>
      <w:divBdr>
        <w:top w:val="none" w:sz="0" w:space="0" w:color="auto"/>
        <w:left w:val="none" w:sz="0" w:space="0" w:color="auto"/>
        <w:bottom w:val="none" w:sz="0" w:space="0" w:color="auto"/>
        <w:right w:val="none" w:sz="0" w:space="0" w:color="auto"/>
      </w:divBdr>
    </w:div>
    <w:div w:id="1904096001">
      <w:bodyDiv w:val="1"/>
      <w:marLeft w:val="0"/>
      <w:marRight w:val="0"/>
      <w:marTop w:val="0"/>
      <w:marBottom w:val="0"/>
      <w:divBdr>
        <w:top w:val="none" w:sz="0" w:space="0" w:color="auto"/>
        <w:left w:val="none" w:sz="0" w:space="0" w:color="auto"/>
        <w:bottom w:val="none" w:sz="0" w:space="0" w:color="auto"/>
        <w:right w:val="none" w:sz="0" w:space="0" w:color="auto"/>
      </w:divBdr>
    </w:div>
    <w:div w:id="1904101589">
      <w:bodyDiv w:val="1"/>
      <w:marLeft w:val="0"/>
      <w:marRight w:val="0"/>
      <w:marTop w:val="0"/>
      <w:marBottom w:val="0"/>
      <w:divBdr>
        <w:top w:val="none" w:sz="0" w:space="0" w:color="auto"/>
        <w:left w:val="none" w:sz="0" w:space="0" w:color="auto"/>
        <w:bottom w:val="none" w:sz="0" w:space="0" w:color="auto"/>
        <w:right w:val="none" w:sz="0" w:space="0" w:color="auto"/>
      </w:divBdr>
    </w:div>
    <w:div w:id="1904214565">
      <w:bodyDiv w:val="1"/>
      <w:marLeft w:val="0"/>
      <w:marRight w:val="0"/>
      <w:marTop w:val="0"/>
      <w:marBottom w:val="0"/>
      <w:divBdr>
        <w:top w:val="none" w:sz="0" w:space="0" w:color="auto"/>
        <w:left w:val="none" w:sz="0" w:space="0" w:color="auto"/>
        <w:bottom w:val="none" w:sz="0" w:space="0" w:color="auto"/>
        <w:right w:val="none" w:sz="0" w:space="0" w:color="auto"/>
      </w:divBdr>
    </w:div>
    <w:div w:id="1904217575">
      <w:bodyDiv w:val="1"/>
      <w:marLeft w:val="0"/>
      <w:marRight w:val="0"/>
      <w:marTop w:val="0"/>
      <w:marBottom w:val="0"/>
      <w:divBdr>
        <w:top w:val="none" w:sz="0" w:space="0" w:color="auto"/>
        <w:left w:val="none" w:sz="0" w:space="0" w:color="auto"/>
        <w:bottom w:val="none" w:sz="0" w:space="0" w:color="auto"/>
        <w:right w:val="none" w:sz="0" w:space="0" w:color="auto"/>
      </w:divBdr>
    </w:div>
    <w:div w:id="1904290856">
      <w:bodyDiv w:val="1"/>
      <w:marLeft w:val="0"/>
      <w:marRight w:val="0"/>
      <w:marTop w:val="0"/>
      <w:marBottom w:val="0"/>
      <w:divBdr>
        <w:top w:val="none" w:sz="0" w:space="0" w:color="auto"/>
        <w:left w:val="none" w:sz="0" w:space="0" w:color="auto"/>
        <w:bottom w:val="none" w:sz="0" w:space="0" w:color="auto"/>
        <w:right w:val="none" w:sz="0" w:space="0" w:color="auto"/>
      </w:divBdr>
    </w:div>
    <w:div w:id="1904294560">
      <w:bodyDiv w:val="1"/>
      <w:marLeft w:val="0"/>
      <w:marRight w:val="0"/>
      <w:marTop w:val="0"/>
      <w:marBottom w:val="0"/>
      <w:divBdr>
        <w:top w:val="none" w:sz="0" w:space="0" w:color="auto"/>
        <w:left w:val="none" w:sz="0" w:space="0" w:color="auto"/>
        <w:bottom w:val="none" w:sz="0" w:space="0" w:color="auto"/>
        <w:right w:val="none" w:sz="0" w:space="0" w:color="auto"/>
      </w:divBdr>
    </w:div>
    <w:div w:id="1904412110">
      <w:bodyDiv w:val="1"/>
      <w:marLeft w:val="0"/>
      <w:marRight w:val="0"/>
      <w:marTop w:val="0"/>
      <w:marBottom w:val="0"/>
      <w:divBdr>
        <w:top w:val="none" w:sz="0" w:space="0" w:color="auto"/>
        <w:left w:val="none" w:sz="0" w:space="0" w:color="auto"/>
        <w:bottom w:val="none" w:sz="0" w:space="0" w:color="auto"/>
        <w:right w:val="none" w:sz="0" w:space="0" w:color="auto"/>
      </w:divBdr>
    </w:div>
    <w:div w:id="1904412345">
      <w:bodyDiv w:val="1"/>
      <w:marLeft w:val="0"/>
      <w:marRight w:val="0"/>
      <w:marTop w:val="0"/>
      <w:marBottom w:val="0"/>
      <w:divBdr>
        <w:top w:val="none" w:sz="0" w:space="0" w:color="auto"/>
        <w:left w:val="none" w:sz="0" w:space="0" w:color="auto"/>
        <w:bottom w:val="none" w:sz="0" w:space="0" w:color="auto"/>
        <w:right w:val="none" w:sz="0" w:space="0" w:color="auto"/>
      </w:divBdr>
    </w:div>
    <w:div w:id="1904675264">
      <w:bodyDiv w:val="1"/>
      <w:marLeft w:val="0"/>
      <w:marRight w:val="0"/>
      <w:marTop w:val="0"/>
      <w:marBottom w:val="0"/>
      <w:divBdr>
        <w:top w:val="none" w:sz="0" w:space="0" w:color="auto"/>
        <w:left w:val="none" w:sz="0" w:space="0" w:color="auto"/>
        <w:bottom w:val="none" w:sz="0" w:space="0" w:color="auto"/>
        <w:right w:val="none" w:sz="0" w:space="0" w:color="auto"/>
      </w:divBdr>
    </w:div>
    <w:div w:id="1904679597">
      <w:bodyDiv w:val="1"/>
      <w:marLeft w:val="0"/>
      <w:marRight w:val="0"/>
      <w:marTop w:val="0"/>
      <w:marBottom w:val="0"/>
      <w:divBdr>
        <w:top w:val="none" w:sz="0" w:space="0" w:color="auto"/>
        <w:left w:val="none" w:sz="0" w:space="0" w:color="auto"/>
        <w:bottom w:val="none" w:sz="0" w:space="0" w:color="auto"/>
        <w:right w:val="none" w:sz="0" w:space="0" w:color="auto"/>
      </w:divBdr>
    </w:div>
    <w:div w:id="1904825382">
      <w:bodyDiv w:val="1"/>
      <w:marLeft w:val="0"/>
      <w:marRight w:val="0"/>
      <w:marTop w:val="0"/>
      <w:marBottom w:val="0"/>
      <w:divBdr>
        <w:top w:val="none" w:sz="0" w:space="0" w:color="auto"/>
        <w:left w:val="none" w:sz="0" w:space="0" w:color="auto"/>
        <w:bottom w:val="none" w:sz="0" w:space="0" w:color="auto"/>
        <w:right w:val="none" w:sz="0" w:space="0" w:color="auto"/>
      </w:divBdr>
    </w:div>
    <w:div w:id="1904832300">
      <w:bodyDiv w:val="1"/>
      <w:marLeft w:val="0"/>
      <w:marRight w:val="0"/>
      <w:marTop w:val="0"/>
      <w:marBottom w:val="0"/>
      <w:divBdr>
        <w:top w:val="none" w:sz="0" w:space="0" w:color="auto"/>
        <w:left w:val="none" w:sz="0" w:space="0" w:color="auto"/>
        <w:bottom w:val="none" w:sz="0" w:space="0" w:color="auto"/>
        <w:right w:val="none" w:sz="0" w:space="0" w:color="auto"/>
      </w:divBdr>
    </w:div>
    <w:div w:id="1904947788">
      <w:bodyDiv w:val="1"/>
      <w:marLeft w:val="0"/>
      <w:marRight w:val="0"/>
      <w:marTop w:val="0"/>
      <w:marBottom w:val="0"/>
      <w:divBdr>
        <w:top w:val="none" w:sz="0" w:space="0" w:color="auto"/>
        <w:left w:val="none" w:sz="0" w:space="0" w:color="auto"/>
        <w:bottom w:val="none" w:sz="0" w:space="0" w:color="auto"/>
        <w:right w:val="none" w:sz="0" w:space="0" w:color="auto"/>
      </w:divBdr>
    </w:div>
    <w:div w:id="1904951812">
      <w:bodyDiv w:val="1"/>
      <w:marLeft w:val="0"/>
      <w:marRight w:val="0"/>
      <w:marTop w:val="0"/>
      <w:marBottom w:val="0"/>
      <w:divBdr>
        <w:top w:val="none" w:sz="0" w:space="0" w:color="auto"/>
        <w:left w:val="none" w:sz="0" w:space="0" w:color="auto"/>
        <w:bottom w:val="none" w:sz="0" w:space="0" w:color="auto"/>
        <w:right w:val="none" w:sz="0" w:space="0" w:color="auto"/>
      </w:divBdr>
    </w:div>
    <w:div w:id="1905022124">
      <w:bodyDiv w:val="1"/>
      <w:marLeft w:val="0"/>
      <w:marRight w:val="0"/>
      <w:marTop w:val="0"/>
      <w:marBottom w:val="0"/>
      <w:divBdr>
        <w:top w:val="none" w:sz="0" w:space="0" w:color="auto"/>
        <w:left w:val="none" w:sz="0" w:space="0" w:color="auto"/>
        <w:bottom w:val="none" w:sz="0" w:space="0" w:color="auto"/>
        <w:right w:val="none" w:sz="0" w:space="0" w:color="auto"/>
      </w:divBdr>
    </w:div>
    <w:div w:id="1905026030">
      <w:bodyDiv w:val="1"/>
      <w:marLeft w:val="0"/>
      <w:marRight w:val="0"/>
      <w:marTop w:val="0"/>
      <w:marBottom w:val="0"/>
      <w:divBdr>
        <w:top w:val="none" w:sz="0" w:space="0" w:color="auto"/>
        <w:left w:val="none" w:sz="0" w:space="0" w:color="auto"/>
        <w:bottom w:val="none" w:sz="0" w:space="0" w:color="auto"/>
        <w:right w:val="none" w:sz="0" w:space="0" w:color="auto"/>
      </w:divBdr>
    </w:div>
    <w:div w:id="1905094803">
      <w:bodyDiv w:val="1"/>
      <w:marLeft w:val="0"/>
      <w:marRight w:val="0"/>
      <w:marTop w:val="0"/>
      <w:marBottom w:val="0"/>
      <w:divBdr>
        <w:top w:val="none" w:sz="0" w:space="0" w:color="auto"/>
        <w:left w:val="none" w:sz="0" w:space="0" w:color="auto"/>
        <w:bottom w:val="none" w:sz="0" w:space="0" w:color="auto"/>
        <w:right w:val="none" w:sz="0" w:space="0" w:color="auto"/>
      </w:divBdr>
    </w:div>
    <w:div w:id="1905095944">
      <w:bodyDiv w:val="1"/>
      <w:marLeft w:val="0"/>
      <w:marRight w:val="0"/>
      <w:marTop w:val="0"/>
      <w:marBottom w:val="0"/>
      <w:divBdr>
        <w:top w:val="none" w:sz="0" w:space="0" w:color="auto"/>
        <w:left w:val="none" w:sz="0" w:space="0" w:color="auto"/>
        <w:bottom w:val="none" w:sz="0" w:space="0" w:color="auto"/>
        <w:right w:val="none" w:sz="0" w:space="0" w:color="auto"/>
      </w:divBdr>
    </w:div>
    <w:div w:id="1905137393">
      <w:bodyDiv w:val="1"/>
      <w:marLeft w:val="0"/>
      <w:marRight w:val="0"/>
      <w:marTop w:val="0"/>
      <w:marBottom w:val="0"/>
      <w:divBdr>
        <w:top w:val="none" w:sz="0" w:space="0" w:color="auto"/>
        <w:left w:val="none" w:sz="0" w:space="0" w:color="auto"/>
        <w:bottom w:val="none" w:sz="0" w:space="0" w:color="auto"/>
        <w:right w:val="none" w:sz="0" w:space="0" w:color="auto"/>
      </w:divBdr>
    </w:div>
    <w:div w:id="1905141371">
      <w:bodyDiv w:val="1"/>
      <w:marLeft w:val="0"/>
      <w:marRight w:val="0"/>
      <w:marTop w:val="0"/>
      <w:marBottom w:val="0"/>
      <w:divBdr>
        <w:top w:val="none" w:sz="0" w:space="0" w:color="auto"/>
        <w:left w:val="none" w:sz="0" w:space="0" w:color="auto"/>
        <w:bottom w:val="none" w:sz="0" w:space="0" w:color="auto"/>
        <w:right w:val="none" w:sz="0" w:space="0" w:color="auto"/>
      </w:divBdr>
    </w:div>
    <w:div w:id="1905211420">
      <w:bodyDiv w:val="1"/>
      <w:marLeft w:val="0"/>
      <w:marRight w:val="0"/>
      <w:marTop w:val="0"/>
      <w:marBottom w:val="0"/>
      <w:divBdr>
        <w:top w:val="none" w:sz="0" w:space="0" w:color="auto"/>
        <w:left w:val="none" w:sz="0" w:space="0" w:color="auto"/>
        <w:bottom w:val="none" w:sz="0" w:space="0" w:color="auto"/>
        <w:right w:val="none" w:sz="0" w:space="0" w:color="auto"/>
      </w:divBdr>
    </w:div>
    <w:div w:id="1905289144">
      <w:bodyDiv w:val="1"/>
      <w:marLeft w:val="0"/>
      <w:marRight w:val="0"/>
      <w:marTop w:val="0"/>
      <w:marBottom w:val="0"/>
      <w:divBdr>
        <w:top w:val="none" w:sz="0" w:space="0" w:color="auto"/>
        <w:left w:val="none" w:sz="0" w:space="0" w:color="auto"/>
        <w:bottom w:val="none" w:sz="0" w:space="0" w:color="auto"/>
        <w:right w:val="none" w:sz="0" w:space="0" w:color="auto"/>
      </w:divBdr>
    </w:div>
    <w:div w:id="1905410340">
      <w:bodyDiv w:val="1"/>
      <w:marLeft w:val="0"/>
      <w:marRight w:val="0"/>
      <w:marTop w:val="0"/>
      <w:marBottom w:val="0"/>
      <w:divBdr>
        <w:top w:val="none" w:sz="0" w:space="0" w:color="auto"/>
        <w:left w:val="none" w:sz="0" w:space="0" w:color="auto"/>
        <w:bottom w:val="none" w:sz="0" w:space="0" w:color="auto"/>
        <w:right w:val="none" w:sz="0" w:space="0" w:color="auto"/>
      </w:divBdr>
    </w:div>
    <w:div w:id="1905410967">
      <w:bodyDiv w:val="1"/>
      <w:marLeft w:val="0"/>
      <w:marRight w:val="0"/>
      <w:marTop w:val="0"/>
      <w:marBottom w:val="0"/>
      <w:divBdr>
        <w:top w:val="none" w:sz="0" w:space="0" w:color="auto"/>
        <w:left w:val="none" w:sz="0" w:space="0" w:color="auto"/>
        <w:bottom w:val="none" w:sz="0" w:space="0" w:color="auto"/>
        <w:right w:val="none" w:sz="0" w:space="0" w:color="auto"/>
      </w:divBdr>
    </w:div>
    <w:div w:id="1905531506">
      <w:bodyDiv w:val="1"/>
      <w:marLeft w:val="0"/>
      <w:marRight w:val="0"/>
      <w:marTop w:val="0"/>
      <w:marBottom w:val="0"/>
      <w:divBdr>
        <w:top w:val="none" w:sz="0" w:space="0" w:color="auto"/>
        <w:left w:val="none" w:sz="0" w:space="0" w:color="auto"/>
        <w:bottom w:val="none" w:sz="0" w:space="0" w:color="auto"/>
        <w:right w:val="none" w:sz="0" w:space="0" w:color="auto"/>
      </w:divBdr>
    </w:div>
    <w:div w:id="1905749992">
      <w:bodyDiv w:val="1"/>
      <w:marLeft w:val="0"/>
      <w:marRight w:val="0"/>
      <w:marTop w:val="0"/>
      <w:marBottom w:val="0"/>
      <w:divBdr>
        <w:top w:val="none" w:sz="0" w:space="0" w:color="auto"/>
        <w:left w:val="none" w:sz="0" w:space="0" w:color="auto"/>
        <w:bottom w:val="none" w:sz="0" w:space="0" w:color="auto"/>
        <w:right w:val="none" w:sz="0" w:space="0" w:color="auto"/>
      </w:divBdr>
    </w:div>
    <w:div w:id="1905793492">
      <w:bodyDiv w:val="1"/>
      <w:marLeft w:val="0"/>
      <w:marRight w:val="0"/>
      <w:marTop w:val="0"/>
      <w:marBottom w:val="0"/>
      <w:divBdr>
        <w:top w:val="none" w:sz="0" w:space="0" w:color="auto"/>
        <w:left w:val="none" w:sz="0" w:space="0" w:color="auto"/>
        <w:bottom w:val="none" w:sz="0" w:space="0" w:color="auto"/>
        <w:right w:val="none" w:sz="0" w:space="0" w:color="auto"/>
      </w:divBdr>
    </w:div>
    <w:div w:id="1905800224">
      <w:bodyDiv w:val="1"/>
      <w:marLeft w:val="0"/>
      <w:marRight w:val="0"/>
      <w:marTop w:val="0"/>
      <w:marBottom w:val="0"/>
      <w:divBdr>
        <w:top w:val="none" w:sz="0" w:space="0" w:color="auto"/>
        <w:left w:val="none" w:sz="0" w:space="0" w:color="auto"/>
        <w:bottom w:val="none" w:sz="0" w:space="0" w:color="auto"/>
        <w:right w:val="none" w:sz="0" w:space="0" w:color="auto"/>
      </w:divBdr>
    </w:div>
    <w:div w:id="1906060894">
      <w:bodyDiv w:val="1"/>
      <w:marLeft w:val="0"/>
      <w:marRight w:val="0"/>
      <w:marTop w:val="0"/>
      <w:marBottom w:val="0"/>
      <w:divBdr>
        <w:top w:val="none" w:sz="0" w:space="0" w:color="auto"/>
        <w:left w:val="none" w:sz="0" w:space="0" w:color="auto"/>
        <w:bottom w:val="none" w:sz="0" w:space="0" w:color="auto"/>
        <w:right w:val="none" w:sz="0" w:space="0" w:color="auto"/>
      </w:divBdr>
    </w:div>
    <w:div w:id="1906065136">
      <w:bodyDiv w:val="1"/>
      <w:marLeft w:val="0"/>
      <w:marRight w:val="0"/>
      <w:marTop w:val="0"/>
      <w:marBottom w:val="0"/>
      <w:divBdr>
        <w:top w:val="none" w:sz="0" w:space="0" w:color="auto"/>
        <w:left w:val="none" w:sz="0" w:space="0" w:color="auto"/>
        <w:bottom w:val="none" w:sz="0" w:space="0" w:color="auto"/>
        <w:right w:val="none" w:sz="0" w:space="0" w:color="auto"/>
      </w:divBdr>
    </w:div>
    <w:div w:id="1906139896">
      <w:bodyDiv w:val="1"/>
      <w:marLeft w:val="0"/>
      <w:marRight w:val="0"/>
      <w:marTop w:val="0"/>
      <w:marBottom w:val="0"/>
      <w:divBdr>
        <w:top w:val="none" w:sz="0" w:space="0" w:color="auto"/>
        <w:left w:val="none" w:sz="0" w:space="0" w:color="auto"/>
        <w:bottom w:val="none" w:sz="0" w:space="0" w:color="auto"/>
        <w:right w:val="none" w:sz="0" w:space="0" w:color="auto"/>
      </w:divBdr>
    </w:div>
    <w:div w:id="1906140046">
      <w:bodyDiv w:val="1"/>
      <w:marLeft w:val="0"/>
      <w:marRight w:val="0"/>
      <w:marTop w:val="0"/>
      <w:marBottom w:val="0"/>
      <w:divBdr>
        <w:top w:val="none" w:sz="0" w:space="0" w:color="auto"/>
        <w:left w:val="none" w:sz="0" w:space="0" w:color="auto"/>
        <w:bottom w:val="none" w:sz="0" w:space="0" w:color="auto"/>
        <w:right w:val="none" w:sz="0" w:space="0" w:color="auto"/>
      </w:divBdr>
    </w:div>
    <w:div w:id="1906182520">
      <w:bodyDiv w:val="1"/>
      <w:marLeft w:val="0"/>
      <w:marRight w:val="0"/>
      <w:marTop w:val="0"/>
      <w:marBottom w:val="0"/>
      <w:divBdr>
        <w:top w:val="none" w:sz="0" w:space="0" w:color="auto"/>
        <w:left w:val="none" w:sz="0" w:space="0" w:color="auto"/>
        <w:bottom w:val="none" w:sz="0" w:space="0" w:color="auto"/>
        <w:right w:val="none" w:sz="0" w:space="0" w:color="auto"/>
      </w:divBdr>
    </w:div>
    <w:div w:id="1906184850">
      <w:bodyDiv w:val="1"/>
      <w:marLeft w:val="0"/>
      <w:marRight w:val="0"/>
      <w:marTop w:val="0"/>
      <w:marBottom w:val="0"/>
      <w:divBdr>
        <w:top w:val="none" w:sz="0" w:space="0" w:color="auto"/>
        <w:left w:val="none" w:sz="0" w:space="0" w:color="auto"/>
        <w:bottom w:val="none" w:sz="0" w:space="0" w:color="auto"/>
        <w:right w:val="none" w:sz="0" w:space="0" w:color="auto"/>
      </w:divBdr>
    </w:div>
    <w:div w:id="1906254360">
      <w:bodyDiv w:val="1"/>
      <w:marLeft w:val="0"/>
      <w:marRight w:val="0"/>
      <w:marTop w:val="0"/>
      <w:marBottom w:val="0"/>
      <w:divBdr>
        <w:top w:val="none" w:sz="0" w:space="0" w:color="auto"/>
        <w:left w:val="none" w:sz="0" w:space="0" w:color="auto"/>
        <w:bottom w:val="none" w:sz="0" w:space="0" w:color="auto"/>
        <w:right w:val="none" w:sz="0" w:space="0" w:color="auto"/>
      </w:divBdr>
    </w:div>
    <w:div w:id="1906256032">
      <w:bodyDiv w:val="1"/>
      <w:marLeft w:val="0"/>
      <w:marRight w:val="0"/>
      <w:marTop w:val="0"/>
      <w:marBottom w:val="0"/>
      <w:divBdr>
        <w:top w:val="none" w:sz="0" w:space="0" w:color="auto"/>
        <w:left w:val="none" w:sz="0" w:space="0" w:color="auto"/>
        <w:bottom w:val="none" w:sz="0" w:space="0" w:color="auto"/>
        <w:right w:val="none" w:sz="0" w:space="0" w:color="auto"/>
      </w:divBdr>
    </w:div>
    <w:div w:id="1906261739">
      <w:bodyDiv w:val="1"/>
      <w:marLeft w:val="0"/>
      <w:marRight w:val="0"/>
      <w:marTop w:val="0"/>
      <w:marBottom w:val="0"/>
      <w:divBdr>
        <w:top w:val="none" w:sz="0" w:space="0" w:color="auto"/>
        <w:left w:val="none" w:sz="0" w:space="0" w:color="auto"/>
        <w:bottom w:val="none" w:sz="0" w:space="0" w:color="auto"/>
        <w:right w:val="none" w:sz="0" w:space="0" w:color="auto"/>
      </w:divBdr>
    </w:div>
    <w:div w:id="1906405630">
      <w:bodyDiv w:val="1"/>
      <w:marLeft w:val="0"/>
      <w:marRight w:val="0"/>
      <w:marTop w:val="0"/>
      <w:marBottom w:val="0"/>
      <w:divBdr>
        <w:top w:val="none" w:sz="0" w:space="0" w:color="auto"/>
        <w:left w:val="none" w:sz="0" w:space="0" w:color="auto"/>
        <w:bottom w:val="none" w:sz="0" w:space="0" w:color="auto"/>
        <w:right w:val="none" w:sz="0" w:space="0" w:color="auto"/>
      </w:divBdr>
    </w:div>
    <w:div w:id="1906529907">
      <w:bodyDiv w:val="1"/>
      <w:marLeft w:val="0"/>
      <w:marRight w:val="0"/>
      <w:marTop w:val="0"/>
      <w:marBottom w:val="0"/>
      <w:divBdr>
        <w:top w:val="none" w:sz="0" w:space="0" w:color="auto"/>
        <w:left w:val="none" w:sz="0" w:space="0" w:color="auto"/>
        <w:bottom w:val="none" w:sz="0" w:space="0" w:color="auto"/>
        <w:right w:val="none" w:sz="0" w:space="0" w:color="auto"/>
      </w:divBdr>
    </w:div>
    <w:div w:id="1906602761">
      <w:bodyDiv w:val="1"/>
      <w:marLeft w:val="0"/>
      <w:marRight w:val="0"/>
      <w:marTop w:val="0"/>
      <w:marBottom w:val="0"/>
      <w:divBdr>
        <w:top w:val="none" w:sz="0" w:space="0" w:color="auto"/>
        <w:left w:val="none" w:sz="0" w:space="0" w:color="auto"/>
        <w:bottom w:val="none" w:sz="0" w:space="0" w:color="auto"/>
        <w:right w:val="none" w:sz="0" w:space="0" w:color="auto"/>
      </w:divBdr>
    </w:div>
    <w:div w:id="1906602866">
      <w:bodyDiv w:val="1"/>
      <w:marLeft w:val="0"/>
      <w:marRight w:val="0"/>
      <w:marTop w:val="0"/>
      <w:marBottom w:val="0"/>
      <w:divBdr>
        <w:top w:val="none" w:sz="0" w:space="0" w:color="auto"/>
        <w:left w:val="none" w:sz="0" w:space="0" w:color="auto"/>
        <w:bottom w:val="none" w:sz="0" w:space="0" w:color="auto"/>
        <w:right w:val="none" w:sz="0" w:space="0" w:color="auto"/>
      </w:divBdr>
    </w:div>
    <w:div w:id="1906641032">
      <w:bodyDiv w:val="1"/>
      <w:marLeft w:val="0"/>
      <w:marRight w:val="0"/>
      <w:marTop w:val="0"/>
      <w:marBottom w:val="0"/>
      <w:divBdr>
        <w:top w:val="none" w:sz="0" w:space="0" w:color="auto"/>
        <w:left w:val="none" w:sz="0" w:space="0" w:color="auto"/>
        <w:bottom w:val="none" w:sz="0" w:space="0" w:color="auto"/>
        <w:right w:val="none" w:sz="0" w:space="0" w:color="auto"/>
      </w:divBdr>
    </w:div>
    <w:div w:id="1906791410">
      <w:bodyDiv w:val="1"/>
      <w:marLeft w:val="0"/>
      <w:marRight w:val="0"/>
      <w:marTop w:val="0"/>
      <w:marBottom w:val="0"/>
      <w:divBdr>
        <w:top w:val="none" w:sz="0" w:space="0" w:color="auto"/>
        <w:left w:val="none" w:sz="0" w:space="0" w:color="auto"/>
        <w:bottom w:val="none" w:sz="0" w:space="0" w:color="auto"/>
        <w:right w:val="none" w:sz="0" w:space="0" w:color="auto"/>
      </w:divBdr>
    </w:div>
    <w:div w:id="1906797230">
      <w:bodyDiv w:val="1"/>
      <w:marLeft w:val="0"/>
      <w:marRight w:val="0"/>
      <w:marTop w:val="0"/>
      <w:marBottom w:val="0"/>
      <w:divBdr>
        <w:top w:val="none" w:sz="0" w:space="0" w:color="auto"/>
        <w:left w:val="none" w:sz="0" w:space="0" w:color="auto"/>
        <w:bottom w:val="none" w:sz="0" w:space="0" w:color="auto"/>
        <w:right w:val="none" w:sz="0" w:space="0" w:color="auto"/>
      </w:divBdr>
    </w:div>
    <w:div w:id="1906840232">
      <w:bodyDiv w:val="1"/>
      <w:marLeft w:val="0"/>
      <w:marRight w:val="0"/>
      <w:marTop w:val="0"/>
      <w:marBottom w:val="0"/>
      <w:divBdr>
        <w:top w:val="none" w:sz="0" w:space="0" w:color="auto"/>
        <w:left w:val="none" w:sz="0" w:space="0" w:color="auto"/>
        <w:bottom w:val="none" w:sz="0" w:space="0" w:color="auto"/>
        <w:right w:val="none" w:sz="0" w:space="0" w:color="auto"/>
      </w:divBdr>
    </w:div>
    <w:div w:id="1906841882">
      <w:bodyDiv w:val="1"/>
      <w:marLeft w:val="0"/>
      <w:marRight w:val="0"/>
      <w:marTop w:val="0"/>
      <w:marBottom w:val="0"/>
      <w:divBdr>
        <w:top w:val="none" w:sz="0" w:space="0" w:color="auto"/>
        <w:left w:val="none" w:sz="0" w:space="0" w:color="auto"/>
        <w:bottom w:val="none" w:sz="0" w:space="0" w:color="auto"/>
        <w:right w:val="none" w:sz="0" w:space="0" w:color="auto"/>
      </w:divBdr>
    </w:div>
    <w:div w:id="1906917393">
      <w:bodyDiv w:val="1"/>
      <w:marLeft w:val="0"/>
      <w:marRight w:val="0"/>
      <w:marTop w:val="0"/>
      <w:marBottom w:val="0"/>
      <w:divBdr>
        <w:top w:val="none" w:sz="0" w:space="0" w:color="auto"/>
        <w:left w:val="none" w:sz="0" w:space="0" w:color="auto"/>
        <w:bottom w:val="none" w:sz="0" w:space="0" w:color="auto"/>
        <w:right w:val="none" w:sz="0" w:space="0" w:color="auto"/>
      </w:divBdr>
    </w:div>
    <w:div w:id="1906985133">
      <w:bodyDiv w:val="1"/>
      <w:marLeft w:val="0"/>
      <w:marRight w:val="0"/>
      <w:marTop w:val="0"/>
      <w:marBottom w:val="0"/>
      <w:divBdr>
        <w:top w:val="none" w:sz="0" w:space="0" w:color="auto"/>
        <w:left w:val="none" w:sz="0" w:space="0" w:color="auto"/>
        <w:bottom w:val="none" w:sz="0" w:space="0" w:color="auto"/>
        <w:right w:val="none" w:sz="0" w:space="0" w:color="auto"/>
      </w:divBdr>
    </w:div>
    <w:div w:id="1906989339">
      <w:bodyDiv w:val="1"/>
      <w:marLeft w:val="0"/>
      <w:marRight w:val="0"/>
      <w:marTop w:val="0"/>
      <w:marBottom w:val="0"/>
      <w:divBdr>
        <w:top w:val="none" w:sz="0" w:space="0" w:color="auto"/>
        <w:left w:val="none" w:sz="0" w:space="0" w:color="auto"/>
        <w:bottom w:val="none" w:sz="0" w:space="0" w:color="auto"/>
        <w:right w:val="none" w:sz="0" w:space="0" w:color="auto"/>
      </w:divBdr>
    </w:div>
    <w:div w:id="1907180552">
      <w:bodyDiv w:val="1"/>
      <w:marLeft w:val="0"/>
      <w:marRight w:val="0"/>
      <w:marTop w:val="0"/>
      <w:marBottom w:val="0"/>
      <w:divBdr>
        <w:top w:val="none" w:sz="0" w:space="0" w:color="auto"/>
        <w:left w:val="none" w:sz="0" w:space="0" w:color="auto"/>
        <w:bottom w:val="none" w:sz="0" w:space="0" w:color="auto"/>
        <w:right w:val="none" w:sz="0" w:space="0" w:color="auto"/>
      </w:divBdr>
    </w:div>
    <w:div w:id="1907257269">
      <w:bodyDiv w:val="1"/>
      <w:marLeft w:val="0"/>
      <w:marRight w:val="0"/>
      <w:marTop w:val="0"/>
      <w:marBottom w:val="0"/>
      <w:divBdr>
        <w:top w:val="none" w:sz="0" w:space="0" w:color="auto"/>
        <w:left w:val="none" w:sz="0" w:space="0" w:color="auto"/>
        <w:bottom w:val="none" w:sz="0" w:space="0" w:color="auto"/>
        <w:right w:val="none" w:sz="0" w:space="0" w:color="auto"/>
      </w:divBdr>
    </w:div>
    <w:div w:id="1907258132">
      <w:bodyDiv w:val="1"/>
      <w:marLeft w:val="0"/>
      <w:marRight w:val="0"/>
      <w:marTop w:val="0"/>
      <w:marBottom w:val="0"/>
      <w:divBdr>
        <w:top w:val="none" w:sz="0" w:space="0" w:color="auto"/>
        <w:left w:val="none" w:sz="0" w:space="0" w:color="auto"/>
        <w:bottom w:val="none" w:sz="0" w:space="0" w:color="auto"/>
        <w:right w:val="none" w:sz="0" w:space="0" w:color="auto"/>
      </w:divBdr>
    </w:div>
    <w:div w:id="1907259382">
      <w:bodyDiv w:val="1"/>
      <w:marLeft w:val="0"/>
      <w:marRight w:val="0"/>
      <w:marTop w:val="0"/>
      <w:marBottom w:val="0"/>
      <w:divBdr>
        <w:top w:val="none" w:sz="0" w:space="0" w:color="auto"/>
        <w:left w:val="none" w:sz="0" w:space="0" w:color="auto"/>
        <w:bottom w:val="none" w:sz="0" w:space="0" w:color="auto"/>
        <w:right w:val="none" w:sz="0" w:space="0" w:color="auto"/>
      </w:divBdr>
    </w:div>
    <w:div w:id="1907260713">
      <w:bodyDiv w:val="1"/>
      <w:marLeft w:val="0"/>
      <w:marRight w:val="0"/>
      <w:marTop w:val="0"/>
      <w:marBottom w:val="0"/>
      <w:divBdr>
        <w:top w:val="none" w:sz="0" w:space="0" w:color="auto"/>
        <w:left w:val="none" w:sz="0" w:space="0" w:color="auto"/>
        <w:bottom w:val="none" w:sz="0" w:space="0" w:color="auto"/>
        <w:right w:val="none" w:sz="0" w:space="0" w:color="auto"/>
      </w:divBdr>
    </w:div>
    <w:div w:id="1907301260">
      <w:bodyDiv w:val="1"/>
      <w:marLeft w:val="0"/>
      <w:marRight w:val="0"/>
      <w:marTop w:val="0"/>
      <w:marBottom w:val="0"/>
      <w:divBdr>
        <w:top w:val="none" w:sz="0" w:space="0" w:color="auto"/>
        <w:left w:val="none" w:sz="0" w:space="0" w:color="auto"/>
        <w:bottom w:val="none" w:sz="0" w:space="0" w:color="auto"/>
        <w:right w:val="none" w:sz="0" w:space="0" w:color="auto"/>
      </w:divBdr>
    </w:div>
    <w:div w:id="1907452306">
      <w:bodyDiv w:val="1"/>
      <w:marLeft w:val="0"/>
      <w:marRight w:val="0"/>
      <w:marTop w:val="0"/>
      <w:marBottom w:val="0"/>
      <w:divBdr>
        <w:top w:val="none" w:sz="0" w:space="0" w:color="auto"/>
        <w:left w:val="none" w:sz="0" w:space="0" w:color="auto"/>
        <w:bottom w:val="none" w:sz="0" w:space="0" w:color="auto"/>
        <w:right w:val="none" w:sz="0" w:space="0" w:color="auto"/>
      </w:divBdr>
    </w:div>
    <w:div w:id="1907492762">
      <w:bodyDiv w:val="1"/>
      <w:marLeft w:val="0"/>
      <w:marRight w:val="0"/>
      <w:marTop w:val="0"/>
      <w:marBottom w:val="0"/>
      <w:divBdr>
        <w:top w:val="none" w:sz="0" w:space="0" w:color="auto"/>
        <w:left w:val="none" w:sz="0" w:space="0" w:color="auto"/>
        <w:bottom w:val="none" w:sz="0" w:space="0" w:color="auto"/>
        <w:right w:val="none" w:sz="0" w:space="0" w:color="auto"/>
      </w:divBdr>
    </w:div>
    <w:div w:id="1907494998">
      <w:bodyDiv w:val="1"/>
      <w:marLeft w:val="0"/>
      <w:marRight w:val="0"/>
      <w:marTop w:val="0"/>
      <w:marBottom w:val="0"/>
      <w:divBdr>
        <w:top w:val="none" w:sz="0" w:space="0" w:color="auto"/>
        <w:left w:val="none" w:sz="0" w:space="0" w:color="auto"/>
        <w:bottom w:val="none" w:sz="0" w:space="0" w:color="auto"/>
        <w:right w:val="none" w:sz="0" w:space="0" w:color="auto"/>
      </w:divBdr>
    </w:div>
    <w:div w:id="1907568191">
      <w:bodyDiv w:val="1"/>
      <w:marLeft w:val="0"/>
      <w:marRight w:val="0"/>
      <w:marTop w:val="0"/>
      <w:marBottom w:val="0"/>
      <w:divBdr>
        <w:top w:val="none" w:sz="0" w:space="0" w:color="auto"/>
        <w:left w:val="none" w:sz="0" w:space="0" w:color="auto"/>
        <w:bottom w:val="none" w:sz="0" w:space="0" w:color="auto"/>
        <w:right w:val="none" w:sz="0" w:space="0" w:color="auto"/>
      </w:divBdr>
    </w:div>
    <w:div w:id="1907648063">
      <w:bodyDiv w:val="1"/>
      <w:marLeft w:val="0"/>
      <w:marRight w:val="0"/>
      <w:marTop w:val="0"/>
      <w:marBottom w:val="0"/>
      <w:divBdr>
        <w:top w:val="none" w:sz="0" w:space="0" w:color="auto"/>
        <w:left w:val="none" w:sz="0" w:space="0" w:color="auto"/>
        <w:bottom w:val="none" w:sz="0" w:space="0" w:color="auto"/>
        <w:right w:val="none" w:sz="0" w:space="0" w:color="auto"/>
      </w:divBdr>
    </w:div>
    <w:div w:id="1907757705">
      <w:bodyDiv w:val="1"/>
      <w:marLeft w:val="0"/>
      <w:marRight w:val="0"/>
      <w:marTop w:val="0"/>
      <w:marBottom w:val="0"/>
      <w:divBdr>
        <w:top w:val="none" w:sz="0" w:space="0" w:color="auto"/>
        <w:left w:val="none" w:sz="0" w:space="0" w:color="auto"/>
        <w:bottom w:val="none" w:sz="0" w:space="0" w:color="auto"/>
        <w:right w:val="none" w:sz="0" w:space="0" w:color="auto"/>
      </w:divBdr>
    </w:div>
    <w:div w:id="1907832518">
      <w:bodyDiv w:val="1"/>
      <w:marLeft w:val="0"/>
      <w:marRight w:val="0"/>
      <w:marTop w:val="0"/>
      <w:marBottom w:val="0"/>
      <w:divBdr>
        <w:top w:val="none" w:sz="0" w:space="0" w:color="auto"/>
        <w:left w:val="none" w:sz="0" w:space="0" w:color="auto"/>
        <w:bottom w:val="none" w:sz="0" w:space="0" w:color="auto"/>
        <w:right w:val="none" w:sz="0" w:space="0" w:color="auto"/>
      </w:divBdr>
    </w:div>
    <w:div w:id="1907916464">
      <w:bodyDiv w:val="1"/>
      <w:marLeft w:val="0"/>
      <w:marRight w:val="0"/>
      <w:marTop w:val="0"/>
      <w:marBottom w:val="0"/>
      <w:divBdr>
        <w:top w:val="none" w:sz="0" w:space="0" w:color="auto"/>
        <w:left w:val="none" w:sz="0" w:space="0" w:color="auto"/>
        <w:bottom w:val="none" w:sz="0" w:space="0" w:color="auto"/>
        <w:right w:val="none" w:sz="0" w:space="0" w:color="auto"/>
      </w:divBdr>
    </w:div>
    <w:div w:id="1908032866">
      <w:bodyDiv w:val="1"/>
      <w:marLeft w:val="0"/>
      <w:marRight w:val="0"/>
      <w:marTop w:val="0"/>
      <w:marBottom w:val="0"/>
      <w:divBdr>
        <w:top w:val="none" w:sz="0" w:space="0" w:color="auto"/>
        <w:left w:val="none" w:sz="0" w:space="0" w:color="auto"/>
        <w:bottom w:val="none" w:sz="0" w:space="0" w:color="auto"/>
        <w:right w:val="none" w:sz="0" w:space="0" w:color="auto"/>
      </w:divBdr>
    </w:div>
    <w:div w:id="1908102336">
      <w:bodyDiv w:val="1"/>
      <w:marLeft w:val="0"/>
      <w:marRight w:val="0"/>
      <w:marTop w:val="0"/>
      <w:marBottom w:val="0"/>
      <w:divBdr>
        <w:top w:val="none" w:sz="0" w:space="0" w:color="auto"/>
        <w:left w:val="none" w:sz="0" w:space="0" w:color="auto"/>
        <w:bottom w:val="none" w:sz="0" w:space="0" w:color="auto"/>
        <w:right w:val="none" w:sz="0" w:space="0" w:color="auto"/>
      </w:divBdr>
    </w:div>
    <w:div w:id="1908147920">
      <w:bodyDiv w:val="1"/>
      <w:marLeft w:val="0"/>
      <w:marRight w:val="0"/>
      <w:marTop w:val="0"/>
      <w:marBottom w:val="0"/>
      <w:divBdr>
        <w:top w:val="none" w:sz="0" w:space="0" w:color="auto"/>
        <w:left w:val="none" w:sz="0" w:space="0" w:color="auto"/>
        <w:bottom w:val="none" w:sz="0" w:space="0" w:color="auto"/>
        <w:right w:val="none" w:sz="0" w:space="0" w:color="auto"/>
      </w:divBdr>
    </w:div>
    <w:div w:id="1908151676">
      <w:bodyDiv w:val="1"/>
      <w:marLeft w:val="0"/>
      <w:marRight w:val="0"/>
      <w:marTop w:val="0"/>
      <w:marBottom w:val="0"/>
      <w:divBdr>
        <w:top w:val="none" w:sz="0" w:space="0" w:color="auto"/>
        <w:left w:val="none" w:sz="0" w:space="0" w:color="auto"/>
        <w:bottom w:val="none" w:sz="0" w:space="0" w:color="auto"/>
        <w:right w:val="none" w:sz="0" w:space="0" w:color="auto"/>
      </w:divBdr>
    </w:div>
    <w:div w:id="1908177779">
      <w:bodyDiv w:val="1"/>
      <w:marLeft w:val="0"/>
      <w:marRight w:val="0"/>
      <w:marTop w:val="0"/>
      <w:marBottom w:val="0"/>
      <w:divBdr>
        <w:top w:val="none" w:sz="0" w:space="0" w:color="auto"/>
        <w:left w:val="none" w:sz="0" w:space="0" w:color="auto"/>
        <w:bottom w:val="none" w:sz="0" w:space="0" w:color="auto"/>
        <w:right w:val="none" w:sz="0" w:space="0" w:color="auto"/>
      </w:divBdr>
    </w:div>
    <w:div w:id="1908607846">
      <w:bodyDiv w:val="1"/>
      <w:marLeft w:val="0"/>
      <w:marRight w:val="0"/>
      <w:marTop w:val="0"/>
      <w:marBottom w:val="0"/>
      <w:divBdr>
        <w:top w:val="none" w:sz="0" w:space="0" w:color="auto"/>
        <w:left w:val="none" w:sz="0" w:space="0" w:color="auto"/>
        <w:bottom w:val="none" w:sz="0" w:space="0" w:color="auto"/>
        <w:right w:val="none" w:sz="0" w:space="0" w:color="auto"/>
      </w:divBdr>
    </w:div>
    <w:div w:id="1908614389">
      <w:bodyDiv w:val="1"/>
      <w:marLeft w:val="0"/>
      <w:marRight w:val="0"/>
      <w:marTop w:val="0"/>
      <w:marBottom w:val="0"/>
      <w:divBdr>
        <w:top w:val="none" w:sz="0" w:space="0" w:color="auto"/>
        <w:left w:val="none" w:sz="0" w:space="0" w:color="auto"/>
        <w:bottom w:val="none" w:sz="0" w:space="0" w:color="auto"/>
        <w:right w:val="none" w:sz="0" w:space="0" w:color="auto"/>
      </w:divBdr>
    </w:div>
    <w:div w:id="1909025868">
      <w:bodyDiv w:val="1"/>
      <w:marLeft w:val="0"/>
      <w:marRight w:val="0"/>
      <w:marTop w:val="0"/>
      <w:marBottom w:val="0"/>
      <w:divBdr>
        <w:top w:val="none" w:sz="0" w:space="0" w:color="auto"/>
        <w:left w:val="none" w:sz="0" w:space="0" w:color="auto"/>
        <w:bottom w:val="none" w:sz="0" w:space="0" w:color="auto"/>
        <w:right w:val="none" w:sz="0" w:space="0" w:color="auto"/>
      </w:divBdr>
    </w:div>
    <w:div w:id="1909072982">
      <w:bodyDiv w:val="1"/>
      <w:marLeft w:val="0"/>
      <w:marRight w:val="0"/>
      <w:marTop w:val="0"/>
      <w:marBottom w:val="0"/>
      <w:divBdr>
        <w:top w:val="none" w:sz="0" w:space="0" w:color="auto"/>
        <w:left w:val="none" w:sz="0" w:space="0" w:color="auto"/>
        <w:bottom w:val="none" w:sz="0" w:space="0" w:color="auto"/>
        <w:right w:val="none" w:sz="0" w:space="0" w:color="auto"/>
      </w:divBdr>
    </w:div>
    <w:div w:id="1909223427">
      <w:bodyDiv w:val="1"/>
      <w:marLeft w:val="0"/>
      <w:marRight w:val="0"/>
      <w:marTop w:val="0"/>
      <w:marBottom w:val="0"/>
      <w:divBdr>
        <w:top w:val="none" w:sz="0" w:space="0" w:color="auto"/>
        <w:left w:val="none" w:sz="0" w:space="0" w:color="auto"/>
        <w:bottom w:val="none" w:sz="0" w:space="0" w:color="auto"/>
        <w:right w:val="none" w:sz="0" w:space="0" w:color="auto"/>
      </w:divBdr>
    </w:div>
    <w:div w:id="1909265296">
      <w:bodyDiv w:val="1"/>
      <w:marLeft w:val="0"/>
      <w:marRight w:val="0"/>
      <w:marTop w:val="0"/>
      <w:marBottom w:val="0"/>
      <w:divBdr>
        <w:top w:val="none" w:sz="0" w:space="0" w:color="auto"/>
        <w:left w:val="none" w:sz="0" w:space="0" w:color="auto"/>
        <w:bottom w:val="none" w:sz="0" w:space="0" w:color="auto"/>
        <w:right w:val="none" w:sz="0" w:space="0" w:color="auto"/>
      </w:divBdr>
    </w:div>
    <w:div w:id="1909269867">
      <w:bodyDiv w:val="1"/>
      <w:marLeft w:val="0"/>
      <w:marRight w:val="0"/>
      <w:marTop w:val="0"/>
      <w:marBottom w:val="0"/>
      <w:divBdr>
        <w:top w:val="none" w:sz="0" w:space="0" w:color="auto"/>
        <w:left w:val="none" w:sz="0" w:space="0" w:color="auto"/>
        <w:bottom w:val="none" w:sz="0" w:space="0" w:color="auto"/>
        <w:right w:val="none" w:sz="0" w:space="0" w:color="auto"/>
      </w:divBdr>
    </w:div>
    <w:div w:id="1909345196">
      <w:bodyDiv w:val="1"/>
      <w:marLeft w:val="0"/>
      <w:marRight w:val="0"/>
      <w:marTop w:val="0"/>
      <w:marBottom w:val="0"/>
      <w:divBdr>
        <w:top w:val="none" w:sz="0" w:space="0" w:color="auto"/>
        <w:left w:val="none" w:sz="0" w:space="0" w:color="auto"/>
        <w:bottom w:val="none" w:sz="0" w:space="0" w:color="auto"/>
        <w:right w:val="none" w:sz="0" w:space="0" w:color="auto"/>
      </w:divBdr>
    </w:div>
    <w:div w:id="1909412271">
      <w:bodyDiv w:val="1"/>
      <w:marLeft w:val="0"/>
      <w:marRight w:val="0"/>
      <w:marTop w:val="0"/>
      <w:marBottom w:val="0"/>
      <w:divBdr>
        <w:top w:val="none" w:sz="0" w:space="0" w:color="auto"/>
        <w:left w:val="none" w:sz="0" w:space="0" w:color="auto"/>
        <w:bottom w:val="none" w:sz="0" w:space="0" w:color="auto"/>
        <w:right w:val="none" w:sz="0" w:space="0" w:color="auto"/>
      </w:divBdr>
    </w:div>
    <w:div w:id="1909462493">
      <w:bodyDiv w:val="1"/>
      <w:marLeft w:val="0"/>
      <w:marRight w:val="0"/>
      <w:marTop w:val="0"/>
      <w:marBottom w:val="0"/>
      <w:divBdr>
        <w:top w:val="none" w:sz="0" w:space="0" w:color="auto"/>
        <w:left w:val="none" w:sz="0" w:space="0" w:color="auto"/>
        <w:bottom w:val="none" w:sz="0" w:space="0" w:color="auto"/>
        <w:right w:val="none" w:sz="0" w:space="0" w:color="auto"/>
      </w:divBdr>
    </w:div>
    <w:div w:id="1909489041">
      <w:bodyDiv w:val="1"/>
      <w:marLeft w:val="0"/>
      <w:marRight w:val="0"/>
      <w:marTop w:val="0"/>
      <w:marBottom w:val="0"/>
      <w:divBdr>
        <w:top w:val="none" w:sz="0" w:space="0" w:color="auto"/>
        <w:left w:val="none" w:sz="0" w:space="0" w:color="auto"/>
        <w:bottom w:val="none" w:sz="0" w:space="0" w:color="auto"/>
        <w:right w:val="none" w:sz="0" w:space="0" w:color="auto"/>
      </w:divBdr>
    </w:div>
    <w:div w:id="1909533397">
      <w:bodyDiv w:val="1"/>
      <w:marLeft w:val="0"/>
      <w:marRight w:val="0"/>
      <w:marTop w:val="0"/>
      <w:marBottom w:val="0"/>
      <w:divBdr>
        <w:top w:val="none" w:sz="0" w:space="0" w:color="auto"/>
        <w:left w:val="none" w:sz="0" w:space="0" w:color="auto"/>
        <w:bottom w:val="none" w:sz="0" w:space="0" w:color="auto"/>
        <w:right w:val="none" w:sz="0" w:space="0" w:color="auto"/>
      </w:divBdr>
    </w:div>
    <w:div w:id="1909537183">
      <w:bodyDiv w:val="1"/>
      <w:marLeft w:val="0"/>
      <w:marRight w:val="0"/>
      <w:marTop w:val="0"/>
      <w:marBottom w:val="0"/>
      <w:divBdr>
        <w:top w:val="none" w:sz="0" w:space="0" w:color="auto"/>
        <w:left w:val="none" w:sz="0" w:space="0" w:color="auto"/>
        <w:bottom w:val="none" w:sz="0" w:space="0" w:color="auto"/>
        <w:right w:val="none" w:sz="0" w:space="0" w:color="auto"/>
      </w:divBdr>
    </w:div>
    <w:div w:id="1909607221">
      <w:bodyDiv w:val="1"/>
      <w:marLeft w:val="0"/>
      <w:marRight w:val="0"/>
      <w:marTop w:val="0"/>
      <w:marBottom w:val="0"/>
      <w:divBdr>
        <w:top w:val="none" w:sz="0" w:space="0" w:color="auto"/>
        <w:left w:val="none" w:sz="0" w:space="0" w:color="auto"/>
        <w:bottom w:val="none" w:sz="0" w:space="0" w:color="auto"/>
        <w:right w:val="none" w:sz="0" w:space="0" w:color="auto"/>
      </w:divBdr>
    </w:div>
    <w:div w:id="1909657079">
      <w:bodyDiv w:val="1"/>
      <w:marLeft w:val="0"/>
      <w:marRight w:val="0"/>
      <w:marTop w:val="0"/>
      <w:marBottom w:val="0"/>
      <w:divBdr>
        <w:top w:val="none" w:sz="0" w:space="0" w:color="auto"/>
        <w:left w:val="none" w:sz="0" w:space="0" w:color="auto"/>
        <w:bottom w:val="none" w:sz="0" w:space="0" w:color="auto"/>
        <w:right w:val="none" w:sz="0" w:space="0" w:color="auto"/>
      </w:divBdr>
    </w:div>
    <w:div w:id="1909725219">
      <w:bodyDiv w:val="1"/>
      <w:marLeft w:val="0"/>
      <w:marRight w:val="0"/>
      <w:marTop w:val="0"/>
      <w:marBottom w:val="0"/>
      <w:divBdr>
        <w:top w:val="none" w:sz="0" w:space="0" w:color="auto"/>
        <w:left w:val="none" w:sz="0" w:space="0" w:color="auto"/>
        <w:bottom w:val="none" w:sz="0" w:space="0" w:color="auto"/>
        <w:right w:val="none" w:sz="0" w:space="0" w:color="auto"/>
      </w:divBdr>
    </w:div>
    <w:div w:id="1909730462">
      <w:bodyDiv w:val="1"/>
      <w:marLeft w:val="0"/>
      <w:marRight w:val="0"/>
      <w:marTop w:val="0"/>
      <w:marBottom w:val="0"/>
      <w:divBdr>
        <w:top w:val="none" w:sz="0" w:space="0" w:color="auto"/>
        <w:left w:val="none" w:sz="0" w:space="0" w:color="auto"/>
        <w:bottom w:val="none" w:sz="0" w:space="0" w:color="auto"/>
        <w:right w:val="none" w:sz="0" w:space="0" w:color="auto"/>
      </w:divBdr>
    </w:div>
    <w:div w:id="1909805291">
      <w:bodyDiv w:val="1"/>
      <w:marLeft w:val="0"/>
      <w:marRight w:val="0"/>
      <w:marTop w:val="0"/>
      <w:marBottom w:val="0"/>
      <w:divBdr>
        <w:top w:val="none" w:sz="0" w:space="0" w:color="auto"/>
        <w:left w:val="none" w:sz="0" w:space="0" w:color="auto"/>
        <w:bottom w:val="none" w:sz="0" w:space="0" w:color="auto"/>
        <w:right w:val="none" w:sz="0" w:space="0" w:color="auto"/>
      </w:divBdr>
    </w:div>
    <w:div w:id="1909807531">
      <w:bodyDiv w:val="1"/>
      <w:marLeft w:val="0"/>
      <w:marRight w:val="0"/>
      <w:marTop w:val="0"/>
      <w:marBottom w:val="0"/>
      <w:divBdr>
        <w:top w:val="none" w:sz="0" w:space="0" w:color="auto"/>
        <w:left w:val="none" w:sz="0" w:space="0" w:color="auto"/>
        <w:bottom w:val="none" w:sz="0" w:space="0" w:color="auto"/>
        <w:right w:val="none" w:sz="0" w:space="0" w:color="auto"/>
      </w:divBdr>
    </w:div>
    <w:div w:id="1910068529">
      <w:bodyDiv w:val="1"/>
      <w:marLeft w:val="0"/>
      <w:marRight w:val="0"/>
      <w:marTop w:val="0"/>
      <w:marBottom w:val="0"/>
      <w:divBdr>
        <w:top w:val="none" w:sz="0" w:space="0" w:color="auto"/>
        <w:left w:val="none" w:sz="0" w:space="0" w:color="auto"/>
        <w:bottom w:val="none" w:sz="0" w:space="0" w:color="auto"/>
        <w:right w:val="none" w:sz="0" w:space="0" w:color="auto"/>
      </w:divBdr>
    </w:div>
    <w:div w:id="1910119215">
      <w:bodyDiv w:val="1"/>
      <w:marLeft w:val="0"/>
      <w:marRight w:val="0"/>
      <w:marTop w:val="0"/>
      <w:marBottom w:val="0"/>
      <w:divBdr>
        <w:top w:val="none" w:sz="0" w:space="0" w:color="auto"/>
        <w:left w:val="none" w:sz="0" w:space="0" w:color="auto"/>
        <w:bottom w:val="none" w:sz="0" w:space="0" w:color="auto"/>
        <w:right w:val="none" w:sz="0" w:space="0" w:color="auto"/>
      </w:divBdr>
    </w:div>
    <w:div w:id="1910185129">
      <w:bodyDiv w:val="1"/>
      <w:marLeft w:val="0"/>
      <w:marRight w:val="0"/>
      <w:marTop w:val="0"/>
      <w:marBottom w:val="0"/>
      <w:divBdr>
        <w:top w:val="none" w:sz="0" w:space="0" w:color="auto"/>
        <w:left w:val="none" w:sz="0" w:space="0" w:color="auto"/>
        <w:bottom w:val="none" w:sz="0" w:space="0" w:color="auto"/>
        <w:right w:val="none" w:sz="0" w:space="0" w:color="auto"/>
      </w:divBdr>
    </w:div>
    <w:div w:id="1910269995">
      <w:bodyDiv w:val="1"/>
      <w:marLeft w:val="0"/>
      <w:marRight w:val="0"/>
      <w:marTop w:val="0"/>
      <w:marBottom w:val="0"/>
      <w:divBdr>
        <w:top w:val="none" w:sz="0" w:space="0" w:color="auto"/>
        <w:left w:val="none" w:sz="0" w:space="0" w:color="auto"/>
        <w:bottom w:val="none" w:sz="0" w:space="0" w:color="auto"/>
        <w:right w:val="none" w:sz="0" w:space="0" w:color="auto"/>
      </w:divBdr>
    </w:div>
    <w:div w:id="1910380239">
      <w:bodyDiv w:val="1"/>
      <w:marLeft w:val="0"/>
      <w:marRight w:val="0"/>
      <w:marTop w:val="0"/>
      <w:marBottom w:val="0"/>
      <w:divBdr>
        <w:top w:val="none" w:sz="0" w:space="0" w:color="auto"/>
        <w:left w:val="none" w:sz="0" w:space="0" w:color="auto"/>
        <w:bottom w:val="none" w:sz="0" w:space="0" w:color="auto"/>
        <w:right w:val="none" w:sz="0" w:space="0" w:color="auto"/>
      </w:divBdr>
    </w:div>
    <w:div w:id="1910530150">
      <w:bodyDiv w:val="1"/>
      <w:marLeft w:val="0"/>
      <w:marRight w:val="0"/>
      <w:marTop w:val="0"/>
      <w:marBottom w:val="0"/>
      <w:divBdr>
        <w:top w:val="none" w:sz="0" w:space="0" w:color="auto"/>
        <w:left w:val="none" w:sz="0" w:space="0" w:color="auto"/>
        <w:bottom w:val="none" w:sz="0" w:space="0" w:color="auto"/>
        <w:right w:val="none" w:sz="0" w:space="0" w:color="auto"/>
      </w:divBdr>
    </w:div>
    <w:div w:id="1910537890">
      <w:bodyDiv w:val="1"/>
      <w:marLeft w:val="0"/>
      <w:marRight w:val="0"/>
      <w:marTop w:val="0"/>
      <w:marBottom w:val="0"/>
      <w:divBdr>
        <w:top w:val="none" w:sz="0" w:space="0" w:color="auto"/>
        <w:left w:val="none" w:sz="0" w:space="0" w:color="auto"/>
        <w:bottom w:val="none" w:sz="0" w:space="0" w:color="auto"/>
        <w:right w:val="none" w:sz="0" w:space="0" w:color="auto"/>
      </w:divBdr>
    </w:div>
    <w:div w:id="1910729597">
      <w:bodyDiv w:val="1"/>
      <w:marLeft w:val="0"/>
      <w:marRight w:val="0"/>
      <w:marTop w:val="0"/>
      <w:marBottom w:val="0"/>
      <w:divBdr>
        <w:top w:val="none" w:sz="0" w:space="0" w:color="auto"/>
        <w:left w:val="none" w:sz="0" w:space="0" w:color="auto"/>
        <w:bottom w:val="none" w:sz="0" w:space="0" w:color="auto"/>
        <w:right w:val="none" w:sz="0" w:space="0" w:color="auto"/>
      </w:divBdr>
    </w:div>
    <w:div w:id="1910841071">
      <w:bodyDiv w:val="1"/>
      <w:marLeft w:val="0"/>
      <w:marRight w:val="0"/>
      <w:marTop w:val="0"/>
      <w:marBottom w:val="0"/>
      <w:divBdr>
        <w:top w:val="none" w:sz="0" w:space="0" w:color="auto"/>
        <w:left w:val="none" w:sz="0" w:space="0" w:color="auto"/>
        <w:bottom w:val="none" w:sz="0" w:space="0" w:color="auto"/>
        <w:right w:val="none" w:sz="0" w:space="0" w:color="auto"/>
      </w:divBdr>
    </w:div>
    <w:div w:id="1910918906">
      <w:bodyDiv w:val="1"/>
      <w:marLeft w:val="0"/>
      <w:marRight w:val="0"/>
      <w:marTop w:val="0"/>
      <w:marBottom w:val="0"/>
      <w:divBdr>
        <w:top w:val="none" w:sz="0" w:space="0" w:color="auto"/>
        <w:left w:val="none" w:sz="0" w:space="0" w:color="auto"/>
        <w:bottom w:val="none" w:sz="0" w:space="0" w:color="auto"/>
        <w:right w:val="none" w:sz="0" w:space="0" w:color="auto"/>
      </w:divBdr>
    </w:div>
    <w:div w:id="1910996261">
      <w:bodyDiv w:val="1"/>
      <w:marLeft w:val="0"/>
      <w:marRight w:val="0"/>
      <w:marTop w:val="0"/>
      <w:marBottom w:val="0"/>
      <w:divBdr>
        <w:top w:val="none" w:sz="0" w:space="0" w:color="auto"/>
        <w:left w:val="none" w:sz="0" w:space="0" w:color="auto"/>
        <w:bottom w:val="none" w:sz="0" w:space="0" w:color="auto"/>
        <w:right w:val="none" w:sz="0" w:space="0" w:color="auto"/>
      </w:divBdr>
    </w:div>
    <w:div w:id="1911113864">
      <w:bodyDiv w:val="1"/>
      <w:marLeft w:val="0"/>
      <w:marRight w:val="0"/>
      <w:marTop w:val="0"/>
      <w:marBottom w:val="0"/>
      <w:divBdr>
        <w:top w:val="none" w:sz="0" w:space="0" w:color="auto"/>
        <w:left w:val="none" w:sz="0" w:space="0" w:color="auto"/>
        <w:bottom w:val="none" w:sz="0" w:space="0" w:color="auto"/>
        <w:right w:val="none" w:sz="0" w:space="0" w:color="auto"/>
      </w:divBdr>
    </w:div>
    <w:div w:id="1911186226">
      <w:bodyDiv w:val="1"/>
      <w:marLeft w:val="0"/>
      <w:marRight w:val="0"/>
      <w:marTop w:val="0"/>
      <w:marBottom w:val="0"/>
      <w:divBdr>
        <w:top w:val="none" w:sz="0" w:space="0" w:color="auto"/>
        <w:left w:val="none" w:sz="0" w:space="0" w:color="auto"/>
        <w:bottom w:val="none" w:sz="0" w:space="0" w:color="auto"/>
        <w:right w:val="none" w:sz="0" w:space="0" w:color="auto"/>
      </w:divBdr>
    </w:div>
    <w:div w:id="1911187279">
      <w:bodyDiv w:val="1"/>
      <w:marLeft w:val="0"/>
      <w:marRight w:val="0"/>
      <w:marTop w:val="0"/>
      <w:marBottom w:val="0"/>
      <w:divBdr>
        <w:top w:val="none" w:sz="0" w:space="0" w:color="auto"/>
        <w:left w:val="none" w:sz="0" w:space="0" w:color="auto"/>
        <w:bottom w:val="none" w:sz="0" w:space="0" w:color="auto"/>
        <w:right w:val="none" w:sz="0" w:space="0" w:color="auto"/>
      </w:divBdr>
    </w:div>
    <w:div w:id="1911227082">
      <w:bodyDiv w:val="1"/>
      <w:marLeft w:val="0"/>
      <w:marRight w:val="0"/>
      <w:marTop w:val="0"/>
      <w:marBottom w:val="0"/>
      <w:divBdr>
        <w:top w:val="none" w:sz="0" w:space="0" w:color="auto"/>
        <w:left w:val="none" w:sz="0" w:space="0" w:color="auto"/>
        <w:bottom w:val="none" w:sz="0" w:space="0" w:color="auto"/>
        <w:right w:val="none" w:sz="0" w:space="0" w:color="auto"/>
      </w:divBdr>
    </w:div>
    <w:div w:id="1911228562">
      <w:bodyDiv w:val="1"/>
      <w:marLeft w:val="0"/>
      <w:marRight w:val="0"/>
      <w:marTop w:val="0"/>
      <w:marBottom w:val="0"/>
      <w:divBdr>
        <w:top w:val="none" w:sz="0" w:space="0" w:color="auto"/>
        <w:left w:val="none" w:sz="0" w:space="0" w:color="auto"/>
        <w:bottom w:val="none" w:sz="0" w:space="0" w:color="auto"/>
        <w:right w:val="none" w:sz="0" w:space="0" w:color="auto"/>
      </w:divBdr>
    </w:div>
    <w:div w:id="1911234318">
      <w:bodyDiv w:val="1"/>
      <w:marLeft w:val="0"/>
      <w:marRight w:val="0"/>
      <w:marTop w:val="0"/>
      <w:marBottom w:val="0"/>
      <w:divBdr>
        <w:top w:val="none" w:sz="0" w:space="0" w:color="auto"/>
        <w:left w:val="none" w:sz="0" w:space="0" w:color="auto"/>
        <w:bottom w:val="none" w:sz="0" w:space="0" w:color="auto"/>
        <w:right w:val="none" w:sz="0" w:space="0" w:color="auto"/>
      </w:divBdr>
    </w:div>
    <w:div w:id="1911428011">
      <w:bodyDiv w:val="1"/>
      <w:marLeft w:val="0"/>
      <w:marRight w:val="0"/>
      <w:marTop w:val="0"/>
      <w:marBottom w:val="0"/>
      <w:divBdr>
        <w:top w:val="none" w:sz="0" w:space="0" w:color="auto"/>
        <w:left w:val="none" w:sz="0" w:space="0" w:color="auto"/>
        <w:bottom w:val="none" w:sz="0" w:space="0" w:color="auto"/>
        <w:right w:val="none" w:sz="0" w:space="0" w:color="auto"/>
      </w:divBdr>
    </w:div>
    <w:div w:id="1911453075">
      <w:bodyDiv w:val="1"/>
      <w:marLeft w:val="0"/>
      <w:marRight w:val="0"/>
      <w:marTop w:val="0"/>
      <w:marBottom w:val="0"/>
      <w:divBdr>
        <w:top w:val="none" w:sz="0" w:space="0" w:color="auto"/>
        <w:left w:val="none" w:sz="0" w:space="0" w:color="auto"/>
        <w:bottom w:val="none" w:sz="0" w:space="0" w:color="auto"/>
        <w:right w:val="none" w:sz="0" w:space="0" w:color="auto"/>
      </w:divBdr>
    </w:div>
    <w:div w:id="1911571786">
      <w:bodyDiv w:val="1"/>
      <w:marLeft w:val="0"/>
      <w:marRight w:val="0"/>
      <w:marTop w:val="0"/>
      <w:marBottom w:val="0"/>
      <w:divBdr>
        <w:top w:val="none" w:sz="0" w:space="0" w:color="auto"/>
        <w:left w:val="none" w:sz="0" w:space="0" w:color="auto"/>
        <w:bottom w:val="none" w:sz="0" w:space="0" w:color="auto"/>
        <w:right w:val="none" w:sz="0" w:space="0" w:color="auto"/>
      </w:divBdr>
    </w:div>
    <w:div w:id="1911577578">
      <w:bodyDiv w:val="1"/>
      <w:marLeft w:val="0"/>
      <w:marRight w:val="0"/>
      <w:marTop w:val="0"/>
      <w:marBottom w:val="0"/>
      <w:divBdr>
        <w:top w:val="none" w:sz="0" w:space="0" w:color="auto"/>
        <w:left w:val="none" w:sz="0" w:space="0" w:color="auto"/>
        <w:bottom w:val="none" w:sz="0" w:space="0" w:color="auto"/>
        <w:right w:val="none" w:sz="0" w:space="0" w:color="auto"/>
      </w:divBdr>
    </w:div>
    <w:div w:id="1911646939">
      <w:bodyDiv w:val="1"/>
      <w:marLeft w:val="0"/>
      <w:marRight w:val="0"/>
      <w:marTop w:val="0"/>
      <w:marBottom w:val="0"/>
      <w:divBdr>
        <w:top w:val="none" w:sz="0" w:space="0" w:color="auto"/>
        <w:left w:val="none" w:sz="0" w:space="0" w:color="auto"/>
        <w:bottom w:val="none" w:sz="0" w:space="0" w:color="auto"/>
        <w:right w:val="none" w:sz="0" w:space="0" w:color="auto"/>
      </w:divBdr>
    </w:div>
    <w:div w:id="1911694948">
      <w:bodyDiv w:val="1"/>
      <w:marLeft w:val="0"/>
      <w:marRight w:val="0"/>
      <w:marTop w:val="0"/>
      <w:marBottom w:val="0"/>
      <w:divBdr>
        <w:top w:val="none" w:sz="0" w:space="0" w:color="auto"/>
        <w:left w:val="none" w:sz="0" w:space="0" w:color="auto"/>
        <w:bottom w:val="none" w:sz="0" w:space="0" w:color="auto"/>
        <w:right w:val="none" w:sz="0" w:space="0" w:color="auto"/>
      </w:divBdr>
    </w:div>
    <w:div w:id="1911840747">
      <w:bodyDiv w:val="1"/>
      <w:marLeft w:val="0"/>
      <w:marRight w:val="0"/>
      <w:marTop w:val="0"/>
      <w:marBottom w:val="0"/>
      <w:divBdr>
        <w:top w:val="none" w:sz="0" w:space="0" w:color="auto"/>
        <w:left w:val="none" w:sz="0" w:space="0" w:color="auto"/>
        <w:bottom w:val="none" w:sz="0" w:space="0" w:color="auto"/>
        <w:right w:val="none" w:sz="0" w:space="0" w:color="auto"/>
      </w:divBdr>
    </w:div>
    <w:div w:id="1911891739">
      <w:bodyDiv w:val="1"/>
      <w:marLeft w:val="0"/>
      <w:marRight w:val="0"/>
      <w:marTop w:val="0"/>
      <w:marBottom w:val="0"/>
      <w:divBdr>
        <w:top w:val="none" w:sz="0" w:space="0" w:color="auto"/>
        <w:left w:val="none" w:sz="0" w:space="0" w:color="auto"/>
        <w:bottom w:val="none" w:sz="0" w:space="0" w:color="auto"/>
        <w:right w:val="none" w:sz="0" w:space="0" w:color="auto"/>
      </w:divBdr>
    </w:div>
    <w:div w:id="1911958083">
      <w:bodyDiv w:val="1"/>
      <w:marLeft w:val="0"/>
      <w:marRight w:val="0"/>
      <w:marTop w:val="0"/>
      <w:marBottom w:val="0"/>
      <w:divBdr>
        <w:top w:val="none" w:sz="0" w:space="0" w:color="auto"/>
        <w:left w:val="none" w:sz="0" w:space="0" w:color="auto"/>
        <w:bottom w:val="none" w:sz="0" w:space="0" w:color="auto"/>
        <w:right w:val="none" w:sz="0" w:space="0" w:color="auto"/>
      </w:divBdr>
    </w:div>
    <w:div w:id="1912079761">
      <w:bodyDiv w:val="1"/>
      <w:marLeft w:val="0"/>
      <w:marRight w:val="0"/>
      <w:marTop w:val="0"/>
      <w:marBottom w:val="0"/>
      <w:divBdr>
        <w:top w:val="none" w:sz="0" w:space="0" w:color="auto"/>
        <w:left w:val="none" w:sz="0" w:space="0" w:color="auto"/>
        <w:bottom w:val="none" w:sz="0" w:space="0" w:color="auto"/>
        <w:right w:val="none" w:sz="0" w:space="0" w:color="auto"/>
      </w:divBdr>
    </w:div>
    <w:div w:id="1912080024">
      <w:bodyDiv w:val="1"/>
      <w:marLeft w:val="0"/>
      <w:marRight w:val="0"/>
      <w:marTop w:val="0"/>
      <w:marBottom w:val="0"/>
      <w:divBdr>
        <w:top w:val="none" w:sz="0" w:space="0" w:color="auto"/>
        <w:left w:val="none" w:sz="0" w:space="0" w:color="auto"/>
        <w:bottom w:val="none" w:sz="0" w:space="0" w:color="auto"/>
        <w:right w:val="none" w:sz="0" w:space="0" w:color="auto"/>
      </w:divBdr>
    </w:div>
    <w:div w:id="1912081056">
      <w:bodyDiv w:val="1"/>
      <w:marLeft w:val="0"/>
      <w:marRight w:val="0"/>
      <w:marTop w:val="0"/>
      <w:marBottom w:val="0"/>
      <w:divBdr>
        <w:top w:val="none" w:sz="0" w:space="0" w:color="auto"/>
        <w:left w:val="none" w:sz="0" w:space="0" w:color="auto"/>
        <w:bottom w:val="none" w:sz="0" w:space="0" w:color="auto"/>
        <w:right w:val="none" w:sz="0" w:space="0" w:color="auto"/>
      </w:divBdr>
    </w:div>
    <w:div w:id="1912108666">
      <w:bodyDiv w:val="1"/>
      <w:marLeft w:val="0"/>
      <w:marRight w:val="0"/>
      <w:marTop w:val="0"/>
      <w:marBottom w:val="0"/>
      <w:divBdr>
        <w:top w:val="none" w:sz="0" w:space="0" w:color="auto"/>
        <w:left w:val="none" w:sz="0" w:space="0" w:color="auto"/>
        <w:bottom w:val="none" w:sz="0" w:space="0" w:color="auto"/>
        <w:right w:val="none" w:sz="0" w:space="0" w:color="auto"/>
      </w:divBdr>
    </w:div>
    <w:div w:id="1912152889">
      <w:bodyDiv w:val="1"/>
      <w:marLeft w:val="0"/>
      <w:marRight w:val="0"/>
      <w:marTop w:val="0"/>
      <w:marBottom w:val="0"/>
      <w:divBdr>
        <w:top w:val="none" w:sz="0" w:space="0" w:color="auto"/>
        <w:left w:val="none" w:sz="0" w:space="0" w:color="auto"/>
        <w:bottom w:val="none" w:sz="0" w:space="0" w:color="auto"/>
        <w:right w:val="none" w:sz="0" w:space="0" w:color="auto"/>
      </w:divBdr>
    </w:div>
    <w:div w:id="1912158616">
      <w:bodyDiv w:val="1"/>
      <w:marLeft w:val="0"/>
      <w:marRight w:val="0"/>
      <w:marTop w:val="0"/>
      <w:marBottom w:val="0"/>
      <w:divBdr>
        <w:top w:val="none" w:sz="0" w:space="0" w:color="auto"/>
        <w:left w:val="none" w:sz="0" w:space="0" w:color="auto"/>
        <w:bottom w:val="none" w:sz="0" w:space="0" w:color="auto"/>
        <w:right w:val="none" w:sz="0" w:space="0" w:color="auto"/>
      </w:divBdr>
    </w:div>
    <w:div w:id="1912275348">
      <w:bodyDiv w:val="1"/>
      <w:marLeft w:val="0"/>
      <w:marRight w:val="0"/>
      <w:marTop w:val="0"/>
      <w:marBottom w:val="0"/>
      <w:divBdr>
        <w:top w:val="none" w:sz="0" w:space="0" w:color="auto"/>
        <w:left w:val="none" w:sz="0" w:space="0" w:color="auto"/>
        <w:bottom w:val="none" w:sz="0" w:space="0" w:color="auto"/>
        <w:right w:val="none" w:sz="0" w:space="0" w:color="auto"/>
      </w:divBdr>
    </w:div>
    <w:div w:id="1912427350">
      <w:bodyDiv w:val="1"/>
      <w:marLeft w:val="0"/>
      <w:marRight w:val="0"/>
      <w:marTop w:val="0"/>
      <w:marBottom w:val="0"/>
      <w:divBdr>
        <w:top w:val="none" w:sz="0" w:space="0" w:color="auto"/>
        <w:left w:val="none" w:sz="0" w:space="0" w:color="auto"/>
        <w:bottom w:val="none" w:sz="0" w:space="0" w:color="auto"/>
        <w:right w:val="none" w:sz="0" w:space="0" w:color="auto"/>
      </w:divBdr>
    </w:div>
    <w:div w:id="1912427753">
      <w:bodyDiv w:val="1"/>
      <w:marLeft w:val="0"/>
      <w:marRight w:val="0"/>
      <w:marTop w:val="0"/>
      <w:marBottom w:val="0"/>
      <w:divBdr>
        <w:top w:val="none" w:sz="0" w:space="0" w:color="auto"/>
        <w:left w:val="none" w:sz="0" w:space="0" w:color="auto"/>
        <w:bottom w:val="none" w:sz="0" w:space="0" w:color="auto"/>
        <w:right w:val="none" w:sz="0" w:space="0" w:color="auto"/>
      </w:divBdr>
    </w:div>
    <w:div w:id="1912428138">
      <w:bodyDiv w:val="1"/>
      <w:marLeft w:val="0"/>
      <w:marRight w:val="0"/>
      <w:marTop w:val="0"/>
      <w:marBottom w:val="0"/>
      <w:divBdr>
        <w:top w:val="none" w:sz="0" w:space="0" w:color="auto"/>
        <w:left w:val="none" w:sz="0" w:space="0" w:color="auto"/>
        <w:bottom w:val="none" w:sz="0" w:space="0" w:color="auto"/>
        <w:right w:val="none" w:sz="0" w:space="0" w:color="auto"/>
      </w:divBdr>
    </w:div>
    <w:div w:id="1912428332">
      <w:bodyDiv w:val="1"/>
      <w:marLeft w:val="0"/>
      <w:marRight w:val="0"/>
      <w:marTop w:val="0"/>
      <w:marBottom w:val="0"/>
      <w:divBdr>
        <w:top w:val="none" w:sz="0" w:space="0" w:color="auto"/>
        <w:left w:val="none" w:sz="0" w:space="0" w:color="auto"/>
        <w:bottom w:val="none" w:sz="0" w:space="0" w:color="auto"/>
        <w:right w:val="none" w:sz="0" w:space="0" w:color="auto"/>
      </w:divBdr>
    </w:div>
    <w:div w:id="1912891021">
      <w:bodyDiv w:val="1"/>
      <w:marLeft w:val="0"/>
      <w:marRight w:val="0"/>
      <w:marTop w:val="0"/>
      <w:marBottom w:val="0"/>
      <w:divBdr>
        <w:top w:val="none" w:sz="0" w:space="0" w:color="auto"/>
        <w:left w:val="none" w:sz="0" w:space="0" w:color="auto"/>
        <w:bottom w:val="none" w:sz="0" w:space="0" w:color="auto"/>
        <w:right w:val="none" w:sz="0" w:space="0" w:color="auto"/>
      </w:divBdr>
    </w:div>
    <w:div w:id="1912930531">
      <w:bodyDiv w:val="1"/>
      <w:marLeft w:val="0"/>
      <w:marRight w:val="0"/>
      <w:marTop w:val="0"/>
      <w:marBottom w:val="0"/>
      <w:divBdr>
        <w:top w:val="none" w:sz="0" w:space="0" w:color="auto"/>
        <w:left w:val="none" w:sz="0" w:space="0" w:color="auto"/>
        <w:bottom w:val="none" w:sz="0" w:space="0" w:color="auto"/>
        <w:right w:val="none" w:sz="0" w:space="0" w:color="auto"/>
      </w:divBdr>
    </w:div>
    <w:div w:id="1912932963">
      <w:bodyDiv w:val="1"/>
      <w:marLeft w:val="0"/>
      <w:marRight w:val="0"/>
      <w:marTop w:val="0"/>
      <w:marBottom w:val="0"/>
      <w:divBdr>
        <w:top w:val="none" w:sz="0" w:space="0" w:color="auto"/>
        <w:left w:val="none" w:sz="0" w:space="0" w:color="auto"/>
        <w:bottom w:val="none" w:sz="0" w:space="0" w:color="auto"/>
        <w:right w:val="none" w:sz="0" w:space="0" w:color="auto"/>
      </w:divBdr>
    </w:div>
    <w:div w:id="1913000940">
      <w:bodyDiv w:val="1"/>
      <w:marLeft w:val="0"/>
      <w:marRight w:val="0"/>
      <w:marTop w:val="0"/>
      <w:marBottom w:val="0"/>
      <w:divBdr>
        <w:top w:val="none" w:sz="0" w:space="0" w:color="auto"/>
        <w:left w:val="none" w:sz="0" w:space="0" w:color="auto"/>
        <w:bottom w:val="none" w:sz="0" w:space="0" w:color="auto"/>
        <w:right w:val="none" w:sz="0" w:space="0" w:color="auto"/>
      </w:divBdr>
    </w:div>
    <w:div w:id="1913152173">
      <w:bodyDiv w:val="1"/>
      <w:marLeft w:val="0"/>
      <w:marRight w:val="0"/>
      <w:marTop w:val="0"/>
      <w:marBottom w:val="0"/>
      <w:divBdr>
        <w:top w:val="none" w:sz="0" w:space="0" w:color="auto"/>
        <w:left w:val="none" w:sz="0" w:space="0" w:color="auto"/>
        <w:bottom w:val="none" w:sz="0" w:space="0" w:color="auto"/>
        <w:right w:val="none" w:sz="0" w:space="0" w:color="auto"/>
      </w:divBdr>
    </w:div>
    <w:div w:id="1913159206">
      <w:bodyDiv w:val="1"/>
      <w:marLeft w:val="0"/>
      <w:marRight w:val="0"/>
      <w:marTop w:val="0"/>
      <w:marBottom w:val="0"/>
      <w:divBdr>
        <w:top w:val="none" w:sz="0" w:space="0" w:color="auto"/>
        <w:left w:val="none" w:sz="0" w:space="0" w:color="auto"/>
        <w:bottom w:val="none" w:sz="0" w:space="0" w:color="auto"/>
        <w:right w:val="none" w:sz="0" w:space="0" w:color="auto"/>
      </w:divBdr>
    </w:div>
    <w:div w:id="1913194329">
      <w:bodyDiv w:val="1"/>
      <w:marLeft w:val="0"/>
      <w:marRight w:val="0"/>
      <w:marTop w:val="0"/>
      <w:marBottom w:val="0"/>
      <w:divBdr>
        <w:top w:val="none" w:sz="0" w:space="0" w:color="auto"/>
        <w:left w:val="none" w:sz="0" w:space="0" w:color="auto"/>
        <w:bottom w:val="none" w:sz="0" w:space="0" w:color="auto"/>
        <w:right w:val="none" w:sz="0" w:space="0" w:color="auto"/>
      </w:divBdr>
    </w:div>
    <w:div w:id="1913194706">
      <w:bodyDiv w:val="1"/>
      <w:marLeft w:val="0"/>
      <w:marRight w:val="0"/>
      <w:marTop w:val="0"/>
      <w:marBottom w:val="0"/>
      <w:divBdr>
        <w:top w:val="none" w:sz="0" w:space="0" w:color="auto"/>
        <w:left w:val="none" w:sz="0" w:space="0" w:color="auto"/>
        <w:bottom w:val="none" w:sz="0" w:space="0" w:color="auto"/>
        <w:right w:val="none" w:sz="0" w:space="0" w:color="auto"/>
      </w:divBdr>
    </w:div>
    <w:div w:id="1913200125">
      <w:bodyDiv w:val="1"/>
      <w:marLeft w:val="0"/>
      <w:marRight w:val="0"/>
      <w:marTop w:val="0"/>
      <w:marBottom w:val="0"/>
      <w:divBdr>
        <w:top w:val="none" w:sz="0" w:space="0" w:color="auto"/>
        <w:left w:val="none" w:sz="0" w:space="0" w:color="auto"/>
        <w:bottom w:val="none" w:sz="0" w:space="0" w:color="auto"/>
        <w:right w:val="none" w:sz="0" w:space="0" w:color="auto"/>
      </w:divBdr>
    </w:div>
    <w:div w:id="1913349541">
      <w:bodyDiv w:val="1"/>
      <w:marLeft w:val="0"/>
      <w:marRight w:val="0"/>
      <w:marTop w:val="0"/>
      <w:marBottom w:val="0"/>
      <w:divBdr>
        <w:top w:val="none" w:sz="0" w:space="0" w:color="auto"/>
        <w:left w:val="none" w:sz="0" w:space="0" w:color="auto"/>
        <w:bottom w:val="none" w:sz="0" w:space="0" w:color="auto"/>
        <w:right w:val="none" w:sz="0" w:space="0" w:color="auto"/>
      </w:divBdr>
    </w:div>
    <w:div w:id="1913419799">
      <w:bodyDiv w:val="1"/>
      <w:marLeft w:val="0"/>
      <w:marRight w:val="0"/>
      <w:marTop w:val="0"/>
      <w:marBottom w:val="0"/>
      <w:divBdr>
        <w:top w:val="none" w:sz="0" w:space="0" w:color="auto"/>
        <w:left w:val="none" w:sz="0" w:space="0" w:color="auto"/>
        <w:bottom w:val="none" w:sz="0" w:space="0" w:color="auto"/>
        <w:right w:val="none" w:sz="0" w:space="0" w:color="auto"/>
      </w:divBdr>
    </w:div>
    <w:div w:id="1913420026">
      <w:bodyDiv w:val="1"/>
      <w:marLeft w:val="0"/>
      <w:marRight w:val="0"/>
      <w:marTop w:val="0"/>
      <w:marBottom w:val="0"/>
      <w:divBdr>
        <w:top w:val="none" w:sz="0" w:space="0" w:color="auto"/>
        <w:left w:val="none" w:sz="0" w:space="0" w:color="auto"/>
        <w:bottom w:val="none" w:sz="0" w:space="0" w:color="auto"/>
        <w:right w:val="none" w:sz="0" w:space="0" w:color="auto"/>
      </w:divBdr>
    </w:div>
    <w:div w:id="1913464505">
      <w:bodyDiv w:val="1"/>
      <w:marLeft w:val="0"/>
      <w:marRight w:val="0"/>
      <w:marTop w:val="0"/>
      <w:marBottom w:val="0"/>
      <w:divBdr>
        <w:top w:val="none" w:sz="0" w:space="0" w:color="auto"/>
        <w:left w:val="none" w:sz="0" w:space="0" w:color="auto"/>
        <w:bottom w:val="none" w:sz="0" w:space="0" w:color="auto"/>
        <w:right w:val="none" w:sz="0" w:space="0" w:color="auto"/>
      </w:divBdr>
    </w:div>
    <w:div w:id="1913536813">
      <w:bodyDiv w:val="1"/>
      <w:marLeft w:val="0"/>
      <w:marRight w:val="0"/>
      <w:marTop w:val="0"/>
      <w:marBottom w:val="0"/>
      <w:divBdr>
        <w:top w:val="none" w:sz="0" w:space="0" w:color="auto"/>
        <w:left w:val="none" w:sz="0" w:space="0" w:color="auto"/>
        <w:bottom w:val="none" w:sz="0" w:space="0" w:color="auto"/>
        <w:right w:val="none" w:sz="0" w:space="0" w:color="auto"/>
      </w:divBdr>
    </w:div>
    <w:div w:id="1913540128">
      <w:bodyDiv w:val="1"/>
      <w:marLeft w:val="0"/>
      <w:marRight w:val="0"/>
      <w:marTop w:val="0"/>
      <w:marBottom w:val="0"/>
      <w:divBdr>
        <w:top w:val="none" w:sz="0" w:space="0" w:color="auto"/>
        <w:left w:val="none" w:sz="0" w:space="0" w:color="auto"/>
        <w:bottom w:val="none" w:sz="0" w:space="0" w:color="auto"/>
        <w:right w:val="none" w:sz="0" w:space="0" w:color="auto"/>
      </w:divBdr>
    </w:div>
    <w:div w:id="1913540276">
      <w:bodyDiv w:val="1"/>
      <w:marLeft w:val="0"/>
      <w:marRight w:val="0"/>
      <w:marTop w:val="0"/>
      <w:marBottom w:val="0"/>
      <w:divBdr>
        <w:top w:val="none" w:sz="0" w:space="0" w:color="auto"/>
        <w:left w:val="none" w:sz="0" w:space="0" w:color="auto"/>
        <w:bottom w:val="none" w:sz="0" w:space="0" w:color="auto"/>
        <w:right w:val="none" w:sz="0" w:space="0" w:color="auto"/>
      </w:divBdr>
    </w:div>
    <w:div w:id="1913661093">
      <w:bodyDiv w:val="1"/>
      <w:marLeft w:val="0"/>
      <w:marRight w:val="0"/>
      <w:marTop w:val="0"/>
      <w:marBottom w:val="0"/>
      <w:divBdr>
        <w:top w:val="none" w:sz="0" w:space="0" w:color="auto"/>
        <w:left w:val="none" w:sz="0" w:space="0" w:color="auto"/>
        <w:bottom w:val="none" w:sz="0" w:space="0" w:color="auto"/>
        <w:right w:val="none" w:sz="0" w:space="0" w:color="auto"/>
      </w:divBdr>
    </w:div>
    <w:div w:id="1913662056">
      <w:bodyDiv w:val="1"/>
      <w:marLeft w:val="0"/>
      <w:marRight w:val="0"/>
      <w:marTop w:val="0"/>
      <w:marBottom w:val="0"/>
      <w:divBdr>
        <w:top w:val="none" w:sz="0" w:space="0" w:color="auto"/>
        <w:left w:val="none" w:sz="0" w:space="0" w:color="auto"/>
        <w:bottom w:val="none" w:sz="0" w:space="0" w:color="auto"/>
        <w:right w:val="none" w:sz="0" w:space="0" w:color="auto"/>
      </w:divBdr>
    </w:div>
    <w:div w:id="1913733109">
      <w:bodyDiv w:val="1"/>
      <w:marLeft w:val="0"/>
      <w:marRight w:val="0"/>
      <w:marTop w:val="0"/>
      <w:marBottom w:val="0"/>
      <w:divBdr>
        <w:top w:val="none" w:sz="0" w:space="0" w:color="auto"/>
        <w:left w:val="none" w:sz="0" w:space="0" w:color="auto"/>
        <w:bottom w:val="none" w:sz="0" w:space="0" w:color="auto"/>
        <w:right w:val="none" w:sz="0" w:space="0" w:color="auto"/>
      </w:divBdr>
    </w:div>
    <w:div w:id="1913739062">
      <w:bodyDiv w:val="1"/>
      <w:marLeft w:val="0"/>
      <w:marRight w:val="0"/>
      <w:marTop w:val="0"/>
      <w:marBottom w:val="0"/>
      <w:divBdr>
        <w:top w:val="none" w:sz="0" w:space="0" w:color="auto"/>
        <w:left w:val="none" w:sz="0" w:space="0" w:color="auto"/>
        <w:bottom w:val="none" w:sz="0" w:space="0" w:color="auto"/>
        <w:right w:val="none" w:sz="0" w:space="0" w:color="auto"/>
      </w:divBdr>
    </w:div>
    <w:div w:id="1913849831">
      <w:bodyDiv w:val="1"/>
      <w:marLeft w:val="0"/>
      <w:marRight w:val="0"/>
      <w:marTop w:val="0"/>
      <w:marBottom w:val="0"/>
      <w:divBdr>
        <w:top w:val="none" w:sz="0" w:space="0" w:color="auto"/>
        <w:left w:val="none" w:sz="0" w:space="0" w:color="auto"/>
        <w:bottom w:val="none" w:sz="0" w:space="0" w:color="auto"/>
        <w:right w:val="none" w:sz="0" w:space="0" w:color="auto"/>
      </w:divBdr>
    </w:div>
    <w:div w:id="1913927034">
      <w:bodyDiv w:val="1"/>
      <w:marLeft w:val="0"/>
      <w:marRight w:val="0"/>
      <w:marTop w:val="0"/>
      <w:marBottom w:val="0"/>
      <w:divBdr>
        <w:top w:val="none" w:sz="0" w:space="0" w:color="auto"/>
        <w:left w:val="none" w:sz="0" w:space="0" w:color="auto"/>
        <w:bottom w:val="none" w:sz="0" w:space="0" w:color="auto"/>
        <w:right w:val="none" w:sz="0" w:space="0" w:color="auto"/>
      </w:divBdr>
    </w:div>
    <w:div w:id="1913999808">
      <w:bodyDiv w:val="1"/>
      <w:marLeft w:val="0"/>
      <w:marRight w:val="0"/>
      <w:marTop w:val="0"/>
      <w:marBottom w:val="0"/>
      <w:divBdr>
        <w:top w:val="none" w:sz="0" w:space="0" w:color="auto"/>
        <w:left w:val="none" w:sz="0" w:space="0" w:color="auto"/>
        <w:bottom w:val="none" w:sz="0" w:space="0" w:color="auto"/>
        <w:right w:val="none" w:sz="0" w:space="0" w:color="auto"/>
      </w:divBdr>
    </w:div>
    <w:div w:id="1914003715">
      <w:bodyDiv w:val="1"/>
      <w:marLeft w:val="0"/>
      <w:marRight w:val="0"/>
      <w:marTop w:val="0"/>
      <w:marBottom w:val="0"/>
      <w:divBdr>
        <w:top w:val="none" w:sz="0" w:space="0" w:color="auto"/>
        <w:left w:val="none" w:sz="0" w:space="0" w:color="auto"/>
        <w:bottom w:val="none" w:sz="0" w:space="0" w:color="auto"/>
        <w:right w:val="none" w:sz="0" w:space="0" w:color="auto"/>
      </w:divBdr>
    </w:div>
    <w:div w:id="1914267705">
      <w:bodyDiv w:val="1"/>
      <w:marLeft w:val="0"/>
      <w:marRight w:val="0"/>
      <w:marTop w:val="0"/>
      <w:marBottom w:val="0"/>
      <w:divBdr>
        <w:top w:val="none" w:sz="0" w:space="0" w:color="auto"/>
        <w:left w:val="none" w:sz="0" w:space="0" w:color="auto"/>
        <w:bottom w:val="none" w:sz="0" w:space="0" w:color="auto"/>
        <w:right w:val="none" w:sz="0" w:space="0" w:color="auto"/>
      </w:divBdr>
    </w:div>
    <w:div w:id="1914268331">
      <w:bodyDiv w:val="1"/>
      <w:marLeft w:val="0"/>
      <w:marRight w:val="0"/>
      <w:marTop w:val="0"/>
      <w:marBottom w:val="0"/>
      <w:divBdr>
        <w:top w:val="none" w:sz="0" w:space="0" w:color="auto"/>
        <w:left w:val="none" w:sz="0" w:space="0" w:color="auto"/>
        <w:bottom w:val="none" w:sz="0" w:space="0" w:color="auto"/>
        <w:right w:val="none" w:sz="0" w:space="0" w:color="auto"/>
      </w:divBdr>
    </w:div>
    <w:div w:id="1914318422">
      <w:bodyDiv w:val="1"/>
      <w:marLeft w:val="0"/>
      <w:marRight w:val="0"/>
      <w:marTop w:val="0"/>
      <w:marBottom w:val="0"/>
      <w:divBdr>
        <w:top w:val="none" w:sz="0" w:space="0" w:color="auto"/>
        <w:left w:val="none" w:sz="0" w:space="0" w:color="auto"/>
        <w:bottom w:val="none" w:sz="0" w:space="0" w:color="auto"/>
        <w:right w:val="none" w:sz="0" w:space="0" w:color="auto"/>
      </w:divBdr>
    </w:div>
    <w:div w:id="1914319041">
      <w:bodyDiv w:val="1"/>
      <w:marLeft w:val="0"/>
      <w:marRight w:val="0"/>
      <w:marTop w:val="0"/>
      <w:marBottom w:val="0"/>
      <w:divBdr>
        <w:top w:val="none" w:sz="0" w:space="0" w:color="auto"/>
        <w:left w:val="none" w:sz="0" w:space="0" w:color="auto"/>
        <w:bottom w:val="none" w:sz="0" w:space="0" w:color="auto"/>
        <w:right w:val="none" w:sz="0" w:space="0" w:color="auto"/>
      </w:divBdr>
    </w:div>
    <w:div w:id="1914385916">
      <w:bodyDiv w:val="1"/>
      <w:marLeft w:val="0"/>
      <w:marRight w:val="0"/>
      <w:marTop w:val="0"/>
      <w:marBottom w:val="0"/>
      <w:divBdr>
        <w:top w:val="none" w:sz="0" w:space="0" w:color="auto"/>
        <w:left w:val="none" w:sz="0" w:space="0" w:color="auto"/>
        <w:bottom w:val="none" w:sz="0" w:space="0" w:color="auto"/>
        <w:right w:val="none" w:sz="0" w:space="0" w:color="auto"/>
      </w:divBdr>
    </w:div>
    <w:div w:id="1914578895">
      <w:bodyDiv w:val="1"/>
      <w:marLeft w:val="0"/>
      <w:marRight w:val="0"/>
      <w:marTop w:val="0"/>
      <w:marBottom w:val="0"/>
      <w:divBdr>
        <w:top w:val="none" w:sz="0" w:space="0" w:color="auto"/>
        <w:left w:val="none" w:sz="0" w:space="0" w:color="auto"/>
        <w:bottom w:val="none" w:sz="0" w:space="0" w:color="auto"/>
        <w:right w:val="none" w:sz="0" w:space="0" w:color="auto"/>
      </w:divBdr>
    </w:div>
    <w:div w:id="1914581031">
      <w:bodyDiv w:val="1"/>
      <w:marLeft w:val="0"/>
      <w:marRight w:val="0"/>
      <w:marTop w:val="0"/>
      <w:marBottom w:val="0"/>
      <w:divBdr>
        <w:top w:val="none" w:sz="0" w:space="0" w:color="auto"/>
        <w:left w:val="none" w:sz="0" w:space="0" w:color="auto"/>
        <w:bottom w:val="none" w:sz="0" w:space="0" w:color="auto"/>
        <w:right w:val="none" w:sz="0" w:space="0" w:color="auto"/>
      </w:divBdr>
    </w:div>
    <w:div w:id="1914582568">
      <w:bodyDiv w:val="1"/>
      <w:marLeft w:val="0"/>
      <w:marRight w:val="0"/>
      <w:marTop w:val="0"/>
      <w:marBottom w:val="0"/>
      <w:divBdr>
        <w:top w:val="none" w:sz="0" w:space="0" w:color="auto"/>
        <w:left w:val="none" w:sz="0" w:space="0" w:color="auto"/>
        <w:bottom w:val="none" w:sz="0" w:space="0" w:color="auto"/>
        <w:right w:val="none" w:sz="0" w:space="0" w:color="auto"/>
      </w:divBdr>
    </w:div>
    <w:div w:id="1914583620">
      <w:bodyDiv w:val="1"/>
      <w:marLeft w:val="0"/>
      <w:marRight w:val="0"/>
      <w:marTop w:val="0"/>
      <w:marBottom w:val="0"/>
      <w:divBdr>
        <w:top w:val="none" w:sz="0" w:space="0" w:color="auto"/>
        <w:left w:val="none" w:sz="0" w:space="0" w:color="auto"/>
        <w:bottom w:val="none" w:sz="0" w:space="0" w:color="auto"/>
        <w:right w:val="none" w:sz="0" w:space="0" w:color="auto"/>
      </w:divBdr>
    </w:div>
    <w:div w:id="1914662379">
      <w:bodyDiv w:val="1"/>
      <w:marLeft w:val="0"/>
      <w:marRight w:val="0"/>
      <w:marTop w:val="0"/>
      <w:marBottom w:val="0"/>
      <w:divBdr>
        <w:top w:val="none" w:sz="0" w:space="0" w:color="auto"/>
        <w:left w:val="none" w:sz="0" w:space="0" w:color="auto"/>
        <w:bottom w:val="none" w:sz="0" w:space="0" w:color="auto"/>
        <w:right w:val="none" w:sz="0" w:space="0" w:color="auto"/>
      </w:divBdr>
    </w:div>
    <w:div w:id="1914774850">
      <w:bodyDiv w:val="1"/>
      <w:marLeft w:val="0"/>
      <w:marRight w:val="0"/>
      <w:marTop w:val="0"/>
      <w:marBottom w:val="0"/>
      <w:divBdr>
        <w:top w:val="none" w:sz="0" w:space="0" w:color="auto"/>
        <w:left w:val="none" w:sz="0" w:space="0" w:color="auto"/>
        <w:bottom w:val="none" w:sz="0" w:space="0" w:color="auto"/>
        <w:right w:val="none" w:sz="0" w:space="0" w:color="auto"/>
      </w:divBdr>
    </w:div>
    <w:div w:id="1914851233">
      <w:bodyDiv w:val="1"/>
      <w:marLeft w:val="0"/>
      <w:marRight w:val="0"/>
      <w:marTop w:val="0"/>
      <w:marBottom w:val="0"/>
      <w:divBdr>
        <w:top w:val="none" w:sz="0" w:space="0" w:color="auto"/>
        <w:left w:val="none" w:sz="0" w:space="0" w:color="auto"/>
        <w:bottom w:val="none" w:sz="0" w:space="0" w:color="auto"/>
        <w:right w:val="none" w:sz="0" w:space="0" w:color="auto"/>
      </w:divBdr>
    </w:div>
    <w:div w:id="1914965489">
      <w:bodyDiv w:val="1"/>
      <w:marLeft w:val="0"/>
      <w:marRight w:val="0"/>
      <w:marTop w:val="0"/>
      <w:marBottom w:val="0"/>
      <w:divBdr>
        <w:top w:val="none" w:sz="0" w:space="0" w:color="auto"/>
        <w:left w:val="none" w:sz="0" w:space="0" w:color="auto"/>
        <w:bottom w:val="none" w:sz="0" w:space="0" w:color="auto"/>
        <w:right w:val="none" w:sz="0" w:space="0" w:color="auto"/>
      </w:divBdr>
    </w:div>
    <w:div w:id="1915116570">
      <w:bodyDiv w:val="1"/>
      <w:marLeft w:val="0"/>
      <w:marRight w:val="0"/>
      <w:marTop w:val="0"/>
      <w:marBottom w:val="0"/>
      <w:divBdr>
        <w:top w:val="none" w:sz="0" w:space="0" w:color="auto"/>
        <w:left w:val="none" w:sz="0" w:space="0" w:color="auto"/>
        <w:bottom w:val="none" w:sz="0" w:space="0" w:color="auto"/>
        <w:right w:val="none" w:sz="0" w:space="0" w:color="auto"/>
      </w:divBdr>
    </w:div>
    <w:div w:id="1915125379">
      <w:bodyDiv w:val="1"/>
      <w:marLeft w:val="0"/>
      <w:marRight w:val="0"/>
      <w:marTop w:val="0"/>
      <w:marBottom w:val="0"/>
      <w:divBdr>
        <w:top w:val="none" w:sz="0" w:space="0" w:color="auto"/>
        <w:left w:val="none" w:sz="0" w:space="0" w:color="auto"/>
        <w:bottom w:val="none" w:sz="0" w:space="0" w:color="auto"/>
        <w:right w:val="none" w:sz="0" w:space="0" w:color="auto"/>
      </w:divBdr>
    </w:div>
    <w:div w:id="1915236812">
      <w:bodyDiv w:val="1"/>
      <w:marLeft w:val="0"/>
      <w:marRight w:val="0"/>
      <w:marTop w:val="0"/>
      <w:marBottom w:val="0"/>
      <w:divBdr>
        <w:top w:val="none" w:sz="0" w:space="0" w:color="auto"/>
        <w:left w:val="none" w:sz="0" w:space="0" w:color="auto"/>
        <w:bottom w:val="none" w:sz="0" w:space="0" w:color="auto"/>
        <w:right w:val="none" w:sz="0" w:space="0" w:color="auto"/>
      </w:divBdr>
    </w:div>
    <w:div w:id="1915309186">
      <w:bodyDiv w:val="1"/>
      <w:marLeft w:val="0"/>
      <w:marRight w:val="0"/>
      <w:marTop w:val="0"/>
      <w:marBottom w:val="0"/>
      <w:divBdr>
        <w:top w:val="none" w:sz="0" w:space="0" w:color="auto"/>
        <w:left w:val="none" w:sz="0" w:space="0" w:color="auto"/>
        <w:bottom w:val="none" w:sz="0" w:space="0" w:color="auto"/>
        <w:right w:val="none" w:sz="0" w:space="0" w:color="auto"/>
      </w:divBdr>
    </w:div>
    <w:div w:id="1915315614">
      <w:bodyDiv w:val="1"/>
      <w:marLeft w:val="0"/>
      <w:marRight w:val="0"/>
      <w:marTop w:val="0"/>
      <w:marBottom w:val="0"/>
      <w:divBdr>
        <w:top w:val="none" w:sz="0" w:space="0" w:color="auto"/>
        <w:left w:val="none" w:sz="0" w:space="0" w:color="auto"/>
        <w:bottom w:val="none" w:sz="0" w:space="0" w:color="auto"/>
        <w:right w:val="none" w:sz="0" w:space="0" w:color="auto"/>
      </w:divBdr>
    </w:div>
    <w:div w:id="1915316937">
      <w:bodyDiv w:val="1"/>
      <w:marLeft w:val="0"/>
      <w:marRight w:val="0"/>
      <w:marTop w:val="0"/>
      <w:marBottom w:val="0"/>
      <w:divBdr>
        <w:top w:val="none" w:sz="0" w:space="0" w:color="auto"/>
        <w:left w:val="none" w:sz="0" w:space="0" w:color="auto"/>
        <w:bottom w:val="none" w:sz="0" w:space="0" w:color="auto"/>
        <w:right w:val="none" w:sz="0" w:space="0" w:color="auto"/>
      </w:divBdr>
    </w:div>
    <w:div w:id="1915428807">
      <w:bodyDiv w:val="1"/>
      <w:marLeft w:val="0"/>
      <w:marRight w:val="0"/>
      <w:marTop w:val="0"/>
      <w:marBottom w:val="0"/>
      <w:divBdr>
        <w:top w:val="none" w:sz="0" w:space="0" w:color="auto"/>
        <w:left w:val="none" w:sz="0" w:space="0" w:color="auto"/>
        <w:bottom w:val="none" w:sz="0" w:space="0" w:color="auto"/>
        <w:right w:val="none" w:sz="0" w:space="0" w:color="auto"/>
      </w:divBdr>
    </w:div>
    <w:div w:id="1915436514">
      <w:bodyDiv w:val="1"/>
      <w:marLeft w:val="0"/>
      <w:marRight w:val="0"/>
      <w:marTop w:val="0"/>
      <w:marBottom w:val="0"/>
      <w:divBdr>
        <w:top w:val="none" w:sz="0" w:space="0" w:color="auto"/>
        <w:left w:val="none" w:sz="0" w:space="0" w:color="auto"/>
        <w:bottom w:val="none" w:sz="0" w:space="0" w:color="auto"/>
        <w:right w:val="none" w:sz="0" w:space="0" w:color="auto"/>
      </w:divBdr>
    </w:div>
    <w:div w:id="1915554631">
      <w:bodyDiv w:val="1"/>
      <w:marLeft w:val="0"/>
      <w:marRight w:val="0"/>
      <w:marTop w:val="0"/>
      <w:marBottom w:val="0"/>
      <w:divBdr>
        <w:top w:val="none" w:sz="0" w:space="0" w:color="auto"/>
        <w:left w:val="none" w:sz="0" w:space="0" w:color="auto"/>
        <w:bottom w:val="none" w:sz="0" w:space="0" w:color="auto"/>
        <w:right w:val="none" w:sz="0" w:space="0" w:color="auto"/>
      </w:divBdr>
    </w:div>
    <w:div w:id="1915898541">
      <w:bodyDiv w:val="1"/>
      <w:marLeft w:val="0"/>
      <w:marRight w:val="0"/>
      <w:marTop w:val="0"/>
      <w:marBottom w:val="0"/>
      <w:divBdr>
        <w:top w:val="none" w:sz="0" w:space="0" w:color="auto"/>
        <w:left w:val="none" w:sz="0" w:space="0" w:color="auto"/>
        <w:bottom w:val="none" w:sz="0" w:space="0" w:color="auto"/>
        <w:right w:val="none" w:sz="0" w:space="0" w:color="auto"/>
      </w:divBdr>
    </w:div>
    <w:div w:id="1915966594">
      <w:bodyDiv w:val="1"/>
      <w:marLeft w:val="0"/>
      <w:marRight w:val="0"/>
      <w:marTop w:val="0"/>
      <w:marBottom w:val="0"/>
      <w:divBdr>
        <w:top w:val="none" w:sz="0" w:space="0" w:color="auto"/>
        <w:left w:val="none" w:sz="0" w:space="0" w:color="auto"/>
        <w:bottom w:val="none" w:sz="0" w:space="0" w:color="auto"/>
        <w:right w:val="none" w:sz="0" w:space="0" w:color="auto"/>
      </w:divBdr>
    </w:div>
    <w:div w:id="1915967395">
      <w:bodyDiv w:val="1"/>
      <w:marLeft w:val="0"/>
      <w:marRight w:val="0"/>
      <w:marTop w:val="0"/>
      <w:marBottom w:val="0"/>
      <w:divBdr>
        <w:top w:val="none" w:sz="0" w:space="0" w:color="auto"/>
        <w:left w:val="none" w:sz="0" w:space="0" w:color="auto"/>
        <w:bottom w:val="none" w:sz="0" w:space="0" w:color="auto"/>
        <w:right w:val="none" w:sz="0" w:space="0" w:color="auto"/>
      </w:divBdr>
    </w:div>
    <w:div w:id="1916040971">
      <w:bodyDiv w:val="1"/>
      <w:marLeft w:val="0"/>
      <w:marRight w:val="0"/>
      <w:marTop w:val="0"/>
      <w:marBottom w:val="0"/>
      <w:divBdr>
        <w:top w:val="none" w:sz="0" w:space="0" w:color="auto"/>
        <w:left w:val="none" w:sz="0" w:space="0" w:color="auto"/>
        <w:bottom w:val="none" w:sz="0" w:space="0" w:color="auto"/>
        <w:right w:val="none" w:sz="0" w:space="0" w:color="auto"/>
      </w:divBdr>
    </w:div>
    <w:div w:id="1916085814">
      <w:bodyDiv w:val="1"/>
      <w:marLeft w:val="0"/>
      <w:marRight w:val="0"/>
      <w:marTop w:val="0"/>
      <w:marBottom w:val="0"/>
      <w:divBdr>
        <w:top w:val="none" w:sz="0" w:space="0" w:color="auto"/>
        <w:left w:val="none" w:sz="0" w:space="0" w:color="auto"/>
        <w:bottom w:val="none" w:sz="0" w:space="0" w:color="auto"/>
        <w:right w:val="none" w:sz="0" w:space="0" w:color="auto"/>
      </w:divBdr>
    </w:div>
    <w:div w:id="1916088124">
      <w:bodyDiv w:val="1"/>
      <w:marLeft w:val="0"/>
      <w:marRight w:val="0"/>
      <w:marTop w:val="0"/>
      <w:marBottom w:val="0"/>
      <w:divBdr>
        <w:top w:val="none" w:sz="0" w:space="0" w:color="auto"/>
        <w:left w:val="none" w:sz="0" w:space="0" w:color="auto"/>
        <w:bottom w:val="none" w:sz="0" w:space="0" w:color="auto"/>
        <w:right w:val="none" w:sz="0" w:space="0" w:color="auto"/>
      </w:divBdr>
    </w:div>
    <w:div w:id="1916163988">
      <w:bodyDiv w:val="1"/>
      <w:marLeft w:val="0"/>
      <w:marRight w:val="0"/>
      <w:marTop w:val="0"/>
      <w:marBottom w:val="0"/>
      <w:divBdr>
        <w:top w:val="none" w:sz="0" w:space="0" w:color="auto"/>
        <w:left w:val="none" w:sz="0" w:space="0" w:color="auto"/>
        <w:bottom w:val="none" w:sz="0" w:space="0" w:color="auto"/>
        <w:right w:val="none" w:sz="0" w:space="0" w:color="auto"/>
      </w:divBdr>
    </w:div>
    <w:div w:id="1916276795">
      <w:bodyDiv w:val="1"/>
      <w:marLeft w:val="0"/>
      <w:marRight w:val="0"/>
      <w:marTop w:val="0"/>
      <w:marBottom w:val="0"/>
      <w:divBdr>
        <w:top w:val="none" w:sz="0" w:space="0" w:color="auto"/>
        <w:left w:val="none" w:sz="0" w:space="0" w:color="auto"/>
        <w:bottom w:val="none" w:sz="0" w:space="0" w:color="auto"/>
        <w:right w:val="none" w:sz="0" w:space="0" w:color="auto"/>
      </w:divBdr>
    </w:div>
    <w:div w:id="1916280483">
      <w:bodyDiv w:val="1"/>
      <w:marLeft w:val="0"/>
      <w:marRight w:val="0"/>
      <w:marTop w:val="0"/>
      <w:marBottom w:val="0"/>
      <w:divBdr>
        <w:top w:val="none" w:sz="0" w:space="0" w:color="auto"/>
        <w:left w:val="none" w:sz="0" w:space="0" w:color="auto"/>
        <w:bottom w:val="none" w:sz="0" w:space="0" w:color="auto"/>
        <w:right w:val="none" w:sz="0" w:space="0" w:color="auto"/>
      </w:divBdr>
    </w:div>
    <w:div w:id="1916283056">
      <w:bodyDiv w:val="1"/>
      <w:marLeft w:val="0"/>
      <w:marRight w:val="0"/>
      <w:marTop w:val="0"/>
      <w:marBottom w:val="0"/>
      <w:divBdr>
        <w:top w:val="none" w:sz="0" w:space="0" w:color="auto"/>
        <w:left w:val="none" w:sz="0" w:space="0" w:color="auto"/>
        <w:bottom w:val="none" w:sz="0" w:space="0" w:color="auto"/>
        <w:right w:val="none" w:sz="0" w:space="0" w:color="auto"/>
      </w:divBdr>
    </w:div>
    <w:div w:id="1916428270">
      <w:bodyDiv w:val="1"/>
      <w:marLeft w:val="0"/>
      <w:marRight w:val="0"/>
      <w:marTop w:val="0"/>
      <w:marBottom w:val="0"/>
      <w:divBdr>
        <w:top w:val="none" w:sz="0" w:space="0" w:color="auto"/>
        <w:left w:val="none" w:sz="0" w:space="0" w:color="auto"/>
        <w:bottom w:val="none" w:sz="0" w:space="0" w:color="auto"/>
        <w:right w:val="none" w:sz="0" w:space="0" w:color="auto"/>
      </w:divBdr>
    </w:div>
    <w:div w:id="1916428830">
      <w:bodyDiv w:val="1"/>
      <w:marLeft w:val="0"/>
      <w:marRight w:val="0"/>
      <w:marTop w:val="0"/>
      <w:marBottom w:val="0"/>
      <w:divBdr>
        <w:top w:val="none" w:sz="0" w:space="0" w:color="auto"/>
        <w:left w:val="none" w:sz="0" w:space="0" w:color="auto"/>
        <w:bottom w:val="none" w:sz="0" w:space="0" w:color="auto"/>
        <w:right w:val="none" w:sz="0" w:space="0" w:color="auto"/>
      </w:divBdr>
    </w:div>
    <w:div w:id="1916430166">
      <w:bodyDiv w:val="1"/>
      <w:marLeft w:val="0"/>
      <w:marRight w:val="0"/>
      <w:marTop w:val="0"/>
      <w:marBottom w:val="0"/>
      <w:divBdr>
        <w:top w:val="none" w:sz="0" w:space="0" w:color="auto"/>
        <w:left w:val="none" w:sz="0" w:space="0" w:color="auto"/>
        <w:bottom w:val="none" w:sz="0" w:space="0" w:color="auto"/>
        <w:right w:val="none" w:sz="0" w:space="0" w:color="auto"/>
      </w:divBdr>
    </w:div>
    <w:div w:id="1916474418">
      <w:bodyDiv w:val="1"/>
      <w:marLeft w:val="0"/>
      <w:marRight w:val="0"/>
      <w:marTop w:val="0"/>
      <w:marBottom w:val="0"/>
      <w:divBdr>
        <w:top w:val="none" w:sz="0" w:space="0" w:color="auto"/>
        <w:left w:val="none" w:sz="0" w:space="0" w:color="auto"/>
        <w:bottom w:val="none" w:sz="0" w:space="0" w:color="auto"/>
        <w:right w:val="none" w:sz="0" w:space="0" w:color="auto"/>
      </w:divBdr>
    </w:div>
    <w:div w:id="1916475656">
      <w:bodyDiv w:val="1"/>
      <w:marLeft w:val="0"/>
      <w:marRight w:val="0"/>
      <w:marTop w:val="0"/>
      <w:marBottom w:val="0"/>
      <w:divBdr>
        <w:top w:val="none" w:sz="0" w:space="0" w:color="auto"/>
        <w:left w:val="none" w:sz="0" w:space="0" w:color="auto"/>
        <w:bottom w:val="none" w:sz="0" w:space="0" w:color="auto"/>
        <w:right w:val="none" w:sz="0" w:space="0" w:color="auto"/>
      </w:divBdr>
    </w:div>
    <w:div w:id="1916550980">
      <w:bodyDiv w:val="1"/>
      <w:marLeft w:val="0"/>
      <w:marRight w:val="0"/>
      <w:marTop w:val="0"/>
      <w:marBottom w:val="0"/>
      <w:divBdr>
        <w:top w:val="none" w:sz="0" w:space="0" w:color="auto"/>
        <w:left w:val="none" w:sz="0" w:space="0" w:color="auto"/>
        <w:bottom w:val="none" w:sz="0" w:space="0" w:color="auto"/>
        <w:right w:val="none" w:sz="0" w:space="0" w:color="auto"/>
      </w:divBdr>
    </w:div>
    <w:div w:id="1916623435">
      <w:bodyDiv w:val="1"/>
      <w:marLeft w:val="0"/>
      <w:marRight w:val="0"/>
      <w:marTop w:val="0"/>
      <w:marBottom w:val="0"/>
      <w:divBdr>
        <w:top w:val="none" w:sz="0" w:space="0" w:color="auto"/>
        <w:left w:val="none" w:sz="0" w:space="0" w:color="auto"/>
        <w:bottom w:val="none" w:sz="0" w:space="0" w:color="auto"/>
        <w:right w:val="none" w:sz="0" w:space="0" w:color="auto"/>
      </w:divBdr>
    </w:div>
    <w:div w:id="1916667042">
      <w:bodyDiv w:val="1"/>
      <w:marLeft w:val="0"/>
      <w:marRight w:val="0"/>
      <w:marTop w:val="0"/>
      <w:marBottom w:val="0"/>
      <w:divBdr>
        <w:top w:val="none" w:sz="0" w:space="0" w:color="auto"/>
        <w:left w:val="none" w:sz="0" w:space="0" w:color="auto"/>
        <w:bottom w:val="none" w:sz="0" w:space="0" w:color="auto"/>
        <w:right w:val="none" w:sz="0" w:space="0" w:color="auto"/>
      </w:divBdr>
    </w:div>
    <w:div w:id="1916743474">
      <w:bodyDiv w:val="1"/>
      <w:marLeft w:val="0"/>
      <w:marRight w:val="0"/>
      <w:marTop w:val="0"/>
      <w:marBottom w:val="0"/>
      <w:divBdr>
        <w:top w:val="none" w:sz="0" w:space="0" w:color="auto"/>
        <w:left w:val="none" w:sz="0" w:space="0" w:color="auto"/>
        <w:bottom w:val="none" w:sz="0" w:space="0" w:color="auto"/>
        <w:right w:val="none" w:sz="0" w:space="0" w:color="auto"/>
      </w:divBdr>
    </w:div>
    <w:div w:id="1916745333">
      <w:bodyDiv w:val="1"/>
      <w:marLeft w:val="0"/>
      <w:marRight w:val="0"/>
      <w:marTop w:val="0"/>
      <w:marBottom w:val="0"/>
      <w:divBdr>
        <w:top w:val="none" w:sz="0" w:space="0" w:color="auto"/>
        <w:left w:val="none" w:sz="0" w:space="0" w:color="auto"/>
        <w:bottom w:val="none" w:sz="0" w:space="0" w:color="auto"/>
        <w:right w:val="none" w:sz="0" w:space="0" w:color="auto"/>
      </w:divBdr>
    </w:div>
    <w:div w:id="1916812995">
      <w:bodyDiv w:val="1"/>
      <w:marLeft w:val="0"/>
      <w:marRight w:val="0"/>
      <w:marTop w:val="0"/>
      <w:marBottom w:val="0"/>
      <w:divBdr>
        <w:top w:val="none" w:sz="0" w:space="0" w:color="auto"/>
        <w:left w:val="none" w:sz="0" w:space="0" w:color="auto"/>
        <w:bottom w:val="none" w:sz="0" w:space="0" w:color="auto"/>
        <w:right w:val="none" w:sz="0" w:space="0" w:color="auto"/>
      </w:divBdr>
    </w:div>
    <w:div w:id="1916816470">
      <w:bodyDiv w:val="1"/>
      <w:marLeft w:val="0"/>
      <w:marRight w:val="0"/>
      <w:marTop w:val="0"/>
      <w:marBottom w:val="0"/>
      <w:divBdr>
        <w:top w:val="none" w:sz="0" w:space="0" w:color="auto"/>
        <w:left w:val="none" w:sz="0" w:space="0" w:color="auto"/>
        <w:bottom w:val="none" w:sz="0" w:space="0" w:color="auto"/>
        <w:right w:val="none" w:sz="0" w:space="0" w:color="auto"/>
      </w:divBdr>
    </w:div>
    <w:div w:id="1917011474">
      <w:bodyDiv w:val="1"/>
      <w:marLeft w:val="0"/>
      <w:marRight w:val="0"/>
      <w:marTop w:val="0"/>
      <w:marBottom w:val="0"/>
      <w:divBdr>
        <w:top w:val="none" w:sz="0" w:space="0" w:color="auto"/>
        <w:left w:val="none" w:sz="0" w:space="0" w:color="auto"/>
        <w:bottom w:val="none" w:sz="0" w:space="0" w:color="auto"/>
        <w:right w:val="none" w:sz="0" w:space="0" w:color="auto"/>
      </w:divBdr>
    </w:div>
    <w:div w:id="1917013419">
      <w:bodyDiv w:val="1"/>
      <w:marLeft w:val="0"/>
      <w:marRight w:val="0"/>
      <w:marTop w:val="0"/>
      <w:marBottom w:val="0"/>
      <w:divBdr>
        <w:top w:val="none" w:sz="0" w:space="0" w:color="auto"/>
        <w:left w:val="none" w:sz="0" w:space="0" w:color="auto"/>
        <w:bottom w:val="none" w:sz="0" w:space="0" w:color="auto"/>
        <w:right w:val="none" w:sz="0" w:space="0" w:color="auto"/>
      </w:divBdr>
    </w:div>
    <w:div w:id="1917129416">
      <w:bodyDiv w:val="1"/>
      <w:marLeft w:val="0"/>
      <w:marRight w:val="0"/>
      <w:marTop w:val="0"/>
      <w:marBottom w:val="0"/>
      <w:divBdr>
        <w:top w:val="none" w:sz="0" w:space="0" w:color="auto"/>
        <w:left w:val="none" w:sz="0" w:space="0" w:color="auto"/>
        <w:bottom w:val="none" w:sz="0" w:space="0" w:color="auto"/>
        <w:right w:val="none" w:sz="0" w:space="0" w:color="auto"/>
      </w:divBdr>
    </w:div>
    <w:div w:id="1917129932">
      <w:bodyDiv w:val="1"/>
      <w:marLeft w:val="0"/>
      <w:marRight w:val="0"/>
      <w:marTop w:val="0"/>
      <w:marBottom w:val="0"/>
      <w:divBdr>
        <w:top w:val="none" w:sz="0" w:space="0" w:color="auto"/>
        <w:left w:val="none" w:sz="0" w:space="0" w:color="auto"/>
        <w:bottom w:val="none" w:sz="0" w:space="0" w:color="auto"/>
        <w:right w:val="none" w:sz="0" w:space="0" w:color="auto"/>
      </w:divBdr>
    </w:div>
    <w:div w:id="1917397401">
      <w:bodyDiv w:val="1"/>
      <w:marLeft w:val="0"/>
      <w:marRight w:val="0"/>
      <w:marTop w:val="0"/>
      <w:marBottom w:val="0"/>
      <w:divBdr>
        <w:top w:val="none" w:sz="0" w:space="0" w:color="auto"/>
        <w:left w:val="none" w:sz="0" w:space="0" w:color="auto"/>
        <w:bottom w:val="none" w:sz="0" w:space="0" w:color="auto"/>
        <w:right w:val="none" w:sz="0" w:space="0" w:color="auto"/>
      </w:divBdr>
    </w:div>
    <w:div w:id="1917470969">
      <w:bodyDiv w:val="1"/>
      <w:marLeft w:val="0"/>
      <w:marRight w:val="0"/>
      <w:marTop w:val="0"/>
      <w:marBottom w:val="0"/>
      <w:divBdr>
        <w:top w:val="none" w:sz="0" w:space="0" w:color="auto"/>
        <w:left w:val="none" w:sz="0" w:space="0" w:color="auto"/>
        <w:bottom w:val="none" w:sz="0" w:space="0" w:color="auto"/>
        <w:right w:val="none" w:sz="0" w:space="0" w:color="auto"/>
      </w:divBdr>
    </w:div>
    <w:div w:id="1917475792">
      <w:bodyDiv w:val="1"/>
      <w:marLeft w:val="0"/>
      <w:marRight w:val="0"/>
      <w:marTop w:val="0"/>
      <w:marBottom w:val="0"/>
      <w:divBdr>
        <w:top w:val="none" w:sz="0" w:space="0" w:color="auto"/>
        <w:left w:val="none" w:sz="0" w:space="0" w:color="auto"/>
        <w:bottom w:val="none" w:sz="0" w:space="0" w:color="auto"/>
        <w:right w:val="none" w:sz="0" w:space="0" w:color="auto"/>
      </w:divBdr>
    </w:div>
    <w:div w:id="1917595417">
      <w:bodyDiv w:val="1"/>
      <w:marLeft w:val="0"/>
      <w:marRight w:val="0"/>
      <w:marTop w:val="0"/>
      <w:marBottom w:val="0"/>
      <w:divBdr>
        <w:top w:val="none" w:sz="0" w:space="0" w:color="auto"/>
        <w:left w:val="none" w:sz="0" w:space="0" w:color="auto"/>
        <w:bottom w:val="none" w:sz="0" w:space="0" w:color="auto"/>
        <w:right w:val="none" w:sz="0" w:space="0" w:color="auto"/>
      </w:divBdr>
    </w:div>
    <w:div w:id="1917781020">
      <w:bodyDiv w:val="1"/>
      <w:marLeft w:val="0"/>
      <w:marRight w:val="0"/>
      <w:marTop w:val="0"/>
      <w:marBottom w:val="0"/>
      <w:divBdr>
        <w:top w:val="none" w:sz="0" w:space="0" w:color="auto"/>
        <w:left w:val="none" w:sz="0" w:space="0" w:color="auto"/>
        <w:bottom w:val="none" w:sz="0" w:space="0" w:color="auto"/>
        <w:right w:val="none" w:sz="0" w:space="0" w:color="auto"/>
      </w:divBdr>
    </w:div>
    <w:div w:id="1917859374">
      <w:bodyDiv w:val="1"/>
      <w:marLeft w:val="0"/>
      <w:marRight w:val="0"/>
      <w:marTop w:val="0"/>
      <w:marBottom w:val="0"/>
      <w:divBdr>
        <w:top w:val="none" w:sz="0" w:space="0" w:color="auto"/>
        <w:left w:val="none" w:sz="0" w:space="0" w:color="auto"/>
        <w:bottom w:val="none" w:sz="0" w:space="0" w:color="auto"/>
        <w:right w:val="none" w:sz="0" w:space="0" w:color="auto"/>
      </w:divBdr>
    </w:div>
    <w:div w:id="1918126786">
      <w:bodyDiv w:val="1"/>
      <w:marLeft w:val="0"/>
      <w:marRight w:val="0"/>
      <w:marTop w:val="0"/>
      <w:marBottom w:val="0"/>
      <w:divBdr>
        <w:top w:val="none" w:sz="0" w:space="0" w:color="auto"/>
        <w:left w:val="none" w:sz="0" w:space="0" w:color="auto"/>
        <w:bottom w:val="none" w:sz="0" w:space="0" w:color="auto"/>
        <w:right w:val="none" w:sz="0" w:space="0" w:color="auto"/>
      </w:divBdr>
    </w:div>
    <w:div w:id="1918129522">
      <w:bodyDiv w:val="1"/>
      <w:marLeft w:val="0"/>
      <w:marRight w:val="0"/>
      <w:marTop w:val="0"/>
      <w:marBottom w:val="0"/>
      <w:divBdr>
        <w:top w:val="none" w:sz="0" w:space="0" w:color="auto"/>
        <w:left w:val="none" w:sz="0" w:space="0" w:color="auto"/>
        <w:bottom w:val="none" w:sz="0" w:space="0" w:color="auto"/>
        <w:right w:val="none" w:sz="0" w:space="0" w:color="auto"/>
      </w:divBdr>
    </w:div>
    <w:div w:id="1918202882">
      <w:bodyDiv w:val="1"/>
      <w:marLeft w:val="0"/>
      <w:marRight w:val="0"/>
      <w:marTop w:val="0"/>
      <w:marBottom w:val="0"/>
      <w:divBdr>
        <w:top w:val="none" w:sz="0" w:space="0" w:color="auto"/>
        <w:left w:val="none" w:sz="0" w:space="0" w:color="auto"/>
        <w:bottom w:val="none" w:sz="0" w:space="0" w:color="auto"/>
        <w:right w:val="none" w:sz="0" w:space="0" w:color="auto"/>
      </w:divBdr>
    </w:div>
    <w:div w:id="1918205512">
      <w:bodyDiv w:val="1"/>
      <w:marLeft w:val="0"/>
      <w:marRight w:val="0"/>
      <w:marTop w:val="0"/>
      <w:marBottom w:val="0"/>
      <w:divBdr>
        <w:top w:val="none" w:sz="0" w:space="0" w:color="auto"/>
        <w:left w:val="none" w:sz="0" w:space="0" w:color="auto"/>
        <w:bottom w:val="none" w:sz="0" w:space="0" w:color="auto"/>
        <w:right w:val="none" w:sz="0" w:space="0" w:color="auto"/>
      </w:divBdr>
    </w:div>
    <w:div w:id="1918246767">
      <w:bodyDiv w:val="1"/>
      <w:marLeft w:val="0"/>
      <w:marRight w:val="0"/>
      <w:marTop w:val="0"/>
      <w:marBottom w:val="0"/>
      <w:divBdr>
        <w:top w:val="none" w:sz="0" w:space="0" w:color="auto"/>
        <w:left w:val="none" w:sz="0" w:space="0" w:color="auto"/>
        <w:bottom w:val="none" w:sz="0" w:space="0" w:color="auto"/>
        <w:right w:val="none" w:sz="0" w:space="0" w:color="auto"/>
      </w:divBdr>
    </w:div>
    <w:div w:id="1918317112">
      <w:bodyDiv w:val="1"/>
      <w:marLeft w:val="0"/>
      <w:marRight w:val="0"/>
      <w:marTop w:val="0"/>
      <w:marBottom w:val="0"/>
      <w:divBdr>
        <w:top w:val="none" w:sz="0" w:space="0" w:color="auto"/>
        <w:left w:val="none" w:sz="0" w:space="0" w:color="auto"/>
        <w:bottom w:val="none" w:sz="0" w:space="0" w:color="auto"/>
        <w:right w:val="none" w:sz="0" w:space="0" w:color="auto"/>
      </w:divBdr>
    </w:div>
    <w:div w:id="1918317273">
      <w:bodyDiv w:val="1"/>
      <w:marLeft w:val="0"/>
      <w:marRight w:val="0"/>
      <w:marTop w:val="0"/>
      <w:marBottom w:val="0"/>
      <w:divBdr>
        <w:top w:val="none" w:sz="0" w:space="0" w:color="auto"/>
        <w:left w:val="none" w:sz="0" w:space="0" w:color="auto"/>
        <w:bottom w:val="none" w:sz="0" w:space="0" w:color="auto"/>
        <w:right w:val="none" w:sz="0" w:space="0" w:color="auto"/>
      </w:divBdr>
    </w:div>
    <w:div w:id="1918319386">
      <w:bodyDiv w:val="1"/>
      <w:marLeft w:val="0"/>
      <w:marRight w:val="0"/>
      <w:marTop w:val="0"/>
      <w:marBottom w:val="0"/>
      <w:divBdr>
        <w:top w:val="none" w:sz="0" w:space="0" w:color="auto"/>
        <w:left w:val="none" w:sz="0" w:space="0" w:color="auto"/>
        <w:bottom w:val="none" w:sz="0" w:space="0" w:color="auto"/>
        <w:right w:val="none" w:sz="0" w:space="0" w:color="auto"/>
      </w:divBdr>
    </w:div>
    <w:div w:id="1918322086">
      <w:bodyDiv w:val="1"/>
      <w:marLeft w:val="0"/>
      <w:marRight w:val="0"/>
      <w:marTop w:val="0"/>
      <w:marBottom w:val="0"/>
      <w:divBdr>
        <w:top w:val="none" w:sz="0" w:space="0" w:color="auto"/>
        <w:left w:val="none" w:sz="0" w:space="0" w:color="auto"/>
        <w:bottom w:val="none" w:sz="0" w:space="0" w:color="auto"/>
        <w:right w:val="none" w:sz="0" w:space="0" w:color="auto"/>
      </w:divBdr>
    </w:div>
    <w:div w:id="1918322896">
      <w:bodyDiv w:val="1"/>
      <w:marLeft w:val="0"/>
      <w:marRight w:val="0"/>
      <w:marTop w:val="0"/>
      <w:marBottom w:val="0"/>
      <w:divBdr>
        <w:top w:val="none" w:sz="0" w:space="0" w:color="auto"/>
        <w:left w:val="none" w:sz="0" w:space="0" w:color="auto"/>
        <w:bottom w:val="none" w:sz="0" w:space="0" w:color="auto"/>
        <w:right w:val="none" w:sz="0" w:space="0" w:color="auto"/>
      </w:divBdr>
    </w:div>
    <w:div w:id="1918588386">
      <w:bodyDiv w:val="1"/>
      <w:marLeft w:val="0"/>
      <w:marRight w:val="0"/>
      <w:marTop w:val="0"/>
      <w:marBottom w:val="0"/>
      <w:divBdr>
        <w:top w:val="none" w:sz="0" w:space="0" w:color="auto"/>
        <w:left w:val="none" w:sz="0" w:space="0" w:color="auto"/>
        <w:bottom w:val="none" w:sz="0" w:space="0" w:color="auto"/>
        <w:right w:val="none" w:sz="0" w:space="0" w:color="auto"/>
      </w:divBdr>
    </w:div>
    <w:div w:id="1918636523">
      <w:bodyDiv w:val="1"/>
      <w:marLeft w:val="0"/>
      <w:marRight w:val="0"/>
      <w:marTop w:val="0"/>
      <w:marBottom w:val="0"/>
      <w:divBdr>
        <w:top w:val="none" w:sz="0" w:space="0" w:color="auto"/>
        <w:left w:val="none" w:sz="0" w:space="0" w:color="auto"/>
        <w:bottom w:val="none" w:sz="0" w:space="0" w:color="auto"/>
        <w:right w:val="none" w:sz="0" w:space="0" w:color="auto"/>
      </w:divBdr>
    </w:div>
    <w:div w:id="1918661847">
      <w:bodyDiv w:val="1"/>
      <w:marLeft w:val="0"/>
      <w:marRight w:val="0"/>
      <w:marTop w:val="0"/>
      <w:marBottom w:val="0"/>
      <w:divBdr>
        <w:top w:val="none" w:sz="0" w:space="0" w:color="auto"/>
        <w:left w:val="none" w:sz="0" w:space="0" w:color="auto"/>
        <w:bottom w:val="none" w:sz="0" w:space="0" w:color="auto"/>
        <w:right w:val="none" w:sz="0" w:space="0" w:color="auto"/>
      </w:divBdr>
    </w:div>
    <w:div w:id="1918711803">
      <w:bodyDiv w:val="1"/>
      <w:marLeft w:val="0"/>
      <w:marRight w:val="0"/>
      <w:marTop w:val="0"/>
      <w:marBottom w:val="0"/>
      <w:divBdr>
        <w:top w:val="none" w:sz="0" w:space="0" w:color="auto"/>
        <w:left w:val="none" w:sz="0" w:space="0" w:color="auto"/>
        <w:bottom w:val="none" w:sz="0" w:space="0" w:color="auto"/>
        <w:right w:val="none" w:sz="0" w:space="0" w:color="auto"/>
      </w:divBdr>
    </w:div>
    <w:div w:id="1918781813">
      <w:bodyDiv w:val="1"/>
      <w:marLeft w:val="0"/>
      <w:marRight w:val="0"/>
      <w:marTop w:val="0"/>
      <w:marBottom w:val="0"/>
      <w:divBdr>
        <w:top w:val="none" w:sz="0" w:space="0" w:color="auto"/>
        <w:left w:val="none" w:sz="0" w:space="0" w:color="auto"/>
        <w:bottom w:val="none" w:sz="0" w:space="0" w:color="auto"/>
        <w:right w:val="none" w:sz="0" w:space="0" w:color="auto"/>
      </w:divBdr>
    </w:div>
    <w:div w:id="1918859028">
      <w:bodyDiv w:val="1"/>
      <w:marLeft w:val="0"/>
      <w:marRight w:val="0"/>
      <w:marTop w:val="0"/>
      <w:marBottom w:val="0"/>
      <w:divBdr>
        <w:top w:val="none" w:sz="0" w:space="0" w:color="auto"/>
        <w:left w:val="none" w:sz="0" w:space="0" w:color="auto"/>
        <w:bottom w:val="none" w:sz="0" w:space="0" w:color="auto"/>
        <w:right w:val="none" w:sz="0" w:space="0" w:color="auto"/>
      </w:divBdr>
    </w:div>
    <w:div w:id="1918860154">
      <w:bodyDiv w:val="1"/>
      <w:marLeft w:val="0"/>
      <w:marRight w:val="0"/>
      <w:marTop w:val="0"/>
      <w:marBottom w:val="0"/>
      <w:divBdr>
        <w:top w:val="none" w:sz="0" w:space="0" w:color="auto"/>
        <w:left w:val="none" w:sz="0" w:space="0" w:color="auto"/>
        <w:bottom w:val="none" w:sz="0" w:space="0" w:color="auto"/>
        <w:right w:val="none" w:sz="0" w:space="0" w:color="auto"/>
      </w:divBdr>
    </w:div>
    <w:div w:id="1918904805">
      <w:bodyDiv w:val="1"/>
      <w:marLeft w:val="0"/>
      <w:marRight w:val="0"/>
      <w:marTop w:val="0"/>
      <w:marBottom w:val="0"/>
      <w:divBdr>
        <w:top w:val="none" w:sz="0" w:space="0" w:color="auto"/>
        <w:left w:val="none" w:sz="0" w:space="0" w:color="auto"/>
        <w:bottom w:val="none" w:sz="0" w:space="0" w:color="auto"/>
        <w:right w:val="none" w:sz="0" w:space="0" w:color="auto"/>
      </w:divBdr>
    </w:div>
    <w:div w:id="1918981027">
      <w:bodyDiv w:val="1"/>
      <w:marLeft w:val="0"/>
      <w:marRight w:val="0"/>
      <w:marTop w:val="0"/>
      <w:marBottom w:val="0"/>
      <w:divBdr>
        <w:top w:val="none" w:sz="0" w:space="0" w:color="auto"/>
        <w:left w:val="none" w:sz="0" w:space="0" w:color="auto"/>
        <w:bottom w:val="none" w:sz="0" w:space="0" w:color="auto"/>
        <w:right w:val="none" w:sz="0" w:space="0" w:color="auto"/>
      </w:divBdr>
    </w:div>
    <w:div w:id="1919050240">
      <w:bodyDiv w:val="1"/>
      <w:marLeft w:val="0"/>
      <w:marRight w:val="0"/>
      <w:marTop w:val="0"/>
      <w:marBottom w:val="0"/>
      <w:divBdr>
        <w:top w:val="none" w:sz="0" w:space="0" w:color="auto"/>
        <w:left w:val="none" w:sz="0" w:space="0" w:color="auto"/>
        <w:bottom w:val="none" w:sz="0" w:space="0" w:color="auto"/>
        <w:right w:val="none" w:sz="0" w:space="0" w:color="auto"/>
      </w:divBdr>
    </w:div>
    <w:div w:id="1919054770">
      <w:bodyDiv w:val="1"/>
      <w:marLeft w:val="0"/>
      <w:marRight w:val="0"/>
      <w:marTop w:val="0"/>
      <w:marBottom w:val="0"/>
      <w:divBdr>
        <w:top w:val="none" w:sz="0" w:space="0" w:color="auto"/>
        <w:left w:val="none" w:sz="0" w:space="0" w:color="auto"/>
        <w:bottom w:val="none" w:sz="0" w:space="0" w:color="auto"/>
        <w:right w:val="none" w:sz="0" w:space="0" w:color="auto"/>
      </w:divBdr>
    </w:div>
    <w:div w:id="1919097820">
      <w:bodyDiv w:val="1"/>
      <w:marLeft w:val="0"/>
      <w:marRight w:val="0"/>
      <w:marTop w:val="0"/>
      <w:marBottom w:val="0"/>
      <w:divBdr>
        <w:top w:val="none" w:sz="0" w:space="0" w:color="auto"/>
        <w:left w:val="none" w:sz="0" w:space="0" w:color="auto"/>
        <w:bottom w:val="none" w:sz="0" w:space="0" w:color="auto"/>
        <w:right w:val="none" w:sz="0" w:space="0" w:color="auto"/>
      </w:divBdr>
    </w:div>
    <w:div w:id="1919169415">
      <w:bodyDiv w:val="1"/>
      <w:marLeft w:val="0"/>
      <w:marRight w:val="0"/>
      <w:marTop w:val="0"/>
      <w:marBottom w:val="0"/>
      <w:divBdr>
        <w:top w:val="none" w:sz="0" w:space="0" w:color="auto"/>
        <w:left w:val="none" w:sz="0" w:space="0" w:color="auto"/>
        <w:bottom w:val="none" w:sz="0" w:space="0" w:color="auto"/>
        <w:right w:val="none" w:sz="0" w:space="0" w:color="auto"/>
      </w:divBdr>
    </w:div>
    <w:div w:id="1919243065">
      <w:bodyDiv w:val="1"/>
      <w:marLeft w:val="0"/>
      <w:marRight w:val="0"/>
      <w:marTop w:val="0"/>
      <w:marBottom w:val="0"/>
      <w:divBdr>
        <w:top w:val="none" w:sz="0" w:space="0" w:color="auto"/>
        <w:left w:val="none" w:sz="0" w:space="0" w:color="auto"/>
        <w:bottom w:val="none" w:sz="0" w:space="0" w:color="auto"/>
        <w:right w:val="none" w:sz="0" w:space="0" w:color="auto"/>
      </w:divBdr>
    </w:div>
    <w:div w:id="1919245283">
      <w:bodyDiv w:val="1"/>
      <w:marLeft w:val="0"/>
      <w:marRight w:val="0"/>
      <w:marTop w:val="0"/>
      <w:marBottom w:val="0"/>
      <w:divBdr>
        <w:top w:val="none" w:sz="0" w:space="0" w:color="auto"/>
        <w:left w:val="none" w:sz="0" w:space="0" w:color="auto"/>
        <w:bottom w:val="none" w:sz="0" w:space="0" w:color="auto"/>
        <w:right w:val="none" w:sz="0" w:space="0" w:color="auto"/>
      </w:divBdr>
    </w:div>
    <w:div w:id="1919438082">
      <w:bodyDiv w:val="1"/>
      <w:marLeft w:val="0"/>
      <w:marRight w:val="0"/>
      <w:marTop w:val="0"/>
      <w:marBottom w:val="0"/>
      <w:divBdr>
        <w:top w:val="none" w:sz="0" w:space="0" w:color="auto"/>
        <w:left w:val="none" w:sz="0" w:space="0" w:color="auto"/>
        <w:bottom w:val="none" w:sz="0" w:space="0" w:color="auto"/>
        <w:right w:val="none" w:sz="0" w:space="0" w:color="auto"/>
      </w:divBdr>
    </w:div>
    <w:div w:id="1919438909">
      <w:bodyDiv w:val="1"/>
      <w:marLeft w:val="0"/>
      <w:marRight w:val="0"/>
      <w:marTop w:val="0"/>
      <w:marBottom w:val="0"/>
      <w:divBdr>
        <w:top w:val="none" w:sz="0" w:space="0" w:color="auto"/>
        <w:left w:val="none" w:sz="0" w:space="0" w:color="auto"/>
        <w:bottom w:val="none" w:sz="0" w:space="0" w:color="auto"/>
        <w:right w:val="none" w:sz="0" w:space="0" w:color="auto"/>
      </w:divBdr>
    </w:div>
    <w:div w:id="1919513952">
      <w:bodyDiv w:val="1"/>
      <w:marLeft w:val="0"/>
      <w:marRight w:val="0"/>
      <w:marTop w:val="0"/>
      <w:marBottom w:val="0"/>
      <w:divBdr>
        <w:top w:val="none" w:sz="0" w:space="0" w:color="auto"/>
        <w:left w:val="none" w:sz="0" w:space="0" w:color="auto"/>
        <w:bottom w:val="none" w:sz="0" w:space="0" w:color="auto"/>
        <w:right w:val="none" w:sz="0" w:space="0" w:color="auto"/>
      </w:divBdr>
    </w:div>
    <w:div w:id="1919553532">
      <w:bodyDiv w:val="1"/>
      <w:marLeft w:val="0"/>
      <w:marRight w:val="0"/>
      <w:marTop w:val="0"/>
      <w:marBottom w:val="0"/>
      <w:divBdr>
        <w:top w:val="none" w:sz="0" w:space="0" w:color="auto"/>
        <w:left w:val="none" w:sz="0" w:space="0" w:color="auto"/>
        <w:bottom w:val="none" w:sz="0" w:space="0" w:color="auto"/>
        <w:right w:val="none" w:sz="0" w:space="0" w:color="auto"/>
      </w:divBdr>
    </w:div>
    <w:div w:id="1919631781">
      <w:bodyDiv w:val="1"/>
      <w:marLeft w:val="0"/>
      <w:marRight w:val="0"/>
      <w:marTop w:val="0"/>
      <w:marBottom w:val="0"/>
      <w:divBdr>
        <w:top w:val="none" w:sz="0" w:space="0" w:color="auto"/>
        <w:left w:val="none" w:sz="0" w:space="0" w:color="auto"/>
        <w:bottom w:val="none" w:sz="0" w:space="0" w:color="auto"/>
        <w:right w:val="none" w:sz="0" w:space="0" w:color="auto"/>
      </w:divBdr>
    </w:div>
    <w:div w:id="1920016919">
      <w:bodyDiv w:val="1"/>
      <w:marLeft w:val="0"/>
      <w:marRight w:val="0"/>
      <w:marTop w:val="0"/>
      <w:marBottom w:val="0"/>
      <w:divBdr>
        <w:top w:val="none" w:sz="0" w:space="0" w:color="auto"/>
        <w:left w:val="none" w:sz="0" w:space="0" w:color="auto"/>
        <w:bottom w:val="none" w:sz="0" w:space="0" w:color="auto"/>
        <w:right w:val="none" w:sz="0" w:space="0" w:color="auto"/>
      </w:divBdr>
    </w:div>
    <w:div w:id="1920209706">
      <w:bodyDiv w:val="1"/>
      <w:marLeft w:val="0"/>
      <w:marRight w:val="0"/>
      <w:marTop w:val="0"/>
      <w:marBottom w:val="0"/>
      <w:divBdr>
        <w:top w:val="none" w:sz="0" w:space="0" w:color="auto"/>
        <w:left w:val="none" w:sz="0" w:space="0" w:color="auto"/>
        <w:bottom w:val="none" w:sz="0" w:space="0" w:color="auto"/>
        <w:right w:val="none" w:sz="0" w:space="0" w:color="auto"/>
      </w:divBdr>
    </w:div>
    <w:div w:id="1920211351">
      <w:bodyDiv w:val="1"/>
      <w:marLeft w:val="0"/>
      <w:marRight w:val="0"/>
      <w:marTop w:val="0"/>
      <w:marBottom w:val="0"/>
      <w:divBdr>
        <w:top w:val="none" w:sz="0" w:space="0" w:color="auto"/>
        <w:left w:val="none" w:sz="0" w:space="0" w:color="auto"/>
        <w:bottom w:val="none" w:sz="0" w:space="0" w:color="auto"/>
        <w:right w:val="none" w:sz="0" w:space="0" w:color="auto"/>
      </w:divBdr>
    </w:div>
    <w:div w:id="1920212890">
      <w:bodyDiv w:val="1"/>
      <w:marLeft w:val="0"/>
      <w:marRight w:val="0"/>
      <w:marTop w:val="0"/>
      <w:marBottom w:val="0"/>
      <w:divBdr>
        <w:top w:val="none" w:sz="0" w:space="0" w:color="auto"/>
        <w:left w:val="none" w:sz="0" w:space="0" w:color="auto"/>
        <w:bottom w:val="none" w:sz="0" w:space="0" w:color="auto"/>
        <w:right w:val="none" w:sz="0" w:space="0" w:color="auto"/>
      </w:divBdr>
    </w:div>
    <w:div w:id="1920288654">
      <w:bodyDiv w:val="1"/>
      <w:marLeft w:val="0"/>
      <w:marRight w:val="0"/>
      <w:marTop w:val="0"/>
      <w:marBottom w:val="0"/>
      <w:divBdr>
        <w:top w:val="none" w:sz="0" w:space="0" w:color="auto"/>
        <w:left w:val="none" w:sz="0" w:space="0" w:color="auto"/>
        <w:bottom w:val="none" w:sz="0" w:space="0" w:color="auto"/>
        <w:right w:val="none" w:sz="0" w:space="0" w:color="auto"/>
      </w:divBdr>
    </w:div>
    <w:div w:id="1920290470">
      <w:bodyDiv w:val="1"/>
      <w:marLeft w:val="0"/>
      <w:marRight w:val="0"/>
      <w:marTop w:val="0"/>
      <w:marBottom w:val="0"/>
      <w:divBdr>
        <w:top w:val="none" w:sz="0" w:space="0" w:color="auto"/>
        <w:left w:val="none" w:sz="0" w:space="0" w:color="auto"/>
        <w:bottom w:val="none" w:sz="0" w:space="0" w:color="auto"/>
        <w:right w:val="none" w:sz="0" w:space="0" w:color="auto"/>
      </w:divBdr>
    </w:div>
    <w:div w:id="1920291114">
      <w:bodyDiv w:val="1"/>
      <w:marLeft w:val="0"/>
      <w:marRight w:val="0"/>
      <w:marTop w:val="0"/>
      <w:marBottom w:val="0"/>
      <w:divBdr>
        <w:top w:val="none" w:sz="0" w:space="0" w:color="auto"/>
        <w:left w:val="none" w:sz="0" w:space="0" w:color="auto"/>
        <w:bottom w:val="none" w:sz="0" w:space="0" w:color="auto"/>
        <w:right w:val="none" w:sz="0" w:space="0" w:color="auto"/>
      </w:divBdr>
    </w:div>
    <w:div w:id="1920362655">
      <w:bodyDiv w:val="1"/>
      <w:marLeft w:val="0"/>
      <w:marRight w:val="0"/>
      <w:marTop w:val="0"/>
      <w:marBottom w:val="0"/>
      <w:divBdr>
        <w:top w:val="none" w:sz="0" w:space="0" w:color="auto"/>
        <w:left w:val="none" w:sz="0" w:space="0" w:color="auto"/>
        <w:bottom w:val="none" w:sz="0" w:space="0" w:color="auto"/>
        <w:right w:val="none" w:sz="0" w:space="0" w:color="auto"/>
      </w:divBdr>
    </w:div>
    <w:div w:id="1920401580">
      <w:bodyDiv w:val="1"/>
      <w:marLeft w:val="0"/>
      <w:marRight w:val="0"/>
      <w:marTop w:val="0"/>
      <w:marBottom w:val="0"/>
      <w:divBdr>
        <w:top w:val="none" w:sz="0" w:space="0" w:color="auto"/>
        <w:left w:val="none" w:sz="0" w:space="0" w:color="auto"/>
        <w:bottom w:val="none" w:sz="0" w:space="0" w:color="auto"/>
        <w:right w:val="none" w:sz="0" w:space="0" w:color="auto"/>
      </w:divBdr>
    </w:div>
    <w:div w:id="1920476705">
      <w:bodyDiv w:val="1"/>
      <w:marLeft w:val="0"/>
      <w:marRight w:val="0"/>
      <w:marTop w:val="0"/>
      <w:marBottom w:val="0"/>
      <w:divBdr>
        <w:top w:val="none" w:sz="0" w:space="0" w:color="auto"/>
        <w:left w:val="none" w:sz="0" w:space="0" w:color="auto"/>
        <w:bottom w:val="none" w:sz="0" w:space="0" w:color="auto"/>
        <w:right w:val="none" w:sz="0" w:space="0" w:color="auto"/>
      </w:divBdr>
    </w:div>
    <w:div w:id="1920484873">
      <w:bodyDiv w:val="1"/>
      <w:marLeft w:val="0"/>
      <w:marRight w:val="0"/>
      <w:marTop w:val="0"/>
      <w:marBottom w:val="0"/>
      <w:divBdr>
        <w:top w:val="none" w:sz="0" w:space="0" w:color="auto"/>
        <w:left w:val="none" w:sz="0" w:space="0" w:color="auto"/>
        <w:bottom w:val="none" w:sz="0" w:space="0" w:color="auto"/>
        <w:right w:val="none" w:sz="0" w:space="0" w:color="auto"/>
      </w:divBdr>
    </w:div>
    <w:div w:id="1920559949">
      <w:bodyDiv w:val="1"/>
      <w:marLeft w:val="0"/>
      <w:marRight w:val="0"/>
      <w:marTop w:val="0"/>
      <w:marBottom w:val="0"/>
      <w:divBdr>
        <w:top w:val="none" w:sz="0" w:space="0" w:color="auto"/>
        <w:left w:val="none" w:sz="0" w:space="0" w:color="auto"/>
        <w:bottom w:val="none" w:sz="0" w:space="0" w:color="auto"/>
        <w:right w:val="none" w:sz="0" w:space="0" w:color="auto"/>
      </w:divBdr>
    </w:div>
    <w:div w:id="1920672711">
      <w:bodyDiv w:val="1"/>
      <w:marLeft w:val="0"/>
      <w:marRight w:val="0"/>
      <w:marTop w:val="0"/>
      <w:marBottom w:val="0"/>
      <w:divBdr>
        <w:top w:val="none" w:sz="0" w:space="0" w:color="auto"/>
        <w:left w:val="none" w:sz="0" w:space="0" w:color="auto"/>
        <w:bottom w:val="none" w:sz="0" w:space="0" w:color="auto"/>
        <w:right w:val="none" w:sz="0" w:space="0" w:color="auto"/>
      </w:divBdr>
    </w:div>
    <w:div w:id="1920675967">
      <w:bodyDiv w:val="1"/>
      <w:marLeft w:val="0"/>
      <w:marRight w:val="0"/>
      <w:marTop w:val="0"/>
      <w:marBottom w:val="0"/>
      <w:divBdr>
        <w:top w:val="none" w:sz="0" w:space="0" w:color="auto"/>
        <w:left w:val="none" w:sz="0" w:space="0" w:color="auto"/>
        <w:bottom w:val="none" w:sz="0" w:space="0" w:color="auto"/>
        <w:right w:val="none" w:sz="0" w:space="0" w:color="auto"/>
      </w:divBdr>
    </w:div>
    <w:div w:id="1920748179">
      <w:bodyDiv w:val="1"/>
      <w:marLeft w:val="0"/>
      <w:marRight w:val="0"/>
      <w:marTop w:val="0"/>
      <w:marBottom w:val="0"/>
      <w:divBdr>
        <w:top w:val="none" w:sz="0" w:space="0" w:color="auto"/>
        <w:left w:val="none" w:sz="0" w:space="0" w:color="auto"/>
        <w:bottom w:val="none" w:sz="0" w:space="0" w:color="auto"/>
        <w:right w:val="none" w:sz="0" w:space="0" w:color="auto"/>
      </w:divBdr>
    </w:div>
    <w:div w:id="1920749469">
      <w:bodyDiv w:val="1"/>
      <w:marLeft w:val="0"/>
      <w:marRight w:val="0"/>
      <w:marTop w:val="0"/>
      <w:marBottom w:val="0"/>
      <w:divBdr>
        <w:top w:val="none" w:sz="0" w:space="0" w:color="auto"/>
        <w:left w:val="none" w:sz="0" w:space="0" w:color="auto"/>
        <w:bottom w:val="none" w:sz="0" w:space="0" w:color="auto"/>
        <w:right w:val="none" w:sz="0" w:space="0" w:color="auto"/>
      </w:divBdr>
    </w:div>
    <w:div w:id="1920820280">
      <w:bodyDiv w:val="1"/>
      <w:marLeft w:val="0"/>
      <w:marRight w:val="0"/>
      <w:marTop w:val="0"/>
      <w:marBottom w:val="0"/>
      <w:divBdr>
        <w:top w:val="none" w:sz="0" w:space="0" w:color="auto"/>
        <w:left w:val="none" w:sz="0" w:space="0" w:color="auto"/>
        <w:bottom w:val="none" w:sz="0" w:space="0" w:color="auto"/>
        <w:right w:val="none" w:sz="0" w:space="0" w:color="auto"/>
      </w:divBdr>
    </w:div>
    <w:div w:id="1920864945">
      <w:bodyDiv w:val="1"/>
      <w:marLeft w:val="0"/>
      <w:marRight w:val="0"/>
      <w:marTop w:val="0"/>
      <w:marBottom w:val="0"/>
      <w:divBdr>
        <w:top w:val="none" w:sz="0" w:space="0" w:color="auto"/>
        <w:left w:val="none" w:sz="0" w:space="0" w:color="auto"/>
        <w:bottom w:val="none" w:sz="0" w:space="0" w:color="auto"/>
        <w:right w:val="none" w:sz="0" w:space="0" w:color="auto"/>
      </w:divBdr>
    </w:div>
    <w:div w:id="1920865247">
      <w:bodyDiv w:val="1"/>
      <w:marLeft w:val="0"/>
      <w:marRight w:val="0"/>
      <w:marTop w:val="0"/>
      <w:marBottom w:val="0"/>
      <w:divBdr>
        <w:top w:val="none" w:sz="0" w:space="0" w:color="auto"/>
        <w:left w:val="none" w:sz="0" w:space="0" w:color="auto"/>
        <w:bottom w:val="none" w:sz="0" w:space="0" w:color="auto"/>
        <w:right w:val="none" w:sz="0" w:space="0" w:color="auto"/>
      </w:divBdr>
    </w:div>
    <w:div w:id="1920870998">
      <w:bodyDiv w:val="1"/>
      <w:marLeft w:val="0"/>
      <w:marRight w:val="0"/>
      <w:marTop w:val="0"/>
      <w:marBottom w:val="0"/>
      <w:divBdr>
        <w:top w:val="none" w:sz="0" w:space="0" w:color="auto"/>
        <w:left w:val="none" w:sz="0" w:space="0" w:color="auto"/>
        <w:bottom w:val="none" w:sz="0" w:space="0" w:color="auto"/>
        <w:right w:val="none" w:sz="0" w:space="0" w:color="auto"/>
      </w:divBdr>
    </w:div>
    <w:div w:id="1921133185">
      <w:bodyDiv w:val="1"/>
      <w:marLeft w:val="0"/>
      <w:marRight w:val="0"/>
      <w:marTop w:val="0"/>
      <w:marBottom w:val="0"/>
      <w:divBdr>
        <w:top w:val="none" w:sz="0" w:space="0" w:color="auto"/>
        <w:left w:val="none" w:sz="0" w:space="0" w:color="auto"/>
        <w:bottom w:val="none" w:sz="0" w:space="0" w:color="auto"/>
        <w:right w:val="none" w:sz="0" w:space="0" w:color="auto"/>
      </w:divBdr>
    </w:div>
    <w:div w:id="1921133732">
      <w:bodyDiv w:val="1"/>
      <w:marLeft w:val="0"/>
      <w:marRight w:val="0"/>
      <w:marTop w:val="0"/>
      <w:marBottom w:val="0"/>
      <w:divBdr>
        <w:top w:val="none" w:sz="0" w:space="0" w:color="auto"/>
        <w:left w:val="none" w:sz="0" w:space="0" w:color="auto"/>
        <w:bottom w:val="none" w:sz="0" w:space="0" w:color="auto"/>
        <w:right w:val="none" w:sz="0" w:space="0" w:color="auto"/>
      </w:divBdr>
    </w:div>
    <w:div w:id="1921206880">
      <w:bodyDiv w:val="1"/>
      <w:marLeft w:val="0"/>
      <w:marRight w:val="0"/>
      <w:marTop w:val="0"/>
      <w:marBottom w:val="0"/>
      <w:divBdr>
        <w:top w:val="none" w:sz="0" w:space="0" w:color="auto"/>
        <w:left w:val="none" w:sz="0" w:space="0" w:color="auto"/>
        <w:bottom w:val="none" w:sz="0" w:space="0" w:color="auto"/>
        <w:right w:val="none" w:sz="0" w:space="0" w:color="auto"/>
      </w:divBdr>
    </w:div>
    <w:div w:id="1921210019">
      <w:bodyDiv w:val="1"/>
      <w:marLeft w:val="0"/>
      <w:marRight w:val="0"/>
      <w:marTop w:val="0"/>
      <w:marBottom w:val="0"/>
      <w:divBdr>
        <w:top w:val="none" w:sz="0" w:space="0" w:color="auto"/>
        <w:left w:val="none" w:sz="0" w:space="0" w:color="auto"/>
        <w:bottom w:val="none" w:sz="0" w:space="0" w:color="auto"/>
        <w:right w:val="none" w:sz="0" w:space="0" w:color="auto"/>
      </w:divBdr>
    </w:div>
    <w:div w:id="1921255265">
      <w:bodyDiv w:val="1"/>
      <w:marLeft w:val="0"/>
      <w:marRight w:val="0"/>
      <w:marTop w:val="0"/>
      <w:marBottom w:val="0"/>
      <w:divBdr>
        <w:top w:val="none" w:sz="0" w:space="0" w:color="auto"/>
        <w:left w:val="none" w:sz="0" w:space="0" w:color="auto"/>
        <w:bottom w:val="none" w:sz="0" w:space="0" w:color="auto"/>
        <w:right w:val="none" w:sz="0" w:space="0" w:color="auto"/>
      </w:divBdr>
    </w:div>
    <w:div w:id="1921284074">
      <w:bodyDiv w:val="1"/>
      <w:marLeft w:val="0"/>
      <w:marRight w:val="0"/>
      <w:marTop w:val="0"/>
      <w:marBottom w:val="0"/>
      <w:divBdr>
        <w:top w:val="none" w:sz="0" w:space="0" w:color="auto"/>
        <w:left w:val="none" w:sz="0" w:space="0" w:color="auto"/>
        <w:bottom w:val="none" w:sz="0" w:space="0" w:color="auto"/>
        <w:right w:val="none" w:sz="0" w:space="0" w:color="auto"/>
      </w:divBdr>
    </w:div>
    <w:div w:id="1921407752">
      <w:bodyDiv w:val="1"/>
      <w:marLeft w:val="0"/>
      <w:marRight w:val="0"/>
      <w:marTop w:val="0"/>
      <w:marBottom w:val="0"/>
      <w:divBdr>
        <w:top w:val="none" w:sz="0" w:space="0" w:color="auto"/>
        <w:left w:val="none" w:sz="0" w:space="0" w:color="auto"/>
        <w:bottom w:val="none" w:sz="0" w:space="0" w:color="auto"/>
        <w:right w:val="none" w:sz="0" w:space="0" w:color="auto"/>
      </w:divBdr>
    </w:div>
    <w:div w:id="1921523340">
      <w:bodyDiv w:val="1"/>
      <w:marLeft w:val="0"/>
      <w:marRight w:val="0"/>
      <w:marTop w:val="0"/>
      <w:marBottom w:val="0"/>
      <w:divBdr>
        <w:top w:val="none" w:sz="0" w:space="0" w:color="auto"/>
        <w:left w:val="none" w:sz="0" w:space="0" w:color="auto"/>
        <w:bottom w:val="none" w:sz="0" w:space="0" w:color="auto"/>
        <w:right w:val="none" w:sz="0" w:space="0" w:color="auto"/>
      </w:divBdr>
    </w:div>
    <w:div w:id="1921527567">
      <w:bodyDiv w:val="1"/>
      <w:marLeft w:val="0"/>
      <w:marRight w:val="0"/>
      <w:marTop w:val="0"/>
      <w:marBottom w:val="0"/>
      <w:divBdr>
        <w:top w:val="none" w:sz="0" w:space="0" w:color="auto"/>
        <w:left w:val="none" w:sz="0" w:space="0" w:color="auto"/>
        <w:bottom w:val="none" w:sz="0" w:space="0" w:color="auto"/>
        <w:right w:val="none" w:sz="0" w:space="0" w:color="auto"/>
      </w:divBdr>
    </w:div>
    <w:div w:id="1921714956">
      <w:bodyDiv w:val="1"/>
      <w:marLeft w:val="0"/>
      <w:marRight w:val="0"/>
      <w:marTop w:val="0"/>
      <w:marBottom w:val="0"/>
      <w:divBdr>
        <w:top w:val="none" w:sz="0" w:space="0" w:color="auto"/>
        <w:left w:val="none" w:sz="0" w:space="0" w:color="auto"/>
        <w:bottom w:val="none" w:sz="0" w:space="0" w:color="auto"/>
        <w:right w:val="none" w:sz="0" w:space="0" w:color="auto"/>
      </w:divBdr>
    </w:div>
    <w:div w:id="1921793345">
      <w:bodyDiv w:val="1"/>
      <w:marLeft w:val="0"/>
      <w:marRight w:val="0"/>
      <w:marTop w:val="0"/>
      <w:marBottom w:val="0"/>
      <w:divBdr>
        <w:top w:val="none" w:sz="0" w:space="0" w:color="auto"/>
        <w:left w:val="none" w:sz="0" w:space="0" w:color="auto"/>
        <w:bottom w:val="none" w:sz="0" w:space="0" w:color="auto"/>
        <w:right w:val="none" w:sz="0" w:space="0" w:color="auto"/>
      </w:divBdr>
    </w:div>
    <w:div w:id="1921862714">
      <w:bodyDiv w:val="1"/>
      <w:marLeft w:val="0"/>
      <w:marRight w:val="0"/>
      <w:marTop w:val="0"/>
      <w:marBottom w:val="0"/>
      <w:divBdr>
        <w:top w:val="none" w:sz="0" w:space="0" w:color="auto"/>
        <w:left w:val="none" w:sz="0" w:space="0" w:color="auto"/>
        <w:bottom w:val="none" w:sz="0" w:space="0" w:color="auto"/>
        <w:right w:val="none" w:sz="0" w:space="0" w:color="auto"/>
      </w:divBdr>
    </w:div>
    <w:div w:id="1921869485">
      <w:bodyDiv w:val="1"/>
      <w:marLeft w:val="0"/>
      <w:marRight w:val="0"/>
      <w:marTop w:val="0"/>
      <w:marBottom w:val="0"/>
      <w:divBdr>
        <w:top w:val="none" w:sz="0" w:space="0" w:color="auto"/>
        <w:left w:val="none" w:sz="0" w:space="0" w:color="auto"/>
        <w:bottom w:val="none" w:sz="0" w:space="0" w:color="auto"/>
        <w:right w:val="none" w:sz="0" w:space="0" w:color="auto"/>
      </w:divBdr>
    </w:div>
    <w:div w:id="1922136310">
      <w:bodyDiv w:val="1"/>
      <w:marLeft w:val="0"/>
      <w:marRight w:val="0"/>
      <w:marTop w:val="0"/>
      <w:marBottom w:val="0"/>
      <w:divBdr>
        <w:top w:val="none" w:sz="0" w:space="0" w:color="auto"/>
        <w:left w:val="none" w:sz="0" w:space="0" w:color="auto"/>
        <w:bottom w:val="none" w:sz="0" w:space="0" w:color="auto"/>
        <w:right w:val="none" w:sz="0" w:space="0" w:color="auto"/>
      </w:divBdr>
    </w:div>
    <w:div w:id="1922178382">
      <w:bodyDiv w:val="1"/>
      <w:marLeft w:val="0"/>
      <w:marRight w:val="0"/>
      <w:marTop w:val="0"/>
      <w:marBottom w:val="0"/>
      <w:divBdr>
        <w:top w:val="none" w:sz="0" w:space="0" w:color="auto"/>
        <w:left w:val="none" w:sz="0" w:space="0" w:color="auto"/>
        <w:bottom w:val="none" w:sz="0" w:space="0" w:color="auto"/>
        <w:right w:val="none" w:sz="0" w:space="0" w:color="auto"/>
      </w:divBdr>
    </w:div>
    <w:div w:id="1922399270">
      <w:bodyDiv w:val="1"/>
      <w:marLeft w:val="0"/>
      <w:marRight w:val="0"/>
      <w:marTop w:val="0"/>
      <w:marBottom w:val="0"/>
      <w:divBdr>
        <w:top w:val="none" w:sz="0" w:space="0" w:color="auto"/>
        <w:left w:val="none" w:sz="0" w:space="0" w:color="auto"/>
        <w:bottom w:val="none" w:sz="0" w:space="0" w:color="auto"/>
        <w:right w:val="none" w:sz="0" w:space="0" w:color="auto"/>
      </w:divBdr>
    </w:div>
    <w:div w:id="1922445981">
      <w:bodyDiv w:val="1"/>
      <w:marLeft w:val="0"/>
      <w:marRight w:val="0"/>
      <w:marTop w:val="0"/>
      <w:marBottom w:val="0"/>
      <w:divBdr>
        <w:top w:val="none" w:sz="0" w:space="0" w:color="auto"/>
        <w:left w:val="none" w:sz="0" w:space="0" w:color="auto"/>
        <w:bottom w:val="none" w:sz="0" w:space="0" w:color="auto"/>
        <w:right w:val="none" w:sz="0" w:space="0" w:color="auto"/>
      </w:divBdr>
    </w:div>
    <w:div w:id="1922448042">
      <w:bodyDiv w:val="1"/>
      <w:marLeft w:val="0"/>
      <w:marRight w:val="0"/>
      <w:marTop w:val="0"/>
      <w:marBottom w:val="0"/>
      <w:divBdr>
        <w:top w:val="none" w:sz="0" w:space="0" w:color="auto"/>
        <w:left w:val="none" w:sz="0" w:space="0" w:color="auto"/>
        <w:bottom w:val="none" w:sz="0" w:space="0" w:color="auto"/>
        <w:right w:val="none" w:sz="0" w:space="0" w:color="auto"/>
      </w:divBdr>
    </w:div>
    <w:div w:id="1922450519">
      <w:bodyDiv w:val="1"/>
      <w:marLeft w:val="0"/>
      <w:marRight w:val="0"/>
      <w:marTop w:val="0"/>
      <w:marBottom w:val="0"/>
      <w:divBdr>
        <w:top w:val="none" w:sz="0" w:space="0" w:color="auto"/>
        <w:left w:val="none" w:sz="0" w:space="0" w:color="auto"/>
        <w:bottom w:val="none" w:sz="0" w:space="0" w:color="auto"/>
        <w:right w:val="none" w:sz="0" w:space="0" w:color="auto"/>
      </w:divBdr>
    </w:div>
    <w:div w:id="1922524392">
      <w:bodyDiv w:val="1"/>
      <w:marLeft w:val="0"/>
      <w:marRight w:val="0"/>
      <w:marTop w:val="0"/>
      <w:marBottom w:val="0"/>
      <w:divBdr>
        <w:top w:val="none" w:sz="0" w:space="0" w:color="auto"/>
        <w:left w:val="none" w:sz="0" w:space="0" w:color="auto"/>
        <w:bottom w:val="none" w:sz="0" w:space="0" w:color="auto"/>
        <w:right w:val="none" w:sz="0" w:space="0" w:color="auto"/>
      </w:divBdr>
    </w:div>
    <w:div w:id="1922568244">
      <w:bodyDiv w:val="1"/>
      <w:marLeft w:val="0"/>
      <w:marRight w:val="0"/>
      <w:marTop w:val="0"/>
      <w:marBottom w:val="0"/>
      <w:divBdr>
        <w:top w:val="none" w:sz="0" w:space="0" w:color="auto"/>
        <w:left w:val="none" w:sz="0" w:space="0" w:color="auto"/>
        <w:bottom w:val="none" w:sz="0" w:space="0" w:color="auto"/>
        <w:right w:val="none" w:sz="0" w:space="0" w:color="auto"/>
      </w:divBdr>
    </w:div>
    <w:div w:id="1922592819">
      <w:bodyDiv w:val="1"/>
      <w:marLeft w:val="0"/>
      <w:marRight w:val="0"/>
      <w:marTop w:val="0"/>
      <w:marBottom w:val="0"/>
      <w:divBdr>
        <w:top w:val="none" w:sz="0" w:space="0" w:color="auto"/>
        <w:left w:val="none" w:sz="0" w:space="0" w:color="auto"/>
        <w:bottom w:val="none" w:sz="0" w:space="0" w:color="auto"/>
        <w:right w:val="none" w:sz="0" w:space="0" w:color="auto"/>
      </w:divBdr>
    </w:div>
    <w:div w:id="1922787094">
      <w:bodyDiv w:val="1"/>
      <w:marLeft w:val="0"/>
      <w:marRight w:val="0"/>
      <w:marTop w:val="0"/>
      <w:marBottom w:val="0"/>
      <w:divBdr>
        <w:top w:val="none" w:sz="0" w:space="0" w:color="auto"/>
        <w:left w:val="none" w:sz="0" w:space="0" w:color="auto"/>
        <w:bottom w:val="none" w:sz="0" w:space="0" w:color="auto"/>
        <w:right w:val="none" w:sz="0" w:space="0" w:color="auto"/>
      </w:divBdr>
    </w:div>
    <w:div w:id="1922790686">
      <w:bodyDiv w:val="1"/>
      <w:marLeft w:val="0"/>
      <w:marRight w:val="0"/>
      <w:marTop w:val="0"/>
      <w:marBottom w:val="0"/>
      <w:divBdr>
        <w:top w:val="none" w:sz="0" w:space="0" w:color="auto"/>
        <w:left w:val="none" w:sz="0" w:space="0" w:color="auto"/>
        <w:bottom w:val="none" w:sz="0" w:space="0" w:color="auto"/>
        <w:right w:val="none" w:sz="0" w:space="0" w:color="auto"/>
      </w:divBdr>
    </w:div>
    <w:div w:id="1922835992">
      <w:bodyDiv w:val="1"/>
      <w:marLeft w:val="0"/>
      <w:marRight w:val="0"/>
      <w:marTop w:val="0"/>
      <w:marBottom w:val="0"/>
      <w:divBdr>
        <w:top w:val="none" w:sz="0" w:space="0" w:color="auto"/>
        <w:left w:val="none" w:sz="0" w:space="0" w:color="auto"/>
        <w:bottom w:val="none" w:sz="0" w:space="0" w:color="auto"/>
        <w:right w:val="none" w:sz="0" w:space="0" w:color="auto"/>
      </w:divBdr>
    </w:div>
    <w:div w:id="1922907693">
      <w:bodyDiv w:val="1"/>
      <w:marLeft w:val="0"/>
      <w:marRight w:val="0"/>
      <w:marTop w:val="0"/>
      <w:marBottom w:val="0"/>
      <w:divBdr>
        <w:top w:val="none" w:sz="0" w:space="0" w:color="auto"/>
        <w:left w:val="none" w:sz="0" w:space="0" w:color="auto"/>
        <w:bottom w:val="none" w:sz="0" w:space="0" w:color="auto"/>
        <w:right w:val="none" w:sz="0" w:space="0" w:color="auto"/>
      </w:divBdr>
    </w:div>
    <w:div w:id="1922911982">
      <w:bodyDiv w:val="1"/>
      <w:marLeft w:val="0"/>
      <w:marRight w:val="0"/>
      <w:marTop w:val="0"/>
      <w:marBottom w:val="0"/>
      <w:divBdr>
        <w:top w:val="none" w:sz="0" w:space="0" w:color="auto"/>
        <w:left w:val="none" w:sz="0" w:space="0" w:color="auto"/>
        <w:bottom w:val="none" w:sz="0" w:space="0" w:color="auto"/>
        <w:right w:val="none" w:sz="0" w:space="0" w:color="auto"/>
      </w:divBdr>
    </w:div>
    <w:div w:id="1922988794">
      <w:bodyDiv w:val="1"/>
      <w:marLeft w:val="0"/>
      <w:marRight w:val="0"/>
      <w:marTop w:val="0"/>
      <w:marBottom w:val="0"/>
      <w:divBdr>
        <w:top w:val="none" w:sz="0" w:space="0" w:color="auto"/>
        <w:left w:val="none" w:sz="0" w:space="0" w:color="auto"/>
        <w:bottom w:val="none" w:sz="0" w:space="0" w:color="auto"/>
        <w:right w:val="none" w:sz="0" w:space="0" w:color="auto"/>
      </w:divBdr>
    </w:div>
    <w:div w:id="1923029155">
      <w:bodyDiv w:val="1"/>
      <w:marLeft w:val="0"/>
      <w:marRight w:val="0"/>
      <w:marTop w:val="0"/>
      <w:marBottom w:val="0"/>
      <w:divBdr>
        <w:top w:val="none" w:sz="0" w:space="0" w:color="auto"/>
        <w:left w:val="none" w:sz="0" w:space="0" w:color="auto"/>
        <w:bottom w:val="none" w:sz="0" w:space="0" w:color="auto"/>
        <w:right w:val="none" w:sz="0" w:space="0" w:color="auto"/>
      </w:divBdr>
    </w:div>
    <w:div w:id="1923098944">
      <w:bodyDiv w:val="1"/>
      <w:marLeft w:val="0"/>
      <w:marRight w:val="0"/>
      <w:marTop w:val="0"/>
      <w:marBottom w:val="0"/>
      <w:divBdr>
        <w:top w:val="none" w:sz="0" w:space="0" w:color="auto"/>
        <w:left w:val="none" w:sz="0" w:space="0" w:color="auto"/>
        <w:bottom w:val="none" w:sz="0" w:space="0" w:color="auto"/>
        <w:right w:val="none" w:sz="0" w:space="0" w:color="auto"/>
      </w:divBdr>
    </w:div>
    <w:div w:id="1923175123">
      <w:bodyDiv w:val="1"/>
      <w:marLeft w:val="0"/>
      <w:marRight w:val="0"/>
      <w:marTop w:val="0"/>
      <w:marBottom w:val="0"/>
      <w:divBdr>
        <w:top w:val="none" w:sz="0" w:space="0" w:color="auto"/>
        <w:left w:val="none" w:sz="0" w:space="0" w:color="auto"/>
        <w:bottom w:val="none" w:sz="0" w:space="0" w:color="auto"/>
        <w:right w:val="none" w:sz="0" w:space="0" w:color="auto"/>
      </w:divBdr>
    </w:div>
    <w:div w:id="1923292000">
      <w:bodyDiv w:val="1"/>
      <w:marLeft w:val="0"/>
      <w:marRight w:val="0"/>
      <w:marTop w:val="0"/>
      <w:marBottom w:val="0"/>
      <w:divBdr>
        <w:top w:val="none" w:sz="0" w:space="0" w:color="auto"/>
        <w:left w:val="none" w:sz="0" w:space="0" w:color="auto"/>
        <w:bottom w:val="none" w:sz="0" w:space="0" w:color="auto"/>
        <w:right w:val="none" w:sz="0" w:space="0" w:color="auto"/>
      </w:divBdr>
    </w:div>
    <w:div w:id="1923296276">
      <w:bodyDiv w:val="1"/>
      <w:marLeft w:val="0"/>
      <w:marRight w:val="0"/>
      <w:marTop w:val="0"/>
      <w:marBottom w:val="0"/>
      <w:divBdr>
        <w:top w:val="none" w:sz="0" w:space="0" w:color="auto"/>
        <w:left w:val="none" w:sz="0" w:space="0" w:color="auto"/>
        <w:bottom w:val="none" w:sz="0" w:space="0" w:color="auto"/>
        <w:right w:val="none" w:sz="0" w:space="0" w:color="auto"/>
      </w:divBdr>
    </w:div>
    <w:div w:id="1923441405">
      <w:bodyDiv w:val="1"/>
      <w:marLeft w:val="0"/>
      <w:marRight w:val="0"/>
      <w:marTop w:val="0"/>
      <w:marBottom w:val="0"/>
      <w:divBdr>
        <w:top w:val="none" w:sz="0" w:space="0" w:color="auto"/>
        <w:left w:val="none" w:sz="0" w:space="0" w:color="auto"/>
        <w:bottom w:val="none" w:sz="0" w:space="0" w:color="auto"/>
        <w:right w:val="none" w:sz="0" w:space="0" w:color="auto"/>
      </w:divBdr>
    </w:div>
    <w:div w:id="1923493295">
      <w:bodyDiv w:val="1"/>
      <w:marLeft w:val="0"/>
      <w:marRight w:val="0"/>
      <w:marTop w:val="0"/>
      <w:marBottom w:val="0"/>
      <w:divBdr>
        <w:top w:val="none" w:sz="0" w:space="0" w:color="auto"/>
        <w:left w:val="none" w:sz="0" w:space="0" w:color="auto"/>
        <w:bottom w:val="none" w:sz="0" w:space="0" w:color="auto"/>
        <w:right w:val="none" w:sz="0" w:space="0" w:color="auto"/>
      </w:divBdr>
    </w:div>
    <w:div w:id="1923567747">
      <w:bodyDiv w:val="1"/>
      <w:marLeft w:val="0"/>
      <w:marRight w:val="0"/>
      <w:marTop w:val="0"/>
      <w:marBottom w:val="0"/>
      <w:divBdr>
        <w:top w:val="none" w:sz="0" w:space="0" w:color="auto"/>
        <w:left w:val="none" w:sz="0" w:space="0" w:color="auto"/>
        <w:bottom w:val="none" w:sz="0" w:space="0" w:color="auto"/>
        <w:right w:val="none" w:sz="0" w:space="0" w:color="auto"/>
      </w:divBdr>
    </w:div>
    <w:div w:id="1923755318">
      <w:bodyDiv w:val="1"/>
      <w:marLeft w:val="0"/>
      <w:marRight w:val="0"/>
      <w:marTop w:val="0"/>
      <w:marBottom w:val="0"/>
      <w:divBdr>
        <w:top w:val="none" w:sz="0" w:space="0" w:color="auto"/>
        <w:left w:val="none" w:sz="0" w:space="0" w:color="auto"/>
        <w:bottom w:val="none" w:sz="0" w:space="0" w:color="auto"/>
        <w:right w:val="none" w:sz="0" w:space="0" w:color="auto"/>
      </w:divBdr>
    </w:div>
    <w:div w:id="1923755371">
      <w:bodyDiv w:val="1"/>
      <w:marLeft w:val="0"/>
      <w:marRight w:val="0"/>
      <w:marTop w:val="0"/>
      <w:marBottom w:val="0"/>
      <w:divBdr>
        <w:top w:val="none" w:sz="0" w:space="0" w:color="auto"/>
        <w:left w:val="none" w:sz="0" w:space="0" w:color="auto"/>
        <w:bottom w:val="none" w:sz="0" w:space="0" w:color="auto"/>
        <w:right w:val="none" w:sz="0" w:space="0" w:color="auto"/>
      </w:divBdr>
    </w:div>
    <w:div w:id="1923877672">
      <w:bodyDiv w:val="1"/>
      <w:marLeft w:val="0"/>
      <w:marRight w:val="0"/>
      <w:marTop w:val="0"/>
      <w:marBottom w:val="0"/>
      <w:divBdr>
        <w:top w:val="none" w:sz="0" w:space="0" w:color="auto"/>
        <w:left w:val="none" w:sz="0" w:space="0" w:color="auto"/>
        <w:bottom w:val="none" w:sz="0" w:space="0" w:color="auto"/>
        <w:right w:val="none" w:sz="0" w:space="0" w:color="auto"/>
      </w:divBdr>
    </w:div>
    <w:div w:id="1923953692">
      <w:bodyDiv w:val="1"/>
      <w:marLeft w:val="0"/>
      <w:marRight w:val="0"/>
      <w:marTop w:val="0"/>
      <w:marBottom w:val="0"/>
      <w:divBdr>
        <w:top w:val="none" w:sz="0" w:space="0" w:color="auto"/>
        <w:left w:val="none" w:sz="0" w:space="0" w:color="auto"/>
        <w:bottom w:val="none" w:sz="0" w:space="0" w:color="auto"/>
        <w:right w:val="none" w:sz="0" w:space="0" w:color="auto"/>
      </w:divBdr>
    </w:div>
    <w:div w:id="1924022067">
      <w:bodyDiv w:val="1"/>
      <w:marLeft w:val="0"/>
      <w:marRight w:val="0"/>
      <w:marTop w:val="0"/>
      <w:marBottom w:val="0"/>
      <w:divBdr>
        <w:top w:val="none" w:sz="0" w:space="0" w:color="auto"/>
        <w:left w:val="none" w:sz="0" w:space="0" w:color="auto"/>
        <w:bottom w:val="none" w:sz="0" w:space="0" w:color="auto"/>
        <w:right w:val="none" w:sz="0" w:space="0" w:color="auto"/>
      </w:divBdr>
    </w:div>
    <w:div w:id="1924022945">
      <w:bodyDiv w:val="1"/>
      <w:marLeft w:val="0"/>
      <w:marRight w:val="0"/>
      <w:marTop w:val="0"/>
      <w:marBottom w:val="0"/>
      <w:divBdr>
        <w:top w:val="none" w:sz="0" w:space="0" w:color="auto"/>
        <w:left w:val="none" w:sz="0" w:space="0" w:color="auto"/>
        <w:bottom w:val="none" w:sz="0" w:space="0" w:color="auto"/>
        <w:right w:val="none" w:sz="0" w:space="0" w:color="auto"/>
      </w:divBdr>
    </w:div>
    <w:div w:id="1924023011">
      <w:bodyDiv w:val="1"/>
      <w:marLeft w:val="0"/>
      <w:marRight w:val="0"/>
      <w:marTop w:val="0"/>
      <w:marBottom w:val="0"/>
      <w:divBdr>
        <w:top w:val="none" w:sz="0" w:space="0" w:color="auto"/>
        <w:left w:val="none" w:sz="0" w:space="0" w:color="auto"/>
        <w:bottom w:val="none" w:sz="0" w:space="0" w:color="auto"/>
        <w:right w:val="none" w:sz="0" w:space="0" w:color="auto"/>
      </w:divBdr>
    </w:div>
    <w:div w:id="1924148592">
      <w:bodyDiv w:val="1"/>
      <w:marLeft w:val="0"/>
      <w:marRight w:val="0"/>
      <w:marTop w:val="0"/>
      <w:marBottom w:val="0"/>
      <w:divBdr>
        <w:top w:val="none" w:sz="0" w:space="0" w:color="auto"/>
        <w:left w:val="none" w:sz="0" w:space="0" w:color="auto"/>
        <w:bottom w:val="none" w:sz="0" w:space="0" w:color="auto"/>
        <w:right w:val="none" w:sz="0" w:space="0" w:color="auto"/>
      </w:divBdr>
    </w:div>
    <w:div w:id="1924292439">
      <w:bodyDiv w:val="1"/>
      <w:marLeft w:val="0"/>
      <w:marRight w:val="0"/>
      <w:marTop w:val="0"/>
      <w:marBottom w:val="0"/>
      <w:divBdr>
        <w:top w:val="none" w:sz="0" w:space="0" w:color="auto"/>
        <w:left w:val="none" w:sz="0" w:space="0" w:color="auto"/>
        <w:bottom w:val="none" w:sz="0" w:space="0" w:color="auto"/>
        <w:right w:val="none" w:sz="0" w:space="0" w:color="auto"/>
      </w:divBdr>
    </w:div>
    <w:div w:id="1924292867">
      <w:bodyDiv w:val="1"/>
      <w:marLeft w:val="0"/>
      <w:marRight w:val="0"/>
      <w:marTop w:val="0"/>
      <w:marBottom w:val="0"/>
      <w:divBdr>
        <w:top w:val="none" w:sz="0" w:space="0" w:color="auto"/>
        <w:left w:val="none" w:sz="0" w:space="0" w:color="auto"/>
        <w:bottom w:val="none" w:sz="0" w:space="0" w:color="auto"/>
        <w:right w:val="none" w:sz="0" w:space="0" w:color="auto"/>
      </w:divBdr>
    </w:div>
    <w:div w:id="1924294739">
      <w:bodyDiv w:val="1"/>
      <w:marLeft w:val="0"/>
      <w:marRight w:val="0"/>
      <w:marTop w:val="0"/>
      <w:marBottom w:val="0"/>
      <w:divBdr>
        <w:top w:val="none" w:sz="0" w:space="0" w:color="auto"/>
        <w:left w:val="none" w:sz="0" w:space="0" w:color="auto"/>
        <w:bottom w:val="none" w:sz="0" w:space="0" w:color="auto"/>
        <w:right w:val="none" w:sz="0" w:space="0" w:color="auto"/>
      </w:divBdr>
    </w:div>
    <w:div w:id="1924298419">
      <w:bodyDiv w:val="1"/>
      <w:marLeft w:val="0"/>
      <w:marRight w:val="0"/>
      <w:marTop w:val="0"/>
      <w:marBottom w:val="0"/>
      <w:divBdr>
        <w:top w:val="none" w:sz="0" w:space="0" w:color="auto"/>
        <w:left w:val="none" w:sz="0" w:space="0" w:color="auto"/>
        <w:bottom w:val="none" w:sz="0" w:space="0" w:color="auto"/>
        <w:right w:val="none" w:sz="0" w:space="0" w:color="auto"/>
      </w:divBdr>
    </w:div>
    <w:div w:id="1924412869">
      <w:bodyDiv w:val="1"/>
      <w:marLeft w:val="0"/>
      <w:marRight w:val="0"/>
      <w:marTop w:val="0"/>
      <w:marBottom w:val="0"/>
      <w:divBdr>
        <w:top w:val="none" w:sz="0" w:space="0" w:color="auto"/>
        <w:left w:val="none" w:sz="0" w:space="0" w:color="auto"/>
        <w:bottom w:val="none" w:sz="0" w:space="0" w:color="auto"/>
        <w:right w:val="none" w:sz="0" w:space="0" w:color="auto"/>
      </w:divBdr>
    </w:div>
    <w:div w:id="1924532767">
      <w:bodyDiv w:val="1"/>
      <w:marLeft w:val="0"/>
      <w:marRight w:val="0"/>
      <w:marTop w:val="0"/>
      <w:marBottom w:val="0"/>
      <w:divBdr>
        <w:top w:val="none" w:sz="0" w:space="0" w:color="auto"/>
        <w:left w:val="none" w:sz="0" w:space="0" w:color="auto"/>
        <w:bottom w:val="none" w:sz="0" w:space="0" w:color="auto"/>
        <w:right w:val="none" w:sz="0" w:space="0" w:color="auto"/>
      </w:divBdr>
    </w:div>
    <w:div w:id="1924608380">
      <w:bodyDiv w:val="1"/>
      <w:marLeft w:val="0"/>
      <w:marRight w:val="0"/>
      <w:marTop w:val="0"/>
      <w:marBottom w:val="0"/>
      <w:divBdr>
        <w:top w:val="none" w:sz="0" w:space="0" w:color="auto"/>
        <w:left w:val="none" w:sz="0" w:space="0" w:color="auto"/>
        <w:bottom w:val="none" w:sz="0" w:space="0" w:color="auto"/>
        <w:right w:val="none" w:sz="0" w:space="0" w:color="auto"/>
      </w:divBdr>
    </w:div>
    <w:div w:id="1924727133">
      <w:bodyDiv w:val="1"/>
      <w:marLeft w:val="0"/>
      <w:marRight w:val="0"/>
      <w:marTop w:val="0"/>
      <w:marBottom w:val="0"/>
      <w:divBdr>
        <w:top w:val="none" w:sz="0" w:space="0" w:color="auto"/>
        <w:left w:val="none" w:sz="0" w:space="0" w:color="auto"/>
        <w:bottom w:val="none" w:sz="0" w:space="0" w:color="auto"/>
        <w:right w:val="none" w:sz="0" w:space="0" w:color="auto"/>
      </w:divBdr>
    </w:div>
    <w:div w:id="1924755101">
      <w:bodyDiv w:val="1"/>
      <w:marLeft w:val="0"/>
      <w:marRight w:val="0"/>
      <w:marTop w:val="0"/>
      <w:marBottom w:val="0"/>
      <w:divBdr>
        <w:top w:val="none" w:sz="0" w:space="0" w:color="auto"/>
        <w:left w:val="none" w:sz="0" w:space="0" w:color="auto"/>
        <w:bottom w:val="none" w:sz="0" w:space="0" w:color="auto"/>
        <w:right w:val="none" w:sz="0" w:space="0" w:color="auto"/>
      </w:divBdr>
    </w:div>
    <w:div w:id="1924758235">
      <w:bodyDiv w:val="1"/>
      <w:marLeft w:val="0"/>
      <w:marRight w:val="0"/>
      <w:marTop w:val="0"/>
      <w:marBottom w:val="0"/>
      <w:divBdr>
        <w:top w:val="none" w:sz="0" w:space="0" w:color="auto"/>
        <w:left w:val="none" w:sz="0" w:space="0" w:color="auto"/>
        <w:bottom w:val="none" w:sz="0" w:space="0" w:color="auto"/>
        <w:right w:val="none" w:sz="0" w:space="0" w:color="auto"/>
      </w:divBdr>
    </w:div>
    <w:div w:id="1924802303">
      <w:bodyDiv w:val="1"/>
      <w:marLeft w:val="0"/>
      <w:marRight w:val="0"/>
      <w:marTop w:val="0"/>
      <w:marBottom w:val="0"/>
      <w:divBdr>
        <w:top w:val="none" w:sz="0" w:space="0" w:color="auto"/>
        <w:left w:val="none" w:sz="0" w:space="0" w:color="auto"/>
        <w:bottom w:val="none" w:sz="0" w:space="0" w:color="auto"/>
        <w:right w:val="none" w:sz="0" w:space="0" w:color="auto"/>
      </w:divBdr>
    </w:div>
    <w:div w:id="1924803801">
      <w:bodyDiv w:val="1"/>
      <w:marLeft w:val="0"/>
      <w:marRight w:val="0"/>
      <w:marTop w:val="0"/>
      <w:marBottom w:val="0"/>
      <w:divBdr>
        <w:top w:val="none" w:sz="0" w:space="0" w:color="auto"/>
        <w:left w:val="none" w:sz="0" w:space="0" w:color="auto"/>
        <w:bottom w:val="none" w:sz="0" w:space="0" w:color="auto"/>
        <w:right w:val="none" w:sz="0" w:space="0" w:color="auto"/>
      </w:divBdr>
    </w:div>
    <w:div w:id="1924878327">
      <w:bodyDiv w:val="1"/>
      <w:marLeft w:val="0"/>
      <w:marRight w:val="0"/>
      <w:marTop w:val="0"/>
      <w:marBottom w:val="0"/>
      <w:divBdr>
        <w:top w:val="none" w:sz="0" w:space="0" w:color="auto"/>
        <w:left w:val="none" w:sz="0" w:space="0" w:color="auto"/>
        <w:bottom w:val="none" w:sz="0" w:space="0" w:color="auto"/>
        <w:right w:val="none" w:sz="0" w:space="0" w:color="auto"/>
      </w:divBdr>
    </w:div>
    <w:div w:id="1924949394">
      <w:bodyDiv w:val="1"/>
      <w:marLeft w:val="0"/>
      <w:marRight w:val="0"/>
      <w:marTop w:val="0"/>
      <w:marBottom w:val="0"/>
      <w:divBdr>
        <w:top w:val="none" w:sz="0" w:space="0" w:color="auto"/>
        <w:left w:val="none" w:sz="0" w:space="0" w:color="auto"/>
        <w:bottom w:val="none" w:sz="0" w:space="0" w:color="auto"/>
        <w:right w:val="none" w:sz="0" w:space="0" w:color="auto"/>
      </w:divBdr>
    </w:div>
    <w:div w:id="1925140729">
      <w:bodyDiv w:val="1"/>
      <w:marLeft w:val="0"/>
      <w:marRight w:val="0"/>
      <w:marTop w:val="0"/>
      <w:marBottom w:val="0"/>
      <w:divBdr>
        <w:top w:val="none" w:sz="0" w:space="0" w:color="auto"/>
        <w:left w:val="none" w:sz="0" w:space="0" w:color="auto"/>
        <w:bottom w:val="none" w:sz="0" w:space="0" w:color="auto"/>
        <w:right w:val="none" w:sz="0" w:space="0" w:color="auto"/>
      </w:divBdr>
    </w:div>
    <w:div w:id="1925146779">
      <w:bodyDiv w:val="1"/>
      <w:marLeft w:val="0"/>
      <w:marRight w:val="0"/>
      <w:marTop w:val="0"/>
      <w:marBottom w:val="0"/>
      <w:divBdr>
        <w:top w:val="none" w:sz="0" w:space="0" w:color="auto"/>
        <w:left w:val="none" w:sz="0" w:space="0" w:color="auto"/>
        <w:bottom w:val="none" w:sz="0" w:space="0" w:color="auto"/>
        <w:right w:val="none" w:sz="0" w:space="0" w:color="auto"/>
      </w:divBdr>
    </w:div>
    <w:div w:id="1925190497">
      <w:bodyDiv w:val="1"/>
      <w:marLeft w:val="0"/>
      <w:marRight w:val="0"/>
      <w:marTop w:val="0"/>
      <w:marBottom w:val="0"/>
      <w:divBdr>
        <w:top w:val="none" w:sz="0" w:space="0" w:color="auto"/>
        <w:left w:val="none" w:sz="0" w:space="0" w:color="auto"/>
        <w:bottom w:val="none" w:sz="0" w:space="0" w:color="auto"/>
        <w:right w:val="none" w:sz="0" w:space="0" w:color="auto"/>
      </w:divBdr>
    </w:div>
    <w:div w:id="1925216914">
      <w:bodyDiv w:val="1"/>
      <w:marLeft w:val="0"/>
      <w:marRight w:val="0"/>
      <w:marTop w:val="0"/>
      <w:marBottom w:val="0"/>
      <w:divBdr>
        <w:top w:val="none" w:sz="0" w:space="0" w:color="auto"/>
        <w:left w:val="none" w:sz="0" w:space="0" w:color="auto"/>
        <w:bottom w:val="none" w:sz="0" w:space="0" w:color="auto"/>
        <w:right w:val="none" w:sz="0" w:space="0" w:color="auto"/>
      </w:divBdr>
    </w:div>
    <w:div w:id="1925339149">
      <w:bodyDiv w:val="1"/>
      <w:marLeft w:val="0"/>
      <w:marRight w:val="0"/>
      <w:marTop w:val="0"/>
      <w:marBottom w:val="0"/>
      <w:divBdr>
        <w:top w:val="none" w:sz="0" w:space="0" w:color="auto"/>
        <w:left w:val="none" w:sz="0" w:space="0" w:color="auto"/>
        <w:bottom w:val="none" w:sz="0" w:space="0" w:color="auto"/>
        <w:right w:val="none" w:sz="0" w:space="0" w:color="auto"/>
      </w:divBdr>
    </w:div>
    <w:div w:id="1925407091">
      <w:bodyDiv w:val="1"/>
      <w:marLeft w:val="0"/>
      <w:marRight w:val="0"/>
      <w:marTop w:val="0"/>
      <w:marBottom w:val="0"/>
      <w:divBdr>
        <w:top w:val="none" w:sz="0" w:space="0" w:color="auto"/>
        <w:left w:val="none" w:sz="0" w:space="0" w:color="auto"/>
        <w:bottom w:val="none" w:sz="0" w:space="0" w:color="auto"/>
        <w:right w:val="none" w:sz="0" w:space="0" w:color="auto"/>
      </w:divBdr>
    </w:div>
    <w:div w:id="1925410016">
      <w:bodyDiv w:val="1"/>
      <w:marLeft w:val="0"/>
      <w:marRight w:val="0"/>
      <w:marTop w:val="0"/>
      <w:marBottom w:val="0"/>
      <w:divBdr>
        <w:top w:val="none" w:sz="0" w:space="0" w:color="auto"/>
        <w:left w:val="none" w:sz="0" w:space="0" w:color="auto"/>
        <w:bottom w:val="none" w:sz="0" w:space="0" w:color="auto"/>
        <w:right w:val="none" w:sz="0" w:space="0" w:color="auto"/>
      </w:divBdr>
    </w:div>
    <w:div w:id="1925414586">
      <w:bodyDiv w:val="1"/>
      <w:marLeft w:val="0"/>
      <w:marRight w:val="0"/>
      <w:marTop w:val="0"/>
      <w:marBottom w:val="0"/>
      <w:divBdr>
        <w:top w:val="none" w:sz="0" w:space="0" w:color="auto"/>
        <w:left w:val="none" w:sz="0" w:space="0" w:color="auto"/>
        <w:bottom w:val="none" w:sz="0" w:space="0" w:color="auto"/>
        <w:right w:val="none" w:sz="0" w:space="0" w:color="auto"/>
      </w:divBdr>
    </w:div>
    <w:div w:id="1925602621">
      <w:bodyDiv w:val="1"/>
      <w:marLeft w:val="0"/>
      <w:marRight w:val="0"/>
      <w:marTop w:val="0"/>
      <w:marBottom w:val="0"/>
      <w:divBdr>
        <w:top w:val="none" w:sz="0" w:space="0" w:color="auto"/>
        <w:left w:val="none" w:sz="0" w:space="0" w:color="auto"/>
        <w:bottom w:val="none" w:sz="0" w:space="0" w:color="auto"/>
        <w:right w:val="none" w:sz="0" w:space="0" w:color="auto"/>
      </w:divBdr>
    </w:div>
    <w:div w:id="1925603578">
      <w:bodyDiv w:val="1"/>
      <w:marLeft w:val="0"/>
      <w:marRight w:val="0"/>
      <w:marTop w:val="0"/>
      <w:marBottom w:val="0"/>
      <w:divBdr>
        <w:top w:val="none" w:sz="0" w:space="0" w:color="auto"/>
        <w:left w:val="none" w:sz="0" w:space="0" w:color="auto"/>
        <w:bottom w:val="none" w:sz="0" w:space="0" w:color="auto"/>
        <w:right w:val="none" w:sz="0" w:space="0" w:color="auto"/>
      </w:divBdr>
    </w:div>
    <w:div w:id="1925604821">
      <w:bodyDiv w:val="1"/>
      <w:marLeft w:val="0"/>
      <w:marRight w:val="0"/>
      <w:marTop w:val="0"/>
      <w:marBottom w:val="0"/>
      <w:divBdr>
        <w:top w:val="none" w:sz="0" w:space="0" w:color="auto"/>
        <w:left w:val="none" w:sz="0" w:space="0" w:color="auto"/>
        <w:bottom w:val="none" w:sz="0" w:space="0" w:color="auto"/>
        <w:right w:val="none" w:sz="0" w:space="0" w:color="auto"/>
      </w:divBdr>
    </w:div>
    <w:div w:id="1925606608">
      <w:bodyDiv w:val="1"/>
      <w:marLeft w:val="0"/>
      <w:marRight w:val="0"/>
      <w:marTop w:val="0"/>
      <w:marBottom w:val="0"/>
      <w:divBdr>
        <w:top w:val="none" w:sz="0" w:space="0" w:color="auto"/>
        <w:left w:val="none" w:sz="0" w:space="0" w:color="auto"/>
        <w:bottom w:val="none" w:sz="0" w:space="0" w:color="auto"/>
        <w:right w:val="none" w:sz="0" w:space="0" w:color="auto"/>
      </w:divBdr>
    </w:div>
    <w:div w:id="1925647753">
      <w:bodyDiv w:val="1"/>
      <w:marLeft w:val="0"/>
      <w:marRight w:val="0"/>
      <w:marTop w:val="0"/>
      <w:marBottom w:val="0"/>
      <w:divBdr>
        <w:top w:val="none" w:sz="0" w:space="0" w:color="auto"/>
        <w:left w:val="none" w:sz="0" w:space="0" w:color="auto"/>
        <w:bottom w:val="none" w:sz="0" w:space="0" w:color="auto"/>
        <w:right w:val="none" w:sz="0" w:space="0" w:color="auto"/>
      </w:divBdr>
    </w:div>
    <w:div w:id="1925649101">
      <w:bodyDiv w:val="1"/>
      <w:marLeft w:val="0"/>
      <w:marRight w:val="0"/>
      <w:marTop w:val="0"/>
      <w:marBottom w:val="0"/>
      <w:divBdr>
        <w:top w:val="none" w:sz="0" w:space="0" w:color="auto"/>
        <w:left w:val="none" w:sz="0" w:space="0" w:color="auto"/>
        <w:bottom w:val="none" w:sz="0" w:space="0" w:color="auto"/>
        <w:right w:val="none" w:sz="0" w:space="0" w:color="auto"/>
      </w:divBdr>
    </w:div>
    <w:div w:id="1925795140">
      <w:bodyDiv w:val="1"/>
      <w:marLeft w:val="0"/>
      <w:marRight w:val="0"/>
      <w:marTop w:val="0"/>
      <w:marBottom w:val="0"/>
      <w:divBdr>
        <w:top w:val="none" w:sz="0" w:space="0" w:color="auto"/>
        <w:left w:val="none" w:sz="0" w:space="0" w:color="auto"/>
        <w:bottom w:val="none" w:sz="0" w:space="0" w:color="auto"/>
        <w:right w:val="none" w:sz="0" w:space="0" w:color="auto"/>
      </w:divBdr>
    </w:div>
    <w:div w:id="1925994560">
      <w:bodyDiv w:val="1"/>
      <w:marLeft w:val="0"/>
      <w:marRight w:val="0"/>
      <w:marTop w:val="0"/>
      <w:marBottom w:val="0"/>
      <w:divBdr>
        <w:top w:val="none" w:sz="0" w:space="0" w:color="auto"/>
        <w:left w:val="none" w:sz="0" w:space="0" w:color="auto"/>
        <w:bottom w:val="none" w:sz="0" w:space="0" w:color="auto"/>
        <w:right w:val="none" w:sz="0" w:space="0" w:color="auto"/>
      </w:divBdr>
    </w:div>
    <w:div w:id="1926065295">
      <w:bodyDiv w:val="1"/>
      <w:marLeft w:val="0"/>
      <w:marRight w:val="0"/>
      <w:marTop w:val="0"/>
      <w:marBottom w:val="0"/>
      <w:divBdr>
        <w:top w:val="none" w:sz="0" w:space="0" w:color="auto"/>
        <w:left w:val="none" w:sz="0" w:space="0" w:color="auto"/>
        <w:bottom w:val="none" w:sz="0" w:space="0" w:color="auto"/>
        <w:right w:val="none" w:sz="0" w:space="0" w:color="auto"/>
      </w:divBdr>
    </w:div>
    <w:div w:id="1926068867">
      <w:bodyDiv w:val="1"/>
      <w:marLeft w:val="0"/>
      <w:marRight w:val="0"/>
      <w:marTop w:val="0"/>
      <w:marBottom w:val="0"/>
      <w:divBdr>
        <w:top w:val="none" w:sz="0" w:space="0" w:color="auto"/>
        <w:left w:val="none" w:sz="0" w:space="0" w:color="auto"/>
        <w:bottom w:val="none" w:sz="0" w:space="0" w:color="auto"/>
        <w:right w:val="none" w:sz="0" w:space="0" w:color="auto"/>
      </w:divBdr>
    </w:div>
    <w:div w:id="1926069665">
      <w:bodyDiv w:val="1"/>
      <w:marLeft w:val="0"/>
      <w:marRight w:val="0"/>
      <w:marTop w:val="0"/>
      <w:marBottom w:val="0"/>
      <w:divBdr>
        <w:top w:val="none" w:sz="0" w:space="0" w:color="auto"/>
        <w:left w:val="none" w:sz="0" w:space="0" w:color="auto"/>
        <w:bottom w:val="none" w:sz="0" w:space="0" w:color="auto"/>
        <w:right w:val="none" w:sz="0" w:space="0" w:color="auto"/>
      </w:divBdr>
    </w:div>
    <w:div w:id="1926113443">
      <w:bodyDiv w:val="1"/>
      <w:marLeft w:val="0"/>
      <w:marRight w:val="0"/>
      <w:marTop w:val="0"/>
      <w:marBottom w:val="0"/>
      <w:divBdr>
        <w:top w:val="none" w:sz="0" w:space="0" w:color="auto"/>
        <w:left w:val="none" w:sz="0" w:space="0" w:color="auto"/>
        <w:bottom w:val="none" w:sz="0" w:space="0" w:color="auto"/>
        <w:right w:val="none" w:sz="0" w:space="0" w:color="auto"/>
      </w:divBdr>
    </w:div>
    <w:div w:id="1926181239">
      <w:bodyDiv w:val="1"/>
      <w:marLeft w:val="0"/>
      <w:marRight w:val="0"/>
      <w:marTop w:val="0"/>
      <w:marBottom w:val="0"/>
      <w:divBdr>
        <w:top w:val="none" w:sz="0" w:space="0" w:color="auto"/>
        <w:left w:val="none" w:sz="0" w:space="0" w:color="auto"/>
        <w:bottom w:val="none" w:sz="0" w:space="0" w:color="auto"/>
        <w:right w:val="none" w:sz="0" w:space="0" w:color="auto"/>
      </w:divBdr>
    </w:div>
    <w:div w:id="1926185279">
      <w:bodyDiv w:val="1"/>
      <w:marLeft w:val="0"/>
      <w:marRight w:val="0"/>
      <w:marTop w:val="0"/>
      <w:marBottom w:val="0"/>
      <w:divBdr>
        <w:top w:val="none" w:sz="0" w:space="0" w:color="auto"/>
        <w:left w:val="none" w:sz="0" w:space="0" w:color="auto"/>
        <w:bottom w:val="none" w:sz="0" w:space="0" w:color="auto"/>
        <w:right w:val="none" w:sz="0" w:space="0" w:color="auto"/>
      </w:divBdr>
    </w:div>
    <w:div w:id="1926304449">
      <w:bodyDiv w:val="1"/>
      <w:marLeft w:val="0"/>
      <w:marRight w:val="0"/>
      <w:marTop w:val="0"/>
      <w:marBottom w:val="0"/>
      <w:divBdr>
        <w:top w:val="none" w:sz="0" w:space="0" w:color="auto"/>
        <w:left w:val="none" w:sz="0" w:space="0" w:color="auto"/>
        <w:bottom w:val="none" w:sz="0" w:space="0" w:color="auto"/>
        <w:right w:val="none" w:sz="0" w:space="0" w:color="auto"/>
      </w:divBdr>
    </w:div>
    <w:div w:id="1926375901">
      <w:bodyDiv w:val="1"/>
      <w:marLeft w:val="0"/>
      <w:marRight w:val="0"/>
      <w:marTop w:val="0"/>
      <w:marBottom w:val="0"/>
      <w:divBdr>
        <w:top w:val="none" w:sz="0" w:space="0" w:color="auto"/>
        <w:left w:val="none" w:sz="0" w:space="0" w:color="auto"/>
        <w:bottom w:val="none" w:sz="0" w:space="0" w:color="auto"/>
        <w:right w:val="none" w:sz="0" w:space="0" w:color="auto"/>
      </w:divBdr>
    </w:div>
    <w:div w:id="1926500561">
      <w:bodyDiv w:val="1"/>
      <w:marLeft w:val="0"/>
      <w:marRight w:val="0"/>
      <w:marTop w:val="0"/>
      <w:marBottom w:val="0"/>
      <w:divBdr>
        <w:top w:val="none" w:sz="0" w:space="0" w:color="auto"/>
        <w:left w:val="none" w:sz="0" w:space="0" w:color="auto"/>
        <w:bottom w:val="none" w:sz="0" w:space="0" w:color="auto"/>
        <w:right w:val="none" w:sz="0" w:space="0" w:color="auto"/>
      </w:divBdr>
    </w:div>
    <w:div w:id="1926524449">
      <w:bodyDiv w:val="1"/>
      <w:marLeft w:val="0"/>
      <w:marRight w:val="0"/>
      <w:marTop w:val="0"/>
      <w:marBottom w:val="0"/>
      <w:divBdr>
        <w:top w:val="none" w:sz="0" w:space="0" w:color="auto"/>
        <w:left w:val="none" w:sz="0" w:space="0" w:color="auto"/>
        <w:bottom w:val="none" w:sz="0" w:space="0" w:color="auto"/>
        <w:right w:val="none" w:sz="0" w:space="0" w:color="auto"/>
      </w:divBdr>
    </w:div>
    <w:div w:id="1926570114">
      <w:bodyDiv w:val="1"/>
      <w:marLeft w:val="0"/>
      <w:marRight w:val="0"/>
      <w:marTop w:val="0"/>
      <w:marBottom w:val="0"/>
      <w:divBdr>
        <w:top w:val="none" w:sz="0" w:space="0" w:color="auto"/>
        <w:left w:val="none" w:sz="0" w:space="0" w:color="auto"/>
        <w:bottom w:val="none" w:sz="0" w:space="0" w:color="auto"/>
        <w:right w:val="none" w:sz="0" w:space="0" w:color="auto"/>
      </w:divBdr>
    </w:div>
    <w:div w:id="1926646486">
      <w:bodyDiv w:val="1"/>
      <w:marLeft w:val="0"/>
      <w:marRight w:val="0"/>
      <w:marTop w:val="0"/>
      <w:marBottom w:val="0"/>
      <w:divBdr>
        <w:top w:val="none" w:sz="0" w:space="0" w:color="auto"/>
        <w:left w:val="none" w:sz="0" w:space="0" w:color="auto"/>
        <w:bottom w:val="none" w:sz="0" w:space="0" w:color="auto"/>
        <w:right w:val="none" w:sz="0" w:space="0" w:color="auto"/>
      </w:divBdr>
    </w:div>
    <w:div w:id="1926647344">
      <w:bodyDiv w:val="1"/>
      <w:marLeft w:val="0"/>
      <w:marRight w:val="0"/>
      <w:marTop w:val="0"/>
      <w:marBottom w:val="0"/>
      <w:divBdr>
        <w:top w:val="none" w:sz="0" w:space="0" w:color="auto"/>
        <w:left w:val="none" w:sz="0" w:space="0" w:color="auto"/>
        <w:bottom w:val="none" w:sz="0" w:space="0" w:color="auto"/>
        <w:right w:val="none" w:sz="0" w:space="0" w:color="auto"/>
      </w:divBdr>
    </w:div>
    <w:div w:id="1926720282">
      <w:bodyDiv w:val="1"/>
      <w:marLeft w:val="0"/>
      <w:marRight w:val="0"/>
      <w:marTop w:val="0"/>
      <w:marBottom w:val="0"/>
      <w:divBdr>
        <w:top w:val="none" w:sz="0" w:space="0" w:color="auto"/>
        <w:left w:val="none" w:sz="0" w:space="0" w:color="auto"/>
        <w:bottom w:val="none" w:sz="0" w:space="0" w:color="auto"/>
        <w:right w:val="none" w:sz="0" w:space="0" w:color="auto"/>
      </w:divBdr>
    </w:div>
    <w:div w:id="1926721596">
      <w:bodyDiv w:val="1"/>
      <w:marLeft w:val="0"/>
      <w:marRight w:val="0"/>
      <w:marTop w:val="0"/>
      <w:marBottom w:val="0"/>
      <w:divBdr>
        <w:top w:val="none" w:sz="0" w:space="0" w:color="auto"/>
        <w:left w:val="none" w:sz="0" w:space="0" w:color="auto"/>
        <w:bottom w:val="none" w:sz="0" w:space="0" w:color="auto"/>
        <w:right w:val="none" w:sz="0" w:space="0" w:color="auto"/>
      </w:divBdr>
    </w:div>
    <w:div w:id="1926764862">
      <w:bodyDiv w:val="1"/>
      <w:marLeft w:val="0"/>
      <w:marRight w:val="0"/>
      <w:marTop w:val="0"/>
      <w:marBottom w:val="0"/>
      <w:divBdr>
        <w:top w:val="none" w:sz="0" w:space="0" w:color="auto"/>
        <w:left w:val="none" w:sz="0" w:space="0" w:color="auto"/>
        <w:bottom w:val="none" w:sz="0" w:space="0" w:color="auto"/>
        <w:right w:val="none" w:sz="0" w:space="0" w:color="auto"/>
      </w:divBdr>
    </w:div>
    <w:div w:id="1926912490">
      <w:bodyDiv w:val="1"/>
      <w:marLeft w:val="0"/>
      <w:marRight w:val="0"/>
      <w:marTop w:val="0"/>
      <w:marBottom w:val="0"/>
      <w:divBdr>
        <w:top w:val="none" w:sz="0" w:space="0" w:color="auto"/>
        <w:left w:val="none" w:sz="0" w:space="0" w:color="auto"/>
        <w:bottom w:val="none" w:sz="0" w:space="0" w:color="auto"/>
        <w:right w:val="none" w:sz="0" w:space="0" w:color="auto"/>
      </w:divBdr>
    </w:div>
    <w:div w:id="1926917567">
      <w:bodyDiv w:val="1"/>
      <w:marLeft w:val="0"/>
      <w:marRight w:val="0"/>
      <w:marTop w:val="0"/>
      <w:marBottom w:val="0"/>
      <w:divBdr>
        <w:top w:val="none" w:sz="0" w:space="0" w:color="auto"/>
        <w:left w:val="none" w:sz="0" w:space="0" w:color="auto"/>
        <w:bottom w:val="none" w:sz="0" w:space="0" w:color="auto"/>
        <w:right w:val="none" w:sz="0" w:space="0" w:color="auto"/>
      </w:divBdr>
    </w:div>
    <w:div w:id="1926956725">
      <w:bodyDiv w:val="1"/>
      <w:marLeft w:val="0"/>
      <w:marRight w:val="0"/>
      <w:marTop w:val="0"/>
      <w:marBottom w:val="0"/>
      <w:divBdr>
        <w:top w:val="none" w:sz="0" w:space="0" w:color="auto"/>
        <w:left w:val="none" w:sz="0" w:space="0" w:color="auto"/>
        <w:bottom w:val="none" w:sz="0" w:space="0" w:color="auto"/>
        <w:right w:val="none" w:sz="0" w:space="0" w:color="auto"/>
      </w:divBdr>
    </w:div>
    <w:div w:id="1927034522">
      <w:bodyDiv w:val="1"/>
      <w:marLeft w:val="0"/>
      <w:marRight w:val="0"/>
      <w:marTop w:val="0"/>
      <w:marBottom w:val="0"/>
      <w:divBdr>
        <w:top w:val="none" w:sz="0" w:space="0" w:color="auto"/>
        <w:left w:val="none" w:sz="0" w:space="0" w:color="auto"/>
        <w:bottom w:val="none" w:sz="0" w:space="0" w:color="auto"/>
        <w:right w:val="none" w:sz="0" w:space="0" w:color="auto"/>
      </w:divBdr>
    </w:div>
    <w:div w:id="1927229534">
      <w:bodyDiv w:val="1"/>
      <w:marLeft w:val="0"/>
      <w:marRight w:val="0"/>
      <w:marTop w:val="0"/>
      <w:marBottom w:val="0"/>
      <w:divBdr>
        <w:top w:val="none" w:sz="0" w:space="0" w:color="auto"/>
        <w:left w:val="none" w:sz="0" w:space="0" w:color="auto"/>
        <w:bottom w:val="none" w:sz="0" w:space="0" w:color="auto"/>
        <w:right w:val="none" w:sz="0" w:space="0" w:color="auto"/>
      </w:divBdr>
    </w:div>
    <w:div w:id="1927303810">
      <w:bodyDiv w:val="1"/>
      <w:marLeft w:val="0"/>
      <w:marRight w:val="0"/>
      <w:marTop w:val="0"/>
      <w:marBottom w:val="0"/>
      <w:divBdr>
        <w:top w:val="none" w:sz="0" w:space="0" w:color="auto"/>
        <w:left w:val="none" w:sz="0" w:space="0" w:color="auto"/>
        <w:bottom w:val="none" w:sz="0" w:space="0" w:color="auto"/>
        <w:right w:val="none" w:sz="0" w:space="0" w:color="auto"/>
      </w:divBdr>
    </w:div>
    <w:div w:id="1927380122">
      <w:bodyDiv w:val="1"/>
      <w:marLeft w:val="0"/>
      <w:marRight w:val="0"/>
      <w:marTop w:val="0"/>
      <w:marBottom w:val="0"/>
      <w:divBdr>
        <w:top w:val="none" w:sz="0" w:space="0" w:color="auto"/>
        <w:left w:val="none" w:sz="0" w:space="0" w:color="auto"/>
        <w:bottom w:val="none" w:sz="0" w:space="0" w:color="auto"/>
        <w:right w:val="none" w:sz="0" w:space="0" w:color="auto"/>
      </w:divBdr>
    </w:div>
    <w:div w:id="1927415192">
      <w:bodyDiv w:val="1"/>
      <w:marLeft w:val="0"/>
      <w:marRight w:val="0"/>
      <w:marTop w:val="0"/>
      <w:marBottom w:val="0"/>
      <w:divBdr>
        <w:top w:val="none" w:sz="0" w:space="0" w:color="auto"/>
        <w:left w:val="none" w:sz="0" w:space="0" w:color="auto"/>
        <w:bottom w:val="none" w:sz="0" w:space="0" w:color="auto"/>
        <w:right w:val="none" w:sz="0" w:space="0" w:color="auto"/>
      </w:divBdr>
    </w:div>
    <w:div w:id="1927416281">
      <w:bodyDiv w:val="1"/>
      <w:marLeft w:val="0"/>
      <w:marRight w:val="0"/>
      <w:marTop w:val="0"/>
      <w:marBottom w:val="0"/>
      <w:divBdr>
        <w:top w:val="none" w:sz="0" w:space="0" w:color="auto"/>
        <w:left w:val="none" w:sz="0" w:space="0" w:color="auto"/>
        <w:bottom w:val="none" w:sz="0" w:space="0" w:color="auto"/>
        <w:right w:val="none" w:sz="0" w:space="0" w:color="auto"/>
      </w:divBdr>
    </w:div>
    <w:div w:id="1927616767">
      <w:bodyDiv w:val="1"/>
      <w:marLeft w:val="0"/>
      <w:marRight w:val="0"/>
      <w:marTop w:val="0"/>
      <w:marBottom w:val="0"/>
      <w:divBdr>
        <w:top w:val="none" w:sz="0" w:space="0" w:color="auto"/>
        <w:left w:val="none" w:sz="0" w:space="0" w:color="auto"/>
        <w:bottom w:val="none" w:sz="0" w:space="0" w:color="auto"/>
        <w:right w:val="none" w:sz="0" w:space="0" w:color="auto"/>
      </w:divBdr>
    </w:div>
    <w:div w:id="1927686123">
      <w:bodyDiv w:val="1"/>
      <w:marLeft w:val="0"/>
      <w:marRight w:val="0"/>
      <w:marTop w:val="0"/>
      <w:marBottom w:val="0"/>
      <w:divBdr>
        <w:top w:val="none" w:sz="0" w:space="0" w:color="auto"/>
        <w:left w:val="none" w:sz="0" w:space="0" w:color="auto"/>
        <w:bottom w:val="none" w:sz="0" w:space="0" w:color="auto"/>
        <w:right w:val="none" w:sz="0" w:space="0" w:color="auto"/>
      </w:divBdr>
    </w:div>
    <w:div w:id="1927687086">
      <w:bodyDiv w:val="1"/>
      <w:marLeft w:val="0"/>
      <w:marRight w:val="0"/>
      <w:marTop w:val="0"/>
      <w:marBottom w:val="0"/>
      <w:divBdr>
        <w:top w:val="none" w:sz="0" w:space="0" w:color="auto"/>
        <w:left w:val="none" w:sz="0" w:space="0" w:color="auto"/>
        <w:bottom w:val="none" w:sz="0" w:space="0" w:color="auto"/>
        <w:right w:val="none" w:sz="0" w:space="0" w:color="auto"/>
      </w:divBdr>
    </w:div>
    <w:div w:id="1927763587">
      <w:bodyDiv w:val="1"/>
      <w:marLeft w:val="0"/>
      <w:marRight w:val="0"/>
      <w:marTop w:val="0"/>
      <w:marBottom w:val="0"/>
      <w:divBdr>
        <w:top w:val="none" w:sz="0" w:space="0" w:color="auto"/>
        <w:left w:val="none" w:sz="0" w:space="0" w:color="auto"/>
        <w:bottom w:val="none" w:sz="0" w:space="0" w:color="auto"/>
        <w:right w:val="none" w:sz="0" w:space="0" w:color="auto"/>
      </w:divBdr>
    </w:div>
    <w:div w:id="1927768505">
      <w:bodyDiv w:val="1"/>
      <w:marLeft w:val="0"/>
      <w:marRight w:val="0"/>
      <w:marTop w:val="0"/>
      <w:marBottom w:val="0"/>
      <w:divBdr>
        <w:top w:val="none" w:sz="0" w:space="0" w:color="auto"/>
        <w:left w:val="none" w:sz="0" w:space="0" w:color="auto"/>
        <w:bottom w:val="none" w:sz="0" w:space="0" w:color="auto"/>
        <w:right w:val="none" w:sz="0" w:space="0" w:color="auto"/>
      </w:divBdr>
    </w:div>
    <w:div w:id="1927809078">
      <w:bodyDiv w:val="1"/>
      <w:marLeft w:val="0"/>
      <w:marRight w:val="0"/>
      <w:marTop w:val="0"/>
      <w:marBottom w:val="0"/>
      <w:divBdr>
        <w:top w:val="none" w:sz="0" w:space="0" w:color="auto"/>
        <w:left w:val="none" w:sz="0" w:space="0" w:color="auto"/>
        <w:bottom w:val="none" w:sz="0" w:space="0" w:color="auto"/>
        <w:right w:val="none" w:sz="0" w:space="0" w:color="auto"/>
      </w:divBdr>
    </w:div>
    <w:div w:id="1927955404">
      <w:bodyDiv w:val="1"/>
      <w:marLeft w:val="0"/>
      <w:marRight w:val="0"/>
      <w:marTop w:val="0"/>
      <w:marBottom w:val="0"/>
      <w:divBdr>
        <w:top w:val="none" w:sz="0" w:space="0" w:color="auto"/>
        <w:left w:val="none" w:sz="0" w:space="0" w:color="auto"/>
        <w:bottom w:val="none" w:sz="0" w:space="0" w:color="auto"/>
        <w:right w:val="none" w:sz="0" w:space="0" w:color="auto"/>
      </w:divBdr>
    </w:div>
    <w:div w:id="1928229405">
      <w:bodyDiv w:val="1"/>
      <w:marLeft w:val="0"/>
      <w:marRight w:val="0"/>
      <w:marTop w:val="0"/>
      <w:marBottom w:val="0"/>
      <w:divBdr>
        <w:top w:val="none" w:sz="0" w:space="0" w:color="auto"/>
        <w:left w:val="none" w:sz="0" w:space="0" w:color="auto"/>
        <w:bottom w:val="none" w:sz="0" w:space="0" w:color="auto"/>
        <w:right w:val="none" w:sz="0" w:space="0" w:color="auto"/>
      </w:divBdr>
    </w:div>
    <w:div w:id="1928265958">
      <w:bodyDiv w:val="1"/>
      <w:marLeft w:val="0"/>
      <w:marRight w:val="0"/>
      <w:marTop w:val="0"/>
      <w:marBottom w:val="0"/>
      <w:divBdr>
        <w:top w:val="none" w:sz="0" w:space="0" w:color="auto"/>
        <w:left w:val="none" w:sz="0" w:space="0" w:color="auto"/>
        <w:bottom w:val="none" w:sz="0" w:space="0" w:color="auto"/>
        <w:right w:val="none" w:sz="0" w:space="0" w:color="auto"/>
      </w:divBdr>
    </w:div>
    <w:div w:id="1928269892">
      <w:bodyDiv w:val="1"/>
      <w:marLeft w:val="0"/>
      <w:marRight w:val="0"/>
      <w:marTop w:val="0"/>
      <w:marBottom w:val="0"/>
      <w:divBdr>
        <w:top w:val="none" w:sz="0" w:space="0" w:color="auto"/>
        <w:left w:val="none" w:sz="0" w:space="0" w:color="auto"/>
        <w:bottom w:val="none" w:sz="0" w:space="0" w:color="auto"/>
        <w:right w:val="none" w:sz="0" w:space="0" w:color="auto"/>
      </w:divBdr>
    </w:div>
    <w:div w:id="1928346519">
      <w:bodyDiv w:val="1"/>
      <w:marLeft w:val="0"/>
      <w:marRight w:val="0"/>
      <w:marTop w:val="0"/>
      <w:marBottom w:val="0"/>
      <w:divBdr>
        <w:top w:val="none" w:sz="0" w:space="0" w:color="auto"/>
        <w:left w:val="none" w:sz="0" w:space="0" w:color="auto"/>
        <w:bottom w:val="none" w:sz="0" w:space="0" w:color="auto"/>
        <w:right w:val="none" w:sz="0" w:space="0" w:color="auto"/>
      </w:divBdr>
    </w:div>
    <w:div w:id="1928421823">
      <w:bodyDiv w:val="1"/>
      <w:marLeft w:val="0"/>
      <w:marRight w:val="0"/>
      <w:marTop w:val="0"/>
      <w:marBottom w:val="0"/>
      <w:divBdr>
        <w:top w:val="none" w:sz="0" w:space="0" w:color="auto"/>
        <w:left w:val="none" w:sz="0" w:space="0" w:color="auto"/>
        <w:bottom w:val="none" w:sz="0" w:space="0" w:color="auto"/>
        <w:right w:val="none" w:sz="0" w:space="0" w:color="auto"/>
      </w:divBdr>
    </w:div>
    <w:div w:id="1928462575">
      <w:bodyDiv w:val="1"/>
      <w:marLeft w:val="0"/>
      <w:marRight w:val="0"/>
      <w:marTop w:val="0"/>
      <w:marBottom w:val="0"/>
      <w:divBdr>
        <w:top w:val="none" w:sz="0" w:space="0" w:color="auto"/>
        <w:left w:val="none" w:sz="0" w:space="0" w:color="auto"/>
        <w:bottom w:val="none" w:sz="0" w:space="0" w:color="auto"/>
        <w:right w:val="none" w:sz="0" w:space="0" w:color="auto"/>
      </w:divBdr>
    </w:div>
    <w:div w:id="1928464175">
      <w:bodyDiv w:val="1"/>
      <w:marLeft w:val="0"/>
      <w:marRight w:val="0"/>
      <w:marTop w:val="0"/>
      <w:marBottom w:val="0"/>
      <w:divBdr>
        <w:top w:val="none" w:sz="0" w:space="0" w:color="auto"/>
        <w:left w:val="none" w:sz="0" w:space="0" w:color="auto"/>
        <w:bottom w:val="none" w:sz="0" w:space="0" w:color="auto"/>
        <w:right w:val="none" w:sz="0" w:space="0" w:color="auto"/>
      </w:divBdr>
    </w:div>
    <w:div w:id="1928465376">
      <w:bodyDiv w:val="1"/>
      <w:marLeft w:val="0"/>
      <w:marRight w:val="0"/>
      <w:marTop w:val="0"/>
      <w:marBottom w:val="0"/>
      <w:divBdr>
        <w:top w:val="none" w:sz="0" w:space="0" w:color="auto"/>
        <w:left w:val="none" w:sz="0" w:space="0" w:color="auto"/>
        <w:bottom w:val="none" w:sz="0" w:space="0" w:color="auto"/>
        <w:right w:val="none" w:sz="0" w:space="0" w:color="auto"/>
      </w:divBdr>
    </w:div>
    <w:div w:id="1928540807">
      <w:bodyDiv w:val="1"/>
      <w:marLeft w:val="0"/>
      <w:marRight w:val="0"/>
      <w:marTop w:val="0"/>
      <w:marBottom w:val="0"/>
      <w:divBdr>
        <w:top w:val="none" w:sz="0" w:space="0" w:color="auto"/>
        <w:left w:val="none" w:sz="0" w:space="0" w:color="auto"/>
        <w:bottom w:val="none" w:sz="0" w:space="0" w:color="auto"/>
        <w:right w:val="none" w:sz="0" w:space="0" w:color="auto"/>
      </w:divBdr>
    </w:div>
    <w:div w:id="1928541000">
      <w:bodyDiv w:val="1"/>
      <w:marLeft w:val="0"/>
      <w:marRight w:val="0"/>
      <w:marTop w:val="0"/>
      <w:marBottom w:val="0"/>
      <w:divBdr>
        <w:top w:val="none" w:sz="0" w:space="0" w:color="auto"/>
        <w:left w:val="none" w:sz="0" w:space="0" w:color="auto"/>
        <w:bottom w:val="none" w:sz="0" w:space="0" w:color="auto"/>
        <w:right w:val="none" w:sz="0" w:space="0" w:color="auto"/>
      </w:divBdr>
    </w:div>
    <w:div w:id="1928615814">
      <w:bodyDiv w:val="1"/>
      <w:marLeft w:val="0"/>
      <w:marRight w:val="0"/>
      <w:marTop w:val="0"/>
      <w:marBottom w:val="0"/>
      <w:divBdr>
        <w:top w:val="none" w:sz="0" w:space="0" w:color="auto"/>
        <w:left w:val="none" w:sz="0" w:space="0" w:color="auto"/>
        <w:bottom w:val="none" w:sz="0" w:space="0" w:color="auto"/>
        <w:right w:val="none" w:sz="0" w:space="0" w:color="auto"/>
      </w:divBdr>
    </w:div>
    <w:div w:id="1928685790">
      <w:bodyDiv w:val="1"/>
      <w:marLeft w:val="0"/>
      <w:marRight w:val="0"/>
      <w:marTop w:val="0"/>
      <w:marBottom w:val="0"/>
      <w:divBdr>
        <w:top w:val="none" w:sz="0" w:space="0" w:color="auto"/>
        <w:left w:val="none" w:sz="0" w:space="0" w:color="auto"/>
        <w:bottom w:val="none" w:sz="0" w:space="0" w:color="auto"/>
        <w:right w:val="none" w:sz="0" w:space="0" w:color="auto"/>
      </w:divBdr>
    </w:div>
    <w:div w:id="1928728822">
      <w:bodyDiv w:val="1"/>
      <w:marLeft w:val="0"/>
      <w:marRight w:val="0"/>
      <w:marTop w:val="0"/>
      <w:marBottom w:val="0"/>
      <w:divBdr>
        <w:top w:val="none" w:sz="0" w:space="0" w:color="auto"/>
        <w:left w:val="none" w:sz="0" w:space="0" w:color="auto"/>
        <w:bottom w:val="none" w:sz="0" w:space="0" w:color="auto"/>
        <w:right w:val="none" w:sz="0" w:space="0" w:color="auto"/>
      </w:divBdr>
    </w:div>
    <w:div w:id="1928730943">
      <w:bodyDiv w:val="1"/>
      <w:marLeft w:val="0"/>
      <w:marRight w:val="0"/>
      <w:marTop w:val="0"/>
      <w:marBottom w:val="0"/>
      <w:divBdr>
        <w:top w:val="none" w:sz="0" w:space="0" w:color="auto"/>
        <w:left w:val="none" w:sz="0" w:space="0" w:color="auto"/>
        <w:bottom w:val="none" w:sz="0" w:space="0" w:color="auto"/>
        <w:right w:val="none" w:sz="0" w:space="0" w:color="auto"/>
      </w:divBdr>
    </w:div>
    <w:div w:id="1928801833">
      <w:bodyDiv w:val="1"/>
      <w:marLeft w:val="0"/>
      <w:marRight w:val="0"/>
      <w:marTop w:val="0"/>
      <w:marBottom w:val="0"/>
      <w:divBdr>
        <w:top w:val="none" w:sz="0" w:space="0" w:color="auto"/>
        <w:left w:val="none" w:sz="0" w:space="0" w:color="auto"/>
        <w:bottom w:val="none" w:sz="0" w:space="0" w:color="auto"/>
        <w:right w:val="none" w:sz="0" w:space="0" w:color="auto"/>
      </w:divBdr>
    </w:div>
    <w:div w:id="1928924815">
      <w:bodyDiv w:val="1"/>
      <w:marLeft w:val="0"/>
      <w:marRight w:val="0"/>
      <w:marTop w:val="0"/>
      <w:marBottom w:val="0"/>
      <w:divBdr>
        <w:top w:val="none" w:sz="0" w:space="0" w:color="auto"/>
        <w:left w:val="none" w:sz="0" w:space="0" w:color="auto"/>
        <w:bottom w:val="none" w:sz="0" w:space="0" w:color="auto"/>
        <w:right w:val="none" w:sz="0" w:space="0" w:color="auto"/>
      </w:divBdr>
    </w:div>
    <w:div w:id="1929191204">
      <w:bodyDiv w:val="1"/>
      <w:marLeft w:val="0"/>
      <w:marRight w:val="0"/>
      <w:marTop w:val="0"/>
      <w:marBottom w:val="0"/>
      <w:divBdr>
        <w:top w:val="none" w:sz="0" w:space="0" w:color="auto"/>
        <w:left w:val="none" w:sz="0" w:space="0" w:color="auto"/>
        <w:bottom w:val="none" w:sz="0" w:space="0" w:color="auto"/>
        <w:right w:val="none" w:sz="0" w:space="0" w:color="auto"/>
      </w:divBdr>
    </w:div>
    <w:div w:id="1929272289">
      <w:bodyDiv w:val="1"/>
      <w:marLeft w:val="0"/>
      <w:marRight w:val="0"/>
      <w:marTop w:val="0"/>
      <w:marBottom w:val="0"/>
      <w:divBdr>
        <w:top w:val="none" w:sz="0" w:space="0" w:color="auto"/>
        <w:left w:val="none" w:sz="0" w:space="0" w:color="auto"/>
        <w:bottom w:val="none" w:sz="0" w:space="0" w:color="auto"/>
        <w:right w:val="none" w:sz="0" w:space="0" w:color="auto"/>
      </w:divBdr>
    </w:div>
    <w:div w:id="1929340749">
      <w:bodyDiv w:val="1"/>
      <w:marLeft w:val="0"/>
      <w:marRight w:val="0"/>
      <w:marTop w:val="0"/>
      <w:marBottom w:val="0"/>
      <w:divBdr>
        <w:top w:val="none" w:sz="0" w:space="0" w:color="auto"/>
        <w:left w:val="none" w:sz="0" w:space="0" w:color="auto"/>
        <w:bottom w:val="none" w:sz="0" w:space="0" w:color="auto"/>
        <w:right w:val="none" w:sz="0" w:space="0" w:color="auto"/>
      </w:divBdr>
    </w:div>
    <w:div w:id="1929343166">
      <w:bodyDiv w:val="1"/>
      <w:marLeft w:val="0"/>
      <w:marRight w:val="0"/>
      <w:marTop w:val="0"/>
      <w:marBottom w:val="0"/>
      <w:divBdr>
        <w:top w:val="none" w:sz="0" w:space="0" w:color="auto"/>
        <w:left w:val="none" w:sz="0" w:space="0" w:color="auto"/>
        <w:bottom w:val="none" w:sz="0" w:space="0" w:color="auto"/>
        <w:right w:val="none" w:sz="0" w:space="0" w:color="auto"/>
      </w:divBdr>
    </w:div>
    <w:div w:id="1929382378">
      <w:bodyDiv w:val="1"/>
      <w:marLeft w:val="0"/>
      <w:marRight w:val="0"/>
      <w:marTop w:val="0"/>
      <w:marBottom w:val="0"/>
      <w:divBdr>
        <w:top w:val="none" w:sz="0" w:space="0" w:color="auto"/>
        <w:left w:val="none" w:sz="0" w:space="0" w:color="auto"/>
        <w:bottom w:val="none" w:sz="0" w:space="0" w:color="auto"/>
        <w:right w:val="none" w:sz="0" w:space="0" w:color="auto"/>
      </w:divBdr>
    </w:div>
    <w:div w:id="1929457264">
      <w:bodyDiv w:val="1"/>
      <w:marLeft w:val="0"/>
      <w:marRight w:val="0"/>
      <w:marTop w:val="0"/>
      <w:marBottom w:val="0"/>
      <w:divBdr>
        <w:top w:val="none" w:sz="0" w:space="0" w:color="auto"/>
        <w:left w:val="none" w:sz="0" w:space="0" w:color="auto"/>
        <w:bottom w:val="none" w:sz="0" w:space="0" w:color="auto"/>
        <w:right w:val="none" w:sz="0" w:space="0" w:color="auto"/>
      </w:divBdr>
    </w:div>
    <w:div w:id="1929465648">
      <w:bodyDiv w:val="1"/>
      <w:marLeft w:val="0"/>
      <w:marRight w:val="0"/>
      <w:marTop w:val="0"/>
      <w:marBottom w:val="0"/>
      <w:divBdr>
        <w:top w:val="none" w:sz="0" w:space="0" w:color="auto"/>
        <w:left w:val="none" w:sz="0" w:space="0" w:color="auto"/>
        <w:bottom w:val="none" w:sz="0" w:space="0" w:color="auto"/>
        <w:right w:val="none" w:sz="0" w:space="0" w:color="auto"/>
      </w:divBdr>
    </w:div>
    <w:div w:id="1929534117">
      <w:bodyDiv w:val="1"/>
      <w:marLeft w:val="0"/>
      <w:marRight w:val="0"/>
      <w:marTop w:val="0"/>
      <w:marBottom w:val="0"/>
      <w:divBdr>
        <w:top w:val="none" w:sz="0" w:space="0" w:color="auto"/>
        <w:left w:val="none" w:sz="0" w:space="0" w:color="auto"/>
        <w:bottom w:val="none" w:sz="0" w:space="0" w:color="auto"/>
        <w:right w:val="none" w:sz="0" w:space="0" w:color="auto"/>
      </w:divBdr>
    </w:div>
    <w:div w:id="1929730368">
      <w:bodyDiv w:val="1"/>
      <w:marLeft w:val="0"/>
      <w:marRight w:val="0"/>
      <w:marTop w:val="0"/>
      <w:marBottom w:val="0"/>
      <w:divBdr>
        <w:top w:val="none" w:sz="0" w:space="0" w:color="auto"/>
        <w:left w:val="none" w:sz="0" w:space="0" w:color="auto"/>
        <w:bottom w:val="none" w:sz="0" w:space="0" w:color="auto"/>
        <w:right w:val="none" w:sz="0" w:space="0" w:color="auto"/>
      </w:divBdr>
    </w:div>
    <w:div w:id="1929851477">
      <w:bodyDiv w:val="1"/>
      <w:marLeft w:val="0"/>
      <w:marRight w:val="0"/>
      <w:marTop w:val="0"/>
      <w:marBottom w:val="0"/>
      <w:divBdr>
        <w:top w:val="none" w:sz="0" w:space="0" w:color="auto"/>
        <w:left w:val="none" w:sz="0" w:space="0" w:color="auto"/>
        <w:bottom w:val="none" w:sz="0" w:space="0" w:color="auto"/>
        <w:right w:val="none" w:sz="0" w:space="0" w:color="auto"/>
      </w:divBdr>
    </w:div>
    <w:div w:id="1929995243">
      <w:bodyDiv w:val="1"/>
      <w:marLeft w:val="0"/>
      <w:marRight w:val="0"/>
      <w:marTop w:val="0"/>
      <w:marBottom w:val="0"/>
      <w:divBdr>
        <w:top w:val="none" w:sz="0" w:space="0" w:color="auto"/>
        <w:left w:val="none" w:sz="0" w:space="0" w:color="auto"/>
        <w:bottom w:val="none" w:sz="0" w:space="0" w:color="auto"/>
        <w:right w:val="none" w:sz="0" w:space="0" w:color="auto"/>
      </w:divBdr>
    </w:div>
    <w:div w:id="1930000752">
      <w:bodyDiv w:val="1"/>
      <w:marLeft w:val="0"/>
      <w:marRight w:val="0"/>
      <w:marTop w:val="0"/>
      <w:marBottom w:val="0"/>
      <w:divBdr>
        <w:top w:val="none" w:sz="0" w:space="0" w:color="auto"/>
        <w:left w:val="none" w:sz="0" w:space="0" w:color="auto"/>
        <w:bottom w:val="none" w:sz="0" w:space="0" w:color="auto"/>
        <w:right w:val="none" w:sz="0" w:space="0" w:color="auto"/>
      </w:divBdr>
    </w:div>
    <w:div w:id="1930001269">
      <w:bodyDiv w:val="1"/>
      <w:marLeft w:val="0"/>
      <w:marRight w:val="0"/>
      <w:marTop w:val="0"/>
      <w:marBottom w:val="0"/>
      <w:divBdr>
        <w:top w:val="none" w:sz="0" w:space="0" w:color="auto"/>
        <w:left w:val="none" w:sz="0" w:space="0" w:color="auto"/>
        <w:bottom w:val="none" w:sz="0" w:space="0" w:color="auto"/>
        <w:right w:val="none" w:sz="0" w:space="0" w:color="auto"/>
      </w:divBdr>
    </w:div>
    <w:div w:id="1930119892">
      <w:bodyDiv w:val="1"/>
      <w:marLeft w:val="0"/>
      <w:marRight w:val="0"/>
      <w:marTop w:val="0"/>
      <w:marBottom w:val="0"/>
      <w:divBdr>
        <w:top w:val="none" w:sz="0" w:space="0" w:color="auto"/>
        <w:left w:val="none" w:sz="0" w:space="0" w:color="auto"/>
        <w:bottom w:val="none" w:sz="0" w:space="0" w:color="auto"/>
        <w:right w:val="none" w:sz="0" w:space="0" w:color="auto"/>
      </w:divBdr>
    </w:div>
    <w:div w:id="1930234527">
      <w:bodyDiv w:val="1"/>
      <w:marLeft w:val="0"/>
      <w:marRight w:val="0"/>
      <w:marTop w:val="0"/>
      <w:marBottom w:val="0"/>
      <w:divBdr>
        <w:top w:val="none" w:sz="0" w:space="0" w:color="auto"/>
        <w:left w:val="none" w:sz="0" w:space="0" w:color="auto"/>
        <w:bottom w:val="none" w:sz="0" w:space="0" w:color="auto"/>
        <w:right w:val="none" w:sz="0" w:space="0" w:color="auto"/>
      </w:divBdr>
    </w:div>
    <w:div w:id="1930385948">
      <w:bodyDiv w:val="1"/>
      <w:marLeft w:val="0"/>
      <w:marRight w:val="0"/>
      <w:marTop w:val="0"/>
      <w:marBottom w:val="0"/>
      <w:divBdr>
        <w:top w:val="none" w:sz="0" w:space="0" w:color="auto"/>
        <w:left w:val="none" w:sz="0" w:space="0" w:color="auto"/>
        <w:bottom w:val="none" w:sz="0" w:space="0" w:color="auto"/>
        <w:right w:val="none" w:sz="0" w:space="0" w:color="auto"/>
      </w:divBdr>
    </w:div>
    <w:div w:id="1930581878">
      <w:bodyDiv w:val="1"/>
      <w:marLeft w:val="0"/>
      <w:marRight w:val="0"/>
      <w:marTop w:val="0"/>
      <w:marBottom w:val="0"/>
      <w:divBdr>
        <w:top w:val="none" w:sz="0" w:space="0" w:color="auto"/>
        <w:left w:val="none" w:sz="0" w:space="0" w:color="auto"/>
        <w:bottom w:val="none" w:sz="0" w:space="0" w:color="auto"/>
        <w:right w:val="none" w:sz="0" w:space="0" w:color="auto"/>
      </w:divBdr>
    </w:div>
    <w:div w:id="1930582622">
      <w:bodyDiv w:val="1"/>
      <w:marLeft w:val="0"/>
      <w:marRight w:val="0"/>
      <w:marTop w:val="0"/>
      <w:marBottom w:val="0"/>
      <w:divBdr>
        <w:top w:val="none" w:sz="0" w:space="0" w:color="auto"/>
        <w:left w:val="none" w:sz="0" w:space="0" w:color="auto"/>
        <w:bottom w:val="none" w:sz="0" w:space="0" w:color="auto"/>
        <w:right w:val="none" w:sz="0" w:space="0" w:color="auto"/>
      </w:divBdr>
    </w:div>
    <w:div w:id="1930655897">
      <w:bodyDiv w:val="1"/>
      <w:marLeft w:val="0"/>
      <w:marRight w:val="0"/>
      <w:marTop w:val="0"/>
      <w:marBottom w:val="0"/>
      <w:divBdr>
        <w:top w:val="none" w:sz="0" w:space="0" w:color="auto"/>
        <w:left w:val="none" w:sz="0" w:space="0" w:color="auto"/>
        <w:bottom w:val="none" w:sz="0" w:space="0" w:color="auto"/>
        <w:right w:val="none" w:sz="0" w:space="0" w:color="auto"/>
      </w:divBdr>
    </w:div>
    <w:div w:id="1930691741">
      <w:bodyDiv w:val="1"/>
      <w:marLeft w:val="0"/>
      <w:marRight w:val="0"/>
      <w:marTop w:val="0"/>
      <w:marBottom w:val="0"/>
      <w:divBdr>
        <w:top w:val="none" w:sz="0" w:space="0" w:color="auto"/>
        <w:left w:val="none" w:sz="0" w:space="0" w:color="auto"/>
        <w:bottom w:val="none" w:sz="0" w:space="0" w:color="auto"/>
        <w:right w:val="none" w:sz="0" w:space="0" w:color="auto"/>
      </w:divBdr>
    </w:div>
    <w:div w:id="1930692675">
      <w:bodyDiv w:val="1"/>
      <w:marLeft w:val="0"/>
      <w:marRight w:val="0"/>
      <w:marTop w:val="0"/>
      <w:marBottom w:val="0"/>
      <w:divBdr>
        <w:top w:val="none" w:sz="0" w:space="0" w:color="auto"/>
        <w:left w:val="none" w:sz="0" w:space="0" w:color="auto"/>
        <w:bottom w:val="none" w:sz="0" w:space="0" w:color="auto"/>
        <w:right w:val="none" w:sz="0" w:space="0" w:color="auto"/>
      </w:divBdr>
    </w:div>
    <w:div w:id="1930694075">
      <w:bodyDiv w:val="1"/>
      <w:marLeft w:val="0"/>
      <w:marRight w:val="0"/>
      <w:marTop w:val="0"/>
      <w:marBottom w:val="0"/>
      <w:divBdr>
        <w:top w:val="none" w:sz="0" w:space="0" w:color="auto"/>
        <w:left w:val="none" w:sz="0" w:space="0" w:color="auto"/>
        <w:bottom w:val="none" w:sz="0" w:space="0" w:color="auto"/>
        <w:right w:val="none" w:sz="0" w:space="0" w:color="auto"/>
      </w:divBdr>
    </w:div>
    <w:div w:id="1930767596">
      <w:bodyDiv w:val="1"/>
      <w:marLeft w:val="0"/>
      <w:marRight w:val="0"/>
      <w:marTop w:val="0"/>
      <w:marBottom w:val="0"/>
      <w:divBdr>
        <w:top w:val="none" w:sz="0" w:space="0" w:color="auto"/>
        <w:left w:val="none" w:sz="0" w:space="0" w:color="auto"/>
        <w:bottom w:val="none" w:sz="0" w:space="0" w:color="auto"/>
        <w:right w:val="none" w:sz="0" w:space="0" w:color="auto"/>
      </w:divBdr>
    </w:div>
    <w:div w:id="1930968612">
      <w:bodyDiv w:val="1"/>
      <w:marLeft w:val="0"/>
      <w:marRight w:val="0"/>
      <w:marTop w:val="0"/>
      <w:marBottom w:val="0"/>
      <w:divBdr>
        <w:top w:val="none" w:sz="0" w:space="0" w:color="auto"/>
        <w:left w:val="none" w:sz="0" w:space="0" w:color="auto"/>
        <w:bottom w:val="none" w:sz="0" w:space="0" w:color="auto"/>
        <w:right w:val="none" w:sz="0" w:space="0" w:color="auto"/>
      </w:divBdr>
    </w:div>
    <w:div w:id="1931113007">
      <w:bodyDiv w:val="1"/>
      <w:marLeft w:val="0"/>
      <w:marRight w:val="0"/>
      <w:marTop w:val="0"/>
      <w:marBottom w:val="0"/>
      <w:divBdr>
        <w:top w:val="none" w:sz="0" w:space="0" w:color="auto"/>
        <w:left w:val="none" w:sz="0" w:space="0" w:color="auto"/>
        <w:bottom w:val="none" w:sz="0" w:space="0" w:color="auto"/>
        <w:right w:val="none" w:sz="0" w:space="0" w:color="auto"/>
      </w:divBdr>
    </w:div>
    <w:div w:id="1931229443">
      <w:bodyDiv w:val="1"/>
      <w:marLeft w:val="0"/>
      <w:marRight w:val="0"/>
      <w:marTop w:val="0"/>
      <w:marBottom w:val="0"/>
      <w:divBdr>
        <w:top w:val="none" w:sz="0" w:space="0" w:color="auto"/>
        <w:left w:val="none" w:sz="0" w:space="0" w:color="auto"/>
        <w:bottom w:val="none" w:sz="0" w:space="0" w:color="auto"/>
        <w:right w:val="none" w:sz="0" w:space="0" w:color="auto"/>
      </w:divBdr>
    </w:div>
    <w:div w:id="1931229930">
      <w:bodyDiv w:val="1"/>
      <w:marLeft w:val="0"/>
      <w:marRight w:val="0"/>
      <w:marTop w:val="0"/>
      <w:marBottom w:val="0"/>
      <w:divBdr>
        <w:top w:val="none" w:sz="0" w:space="0" w:color="auto"/>
        <w:left w:val="none" w:sz="0" w:space="0" w:color="auto"/>
        <w:bottom w:val="none" w:sz="0" w:space="0" w:color="auto"/>
        <w:right w:val="none" w:sz="0" w:space="0" w:color="auto"/>
      </w:divBdr>
    </w:div>
    <w:div w:id="1931353663">
      <w:bodyDiv w:val="1"/>
      <w:marLeft w:val="0"/>
      <w:marRight w:val="0"/>
      <w:marTop w:val="0"/>
      <w:marBottom w:val="0"/>
      <w:divBdr>
        <w:top w:val="none" w:sz="0" w:space="0" w:color="auto"/>
        <w:left w:val="none" w:sz="0" w:space="0" w:color="auto"/>
        <w:bottom w:val="none" w:sz="0" w:space="0" w:color="auto"/>
        <w:right w:val="none" w:sz="0" w:space="0" w:color="auto"/>
      </w:divBdr>
    </w:div>
    <w:div w:id="1931429104">
      <w:bodyDiv w:val="1"/>
      <w:marLeft w:val="0"/>
      <w:marRight w:val="0"/>
      <w:marTop w:val="0"/>
      <w:marBottom w:val="0"/>
      <w:divBdr>
        <w:top w:val="none" w:sz="0" w:space="0" w:color="auto"/>
        <w:left w:val="none" w:sz="0" w:space="0" w:color="auto"/>
        <w:bottom w:val="none" w:sz="0" w:space="0" w:color="auto"/>
        <w:right w:val="none" w:sz="0" w:space="0" w:color="auto"/>
      </w:divBdr>
    </w:div>
    <w:div w:id="1931499113">
      <w:bodyDiv w:val="1"/>
      <w:marLeft w:val="0"/>
      <w:marRight w:val="0"/>
      <w:marTop w:val="0"/>
      <w:marBottom w:val="0"/>
      <w:divBdr>
        <w:top w:val="none" w:sz="0" w:space="0" w:color="auto"/>
        <w:left w:val="none" w:sz="0" w:space="0" w:color="auto"/>
        <w:bottom w:val="none" w:sz="0" w:space="0" w:color="auto"/>
        <w:right w:val="none" w:sz="0" w:space="0" w:color="auto"/>
      </w:divBdr>
    </w:div>
    <w:div w:id="1931573817">
      <w:bodyDiv w:val="1"/>
      <w:marLeft w:val="0"/>
      <w:marRight w:val="0"/>
      <w:marTop w:val="0"/>
      <w:marBottom w:val="0"/>
      <w:divBdr>
        <w:top w:val="none" w:sz="0" w:space="0" w:color="auto"/>
        <w:left w:val="none" w:sz="0" w:space="0" w:color="auto"/>
        <w:bottom w:val="none" w:sz="0" w:space="0" w:color="auto"/>
        <w:right w:val="none" w:sz="0" w:space="0" w:color="auto"/>
      </w:divBdr>
    </w:div>
    <w:div w:id="1931620639">
      <w:bodyDiv w:val="1"/>
      <w:marLeft w:val="0"/>
      <w:marRight w:val="0"/>
      <w:marTop w:val="0"/>
      <w:marBottom w:val="0"/>
      <w:divBdr>
        <w:top w:val="none" w:sz="0" w:space="0" w:color="auto"/>
        <w:left w:val="none" w:sz="0" w:space="0" w:color="auto"/>
        <w:bottom w:val="none" w:sz="0" w:space="0" w:color="auto"/>
        <w:right w:val="none" w:sz="0" w:space="0" w:color="auto"/>
      </w:divBdr>
    </w:div>
    <w:div w:id="1931624351">
      <w:bodyDiv w:val="1"/>
      <w:marLeft w:val="0"/>
      <w:marRight w:val="0"/>
      <w:marTop w:val="0"/>
      <w:marBottom w:val="0"/>
      <w:divBdr>
        <w:top w:val="none" w:sz="0" w:space="0" w:color="auto"/>
        <w:left w:val="none" w:sz="0" w:space="0" w:color="auto"/>
        <w:bottom w:val="none" w:sz="0" w:space="0" w:color="auto"/>
        <w:right w:val="none" w:sz="0" w:space="0" w:color="auto"/>
      </w:divBdr>
    </w:div>
    <w:div w:id="1931815861">
      <w:bodyDiv w:val="1"/>
      <w:marLeft w:val="0"/>
      <w:marRight w:val="0"/>
      <w:marTop w:val="0"/>
      <w:marBottom w:val="0"/>
      <w:divBdr>
        <w:top w:val="none" w:sz="0" w:space="0" w:color="auto"/>
        <w:left w:val="none" w:sz="0" w:space="0" w:color="auto"/>
        <w:bottom w:val="none" w:sz="0" w:space="0" w:color="auto"/>
        <w:right w:val="none" w:sz="0" w:space="0" w:color="auto"/>
      </w:divBdr>
    </w:div>
    <w:div w:id="1931886016">
      <w:bodyDiv w:val="1"/>
      <w:marLeft w:val="0"/>
      <w:marRight w:val="0"/>
      <w:marTop w:val="0"/>
      <w:marBottom w:val="0"/>
      <w:divBdr>
        <w:top w:val="none" w:sz="0" w:space="0" w:color="auto"/>
        <w:left w:val="none" w:sz="0" w:space="0" w:color="auto"/>
        <w:bottom w:val="none" w:sz="0" w:space="0" w:color="auto"/>
        <w:right w:val="none" w:sz="0" w:space="0" w:color="auto"/>
      </w:divBdr>
    </w:div>
    <w:div w:id="1931886995">
      <w:bodyDiv w:val="1"/>
      <w:marLeft w:val="0"/>
      <w:marRight w:val="0"/>
      <w:marTop w:val="0"/>
      <w:marBottom w:val="0"/>
      <w:divBdr>
        <w:top w:val="none" w:sz="0" w:space="0" w:color="auto"/>
        <w:left w:val="none" w:sz="0" w:space="0" w:color="auto"/>
        <w:bottom w:val="none" w:sz="0" w:space="0" w:color="auto"/>
        <w:right w:val="none" w:sz="0" w:space="0" w:color="auto"/>
      </w:divBdr>
    </w:div>
    <w:div w:id="1931890130">
      <w:bodyDiv w:val="1"/>
      <w:marLeft w:val="0"/>
      <w:marRight w:val="0"/>
      <w:marTop w:val="0"/>
      <w:marBottom w:val="0"/>
      <w:divBdr>
        <w:top w:val="none" w:sz="0" w:space="0" w:color="auto"/>
        <w:left w:val="none" w:sz="0" w:space="0" w:color="auto"/>
        <w:bottom w:val="none" w:sz="0" w:space="0" w:color="auto"/>
        <w:right w:val="none" w:sz="0" w:space="0" w:color="auto"/>
      </w:divBdr>
    </w:div>
    <w:div w:id="1931892918">
      <w:bodyDiv w:val="1"/>
      <w:marLeft w:val="0"/>
      <w:marRight w:val="0"/>
      <w:marTop w:val="0"/>
      <w:marBottom w:val="0"/>
      <w:divBdr>
        <w:top w:val="none" w:sz="0" w:space="0" w:color="auto"/>
        <w:left w:val="none" w:sz="0" w:space="0" w:color="auto"/>
        <w:bottom w:val="none" w:sz="0" w:space="0" w:color="auto"/>
        <w:right w:val="none" w:sz="0" w:space="0" w:color="auto"/>
      </w:divBdr>
    </w:div>
    <w:div w:id="1932007219">
      <w:bodyDiv w:val="1"/>
      <w:marLeft w:val="0"/>
      <w:marRight w:val="0"/>
      <w:marTop w:val="0"/>
      <w:marBottom w:val="0"/>
      <w:divBdr>
        <w:top w:val="none" w:sz="0" w:space="0" w:color="auto"/>
        <w:left w:val="none" w:sz="0" w:space="0" w:color="auto"/>
        <w:bottom w:val="none" w:sz="0" w:space="0" w:color="auto"/>
        <w:right w:val="none" w:sz="0" w:space="0" w:color="auto"/>
      </w:divBdr>
    </w:div>
    <w:div w:id="1932080052">
      <w:bodyDiv w:val="1"/>
      <w:marLeft w:val="0"/>
      <w:marRight w:val="0"/>
      <w:marTop w:val="0"/>
      <w:marBottom w:val="0"/>
      <w:divBdr>
        <w:top w:val="none" w:sz="0" w:space="0" w:color="auto"/>
        <w:left w:val="none" w:sz="0" w:space="0" w:color="auto"/>
        <w:bottom w:val="none" w:sz="0" w:space="0" w:color="auto"/>
        <w:right w:val="none" w:sz="0" w:space="0" w:color="auto"/>
      </w:divBdr>
    </w:div>
    <w:div w:id="1932158416">
      <w:bodyDiv w:val="1"/>
      <w:marLeft w:val="0"/>
      <w:marRight w:val="0"/>
      <w:marTop w:val="0"/>
      <w:marBottom w:val="0"/>
      <w:divBdr>
        <w:top w:val="none" w:sz="0" w:space="0" w:color="auto"/>
        <w:left w:val="none" w:sz="0" w:space="0" w:color="auto"/>
        <w:bottom w:val="none" w:sz="0" w:space="0" w:color="auto"/>
        <w:right w:val="none" w:sz="0" w:space="0" w:color="auto"/>
      </w:divBdr>
    </w:div>
    <w:div w:id="1932200256">
      <w:bodyDiv w:val="1"/>
      <w:marLeft w:val="0"/>
      <w:marRight w:val="0"/>
      <w:marTop w:val="0"/>
      <w:marBottom w:val="0"/>
      <w:divBdr>
        <w:top w:val="none" w:sz="0" w:space="0" w:color="auto"/>
        <w:left w:val="none" w:sz="0" w:space="0" w:color="auto"/>
        <w:bottom w:val="none" w:sz="0" w:space="0" w:color="auto"/>
        <w:right w:val="none" w:sz="0" w:space="0" w:color="auto"/>
      </w:divBdr>
    </w:div>
    <w:div w:id="1932274222">
      <w:bodyDiv w:val="1"/>
      <w:marLeft w:val="0"/>
      <w:marRight w:val="0"/>
      <w:marTop w:val="0"/>
      <w:marBottom w:val="0"/>
      <w:divBdr>
        <w:top w:val="none" w:sz="0" w:space="0" w:color="auto"/>
        <w:left w:val="none" w:sz="0" w:space="0" w:color="auto"/>
        <w:bottom w:val="none" w:sz="0" w:space="0" w:color="auto"/>
        <w:right w:val="none" w:sz="0" w:space="0" w:color="auto"/>
      </w:divBdr>
    </w:div>
    <w:div w:id="1932274734">
      <w:bodyDiv w:val="1"/>
      <w:marLeft w:val="0"/>
      <w:marRight w:val="0"/>
      <w:marTop w:val="0"/>
      <w:marBottom w:val="0"/>
      <w:divBdr>
        <w:top w:val="none" w:sz="0" w:space="0" w:color="auto"/>
        <w:left w:val="none" w:sz="0" w:space="0" w:color="auto"/>
        <w:bottom w:val="none" w:sz="0" w:space="0" w:color="auto"/>
        <w:right w:val="none" w:sz="0" w:space="0" w:color="auto"/>
      </w:divBdr>
    </w:div>
    <w:div w:id="1932355374">
      <w:bodyDiv w:val="1"/>
      <w:marLeft w:val="0"/>
      <w:marRight w:val="0"/>
      <w:marTop w:val="0"/>
      <w:marBottom w:val="0"/>
      <w:divBdr>
        <w:top w:val="none" w:sz="0" w:space="0" w:color="auto"/>
        <w:left w:val="none" w:sz="0" w:space="0" w:color="auto"/>
        <w:bottom w:val="none" w:sz="0" w:space="0" w:color="auto"/>
        <w:right w:val="none" w:sz="0" w:space="0" w:color="auto"/>
      </w:divBdr>
    </w:div>
    <w:div w:id="1932395662">
      <w:bodyDiv w:val="1"/>
      <w:marLeft w:val="0"/>
      <w:marRight w:val="0"/>
      <w:marTop w:val="0"/>
      <w:marBottom w:val="0"/>
      <w:divBdr>
        <w:top w:val="none" w:sz="0" w:space="0" w:color="auto"/>
        <w:left w:val="none" w:sz="0" w:space="0" w:color="auto"/>
        <w:bottom w:val="none" w:sz="0" w:space="0" w:color="auto"/>
        <w:right w:val="none" w:sz="0" w:space="0" w:color="auto"/>
      </w:divBdr>
    </w:div>
    <w:div w:id="1932397260">
      <w:bodyDiv w:val="1"/>
      <w:marLeft w:val="0"/>
      <w:marRight w:val="0"/>
      <w:marTop w:val="0"/>
      <w:marBottom w:val="0"/>
      <w:divBdr>
        <w:top w:val="none" w:sz="0" w:space="0" w:color="auto"/>
        <w:left w:val="none" w:sz="0" w:space="0" w:color="auto"/>
        <w:bottom w:val="none" w:sz="0" w:space="0" w:color="auto"/>
        <w:right w:val="none" w:sz="0" w:space="0" w:color="auto"/>
      </w:divBdr>
    </w:div>
    <w:div w:id="1932425876">
      <w:bodyDiv w:val="1"/>
      <w:marLeft w:val="0"/>
      <w:marRight w:val="0"/>
      <w:marTop w:val="0"/>
      <w:marBottom w:val="0"/>
      <w:divBdr>
        <w:top w:val="none" w:sz="0" w:space="0" w:color="auto"/>
        <w:left w:val="none" w:sz="0" w:space="0" w:color="auto"/>
        <w:bottom w:val="none" w:sz="0" w:space="0" w:color="auto"/>
        <w:right w:val="none" w:sz="0" w:space="0" w:color="auto"/>
      </w:divBdr>
    </w:div>
    <w:div w:id="1932427164">
      <w:bodyDiv w:val="1"/>
      <w:marLeft w:val="0"/>
      <w:marRight w:val="0"/>
      <w:marTop w:val="0"/>
      <w:marBottom w:val="0"/>
      <w:divBdr>
        <w:top w:val="none" w:sz="0" w:space="0" w:color="auto"/>
        <w:left w:val="none" w:sz="0" w:space="0" w:color="auto"/>
        <w:bottom w:val="none" w:sz="0" w:space="0" w:color="auto"/>
        <w:right w:val="none" w:sz="0" w:space="0" w:color="auto"/>
      </w:divBdr>
    </w:div>
    <w:div w:id="1932471858">
      <w:bodyDiv w:val="1"/>
      <w:marLeft w:val="0"/>
      <w:marRight w:val="0"/>
      <w:marTop w:val="0"/>
      <w:marBottom w:val="0"/>
      <w:divBdr>
        <w:top w:val="none" w:sz="0" w:space="0" w:color="auto"/>
        <w:left w:val="none" w:sz="0" w:space="0" w:color="auto"/>
        <w:bottom w:val="none" w:sz="0" w:space="0" w:color="auto"/>
        <w:right w:val="none" w:sz="0" w:space="0" w:color="auto"/>
      </w:divBdr>
    </w:div>
    <w:div w:id="1932472368">
      <w:bodyDiv w:val="1"/>
      <w:marLeft w:val="0"/>
      <w:marRight w:val="0"/>
      <w:marTop w:val="0"/>
      <w:marBottom w:val="0"/>
      <w:divBdr>
        <w:top w:val="none" w:sz="0" w:space="0" w:color="auto"/>
        <w:left w:val="none" w:sz="0" w:space="0" w:color="auto"/>
        <w:bottom w:val="none" w:sz="0" w:space="0" w:color="auto"/>
        <w:right w:val="none" w:sz="0" w:space="0" w:color="auto"/>
      </w:divBdr>
    </w:div>
    <w:div w:id="1932617441">
      <w:bodyDiv w:val="1"/>
      <w:marLeft w:val="0"/>
      <w:marRight w:val="0"/>
      <w:marTop w:val="0"/>
      <w:marBottom w:val="0"/>
      <w:divBdr>
        <w:top w:val="none" w:sz="0" w:space="0" w:color="auto"/>
        <w:left w:val="none" w:sz="0" w:space="0" w:color="auto"/>
        <w:bottom w:val="none" w:sz="0" w:space="0" w:color="auto"/>
        <w:right w:val="none" w:sz="0" w:space="0" w:color="auto"/>
      </w:divBdr>
    </w:div>
    <w:div w:id="1932620287">
      <w:bodyDiv w:val="1"/>
      <w:marLeft w:val="0"/>
      <w:marRight w:val="0"/>
      <w:marTop w:val="0"/>
      <w:marBottom w:val="0"/>
      <w:divBdr>
        <w:top w:val="none" w:sz="0" w:space="0" w:color="auto"/>
        <w:left w:val="none" w:sz="0" w:space="0" w:color="auto"/>
        <w:bottom w:val="none" w:sz="0" w:space="0" w:color="auto"/>
        <w:right w:val="none" w:sz="0" w:space="0" w:color="auto"/>
      </w:divBdr>
    </w:div>
    <w:div w:id="1932659395">
      <w:bodyDiv w:val="1"/>
      <w:marLeft w:val="0"/>
      <w:marRight w:val="0"/>
      <w:marTop w:val="0"/>
      <w:marBottom w:val="0"/>
      <w:divBdr>
        <w:top w:val="none" w:sz="0" w:space="0" w:color="auto"/>
        <w:left w:val="none" w:sz="0" w:space="0" w:color="auto"/>
        <w:bottom w:val="none" w:sz="0" w:space="0" w:color="auto"/>
        <w:right w:val="none" w:sz="0" w:space="0" w:color="auto"/>
      </w:divBdr>
    </w:div>
    <w:div w:id="1932661331">
      <w:bodyDiv w:val="1"/>
      <w:marLeft w:val="0"/>
      <w:marRight w:val="0"/>
      <w:marTop w:val="0"/>
      <w:marBottom w:val="0"/>
      <w:divBdr>
        <w:top w:val="none" w:sz="0" w:space="0" w:color="auto"/>
        <w:left w:val="none" w:sz="0" w:space="0" w:color="auto"/>
        <w:bottom w:val="none" w:sz="0" w:space="0" w:color="auto"/>
        <w:right w:val="none" w:sz="0" w:space="0" w:color="auto"/>
      </w:divBdr>
    </w:div>
    <w:div w:id="1932815954">
      <w:bodyDiv w:val="1"/>
      <w:marLeft w:val="0"/>
      <w:marRight w:val="0"/>
      <w:marTop w:val="0"/>
      <w:marBottom w:val="0"/>
      <w:divBdr>
        <w:top w:val="none" w:sz="0" w:space="0" w:color="auto"/>
        <w:left w:val="none" w:sz="0" w:space="0" w:color="auto"/>
        <w:bottom w:val="none" w:sz="0" w:space="0" w:color="auto"/>
        <w:right w:val="none" w:sz="0" w:space="0" w:color="auto"/>
      </w:divBdr>
    </w:div>
    <w:div w:id="1932930402">
      <w:bodyDiv w:val="1"/>
      <w:marLeft w:val="0"/>
      <w:marRight w:val="0"/>
      <w:marTop w:val="0"/>
      <w:marBottom w:val="0"/>
      <w:divBdr>
        <w:top w:val="none" w:sz="0" w:space="0" w:color="auto"/>
        <w:left w:val="none" w:sz="0" w:space="0" w:color="auto"/>
        <w:bottom w:val="none" w:sz="0" w:space="0" w:color="auto"/>
        <w:right w:val="none" w:sz="0" w:space="0" w:color="auto"/>
      </w:divBdr>
    </w:div>
    <w:div w:id="1933008659">
      <w:bodyDiv w:val="1"/>
      <w:marLeft w:val="0"/>
      <w:marRight w:val="0"/>
      <w:marTop w:val="0"/>
      <w:marBottom w:val="0"/>
      <w:divBdr>
        <w:top w:val="none" w:sz="0" w:space="0" w:color="auto"/>
        <w:left w:val="none" w:sz="0" w:space="0" w:color="auto"/>
        <w:bottom w:val="none" w:sz="0" w:space="0" w:color="auto"/>
        <w:right w:val="none" w:sz="0" w:space="0" w:color="auto"/>
      </w:divBdr>
    </w:div>
    <w:div w:id="1933052247">
      <w:bodyDiv w:val="1"/>
      <w:marLeft w:val="0"/>
      <w:marRight w:val="0"/>
      <w:marTop w:val="0"/>
      <w:marBottom w:val="0"/>
      <w:divBdr>
        <w:top w:val="none" w:sz="0" w:space="0" w:color="auto"/>
        <w:left w:val="none" w:sz="0" w:space="0" w:color="auto"/>
        <w:bottom w:val="none" w:sz="0" w:space="0" w:color="auto"/>
        <w:right w:val="none" w:sz="0" w:space="0" w:color="auto"/>
      </w:divBdr>
    </w:div>
    <w:div w:id="1933127897">
      <w:bodyDiv w:val="1"/>
      <w:marLeft w:val="0"/>
      <w:marRight w:val="0"/>
      <w:marTop w:val="0"/>
      <w:marBottom w:val="0"/>
      <w:divBdr>
        <w:top w:val="none" w:sz="0" w:space="0" w:color="auto"/>
        <w:left w:val="none" w:sz="0" w:space="0" w:color="auto"/>
        <w:bottom w:val="none" w:sz="0" w:space="0" w:color="auto"/>
        <w:right w:val="none" w:sz="0" w:space="0" w:color="auto"/>
      </w:divBdr>
    </w:div>
    <w:div w:id="1933128930">
      <w:bodyDiv w:val="1"/>
      <w:marLeft w:val="0"/>
      <w:marRight w:val="0"/>
      <w:marTop w:val="0"/>
      <w:marBottom w:val="0"/>
      <w:divBdr>
        <w:top w:val="none" w:sz="0" w:space="0" w:color="auto"/>
        <w:left w:val="none" w:sz="0" w:space="0" w:color="auto"/>
        <w:bottom w:val="none" w:sz="0" w:space="0" w:color="auto"/>
        <w:right w:val="none" w:sz="0" w:space="0" w:color="auto"/>
      </w:divBdr>
    </w:div>
    <w:div w:id="1933312872">
      <w:bodyDiv w:val="1"/>
      <w:marLeft w:val="0"/>
      <w:marRight w:val="0"/>
      <w:marTop w:val="0"/>
      <w:marBottom w:val="0"/>
      <w:divBdr>
        <w:top w:val="none" w:sz="0" w:space="0" w:color="auto"/>
        <w:left w:val="none" w:sz="0" w:space="0" w:color="auto"/>
        <w:bottom w:val="none" w:sz="0" w:space="0" w:color="auto"/>
        <w:right w:val="none" w:sz="0" w:space="0" w:color="auto"/>
      </w:divBdr>
    </w:div>
    <w:div w:id="1933315269">
      <w:bodyDiv w:val="1"/>
      <w:marLeft w:val="0"/>
      <w:marRight w:val="0"/>
      <w:marTop w:val="0"/>
      <w:marBottom w:val="0"/>
      <w:divBdr>
        <w:top w:val="none" w:sz="0" w:space="0" w:color="auto"/>
        <w:left w:val="none" w:sz="0" w:space="0" w:color="auto"/>
        <w:bottom w:val="none" w:sz="0" w:space="0" w:color="auto"/>
        <w:right w:val="none" w:sz="0" w:space="0" w:color="auto"/>
      </w:divBdr>
    </w:div>
    <w:div w:id="1933391551">
      <w:bodyDiv w:val="1"/>
      <w:marLeft w:val="0"/>
      <w:marRight w:val="0"/>
      <w:marTop w:val="0"/>
      <w:marBottom w:val="0"/>
      <w:divBdr>
        <w:top w:val="none" w:sz="0" w:space="0" w:color="auto"/>
        <w:left w:val="none" w:sz="0" w:space="0" w:color="auto"/>
        <w:bottom w:val="none" w:sz="0" w:space="0" w:color="auto"/>
        <w:right w:val="none" w:sz="0" w:space="0" w:color="auto"/>
      </w:divBdr>
    </w:div>
    <w:div w:id="1933465100">
      <w:bodyDiv w:val="1"/>
      <w:marLeft w:val="0"/>
      <w:marRight w:val="0"/>
      <w:marTop w:val="0"/>
      <w:marBottom w:val="0"/>
      <w:divBdr>
        <w:top w:val="none" w:sz="0" w:space="0" w:color="auto"/>
        <w:left w:val="none" w:sz="0" w:space="0" w:color="auto"/>
        <w:bottom w:val="none" w:sz="0" w:space="0" w:color="auto"/>
        <w:right w:val="none" w:sz="0" w:space="0" w:color="auto"/>
      </w:divBdr>
    </w:div>
    <w:div w:id="1933513229">
      <w:bodyDiv w:val="1"/>
      <w:marLeft w:val="0"/>
      <w:marRight w:val="0"/>
      <w:marTop w:val="0"/>
      <w:marBottom w:val="0"/>
      <w:divBdr>
        <w:top w:val="none" w:sz="0" w:space="0" w:color="auto"/>
        <w:left w:val="none" w:sz="0" w:space="0" w:color="auto"/>
        <w:bottom w:val="none" w:sz="0" w:space="0" w:color="auto"/>
        <w:right w:val="none" w:sz="0" w:space="0" w:color="auto"/>
      </w:divBdr>
    </w:div>
    <w:div w:id="1933541200">
      <w:bodyDiv w:val="1"/>
      <w:marLeft w:val="0"/>
      <w:marRight w:val="0"/>
      <w:marTop w:val="0"/>
      <w:marBottom w:val="0"/>
      <w:divBdr>
        <w:top w:val="none" w:sz="0" w:space="0" w:color="auto"/>
        <w:left w:val="none" w:sz="0" w:space="0" w:color="auto"/>
        <w:bottom w:val="none" w:sz="0" w:space="0" w:color="auto"/>
        <w:right w:val="none" w:sz="0" w:space="0" w:color="auto"/>
      </w:divBdr>
    </w:div>
    <w:div w:id="1933582998">
      <w:bodyDiv w:val="1"/>
      <w:marLeft w:val="0"/>
      <w:marRight w:val="0"/>
      <w:marTop w:val="0"/>
      <w:marBottom w:val="0"/>
      <w:divBdr>
        <w:top w:val="none" w:sz="0" w:space="0" w:color="auto"/>
        <w:left w:val="none" w:sz="0" w:space="0" w:color="auto"/>
        <w:bottom w:val="none" w:sz="0" w:space="0" w:color="auto"/>
        <w:right w:val="none" w:sz="0" w:space="0" w:color="auto"/>
      </w:divBdr>
    </w:div>
    <w:div w:id="1933586237">
      <w:bodyDiv w:val="1"/>
      <w:marLeft w:val="0"/>
      <w:marRight w:val="0"/>
      <w:marTop w:val="0"/>
      <w:marBottom w:val="0"/>
      <w:divBdr>
        <w:top w:val="none" w:sz="0" w:space="0" w:color="auto"/>
        <w:left w:val="none" w:sz="0" w:space="0" w:color="auto"/>
        <w:bottom w:val="none" w:sz="0" w:space="0" w:color="auto"/>
        <w:right w:val="none" w:sz="0" w:space="0" w:color="auto"/>
      </w:divBdr>
    </w:div>
    <w:div w:id="1933586541">
      <w:bodyDiv w:val="1"/>
      <w:marLeft w:val="0"/>
      <w:marRight w:val="0"/>
      <w:marTop w:val="0"/>
      <w:marBottom w:val="0"/>
      <w:divBdr>
        <w:top w:val="none" w:sz="0" w:space="0" w:color="auto"/>
        <w:left w:val="none" w:sz="0" w:space="0" w:color="auto"/>
        <w:bottom w:val="none" w:sz="0" w:space="0" w:color="auto"/>
        <w:right w:val="none" w:sz="0" w:space="0" w:color="auto"/>
      </w:divBdr>
    </w:div>
    <w:div w:id="1933589499">
      <w:bodyDiv w:val="1"/>
      <w:marLeft w:val="0"/>
      <w:marRight w:val="0"/>
      <w:marTop w:val="0"/>
      <w:marBottom w:val="0"/>
      <w:divBdr>
        <w:top w:val="none" w:sz="0" w:space="0" w:color="auto"/>
        <w:left w:val="none" w:sz="0" w:space="0" w:color="auto"/>
        <w:bottom w:val="none" w:sz="0" w:space="0" w:color="auto"/>
        <w:right w:val="none" w:sz="0" w:space="0" w:color="auto"/>
      </w:divBdr>
    </w:div>
    <w:div w:id="1933734352">
      <w:bodyDiv w:val="1"/>
      <w:marLeft w:val="0"/>
      <w:marRight w:val="0"/>
      <w:marTop w:val="0"/>
      <w:marBottom w:val="0"/>
      <w:divBdr>
        <w:top w:val="none" w:sz="0" w:space="0" w:color="auto"/>
        <w:left w:val="none" w:sz="0" w:space="0" w:color="auto"/>
        <w:bottom w:val="none" w:sz="0" w:space="0" w:color="auto"/>
        <w:right w:val="none" w:sz="0" w:space="0" w:color="auto"/>
      </w:divBdr>
    </w:div>
    <w:div w:id="1933851798">
      <w:bodyDiv w:val="1"/>
      <w:marLeft w:val="0"/>
      <w:marRight w:val="0"/>
      <w:marTop w:val="0"/>
      <w:marBottom w:val="0"/>
      <w:divBdr>
        <w:top w:val="none" w:sz="0" w:space="0" w:color="auto"/>
        <w:left w:val="none" w:sz="0" w:space="0" w:color="auto"/>
        <w:bottom w:val="none" w:sz="0" w:space="0" w:color="auto"/>
        <w:right w:val="none" w:sz="0" w:space="0" w:color="auto"/>
      </w:divBdr>
    </w:div>
    <w:div w:id="1933926596">
      <w:bodyDiv w:val="1"/>
      <w:marLeft w:val="0"/>
      <w:marRight w:val="0"/>
      <w:marTop w:val="0"/>
      <w:marBottom w:val="0"/>
      <w:divBdr>
        <w:top w:val="none" w:sz="0" w:space="0" w:color="auto"/>
        <w:left w:val="none" w:sz="0" w:space="0" w:color="auto"/>
        <w:bottom w:val="none" w:sz="0" w:space="0" w:color="auto"/>
        <w:right w:val="none" w:sz="0" w:space="0" w:color="auto"/>
      </w:divBdr>
    </w:div>
    <w:div w:id="1933970801">
      <w:bodyDiv w:val="1"/>
      <w:marLeft w:val="0"/>
      <w:marRight w:val="0"/>
      <w:marTop w:val="0"/>
      <w:marBottom w:val="0"/>
      <w:divBdr>
        <w:top w:val="none" w:sz="0" w:space="0" w:color="auto"/>
        <w:left w:val="none" w:sz="0" w:space="0" w:color="auto"/>
        <w:bottom w:val="none" w:sz="0" w:space="0" w:color="auto"/>
        <w:right w:val="none" w:sz="0" w:space="0" w:color="auto"/>
      </w:divBdr>
    </w:div>
    <w:div w:id="1933976747">
      <w:bodyDiv w:val="1"/>
      <w:marLeft w:val="0"/>
      <w:marRight w:val="0"/>
      <w:marTop w:val="0"/>
      <w:marBottom w:val="0"/>
      <w:divBdr>
        <w:top w:val="none" w:sz="0" w:space="0" w:color="auto"/>
        <w:left w:val="none" w:sz="0" w:space="0" w:color="auto"/>
        <w:bottom w:val="none" w:sz="0" w:space="0" w:color="auto"/>
        <w:right w:val="none" w:sz="0" w:space="0" w:color="auto"/>
      </w:divBdr>
    </w:div>
    <w:div w:id="1934239288">
      <w:bodyDiv w:val="1"/>
      <w:marLeft w:val="0"/>
      <w:marRight w:val="0"/>
      <w:marTop w:val="0"/>
      <w:marBottom w:val="0"/>
      <w:divBdr>
        <w:top w:val="none" w:sz="0" w:space="0" w:color="auto"/>
        <w:left w:val="none" w:sz="0" w:space="0" w:color="auto"/>
        <w:bottom w:val="none" w:sz="0" w:space="0" w:color="auto"/>
        <w:right w:val="none" w:sz="0" w:space="0" w:color="auto"/>
      </w:divBdr>
    </w:div>
    <w:div w:id="1934242486">
      <w:bodyDiv w:val="1"/>
      <w:marLeft w:val="0"/>
      <w:marRight w:val="0"/>
      <w:marTop w:val="0"/>
      <w:marBottom w:val="0"/>
      <w:divBdr>
        <w:top w:val="none" w:sz="0" w:space="0" w:color="auto"/>
        <w:left w:val="none" w:sz="0" w:space="0" w:color="auto"/>
        <w:bottom w:val="none" w:sz="0" w:space="0" w:color="auto"/>
        <w:right w:val="none" w:sz="0" w:space="0" w:color="auto"/>
      </w:divBdr>
    </w:div>
    <w:div w:id="1934314837">
      <w:bodyDiv w:val="1"/>
      <w:marLeft w:val="0"/>
      <w:marRight w:val="0"/>
      <w:marTop w:val="0"/>
      <w:marBottom w:val="0"/>
      <w:divBdr>
        <w:top w:val="none" w:sz="0" w:space="0" w:color="auto"/>
        <w:left w:val="none" w:sz="0" w:space="0" w:color="auto"/>
        <w:bottom w:val="none" w:sz="0" w:space="0" w:color="auto"/>
        <w:right w:val="none" w:sz="0" w:space="0" w:color="auto"/>
      </w:divBdr>
    </w:div>
    <w:div w:id="1934315528">
      <w:bodyDiv w:val="1"/>
      <w:marLeft w:val="0"/>
      <w:marRight w:val="0"/>
      <w:marTop w:val="0"/>
      <w:marBottom w:val="0"/>
      <w:divBdr>
        <w:top w:val="none" w:sz="0" w:space="0" w:color="auto"/>
        <w:left w:val="none" w:sz="0" w:space="0" w:color="auto"/>
        <w:bottom w:val="none" w:sz="0" w:space="0" w:color="auto"/>
        <w:right w:val="none" w:sz="0" w:space="0" w:color="auto"/>
      </w:divBdr>
    </w:div>
    <w:div w:id="1934434699">
      <w:bodyDiv w:val="1"/>
      <w:marLeft w:val="0"/>
      <w:marRight w:val="0"/>
      <w:marTop w:val="0"/>
      <w:marBottom w:val="0"/>
      <w:divBdr>
        <w:top w:val="none" w:sz="0" w:space="0" w:color="auto"/>
        <w:left w:val="none" w:sz="0" w:space="0" w:color="auto"/>
        <w:bottom w:val="none" w:sz="0" w:space="0" w:color="auto"/>
        <w:right w:val="none" w:sz="0" w:space="0" w:color="auto"/>
      </w:divBdr>
    </w:div>
    <w:div w:id="1934588229">
      <w:bodyDiv w:val="1"/>
      <w:marLeft w:val="0"/>
      <w:marRight w:val="0"/>
      <w:marTop w:val="0"/>
      <w:marBottom w:val="0"/>
      <w:divBdr>
        <w:top w:val="none" w:sz="0" w:space="0" w:color="auto"/>
        <w:left w:val="none" w:sz="0" w:space="0" w:color="auto"/>
        <w:bottom w:val="none" w:sz="0" w:space="0" w:color="auto"/>
        <w:right w:val="none" w:sz="0" w:space="0" w:color="auto"/>
      </w:divBdr>
    </w:div>
    <w:div w:id="1934623734">
      <w:bodyDiv w:val="1"/>
      <w:marLeft w:val="0"/>
      <w:marRight w:val="0"/>
      <w:marTop w:val="0"/>
      <w:marBottom w:val="0"/>
      <w:divBdr>
        <w:top w:val="none" w:sz="0" w:space="0" w:color="auto"/>
        <w:left w:val="none" w:sz="0" w:space="0" w:color="auto"/>
        <w:bottom w:val="none" w:sz="0" w:space="0" w:color="auto"/>
        <w:right w:val="none" w:sz="0" w:space="0" w:color="auto"/>
      </w:divBdr>
    </w:div>
    <w:div w:id="1934625947">
      <w:bodyDiv w:val="1"/>
      <w:marLeft w:val="0"/>
      <w:marRight w:val="0"/>
      <w:marTop w:val="0"/>
      <w:marBottom w:val="0"/>
      <w:divBdr>
        <w:top w:val="none" w:sz="0" w:space="0" w:color="auto"/>
        <w:left w:val="none" w:sz="0" w:space="0" w:color="auto"/>
        <w:bottom w:val="none" w:sz="0" w:space="0" w:color="auto"/>
        <w:right w:val="none" w:sz="0" w:space="0" w:color="auto"/>
      </w:divBdr>
    </w:div>
    <w:div w:id="1934704820">
      <w:bodyDiv w:val="1"/>
      <w:marLeft w:val="0"/>
      <w:marRight w:val="0"/>
      <w:marTop w:val="0"/>
      <w:marBottom w:val="0"/>
      <w:divBdr>
        <w:top w:val="none" w:sz="0" w:space="0" w:color="auto"/>
        <w:left w:val="none" w:sz="0" w:space="0" w:color="auto"/>
        <w:bottom w:val="none" w:sz="0" w:space="0" w:color="auto"/>
        <w:right w:val="none" w:sz="0" w:space="0" w:color="auto"/>
      </w:divBdr>
    </w:div>
    <w:div w:id="1934899250">
      <w:bodyDiv w:val="1"/>
      <w:marLeft w:val="0"/>
      <w:marRight w:val="0"/>
      <w:marTop w:val="0"/>
      <w:marBottom w:val="0"/>
      <w:divBdr>
        <w:top w:val="none" w:sz="0" w:space="0" w:color="auto"/>
        <w:left w:val="none" w:sz="0" w:space="0" w:color="auto"/>
        <w:bottom w:val="none" w:sz="0" w:space="0" w:color="auto"/>
        <w:right w:val="none" w:sz="0" w:space="0" w:color="auto"/>
      </w:divBdr>
    </w:div>
    <w:div w:id="1934969575">
      <w:bodyDiv w:val="1"/>
      <w:marLeft w:val="0"/>
      <w:marRight w:val="0"/>
      <w:marTop w:val="0"/>
      <w:marBottom w:val="0"/>
      <w:divBdr>
        <w:top w:val="none" w:sz="0" w:space="0" w:color="auto"/>
        <w:left w:val="none" w:sz="0" w:space="0" w:color="auto"/>
        <w:bottom w:val="none" w:sz="0" w:space="0" w:color="auto"/>
        <w:right w:val="none" w:sz="0" w:space="0" w:color="auto"/>
      </w:divBdr>
    </w:div>
    <w:div w:id="1935017819">
      <w:bodyDiv w:val="1"/>
      <w:marLeft w:val="0"/>
      <w:marRight w:val="0"/>
      <w:marTop w:val="0"/>
      <w:marBottom w:val="0"/>
      <w:divBdr>
        <w:top w:val="none" w:sz="0" w:space="0" w:color="auto"/>
        <w:left w:val="none" w:sz="0" w:space="0" w:color="auto"/>
        <w:bottom w:val="none" w:sz="0" w:space="0" w:color="auto"/>
        <w:right w:val="none" w:sz="0" w:space="0" w:color="auto"/>
      </w:divBdr>
    </w:div>
    <w:div w:id="1935086320">
      <w:bodyDiv w:val="1"/>
      <w:marLeft w:val="0"/>
      <w:marRight w:val="0"/>
      <w:marTop w:val="0"/>
      <w:marBottom w:val="0"/>
      <w:divBdr>
        <w:top w:val="none" w:sz="0" w:space="0" w:color="auto"/>
        <w:left w:val="none" w:sz="0" w:space="0" w:color="auto"/>
        <w:bottom w:val="none" w:sz="0" w:space="0" w:color="auto"/>
        <w:right w:val="none" w:sz="0" w:space="0" w:color="auto"/>
      </w:divBdr>
    </w:div>
    <w:div w:id="1935167732">
      <w:bodyDiv w:val="1"/>
      <w:marLeft w:val="0"/>
      <w:marRight w:val="0"/>
      <w:marTop w:val="0"/>
      <w:marBottom w:val="0"/>
      <w:divBdr>
        <w:top w:val="none" w:sz="0" w:space="0" w:color="auto"/>
        <w:left w:val="none" w:sz="0" w:space="0" w:color="auto"/>
        <w:bottom w:val="none" w:sz="0" w:space="0" w:color="auto"/>
        <w:right w:val="none" w:sz="0" w:space="0" w:color="auto"/>
      </w:divBdr>
    </w:div>
    <w:div w:id="1935242071">
      <w:bodyDiv w:val="1"/>
      <w:marLeft w:val="0"/>
      <w:marRight w:val="0"/>
      <w:marTop w:val="0"/>
      <w:marBottom w:val="0"/>
      <w:divBdr>
        <w:top w:val="none" w:sz="0" w:space="0" w:color="auto"/>
        <w:left w:val="none" w:sz="0" w:space="0" w:color="auto"/>
        <w:bottom w:val="none" w:sz="0" w:space="0" w:color="auto"/>
        <w:right w:val="none" w:sz="0" w:space="0" w:color="auto"/>
      </w:divBdr>
    </w:div>
    <w:div w:id="1935433435">
      <w:bodyDiv w:val="1"/>
      <w:marLeft w:val="0"/>
      <w:marRight w:val="0"/>
      <w:marTop w:val="0"/>
      <w:marBottom w:val="0"/>
      <w:divBdr>
        <w:top w:val="none" w:sz="0" w:space="0" w:color="auto"/>
        <w:left w:val="none" w:sz="0" w:space="0" w:color="auto"/>
        <w:bottom w:val="none" w:sz="0" w:space="0" w:color="auto"/>
        <w:right w:val="none" w:sz="0" w:space="0" w:color="auto"/>
      </w:divBdr>
    </w:div>
    <w:div w:id="1935434777">
      <w:bodyDiv w:val="1"/>
      <w:marLeft w:val="0"/>
      <w:marRight w:val="0"/>
      <w:marTop w:val="0"/>
      <w:marBottom w:val="0"/>
      <w:divBdr>
        <w:top w:val="none" w:sz="0" w:space="0" w:color="auto"/>
        <w:left w:val="none" w:sz="0" w:space="0" w:color="auto"/>
        <w:bottom w:val="none" w:sz="0" w:space="0" w:color="auto"/>
        <w:right w:val="none" w:sz="0" w:space="0" w:color="auto"/>
      </w:divBdr>
    </w:div>
    <w:div w:id="1935435139">
      <w:bodyDiv w:val="1"/>
      <w:marLeft w:val="0"/>
      <w:marRight w:val="0"/>
      <w:marTop w:val="0"/>
      <w:marBottom w:val="0"/>
      <w:divBdr>
        <w:top w:val="none" w:sz="0" w:space="0" w:color="auto"/>
        <w:left w:val="none" w:sz="0" w:space="0" w:color="auto"/>
        <w:bottom w:val="none" w:sz="0" w:space="0" w:color="auto"/>
        <w:right w:val="none" w:sz="0" w:space="0" w:color="auto"/>
      </w:divBdr>
    </w:div>
    <w:div w:id="1935436567">
      <w:bodyDiv w:val="1"/>
      <w:marLeft w:val="0"/>
      <w:marRight w:val="0"/>
      <w:marTop w:val="0"/>
      <w:marBottom w:val="0"/>
      <w:divBdr>
        <w:top w:val="none" w:sz="0" w:space="0" w:color="auto"/>
        <w:left w:val="none" w:sz="0" w:space="0" w:color="auto"/>
        <w:bottom w:val="none" w:sz="0" w:space="0" w:color="auto"/>
        <w:right w:val="none" w:sz="0" w:space="0" w:color="auto"/>
      </w:divBdr>
    </w:div>
    <w:div w:id="1935548432">
      <w:bodyDiv w:val="1"/>
      <w:marLeft w:val="0"/>
      <w:marRight w:val="0"/>
      <w:marTop w:val="0"/>
      <w:marBottom w:val="0"/>
      <w:divBdr>
        <w:top w:val="none" w:sz="0" w:space="0" w:color="auto"/>
        <w:left w:val="none" w:sz="0" w:space="0" w:color="auto"/>
        <w:bottom w:val="none" w:sz="0" w:space="0" w:color="auto"/>
        <w:right w:val="none" w:sz="0" w:space="0" w:color="auto"/>
      </w:divBdr>
    </w:div>
    <w:div w:id="1935553561">
      <w:bodyDiv w:val="1"/>
      <w:marLeft w:val="0"/>
      <w:marRight w:val="0"/>
      <w:marTop w:val="0"/>
      <w:marBottom w:val="0"/>
      <w:divBdr>
        <w:top w:val="none" w:sz="0" w:space="0" w:color="auto"/>
        <w:left w:val="none" w:sz="0" w:space="0" w:color="auto"/>
        <w:bottom w:val="none" w:sz="0" w:space="0" w:color="auto"/>
        <w:right w:val="none" w:sz="0" w:space="0" w:color="auto"/>
      </w:divBdr>
    </w:div>
    <w:div w:id="1935698460">
      <w:bodyDiv w:val="1"/>
      <w:marLeft w:val="0"/>
      <w:marRight w:val="0"/>
      <w:marTop w:val="0"/>
      <w:marBottom w:val="0"/>
      <w:divBdr>
        <w:top w:val="none" w:sz="0" w:space="0" w:color="auto"/>
        <w:left w:val="none" w:sz="0" w:space="0" w:color="auto"/>
        <w:bottom w:val="none" w:sz="0" w:space="0" w:color="auto"/>
        <w:right w:val="none" w:sz="0" w:space="0" w:color="auto"/>
      </w:divBdr>
    </w:div>
    <w:div w:id="1935703345">
      <w:bodyDiv w:val="1"/>
      <w:marLeft w:val="0"/>
      <w:marRight w:val="0"/>
      <w:marTop w:val="0"/>
      <w:marBottom w:val="0"/>
      <w:divBdr>
        <w:top w:val="none" w:sz="0" w:space="0" w:color="auto"/>
        <w:left w:val="none" w:sz="0" w:space="0" w:color="auto"/>
        <w:bottom w:val="none" w:sz="0" w:space="0" w:color="auto"/>
        <w:right w:val="none" w:sz="0" w:space="0" w:color="auto"/>
      </w:divBdr>
    </w:div>
    <w:div w:id="1935743896">
      <w:bodyDiv w:val="1"/>
      <w:marLeft w:val="0"/>
      <w:marRight w:val="0"/>
      <w:marTop w:val="0"/>
      <w:marBottom w:val="0"/>
      <w:divBdr>
        <w:top w:val="none" w:sz="0" w:space="0" w:color="auto"/>
        <w:left w:val="none" w:sz="0" w:space="0" w:color="auto"/>
        <w:bottom w:val="none" w:sz="0" w:space="0" w:color="auto"/>
        <w:right w:val="none" w:sz="0" w:space="0" w:color="auto"/>
      </w:divBdr>
    </w:div>
    <w:div w:id="1935935589">
      <w:bodyDiv w:val="1"/>
      <w:marLeft w:val="0"/>
      <w:marRight w:val="0"/>
      <w:marTop w:val="0"/>
      <w:marBottom w:val="0"/>
      <w:divBdr>
        <w:top w:val="none" w:sz="0" w:space="0" w:color="auto"/>
        <w:left w:val="none" w:sz="0" w:space="0" w:color="auto"/>
        <w:bottom w:val="none" w:sz="0" w:space="0" w:color="auto"/>
        <w:right w:val="none" w:sz="0" w:space="0" w:color="auto"/>
      </w:divBdr>
    </w:div>
    <w:div w:id="1935939436">
      <w:bodyDiv w:val="1"/>
      <w:marLeft w:val="0"/>
      <w:marRight w:val="0"/>
      <w:marTop w:val="0"/>
      <w:marBottom w:val="0"/>
      <w:divBdr>
        <w:top w:val="none" w:sz="0" w:space="0" w:color="auto"/>
        <w:left w:val="none" w:sz="0" w:space="0" w:color="auto"/>
        <w:bottom w:val="none" w:sz="0" w:space="0" w:color="auto"/>
        <w:right w:val="none" w:sz="0" w:space="0" w:color="auto"/>
      </w:divBdr>
    </w:div>
    <w:div w:id="1936009616">
      <w:bodyDiv w:val="1"/>
      <w:marLeft w:val="0"/>
      <w:marRight w:val="0"/>
      <w:marTop w:val="0"/>
      <w:marBottom w:val="0"/>
      <w:divBdr>
        <w:top w:val="none" w:sz="0" w:space="0" w:color="auto"/>
        <w:left w:val="none" w:sz="0" w:space="0" w:color="auto"/>
        <w:bottom w:val="none" w:sz="0" w:space="0" w:color="auto"/>
        <w:right w:val="none" w:sz="0" w:space="0" w:color="auto"/>
      </w:divBdr>
    </w:div>
    <w:div w:id="1936086133">
      <w:bodyDiv w:val="1"/>
      <w:marLeft w:val="0"/>
      <w:marRight w:val="0"/>
      <w:marTop w:val="0"/>
      <w:marBottom w:val="0"/>
      <w:divBdr>
        <w:top w:val="none" w:sz="0" w:space="0" w:color="auto"/>
        <w:left w:val="none" w:sz="0" w:space="0" w:color="auto"/>
        <w:bottom w:val="none" w:sz="0" w:space="0" w:color="auto"/>
        <w:right w:val="none" w:sz="0" w:space="0" w:color="auto"/>
      </w:divBdr>
    </w:div>
    <w:div w:id="1936133983">
      <w:bodyDiv w:val="1"/>
      <w:marLeft w:val="0"/>
      <w:marRight w:val="0"/>
      <w:marTop w:val="0"/>
      <w:marBottom w:val="0"/>
      <w:divBdr>
        <w:top w:val="none" w:sz="0" w:space="0" w:color="auto"/>
        <w:left w:val="none" w:sz="0" w:space="0" w:color="auto"/>
        <w:bottom w:val="none" w:sz="0" w:space="0" w:color="auto"/>
        <w:right w:val="none" w:sz="0" w:space="0" w:color="auto"/>
      </w:divBdr>
    </w:div>
    <w:div w:id="1936208155">
      <w:bodyDiv w:val="1"/>
      <w:marLeft w:val="0"/>
      <w:marRight w:val="0"/>
      <w:marTop w:val="0"/>
      <w:marBottom w:val="0"/>
      <w:divBdr>
        <w:top w:val="none" w:sz="0" w:space="0" w:color="auto"/>
        <w:left w:val="none" w:sz="0" w:space="0" w:color="auto"/>
        <w:bottom w:val="none" w:sz="0" w:space="0" w:color="auto"/>
        <w:right w:val="none" w:sz="0" w:space="0" w:color="auto"/>
      </w:divBdr>
    </w:div>
    <w:div w:id="1936211782">
      <w:bodyDiv w:val="1"/>
      <w:marLeft w:val="0"/>
      <w:marRight w:val="0"/>
      <w:marTop w:val="0"/>
      <w:marBottom w:val="0"/>
      <w:divBdr>
        <w:top w:val="none" w:sz="0" w:space="0" w:color="auto"/>
        <w:left w:val="none" w:sz="0" w:space="0" w:color="auto"/>
        <w:bottom w:val="none" w:sz="0" w:space="0" w:color="auto"/>
        <w:right w:val="none" w:sz="0" w:space="0" w:color="auto"/>
      </w:divBdr>
    </w:div>
    <w:div w:id="1936285509">
      <w:bodyDiv w:val="1"/>
      <w:marLeft w:val="0"/>
      <w:marRight w:val="0"/>
      <w:marTop w:val="0"/>
      <w:marBottom w:val="0"/>
      <w:divBdr>
        <w:top w:val="none" w:sz="0" w:space="0" w:color="auto"/>
        <w:left w:val="none" w:sz="0" w:space="0" w:color="auto"/>
        <w:bottom w:val="none" w:sz="0" w:space="0" w:color="auto"/>
        <w:right w:val="none" w:sz="0" w:space="0" w:color="auto"/>
      </w:divBdr>
    </w:div>
    <w:div w:id="1936357396">
      <w:bodyDiv w:val="1"/>
      <w:marLeft w:val="0"/>
      <w:marRight w:val="0"/>
      <w:marTop w:val="0"/>
      <w:marBottom w:val="0"/>
      <w:divBdr>
        <w:top w:val="none" w:sz="0" w:space="0" w:color="auto"/>
        <w:left w:val="none" w:sz="0" w:space="0" w:color="auto"/>
        <w:bottom w:val="none" w:sz="0" w:space="0" w:color="auto"/>
        <w:right w:val="none" w:sz="0" w:space="0" w:color="auto"/>
      </w:divBdr>
    </w:div>
    <w:div w:id="1936397637">
      <w:bodyDiv w:val="1"/>
      <w:marLeft w:val="0"/>
      <w:marRight w:val="0"/>
      <w:marTop w:val="0"/>
      <w:marBottom w:val="0"/>
      <w:divBdr>
        <w:top w:val="none" w:sz="0" w:space="0" w:color="auto"/>
        <w:left w:val="none" w:sz="0" w:space="0" w:color="auto"/>
        <w:bottom w:val="none" w:sz="0" w:space="0" w:color="auto"/>
        <w:right w:val="none" w:sz="0" w:space="0" w:color="auto"/>
      </w:divBdr>
    </w:div>
    <w:div w:id="1936474042">
      <w:bodyDiv w:val="1"/>
      <w:marLeft w:val="0"/>
      <w:marRight w:val="0"/>
      <w:marTop w:val="0"/>
      <w:marBottom w:val="0"/>
      <w:divBdr>
        <w:top w:val="none" w:sz="0" w:space="0" w:color="auto"/>
        <w:left w:val="none" w:sz="0" w:space="0" w:color="auto"/>
        <w:bottom w:val="none" w:sz="0" w:space="0" w:color="auto"/>
        <w:right w:val="none" w:sz="0" w:space="0" w:color="auto"/>
      </w:divBdr>
    </w:div>
    <w:div w:id="1936475618">
      <w:bodyDiv w:val="1"/>
      <w:marLeft w:val="0"/>
      <w:marRight w:val="0"/>
      <w:marTop w:val="0"/>
      <w:marBottom w:val="0"/>
      <w:divBdr>
        <w:top w:val="none" w:sz="0" w:space="0" w:color="auto"/>
        <w:left w:val="none" w:sz="0" w:space="0" w:color="auto"/>
        <w:bottom w:val="none" w:sz="0" w:space="0" w:color="auto"/>
        <w:right w:val="none" w:sz="0" w:space="0" w:color="auto"/>
      </w:divBdr>
    </w:div>
    <w:div w:id="1936479428">
      <w:bodyDiv w:val="1"/>
      <w:marLeft w:val="0"/>
      <w:marRight w:val="0"/>
      <w:marTop w:val="0"/>
      <w:marBottom w:val="0"/>
      <w:divBdr>
        <w:top w:val="none" w:sz="0" w:space="0" w:color="auto"/>
        <w:left w:val="none" w:sz="0" w:space="0" w:color="auto"/>
        <w:bottom w:val="none" w:sz="0" w:space="0" w:color="auto"/>
        <w:right w:val="none" w:sz="0" w:space="0" w:color="auto"/>
      </w:divBdr>
    </w:div>
    <w:div w:id="1936550548">
      <w:bodyDiv w:val="1"/>
      <w:marLeft w:val="0"/>
      <w:marRight w:val="0"/>
      <w:marTop w:val="0"/>
      <w:marBottom w:val="0"/>
      <w:divBdr>
        <w:top w:val="none" w:sz="0" w:space="0" w:color="auto"/>
        <w:left w:val="none" w:sz="0" w:space="0" w:color="auto"/>
        <w:bottom w:val="none" w:sz="0" w:space="0" w:color="auto"/>
        <w:right w:val="none" w:sz="0" w:space="0" w:color="auto"/>
      </w:divBdr>
    </w:div>
    <w:div w:id="1936552561">
      <w:bodyDiv w:val="1"/>
      <w:marLeft w:val="0"/>
      <w:marRight w:val="0"/>
      <w:marTop w:val="0"/>
      <w:marBottom w:val="0"/>
      <w:divBdr>
        <w:top w:val="none" w:sz="0" w:space="0" w:color="auto"/>
        <w:left w:val="none" w:sz="0" w:space="0" w:color="auto"/>
        <w:bottom w:val="none" w:sz="0" w:space="0" w:color="auto"/>
        <w:right w:val="none" w:sz="0" w:space="0" w:color="auto"/>
      </w:divBdr>
    </w:div>
    <w:div w:id="1936592262">
      <w:bodyDiv w:val="1"/>
      <w:marLeft w:val="0"/>
      <w:marRight w:val="0"/>
      <w:marTop w:val="0"/>
      <w:marBottom w:val="0"/>
      <w:divBdr>
        <w:top w:val="none" w:sz="0" w:space="0" w:color="auto"/>
        <w:left w:val="none" w:sz="0" w:space="0" w:color="auto"/>
        <w:bottom w:val="none" w:sz="0" w:space="0" w:color="auto"/>
        <w:right w:val="none" w:sz="0" w:space="0" w:color="auto"/>
      </w:divBdr>
    </w:div>
    <w:div w:id="1936665546">
      <w:bodyDiv w:val="1"/>
      <w:marLeft w:val="0"/>
      <w:marRight w:val="0"/>
      <w:marTop w:val="0"/>
      <w:marBottom w:val="0"/>
      <w:divBdr>
        <w:top w:val="none" w:sz="0" w:space="0" w:color="auto"/>
        <w:left w:val="none" w:sz="0" w:space="0" w:color="auto"/>
        <w:bottom w:val="none" w:sz="0" w:space="0" w:color="auto"/>
        <w:right w:val="none" w:sz="0" w:space="0" w:color="auto"/>
      </w:divBdr>
    </w:div>
    <w:div w:id="1936749487">
      <w:bodyDiv w:val="1"/>
      <w:marLeft w:val="0"/>
      <w:marRight w:val="0"/>
      <w:marTop w:val="0"/>
      <w:marBottom w:val="0"/>
      <w:divBdr>
        <w:top w:val="none" w:sz="0" w:space="0" w:color="auto"/>
        <w:left w:val="none" w:sz="0" w:space="0" w:color="auto"/>
        <w:bottom w:val="none" w:sz="0" w:space="0" w:color="auto"/>
        <w:right w:val="none" w:sz="0" w:space="0" w:color="auto"/>
      </w:divBdr>
    </w:div>
    <w:div w:id="1936935874">
      <w:bodyDiv w:val="1"/>
      <w:marLeft w:val="0"/>
      <w:marRight w:val="0"/>
      <w:marTop w:val="0"/>
      <w:marBottom w:val="0"/>
      <w:divBdr>
        <w:top w:val="none" w:sz="0" w:space="0" w:color="auto"/>
        <w:left w:val="none" w:sz="0" w:space="0" w:color="auto"/>
        <w:bottom w:val="none" w:sz="0" w:space="0" w:color="auto"/>
        <w:right w:val="none" w:sz="0" w:space="0" w:color="auto"/>
      </w:divBdr>
    </w:div>
    <w:div w:id="1936937716">
      <w:bodyDiv w:val="1"/>
      <w:marLeft w:val="0"/>
      <w:marRight w:val="0"/>
      <w:marTop w:val="0"/>
      <w:marBottom w:val="0"/>
      <w:divBdr>
        <w:top w:val="none" w:sz="0" w:space="0" w:color="auto"/>
        <w:left w:val="none" w:sz="0" w:space="0" w:color="auto"/>
        <w:bottom w:val="none" w:sz="0" w:space="0" w:color="auto"/>
        <w:right w:val="none" w:sz="0" w:space="0" w:color="auto"/>
      </w:divBdr>
    </w:div>
    <w:div w:id="1936938983">
      <w:bodyDiv w:val="1"/>
      <w:marLeft w:val="0"/>
      <w:marRight w:val="0"/>
      <w:marTop w:val="0"/>
      <w:marBottom w:val="0"/>
      <w:divBdr>
        <w:top w:val="none" w:sz="0" w:space="0" w:color="auto"/>
        <w:left w:val="none" w:sz="0" w:space="0" w:color="auto"/>
        <w:bottom w:val="none" w:sz="0" w:space="0" w:color="auto"/>
        <w:right w:val="none" w:sz="0" w:space="0" w:color="auto"/>
      </w:divBdr>
    </w:div>
    <w:div w:id="1936939206">
      <w:bodyDiv w:val="1"/>
      <w:marLeft w:val="0"/>
      <w:marRight w:val="0"/>
      <w:marTop w:val="0"/>
      <w:marBottom w:val="0"/>
      <w:divBdr>
        <w:top w:val="none" w:sz="0" w:space="0" w:color="auto"/>
        <w:left w:val="none" w:sz="0" w:space="0" w:color="auto"/>
        <w:bottom w:val="none" w:sz="0" w:space="0" w:color="auto"/>
        <w:right w:val="none" w:sz="0" w:space="0" w:color="auto"/>
      </w:divBdr>
    </w:div>
    <w:div w:id="1936984134">
      <w:bodyDiv w:val="1"/>
      <w:marLeft w:val="0"/>
      <w:marRight w:val="0"/>
      <w:marTop w:val="0"/>
      <w:marBottom w:val="0"/>
      <w:divBdr>
        <w:top w:val="none" w:sz="0" w:space="0" w:color="auto"/>
        <w:left w:val="none" w:sz="0" w:space="0" w:color="auto"/>
        <w:bottom w:val="none" w:sz="0" w:space="0" w:color="auto"/>
        <w:right w:val="none" w:sz="0" w:space="0" w:color="auto"/>
      </w:divBdr>
    </w:div>
    <w:div w:id="1937131902">
      <w:bodyDiv w:val="1"/>
      <w:marLeft w:val="0"/>
      <w:marRight w:val="0"/>
      <w:marTop w:val="0"/>
      <w:marBottom w:val="0"/>
      <w:divBdr>
        <w:top w:val="none" w:sz="0" w:space="0" w:color="auto"/>
        <w:left w:val="none" w:sz="0" w:space="0" w:color="auto"/>
        <w:bottom w:val="none" w:sz="0" w:space="0" w:color="auto"/>
        <w:right w:val="none" w:sz="0" w:space="0" w:color="auto"/>
      </w:divBdr>
    </w:div>
    <w:div w:id="1937519342">
      <w:bodyDiv w:val="1"/>
      <w:marLeft w:val="0"/>
      <w:marRight w:val="0"/>
      <w:marTop w:val="0"/>
      <w:marBottom w:val="0"/>
      <w:divBdr>
        <w:top w:val="none" w:sz="0" w:space="0" w:color="auto"/>
        <w:left w:val="none" w:sz="0" w:space="0" w:color="auto"/>
        <w:bottom w:val="none" w:sz="0" w:space="0" w:color="auto"/>
        <w:right w:val="none" w:sz="0" w:space="0" w:color="auto"/>
      </w:divBdr>
    </w:div>
    <w:div w:id="1937785538">
      <w:bodyDiv w:val="1"/>
      <w:marLeft w:val="0"/>
      <w:marRight w:val="0"/>
      <w:marTop w:val="0"/>
      <w:marBottom w:val="0"/>
      <w:divBdr>
        <w:top w:val="none" w:sz="0" w:space="0" w:color="auto"/>
        <w:left w:val="none" w:sz="0" w:space="0" w:color="auto"/>
        <w:bottom w:val="none" w:sz="0" w:space="0" w:color="auto"/>
        <w:right w:val="none" w:sz="0" w:space="0" w:color="auto"/>
      </w:divBdr>
    </w:div>
    <w:div w:id="1937860788">
      <w:bodyDiv w:val="1"/>
      <w:marLeft w:val="0"/>
      <w:marRight w:val="0"/>
      <w:marTop w:val="0"/>
      <w:marBottom w:val="0"/>
      <w:divBdr>
        <w:top w:val="none" w:sz="0" w:space="0" w:color="auto"/>
        <w:left w:val="none" w:sz="0" w:space="0" w:color="auto"/>
        <w:bottom w:val="none" w:sz="0" w:space="0" w:color="auto"/>
        <w:right w:val="none" w:sz="0" w:space="0" w:color="auto"/>
      </w:divBdr>
    </w:div>
    <w:div w:id="1937901922">
      <w:bodyDiv w:val="1"/>
      <w:marLeft w:val="0"/>
      <w:marRight w:val="0"/>
      <w:marTop w:val="0"/>
      <w:marBottom w:val="0"/>
      <w:divBdr>
        <w:top w:val="none" w:sz="0" w:space="0" w:color="auto"/>
        <w:left w:val="none" w:sz="0" w:space="0" w:color="auto"/>
        <w:bottom w:val="none" w:sz="0" w:space="0" w:color="auto"/>
        <w:right w:val="none" w:sz="0" w:space="0" w:color="auto"/>
      </w:divBdr>
    </w:div>
    <w:div w:id="1937908270">
      <w:bodyDiv w:val="1"/>
      <w:marLeft w:val="0"/>
      <w:marRight w:val="0"/>
      <w:marTop w:val="0"/>
      <w:marBottom w:val="0"/>
      <w:divBdr>
        <w:top w:val="none" w:sz="0" w:space="0" w:color="auto"/>
        <w:left w:val="none" w:sz="0" w:space="0" w:color="auto"/>
        <w:bottom w:val="none" w:sz="0" w:space="0" w:color="auto"/>
        <w:right w:val="none" w:sz="0" w:space="0" w:color="auto"/>
      </w:divBdr>
    </w:div>
    <w:div w:id="1937979986">
      <w:bodyDiv w:val="1"/>
      <w:marLeft w:val="0"/>
      <w:marRight w:val="0"/>
      <w:marTop w:val="0"/>
      <w:marBottom w:val="0"/>
      <w:divBdr>
        <w:top w:val="none" w:sz="0" w:space="0" w:color="auto"/>
        <w:left w:val="none" w:sz="0" w:space="0" w:color="auto"/>
        <w:bottom w:val="none" w:sz="0" w:space="0" w:color="auto"/>
        <w:right w:val="none" w:sz="0" w:space="0" w:color="auto"/>
      </w:divBdr>
    </w:div>
    <w:div w:id="1937981619">
      <w:bodyDiv w:val="1"/>
      <w:marLeft w:val="0"/>
      <w:marRight w:val="0"/>
      <w:marTop w:val="0"/>
      <w:marBottom w:val="0"/>
      <w:divBdr>
        <w:top w:val="none" w:sz="0" w:space="0" w:color="auto"/>
        <w:left w:val="none" w:sz="0" w:space="0" w:color="auto"/>
        <w:bottom w:val="none" w:sz="0" w:space="0" w:color="auto"/>
        <w:right w:val="none" w:sz="0" w:space="0" w:color="auto"/>
      </w:divBdr>
    </w:div>
    <w:div w:id="1938054792">
      <w:bodyDiv w:val="1"/>
      <w:marLeft w:val="0"/>
      <w:marRight w:val="0"/>
      <w:marTop w:val="0"/>
      <w:marBottom w:val="0"/>
      <w:divBdr>
        <w:top w:val="none" w:sz="0" w:space="0" w:color="auto"/>
        <w:left w:val="none" w:sz="0" w:space="0" w:color="auto"/>
        <w:bottom w:val="none" w:sz="0" w:space="0" w:color="auto"/>
        <w:right w:val="none" w:sz="0" w:space="0" w:color="auto"/>
      </w:divBdr>
    </w:div>
    <w:div w:id="1938248399">
      <w:bodyDiv w:val="1"/>
      <w:marLeft w:val="0"/>
      <w:marRight w:val="0"/>
      <w:marTop w:val="0"/>
      <w:marBottom w:val="0"/>
      <w:divBdr>
        <w:top w:val="none" w:sz="0" w:space="0" w:color="auto"/>
        <w:left w:val="none" w:sz="0" w:space="0" w:color="auto"/>
        <w:bottom w:val="none" w:sz="0" w:space="0" w:color="auto"/>
        <w:right w:val="none" w:sz="0" w:space="0" w:color="auto"/>
      </w:divBdr>
    </w:div>
    <w:div w:id="1938556938">
      <w:bodyDiv w:val="1"/>
      <w:marLeft w:val="0"/>
      <w:marRight w:val="0"/>
      <w:marTop w:val="0"/>
      <w:marBottom w:val="0"/>
      <w:divBdr>
        <w:top w:val="none" w:sz="0" w:space="0" w:color="auto"/>
        <w:left w:val="none" w:sz="0" w:space="0" w:color="auto"/>
        <w:bottom w:val="none" w:sz="0" w:space="0" w:color="auto"/>
        <w:right w:val="none" w:sz="0" w:space="0" w:color="auto"/>
      </w:divBdr>
    </w:div>
    <w:div w:id="1938706656">
      <w:bodyDiv w:val="1"/>
      <w:marLeft w:val="0"/>
      <w:marRight w:val="0"/>
      <w:marTop w:val="0"/>
      <w:marBottom w:val="0"/>
      <w:divBdr>
        <w:top w:val="none" w:sz="0" w:space="0" w:color="auto"/>
        <w:left w:val="none" w:sz="0" w:space="0" w:color="auto"/>
        <w:bottom w:val="none" w:sz="0" w:space="0" w:color="auto"/>
        <w:right w:val="none" w:sz="0" w:space="0" w:color="auto"/>
      </w:divBdr>
    </w:div>
    <w:div w:id="1938707268">
      <w:bodyDiv w:val="1"/>
      <w:marLeft w:val="0"/>
      <w:marRight w:val="0"/>
      <w:marTop w:val="0"/>
      <w:marBottom w:val="0"/>
      <w:divBdr>
        <w:top w:val="none" w:sz="0" w:space="0" w:color="auto"/>
        <w:left w:val="none" w:sz="0" w:space="0" w:color="auto"/>
        <w:bottom w:val="none" w:sz="0" w:space="0" w:color="auto"/>
        <w:right w:val="none" w:sz="0" w:space="0" w:color="auto"/>
      </w:divBdr>
    </w:div>
    <w:div w:id="1938783476">
      <w:bodyDiv w:val="1"/>
      <w:marLeft w:val="0"/>
      <w:marRight w:val="0"/>
      <w:marTop w:val="0"/>
      <w:marBottom w:val="0"/>
      <w:divBdr>
        <w:top w:val="none" w:sz="0" w:space="0" w:color="auto"/>
        <w:left w:val="none" w:sz="0" w:space="0" w:color="auto"/>
        <w:bottom w:val="none" w:sz="0" w:space="0" w:color="auto"/>
        <w:right w:val="none" w:sz="0" w:space="0" w:color="auto"/>
      </w:divBdr>
    </w:div>
    <w:div w:id="1938784147">
      <w:bodyDiv w:val="1"/>
      <w:marLeft w:val="0"/>
      <w:marRight w:val="0"/>
      <w:marTop w:val="0"/>
      <w:marBottom w:val="0"/>
      <w:divBdr>
        <w:top w:val="none" w:sz="0" w:space="0" w:color="auto"/>
        <w:left w:val="none" w:sz="0" w:space="0" w:color="auto"/>
        <w:bottom w:val="none" w:sz="0" w:space="0" w:color="auto"/>
        <w:right w:val="none" w:sz="0" w:space="0" w:color="auto"/>
      </w:divBdr>
    </w:div>
    <w:div w:id="1939025151">
      <w:bodyDiv w:val="1"/>
      <w:marLeft w:val="0"/>
      <w:marRight w:val="0"/>
      <w:marTop w:val="0"/>
      <w:marBottom w:val="0"/>
      <w:divBdr>
        <w:top w:val="none" w:sz="0" w:space="0" w:color="auto"/>
        <w:left w:val="none" w:sz="0" w:space="0" w:color="auto"/>
        <w:bottom w:val="none" w:sz="0" w:space="0" w:color="auto"/>
        <w:right w:val="none" w:sz="0" w:space="0" w:color="auto"/>
      </w:divBdr>
    </w:div>
    <w:div w:id="1939171250">
      <w:bodyDiv w:val="1"/>
      <w:marLeft w:val="0"/>
      <w:marRight w:val="0"/>
      <w:marTop w:val="0"/>
      <w:marBottom w:val="0"/>
      <w:divBdr>
        <w:top w:val="none" w:sz="0" w:space="0" w:color="auto"/>
        <w:left w:val="none" w:sz="0" w:space="0" w:color="auto"/>
        <w:bottom w:val="none" w:sz="0" w:space="0" w:color="auto"/>
        <w:right w:val="none" w:sz="0" w:space="0" w:color="auto"/>
      </w:divBdr>
    </w:div>
    <w:div w:id="1939172656">
      <w:bodyDiv w:val="1"/>
      <w:marLeft w:val="0"/>
      <w:marRight w:val="0"/>
      <w:marTop w:val="0"/>
      <w:marBottom w:val="0"/>
      <w:divBdr>
        <w:top w:val="none" w:sz="0" w:space="0" w:color="auto"/>
        <w:left w:val="none" w:sz="0" w:space="0" w:color="auto"/>
        <w:bottom w:val="none" w:sz="0" w:space="0" w:color="auto"/>
        <w:right w:val="none" w:sz="0" w:space="0" w:color="auto"/>
      </w:divBdr>
    </w:div>
    <w:div w:id="1939215979">
      <w:bodyDiv w:val="1"/>
      <w:marLeft w:val="0"/>
      <w:marRight w:val="0"/>
      <w:marTop w:val="0"/>
      <w:marBottom w:val="0"/>
      <w:divBdr>
        <w:top w:val="none" w:sz="0" w:space="0" w:color="auto"/>
        <w:left w:val="none" w:sz="0" w:space="0" w:color="auto"/>
        <w:bottom w:val="none" w:sz="0" w:space="0" w:color="auto"/>
        <w:right w:val="none" w:sz="0" w:space="0" w:color="auto"/>
      </w:divBdr>
    </w:div>
    <w:div w:id="1939291983">
      <w:bodyDiv w:val="1"/>
      <w:marLeft w:val="0"/>
      <w:marRight w:val="0"/>
      <w:marTop w:val="0"/>
      <w:marBottom w:val="0"/>
      <w:divBdr>
        <w:top w:val="none" w:sz="0" w:space="0" w:color="auto"/>
        <w:left w:val="none" w:sz="0" w:space="0" w:color="auto"/>
        <w:bottom w:val="none" w:sz="0" w:space="0" w:color="auto"/>
        <w:right w:val="none" w:sz="0" w:space="0" w:color="auto"/>
      </w:divBdr>
    </w:div>
    <w:div w:id="1939364442">
      <w:bodyDiv w:val="1"/>
      <w:marLeft w:val="0"/>
      <w:marRight w:val="0"/>
      <w:marTop w:val="0"/>
      <w:marBottom w:val="0"/>
      <w:divBdr>
        <w:top w:val="none" w:sz="0" w:space="0" w:color="auto"/>
        <w:left w:val="none" w:sz="0" w:space="0" w:color="auto"/>
        <w:bottom w:val="none" w:sz="0" w:space="0" w:color="auto"/>
        <w:right w:val="none" w:sz="0" w:space="0" w:color="auto"/>
      </w:divBdr>
    </w:div>
    <w:div w:id="1939368826">
      <w:bodyDiv w:val="1"/>
      <w:marLeft w:val="0"/>
      <w:marRight w:val="0"/>
      <w:marTop w:val="0"/>
      <w:marBottom w:val="0"/>
      <w:divBdr>
        <w:top w:val="none" w:sz="0" w:space="0" w:color="auto"/>
        <w:left w:val="none" w:sz="0" w:space="0" w:color="auto"/>
        <w:bottom w:val="none" w:sz="0" w:space="0" w:color="auto"/>
        <w:right w:val="none" w:sz="0" w:space="0" w:color="auto"/>
      </w:divBdr>
    </w:div>
    <w:div w:id="1939483830">
      <w:bodyDiv w:val="1"/>
      <w:marLeft w:val="0"/>
      <w:marRight w:val="0"/>
      <w:marTop w:val="0"/>
      <w:marBottom w:val="0"/>
      <w:divBdr>
        <w:top w:val="none" w:sz="0" w:space="0" w:color="auto"/>
        <w:left w:val="none" w:sz="0" w:space="0" w:color="auto"/>
        <w:bottom w:val="none" w:sz="0" w:space="0" w:color="auto"/>
        <w:right w:val="none" w:sz="0" w:space="0" w:color="auto"/>
      </w:divBdr>
    </w:div>
    <w:div w:id="1939557028">
      <w:bodyDiv w:val="1"/>
      <w:marLeft w:val="0"/>
      <w:marRight w:val="0"/>
      <w:marTop w:val="0"/>
      <w:marBottom w:val="0"/>
      <w:divBdr>
        <w:top w:val="none" w:sz="0" w:space="0" w:color="auto"/>
        <w:left w:val="none" w:sz="0" w:space="0" w:color="auto"/>
        <w:bottom w:val="none" w:sz="0" w:space="0" w:color="auto"/>
        <w:right w:val="none" w:sz="0" w:space="0" w:color="auto"/>
      </w:divBdr>
    </w:div>
    <w:div w:id="1939559339">
      <w:bodyDiv w:val="1"/>
      <w:marLeft w:val="0"/>
      <w:marRight w:val="0"/>
      <w:marTop w:val="0"/>
      <w:marBottom w:val="0"/>
      <w:divBdr>
        <w:top w:val="none" w:sz="0" w:space="0" w:color="auto"/>
        <w:left w:val="none" w:sz="0" w:space="0" w:color="auto"/>
        <w:bottom w:val="none" w:sz="0" w:space="0" w:color="auto"/>
        <w:right w:val="none" w:sz="0" w:space="0" w:color="auto"/>
      </w:divBdr>
    </w:div>
    <w:div w:id="1939635481">
      <w:bodyDiv w:val="1"/>
      <w:marLeft w:val="0"/>
      <w:marRight w:val="0"/>
      <w:marTop w:val="0"/>
      <w:marBottom w:val="0"/>
      <w:divBdr>
        <w:top w:val="none" w:sz="0" w:space="0" w:color="auto"/>
        <w:left w:val="none" w:sz="0" w:space="0" w:color="auto"/>
        <w:bottom w:val="none" w:sz="0" w:space="0" w:color="auto"/>
        <w:right w:val="none" w:sz="0" w:space="0" w:color="auto"/>
      </w:divBdr>
    </w:div>
    <w:div w:id="1939828196">
      <w:bodyDiv w:val="1"/>
      <w:marLeft w:val="0"/>
      <w:marRight w:val="0"/>
      <w:marTop w:val="0"/>
      <w:marBottom w:val="0"/>
      <w:divBdr>
        <w:top w:val="none" w:sz="0" w:space="0" w:color="auto"/>
        <w:left w:val="none" w:sz="0" w:space="0" w:color="auto"/>
        <w:bottom w:val="none" w:sz="0" w:space="0" w:color="auto"/>
        <w:right w:val="none" w:sz="0" w:space="0" w:color="auto"/>
      </w:divBdr>
    </w:div>
    <w:div w:id="1939873952">
      <w:bodyDiv w:val="1"/>
      <w:marLeft w:val="0"/>
      <w:marRight w:val="0"/>
      <w:marTop w:val="0"/>
      <w:marBottom w:val="0"/>
      <w:divBdr>
        <w:top w:val="none" w:sz="0" w:space="0" w:color="auto"/>
        <w:left w:val="none" w:sz="0" w:space="0" w:color="auto"/>
        <w:bottom w:val="none" w:sz="0" w:space="0" w:color="auto"/>
        <w:right w:val="none" w:sz="0" w:space="0" w:color="auto"/>
      </w:divBdr>
    </w:div>
    <w:div w:id="1940066614">
      <w:bodyDiv w:val="1"/>
      <w:marLeft w:val="0"/>
      <w:marRight w:val="0"/>
      <w:marTop w:val="0"/>
      <w:marBottom w:val="0"/>
      <w:divBdr>
        <w:top w:val="none" w:sz="0" w:space="0" w:color="auto"/>
        <w:left w:val="none" w:sz="0" w:space="0" w:color="auto"/>
        <w:bottom w:val="none" w:sz="0" w:space="0" w:color="auto"/>
        <w:right w:val="none" w:sz="0" w:space="0" w:color="auto"/>
      </w:divBdr>
    </w:div>
    <w:div w:id="1940141408">
      <w:bodyDiv w:val="1"/>
      <w:marLeft w:val="0"/>
      <w:marRight w:val="0"/>
      <w:marTop w:val="0"/>
      <w:marBottom w:val="0"/>
      <w:divBdr>
        <w:top w:val="none" w:sz="0" w:space="0" w:color="auto"/>
        <w:left w:val="none" w:sz="0" w:space="0" w:color="auto"/>
        <w:bottom w:val="none" w:sz="0" w:space="0" w:color="auto"/>
        <w:right w:val="none" w:sz="0" w:space="0" w:color="auto"/>
      </w:divBdr>
    </w:div>
    <w:div w:id="1940215610">
      <w:bodyDiv w:val="1"/>
      <w:marLeft w:val="0"/>
      <w:marRight w:val="0"/>
      <w:marTop w:val="0"/>
      <w:marBottom w:val="0"/>
      <w:divBdr>
        <w:top w:val="none" w:sz="0" w:space="0" w:color="auto"/>
        <w:left w:val="none" w:sz="0" w:space="0" w:color="auto"/>
        <w:bottom w:val="none" w:sz="0" w:space="0" w:color="auto"/>
        <w:right w:val="none" w:sz="0" w:space="0" w:color="auto"/>
      </w:divBdr>
    </w:div>
    <w:div w:id="1940287343">
      <w:bodyDiv w:val="1"/>
      <w:marLeft w:val="0"/>
      <w:marRight w:val="0"/>
      <w:marTop w:val="0"/>
      <w:marBottom w:val="0"/>
      <w:divBdr>
        <w:top w:val="none" w:sz="0" w:space="0" w:color="auto"/>
        <w:left w:val="none" w:sz="0" w:space="0" w:color="auto"/>
        <w:bottom w:val="none" w:sz="0" w:space="0" w:color="auto"/>
        <w:right w:val="none" w:sz="0" w:space="0" w:color="auto"/>
      </w:divBdr>
    </w:div>
    <w:div w:id="1940329560">
      <w:bodyDiv w:val="1"/>
      <w:marLeft w:val="0"/>
      <w:marRight w:val="0"/>
      <w:marTop w:val="0"/>
      <w:marBottom w:val="0"/>
      <w:divBdr>
        <w:top w:val="none" w:sz="0" w:space="0" w:color="auto"/>
        <w:left w:val="none" w:sz="0" w:space="0" w:color="auto"/>
        <w:bottom w:val="none" w:sz="0" w:space="0" w:color="auto"/>
        <w:right w:val="none" w:sz="0" w:space="0" w:color="auto"/>
      </w:divBdr>
    </w:div>
    <w:div w:id="1940409951">
      <w:bodyDiv w:val="1"/>
      <w:marLeft w:val="0"/>
      <w:marRight w:val="0"/>
      <w:marTop w:val="0"/>
      <w:marBottom w:val="0"/>
      <w:divBdr>
        <w:top w:val="none" w:sz="0" w:space="0" w:color="auto"/>
        <w:left w:val="none" w:sz="0" w:space="0" w:color="auto"/>
        <w:bottom w:val="none" w:sz="0" w:space="0" w:color="auto"/>
        <w:right w:val="none" w:sz="0" w:space="0" w:color="auto"/>
      </w:divBdr>
    </w:div>
    <w:div w:id="1940523305">
      <w:bodyDiv w:val="1"/>
      <w:marLeft w:val="0"/>
      <w:marRight w:val="0"/>
      <w:marTop w:val="0"/>
      <w:marBottom w:val="0"/>
      <w:divBdr>
        <w:top w:val="none" w:sz="0" w:space="0" w:color="auto"/>
        <w:left w:val="none" w:sz="0" w:space="0" w:color="auto"/>
        <w:bottom w:val="none" w:sz="0" w:space="0" w:color="auto"/>
        <w:right w:val="none" w:sz="0" w:space="0" w:color="auto"/>
      </w:divBdr>
    </w:div>
    <w:div w:id="1940525987">
      <w:bodyDiv w:val="1"/>
      <w:marLeft w:val="0"/>
      <w:marRight w:val="0"/>
      <w:marTop w:val="0"/>
      <w:marBottom w:val="0"/>
      <w:divBdr>
        <w:top w:val="none" w:sz="0" w:space="0" w:color="auto"/>
        <w:left w:val="none" w:sz="0" w:space="0" w:color="auto"/>
        <w:bottom w:val="none" w:sz="0" w:space="0" w:color="auto"/>
        <w:right w:val="none" w:sz="0" w:space="0" w:color="auto"/>
      </w:divBdr>
    </w:div>
    <w:div w:id="1940596475">
      <w:bodyDiv w:val="1"/>
      <w:marLeft w:val="0"/>
      <w:marRight w:val="0"/>
      <w:marTop w:val="0"/>
      <w:marBottom w:val="0"/>
      <w:divBdr>
        <w:top w:val="none" w:sz="0" w:space="0" w:color="auto"/>
        <w:left w:val="none" w:sz="0" w:space="0" w:color="auto"/>
        <w:bottom w:val="none" w:sz="0" w:space="0" w:color="auto"/>
        <w:right w:val="none" w:sz="0" w:space="0" w:color="auto"/>
      </w:divBdr>
    </w:div>
    <w:div w:id="1940599532">
      <w:bodyDiv w:val="1"/>
      <w:marLeft w:val="0"/>
      <w:marRight w:val="0"/>
      <w:marTop w:val="0"/>
      <w:marBottom w:val="0"/>
      <w:divBdr>
        <w:top w:val="none" w:sz="0" w:space="0" w:color="auto"/>
        <w:left w:val="none" w:sz="0" w:space="0" w:color="auto"/>
        <w:bottom w:val="none" w:sz="0" w:space="0" w:color="auto"/>
        <w:right w:val="none" w:sz="0" w:space="0" w:color="auto"/>
      </w:divBdr>
    </w:div>
    <w:div w:id="1940673338">
      <w:bodyDiv w:val="1"/>
      <w:marLeft w:val="0"/>
      <w:marRight w:val="0"/>
      <w:marTop w:val="0"/>
      <w:marBottom w:val="0"/>
      <w:divBdr>
        <w:top w:val="none" w:sz="0" w:space="0" w:color="auto"/>
        <w:left w:val="none" w:sz="0" w:space="0" w:color="auto"/>
        <w:bottom w:val="none" w:sz="0" w:space="0" w:color="auto"/>
        <w:right w:val="none" w:sz="0" w:space="0" w:color="auto"/>
      </w:divBdr>
    </w:div>
    <w:div w:id="1940674711">
      <w:bodyDiv w:val="1"/>
      <w:marLeft w:val="0"/>
      <w:marRight w:val="0"/>
      <w:marTop w:val="0"/>
      <w:marBottom w:val="0"/>
      <w:divBdr>
        <w:top w:val="none" w:sz="0" w:space="0" w:color="auto"/>
        <w:left w:val="none" w:sz="0" w:space="0" w:color="auto"/>
        <w:bottom w:val="none" w:sz="0" w:space="0" w:color="auto"/>
        <w:right w:val="none" w:sz="0" w:space="0" w:color="auto"/>
      </w:divBdr>
    </w:div>
    <w:div w:id="1940721475">
      <w:bodyDiv w:val="1"/>
      <w:marLeft w:val="0"/>
      <w:marRight w:val="0"/>
      <w:marTop w:val="0"/>
      <w:marBottom w:val="0"/>
      <w:divBdr>
        <w:top w:val="none" w:sz="0" w:space="0" w:color="auto"/>
        <w:left w:val="none" w:sz="0" w:space="0" w:color="auto"/>
        <w:bottom w:val="none" w:sz="0" w:space="0" w:color="auto"/>
        <w:right w:val="none" w:sz="0" w:space="0" w:color="auto"/>
      </w:divBdr>
    </w:div>
    <w:div w:id="1940747080">
      <w:bodyDiv w:val="1"/>
      <w:marLeft w:val="0"/>
      <w:marRight w:val="0"/>
      <w:marTop w:val="0"/>
      <w:marBottom w:val="0"/>
      <w:divBdr>
        <w:top w:val="none" w:sz="0" w:space="0" w:color="auto"/>
        <w:left w:val="none" w:sz="0" w:space="0" w:color="auto"/>
        <w:bottom w:val="none" w:sz="0" w:space="0" w:color="auto"/>
        <w:right w:val="none" w:sz="0" w:space="0" w:color="auto"/>
      </w:divBdr>
    </w:div>
    <w:div w:id="1940796050">
      <w:bodyDiv w:val="1"/>
      <w:marLeft w:val="0"/>
      <w:marRight w:val="0"/>
      <w:marTop w:val="0"/>
      <w:marBottom w:val="0"/>
      <w:divBdr>
        <w:top w:val="none" w:sz="0" w:space="0" w:color="auto"/>
        <w:left w:val="none" w:sz="0" w:space="0" w:color="auto"/>
        <w:bottom w:val="none" w:sz="0" w:space="0" w:color="auto"/>
        <w:right w:val="none" w:sz="0" w:space="0" w:color="auto"/>
      </w:divBdr>
    </w:div>
    <w:div w:id="1940797918">
      <w:bodyDiv w:val="1"/>
      <w:marLeft w:val="0"/>
      <w:marRight w:val="0"/>
      <w:marTop w:val="0"/>
      <w:marBottom w:val="0"/>
      <w:divBdr>
        <w:top w:val="none" w:sz="0" w:space="0" w:color="auto"/>
        <w:left w:val="none" w:sz="0" w:space="0" w:color="auto"/>
        <w:bottom w:val="none" w:sz="0" w:space="0" w:color="auto"/>
        <w:right w:val="none" w:sz="0" w:space="0" w:color="auto"/>
      </w:divBdr>
    </w:div>
    <w:div w:id="1940985962">
      <w:bodyDiv w:val="1"/>
      <w:marLeft w:val="0"/>
      <w:marRight w:val="0"/>
      <w:marTop w:val="0"/>
      <w:marBottom w:val="0"/>
      <w:divBdr>
        <w:top w:val="none" w:sz="0" w:space="0" w:color="auto"/>
        <w:left w:val="none" w:sz="0" w:space="0" w:color="auto"/>
        <w:bottom w:val="none" w:sz="0" w:space="0" w:color="auto"/>
        <w:right w:val="none" w:sz="0" w:space="0" w:color="auto"/>
      </w:divBdr>
    </w:div>
    <w:div w:id="1940988379">
      <w:bodyDiv w:val="1"/>
      <w:marLeft w:val="0"/>
      <w:marRight w:val="0"/>
      <w:marTop w:val="0"/>
      <w:marBottom w:val="0"/>
      <w:divBdr>
        <w:top w:val="none" w:sz="0" w:space="0" w:color="auto"/>
        <w:left w:val="none" w:sz="0" w:space="0" w:color="auto"/>
        <w:bottom w:val="none" w:sz="0" w:space="0" w:color="auto"/>
        <w:right w:val="none" w:sz="0" w:space="0" w:color="auto"/>
      </w:divBdr>
    </w:div>
    <w:div w:id="1941182022">
      <w:bodyDiv w:val="1"/>
      <w:marLeft w:val="0"/>
      <w:marRight w:val="0"/>
      <w:marTop w:val="0"/>
      <w:marBottom w:val="0"/>
      <w:divBdr>
        <w:top w:val="none" w:sz="0" w:space="0" w:color="auto"/>
        <w:left w:val="none" w:sz="0" w:space="0" w:color="auto"/>
        <w:bottom w:val="none" w:sz="0" w:space="0" w:color="auto"/>
        <w:right w:val="none" w:sz="0" w:space="0" w:color="auto"/>
      </w:divBdr>
    </w:div>
    <w:div w:id="1941328617">
      <w:bodyDiv w:val="1"/>
      <w:marLeft w:val="0"/>
      <w:marRight w:val="0"/>
      <w:marTop w:val="0"/>
      <w:marBottom w:val="0"/>
      <w:divBdr>
        <w:top w:val="none" w:sz="0" w:space="0" w:color="auto"/>
        <w:left w:val="none" w:sz="0" w:space="0" w:color="auto"/>
        <w:bottom w:val="none" w:sz="0" w:space="0" w:color="auto"/>
        <w:right w:val="none" w:sz="0" w:space="0" w:color="auto"/>
      </w:divBdr>
    </w:div>
    <w:div w:id="1941331559">
      <w:bodyDiv w:val="1"/>
      <w:marLeft w:val="0"/>
      <w:marRight w:val="0"/>
      <w:marTop w:val="0"/>
      <w:marBottom w:val="0"/>
      <w:divBdr>
        <w:top w:val="none" w:sz="0" w:space="0" w:color="auto"/>
        <w:left w:val="none" w:sz="0" w:space="0" w:color="auto"/>
        <w:bottom w:val="none" w:sz="0" w:space="0" w:color="auto"/>
        <w:right w:val="none" w:sz="0" w:space="0" w:color="auto"/>
      </w:divBdr>
    </w:div>
    <w:div w:id="1941450128">
      <w:bodyDiv w:val="1"/>
      <w:marLeft w:val="0"/>
      <w:marRight w:val="0"/>
      <w:marTop w:val="0"/>
      <w:marBottom w:val="0"/>
      <w:divBdr>
        <w:top w:val="none" w:sz="0" w:space="0" w:color="auto"/>
        <w:left w:val="none" w:sz="0" w:space="0" w:color="auto"/>
        <w:bottom w:val="none" w:sz="0" w:space="0" w:color="auto"/>
        <w:right w:val="none" w:sz="0" w:space="0" w:color="auto"/>
      </w:divBdr>
    </w:div>
    <w:div w:id="1941524911">
      <w:bodyDiv w:val="1"/>
      <w:marLeft w:val="0"/>
      <w:marRight w:val="0"/>
      <w:marTop w:val="0"/>
      <w:marBottom w:val="0"/>
      <w:divBdr>
        <w:top w:val="none" w:sz="0" w:space="0" w:color="auto"/>
        <w:left w:val="none" w:sz="0" w:space="0" w:color="auto"/>
        <w:bottom w:val="none" w:sz="0" w:space="0" w:color="auto"/>
        <w:right w:val="none" w:sz="0" w:space="0" w:color="auto"/>
      </w:divBdr>
    </w:div>
    <w:div w:id="1941642655">
      <w:bodyDiv w:val="1"/>
      <w:marLeft w:val="0"/>
      <w:marRight w:val="0"/>
      <w:marTop w:val="0"/>
      <w:marBottom w:val="0"/>
      <w:divBdr>
        <w:top w:val="none" w:sz="0" w:space="0" w:color="auto"/>
        <w:left w:val="none" w:sz="0" w:space="0" w:color="auto"/>
        <w:bottom w:val="none" w:sz="0" w:space="0" w:color="auto"/>
        <w:right w:val="none" w:sz="0" w:space="0" w:color="auto"/>
      </w:divBdr>
    </w:div>
    <w:div w:id="1941788919">
      <w:bodyDiv w:val="1"/>
      <w:marLeft w:val="0"/>
      <w:marRight w:val="0"/>
      <w:marTop w:val="0"/>
      <w:marBottom w:val="0"/>
      <w:divBdr>
        <w:top w:val="none" w:sz="0" w:space="0" w:color="auto"/>
        <w:left w:val="none" w:sz="0" w:space="0" w:color="auto"/>
        <w:bottom w:val="none" w:sz="0" w:space="0" w:color="auto"/>
        <w:right w:val="none" w:sz="0" w:space="0" w:color="auto"/>
      </w:divBdr>
    </w:div>
    <w:div w:id="1941795390">
      <w:bodyDiv w:val="1"/>
      <w:marLeft w:val="0"/>
      <w:marRight w:val="0"/>
      <w:marTop w:val="0"/>
      <w:marBottom w:val="0"/>
      <w:divBdr>
        <w:top w:val="none" w:sz="0" w:space="0" w:color="auto"/>
        <w:left w:val="none" w:sz="0" w:space="0" w:color="auto"/>
        <w:bottom w:val="none" w:sz="0" w:space="0" w:color="auto"/>
        <w:right w:val="none" w:sz="0" w:space="0" w:color="auto"/>
      </w:divBdr>
    </w:div>
    <w:div w:id="1941832474">
      <w:bodyDiv w:val="1"/>
      <w:marLeft w:val="0"/>
      <w:marRight w:val="0"/>
      <w:marTop w:val="0"/>
      <w:marBottom w:val="0"/>
      <w:divBdr>
        <w:top w:val="none" w:sz="0" w:space="0" w:color="auto"/>
        <w:left w:val="none" w:sz="0" w:space="0" w:color="auto"/>
        <w:bottom w:val="none" w:sz="0" w:space="0" w:color="auto"/>
        <w:right w:val="none" w:sz="0" w:space="0" w:color="auto"/>
      </w:divBdr>
    </w:div>
    <w:div w:id="1941840067">
      <w:bodyDiv w:val="1"/>
      <w:marLeft w:val="0"/>
      <w:marRight w:val="0"/>
      <w:marTop w:val="0"/>
      <w:marBottom w:val="0"/>
      <w:divBdr>
        <w:top w:val="none" w:sz="0" w:space="0" w:color="auto"/>
        <w:left w:val="none" w:sz="0" w:space="0" w:color="auto"/>
        <w:bottom w:val="none" w:sz="0" w:space="0" w:color="auto"/>
        <w:right w:val="none" w:sz="0" w:space="0" w:color="auto"/>
      </w:divBdr>
    </w:div>
    <w:div w:id="1941910491">
      <w:bodyDiv w:val="1"/>
      <w:marLeft w:val="0"/>
      <w:marRight w:val="0"/>
      <w:marTop w:val="0"/>
      <w:marBottom w:val="0"/>
      <w:divBdr>
        <w:top w:val="none" w:sz="0" w:space="0" w:color="auto"/>
        <w:left w:val="none" w:sz="0" w:space="0" w:color="auto"/>
        <w:bottom w:val="none" w:sz="0" w:space="0" w:color="auto"/>
        <w:right w:val="none" w:sz="0" w:space="0" w:color="auto"/>
      </w:divBdr>
    </w:div>
    <w:div w:id="1941912464">
      <w:bodyDiv w:val="1"/>
      <w:marLeft w:val="0"/>
      <w:marRight w:val="0"/>
      <w:marTop w:val="0"/>
      <w:marBottom w:val="0"/>
      <w:divBdr>
        <w:top w:val="none" w:sz="0" w:space="0" w:color="auto"/>
        <w:left w:val="none" w:sz="0" w:space="0" w:color="auto"/>
        <w:bottom w:val="none" w:sz="0" w:space="0" w:color="auto"/>
        <w:right w:val="none" w:sz="0" w:space="0" w:color="auto"/>
      </w:divBdr>
    </w:div>
    <w:div w:id="1941986940">
      <w:bodyDiv w:val="1"/>
      <w:marLeft w:val="0"/>
      <w:marRight w:val="0"/>
      <w:marTop w:val="0"/>
      <w:marBottom w:val="0"/>
      <w:divBdr>
        <w:top w:val="none" w:sz="0" w:space="0" w:color="auto"/>
        <w:left w:val="none" w:sz="0" w:space="0" w:color="auto"/>
        <w:bottom w:val="none" w:sz="0" w:space="0" w:color="auto"/>
        <w:right w:val="none" w:sz="0" w:space="0" w:color="auto"/>
      </w:divBdr>
    </w:div>
    <w:div w:id="1942103377">
      <w:bodyDiv w:val="1"/>
      <w:marLeft w:val="0"/>
      <w:marRight w:val="0"/>
      <w:marTop w:val="0"/>
      <w:marBottom w:val="0"/>
      <w:divBdr>
        <w:top w:val="none" w:sz="0" w:space="0" w:color="auto"/>
        <w:left w:val="none" w:sz="0" w:space="0" w:color="auto"/>
        <w:bottom w:val="none" w:sz="0" w:space="0" w:color="auto"/>
        <w:right w:val="none" w:sz="0" w:space="0" w:color="auto"/>
      </w:divBdr>
    </w:div>
    <w:div w:id="1942105153">
      <w:bodyDiv w:val="1"/>
      <w:marLeft w:val="0"/>
      <w:marRight w:val="0"/>
      <w:marTop w:val="0"/>
      <w:marBottom w:val="0"/>
      <w:divBdr>
        <w:top w:val="none" w:sz="0" w:space="0" w:color="auto"/>
        <w:left w:val="none" w:sz="0" w:space="0" w:color="auto"/>
        <w:bottom w:val="none" w:sz="0" w:space="0" w:color="auto"/>
        <w:right w:val="none" w:sz="0" w:space="0" w:color="auto"/>
      </w:divBdr>
    </w:div>
    <w:div w:id="1942179302">
      <w:bodyDiv w:val="1"/>
      <w:marLeft w:val="0"/>
      <w:marRight w:val="0"/>
      <w:marTop w:val="0"/>
      <w:marBottom w:val="0"/>
      <w:divBdr>
        <w:top w:val="none" w:sz="0" w:space="0" w:color="auto"/>
        <w:left w:val="none" w:sz="0" w:space="0" w:color="auto"/>
        <w:bottom w:val="none" w:sz="0" w:space="0" w:color="auto"/>
        <w:right w:val="none" w:sz="0" w:space="0" w:color="auto"/>
      </w:divBdr>
    </w:div>
    <w:div w:id="1942180070">
      <w:bodyDiv w:val="1"/>
      <w:marLeft w:val="0"/>
      <w:marRight w:val="0"/>
      <w:marTop w:val="0"/>
      <w:marBottom w:val="0"/>
      <w:divBdr>
        <w:top w:val="none" w:sz="0" w:space="0" w:color="auto"/>
        <w:left w:val="none" w:sz="0" w:space="0" w:color="auto"/>
        <w:bottom w:val="none" w:sz="0" w:space="0" w:color="auto"/>
        <w:right w:val="none" w:sz="0" w:space="0" w:color="auto"/>
      </w:divBdr>
    </w:div>
    <w:div w:id="1942180400">
      <w:bodyDiv w:val="1"/>
      <w:marLeft w:val="0"/>
      <w:marRight w:val="0"/>
      <w:marTop w:val="0"/>
      <w:marBottom w:val="0"/>
      <w:divBdr>
        <w:top w:val="none" w:sz="0" w:space="0" w:color="auto"/>
        <w:left w:val="none" w:sz="0" w:space="0" w:color="auto"/>
        <w:bottom w:val="none" w:sz="0" w:space="0" w:color="auto"/>
        <w:right w:val="none" w:sz="0" w:space="0" w:color="auto"/>
      </w:divBdr>
    </w:div>
    <w:div w:id="1942183075">
      <w:bodyDiv w:val="1"/>
      <w:marLeft w:val="0"/>
      <w:marRight w:val="0"/>
      <w:marTop w:val="0"/>
      <w:marBottom w:val="0"/>
      <w:divBdr>
        <w:top w:val="none" w:sz="0" w:space="0" w:color="auto"/>
        <w:left w:val="none" w:sz="0" w:space="0" w:color="auto"/>
        <w:bottom w:val="none" w:sz="0" w:space="0" w:color="auto"/>
        <w:right w:val="none" w:sz="0" w:space="0" w:color="auto"/>
      </w:divBdr>
    </w:div>
    <w:div w:id="1942184061">
      <w:bodyDiv w:val="1"/>
      <w:marLeft w:val="0"/>
      <w:marRight w:val="0"/>
      <w:marTop w:val="0"/>
      <w:marBottom w:val="0"/>
      <w:divBdr>
        <w:top w:val="none" w:sz="0" w:space="0" w:color="auto"/>
        <w:left w:val="none" w:sz="0" w:space="0" w:color="auto"/>
        <w:bottom w:val="none" w:sz="0" w:space="0" w:color="auto"/>
        <w:right w:val="none" w:sz="0" w:space="0" w:color="auto"/>
      </w:divBdr>
    </w:div>
    <w:div w:id="1942184196">
      <w:bodyDiv w:val="1"/>
      <w:marLeft w:val="0"/>
      <w:marRight w:val="0"/>
      <w:marTop w:val="0"/>
      <w:marBottom w:val="0"/>
      <w:divBdr>
        <w:top w:val="none" w:sz="0" w:space="0" w:color="auto"/>
        <w:left w:val="none" w:sz="0" w:space="0" w:color="auto"/>
        <w:bottom w:val="none" w:sz="0" w:space="0" w:color="auto"/>
        <w:right w:val="none" w:sz="0" w:space="0" w:color="auto"/>
      </w:divBdr>
    </w:div>
    <w:div w:id="1942298591">
      <w:bodyDiv w:val="1"/>
      <w:marLeft w:val="0"/>
      <w:marRight w:val="0"/>
      <w:marTop w:val="0"/>
      <w:marBottom w:val="0"/>
      <w:divBdr>
        <w:top w:val="none" w:sz="0" w:space="0" w:color="auto"/>
        <w:left w:val="none" w:sz="0" w:space="0" w:color="auto"/>
        <w:bottom w:val="none" w:sz="0" w:space="0" w:color="auto"/>
        <w:right w:val="none" w:sz="0" w:space="0" w:color="auto"/>
      </w:divBdr>
    </w:div>
    <w:div w:id="1942300523">
      <w:bodyDiv w:val="1"/>
      <w:marLeft w:val="0"/>
      <w:marRight w:val="0"/>
      <w:marTop w:val="0"/>
      <w:marBottom w:val="0"/>
      <w:divBdr>
        <w:top w:val="none" w:sz="0" w:space="0" w:color="auto"/>
        <w:left w:val="none" w:sz="0" w:space="0" w:color="auto"/>
        <w:bottom w:val="none" w:sz="0" w:space="0" w:color="auto"/>
        <w:right w:val="none" w:sz="0" w:space="0" w:color="auto"/>
      </w:divBdr>
    </w:div>
    <w:div w:id="1942371294">
      <w:bodyDiv w:val="1"/>
      <w:marLeft w:val="0"/>
      <w:marRight w:val="0"/>
      <w:marTop w:val="0"/>
      <w:marBottom w:val="0"/>
      <w:divBdr>
        <w:top w:val="none" w:sz="0" w:space="0" w:color="auto"/>
        <w:left w:val="none" w:sz="0" w:space="0" w:color="auto"/>
        <w:bottom w:val="none" w:sz="0" w:space="0" w:color="auto"/>
        <w:right w:val="none" w:sz="0" w:space="0" w:color="auto"/>
      </w:divBdr>
    </w:div>
    <w:div w:id="1942443926">
      <w:bodyDiv w:val="1"/>
      <w:marLeft w:val="0"/>
      <w:marRight w:val="0"/>
      <w:marTop w:val="0"/>
      <w:marBottom w:val="0"/>
      <w:divBdr>
        <w:top w:val="none" w:sz="0" w:space="0" w:color="auto"/>
        <w:left w:val="none" w:sz="0" w:space="0" w:color="auto"/>
        <w:bottom w:val="none" w:sz="0" w:space="0" w:color="auto"/>
        <w:right w:val="none" w:sz="0" w:space="0" w:color="auto"/>
      </w:divBdr>
    </w:div>
    <w:div w:id="1942562967">
      <w:bodyDiv w:val="1"/>
      <w:marLeft w:val="0"/>
      <w:marRight w:val="0"/>
      <w:marTop w:val="0"/>
      <w:marBottom w:val="0"/>
      <w:divBdr>
        <w:top w:val="none" w:sz="0" w:space="0" w:color="auto"/>
        <w:left w:val="none" w:sz="0" w:space="0" w:color="auto"/>
        <w:bottom w:val="none" w:sz="0" w:space="0" w:color="auto"/>
        <w:right w:val="none" w:sz="0" w:space="0" w:color="auto"/>
      </w:divBdr>
    </w:div>
    <w:div w:id="1942566252">
      <w:bodyDiv w:val="1"/>
      <w:marLeft w:val="0"/>
      <w:marRight w:val="0"/>
      <w:marTop w:val="0"/>
      <w:marBottom w:val="0"/>
      <w:divBdr>
        <w:top w:val="none" w:sz="0" w:space="0" w:color="auto"/>
        <w:left w:val="none" w:sz="0" w:space="0" w:color="auto"/>
        <w:bottom w:val="none" w:sz="0" w:space="0" w:color="auto"/>
        <w:right w:val="none" w:sz="0" w:space="0" w:color="auto"/>
      </w:divBdr>
    </w:div>
    <w:div w:id="1942642819">
      <w:bodyDiv w:val="1"/>
      <w:marLeft w:val="0"/>
      <w:marRight w:val="0"/>
      <w:marTop w:val="0"/>
      <w:marBottom w:val="0"/>
      <w:divBdr>
        <w:top w:val="none" w:sz="0" w:space="0" w:color="auto"/>
        <w:left w:val="none" w:sz="0" w:space="0" w:color="auto"/>
        <w:bottom w:val="none" w:sz="0" w:space="0" w:color="auto"/>
        <w:right w:val="none" w:sz="0" w:space="0" w:color="auto"/>
      </w:divBdr>
    </w:div>
    <w:div w:id="1942643561">
      <w:bodyDiv w:val="1"/>
      <w:marLeft w:val="0"/>
      <w:marRight w:val="0"/>
      <w:marTop w:val="0"/>
      <w:marBottom w:val="0"/>
      <w:divBdr>
        <w:top w:val="none" w:sz="0" w:space="0" w:color="auto"/>
        <w:left w:val="none" w:sz="0" w:space="0" w:color="auto"/>
        <w:bottom w:val="none" w:sz="0" w:space="0" w:color="auto"/>
        <w:right w:val="none" w:sz="0" w:space="0" w:color="auto"/>
      </w:divBdr>
    </w:div>
    <w:div w:id="1942688255">
      <w:bodyDiv w:val="1"/>
      <w:marLeft w:val="0"/>
      <w:marRight w:val="0"/>
      <w:marTop w:val="0"/>
      <w:marBottom w:val="0"/>
      <w:divBdr>
        <w:top w:val="none" w:sz="0" w:space="0" w:color="auto"/>
        <w:left w:val="none" w:sz="0" w:space="0" w:color="auto"/>
        <w:bottom w:val="none" w:sz="0" w:space="0" w:color="auto"/>
        <w:right w:val="none" w:sz="0" w:space="0" w:color="auto"/>
      </w:divBdr>
    </w:div>
    <w:div w:id="1942882085">
      <w:bodyDiv w:val="1"/>
      <w:marLeft w:val="0"/>
      <w:marRight w:val="0"/>
      <w:marTop w:val="0"/>
      <w:marBottom w:val="0"/>
      <w:divBdr>
        <w:top w:val="none" w:sz="0" w:space="0" w:color="auto"/>
        <w:left w:val="none" w:sz="0" w:space="0" w:color="auto"/>
        <w:bottom w:val="none" w:sz="0" w:space="0" w:color="auto"/>
        <w:right w:val="none" w:sz="0" w:space="0" w:color="auto"/>
      </w:divBdr>
    </w:div>
    <w:div w:id="1942950736">
      <w:bodyDiv w:val="1"/>
      <w:marLeft w:val="0"/>
      <w:marRight w:val="0"/>
      <w:marTop w:val="0"/>
      <w:marBottom w:val="0"/>
      <w:divBdr>
        <w:top w:val="none" w:sz="0" w:space="0" w:color="auto"/>
        <w:left w:val="none" w:sz="0" w:space="0" w:color="auto"/>
        <w:bottom w:val="none" w:sz="0" w:space="0" w:color="auto"/>
        <w:right w:val="none" w:sz="0" w:space="0" w:color="auto"/>
      </w:divBdr>
    </w:div>
    <w:div w:id="1943107476">
      <w:bodyDiv w:val="1"/>
      <w:marLeft w:val="0"/>
      <w:marRight w:val="0"/>
      <w:marTop w:val="0"/>
      <w:marBottom w:val="0"/>
      <w:divBdr>
        <w:top w:val="none" w:sz="0" w:space="0" w:color="auto"/>
        <w:left w:val="none" w:sz="0" w:space="0" w:color="auto"/>
        <w:bottom w:val="none" w:sz="0" w:space="0" w:color="auto"/>
        <w:right w:val="none" w:sz="0" w:space="0" w:color="auto"/>
      </w:divBdr>
    </w:div>
    <w:div w:id="1943144069">
      <w:bodyDiv w:val="1"/>
      <w:marLeft w:val="0"/>
      <w:marRight w:val="0"/>
      <w:marTop w:val="0"/>
      <w:marBottom w:val="0"/>
      <w:divBdr>
        <w:top w:val="none" w:sz="0" w:space="0" w:color="auto"/>
        <w:left w:val="none" w:sz="0" w:space="0" w:color="auto"/>
        <w:bottom w:val="none" w:sz="0" w:space="0" w:color="auto"/>
        <w:right w:val="none" w:sz="0" w:space="0" w:color="auto"/>
      </w:divBdr>
    </w:div>
    <w:div w:id="1943224591">
      <w:bodyDiv w:val="1"/>
      <w:marLeft w:val="0"/>
      <w:marRight w:val="0"/>
      <w:marTop w:val="0"/>
      <w:marBottom w:val="0"/>
      <w:divBdr>
        <w:top w:val="none" w:sz="0" w:space="0" w:color="auto"/>
        <w:left w:val="none" w:sz="0" w:space="0" w:color="auto"/>
        <w:bottom w:val="none" w:sz="0" w:space="0" w:color="auto"/>
        <w:right w:val="none" w:sz="0" w:space="0" w:color="auto"/>
      </w:divBdr>
    </w:div>
    <w:div w:id="1943299684">
      <w:bodyDiv w:val="1"/>
      <w:marLeft w:val="0"/>
      <w:marRight w:val="0"/>
      <w:marTop w:val="0"/>
      <w:marBottom w:val="0"/>
      <w:divBdr>
        <w:top w:val="none" w:sz="0" w:space="0" w:color="auto"/>
        <w:left w:val="none" w:sz="0" w:space="0" w:color="auto"/>
        <w:bottom w:val="none" w:sz="0" w:space="0" w:color="auto"/>
        <w:right w:val="none" w:sz="0" w:space="0" w:color="auto"/>
      </w:divBdr>
    </w:div>
    <w:div w:id="1943339579">
      <w:bodyDiv w:val="1"/>
      <w:marLeft w:val="0"/>
      <w:marRight w:val="0"/>
      <w:marTop w:val="0"/>
      <w:marBottom w:val="0"/>
      <w:divBdr>
        <w:top w:val="none" w:sz="0" w:space="0" w:color="auto"/>
        <w:left w:val="none" w:sz="0" w:space="0" w:color="auto"/>
        <w:bottom w:val="none" w:sz="0" w:space="0" w:color="auto"/>
        <w:right w:val="none" w:sz="0" w:space="0" w:color="auto"/>
      </w:divBdr>
    </w:div>
    <w:div w:id="1943416130">
      <w:bodyDiv w:val="1"/>
      <w:marLeft w:val="0"/>
      <w:marRight w:val="0"/>
      <w:marTop w:val="0"/>
      <w:marBottom w:val="0"/>
      <w:divBdr>
        <w:top w:val="none" w:sz="0" w:space="0" w:color="auto"/>
        <w:left w:val="none" w:sz="0" w:space="0" w:color="auto"/>
        <w:bottom w:val="none" w:sz="0" w:space="0" w:color="auto"/>
        <w:right w:val="none" w:sz="0" w:space="0" w:color="auto"/>
      </w:divBdr>
    </w:div>
    <w:div w:id="1943486153">
      <w:bodyDiv w:val="1"/>
      <w:marLeft w:val="0"/>
      <w:marRight w:val="0"/>
      <w:marTop w:val="0"/>
      <w:marBottom w:val="0"/>
      <w:divBdr>
        <w:top w:val="none" w:sz="0" w:space="0" w:color="auto"/>
        <w:left w:val="none" w:sz="0" w:space="0" w:color="auto"/>
        <w:bottom w:val="none" w:sz="0" w:space="0" w:color="auto"/>
        <w:right w:val="none" w:sz="0" w:space="0" w:color="auto"/>
      </w:divBdr>
    </w:div>
    <w:div w:id="1943683912">
      <w:bodyDiv w:val="1"/>
      <w:marLeft w:val="0"/>
      <w:marRight w:val="0"/>
      <w:marTop w:val="0"/>
      <w:marBottom w:val="0"/>
      <w:divBdr>
        <w:top w:val="none" w:sz="0" w:space="0" w:color="auto"/>
        <w:left w:val="none" w:sz="0" w:space="0" w:color="auto"/>
        <w:bottom w:val="none" w:sz="0" w:space="0" w:color="auto"/>
        <w:right w:val="none" w:sz="0" w:space="0" w:color="auto"/>
      </w:divBdr>
    </w:div>
    <w:div w:id="1943684074">
      <w:bodyDiv w:val="1"/>
      <w:marLeft w:val="0"/>
      <w:marRight w:val="0"/>
      <w:marTop w:val="0"/>
      <w:marBottom w:val="0"/>
      <w:divBdr>
        <w:top w:val="none" w:sz="0" w:space="0" w:color="auto"/>
        <w:left w:val="none" w:sz="0" w:space="0" w:color="auto"/>
        <w:bottom w:val="none" w:sz="0" w:space="0" w:color="auto"/>
        <w:right w:val="none" w:sz="0" w:space="0" w:color="auto"/>
      </w:divBdr>
    </w:div>
    <w:div w:id="1943688432">
      <w:bodyDiv w:val="1"/>
      <w:marLeft w:val="0"/>
      <w:marRight w:val="0"/>
      <w:marTop w:val="0"/>
      <w:marBottom w:val="0"/>
      <w:divBdr>
        <w:top w:val="none" w:sz="0" w:space="0" w:color="auto"/>
        <w:left w:val="none" w:sz="0" w:space="0" w:color="auto"/>
        <w:bottom w:val="none" w:sz="0" w:space="0" w:color="auto"/>
        <w:right w:val="none" w:sz="0" w:space="0" w:color="auto"/>
      </w:divBdr>
    </w:div>
    <w:div w:id="1943688619">
      <w:bodyDiv w:val="1"/>
      <w:marLeft w:val="0"/>
      <w:marRight w:val="0"/>
      <w:marTop w:val="0"/>
      <w:marBottom w:val="0"/>
      <w:divBdr>
        <w:top w:val="none" w:sz="0" w:space="0" w:color="auto"/>
        <w:left w:val="none" w:sz="0" w:space="0" w:color="auto"/>
        <w:bottom w:val="none" w:sz="0" w:space="0" w:color="auto"/>
        <w:right w:val="none" w:sz="0" w:space="0" w:color="auto"/>
      </w:divBdr>
    </w:div>
    <w:div w:id="1943798535">
      <w:bodyDiv w:val="1"/>
      <w:marLeft w:val="0"/>
      <w:marRight w:val="0"/>
      <w:marTop w:val="0"/>
      <w:marBottom w:val="0"/>
      <w:divBdr>
        <w:top w:val="none" w:sz="0" w:space="0" w:color="auto"/>
        <w:left w:val="none" w:sz="0" w:space="0" w:color="auto"/>
        <w:bottom w:val="none" w:sz="0" w:space="0" w:color="auto"/>
        <w:right w:val="none" w:sz="0" w:space="0" w:color="auto"/>
      </w:divBdr>
    </w:div>
    <w:div w:id="1943872547">
      <w:bodyDiv w:val="1"/>
      <w:marLeft w:val="0"/>
      <w:marRight w:val="0"/>
      <w:marTop w:val="0"/>
      <w:marBottom w:val="0"/>
      <w:divBdr>
        <w:top w:val="none" w:sz="0" w:space="0" w:color="auto"/>
        <w:left w:val="none" w:sz="0" w:space="0" w:color="auto"/>
        <w:bottom w:val="none" w:sz="0" w:space="0" w:color="auto"/>
        <w:right w:val="none" w:sz="0" w:space="0" w:color="auto"/>
      </w:divBdr>
    </w:div>
    <w:div w:id="1943877144">
      <w:bodyDiv w:val="1"/>
      <w:marLeft w:val="0"/>
      <w:marRight w:val="0"/>
      <w:marTop w:val="0"/>
      <w:marBottom w:val="0"/>
      <w:divBdr>
        <w:top w:val="none" w:sz="0" w:space="0" w:color="auto"/>
        <w:left w:val="none" w:sz="0" w:space="0" w:color="auto"/>
        <w:bottom w:val="none" w:sz="0" w:space="0" w:color="auto"/>
        <w:right w:val="none" w:sz="0" w:space="0" w:color="auto"/>
      </w:divBdr>
    </w:div>
    <w:div w:id="1943951636">
      <w:bodyDiv w:val="1"/>
      <w:marLeft w:val="0"/>
      <w:marRight w:val="0"/>
      <w:marTop w:val="0"/>
      <w:marBottom w:val="0"/>
      <w:divBdr>
        <w:top w:val="none" w:sz="0" w:space="0" w:color="auto"/>
        <w:left w:val="none" w:sz="0" w:space="0" w:color="auto"/>
        <w:bottom w:val="none" w:sz="0" w:space="0" w:color="auto"/>
        <w:right w:val="none" w:sz="0" w:space="0" w:color="auto"/>
      </w:divBdr>
    </w:div>
    <w:div w:id="1944144253">
      <w:bodyDiv w:val="1"/>
      <w:marLeft w:val="0"/>
      <w:marRight w:val="0"/>
      <w:marTop w:val="0"/>
      <w:marBottom w:val="0"/>
      <w:divBdr>
        <w:top w:val="none" w:sz="0" w:space="0" w:color="auto"/>
        <w:left w:val="none" w:sz="0" w:space="0" w:color="auto"/>
        <w:bottom w:val="none" w:sz="0" w:space="0" w:color="auto"/>
        <w:right w:val="none" w:sz="0" w:space="0" w:color="auto"/>
      </w:divBdr>
    </w:div>
    <w:div w:id="1944338833">
      <w:bodyDiv w:val="1"/>
      <w:marLeft w:val="0"/>
      <w:marRight w:val="0"/>
      <w:marTop w:val="0"/>
      <w:marBottom w:val="0"/>
      <w:divBdr>
        <w:top w:val="none" w:sz="0" w:space="0" w:color="auto"/>
        <w:left w:val="none" w:sz="0" w:space="0" w:color="auto"/>
        <w:bottom w:val="none" w:sz="0" w:space="0" w:color="auto"/>
        <w:right w:val="none" w:sz="0" w:space="0" w:color="auto"/>
      </w:divBdr>
    </w:div>
    <w:div w:id="1944343959">
      <w:bodyDiv w:val="1"/>
      <w:marLeft w:val="0"/>
      <w:marRight w:val="0"/>
      <w:marTop w:val="0"/>
      <w:marBottom w:val="0"/>
      <w:divBdr>
        <w:top w:val="none" w:sz="0" w:space="0" w:color="auto"/>
        <w:left w:val="none" w:sz="0" w:space="0" w:color="auto"/>
        <w:bottom w:val="none" w:sz="0" w:space="0" w:color="auto"/>
        <w:right w:val="none" w:sz="0" w:space="0" w:color="auto"/>
      </w:divBdr>
    </w:div>
    <w:div w:id="1944413715">
      <w:bodyDiv w:val="1"/>
      <w:marLeft w:val="0"/>
      <w:marRight w:val="0"/>
      <w:marTop w:val="0"/>
      <w:marBottom w:val="0"/>
      <w:divBdr>
        <w:top w:val="none" w:sz="0" w:space="0" w:color="auto"/>
        <w:left w:val="none" w:sz="0" w:space="0" w:color="auto"/>
        <w:bottom w:val="none" w:sz="0" w:space="0" w:color="auto"/>
        <w:right w:val="none" w:sz="0" w:space="0" w:color="auto"/>
      </w:divBdr>
    </w:div>
    <w:div w:id="1944458096">
      <w:bodyDiv w:val="1"/>
      <w:marLeft w:val="0"/>
      <w:marRight w:val="0"/>
      <w:marTop w:val="0"/>
      <w:marBottom w:val="0"/>
      <w:divBdr>
        <w:top w:val="none" w:sz="0" w:space="0" w:color="auto"/>
        <w:left w:val="none" w:sz="0" w:space="0" w:color="auto"/>
        <w:bottom w:val="none" w:sz="0" w:space="0" w:color="auto"/>
        <w:right w:val="none" w:sz="0" w:space="0" w:color="auto"/>
      </w:divBdr>
    </w:div>
    <w:div w:id="1944528826">
      <w:bodyDiv w:val="1"/>
      <w:marLeft w:val="0"/>
      <w:marRight w:val="0"/>
      <w:marTop w:val="0"/>
      <w:marBottom w:val="0"/>
      <w:divBdr>
        <w:top w:val="none" w:sz="0" w:space="0" w:color="auto"/>
        <w:left w:val="none" w:sz="0" w:space="0" w:color="auto"/>
        <w:bottom w:val="none" w:sz="0" w:space="0" w:color="auto"/>
        <w:right w:val="none" w:sz="0" w:space="0" w:color="auto"/>
      </w:divBdr>
    </w:div>
    <w:div w:id="1944531206">
      <w:bodyDiv w:val="1"/>
      <w:marLeft w:val="0"/>
      <w:marRight w:val="0"/>
      <w:marTop w:val="0"/>
      <w:marBottom w:val="0"/>
      <w:divBdr>
        <w:top w:val="none" w:sz="0" w:space="0" w:color="auto"/>
        <w:left w:val="none" w:sz="0" w:space="0" w:color="auto"/>
        <w:bottom w:val="none" w:sz="0" w:space="0" w:color="auto"/>
        <w:right w:val="none" w:sz="0" w:space="0" w:color="auto"/>
      </w:divBdr>
    </w:div>
    <w:div w:id="1944609567">
      <w:bodyDiv w:val="1"/>
      <w:marLeft w:val="0"/>
      <w:marRight w:val="0"/>
      <w:marTop w:val="0"/>
      <w:marBottom w:val="0"/>
      <w:divBdr>
        <w:top w:val="none" w:sz="0" w:space="0" w:color="auto"/>
        <w:left w:val="none" w:sz="0" w:space="0" w:color="auto"/>
        <w:bottom w:val="none" w:sz="0" w:space="0" w:color="auto"/>
        <w:right w:val="none" w:sz="0" w:space="0" w:color="auto"/>
      </w:divBdr>
    </w:div>
    <w:div w:id="1944650907">
      <w:bodyDiv w:val="1"/>
      <w:marLeft w:val="0"/>
      <w:marRight w:val="0"/>
      <w:marTop w:val="0"/>
      <w:marBottom w:val="0"/>
      <w:divBdr>
        <w:top w:val="none" w:sz="0" w:space="0" w:color="auto"/>
        <w:left w:val="none" w:sz="0" w:space="0" w:color="auto"/>
        <w:bottom w:val="none" w:sz="0" w:space="0" w:color="auto"/>
        <w:right w:val="none" w:sz="0" w:space="0" w:color="auto"/>
      </w:divBdr>
    </w:div>
    <w:div w:id="1944879033">
      <w:bodyDiv w:val="1"/>
      <w:marLeft w:val="0"/>
      <w:marRight w:val="0"/>
      <w:marTop w:val="0"/>
      <w:marBottom w:val="0"/>
      <w:divBdr>
        <w:top w:val="none" w:sz="0" w:space="0" w:color="auto"/>
        <w:left w:val="none" w:sz="0" w:space="0" w:color="auto"/>
        <w:bottom w:val="none" w:sz="0" w:space="0" w:color="auto"/>
        <w:right w:val="none" w:sz="0" w:space="0" w:color="auto"/>
      </w:divBdr>
    </w:div>
    <w:div w:id="1944916093">
      <w:bodyDiv w:val="1"/>
      <w:marLeft w:val="0"/>
      <w:marRight w:val="0"/>
      <w:marTop w:val="0"/>
      <w:marBottom w:val="0"/>
      <w:divBdr>
        <w:top w:val="none" w:sz="0" w:space="0" w:color="auto"/>
        <w:left w:val="none" w:sz="0" w:space="0" w:color="auto"/>
        <w:bottom w:val="none" w:sz="0" w:space="0" w:color="auto"/>
        <w:right w:val="none" w:sz="0" w:space="0" w:color="auto"/>
      </w:divBdr>
    </w:div>
    <w:div w:id="1944989872">
      <w:bodyDiv w:val="1"/>
      <w:marLeft w:val="0"/>
      <w:marRight w:val="0"/>
      <w:marTop w:val="0"/>
      <w:marBottom w:val="0"/>
      <w:divBdr>
        <w:top w:val="none" w:sz="0" w:space="0" w:color="auto"/>
        <w:left w:val="none" w:sz="0" w:space="0" w:color="auto"/>
        <w:bottom w:val="none" w:sz="0" w:space="0" w:color="auto"/>
        <w:right w:val="none" w:sz="0" w:space="0" w:color="auto"/>
      </w:divBdr>
    </w:div>
    <w:div w:id="1945265874">
      <w:bodyDiv w:val="1"/>
      <w:marLeft w:val="0"/>
      <w:marRight w:val="0"/>
      <w:marTop w:val="0"/>
      <w:marBottom w:val="0"/>
      <w:divBdr>
        <w:top w:val="none" w:sz="0" w:space="0" w:color="auto"/>
        <w:left w:val="none" w:sz="0" w:space="0" w:color="auto"/>
        <w:bottom w:val="none" w:sz="0" w:space="0" w:color="auto"/>
        <w:right w:val="none" w:sz="0" w:space="0" w:color="auto"/>
      </w:divBdr>
    </w:div>
    <w:div w:id="1945377858">
      <w:bodyDiv w:val="1"/>
      <w:marLeft w:val="0"/>
      <w:marRight w:val="0"/>
      <w:marTop w:val="0"/>
      <w:marBottom w:val="0"/>
      <w:divBdr>
        <w:top w:val="none" w:sz="0" w:space="0" w:color="auto"/>
        <w:left w:val="none" w:sz="0" w:space="0" w:color="auto"/>
        <w:bottom w:val="none" w:sz="0" w:space="0" w:color="auto"/>
        <w:right w:val="none" w:sz="0" w:space="0" w:color="auto"/>
      </w:divBdr>
    </w:div>
    <w:div w:id="1945460951">
      <w:bodyDiv w:val="1"/>
      <w:marLeft w:val="0"/>
      <w:marRight w:val="0"/>
      <w:marTop w:val="0"/>
      <w:marBottom w:val="0"/>
      <w:divBdr>
        <w:top w:val="none" w:sz="0" w:space="0" w:color="auto"/>
        <w:left w:val="none" w:sz="0" w:space="0" w:color="auto"/>
        <w:bottom w:val="none" w:sz="0" w:space="0" w:color="auto"/>
        <w:right w:val="none" w:sz="0" w:space="0" w:color="auto"/>
      </w:divBdr>
    </w:div>
    <w:div w:id="1945528537">
      <w:bodyDiv w:val="1"/>
      <w:marLeft w:val="0"/>
      <w:marRight w:val="0"/>
      <w:marTop w:val="0"/>
      <w:marBottom w:val="0"/>
      <w:divBdr>
        <w:top w:val="none" w:sz="0" w:space="0" w:color="auto"/>
        <w:left w:val="none" w:sz="0" w:space="0" w:color="auto"/>
        <w:bottom w:val="none" w:sz="0" w:space="0" w:color="auto"/>
        <w:right w:val="none" w:sz="0" w:space="0" w:color="auto"/>
      </w:divBdr>
    </w:div>
    <w:div w:id="1945648681">
      <w:bodyDiv w:val="1"/>
      <w:marLeft w:val="0"/>
      <w:marRight w:val="0"/>
      <w:marTop w:val="0"/>
      <w:marBottom w:val="0"/>
      <w:divBdr>
        <w:top w:val="none" w:sz="0" w:space="0" w:color="auto"/>
        <w:left w:val="none" w:sz="0" w:space="0" w:color="auto"/>
        <w:bottom w:val="none" w:sz="0" w:space="0" w:color="auto"/>
        <w:right w:val="none" w:sz="0" w:space="0" w:color="auto"/>
      </w:divBdr>
    </w:div>
    <w:div w:id="1945650441">
      <w:bodyDiv w:val="1"/>
      <w:marLeft w:val="0"/>
      <w:marRight w:val="0"/>
      <w:marTop w:val="0"/>
      <w:marBottom w:val="0"/>
      <w:divBdr>
        <w:top w:val="none" w:sz="0" w:space="0" w:color="auto"/>
        <w:left w:val="none" w:sz="0" w:space="0" w:color="auto"/>
        <w:bottom w:val="none" w:sz="0" w:space="0" w:color="auto"/>
        <w:right w:val="none" w:sz="0" w:space="0" w:color="auto"/>
      </w:divBdr>
    </w:div>
    <w:div w:id="1945764305">
      <w:bodyDiv w:val="1"/>
      <w:marLeft w:val="0"/>
      <w:marRight w:val="0"/>
      <w:marTop w:val="0"/>
      <w:marBottom w:val="0"/>
      <w:divBdr>
        <w:top w:val="none" w:sz="0" w:space="0" w:color="auto"/>
        <w:left w:val="none" w:sz="0" w:space="0" w:color="auto"/>
        <w:bottom w:val="none" w:sz="0" w:space="0" w:color="auto"/>
        <w:right w:val="none" w:sz="0" w:space="0" w:color="auto"/>
      </w:divBdr>
    </w:div>
    <w:div w:id="1945767747">
      <w:bodyDiv w:val="1"/>
      <w:marLeft w:val="0"/>
      <w:marRight w:val="0"/>
      <w:marTop w:val="0"/>
      <w:marBottom w:val="0"/>
      <w:divBdr>
        <w:top w:val="none" w:sz="0" w:space="0" w:color="auto"/>
        <w:left w:val="none" w:sz="0" w:space="0" w:color="auto"/>
        <w:bottom w:val="none" w:sz="0" w:space="0" w:color="auto"/>
        <w:right w:val="none" w:sz="0" w:space="0" w:color="auto"/>
      </w:divBdr>
    </w:div>
    <w:div w:id="1945796298">
      <w:bodyDiv w:val="1"/>
      <w:marLeft w:val="0"/>
      <w:marRight w:val="0"/>
      <w:marTop w:val="0"/>
      <w:marBottom w:val="0"/>
      <w:divBdr>
        <w:top w:val="none" w:sz="0" w:space="0" w:color="auto"/>
        <w:left w:val="none" w:sz="0" w:space="0" w:color="auto"/>
        <w:bottom w:val="none" w:sz="0" w:space="0" w:color="auto"/>
        <w:right w:val="none" w:sz="0" w:space="0" w:color="auto"/>
      </w:divBdr>
    </w:div>
    <w:div w:id="1945842868">
      <w:bodyDiv w:val="1"/>
      <w:marLeft w:val="0"/>
      <w:marRight w:val="0"/>
      <w:marTop w:val="0"/>
      <w:marBottom w:val="0"/>
      <w:divBdr>
        <w:top w:val="none" w:sz="0" w:space="0" w:color="auto"/>
        <w:left w:val="none" w:sz="0" w:space="0" w:color="auto"/>
        <w:bottom w:val="none" w:sz="0" w:space="0" w:color="auto"/>
        <w:right w:val="none" w:sz="0" w:space="0" w:color="auto"/>
      </w:divBdr>
    </w:div>
    <w:div w:id="1945920981">
      <w:bodyDiv w:val="1"/>
      <w:marLeft w:val="0"/>
      <w:marRight w:val="0"/>
      <w:marTop w:val="0"/>
      <w:marBottom w:val="0"/>
      <w:divBdr>
        <w:top w:val="none" w:sz="0" w:space="0" w:color="auto"/>
        <w:left w:val="none" w:sz="0" w:space="0" w:color="auto"/>
        <w:bottom w:val="none" w:sz="0" w:space="0" w:color="auto"/>
        <w:right w:val="none" w:sz="0" w:space="0" w:color="auto"/>
      </w:divBdr>
    </w:div>
    <w:div w:id="1945991152">
      <w:bodyDiv w:val="1"/>
      <w:marLeft w:val="0"/>
      <w:marRight w:val="0"/>
      <w:marTop w:val="0"/>
      <w:marBottom w:val="0"/>
      <w:divBdr>
        <w:top w:val="none" w:sz="0" w:space="0" w:color="auto"/>
        <w:left w:val="none" w:sz="0" w:space="0" w:color="auto"/>
        <w:bottom w:val="none" w:sz="0" w:space="0" w:color="auto"/>
        <w:right w:val="none" w:sz="0" w:space="0" w:color="auto"/>
      </w:divBdr>
    </w:div>
    <w:div w:id="1946116233">
      <w:bodyDiv w:val="1"/>
      <w:marLeft w:val="0"/>
      <w:marRight w:val="0"/>
      <w:marTop w:val="0"/>
      <w:marBottom w:val="0"/>
      <w:divBdr>
        <w:top w:val="none" w:sz="0" w:space="0" w:color="auto"/>
        <w:left w:val="none" w:sz="0" w:space="0" w:color="auto"/>
        <w:bottom w:val="none" w:sz="0" w:space="0" w:color="auto"/>
        <w:right w:val="none" w:sz="0" w:space="0" w:color="auto"/>
      </w:divBdr>
    </w:div>
    <w:div w:id="1946116423">
      <w:bodyDiv w:val="1"/>
      <w:marLeft w:val="0"/>
      <w:marRight w:val="0"/>
      <w:marTop w:val="0"/>
      <w:marBottom w:val="0"/>
      <w:divBdr>
        <w:top w:val="none" w:sz="0" w:space="0" w:color="auto"/>
        <w:left w:val="none" w:sz="0" w:space="0" w:color="auto"/>
        <w:bottom w:val="none" w:sz="0" w:space="0" w:color="auto"/>
        <w:right w:val="none" w:sz="0" w:space="0" w:color="auto"/>
      </w:divBdr>
    </w:div>
    <w:div w:id="1946188719">
      <w:bodyDiv w:val="1"/>
      <w:marLeft w:val="0"/>
      <w:marRight w:val="0"/>
      <w:marTop w:val="0"/>
      <w:marBottom w:val="0"/>
      <w:divBdr>
        <w:top w:val="none" w:sz="0" w:space="0" w:color="auto"/>
        <w:left w:val="none" w:sz="0" w:space="0" w:color="auto"/>
        <w:bottom w:val="none" w:sz="0" w:space="0" w:color="auto"/>
        <w:right w:val="none" w:sz="0" w:space="0" w:color="auto"/>
      </w:divBdr>
    </w:div>
    <w:div w:id="1946303209">
      <w:bodyDiv w:val="1"/>
      <w:marLeft w:val="0"/>
      <w:marRight w:val="0"/>
      <w:marTop w:val="0"/>
      <w:marBottom w:val="0"/>
      <w:divBdr>
        <w:top w:val="none" w:sz="0" w:space="0" w:color="auto"/>
        <w:left w:val="none" w:sz="0" w:space="0" w:color="auto"/>
        <w:bottom w:val="none" w:sz="0" w:space="0" w:color="auto"/>
        <w:right w:val="none" w:sz="0" w:space="0" w:color="auto"/>
      </w:divBdr>
    </w:div>
    <w:div w:id="1946308362">
      <w:bodyDiv w:val="1"/>
      <w:marLeft w:val="0"/>
      <w:marRight w:val="0"/>
      <w:marTop w:val="0"/>
      <w:marBottom w:val="0"/>
      <w:divBdr>
        <w:top w:val="none" w:sz="0" w:space="0" w:color="auto"/>
        <w:left w:val="none" w:sz="0" w:space="0" w:color="auto"/>
        <w:bottom w:val="none" w:sz="0" w:space="0" w:color="auto"/>
        <w:right w:val="none" w:sz="0" w:space="0" w:color="auto"/>
      </w:divBdr>
    </w:div>
    <w:div w:id="1946426848">
      <w:bodyDiv w:val="1"/>
      <w:marLeft w:val="0"/>
      <w:marRight w:val="0"/>
      <w:marTop w:val="0"/>
      <w:marBottom w:val="0"/>
      <w:divBdr>
        <w:top w:val="none" w:sz="0" w:space="0" w:color="auto"/>
        <w:left w:val="none" w:sz="0" w:space="0" w:color="auto"/>
        <w:bottom w:val="none" w:sz="0" w:space="0" w:color="auto"/>
        <w:right w:val="none" w:sz="0" w:space="0" w:color="auto"/>
      </w:divBdr>
    </w:div>
    <w:div w:id="1946646837">
      <w:bodyDiv w:val="1"/>
      <w:marLeft w:val="0"/>
      <w:marRight w:val="0"/>
      <w:marTop w:val="0"/>
      <w:marBottom w:val="0"/>
      <w:divBdr>
        <w:top w:val="none" w:sz="0" w:space="0" w:color="auto"/>
        <w:left w:val="none" w:sz="0" w:space="0" w:color="auto"/>
        <w:bottom w:val="none" w:sz="0" w:space="0" w:color="auto"/>
        <w:right w:val="none" w:sz="0" w:space="0" w:color="auto"/>
      </w:divBdr>
    </w:div>
    <w:div w:id="1946886437">
      <w:bodyDiv w:val="1"/>
      <w:marLeft w:val="0"/>
      <w:marRight w:val="0"/>
      <w:marTop w:val="0"/>
      <w:marBottom w:val="0"/>
      <w:divBdr>
        <w:top w:val="none" w:sz="0" w:space="0" w:color="auto"/>
        <w:left w:val="none" w:sz="0" w:space="0" w:color="auto"/>
        <w:bottom w:val="none" w:sz="0" w:space="0" w:color="auto"/>
        <w:right w:val="none" w:sz="0" w:space="0" w:color="auto"/>
      </w:divBdr>
    </w:div>
    <w:div w:id="1946958141">
      <w:bodyDiv w:val="1"/>
      <w:marLeft w:val="0"/>
      <w:marRight w:val="0"/>
      <w:marTop w:val="0"/>
      <w:marBottom w:val="0"/>
      <w:divBdr>
        <w:top w:val="none" w:sz="0" w:space="0" w:color="auto"/>
        <w:left w:val="none" w:sz="0" w:space="0" w:color="auto"/>
        <w:bottom w:val="none" w:sz="0" w:space="0" w:color="auto"/>
        <w:right w:val="none" w:sz="0" w:space="0" w:color="auto"/>
      </w:divBdr>
    </w:div>
    <w:div w:id="1946960107">
      <w:bodyDiv w:val="1"/>
      <w:marLeft w:val="0"/>
      <w:marRight w:val="0"/>
      <w:marTop w:val="0"/>
      <w:marBottom w:val="0"/>
      <w:divBdr>
        <w:top w:val="none" w:sz="0" w:space="0" w:color="auto"/>
        <w:left w:val="none" w:sz="0" w:space="0" w:color="auto"/>
        <w:bottom w:val="none" w:sz="0" w:space="0" w:color="auto"/>
        <w:right w:val="none" w:sz="0" w:space="0" w:color="auto"/>
      </w:divBdr>
    </w:div>
    <w:div w:id="1947033686">
      <w:bodyDiv w:val="1"/>
      <w:marLeft w:val="0"/>
      <w:marRight w:val="0"/>
      <w:marTop w:val="0"/>
      <w:marBottom w:val="0"/>
      <w:divBdr>
        <w:top w:val="none" w:sz="0" w:space="0" w:color="auto"/>
        <w:left w:val="none" w:sz="0" w:space="0" w:color="auto"/>
        <w:bottom w:val="none" w:sz="0" w:space="0" w:color="auto"/>
        <w:right w:val="none" w:sz="0" w:space="0" w:color="auto"/>
      </w:divBdr>
    </w:div>
    <w:div w:id="1947038431">
      <w:bodyDiv w:val="1"/>
      <w:marLeft w:val="0"/>
      <w:marRight w:val="0"/>
      <w:marTop w:val="0"/>
      <w:marBottom w:val="0"/>
      <w:divBdr>
        <w:top w:val="none" w:sz="0" w:space="0" w:color="auto"/>
        <w:left w:val="none" w:sz="0" w:space="0" w:color="auto"/>
        <w:bottom w:val="none" w:sz="0" w:space="0" w:color="auto"/>
        <w:right w:val="none" w:sz="0" w:space="0" w:color="auto"/>
      </w:divBdr>
    </w:div>
    <w:div w:id="1947300402">
      <w:bodyDiv w:val="1"/>
      <w:marLeft w:val="0"/>
      <w:marRight w:val="0"/>
      <w:marTop w:val="0"/>
      <w:marBottom w:val="0"/>
      <w:divBdr>
        <w:top w:val="none" w:sz="0" w:space="0" w:color="auto"/>
        <w:left w:val="none" w:sz="0" w:space="0" w:color="auto"/>
        <w:bottom w:val="none" w:sz="0" w:space="0" w:color="auto"/>
        <w:right w:val="none" w:sz="0" w:space="0" w:color="auto"/>
      </w:divBdr>
    </w:div>
    <w:div w:id="1947343192">
      <w:bodyDiv w:val="1"/>
      <w:marLeft w:val="0"/>
      <w:marRight w:val="0"/>
      <w:marTop w:val="0"/>
      <w:marBottom w:val="0"/>
      <w:divBdr>
        <w:top w:val="none" w:sz="0" w:space="0" w:color="auto"/>
        <w:left w:val="none" w:sz="0" w:space="0" w:color="auto"/>
        <w:bottom w:val="none" w:sz="0" w:space="0" w:color="auto"/>
        <w:right w:val="none" w:sz="0" w:space="0" w:color="auto"/>
      </w:divBdr>
    </w:div>
    <w:div w:id="1947616271">
      <w:bodyDiv w:val="1"/>
      <w:marLeft w:val="0"/>
      <w:marRight w:val="0"/>
      <w:marTop w:val="0"/>
      <w:marBottom w:val="0"/>
      <w:divBdr>
        <w:top w:val="none" w:sz="0" w:space="0" w:color="auto"/>
        <w:left w:val="none" w:sz="0" w:space="0" w:color="auto"/>
        <w:bottom w:val="none" w:sz="0" w:space="0" w:color="auto"/>
        <w:right w:val="none" w:sz="0" w:space="0" w:color="auto"/>
      </w:divBdr>
    </w:div>
    <w:div w:id="1947618888">
      <w:bodyDiv w:val="1"/>
      <w:marLeft w:val="0"/>
      <w:marRight w:val="0"/>
      <w:marTop w:val="0"/>
      <w:marBottom w:val="0"/>
      <w:divBdr>
        <w:top w:val="none" w:sz="0" w:space="0" w:color="auto"/>
        <w:left w:val="none" w:sz="0" w:space="0" w:color="auto"/>
        <w:bottom w:val="none" w:sz="0" w:space="0" w:color="auto"/>
        <w:right w:val="none" w:sz="0" w:space="0" w:color="auto"/>
      </w:divBdr>
    </w:div>
    <w:div w:id="1947686172">
      <w:bodyDiv w:val="1"/>
      <w:marLeft w:val="0"/>
      <w:marRight w:val="0"/>
      <w:marTop w:val="0"/>
      <w:marBottom w:val="0"/>
      <w:divBdr>
        <w:top w:val="none" w:sz="0" w:space="0" w:color="auto"/>
        <w:left w:val="none" w:sz="0" w:space="0" w:color="auto"/>
        <w:bottom w:val="none" w:sz="0" w:space="0" w:color="auto"/>
        <w:right w:val="none" w:sz="0" w:space="0" w:color="auto"/>
      </w:divBdr>
    </w:div>
    <w:div w:id="1947733326">
      <w:bodyDiv w:val="1"/>
      <w:marLeft w:val="0"/>
      <w:marRight w:val="0"/>
      <w:marTop w:val="0"/>
      <w:marBottom w:val="0"/>
      <w:divBdr>
        <w:top w:val="none" w:sz="0" w:space="0" w:color="auto"/>
        <w:left w:val="none" w:sz="0" w:space="0" w:color="auto"/>
        <w:bottom w:val="none" w:sz="0" w:space="0" w:color="auto"/>
        <w:right w:val="none" w:sz="0" w:space="0" w:color="auto"/>
      </w:divBdr>
    </w:div>
    <w:div w:id="1947884371">
      <w:bodyDiv w:val="1"/>
      <w:marLeft w:val="0"/>
      <w:marRight w:val="0"/>
      <w:marTop w:val="0"/>
      <w:marBottom w:val="0"/>
      <w:divBdr>
        <w:top w:val="none" w:sz="0" w:space="0" w:color="auto"/>
        <w:left w:val="none" w:sz="0" w:space="0" w:color="auto"/>
        <w:bottom w:val="none" w:sz="0" w:space="0" w:color="auto"/>
        <w:right w:val="none" w:sz="0" w:space="0" w:color="auto"/>
      </w:divBdr>
    </w:div>
    <w:div w:id="1947929335">
      <w:bodyDiv w:val="1"/>
      <w:marLeft w:val="0"/>
      <w:marRight w:val="0"/>
      <w:marTop w:val="0"/>
      <w:marBottom w:val="0"/>
      <w:divBdr>
        <w:top w:val="none" w:sz="0" w:space="0" w:color="auto"/>
        <w:left w:val="none" w:sz="0" w:space="0" w:color="auto"/>
        <w:bottom w:val="none" w:sz="0" w:space="0" w:color="auto"/>
        <w:right w:val="none" w:sz="0" w:space="0" w:color="auto"/>
      </w:divBdr>
    </w:div>
    <w:div w:id="1948006384">
      <w:bodyDiv w:val="1"/>
      <w:marLeft w:val="0"/>
      <w:marRight w:val="0"/>
      <w:marTop w:val="0"/>
      <w:marBottom w:val="0"/>
      <w:divBdr>
        <w:top w:val="none" w:sz="0" w:space="0" w:color="auto"/>
        <w:left w:val="none" w:sz="0" w:space="0" w:color="auto"/>
        <w:bottom w:val="none" w:sz="0" w:space="0" w:color="auto"/>
        <w:right w:val="none" w:sz="0" w:space="0" w:color="auto"/>
      </w:divBdr>
    </w:div>
    <w:div w:id="1948190738">
      <w:bodyDiv w:val="1"/>
      <w:marLeft w:val="0"/>
      <w:marRight w:val="0"/>
      <w:marTop w:val="0"/>
      <w:marBottom w:val="0"/>
      <w:divBdr>
        <w:top w:val="none" w:sz="0" w:space="0" w:color="auto"/>
        <w:left w:val="none" w:sz="0" w:space="0" w:color="auto"/>
        <w:bottom w:val="none" w:sz="0" w:space="0" w:color="auto"/>
        <w:right w:val="none" w:sz="0" w:space="0" w:color="auto"/>
      </w:divBdr>
    </w:div>
    <w:div w:id="1948345236">
      <w:bodyDiv w:val="1"/>
      <w:marLeft w:val="0"/>
      <w:marRight w:val="0"/>
      <w:marTop w:val="0"/>
      <w:marBottom w:val="0"/>
      <w:divBdr>
        <w:top w:val="none" w:sz="0" w:space="0" w:color="auto"/>
        <w:left w:val="none" w:sz="0" w:space="0" w:color="auto"/>
        <w:bottom w:val="none" w:sz="0" w:space="0" w:color="auto"/>
        <w:right w:val="none" w:sz="0" w:space="0" w:color="auto"/>
      </w:divBdr>
    </w:div>
    <w:div w:id="1948463998">
      <w:bodyDiv w:val="1"/>
      <w:marLeft w:val="0"/>
      <w:marRight w:val="0"/>
      <w:marTop w:val="0"/>
      <w:marBottom w:val="0"/>
      <w:divBdr>
        <w:top w:val="none" w:sz="0" w:space="0" w:color="auto"/>
        <w:left w:val="none" w:sz="0" w:space="0" w:color="auto"/>
        <w:bottom w:val="none" w:sz="0" w:space="0" w:color="auto"/>
        <w:right w:val="none" w:sz="0" w:space="0" w:color="auto"/>
      </w:divBdr>
    </w:div>
    <w:div w:id="1948584842">
      <w:bodyDiv w:val="1"/>
      <w:marLeft w:val="0"/>
      <w:marRight w:val="0"/>
      <w:marTop w:val="0"/>
      <w:marBottom w:val="0"/>
      <w:divBdr>
        <w:top w:val="none" w:sz="0" w:space="0" w:color="auto"/>
        <w:left w:val="none" w:sz="0" w:space="0" w:color="auto"/>
        <w:bottom w:val="none" w:sz="0" w:space="0" w:color="auto"/>
        <w:right w:val="none" w:sz="0" w:space="0" w:color="auto"/>
      </w:divBdr>
    </w:div>
    <w:div w:id="1948585048">
      <w:bodyDiv w:val="1"/>
      <w:marLeft w:val="0"/>
      <w:marRight w:val="0"/>
      <w:marTop w:val="0"/>
      <w:marBottom w:val="0"/>
      <w:divBdr>
        <w:top w:val="none" w:sz="0" w:space="0" w:color="auto"/>
        <w:left w:val="none" w:sz="0" w:space="0" w:color="auto"/>
        <w:bottom w:val="none" w:sz="0" w:space="0" w:color="auto"/>
        <w:right w:val="none" w:sz="0" w:space="0" w:color="auto"/>
      </w:divBdr>
    </w:div>
    <w:div w:id="1948809159">
      <w:bodyDiv w:val="1"/>
      <w:marLeft w:val="0"/>
      <w:marRight w:val="0"/>
      <w:marTop w:val="0"/>
      <w:marBottom w:val="0"/>
      <w:divBdr>
        <w:top w:val="none" w:sz="0" w:space="0" w:color="auto"/>
        <w:left w:val="none" w:sz="0" w:space="0" w:color="auto"/>
        <w:bottom w:val="none" w:sz="0" w:space="0" w:color="auto"/>
        <w:right w:val="none" w:sz="0" w:space="0" w:color="auto"/>
      </w:divBdr>
    </w:div>
    <w:div w:id="1948809730">
      <w:bodyDiv w:val="1"/>
      <w:marLeft w:val="0"/>
      <w:marRight w:val="0"/>
      <w:marTop w:val="0"/>
      <w:marBottom w:val="0"/>
      <w:divBdr>
        <w:top w:val="none" w:sz="0" w:space="0" w:color="auto"/>
        <w:left w:val="none" w:sz="0" w:space="0" w:color="auto"/>
        <w:bottom w:val="none" w:sz="0" w:space="0" w:color="auto"/>
        <w:right w:val="none" w:sz="0" w:space="0" w:color="auto"/>
      </w:divBdr>
    </w:div>
    <w:div w:id="1948848038">
      <w:bodyDiv w:val="1"/>
      <w:marLeft w:val="0"/>
      <w:marRight w:val="0"/>
      <w:marTop w:val="0"/>
      <w:marBottom w:val="0"/>
      <w:divBdr>
        <w:top w:val="none" w:sz="0" w:space="0" w:color="auto"/>
        <w:left w:val="none" w:sz="0" w:space="0" w:color="auto"/>
        <w:bottom w:val="none" w:sz="0" w:space="0" w:color="auto"/>
        <w:right w:val="none" w:sz="0" w:space="0" w:color="auto"/>
      </w:divBdr>
    </w:div>
    <w:div w:id="1948848336">
      <w:bodyDiv w:val="1"/>
      <w:marLeft w:val="0"/>
      <w:marRight w:val="0"/>
      <w:marTop w:val="0"/>
      <w:marBottom w:val="0"/>
      <w:divBdr>
        <w:top w:val="none" w:sz="0" w:space="0" w:color="auto"/>
        <w:left w:val="none" w:sz="0" w:space="0" w:color="auto"/>
        <w:bottom w:val="none" w:sz="0" w:space="0" w:color="auto"/>
        <w:right w:val="none" w:sz="0" w:space="0" w:color="auto"/>
      </w:divBdr>
    </w:div>
    <w:div w:id="1948849172">
      <w:bodyDiv w:val="1"/>
      <w:marLeft w:val="0"/>
      <w:marRight w:val="0"/>
      <w:marTop w:val="0"/>
      <w:marBottom w:val="0"/>
      <w:divBdr>
        <w:top w:val="none" w:sz="0" w:space="0" w:color="auto"/>
        <w:left w:val="none" w:sz="0" w:space="0" w:color="auto"/>
        <w:bottom w:val="none" w:sz="0" w:space="0" w:color="auto"/>
        <w:right w:val="none" w:sz="0" w:space="0" w:color="auto"/>
      </w:divBdr>
    </w:div>
    <w:div w:id="1948925476">
      <w:bodyDiv w:val="1"/>
      <w:marLeft w:val="0"/>
      <w:marRight w:val="0"/>
      <w:marTop w:val="0"/>
      <w:marBottom w:val="0"/>
      <w:divBdr>
        <w:top w:val="none" w:sz="0" w:space="0" w:color="auto"/>
        <w:left w:val="none" w:sz="0" w:space="0" w:color="auto"/>
        <w:bottom w:val="none" w:sz="0" w:space="0" w:color="auto"/>
        <w:right w:val="none" w:sz="0" w:space="0" w:color="auto"/>
      </w:divBdr>
    </w:div>
    <w:div w:id="1949046102">
      <w:bodyDiv w:val="1"/>
      <w:marLeft w:val="0"/>
      <w:marRight w:val="0"/>
      <w:marTop w:val="0"/>
      <w:marBottom w:val="0"/>
      <w:divBdr>
        <w:top w:val="none" w:sz="0" w:space="0" w:color="auto"/>
        <w:left w:val="none" w:sz="0" w:space="0" w:color="auto"/>
        <w:bottom w:val="none" w:sz="0" w:space="0" w:color="auto"/>
        <w:right w:val="none" w:sz="0" w:space="0" w:color="auto"/>
      </w:divBdr>
    </w:div>
    <w:div w:id="1949047511">
      <w:bodyDiv w:val="1"/>
      <w:marLeft w:val="0"/>
      <w:marRight w:val="0"/>
      <w:marTop w:val="0"/>
      <w:marBottom w:val="0"/>
      <w:divBdr>
        <w:top w:val="none" w:sz="0" w:space="0" w:color="auto"/>
        <w:left w:val="none" w:sz="0" w:space="0" w:color="auto"/>
        <w:bottom w:val="none" w:sz="0" w:space="0" w:color="auto"/>
        <w:right w:val="none" w:sz="0" w:space="0" w:color="auto"/>
      </w:divBdr>
    </w:div>
    <w:div w:id="1949114442">
      <w:bodyDiv w:val="1"/>
      <w:marLeft w:val="0"/>
      <w:marRight w:val="0"/>
      <w:marTop w:val="0"/>
      <w:marBottom w:val="0"/>
      <w:divBdr>
        <w:top w:val="none" w:sz="0" w:space="0" w:color="auto"/>
        <w:left w:val="none" w:sz="0" w:space="0" w:color="auto"/>
        <w:bottom w:val="none" w:sz="0" w:space="0" w:color="auto"/>
        <w:right w:val="none" w:sz="0" w:space="0" w:color="auto"/>
      </w:divBdr>
    </w:div>
    <w:div w:id="1949462243">
      <w:bodyDiv w:val="1"/>
      <w:marLeft w:val="0"/>
      <w:marRight w:val="0"/>
      <w:marTop w:val="0"/>
      <w:marBottom w:val="0"/>
      <w:divBdr>
        <w:top w:val="none" w:sz="0" w:space="0" w:color="auto"/>
        <w:left w:val="none" w:sz="0" w:space="0" w:color="auto"/>
        <w:bottom w:val="none" w:sz="0" w:space="0" w:color="auto"/>
        <w:right w:val="none" w:sz="0" w:space="0" w:color="auto"/>
      </w:divBdr>
    </w:div>
    <w:div w:id="1949653294">
      <w:bodyDiv w:val="1"/>
      <w:marLeft w:val="0"/>
      <w:marRight w:val="0"/>
      <w:marTop w:val="0"/>
      <w:marBottom w:val="0"/>
      <w:divBdr>
        <w:top w:val="none" w:sz="0" w:space="0" w:color="auto"/>
        <w:left w:val="none" w:sz="0" w:space="0" w:color="auto"/>
        <w:bottom w:val="none" w:sz="0" w:space="0" w:color="auto"/>
        <w:right w:val="none" w:sz="0" w:space="0" w:color="auto"/>
      </w:divBdr>
    </w:div>
    <w:div w:id="1949656319">
      <w:bodyDiv w:val="1"/>
      <w:marLeft w:val="0"/>
      <w:marRight w:val="0"/>
      <w:marTop w:val="0"/>
      <w:marBottom w:val="0"/>
      <w:divBdr>
        <w:top w:val="none" w:sz="0" w:space="0" w:color="auto"/>
        <w:left w:val="none" w:sz="0" w:space="0" w:color="auto"/>
        <w:bottom w:val="none" w:sz="0" w:space="0" w:color="auto"/>
        <w:right w:val="none" w:sz="0" w:space="0" w:color="auto"/>
      </w:divBdr>
    </w:div>
    <w:div w:id="1949697854">
      <w:bodyDiv w:val="1"/>
      <w:marLeft w:val="0"/>
      <w:marRight w:val="0"/>
      <w:marTop w:val="0"/>
      <w:marBottom w:val="0"/>
      <w:divBdr>
        <w:top w:val="none" w:sz="0" w:space="0" w:color="auto"/>
        <w:left w:val="none" w:sz="0" w:space="0" w:color="auto"/>
        <w:bottom w:val="none" w:sz="0" w:space="0" w:color="auto"/>
        <w:right w:val="none" w:sz="0" w:space="0" w:color="auto"/>
      </w:divBdr>
    </w:div>
    <w:div w:id="1949700701">
      <w:bodyDiv w:val="1"/>
      <w:marLeft w:val="0"/>
      <w:marRight w:val="0"/>
      <w:marTop w:val="0"/>
      <w:marBottom w:val="0"/>
      <w:divBdr>
        <w:top w:val="none" w:sz="0" w:space="0" w:color="auto"/>
        <w:left w:val="none" w:sz="0" w:space="0" w:color="auto"/>
        <w:bottom w:val="none" w:sz="0" w:space="0" w:color="auto"/>
        <w:right w:val="none" w:sz="0" w:space="0" w:color="auto"/>
      </w:divBdr>
    </w:div>
    <w:div w:id="1949770977">
      <w:bodyDiv w:val="1"/>
      <w:marLeft w:val="0"/>
      <w:marRight w:val="0"/>
      <w:marTop w:val="0"/>
      <w:marBottom w:val="0"/>
      <w:divBdr>
        <w:top w:val="none" w:sz="0" w:space="0" w:color="auto"/>
        <w:left w:val="none" w:sz="0" w:space="0" w:color="auto"/>
        <w:bottom w:val="none" w:sz="0" w:space="0" w:color="auto"/>
        <w:right w:val="none" w:sz="0" w:space="0" w:color="auto"/>
      </w:divBdr>
    </w:div>
    <w:div w:id="1949849753">
      <w:bodyDiv w:val="1"/>
      <w:marLeft w:val="0"/>
      <w:marRight w:val="0"/>
      <w:marTop w:val="0"/>
      <w:marBottom w:val="0"/>
      <w:divBdr>
        <w:top w:val="none" w:sz="0" w:space="0" w:color="auto"/>
        <w:left w:val="none" w:sz="0" w:space="0" w:color="auto"/>
        <w:bottom w:val="none" w:sz="0" w:space="0" w:color="auto"/>
        <w:right w:val="none" w:sz="0" w:space="0" w:color="auto"/>
      </w:divBdr>
    </w:div>
    <w:div w:id="1949892700">
      <w:bodyDiv w:val="1"/>
      <w:marLeft w:val="0"/>
      <w:marRight w:val="0"/>
      <w:marTop w:val="0"/>
      <w:marBottom w:val="0"/>
      <w:divBdr>
        <w:top w:val="none" w:sz="0" w:space="0" w:color="auto"/>
        <w:left w:val="none" w:sz="0" w:space="0" w:color="auto"/>
        <w:bottom w:val="none" w:sz="0" w:space="0" w:color="auto"/>
        <w:right w:val="none" w:sz="0" w:space="0" w:color="auto"/>
      </w:divBdr>
    </w:div>
    <w:div w:id="1949971045">
      <w:bodyDiv w:val="1"/>
      <w:marLeft w:val="0"/>
      <w:marRight w:val="0"/>
      <w:marTop w:val="0"/>
      <w:marBottom w:val="0"/>
      <w:divBdr>
        <w:top w:val="none" w:sz="0" w:space="0" w:color="auto"/>
        <w:left w:val="none" w:sz="0" w:space="0" w:color="auto"/>
        <w:bottom w:val="none" w:sz="0" w:space="0" w:color="auto"/>
        <w:right w:val="none" w:sz="0" w:space="0" w:color="auto"/>
      </w:divBdr>
    </w:div>
    <w:div w:id="1950160913">
      <w:bodyDiv w:val="1"/>
      <w:marLeft w:val="0"/>
      <w:marRight w:val="0"/>
      <w:marTop w:val="0"/>
      <w:marBottom w:val="0"/>
      <w:divBdr>
        <w:top w:val="none" w:sz="0" w:space="0" w:color="auto"/>
        <w:left w:val="none" w:sz="0" w:space="0" w:color="auto"/>
        <w:bottom w:val="none" w:sz="0" w:space="0" w:color="auto"/>
        <w:right w:val="none" w:sz="0" w:space="0" w:color="auto"/>
      </w:divBdr>
    </w:div>
    <w:div w:id="1950307950">
      <w:bodyDiv w:val="1"/>
      <w:marLeft w:val="0"/>
      <w:marRight w:val="0"/>
      <w:marTop w:val="0"/>
      <w:marBottom w:val="0"/>
      <w:divBdr>
        <w:top w:val="none" w:sz="0" w:space="0" w:color="auto"/>
        <w:left w:val="none" w:sz="0" w:space="0" w:color="auto"/>
        <w:bottom w:val="none" w:sz="0" w:space="0" w:color="auto"/>
        <w:right w:val="none" w:sz="0" w:space="0" w:color="auto"/>
      </w:divBdr>
    </w:div>
    <w:div w:id="1950500351">
      <w:bodyDiv w:val="1"/>
      <w:marLeft w:val="0"/>
      <w:marRight w:val="0"/>
      <w:marTop w:val="0"/>
      <w:marBottom w:val="0"/>
      <w:divBdr>
        <w:top w:val="none" w:sz="0" w:space="0" w:color="auto"/>
        <w:left w:val="none" w:sz="0" w:space="0" w:color="auto"/>
        <w:bottom w:val="none" w:sz="0" w:space="0" w:color="auto"/>
        <w:right w:val="none" w:sz="0" w:space="0" w:color="auto"/>
      </w:divBdr>
    </w:div>
    <w:div w:id="1950507650">
      <w:bodyDiv w:val="1"/>
      <w:marLeft w:val="0"/>
      <w:marRight w:val="0"/>
      <w:marTop w:val="0"/>
      <w:marBottom w:val="0"/>
      <w:divBdr>
        <w:top w:val="none" w:sz="0" w:space="0" w:color="auto"/>
        <w:left w:val="none" w:sz="0" w:space="0" w:color="auto"/>
        <w:bottom w:val="none" w:sz="0" w:space="0" w:color="auto"/>
        <w:right w:val="none" w:sz="0" w:space="0" w:color="auto"/>
      </w:divBdr>
    </w:div>
    <w:div w:id="1950697259">
      <w:bodyDiv w:val="1"/>
      <w:marLeft w:val="0"/>
      <w:marRight w:val="0"/>
      <w:marTop w:val="0"/>
      <w:marBottom w:val="0"/>
      <w:divBdr>
        <w:top w:val="none" w:sz="0" w:space="0" w:color="auto"/>
        <w:left w:val="none" w:sz="0" w:space="0" w:color="auto"/>
        <w:bottom w:val="none" w:sz="0" w:space="0" w:color="auto"/>
        <w:right w:val="none" w:sz="0" w:space="0" w:color="auto"/>
      </w:divBdr>
    </w:div>
    <w:div w:id="1950817756">
      <w:bodyDiv w:val="1"/>
      <w:marLeft w:val="0"/>
      <w:marRight w:val="0"/>
      <w:marTop w:val="0"/>
      <w:marBottom w:val="0"/>
      <w:divBdr>
        <w:top w:val="none" w:sz="0" w:space="0" w:color="auto"/>
        <w:left w:val="none" w:sz="0" w:space="0" w:color="auto"/>
        <w:bottom w:val="none" w:sz="0" w:space="0" w:color="auto"/>
        <w:right w:val="none" w:sz="0" w:space="0" w:color="auto"/>
      </w:divBdr>
    </w:div>
    <w:div w:id="1950890071">
      <w:bodyDiv w:val="1"/>
      <w:marLeft w:val="0"/>
      <w:marRight w:val="0"/>
      <w:marTop w:val="0"/>
      <w:marBottom w:val="0"/>
      <w:divBdr>
        <w:top w:val="none" w:sz="0" w:space="0" w:color="auto"/>
        <w:left w:val="none" w:sz="0" w:space="0" w:color="auto"/>
        <w:bottom w:val="none" w:sz="0" w:space="0" w:color="auto"/>
        <w:right w:val="none" w:sz="0" w:space="0" w:color="auto"/>
      </w:divBdr>
    </w:div>
    <w:div w:id="1950963973">
      <w:bodyDiv w:val="1"/>
      <w:marLeft w:val="0"/>
      <w:marRight w:val="0"/>
      <w:marTop w:val="0"/>
      <w:marBottom w:val="0"/>
      <w:divBdr>
        <w:top w:val="none" w:sz="0" w:space="0" w:color="auto"/>
        <w:left w:val="none" w:sz="0" w:space="0" w:color="auto"/>
        <w:bottom w:val="none" w:sz="0" w:space="0" w:color="auto"/>
        <w:right w:val="none" w:sz="0" w:space="0" w:color="auto"/>
      </w:divBdr>
    </w:div>
    <w:div w:id="1950969632">
      <w:bodyDiv w:val="1"/>
      <w:marLeft w:val="0"/>
      <w:marRight w:val="0"/>
      <w:marTop w:val="0"/>
      <w:marBottom w:val="0"/>
      <w:divBdr>
        <w:top w:val="none" w:sz="0" w:space="0" w:color="auto"/>
        <w:left w:val="none" w:sz="0" w:space="0" w:color="auto"/>
        <w:bottom w:val="none" w:sz="0" w:space="0" w:color="auto"/>
        <w:right w:val="none" w:sz="0" w:space="0" w:color="auto"/>
      </w:divBdr>
    </w:div>
    <w:div w:id="1951011159">
      <w:bodyDiv w:val="1"/>
      <w:marLeft w:val="0"/>
      <w:marRight w:val="0"/>
      <w:marTop w:val="0"/>
      <w:marBottom w:val="0"/>
      <w:divBdr>
        <w:top w:val="none" w:sz="0" w:space="0" w:color="auto"/>
        <w:left w:val="none" w:sz="0" w:space="0" w:color="auto"/>
        <w:bottom w:val="none" w:sz="0" w:space="0" w:color="auto"/>
        <w:right w:val="none" w:sz="0" w:space="0" w:color="auto"/>
      </w:divBdr>
    </w:div>
    <w:div w:id="1951038160">
      <w:bodyDiv w:val="1"/>
      <w:marLeft w:val="0"/>
      <w:marRight w:val="0"/>
      <w:marTop w:val="0"/>
      <w:marBottom w:val="0"/>
      <w:divBdr>
        <w:top w:val="none" w:sz="0" w:space="0" w:color="auto"/>
        <w:left w:val="none" w:sz="0" w:space="0" w:color="auto"/>
        <w:bottom w:val="none" w:sz="0" w:space="0" w:color="auto"/>
        <w:right w:val="none" w:sz="0" w:space="0" w:color="auto"/>
      </w:divBdr>
    </w:div>
    <w:div w:id="1951160504">
      <w:bodyDiv w:val="1"/>
      <w:marLeft w:val="0"/>
      <w:marRight w:val="0"/>
      <w:marTop w:val="0"/>
      <w:marBottom w:val="0"/>
      <w:divBdr>
        <w:top w:val="none" w:sz="0" w:space="0" w:color="auto"/>
        <w:left w:val="none" w:sz="0" w:space="0" w:color="auto"/>
        <w:bottom w:val="none" w:sz="0" w:space="0" w:color="auto"/>
        <w:right w:val="none" w:sz="0" w:space="0" w:color="auto"/>
      </w:divBdr>
    </w:div>
    <w:div w:id="1951234556">
      <w:bodyDiv w:val="1"/>
      <w:marLeft w:val="0"/>
      <w:marRight w:val="0"/>
      <w:marTop w:val="0"/>
      <w:marBottom w:val="0"/>
      <w:divBdr>
        <w:top w:val="none" w:sz="0" w:space="0" w:color="auto"/>
        <w:left w:val="none" w:sz="0" w:space="0" w:color="auto"/>
        <w:bottom w:val="none" w:sz="0" w:space="0" w:color="auto"/>
        <w:right w:val="none" w:sz="0" w:space="0" w:color="auto"/>
      </w:divBdr>
    </w:div>
    <w:div w:id="1951352344">
      <w:bodyDiv w:val="1"/>
      <w:marLeft w:val="0"/>
      <w:marRight w:val="0"/>
      <w:marTop w:val="0"/>
      <w:marBottom w:val="0"/>
      <w:divBdr>
        <w:top w:val="none" w:sz="0" w:space="0" w:color="auto"/>
        <w:left w:val="none" w:sz="0" w:space="0" w:color="auto"/>
        <w:bottom w:val="none" w:sz="0" w:space="0" w:color="auto"/>
        <w:right w:val="none" w:sz="0" w:space="0" w:color="auto"/>
      </w:divBdr>
    </w:div>
    <w:div w:id="1951473843">
      <w:bodyDiv w:val="1"/>
      <w:marLeft w:val="0"/>
      <w:marRight w:val="0"/>
      <w:marTop w:val="0"/>
      <w:marBottom w:val="0"/>
      <w:divBdr>
        <w:top w:val="none" w:sz="0" w:space="0" w:color="auto"/>
        <w:left w:val="none" w:sz="0" w:space="0" w:color="auto"/>
        <w:bottom w:val="none" w:sz="0" w:space="0" w:color="auto"/>
        <w:right w:val="none" w:sz="0" w:space="0" w:color="auto"/>
      </w:divBdr>
    </w:div>
    <w:div w:id="1951542599">
      <w:bodyDiv w:val="1"/>
      <w:marLeft w:val="0"/>
      <w:marRight w:val="0"/>
      <w:marTop w:val="0"/>
      <w:marBottom w:val="0"/>
      <w:divBdr>
        <w:top w:val="none" w:sz="0" w:space="0" w:color="auto"/>
        <w:left w:val="none" w:sz="0" w:space="0" w:color="auto"/>
        <w:bottom w:val="none" w:sz="0" w:space="0" w:color="auto"/>
        <w:right w:val="none" w:sz="0" w:space="0" w:color="auto"/>
      </w:divBdr>
    </w:div>
    <w:div w:id="1951544142">
      <w:bodyDiv w:val="1"/>
      <w:marLeft w:val="0"/>
      <w:marRight w:val="0"/>
      <w:marTop w:val="0"/>
      <w:marBottom w:val="0"/>
      <w:divBdr>
        <w:top w:val="none" w:sz="0" w:space="0" w:color="auto"/>
        <w:left w:val="none" w:sz="0" w:space="0" w:color="auto"/>
        <w:bottom w:val="none" w:sz="0" w:space="0" w:color="auto"/>
        <w:right w:val="none" w:sz="0" w:space="0" w:color="auto"/>
      </w:divBdr>
    </w:div>
    <w:div w:id="1951626157">
      <w:bodyDiv w:val="1"/>
      <w:marLeft w:val="0"/>
      <w:marRight w:val="0"/>
      <w:marTop w:val="0"/>
      <w:marBottom w:val="0"/>
      <w:divBdr>
        <w:top w:val="none" w:sz="0" w:space="0" w:color="auto"/>
        <w:left w:val="none" w:sz="0" w:space="0" w:color="auto"/>
        <w:bottom w:val="none" w:sz="0" w:space="0" w:color="auto"/>
        <w:right w:val="none" w:sz="0" w:space="0" w:color="auto"/>
      </w:divBdr>
    </w:div>
    <w:div w:id="1951662149">
      <w:bodyDiv w:val="1"/>
      <w:marLeft w:val="0"/>
      <w:marRight w:val="0"/>
      <w:marTop w:val="0"/>
      <w:marBottom w:val="0"/>
      <w:divBdr>
        <w:top w:val="none" w:sz="0" w:space="0" w:color="auto"/>
        <w:left w:val="none" w:sz="0" w:space="0" w:color="auto"/>
        <w:bottom w:val="none" w:sz="0" w:space="0" w:color="auto"/>
        <w:right w:val="none" w:sz="0" w:space="0" w:color="auto"/>
      </w:divBdr>
    </w:div>
    <w:div w:id="1951816621">
      <w:bodyDiv w:val="1"/>
      <w:marLeft w:val="0"/>
      <w:marRight w:val="0"/>
      <w:marTop w:val="0"/>
      <w:marBottom w:val="0"/>
      <w:divBdr>
        <w:top w:val="none" w:sz="0" w:space="0" w:color="auto"/>
        <w:left w:val="none" w:sz="0" w:space="0" w:color="auto"/>
        <w:bottom w:val="none" w:sz="0" w:space="0" w:color="auto"/>
        <w:right w:val="none" w:sz="0" w:space="0" w:color="auto"/>
      </w:divBdr>
    </w:div>
    <w:div w:id="1951817672">
      <w:bodyDiv w:val="1"/>
      <w:marLeft w:val="0"/>
      <w:marRight w:val="0"/>
      <w:marTop w:val="0"/>
      <w:marBottom w:val="0"/>
      <w:divBdr>
        <w:top w:val="none" w:sz="0" w:space="0" w:color="auto"/>
        <w:left w:val="none" w:sz="0" w:space="0" w:color="auto"/>
        <w:bottom w:val="none" w:sz="0" w:space="0" w:color="auto"/>
        <w:right w:val="none" w:sz="0" w:space="0" w:color="auto"/>
      </w:divBdr>
    </w:div>
    <w:div w:id="1951860760">
      <w:bodyDiv w:val="1"/>
      <w:marLeft w:val="0"/>
      <w:marRight w:val="0"/>
      <w:marTop w:val="0"/>
      <w:marBottom w:val="0"/>
      <w:divBdr>
        <w:top w:val="none" w:sz="0" w:space="0" w:color="auto"/>
        <w:left w:val="none" w:sz="0" w:space="0" w:color="auto"/>
        <w:bottom w:val="none" w:sz="0" w:space="0" w:color="auto"/>
        <w:right w:val="none" w:sz="0" w:space="0" w:color="auto"/>
      </w:divBdr>
    </w:div>
    <w:div w:id="1952005120">
      <w:bodyDiv w:val="1"/>
      <w:marLeft w:val="0"/>
      <w:marRight w:val="0"/>
      <w:marTop w:val="0"/>
      <w:marBottom w:val="0"/>
      <w:divBdr>
        <w:top w:val="none" w:sz="0" w:space="0" w:color="auto"/>
        <w:left w:val="none" w:sz="0" w:space="0" w:color="auto"/>
        <w:bottom w:val="none" w:sz="0" w:space="0" w:color="auto"/>
        <w:right w:val="none" w:sz="0" w:space="0" w:color="auto"/>
      </w:divBdr>
    </w:div>
    <w:div w:id="1952009738">
      <w:bodyDiv w:val="1"/>
      <w:marLeft w:val="0"/>
      <w:marRight w:val="0"/>
      <w:marTop w:val="0"/>
      <w:marBottom w:val="0"/>
      <w:divBdr>
        <w:top w:val="none" w:sz="0" w:space="0" w:color="auto"/>
        <w:left w:val="none" w:sz="0" w:space="0" w:color="auto"/>
        <w:bottom w:val="none" w:sz="0" w:space="0" w:color="auto"/>
        <w:right w:val="none" w:sz="0" w:space="0" w:color="auto"/>
      </w:divBdr>
    </w:div>
    <w:div w:id="1952128119">
      <w:bodyDiv w:val="1"/>
      <w:marLeft w:val="0"/>
      <w:marRight w:val="0"/>
      <w:marTop w:val="0"/>
      <w:marBottom w:val="0"/>
      <w:divBdr>
        <w:top w:val="none" w:sz="0" w:space="0" w:color="auto"/>
        <w:left w:val="none" w:sz="0" w:space="0" w:color="auto"/>
        <w:bottom w:val="none" w:sz="0" w:space="0" w:color="auto"/>
        <w:right w:val="none" w:sz="0" w:space="0" w:color="auto"/>
      </w:divBdr>
    </w:div>
    <w:div w:id="1952202619">
      <w:bodyDiv w:val="1"/>
      <w:marLeft w:val="0"/>
      <w:marRight w:val="0"/>
      <w:marTop w:val="0"/>
      <w:marBottom w:val="0"/>
      <w:divBdr>
        <w:top w:val="none" w:sz="0" w:space="0" w:color="auto"/>
        <w:left w:val="none" w:sz="0" w:space="0" w:color="auto"/>
        <w:bottom w:val="none" w:sz="0" w:space="0" w:color="auto"/>
        <w:right w:val="none" w:sz="0" w:space="0" w:color="auto"/>
      </w:divBdr>
    </w:div>
    <w:div w:id="1952203560">
      <w:bodyDiv w:val="1"/>
      <w:marLeft w:val="0"/>
      <w:marRight w:val="0"/>
      <w:marTop w:val="0"/>
      <w:marBottom w:val="0"/>
      <w:divBdr>
        <w:top w:val="none" w:sz="0" w:space="0" w:color="auto"/>
        <w:left w:val="none" w:sz="0" w:space="0" w:color="auto"/>
        <w:bottom w:val="none" w:sz="0" w:space="0" w:color="auto"/>
        <w:right w:val="none" w:sz="0" w:space="0" w:color="auto"/>
      </w:divBdr>
    </w:div>
    <w:div w:id="1952277807">
      <w:bodyDiv w:val="1"/>
      <w:marLeft w:val="0"/>
      <w:marRight w:val="0"/>
      <w:marTop w:val="0"/>
      <w:marBottom w:val="0"/>
      <w:divBdr>
        <w:top w:val="none" w:sz="0" w:space="0" w:color="auto"/>
        <w:left w:val="none" w:sz="0" w:space="0" w:color="auto"/>
        <w:bottom w:val="none" w:sz="0" w:space="0" w:color="auto"/>
        <w:right w:val="none" w:sz="0" w:space="0" w:color="auto"/>
      </w:divBdr>
    </w:div>
    <w:div w:id="1952348202">
      <w:bodyDiv w:val="1"/>
      <w:marLeft w:val="0"/>
      <w:marRight w:val="0"/>
      <w:marTop w:val="0"/>
      <w:marBottom w:val="0"/>
      <w:divBdr>
        <w:top w:val="none" w:sz="0" w:space="0" w:color="auto"/>
        <w:left w:val="none" w:sz="0" w:space="0" w:color="auto"/>
        <w:bottom w:val="none" w:sz="0" w:space="0" w:color="auto"/>
        <w:right w:val="none" w:sz="0" w:space="0" w:color="auto"/>
      </w:divBdr>
    </w:div>
    <w:div w:id="1952663006">
      <w:bodyDiv w:val="1"/>
      <w:marLeft w:val="0"/>
      <w:marRight w:val="0"/>
      <w:marTop w:val="0"/>
      <w:marBottom w:val="0"/>
      <w:divBdr>
        <w:top w:val="none" w:sz="0" w:space="0" w:color="auto"/>
        <w:left w:val="none" w:sz="0" w:space="0" w:color="auto"/>
        <w:bottom w:val="none" w:sz="0" w:space="0" w:color="auto"/>
        <w:right w:val="none" w:sz="0" w:space="0" w:color="auto"/>
      </w:divBdr>
    </w:div>
    <w:div w:id="1952742273">
      <w:bodyDiv w:val="1"/>
      <w:marLeft w:val="0"/>
      <w:marRight w:val="0"/>
      <w:marTop w:val="0"/>
      <w:marBottom w:val="0"/>
      <w:divBdr>
        <w:top w:val="none" w:sz="0" w:space="0" w:color="auto"/>
        <w:left w:val="none" w:sz="0" w:space="0" w:color="auto"/>
        <w:bottom w:val="none" w:sz="0" w:space="0" w:color="auto"/>
        <w:right w:val="none" w:sz="0" w:space="0" w:color="auto"/>
      </w:divBdr>
    </w:div>
    <w:div w:id="1952782526">
      <w:bodyDiv w:val="1"/>
      <w:marLeft w:val="0"/>
      <w:marRight w:val="0"/>
      <w:marTop w:val="0"/>
      <w:marBottom w:val="0"/>
      <w:divBdr>
        <w:top w:val="none" w:sz="0" w:space="0" w:color="auto"/>
        <w:left w:val="none" w:sz="0" w:space="0" w:color="auto"/>
        <w:bottom w:val="none" w:sz="0" w:space="0" w:color="auto"/>
        <w:right w:val="none" w:sz="0" w:space="0" w:color="auto"/>
      </w:divBdr>
    </w:div>
    <w:div w:id="1952852878">
      <w:bodyDiv w:val="1"/>
      <w:marLeft w:val="0"/>
      <w:marRight w:val="0"/>
      <w:marTop w:val="0"/>
      <w:marBottom w:val="0"/>
      <w:divBdr>
        <w:top w:val="none" w:sz="0" w:space="0" w:color="auto"/>
        <w:left w:val="none" w:sz="0" w:space="0" w:color="auto"/>
        <w:bottom w:val="none" w:sz="0" w:space="0" w:color="auto"/>
        <w:right w:val="none" w:sz="0" w:space="0" w:color="auto"/>
      </w:divBdr>
    </w:div>
    <w:div w:id="1952930911">
      <w:bodyDiv w:val="1"/>
      <w:marLeft w:val="0"/>
      <w:marRight w:val="0"/>
      <w:marTop w:val="0"/>
      <w:marBottom w:val="0"/>
      <w:divBdr>
        <w:top w:val="none" w:sz="0" w:space="0" w:color="auto"/>
        <w:left w:val="none" w:sz="0" w:space="0" w:color="auto"/>
        <w:bottom w:val="none" w:sz="0" w:space="0" w:color="auto"/>
        <w:right w:val="none" w:sz="0" w:space="0" w:color="auto"/>
      </w:divBdr>
    </w:div>
    <w:div w:id="1953197813">
      <w:bodyDiv w:val="1"/>
      <w:marLeft w:val="0"/>
      <w:marRight w:val="0"/>
      <w:marTop w:val="0"/>
      <w:marBottom w:val="0"/>
      <w:divBdr>
        <w:top w:val="none" w:sz="0" w:space="0" w:color="auto"/>
        <w:left w:val="none" w:sz="0" w:space="0" w:color="auto"/>
        <w:bottom w:val="none" w:sz="0" w:space="0" w:color="auto"/>
        <w:right w:val="none" w:sz="0" w:space="0" w:color="auto"/>
      </w:divBdr>
    </w:div>
    <w:div w:id="1953319181">
      <w:bodyDiv w:val="1"/>
      <w:marLeft w:val="0"/>
      <w:marRight w:val="0"/>
      <w:marTop w:val="0"/>
      <w:marBottom w:val="0"/>
      <w:divBdr>
        <w:top w:val="none" w:sz="0" w:space="0" w:color="auto"/>
        <w:left w:val="none" w:sz="0" w:space="0" w:color="auto"/>
        <w:bottom w:val="none" w:sz="0" w:space="0" w:color="auto"/>
        <w:right w:val="none" w:sz="0" w:space="0" w:color="auto"/>
      </w:divBdr>
    </w:div>
    <w:div w:id="1953319190">
      <w:bodyDiv w:val="1"/>
      <w:marLeft w:val="0"/>
      <w:marRight w:val="0"/>
      <w:marTop w:val="0"/>
      <w:marBottom w:val="0"/>
      <w:divBdr>
        <w:top w:val="none" w:sz="0" w:space="0" w:color="auto"/>
        <w:left w:val="none" w:sz="0" w:space="0" w:color="auto"/>
        <w:bottom w:val="none" w:sz="0" w:space="0" w:color="auto"/>
        <w:right w:val="none" w:sz="0" w:space="0" w:color="auto"/>
      </w:divBdr>
    </w:div>
    <w:div w:id="1953394518">
      <w:bodyDiv w:val="1"/>
      <w:marLeft w:val="0"/>
      <w:marRight w:val="0"/>
      <w:marTop w:val="0"/>
      <w:marBottom w:val="0"/>
      <w:divBdr>
        <w:top w:val="none" w:sz="0" w:space="0" w:color="auto"/>
        <w:left w:val="none" w:sz="0" w:space="0" w:color="auto"/>
        <w:bottom w:val="none" w:sz="0" w:space="0" w:color="auto"/>
        <w:right w:val="none" w:sz="0" w:space="0" w:color="auto"/>
      </w:divBdr>
    </w:div>
    <w:div w:id="1953434258">
      <w:bodyDiv w:val="1"/>
      <w:marLeft w:val="0"/>
      <w:marRight w:val="0"/>
      <w:marTop w:val="0"/>
      <w:marBottom w:val="0"/>
      <w:divBdr>
        <w:top w:val="none" w:sz="0" w:space="0" w:color="auto"/>
        <w:left w:val="none" w:sz="0" w:space="0" w:color="auto"/>
        <w:bottom w:val="none" w:sz="0" w:space="0" w:color="auto"/>
        <w:right w:val="none" w:sz="0" w:space="0" w:color="auto"/>
      </w:divBdr>
    </w:div>
    <w:div w:id="1953509340">
      <w:bodyDiv w:val="1"/>
      <w:marLeft w:val="0"/>
      <w:marRight w:val="0"/>
      <w:marTop w:val="0"/>
      <w:marBottom w:val="0"/>
      <w:divBdr>
        <w:top w:val="none" w:sz="0" w:space="0" w:color="auto"/>
        <w:left w:val="none" w:sz="0" w:space="0" w:color="auto"/>
        <w:bottom w:val="none" w:sz="0" w:space="0" w:color="auto"/>
        <w:right w:val="none" w:sz="0" w:space="0" w:color="auto"/>
      </w:divBdr>
    </w:div>
    <w:div w:id="1953589556">
      <w:bodyDiv w:val="1"/>
      <w:marLeft w:val="0"/>
      <w:marRight w:val="0"/>
      <w:marTop w:val="0"/>
      <w:marBottom w:val="0"/>
      <w:divBdr>
        <w:top w:val="none" w:sz="0" w:space="0" w:color="auto"/>
        <w:left w:val="none" w:sz="0" w:space="0" w:color="auto"/>
        <w:bottom w:val="none" w:sz="0" w:space="0" w:color="auto"/>
        <w:right w:val="none" w:sz="0" w:space="0" w:color="auto"/>
      </w:divBdr>
    </w:div>
    <w:div w:id="1953592101">
      <w:bodyDiv w:val="1"/>
      <w:marLeft w:val="0"/>
      <w:marRight w:val="0"/>
      <w:marTop w:val="0"/>
      <w:marBottom w:val="0"/>
      <w:divBdr>
        <w:top w:val="none" w:sz="0" w:space="0" w:color="auto"/>
        <w:left w:val="none" w:sz="0" w:space="0" w:color="auto"/>
        <w:bottom w:val="none" w:sz="0" w:space="0" w:color="auto"/>
        <w:right w:val="none" w:sz="0" w:space="0" w:color="auto"/>
      </w:divBdr>
    </w:div>
    <w:div w:id="1953628959">
      <w:bodyDiv w:val="1"/>
      <w:marLeft w:val="0"/>
      <w:marRight w:val="0"/>
      <w:marTop w:val="0"/>
      <w:marBottom w:val="0"/>
      <w:divBdr>
        <w:top w:val="none" w:sz="0" w:space="0" w:color="auto"/>
        <w:left w:val="none" w:sz="0" w:space="0" w:color="auto"/>
        <w:bottom w:val="none" w:sz="0" w:space="0" w:color="auto"/>
        <w:right w:val="none" w:sz="0" w:space="0" w:color="auto"/>
      </w:divBdr>
    </w:div>
    <w:div w:id="1953855594">
      <w:bodyDiv w:val="1"/>
      <w:marLeft w:val="0"/>
      <w:marRight w:val="0"/>
      <w:marTop w:val="0"/>
      <w:marBottom w:val="0"/>
      <w:divBdr>
        <w:top w:val="none" w:sz="0" w:space="0" w:color="auto"/>
        <w:left w:val="none" w:sz="0" w:space="0" w:color="auto"/>
        <w:bottom w:val="none" w:sz="0" w:space="0" w:color="auto"/>
        <w:right w:val="none" w:sz="0" w:space="0" w:color="auto"/>
      </w:divBdr>
    </w:div>
    <w:div w:id="1953895244">
      <w:bodyDiv w:val="1"/>
      <w:marLeft w:val="0"/>
      <w:marRight w:val="0"/>
      <w:marTop w:val="0"/>
      <w:marBottom w:val="0"/>
      <w:divBdr>
        <w:top w:val="none" w:sz="0" w:space="0" w:color="auto"/>
        <w:left w:val="none" w:sz="0" w:space="0" w:color="auto"/>
        <w:bottom w:val="none" w:sz="0" w:space="0" w:color="auto"/>
        <w:right w:val="none" w:sz="0" w:space="0" w:color="auto"/>
      </w:divBdr>
    </w:div>
    <w:div w:id="1954090737">
      <w:bodyDiv w:val="1"/>
      <w:marLeft w:val="0"/>
      <w:marRight w:val="0"/>
      <w:marTop w:val="0"/>
      <w:marBottom w:val="0"/>
      <w:divBdr>
        <w:top w:val="none" w:sz="0" w:space="0" w:color="auto"/>
        <w:left w:val="none" w:sz="0" w:space="0" w:color="auto"/>
        <w:bottom w:val="none" w:sz="0" w:space="0" w:color="auto"/>
        <w:right w:val="none" w:sz="0" w:space="0" w:color="auto"/>
      </w:divBdr>
    </w:div>
    <w:div w:id="1954165027">
      <w:bodyDiv w:val="1"/>
      <w:marLeft w:val="0"/>
      <w:marRight w:val="0"/>
      <w:marTop w:val="0"/>
      <w:marBottom w:val="0"/>
      <w:divBdr>
        <w:top w:val="none" w:sz="0" w:space="0" w:color="auto"/>
        <w:left w:val="none" w:sz="0" w:space="0" w:color="auto"/>
        <w:bottom w:val="none" w:sz="0" w:space="0" w:color="auto"/>
        <w:right w:val="none" w:sz="0" w:space="0" w:color="auto"/>
      </w:divBdr>
    </w:div>
    <w:div w:id="1954239308">
      <w:bodyDiv w:val="1"/>
      <w:marLeft w:val="0"/>
      <w:marRight w:val="0"/>
      <w:marTop w:val="0"/>
      <w:marBottom w:val="0"/>
      <w:divBdr>
        <w:top w:val="none" w:sz="0" w:space="0" w:color="auto"/>
        <w:left w:val="none" w:sz="0" w:space="0" w:color="auto"/>
        <w:bottom w:val="none" w:sz="0" w:space="0" w:color="auto"/>
        <w:right w:val="none" w:sz="0" w:space="0" w:color="auto"/>
      </w:divBdr>
    </w:div>
    <w:div w:id="1954248100">
      <w:bodyDiv w:val="1"/>
      <w:marLeft w:val="0"/>
      <w:marRight w:val="0"/>
      <w:marTop w:val="0"/>
      <w:marBottom w:val="0"/>
      <w:divBdr>
        <w:top w:val="none" w:sz="0" w:space="0" w:color="auto"/>
        <w:left w:val="none" w:sz="0" w:space="0" w:color="auto"/>
        <w:bottom w:val="none" w:sz="0" w:space="0" w:color="auto"/>
        <w:right w:val="none" w:sz="0" w:space="0" w:color="auto"/>
      </w:divBdr>
    </w:div>
    <w:div w:id="1954314757">
      <w:bodyDiv w:val="1"/>
      <w:marLeft w:val="0"/>
      <w:marRight w:val="0"/>
      <w:marTop w:val="0"/>
      <w:marBottom w:val="0"/>
      <w:divBdr>
        <w:top w:val="none" w:sz="0" w:space="0" w:color="auto"/>
        <w:left w:val="none" w:sz="0" w:space="0" w:color="auto"/>
        <w:bottom w:val="none" w:sz="0" w:space="0" w:color="auto"/>
        <w:right w:val="none" w:sz="0" w:space="0" w:color="auto"/>
      </w:divBdr>
    </w:div>
    <w:div w:id="1954316022">
      <w:bodyDiv w:val="1"/>
      <w:marLeft w:val="0"/>
      <w:marRight w:val="0"/>
      <w:marTop w:val="0"/>
      <w:marBottom w:val="0"/>
      <w:divBdr>
        <w:top w:val="none" w:sz="0" w:space="0" w:color="auto"/>
        <w:left w:val="none" w:sz="0" w:space="0" w:color="auto"/>
        <w:bottom w:val="none" w:sz="0" w:space="0" w:color="auto"/>
        <w:right w:val="none" w:sz="0" w:space="0" w:color="auto"/>
      </w:divBdr>
    </w:div>
    <w:div w:id="1954554202">
      <w:bodyDiv w:val="1"/>
      <w:marLeft w:val="0"/>
      <w:marRight w:val="0"/>
      <w:marTop w:val="0"/>
      <w:marBottom w:val="0"/>
      <w:divBdr>
        <w:top w:val="none" w:sz="0" w:space="0" w:color="auto"/>
        <w:left w:val="none" w:sz="0" w:space="0" w:color="auto"/>
        <w:bottom w:val="none" w:sz="0" w:space="0" w:color="auto"/>
        <w:right w:val="none" w:sz="0" w:space="0" w:color="auto"/>
      </w:divBdr>
    </w:div>
    <w:div w:id="1954634653">
      <w:bodyDiv w:val="1"/>
      <w:marLeft w:val="0"/>
      <w:marRight w:val="0"/>
      <w:marTop w:val="0"/>
      <w:marBottom w:val="0"/>
      <w:divBdr>
        <w:top w:val="none" w:sz="0" w:space="0" w:color="auto"/>
        <w:left w:val="none" w:sz="0" w:space="0" w:color="auto"/>
        <w:bottom w:val="none" w:sz="0" w:space="0" w:color="auto"/>
        <w:right w:val="none" w:sz="0" w:space="0" w:color="auto"/>
      </w:divBdr>
    </w:div>
    <w:div w:id="1954752574">
      <w:bodyDiv w:val="1"/>
      <w:marLeft w:val="0"/>
      <w:marRight w:val="0"/>
      <w:marTop w:val="0"/>
      <w:marBottom w:val="0"/>
      <w:divBdr>
        <w:top w:val="none" w:sz="0" w:space="0" w:color="auto"/>
        <w:left w:val="none" w:sz="0" w:space="0" w:color="auto"/>
        <w:bottom w:val="none" w:sz="0" w:space="0" w:color="auto"/>
        <w:right w:val="none" w:sz="0" w:space="0" w:color="auto"/>
      </w:divBdr>
    </w:div>
    <w:div w:id="1954827068">
      <w:bodyDiv w:val="1"/>
      <w:marLeft w:val="0"/>
      <w:marRight w:val="0"/>
      <w:marTop w:val="0"/>
      <w:marBottom w:val="0"/>
      <w:divBdr>
        <w:top w:val="none" w:sz="0" w:space="0" w:color="auto"/>
        <w:left w:val="none" w:sz="0" w:space="0" w:color="auto"/>
        <w:bottom w:val="none" w:sz="0" w:space="0" w:color="auto"/>
        <w:right w:val="none" w:sz="0" w:space="0" w:color="auto"/>
      </w:divBdr>
    </w:div>
    <w:div w:id="1954898835">
      <w:bodyDiv w:val="1"/>
      <w:marLeft w:val="0"/>
      <w:marRight w:val="0"/>
      <w:marTop w:val="0"/>
      <w:marBottom w:val="0"/>
      <w:divBdr>
        <w:top w:val="none" w:sz="0" w:space="0" w:color="auto"/>
        <w:left w:val="none" w:sz="0" w:space="0" w:color="auto"/>
        <w:bottom w:val="none" w:sz="0" w:space="0" w:color="auto"/>
        <w:right w:val="none" w:sz="0" w:space="0" w:color="auto"/>
      </w:divBdr>
    </w:div>
    <w:div w:id="1955089090">
      <w:bodyDiv w:val="1"/>
      <w:marLeft w:val="0"/>
      <w:marRight w:val="0"/>
      <w:marTop w:val="0"/>
      <w:marBottom w:val="0"/>
      <w:divBdr>
        <w:top w:val="none" w:sz="0" w:space="0" w:color="auto"/>
        <w:left w:val="none" w:sz="0" w:space="0" w:color="auto"/>
        <w:bottom w:val="none" w:sz="0" w:space="0" w:color="auto"/>
        <w:right w:val="none" w:sz="0" w:space="0" w:color="auto"/>
      </w:divBdr>
    </w:div>
    <w:div w:id="1955096223">
      <w:bodyDiv w:val="1"/>
      <w:marLeft w:val="0"/>
      <w:marRight w:val="0"/>
      <w:marTop w:val="0"/>
      <w:marBottom w:val="0"/>
      <w:divBdr>
        <w:top w:val="none" w:sz="0" w:space="0" w:color="auto"/>
        <w:left w:val="none" w:sz="0" w:space="0" w:color="auto"/>
        <w:bottom w:val="none" w:sz="0" w:space="0" w:color="auto"/>
        <w:right w:val="none" w:sz="0" w:space="0" w:color="auto"/>
      </w:divBdr>
    </w:div>
    <w:div w:id="1955168202">
      <w:bodyDiv w:val="1"/>
      <w:marLeft w:val="0"/>
      <w:marRight w:val="0"/>
      <w:marTop w:val="0"/>
      <w:marBottom w:val="0"/>
      <w:divBdr>
        <w:top w:val="none" w:sz="0" w:space="0" w:color="auto"/>
        <w:left w:val="none" w:sz="0" w:space="0" w:color="auto"/>
        <w:bottom w:val="none" w:sz="0" w:space="0" w:color="auto"/>
        <w:right w:val="none" w:sz="0" w:space="0" w:color="auto"/>
      </w:divBdr>
    </w:div>
    <w:div w:id="1955206781">
      <w:bodyDiv w:val="1"/>
      <w:marLeft w:val="0"/>
      <w:marRight w:val="0"/>
      <w:marTop w:val="0"/>
      <w:marBottom w:val="0"/>
      <w:divBdr>
        <w:top w:val="none" w:sz="0" w:space="0" w:color="auto"/>
        <w:left w:val="none" w:sz="0" w:space="0" w:color="auto"/>
        <w:bottom w:val="none" w:sz="0" w:space="0" w:color="auto"/>
        <w:right w:val="none" w:sz="0" w:space="0" w:color="auto"/>
      </w:divBdr>
    </w:div>
    <w:div w:id="1955211450">
      <w:bodyDiv w:val="1"/>
      <w:marLeft w:val="0"/>
      <w:marRight w:val="0"/>
      <w:marTop w:val="0"/>
      <w:marBottom w:val="0"/>
      <w:divBdr>
        <w:top w:val="none" w:sz="0" w:space="0" w:color="auto"/>
        <w:left w:val="none" w:sz="0" w:space="0" w:color="auto"/>
        <w:bottom w:val="none" w:sz="0" w:space="0" w:color="auto"/>
        <w:right w:val="none" w:sz="0" w:space="0" w:color="auto"/>
      </w:divBdr>
    </w:div>
    <w:div w:id="1955475946">
      <w:bodyDiv w:val="1"/>
      <w:marLeft w:val="0"/>
      <w:marRight w:val="0"/>
      <w:marTop w:val="0"/>
      <w:marBottom w:val="0"/>
      <w:divBdr>
        <w:top w:val="none" w:sz="0" w:space="0" w:color="auto"/>
        <w:left w:val="none" w:sz="0" w:space="0" w:color="auto"/>
        <w:bottom w:val="none" w:sz="0" w:space="0" w:color="auto"/>
        <w:right w:val="none" w:sz="0" w:space="0" w:color="auto"/>
      </w:divBdr>
    </w:div>
    <w:div w:id="1955477051">
      <w:bodyDiv w:val="1"/>
      <w:marLeft w:val="0"/>
      <w:marRight w:val="0"/>
      <w:marTop w:val="0"/>
      <w:marBottom w:val="0"/>
      <w:divBdr>
        <w:top w:val="none" w:sz="0" w:space="0" w:color="auto"/>
        <w:left w:val="none" w:sz="0" w:space="0" w:color="auto"/>
        <w:bottom w:val="none" w:sz="0" w:space="0" w:color="auto"/>
        <w:right w:val="none" w:sz="0" w:space="0" w:color="auto"/>
      </w:divBdr>
    </w:div>
    <w:div w:id="1955480439">
      <w:bodyDiv w:val="1"/>
      <w:marLeft w:val="0"/>
      <w:marRight w:val="0"/>
      <w:marTop w:val="0"/>
      <w:marBottom w:val="0"/>
      <w:divBdr>
        <w:top w:val="none" w:sz="0" w:space="0" w:color="auto"/>
        <w:left w:val="none" w:sz="0" w:space="0" w:color="auto"/>
        <w:bottom w:val="none" w:sz="0" w:space="0" w:color="auto"/>
        <w:right w:val="none" w:sz="0" w:space="0" w:color="auto"/>
      </w:divBdr>
    </w:div>
    <w:div w:id="1955549234">
      <w:bodyDiv w:val="1"/>
      <w:marLeft w:val="0"/>
      <w:marRight w:val="0"/>
      <w:marTop w:val="0"/>
      <w:marBottom w:val="0"/>
      <w:divBdr>
        <w:top w:val="none" w:sz="0" w:space="0" w:color="auto"/>
        <w:left w:val="none" w:sz="0" w:space="0" w:color="auto"/>
        <w:bottom w:val="none" w:sz="0" w:space="0" w:color="auto"/>
        <w:right w:val="none" w:sz="0" w:space="0" w:color="auto"/>
      </w:divBdr>
    </w:div>
    <w:div w:id="1955553064">
      <w:bodyDiv w:val="1"/>
      <w:marLeft w:val="0"/>
      <w:marRight w:val="0"/>
      <w:marTop w:val="0"/>
      <w:marBottom w:val="0"/>
      <w:divBdr>
        <w:top w:val="none" w:sz="0" w:space="0" w:color="auto"/>
        <w:left w:val="none" w:sz="0" w:space="0" w:color="auto"/>
        <w:bottom w:val="none" w:sz="0" w:space="0" w:color="auto"/>
        <w:right w:val="none" w:sz="0" w:space="0" w:color="auto"/>
      </w:divBdr>
    </w:div>
    <w:div w:id="1955558088">
      <w:bodyDiv w:val="1"/>
      <w:marLeft w:val="0"/>
      <w:marRight w:val="0"/>
      <w:marTop w:val="0"/>
      <w:marBottom w:val="0"/>
      <w:divBdr>
        <w:top w:val="none" w:sz="0" w:space="0" w:color="auto"/>
        <w:left w:val="none" w:sz="0" w:space="0" w:color="auto"/>
        <w:bottom w:val="none" w:sz="0" w:space="0" w:color="auto"/>
        <w:right w:val="none" w:sz="0" w:space="0" w:color="auto"/>
      </w:divBdr>
    </w:div>
    <w:div w:id="1955747279">
      <w:bodyDiv w:val="1"/>
      <w:marLeft w:val="0"/>
      <w:marRight w:val="0"/>
      <w:marTop w:val="0"/>
      <w:marBottom w:val="0"/>
      <w:divBdr>
        <w:top w:val="none" w:sz="0" w:space="0" w:color="auto"/>
        <w:left w:val="none" w:sz="0" w:space="0" w:color="auto"/>
        <w:bottom w:val="none" w:sz="0" w:space="0" w:color="auto"/>
        <w:right w:val="none" w:sz="0" w:space="0" w:color="auto"/>
      </w:divBdr>
    </w:div>
    <w:div w:id="1955748696">
      <w:bodyDiv w:val="1"/>
      <w:marLeft w:val="0"/>
      <w:marRight w:val="0"/>
      <w:marTop w:val="0"/>
      <w:marBottom w:val="0"/>
      <w:divBdr>
        <w:top w:val="none" w:sz="0" w:space="0" w:color="auto"/>
        <w:left w:val="none" w:sz="0" w:space="0" w:color="auto"/>
        <w:bottom w:val="none" w:sz="0" w:space="0" w:color="auto"/>
        <w:right w:val="none" w:sz="0" w:space="0" w:color="auto"/>
      </w:divBdr>
    </w:div>
    <w:div w:id="1955864622">
      <w:bodyDiv w:val="1"/>
      <w:marLeft w:val="0"/>
      <w:marRight w:val="0"/>
      <w:marTop w:val="0"/>
      <w:marBottom w:val="0"/>
      <w:divBdr>
        <w:top w:val="none" w:sz="0" w:space="0" w:color="auto"/>
        <w:left w:val="none" w:sz="0" w:space="0" w:color="auto"/>
        <w:bottom w:val="none" w:sz="0" w:space="0" w:color="auto"/>
        <w:right w:val="none" w:sz="0" w:space="0" w:color="auto"/>
      </w:divBdr>
    </w:div>
    <w:div w:id="1955936197">
      <w:bodyDiv w:val="1"/>
      <w:marLeft w:val="0"/>
      <w:marRight w:val="0"/>
      <w:marTop w:val="0"/>
      <w:marBottom w:val="0"/>
      <w:divBdr>
        <w:top w:val="none" w:sz="0" w:space="0" w:color="auto"/>
        <w:left w:val="none" w:sz="0" w:space="0" w:color="auto"/>
        <w:bottom w:val="none" w:sz="0" w:space="0" w:color="auto"/>
        <w:right w:val="none" w:sz="0" w:space="0" w:color="auto"/>
      </w:divBdr>
    </w:div>
    <w:div w:id="1956014090">
      <w:bodyDiv w:val="1"/>
      <w:marLeft w:val="0"/>
      <w:marRight w:val="0"/>
      <w:marTop w:val="0"/>
      <w:marBottom w:val="0"/>
      <w:divBdr>
        <w:top w:val="none" w:sz="0" w:space="0" w:color="auto"/>
        <w:left w:val="none" w:sz="0" w:space="0" w:color="auto"/>
        <w:bottom w:val="none" w:sz="0" w:space="0" w:color="auto"/>
        <w:right w:val="none" w:sz="0" w:space="0" w:color="auto"/>
      </w:divBdr>
    </w:div>
    <w:div w:id="1956016955">
      <w:bodyDiv w:val="1"/>
      <w:marLeft w:val="0"/>
      <w:marRight w:val="0"/>
      <w:marTop w:val="0"/>
      <w:marBottom w:val="0"/>
      <w:divBdr>
        <w:top w:val="none" w:sz="0" w:space="0" w:color="auto"/>
        <w:left w:val="none" w:sz="0" w:space="0" w:color="auto"/>
        <w:bottom w:val="none" w:sz="0" w:space="0" w:color="auto"/>
        <w:right w:val="none" w:sz="0" w:space="0" w:color="auto"/>
      </w:divBdr>
    </w:div>
    <w:div w:id="1956053827">
      <w:bodyDiv w:val="1"/>
      <w:marLeft w:val="0"/>
      <w:marRight w:val="0"/>
      <w:marTop w:val="0"/>
      <w:marBottom w:val="0"/>
      <w:divBdr>
        <w:top w:val="none" w:sz="0" w:space="0" w:color="auto"/>
        <w:left w:val="none" w:sz="0" w:space="0" w:color="auto"/>
        <w:bottom w:val="none" w:sz="0" w:space="0" w:color="auto"/>
        <w:right w:val="none" w:sz="0" w:space="0" w:color="auto"/>
      </w:divBdr>
    </w:div>
    <w:div w:id="1956133463">
      <w:bodyDiv w:val="1"/>
      <w:marLeft w:val="0"/>
      <w:marRight w:val="0"/>
      <w:marTop w:val="0"/>
      <w:marBottom w:val="0"/>
      <w:divBdr>
        <w:top w:val="none" w:sz="0" w:space="0" w:color="auto"/>
        <w:left w:val="none" w:sz="0" w:space="0" w:color="auto"/>
        <w:bottom w:val="none" w:sz="0" w:space="0" w:color="auto"/>
        <w:right w:val="none" w:sz="0" w:space="0" w:color="auto"/>
      </w:divBdr>
    </w:div>
    <w:div w:id="1956207247">
      <w:bodyDiv w:val="1"/>
      <w:marLeft w:val="0"/>
      <w:marRight w:val="0"/>
      <w:marTop w:val="0"/>
      <w:marBottom w:val="0"/>
      <w:divBdr>
        <w:top w:val="none" w:sz="0" w:space="0" w:color="auto"/>
        <w:left w:val="none" w:sz="0" w:space="0" w:color="auto"/>
        <w:bottom w:val="none" w:sz="0" w:space="0" w:color="auto"/>
        <w:right w:val="none" w:sz="0" w:space="0" w:color="auto"/>
      </w:divBdr>
    </w:div>
    <w:div w:id="1956249912">
      <w:bodyDiv w:val="1"/>
      <w:marLeft w:val="0"/>
      <w:marRight w:val="0"/>
      <w:marTop w:val="0"/>
      <w:marBottom w:val="0"/>
      <w:divBdr>
        <w:top w:val="none" w:sz="0" w:space="0" w:color="auto"/>
        <w:left w:val="none" w:sz="0" w:space="0" w:color="auto"/>
        <w:bottom w:val="none" w:sz="0" w:space="0" w:color="auto"/>
        <w:right w:val="none" w:sz="0" w:space="0" w:color="auto"/>
      </w:divBdr>
    </w:div>
    <w:div w:id="1956250985">
      <w:bodyDiv w:val="1"/>
      <w:marLeft w:val="0"/>
      <w:marRight w:val="0"/>
      <w:marTop w:val="0"/>
      <w:marBottom w:val="0"/>
      <w:divBdr>
        <w:top w:val="none" w:sz="0" w:space="0" w:color="auto"/>
        <w:left w:val="none" w:sz="0" w:space="0" w:color="auto"/>
        <w:bottom w:val="none" w:sz="0" w:space="0" w:color="auto"/>
        <w:right w:val="none" w:sz="0" w:space="0" w:color="auto"/>
      </w:divBdr>
    </w:div>
    <w:div w:id="1956323689">
      <w:bodyDiv w:val="1"/>
      <w:marLeft w:val="0"/>
      <w:marRight w:val="0"/>
      <w:marTop w:val="0"/>
      <w:marBottom w:val="0"/>
      <w:divBdr>
        <w:top w:val="none" w:sz="0" w:space="0" w:color="auto"/>
        <w:left w:val="none" w:sz="0" w:space="0" w:color="auto"/>
        <w:bottom w:val="none" w:sz="0" w:space="0" w:color="auto"/>
        <w:right w:val="none" w:sz="0" w:space="0" w:color="auto"/>
      </w:divBdr>
    </w:div>
    <w:div w:id="1956404815">
      <w:bodyDiv w:val="1"/>
      <w:marLeft w:val="0"/>
      <w:marRight w:val="0"/>
      <w:marTop w:val="0"/>
      <w:marBottom w:val="0"/>
      <w:divBdr>
        <w:top w:val="none" w:sz="0" w:space="0" w:color="auto"/>
        <w:left w:val="none" w:sz="0" w:space="0" w:color="auto"/>
        <w:bottom w:val="none" w:sz="0" w:space="0" w:color="auto"/>
        <w:right w:val="none" w:sz="0" w:space="0" w:color="auto"/>
      </w:divBdr>
    </w:div>
    <w:div w:id="1956517986">
      <w:bodyDiv w:val="1"/>
      <w:marLeft w:val="0"/>
      <w:marRight w:val="0"/>
      <w:marTop w:val="0"/>
      <w:marBottom w:val="0"/>
      <w:divBdr>
        <w:top w:val="none" w:sz="0" w:space="0" w:color="auto"/>
        <w:left w:val="none" w:sz="0" w:space="0" w:color="auto"/>
        <w:bottom w:val="none" w:sz="0" w:space="0" w:color="auto"/>
        <w:right w:val="none" w:sz="0" w:space="0" w:color="auto"/>
      </w:divBdr>
    </w:div>
    <w:div w:id="1956522644">
      <w:bodyDiv w:val="1"/>
      <w:marLeft w:val="0"/>
      <w:marRight w:val="0"/>
      <w:marTop w:val="0"/>
      <w:marBottom w:val="0"/>
      <w:divBdr>
        <w:top w:val="none" w:sz="0" w:space="0" w:color="auto"/>
        <w:left w:val="none" w:sz="0" w:space="0" w:color="auto"/>
        <w:bottom w:val="none" w:sz="0" w:space="0" w:color="auto"/>
        <w:right w:val="none" w:sz="0" w:space="0" w:color="auto"/>
      </w:divBdr>
    </w:div>
    <w:div w:id="1956592640">
      <w:bodyDiv w:val="1"/>
      <w:marLeft w:val="0"/>
      <w:marRight w:val="0"/>
      <w:marTop w:val="0"/>
      <w:marBottom w:val="0"/>
      <w:divBdr>
        <w:top w:val="none" w:sz="0" w:space="0" w:color="auto"/>
        <w:left w:val="none" w:sz="0" w:space="0" w:color="auto"/>
        <w:bottom w:val="none" w:sz="0" w:space="0" w:color="auto"/>
        <w:right w:val="none" w:sz="0" w:space="0" w:color="auto"/>
      </w:divBdr>
    </w:div>
    <w:div w:id="1956671283">
      <w:bodyDiv w:val="1"/>
      <w:marLeft w:val="0"/>
      <w:marRight w:val="0"/>
      <w:marTop w:val="0"/>
      <w:marBottom w:val="0"/>
      <w:divBdr>
        <w:top w:val="none" w:sz="0" w:space="0" w:color="auto"/>
        <w:left w:val="none" w:sz="0" w:space="0" w:color="auto"/>
        <w:bottom w:val="none" w:sz="0" w:space="0" w:color="auto"/>
        <w:right w:val="none" w:sz="0" w:space="0" w:color="auto"/>
      </w:divBdr>
    </w:div>
    <w:div w:id="1956861503">
      <w:bodyDiv w:val="1"/>
      <w:marLeft w:val="0"/>
      <w:marRight w:val="0"/>
      <w:marTop w:val="0"/>
      <w:marBottom w:val="0"/>
      <w:divBdr>
        <w:top w:val="none" w:sz="0" w:space="0" w:color="auto"/>
        <w:left w:val="none" w:sz="0" w:space="0" w:color="auto"/>
        <w:bottom w:val="none" w:sz="0" w:space="0" w:color="auto"/>
        <w:right w:val="none" w:sz="0" w:space="0" w:color="auto"/>
      </w:divBdr>
    </w:div>
    <w:div w:id="1956987438">
      <w:bodyDiv w:val="1"/>
      <w:marLeft w:val="0"/>
      <w:marRight w:val="0"/>
      <w:marTop w:val="0"/>
      <w:marBottom w:val="0"/>
      <w:divBdr>
        <w:top w:val="none" w:sz="0" w:space="0" w:color="auto"/>
        <w:left w:val="none" w:sz="0" w:space="0" w:color="auto"/>
        <w:bottom w:val="none" w:sz="0" w:space="0" w:color="auto"/>
        <w:right w:val="none" w:sz="0" w:space="0" w:color="auto"/>
      </w:divBdr>
    </w:div>
    <w:div w:id="1957133054">
      <w:bodyDiv w:val="1"/>
      <w:marLeft w:val="0"/>
      <w:marRight w:val="0"/>
      <w:marTop w:val="0"/>
      <w:marBottom w:val="0"/>
      <w:divBdr>
        <w:top w:val="none" w:sz="0" w:space="0" w:color="auto"/>
        <w:left w:val="none" w:sz="0" w:space="0" w:color="auto"/>
        <w:bottom w:val="none" w:sz="0" w:space="0" w:color="auto"/>
        <w:right w:val="none" w:sz="0" w:space="0" w:color="auto"/>
      </w:divBdr>
    </w:div>
    <w:div w:id="1957174904">
      <w:bodyDiv w:val="1"/>
      <w:marLeft w:val="0"/>
      <w:marRight w:val="0"/>
      <w:marTop w:val="0"/>
      <w:marBottom w:val="0"/>
      <w:divBdr>
        <w:top w:val="none" w:sz="0" w:space="0" w:color="auto"/>
        <w:left w:val="none" w:sz="0" w:space="0" w:color="auto"/>
        <w:bottom w:val="none" w:sz="0" w:space="0" w:color="auto"/>
        <w:right w:val="none" w:sz="0" w:space="0" w:color="auto"/>
      </w:divBdr>
    </w:div>
    <w:div w:id="1957178091">
      <w:bodyDiv w:val="1"/>
      <w:marLeft w:val="0"/>
      <w:marRight w:val="0"/>
      <w:marTop w:val="0"/>
      <w:marBottom w:val="0"/>
      <w:divBdr>
        <w:top w:val="none" w:sz="0" w:space="0" w:color="auto"/>
        <w:left w:val="none" w:sz="0" w:space="0" w:color="auto"/>
        <w:bottom w:val="none" w:sz="0" w:space="0" w:color="auto"/>
        <w:right w:val="none" w:sz="0" w:space="0" w:color="auto"/>
      </w:divBdr>
    </w:div>
    <w:div w:id="1957440871">
      <w:bodyDiv w:val="1"/>
      <w:marLeft w:val="0"/>
      <w:marRight w:val="0"/>
      <w:marTop w:val="0"/>
      <w:marBottom w:val="0"/>
      <w:divBdr>
        <w:top w:val="none" w:sz="0" w:space="0" w:color="auto"/>
        <w:left w:val="none" w:sz="0" w:space="0" w:color="auto"/>
        <w:bottom w:val="none" w:sz="0" w:space="0" w:color="auto"/>
        <w:right w:val="none" w:sz="0" w:space="0" w:color="auto"/>
      </w:divBdr>
    </w:div>
    <w:div w:id="1957444282">
      <w:bodyDiv w:val="1"/>
      <w:marLeft w:val="0"/>
      <w:marRight w:val="0"/>
      <w:marTop w:val="0"/>
      <w:marBottom w:val="0"/>
      <w:divBdr>
        <w:top w:val="none" w:sz="0" w:space="0" w:color="auto"/>
        <w:left w:val="none" w:sz="0" w:space="0" w:color="auto"/>
        <w:bottom w:val="none" w:sz="0" w:space="0" w:color="auto"/>
        <w:right w:val="none" w:sz="0" w:space="0" w:color="auto"/>
      </w:divBdr>
    </w:div>
    <w:div w:id="1957516925">
      <w:bodyDiv w:val="1"/>
      <w:marLeft w:val="0"/>
      <w:marRight w:val="0"/>
      <w:marTop w:val="0"/>
      <w:marBottom w:val="0"/>
      <w:divBdr>
        <w:top w:val="none" w:sz="0" w:space="0" w:color="auto"/>
        <w:left w:val="none" w:sz="0" w:space="0" w:color="auto"/>
        <w:bottom w:val="none" w:sz="0" w:space="0" w:color="auto"/>
        <w:right w:val="none" w:sz="0" w:space="0" w:color="auto"/>
      </w:divBdr>
    </w:div>
    <w:div w:id="1957560692">
      <w:bodyDiv w:val="1"/>
      <w:marLeft w:val="0"/>
      <w:marRight w:val="0"/>
      <w:marTop w:val="0"/>
      <w:marBottom w:val="0"/>
      <w:divBdr>
        <w:top w:val="none" w:sz="0" w:space="0" w:color="auto"/>
        <w:left w:val="none" w:sz="0" w:space="0" w:color="auto"/>
        <w:bottom w:val="none" w:sz="0" w:space="0" w:color="auto"/>
        <w:right w:val="none" w:sz="0" w:space="0" w:color="auto"/>
      </w:divBdr>
    </w:div>
    <w:div w:id="1957565577">
      <w:bodyDiv w:val="1"/>
      <w:marLeft w:val="0"/>
      <w:marRight w:val="0"/>
      <w:marTop w:val="0"/>
      <w:marBottom w:val="0"/>
      <w:divBdr>
        <w:top w:val="none" w:sz="0" w:space="0" w:color="auto"/>
        <w:left w:val="none" w:sz="0" w:space="0" w:color="auto"/>
        <w:bottom w:val="none" w:sz="0" w:space="0" w:color="auto"/>
        <w:right w:val="none" w:sz="0" w:space="0" w:color="auto"/>
      </w:divBdr>
    </w:div>
    <w:div w:id="1957712581">
      <w:bodyDiv w:val="1"/>
      <w:marLeft w:val="0"/>
      <w:marRight w:val="0"/>
      <w:marTop w:val="0"/>
      <w:marBottom w:val="0"/>
      <w:divBdr>
        <w:top w:val="none" w:sz="0" w:space="0" w:color="auto"/>
        <w:left w:val="none" w:sz="0" w:space="0" w:color="auto"/>
        <w:bottom w:val="none" w:sz="0" w:space="0" w:color="auto"/>
        <w:right w:val="none" w:sz="0" w:space="0" w:color="auto"/>
      </w:divBdr>
    </w:div>
    <w:div w:id="1957830021">
      <w:bodyDiv w:val="1"/>
      <w:marLeft w:val="0"/>
      <w:marRight w:val="0"/>
      <w:marTop w:val="0"/>
      <w:marBottom w:val="0"/>
      <w:divBdr>
        <w:top w:val="none" w:sz="0" w:space="0" w:color="auto"/>
        <w:left w:val="none" w:sz="0" w:space="0" w:color="auto"/>
        <w:bottom w:val="none" w:sz="0" w:space="0" w:color="auto"/>
        <w:right w:val="none" w:sz="0" w:space="0" w:color="auto"/>
      </w:divBdr>
    </w:div>
    <w:div w:id="1957907342">
      <w:bodyDiv w:val="1"/>
      <w:marLeft w:val="0"/>
      <w:marRight w:val="0"/>
      <w:marTop w:val="0"/>
      <w:marBottom w:val="0"/>
      <w:divBdr>
        <w:top w:val="none" w:sz="0" w:space="0" w:color="auto"/>
        <w:left w:val="none" w:sz="0" w:space="0" w:color="auto"/>
        <w:bottom w:val="none" w:sz="0" w:space="0" w:color="auto"/>
        <w:right w:val="none" w:sz="0" w:space="0" w:color="auto"/>
      </w:divBdr>
    </w:div>
    <w:div w:id="1957978416">
      <w:bodyDiv w:val="1"/>
      <w:marLeft w:val="0"/>
      <w:marRight w:val="0"/>
      <w:marTop w:val="0"/>
      <w:marBottom w:val="0"/>
      <w:divBdr>
        <w:top w:val="none" w:sz="0" w:space="0" w:color="auto"/>
        <w:left w:val="none" w:sz="0" w:space="0" w:color="auto"/>
        <w:bottom w:val="none" w:sz="0" w:space="0" w:color="auto"/>
        <w:right w:val="none" w:sz="0" w:space="0" w:color="auto"/>
      </w:divBdr>
    </w:div>
    <w:div w:id="1957983846">
      <w:bodyDiv w:val="1"/>
      <w:marLeft w:val="0"/>
      <w:marRight w:val="0"/>
      <w:marTop w:val="0"/>
      <w:marBottom w:val="0"/>
      <w:divBdr>
        <w:top w:val="none" w:sz="0" w:space="0" w:color="auto"/>
        <w:left w:val="none" w:sz="0" w:space="0" w:color="auto"/>
        <w:bottom w:val="none" w:sz="0" w:space="0" w:color="auto"/>
        <w:right w:val="none" w:sz="0" w:space="0" w:color="auto"/>
      </w:divBdr>
    </w:div>
    <w:div w:id="1958020243">
      <w:bodyDiv w:val="1"/>
      <w:marLeft w:val="0"/>
      <w:marRight w:val="0"/>
      <w:marTop w:val="0"/>
      <w:marBottom w:val="0"/>
      <w:divBdr>
        <w:top w:val="none" w:sz="0" w:space="0" w:color="auto"/>
        <w:left w:val="none" w:sz="0" w:space="0" w:color="auto"/>
        <w:bottom w:val="none" w:sz="0" w:space="0" w:color="auto"/>
        <w:right w:val="none" w:sz="0" w:space="0" w:color="auto"/>
      </w:divBdr>
    </w:div>
    <w:div w:id="1958096554">
      <w:bodyDiv w:val="1"/>
      <w:marLeft w:val="0"/>
      <w:marRight w:val="0"/>
      <w:marTop w:val="0"/>
      <w:marBottom w:val="0"/>
      <w:divBdr>
        <w:top w:val="none" w:sz="0" w:space="0" w:color="auto"/>
        <w:left w:val="none" w:sz="0" w:space="0" w:color="auto"/>
        <w:bottom w:val="none" w:sz="0" w:space="0" w:color="auto"/>
        <w:right w:val="none" w:sz="0" w:space="0" w:color="auto"/>
      </w:divBdr>
    </w:div>
    <w:div w:id="1958098542">
      <w:bodyDiv w:val="1"/>
      <w:marLeft w:val="0"/>
      <w:marRight w:val="0"/>
      <w:marTop w:val="0"/>
      <w:marBottom w:val="0"/>
      <w:divBdr>
        <w:top w:val="none" w:sz="0" w:space="0" w:color="auto"/>
        <w:left w:val="none" w:sz="0" w:space="0" w:color="auto"/>
        <w:bottom w:val="none" w:sz="0" w:space="0" w:color="auto"/>
        <w:right w:val="none" w:sz="0" w:space="0" w:color="auto"/>
      </w:divBdr>
    </w:div>
    <w:div w:id="1958176930">
      <w:bodyDiv w:val="1"/>
      <w:marLeft w:val="0"/>
      <w:marRight w:val="0"/>
      <w:marTop w:val="0"/>
      <w:marBottom w:val="0"/>
      <w:divBdr>
        <w:top w:val="none" w:sz="0" w:space="0" w:color="auto"/>
        <w:left w:val="none" w:sz="0" w:space="0" w:color="auto"/>
        <w:bottom w:val="none" w:sz="0" w:space="0" w:color="auto"/>
        <w:right w:val="none" w:sz="0" w:space="0" w:color="auto"/>
      </w:divBdr>
    </w:div>
    <w:div w:id="1958177532">
      <w:bodyDiv w:val="1"/>
      <w:marLeft w:val="0"/>
      <w:marRight w:val="0"/>
      <w:marTop w:val="0"/>
      <w:marBottom w:val="0"/>
      <w:divBdr>
        <w:top w:val="none" w:sz="0" w:space="0" w:color="auto"/>
        <w:left w:val="none" w:sz="0" w:space="0" w:color="auto"/>
        <w:bottom w:val="none" w:sz="0" w:space="0" w:color="auto"/>
        <w:right w:val="none" w:sz="0" w:space="0" w:color="auto"/>
      </w:divBdr>
    </w:div>
    <w:div w:id="1958414214">
      <w:bodyDiv w:val="1"/>
      <w:marLeft w:val="0"/>
      <w:marRight w:val="0"/>
      <w:marTop w:val="0"/>
      <w:marBottom w:val="0"/>
      <w:divBdr>
        <w:top w:val="none" w:sz="0" w:space="0" w:color="auto"/>
        <w:left w:val="none" w:sz="0" w:space="0" w:color="auto"/>
        <w:bottom w:val="none" w:sz="0" w:space="0" w:color="auto"/>
        <w:right w:val="none" w:sz="0" w:space="0" w:color="auto"/>
      </w:divBdr>
    </w:div>
    <w:div w:id="1958442027">
      <w:bodyDiv w:val="1"/>
      <w:marLeft w:val="0"/>
      <w:marRight w:val="0"/>
      <w:marTop w:val="0"/>
      <w:marBottom w:val="0"/>
      <w:divBdr>
        <w:top w:val="none" w:sz="0" w:space="0" w:color="auto"/>
        <w:left w:val="none" w:sz="0" w:space="0" w:color="auto"/>
        <w:bottom w:val="none" w:sz="0" w:space="0" w:color="auto"/>
        <w:right w:val="none" w:sz="0" w:space="0" w:color="auto"/>
      </w:divBdr>
    </w:div>
    <w:div w:id="1958565402">
      <w:bodyDiv w:val="1"/>
      <w:marLeft w:val="0"/>
      <w:marRight w:val="0"/>
      <w:marTop w:val="0"/>
      <w:marBottom w:val="0"/>
      <w:divBdr>
        <w:top w:val="none" w:sz="0" w:space="0" w:color="auto"/>
        <w:left w:val="none" w:sz="0" w:space="0" w:color="auto"/>
        <w:bottom w:val="none" w:sz="0" w:space="0" w:color="auto"/>
        <w:right w:val="none" w:sz="0" w:space="0" w:color="auto"/>
      </w:divBdr>
    </w:div>
    <w:div w:id="1958678765">
      <w:bodyDiv w:val="1"/>
      <w:marLeft w:val="0"/>
      <w:marRight w:val="0"/>
      <w:marTop w:val="0"/>
      <w:marBottom w:val="0"/>
      <w:divBdr>
        <w:top w:val="none" w:sz="0" w:space="0" w:color="auto"/>
        <w:left w:val="none" w:sz="0" w:space="0" w:color="auto"/>
        <w:bottom w:val="none" w:sz="0" w:space="0" w:color="auto"/>
        <w:right w:val="none" w:sz="0" w:space="0" w:color="auto"/>
      </w:divBdr>
    </w:div>
    <w:div w:id="1958679191">
      <w:bodyDiv w:val="1"/>
      <w:marLeft w:val="0"/>
      <w:marRight w:val="0"/>
      <w:marTop w:val="0"/>
      <w:marBottom w:val="0"/>
      <w:divBdr>
        <w:top w:val="none" w:sz="0" w:space="0" w:color="auto"/>
        <w:left w:val="none" w:sz="0" w:space="0" w:color="auto"/>
        <w:bottom w:val="none" w:sz="0" w:space="0" w:color="auto"/>
        <w:right w:val="none" w:sz="0" w:space="0" w:color="auto"/>
      </w:divBdr>
    </w:div>
    <w:div w:id="1958681083">
      <w:bodyDiv w:val="1"/>
      <w:marLeft w:val="0"/>
      <w:marRight w:val="0"/>
      <w:marTop w:val="0"/>
      <w:marBottom w:val="0"/>
      <w:divBdr>
        <w:top w:val="none" w:sz="0" w:space="0" w:color="auto"/>
        <w:left w:val="none" w:sz="0" w:space="0" w:color="auto"/>
        <w:bottom w:val="none" w:sz="0" w:space="0" w:color="auto"/>
        <w:right w:val="none" w:sz="0" w:space="0" w:color="auto"/>
      </w:divBdr>
    </w:div>
    <w:div w:id="1958952929">
      <w:bodyDiv w:val="1"/>
      <w:marLeft w:val="0"/>
      <w:marRight w:val="0"/>
      <w:marTop w:val="0"/>
      <w:marBottom w:val="0"/>
      <w:divBdr>
        <w:top w:val="none" w:sz="0" w:space="0" w:color="auto"/>
        <w:left w:val="none" w:sz="0" w:space="0" w:color="auto"/>
        <w:bottom w:val="none" w:sz="0" w:space="0" w:color="auto"/>
        <w:right w:val="none" w:sz="0" w:space="0" w:color="auto"/>
      </w:divBdr>
    </w:div>
    <w:div w:id="1959023610">
      <w:bodyDiv w:val="1"/>
      <w:marLeft w:val="0"/>
      <w:marRight w:val="0"/>
      <w:marTop w:val="0"/>
      <w:marBottom w:val="0"/>
      <w:divBdr>
        <w:top w:val="none" w:sz="0" w:space="0" w:color="auto"/>
        <w:left w:val="none" w:sz="0" w:space="0" w:color="auto"/>
        <w:bottom w:val="none" w:sz="0" w:space="0" w:color="auto"/>
        <w:right w:val="none" w:sz="0" w:space="0" w:color="auto"/>
      </w:divBdr>
    </w:div>
    <w:div w:id="1959025214">
      <w:bodyDiv w:val="1"/>
      <w:marLeft w:val="0"/>
      <w:marRight w:val="0"/>
      <w:marTop w:val="0"/>
      <w:marBottom w:val="0"/>
      <w:divBdr>
        <w:top w:val="none" w:sz="0" w:space="0" w:color="auto"/>
        <w:left w:val="none" w:sz="0" w:space="0" w:color="auto"/>
        <w:bottom w:val="none" w:sz="0" w:space="0" w:color="auto"/>
        <w:right w:val="none" w:sz="0" w:space="0" w:color="auto"/>
      </w:divBdr>
    </w:div>
    <w:div w:id="1959099793">
      <w:bodyDiv w:val="1"/>
      <w:marLeft w:val="0"/>
      <w:marRight w:val="0"/>
      <w:marTop w:val="0"/>
      <w:marBottom w:val="0"/>
      <w:divBdr>
        <w:top w:val="none" w:sz="0" w:space="0" w:color="auto"/>
        <w:left w:val="none" w:sz="0" w:space="0" w:color="auto"/>
        <w:bottom w:val="none" w:sz="0" w:space="0" w:color="auto"/>
        <w:right w:val="none" w:sz="0" w:space="0" w:color="auto"/>
      </w:divBdr>
    </w:div>
    <w:div w:id="1959335277">
      <w:bodyDiv w:val="1"/>
      <w:marLeft w:val="0"/>
      <w:marRight w:val="0"/>
      <w:marTop w:val="0"/>
      <w:marBottom w:val="0"/>
      <w:divBdr>
        <w:top w:val="none" w:sz="0" w:space="0" w:color="auto"/>
        <w:left w:val="none" w:sz="0" w:space="0" w:color="auto"/>
        <w:bottom w:val="none" w:sz="0" w:space="0" w:color="auto"/>
        <w:right w:val="none" w:sz="0" w:space="0" w:color="auto"/>
      </w:divBdr>
    </w:div>
    <w:div w:id="1959409901">
      <w:bodyDiv w:val="1"/>
      <w:marLeft w:val="0"/>
      <w:marRight w:val="0"/>
      <w:marTop w:val="0"/>
      <w:marBottom w:val="0"/>
      <w:divBdr>
        <w:top w:val="none" w:sz="0" w:space="0" w:color="auto"/>
        <w:left w:val="none" w:sz="0" w:space="0" w:color="auto"/>
        <w:bottom w:val="none" w:sz="0" w:space="0" w:color="auto"/>
        <w:right w:val="none" w:sz="0" w:space="0" w:color="auto"/>
      </w:divBdr>
    </w:div>
    <w:div w:id="1959415194">
      <w:bodyDiv w:val="1"/>
      <w:marLeft w:val="0"/>
      <w:marRight w:val="0"/>
      <w:marTop w:val="0"/>
      <w:marBottom w:val="0"/>
      <w:divBdr>
        <w:top w:val="none" w:sz="0" w:space="0" w:color="auto"/>
        <w:left w:val="none" w:sz="0" w:space="0" w:color="auto"/>
        <w:bottom w:val="none" w:sz="0" w:space="0" w:color="auto"/>
        <w:right w:val="none" w:sz="0" w:space="0" w:color="auto"/>
      </w:divBdr>
    </w:div>
    <w:div w:id="1959530588">
      <w:bodyDiv w:val="1"/>
      <w:marLeft w:val="0"/>
      <w:marRight w:val="0"/>
      <w:marTop w:val="0"/>
      <w:marBottom w:val="0"/>
      <w:divBdr>
        <w:top w:val="none" w:sz="0" w:space="0" w:color="auto"/>
        <w:left w:val="none" w:sz="0" w:space="0" w:color="auto"/>
        <w:bottom w:val="none" w:sz="0" w:space="0" w:color="auto"/>
        <w:right w:val="none" w:sz="0" w:space="0" w:color="auto"/>
      </w:divBdr>
    </w:div>
    <w:div w:id="1959605901">
      <w:bodyDiv w:val="1"/>
      <w:marLeft w:val="0"/>
      <w:marRight w:val="0"/>
      <w:marTop w:val="0"/>
      <w:marBottom w:val="0"/>
      <w:divBdr>
        <w:top w:val="none" w:sz="0" w:space="0" w:color="auto"/>
        <w:left w:val="none" w:sz="0" w:space="0" w:color="auto"/>
        <w:bottom w:val="none" w:sz="0" w:space="0" w:color="auto"/>
        <w:right w:val="none" w:sz="0" w:space="0" w:color="auto"/>
      </w:divBdr>
    </w:div>
    <w:div w:id="1959607822">
      <w:bodyDiv w:val="1"/>
      <w:marLeft w:val="0"/>
      <w:marRight w:val="0"/>
      <w:marTop w:val="0"/>
      <w:marBottom w:val="0"/>
      <w:divBdr>
        <w:top w:val="none" w:sz="0" w:space="0" w:color="auto"/>
        <w:left w:val="none" w:sz="0" w:space="0" w:color="auto"/>
        <w:bottom w:val="none" w:sz="0" w:space="0" w:color="auto"/>
        <w:right w:val="none" w:sz="0" w:space="0" w:color="auto"/>
      </w:divBdr>
    </w:div>
    <w:div w:id="1959724206">
      <w:bodyDiv w:val="1"/>
      <w:marLeft w:val="0"/>
      <w:marRight w:val="0"/>
      <w:marTop w:val="0"/>
      <w:marBottom w:val="0"/>
      <w:divBdr>
        <w:top w:val="none" w:sz="0" w:space="0" w:color="auto"/>
        <w:left w:val="none" w:sz="0" w:space="0" w:color="auto"/>
        <w:bottom w:val="none" w:sz="0" w:space="0" w:color="auto"/>
        <w:right w:val="none" w:sz="0" w:space="0" w:color="auto"/>
      </w:divBdr>
    </w:div>
    <w:div w:id="1959753352">
      <w:bodyDiv w:val="1"/>
      <w:marLeft w:val="0"/>
      <w:marRight w:val="0"/>
      <w:marTop w:val="0"/>
      <w:marBottom w:val="0"/>
      <w:divBdr>
        <w:top w:val="none" w:sz="0" w:space="0" w:color="auto"/>
        <w:left w:val="none" w:sz="0" w:space="0" w:color="auto"/>
        <w:bottom w:val="none" w:sz="0" w:space="0" w:color="auto"/>
        <w:right w:val="none" w:sz="0" w:space="0" w:color="auto"/>
      </w:divBdr>
    </w:div>
    <w:div w:id="1959754665">
      <w:bodyDiv w:val="1"/>
      <w:marLeft w:val="0"/>
      <w:marRight w:val="0"/>
      <w:marTop w:val="0"/>
      <w:marBottom w:val="0"/>
      <w:divBdr>
        <w:top w:val="none" w:sz="0" w:space="0" w:color="auto"/>
        <w:left w:val="none" w:sz="0" w:space="0" w:color="auto"/>
        <w:bottom w:val="none" w:sz="0" w:space="0" w:color="auto"/>
        <w:right w:val="none" w:sz="0" w:space="0" w:color="auto"/>
      </w:divBdr>
    </w:div>
    <w:div w:id="1959793509">
      <w:bodyDiv w:val="1"/>
      <w:marLeft w:val="0"/>
      <w:marRight w:val="0"/>
      <w:marTop w:val="0"/>
      <w:marBottom w:val="0"/>
      <w:divBdr>
        <w:top w:val="none" w:sz="0" w:space="0" w:color="auto"/>
        <w:left w:val="none" w:sz="0" w:space="0" w:color="auto"/>
        <w:bottom w:val="none" w:sz="0" w:space="0" w:color="auto"/>
        <w:right w:val="none" w:sz="0" w:space="0" w:color="auto"/>
      </w:divBdr>
    </w:div>
    <w:div w:id="1960142567">
      <w:bodyDiv w:val="1"/>
      <w:marLeft w:val="0"/>
      <w:marRight w:val="0"/>
      <w:marTop w:val="0"/>
      <w:marBottom w:val="0"/>
      <w:divBdr>
        <w:top w:val="none" w:sz="0" w:space="0" w:color="auto"/>
        <w:left w:val="none" w:sz="0" w:space="0" w:color="auto"/>
        <w:bottom w:val="none" w:sz="0" w:space="0" w:color="auto"/>
        <w:right w:val="none" w:sz="0" w:space="0" w:color="auto"/>
      </w:divBdr>
    </w:div>
    <w:div w:id="1960256720">
      <w:bodyDiv w:val="1"/>
      <w:marLeft w:val="0"/>
      <w:marRight w:val="0"/>
      <w:marTop w:val="0"/>
      <w:marBottom w:val="0"/>
      <w:divBdr>
        <w:top w:val="none" w:sz="0" w:space="0" w:color="auto"/>
        <w:left w:val="none" w:sz="0" w:space="0" w:color="auto"/>
        <w:bottom w:val="none" w:sz="0" w:space="0" w:color="auto"/>
        <w:right w:val="none" w:sz="0" w:space="0" w:color="auto"/>
      </w:divBdr>
    </w:div>
    <w:div w:id="1960258526">
      <w:bodyDiv w:val="1"/>
      <w:marLeft w:val="0"/>
      <w:marRight w:val="0"/>
      <w:marTop w:val="0"/>
      <w:marBottom w:val="0"/>
      <w:divBdr>
        <w:top w:val="none" w:sz="0" w:space="0" w:color="auto"/>
        <w:left w:val="none" w:sz="0" w:space="0" w:color="auto"/>
        <w:bottom w:val="none" w:sz="0" w:space="0" w:color="auto"/>
        <w:right w:val="none" w:sz="0" w:space="0" w:color="auto"/>
      </w:divBdr>
    </w:div>
    <w:div w:id="1960335966">
      <w:bodyDiv w:val="1"/>
      <w:marLeft w:val="0"/>
      <w:marRight w:val="0"/>
      <w:marTop w:val="0"/>
      <w:marBottom w:val="0"/>
      <w:divBdr>
        <w:top w:val="none" w:sz="0" w:space="0" w:color="auto"/>
        <w:left w:val="none" w:sz="0" w:space="0" w:color="auto"/>
        <w:bottom w:val="none" w:sz="0" w:space="0" w:color="auto"/>
        <w:right w:val="none" w:sz="0" w:space="0" w:color="auto"/>
      </w:divBdr>
    </w:div>
    <w:div w:id="1960447538">
      <w:bodyDiv w:val="1"/>
      <w:marLeft w:val="0"/>
      <w:marRight w:val="0"/>
      <w:marTop w:val="0"/>
      <w:marBottom w:val="0"/>
      <w:divBdr>
        <w:top w:val="none" w:sz="0" w:space="0" w:color="auto"/>
        <w:left w:val="none" w:sz="0" w:space="0" w:color="auto"/>
        <w:bottom w:val="none" w:sz="0" w:space="0" w:color="auto"/>
        <w:right w:val="none" w:sz="0" w:space="0" w:color="auto"/>
      </w:divBdr>
    </w:div>
    <w:div w:id="1960449041">
      <w:bodyDiv w:val="1"/>
      <w:marLeft w:val="0"/>
      <w:marRight w:val="0"/>
      <w:marTop w:val="0"/>
      <w:marBottom w:val="0"/>
      <w:divBdr>
        <w:top w:val="none" w:sz="0" w:space="0" w:color="auto"/>
        <w:left w:val="none" w:sz="0" w:space="0" w:color="auto"/>
        <w:bottom w:val="none" w:sz="0" w:space="0" w:color="auto"/>
        <w:right w:val="none" w:sz="0" w:space="0" w:color="auto"/>
      </w:divBdr>
    </w:div>
    <w:div w:id="1960449490">
      <w:bodyDiv w:val="1"/>
      <w:marLeft w:val="0"/>
      <w:marRight w:val="0"/>
      <w:marTop w:val="0"/>
      <w:marBottom w:val="0"/>
      <w:divBdr>
        <w:top w:val="none" w:sz="0" w:space="0" w:color="auto"/>
        <w:left w:val="none" w:sz="0" w:space="0" w:color="auto"/>
        <w:bottom w:val="none" w:sz="0" w:space="0" w:color="auto"/>
        <w:right w:val="none" w:sz="0" w:space="0" w:color="auto"/>
      </w:divBdr>
    </w:div>
    <w:div w:id="1960531598">
      <w:bodyDiv w:val="1"/>
      <w:marLeft w:val="0"/>
      <w:marRight w:val="0"/>
      <w:marTop w:val="0"/>
      <w:marBottom w:val="0"/>
      <w:divBdr>
        <w:top w:val="none" w:sz="0" w:space="0" w:color="auto"/>
        <w:left w:val="none" w:sz="0" w:space="0" w:color="auto"/>
        <w:bottom w:val="none" w:sz="0" w:space="0" w:color="auto"/>
        <w:right w:val="none" w:sz="0" w:space="0" w:color="auto"/>
      </w:divBdr>
    </w:div>
    <w:div w:id="1960606730">
      <w:bodyDiv w:val="1"/>
      <w:marLeft w:val="0"/>
      <w:marRight w:val="0"/>
      <w:marTop w:val="0"/>
      <w:marBottom w:val="0"/>
      <w:divBdr>
        <w:top w:val="none" w:sz="0" w:space="0" w:color="auto"/>
        <w:left w:val="none" w:sz="0" w:space="0" w:color="auto"/>
        <w:bottom w:val="none" w:sz="0" w:space="0" w:color="auto"/>
        <w:right w:val="none" w:sz="0" w:space="0" w:color="auto"/>
      </w:divBdr>
    </w:div>
    <w:div w:id="1960724844">
      <w:bodyDiv w:val="1"/>
      <w:marLeft w:val="0"/>
      <w:marRight w:val="0"/>
      <w:marTop w:val="0"/>
      <w:marBottom w:val="0"/>
      <w:divBdr>
        <w:top w:val="none" w:sz="0" w:space="0" w:color="auto"/>
        <w:left w:val="none" w:sz="0" w:space="0" w:color="auto"/>
        <w:bottom w:val="none" w:sz="0" w:space="0" w:color="auto"/>
        <w:right w:val="none" w:sz="0" w:space="0" w:color="auto"/>
      </w:divBdr>
    </w:div>
    <w:div w:id="1960793068">
      <w:bodyDiv w:val="1"/>
      <w:marLeft w:val="0"/>
      <w:marRight w:val="0"/>
      <w:marTop w:val="0"/>
      <w:marBottom w:val="0"/>
      <w:divBdr>
        <w:top w:val="none" w:sz="0" w:space="0" w:color="auto"/>
        <w:left w:val="none" w:sz="0" w:space="0" w:color="auto"/>
        <w:bottom w:val="none" w:sz="0" w:space="0" w:color="auto"/>
        <w:right w:val="none" w:sz="0" w:space="0" w:color="auto"/>
      </w:divBdr>
    </w:div>
    <w:div w:id="1960840722">
      <w:bodyDiv w:val="1"/>
      <w:marLeft w:val="0"/>
      <w:marRight w:val="0"/>
      <w:marTop w:val="0"/>
      <w:marBottom w:val="0"/>
      <w:divBdr>
        <w:top w:val="none" w:sz="0" w:space="0" w:color="auto"/>
        <w:left w:val="none" w:sz="0" w:space="0" w:color="auto"/>
        <w:bottom w:val="none" w:sz="0" w:space="0" w:color="auto"/>
        <w:right w:val="none" w:sz="0" w:space="0" w:color="auto"/>
      </w:divBdr>
    </w:div>
    <w:div w:id="1960913826">
      <w:bodyDiv w:val="1"/>
      <w:marLeft w:val="0"/>
      <w:marRight w:val="0"/>
      <w:marTop w:val="0"/>
      <w:marBottom w:val="0"/>
      <w:divBdr>
        <w:top w:val="none" w:sz="0" w:space="0" w:color="auto"/>
        <w:left w:val="none" w:sz="0" w:space="0" w:color="auto"/>
        <w:bottom w:val="none" w:sz="0" w:space="0" w:color="auto"/>
        <w:right w:val="none" w:sz="0" w:space="0" w:color="auto"/>
      </w:divBdr>
    </w:div>
    <w:div w:id="1960916679">
      <w:bodyDiv w:val="1"/>
      <w:marLeft w:val="0"/>
      <w:marRight w:val="0"/>
      <w:marTop w:val="0"/>
      <w:marBottom w:val="0"/>
      <w:divBdr>
        <w:top w:val="none" w:sz="0" w:space="0" w:color="auto"/>
        <w:left w:val="none" w:sz="0" w:space="0" w:color="auto"/>
        <w:bottom w:val="none" w:sz="0" w:space="0" w:color="auto"/>
        <w:right w:val="none" w:sz="0" w:space="0" w:color="auto"/>
      </w:divBdr>
    </w:div>
    <w:div w:id="1960985023">
      <w:bodyDiv w:val="1"/>
      <w:marLeft w:val="0"/>
      <w:marRight w:val="0"/>
      <w:marTop w:val="0"/>
      <w:marBottom w:val="0"/>
      <w:divBdr>
        <w:top w:val="none" w:sz="0" w:space="0" w:color="auto"/>
        <w:left w:val="none" w:sz="0" w:space="0" w:color="auto"/>
        <w:bottom w:val="none" w:sz="0" w:space="0" w:color="auto"/>
        <w:right w:val="none" w:sz="0" w:space="0" w:color="auto"/>
      </w:divBdr>
    </w:div>
    <w:div w:id="1961035470">
      <w:bodyDiv w:val="1"/>
      <w:marLeft w:val="0"/>
      <w:marRight w:val="0"/>
      <w:marTop w:val="0"/>
      <w:marBottom w:val="0"/>
      <w:divBdr>
        <w:top w:val="none" w:sz="0" w:space="0" w:color="auto"/>
        <w:left w:val="none" w:sz="0" w:space="0" w:color="auto"/>
        <w:bottom w:val="none" w:sz="0" w:space="0" w:color="auto"/>
        <w:right w:val="none" w:sz="0" w:space="0" w:color="auto"/>
      </w:divBdr>
    </w:div>
    <w:div w:id="1961063019">
      <w:bodyDiv w:val="1"/>
      <w:marLeft w:val="0"/>
      <w:marRight w:val="0"/>
      <w:marTop w:val="0"/>
      <w:marBottom w:val="0"/>
      <w:divBdr>
        <w:top w:val="none" w:sz="0" w:space="0" w:color="auto"/>
        <w:left w:val="none" w:sz="0" w:space="0" w:color="auto"/>
        <w:bottom w:val="none" w:sz="0" w:space="0" w:color="auto"/>
        <w:right w:val="none" w:sz="0" w:space="0" w:color="auto"/>
      </w:divBdr>
    </w:div>
    <w:div w:id="1961254195">
      <w:bodyDiv w:val="1"/>
      <w:marLeft w:val="0"/>
      <w:marRight w:val="0"/>
      <w:marTop w:val="0"/>
      <w:marBottom w:val="0"/>
      <w:divBdr>
        <w:top w:val="none" w:sz="0" w:space="0" w:color="auto"/>
        <w:left w:val="none" w:sz="0" w:space="0" w:color="auto"/>
        <w:bottom w:val="none" w:sz="0" w:space="0" w:color="auto"/>
        <w:right w:val="none" w:sz="0" w:space="0" w:color="auto"/>
      </w:divBdr>
    </w:div>
    <w:div w:id="1961302854">
      <w:bodyDiv w:val="1"/>
      <w:marLeft w:val="0"/>
      <w:marRight w:val="0"/>
      <w:marTop w:val="0"/>
      <w:marBottom w:val="0"/>
      <w:divBdr>
        <w:top w:val="none" w:sz="0" w:space="0" w:color="auto"/>
        <w:left w:val="none" w:sz="0" w:space="0" w:color="auto"/>
        <w:bottom w:val="none" w:sz="0" w:space="0" w:color="auto"/>
        <w:right w:val="none" w:sz="0" w:space="0" w:color="auto"/>
      </w:divBdr>
    </w:div>
    <w:div w:id="1961374658">
      <w:bodyDiv w:val="1"/>
      <w:marLeft w:val="0"/>
      <w:marRight w:val="0"/>
      <w:marTop w:val="0"/>
      <w:marBottom w:val="0"/>
      <w:divBdr>
        <w:top w:val="none" w:sz="0" w:space="0" w:color="auto"/>
        <w:left w:val="none" w:sz="0" w:space="0" w:color="auto"/>
        <w:bottom w:val="none" w:sz="0" w:space="0" w:color="auto"/>
        <w:right w:val="none" w:sz="0" w:space="0" w:color="auto"/>
      </w:divBdr>
    </w:div>
    <w:div w:id="1961497112">
      <w:bodyDiv w:val="1"/>
      <w:marLeft w:val="0"/>
      <w:marRight w:val="0"/>
      <w:marTop w:val="0"/>
      <w:marBottom w:val="0"/>
      <w:divBdr>
        <w:top w:val="none" w:sz="0" w:space="0" w:color="auto"/>
        <w:left w:val="none" w:sz="0" w:space="0" w:color="auto"/>
        <w:bottom w:val="none" w:sz="0" w:space="0" w:color="auto"/>
        <w:right w:val="none" w:sz="0" w:space="0" w:color="auto"/>
      </w:divBdr>
    </w:div>
    <w:div w:id="1961644701">
      <w:bodyDiv w:val="1"/>
      <w:marLeft w:val="0"/>
      <w:marRight w:val="0"/>
      <w:marTop w:val="0"/>
      <w:marBottom w:val="0"/>
      <w:divBdr>
        <w:top w:val="none" w:sz="0" w:space="0" w:color="auto"/>
        <w:left w:val="none" w:sz="0" w:space="0" w:color="auto"/>
        <w:bottom w:val="none" w:sz="0" w:space="0" w:color="auto"/>
        <w:right w:val="none" w:sz="0" w:space="0" w:color="auto"/>
      </w:divBdr>
    </w:div>
    <w:div w:id="1961691639">
      <w:bodyDiv w:val="1"/>
      <w:marLeft w:val="0"/>
      <w:marRight w:val="0"/>
      <w:marTop w:val="0"/>
      <w:marBottom w:val="0"/>
      <w:divBdr>
        <w:top w:val="none" w:sz="0" w:space="0" w:color="auto"/>
        <w:left w:val="none" w:sz="0" w:space="0" w:color="auto"/>
        <w:bottom w:val="none" w:sz="0" w:space="0" w:color="auto"/>
        <w:right w:val="none" w:sz="0" w:space="0" w:color="auto"/>
      </w:divBdr>
    </w:div>
    <w:div w:id="1961913303">
      <w:bodyDiv w:val="1"/>
      <w:marLeft w:val="0"/>
      <w:marRight w:val="0"/>
      <w:marTop w:val="0"/>
      <w:marBottom w:val="0"/>
      <w:divBdr>
        <w:top w:val="none" w:sz="0" w:space="0" w:color="auto"/>
        <w:left w:val="none" w:sz="0" w:space="0" w:color="auto"/>
        <w:bottom w:val="none" w:sz="0" w:space="0" w:color="auto"/>
        <w:right w:val="none" w:sz="0" w:space="0" w:color="auto"/>
      </w:divBdr>
    </w:div>
    <w:div w:id="1961958167">
      <w:bodyDiv w:val="1"/>
      <w:marLeft w:val="0"/>
      <w:marRight w:val="0"/>
      <w:marTop w:val="0"/>
      <w:marBottom w:val="0"/>
      <w:divBdr>
        <w:top w:val="none" w:sz="0" w:space="0" w:color="auto"/>
        <w:left w:val="none" w:sz="0" w:space="0" w:color="auto"/>
        <w:bottom w:val="none" w:sz="0" w:space="0" w:color="auto"/>
        <w:right w:val="none" w:sz="0" w:space="0" w:color="auto"/>
      </w:divBdr>
    </w:div>
    <w:div w:id="1962033112">
      <w:bodyDiv w:val="1"/>
      <w:marLeft w:val="0"/>
      <w:marRight w:val="0"/>
      <w:marTop w:val="0"/>
      <w:marBottom w:val="0"/>
      <w:divBdr>
        <w:top w:val="none" w:sz="0" w:space="0" w:color="auto"/>
        <w:left w:val="none" w:sz="0" w:space="0" w:color="auto"/>
        <w:bottom w:val="none" w:sz="0" w:space="0" w:color="auto"/>
        <w:right w:val="none" w:sz="0" w:space="0" w:color="auto"/>
      </w:divBdr>
    </w:div>
    <w:div w:id="1962148306">
      <w:bodyDiv w:val="1"/>
      <w:marLeft w:val="0"/>
      <w:marRight w:val="0"/>
      <w:marTop w:val="0"/>
      <w:marBottom w:val="0"/>
      <w:divBdr>
        <w:top w:val="none" w:sz="0" w:space="0" w:color="auto"/>
        <w:left w:val="none" w:sz="0" w:space="0" w:color="auto"/>
        <w:bottom w:val="none" w:sz="0" w:space="0" w:color="auto"/>
        <w:right w:val="none" w:sz="0" w:space="0" w:color="auto"/>
      </w:divBdr>
    </w:div>
    <w:div w:id="1962227815">
      <w:bodyDiv w:val="1"/>
      <w:marLeft w:val="0"/>
      <w:marRight w:val="0"/>
      <w:marTop w:val="0"/>
      <w:marBottom w:val="0"/>
      <w:divBdr>
        <w:top w:val="none" w:sz="0" w:space="0" w:color="auto"/>
        <w:left w:val="none" w:sz="0" w:space="0" w:color="auto"/>
        <w:bottom w:val="none" w:sz="0" w:space="0" w:color="auto"/>
        <w:right w:val="none" w:sz="0" w:space="0" w:color="auto"/>
      </w:divBdr>
    </w:div>
    <w:div w:id="1962345668">
      <w:bodyDiv w:val="1"/>
      <w:marLeft w:val="0"/>
      <w:marRight w:val="0"/>
      <w:marTop w:val="0"/>
      <w:marBottom w:val="0"/>
      <w:divBdr>
        <w:top w:val="none" w:sz="0" w:space="0" w:color="auto"/>
        <w:left w:val="none" w:sz="0" w:space="0" w:color="auto"/>
        <w:bottom w:val="none" w:sz="0" w:space="0" w:color="auto"/>
        <w:right w:val="none" w:sz="0" w:space="0" w:color="auto"/>
      </w:divBdr>
    </w:div>
    <w:div w:id="1962370810">
      <w:bodyDiv w:val="1"/>
      <w:marLeft w:val="0"/>
      <w:marRight w:val="0"/>
      <w:marTop w:val="0"/>
      <w:marBottom w:val="0"/>
      <w:divBdr>
        <w:top w:val="none" w:sz="0" w:space="0" w:color="auto"/>
        <w:left w:val="none" w:sz="0" w:space="0" w:color="auto"/>
        <w:bottom w:val="none" w:sz="0" w:space="0" w:color="auto"/>
        <w:right w:val="none" w:sz="0" w:space="0" w:color="auto"/>
      </w:divBdr>
    </w:div>
    <w:div w:id="1962415335">
      <w:bodyDiv w:val="1"/>
      <w:marLeft w:val="0"/>
      <w:marRight w:val="0"/>
      <w:marTop w:val="0"/>
      <w:marBottom w:val="0"/>
      <w:divBdr>
        <w:top w:val="none" w:sz="0" w:space="0" w:color="auto"/>
        <w:left w:val="none" w:sz="0" w:space="0" w:color="auto"/>
        <w:bottom w:val="none" w:sz="0" w:space="0" w:color="auto"/>
        <w:right w:val="none" w:sz="0" w:space="0" w:color="auto"/>
      </w:divBdr>
    </w:div>
    <w:div w:id="1962494722">
      <w:bodyDiv w:val="1"/>
      <w:marLeft w:val="0"/>
      <w:marRight w:val="0"/>
      <w:marTop w:val="0"/>
      <w:marBottom w:val="0"/>
      <w:divBdr>
        <w:top w:val="none" w:sz="0" w:space="0" w:color="auto"/>
        <w:left w:val="none" w:sz="0" w:space="0" w:color="auto"/>
        <w:bottom w:val="none" w:sz="0" w:space="0" w:color="auto"/>
        <w:right w:val="none" w:sz="0" w:space="0" w:color="auto"/>
      </w:divBdr>
    </w:div>
    <w:div w:id="1962563984">
      <w:bodyDiv w:val="1"/>
      <w:marLeft w:val="0"/>
      <w:marRight w:val="0"/>
      <w:marTop w:val="0"/>
      <w:marBottom w:val="0"/>
      <w:divBdr>
        <w:top w:val="none" w:sz="0" w:space="0" w:color="auto"/>
        <w:left w:val="none" w:sz="0" w:space="0" w:color="auto"/>
        <w:bottom w:val="none" w:sz="0" w:space="0" w:color="auto"/>
        <w:right w:val="none" w:sz="0" w:space="0" w:color="auto"/>
      </w:divBdr>
    </w:div>
    <w:div w:id="1962565605">
      <w:bodyDiv w:val="1"/>
      <w:marLeft w:val="0"/>
      <w:marRight w:val="0"/>
      <w:marTop w:val="0"/>
      <w:marBottom w:val="0"/>
      <w:divBdr>
        <w:top w:val="none" w:sz="0" w:space="0" w:color="auto"/>
        <w:left w:val="none" w:sz="0" w:space="0" w:color="auto"/>
        <w:bottom w:val="none" w:sz="0" w:space="0" w:color="auto"/>
        <w:right w:val="none" w:sz="0" w:space="0" w:color="auto"/>
      </w:divBdr>
    </w:div>
    <w:div w:id="1962766038">
      <w:bodyDiv w:val="1"/>
      <w:marLeft w:val="0"/>
      <w:marRight w:val="0"/>
      <w:marTop w:val="0"/>
      <w:marBottom w:val="0"/>
      <w:divBdr>
        <w:top w:val="none" w:sz="0" w:space="0" w:color="auto"/>
        <w:left w:val="none" w:sz="0" w:space="0" w:color="auto"/>
        <w:bottom w:val="none" w:sz="0" w:space="0" w:color="auto"/>
        <w:right w:val="none" w:sz="0" w:space="0" w:color="auto"/>
      </w:divBdr>
    </w:div>
    <w:div w:id="1962876874">
      <w:bodyDiv w:val="1"/>
      <w:marLeft w:val="0"/>
      <w:marRight w:val="0"/>
      <w:marTop w:val="0"/>
      <w:marBottom w:val="0"/>
      <w:divBdr>
        <w:top w:val="none" w:sz="0" w:space="0" w:color="auto"/>
        <w:left w:val="none" w:sz="0" w:space="0" w:color="auto"/>
        <w:bottom w:val="none" w:sz="0" w:space="0" w:color="auto"/>
        <w:right w:val="none" w:sz="0" w:space="0" w:color="auto"/>
      </w:divBdr>
    </w:div>
    <w:div w:id="1963030040">
      <w:bodyDiv w:val="1"/>
      <w:marLeft w:val="0"/>
      <w:marRight w:val="0"/>
      <w:marTop w:val="0"/>
      <w:marBottom w:val="0"/>
      <w:divBdr>
        <w:top w:val="none" w:sz="0" w:space="0" w:color="auto"/>
        <w:left w:val="none" w:sz="0" w:space="0" w:color="auto"/>
        <w:bottom w:val="none" w:sz="0" w:space="0" w:color="auto"/>
        <w:right w:val="none" w:sz="0" w:space="0" w:color="auto"/>
      </w:divBdr>
    </w:div>
    <w:div w:id="1963068746">
      <w:bodyDiv w:val="1"/>
      <w:marLeft w:val="0"/>
      <w:marRight w:val="0"/>
      <w:marTop w:val="0"/>
      <w:marBottom w:val="0"/>
      <w:divBdr>
        <w:top w:val="none" w:sz="0" w:space="0" w:color="auto"/>
        <w:left w:val="none" w:sz="0" w:space="0" w:color="auto"/>
        <w:bottom w:val="none" w:sz="0" w:space="0" w:color="auto"/>
        <w:right w:val="none" w:sz="0" w:space="0" w:color="auto"/>
      </w:divBdr>
    </w:div>
    <w:div w:id="1963072491">
      <w:bodyDiv w:val="1"/>
      <w:marLeft w:val="0"/>
      <w:marRight w:val="0"/>
      <w:marTop w:val="0"/>
      <w:marBottom w:val="0"/>
      <w:divBdr>
        <w:top w:val="none" w:sz="0" w:space="0" w:color="auto"/>
        <w:left w:val="none" w:sz="0" w:space="0" w:color="auto"/>
        <w:bottom w:val="none" w:sz="0" w:space="0" w:color="auto"/>
        <w:right w:val="none" w:sz="0" w:space="0" w:color="auto"/>
      </w:divBdr>
    </w:div>
    <w:div w:id="1963149526">
      <w:bodyDiv w:val="1"/>
      <w:marLeft w:val="0"/>
      <w:marRight w:val="0"/>
      <w:marTop w:val="0"/>
      <w:marBottom w:val="0"/>
      <w:divBdr>
        <w:top w:val="none" w:sz="0" w:space="0" w:color="auto"/>
        <w:left w:val="none" w:sz="0" w:space="0" w:color="auto"/>
        <w:bottom w:val="none" w:sz="0" w:space="0" w:color="auto"/>
        <w:right w:val="none" w:sz="0" w:space="0" w:color="auto"/>
      </w:divBdr>
    </w:div>
    <w:div w:id="1963152454">
      <w:bodyDiv w:val="1"/>
      <w:marLeft w:val="0"/>
      <w:marRight w:val="0"/>
      <w:marTop w:val="0"/>
      <w:marBottom w:val="0"/>
      <w:divBdr>
        <w:top w:val="none" w:sz="0" w:space="0" w:color="auto"/>
        <w:left w:val="none" w:sz="0" w:space="0" w:color="auto"/>
        <w:bottom w:val="none" w:sz="0" w:space="0" w:color="auto"/>
        <w:right w:val="none" w:sz="0" w:space="0" w:color="auto"/>
      </w:divBdr>
    </w:div>
    <w:div w:id="1963223612">
      <w:bodyDiv w:val="1"/>
      <w:marLeft w:val="0"/>
      <w:marRight w:val="0"/>
      <w:marTop w:val="0"/>
      <w:marBottom w:val="0"/>
      <w:divBdr>
        <w:top w:val="none" w:sz="0" w:space="0" w:color="auto"/>
        <w:left w:val="none" w:sz="0" w:space="0" w:color="auto"/>
        <w:bottom w:val="none" w:sz="0" w:space="0" w:color="auto"/>
        <w:right w:val="none" w:sz="0" w:space="0" w:color="auto"/>
      </w:divBdr>
    </w:div>
    <w:div w:id="1963536754">
      <w:bodyDiv w:val="1"/>
      <w:marLeft w:val="0"/>
      <w:marRight w:val="0"/>
      <w:marTop w:val="0"/>
      <w:marBottom w:val="0"/>
      <w:divBdr>
        <w:top w:val="none" w:sz="0" w:space="0" w:color="auto"/>
        <w:left w:val="none" w:sz="0" w:space="0" w:color="auto"/>
        <w:bottom w:val="none" w:sz="0" w:space="0" w:color="auto"/>
        <w:right w:val="none" w:sz="0" w:space="0" w:color="auto"/>
      </w:divBdr>
    </w:div>
    <w:div w:id="1963681197">
      <w:bodyDiv w:val="1"/>
      <w:marLeft w:val="0"/>
      <w:marRight w:val="0"/>
      <w:marTop w:val="0"/>
      <w:marBottom w:val="0"/>
      <w:divBdr>
        <w:top w:val="none" w:sz="0" w:space="0" w:color="auto"/>
        <w:left w:val="none" w:sz="0" w:space="0" w:color="auto"/>
        <w:bottom w:val="none" w:sz="0" w:space="0" w:color="auto"/>
        <w:right w:val="none" w:sz="0" w:space="0" w:color="auto"/>
      </w:divBdr>
    </w:div>
    <w:div w:id="1963683229">
      <w:bodyDiv w:val="1"/>
      <w:marLeft w:val="0"/>
      <w:marRight w:val="0"/>
      <w:marTop w:val="0"/>
      <w:marBottom w:val="0"/>
      <w:divBdr>
        <w:top w:val="none" w:sz="0" w:space="0" w:color="auto"/>
        <w:left w:val="none" w:sz="0" w:space="0" w:color="auto"/>
        <w:bottom w:val="none" w:sz="0" w:space="0" w:color="auto"/>
        <w:right w:val="none" w:sz="0" w:space="0" w:color="auto"/>
      </w:divBdr>
    </w:div>
    <w:div w:id="1963725773">
      <w:bodyDiv w:val="1"/>
      <w:marLeft w:val="0"/>
      <w:marRight w:val="0"/>
      <w:marTop w:val="0"/>
      <w:marBottom w:val="0"/>
      <w:divBdr>
        <w:top w:val="none" w:sz="0" w:space="0" w:color="auto"/>
        <w:left w:val="none" w:sz="0" w:space="0" w:color="auto"/>
        <w:bottom w:val="none" w:sz="0" w:space="0" w:color="auto"/>
        <w:right w:val="none" w:sz="0" w:space="0" w:color="auto"/>
      </w:divBdr>
    </w:div>
    <w:div w:id="1963923204">
      <w:bodyDiv w:val="1"/>
      <w:marLeft w:val="0"/>
      <w:marRight w:val="0"/>
      <w:marTop w:val="0"/>
      <w:marBottom w:val="0"/>
      <w:divBdr>
        <w:top w:val="none" w:sz="0" w:space="0" w:color="auto"/>
        <w:left w:val="none" w:sz="0" w:space="0" w:color="auto"/>
        <w:bottom w:val="none" w:sz="0" w:space="0" w:color="auto"/>
        <w:right w:val="none" w:sz="0" w:space="0" w:color="auto"/>
      </w:divBdr>
    </w:div>
    <w:div w:id="1964075787">
      <w:bodyDiv w:val="1"/>
      <w:marLeft w:val="0"/>
      <w:marRight w:val="0"/>
      <w:marTop w:val="0"/>
      <w:marBottom w:val="0"/>
      <w:divBdr>
        <w:top w:val="none" w:sz="0" w:space="0" w:color="auto"/>
        <w:left w:val="none" w:sz="0" w:space="0" w:color="auto"/>
        <w:bottom w:val="none" w:sz="0" w:space="0" w:color="auto"/>
        <w:right w:val="none" w:sz="0" w:space="0" w:color="auto"/>
      </w:divBdr>
    </w:div>
    <w:div w:id="1964076605">
      <w:bodyDiv w:val="1"/>
      <w:marLeft w:val="0"/>
      <w:marRight w:val="0"/>
      <w:marTop w:val="0"/>
      <w:marBottom w:val="0"/>
      <w:divBdr>
        <w:top w:val="none" w:sz="0" w:space="0" w:color="auto"/>
        <w:left w:val="none" w:sz="0" w:space="0" w:color="auto"/>
        <w:bottom w:val="none" w:sz="0" w:space="0" w:color="auto"/>
        <w:right w:val="none" w:sz="0" w:space="0" w:color="auto"/>
      </w:divBdr>
    </w:div>
    <w:div w:id="1964116566">
      <w:bodyDiv w:val="1"/>
      <w:marLeft w:val="0"/>
      <w:marRight w:val="0"/>
      <w:marTop w:val="0"/>
      <w:marBottom w:val="0"/>
      <w:divBdr>
        <w:top w:val="none" w:sz="0" w:space="0" w:color="auto"/>
        <w:left w:val="none" w:sz="0" w:space="0" w:color="auto"/>
        <w:bottom w:val="none" w:sz="0" w:space="0" w:color="auto"/>
        <w:right w:val="none" w:sz="0" w:space="0" w:color="auto"/>
      </w:divBdr>
    </w:div>
    <w:div w:id="1964380944">
      <w:bodyDiv w:val="1"/>
      <w:marLeft w:val="0"/>
      <w:marRight w:val="0"/>
      <w:marTop w:val="0"/>
      <w:marBottom w:val="0"/>
      <w:divBdr>
        <w:top w:val="none" w:sz="0" w:space="0" w:color="auto"/>
        <w:left w:val="none" w:sz="0" w:space="0" w:color="auto"/>
        <w:bottom w:val="none" w:sz="0" w:space="0" w:color="auto"/>
        <w:right w:val="none" w:sz="0" w:space="0" w:color="auto"/>
      </w:divBdr>
    </w:div>
    <w:div w:id="1964575021">
      <w:bodyDiv w:val="1"/>
      <w:marLeft w:val="0"/>
      <w:marRight w:val="0"/>
      <w:marTop w:val="0"/>
      <w:marBottom w:val="0"/>
      <w:divBdr>
        <w:top w:val="none" w:sz="0" w:space="0" w:color="auto"/>
        <w:left w:val="none" w:sz="0" w:space="0" w:color="auto"/>
        <w:bottom w:val="none" w:sz="0" w:space="0" w:color="auto"/>
        <w:right w:val="none" w:sz="0" w:space="0" w:color="auto"/>
      </w:divBdr>
    </w:div>
    <w:div w:id="1964725592">
      <w:bodyDiv w:val="1"/>
      <w:marLeft w:val="0"/>
      <w:marRight w:val="0"/>
      <w:marTop w:val="0"/>
      <w:marBottom w:val="0"/>
      <w:divBdr>
        <w:top w:val="none" w:sz="0" w:space="0" w:color="auto"/>
        <w:left w:val="none" w:sz="0" w:space="0" w:color="auto"/>
        <w:bottom w:val="none" w:sz="0" w:space="0" w:color="auto"/>
        <w:right w:val="none" w:sz="0" w:space="0" w:color="auto"/>
      </w:divBdr>
    </w:div>
    <w:div w:id="1964798942">
      <w:bodyDiv w:val="1"/>
      <w:marLeft w:val="0"/>
      <w:marRight w:val="0"/>
      <w:marTop w:val="0"/>
      <w:marBottom w:val="0"/>
      <w:divBdr>
        <w:top w:val="none" w:sz="0" w:space="0" w:color="auto"/>
        <w:left w:val="none" w:sz="0" w:space="0" w:color="auto"/>
        <w:bottom w:val="none" w:sz="0" w:space="0" w:color="auto"/>
        <w:right w:val="none" w:sz="0" w:space="0" w:color="auto"/>
      </w:divBdr>
    </w:div>
    <w:div w:id="1964844968">
      <w:bodyDiv w:val="1"/>
      <w:marLeft w:val="0"/>
      <w:marRight w:val="0"/>
      <w:marTop w:val="0"/>
      <w:marBottom w:val="0"/>
      <w:divBdr>
        <w:top w:val="none" w:sz="0" w:space="0" w:color="auto"/>
        <w:left w:val="none" w:sz="0" w:space="0" w:color="auto"/>
        <w:bottom w:val="none" w:sz="0" w:space="0" w:color="auto"/>
        <w:right w:val="none" w:sz="0" w:space="0" w:color="auto"/>
      </w:divBdr>
    </w:div>
    <w:div w:id="1964850203">
      <w:bodyDiv w:val="1"/>
      <w:marLeft w:val="0"/>
      <w:marRight w:val="0"/>
      <w:marTop w:val="0"/>
      <w:marBottom w:val="0"/>
      <w:divBdr>
        <w:top w:val="none" w:sz="0" w:space="0" w:color="auto"/>
        <w:left w:val="none" w:sz="0" w:space="0" w:color="auto"/>
        <w:bottom w:val="none" w:sz="0" w:space="0" w:color="auto"/>
        <w:right w:val="none" w:sz="0" w:space="0" w:color="auto"/>
      </w:divBdr>
    </w:div>
    <w:div w:id="1964995683">
      <w:bodyDiv w:val="1"/>
      <w:marLeft w:val="0"/>
      <w:marRight w:val="0"/>
      <w:marTop w:val="0"/>
      <w:marBottom w:val="0"/>
      <w:divBdr>
        <w:top w:val="none" w:sz="0" w:space="0" w:color="auto"/>
        <w:left w:val="none" w:sz="0" w:space="0" w:color="auto"/>
        <w:bottom w:val="none" w:sz="0" w:space="0" w:color="auto"/>
        <w:right w:val="none" w:sz="0" w:space="0" w:color="auto"/>
      </w:divBdr>
    </w:div>
    <w:div w:id="1965043649">
      <w:bodyDiv w:val="1"/>
      <w:marLeft w:val="0"/>
      <w:marRight w:val="0"/>
      <w:marTop w:val="0"/>
      <w:marBottom w:val="0"/>
      <w:divBdr>
        <w:top w:val="none" w:sz="0" w:space="0" w:color="auto"/>
        <w:left w:val="none" w:sz="0" w:space="0" w:color="auto"/>
        <w:bottom w:val="none" w:sz="0" w:space="0" w:color="auto"/>
        <w:right w:val="none" w:sz="0" w:space="0" w:color="auto"/>
      </w:divBdr>
    </w:div>
    <w:div w:id="1965194426">
      <w:bodyDiv w:val="1"/>
      <w:marLeft w:val="0"/>
      <w:marRight w:val="0"/>
      <w:marTop w:val="0"/>
      <w:marBottom w:val="0"/>
      <w:divBdr>
        <w:top w:val="none" w:sz="0" w:space="0" w:color="auto"/>
        <w:left w:val="none" w:sz="0" w:space="0" w:color="auto"/>
        <w:bottom w:val="none" w:sz="0" w:space="0" w:color="auto"/>
        <w:right w:val="none" w:sz="0" w:space="0" w:color="auto"/>
      </w:divBdr>
    </w:div>
    <w:div w:id="1965230833">
      <w:bodyDiv w:val="1"/>
      <w:marLeft w:val="0"/>
      <w:marRight w:val="0"/>
      <w:marTop w:val="0"/>
      <w:marBottom w:val="0"/>
      <w:divBdr>
        <w:top w:val="none" w:sz="0" w:space="0" w:color="auto"/>
        <w:left w:val="none" w:sz="0" w:space="0" w:color="auto"/>
        <w:bottom w:val="none" w:sz="0" w:space="0" w:color="auto"/>
        <w:right w:val="none" w:sz="0" w:space="0" w:color="auto"/>
      </w:divBdr>
    </w:div>
    <w:div w:id="1965233556">
      <w:bodyDiv w:val="1"/>
      <w:marLeft w:val="0"/>
      <w:marRight w:val="0"/>
      <w:marTop w:val="0"/>
      <w:marBottom w:val="0"/>
      <w:divBdr>
        <w:top w:val="none" w:sz="0" w:space="0" w:color="auto"/>
        <w:left w:val="none" w:sz="0" w:space="0" w:color="auto"/>
        <w:bottom w:val="none" w:sz="0" w:space="0" w:color="auto"/>
        <w:right w:val="none" w:sz="0" w:space="0" w:color="auto"/>
      </w:divBdr>
    </w:div>
    <w:div w:id="1965235788">
      <w:bodyDiv w:val="1"/>
      <w:marLeft w:val="0"/>
      <w:marRight w:val="0"/>
      <w:marTop w:val="0"/>
      <w:marBottom w:val="0"/>
      <w:divBdr>
        <w:top w:val="none" w:sz="0" w:space="0" w:color="auto"/>
        <w:left w:val="none" w:sz="0" w:space="0" w:color="auto"/>
        <w:bottom w:val="none" w:sz="0" w:space="0" w:color="auto"/>
        <w:right w:val="none" w:sz="0" w:space="0" w:color="auto"/>
      </w:divBdr>
    </w:div>
    <w:div w:id="1965304406">
      <w:bodyDiv w:val="1"/>
      <w:marLeft w:val="0"/>
      <w:marRight w:val="0"/>
      <w:marTop w:val="0"/>
      <w:marBottom w:val="0"/>
      <w:divBdr>
        <w:top w:val="none" w:sz="0" w:space="0" w:color="auto"/>
        <w:left w:val="none" w:sz="0" w:space="0" w:color="auto"/>
        <w:bottom w:val="none" w:sz="0" w:space="0" w:color="auto"/>
        <w:right w:val="none" w:sz="0" w:space="0" w:color="auto"/>
      </w:divBdr>
    </w:div>
    <w:div w:id="1965306555">
      <w:bodyDiv w:val="1"/>
      <w:marLeft w:val="0"/>
      <w:marRight w:val="0"/>
      <w:marTop w:val="0"/>
      <w:marBottom w:val="0"/>
      <w:divBdr>
        <w:top w:val="none" w:sz="0" w:space="0" w:color="auto"/>
        <w:left w:val="none" w:sz="0" w:space="0" w:color="auto"/>
        <w:bottom w:val="none" w:sz="0" w:space="0" w:color="auto"/>
        <w:right w:val="none" w:sz="0" w:space="0" w:color="auto"/>
      </w:divBdr>
    </w:div>
    <w:div w:id="1965310029">
      <w:bodyDiv w:val="1"/>
      <w:marLeft w:val="0"/>
      <w:marRight w:val="0"/>
      <w:marTop w:val="0"/>
      <w:marBottom w:val="0"/>
      <w:divBdr>
        <w:top w:val="none" w:sz="0" w:space="0" w:color="auto"/>
        <w:left w:val="none" w:sz="0" w:space="0" w:color="auto"/>
        <w:bottom w:val="none" w:sz="0" w:space="0" w:color="auto"/>
        <w:right w:val="none" w:sz="0" w:space="0" w:color="auto"/>
      </w:divBdr>
    </w:div>
    <w:div w:id="1965378834">
      <w:bodyDiv w:val="1"/>
      <w:marLeft w:val="0"/>
      <w:marRight w:val="0"/>
      <w:marTop w:val="0"/>
      <w:marBottom w:val="0"/>
      <w:divBdr>
        <w:top w:val="none" w:sz="0" w:space="0" w:color="auto"/>
        <w:left w:val="none" w:sz="0" w:space="0" w:color="auto"/>
        <w:bottom w:val="none" w:sz="0" w:space="0" w:color="auto"/>
        <w:right w:val="none" w:sz="0" w:space="0" w:color="auto"/>
      </w:divBdr>
    </w:div>
    <w:div w:id="1965425893">
      <w:bodyDiv w:val="1"/>
      <w:marLeft w:val="0"/>
      <w:marRight w:val="0"/>
      <w:marTop w:val="0"/>
      <w:marBottom w:val="0"/>
      <w:divBdr>
        <w:top w:val="none" w:sz="0" w:space="0" w:color="auto"/>
        <w:left w:val="none" w:sz="0" w:space="0" w:color="auto"/>
        <w:bottom w:val="none" w:sz="0" w:space="0" w:color="auto"/>
        <w:right w:val="none" w:sz="0" w:space="0" w:color="auto"/>
      </w:divBdr>
    </w:div>
    <w:div w:id="1965453810">
      <w:bodyDiv w:val="1"/>
      <w:marLeft w:val="0"/>
      <w:marRight w:val="0"/>
      <w:marTop w:val="0"/>
      <w:marBottom w:val="0"/>
      <w:divBdr>
        <w:top w:val="none" w:sz="0" w:space="0" w:color="auto"/>
        <w:left w:val="none" w:sz="0" w:space="0" w:color="auto"/>
        <w:bottom w:val="none" w:sz="0" w:space="0" w:color="auto"/>
        <w:right w:val="none" w:sz="0" w:space="0" w:color="auto"/>
      </w:divBdr>
    </w:div>
    <w:div w:id="1965577252">
      <w:bodyDiv w:val="1"/>
      <w:marLeft w:val="0"/>
      <w:marRight w:val="0"/>
      <w:marTop w:val="0"/>
      <w:marBottom w:val="0"/>
      <w:divBdr>
        <w:top w:val="none" w:sz="0" w:space="0" w:color="auto"/>
        <w:left w:val="none" w:sz="0" w:space="0" w:color="auto"/>
        <w:bottom w:val="none" w:sz="0" w:space="0" w:color="auto"/>
        <w:right w:val="none" w:sz="0" w:space="0" w:color="auto"/>
      </w:divBdr>
    </w:div>
    <w:div w:id="1965580820">
      <w:bodyDiv w:val="1"/>
      <w:marLeft w:val="0"/>
      <w:marRight w:val="0"/>
      <w:marTop w:val="0"/>
      <w:marBottom w:val="0"/>
      <w:divBdr>
        <w:top w:val="none" w:sz="0" w:space="0" w:color="auto"/>
        <w:left w:val="none" w:sz="0" w:space="0" w:color="auto"/>
        <w:bottom w:val="none" w:sz="0" w:space="0" w:color="auto"/>
        <w:right w:val="none" w:sz="0" w:space="0" w:color="auto"/>
      </w:divBdr>
    </w:div>
    <w:div w:id="1965689505">
      <w:bodyDiv w:val="1"/>
      <w:marLeft w:val="0"/>
      <w:marRight w:val="0"/>
      <w:marTop w:val="0"/>
      <w:marBottom w:val="0"/>
      <w:divBdr>
        <w:top w:val="none" w:sz="0" w:space="0" w:color="auto"/>
        <w:left w:val="none" w:sz="0" w:space="0" w:color="auto"/>
        <w:bottom w:val="none" w:sz="0" w:space="0" w:color="auto"/>
        <w:right w:val="none" w:sz="0" w:space="0" w:color="auto"/>
      </w:divBdr>
    </w:div>
    <w:div w:id="1965844262">
      <w:bodyDiv w:val="1"/>
      <w:marLeft w:val="0"/>
      <w:marRight w:val="0"/>
      <w:marTop w:val="0"/>
      <w:marBottom w:val="0"/>
      <w:divBdr>
        <w:top w:val="none" w:sz="0" w:space="0" w:color="auto"/>
        <w:left w:val="none" w:sz="0" w:space="0" w:color="auto"/>
        <w:bottom w:val="none" w:sz="0" w:space="0" w:color="auto"/>
        <w:right w:val="none" w:sz="0" w:space="0" w:color="auto"/>
      </w:divBdr>
    </w:div>
    <w:div w:id="1965887267">
      <w:bodyDiv w:val="1"/>
      <w:marLeft w:val="0"/>
      <w:marRight w:val="0"/>
      <w:marTop w:val="0"/>
      <w:marBottom w:val="0"/>
      <w:divBdr>
        <w:top w:val="none" w:sz="0" w:space="0" w:color="auto"/>
        <w:left w:val="none" w:sz="0" w:space="0" w:color="auto"/>
        <w:bottom w:val="none" w:sz="0" w:space="0" w:color="auto"/>
        <w:right w:val="none" w:sz="0" w:space="0" w:color="auto"/>
      </w:divBdr>
    </w:div>
    <w:div w:id="1965960901">
      <w:bodyDiv w:val="1"/>
      <w:marLeft w:val="0"/>
      <w:marRight w:val="0"/>
      <w:marTop w:val="0"/>
      <w:marBottom w:val="0"/>
      <w:divBdr>
        <w:top w:val="none" w:sz="0" w:space="0" w:color="auto"/>
        <w:left w:val="none" w:sz="0" w:space="0" w:color="auto"/>
        <w:bottom w:val="none" w:sz="0" w:space="0" w:color="auto"/>
        <w:right w:val="none" w:sz="0" w:space="0" w:color="auto"/>
      </w:divBdr>
    </w:div>
    <w:div w:id="1965966119">
      <w:bodyDiv w:val="1"/>
      <w:marLeft w:val="0"/>
      <w:marRight w:val="0"/>
      <w:marTop w:val="0"/>
      <w:marBottom w:val="0"/>
      <w:divBdr>
        <w:top w:val="none" w:sz="0" w:space="0" w:color="auto"/>
        <w:left w:val="none" w:sz="0" w:space="0" w:color="auto"/>
        <w:bottom w:val="none" w:sz="0" w:space="0" w:color="auto"/>
        <w:right w:val="none" w:sz="0" w:space="0" w:color="auto"/>
      </w:divBdr>
    </w:div>
    <w:div w:id="1966085051">
      <w:bodyDiv w:val="1"/>
      <w:marLeft w:val="0"/>
      <w:marRight w:val="0"/>
      <w:marTop w:val="0"/>
      <w:marBottom w:val="0"/>
      <w:divBdr>
        <w:top w:val="none" w:sz="0" w:space="0" w:color="auto"/>
        <w:left w:val="none" w:sz="0" w:space="0" w:color="auto"/>
        <w:bottom w:val="none" w:sz="0" w:space="0" w:color="auto"/>
        <w:right w:val="none" w:sz="0" w:space="0" w:color="auto"/>
      </w:divBdr>
    </w:div>
    <w:div w:id="1966110547">
      <w:bodyDiv w:val="1"/>
      <w:marLeft w:val="0"/>
      <w:marRight w:val="0"/>
      <w:marTop w:val="0"/>
      <w:marBottom w:val="0"/>
      <w:divBdr>
        <w:top w:val="none" w:sz="0" w:space="0" w:color="auto"/>
        <w:left w:val="none" w:sz="0" w:space="0" w:color="auto"/>
        <w:bottom w:val="none" w:sz="0" w:space="0" w:color="auto"/>
        <w:right w:val="none" w:sz="0" w:space="0" w:color="auto"/>
      </w:divBdr>
    </w:div>
    <w:div w:id="1966159422">
      <w:bodyDiv w:val="1"/>
      <w:marLeft w:val="0"/>
      <w:marRight w:val="0"/>
      <w:marTop w:val="0"/>
      <w:marBottom w:val="0"/>
      <w:divBdr>
        <w:top w:val="none" w:sz="0" w:space="0" w:color="auto"/>
        <w:left w:val="none" w:sz="0" w:space="0" w:color="auto"/>
        <w:bottom w:val="none" w:sz="0" w:space="0" w:color="auto"/>
        <w:right w:val="none" w:sz="0" w:space="0" w:color="auto"/>
      </w:divBdr>
    </w:div>
    <w:div w:id="1966233060">
      <w:bodyDiv w:val="1"/>
      <w:marLeft w:val="0"/>
      <w:marRight w:val="0"/>
      <w:marTop w:val="0"/>
      <w:marBottom w:val="0"/>
      <w:divBdr>
        <w:top w:val="none" w:sz="0" w:space="0" w:color="auto"/>
        <w:left w:val="none" w:sz="0" w:space="0" w:color="auto"/>
        <w:bottom w:val="none" w:sz="0" w:space="0" w:color="auto"/>
        <w:right w:val="none" w:sz="0" w:space="0" w:color="auto"/>
      </w:divBdr>
    </w:div>
    <w:div w:id="1966236161">
      <w:bodyDiv w:val="1"/>
      <w:marLeft w:val="0"/>
      <w:marRight w:val="0"/>
      <w:marTop w:val="0"/>
      <w:marBottom w:val="0"/>
      <w:divBdr>
        <w:top w:val="none" w:sz="0" w:space="0" w:color="auto"/>
        <w:left w:val="none" w:sz="0" w:space="0" w:color="auto"/>
        <w:bottom w:val="none" w:sz="0" w:space="0" w:color="auto"/>
        <w:right w:val="none" w:sz="0" w:space="0" w:color="auto"/>
      </w:divBdr>
    </w:div>
    <w:div w:id="1966276851">
      <w:bodyDiv w:val="1"/>
      <w:marLeft w:val="0"/>
      <w:marRight w:val="0"/>
      <w:marTop w:val="0"/>
      <w:marBottom w:val="0"/>
      <w:divBdr>
        <w:top w:val="none" w:sz="0" w:space="0" w:color="auto"/>
        <w:left w:val="none" w:sz="0" w:space="0" w:color="auto"/>
        <w:bottom w:val="none" w:sz="0" w:space="0" w:color="auto"/>
        <w:right w:val="none" w:sz="0" w:space="0" w:color="auto"/>
      </w:divBdr>
    </w:div>
    <w:div w:id="1966304344">
      <w:bodyDiv w:val="1"/>
      <w:marLeft w:val="0"/>
      <w:marRight w:val="0"/>
      <w:marTop w:val="0"/>
      <w:marBottom w:val="0"/>
      <w:divBdr>
        <w:top w:val="none" w:sz="0" w:space="0" w:color="auto"/>
        <w:left w:val="none" w:sz="0" w:space="0" w:color="auto"/>
        <w:bottom w:val="none" w:sz="0" w:space="0" w:color="auto"/>
        <w:right w:val="none" w:sz="0" w:space="0" w:color="auto"/>
      </w:divBdr>
    </w:div>
    <w:div w:id="1966345753">
      <w:bodyDiv w:val="1"/>
      <w:marLeft w:val="0"/>
      <w:marRight w:val="0"/>
      <w:marTop w:val="0"/>
      <w:marBottom w:val="0"/>
      <w:divBdr>
        <w:top w:val="none" w:sz="0" w:space="0" w:color="auto"/>
        <w:left w:val="none" w:sz="0" w:space="0" w:color="auto"/>
        <w:bottom w:val="none" w:sz="0" w:space="0" w:color="auto"/>
        <w:right w:val="none" w:sz="0" w:space="0" w:color="auto"/>
      </w:divBdr>
    </w:div>
    <w:div w:id="1966426450">
      <w:bodyDiv w:val="1"/>
      <w:marLeft w:val="0"/>
      <w:marRight w:val="0"/>
      <w:marTop w:val="0"/>
      <w:marBottom w:val="0"/>
      <w:divBdr>
        <w:top w:val="none" w:sz="0" w:space="0" w:color="auto"/>
        <w:left w:val="none" w:sz="0" w:space="0" w:color="auto"/>
        <w:bottom w:val="none" w:sz="0" w:space="0" w:color="auto"/>
        <w:right w:val="none" w:sz="0" w:space="0" w:color="auto"/>
      </w:divBdr>
    </w:div>
    <w:div w:id="1966429203">
      <w:bodyDiv w:val="1"/>
      <w:marLeft w:val="0"/>
      <w:marRight w:val="0"/>
      <w:marTop w:val="0"/>
      <w:marBottom w:val="0"/>
      <w:divBdr>
        <w:top w:val="none" w:sz="0" w:space="0" w:color="auto"/>
        <w:left w:val="none" w:sz="0" w:space="0" w:color="auto"/>
        <w:bottom w:val="none" w:sz="0" w:space="0" w:color="auto"/>
        <w:right w:val="none" w:sz="0" w:space="0" w:color="auto"/>
      </w:divBdr>
    </w:div>
    <w:div w:id="1966689256">
      <w:bodyDiv w:val="1"/>
      <w:marLeft w:val="0"/>
      <w:marRight w:val="0"/>
      <w:marTop w:val="0"/>
      <w:marBottom w:val="0"/>
      <w:divBdr>
        <w:top w:val="none" w:sz="0" w:space="0" w:color="auto"/>
        <w:left w:val="none" w:sz="0" w:space="0" w:color="auto"/>
        <w:bottom w:val="none" w:sz="0" w:space="0" w:color="auto"/>
        <w:right w:val="none" w:sz="0" w:space="0" w:color="auto"/>
      </w:divBdr>
    </w:div>
    <w:div w:id="1966693357">
      <w:bodyDiv w:val="1"/>
      <w:marLeft w:val="0"/>
      <w:marRight w:val="0"/>
      <w:marTop w:val="0"/>
      <w:marBottom w:val="0"/>
      <w:divBdr>
        <w:top w:val="none" w:sz="0" w:space="0" w:color="auto"/>
        <w:left w:val="none" w:sz="0" w:space="0" w:color="auto"/>
        <w:bottom w:val="none" w:sz="0" w:space="0" w:color="auto"/>
        <w:right w:val="none" w:sz="0" w:space="0" w:color="auto"/>
      </w:divBdr>
    </w:div>
    <w:div w:id="1966739280">
      <w:bodyDiv w:val="1"/>
      <w:marLeft w:val="0"/>
      <w:marRight w:val="0"/>
      <w:marTop w:val="0"/>
      <w:marBottom w:val="0"/>
      <w:divBdr>
        <w:top w:val="none" w:sz="0" w:space="0" w:color="auto"/>
        <w:left w:val="none" w:sz="0" w:space="0" w:color="auto"/>
        <w:bottom w:val="none" w:sz="0" w:space="0" w:color="auto"/>
        <w:right w:val="none" w:sz="0" w:space="0" w:color="auto"/>
      </w:divBdr>
    </w:div>
    <w:div w:id="1966809782">
      <w:bodyDiv w:val="1"/>
      <w:marLeft w:val="0"/>
      <w:marRight w:val="0"/>
      <w:marTop w:val="0"/>
      <w:marBottom w:val="0"/>
      <w:divBdr>
        <w:top w:val="none" w:sz="0" w:space="0" w:color="auto"/>
        <w:left w:val="none" w:sz="0" w:space="0" w:color="auto"/>
        <w:bottom w:val="none" w:sz="0" w:space="0" w:color="auto"/>
        <w:right w:val="none" w:sz="0" w:space="0" w:color="auto"/>
      </w:divBdr>
    </w:div>
    <w:div w:id="1966882168">
      <w:bodyDiv w:val="1"/>
      <w:marLeft w:val="0"/>
      <w:marRight w:val="0"/>
      <w:marTop w:val="0"/>
      <w:marBottom w:val="0"/>
      <w:divBdr>
        <w:top w:val="none" w:sz="0" w:space="0" w:color="auto"/>
        <w:left w:val="none" w:sz="0" w:space="0" w:color="auto"/>
        <w:bottom w:val="none" w:sz="0" w:space="0" w:color="auto"/>
        <w:right w:val="none" w:sz="0" w:space="0" w:color="auto"/>
      </w:divBdr>
    </w:div>
    <w:div w:id="1966884507">
      <w:bodyDiv w:val="1"/>
      <w:marLeft w:val="0"/>
      <w:marRight w:val="0"/>
      <w:marTop w:val="0"/>
      <w:marBottom w:val="0"/>
      <w:divBdr>
        <w:top w:val="none" w:sz="0" w:space="0" w:color="auto"/>
        <w:left w:val="none" w:sz="0" w:space="0" w:color="auto"/>
        <w:bottom w:val="none" w:sz="0" w:space="0" w:color="auto"/>
        <w:right w:val="none" w:sz="0" w:space="0" w:color="auto"/>
      </w:divBdr>
    </w:div>
    <w:div w:id="1966887862">
      <w:bodyDiv w:val="1"/>
      <w:marLeft w:val="0"/>
      <w:marRight w:val="0"/>
      <w:marTop w:val="0"/>
      <w:marBottom w:val="0"/>
      <w:divBdr>
        <w:top w:val="none" w:sz="0" w:space="0" w:color="auto"/>
        <w:left w:val="none" w:sz="0" w:space="0" w:color="auto"/>
        <w:bottom w:val="none" w:sz="0" w:space="0" w:color="auto"/>
        <w:right w:val="none" w:sz="0" w:space="0" w:color="auto"/>
      </w:divBdr>
    </w:div>
    <w:div w:id="1966932556">
      <w:bodyDiv w:val="1"/>
      <w:marLeft w:val="0"/>
      <w:marRight w:val="0"/>
      <w:marTop w:val="0"/>
      <w:marBottom w:val="0"/>
      <w:divBdr>
        <w:top w:val="none" w:sz="0" w:space="0" w:color="auto"/>
        <w:left w:val="none" w:sz="0" w:space="0" w:color="auto"/>
        <w:bottom w:val="none" w:sz="0" w:space="0" w:color="auto"/>
        <w:right w:val="none" w:sz="0" w:space="0" w:color="auto"/>
      </w:divBdr>
    </w:div>
    <w:div w:id="1967079090">
      <w:bodyDiv w:val="1"/>
      <w:marLeft w:val="0"/>
      <w:marRight w:val="0"/>
      <w:marTop w:val="0"/>
      <w:marBottom w:val="0"/>
      <w:divBdr>
        <w:top w:val="none" w:sz="0" w:space="0" w:color="auto"/>
        <w:left w:val="none" w:sz="0" w:space="0" w:color="auto"/>
        <w:bottom w:val="none" w:sz="0" w:space="0" w:color="auto"/>
        <w:right w:val="none" w:sz="0" w:space="0" w:color="auto"/>
      </w:divBdr>
    </w:div>
    <w:div w:id="1967278367">
      <w:bodyDiv w:val="1"/>
      <w:marLeft w:val="0"/>
      <w:marRight w:val="0"/>
      <w:marTop w:val="0"/>
      <w:marBottom w:val="0"/>
      <w:divBdr>
        <w:top w:val="none" w:sz="0" w:space="0" w:color="auto"/>
        <w:left w:val="none" w:sz="0" w:space="0" w:color="auto"/>
        <w:bottom w:val="none" w:sz="0" w:space="0" w:color="auto"/>
        <w:right w:val="none" w:sz="0" w:space="0" w:color="auto"/>
      </w:divBdr>
    </w:div>
    <w:div w:id="1967352226">
      <w:bodyDiv w:val="1"/>
      <w:marLeft w:val="0"/>
      <w:marRight w:val="0"/>
      <w:marTop w:val="0"/>
      <w:marBottom w:val="0"/>
      <w:divBdr>
        <w:top w:val="none" w:sz="0" w:space="0" w:color="auto"/>
        <w:left w:val="none" w:sz="0" w:space="0" w:color="auto"/>
        <w:bottom w:val="none" w:sz="0" w:space="0" w:color="auto"/>
        <w:right w:val="none" w:sz="0" w:space="0" w:color="auto"/>
      </w:divBdr>
    </w:div>
    <w:div w:id="1967393236">
      <w:bodyDiv w:val="1"/>
      <w:marLeft w:val="0"/>
      <w:marRight w:val="0"/>
      <w:marTop w:val="0"/>
      <w:marBottom w:val="0"/>
      <w:divBdr>
        <w:top w:val="none" w:sz="0" w:space="0" w:color="auto"/>
        <w:left w:val="none" w:sz="0" w:space="0" w:color="auto"/>
        <w:bottom w:val="none" w:sz="0" w:space="0" w:color="auto"/>
        <w:right w:val="none" w:sz="0" w:space="0" w:color="auto"/>
      </w:divBdr>
    </w:div>
    <w:div w:id="1967393425">
      <w:bodyDiv w:val="1"/>
      <w:marLeft w:val="0"/>
      <w:marRight w:val="0"/>
      <w:marTop w:val="0"/>
      <w:marBottom w:val="0"/>
      <w:divBdr>
        <w:top w:val="none" w:sz="0" w:space="0" w:color="auto"/>
        <w:left w:val="none" w:sz="0" w:space="0" w:color="auto"/>
        <w:bottom w:val="none" w:sz="0" w:space="0" w:color="auto"/>
        <w:right w:val="none" w:sz="0" w:space="0" w:color="auto"/>
      </w:divBdr>
    </w:div>
    <w:div w:id="1967395407">
      <w:bodyDiv w:val="1"/>
      <w:marLeft w:val="0"/>
      <w:marRight w:val="0"/>
      <w:marTop w:val="0"/>
      <w:marBottom w:val="0"/>
      <w:divBdr>
        <w:top w:val="none" w:sz="0" w:space="0" w:color="auto"/>
        <w:left w:val="none" w:sz="0" w:space="0" w:color="auto"/>
        <w:bottom w:val="none" w:sz="0" w:space="0" w:color="auto"/>
        <w:right w:val="none" w:sz="0" w:space="0" w:color="auto"/>
      </w:divBdr>
    </w:div>
    <w:div w:id="1967462125">
      <w:bodyDiv w:val="1"/>
      <w:marLeft w:val="0"/>
      <w:marRight w:val="0"/>
      <w:marTop w:val="0"/>
      <w:marBottom w:val="0"/>
      <w:divBdr>
        <w:top w:val="none" w:sz="0" w:space="0" w:color="auto"/>
        <w:left w:val="none" w:sz="0" w:space="0" w:color="auto"/>
        <w:bottom w:val="none" w:sz="0" w:space="0" w:color="auto"/>
        <w:right w:val="none" w:sz="0" w:space="0" w:color="auto"/>
      </w:divBdr>
    </w:div>
    <w:div w:id="1967542209">
      <w:bodyDiv w:val="1"/>
      <w:marLeft w:val="0"/>
      <w:marRight w:val="0"/>
      <w:marTop w:val="0"/>
      <w:marBottom w:val="0"/>
      <w:divBdr>
        <w:top w:val="none" w:sz="0" w:space="0" w:color="auto"/>
        <w:left w:val="none" w:sz="0" w:space="0" w:color="auto"/>
        <w:bottom w:val="none" w:sz="0" w:space="0" w:color="auto"/>
        <w:right w:val="none" w:sz="0" w:space="0" w:color="auto"/>
      </w:divBdr>
    </w:div>
    <w:div w:id="1967655423">
      <w:bodyDiv w:val="1"/>
      <w:marLeft w:val="0"/>
      <w:marRight w:val="0"/>
      <w:marTop w:val="0"/>
      <w:marBottom w:val="0"/>
      <w:divBdr>
        <w:top w:val="none" w:sz="0" w:space="0" w:color="auto"/>
        <w:left w:val="none" w:sz="0" w:space="0" w:color="auto"/>
        <w:bottom w:val="none" w:sz="0" w:space="0" w:color="auto"/>
        <w:right w:val="none" w:sz="0" w:space="0" w:color="auto"/>
      </w:divBdr>
    </w:div>
    <w:div w:id="1967656845">
      <w:bodyDiv w:val="1"/>
      <w:marLeft w:val="0"/>
      <w:marRight w:val="0"/>
      <w:marTop w:val="0"/>
      <w:marBottom w:val="0"/>
      <w:divBdr>
        <w:top w:val="none" w:sz="0" w:space="0" w:color="auto"/>
        <w:left w:val="none" w:sz="0" w:space="0" w:color="auto"/>
        <w:bottom w:val="none" w:sz="0" w:space="0" w:color="auto"/>
        <w:right w:val="none" w:sz="0" w:space="0" w:color="auto"/>
      </w:divBdr>
    </w:div>
    <w:div w:id="1967731516">
      <w:bodyDiv w:val="1"/>
      <w:marLeft w:val="0"/>
      <w:marRight w:val="0"/>
      <w:marTop w:val="0"/>
      <w:marBottom w:val="0"/>
      <w:divBdr>
        <w:top w:val="none" w:sz="0" w:space="0" w:color="auto"/>
        <w:left w:val="none" w:sz="0" w:space="0" w:color="auto"/>
        <w:bottom w:val="none" w:sz="0" w:space="0" w:color="auto"/>
        <w:right w:val="none" w:sz="0" w:space="0" w:color="auto"/>
      </w:divBdr>
    </w:div>
    <w:div w:id="1967856418">
      <w:bodyDiv w:val="1"/>
      <w:marLeft w:val="0"/>
      <w:marRight w:val="0"/>
      <w:marTop w:val="0"/>
      <w:marBottom w:val="0"/>
      <w:divBdr>
        <w:top w:val="none" w:sz="0" w:space="0" w:color="auto"/>
        <w:left w:val="none" w:sz="0" w:space="0" w:color="auto"/>
        <w:bottom w:val="none" w:sz="0" w:space="0" w:color="auto"/>
        <w:right w:val="none" w:sz="0" w:space="0" w:color="auto"/>
      </w:divBdr>
    </w:div>
    <w:div w:id="1967927415">
      <w:bodyDiv w:val="1"/>
      <w:marLeft w:val="0"/>
      <w:marRight w:val="0"/>
      <w:marTop w:val="0"/>
      <w:marBottom w:val="0"/>
      <w:divBdr>
        <w:top w:val="none" w:sz="0" w:space="0" w:color="auto"/>
        <w:left w:val="none" w:sz="0" w:space="0" w:color="auto"/>
        <w:bottom w:val="none" w:sz="0" w:space="0" w:color="auto"/>
        <w:right w:val="none" w:sz="0" w:space="0" w:color="auto"/>
      </w:divBdr>
    </w:div>
    <w:div w:id="1967930741">
      <w:bodyDiv w:val="1"/>
      <w:marLeft w:val="0"/>
      <w:marRight w:val="0"/>
      <w:marTop w:val="0"/>
      <w:marBottom w:val="0"/>
      <w:divBdr>
        <w:top w:val="none" w:sz="0" w:space="0" w:color="auto"/>
        <w:left w:val="none" w:sz="0" w:space="0" w:color="auto"/>
        <w:bottom w:val="none" w:sz="0" w:space="0" w:color="auto"/>
        <w:right w:val="none" w:sz="0" w:space="0" w:color="auto"/>
      </w:divBdr>
    </w:div>
    <w:div w:id="1968005285">
      <w:bodyDiv w:val="1"/>
      <w:marLeft w:val="0"/>
      <w:marRight w:val="0"/>
      <w:marTop w:val="0"/>
      <w:marBottom w:val="0"/>
      <w:divBdr>
        <w:top w:val="none" w:sz="0" w:space="0" w:color="auto"/>
        <w:left w:val="none" w:sz="0" w:space="0" w:color="auto"/>
        <w:bottom w:val="none" w:sz="0" w:space="0" w:color="auto"/>
        <w:right w:val="none" w:sz="0" w:space="0" w:color="auto"/>
      </w:divBdr>
    </w:div>
    <w:div w:id="1968048630">
      <w:bodyDiv w:val="1"/>
      <w:marLeft w:val="0"/>
      <w:marRight w:val="0"/>
      <w:marTop w:val="0"/>
      <w:marBottom w:val="0"/>
      <w:divBdr>
        <w:top w:val="none" w:sz="0" w:space="0" w:color="auto"/>
        <w:left w:val="none" w:sz="0" w:space="0" w:color="auto"/>
        <w:bottom w:val="none" w:sz="0" w:space="0" w:color="auto"/>
        <w:right w:val="none" w:sz="0" w:space="0" w:color="auto"/>
      </w:divBdr>
    </w:div>
    <w:div w:id="1968075805">
      <w:bodyDiv w:val="1"/>
      <w:marLeft w:val="0"/>
      <w:marRight w:val="0"/>
      <w:marTop w:val="0"/>
      <w:marBottom w:val="0"/>
      <w:divBdr>
        <w:top w:val="none" w:sz="0" w:space="0" w:color="auto"/>
        <w:left w:val="none" w:sz="0" w:space="0" w:color="auto"/>
        <w:bottom w:val="none" w:sz="0" w:space="0" w:color="auto"/>
        <w:right w:val="none" w:sz="0" w:space="0" w:color="auto"/>
      </w:divBdr>
    </w:div>
    <w:div w:id="1968076098">
      <w:bodyDiv w:val="1"/>
      <w:marLeft w:val="0"/>
      <w:marRight w:val="0"/>
      <w:marTop w:val="0"/>
      <w:marBottom w:val="0"/>
      <w:divBdr>
        <w:top w:val="none" w:sz="0" w:space="0" w:color="auto"/>
        <w:left w:val="none" w:sz="0" w:space="0" w:color="auto"/>
        <w:bottom w:val="none" w:sz="0" w:space="0" w:color="auto"/>
        <w:right w:val="none" w:sz="0" w:space="0" w:color="auto"/>
      </w:divBdr>
    </w:div>
    <w:div w:id="1968078044">
      <w:bodyDiv w:val="1"/>
      <w:marLeft w:val="0"/>
      <w:marRight w:val="0"/>
      <w:marTop w:val="0"/>
      <w:marBottom w:val="0"/>
      <w:divBdr>
        <w:top w:val="none" w:sz="0" w:space="0" w:color="auto"/>
        <w:left w:val="none" w:sz="0" w:space="0" w:color="auto"/>
        <w:bottom w:val="none" w:sz="0" w:space="0" w:color="auto"/>
        <w:right w:val="none" w:sz="0" w:space="0" w:color="auto"/>
      </w:divBdr>
    </w:div>
    <w:div w:id="1968123347">
      <w:bodyDiv w:val="1"/>
      <w:marLeft w:val="0"/>
      <w:marRight w:val="0"/>
      <w:marTop w:val="0"/>
      <w:marBottom w:val="0"/>
      <w:divBdr>
        <w:top w:val="none" w:sz="0" w:space="0" w:color="auto"/>
        <w:left w:val="none" w:sz="0" w:space="0" w:color="auto"/>
        <w:bottom w:val="none" w:sz="0" w:space="0" w:color="auto"/>
        <w:right w:val="none" w:sz="0" w:space="0" w:color="auto"/>
      </w:divBdr>
    </w:div>
    <w:div w:id="1968198609">
      <w:bodyDiv w:val="1"/>
      <w:marLeft w:val="0"/>
      <w:marRight w:val="0"/>
      <w:marTop w:val="0"/>
      <w:marBottom w:val="0"/>
      <w:divBdr>
        <w:top w:val="none" w:sz="0" w:space="0" w:color="auto"/>
        <w:left w:val="none" w:sz="0" w:space="0" w:color="auto"/>
        <w:bottom w:val="none" w:sz="0" w:space="0" w:color="auto"/>
        <w:right w:val="none" w:sz="0" w:space="0" w:color="auto"/>
      </w:divBdr>
    </w:div>
    <w:div w:id="1968386326">
      <w:bodyDiv w:val="1"/>
      <w:marLeft w:val="0"/>
      <w:marRight w:val="0"/>
      <w:marTop w:val="0"/>
      <w:marBottom w:val="0"/>
      <w:divBdr>
        <w:top w:val="none" w:sz="0" w:space="0" w:color="auto"/>
        <w:left w:val="none" w:sz="0" w:space="0" w:color="auto"/>
        <w:bottom w:val="none" w:sz="0" w:space="0" w:color="auto"/>
        <w:right w:val="none" w:sz="0" w:space="0" w:color="auto"/>
      </w:divBdr>
    </w:div>
    <w:div w:id="1968390075">
      <w:bodyDiv w:val="1"/>
      <w:marLeft w:val="0"/>
      <w:marRight w:val="0"/>
      <w:marTop w:val="0"/>
      <w:marBottom w:val="0"/>
      <w:divBdr>
        <w:top w:val="none" w:sz="0" w:space="0" w:color="auto"/>
        <w:left w:val="none" w:sz="0" w:space="0" w:color="auto"/>
        <w:bottom w:val="none" w:sz="0" w:space="0" w:color="auto"/>
        <w:right w:val="none" w:sz="0" w:space="0" w:color="auto"/>
      </w:divBdr>
    </w:div>
    <w:div w:id="1968392059">
      <w:bodyDiv w:val="1"/>
      <w:marLeft w:val="0"/>
      <w:marRight w:val="0"/>
      <w:marTop w:val="0"/>
      <w:marBottom w:val="0"/>
      <w:divBdr>
        <w:top w:val="none" w:sz="0" w:space="0" w:color="auto"/>
        <w:left w:val="none" w:sz="0" w:space="0" w:color="auto"/>
        <w:bottom w:val="none" w:sz="0" w:space="0" w:color="auto"/>
        <w:right w:val="none" w:sz="0" w:space="0" w:color="auto"/>
      </w:divBdr>
    </w:div>
    <w:div w:id="1968393325">
      <w:bodyDiv w:val="1"/>
      <w:marLeft w:val="0"/>
      <w:marRight w:val="0"/>
      <w:marTop w:val="0"/>
      <w:marBottom w:val="0"/>
      <w:divBdr>
        <w:top w:val="none" w:sz="0" w:space="0" w:color="auto"/>
        <w:left w:val="none" w:sz="0" w:space="0" w:color="auto"/>
        <w:bottom w:val="none" w:sz="0" w:space="0" w:color="auto"/>
        <w:right w:val="none" w:sz="0" w:space="0" w:color="auto"/>
      </w:divBdr>
    </w:div>
    <w:div w:id="1968509081">
      <w:bodyDiv w:val="1"/>
      <w:marLeft w:val="0"/>
      <w:marRight w:val="0"/>
      <w:marTop w:val="0"/>
      <w:marBottom w:val="0"/>
      <w:divBdr>
        <w:top w:val="none" w:sz="0" w:space="0" w:color="auto"/>
        <w:left w:val="none" w:sz="0" w:space="0" w:color="auto"/>
        <w:bottom w:val="none" w:sz="0" w:space="0" w:color="auto"/>
        <w:right w:val="none" w:sz="0" w:space="0" w:color="auto"/>
      </w:divBdr>
    </w:div>
    <w:div w:id="1968536972">
      <w:bodyDiv w:val="1"/>
      <w:marLeft w:val="0"/>
      <w:marRight w:val="0"/>
      <w:marTop w:val="0"/>
      <w:marBottom w:val="0"/>
      <w:divBdr>
        <w:top w:val="none" w:sz="0" w:space="0" w:color="auto"/>
        <w:left w:val="none" w:sz="0" w:space="0" w:color="auto"/>
        <w:bottom w:val="none" w:sz="0" w:space="0" w:color="auto"/>
        <w:right w:val="none" w:sz="0" w:space="0" w:color="auto"/>
      </w:divBdr>
    </w:div>
    <w:div w:id="1968585819">
      <w:bodyDiv w:val="1"/>
      <w:marLeft w:val="0"/>
      <w:marRight w:val="0"/>
      <w:marTop w:val="0"/>
      <w:marBottom w:val="0"/>
      <w:divBdr>
        <w:top w:val="none" w:sz="0" w:space="0" w:color="auto"/>
        <w:left w:val="none" w:sz="0" w:space="0" w:color="auto"/>
        <w:bottom w:val="none" w:sz="0" w:space="0" w:color="auto"/>
        <w:right w:val="none" w:sz="0" w:space="0" w:color="auto"/>
      </w:divBdr>
    </w:div>
    <w:div w:id="1968701491">
      <w:bodyDiv w:val="1"/>
      <w:marLeft w:val="0"/>
      <w:marRight w:val="0"/>
      <w:marTop w:val="0"/>
      <w:marBottom w:val="0"/>
      <w:divBdr>
        <w:top w:val="none" w:sz="0" w:space="0" w:color="auto"/>
        <w:left w:val="none" w:sz="0" w:space="0" w:color="auto"/>
        <w:bottom w:val="none" w:sz="0" w:space="0" w:color="auto"/>
        <w:right w:val="none" w:sz="0" w:space="0" w:color="auto"/>
      </w:divBdr>
    </w:div>
    <w:div w:id="1968730879">
      <w:bodyDiv w:val="1"/>
      <w:marLeft w:val="0"/>
      <w:marRight w:val="0"/>
      <w:marTop w:val="0"/>
      <w:marBottom w:val="0"/>
      <w:divBdr>
        <w:top w:val="none" w:sz="0" w:space="0" w:color="auto"/>
        <w:left w:val="none" w:sz="0" w:space="0" w:color="auto"/>
        <w:bottom w:val="none" w:sz="0" w:space="0" w:color="auto"/>
        <w:right w:val="none" w:sz="0" w:space="0" w:color="auto"/>
      </w:divBdr>
    </w:div>
    <w:div w:id="1968773479">
      <w:bodyDiv w:val="1"/>
      <w:marLeft w:val="0"/>
      <w:marRight w:val="0"/>
      <w:marTop w:val="0"/>
      <w:marBottom w:val="0"/>
      <w:divBdr>
        <w:top w:val="none" w:sz="0" w:space="0" w:color="auto"/>
        <w:left w:val="none" w:sz="0" w:space="0" w:color="auto"/>
        <w:bottom w:val="none" w:sz="0" w:space="0" w:color="auto"/>
        <w:right w:val="none" w:sz="0" w:space="0" w:color="auto"/>
      </w:divBdr>
    </w:div>
    <w:div w:id="1968926787">
      <w:bodyDiv w:val="1"/>
      <w:marLeft w:val="0"/>
      <w:marRight w:val="0"/>
      <w:marTop w:val="0"/>
      <w:marBottom w:val="0"/>
      <w:divBdr>
        <w:top w:val="none" w:sz="0" w:space="0" w:color="auto"/>
        <w:left w:val="none" w:sz="0" w:space="0" w:color="auto"/>
        <w:bottom w:val="none" w:sz="0" w:space="0" w:color="auto"/>
        <w:right w:val="none" w:sz="0" w:space="0" w:color="auto"/>
      </w:divBdr>
    </w:div>
    <w:div w:id="1968974690">
      <w:bodyDiv w:val="1"/>
      <w:marLeft w:val="0"/>
      <w:marRight w:val="0"/>
      <w:marTop w:val="0"/>
      <w:marBottom w:val="0"/>
      <w:divBdr>
        <w:top w:val="none" w:sz="0" w:space="0" w:color="auto"/>
        <w:left w:val="none" w:sz="0" w:space="0" w:color="auto"/>
        <w:bottom w:val="none" w:sz="0" w:space="0" w:color="auto"/>
        <w:right w:val="none" w:sz="0" w:space="0" w:color="auto"/>
      </w:divBdr>
    </w:div>
    <w:div w:id="1968975212">
      <w:bodyDiv w:val="1"/>
      <w:marLeft w:val="0"/>
      <w:marRight w:val="0"/>
      <w:marTop w:val="0"/>
      <w:marBottom w:val="0"/>
      <w:divBdr>
        <w:top w:val="none" w:sz="0" w:space="0" w:color="auto"/>
        <w:left w:val="none" w:sz="0" w:space="0" w:color="auto"/>
        <w:bottom w:val="none" w:sz="0" w:space="0" w:color="auto"/>
        <w:right w:val="none" w:sz="0" w:space="0" w:color="auto"/>
      </w:divBdr>
    </w:div>
    <w:div w:id="1969042504">
      <w:bodyDiv w:val="1"/>
      <w:marLeft w:val="0"/>
      <w:marRight w:val="0"/>
      <w:marTop w:val="0"/>
      <w:marBottom w:val="0"/>
      <w:divBdr>
        <w:top w:val="none" w:sz="0" w:space="0" w:color="auto"/>
        <w:left w:val="none" w:sz="0" w:space="0" w:color="auto"/>
        <w:bottom w:val="none" w:sz="0" w:space="0" w:color="auto"/>
        <w:right w:val="none" w:sz="0" w:space="0" w:color="auto"/>
      </w:divBdr>
    </w:div>
    <w:div w:id="1969118156">
      <w:bodyDiv w:val="1"/>
      <w:marLeft w:val="0"/>
      <w:marRight w:val="0"/>
      <w:marTop w:val="0"/>
      <w:marBottom w:val="0"/>
      <w:divBdr>
        <w:top w:val="none" w:sz="0" w:space="0" w:color="auto"/>
        <w:left w:val="none" w:sz="0" w:space="0" w:color="auto"/>
        <w:bottom w:val="none" w:sz="0" w:space="0" w:color="auto"/>
        <w:right w:val="none" w:sz="0" w:space="0" w:color="auto"/>
      </w:divBdr>
    </w:div>
    <w:div w:id="1969241147">
      <w:bodyDiv w:val="1"/>
      <w:marLeft w:val="0"/>
      <w:marRight w:val="0"/>
      <w:marTop w:val="0"/>
      <w:marBottom w:val="0"/>
      <w:divBdr>
        <w:top w:val="none" w:sz="0" w:space="0" w:color="auto"/>
        <w:left w:val="none" w:sz="0" w:space="0" w:color="auto"/>
        <w:bottom w:val="none" w:sz="0" w:space="0" w:color="auto"/>
        <w:right w:val="none" w:sz="0" w:space="0" w:color="auto"/>
      </w:divBdr>
    </w:div>
    <w:div w:id="1969313792">
      <w:bodyDiv w:val="1"/>
      <w:marLeft w:val="0"/>
      <w:marRight w:val="0"/>
      <w:marTop w:val="0"/>
      <w:marBottom w:val="0"/>
      <w:divBdr>
        <w:top w:val="none" w:sz="0" w:space="0" w:color="auto"/>
        <w:left w:val="none" w:sz="0" w:space="0" w:color="auto"/>
        <w:bottom w:val="none" w:sz="0" w:space="0" w:color="auto"/>
        <w:right w:val="none" w:sz="0" w:space="0" w:color="auto"/>
      </w:divBdr>
    </w:div>
    <w:div w:id="1969387440">
      <w:bodyDiv w:val="1"/>
      <w:marLeft w:val="0"/>
      <w:marRight w:val="0"/>
      <w:marTop w:val="0"/>
      <w:marBottom w:val="0"/>
      <w:divBdr>
        <w:top w:val="none" w:sz="0" w:space="0" w:color="auto"/>
        <w:left w:val="none" w:sz="0" w:space="0" w:color="auto"/>
        <w:bottom w:val="none" w:sz="0" w:space="0" w:color="auto"/>
        <w:right w:val="none" w:sz="0" w:space="0" w:color="auto"/>
      </w:divBdr>
    </w:div>
    <w:div w:id="1969437171">
      <w:bodyDiv w:val="1"/>
      <w:marLeft w:val="0"/>
      <w:marRight w:val="0"/>
      <w:marTop w:val="0"/>
      <w:marBottom w:val="0"/>
      <w:divBdr>
        <w:top w:val="none" w:sz="0" w:space="0" w:color="auto"/>
        <w:left w:val="none" w:sz="0" w:space="0" w:color="auto"/>
        <w:bottom w:val="none" w:sz="0" w:space="0" w:color="auto"/>
        <w:right w:val="none" w:sz="0" w:space="0" w:color="auto"/>
      </w:divBdr>
    </w:div>
    <w:div w:id="1969507868">
      <w:bodyDiv w:val="1"/>
      <w:marLeft w:val="0"/>
      <w:marRight w:val="0"/>
      <w:marTop w:val="0"/>
      <w:marBottom w:val="0"/>
      <w:divBdr>
        <w:top w:val="none" w:sz="0" w:space="0" w:color="auto"/>
        <w:left w:val="none" w:sz="0" w:space="0" w:color="auto"/>
        <w:bottom w:val="none" w:sz="0" w:space="0" w:color="auto"/>
        <w:right w:val="none" w:sz="0" w:space="0" w:color="auto"/>
      </w:divBdr>
    </w:div>
    <w:div w:id="1969582332">
      <w:bodyDiv w:val="1"/>
      <w:marLeft w:val="0"/>
      <w:marRight w:val="0"/>
      <w:marTop w:val="0"/>
      <w:marBottom w:val="0"/>
      <w:divBdr>
        <w:top w:val="none" w:sz="0" w:space="0" w:color="auto"/>
        <w:left w:val="none" w:sz="0" w:space="0" w:color="auto"/>
        <w:bottom w:val="none" w:sz="0" w:space="0" w:color="auto"/>
        <w:right w:val="none" w:sz="0" w:space="0" w:color="auto"/>
      </w:divBdr>
    </w:div>
    <w:div w:id="1969816626">
      <w:bodyDiv w:val="1"/>
      <w:marLeft w:val="0"/>
      <w:marRight w:val="0"/>
      <w:marTop w:val="0"/>
      <w:marBottom w:val="0"/>
      <w:divBdr>
        <w:top w:val="none" w:sz="0" w:space="0" w:color="auto"/>
        <w:left w:val="none" w:sz="0" w:space="0" w:color="auto"/>
        <w:bottom w:val="none" w:sz="0" w:space="0" w:color="auto"/>
        <w:right w:val="none" w:sz="0" w:space="0" w:color="auto"/>
      </w:divBdr>
    </w:div>
    <w:div w:id="1969894282">
      <w:bodyDiv w:val="1"/>
      <w:marLeft w:val="0"/>
      <w:marRight w:val="0"/>
      <w:marTop w:val="0"/>
      <w:marBottom w:val="0"/>
      <w:divBdr>
        <w:top w:val="none" w:sz="0" w:space="0" w:color="auto"/>
        <w:left w:val="none" w:sz="0" w:space="0" w:color="auto"/>
        <w:bottom w:val="none" w:sz="0" w:space="0" w:color="auto"/>
        <w:right w:val="none" w:sz="0" w:space="0" w:color="auto"/>
      </w:divBdr>
    </w:div>
    <w:div w:id="1969895485">
      <w:bodyDiv w:val="1"/>
      <w:marLeft w:val="0"/>
      <w:marRight w:val="0"/>
      <w:marTop w:val="0"/>
      <w:marBottom w:val="0"/>
      <w:divBdr>
        <w:top w:val="none" w:sz="0" w:space="0" w:color="auto"/>
        <w:left w:val="none" w:sz="0" w:space="0" w:color="auto"/>
        <w:bottom w:val="none" w:sz="0" w:space="0" w:color="auto"/>
        <w:right w:val="none" w:sz="0" w:space="0" w:color="auto"/>
      </w:divBdr>
    </w:div>
    <w:div w:id="1969967268">
      <w:bodyDiv w:val="1"/>
      <w:marLeft w:val="0"/>
      <w:marRight w:val="0"/>
      <w:marTop w:val="0"/>
      <w:marBottom w:val="0"/>
      <w:divBdr>
        <w:top w:val="none" w:sz="0" w:space="0" w:color="auto"/>
        <w:left w:val="none" w:sz="0" w:space="0" w:color="auto"/>
        <w:bottom w:val="none" w:sz="0" w:space="0" w:color="auto"/>
        <w:right w:val="none" w:sz="0" w:space="0" w:color="auto"/>
      </w:divBdr>
    </w:div>
    <w:div w:id="1970163257">
      <w:bodyDiv w:val="1"/>
      <w:marLeft w:val="0"/>
      <w:marRight w:val="0"/>
      <w:marTop w:val="0"/>
      <w:marBottom w:val="0"/>
      <w:divBdr>
        <w:top w:val="none" w:sz="0" w:space="0" w:color="auto"/>
        <w:left w:val="none" w:sz="0" w:space="0" w:color="auto"/>
        <w:bottom w:val="none" w:sz="0" w:space="0" w:color="auto"/>
        <w:right w:val="none" w:sz="0" w:space="0" w:color="auto"/>
      </w:divBdr>
    </w:div>
    <w:div w:id="1970165930">
      <w:bodyDiv w:val="1"/>
      <w:marLeft w:val="0"/>
      <w:marRight w:val="0"/>
      <w:marTop w:val="0"/>
      <w:marBottom w:val="0"/>
      <w:divBdr>
        <w:top w:val="none" w:sz="0" w:space="0" w:color="auto"/>
        <w:left w:val="none" w:sz="0" w:space="0" w:color="auto"/>
        <w:bottom w:val="none" w:sz="0" w:space="0" w:color="auto"/>
        <w:right w:val="none" w:sz="0" w:space="0" w:color="auto"/>
      </w:divBdr>
    </w:div>
    <w:div w:id="1970240486">
      <w:bodyDiv w:val="1"/>
      <w:marLeft w:val="0"/>
      <w:marRight w:val="0"/>
      <w:marTop w:val="0"/>
      <w:marBottom w:val="0"/>
      <w:divBdr>
        <w:top w:val="none" w:sz="0" w:space="0" w:color="auto"/>
        <w:left w:val="none" w:sz="0" w:space="0" w:color="auto"/>
        <w:bottom w:val="none" w:sz="0" w:space="0" w:color="auto"/>
        <w:right w:val="none" w:sz="0" w:space="0" w:color="auto"/>
      </w:divBdr>
    </w:div>
    <w:div w:id="1970281702">
      <w:bodyDiv w:val="1"/>
      <w:marLeft w:val="0"/>
      <w:marRight w:val="0"/>
      <w:marTop w:val="0"/>
      <w:marBottom w:val="0"/>
      <w:divBdr>
        <w:top w:val="none" w:sz="0" w:space="0" w:color="auto"/>
        <w:left w:val="none" w:sz="0" w:space="0" w:color="auto"/>
        <w:bottom w:val="none" w:sz="0" w:space="0" w:color="auto"/>
        <w:right w:val="none" w:sz="0" w:space="0" w:color="auto"/>
      </w:divBdr>
    </w:div>
    <w:div w:id="1970353135">
      <w:bodyDiv w:val="1"/>
      <w:marLeft w:val="0"/>
      <w:marRight w:val="0"/>
      <w:marTop w:val="0"/>
      <w:marBottom w:val="0"/>
      <w:divBdr>
        <w:top w:val="none" w:sz="0" w:space="0" w:color="auto"/>
        <w:left w:val="none" w:sz="0" w:space="0" w:color="auto"/>
        <w:bottom w:val="none" w:sz="0" w:space="0" w:color="auto"/>
        <w:right w:val="none" w:sz="0" w:space="0" w:color="auto"/>
      </w:divBdr>
    </w:div>
    <w:div w:id="1970427290">
      <w:bodyDiv w:val="1"/>
      <w:marLeft w:val="0"/>
      <w:marRight w:val="0"/>
      <w:marTop w:val="0"/>
      <w:marBottom w:val="0"/>
      <w:divBdr>
        <w:top w:val="none" w:sz="0" w:space="0" w:color="auto"/>
        <w:left w:val="none" w:sz="0" w:space="0" w:color="auto"/>
        <w:bottom w:val="none" w:sz="0" w:space="0" w:color="auto"/>
        <w:right w:val="none" w:sz="0" w:space="0" w:color="auto"/>
      </w:divBdr>
    </w:div>
    <w:div w:id="1970436350">
      <w:bodyDiv w:val="1"/>
      <w:marLeft w:val="0"/>
      <w:marRight w:val="0"/>
      <w:marTop w:val="0"/>
      <w:marBottom w:val="0"/>
      <w:divBdr>
        <w:top w:val="none" w:sz="0" w:space="0" w:color="auto"/>
        <w:left w:val="none" w:sz="0" w:space="0" w:color="auto"/>
        <w:bottom w:val="none" w:sz="0" w:space="0" w:color="auto"/>
        <w:right w:val="none" w:sz="0" w:space="0" w:color="auto"/>
      </w:divBdr>
    </w:div>
    <w:div w:id="1970471771">
      <w:bodyDiv w:val="1"/>
      <w:marLeft w:val="0"/>
      <w:marRight w:val="0"/>
      <w:marTop w:val="0"/>
      <w:marBottom w:val="0"/>
      <w:divBdr>
        <w:top w:val="none" w:sz="0" w:space="0" w:color="auto"/>
        <w:left w:val="none" w:sz="0" w:space="0" w:color="auto"/>
        <w:bottom w:val="none" w:sz="0" w:space="0" w:color="auto"/>
        <w:right w:val="none" w:sz="0" w:space="0" w:color="auto"/>
      </w:divBdr>
    </w:div>
    <w:div w:id="1970476600">
      <w:bodyDiv w:val="1"/>
      <w:marLeft w:val="0"/>
      <w:marRight w:val="0"/>
      <w:marTop w:val="0"/>
      <w:marBottom w:val="0"/>
      <w:divBdr>
        <w:top w:val="none" w:sz="0" w:space="0" w:color="auto"/>
        <w:left w:val="none" w:sz="0" w:space="0" w:color="auto"/>
        <w:bottom w:val="none" w:sz="0" w:space="0" w:color="auto"/>
        <w:right w:val="none" w:sz="0" w:space="0" w:color="auto"/>
      </w:divBdr>
    </w:div>
    <w:div w:id="1970549304">
      <w:bodyDiv w:val="1"/>
      <w:marLeft w:val="0"/>
      <w:marRight w:val="0"/>
      <w:marTop w:val="0"/>
      <w:marBottom w:val="0"/>
      <w:divBdr>
        <w:top w:val="none" w:sz="0" w:space="0" w:color="auto"/>
        <w:left w:val="none" w:sz="0" w:space="0" w:color="auto"/>
        <w:bottom w:val="none" w:sz="0" w:space="0" w:color="auto"/>
        <w:right w:val="none" w:sz="0" w:space="0" w:color="auto"/>
      </w:divBdr>
    </w:div>
    <w:div w:id="1970742616">
      <w:bodyDiv w:val="1"/>
      <w:marLeft w:val="0"/>
      <w:marRight w:val="0"/>
      <w:marTop w:val="0"/>
      <w:marBottom w:val="0"/>
      <w:divBdr>
        <w:top w:val="none" w:sz="0" w:space="0" w:color="auto"/>
        <w:left w:val="none" w:sz="0" w:space="0" w:color="auto"/>
        <w:bottom w:val="none" w:sz="0" w:space="0" w:color="auto"/>
        <w:right w:val="none" w:sz="0" w:space="0" w:color="auto"/>
      </w:divBdr>
    </w:div>
    <w:div w:id="1970932751">
      <w:bodyDiv w:val="1"/>
      <w:marLeft w:val="0"/>
      <w:marRight w:val="0"/>
      <w:marTop w:val="0"/>
      <w:marBottom w:val="0"/>
      <w:divBdr>
        <w:top w:val="none" w:sz="0" w:space="0" w:color="auto"/>
        <w:left w:val="none" w:sz="0" w:space="0" w:color="auto"/>
        <w:bottom w:val="none" w:sz="0" w:space="0" w:color="auto"/>
        <w:right w:val="none" w:sz="0" w:space="0" w:color="auto"/>
      </w:divBdr>
    </w:div>
    <w:div w:id="1970937133">
      <w:bodyDiv w:val="1"/>
      <w:marLeft w:val="0"/>
      <w:marRight w:val="0"/>
      <w:marTop w:val="0"/>
      <w:marBottom w:val="0"/>
      <w:divBdr>
        <w:top w:val="none" w:sz="0" w:space="0" w:color="auto"/>
        <w:left w:val="none" w:sz="0" w:space="0" w:color="auto"/>
        <w:bottom w:val="none" w:sz="0" w:space="0" w:color="auto"/>
        <w:right w:val="none" w:sz="0" w:space="0" w:color="auto"/>
      </w:divBdr>
    </w:div>
    <w:div w:id="1971015189">
      <w:bodyDiv w:val="1"/>
      <w:marLeft w:val="0"/>
      <w:marRight w:val="0"/>
      <w:marTop w:val="0"/>
      <w:marBottom w:val="0"/>
      <w:divBdr>
        <w:top w:val="none" w:sz="0" w:space="0" w:color="auto"/>
        <w:left w:val="none" w:sz="0" w:space="0" w:color="auto"/>
        <w:bottom w:val="none" w:sz="0" w:space="0" w:color="auto"/>
        <w:right w:val="none" w:sz="0" w:space="0" w:color="auto"/>
      </w:divBdr>
    </w:div>
    <w:div w:id="1971082566">
      <w:bodyDiv w:val="1"/>
      <w:marLeft w:val="0"/>
      <w:marRight w:val="0"/>
      <w:marTop w:val="0"/>
      <w:marBottom w:val="0"/>
      <w:divBdr>
        <w:top w:val="none" w:sz="0" w:space="0" w:color="auto"/>
        <w:left w:val="none" w:sz="0" w:space="0" w:color="auto"/>
        <w:bottom w:val="none" w:sz="0" w:space="0" w:color="auto"/>
        <w:right w:val="none" w:sz="0" w:space="0" w:color="auto"/>
      </w:divBdr>
    </w:div>
    <w:div w:id="1971277162">
      <w:bodyDiv w:val="1"/>
      <w:marLeft w:val="0"/>
      <w:marRight w:val="0"/>
      <w:marTop w:val="0"/>
      <w:marBottom w:val="0"/>
      <w:divBdr>
        <w:top w:val="none" w:sz="0" w:space="0" w:color="auto"/>
        <w:left w:val="none" w:sz="0" w:space="0" w:color="auto"/>
        <w:bottom w:val="none" w:sz="0" w:space="0" w:color="auto"/>
        <w:right w:val="none" w:sz="0" w:space="0" w:color="auto"/>
      </w:divBdr>
    </w:div>
    <w:div w:id="1971395687">
      <w:bodyDiv w:val="1"/>
      <w:marLeft w:val="0"/>
      <w:marRight w:val="0"/>
      <w:marTop w:val="0"/>
      <w:marBottom w:val="0"/>
      <w:divBdr>
        <w:top w:val="none" w:sz="0" w:space="0" w:color="auto"/>
        <w:left w:val="none" w:sz="0" w:space="0" w:color="auto"/>
        <w:bottom w:val="none" w:sz="0" w:space="0" w:color="auto"/>
        <w:right w:val="none" w:sz="0" w:space="0" w:color="auto"/>
      </w:divBdr>
    </w:div>
    <w:div w:id="1971471568">
      <w:bodyDiv w:val="1"/>
      <w:marLeft w:val="0"/>
      <w:marRight w:val="0"/>
      <w:marTop w:val="0"/>
      <w:marBottom w:val="0"/>
      <w:divBdr>
        <w:top w:val="none" w:sz="0" w:space="0" w:color="auto"/>
        <w:left w:val="none" w:sz="0" w:space="0" w:color="auto"/>
        <w:bottom w:val="none" w:sz="0" w:space="0" w:color="auto"/>
        <w:right w:val="none" w:sz="0" w:space="0" w:color="auto"/>
      </w:divBdr>
    </w:div>
    <w:div w:id="1971520219">
      <w:bodyDiv w:val="1"/>
      <w:marLeft w:val="0"/>
      <w:marRight w:val="0"/>
      <w:marTop w:val="0"/>
      <w:marBottom w:val="0"/>
      <w:divBdr>
        <w:top w:val="none" w:sz="0" w:space="0" w:color="auto"/>
        <w:left w:val="none" w:sz="0" w:space="0" w:color="auto"/>
        <w:bottom w:val="none" w:sz="0" w:space="0" w:color="auto"/>
        <w:right w:val="none" w:sz="0" w:space="0" w:color="auto"/>
      </w:divBdr>
    </w:div>
    <w:div w:id="1971591487">
      <w:bodyDiv w:val="1"/>
      <w:marLeft w:val="0"/>
      <w:marRight w:val="0"/>
      <w:marTop w:val="0"/>
      <w:marBottom w:val="0"/>
      <w:divBdr>
        <w:top w:val="none" w:sz="0" w:space="0" w:color="auto"/>
        <w:left w:val="none" w:sz="0" w:space="0" w:color="auto"/>
        <w:bottom w:val="none" w:sz="0" w:space="0" w:color="auto"/>
        <w:right w:val="none" w:sz="0" w:space="0" w:color="auto"/>
      </w:divBdr>
    </w:div>
    <w:div w:id="1971593401">
      <w:bodyDiv w:val="1"/>
      <w:marLeft w:val="0"/>
      <w:marRight w:val="0"/>
      <w:marTop w:val="0"/>
      <w:marBottom w:val="0"/>
      <w:divBdr>
        <w:top w:val="none" w:sz="0" w:space="0" w:color="auto"/>
        <w:left w:val="none" w:sz="0" w:space="0" w:color="auto"/>
        <w:bottom w:val="none" w:sz="0" w:space="0" w:color="auto"/>
        <w:right w:val="none" w:sz="0" w:space="0" w:color="auto"/>
      </w:divBdr>
    </w:div>
    <w:div w:id="1971937829">
      <w:bodyDiv w:val="1"/>
      <w:marLeft w:val="0"/>
      <w:marRight w:val="0"/>
      <w:marTop w:val="0"/>
      <w:marBottom w:val="0"/>
      <w:divBdr>
        <w:top w:val="none" w:sz="0" w:space="0" w:color="auto"/>
        <w:left w:val="none" w:sz="0" w:space="0" w:color="auto"/>
        <w:bottom w:val="none" w:sz="0" w:space="0" w:color="auto"/>
        <w:right w:val="none" w:sz="0" w:space="0" w:color="auto"/>
      </w:divBdr>
    </w:div>
    <w:div w:id="1971938144">
      <w:bodyDiv w:val="1"/>
      <w:marLeft w:val="0"/>
      <w:marRight w:val="0"/>
      <w:marTop w:val="0"/>
      <w:marBottom w:val="0"/>
      <w:divBdr>
        <w:top w:val="none" w:sz="0" w:space="0" w:color="auto"/>
        <w:left w:val="none" w:sz="0" w:space="0" w:color="auto"/>
        <w:bottom w:val="none" w:sz="0" w:space="0" w:color="auto"/>
        <w:right w:val="none" w:sz="0" w:space="0" w:color="auto"/>
      </w:divBdr>
    </w:div>
    <w:div w:id="1971940265">
      <w:bodyDiv w:val="1"/>
      <w:marLeft w:val="0"/>
      <w:marRight w:val="0"/>
      <w:marTop w:val="0"/>
      <w:marBottom w:val="0"/>
      <w:divBdr>
        <w:top w:val="none" w:sz="0" w:space="0" w:color="auto"/>
        <w:left w:val="none" w:sz="0" w:space="0" w:color="auto"/>
        <w:bottom w:val="none" w:sz="0" w:space="0" w:color="auto"/>
        <w:right w:val="none" w:sz="0" w:space="0" w:color="auto"/>
      </w:divBdr>
    </w:div>
    <w:div w:id="1971982770">
      <w:bodyDiv w:val="1"/>
      <w:marLeft w:val="0"/>
      <w:marRight w:val="0"/>
      <w:marTop w:val="0"/>
      <w:marBottom w:val="0"/>
      <w:divBdr>
        <w:top w:val="none" w:sz="0" w:space="0" w:color="auto"/>
        <w:left w:val="none" w:sz="0" w:space="0" w:color="auto"/>
        <w:bottom w:val="none" w:sz="0" w:space="0" w:color="auto"/>
        <w:right w:val="none" w:sz="0" w:space="0" w:color="auto"/>
      </w:divBdr>
    </w:div>
    <w:div w:id="1972052515">
      <w:bodyDiv w:val="1"/>
      <w:marLeft w:val="0"/>
      <w:marRight w:val="0"/>
      <w:marTop w:val="0"/>
      <w:marBottom w:val="0"/>
      <w:divBdr>
        <w:top w:val="none" w:sz="0" w:space="0" w:color="auto"/>
        <w:left w:val="none" w:sz="0" w:space="0" w:color="auto"/>
        <w:bottom w:val="none" w:sz="0" w:space="0" w:color="auto"/>
        <w:right w:val="none" w:sz="0" w:space="0" w:color="auto"/>
      </w:divBdr>
    </w:div>
    <w:div w:id="1972124290">
      <w:bodyDiv w:val="1"/>
      <w:marLeft w:val="0"/>
      <w:marRight w:val="0"/>
      <w:marTop w:val="0"/>
      <w:marBottom w:val="0"/>
      <w:divBdr>
        <w:top w:val="none" w:sz="0" w:space="0" w:color="auto"/>
        <w:left w:val="none" w:sz="0" w:space="0" w:color="auto"/>
        <w:bottom w:val="none" w:sz="0" w:space="0" w:color="auto"/>
        <w:right w:val="none" w:sz="0" w:space="0" w:color="auto"/>
      </w:divBdr>
    </w:div>
    <w:div w:id="1972438697">
      <w:bodyDiv w:val="1"/>
      <w:marLeft w:val="0"/>
      <w:marRight w:val="0"/>
      <w:marTop w:val="0"/>
      <w:marBottom w:val="0"/>
      <w:divBdr>
        <w:top w:val="none" w:sz="0" w:space="0" w:color="auto"/>
        <w:left w:val="none" w:sz="0" w:space="0" w:color="auto"/>
        <w:bottom w:val="none" w:sz="0" w:space="0" w:color="auto"/>
        <w:right w:val="none" w:sz="0" w:space="0" w:color="auto"/>
      </w:divBdr>
    </w:div>
    <w:div w:id="1972510843">
      <w:bodyDiv w:val="1"/>
      <w:marLeft w:val="0"/>
      <w:marRight w:val="0"/>
      <w:marTop w:val="0"/>
      <w:marBottom w:val="0"/>
      <w:divBdr>
        <w:top w:val="none" w:sz="0" w:space="0" w:color="auto"/>
        <w:left w:val="none" w:sz="0" w:space="0" w:color="auto"/>
        <w:bottom w:val="none" w:sz="0" w:space="0" w:color="auto"/>
        <w:right w:val="none" w:sz="0" w:space="0" w:color="auto"/>
      </w:divBdr>
    </w:div>
    <w:div w:id="1972513627">
      <w:bodyDiv w:val="1"/>
      <w:marLeft w:val="0"/>
      <w:marRight w:val="0"/>
      <w:marTop w:val="0"/>
      <w:marBottom w:val="0"/>
      <w:divBdr>
        <w:top w:val="none" w:sz="0" w:space="0" w:color="auto"/>
        <w:left w:val="none" w:sz="0" w:space="0" w:color="auto"/>
        <w:bottom w:val="none" w:sz="0" w:space="0" w:color="auto"/>
        <w:right w:val="none" w:sz="0" w:space="0" w:color="auto"/>
      </w:divBdr>
    </w:div>
    <w:div w:id="1972705968">
      <w:bodyDiv w:val="1"/>
      <w:marLeft w:val="0"/>
      <w:marRight w:val="0"/>
      <w:marTop w:val="0"/>
      <w:marBottom w:val="0"/>
      <w:divBdr>
        <w:top w:val="none" w:sz="0" w:space="0" w:color="auto"/>
        <w:left w:val="none" w:sz="0" w:space="0" w:color="auto"/>
        <w:bottom w:val="none" w:sz="0" w:space="0" w:color="auto"/>
        <w:right w:val="none" w:sz="0" w:space="0" w:color="auto"/>
      </w:divBdr>
    </w:div>
    <w:div w:id="1972781871">
      <w:bodyDiv w:val="1"/>
      <w:marLeft w:val="0"/>
      <w:marRight w:val="0"/>
      <w:marTop w:val="0"/>
      <w:marBottom w:val="0"/>
      <w:divBdr>
        <w:top w:val="none" w:sz="0" w:space="0" w:color="auto"/>
        <w:left w:val="none" w:sz="0" w:space="0" w:color="auto"/>
        <w:bottom w:val="none" w:sz="0" w:space="0" w:color="auto"/>
        <w:right w:val="none" w:sz="0" w:space="0" w:color="auto"/>
      </w:divBdr>
    </w:div>
    <w:div w:id="1972788625">
      <w:bodyDiv w:val="1"/>
      <w:marLeft w:val="0"/>
      <w:marRight w:val="0"/>
      <w:marTop w:val="0"/>
      <w:marBottom w:val="0"/>
      <w:divBdr>
        <w:top w:val="none" w:sz="0" w:space="0" w:color="auto"/>
        <w:left w:val="none" w:sz="0" w:space="0" w:color="auto"/>
        <w:bottom w:val="none" w:sz="0" w:space="0" w:color="auto"/>
        <w:right w:val="none" w:sz="0" w:space="0" w:color="auto"/>
      </w:divBdr>
    </w:div>
    <w:div w:id="1972859091">
      <w:bodyDiv w:val="1"/>
      <w:marLeft w:val="0"/>
      <w:marRight w:val="0"/>
      <w:marTop w:val="0"/>
      <w:marBottom w:val="0"/>
      <w:divBdr>
        <w:top w:val="none" w:sz="0" w:space="0" w:color="auto"/>
        <w:left w:val="none" w:sz="0" w:space="0" w:color="auto"/>
        <w:bottom w:val="none" w:sz="0" w:space="0" w:color="auto"/>
        <w:right w:val="none" w:sz="0" w:space="0" w:color="auto"/>
      </w:divBdr>
    </w:div>
    <w:div w:id="1972905589">
      <w:bodyDiv w:val="1"/>
      <w:marLeft w:val="0"/>
      <w:marRight w:val="0"/>
      <w:marTop w:val="0"/>
      <w:marBottom w:val="0"/>
      <w:divBdr>
        <w:top w:val="none" w:sz="0" w:space="0" w:color="auto"/>
        <w:left w:val="none" w:sz="0" w:space="0" w:color="auto"/>
        <w:bottom w:val="none" w:sz="0" w:space="0" w:color="auto"/>
        <w:right w:val="none" w:sz="0" w:space="0" w:color="auto"/>
      </w:divBdr>
    </w:div>
    <w:div w:id="1972978802">
      <w:bodyDiv w:val="1"/>
      <w:marLeft w:val="0"/>
      <w:marRight w:val="0"/>
      <w:marTop w:val="0"/>
      <w:marBottom w:val="0"/>
      <w:divBdr>
        <w:top w:val="none" w:sz="0" w:space="0" w:color="auto"/>
        <w:left w:val="none" w:sz="0" w:space="0" w:color="auto"/>
        <w:bottom w:val="none" w:sz="0" w:space="0" w:color="auto"/>
        <w:right w:val="none" w:sz="0" w:space="0" w:color="auto"/>
      </w:divBdr>
    </w:div>
    <w:div w:id="1973097988">
      <w:bodyDiv w:val="1"/>
      <w:marLeft w:val="0"/>
      <w:marRight w:val="0"/>
      <w:marTop w:val="0"/>
      <w:marBottom w:val="0"/>
      <w:divBdr>
        <w:top w:val="none" w:sz="0" w:space="0" w:color="auto"/>
        <w:left w:val="none" w:sz="0" w:space="0" w:color="auto"/>
        <w:bottom w:val="none" w:sz="0" w:space="0" w:color="auto"/>
        <w:right w:val="none" w:sz="0" w:space="0" w:color="auto"/>
      </w:divBdr>
    </w:div>
    <w:div w:id="1973248368">
      <w:bodyDiv w:val="1"/>
      <w:marLeft w:val="0"/>
      <w:marRight w:val="0"/>
      <w:marTop w:val="0"/>
      <w:marBottom w:val="0"/>
      <w:divBdr>
        <w:top w:val="none" w:sz="0" w:space="0" w:color="auto"/>
        <w:left w:val="none" w:sz="0" w:space="0" w:color="auto"/>
        <w:bottom w:val="none" w:sz="0" w:space="0" w:color="auto"/>
        <w:right w:val="none" w:sz="0" w:space="0" w:color="auto"/>
      </w:divBdr>
    </w:div>
    <w:div w:id="1973365974">
      <w:bodyDiv w:val="1"/>
      <w:marLeft w:val="0"/>
      <w:marRight w:val="0"/>
      <w:marTop w:val="0"/>
      <w:marBottom w:val="0"/>
      <w:divBdr>
        <w:top w:val="none" w:sz="0" w:space="0" w:color="auto"/>
        <w:left w:val="none" w:sz="0" w:space="0" w:color="auto"/>
        <w:bottom w:val="none" w:sz="0" w:space="0" w:color="auto"/>
        <w:right w:val="none" w:sz="0" w:space="0" w:color="auto"/>
      </w:divBdr>
    </w:div>
    <w:div w:id="1973435748">
      <w:bodyDiv w:val="1"/>
      <w:marLeft w:val="0"/>
      <w:marRight w:val="0"/>
      <w:marTop w:val="0"/>
      <w:marBottom w:val="0"/>
      <w:divBdr>
        <w:top w:val="none" w:sz="0" w:space="0" w:color="auto"/>
        <w:left w:val="none" w:sz="0" w:space="0" w:color="auto"/>
        <w:bottom w:val="none" w:sz="0" w:space="0" w:color="auto"/>
        <w:right w:val="none" w:sz="0" w:space="0" w:color="auto"/>
      </w:divBdr>
    </w:div>
    <w:div w:id="1973437741">
      <w:bodyDiv w:val="1"/>
      <w:marLeft w:val="0"/>
      <w:marRight w:val="0"/>
      <w:marTop w:val="0"/>
      <w:marBottom w:val="0"/>
      <w:divBdr>
        <w:top w:val="none" w:sz="0" w:space="0" w:color="auto"/>
        <w:left w:val="none" w:sz="0" w:space="0" w:color="auto"/>
        <w:bottom w:val="none" w:sz="0" w:space="0" w:color="auto"/>
        <w:right w:val="none" w:sz="0" w:space="0" w:color="auto"/>
      </w:divBdr>
    </w:div>
    <w:div w:id="1973443656">
      <w:bodyDiv w:val="1"/>
      <w:marLeft w:val="0"/>
      <w:marRight w:val="0"/>
      <w:marTop w:val="0"/>
      <w:marBottom w:val="0"/>
      <w:divBdr>
        <w:top w:val="none" w:sz="0" w:space="0" w:color="auto"/>
        <w:left w:val="none" w:sz="0" w:space="0" w:color="auto"/>
        <w:bottom w:val="none" w:sz="0" w:space="0" w:color="auto"/>
        <w:right w:val="none" w:sz="0" w:space="0" w:color="auto"/>
      </w:divBdr>
    </w:div>
    <w:div w:id="1973444045">
      <w:bodyDiv w:val="1"/>
      <w:marLeft w:val="0"/>
      <w:marRight w:val="0"/>
      <w:marTop w:val="0"/>
      <w:marBottom w:val="0"/>
      <w:divBdr>
        <w:top w:val="none" w:sz="0" w:space="0" w:color="auto"/>
        <w:left w:val="none" w:sz="0" w:space="0" w:color="auto"/>
        <w:bottom w:val="none" w:sz="0" w:space="0" w:color="auto"/>
        <w:right w:val="none" w:sz="0" w:space="0" w:color="auto"/>
      </w:divBdr>
    </w:div>
    <w:div w:id="1973485856">
      <w:bodyDiv w:val="1"/>
      <w:marLeft w:val="0"/>
      <w:marRight w:val="0"/>
      <w:marTop w:val="0"/>
      <w:marBottom w:val="0"/>
      <w:divBdr>
        <w:top w:val="none" w:sz="0" w:space="0" w:color="auto"/>
        <w:left w:val="none" w:sz="0" w:space="0" w:color="auto"/>
        <w:bottom w:val="none" w:sz="0" w:space="0" w:color="auto"/>
        <w:right w:val="none" w:sz="0" w:space="0" w:color="auto"/>
      </w:divBdr>
    </w:div>
    <w:div w:id="1973512903">
      <w:bodyDiv w:val="1"/>
      <w:marLeft w:val="0"/>
      <w:marRight w:val="0"/>
      <w:marTop w:val="0"/>
      <w:marBottom w:val="0"/>
      <w:divBdr>
        <w:top w:val="none" w:sz="0" w:space="0" w:color="auto"/>
        <w:left w:val="none" w:sz="0" w:space="0" w:color="auto"/>
        <w:bottom w:val="none" w:sz="0" w:space="0" w:color="auto"/>
        <w:right w:val="none" w:sz="0" w:space="0" w:color="auto"/>
      </w:divBdr>
    </w:div>
    <w:div w:id="1973554015">
      <w:bodyDiv w:val="1"/>
      <w:marLeft w:val="0"/>
      <w:marRight w:val="0"/>
      <w:marTop w:val="0"/>
      <w:marBottom w:val="0"/>
      <w:divBdr>
        <w:top w:val="none" w:sz="0" w:space="0" w:color="auto"/>
        <w:left w:val="none" w:sz="0" w:space="0" w:color="auto"/>
        <w:bottom w:val="none" w:sz="0" w:space="0" w:color="auto"/>
        <w:right w:val="none" w:sz="0" w:space="0" w:color="auto"/>
      </w:divBdr>
    </w:div>
    <w:div w:id="1973707125">
      <w:bodyDiv w:val="1"/>
      <w:marLeft w:val="0"/>
      <w:marRight w:val="0"/>
      <w:marTop w:val="0"/>
      <w:marBottom w:val="0"/>
      <w:divBdr>
        <w:top w:val="none" w:sz="0" w:space="0" w:color="auto"/>
        <w:left w:val="none" w:sz="0" w:space="0" w:color="auto"/>
        <w:bottom w:val="none" w:sz="0" w:space="0" w:color="auto"/>
        <w:right w:val="none" w:sz="0" w:space="0" w:color="auto"/>
      </w:divBdr>
    </w:div>
    <w:div w:id="1973750420">
      <w:bodyDiv w:val="1"/>
      <w:marLeft w:val="0"/>
      <w:marRight w:val="0"/>
      <w:marTop w:val="0"/>
      <w:marBottom w:val="0"/>
      <w:divBdr>
        <w:top w:val="none" w:sz="0" w:space="0" w:color="auto"/>
        <w:left w:val="none" w:sz="0" w:space="0" w:color="auto"/>
        <w:bottom w:val="none" w:sz="0" w:space="0" w:color="auto"/>
        <w:right w:val="none" w:sz="0" w:space="0" w:color="auto"/>
      </w:divBdr>
    </w:div>
    <w:div w:id="1973753843">
      <w:bodyDiv w:val="1"/>
      <w:marLeft w:val="0"/>
      <w:marRight w:val="0"/>
      <w:marTop w:val="0"/>
      <w:marBottom w:val="0"/>
      <w:divBdr>
        <w:top w:val="none" w:sz="0" w:space="0" w:color="auto"/>
        <w:left w:val="none" w:sz="0" w:space="0" w:color="auto"/>
        <w:bottom w:val="none" w:sz="0" w:space="0" w:color="auto"/>
        <w:right w:val="none" w:sz="0" w:space="0" w:color="auto"/>
      </w:divBdr>
    </w:div>
    <w:div w:id="1973754041">
      <w:bodyDiv w:val="1"/>
      <w:marLeft w:val="0"/>
      <w:marRight w:val="0"/>
      <w:marTop w:val="0"/>
      <w:marBottom w:val="0"/>
      <w:divBdr>
        <w:top w:val="none" w:sz="0" w:space="0" w:color="auto"/>
        <w:left w:val="none" w:sz="0" w:space="0" w:color="auto"/>
        <w:bottom w:val="none" w:sz="0" w:space="0" w:color="auto"/>
        <w:right w:val="none" w:sz="0" w:space="0" w:color="auto"/>
      </w:divBdr>
    </w:div>
    <w:div w:id="1973829059">
      <w:bodyDiv w:val="1"/>
      <w:marLeft w:val="0"/>
      <w:marRight w:val="0"/>
      <w:marTop w:val="0"/>
      <w:marBottom w:val="0"/>
      <w:divBdr>
        <w:top w:val="none" w:sz="0" w:space="0" w:color="auto"/>
        <w:left w:val="none" w:sz="0" w:space="0" w:color="auto"/>
        <w:bottom w:val="none" w:sz="0" w:space="0" w:color="auto"/>
        <w:right w:val="none" w:sz="0" w:space="0" w:color="auto"/>
      </w:divBdr>
    </w:div>
    <w:div w:id="1973905667">
      <w:bodyDiv w:val="1"/>
      <w:marLeft w:val="0"/>
      <w:marRight w:val="0"/>
      <w:marTop w:val="0"/>
      <w:marBottom w:val="0"/>
      <w:divBdr>
        <w:top w:val="none" w:sz="0" w:space="0" w:color="auto"/>
        <w:left w:val="none" w:sz="0" w:space="0" w:color="auto"/>
        <w:bottom w:val="none" w:sz="0" w:space="0" w:color="auto"/>
        <w:right w:val="none" w:sz="0" w:space="0" w:color="auto"/>
      </w:divBdr>
    </w:div>
    <w:div w:id="1974020779">
      <w:bodyDiv w:val="1"/>
      <w:marLeft w:val="0"/>
      <w:marRight w:val="0"/>
      <w:marTop w:val="0"/>
      <w:marBottom w:val="0"/>
      <w:divBdr>
        <w:top w:val="none" w:sz="0" w:space="0" w:color="auto"/>
        <w:left w:val="none" w:sz="0" w:space="0" w:color="auto"/>
        <w:bottom w:val="none" w:sz="0" w:space="0" w:color="auto"/>
        <w:right w:val="none" w:sz="0" w:space="0" w:color="auto"/>
      </w:divBdr>
    </w:div>
    <w:div w:id="1974022428">
      <w:bodyDiv w:val="1"/>
      <w:marLeft w:val="0"/>
      <w:marRight w:val="0"/>
      <w:marTop w:val="0"/>
      <w:marBottom w:val="0"/>
      <w:divBdr>
        <w:top w:val="none" w:sz="0" w:space="0" w:color="auto"/>
        <w:left w:val="none" w:sz="0" w:space="0" w:color="auto"/>
        <w:bottom w:val="none" w:sz="0" w:space="0" w:color="auto"/>
        <w:right w:val="none" w:sz="0" w:space="0" w:color="auto"/>
      </w:divBdr>
    </w:div>
    <w:div w:id="1974024327">
      <w:bodyDiv w:val="1"/>
      <w:marLeft w:val="0"/>
      <w:marRight w:val="0"/>
      <w:marTop w:val="0"/>
      <w:marBottom w:val="0"/>
      <w:divBdr>
        <w:top w:val="none" w:sz="0" w:space="0" w:color="auto"/>
        <w:left w:val="none" w:sz="0" w:space="0" w:color="auto"/>
        <w:bottom w:val="none" w:sz="0" w:space="0" w:color="auto"/>
        <w:right w:val="none" w:sz="0" w:space="0" w:color="auto"/>
      </w:divBdr>
    </w:div>
    <w:div w:id="1974091782">
      <w:bodyDiv w:val="1"/>
      <w:marLeft w:val="0"/>
      <w:marRight w:val="0"/>
      <w:marTop w:val="0"/>
      <w:marBottom w:val="0"/>
      <w:divBdr>
        <w:top w:val="none" w:sz="0" w:space="0" w:color="auto"/>
        <w:left w:val="none" w:sz="0" w:space="0" w:color="auto"/>
        <w:bottom w:val="none" w:sz="0" w:space="0" w:color="auto"/>
        <w:right w:val="none" w:sz="0" w:space="0" w:color="auto"/>
      </w:divBdr>
    </w:div>
    <w:div w:id="1974094200">
      <w:bodyDiv w:val="1"/>
      <w:marLeft w:val="0"/>
      <w:marRight w:val="0"/>
      <w:marTop w:val="0"/>
      <w:marBottom w:val="0"/>
      <w:divBdr>
        <w:top w:val="none" w:sz="0" w:space="0" w:color="auto"/>
        <w:left w:val="none" w:sz="0" w:space="0" w:color="auto"/>
        <w:bottom w:val="none" w:sz="0" w:space="0" w:color="auto"/>
        <w:right w:val="none" w:sz="0" w:space="0" w:color="auto"/>
      </w:divBdr>
    </w:div>
    <w:div w:id="1974285305">
      <w:bodyDiv w:val="1"/>
      <w:marLeft w:val="0"/>
      <w:marRight w:val="0"/>
      <w:marTop w:val="0"/>
      <w:marBottom w:val="0"/>
      <w:divBdr>
        <w:top w:val="none" w:sz="0" w:space="0" w:color="auto"/>
        <w:left w:val="none" w:sz="0" w:space="0" w:color="auto"/>
        <w:bottom w:val="none" w:sz="0" w:space="0" w:color="auto"/>
        <w:right w:val="none" w:sz="0" w:space="0" w:color="auto"/>
      </w:divBdr>
    </w:div>
    <w:div w:id="1974290781">
      <w:bodyDiv w:val="1"/>
      <w:marLeft w:val="0"/>
      <w:marRight w:val="0"/>
      <w:marTop w:val="0"/>
      <w:marBottom w:val="0"/>
      <w:divBdr>
        <w:top w:val="none" w:sz="0" w:space="0" w:color="auto"/>
        <w:left w:val="none" w:sz="0" w:space="0" w:color="auto"/>
        <w:bottom w:val="none" w:sz="0" w:space="0" w:color="auto"/>
        <w:right w:val="none" w:sz="0" w:space="0" w:color="auto"/>
      </w:divBdr>
    </w:div>
    <w:div w:id="1974365470">
      <w:bodyDiv w:val="1"/>
      <w:marLeft w:val="0"/>
      <w:marRight w:val="0"/>
      <w:marTop w:val="0"/>
      <w:marBottom w:val="0"/>
      <w:divBdr>
        <w:top w:val="none" w:sz="0" w:space="0" w:color="auto"/>
        <w:left w:val="none" w:sz="0" w:space="0" w:color="auto"/>
        <w:bottom w:val="none" w:sz="0" w:space="0" w:color="auto"/>
        <w:right w:val="none" w:sz="0" w:space="0" w:color="auto"/>
      </w:divBdr>
    </w:div>
    <w:div w:id="1974409782">
      <w:bodyDiv w:val="1"/>
      <w:marLeft w:val="0"/>
      <w:marRight w:val="0"/>
      <w:marTop w:val="0"/>
      <w:marBottom w:val="0"/>
      <w:divBdr>
        <w:top w:val="none" w:sz="0" w:space="0" w:color="auto"/>
        <w:left w:val="none" w:sz="0" w:space="0" w:color="auto"/>
        <w:bottom w:val="none" w:sz="0" w:space="0" w:color="auto"/>
        <w:right w:val="none" w:sz="0" w:space="0" w:color="auto"/>
      </w:divBdr>
    </w:div>
    <w:div w:id="1974481366">
      <w:bodyDiv w:val="1"/>
      <w:marLeft w:val="0"/>
      <w:marRight w:val="0"/>
      <w:marTop w:val="0"/>
      <w:marBottom w:val="0"/>
      <w:divBdr>
        <w:top w:val="none" w:sz="0" w:space="0" w:color="auto"/>
        <w:left w:val="none" w:sz="0" w:space="0" w:color="auto"/>
        <w:bottom w:val="none" w:sz="0" w:space="0" w:color="auto"/>
        <w:right w:val="none" w:sz="0" w:space="0" w:color="auto"/>
      </w:divBdr>
    </w:div>
    <w:div w:id="1974559270">
      <w:bodyDiv w:val="1"/>
      <w:marLeft w:val="0"/>
      <w:marRight w:val="0"/>
      <w:marTop w:val="0"/>
      <w:marBottom w:val="0"/>
      <w:divBdr>
        <w:top w:val="none" w:sz="0" w:space="0" w:color="auto"/>
        <w:left w:val="none" w:sz="0" w:space="0" w:color="auto"/>
        <w:bottom w:val="none" w:sz="0" w:space="0" w:color="auto"/>
        <w:right w:val="none" w:sz="0" w:space="0" w:color="auto"/>
      </w:divBdr>
    </w:div>
    <w:div w:id="1974600949">
      <w:bodyDiv w:val="1"/>
      <w:marLeft w:val="0"/>
      <w:marRight w:val="0"/>
      <w:marTop w:val="0"/>
      <w:marBottom w:val="0"/>
      <w:divBdr>
        <w:top w:val="none" w:sz="0" w:space="0" w:color="auto"/>
        <w:left w:val="none" w:sz="0" w:space="0" w:color="auto"/>
        <w:bottom w:val="none" w:sz="0" w:space="0" w:color="auto"/>
        <w:right w:val="none" w:sz="0" w:space="0" w:color="auto"/>
      </w:divBdr>
    </w:div>
    <w:div w:id="1974630676">
      <w:bodyDiv w:val="1"/>
      <w:marLeft w:val="0"/>
      <w:marRight w:val="0"/>
      <w:marTop w:val="0"/>
      <w:marBottom w:val="0"/>
      <w:divBdr>
        <w:top w:val="none" w:sz="0" w:space="0" w:color="auto"/>
        <w:left w:val="none" w:sz="0" w:space="0" w:color="auto"/>
        <w:bottom w:val="none" w:sz="0" w:space="0" w:color="auto"/>
        <w:right w:val="none" w:sz="0" w:space="0" w:color="auto"/>
      </w:divBdr>
    </w:div>
    <w:div w:id="1974871087">
      <w:bodyDiv w:val="1"/>
      <w:marLeft w:val="0"/>
      <w:marRight w:val="0"/>
      <w:marTop w:val="0"/>
      <w:marBottom w:val="0"/>
      <w:divBdr>
        <w:top w:val="none" w:sz="0" w:space="0" w:color="auto"/>
        <w:left w:val="none" w:sz="0" w:space="0" w:color="auto"/>
        <w:bottom w:val="none" w:sz="0" w:space="0" w:color="auto"/>
        <w:right w:val="none" w:sz="0" w:space="0" w:color="auto"/>
      </w:divBdr>
    </w:div>
    <w:div w:id="1974947865">
      <w:bodyDiv w:val="1"/>
      <w:marLeft w:val="0"/>
      <w:marRight w:val="0"/>
      <w:marTop w:val="0"/>
      <w:marBottom w:val="0"/>
      <w:divBdr>
        <w:top w:val="none" w:sz="0" w:space="0" w:color="auto"/>
        <w:left w:val="none" w:sz="0" w:space="0" w:color="auto"/>
        <w:bottom w:val="none" w:sz="0" w:space="0" w:color="auto"/>
        <w:right w:val="none" w:sz="0" w:space="0" w:color="auto"/>
      </w:divBdr>
    </w:div>
    <w:div w:id="1975018666">
      <w:bodyDiv w:val="1"/>
      <w:marLeft w:val="0"/>
      <w:marRight w:val="0"/>
      <w:marTop w:val="0"/>
      <w:marBottom w:val="0"/>
      <w:divBdr>
        <w:top w:val="none" w:sz="0" w:space="0" w:color="auto"/>
        <w:left w:val="none" w:sz="0" w:space="0" w:color="auto"/>
        <w:bottom w:val="none" w:sz="0" w:space="0" w:color="auto"/>
        <w:right w:val="none" w:sz="0" w:space="0" w:color="auto"/>
      </w:divBdr>
    </w:div>
    <w:div w:id="1975058855">
      <w:bodyDiv w:val="1"/>
      <w:marLeft w:val="0"/>
      <w:marRight w:val="0"/>
      <w:marTop w:val="0"/>
      <w:marBottom w:val="0"/>
      <w:divBdr>
        <w:top w:val="none" w:sz="0" w:space="0" w:color="auto"/>
        <w:left w:val="none" w:sz="0" w:space="0" w:color="auto"/>
        <w:bottom w:val="none" w:sz="0" w:space="0" w:color="auto"/>
        <w:right w:val="none" w:sz="0" w:space="0" w:color="auto"/>
      </w:divBdr>
    </w:div>
    <w:div w:id="1975089916">
      <w:bodyDiv w:val="1"/>
      <w:marLeft w:val="0"/>
      <w:marRight w:val="0"/>
      <w:marTop w:val="0"/>
      <w:marBottom w:val="0"/>
      <w:divBdr>
        <w:top w:val="none" w:sz="0" w:space="0" w:color="auto"/>
        <w:left w:val="none" w:sz="0" w:space="0" w:color="auto"/>
        <w:bottom w:val="none" w:sz="0" w:space="0" w:color="auto"/>
        <w:right w:val="none" w:sz="0" w:space="0" w:color="auto"/>
      </w:divBdr>
    </w:div>
    <w:div w:id="1975208236">
      <w:bodyDiv w:val="1"/>
      <w:marLeft w:val="0"/>
      <w:marRight w:val="0"/>
      <w:marTop w:val="0"/>
      <w:marBottom w:val="0"/>
      <w:divBdr>
        <w:top w:val="none" w:sz="0" w:space="0" w:color="auto"/>
        <w:left w:val="none" w:sz="0" w:space="0" w:color="auto"/>
        <w:bottom w:val="none" w:sz="0" w:space="0" w:color="auto"/>
        <w:right w:val="none" w:sz="0" w:space="0" w:color="auto"/>
      </w:divBdr>
    </w:div>
    <w:div w:id="1975216461">
      <w:bodyDiv w:val="1"/>
      <w:marLeft w:val="0"/>
      <w:marRight w:val="0"/>
      <w:marTop w:val="0"/>
      <w:marBottom w:val="0"/>
      <w:divBdr>
        <w:top w:val="none" w:sz="0" w:space="0" w:color="auto"/>
        <w:left w:val="none" w:sz="0" w:space="0" w:color="auto"/>
        <w:bottom w:val="none" w:sz="0" w:space="0" w:color="auto"/>
        <w:right w:val="none" w:sz="0" w:space="0" w:color="auto"/>
      </w:divBdr>
    </w:div>
    <w:div w:id="1975257415">
      <w:bodyDiv w:val="1"/>
      <w:marLeft w:val="0"/>
      <w:marRight w:val="0"/>
      <w:marTop w:val="0"/>
      <w:marBottom w:val="0"/>
      <w:divBdr>
        <w:top w:val="none" w:sz="0" w:space="0" w:color="auto"/>
        <w:left w:val="none" w:sz="0" w:space="0" w:color="auto"/>
        <w:bottom w:val="none" w:sz="0" w:space="0" w:color="auto"/>
        <w:right w:val="none" w:sz="0" w:space="0" w:color="auto"/>
      </w:divBdr>
    </w:div>
    <w:div w:id="1975258778">
      <w:bodyDiv w:val="1"/>
      <w:marLeft w:val="0"/>
      <w:marRight w:val="0"/>
      <w:marTop w:val="0"/>
      <w:marBottom w:val="0"/>
      <w:divBdr>
        <w:top w:val="none" w:sz="0" w:space="0" w:color="auto"/>
        <w:left w:val="none" w:sz="0" w:space="0" w:color="auto"/>
        <w:bottom w:val="none" w:sz="0" w:space="0" w:color="auto"/>
        <w:right w:val="none" w:sz="0" w:space="0" w:color="auto"/>
      </w:divBdr>
    </w:div>
    <w:div w:id="1975284472">
      <w:bodyDiv w:val="1"/>
      <w:marLeft w:val="0"/>
      <w:marRight w:val="0"/>
      <w:marTop w:val="0"/>
      <w:marBottom w:val="0"/>
      <w:divBdr>
        <w:top w:val="none" w:sz="0" w:space="0" w:color="auto"/>
        <w:left w:val="none" w:sz="0" w:space="0" w:color="auto"/>
        <w:bottom w:val="none" w:sz="0" w:space="0" w:color="auto"/>
        <w:right w:val="none" w:sz="0" w:space="0" w:color="auto"/>
      </w:divBdr>
    </w:div>
    <w:div w:id="1975328469">
      <w:bodyDiv w:val="1"/>
      <w:marLeft w:val="0"/>
      <w:marRight w:val="0"/>
      <w:marTop w:val="0"/>
      <w:marBottom w:val="0"/>
      <w:divBdr>
        <w:top w:val="none" w:sz="0" w:space="0" w:color="auto"/>
        <w:left w:val="none" w:sz="0" w:space="0" w:color="auto"/>
        <w:bottom w:val="none" w:sz="0" w:space="0" w:color="auto"/>
        <w:right w:val="none" w:sz="0" w:space="0" w:color="auto"/>
      </w:divBdr>
    </w:div>
    <w:div w:id="1975333795">
      <w:bodyDiv w:val="1"/>
      <w:marLeft w:val="0"/>
      <w:marRight w:val="0"/>
      <w:marTop w:val="0"/>
      <w:marBottom w:val="0"/>
      <w:divBdr>
        <w:top w:val="none" w:sz="0" w:space="0" w:color="auto"/>
        <w:left w:val="none" w:sz="0" w:space="0" w:color="auto"/>
        <w:bottom w:val="none" w:sz="0" w:space="0" w:color="auto"/>
        <w:right w:val="none" w:sz="0" w:space="0" w:color="auto"/>
      </w:divBdr>
    </w:div>
    <w:div w:id="1975452642">
      <w:bodyDiv w:val="1"/>
      <w:marLeft w:val="0"/>
      <w:marRight w:val="0"/>
      <w:marTop w:val="0"/>
      <w:marBottom w:val="0"/>
      <w:divBdr>
        <w:top w:val="none" w:sz="0" w:space="0" w:color="auto"/>
        <w:left w:val="none" w:sz="0" w:space="0" w:color="auto"/>
        <w:bottom w:val="none" w:sz="0" w:space="0" w:color="auto"/>
        <w:right w:val="none" w:sz="0" w:space="0" w:color="auto"/>
      </w:divBdr>
    </w:div>
    <w:div w:id="1975594079">
      <w:bodyDiv w:val="1"/>
      <w:marLeft w:val="0"/>
      <w:marRight w:val="0"/>
      <w:marTop w:val="0"/>
      <w:marBottom w:val="0"/>
      <w:divBdr>
        <w:top w:val="none" w:sz="0" w:space="0" w:color="auto"/>
        <w:left w:val="none" w:sz="0" w:space="0" w:color="auto"/>
        <w:bottom w:val="none" w:sz="0" w:space="0" w:color="auto"/>
        <w:right w:val="none" w:sz="0" w:space="0" w:color="auto"/>
      </w:divBdr>
    </w:div>
    <w:div w:id="1975674996">
      <w:bodyDiv w:val="1"/>
      <w:marLeft w:val="0"/>
      <w:marRight w:val="0"/>
      <w:marTop w:val="0"/>
      <w:marBottom w:val="0"/>
      <w:divBdr>
        <w:top w:val="none" w:sz="0" w:space="0" w:color="auto"/>
        <w:left w:val="none" w:sz="0" w:space="0" w:color="auto"/>
        <w:bottom w:val="none" w:sz="0" w:space="0" w:color="auto"/>
        <w:right w:val="none" w:sz="0" w:space="0" w:color="auto"/>
      </w:divBdr>
    </w:div>
    <w:div w:id="1975677452">
      <w:bodyDiv w:val="1"/>
      <w:marLeft w:val="0"/>
      <w:marRight w:val="0"/>
      <w:marTop w:val="0"/>
      <w:marBottom w:val="0"/>
      <w:divBdr>
        <w:top w:val="none" w:sz="0" w:space="0" w:color="auto"/>
        <w:left w:val="none" w:sz="0" w:space="0" w:color="auto"/>
        <w:bottom w:val="none" w:sz="0" w:space="0" w:color="auto"/>
        <w:right w:val="none" w:sz="0" w:space="0" w:color="auto"/>
      </w:divBdr>
    </w:div>
    <w:div w:id="1975678759">
      <w:bodyDiv w:val="1"/>
      <w:marLeft w:val="0"/>
      <w:marRight w:val="0"/>
      <w:marTop w:val="0"/>
      <w:marBottom w:val="0"/>
      <w:divBdr>
        <w:top w:val="none" w:sz="0" w:space="0" w:color="auto"/>
        <w:left w:val="none" w:sz="0" w:space="0" w:color="auto"/>
        <w:bottom w:val="none" w:sz="0" w:space="0" w:color="auto"/>
        <w:right w:val="none" w:sz="0" w:space="0" w:color="auto"/>
      </w:divBdr>
    </w:div>
    <w:div w:id="1975720288">
      <w:bodyDiv w:val="1"/>
      <w:marLeft w:val="0"/>
      <w:marRight w:val="0"/>
      <w:marTop w:val="0"/>
      <w:marBottom w:val="0"/>
      <w:divBdr>
        <w:top w:val="none" w:sz="0" w:space="0" w:color="auto"/>
        <w:left w:val="none" w:sz="0" w:space="0" w:color="auto"/>
        <w:bottom w:val="none" w:sz="0" w:space="0" w:color="auto"/>
        <w:right w:val="none" w:sz="0" w:space="0" w:color="auto"/>
      </w:divBdr>
    </w:div>
    <w:div w:id="1975870037">
      <w:bodyDiv w:val="1"/>
      <w:marLeft w:val="0"/>
      <w:marRight w:val="0"/>
      <w:marTop w:val="0"/>
      <w:marBottom w:val="0"/>
      <w:divBdr>
        <w:top w:val="none" w:sz="0" w:space="0" w:color="auto"/>
        <w:left w:val="none" w:sz="0" w:space="0" w:color="auto"/>
        <w:bottom w:val="none" w:sz="0" w:space="0" w:color="auto"/>
        <w:right w:val="none" w:sz="0" w:space="0" w:color="auto"/>
      </w:divBdr>
    </w:div>
    <w:div w:id="1975870535">
      <w:bodyDiv w:val="1"/>
      <w:marLeft w:val="0"/>
      <w:marRight w:val="0"/>
      <w:marTop w:val="0"/>
      <w:marBottom w:val="0"/>
      <w:divBdr>
        <w:top w:val="none" w:sz="0" w:space="0" w:color="auto"/>
        <w:left w:val="none" w:sz="0" w:space="0" w:color="auto"/>
        <w:bottom w:val="none" w:sz="0" w:space="0" w:color="auto"/>
        <w:right w:val="none" w:sz="0" w:space="0" w:color="auto"/>
      </w:divBdr>
    </w:div>
    <w:div w:id="1975939915">
      <w:bodyDiv w:val="1"/>
      <w:marLeft w:val="0"/>
      <w:marRight w:val="0"/>
      <w:marTop w:val="0"/>
      <w:marBottom w:val="0"/>
      <w:divBdr>
        <w:top w:val="none" w:sz="0" w:space="0" w:color="auto"/>
        <w:left w:val="none" w:sz="0" w:space="0" w:color="auto"/>
        <w:bottom w:val="none" w:sz="0" w:space="0" w:color="auto"/>
        <w:right w:val="none" w:sz="0" w:space="0" w:color="auto"/>
      </w:divBdr>
    </w:div>
    <w:div w:id="1975940454">
      <w:bodyDiv w:val="1"/>
      <w:marLeft w:val="0"/>
      <w:marRight w:val="0"/>
      <w:marTop w:val="0"/>
      <w:marBottom w:val="0"/>
      <w:divBdr>
        <w:top w:val="none" w:sz="0" w:space="0" w:color="auto"/>
        <w:left w:val="none" w:sz="0" w:space="0" w:color="auto"/>
        <w:bottom w:val="none" w:sz="0" w:space="0" w:color="auto"/>
        <w:right w:val="none" w:sz="0" w:space="0" w:color="auto"/>
      </w:divBdr>
    </w:div>
    <w:div w:id="1975985362">
      <w:bodyDiv w:val="1"/>
      <w:marLeft w:val="0"/>
      <w:marRight w:val="0"/>
      <w:marTop w:val="0"/>
      <w:marBottom w:val="0"/>
      <w:divBdr>
        <w:top w:val="none" w:sz="0" w:space="0" w:color="auto"/>
        <w:left w:val="none" w:sz="0" w:space="0" w:color="auto"/>
        <w:bottom w:val="none" w:sz="0" w:space="0" w:color="auto"/>
        <w:right w:val="none" w:sz="0" w:space="0" w:color="auto"/>
      </w:divBdr>
    </w:div>
    <w:div w:id="1975987103">
      <w:bodyDiv w:val="1"/>
      <w:marLeft w:val="0"/>
      <w:marRight w:val="0"/>
      <w:marTop w:val="0"/>
      <w:marBottom w:val="0"/>
      <w:divBdr>
        <w:top w:val="none" w:sz="0" w:space="0" w:color="auto"/>
        <w:left w:val="none" w:sz="0" w:space="0" w:color="auto"/>
        <w:bottom w:val="none" w:sz="0" w:space="0" w:color="auto"/>
        <w:right w:val="none" w:sz="0" w:space="0" w:color="auto"/>
      </w:divBdr>
    </w:div>
    <w:div w:id="1976057631">
      <w:bodyDiv w:val="1"/>
      <w:marLeft w:val="0"/>
      <w:marRight w:val="0"/>
      <w:marTop w:val="0"/>
      <w:marBottom w:val="0"/>
      <w:divBdr>
        <w:top w:val="none" w:sz="0" w:space="0" w:color="auto"/>
        <w:left w:val="none" w:sz="0" w:space="0" w:color="auto"/>
        <w:bottom w:val="none" w:sz="0" w:space="0" w:color="auto"/>
        <w:right w:val="none" w:sz="0" w:space="0" w:color="auto"/>
      </w:divBdr>
    </w:div>
    <w:div w:id="1976059801">
      <w:bodyDiv w:val="1"/>
      <w:marLeft w:val="0"/>
      <w:marRight w:val="0"/>
      <w:marTop w:val="0"/>
      <w:marBottom w:val="0"/>
      <w:divBdr>
        <w:top w:val="none" w:sz="0" w:space="0" w:color="auto"/>
        <w:left w:val="none" w:sz="0" w:space="0" w:color="auto"/>
        <w:bottom w:val="none" w:sz="0" w:space="0" w:color="auto"/>
        <w:right w:val="none" w:sz="0" w:space="0" w:color="auto"/>
      </w:divBdr>
    </w:div>
    <w:div w:id="1976063247">
      <w:bodyDiv w:val="1"/>
      <w:marLeft w:val="0"/>
      <w:marRight w:val="0"/>
      <w:marTop w:val="0"/>
      <w:marBottom w:val="0"/>
      <w:divBdr>
        <w:top w:val="none" w:sz="0" w:space="0" w:color="auto"/>
        <w:left w:val="none" w:sz="0" w:space="0" w:color="auto"/>
        <w:bottom w:val="none" w:sz="0" w:space="0" w:color="auto"/>
        <w:right w:val="none" w:sz="0" w:space="0" w:color="auto"/>
      </w:divBdr>
    </w:div>
    <w:div w:id="1976253078">
      <w:bodyDiv w:val="1"/>
      <w:marLeft w:val="0"/>
      <w:marRight w:val="0"/>
      <w:marTop w:val="0"/>
      <w:marBottom w:val="0"/>
      <w:divBdr>
        <w:top w:val="none" w:sz="0" w:space="0" w:color="auto"/>
        <w:left w:val="none" w:sz="0" w:space="0" w:color="auto"/>
        <w:bottom w:val="none" w:sz="0" w:space="0" w:color="auto"/>
        <w:right w:val="none" w:sz="0" w:space="0" w:color="auto"/>
      </w:divBdr>
    </w:div>
    <w:div w:id="1976256410">
      <w:bodyDiv w:val="1"/>
      <w:marLeft w:val="0"/>
      <w:marRight w:val="0"/>
      <w:marTop w:val="0"/>
      <w:marBottom w:val="0"/>
      <w:divBdr>
        <w:top w:val="none" w:sz="0" w:space="0" w:color="auto"/>
        <w:left w:val="none" w:sz="0" w:space="0" w:color="auto"/>
        <w:bottom w:val="none" w:sz="0" w:space="0" w:color="auto"/>
        <w:right w:val="none" w:sz="0" w:space="0" w:color="auto"/>
      </w:divBdr>
    </w:div>
    <w:div w:id="1976256754">
      <w:bodyDiv w:val="1"/>
      <w:marLeft w:val="0"/>
      <w:marRight w:val="0"/>
      <w:marTop w:val="0"/>
      <w:marBottom w:val="0"/>
      <w:divBdr>
        <w:top w:val="none" w:sz="0" w:space="0" w:color="auto"/>
        <w:left w:val="none" w:sz="0" w:space="0" w:color="auto"/>
        <w:bottom w:val="none" w:sz="0" w:space="0" w:color="auto"/>
        <w:right w:val="none" w:sz="0" w:space="0" w:color="auto"/>
      </w:divBdr>
    </w:div>
    <w:div w:id="1976328235">
      <w:bodyDiv w:val="1"/>
      <w:marLeft w:val="0"/>
      <w:marRight w:val="0"/>
      <w:marTop w:val="0"/>
      <w:marBottom w:val="0"/>
      <w:divBdr>
        <w:top w:val="none" w:sz="0" w:space="0" w:color="auto"/>
        <w:left w:val="none" w:sz="0" w:space="0" w:color="auto"/>
        <w:bottom w:val="none" w:sz="0" w:space="0" w:color="auto"/>
        <w:right w:val="none" w:sz="0" w:space="0" w:color="auto"/>
      </w:divBdr>
    </w:div>
    <w:div w:id="1976330125">
      <w:bodyDiv w:val="1"/>
      <w:marLeft w:val="0"/>
      <w:marRight w:val="0"/>
      <w:marTop w:val="0"/>
      <w:marBottom w:val="0"/>
      <w:divBdr>
        <w:top w:val="none" w:sz="0" w:space="0" w:color="auto"/>
        <w:left w:val="none" w:sz="0" w:space="0" w:color="auto"/>
        <w:bottom w:val="none" w:sz="0" w:space="0" w:color="auto"/>
        <w:right w:val="none" w:sz="0" w:space="0" w:color="auto"/>
      </w:divBdr>
    </w:div>
    <w:div w:id="1976401781">
      <w:bodyDiv w:val="1"/>
      <w:marLeft w:val="0"/>
      <w:marRight w:val="0"/>
      <w:marTop w:val="0"/>
      <w:marBottom w:val="0"/>
      <w:divBdr>
        <w:top w:val="none" w:sz="0" w:space="0" w:color="auto"/>
        <w:left w:val="none" w:sz="0" w:space="0" w:color="auto"/>
        <w:bottom w:val="none" w:sz="0" w:space="0" w:color="auto"/>
        <w:right w:val="none" w:sz="0" w:space="0" w:color="auto"/>
      </w:divBdr>
    </w:div>
    <w:div w:id="1976450345">
      <w:bodyDiv w:val="1"/>
      <w:marLeft w:val="0"/>
      <w:marRight w:val="0"/>
      <w:marTop w:val="0"/>
      <w:marBottom w:val="0"/>
      <w:divBdr>
        <w:top w:val="none" w:sz="0" w:space="0" w:color="auto"/>
        <w:left w:val="none" w:sz="0" w:space="0" w:color="auto"/>
        <w:bottom w:val="none" w:sz="0" w:space="0" w:color="auto"/>
        <w:right w:val="none" w:sz="0" w:space="0" w:color="auto"/>
      </w:divBdr>
    </w:div>
    <w:div w:id="1976519578">
      <w:bodyDiv w:val="1"/>
      <w:marLeft w:val="0"/>
      <w:marRight w:val="0"/>
      <w:marTop w:val="0"/>
      <w:marBottom w:val="0"/>
      <w:divBdr>
        <w:top w:val="none" w:sz="0" w:space="0" w:color="auto"/>
        <w:left w:val="none" w:sz="0" w:space="0" w:color="auto"/>
        <w:bottom w:val="none" w:sz="0" w:space="0" w:color="auto"/>
        <w:right w:val="none" w:sz="0" w:space="0" w:color="auto"/>
      </w:divBdr>
    </w:div>
    <w:div w:id="1976640491">
      <w:bodyDiv w:val="1"/>
      <w:marLeft w:val="0"/>
      <w:marRight w:val="0"/>
      <w:marTop w:val="0"/>
      <w:marBottom w:val="0"/>
      <w:divBdr>
        <w:top w:val="none" w:sz="0" w:space="0" w:color="auto"/>
        <w:left w:val="none" w:sz="0" w:space="0" w:color="auto"/>
        <w:bottom w:val="none" w:sz="0" w:space="0" w:color="auto"/>
        <w:right w:val="none" w:sz="0" w:space="0" w:color="auto"/>
      </w:divBdr>
    </w:div>
    <w:div w:id="1976788845">
      <w:bodyDiv w:val="1"/>
      <w:marLeft w:val="0"/>
      <w:marRight w:val="0"/>
      <w:marTop w:val="0"/>
      <w:marBottom w:val="0"/>
      <w:divBdr>
        <w:top w:val="none" w:sz="0" w:space="0" w:color="auto"/>
        <w:left w:val="none" w:sz="0" w:space="0" w:color="auto"/>
        <w:bottom w:val="none" w:sz="0" w:space="0" w:color="auto"/>
        <w:right w:val="none" w:sz="0" w:space="0" w:color="auto"/>
      </w:divBdr>
    </w:div>
    <w:div w:id="1976792819">
      <w:bodyDiv w:val="1"/>
      <w:marLeft w:val="0"/>
      <w:marRight w:val="0"/>
      <w:marTop w:val="0"/>
      <w:marBottom w:val="0"/>
      <w:divBdr>
        <w:top w:val="none" w:sz="0" w:space="0" w:color="auto"/>
        <w:left w:val="none" w:sz="0" w:space="0" w:color="auto"/>
        <w:bottom w:val="none" w:sz="0" w:space="0" w:color="auto"/>
        <w:right w:val="none" w:sz="0" w:space="0" w:color="auto"/>
      </w:divBdr>
    </w:div>
    <w:div w:id="1976832135">
      <w:bodyDiv w:val="1"/>
      <w:marLeft w:val="0"/>
      <w:marRight w:val="0"/>
      <w:marTop w:val="0"/>
      <w:marBottom w:val="0"/>
      <w:divBdr>
        <w:top w:val="none" w:sz="0" w:space="0" w:color="auto"/>
        <w:left w:val="none" w:sz="0" w:space="0" w:color="auto"/>
        <w:bottom w:val="none" w:sz="0" w:space="0" w:color="auto"/>
        <w:right w:val="none" w:sz="0" w:space="0" w:color="auto"/>
      </w:divBdr>
    </w:div>
    <w:div w:id="1976835399">
      <w:bodyDiv w:val="1"/>
      <w:marLeft w:val="0"/>
      <w:marRight w:val="0"/>
      <w:marTop w:val="0"/>
      <w:marBottom w:val="0"/>
      <w:divBdr>
        <w:top w:val="none" w:sz="0" w:space="0" w:color="auto"/>
        <w:left w:val="none" w:sz="0" w:space="0" w:color="auto"/>
        <w:bottom w:val="none" w:sz="0" w:space="0" w:color="auto"/>
        <w:right w:val="none" w:sz="0" w:space="0" w:color="auto"/>
      </w:divBdr>
    </w:div>
    <w:div w:id="1976835782">
      <w:bodyDiv w:val="1"/>
      <w:marLeft w:val="0"/>
      <w:marRight w:val="0"/>
      <w:marTop w:val="0"/>
      <w:marBottom w:val="0"/>
      <w:divBdr>
        <w:top w:val="none" w:sz="0" w:space="0" w:color="auto"/>
        <w:left w:val="none" w:sz="0" w:space="0" w:color="auto"/>
        <w:bottom w:val="none" w:sz="0" w:space="0" w:color="auto"/>
        <w:right w:val="none" w:sz="0" w:space="0" w:color="auto"/>
      </w:divBdr>
    </w:div>
    <w:div w:id="1976836490">
      <w:bodyDiv w:val="1"/>
      <w:marLeft w:val="0"/>
      <w:marRight w:val="0"/>
      <w:marTop w:val="0"/>
      <w:marBottom w:val="0"/>
      <w:divBdr>
        <w:top w:val="none" w:sz="0" w:space="0" w:color="auto"/>
        <w:left w:val="none" w:sz="0" w:space="0" w:color="auto"/>
        <w:bottom w:val="none" w:sz="0" w:space="0" w:color="auto"/>
        <w:right w:val="none" w:sz="0" w:space="0" w:color="auto"/>
      </w:divBdr>
    </w:div>
    <w:div w:id="1976909486">
      <w:bodyDiv w:val="1"/>
      <w:marLeft w:val="0"/>
      <w:marRight w:val="0"/>
      <w:marTop w:val="0"/>
      <w:marBottom w:val="0"/>
      <w:divBdr>
        <w:top w:val="none" w:sz="0" w:space="0" w:color="auto"/>
        <w:left w:val="none" w:sz="0" w:space="0" w:color="auto"/>
        <w:bottom w:val="none" w:sz="0" w:space="0" w:color="auto"/>
        <w:right w:val="none" w:sz="0" w:space="0" w:color="auto"/>
      </w:divBdr>
    </w:div>
    <w:div w:id="1976912245">
      <w:bodyDiv w:val="1"/>
      <w:marLeft w:val="0"/>
      <w:marRight w:val="0"/>
      <w:marTop w:val="0"/>
      <w:marBottom w:val="0"/>
      <w:divBdr>
        <w:top w:val="none" w:sz="0" w:space="0" w:color="auto"/>
        <w:left w:val="none" w:sz="0" w:space="0" w:color="auto"/>
        <w:bottom w:val="none" w:sz="0" w:space="0" w:color="auto"/>
        <w:right w:val="none" w:sz="0" w:space="0" w:color="auto"/>
      </w:divBdr>
    </w:div>
    <w:div w:id="1976983577">
      <w:bodyDiv w:val="1"/>
      <w:marLeft w:val="0"/>
      <w:marRight w:val="0"/>
      <w:marTop w:val="0"/>
      <w:marBottom w:val="0"/>
      <w:divBdr>
        <w:top w:val="none" w:sz="0" w:space="0" w:color="auto"/>
        <w:left w:val="none" w:sz="0" w:space="0" w:color="auto"/>
        <w:bottom w:val="none" w:sz="0" w:space="0" w:color="auto"/>
        <w:right w:val="none" w:sz="0" w:space="0" w:color="auto"/>
      </w:divBdr>
    </w:div>
    <w:div w:id="1976989187">
      <w:bodyDiv w:val="1"/>
      <w:marLeft w:val="0"/>
      <w:marRight w:val="0"/>
      <w:marTop w:val="0"/>
      <w:marBottom w:val="0"/>
      <w:divBdr>
        <w:top w:val="none" w:sz="0" w:space="0" w:color="auto"/>
        <w:left w:val="none" w:sz="0" w:space="0" w:color="auto"/>
        <w:bottom w:val="none" w:sz="0" w:space="0" w:color="auto"/>
        <w:right w:val="none" w:sz="0" w:space="0" w:color="auto"/>
      </w:divBdr>
    </w:div>
    <w:div w:id="1977028476">
      <w:bodyDiv w:val="1"/>
      <w:marLeft w:val="0"/>
      <w:marRight w:val="0"/>
      <w:marTop w:val="0"/>
      <w:marBottom w:val="0"/>
      <w:divBdr>
        <w:top w:val="none" w:sz="0" w:space="0" w:color="auto"/>
        <w:left w:val="none" w:sz="0" w:space="0" w:color="auto"/>
        <w:bottom w:val="none" w:sz="0" w:space="0" w:color="auto"/>
        <w:right w:val="none" w:sz="0" w:space="0" w:color="auto"/>
      </w:divBdr>
    </w:div>
    <w:div w:id="1977106961">
      <w:bodyDiv w:val="1"/>
      <w:marLeft w:val="0"/>
      <w:marRight w:val="0"/>
      <w:marTop w:val="0"/>
      <w:marBottom w:val="0"/>
      <w:divBdr>
        <w:top w:val="none" w:sz="0" w:space="0" w:color="auto"/>
        <w:left w:val="none" w:sz="0" w:space="0" w:color="auto"/>
        <w:bottom w:val="none" w:sz="0" w:space="0" w:color="auto"/>
        <w:right w:val="none" w:sz="0" w:space="0" w:color="auto"/>
      </w:divBdr>
    </w:div>
    <w:div w:id="1977107376">
      <w:bodyDiv w:val="1"/>
      <w:marLeft w:val="0"/>
      <w:marRight w:val="0"/>
      <w:marTop w:val="0"/>
      <w:marBottom w:val="0"/>
      <w:divBdr>
        <w:top w:val="none" w:sz="0" w:space="0" w:color="auto"/>
        <w:left w:val="none" w:sz="0" w:space="0" w:color="auto"/>
        <w:bottom w:val="none" w:sz="0" w:space="0" w:color="auto"/>
        <w:right w:val="none" w:sz="0" w:space="0" w:color="auto"/>
      </w:divBdr>
    </w:div>
    <w:div w:id="1977221991">
      <w:bodyDiv w:val="1"/>
      <w:marLeft w:val="0"/>
      <w:marRight w:val="0"/>
      <w:marTop w:val="0"/>
      <w:marBottom w:val="0"/>
      <w:divBdr>
        <w:top w:val="none" w:sz="0" w:space="0" w:color="auto"/>
        <w:left w:val="none" w:sz="0" w:space="0" w:color="auto"/>
        <w:bottom w:val="none" w:sz="0" w:space="0" w:color="auto"/>
        <w:right w:val="none" w:sz="0" w:space="0" w:color="auto"/>
      </w:divBdr>
    </w:div>
    <w:div w:id="1977248785">
      <w:bodyDiv w:val="1"/>
      <w:marLeft w:val="0"/>
      <w:marRight w:val="0"/>
      <w:marTop w:val="0"/>
      <w:marBottom w:val="0"/>
      <w:divBdr>
        <w:top w:val="none" w:sz="0" w:space="0" w:color="auto"/>
        <w:left w:val="none" w:sz="0" w:space="0" w:color="auto"/>
        <w:bottom w:val="none" w:sz="0" w:space="0" w:color="auto"/>
        <w:right w:val="none" w:sz="0" w:space="0" w:color="auto"/>
      </w:divBdr>
    </w:div>
    <w:div w:id="1977486652">
      <w:bodyDiv w:val="1"/>
      <w:marLeft w:val="0"/>
      <w:marRight w:val="0"/>
      <w:marTop w:val="0"/>
      <w:marBottom w:val="0"/>
      <w:divBdr>
        <w:top w:val="none" w:sz="0" w:space="0" w:color="auto"/>
        <w:left w:val="none" w:sz="0" w:space="0" w:color="auto"/>
        <w:bottom w:val="none" w:sz="0" w:space="0" w:color="auto"/>
        <w:right w:val="none" w:sz="0" w:space="0" w:color="auto"/>
      </w:divBdr>
    </w:div>
    <w:div w:id="1977635386">
      <w:bodyDiv w:val="1"/>
      <w:marLeft w:val="0"/>
      <w:marRight w:val="0"/>
      <w:marTop w:val="0"/>
      <w:marBottom w:val="0"/>
      <w:divBdr>
        <w:top w:val="none" w:sz="0" w:space="0" w:color="auto"/>
        <w:left w:val="none" w:sz="0" w:space="0" w:color="auto"/>
        <w:bottom w:val="none" w:sz="0" w:space="0" w:color="auto"/>
        <w:right w:val="none" w:sz="0" w:space="0" w:color="auto"/>
      </w:divBdr>
    </w:div>
    <w:div w:id="1977639000">
      <w:bodyDiv w:val="1"/>
      <w:marLeft w:val="0"/>
      <w:marRight w:val="0"/>
      <w:marTop w:val="0"/>
      <w:marBottom w:val="0"/>
      <w:divBdr>
        <w:top w:val="none" w:sz="0" w:space="0" w:color="auto"/>
        <w:left w:val="none" w:sz="0" w:space="0" w:color="auto"/>
        <w:bottom w:val="none" w:sz="0" w:space="0" w:color="auto"/>
        <w:right w:val="none" w:sz="0" w:space="0" w:color="auto"/>
      </w:divBdr>
    </w:div>
    <w:div w:id="1977680307">
      <w:bodyDiv w:val="1"/>
      <w:marLeft w:val="0"/>
      <w:marRight w:val="0"/>
      <w:marTop w:val="0"/>
      <w:marBottom w:val="0"/>
      <w:divBdr>
        <w:top w:val="none" w:sz="0" w:space="0" w:color="auto"/>
        <w:left w:val="none" w:sz="0" w:space="0" w:color="auto"/>
        <w:bottom w:val="none" w:sz="0" w:space="0" w:color="auto"/>
        <w:right w:val="none" w:sz="0" w:space="0" w:color="auto"/>
      </w:divBdr>
    </w:div>
    <w:div w:id="1977684794">
      <w:bodyDiv w:val="1"/>
      <w:marLeft w:val="0"/>
      <w:marRight w:val="0"/>
      <w:marTop w:val="0"/>
      <w:marBottom w:val="0"/>
      <w:divBdr>
        <w:top w:val="none" w:sz="0" w:space="0" w:color="auto"/>
        <w:left w:val="none" w:sz="0" w:space="0" w:color="auto"/>
        <w:bottom w:val="none" w:sz="0" w:space="0" w:color="auto"/>
        <w:right w:val="none" w:sz="0" w:space="0" w:color="auto"/>
      </w:divBdr>
    </w:div>
    <w:div w:id="1977685949">
      <w:bodyDiv w:val="1"/>
      <w:marLeft w:val="0"/>
      <w:marRight w:val="0"/>
      <w:marTop w:val="0"/>
      <w:marBottom w:val="0"/>
      <w:divBdr>
        <w:top w:val="none" w:sz="0" w:space="0" w:color="auto"/>
        <w:left w:val="none" w:sz="0" w:space="0" w:color="auto"/>
        <w:bottom w:val="none" w:sz="0" w:space="0" w:color="auto"/>
        <w:right w:val="none" w:sz="0" w:space="0" w:color="auto"/>
      </w:divBdr>
    </w:div>
    <w:div w:id="1977907964">
      <w:bodyDiv w:val="1"/>
      <w:marLeft w:val="0"/>
      <w:marRight w:val="0"/>
      <w:marTop w:val="0"/>
      <w:marBottom w:val="0"/>
      <w:divBdr>
        <w:top w:val="none" w:sz="0" w:space="0" w:color="auto"/>
        <w:left w:val="none" w:sz="0" w:space="0" w:color="auto"/>
        <w:bottom w:val="none" w:sz="0" w:space="0" w:color="auto"/>
        <w:right w:val="none" w:sz="0" w:space="0" w:color="auto"/>
      </w:divBdr>
    </w:div>
    <w:div w:id="1978100986">
      <w:bodyDiv w:val="1"/>
      <w:marLeft w:val="0"/>
      <w:marRight w:val="0"/>
      <w:marTop w:val="0"/>
      <w:marBottom w:val="0"/>
      <w:divBdr>
        <w:top w:val="none" w:sz="0" w:space="0" w:color="auto"/>
        <w:left w:val="none" w:sz="0" w:space="0" w:color="auto"/>
        <w:bottom w:val="none" w:sz="0" w:space="0" w:color="auto"/>
        <w:right w:val="none" w:sz="0" w:space="0" w:color="auto"/>
      </w:divBdr>
    </w:div>
    <w:div w:id="1978218227">
      <w:bodyDiv w:val="1"/>
      <w:marLeft w:val="0"/>
      <w:marRight w:val="0"/>
      <w:marTop w:val="0"/>
      <w:marBottom w:val="0"/>
      <w:divBdr>
        <w:top w:val="none" w:sz="0" w:space="0" w:color="auto"/>
        <w:left w:val="none" w:sz="0" w:space="0" w:color="auto"/>
        <w:bottom w:val="none" w:sz="0" w:space="0" w:color="auto"/>
        <w:right w:val="none" w:sz="0" w:space="0" w:color="auto"/>
      </w:divBdr>
    </w:div>
    <w:div w:id="1978339168">
      <w:bodyDiv w:val="1"/>
      <w:marLeft w:val="0"/>
      <w:marRight w:val="0"/>
      <w:marTop w:val="0"/>
      <w:marBottom w:val="0"/>
      <w:divBdr>
        <w:top w:val="none" w:sz="0" w:space="0" w:color="auto"/>
        <w:left w:val="none" w:sz="0" w:space="0" w:color="auto"/>
        <w:bottom w:val="none" w:sz="0" w:space="0" w:color="auto"/>
        <w:right w:val="none" w:sz="0" w:space="0" w:color="auto"/>
      </w:divBdr>
    </w:div>
    <w:div w:id="1978413122">
      <w:bodyDiv w:val="1"/>
      <w:marLeft w:val="0"/>
      <w:marRight w:val="0"/>
      <w:marTop w:val="0"/>
      <w:marBottom w:val="0"/>
      <w:divBdr>
        <w:top w:val="none" w:sz="0" w:space="0" w:color="auto"/>
        <w:left w:val="none" w:sz="0" w:space="0" w:color="auto"/>
        <w:bottom w:val="none" w:sz="0" w:space="0" w:color="auto"/>
        <w:right w:val="none" w:sz="0" w:space="0" w:color="auto"/>
      </w:divBdr>
    </w:div>
    <w:div w:id="1978414011">
      <w:bodyDiv w:val="1"/>
      <w:marLeft w:val="0"/>
      <w:marRight w:val="0"/>
      <w:marTop w:val="0"/>
      <w:marBottom w:val="0"/>
      <w:divBdr>
        <w:top w:val="none" w:sz="0" w:space="0" w:color="auto"/>
        <w:left w:val="none" w:sz="0" w:space="0" w:color="auto"/>
        <w:bottom w:val="none" w:sz="0" w:space="0" w:color="auto"/>
        <w:right w:val="none" w:sz="0" w:space="0" w:color="auto"/>
      </w:divBdr>
    </w:div>
    <w:div w:id="1978485640">
      <w:bodyDiv w:val="1"/>
      <w:marLeft w:val="0"/>
      <w:marRight w:val="0"/>
      <w:marTop w:val="0"/>
      <w:marBottom w:val="0"/>
      <w:divBdr>
        <w:top w:val="none" w:sz="0" w:space="0" w:color="auto"/>
        <w:left w:val="none" w:sz="0" w:space="0" w:color="auto"/>
        <w:bottom w:val="none" w:sz="0" w:space="0" w:color="auto"/>
        <w:right w:val="none" w:sz="0" w:space="0" w:color="auto"/>
      </w:divBdr>
    </w:div>
    <w:div w:id="1978533826">
      <w:bodyDiv w:val="1"/>
      <w:marLeft w:val="0"/>
      <w:marRight w:val="0"/>
      <w:marTop w:val="0"/>
      <w:marBottom w:val="0"/>
      <w:divBdr>
        <w:top w:val="none" w:sz="0" w:space="0" w:color="auto"/>
        <w:left w:val="none" w:sz="0" w:space="0" w:color="auto"/>
        <w:bottom w:val="none" w:sz="0" w:space="0" w:color="auto"/>
        <w:right w:val="none" w:sz="0" w:space="0" w:color="auto"/>
      </w:divBdr>
    </w:div>
    <w:div w:id="1978563536">
      <w:bodyDiv w:val="1"/>
      <w:marLeft w:val="0"/>
      <w:marRight w:val="0"/>
      <w:marTop w:val="0"/>
      <w:marBottom w:val="0"/>
      <w:divBdr>
        <w:top w:val="none" w:sz="0" w:space="0" w:color="auto"/>
        <w:left w:val="none" w:sz="0" w:space="0" w:color="auto"/>
        <w:bottom w:val="none" w:sz="0" w:space="0" w:color="auto"/>
        <w:right w:val="none" w:sz="0" w:space="0" w:color="auto"/>
      </w:divBdr>
    </w:div>
    <w:div w:id="1978801670">
      <w:bodyDiv w:val="1"/>
      <w:marLeft w:val="0"/>
      <w:marRight w:val="0"/>
      <w:marTop w:val="0"/>
      <w:marBottom w:val="0"/>
      <w:divBdr>
        <w:top w:val="none" w:sz="0" w:space="0" w:color="auto"/>
        <w:left w:val="none" w:sz="0" w:space="0" w:color="auto"/>
        <w:bottom w:val="none" w:sz="0" w:space="0" w:color="auto"/>
        <w:right w:val="none" w:sz="0" w:space="0" w:color="auto"/>
      </w:divBdr>
    </w:div>
    <w:div w:id="1978877798">
      <w:bodyDiv w:val="1"/>
      <w:marLeft w:val="0"/>
      <w:marRight w:val="0"/>
      <w:marTop w:val="0"/>
      <w:marBottom w:val="0"/>
      <w:divBdr>
        <w:top w:val="none" w:sz="0" w:space="0" w:color="auto"/>
        <w:left w:val="none" w:sz="0" w:space="0" w:color="auto"/>
        <w:bottom w:val="none" w:sz="0" w:space="0" w:color="auto"/>
        <w:right w:val="none" w:sz="0" w:space="0" w:color="auto"/>
      </w:divBdr>
    </w:div>
    <w:div w:id="1978949441">
      <w:bodyDiv w:val="1"/>
      <w:marLeft w:val="0"/>
      <w:marRight w:val="0"/>
      <w:marTop w:val="0"/>
      <w:marBottom w:val="0"/>
      <w:divBdr>
        <w:top w:val="none" w:sz="0" w:space="0" w:color="auto"/>
        <w:left w:val="none" w:sz="0" w:space="0" w:color="auto"/>
        <w:bottom w:val="none" w:sz="0" w:space="0" w:color="auto"/>
        <w:right w:val="none" w:sz="0" w:space="0" w:color="auto"/>
      </w:divBdr>
    </w:div>
    <w:div w:id="1978949912">
      <w:bodyDiv w:val="1"/>
      <w:marLeft w:val="0"/>
      <w:marRight w:val="0"/>
      <w:marTop w:val="0"/>
      <w:marBottom w:val="0"/>
      <w:divBdr>
        <w:top w:val="none" w:sz="0" w:space="0" w:color="auto"/>
        <w:left w:val="none" w:sz="0" w:space="0" w:color="auto"/>
        <w:bottom w:val="none" w:sz="0" w:space="0" w:color="auto"/>
        <w:right w:val="none" w:sz="0" w:space="0" w:color="auto"/>
      </w:divBdr>
    </w:div>
    <w:div w:id="1979144298">
      <w:bodyDiv w:val="1"/>
      <w:marLeft w:val="0"/>
      <w:marRight w:val="0"/>
      <w:marTop w:val="0"/>
      <w:marBottom w:val="0"/>
      <w:divBdr>
        <w:top w:val="none" w:sz="0" w:space="0" w:color="auto"/>
        <w:left w:val="none" w:sz="0" w:space="0" w:color="auto"/>
        <w:bottom w:val="none" w:sz="0" w:space="0" w:color="auto"/>
        <w:right w:val="none" w:sz="0" w:space="0" w:color="auto"/>
      </w:divBdr>
    </w:div>
    <w:div w:id="1979336577">
      <w:bodyDiv w:val="1"/>
      <w:marLeft w:val="0"/>
      <w:marRight w:val="0"/>
      <w:marTop w:val="0"/>
      <w:marBottom w:val="0"/>
      <w:divBdr>
        <w:top w:val="none" w:sz="0" w:space="0" w:color="auto"/>
        <w:left w:val="none" w:sz="0" w:space="0" w:color="auto"/>
        <w:bottom w:val="none" w:sz="0" w:space="0" w:color="auto"/>
        <w:right w:val="none" w:sz="0" w:space="0" w:color="auto"/>
      </w:divBdr>
    </w:div>
    <w:div w:id="1979529108">
      <w:bodyDiv w:val="1"/>
      <w:marLeft w:val="0"/>
      <w:marRight w:val="0"/>
      <w:marTop w:val="0"/>
      <w:marBottom w:val="0"/>
      <w:divBdr>
        <w:top w:val="none" w:sz="0" w:space="0" w:color="auto"/>
        <w:left w:val="none" w:sz="0" w:space="0" w:color="auto"/>
        <w:bottom w:val="none" w:sz="0" w:space="0" w:color="auto"/>
        <w:right w:val="none" w:sz="0" w:space="0" w:color="auto"/>
      </w:divBdr>
    </w:div>
    <w:div w:id="1979609137">
      <w:bodyDiv w:val="1"/>
      <w:marLeft w:val="0"/>
      <w:marRight w:val="0"/>
      <w:marTop w:val="0"/>
      <w:marBottom w:val="0"/>
      <w:divBdr>
        <w:top w:val="none" w:sz="0" w:space="0" w:color="auto"/>
        <w:left w:val="none" w:sz="0" w:space="0" w:color="auto"/>
        <w:bottom w:val="none" w:sz="0" w:space="0" w:color="auto"/>
        <w:right w:val="none" w:sz="0" w:space="0" w:color="auto"/>
      </w:divBdr>
    </w:div>
    <w:div w:id="1979799554">
      <w:bodyDiv w:val="1"/>
      <w:marLeft w:val="0"/>
      <w:marRight w:val="0"/>
      <w:marTop w:val="0"/>
      <w:marBottom w:val="0"/>
      <w:divBdr>
        <w:top w:val="none" w:sz="0" w:space="0" w:color="auto"/>
        <w:left w:val="none" w:sz="0" w:space="0" w:color="auto"/>
        <w:bottom w:val="none" w:sz="0" w:space="0" w:color="auto"/>
        <w:right w:val="none" w:sz="0" w:space="0" w:color="auto"/>
      </w:divBdr>
    </w:div>
    <w:div w:id="1979916501">
      <w:bodyDiv w:val="1"/>
      <w:marLeft w:val="0"/>
      <w:marRight w:val="0"/>
      <w:marTop w:val="0"/>
      <w:marBottom w:val="0"/>
      <w:divBdr>
        <w:top w:val="none" w:sz="0" w:space="0" w:color="auto"/>
        <w:left w:val="none" w:sz="0" w:space="0" w:color="auto"/>
        <w:bottom w:val="none" w:sz="0" w:space="0" w:color="auto"/>
        <w:right w:val="none" w:sz="0" w:space="0" w:color="auto"/>
      </w:divBdr>
    </w:div>
    <w:div w:id="1980039419">
      <w:bodyDiv w:val="1"/>
      <w:marLeft w:val="0"/>
      <w:marRight w:val="0"/>
      <w:marTop w:val="0"/>
      <w:marBottom w:val="0"/>
      <w:divBdr>
        <w:top w:val="none" w:sz="0" w:space="0" w:color="auto"/>
        <w:left w:val="none" w:sz="0" w:space="0" w:color="auto"/>
        <w:bottom w:val="none" w:sz="0" w:space="0" w:color="auto"/>
        <w:right w:val="none" w:sz="0" w:space="0" w:color="auto"/>
      </w:divBdr>
    </w:div>
    <w:div w:id="1980107321">
      <w:bodyDiv w:val="1"/>
      <w:marLeft w:val="0"/>
      <w:marRight w:val="0"/>
      <w:marTop w:val="0"/>
      <w:marBottom w:val="0"/>
      <w:divBdr>
        <w:top w:val="none" w:sz="0" w:space="0" w:color="auto"/>
        <w:left w:val="none" w:sz="0" w:space="0" w:color="auto"/>
        <w:bottom w:val="none" w:sz="0" w:space="0" w:color="auto"/>
        <w:right w:val="none" w:sz="0" w:space="0" w:color="auto"/>
      </w:divBdr>
    </w:div>
    <w:div w:id="1980182193">
      <w:bodyDiv w:val="1"/>
      <w:marLeft w:val="0"/>
      <w:marRight w:val="0"/>
      <w:marTop w:val="0"/>
      <w:marBottom w:val="0"/>
      <w:divBdr>
        <w:top w:val="none" w:sz="0" w:space="0" w:color="auto"/>
        <w:left w:val="none" w:sz="0" w:space="0" w:color="auto"/>
        <w:bottom w:val="none" w:sz="0" w:space="0" w:color="auto"/>
        <w:right w:val="none" w:sz="0" w:space="0" w:color="auto"/>
      </w:divBdr>
    </w:div>
    <w:div w:id="1980182614">
      <w:bodyDiv w:val="1"/>
      <w:marLeft w:val="0"/>
      <w:marRight w:val="0"/>
      <w:marTop w:val="0"/>
      <w:marBottom w:val="0"/>
      <w:divBdr>
        <w:top w:val="none" w:sz="0" w:space="0" w:color="auto"/>
        <w:left w:val="none" w:sz="0" w:space="0" w:color="auto"/>
        <w:bottom w:val="none" w:sz="0" w:space="0" w:color="auto"/>
        <w:right w:val="none" w:sz="0" w:space="0" w:color="auto"/>
      </w:divBdr>
    </w:div>
    <w:div w:id="1980265663">
      <w:bodyDiv w:val="1"/>
      <w:marLeft w:val="0"/>
      <w:marRight w:val="0"/>
      <w:marTop w:val="0"/>
      <w:marBottom w:val="0"/>
      <w:divBdr>
        <w:top w:val="none" w:sz="0" w:space="0" w:color="auto"/>
        <w:left w:val="none" w:sz="0" w:space="0" w:color="auto"/>
        <w:bottom w:val="none" w:sz="0" w:space="0" w:color="auto"/>
        <w:right w:val="none" w:sz="0" w:space="0" w:color="auto"/>
      </w:divBdr>
    </w:div>
    <w:div w:id="1980331925">
      <w:bodyDiv w:val="1"/>
      <w:marLeft w:val="0"/>
      <w:marRight w:val="0"/>
      <w:marTop w:val="0"/>
      <w:marBottom w:val="0"/>
      <w:divBdr>
        <w:top w:val="none" w:sz="0" w:space="0" w:color="auto"/>
        <w:left w:val="none" w:sz="0" w:space="0" w:color="auto"/>
        <w:bottom w:val="none" w:sz="0" w:space="0" w:color="auto"/>
        <w:right w:val="none" w:sz="0" w:space="0" w:color="auto"/>
      </w:divBdr>
    </w:div>
    <w:div w:id="1980376744">
      <w:bodyDiv w:val="1"/>
      <w:marLeft w:val="0"/>
      <w:marRight w:val="0"/>
      <w:marTop w:val="0"/>
      <w:marBottom w:val="0"/>
      <w:divBdr>
        <w:top w:val="none" w:sz="0" w:space="0" w:color="auto"/>
        <w:left w:val="none" w:sz="0" w:space="0" w:color="auto"/>
        <w:bottom w:val="none" w:sz="0" w:space="0" w:color="auto"/>
        <w:right w:val="none" w:sz="0" w:space="0" w:color="auto"/>
      </w:divBdr>
    </w:div>
    <w:div w:id="1980383479">
      <w:bodyDiv w:val="1"/>
      <w:marLeft w:val="0"/>
      <w:marRight w:val="0"/>
      <w:marTop w:val="0"/>
      <w:marBottom w:val="0"/>
      <w:divBdr>
        <w:top w:val="none" w:sz="0" w:space="0" w:color="auto"/>
        <w:left w:val="none" w:sz="0" w:space="0" w:color="auto"/>
        <w:bottom w:val="none" w:sz="0" w:space="0" w:color="auto"/>
        <w:right w:val="none" w:sz="0" w:space="0" w:color="auto"/>
      </w:divBdr>
    </w:div>
    <w:div w:id="1980383507">
      <w:bodyDiv w:val="1"/>
      <w:marLeft w:val="0"/>
      <w:marRight w:val="0"/>
      <w:marTop w:val="0"/>
      <w:marBottom w:val="0"/>
      <w:divBdr>
        <w:top w:val="none" w:sz="0" w:space="0" w:color="auto"/>
        <w:left w:val="none" w:sz="0" w:space="0" w:color="auto"/>
        <w:bottom w:val="none" w:sz="0" w:space="0" w:color="auto"/>
        <w:right w:val="none" w:sz="0" w:space="0" w:color="auto"/>
      </w:divBdr>
    </w:div>
    <w:div w:id="1980569050">
      <w:bodyDiv w:val="1"/>
      <w:marLeft w:val="0"/>
      <w:marRight w:val="0"/>
      <w:marTop w:val="0"/>
      <w:marBottom w:val="0"/>
      <w:divBdr>
        <w:top w:val="none" w:sz="0" w:space="0" w:color="auto"/>
        <w:left w:val="none" w:sz="0" w:space="0" w:color="auto"/>
        <w:bottom w:val="none" w:sz="0" w:space="0" w:color="auto"/>
        <w:right w:val="none" w:sz="0" w:space="0" w:color="auto"/>
      </w:divBdr>
    </w:div>
    <w:div w:id="1980571830">
      <w:bodyDiv w:val="1"/>
      <w:marLeft w:val="0"/>
      <w:marRight w:val="0"/>
      <w:marTop w:val="0"/>
      <w:marBottom w:val="0"/>
      <w:divBdr>
        <w:top w:val="none" w:sz="0" w:space="0" w:color="auto"/>
        <w:left w:val="none" w:sz="0" w:space="0" w:color="auto"/>
        <w:bottom w:val="none" w:sz="0" w:space="0" w:color="auto"/>
        <w:right w:val="none" w:sz="0" w:space="0" w:color="auto"/>
      </w:divBdr>
    </w:div>
    <w:div w:id="1980646744">
      <w:bodyDiv w:val="1"/>
      <w:marLeft w:val="0"/>
      <w:marRight w:val="0"/>
      <w:marTop w:val="0"/>
      <w:marBottom w:val="0"/>
      <w:divBdr>
        <w:top w:val="none" w:sz="0" w:space="0" w:color="auto"/>
        <w:left w:val="none" w:sz="0" w:space="0" w:color="auto"/>
        <w:bottom w:val="none" w:sz="0" w:space="0" w:color="auto"/>
        <w:right w:val="none" w:sz="0" w:space="0" w:color="auto"/>
      </w:divBdr>
    </w:div>
    <w:div w:id="1980649691">
      <w:bodyDiv w:val="1"/>
      <w:marLeft w:val="0"/>
      <w:marRight w:val="0"/>
      <w:marTop w:val="0"/>
      <w:marBottom w:val="0"/>
      <w:divBdr>
        <w:top w:val="none" w:sz="0" w:space="0" w:color="auto"/>
        <w:left w:val="none" w:sz="0" w:space="0" w:color="auto"/>
        <w:bottom w:val="none" w:sz="0" w:space="0" w:color="auto"/>
        <w:right w:val="none" w:sz="0" w:space="0" w:color="auto"/>
      </w:divBdr>
    </w:div>
    <w:div w:id="1980725188">
      <w:bodyDiv w:val="1"/>
      <w:marLeft w:val="0"/>
      <w:marRight w:val="0"/>
      <w:marTop w:val="0"/>
      <w:marBottom w:val="0"/>
      <w:divBdr>
        <w:top w:val="none" w:sz="0" w:space="0" w:color="auto"/>
        <w:left w:val="none" w:sz="0" w:space="0" w:color="auto"/>
        <w:bottom w:val="none" w:sz="0" w:space="0" w:color="auto"/>
        <w:right w:val="none" w:sz="0" w:space="0" w:color="auto"/>
      </w:divBdr>
    </w:div>
    <w:div w:id="1980726305">
      <w:bodyDiv w:val="1"/>
      <w:marLeft w:val="0"/>
      <w:marRight w:val="0"/>
      <w:marTop w:val="0"/>
      <w:marBottom w:val="0"/>
      <w:divBdr>
        <w:top w:val="none" w:sz="0" w:space="0" w:color="auto"/>
        <w:left w:val="none" w:sz="0" w:space="0" w:color="auto"/>
        <w:bottom w:val="none" w:sz="0" w:space="0" w:color="auto"/>
        <w:right w:val="none" w:sz="0" w:space="0" w:color="auto"/>
      </w:divBdr>
    </w:div>
    <w:div w:id="1980760733">
      <w:bodyDiv w:val="1"/>
      <w:marLeft w:val="0"/>
      <w:marRight w:val="0"/>
      <w:marTop w:val="0"/>
      <w:marBottom w:val="0"/>
      <w:divBdr>
        <w:top w:val="none" w:sz="0" w:space="0" w:color="auto"/>
        <w:left w:val="none" w:sz="0" w:space="0" w:color="auto"/>
        <w:bottom w:val="none" w:sz="0" w:space="0" w:color="auto"/>
        <w:right w:val="none" w:sz="0" w:space="0" w:color="auto"/>
      </w:divBdr>
    </w:div>
    <w:div w:id="1980761101">
      <w:bodyDiv w:val="1"/>
      <w:marLeft w:val="0"/>
      <w:marRight w:val="0"/>
      <w:marTop w:val="0"/>
      <w:marBottom w:val="0"/>
      <w:divBdr>
        <w:top w:val="none" w:sz="0" w:space="0" w:color="auto"/>
        <w:left w:val="none" w:sz="0" w:space="0" w:color="auto"/>
        <w:bottom w:val="none" w:sz="0" w:space="0" w:color="auto"/>
        <w:right w:val="none" w:sz="0" w:space="0" w:color="auto"/>
      </w:divBdr>
    </w:div>
    <w:div w:id="1980766836">
      <w:bodyDiv w:val="1"/>
      <w:marLeft w:val="0"/>
      <w:marRight w:val="0"/>
      <w:marTop w:val="0"/>
      <w:marBottom w:val="0"/>
      <w:divBdr>
        <w:top w:val="none" w:sz="0" w:space="0" w:color="auto"/>
        <w:left w:val="none" w:sz="0" w:space="0" w:color="auto"/>
        <w:bottom w:val="none" w:sz="0" w:space="0" w:color="auto"/>
        <w:right w:val="none" w:sz="0" w:space="0" w:color="auto"/>
      </w:divBdr>
    </w:div>
    <w:div w:id="1980843642">
      <w:bodyDiv w:val="1"/>
      <w:marLeft w:val="0"/>
      <w:marRight w:val="0"/>
      <w:marTop w:val="0"/>
      <w:marBottom w:val="0"/>
      <w:divBdr>
        <w:top w:val="none" w:sz="0" w:space="0" w:color="auto"/>
        <w:left w:val="none" w:sz="0" w:space="0" w:color="auto"/>
        <w:bottom w:val="none" w:sz="0" w:space="0" w:color="auto"/>
        <w:right w:val="none" w:sz="0" w:space="0" w:color="auto"/>
      </w:divBdr>
    </w:div>
    <w:div w:id="1980844342">
      <w:bodyDiv w:val="1"/>
      <w:marLeft w:val="0"/>
      <w:marRight w:val="0"/>
      <w:marTop w:val="0"/>
      <w:marBottom w:val="0"/>
      <w:divBdr>
        <w:top w:val="none" w:sz="0" w:space="0" w:color="auto"/>
        <w:left w:val="none" w:sz="0" w:space="0" w:color="auto"/>
        <w:bottom w:val="none" w:sz="0" w:space="0" w:color="auto"/>
        <w:right w:val="none" w:sz="0" w:space="0" w:color="auto"/>
      </w:divBdr>
    </w:div>
    <w:div w:id="1980961705">
      <w:bodyDiv w:val="1"/>
      <w:marLeft w:val="0"/>
      <w:marRight w:val="0"/>
      <w:marTop w:val="0"/>
      <w:marBottom w:val="0"/>
      <w:divBdr>
        <w:top w:val="none" w:sz="0" w:space="0" w:color="auto"/>
        <w:left w:val="none" w:sz="0" w:space="0" w:color="auto"/>
        <w:bottom w:val="none" w:sz="0" w:space="0" w:color="auto"/>
        <w:right w:val="none" w:sz="0" w:space="0" w:color="auto"/>
      </w:divBdr>
    </w:div>
    <w:div w:id="1981230136">
      <w:bodyDiv w:val="1"/>
      <w:marLeft w:val="0"/>
      <w:marRight w:val="0"/>
      <w:marTop w:val="0"/>
      <w:marBottom w:val="0"/>
      <w:divBdr>
        <w:top w:val="none" w:sz="0" w:space="0" w:color="auto"/>
        <w:left w:val="none" w:sz="0" w:space="0" w:color="auto"/>
        <w:bottom w:val="none" w:sz="0" w:space="0" w:color="auto"/>
        <w:right w:val="none" w:sz="0" w:space="0" w:color="auto"/>
      </w:divBdr>
    </w:div>
    <w:div w:id="1981300795">
      <w:bodyDiv w:val="1"/>
      <w:marLeft w:val="0"/>
      <w:marRight w:val="0"/>
      <w:marTop w:val="0"/>
      <w:marBottom w:val="0"/>
      <w:divBdr>
        <w:top w:val="none" w:sz="0" w:space="0" w:color="auto"/>
        <w:left w:val="none" w:sz="0" w:space="0" w:color="auto"/>
        <w:bottom w:val="none" w:sz="0" w:space="0" w:color="auto"/>
        <w:right w:val="none" w:sz="0" w:space="0" w:color="auto"/>
      </w:divBdr>
    </w:div>
    <w:div w:id="1981350187">
      <w:bodyDiv w:val="1"/>
      <w:marLeft w:val="0"/>
      <w:marRight w:val="0"/>
      <w:marTop w:val="0"/>
      <w:marBottom w:val="0"/>
      <w:divBdr>
        <w:top w:val="none" w:sz="0" w:space="0" w:color="auto"/>
        <w:left w:val="none" w:sz="0" w:space="0" w:color="auto"/>
        <w:bottom w:val="none" w:sz="0" w:space="0" w:color="auto"/>
        <w:right w:val="none" w:sz="0" w:space="0" w:color="auto"/>
      </w:divBdr>
    </w:div>
    <w:div w:id="1981374365">
      <w:bodyDiv w:val="1"/>
      <w:marLeft w:val="0"/>
      <w:marRight w:val="0"/>
      <w:marTop w:val="0"/>
      <w:marBottom w:val="0"/>
      <w:divBdr>
        <w:top w:val="none" w:sz="0" w:space="0" w:color="auto"/>
        <w:left w:val="none" w:sz="0" w:space="0" w:color="auto"/>
        <w:bottom w:val="none" w:sz="0" w:space="0" w:color="auto"/>
        <w:right w:val="none" w:sz="0" w:space="0" w:color="auto"/>
      </w:divBdr>
    </w:div>
    <w:div w:id="1981416579">
      <w:bodyDiv w:val="1"/>
      <w:marLeft w:val="0"/>
      <w:marRight w:val="0"/>
      <w:marTop w:val="0"/>
      <w:marBottom w:val="0"/>
      <w:divBdr>
        <w:top w:val="none" w:sz="0" w:space="0" w:color="auto"/>
        <w:left w:val="none" w:sz="0" w:space="0" w:color="auto"/>
        <w:bottom w:val="none" w:sz="0" w:space="0" w:color="auto"/>
        <w:right w:val="none" w:sz="0" w:space="0" w:color="auto"/>
      </w:divBdr>
    </w:div>
    <w:div w:id="1981567335">
      <w:bodyDiv w:val="1"/>
      <w:marLeft w:val="0"/>
      <w:marRight w:val="0"/>
      <w:marTop w:val="0"/>
      <w:marBottom w:val="0"/>
      <w:divBdr>
        <w:top w:val="none" w:sz="0" w:space="0" w:color="auto"/>
        <w:left w:val="none" w:sz="0" w:space="0" w:color="auto"/>
        <w:bottom w:val="none" w:sz="0" w:space="0" w:color="auto"/>
        <w:right w:val="none" w:sz="0" w:space="0" w:color="auto"/>
      </w:divBdr>
    </w:div>
    <w:div w:id="1981615613">
      <w:bodyDiv w:val="1"/>
      <w:marLeft w:val="0"/>
      <w:marRight w:val="0"/>
      <w:marTop w:val="0"/>
      <w:marBottom w:val="0"/>
      <w:divBdr>
        <w:top w:val="none" w:sz="0" w:space="0" w:color="auto"/>
        <w:left w:val="none" w:sz="0" w:space="0" w:color="auto"/>
        <w:bottom w:val="none" w:sz="0" w:space="0" w:color="auto"/>
        <w:right w:val="none" w:sz="0" w:space="0" w:color="auto"/>
      </w:divBdr>
    </w:div>
    <w:div w:id="1981618556">
      <w:bodyDiv w:val="1"/>
      <w:marLeft w:val="0"/>
      <w:marRight w:val="0"/>
      <w:marTop w:val="0"/>
      <w:marBottom w:val="0"/>
      <w:divBdr>
        <w:top w:val="none" w:sz="0" w:space="0" w:color="auto"/>
        <w:left w:val="none" w:sz="0" w:space="0" w:color="auto"/>
        <w:bottom w:val="none" w:sz="0" w:space="0" w:color="auto"/>
        <w:right w:val="none" w:sz="0" w:space="0" w:color="auto"/>
      </w:divBdr>
    </w:div>
    <w:div w:id="1981762188">
      <w:bodyDiv w:val="1"/>
      <w:marLeft w:val="0"/>
      <w:marRight w:val="0"/>
      <w:marTop w:val="0"/>
      <w:marBottom w:val="0"/>
      <w:divBdr>
        <w:top w:val="none" w:sz="0" w:space="0" w:color="auto"/>
        <w:left w:val="none" w:sz="0" w:space="0" w:color="auto"/>
        <w:bottom w:val="none" w:sz="0" w:space="0" w:color="auto"/>
        <w:right w:val="none" w:sz="0" w:space="0" w:color="auto"/>
      </w:divBdr>
    </w:div>
    <w:div w:id="1981840071">
      <w:bodyDiv w:val="1"/>
      <w:marLeft w:val="0"/>
      <w:marRight w:val="0"/>
      <w:marTop w:val="0"/>
      <w:marBottom w:val="0"/>
      <w:divBdr>
        <w:top w:val="none" w:sz="0" w:space="0" w:color="auto"/>
        <w:left w:val="none" w:sz="0" w:space="0" w:color="auto"/>
        <w:bottom w:val="none" w:sz="0" w:space="0" w:color="auto"/>
        <w:right w:val="none" w:sz="0" w:space="0" w:color="auto"/>
      </w:divBdr>
    </w:div>
    <w:div w:id="1981953964">
      <w:bodyDiv w:val="1"/>
      <w:marLeft w:val="0"/>
      <w:marRight w:val="0"/>
      <w:marTop w:val="0"/>
      <w:marBottom w:val="0"/>
      <w:divBdr>
        <w:top w:val="none" w:sz="0" w:space="0" w:color="auto"/>
        <w:left w:val="none" w:sz="0" w:space="0" w:color="auto"/>
        <w:bottom w:val="none" w:sz="0" w:space="0" w:color="auto"/>
        <w:right w:val="none" w:sz="0" w:space="0" w:color="auto"/>
      </w:divBdr>
    </w:div>
    <w:div w:id="1981954771">
      <w:bodyDiv w:val="1"/>
      <w:marLeft w:val="0"/>
      <w:marRight w:val="0"/>
      <w:marTop w:val="0"/>
      <w:marBottom w:val="0"/>
      <w:divBdr>
        <w:top w:val="none" w:sz="0" w:space="0" w:color="auto"/>
        <w:left w:val="none" w:sz="0" w:space="0" w:color="auto"/>
        <w:bottom w:val="none" w:sz="0" w:space="0" w:color="auto"/>
        <w:right w:val="none" w:sz="0" w:space="0" w:color="auto"/>
      </w:divBdr>
    </w:div>
    <w:div w:id="1982028927">
      <w:bodyDiv w:val="1"/>
      <w:marLeft w:val="0"/>
      <w:marRight w:val="0"/>
      <w:marTop w:val="0"/>
      <w:marBottom w:val="0"/>
      <w:divBdr>
        <w:top w:val="none" w:sz="0" w:space="0" w:color="auto"/>
        <w:left w:val="none" w:sz="0" w:space="0" w:color="auto"/>
        <w:bottom w:val="none" w:sz="0" w:space="0" w:color="auto"/>
        <w:right w:val="none" w:sz="0" w:space="0" w:color="auto"/>
      </w:divBdr>
    </w:div>
    <w:div w:id="1982032836">
      <w:bodyDiv w:val="1"/>
      <w:marLeft w:val="0"/>
      <w:marRight w:val="0"/>
      <w:marTop w:val="0"/>
      <w:marBottom w:val="0"/>
      <w:divBdr>
        <w:top w:val="none" w:sz="0" w:space="0" w:color="auto"/>
        <w:left w:val="none" w:sz="0" w:space="0" w:color="auto"/>
        <w:bottom w:val="none" w:sz="0" w:space="0" w:color="auto"/>
        <w:right w:val="none" w:sz="0" w:space="0" w:color="auto"/>
      </w:divBdr>
    </w:div>
    <w:div w:id="1982079224">
      <w:bodyDiv w:val="1"/>
      <w:marLeft w:val="0"/>
      <w:marRight w:val="0"/>
      <w:marTop w:val="0"/>
      <w:marBottom w:val="0"/>
      <w:divBdr>
        <w:top w:val="none" w:sz="0" w:space="0" w:color="auto"/>
        <w:left w:val="none" w:sz="0" w:space="0" w:color="auto"/>
        <w:bottom w:val="none" w:sz="0" w:space="0" w:color="auto"/>
        <w:right w:val="none" w:sz="0" w:space="0" w:color="auto"/>
      </w:divBdr>
    </w:div>
    <w:div w:id="1982153424">
      <w:bodyDiv w:val="1"/>
      <w:marLeft w:val="0"/>
      <w:marRight w:val="0"/>
      <w:marTop w:val="0"/>
      <w:marBottom w:val="0"/>
      <w:divBdr>
        <w:top w:val="none" w:sz="0" w:space="0" w:color="auto"/>
        <w:left w:val="none" w:sz="0" w:space="0" w:color="auto"/>
        <w:bottom w:val="none" w:sz="0" w:space="0" w:color="auto"/>
        <w:right w:val="none" w:sz="0" w:space="0" w:color="auto"/>
      </w:divBdr>
    </w:div>
    <w:div w:id="1982154658">
      <w:bodyDiv w:val="1"/>
      <w:marLeft w:val="0"/>
      <w:marRight w:val="0"/>
      <w:marTop w:val="0"/>
      <w:marBottom w:val="0"/>
      <w:divBdr>
        <w:top w:val="none" w:sz="0" w:space="0" w:color="auto"/>
        <w:left w:val="none" w:sz="0" w:space="0" w:color="auto"/>
        <w:bottom w:val="none" w:sz="0" w:space="0" w:color="auto"/>
        <w:right w:val="none" w:sz="0" w:space="0" w:color="auto"/>
      </w:divBdr>
    </w:div>
    <w:div w:id="1982227042">
      <w:bodyDiv w:val="1"/>
      <w:marLeft w:val="0"/>
      <w:marRight w:val="0"/>
      <w:marTop w:val="0"/>
      <w:marBottom w:val="0"/>
      <w:divBdr>
        <w:top w:val="none" w:sz="0" w:space="0" w:color="auto"/>
        <w:left w:val="none" w:sz="0" w:space="0" w:color="auto"/>
        <w:bottom w:val="none" w:sz="0" w:space="0" w:color="auto"/>
        <w:right w:val="none" w:sz="0" w:space="0" w:color="auto"/>
      </w:divBdr>
    </w:div>
    <w:div w:id="1982227095">
      <w:bodyDiv w:val="1"/>
      <w:marLeft w:val="0"/>
      <w:marRight w:val="0"/>
      <w:marTop w:val="0"/>
      <w:marBottom w:val="0"/>
      <w:divBdr>
        <w:top w:val="none" w:sz="0" w:space="0" w:color="auto"/>
        <w:left w:val="none" w:sz="0" w:space="0" w:color="auto"/>
        <w:bottom w:val="none" w:sz="0" w:space="0" w:color="auto"/>
        <w:right w:val="none" w:sz="0" w:space="0" w:color="auto"/>
      </w:divBdr>
    </w:div>
    <w:div w:id="1982231224">
      <w:bodyDiv w:val="1"/>
      <w:marLeft w:val="0"/>
      <w:marRight w:val="0"/>
      <w:marTop w:val="0"/>
      <w:marBottom w:val="0"/>
      <w:divBdr>
        <w:top w:val="none" w:sz="0" w:space="0" w:color="auto"/>
        <w:left w:val="none" w:sz="0" w:space="0" w:color="auto"/>
        <w:bottom w:val="none" w:sz="0" w:space="0" w:color="auto"/>
        <w:right w:val="none" w:sz="0" w:space="0" w:color="auto"/>
      </w:divBdr>
    </w:div>
    <w:div w:id="1982349263">
      <w:bodyDiv w:val="1"/>
      <w:marLeft w:val="0"/>
      <w:marRight w:val="0"/>
      <w:marTop w:val="0"/>
      <w:marBottom w:val="0"/>
      <w:divBdr>
        <w:top w:val="none" w:sz="0" w:space="0" w:color="auto"/>
        <w:left w:val="none" w:sz="0" w:space="0" w:color="auto"/>
        <w:bottom w:val="none" w:sz="0" w:space="0" w:color="auto"/>
        <w:right w:val="none" w:sz="0" w:space="0" w:color="auto"/>
      </w:divBdr>
    </w:div>
    <w:div w:id="1982535719">
      <w:bodyDiv w:val="1"/>
      <w:marLeft w:val="0"/>
      <w:marRight w:val="0"/>
      <w:marTop w:val="0"/>
      <w:marBottom w:val="0"/>
      <w:divBdr>
        <w:top w:val="none" w:sz="0" w:space="0" w:color="auto"/>
        <w:left w:val="none" w:sz="0" w:space="0" w:color="auto"/>
        <w:bottom w:val="none" w:sz="0" w:space="0" w:color="auto"/>
        <w:right w:val="none" w:sz="0" w:space="0" w:color="auto"/>
      </w:divBdr>
    </w:div>
    <w:div w:id="1982612720">
      <w:bodyDiv w:val="1"/>
      <w:marLeft w:val="0"/>
      <w:marRight w:val="0"/>
      <w:marTop w:val="0"/>
      <w:marBottom w:val="0"/>
      <w:divBdr>
        <w:top w:val="none" w:sz="0" w:space="0" w:color="auto"/>
        <w:left w:val="none" w:sz="0" w:space="0" w:color="auto"/>
        <w:bottom w:val="none" w:sz="0" w:space="0" w:color="auto"/>
        <w:right w:val="none" w:sz="0" w:space="0" w:color="auto"/>
      </w:divBdr>
    </w:div>
    <w:div w:id="1982809943">
      <w:bodyDiv w:val="1"/>
      <w:marLeft w:val="0"/>
      <w:marRight w:val="0"/>
      <w:marTop w:val="0"/>
      <w:marBottom w:val="0"/>
      <w:divBdr>
        <w:top w:val="none" w:sz="0" w:space="0" w:color="auto"/>
        <w:left w:val="none" w:sz="0" w:space="0" w:color="auto"/>
        <w:bottom w:val="none" w:sz="0" w:space="0" w:color="auto"/>
        <w:right w:val="none" w:sz="0" w:space="0" w:color="auto"/>
      </w:divBdr>
    </w:div>
    <w:div w:id="1982882679">
      <w:bodyDiv w:val="1"/>
      <w:marLeft w:val="0"/>
      <w:marRight w:val="0"/>
      <w:marTop w:val="0"/>
      <w:marBottom w:val="0"/>
      <w:divBdr>
        <w:top w:val="none" w:sz="0" w:space="0" w:color="auto"/>
        <w:left w:val="none" w:sz="0" w:space="0" w:color="auto"/>
        <w:bottom w:val="none" w:sz="0" w:space="0" w:color="auto"/>
        <w:right w:val="none" w:sz="0" w:space="0" w:color="auto"/>
      </w:divBdr>
    </w:div>
    <w:div w:id="1982924875">
      <w:bodyDiv w:val="1"/>
      <w:marLeft w:val="0"/>
      <w:marRight w:val="0"/>
      <w:marTop w:val="0"/>
      <w:marBottom w:val="0"/>
      <w:divBdr>
        <w:top w:val="none" w:sz="0" w:space="0" w:color="auto"/>
        <w:left w:val="none" w:sz="0" w:space="0" w:color="auto"/>
        <w:bottom w:val="none" w:sz="0" w:space="0" w:color="auto"/>
        <w:right w:val="none" w:sz="0" w:space="0" w:color="auto"/>
      </w:divBdr>
    </w:div>
    <w:div w:id="1983001087">
      <w:bodyDiv w:val="1"/>
      <w:marLeft w:val="0"/>
      <w:marRight w:val="0"/>
      <w:marTop w:val="0"/>
      <w:marBottom w:val="0"/>
      <w:divBdr>
        <w:top w:val="none" w:sz="0" w:space="0" w:color="auto"/>
        <w:left w:val="none" w:sz="0" w:space="0" w:color="auto"/>
        <w:bottom w:val="none" w:sz="0" w:space="0" w:color="auto"/>
        <w:right w:val="none" w:sz="0" w:space="0" w:color="auto"/>
      </w:divBdr>
    </w:div>
    <w:div w:id="1983002602">
      <w:bodyDiv w:val="1"/>
      <w:marLeft w:val="0"/>
      <w:marRight w:val="0"/>
      <w:marTop w:val="0"/>
      <w:marBottom w:val="0"/>
      <w:divBdr>
        <w:top w:val="none" w:sz="0" w:space="0" w:color="auto"/>
        <w:left w:val="none" w:sz="0" w:space="0" w:color="auto"/>
        <w:bottom w:val="none" w:sz="0" w:space="0" w:color="auto"/>
        <w:right w:val="none" w:sz="0" w:space="0" w:color="auto"/>
      </w:divBdr>
    </w:div>
    <w:div w:id="1983121060">
      <w:bodyDiv w:val="1"/>
      <w:marLeft w:val="0"/>
      <w:marRight w:val="0"/>
      <w:marTop w:val="0"/>
      <w:marBottom w:val="0"/>
      <w:divBdr>
        <w:top w:val="none" w:sz="0" w:space="0" w:color="auto"/>
        <w:left w:val="none" w:sz="0" w:space="0" w:color="auto"/>
        <w:bottom w:val="none" w:sz="0" w:space="0" w:color="auto"/>
        <w:right w:val="none" w:sz="0" w:space="0" w:color="auto"/>
      </w:divBdr>
    </w:div>
    <w:div w:id="1983146286">
      <w:bodyDiv w:val="1"/>
      <w:marLeft w:val="0"/>
      <w:marRight w:val="0"/>
      <w:marTop w:val="0"/>
      <w:marBottom w:val="0"/>
      <w:divBdr>
        <w:top w:val="none" w:sz="0" w:space="0" w:color="auto"/>
        <w:left w:val="none" w:sz="0" w:space="0" w:color="auto"/>
        <w:bottom w:val="none" w:sz="0" w:space="0" w:color="auto"/>
        <w:right w:val="none" w:sz="0" w:space="0" w:color="auto"/>
      </w:divBdr>
    </w:div>
    <w:div w:id="1983195078">
      <w:bodyDiv w:val="1"/>
      <w:marLeft w:val="0"/>
      <w:marRight w:val="0"/>
      <w:marTop w:val="0"/>
      <w:marBottom w:val="0"/>
      <w:divBdr>
        <w:top w:val="none" w:sz="0" w:space="0" w:color="auto"/>
        <w:left w:val="none" w:sz="0" w:space="0" w:color="auto"/>
        <w:bottom w:val="none" w:sz="0" w:space="0" w:color="auto"/>
        <w:right w:val="none" w:sz="0" w:space="0" w:color="auto"/>
      </w:divBdr>
    </w:div>
    <w:div w:id="1983196986">
      <w:bodyDiv w:val="1"/>
      <w:marLeft w:val="0"/>
      <w:marRight w:val="0"/>
      <w:marTop w:val="0"/>
      <w:marBottom w:val="0"/>
      <w:divBdr>
        <w:top w:val="none" w:sz="0" w:space="0" w:color="auto"/>
        <w:left w:val="none" w:sz="0" w:space="0" w:color="auto"/>
        <w:bottom w:val="none" w:sz="0" w:space="0" w:color="auto"/>
        <w:right w:val="none" w:sz="0" w:space="0" w:color="auto"/>
      </w:divBdr>
    </w:div>
    <w:div w:id="1983463112">
      <w:bodyDiv w:val="1"/>
      <w:marLeft w:val="0"/>
      <w:marRight w:val="0"/>
      <w:marTop w:val="0"/>
      <w:marBottom w:val="0"/>
      <w:divBdr>
        <w:top w:val="none" w:sz="0" w:space="0" w:color="auto"/>
        <w:left w:val="none" w:sz="0" w:space="0" w:color="auto"/>
        <w:bottom w:val="none" w:sz="0" w:space="0" w:color="auto"/>
        <w:right w:val="none" w:sz="0" w:space="0" w:color="auto"/>
      </w:divBdr>
    </w:div>
    <w:div w:id="1983608254">
      <w:bodyDiv w:val="1"/>
      <w:marLeft w:val="0"/>
      <w:marRight w:val="0"/>
      <w:marTop w:val="0"/>
      <w:marBottom w:val="0"/>
      <w:divBdr>
        <w:top w:val="none" w:sz="0" w:space="0" w:color="auto"/>
        <w:left w:val="none" w:sz="0" w:space="0" w:color="auto"/>
        <w:bottom w:val="none" w:sz="0" w:space="0" w:color="auto"/>
        <w:right w:val="none" w:sz="0" w:space="0" w:color="auto"/>
      </w:divBdr>
    </w:div>
    <w:div w:id="1983775714">
      <w:bodyDiv w:val="1"/>
      <w:marLeft w:val="0"/>
      <w:marRight w:val="0"/>
      <w:marTop w:val="0"/>
      <w:marBottom w:val="0"/>
      <w:divBdr>
        <w:top w:val="none" w:sz="0" w:space="0" w:color="auto"/>
        <w:left w:val="none" w:sz="0" w:space="0" w:color="auto"/>
        <w:bottom w:val="none" w:sz="0" w:space="0" w:color="auto"/>
        <w:right w:val="none" w:sz="0" w:space="0" w:color="auto"/>
      </w:divBdr>
    </w:div>
    <w:div w:id="1983803072">
      <w:bodyDiv w:val="1"/>
      <w:marLeft w:val="0"/>
      <w:marRight w:val="0"/>
      <w:marTop w:val="0"/>
      <w:marBottom w:val="0"/>
      <w:divBdr>
        <w:top w:val="none" w:sz="0" w:space="0" w:color="auto"/>
        <w:left w:val="none" w:sz="0" w:space="0" w:color="auto"/>
        <w:bottom w:val="none" w:sz="0" w:space="0" w:color="auto"/>
        <w:right w:val="none" w:sz="0" w:space="0" w:color="auto"/>
      </w:divBdr>
    </w:div>
    <w:div w:id="1983804194">
      <w:bodyDiv w:val="1"/>
      <w:marLeft w:val="0"/>
      <w:marRight w:val="0"/>
      <w:marTop w:val="0"/>
      <w:marBottom w:val="0"/>
      <w:divBdr>
        <w:top w:val="none" w:sz="0" w:space="0" w:color="auto"/>
        <w:left w:val="none" w:sz="0" w:space="0" w:color="auto"/>
        <w:bottom w:val="none" w:sz="0" w:space="0" w:color="auto"/>
        <w:right w:val="none" w:sz="0" w:space="0" w:color="auto"/>
      </w:divBdr>
    </w:div>
    <w:div w:id="1983848408">
      <w:bodyDiv w:val="1"/>
      <w:marLeft w:val="0"/>
      <w:marRight w:val="0"/>
      <w:marTop w:val="0"/>
      <w:marBottom w:val="0"/>
      <w:divBdr>
        <w:top w:val="none" w:sz="0" w:space="0" w:color="auto"/>
        <w:left w:val="none" w:sz="0" w:space="0" w:color="auto"/>
        <w:bottom w:val="none" w:sz="0" w:space="0" w:color="auto"/>
        <w:right w:val="none" w:sz="0" w:space="0" w:color="auto"/>
      </w:divBdr>
    </w:div>
    <w:div w:id="1983850000">
      <w:bodyDiv w:val="1"/>
      <w:marLeft w:val="0"/>
      <w:marRight w:val="0"/>
      <w:marTop w:val="0"/>
      <w:marBottom w:val="0"/>
      <w:divBdr>
        <w:top w:val="none" w:sz="0" w:space="0" w:color="auto"/>
        <w:left w:val="none" w:sz="0" w:space="0" w:color="auto"/>
        <w:bottom w:val="none" w:sz="0" w:space="0" w:color="auto"/>
        <w:right w:val="none" w:sz="0" w:space="0" w:color="auto"/>
      </w:divBdr>
    </w:div>
    <w:div w:id="1983921582">
      <w:bodyDiv w:val="1"/>
      <w:marLeft w:val="0"/>
      <w:marRight w:val="0"/>
      <w:marTop w:val="0"/>
      <w:marBottom w:val="0"/>
      <w:divBdr>
        <w:top w:val="none" w:sz="0" w:space="0" w:color="auto"/>
        <w:left w:val="none" w:sz="0" w:space="0" w:color="auto"/>
        <w:bottom w:val="none" w:sz="0" w:space="0" w:color="auto"/>
        <w:right w:val="none" w:sz="0" w:space="0" w:color="auto"/>
      </w:divBdr>
    </w:div>
    <w:div w:id="1984042821">
      <w:bodyDiv w:val="1"/>
      <w:marLeft w:val="0"/>
      <w:marRight w:val="0"/>
      <w:marTop w:val="0"/>
      <w:marBottom w:val="0"/>
      <w:divBdr>
        <w:top w:val="none" w:sz="0" w:space="0" w:color="auto"/>
        <w:left w:val="none" w:sz="0" w:space="0" w:color="auto"/>
        <w:bottom w:val="none" w:sz="0" w:space="0" w:color="auto"/>
        <w:right w:val="none" w:sz="0" w:space="0" w:color="auto"/>
      </w:divBdr>
    </w:div>
    <w:div w:id="1984043948">
      <w:bodyDiv w:val="1"/>
      <w:marLeft w:val="0"/>
      <w:marRight w:val="0"/>
      <w:marTop w:val="0"/>
      <w:marBottom w:val="0"/>
      <w:divBdr>
        <w:top w:val="none" w:sz="0" w:space="0" w:color="auto"/>
        <w:left w:val="none" w:sz="0" w:space="0" w:color="auto"/>
        <w:bottom w:val="none" w:sz="0" w:space="0" w:color="auto"/>
        <w:right w:val="none" w:sz="0" w:space="0" w:color="auto"/>
      </w:divBdr>
    </w:div>
    <w:div w:id="1984120146">
      <w:bodyDiv w:val="1"/>
      <w:marLeft w:val="0"/>
      <w:marRight w:val="0"/>
      <w:marTop w:val="0"/>
      <w:marBottom w:val="0"/>
      <w:divBdr>
        <w:top w:val="none" w:sz="0" w:space="0" w:color="auto"/>
        <w:left w:val="none" w:sz="0" w:space="0" w:color="auto"/>
        <w:bottom w:val="none" w:sz="0" w:space="0" w:color="auto"/>
        <w:right w:val="none" w:sz="0" w:space="0" w:color="auto"/>
      </w:divBdr>
    </w:div>
    <w:div w:id="1984194426">
      <w:bodyDiv w:val="1"/>
      <w:marLeft w:val="0"/>
      <w:marRight w:val="0"/>
      <w:marTop w:val="0"/>
      <w:marBottom w:val="0"/>
      <w:divBdr>
        <w:top w:val="none" w:sz="0" w:space="0" w:color="auto"/>
        <w:left w:val="none" w:sz="0" w:space="0" w:color="auto"/>
        <w:bottom w:val="none" w:sz="0" w:space="0" w:color="auto"/>
        <w:right w:val="none" w:sz="0" w:space="0" w:color="auto"/>
      </w:divBdr>
    </w:div>
    <w:div w:id="1984235303">
      <w:bodyDiv w:val="1"/>
      <w:marLeft w:val="0"/>
      <w:marRight w:val="0"/>
      <w:marTop w:val="0"/>
      <w:marBottom w:val="0"/>
      <w:divBdr>
        <w:top w:val="none" w:sz="0" w:space="0" w:color="auto"/>
        <w:left w:val="none" w:sz="0" w:space="0" w:color="auto"/>
        <w:bottom w:val="none" w:sz="0" w:space="0" w:color="auto"/>
        <w:right w:val="none" w:sz="0" w:space="0" w:color="auto"/>
      </w:divBdr>
    </w:div>
    <w:div w:id="1984308477">
      <w:bodyDiv w:val="1"/>
      <w:marLeft w:val="0"/>
      <w:marRight w:val="0"/>
      <w:marTop w:val="0"/>
      <w:marBottom w:val="0"/>
      <w:divBdr>
        <w:top w:val="none" w:sz="0" w:space="0" w:color="auto"/>
        <w:left w:val="none" w:sz="0" w:space="0" w:color="auto"/>
        <w:bottom w:val="none" w:sz="0" w:space="0" w:color="auto"/>
        <w:right w:val="none" w:sz="0" w:space="0" w:color="auto"/>
      </w:divBdr>
    </w:div>
    <w:div w:id="1984430205">
      <w:bodyDiv w:val="1"/>
      <w:marLeft w:val="0"/>
      <w:marRight w:val="0"/>
      <w:marTop w:val="0"/>
      <w:marBottom w:val="0"/>
      <w:divBdr>
        <w:top w:val="none" w:sz="0" w:space="0" w:color="auto"/>
        <w:left w:val="none" w:sz="0" w:space="0" w:color="auto"/>
        <w:bottom w:val="none" w:sz="0" w:space="0" w:color="auto"/>
        <w:right w:val="none" w:sz="0" w:space="0" w:color="auto"/>
      </w:divBdr>
    </w:div>
    <w:div w:id="1984581283">
      <w:bodyDiv w:val="1"/>
      <w:marLeft w:val="0"/>
      <w:marRight w:val="0"/>
      <w:marTop w:val="0"/>
      <w:marBottom w:val="0"/>
      <w:divBdr>
        <w:top w:val="none" w:sz="0" w:space="0" w:color="auto"/>
        <w:left w:val="none" w:sz="0" w:space="0" w:color="auto"/>
        <w:bottom w:val="none" w:sz="0" w:space="0" w:color="auto"/>
        <w:right w:val="none" w:sz="0" w:space="0" w:color="auto"/>
      </w:divBdr>
    </w:div>
    <w:div w:id="1984653854">
      <w:bodyDiv w:val="1"/>
      <w:marLeft w:val="0"/>
      <w:marRight w:val="0"/>
      <w:marTop w:val="0"/>
      <w:marBottom w:val="0"/>
      <w:divBdr>
        <w:top w:val="none" w:sz="0" w:space="0" w:color="auto"/>
        <w:left w:val="none" w:sz="0" w:space="0" w:color="auto"/>
        <w:bottom w:val="none" w:sz="0" w:space="0" w:color="auto"/>
        <w:right w:val="none" w:sz="0" w:space="0" w:color="auto"/>
      </w:divBdr>
    </w:div>
    <w:div w:id="1984658598">
      <w:bodyDiv w:val="1"/>
      <w:marLeft w:val="0"/>
      <w:marRight w:val="0"/>
      <w:marTop w:val="0"/>
      <w:marBottom w:val="0"/>
      <w:divBdr>
        <w:top w:val="none" w:sz="0" w:space="0" w:color="auto"/>
        <w:left w:val="none" w:sz="0" w:space="0" w:color="auto"/>
        <w:bottom w:val="none" w:sz="0" w:space="0" w:color="auto"/>
        <w:right w:val="none" w:sz="0" w:space="0" w:color="auto"/>
      </w:divBdr>
    </w:div>
    <w:div w:id="1984698788">
      <w:bodyDiv w:val="1"/>
      <w:marLeft w:val="0"/>
      <w:marRight w:val="0"/>
      <w:marTop w:val="0"/>
      <w:marBottom w:val="0"/>
      <w:divBdr>
        <w:top w:val="none" w:sz="0" w:space="0" w:color="auto"/>
        <w:left w:val="none" w:sz="0" w:space="0" w:color="auto"/>
        <w:bottom w:val="none" w:sz="0" w:space="0" w:color="auto"/>
        <w:right w:val="none" w:sz="0" w:space="0" w:color="auto"/>
      </w:divBdr>
    </w:div>
    <w:div w:id="1984773129">
      <w:bodyDiv w:val="1"/>
      <w:marLeft w:val="0"/>
      <w:marRight w:val="0"/>
      <w:marTop w:val="0"/>
      <w:marBottom w:val="0"/>
      <w:divBdr>
        <w:top w:val="none" w:sz="0" w:space="0" w:color="auto"/>
        <w:left w:val="none" w:sz="0" w:space="0" w:color="auto"/>
        <w:bottom w:val="none" w:sz="0" w:space="0" w:color="auto"/>
        <w:right w:val="none" w:sz="0" w:space="0" w:color="auto"/>
      </w:divBdr>
    </w:div>
    <w:div w:id="1984892146">
      <w:bodyDiv w:val="1"/>
      <w:marLeft w:val="0"/>
      <w:marRight w:val="0"/>
      <w:marTop w:val="0"/>
      <w:marBottom w:val="0"/>
      <w:divBdr>
        <w:top w:val="none" w:sz="0" w:space="0" w:color="auto"/>
        <w:left w:val="none" w:sz="0" w:space="0" w:color="auto"/>
        <w:bottom w:val="none" w:sz="0" w:space="0" w:color="auto"/>
        <w:right w:val="none" w:sz="0" w:space="0" w:color="auto"/>
      </w:divBdr>
    </w:div>
    <w:div w:id="1984963499">
      <w:bodyDiv w:val="1"/>
      <w:marLeft w:val="0"/>
      <w:marRight w:val="0"/>
      <w:marTop w:val="0"/>
      <w:marBottom w:val="0"/>
      <w:divBdr>
        <w:top w:val="none" w:sz="0" w:space="0" w:color="auto"/>
        <w:left w:val="none" w:sz="0" w:space="0" w:color="auto"/>
        <w:bottom w:val="none" w:sz="0" w:space="0" w:color="auto"/>
        <w:right w:val="none" w:sz="0" w:space="0" w:color="auto"/>
      </w:divBdr>
    </w:div>
    <w:div w:id="1984966302">
      <w:bodyDiv w:val="1"/>
      <w:marLeft w:val="0"/>
      <w:marRight w:val="0"/>
      <w:marTop w:val="0"/>
      <w:marBottom w:val="0"/>
      <w:divBdr>
        <w:top w:val="none" w:sz="0" w:space="0" w:color="auto"/>
        <w:left w:val="none" w:sz="0" w:space="0" w:color="auto"/>
        <w:bottom w:val="none" w:sz="0" w:space="0" w:color="auto"/>
        <w:right w:val="none" w:sz="0" w:space="0" w:color="auto"/>
      </w:divBdr>
    </w:div>
    <w:div w:id="1985230997">
      <w:bodyDiv w:val="1"/>
      <w:marLeft w:val="0"/>
      <w:marRight w:val="0"/>
      <w:marTop w:val="0"/>
      <w:marBottom w:val="0"/>
      <w:divBdr>
        <w:top w:val="none" w:sz="0" w:space="0" w:color="auto"/>
        <w:left w:val="none" w:sz="0" w:space="0" w:color="auto"/>
        <w:bottom w:val="none" w:sz="0" w:space="0" w:color="auto"/>
        <w:right w:val="none" w:sz="0" w:space="0" w:color="auto"/>
      </w:divBdr>
    </w:div>
    <w:div w:id="1985355819">
      <w:bodyDiv w:val="1"/>
      <w:marLeft w:val="0"/>
      <w:marRight w:val="0"/>
      <w:marTop w:val="0"/>
      <w:marBottom w:val="0"/>
      <w:divBdr>
        <w:top w:val="none" w:sz="0" w:space="0" w:color="auto"/>
        <w:left w:val="none" w:sz="0" w:space="0" w:color="auto"/>
        <w:bottom w:val="none" w:sz="0" w:space="0" w:color="auto"/>
        <w:right w:val="none" w:sz="0" w:space="0" w:color="auto"/>
      </w:divBdr>
    </w:div>
    <w:div w:id="1985498363">
      <w:bodyDiv w:val="1"/>
      <w:marLeft w:val="0"/>
      <w:marRight w:val="0"/>
      <w:marTop w:val="0"/>
      <w:marBottom w:val="0"/>
      <w:divBdr>
        <w:top w:val="none" w:sz="0" w:space="0" w:color="auto"/>
        <w:left w:val="none" w:sz="0" w:space="0" w:color="auto"/>
        <w:bottom w:val="none" w:sz="0" w:space="0" w:color="auto"/>
        <w:right w:val="none" w:sz="0" w:space="0" w:color="auto"/>
      </w:divBdr>
    </w:div>
    <w:div w:id="1985576827">
      <w:bodyDiv w:val="1"/>
      <w:marLeft w:val="0"/>
      <w:marRight w:val="0"/>
      <w:marTop w:val="0"/>
      <w:marBottom w:val="0"/>
      <w:divBdr>
        <w:top w:val="none" w:sz="0" w:space="0" w:color="auto"/>
        <w:left w:val="none" w:sz="0" w:space="0" w:color="auto"/>
        <w:bottom w:val="none" w:sz="0" w:space="0" w:color="auto"/>
        <w:right w:val="none" w:sz="0" w:space="0" w:color="auto"/>
      </w:divBdr>
    </w:div>
    <w:div w:id="1985623371">
      <w:bodyDiv w:val="1"/>
      <w:marLeft w:val="0"/>
      <w:marRight w:val="0"/>
      <w:marTop w:val="0"/>
      <w:marBottom w:val="0"/>
      <w:divBdr>
        <w:top w:val="none" w:sz="0" w:space="0" w:color="auto"/>
        <w:left w:val="none" w:sz="0" w:space="0" w:color="auto"/>
        <w:bottom w:val="none" w:sz="0" w:space="0" w:color="auto"/>
        <w:right w:val="none" w:sz="0" w:space="0" w:color="auto"/>
      </w:divBdr>
    </w:div>
    <w:div w:id="1985693031">
      <w:bodyDiv w:val="1"/>
      <w:marLeft w:val="0"/>
      <w:marRight w:val="0"/>
      <w:marTop w:val="0"/>
      <w:marBottom w:val="0"/>
      <w:divBdr>
        <w:top w:val="none" w:sz="0" w:space="0" w:color="auto"/>
        <w:left w:val="none" w:sz="0" w:space="0" w:color="auto"/>
        <w:bottom w:val="none" w:sz="0" w:space="0" w:color="auto"/>
        <w:right w:val="none" w:sz="0" w:space="0" w:color="auto"/>
      </w:divBdr>
    </w:div>
    <w:div w:id="1985697312">
      <w:bodyDiv w:val="1"/>
      <w:marLeft w:val="0"/>
      <w:marRight w:val="0"/>
      <w:marTop w:val="0"/>
      <w:marBottom w:val="0"/>
      <w:divBdr>
        <w:top w:val="none" w:sz="0" w:space="0" w:color="auto"/>
        <w:left w:val="none" w:sz="0" w:space="0" w:color="auto"/>
        <w:bottom w:val="none" w:sz="0" w:space="0" w:color="auto"/>
        <w:right w:val="none" w:sz="0" w:space="0" w:color="auto"/>
      </w:divBdr>
    </w:div>
    <w:div w:id="1985742304">
      <w:bodyDiv w:val="1"/>
      <w:marLeft w:val="0"/>
      <w:marRight w:val="0"/>
      <w:marTop w:val="0"/>
      <w:marBottom w:val="0"/>
      <w:divBdr>
        <w:top w:val="none" w:sz="0" w:space="0" w:color="auto"/>
        <w:left w:val="none" w:sz="0" w:space="0" w:color="auto"/>
        <w:bottom w:val="none" w:sz="0" w:space="0" w:color="auto"/>
        <w:right w:val="none" w:sz="0" w:space="0" w:color="auto"/>
      </w:divBdr>
    </w:div>
    <w:div w:id="1985809648">
      <w:bodyDiv w:val="1"/>
      <w:marLeft w:val="0"/>
      <w:marRight w:val="0"/>
      <w:marTop w:val="0"/>
      <w:marBottom w:val="0"/>
      <w:divBdr>
        <w:top w:val="none" w:sz="0" w:space="0" w:color="auto"/>
        <w:left w:val="none" w:sz="0" w:space="0" w:color="auto"/>
        <w:bottom w:val="none" w:sz="0" w:space="0" w:color="auto"/>
        <w:right w:val="none" w:sz="0" w:space="0" w:color="auto"/>
      </w:divBdr>
    </w:div>
    <w:div w:id="1985812562">
      <w:bodyDiv w:val="1"/>
      <w:marLeft w:val="0"/>
      <w:marRight w:val="0"/>
      <w:marTop w:val="0"/>
      <w:marBottom w:val="0"/>
      <w:divBdr>
        <w:top w:val="none" w:sz="0" w:space="0" w:color="auto"/>
        <w:left w:val="none" w:sz="0" w:space="0" w:color="auto"/>
        <w:bottom w:val="none" w:sz="0" w:space="0" w:color="auto"/>
        <w:right w:val="none" w:sz="0" w:space="0" w:color="auto"/>
      </w:divBdr>
    </w:div>
    <w:div w:id="1985891606">
      <w:bodyDiv w:val="1"/>
      <w:marLeft w:val="0"/>
      <w:marRight w:val="0"/>
      <w:marTop w:val="0"/>
      <w:marBottom w:val="0"/>
      <w:divBdr>
        <w:top w:val="none" w:sz="0" w:space="0" w:color="auto"/>
        <w:left w:val="none" w:sz="0" w:space="0" w:color="auto"/>
        <w:bottom w:val="none" w:sz="0" w:space="0" w:color="auto"/>
        <w:right w:val="none" w:sz="0" w:space="0" w:color="auto"/>
      </w:divBdr>
    </w:div>
    <w:div w:id="1985969377">
      <w:bodyDiv w:val="1"/>
      <w:marLeft w:val="0"/>
      <w:marRight w:val="0"/>
      <w:marTop w:val="0"/>
      <w:marBottom w:val="0"/>
      <w:divBdr>
        <w:top w:val="none" w:sz="0" w:space="0" w:color="auto"/>
        <w:left w:val="none" w:sz="0" w:space="0" w:color="auto"/>
        <w:bottom w:val="none" w:sz="0" w:space="0" w:color="auto"/>
        <w:right w:val="none" w:sz="0" w:space="0" w:color="auto"/>
      </w:divBdr>
    </w:div>
    <w:div w:id="1986085854">
      <w:bodyDiv w:val="1"/>
      <w:marLeft w:val="0"/>
      <w:marRight w:val="0"/>
      <w:marTop w:val="0"/>
      <w:marBottom w:val="0"/>
      <w:divBdr>
        <w:top w:val="none" w:sz="0" w:space="0" w:color="auto"/>
        <w:left w:val="none" w:sz="0" w:space="0" w:color="auto"/>
        <w:bottom w:val="none" w:sz="0" w:space="0" w:color="auto"/>
        <w:right w:val="none" w:sz="0" w:space="0" w:color="auto"/>
      </w:divBdr>
    </w:div>
    <w:div w:id="1986086887">
      <w:bodyDiv w:val="1"/>
      <w:marLeft w:val="0"/>
      <w:marRight w:val="0"/>
      <w:marTop w:val="0"/>
      <w:marBottom w:val="0"/>
      <w:divBdr>
        <w:top w:val="none" w:sz="0" w:space="0" w:color="auto"/>
        <w:left w:val="none" w:sz="0" w:space="0" w:color="auto"/>
        <w:bottom w:val="none" w:sz="0" w:space="0" w:color="auto"/>
        <w:right w:val="none" w:sz="0" w:space="0" w:color="auto"/>
      </w:divBdr>
    </w:div>
    <w:div w:id="1986158785">
      <w:bodyDiv w:val="1"/>
      <w:marLeft w:val="0"/>
      <w:marRight w:val="0"/>
      <w:marTop w:val="0"/>
      <w:marBottom w:val="0"/>
      <w:divBdr>
        <w:top w:val="none" w:sz="0" w:space="0" w:color="auto"/>
        <w:left w:val="none" w:sz="0" w:space="0" w:color="auto"/>
        <w:bottom w:val="none" w:sz="0" w:space="0" w:color="auto"/>
        <w:right w:val="none" w:sz="0" w:space="0" w:color="auto"/>
      </w:divBdr>
    </w:div>
    <w:div w:id="1986201114">
      <w:bodyDiv w:val="1"/>
      <w:marLeft w:val="0"/>
      <w:marRight w:val="0"/>
      <w:marTop w:val="0"/>
      <w:marBottom w:val="0"/>
      <w:divBdr>
        <w:top w:val="none" w:sz="0" w:space="0" w:color="auto"/>
        <w:left w:val="none" w:sz="0" w:space="0" w:color="auto"/>
        <w:bottom w:val="none" w:sz="0" w:space="0" w:color="auto"/>
        <w:right w:val="none" w:sz="0" w:space="0" w:color="auto"/>
      </w:divBdr>
    </w:div>
    <w:div w:id="1986205335">
      <w:bodyDiv w:val="1"/>
      <w:marLeft w:val="0"/>
      <w:marRight w:val="0"/>
      <w:marTop w:val="0"/>
      <w:marBottom w:val="0"/>
      <w:divBdr>
        <w:top w:val="none" w:sz="0" w:space="0" w:color="auto"/>
        <w:left w:val="none" w:sz="0" w:space="0" w:color="auto"/>
        <w:bottom w:val="none" w:sz="0" w:space="0" w:color="auto"/>
        <w:right w:val="none" w:sz="0" w:space="0" w:color="auto"/>
      </w:divBdr>
    </w:div>
    <w:div w:id="1986423267">
      <w:bodyDiv w:val="1"/>
      <w:marLeft w:val="0"/>
      <w:marRight w:val="0"/>
      <w:marTop w:val="0"/>
      <w:marBottom w:val="0"/>
      <w:divBdr>
        <w:top w:val="none" w:sz="0" w:space="0" w:color="auto"/>
        <w:left w:val="none" w:sz="0" w:space="0" w:color="auto"/>
        <w:bottom w:val="none" w:sz="0" w:space="0" w:color="auto"/>
        <w:right w:val="none" w:sz="0" w:space="0" w:color="auto"/>
      </w:divBdr>
    </w:div>
    <w:div w:id="1986424356">
      <w:bodyDiv w:val="1"/>
      <w:marLeft w:val="0"/>
      <w:marRight w:val="0"/>
      <w:marTop w:val="0"/>
      <w:marBottom w:val="0"/>
      <w:divBdr>
        <w:top w:val="none" w:sz="0" w:space="0" w:color="auto"/>
        <w:left w:val="none" w:sz="0" w:space="0" w:color="auto"/>
        <w:bottom w:val="none" w:sz="0" w:space="0" w:color="auto"/>
        <w:right w:val="none" w:sz="0" w:space="0" w:color="auto"/>
      </w:divBdr>
    </w:div>
    <w:div w:id="1986426368">
      <w:bodyDiv w:val="1"/>
      <w:marLeft w:val="0"/>
      <w:marRight w:val="0"/>
      <w:marTop w:val="0"/>
      <w:marBottom w:val="0"/>
      <w:divBdr>
        <w:top w:val="none" w:sz="0" w:space="0" w:color="auto"/>
        <w:left w:val="none" w:sz="0" w:space="0" w:color="auto"/>
        <w:bottom w:val="none" w:sz="0" w:space="0" w:color="auto"/>
        <w:right w:val="none" w:sz="0" w:space="0" w:color="auto"/>
      </w:divBdr>
    </w:div>
    <w:div w:id="1986464773">
      <w:bodyDiv w:val="1"/>
      <w:marLeft w:val="0"/>
      <w:marRight w:val="0"/>
      <w:marTop w:val="0"/>
      <w:marBottom w:val="0"/>
      <w:divBdr>
        <w:top w:val="none" w:sz="0" w:space="0" w:color="auto"/>
        <w:left w:val="none" w:sz="0" w:space="0" w:color="auto"/>
        <w:bottom w:val="none" w:sz="0" w:space="0" w:color="auto"/>
        <w:right w:val="none" w:sz="0" w:space="0" w:color="auto"/>
      </w:divBdr>
    </w:div>
    <w:div w:id="1986469372">
      <w:bodyDiv w:val="1"/>
      <w:marLeft w:val="0"/>
      <w:marRight w:val="0"/>
      <w:marTop w:val="0"/>
      <w:marBottom w:val="0"/>
      <w:divBdr>
        <w:top w:val="none" w:sz="0" w:space="0" w:color="auto"/>
        <w:left w:val="none" w:sz="0" w:space="0" w:color="auto"/>
        <w:bottom w:val="none" w:sz="0" w:space="0" w:color="auto"/>
        <w:right w:val="none" w:sz="0" w:space="0" w:color="auto"/>
      </w:divBdr>
    </w:div>
    <w:div w:id="1986544834">
      <w:bodyDiv w:val="1"/>
      <w:marLeft w:val="0"/>
      <w:marRight w:val="0"/>
      <w:marTop w:val="0"/>
      <w:marBottom w:val="0"/>
      <w:divBdr>
        <w:top w:val="none" w:sz="0" w:space="0" w:color="auto"/>
        <w:left w:val="none" w:sz="0" w:space="0" w:color="auto"/>
        <w:bottom w:val="none" w:sz="0" w:space="0" w:color="auto"/>
        <w:right w:val="none" w:sz="0" w:space="0" w:color="auto"/>
      </w:divBdr>
    </w:div>
    <w:div w:id="1986549215">
      <w:bodyDiv w:val="1"/>
      <w:marLeft w:val="0"/>
      <w:marRight w:val="0"/>
      <w:marTop w:val="0"/>
      <w:marBottom w:val="0"/>
      <w:divBdr>
        <w:top w:val="none" w:sz="0" w:space="0" w:color="auto"/>
        <w:left w:val="none" w:sz="0" w:space="0" w:color="auto"/>
        <w:bottom w:val="none" w:sz="0" w:space="0" w:color="auto"/>
        <w:right w:val="none" w:sz="0" w:space="0" w:color="auto"/>
      </w:divBdr>
    </w:div>
    <w:div w:id="1986665092">
      <w:bodyDiv w:val="1"/>
      <w:marLeft w:val="0"/>
      <w:marRight w:val="0"/>
      <w:marTop w:val="0"/>
      <w:marBottom w:val="0"/>
      <w:divBdr>
        <w:top w:val="none" w:sz="0" w:space="0" w:color="auto"/>
        <w:left w:val="none" w:sz="0" w:space="0" w:color="auto"/>
        <w:bottom w:val="none" w:sz="0" w:space="0" w:color="auto"/>
        <w:right w:val="none" w:sz="0" w:space="0" w:color="auto"/>
      </w:divBdr>
    </w:div>
    <w:div w:id="1986736217">
      <w:bodyDiv w:val="1"/>
      <w:marLeft w:val="0"/>
      <w:marRight w:val="0"/>
      <w:marTop w:val="0"/>
      <w:marBottom w:val="0"/>
      <w:divBdr>
        <w:top w:val="none" w:sz="0" w:space="0" w:color="auto"/>
        <w:left w:val="none" w:sz="0" w:space="0" w:color="auto"/>
        <w:bottom w:val="none" w:sz="0" w:space="0" w:color="auto"/>
        <w:right w:val="none" w:sz="0" w:space="0" w:color="auto"/>
      </w:divBdr>
    </w:div>
    <w:div w:id="1986811834">
      <w:bodyDiv w:val="1"/>
      <w:marLeft w:val="0"/>
      <w:marRight w:val="0"/>
      <w:marTop w:val="0"/>
      <w:marBottom w:val="0"/>
      <w:divBdr>
        <w:top w:val="none" w:sz="0" w:space="0" w:color="auto"/>
        <w:left w:val="none" w:sz="0" w:space="0" w:color="auto"/>
        <w:bottom w:val="none" w:sz="0" w:space="0" w:color="auto"/>
        <w:right w:val="none" w:sz="0" w:space="0" w:color="auto"/>
      </w:divBdr>
    </w:div>
    <w:div w:id="1986813639">
      <w:bodyDiv w:val="1"/>
      <w:marLeft w:val="0"/>
      <w:marRight w:val="0"/>
      <w:marTop w:val="0"/>
      <w:marBottom w:val="0"/>
      <w:divBdr>
        <w:top w:val="none" w:sz="0" w:space="0" w:color="auto"/>
        <w:left w:val="none" w:sz="0" w:space="0" w:color="auto"/>
        <w:bottom w:val="none" w:sz="0" w:space="0" w:color="auto"/>
        <w:right w:val="none" w:sz="0" w:space="0" w:color="auto"/>
      </w:divBdr>
    </w:div>
    <w:div w:id="1986856557">
      <w:bodyDiv w:val="1"/>
      <w:marLeft w:val="0"/>
      <w:marRight w:val="0"/>
      <w:marTop w:val="0"/>
      <w:marBottom w:val="0"/>
      <w:divBdr>
        <w:top w:val="none" w:sz="0" w:space="0" w:color="auto"/>
        <w:left w:val="none" w:sz="0" w:space="0" w:color="auto"/>
        <w:bottom w:val="none" w:sz="0" w:space="0" w:color="auto"/>
        <w:right w:val="none" w:sz="0" w:space="0" w:color="auto"/>
      </w:divBdr>
    </w:div>
    <w:div w:id="1986885644">
      <w:bodyDiv w:val="1"/>
      <w:marLeft w:val="0"/>
      <w:marRight w:val="0"/>
      <w:marTop w:val="0"/>
      <w:marBottom w:val="0"/>
      <w:divBdr>
        <w:top w:val="none" w:sz="0" w:space="0" w:color="auto"/>
        <w:left w:val="none" w:sz="0" w:space="0" w:color="auto"/>
        <w:bottom w:val="none" w:sz="0" w:space="0" w:color="auto"/>
        <w:right w:val="none" w:sz="0" w:space="0" w:color="auto"/>
      </w:divBdr>
    </w:div>
    <w:div w:id="1986931481">
      <w:bodyDiv w:val="1"/>
      <w:marLeft w:val="0"/>
      <w:marRight w:val="0"/>
      <w:marTop w:val="0"/>
      <w:marBottom w:val="0"/>
      <w:divBdr>
        <w:top w:val="none" w:sz="0" w:space="0" w:color="auto"/>
        <w:left w:val="none" w:sz="0" w:space="0" w:color="auto"/>
        <w:bottom w:val="none" w:sz="0" w:space="0" w:color="auto"/>
        <w:right w:val="none" w:sz="0" w:space="0" w:color="auto"/>
      </w:divBdr>
    </w:div>
    <w:div w:id="1986932532">
      <w:bodyDiv w:val="1"/>
      <w:marLeft w:val="0"/>
      <w:marRight w:val="0"/>
      <w:marTop w:val="0"/>
      <w:marBottom w:val="0"/>
      <w:divBdr>
        <w:top w:val="none" w:sz="0" w:space="0" w:color="auto"/>
        <w:left w:val="none" w:sz="0" w:space="0" w:color="auto"/>
        <w:bottom w:val="none" w:sz="0" w:space="0" w:color="auto"/>
        <w:right w:val="none" w:sz="0" w:space="0" w:color="auto"/>
      </w:divBdr>
    </w:div>
    <w:div w:id="1987004500">
      <w:bodyDiv w:val="1"/>
      <w:marLeft w:val="0"/>
      <w:marRight w:val="0"/>
      <w:marTop w:val="0"/>
      <w:marBottom w:val="0"/>
      <w:divBdr>
        <w:top w:val="none" w:sz="0" w:space="0" w:color="auto"/>
        <w:left w:val="none" w:sz="0" w:space="0" w:color="auto"/>
        <w:bottom w:val="none" w:sz="0" w:space="0" w:color="auto"/>
        <w:right w:val="none" w:sz="0" w:space="0" w:color="auto"/>
      </w:divBdr>
    </w:div>
    <w:div w:id="1987125997">
      <w:bodyDiv w:val="1"/>
      <w:marLeft w:val="0"/>
      <w:marRight w:val="0"/>
      <w:marTop w:val="0"/>
      <w:marBottom w:val="0"/>
      <w:divBdr>
        <w:top w:val="none" w:sz="0" w:space="0" w:color="auto"/>
        <w:left w:val="none" w:sz="0" w:space="0" w:color="auto"/>
        <w:bottom w:val="none" w:sz="0" w:space="0" w:color="auto"/>
        <w:right w:val="none" w:sz="0" w:space="0" w:color="auto"/>
      </w:divBdr>
    </w:div>
    <w:div w:id="1987202307">
      <w:bodyDiv w:val="1"/>
      <w:marLeft w:val="0"/>
      <w:marRight w:val="0"/>
      <w:marTop w:val="0"/>
      <w:marBottom w:val="0"/>
      <w:divBdr>
        <w:top w:val="none" w:sz="0" w:space="0" w:color="auto"/>
        <w:left w:val="none" w:sz="0" w:space="0" w:color="auto"/>
        <w:bottom w:val="none" w:sz="0" w:space="0" w:color="auto"/>
        <w:right w:val="none" w:sz="0" w:space="0" w:color="auto"/>
      </w:divBdr>
    </w:div>
    <w:div w:id="1987274605">
      <w:bodyDiv w:val="1"/>
      <w:marLeft w:val="0"/>
      <w:marRight w:val="0"/>
      <w:marTop w:val="0"/>
      <w:marBottom w:val="0"/>
      <w:divBdr>
        <w:top w:val="none" w:sz="0" w:space="0" w:color="auto"/>
        <w:left w:val="none" w:sz="0" w:space="0" w:color="auto"/>
        <w:bottom w:val="none" w:sz="0" w:space="0" w:color="auto"/>
        <w:right w:val="none" w:sz="0" w:space="0" w:color="auto"/>
      </w:divBdr>
    </w:div>
    <w:div w:id="1987278187">
      <w:bodyDiv w:val="1"/>
      <w:marLeft w:val="0"/>
      <w:marRight w:val="0"/>
      <w:marTop w:val="0"/>
      <w:marBottom w:val="0"/>
      <w:divBdr>
        <w:top w:val="none" w:sz="0" w:space="0" w:color="auto"/>
        <w:left w:val="none" w:sz="0" w:space="0" w:color="auto"/>
        <w:bottom w:val="none" w:sz="0" w:space="0" w:color="auto"/>
        <w:right w:val="none" w:sz="0" w:space="0" w:color="auto"/>
      </w:divBdr>
    </w:div>
    <w:div w:id="1987389172">
      <w:bodyDiv w:val="1"/>
      <w:marLeft w:val="0"/>
      <w:marRight w:val="0"/>
      <w:marTop w:val="0"/>
      <w:marBottom w:val="0"/>
      <w:divBdr>
        <w:top w:val="none" w:sz="0" w:space="0" w:color="auto"/>
        <w:left w:val="none" w:sz="0" w:space="0" w:color="auto"/>
        <w:bottom w:val="none" w:sz="0" w:space="0" w:color="auto"/>
        <w:right w:val="none" w:sz="0" w:space="0" w:color="auto"/>
      </w:divBdr>
    </w:div>
    <w:div w:id="1987464082">
      <w:bodyDiv w:val="1"/>
      <w:marLeft w:val="0"/>
      <w:marRight w:val="0"/>
      <w:marTop w:val="0"/>
      <w:marBottom w:val="0"/>
      <w:divBdr>
        <w:top w:val="none" w:sz="0" w:space="0" w:color="auto"/>
        <w:left w:val="none" w:sz="0" w:space="0" w:color="auto"/>
        <w:bottom w:val="none" w:sz="0" w:space="0" w:color="auto"/>
        <w:right w:val="none" w:sz="0" w:space="0" w:color="auto"/>
      </w:divBdr>
    </w:div>
    <w:div w:id="1987659023">
      <w:bodyDiv w:val="1"/>
      <w:marLeft w:val="0"/>
      <w:marRight w:val="0"/>
      <w:marTop w:val="0"/>
      <w:marBottom w:val="0"/>
      <w:divBdr>
        <w:top w:val="none" w:sz="0" w:space="0" w:color="auto"/>
        <w:left w:val="none" w:sz="0" w:space="0" w:color="auto"/>
        <w:bottom w:val="none" w:sz="0" w:space="0" w:color="auto"/>
        <w:right w:val="none" w:sz="0" w:space="0" w:color="auto"/>
      </w:divBdr>
    </w:div>
    <w:div w:id="1987780708">
      <w:bodyDiv w:val="1"/>
      <w:marLeft w:val="0"/>
      <w:marRight w:val="0"/>
      <w:marTop w:val="0"/>
      <w:marBottom w:val="0"/>
      <w:divBdr>
        <w:top w:val="none" w:sz="0" w:space="0" w:color="auto"/>
        <w:left w:val="none" w:sz="0" w:space="0" w:color="auto"/>
        <w:bottom w:val="none" w:sz="0" w:space="0" w:color="auto"/>
        <w:right w:val="none" w:sz="0" w:space="0" w:color="auto"/>
      </w:divBdr>
    </w:div>
    <w:div w:id="1988047112">
      <w:bodyDiv w:val="1"/>
      <w:marLeft w:val="0"/>
      <w:marRight w:val="0"/>
      <w:marTop w:val="0"/>
      <w:marBottom w:val="0"/>
      <w:divBdr>
        <w:top w:val="none" w:sz="0" w:space="0" w:color="auto"/>
        <w:left w:val="none" w:sz="0" w:space="0" w:color="auto"/>
        <w:bottom w:val="none" w:sz="0" w:space="0" w:color="auto"/>
        <w:right w:val="none" w:sz="0" w:space="0" w:color="auto"/>
      </w:divBdr>
    </w:div>
    <w:div w:id="1988165660">
      <w:bodyDiv w:val="1"/>
      <w:marLeft w:val="0"/>
      <w:marRight w:val="0"/>
      <w:marTop w:val="0"/>
      <w:marBottom w:val="0"/>
      <w:divBdr>
        <w:top w:val="none" w:sz="0" w:space="0" w:color="auto"/>
        <w:left w:val="none" w:sz="0" w:space="0" w:color="auto"/>
        <w:bottom w:val="none" w:sz="0" w:space="0" w:color="auto"/>
        <w:right w:val="none" w:sz="0" w:space="0" w:color="auto"/>
      </w:divBdr>
    </w:div>
    <w:div w:id="1988198146">
      <w:bodyDiv w:val="1"/>
      <w:marLeft w:val="0"/>
      <w:marRight w:val="0"/>
      <w:marTop w:val="0"/>
      <w:marBottom w:val="0"/>
      <w:divBdr>
        <w:top w:val="none" w:sz="0" w:space="0" w:color="auto"/>
        <w:left w:val="none" w:sz="0" w:space="0" w:color="auto"/>
        <w:bottom w:val="none" w:sz="0" w:space="0" w:color="auto"/>
        <w:right w:val="none" w:sz="0" w:space="0" w:color="auto"/>
      </w:divBdr>
    </w:div>
    <w:div w:id="1988315798">
      <w:bodyDiv w:val="1"/>
      <w:marLeft w:val="0"/>
      <w:marRight w:val="0"/>
      <w:marTop w:val="0"/>
      <w:marBottom w:val="0"/>
      <w:divBdr>
        <w:top w:val="none" w:sz="0" w:space="0" w:color="auto"/>
        <w:left w:val="none" w:sz="0" w:space="0" w:color="auto"/>
        <w:bottom w:val="none" w:sz="0" w:space="0" w:color="auto"/>
        <w:right w:val="none" w:sz="0" w:space="0" w:color="auto"/>
      </w:divBdr>
    </w:div>
    <w:div w:id="1988431661">
      <w:bodyDiv w:val="1"/>
      <w:marLeft w:val="0"/>
      <w:marRight w:val="0"/>
      <w:marTop w:val="0"/>
      <w:marBottom w:val="0"/>
      <w:divBdr>
        <w:top w:val="none" w:sz="0" w:space="0" w:color="auto"/>
        <w:left w:val="none" w:sz="0" w:space="0" w:color="auto"/>
        <w:bottom w:val="none" w:sz="0" w:space="0" w:color="auto"/>
        <w:right w:val="none" w:sz="0" w:space="0" w:color="auto"/>
      </w:divBdr>
    </w:div>
    <w:div w:id="1988433447">
      <w:bodyDiv w:val="1"/>
      <w:marLeft w:val="0"/>
      <w:marRight w:val="0"/>
      <w:marTop w:val="0"/>
      <w:marBottom w:val="0"/>
      <w:divBdr>
        <w:top w:val="none" w:sz="0" w:space="0" w:color="auto"/>
        <w:left w:val="none" w:sz="0" w:space="0" w:color="auto"/>
        <w:bottom w:val="none" w:sz="0" w:space="0" w:color="auto"/>
        <w:right w:val="none" w:sz="0" w:space="0" w:color="auto"/>
      </w:divBdr>
    </w:div>
    <w:div w:id="1988586112">
      <w:bodyDiv w:val="1"/>
      <w:marLeft w:val="0"/>
      <w:marRight w:val="0"/>
      <w:marTop w:val="0"/>
      <w:marBottom w:val="0"/>
      <w:divBdr>
        <w:top w:val="none" w:sz="0" w:space="0" w:color="auto"/>
        <w:left w:val="none" w:sz="0" w:space="0" w:color="auto"/>
        <w:bottom w:val="none" w:sz="0" w:space="0" w:color="auto"/>
        <w:right w:val="none" w:sz="0" w:space="0" w:color="auto"/>
      </w:divBdr>
    </w:div>
    <w:div w:id="1988777484">
      <w:bodyDiv w:val="1"/>
      <w:marLeft w:val="0"/>
      <w:marRight w:val="0"/>
      <w:marTop w:val="0"/>
      <w:marBottom w:val="0"/>
      <w:divBdr>
        <w:top w:val="none" w:sz="0" w:space="0" w:color="auto"/>
        <w:left w:val="none" w:sz="0" w:space="0" w:color="auto"/>
        <w:bottom w:val="none" w:sz="0" w:space="0" w:color="auto"/>
        <w:right w:val="none" w:sz="0" w:space="0" w:color="auto"/>
      </w:divBdr>
    </w:div>
    <w:div w:id="1988900679">
      <w:bodyDiv w:val="1"/>
      <w:marLeft w:val="0"/>
      <w:marRight w:val="0"/>
      <w:marTop w:val="0"/>
      <w:marBottom w:val="0"/>
      <w:divBdr>
        <w:top w:val="none" w:sz="0" w:space="0" w:color="auto"/>
        <w:left w:val="none" w:sz="0" w:space="0" w:color="auto"/>
        <w:bottom w:val="none" w:sz="0" w:space="0" w:color="auto"/>
        <w:right w:val="none" w:sz="0" w:space="0" w:color="auto"/>
      </w:divBdr>
    </w:div>
    <w:div w:id="1988968007">
      <w:bodyDiv w:val="1"/>
      <w:marLeft w:val="0"/>
      <w:marRight w:val="0"/>
      <w:marTop w:val="0"/>
      <w:marBottom w:val="0"/>
      <w:divBdr>
        <w:top w:val="none" w:sz="0" w:space="0" w:color="auto"/>
        <w:left w:val="none" w:sz="0" w:space="0" w:color="auto"/>
        <w:bottom w:val="none" w:sz="0" w:space="0" w:color="auto"/>
        <w:right w:val="none" w:sz="0" w:space="0" w:color="auto"/>
      </w:divBdr>
    </w:div>
    <w:div w:id="1989086989">
      <w:bodyDiv w:val="1"/>
      <w:marLeft w:val="0"/>
      <w:marRight w:val="0"/>
      <w:marTop w:val="0"/>
      <w:marBottom w:val="0"/>
      <w:divBdr>
        <w:top w:val="none" w:sz="0" w:space="0" w:color="auto"/>
        <w:left w:val="none" w:sz="0" w:space="0" w:color="auto"/>
        <w:bottom w:val="none" w:sz="0" w:space="0" w:color="auto"/>
        <w:right w:val="none" w:sz="0" w:space="0" w:color="auto"/>
      </w:divBdr>
    </w:div>
    <w:div w:id="1989091773">
      <w:bodyDiv w:val="1"/>
      <w:marLeft w:val="0"/>
      <w:marRight w:val="0"/>
      <w:marTop w:val="0"/>
      <w:marBottom w:val="0"/>
      <w:divBdr>
        <w:top w:val="none" w:sz="0" w:space="0" w:color="auto"/>
        <w:left w:val="none" w:sz="0" w:space="0" w:color="auto"/>
        <w:bottom w:val="none" w:sz="0" w:space="0" w:color="auto"/>
        <w:right w:val="none" w:sz="0" w:space="0" w:color="auto"/>
      </w:divBdr>
    </w:div>
    <w:div w:id="1989624750">
      <w:bodyDiv w:val="1"/>
      <w:marLeft w:val="0"/>
      <w:marRight w:val="0"/>
      <w:marTop w:val="0"/>
      <w:marBottom w:val="0"/>
      <w:divBdr>
        <w:top w:val="none" w:sz="0" w:space="0" w:color="auto"/>
        <w:left w:val="none" w:sz="0" w:space="0" w:color="auto"/>
        <w:bottom w:val="none" w:sz="0" w:space="0" w:color="auto"/>
        <w:right w:val="none" w:sz="0" w:space="0" w:color="auto"/>
      </w:divBdr>
    </w:div>
    <w:div w:id="1989626400">
      <w:bodyDiv w:val="1"/>
      <w:marLeft w:val="0"/>
      <w:marRight w:val="0"/>
      <w:marTop w:val="0"/>
      <w:marBottom w:val="0"/>
      <w:divBdr>
        <w:top w:val="none" w:sz="0" w:space="0" w:color="auto"/>
        <w:left w:val="none" w:sz="0" w:space="0" w:color="auto"/>
        <w:bottom w:val="none" w:sz="0" w:space="0" w:color="auto"/>
        <w:right w:val="none" w:sz="0" w:space="0" w:color="auto"/>
      </w:divBdr>
    </w:div>
    <w:div w:id="1989631657">
      <w:bodyDiv w:val="1"/>
      <w:marLeft w:val="0"/>
      <w:marRight w:val="0"/>
      <w:marTop w:val="0"/>
      <w:marBottom w:val="0"/>
      <w:divBdr>
        <w:top w:val="none" w:sz="0" w:space="0" w:color="auto"/>
        <w:left w:val="none" w:sz="0" w:space="0" w:color="auto"/>
        <w:bottom w:val="none" w:sz="0" w:space="0" w:color="auto"/>
        <w:right w:val="none" w:sz="0" w:space="0" w:color="auto"/>
      </w:divBdr>
    </w:div>
    <w:div w:id="1989746790">
      <w:bodyDiv w:val="1"/>
      <w:marLeft w:val="0"/>
      <w:marRight w:val="0"/>
      <w:marTop w:val="0"/>
      <w:marBottom w:val="0"/>
      <w:divBdr>
        <w:top w:val="none" w:sz="0" w:space="0" w:color="auto"/>
        <w:left w:val="none" w:sz="0" w:space="0" w:color="auto"/>
        <w:bottom w:val="none" w:sz="0" w:space="0" w:color="auto"/>
        <w:right w:val="none" w:sz="0" w:space="0" w:color="auto"/>
      </w:divBdr>
    </w:div>
    <w:div w:id="1989819535">
      <w:bodyDiv w:val="1"/>
      <w:marLeft w:val="0"/>
      <w:marRight w:val="0"/>
      <w:marTop w:val="0"/>
      <w:marBottom w:val="0"/>
      <w:divBdr>
        <w:top w:val="none" w:sz="0" w:space="0" w:color="auto"/>
        <w:left w:val="none" w:sz="0" w:space="0" w:color="auto"/>
        <w:bottom w:val="none" w:sz="0" w:space="0" w:color="auto"/>
        <w:right w:val="none" w:sz="0" w:space="0" w:color="auto"/>
      </w:divBdr>
    </w:div>
    <w:div w:id="1989821378">
      <w:bodyDiv w:val="1"/>
      <w:marLeft w:val="0"/>
      <w:marRight w:val="0"/>
      <w:marTop w:val="0"/>
      <w:marBottom w:val="0"/>
      <w:divBdr>
        <w:top w:val="none" w:sz="0" w:space="0" w:color="auto"/>
        <w:left w:val="none" w:sz="0" w:space="0" w:color="auto"/>
        <w:bottom w:val="none" w:sz="0" w:space="0" w:color="auto"/>
        <w:right w:val="none" w:sz="0" w:space="0" w:color="auto"/>
      </w:divBdr>
    </w:div>
    <w:div w:id="1989893116">
      <w:bodyDiv w:val="1"/>
      <w:marLeft w:val="0"/>
      <w:marRight w:val="0"/>
      <w:marTop w:val="0"/>
      <w:marBottom w:val="0"/>
      <w:divBdr>
        <w:top w:val="none" w:sz="0" w:space="0" w:color="auto"/>
        <w:left w:val="none" w:sz="0" w:space="0" w:color="auto"/>
        <w:bottom w:val="none" w:sz="0" w:space="0" w:color="auto"/>
        <w:right w:val="none" w:sz="0" w:space="0" w:color="auto"/>
      </w:divBdr>
    </w:div>
    <w:div w:id="1989901066">
      <w:bodyDiv w:val="1"/>
      <w:marLeft w:val="0"/>
      <w:marRight w:val="0"/>
      <w:marTop w:val="0"/>
      <w:marBottom w:val="0"/>
      <w:divBdr>
        <w:top w:val="none" w:sz="0" w:space="0" w:color="auto"/>
        <w:left w:val="none" w:sz="0" w:space="0" w:color="auto"/>
        <w:bottom w:val="none" w:sz="0" w:space="0" w:color="auto"/>
        <w:right w:val="none" w:sz="0" w:space="0" w:color="auto"/>
      </w:divBdr>
    </w:div>
    <w:div w:id="1990134655">
      <w:bodyDiv w:val="1"/>
      <w:marLeft w:val="0"/>
      <w:marRight w:val="0"/>
      <w:marTop w:val="0"/>
      <w:marBottom w:val="0"/>
      <w:divBdr>
        <w:top w:val="none" w:sz="0" w:space="0" w:color="auto"/>
        <w:left w:val="none" w:sz="0" w:space="0" w:color="auto"/>
        <w:bottom w:val="none" w:sz="0" w:space="0" w:color="auto"/>
        <w:right w:val="none" w:sz="0" w:space="0" w:color="auto"/>
      </w:divBdr>
    </w:div>
    <w:div w:id="1990134740">
      <w:bodyDiv w:val="1"/>
      <w:marLeft w:val="0"/>
      <w:marRight w:val="0"/>
      <w:marTop w:val="0"/>
      <w:marBottom w:val="0"/>
      <w:divBdr>
        <w:top w:val="none" w:sz="0" w:space="0" w:color="auto"/>
        <w:left w:val="none" w:sz="0" w:space="0" w:color="auto"/>
        <w:bottom w:val="none" w:sz="0" w:space="0" w:color="auto"/>
        <w:right w:val="none" w:sz="0" w:space="0" w:color="auto"/>
      </w:divBdr>
    </w:div>
    <w:div w:id="1990205245">
      <w:bodyDiv w:val="1"/>
      <w:marLeft w:val="0"/>
      <w:marRight w:val="0"/>
      <w:marTop w:val="0"/>
      <w:marBottom w:val="0"/>
      <w:divBdr>
        <w:top w:val="none" w:sz="0" w:space="0" w:color="auto"/>
        <w:left w:val="none" w:sz="0" w:space="0" w:color="auto"/>
        <w:bottom w:val="none" w:sz="0" w:space="0" w:color="auto"/>
        <w:right w:val="none" w:sz="0" w:space="0" w:color="auto"/>
      </w:divBdr>
    </w:div>
    <w:div w:id="1990282888">
      <w:bodyDiv w:val="1"/>
      <w:marLeft w:val="0"/>
      <w:marRight w:val="0"/>
      <w:marTop w:val="0"/>
      <w:marBottom w:val="0"/>
      <w:divBdr>
        <w:top w:val="none" w:sz="0" w:space="0" w:color="auto"/>
        <w:left w:val="none" w:sz="0" w:space="0" w:color="auto"/>
        <w:bottom w:val="none" w:sz="0" w:space="0" w:color="auto"/>
        <w:right w:val="none" w:sz="0" w:space="0" w:color="auto"/>
      </w:divBdr>
    </w:div>
    <w:div w:id="1990287136">
      <w:bodyDiv w:val="1"/>
      <w:marLeft w:val="0"/>
      <w:marRight w:val="0"/>
      <w:marTop w:val="0"/>
      <w:marBottom w:val="0"/>
      <w:divBdr>
        <w:top w:val="none" w:sz="0" w:space="0" w:color="auto"/>
        <w:left w:val="none" w:sz="0" w:space="0" w:color="auto"/>
        <w:bottom w:val="none" w:sz="0" w:space="0" w:color="auto"/>
        <w:right w:val="none" w:sz="0" w:space="0" w:color="auto"/>
      </w:divBdr>
    </w:div>
    <w:div w:id="1990358182">
      <w:bodyDiv w:val="1"/>
      <w:marLeft w:val="0"/>
      <w:marRight w:val="0"/>
      <w:marTop w:val="0"/>
      <w:marBottom w:val="0"/>
      <w:divBdr>
        <w:top w:val="none" w:sz="0" w:space="0" w:color="auto"/>
        <w:left w:val="none" w:sz="0" w:space="0" w:color="auto"/>
        <w:bottom w:val="none" w:sz="0" w:space="0" w:color="auto"/>
        <w:right w:val="none" w:sz="0" w:space="0" w:color="auto"/>
      </w:divBdr>
    </w:div>
    <w:div w:id="1990399800">
      <w:bodyDiv w:val="1"/>
      <w:marLeft w:val="0"/>
      <w:marRight w:val="0"/>
      <w:marTop w:val="0"/>
      <w:marBottom w:val="0"/>
      <w:divBdr>
        <w:top w:val="none" w:sz="0" w:space="0" w:color="auto"/>
        <w:left w:val="none" w:sz="0" w:space="0" w:color="auto"/>
        <w:bottom w:val="none" w:sz="0" w:space="0" w:color="auto"/>
        <w:right w:val="none" w:sz="0" w:space="0" w:color="auto"/>
      </w:divBdr>
    </w:div>
    <w:div w:id="1990480430">
      <w:bodyDiv w:val="1"/>
      <w:marLeft w:val="0"/>
      <w:marRight w:val="0"/>
      <w:marTop w:val="0"/>
      <w:marBottom w:val="0"/>
      <w:divBdr>
        <w:top w:val="none" w:sz="0" w:space="0" w:color="auto"/>
        <w:left w:val="none" w:sz="0" w:space="0" w:color="auto"/>
        <w:bottom w:val="none" w:sz="0" w:space="0" w:color="auto"/>
        <w:right w:val="none" w:sz="0" w:space="0" w:color="auto"/>
      </w:divBdr>
    </w:div>
    <w:div w:id="1990554817">
      <w:bodyDiv w:val="1"/>
      <w:marLeft w:val="0"/>
      <w:marRight w:val="0"/>
      <w:marTop w:val="0"/>
      <w:marBottom w:val="0"/>
      <w:divBdr>
        <w:top w:val="none" w:sz="0" w:space="0" w:color="auto"/>
        <w:left w:val="none" w:sz="0" w:space="0" w:color="auto"/>
        <w:bottom w:val="none" w:sz="0" w:space="0" w:color="auto"/>
        <w:right w:val="none" w:sz="0" w:space="0" w:color="auto"/>
      </w:divBdr>
    </w:div>
    <w:div w:id="1990590837">
      <w:bodyDiv w:val="1"/>
      <w:marLeft w:val="0"/>
      <w:marRight w:val="0"/>
      <w:marTop w:val="0"/>
      <w:marBottom w:val="0"/>
      <w:divBdr>
        <w:top w:val="none" w:sz="0" w:space="0" w:color="auto"/>
        <w:left w:val="none" w:sz="0" w:space="0" w:color="auto"/>
        <w:bottom w:val="none" w:sz="0" w:space="0" w:color="auto"/>
        <w:right w:val="none" w:sz="0" w:space="0" w:color="auto"/>
      </w:divBdr>
    </w:div>
    <w:div w:id="1990984265">
      <w:bodyDiv w:val="1"/>
      <w:marLeft w:val="0"/>
      <w:marRight w:val="0"/>
      <w:marTop w:val="0"/>
      <w:marBottom w:val="0"/>
      <w:divBdr>
        <w:top w:val="none" w:sz="0" w:space="0" w:color="auto"/>
        <w:left w:val="none" w:sz="0" w:space="0" w:color="auto"/>
        <w:bottom w:val="none" w:sz="0" w:space="0" w:color="auto"/>
        <w:right w:val="none" w:sz="0" w:space="0" w:color="auto"/>
      </w:divBdr>
    </w:div>
    <w:div w:id="1990985925">
      <w:bodyDiv w:val="1"/>
      <w:marLeft w:val="0"/>
      <w:marRight w:val="0"/>
      <w:marTop w:val="0"/>
      <w:marBottom w:val="0"/>
      <w:divBdr>
        <w:top w:val="none" w:sz="0" w:space="0" w:color="auto"/>
        <w:left w:val="none" w:sz="0" w:space="0" w:color="auto"/>
        <w:bottom w:val="none" w:sz="0" w:space="0" w:color="auto"/>
        <w:right w:val="none" w:sz="0" w:space="0" w:color="auto"/>
      </w:divBdr>
    </w:div>
    <w:div w:id="1991052188">
      <w:bodyDiv w:val="1"/>
      <w:marLeft w:val="0"/>
      <w:marRight w:val="0"/>
      <w:marTop w:val="0"/>
      <w:marBottom w:val="0"/>
      <w:divBdr>
        <w:top w:val="none" w:sz="0" w:space="0" w:color="auto"/>
        <w:left w:val="none" w:sz="0" w:space="0" w:color="auto"/>
        <w:bottom w:val="none" w:sz="0" w:space="0" w:color="auto"/>
        <w:right w:val="none" w:sz="0" w:space="0" w:color="auto"/>
      </w:divBdr>
    </w:div>
    <w:div w:id="1991206211">
      <w:bodyDiv w:val="1"/>
      <w:marLeft w:val="0"/>
      <w:marRight w:val="0"/>
      <w:marTop w:val="0"/>
      <w:marBottom w:val="0"/>
      <w:divBdr>
        <w:top w:val="none" w:sz="0" w:space="0" w:color="auto"/>
        <w:left w:val="none" w:sz="0" w:space="0" w:color="auto"/>
        <w:bottom w:val="none" w:sz="0" w:space="0" w:color="auto"/>
        <w:right w:val="none" w:sz="0" w:space="0" w:color="auto"/>
      </w:divBdr>
    </w:div>
    <w:div w:id="1991209789">
      <w:bodyDiv w:val="1"/>
      <w:marLeft w:val="0"/>
      <w:marRight w:val="0"/>
      <w:marTop w:val="0"/>
      <w:marBottom w:val="0"/>
      <w:divBdr>
        <w:top w:val="none" w:sz="0" w:space="0" w:color="auto"/>
        <w:left w:val="none" w:sz="0" w:space="0" w:color="auto"/>
        <w:bottom w:val="none" w:sz="0" w:space="0" w:color="auto"/>
        <w:right w:val="none" w:sz="0" w:space="0" w:color="auto"/>
      </w:divBdr>
    </w:div>
    <w:div w:id="1991246527">
      <w:bodyDiv w:val="1"/>
      <w:marLeft w:val="0"/>
      <w:marRight w:val="0"/>
      <w:marTop w:val="0"/>
      <w:marBottom w:val="0"/>
      <w:divBdr>
        <w:top w:val="none" w:sz="0" w:space="0" w:color="auto"/>
        <w:left w:val="none" w:sz="0" w:space="0" w:color="auto"/>
        <w:bottom w:val="none" w:sz="0" w:space="0" w:color="auto"/>
        <w:right w:val="none" w:sz="0" w:space="0" w:color="auto"/>
      </w:divBdr>
    </w:div>
    <w:div w:id="1991278330">
      <w:bodyDiv w:val="1"/>
      <w:marLeft w:val="0"/>
      <w:marRight w:val="0"/>
      <w:marTop w:val="0"/>
      <w:marBottom w:val="0"/>
      <w:divBdr>
        <w:top w:val="none" w:sz="0" w:space="0" w:color="auto"/>
        <w:left w:val="none" w:sz="0" w:space="0" w:color="auto"/>
        <w:bottom w:val="none" w:sz="0" w:space="0" w:color="auto"/>
        <w:right w:val="none" w:sz="0" w:space="0" w:color="auto"/>
      </w:divBdr>
    </w:div>
    <w:div w:id="1991323442">
      <w:bodyDiv w:val="1"/>
      <w:marLeft w:val="0"/>
      <w:marRight w:val="0"/>
      <w:marTop w:val="0"/>
      <w:marBottom w:val="0"/>
      <w:divBdr>
        <w:top w:val="none" w:sz="0" w:space="0" w:color="auto"/>
        <w:left w:val="none" w:sz="0" w:space="0" w:color="auto"/>
        <w:bottom w:val="none" w:sz="0" w:space="0" w:color="auto"/>
        <w:right w:val="none" w:sz="0" w:space="0" w:color="auto"/>
      </w:divBdr>
    </w:div>
    <w:div w:id="1991329961">
      <w:bodyDiv w:val="1"/>
      <w:marLeft w:val="0"/>
      <w:marRight w:val="0"/>
      <w:marTop w:val="0"/>
      <w:marBottom w:val="0"/>
      <w:divBdr>
        <w:top w:val="none" w:sz="0" w:space="0" w:color="auto"/>
        <w:left w:val="none" w:sz="0" w:space="0" w:color="auto"/>
        <w:bottom w:val="none" w:sz="0" w:space="0" w:color="auto"/>
        <w:right w:val="none" w:sz="0" w:space="0" w:color="auto"/>
      </w:divBdr>
    </w:div>
    <w:div w:id="1991399318">
      <w:bodyDiv w:val="1"/>
      <w:marLeft w:val="0"/>
      <w:marRight w:val="0"/>
      <w:marTop w:val="0"/>
      <w:marBottom w:val="0"/>
      <w:divBdr>
        <w:top w:val="none" w:sz="0" w:space="0" w:color="auto"/>
        <w:left w:val="none" w:sz="0" w:space="0" w:color="auto"/>
        <w:bottom w:val="none" w:sz="0" w:space="0" w:color="auto"/>
        <w:right w:val="none" w:sz="0" w:space="0" w:color="auto"/>
      </w:divBdr>
    </w:div>
    <w:div w:id="1991446205">
      <w:bodyDiv w:val="1"/>
      <w:marLeft w:val="0"/>
      <w:marRight w:val="0"/>
      <w:marTop w:val="0"/>
      <w:marBottom w:val="0"/>
      <w:divBdr>
        <w:top w:val="none" w:sz="0" w:space="0" w:color="auto"/>
        <w:left w:val="none" w:sz="0" w:space="0" w:color="auto"/>
        <w:bottom w:val="none" w:sz="0" w:space="0" w:color="auto"/>
        <w:right w:val="none" w:sz="0" w:space="0" w:color="auto"/>
      </w:divBdr>
    </w:div>
    <w:div w:id="1991589662">
      <w:bodyDiv w:val="1"/>
      <w:marLeft w:val="0"/>
      <w:marRight w:val="0"/>
      <w:marTop w:val="0"/>
      <w:marBottom w:val="0"/>
      <w:divBdr>
        <w:top w:val="none" w:sz="0" w:space="0" w:color="auto"/>
        <w:left w:val="none" w:sz="0" w:space="0" w:color="auto"/>
        <w:bottom w:val="none" w:sz="0" w:space="0" w:color="auto"/>
        <w:right w:val="none" w:sz="0" w:space="0" w:color="auto"/>
      </w:divBdr>
    </w:div>
    <w:div w:id="1991589908">
      <w:bodyDiv w:val="1"/>
      <w:marLeft w:val="0"/>
      <w:marRight w:val="0"/>
      <w:marTop w:val="0"/>
      <w:marBottom w:val="0"/>
      <w:divBdr>
        <w:top w:val="none" w:sz="0" w:space="0" w:color="auto"/>
        <w:left w:val="none" w:sz="0" w:space="0" w:color="auto"/>
        <w:bottom w:val="none" w:sz="0" w:space="0" w:color="auto"/>
        <w:right w:val="none" w:sz="0" w:space="0" w:color="auto"/>
      </w:divBdr>
    </w:div>
    <w:div w:id="1991592658">
      <w:bodyDiv w:val="1"/>
      <w:marLeft w:val="0"/>
      <w:marRight w:val="0"/>
      <w:marTop w:val="0"/>
      <w:marBottom w:val="0"/>
      <w:divBdr>
        <w:top w:val="none" w:sz="0" w:space="0" w:color="auto"/>
        <w:left w:val="none" w:sz="0" w:space="0" w:color="auto"/>
        <w:bottom w:val="none" w:sz="0" w:space="0" w:color="auto"/>
        <w:right w:val="none" w:sz="0" w:space="0" w:color="auto"/>
      </w:divBdr>
    </w:div>
    <w:div w:id="1991713506">
      <w:bodyDiv w:val="1"/>
      <w:marLeft w:val="0"/>
      <w:marRight w:val="0"/>
      <w:marTop w:val="0"/>
      <w:marBottom w:val="0"/>
      <w:divBdr>
        <w:top w:val="none" w:sz="0" w:space="0" w:color="auto"/>
        <w:left w:val="none" w:sz="0" w:space="0" w:color="auto"/>
        <w:bottom w:val="none" w:sz="0" w:space="0" w:color="auto"/>
        <w:right w:val="none" w:sz="0" w:space="0" w:color="auto"/>
      </w:divBdr>
    </w:div>
    <w:div w:id="1991862861">
      <w:bodyDiv w:val="1"/>
      <w:marLeft w:val="0"/>
      <w:marRight w:val="0"/>
      <w:marTop w:val="0"/>
      <w:marBottom w:val="0"/>
      <w:divBdr>
        <w:top w:val="none" w:sz="0" w:space="0" w:color="auto"/>
        <w:left w:val="none" w:sz="0" w:space="0" w:color="auto"/>
        <w:bottom w:val="none" w:sz="0" w:space="0" w:color="auto"/>
        <w:right w:val="none" w:sz="0" w:space="0" w:color="auto"/>
      </w:divBdr>
    </w:div>
    <w:div w:id="1991909981">
      <w:bodyDiv w:val="1"/>
      <w:marLeft w:val="0"/>
      <w:marRight w:val="0"/>
      <w:marTop w:val="0"/>
      <w:marBottom w:val="0"/>
      <w:divBdr>
        <w:top w:val="none" w:sz="0" w:space="0" w:color="auto"/>
        <w:left w:val="none" w:sz="0" w:space="0" w:color="auto"/>
        <w:bottom w:val="none" w:sz="0" w:space="0" w:color="auto"/>
        <w:right w:val="none" w:sz="0" w:space="0" w:color="auto"/>
      </w:divBdr>
    </w:div>
    <w:div w:id="1991978191">
      <w:bodyDiv w:val="1"/>
      <w:marLeft w:val="0"/>
      <w:marRight w:val="0"/>
      <w:marTop w:val="0"/>
      <w:marBottom w:val="0"/>
      <w:divBdr>
        <w:top w:val="none" w:sz="0" w:space="0" w:color="auto"/>
        <w:left w:val="none" w:sz="0" w:space="0" w:color="auto"/>
        <w:bottom w:val="none" w:sz="0" w:space="0" w:color="auto"/>
        <w:right w:val="none" w:sz="0" w:space="0" w:color="auto"/>
      </w:divBdr>
    </w:div>
    <w:div w:id="1992364031">
      <w:bodyDiv w:val="1"/>
      <w:marLeft w:val="0"/>
      <w:marRight w:val="0"/>
      <w:marTop w:val="0"/>
      <w:marBottom w:val="0"/>
      <w:divBdr>
        <w:top w:val="none" w:sz="0" w:space="0" w:color="auto"/>
        <w:left w:val="none" w:sz="0" w:space="0" w:color="auto"/>
        <w:bottom w:val="none" w:sz="0" w:space="0" w:color="auto"/>
        <w:right w:val="none" w:sz="0" w:space="0" w:color="auto"/>
      </w:divBdr>
    </w:div>
    <w:div w:id="1992438300">
      <w:bodyDiv w:val="1"/>
      <w:marLeft w:val="0"/>
      <w:marRight w:val="0"/>
      <w:marTop w:val="0"/>
      <w:marBottom w:val="0"/>
      <w:divBdr>
        <w:top w:val="none" w:sz="0" w:space="0" w:color="auto"/>
        <w:left w:val="none" w:sz="0" w:space="0" w:color="auto"/>
        <w:bottom w:val="none" w:sz="0" w:space="0" w:color="auto"/>
        <w:right w:val="none" w:sz="0" w:space="0" w:color="auto"/>
      </w:divBdr>
    </w:div>
    <w:div w:id="1992517085">
      <w:bodyDiv w:val="1"/>
      <w:marLeft w:val="0"/>
      <w:marRight w:val="0"/>
      <w:marTop w:val="0"/>
      <w:marBottom w:val="0"/>
      <w:divBdr>
        <w:top w:val="none" w:sz="0" w:space="0" w:color="auto"/>
        <w:left w:val="none" w:sz="0" w:space="0" w:color="auto"/>
        <w:bottom w:val="none" w:sz="0" w:space="0" w:color="auto"/>
        <w:right w:val="none" w:sz="0" w:space="0" w:color="auto"/>
      </w:divBdr>
    </w:div>
    <w:div w:id="1992709386">
      <w:bodyDiv w:val="1"/>
      <w:marLeft w:val="0"/>
      <w:marRight w:val="0"/>
      <w:marTop w:val="0"/>
      <w:marBottom w:val="0"/>
      <w:divBdr>
        <w:top w:val="none" w:sz="0" w:space="0" w:color="auto"/>
        <w:left w:val="none" w:sz="0" w:space="0" w:color="auto"/>
        <w:bottom w:val="none" w:sz="0" w:space="0" w:color="auto"/>
        <w:right w:val="none" w:sz="0" w:space="0" w:color="auto"/>
      </w:divBdr>
    </w:div>
    <w:div w:id="1992715636">
      <w:bodyDiv w:val="1"/>
      <w:marLeft w:val="0"/>
      <w:marRight w:val="0"/>
      <w:marTop w:val="0"/>
      <w:marBottom w:val="0"/>
      <w:divBdr>
        <w:top w:val="none" w:sz="0" w:space="0" w:color="auto"/>
        <w:left w:val="none" w:sz="0" w:space="0" w:color="auto"/>
        <w:bottom w:val="none" w:sz="0" w:space="0" w:color="auto"/>
        <w:right w:val="none" w:sz="0" w:space="0" w:color="auto"/>
      </w:divBdr>
    </w:div>
    <w:div w:id="1992830696">
      <w:bodyDiv w:val="1"/>
      <w:marLeft w:val="0"/>
      <w:marRight w:val="0"/>
      <w:marTop w:val="0"/>
      <w:marBottom w:val="0"/>
      <w:divBdr>
        <w:top w:val="none" w:sz="0" w:space="0" w:color="auto"/>
        <w:left w:val="none" w:sz="0" w:space="0" w:color="auto"/>
        <w:bottom w:val="none" w:sz="0" w:space="0" w:color="auto"/>
        <w:right w:val="none" w:sz="0" w:space="0" w:color="auto"/>
      </w:divBdr>
    </w:div>
    <w:div w:id="1992905759">
      <w:bodyDiv w:val="1"/>
      <w:marLeft w:val="0"/>
      <w:marRight w:val="0"/>
      <w:marTop w:val="0"/>
      <w:marBottom w:val="0"/>
      <w:divBdr>
        <w:top w:val="none" w:sz="0" w:space="0" w:color="auto"/>
        <w:left w:val="none" w:sz="0" w:space="0" w:color="auto"/>
        <w:bottom w:val="none" w:sz="0" w:space="0" w:color="auto"/>
        <w:right w:val="none" w:sz="0" w:space="0" w:color="auto"/>
      </w:divBdr>
    </w:div>
    <w:div w:id="1992908440">
      <w:bodyDiv w:val="1"/>
      <w:marLeft w:val="0"/>
      <w:marRight w:val="0"/>
      <w:marTop w:val="0"/>
      <w:marBottom w:val="0"/>
      <w:divBdr>
        <w:top w:val="none" w:sz="0" w:space="0" w:color="auto"/>
        <w:left w:val="none" w:sz="0" w:space="0" w:color="auto"/>
        <w:bottom w:val="none" w:sz="0" w:space="0" w:color="auto"/>
        <w:right w:val="none" w:sz="0" w:space="0" w:color="auto"/>
      </w:divBdr>
    </w:div>
    <w:div w:id="1992908689">
      <w:bodyDiv w:val="1"/>
      <w:marLeft w:val="0"/>
      <w:marRight w:val="0"/>
      <w:marTop w:val="0"/>
      <w:marBottom w:val="0"/>
      <w:divBdr>
        <w:top w:val="none" w:sz="0" w:space="0" w:color="auto"/>
        <w:left w:val="none" w:sz="0" w:space="0" w:color="auto"/>
        <w:bottom w:val="none" w:sz="0" w:space="0" w:color="auto"/>
        <w:right w:val="none" w:sz="0" w:space="0" w:color="auto"/>
      </w:divBdr>
    </w:div>
    <w:div w:id="1992980645">
      <w:bodyDiv w:val="1"/>
      <w:marLeft w:val="0"/>
      <w:marRight w:val="0"/>
      <w:marTop w:val="0"/>
      <w:marBottom w:val="0"/>
      <w:divBdr>
        <w:top w:val="none" w:sz="0" w:space="0" w:color="auto"/>
        <w:left w:val="none" w:sz="0" w:space="0" w:color="auto"/>
        <w:bottom w:val="none" w:sz="0" w:space="0" w:color="auto"/>
        <w:right w:val="none" w:sz="0" w:space="0" w:color="auto"/>
      </w:divBdr>
    </w:div>
    <w:div w:id="1993023253">
      <w:bodyDiv w:val="1"/>
      <w:marLeft w:val="0"/>
      <w:marRight w:val="0"/>
      <w:marTop w:val="0"/>
      <w:marBottom w:val="0"/>
      <w:divBdr>
        <w:top w:val="none" w:sz="0" w:space="0" w:color="auto"/>
        <w:left w:val="none" w:sz="0" w:space="0" w:color="auto"/>
        <w:bottom w:val="none" w:sz="0" w:space="0" w:color="auto"/>
        <w:right w:val="none" w:sz="0" w:space="0" w:color="auto"/>
      </w:divBdr>
    </w:div>
    <w:div w:id="1993025098">
      <w:bodyDiv w:val="1"/>
      <w:marLeft w:val="0"/>
      <w:marRight w:val="0"/>
      <w:marTop w:val="0"/>
      <w:marBottom w:val="0"/>
      <w:divBdr>
        <w:top w:val="none" w:sz="0" w:space="0" w:color="auto"/>
        <w:left w:val="none" w:sz="0" w:space="0" w:color="auto"/>
        <w:bottom w:val="none" w:sz="0" w:space="0" w:color="auto"/>
        <w:right w:val="none" w:sz="0" w:space="0" w:color="auto"/>
      </w:divBdr>
    </w:div>
    <w:div w:id="1993171090">
      <w:bodyDiv w:val="1"/>
      <w:marLeft w:val="0"/>
      <w:marRight w:val="0"/>
      <w:marTop w:val="0"/>
      <w:marBottom w:val="0"/>
      <w:divBdr>
        <w:top w:val="none" w:sz="0" w:space="0" w:color="auto"/>
        <w:left w:val="none" w:sz="0" w:space="0" w:color="auto"/>
        <w:bottom w:val="none" w:sz="0" w:space="0" w:color="auto"/>
        <w:right w:val="none" w:sz="0" w:space="0" w:color="auto"/>
      </w:divBdr>
    </w:div>
    <w:div w:id="1993286278">
      <w:bodyDiv w:val="1"/>
      <w:marLeft w:val="0"/>
      <w:marRight w:val="0"/>
      <w:marTop w:val="0"/>
      <w:marBottom w:val="0"/>
      <w:divBdr>
        <w:top w:val="none" w:sz="0" w:space="0" w:color="auto"/>
        <w:left w:val="none" w:sz="0" w:space="0" w:color="auto"/>
        <w:bottom w:val="none" w:sz="0" w:space="0" w:color="auto"/>
        <w:right w:val="none" w:sz="0" w:space="0" w:color="auto"/>
      </w:divBdr>
    </w:div>
    <w:div w:id="1993440911">
      <w:bodyDiv w:val="1"/>
      <w:marLeft w:val="0"/>
      <w:marRight w:val="0"/>
      <w:marTop w:val="0"/>
      <w:marBottom w:val="0"/>
      <w:divBdr>
        <w:top w:val="none" w:sz="0" w:space="0" w:color="auto"/>
        <w:left w:val="none" w:sz="0" w:space="0" w:color="auto"/>
        <w:bottom w:val="none" w:sz="0" w:space="0" w:color="auto"/>
        <w:right w:val="none" w:sz="0" w:space="0" w:color="auto"/>
      </w:divBdr>
    </w:div>
    <w:div w:id="1993488117">
      <w:bodyDiv w:val="1"/>
      <w:marLeft w:val="0"/>
      <w:marRight w:val="0"/>
      <w:marTop w:val="0"/>
      <w:marBottom w:val="0"/>
      <w:divBdr>
        <w:top w:val="none" w:sz="0" w:space="0" w:color="auto"/>
        <w:left w:val="none" w:sz="0" w:space="0" w:color="auto"/>
        <w:bottom w:val="none" w:sz="0" w:space="0" w:color="auto"/>
        <w:right w:val="none" w:sz="0" w:space="0" w:color="auto"/>
      </w:divBdr>
    </w:div>
    <w:div w:id="1993563301">
      <w:bodyDiv w:val="1"/>
      <w:marLeft w:val="0"/>
      <w:marRight w:val="0"/>
      <w:marTop w:val="0"/>
      <w:marBottom w:val="0"/>
      <w:divBdr>
        <w:top w:val="none" w:sz="0" w:space="0" w:color="auto"/>
        <w:left w:val="none" w:sz="0" w:space="0" w:color="auto"/>
        <w:bottom w:val="none" w:sz="0" w:space="0" w:color="auto"/>
        <w:right w:val="none" w:sz="0" w:space="0" w:color="auto"/>
      </w:divBdr>
    </w:div>
    <w:div w:id="1993674078">
      <w:bodyDiv w:val="1"/>
      <w:marLeft w:val="0"/>
      <w:marRight w:val="0"/>
      <w:marTop w:val="0"/>
      <w:marBottom w:val="0"/>
      <w:divBdr>
        <w:top w:val="none" w:sz="0" w:space="0" w:color="auto"/>
        <w:left w:val="none" w:sz="0" w:space="0" w:color="auto"/>
        <w:bottom w:val="none" w:sz="0" w:space="0" w:color="auto"/>
        <w:right w:val="none" w:sz="0" w:space="0" w:color="auto"/>
      </w:divBdr>
    </w:div>
    <w:div w:id="1993680701">
      <w:bodyDiv w:val="1"/>
      <w:marLeft w:val="0"/>
      <w:marRight w:val="0"/>
      <w:marTop w:val="0"/>
      <w:marBottom w:val="0"/>
      <w:divBdr>
        <w:top w:val="none" w:sz="0" w:space="0" w:color="auto"/>
        <w:left w:val="none" w:sz="0" w:space="0" w:color="auto"/>
        <w:bottom w:val="none" w:sz="0" w:space="0" w:color="auto"/>
        <w:right w:val="none" w:sz="0" w:space="0" w:color="auto"/>
      </w:divBdr>
    </w:div>
    <w:div w:id="1993946925">
      <w:bodyDiv w:val="1"/>
      <w:marLeft w:val="0"/>
      <w:marRight w:val="0"/>
      <w:marTop w:val="0"/>
      <w:marBottom w:val="0"/>
      <w:divBdr>
        <w:top w:val="none" w:sz="0" w:space="0" w:color="auto"/>
        <w:left w:val="none" w:sz="0" w:space="0" w:color="auto"/>
        <w:bottom w:val="none" w:sz="0" w:space="0" w:color="auto"/>
        <w:right w:val="none" w:sz="0" w:space="0" w:color="auto"/>
      </w:divBdr>
    </w:div>
    <w:div w:id="1993946989">
      <w:bodyDiv w:val="1"/>
      <w:marLeft w:val="0"/>
      <w:marRight w:val="0"/>
      <w:marTop w:val="0"/>
      <w:marBottom w:val="0"/>
      <w:divBdr>
        <w:top w:val="none" w:sz="0" w:space="0" w:color="auto"/>
        <w:left w:val="none" w:sz="0" w:space="0" w:color="auto"/>
        <w:bottom w:val="none" w:sz="0" w:space="0" w:color="auto"/>
        <w:right w:val="none" w:sz="0" w:space="0" w:color="auto"/>
      </w:divBdr>
    </w:div>
    <w:div w:id="1994020314">
      <w:bodyDiv w:val="1"/>
      <w:marLeft w:val="0"/>
      <w:marRight w:val="0"/>
      <w:marTop w:val="0"/>
      <w:marBottom w:val="0"/>
      <w:divBdr>
        <w:top w:val="none" w:sz="0" w:space="0" w:color="auto"/>
        <w:left w:val="none" w:sz="0" w:space="0" w:color="auto"/>
        <w:bottom w:val="none" w:sz="0" w:space="0" w:color="auto"/>
        <w:right w:val="none" w:sz="0" w:space="0" w:color="auto"/>
      </w:divBdr>
    </w:div>
    <w:div w:id="1994022110">
      <w:bodyDiv w:val="1"/>
      <w:marLeft w:val="0"/>
      <w:marRight w:val="0"/>
      <w:marTop w:val="0"/>
      <w:marBottom w:val="0"/>
      <w:divBdr>
        <w:top w:val="none" w:sz="0" w:space="0" w:color="auto"/>
        <w:left w:val="none" w:sz="0" w:space="0" w:color="auto"/>
        <w:bottom w:val="none" w:sz="0" w:space="0" w:color="auto"/>
        <w:right w:val="none" w:sz="0" w:space="0" w:color="auto"/>
      </w:divBdr>
    </w:div>
    <w:div w:id="1994095751">
      <w:bodyDiv w:val="1"/>
      <w:marLeft w:val="0"/>
      <w:marRight w:val="0"/>
      <w:marTop w:val="0"/>
      <w:marBottom w:val="0"/>
      <w:divBdr>
        <w:top w:val="none" w:sz="0" w:space="0" w:color="auto"/>
        <w:left w:val="none" w:sz="0" w:space="0" w:color="auto"/>
        <w:bottom w:val="none" w:sz="0" w:space="0" w:color="auto"/>
        <w:right w:val="none" w:sz="0" w:space="0" w:color="auto"/>
      </w:divBdr>
    </w:div>
    <w:div w:id="1994139916">
      <w:bodyDiv w:val="1"/>
      <w:marLeft w:val="0"/>
      <w:marRight w:val="0"/>
      <w:marTop w:val="0"/>
      <w:marBottom w:val="0"/>
      <w:divBdr>
        <w:top w:val="none" w:sz="0" w:space="0" w:color="auto"/>
        <w:left w:val="none" w:sz="0" w:space="0" w:color="auto"/>
        <w:bottom w:val="none" w:sz="0" w:space="0" w:color="auto"/>
        <w:right w:val="none" w:sz="0" w:space="0" w:color="auto"/>
      </w:divBdr>
    </w:div>
    <w:div w:id="1994141153">
      <w:bodyDiv w:val="1"/>
      <w:marLeft w:val="0"/>
      <w:marRight w:val="0"/>
      <w:marTop w:val="0"/>
      <w:marBottom w:val="0"/>
      <w:divBdr>
        <w:top w:val="none" w:sz="0" w:space="0" w:color="auto"/>
        <w:left w:val="none" w:sz="0" w:space="0" w:color="auto"/>
        <w:bottom w:val="none" w:sz="0" w:space="0" w:color="auto"/>
        <w:right w:val="none" w:sz="0" w:space="0" w:color="auto"/>
      </w:divBdr>
    </w:div>
    <w:div w:id="1994406914">
      <w:bodyDiv w:val="1"/>
      <w:marLeft w:val="0"/>
      <w:marRight w:val="0"/>
      <w:marTop w:val="0"/>
      <w:marBottom w:val="0"/>
      <w:divBdr>
        <w:top w:val="none" w:sz="0" w:space="0" w:color="auto"/>
        <w:left w:val="none" w:sz="0" w:space="0" w:color="auto"/>
        <w:bottom w:val="none" w:sz="0" w:space="0" w:color="auto"/>
        <w:right w:val="none" w:sz="0" w:space="0" w:color="auto"/>
      </w:divBdr>
    </w:div>
    <w:div w:id="1994411067">
      <w:bodyDiv w:val="1"/>
      <w:marLeft w:val="0"/>
      <w:marRight w:val="0"/>
      <w:marTop w:val="0"/>
      <w:marBottom w:val="0"/>
      <w:divBdr>
        <w:top w:val="none" w:sz="0" w:space="0" w:color="auto"/>
        <w:left w:val="none" w:sz="0" w:space="0" w:color="auto"/>
        <w:bottom w:val="none" w:sz="0" w:space="0" w:color="auto"/>
        <w:right w:val="none" w:sz="0" w:space="0" w:color="auto"/>
      </w:divBdr>
    </w:div>
    <w:div w:id="1994484020">
      <w:bodyDiv w:val="1"/>
      <w:marLeft w:val="0"/>
      <w:marRight w:val="0"/>
      <w:marTop w:val="0"/>
      <w:marBottom w:val="0"/>
      <w:divBdr>
        <w:top w:val="none" w:sz="0" w:space="0" w:color="auto"/>
        <w:left w:val="none" w:sz="0" w:space="0" w:color="auto"/>
        <w:bottom w:val="none" w:sz="0" w:space="0" w:color="auto"/>
        <w:right w:val="none" w:sz="0" w:space="0" w:color="auto"/>
      </w:divBdr>
    </w:div>
    <w:div w:id="1994600341">
      <w:bodyDiv w:val="1"/>
      <w:marLeft w:val="0"/>
      <w:marRight w:val="0"/>
      <w:marTop w:val="0"/>
      <w:marBottom w:val="0"/>
      <w:divBdr>
        <w:top w:val="none" w:sz="0" w:space="0" w:color="auto"/>
        <w:left w:val="none" w:sz="0" w:space="0" w:color="auto"/>
        <w:bottom w:val="none" w:sz="0" w:space="0" w:color="auto"/>
        <w:right w:val="none" w:sz="0" w:space="0" w:color="auto"/>
      </w:divBdr>
    </w:div>
    <w:div w:id="1994674494">
      <w:bodyDiv w:val="1"/>
      <w:marLeft w:val="0"/>
      <w:marRight w:val="0"/>
      <w:marTop w:val="0"/>
      <w:marBottom w:val="0"/>
      <w:divBdr>
        <w:top w:val="none" w:sz="0" w:space="0" w:color="auto"/>
        <w:left w:val="none" w:sz="0" w:space="0" w:color="auto"/>
        <w:bottom w:val="none" w:sz="0" w:space="0" w:color="auto"/>
        <w:right w:val="none" w:sz="0" w:space="0" w:color="auto"/>
      </w:divBdr>
    </w:div>
    <w:div w:id="1994677562">
      <w:bodyDiv w:val="1"/>
      <w:marLeft w:val="0"/>
      <w:marRight w:val="0"/>
      <w:marTop w:val="0"/>
      <w:marBottom w:val="0"/>
      <w:divBdr>
        <w:top w:val="none" w:sz="0" w:space="0" w:color="auto"/>
        <w:left w:val="none" w:sz="0" w:space="0" w:color="auto"/>
        <w:bottom w:val="none" w:sz="0" w:space="0" w:color="auto"/>
        <w:right w:val="none" w:sz="0" w:space="0" w:color="auto"/>
      </w:divBdr>
    </w:div>
    <w:div w:id="1994791315">
      <w:bodyDiv w:val="1"/>
      <w:marLeft w:val="0"/>
      <w:marRight w:val="0"/>
      <w:marTop w:val="0"/>
      <w:marBottom w:val="0"/>
      <w:divBdr>
        <w:top w:val="none" w:sz="0" w:space="0" w:color="auto"/>
        <w:left w:val="none" w:sz="0" w:space="0" w:color="auto"/>
        <w:bottom w:val="none" w:sz="0" w:space="0" w:color="auto"/>
        <w:right w:val="none" w:sz="0" w:space="0" w:color="auto"/>
      </w:divBdr>
    </w:div>
    <w:div w:id="1994798900">
      <w:bodyDiv w:val="1"/>
      <w:marLeft w:val="0"/>
      <w:marRight w:val="0"/>
      <w:marTop w:val="0"/>
      <w:marBottom w:val="0"/>
      <w:divBdr>
        <w:top w:val="none" w:sz="0" w:space="0" w:color="auto"/>
        <w:left w:val="none" w:sz="0" w:space="0" w:color="auto"/>
        <w:bottom w:val="none" w:sz="0" w:space="0" w:color="auto"/>
        <w:right w:val="none" w:sz="0" w:space="0" w:color="auto"/>
      </w:divBdr>
    </w:div>
    <w:div w:id="1994865810">
      <w:bodyDiv w:val="1"/>
      <w:marLeft w:val="0"/>
      <w:marRight w:val="0"/>
      <w:marTop w:val="0"/>
      <w:marBottom w:val="0"/>
      <w:divBdr>
        <w:top w:val="none" w:sz="0" w:space="0" w:color="auto"/>
        <w:left w:val="none" w:sz="0" w:space="0" w:color="auto"/>
        <w:bottom w:val="none" w:sz="0" w:space="0" w:color="auto"/>
        <w:right w:val="none" w:sz="0" w:space="0" w:color="auto"/>
      </w:divBdr>
    </w:div>
    <w:div w:id="1994874324">
      <w:bodyDiv w:val="1"/>
      <w:marLeft w:val="0"/>
      <w:marRight w:val="0"/>
      <w:marTop w:val="0"/>
      <w:marBottom w:val="0"/>
      <w:divBdr>
        <w:top w:val="none" w:sz="0" w:space="0" w:color="auto"/>
        <w:left w:val="none" w:sz="0" w:space="0" w:color="auto"/>
        <w:bottom w:val="none" w:sz="0" w:space="0" w:color="auto"/>
        <w:right w:val="none" w:sz="0" w:space="0" w:color="auto"/>
      </w:divBdr>
    </w:div>
    <w:div w:id="1994940911">
      <w:bodyDiv w:val="1"/>
      <w:marLeft w:val="0"/>
      <w:marRight w:val="0"/>
      <w:marTop w:val="0"/>
      <w:marBottom w:val="0"/>
      <w:divBdr>
        <w:top w:val="none" w:sz="0" w:space="0" w:color="auto"/>
        <w:left w:val="none" w:sz="0" w:space="0" w:color="auto"/>
        <w:bottom w:val="none" w:sz="0" w:space="0" w:color="auto"/>
        <w:right w:val="none" w:sz="0" w:space="0" w:color="auto"/>
      </w:divBdr>
    </w:div>
    <w:div w:id="1994943388">
      <w:bodyDiv w:val="1"/>
      <w:marLeft w:val="0"/>
      <w:marRight w:val="0"/>
      <w:marTop w:val="0"/>
      <w:marBottom w:val="0"/>
      <w:divBdr>
        <w:top w:val="none" w:sz="0" w:space="0" w:color="auto"/>
        <w:left w:val="none" w:sz="0" w:space="0" w:color="auto"/>
        <w:bottom w:val="none" w:sz="0" w:space="0" w:color="auto"/>
        <w:right w:val="none" w:sz="0" w:space="0" w:color="auto"/>
      </w:divBdr>
    </w:div>
    <w:div w:id="1994985720">
      <w:bodyDiv w:val="1"/>
      <w:marLeft w:val="0"/>
      <w:marRight w:val="0"/>
      <w:marTop w:val="0"/>
      <w:marBottom w:val="0"/>
      <w:divBdr>
        <w:top w:val="none" w:sz="0" w:space="0" w:color="auto"/>
        <w:left w:val="none" w:sz="0" w:space="0" w:color="auto"/>
        <w:bottom w:val="none" w:sz="0" w:space="0" w:color="auto"/>
        <w:right w:val="none" w:sz="0" w:space="0" w:color="auto"/>
      </w:divBdr>
    </w:div>
    <w:div w:id="1994985880">
      <w:bodyDiv w:val="1"/>
      <w:marLeft w:val="0"/>
      <w:marRight w:val="0"/>
      <w:marTop w:val="0"/>
      <w:marBottom w:val="0"/>
      <w:divBdr>
        <w:top w:val="none" w:sz="0" w:space="0" w:color="auto"/>
        <w:left w:val="none" w:sz="0" w:space="0" w:color="auto"/>
        <w:bottom w:val="none" w:sz="0" w:space="0" w:color="auto"/>
        <w:right w:val="none" w:sz="0" w:space="0" w:color="auto"/>
      </w:divBdr>
    </w:div>
    <w:div w:id="1994987423">
      <w:bodyDiv w:val="1"/>
      <w:marLeft w:val="0"/>
      <w:marRight w:val="0"/>
      <w:marTop w:val="0"/>
      <w:marBottom w:val="0"/>
      <w:divBdr>
        <w:top w:val="none" w:sz="0" w:space="0" w:color="auto"/>
        <w:left w:val="none" w:sz="0" w:space="0" w:color="auto"/>
        <w:bottom w:val="none" w:sz="0" w:space="0" w:color="auto"/>
        <w:right w:val="none" w:sz="0" w:space="0" w:color="auto"/>
      </w:divBdr>
    </w:div>
    <w:div w:id="1995180109">
      <w:bodyDiv w:val="1"/>
      <w:marLeft w:val="0"/>
      <w:marRight w:val="0"/>
      <w:marTop w:val="0"/>
      <w:marBottom w:val="0"/>
      <w:divBdr>
        <w:top w:val="none" w:sz="0" w:space="0" w:color="auto"/>
        <w:left w:val="none" w:sz="0" w:space="0" w:color="auto"/>
        <w:bottom w:val="none" w:sz="0" w:space="0" w:color="auto"/>
        <w:right w:val="none" w:sz="0" w:space="0" w:color="auto"/>
      </w:divBdr>
    </w:div>
    <w:div w:id="1995180183">
      <w:bodyDiv w:val="1"/>
      <w:marLeft w:val="0"/>
      <w:marRight w:val="0"/>
      <w:marTop w:val="0"/>
      <w:marBottom w:val="0"/>
      <w:divBdr>
        <w:top w:val="none" w:sz="0" w:space="0" w:color="auto"/>
        <w:left w:val="none" w:sz="0" w:space="0" w:color="auto"/>
        <w:bottom w:val="none" w:sz="0" w:space="0" w:color="auto"/>
        <w:right w:val="none" w:sz="0" w:space="0" w:color="auto"/>
      </w:divBdr>
    </w:div>
    <w:div w:id="1995327910">
      <w:bodyDiv w:val="1"/>
      <w:marLeft w:val="0"/>
      <w:marRight w:val="0"/>
      <w:marTop w:val="0"/>
      <w:marBottom w:val="0"/>
      <w:divBdr>
        <w:top w:val="none" w:sz="0" w:space="0" w:color="auto"/>
        <w:left w:val="none" w:sz="0" w:space="0" w:color="auto"/>
        <w:bottom w:val="none" w:sz="0" w:space="0" w:color="auto"/>
        <w:right w:val="none" w:sz="0" w:space="0" w:color="auto"/>
      </w:divBdr>
    </w:div>
    <w:div w:id="1995379350">
      <w:bodyDiv w:val="1"/>
      <w:marLeft w:val="0"/>
      <w:marRight w:val="0"/>
      <w:marTop w:val="0"/>
      <w:marBottom w:val="0"/>
      <w:divBdr>
        <w:top w:val="none" w:sz="0" w:space="0" w:color="auto"/>
        <w:left w:val="none" w:sz="0" w:space="0" w:color="auto"/>
        <w:bottom w:val="none" w:sz="0" w:space="0" w:color="auto"/>
        <w:right w:val="none" w:sz="0" w:space="0" w:color="auto"/>
      </w:divBdr>
    </w:div>
    <w:div w:id="1995403355">
      <w:bodyDiv w:val="1"/>
      <w:marLeft w:val="0"/>
      <w:marRight w:val="0"/>
      <w:marTop w:val="0"/>
      <w:marBottom w:val="0"/>
      <w:divBdr>
        <w:top w:val="none" w:sz="0" w:space="0" w:color="auto"/>
        <w:left w:val="none" w:sz="0" w:space="0" w:color="auto"/>
        <w:bottom w:val="none" w:sz="0" w:space="0" w:color="auto"/>
        <w:right w:val="none" w:sz="0" w:space="0" w:color="auto"/>
      </w:divBdr>
    </w:div>
    <w:div w:id="1995403622">
      <w:bodyDiv w:val="1"/>
      <w:marLeft w:val="0"/>
      <w:marRight w:val="0"/>
      <w:marTop w:val="0"/>
      <w:marBottom w:val="0"/>
      <w:divBdr>
        <w:top w:val="none" w:sz="0" w:space="0" w:color="auto"/>
        <w:left w:val="none" w:sz="0" w:space="0" w:color="auto"/>
        <w:bottom w:val="none" w:sz="0" w:space="0" w:color="auto"/>
        <w:right w:val="none" w:sz="0" w:space="0" w:color="auto"/>
      </w:divBdr>
    </w:div>
    <w:div w:id="1995447799">
      <w:bodyDiv w:val="1"/>
      <w:marLeft w:val="0"/>
      <w:marRight w:val="0"/>
      <w:marTop w:val="0"/>
      <w:marBottom w:val="0"/>
      <w:divBdr>
        <w:top w:val="none" w:sz="0" w:space="0" w:color="auto"/>
        <w:left w:val="none" w:sz="0" w:space="0" w:color="auto"/>
        <w:bottom w:val="none" w:sz="0" w:space="0" w:color="auto"/>
        <w:right w:val="none" w:sz="0" w:space="0" w:color="auto"/>
      </w:divBdr>
    </w:div>
    <w:div w:id="1995448509">
      <w:bodyDiv w:val="1"/>
      <w:marLeft w:val="0"/>
      <w:marRight w:val="0"/>
      <w:marTop w:val="0"/>
      <w:marBottom w:val="0"/>
      <w:divBdr>
        <w:top w:val="none" w:sz="0" w:space="0" w:color="auto"/>
        <w:left w:val="none" w:sz="0" w:space="0" w:color="auto"/>
        <w:bottom w:val="none" w:sz="0" w:space="0" w:color="auto"/>
        <w:right w:val="none" w:sz="0" w:space="0" w:color="auto"/>
      </w:divBdr>
    </w:div>
    <w:div w:id="1995454665">
      <w:bodyDiv w:val="1"/>
      <w:marLeft w:val="0"/>
      <w:marRight w:val="0"/>
      <w:marTop w:val="0"/>
      <w:marBottom w:val="0"/>
      <w:divBdr>
        <w:top w:val="none" w:sz="0" w:space="0" w:color="auto"/>
        <w:left w:val="none" w:sz="0" w:space="0" w:color="auto"/>
        <w:bottom w:val="none" w:sz="0" w:space="0" w:color="auto"/>
        <w:right w:val="none" w:sz="0" w:space="0" w:color="auto"/>
      </w:divBdr>
    </w:div>
    <w:div w:id="1995522810">
      <w:bodyDiv w:val="1"/>
      <w:marLeft w:val="0"/>
      <w:marRight w:val="0"/>
      <w:marTop w:val="0"/>
      <w:marBottom w:val="0"/>
      <w:divBdr>
        <w:top w:val="none" w:sz="0" w:space="0" w:color="auto"/>
        <w:left w:val="none" w:sz="0" w:space="0" w:color="auto"/>
        <w:bottom w:val="none" w:sz="0" w:space="0" w:color="auto"/>
        <w:right w:val="none" w:sz="0" w:space="0" w:color="auto"/>
      </w:divBdr>
    </w:div>
    <w:div w:id="1995598525">
      <w:bodyDiv w:val="1"/>
      <w:marLeft w:val="0"/>
      <w:marRight w:val="0"/>
      <w:marTop w:val="0"/>
      <w:marBottom w:val="0"/>
      <w:divBdr>
        <w:top w:val="none" w:sz="0" w:space="0" w:color="auto"/>
        <w:left w:val="none" w:sz="0" w:space="0" w:color="auto"/>
        <w:bottom w:val="none" w:sz="0" w:space="0" w:color="auto"/>
        <w:right w:val="none" w:sz="0" w:space="0" w:color="auto"/>
      </w:divBdr>
    </w:div>
    <w:div w:id="1995645945">
      <w:bodyDiv w:val="1"/>
      <w:marLeft w:val="0"/>
      <w:marRight w:val="0"/>
      <w:marTop w:val="0"/>
      <w:marBottom w:val="0"/>
      <w:divBdr>
        <w:top w:val="none" w:sz="0" w:space="0" w:color="auto"/>
        <w:left w:val="none" w:sz="0" w:space="0" w:color="auto"/>
        <w:bottom w:val="none" w:sz="0" w:space="0" w:color="auto"/>
        <w:right w:val="none" w:sz="0" w:space="0" w:color="auto"/>
      </w:divBdr>
    </w:div>
    <w:div w:id="1995716340">
      <w:bodyDiv w:val="1"/>
      <w:marLeft w:val="0"/>
      <w:marRight w:val="0"/>
      <w:marTop w:val="0"/>
      <w:marBottom w:val="0"/>
      <w:divBdr>
        <w:top w:val="none" w:sz="0" w:space="0" w:color="auto"/>
        <w:left w:val="none" w:sz="0" w:space="0" w:color="auto"/>
        <w:bottom w:val="none" w:sz="0" w:space="0" w:color="auto"/>
        <w:right w:val="none" w:sz="0" w:space="0" w:color="auto"/>
      </w:divBdr>
    </w:div>
    <w:div w:id="1995793862">
      <w:bodyDiv w:val="1"/>
      <w:marLeft w:val="0"/>
      <w:marRight w:val="0"/>
      <w:marTop w:val="0"/>
      <w:marBottom w:val="0"/>
      <w:divBdr>
        <w:top w:val="none" w:sz="0" w:space="0" w:color="auto"/>
        <w:left w:val="none" w:sz="0" w:space="0" w:color="auto"/>
        <w:bottom w:val="none" w:sz="0" w:space="0" w:color="auto"/>
        <w:right w:val="none" w:sz="0" w:space="0" w:color="auto"/>
      </w:divBdr>
    </w:div>
    <w:div w:id="1995839182">
      <w:bodyDiv w:val="1"/>
      <w:marLeft w:val="0"/>
      <w:marRight w:val="0"/>
      <w:marTop w:val="0"/>
      <w:marBottom w:val="0"/>
      <w:divBdr>
        <w:top w:val="none" w:sz="0" w:space="0" w:color="auto"/>
        <w:left w:val="none" w:sz="0" w:space="0" w:color="auto"/>
        <w:bottom w:val="none" w:sz="0" w:space="0" w:color="auto"/>
        <w:right w:val="none" w:sz="0" w:space="0" w:color="auto"/>
      </w:divBdr>
    </w:div>
    <w:div w:id="1995983583">
      <w:bodyDiv w:val="1"/>
      <w:marLeft w:val="0"/>
      <w:marRight w:val="0"/>
      <w:marTop w:val="0"/>
      <w:marBottom w:val="0"/>
      <w:divBdr>
        <w:top w:val="none" w:sz="0" w:space="0" w:color="auto"/>
        <w:left w:val="none" w:sz="0" w:space="0" w:color="auto"/>
        <w:bottom w:val="none" w:sz="0" w:space="0" w:color="auto"/>
        <w:right w:val="none" w:sz="0" w:space="0" w:color="auto"/>
      </w:divBdr>
    </w:div>
    <w:div w:id="1996033717">
      <w:bodyDiv w:val="1"/>
      <w:marLeft w:val="0"/>
      <w:marRight w:val="0"/>
      <w:marTop w:val="0"/>
      <w:marBottom w:val="0"/>
      <w:divBdr>
        <w:top w:val="none" w:sz="0" w:space="0" w:color="auto"/>
        <w:left w:val="none" w:sz="0" w:space="0" w:color="auto"/>
        <w:bottom w:val="none" w:sz="0" w:space="0" w:color="auto"/>
        <w:right w:val="none" w:sz="0" w:space="0" w:color="auto"/>
      </w:divBdr>
    </w:div>
    <w:div w:id="1996059261">
      <w:bodyDiv w:val="1"/>
      <w:marLeft w:val="0"/>
      <w:marRight w:val="0"/>
      <w:marTop w:val="0"/>
      <w:marBottom w:val="0"/>
      <w:divBdr>
        <w:top w:val="none" w:sz="0" w:space="0" w:color="auto"/>
        <w:left w:val="none" w:sz="0" w:space="0" w:color="auto"/>
        <w:bottom w:val="none" w:sz="0" w:space="0" w:color="auto"/>
        <w:right w:val="none" w:sz="0" w:space="0" w:color="auto"/>
      </w:divBdr>
    </w:div>
    <w:div w:id="1996107645">
      <w:bodyDiv w:val="1"/>
      <w:marLeft w:val="0"/>
      <w:marRight w:val="0"/>
      <w:marTop w:val="0"/>
      <w:marBottom w:val="0"/>
      <w:divBdr>
        <w:top w:val="none" w:sz="0" w:space="0" w:color="auto"/>
        <w:left w:val="none" w:sz="0" w:space="0" w:color="auto"/>
        <w:bottom w:val="none" w:sz="0" w:space="0" w:color="auto"/>
        <w:right w:val="none" w:sz="0" w:space="0" w:color="auto"/>
      </w:divBdr>
    </w:div>
    <w:div w:id="1996446151">
      <w:bodyDiv w:val="1"/>
      <w:marLeft w:val="0"/>
      <w:marRight w:val="0"/>
      <w:marTop w:val="0"/>
      <w:marBottom w:val="0"/>
      <w:divBdr>
        <w:top w:val="none" w:sz="0" w:space="0" w:color="auto"/>
        <w:left w:val="none" w:sz="0" w:space="0" w:color="auto"/>
        <w:bottom w:val="none" w:sz="0" w:space="0" w:color="auto"/>
        <w:right w:val="none" w:sz="0" w:space="0" w:color="auto"/>
      </w:divBdr>
    </w:div>
    <w:div w:id="1996446200">
      <w:bodyDiv w:val="1"/>
      <w:marLeft w:val="0"/>
      <w:marRight w:val="0"/>
      <w:marTop w:val="0"/>
      <w:marBottom w:val="0"/>
      <w:divBdr>
        <w:top w:val="none" w:sz="0" w:space="0" w:color="auto"/>
        <w:left w:val="none" w:sz="0" w:space="0" w:color="auto"/>
        <w:bottom w:val="none" w:sz="0" w:space="0" w:color="auto"/>
        <w:right w:val="none" w:sz="0" w:space="0" w:color="auto"/>
      </w:divBdr>
    </w:div>
    <w:div w:id="1996564180">
      <w:bodyDiv w:val="1"/>
      <w:marLeft w:val="0"/>
      <w:marRight w:val="0"/>
      <w:marTop w:val="0"/>
      <w:marBottom w:val="0"/>
      <w:divBdr>
        <w:top w:val="none" w:sz="0" w:space="0" w:color="auto"/>
        <w:left w:val="none" w:sz="0" w:space="0" w:color="auto"/>
        <w:bottom w:val="none" w:sz="0" w:space="0" w:color="auto"/>
        <w:right w:val="none" w:sz="0" w:space="0" w:color="auto"/>
      </w:divBdr>
    </w:div>
    <w:div w:id="1996570833">
      <w:bodyDiv w:val="1"/>
      <w:marLeft w:val="0"/>
      <w:marRight w:val="0"/>
      <w:marTop w:val="0"/>
      <w:marBottom w:val="0"/>
      <w:divBdr>
        <w:top w:val="none" w:sz="0" w:space="0" w:color="auto"/>
        <w:left w:val="none" w:sz="0" w:space="0" w:color="auto"/>
        <w:bottom w:val="none" w:sz="0" w:space="0" w:color="auto"/>
        <w:right w:val="none" w:sz="0" w:space="0" w:color="auto"/>
      </w:divBdr>
    </w:div>
    <w:div w:id="1996572131">
      <w:bodyDiv w:val="1"/>
      <w:marLeft w:val="0"/>
      <w:marRight w:val="0"/>
      <w:marTop w:val="0"/>
      <w:marBottom w:val="0"/>
      <w:divBdr>
        <w:top w:val="none" w:sz="0" w:space="0" w:color="auto"/>
        <w:left w:val="none" w:sz="0" w:space="0" w:color="auto"/>
        <w:bottom w:val="none" w:sz="0" w:space="0" w:color="auto"/>
        <w:right w:val="none" w:sz="0" w:space="0" w:color="auto"/>
      </w:divBdr>
    </w:div>
    <w:div w:id="1996645569">
      <w:bodyDiv w:val="1"/>
      <w:marLeft w:val="0"/>
      <w:marRight w:val="0"/>
      <w:marTop w:val="0"/>
      <w:marBottom w:val="0"/>
      <w:divBdr>
        <w:top w:val="none" w:sz="0" w:space="0" w:color="auto"/>
        <w:left w:val="none" w:sz="0" w:space="0" w:color="auto"/>
        <w:bottom w:val="none" w:sz="0" w:space="0" w:color="auto"/>
        <w:right w:val="none" w:sz="0" w:space="0" w:color="auto"/>
      </w:divBdr>
    </w:div>
    <w:div w:id="1996764043">
      <w:bodyDiv w:val="1"/>
      <w:marLeft w:val="0"/>
      <w:marRight w:val="0"/>
      <w:marTop w:val="0"/>
      <w:marBottom w:val="0"/>
      <w:divBdr>
        <w:top w:val="none" w:sz="0" w:space="0" w:color="auto"/>
        <w:left w:val="none" w:sz="0" w:space="0" w:color="auto"/>
        <w:bottom w:val="none" w:sz="0" w:space="0" w:color="auto"/>
        <w:right w:val="none" w:sz="0" w:space="0" w:color="auto"/>
      </w:divBdr>
    </w:div>
    <w:div w:id="1996831601">
      <w:bodyDiv w:val="1"/>
      <w:marLeft w:val="0"/>
      <w:marRight w:val="0"/>
      <w:marTop w:val="0"/>
      <w:marBottom w:val="0"/>
      <w:divBdr>
        <w:top w:val="none" w:sz="0" w:space="0" w:color="auto"/>
        <w:left w:val="none" w:sz="0" w:space="0" w:color="auto"/>
        <w:bottom w:val="none" w:sz="0" w:space="0" w:color="auto"/>
        <w:right w:val="none" w:sz="0" w:space="0" w:color="auto"/>
      </w:divBdr>
    </w:div>
    <w:div w:id="1996882966">
      <w:bodyDiv w:val="1"/>
      <w:marLeft w:val="0"/>
      <w:marRight w:val="0"/>
      <w:marTop w:val="0"/>
      <w:marBottom w:val="0"/>
      <w:divBdr>
        <w:top w:val="none" w:sz="0" w:space="0" w:color="auto"/>
        <w:left w:val="none" w:sz="0" w:space="0" w:color="auto"/>
        <w:bottom w:val="none" w:sz="0" w:space="0" w:color="auto"/>
        <w:right w:val="none" w:sz="0" w:space="0" w:color="auto"/>
      </w:divBdr>
    </w:div>
    <w:div w:id="1996914613">
      <w:bodyDiv w:val="1"/>
      <w:marLeft w:val="0"/>
      <w:marRight w:val="0"/>
      <w:marTop w:val="0"/>
      <w:marBottom w:val="0"/>
      <w:divBdr>
        <w:top w:val="none" w:sz="0" w:space="0" w:color="auto"/>
        <w:left w:val="none" w:sz="0" w:space="0" w:color="auto"/>
        <w:bottom w:val="none" w:sz="0" w:space="0" w:color="auto"/>
        <w:right w:val="none" w:sz="0" w:space="0" w:color="auto"/>
      </w:divBdr>
    </w:div>
    <w:div w:id="1996950665">
      <w:bodyDiv w:val="1"/>
      <w:marLeft w:val="0"/>
      <w:marRight w:val="0"/>
      <w:marTop w:val="0"/>
      <w:marBottom w:val="0"/>
      <w:divBdr>
        <w:top w:val="none" w:sz="0" w:space="0" w:color="auto"/>
        <w:left w:val="none" w:sz="0" w:space="0" w:color="auto"/>
        <w:bottom w:val="none" w:sz="0" w:space="0" w:color="auto"/>
        <w:right w:val="none" w:sz="0" w:space="0" w:color="auto"/>
      </w:divBdr>
    </w:div>
    <w:div w:id="1997033679">
      <w:bodyDiv w:val="1"/>
      <w:marLeft w:val="0"/>
      <w:marRight w:val="0"/>
      <w:marTop w:val="0"/>
      <w:marBottom w:val="0"/>
      <w:divBdr>
        <w:top w:val="none" w:sz="0" w:space="0" w:color="auto"/>
        <w:left w:val="none" w:sz="0" w:space="0" w:color="auto"/>
        <w:bottom w:val="none" w:sz="0" w:space="0" w:color="auto"/>
        <w:right w:val="none" w:sz="0" w:space="0" w:color="auto"/>
      </w:divBdr>
    </w:div>
    <w:div w:id="1997176626">
      <w:bodyDiv w:val="1"/>
      <w:marLeft w:val="0"/>
      <w:marRight w:val="0"/>
      <w:marTop w:val="0"/>
      <w:marBottom w:val="0"/>
      <w:divBdr>
        <w:top w:val="none" w:sz="0" w:space="0" w:color="auto"/>
        <w:left w:val="none" w:sz="0" w:space="0" w:color="auto"/>
        <w:bottom w:val="none" w:sz="0" w:space="0" w:color="auto"/>
        <w:right w:val="none" w:sz="0" w:space="0" w:color="auto"/>
      </w:divBdr>
    </w:div>
    <w:div w:id="1997370837">
      <w:bodyDiv w:val="1"/>
      <w:marLeft w:val="0"/>
      <w:marRight w:val="0"/>
      <w:marTop w:val="0"/>
      <w:marBottom w:val="0"/>
      <w:divBdr>
        <w:top w:val="none" w:sz="0" w:space="0" w:color="auto"/>
        <w:left w:val="none" w:sz="0" w:space="0" w:color="auto"/>
        <w:bottom w:val="none" w:sz="0" w:space="0" w:color="auto"/>
        <w:right w:val="none" w:sz="0" w:space="0" w:color="auto"/>
      </w:divBdr>
    </w:div>
    <w:div w:id="1997563120">
      <w:bodyDiv w:val="1"/>
      <w:marLeft w:val="0"/>
      <w:marRight w:val="0"/>
      <w:marTop w:val="0"/>
      <w:marBottom w:val="0"/>
      <w:divBdr>
        <w:top w:val="none" w:sz="0" w:space="0" w:color="auto"/>
        <w:left w:val="none" w:sz="0" w:space="0" w:color="auto"/>
        <w:bottom w:val="none" w:sz="0" w:space="0" w:color="auto"/>
        <w:right w:val="none" w:sz="0" w:space="0" w:color="auto"/>
      </w:divBdr>
    </w:div>
    <w:div w:id="1997607485">
      <w:bodyDiv w:val="1"/>
      <w:marLeft w:val="0"/>
      <w:marRight w:val="0"/>
      <w:marTop w:val="0"/>
      <w:marBottom w:val="0"/>
      <w:divBdr>
        <w:top w:val="none" w:sz="0" w:space="0" w:color="auto"/>
        <w:left w:val="none" w:sz="0" w:space="0" w:color="auto"/>
        <w:bottom w:val="none" w:sz="0" w:space="0" w:color="auto"/>
        <w:right w:val="none" w:sz="0" w:space="0" w:color="auto"/>
      </w:divBdr>
    </w:div>
    <w:div w:id="1997684216">
      <w:bodyDiv w:val="1"/>
      <w:marLeft w:val="0"/>
      <w:marRight w:val="0"/>
      <w:marTop w:val="0"/>
      <w:marBottom w:val="0"/>
      <w:divBdr>
        <w:top w:val="none" w:sz="0" w:space="0" w:color="auto"/>
        <w:left w:val="none" w:sz="0" w:space="0" w:color="auto"/>
        <w:bottom w:val="none" w:sz="0" w:space="0" w:color="auto"/>
        <w:right w:val="none" w:sz="0" w:space="0" w:color="auto"/>
      </w:divBdr>
    </w:div>
    <w:div w:id="1997688418">
      <w:bodyDiv w:val="1"/>
      <w:marLeft w:val="0"/>
      <w:marRight w:val="0"/>
      <w:marTop w:val="0"/>
      <w:marBottom w:val="0"/>
      <w:divBdr>
        <w:top w:val="none" w:sz="0" w:space="0" w:color="auto"/>
        <w:left w:val="none" w:sz="0" w:space="0" w:color="auto"/>
        <w:bottom w:val="none" w:sz="0" w:space="0" w:color="auto"/>
        <w:right w:val="none" w:sz="0" w:space="0" w:color="auto"/>
      </w:divBdr>
    </w:div>
    <w:div w:id="1997805436">
      <w:bodyDiv w:val="1"/>
      <w:marLeft w:val="0"/>
      <w:marRight w:val="0"/>
      <w:marTop w:val="0"/>
      <w:marBottom w:val="0"/>
      <w:divBdr>
        <w:top w:val="none" w:sz="0" w:space="0" w:color="auto"/>
        <w:left w:val="none" w:sz="0" w:space="0" w:color="auto"/>
        <w:bottom w:val="none" w:sz="0" w:space="0" w:color="auto"/>
        <w:right w:val="none" w:sz="0" w:space="0" w:color="auto"/>
      </w:divBdr>
    </w:div>
    <w:div w:id="1998066888">
      <w:bodyDiv w:val="1"/>
      <w:marLeft w:val="0"/>
      <w:marRight w:val="0"/>
      <w:marTop w:val="0"/>
      <w:marBottom w:val="0"/>
      <w:divBdr>
        <w:top w:val="none" w:sz="0" w:space="0" w:color="auto"/>
        <w:left w:val="none" w:sz="0" w:space="0" w:color="auto"/>
        <w:bottom w:val="none" w:sz="0" w:space="0" w:color="auto"/>
        <w:right w:val="none" w:sz="0" w:space="0" w:color="auto"/>
      </w:divBdr>
    </w:div>
    <w:div w:id="1998067689">
      <w:bodyDiv w:val="1"/>
      <w:marLeft w:val="0"/>
      <w:marRight w:val="0"/>
      <w:marTop w:val="0"/>
      <w:marBottom w:val="0"/>
      <w:divBdr>
        <w:top w:val="none" w:sz="0" w:space="0" w:color="auto"/>
        <w:left w:val="none" w:sz="0" w:space="0" w:color="auto"/>
        <w:bottom w:val="none" w:sz="0" w:space="0" w:color="auto"/>
        <w:right w:val="none" w:sz="0" w:space="0" w:color="auto"/>
      </w:divBdr>
    </w:div>
    <w:div w:id="1998074657">
      <w:bodyDiv w:val="1"/>
      <w:marLeft w:val="0"/>
      <w:marRight w:val="0"/>
      <w:marTop w:val="0"/>
      <w:marBottom w:val="0"/>
      <w:divBdr>
        <w:top w:val="none" w:sz="0" w:space="0" w:color="auto"/>
        <w:left w:val="none" w:sz="0" w:space="0" w:color="auto"/>
        <w:bottom w:val="none" w:sz="0" w:space="0" w:color="auto"/>
        <w:right w:val="none" w:sz="0" w:space="0" w:color="auto"/>
      </w:divBdr>
    </w:div>
    <w:div w:id="1998142588">
      <w:bodyDiv w:val="1"/>
      <w:marLeft w:val="0"/>
      <w:marRight w:val="0"/>
      <w:marTop w:val="0"/>
      <w:marBottom w:val="0"/>
      <w:divBdr>
        <w:top w:val="none" w:sz="0" w:space="0" w:color="auto"/>
        <w:left w:val="none" w:sz="0" w:space="0" w:color="auto"/>
        <w:bottom w:val="none" w:sz="0" w:space="0" w:color="auto"/>
        <w:right w:val="none" w:sz="0" w:space="0" w:color="auto"/>
      </w:divBdr>
    </w:div>
    <w:div w:id="1998193762">
      <w:bodyDiv w:val="1"/>
      <w:marLeft w:val="0"/>
      <w:marRight w:val="0"/>
      <w:marTop w:val="0"/>
      <w:marBottom w:val="0"/>
      <w:divBdr>
        <w:top w:val="none" w:sz="0" w:space="0" w:color="auto"/>
        <w:left w:val="none" w:sz="0" w:space="0" w:color="auto"/>
        <w:bottom w:val="none" w:sz="0" w:space="0" w:color="auto"/>
        <w:right w:val="none" w:sz="0" w:space="0" w:color="auto"/>
      </w:divBdr>
    </w:div>
    <w:div w:id="1998217644">
      <w:bodyDiv w:val="1"/>
      <w:marLeft w:val="0"/>
      <w:marRight w:val="0"/>
      <w:marTop w:val="0"/>
      <w:marBottom w:val="0"/>
      <w:divBdr>
        <w:top w:val="none" w:sz="0" w:space="0" w:color="auto"/>
        <w:left w:val="none" w:sz="0" w:space="0" w:color="auto"/>
        <w:bottom w:val="none" w:sz="0" w:space="0" w:color="auto"/>
        <w:right w:val="none" w:sz="0" w:space="0" w:color="auto"/>
      </w:divBdr>
    </w:div>
    <w:div w:id="1998222003">
      <w:bodyDiv w:val="1"/>
      <w:marLeft w:val="0"/>
      <w:marRight w:val="0"/>
      <w:marTop w:val="0"/>
      <w:marBottom w:val="0"/>
      <w:divBdr>
        <w:top w:val="none" w:sz="0" w:space="0" w:color="auto"/>
        <w:left w:val="none" w:sz="0" w:space="0" w:color="auto"/>
        <w:bottom w:val="none" w:sz="0" w:space="0" w:color="auto"/>
        <w:right w:val="none" w:sz="0" w:space="0" w:color="auto"/>
      </w:divBdr>
    </w:div>
    <w:div w:id="1998223615">
      <w:bodyDiv w:val="1"/>
      <w:marLeft w:val="0"/>
      <w:marRight w:val="0"/>
      <w:marTop w:val="0"/>
      <w:marBottom w:val="0"/>
      <w:divBdr>
        <w:top w:val="none" w:sz="0" w:space="0" w:color="auto"/>
        <w:left w:val="none" w:sz="0" w:space="0" w:color="auto"/>
        <w:bottom w:val="none" w:sz="0" w:space="0" w:color="auto"/>
        <w:right w:val="none" w:sz="0" w:space="0" w:color="auto"/>
      </w:divBdr>
    </w:div>
    <w:div w:id="1998339550">
      <w:bodyDiv w:val="1"/>
      <w:marLeft w:val="0"/>
      <w:marRight w:val="0"/>
      <w:marTop w:val="0"/>
      <w:marBottom w:val="0"/>
      <w:divBdr>
        <w:top w:val="none" w:sz="0" w:space="0" w:color="auto"/>
        <w:left w:val="none" w:sz="0" w:space="0" w:color="auto"/>
        <w:bottom w:val="none" w:sz="0" w:space="0" w:color="auto"/>
        <w:right w:val="none" w:sz="0" w:space="0" w:color="auto"/>
      </w:divBdr>
    </w:div>
    <w:div w:id="1998413459">
      <w:bodyDiv w:val="1"/>
      <w:marLeft w:val="0"/>
      <w:marRight w:val="0"/>
      <w:marTop w:val="0"/>
      <w:marBottom w:val="0"/>
      <w:divBdr>
        <w:top w:val="none" w:sz="0" w:space="0" w:color="auto"/>
        <w:left w:val="none" w:sz="0" w:space="0" w:color="auto"/>
        <w:bottom w:val="none" w:sz="0" w:space="0" w:color="auto"/>
        <w:right w:val="none" w:sz="0" w:space="0" w:color="auto"/>
      </w:divBdr>
    </w:div>
    <w:div w:id="1998414941">
      <w:bodyDiv w:val="1"/>
      <w:marLeft w:val="0"/>
      <w:marRight w:val="0"/>
      <w:marTop w:val="0"/>
      <w:marBottom w:val="0"/>
      <w:divBdr>
        <w:top w:val="none" w:sz="0" w:space="0" w:color="auto"/>
        <w:left w:val="none" w:sz="0" w:space="0" w:color="auto"/>
        <w:bottom w:val="none" w:sz="0" w:space="0" w:color="auto"/>
        <w:right w:val="none" w:sz="0" w:space="0" w:color="auto"/>
      </w:divBdr>
    </w:div>
    <w:div w:id="1998419348">
      <w:bodyDiv w:val="1"/>
      <w:marLeft w:val="0"/>
      <w:marRight w:val="0"/>
      <w:marTop w:val="0"/>
      <w:marBottom w:val="0"/>
      <w:divBdr>
        <w:top w:val="none" w:sz="0" w:space="0" w:color="auto"/>
        <w:left w:val="none" w:sz="0" w:space="0" w:color="auto"/>
        <w:bottom w:val="none" w:sz="0" w:space="0" w:color="auto"/>
        <w:right w:val="none" w:sz="0" w:space="0" w:color="auto"/>
      </w:divBdr>
    </w:div>
    <w:div w:id="1998531068">
      <w:bodyDiv w:val="1"/>
      <w:marLeft w:val="0"/>
      <w:marRight w:val="0"/>
      <w:marTop w:val="0"/>
      <w:marBottom w:val="0"/>
      <w:divBdr>
        <w:top w:val="none" w:sz="0" w:space="0" w:color="auto"/>
        <w:left w:val="none" w:sz="0" w:space="0" w:color="auto"/>
        <w:bottom w:val="none" w:sz="0" w:space="0" w:color="auto"/>
        <w:right w:val="none" w:sz="0" w:space="0" w:color="auto"/>
      </w:divBdr>
    </w:div>
    <w:div w:id="1998606108">
      <w:bodyDiv w:val="1"/>
      <w:marLeft w:val="0"/>
      <w:marRight w:val="0"/>
      <w:marTop w:val="0"/>
      <w:marBottom w:val="0"/>
      <w:divBdr>
        <w:top w:val="none" w:sz="0" w:space="0" w:color="auto"/>
        <w:left w:val="none" w:sz="0" w:space="0" w:color="auto"/>
        <w:bottom w:val="none" w:sz="0" w:space="0" w:color="auto"/>
        <w:right w:val="none" w:sz="0" w:space="0" w:color="auto"/>
      </w:divBdr>
    </w:div>
    <w:div w:id="1998874910">
      <w:bodyDiv w:val="1"/>
      <w:marLeft w:val="0"/>
      <w:marRight w:val="0"/>
      <w:marTop w:val="0"/>
      <w:marBottom w:val="0"/>
      <w:divBdr>
        <w:top w:val="none" w:sz="0" w:space="0" w:color="auto"/>
        <w:left w:val="none" w:sz="0" w:space="0" w:color="auto"/>
        <w:bottom w:val="none" w:sz="0" w:space="0" w:color="auto"/>
        <w:right w:val="none" w:sz="0" w:space="0" w:color="auto"/>
      </w:divBdr>
    </w:div>
    <w:div w:id="1998918333">
      <w:bodyDiv w:val="1"/>
      <w:marLeft w:val="0"/>
      <w:marRight w:val="0"/>
      <w:marTop w:val="0"/>
      <w:marBottom w:val="0"/>
      <w:divBdr>
        <w:top w:val="none" w:sz="0" w:space="0" w:color="auto"/>
        <w:left w:val="none" w:sz="0" w:space="0" w:color="auto"/>
        <w:bottom w:val="none" w:sz="0" w:space="0" w:color="auto"/>
        <w:right w:val="none" w:sz="0" w:space="0" w:color="auto"/>
      </w:divBdr>
    </w:div>
    <w:div w:id="1998921955">
      <w:bodyDiv w:val="1"/>
      <w:marLeft w:val="0"/>
      <w:marRight w:val="0"/>
      <w:marTop w:val="0"/>
      <w:marBottom w:val="0"/>
      <w:divBdr>
        <w:top w:val="none" w:sz="0" w:space="0" w:color="auto"/>
        <w:left w:val="none" w:sz="0" w:space="0" w:color="auto"/>
        <w:bottom w:val="none" w:sz="0" w:space="0" w:color="auto"/>
        <w:right w:val="none" w:sz="0" w:space="0" w:color="auto"/>
      </w:divBdr>
    </w:div>
    <w:div w:id="1998990925">
      <w:bodyDiv w:val="1"/>
      <w:marLeft w:val="0"/>
      <w:marRight w:val="0"/>
      <w:marTop w:val="0"/>
      <w:marBottom w:val="0"/>
      <w:divBdr>
        <w:top w:val="none" w:sz="0" w:space="0" w:color="auto"/>
        <w:left w:val="none" w:sz="0" w:space="0" w:color="auto"/>
        <w:bottom w:val="none" w:sz="0" w:space="0" w:color="auto"/>
        <w:right w:val="none" w:sz="0" w:space="0" w:color="auto"/>
      </w:divBdr>
    </w:div>
    <w:div w:id="1998994321">
      <w:bodyDiv w:val="1"/>
      <w:marLeft w:val="0"/>
      <w:marRight w:val="0"/>
      <w:marTop w:val="0"/>
      <w:marBottom w:val="0"/>
      <w:divBdr>
        <w:top w:val="none" w:sz="0" w:space="0" w:color="auto"/>
        <w:left w:val="none" w:sz="0" w:space="0" w:color="auto"/>
        <w:bottom w:val="none" w:sz="0" w:space="0" w:color="auto"/>
        <w:right w:val="none" w:sz="0" w:space="0" w:color="auto"/>
      </w:divBdr>
    </w:div>
    <w:div w:id="1998995533">
      <w:bodyDiv w:val="1"/>
      <w:marLeft w:val="0"/>
      <w:marRight w:val="0"/>
      <w:marTop w:val="0"/>
      <w:marBottom w:val="0"/>
      <w:divBdr>
        <w:top w:val="none" w:sz="0" w:space="0" w:color="auto"/>
        <w:left w:val="none" w:sz="0" w:space="0" w:color="auto"/>
        <w:bottom w:val="none" w:sz="0" w:space="0" w:color="auto"/>
        <w:right w:val="none" w:sz="0" w:space="0" w:color="auto"/>
      </w:divBdr>
    </w:div>
    <w:div w:id="1998997133">
      <w:bodyDiv w:val="1"/>
      <w:marLeft w:val="0"/>
      <w:marRight w:val="0"/>
      <w:marTop w:val="0"/>
      <w:marBottom w:val="0"/>
      <w:divBdr>
        <w:top w:val="none" w:sz="0" w:space="0" w:color="auto"/>
        <w:left w:val="none" w:sz="0" w:space="0" w:color="auto"/>
        <w:bottom w:val="none" w:sz="0" w:space="0" w:color="auto"/>
        <w:right w:val="none" w:sz="0" w:space="0" w:color="auto"/>
      </w:divBdr>
    </w:div>
    <w:div w:id="1999112675">
      <w:bodyDiv w:val="1"/>
      <w:marLeft w:val="0"/>
      <w:marRight w:val="0"/>
      <w:marTop w:val="0"/>
      <w:marBottom w:val="0"/>
      <w:divBdr>
        <w:top w:val="none" w:sz="0" w:space="0" w:color="auto"/>
        <w:left w:val="none" w:sz="0" w:space="0" w:color="auto"/>
        <w:bottom w:val="none" w:sz="0" w:space="0" w:color="auto"/>
        <w:right w:val="none" w:sz="0" w:space="0" w:color="auto"/>
      </w:divBdr>
    </w:div>
    <w:div w:id="1999307863">
      <w:bodyDiv w:val="1"/>
      <w:marLeft w:val="0"/>
      <w:marRight w:val="0"/>
      <w:marTop w:val="0"/>
      <w:marBottom w:val="0"/>
      <w:divBdr>
        <w:top w:val="none" w:sz="0" w:space="0" w:color="auto"/>
        <w:left w:val="none" w:sz="0" w:space="0" w:color="auto"/>
        <w:bottom w:val="none" w:sz="0" w:space="0" w:color="auto"/>
        <w:right w:val="none" w:sz="0" w:space="0" w:color="auto"/>
      </w:divBdr>
    </w:div>
    <w:div w:id="1999382758">
      <w:bodyDiv w:val="1"/>
      <w:marLeft w:val="0"/>
      <w:marRight w:val="0"/>
      <w:marTop w:val="0"/>
      <w:marBottom w:val="0"/>
      <w:divBdr>
        <w:top w:val="none" w:sz="0" w:space="0" w:color="auto"/>
        <w:left w:val="none" w:sz="0" w:space="0" w:color="auto"/>
        <w:bottom w:val="none" w:sz="0" w:space="0" w:color="auto"/>
        <w:right w:val="none" w:sz="0" w:space="0" w:color="auto"/>
      </w:divBdr>
    </w:div>
    <w:div w:id="1999455745">
      <w:bodyDiv w:val="1"/>
      <w:marLeft w:val="0"/>
      <w:marRight w:val="0"/>
      <w:marTop w:val="0"/>
      <w:marBottom w:val="0"/>
      <w:divBdr>
        <w:top w:val="none" w:sz="0" w:space="0" w:color="auto"/>
        <w:left w:val="none" w:sz="0" w:space="0" w:color="auto"/>
        <w:bottom w:val="none" w:sz="0" w:space="0" w:color="auto"/>
        <w:right w:val="none" w:sz="0" w:space="0" w:color="auto"/>
      </w:divBdr>
    </w:div>
    <w:div w:id="1999578756">
      <w:bodyDiv w:val="1"/>
      <w:marLeft w:val="0"/>
      <w:marRight w:val="0"/>
      <w:marTop w:val="0"/>
      <w:marBottom w:val="0"/>
      <w:divBdr>
        <w:top w:val="none" w:sz="0" w:space="0" w:color="auto"/>
        <w:left w:val="none" w:sz="0" w:space="0" w:color="auto"/>
        <w:bottom w:val="none" w:sz="0" w:space="0" w:color="auto"/>
        <w:right w:val="none" w:sz="0" w:space="0" w:color="auto"/>
      </w:divBdr>
    </w:div>
    <w:div w:id="1999648691">
      <w:bodyDiv w:val="1"/>
      <w:marLeft w:val="0"/>
      <w:marRight w:val="0"/>
      <w:marTop w:val="0"/>
      <w:marBottom w:val="0"/>
      <w:divBdr>
        <w:top w:val="none" w:sz="0" w:space="0" w:color="auto"/>
        <w:left w:val="none" w:sz="0" w:space="0" w:color="auto"/>
        <w:bottom w:val="none" w:sz="0" w:space="0" w:color="auto"/>
        <w:right w:val="none" w:sz="0" w:space="0" w:color="auto"/>
      </w:divBdr>
    </w:div>
    <w:div w:id="2000036085">
      <w:bodyDiv w:val="1"/>
      <w:marLeft w:val="0"/>
      <w:marRight w:val="0"/>
      <w:marTop w:val="0"/>
      <w:marBottom w:val="0"/>
      <w:divBdr>
        <w:top w:val="none" w:sz="0" w:space="0" w:color="auto"/>
        <w:left w:val="none" w:sz="0" w:space="0" w:color="auto"/>
        <w:bottom w:val="none" w:sz="0" w:space="0" w:color="auto"/>
        <w:right w:val="none" w:sz="0" w:space="0" w:color="auto"/>
      </w:divBdr>
    </w:div>
    <w:div w:id="2000190517">
      <w:bodyDiv w:val="1"/>
      <w:marLeft w:val="0"/>
      <w:marRight w:val="0"/>
      <w:marTop w:val="0"/>
      <w:marBottom w:val="0"/>
      <w:divBdr>
        <w:top w:val="none" w:sz="0" w:space="0" w:color="auto"/>
        <w:left w:val="none" w:sz="0" w:space="0" w:color="auto"/>
        <w:bottom w:val="none" w:sz="0" w:space="0" w:color="auto"/>
        <w:right w:val="none" w:sz="0" w:space="0" w:color="auto"/>
      </w:divBdr>
    </w:div>
    <w:div w:id="2000228210">
      <w:bodyDiv w:val="1"/>
      <w:marLeft w:val="0"/>
      <w:marRight w:val="0"/>
      <w:marTop w:val="0"/>
      <w:marBottom w:val="0"/>
      <w:divBdr>
        <w:top w:val="none" w:sz="0" w:space="0" w:color="auto"/>
        <w:left w:val="none" w:sz="0" w:space="0" w:color="auto"/>
        <w:bottom w:val="none" w:sz="0" w:space="0" w:color="auto"/>
        <w:right w:val="none" w:sz="0" w:space="0" w:color="auto"/>
      </w:divBdr>
    </w:div>
    <w:div w:id="2000229419">
      <w:bodyDiv w:val="1"/>
      <w:marLeft w:val="0"/>
      <w:marRight w:val="0"/>
      <w:marTop w:val="0"/>
      <w:marBottom w:val="0"/>
      <w:divBdr>
        <w:top w:val="none" w:sz="0" w:space="0" w:color="auto"/>
        <w:left w:val="none" w:sz="0" w:space="0" w:color="auto"/>
        <w:bottom w:val="none" w:sz="0" w:space="0" w:color="auto"/>
        <w:right w:val="none" w:sz="0" w:space="0" w:color="auto"/>
      </w:divBdr>
    </w:div>
    <w:div w:id="2000382744">
      <w:bodyDiv w:val="1"/>
      <w:marLeft w:val="0"/>
      <w:marRight w:val="0"/>
      <w:marTop w:val="0"/>
      <w:marBottom w:val="0"/>
      <w:divBdr>
        <w:top w:val="none" w:sz="0" w:space="0" w:color="auto"/>
        <w:left w:val="none" w:sz="0" w:space="0" w:color="auto"/>
        <w:bottom w:val="none" w:sz="0" w:space="0" w:color="auto"/>
        <w:right w:val="none" w:sz="0" w:space="0" w:color="auto"/>
      </w:divBdr>
    </w:div>
    <w:div w:id="2000578536">
      <w:bodyDiv w:val="1"/>
      <w:marLeft w:val="0"/>
      <w:marRight w:val="0"/>
      <w:marTop w:val="0"/>
      <w:marBottom w:val="0"/>
      <w:divBdr>
        <w:top w:val="none" w:sz="0" w:space="0" w:color="auto"/>
        <w:left w:val="none" w:sz="0" w:space="0" w:color="auto"/>
        <w:bottom w:val="none" w:sz="0" w:space="0" w:color="auto"/>
        <w:right w:val="none" w:sz="0" w:space="0" w:color="auto"/>
      </w:divBdr>
    </w:div>
    <w:div w:id="2000958056">
      <w:bodyDiv w:val="1"/>
      <w:marLeft w:val="0"/>
      <w:marRight w:val="0"/>
      <w:marTop w:val="0"/>
      <w:marBottom w:val="0"/>
      <w:divBdr>
        <w:top w:val="none" w:sz="0" w:space="0" w:color="auto"/>
        <w:left w:val="none" w:sz="0" w:space="0" w:color="auto"/>
        <w:bottom w:val="none" w:sz="0" w:space="0" w:color="auto"/>
        <w:right w:val="none" w:sz="0" w:space="0" w:color="auto"/>
      </w:divBdr>
    </w:div>
    <w:div w:id="2001038210">
      <w:bodyDiv w:val="1"/>
      <w:marLeft w:val="0"/>
      <w:marRight w:val="0"/>
      <w:marTop w:val="0"/>
      <w:marBottom w:val="0"/>
      <w:divBdr>
        <w:top w:val="none" w:sz="0" w:space="0" w:color="auto"/>
        <w:left w:val="none" w:sz="0" w:space="0" w:color="auto"/>
        <w:bottom w:val="none" w:sz="0" w:space="0" w:color="auto"/>
        <w:right w:val="none" w:sz="0" w:space="0" w:color="auto"/>
      </w:divBdr>
    </w:div>
    <w:div w:id="2001079572">
      <w:bodyDiv w:val="1"/>
      <w:marLeft w:val="0"/>
      <w:marRight w:val="0"/>
      <w:marTop w:val="0"/>
      <w:marBottom w:val="0"/>
      <w:divBdr>
        <w:top w:val="none" w:sz="0" w:space="0" w:color="auto"/>
        <w:left w:val="none" w:sz="0" w:space="0" w:color="auto"/>
        <w:bottom w:val="none" w:sz="0" w:space="0" w:color="auto"/>
        <w:right w:val="none" w:sz="0" w:space="0" w:color="auto"/>
      </w:divBdr>
    </w:div>
    <w:div w:id="2001155973">
      <w:bodyDiv w:val="1"/>
      <w:marLeft w:val="0"/>
      <w:marRight w:val="0"/>
      <w:marTop w:val="0"/>
      <w:marBottom w:val="0"/>
      <w:divBdr>
        <w:top w:val="none" w:sz="0" w:space="0" w:color="auto"/>
        <w:left w:val="none" w:sz="0" w:space="0" w:color="auto"/>
        <w:bottom w:val="none" w:sz="0" w:space="0" w:color="auto"/>
        <w:right w:val="none" w:sz="0" w:space="0" w:color="auto"/>
      </w:divBdr>
    </w:div>
    <w:div w:id="2001231774">
      <w:bodyDiv w:val="1"/>
      <w:marLeft w:val="0"/>
      <w:marRight w:val="0"/>
      <w:marTop w:val="0"/>
      <w:marBottom w:val="0"/>
      <w:divBdr>
        <w:top w:val="none" w:sz="0" w:space="0" w:color="auto"/>
        <w:left w:val="none" w:sz="0" w:space="0" w:color="auto"/>
        <w:bottom w:val="none" w:sz="0" w:space="0" w:color="auto"/>
        <w:right w:val="none" w:sz="0" w:space="0" w:color="auto"/>
      </w:divBdr>
    </w:div>
    <w:div w:id="2001272857">
      <w:bodyDiv w:val="1"/>
      <w:marLeft w:val="0"/>
      <w:marRight w:val="0"/>
      <w:marTop w:val="0"/>
      <w:marBottom w:val="0"/>
      <w:divBdr>
        <w:top w:val="none" w:sz="0" w:space="0" w:color="auto"/>
        <w:left w:val="none" w:sz="0" w:space="0" w:color="auto"/>
        <w:bottom w:val="none" w:sz="0" w:space="0" w:color="auto"/>
        <w:right w:val="none" w:sz="0" w:space="0" w:color="auto"/>
      </w:divBdr>
    </w:div>
    <w:div w:id="2001274778">
      <w:bodyDiv w:val="1"/>
      <w:marLeft w:val="0"/>
      <w:marRight w:val="0"/>
      <w:marTop w:val="0"/>
      <w:marBottom w:val="0"/>
      <w:divBdr>
        <w:top w:val="none" w:sz="0" w:space="0" w:color="auto"/>
        <w:left w:val="none" w:sz="0" w:space="0" w:color="auto"/>
        <w:bottom w:val="none" w:sz="0" w:space="0" w:color="auto"/>
        <w:right w:val="none" w:sz="0" w:space="0" w:color="auto"/>
      </w:divBdr>
    </w:div>
    <w:div w:id="2001347531">
      <w:bodyDiv w:val="1"/>
      <w:marLeft w:val="0"/>
      <w:marRight w:val="0"/>
      <w:marTop w:val="0"/>
      <w:marBottom w:val="0"/>
      <w:divBdr>
        <w:top w:val="none" w:sz="0" w:space="0" w:color="auto"/>
        <w:left w:val="none" w:sz="0" w:space="0" w:color="auto"/>
        <w:bottom w:val="none" w:sz="0" w:space="0" w:color="auto"/>
        <w:right w:val="none" w:sz="0" w:space="0" w:color="auto"/>
      </w:divBdr>
    </w:div>
    <w:div w:id="2001424494">
      <w:bodyDiv w:val="1"/>
      <w:marLeft w:val="0"/>
      <w:marRight w:val="0"/>
      <w:marTop w:val="0"/>
      <w:marBottom w:val="0"/>
      <w:divBdr>
        <w:top w:val="none" w:sz="0" w:space="0" w:color="auto"/>
        <w:left w:val="none" w:sz="0" w:space="0" w:color="auto"/>
        <w:bottom w:val="none" w:sz="0" w:space="0" w:color="auto"/>
        <w:right w:val="none" w:sz="0" w:space="0" w:color="auto"/>
      </w:divBdr>
    </w:div>
    <w:div w:id="2001494946">
      <w:bodyDiv w:val="1"/>
      <w:marLeft w:val="0"/>
      <w:marRight w:val="0"/>
      <w:marTop w:val="0"/>
      <w:marBottom w:val="0"/>
      <w:divBdr>
        <w:top w:val="none" w:sz="0" w:space="0" w:color="auto"/>
        <w:left w:val="none" w:sz="0" w:space="0" w:color="auto"/>
        <w:bottom w:val="none" w:sz="0" w:space="0" w:color="auto"/>
        <w:right w:val="none" w:sz="0" w:space="0" w:color="auto"/>
      </w:divBdr>
    </w:div>
    <w:div w:id="2001495944">
      <w:bodyDiv w:val="1"/>
      <w:marLeft w:val="0"/>
      <w:marRight w:val="0"/>
      <w:marTop w:val="0"/>
      <w:marBottom w:val="0"/>
      <w:divBdr>
        <w:top w:val="none" w:sz="0" w:space="0" w:color="auto"/>
        <w:left w:val="none" w:sz="0" w:space="0" w:color="auto"/>
        <w:bottom w:val="none" w:sz="0" w:space="0" w:color="auto"/>
        <w:right w:val="none" w:sz="0" w:space="0" w:color="auto"/>
      </w:divBdr>
    </w:div>
    <w:div w:id="2001500908">
      <w:bodyDiv w:val="1"/>
      <w:marLeft w:val="0"/>
      <w:marRight w:val="0"/>
      <w:marTop w:val="0"/>
      <w:marBottom w:val="0"/>
      <w:divBdr>
        <w:top w:val="none" w:sz="0" w:space="0" w:color="auto"/>
        <w:left w:val="none" w:sz="0" w:space="0" w:color="auto"/>
        <w:bottom w:val="none" w:sz="0" w:space="0" w:color="auto"/>
        <w:right w:val="none" w:sz="0" w:space="0" w:color="auto"/>
      </w:divBdr>
    </w:div>
    <w:div w:id="2001502207">
      <w:bodyDiv w:val="1"/>
      <w:marLeft w:val="0"/>
      <w:marRight w:val="0"/>
      <w:marTop w:val="0"/>
      <w:marBottom w:val="0"/>
      <w:divBdr>
        <w:top w:val="none" w:sz="0" w:space="0" w:color="auto"/>
        <w:left w:val="none" w:sz="0" w:space="0" w:color="auto"/>
        <w:bottom w:val="none" w:sz="0" w:space="0" w:color="auto"/>
        <w:right w:val="none" w:sz="0" w:space="0" w:color="auto"/>
      </w:divBdr>
    </w:div>
    <w:div w:id="2001881987">
      <w:bodyDiv w:val="1"/>
      <w:marLeft w:val="0"/>
      <w:marRight w:val="0"/>
      <w:marTop w:val="0"/>
      <w:marBottom w:val="0"/>
      <w:divBdr>
        <w:top w:val="none" w:sz="0" w:space="0" w:color="auto"/>
        <w:left w:val="none" w:sz="0" w:space="0" w:color="auto"/>
        <w:bottom w:val="none" w:sz="0" w:space="0" w:color="auto"/>
        <w:right w:val="none" w:sz="0" w:space="0" w:color="auto"/>
      </w:divBdr>
    </w:div>
    <w:div w:id="2001959563">
      <w:bodyDiv w:val="1"/>
      <w:marLeft w:val="0"/>
      <w:marRight w:val="0"/>
      <w:marTop w:val="0"/>
      <w:marBottom w:val="0"/>
      <w:divBdr>
        <w:top w:val="none" w:sz="0" w:space="0" w:color="auto"/>
        <w:left w:val="none" w:sz="0" w:space="0" w:color="auto"/>
        <w:bottom w:val="none" w:sz="0" w:space="0" w:color="auto"/>
        <w:right w:val="none" w:sz="0" w:space="0" w:color="auto"/>
      </w:divBdr>
    </w:div>
    <w:div w:id="2002005252">
      <w:bodyDiv w:val="1"/>
      <w:marLeft w:val="0"/>
      <w:marRight w:val="0"/>
      <w:marTop w:val="0"/>
      <w:marBottom w:val="0"/>
      <w:divBdr>
        <w:top w:val="none" w:sz="0" w:space="0" w:color="auto"/>
        <w:left w:val="none" w:sz="0" w:space="0" w:color="auto"/>
        <w:bottom w:val="none" w:sz="0" w:space="0" w:color="auto"/>
        <w:right w:val="none" w:sz="0" w:space="0" w:color="auto"/>
      </w:divBdr>
    </w:div>
    <w:div w:id="2002078302">
      <w:bodyDiv w:val="1"/>
      <w:marLeft w:val="0"/>
      <w:marRight w:val="0"/>
      <w:marTop w:val="0"/>
      <w:marBottom w:val="0"/>
      <w:divBdr>
        <w:top w:val="none" w:sz="0" w:space="0" w:color="auto"/>
        <w:left w:val="none" w:sz="0" w:space="0" w:color="auto"/>
        <w:bottom w:val="none" w:sz="0" w:space="0" w:color="auto"/>
        <w:right w:val="none" w:sz="0" w:space="0" w:color="auto"/>
      </w:divBdr>
    </w:div>
    <w:div w:id="2002156518">
      <w:bodyDiv w:val="1"/>
      <w:marLeft w:val="0"/>
      <w:marRight w:val="0"/>
      <w:marTop w:val="0"/>
      <w:marBottom w:val="0"/>
      <w:divBdr>
        <w:top w:val="none" w:sz="0" w:space="0" w:color="auto"/>
        <w:left w:val="none" w:sz="0" w:space="0" w:color="auto"/>
        <w:bottom w:val="none" w:sz="0" w:space="0" w:color="auto"/>
        <w:right w:val="none" w:sz="0" w:space="0" w:color="auto"/>
      </w:divBdr>
    </w:div>
    <w:div w:id="2002156741">
      <w:bodyDiv w:val="1"/>
      <w:marLeft w:val="0"/>
      <w:marRight w:val="0"/>
      <w:marTop w:val="0"/>
      <w:marBottom w:val="0"/>
      <w:divBdr>
        <w:top w:val="none" w:sz="0" w:space="0" w:color="auto"/>
        <w:left w:val="none" w:sz="0" w:space="0" w:color="auto"/>
        <w:bottom w:val="none" w:sz="0" w:space="0" w:color="auto"/>
        <w:right w:val="none" w:sz="0" w:space="0" w:color="auto"/>
      </w:divBdr>
    </w:div>
    <w:div w:id="2002196410">
      <w:bodyDiv w:val="1"/>
      <w:marLeft w:val="0"/>
      <w:marRight w:val="0"/>
      <w:marTop w:val="0"/>
      <w:marBottom w:val="0"/>
      <w:divBdr>
        <w:top w:val="none" w:sz="0" w:space="0" w:color="auto"/>
        <w:left w:val="none" w:sz="0" w:space="0" w:color="auto"/>
        <w:bottom w:val="none" w:sz="0" w:space="0" w:color="auto"/>
        <w:right w:val="none" w:sz="0" w:space="0" w:color="auto"/>
      </w:divBdr>
    </w:div>
    <w:div w:id="2002198630">
      <w:bodyDiv w:val="1"/>
      <w:marLeft w:val="0"/>
      <w:marRight w:val="0"/>
      <w:marTop w:val="0"/>
      <w:marBottom w:val="0"/>
      <w:divBdr>
        <w:top w:val="none" w:sz="0" w:space="0" w:color="auto"/>
        <w:left w:val="none" w:sz="0" w:space="0" w:color="auto"/>
        <w:bottom w:val="none" w:sz="0" w:space="0" w:color="auto"/>
        <w:right w:val="none" w:sz="0" w:space="0" w:color="auto"/>
      </w:divBdr>
    </w:div>
    <w:div w:id="2002346824">
      <w:bodyDiv w:val="1"/>
      <w:marLeft w:val="0"/>
      <w:marRight w:val="0"/>
      <w:marTop w:val="0"/>
      <w:marBottom w:val="0"/>
      <w:divBdr>
        <w:top w:val="none" w:sz="0" w:space="0" w:color="auto"/>
        <w:left w:val="none" w:sz="0" w:space="0" w:color="auto"/>
        <w:bottom w:val="none" w:sz="0" w:space="0" w:color="auto"/>
        <w:right w:val="none" w:sz="0" w:space="0" w:color="auto"/>
      </w:divBdr>
    </w:div>
    <w:div w:id="2002388668">
      <w:bodyDiv w:val="1"/>
      <w:marLeft w:val="0"/>
      <w:marRight w:val="0"/>
      <w:marTop w:val="0"/>
      <w:marBottom w:val="0"/>
      <w:divBdr>
        <w:top w:val="none" w:sz="0" w:space="0" w:color="auto"/>
        <w:left w:val="none" w:sz="0" w:space="0" w:color="auto"/>
        <w:bottom w:val="none" w:sz="0" w:space="0" w:color="auto"/>
        <w:right w:val="none" w:sz="0" w:space="0" w:color="auto"/>
      </w:divBdr>
    </w:div>
    <w:div w:id="2002419065">
      <w:bodyDiv w:val="1"/>
      <w:marLeft w:val="0"/>
      <w:marRight w:val="0"/>
      <w:marTop w:val="0"/>
      <w:marBottom w:val="0"/>
      <w:divBdr>
        <w:top w:val="none" w:sz="0" w:space="0" w:color="auto"/>
        <w:left w:val="none" w:sz="0" w:space="0" w:color="auto"/>
        <w:bottom w:val="none" w:sz="0" w:space="0" w:color="auto"/>
        <w:right w:val="none" w:sz="0" w:space="0" w:color="auto"/>
      </w:divBdr>
    </w:div>
    <w:div w:id="2002461595">
      <w:bodyDiv w:val="1"/>
      <w:marLeft w:val="0"/>
      <w:marRight w:val="0"/>
      <w:marTop w:val="0"/>
      <w:marBottom w:val="0"/>
      <w:divBdr>
        <w:top w:val="none" w:sz="0" w:space="0" w:color="auto"/>
        <w:left w:val="none" w:sz="0" w:space="0" w:color="auto"/>
        <w:bottom w:val="none" w:sz="0" w:space="0" w:color="auto"/>
        <w:right w:val="none" w:sz="0" w:space="0" w:color="auto"/>
      </w:divBdr>
    </w:div>
    <w:div w:id="2002539042">
      <w:bodyDiv w:val="1"/>
      <w:marLeft w:val="0"/>
      <w:marRight w:val="0"/>
      <w:marTop w:val="0"/>
      <w:marBottom w:val="0"/>
      <w:divBdr>
        <w:top w:val="none" w:sz="0" w:space="0" w:color="auto"/>
        <w:left w:val="none" w:sz="0" w:space="0" w:color="auto"/>
        <w:bottom w:val="none" w:sz="0" w:space="0" w:color="auto"/>
        <w:right w:val="none" w:sz="0" w:space="0" w:color="auto"/>
      </w:divBdr>
    </w:div>
    <w:div w:id="2002541308">
      <w:bodyDiv w:val="1"/>
      <w:marLeft w:val="0"/>
      <w:marRight w:val="0"/>
      <w:marTop w:val="0"/>
      <w:marBottom w:val="0"/>
      <w:divBdr>
        <w:top w:val="none" w:sz="0" w:space="0" w:color="auto"/>
        <w:left w:val="none" w:sz="0" w:space="0" w:color="auto"/>
        <w:bottom w:val="none" w:sz="0" w:space="0" w:color="auto"/>
        <w:right w:val="none" w:sz="0" w:space="0" w:color="auto"/>
      </w:divBdr>
    </w:div>
    <w:div w:id="2002585516">
      <w:bodyDiv w:val="1"/>
      <w:marLeft w:val="0"/>
      <w:marRight w:val="0"/>
      <w:marTop w:val="0"/>
      <w:marBottom w:val="0"/>
      <w:divBdr>
        <w:top w:val="none" w:sz="0" w:space="0" w:color="auto"/>
        <w:left w:val="none" w:sz="0" w:space="0" w:color="auto"/>
        <w:bottom w:val="none" w:sz="0" w:space="0" w:color="auto"/>
        <w:right w:val="none" w:sz="0" w:space="0" w:color="auto"/>
      </w:divBdr>
    </w:div>
    <w:div w:id="2002655454">
      <w:bodyDiv w:val="1"/>
      <w:marLeft w:val="0"/>
      <w:marRight w:val="0"/>
      <w:marTop w:val="0"/>
      <w:marBottom w:val="0"/>
      <w:divBdr>
        <w:top w:val="none" w:sz="0" w:space="0" w:color="auto"/>
        <w:left w:val="none" w:sz="0" w:space="0" w:color="auto"/>
        <w:bottom w:val="none" w:sz="0" w:space="0" w:color="auto"/>
        <w:right w:val="none" w:sz="0" w:space="0" w:color="auto"/>
      </w:divBdr>
    </w:div>
    <w:div w:id="2002803896">
      <w:bodyDiv w:val="1"/>
      <w:marLeft w:val="0"/>
      <w:marRight w:val="0"/>
      <w:marTop w:val="0"/>
      <w:marBottom w:val="0"/>
      <w:divBdr>
        <w:top w:val="none" w:sz="0" w:space="0" w:color="auto"/>
        <w:left w:val="none" w:sz="0" w:space="0" w:color="auto"/>
        <w:bottom w:val="none" w:sz="0" w:space="0" w:color="auto"/>
        <w:right w:val="none" w:sz="0" w:space="0" w:color="auto"/>
      </w:divBdr>
    </w:div>
    <w:div w:id="2002849535">
      <w:bodyDiv w:val="1"/>
      <w:marLeft w:val="0"/>
      <w:marRight w:val="0"/>
      <w:marTop w:val="0"/>
      <w:marBottom w:val="0"/>
      <w:divBdr>
        <w:top w:val="none" w:sz="0" w:space="0" w:color="auto"/>
        <w:left w:val="none" w:sz="0" w:space="0" w:color="auto"/>
        <w:bottom w:val="none" w:sz="0" w:space="0" w:color="auto"/>
        <w:right w:val="none" w:sz="0" w:space="0" w:color="auto"/>
      </w:divBdr>
    </w:div>
    <w:div w:id="2002855060">
      <w:bodyDiv w:val="1"/>
      <w:marLeft w:val="0"/>
      <w:marRight w:val="0"/>
      <w:marTop w:val="0"/>
      <w:marBottom w:val="0"/>
      <w:divBdr>
        <w:top w:val="none" w:sz="0" w:space="0" w:color="auto"/>
        <w:left w:val="none" w:sz="0" w:space="0" w:color="auto"/>
        <w:bottom w:val="none" w:sz="0" w:space="0" w:color="auto"/>
        <w:right w:val="none" w:sz="0" w:space="0" w:color="auto"/>
      </w:divBdr>
    </w:div>
    <w:div w:id="2003006013">
      <w:bodyDiv w:val="1"/>
      <w:marLeft w:val="0"/>
      <w:marRight w:val="0"/>
      <w:marTop w:val="0"/>
      <w:marBottom w:val="0"/>
      <w:divBdr>
        <w:top w:val="none" w:sz="0" w:space="0" w:color="auto"/>
        <w:left w:val="none" w:sz="0" w:space="0" w:color="auto"/>
        <w:bottom w:val="none" w:sz="0" w:space="0" w:color="auto"/>
        <w:right w:val="none" w:sz="0" w:space="0" w:color="auto"/>
      </w:divBdr>
    </w:div>
    <w:div w:id="2003119436">
      <w:bodyDiv w:val="1"/>
      <w:marLeft w:val="0"/>
      <w:marRight w:val="0"/>
      <w:marTop w:val="0"/>
      <w:marBottom w:val="0"/>
      <w:divBdr>
        <w:top w:val="none" w:sz="0" w:space="0" w:color="auto"/>
        <w:left w:val="none" w:sz="0" w:space="0" w:color="auto"/>
        <w:bottom w:val="none" w:sz="0" w:space="0" w:color="auto"/>
        <w:right w:val="none" w:sz="0" w:space="0" w:color="auto"/>
      </w:divBdr>
    </w:div>
    <w:div w:id="2003195567">
      <w:bodyDiv w:val="1"/>
      <w:marLeft w:val="0"/>
      <w:marRight w:val="0"/>
      <w:marTop w:val="0"/>
      <w:marBottom w:val="0"/>
      <w:divBdr>
        <w:top w:val="none" w:sz="0" w:space="0" w:color="auto"/>
        <w:left w:val="none" w:sz="0" w:space="0" w:color="auto"/>
        <w:bottom w:val="none" w:sz="0" w:space="0" w:color="auto"/>
        <w:right w:val="none" w:sz="0" w:space="0" w:color="auto"/>
      </w:divBdr>
    </w:div>
    <w:div w:id="2003312387">
      <w:bodyDiv w:val="1"/>
      <w:marLeft w:val="0"/>
      <w:marRight w:val="0"/>
      <w:marTop w:val="0"/>
      <w:marBottom w:val="0"/>
      <w:divBdr>
        <w:top w:val="none" w:sz="0" w:space="0" w:color="auto"/>
        <w:left w:val="none" w:sz="0" w:space="0" w:color="auto"/>
        <w:bottom w:val="none" w:sz="0" w:space="0" w:color="auto"/>
        <w:right w:val="none" w:sz="0" w:space="0" w:color="auto"/>
      </w:divBdr>
    </w:div>
    <w:div w:id="2003312444">
      <w:bodyDiv w:val="1"/>
      <w:marLeft w:val="0"/>
      <w:marRight w:val="0"/>
      <w:marTop w:val="0"/>
      <w:marBottom w:val="0"/>
      <w:divBdr>
        <w:top w:val="none" w:sz="0" w:space="0" w:color="auto"/>
        <w:left w:val="none" w:sz="0" w:space="0" w:color="auto"/>
        <w:bottom w:val="none" w:sz="0" w:space="0" w:color="auto"/>
        <w:right w:val="none" w:sz="0" w:space="0" w:color="auto"/>
      </w:divBdr>
    </w:div>
    <w:div w:id="2003393235">
      <w:bodyDiv w:val="1"/>
      <w:marLeft w:val="0"/>
      <w:marRight w:val="0"/>
      <w:marTop w:val="0"/>
      <w:marBottom w:val="0"/>
      <w:divBdr>
        <w:top w:val="none" w:sz="0" w:space="0" w:color="auto"/>
        <w:left w:val="none" w:sz="0" w:space="0" w:color="auto"/>
        <w:bottom w:val="none" w:sz="0" w:space="0" w:color="auto"/>
        <w:right w:val="none" w:sz="0" w:space="0" w:color="auto"/>
      </w:divBdr>
    </w:div>
    <w:div w:id="2003503382">
      <w:bodyDiv w:val="1"/>
      <w:marLeft w:val="0"/>
      <w:marRight w:val="0"/>
      <w:marTop w:val="0"/>
      <w:marBottom w:val="0"/>
      <w:divBdr>
        <w:top w:val="none" w:sz="0" w:space="0" w:color="auto"/>
        <w:left w:val="none" w:sz="0" w:space="0" w:color="auto"/>
        <w:bottom w:val="none" w:sz="0" w:space="0" w:color="auto"/>
        <w:right w:val="none" w:sz="0" w:space="0" w:color="auto"/>
      </w:divBdr>
    </w:div>
    <w:div w:id="2003505111">
      <w:bodyDiv w:val="1"/>
      <w:marLeft w:val="0"/>
      <w:marRight w:val="0"/>
      <w:marTop w:val="0"/>
      <w:marBottom w:val="0"/>
      <w:divBdr>
        <w:top w:val="none" w:sz="0" w:space="0" w:color="auto"/>
        <w:left w:val="none" w:sz="0" w:space="0" w:color="auto"/>
        <w:bottom w:val="none" w:sz="0" w:space="0" w:color="auto"/>
        <w:right w:val="none" w:sz="0" w:space="0" w:color="auto"/>
      </w:divBdr>
    </w:div>
    <w:div w:id="2003579592">
      <w:bodyDiv w:val="1"/>
      <w:marLeft w:val="0"/>
      <w:marRight w:val="0"/>
      <w:marTop w:val="0"/>
      <w:marBottom w:val="0"/>
      <w:divBdr>
        <w:top w:val="none" w:sz="0" w:space="0" w:color="auto"/>
        <w:left w:val="none" w:sz="0" w:space="0" w:color="auto"/>
        <w:bottom w:val="none" w:sz="0" w:space="0" w:color="auto"/>
        <w:right w:val="none" w:sz="0" w:space="0" w:color="auto"/>
      </w:divBdr>
    </w:div>
    <w:div w:id="2003579899">
      <w:bodyDiv w:val="1"/>
      <w:marLeft w:val="0"/>
      <w:marRight w:val="0"/>
      <w:marTop w:val="0"/>
      <w:marBottom w:val="0"/>
      <w:divBdr>
        <w:top w:val="none" w:sz="0" w:space="0" w:color="auto"/>
        <w:left w:val="none" w:sz="0" w:space="0" w:color="auto"/>
        <w:bottom w:val="none" w:sz="0" w:space="0" w:color="auto"/>
        <w:right w:val="none" w:sz="0" w:space="0" w:color="auto"/>
      </w:divBdr>
    </w:div>
    <w:div w:id="2003585525">
      <w:bodyDiv w:val="1"/>
      <w:marLeft w:val="0"/>
      <w:marRight w:val="0"/>
      <w:marTop w:val="0"/>
      <w:marBottom w:val="0"/>
      <w:divBdr>
        <w:top w:val="none" w:sz="0" w:space="0" w:color="auto"/>
        <w:left w:val="none" w:sz="0" w:space="0" w:color="auto"/>
        <w:bottom w:val="none" w:sz="0" w:space="0" w:color="auto"/>
        <w:right w:val="none" w:sz="0" w:space="0" w:color="auto"/>
      </w:divBdr>
    </w:div>
    <w:div w:id="2003661938">
      <w:bodyDiv w:val="1"/>
      <w:marLeft w:val="0"/>
      <w:marRight w:val="0"/>
      <w:marTop w:val="0"/>
      <w:marBottom w:val="0"/>
      <w:divBdr>
        <w:top w:val="none" w:sz="0" w:space="0" w:color="auto"/>
        <w:left w:val="none" w:sz="0" w:space="0" w:color="auto"/>
        <w:bottom w:val="none" w:sz="0" w:space="0" w:color="auto"/>
        <w:right w:val="none" w:sz="0" w:space="0" w:color="auto"/>
      </w:divBdr>
    </w:div>
    <w:div w:id="2003698787">
      <w:bodyDiv w:val="1"/>
      <w:marLeft w:val="0"/>
      <w:marRight w:val="0"/>
      <w:marTop w:val="0"/>
      <w:marBottom w:val="0"/>
      <w:divBdr>
        <w:top w:val="none" w:sz="0" w:space="0" w:color="auto"/>
        <w:left w:val="none" w:sz="0" w:space="0" w:color="auto"/>
        <w:bottom w:val="none" w:sz="0" w:space="0" w:color="auto"/>
        <w:right w:val="none" w:sz="0" w:space="0" w:color="auto"/>
      </w:divBdr>
    </w:div>
    <w:div w:id="2003728080">
      <w:bodyDiv w:val="1"/>
      <w:marLeft w:val="0"/>
      <w:marRight w:val="0"/>
      <w:marTop w:val="0"/>
      <w:marBottom w:val="0"/>
      <w:divBdr>
        <w:top w:val="none" w:sz="0" w:space="0" w:color="auto"/>
        <w:left w:val="none" w:sz="0" w:space="0" w:color="auto"/>
        <w:bottom w:val="none" w:sz="0" w:space="0" w:color="auto"/>
        <w:right w:val="none" w:sz="0" w:space="0" w:color="auto"/>
      </w:divBdr>
    </w:div>
    <w:div w:id="2003772113">
      <w:bodyDiv w:val="1"/>
      <w:marLeft w:val="0"/>
      <w:marRight w:val="0"/>
      <w:marTop w:val="0"/>
      <w:marBottom w:val="0"/>
      <w:divBdr>
        <w:top w:val="none" w:sz="0" w:space="0" w:color="auto"/>
        <w:left w:val="none" w:sz="0" w:space="0" w:color="auto"/>
        <w:bottom w:val="none" w:sz="0" w:space="0" w:color="auto"/>
        <w:right w:val="none" w:sz="0" w:space="0" w:color="auto"/>
      </w:divBdr>
    </w:div>
    <w:div w:id="2004040967">
      <w:bodyDiv w:val="1"/>
      <w:marLeft w:val="0"/>
      <w:marRight w:val="0"/>
      <w:marTop w:val="0"/>
      <w:marBottom w:val="0"/>
      <w:divBdr>
        <w:top w:val="none" w:sz="0" w:space="0" w:color="auto"/>
        <w:left w:val="none" w:sz="0" w:space="0" w:color="auto"/>
        <w:bottom w:val="none" w:sz="0" w:space="0" w:color="auto"/>
        <w:right w:val="none" w:sz="0" w:space="0" w:color="auto"/>
      </w:divBdr>
    </w:div>
    <w:div w:id="2004042778">
      <w:bodyDiv w:val="1"/>
      <w:marLeft w:val="0"/>
      <w:marRight w:val="0"/>
      <w:marTop w:val="0"/>
      <w:marBottom w:val="0"/>
      <w:divBdr>
        <w:top w:val="none" w:sz="0" w:space="0" w:color="auto"/>
        <w:left w:val="none" w:sz="0" w:space="0" w:color="auto"/>
        <w:bottom w:val="none" w:sz="0" w:space="0" w:color="auto"/>
        <w:right w:val="none" w:sz="0" w:space="0" w:color="auto"/>
      </w:divBdr>
    </w:div>
    <w:div w:id="2004045296">
      <w:bodyDiv w:val="1"/>
      <w:marLeft w:val="0"/>
      <w:marRight w:val="0"/>
      <w:marTop w:val="0"/>
      <w:marBottom w:val="0"/>
      <w:divBdr>
        <w:top w:val="none" w:sz="0" w:space="0" w:color="auto"/>
        <w:left w:val="none" w:sz="0" w:space="0" w:color="auto"/>
        <w:bottom w:val="none" w:sz="0" w:space="0" w:color="auto"/>
        <w:right w:val="none" w:sz="0" w:space="0" w:color="auto"/>
      </w:divBdr>
    </w:div>
    <w:div w:id="2004046015">
      <w:bodyDiv w:val="1"/>
      <w:marLeft w:val="0"/>
      <w:marRight w:val="0"/>
      <w:marTop w:val="0"/>
      <w:marBottom w:val="0"/>
      <w:divBdr>
        <w:top w:val="none" w:sz="0" w:space="0" w:color="auto"/>
        <w:left w:val="none" w:sz="0" w:space="0" w:color="auto"/>
        <w:bottom w:val="none" w:sz="0" w:space="0" w:color="auto"/>
        <w:right w:val="none" w:sz="0" w:space="0" w:color="auto"/>
      </w:divBdr>
    </w:div>
    <w:div w:id="2004122671">
      <w:bodyDiv w:val="1"/>
      <w:marLeft w:val="0"/>
      <w:marRight w:val="0"/>
      <w:marTop w:val="0"/>
      <w:marBottom w:val="0"/>
      <w:divBdr>
        <w:top w:val="none" w:sz="0" w:space="0" w:color="auto"/>
        <w:left w:val="none" w:sz="0" w:space="0" w:color="auto"/>
        <w:bottom w:val="none" w:sz="0" w:space="0" w:color="auto"/>
        <w:right w:val="none" w:sz="0" w:space="0" w:color="auto"/>
      </w:divBdr>
    </w:div>
    <w:div w:id="2004241926">
      <w:bodyDiv w:val="1"/>
      <w:marLeft w:val="0"/>
      <w:marRight w:val="0"/>
      <w:marTop w:val="0"/>
      <w:marBottom w:val="0"/>
      <w:divBdr>
        <w:top w:val="none" w:sz="0" w:space="0" w:color="auto"/>
        <w:left w:val="none" w:sz="0" w:space="0" w:color="auto"/>
        <w:bottom w:val="none" w:sz="0" w:space="0" w:color="auto"/>
        <w:right w:val="none" w:sz="0" w:space="0" w:color="auto"/>
      </w:divBdr>
    </w:div>
    <w:div w:id="2004314869">
      <w:bodyDiv w:val="1"/>
      <w:marLeft w:val="0"/>
      <w:marRight w:val="0"/>
      <w:marTop w:val="0"/>
      <w:marBottom w:val="0"/>
      <w:divBdr>
        <w:top w:val="none" w:sz="0" w:space="0" w:color="auto"/>
        <w:left w:val="none" w:sz="0" w:space="0" w:color="auto"/>
        <w:bottom w:val="none" w:sz="0" w:space="0" w:color="auto"/>
        <w:right w:val="none" w:sz="0" w:space="0" w:color="auto"/>
      </w:divBdr>
    </w:div>
    <w:div w:id="2004505057">
      <w:bodyDiv w:val="1"/>
      <w:marLeft w:val="0"/>
      <w:marRight w:val="0"/>
      <w:marTop w:val="0"/>
      <w:marBottom w:val="0"/>
      <w:divBdr>
        <w:top w:val="none" w:sz="0" w:space="0" w:color="auto"/>
        <w:left w:val="none" w:sz="0" w:space="0" w:color="auto"/>
        <w:bottom w:val="none" w:sz="0" w:space="0" w:color="auto"/>
        <w:right w:val="none" w:sz="0" w:space="0" w:color="auto"/>
      </w:divBdr>
    </w:div>
    <w:div w:id="2004628378">
      <w:bodyDiv w:val="1"/>
      <w:marLeft w:val="0"/>
      <w:marRight w:val="0"/>
      <w:marTop w:val="0"/>
      <w:marBottom w:val="0"/>
      <w:divBdr>
        <w:top w:val="none" w:sz="0" w:space="0" w:color="auto"/>
        <w:left w:val="none" w:sz="0" w:space="0" w:color="auto"/>
        <w:bottom w:val="none" w:sz="0" w:space="0" w:color="auto"/>
        <w:right w:val="none" w:sz="0" w:space="0" w:color="auto"/>
      </w:divBdr>
    </w:div>
    <w:div w:id="2004695308">
      <w:bodyDiv w:val="1"/>
      <w:marLeft w:val="0"/>
      <w:marRight w:val="0"/>
      <w:marTop w:val="0"/>
      <w:marBottom w:val="0"/>
      <w:divBdr>
        <w:top w:val="none" w:sz="0" w:space="0" w:color="auto"/>
        <w:left w:val="none" w:sz="0" w:space="0" w:color="auto"/>
        <w:bottom w:val="none" w:sz="0" w:space="0" w:color="auto"/>
        <w:right w:val="none" w:sz="0" w:space="0" w:color="auto"/>
      </w:divBdr>
    </w:div>
    <w:div w:id="2004746334">
      <w:bodyDiv w:val="1"/>
      <w:marLeft w:val="0"/>
      <w:marRight w:val="0"/>
      <w:marTop w:val="0"/>
      <w:marBottom w:val="0"/>
      <w:divBdr>
        <w:top w:val="none" w:sz="0" w:space="0" w:color="auto"/>
        <w:left w:val="none" w:sz="0" w:space="0" w:color="auto"/>
        <w:bottom w:val="none" w:sz="0" w:space="0" w:color="auto"/>
        <w:right w:val="none" w:sz="0" w:space="0" w:color="auto"/>
      </w:divBdr>
    </w:div>
    <w:div w:id="2004894808">
      <w:bodyDiv w:val="1"/>
      <w:marLeft w:val="0"/>
      <w:marRight w:val="0"/>
      <w:marTop w:val="0"/>
      <w:marBottom w:val="0"/>
      <w:divBdr>
        <w:top w:val="none" w:sz="0" w:space="0" w:color="auto"/>
        <w:left w:val="none" w:sz="0" w:space="0" w:color="auto"/>
        <w:bottom w:val="none" w:sz="0" w:space="0" w:color="auto"/>
        <w:right w:val="none" w:sz="0" w:space="0" w:color="auto"/>
      </w:divBdr>
    </w:div>
    <w:div w:id="2004971441">
      <w:bodyDiv w:val="1"/>
      <w:marLeft w:val="0"/>
      <w:marRight w:val="0"/>
      <w:marTop w:val="0"/>
      <w:marBottom w:val="0"/>
      <w:divBdr>
        <w:top w:val="none" w:sz="0" w:space="0" w:color="auto"/>
        <w:left w:val="none" w:sz="0" w:space="0" w:color="auto"/>
        <w:bottom w:val="none" w:sz="0" w:space="0" w:color="auto"/>
        <w:right w:val="none" w:sz="0" w:space="0" w:color="auto"/>
      </w:divBdr>
    </w:div>
    <w:div w:id="2005088275">
      <w:bodyDiv w:val="1"/>
      <w:marLeft w:val="0"/>
      <w:marRight w:val="0"/>
      <w:marTop w:val="0"/>
      <w:marBottom w:val="0"/>
      <w:divBdr>
        <w:top w:val="none" w:sz="0" w:space="0" w:color="auto"/>
        <w:left w:val="none" w:sz="0" w:space="0" w:color="auto"/>
        <w:bottom w:val="none" w:sz="0" w:space="0" w:color="auto"/>
        <w:right w:val="none" w:sz="0" w:space="0" w:color="auto"/>
      </w:divBdr>
    </w:div>
    <w:div w:id="2005236930">
      <w:bodyDiv w:val="1"/>
      <w:marLeft w:val="0"/>
      <w:marRight w:val="0"/>
      <w:marTop w:val="0"/>
      <w:marBottom w:val="0"/>
      <w:divBdr>
        <w:top w:val="none" w:sz="0" w:space="0" w:color="auto"/>
        <w:left w:val="none" w:sz="0" w:space="0" w:color="auto"/>
        <w:bottom w:val="none" w:sz="0" w:space="0" w:color="auto"/>
        <w:right w:val="none" w:sz="0" w:space="0" w:color="auto"/>
      </w:divBdr>
    </w:div>
    <w:div w:id="2005433310">
      <w:bodyDiv w:val="1"/>
      <w:marLeft w:val="0"/>
      <w:marRight w:val="0"/>
      <w:marTop w:val="0"/>
      <w:marBottom w:val="0"/>
      <w:divBdr>
        <w:top w:val="none" w:sz="0" w:space="0" w:color="auto"/>
        <w:left w:val="none" w:sz="0" w:space="0" w:color="auto"/>
        <w:bottom w:val="none" w:sz="0" w:space="0" w:color="auto"/>
        <w:right w:val="none" w:sz="0" w:space="0" w:color="auto"/>
      </w:divBdr>
    </w:div>
    <w:div w:id="2005695094">
      <w:bodyDiv w:val="1"/>
      <w:marLeft w:val="0"/>
      <w:marRight w:val="0"/>
      <w:marTop w:val="0"/>
      <w:marBottom w:val="0"/>
      <w:divBdr>
        <w:top w:val="none" w:sz="0" w:space="0" w:color="auto"/>
        <w:left w:val="none" w:sz="0" w:space="0" w:color="auto"/>
        <w:bottom w:val="none" w:sz="0" w:space="0" w:color="auto"/>
        <w:right w:val="none" w:sz="0" w:space="0" w:color="auto"/>
      </w:divBdr>
    </w:div>
    <w:div w:id="2005812471">
      <w:bodyDiv w:val="1"/>
      <w:marLeft w:val="0"/>
      <w:marRight w:val="0"/>
      <w:marTop w:val="0"/>
      <w:marBottom w:val="0"/>
      <w:divBdr>
        <w:top w:val="none" w:sz="0" w:space="0" w:color="auto"/>
        <w:left w:val="none" w:sz="0" w:space="0" w:color="auto"/>
        <w:bottom w:val="none" w:sz="0" w:space="0" w:color="auto"/>
        <w:right w:val="none" w:sz="0" w:space="0" w:color="auto"/>
      </w:divBdr>
    </w:div>
    <w:div w:id="2006123540">
      <w:bodyDiv w:val="1"/>
      <w:marLeft w:val="0"/>
      <w:marRight w:val="0"/>
      <w:marTop w:val="0"/>
      <w:marBottom w:val="0"/>
      <w:divBdr>
        <w:top w:val="none" w:sz="0" w:space="0" w:color="auto"/>
        <w:left w:val="none" w:sz="0" w:space="0" w:color="auto"/>
        <w:bottom w:val="none" w:sz="0" w:space="0" w:color="auto"/>
        <w:right w:val="none" w:sz="0" w:space="0" w:color="auto"/>
      </w:divBdr>
    </w:div>
    <w:div w:id="2006275043">
      <w:bodyDiv w:val="1"/>
      <w:marLeft w:val="0"/>
      <w:marRight w:val="0"/>
      <w:marTop w:val="0"/>
      <w:marBottom w:val="0"/>
      <w:divBdr>
        <w:top w:val="none" w:sz="0" w:space="0" w:color="auto"/>
        <w:left w:val="none" w:sz="0" w:space="0" w:color="auto"/>
        <w:bottom w:val="none" w:sz="0" w:space="0" w:color="auto"/>
        <w:right w:val="none" w:sz="0" w:space="0" w:color="auto"/>
      </w:divBdr>
    </w:div>
    <w:div w:id="2006319971">
      <w:bodyDiv w:val="1"/>
      <w:marLeft w:val="0"/>
      <w:marRight w:val="0"/>
      <w:marTop w:val="0"/>
      <w:marBottom w:val="0"/>
      <w:divBdr>
        <w:top w:val="none" w:sz="0" w:space="0" w:color="auto"/>
        <w:left w:val="none" w:sz="0" w:space="0" w:color="auto"/>
        <w:bottom w:val="none" w:sz="0" w:space="0" w:color="auto"/>
        <w:right w:val="none" w:sz="0" w:space="0" w:color="auto"/>
      </w:divBdr>
    </w:div>
    <w:div w:id="2006323987">
      <w:bodyDiv w:val="1"/>
      <w:marLeft w:val="0"/>
      <w:marRight w:val="0"/>
      <w:marTop w:val="0"/>
      <w:marBottom w:val="0"/>
      <w:divBdr>
        <w:top w:val="none" w:sz="0" w:space="0" w:color="auto"/>
        <w:left w:val="none" w:sz="0" w:space="0" w:color="auto"/>
        <w:bottom w:val="none" w:sz="0" w:space="0" w:color="auto"/>
        <w:right w:val="none" w:sz="0" w:space="0" w:color="auto"/>
      </w:divBdr>
    </w:div>
    <w:div w:id="2006395380">
      <w:bodyDiv w:val="1"/>
      <w:marLeft w:val="0"/>
      <w:marRight w:val="0"/>
      <w:marTop w:val="0"/>
      <w:marBottom w:val="0"/>
      <w:divBdr>
        <w:top w:val="none" w:sz="0" w:space="0" w:color="auto"/>
        <w:left w:val="none" w:sz="0" w:space="0" w:color="auto"/>
        <w:bottom w:val="none" w:sz="0" w:space="0" w:color="auto"/>
        <w:right w:val="none" w:sz="0" w:space="0" w:color="auto"/>
      </w:divBdr>
    </w:div>
    <w:div w:id="2006546096">
      <w:bodyDiv w:val="1"/>
      <w:marLeft w:val="0"/>
      <w:marRight w:val="0"/>
      <w:marTop w:val="0"/>
      <w:marBottom w:val="0"/>
      <w:divBdr>
        <w:top w:val="none" w:sz="0" w:space="0" w:color="auto"/>
        <w:left w:val="none" w:sz="0" w:space="0" w:color="auto"/>
        <w:bottom w:val="none" w:sz="0" w:space="0" w:color="auto"/>
        <w:right w:val="none" w:sz="0" w:space="0" w:color="auto"/>
      </w:divBdr>
    </w:div>
    <w:div w:id="2006548428">
      <w:bodyDiv w:val="1"/>
      <w:marLeft w:val="0"/>
      <w:marRight w:val="0"/>
      <w:marTop w:val="0"/>
      <w:marBottom w:val="0"/>
      <w:divBdr>
        <w:top w:val="none" w:sz="0" w:space="0" w:color="auto"/>
        <w:left w:val="none" w:sz="0" w:space="0" w:color="auto"/>
        <w:bottom w:val="none" w:sz="0" w:space="0" w:color="auto"/>
        <w:right w:val="none" w:sz="0" w:space="0" w:color="auto"/>
      </w:divBdr>
    </w:div>
    <w:div w:id="2006590580">
      <w:bodyDiv w:val="1"/>
      <w:marLeft w:val="0"/>
      <w:marRight w:val="0"/>
      <w:marTop w:val="0"/>
      <w:marBottom w:val="0"/>
      <w:divBdr>
        <w:top w:val="none" w:sz="0" w:space="0" w:color="auto"/>
        <w:left w:val="none" w:sz="0" w:space="0" w:color="auto"/>
        <w:bottom w:val="none" w:sz="0" w:space="0" w:color="auto"/>
        <w:right w:val="none" w:sz="0" w:space="0" w:color="auto"/>
      </w:divBdr>
    </w:div>
    <w:div w:id="2006664802">
      <w:bodyDiv w:val="1"/>
      <w:marLeft w:val="0"/>
      <w:marRight w:val="0"/>
      <w:marTop w:val="0"/>
      <w:marBottom w:val="0"/>
      <w:divBdr>
        <w:top w:val="none" w:sz="0" w:space="0" w:color="auto"/>
        <w:left w:val="none" w:sz="0" w:space="0" w:color="auto"/>
        <w:bottom w:val="none" w:sz="0" w:space="0" w:color="auto"/>
        <w:right w:val="none" w:sz="0" w:space="0" w:color="auto"/>
      </w:divBdr>
    </w:div>
    <w:div w:id="2006665616">
      <w:bodyDiv w:val="1"/>
      <w:marLeft w:val="0"/>
      <w:marRight w:val="0"/>
      <w:marTop w:val="0"/>
      <w:marBottom w:val="0"/>
      <w:divBdr>
        <w:top w:val="none" w:sz="0" w:space="0" w:color="auto"/>
        <w:left w:val="none" w:sz="0" w:space="0" w:color="auto"/>
        <w:bottom w:val="none" w:sz="0" w:space="0" w:color="auto"/>
        <w:right w:val="none" w:sz="0" w:space="0" w:color="auto"/>
      </w:divBdr>
    </w:div>
    <w:div w:id="2006669737">
      <w:bodyDiv w:val="1"/>
      <w:marLeft w:val="0"/>
      <w:marRight w:val="0"/>
      <w:marTop w:val="0"/>
      <w:marBottom w:val="0"/>
      <w:divBdr>
        <w:top w:val="none" w:sz="0" w:space="0" w:color="auto"/>
        <w:left w:val="none" w:sz="0" w:space="0" w:color="auto"/>
        <w:bottom w:val="none" w:sz="0" w:space="0" w:color="auto"/>
        <w:right w:val="none" w:sz="0" w:space="0" w:color="auto"/>
      </w:divBdr>
    </w:div>
    <w:div w:id="2006744694">
      <w:bodyDiv w:val="1"/>
      <w:marLeft w:val="0"/>
      <w:marRight w:val="0"/>
      <w:marTop w:val="0"/>
      <w:marBottom w:val="0"/>
      <w:divBdr>
        <w:top w:val="none" w:sz="0" w:space="0" w:color="auto"/>
        <w:left w:val="none" w:sz="0" w:space="0" w:color="auto"/>
        <w:bottom w:val="none" w:sz="0" w:space="0" w:color="auto"/>
        <w:right w:val="none" w:sz="0" w:space="0" w:color="auto"/>
      </w:divBdr>
    </w:div>
    <w:div w:id="2006778194">
      <w:bodyDiv w:val="1"/>
      <w:marLeft w:val="0"/>
      <w:marRight w:val="0"/>
      <w:marTop w:val="0"/>
      <w:marBottom w:val="0"/>
      <w:divBdr>
        <w:top w:val="none" w:sz="0" w:space="0" w:color="auto"/>
        <w:left w:val="none" w:sz="0" w:space="0" w:color="auto"/>
        <w:bottom w:val="none" w:sz="0" w:space="0" w:color="auto"/>
        <w:right w:val="none" w:sz="0" w:space="0" w:color="auto"/>
      </w:divBdr>
    </w:div>
    <w:div w:id="2006936486">
      <w:bodyDiv w:val="1"/>
      <w:marLeft w:val="0"/>
      <w:marRight w:val="0"/>
      <w:marTop w:val="0"/>
      <w:marBottom w:val="0"/>
      <w:divBdr>
        <w:top w:val="none" w:sz="0" w:space="0" w:color="auto"/>
        <w:left w:val="none" w:sz="0" w:space="0" w:color="auto"/>
        <w:bottom w:val="none" w:sz="0" w:space="0" w:color="auto"/>
        <w:right w:val="none" w:sz="0" w:space="0" w:color="auto"/>
      </w:divBdr>
    </w:div>
    <w:div w:id="2007203541">
      <w:bodyDiv w:val="1"/>
      <w:marLeft w:val="0"/>
      <w:marRight w:val="0"/>
      <w:marTop w:val="0"/>
      <w:marBottom w:val="0"/>
      <w:divBdr>
        <w:top w:val="none" w:sz="0" w:space="0" w:color="auto"/>
        <w:left w:val="none" w:sz="0" w:space="0" w:color="auto"/>
        <w:bottom w:val="none" w:sz="0" w:space="0" w:color="auto"/>
        <w:right w:val="none" w:sz="0" w:space="0" w:color="auto"/>
      </w:divBdr>
    </w:div>
    <w:div w:id="2007243323">
      <w:bodyDiv w:val="1"/>
      <w:marLeft w:val="0"/>
      <w:marRight w:val="0"/>
      <w:marTop w:val="0"/>
      <w:marBottom w:val="0"/>
      <w:divBdr>
        <w:top w:val="none" w:sz="0" w:space="0" w:color="auto"/>
        <w:left w:val="none" w:sz="0" w:space="0" w:color="auto"/>
        <w:bottom w:val="none" w:sz="0" w:space="0" w:color="auto"/>
        <w:right w:val="none" w:sz="0" w:space="0" w:color="auto"/>
      </w:divBdr>
    </w:div>
    <w:div w:id="2007246292">
      <w:bodyDiv w:val="1"/>
      <w:marLeft w:val="0"/>
      <w:marRight w:val="0"/>
      <w:marTop w:val="0"/>
      <w:marBottom w:val="0"/>
      <w:divBdr>
        <w:top w:val="none" w:sz="0" w:space="0" w:color="auto"/>
        <w:left w:val="none" w:sz="0" w:space="0" w:color="auto"/>
        <w:bottom w:val="none" w:sz="0" w:space="0" w:color="auto"/>
        <w:right w:val="none" w:sz="0" w:space="0" w:color="auto"/>
      </w:divBdr>
    </w:div>
    <w:div w:id="2007318172">
      <w:bodyDiv w:val="1"/>
      <w:marLeft w:val="0"/>
      <w:marRight w:val="0"/>
      <w:marTop w:val="0"/>
      <w:marBottom w:val="0"/>
      <w:divBdr>
        <w:top w:val="none" w:sz="0" w:space="0" w:color="auto"/>
        <w:left w:val="none" w:sz="0" w:space="0" w:color="auto"/>
        <w:bottom w:val="none" w:sz="0" w:space="0" w:color="auto"/>
        <w:right w:val="none" w:sz="0" w:space="0" w:color="auto"/>
      </w:divBdr>
    </w:div>
    <w:div w:id="2007367753">
      <w:bodyDiv w:val="1"/>
      <w:marLeft w:val="0"/>
      <w:marRight w:val="0"/>
      <w:marTop w:val="0"/>
      <w:marBottom w:val="0"/>
      <w:divBdr>
        <w:top w:val="none" w:sz="0" w:space="0" w:color="auto"/>
        <w:left w:val="none" w:sz="0" w:space="0" w:color="auto"/>
        <w:bottom w:val="none" w:sz="0" w:space="0" w:color="auto"/>
        <w:right w:val="none" w:sz="0" w:space="0" w:color="auto"/>
      </w:divBdr>
    </w:div>
    <w:div w:id="2007392714">
      <w:bodyDiv w:val="1"/>
      <w:marLeft w:val="0"/>
      <w:marRight w:val="0"/>
      <w:marTop w:val="0"/>
      <w:marBottom w:val="0"/>
      <w:divBdr>
        <w:top w:val="none" w:sz="0" w:space="0" w:color="auto"/>
        <w:left w:val="none" w:sz="0" w:space="0" w:color="auto"/>
        <w:bottom w:val="none" w:sz="0" w:space="0" w:color="auto"/>
        <w:right w:val="none" w:sz="0" w:space="0" w:color="auto"/>
      </w:divBdr>
    </w:div>
    <w:div w:id="2007435714">
      <w:bodyDiv w:val="1"/>
      <w:marLeft w:val="0"/>
      <w:marRight w:val="0"/>
      <w:marTop w:val="0"/>
      <w:marBottom w:val="0"/>
      <w:divBdr>
        <w:top w:val="none" w:sz="0" w:space="0" w:color="auto"/>
        <w:left w:val="none" w:sz="0" w:space="0" w:color="auto"/>
        <w:bottom w:val="none" w:sz="0" w:space="0" w:color="auto"/>
        <w:right w:val="none" w:sz="0" w:space="0" w:color="auto"/>
      </w:divBdr>
    </w:div>
    <w:div w:id="2007515096">
      <w:bodyDiv w:val="1"/>
      <w:marLeft w:val="0"/>
      <w:marRight w:val="0"/>
      <w:marTop w:val="0"/>
      <w:marBottom w:val="0"/>
      <w:divBdr>
        <w:top w:val="none" w:sz="0" w:space="0" w:color="auto"/>
        <w:left w:val="none" w:sz="0" w:space="0" w:color="auto"/>
        <w:bottom w:val="none" w:sz="0" w:space="0" w:color="auto"/>
        <w:right w:val="none" w:sz="0" w:space="0" w:color="auto"/>
      </w:divBdr>
    </w:div>
    <w:div w:id="2007584231">
      <w:bodyDiv w:val="1"/>
      <w:marLeft w:val="0"/>
      <w:marRight w:val="0"/>
      <w:marTop w:val="0"/>
      <w:marBottom w:val="0"/>
      <w:divBdr>
        <w:top w:val="none" w:sz="0" w:space="0" w:color="auto"/>
        <w:left w:val="none" w:sz="0" w:space="0" w:color="auto"/>
        <w:bottom w:val="none" w:sz="0" w:space="0" w:color="auto"/>
        <w:right w:val="none" w:sz="0" w:space="0" w:color="auto"/>
      </w:divBdr>
    </w:div>
    <w:div w:id="2007592210">
      <w:bodyDiv w:val="1"/>
      <w:marLeft w:val="0"/>
      <w:marRight w:val="0"/>
      <w:marTop w:val="0"/>
      <w:marBottom w:val="0"/>
      <w:divBdr>
        <w:top w:val="none" w:sz="0" w:space="0" w:color="auto"/>
        <w:left w:val="none" w:sz="0" w:space="0" w:color="auto"/>
        <w:bottom w:val="none" w:sz="0" w:space="0" w:color="auto"/>
        <w:right w:val="none" w:sz="0" w:space="0" w:color="auto"/>
      </w:divBdr>
    </w:div>
    <w:div w:id="2007593028">
      <w:bodyDiv w:val="1"/>
      <w:marLeft w:val="0"/>
      <w:marRight w:val="0"/>
      <w:marTop w:val="0"/>
      <w:marBottom w:val="0"/>
      <w:divBdr>
        <w:top w:val="none" w:sz="0" w:space="0" w:color="auto"/>
        <w:left w:val="none" w:sz="0" w:space="0" w:color="auto"/>
        <w:bottom w:val="none" w:sz="0" w:space="0" w:color="auto"/>
        <w:right w:val="none" w:sz="0" w:space="0" w:color="auto"/>
      </w:divBdr>
    </w:div>
    <w:div w:id="2007707368">
      <w:bodyDiv w:val="1"/>
      <w:marLeft w:val="0"/>
      <w:marRight w:val="0"/>
      <w:marTop w:val="0"/>
      <w:marBottom w:val="0"/>
      <w:divBdr>
        <w:top w:val="none" w:sz="0" w:space="0" w:color="auto"/>
        <w:left w:val="none" w:sz="0" w:space="0" w:color="auto"/>
        <w:bottom w:val="none" w:sz="0" w:space="0" w:color="auto"/>
        <w:right w:val="none" w:sz="0" w:space="0" w:color="auto"/>
      </w:divBdr>
    </w:div>
    <w:div w:id="2007777414">
      <w:bodyDiv w:val="1"/>
      <w:marLeft w:val="0"/>
      <w:marRight w:val="0"/>
      <w:marTop w:val="0"/>
      <w:marBottom w:val="0"/>
      <w:divBdr>
        <w:top w:val="none" w:sz="0" w:space="0" w:color="auto"/>
        <w:left w:val="none" w:sz="0" w:space="0" w:color="auto"/>
        <w:bottom w:val="none" w:sz="0" w:space="0" w:color="auto"/>
        <w:right w:val="none" w:sz="0" w:space="0" w:color="auto"/>
      </w:divBdr>
    </w:div>
    <w:div w:id="2007902153">
      <w:bodyDiv w:val="1"/>
      <w:marLeft w:val="0"/>
      <w:marRight w:val="0"/>
      <w:marTop w:val="0"/>
      <w:marBottom w:val="0"/>
      <w:divBdr>
        <w:top w:val="none" w:sz="0" w:space="0" w:color="auto"/>
        <w:left w:val="none" w:sz="0" w:space="0" w:color="auto"/>
        <w:bottom w:val="none" w:sz="0" w:space="0" w:color="auto"/>
        <w:right w:val="none" w:sz="0" w:space="0" w:color="auto"/>
      </w:divBdr>
    </w:div>
    <w:div w:id="2008090094">
      <w:bodyDiv w:val="1"/>
      <w:marLeft w:val="0"/>
      <w:marRight w:val="0"/>
      <w:marTop w:val="0"/>
      <w:marBottom w:val="0"/>
      <w:divBdr>
        <w:top w:val="none" w:sz="0" w:space="0" w:color="auto"/>
        <w:left w:val="none" w:sz="0" w:space="0" w:color="auto"/>
        <w:bottom w:val="none" w:sz="0" w:space="0" w:color="auto"/>
        <w:right w:val="none" w:sz="0" w:space="0" w:color="auto"/>
      </w:divBdr>
    </w:div>
    <w:div w:id="2008173518">
      <w:bodyDiv w:val="1"/>
      <w:marLeft w:val="0"/>
      <w:marRight w:val="0"/>
      <w:marTop w:val="0"/>
      <w:marBottom w:val="0"/>
      <w:divBdr>
        <w:top w:val="none" w:sz="0" w:space="0" w:color="auto"/>
        <w:left w:val="none" w:sz="0" w:space="0" w:color="auto"/>
        <w:bottom w:val="none" w:sz="0" w:space="0" w:color="auto"/>
        <w:right w:val="none" w:sz="0" w:space="0" w:color="auto"/>
      </w:divBdr>
    </w:div>
    <w:div w:id="2008248624">
      <w:bodyDiv w:val="1"/>
      <w:marLeft w:val="0"/>
      <w:marRight w:val="0"/>
      <w:marTop w:val="0"/>
      <w:marBottom w:val="0"/>
      <w:divBdr>
        <w:top w:val="none" w:sz="0" w:space="0" w:color="auto"/>
        <w:left w:val="none" w:sz="0" w:space="0" w:color="auto"/>
        <w:bottom w:val="none" w:sz="0" w:space="0" w:color="auto"/>
        <w:right w:val="none" w:sz="0" w:space="0" w:color="auto"/>
      </w:divBdr>
    </w:div>
    <w:div w:id="2008249055">
      <w:bodyDiv w:val="1"/>
      <w:marLeft w:val="0"/>
      <w:marRight w:val="0"/>
      <w:marTop w:val="0"/>
      <w:marBottom w:val="0"/>
      <w:divBdr>
        <w:top w:val="none" w:sz="0" w:space="0" w:color="auto"/>
        <w:left w:val="none" w:sz="0" w:space="0" w:color="auto"/>
        <w:bottom w:val="none" w:sz="0" w:space="0" w:color="auto"/>
        <w:right w:val="none" w:sz="0" w:space="0" w:color="auto"/>
      </w:divBdr>
    </w:div>
    <w:div w:id="2008557943">
      <w:bodyDiv w:val="1"/>
      <w:marLeft w:val="0"/>
      <w:marRight w:val="0"/>
      <w:marTop w:val="0"/>
      <w:marBottom w:val="0"/>
      <w:divBdr>
        <w:top w:val="none" w:sz="0" w:space="0" w:color="auto"/>
        <w:left w:val="none" w:sz="0" w:space="0" w:color="auto"/>
        <w:bottom w:val="none" w:sz="0" w:space="0" w:color="auto"/>
        <w:right w:val="none" w:sz="0" w:space="0" w:color="auto"/>
      </w:divBdr>
    </w:div>
    <w:div w:id="2008629764">
      <w:bodyDiv w:val="1"/>
      <w:marLeft w:val="0"/>
      <w:marRight w:val="0"/>
      <w:marTop w:val="0"/>
      <w:marBottom w:val="0"/>
      <w:divBdr>
        <w:top w:val="none" w:sz="0" w:space="0" w:color="auto"/>
        <w:left w:val="none" w:sz="0" w:space="0" w:color="auto"/>
        <w:bottom w:val="none" w:sz="0" w:space="0" w:color="auto"/>
        <w:right w:val="none" w:sz="0" w:space="0" w:color="auto"/>
      </w:divBdr>
    </w:div>
    <w:div w:id="2008634685">
      <w:bodyDiv w:val="1"/>
      <w:marLeft w:val="0"/>
      <w:marRight w:val="0"/>
      <w:marTop w:val="0"/>
      <w:marBottom w:val="0"/>
      <w:divBdr>
        <w:top w:val="none" w:sz="0" w:space="0" w:color="auto"/>
        <w:left w:val="none" w:sz="0" w:space="0" w:color="auto"/>
        <w:bottom w:val="none" w:sz="0" w:space="0" w:color="auto"/>
        <w:right w:val="none" w:sz="0" w:space="0" w:color="auto"/>
      </w:divBdr>
    </w:div>
    <w:div w:id="2008747729">
      <w:bodyDiv w:val="1"/>
      <w:marLeft w:val="0"/>
      <w:marRight w:val="0"/>
      <w:marTop w:val="0"/>
      <w:marBottom w:val="0"/>
      <w:divBdr>
        <w:top w:val="none" w:sz="0" w:space="0" w:color="auto"/>
        <w:left w:val="none" w:sz="0" w:space="0" w:color="auto"/>
        <w:bottom w:val="none" w:sz="0" w:space="0" w:color="auto"/>
        <w:right w:val="none" w:sz="0" w:space="0" w:color="auto"/>
      </w:divBdr>
    </w:div>
    <w:div w:id="2008825031">
      <w:bodyDiv w:val="1"/>
      <w:marLeft w:val="0"/>
      <w:marRight w:val="0"/>
      <w:marTop w:val="0"/>
      <w:marBottom w:val="0"/>
      <w:divBdr>
        <w:top w:val="none" w:sz="0" w:space="0" w:color="auto"/>
        <w:left w:val="none" w:sz="0" w:space="0" w:color="auto"/>
        <w:bottom w:val="none" w:sz="0" w:space="0" w:color="auto"/>
        <w:right w:val="none" w:sz="0" w:space="0" w:color="auto"/>
      </w:divBdr>
    </w:div>
    <w:div w:id="2008825493">
      <w:bodyDiv w:val="1"/>
      <w:marLeft w:val="0"/>
      <w:marRight w:val="0"/>
      <w:marTop w:val="0"/>
      <w:marBottom w:val="0"/>
      <w:divBdr>
        <w:top w:val="none" w:sz="0" w:space="0" w:color="auto"/>
        <w:left w:val="none" w:sz="0" w:space="0" w:color="auto"/>
        <w:bottom w:val="none" w:sz="0" w:space="0" w:color="auto"/>
        <w:right w:val="none" w:sz="0" w:space="0" w:color="auto"/>
      </w:divBdr>
    </w:div>
    <w:div w:id="2008895230">
      <w:bodyDiv w:val="1"/>
      <w:marLeft w:val="0"/>
      <w:marRight w:val="0"/>
      <w:marTop w:val="0"/>
      <w:marBottom w:val="0"/>
      <w:divBdr>
        <w:top w:val="none" w:sz="0" w:space="0" w:color="auto"/>
        <w:left w:val="none" w:sz="0" w:space="0" w:color="auto"/>
        <w:bottom w:val="none" w:sz="0" w:space="0" w:color="auto"/>
        <w:right w:val="none" w:sz="0" w:space="0" w:color="auto"/>
      </w:divBdr>
    </w:div>
    <w:div w:id="2008901997">
      <w:bodyDiv w:val="1"/>
      <w:marLeft w:val="0"/>
      <w:marRight w:val="0"/>
      <w:marTop w:val="0"/>
      <w:marBottom w:val="0"/>
      <w:divBdr>
        <w:top w:val="none" w:sz="0" w:space="0" w:color="auto"/>
        <w:left w:val="none" w:sz="0" w:space="0" w:color="auto"/>
        <w:bottom w:val="none" w:sz="0" w:space="0" w:color="auto"/>
        <w:right w:val="none" w:sz="0" w:space="0" w:color="auto"/>
      </w:divBdr>
    </w:div>
    <w:div w:id="2008945166">
      <w:bodyDiv w:val="1"/>
      <w:marLeft w:val="0"/>
      <w:marRight w:val="0"/>
      <w:marTop w:val="0"/>
      <w:marBottom w:val="0"/>
      <w:divBdr>
        <w:top w:val="none" w:sz="0" w:space="0" w:color="auto"/>
        <w:left w:val="none" w:sz="0" w:space="0" w:color="auto"/>
        <w:bottom w:val="none" w:sz="0" w:space="0" w:color="auto"/>
        <w:right w:val="none" w:sz="0" w:space="0" w:color="auto"/>
      </w:divBdr>
    </w:div>
    <w:div w:id="2009015514">
      <w:bodyDiv w:val="1"/>
      <w:marLeft w:val="0"/>
      <w:marRight w:val="0"/>
      <w:marTop w:val="0"/>
      <w:marBottom w:val="0"/>
      <w:divBdr>
        <w:top w:val="none" w:sz="0" w:space="0" w:color="auto"/>
        <w:left w:val="none" w:sz="0" w:space="0" w:color="auto"/>
        <w:bottom w:val="none" w:sz="0" w:space="0" w:color="auto"/>
        <w:right w:val="none" w:sz="0" w:space="0" w:color="auto"/>
      </w:divBdr>
    </w:div>
    <w:div w:id="2009088504">
      <w:bodyDiv w:val="1"/>
      <w:marLeft w:val="0"/>
      <w:marRight w:val="0"/>
      <w:marTop w:val="0"/>
      <w:marBottom w:val="0"/>
      <w:divBdr>
        <w:top w:val="none" w:sz="0" w:space="0" w:color="auto"/>
        <w:left w:val="none" w:sz="0" w:space="0" w:color="auto"/>
        <w:bottom w:val="none" w:sz="0" w:space="0" w:color="auto"/>
        <w:right w:val="none" w:sz="0" w:space="0" w:color="auto"/>
      </w:divBdr>
    </w:div>
    <w:div w:id="2009089140">
      <w:bodyDiv w:val="1"/>
      <w:marLeft w:val="0"/>
      <w:marRight w:val="0"/>
      <w:marTop w:val="0"/>
      <w:marBottom w:val="0"/>
      <w:divBdr>
        <w:top w:val="none" w:sz="0" w:space="0" w:color="auto"/>
        <w:left w:val="none" w:sz="0" w:space="0" w:color="auto"/>
        <w:bottom w:val="none" w:sz="0" w:space="0" w:color="auto"/>
        <w:right w:val="none" w:sz="0" w:space="0" w:color="auto"/>
      </w:divBdr>
    </w:div>
    <w:div w:id="2009089710">
      <w:bodyDiv w:val="1"/>
      <w:marLeft w:val="0"/>
      <w:marRight w:val="0"/>
      <w:marTop w:val="0"/>
      <w:marBottom w:val="0"/>
      <w:divBdr>
        <w:top w:val="none" w:sz="0" w:space="0" w:color="auto"/>
        <w:left w:val="none" w:sz="0" w:space="0" w:color="auto"/>
        <w:bottom w:val="none" w:sz="0" w:space="0" w:color="auto"/>
        <w:right w:val="none" w:sz="0" w:space="0" w:color="auto"/>
      </w:divBdr>
    </w:div>
    <w:div w:id="2009090954">
      <w:bodyDiv w:val="1"/>
      <w:marLeft w:val="0"/>
      <w:marRight w:val="0"/>
      <w:marTop w:val="0"/>
      <w:marBottom w:val="0"/>
      <w:divBdr>
        <w:top w:val="none" w:sz="0" w:space="0" w:color="auto"/>
        <w:left w:val="none" w:sz="0" w:space="0" w:color="auto"/>
        <w:bottom w:val="none" w:sz="0" w:space="0" w:color="auto"/>
        <w:right w:val="none" w:sz="0" w:space="0" w:color="auto"/>
      </w:divBdr>
    </w:div>
    <w:div w:id="2009090965">
      <w:bodyDiv w:val="1"/>
      <w:marLeft w:val="0"/>
      <w:marRight w:val="0"/>
      <w:marTop w:val="0"/>
      <w:marBottom w:val="0"/>
      <w:divBdr>
        <w:top w:val="none" w:sz="0" w:space="0" w:color="auto"/>
        <w:left w:val="none" w:sz="0" w:space="0" w:color="auto"/>
        <w:bottom w:val="none" w:sz="0" w:space="0" w:color="auto"/>
        <w:right w:val="none" w:sz="0" w:space="0" w:color="auto"/>
      </w:divBdr>
    </w:div>
    <w:div w:id="2009287199">
      <w:bodyDiv w:val="1"/>
      <w:marLeft w:val="0"/>
      <w:marRight w:val="0"/>
      <w:marTop w:val="0"/>
      <w:marBottom w:val="0"/>
      <w:divBdr>
        <w:top w:val="none" w:sz="0" w:space="0" w:color="auto"/>
        <w:left w:val="none" w:sz="0" w:space="0" w:color="auto"/>
        <w:bottom w:val="none" w:sz="0" w:space="0" w:color="auto"/>
        <w:right w:val="none" w:sz="0" w:space="0" w:color="auto"/>
      </w:divBdr>
    </w:div>
    <w:div w:id="2009365980">
      <w:bodyDiv w:val="1"/>
      <w:marLeft w:val="0"/>
      <w:marRight w:val="0"/>
      <w:marTop w:val="0"/>
      <w:marBottom w:val="0"/>
      <w:divBdr>
        <w:top w:val="none" w:sz="0" w:space="0" w:color="auto"/>
        <w:left w:val="none" w:sz="0" w:space="0" w:color="auto"/>
        <w:bottom w:val="none" w:sz="0" w:space="0" w:color="auto"/>
        <w:right w:val="none" w:sz="0" w:space="0" w:color="auto"/>
      </w:divBdr>
    </w:div>
    <w:div w:id="2009477335">
      <w:bodyDiv w:val="1"/>
      <w:marLeft w:val="0"/>
      <w:marRight w:val="0"/>
      <w:marTop w:val="0"/>
      <w:marBottom w:val="0"/>
      <w:divBdr>
        <w:top w:val="none" w:sz="0" w:space="0" w:color="auto"/>
        <w:left w:val="none" w:sz="0" w:space="0" w:color="auto"/>
        <w:bottom w:val="none" w:sz="0" w:space="0" w:color="auto"/>
        <w:right w:val="none" w:sz="0" w:space="0" w:color="auto"/>
      </w:divBdr>
    </w:div>
    <w:div w:id="2009483315">
      <w:bodyDiv w:val="1"/>
      <w:marLeft w:val="0"/>
      <w:marRight w:val="0"/>
      <w:marTop w:val="0"/>
      <w:marBottom w:val="0"/>
      <w:divBdr>
        <w:top w:val="none" w:sz="0" w:space="0" w:color="auto"/>
        <w:left w:val="none" w:sz="0" w:space="0" w:color="auto"/>
        <w:bottom w:val="none" w:sz="0" w:space="0" w:color="auto"/>
        <w:right w:val="none" w:sz="0" w:space="0" w:color="auto"/>
      </w:divBdr>
    </w:div>
    <w:div w:id="2009597926">
      <w:bodyDiv w:val="1"/>
      <w:marLeft w:val="0"/>
      <w:marRight w:val="0"/>
      <w:marTop w:val="0"/>
      <w:marBottom w:val="0"/>
      <w:divBdr>
        <w:top w:val="none" w:sz="0" w:space="0" w:color="auto"/>
        <w:left w:val="none" w:sz="0" w:space="0" w:color="auto"/>
        <w:bottom w:val="none" w:sz="0" w:space="0" w:color="auto"/>
        <w:right w:val="none" w:sz="0" w:space="0" w:color="auto"/>
      </w:divBdr>
    </w:div>
    <w:div w:id="2009746466">
      <w:bodyDiv w:val="1"/>
      <w:marLeft w:val="0"/>
      <w:marRight w:val="0"/>
      <w:marTop w:val="0"/>
      <w:marBottom w:val="0"/>
      <w:divBdr>
        <w:top w:val="none" w:sz="0" w:space="0" w:color="auto"/>
        <w:left w:val="none" w:sz="0" w:space="0" w:color="auto"/>
        <w:bottom w:val="none" w:sz="0" w:space="0" w:color="auto"/>
        <w:right w:val="none" w:sz="0" w:space="0" w:color="auto"/>
      </w:divBdr>
    </w:div>
    <w:div w:id="2009752047">
      <w:bodyDiv w:val="1"/>
      <w:marLeft w:val="0"/>
      <w:marRight w:val="0"/>
      <w:marTop w:val="0"/>
      <w:marBottom w:val="0"/>
      <w:divBdr>
        <w:top w:val="none" w:sz="0" w:space="0" w:color="auto"/>
        <w:left w:val="none" w:sz="0" w:space="0" w:color="auto"/>
        <w:bottom w:val="none" w:sz="0" w:space="0" w:color="auto"/>
        <w:right w:val="none" w:sz="0" w:space="0" w:color="auto"/>
      </w:divBdr>
    </w:div>
    <w:div w:id="2009820733">
      <w:bodyDiv w:val="1"/>
      <w:marLeft w:val="0"/>
      <w:marRight w:val="0"/>
      <w:marTop w:val="0"/>
      <w:marBottom w:val="0"/>
      <w:divBdr>
        <w:top w:val="none" w:sz="0" w:space="0" w:color="auto"/>
        <w:left w:val="none" w:sz="0" w:space="0" w:color="auto"/>
        <w:bottom w:val="none" w:sz="0" w:space="0" w:color="auto"/>
        <w:right w:val="none" w:sz="0" w:space="0" w:color="auto"/>
      </w:divBdr>
    </w:div>
    <w:div w:id="2009866451">
      <w:bodyDiv w:val="1"/>
      <w:marLeft w:val="0"/>
      <w:marRight w:val="0"/>
      <w:marTop w:val="0"/>
      <w:marBottom w:val="0"/>
      <w:divBdr>
        <w:top w:val="none" w:sz="0" w:space="0" w:color="auto"/>
        <w:left w:val="none" w:sz="0" w:space="0" w:color="auto"/>
        <w:bottom w:val="none" w:sz="0" w:space="0" w:color="auto"/>
        <w:right w:val="none" w:sz="0" w:space="0" w:color="auto"/>
      </w:divBdr>
    </w:div>
    <w:div w:id="2009867047">
      <w:bodyDiv w:val="1"/>
      <w:marLeft w:val="0"/>
      <w:marRight w:val="0"/>
      <w:marTop w:val="0"/>
      <w:marBottom w:val="0"/>
      <w:divBdr>
        <w:top w:val="none" w:sz="0" w:space="0" w:color="auto"/>
        <w:left w:val="none" w:sz="0" w:space="0" w:color="auto"/>
        <w:bottom w:val="none" w:sz="0" w:space="0" w:color="auto"/>
        <w:right w:val="none" w:sz="0" w:space="0" w:color="auto"/>
      </w:divBdr>
    </w:div>
    <w:div w:id="2009939503">
      <w:bodyDiv w:val="1"/>
      <w:marLeft w:val="0"/>
      <w:marRight w:val="0"/>
      <w:marTop w:val="0"/>
      <w:marBottom w:val="0"/>
      <w:divBdr>
        <w:top w:val="none" w:sz="0" w:space="0" w:color="auto"/>
        <w:left w:val="none" w:sz="0" w:space="0" w:color="auto"/>
        <w:bottom w:val="none" w:sz="0" w:space="0" w:color="auto"/>
        <w:right w:val="none" w:sz="0" w:space="0" w:color="auto"/>
      </w:divBdr>
    </w:div>
    <w:div w:id="2009944364">
      <w:bodyDiv w:val="1"/>
      <w:marLeft w:val="0"/>
      <w:marRight w:val="0"/>
      <w:marTop w:val="0"/>
      <w:marBottom w:val="0"/>
      <w:divBdr>
        <w:top w:val="none" w:sz="0" w:space="0" w:color="auto"/>
        <w:left w:val="none" w:sz="0" w:space="0" w:color="auto"/>
        <w:bottom w:val="none" w:sz="0" w:space="0" w:color="auto"/>
        <w:right w:val="none" w:sz="0" w:space="0" w:color="auto"/>
      </w:divBdr>
    </w:div>
    <w:div w:id="2010018473">
      <w:bodyDiv w:val="1"/>
      <w:marLeft w:val="0"/>
      <w:marRight w:val="0"/>
      <w:marTop w:val="0"/>
      <w:marBottom w:val="0"/>
      <w:divBdr>
        <w:top w:val="none" w:sz="0" w:space="0" w:color="auto"/>
        <w:left w:val="none" w:sz="0" w:space="0" w:color="auto"/>
        <w:bottom w:val="none" w:sz="0" w:space="0" w:color="auto"/>
        <w:right w:val="none" w:sz="0" w:space="0" w:color="auto"/>
      </w:divBdr>
    </w:div>
    <w:div w:id="2010138141">
      <w:bodyDiv w:val="1"/>
      <w:marLeft w:val="0"/>
      <w:marRight w:val="0"/>
      <w:marTop w:val="0"/>
      <w:marBottom w:val="0"/>
      <w:divBdr>
        <w:top w:val="none" w:sz="0" w:space="0" w:color="auto"/>
        <w:left w:val="none" w:sz="0" w:space="0" w:color="auto"/>
        <w:bottom w:val="none" w:sz="0" w:space="0" w:color="auto"/>
        <w:right w:val="none" w:sz="0" w:space="0" w:color="auto"/>
      </w:divBdr>
    </w:div>
    <w:div w:id="2010281673">
      <w:bodyDiv w:val="1"/>
      <w:marLeft w:val="0"/>
      <w:marRight w:val="0"/>
      <w:marTop w:val="0"/>
      <w:marBottom w:val="0"/>
      <w:divBdr>
        <w:top w:val="none" w:sz="0" w:space="0" w:color="auto"/>
        <w:left w:val="none" w:sz="0" w:space="0" w:color="auto"/>
        <w:bottom w:val="none" w:sz="0" w:space="0" w:color="auto"/>
        <w:right w:val="none" w:sz="0" w:space="0" w:color="auto"/>
      </w:divBdr>
    </w:div>
    <w:div w:id="2010401647">
      <w:bodyDiv w:val="1"/>
      <w:marLeft w:val="0"/>
      <w:marRight w:val="0"/>
      <w:marTop w:val="0"/>
      <w:marBottom w:val="0"/>
      <w:divBdr>
        <w:top w:val="none" w:sz="0" w:space="0" w:color="auto"/>
        <w:left w:val="none" w:sz="0" w:space="0" w:color="auto"/>
        <w:bottom w:val="none" w:sz="0" w:space="0" w:color="auto"/>
        <w:right w:val="none" w:sz="0" w:space="0" w:color="auto"/>
      </w:divBdr>
    </w:div>
    <w:div w:id="2010449442">
      <w:bodyDiv w:val="1"/>
      <w:marLeft w:val="0"/>
      <w:marRight w:val="0"/>
      <w:marTop w:val="0"/>
      <w:marBottom w:val="0"/>
      <w:divBdr>
        <w:top w:val="none" w:sz="0" w:space="0" w:color="auto"/>
        <w:left w:val="none" w:sz="0" w:space="0" w:color="auto"/>
        <w:bottom w:val="none" w:sz="0" w:space="0" w:color="auto"/>
        <w:right w:val="none" w:sz="0" w:space="0" w:color="auto"/>
      </w:divBdr>
    </w:div>
    <w:div w:id="2010477373">
      <w:bodyDiv w:val="1"/>
      <w:marLeft w:val="0"/>
      <w:marRight w:val="0"/>
      <w:marTop w:val="0"/>
      <w:marBottom w:val="0"/>
      <w:divBdr>
        <w:top w:val="none" w:sz="0" w:space="0" w:color="auto"/>
        <w:left w:val="none" w:sz="0" w:space="0" w:color="auto"/>
        <w:bottom w:val="none" w:sz="0" w:space="0" w:color="auto"/>
        <w:right w:val="none" w:sz="0" w:space="0" w:color="auto"/>
      </w:divBdr>
    </w:div>
    <w:div w:id="2010479906">
      <w:bodyDiv w:val="1"/>
      <w:marLeft w:val="0"/>
      <w:marRight w:val="0"/>
      <w:marTop w:val="0"/>
      <w:marBottom w:val="0"/>
      <w:divBdr>
        <w:top w:val="none" w:sz="0" w:space="0" w:color="auto"/>
        <w:left w:val="none" w:sz="0" w:space="0" w:color="auto"/>
        <w:bottom w:val="none" w:sz="0" w:space="0" w:color="auto"/>
        <w:right w:val="none" w:sz="0" w:space="0" w:color="auto"/>
      </w:divBdr>
    </w:div>
    <w:div w:id="2010600119">
      <w:bodyDiv w:val="1"/>
      <w:marLeft w:val="0"/>
      <w:marRight w:val="0"/>
      <w:marTop w:val="0"/>
      <w:marBottom w:val="0"/>
      <w:divBdr>
        <w:top w:val="none" w:sz="0" w:space="0" w:color="auto"/>
        <w:left w:val="none" w:sz="0" w:space="0" w:color="auto"/>
        <w:bottom w:val="none" w:sz="0" w:space="0" w:color="auto"/>
        <w:right w:val="none" w:sz="0" w:space="0" w:color="auto"/>
      </w:divBdr>
    </w:div>
    <w:div w:id="2010674887">
      <w:bodyDiv w:val="1"/>
      <w:marLeft w:val="0"/>
      <w:marRight w:val="0"/>
      <w:marTop w:val="0"/>
      <w:marBottom w:val="0"/>
      <w:divBdr>
        <w:top w:val="none" w:sz="0" w:space="0" w:color="auto"/>
        <w:left w:val="none" w:sz="0" w:space="0" w:color="auto"/>
        <w:bottom w:val="none" w:sz="0" w:space="0" w:color="auto"/>
        <w:right w:val="none" w:sz="0" w:space="0" w:color="auto"/>
      </w:divBdr>
    </w:div>
    <w:div w:id="2010865916">
      <w:bodyDiv w:val="1"/>
      <w:marLeft w:val="0"/>
      <w:marRight w:val="0"/>
      <w:marTop w:val="0"/>
      <w:marBottom w:val="0"/>
      <w:divBdr>
        <w:top w:val="none" w:sz="0" w:space="0" w:color="auto"/>
        <w:left w:val="none" w:sz="0" w:space="0" w:color="auto"/>
        <w:bottom w:val="none" w:sz="0" w:space="0" w:color="auto"/>
        <w:right w:val="none" w:sz="0" w:space="0" w:color="auto"/>
      </w:divBdr>
    </w:div>
    <w:div w:id="2010866928">
      <w:bodyDiv w:val="1"/>
      <w:marLeft w:val="0"/>
      <w:marRight w:val="0"/>
      <w:marTop w:val="0"/>
      <w:marBottom w:val="0"/>
      <w:divBdr>
        <w:top w:val="none" w:sz="0" w:space="0" w:color="auto"/>
        <w:left w:val="none" w:sz="0" w:space="0" w:color="auto"/>
        <w:bottom w:val="none" w:sz="0" w:space="0" w:color="auto"/>
        <w:right w:val="none" w:sz="0" w:space="0" w:color="auto"/>
      </w:divBdr>
    </w:div>
    <w:div w:id="2010868511">
      <w:bodyDiv w:val="1"/>
      <w:marLeft w:val="0"/>
      <w:marRight w:val="0"/>
      <w:marTop w:val="0"/>
      <w:marBottom w:val="0"/>
      <w:divBdr>
        <w:top w:val="none" w:sz="0" w:space="0" w:color="auto"/>
        <w:left w:val="none" w:sz="0" w:space="0" w:color="auto"/>
        <w:bottom w:val="none" w:sz="0" w:space="0" w:color="auto"/>
        <w:right w:val="none" w:sz="0" w:space="0" w:color="auto"/>
      </w:divBdr>
    </w:div>
    <w:div w:id="2010909388">
      <w:bodyDiv w:val="1"/>
      <w:marLeft w:val="0"/>
      <w:marRight w:val="0"/>
      <w:marTop w:val="0"/>
      <w:marBottom w:val="0"/>
      <w:divBdr>
        <w:top w:val="none" w:sz="0" w:space="0" w:color="auto"/>
        <w:left w:val="none" w:sz="0" w:space="0" w:color="auto"/>
        <w:bottom w:val="none" w:sz="0" w:space="0" w:color="auto"/>
        <w:right w:val="none" w:sz="0" w:space="0" w:color="auto"/>
      </w:divBdr>
    </w:div>
    <w:div w:id="2010979169">
      <w:bodyDiv w:val="1"/>
      <w:marLeft w:val="0"/>
      <w:marRight w:val="0"/>
      <w:marTop w:val="0"/>
      <w:marBottom w:val="0"/>
      <w:divBdr>
        <w:top w:val="none" w:sz="0" w:space="0" w:color="auto"/>
        <w:left w:val="none" w:sz="0" w:space="0" w:color="auto"/>
        <w:bottom w:val="none" w:sz="0" w:space="0" w:color="auto"/>
        <w:right w:val="none" w:sz="0" w:space="0" w:color="auto"/>
      </w:divBdr>
    </w:div>
    <w:div w:id="2010979966">
      <w:bodyDiv w:val="1"/>
      <w:marLeft w:val="0"/>
      <w:marRight w:val="0"/>
      <w:marTop w:val="0"/>
      <w:marBottom w:val="0"/>
      <w:divBdr>
        <w:top w:val="none" w:sz="0" w:space="0" w:color="auto"/>
        <w:left w:val="none" w:sz="0" w:space="0" w:color="auto"/>
        <w:bottom w:val="none" w:sz="0" w:space="0" w:color="auto"/>
        <w:right w:val="none" w:sz="0" w:space="0" w:color="auto"/>
      </w:divBdr>
    </w:div>
    <w:div w:id="2011055532">
      <w:bodyDiv w:val="1"/>
      <w:marLeft w:val="0"/>
      <w:marRight w:val="0"/>
      <w:marTop w:val="0"/>
      <w:marBottom w:val="0"/>
      <w:divBdr>
        <w:top w:val="none" w:sz="0" w:space="0" w:color="auto"/>
        <w:left w:val="none" w:sz="0" w:space="0" w:color="auto"/>
        <w:bottom w:val="none" w:sz="0" w:space="0" w:color="auto"/>
        <w:right w:val="none" w:sz="0" w:space="0" w:color="auto"/>
      </w:divBdr>
    </w:div>
    <w:div w:id="2011056373">
      <w:bodyDiv w:val="1"/>
      <w:marLeft w:val="0"/>
      <w:marRight w:val="0"/>
      <w:marTop w:val="0"/>
      <w:marBottom w:val="0"/>
      <w:divBdr>
        <w:top w:val="none" w:sz="0" w:space="0" w:color="auto"/>
        <w:left w:val="none" w:sz="0" w:space="0" w:color="auto"/>
        <w:bottom w:val="none" w:sz="0" w:space="0" w:color="auto"/>
        <w:right w:val="none" w:sz="0" w:space="0" w:color="auto"/>
      </w:divBdr>
    </w:div>
    <w:div w:id="2011061905">
      <w:bodyDiv w:val="1"/>
      <w:marLeft w:val="0"/>
      <w:marRight w:val="0"/>
      <w:marTop w:val="0"/>
      <w:marBottom w:val="0"/>
      <w:divBdr>
        <w:top w:val="none" w:sz="0" w:space="0" w:color="auto"/>
        <w:left w:val="none" w:sz="0" w:space="0" w:color="auto"/>
        <w:bottom w:val="none" w:sz="0" w:space="0" w:color="auto"/>
        <w:right w:val="none" w:sz="0" w:space="0" w:color="auto"/>
      </w:divBdr>
    </w:div>
    <w:div w:id="2011132686">
      <w:bodyDiv w:val="1"/>
      <w:marLeft w:val="0"/>
      <w:marRight w:val="0"/>
      <w:marTop w:val="0"/>
      <w:marBottom w:val="0"/>
      <w:divBdr>
        <w:top w:val="none" w:sz="0" w:space="0" w:color="auto"/>
        <w:left w:val="none" w:sz="0" w:space="0" w:color="auto"/>
        <w:bottom w:val="none" w:sz="0" w:space="0" w:color="auto"/>
        <w:right w:val="none" w:sz="0" w:space="0" w:color="auto"/>
      </w:divBdr>
    </w:div>
    <w:div w:id="2011174558">
      <w:bodyDiv w:val="1"/>
      <w:marLeft w:val="0"/>
      <w:marRight w:val="0"/>
      <w:marTop w:val="0"/>
      <w:marBottom w:val="0"/>
      <w:divBdr>
        <w:top w:val="none" w:sz="0" w:space="0" w:color="auto"/>
        <w:left w:val="none" w:sz="0" w:space="0" w:color="auto"/>
        <w:bottom w:val="none" w:sz="0" w:space="0" w:color="auto"/>
        <w:right w:val="none" w:sz="0" w:space="0" w:color="auto"/>
      </w:divBdr>
    </w:div>
    <w:div w:id="2011180879">
      <w:bodyDiv w:val="1"/>
      <w:marLeft w:val="0"/>
      <w:marRight w:val="0"/>
      <w:marTop w:val="0"/>
      <w:marBottom w:val="0"/>
      <w:divBdr>
        <w:top w:val="none" w:sz="0" w:space="0" w:color="auto"/>
        <w:left w:val="none" w:sz="0" w:space="0" w:color="auto"/>
        <w:bottom w:val="none" w:sz="0" w:space="0" w:color="auto"/>
        <w:right w:val="none" w:sz="0" w:space="0" w:color="auto"/>
      </w:divBdr>
    </w:div>
    <w:div w:id="2011328497">
      <w:bodyDiv w:val="1"/>
      <w:marLeft w:val="0"/>
      <w:marRight w:val="0"/>
      <w:marTop w:val="0"/>
      <w:marBottom w:val="0"/>
      <w:divBdr>
        <w:top w:val="none" w:sz="0" w:space="0" w:color="auto"/>
        <w:left w:val="none" w:sz="0" w:space="0" w:color="auto"/>
        <w:bottom w:val="none" w:sz="0" w:space="0" w:color="auto"/>
        <w:right w:val="none" w:sz="0" w:space="0" w:color="auto"/>
      </w:divBdr>
    </w:div>
    <w:div w:id="2011329140">
      <w:bodyDiv w:val="1"/>
      <w:marLeft w:val="0"/>
      <w:marRight w:val="0"/>
      <w:marTop w:val="0"/>
      <w:marBottom w:val="0"/>
      <w:divBdr>
        <w:top w:val="none" w:sz="0" w:space="0" w:color="auto"/>
        <w:left w:val="none" w:sz="0" w:space="0" w:color="auto"/>
        <w:bottom w:val="none" w:sz="0" w:space="0" w:color="auto"/>
        <w:right w:val="none" w:sz="0" w:space="0" w:color="auto"/>
      </w:divBdr>
    </w:div>
    <w:div w:id="2011366333">
      <w:bodyDiv w:val="1"/>
      <w:marLeft w:val="0"/>
      <w:marRight w:val="0"/>
      <w:marTop w:val="0"/>
      <w:marBottom w:val="0"/>
      <w:divBdr>
        <w:top w:val="none" w:sz="0" w:space="0" w:color="auto"/>
        <w:left w:val="none" w:sz="0" w:space="0" w:color="auto"/>
        <w:bottom w:val="none" w:sz="0" w:space="0" w:color="auto"/>
        <w:right w:val="none" w:sz="0" w:space="0" w:color="auto"/>
      </w:divBdr>
    </w:div>
    <w:div w:id="2011565603">
      <w:bodyDiv w:val="1"/>
      <w:marLeft w:val="0"/>
      <w:marRight w:val="0"/>
      <w:marTop w:val="0"/>
      <w:marBottom w:val="0"/>
      <w:divBdr>
        <w:top w:val="none" w:sz="0" w:space="0" w:color="auto"/>
        <w:left w:val="none" w:sz="0" w:space="0" w:color="auto"/>
        <w:bottom w:val="none" w:sz="0" w:space="0" w:color="auto"/>
        <w:right w:val="none" w:sz="0" w:space="0" w:color="auto"/>
      </w:divBdr>
    </w:div>
    <w:div w:id="2011636101">
      <w:bodyDiv w:val="1"/>
      <w:marLeft w:val="0"/>
      <w:marRight w:val="0"/>
      <w:marTop w:val="0"/>
      <w:marBottom w:val="0"/>
      <w:divBdr>
        <w:top w:val="none" w:sz="0" w:space="0" w:color="auto"/>
        <w:left w:val="none" w:sz="0" w:space="0" w:color="auto"/>
        <w:bottom w:val="none" w:sz="0" w:space="0" w:color="auto"/>
        <w:right w:val="none" w:sz="0" w:space="0" w:color="auto"/>
      </w:divBdr>
    </w:div>
    <w:div w:id="2011640659">
      <w:bodyDiv w:val="1"/>
      <w:marLeft w:val="0"/>
      <w:marRight w:val="0"/>
      <w:marTop w:val="0"/>
      <w:marBottom w:val="0"/>
      <w:divBdr>
        <w:top w:val="none" w:sz="0" w:space="0" w:color="auto"/>
        <w:left w:val="none" w:sz="0" w:space="0" w:color="auto"/>
        <w:bottom w:val="none" w:sz="0" w:space="0" w:color="auto"/>
        <w:right w:val="none" w:sz="0" w:space="0" w:color="auto"/>
      </w:divBdr>
    </w:div>
    <w:div w:id="2011712581">
      <w:bodyDiv w:val="1"/>
      <w:marLeft w:val="0"/>
      <w:marRight w:val="0"/>
      <w:marTop w:val="0"/>
      <w:marBottom w:val="0"/>
      <w:divBdr>
        <w:top w:val="none" w:sz="0" w:space="0" w:color="auto"/>
        <w:left w:val="none" w:sz="0" w:space="0" w:color="auto"/>
        <w:bottom w:val="none" w:sz="0" w:space="0" w:color="auto"/>
        <w:right w:val="none" w:sz="0" w:space="0" w:color="auto"/>
      </w:divBdr>
    </w:div>
    <w:div w:id="2011717900">
      <w:bodyDiv w:val="1"/>
      <w:marLeft w:val="0"/>
      <w:marRight w:val="0"/>
      <w:marTop w:val="0"/>
      <w:marBottom w:val="0"/>
      <w:divBdr>
        <w:top w:val="none" w:sz="0" w:space="0" w:color="auto"/>
        <w:left w:val="none" w:sz="0" w:space="0" w:color="auto"/>
        <w:bottom w:val="none" w:sz="0" w:space="0" w:color="auto"/>
        <w:right w:val="none" w:sz="0" w:space="0" w:color="auto"/>
      </w:divBdr>
    </w:div>
    <w:div w:id="2011760247">
      <w:bodyDiv w:val="1"/>
      <w:marLeft w:val="0"/>
      <w:marRight w:val="0"/>
      <w:marTop w:val="0"/>
      <w:marBottom w:val="0"/>
      <w:divBdr>
        <w:top w:val="none" w:sz="0" w:space="0" w:color="auto"/>
        <w:left w:val="none" w:sz="0" w:space="0" w:color="auto"/>
        <w:bottom w:val="none" w:sz="0" w:space="0" w:color="auto"/>
        <w:right w:val="none" w:sz="0" w:space="0" w:color="auto"/>
      </w:divBdr>
    </w:div>
    <w:div w:id="2011787924">
      <w:bodyDiv w:val="1"/>
      <w:marLeft w:val="0"/>
      <w:marRight w:val="0"/>
      <w:marTop w:val="0"/>
      <w:marBottom w:val="0"/>
      <w:divBdr>
        <w:top w:val="none" w:sz="0" w:space="0" w:color="auto"/>
        <w:left w:val="none" w:sz="0" w:space="0" w:color="auto"/>
        <w:bottom w:val="none" w:sz="0" w:space="0" w:color="auto"/>
        <w:right w:val="none" w:sz="0" w:space="0" w:color="auto"/>
      </w:divBdr>
    </w:div>
    <w:div w:id="2011911609">
      <w:bodyDiv w:val="1"/>
      <w:marLeft w:val="0"/>
      <w:marRight w:val="0"/>
      <w:marTop w:val="0"/>
      <w:marBottom w:val="0"/>
      <w:divBdr>
        <w:top w:val="none" w:sz="0" w:space="0" w:color="auto"/>
        <w:left w:val="none" w:sz="0" w:space="0" w:color="auto"/>
        <w:bottom w:val="none" w:sz="0" w:space="0" w:color="auto"/>
        <w:right w:val="none" w:sz="0" w:space="0" w:color="auto"/>
      </w:divBdr>
    </w:div>
    <w:div w:id="2012026746">
      <w:bodyDiv w:val="1"/>
      <w:marLeft w:val="0"/>
      <w:marRight w:val="0"/>
      <w:marTop w:val="0"/>
      <w:marBottom w:val="0"/>
      <w:divBdr>
        <w:top w:val="none" w:sz="0" w:space="0" w:color="auto"/>
        <w:left w:val="none" w:sz="0" w:space="0" w:color="auto"/>
        <w:bottom w:val="none" w:sz="0" w:space="0" w:color="auto"/>
        <w:right w:val="none" w:sz="0" w:space="0" w:color="auto"/>
      </w:divBdr>
    </w:div>
    <w:div w:id="2012173013">
      <w:bodyDiv w:val="1"/>
      <w:marLeft w:val="0"/>
      <w:marRight w:val="0"/>
      <w:marTop w:val="0"/>
      <w:marBottom w:val="0"/>
      <w:divBdr>
        <w:top w:val="none" w:sz="0" w:space="0" w:color="auto"/>
        <w:left w:val="none" w:sz="0" w:space="0" w:color="auto"/>
        <w:bottom w:val="none" w:sz="0" w:space="0" w:color="auto"/>
        <w:right w:val="none" w:sz="0" w:space="0" w:color="auto"/>
      </w:divBdr>
    </w:div>
    <w:div w:id="2012173173">
      <w:bodyDiv w:val="1"/>
      <w:marLeft w:val="0"/>
      <w:marRight w:val="0"/>
      <w:marTop w:val="0"/>
      <w:marBottom w:val="0"/>
      <w:divBdr>
        <w:top w:val="none" w:sz="0" w:space="0" w:color="auto"/>
        <w:left w:val="none" w:sz="0" w:space="0" w:color="auto"/>
        <w:bottom w:val="none" w:sz="0" w:space="0" w:color="auto"/>
        <w:right w:val="none" w:sz="0" w:space="0" w:color="auto"/>
      </w:divBdr>
    </w:div>
    <w:div w:id="2012219173">
      <w:bodyDiv w:val="1"/>
      <w:marLeft w:val="0"/>
      <w:marRight w:val="0"/>
      <w:marTop w:val="0"/>
      <w:marBottom w:val="0"/>
      <w:divBdr>
        <w:top w:val="none" w:sz="0" w:space="0" w:color="auto"/>
        <w:left w:val="none" w:sz="0" w:space="0" w:color="auto"/>
        <w:bottom w:val="none" w:sz="0" w:space="0" w:color="auto"/>
        <w:right w:val="none" w:sz="0" w:space="0" w:color="auto"/>
      </w:divBdr>
    </w:div>
    <w:div w:id="2012370999">
      <w:bodyDiv w:val="1"/>
      <w:marLeft w:val="0"/>
      <w:marRight w:val="0"/>
      <w:marTop w:val="0"/>
      <w:marBottom w:val="0"/>
      <w:divBdr>
        <w:top w:val="none" w:sz="0" w:space="0" w:color="auto"/>
        <w:left w:val="none" w:sz="0" w:space="0" w:color="auto"/>
        <w:bottom w:val="none" w:sz="0" w:space="0" w:color="auto"/>
        <w:right w:val="none" w:sz="0" w:space="0" w:color="auto"/>
      </w:divBdr>
    </w:div>
    <w:div w:id="2012444216">
      <w:bodyDiv w:val="1"/>
      <w:marLeft w:val="0"/>
      <w:marRight w:val="0"/>
      <w:marTop w:val="0"/>
      <w:marBottom w:val="0"/>
      <w:divBdr>
        <w:top w:val="none" w:sz="0" w:space="0" w:color="auto"/>
        <w:left w:val="none" w:sz="0" w:space="0" w:color="auto"/>
        <w:bottom w:val="none" w:sz="0" w:space="0" w:color="auto"/>
        <w:right w:val="none" w:sz="0" w:space="0" w:color="auto"/>
      </w:divBdr>
    </w:div>
    <w:div w:id="2012445442">
      <w:bodyDiv w:val="1"/>
      <w:marLeft w:val="0"/>
      <w:marRight w:val="0"/>
      <w:marTop w:val="0"/>
      <w:marBottom w:val="0"/>
      <w:divBdr>
        <w:top w:val="none" w:sz="0" w:space="0" w:color="auto"/>
        <w:left w:val="none" w:sz="0" w:space="0" w:color="auto"/>
        <w:bottom w:val="none" w:sz="0" w:space="0" w:color="auto"/>
        <w:right w:val="none" w:sz="0" w:space="0" w:color="auto"/>
      </w:divBdr>
    </w:div>
    <w:div w:id="2012566594">
      <w:bodyDiv w:val="1"/>
      <w:marLeft w:val="0"/>
      <w:marRight w:val="0"/>
      <w:marTop w:val="0"/>
      <w:marBottom w:val="0"/>
      <w:divBdr>
        <w:top w:val="none" w:sz="0" w:space="0" w:color="auto"/>
        <w:left w:val="none" w:sz="0" w:space="0" w:color="auto"/>
        <w:bottom w:val="none" w:sz="0" w:space="0" w:color="auto"/>
        <w:right w:val="none" w:sz="0" w:space="0" w:color="auto"/>
      </w:divBdr>
    </w:div>
    <w:div w:id="2012642199">
      <w:bodyDiv w:val="1"/>
      <w:marLeft w:val="0"/>
      <w:marRight w:val="0"/>
      <w:marTop w:val="0"/>
      <w:marBottom w:val="0"/>
      <w:divBdr>
        <w:top w:val="none" w:sz="0" w:space="0" w:color="auto"/>
        <w:left w:val="none" w:sz="0" w:space="0" w:color="auto"/>
        <w:bottom w:val="none" w:sz="0" w:space="0" w:color="auto"/>
        <w:right w:val="none" w:sz="0" w:space="0" w:color="auto"/>
      </w:divBdr>
    </w:div>
    <w:div w:id="2012683303">
      <w:bodyDiv w:val="1"/>
      <w:marLeft w:val="0"/>
      <w:marRight w:val="0"/>
      <w:marTop w:val="0"/>
      <w:marBottom w:val="0"/>
      <w:divBdr>
        <w:top w:val="none" w:sz="0" w:space="0" w:color="auto"/>
        <w:left w:val="none" w:sz="0" w:space="0" w:color="auto"/>
        <w:bottom w:val="none" w:sz="0" w:space="0" w:color="auto"/>
        <w:right w:val="none" w:sz="0" w:space="0" w:color="auto"/>
      </w:divBdr>
    </w:div>
    <w:div w:id="2012754163">
      <w:bodyDiv w:val="1"/>
      <w:marLeft w:val="0"/>
      <w:marRight w:val="0"/>
      <w:marTop w:val="0"/>
      <w:marBottom w:val="0"/>
      <w:divBdr>
        <w:top w:val="none" w:sz="0" w:space="0" w:color="auto"/>
        <w:left w:val="none" w:sz="0" w:space="0" w:color="auto"/>
        <w:bottom w:val="none" w:sz="0" w:space="0" w:color="auto"/>
        <w:right w:val="none" w:sz="0" w:space="0" w:color="auto"/>
      </w:divBdr>
    </w:div>
    <w:div w:id="2012833861">
      <w:bodyDiv w:val="1"/>
      <w:marLeft w:val="0"/>
      <w:marRight w:val="0"/>
      <w:marTop w:val="0"/>
      <w:marBottom w:val="0"/>
      <w:divBdr>
        <w:top w:val="none" w:sz="0" w:space="0" w:color="auto"/>
        <w:left w:val="none" w:sz="0" w:space="0" w:color="auto"/>
        <w:bottom w:val="none" w:sz="0" w:space="0" w:color="auto"/>
        <w:right w:val="none" w:sz="0" w:space="0" w:color="auto"/>
      </w:divBdr>
    </w:div>
    <w:div w:id="2012874836">
      <w:bodyDiv w:val="1"/>
      <w:marLeft w:val="0"/>
      <w:marRight w:val="0"/>
      <w:marTop w:val="0"/>
      <w:marBottom w:val="0"/>
      <w:divBdr>
        <w:top w:val="none" w:sz="0" w:space="0" w:color="auto"/>
        <w:left w:val="none" w:sz="0" w:space="0" w:color="auto"/>
        <w:bottom w:val="none" w:sz="0" w:space="0" w:color="auto"/>
        <w:right w:val="none" w:sz="0" w:space="0" w:color="auto"/>
      </w:divBdr>
    </w:div>
    <w:div w:id="2013020675">
      <w:bodyDiv w:val="1"/>
      <w:marLeft w:val="0"/>
      <w:marRight w:val="0"/>
      <w:marTop w:val="0"/>
      <w:marBottom w:val="0"/>
      <w:divBdr>
        <w:top w:val="none" w:sz="0" w:space="0" w:color="auto"/>
        <w:left w:val="none" w:sz="0" w:space="0" w:color="auto"/>
        <w:bottom w:val="none" w:sz="0" w:space="0" w:color="auto"/>
        <w:right w:val="none" w:sz="0" w:space="0" w:color="auto"/>
      </w:divBdr>
    </w:div>
    <w:div w:id="2013021686">
      <w:bodyDiv w:val="1"/>
      <w:marLeft w:val="0"/>
      <w:marRight w:val="0"/>
      <w:marTop w:val="0"/>
      <w:marBottom w:val="0"/>
      <w:divBdr>
        <w:top w:val="none" w:sz="0" w:space="0" w:color="auto"/>
        <w:left w:val="none" w:sz="0" w:space="0" w:color="auto"/>
        <w:bottom w:val="none" w:sz="0" w:space="0" w:color="auto"/>
        <w:right w:val="none" w:sz="0" w:space="0" w:color="auto"/>
      </w:divBdr>
    </w:div>
    <w:div w:id="2013069566">
      <w:bodyDiv w:val="1"/>
      <w:marLeft w:val="0"/>
      <w:marRight w:val="0"/>
      <w:marTop w:val="0"/>
      <w:marBottom w:val="0"/>
      <w:divBdr>
        <w:top w:val="none" w:sz="0" w:space="0" w:color="auto"/>
        <w:left w:val="none" w:sz="0" w:space="0" w:color="auto"/>
        <w:bottom w:val="none" w:sz="0" w:space="0" w:color="auto"/>
        <w:right w:val="none" w:sz="0" w:space="0" w:color="auto"/>
      </w:divBdr>
    </w:div>
    <w:div w:id="2013097590">
      <w:bodyDiv w:val="1"/>
      <w:marLeft w:val="0"/>
      <w:marRight w:val="0"/>
      <w:marTop w:val="0"/>
      <w:marBottom w:val="0"/>
      <w:divBdr>
        <w:top w:val="none" w:sz="0" w:space="0" w:color="auto"/>
        <w:left w:val="none" w:sz="0" w:space="0" w:color="auto"/>
        <w:bottom w:val="none" w:sz="0" w:space="0" w:color="auto"/>
        <w:right w:val="none" w:sz="0" w:space="0" w:color="auto"/>
      </w:divBdr>
    </w:div>
    <w:div w:id="2013137878">
      <w:bodyDiv w:val="1"/>
      <w:marLeft w:val="0"/>
      <w:marRight w:val="0"/>
      <w:marTop w:val="0"/>
      <w:marBottom w:val="0"/>
      <w:divBdr>
        <w:top w:val="none" w:sz="0" w:space="0" w:color="auto"/>
        <w:left w:val="none" w:sz="0" w:space="0" w:color="auto"/>
        <w:bottom w:val="none" w:sz="0" w:space="0" w:color="auto"/>
        <w:right w:val="none" w:sz="0" w:space="0" w:color="auto"/>
      </w:divBdr>
    </w:div>
    <w:div w:id="2013143695">
      <w:bodyDiv w:val="1"/>
      <w:marLeft w:val="0"/>
      <w:marRight w:val="0"/>
      <w:marTop w:val="0"/>
      <w:marBottom w:val="0"/>
      <w:divBdr>
        <w:top w:val="none" w:sz="0" w:space="0" w:color="auto"/>
        <w:left w:val="none" w:sz="0" w:space="0" w:color="auto"/>
        <w:bottom w:val="none" w:sz="0" w:space="0" w:color="auto"/>
        <w:right w:val="none" w:sz="0" w:space="0" w:color="auto"/>
      </w:divBdr>
    </w:div>
    <w:div w:id="2013213008">
      <w:bodyDiv w:val="1"/>
      <w:marLeft w:val="0"/>
      <w:marRight w:val="0"/>
      <w:marTop w:val="0"/>
      <w:marBottom w:val="0"/>
      <w:divBdr>
        <w:top w:val="none" w:sz="0" w:space="0" w:color="auto"/>
        <w:left w:val="none" w:sz="0" w:space="0" w:color="auto"/>
        <w:bottom w:val="none" w:sz="0" w:space="0" w:color="auto"/>
        <w:right w:val="none" w:sz="0" w:space="0" w:color="auto"/>
      </w:divBdr>
    </w:div>
    <w:div w:id="2013288735">
      <w:bodyDiv w:val="1"/>
      <w:marLeft w:val="0"/>
      <w:marRight w:val="0"/>
      <w:marTop w:val="0"/>
      <w:marBottom w:val="0"/>
      <w:divBdr>
        <w:top w:val="none" w:sz="0" w:space="0" w:color="auto"/>
        <w:left w:val="none" w:sz="0" w:space="0" w:color="auto"/>
        <w:bottom w:val="none" w:sz="0" w:space="0" w:color="auto"/>
        <w:right w:val="none" w:sz="0" w:space="0" w:color="auto"/>
      </w:divBdr>
    </w:div>
    <w:div w:id="2013335096">
      <w:bodyDiv w:val="1"/>
      <w:marLeft w:val="0"/>
      <w:marRight w:val="0"/>
      <w:marTop w:val="0"/>
      <w:marBottom w:val="0"/>
      <w:divBdr>
        <w:top w:val="none" w:sz="0" w:space="0" w:color="auto"/>
        <w:left w:val="none" w:sz="0" w:space="0" w:color="auto"/>
        <w:bottom w:val="none" w:sz="0" w:space="0" w:color="auto"/>
        <w:right w:val="none" w:sz="0" w:space="0" w:color="auto"/>
      </w:divBdr>
    </w:div>
    <w:div w:id="2013406714">
      <w:bodyDiv w:val="1"/>
      <w:marLeft w:val="0"/>
      <w:marRight w:val="0"/>
      <w:marTop w:val="0"/>
      <w:marBottom w:val="0"/>
      <w:divBdr>
        <w:top w:val="none" w:sz="0" w:space="0" w:color="auto"/>
        <w:left w:val="none" w:sz="0" w:space="0" w:color="auto"/>
        <w:bottom w:val="none" w:sz="0" w:space="0" w:color="auto"/>
        <w:right w:val="none" w:sz="0" w:space="0" w:color="auto"/>
      </w:divBdr>
    </w:div>
    <w:div w:id="2013411197">
      <w:bodyDiv w:val="1"/>
      <w:marLeft w:val="0"/>
      <w:marRight w:val="0"/>
      <w:marTop w:val="0"/>
      <w:marBottom w:val="0"/>
      <w:divBdr>
        <w:top w:val="none" w:sz="0" w:space="0" w:color="auto"/>
        <w:left w:val="none" w:sz="0" w:space="0" w:color="auto"/>
        <w:bottom w:val="none" w:sz="0" w:space="0" w:color="auto"/>
        <w:right w:val="none" w:sz="0" w:space="0" w:color="auto"/>
      </w:divBdr>
    </w:div>
    <w:div w:id="2013490516">
      <w:bodyDiv w:val="1"/>
      <w:marLeft w:val="0"/>
      <w:marRight w:val="0"/>
      <w:marTop w:val="0"/>
      <w:marBottom w:val="0"/>
      <w:divBdr>
        <w:top w:val="none" w:sz="0" w:space="0" w:color="auto"/>
        <w:left w:val="none" w:sz="0" w:space="0" w:color="auto"/>
        <w:bottom w:val="none" w:sz="0" w:space="0" w:color="auto"/>
        <w:right w:val="none" w:sz="0" w:space="0" w:color="auto"/>
      </w:divBdr>
    </w:div>
    <w:div w:id="2013531538">
      <w:bodyDiv w:val="1"/>
      <w:marLeft w:val="0"/>
      <w:marRight w:val="0"/>
      <w:marTop w:val="0"/>
      <w:marBottom w:val="0"/>
      <w:divBdr>
        <w:top w:val="none" w:sz="0" w:space="0" w:color="auto"/>
        <w:left w:val="none" w:sz="0" w:space="0" w:color="auto"/>
        <w:bottom w:val="none" w:sz="0" w:space="0" w:color="auto"/>
        <w:right w:val="none" w:sz="0" w:space="0" w:color="auto"/>
      </w:divBdr>
    </w:div>
    <w:div w:id="2013533214">
      <w:bodyDiv w:val="1"/>
      <w:marLeft w:val="0"/>
      <w:marRight w:val="0"/>
      <w:marTop w:val="0"/>
      <w:marBottom w:val="0"/>
      <w:divBdr>
        <w:top w:val="none" w:sz="0" w:space="0" w:color="auto"/>
        <w:left w:val="none" w:sz="0" w:space="0" w:color="auto"/>
        <w:bottom w:val="none" w:sz="0" w:space="0" w:color="auto"/>
        <w:right w:val="none" w:sz="0" w:space="0" w:color="auto"/>
      </w:divBdr>
    </w:div>
    <w:div w:id="2013599943">
      <w:bodyDiv w:val="1"/>
      <w:marLeft w:val="0"/>
      <w:marRight w:val="0"/>
      <w:marTop w:val="0"/>
      <w:marBottom w:val="0"/>
      <w:divBdr>
        <w:top w:val="none" w:sz="0" w:space="0" w:color="auto"/>
        <w:left w:val="none" w:sz="0" w:space="0" w:color="auto"/>
        <w:bottom w:val="none" w:sz="0" w:space="0" w:color="auto"/>
        <w:right w:val="none" w:sz="0" w:space="0" w:color="auto"/>
      </w:divBdr>
    </w:div>
    <w:div w:id="2013677365">
      <w:bodyDiv w:val="1"/>
      <w:marLeft w:val="0"/>
      <w:marRight w:val="0"/>
      <w:marTop w:val="0"/>
      <w:marBottom w:val="0"/>
      <w:divBdr>
        <w:top w:val="none" w:sz="0" w:space="0" w:color="auto"/>
        <w:left w:val="none" w:sz="0" w:space="0" w:color="auto"/>
        <w:bottom w:val="none" w:sz="0" w:space="0" w:color="auto"/>
        <w:right w:val="none" w:sz="0" w:space="0" w:color="auto"/>
      </w:divBdr>
    </w:div>
    <w:div w:id="2013682050">
      <w:bodyDiv w:val="1"/>
      <w:marLeft w:val="0"/>
      <w:marRight w:val="0"/>
      <w:marTop w:val="0"/>
      <w:marBottom w:val="0"/>
      <w:divBdr>
        <w:top w:val="none" w:sz="0" w:space="0" w:color="auto"/>
        <w:left w:val="none" w:sz="0" w:space="0" w:color="auto"/>
        <w:bottom w:val="none" w:sz="0" w:space="0" w:color="auto"/>
        <w:right w:val="none" w:sz="0" w:space="0" w:color="auto"/>
      </w:divBdr>
    </w:div>
    <w:div w:id="2013751842">
      <w:bodyDiv w:val="1"/>
      <w:marLeft w:val="0"/>
      <w:marRight w:val="0"/>
      <w:marTop w:val="0"/>
      <w:marBottom w:val="0"/>
      <w:divBdr>
        <w:top w:val="none" w:sz="0" w:space="0" w:color="auto"/>
        <w:left w:val="none" w:sz="0" w:space="0" w:color="auto"/>
        <w:bottom w:val="none" w:sz="0" w:space="0" w:color="auto"/>
        <w:right w:val="none" w:sz="0" w:space="0" w:color="auto"/>
      </w:divBdr>
    </w:div>
    <w:div w:id="2013755714">
      <w:bodyDiv w:val="1"/>
      <w:marLeft w:val="0"/>
      <w:marRight w:val="0"/>
      <w:marTop w:val="0"/>
      <w:marBottom w:val="0"/>
      <w:divBdr>
        <w:top w:val="none" w:sz="0" w:space="0" w:color="auto"/>
        <w:left w:val="none" w:sz="0" w:space="0" w:color="auto"/>
        <w:bottom w:val="none" w:sz="0" w:space="0" w:color="auto"/>
        <w:right w:val="none" w:sz="0" w:space="0" w:color="auto"/>
      </w:divBdr>
    </w:div>
    <w:div w:id="2013797233">
      <w:bodyDiv w:val="1"/>
      <w:marLeft w:val="0"/>
      <w:marRight w:val="0"/>
      <w:marTop w:val="0"/>
      <w:marBottom w:val="0"/>
      <w:divBdr>
        <w:top w:val="none" w:sz="0" w:space="0" w:color="auto"/>
        <w:left w:val="none" w:sz="0" w:space="0" w:color="auto"/>
        <w:bottom w:val="none" w:sz="0" w:space="0" w:color="auto"/>
        <w:right w:val="none" w:sz="0" w:space="0" w:color="auto"/>
      </w:divBdr>
    </w:div>
    <w:div w:id="2013800698">
      <w:bodyDiv w:val="1"/>
      <w:marLeft w:val="0"/>
      <w:marRight w:val="0"/>
      <w:marTop w:val="0"/>
      <w:marBottom w:val="0"/>
      <w:divBdr>
        <w:top w:val="none" w:sz="0" w:space="0" w:color="auto"/>
        <w:left w:val="none" w:sz="0" w:space="0" w:color="auto"/>
        <w:bottom w:val="none" w:sz="0" w:space="0" w:color="auto"/>
        <w:right w:val="none" w:sz="0" w:space="0" w:color="auto"/>
      </w:divBdr>
    </w:div>
    <w:div w:id="2013946459">
      <w:bodyDiv w:val="1"/>
      <w:marLeft w:val="0"/>
      <w:marRight w:val="0"/>
      <w:marTop w:val="0"/>
      <w:marBottom w:val="0"/>
      <w:divBdr>
        <w:top w:val="none" w:sz="0" w:space="0" w:color="auto"/>
        <w:left w:val="none" w:sz="0" w:space="0" w:color="auto"/>
        <w:bottom w:val="none" w:sz="0" w:space="0" w:color="auto"/>
        <w:right w:val="none" w:sz="0" w:space="0" w:color="auto"/>
      </w:divBdr>
    </w:div>
    <w:div w:id="2013948862">
      <w:bodyDiv w:val="1"/>
      <w:marLeft w:val="0"/>
      <w:marRight w:val="0"/>
      <w:marTop w:val="0"/>
      <w:marBottom w:val="0"/>
      <w:divBdr>
        <w:top w:val="none" w:sz="0" w:space="0" w:color="auto"/>
        <w:left w:val="none" w:sz="0" w:space="0" w:color="auto"/>
        <w:bottom w:val="none" w:sz="0" w:space="0" w:color="auto"/>
        <w:right w:val="none" w:sz="0" w:space="0" w:color="auto"/>
      </w:divBdr>
    </w:div>
    <w:div w:id="2013992076">
      <w:bodyDiv w:val="1"/>
      <w:marLeft w:val="0"/>
      <w:marRight w:val="0"/>
      <w:marTop w:val="0"/>
      <w:marBottom w:val="0"/>
      <w:divBdr>
        <w:top w:val="none" w:sz="0" w:space="0" w:color="auto"/>
        <w:left w:val="none" w:sz="0" w:space="0" w:color="auto"/>
        <w:bottom w:val="none" w:sz="0" w:space="0" w:color="auto"/>
        <w:right w:val="none" w:sz="0" w:space="0" w:color="auto"/>
      </w:divBdr>
    </w:div>
    <w:div w:id="2014140488">
      <w:bodyDiv w:val="1"/>
      <w:marLeft w:val="0"/>
      <w:marRight w:val="0"/>
      <w:marTop w:val="0"/>
      <w:marBottom w:val="0"/>
      <w:divBdr>
        <w:top w:val="none" w:sz="0" w:space="0" w:color="auto"/>
        <w:left w:val="none" w:sz="0" w:space="0" w:color="auto"/>
        <w:bottom w:val="none" w:sz="0" w:space="0" w:color="auto"/>
        <w:right w:val="none" w:sz="0" w:space="0" w:color="auto"/>
      </w:divBdr>
    </w:div>
    <w:div w:id="2014260591">
      <w:bodyDiv w:val="1"/>
      <w:marLeft w:val="0"/>
      <w:marRight w:val="0"/>
      <w:marTop w:val="0"/>
      <w:marBottom w:val="0"/>
      <w:divBdr>
        <w:top w:val="none" w:sz="0" w:space="0" w:color="auto"/>
        <w:left w:val="none" w:sz="0" w:space="0" w:color="auto"/>
        <w:bottom w:val="none" w:sz="0" w:space="0" w:color="auto"/>
        <w:right w:val="none" w:sz="0" w:space="0" w:color="auto"/>
      </w:divBdr>
    </w:div>
    <w:div w:id="2014260661">
      <w:bodyDiv w:val="1"/>
      <w:marLeft w:val="0"/>
      <w:marRight w:val="0"/>
      <w:marTop w:val="0"/>
      <w:marBottom w:val="0"/>
      <w:divBdr>
        <w:top w:val="none" w:sz="0" w:space="0" w:color="auto"/>
        <w:left w:val="none" w:sz="0" w:space="0" w:color="auto"/>
        <w:bottom w:val="none" w:sz="0" w:space="0" w:color="auto"/>
        <w:right w:val="none" w:sz="0" w:space="0" w:color="auto"/>
      </w:divBdr>
    </w:div>
    <w:div w:id="2014260974">
      <w:bodyDiv w:val="1"/>
      <w:marLeft w:val="0"/>
      <w:marRight w:val="0"/>
      <w:marTop w:val="0"/>
      <w:marBottom w:val="0"/>
      <w:divBdr>
        <w:top w:val="none" w:sz="0" w:space="0" w:color="auto"/>
        <w:left w:val="none" w:sz="0" w:space="0" w:color="auto"/>
        <w:bottom w:val="none" w:sz="0" w:space="0" w:color="auto"/>
        <w:right w:val="none" w:sz="0" w:space="0" w:color="auto"/>
      </w:divBdr>
    </w:div>
    <w:div w:id="2014263915">
      <w:bodyDiv w:val="1"/>
      <w:marLeft w:val="0"/>
      <w:marRight w:val="0"/>
      <w:marTop w:val="0"/>
      <w:marBottom w:val="0"/>
      <w:divBdr>
        <w:top w:val="none" w:sz="0" w:space="0" w:color="auto"/>
        <w:left w:val="none" w:sz="0" w:space="0" w:color="auto"/>
        <w:bottom w:val="none" w:sz="0" w:space="0" w:color="auto"/>
        <w:right w:val="none" w:sz="0" w:space="0" w:color="auto"/>
      </w:divBdr>
    </w:div>
    <w:div w:id="2014411045">
      <w:bodyDiv w:val="1"/>
      <w:marLeft w:val="0"/>
      <w:marRight w:val="0"/>
      <w:marTop w:val="0"/>
      <w:marBottom w:val="0"/>
      <w:divBdr>
        <w:top w:val="none" w:sz="0" w:space="0" w:color="auto"/>
        <w:left w:val="none" w:sz="0" w:space="0" w:color="auto"/>
        <w:bottom w:val="none" w:sz="0" w:space="0" w:color="auto"/>
        <w:right w:val="none" w:sz="0" w:space="0" w:color="auto"/>
      </w:divBdr>
    </w:div>
    <w:div w:id="2014527438">
      <w:bodyDiv w:val="1"/>
      <w:marLeft w:val="0"/>
      <w:marRight w:val="0"/>
      <w:marTop w:val="0"/>
      <w:marBottom w:val="0"/>
      <w:divBdr>
        <w:top w:val="none" w:sz="0" w:space="0" w:color="auto"/>
        <w:left w:val="none" w:sz="0" w:space="0" w:color="auto"/>
        <w:bottom w:val="none" w:sz="0" w:space="0" w:color="auto"/>
        <w:right w:val="none" w:sz="0" w:space="0" w:color="auto"/>
      </w:divBdr>
    </w:div>
    <w:div w:id="2014599818">
      <w:bodyDiv w:val="1"/>
      <w:marLeft w:val="0"/>
      <w:marRight w:val="0"/>
      <w:marTop w:val="0"/>
      <w:marBottom w:val="0"/>
      <w:divBdr>
        <w:top w:val="none" w:sz="0" w:space="0" w:color="auto"/>
        <w:left w:val="none" w:sz="0" w:space="0" w:color="auto"/>
        <w:bottom w:val="none" w:sz="0" w:space="0" w:color="auto"/>
        <w:right w:val="none" w:sz="0" w:space="0" w:color="auto"/>
      </w:divBdr>
    </w:div>
    <w:div w:id="2014797615">
      <w:bodyDiv w:val="1"/>
      <w:marLeft w:val="0"/>
      <w:marRight w:val="0"/>
      <w:marTop w:val="0"/>
      <w:marBottom w:val="0"/>
      <w:divBdr>
        <w:top w:val="none" w:sz="0" w:space="0" w:color="auto"/>
        <w:left w:val="none" w:sz="0" w:space="0" w:color="auto"/>
        <w:bottom w:val="none" w:sz="0" w:space="0" w:color="auto"/>
        <w:right w:val="none" w:sz="0" w:space="0" w:color="auto"/>
      </w:divBdr>
    </w:div>
    <w:div w:id="2014871376">
      <w:bodyDiv w:val="1"/>
      <w:marLeft w:val="0"/>
      <w:marRight w:val="0"/>
      <w:marTop w:val="0"/>
      <w:marBottom w:val="0"/>
      <w:divBdr>
        <w:top w:val="none" w:sz="0" w:space="0" w:color="auto"/>
        <w:left w:val="none" w:sz="0" w:space="0" w:color="auto"/>
        <w:bottom w:val="none" w:sz="0" w:space="0" w:color="auto"/>
        <w:right w:val="none" w:sz="0" w:space="0" w:color="auto"/>
      </w:divBdr>
    </w:div>
    <w:div w:id="2015064224">
      <w:bodyDiv w:val="1"/>
      <w:marLeft w:val="0"/>
      <w:marRight w:val="0"/>
      <w:marTop w:val="0"/>
      <w:marBottom w:val="0"/>
      <w:divBdr>
        <w:top w:val="none" w:sz="0" w:space="0" w:color="auto"/>
        <w:left w:val="none" w:sz="0" w:space="0" w:color="auto"/>
        <w:bottom w:val="none" w:sz="0" w:space="0" w:color="auto"/>
        <w:right w:val="none" w:sz="0" w:space="0" w:color="auto"/>
      </w:divBdr>
    </w:div>
    <w:div w:id="2015261690">
      <w:bodyDiv w:val="1"/>
      <w:marLeft w:val="0"/>
      <w:marRight w:val="0"/>
      <w:marTop w:val="0"/>
      <w:marBottom w:val="0"/>
      <w:divBdr>
        <w:top w:val="none" w:sz="0" w:space="0" w:color="auto"/>
        <w:left w:val="none" w:sz="0" w:space="0" w:color="auto"/>
        <w:bottom w:val="none" w:sz="0" w:space="0" w:color="auto"/>
        <w:right w:val="none" w:sz="0" w:space="0" w:color="auto"/>
      </w:divBdr>
    </w:div>
    <w:div w:id="2015378183">
      <w:bodyDiv w:val="1"/>
      <w:marLeft w:val="0"/>
      <w:marRight w:val="0"/>
      <w:marTop w:val="0"/>
      <w:marBottom w:val="0"/>
      <w:divBdr>
        <w:top w:val="none" w:sz="0" w:space="0" w:color="auto"/>
        <w:left w:val="none" w:sz="0" w:space="0" w:color="auto"/>
        <w:bottom w:val="none" w:sz="0" w:space="0" w:color="auto"/>
        <w:right w:val="none" w:sz="0" w:space="0" w:color="auto"/>
      </w:divBdr>
    </w:div>
    <w:div w:id="2015454227">
      <w:bodyDiv w:val="1"/>
      <w:marLeft w:val="0"/>
      <w:marRight w:val="0"/>
      <w:marTop w:val="0"/>
      <w:marBottom w:val="0"/>
      <w:divBdr>
        <w:top w:val="none" w:sz="0" w:space="0" w:color="auto"/>
        <w:left w:val="none" w:sz="0" w:space="0" w:color="auto"/>
        <w:bottom w:val="none" w:sz="0" w:space="0" w:color="auto"/>
        <w:right w:val="none" w:sz="0" w:space="0" w:color="auto"/>
      </w:divBdr>
    </w:div>
    <w:div w:id="2015457079">
      <w:bodyDiv w:val="1"/>
      <w:marLeft w:val="0"/>
      <w:marRight w:val="0"/>
      <w:marTop w:val="0"/>
      <w:marBottom w:val="0"/>
      <w:divBdr>
        <w:top w:val="none" w:sz="0" w:space="0" w:color="auto"/>
        <w:left w:val="none" w:sz="0" w:space="0" w:color="auto"/>
        <w:bottom w:val="none" w:sz="0" w:space="0" w:color="auto"/>
        <w:right w:val="none" w:sz="0" w:space="0" w:color="auto"/>
      </w:divBdr>
    </w:div>
    <w:div w:id="2015499583">
      <w:bodyDiv w:val="1"/>
      <w:marLeft w:val="0"/>
      <w:marRight w:val="0"/>
      <w:marTop w:val="0"/>
      <w:marBottom w:val="0"/>
      <w:divBdr>
        <w:top w:val="none" w:sz="0" w:space="0" w:color="auto"/>
        <w:left w:val="none" w:sz="0" w:space="0" w:color="auto"/>
        <w:bottom w:val="none" w:sz="0" w:space="0" w:color="auto"/>
        <w:right w:val="none" w:sz="0" w:space="0" w:color="auto"/>
      </w:divBdr>
    </w:div>
    <w:div w:id="2015570336">
      <w:bodyDiv w:val="1"/>
      <w:marLeft w:val="0"/>
      <w:marRight w:val="0"/>
      <w:marTop w:val="0"/>
      <w:marBottom w:val="0"/>
      <w:divBdr>
        <w:top w:val="none" w:sz="0" w:space="0" w:color="auto"/>
        <w:left w:val="none" w:sz="0" w:space="0" w:color="auto"/>
        <w:bottom w:val="none" w:sz="0" w:space="0" w:color="auto"/>
        <w:right w:val="none" w:sz="0" w:space="0" w:color="auto"/>
      </w:divBdr>
    </w:div>
    <w:div w:id="2015842980">
      <w:bodyDiv w:val="1"/>
      <w:marLeft w:val="0"/>
      <w:marRight w:val="0"/>
      <w:marTop w:val="0"/>
      <w:marBottom w:val="0"/>
      <w:divBdr>
        <w:top w:val="none" w:sz="0" w:space="0" w:color="auto"/>
        <w:left w:val="none" w:sz="0" w:space="0" w:color="auto"/>
        <w:bottom w:val="none" w:sz="0" w:space="0" w:color="auto"/>
        <w:right w:val="none" w:sz="0" w:space="0" w:color="auto"/>
      </w:divBdr>
    </w:div>
    <w:div w:id="2015914354">
      <w:bodyDiv w:val="1"/>
      <w:marLeft w:val="0"/>
      <w:marRight w:val="0"/>
      <w:marTop w:val="0"/>
      <w:marBottom w:val="0"/>
      <w:divBdr>
        <w:top w:val="none" w:sz="0" w:space="0" w:color="auto"/>
        <w:left w:val="none" w:sz="0" w:space="0" w:color="auto"/>
        <w:bottom w:val="none" w:sz="0" w:space="0" w:color="auto"/>
        <w:right w:val="none" w:sz="0" w:space="0" w:color="auto"/>
      </w:divBdr>
    </w:div>
    <w:div w:id="2015955501">
      <w:bodyDiv w:val="1"/>
      <w:marLeft w:val="0"/>
      <w:marRight w:val="0"/>
      <w:marTop w:val="0"/>
      <w:marBottom w:val="0"/>
      <w:divBdr>
        <w:top w:val="none" w:sz="0" w:space="0" w:color="auto"/>
        <w:left w:val="none" w:sz="0" w:space="0" w:color="auto"/>
        <w:bottom w:val="none" w:sz="0" w:space="0" w:color="auto"/>
        <w:right w:val="none" w:sz="0" w:space="0" w:color="auto"/>
      </w:divBdr>
    </w:div>
    <w:div w:id="2016153724">
      <w:bodyDiv w:val="1"/>
      <w:marLeft w:val="0"/>
      <w:marRight w:val="0"/>
      <w:marTop w:val="0"/>
      <w:marBottom w:val="0"/>
      <w:divBdr>
        <w:top w:val="none" w:sz="0" w:space="0" w:color="auto"/>
        <w:left w:val="none" w:sz="0" w:space="0" w:color="auto"/>
        <w:bottom w:val="none" w:sz="0" w:space="0" w:color="auto"/>
        <w:right w:val="none" w:sz="0" w:space="0" w:color="auto"/>
      </w:divBdr>
    </w:div>
    <w:div w:id="2016228588">
      <w:bodyDiv w:val="1"/>
      <w:marLeft w:val="0"/>
      <w:marRight w:val="0"/>
      <w:marTop w:val="0"/>
      <w:marBottom w:val="0"/>
      <w:divBdr>
        <w:top w:val="none" w:sz="0" w:space="0" w:color="auto"/>
        <w:left w:val="none" w:sz="0" w:space="0" w:color="auto"/>
        <w:bottom w:val="none" w:sz="0" w:space="0" w:color="auto"/>
        <w:right w:val="none" w:sz="0" w:space="0" w:color="auto"/>
      </w:divBdr>
    </w:div>
    <w:div w:id="2016297437">
      <w:bodyDiv w:val="1"/>
      <w:marLeft w:val="0"/>
      <w:marRight w:val="0"/>
      <w:marTop w:val="0"/>
      <w:marBottom w:val="0"/>
      <w:divBdr>
        <w:top w:val="none" w:sz="0" w:space="0" w:color="auto"/>
        <w:left w:val="none" w:sz="0" w:space="0" w:color="auto"/>
        <w:bottom w:val="none" w:sz="0" w:space="0" w:color="auto"/>
        <w:right w:val="none" w:sz="0" w:space="0" w:color="auto"/>
      </w:divBdr>
    </w:div>
    <w:div w:id="2016373796">
      <w:bodyDiv w:val="1"/>
      <w:marLeft w:val="0"/>
      <w:marRight w:val="0"/>
      <w:marTop w:val="0"/>
      <w:marBottom w:val="0"/>
      <w:divBdr>
        <w:top w:val="none" w:sz="0" w:space="0" w:color="auto"/>
        <w:left w:val="none" w:sz="0" w:space="0" w:color="auto"/>
        <w:bottom w:val="none" w:sz="0" w:space="0" w:color="auto"/>
        <w:right w:val="none" w:sz="0" w:space="0" w:color="auto"/>
      </w:divBdr>
    </w:div>
    <w:div w:id="2016375834">
      <w:bodyDiv w:val="1"/>
      <w:marLeft w:val="0"/>
      <w:marRight w:val="0"/>
      <w:marTop w:val="0"/>
      <w:marBottom w:val="0"/>
      <w:divBdr>
        <w:top w:val="none" w:sz="0" w:space="0" w:color="auto"/>
        <w:left w:val="none" w:sz="0" w:space="0" w:color="auto"/>
        <w:bottom w:val="none" w:sz="0" w:space="0" w:color="auto"/>
        <w:right w:val="none" w:sz="0" w:space="0" w:color="auto"/>
      </w:divBdr>
    </w:div>
    <w:div w:id="2016496346">
      <w:bodyDiv w:val="1"/>
      <w:marLeft w:val="0"/>
      <w:marRight w:val="0"/>
      <w:marTop w:val="0"/>
      <w:marBottom w:val="0"/>
      <w:divBdr>
        <w:top w:val="none" w:sz="0" w:space="0" w:color="auto"/>
        <w:left w:val="none" w:sz="0" w:space="0" w:color="auto"/>
        <w:bottom w:val="none" w:sz="0" w:space="0" w:color="auto"/>
        <w:right w:val="none" w:sz="0" w:space="0" w:color="auto"/>
      </w:divBdr>
    </w:div>
    <w:div w:id="2016688504">
      <w:bodyDiv w:val="1"/>
      <w:marLeft w:val="0"/>
      <w:marRight w:val="0"/>
      <w:marTop w:val="0"/>
      <w:marBottom w:val="0"/>
      <w:divBdr>
        <w:top w:val="none" w:sz="0" w:space="0" w:color="auto"/>
        <w:left w:val="none" w:sz="0" w:space="0" w:color="auto"/>
        <w:bottom w:val="none" w:sz="0" w:space="0" w:color="auto"/>
        <w:right w:val="none" w:sz="0" w:space="0" w:color="auto"/>
      </w:divBdr>
    </w:div>
    <w:div w:id="2016833385">
      <w:bodyDiv w:val="1"/>
      <w:marLeft w:val="0"/>
      <w:marRight w:val="0"/>
      <w:marTop w:val="0"/>
      <w:marBottom w:val="0"/>
      <w:divBdr>
        <w:top w:val="none" w:sz="0" w:space="0" w:color="auto"/>
        <w:left w:val="none" w:sz="0" w:space="0" w:color="auto"/>
        <w:bottom w:val="none" w:sz="0" w:space="0" w:color="auto"/>
        <w:right w:val="none" w:sz="0" w:space="0" w:color="auto"/>
      </w:divBdr>
    </w:div>
    <w:div w:id="2016957741">
      <w:bodyDiv w:val="1"/>
      <w:marLeft w:val="0"/>
      <w:marRight w:val="0"/>
      <w:marTop w:val="0"/>
      <w:marBottom w:val="0"/>
      <w:divBdr>
        <w:top w:val="none" w:sz="0" w:space="0" w:color="auto"/>
        <w:left w:val="none" w:sz="0" w:space="0" w:color="auto"/>
        <w:bottom w:val="none" w:sz="0" w:space="0" w:color="auto"/>
        <w:right w:val="none" w:sz="0" w:space="0" w:color="auto"/>
      </w:divBdr>
    </w:div>
    <w:div w:id="2017072196">
      <w:bodyDiv w:val="1"/>
      <w:marLeft w:val="0"/>
      <w:marRight w:val="0"/>
      <w:marTop w:val="0"/>
      <w:marBottom w:val="0"/>
      <w:divBdr>
        <w:top w:val="none" w:sz="0" w:space="0" w:color="auto"/>
        <w:left w:val="none" w:sz="0" w:space="0" w:color="auto"/>
        <w:bottom w:val="none" w:sz="0" w:space="0" w:color="auto"/>
        <w:right w:val="none" w:sz="0" w:space="0" w:color="auto"/>
      </w:divBdr>
    </w:div>
    <w:div w:id="2017076388">
      <w:bodyDiv w:val="1"/>
      <w:marLeft w:val="0"/>
      <w:marRight w:val="0"/>
      <w:marTop w:val="0"/>
      <w:marBottom w:val="0"/>
      <w:divBdr>
        <w:top w:val="none" w:sz="0" w:space="0" w:color="auto"/>
        <w:left w:val="none" w:sz="0" w:space="0" w:color="auto"/>
        <w:bottom w:val="none" w:sz="0" w:space="0" w:color="auto"/>
        <w:right w:val="none" w:sz="0" w:space="0" w:color="auto"/>
      </w:divBdr>
    </w:div>
    <w:div w:id="2017150458">
      <w:bodyDiv w:val="1"/>
      <w:marLeft w:val="0"/>
      <w:marRight w:val="0"/>
      <w:marTop w:val="0"/>
      <w:marBottom w:val="0"/>
      <w:divBdr>
        <w:top w:val="none" w:sz="0" w:space="0" w:color="auto"/>
        <w:left w:val="none" w:sz="0" w:space="0" w:color="auto"/>
        <w:bottom w:val="none" w:sz="0" w:space="0" w:color="auto"/>
        <w:right w:val="none" w:sz="0" w:space="0" w:color="auto"/>
      </w:divBdr>
    </w:div>
    <w:div w:id="2017225519">
      <w:bodyDiv w:val="1"/>
      <w:marLeft w:val="0"/>
      <w:marRight w:val="0"/>
      <w:marTop w:val="0"/>
      <w:marBottom w:val="0"/>
      <w:divBdr>
        <w:top w:val="none" w:sz="0" w:space="0" w:color="auto"/>
        <w:left w:val="none" w:sz="0" w:space="0" w:color="auto"/>
        <w:bottom w:val="none" w:sz="0" w:space="0" w:color="auto"/>
        <w:right w:val="none" w:sz="0" w:space="0" w:color="auto"/>
      </w:divBdr>
    </w:div>
    <w:div w:id="2017340934">
      <w:bodyDiv w:val="1"/>
      <w:marLeft w:val="0"/>
      <w:marRight w:val="0"/>
      <w:marTop w:val="0"/>
      <w:marBottom w:val="0"/>
      <w:divBdr>
        <w:top w:val="none" w:sz="0" w:space="0" w:color="auto"/>
        <w:left w:val="none" w:sz="0" w:space="0" w:color="auto"/>
        <w:bottom w:val="none" w:sz="0" w:space="0" w:color="auto"/>
        <w:right w:val="none" w:sz="0" w:space="0" w:color="auto"/>
      </w:divBdr>
    </w:div>
    <w:div w:id="2017344831">
      <w:bodyDiv w:val="1"/>
      <w:marLeft w:val="0"/>
      <w:marRight w:val="0"/>
      <w:marTop w:val="0"/>
      <w:marBottom w:val="0"/>
      <w:divBdr>
        <w:top w:val="none" w:sz="0" w:space="0" w:color="auto"/>
        <w:left w:val="none" w:sz="0" w:space="0" w:color="auto"/>
        <w:bottom w:val="none" w:sz="0" w:space="0" w:color="auto"/>
        <w:right w:val="none" w:sz="0" w:space="0" w:color="auto"/>
      </w:divBdr>
    </w:div>
    <w:div w:id="2017418782">
      <w:bodyDiv w:val="1"/>
      <w:marLeft w:val="0"/>
      <w:marRight w:val="0"/>
      <w:marTop w:val="0"/>
      <w:marBottom w:val="0"/>
      <w:divBdr>
        <w:top w:val="none" w:sz="0" w:space="0" w:color="auto"/>
        <w:left w:val="none" w:sz="0" w:space="0" w:color="auto"/>
        <w:bottom w:val="none" w:sz="0" w:space="0" w:color="auto"/>
        <w:right w:val="none" w:sz="0" w:space="0" w:color="auto"/>
      </w:divBdr>
    </w:div>
    <w:div w:id="2017464858">
      <w:bodyDiv w:val="1"/>
      <w:marLeft w:val="0"/>
      <w:marRight w:val="0"/>
      <w:marTop w:val="0"/>
      <w:marBottom w:val="0"/>
      <w:divBdr>
        <w:top w:val="none" w:sz="0" w:space="0" w:color="auto"/>
        <w:left w:val="none" w:sz="0" w:space="0" w:color="auto"/>
        <w:bottom w:val="none" w:sz="0" w:space="0" w:color="auto"/>
        <w:right w:val="none" w:sz="0" w:space="0" w:color="auto"/>
      </w:divBdr>
    </w:div>
    <w:div w:id="2017533550">
      <w:bodyDiv w:val="1"/>
      <w:marLeft w:val="0"/>
      <w:marRight w:val="0"/>
      <w:marTop w:val="0"/>
      <w:marBottom w:val="0"/>
      <w:divBdr>
        <w:top w:val="none" w:sz="0" w:space="0" w:color="auto"/>
        <w:left w:val="none" w:sz="0" w:space="0" w:color="auto"/>
        <w:bottom w:val="none" w:sz="0" w:space="0" w:color="auto"/>
        <w:right w:val="none" w:sz="0" w:space="0" w:color="auto"/>
      </w:divBdr>
    </w:div>
    <w:div w:id="2017534443">
      <w:bodyDiv w:val="1"/>
      <w:marLeft w:val="0"/>
      <w:marRight w:val="0"/>
      <w:marTop w:val="0"/>
      <w:marBottom w:val="0"/>
      <w:divBdr>
        <w:top w:val="none" w:sz="0" w:space="0" w:color="auto"/>
        <w:left w:val="none" w:sz="0" w:space="0" w:color="auto"/>
        <w:bottom w:val="none" w:sz="0" w:space="0" w:color="auto"/>
        <w:right w:val="none" w:sz="0" w:space="0" w:color="auto"/>
      </w:divBdr>
    </w:div>
    <w:div w:id="2017611481">
      <w:bodyDiv w:val="1"/>
      <w:marLeft w:val="0"/>
      <w:marRight w:val="0"/>
      <w:marTop w:val="0"/>
      <w:marBottom w:val="0"/>
      <w:divBdr>
        <w:top w:val="none" w:sz="0" w:space="0" w:color="auto"/>
        <w:left w:val="none" w:sz="0" w:space="0" w:color="auto"/>
        <w:bottom w:val="none" w:sz="0" w:space="0" w:color="auto"/>
        <w:right w:val="none" w:sz="0" w:space="0" w:color="auto"/>
      </w:divBdr>
    </w:div>
    <w:div w:id="2017687368">
      <w:bodyDiv w:val="1"/>
      <w:marLeft w:val="0"/>
      <w:marRight w:val="0"/>
      <w:marTop w:val="0"/>
      <w:marBottom w:val="0"/>
      <w:divBdr>
        <w:top w:val="none" w:sz="0" w:space="0" w:color="auto"/>
        <w:left w:val="none" w:sz="0" w:space="0" w:color="auto"/>
        <w:bottom w:val="none" w:sz="0" w:space="0" w:color="auto"/>
        <w:right w:val="none" w:sz="0" w:space="0" w:color="auto"/>
      </w:divBdr>
    </w:div>
    <w:div w:id="2017724412">
      <w:bodyDiv w:val="1"/>
      <w:marLeft w:val="0"/>
      <w:marRight w:val="0"/>
      <w:marTop w:val="0"/>
      <w:marBottom w:val="0"/>
      <w:divBdr>
        <w:top w:val="none" w:sz="0" w:space="0" w:color="auto"/>
        <w:left w:val="none" w:sz="0" w:space="0" w:color="auto"/>
        <w:bottom w:val="none" w:sz="0" w:space="0" w:color="auto"/>
        <w:right w:val="none" w:sz="0" w:space="0" w:color="auto"/>
      </w:divBdr>
    </w:div>
    <w:div w:id="2017732315">
      <w:bodyDiv w:val="1"/>
      <w:marLeft w:val="0"/>
      <w:marRight w:val="0"/>
      <w:marTop w:val="0"/>
      <w:marBottom w:val="0"/>
      <w:divBdr>
        <w:top w:val="none" w:sz="0" w:space="0" w:color="auto"/>
        <w:left w:val="none" w:sz="0" w:space="0" w:color="auto"/>
        <w:bottom w:val="none" w:sz="0" w:space="0" w:color="auto"/>
        <w:right w:val="none" w:sz="0" w:space="0" w:color="auto"/>
      </w:divBdr>
    </w:div>
    <w:div w:id="2017920082">
      <w:bodyDiv w:val="1"/>
      <w:marLeft w:val="0"/>
      <w:marRight w:val="0"/>
      <w:marTop w:val="0"/>
      <w:marBottom w:val="0"/>
      <w:divBdr>
        <w:top w:val="none" w:sz="0" w:space="0" w:color="auto"/>
        <w:left w:val="none" w:sz="0" w:space="0" w:color="auto"/>
        <w:bottom w:val="none" w:sz="0" w:space="0" w:color="auto"/>
        <w:right w:val="none" w:sz="0" w:space="0" w:color="auto"/>
      </w:divBdr>
    </w:div>
    <w:div w:id="2017998100">
      <w:bodyDiv w:val="1"/>
      <w:marLeft w:val="0"/>
      <w:marRight w:val="0"/>
      <w:marTop w:val="0"/>
      <w:marBottom w:val="0"/>
      <w:divBdr>
        <w:top w:val="none" w:sz="0" w:space="0" w:color="auto"/>
        <w:left w:val="none" w:sz="0" w:space="0" w:color="auto"/>
        <w:bottom w:val="none" w:sz="0" w:space="0" w:color="auto"/>
        <w:right w:val="none" w:sz="0" w:space="0" w:color="auto"/>
      </w:divBdr>
    </w:div>
    <w:div w:id="2018001851">
      <w:bodyDiv w:val="1"/>
      <w:marLeft w:val="0"/>
      <w:marRight w:val="0"/>
      <w:marTop w:val="0"/>
      <w:marBottom w:val="0"/>
      <w:divBdr>
        <w:top w:val="none" w:sz="0" w:space="0" w:color="auto"/>
        <w:left w:val="none" w:sz="0" w:space="0" w:color="auto"/>
        <w:bottom w:val="none" w:sz="0" w:space="0" w:color="auto"/>
        <w:right w:val="none" w:sz="0" w:space="0" w:color="auto"/>
      </w:divBdr>
    </w:div>
    <w:div w:id="2018117423">
      <w:bodyDiv w:val="1"/>
      <w:marLeft w:val="0"/>
      <w:marRight w:val="0"/>
      <w:marTop w:val="0"/>
      <w:marBottom w:val="0"/>
      <w:divBdr>
        <w:top w:val="none" w:sz="0" w:space="0" w:color="auto"/>
        <w:left w:val="none" w:sz="0" w:space="0" w:color="auto"/>
        <w:bottom w:val="none" w:sz="0" w:space="0" w:color="auto"/>
        <w:right w:val="none" w:sz="0" w:space="0" w:color="auto"/>
      </w:divBdr>
    </w:div>
    <w:div w:id="2018148200">
      <w:bodyDiv w:val="1"/>
      <w:marLeft w:val="0"/>
      <w:marRight w:val="0"/>
      <w:marTop w:val="0"/>
      <w:marBottom w:val="0"/>
      <w:divBdr>
        <w:top w:val="none" w:sz="0" w:space="0" w:color="auto"/>
        <w:left w:val="none" w:sz="0" w:space="0" w:color="auto"/>
        <w:bottom w:val="none" w:sz="0" w:space="0" w:color="auto"/>
        <w:right w:val="none" w:sz="0" w:space="0" w:color="auto"/>
      </w:divBdr>
    </w:div>
    <w:div w:id="2018192150">
      <w:bodyDiv w:val="1"/>
      <w:marLeft w:val="0"/>
      <w:marRight w:val="0"/>
      <w:marTop w:val="0"/>
      <w:marBottom w:val="0"/>
      <w:divBdr>
        <w:top w:val="none" w:sz="0" w:space="0" w:color="auto"/>
        <w:left w:val="none" w:sz="0" w:space="0" w:color="auto"/>
        <w:bottom w:val="none" w:sz="0" w:space="0" w:color="auto"/>
        <w:right w:val="none" w:sz="0" w:space="0" w:color="auto"/>
      </w:divBdr>
    </w:div>
    <w:div w:id="2018262643">
      <w:bodyDiv w:val="1"/>
      <w:marLeft w:val="0"/>
      <w:marRight w:val="0"/>
      <w:marTop w:val="0"/>
      <w:marBottom w:val="0"/>
      <w:divBdr>
        <w:top w:val="none" w:sz="0" w:space="0" w:color="auto"/>
        <w:left w:val="none" w:sz="0" w:space="0" w:color="auto"/>
        <w:bottom w:val="none" w:sz="0" w:space="0" w:color="auto"/>
        <w:right w:val="none" w:sz="0" w:space="0" w:color="auto"/>
      </w:divBdr>
    </w:div>
    <w:div w:id="2018269084">
      <w:bodyDiv w:val="1"/>
      <w:marLeft w:val="0"/>
      <w:marRight w:val="0"/>
      <w:marTop w:val="0"/>
      <w:marBottom w:val="0"/>
      <w:divBdr>
        <w:top w:val="none" w:sz="0" w:space="0" w:color="auto"/>
        <w:left w:val="none" w:sz="0" w:space="0" w:color="auto"/>
        <w:bottom w:val="none" w:sz="0" w:space="0" w:color="auto"/>
        <w:right w:val="none" w:sz="0" w:space="0" w:color="auto"/>
      </w:divBdr>
    </w:div>
    <w:div w:id="2018388250">
      <w:bodyDiv w:val="1"/>
      <w:marLeft w:val="0"/>
      <w:marRight w:val="0"/>
      <w:marTop w:val="0"/>
      <w:marBottom w:val="0"/>
      <w:divBdr>
        <w:top w:val="none" w:sz="0" w:space="0" w:color="auto"/>
        <w:left w:val="none" w:sz="0" w:space="0" w:color="auto"/>
        <w:bottom w:val="none" w:sz="0" w:space="0" w:color="auto"/>
        <w:right w:val="none" w:sz="0" w:space="0" w:color="auto"/>
      </w:divBdr>
    </w:div>
    <w:div w:id="2018455990">
      <w:bodyDiv w:val="1"/>
      <w:marLeft w:val="0"/>
      <w:marRight w:val="0"/>
      <w:marTop w:val="0"/>
      <w:marBottom w:val="0"/>
      <w:divBdr>
        <w:top w:val="none" w:sz="0" w:space="0" w:color="auto"/>
        <w:left w:val="none" w:sz="0" w:space="0" w:color="auto"/>
        <w:bottom w:val="none" w:sz="0" w:space="0" w:color="auto"/>
        <w:right w:val="none" w:sz="0" w:space="0" w:color="auto"/>
      </w:divBdr>
    </w:div>
    <w:div w:id="2018532129">
      <w:bodyDiv w:val="1"/>
      <w:marLeft w:val="0"/>
      <w:marRight w:val="0"/>
      <w:marTop w:val="0"/>
      <w:marBottom w:val="0"/>
      <w:divBdr>
        <w:top w:val="none" w:sz="0" w:space="0" w:color="auto"/>
        <w:left w:val="none" w:sz="0" w:space="0" w:color="auto"/>
        <w:bottom w:val="none" w:sz="0" w:space="0" w:color="auto"/>
        <w:right w:val="none" w:sz="0" w:space="0" w:color="auto"/>
      </w:divBdr>
    </w:div>
    <w:div w:id="2018534014">
      <w:bodyDiv w:val="1"/>
      <w:marLeft w:val="0"/>
      <w:marRight w:val="0"/>
      <w:marTop w:val="0"/>
      <w:marBottom w:val="0"/>
      <w:divBdr>
        <w:top w:val="none" w:sz="0" w:space="0" w:color="auto"/>
        <w:left w:val="none" w:sz="0" w:space="0" w:color="auto"/>
        <w:bottom w:val="none" w:sz="0" w:space="0" w:color="auto"/>
        <w:right w:val="none" w:sz="0" w:space="0" w:color="auto"/>
      </w:divBdr>
    </w:div>
    <w:div w:id="2018576789">
      <w:bodyDiv w:val="1"/>
      <w:marLeft w:val="0"/>
      <w:marRight w:val="0"/>
      <w:marTop w:val="0"/>
      <w:marBottom w:val="0"/>
      <w:divBdr>
        <w:top w:val="none" w:sz="0" w:space="0" w:color="auto"/>
        <w:left w:val="none" w:sz="0" w:space="0" w:color="auto"/>
        <w:bottom w:val="none" w:sz="0" w:space="0" w:color="auto"/>
        <w:right w:val="none" w:sz="0" w:space="0" w:color="auto"/>
      </w:divBdr>
    </w:div>
    <w:div w:id="2018582027">
      <w:bodyDiv w:val="1"/>
      <w:marLeft w:val="0"/>
      <w:marRight w:val="0"/>
      <w:marTop w:val="0"/>
      <w:marBottom w:val="0"/>
      <w:divBdr>
        <w:top w:val="none" w:sz="0" w:space="0" w:color="auto"/>
        <w:left w:val="none" w:sz="0" w:space="0" w:color="auto"/>
        <w:bottom w:val="none" w:sz="0" w:space="0" w:color="auto"/>
        <w:right w:val="none" w:sz="0" w:space="0" w:color="auto"/>
      </w:divBdr>
    </w:div>
    <w:div w:id="2018656646">
      <w:bodyDiv w:val="1"/>
      <w:marLeft w:val="0"/>
      <w:marRight w:val="0"/>
      <w:marTop w:val="0"/>
      <w:marBottom w:val="0"/>
      <w:divBdr>
        <w:top w:val="none" w:sz="0" w:space="0" w:color="auto"/>
        <w:left w:val="none" w:sz="0" w:space="0" w:color="auto"/>
        <w:bottom w:val="none" w:sz="0" w:space="0" w:color="auto"/>
        <w:right w:val="none" w:sz="0" w:space="0" w:color="auto"/>
      </w:divBdr>
    </w:div>
    <w:div w:id="2018657881">
      <w:bodyDiv w:val="1"/>
      <w:marLeft w:val="0"/>
      <w:marRight w:val="0"/>
      <w:marTop w:val="0"/>
      <w:marBottom w:val="0"/>
      <w:divBdr>
        <w:top w:val="none" w:sz="0" w:space="0" w:color="auto"/>
        <w:left w:val="none" w:sz="0" w:space="0" w:color="auto"/>
        <w:bottom w:val="none" w:sz="0" w:space="0" w:color="auto"/>
        <w:right w:val="none" w:sz="0" w:space="0" w:color="auto"/>
      </w:divBdr>
    </w:div>
    <w:div w:id="2018723920">
      <w:bodyDiv w:val="1"/>
      <w:marLeft w:val="0"/>
      <w:marRight w:val="0"/>
      <w:marTop w:val="0"/>
      <w:marBottom w:val="0"/>
      <w:divBdr>
        <w:top w:val="none" w:sz="0" w:space="0" w:color="auto"/>
        <w:left w:val="none" w:sz="0" w:space="0" w:color="auto"/>
        <w:bottom w:val="none" w:sz="0" w:space="0" w:color="auto"/>
        <w:right w:val="none" w:sz="0" w:space="0" w:color="auto"/>
      </w:divBdr>
    </w:div>
    <w:div w:id="2018729772">
      <w:bodyDiv w:val="1"/>
      <w:marLeft w:val="0"/>
      <w:marRight w:val="0"/>
      <w:marTop w:val="0"/>
      <w:marBottom w:val="0"/>
      <w:divBdr>
        <w:top w:val="none" w:sz="0" w:space="0" w:color="auto"/>
        <w:left w:val="none" w:sz="0" w:space="0" w:color="auto"/>
        <w:bottom w:val="none" w:sz="0" w:space="0" w:color="auto"/>
        <w:right w:val="none" w:sz="0" w:space="0" w:color="auto"/>
      </w:divBdr>
    </w:div>
    <w:div w:id="2018731891">
      <w:bodyDiv w:val="1"/>
      <w:marLeft w:val="0"/>
      <w:marRight w:val="0"/>
      <w:marTop w:val="0"/>
      <w:marBottom w:val="0"/>
      <w:divBdr>
        <w:top w:val="none" w:sz="0" w:space="0" w:color="auto"/>
        <w:left w:val="none" w:sz="0" w:space="0" w:color="auto"/>
        <w:bottom w:val="none" w:sz="0" w:space="0" w:color="auto"/>
        <w:right w:val="none" w:sz="0" w:space="0" w:color="auto"/>
      </w:divBdr>
    </w:div>
    <w:div w:id="2018844980">
      <w:bodyDiv w:val="1"/>
      <w:marLeft w:val="0"/>
      <w:marRight w:val="0"/>
      <w:marTop w:val="0"/>
      <w:marBottom w:val="0"/>
      <w:divBdr>
        <w:top w:val="none" w:sz="0" w:space="0" w:color="auto"/>
        <w:left w:val="none" w:sz="0" w:space="0" w:color="auto"/>
        <w:bottom w:val="none" w:sz="0" w:space="0" w:color="auto"/>
        <w:right w:val="none" w:sz="0" w:space="0" w:color="auto"/>
      </w:divBdr>
    </w:div>
    <w:div w:id="2018847298">
      <w:bodyDiv w:val="1"/>
      <w:marLeft w:val="0"/>
      <w:marRight w:val="0"/>
      <w:marTop w:val="0"/>
      <w:marBottom w:val="0"/>
      <w:divBdr>
        <w:top w:val="none" w:sz="0" w:space="0" w:color="auto"/>
        <w:left w:val="none" w:sz="0" w:space="0" w:color="auto"/>
        <w:bottom w:val="none" w:sz="0" w:space="0" w:color="auto"/>
        <w:right w:val="none" w:sz="0" w:space="0" w:color="auto"/>
      </w:divBdr>
    </w:div>
    <w:div w:id="2018967582">
      <w:bodyDiv w:val="1"/>
      <w:marLeft w:val="0"/>
      <w:marRight w:val="0"/>
      <w:marTop w:val="0"/>
      <w:marBottom w:val="0"/>
      <w:divBdr>
        <w:top w:val="none" w:sz="0" w:space="0" w:color="auto"/>
        <w:left w:val="none" w:sz="0" w:space="0" w:color="auto"/>
        <w:bottom w:val="none" w:sz="0" w:space="0" w:color="auto"/>
        <w:right w:val="none" w:sz="0" w:space="0" w:color="auto"/>
      </w:divBdr>
    </w:div>
    <w:div w:id="2019038083">
      <w:bodyDiv w:val="1"/>
      <w:marLeft w:val="0"/>
      <w:marRight w:val="0"/>
      <w:marTop w:val="0"/>
      <w:marBottom w:val="0"/>
      <w:divBdr>
        <w:top w:val="none" w:sz="0" w:space="0" w:color="auto"/>
        <w:left w:val="none" w:sz="0" w:space="0" w:color="auto"/>
        <w:bottom w:val="none" w:sz="0" w:space="0" w:color="auto"/>
        <w:right w:val="none" w:sz="0" w:space="0" w:color="auto"/>
      </w:divBdr>
    </w:div>
    <w:div w:id="2019261201">
      <w:bodyDiv w:val="1"/>
      <w:marLeft w:val="0"/>
      <w:marRight w:val="0"/>
      <w:marTop w:val="0"/>
      <w:marBottom w:val="0"/>
      <w:divBdr>
        <w:top w:val="none" w:sz="0" w:space="0" w:color="auto"/>
        <w:left w:val="none" w:sz="0" w:space="0" w:color="auto"/>
        <w:bottom w:val="none" w:sz="0" w:space="0" w:color="auto"/>
        <w:right w:val="none" w:sz="0" w:space="0" w:color="auto"/>
      </w:divBdr>
    </w:div>
    <w:div w:id="2019429110">
      <w:bodyDiv w:val="1"/>
      <w:marLeft w:val="0"/>
      <w:marRight w:val="0"/>
      <w:marTop w:val="0"/>
      <w:marBottom w:val="0"/>
      <w:divBdr>
        <w:top w:val="none" w:sz="0" w:space="0" w:color="auto"/>
        <w:left w:val="none" w:sz="0" w:space="0" w:color="auto"/>
        <w:bottom w:val="none" w:sz="0" w:space="0" w:color="auto"/>
        <w:right w:val="none" w:sz="0" w:space="0" w:color="auto"/>
      </w:divBdr>
    </w:div>
    <w:div w:id="2019580108">
      <w:bodyDiv w:val="1"/>
      <w:marLeft w:val="0"/>
      <w:marRight w:val="0"/>
      <w:marTop w:val="0"/>
      <w:marBottom w:val="0"/>
      <w:divBdr>
        <w:top w:val="none" w:sz="0" w:space="0" w:color="auto"/>
        <w:left w:val="none" w:sz="0" w:space="0" w:color="auto"/>
        <w:bottom w:val="none" w:sz="0" w:space="0" w:color="auto"/>
        <w:right w:val="none" w:sz="0" w:space="0" w:color="auto"/>
      </w:divBdr>
    </w:div>
    <w:div w:id="2019650054">
      <w:bodyDiv w:val="1"/>
      <w:marLeft w:val="0"/>
      <w:marRight w:val="0"/>
      <w:marTop w:val="0"/>
      <w:marBottom w:val="0"/>
      <w:divBdr>
        <w:top w:val="none" w:sz="0" w:space="0" w:color="auto"/>
        <w:left w:val="none" w:sz="0" w:space="0" w:color="auto"/>
        <w:bottom w:val="none" w:sz="0" w:space="0" w:color="auto"/>
        <w:right w:val="none" w:sz="0" w:space="0" w:color="auto"/>
      </w:divBdr>
    </w:div>
    <w:div w:id="2019654286">
      <w:bodyDiv w:val="1"/>
      <w:marLeft w:val="0"/>
      <w:marRight w:val="0"/>
      <w:marTop w:val="0"/>
      <w:marBottom w:val="0"/>
      <w:divBdr>
        <w:top w:val="none" w:sz="0" w:space="0" w:color="auto"/>
        <w:left w:val="none" w:sz="0" w:space="0" w:color="auto"/>
        <w:bottom w:val="none" w:sz="0" w:space="0" w:color="auto"/>
        <w:right w:val="none" w:sz="0" w:space="0" w:color="auto"/>
      </w:divBdr>
    </w:div>
    <w:div w:id="2019695465">
      <w:bodyDiv w:val="1"/>
      <w:marLeft w:val="0"/>
      <w:marRight w:val="0"/>
      <w:marTop w:val="0"/>
      <w:marBottom w:val="0"/>
      <w:divBdr>
        <w:top w:val="none" w:sz="0" w:space="0" w:color="auto"/>
        <w:left w:val="none" w:sz="0" w:space="0" w:color="auto"/>
        <w:bottom w:val="none" w:sz="0" w:space="0" w:color="auto"/>
        <w:right w:val="none" w:sz="0" w:space="0" w:color="auto"/>
      </w:divBdr>
    </w:div>
    <w:div w:id="2019769469">
      <w:bodyDiv w:val="1"/>
      <w:marLeft w:val="0"/>
      <w:marRight w:val="0"/>
      <w:marTop w:val="0"/>
      <w:marBottom w:val="0"/>
      <w:divBdr>
        <w:top w:val="none" w:sz="0" w:space="0" w:color="auto"/>
        <w:left w:val="none" w:sz="0" w:space="0" w:color="auto"/>
        <w:bottom w:val="none" w:sz="0" w:space="0" w:color="auto"/>
        <w:right w:val="none" w:sz="0" w:space="0" w:color="auto"/>
      </w:divBdr>
    </w:div>
    <w:div w:id="2019770309">
      <w:bodyDiv w:val="1"/>
      <w:marLeft w:val="0"/>
      <w:marRight w:val="0"/>
      <w:marTop w:val="0"/>
      <w:marBottom w:val="0"/>
      <w:divBdr>
        <w:top w:val="none" w:sz="0" w:space="0" w:color="auto"/>
        <w:left w:val="none" w:sz="0" w:space="0" w:color="auto"/>
        <w:bottom w:val="none" w:sz="0" w:space="0" w:color="auto"/>
        <w:right w:val="none" w:sz="0" w:space="0" w:color="auto"/>
      </w:divBdr>
    </w:div>
    <w:div w:id="2019887987">
      <w:bodyDiv w:val="1"/>
      <w:marLeft w:val="0"/>
      <w:marRight w:val="0"/>
      <w:marTop w:val="0"/>
      <w:marBottom w:val="0"/>
      <w:divBdr>
        <w:top w:val="none" w:sz="0" w:space="0" w:color="auto"/>
        <w:left w:val="none" w:sz="0" w:space="0" w:color="auto"/>
        <w:bottom w:val="none" w:sz="0" w:space="0" w:color="auto"/>
        <w:right w:val="none" w:sz="0" w:space="0" w:color="auto"/>
      </w:divBdr>
    </w:div>
    <w:div w:id="2019916922">
      <w:bodyDiv w:val="1"/>
      <w:marLeft w:val="0"/>
      <w:marRight w:val="0"/>
      <w:marTop w:val="0"/>
      <w:marBottom w:val="0"/>
      <w:divBdr>
        <w:top w:val="none" w:sz="0" w:space="0" w:color="auto"/>
        <w:left w:val="none" w:sz="0" w:space="0" w:color="auto"/>
        <w:bottom w:val="none" w:sz="0" w:space="0" w:color="auto"/>
        <w:right w:val="none" w:sz="0" w:space="0" w:color="auto"/>
      </w:divBdr>
    </w:div>
    <w:div w:id="2019966987">
      <w:bodyDiv w:val="1"/>
      <w:marLeft w:val="0"/>
      <w:marRight w:val="0"/>
      <w:marTop w:val="0"/>
      <w:marBottom w:val="0"/>
      <w:divBdr>
        <w:top w:val="none" w:sz="0" w:space="0" w:color="auto"/>
        <w:left w:val="none" w:sz="0" w:space="0" w:color="auto"/>
        <w:bottom w:val="none" w:sz="0" w:space="0" w:color="auto"/>
        <w:right w:val="none" w:sz="0" w:space="0" w:color="auto"/>
      </w:divBdr>
    </w:div>
    <w:div w:id="2020082455">
      <w:bodyDiv w:val="1"/>
      <w:marLeft w:val="0"/>
      <w:marRight w:val="0"/>
      <w:marTop w:val="0"/>
      <w:marBottom w:val="0"/>
      <w:divBdr>
        <w:top w:val="none" w:sz="0" w:space="0" w:color="auto"/>
        <w:left w:val="none" w:sz="0" w:space="0" w:color="auto"/>
        <w:bottom w:val="none" w:sz="0" w:space="0" w:color="auto"/>
        <w:right w:val="none" w:sz="0" w:space="0" w:color="auto"/>
      </w:divBdr>
    </w:div>
    <w:div w:id="2020309138">
      <w:bodyDiv w:val="1"/>
      <w:marLeft w:val="0"/>
      <w:marRight w:val="0"/>
      <w:marTop w:val="0"/>
      <w:marBottom w:val="0"/>
      <w:divBdr>
        <w:top w:val="none" w:sz="0" w:space="0" w:color="auto"/>
        <w:left w:val="none" w:sz="0" w:space="0" w:color="auto"/>
        <w:bottom w:val="none" w:sz="0" w:space="0" w:color="auto"/>
        <w:right w:val="none" w:sz="0" w:space="0" w:color="auto"/>
      </w:divBdr>
    </w:div>
    <w:div w:id="2020429083">
      <w:bodyDiv w:val="1"/>
      <w:marLeft w:val="0"/>
      <w:marRight w:val="0"/>
      <w:marTop w:val="0"/>
      <w:marBottom w:val="0"/>
      <w:divBdr>
        <w:top w:val="none" w:sz="0" w:space="0" w:color="auto"/>
        <w:left w:val="none" w:sz="0" w:space="0" w:color="auto"/>
        <w:bottom w:val="none" w:sz="0" w:space="0" w:color="auto"/>
        <w:right w:val="none" w:sz="0" w:space="0" w:color="auto"/>
      </w:divBdr>
    </w:div>
    <w:div w:id="2020572941">
      <w:bodyDiv w:val="1"/>
      <w:marLeft w:val="0"/>
      <w:marRight w:val="0"/>
      <w:marTop w:val="0"/>
      <w:marBottom w:val="0"/>
      <w:divBdr>
        <w:top w:val="none" w:sz="0" w:space="0" w:color="auto"/>
        <w:left w:val="none" w:sz="0" w:space="0" w:color="auto"/>
        <w:bottom w:val="none" w:sz="0" w:space="0" w:color="auto"/>
        <w:right w:val="none" w:sz="0" w:space="0" w:color="auto"/>
      </w:divBdr>
    </w:div>
    <w:div w:id="2020689698">
      <w:bodyDiv w:val="1"/>
      <w:marLeft w:val="0"/>
      <w:marRight w:val="0"/>
      <w:marTop w:val="0"/>
      <w:marBottom w:val="0"/>
      <w:divBdr>
        <w:top w:val="none" w:sz="0" w:space="0" w:color="auto"/>
        <w:left w:val="none" w:sz="0" w:space="0" w:color="auto"/>
        <w:bottom w:val="none" w:sz="0" w:space="0" w:color="auto"/>
        <w:right w:val="none" w:sz="0" w:space="0" w:color="auto"/>
      </w:divBdr>
    </w:div>
    <w:div w:id="2020694206">
      <w:bodyDiv w:val="1"/>
      <w:marLeft w:val="0"/>
      <w:marRight w:val="0"/>
      <w:marTop w:val="0"/>
      <w:marBottom w:val="0"/>
      <w:divBdr>
        <w:top w:val="none" w:sz="0" w:space="0" w:color="auto"/>
        <w:left w:val="none" w:sz="0" w:space="0" w:color="auto"/>
        <w:bottom w:val="none" w:sz="0" w:space="0" w:color="auto"/>
        <w:right w:val="none" w:sz="0" w:space="0" w:color="auto"/>
      </w:divBdr>
    </w:div>
    <w:div w:id="2020696507">
      <w:bodyDiv w:val="1"/>
      <w:marLeft w:val="0"/>
      <w:marRight w:val="0"/>
      <w:marTop w:val="0"/>
      <w:marBottom w:val="0"/>
      <w:divBdr>
        <w:top w:val="none" w:sz="0" w:space="0" w:color="auto"/>
        <w:left w:val="none" w:sz="0" w:space="0" w:color="auto"/>
        <w:bottom w:val="none" w:sz="0" w:space="0" w:color="auto"/>
        <w:right w:val="none" w:sz="0" w:space="0" w:color="auto"/>
      </w:divBdr>
    </w:div>
    <w:div w:id="2020765824">
      <w:bodyDiv w:val="1"/>
      <w:marLeft w:val="0"/>
      <w:marRight w:val="0"/>
      <w:marTop w:val="0"/>
      <w:marBottom w:val="0"/>
      <w:divBdr>
        <w:top w:val="none" w:sz="0" w:space="0" w:color="auto"/>
        <w:left w:val="none" w:sz="0" w:space="0" w:color="auto"/>
        <w:bottom w:val="none" w:sz="0" w:space="0" w:color="auto"/>
        <w:right w:val="none" w:sz="0" w:space="0" w:color="auto"/>
      </w:divBdr>
    </w:div>
    <w:div w:id="2020766644">
      <w:bodyDiv w:val="1"/>
      <w:marLeft w:val="0"/>
      <w:marRight w:val="0"/>
      <w:marTop w:val="0"/>
      <w:marBottom w:val="0"/>
      <w:divBdr>
        <w:top w:val="none" w:sz="0" w:space="0" w:color="auto"/>
        <w:left w:val="none" w:sz="0" w:space="0" w:color="auto"/>
        <w:bottom w:val="none" w:sz="0" w:space="0" w:color="auto"/>
        <w:right w:val="none" w:sz="0" w:space="0" w:color="auto"/>
      </w:divBdr>
    </w:div>
    <w:div w:id="2020807444">
      <w:bodyDiv w:val="1"/>
      <w:marLeft w:val="0"/>
      <w:marRight w:val="0"/>
      <w:marTop w:val="0"/>
      <w:marBottom w:val="0"/>
      <w:divBdr>
        <w:top w:val="none" w:sz="0" w:space="0" w:color="auto"/>
        <w:left w:val="none" w:sz="0" w:space="0" w:color="auto"/>
        <w:bottom w:val="none" w:sz="0" w:space="0" w:color="auto"/>
        <w:right w:val="none" w:sz="0" w:space="0" w:color="auto"/>
      </w:divBdr>
    </w:div>
    <w:div w:id="2020815678">
      <w:bodyDiv w:val="1"/>
      <w:marLeft w:val="0"/>
      <w:marRight w:val="0"/>
      <w:marTop w:val="0"/>
      <w:marBottom w:val="0"/>
      <w:divBdr>
        <w:top w:val="none" w:sz="0" w:space="0" w:color="auto"/>
        <w:left w:val="none" w:sz="0" w:space="0" w:color="auto"/>
        <w:bottom w:val="none" w:sz="0" w:space="0" w:color="auto"/>
        <w:right w:val="none" w:sz="0" w:space="0" w:color="auto"/>
      </w:divBdr>
    </w:div>
    <w:div w:id="2020817114">
      <w:bodyDiv w:val="1"/>
      <w:marLeft w:val="0"/>
      <w:marRight w:val="0"/>
      <w:marTop w:val="0"/>
      <w:marBottom w:val="0"/>
      <w:divBdr>
        <w:top w:val="none" w:sz="0" w:space="0" w:color="auto"/>
        <w:left w:val="none" w:sz="0" w:space="0" w:color="auto"/>
        <w:bottom w:val="none" w:sz="0" w:space="0" w:color="auto"/>
        <w:right w:val="none" w:sz="0" w:space="0" w:color="auto"/>
      </w:divBdr>
    </w:div>
    <w:div w:id="2020884510">
      <w:bodyDiv w:val="1"/>
      <w:marLeft w:val="0"/>
      <w:marRight w:val="0"/>
      <w:marTop w:val="0"/>
      <w:marBottom w:val="0"/>
      <w:divBdr>
        <w:top w:val="none" w:sz="0" w:space="0" w:color="auto"/>
        <w:left w:val="none" w:sz="0" w:space="0" w:color="auto"/>
        <w:bottom w:val="none" w:sz="0" w:space="0" w:color="auto"/>
        <w:right w:val="none" w:sz="0" w:space="0" w:color="auto"/>
      </w:divBdr>
    </w:div>
    <w:div w:id="2020961095">
      <w:bodyDiv w:val="1"/>
      <w:marLeft w:val="0"/>
      <w:marRight w:val="0"/>
      <w:marTop w:val="0"/>
      <w:marBottom w:val="0"/>
      <w:divBdr>
        <w:top w:val="none" w:sz="0" w:space="0" w:color="auto"/>
        <w:left w:val="none" w:sz="0" w:space="0" w:color="auto"/>
        <w:bottom w:val="none" w:sz="0" w:space="0" w:color="auto"/>
        <w:right w:val="none" w:sz="0" w:space="0" w:color="auto"/>
      </w:divBdr>
    </w:div>
    <w:div w:id="2020961739">
      <w:bodyDiv w:val="1"/>
      <w:marLeft w:val="0"/>
      <w:marRight w:val="0"/>
      <w:marTop w:val="0"/>
      <w:marBottom w:val="0"/>
      <w:divBdr>
        <w:top w:val="none" w:sz="0" w:space="0" w:color="auto"/>
        <w:left w:val="none" w:sz="0" w:space="0" w:color="auto"/>
        <w:bottom w:val="none" w:sz="0" w:space="0" w:color="auto"/>
        <w:right w:val="none" w:sz="0" w:space="0" w:color="auto"/>
      </w:divBdr>
    </w:div>
    <w:div w:id="2020965231">
      <w:bodyDiv w:val="1"/>
      <w:marLeft w:val="0"/>
      <w:marRight w:val="0"/>
      <w:marTop w:val="0"/>
      <w:marBottom w:val="0"/>
      <w:divBdr>
        <w:top w:val="none" w:sz="0" w:space="0" w:color="auto"/>
        <w:left w:val="none" w:sz="0" w:space="0" w:color="auto"/>
        <w:bottom w:val="none" w:sz="0" w:space="0" w:color="auto"/>
        <w:right w:val="none" w:sz="0" w:space="0" w:color="auto"/>
      </w:divBdr>
    </w:div>
    <w:div w:id="2021001624">
      <w:bodyDiv w:val="1"/>
      <w:marLeft w:val="0"/>
      <w:marRight w:val="0"/>
      <w:marTop w:val="0"/>
      <w:marBottom w:val="0"/>
      <w:divBdr>
        <w:top w:val="none" w:sz="0" w:space="0" w:color="auto"/>
        <w:left w:val="none" w:sz="0" w:space="0" w:color="auto"/>
        <w:bottom w:val="none" w:sz="0" w:space="0" w:color="auto"/>
        <w:right w:val="none" w:sz="0" w:space="0" w:color="auto"/>
      </w:divBdr>
    </w:div>
    <w:div w:id="2021009147">
      <w:bodyDiv w:val="1"/>
      <w:marLeft w:val="0"/>
      <w:marRight w:val="0"/>
      <w:marTop w:val="0"/>
      <w:marBottom w:val="0"/>
      <w:divBdr>
        <w:top w:val="none" w:sz="0" w:space="0" w:color="auto"/>
        <w:left w:val="none" w:sz="0" w:space="0" w:color="auto"/>
        <w:bottom w:val="none" w:sz="0" w:space="0" w:color="auto"/>
        <w:right w:val="none" w:sz="0" w:space="0" w:color="auto"/>
      </w:divBdr>
    </w:div>
    <w:div w:id="2021392408">
      <w:bodyDiv w:val="1"/>
      <w:marLeft w:val="0"/>
      <w:marRight w:val="0"/>
      <w:marTop w:val="0"/>
      <w:marBottom w:val="0"/>
      <w:divBdr>
        <w:top w:val="none" w:sz="0" w:space="0" w:color="auto"/>
        <w:left w:val="none" w:sz="0" w:space="0" w:color="auto"/>
        <w:bottom w:val="none" w:sz="0" w:space="0" w:color="auto"/>
        <w:right w:val="none" w:sz="0" w:space="0" w:color="auto"/>
      </w:divBdr>
    </w:div>
    <w:div w:id="2021469771">
      <w:bodyDiv w:val="1"/>
      <w:marLeft w:val="0"/>
      <w:marRight w:val="0"/>
      <w:marTop w:val="0"/>
      <w:marBottom w:val="0"/>
      <w:divBdr>
        <w:top w:val="none" w:sz="0" w:space="0" w:color="auto"/>
        <w:left w:val="none" w:sz="0" w:space="0" w:color="auto"/>
        <w:bottom w:val="none" w:sz="0" w:space="0" w:color="auto"/>
        <w:right w:val="none" w:sz="0" w:space="0" w:color="auto"/>
      </w:divBdr>
    </w:div>
    <w:div w:id="2021660062">
      <w:bodyDiv w:val="1"/>
      <w:marLeft w:val="0"/>
      <w:marRight w:val="0"/>
      <w:marTop w:val="0"/>
      <w:marBottom w:val="0"/>
      <w:divBdr>
        <w:top w:val="none" w:sz="0" w:space="0" w:color="auto"/>
        <w:left w:val="none" w:sz="0" w:space="0" w:color="auto"/>
        <w:bottom w:val="none" w:sz="0" w:space="0" w:color="auto"/>
        <w:right w:val="none" w:sz="0" w:space="0" w:color="auto"/>
      </w:divBdr>
    </w:div>
    <w:div w:id="2021660746">
      <w:bodyDiv w:val="1"/>
      <w:marLeft w:val="0"/>
      <w:marRight w:val="0"/>
      <w:marTop w:val="0"/>
      <w:marBottom w:val="0"/>
      <w:divBdr>
        <w:top w:val="none" w:sz="0" w:space="0" w:color="auto"/>
        <w:left w:val="none" w:sz="0" w:space="0" w:color="auto"/>
        <w:bottom w:val="none" w:sz="0" w:space="0" w:color="auto"/>
        <w:right w:val="none" w:sz="0" w:space="0" w:color="auto"/>
      </w:divBdr>
    </w:div>
    <w:div w:id="2021735228">
      <w:bodyDiv w:val="1"/>
      <w:marLeft w:val="0"/>
      <w:marRight w:val="0"/>
      <w:marTop w:val="0"/>
      <w:marBottom w:val="0"/>
      <w:divBdr>
        <w:top w:val="none" w:sz="0" w:space="0" w:color="auto"/>
        <w:left w:val="none" w:sz="0" w:space="0" w:color="auto"/>
        <w:bottom w:val="none" w:sz="0" w:space="0" w:color="auto"/>
        <w:right w:val="none" w:sz="0" w:space="0" w:color="auto"/>
      </w:divBdr>
    </w:div>
    <w:div w:id="2021737344">
      <w:bodyDiv w:val="1"/>
      <w:marLeft w:val="0"/>
      <w:marRight w:val="0"/>
      <w:marTop w:val="0"/>
      <w:marBottom w:val="0"/>
      <w:divBdr>
        <w:top w:val="none" w:sz="0" w:space="0" w:color="auto"/>
        <w:left w:val="none" w:sz="0" w:space="0" w:color="auto"/>
        <w:bottom w:val="none" w:sz="0" w:space="0" w:color="auto"/>
        <w:right w:val="none" w:sz="0" w:space="0" w:color="auto"/>
      </w:divBdr>
    </w:div>
    <w:div w:id="2021809090">
      <w:bodyDiv w:val="1"/>
      <w:marLeft w:val="0"/>
      <w:marRight w:val="0"/>
      <w:marTop w:val="0"/>
      <w:marBottom w:val="0"/>
      <w:divBdr>
        <w:top w:val="none" w:sz="0" w:space="0" w:color="auto"/>
        <w:left w:val="none" w:sz="0" w:space="0" w:color="auto"/>
        <w:bottom w:val="none" w:sz="0" w:space="0" w:color="auto"/>
        <w:right w:val="none" w:sz="0" w:space="0" w:color="auto"/>
      </w:divBdr>
    </w:div>
    <w:div w:id="2021815501">
      <w:bodyDiv w:val="1"/>
      <w:marLeft w:val="0"/>
      <w:marRight w:val="0"/>
      <w:marTop w:val="0"/>
      <w:marBottom w:val="0"/>
      <w:divBdr>
        <w:top w:val="none" w:sz="0" w:space="0" w:color="auto"/>
        <w:left w:val="none" w:sz="0" w:space="0" w:color="auto"/>
        <w:bottom w:val="none" w:sz="0" w:space="0" w:color="auto"/>
        <w:right w:val="none" w:sz="0" w:space="0" w:color="auto"/>
      </w:divBdr>
    </w:div>
    <w:div w:id="2021851452">
      <w:bodyDiv w:val="1"/>
      <w:marLeft w:val="0"/>
      <w:marRight w:val="0"/>
      <w:marTop w:val="0"/>
      <w:marBottom w:val="0"/>
      <w:divBdr>
        <w:top w:val="none" w:sz="0" w:space="0" w:color="auto"/>
        <w:left w:val="none" w:sz="0" w:space="0" w:color="auto"/>
        <w:bottom w:val="none" w:sz="0" w:space="0" w:color="auto"/>
        <w:right w:val="none" w:sz="0" w:space="0" w:color="auto"/>
      </w:divBdr>
    </w:div>
    <w:div w:id="2021858830">
      <w:bodyDiv w:val="1"/>
      <w:marLeft w:val="0"/>
      <w:marRight w:val="0"/>
      <w:marTop w:val="0"/>
      <w:marBottom w:val="0"/>
      <w:divBdr>
        <w:top w:val="none" w:sz="0" w:space="0" w:color="auto"/>
        <w:left w:val="none" w:sz="0" w:space="0" w:color="auto"/>
        <w:bottom w:val="none" w:sz="0" w:space="0" w:color="auto"/>
        <w:right w:val="none" w:sz="0" w:space="0" w:color="auto"/>
      </w:divBdr>
    </w:div>
    <w:div w:id="2021926239">
      <w:bodyDiv w:val="1"/>
      <w:marLeft w:val="0"/>
      <w:marRight w:val="0"/>
      <w:marTop w:val="0"/>
      <w:marBottom w:val="0"/>
      <w:divBdr>
        <w:top w:val="none" w:sz="0" w:space="0" w:color="auto"/>
        <w:left w:val="none" w:sz="0" w:space="0" w:color="auto"/>
        <w:bottom w:val="none" w:sz="0" w:space="0" w:color="auto"/>
        <w:right w:val="none" w:sz="0" w:space="0" w:color="auto"/>
      </w:divBdr>
    </w:div>
    <w:div w:id="2022006482">
      <w:bodyDiv w:val="1"/>
      <w:marLeft w:val="0"/>
      <w:marRight w:val="0"/>
      <w:marTop w:val="0"/>
      <w:marBottom w:val="0"/>
      <w:divBdr>
        <w:top w:val="none" w:sz="0" w:space="0" w:color="auto"/>
        <w:left w:val="none" w:sz="0" w:space="0" w:color="auto"/>
        <w:bottom w:val="none" w:sz="0" w:space="0" w:color="auto"/>
        <w:right w:val="none" w:sz="0" w:space="0" w:color="auto"/>
      </w:divBdr>
    </w:div>
    <w:div w:id="2022048328">
      <w:bodyDiv w:val="1"/>
      <w:marLeft w:val="0"/>
      <w:marRight w:val="0"/>
      <w:marTop w:val="0"/>
      <w:marBottom w:val="0"/>
      <w:divBdr>
        <w:top w:val="none" w:sz="0" w:space="0" w:color="auto"/>
        <w:left w:val="none" w:sz="0" w:space="0" w:color="auto"/>
        <w:bottom w:val="none" w:sz="0" w:space="0" w:color="auto"/>
        <w:right w:val="none" w:sz="0" w:space="0" w:color="auto"/>
      </w:divBdr>
    </w:div>
    <w:div w:id="2022118432">
      <w:bodyDiv w:val="1"/>
      <w:marLeft w:val="0"/>
      <w:marRight w:val="0"/>
      <w:marTop w:val="0"/>
      <w:marBottom w:val="0"/>
      <w:divBdr>
        <w:top w:val="none" w:sz="0" w:space="0" w:color="auto"/>
        <w:left w:val="none" w:sz="0" w:space="0" w:color="auto"/>
        <w:bottom w:val="none" w:sz="0" w:space="0" w:color="auto"/>
        <w:right w:val="none" w:sz="0" w:space="0" w:color="auto"/>
      </w:divBdr>
    </w:div>
    <w:div w:id="2022120143">
      <w:bodyDiv w:val="1"/>
      <w:marLeft w:val="0"/>
      <w:marRight w:val="0"/>
      <w:marTop w:val="0"/>
      <w:marBottom w:val="0"/>
      <w:divBdr>
        <w:top w:val="none" w:sz="0" w:space="0" w:color="auto"/>
        <w:left w:val="none" w:sz="0" w:space="0" w:color="auto"/>
        <w:bottom w:val="none" w:sz="0" w:space="0" w:color="auto"/>
        <w:right w:val="none" w:sz="0" w:space="0" w:color="auto"/>
      </w:divBdr>
    </w:div>
    <w:div w:id="2022120552">
      <w:bodyDiv w:val="1"/>
      <w:marLeft w:val="0"/>
      <w:marRight w:val="0"/>
      <w:marTop w:val="0"/>
      <w:marBottom w:val="0"/>
      <w:divBdr>
        <w:top w:val="none" w:sz="0" w:space="0" w:color="auto"/>
        <w:left w:val="none" w:sz="0" w:space="0" w:color="auto"/>
        <w:bottom w:val="none" w:sz="0" w:space="0" w:color="auto"/>
        <w:right w:val="none" w:sz="0" w:space="0" w:color="auto"/>
      </w:divBdr>
    </w:div>
    <w:div w:id="2022125496">
      <w:bodyDiv w:val="1"/>
      <w:marLeft w:val="0"/>
      <w:marRight w:val="0"/>
      <w:marTop w:val="0"/>
      <w:marBottom w:val="0"/>
      <w:divBdr>
        <w:top w:val="none" w:sz="0" w:space="0" w:color="auto"/>
        <w:left w:val="none" w:sz="0" w:space="0" w:color="auto"/>
        <w:bottom w:val="none" w:sz="0" w:space="0" w:color="auto"/>
        <w:right w:val="none" w:sz="0" w:space="0" w:color="auto"/>
      </w:divBdr>
    </w:div>
    <w:div w:id="2022195416">
      <w:bodyDiv w:val="1"/>
      <w:marLeft w:val="0"/>
      <w:marRight w:val="0"/>
      <w:marTop w:val="0"/>
      <w:marBottom w:val="0"/>
      <w:divBdr>
        <w:top w:val="none" w:sz="0" w:space="0" w:color="auto"/>
        <w:left w:val="none" w:sz="0" w:space="0" w:color="auto"/>
        <w:bottom w:val="none" w:sz="0" w:space="0" w:color="auto"/>
        <w:right w:val="none" w:sz="0" w:space="0" w:color="auto"/>
      </w:divBdr>
    </w:div>
    <w:div w:id="2022200278">
      <w:bodyDiv w:val="1"/>
      <w:marLeft w:val="0"/>
      <w:marRight w:val="0"/>
      <w:marTop w:val="0"/>
      <w:marBottom w:val="0"/>
      <w:divBdr>
        <w:top w:val="none" w:sz="0" w:space="0" w:color="auto"/>
        <w:left w:val="none" w:sz="0" w:space="0" w:color="auto"/>
        <w:bottom w:val="none" w:sz="0" w:space="0" w:color="auto"/>
        <w:right w:val="none" w:sz="0" w:space="0" w:color="auto"/>
      </w:divBdr>
    </w:div>
    <w:div w:id="2022393578">
      <w:bodyDiv w:val="1"/>
      <w:marLeft w:val="0"/>
      <w:marRight w:val="0"/>
      <w:marTop w:val="0"/>
      <w:marBottom w:val="0"/>
      <w:divBdr>
        <w:top w:val="none" w:sz="0" w:space="0" w:color="auto"/>
        <w:left w:val="none" w:sz="0" w:space="0" w:color="auto"/>
        <w:bottom w:val="none" w:sz="0" w:space="0" w:color="auto"/>
        <w:right w:val="none" w:sz="0" w:space="0" w:color="auto"/>
      </w:divBdr>
    </w:div>
    <w:div w:id="2022395000">
      <w:bodyDiv w:val="1"/>
      <w:marLeft w:val="0"/>
      <w:marRight w:val="0"/>
      <w:marTop w:val="0"/>
      <w:marBottom w:val="0"/>
      <w:divBdr>
        <w:top w:val="none" w:sz="0" w:space="0" w:color="auto"/>
        <w:left w:val="none" w:sz="0" w:space="0" w:color="auto"/>
        <w:bottom w:val="none" w:sz="0" w:space="0" w:color="auto"/>
        <w:right w:val="none" w:sz="0" w:space="0" w:color="auto"/>
      </w:divBdr>
    </w:div>
    <w:div w:id="2022587705">
      <w:bodyDiv w:val="1"/>
      <w:marLeft w:val="0"/>
      <w:marRight w:val="0"/>
      <w:marTop w:val="0"/>
      <w:marBottom w:val="0"/>
      <w:divBdr>
        <w:top w:val="none" w:sz="0" w:space="0" w:color="auto"/>
        <w:left w:val="none" w:sz="0" w:space="0" w:color="auto"/>
        <w:bottom w:val="none" w:sz="0" w:space="0" w:color="auto"/>
        <w:right w:val="none" w:sz="0" w:space="0" w:color="auto"/>
      </w:divBdr>
    </w:div>
    <w:div w:id="2022777654">
      <w:bodyDiv w:val="1"/>
      <w:marLeft w:val="0"/>
      <w:marRight w:val="0"/>
      <w:marTop w:val="0"/>
      <w:marBottom w:val="0"/>
      <w:divBdr>
        <w:top w:val="none" w:sz="0" w:space="0" w:color="auto"/>
        <w:left w:val="none" w:sz="0" w:space="0" w:color="auto"/>
        <w:bottom w:val="none" w:sz="0" w:space="0" w:color="auto"/>
        <w:right w:val="none" w:sz="0" w:space="0" w:color="auto"/>
      </w:divBdr>
    </w:div>
    <w:div w:id="2022929357">
      <w:bodyDiv w:val="1"/>
      <w:marLeft w:val="0"/>
      <w:marRight w:val="0"/>
      <w:marTop w:val="0"/>
      <w:marBottom w:val="0"/>
      <w:divBdr>
        <w:top w:val="none" w:sz="0" w:space="0" w:color="auto"/>
        <w:left w:val="none" w:sz="0" w:space="0" w:color="auto"/>
        <w:bottom w:val="none" w:sz="0" w:space="0" w:color="auto"/>
        <w:right w:val="none" w:sz="0" w:space="0" w:color="auto"/>
      </w:divBdr>
    </w:div>
    <w:div w:id="2023124638">
      <w:bodyDiv w:val="1"/>
      <w:marLeft w:val="0"/>
      <w:marRight w:val="0"/>
      <w:marTop w:val="0"/>
      <w:marBottom w:val="0"/>
      <w:divBdr>
        <w:top w:val="none" w:sz="0" w:space="0" w:color="auto"/>
        <w:left w:val="none" w:sz="0" w:space="0" w:color="auto"/>
        <w:bottom w:val="none" w:sz="0" w:space="0" w:color="auto"/>
        <w:right w:val="none" w:sz="0" w:space="0" w:color="auto"/>
      </w:divBdr>
    </w:div>
    <w:div w:id="2023126720">
      <w:bodyDiv w:val="1"/>
      <w:marLeft w:val="0"/>
      <w:marRight w:val="0"/>
      <w:marTop w:val="0"/>
      <w:marBottom w:val="0"/>
      <w:divBdr>
        <w:top w:val="none" w:sz="0" w:space="0" w:color="auto"/>
        <w:left w:val="none" w:sz="0" w:space="0" w:color="auto"/>
        <w:bottom w:val="none" w:sz="0" w:space="0" w:color="auto"/>
        <w:right w:val="none" w:sz="0" w:space="0" w:color="auto"/>
      </w:divBdr>
    </w:div>
    <w:div w:id="2023165322">
      <w:bodyDiv w:val="1"/>
      <w:marLeft w:val="0"/>
      <w:marRight w:val="0"/>
      <w:marTop w:val="0"/>
      <w:marBottom w:val="0"/>
      <w:divBdr>
        <w:top w:val="none" w:sz="0" w:space="0" w:color="auto"/>
        <w:left w:val="none" w:sz="0" w:space="0" w:color="auto"/>
        <w:bottom w:val="none" w:sz="0" w:space="0" w:color="auto"/>
        <w:right w:val="none" w:sz="0" w:space="0" w:color="auto"/>
      </w:divBdr>
    </w:div>
    <w:div w:id="2023193306">
      <w:bodyDiv w:val="1"/>
      <w:marLeft w:val="0"/>
      <w:marRight w:val="0"/>
      <w:marTop w:val="0"/>
      <w:marBottom w:val="0"/>
      <w:divBdr>
        <w:top w:val="none" w:sz="0" w:space="0" w:color="auto"/>
        <w:left w:val="none" w:sz="0" w:space="0" w:color="auto"/>
        <w:bottom w:val="none" w:sz="0" w:space="0" w:color="auto"/>
        <w:right w:val="none" w:sz="0" w:space="0" w:color="auto"/>
      </w:divBdr>
    </w:div>
    <w:div w:id="2023433681">
      <w:bodyDiv w:val="1"/>
      <w:marLeft w:val="0"/>
      <w:marRight w:val="0"/>
      <w:marTop w:val="0"/>
      <w:marBottom w:val="0"/>
      <w:divBdr>
        <w:top w:val="none" w:sz="0" w:space="0" w:color="auto"/>
        <w:left w:val="none" w:sz="0" w:space="0" w:color="auto"/>
        <w:bottom w:val="none" w:sz="0" w:space="0" w:color="auto"/>
        <w:right w:val="none" w:sz="0" w:space="0" w:color="auto"/>
      </w:divBdr>
    </w:div>
    <w:div w:id="2023509999">
      <w:bodyDiv w:val="1"/>
      <w:marLeft w:val="0"/>
      <w:marRight w:val="0"/>
      <w:marTop w:val="0"/>
      <w:marBottom w:val="0"/>
      <w:divBdr>
        <w:top w:val="none" w:sz="0" w:space="0" w:color="auto"/>
        <w:left w:val="none" w:sz="0" w:space="0" w:color="auto"/>
        <w:bottom w:val="none" w:sz="0" w:space="0" w:color="auto"/>
        <w:right w:val="none" w:sz="0" w:space="0" w:color="auto"/>
      </w:divBdr>
    </w:div>
    <w:div w:id="2023703403">
      <w:bodyDiv w:val="1"/>
      <w:marLeft w:val="0"/>
      <w:marRight w:val="0"/>
      <w:marTop w:val="0"/>
      <w:marBottom w:val="0"/>
      <w:divBdr>
        <w:top w:val="none" w:sz="0" w:space="0" w:color="auto"/>
        <w:left w:val="none" w:sz="0" w:space="0" w:color="auto"/>
        <w:bottom w:val="none" w:sz="0" w:space="0" w:color="auto"/>
        <w:right w:val="none" w:sz="0" w:space="0" w:color="auto"/>
      </w:divBdr>
    </w:div>
    <w:div w:id="2023773786">
      <w:bodyDiv w:val="1"/>
      <w:marLeft w:val="0"/>
      <w:marRight w:val="0"/>
      <w:marTop w:val="0"/>
      <w:marBottom w:val="0"/>
      <w:divBdr>
        <w:top w:val="none" w:sz="0" w:space="0" w:color="auto"/>
        <w:left w:val="none" w:sz="0" w:space="0" w:color="auto"/>
        <w:bottom w:val="none" w:sz="0" w:space="0" w:color="auto"/>
        <w:right w:val="none" w:sz="0" w:space="0" w:color="auto"/>
      </w:divBdr>
    </w:div>
    <w:div w:id="2023819645">
      <w:bodyDiv w:val="1"/>
      <w:marLeft w:val="0"/>
      <w:marRight w:val="0"/>
      <w:marTop w:val="0"/>
      <w:marBottom w:val="0"/>
      <w:divBdr>
        <w:top w:val="none" w:sz="0" w:space="0" w:color="auto"/>
        <w:left w:val="none" w:sz="0" w:space="0" w:color="auto"/>
        <w:bottom w:val="none" w:sz="0" w:space="0" w:color="auto"/>
        <w:right w:val="none" w:sz="0" w:space="0" w:color="auto"/>
      </w:divBdr>
    </w:div>
    <w:div w:id="2023898152">
      <w:bodyDiv w:val="1"/>
      <w:marLeft w:val="0"/>
      <w:marRight w:val="0"/>
      <w:marTop w:val="0"/>
      <w:marBottom w:val="0"/>
      <w:divBdr>
        <w:top w:val="none" w:sz="0" w:space="0" w:color="auto"/>
        <w:left w:val="none" w:sz="0" w:space="0" w:color="auto"/>
        <w:bottom w:val="none" w:sz="0" w:space="0" w:color="auto"/>
        <w:right w:val="none" w:sz="0" w:space="0" w:color="auto"/>
      </w:divBdr>
    </w:div>
    <w:div w:id="2023898958">
      <w:bodyDiv w:val="1"/>
      <w:marLeft w:val="0"/>
      <w:marRight w:val="0"/>
      <w:marTop w:val="0"/>
      <w:marBottom w:val="0"/>
      <w:divBdr>
        <w:top w:val="none" w:sz="0" w:space="0" w:color="auto"/>
        <w:left w:val="none" w:sz="0" w:space="0" w:color="auto"/>
        <w:bottom w:val="none" w:sz="0" w:space="0" w:color="auto"/>
        <w:right w:val="none" w:sz="0" w:space="0" w:color="auto"/>
      </w:divBdr>
    </w:div>
    <w:div w:id="2023969099">
      <w:bodyDiv w:val="1"/>
      <w:marLeft w:val="0"/>
      <w:marRight w:val="0"/>
      <w:marTop w:val="0"/>
      <w:marBottom w:val="0"/>
      <w:divBdr>
        <w:top w:val="none" w:sz="0" w:space="0" w:color="auto"/>
        <w:left w:val="none" w:sz="0" w:space="0" w:color="auto"/>
        <w:bottom w:val="none" w:sz="0" w:space="0" w:color="auto"/>
        <w:right w:val="none" w:sz="0" w:space="0" w:color="auto"/>
      </w:divBdr>
    </w:div>
    <w:div w:id="2024015856">
      <w:bodyDiv w:val="1"/>
      <w:marLeft w:val="0"/>
      <w:marRight w:val="0"/>
      <w:marTop w:val="0"/>
      <w:marBottom w:val="0"/>
      <w:divBdr>
        <w:top w:val="none" w:sz="0" w:space="0" w:color="auto"/>
        <w:left w:val="none" w:sz="0" w:space="0" w:color="auto"/>
        <w:bottom w:val="none" w:sz="0" w:space="0" w:color="auto"/>
        <w:right w:val="none" w:sz="0" w:space="0" w:color="auto"/>
      </w:divBdr>
    </w:div>
    <w:div w:id="2024046400">
      <w:bodyDiv w:val="1"/>
      <w:marLeft w:val="0"/>
      <w:marRight w:val="0"/>
      <w:marTop w:val="0"/>
      <w:marBottom w:val="0"/>
      <w:divBdr>
        <w:top w:val="none" w:sz="0" w:space="0" w:color="auto"/>
        <w:left w:val="none" w:sz="0" w:space="0" w:color="auto"/>
        <w:bottom w:val="none" w:sz="0" w:space="0" w:color="auto"/>
        <w:right w:val="none" w:sz="0" w:space="0" w:color="auto"/>
      </w:divBdr>
    </w:div>
    <w:div w:id="2024084170">
      <w:bodyDiv w:val="1"/>
      <w:marLeft w:val="0"/>
      <w:marRight w:val="0"/>
      <w:marTop w:val="0"/>
      <w:marBottom w:val="0"/>
      <w:divBdr>
        <w:top w:val="none" w:sz="0" w:space="0" w:color="auto"/>
        <w:left w:val="none" w:sz="0" w:space="0" w:color="auto"/>
        <w:bottom w:val="none" w:sz="0" w:space="0" w:color="auto"/>
        <w:right w:val="none" w:sz="0" w:space="0" w:color="auto"/>
      </w:divBdr>
    </w:div>
    <w:div w:id="2024093374">
      <w:bodyDiv w:val="1"/>
      <w:marLeft w:val="0"/>
      <w:marRight w:val="0"/>
      <w:marTop w:val="0"/>
      <w:marBottom w:val="0"/>
      <w:divBdr>
        <w:top w:val="none" w:sz="0" w:space="0" w:color="auto"/>
        <w:left w:val="none" w:sz="0" w:space="0" w:color="auto"/>
        <w:bottom w:val="none" w:sz="0" w:space="0" w:color="auto"/>
        <w:right w:val="none" w:sz="0" w:space="0" w:color="auto"/>
      </w:divBdr>
    </w:div>
    <w:div w:id="2024160043">
      <w:bodyDiv w:val="1"/>
      <w:marLeft w:val="0"/>
      <w:marRight w:val="0"/>
      <w:marTop w:val="0"/>
      <w:marBottom w:val="0"/>
      <w:divBdr>
        <w:top w:val="none" w:sz="0" w:space="0" w:color="auto"/>
        <w:left w:val="none" w:sz="0" w:space="0" w:color="auto"/>
        <w:bottom w:val="none" w:sz="0" w:space="0" w:color="auto"/>
        <w:right w:val="none" w:sz="0" w:space="0" w:color="auto"/>
      </w:divBdr>
    </w:div>
    <w:div w:id="2024164830">
      <w:bodyDiv w:val="1"/>
      <w:marLeft w:val="0"/>
      <w:marRight w:val="0"/>
      <w:marTop w:val="0"/>
      <w:marBottom w:val="0"/>
      <w:divBdr>
        <w:top w:val="none" w:sz="0" w:space="0" w:color="auto"/>
        <w:left w:val="none" w:sz="0" w:space="0" w:color="auto"/>
        <w:bottom w:val="none" w:sz="0" w:space="0" w:color="auto"/>
        <w:right w:val="none" w:sz="0" w:space="0" w:color="auto"/>
      </w:divBdr>
    </w:div>
    <w:div w:id="2024278762">
      <w:bodyDiv w:val="1"/>
      <w:marLeft w:val="0"/>
      <w:marRight w:val="0"/>
      <w:marTop w:val="0"/>
      <w:marBottom w:val="0"/>
      <w:divBdr>
        <w:top w:val="none" w:sz="0" w:space="0" w:color="auto"/>
        <w:left w:val="none" w:sz="0" w:space="0" w:color="auto"/>
        <w:bottom w:val="none" w:sz="0" w:space="0" w:color="auto"/>
        <w:right w:val="none" w:sz="0" w:space="0" w:color="auto"/>
      </w:divBdr>
    </w:div>
    <w:div w:id="2024355930">
      <w:bodyDiv w:val="1"/>
      <w:marLeft w:val="0"/>
      <w:marRight w:val="0"/>
      <w:marTop w:val="0"/>
      <w:marBottom w:val="0"/>
      <w:divBdr>
        <w:top w:val="none" w:sz="0" w:space="0" w:color="auto"/>
        <w:left w:val="none" w:sz="0" w:space="0" w:color="auto"/>
        <w:bottom w:val="none" w:sz="0" w:space="0" w:color="auto"/>
        <w:right w:val="none" w:sz="0" w:space="0" w:color="auto"/>
      </w:divBdr>
    </w:div>
    <w:div w:id="2024356574">
      <w:bodyDiv w:val="1"/>
      <w:marLeft w:val="0"/>
      <w:marRight w:val="0"/>
      <w:marTop w:val="0"/>
      <w:marBottom w:val="0"/>
      <w:divBdr>
        <w:top w:val="none" w:sz="0" w:space="0" w:color="auto"/>
        <w:left w:val="none" w:sz="0" w:space="0" w:color="auto"/>
        <w:bottom w:val="none" w:sz="0" w:space="0" w:color="auto"/>
        <w:right w:val="none" w:sz="0" w:space="0" w:color="auto"/>
      </w:divBdr>
    </w:div>
    <w:div w:id="2024356992">
      <w:bodyDiv w:val="1"/>
      <w:marLeft w:val="0"/>
      <w:marRight w:val="0"/>
      <w:marTop w:val="0"/>
      <w:marBottom w:val="0"/>
      <w:divBdr>
        <w:top w:val="none" w:sz="0" w:space="0" w:color="auto"/>
        <w:left w:val="none" w:sz="0" w:space="0" w:color="auto"/>
        <w:bottom w:val="none" w:sz="0" w:space="0" w:color="auto"/>
        <w:right w:val="none" w:sz="0" w:space="0" w:color="auto"/>
      </w:divBdr>
    </w:div>
    <w:div w:id="2024358046">
      <w:bodyDiv w:val="1"/>
      <w:marLeft w:val="0"/>
      <w:marRight w:val="0"/>
      <w:marTop w:val="0"/>
      <w:marBottom w:val="0"/>
      <w:divBdr>
        <w:top w:val="none" w:sz="0" w:space="0" w:color="auto"/>
        <w:left w:val="none" w:sz="0" w:space="0" w:color="auto"/>
        <w:bottom w:val="none" w:sz="0" w:space="0" w:color="auto"/>
        <w:right w:val="none" w:sz="0" w:space="0" w:color="auto"/>
      </w:divBdr>
    </w:div>
    <w:div w:id="2024472775">
      <w:bodyDiv w:val="1"/>
      <w:marLeft w:val="0"/>
      <w:marRight w:val="0"/>
      <w:marTop w:val="0"/>
      <w:marBottom w:val="0"/>
      <w:divBdr>
        <w:top w:val="none" w:sz="0" w:space="0" w:color="auto"/>
        <w:left w:val="none" w:sz="0" w:space="0" w:color="auto"/>
        <w:bottom w:val="none" w:sz="0" w:space="0" w:color="auto"/>
        <w:right w:val="none" w:sz="0" w:space="0" w:color="auto"/>
      </w:divBdr>
    </w:div>
    <w:div w:id="2024472777">
      <w:bodyDiv w:val="1"/>
      <w:marLeft w:val="0"/>
      <w:marRight w:val="0"/>
      <w:marTop w:val="0"/>
      <w:marBottom w:val="0"/>
      <w:divBdr>
        <w:top w:val="none" w:sz="0" w:space="0" w:color="auto"/>
        <w:left w:val="none" w:sz="0" w:space="0" w:color="auto"/>
        <w:bottom w:val="none" w:sz="0" w:space="0" w:color="auto"/>
        <w:right w:val="none" w:sz="0" w:space="0" w:color="auto"/>
      </w:divBdr>
    </w:div>
    <w:div w:id="2024551234">
      <w:bodyDiv w:val="1"/>
      <w:marLeft w:val="0"/>
      <w:marRight w:val="0"/>
      <w:marTop w:val="0"/>
      <w:marBottom w:val="0"/>
      <w:divBdr>
        <w:top w:val="none" w:sz="0" w:space="0" w:color="auto"/>
        <w:left w:val="none" w:sz="0" w:space="0" w:color="auto"/>
        <w:bottom w:val="none" w:sz="0" w:space="0" w:color="auto"/>
        <w:right w:val="none" w:sz="0" w:space="0" w:color="auto"/>
      </w:divBdr>
    </w:div>
    <w:div w:id="2024629133">
      <w:bodyDiv w:val="1"/>
      <w:marLeft w:val="0"/>
      <w:marRight w:val="0"/>
      <w:marTop w:val="0"/>
      <w:marBottom w:val="0"/>
      <w:divBdr>
        <w:top w:val="none" w:sz="0" w:space="0" w:color="auto"/>
        <w:left w:val="none" w:sz="0" w:space="0" w:color="auto"/>
        <w:bottom w:val="none" w:sz="0" w:space="0" w:color="auto"/>
        <w:right w:val="none" w:sz="0" w:space="0" w:color="auto"/>
      </w:divBdr>
    </w:div>
    <w:div w:id="2024673144">
      <w:bodyDiv w:val="1"/>
      <w:marLeft w:val="0"/>
      <w:marRight w:val="0"/>
      <w:marTop w:val="0"/>
      <w:marBottom w:val="0"/>
      <w:divBdr>
        <w:top w:val="none" w:sz="0" w:space="0" w:color="auto"/>
        <w:left w:val="none" w:sz="0" w:space="0" w:color="auto"/>
        <w:bottom w:val="none" w:sz="0" w:space="0" w:color="auto"/>
        <w:right w:val="none" w:sz="0" w:space="0" w:color="auto"/>
      </w:divBdr>
    </w:div>
    <w:div w:id="2024696572">
      <w:bodyDiv w:val="1"/>
      <w:marLeft w:val="0"/>
      <w:marRight w:val="0"/>
      <w:marTop w:val="0"/>
      <w:marBottom w:val="0"/>
      <w:divBdr>
        <w:top w:val="none" w:sz="0" w:space="0" w:color="auto"/>
        <w:left w:val="none" w:sz="0" w:space="0" w:color="auto"/>
        <w:bottom w:val="none" w:sz="0" w:space="0" w:color="auto"/>
        <w:right w:val="none" w:sz="0" w:space="0" w:color="auto"/>
      </w:divBdr>
    </w:div>
    <w:div w:id="2024892258">
      <w:bodyDiv w:val="1"/>
      <w:marLeft w:val="0"/>
      <w:marRight w:val="0"/>
      <w:marTop w:val="0"/>
      <w:marBottom w:val="0"/>
      <w:divBdr>
        <w:top w:val="none" w:sz="0" w:space="0" w:color="auto"/>
        <w:left w:val="none" w:sz="0" w:space="0" w:color="auto"/>
        <w:bottom w:val="none" w:sz="0" w:space="0" w:color="auto"/>
        <w:right w:val="none" w:sz="0" w:space="0" w:color="auto"/>
      </w:divBdr>
    </w:div>
    <w:div w:id="2025014383">
      <w:bodyDiv w:val="1"/>
      <w:marLeft w:val="0"/>
      <w:marRight w:val="0"/>
      <w:marTop w:val="0"/>
      <w:marBottom w:val="0"/>
      <w:divBdr>
        <w:top w:val="none" w:sz="0" w:space="0" w:color="auto"/>
        <w:left w:val="none" w:sz="0" w:space="0" w:color="auto"/>
        <w:bottom w:val="none" w:sz="0" w:space="0" w:color="auto"/>
        <w:right w:val="none" w:sz="0" w:space="0" w:color="auto"/>
      </w:divBdr>
    </w:div>
    <w:div w:id="2025017434">
      <w:bodyDiv w:val="1"/>
      <w:marLeft w:val="0"/>
      <w:marRight w:val="0"/>
      <w:marTop w:val="0"/>
      <w:marBottom w:val="0"/>
      <w:divBdr>
        <w:top w:val="none" w:sz="0" w:space="0" w:color="auto"/>
        <w:left w:val="none" w:sz="0" w:space="0" w:color="auto"/>
        <w:bottom w:val="none" w:sz="0" w:space="0" w:color="auto"/>
        <w:right w:val="none" w:sz="0" w:space="0" w:color="auto"/>
      </w:divBdr>
    </w:div>
    <w:div w:id="2025090801">
      <w:bodyDiv w:val="1"/>
      <w:marLeft w:val="0"/>
      <w:marRight w:val="0"/>
      <w:marTop w:val="0"/>
      <w:marBottom w:val="0"/>
      <w:divBdr>
        <w:top w:val="none" w:sz="0" w:space="0" w:color="auto"/>
        <w:left w:val="none" w:sz="0" w:space="0" w:color="auto"/>
        <w:bottom w:val="none" w:sz="0" w:space="0" w:color="auto"/>
        <w:right w:val="none" w:sz="0" w:space="0" w:color="auto"/>
      </w:divBdr>
    </w:div>
    <w:div w:id="2025129054">
      <w:bodyDiv w:val="1"/>
      <w:marLeft w:val="0"/>
      <w:marRight w:val="0"/>
      <w:marTop w:val="0"/>
      <w:marBottom w:val="0"/>
      <w:divBdr>
        <w:top w:val="none" w:sz="0" w:space="0" w:color="auto"/>
        <w:left w:val="none" w:sz="0" w:space="0" w:color="auto"/>
        <w:bottom w:val="none" w:sz="0" w:space="0" w:color="auto"/>
        <w:right w:val="none" w:sz="0" w:space="0" w:color="auto"/>
      </w:divBdr>
    </w:div>
    <w:div w:id="2025131130">
      <w:bodyDiv w:val="1"/>
      <w:marLeft w:val="0"/>
      <w:marRight w:val="0"/>
      <w:marTop w:val="0"/>
      <w:marBottom w:val="0"/>
      <w:divBdr>
        <w:top w:val="none" w:sz="0" w:space="0" w:color="auto"/>
        <w:left w:val="none" w:sz="0" w:space="0" w:color="auto"/>
        <w:bottom w:val="none" w:sz="0" w:space="0" w:color="auto"/>
        <w:right w:val="none" w:sz="0" w:space="0" w:color="auto"/>
      </w:divBdr>
    </w:div>
    <w:div w:id="2025205767">
      <w:bodyDiv w:val="1"/>
      <w:marLeft w:val="0"/>
      <w:marRight w:val="0"/>
      <w:marTop w:val="0"/>
      <w:marBottom w:val="0"/>
      <w:divBdr>
        <w:top w:val="none" w:sz="0" w:space="0" w:color="auto"/>
        <w:left w:val="none" w:sz="0" w:space="0" w:color="auto"/>
        <w:bottom w:val="none" w:sz="0" w:space="0" w:color="auto"/>
        <w:right w:val="none" w:sz="0" w:space="0" w:color="auto"/>
      </w:divBdr>
    </w:div>
    <w:div w:id="2025208757">
      <w:bodyDiv w:val="1"/>
      <w:marLeft w:val="0"/>
      <w:marRight w:val="0"/>
      <w:marTop w:val="0"/>
      <w:marBottom w:val="0"/>
      <w:divBdr>
        <w:top w:val="none" w:sz="0" w:space="0" w:color="auto"/>
        <w:left w:val="none" w:sz="0" w:space="0" w:color="auto"/>
        <w:bottom w:val="none" w:sz="0" w:space="0" w:color="auto"/>
        <w:right w:val="none" w:sz="0" w:space="0" w:color="auto"/>
      </w:divBdr>
    </w:div>
    <w:div w:id="2025210765">
      <w:bodyDiv w:val="1"/>
      <w:marLeft w:val="0"/>
      <w:marRight w:val="0"/>
      <w:marTop w:val="0"/>
      <w:marBottom w:val="0"/>
      <w:divBdr>
        <w:top w:val="none" w:sz="0" w:space="0" w:color="auto"/>
        <w:left w:val="none" w:sz="0" w:space="0" w:color="auto"/>
        <w:bottom w:val="none" w:sz="0" w:space="0" w:color="auto"/>
        <w:right w:val="none" w:sz="0" w:space="0" w:color="auto"/>
      </w:divBdr>
    </w:div>
    <w:div w:id="2025282275">
      <w:bodyDiv w:val="1"/>
      <w:marLeft w:val="0"/>
      <w:marRight w:val="0"/>
      <w:marTop w:val="0"/>
      <w:marBottom w:val="0"/>
      <w:divBdr>
        <w:top w:val="none" w:sz="0" w:space="0" w:color="auto"/>
        <w:left w:val="none" w:sz="0" w:space="0" w:color="auto"/>
        <w:bottom w:val="none" w:sz="0" w:space="0" w:color="auto"/>
        <w:right w:val="none" w:sz="0" w:space="0" w:color="auto"/>
      </w:divBdr>
    </w:div>
    <w:div w:id="2025326689">
      <w:bodyDiv w:val="1"/>
      <w:marLeft w:val="0"/>
      <w:marRight w:val="0"/>
      <w:marTop w:val="0"/>
      <w:marBottom w:val="0"/>
      <w:divBdr>
        <w:top w:val="none" w:sz="0" w:space="0" w:color="auto"/>
        <w:left w:val="none" w:sz="0" w:space="0" w:color="auto"/>
        <w:bottom w:val="none" w:sz="0" w:space="0" w:color="auto"/>
        <w:right w:val="none" w:sz="0" w:space="0" w:color="auto"/>
      </w:divBdr>
    </w:div>
    <w:div w:id="2025395919">
      <w:bodyDiv w:val="1"/>
      <w:marLeft w:val="0"/>
      <w:marRight w:val="0"/>
      <w:marTop w:val="0"/>
      <w:marBottom w:val="0"/>
      <w:divBdr>
        <w:top w:val="none" w:sz="0" w:space="0" w:color="auto"/>
        <w:left w:val="none" w:sz="0" w:space="0" w:color="auto"/>
        <w:bottom w:val="none" w:sz="0" w:space="0" w:color="auto"/>
        <w:right w:val="none" w:sz="0" w:space="0" w:color="auto"/>
      </w:divBdr>
    </w:div>
    <w:div w:id="2025401972">
      <w:bodyDiv w:val="1"/>
      <w:marLeft w:val="0"/>
      <w:marRight w:val="0"/>
      <w:marTop w:val="0"/>
      <w:marBottom w:val="0"/>
      <w:divBdr>
        <w:top w:val="none" w:sz="0" w:space="0" w:color="auto"/>
        <w:left w:val="none" w:sz="0" w:space="0" w:color="auto"/>
        <w:bottom w:val="none" w:sz="0" w:space="0" w:color="auto"/>
        <w:right w:val="none" w:sz="0" w:space="0" w:color="auto"/>
      </w:divBdr>
    </w:div>
    <w:div w:id="2025551856">
      <w:bodyDiv w:val="1"/>
      <w:marLeft w:val="0"/>
      <w:marRight w:val="0"/>
      <w:marTop w:val="0"/>
      <w:marBottom w:val="0"/>
      <w:divBdr>
        <w:top w:val="none" w:sz="0" w:space="0" w:color="auto"/>
        <w:left w:val="none" w:sz="0" w:space="0" w:color="auto"/>
        <w:bottom w:val="none" w:sz="0" w:space="0" w:color="auto"/>
        <w:right w:val="none" w:sz="0" w:space="0" w:color="auto"/>
      </w:divBdr>
    </w:div>
    <w:div w:id="2025592429">
      <w:bodyDiv w:val="1"/>
      <w:marLeft w:val="0"/>
      <w:marRight w:val="0"/>
      <w:marTop w:val="0"/>
      <w:marBottom w:val="0"/>
      <w:divBdr>
        <w:top w:val="none" w:sz="0" w:space="0" w:color="auto"/>
        <w:left w:val="none" w:sz="0" w:space="0" w:color="auto"/>
        <w:bottom w:val="none" w:sz="0" w:space="0" w:color="auto"/>
        <w:right w:val="none" w:sz="0" w:space="0" w:color="auto"/>
      </w:divBdr>
    </w:div>
    <w:div w:id="2025594257">
      <w:bodyDiv w:val="1"/>
      <w:marLeft w:val="0"/>
      <w:marRight w:val="0"/>
      <w:marTop w:val="0"/>
      <w:marBottom w:val="0"/>
      <w:divBdr>
        <w:top w:val="none" w:sz="0" w:space="0" w:color="auto"/>
        <w:left w:val="none" w:sz="0" w:space="0" w:color="auto"/>
        <w:bottom w:val="none" w:sz="0" w:space="0" w:color="auto"/>
        <w:right w:val="none" w:sz="0" w:space="0" w:color="auto"/>
      </w:divBdr>
    </w:div>
    <w:div w:id="2025814150">
      <w:bodyDiv w:val="1"/>
      <w:marLeft w:val="0"/>
      <w:marRight w:val="0"/>
      <w:marTop w:val="0"/>
      <w:marBottom w:val="0"/>
      <w:divBdr>
        <w:top w:val="none" w:sz="0" w:space="0" w:color="auto"/>
        <w:left w:val="none" w:sz="0" w:space="0" w:color="auto"/>
        <w:bottom w:val="none" w:sz="0" w:space="0" w:color="auto"/>
        <w:right w:val="none" w:sz="0" w:space="0" w:color="auto"/>
      </w:divBdr>
    </w:div>
    <w:div w:id="2025933628">
      <w:bodyDiv w:val="1"/>
      <w:marLeft w:val="0"/>
      <w:marRight w:val="0"/>
      <w:marTop w:val="0"/>
      <w:marBottom w:val="0"/>
      <w:divBdr>
        <w:top w:val="none" w:sz="0" w:space="0" w:color="auto"/>
        <w:left w:val="none" w:sz="0" w:space="0" w:color="auto"/>
        <w:bottom w:val="none" w:sz="0" w:space="0" w:color="auto"/>
        <w:right w:val="none" w:sz="0" w:space="0" w:color="auto"/>
      </w:divBdr>
    </w:div>
    <w:div w:id="2025939937">
      <w:bodyDiv w:val="1"/>
      <w:marLeft w:val="0"/>
      <w:marRight w:val="0"/>
      <w:marTop w:val="0"/>
      <w:marBottom w:val="0"/>
      <w:divBdr>
        <w:top w:val="none" w:sz="0" w:space="0" w:color="auto"/>
        <w:left w:val="none" w:sz="0" w:space="0" w:color="auto"/>
        <w:bottom w:val="none" w:sz="0" w:space="0" w:color="auto"/>
        <w:right w:val="none" w:sz="0" w:space="0" w:color="auto"/>
      </w:divBdr>
    </w:div>
    <w:div w:id="2026011264">
      <w:bodyDiv w:val="1"/>
      <w:marLeft w:val="0"/>
      <w:marRight w:val="0"/>
      <w:marTop w:val="0"/>
      <w:marBottom w:val="0"/>
      <w:divBdr>
        <w:top w:val="none" w:sz="0" w:space="0" w:color="auto"/>
        <w:left w:val="none" w:sz="0" w:space="0" w:color="auto"/>
        <w:bottom w:val="none" w:sz="0" w:space="0" w:color="auto"/>
        <w:right w:val="none" w:sz="0" w:space="0" w:color="auto"/>
      </w:divBdr>
    </w:div>
    <w:div w:id="2026056630">
      <w:bodyDiv w:val="1"/>
      <w:marLeft w:val="0"/>
      <w:marRight w:val="0"/>
      <w:marTop w:val="0"/>
      <w:marBottom w:val="0"/>
      <w:divBdr>
        <w:top w:val="none" w:sz="0" w:space="0" w:color="auto"/>
        <w:left w:val="none" w:sz="0" w:space="0" w:color="auto"/>
        <w:bottom w:val="none" w:sz="0" w:space="0" w:color="auto"/>
        <w:right w:val="none" w:sz="0" w:space="0" w:color="auto"/>
      </w:divBdr>
    </w:div>
    <w:div w:id="2026128994">
      <w:bodyDiv w:val="1"/>
      <w:marLeft w:val="0"/>
      <w:marRight w:val="0"/>
      <w:marTop w:val="0"/>
      <w:marBottom w:val="0"/>
      <w:divBdr>
        <w:top w:val="none" w:sz="0" w:space="0" w:color="auto"/>
        <w:left w:val="none" w:sz="0" w:space="0" w:color="auto"/>
        <w:bottom w:val="none" w:sz="0" w:space="0" w:color="auto"/>
        <w:right w:val="none" w:sz="0" w:space="0" w:color="auto"/>
      </w:divBdr>
    </w:div>
    <w:div w:id="2026326527">
      <w:bodyDiv w:val="1"/>
      <w:marLeft w:val="0"/>
      <w:marRight w:val="0"/>
      <w:marTop w:val="0"/>
      <w:marBottom w:val="0"/>
      <w:divBdr>
        <w:top w:val="none" w:sz="0" w:space="0" w:color="auto"/>
        <w:left w:val="none" w:sz="0" w:space="0" w:color="auto"/>
        <w:bottom w:val="none" w:sz="0" w:space="0" w:color="auto"/>
        <w:right w:val="none" w:sz="0" w:space="0" w:color="auto"/>
      </w:divBdr>
    </w:div>
    <w:div w:id="2026514601">
      <w:bodyDiv w:val="1"/>
      <w:marLeft w:val="0"/>
      <w:marRight w:val="0"/>
      <w:marTop w:val="0"/>
      <w:marBottom w:val="0"/>
      <w:divBdr>
        <w:top w:val="none" w:sz="0" w:space="0" w:color="auto"/>
        <w:left w:val="none" w:sz="0" w:space="0" w:color="auto"/>
        <w:bottom w:val="none" w:sz="0" w:space="0" w:color="auto"/>
        <w:right w:val="none" w:sz="0" w:space="0" w:color="auto"/>
      </w:divBdr>
    </w:div>
    <w:div w:id="2026709508">
      <w:bodyDiv w:val="1"/>
      <w:marLeft w:val="0"/>
      <w:marRight w:val="0"/>
      <w:marTop w:val="0"/>
      <w:marBottom w:val="0"/>
      <w:divBdr>
        <w:top w:val="none" w:sz="0" w:space="0" w:color="auto"/>
        <w:left w:val="none" w:sz="0" w:space="0" w:color="auto"/>
        <w:bottom w:val="none" w:sz="0" w:space="0" w:color="auto"/>
        <w:right w:val="none" w:sz="0" w:space="0" w:color="auto"/>
      </w:divBdr>
    </w:div>
    <w:div w:id="2026861118">
      <w:bodyDiv w:val="1"/>
      <w:marLeft w:val="0"/>
      <w:marRight w:val="0"/>
      <w:marTop w:val="0"/>
      <w:marBottom w:val="0"/>
      <w:divBdr>
        <w:top w:val="none" w:sz="0" w:space="0" w:color="auto"/>
        <w:left w:val="none" w:sz="0" w:space="0" w:color="auto"/>
        <w:bottom w:val="none" w:sz="0" w:space="0" w:color="auto"/>
        <w:right w:val="none" w:sz="0" w:space="0" w:color="auto"/>
      </w:divBdr>
    </w:div>
    <w:div w:id="2026975483">
      <w:bodyDiv w:val="1"/>
      <w:marLeft w:val="0"/>
      <w:marRight w:val="0"/>
      <w:marTop w:val="0"/>
      <w:marBottom w:val="0"/>
      <w:divBdr>
        <w:top w:val="none" w:sz="0" w:space="0" w:color="auto"/>
        <w:left w:val="none" w:sz="0" w:space="0" w:color="auto"/>
        <w:bottom w:val="none" w:sz="0" w:space="0" w:color="auto"/>
        <w:right w:val="none" w:sz="0" w:space="0" w:color="auto"/>
      </w:divBdr>
    </w:div>
    <w:div w:id="2027171051">
      <w:bodyDiv w:val="1"/>
      <w:marLeft w:val="0"/>
      <w:marRight w:val="0"/>
      <w:marTop w:val="0"/>
      <w:marBottom w:val="0"/>
      <w:divBdr>
        <w:top w:val="none" w:sz="0" w:space="0" w:color="auto"/>
        <w:left w:val="none" w:sz="0" w:space="0" w:color="auto"/>
        <w:bottom w:val="none" w:sz="0" w:space="0" w:color="auto"/>
        <w:right w:val="none" w:sz="0" w:space="0" w:color="auto"/>
      </w:divBdr>
    </w:div>
    <w:div w:id="2027172628">
      <w:bodyDiv w:val="1"/>
      <w:marLeft w:val="0"/>
      <w:marRight w:val="0"/>
      <w:marTop w:val="0"/>
      <w:marBottom w:val="0"/>
      <w:divBdr>
        <w:top w:val="none" w:sz="0" w:space="0" w:color="auto"/>
        <w:left w:val="none" w:sz="0" w:space="0" w:color="auto"/>
        <w:bottom w:val="none" w:sz="0" w:space="0" w:color="auto"/>
        <w:right w:val="none" w:sz="0" w:space="0" w:color="auto"/>
      </w:divBdr>
    </w:div>
    <w:div w:id="2027173065">
      <w:bodyDiv w:val="1"/>
      <w:marLeft w:val="0"/>
      <w:marRight w:val="0"/>
      <w:marTop w:val="0"/>
      <w:marBottom w:val="0"/>
      <w:divBdr>
        <w:top w:val="none" w:sz="0" w:space="0" w:color="auto"/>
        <w:left w:val="none" w:sz="0" w:space="0" w:color="auto"/>
        <w:bottom w:val="none" w:sz="0" w:space="0" w:color="auto"/>
        <w:right w:val="none" w:sz="0" w:space="0" w:color="auto"/>
      </w:divBdr>
    </w:div>
    <w:div w:id="2027174130">
      <w:bodyDiv w:val="1"/>
      <w:marLeft w:val="0"/>
      <w:marRight w:val="0"/>
      <w:marTop w:val="0"/>
      <w:marBottom w:val="0"/>
      <w:divBdr>
        <w:top w:val="none" w:sz="0" w:space="0" w:color="auto"/>
        <w:left w:val="none" w:sz="0" w:space="0" w:color="auto"/>
        <w:bottom w:val="none" w:sz="0" w:space="0" w:color="auto"/>
        <w:right w:val="none" w:sz="0" w:space="0" w:color="auto"/>
      </w:divBdr>
    </w:div>
    <w:div w:id="2027251205">
      <w:bodyDiv w:val="1"/>
      <w:marLeft w:val="0"/>
      <w:marRight w:val="0"/>
      <w:marTop w:val="0"/>
      <w:marBottom w:val="0"/>
      <w:divBdr>
        <w:top w:val="none" w:sz="0" w:space="0" w:color="auto"/>
        <w:left w:val="none" w:sz="0" w:space="0" w:color="auto"/>
        <w:bottom w:val="none" w:sz="0" w:space="0" w:color="auto"/>
        <w:right w:val="none" w:sz="0" w:space="0" w:color="auto"/>
      </w:divBdr>
    </w:div>
    <w:div w:id="2027319071">
      <w:bodyDiv w:val="1"/>
      <w:marLeft w:val="0"/>
      <w:marRight w:val="0"/>
      <w:marTop w:val="0"/>
      <w:marBottom w:val="0"/>
      <w:divBdr>
        <w:top w:val="none" w:sz="0" w:space="0" w:color="auto"/>
        <w:left w:val="none" w:sz="0" w:space="0" w:color="auto"/>
        <w:bottom w:val="none" w:sz="0" w:space="0" w:color="auto"/>
        <w:right w:val="none" w:sz="0" w:space="0" w:color="auto"/>
      </w:divBdr>
    </w:div>
    <w:div w:id="2027319619">
      <w:bodyDiv w:val="1"/>
      <w:marLeft w:val="0"/>
      <w:marRight w:val="0"/>
      <w:marTop w:val="0"/>
      <w:marBottom w:val="0"/>
      <w:divBdr>
        <w:top w:val="none" w:sz="0" w:space="0" w:color="auto"/>
        <w:left w:val="none" w:sz="0" w:space="0" w:color="auto"/>
        <w:bottom w:val="none" w:sz="0" w:space="0" w:color="auto"/>
        <w:right w:val="none" w:sz="0" w:space="0" w:color="auto"/>
      </w:divBdr>
    </w:div>
    <w:div w:id="2027369547">
      <w:bodyDiv w:val="1"/>
      <w:marLeft w:val="0"/>
      <w:marRight w:val="0"/>
      <w:marTop w:val="0"/>
      <w:marBottom w:val="0"/>
      <w:divBdr>
        <w:top w:val="none" w:sz="0" w:space="0" w:color="auto"/>
        <w:left w:val="none" w:sz="0" w:space="0" w:color="auto"/>
        <w:bottom w:val="none" w:sz="0" w:space="0" w:color="auto"/>
        <w:right w:val="none" w:sz="0" w:space="0" w:color="auto"/>
      </w:divBdr>
    </w:div>
    <w:div w:id="2027435758">
      <w:bodyDiv w:val="1"/>
      <w:marLeft w:val="0"/>
      <w:marRight w:val="0"/>
      <w:marTop w:val="0"/>
      <w:marBottom w:val="0"/>
      <w:divBdr>
        <w:top w:val="none" w:sz="0" w:space="0" w:color="auto"/>
        <w:left w:val="none" w:sz="0" w:space="0" w:color="auto"/>
        <w:bottom w:val="none" w:sz="0" w:space="0" w:color="auto"/>
        <w:right w:val="none" w:sz="0" w:space="0" w:color="auto"/>
      </w:divBdr>
    </w:div>
    <w:div w:id="2027629099">
      <w:bodyDiv w:val="1"/>
      <w:marLeft w:val="0"/>
      <w:marRight w:val="0"/>
      <w:marTop w:val="0"/>
      <w:marBottom w:val="0"/>
      <w:divBdr>
        <w:top w:val="none" w:sz="0" w:space="0" w:color="auto"/>
        <w:left w:val="none" w:sz="0" w:space="0" w:color="auto"/>
        <w:bottom w:val="none" w:sz="0" w:space="0" w:color="auto"/>
        <w:right w:val="none" w:sz="0" w:space="0" w:color="auto"/>
      </w:divBdr>
    </w:div>
    <w:div w:id="2027712936">
      <w:bodyDiv w:val="1"/>
      <w:marLeft w:val="0"/>
      <w:marRight w:val="0"/>
      <w:marTop w:val="0"/>
      <w:marBottom w:val="0"/>
      <w:divBdr>
        <w:top w:val="none" w:sz="0" w:space="0" w:color="auto"/>
        <w:left w:val="none" w:sz="0" w:space="0" w:color="auto"/>
        <w:bottom w:val="none" w:sz="0" w:space="0" w:color="auto"/>
        <w:right w:val="none" w:sz="0" w:space="0" w:color="auto"/>
      </w:divBdr>
    </w:div>
    <w:div w:id="2027830123">
      <w:bodyDiv w:val="1"/>
      <w:marLeft w:val="0"/>
      <w:marRight w:val="0"/>
      <w:marTop w:val="0"/>
      <w:marBottom w:val="0"/>
      <w:divBdr>
        <w:top w:val="none" w:sz="0" w:space="0" w:color="auto"/>
        <w:left w:val="none" w:sz="0" w:space="0" w:color="auto"/>
        <w:bottom w:val="none" w:sz="0" w:space="0" w:color="auto"/>
        <w:right w:val="none" w:sz="0" w:space="0" w:color="auto"/>
      </w:divBdr>
    </w:div>
    <w:div w:id="2027831482">
      <w:bodyDiv w:val="1"/>
      <w:marLeft w:val="0"/>
      <w:marRight w:val="0"/>
      <w:marTop w:val="0"/>
      <w:marBottom w:val="0"/>
      <w:divBdr>
        <w:top w:val="none" w:sz="0" w:space="0" w:color="auto"/>
        <w:left w:val="none" w:sz="0" w:space="0" w:color="auto"/>
        <w:bottom w:val="none" w:sz="0" w:space="0" w:color="auto"/>
        <w:right w:val="none" w:sz="0" w:space="0" w:color="auto"/>
      </w:divBdr>
    </w:div>
    <w:div w:id="2027976652">
      <w:bodyDiv w:val="1"/>
      <w:marLeft w:val="0"/>
      <w:marRight w:val="0"/>
      <w:marTop w:val="0"/>
      <w:marBottom w:val="0"/>
      <w:divBdr>
        <w:top w:val="none" w:sz="0" w:space="0" w:color="auto"/>
        <w:left w:val="none" w:sz="0" w:space="0" w:color="auto"/>
        <w:bottom w:val="none" w:sz="0" w:space="0" w:color="auto"/>
        <w:right w:val="none" w:sz="0" w:space="0" w:color="auto"/>
      </w:divBdr>
    </w:div>
    <w:div w:id="2028093793">
      <w:bodyDiv w:val="1"/>
      <w:marLeft w:val="0"/>
      <w:marRight w:val="0"/>
      <w:marTop w:val="0"/>
      <w:marBottom w:val="0"/>
      <w:divBdr>
        <w:top w:val="none" w:sz="0" w:space="0" w:color="auto"/>
        <w:left w:val="none" w:sz="0" w:space="0" w:color="auto"/>
        <w:bottom w:val="none" w:sz="0" w:space="0" w:color="auto"/>
        <w:right w:val="none" w:sz="0" w:space="0" w:color="auto"/>
      </w:divBdr>
    </w:div>
    <w:div w:id="2028142602">
      <w:bodyDiv w:val="1"/>
      <w:marLeft w:val="0"/>
      <w:marRight w:val="0"/>
      <w:marTop w:val="0"/>
      <w:marBottom w:val="0"/>
      <w:divBdr>
        <w:top w:val="none" w:sz="0" w:space="0" w:color="auto"/>
        <w:left w:val="none" w:sz="0" w:space="0" w:color="auto"/>
        <w:bottom w:val="none" w:sz="0" w:space="0" w:color="auto"/>
        <w:right w:val="none" w:sz="0" w:space="0" w:color="auto"/>
      </w:divBdr>
    </w:div>
    <w:div w:id="2028174746">
      <w:bodyDiv w:val="1"/>
      <w:marLeft w:val="0"/>
      <w:marRight w:val="0"/>
      <w:marTop w:val="0"/>
      <w:marBottom w:val="0"/>
      <w:divBdr>
        <w:top w:val="none" w:sz="0" w:space="0" w:color="auto"/>
        <w:left w:val="none" w:sz="0" w:space="0" w:color="auto"/>
        <w:bottom w:val="none" w:sz="0" w:space="0" w:color="auto"/>
        <w:right w:val="none" w:sz="0" w:space="0" w:color="auto"/>
      </w:divBdr>
    </w:div>
    <w:div w:id="2028213022">
      <w:bodyDiv w:val="1"/>
      <w:marLeft w:val="0"/>
      <w:marRight w:val="0"/>
      <w:marTop w:val="0"/>
      <w:marBottom w:val="0"/>
      <w:divBdr>
        <w:top w:val="none" w:sz="0" w:space="0" w:color="auto"/>
        <w:left w:val="none" w:sz="0" w:space="0" w:color="auto"/>
        <w:bottom w:val="none" w:sz="0" w:space="0" w:color="auto"/>
        <w:right w:val="none" w:sz="0" w:space="0" w:color="auto"/>
      </w:divBdr>
    </w:div>
    <w:div w:id="2028287861">
      <w:bodyDiv w:val="1"/>
      <w:marLeft w:val="0"/>
      <w:marRight w:val="0"/>
      <w:marTop w:val="0"/>
      <w:marBottom w:val="0"/>
      <w:divBdr>
        <w:top w:val="none" w:sz="0" w:space="0" w:color="auto"/>
        <w:left w:val="none" w:sz="0" w:space="0" w:color="auto"/>
        <w:bottom w:val="none" w:sz="0" w:space="0" w:color="auto"/>
        <w:right w:val="none" w:sz="0" w:space="0" w:color="auto"/>
      </w:divBdr>
    </w:div>
    <w:div w:id="2028408042">
      <w:bodyDiv w:val="1"/>
      <w:marLeft w:val="0"/>
      <w:marRight w:val="0"/>
      <w:marTop w:val="0"/>
      <w:marBottom w:val="0"/>
      <w:divBdr>
        <w:top w:val="none" w:sz="0" w:space="0" w:color="auto"/>
        <w:left w:val="none" w:sz="0" w:space="0" w:color="auto"/>
        <w:bottom w:val="none" w:sz="0" w:space="0" w:color="auto"/>
        <w:right w:val="none" w:sz="0" w:space="0" w:color="auto"/>
      </w:divBdr>
    </w:div>
    <w:div w:id="2028480493">
      <w:bodyDiv w:val="1"/>
      <w:marLeft w:val="0"/>
      <w:marRight w:val="0"/>
      <w:marTop w:val="0"/>
      <w:marBottom w:val="0"/>
      <w:divBdr>
        <w:top w:val="none" w:sz="0" w:space="0" w:color="auto"/>
        <w:left w:val="none" w:sz="0" w:space="0" w:color="auto"/>
        <w:bottom w:val="none" w:sz="0" w:space="0" w:color="auto"/>
        <w:right w:val="none" w:sz="0" w:space="0" w:color="auto"/>
      </w:divBdr>
    </w:div>
    <w:div w:id="2028629887">
      <w:bodyDiv w:val="1"/>
      <w:marLeft w:val="0"/>
      <w:marRight w:val="0"/>
      <w:marTop w:val="0"/>
      <w:marBottom w:val="0"/>
      <w:divBdr>
        <w:top w:val="none" w:sz="0" w:space="0" w:color="auto"/>
        <w:left w:val="none" w:sz="0" w:space="0" w:color="auto"/>
        <w:bottom w:val="none" w:sz="0" w:space="0" w:color="auto"/>
        <w:right w:val="none" w:sz="0" w:space="0" w:color="auto"/>
      </w:divBdr>
    </w:div>
    <w:div w:id="2028630232">
      <w:bodyDiv w:val="1"/>
      <w:marLeft w:val="0"/>
      <w:marRight w:val="0"/>
      <w:marTop w:val="0"/>
      <w:marBottom w:val="0"/>
      <w:divBdr>
        <w:top w:val="none" w:sz="0" w:space="0" w:color="auto"/>
        <w:left w:val="none" w:sz="0" w:space="0" w:color="auto"/>
        <w:bottom w:val="none" w:sz="0" w:space="0" w:color="auto"/>
        <w:right w:val="none" w:sz="0" w:space="0" w:color="auto"/>
      </w:divBdr>
    </w:div>
    <w:div w:id="2028871643">
      <w:bodyDiv w:val="1"/>
      <w:marLeft w:val="0"/>
      <w:marRight w:val="0"/>
      <w:marTop w:val="0"/>
      <w:marBottom w:val="0"/>
      <w:divBdr>
        <w:top w:val="none" w:sz="0" w:space="0" w:color="auto"/>
        <w:left w:val="none" w:sz="0" w:space="0" w:color="auto"/>
        <w:bottom w:val="none" w:sz="0" w:space="0" w:color="auto"/>
        <w:right w:val="none" w:sz="0" w:space="0" w:color="auto"/>
      </w:divBdr>
    </w:div>
    <w:div w:id="2029210200">
      <w:bodyDiv w:val="1"/>
      <w:marLeft w:val="0"/>
      <w:marRight w:val="0"/>
      <w:marTop w:val="0"/>
      <w:marBottom w:val="0"/>
      <w:divBdr>
        <w:top w:val="none" w:sz="0" w:space="0" w:color="auto"/>
        <w:left w:val="none" w:sz="0" w:space="0" w:color="auto"/>
        <w:bottom w:val="none" w:sz="0" w:space="0" w:color="auto"/>
        <w:right w:val="none" w:sz="0" w:space="0" w:color="auto"/>
      </w:divBdr>
    </w:div>
    <w:div w:id="2029258477">
      <w:bodyDiv w:val="1"/>
      <w:marLeft w:val="0"/>
      <w:marRight w:val="0"/>
      <w:marTop w:val="0"/>
      <w:marBottom w:val="0"/>
      <w:divBdr>
        <w:top w:val="none" w:sz="0" w:space="0" w:color="auto"/>
        <w:left w:val="none" w:sz="0" w:space="0" w:color="auto"/>
        <w:bottom w:val="none" w:sz="0" w:space="0" w:color="auto"/>
        <w:right w:val="none" w:sz="0" w:space="0" w:color="auto"/>
      </w:divBdr>
    </w:div>
    <w:div w:id="2029409612">
      <w:bodyDiv w:val="1"/>
      <w:marLeft w:val="0"/>
      <w:marRight w:val="0"/>
      <w:marTop w:val="0"/>
      <w:marBottom w:val="0"/>
      <w:divBdr>
        <w:top w:val="none" w:sz="0" w:space="0" w:color="auto"/>
        <w:left w:val="none" w:sz="0" w:space="0" w:color="auto"/>
        <w:bottom w:val="none" w:sz="0" w:space="0" w:color="auto"/>
        <w:right w:val="none" w:sz="0" w:space="0" w:color="auto"/>
      </w:divBdr>
    </w:div>
    <w:div w:id="2029485899">
      <w:bodyDiv w:val="1"/>
      <w:marLeft w:val="0"/>
      <w:marRight w:val="0"/>
      <w:marTop w:val="0"/>
      <w:marBottom w:val="0"/>
      <w:divBdr>
        <w:top w:val="none" w:sz="0" w:space="0" w:color="auto"/>
        <w:left w:val="none" w:sz="0" w:space="0" w:color="auto"/>
        <w:bottom w:val="none" w:sz="0" w:space="0" w:color="auto"/>
        <w:right w:val="none" w:sz="0" w:space="0" w:color="auto"/>
      </w:divBdr>
    </w:div>
    <w:div w:id="2029719830">
      <w:bodyDiv w:val="1"/>
      <w:marLeft w:val="0"/>
      <w:marRight w:val="0"/>
      <w:marTop w:val="0"/>
      <w:marBottom w:val="0"/>
      <w:divBdr>
        <w:top w:val="none" w:sz="0" w:space="0" w:color="auto"/>
        <w:left w:val="none" w:sz="0" w:space="0" w:color="auto"/>
        <w:bottom w:val="none" w:sz="0" w:space="0" w:color="auto"/>
        <w:right w:val="none" w:sz="0" w:space="0" w:color="auto"/>
      </w:divBdr>
    </w:div>
    <w:div w:id="2029790464">
      <w:bodyDiv w:val="1"/>
      <w:marLeft w:val="0"/>
      <w:marRight w:val="0"/>
      <w:marTop w:val="0"/>
      <w:marBottom w:val="0"/>
      <w:divBdr>
        <w:top w:val="none" w:sz="0" w:space="0" w:color="auto"/>
        <w:left w:val="none" w:sz="0" w:space="0" w:color="auto"/>
        <w:bottom w:val="none" w:sz="0" w:space="0" w:color="auto"/>
        <w:right w:val="none" w:sz="0" w:space="0" w:color="auto"/>
      </w:divBdr>
    </w:div>
    <w:div w:id="2029791727">
      <w:bodyDiv w:val="1"/>
      <w:marLeft w:val="0"/>
      <w:marRight w:val="0"/>
      <w:marTop w:val="0"/>
      <w:marBottom w:val="0"/>
      <w:divBdr>
        <w:top w:val="none" w:sz="0" w:space="0" w:color="auto"/>
        <w:left w:val="none" w:sz="0" w:space="0" w:color="auto"/>
        <w:bottom w:val="none" w:sz="0" w:space="0" w:color="auto"/>
        <w:right w:val="none" w:sz="0" w:space="0" w:color="auto"/>
      </w:divBdr>
    </w:div>
    <w:div w:id="2029913522">
      <w:bodyDiv w:val="1"/>
      <w:marLeft w:val="0"/>
      <w:marRight w:val="0"/>
      <w:marTop w:val="0"/>
      <w:marBottom w:val="0"/>
      <w:divBdr>
        <w:top w:val="none" w:sz="0" w:space="0" w:color="auto"/>
        <w:left w:val="none" w:sz="0" w:space="0" w:color="auto"/>
        <w:bottom w:val="none" w:sz="0" w:space="0" w:color="auto"/>
        <w:right w:val="none" w:sz="0" w:space="0" w:color="auto"/>
      </w:divBdr>
    </w:div>
    <w:div w:id="2029938841">
      <w:bodyDiv w:val="1"/>
      <w:marLeft w:val="0"/>
      <w:marRight w:val="0"/>
      <w:marTop w:val="0"/>
      <w:marBottom w:val="0"/>
      <w:divBdr>
        <w:top w:val="none" w:sz="0" w:space="0" w:color="auto"/>
        <w:left w:val="none" w:sz="0" w:space="0" w:color="auto"/>
        <w:bottom w:val="none" w:sz="0" w:space="0" w:color="auto"/>
        <w:right w:val="none" w:sz="0" w:space="0" w:color="auto"/>
      </w:divBdr>
    </w:div>
    <w:div w:id="2029989229">
      <w:bodyDiv w:val="1"/>
      <w:marLeft w:val="0"/>
      <w:marRight w:val="0"/>
      <w:marTop w:val="0"/>
      <w:marBottom w:val="0"/>
      <w:divBdr>
        <w:top w:val="none" w:sz="0" w:space="0" w:color="auto"/>
        <w:left w:val="none" w:sz="0" w:space="0" w:color="auto"/>
        <w:bottom w:val="none" w:sz="0" w:space="0" w:color="auto"/>
        <w:right w:val="none" w:sz="0" w:space="0" w:color="auto"/>
      </w:divBdr>
    </w:div>
    <w:div w:id="2030060962">
      <w:bodyDiv w:val="1"/>
      <w:marLeft w:val="0"/>
      <w:marRight w:val="0"/>
      <w:marTop w:val="0"/>
      <w:marBottom w:val="0"/>
      <w:divBdr>
        <w:top w:val="none" w:sz="0" w:space="0" w:color="auto"/>
        <w:left w:val="none" w:sz="0" w:space="0" w:color="auto"/>
        <w:bottom w:val="none" w:sz="0" w:space="0" w:color="auto"/>
        <w:right w:val="none" w:sz="0" w:space="0" w:color="auto"/>
      </w:divBdr>
    </w:div>
    <w:div w:id="2030180933">
      <w:bodyDiv w:val="1"/>
      <w:marLeft w:val="0"/>
      <w:marRight w:val="0"/>
      <w:marTop w:val="0"/>
      <w:marBottom w:val="0"/>
      <w:divBdr>
        <w:top w:val="none" w:sz="0" w:space="0" w:color="auto"/>
        <w:left w:val="none" w:sz="0" w:space="0" w:color="auto"/>
        <w:bottom w:val="none" w:sz="0" w:space="0" w:color="auto"/>
        <w:right w:val="none" w:sz="0" w:space="0" w:color="auto"/>
      </w:divBdr>
    </w:div>
    <w:div w:id="2030257663">
      <w:bodyDiv w:val="1"/>
      <w:marLeft w:val="0"/>
      <w:marRight w:val="0"/>
      <w:marTop w:val="0"/>
      <w:marBottom w:val="0"/>
      <w:divBdr>
        <w:top w:val="none" w:sz="0" w:space="0" w:color="auto"/>
        <w:left w:val="none" w:sz="0" w:space="0" w:color="auto"/>
        <w:bottom w:val="none" w:sz="0" w:space="0" w:color="auto"/>
        <w:right w:val="none" w:sz="0" w:space="0" w:color="auto"/>
      </w:divBdr>
    </w:div>
    <w:div w:id="2030257762">
      <w:bodyDiv w:val="1"/>
      <w:marLeft w:val="0"/>
      <w:marRight w:val="0"/>
      <w:marTop w:val="0"/>
      <w:marBottom w:val="0"/>
      <w:divBdr>
        <w:top w:val="none" w:sz="0" w:space="0" w:color="auto"/>
        <w:left w:val="none" w:sz="0" w:space="0" w:color="auto"/>
        <w:bottom w:val="none" w:sz="0" w:space="0" w:color="auto"/>
        <w:right w:val="none" w:sz="0" w:space="0" w:color="auto"/>
      </w:divBdr>
    </w:div>
    <w:div w:id="2030334802">
      <w:bodyDiv w:val="1"/>
      <w:marLeft w:val="0"/>
      <w:marRight w:val="0"/>
      <w:marTop w:val="0"/>
      <w:marBottom w:val="0"/>
      <w:divBdr>
        <w:top w:val="none" w:sz="0" w:space="0" w:color="auto"/>
        <w:left w:val="none" w:sz="0" w:space="0" w:color="auto"/>
        <w:bottom w:val="none" w:sz="0" w:space="0" w:color="auto"/>
        <w:right w:val="none" w:sz="0" w:space="0" w:color="auto"/>
      </w:divBdr>
    </w:div>
    <w:div w:id="2030403285">
      <w:bodyDiv w:val="1"/>
      <w:marLeft w:val="0"/>
      <w:marRight w:val="0"/>
      <w:marTop w:val="0"/>
      <w:marBottom w:val="0"/>
      <w:divBdr>
        <w:top w:val="none" w:sz="0" w:space="0" w:color="auto"/>
        <w:left w:val="none" w:sz="0" w:space="0" w:color="auto"/>
        <w:bottom w:val="none" w:sz="0" w:space="0" w:color="auto"/>
        <w:right w:val="none" w:sz="0" w:space="0" w:color="auto"/>
      </w:divBdr>
    </w:div>
    <w:div w:id="2030719070">
      <w:bodyDiv w:val="1"/>
      <w:marLeft w:val="0"/>
      <w:marRight w:val="0"/>
      <w:marTop w:val="0"/>
      <w:marBottom w:val="0"/>
      <w:divBdr>
        <w:top w:val="none" w:sz="0" w:space="0" w:color="auto"/>
        <w:left w:val="none" w:sz="0" w:space="0" w:color="auto"/>
        <w:bottom w:val="none" w:sz="0" w:space="0" w:color="auto"/>
        <w:right w:val="none" w:sz="0" w:space="0" w:color="auto"/>
      </w:divBdr>
    </w:div>
    <w:div w:id="2030721440">
      <w:bodyDiv w:val="1"/>
      <w:marLeft w:val="0"/>
      <w:marRight w:val="0"/>
      <w:marTop w:val="0"/>
      <w:marBottom w:val="0"/>
      <w:divBdr>
        <w:top w:val="none" w:sz="0" w:space="0" w:color="auto"/>
        <w:left w:val="none" w:sz="0" w:space="0" w:color="auto"/>
        <w:bottom w:val="none" w:sz="0" w:space="0" w:color="auto"/>
        <w:right w:val="none" w:sz="0" w:space="0" w:color="auto"/>
      </w:divBdr>
    </w:div>
    <w:div w:id="2030790050">
      <w:bodyDiv w:val="1"/>
      <w:marLeft w:val="0"/>
      <w:marRight w:val="0"/>
      <w:marTop w:val="0"/>
      <w:marBottom w:val="0"/>
      <w:divBdr>
        <w:top w:val="none" w:sz="0" w:space="0" w:color="auto"/>
        <w:left w:val="none" w:sz="0" w:space="0" w:color="auto"/>
        <w:bottom w:val="none" w:sz="0" w:space="0" w:color="auto"/>
        <w:right w:val="none" w:sz="0" w:space="0" w:color="auto"/>
      </w:divBdr>
    </w:div>
    <w:div w:id="2030790908">
      <w:bodyDiv w:val="1"/>
      <w:marLeft w:val="0"/>
      <w:marRight w:val="0"/>
      <w:marTop w:val="0"/>
      <w:marBottom w:val="0"/>
      <w:divBdr>
        <w:top w:val="none" w:sz="0" w:space="0" w:color="auto"/>
        <w:left w:val="none" w:sz="0" w:space="0" w:color="auto"/>
        <w:bottom w:val="none" w:sz="0" w:space="0" w:color="auto"/>
        <w:right w:val="none" w:sz="0" w:space="0" w:color="auto"/>
      </w:divBdr>
    </w:div>
    <w:div w:id="2031028808">
      <w:bodyDiv w:val="1"/>
      <w:marLeft w:val="0"/>
      <w:marRight w:val="0"/>
      <w:marTop w:val="0"/>
      <w:marBottom w:val="0"/>
      <w:divBdr>
        <w:top w:val="none" w:sz="0" w:space="0" w:color="auto"/>
        <w:left w:val="none" w:sz="0" w:space="0" w:color="auto"/>
        <w:bottom w:val="none" w:sz="0" w:space="0" w:color="auto"/>
        <w:right w:val="none" w:sz="0" w:space="0" w:color="auto"/>
      </w:divBdr>
    </w:div>
    <w:div w:id="2031179103">
      <w:bodyDiv w:val="1"/>
      <w:marLeft w:val="0"/>
      <w:marRight w:val="0"/>
      <w:marTop w:val="0"/>
      <w:marBottom w:val="0"/>
      <w:divBdr>
        <w:top w:val="none" w:sz="0" w:space="0" w:color="auto"/>
        <w:left w:val="none" w:sz="0" w:space="0" w:color="auto"/>
        <w:bottom w:val="none" w:sz="0" w:space="0" w:color="auto"/>
        <w:right w:val="none" w:sz="0" w:space="0" w:color="auto"/>
      </w:divBdr>
    </w:div>
    <w:div w:id="2031301304">
      <w:bodyDiv w:val="1"/>
      <w:marLeft w:val="0"/>
      <w:marRight w:val="0"/>
      <w:marTop w:val="0"/>
      <w:marBottom w:val="0"/>
      <w:divBdr>
        <w:top w:val="none" w:sz="0" w:space="0" w:color="auto"/>
        <w:left w:val="none" w:sz="0" w:space="0" w:color="auto"/>
        <w:bottom w:val="none" w:sz="0" w:space="0" w:color="auto"/>
        <w:right w:val="none" w:sz="0" w:space="0" w:color="auto"/>
      </w:divBdr>
    </w:div>
    <w:div w:id="2031444761">
      <w:bodyDiv w:val="1"/>
      <w:marLeft w:val="0"/>
      <w:marRight w:val="0"/>
      <w:marTop w:val="0"/>
      <w:marBottom w:val="0"/>
      <w:divBdr>
        <w:top w:val="none" w:sz="0" w:space="0" w:color="auto"/>
        <w:left w:val="none" w:sz="0" w:space="0" w:color="auto"/>
        <w:bottom w:val="none" w:sz="0" w:space="0" w:color="auto"/>
        <w:right w:val="none" w:sz="0" w:space="0" w:color="auto"/>
      </w:divBdr>
    </w:div>
    <w:div w:id="2031492794">
      <w:bodyDiv w:val="1"/>
      <w:marLeft w:val="0"/>
      <w:marRight w:val="0"/>
      <w:marTop w:val="0"/>
      <w:marBottom w:val="0"/>
      <w:divBdr>
        <w:top w:val="none" w:sz="0" w:space="0" w:color="auto"/>
        <w:left w:val="none" w:sz="0" w:space="0" w:color="auto"/>
        <w:bottom w:val="none" w:sz="0" w:space="0" w:color="auto"/>
        <w:right w:val="none" w:sz="0" w:space="0" w:color="auto"/>
      </w:divBdr>
    </w:div>
    <w:div w:id="2031493526">
      <w:bodyDiv w:val="1"/>
      <w:marLeft w:val="0"/>
      <w:marRight w:val="0"/>
      <w:marTop w:val="0"/>
      <w:marBottom w:val="0"/>
      <w:divBdr>
        <w:top w:val="none" w:sz="0" w:space="0" w:color="auto"/>
        <w:left w:val="none" w:sz="0" w:space="0" w:color="auto"/>
        <w:bottom w:val="none" w:sz="0" w:space="0" w:color="auto"/>
        <w:right w:val="none" w:sz="0" w:space="0" w:color="auto"/>
      </w:divBdr>
    </w:div>
    <w:div w:id="2031681576">
      <w:bodyDiv w:val="1"/>
      <w:marLeft w:val="0"/>
      <w:marRight w:val="0"/>
      <w:marTop w:val="0"/>
      <w:marBottom w:val="0"/>
      <w:divBdr>
        <w:top w:val="none" w:sz="0" w:space="0" w:color="auto"/>
        <w:left w:val="none" w:sz="0" w:space="0" w:color="auto"/>
        <w:bottom w:val="none" w:sz="0" w:space="0" w:color="auto"/>
        <w:right w:val="none" w:sz="0" w:space="0" w:color="auto"/>
      </w:divBdr>
    </w:div>
    <w:div w:id="2031830083">
      <w:bodyDiv w:val="1"/>
      <w:marLeft w:val="0"/>
      <w:marRight w:val="0"/>
      <w:marTop w:val="0"/>
      <w:marBottom w:val="0"/>
      <w:divBdr>
        <w:top w:val="none" w:sz="0" w:space="0" w:color="auto"/>
        <w:left w:val="none" w:sz="0" w:space="0" w:color="auto"/>
        <w:bottom w:val="none" w:sz="0" w:space="0" w:color="auto"/>
        <w:right w:val="none" w:sz="0" w:space="0" w:color="auto"/>
      </w:divBdr>
    </w:div>
    <w:div w:id="2031956541">
      <w:bodyDiv w:val="1"/>
      <w:marLeft w:val="0"/>
      <w:marRight w:val="0"/>
      <w:marTop w:val="0"/>
      <w:marBottom w:val="0"/>
      <w:divBdr>
        <w:top w:val="none" w:sz="0" w:space="0" w:color="auto"/>
        <w:left w:val="none" w:sz="0" w:space="0" w:color="auto"/>
        <w:bottom w:val="none" w:sz="0" w:space="0" w:color="auto"/>
        <w:right w:val="none" w:sz="0" w:space="0" w:color="auto"/>
      </w:divBdr>
    </w:div>
    <w:div w:id="2032028979">
      <w:bodyDiv w:val="1"/>
      <w:marLeft w:val="0"/>
      <w:marRight w:val="0"/>
      <w:marTop w:val="0"/>
      <w:marBottom w:val="0"/>
      <w:divBdr>
        <w:top w:val="none" w:sz="0" w:space="0" w:color="auto"/>
        <w:left w:val="none" w:sz="0" w:space="0" w:color="auto"/>
        <w:bottom w:val="none" w:sz="0" w:space="0" w:color="auto"/>
        <w:right w:val="none" w:sz="0" w:space="0" w:color="auto"/>
      </w:divBdr>
    </w:div>
    <w:div w:id="2032098414">
      <w:bodyDiv w:val="1"/>
      <w:marLeft w:val="0"/>
      <w:marRight w:val="0"/>
      <w:marTop w:val="0"/>
      <w:marBottom w:val="0"/>
      <w:divBdr>
        <w:top w:val="none" w:sz="0" w:space="0" w:color="auto"/>
        <w:left w:val="none" w:sz="0" w:space="0" w:color="auto"/>
        <w:bottom w:val="none" w:sz="0" w:space="0" w:color="auto"/>
        <w:right w:val="none" w:sz="0" w:space="0" w:color="auto"/>
      </w:divBdr>
    </w:div>
    <w:div w:id="2032146018">
      <w:bodyDiv w:val="1"/>
      <w:marLeft w:val="0"/>
      <w:marRight w:val="0"/>
      <w:marTop w:val="0"/>
      <w:marBottom w:val="0"/>
      <w:divBdr>
        <w:top w:val="none" w:sz="0" w:space="0" w:color="auto"/>
        <w:left w:val="none" w:sz="0" w:space="0" w:color="auto"/>
        <w:bottom w:val="none" w:sz="0" w:space="0" w:color="auto"/>
        <w:right w:val="none" w:sz="0" w:space="0" w:color="auto"/>
      </w:divBdr>
    </w:div>
    <w:div w:id="2032294322">
      <w:bodyDiv w:val="1"/>
      <w:marLeft w:val="0"/>
      <w:marRight w:val="0"/>
      <w:marTop w:val="0"/>
      <w:marBottom w:val="0"/>
      <w:divBdr>
        <w:top w:val="none" w:sz="0" w:space="0" w:color="auto"/>
        <w:left w:val="none" w:sz="0" w:space="0" w:color="auto"/>
        <w:bottom w:val="none" w:sz="0" w:space="0" w:color="auto"/>
        <w:right w:val="none" w:sz="0" w:space="0" w:color="auto"/>
      </w:divBdr>
    </w:div>
    <w:div w:id="2032297952">
      <w:bodyDiv w:val="1"/>
      <w:marLeft w:val="0"/>
      <w:marRight w:val="0"/>
      <w:marTop w:val="0"/>
      <w:marBottom w:val="0"/>
      <w:divBdr>
        <w:top w:val="none" w:sz="0" w:space="0" w:color="auto"/>
        <w:left w:val="none" w:sz="0" w:space="0" w:color="auto"/>
        <w:bottom w:val="none" w:sz="0" w:space="0" w:color="auto"/>
        <w:right w:val="none" w:sz="0" w:space="0" w:color="auto"/>
      </w:divBdr>
    </w:div>
    <w:div w:id="2032340450">
      <w:bodyDiv w:val="1"/>
      <w:marLeft w:val="0"/>
      <w:marRight w:val="0"/>
      <w:marTop w:val="0"/>
      <w:marBottom w:val="0"/>
      <w:divBdr>
        <w:top w:val="none" w:sz="0" w:space="0" w:color="auto"/>
        <w:left w:val="none" w:sz="0" w:space="0" w:color="auto"/>
        <w:bottom w:val="none" w:sz="0" w:space="0" w:color="auto"/>
        <w:right w:val="none" w:sz="0" w:space="0" w:color="auto"/>
      </w:divBdr>
    </w:div>
    <w:div w:id="2032488531">
      <w:bodyDiv w:val="1"/>
      <w:marLeft w:val="0"/>
      <w:marRight w:val="0"/>
      <w:marTop w:val="0"/>
      <w:marBottom w:val="0"/>
      <w:divBdr>
        <w:top w:val="none" w:sz="0" w:space="0" w:color="auto"/>
        <w:left w:val="none" w:sz="0" w:space="0" w:color="auto"/>
        <w:bottom w:val="none" w:sz="0" w:space="0" w:color="auto"/>
        <w:right w:val="none" w:sz="0" w:space="0" w:color="auto"/>
      </w:divBdr>
    </w:div>
    <w:div w:id="2032488644">
      <w:bodyDiv w:val="1"/>
      <w:marLeft w:val="0"/>
      <w:marRight w:val="0"/>
      <w:marTop w:val="0"/>
      <w:marBottom w:val="0"/>
      <w:divBdr>
        <w:top w:val="none" w:sz="0" w:space="0" w:color="auto"/>
        <w:left w:val="none" w:sz="0" w:space="0" w:color="auto"/>
        <w:bottom w:val="none" w:sz="0" w:space="0" w:color="auto"/>
        <w:right w:val="none" w:sz="0" w:space="0" w:color="auto"/>
      </w:divBdr>
    </w:div>
    <w:div w:id="2032534540">
      <w:bodyDiv w:val="1"/>
      <w:marLeft w:val="0"/>
      <w:marRight w:val="0"/>
      <w:marTop w:val="0"/>
      <w:marBottom w:val="0"/>
      <w:divBdr>
        <w:top w:val="none" w:sz="0" w:space="0" w:color="auto"/>
        <w:left w:val="none" w:sz="0" w:space="0" w:color="auto"/>
        <w:bottom w:val="none" w:sz="0" w:space="0" w:color="auto"/>
        <w:right w:val="none" w:sz="0" w:space="0" w:color="auto"/>
      </w:divBdr>
    </w:div>
    <w:div w:id="2032535476">
      <w:bodyDiv w:val="1"/>
      <w:marLeft w:val="0"/>
      <w:marRight w:val="0"/>
      <w:marTop w:val="0"/>
      <w:marBottom w:val="0"/>
      <w:divBdr>
        <w:top w:val="none" w:sz="0" w:space="0" w:color="auto"/>
        <w:left w:val="none" w:sz="0" w:space="0" w:color="auto"/>
        <w:bottom w:val="none" w:sz="0" w:space="0" w:color="auto"/>
        <w:right w:val="none" w:sz="0" w:space="0" w:color="auto"/>
      </w:divBdr>
    </w:div>
    <w:div w:id="2032535649">
      <w:bodyDiv w:val="1"/>
      <w:marLeft w:val="0"/>
      <w:marRight w:val="0"/>
      <w:marTop w:val="0"/>
      <w:marBottom w:val="0"/>
      <w:divBdr>
        <w:top w:val="none" w:sz="0" w:space="0" w:color="auto"/>
        <w:left w:val="none" w:sz="0" w:space="0" w:color="auto"/>
        <w:bottom w:val="none" w:sz="0" w:space="0" w:color="auto"/>
        <w:right w:val="none" w:sz="0" w:space="0" w:color="auto"/>
      </w:divBdr>
    </w:div>
    <w:div w:id="2032603497">
      <w:bodyDiv w:val="1"/>
      <w:marLeft w:val="0"/>
      <w:marRight w:val="0"/>
      <w:marTop w:val="0"/>
      <w:marBottom w:val="0"/>
      <w:divBdr>
        <w:top w:val="none" w:sz="0" w:space="0" w:color="auto"/>
        <w:left w:val="none" w:sz="0" w:space="0" w:color="auto"/>
        <w:bottom w:val="none" w:sz="0" w:space="0" w:color="auto"/>
        <w:right w:val="none" w:sz="0" w:space="0" w:color="auto"/>
      </w:divBdr>
    </w:div>
    <w:div w:id="2032611294">
      <w:bodyDiv w:val="1"/>
      <w:marLeft w:val="0"/>
      <w:marRight w:val="0"/>
      <w:marTop w:val="0"/>
      <w:marBottom w:val="0"/>
      <w:divBdr>
        <w:top w:val="none" w:sz="0" w:space="0" w:color="auto"/>
        <w:left w:val="none" w:sz="0" w:space="0" w:color="auto"/>
        <w:bottom w:val="none" w:sz="0" w:space="0" w:color="auto"/>
        <w:right w:val="none" w:sz="0" w:space="0" w:color="auto"/>
      </w:divBdr>
    </w:div>
    <w:div w:id="2032798232">
      <w:bodyDiv w:val="1"/>
      <w:marLeft w:val="0"/>
      <w:marRight w:val="0"/>
      <w:marTop w:val="0"/>
      <w:marBottom w:val="0"/>
      <w:divBdr>
        <w:top w:val="none" w:sz="0" w:space="0" w:color="auto"/>
        <w:left w:val="none" w:sz="0" w:space="0" w:color="auto"/>
        <w:bottom w:val="none" w:sz="0" w:space="0" w:color="auto"/>
        <w:right w:val="none" w:sz="0" w:space="0" w:color="auto"/>
      </w:divBdr>
    </w:div>
    <w:div w:id="2032798240">
      <w:bodyDiv w:val="1"/>
      <w:marLeft w:val="0"/>
      <w:marRight w:val="0"/>
      <w:marTop w:val="0"/>
      <w:marBottom w:val="0"/>
      <w:divBdr>
        <w:top w:val="none" w:sz="0" w:space="0" w:color="auto"/>
        <w:left w:val="none" w:sz="0" w:space="0" w:color="auto"/>
        <w:bottom w:val="none" w:sz="0" w:space="0" w:color="auto"/>
        <w:right w:val="none" w:sz="0" w:space="0" w:color="auto"/>
      </w:divBdr>
    </w:div>
    <w:div w:id="2032993643">
      <w:bodyDiv w:val="1"/>
      <w:marLeft w:val="0"/>
      <w:marRight w:val="0"/>
      <w:marTop w:val="0"/>
      <w:marBottom w:val="0"/>
      <w:divBdr>
        <w:top w:val="none" w:sz="0" w:space="0" w:color="auto"/>
        <w:left w:val="none" w:sz="0" w:space="0" w:color="auto"/>
        <w:bottom w:val="none" w:sz="0" w:space="0" w:color="auto"/>
        <w:right w:val="none" w:sz="0" w:space="0" w:color="auto"/>
      </w:divBdr>
    </w:div>
    <w:div w:id="2033065083">
      <w:bodyDiv w:val="1"/>
      <w:marLeft w:val="0"/>
      <w:marRight w:val="0"/>
      <w:marTop w:val="0"/>
      <w:marBottom w:val="0"/>
      <w:divBdr>
        <w:top w:val="none" w:sz="0" w:space="0" w:color="auto"/>
        <w:left w:val="none" w:sz="0" w:space="0" w:color="auto"/>
        <w:bottom w:val="none" w:sz="0" w:space="0" w:color="auto"/>
        <w:right w:val="none" w:sz="0" w:space="0" w:color="auto"/>
      </w:divBdr>
    </w:div>
    <w:div w:id="2033066953">
      <w:bodyDiv w:val="1"/>
      <w:marLeft w:val="0"/>
      <w:marRight w:val="0"/>
      <w:marTop w:val="0"/>
      <w:marBottom w:val="0"/>
      <w:divBdr>
        <w:top w:val="none" w:sz="0" w:space="0" w:color="auto"/>
        <w:left w:val="none" w:sz="0" w:space="0" w:color="auto"/>
        <w:bottom w:val="none" w:sz="0" w:space="0" w:color="auto"/>
        <w:right w:val="none" w:sz="0" w:space="0" w:color="auto"/>
      </w:divBdr>
    </w:div>
    <w:div w:id="2033070793">
      <w:bodyDiv w:val="1"/>
      <w:marLeft w:val="0"/>
      <w:marRight w:val="0"/>
      <w:marTop w:val="0"/>
      <w:marBottom w:val="0"/>
      <w:divBdr>
        <w:top w:val="none" w:sz="0" w:space="0" w:color="auto"/>
        <w:left w:val="none" w:sz="0" w:space="0" w:color="auto"/>
        <w:bottom w:val="none" w:sz="0" w:space="0" w:color="auto"/>
        <w:right w:val="none" w:sz="0" w:space="0" w:color="auto"/>
      </w:divBdr>
    </w:div>
    <w:div w:id="2033146038">
      <w:bodyDiv w:val="1"/>
      <w:marLeft w:val="0"/>
      <w:marRight w:val="0"/>
      <w:marTop w:val="0"/>
      <w:marBottom w:val="0"/>
      <w:divBdr>
        <w:top w:val="none" w:sz="0" w:space="0" w:color="auto"/>
        <w:left w:val="none" w:sz="0" w:space="0" w:color="auto"/>
        <w:bottom w:val="none" w:sz="0" w:space="0" w:color="auto"/>
        <w:right w:val="none" w:sz="0" w:space="0" w:color="auto"/>
      </w:divBdr>
    </w:div>
    <w:div w:id="2033215624">
      <w:bodyDiv w:val="1"/>
      <w:marLeft w:val="0"/>
      <w:marRight w:val="0"/>
      <w:marTop w:val="0"/>
      <w:marBottom w:val="0"/>
      <w:divBdr>
        <w:top w:val="none" w:sz="0" w:space="0" w:color="auto"/>
        <w:left w:val="none" w:sz="0" w:space="0" w:color="auto"/>
        <w:bottom w:val="none" w:sz="0" w:space="0" w:color="auto"/>
        <w:right w:val="none" w:sz="0" w:space="0" w:color="auto"/>
      </w:divBdr>
    </w:div>
    <w:div w:id="2033263640">
      <w:bodyDiv w:val="1"/>
      <w:marLeft w:val="0"/>
      <w:marRight w:val="0"/>
      <w:marTop w:val="0"/>
      <w:marBottom w:val="0"/>
      <w:divBdr>
        <w:top w:val="none" w:sz="0" w:space="0" w:color="auto"/>
        <w:left w:val="none" w:sz="0" w:space="0" w:color="auto"/>
        <w:bottom w:val="none" w:sz="0" w:space="0" w:color="auto"/>
        <w:right w:val="none" w:sz="0" w:space="0" w:color="auto"/>
      </w:divBdr>
    </w:div>
    <w:div w:id="2033456280">
      <w:bodyDiv w:val="1"/>
      <w:marLeft w:val="0"/>
      <w:marRight w:val="0"/>
      <w:marTop w:val="0"/>
      <w:marBottom w:val="0"/>
      <w:divBdr>
        <w:top w:val="none" w:sz="0" w:space="0" w:color="auto"/>
        <w:left w:val="none" w:sz="0" w:space="0" w:color="auto"/>
        <w:bottom w:val="none" w:sz="0" w:space="0" w:color="auto"/>
        <w:right w:val="none" w:sz="0" w:space="0" w:color="auto"/>
      </w:divBdr>
    </w:div>
    <w:div w:id="2033678577">
      <w:bodyDiv w:val="1"/>
      <w:marLeft w:val="0"/>
      <w:marRight w:val="0"/>
      <w:marTop w:val="0"/>
      <w:marBottom w:val="0"/>
      <w:divBdr>
        <w:top w:val="none" w:sz="0" w:space="0" w:color="auto"/>
        <w:left w:val="none" w:sz="0" w:space="0" w:color="auto"/>
        <w:bottom w:val="none" w:sz="0" w:space="0" w:color="auto"/>
        <w:right w:val="none" w:sz="0" w:space="0" w:color="auto"/>
      </w:divBdr>
    </w:div>
    <w:div w:id="2033801030">
      <w:bodyDiv w:val="1"/>
      <w:marLeft w:val="0"/>
      <w:marRight w:val="0"/>
      <w:marTop w:val="0"/>
      <w:marBottom w:val="0"/>
      <w:divBdr>
        <w:top w:val="none" w:sz="0" w:space="0" w:color="auto"/>
        <w:left w:val="none" w:sz="0" w:space="0" w:color="auto"/>
        <w:bottom w:val="none" w:sz="0" w:space="0" w:color="auto"/>
        <w:right w:val="none" w:sz="0" w:space="0" w:color="auto"/>
      </w:divBdr>
    </w:div>
    <w:div w:id="2033918085">
      <w:bodyDiv w:val="1"/>
      <w:marLeft w:val="0"/>
      <w:marRight w:val="0"/>
      <w:marTop w:val="0"/>
      <w:marBottom w:val="0"/>
      <w:divBdr>
        <w:top w:val="none" w:sz="0" w:space="0" w:color="auto"/>
        <w:left w:val="none" w:sz="0" w:space="0" w:color="auto"/>
        <w:bottom w:val="none" w:sz="0" w:space="0" w:color="auto"/>
        <w:right w:val="none" w:sz="0" w:space="0" w:color="auto"/>
      </w:divBdr>
    </w:div>
    <w:div w:id="2033988390">
      <w:bodyDiv w:val="1"/>
      <w:marLeft w:val="0"/>
      <w:marRight w:val="0"/>
      <w:marTop w:val="0"/>
      <w:marBottom w:val="0"/>
      <w:divBdr>
        <w:top w:val="none" w:sz="0" w:space="0" w:color="auto"/>
        <w:left w:val="none" w:sz="0" w:space="0" w:color="auto"/>
        <w:bottom w:val="none" w:sz="0" w:space="0" w:color="auto"/>
        <w:right w:val="none" w:sz="0" w:space="0" w:color="auto"/>
      </w:divBdr>
    </w:div>
    <w:div w:id="2033996724">
      <w:bodyDiv w:val="1"/>
      <w:marLeft w:val="0"/>
      <w:marRight w:val="0"/>
      <w:marTop w:val="0"/>
      <w:marBottom w:val="0"/>
      <w:divBdr>
        <w:top w:val="none" w:sz="0" w:space="0" w:color="auto"/>
        <w:left w:val="none" w:sz="0" w:space="0" w:color="auto"/>
        <w:bottom w:val="none" w:sz="0" w:space="0" w:color="auto"/>
        <w:right w:val="none" w:sz="0" w:space="0" w:color="auto"/>
      </w:divBdr>
    </w:div>
    <w:div w:id="2034183891">
      <w:bodyDiv w:val="1"/>
      <w:marLeft w:val="0"/>
      <w:marRight w:val="0"/>
      <w:marTop w:val="0"/>
      <w:marBottom w:val="0"/>
      <w:divBdr>
        <w:top w:val="none" w:sz="0" w:space="0" w:color="auto"/>
        <w:left w:val="none" w:sz="0" w:space="0" w:color="auto"/>
        <w:bottom w:val="none" w:sz="0" w:space="0" w:color="auto"/>
        <w:right w:val="none" w:sz="0" w:space="0" w:color="auto"/>
      </w:divBdr>
    </w:div>
    <w:div w:id="2034187435">
      <w:bodyDiv w:val="1"/>
      <w:marLeft w:val="0"/>
      <w:marRight w:val="0"/>
      <w:marTop w:val="0"/>
      <w:marBottom w:val="0"/>
      <w:divBdr>
        <w:top w:val="none" w:sz="0" w:space="0" w:color="auto"/>
        <w:left w:val="none" w:sz="0" w:space="0" w:color="auto"/>
        <w:bottom w:val="none" w:sz="0" w:space="0" w:color="auto"/>
        <w:right w:val="none" w:sz="0" w:space="0" w:color="auto"/>
      </w:divBdr>
    </w:div>
    <w:div w:id="2034838424">
      <w:bodyDiv w:val="1"/>
      <w:marLeft w:val="0"/>
      <w:marRight w:val="0"/>
      <w:marTop w:val="0"/>
      <w:marBottom w:val="0"/>
      <w:divBdr>
        <w:top w:val="none" w:sz="0" w:space="0" w:color="auto"/>
        <w:left w:val="none" w:sz="0" w:space="0" w:color="auto"/>
        <w:bottom w:val="none" w:sz="0" w:space="0" w:color="auto"/>
        <w:right w:val="none" w:sz="0" w:space="0" w:color="auto"/>
      </w:divBdr>
    </w:div>
    <w:div w:id="2034959834">
      <w:bodyDiv w:val="1"/>
      <w:marLeft w:val="0"/>
      <w:marRight w:val="0"/>
      <w:marTop w:val="0"/>
      <w:marBottom w:val="0"/>
      <w:divBdr>
        <w:top w:val="none" w:sz="0" w:space="0" w:color="auto"/>
        <w:left w:val="none" w:sz="0" w:space="0" w:color="auto"/>
        <w:bottom w:val="none" w:sz="0" w:space="0" w:color="auto"/>
        <w:right w:val="none" w:sz="0" w:space="0" w:color="auto"/>
      </w:divBdr>
    </w:div>
    <w:div w:id="2035186649">
      <w:bodyDiv w:val="1"/>
      <w:marLeft w:val="0"/>
      <w:marRight w:val="0"/>
      <w:marTop w:val="0"/>
      <w:marBottom w:val="0"/>
      <w:divBdr>
        <w:top w:val="none" w:sz="0" w:space="0" w:color="auto"/>
        <w:left w:val="none" w:sz="0" w:space="0" w:color="auto"/>
        <w:bottom w:val="none" w:sz="0" w:space="0" w:color="auto"/>
        <w:right w:val="none" w:sz="0" w:space="0" w:color="auto"/>
      </w:divBdr>
    </w:div>
    <w:div w:id="2035300282">
      <w:bodyDiv w:val="1"/>
      <w:marLeft w:val="0"/>
      <w:marRight w:val="0"/>
      <w:marTop w:val="0"/>
      <w:marBottom w:val="0"/>
      <w:divBdr>
        <w:top w:val="none" w:sz="0" w:space="0" w:color="auto"/>
        <w:left w:val="none" w:sz="0" w:space="0" w:color="auto"/>
        <w:bottom w:val="none" w:sz="0" w:space="0" w:color="auto"/>
        <w:right w:val="none" w:sz="0" w:space="0" w:color="auto"/>
      </w:divBdr>
    </w:div>
    <w:div w:id="2035306882">
      <w:bodyDiv w:val="1"/>
      <w:marLeft w:val="0"/>
      <w:marRight w:val="0"/>
      <w:marTop w:val="0"/>
      <w:marBottom w:val="0"/>
      <w:divBdr>
        <w:top w:val="none" w:sz="0" w:space="0" w:color="auto"/>
        <w:left w:val="none" w:sz="0" w:space="0" w:color="auto"/>
        <w:bottom w:val="none" w:sz="0" w:space="0" w:color="auto"/>
        <w:right w:val="none" w:sz="0" w:space="0" w:color="auto"/>
      </w:divBdr>
    </w:div>
    <w:div w:id="2035376614">
      <w:bodyDiv w:val="1"/>
      <w:marLeft w:val="0"/>
      <w:marRight w:val="0"/>
      <w:marTop w:val="0"/>
      <w:marBottom w:val="0"/>
      <w:divBdr>
        <w:top w:val="none" w:sz="0" w:space="0" w:color="auto"/>
        <w:left w:val="none" w:sz="0" w:space="0" w:color="auto"/>
        <w:bottom w:val="none" w:sz="0" w:space="0" w:color="auto"/>
        <w:right w:val="none" w:sz="0" w:space="0" w:color="auto"/>
      </w:divBdr>
    </w:div>
    <w:div w:id="2035418607">
      <w:bodyDiv w:val="1"/>
      <w:marLeft w:val="0"/>
      <w:marRight w:val="0"/>
      <w:marTop w:val="0"/>
      <w:marBottom w:val="0"/>
      <w:divBdr>
        <w:top w:val="none" w:sz="0" w:space="0" w:color="auto"/>
        <w:left w:val="none" w:sz="0" w:space="0" w:color="auto"/>
        <w:bottom w:val="none" w:sz="0" w:space="0" w:color="auto"/>
        <w:right w:val="none" w:sz="0" w:space="0" w:color="auto"/>
      </w:divBdr>
    </w:div>
    <w:div w:id="2035423172">
      <w:bodyDiv w:val="1"/>
      <w:marLeft w:val="0"/>
      <w:marRight w:val="0"/>
      <w:marTop w:val="0"/>
      <w:marBottom w:val="0"/>
      <w:divBdr>
        <w:top w:val="none" w:sz="0" w:space="0" w:color="auto"/>
        <w:left w:val="none" w:sz="0" w:space="0" w:color="auto"/>
        <w:bottom w:val="none" w:sz="0" w:space="0" w:color="auto"/>
        <w:right w:val="none" w:sz="0" w:space="0" w:color="auto"/>
      </w:divBdr>
    </w:div>
    <w:div w:id="2035500713">
      <w:bodyDiv w:val="1"/>
      <w:marLeft w:val="0"/>
      <w:marRight w:val="0"/>
      <w:marTop w:val="0"/>
      <w:marBottom w:val="0"/>
      <w:divBdr>
        <w:top w:val="none" w:sz="0" w:space="0" w:color="auto"/>
        <w:left w:val="none" w:sz="0" w:space="0" w:color="auto"/>
        <w:bottom w:val="none" w:sz="0" w:space="0" w:color="auto"/>
        <w:right w:val="none" w:sz="0" w:space="0" w:color="auto"/>
      </w:divBdr>
    </w:div>
    <w:div w:id="2035500800">
      <w:bodyDiv w:val="1"/>
      <w:marLeft w:val="0"/>
      <w:marRight w:val="0"/>
      <w:marTop w:val="0"/>
      <w:marBottom w:val="0"/>
      <w:divBdr>
        <w:top w:val="none" w:sz="0" w:space="0" w:color="auto"/>
        <w:left w:val="none" w:sz="0" w:space="0" w:color="auto"/>
        <w:bottom w:val="none" w:sz="0" w:space="0" w:color="auto"/>
        <w:right w:val="none" w:sz="0" w:space="0" w:color="auto"/>
      </w:divBdr>
    </w:div>
    <w:div w:id="2035685691">
      <w:bodyDiv w:val="1"/>
      <w:marLeft w:val="0"/>
      <w:marRight w:val="0"/>
      <w:marTop w:val="0"/>
      <w:marBottom w:val="0"/>
      <w:divBdr>
        <w:top w:val="none" w:sz="0" w:space="0" w:color="auto"/>
        <w:left w:val="none" w:sz="0" w:space="0" w:color="auto"/>
        <w:bottom w:val="none" w:sz="0" w:space="0" w:color="auto"/>
        <w:right w:val="none" w:sz="0" w:space="0" w:color="auto"/>
      </w:divBdr>
    </w:div>
    <w:div w:id="2035690132">
      <w:bodyDiv w:val="1"/>
      <w:marLeft w:val="0"/>
      <w:marRight w:val="0"/>
      <w:marTop w:val="0"/>
      <w:marBottom w:val="0"/>
      <w:divBdr>
        <w:top w:val="none" w:sz="0" w:space="0" w:color="auto"/>
        <w:left w:val="none" w:sz="0" w:space="0" w:color="auto"/>
        <w:bottom w:val="none" w:sz="0" w:space="0" w:color="auto"/>
        <w:right w:val="none" w:sz="0" w:space="0" w:color="auto"/>
      </w:divBdr>
    </w:div>
    <w:div w:id="2035762600">
      <w:bodyDiv w:val="1"/>
      <w:marLeft w:val="0"/>
      <w:marRight w:val="0"/>
      <w:marTop w:val="0"/>
      <w:marBottom w:val="0"/>
      <w:divBdr>
        <w:top w:val="none" w:sz="0" w:space="0" w:color="auto"/>
        <w:left w:val="none" w:sz="0" w:space="0" w:color="auto"/>
        <w:bottom w:val="none" w:sz="0" w:space="0" w:color="auto"/>
        <w:right w:val="none" w:sz="0" w:space="0" w:color="auto"/>
      </w:divBdr>
    </w:div>
    <w:div w:id="2035838353">
      <w:bodyDiv w:val="1"/>
      <w:marLeft w:val="0"/>
      <w:marRight w:val="0"/>
      <w:marTop w:val="0"/>
      <w:marBottom w:val="0"/>
      <w:divBdr>
        <w:top w:val="none" w:sz="0" w:space="0" w:color="auto"/>
        <w:left w:val="none" w:sz="0" w:space="0" w:color="auto"/>
        <w:bottom w:val="none" w:sz="0" w:space="0" w:color="auto"/>
        <w:right w:val="none" w:sz="0" w:space="0" w:color="auto"/>
      </w:divBdr>
    </w:div>
    <w:div w:id="2035957993">
      <w:bodyDiv w:val="1"/>
      <w:marLeft w:val="0"/>
      <w:marRight w:val="0"/>
      <w:marTop w:val="0"/>
      <w:marBottom w:val="0"/>
      <w:divBdr>
        <w:top w:val="none" w:sz="0" w:space="0" w:color="auto"/>
        <w:left w:val="none" w:sz="0" w:space="0" w:color="auto"/>
        <w:bottom w:val="none" w:sz="0" w:space="0" w:color="auto"/>
        <w:right w:val="none" w:sz="0" w:space="0" w:color="auto"/>
      </w:divBdr>
    </w:div>
    <w:div w:id="2036152371">
      <w:bodyDiv w:val="1"/>
      <w:marLeft w:val="0"/>
      <w:marRight w:val="0"/>
      <w:marTop w:val="0"/>
      <w:marBottom w:val="0"/>
      <w:divBdr>
        <w:top w:val="none" w:sz="0" w:space="0" w:color="auto"/>
        <w:left w:val="none" w:sz="0" w:space="0" w:color="auto"/>
        <w:bottom w:val="none" w:sz="0" w:space="0" w:color="auto"/>
        <w:right w:val="none" w:sz="0" w:space="0" w:color="auto"/>
      </w:divBdr>
    </w:div>
    <w:div w:id="2036230772">
      <w:bodyDiv w:val="1"/>
      <w:marLeft w:val="0"/>
      <w:marRight w:val="0"/>
      <w:marTop w:val="0"/>
      <w:marBottom w:val="0"/>
      <w:divBdr>
        <w:top w:val="none" w:sz="0" w:space="0" w:color="auto"/>
        <w:left w:val="none" w:sz="0" w:space="0" w:color="auto"/>
        <w:bottom w:val="none" w:sz="0" w:space="0" w:color="auto"/>
        <w:right w:val="none" w:sz="0" w:space="0" w:color="auto"/>
      </w:divBdr>
    </w:div>
    <w:div w:id="2036269703">
      <w:bodyDiv w:val="1"/>
      <w:marLeft w:val="0"/>
      <w:marRight w:val="0"/>
      <w:marTop w:val="0"/>
      <w:marBottom w:val="0"/>
      <w:divBdr>
        <w:top w:val="none" w:sz="0" w:space="0" w:color="auto"/>
        <w:left w:val="none" w:sz="0" w:space="0" w:color="auto"/>
        <w:bottom w:val="none" w:sz="0" w:space="0" w:color="auto"/>
        <w:right w:val="none" w:sz="0" w:space="0" w:color="auto"/>
      </w:divBdr>
    </w:div>
    <w:div w:id="2036343775">
      <w:bodyDiv w:val="1"/>
      <w:marLeft w:val="0"/>
      <w:marRight w:val="0"/>
      <w:marTop w:val="0"/>
      <w:marBottom w:val="0"/>
      <w:divBdr>
        <w:top w:val="none" w:sz="0" w:space="0" w:color="auto"/>
        <w:left w:val="none" w:sz="0" w:space="0" w:color="auto"/>
        <w:bottom w:val="none" w:sz="0" w:space="0" w:color="auto"/>
        <w:right w:val="none" w:sz="0" w:space="0" w:color="auto"/>
      </w:divBdr>
    </w:div>
    <w:div w:id="2036418387">
      <w:bodyDiv w:val="1"/>
      <w:marLeft w:val="0"/>
      <w:marRight w:val="0"/>
      <w:marTop w:val="0"/>
      <w:marBottom w:val="0"/>
      <w:divBdr>
        <w:top w:val="none" w:sz="0" w:space="0" w:color="auto"/>
        <w:left w:val="none" w:sz="0" w:space="0" w:color="auto"/>
        <w:bottom w:val="none" w:sz="0" w:space="0" w:color="auto"/>
        <w:right w:val="none" w:sz="0" w:space="0" w:color="auto"/>
      </w:divBdr>
    </w:div>
    <w:div w:id="2036468262">
      <w:bodyDiv w:val="1"/>
      <w:marLeft w:val="0"/>
      <w:marRight w:val="0"/>
      <w:marTop w:val="0"/>
      <w:marBottom w:val="0"/>
      <w:divBdr>
        <w:top w:val="none" w:sz="0" w:space="0" w:color="auto"/>
        <w:left w:val="none" w:sz="0" w:space="0" w:color="auto"/>
        <w:bottom w:val="none" w:sz="0" w:space="0" w:color="auto"/>
        <w:right w:val="none" w:sz="0" w:space="0" w:color="auto"/>
      </w:divBdr>
    </w:div>
    <w:div w:id="2036495032">
      <w:bodyDiv w:val="1"/>
      <w:marLeft w:val="0"/>
      <w:marRight w:val="0"/>
      <w:marTop w:val="0"/>
      <w:marBottom w:val="0"/>
      <w:divBdr>
        <w:top w:val="none" w:sz="0" w:space="0" w:color="auto"/>
        <w:left w:val="none" w:sz="0" w:space="0" w:color="auto"/>
        <w:bottom w:val="none" w:sz="0" w:space="0" w:color="auto"/>
        <w:right w:val="none" w:sz="0" w:space="0" w:color="auto"/>
      </w:divBdr>
    </w:div>
    <w:div w:id="2036610472">
      <w:bodyDiv w:val="1"/>
      <w:marLeft w:val="0"/>
      <w:marRight w:val="0"/>
      <w:marTop w:val="0"/>
      <w:marBottom w:val="0"/>
      <w:divBdr>
        <w:top w:val="none" w:sz="0" w:space="0" w:color="auto"/>
        <w:left w:val="none" w:sz="0" w:space="0" w:color="auto"/>
        <w:bottom w:val="none" w:sz="0" w:space="0" w:color="auto"/>
        <w:right w:val="none" w:sz="0" w:space="0" w:color="auto"/>
      </w:divBdr>
    </w:div>
    <w:div w:id="2036686496">
      <w:bodyDiv w:val="1"/>
      <w:marLeft w:val="0"/>
      <w:marRight w:val="0"/>
      <w:marTop w:val="0"/>
      <w:marBottom w:val="0"/>
      <w:divBdr>
        <w:top w:val="none" w:sz="0" w:space="0" w:color="auto"/>
        <w:left w:val="none" w:sz="0" w:space="0" w:color="auto"/>
        <w:bottom w:val="none" w:sz="0" w:space="0" w:color="auto"/>
        <w:right w:val="none" w:sz="0" w:space="0" w:color="auto"/>
      </w:divBdr>
    </w:div>
    <w:div w:id="2036807555">
      <w:bodyDiv w:val="1"/>
      <w:marLeft w:val="0"/>
      <w:marRight w:val="0"/>
      <w:marTop w:val="0"/>
      <w:marBottom w:val="0"/>
      <w:divBdr>
        <w:top w:val="none" w:sz="0" w:space="0" w:color="auto"/>
        <w:left w:val="none" w:sz="0" w:space="0" w:color="auto"/>
        <w:bottom w:val="none" w:sz="0" w:space="0" w:color="auto"/>
        <w:right w:val="none" w:sz="0" w:space="0" w:color="auto"/>
      </w:divBdr>
    </w:div>
    <w:div w:id="2036954635">
      <w:bodyDiv w:val="1"/>
      <w:marLeft w:val="0"/>
      <w:marRight w:val="0"/>
      <w:marTop w:val="0"/>
      <w:marBottom w:val="0"/>
      <w:divBdr>
        <w:top w:val="none" w:sz="0" w:space="0" w:color="auto"/>
        <w:left w:val="none" w:sz="0" w:space="0" w:color="auto"/>
        <w:bottom w:val="none" w:sz="0" w:space="0" w:color="auto"/>
        <w:right w:val="none" w:sz="0" w:space="0" w:color="auto"/>
      </w:divBdr>
    </w:div>
    <w:div w:id="2037151495">
      <w:bodyDiv w:val="1"/>
      <w:marLeft w:val="0"/>
      <w:marRight w:val="0"/>
      <w:marTop w:val="0"/>
      <w:marBottom w:val="0"/>
      <w:divBdr>
        <w:top w:val="none" w:sz="0" w:space="0" w:color="auto"/>
        <w:left w:val="none" w:sz="0" w:space="0" w:color="auto"/>
        <w:bottom w:val="none" w:sz="0" w:space="0" w:color="auto"/>
        <w:right w:val="none" w:sz="0" w:space="0" w:color="auto"/>
      </w:divBdr>
    </w:div>
    <w:div w:id="2037190427">
      <w:bodyDiv w:val="1"/>
      <w:marLeft w:val="0"/>
      <w:marRight w:val="0"/>
      <w:marTop w:val="0"/>
      <w:marBottom w:val="0"/>
      <w:divBdr>
        <w:top w:val="none" w:sz="0" w:space="0" w:color="auto"/>
        <w:left w:val="none" w:sz="0" w:space="0" w:color="auto"/>
        <w:bottom w:val="none" w:sz="0" w:space="0" w:color="auto"/>
        <w:right w:val="none" w:sz="0" w:space="0" w:color="auto"/>
      </w:divBdr>
    </w:div>
    <w:div w:id="2037193091">
      <w:bodyDiv w:val="1"/>
      <w:marLeft w:val="0"/>
      <w:marRight w:val="0"/>
      <w:marTop w:val="0"/>
      <w:marBottom w:val="0"/>
      <w:divBdr>
        <w:top w:val="none" w:sz="0" w:space="0" w:color="auto"/>
        <w:left w:val="none" w:sz="0" w:space="0" w:color="auto"/>
        <w:bottom w:val="none" w:sz="0" w:space="0" w:color="auto"/>
        <w:right w:val="none" w:sz="0" w:space="0" w:color="auto"/>
      </w:divBdr>
    </w:div>
    <w:div w:id="2037194752">
      <w:bodyDiv w:val="1"/>
      <w:marLeft w:val="0"/>
      <w:marRight w:val="0"/>
      <w:marTop w:val="0"/>
      <w:marBottom w:val="0"/>
      <w:divBdr>
        <w:top w:val="none" w:sz="0" w:space="0" w:color="auto"/>
        <w:left w:val="none" w:sz="0" w:space="0" w:color="auto"/>
        <w:bottom w:val="none" w:sz="0" w:space="0" w:color="auto"/>
        <w:right w:val="none" w:sz="0" w:space="0" w:color="auto"/>
      </w:divBdr>
    </w:div>
    <w:div w:id="2037272528">
      <w:bodyDiv w:val="1"/>
      <w:marLeft w:val="0"/>
      <w:marRight w:val="0"/>
      <w:marTop w:val="0"/>
      <w:marBottom w:val="0"/>
      <w:divBdr>
        <w:top w:val="none" w:sz="0" w:space="0" w:color="auto"/>
        <w:left w:val="none" w:sz="0" w:space="0" w:color="auto"/>
        <w:bottom w:val="none" w:sz="0" w:space="0" w:color="auto"/>
        <w:right w:val="none" w:sz="0" w:space="0" w:color="auto"/>
      </w:divBdr>
    </w:div>
    <w:div w:id="2037386499">
      <w:bodyDiv w:val="1"/>
      <w:marLeft w:val="0"/>
      <w:marRight w:val="0"/>
      <w:marTop w:val="0"/>
      <w:marBottom w:val="0"/>
      <w:divBdr>
        <w:top w:val="none" w:sz="0" w:space="0" w:color="auto"/>
        <w:left w:val="none" w:sz="0" w:space="0" w:color="auto"/>
        <w:bottom w:val="none" w:sz="0" w:space="0" w:color="auto"/>
        <w:right w:val="none" w:sz="0" w:space="0" w:color="auto"/>
      </w:divBdr>
    </w:div>
    <w:div w:id="2037390185">
      <w:bodyDiv w:val="1"/>
      <w:marLeft w:val="0"/>
      <w:marRight w:val="0"/>
      <w:marTop w:val="0"/>
      <w:marBottom w:val="0"/>
      <w:divBdr>
        <w:top w:val="none" w:sz="0" w:space="0" w:color="auto"/>
        <w:left w:val="none" w:sz="0" w:space="0" w:color="auto"/>
        <w:bottom w:val="none" w:sz="0" w:space="0" w:color="auto"/>
        <w:right w:val="none" w:sz="0" w:space="0" w:color="auto"/>
      </w:divBdr>
    </w:div>
    <w:div w:id="2037459159">
      <w:bodyDiv w:val="1"/>
      <w:marLeft w:val="0"/>
      <w:marRight w:val="0"/>
      <w:marTop w:val="0"/>
      <w:marBottom w:val="0"/>
      <w:divBdr>
        <w:top w:val="none" w:sz="0" w:space="0" w:color="auto"/>
        <w:left w:val="none" w:sz="0" w:space="0" w:color="auto"/>
        <w:bottom w:val="none" w:sz="0" w:space="0" w:color="auto"/>
        <w:right w:val="none" w:sz="0" w:space="0" w:color="auto"/>
      </w:divBdr>
    </w:div>
    <w:div w:id="2037461537">
      <w:bodyDiv w:val="1"/>
      <w:marLeft w:val="0"/>
      <w:marRight w:val="0"/>
      <w:marTop w:val="0"/>
      <w:marBottom w:val="0"/>
      <w:divBdr>
        <w:top w:val="none" w:sz="0" w:space="0" w:color="auto"/>
        <w:left w:val="none" w:sz="0" w:space="0" w:color="auto"/>
        <w:bottom w:val="none" w:sz="0" w:space="0" w:color="auto"/>
        <w:right w:val="none" w:sz="0" w:space="0" w:color="auto"/>
      </w:divBdr>
    </w:div>
    <w:div w:id="2037535748">
      <w:bodyDiv w:val="1"/>
      <w:marLeft w:val="0"/>
      <w:marRight w:val="0"/>
      <w:marTop w:val="0"/>
      <w:marBottom w:val="0"/>
      <w:divBdr>
        <w:top w:val="none" w:sz="0" w:space="0" w:color="auto"/>
        <w:left w:val="none" w:sz="0" w:space="0" w:color="auto"/>
        <w:bottom w:val="none" w:sz="0" w:space="0" w:color="auto"/>
        <w:right w:val="none" w:sz="0" w:space="0" w:color="auto"/>
      </w:divBdr>
    </w:div>
    <w:div w:id="2037541389">
      <w:bodyDiv w:val="1"/>
      <w:marLeft w:val="0"/>
      <w:marRight w:val="0"/>
      <w:marTop w:val="0"/>
      <w:marBottom w:val="0"/>
      <w:divBdr>
        <w:top w:val="none" w:sz="0" w:space="0" w:color="auto"/>
        <w:left w:val="none" w:sz="0" w:space="0" w:color="auto"/>
        <w:bottom w:val="none" w:sz="0" w:space="0" w:color="auto"/>
        <w:right w:val="none" w:sz="0" w:space="0" w:color="auto"/>
      </w:divBdr>
    </w:div>
    <w:div w:id="2037541834">
      <w:bodyDiv w:val="1"/>
      <w:marLeft w:val="0"/>
      <w:marRight w:val="0"/>
      <w:marTop w:val="0"/>
      <w:marBottom w:val="0"/>
      <w:divBdr>
        <w:top w:val="none" w:sz="0" w:space="0" w:color="auto"/>
        <w:left w:val="none" w:sz="0" w:space="0" w:color="auto"/>
        <w:bottom w:val="none" w:sz="0" w:space="0" w:color="auto"/>
        <w:right w:val="none" w:sz="0" w:space="0" w:color="auto"/>
      </w:divBdr>
    </w:div>
    <w:div w:id="2037653616">
      <w:bodyDiv w:val="1"/>
      <w:marLeft w:val="0"/>
      <w:marRight w:val="0"/>
      <w:marTop w:val="0"/>
      <w:marBottom w:val="0"/>
      <w:divBdr>
        <w:top w:val="none" w:sz="0" w:space="0" w:color="auto"/>
        <w:left w:val="none" w:sz="0" w:space="0" w:color="auto"/>
        <w:bottom w:val="none" w:sz="0" w:space="0" w:color="auto"/>
        <w:right w:val="none" w:sz="0" w:space="0" w:color="auto"/>
      </w:divBdr>
    </w:div>
    <w:div w:id="2037734221">
      <w:bodyDiv w:val="1"/>
      <w:marLeft w:val="0"/>
      <w:marRight w:val="0"/>
      <w:marTop w:val="0"/>
      <w:marBottom w:val="0"/>
      <w:divBdr>
        <w:top w:val="none" w:sz="0" w:space="0" w:color="auto"/>
        <w:left w:val="none" w:sz="0" w:space="0" w:color="auto"/>
        <w:bottom w:val="none" w:sz="0" w:space="0" w:color="auto"/>
        <w:right w:val="none" w:sz="0" w:space="0" w:color="auto"/>
      </w:divBdr>
    </w:div>
    <w:div w:id="2037808714">
      <w:bodyDiv w:val="1"/>
      <w:marLeft w:val="0"/>
      <w:marRight w:val="0"/>
      <w:marTop w:val="0"/>
      <w:marBottom w:val="0"/>
      <w:divBdr>
        <w:top w:val="none" w:sz="0" w:space="0" w:color="auto"/>
        <w:left w:val="none" w:sz="0" w:space="0" w:color="auto"/>
        <w:bottom w:val="none" w:sz="0" w:space="0" w:color="auto"/>
        <w:right w:val="none" w:sz="0" w:space="0" w:color="auto"/>
      </w:divBdr>
    </w:div>
    <w:div w:id="2037845173">
      <w:bodyDiv w:val="1"/>
      <w:marLeft w:val="0"/>
      <w:marRight w:val="0"/>
      <w:marTop w:val="0"/>
      <w:marBottom w:val="0"/>
      <w:divBdr>
        <w:top w:val="none" w:sz="0" w:space="0" w:color="auto"/>
        <w:left w:val="none" w:sz="0" w:space="0" w:color="auto"/>
        <w:bottom w:val="none" w:sz="0" w:space="0" w:color="auto"/>
        <w:right w:val="none" w:sz="0" w:space="0" w:color="auto"/>
      </w:divBdr>
    </w:div>
    <w:div w:id="2037845485">
      <w:bodyDiv w:val="1"/>
      <w:marLeft w:val="0"/>
      <w:marRight w:val="0"/>
      <w:marTop w:val="0"/>
      <w:marBottom w:val="0"/>
      <w:divBdr>
        <w:top w:val="none" w:sz="0" w:space="0" w:color="auto"/>
        <w:left w:val="none" w:sz="0" w:space="0" w:color="auto"/>
        <w:bottom w:val="none" w:sz="0" w:space="0" w:color="auto"/>
        <w:right w:val="none" w:sz="0" w:space="0" w:color="auto"/>
      </w:divBdr>
    </w:div>
    <w:div w:id="2037926045">
      <w:bodyDiv w:val="1"/>
      <w:marLeft w:val="0"/>
      <w:marRight w:val="0"/>
      <w:marTop w:val="0"/>
      <w:marBottom w:val="0"/>
      <w:divBdr>
        <w:top w:val="none" w:sz="0" w:space="0" w:color="auto"/>
        <w:left w:val="none" w:sz="0" w:space="0" w:color="auto"/>
        <w:bottom w:val="none" w:sz="0" w:space="0" w:color="auto"/>
        <w:right w:val="none" w:sz="0" w:space="0" w:color="auto"/>
      </w:divBdr>
    </w:div>
    <w:div w:id="2037997284">
      <w:bodyDiv w:val="1"/>
      <w:marLeft w:val="0"/>
      <w:marRight w:val="0"/>
      <w:marTop w:val="0"/>
      <w:marBottom w:val="0"/>
      <w:divBdr>
        <w:top w:val="none" w:sz="0" w:space="0" w:color="auto"/>
        <w:left w:val="none" w:sz="0" w:space="0" w:color="auto"/>
        <w:bottom w:val="none" w:sz="0" w:space="0" w:color="auto"/>
        <w:right w:val="none" w:sz="0" w:space="0" w:color="auto"/>
      </w:divBdr>
    </w:div>
    <w:div w:id="2038240051">
      <w:bodyDiv w:val="1"/>
      <w:marLeft w:val="0"/>
      <w:marRight w:val="0"/>
      <w:marTop w:val="0"/>
      <w:marBottom w:val="0"/>
      <w:divBdr>
        <w:top w:val="none" w:sz="0" w:space="0" w:color="auto"/>
        <w:left w:val="none" w:sz="0" w:space="0" w:color="auto"/>
        <w:bottom w:val="none" w:sz="0" w:space="0" w:color="auto"/>
        <w:right w:val="none" w:sz="0" w:space="0" w:color="auto"/>
      </w:divBdr>
    </w:div>
    <w:div w:id="2038307902">
      <w:bodyDiv w:val="1"/>
      <w:marLeft w:val="0"/>
      <w:marRight w:val="0"/>
      <w:marTop w:val="0"/>
      <w:marBottom w:val="0"/>
      <w:divBdr>
        <w:top w:val="none" w:sz="0" w:space="0" w:color="auto"/>
        <w:left w:val="none" w:sz="0" w:space="0" w:color="auto"/>
        <w:bottom w:val="none" w:sz="0" w:space="0" w:color="auto"/>
        <w:right w:val="none" w:sz="0" w:space="0" w:color="auto"/>
      </w:divBdr>
    </w:div>
    <w:div w:id="2038308904">
      <w:bodyDiv w:val="1"/>
      <w:marLeft w:val="0"/>
      <w:marRight w:val="0"/>
      <w:marTop w:val="0"/>
      <w:marBottom w:val="0"/>
      <w:divBdr>
        <w:top w:val="none" w:sz="0" w:space="0" w:color="auto"/>
        <w:left w:val="none" w:sz="0" w:space="0" w:color="auto"/>
        <w:bottom w:val="none" w:sz="0" w:space="0" w:color="auto"/>
        <w:right w:val="none" w:sz="0" w:space="0" w:color="auto"/>
      </w:divBdr>
    </w:div>
    <w:div w:id="2038575043">
      <w:bodyDiv w:val="1"/>
      <w:marLeft w:val="0"/>
      <w:marRight w:val="0"/>
      <w:marTop w:val="0"/>
      <w:marBottom w:val="0"/>
      <w:divBdr>
        <w:top w:val="none" w:sz="0" w:space="0" w:color="auto"/>
        <w:left w:val="none" w:sz="0" w:space="0" w:color="auto"/>
        <w:bottom w:val="none" w:sz="0" w:space="0" w:color="auto"/>
        <w:right w:val="none" w:sz="0" w:space="0" w:color="auto"/>
      </w:divBdr>
    </w:div>
    <w:div w:id="2038651526">
      <w:bodyDiv w:val="1"/>
      <w:marLeft w:val="0"/>
      <w:marRight w:val="0"/>
      <w:marTop w:val="0"/>
      <w:marBottom w:val="0"/>
      <w:divBdr>
        <w:top w:val="none" w:sz="0" w:space="0" w:color="auto"/>
        <w:left w:val="none" w:sz="0" w:space="0" w:color="auto"/>
        <w:bottom w:val="none" w:sz="0" w:space="0" w:color="auto"/>
        <w:right w:val="none" w:sz="0" w:space="0" w:color="auto"/>
      </w:divBdr>
    </w:div>
    <w:div w:id="2038696388">
      <w:bodyDiv w:val="1"/>
      <w:marLeft w:val="0"/>
      <w:marRight w:val="0"/>
      <w:marTop w:val="0"/>
      <w:marBottom w:val="0"/>
      <w:divBdr>
        <w:top w:val="none" w:sz="0" w:space="0" w:color="auto"/>
        <w:left w:val="none" w:sz="0" w:space="0" w:color="auto"/>
        <w:bottom w:val="none" w:sz="0" w:space="0" w:color="auto"/>
        <w:right w:val="none" w:sz="0" w:space="0" w:color="auto"/>
      </w:divBdr>
    </w:div>
    <w:div w:id="2038698075">
      <w:bodyDiv w:val="1"/>
      <w:marLeft w:val="0"/>
      <w:marRight w:val="0"/>
      <w:marTop w:val="0"/>
      <w:marBottom w:val="0"/>
      <w:divBdr>
        <w:top w:val="none" w:sz="0" w:space="0" w:color="auto"/>
        <w:left w:val="none" w:sz="0" w:space="0" w:color="auto"/>
        <w:bottom w:val="none" w:sz="0" w:space="0" w:color="auto"/>
        <w:right w:val="none" w:sz="0" w:space="0" w:color="auto"/>
      </w:divBdr>
    </w:div>
    <w:div w:id="2038892415">
      <w:bodyDiv w:val="1"/>
      <w:marLeft w:val="0"/>
      <w:marRight w:val="0"/>
      <w:marTop w:val="0"/>
      <w:marBottom w:val="0"/>
      <w:divBdr>
        <w:top w:val="none" w:sz="0" w:space="0" w:color="auto"/>
        <w:left w:val="none" w:sz="0" w:space="0" w:color="auto"/>
        <w:bottom w:val="none" w:sz="0" w:space="0" w:color="auto"/>
        <w:right w:val="none" w:sz="0" w:space="0" w:color="auto"/>
      </w:divBdr>
    </w:div>
    <w:div w:id="2038922444">
      <w:bodyDiv w:val="1"/>
      <w:marLeft w:val="0"/>
      <w:marRight w:val="0"/>
      <w:marTop w:val="0"/>
      <w:marBottom w:val="0"/>
      <w:divBdr>
        <w:top w:val="none" w:sz="0" w:space="0" w:color="auto"/>
        <w:left w:val="none" w:sz="0" w:space="0" w:color="auto"/>
        <w:bottom w:val="none" w:sz="0" w:space="0" w:color="auto"/>
        <w:right w:val="none" w:sz="0" w:space="0" w:color="auto"/>
      </w:divBdr>
    </w:div>
    <w:div w:id="2039040122">
      <w:bodyDiv w:val="1"/>
      <w:marLeft w:val="0"/>
      <w:marRight w:val="0"/>
      <w:marTop w:val="0"/>
      <w:marBottom w:val="0"/>
      <w:divBdr>
        <w:top w:val="none" w:sz="0" w:space="0" w:color="auto"/>
        <w:left w:val="none" w:sz="0" w:space="0" w:color="auto"/>
        <w:bottom w:val="none" w:sz="0" w:space="0" w:color="auto"/>
        <w:right w:val="none" w:sz="0" w:space="0" w:color="auto"/>
      </w:divBdr>
    </w:div>
    <w:div w:id="2039045882">
      <w:bodyDiv w:val="1"/>
      <w:marLeft w:val="0"/>
      <w:marRight w:val="0"/>
      <w:marTop w:val="0"/>
      <w:marBottom w:val="0"/>
      <w:divBdr>
        <w:top w:val="none" w:sz="0" w:space="0" w:color="auto"/>
        <w:left w:val="none" w:sz="0" w:space="0" w:color="auto"/>
        <w:bottom w:val="none" w:sz="0" w:space="0" w:color="auto"/>
        <w:right w:val="none" w:sz="0" w:space="0" w:color="auto"/>
      </w:divBdr>
    </w:div>
    <w:div w:id="2039088036">
      <w:bodyDiv w:val="1"/>
      <w:marLeft w:val="0"/>
      <w:marRight w:val="0"/>
      <w:marTop w:val="0"/>
      <w:marBottom w:val="0"/>
      <w:divBdr>
        <w:top w:val="none" w:sz="0" w:space="0" w:color="auto"/>
        <w:left w:val="none" w:sz="0" w:space="0" w:color="auto"/>
        <w:bottom w:val="none" w:sz="0" w:space="0" w:color="auto"/>
        <w:right w:val="none" w:sz="0" w:space="0" w:color="auto"/>
      </w:divBdr>
    </w:div>
    <w:div w:id="2039112889">
      <w:bodyDiv w:val="1"/>
      <w:marLeft w:val="0"/>
      <w:marRight w:val="0"/>
      <w:marTop w:val="0"/>
      <w:marBottom w:val="0"/>
      <w:divBdr>
        <w:top w:val="none" w:sz="0" w:space="0" w:color="auto"/>
        <w:left w:val="none" w:sz="0" w:space="0" w:color="auto"/>
        <w:bottom w:val="none" w:sz="0" w:space="0" w:color="auto"/>
        <w:right w:val="none" w:sz="0" w:space="0" w:color="auto"/>
      </w:divBdr>
    </w:div>
    <w:div w:id="2039113702">
      <w:bodyDiv w:val="1"/>
      <w:marLeft w:val="0"/>
      <w:marRight w:val="0"/>
      <w:marTop w:val="0"/>
      <w:marBottom w:val="0"/>
      <w:divBdr>
        <w:top w:val="none" w:sz="0" w:space="0" w:color="auto"/>
        <w:left w:val="none" w:sz="0" w:space="0" w:color="auto"/>
        <w:bottom w:val="none" w:sz="0" w:space="0" w:color="auto"/>
        <w:right w:val="none" w:sz="0" w:space="0" w:color="auto"/>
      </w:divBdr>
    </w:div>
    <w:div w:id="2039577609">
      <w:bodyDiv w:val="1"/>
      <w:marLeft w:val="0"/>
      <w:marRight w:val="0"/>
      <w:marTop w:val="0"/>
      <w:marBottom w:val="0"/>
      <w:divBdr>
        <w:top w:val="none" w:sz="0" w:space="0" w:color="auto"/>
        <w:left w:val="none" w:sz="0" w:space="0" w:color="auto"/>
        <w:bottom w:val="none" w:sz="0" w:space="0" w:color="auto"/>
        <w:right w:val="none" w:sz="0" w:space="0" w:color="auto"/>
      </w:divBdr>
    </w:div>
    <w:div w:id="2039696994">
      <w:bodyDiv w:val="1"/>
      <w:marLeft w:val="0"/>
      <w:marRight w:val="0"/>
      <w:marTop w:val="0"/>
      <w:marBottom w:val="0"/>
      <w:divBdr>
        <w:top w:val="none" w:sz="0" w:space="0" w:color="auto"/>
        <w:left w:val="none" w:sz="0" w:space="0" w:color="auto"/>
        <w:bottom w:val="none" w:sz="0" w:space="0" w:color="auto"/>
        <w:right w:val="none" w:sz="0" w:space="0" w:color="auto"/>
      </w:divBdr>
    </w:div>
    <w:div w:id="2039700470">
      <w:bodyDiv w:val="1"/>
      <w:marLeft w:val="0"/>
      <w:marRight w:val="0"/>
      <w:marTop w:val="0"/>
      <w:marBottom w:val="0"/>
      <w:divBdr>
        <w:top w:val="none" w:sz="0" w:space="0" w:color="auto"/>
        <w:left w:val="none" w:sz="0" w:space="0" w:color="auto"/>
        <w:bottom w:val="none" w:sz="0" w:space="0" w:color="auto"/>
        <w:right w:val="none" w:sz="0" w:space="0" w:color="auto"/>
      </w:divBdr>
    </w:div>
    <w:div w:id="2039768135">
      <w:bodyDiv w:val="1"/>
      <w:marLeft w:val="0"/>
      <w:marRight w:val="0"/>
      <w:marTop w:val="0"/>
      <w:marBottom w:val="0"/>
      <w:divBdr>
        <w:top w:val="none" w:sz="0" w:space="0" w:color="auto"/>
        <w:left w:val="none" w:sz="0" w:space="0" w:color="auto"/>
        <w:bottom w:val="none" w:sz="0" w:space="0" w:color="auto"/>
        <w:right w:val="none" w:sz="0" w:space="0" w:color="auto"/>
      </w:divBdr>
    </w:div>
    <w:div w:id="2039814174">
      <w:bodyDiv w:val="1"/>
      <w:marLeft w:val="0"/>
      <w:marRight w:val="0"/>
      <w:marTop w:val="0"/>
      <w:marBottom w:val="0"/>
      <w:divBdr>
        <w:top w:val="none" w:sz="0" w:space="0" w:color="auto"/>
        <w:left w:val="none" w:sz="0" w:space="0" w:color="auto"/>
        <w:bottom w:val="none" w:sz="0" w:space="0" w:color="auto"/>
        <w:right w:val="none" w:sz="0" w:space="0" w:color="auto"/>
      </w:divBdr>
    </w:div>
    <w:div w:id="2039814973">
      <w:bodyDiv w:val="1"/>
      <w:marLeft w:val="0"/>
      <w:marRight w:val="0"/>
      <w:marTop w:val="0"/>
      <w:marBottom w:val="0"/>
      <w:divBdr>
        <w:top w:val="none" w:sz="0" w:space="0" w:color="auto"/>
        <w:left w:val="none" w:sz="0" w:space="0" w:color="auto"/>
        <w:bottom w:val="none" w:sz="0" w:space="0" w:color="auto"/>
        <w:right w:val="none" w:sz="0" w:space="0" w:color="auto"/>
      </w:divBdr>
    </w:div>
    <w:div w:id="2039962122">
      <w:bodyDiv w:val="1"/>
      <w:marLeft w:val="0"/>
      <w:marRight w:val="0"/>
      <w:marTop w:val="0"/>
      <w:marBottom w:val="0"/>
      <w:divBdr>
        <w:top w:val="none" w:sz="0" w:space="0" w:color="auto"/>
        <w:left w:val="none" w:sz="0" w:space="0" w:color="auto"/>
        <w:bottom w:val="none" w:sz="0" w:space="0" w:color="auto"/>
        <w:right w:val="none" w:sz="0" w:space="0" w:color="auto"/>
      </w:divBdr>
    </w:div>
    <w:div w:id="2039966668">
      <w:bodyDiv w:val="1"/>
      <w:marLeft w:val="0"/>
      <w:marRight w:val="0"/>
      <w:marTop w:val="0"/>
      <w:marBottom w:val="0"/>
      <w:divBdr>
        <w:top w:val="none" w:sz="0" w:space="0" w:color="auto"/>
        <w:left w:val="none" w:sz="0" w:space="0" w:color="auto"/>
        <w:bottom w:val="none" w:sz="0" w:space="0" w:color="auto"/>
        <w:right w:val="none" w:sz="0" w:space="0" w:color="auto"/>
      </w:divBdr>
    </w:div>
    <w:div w:id="2040005597">
      <w:bodyDiv w:val="1"/>
      <w:marLeft w:val="0"/>
      <w:marRight w:val="0"/>
      <w:marTop w:val="0"/>
      <w:marBottom w:val="0"/>
      <w:divBdr>
        <w:top w:val="none" w:sz="0" w:space="0" w:color="auto"/>
        <w:left w:val="none" w:sz="0" w:space="0" w:color="auto"/>
        <w:bottom w:val="none" w:sz="0" w:space="0" w:color="auto"/>
        <w:right w:val="none" w:sz="0" w:space="0" w:color="auto"/>
      </w:divBdr>
    </w:div>
    <w:div w:id="2040007937">
      <w:bodyDiv w:val="1"/>
      <w:marLeft w:val="0"/>
      <w:marRight w:val="0"/>
      <w:marTop w:val="0"/>
      <w:marBottom w:val="0"/>
      <w:divBdr>
        <w:top w:val="none" w:sz="0" w:space="0" w:color="auto"/>
        <w:left w:val="none" w:sz="0" w:space="0" w:color="auto"/>
        <w:bottom w:val="none" w:sz="0" w:space="0" w:color="auto"/>
        <w:right w:val="none" w:sz="0" w:space="0" w:color="auto"/>
      </w:divBdr>
    </w:div>
    <w:div w:id="2040083888">
      <w:bodyDiv w:val="1"/>
      <w:marLeft w:val="0"/>
      <w:marRight w:val="0"/>
      <w:marTop w:val="0"/>
      <w:marBottom w:val="0"/>
      <w:divBdr>
        <w:top w:val="none" w:sz="0" w:space="0" w:color="auto"/>
        <w:left w:val="none" w:sz="0" w:space="0" w:color="auto"/>
        <w:bottom w:val="none" w:sz="0" w:space="0" w:color="auto"/>
        <w:right w:val="none" w:sz="0" w:space="0" w:color="auto"/>
      </w:divBdr>
    </w:div>
    <w:div w:id="2040156611">
      <w:bodyDiv w:val="1"/>
      <w:marLeft w:val="0"/>
      <w:marRight w:val="0"/>
      <w:marTop w:val="0"/>
      <w:marBottom w:val="0"/>
      <w:divBdr>
        <w:top w:val="none" w:sz="0" w:space="0" w:color="auto"/>
        <w:left w:val="none" w:sz="0" w:space="0" w:color="auto"/>
        <w:bottom w:val="none" w:sz="0" w:space="0" w:color="auto"/>
        <w:right w:val="none" w:sz="0" w:space="0" w:color="auto"/>
      </w:divBdr>
    </w:div>
    <w:div w:id="2040201611">
      <w:bodyDiv w:val="1"/>
      <w:marLeft w:val="0"/>
      <w:marRight w:val="0"/>
      <w:marTop w:val="0"/>
      <w:marBottom w:val="0"/>
      <w:divBdr>
        <w:top w:val="none" w:sz="0" w:space="0" w:color="auto"/>
        <w:left w:val="none" w:sz="0" w:space="0" w:color="auto"/>
        <w:bottom w:val="none" w:sz="0" w:space="0" w:color="auto"/>
        <w:right w:val="none" w:sz="0" w:space="0" w:color="auto"/>
      </w:divBdr>
    </w:div>
    <w:div w:id="2040233092">
      <w:bodyDiv w:val="1"/>
      <w:marLeft w:val="0"/>
      <w:marRight w:val="0"/>
      <w:marTop w:val="0"/>
      <w:marBottom w:val="0"/>
      <w:divBdr>
        <w:top w:val="none" w:sz="0" w:space="0" w:color="auto"/>
        <w:left w:val="none" w:sz="0" w:space="0" w:color="auto"/>
        <w:bottom w:val="none" w:sz="0" w:space="0" w:color="auto"/>
        <w:right w:val="none" w:sz="0" w:space="0" w:color="auto"/>
      </w:divBdr>
    </w:div>
    <w:div w:id="2040473358">
      <w:bodyDiv w:val="1"/>
      <w:marLeft w:val="0"/>
      <w:marRight w:val="0"/>
      <w:marTop w:val="0"/>
      <w:marBottom w:val="0"/>
      <w:divBdr>
        <w:top w:val="none" w:sz="0" w:space="0" w:color="auto"/>
        <w:left w:val="none" w:sz="0" w:space="0" w:color="auto"/>
        <w:bottom w:val="none" w:sz="0" w:space="0" w:color="auto"/>
        <w:right w:val="none" w:sz="0" w:space="0" w:color="auto"/>
      </w:divBdr>
    </w:div>
    <w:div w:id="2040544683">
      <w:bodyDiv w:val="1"/>
      <w:marLeft w:val="0"/>
      <w:marRight w:val="0"/>
      <w:marTop w:val="0"/>
      <w:marBottom w:val="0"/>
      <w:divBdr>
        <w:top w:val="none" w:sz="0" w:space="0" w:color="auto"/>
        <w:left w:val="none" w:sz="0" w:space="0" w:color="auto"/>
        <w:bottom w:val="none" w:sz="0" w:space="0" w:color="auto"/>
        <w:right w:val="none" w:sz="0" w:space="0" w:color="auto"/>
      </w:divBdr>
    </w:div>
    <w:div w:id="2040545925">
      <w:bodyDiv w:val="1"/>
      <w:marLeft w:val="0"/>
      <w:marRight w:val="0"/>
      <w:marTop w:val="0"/>
      <w:marBottom w:val="0"/>
      <w:divBdr>
        <w:top w:val="none" w:sz="0" w:space="0" w:color="auto"/>
        <w:left w:val="none" w:sz="0" w:space="0" w:color="auto"/>
        <w:bottom w:val="none" w:sz="0" w:space="0" w:color="auto"/>
        <w:right w:val="none" w:sz="0" w:space="0" w:color="auto"/>
      </w:divBdr>
    </w:div>
    <w:div w:id="2040617658">
      <w:bodyDiv w:val="1"/>
      <w:marLeft w:val="0"/>
      <w:marRight w:val="0"/>
      <w:marTop w:val="0"/>
      <w:marBottom w:val="0"/>
      <w:divBdr>
        <w:top w:val="none" w:sz="0" w:space="0" w:color="auto"/>
        <w:left w:val="none" w:sz="0" w:space="0" w:color="auto"/>
        <w:bottom w:val="none" w:sz="0" w:space="0" w:color="auto"/>
        <w:right w:val="none" w:sz="0" w:space="0" w:color="auto"/>
      </w:divBdr>
    </w:div>
    <w:div w:id="2040692516">
      <w:bodyDiv w:val="1"/>
      <w:marLeft w:val="0"/>
      <w:marRight w:val="0"/>
      <w:marTop w:val="0"/>
      <w:marBottom w:val="0"/>
      <w:divBdr>
        <w:top w:val="none" w:sz="0" w:space="0" w:color="auto"/>
        <w:left w:val="none" w:sz="0" w:space="0" w:color="auto"/>
        <w:bottom w:val="none" w:sz="0" w:space="0" w:color="auto"/>
        <w:right w:val="none" w:sz="0" w:space="0" w:color="auto"/>
      </w:divBdr>
    </w:div>
    <w:div w:id="2040735947">
      <w:bodyDiv w:val="1"/>
      <w:marLeft w:val="0"/>
      <w:marRight w:val="0"/>
      <w:marTop w:val="0"/>
      <w:marBottom w:val="0"/>
      <w:divBdr>
        <w:top w:val="none" w:sz="0" w:space="0" w:color="auto"/>
        <w:left w:val="none" w:sz="0" w:space="0" w:color="auto"/>
        <w:bottom w:val="none" w:sz="0" w:space="0" w:color="auto"/>
        <w:right w:val="none" w:sz="0" w:space="0" w:color="auto"/>
      </w:divBdr>
    </w:div>
    <w:div w:id="2040737302">
      <w:bodyDiv w:val="1"/>
      <w:marLeft w:val="0"/>
      <w:marRight w:val="0"/>
      <w:marTop w:val="0"/>
      <w:marBottom w:val="0"/>
      <w:divBdr>
        <w:top w:val="none" w:sz="0" w:space="0" w:color="auto"/>
        <w:left w:val="none" w:sz="0" w:space="0" w:color="auto"/>
        <w:bottom w:val="none" w:sz="0" w:space="0" w:color="auto"/>
        <w:right w:val="none" w:sz="0" w:space="0" w:color="auto"/>
      </w:divBdr>
    </w:div>
    <w:div w:id="2040815895">
      <w:bodyDiv w:val="1"/>
      <w:marLeft w:val="0"/>
      <w:marRight w:val="0"/>
      <w:marTop w:val="0"/>
      <w:marBottom w:val="0"/>
      <w:divBdr>
        <w:top w:val="none" w:sz="0" w:space="0" w:color="auto"/>
        <w:left w:val="none" w:sz="0" w:space="0" w:color="auto"/>
        <w:bottom w:val="none" w:sz="0" w:space="0" w:color="auto"/>
        <w:right w:val="none" w:sz="0" w:space="0" w:color="auto"/>
      </w:divBdr>
    </w:div>
    <w:div w:id="2040817540">
      <w:bodyDiv w:val="1"/>
      <w:marLeft w:val="0"/>
      <w:marRight w:val="0"/>
      <w:marTop w:val="0"/>
      <w:marBottom w:val="0"/>
      <w:divBdr>
        <w:top w:val="none" w:sz="0" w:space="0" w:color="auto"/>
        <w:left w:val="none" w:sz="0" w:space="0" w:color="auto"/>
        <w:bottom w:val="none" w:sz="0" w:space="0" w:color="auto"/>
        <w:right w:val="none" w:sz="0" w:space="0" w:color="auto"/>
      </w:divBdr>
    </w:div>
    <w:div w:id="2040860504">
      <w:bodyDiv w:val="1"/>
      <w:marLeft w:val="0"/>
      <w:marRight w:val="0"/>
      <w:marTop w:val="0"/>
      <w:marBottom w:val="0"/>
      <w:divBdr>
        <w:top w:val="none" w:sz="0" w:space="0" w:color="auto"/>
        <w:left w:val="none" w:sz="0" w:space="0" w:color="auto"/>
        <w:bottom w:val="none" w:sz="0" w:space="0" w:color="auto"/>
        <w:right w:val="none" w:sz="0" w:space="0" w:color="auto"/>
      </w:divBdr>
    </w:div>
    <w:div w:id="2040933587">
      <w:bodyDiv w:val="1"/>
      <w:marLeft w:val="0"/>
      <w:marRight w:val="0"/>
      <w:marTop w:val="0"/>
      <w:marBottom w:val="0"/>
      <w:divBdr>
        <w:top w:val="none" w:sz="0" w:space="0" w:color="auto"/>
        <w:left w:val="none" w:sz="0" w:space="0" w:color="auto"/>
        <w:bottom w:val="none" w:sz="0" w:space="0" w:color="auto"/>
        <w:right w:val="none" w:sz="0" w:space="0" w:color="auto"/>
      </w:divBdr>
    </w:div>
    <w:div w:id="2041204226">
      <w:bodyDiv w:val="1"/>
      <w:marLeft w:val="0"/>
      <w:marRight w:val="0"/>
      <w:marTop w:val="0"/>
      <w:marBottom w:val="0"/>
      <w:divBdr>
        <w:top w:val="none" w:sz="0" w:space="0" w:color="auto"/>
        <w:left w:val="none" w:sz="0" w:space="0" w:color="auto"/>
        <w:bottom w:val="none" w:sz="0" w:space="0" w:color="auto"/>
        <w:right w:val="none" w:sz="0" w:space="0" w:color="auto"/>
      </w:divBdr>
    </w:div>
    <w:div w:id="2041205621">
      <w:bodyDiv w:val="1"/>
      <w:marLeft w:val="0"/>
      <w:marRight w:val="0"/>
      <w:marTop w:val="0"/>
      <w:marBottom w:val="0"/>
      <w:divBdr>
        <w:top w:val="none" w:sz="0" w:space="0" w:color="auto"/>
        <w:left w:val="none" w:sz="0" w:space="0" w:color="auto"/>
        <w:bottom w:val="none" w:sz="0" w:space="0" w:color="auto"/>
        <w:right w:val="none" w:sz="0" w:space="0" w:color="auto"/>
      </w:divBdr>
    </w:div>
    <w:div w:id="2041280276">
      <w:bodyDiv w:val="1"/>
      <w:marLeft w:val="0"/>
      <w:marRight w:val="0"/>
      <w:marTop w:val="0"/>
      <w:marBottom w:val="0"/>
      <w:divBdr>
        <w:top w:val="none" w:sz="0" w:space="0" w:color="auto"/>
        <w:left w:val="none" w:sz="0" w:space="0" w:color="auto"/>
        <w:bottom w:val="none" w:sz="0" w:space="0" w:color="auto"/>
        <w:right w:val="none" w:sz="0" w:space="0" w:color="auto"/>
      </w:divBdr>
    </w:div>
    <w:div w:id="2041316673">
      <w:bodyDiv w:val="1"/>
      <w:marLeft w:val="0"/>
      <w:marRight w:val="0"/>
      <w:marTop w:val="0"/>
      <w:marBottom w:val="0"/>
      <w:divBdr>
        <w:top w:val="none" w:sz="0" w:space="0" w:color="auto"/>
        <w:left w:val="none" w:sz="0" w:space="0" w:color="auto"/>
        <w:bottom w:val="none" w:sz="0" w:space="0" w:color="auto"/>
        <w:right w:val="none" w:sz="0" w:space="0" w:color="auto"/>
      </w:divBdr>
    </w:div>
    <w:div w:id="2041320392">
      <w:bodyDiv w:val="1"/>
      <w:marLeft w:val="0"/>
      <w:marRight w:val="0"/>
      <w:marTop w:val="0"/>
      <w:marBottom w:val="0"/>
      <w:divBdr>
        <w:top w:val="none" w:sz="0" w:space="0" w:color="auto"/>
        <w:left w:val="none" w:sz="0" w:space="0" w:color="auto"/>
        <w:bottom w:val="none" w:sz="0" w:space="0" w:color="auto"/>
        <w:right w:val="none" w:sz="0" w:space="0" w:color="auto"/>
      </w:divBdr>
    </w:div>
    <w:div w:id="2041391825">
      <w:bodyDiv w:val="1"/>
      <w:marLeft w:val="0"/>
      <w:marRight w:val="0"/>
      <w:marTop w:val="0"/>
      <w:marBottom w:val="0"/>
      <w:divBdr>
        <w:top w:val="none" w:sz="0" w:space="0" w:color="auto"/>
        <w:left w:val="none" w:sz="0" w:space="0" w:color="auto"/>
        <w:bottom w:val="none" w:sz="0" w:space="0" w:color="auto"/>
        <w:right w:val="none" w:sz="0" w:space="0" w:color="auto"/>
      </w:divBdr>
    </w:div>
    <w:div w:id="2041515216">
      <w:bodyDiv w:val="1"/>
      <w:marLeft w:val="0"/>
      <w:marRight w:val="0"/>
      <w:marTop w:val="0"/>
      <w:marBottom w:val="0"/>
      <w:divBdr>
        <w:top w:val="none" w:sz="0" w:space="0" w:color="auto"/>
        <w:left w:val="none" w:sz="0" w:space="0" w:color="auto"/>
        <w:bottom w:val="none" w:sz="0" w:space="0" w:color="auto"/>
        <w:right w:val="none" w:sz="0" w:space="0" w:color="auto"/>
      </w:divBdr>
    </w:div>
    <w:div w:id="2041592157">
      <w:bodyDiv w:val="1"/>
      <w:marLeft w:val="0"/>
      <w:marRight w:val="0"/>
      <w:marTop w:val="0"/>
      <w:marBottom w:val="0"/>
      <w:divBdr>
        <w:top w:val="none" w:sz="0" w:space="0" w:color="auto"/>
        <w:left w:val="none" w:sz="0" w:space="0" w:color="auto"/>
        <w:bottom w:val="none" w:sz="0" w:space="0" w:color="auto"/>
        <w:right w:val="none" w:sz="0" w:space="0" w:color="auto"/>
      </w:divBdr>
    </w:div>
    <w:div w:id="2041667722">
      <w:bodyDiv w:val="1"/>
      <w:marLeft w:val="0"/>
      <w:marRight w:val="0"/>
      <w:marTop w:val="0"/>
      <w:marBottom w:val="0"/>
      <w:divBdr>
        <w:top w:val="none" w:sz="0" w:space="0" w:color="auto"/>
        <w:left w:val="none" w:sz="0" w:space="0" w:color="auto"/>
        <w:bottom w:val="none" w:sz="0" w:space="0" w:color="auto"/>
        <w:right w:val="none" w:sz="0" w:space="0" w:color="auto"/>
      </w:divBdr>
    </w:div>
    <w:div w:id="2041737137">
      <w:bodyDiv w:val="1"/>
      <w:marLeft w:val="0"/>
      <w:marRight w:val="0"/>
      <w:marTop w:val="0"/>
      <w:marBottom w:val="0"/>
      <w:divBdr>
        <w:top w:val="none" w:sz="0" w:space="0" w:color="auto"/>
        <w:left w:val="none" w:sz="0" w:space="0" w:color="auto"/>
        <w:bottom w:val="none" w:sz="0" w:space="0" w:color="auto"/>
        <w:right w:val="none" w:sz="0" w:space="0" w:color="auto"/>
      </w:divBdr>
    </w:div>
    <w:div w:id="2041781508">
      <w:bodyDiv w:val="1"/>
      <w:marLeft w:val="0"/>
      <w:marRight w:val="0"/>
      <w:marTop w:val="0"/>
      <w:marBottom w:val="0"/>
      <w:divBdr>
        <w:top w:val="none" w:sz="0" w:space="0" w:color="auto"/>
        <w:left w:val="none" w:sz="0" w:space="0" w:color="auto"/>
        <w:bottom w:val="none" w:sz="0" w:space="0" w:color="auto"/>
        <w:right w:val="none" w:sz="0" w:space="0" w:color="auto"/>
      </w:divBdr>
    </w:div>
    <w:div w:id="2041928555">
      <w:bodyDiv w:val="1"/>
      <w:marLeft w:val="0"/>
      <w:marRight w:val="0"/>
      <w:marTop w:val="0"/>
      <w:marBottom w:val="0"/>
      <w:divBdr>
        <w:top w:val="none" w:sz="0" w:space="0" w:color="auto"/>
        <w:left w:val="none" w:sz="0" w:space="0" w:color="auto"/>
        <w:bottom w:val="none" w:sz="0" w:space="0" w:color="auto"/>
        <w:right w:val="none" w:sz="0" w:space="0" w:color="auto"/>
      </w:divBdr>
    </w:div>
    <w:div w:id="2041971141">
      <w:bodyDiv w:val="1"/>
      <w:marLeft w:val="0"/>
      <w:marRight w:val="0"/>
      <w:marTop w:val="0"/>
      <w:marBottom w:val="0"/>
      <w:divBdr>
        <w:top w:val="none" w:sz="0" w:space="0" w:color="auto"/>
        <w:left w:val="none" w:sz="0" w:space="0" w:color="auto"/>
        <w:bottom w:val="none" w:sz="0" w:space="0" w:color="auto"/>
        <w:right w:val="none" w:sz="0" w:space="0" w:color="auto"/>
      </w:divBdr>
    </w:div>
    <w:div w:id="2041973452">
      <w:bodyDiv w:val="1"/>
      <w:marLeft w:val="0"/>
      <w:marRight w:val="0"/>
      <w:marTop w:val="0"/>
      <w:marBottom w:val="0"/>
      <w:divBdr>
        <w:top w:val="none" w:sz="0" w:space="0" w:color="auto"/>
        <w:left w:val="none" w:sz="0" w:space="0" w:color="auto"/>
        <w:bottom w:val="none" w:sz="0" w:space="0" w:color="auto"/>
        <w:right w:val="none" w:sz="0" w:space="0" w:color="auto"/>
      </w:divBdr>
    </w:div>
    <w:div w:id="2042048016">
      <w:bodyDiv w:val="1"/>
      <w:marLeft w:val="0"/>
      <w:marRight w:val="0"/>
      <w:marTop w:val="0"/>
      <w:marBottom w:val="0"/>
      <w:divBdr>
        <w:top w:val="none" w:sz="0" w:space="0" w:color="auto"/>
        <w:left w:val="none" w:sz="0" w:space="0" w:color="auto"/>
        <w:bottom w:val="none" w:sz="0" w:space="0" w:color="auto"/>
        <w:right w:val="none" w:sz="0" w:space="0" w:color="auto"/>
      </w:divBdr>
    </w:div>
    <w:div w:id="2042121528">
      <w:bodyDiv w:val="1"/>
      <w:marLeft w:val="0"/>
      <w:marRight w:val="0"/>
      <w:marTop w:val="0"/>
      <w:marBottom w:val="0"/>
      <w:divBdr>
        <w:top w:val="none" w:sz="0" w:space="0" w:color="auto"/>
        <w:left w:val="none" w:sz="0" w:space="0" w:color="auto"/>
        <w:bottom w:val="none" w:sz="0" w:space="0" w:color="auto"/>
        <w:right w:val="none" w:sz="0" w:space="0" w:color="auto"/>
      </w:divBdr>
    </w:div>
    <w:div w:id="2042395182">
      <w:bodyDiv w:val="1"/>
      <w:marLeft w:val="0"/>
      <w:marRight w:val="0"/>
      <w:marTop w:val="0"/>
      <w:marBottom w:val="0"/>
      <w:divBdr>
        <w:top w:val="none" w:sz="0" w:space="0" w:color="auto"/>
        <w:left w:val="none" w:sz="0" w:space="0" w:color="auto"/>
        <w:bottom w:val="none" w:sz="0" w:space="0" w:color="auto"/>
        <w:right w:val="none" w:sz="0" w:space="0" w:color="auto"/>
      </w:divBdr>
    </w:div>
    <w:div w:id="2042434209">
      <w:bodyDiv w:val="1"/>
      <w:marLeft w:val="0"/>
      <w:marRight w:val="0"/>
      <w:marTop w:val="0"/>
      <w:marBottom w:val="0"/>
      <w:divBdr>
        <w:top w:val="none" w:sz="0" w:space="0" w:color="auto"/>
        <w:left w:val="none" w:sz="0" w:space="0" w:color="auto"/>
        <w:bottom w:val="none" w:sz="0" w:space="0" w:color="auto"/>
        <w:right w:val="none" w:sz="0" w:space="0" w:color="auto"/>
      </w:divBdr>
    </w:div>
    <w:div w:id="2042435063">
      <w:bodyDiv w:val="1"/>
      <w:marLeft w:val="0"/>
      <w:marRight w:val="0"/>
      <w:marTop w:val="0"/>
      <w:marBottom w:val="0"/>
      <w:divBdr>
        <w:top w:val="none" w:sz="0" w:space="0" w:color="auto"/>
        <w:left w:val="none" w:sz="0" w:space="0" w:color="auto"/>
        <w:bottom w:val="none" w:sz="0" w:space="0" w:color="auto"/>
        <w:right w:val="none" w:sz="0" w:space="0" w:color="auto"/>
      </w:divBdr>
    </w:div>
    <w:div w:id="2042440860">
      <w:bodyDiv w:val="1"/>
      <w:marLeft w:val="0"/>
      <w:marRight w:val="0"/>
      <w:marTop w:val="0"/>
      <w:marBottom w:val="0"/>
      <w:divBdr>
        <w:top w:val="none" w:sz="0" w:space="0" w:color="auto"/>
        <w:left w:val="none" w:sz="0" w:space="0" w:color="auto"/>
        <w:bottom w:val="none" w:sz="0" w:space="0" w:color="auto"/>
        <w:right w:val="none" w:sz="0" w:space="0" w:color="auto"/>
      </w:divBdr>
    </w:div>
    <w:div w:id="2042582209">
      <w:bodyDiv w:val="1"/>
      <w:marLeft w:val="0"/>
      <w:marRight w:val="0"/>
      <w:marTop w:val="0"/>
      <w:marBottom w:val="0"/>
      <w:divBdr>
        <w:top w:val="none" w:sz="0" w:space="0" w:color="auto"/>
        <w:left w:val="none" w:sz="0" w:space="0" w:color="auto"/>
        <w:bottom w:val="none" w:sz="0" w:space="0" w:color="auto"/>
        <w:right w:val="none" w:sz="0" w:space="0" w:color="auto"/>
      </w:divBdr>
    </w:div>
    <w:div w:id="2042591265">
      <w:bodyDiv w:val="1"/>
      <w:marLeft w:val="0"/>
      <w:marRight w:val="0"/>
      <w:marTop w:val="0"/>
      <w:marBottom w:val="0"/>
      <w:divBdr>
        <w:top w:val="none" w:sz="0" w:space="0" w:color="auto"/>
        <w:left w:val="none" w:sz="0" w:space="0" w:color="auto"/>
        <w:bottom w:val="none" w:sz="0" w:space="0" w:color="auto"/>
        <w:right w:val="none" w:sz="0" w:space="0" w:color="auto"/>
      </w:divBdr>
    </w:div>
    <w:div w:id="2042823021">
      <w:bodyDiv w:val="1"/>
      <w:marLeft w:val="0"/>
      <w:marRight w:val="0"/>
      <w:marTop w:val="0"/>
      <w:marBottom w:val="0"/>
      <w:divBdr>
        <w:top w:val="none" w:sz="0" w:space="0" w:color="auto"/>
        <w:left w:val="none" w:sz="0" w:space="0" w:color="auto"/>
        <w:bottom w:val="none" w:sz="0" w:space="0" w:color="auto"/>
        <w:right w:val="none" w:sz="0" w:space="0" w:color="auto"/>
      </w:divBdr>
    </w:div>
    <w:div w:id="2042897846">
      <w:bodyDiv w:val="1"/>
      <w:marLeft w:val="0"/>
      <w:marRight w:val="0"/>
      <w:marTop w:val="0"/>
      <w:marBottom w:val="0"/>
      <w:divBdr>
        <w:top w:val="none" w:sz="0" w:space="0" w:color="auto"/>
        <w:left w:val="none" w:sz="0" w:space="0" w:color="auto"/>
        <w:bottom w:val="none" w:sz="0" w:space="0" w:color="auto"/>
        <w:right w:val="none" w:sz="0" w:space="0" w:color="auto"/>
      </w:divBdr>
    </w:div>
    <w:div w:id="2042971431">
      <w:bodyDiv w:val="1"/>
      <w:marLeft w:val="0"/>
      <w:marRight w:val="0"/>
      <w:marTop w:val="0"/>
      <w:marBottom w:val="0"/>
      <w:divBdr>
        <w:top w:val="none" w:sz="0" w:space="0" w:color="auto"/>
        <w:left w:val="none" w:sz="0" w:space="0" w:color="auto"/>
        <w:bottom w:val="none" w:sz="0" w:space="0" w:color="auto"/>
        <w:right w:val="none" w:sz="0" w:space="0" w:color="auto"/>
      </w:divBdr>
    </w:div>
    <w:div w:id="2043020388">
      <w:bodyDiv w:val="1"/>
      <w:marLeft w:val="0"/>
      <w:marRight w:val="0"/>
      <w:marTop w:val="0"/>
      <w:marBottom w:val="0"/>
      <w:divBdr>
        <w:top w:val="none" w:sz="0" w:space="0" w:color="auto"/>
        <w:left w:val="none" w:sz="0" w:space="0" w:color="auto"/>
        <w:bottom w:val="none" w:sz="0" w:space="0" w:color="auto"/>
        <w:right w:val="none" w:sz="0" w:space="0" w:color="auto"/>
      </w:divBdr>
    </w:div>
    <w:div w:id="2043363537">
      <w:bodyDiv w:val="1"/>
      <w:marLeft w:val="0"/>
      <w:marRight w:val="0"/>
      <w:marTop w:val="0"/>
      <w:marBottom w:val="0"/>
      <w:divBdr>
        <w:top w:val="none" w:sz="0" w:space="0" w:color="auto"/>
        <w:left w:val="none" w:sz="0" w:space="0" w:color="auto"/>
        <w:bottom w:val="none" w:sz="0" w:space="0" w:color="auto"/>
        <w:right w:val="none" w:sz="0" w:space="0" w:color="auto"/>
      </w:divBdr>
    </w:div>
    <w:div w:id="2043432475">
      <w:bodyDiv w:val="1"/>
      <w:marLeft w:val="0"/>
      <w:marRight w:val="0"/>
      <w:marTop w:val="0"/>
      <w:marBottom w:val="0"/>
      <w:divBdr>
        <w:top w:val="none" w:sz="0" w:space="0" w:color="auto"/>
        <w:left w:val="none" w:sz="0" w:space="0" w:color="auto"/>
        <w:bottom w:val="none" w:sz="0" w:space="0" w:color="auto"/>
        <w:right w:val="none" w:sz="0" w:space="0" w:color="auto"/>
      </w:divBdr>
    </w:div>
    <w:div w:id="2043433466">
      <w:bodyDiv w:val="1"/>
      <w:marLeft w:val="0"/>
      <w:marRight w:val="0"/>
      <w:marTop w:val="0"/>
      <w:marBottom w:val="0"/>
      <w:divBdr>
        <w:top w:val="none" w:sz="0" w:space="0" w:color="auto"/>
        <w:left w:val="none" w:sz="0" w:space="0" w:color="auto"/>
        <w:bottom w:val="none" w:sz="0" w:space="0" w:color="auto"/>
        <w:right w:val="none" w:sz="0" w:space="0" w:color="auto"/>
      </w:divBdr>
    </w:div>
    <w:div w:id="2043436910">
      <w:bodyDiv w:val="1"/>
      <w:marLeft w:val="0"/>
      <w:marRight w:val="0"/>
      <w:marTop w:val="0"/>
      <w:marBottom w:val="0"/>
      <w:divBdr>
        <w:top w:val="none" w:sz="0" w:space="0" w:color="auto"/>
        <w:left w:val="none" w:sz="0" w:space="0" w:color="auto"/>
        <w:bottom w:val="none" w:sz="0" w:space="0" w:color="auto"/>
        <w:right w:val="none" w:sz="0" w:space="0" w:color="auto"/>
      </w:divBdr>
    </w:div>
    <w:div w:id="2043506326">
      <w:bodyDiv w:val="1"/>
      <w:marLeft w:val="0"/>
      <w:marRight w:val="0"/>
      <w:marTop w:val="0"/>
      <w:marBottom w:val="0"/>
      <w:divBdr>
        <w:top w:val="none" w:sz="0" w:space="0" w:color="auto"/>
        <w:left w:val="none" w:sz="0" w:space="0" w:color="auto"/>
        <w:bottom w:val="none" w:sz="0" w:space="0" w:color="auto"/>
        <w:right w:val="none" w:sz="0" w:space="0" w:color="auto"/>
      </w:divBdr>
    </w:div>
    <w:div w:id="2043554687">
      <w:bodyDiv w:val="1"/>
      <w:marLeft w:val="0"/>
      <w:marRight w:val="0"/>
      <w:marTop w:val="0"/>
      <w:marBottom w:val="0"/>
      <w:divBdr>
        <w:top w:val="none" w:sz="0" w:space="0" w:color="auto"/>
        <w:left w:val="none" w:sz="0" w:space="0" w:color="auto"/>
        <w:bottom w:val="none" w:sz="0" w:space="0" w:color="auto"/>
        <w:right w:val="none" w:sz="0" w:space="0" w:color="auto"/>
      </w:divBdr>
    </w:div>
    <w:div w:id="2043675330">
      <w:bodyDiv w:val="1"/>
      <w:marLeft w:val="0"/>
      <w:marRight w:val="0"/>
      <w:marTop w:val="0"/>
      <w:marBottom w:val="0"/>
      <w:divBdr>
        <w:top w:val="none" w:sz="0" w:space="0" w:color="auto"/>
        <w:left w:val="none" w:sz="0" w:space="0" w:color="auto"/>
        <w:bottom w:val="none" w:sz="0" w:space="0" w:color="auto"/>
        <w:right w:val="none" w:sz="0" w:space="0" w:color="auto"/>
      </w:divBdr>
    </w:div>
    <w:div w:id="2043820736">
      <w:bodyDiv w:val="1"/>
      <w:marLeft w:val="0"/>
      <w:marRight w:val="0"/>
      <w:marTop w:val="0"/>
      <w:marBottom w:val="0"/>
      <w:divBdr>
        <w:top w:val="none" w:sz="0" w:space="0" w:color="auto"/>
        <w:left w:val="none" w:sz="0" w:space="0" w:color="auto"/>
        <w:bottom w:val="none" w:sz="0" w:space="0" w:color="auto"/>
        <w:right w:val="none" w:sz="0" w:space="0" w:color="auto"/>
      </w:divBdr>
    </w:div>
    <w:div w:id="2043821159">
      <w:bodyDiv w:val="1"/>
      <w:marLeft w:val="0"/>
      <w:marRight w:val="0"/>
      <w:marTop w:val="0"/>
      <w:marBottom w:val="0"/>
      <w:divBdr>
        <w:top w:val="none" w:sz="0" w:space="0" w:color="auto"/>
        <w:left w:val="none" w:sz="0" w:space="0" w:color="auto"/>
        <w:bottom w:val="none" w:sz="0" w:space="0" w:color="auto"/>
        <w:right w:val="none" w:sz="0" w:space="0" w:color="auto"/>
      </w:divBdr>
    </w:div>
    <w:div w:id="2043824123">
      <w:bodyDiv w:val="1"/>
      <w:marLeft w:val="0"/>
      <w:marRight w:val="0"/>
      <w:marTop w:val="0"/>
      <w:marBottom w:val="0"/>
      <w:divBdr>
        <w:top w:val="none" w:sz="0" w:space="0" w:color="auto"/>
        <w:left w:val="none" w:sz="0" w:space="0" w:color="auto"/>
        <w:bottom w:val="none" w:sz="0" w:space="0" w:color="auto"/>
        <w:right w:val="none" w:sz="0" w:space="0" w:color="auto"/>
      </w:divBdr>
    </w:div>
    <w:div w:id="2043937323">
      <w:bodyDiv w:val="1"/>
      <w:marLeft w:val="0"/>
      <w:marRight w:val="0"/>
      <w:marTop w:val="0"/>
      <w:marBottom w:val="0"/>
      <w:divBdr>
        <w:top w:val="none" w:sz="0" w:space="0" w:color="auto"/>
        <w:left w:val="none" w:sz="0" w:space="0" w:color="auto"/>
        <w:bottom w:val="none" w:sz="0" w:space="0" w:color="auto"/>
        <w:right w:val="none" w:sz="0" w:space="0" w:color="auto"/>
      </w:divBdr>
    </w:div>
    <w:div w:id="2044018141">
      <w:bodyDiv w:val="1"/>
      <w:marLeft w:val="0"/>
      <w:marRight w:val="0"/>
      <w:marTop w:val="0"/>
      <w:marBottom w:val="0"/>
      <w:divBdr>
        <w:top w:val="none" w:sz="0" w:space="0" w:color="auto"/>
        <w:left w:val="none" w:sz="0" w:space="0" w:color="auto"/>
        <w:bottom w:val="none" w:sz="0" w:space="0" w:color="auto"/>
        <w:right w:val="none" w:sz="0" w:space="0" w:color="auto"/>
      </w:divBdr>
    </w:div>
    <w:div w:id="2044205290">
      <w:bodyDiv w:val="1"/>
      <w:marLeft w:val="0"/>
      <w:marRight w:val="0"/>
      <w:marTop w:val="0"/>
      <w:marBottom w:val="0"/>
      <w:divBdr>
        <w:top w:val="none" w:sz="0" w:space="0" w:color="auto"/>
        <w:left w:val="none" w:sz="0" w:space="0" w:color="auto"/>
        <w:bottom w:val="none" w:sz="0" w:space="0" w:color="auto"/>
        <w:right w:val="none" w:sz="0" w:space="0" w:color="auto"/>
      </w:divBdr>
    </w:div>
    <w:div w:id="2044280268">
      <w:bodyDiv w:val="1"/>
      <w:marLeft w:val="0"/>
      <w:marRight w:val="0"/>
      <w:marTop w:val="0"/>
      <w:marBottom w:val="0"/>
      <w:divBdr>
        <w:top w:val="none" w:sz="0" w:space="0" w:color="auto"/>
        <w:left w:val="none" w:sz="0" w:space="0" w:color="auto"/>
        <w:bottom w:val="none" w:sz="0" w:space="0" w:color="auto"/>
        <w:right w:val="none" w:sz="0" w:space="0" w:color="auto"/>
      </w:divBdr>
    </w:div>
    <w:div w:id="2044286627">
      <w:bodyDiv w:val="1"/>
      <w:marLeft w:val="0"/>
      <w:marRight w:val="0"/>
      <w:marTop w:val="0"/>
      <w:marBottom w:val="0"/>
      <w:divBdr>
        <w:top w:val="none" w:sz="0" w:space="0" w:color="auto"/>
        <w:left w:val="none" w:sz="0" w:space="0" w:color="auto"/>
        <w:bottom w:val="none" w:sz="0" w:space="0" w:color="auto"/>
        <w:right w:val="none" w:sz="0" w:space="0" w:color="auto"/>
      </w:divBdr>
    </w:div>
    <w:div w:id="2044330968">
      <w:bodyDiv w:val="1"/>
      <w:marLeft w:val="0"/>
      <w:marRight w:val="0"/>
      <w:marTop w:val="0"/>
      <w:marBottom w:val="0"/>
      <w:divBdr>
        <w:top w:val="none" w:sz="0" w:space="0" w:color="auto"/>
        <w:left w:val="none" w:sz="0" w:space="0" w:color="auto"/>
        <w:bottom w:val="none" w:sz="0" w:space="0" w:color="auto"/>
        <w:right w:val="none" w:sz="0" w:space="0" w:color="auto"/>
      </w:divBdr>
    </w:div>
    <w:div w:id="2044356484">
      <w:bodyDiv w:val="1"/>
      <w:marLeft w:val="0"/>
      <w:marRight w:val="0"/>
      <w:marTop w:val="0"/>
      <w:marBottom w:val="0"/>
      <w:divBdr>
        <w:top w:val="none" w:sz="0" w:space="0" w:color="auto"/>
        <w:left w:val="none" w:sz="0" w:space="0" w:color="auto"/>
        <w:bottom w:val="none" w:sz="0" w:space="0" w:color="auto"/>
        <w:right w:val="none" w:sz="0" w:space="0" w:color="auto"/>
      </w:divBdr>
    </w:div>
    <w:div w:id="2044399735">
      <w:bodyDiv w:val="1"/>
      <w:marLeft w:val="0"/>
      <w:marRight w:val="0"/>
      <w:marTop w:val="0"/>
      <w:marBottom w:val="0"/>
      <w:divBdr>
        <w:top w:val="none" w:sz="0" w:space="0" w:color="auto"/>
        <w:left w:val="none" w:sz="0" w:space="0" w:color="auto"/>
        <w:bottom w:val="none" w:sz="0" w:space="0" w:color="auto"/>
        <w:right w:val="none" w:sz="0" w:space="0" w:color="auto"/>
      </w:divBdr>
    </w:div>
    <w:div w:id="2044402694">
      <w:bodyDiv w:val="1"/>
      <w:marLeft w:val="0"/>
      <w:marRight w:val="0"/>
      <w:marTop w:val="0"/>
      <w:marBottom w:val="0"/>
      <w:divBdr>
        <w:top w:val="none" w:sz="0" w:space="0" w:color="auto"/>
        <w:left w:val="none" w:sz="0" w:space="0" w:color="auto"/>
        <w:bottom w:val="none" w:sz="0" w:space="0" w:color="auto"/>
        <w:right w:val="none" w:sz="0" w:space="0" w:color="auto"/>
      </w:divBdr>
    </w:div>
    <w:div w:id="2044405310">
      <w:bodyDiv w:val="1"/>
      <w:marLeft w:val="0"/>
      <w:marRight w:val="0"/>
      <w:marTop w:val="0"/>
      <w:marBottom w:val="0"/>
      <w:divBdr>
        <w:top w:val="none" w:sz="0" w:space="0" w:color="auto"/>
        <w:left w:val="none" w:sz="0" w:space="0" w:color="auto"/>
        <w:bottom w:val="none" w:sz="0" w:space="0" w:color="auto"/>
        <w:right w:val="none" w:sz="0" w:space="0" w:color="auto"/>
      </w:divBdr>
    </w:div>
    <w:div w:id="2044668677">
      <w:bodyDiv w:val="1"/>
      <w:marLeft w:val="0"/>
      <w:marRight w:val="0"/>
      <w:marTop w:val="0"/>
      <w:marBottom w:val="0"/>
      <w:divBdr>
        <w:top w:val="none" w:sz="0" w:space="0" w:color="auto"/>
        <w:left w:val="none" w:sz="0" w:space="0" w:color="auto"/>
        <w:bottom w:val="none" w:sz="0" w:space="0" w:color="auto"/>
        <w:right w:val="none" w:sz="0" w:space="0" w:color="auto"/>
      </w:divBdr>
    </w:div>
    <w:div w:id="2044671276">
      <w:bodyDiv w:val="1"/>
      <w:marLeft w:val="0"/>
      <w:marRight w:val="0"/>
      <w:marTop w:val="0"/>
      <w:marBottom w:val="0"/>
      <w:divBdr>
        <w:top w:val="none" w:sz="0" w:space="0" w:color="auto"/>
        <w:left w:val="none" w:sz="0" w:space="0" w:color="auto"/>
        <w:bottom w:val="none" w:sz="0" w:space="0" w:color="auto"/>
        <w:right w:val="none" w:sz="0" w:space="0" w:color="auto"/>
      </w:divBdr>
    </w:div>
    <w:div w:id="2044671361">
      <w:bodyDiv w:val="1"/>
      <w:marLeft w:val="0"/>
      <w:marRight w:val="0"/>
      <w:marTop w:val="0"/>
      <w:marBottom w:val="0"/>
      <w:divBdr>
        <w:top w:val="none" w:sz="0" w:space="0" w:color="auto"/>
        <w:left w:val="none" w:sz="0" w:space="0" w:color="auto"/>
        <w:bottom w:val="none" w:sz="0" w:space="0" w:color="auto"/>
        <w:right w:val="none" w:sz="0" w:space="0" w:color="auto"/>
      </w:divBdr>
    </w:div>
    <w:div w:id="2044744903">
      <w:bodyDiv w:val="1"/>
      <w:marLeft w:val="0"/>
      <w:marRight w:val="0"/>
      <w:marTop w:val="0"/>
      <w:marBottom w:val="0"/>
      <w:divBdr>
        <w:top w:val="none" w:sz="0" w:space="0" w:color="auto"/>
        <w:left w:val="none" w:sz="0" w:space="0" w:color="auto"/>
        <w:bottom w:val="none" w:sz="0" w:space="0" w:color="auto"/>
        <w:right w:val="none" w:sz="0" w:space="0" w:color="auto"/>
      </w:divBdr>
    </w:div>
    <w:div w:id="2044748326">
      <w:bodyDiv w:val="1"/>
      <w:marLeft w:val="0"/>
      <w:marRight w:val="0"/>
      <w:marTop w:val="0"/>
      <w:marBottom w:val="0"/>
      <w:divBdr>
        <w:top w:val="none" w:sz="0" w:space="0" w:color="auto"/>
        <w:left w:val="none" w:sz="0" w:space="0" w:color="auto"/>
        <w:bottom w:val="none" w:sz="0" w:space="0" w:color="auto"/>
        <w:right w:val="none" w:sz="0" w:space="0" w:color="auto"/>
      </w:divBdr>
    </w:div>
    <w:div w:id="2044938053">
      <w:bodyDiv w:val="1"/>
      <w:marLeft w:val="0"/>
      <w:marRight w:val="0"/>
      <w:marTop w:val="0"/>
      <w:marBottom w:val="0"/>
      <w:divBdr>
        <w:top w:val="none" w:sz="0" w:space="0" w:color="auto"/>
        <w:left w:val="none" w:sz="0" w:space="0" w:color="auto"/>
        <w:bottom w:val="none" w:sz="0" w:space="0" w:color="auto"/>
        <w:right w:val="none" w:sz="0" w:space="0" w:color="auto"/>
      </w:divBdr>
    </w:div>
    <w:div w:id="2044940795">
      <w:bodyDiv w:val="1"/>
      <w:marLeft w:val="0"/>
      <w:marRight w:val="0"/>
      <w:marTop w:val="0"/>
      <w:marBottom w:val="0"/>
      <w:divBdr>
        <w:top w:val="none" w:sz="0" w:space="0" w:color="auto"/>
        <w:left w:val="none" w:sz="0" w:space="0" w:color="auto"/>
        <w:bottom w:val="none" w:sz="0" w:space="0" w:color="auto"/>
        <w:right w:val="none" w:sz="0" w:space="0" w:color="auto"/>
      </w:divBdr>
    </w:div>
    <w:div w:id="2044943214">
      <w:bodyDiv w:val="1"/>
      <w:marLeft w:val="0"/>
      <w:marRight w:val="0"/>
      <w:marTop w:val="0"/>
      <w:marBottom w:val="0"/>
      <w:divBdr>
        <w:top w:val="none" w:sz="0" w:space="0" w:color="auto"/>
        <w:left w:val="none" w:sz="0" w:space="0" w:color="auto"/>
        <w:bottom w:val="none" w:sz="0" w:space="0" w:color="auto"/>
        <w:right w:val="none" w:sz="0" w:space="0" w:color="auto"/>
      </w:divBdr>
    </w:div>
    <w:div w:id="2044943273">
      <w:bodyDiv w:val="1"/>
      <w:marLeft w:val="0"/>
      <w:marRight w:val="0"/>
      <w:marTop w:val="0"/>
      <w:marBottom w:val="0"/>
      <w:divBdr>
        <w:top w:val="none" w:sz="0" w:space="0" w:color="auto"/>
        <w:left w:val="none" w:sz="0" w:space="0" w:color="auto"/>
        <w:bottom w:val="none" w:sz="0" w:space="0" w:color="auto"/>
        <w:right w:val="none" w:sz="0" w:space="0" w:color="auto"/>
      </w:divBdr>
    </w:div>
    <w:div w:id="2045013867">
      <w:bodyDiv w:val="1"/>
      <w:marLeft w:val="0"/>
      <w:marRight w:val="0"/>
      <w:marTop w:val="0"/>
      <w:marBottom w:val="0"/>
      <w:divBdr>
        <w:top w:val="none" w:sz="0" w:space="0" w:color="auto"/>
        <w:left w:val="none" w:sz="0" w:space="0" w:color="auto"/>
        <w:bottom w:val="none" w:sz="0" w:space="0" w:color="auto"/>
        <w:right w:val="none" w:sz="0" w:space="0" w:color="auto"/>
      </w:divBdr>
    </w:div>
    <w:div w:id="2045052723">
      <w:bodyDiv w:val="1"/>
      <w:marLeft w:val="0"/>
      <w:marRight w:val="0"/>
      <w:marTop w:val="0"/>
      <w:marBottom w:val="0"/>
      <w:divBdr>
        <w:top w:val="none" w:sz="0" w:space="0" w:color="auto"/>
        <w:left w:val="none" w:sz="0" w:space="0" w:color="auto"/>
        <w:bottom w:val="none" w:sz="0" w:space="0" w:color="auto"/>
        <w:right w:val="none" w:sz="0" w:space="0" w:color="auto"/>
      </w:divBdr>
    </w:div>
    <w:div w:id="2045055641">
      <w:bodyDiv w:val="1"/>
      <w:marLeft w:val="0"/>
      <w:marRight w:val="0"/>
      <w:marTop w:val="0"/>
      <w:marBottom w:val="0"/>
      <w:divBdr>
        <w:top w:val="none" w:sz="0" w:space="0" w:color="auto"/>
        <w:left w:val="none" w:sz="0" w:space="0" w:color="auto"/>
        <w:bottom w:val="none" w:sz="0" w:space="0" w:color="auto"/>
        <w:right w:val="none" w:sz="0" w:space="0" w:color="auto"/>
      </w:divBdr>
    </w:div>
    <w:div w:id="2045208241">
      <w:bodyDiv w:val="1"/>
      <w:marLeft w:val="0"/>
      <w:marRight w:val="0"/>
      <w:marTop w:val="0"/>
      <w:marBottom w:val="0"/>
      <w:divBdr>
        <w:top w:val="none" w:sz="0" w:space="0" w:color="auto"/>
        <w:left w:val="none" w:sz="0" w:space="0" w:color="auto"/>
        <w:bottom w:val="none" w:sz="0" w:space="0" w:color="auto"/>
        <w:right w:val="none" w:sz="0" w:space="0" w:color="auto"/>
      </w:divBdr>
    </w:div>
    <w:div w:id="2045212334">
      <w:bodyDiv w:val="1"/>
      <w:marLeft w:val="0"/>
      <w:marRight w:val="0"/>
      <w:marTop w:val="0"/>
      <w:marBottom w:val="0"/>
      <w:divBdr>
        <w:top w:val="none" w:sz="0" w:space="0" w:color="auto"/>
        <w:left w:val="none" w:sz="0" w:space="0" w:color="auto"/>
        <w:bottom w:val="none" w:sz="0" w:space="0" w:color="auto"/>
        <w:right w:val="none" w:sz="0" w:space="0" w:color="auto"/>
      </w:divBdr>
    </w:div>
    <w:div w:id="2045329934">
      <w:bodyDiv w:val="1"/>
      <w:marLeft w:val="0"/>
      <w:marRight w:val="0"/>
      <w:marTop w:val="0"/>
      <w:marBottom w:val="0"/>
      <w:divBdr>
        <w:top w:val="none" w:sz="0" w:space="0" w:color="auto"/>
        <w:left w:val="none" w:sz="0" w:space="0" w:color="auto"/>
        <w:bottom w:val="none" w:sz="0" w:space="0" w:color="auto"/>
        <w:right w:val="none" w:sz="0" w:space="0" w:color="auto"/>
      </w:divBdr>
    </w:div>
    <w:div w:id="2045446198">
      <w:bodyDiv w:val="1"/>
      <w:marLeft w:val="0"/>
      <w:marRight w:val="0"/>
      <w:marTop w:val="0"/>
      <w:marBottom w:val="0"/>
      <w:divBdr>
        <w:top w:val="none" w:sz="0" w:space="0" w:color="auto"/>
        <w:left w:val="none" w:sz="0" w:space="0" w:color="auto"/>
        <w:bottom w:val="none" w:sz="0" w:space="0" w:color="auto"/>
        <w:right w:val="none" w:sz="0" w:space="0" w:color="auto"/>
      </w:divBdr>
    </w:div>
    <w:div w:id="2045447615">
      <w:bodyDiv w:val="1"/>
      <w:marLeft w:val="0"/>
      <w:marRight w:val="0"/>
      <w:marTop w:val="0"/>
      <w:marBottom w:val="0"/>
      <w:divBdr>
        <w:top w:val="none" w:sz="0" w:space="0" w:color="auto"/>
        <w:left w:val="none" w:sz="0" w:space="0" w:color="auto"/>
        <w:bottom w:val="none" w:sz="0" w:space="0" w:color="auto"/>
        <w:right w:val="none" w:sz="0" w:space="0" w:color="auto"/>
      </w:divBdr>
    </w:div>
    <w:div w:id="2045474446">
      <w:bodyDiv w:val="1"/>
      <w:marLeft w:val="0"/>
      <w:marRight w:val="0"/>
      <w:marTop w:val="0"/>
      <w:marBottom w:val="0"/>
      <w:divBdr>
        <w:top w:val="none" w:sz="0" w:space="0" w:color="auto"/>
        <w:left w:val="none" w:sz="0" w:space="0" w:color="auto"/>
        <w:bottom w:val="none" w:sz="0" w:space="0" w:color="auto"/>
        <w:right w:val="none" w:sz="0" w:space="0" w:color="auto"/>
      </w:divBdr>
    </w:div>
    <w:div w:id="2045475917">
      <w:bodyDiv w:val="1"/>
      <w:marLeft w:val="0"/>
      <w:marRight w:val="0"/>
      <w:marTop w:val="0"/>
      <w:marBottom w:val="0"/>
      <w:divBdr>
        <w:top w:val="none" w:sz="0" w:space="0" w:color="auto"/>
        <w:left w:val="none" w:sz="0" w:space="0" w:color="auto"/>
        <w:bottom w:val="none" w:sz="0" w:space="0" w:color="auto"/>
        <w:right w:val="none" w:sz="0" w:space="0" w:color="auto"/>
      </w:divBdr>
    </w:div>
    <w:div w:id="2045516383">
      <w:bodyDiv w:val="1"/>
      <w:marLeft w:val="0"/>
      <w:marRight w:val="0"/>
      <w:marTop w:val="0"/>
      <w:marBottom w:val="0"/>
      <w:divBdr>
        <w:top w:val="none" w:sz="0" w:space="0" w:color="auto"/>
        <w:left w:val="none" w:sz="0" w:space="0" w:color="auto"/>
        <w:bottom w:val="none" w:sz="0" w:space="0" w:color="auto"/>
        <w:right w:val="none" w:sz="0" w:space="0" w:color="auto"/>
      </w:divBdr>
    </w:div>
    <w:div w:id="2045591448">
      <w:bodyDiv w:val="1"/>
      <w:marLeft w:val="0"/>
      <w:marRight w:val="0"/>
      <w:marTop w:val="0"/>
      <w:marBottom w:val="0"/>
      <w:divBdr>
        <w:top w:val="none" w:sz="0" w:space="0" w:color="auto"/>
        <w:left w:val="none" w:sz="0" w:space="0" w:color="auto"/>
        <w:bottom w:val="none" w:sz="0" w:space="0" w:color="auto"/>
        <w:right w:val="none" w:sz="0" w:space="0" w:color="auto"/>
      </w:divBdr>
    </w:div>
    <w:div w:id="2045981422">
      <w:bodyDiv w:val="1"/>
      <w:marLeft w:val="0"/>
      <w:marRight w:val="0"/>
      <w:marTop w:val="0"/>
      <w:marBottom w:val="0"/>
      <w:divBdr>
        <w:top w:val="none" w:sz="0" w:space="0" w:color="auto"/>
        <w:left w:val="none" w:sz="0" w:space="0" w:color="auto"/>
        <w:bottom w:val="none" w:sz="0" w:space="0" w:color="auto"/>
        <w:right w:val="none" w:sz="0" w:space="0" w:color="auto"/>
      </w:divBdr>
    </w:div>
    <w:div w:id="2045981467">
      <w:bodyDiv w:val="1"/>
      <w:marLeft w:val="0"/>
      <w:marRight w:val="0"/>
      <w:marTop w:val="0"/>
      <w:marBottom w:val="0"/>
      <w:divBdr>
        <w:top w:val="none" w:sz="0" w:space="0" w:color="auto"/>
        <w:left w:val="none" w:sz="0" w:space="0" w:color="auto"/>
        <w:bottom w:val="none" w:sz="0" w:space="0" w:color="auto"/>
        <w:right w:val="none" w:sz="0" w:space="0" w:color="auto"/>
      </w:divBdr>
    </w:div>
    <w:div w:id="2046170124">
      <w:bodyDiv w:val="1"/>
      <w:marLeft w:val="0"/>
      <w:marRight w:val="0"/>
      <w:marTop w:val="0"/>
      <w:marBottom w:val="0"/>
      <w:divBdr>
        <w:top w:val="none" w:sz="0" w:space="0" w:color="auto"/>
        <w:left w:val="none" w:sz="0" w:space="0" w:color="auto"/>
        <w:bottom w:val="none" w:sz="0" w:space="0" w:color="auto"/>
        <w:right w:val="none" w:sz="0" w:space="0" w:color="auto"/>
      </w:divBdr>
    </w:div>
    <w:div w:id="2046248395">
      <w:bodyDiv w:val="1"/>
      <w:marLeft w:val="0"/>
      <w:marRight w:val="0"/>
      <w:marTop w:val="0"/>
      <w:marBottom w:val="0"/>
      <w:divBdr>
        <w:top w:val="none" w:sz="0" w:space="0" w:color="auto"/>
        <w:left w:val="none" w:sz="0" w:space="0" w:color="auto"/>
        <w:bottom w:val="none" w:sz="0" w:space="0" w:color="auto"/>
        <w:right w:val="none" w:sz="0" w:space="0" w:color="auto"/>
      </w:divBdr>
    </w:div>
    <w:div w:id="2046364753">
      <w:bodyDiv w:val="1"/>
      <w:marLeft w:val="0"/>
      <w:marRight w:val="0"/>
      <w:marTop w:val="0"/>
      <w:marBottom w:val="0"/>
      <w:divBdr>
        <w:top w:val="none" w:sz="0" w:space="0" w:color="auto"/>
        <w:left w:val="none" w:sz="0" w:space="0" w:color="auto"/>
        <w:bottom w:val="none" w:sz="0" w:space="0" w:color="auto"/>
        <w:right w:val="none" w:sz="0" w:space="0" w:color="auto"/>
      </w:divBdr>
    </w:div>
    <w:div w:id="2046365454">
      <w:bodyDiv w:val="1"/>
      <w:marLeft w:val="0"/>
      <w:marRight w:val="0"/>
      <w:marTop w:val="0"/>
      <w:marBottom w:val="0"/>
      <w:divBdr>
        <w:top w:val="none" w:sz="0" w:space="0" w:color="auto"/>
        <w:left w:val="none" w:sz="0" w:space="0" w:color="auto"/>
        <w:bottom w:val="none" w:sz="0" w:space="0" w:color="auto"/>
        <w:right w:val="none" w:sz="0" w:space="0" w:color="auto"/>
      </w:divBdr>
    </w:div>
    <w:div w:id="2046367936">
      <w:bodyDiv w:val="1"/>
      <w:marLeft w:val="0"/>
      <w:marRight w:val="0"/>
      <w:marTop w:val="0"/>
      <w:marBottom w:val="0"/>
      <w:divBdr>
        <w:top w:val="none" w:sz="0" w:space="0" w:color="auto"/>
        <w:left w:val="none" w:sz="0" w:space="0" w:color="auto"/>
        <w:bottom w:val="none" w:sz="0" w:space="0" w:color="auto"/>
        <w:right w:val="none" w:sz="0" w:space="0" w:color="auto"/>
      </w:divBdr>
    </w:div>
    <w:div w:id="2046522542">
      <w:bodyDiv w:val="1"/>
      <w:marLeft w:val="0"/>
      <w:marRight w:val="0"/>
      <w:marTop w:val="0"/>
      <w:marBottom w:val="0"/>
      <w:divBdr>
        <w:top w:val="none" w:sz="0" w:space="0" w:color="auto"/>
        <w:left w:val="none" w:sz="0" w:space="0" w:color="auto"/>
        <w:bottom w:val="none" w:sz="0" w:space="0" w:color="auto"/>
        <w:right w:val="none" w:sz="0" w:space="0" w:color="auto"/>
      </w:divBdr>
    </w:div>
    <w:div w:id="2046523100">
      <w:bodyDiv w:val="1"/>
      <w:marLeft w:val="0"/>
      <w:marRight w:val="0"/>
      <w:marTop w:val="0"/>
      <w:marBottom w:val="0"/>
      <w:divBdr>
        <w:top w:val="none" w:sz="0" w:space="0" w:color="auto"/>
        <w:left w:val="none" w:sz="0" w:space="0" w:color="auto"/>
        <w:bottom w:val="none" w:sz="0" w:space="0" w:color="auto"/>
        <w:right w:val="none" w:sz="0" w:space="0" w:color="auto"/>
      </w:divBdr>
    </w:div>
    <w:div w:id="2046633563">
      <w:bodyDiv w:val="1"/>
      <w:marLeft w:val="0"/>
      <w:marRight w:val="0"/>
      <w:marTop w:val="0"/>
      <w:marBottom w:val="0"/>
      <w:divBdr>
        <w:top w:val="none" w:sz="0" w:space="0" w:color="auto"/>
        <w:left w:val="none" w:sz="0" w:space="0" w:color="auto"/>
        <w:bottom w:val="none" w:sz="0" w:space="0" w:color="auto"/>
        <w:right w:val="none" w:sz="0" w:space="0" w:color="auto"/>
      </w:divBdr>
    </w:div>
    <w:div w:id="2046634956">
      <w:bodyDiv w:val="1"/>
      <w:marLeft w:val="0"/>
      <w:marRight w:val="0"/>
      <w:marTop w:val="0"/>
      <w:marBottom w:val="0"/>
      <w:divBdr>
        <w:top w:val="none" w:sz="0" w:space="0" w:color="auto"/>
        <w:left w:val="none" w:sz="0" w:space="0" w:color="auto"/>
        <w:bottom w:val="none" w:sz="0" w:space="0" w:color="auto"/>
        <w:right w:val="none" w:sz="0" w:space="0" w:color="auto"/>
      </w:divBdr>
    </w:div>
    <w:div w:id="2046636454">
      <w:bodyDiv w:val="1"/>
      <w:marLeft w:val="0"/>
      <w:marRight w:val="0"/>
      <w:marTop w:val="0"/>
      <w:marBottom w:val="0"/>
      <w:divBdr>
        <w:top w:val="none" w:sz="0" w:space="0" w:color="auto"/>
        <w:left w:val="none" w:sz="0" w:space="0" w:color="auto"/>
        <w:bottom w:val="none" w:sz="0" w:space="0" w:color="auto"/>
        <w:right w:val="none" w:sz="0" w:space="0" w:color="auto"/>
      </w:divBdr>
    </w:div>
    <w:div w:id="2046711398">
      <w:bodyDiv w:val="1"/>
      <w:marLeft w:val="0"/>
      <w:marRight w:val="0"/>
      <w:marTop w:val="0"/>
      <w:marBottom w:val="0"/>
      <w:divBdr>
        <w:top w:val="none" w:sz="0" w:space="0" w:color="auto"/>
        <w:left w:val="none" w:sz="0" w:space="0" w:color="auto"/>
        <w:bottom w:val="none" w:sz="0" w:space="0" w:color="auto"/>
        <w:right w:val="none" w:sz="0" w:space="0" w:color="auto"/>
      </w:divBdr>
    </w:div>
    <w:div w:id="2046756778">
      <w:bodyDiv w:val="1"/>
      <w:marLeft w:val="0"/>
      <w:marRight w:val="0"/>
      <w:marTop w:val="0"/>
      <w:marBottom w:val="0"/>
      <w:divBdr>
        <w:top w:val="none" w:sz="0" w:space="0" w:color="auto"/>
        <w:left w:val="none" w:sz="0" w:space="0" w:color="auto"/>
        <w:bottom w:val="none" w:sz="0" w:space="0" w:color="auto"/>
        <w:right w:val="none" w:sz="0" w:space="0" w:color="auto"/>
      </w:divBdr>
    </w:div>
    <w:div w:id="2046785854">
      <w:bodyDiv w:val="1"/>
      <w:marLeft w:val="0"/>
      <w:marRight w:val="0"/>
      <w:marTop w:val="0"/>
      <w:marBottom w:val="0"/>
      <w:divBdr>
        <w:top w:val="none" w:sz="0" w:space="0" w:color="auto"/>
        <w:left w:val="none" w:sz="0" w:space="0" w:color="auto"/>
        <w:bottom w:val="none" w:sz="0" w:space="0" w:color="auto"/>
        <w:right w:val="none" w:sz="0" w:space="0" w:color="auto"/>
      </w:divBdr>
    </w:div>
    <w:div w:id="2046824998">
      <w:bodyDiv w:val="1"/>
      <w:marLeft w:val="0"/>
      <w:marRight w:val="0"/>
      <w:marTop w:val="0"/>
      <w:marBottom w:val="0"/>
      <w:divBdr>
        <w:top w:val="none" w:sz="0" w:space="0" w:color="auto"/>
        <w:left w:val="none" w:sz="0" w:space="0" w:color="auto"/>
        <w:bottom w:val="none" w:sz="0" w:space="0" w:color="auto"/>
        <w:right w:val="none" w:sz="0" w:space="0" w:color="auto"/>
      </w:divBdr>
    </w:div>
    <w:div w:id="2046833895">
      <w:bodyDiv w:val="1"/>
      <w:marLeft w:val="0"/>
      <w:marRight w:val="0"/>
      <w:marTop w:val="0"/>
      <w:marBottom w:val="0"/>
      <w:divBdr>
        <w:top w:val="none" w:sz="0" w:space="0" w:color="auto"/>
        <w:left w:val="none" w:sz="0" w:space="0" w:color="auto"/>
        <w:bottom w:val="none" w:sz="0" w:space="0" w:color="auto"/>
        <w:right w:val="none" w:sz="0" w:space="0" w:color="auto"/>
      </w:divBdr>
    </w:div>
    <w:div w:id="2046977575">
      <w:bodyDiv w:val="1"/>
      <w:marLeft w:val="0"/>
      <w:marRight w:val="0"/>
      <w:marTop w:val="0"/>
      <w:marBottom w:val="0"/>
      <w:divBdr>
        <w:top w:val="none" w:sz="0" w:space="0" w:color="auto"/>
        <w:left w:val="none" w:sz="0" w:space="0" w:color="auto"/>
        <w:bottom w:val="none" w:sz="0" w:space="0" w:color="auto"/>
        <w:right w:val="none" w:sz="0" w:space="0" w:color="auto"/>
      </w:divBdr>
    </w:div>
    <w:div w:id="2047214898">
      <w:bodyDiv w:val="1"/>
      <w:marLeft w:val="0"/>
      <w:marRight w:val="0"/>
      <w:marTop w:val="0"/>
      <w:marBottom w:val="0"/>
      <w:divBdr>
        <w:top w:val="none" w:sz="0" w:space="0" w:color="auto"/>
        <w:left w:val="none" w:sz="0" w:space="0" w:color="auto"/>
        <w:bottom w:val="none" w:sz="0" w:space="0" w:color="auto"/>
        <w:right w:val="none" w:sz="0" w:space="0" w:color="auto"/>
      </w:divBdr>
    </w:div>
    <w:div w:id="2047215282">
      <w:bodyDiv w:val="1"/>
      <w:marLeft w:val="0"/>
      <w:marRight w:val="0"/>
      <w:marTop w:val="0"/>
      <w:marBottom w:val="0"/>
      <w:divBdr>
        <w:top w:val="none" w:sz="0" w:space="0" w:color="auto"/>
        <w:left w:val="none" w:sz="0" w:space="0" w:color="auto"/>
        <w:bottom w:val="none" w:sz="0" w:space="0" w:color="auto"/>
        <w:right w:val="none" w:sz="0" w:space="0" w:color="auto"/>
      </w:divBdr>
    </w:div>
    <w:div w:id="2047216583">
      <w:bodyDiv w:val="1"/>
      <w:marLeft w:val="0"/>
      <w:marRight w:val="0"/>
      <w:marTop w:val="0"/>
      <w:marBottom w:val="0"/>
      <w:divBdr>
        <w:top w:val="none" w:sz="0" w:space="0" w:color="auto"/>
        <w:left w:val="none" w:sz="0" w:space="0" w:color="auto"/>
        <w:bottom w:val="none" w:sz="0" w:space="0" w:color="auto"/>
        <w:right w:val="none" w:sz="0" w:space="0" w:color="auto"/>
      </w:divBdr>
    </w:div>
    <w:div w:id="2047245826">
      <w:bodyDiv w:val="1"/>
      <w:marLeft w:val="0"/>
      <w:marRight w:val="0"/>
      <w:marTop w:val="0"/>
      <w:marBottom w:val="0"/>
      <w:divBdr>
        <w:top w:val="none" w:sz="0" w:space="0" w:color="auto"/>
        <w:left w:val="none" w:sz="0" w:space="0" w:color="auto"/>
        <w:bottom w:val="none" w:sz="0" w:space="0" w:color="auto"/>
        <w:right w:val="none" w:sz="0" w:space="0" w:color="auto"/>
      </w:divBdr>
    </w:div>
    <w:div w:id="2047482795">
      <w:bodyDiv w:val="1"/>
      <w:marLeft w:val="0"/>
      <w:marRight w:val="0"/>
      <w:marTop w:val="0"/>
      <w:marBottom w:val="0"/>
      <w:divBdr>
        <w:top w:val="none" w:sz="0" w:space="0" w:color="auto"/>
        <w:left w:val="none" w:sz="0" w:space="0" w:color="auto"/>
        <w:bottom w:val="none" w:sz="0" w:space="0" w:color="auto"/>
        <w:right w:val="none" w:sz="0" w:space="0" w:color="auto"/>
      </w:divBdr>
    </w:div>
    <w:div w:id="2047486437">
      <w:bodyDiv w:val="1"/>
      <w:marLeft w:val="0"/>
      <w:marRight w:val="0"/>
      <w:marTop w:val="0"/>
      <w:marBottom w:val="0"/>
      <w:divBdr>
        <w:top w:val="none" w:sz="0" w:space="0" w:color="auto"/>
        <w:left w:val="none" w:sz="0" w:space="0" w:color="auto"/>
        <w:bottom w:val="none" w:sz="0" w:space="0" w:color="auto"/>
        <w:right w:val="none" w:sz="0" w:space="0" w:color="auto"/>
      </w:divBdr>
    </w:div>
    <w:div w:id="2047555754">
      <w:bodyDiv w:val="1"/>
      <w:marLeft w:val="0"/>
      <w:marRight w:val="0"/>
      <w:marTop w:val="0"/>
      <w:marBottom w:val="0"/>
      <w:divBdr>
        <w:top w:val="none" w:sz="0" w:space="0" w:color="auto"/>
        <w:left w:val="none" w:sz="0" w:space="0" w:color="auto"/>
        <w:bottom w:val="none" w:sz="0" w:space="0" w:color="auto"/>
        <w:right w:val="none" w:sz="0" w:space="0" w:color="auto"/>
      </w:divBdr>
    </w:div>
    <w:div w:id="2047559753">
      <w:bodyDiv w:val="1"/>
      <w:marLeft w:val="0"/>
      <w:marRight w:val="0"/>
      <w:marTop w:val="0"/>
      <w:marBottom w:val="0"/>
      <w:divBdr>
        <w:top w:val="none" w:sz="0" w:space="0" w:color="auto"/>
        <w:left w:val="none" w:sz="0" w:space="0" w:color="auto"/>
        <w:bottom w:val="none" w:sz="0" w:space="0" w:color="auto"/>
        <w:right w:val="none" w:sz="0" w:space="0" w:color="auto"/>
      </w:divBdr>
    </w:div>
    <w:div w:id="2047561845">
      <w:bodyDiv w:val="1"/>
      <w:marLeft w:val="0"/>
      <w:marRight w:val="0"/>
      <w:marTop w:val="0"/>
      <w:marBottom w:val="0"/>
      <w:divBdr>
        <w:top w:val="none" w:sz="0" w:space="0" w:color="auto"/>
        <w:left w:val="none" w:sz="0" w:space="0" w:color="auto"/>
        <w:bottom w:val="none" w:sz="0" w:space="0" w:color="auto"/>
        <w:right w:val="none" w:sz="0" w:space="0" w:color="auto"/>
      </w:divBdr>
    </w:div>
    <w:div w:id="2047633944">
      <w:bodyDiv w:val="1"/>
      <w:marLeft w:val="0"/>
      <w:marRight w:val="0"/>
      <w:marTop w:val="0"/>
      <w:marBottom w:val="0"/>
      <w:divBdr>
        <w:top w:val="none" w:sz="0" w:space="0" w:color="auto"/>
        <w:left w:val="none" w:sz="0" w:space="0" w:color="auto"/>
        <w:bottom w:val="none" w:sz="0" w:space="0" w:color="auto"/>
        <w:right w:val="none" w:sz="0" w:space="0" w:color="auto"/>
      </w:divBdr>
    </w:div>
    <w:div w:id="2047828910">
      <w:bodyDiv w:val="1"/>
      <w:marLeft w:val="0"/>
      <w:marRight w:val="0"/>
      <w:marTop w:val="0"/>
      <w:marBottom w:val="0"/>
      <w:divBdr>
        <w:top w:val="none" w:sz="0" w:space="0" w:color="auto"/>
        <w:left w:val="none" w:sz="0" w:space="0" w:color="auto"/>
        <w:bottom w:val="none" w:sz="0" w:space="0" w:color="auto"/>
        <w:right w:val="none" w:sz="0" w:space="0" w:color="auto"/>
      </w:divBdr>
    </w:div>
    <w:div w:id="2047869063">
      <w:bodyDiv w:val="1"/>
      <w:marLeft w:val="0"/>
      <w:marRight w:val="0"/>
      <w:marTop w:val="0"/>
      <w:marBottom w:val="0"/>
      <w:divBdr>
        <w:top w:val="none" w:sz="0" w:space="0" w:color="auto"/>
        <w:left w:val="none" w:sz="0" w:space="0" w:color="auto"/>
        <w:bottom w:val="none" w:sz="0" w:space="0" w:color="auto"/>
        <w:right w:val="none" w:sz="0" w:space="0" w:color="auto"/>
      </w:divBdr>
    </w:div>
    <w:div w:id="2047870655">
      <w:bodyDiv w:val="1"/>
      <w:marLeft w:val="0"/>
      <w:marRight w:val="0"/>
      <w:marTop w:val="0"/>
      <w:marBottom w:val="0"/>
      <w:divBdr>
        <w:top w:val="none" w:sz="0" w:space="0" w:color="auto"/>
        <w:left w:val="none" w:sz="0" w:space="0" w:color="auto"/>
        <w:bottom w:val="none" w:sz="0" w:space="0" w:color="auto"/>
        <w:right w:val="none" w:sz="0" w:space="0" w:color="auto"/>
      </w:divBdr>
    </w:div>
    <w:div w:id="2047947160">
      <w:bodyDiv w:val="1"/>
      <w:marLeft w:val="0"/>
      <w:marRight w:val="0"/>
      <w:marTop w:val="0"/>
      <w:marBottom w:val="0"/>
      <w:divBdr>
        <w:top w:val="none" w:sz="0" w:space="0" w:color="auto"/>
        <w:left w:val="none" w:sz="0" w:space="0" w:color="auto"/>
        <w:bottom w:val="none" w:sz="0" w:space="0" w:color="auto"/>
        <w:right w:val="none" w:sz="0" w:space="0" w:color="auto"/>
      </w:divBdr>
    </w:div>
    <w:div w:id="2047950334">
      <w:bodyDiv w:val="1"/>
      <w:marLeft w:val="0"/>
      <w:marRight w:val="0"/>
      <w:marTop w:val="0"/>
      <w:marBottom w:val="0"/>
      <w:divBdr>
        <w:top w:val="none" w:sz="0" w:space="0" w:color="auto"/>
        <w:left w:val="none" w:sz="0" w:space="0" w:color="auto"/>
        <w:bottom w:val="none" w:sz="0" w:space="0" w:color="auto"/>
        <w:right w:val="none" w:sz="0" w:space="0" w:color="auto"/>
      </w:divBdr>
    </w:div>
    <w:div w:id="2047951637">
      <w:bodyDiv w:val="1"/>
      <w:marLeft w:val="0"/>
      <w:marRight w:val="0"/>
      <w:marTop w:val="0"/>
      <w:marBottom w:val="0"/>
      <w:divBdr>
        <w:top w:val="none" w:sz="0" w:space="0" w:color="auto"/>
        <w:left w:val="none" w:sz="0" w:space="0" w:color="auto"/>
        <w:bottom w:val="none" w:sz="0" w:space="0" w:color="auto"/>
        <w:right w:val="none" w:sz="0" w:space="0" w:color="auto"/>
      </w:divBdr>
    </w:div>
    <w:div w:id="2048020378">
      <w:bodyDiv w:val="1"/>
      <w:marLeft w:val="0"/>
      <w:marRight w:val="0"/>
      <w:marTop w:val="0"/>
      <w:marBottom w:val="0"/>
      <w:divBdr>
        <w:top w:val="none" w:sz="0" w:space="0" w:color="auto"/>
        <w:left w:val="none" w:sz="0" w:space="0" w:color="auto"/>
        <w:bottom w:val="none" w:sz="0" w:space="0" w:color="auto"/>
        <w:right w:val="none" w:sz="0" w:space="0" w:color="auto"/>
      </w:divBdr>
    </w:div>
    <w:div w:id="2048097202">
      <w:bodyDiv w:val="1"/>
      <w:marLeft w:val="0"/>
      <w:marRight w:val="0"/>
      <w:marTop w:val="0"/>
      <w:marBottom w:val="0"/>
      <w:divBdr>
        <w:top w:val="none" w:sz="0" w:space="0" w:color="auto"/>
        <w:left w:val="none" w:sz="0" w:space="0" w:color="auto"/>
        <w:bottom w:val="none" w:sz="0" w:space="0" w:color="auto"/>
        <w:right w:val="none" w:sz="0" w:space="0" w:color="auto"/>
      </w:divBdr>
    </w:div>
    <w:div w:id="2048212765">
      <w:bodyDiv w:val="1"/>
      <w:marLeft w:val="0"/>
      <w:marRight w:val="0"/>
      <w:marTop w:val="0"/>
      <w:marBottom w:val="0"/>
      <w:divBdr>
        <w:top w:val="none" w:sz="0" w:space="0" w:color="auto"/>
        <w:left w:val="none" w:sz="0" w:space="0" w:color="auto"/>
        <w:bottom w:val="none" w:sz="0" w:space="0" w:color="auto"/>
        <w:right w:val="none" w:sz="0" w:space="0" w:color="auto"/>
      </w:divBdr>
    </w:div>
    <w:div w:id="2048218298">
      <w:bodyDiv w:val="1"/>
      <w:marLeft w:val="0"/>
      <w:marRight w:val="0"/>
      <w:marTop w:val="0"/>
      <w:marBottom w:val="0"/>
      <w:divBdr>
        <w:top w:val="none" w:sz="0" w:space="0" w:color="auto"/>
        <w:left w:val="none" w:sz="0" w:space="0" w:color="auto"/>
        <w:bottom w:val="none" w:sz="0" w:space="0" w:color="auto"/>
        <w:right w:val="none" w:sz="0" w:space="0" w:color="auto"/>
      </w:divBdr>
    </w:div>
    <w:div w:id="2048287783">
      <w:bodyDiv w:val="1"/>
      <w:marLeft w:val="0"/>
      <w:marRight w:val="0"/>
      <w:marTop w:val="0"/>
      <w:marBottom w:val="0"/>
      <w:divBdr>
        <w:top w:val="none" w:sz="0" w:space="0" w:color="auto"/>
        <w:left w:val="none" w:sz="0" w:space="0" w:color="auto"/>
        <w:bottom w:val="none" w:sz="0" w:space="0" w:color="auto"/>
        <w:right w:val="none" w:sz="0" w:space="0" w:color="auto"/>
      </w:divBdr>
    </w:div>
    <w:div w:id="2048294814">
      <w:bodyDiv w:val="1"/>
      <w:marLeft w:val="0"/>
      <w:marRight w:val="0"/>
      <w:marTop w:val="0"/>
      <w:marBottom w:val="0"/>
      <w:divBdr>
        <w:top w:val="none" w:sz="0" w:space="0" w:color="auto"/>
        <w:left w:val="none" w:sz="0" w:space="0" w:color="auto"/>
        <w:bottom w:val="none" w:sz="0" w:space="0" w:color="auto"/>
        <w:right w:val="none" w:sz="0" w:space="0" w:color="auto"/>
      </w:divBdr>
    </w:div>
    <w:div w:id="2048328735">
      <w:bodyDiv w:val="1"/>
      <w:marLeft w:val="0"/>
      <w:marRight w:val="0"/>
      <w:marTop w:val="0"/>
      <w:marBottom w:val="0"/>
      <w:divBdr>
        <w:top w:val="none" w:sz="0" w:space="0" w:color="auto"/>
        <w:left w:val="none" w:sz="0" w:space="0" w:color="auto"/>
        <w:bottom w:val="none" w:sz="0" w:space="0" w:color="auto"/>
        <w:right w:val="none" w:sz="0" w:space="0" w:color="auto"/>
      </w:divBdr>
    </w:div>
    <w:div w:id="2048338198">
      <w:bodyDiv w:val="1"/>
      <w:marLeft w:val="0"/>
      <w:marRight w:val="0"/>
      <w:marTop w:val="0"/>
      <w:marBottom w:val="0"/>
      <w:divBdr>
        <w:top w:val="none" w:sz="0" w:space="0" w:color="auto"/>
        <w:left w:val="none" w:sz="0" w:space="0" w:color="auto"/>
        <w:bottom w:val="none" w:sz="0" w:space="0" w:color="auto"/>
        <w:right w:val="none" w:sz="0" w:space="0" w:color="auto"/>
      </w:divBdr>
    </w:div>
    <w:div w:id="2048480478">
      <w:bodyDiv w:val="1"/>
      <w:marLeft w:val="0"/>
      <w:marRight w:val="0"/>
      <w:marTop w:val="0"/>
      <w:marBottom w:val="0"/>
      <w:divBdr>
        <w:top w:val="none" w:sz="0" w:space="0" w:color="auto"/>
        <w:left w:val="none" w:sz="0" w:space="0" w:color="auto"/>
        <w:bottom w:val="none" w:sz="0" w:space="0" w:color="auto"/>
        <w:right w:val="none" w:sz="0" w:space="0" w:color="auto"/>
      </w:divBdr>
    </w:div>
    <w:div w:id="2048524444">
      <w:bodyDiv w:val="1"/>
      <w:marLeft w:val="0"/>
      <w:marRight w:val="0"/>
      <w:marTop w:val="0"/>
      <w:marBottom w:val="0"/>
      <w:divBdr>
        <w:top w:val="none" w:sz="0" w:space="0" w:color="auto"/>
        <w:left w:val="none" w:sz="0" w:space="0" w:color="auto"/>
        <w:bottom w:val="none" w:sz="0" w:space="0" w:color="auto"/>
        <w:right w:val="none" w:sz="0" w:space="0" w:color="auto"/>
      </w:divBdr>
    </w:div>
    <w:div w:id="2048600923">
      <w:bodyDiv w:val="1"/>
      <w:marLeft w:val="0"/>
      <w:marRight w:val="0"/>
      <w:marTop w:val="0"/>
      <w:marBottom w:val="0"/>
      <w:divBdr>
        <w:top w:val="none" w:sz="0" w:space="0" w:color="auto"/>
        <w:left w:val="none" w:sz="0" w:space="0" w:color="auto"/>
        <w:bottom w:val="none" w:sz="0" w:space="0" w:color="auto"/>
        <w:right w:val="none" w:sz="0" w:space="0" w:color="auto"/>
      </w:divBdr>
    </w:div>
    <w:div w:id="2048603360">
      <w:bodyDiv w:val="1"/>
      <w:marLeft w:val="0"/>
      <w:marRight w:val="0"/>
      <w:marTop w:val="0"/>
      <w:marBottom w:val="0"/>
      <w:divBdr>
        <w:top w:val="none" w:sz="0" w:space="0" w:color="auto"/>
        <w:left w:val="none" w:sz="0" w:space="0" w:color="auto"/>
        <w:bottom w:val="none" w:sz="0" w:space="0" w:color="auto"/>
        <w:right w:val="none" w:sz="0" w:space="0" w:color="auto"/>
      </w:divBdr>
    </w:div>
    <w:div w:id="2048675375">
      <w:bodyDiv w:val="1"/>
      <w:marLeft w:val="0"/>
      <w:marRight w:val="0"/>
      <w:marTop w:val="0"/>
      <w:marBottom w:val="0"/>
      <w:divBdr>
        <w:top w:val="none" w:sz="0" w:space="0" w:color="auto"/>
        <w:left w:val="none" w:sz="0" w:space="0" w:color="auto"/>
        <w:bottom w:val="none" w:sz="0" w:space="0" w:color="auto"/>
        <w:right w:val="none" w:sz="0" w:space="0" w:color="auto"/>
      </w:divBdr>
    </w:div>
    <w:div w:id="2048724561">
      <w:bodyDiv w:val="1"/>
      <w:marLeft w:val="0"/>
      <w:marRight w:val="0"/>
      <w:marTop w:val="0"/>
      <w:marBottom w:val="0"/>
      <w:divBdr>
        <w:top w:val="none" w:sz="0" w:space="0" w:color="auto"/>
        <w:left w:val="none" w:sz="0" w:space="0" w:color="auto"/>
        <w:bottom w:val="none" w:sz="0" w:space="0" w:color="auto"/>
        <w:right w:val="none" w:sz="0" w:space="0" w:color="auto"/>
      </w:divBdr>
    </w:div>
    <w:div w:id="2048799271">
      <w:bodyDiv w:val="1"/>
      <w:marLeft w:val="0"/>
      <w:marRight w:val="0"/>
      <w:marTop w:val="0"/>
      <w:marBottom w:val="0"/>
      <w:divBdr>
        <w:top w:val="none" w:sz="0" w:space="0" w:color="auto"/>
        <w:left w:val="none" w:sz="0" w:space="0" w:color="auto"/>
        <w:bottom w:val="none" w:sz="0" w:space="0" w:color="auto"/>
        <w:right w:val="none" w:sz="0" w:space="0" w:color="auto"/>
      </w:divBdr>
    </w:div>
    <w:div w:id="2048873684">
      <w:bodyDiv w:val="1"/>
      <w:marLeft w:val="0"/>
      <w:marRight w:val="0"/>
      <w:marTop w:val="0"/>
      <w:marBottom w:val="0"/>
      <w:divBdr>
        <w:top w:val="none" w:sz="0" w:space="0" w:color="auto"/>
        <w:left w:val="none" w:sz="0" w:space="0" w:color="auto"/>
        <w:bottom w:val="none" w:sz="0" w:space="0" w:color="auto"/>
        <w:right w:val="none" w:sz="0" w:space="0" w:color="auto"/>
      </w:divBdr>
    </w:div>
    <w:div w:id="2048948729">
      <w:bodyDiv w:val="1"/>
      <w:marLeft w:val="0"/>
      <w:marRight w:val="0"/>
      <w:marTop w:val="0"/>
      <w:marBottom w:val="0"/>
      <w:divBdr>
        <w:top w:val="none" w:sz="0" w:space="0" w:color="auto"/>
        <w:left w:val="none" w:sz="0" w:space="0" w:color="auto"/>
        <w:bottom w:val="none" w:sz="0" w:space="0" w:color="auto"/>
        <w:right w:val="none" w:sz="0" w:space="0" w:color="auto"/>
      </w:divBdr>
    </w:div>
    <w:div w:id="2048987410">
      <w:bodyDiv w:val="1"/>
      <w:marLeft w:val="0"/>
      <w:marRight w:val="0"/>
      <w:marTop w:val="0"/>
      <w:marBottom w:val="0"/>
      <w:divBdr>
        <w:top w:val="none" w:sz="0" w:space="0" w:color="auto"/>
        <w:left w:val="none" w:sz="0" w:space="0" w:color="auto"/>
        <w:bottom w:val="none" w:sz="0" w:space="0" w:color="auto"/>
        <w:right w:val="none" w:sz="0" w:space="0" w:color="auto"/>
      </w:divBdr>
    </w:div>
    <w:div w:id="2049185847">
      <w:bodyDiv w:val="1"/>
      <w:marLeft w:val="0"/>
      <w:marRight w:val="0"/>
      <w:marTop w:val="0"/>
      <w:marBottom w:val="0"/>
      <w:divBdr>
        <w:top w:val="none" w:sz="0" w:space="0" w:color="auto"/>
        <w:left w:val="none" w:sz="0" w:space="0" w:color="auto"/>
        <w:bottom w:val="none" w:sz="0" w:space="0" w:color="auto"/>
        <w:right w:val="none" w:sz="0" w:space="0" w:color="auto"/>
      </w:divBdr>
    </w:div>
    <w:div w:id="2049211292">
      <w:bodyDiv w:val="1"/>
      <w:marLeft w:val="0"/>
      <w:marRight w:val="0"/>
      <w:marTop w:val="0"/>
      <w:marBottom w:val="0"/>
      <w:divBdr>
        <w:top w:val="none" w:sz="0" w:space="0" w:color="auto"/>
        <w:left w:val="none" w:sz="0" w:space="0" w:color="auto"/>
        <w:bottom w:val="none" w:sz="0" w:space="0" w:color="auto"/>
        <w:right w:val="none" w:sz="0" w:space="0" w:color="auto"/>
      </w:divBdr>
    </w:div>
    <w:div w:id="2049254121">
      <w:bodyDiv w:val="1"/>
      <w:marLeft w:val="0"/>
      <w:marRight w:val="0"/>
      <w:marTop w:val="0"/>
      <w:marBottom w:val="0"/>
      <w:divBdr>
        <w:top w:val="none" w:sz="0" w:space="0" w:color="auto"/>
        <w:left w:val="none" w:sz="0" w:space="0" w:color="auto"/>
        <w:bottom w:val="none" w:sz="0" w:space="0" w:color="auto"/>
        <w:right w:val="none" w:sz="0" w:space="0" w:color="auto"/>
      </w:divBdr>
    </w:div>
    <w:div w:id="2049255703">
      <w:bodyDiv w:val="1"/>
      <w:marLeft w:val="0"/>
      <w:marRight w:val="0"/>
      <w:marTop w:val="0"/>
      <w:marBottom w:val="0"/>
      <w:divBdr>
        <w:top w:val="none" w:sz="0" w:space="0" w:color="auto"/>
        <w:left w:val="none" w:sz="0" w:space="0" w:color="auto"/>
        <w:bottom w:val="none" w:sz="0" w:space="0" w:color="auto"/>
        <w:right w:val="none" w:sz="0" w:space="0" w:color="auto"/>
      </w:divBdr>
    </w:div>
    <w:div w:id="2049258955">
      <w:bodyDiv w:val="1"/>
      <w:marLeft w:val="0"/>
      <w:marRight w:val="0"/>
      <w:marTop w:val="0"/>
      <w:marBottom w:val="0"/>
      <w:divBdr>
        <w:top w:val="none" w:sz="0" w:space="0" w:color="auto"/>
        <w:left w:val="none" w:sz="0" w:space="0" w:color="auto"/>
        <w:bottom w:val="none" w:sz="0" w:space="0" w:color="auto"/>
        <w:right w:val="none" w:sz="0" w:space="0" w:color="auto"/>
      </w:divBdr>
    </w:div>
    <w:div w:id="2049261551">
      <w:bodyDiv w:val="1"/>
      <w:marLeft w:val="0"/>
      <w:marRight w:val="0"/>
      <w:marTop w:val="0"/>
      <w:marBottom w:val="0"/>
      <w:divBdr>
        <w:top w:val="none" w:sz="0" w:space="0" w:color="auto"/>
        <w:left w:val="none" w:sz="0" w:space="0" w:color="auto"/>
        <w:bottom w:val="none" w:sz="0" w:space="0" w:color="auto"/>
        <w:right w:val="none" w:sz="0" w:space="0" w:color="auto"/>
      </w:divBdr>
    </w:div>
    <w:div w:id="2049331378">
      <w:bodyDiv w:val="1"/>
      <w:marLeft w:val="0"/>
      <w:marRight w:val="0"/>
      <w:marTop w:val="0"/>
      <w:marBottom w:val="0"/>
      <w:divBdr>
        <w:top w:val="none" w:sz="0" w:space="0" w:color="auto"/>
        <w:left w:val="none" w:sz="0" w:space="0" w:color="auto"/>
        <w:bottom w:val="none" w:sz="0" w:space="0" w:color="auto"/>
        <w:right w:val="none" w:sz="0" w:space="0" w:color="auto"/>
      </w:divBdr>
    </w:div>
    <w:div w:id="2049721837">
      <w:bodyDiv w:val="1"/>
      <w:marLeft w:val="0"/>
      <w:marRight w:val="0"/>
      <w:marTop w:val="0"/>
      <w:marBottom w:val="0"/>
      <w:divBdr>
        <w:top w:val="none" w:sz="0" w:space="0" w:color="auto"/>
        <w:left w:val="none" w:sz="0" w:space="0" w:color="auto"/>
        <w:bottom w:val="none" w:sz="0" w:space="0" w:color="auto"/>
        <w:right w:val="none" w:sz="0" w:space="0" w:color="auto"/>
      </w:divBdr>
    </w:div>
    <w:div w:id="2049791190">
      <w:bodyDiv w:val="1"/>
      <w:marLeft w:val="0"/>
      <w:marRight w:val="0"/>
      <w:marTop w:val="0"/>
      <w:marBottom w:val="0"/>
      <w:divBdr>
        <w:top w:val="none" w:sz="0" w:space="0" w:color="auto"/>
        <w:left w:val="none" w:sz="0" w:space="0" w:color="auto"/>
        <w:bottom w:val="none" w:sz="0" w:space="0" w:color="auto"/>
        <w:right w:val="none" w:sz="0" w:space="0" w:color="auto"/>
      </w:divBdr>
    </w:div>
    <w:div w:id="2049985882">
      <w:bodyDiv w:val="1"/>
      <w:marLeft w:val="0"/>
      <w:marRight w:val="0"/>
      <w:marTop w:val="0"/>
      <w:marBottom w:val="0"/>
      <w:divBdr>
        <w:top w:val="none" w:sz="0" w:space="0" w:color="auto"/>
        <w:left w:val="none" w:sz="0" w:space="0" w:color="auto"/>
        <w:bottom w:val="none" w:sz="0" w:space="0" w:color="auto"/>
        <w:right w:val="none" w:sz="0" w:space="0" w:color="auto"/>
      </w:divBdr>
    </w:div>
    <w:div w:id="2049989358">
      <w:bodyDiv w:val="1"/>
      <w:marLeft w:val="0"/>
      <w:marRight w:val="0"/>
      <w:marTop w:val="0"/>
      <w:marBottom w:val="0"/>
      <w:divBdr>
        <w:top w:val="none" w:sz="0" w:space="0" w:color="auto"/>
        <w:left w:val="none" w:sz="0" w:space="0" w:color="auto"/>
        <w:bottom w:val="none" w:sz="0" w:space="0" w:color="auto"/>
        <w:right w:val="none" w:sz="0" w:space="0" w:color="auto"/>
      </w:divBdr>
    </w:div>
    <w:div w:id="2050033094">
      <w:bodyDiv w:val="1"/>
      <w:marLeft w:val="0"/>
      <w:marRight w:val="0"/>
      <w:marTop w:val="0"/>
      <w:marBottom w:val="0"/>
      <w:divBdr>
        <w:top w:val="none" w:sz="0" w:space="0" w:color="auto"/>
        <w:left w:val="none" w:sz="0" w:space="0" w:color="auto"/>
        <w:bottom w:val="none" w:sz="0" w:space="0" w:color="auto"/>
        <w:right w:val="none" w:sz="0" w:space="0" w:color="auto"/>
      </w:divBdr>
    </w:div>
    <w:div w:id="2050104363">
      <w:bodyDiv w:val="1"/>
      <w:marLeft w:val="0"/>
      <w:marRight w:val="0"/>
      <w:marTop w:val="0"/>
      <w:marBottom w:val="0"/>
      <w:divBdr>
        <w:top w:val="none" w:sz="0" w:space="0" w:color="auto"/>
        <w:left w:val="none" w:sz="0" w:space="0" w:color="auto"/>
        <w:bottom w:val="none" w:sz="0" w:space="0" w:color="auto"/>
        <w:right w:val="none" w:sz="0" w:space="0" w:color="auto"/>
      </w:divBdr>
    </w:div>
    <w:div w:id="2050105792">
      <w:bodyDiv w:val="1"/>
      <w:marLeft w:val="0"/>
      <w:marRight w:val="0"/>
      <w:marTop w:val="0"/>
      <w:marBottom w:val="0"/>
      <w:divBdr>
        <w:top w:val="none" w:sz="0" w:space="0" w:color="auto"/>
        <w:left w:val="none" w:sz="0" w:space="0" w:color="auto"/>
        <w:bottom w:val="none" w:sz="0" w:space="0" w:color="auto"/>
        <w:right w:val="none" w:sz="0" w:space="0" w:color="auto"/>
      </w:divBdr>
    </w:div>
    <w:div w:id="2050374050">
      <w:bodyDiv w:val="1"/>
      <w:marLeft w:val="0"/>
      <w:marRight w:val="0"/>
      <w:marTop w:val="0"/>
      <w:marBottom w:val="0"/>
      <w:divBdr>
        <w:top w:val="none" w:sz="0" w:space="0" w:color="auto"/>
        <w:left w:val="none" w:sz="0" w:space="0" w:color="auto"/>
        <w:bottom w:val="none" w:sz="0" w:space="0" w:color="auto"/>
        <w:right w:val="none" w:sz="0" w:space="0" w:color="auto"/>
      </w:divBdr>
    </w:div>
    <w:div w:id="2050451570">
      <w:bodyDiv w:val="1"/>
      <w:marLeft w:val="0"/>
      <w:marRight w:val="0"/>
      <w:marTop w:val="0"/>
      <w:marBottom w:val="0"/>
      <w:divBdr>
        <w:top w:val="none" w:sz="0" w:space="0" w:color="auto"/>
        <w:left w:val="none" w:sz="0" w:space="0" w:color="auto"/>
        <w:bottom w:val="none" w:sz="0" w:space="0" w:color="auto"/>
        <w:right w:val="none" w:sz="0" w:space="0" w:color="auto"/>
      </w:divBdr>
    </w:div>
    <w:div w:id="2050522582">
      <w:bodyDiv w:val="1"/>
      <w:marLeft w:val="0"/>
      <w:marRight w:val="0"/>
      <w:marTop w:val="0"/>
      <w:marBottom w:val="0"/>
      <w:divBdr>
        <w:top w:val="none" w:sz="0" w:space="0" w:color="auto"/>
        <w:left w:val="none" w:sz="0" w:space="0" w:color="auto"/>
        <w:bottom w:val="none" w:sz="0" w:space="0" w:color="auto"/>
        <w:right w:val="none" w:sz="0" w:space="0" w:color="auto"/>
      </w:divBdr>
    </w:div>
    <w:div w:id="2050563731">
      <w:bodyDiv w:val="1"/>
      <w:marLeft w:val="0"/>
      <w:marRight w:val="0"/>
      <w:marTop w:val="0"/>
      <w:marBottom w:val="0"/>
      <w:divBdr>
        <w:top w:val="none" w:sz="0" w:space="0" w:color="auto"/>
        <w:left w:val="none" w:sz="0" w:space="0" w:color="auto"/>
        <w:bottom w:val="none" w:sz="0" w:space="0" w:color="auto"/>
        <w:right w:val="none" w:sz="0" w:space="0" w:color="auto"/>
      </w:divBdr>
    </w:div>
    <w:div w:id="2050719089">
      <w:bodyDiv w:val="1"/>
      <w:marLeft w:val="0"/>
      <w:marRight w:val="0"/>
      <w:marTop w:val="0"/>
      <w:marBottom w:val="0"/>
      <w:divBdr>
        <w:top w:val="none" w:sz="0" w:space="0" w:color="auto"/>
        <w:left w:val="none" w:sz="0" w:space="0" w:color="auto"/>
        <w:bottom w:val="none" w:sz="0" w:space="0" w:color="auto"/>
        <w:right w:val="none" w:sz="0" w:space="0" w:color="auto"/>
      </w:divBdr>
    </w:div>
    <w:div w:id="2050759906">
      <w:bodyDiv w:val="1"/>
      <w:marLeft w:val="0"/>
      <w:marRight w:val="0"/>
      <w:marTop w:val="0"/>
      <w:marBottom w:val="0"/>
      <w:divBdr>
        <w:top w:val="none" w:sz="0" w:space="0" w:color="auto"/>
        <w:left w:val="none" w:sz="0" w:space="0" w:color="auto"/>
        <w:bottom w:val="none" w:sz="0" w:space="0" w:color="auto"/>
        <w:right w:val="none" w:sz="0" w:space="0" w:color="auto"/>
      </w:divBdr>
    </w:div>
    <w:div w:id="2050910932">
      <w:bodyDiv w:val="1"/>
      <w:marLeft w:val="0"/>
      <w:marRight w:val="0"/>
      <w:marTop w:val="0"/>
      <w:marBottom w:val="0"/>
      <w:divBdr>
        <w:top w:val="none" w:sz="0" w:space="0" w:color="auto"/>
        <w:left w:val="none" w:sz="0" w:space="0" w:color="auto"/>
        <w:bottom w:val="none" w:sz="0" w:space="0" w:color="auto"/>
        <w:right w:val="none" w:sz="0" w:space="0" w:color="auto"/>
      </w:divBdr>
    </w:div>
    <w:div w:id="2050950766">
      <w:bodyDiv w:val="1"/>
      <w:marLeft w:val="0"/>
      <w:marRight w:val="0"/>
      <w:marTop w:val="0"/>
      <w:marBottom w:val="0"/>
      <w:divBdr>
        <w:top w:val="none" w:sz="0" w:space="0" w:color="auto"/>
        <w:left w:val="none" w:sz="0" w:space="0" w:color="auto"/>
        <w:bottom w:val="none" w:sz="0" w:space="0" w:color="auto"/>
        <w:right w:val="none" w:sz="0" w:space="0" w:color="auto"/>
      </w:divBdr>
    </w:div>
    <w:div w:id="2051027800">
      <w:bodyDiv w:val="1"/>
      <w:marLeft w:val="0"/>
      <w:marRight w:val="0"/>
      <w:marTop w:val="0"/>
      <w:marBottom w:val="0"/>
      <w:divBdr>
        <w:top w:val="none" w:sz="0" w:space="0" w:color="auto"/>
        <w:left w:val="none" w:sz="0" w:space="0" w:color="auto"/>
        <w:bottom w:val="none" w:sz="0" w:space="0" w:color="auto"/>
        <w:right w:val="none" w:sz="0" w:space="0" w:color="auto"/>
      </w:divBdr>
    </w:div>
    <w:div w:id="2051100801">
      <w:bodyDiv w:val="1"/>
      <w:marLeft w:val="0"/>
      <w:marRight w:val="0"/>
      <w:marTop w:val="0"/>
      <w:marBottom w:val="0"/>
      <w:divBdr>
        <w:top w:val="none" w:sz="0" w:space="0" w:color="auto"/>
        <w:left w:val="none" w:sz="0" w:space="0" w:color="auto"/>
        <w:bottom w:val="none" w:sz="0" w:space="0" w:color="auto"/>
        <w:right w:val="none" w:sz="0" w:space="0" w:color="auto"/>
      </w:divBdr>
    </w:div>
    <w:div w:id="2051109238">
      <w:bodyDiv w:val="1"/>
      <w:marLeft w:val="0"/>
      <w:marRight w:val="0"/>
      <w:marTop w:val="0"/>
      <w:marBottom w:val="0"/>
      <w:divBdr>
        <w:top w:val="none" w:sz="0" w:space="0" w:color="auto"/>
        <w:left w:val="none" w:sz="0" w:space="0" w:color="auto"/>
        <w:bottom w:val="none" w:sz="0" w:space="0" w:color="auto"/>
        <w:right w:val="none" w:sz="0" w:space="0" w:color="auto"/>
      </w:divBdr>
    </w:div>
    <w:div w:id="2051218772">
      <w:bodyDiv w:val="1"/>
      <w:marLeft w:val="0"/>
      <w:marRight w:val="0"/>
      <w:marTop w:val="0"/>
      <w:marBottom w:val="0"/>
      <w:divBdr>
        <w:top w:val="none" w:sz="0" w:space="0" w:color="auto"/>
        <w:left w:val="none" w:sz="0" w:space="0" w:color="auto"/>
        <w:bottom w:val="none" w:sz="0" w:space="0" w:color="auto"/>
        <w:right w:val="none" w:sz="0" w:space="0" w:color="auto"/>
      </w:divBdr>
    </w:div>
    <w:div w:id="2051297628">
      <w:bodyDiv w:val="1"/>
      <w:marLeft w:val="0"/>
      <w:marRight w:val="0"/>
      <w:marTop w:val="0"/>
      <w:marBottom w:val="0"/>
      <w:divBdr>
        <w:top w:val="none" w:sz="0" w:space="0" w:color="auto"/>
        <w:left w:val="none" w:sz="0" w:space="0" w:color="auto"/>
        <w:bottom w:val="none" w:sz="0" w:space="0" w:color="auto"/>
        <w:right w:val="none" w:sz="0" w:space="0" w:color="auto"/>
      </w:divBdr>
    </w:div>
    <w:div w:id="2051298984">
      <w:bodyDiv w:val="1"/>
      <w:marLeft w:val="0"/>
      <w:marRight w:val="0"/>
      <w:marTop w:val="0"/>
      <w:marBottom w:val="0"/>
      <w:divBdr>
        <w:top w:val="none" w:sz="0" w:space="0" w:color="auto"/>
        <w:left w:val="none" w:sz="0" w:space="0" w:color="auto"/>
        <w:bottom w:val="none" w:sz="0" w:space="0" w:color="auto"/>
        <w:right w:val="none" w:sz="0" w:space="0" w:color="auto"/>
      </w:divBdr>
    </w:div>
    <w:div w:id="2051300466">
      <w:bodyDiv w:val="1"/>
      <w:marLeft w:val="0"/>
      <w:marRight w:val="0"/>
      <w:marTop w:val="0"/>
      <w:marBottom w:val="0"/>
      <w:divBdr>
        <w:top w:val="none" w:sz="0" w:space="0" w:color="auto"/>
        <w:left w:val="none" w:sz="0" w:space="0" w:color="auto"/>
        <w:bottom w:val="none" w:sz="0" w:space="0" w:color="auto"/>
        <w:right w:val="none" w:sz="0" w:space="0" w:color="auto"/>
      </w:divBdr>
    </w:div>
    <w:div w:id="2051343761">
      <w:bodyDiv w:val="1"/>
      <w:marLeft w:val="0"/>
      <w:marRight w:val="0"/>
      <w:marTop w:val="0"/>
      <w:marBottom w:val="0"/>
      <w:divBdr>
        <w:top w:val="none" w:sz="0" w:space="0" w:color="auto"/>
        <w:left w:val="none" w:sz="0" w:space="0" w:color="auto"/>
        <w:bottom w:val="none" w:sz="0" w:space="0" w:color="auto"/>
        <w:right w:val="none" w:sz="0" w:space="0" w:color="auto"/>
      </w:divBdr>
    </w:div>
    <w:div w:id="2051371550">
      <w:bodyDiv w:val="1"/>
      <w:marLeft w:val="0"/>
      <w:marRight w:val="0"/>
      <w:marTop w:val="0"/>
      <w:marBottom w:val="0"/>
      <w:divBdr>
        <w:top w:val="none" w:sz="0" w:space="0" w:color="auto"/>
        <w:left w:val="none" w:sz="0" w:space="0" w:color="auto"/>
        <w:bottom w:val="none" w:sz="0" w:space="0" w:color="auto"/>
        <w:right w:val="none" w:sz="0" w:space="0" w:color="auto"/>
      </w:divBdr>
    </w:div>
    <w:div w:id="2051375045">
      <w:bodyDiv w:val="1"/>
      <w:marLeft w:val="0"/>
      <w:marRight w:val="0"/>
      <w:marTop w:val="0"/>
      <w:marBottom w:val="0"/>
      <w:divBdr>
        <w:top w:val="none" w:sz="0" w:space="0" w:color="auto"/>
        <w:left w:val="none" w:sz="0" w:space="0" w:color="auto"/>
        <w:bottom w:val="none" w:sz="0" w:space="0" w:color="auto"/>
        <w:right w:val="none" w:sz="0" w:space="0" w:color="auto"/>
      </w:divBdr>
    </w:div>
    <w:div w:id="2051417797">
      <w:bodyDiv w:val="1"/>
      <w:marLeft w:val="0"/>
      <w:marRight w:val="0"/>
      <w:marTop w:val="0"/>
      <w:marBottom w:val="0"/>
      <w:divBdr>
        <w:top w:val="none" w:sz="0" w:space="0" w:color="auto"/>
        <w:left w:val="none" w:sz="0" w:space="0" w:color="auto"/>
        <w:bottom w:val="none" w:sz="0" w:space="0" w:color="auto"/>
        <w:right w:val="none" w:sz="0" w:space="0" w:color="auto"/>
      </w:divBdr>
    </w:div>
    <w:div w:id="2051565223">
      <w:bodyDiv w:val="1"/>
      <w:marLeft w:val="0"/>
      <w:marRight w:val="0"/>
      <w:marTop w:val="0"/>
      <w:marBottom w:val="0"/>
      <w:divBdr>
        <w:top w:val="none" w:sz="0" w:space="0" w:color="auto"/>
        <w:left w:val="none" w:sz="0" w:space="0" w:color="auto"/>
        <w:bottom w:val="none" w:sz="0" w:space="0" w:color="auto"/>
        <w:right w:val="none" w:sz="0" w:space="0" w:color="auto"/>
      </w:divBdr>
    </w:div>
    <w:div w:id="2051607117">
      <w:bodyDiv w:val="1"/>
      <w:marLeft w:val="0"/>
      <w:marRight w:val="0"/>
      <w:marTop w:val="0"/>
      <w:marBottom w:val="0"/>
      <w:divBdr>
        <w:top w:val="none" w:sz="0" w:space="0" w:color="auto"/>
        <w:left w:val="none" w:sz="0" w:space="0" w:color="auto"/>
        <w:bottom w:val="none" w:sz="0" w:space="0" w:color="auto"/>
        <w:right w:val="none" w:sz="0" w:space="0" w:color="auto"/>
      </w:divBdr>
    </w:div>
    <w:div w:id="2051873840">
      <w:bodyDiv w:val="1"/>
      <w:marLeft w:val="0"/>
      <w:marRight w:val="0"/>
      <w:marTop w:val="0"/>
      <w:marBottom w:val="0"/>
      <w:divBdr>
        <w:top w:val="none" w:sz="0" w:space="0" w:color="auto"/>
        <w:left w:val="none" w:sz="0" w:space="0" w:color="auto"/>
        <w:bottom w:val="none" w:sz="0" w:space="0" w:color="auto"/>
        <w:right w:val="none" w:sz="0" w:space="0" w:color="auto"/>
      </w:divBdr>
    </w:div>
    <w:div w:id="2051877144">
      <w:bodyDiv w:val="1"/>
      <w:marLeft w:val="0"/>
      <w:marRight w:val="0"/>
      <w:marTop w:val="0"/>
      <w:marBottom w:val="0"/>
      <w:divBdr>
        <w:top w:val="none" w:sz="0" w:space="0" w:color="auto"/>
        <w:left w:val="none" w:sz="0" w:space="0" w:color="auto"/>
        <w:bottom w:val="none" w:sz="0" w:space="0" w:color="auto"/>
        <w:right w:val="none" w:sz="0" w:space="0" w:color="auto"/>
      </w:divBdr>
    </w:div>
    <w:div w:id="2051953926">
      <w:bodyDiv w:val="1"/>
      <w:marLeft w:val="0"/>
      <w:marRight w:val="0"/>
      <w:marTop w:val="0"/>
      <w:marBottom w:val="0"/>
      <w:divBdr>
        <w:top w:val="none" w:sz="0" w:space="0" w:color="auto"/>
        <w:left w:val="none" w:sz="0" w:space="0" w:color="auto"/>
        <w:bottom w:val="none" w:sz="0" w:space="0" w:color="auto"/>
        <w:right w:val="none" w:sz="0" w:space="0" w:color="auto"/>
      </w:divBdr>
    </w:div>
    <w:div w:id="2051955043">
      <w:bodyDiv w:val="1"/>
      <w:marLeft w:val="0"/>
      <w:marRight w:val="0"/>
      <w:marTop w:val="0"/>
      <w:marBottom w:val="0"/>
      <w:divBdr>
        <w:top w:val="none" w:sz="0" w:space="0" w:color="auto"/>
        <w:left w:val="none" w:sz="0" w:space="0" w:color="auto"/>
        <w:bottom w:val="none" w:sz="0" w:space="0" w:color="auto"/>
        <w:right w:val="none" w:sz="0" w:space="0" w:color="auto"/>
      </w:divBdr>
    </w:div>
    <w:div w:id="2052069271">
      <w:bodyDiv w:val="1"/>
      <w:marLeft w:val="0"/>
      <w:marRight w:val="0"/>
      <w:marTop w:val="0"/>
      <w:marBottom w:val="0"/>
      <w:divBdr>
        <w:top w:val="none" w:sz="0" w:space="0" w:color="auto"/>
        <w:left w:val="none" w:sz="0" w:space="0" w:color="auto"/>
        <w:bottom w:val="none" w:sz="0" w:space="0" w:color="auto"/>
        <w:right w:val="none" w:sz="0" w:space="0" w:color="auto"/>
      </w:divBdr>
    </w:div>
    <w:div w:id="2052144573">
      <w:bodyDiv w:val="1"/>
      <w:marLeft w:val="0"/>
      <w:marRight w:val="0"/>
      <w:marTop w:val="0"/>
      <w:marBottom w:val="0"/>
      <w:divBdr>
        <w:top w:val="none" w:sz="0" w:space="0" w:color="auto"/>
        <w:left w:val="none" w:sz="0" w:space="0" w:color="auto"/>
        <w:bottom w:val="none" w:sz="0" w:space="0" w:color="auto"/>
        <w:right w:val="none" w:sz="0" w:space="0" w:color="auto"/>
      </w:divBdr>
    </w:div>
    <w:div w:id="2052148206">
      <w:bodyDiv w:val="1"/>
      <w:marLeft w:val="0"/>
      <w:marRight w:val="0"/>
      <w:marTop w:val="0"/>
      <w:marBottom w:val="0"/>
      <w:divBdr>
        <w:top w:val="none" w:sz="0" w:space="0" w:color="auto"/>
        <w:left w:val="none" w:sz="0" w:space="0" w:color="auto"/>
        <w:bottom w:val="none" w:sz="0" w:space="0" w:color="auto"/>
        <w:right w:val="none" w:sz="0" w:space="0" w:color="auto"/>
      </w:divBdr>
    </w:div>
    <w:div w:id="2052194554">
      <w:bodyDiv w:val="1"/>
      <w:marLeft w:val="0"/>
      <w:marRight w:val="0"/>
      <w:marTop w:val="0"/>
      <w:marBottom w:val="0"/>
      <w:divBdr>
        <w:top w:val="none" w:sz="0" w:space="0" w:color="auto"/>
        <w:left w:val="none" w:sz="0" w:space="0" w:color="auto"/>
        <w:bottom w:val="none" w:sz="0" w:space="0" w:color="auto"/>
        <w:right w:val="none" w:sz="0" w:space="0" w:color="auto"/>
      </w:divBdr>
    </w:div>
    <w:div w:id="2052220159">
      <w:bodyDiv w:val="1"/>
      <w:marLeft w:val="0"/>
      <w:marRight w:val="0"/>
      <w:marTop w:val="0"/>
      <w:marBottom w:val="0"/>
      <w:divBdr>
        <w:top w:val="none" w:sz="0" w:space="0" w:color="auto"/>
        <w:left w:val="none" w:sz="0" w:space="0" w:color="auto"/>
        <w:bottom w:val="none" w:sz="0" w:space="0" w:color="auto"/>
        <w:right w:val="none" w:sz="0" w:space="0" w:color="auto"/>
      </w:divBdr>
    </w:div>
    <w:div w:id="2052261996">
      <w:bodyDiv w:val="1"/>
      <w:marLeft w:val="0"/>
      <w:marRight w:val="0"/>
      <w:marTop w:val="0"/>
      <w:marBottom w:val="0"/>
      <w:divBdr>
        <w:top w:val="none" w:sz="0" w:space="0" w:color="auto"/>
        <w:left w:val="none" w:sz="0" w:space="0" w:color="auto"/>
        <w:bottom w:val="none" w:sz="0" w:space="0" w:color="auto"/>
        <w:right w:val="none" w:sz="0" w:space="0" w:color="auto"/>
      </w:divBdr>
    </w:div>
    <w:div w:id="2052530162">
      <w:bodyDiv w:val="1"/>
      <w:marLeft w:val="0"/>
      <w:marRight w:val="0"/>
      <w:marTop w:val="0"/>
      <w:marBottom w:val="0"/>
      <w:divBdr>
        <w:top w:val="none" w:sz="0" w:space="0" w:color="auto"/>
        <w:left w:val="none" w:sz="0" w:space="0" w:color="auto"/>
        <w:bottom w:val="none" w:sz="0" w:space="0" w:color="auto"/>
        <w:right w:val="none" w:sz="0" w:space="0" w:color="auto"/>
      </w:divBdr>
    </w:div>
    <w:div w:id="2052530725">
      <w:bodyDiv w:val="1"/>
      <w:marLeft w:val="0"/>
      <w:marRight w:val="0"/>
      <w:marTop w:val="0"/>
      <w:marBottom w:val="0"/>
      <w:divBdr>
        <w:top w:val="none" w:sz="0" w:space="0" w:color="auto"/>
        <w:left w:val="none" w:sz="0" w:space="0" w:color="auto"/>
        <w:bottom w:val="none" w:sz="0" w:space="0" w:color="auto"/>
        <w:right w:val="none" w:sz="0" w:space="0" w:color="auto"/>
      </w:divBdr>
    </w:div>
    <w:div w:id="2052610261">
      <w:bodyDiv w:val="1"/>
      <w:marLeft w:val="0"/>
      <w:marRight w:val="0"/>
      <w:marTop w:val="0"/>
      <w:marBottom w:val="0"/>
      <w:divBdr>
        <w:top w:val="none" w:sz="0" w:space="0" w:color="auto"/>
        <w:left w:val="none" w:sz="0" w:space="0" w:color="auto"/>
        <w:bottom w:val="none" w:sz="0" w:space="0" w:color="auto"/>
        <w:right w:val="none" w:sz="0" w:space="0" w:color="auto"/>
      </w:divBdr>
    </w:div>
    <w:div w:id="2052612476">
      <w:bodyDiv w:val="1"/>
      <w:marLeft w:val="0"/>
      <w:marRight w:val="0"/>
      <w:marTop w:val="0"/>
      <w:marBottom w:val="0"/>
      <w:divBdr>
        <w:top w:val="none" w:sz="0" w:space="0" w:color="auto"/>
        <w:left w:val="none" w:sz="0" w:space="0" w:color="auto"/>
        <w:bottom w:val="none" w:sz="0" w:space="0" w:color="auto"/>
        <w:right w:val="none" w:sz="0" w:space="0" w:color="auto"/>
      </w:divBdr>
    </w:div>
    <w:div w:id="2052723790">
      <w:bodyDiv w:val="1"/>
      <w:marLeft w:val="0"/>
      <w:marRight w:val="0"/>
      <w:marTop w:val="0"/>
      <w:marBottom w:val="0"/>
      <w:divBdr>
        <w:top w:val="none" w:sz="0" w:space="0" w:color="auto"/>
        <w:left w:val="none" w:sz="0" w:space="0" w:color="auto"/>
        <w:bottom w:val="none" w:sz="0" w:space="0" w:color="auto"/>
        <w:right w:val="none" w:sz="0" w:space="0" w:color="auto"/>
      </w:divBdr>
    </w:div>
    <w:div w:id="2052798775">
      <w:bodyDiv w:val="1"/>
      <w:marLeft w:val="0"/>
      <w:marRight w:val="0"/>
      <w:marTop w:val="0"/>
      <w:marBottom w:val="0"/>
      <w:divBdr>
        <w:top w:val="none" w:sz="0" w:space="0" w:color="auto"/>
        <w:left w:val="none" w:sz="0" w:space="0" w:color="auto"/>
        <w:bottom w:val="none" w:sz="0" w:space="0" w:color="auto"/>
        <w:right w:val="none" w:sz="0" w:space="0" w:color="auto"/>
      </w:divBdr>
    </w:div>
    <w:div w:id="2052800283">
      <w:bodyDiv w:val="1"/>
      <w:marLeft w:val="0"/>
      <w:marRight w:val="0"/>
      <w:marTop w:val="0"/>
      <w:marBottom w:val="0"/>
      <w:divBdr>
        <w:top w:val="none" w:sz="0" w:space="0" w:color="auto"/>
        <w:left w:val="none" w:sz="0" w:space="0" w:color="auto"/>
        <w:bottom w:val="none" w:sz="0" w:space="0" w:color="auto"/>
        <w:right w:val="none" w:sz="0" w:space="0" w:color="auto"/>
      </w:divBdr>
    </w:div>
    <w:div w:id="2052992996">
      <w:bodyDiv w:val="1"/>
      <w:marLeft w:val="0"/>
      <w:marRight w:val="0"/>
      <w:marTop w:val="0"/>
      <w:marBottom w:val="0"/>
      <w:divBdr>
        <w:top w:val="none" w:sz="0" w:space="0" w:color="auto"/>
        <w:left w:val="none" w:sz="0" w:space="0" w:color="auto"/>
        <w:bottom w:val="none" w:sz="0" w:space="0" w:color="auto"/>
        <w:right w:val="none" w:sz="0" w:space="0" w:color="auto"/>
      </w:divBdr>
    </w:div>
    <w:div w:id="2052993704">
      <w:bodyDiv w:val="1"/>
      <w:marLeft w:val="0"/>
      <w:marRight w:val="0"/>
      <w:marTop w:val="0"/>
      <w:marBottom w:val="0"/>
      <w:divBdr>
        <w:top w:val="none" w:sz="0" w:space="0" w:color="auto"/>
        <w:left w:val="none" w:sz="0" w:space="0" w:color="auto"/>
        <w:bottom w:val="none" w:sz="0" w:space="0" w:color="auto"/>
        <w:right w:val="none" w:sz="0" w:space="0" w:color="auto"/>
      </w:divBdr>
    </w:div>
    <w:div w:id="2053265450">
      <w:bodyDiv w:val="1"/>
      <w:marLeft w:val="0"/>
      <w:marRight w:val="0"/>
      <w:marTop w:val="0"/>
      <w:marBottom w:val="0"/>
      <w:divBdr>
        <w:top w:val="none" w:sz="0" w:space="0" w:color="auto"/>
        <w:left w:val="none" w:sz="0" w:space="0" w:color="auto"/>
        <w:bottom w:val="none" w:sz="0" w:space="0" w:color="auto"/>
        <w:right w:val="none" w:sz="0" w:space="0" w:color="auto"/>
      </w:divBdr>
    </w:div>
    <w:div w:id="2053337583">
      <w:bodyDiv w:val="1"/>
      <w:marLeft w:val="0"/>
      <w:marRight w:val="0"/>
      <w:marTop w:val="0"/>
      <w:marBottom w:val="0"/>
      <w:divBdr>
        <w:top w:val="none" w:sz="0" w:space="0" w:color="auto"/>
        <w:left w:val="none" w:sz="0" w:space="0" w:color="auto"/>
        <w:bottom w:val="none" w:sz="0" w:space="0" w:color="auto"/>
        <w:right w:val="none" w:sz="0" w:space="0" w:color="auto"/>
      </w:divBdr>
    </w:div>
    <w:div w:id="2053528868">
      <w:bodyDiv w:val="1"/>
      <w:marLeft w:val="0"/>
      <w:marRight w:val="0"/>
      <w:marTop w:val="0"/>
      <w:marBottom w:val="0"/>
      <w:divBdr>
        <w:top w:val="none" w:sz="0" w:space="0" w:color="auto"/>
        <w:left w:val="none" w:sz="0" w:space="0" w:color="auto"/>
        <w:bottom w:val="none" w:sz="0" w:space="0" w:color="auto"/>
        <w:right w:val="none" w:sz="0" w:space="0" w:color="auto"/>
      </w:divBdr>
    </w:div>
    <w:div w:id="2053530150">
      <w:bodyDiv w:val="1"/>
      <w:marLeft w:val="0"/>
      <w:marRight w:val="0"/>
      <w:marTop w:val="0"/>
      <w:marBottom w:val="0"/>
      <w:divBdr>
        <w:top w:val="none" w:sz="0" w:space="0" w:color="auto"/>
        <w:left w:val="none" w:sz="0" w:space="0" w:color="auto"/>
        <w:bottom w:val="none" w:sz="0" w:space="0" w:color="auto"/>
        <w:right w:val="none" w:sz="0" w:space="0" w:color="auto"/>
      </w:divBdr>
    </w:div>
    <w:div w:id="2053532201">
      <w:bodyDiv w:val="1"/>
      <w:marLeft w:val="0"/>
      <w:marRight w:val="0"/>
      <w:marTop w:val="0"/>
      <w:marBottom w:val="0"/>
      <w:divBdr>
        <w:top w:val="none" w:sz="0" w:space="0" w:color="auto"/>
        <w:left w:val="none" w:sz="0" w:space="0" w:color="auto"/>
        <w:bottom w:val="none" w:sz="0" w:space="0" w:color="auto"/>
        <w:right w:val="none" w:sz="0" w:space="0" w:color="auto"/>
      </w:divBdr>
    </w:div>
    <w:div w:id="2053534150">
      <w:bodyDiv w:val="1"/>
      <w:marLeft w:val="0"/>
      <w:marRight w:val="0"/>
      <w:marTop w:val="0"/>
      <w:marBottom w:val="0"/>
      <w:divBdr>
        <w:top w:val="none" w:sz="0" w:space="0" w:color="auto"/>
        <w:left w:val="none" w:sz="0" w:space="0" w:color="auto"/>
        <w:bottom w:val="none" w:sz="0" w:space="0" w:color="auto"/>
        <w:right w:val="none" w:sz="0" w:space="0" w:color="auto"/>
      </w:divBdr>
    </w:div>
    <w:div w:id="2053571087">
      <w:bodyDiv w:val="1"/>
      <w:marLeft w:val="0"/>
      <w:marRight w:val="0"/>
      <w:marTop w:val="0"/>
      <w:marBottom w:val="0"/>
      <w:divBdr>
        <w:top w:val="none" w:sz="0" w:space="0" w:color="auto"/>
        <w:left w:val="none" w:sz="0" w:space="0" w:color="auto"/>
        <w:bottom w:val="none" w:sz="0" w:space="0" w:color="auto"/>
        <w:right w:val="none" w:sz="0" w:space="0" w:color="auto"/>
      </w:divBdr>
    </w:div>
    <w:div w:id="2053647554">
      <w:bodyDiv w:val="1"/>
      <w:marLeft w:val="0"/>
      <w:marRight w:val="0"/>
      <w:marTop w:val="0"/>
      <w:marBottom w:val="0"/>
      <w:divBdr>
        <w:top w:val="none" w:sz="0" w:space="0" w:color="auto"/>
        <w:left w:val="none" w:sz="0" w:space="0" w:color="auto"/>
        <w:bottom w:val="none" w:sz="0" w:space="0" w:color="auto"/>
        <w:right w:val="none" w:sz="0" w:space="0" w:color="auto"/>
      </w:divBdr>
    </w:div>
    <w:div w:id="2053655282">
      <w:bodyDiv w:val="1"/>
      <w:marLeft w:val="0"/>
      <w:marRight w:val="0"/>
      <w:marTop w:val="0"/>
      <w:marBottom w:val="0"/>
      <w:divBdr>
        <w:top w:val="none" w:sz="0" w:space="0" w:color="auto"/>
        <w:left w:val="none" w:sz="0" w:space="0" w:color="auto"/>
        <w:bottom w:val="none" w:sz="0" w:space="0" w:color="auto"/>
        <w:right w:val="none" w:sz="0" w:space="0" w:color="auto"/>
      </w:divBdr>
    </w:div>
    <w:div w:id="2053769911">
      <w:bodyDiv w:val="1"/>
      <w:marLeft w:val="0"/>
      <w:marRight w:val="0"/>
      <w:marTop w:val="0"/>
      <w:marBottom w:val="0"/>
      <w:divBdr>
        <w:top w:val="none" w:sz="0" w:space="0" w:color="auto"/>
        <w:left w:val="none" w:sz="0" w:space="0" w:color="auto"/>
        <w:bottom w:val="none" w:sz="0" w:space="0" w:color="auto"/>
        <w:right w:val="none" w:sz="0" w:space="0" w:color="auto"/>
      </w:divBdr>
    </w:div>
    <w:div w:id="2053849239">
      <w:bodyDiv w:val="1"/>
      <w:marLeft w:val="0"/>
      <w:marRight w:val="0"/>
      <w:marTop w:val="0"/>
      <w:marBottom w:val="0"/>
      <w:divBdr>
        <w:top w:val="none" w:sz="0" w:space="0" w:color="auto"/>
        <w:left w:val="none" w:sz="0" w:space="0" w:color="auto"/>
        <w:bottom w:val="none" w:sz="0" w:space="0" w:color="auto"/>
        <w:right w:val="none" w:sz="0" w:space="0" w:color="auto"/>
      </w:divBdr>
    </w:div>
    <w:div w:id="2053918996">
      <w:bodyDiv w:val="1"/>
      <w:marLeft w:val="0"/>
      <w:marRight w:val="0"/>
      <w:marTop w:val="0"/>
      <w:marBottom w:val="0"/>
      <w:divBdr>
        <w:top w:val="none" w:sz="0" w:space="0" w:color="auto"/>
        <w:left w:val="none" w:sz="0" w:space="0" w:color="auto"/>
        <w:bottom w:val="none" w:sz="0" w:space="0" w:color="auto"/>
        <w:right w:val="none" w:sz="0" w:space="0" w:color="auto"/>
      </w:divBdr>
    </w:div>
    <w:div w:id="2053921793">
      <w:bodyDiv w:val="1"/>
      <w:marLeft w:val="0"/>
      <w:marRight w:val="0"/>
      <w:marTop w:val="0"/>
      <w:marBottom w:val="0"/>
      <w:divBdr>
        <w:top w:val="none" w:sz="0" w:space="0" w:color="auto"/>
        <w:left w:val="none" w:sz="0" w:space="0" w:color="auto"/>
        <w:bottom w:val="none" w:sz="0" w:space="0" w:color="auto"/>
        <w:right w:val="none" w:sz="0" w:space="0" w:color="auto"/>
      </w:divBdr>
    </w:div>
    <w:div w:id="2053923936">
      <w:bodyDiv w:val="1"/>
      <w:marLeft w:val="0"/>
      <w:marRight w:val="0"/>
      <w:marTop w:val="0"/>
      <w:marBottom w:val="0"/>
      <w:divBdr>
        <w:top w:val="none" w:sz="0" w:space="0" w:color="auto"/>
        <w:left w:val="none" w:sz="0" w:space="0" w:color="auto"/>
        <w:bottom w:val="none" w:sz="0" w:space="0" w:color="auto"/>
        <w:right w:val="none" w:sz="0" w:space="0" w:color="auto"/>
      </w:divBdr>
    </w:div>
    <w:div w:id="2053992079">
      <w:bodyDiv w:val="1"/>
      <w:marLeft w:val="0"/>
      <w:marRight w:val="0"/>
      <w:marTop w:val="0"/>
      <w:marBottom w:val="0"/>
      <w:divBdr>
        <w:top w:val="none" w:sz="0" w:space="0" w:color="auto"/>
        <w:left w:val="none" w:sz="0" w:space="0" w:color="auto"/>
        <w:bottom w:val="none" w:sz="0" w:space="0" w:color="auto"/>
        <w:right w:val="none" w:sz="0" w:space="0" w:color="auto"/>
      </w:divBdr>
    </w:div>
    <w:div w:id="2054191744">
      <w:bodyDiv w:val="1"/>
      <w:marLeft w:val="0"/>
      <w:marRight w:val="0"/>
      <w:marTop w:val="0"/>
      <w:marBottom w:val="0"/>
      <w:divBdr>
        <w:top w:val="none" w:sz="0" w:space="0" w:color="auto"/>
        <w:left w:val="none" w:sz="0" w:space="0" w:color="auto"/>
        <w:bottom w:val="none" w:sz="0" w:space="0" w:color="auto"/>
        <w:right w:val="none" w:sz="0" w:space="0" w:color="auto"/>
      </w:divBdr>
    </w:div>
    <w:div w:id="2054426616">
      <w:bodyDiv w:val="1"/>
      <w:marLeft w:val="0"/>
      <w:marRight w:val="0"/>
      <w:marTop w:val="0"/>
      <w:marBottom w:val="0"/>
      <w:divBdr>
        <w:top w:val="none" w:sz="0" w:space="0" w:color="auto"/>
        <w:left w:val="none" w:sz="0" w:space="0" w:color="auto"/>
        <w:bottom w:val="none" w:sz="0" w:space="0" w:color="auto"/>
        <w:right w:val="none" w:sz="0" w:space="0" w:color="auto"/>
      </w:divBdr>
    </w:div>
    <w:div w:id="2054499172">
      <w:bodyDiv w:val="1"/>
      <w:marLeft w:val="0"/>
      <w:marRight w:val="0"/>
      <w:marTop w:val="0"/>
      <w:marBottom w:val="0"/>
      <w:divBdr>
        <w:top w:val="none" w:sz="0" w:space="0" w:color="auto"/>
        <w:left w:val="none" w:sz="0" w:space="0" w:color="auto"/>
        <w:bottom w:val="none" w:sz="0" w:space="0" w:color="auto"/>
        <w:right w:val="none" w:sz="0" w:space="0" w:color="auto"/>
      </w:divBdr>
    </w:div>
    <w:div w:id="2054579888">
      <w:bodyDiv w:val="1"/>
      <w:marLeft w:val="0"/>
      <w:marRight w:val="0"/>
      <w:marTop w:val="0"/>
      <w:marBottom w:val="0"/>
      <w:divBdr>
        <w:top w:val="none" w:sz="0" w:space="0" w:color="auto"/>
        <w:left w:val="none" w:sz="0" w:space="0" w:color="auto"/>
        <w:bottom w:val="none" w:sz="0" w:space="0" w:color="auto"/>
        <w:right w:val="none" w:sz="0" w:space="0" w:color="auto"/>
      </w:divBdr>
    </w:div>
    <w:div w:id="2054764377">
      <w:bodyDiv w:val="1"/>
      <w:marLeft w:val="0"/>
      <w:marRight w:val="0"/>
      <w:marTop w:val="0"/>
      <w:marBottom w:val="0"/>
      <w:divBdr>
        <w:top w:val="none" w:sz="0" w:space="0" w:color="auto"/>
        <w:left w:val="none" w:sz="0" w:space="0" w:color="auto"/>
        <w:bottom w:val="none" w:sz="0" w:space="0" w:color="auto"/>
        <w:right w:val="none" w:sz="0" w:space="0" w:color="auto"/>
      </w:divBdr>
    </w:div>
    <w:div w:id="2054840914">
      <w:bodyDiv w:val="1"/>
      <w:marLeft w:val="0"/>
      <w:marRight w:val="0"/>
      <w:marTop w:val="0"/>
      <w:marBottom w:val="0"/>
      <w:divBdr>
        <w:top w:val="none" w:sz="0" w:space="0" w:color="auto"/>
        <w:left w:val="none" w:sz="0" w:space="0" w:color="auto"/>
        <w:bottom w:val="none" w:sz="0" w:space="0" w:color="auto"/>
        <w:right w:val="none" w:sz="0" w:space="0" w:color="auto"/>
      </w:divBdr>
    </w:div>
    <w:div w:id="2054890631">
      <w:bodyDiv w:val="1"/>
      <w:marLeft w:val="0"/>
      <w:marRight w:val="0"/>
      <w:marTop w:val="0"/>
      <w:marBottom w:val="0"/>
      <w:divBdr>
        <w:top w:val="none" w:sz="0" w:space="0" w:color="auto"/>
        <w:left w:val="none" w:sz="0" w:space="0" w:color="auto"/>
        <w:bottom w:val="none" w:sz="0" w:space="0" w:color="auto"/>
        <w:right w:val="none" w:sz="0" w:space="0" w:color="auto"/>
      </w:divBdr>
    </w:div>
    <w:div w:id="2054959946">
      <w:bodyDiv w:val="1"/>
      <w:marLeft w:val="0"/>
      <w:marRight w:val="0"/>
      <w:marTop w:val="0"/>
      <w:marBottom w:val="0"/>
      <w:divBdr>
        <w:top w:val="none" w:sz="0" w:space="0" w:color="auto"/>
        <w:left w:val="none" w:sz="0" w:space="0" w:color="auto"/>
        <w:bottom w:val="none" w:sz="0" w:space="0" w:color="auto"/>
        <w:right w:val="none" w:sz="0" w:space="0" w:color="auto"/>
      </w:divBdr>
    </w:div>
    <w:div w:id="2054965164">
      <w:bodyDiv w:val="1"/>
      <w:marLeft w:val="0"/>
      <w:marRight w:val="0"/>
      <w:marTop w:val="0"/>
      <w:marBottom w:val="0"/>
      <w:divBdr>
        <w:top w:val="none" w:sz="0" w:space="0" w:color="auto"/>
        <w:left w:val="none" w:sz="0" w:space="0" w:color="auto"/>
        <w:bottom w:val="none" w:sz="0" w:space="0" w:color="auto"/>
        <w:right w:val="none" w:sz="0" w:space="0" w:color="auto"/>
      </w:divBdr>
    </w:div>
    <w:div w:id="2055033146">
      <w:bodyDiv w:val="1"/>
      <w:marLeft w:val="0"/>
      <w:marRight w:val="0"/>
      <w:marTop w:val="0"/>
      <w:marBottom w:val="0"/>
      <w:divBdr>
        <w:top w:val="none" w:sz="0" w:space="0" w:color="auto"/>
        <w:left w:val="none" w:sz="0" w:space="0" w:color="auto"/>
        <w:bottom w:val="none" w:sz="0" w:space="0" w:color="auto"/>
        <w:right w:val="none" w:sz="0" w:space="0" w:color="auto"/>
      </w:divBdr>
    </w:div>
    <w:div w:id="2055038533">
      <w:bodyDiv w:val="1"/>
      <w:marLeft w:val="0"/>
      <w:marRight w:val="0"/>
      <w:marTop w:val="0"/>
      <w:marBottom w:val="0"/>
      <w:divBdr>
        <w:top w:val="none" w:sz="0" w:space="0" w:color="auto"/>
        <w:left w:val="none" w:sz="0" w:space="0" w:color="auto"/>
        <w:bottom w:val="none" w:sz="0" w:space="0" w:color="auto"/>
        <w:right w:val="none" w:sz="0" w:space="0" w:color="auto"/>
      </w:divBdr>
    </w:div>
    <w:div w:id="2055039746">
      <w:bodyDiv w:val="1"/>
      <w:marLeft w:val="0"/>
      <w:marRight w:val="0"/>
      <w:marTop w:val="0"/>
      <w:marBottom w:val="0"/>
      <w:divBdr>
        <w:top w:val="none" w:sz="0" w:space="0" w:color="auto"/>
        <w:left w:val="none" w:sz="0" w:space="0" w:color="auto"/>
        <w:bottom w:val="none" w:sz="0" w:space="0" w:color="auto"/>
        <w:right w:val="none" w:sz="0" w:space="0" w:color="auto"/>
      </w:divBdr>
    </w:div>
    <w:div w:id="2055109589">
      <w:bodyDiv w:val="1"/>
      <w:marLeft w:val="0"/>
      <w:marRight w:val="0"/>
      <w:marTop w:val="0"/>
      <w:marBottom w:val="0"/>
      <w:divBdr>
        <w:top w:val="none" w:sz="0" w:space="0" w:color="auto"/>
        <w:left w:val="none" w:sz="0" w:space="0" w:color="auto"/>
        <w:bottom w:val="none" w:sz="0" w:space="0" w:color="auto"/>
        <w:right w:val="none" w:sz="0" w:space="0" w:color="auto"/>
      </w:divBdr>
    </w:div>
    <w:div w:id="2055110144">
      <w:bodyDiv w:val="1"/>
      <w:marLeft w:val="0"/>
      <w:marRight w:val="0"/>
      <w:marTop w:val="0"/>
      <w:marBottom w:val="0"/>
      <w:divBdr>
        <w:top w:val="none" w:sz="0" w:space="0" w:color="auto"/>
        <w:left w:val="none" w:sz="0" w:space="0" w:color="auto"/>
        <w:bottom w:val="none" w:sz="0" w:space="0" w:color="auto"/>
        <w:right w:val="none" w:sz="0" w:space="0" w:color="auto"/>
      </w:divBdr>
    </w:div>
    <w:div w:id="2055150956">
      <w:bodyDiv w:val="1"/>
      <w:marLeft w:val="0"/>
      <w:marRight w:val="0"/>
      <w:marTop w:val="0"/>
      <w:marBottom w:val="0"/>
      <w:divBdr>
        <w:top w:val="none" w:sz="0" w:space="0" w:color="auto"/>
        <w:left w:val="none" w:sz="0" w:space="0" w:color="auto"/>
        <w:bottom w:val="none" w:sz="0" w:space="0" w:color="auto"/>
        <w:right w:val="none" w:sz="0" w:space="0" w:color="auto"/>
      </w:divBdr>
    </w:div>
    <w:div w:id="2055156804">
      <w:bodyDiv w:val="1"/>
      <w:marLeft w:val="0"/>
      <w:marRight w:val="0"/>
      <w:marTop w:val="0"/>
      <w:marBottom w:val="0"/>
      <w:divBdr>
        <w:top w:val="none" w:sz="0" w:space="0" w:color="auto"/>
        <w:left w:val="none" w:sz="0" w:space="0" w:color="auto"/>
        <w:bottom w:val="none" w:sz="0" w:space="0" w:color="auto"/>
        <w:right w:val="none" w:sz="0" w:space="0" w:color="auto"/>
      </w:divBdr>
    </w:div>
    <w:div w:id="2055158171">
      <w:bodyDiv w:val="1"/>
      <w:marLeft w:val="0"/>
      <w:marRight w:val="0"/>
      <w:marTop w:val="0"/>
      <w:marBottom w:val="0"/>
      <w:divBdr>
        <w:top w:val="none" w:sz="0" w:space="0" w:color="auto"/>
        <w:left w:val="none" w:sz="0" w:space="0" w:color="auto"/>
        <w:bottom w:val="none" w:sz="0" w:space="0" w:color="auto"/>
        <w:right w:val="none" w:sz="0" w:space="0" w:color="auto"/>
      </w:divBdr>
    </w:div>
    <w:div w:id="2055228512">
      <w:bodyDiv w:val="1"/>
      <w:marLeft w:val="0"/>
      <w:marRight w:val="0"/>
      <w:marTop w:val="0"/>
      <w:marBottom w:val="0"/>
      <w:divBdr>
        <w:top w:val="none" w:sz="0" w:space="0" w:color="auto"/>
        <w:left w:val="none" w:sz="0" w:space="0" w:color="auto"/>
        <w:bottom w:val="none" w:sz="0" w:space="0" w:color="auto"/>
        <w:right w:val="none" w:sz="0" w:space="0" w:color="auto"/>
      </w:divBdr>
    </w:div>
    <w:div w:id="2055301754">
      <w:bodyDiv w:val="1"/>
      <w:marLeft w:val="0"/>
      <w:marRight w:val="0"/>
      <w:marTop w:val="0"/>
      <w:marBottom w:val="0"/>
      <w:divBdr>
        <w:top w:val="none" w:sz="0" w:space="0" w:color="auto"/>
        <w:left w:val="none" w:sz="0" w:space="0" w:color="auto"/>
        <w:bottom w:val="none" w:sz="0" w:space="0" w:color="auto"/>
        <w:right w:val="none" w:sz="0" w:space="0" w:color="auto"/>
      </w:divBdr>
    </w:div>
    <w:div w:id="2055350170">
      <w:bodyDiv w:val="1"/>
      <w:marLeft w:val="0"/>
      <w:marRight w:val="0"/>
      <w:marTop w:val="0"/>
      <w:marBottom w:val="0"/>
      <w:divBdr>
        <w:top w:val="none" w:sz="0" w:space="0" w:color="auto"/>
        <w:left w:val="none" w:sz="0" w:space="0" w:color="auto"/>
        <w:bottom w:val="none" w:sz="0" w:space="0" w:color="auto"/>
        <w:right w:val="none" w:sz="0" w:space="0" w:color="auto"/>
      </w:divBdr>
    </w:div>
    <w:div w:id="2055494582">
      <w:bodyDiv w:val="1"/>
      <w:marLeft w:val="0"/>
      <w:marRight w:val="0"/>
      <w:marTop w:val="0"/>
      <w:marBottom w:val="0"/>
      <w:divBdr>
        <w:top w:val="none" w:sz="0" w:space="0" w:color="auto"/>
        <w:left w:val="none" w:sz="0" w:space="0" w:color="auto"/>
        <w:bottom w:val="none" w:sz="0" w:space="0" w:color="auto"/>
        <w:right w:val="none" w:sz="0" w:space="0" w:color="auto"/>
      </w:divBdr>
    </w:div>
    <w:div w:id="2055495137">
      <w:bodyDiv w:val="1"/>
      <w:marLeft w:val="0"/>
      <w:marRight w:val="0"/>
      <w:marTop w:val="0"/>
      <w:marBottom w:val="0"/>
      <w:divBdr>
        <w:top w:val="none" w:sz="0" w:space="0" w:color="auto"/>
        <w:left w:val="none" w:sz="0" w:space="0" w:color="auto"/>
        <w:bottom w:val="none" w:sz="0" w:space="0" w:color="auto"/>
        <w:right w:val="none" w:sz="0" w:space="0" w:color="auto"/>
      </w:divBdr>
    </w:div>
    <w:div w:id="2055503164">
      <w:bodyDiv w:val="1"/>
      <w:marLeft w:val="0"/>
      <w:marRight w:val="0"/>
      <w:marTop w:val="0"/>
      <w:marBottom w:val="0"/>
      <w:divBdr>
        <w:top w:val="none" w:sz="0" w:space="0" w:color="auto"/>
        <w:left w:val="none" w:sz="0" w:space="0" w:color="auto"/>
        <w:bottom w:val="none" w:sz="0" w:space="0" w:color="auto"/>
        <w:right w:val="none" w:sz="0" w:space="0" w:color="auto"/>
      </w:divBdr>
    </w:div>
    <w:div w:id="2055614869">
      <w:bodyDiv w:val="1"/>
      <w:marLeft w:val="0"/>
      <w:marRight w:val="0"/>
      <w:marTop w:val="0"/>
      <w:marBottom w:val="0"/>
      <w:divBdr>
        <w:top w:val="none" w:sz="0" w:space="0" w:color="auto"/>
        <w:left w:val="none" w:sz="0" w:space="0" w:color="auto"/>
        <w:bottom w:val="none" w:sz="0" w:space="0" w:color="auto"/>
        <w:right w:val="none" w:sz="0" w:space="0" w:color="auto"/>
      </w:divBdr>
    </w:div>
    <w:div w:id="2055693109">
      <w:bodyDiv w:val="1"/>
      <w:marLeft w:val="0"/>
      <w:marRight w:val="0"/>
      <w:marTop w:val="0"/>
      <w:marBottom w:val="0"/>
      <w:divBdr>
        <w:top w:val="none" w:sz="0" w:space="0" w:color="auto"/>
        <w:left w:val="none" w:sz="0" w:space="0" w:color="auto"/>
        <w:bottom w:val="none" w:sz="0" w:space="0" w:color="auto"/>
        <w:right w:val="none" w:sz="0" w:space="0" w:color="auto"/>
      </w:divBdr>
    </w:div>
    <w:div w:id="2055693275">
      <w:bodyDiv w:val="1"/>
      <w:marLeft w:val="0"/>
      <w:marRight w:val="0"/>
      <w:marTop w:val="0"/>
      <w:marBottom w:val="0"/>
      <w:divBdr>
        <w:top w:val="none" w:sz="0" w:space="0" w:color="auto"/>
        <w:left w:val="none" w:sz="0" w:space="0" w:color="auto"/>
        <w:bottom w:val="none" w:sz="0" w:space="0" w:color="auto"/>
        <w:right w:val="none" w:sz="0" w:space="0" w:color="auto"/>
      </w:divBdr>
    </w:div>
    <w:div w:id="2055813057">
      <w:bodyDiv w:val="1"/>
      <w:marLeft w:val="0"/>
      <w:marRight w:val="0"/>
      <w:marTop w:val="0"/>
      <w:marBottom w:val="0"/>
      <w:divBdr>
        <w:top w:val="none" w:sz="0" w:space="0" w:color="auto"/>
        <w:left w:val="none" w:sz="0" w:space="0" w:color="auto"/>
        <w:bottom w:val="none" w:sz="0" w:space="0" w:color="auto"/>
        <w:right w:val="none" w:sz="0" w:space="0" w:color="auto"/>
      </w:divBdr>
    </w:div>
    <w:div w:id="2055887024">
      <w:bodyDiv w:val="1"/>
      <w:marLeft w:val="0"/>
      <w:marRight w:val="0"/>
      <w:marTop w:val="0"/>
      <w:marBottom w:val="0"/>
      <w:divBdr>
        <w:top w:val="none" w:sz="0" w:space="0" w:color="auto"/>
        <w:left w:val="none" w:sz="0" w:space="0" w:color="auto"/>
        <w:bottom w:val="none" w:sz="0" w:space="0" w:color="auto"/>
        <w:right w:val="none" w:sz="0" w:space="0" w:color="auto"/>
      </w:divBdr>
    </w:div>
    <w:div w:id="2056005757">
      <w:bodyDiv w:val="1"/>
      <w:marLeft w:val="0"/>
      <w:marRight w:val="0"/>
      <w:marTop w:val="0"/>
      <w:marBottom w:val="0"/>
      <w:divBdr>
        <w:top w:val="none" w:sz="0" w:space="0" w:color="auto"/>
        <w:left w:val="none" w:sz="0" w:space="0" w:color="auto"/>
        <w:bottom w:val="none" w:sz="0" w:space="0" w:color="auto"/>
        <w:right w:val="none" w:sz="0" w:space="0" w:color="auto"/>
      </w:divBdr>
    </w:div>
    <w:div w:id="2056078714">
      <w:bodyDiv w:val="1"/>
      <w:marLeft w:val="0"/>
      <w:marRight w:val="0"/>
      <w:marTop w:val="0"/>
      <w:marBottom w:val="0"/>
      <w:divBdr>
        <w:top w:val="none" w:sz="0" w:space="0" w:color="auto"/>
        <w:left w:val="none" w:sz="0" w:space="0" w:color="auto"/>
        <w:bottom w:val="none" w:sz="0" w:space="0" w:color="auto"/>
        <w:right w:val="none" w:sz="0" w:space="0" w:color="auto"/>
      </w:divBdr>
    </w:div>
    <w:div w:id="2056083355">
      <w:bodyDiv w:val="1"/>
      <w:marLeft w:val="0"/>
      <w:marRight w:val="0"/>
      <w:marTop w:val="0"/>
      <w:marBottom w:val="0"/>
      <w:divBdr>
        <w:top w:val="none" w:sz="0" w:space="0" w:color="auto"/>
        <w:left w:val="none" w:sz="0" w:space="0" w:color="auto"/>
        <w:bottom w:val="none" w:sz="0" w:space="0" w:color="auto"/>
        <w:right w:val="none" w:sz="0" w:space="0" w:color="auto"/>
      </w:divBdr>
    </w:div>
    <w:div w:id="2056199538">
      <w:bodyDiv w:val="1"/>
      <w:marLeft w:val="0"/>
      <w:marRight w:val="0"/>
      <w:marTop w:val="0"/>
      <w:marBottom w:val="0"/>
      <w:divBdr>
        <w:top w:val="none" w:sz="0" w:space="0" w:color="auto"/>
        <w:left w:val="none" w:sz="0" w:space="0" w:color="auto"/>
        <w:bottom w:val="none" w:sz="0" w:space="0" w:color="auto"/>
        <w:right w:val="none" w:sz="0" w:space="0" w:color="auto"/>
      </w:divBdr>
    </w:div>
    <w:div w:id="2056348246">
      <w:bodyDiv w:val="1"/>
      <w:marLeft w:val="0"/>
      <w:marRight w:val="0"/>
      <w:marTop w:val="0"/>
      <w:marBottom w:val="0"/>
      <w:divBdr>
        <w:top w:val="none" w:sz="0" w:space="0" w:color="auto"/>
        <w:left w:val="none" w:sz="0" w:space="0" w:color="auto"/>
        <w:bottom w:val="none" w:sz="0" w:space="0" w:color="auto"/>
        <w:right w:val="none" w:sz="0" w:space="0" w:color="auto"/>
      </w:divBdr>
    </w:div>
    <w:div w:id="2056349290">
      <w:bodyDiv w:val="1"/>
      <w:marLeft w:val="0"/>
      <w:marRight w:val="0"/>
      <w:marTop w:val="0"/>
      <w:marBottom w:val="0"/>
      <w:divBdr>
        <w:top w:val="none" w:sz="0" w:space="0" w:color="auto"/>
        <w:left w:val="none" w:sz="0" w:space="0" w:color="auto"/>
        <w:bottom w:val="none" w:sz="0" w:space="0" w:color="auto"/>
        <w:right w:val="none" w:sz="0" w:space="0" w:color="auto"/>
      </w:divBdr>
    </w:div>
    <w:div w:id="2056468481">
      <w:bodyDiv w:val="1"/>
      <w:marLeft w:val="0"/>
      <w:marRight w:val="0"/>
      <w:marTop w:val="0"/>
      <w:marBottom w:val="0"/>
      <w:divBdr>
        <w:top w:val="none" w:sz="0" w:space="0" w:color="auto"/>
        <w:left w:val="none" w:sz="0" w:space="0" w:color="auto"/>
        <w:bottom w:val="none" w:sz="0" w:space="0" w:color="auto"/>
        <w:right w:val="none" w:sz="0" w:space="0" w:color="auto"/>
      </w:divBdr>
    </w:div>
    <w:div w:id="2056543759">
      <w:bodyDiv w:val="1"/>
      <w:marLeft w:val="0"/>
      <w:marRight w:val="0"/>
      <w:marTop w:val="0"/>
      <w:marBottom w:val="0"/>
      <w:divBdr>
        <w:top w:val="none" w:sz="0" w:space="0" w:color="auto"/>
        <w:left w:val="none" w:sz="0" w:space="0" w:color="auto"/>
        <w:bottom w:val="none" w:sz="0" w:space="0" w:color="auto"/>
        <w:right w:val="none" w:sz="0" w:space="0" w:color="auto"/>
      </w:divBdr>
    </w:div>
    <w:div w:id="2056588355">
      <w:bodyDiv w:val="1"/>
      <w:marLeft w:val="0"/>
      <w:marRight w:val="0"/>
      <w:marTop w:val="0"/>
      <w:marBottom w:val="0"/>
      <w:divBdr>
        <w:top w:val="none" w:sz="0" w:space="0" w:color="auto"/>
        <w:left w:val="none" w:sz="0" w:space="0" w:color="auto"/>
        <w:bottom w:val="none" w:sz="0" w:space="0" w:color="auto"/>
        <w:right w:val="none" w:sz="0" w:space="0" w:color="auto"/>
      </w:divBdr>
    </w:div>
    <w:div w:id="2056611601">
      <w:bodyDiv w:val="1"/>
      <w:marLeft w:val="0"/>
      <w:marRight w:val="0"/>
      <w:marTop w:val="0"/>
      <w:marBottom w:val="0"/>
      <w:divBdr>
        <w:top w:val="none" w:sz="0" w:space="0" w:color="auto"/>
        <w:left w:val="none" w:sz="0" w:space="0" w:color="auto"/>
        <w:bottom w:val="none" w:sz="0" w:space="0" w:color="auto"/>
        <w:right w:val="none" w:sz="0" w:space="0" w:color="auto"/>
      </w:divBdr>
    </w:div>
    <w:div w:id="2056615502">
      <w:bodyDiv w:val="1"/>
      <w:marLeft w:val="0"/>
      <w:marRight w:val="0"/>
      <w:marTop w:val="0"/>
      <w:marBottom w:val="0"/>
      <w:divBdr>
        <w:top w:val="none" w:sz="0" w:space="0" w:color="auto"/>
        <w:left w:val="none" w:sz="0" w:space="0" w:color="auto"/>
        <w:bottom w:val="none" w:sz="0" w:space="0" w:color="auto"/>
        <w:right w:val="none" w:sz="0" w:space="0" w:color="auto"/>
      </w:divBdr>
    </w:div>
    <w:div w:id="2056658409">
      <w:bodyDiv w:val="1"/>
      <w:marLeft w:val="0"/>
      <w:marRight w:val="0"/>
      <w:marTop w:val="0"/>
      <w:marBottom w:val="0"/>
      <w:divBdr>
        <w:top w:val="none" w:sz="0" w:space="0" w:color="auto"/>
        <w:left w:val="none" w:sz="0" w:space="0" w:color="auto"/>
        <w:bottom w:val="none" w:sz="0" w:space="0" w:color="auto"/>
        <w:right w:val="none" w:sz="0" w:space="0" w:color="auto"/>
      </w:divBdr>
    </w:div>
    <w:div w:id="2056808844">
      <w:bodyDiv w:val="1"/>
      <w:marLeft w:val="0"/>
      <w:marRight w:val="0"/>
      <w:marTop w:val="0"/>
      <w:marBottom w:val="0"/>
      <w:divBdr>
        <w:top w:val="none" w:sz="0" w:space="0" w:color="auto"/>
        <w:left w:val="none" w:sz="0" w:space="0" w:color="auto"/>
        <w:bottom w:val="none" w:sz="0" w:space="0" w:color="auto"/>
        <w:right w:val="none" w:sz="0" w:space="0" w:color="auto"/>
      </w:divBdr>
    </w:div>
    <w:div w:id="2056811489">
      <w:bodyDiv w:val="1"/>
      <w:marLeft w:val="0"/>
      <w:marRight w:val="0"/>
      <w:marTop w:val="0"/>
      <w:marBottom w:val="0"/>
      <w:divBdr>
        <w:top w:val="none" w:sz="0" w:space="0" w:color="auto"/>
        <w:left w:val="none" w:sz="0" w:space="0" w:color="auto"/>
        <w:bottom w:val="none" w:sz="0" w:space="0" w:color="auto"/>
        <w:right w:val="none" w:sz="0" w:space="0" w:color="auto"/>
      </w:divBdr>
    </w:div>
    <w:div w:id="2056855689">
      <w:bodyDiv w:val="1"/>
      <w:marLeft w:val="0"/>
      <w:marRight w:val="0"/>
      <w:marTop w:val="0"/>
      <w:marBottom w:val="0"/>
      <w:divBdr>
        <w:top w:val="none" w:sz="0" w:space="0" w:color="auto"/>
        <w:left w:val="none" w:sz="0" w:space="0" w:color="auto"/>
        <w:bottom w:val="none" w:sz="0" w:space="0" w:color="auto"/>
        <w:right w:val="none" w:sz="0" w:space="0" w:color="auto"/>
      </w:divBdr>
    </w:div>
    <w:div w:id="2057048602">
      <w:bodyDiv w:val="1"/>
      <w:marLeft w:val="0"/>
      <w:marRight w:val="0"/>
      <w:marTop w:val="0"/>
      <w:marBottom w:val="0"/>
      <w:divBdr>
        <w:top w:val="none" w:sz="0" w:space="0" w:color="auto"/>
        <w:left w:val="none" w:sz="0" w:space="0" w:color="auto"/>
        <w:bottom w:val="none" w:sz="0" w:space="0" w:color="auto"/>
        <w:right w:val="none" w:sz="0" w:space="0" w:color="auto"/>
      </w:divBdr>
    </w:div>
    <w:div w:id="2057270355">
      <w:bodyDiv w:val="1"/>
      <w:marLeft w:val="0"/>
      <w:marRight w:val="0"/>
      <w:marTop w:val="0"/>
      <w:marBottom w:val="0"/>
      <w:divBdr>
        <w:top w:val="none" w:sz="0" w:space="0" w:color="auto"/>
        <w:left w:val="none" w:sz="0" w:space="0" w:color="auto"/>
        <w:bottom w:val="none" w:sz="0" w:space="0" w:color="auto"/>
        <w:right w:val="none" w:sz="0" w:space="0" w:color="auto"/>
      </w:divBdr>
    </w:div>
    <w:div w:id="2057271368">
      <w:bodyDiv w:val="1"/>
      <w:marLeft w:val="0"/>
      <w:marRight w:val="0"/>
      <w:marTop w:val="0"/>
      <w:marBottom w:val="0"/>
      <w:divBdr>
        <w:top w:val="none" w:sz="0" w:space="0" w:color="auto"/>
        <w:left w:val="none" w:sz="0" w:space="0" w:color="auto"/>
        <w:bottom w:val="none" w:sz="0" w:space="0" w:color="auto"/>
        <w:right w:val="none" w:sz="0" w:space="0" w:color="auto"/>
      </w:divBdr>
    </w:div>
    <w:div w:id="2057272359">
      <w:bodyDiv w:val="1"/>
      <w:marLeft w:val="0"/>
      <w:marRight w:val="0"/>
      <w:marTop w:val="0"/>
      <w:marBottom w:val="0"/>
      <w:divBdr>
        <w:top w:val="none" w:sz="0" w:space="0" w:color="auto"/>
        <w:left w:val="none" w:sz="0" w:space="0" w:color="auto"/>
        <w:bottom w:val="none" w:sz="0" w:space="0" w:color="auto"/>
        <w:right w:val="none" w:sz="0" w:space="0" w:color="auto"/>
      </w:divBdr>
    </w:div>
    <w:div w:id="2057316854">
      <w:bodyDiv w:val="1"/>
      <w:marLeft w:val="0"/>
      <w:marRight w:val="0"/>
      <w:marTop w:val="0"/>
      <w:marBottom w:val="0"/>
      <w:divBdr>
        <w:top w:val="none" w:sz="0" w:space="0" w:color="auto"/>
        <w:left w:val="none" w:sz="0" w:space="0" w:color="auto"/>
        <w:bottom w:val="none" w:sz="0" w:space="0" w:color="auto"/>
        <w:right w:val="none" w:sz="0" w:space="0" w:color="auto"/>
      </w:divBdr>
    </w:div>
    <w:div w:id="2057462041">
      <w:bodyDiv w:val="1"/>
      <w:marLeft w:val="0"/>
      <w:marRight w:val="0"/>
      <w:marTop w:val="0"/>
      <w:marBottom w:val="0"/>
      <w:divBdr>
        <w:top w:val="none" w:sz="0" w:space="0" w:color="auto"/>
        <w:left w:val="none" w:sz="0" w:space="0" w:color="auto"/>
        <w:bottom w:val="none" w:sz="0" w:space="0" w:color="auto"/>
        <w:right w:val="none" w:sz="0" w:space="0" w:color="auto"/>
      </w:divBdr>
    </w:div>
    <w:div w:id="2057503144">
      <w:bodyDiv w:val="1"/>
      <w:marLeft w:val="0"/>
      <w:marRight w:val="0"/>
      <w:marTop w:val="0"/>
      <w:marBottom w:val="0"/>
      <w:divBdr>
        <w:top w:val="none" w:sz="0" w:space="0" w:color="auto"/>
        <w:left w:val="none" w:sz="0" w:space="0" w:color="auto"/>
        <w:bottom w:val="none" w:sz="0" w:space="0" w:color="auto"/>
        <w:right w:val="none" w:sz="0" w:space="0" w:color="auto"/>
      </w:divBdr>
    </w:div>
    <w:div w:id="2057507703">
      <w:bodyDiv w:val="1"/>
      <w:marLeft w:val="0"/>
      <w:marRight w:val="0"/>
      <w:marTop w:val="0"/>
      <w:marBottom w:val="0"/>
      <w:divBdr>
        <w:top w:val="none" w:sz="0" w:space="0" w:color="auto"/>
        <w:left w:val="none" w:sz="0" w:space="0" w:color="auto"/>
        <w:bottom w:val="none" w:sz="0" w:space="0" w:color="auto"/>
        <w:right w:val="none" w:sz="0" w:space="0" w:color="auto"/>
      </w:divBdr>
    </w:div>
    <w:div w:id="2057778062">
      <w:bodyDiv w:val="1"/>
      <w:marLeft w:val="0"/>
      <w:marRight w:val="0"/>
      <w:marTop w:val="0"/>
      <w:marBottom w:val="0"/>
      <w:divBdr>
        <w:top w:val="none" w:sz="0" w:space="0" w:color="auto"/>
        <w:left w:val="none" w:sz="0" w:space="0" w:color="auto"/>
        <w:bottom w:val="none" w:sz="0" w:space="0" w:color="auto"/>
        <w:right w:val="none" w:sz="0" w:space="0" w:color="auto"/>
      </w:divBdr>
    </w:div>
    <w:div w:id="2057855856">
      <w:bodyDiv w:val="1"/>
      <w:marLeft w:val="0"/>
      <w:marRight w:val="0"/>
      <w:marTop w:val="0"/>
      <w:marBottom w:val="0"/>
      <w:divBdr>
        <w:top w:val="none" w:sz="0" w:space="0" w:color="auto"/>
        <w:left w:val="none" w:sz="0" w:space="0" w:color="auto"/>
        <w:bottom w:val="none" w:sz="0" w:space="0" w:color="auto"/>
        <w:right w:val="none" w:sz="0" w:space="0" w:color="auto"/>
      </w:divBdr>
    </w:div>
    <w:div w:id="2057897873">
      <w:bodyDiv w:val="1"/>
      <w:marLeft w:val="0"/>
      <w:marRight w:val="0"/>
      <w:marTop w:val="0"/>
      <w:marBottom w:val="0"/>
      <w:divBdr>
        <w:top w:val="none" w:sz="0" w:space="0" w:color="auto"/>
        <w:left w:val="none" w:sz="0" w:space="0" w:color="auto"/>
        <w:bottom w:val="none" w:sz="0" w:space="0" w:color="auto"/>
        <w:right w:val="none" w:sz="0" w:space="0" w:color="auto"/>
      </w:divBdr>
    </w:div>
    <w:div w:id="2057897904">
      <w:bodyDiv w:val="1"/>
      <w:marLeft w:val="0"/>
      <w:marRight w:val="0"/>
      <w:marTop w:val="0"/>
      <w:marBottom w:val="0"/>
      <w:divBdr>
        <w:top w:val="none" w:sz="0" w:space="0" w:color="auto"/>
        <w:left w:val="none" w:sz="0" w:space="0" w:color="auto"/>
        <w:bottom w:val="none" w:sz="0" w:space="0" w:color="auto"/>
        <w:right w:val="none" w:sz="0" w:space="0" w:color="auto"/>
      </w:divBdr>
    </w:div>
    <w:div w:id="2057925563">
      <w:bodyDiv w:val="1"/>
      <w:marLeft w:val="0"/>
      <w:marRight w:val="0"/>
      <w:marTop w:val="0"/>
      <w:marBottom w:val="0"/>
      <w:divBdr>
        <w:top w:val="none" w:sz="0" w:space="0" w:color="auto"/>
        <w:left w:val="none" w:sz="0" w:space="0" w:color="auto"/>
        <w:bottom w:val="none" w:sz="0" w:space="0" w:color="auto"/>
        <w:right w:val="none" w:sz="0" w:space="0" w:color="auto"/>
      </w:divBdr>
    </w:div>
    <w:div w:id="2057970358">
      <w:bodyDiv w:val="1"/>
      <w:marLeft w:val="0"/>
      <w:marRight w:val="0"/>
      <w:marTop w:val="0"/>
      <w:marBottom w:val="0"/>
      <w:divBdr>
        <w:top w:val="none" w:sz="0" w:space="0" w:color="auto"/>
        <w:left w:val="none" w:sz="0" w:space="0" w:color="auto"/>
        <w:bottom w:val="none" w:sz="0" w:space="0" w:color="auto"/>
        <w:right w:val="none" w:sz="0" w:space="0" w:color="auto"/>
      </w:divBdr>
    </w:div>
    <w:div w:id="2058242035">
      <w:bodyDiv w:val="1"/>
      <w:marLeft w:val="0"/>
      <w:marRight w:val="0"/>
      <w:marTop w:val="0"/>
      <w:marBottom w:val="0"/>
      <w:divBdr>
        <w:top w:val="none" w:sz="0" w:space="0" w:color="auto"/>
        <w:left w:val="none" w:sz="0" w:space="0" w:color="auto"/>
        <w:bottom w:val="none" w:sz="0" w:space="0" w:color="auto"/>
        <w:right w:val="none" w:sz="0" w:space="0" w:color="auto"/>
      </w:divBdr>
    </w:div>
    <w:div w:id="2058355516">
      <w:bodyDiv w:val="1"/>
      <w:marLeft w:val="0"/>
      <w:marRight w:val="0"/>
      <w:marTop w:val="0"/>
      <w:marBottom w:val="0"/>
      <w:divBdr>
        <w:top w:val="none" w:sz="0" w:space="0" w:color="auto"/>
        <w:left w:val="none" w:sz="0" w:space="0" w:color="auto"/>
        <w:bottom w:val="none" w:sz="0" w:space="0" w:color="auto"/>
        <w:right w:val="none" w:sz="0" w:space="0" w:color="auto"/>
      </w:divBdr>
    </w:div>
    <w:div w:id="2058384904">
      <w:bodyDiv w:val="1"/>
      <w:marLeft w:val="0"/>
      <w:marRight w:val="0"/>
      <w:marTop w:val="0"/>
      <w:marBottom w:val="0"/>
      <w:divBdr>
        <w:top w:val="none" w:sz="0" w:space="0" w:color="auto"/>
        <w:left w:val="none" w:sz="0" w:space="0" w:color="auto"/>
        <w:bottom w:val="none" w:sz="0" w:space="0" w:color="auto"/>
        <w:right w:val="none" w:sz="0" w:space="0" w:color="auto"/>
      </w:divBdr>
    </w:div>
    <w:div w:id="2058579337">
      <w:bodyDiv w:val="1"/>
      <w:marLeft w:val="0"/>
      <w:marRight w:val="0"/>
      <w:marTop w:val="0"/>
      <w:marBottom w:val="0"/>
      <w:divBdr>
        <w:top w:val="none" w:sz="0" w:space="0" w:color="auto"/>
        <w:left w:val="none" w:sz="0" w:space="0" w:color="auto"/>
        <w:bottom w:val="none" w:sz="0" w:space="0" w:color="auto"/>
        <w:right w:val="none" w:sz="0" w:space="0" w:color="auto"/>
      </w:divBdr>
    </w:div>
    <w:div w:id="2058582613">
      <w:bodyDiv w:val="1"/>
      <w:marLeft w:val="0"/>
      <w:marRight w:val="0"/>
      <w:marTop w:val="0"/>
      <w:marBottom w:val="0"/>
      <w:divBdr>
        <w:top w:val="none" w:sz="0" w:space="0" w:color="auto"/>
        <w:left w:val="none" w:sz="0" w:space="0" w:color="auto"/>
        <w:bottom w:val="none" w:sz="0" w:space="0" w:color="auto"/>
        <w:right w:val="none" w:sz="0" w:space="0" w:color="auto"/>
      </w:divBdr>
    </w:div>
    <w:div w:id="2058629071">
      <w:bodyDiv w:val="1"/>
      <w:marLeft w:val="0"/>
      <w:marRight w:val="0"/>
      <w:marTop w:val="0"/>
      <w:marBottom w:val="0"/>
      <w:divBdr>
        <w:top w:val="none" w:sz="0" w:space="0" w:color="auto"/>
        <w:left w:val="none" w:sz="0" w:space="0" w:color="auto"/>
        <w:bottom w:val="none" w:sz="0" w:space="0" w:color="auto"/>
        <w:right w:val="none" w:sz="0" w:space="0" w:color="auto"/>
      </w:divBdr>
    </w:div>
    <w:div w:id="2058771091">
      <w:bodyDiv w:val="1"/>
      <w:marLeft w:val="0"/>
      <w:marRight w:val="0"/>
      <w:marTop w:val="0"/>
      <w:marBottom w:val="0"/>
      <w:divBdr>
        <w:top w:val="none" w:sz="0" w:space="0" w:color="auto"/>
        <w:left w:val="none" w:sz="0" w:space="0" w:color="auto"/>
        <w:bottom w:val="none" w:sz="0" w:space="0" w:color="auto"/>
        <w:right w:val="none" w:sz="0" w:space="0" w:color="auto"/>
      </w:divBdr>
    </w:div>
    <w:div w:id="2058779796">
      <w:bodyDiv w:val="1"/>
      <w:marLeft w:val="0"/>
      <w:marRight w:val="0"/>
      <w:marTop w:val="0"/>
      <w:marBottom w:val="0"/>
      <w:divBdr>
        <w:top w:val="none" w:sz="0" w:space="0" w:color="auto"/>
        <w:left w:val="none" w:sz="0" w:space="0" w:color="auto"/>
        <w:bottom w:val="none" w:sz="0" w:space="0" w:color="auto"/>
        <w:right w:val="none" w:sz="0" w:space="0" w:color="auto"/>
      </w:divBdr>
    </w:div>
    <w:div w:id="2058814226">
      <w:bodyDiv w:val="1"/>
      <w:marLeft w:val="0"/>
      <w:marRight w:val="0"/>
      <w:marTop w:val="0"/>
      <w:marBottom w:val="0"/>
      <w:divBdr>
        <w:top w:val="none" w:sz="0" w:space="0" w:color="auto"/>
        <w:left w:val="none" w:sz="0" w:space="0" w:color="auto"/>
        <w:bottom w:val="none" w:sz="0" w:space="0" w:color="auto"/>
        <w:right w:val="none" w:sz="0" w:space="0" w:color="auto"/>
      </w:divBdr>
    </w:div>
    <w:div w:id="2058818996">
      <w:bodyDiv w:val="1"/>
      <w:marLeft w:val="0"/>
      <w:marRight w:val="0"/>
      <w:marTop w:val="0"/>
      <w:marBottom w:val="0"/>
      <w:divBdr>
        <w:top w:val="none" w:sz="0" w:space="0" w:color="auto"/>
        <w:left w:val="none" w:sz="0" w:space="0" w:color="auto"/>
        <w:bottom w:val="none" w:sz="0" w:space="0" w:color="auto"/>
        <w:right w:val="none" w:sz="0" w:space="0" w:color="auto"/>
      </w:divBdr>
    </w:div>
    <w:div w:id="2058964747">
      <w:bodyDiv w:val="1"/>
      <w:marLeft w:val="0"/>
      <w:marRight w:val="0"/>
      <w:marTop w:val="0"/>
      <w:marBottom w:val="0"/>
      <w:divBdr>
        <w:top w:val="none" w:sz="0" w:space="0" w:color="auto"/>
        <w:left w:val="none" w:sz="0" w:space="0" w:color="auto"/>
        <w:bottom w:val="none" w:sz="0" w:space="0" w:color="auto"/>
        <w:right w:val="none" w:sz="0" w:space="0" w:color="auto"/>
      </w:divBdr>
    </w:div>
    <w:div w:id="2059087739">
      <w:bodyDiv w:val="1"/>
      <w:marLeft w:val="0"/>
      <w:marRight w:val="0"/>
      <w:marTop w:val="0"/>
      <w:marBottom w:val="0"/>
      <w:divBdr>
        <w:top w:val="none" w:sz="0" w:space="0" w:color="auto"/>
        <w:left w:val="none" w:sz="0" w:space="0" w:color="auto"/>
        <w:bottom w:val="none" w:sz="0" w:space="0" w:color="auto"/>
        <w:right w:val="none" w:sz="0" w:space="0" w:color="auto"/>
      </w:divBdr>
    </w:div>
    <w:div w:id="2059164273">
      <w:bodyDiv w:val="1"/>
      <w:marLeft w:val="0"/>
      <w:marRight w:val="0"/>
      <w:marTop w:val="0"/>
      <w:marBottom w:val="0"/>
      <w:divBdr>
        <w:top w:val="none" w:sz="0" w:space="0" w:color="auto"/>
        <w:left w:val="none" w:sz="0" w:space="0" w:color="auto"/>
        <w:bottom w:val="none" w:sz="0" w:space="0" w:color="auto"/>
        <w:right w:val="none" w:sz="0" w:space="0" w:color="auto"/>
      </w:divBdr>
    </w:div>
    <w:div w:id="2059165011">
      <w:bodyDiv w:val="1"/>
      <w:marLeft w:val="0"/>
      <w:marRight w:val="0"/>
      <w:marTop w:val="0"/>
      <w:marBottom w:val="0"/>
      <w:divBdr>
        <w:top w:val="none" w:sz="0" w:space="0" w:color="auto"/>
        <w:left w:val="none" w:sz="0" w:space="0" w:color="auto"/>
        <w:bottom w:val="none" w:sz="0" w:space="0" w:color="auto"/>
        <w:right w:val="none" w:sz="0" w:space="0" w:color="auto"/>
      </w:divBdr>
    </w:div>
    <w:div w:id="2059208814">
      <w:bodyDiv w:val="1"/>
      <w:marLeft w:val="0"/>
      <w:marRight w:val="0"/>
      <w:marTop w:val="0"/>
      <w:marBottom w:val="0"/>
      <w:divBdr>
        <w:top w:val="none" w:sz="0" w:space="0" w:color="auto"/>
        <w:left w:val="none" w:sz="0" w:space="0" w:color="auto"/>
        <w:bottom w:val="none" w:sz="0" w:space="0" w:color="auto"/>
        <w:right w:val="none" w:sz="0" w:space="0" w:color="auto"/>
      </w:divBdr>
    </w:div>
    <w:div w:id="2059237863">
      <w:bodyDiv w:val="1"/>
      <w:marLeft w:val="0"/>
      <w:marRight w:val="0"/>
      <w:marTop w:val="0"/>
      <w:marBottom w:val="0"/>
      <w:divBdr>
        <w:top w:val="none" w:sz="0" w:space="0" w:color="auto"/>
        <w:left w:val="none" w:sz="0" w:space="0" w:color="auto"/>
        <w:bottom w:val="none" w:sz="0" w:space="0" w:color="auto"/>
        <w:right w:val="none" w:sz="0" w:space="0" w:color="auto"/>
      </w:divBdr>
    </w:div>
    <w:div w:id="2059278531">
      <w:bodyDiv w:val="1"/>
      <w:marLeft w:val="0"/>
      <w:marRight w:val="0"/>
      <w:marTop w:val="0"/>
      <w:marBottom w:val="0"/>
      <w:divBdr>
        <w:top w:val="none" w:sz="0" w:space="0" w:color="auto"/>
        <w:left w:val="none" w:sz="0" w:space="0" w:color="auto"/>
        <w:bottom w:val="none" w:sz="0" w:space="0" w:color="auto"/>
        <w:right w:val="none" w:sz="0" w:space="0" w:color="auto"/>
      </w:divBdr>
    </w:div>
    <w:div w:id="2059278703">
      <w:bodyDiv w:val="1"/>
      <w:marLeft w:val="0"/>
      <w:marRight w:val="0"/>
      <w:marTop w:val="0"/>
      <w:marBottom w:val="0"/>
      <w:divBdr>
        <w:top w:val="none" w:sz="0" w:space="0" w:color="auto"/>
        <w:left w:val="none" w:sz="0" w:space="0" w:color="auto"/>
        <w:bottom w:val="none" w:sz="0" w:space="0" w:color="auto"/>
        <w:right w:val="none" w:sz="0" w:space="0" w:color="auto"/>
      </w:divBdr>
    </w:div>
    <w:div w:id="2059284170">
      <w:bodyDiv w:val="1"/>
      <w:marLeft w:val="0"/>
      <w:marRight w:val="0"/>
      <w:marTop w:val="0"/>
      <w:marBottom w:val="0"/>
      <w:divBdr>
        <w:top w:val="none" w:sz="0" w:space="0" w:color="auto"/>
        <w:left w:val="none" w:sz="0" w:space="0" w:color="auto"/>
        <w:bottom w:val="none" w:sz="0" w:space="0" w:color="auto"/>
        <w:right w:val="none" w:sz="0" w:space="0" w:color="auto"/>
      </w:divBdr>
    </w:div>
    <w:div w:id="2059351428">
      <w:bodyDiv w:val="1"/>
      <w:marLeft w:val="0"/>
      <w:marRight w:val="0"/>
      <w:marTop w:val="0"/>
      <w:marBottom w:val="0"/>
      <w:divBdr>
        <w:top w:val="none" w:sz="0" w:space="0" w:color="auto"/>
        <w:left w:val="none" w:sz="0" w:space="0" w:color="auto"/>
        <w:bottom w:val="none" w:sz="0" w:space="0" w:color="auto"/>
        <w:right w:val="none" w:sz="0" w:space="0" w:color="auto"/>
      </w:divBdr>
    </w:div>
    <w:div w:id="2059356327">
      <w:bodyDiv w:val="1"/>
      <w:marLeft w:val="0"/>
      <w:marRight w:val="0"/>
      <w:marTop w:val="0"/>
      <w:marBottom w:val="0"/>
      <w:divBdr>
        <w:top w:val="none" w:sz="0" w:space="0" w:color="auto"/>
        <w:left w:val="none" w:sz="0" w:space="0" w:color="auto"/>
        <w:bottom w:val="none" w:sz="0" w:space="0" w:color="auto"/>
        <w:right w:val="none" w:sz="0" w:space="0" w:color="auto"/>
      </w:divBdr>
    </w:div>
    <w:div w:id="2059427608">
      <w:bodyDiv w:val="1"/>
      <w:marLeft w:val="0"/>
      <w:marRight w:val="0"/>
      <w:marTop w:val="0"/>
      <w:marBottom w:val="0"/>
      <w:divBdr>
        <w:top w:val="none" w:sz="0" w:space="0" w:color="auto"/>
        <w:left w:val="none" w:sz="0" w:space="0" w:color="auto"/>
        <w:bottom w:val="none" w:sz="0" w:space="0" w:color="auto"/>
        <w:right w:val="none" w:sz="0" w:space="0" w:color="auto"/>
      </w:divBdr>
    </w:div>
    <w:div w:id="2059547936">
      <w:bodyDiv w:val="1"/>
      <w:marLeft w:val="0"/>
      <w:marRight w:val="0"/>
      <w:marTop w:val="0"/>
      <w:marBottom w:val="0"/>
      <w:divBdr>
        <w:top w:val="none" w:sz="0" w:space="0" w:color="auto"/>
        <w:left w:val="none" w:sz="0" w:space="0" w:color="auto"/>
        <w:bottom w:val="none" w:sz="0" w:space="0" w:color="auto"/>
        <w:right w:val="none" w:sz="0" w:space="0" w:color="auto"/>
      </w:divBdr>
    </w:div>
    <w:div w:id="2059739189">
      <w:bodyDiv w:val="1"/>
      <w:marLeft w:val="0"/>
      <w:marRight w:val="0"/>
      <w:marTop w:val="0"/>
      <w:marBottom w:val="0"/>
      <w:divBdr>
        <w:top w:val="none" w:sz="0" w:space="0" w:color="auto"/>
        <w:left w:val="none" w:sz="0" w:space="0" w:color="auto"/>
        <w:bottom w:val="none" w:sz="0" w:space="0" w:color="auto"/>
        <w:right w:val="none" w:sz="0" w:space="0" w:color="auto"/>
      </w:divBdr>
    </w:div>
    <w:div w:id="2059745397">
      <w:bodyDiv w:val="1"/>
      <w:marLeft w:val="0"/>
      <w:marRight w:val="0"/>
      <w:marTop w:val="0"/>
      <w:marBottom w:val="0"/>
      <w:divBdr>
        <w:top w:val="none" w:sz="0" w:space="0" w:color="auto"/>
        <w:left w:val="none" w:sz="0" w:space="0" w:color="auto"/>
        <w:bottom w:val="none" w:sz="0" w:space="0" w:color="auto"/>
        <w:right w:val="none" w:sz="0" w:space="0" w:color="auto"/>
      </w:divBdr>
    </w:div>
    <w:div w:id="2059888441">
      <w:bodyDiv w:val="1"/>
      <w:marLeft w:val="0"/>
      <w:marRight w:val="0"/>
      <w:marTop w:val="0"/>
      <w:marBottom w:val="0"/>
      <w:divBdr>
        <w:top w:val="none" w:sz="0" w:space="0" w:color="auto"/>
        <w:left w:val="none" w:sz="0" w:space="0" w:color="auto"/>
        <w:bottom w:val="none" w:sz="0" w:space="0" w:color="auto"/>
        <w:right w:val="none" w:sz="0" w:space="0" w:color="auto"/>
      </w:divBdr>
    </w:div>
    <w:div w:id="2059930948">
      <w:bodyDiv w:val="1"/>
      <w:marLeft w:val="0"/>
      <w:marRight w:val="0"/>
      <w:marTop w:val="0"/>
      <w:marBottom w:val="0"/>
      <w:divBdr>
        <w:top w:val="none" w:sz="0" w:space="0" w:color="auto"/>
        <w:left w:val="none" w:sz="0" w:space="0" w:color="auto"/>
        <w:bottom w:val="none" w:sz="0" w:space="0" w:color="auto"/>
        <w:right w:val="none" w:sz="0" w:space="0" w:color="auto"/>
      </w:divBdr>
    </w:div>
    <w:div w:id="2059938305">
      <w:bodyDiv w:val="1"/>
      <w:marLeft w:val="0"/>
      <w:marRight w:val="0"/>
      <w:marTop w:val="0"/>
      <w:marBottom w:val="0"/>
      <w:divBdr>
        <w:top w:val="none" w:sz="0" w:space="0" w:color="auto"/>
        <w:left w:val="none" w:sz="0" w:space="0" w:color="auto"/>
        <w:bottom w:val="none" w:sz="0" w:space="0" w:color="auto"/>
        <w:right w:val="none" w:sz="0" w:space="0" w:color="auto"/>
      </w:divBdr>
    </w:div>
    <w:div w:id="2060083263">
      <w:bodyDiv w:val="1"/>
      <w:marLeft w:val="0"/>
      <w:marRight w:val="0"/>
      <w:marTop w:val="0"/>
      <w:marBottom w:val="0"/>
      <w:divBdr>
        <w:top w:val="none" w:sz="0" w:space="0" w:color="auto"/>
        <w:left w:val="none" w:sz="0" w:space="0" w:color="auto"/>
        <w:bottom w:val="none" w:sz="0" w:space="0" w:color="auto"/>
        <w:right w:val="none" w:sz="0" w:space="0" w:color="auto"/>
      </w:divBdr>
    </w:div>
    <w:div w:id="2060206075">
      <w:bodyDiv w:val="1"/>
      <w:marLeft w:val="0"/>
      <w:marRight w:val="0"/>
      <w:marTop w:val="0"/>
      <w:marBottom w:val="0"/>
      <w:divBdr>
        <w:top w:val="none" w:sz="0" w:space="0" w:color="auto"/>
        <w:left w:val="none" w:sz="0" w:space="0" w:color="auto"/>
        <w:bottom w:val="none" w:sz="0" w:space="0" w:color="auto"/>
        <w:right w:val="none" w:sz="0" w:space="0" w:color="auto"/>
      </w:divBdr>
    </w:div>
    <w:div w:id="2060282190">
      <w:bodyDiv w:val="1"/>
      <w:marLeft w:val="0"/>
      <w:marRight w:val="0"/>
      <w:marTop w:val="0"/>
      <w:marBottom w:val="0"/>
      <w:divBdr>
        <w:top w:val="none" w:sz="0" w:space="0" w:color="auto"/>
        <w:left w:val="none" w:sz="0" w:space="0" w:color="auto"/>
        <w:bottom w:val="none" w:sz="0" w:space="0" w:color="auto"/>
        <w:right w:val="none" w:sz="0" w:space="0" w:color="auto"/>
      </w:divBdr>
    </w:div>
    <w:div w:id="2060283363">
      <w:bodyDiv w:val="1"/>
      <w:marLeft w:val="0"/>
      <w:marRight w:val="0"/>
      <w:marTop w:val="0"/>
      <w:marBottom w:val="0"/>
      <w:divBdr>
        <w:top w:val="none" w:sz="0" w:space="0" w:color="auto"/>
        <w:left w:val="none" w:sz="0" w:space="0" w:color="auto"/>
        <w:bottom w:val="none" w:sz="0" w:space="0" w:color="auto"/>
        <w:right w:val="none" w:sz="0" w:space="0" w:color="auto"/>
      </w:divBdr>
    </w:div>
    <w:div w:id="2060399211">
      <w:bodyDiv w:val="1"/>
      <w:marLeft w:val="0"/>
      <w:marRight w:val="0"/>
      <w:marTop w:val="0"/>
      <w:marBottom w:val="0"/>
      <w:divBdr>
        <w:top w:val="none" w:sz="0" w:space="0" w:color="auto"/>
        <w:left w:val="none" w:sz="0" w:space="0" w:color="auto"/>
        <w:bottom w:val="none" w:sz="0" w:space="0" w:color="auto"/>
        <w:right w:val="none" w:sz="0" w:space="0" w:color="auto"/>
      </w:divBdr>
    </w:div>
    <w:div w:id="2060518253">
      <w:bodyDiv w:val="1"/>
      <w:marLeft w:val="0"/>
      <w:marRight w:val="0"/>
      <w:marTop w:val="0"/>
      <w:marBottom w:val="0"/>
      <w:divBdr>
        <w:top w:val="none" w:sz="0" w:space="0" w:color="auto"/>
        <w:left w:val="none" w:sz="0" w:space="0" w:color="auto"/>
        <w:bottom w:val="none" w:sz="0" w:space="0" w:color="auto"/>
        <w:right w:val="none" w:sz="0" w:space="0" w:color="auto"/>
      </w:divBdr>
    </w:div>
    <w:div w:id="2060589687">
      <w:bodyDiv w:val="1"/>
      <w:marLeft w:val="0"/>
      <w:marRight w:val="0"/>
      <w:marTop w:val="0"/>
      <w:marBottom w:val="0"/>
      <w:divBdr>
        <w:top w:val="none" w:sz="0" w:space="0" w:color="auto"/>
        <w:left w:val="none" w:sz="0" w:space="0" w:color="auto"/>
        <w:bottom w:val="none" w:sz="0" w:space="0" w:color="auto"/>
        <w:right w:val="none" w:sz="0" w:space="0" w:color="auto"/>
      </w:divBdr>
    </w:div>
    <w:div w:id="2060593992">
      <w:bodyDiv w:val="1"/>
      <w:marLeft w:val="0"/>
      <w:marRight w:val="0"/>
      <w:marTop w:val="0"/>
      <w:marBottom w:val="0"/>
      <w:divBdr>
        <w:top w:val="none" w:sz="0" w:space="0" w:color="auto"/>
        <w:left w:val="none" w:sz="0" w:space="0" w:color="auto"/>
        <w:bottom w:val="none" w:sz="0" w:space="0" w:color="auto"/>
        <w:right w:val="none" w:sz="0" w:space="0" w:color="auto"/>
      </w:divBdr>
    </w:div>
    <w:div w:id="2060667378">
      <w:bodyDiv w:val="1"/>
      <w:marLeft w:val="0"/>
      <w:marRight w:val="0"/>
      <w:marTop w:val="0"/>
      <w:marBottom w:val="0"/>
      <w:divBdr>
        <w:top w:val="none" w:sz="0" w:space="0" w:color="auto"/>
        <w:left w:val="none" w:sz="0" w:space="0" w:color="auto"/>
        <w:bottom w:val="none" w:sz="0" w:space="0" w:color="auto"/>
        <w:right w:val="none" w:sz="0" w:space="0" w:color="auto"/>
      </w:divBdr>
    </w:div>
    <w:div w:id="2060745401">
      <w:bodyDiv w:val="1"/>
      <w:marLeft w:val="0"/>
      <w:marRight w:val="0"/>
      <w:marTop w:val="0"/>
      <w:marBottom w:val="0"/>
      <w:divBdr>
        <w:top w:val="none" w:sz="0" w:space="0" w:color="auto"/>
        <w:left w:val="none" w:sz="0" w:space="0" w:color="auto"/>
        <w:bottom w:val="none" w:sz="0" w:space="0" w:color="auto"/>
        <w:right w:val="none" w:sz="0" w:space="0" w:color="auto"/>
      </w:divBdr>
    </w:div>
    <w:div w:id="2060780073">
      <w:bodyDiv w:val="1"/>
      <w:marLeft w:val="0"/>
      <w:marRight w:val="0"/>
      <w:marTop w:val="0"/>
      <w:marBottom w:val="0"/>
      <w:divBdr>
        <w:top w:val="none" w:sz="0" w:space="0" w:color="auto"/>
        <w:left w:val="none" w:sz="0" w:space="0" w:color="auto"/>
        <w:bottom w:val="none" w:sz="0" w:space="0" w:color="auto"/>
        <w:right w:val="none" w:sz="0" w:space="0" w:color="auto"/>
      </w:divBdr>
    </w:div>
    <w:div w:id="2060784117">
      <w:bodyDiv w:val="1"/>
      <w:marLeft w:val="0"/>
      <w:marRight w:val="0"/>
      <w:marTop w:val="0"/>
      <w:marBottom w:val="0"/>
      <w:divBdr>
        <w:top w:val="none" w:sz="0" w:space="0" w:color="auto"/>
        <w:left w:val="none" w:sz="0" w:space="0" w:color="auto"/>
        <w:bottom w:val="none" w:sz="0" w:space="0" w:color="auto"/>
        <w:right w:val="none" w:sz="0" w:space="0" w:color="auto"/>
      </w:divBdr>
    </w:div>
    <w:div w:id="2060784652">
      <w:bodyDiv w:val="1"/>
      <w:marLeft w:val="0"/>
      <w:marRight w:val="0"/>
      <w:marTop w:val="0"/>
      <w:marBottom w:val="0"/>
      <w:divBdr>
        <w:top w:val="none" w:sz="0" w:space="0" w:color="auto"/>
        <w:left w:val="none" w:sz="0" w:space="0" w:color="auto"/>
        <w:bottom w:val="none" w:sz="0" w:space="0" w:color="auto"/>
        <w:right w:val="none" w:sz="0" w:space="0" w:color="auto"/>
      </w:divBdr>
    </w:div>
    <w:div w:id="2060860432">
      <w:bodyDiv w:val="1"/>
      <w:marLeft w:val="0"/>
      <w:marRight w:val="0"/>
      <w:marTop w:val="0"/>
      <w:marBottom w:val="0"/>
      <w:divBdr>
        <w:top w:val="none" w:sz="0" w:space="0" w:color="auto"/>
        <w:left w:val="none" w:sz="0" w:space="0" w:color="auto"/>
        <w:bottom w:val="none" w:sz="0" w:space="0" w:color="auto"/>
        <w:right w:val="none" w:sz="0" w:space="0" w:color="auto"/>
      </w:divBdr>
    </w:div>
    <w:div w:id="2060931322">
      <w:bodyDiv w:val="1"/>
      <w:marLeft w:val="0"/>
      <w:marRight w:val="0"/>
      <w:marTop w:val="0"/>
      <w:marBottom w:val="0"/>
      <w:divBdr>
        <w:top w:val="none" w:sz="0" w:space="0" w:color="auto"/>
        <w:left w:val="none" w:sz="0" w:space="0" w:color="auto"/>
        <w:bottom w:val="none" w:sz="0" w:space="0" w:color="auto"/>
        <w:right w:val="none" w:sz="0" w:space="0" w:color="auto"/>
      </w:divBdr>
    </w:div>
    <w:div w:id="2060935183">
      <w:bodyDiv w:val="1"/>
      <w:marLeft w:val="0"/>
      <w:marRight w:val="0"/>
      <w:marTop w:val="0"/>
      <w:marBottom w:val="0"/>
      <w:divBdr>
        <w:top w:val="none" w:sz="0" w:space="0" w:color="auto"/>
        <w:left w:val="none" w:sz="0" w:space="0" w:color="auto"/>
        <w:bottom w:val="none" w:sz="0" w:space="0" w:color="auto"/>
        <w:right w:val="none" w:sz="0" w:space="0" w:color="auto"/>
      </w:divBdr>
    </w:div>
    <w:div w:id="2061249679">
      <w:bodyDiv w:val="1"/>
      <w:marLeft w:val="0"/>
      <w:marRight w:val="0"/>
      <w:marTop w:val="0"/>
      <w:marBottom w:val="0"/>
      <w:divBdr>
        <w:top w:val="none" w:sz="0" w:space="0" w:color="auto"/>
        <w:left w:val="none" w:sz="0" w:space="0" w:color="auto"/>
        <w:bottom w:val="none" w:sz="0" w:space="0" w:color="auto"/>
        <w:right w:val="none" w:sz="0" w:space="0" w:color="auto"/>
      </w:divBdr>
    </w:div>
    <w:div w:id="2061317833">
      <w:bodyDiv w:val="1"/>
      <w:marLeft w:val="0"/>
      <w:marRight w:val="0"/>
      <w:marTop w:val="0"/>
      <w:marBottom w:val="0"/>
      <w:divBdr>
        <w:top w:val="none" w:sz="0" w:space="0" w:color="auto"/>
        <w:left w:val="none" w:sz="0" w:space="0" w:color="auto"/>
        <w:bottom w:val="none" w:sz="0" w:space="0" w:color="auto"/>
        <w:right w:val="none" w:sz="0" w:space="0" w:color="auto"/>
      </w:divBdr>
    </w:div>
    <w:div w:id="2061324226">
      <w:bodyDiv w:val="1"/>
      <w:marLeft w:val="0"/>
      <w:marRight w:val="0"/>
      <w:marTop w:val="0"/>
      <w:marBottom w:val="0"/>
      <w:divBdr>
        <w:top w:val="none" w:sz="0" w:space="0" w:color="auto"/>
        <w:left w:val="none" w:sz="0" w:space="0" w:color="auto"/>
        <w:bottom w:val="none" w:sz="0" w:space="0" w:color="auto"/>
        <w:right w:val="none" w:sz="0" w:space="0" w:color="auto"/>
      </w:divBdr>
    </w:div>
    <w:div w:id="2061517623">
      <w:bodyDiv w:val="1"/>
      <w:marLeft w:val="0"/>
      <w:marRight w:val="0"/>
      <w:marTop w:val="0"/>
      <w:marBottom w:val="0"/>
      <w:divBdr>
        <w:top w:val="none" w:sz="0" w:space="0" w:color="auto"/>
        <w:left w:val="none" w:sz="0" w:space="0" w:color="auto"/>
        <w:bottom w:val="none" w:sz="0" w:space="0" w:color="auto"/>
        <w:right w:val="none" w:sz="0" w:space="0" w:color="auto"/>
      </w:divBdr>
    </w:div>
    <w:div w:id="2061635436">
      <w:bodyDiv w:val="1"/>
      <w:marLeft w:val="0"/>
      <w:marRight w:val="0"/>
      <w:marTop w:val="0"/>
      <w:marBottom w:val="0"/>
      <w:divBdr>
        <w:top w:val="none" w:sz="0" w:space="0" w:color="auto"/>
        <w:left w:val="none" w:sz="0" w:space="0" w:color="auto"/>
        <w:bottom w:val="none" w:sz="0" w:space="0" w:color="auto"/>
        <w:right w:val="none" w:sz="0" w:space="0" w:color="auto"/>
      </w:divBdr>
    </w:div>
    <w:div w:id="2061853616">
      <w:bodyDiv w:val="1"/>
      <w:marLeft w:val="0"/>
      <w:marRight w:val="0"/>
      <w:marTop w:val="0"/>
      <w:marBottom w:val="0"/>
      <w:divBdr>
        <w:top w:val="none" w:sz="0" w:space="0" w:color="auto"/>
        <w:left w:val="none" w:sz="0" w:space="0" w:color="auto"/>
        <w:bottom w:val="none" w:sz="0" w:space="0" w:color="auto"/>
        <w:right w:val="none" w:sz="0" w:space="0" w:color="auto"/>
      </w:divBdr>
    </w:div>
    <w:div w:id="2061854142">
      <w:bodyDiv w:val="1"/>
      <w:marLeft w:val="0"/>
      <w:marRight w:val="0"/>
      <w:marTop w:val="0"/>
      <w:marBottom w:val="0"/>
      <w:divBdr>
        <w:top w:val="none" w:sz="0" w:space="0" w:color="auto"/>
        <w:left w:val="none" w:sz="0" w:space="0" w:color="auto"/>
        <w:bottom w:val="none" w:sz="0" w:space="0" w:color="auto"/>
        <w:right w:val="none" w:sz="0" w:space="0" w:color="auto"/>
      </w:divBdr>
    </w:div>
    <w:div w:id="2061899311">
      <w:bodyDiv w:val="1"/>
      <w:marLeft w:val="0"/>
      <w:marRight w:val="0"/>
      <w:marTop w:val="0"/>
      <w:marBottom w:val="0"/>
      <w:divBdr>
        <w:top w:val="none" w:sz="0" w:space="0" w:color="auto"/>
        <w:left w:val="none" w:sz="0" w:space="0" w:color="auto"/>
        <w:bottom w:val="none" w:sz="0" w:space="0" w:color="auto"/>
        <w:right w:val="none" w:sz="0" w:space="0" w:color="auto"/>
      </w:divBdr>
    </w:div>
    <w:div w:id="2061905270">
      <w:bodyDiv w:val="1"/>
      <w:marLeft w:val="0"/>
      <w:marRight w:val="0"/>
      <w:marTop w:val="0"/>
      <w:marBottom w:val="0"/>
      <w:divBdr>
        <w:top w:val="none" w:sz="0" w:space="0" w:color="auto"/>
        <w:left w:val="none" w:sz="0" w:space="0" w:color="auto"/>
        <w:bottom w:val="none" w:sz="0" w:space="0" w:color="auto"/>
        <w:right w:val="none" w:sz="0" w:space="0" w:color="auto"/>
      </w:divBdr>
    </w:div>
    <w:div w:id="2061905537">
      <w:bodyDiv w:val="1"/>
      <w:marLeft w:val="0"/>
      <w:marRight w:val="0"/>
      <w:marTop w:val="0"/>
      <w:marBottom w:val="0"/>
      <w:divBdr>
        <w:top w:val="none" w:sz="0" w:space="0" w:color="auto"/>
        <w:left w:val="none" w:sz="0" w:space="0" w:color="auto"/>
        <w:bottom w:val="none" w:sz="0" w:space="0" w:color="auto"/>
        <w:right w:val="none" w:sz="0" w:space="0" w:color="auto"/>
      </w:divBdr>
    </w:div>
    <w:div w:id="2062164747">
      <w:bodyDiv w:val="1"/>
      <w:marLeft w:val="0"/>
      <w:marRight w:val="0"/>
      <w:marTop w:val="0"/>
      <w:marBottom w:val="0"/>
      <w:divBdr>
        <w:top w:val="none" w:sz="0" w:space="0" w:color="auto"/>
        <w:left w:val="none" w:sz="0" w:space="0" w:color="auto"/>
        <w:bottom w:val="none" w:sz="0" w:space="0" w:color="auto"/>
        <w:right w:val="none" w:sz="0" w:space="0" w:color="auto"/>
      </w:divBdr>
    </w:div>
    <w:div w:id="2062170957">
      <w:bodyDiv w:val="1"/>
      <w:marLeft w:val="0"/>
      <w:marRight w:val="0"/>
      <w:marTop w:val="0"/>
      <w:marBottom w:val="0"/>
      <w:divBdr>
        <w:top w:val="none" w:sz="0" w:space="0" w:color="auto"/>
        <w:left w:val="none" w:sz="0" w:space="0" w:color="auto"/>
        <w:bottom w:val="none" w:sz="0" w:space="0" w:color="auto"/>
        <w:right w:val="none" w:sz="0" w:space="0" w:color="auto"/>
      </w:divBdr>
    </w:div>
    <w:div w:id="2062319338">
      <w:bodyDiv w:val="1"/>
      <w:marLeft w:val="0"/>
      <w:marRight w:val="0"/>
      <w:marTop w:val="0"/>
      <w:marBottom w:val="0"/>
      <w:divBdr>
        <w:top w:val="none" w:sz="0" w:space="0" w:color="auto"/>
        <w:left w:val="none" w:sz="0" w:space="0" w:color="auto"/>
        <w:bottom w:val="none" w:sz="0" w:space="0" w:color="auto"/>
        <w:right w:val="none" w:sz="0" w:space="0" w:color="auto"/>
      </w:divBdr>
    </w:div>
    <w:div w:id="2062364039">
      <w:bodyDiv w:val="1"/>
      <w:marLeft w:val="0"/>
      <w:marRight w:val="0"/>
      <w:marTop w:val="0"/>
      <w:marBottom w:val="0"/>
      <w:divBdr>
        <w:top w:val="none" w:sz="0" w:space="0" w:color="auto"/>
        <w:left w:val="none" w:sz="0" w:space="0" w:color="auto"/>
        <w:bottom w:val="none" w:sz="0" w:space="0" w:color="auto"/>
        <w:right w:val="none" w:sz="0" w:space="0" w:color="auto"/>
      </w:divBdr>
    </w:div>
    <w:div w:id="2062557929">
      <w:bodyDiv w:val="1"/>
      <w:marLeft w:val="0"/>
      <w:marRight w:val="0"/>
      <w:marTop w:val="0"/>
      <w:marBottom w:val="0"/>
      <w:divBdr>
        <w:top w:val="none" w:sz="0" w:space="0" w:color="auto"/>
        <w:left w:val="none" w:sz="0" w:space="0" w:color="auto"/>
        <w:bottom w:val="none" w:sz="0" w:space="0" w:color="auto"/>
        <w:right w:val="none" w:sz="0" w:space="0" w:color="auto"/>
      </w:divBdr>
    </w:div>
    <w:div w:id="2062626707">
      <w:bodyDiv w:val="1"/>
      <w:marLeft w:val="0"/>
      <w:marRight w:val="0"/>
      <w:marTop w:val="0"/>
      <w:marBottom w:val="0"/>
      <w:divBdr>
        <w:top w:val="none" w:sz="0" w:space="0" w:color="auto"/>
        <w:left w:val="none" w:sz="0" w:space="0" w:color="auto"/>
        <w:bottom w:val="none" w:sz="0" w:space="0" w:color="auto"/>
        <w:right w:val="none" w:sz="0" w:space="0" w:color="auto"/>
      </w:divBdr>
    </w:div>
    <w:div w:id="2062627750">
      <w:bodyDiv w:val="1"/>
      <w:marLeft w:val="0"/>
      <w:marRight w:val="0"/>
      <w:marTop w:val="0"/>
      <w:marBottom w:val="0"/>
      <w:divBdr>
        <w:top w:val="none" w:sz="0" w:space="0" w:color="auto"/>
        <w:left w:val="none" w:sz="0" w:space="0" w:color="auto"/>
        <w:bottom w:val="none" w:sz="0" w:space="0" w:color="auto"/>
        <w:right w:val="none" w:sz="0" w:space="0" w:color="auto"/>
      </w:divBdr>
    </w:div>
    <w:div w:id="2062752457">
      <w:bodyDiv w:val="1"/>
      <w:marLeft w:val="0"/>
      <w:marRight w:val="0"/>
      <w:marTop w:val="0"/>
      <w:marBottom w:val="0"/>
      <w:divBdr>
        <w:top w:val="none" w:sz="0" w:space="0" w:color="auto"/>
        <w:left w:val="none" w:sz="0" w:space="0" w:color="auto"/>
        <w:bottom w:val="none" w:sz="0" w:space="0" w:color="auto"/>
        <w:right w:val="none" w:sz="0" w:space="0" w:color="auto"/>
      </w:divBdr>
    </w:div>
    <w:div w:id="2062896559">
      <w:bodyDiv w:val="1"/>
      <w:marLeft w:val="0"/>
      <w:marRight w:val="0"/>
      <w:marTop w:val="0"/>
      <w:marBottom w:val="0"/>
      <w:divBdr>
        <w:top w:val="none" w:sz="0" w:space="0" w:color="auto"/>
        <w:left w:val="none" w:sz="0" w:space="0" w:color="auto"/>
        <w:bottom w:val="none" w:sz="0" w:space="0" w:color="auto"/>
        <w:right w:val="none" w:sz="0" w:space="0" w:color="auto"/>
      </w:divBdr>
    </w:div>
    <w:div w:id="2062901316">
      <w:bodyDiv w:val="1"/>
      <w:marLeft w:val="0"/>
      <w:marRight w:val="0"/>
      <w:marTop w:val="0"/>
      <w:marBottom w:val="0"/>
      <w:divBdr>
        <w:top w:val="none" w:sz="0" w:space="0" w:color="auto"/>
        <w:left w:val="none" w:sz="0" w:space="0" w:color="auto"/>
        <w:bottom w:val="none" w:sz="0" w:space="0" w:color="auto"/>
        <w:right w:val="none" w:sz="0" w:space="0" w:color="auto"/>
      </w:divBdr>
    </w:div>
    <w:div w:id="2062945368">
      <w:bodyDiv w:val="1"/>
      <w:marLeft w:val="0"/>
      <w:marRight w:val="0"/>
      <w:marTop w:val="0"/>
      <w:marBottom w:val="0"/>
      <w:divBdr>
        <w:top w:val="none" w:sz="0" w:space="0" w:color="auto"/>
        <w:left w:val="none" w:sz="0" w:space="0" w:color="auto"/>
        <w:bottom w:val="none" w:sz="0" w:space="0" w:color="auto"/>
        <w:right w:val="none" w:sz="0" w:space="0" w:color="auto"/>
      </w:divBdr>
    </w:div>
    <w:div w:id="2063092348">
      <w:bodyDiv w:val="1"/>
      <w:marLeft w:val="0"/>
      <w:marRight w:val="0"/>
      <w:marTop w:val="0"/>
      <w:marBottom w:val="0"/>
      <w:divBdr>
        <w:top w:val="none" w:sz="0" w:space="0" w:color="auto"/>
        <w:left w:val="none" w:sz="0" w:space="0" w:color="auto"/>
        <w:bottom w:val="none" w:sz="0" w:space="0" w:color="auto"/>
        <w:right w:val="none" w:sz="0" w:space="0" w:color="auto"/>
      </w:divBdr>
    </w:div>
    <w:div w:id="2063097221">
      <w:bodyDiv w:val="1"/>
      <w:marLeft w:val="0"/>
      <w:marRight w:val="0"/>
      <w:marTop w:val="0"/>
      <w:marBottom w:val="0"/>
      <w:divBdr>
        <w:top w:val="none" w:sz="0" w:space="0" w:color="auto"/>
        <w:left w:val="none" w:sz="0" w:space="0" w:color="auto"/>
        <w:bottom w:val="none" w:sz="0" w:space="0" w:color="auto"/>
        <w:right w:val="none" w:sz="0" w:space="0" w:color="auto"/>
      </w:divBdr>
    </w:div>
    <w:div w:id="2063098449">
      <w:bodyDiv w:val="1"/>
      <w:marLeft w:val="0"/>
      <w:marRight w:val="0"/>
      <w:marTop w:val="0"/>
      <w:marBottom w:val="0"/>
      <w:divBdr>
        <w:top w:val="none" w:sz="0" w:space="0" w:color="auto"/>
        <w:left w:val="none" w:sz="0" w:space="0" w:color="auto"/>
        <w:bottom w:val="none" w:sz="0" w:space="0" w:color="auto"/>
        <w:right w:val="none" w:sz="0" w:space="0" w:color="auto"/>
      </w:divBdr>
    </w:div>
    <w:div w:id="2063170610">
      <w:bodyDiv w:val="1"/>
      <w:marLeft w:val="0"/>
      <w:marRight w:val="0"/>
      <w:marTop w:val="0"/>
      <w:marBottom w:val="0"/>
      <w:divBdr>
        <w:top w:val="none" w:sz="0" w:space="0" w:color="auto"/>
        <w:left w:val="none" w:sz="0" w:space="0" w:color="auto"/>
        <w:bottom w:val="none" w:sz="0" w:space="0" w:color="auto"/>
        <w:right w:val="none" w:sz="0" w:space="0" w:color="auto"/>
      </w:divBdr>
    </w:div>
    <w:div w:id="2063210213">
      <w:bodyDiv w:val="1"/>
      <w:marLeft w:val="0"/>
      <w:marRight w:val="0"/>
      <w:marTop w:val="0"/>
      <w:marBottom w:val="0"/>
      <w:divBdr>
        <w:top w:val="none" w:sz="0" w:space="0" w:color="auto"/>
        <w:left w:val="none" w:sz="0" w:space="0" w:color="auto"/>
        <w:bottom w:val="none" w:sz="0" w:space="0" w:color="auto"/>
        <w:right w:val="none" w:sz="0" w:space="0" w:color="auto"/>
      </w:divBdr>
    </w:div>
    <w:div w:id="2063484643">
      <w:bodyDiv w:val="1"/>
      <w:marLeft w:val="0"/>
      <w:marRight w:val="0"/>
      <w:marTop w:val="0"/>
      <w:marBottom w:val="0"/>
      <w:divBdr>
        <w:top w:val="none" w:sz="0" w:space="0" w:color="auto"/>
        <w:left w:val="none" w:sz="0" w:space="0" w:color="auto"/>
        <w:bottom w:val="none" w:sz="0" w:space="0" w:color="auto"/>
        <w:right w:val="none" w:sz="0" w:space="0" w:color="auto"/>
      </w:divBdr>
    </w:div>
    <w:div w:id="2063553636">
      <w:bodyDiv w:val="1"/>
      <w:marLeft w:val="0"/>
      <w:marRight w:val="0"/>
      <w:marTop w:val="0"/>
      <w:marBottom w:val="0"/>
      <w:divBdr>
        <w:top w:val="none" w:sz="0" w:space="0" w:color="auto"/>
        <w:left w:val="none" w:sz="0" w:space="0" w:color="auto"/>
        <w:bottom w:val="none" w:sz="0" w:space="0" w:color="auto"/>
        <w:right w:val="none" w:sz="0" w:space="0" w:color="auto"/>
      </w:divBdr>
    </w:div>
    <w:div w:id="2063748761">
      <w:bodyDiv w:val="1"/>
      <w:marLeft w:val="0"/>
      <w:marRight w:val="0"/>
      <w:marTop w:val="0"/>
      <w:marBottom w:val="0"/>
      <w:divBdr>
        <w:top w:val="none" w:sz="0" w:space="0" w:color="auto"/>
        <w:left w:val="none" w:sz="0" w:space="0" w:color="auto"/>
        <w:bottom w:val="none" w:sz="0" w:space="0" w:color="auto"/>
        <w:right w:val="none" w:sz="0" w:space="0" w:color="auto"/>
      </w:divBdr>
    </w:div>
    <w:div w:id="2063867139">
      <w:bodyDiv w:val="1"/>
      <w:marLeft w:val="0"/>
      <w:marRight w:val="0"/>
      <w:marTop w:val="0"/>
      <w:marBottom w:val="0"/>
      <w:divBdr>
        <w:top w:val="none" w:sz="0" w:space="0" w:color="auto"/>
        <w:left w:val="none" w:sz="0" w:space="0" w:color="auto"/>
        <w:bottom w:val="none" w:sz="0" w:space="0" w:color="auto"/>
        <w:right w:val="none" w:sz="0" w:space="0" w:color="auto"/>
      </w:divBdr>
    </w:div>
    <w:div w:id="2063940040">
      <w:bodyDiv w:val="1"/>
      <w:marLeft w:val="0"/>
      <w:marRight w:val="0"/>
      <w:marTop w:val="0"/>
      <w:marBottom w:val="0"/>
      <w:divBdr>
        <w:top w:val="none" w:sz="0" w:space="0" w:color="auto"/>
        <w:left w:val="none" w:sz="0" w:space="0" w:color="auto"/>
        <w:bottom w:val="none" w:sz="0" w:space="0" w:color="auto"/>
        <w:right w:val="none" w:sz="0" w:space="0" w:color="auto"/>
      </w:divBdr>
    </w:div>
    <w:div w:id="2063940641">
      <w:bodyDiv w:val="1"/>
      <w:marLeft w:val="0"/>
      <w:marRight w:val="0"/>
      <w:marTop w:val="0"/>
      <w:marBottom w:val="0"/>
      <w:divBdr>
        <w:top w:val="none" w:sz="0" w:space="0" w:color="auto"/>
        <w:left w:val="none" w:sz="0" w:space="0" w:color="auto"/>
        <w:bottom w:val="none" w:sz="0" w:space="0" w:color="auto"/>
        <w:right w:val="none" w:sz="0" w:space="0" w:color="auto"/>
      </w:divBdr>
    </w:div>
    <w:div w:id="2064018491">
      <w:bodyDiv w:val="1"/>
      <w:marLeft w:val="0"/>
      <w:marRight w:val="0"/>
      <w:marTop w:val="0"/>
      <w:marBottom w:val="0"/>
      <w:divBdr>
        <w:top w:val="none" w:sz="0" w:space="0" w:color="auto"/>
        <w:left w:val="none" w:sz="0" w:space="0" w:color="auto"/>
        <w:bottom w:val="none" w:sz="0" w:space="0" w:color="auto"/>
        <w:right w:val="none" w:sz="0" w:space="0" w:color="auto"/>
      </w:divBdr>
    </w:div>
    <w:div w:id="2064056819">
      <w:bodyDiv w:val="1"/>
      <w:marLeft w:val="0"/>
      <w:marRight w:val="0"/>
      <w:marTop w:val="0"/>
      <w:marBottom w:val="0"/>
      <w:divBdr>
        <w:top w:val="none" w:sz="0" w:space="0" w:color="auto"/>
        <w:left w:val="none" w:sz="0" w:space="0" w:color="auto"/>
        <w:bottom w:val="none" w:sz="0" w:space="0" w:color="auto"/>
        <w:right w:val="none" w:sz="0" w:space="0" w:color="auto"/>
      </w:divBdr>
    </w:div>
    <w:div w:id="2064400476">
      <w:bodyDiv w:val="1"/>
      <w:marLeft w:val="0"/>
      <w:marRight w:val="0"/>
      <w:marTop w:val="0"/>
      <w:marBottom w:val="0"/>
      <w:divBdr>
        <w:top w:val="none" w:sz="0" w:space="0" w:color="auto"/>
        <w:left w:val="none" w:sz="0" w:space="0" w:color="auto"/>
        <w:bottom w:val="none" w:sz="0" w:space="0" w:color="auto"/>
        <w:right w:val="none" w:sz="0" w:space="0" w:color="auto"/>
      </w:divBdr>
    </w:div>
    <w:div w:id="2064478178">
      <w:bodyDiv w:val="1"/>
      <w:marLeft w:val="0"/>
      <w:marRight w:val="0"/>
      <w:marTop w:val="0"/>
      <w:marBottom w:val="0"/>
      <w:divBdr>
        <w:top w:val="none" w:sz="0" w:space="0" w:color="auto"/>
        <w:left w:val="none" w:sz="0" w:space="0" w:color="auto"/>
        <w:bottom w:val="none" w:sz="0" w:space="0" w:color="auto"/>
        <w:right w:val="none" w:sz="0" w:space="0" w:color="auto"/>
      </w:divBdr>
    </w:div>
    <w:div w:id="2064673157">
      <w:bodyDiv w:val="1"/>
      <w:marLeft w:val="0"/>
      <w:marRight w:val="0"/>
      <w:marTop w:val="0"/>
      <w:marBottom w:val="0"/>
      <w:divBdr>
        <w:top w:val="none" w:sz="0" w:space="0" w:color="auto"/>
        <w:left w:val="none" w:sz="0" w:space="0" w:color="auto"/>
        <w:bottom w:val="none" w:sz="0" w:space="0" w:color="auto"/>
        <w:right w:val="none" w:sz="0" w:space="0" w:color="auto"/>
      </w:divBdr>
    </w:div>
    <w:div w:id="2064674455">
      <w:bodyDiv w:val="1"/>
      <w:marLeft w:val="0"/>
      <w:marRight w:val="0"/>
      <w:marTop w:val="0"/>
      <w:marBottom w:val="0"/>
      <w:divBdr>
        <w:top w:val="none" w:sz="0" w:space="0" w:color="auto"/>
        <w:left w:val="none" w:sz="0" w:space="0" w:color="auto"/>
        <w:bottom w:val="none" w:sz="0" w:space="0" w:color="auto"/>
        <w:right w:val="none" w:sz="0" w:space="0" w:color="auto"/>
      </w:divBdr>
    </w:div>
    <w:div w:id="2064718640">
      <w:bodyDiv w:val="1"/>
      <w:marLeft w:val="0"/>
      <w:marRight w:val="0"/>
      <w:marTop w:val="0"/>
      <w:marBottom w:val="0"/>
      <w:divBdr>
        <w:top w:val="none" w:sz="0" w:space="0" w:color="auto"/>
        <w:left w:val="none" w:sz="0" w:space="0" w:color="auto"/>
        <w:bottom w:val="none" w:sz="0" w:space="0" w:color="auto"/>
        <w:right w:val="none" w:sz="0" w:space="0" w:color="auto"/>
      </w:divBdr>
    </w:div>
    <w:div w:id="2064979664">
      <w:bodyDiv w:val="1"/>
      <w:marLeft w:val="0"/>
      <w:marRight w:val="0"/>
      <w:marTop w:val="0"/>
      <w:marBottom w:val="0"/>
      <w:divBdr>
        <w:top w:val="none" w:sz="0" w:space="0" w:color="auto"/>
        <w:left w:val="none" w:sz="0" w:space="0" w:color="auto"/>
        <w:bottom w:val="none" w:sz="0" w:space="0" w:color="auto"/>
        <w:right w:val="none" w:sz="0" w:space="0" w:color="auto"/>
      </w:divBdr>
    </w:div>
    <w:div w:id="2064986024">
      <w:bodyDiv w:val="1"/>
      <w:marLeft w:val="0"/>
      <w:marRight w:val="0"/>
      <w:marTop w:val="0"/>
      <w:marBottom w:val="0"/>
      <w:divBdr>
        <w:top w:val="none" w:sz="0" w:space="0" w:color="auto"/>
        <w:left w:val="none" w:sz="0" w:space="0" w:color="auto"/>
        <w:bottom w:val="none" w:sz="0" w:space="0" w:color="auto"/>
        <w:right w:val="none" w:sz="0" w:space="0" w:color="auto"/>
      </w:divBdr>
    </w:div>
    <w:div w:id="2065063448">
      <w:bodyDiv w:val="1"/>
      <w:marLeft w:val="0"/>
      <w:marRight w:val="0"/>
      <w:marTop w:val="0"/>
      <w:marBottom w:val="0"/>
      <w:divBdr>
        <w:top w:val="none" w:sz="0" w:space="0" w:color="auto"/>
        <w:left w:val="none" w:sz="0" w:space="0" w:color="auto"/>
        <w:bottom w:val="none" w:sz="0" w:space="0" w:color="auto"/>
        <w:right w:val="none" w:sz="0" w:space="0" w:color="auto"/>
      </w:divBdr>
    </w:div>
    <w:div w:id="2065174871">
      <w:bodyDiv w:val="1"/>
      <w:marLeft w:val="0"/>
      <w:marRight w:val="0"/>
      <w:marTop w:val="0"/>
      <w:marBottom w:val="0"/>
      <w:divBdr>
        <w:top w:val="none" w:sz="0" w:space="0" w:color="auto"/>
        <w:left w:val="none" w:sz="0" w:space="0" w:color="auto"/>
        <w:bottom w:val="none" w:sz="0" w:space="0" w:color="auto"/>
        <w:right w:val="none" w:sz="0" w:space="0" w:color="auto"/>
      </w:divBdr>
    </w:div>
    <w:div w:id="2065175688">
      <w:bodyDiv w:val="1"/>
      <w:marLeft w:val="0"/>
      <w:marRight w:val="0"/>
      <w:marTop w:val="0"/>
      <w:marBottom w:val="0"/>
      <w:divBdr>
        <w:top w:val="none" w:sz="0" w:space="0" w:color="auto"/>
        <w:left w:val="none" w:sz="0" w:space="0" w:color="auto"/>
        <w:bottom w:val="none" w:sz="0" w:space="0" w:color="auto"/>
        <w:right w:val="none" w:sz="0" w:space="0" w:color="auto"/>
      </w:divBdr>
    </w:div>
    <w:div w:id="2065523394">
      <w:bodyDiv w:val="1"/>
      <w:marLeft w:val="0"/>
      <w:marRight w:val="0"/>
      <w:marTop w:val="0"/>
      <w:marBottom w:val="0"/>
      <w:divBdr>
        <w:top w:val="none" w:sz="0" w:space="0" w:color="auto"/>
        <w:left w:val="none" w:sz="0" w:space="0" w:color="auto"/>
        <w:bottom w:val="none" w:sz="0" w:space="0" w:color="auto"/>
        <w:right w:val="none" w:sz="0" w:space="0" w:color="auto"/>
      </w:divBdr>
    </w:div>
    <w:div w:id="2065594409">
      <w:bodyDiv w:val="1"/>
      <w:marLeft w:val="0"/>
      <w:marRight w:val="0"/>
      <w:marTop w:val="0"/>
      <w:marBottom w:val="0"/>
      <w:divBdr>
        <w:top w:val="none" w:sz="0" w:space="0" w:color="auto"/>
        <w:left w:val="none" w:sz="0" w:space="0" w:color="auto"/>
        <w:bottom w:val="none" w:sz="0" w:space="0" w:color="auto"/>
        <w:right w:val="none" w:sz="0" w:space="0" w:color="auto"/>
      </w:divBdr>
    </w:div>
    <w:div w:id="2065641313">
      <w:bodyDiv w:val="1"/>
      <w:marLeft w:val="0"/>
      <w:marRight w:val="0"/>
      <w:marTop w:val="0"/>
      <w:marBottom w:val="0"/>
      <w:divBdr>
        <w:top w:val="none" w:sz="0" w:space="0" w:color="auto"/>
        <w:left w:val="none" w:sz="0" w:space="0" w:color="auto"/>
        <w:bottom w:val="none" w:sz="0" w:space="0" w:color="auto"/>
        <w:right w:val="none" w:sz="0" w:space="0" w:color="auto"/>
      </w:divBdr>
    </w:div>
    <w:div w:id="2065714024">
      <w:bodyDiv w:val="1"/>
      <w:marLeft w:val="0"/>
      <w:marRight w:val="0"/>
      <w:marTop w:val="0"/>
      <w:marBottom w:val="0"/>
      <w:divBdr>
        <w:top w:val="none" w:sz="0" w:space="0" w:color="auto"/>
        <w:left w:val="none" w:sz="0" w:space="0" w:color="auto"/>
        <w:bottom w:val="none" w:sz="0" w:space="0" w:color="auto"/>
        <w:right w:val="none" w:sz="0" w:space="0" w:color="auto"/>
      </w:divBdr>
    </w:div>
    <w:div w:id="2065785294">
      <w:bodyDiv w:val="1"/>
      <w:marLeft w:val="0"/>
      <w:marRight w:val="0"/>
      <w:marTop w:val="0"/>
      <w:marBottom w:val="0"/>
      <w:divBdr>
        <w:top w:val="none" w:sz="0" w:space="0" w:color="auto"/>
        <w:left w:val="none" w:sz="0" w:space="0" w:color="auto"/>
        <w:bottom w:val="none" w:sz="0" w:space="0" w:color="auto"/>
        <w:right w:val="none" w:sz="0" w:space="0" w:color="auto"/>
      </w:divBdr>
    </w:div>
    <w:div w:id="2065833676">
      <w:bodyDiv w:val="1"/>
      <w:marLeft w:val="0"/>
      <w:marRight w:val="0"/>
      <w:marTop w:val="0"/>
      <w:marBottom w:val="0"/>
      <w:divBdr>
        <w:top w:val="none" w:sz="0" w:space="0" w:color="auto"/>
        <w:left w:val="none" w:sz="0" w:space="0" w:color="auto"/>
        <w:bottom w:val="none" w:sz="0" w:space="0" w:color="auto"/>
        <w:right w:val="none" w:sz="0" w:space="0" w:color="auto"/>
      </w:divBdr>
    </w:div>
    <w:div w:id="2065909026">
      <w:bodyDiv w:val="1"/>
      <w:marLeft w:val="0"/>
      <w:marRight w:val="0"/>
      <w:marTop w:val="0"/>
      <w:marBottom w:val="0"/>
      <w:divBdr>
        <w:top w:val="none" w:sz="0" w:space="0" w:color="auto"/>
        <w:left w:val="none" w:sz="0" w:space="0" w:color="auto"/>
        <w:bottom w:val="none" w:sz="0" w:space="0" w:color="auto"/>
        <w:right w:val="none" w:sz="0" w:space="0" w:color="auto"/>
      </w:divBdr>
    </w:div>
    <w:div w:id="2065982761">
      <w:bodyDiv w:val="1"/>
      <w:marLeft w:val="0"/>
      <w:marRight w:val="0"/>
      <w:marTop w:val="0"/>
      <w:marBottom w:val="0"/>
      <w:divBdr>
        <w:top w:val="none" w:sz="0" w:space="0" w:color="auto"/>
        <w:left w:val="none" w:sz="0" w:space="0" w:color="auto"/>
        <w:bottom w:val="none" w:sz="0" w:space="0" w:color="auto"/>
        <w:right w:val="none" w:sz="0" w:space="0" w:color="auto"/>
      </w:divBdr>
    </w:div>
    <w:div w:id="2066174545">
      <w:bodyDiv w:val="1"/>
      <w:marLeft w:val="0"/>
      <w:marRight w:val="0"/>
      <w:marTop w:val="0"/>
      <w:marBottom w:val="0"/>
      <w:divBdr>
        <w:top w:val="none" w:sz="0" w:space="0" w:color="auto"/>
        <w:left w:val="none" w:sz="0" w:space="0" w:color="auto"/>
        <w:bottom w:val="none" w:sz="0" w:space="0" w:color="auto"/>
        <w:right w:val="none" w:sz="0" w:space="0" w:color="auto"/>
      </w:divBdr>
    </w:div>
    <w:div w:id="2066221320">
      <w:bodyDiv w:val="1"/>
      <w:marLeft w:val="0"/>
      <w:marRight w:val="0"/>
      <w:marTop w:val="0"/>
      <w:marBottom w:val="0"/>
      <w:divBdr>
        <w:top w:val="none" w:sz="0" w:space="0" w:color="auto"/>
        <w:left w:val="none" w:sz="0" w:space="0" w:color="auto"/>
        <w:bottom w:val="none" w:sz="0" w:space="0" w:color="auto"/>
        <w:right w:val="none" w:sz="0" w:space="0" w:color="auto"/>
      </w:divBdr>
    </w:div>
    <w:div w:id="2066372855">
      <w:bodyDiv w:val="1"/>
      <w:marLeft w:val="0"/>
      <w:marRight w:val="0"/>
      <w:marTop w:val="0"/>
      <w:marBottom w:val="0"/>
      <w:divBdr>
        <w:top w:val="none" w:sz="0" w:space="0" w:color="auto"/>
        <w:left w:val="none" w:sz="0" w:space="0" w:color="auto"/>
        <w:bottom w:val="none" w:sz="0" w:space="0" w:color="auto"/>
        <w:right w:val="none" w:sz="0" w:space="0" w:color="auto"/>
      </w:divBdr>
    </w:div>
    <w:div w:id="2066372908">
      <w:bodyDiv w:val="1"/>
      <w:marLeft w:val="0"/>
      <w:marRight w:val="0"/>
      <w:marTop w:val="0"/>
      <w:marBottom w:val="0"/>
      <w:divBdr>
        <w:top w:val="none" w:sz="0" w:space="0" w:color="auto"/>
        <w:left w:val="none" w:sz="0" w:space="0" w:color="auto"/>
        <w:bottom w:val="none" w:sz="0" w:space="0" w:color="auto"/>
        <w:right w:val="none" w:sz="0" w:space="0" w:color="auto"/>
      </w:divBdr>
    </w:div>
    <w:div w:id="2066416405">
      <w:bodyDiv w:val="1"/>
      <w:marLeft w:val="0"/>
      <w:marRight w:val="0"/>
      <w:marTop w:val="0"/>
      <w:marBottom w:val="0"/>
      <w:divBdr>
        <w:top w:val="none" w:sz="0" w:space="0" w:color="auto"/>
        <w:left w:val="none" w:sz="0" w:space="0" w:color="auto"/>
        <w:bottom w:val="none" w:sz="0" w:space="0" w:color="auto"/>
        <w:right w:val="none" w:sz="0" w:space="0" w:color="auto"/>
      </w:divBdr>
    </w:div>
    <w:div w:id="2066483680">
      <w:bodyDiv w:val="1"/>
      <w:marLeft w:val="0"/>
      <w:marRight w:val="0"/>
      <w:marTop w:val="0"/>
      <w:marBottom w:val="0"/>
      <w:divBdr>
        <w:top w:val="none" w:sz="0" w:space="0" w:color="auto"/>
        <w:left w:val="none" w:sz="0" w:space="0" w:color="auto"/>
        <w:bottom w:val="none" w:sz="0" w:space="0" w:color="auto"/>
        <w:right w:val="none" w:sz="0" w:space="0" w:color="auto"/>
      </w:divBdr>
    </w:div>
    <w:div w:id="2066492258">
      <w:bodyDiv w:val="1"/>
      <w:marLeft w:val="0"/>
      <w:marRight w:val="0"/>
      <w:marTop w:val="0"/>
      <w:marBottom w:val="0"/>
      <w:divBdr>
        <w:top w:val="none" w:sz="0" w:space="0" w:color="auto"/>
        <w:left w:val="none" w:sz="0" w:space="0" w:color="auto"/>
        <w:bottom w:val="none" w:sz="0" w:space="0" w:color="auto"/>
        <w:right w:val="none" w:sz="0" w:space="0" w:color="auto"/>
      </w:divBdr>
    </w:div>
    <w:div w:id="2066566519">
      <w:bodyDiv w:val="1"/>
      <w:marLeft w:val="0"/>
      <w:marRight w:val="0"/>
      <w:marTop w:val="0"/>
      <w:marBottom w:val="0"/>
      <w:divBdr>
        <w:top w:val="none" w:sz="0" w:space="0" w:color="auto"/>
        <w:left w:val="none" w:sz="0" w:space="0" w:color="auto"/>
        <w:bottom w:val="none" w:sz="0" w:space="0" w:color="auto"/>
        <w:right w:val="none" w:sz="0" w:space="0" w:color="auto"/>
      </w:divBdr>
    </w:div>
    <w:div w:id="2066758505">
      <w:bodyDiv w:val="1"/>
      <w:marLeft w:val="0"/>
      <w:marRight w:val="0"/>
      <w:marTop w:val="0"/>
      <w:marBottom w:val="0"/>
      <w:divBdr>
        <w:top w:val="none" w:sz="0" w:space="0" w:color="auto"/>
        <w:left w:val="none" w:sz="0" w:space="0" w:color="auto"/>
        <w:bottom w:val="none" w:sz="0" w:space="0" w:color="auto"/>
        <w:right w:val="none" w:sz="0" w:space="0" w:color="auto"/>
      </w:divBdr>
    </w:div>
    <w:div w:id="2066830233">
      <w:bodyDiv w:val="1"/>
      <w:marLeft w:val="0"/>
      <w:marRight w:val="0"/>
      <w:marTop w:val="0"/>
      <w:marBottom w:val="0"/>
      <w:divBdr>
        <w:top w:val="none" w:sz="0" w:space="0" w:color="auto"/>
        <w:left w:val="none" w:sz="0" w:space="0" w:color="auto"/>
        <w:bottom w:val="none" w:sz="0" w:space="0" w:color="auto"/>
        <w:right w:val="none" w:sz="0" w:space="0" w:color="auto"/>
      </w:divBdr>
    </w:div>
    <w:div w:id="2066835186">
      <w:bodyDiv w:val="1"/>
      <w:marLeft w:val="0"/>
      <w:marRight w:val="0"/>
      <w:marTop w:val="0"/>
      <w:marBottom w:val="0"/>
      <w:divBdr>
        <w:top w:val="none" w:sz="0" w:space="0" w:color="auto"/>
        <w:left w:val="none" w:sz="0" w:space="0" w:color="auto"/>
        <w:bottom w:val="none" w:sz="0" w:space="0" w:color="auto"/>
        <w:right w:val="none" w:sz="0" w:space="0" w:color="auto"/>
      </w:divBdr>
    </w:div>
    <w:div w:id="2067022049">
      <w:bodyDiv w:val="1"/>
      <w:marLeft w:val="0"/>
      <w:marRight w:val="0"/>
      <w:marTop w:val="0"/>
      <w:marBottom w:val="0"/>
      <w:divBdr>
        <w:top w:val="none" w:sz="0" w:space="0" w:color="auto"/>
        <w:left w:val="none" w:sz="0" w:space="0" w:color="auto"/>
        <w:bottom w:val="none" w:sz="0" w:space="0" w:color="auto"/>
        <w:right w:val="none" w:sz="0" w:space="0" w:color="auto"/>
      </w:divBdr>
    </w:div>
    <w:div w:id="2067145720">
      <w:bodyDiv w:val="1"/>
      <w:marLeft w:val="0"/>
      <w:marRight w:val="0"/>
      <w:marTop w:val="0"/>
      <w:marBottom w:val="0"/>
      <w:divBdr>
        <w:top w:val="none" w:sz="0" w:space="0" w:color="auto"/>
        <w:left w:val="none" w:sz="0" w:space="0" w:color="auto"/>
        <w:bottom w:val="none" w:sz="0" w:space="0" w:color="auto"/>
        <w:right w:val="none" w:sz="0" w:space="0" w:color="auto"/>
      </w:divBdr>
    </w:div>
    <w:div w:id="2067216544">
      <w:bodyDiv w:val="1"/>
      <w:marLeft w:val="0"/>
      <w:marRight w:val="0"/>
      <w:marTop w:val="0"/>
      <w:marBottom w:val="0"/>
      <w:divBdr>
        <w:top w:val="none" w:sz="0" w:space="0" w:color="auto"/>
        <w:left w:val="none" w:sz="0" w:space="0" w:color="auto"/>
        <w:bottom w:val="none" w:sz="0" w:space="0" w:color="auto"/>
        <w:right w:val="none" w:sz="0" w:space="0" w:color="auto"/>
      </w:divBdr>
    </w:div>
    <w:div w:id="2067295447">
      <w:bodyDiv w:val="1"/>
      <w:marLeft w:val="0"/>
      <w:marRight w:val="0"/>
      <w:marTop w:val="0"/>
      <w:marBottom w:val="0"/>
      <w:divBdr>
        <w:top w:val="none" w:sz="0" w:space="0" w:color="auto"/>
        <w:left w:val="none" w:sz="0" w:space="0" w:color="auto"/>
        <w:bottom w:val="none" w:sz="0" w:space="0" w:color="auto"/>
        <w:right w:val="none" w:sz="0" w:space="0" w:color="auto"/>
      </w:divBdr>
    </w:div>
    <w:div w:id="2067415419">
      <w:bodyDiv w:val="1"/>
      <w:marLeft w:val="0"/>
      <w:marRight w:val="0"/>
      <w:marTop w:val="0"/>
      <w:marBottom w:val="0"/>
      <w:divBdr>
        <w:top w:val="none" w:sz="0" w:space="0" w:color="auto"/>
        <w:left w:val="none" w:sz="0" w:space="0" w:color="auto"/>
        <w:bottom w:val="none" w:sz="0" w:space="0" w:color="auto"/>
        <w:right w:val="none" w:sz="0" w:space="0" w:color="auto"/>
      </w:divBdr>
    </w:div>
    <w:div w:id="2067488763">
      <w:bodyDiv w:val="1"/>
      <w:marLeft w:val="0"/>
      <w:marRight w:val="0"/>
      <w:marTop w:val="0"/>
      <w:marBottom w:val="0"/>
      <w:divBdr>
        <w:top w:val="none" w:sz="0" w:space="0" w:color="auto"/>
        <w:left w:val="none" w:sz="0" w:space="0" w:color="auto"/>
        <w:bottom w:val="none" w:sz="0" w:space="0" w:color="auto"/>
        <w:right w:val="none" w:sz="0" w:space="0" w:color="auto"/>
      </w:divBdr>
    </w:div>
    <w:div w:id="2067530789">
      <w:bodyDiv w:val="1"/>
      <w:marLeft w:val="0"/>
      <w:marRight w:val="0"/>
      <w:marTop w:val="0"/>
      <w:marBottom w:val="0"/>
      <w:divBdr>
        <w:top w:val="none" w:sz="0" w:space="0" w:color="auto"/>
        <w:left w:val="none" w:sz="0" w:space="0" w:color="auto"/>
        <w:bottom w:val="none" w:sz="0" w:space="0" w:color="auto"/>
        <w:right w:val="none" w:sz="0" w:space="0" w:color="auto"/>
      </w:divBdr>
    </w:div>
    <w:div w:id="2067560045">
      <w:bodyDiv w:val="1"/>
      <w:marLeft w:val="0"/>
      <w:marRight w:val="0"/>
      <w:marTop w:val="0"/>
      <w:marBottom w:val="0"/>
      <w:divBdr>
        <w:top w:val="none" w:sz="0" w:space="0" w:color="auto"/>
        <w:left w:val="none" w:sz="0" w:space="0" w:color="auto"/>
        <w:bottom w:val="none" w:sz="0" w:space="0" w:color="auto"/>
        <w:right w:val="none" w:sz="0" w:space="0" w:color="auto"/>
      </w:divBdr>
    </w:div>
    <w:div w:id="2067608475">
      <w:bodyDiv w:val="1"/>
      <w:marLeft w:val="0"/>
      <w:marRight w:val="0"/>
      <w:marTop w:val="0"/>
      <w:marBottom w:val="0"/>
      <w:divBdr>
        <w:top w:val="none" w:sz="0" w:space="0" w:color="auto"/>
        <w:left w:val="none" w:sz="0" w:space="0" w:color="auto"/>
        <w:bottom w:val="none" w:sz="0" w:space="0" w:color="auto"/>
        <w:right w:val="none" w:sz="0" w:space="0" w:color="auto"/>
      </w:divBdr>
    </w:div>
    <w:div w:id="2067682614">
      <w:bodyDiv w:val="1"/>
      <w:marLeft w:val="0"/>
      <w:marRight w:val="0"/>
      <w:marTop w:val="0"/>
      <w:marBottom w:val="0"/>
      <w:divBdr>
        <w:top w:val="none" w:sz="0" w:space="0" w:color="auto"/>
        <w:left w:val="none" w:sz="0" w:space="0" w:color="auto"/>
        <w:bottom w:val="none" w:sz="0" w:space="0" w:color="auto"/>
        <w:right w:val="none" w:sz="0" w:space="0" w:color="auto"/>
      </w:divBdr>
    </w:div>
    <w:div w:id="2067683512">
      <w:bodyDiv w:val="1"/>
      <w:marLeft w:val="0"/>
      <w:marRight w:val="0"/>
      <w:marTop w:val="0"/>
      <w:marBottom w:val="0"/>
      <w:divBdr>
        <w:top w:val="none" w:sz="0" w:space="0" w:color="auto"/>
        <w:left w:val="none" w:sz="0" w:space="0" w:color="auto"/>
        <w:bottom w:val="none" w:sz="0" w:space="0" w:color="auto"/>
        <w:right w:val="none" w:sz="0" w:space="0" w:color="auto"/>
      </w:divBdr>
    </w:div>
    <w:div w:id="2067795865">
      <w:bodyDiv w:val="1"/>
      <w:marLeft w:val="0"/>
      <w:marRight w:val="0"/>
      <w:marTop w:val="0"/>
      <w:marBottom w:val="0"/>
      <w:divBdr>
        <w:top w:val="none" w:sz="0" w:space="0" w:color="auto"/>
        <w:left w:val="none" w:sz="0" w:space="0" w:color="auto"/>
        <w:bottom w:val="none" w:sz="0" w:space="0" w:color="auto"/>
        <w:right w:val="none" w:sz="0" w:space="0" w:color="auto"/>
      </w:divBdr>
    </w:div>
    <w:div w:id="2067796848">
      <w:bodyDiv w:val="1"/>
      <w:marLeft w:val="0"/>
      <w:marRight w:val="0"/>
      <w:marTop w:val="0"/>
      <w:marBottom w:val="0"/>
      <w:divBdr>
        <w:top w:val="none" w:sz="0" w:space="0" w:color="auto"/>
        <w:left w:val="none" w:sz="0" w:space="0" w:color="auto"/>
        <w:bottom w:val="none" w:sz="0" w:space="0" w:color="auto"/>
        <w:right w:val="none" w:sz="0" w:space="0" w:color="auto"/>
      </w:divBdr>
    </w:div>
    <w:div w:id="2067797082">
      <w:bodyDiv w:val="1"/>
      <w:marLeft w:val="0"/>
      <w:marRight w:val="0"/>
      <w:marTop w:val="0"/>
      <w:marBottom w:val="0"/>
      <w:divBdr>
        <w:top w:val="none" w:sz="0" w:space="0" w:color="auto"/>
        <w:left w:val="none" w:sz="0" w:space="0" w:color="auto"/>
        <w:bottom w:val="none" w:sz="0" w:space="0" w:color="auto"/>
        <w:right w:val="none" w:sz="0" w:space="0" w:color="auto"/>
      </w:divBdr>
    </w:div>
    <w:div w:id="2067797950">
      <w:bodyDiv w:val="1"/>
      <w:marLeft w:val="0"/>
      <w:marRight w:val="0"/>
      <w:marTop w:val="0"/>
      <w:marBottom w:val="0"/>
      <w:divBdr>
        <w:top w:val="none" w:sz="0" w:space="0" w:color="auto"/>
        <w:left w:val="none" w:sz="0" w:space="0" w:color="auto"/>
        <w:bottom w:val="none" w:sz="0" w:space="0" w:color="auto"/>
        <w:right w:val="none" w:sz="0" w:space="0" w:color="auto"/>
      </w:divBdr>
    </w:div>
    <w:div w:id="2067869332">
      <w:bodyDiv w:val="1"/>
      <w:marLeft w:val="0"/>
      <w:marRight w:val="0"/>
      <w:marTop w:val="0"/>
      <w:marBottom w:val="0"/>
      <w:divBdr>
        <w:top w:val="none" w:sz="0" w:space="0" w:color="auto"/>
        <w:left w:val="none" w:sz="0" w:space="0" w:color="auto"/>
        <w:bottom w:val="none" w:sz="0" w:space="0" w:color="auto"/>
        <w:right w:val="none" w:sz="0" w:space="0" w:color="auto"/>
      </w:divBdr>
    </w:div>
    <w:div w:id="2067949752">
      <w:bodyDiv w:val="1"/>
      <w:marLeft w:val="0"/>
      <w:marRight w:val="0"/>
      <w:marTop w:val="0"/>
      <w:marBottom w:val="0"/>
      <w:divBdr>
        <w:top w:val="none" w:sz="0" w:space="0" w:color="auto"/>
        <w:left w:val="none" w:sz="0" w:space="0" w:color="auto"/>
        <w:bottom w:val="none" w:sz="0" w:space="0" w:color="auto"/>
        <w:right w:val="none" w:sz="0" w:space="0" w:color="auto"/>
      </w:divBdr>
    </w:div>
    <w:div w:id="2067990876">
      <w:bodyDiv w:val="1"/>
      <w:marLeft w:val="0"/>
      <w:marRight w:val="0"/>
      <w:marTop w:val="0"/>
      <w:marBottom w:val="0"/>
      <w:divBdr>
        <w:top w:val="none" w:sz="0" w:space="0" w:color="auto"/>
        <w:left w:val="none" w:sz="0" w:space="0" w:color="auto"/>
        <w:bottom w:val="none" w:sz="0" w:space="0" w:color="auto"/>
        <w:right w:val="none" w:sz="0" w:space="0" w:color="auto"/>
      </w:divBdr>
    </w:div>
    <w:div w:id="2068019697">
      <w:bodyDiv w:val="1"/>
      <w:marLeft w:val="0"/>
      <w:marRight w:val="0"/>
      <w:marTop w:val="0"/>
      <w:marBottom w:val="0"/>
      <w:divBdr>
        <w:top w:val="none" w:sz="0" w:space="0" w:color="auto"/>
        <w:left w:val="none" w:sz="0" w:space="0" w:color="auto"/>
        <w:bottom w:val="none" w:sz="0" w:space="0" w:color="auto"/>
        <w:right w:val="none" w:sz="0" w:space="0" w:color="auto"/>
      </w:divBdr>
    </w:div>
    <w:div w:id="2068062696">
      <w:bodyDiv w:val="1"/>
      <w:marLeft w:val="0"/>
      <w:marRight w:val="0"/>
      <w:marTop w:val="0"/>
      <w:marBottom w:val="0"/>
      <w:divBdr>
        <w:top w:val="none" w:sz="0" w:space="0" w:color="auto"/>
        <w:left w:val="none" w:sz="0" w:space="0" w:color="auto"/>
        <w:bottom w:val="none" w:sz="0" w:space="0" w:color="auto"/>
        <w:right w:val="none" w:sz="0" w:space="0" w:color="auto"/>
      </w:divBdr>
    </w:div>
    <w:div w:id="2068065786">
      <w:bodyDiv w:val="1"/>
      <w:marLeft w:val="0"/>
      <w:marRight w:val="0"/>
      <w:marTop w:val="0"/>
      <w:marBottom w:val="0"/>
      <w:divBdr>
        <w:top w:val="none" w:sz="0" w:space="0" w:color="auto"/>
        <w:left w:val="none" w:sz="0" w:space="0" w:color="auto"/>
        <w:bottom w:val="none" w:sz="0" w:space="0" w:color="auto"/>
        <w:right w:val="none" w:sz="0" w:space="0" w:color="auto"/>
      </w:divBdr>
    </w:div>
    <w:div w:id="2068264234">
      <w:bodyDiv w:val="1"/>
      <w:marLeft w:val="0"/>
      <w:marRight w:val="0"/>
      <w:marTop w:val="0"/>
      <w:marBottom w:val="0"/>
      <w:divBdr>
        <w:top w:val="none" w:sz="0" w:space="0" w:color="auto"/>
        <w:left w:val="none" w:sz="0" w:space="0" w:color="auto"/>
        <w:bottom w:val="none" w:sz="0" w:space="0" w:color="auto"/>
        <w:right w:val="none" w:sz="0" w:space="0" w:color="auto"/>
      </w:divBdr>
    </w:div>
    <w:div w:id="2068524847">
      <w:bodyDiv w:val="1"/>
      <w:marLeft w:val="0"/>
      <w:marRight w:val="0"/>
      <w:marTop w:val="0"/>
      <w:marBottom w:val="0"/>
      <w:divBdr>
        <w:top w:val="none" w:sz="0" w:space="0" w:color="auto"/>
        <w:left w:val="none" w:sz="0" w:space="0" w:color="auto"/>
        <w:bottom w:val="none" w:sz="0" w:space="0" w:color="auto"/>
        <w:right w:val="none" w:sz="0" w:space="0" w:color="auto"/>
      </w:divBdr>
    </w:div>
    <w:div w:id="2068526778">
      <w:bodyDiv w:val="1"/>
      <w:marLeft w:val="0"/>
      <w:marRight w:val="0"/>
      <w:marTop w:val="0"/>
      <w:marBottom w:val="0"/>
      <w:divBdr>
        <w:top w:val="none" w:sz="0" w:space="0" w:color="auto"/>
        <w:left w:val="none" w:sz="0" w:space="0" w:color="auto"/>
        <w:bottom w:val="none" w:sz="0" w:space="0" w:color="auto"/>
        <w:right w:val="none" w:sz="0" w:space="0" w:color="auto"/>
      </w:divBdr>
    </w:div>
    <w:div w:id="2068601899">
      <w:bodyDiv w:val="1"/>
      <w:marLeft w:val="0"/>
      <w:marRight w:val="0"/>
      <w:marTop w:val="0"/>
      <w:marBottom w:val="0"/>
      <w:divBdr>
        <w:top w:val="none" w:sz="0" w:space="0" w:color="auto"/>
        <w:left w:val="none" w:sz="0" w:space="0" w:color="auto"/>
        <w:bottom w:val="none" w:sz="0" w:space="0" w:color="auto"/>
        <w:right w:val="none" w:sz="0" w:space="0" w:color="auto"/>
      </w:divBdr>
    </w:div>
    <w:div w:id="2068646953">
      <w:bodyDiv w:val="1"/>
      <w:marLeft w:val="0"/>
      <w:marRight w:val="0"/>
      <w:marTop w:val="0"/>
      <w:marBottom w:val="0"/>
      <w:divBdr>
        <w:top w:val="none" w:sz="0" w:space="0" w:color="auto"/>
        <w:left w:val="none" w:sz="0" w:space="0" w:color="auto"/>
        <w:bottom w:val="none" w:sz="0" w:space="0" w:color="auto"/>
        <w:right w:val="none" w:sz="0" w:space="0" w:color="auto"/>
      </w:divBdr>
    </w:div>
    <w:div w:id="2068723058">
      <w:bodyDiv w:val="1"/>
      <w:marLeft w:val="0"/>
      <w:marRight w:val="0"/>
      <w:marTop w:val="0"/>
      <w:marBottom w:val="0"/>
      <w:divBdr>
        <w:top w:val="none" w:sz="0" w:space="0" w:color="auto"/>
        <w:left w:val="none" w:sz="0" w:space="0" w:color="auto"/>
        <w:bottom w:val="none" w:sz="0" w:space="0" w:color="auto"/>
        <w:right w:val="none" w:sz="0" w:space="0" w:color="auto"/>
      </w:divBdr>
    </w:div>
    <w:div w:id="2068842525">
      <w:bodyDiv w:val="1"/>
      <w:marLeft w:val="0"/>
      <w:marRight w:val="0"/>
      <w:marTop w:val="0"/>
      <w:marBottom w:val="0"/>
      <w:divBdr>
        <w:top w:val="none" w:sz="0" w:space="0" w:color="auto"/>
        <w:left w:val="none" w:sz="0" w:space="0" w:color="auto"/>
        <w:bottom w:val="none" w:sz="0" w:space="0" w:color="auto"/>
        <w:right w:val="none" w:sz="0" w:space="0" w:color="auto"/>
      </w:divBdr>
    </w:div>
    <w:div w:id="2068868466">
      <w:bodyDiv w:val="1"/>
      <w:marLeft w:val="0"/>
      <w:marRight w:val="0"/>
      <w:marTop w:val="0"/>
      <w:marBottom w:val="0"/>
      <w:divBdr>
        <w:top w:val="none" w:sz="0" w:space="0" w:color="auto"/>
        <w:left w:val="none" w:sz="0" w:space="0" w:color="auto"/>
        <w:bottom w:val="none" w:sz="0" w:space="0" w:color="auto"/>
        <w:right w:val="none" w:sz="0" w:space="0" w:color="auto"/>
      </w:divBdr>
    </w:div>
    <w:div w:id="2068872223">
      <w:bodyDiv w:val="1"/>
      <w:marLeft w:val="0"/>
      <w:marRight w:val="0"/>
      <w:marTop w:val="0"/>
      <w:marBottom w:val="0"/>
      <w:divBdr>
        <w:top w:val="none" w:sz="0" w:space="0" w:color="auto"/>
        <w:left w:val="none" w:sz="0" w:space="0" w:color="auto"/>
        <w:bottom w:val="none" w:sz="0" w:space="0" w:color="auto"/>
        <w:right w:val="none" w:sz="0" w:space="0" w:color="auto"/>
      </w:divBdr>
    </w:div>
    <w:div w:id="2068914937">
      <w:bodyDiv w:val="1"/>
      <w:marLeft w:val="0"/>
      <w:marRight w:val="0"/>
      <w:marTop w:val="0"/>
      <w:marBottom w:val="0"/>
      <w:divBdr>
        <w:top w:val="none" w:sz="0" w:space="0" w:color="auto"/>
        <w:left w:val="none" w:sz="0" w:space="0" w:color="auto"/>
        <w:bottom w:val="none" w:sz="0" w:space="0" w:color="auto"/>
        <w:right w:val="none" w:sz="0" w:space="0" w:color="auto"/>
      </w:divBdr>
    </w:div>
    <w:div w:id="2068994885">
      <w:bodyDiv w:val="1"/>
      <w:marLeft w:val="0"/>
      <w:marRight w:val="0"/>
      <w:marTop w:val="0"/>
      <w:marBottom w:val="0"/>
      <w:divBdr>
        <w:top w:val="none" w:sz="0" w:space="0" w:color="auto"/>
        <w:left w:val="none" w:sz="0" w:space="0" w:color="auto"/>
        <w:bottom w:val="none" w:sz="0" w:space="0" w:color="auto"/>
        <w:right w:val="none" w:sz="0" w:space="0" w:color="auto"/>
      </w:divBdr>
    </w:div>
    <w:div w:id="2069105267">
      <w:bodyDiv w:val="1"/>
      <w:marLeft w:val="0"/>
      <w:marRight w:val="0"/>
      <w:marTop w:val="0"/>
      <w:marBottom w:val="0"/>
      <w:divBdr>
        <w:top w:val="none" w:sz="0" w:space="0" w:color="auto"/>
        <w:left w:val="none" w:sz="0" w:space="0" w:color="auto"/>
        <w:bottom w:val="none" w:sz="0" w:space="0" w:color="auto"/>
        <w:right w:val="none" w:sz="0" w:space="0" w:color="auto"/>
      </w:divBdr>
    </w:div>
    <w:div w:id="2069107220">
      <w:bodyDiv w:val="1"/>
      <w:marLeft w:val="0"/>
      <w:marRight w:val="0"/>
      <w:marTop w:val="0"/>
      <w:marBottom w:val="0"/>
      <w:divBdr>
        <w:top w:val="none" w:sz="0" w:space="0" w:color="auto"/>
        <w:left w:val="none" w:sz="0" w:space="0" w:color="auto"/>
        <w:bottom w:val="none" w:sz="0" w:space="0" w:color="auto"/>
        <w:right w:val="none" w:sz="0" w:space="0" w:color="auto"/>
      </w:divBdr>
    </w:div>
    <w:div w:id="2069109421">
      <w:bodyDiv w:val="1"/>
      <w:marLeft w:val="0"/>
      <w:marRight w:val="0"/>
      <w:marTop w:val="0"/>
      <w:marBottom w:val="0"/>
      <w:divBdr>
        <w:top w:val="none" w:sz="0" w:space="0" w:color="auto"/>
        <w:left w:val="none" w:sz="0" w:space="0" w:color="auto"/>
        <w:bottom w:val="none" w:sz="0" w:space="0" w:color="auto"/>
        <w:right w:val="none" w:sz="0" w:space="0" w:color="auto"/>
      </w:divBdr>
    </w:div>
    <w:div w:id="2069110910">
      <w:bodyDiv w:val="1"/>
      <w:marLeft w:val="0"/>
      <w:marRight w:val="0"/>
      <w:marTop w:val="0"/>
      <w:marBottom w:val="0"/>
      <w:divBdr>
        <w:top w:val="none" w:sz="0" w:space="0" w:color="auto"/>
        <w:left w:val="none" w:sz="0" w:space="0" w:color="auto"/>
        <w:bottom w:val="none" w:sz="0" w:space="0" w:color="auto"/>
        <w:right w:val="none" w:sz="0" w:space="0" w:color="auto"/>
      </w:divBdr>
    </w:div>
    <w:div w:id="2069180417">
      <w:bodyDiv w:val="1"/>
      <w:marLeft w:val="0"/>
      <w:marRight w:val="0"/>
      <w:marTop w:val="0"/>
      <w:marBottom w:val="0"/>
      <w:divBdr>
        <w:top w:val="none" w:sz="0" w:space="0" w:color="auto"/>
        <w:left w:val="none" w:sz="0" w:space="0" w:color="auto"/>
        <w:bottom w:val="none" w:sz="0" w:space="0" w:color="auto"/>
        <w:right w:val="none" w:sz="0" w:space="0" w:color="auto"/>
      </w:divBdr>
    </w:div>
    <w:div w:id="2069258367">
      <w:bodyDiv w:val="1"/>
      <w:marLeft w:val="0"/>
      <w:marRight w:val="0"/>
      <w:marTop w:val="0"/>
      <w:marBottom w:val="0"/>
      <w:divBdr>
        <w:top w:val="none" w:sz="0" w:space="0" w:color="auto"/>
        <w:left w:val="none" w:sz="0" w:space="0" w:color="auto"/>
        <w:bottom w:val="none" w:sz="0" w:space="0" w:color="auto"/>
        <w:right w:val="none" w:sz="0" w:space="0" w:color="auto"/>
      </w:divBdr>
    </w:div>
    <w:div w:id="2069264320">
      <w:bodyDiv w:val="1"/>
      <w:marLeft w:val="0"/>
      <w:marRight w:val="0"/>
      <w:marTop w:val="0"/>
      <w:marBottom w:val="0"/>
      <w:divBdr>
        <w:top w:val="none" w:sz="0" w:space="0" w:color="auto"/>
        <w:left w:val="none" w:sz="0" w:space="0" w:color="auto"/>
        <w:bottom w:val="none" w:sz="0" w:space="0" w:color="auto"/>
        <w:right w:val="none" w:sz="0" w:space="0" w:color="auto"/>
      </w:divBdr>
    </w:div>
    <w:div w:id="2069305334">
      <w:bodyDiv w:val="1"/>
      <w:marLeft w:val="0"/>
      <w:marRight w:val="0"/>
      <w:marTop w:val="0"/>
      <w:marBottom w:val="0"/>
      <w:divBdr>
        <w:top w:val="none" w:sz="0" w:space="0" w:color="auto"/>
        <w:left w:val="none" w:sz="0" w:space="0" w:color="auto"/>
        <w:bottom w:val="none" w:sz="0" w:space="0" w:color="auto"/>
        <w:right w:val="none" w:sz="0" w:space="0" w:color="auto"/>
      </w:divBdr>
    </w:div>
    <w:div w:id="2069379069">
      <w:bodyDiv w:val="1"/>
      <w:marLeft w:val="0"/>
      <w:marRight w:val="0"/>
      <w:marTop w:val="0"/>
      <w:marBottom w:val="0"/>
      <w:divBdr>
        <w:top w:val="none" w:sz="0" w:space="0" w:color="auto"/>
        <w:left w:val="none" w:sz="0" w:space="0" w:color="auto"/>
        <w:bottom w:val="none" w:sz="0" w:space="0" w:color="auto"/>
        <w:right w:val="none" w:sz="0" w:space="0" w:color="auto"/>
      </w:divBdr>
    </w:div>
    <w:div w:id="2069456966">
      <w:bodyDiv w:val="1"/>
      <w:marLeft w:val="0"/>
      <w:marRight w:val="0"/>
      <w:marTop w:val="0"/>
      <w:marBottom w:val="0"/>
      <w:divBdr>
        <w:top w:val="none" w:sz="0" w:space="0" w:color="auto"/>
        <w:left w:val="none" w:sz="0" w:space="0" w:color="auto"/>
        <w:bottom w:val="none" w:sz="0" w:space="0" w:color="auto"/>
        <w:right w:val="none" w:sz="0" w:space="0" w:color="auto"/>
      </w:divBdr>
    </w:div>
    <w:div w:id="2069457811">
      <w:bodyDiv w:val="1"/>
      <w:marLeft w:val="0"/>
      <w:marRight w:val="0"/>
      <w:marTop w:val="0"/>
      <w:marBottom w:val="0"/>
      <w:divBdr>
        <w:top w:val="none" w:sz="0" w:space="0" w:color="auto"/>
        <w:left w:val="none" w:sz="0" w:space="0" w:color="auto"/>
        <w:bottom w:val="none" w:sz="0" w:space="0" w:color="auto"/>
        <w:right w:val="none" w:sz="0" w:space="0" w:color="auto"/>
      </w:divBdr>
    </w:div>
    <w:div w:id="2069527109">
      <w:bodyDiv w:val="1"/>
      <w:marLeft w:val="0"/>
      <w:marRight w:val="0"/>
      <w:marTop w:val="0"/>
      <w:marBottom w:val="0"/>
      <w:divBdr>
        <w:top w:val="none" w:sz="0" w:space="0" w:color="auto"/>
        <w:left w:val="none" w:sz="0" w:space="0" w:color="auto"/>
        <w:bottom w:val="none" w:sz="0" w:space="0" w:color="auto"/>
        <w:right w:val="none" w:sz="0" w:space="0" w:color="auto"/>
      </w:divBdr>
    </w:div>
    <w:div w:id="2069572341">
      <w:bodyDiv w:val="1"/>
      <w:marLeft w:val="0"/>
      <w:marRight w:val="0"/>
      <w:marTop w:val="0"/>
      <w:marBottom w:val="0"/>
      <w:divBdr>
        <w:top w:val="none" w:sz="0" w:space="0" w:color="auto"/>
        <w:left w:val="none" w:sz="0" w:space="0" w:color="auto"/>
        <w:bottom w:val="none" w:sz="0" w:space="0" w:color="auto"/>
        <w:right w:val="none" w:sz="0" w:space="0" w:color="auto"/>
      </w:divBdr>
    </w:div>
    <w:div w:id="2069573249">
      <w:bodyDiv w:val="1"/>
      <w:marLeft w:val="0"/>
      <w:marRight w:val="0"/>
      <w:marTop w:val="0"/>
      <w:marBottom w:val="0"/>
      <w:divBdr>
        <w:top w:val="none" w:sz="0" w:space="0" w:color="auto"/>
        <w:left w:val="none" w:sz="0" w:space="0" w:color="auto"/>
        <w:bottom w:val="none" w:sz="0" w:space="0" w:color="auto"/>
        <w:right w:val="none" w:sz="0" w:space="0" w:color="auto"/>
      </w:divBdr>
    </w:div>
    <w:div w:id="2069650235">
      <w:bodyDiv w:val="1"/>
      <w:marLeft w:val="0"/>
      <w:marRight w:val="0"/>
      <w:marTop w:val="0"/>
      <w:marBottom w:val="0"/>
      <w:divBdr>
        <w:top w:val="none" w:sz="0" w:space="0" w:color="auto"/>
        <w:left w:val="none" w:sz="0" w:space="0" w:color="auto"/>
        <w:bottom w:val="none" w:sz="0" w:space="0" w:color="auto"/>
        <w:right w:val="none" w:sz="0" w:space="0" w:color="auto"/>
      </w:divBdr>
    </w:div>
    <w:div w:id="2069717989">
      <w:bodyDiv w:val="1"/>
      <w:marLeft w:val="0"/>
      <w:marRight w:val="0"/>
      <w:marTop w:val="0"/>
      <w:marBottom w:val="0"/>
      <w:divBdr>
        <w:top w:val="none" w:sz="0" w:space="0" w:color="auto"/>
        <w:left w:val="none" w:sz="0" w:space="0" w:color="auto"/>
        <w:bottom w:val="none" w:sz="0" w:space="0" w:color="auto"/>
        <w:right w:val="none" w:sz="0" w:space="0" w:color="auto"/>
      </w:divBdr>
    </w:div>
    <w:div w:id="2069842892">
      <w:bodyDiv w:val="1"/>
      <w:marLeft w:val="0"/>
      <w:marRight w:val="0"/>
      <w:marTop w:val="0"/>
      <w:marBottom w:val="0"/>
      <w:divBdr>
        <w:top w:val="none" w:sz="0" w:space="0" w:color="auto"/>
        <w:left w:val="none" w:sz="0" w:space="0" w:color="auto"/>
        <w:bottom w:val="none" w:sz="0" w:space="0" w:color="auto"/>
        <w:right w:val="none" w:sz="0" w:space="0" w:color="auto"/>
      </w:divBdr>
    </w:div>
    <w:div w:id="2069956383">
      <w:bodyDiv w:val="1"/>
      <w:marLeft w:val="0"/>
      <w:marRight w:val="0"/>
      <w:marTop w:val="0"/>
      <w:marBottom w:val="0"/>
      <w:divBdr>
        <w:top w:val="none" w:sz="0" w:space="0" w:color="auto"/>
        <w:left w:val="none" w:sz="0" w:space="0" w:color="auto"/>
        <w:bottom w:val="none" w:sz="0" w:space="0" w:color="auto"/>
        <w:right w:val="none" w:sz="0" w:space="0" w:color="auto"/>
      </w:divBdr>
    </w:div>
    <w:div w:id="2070035348">
      <w:bodyDiv w:val="1"/>
      <w:marLeft w:val="0"/>
      <w:marRight w:val="0"/>
      <w:marTop w:val="0"/>
      <w:marBottom w:val="0"/>
      <w:divBdr>
        <w:top w:val="none" w:sz="0" w:space="0" w:color="auto"/>
        <w:left w:val="none" w:sz="0" w:space="0" w:color="auto"/>
        <w:bottom w:val="none" w:sz="0" w:space="0" w:color="auto"/>
        <w:right w:val="none" w:sz="0" w:space="0" w:color="auto"/>
      </w:divBdr>
    </w:div>
    <w:div w:id="2070112324">
      <w:bodyDiv w:val="1"/>
      <w:marLeft w:val="0"/>
      <w:marRight w:val="0"/>
      <w:marTop w:val="0"/>
      <w:marBottom w:val="0"/>
      <w:divBdr>
        <w:top w:val="none" w:sz="0" w:space="0" w:color="auto"/>
        <w:left w:val="none" w:sz="0" w:space="0" w:color="auto"/>
        <w:bottom w:val="none" w:sz="0" w:space="0" w:color="auto"/>
        <w:right w:val="none" w:sz="0" w:space="0" w:color="auto"/>
      </w:divBdr>
    </w:div>
    <w:div w:id="2070181665">
      <w:bodyDiv w:val="1"/>
      <w:marLeft w:val="0"/>
      <w:marRight w:val="0"/>
      <w:marTop w:val="0"/>
      <w:marBottom w:val="0"/>
      <w:divBdr>
        <w:top w:val="none" w:sz="0" w:space="0" w:color="auto"/>
        <w:left w:val="none" w:sz="0" w:space="0" w:color="auto"/>
        <w:bottom w:val="none" w:sz="0" w:space="0" w:color="auto"/>
        <w:right w:val="none" w:sz="0" w:space="0" w:color="auto"/>
      </w:divBdr>
    </w:div>
    <w:div w:id="2070493830">
      <w:bodyDiv w:val="1"/>
      <w:marLeft w:val="0"/>
      <w:marRight w:val="0"/>
      <w:marTop w:val="0"/>
      <w:marBottom w:val="0"/>
      <w:divBdr>
        <w:top w:val="none" w:sz="0" w:space="0" w:color="auto"/>
        <w:left w:val="none" w:sz="0" w:space="0" w:color="auto"/>
        <w:bottom w:val="none" w:sz="0" w:space="0" w:color="auto"/>
        <w:right w:val="none" w:sz="0" w:space="0" w:color="auto"/>
      </w:divBdr>
    </w:div>
    <w:div w:id="2070574954">
      <w:bodyDiv w:val="1"/>
      <w:marLeft w:val="0"/>
      <w:marRight w:val="0"/>
      <w:marTop w:val="0"/>
      <w:marBottom w:val="0"/>
      <w:divBdr>
        <w:top w:val="none" w:sz="0" w:space="0" w:color="auto"/>
        <w:left w:val="none" w:sz="0" w:space="0" w:color="auto"/>
        <w:bottom w:val="none" w:sz="0" w:space="0" w:color="auto"/>
        <w:right w:val="none" w:sz="0" w:space="0" w:color="auto"/>
      </w:divBdr>
    </w:div>
    <w:div w:id="2070760304">
      <w:bodyDiv w:val="1"/>
      <w:marLeft w:val="0"/>
      <w:marRight w:val="0"/>
      <w:marTop w:val="0"/>
      <w:marBottom w:val="0"/>
      <w:divBdr>
        <w:top w:val="none" w:sz="0" w:space="0" w:color="auto"/>
        <w:left w:val="none" w:sz="0" w:space="0" w:color="auto"/>
        <w:bottom w:val="none" w:sz="0" w:space="0" w:color="auto"/>
        <w:right w:val="none" w:sz="0" w:space="0" w:color="auto"/>
      </w:divBdr>
    </w:div>
    <w:div w:id="2070837149">
      <w:bodyDiv w:val="1"/>
      <w:marLeft w:val="0"/>
      <w:marRight w:val="0"/>
      <w:marTop w:val="0"/>
      <w:marBottom w:val="0"/>
      <w:divBdr>
        <w:top w:val="none" w:sz="0" w:space="0" w:color="auto"/>
        <w:left w:val="none" w:sz="0" w:space="0" w:color="auto"/>
        <w:bottom w:val="none" w:sz="0" w:space="0" w:color="auto"/>
        <w:right w:val="none" w:sz="0" w:space="0" w:color="auto"/>
      </w:divBdr>
    </w:div>
    <w:div w:id="2071149150">
      <w:bodyDiv w:val="1"/>
      <w:marLeft w:val="0"/>
      <w:marRight w:val="0"/>
      <w:marTop w:val="0"/>
      <w:marBottom w:val="0"/>
      <w:divBdr>
        <w:top w:val="none" w:sz="0" w:space="0" w:color="auto"/>
        <w:left w:val="none" w:sz="0" w:space="0" w:color="auto"/>
        <w:bottom w:val="none" w:sz="0" w:space="0" w:color="auto"/>
        <w:right w:val="none" w:sz="0" w:space="0" w:color="auto"/>
      </w:divBdr>
    </w:div>
    <w:div w:id="2071342297">
      <w:bodyDiv w:val="1"/>
      <w:marLeft w:val="0"/>
      <w:marRight w:val="0"/>
      <w:marTop w:val="0"/>
      <w:marBottom w:val="0"/>
      <w:divBdr>
        <w:top w:val="none" w:sz="0" w:space="0" w:color="auto"/>
        <w:left w:val="none" w:sz="0" w:space="0" w:color="auto"/>
        <w:bottom w:val="none" w:sz="0" w:space="0" w:color="auto"/>
        <w:right w:val="none" w:sz="0" w:space="0" w:color="auto"/>
      </w:divBdr>
    </w:div>
    <w:div w:id="2071725821">
      <w:bodyDiv w:val="1"/>
      <w:marLeft w:val="0"/>
      <w:marRight w:val="0"/>
      <w:marTop w:val="0"/>
      <w:marBottom w:val="0"/>
      <w:divBdr>
        <w:top w:val="none" w:sz="0" w:space="0" w:color="auto"/>
        <w:left w:val="none" w:sz="0" w:space="0" w:color="auto"/>
        <w:bottom w:val="none" w:sz="0" w:space="0" w:color="auto"/>
        <w:right w:val="none" w:sz="0" w:space="0" w:color="auto"/>
      </w:divBdr>
    </w:div>
    <w:div w:id="2071730260">
      <w:bodyDiv w:val="1"/>
      <w:marLeft w:val="0"/>
      <w:marRight w:val="0"/>
      <w:marTop w:val="0"/>
      <w:marBottom w:val="0"/>
      <w:divBdr>
        <w:top w:val="none" w:sz="0" w:space="0" w:color="auto"/>
        <w:left w:val="none" w:sz="0" w:space="0" w:color="auto"/>
        <w:bottom w:val="none" w:sz="0" w:space="0" w:color="auto"/>
        <w:right w:val="none" w:sz="0" w:space="0" w:color="auto"/>
      </w:divBdr>
    </w:div>
    <w:div w:id="2071730324">
      <w:bodyDiv w:val="1"/>
      <w:marLeft w:val="0"/>
      <w:marRight w:val="0"/>
      <w:marTop w:val="0"/>
      <w:marBottom w:val="0"/>
      <w:divBdr>
        <w:top w:val="none" w:sz="0" w:space="0" w:color="auto"/>
        <w:left w:val="none" w:sz="0" w:space="0" w:color="auto"/>
        <w:bottom w:val="none" w:sz="0" w:space="0" w:color="auto"/>
        <w:right w:val="none" w:sz="0" w:space="0" w:color="auto"/>
      </w:divBdr>
    </w:div>
    <w:div w:id="2071732040">
      <w:bodyDiv w:val="1"/>
      <w:marLeft w:val="0"/>
      <w:marRight w:val="0"/>
      <w:marTop w:val="0"/>
      <w:marBottom w:val="0"/>
      <w:divBdr>
        <w:top w:val="none" w:sz="0" w:space="0" w:color="auto"/>
        <w:left w:val="none" w:sz="0" w:space="0" w:color="auto"/>
        <w:bottom w:val="none" w:sz="0" w:space="0" w:color="auto"/>
        <w:right w:val="none" w:sz="0" w:space="0" w:color="auto"/>
      </w:divBdr>
    </w:div>
    <w:div w:id="2071804601">
      <w:bodyDiv w:val="1"/>
      <w:marLeft w:val="0"/>
      <w:marRight w:val="0"/>
      <w:marTop w:val="0"/>
      <w:marBottom w:val="0"/>
      <w:divBdr>
        <w:top w:val="none" w:sz="0" w:space="0" w:color="auto"/>
        <w:left w:val="none" w:sz="0" w:space="0" w:color="auto"/>
        <w:bottom w:val="none" w:sz="0" w:space="0" w:color="auto"/>
        <w:right w:val="none" w:sz="0" w:space="0" w:color="auto"/>
      </w:divBdr>
    </w:div>
    <w:div w:id="2071883482">
      <w:bodyDiv w:val="1"/>
      <w:marLeft w:val="0"/>
      <w:marRight w:val="0"/>
      <w:marTop w:val="0"/>
      <w:marBottom w:val="0"/>
      <w:divBdr>
        <w:top w:val="none" w:sz="0" w:space="0" w:color="auto"/>
        <w:left w:val="none" w:sz="0" w:space="0" w:color="auto"/>
        <w:bottom w:val="none" w:sz="0" w:space="0" w:color="auto"/>
        <w:right w:val="none" w:sz="0" w:space="0" w:color="auto"/>
      </w:divBdr>
    </w:div>
    <w:div w:id="2072002958">
      <w:bodyDiv w:val="1"/>
      <w:marLeft w:val="0"/>
      <w:marRight w:val="0"/>
      <w:marTop w:val="0"/>
      <w:marBottom w:val="0"/>
      <w:divBdr>
        <w:top w:val="none" w:sz="0" w:space="0" w:color="auto"/>
        <w:left w:val="none" w:sz="0" w:space="0" w:color="auto"/>
        <w:bottom w:val="none" w:sz="0" w:space="0" w:color="auto"/>
        <w:right w:val="none" w:sz="0" w:space="0" w:color="auto"/>
      </w:divBdr>
    </w:div>
    <w:div w:id="2072069243">
      <w:bodyDiv w:val="1"/>
      <w:marLeft w:val="0"/>
      <w:marRight w:val="0"/>
      <w:marTop w:val="0"/>
      <w:marBottom w:val="0"/>
      <w:divBdr>
        <w:top w:val="none" w:sz="0" w:space="0" w:color="auto"/>
        <w:left w:val="none" w:sz="0" w:space="0" w:color="auto"/>
        <w:bottom w:val="none" w:sz="0" w:space="0" w:color="auto"/>
        <w:right w:val="none" w:sz="0" w:space="0" w:color="auto"/>
      </w:divBdr>
    </w:div>
    <w:div w:id="2072073492">
      <w:bodyDiv w:val="1"/>
      <w:marLeft w:val="0"/>
      <w:marRight w:val="0"/>
      <w:marTop w:val="0"/>
      <w:marBottom w:val="0"/>
      <w:divBdr>
        <w:top w:val="none" w:sz="0" w:space="0" w:color="auto"/>
        <w:left w:val="none" w:sz="0" w:space="0" w:color="auto"/>
        <w:bottom w:val="none" w:sz="0" w:space="0" w:color="auto"/>
        <w:right w:val="none" w:sz="0" w:space="0" w:color="auto"/>
      </w:divBdr>
    </w:div>
    <w:div w:id="2072196492">
      <w:bodyDiv w:val="1"/>
      <w:marLeft w:val="0"/>
      <w:marRight w:val="0"/>
      <w:marTop w:val="0"/>
      <w:marBottom w:val="0"/>
      <w:divBdr>
        <w:top w:val="none" w:sz="0" w:space="0" w:color="auto"/>
        <w:left w:val="none" w:sz="0" w:space="0" w:color="auto"/>
        <w:bottom w:val="none" w:sz="0" w:space="0" w:color="auto"/>
        <w:right w:val="none" w:sz="0" w:space="0" w:color="auto"/>
      </w:divBdr>
    </w:div>
    <w:div w:id="2072265777">
      <w:bodyDiv w:val="1"/>
      <w:marLeft w:val="0"/>
      <w:marRight w:val="0"/>
      <w:marTop w:val="0"/>
      <w:marBottom w:val="0"/>
      <w:divBdr>
        <w:top w:val="none" w:sz="0" w:space="0" w:color="auto"/>
        <w:left w:val="none" w:sz="0" w:space="0" w:color="auto"/>
        <w:bottom w:val="none" w:sz="0" w:space="0" w:color="auto"/>
        <w:right w:val="none" w:sz="0" w:space="0" w:color="auto"/>
      </w:divBdr>
    </w:div>
    <w:div w:id="2072271683">
      <w:bodyDiv w:val="1"/>
      <w:marLeft w:val="0"/>
      <w:marRight w:val="0"/>
      <w:marTop w:val="0"/>
      <w:marBottom w:val="0"/>
      <w:divBdr>
        <w:top w:val="none" w:sz="0" w:space="0" w:color="auto"/>
        <w:left w:val="none" w:sz="0" w:space="0" w:color="auto"/>
        <w:bottom w:val="none" w:sz="0" w:space="0" w:color="auto"/>
        <w:right w:val="none" w:sz="0" w:space="0" w:color="auto"/>
      </w:divBdr>
    </w:div>
    <w:div w:id="2072344184">
      <w:bodyDiv w:val="1"/>
      <w:marLeft w:val="0"/>
      <w:marRight w:val="0"/>
      <w:marTop w:val="0"/>
      <w:marBottom w:val="0"/>
      <w:divBdr>
        <w:top w:val="none" w:sz="0" w:space="0" w:color="auto"/>
        <w:left w:val="none" w:sz="0" w:space="0" w:color="auto"/>
        <w:bottom w:val="none" w:sz="0" w:space="0" w:color="auto"/>
        <w:right w:val="none" w:sz="0" w:space="0" w:color="auto"/>
      </w:divBdr>
    </w:div>
    <w:div w:id="2072576648">
      <w:bodyDiv w:val="1"/>
      <w:marLeft w:val="0"/>
      <w:marRight w:val="0"/>
      <w:marTop w:val="0"/>
      <w:marBottom w:val="0"/>
      <w:divBdr>
        <w:top w:val="none" w:sz="0" w:space="0" w:color="auto"/>
        <w:left w:val="none" w:sz="0" w:space="0" w:color="auto"/>
        <w:bottom w:val="none" w:sz="0" w:space="0" w:color="auto"/>
        <w:right w:val="none" w:sz="0" w:space="0" w:color="auto"/>
      </w:divBdr>
    </w:div>
    <w:div w:id="2072580405">
      <w:bodyDiv w:val="1"/>
      <w:marLeft w:val="0"/>
      <w:marRight w:val="0"/>
      <w:marTop w:val="0"/>
      <w:marBottom w:val="0"/>
      <w:divBdr>
        <w:top w:val="none" w:sz="0" w:space="0" w:color="auto"/>
        <w:left w:val="none" w:sz="0" w:space="0" w:color="auto"/>
        <w:bottom w:val="none" w:sz="0" w:space="0" w:color="auto"/>
        <w:right w:val="none" w:sz="0" w:space="0" w:color="auto"/>
      </w:divBdr>
    </w:div>
    <w:div w:id="2072580632">
      <w:bodyDiv w:val="1"/>
      <w:marLeft w:val="0"/>
      <w:marRight w:val="0"/>
      <w:marTop w:val="0"/>
      <w:marBottom w:val="0"/>
      <w:divBdr>
        <w:top w:val="none" w:sz="0" w:space="0" w:color="auto"/>
        <w:left w:val="none" w:sz="0" w:space="0" w:color="auto"/>
        <w:bottom w:val="none" w:sz="0" w:space="0" w:color="auto"/>
        <w:right w:val="none" w:sz="0" w:space="0" w:color="auto"/>
      </w:divBdr>
    </w:div>
    <w:div w:id="2072606529">
      <w:bodyDiv w:val="1"/>
      <w:marLeft w:val="0"/>
      <w:marRight w:val="0"/>
      <w:marTop w:val="0"/>
      <w:marBottom w:val="0"/>
      <w:divBdr>
        <w:top w:val="none" w:sz="0" w:space="0" w:color="auto"/>
        <w:left w:val="none" w:sz="0" w:space="0" w:color="auto"/>
        <w:bottom w:val="none" w:sz="0" w:space="0" w:color="auto"/>
        <w:right w:val="none" w:sz="0" w:space="0" w:color="auto"/>
      </w:divBdr>
    </w:div>
    <w:div w:id="2072606743">
      <w:bodyDiv w:val="1"/>
      <w:marLeft w:val="0"/>
      <w:marRight w:val="0"/>
      <w:marTop w:val="0"/>
      <w:marBottom w:val="0"/>
      <w:divBdr>
        <w:top w:val="none" w:sz="0" w:space="0" w:color="auto"/>
        <w:left w:val="none" w:sz="0" w:space="0" w:color="auto"/>
        <w:bottom w:val="none" w:sz="0" w:space="0" w:color="auto"/>
        <w:right w:val="none" w:sz="0" w:space="0" w:color="auto"/>
      </w:divBdr>
    </w:div>
    <w:div w:id="2072725754">
      <w:bodyDiv w:val="1"/>
      <w:marLeft w:val="0"/>
      <w:marRight w:val="0"/>
      <w:marTop w:val="0"/>
      <w:marBottom w:val="0"/>
      <w:divBdr>
        <w:top w:val="none" w:sz="0" w:space="0" w:color="auto"/>
        <w:left w:val="none" w:sz="0" w:space="0" w:color="auto"/>
        <w:bottom w:val="none" w:sz="0" w:space="0" w:color="auto"/>
        <w:right w:val="none" w:sz="0" w:space="0" w:color="auto"/>
      </w:divBdr>
    </w:div>
    <w:div w:id="2072726654">
      <w:bodyDiv w:val="1"/>
      <w:marLeft w:val="0"/>
      <w:marRight w:val="0"/>
      <w:marTop w:val="0"/>
      <w:marBottom w:val="0"/>
      <w:divBdr>
        <w:top w:val="none" w:sz="0" w:space="0" w:color="auto"/>
        <w:left w:val="none" w:sz="0" w:space="0" w:color="auto"/>
        <w:bottom w:val="none" w:sz="0" w:space="0" w:color="auto"/>
        <w:right w:val="none" w:sz="0" w:space="0" w:color="auto"/>
      </w:divBdr>
    </w:div>
    <w:div w:id="2072772878">
      <w:bodyDiv w:val="1"/>
      <w:marLeft w:val="0"/>
      <w:marRight w:val="0"/>
      <w:marTop w:val="0"/>
      <w:marBottom w:val="0"/>
      <w:divBdr>
        <w:top w:val="none" w:sz="0" w:space="0" w:color="auto"/>
        <w:left w:val="none" w:sz="0" w:space="0" w:color="auto"/>
        <w:bottom w:val="none" w:sz="0" w:space="0" w:color="auto"/>
        <w:right w:val="none" w:sz="0" w:space="0" w:color="auto"/>
      </w:divBdr>
    </w:div>
    <w:div w:id="2072997517">
      <w:bodyDiv w:val="1"/>
      <w:marLeft w:val="0"/>
      <w:marRight w:val="0"/>
      <w:marTop w:val="0"/>
      <w:marBottom w:val="0"/>
      <w:divBdr>
        <w:top w:val="none" w:sz="0" w:space="0" w:color="auto"/>
        <w:left w:val="none" w:sz="0" w:space="0" w:color="auto"/>
        <w:bottom w:val="none" w:sz="0" w:space="0" w:color="auto"/>
        <w:right w:val="none" w:sz="0" w:space="0" w:color="auto"/>
      </w:divBdr>
    </w:div>
    <w:div w:id="2072998152">
      <w:bodyDiv w:val="1"/>
      <w:marLeft w:val="0"/>
      <w:marRight w:val="0"/>
      <w:marTop w:val="0"/>
      <w:marBottom w:val="0"/>
      <w:divBdr>
        <w:top w:val="none" w:sz="0" w:space="0" w:color="auto"/>
        <w:left w:val="none" w:sz="0" w:space="0" w:color="auto"/>
        <w:bottom w:val="none" w:sz="0" w:space="0" w:color="auto"/>
        <w:right w:val="none" w:sz="0" w:space="0" w:color="auto"/>
      </w:divBdr>
    </w:div>
    <w:div w:id="2073194396">
      <w:bodyDiv w:val="1"/>
      <w:marLeft w:val="0"/>
      <w:marRight w:val="0"/>
      <w:marTop w:val="0"/>
      <w:marBottom w:val="0"/>
      <w:divBdr>
        <w:top w:val="none" w:sz="0" w:space="0" w:color="auto"/>
        <w:left w:val="none" w:sz="0" w:space="0" w:color="auto"/>
        <w:bottom w:val="none" w:sz="0" w:space="0" w:color="auto"/>
        <w:right w:val="none" w:sz="0" w:space="0" w:color="auto"/>
      </w:divBdr>
    </w:div>
    <w:div w:id="2073195128">
      <w:bodyDiv w:val="1"/>
      <w:marLeft w:val="0"/>
      <w:marRight w:val="0"/>
      <w:marTop w:val="0"/>
      <w:marBottom w:val="0"/>
      <w:divBdr>
        <w:top w:val="none" w:sz="0" w:space="0" w:color="auto"/>
        <w:left w:val="none" w:sz="0" w:space="0" w:color="auto"/>
        <w:bottom w:val="none" w:sz="0" w:space="0" w:color="auto"/>
        <w:right w:val="none" w:sz="0" w:space="0" w:color="auto"/>
      </w:divBdr>
    </w:div>
    <w:div w:id="2073236725">
      <w:bodyDiv w:val="1"/>
      <w:marLeft w:val="0"/>
      <w:marRight w:val="0"/>
      <w:marTop w:val="0"/>
      <w:marBottom w:val="0"/>
      <w:divBdr>
        <w:top w:val="none" w:sz="0" w:space="0" w:color="auto"/>
        <w:left w:val="none" w:sz="0" w:space="0" w:color="auto"/>
        <w:bottom w:val="none" w:sz="0" w:space="0" w:color="auto"/>
        <w:right w:val="none" w:sz="0" w:space="0" w:color="auto"/>
      </w:divBdr>
    </w:div>
    <w:div w:id="2073238258">
      <w:bodyDiv w:val="1"/>
      <w:marLeft w:val="0"/>
      <w:marRight w:val="0"/>
      <w:marTop w:val="0"/>
      <w:marBottom w:val="0"/>
      <w:divBdr>
        <w:top w:val="none" w:sz="0" w:space="0" w:color="auto"/>
        <w:left w:val="none" w:sz="0" w:space="0" w:color="auto"/>
        <w:bottom w:val="none" w:sz="0" w:space="0" w:color="auto"/>
        <w:right w:val="none" w:sz="0" w:space="0" w:color="auto"/>
      </w:divBdr>
    </w:div>
    <w:div w:id="2073264039">
      <w:bodyDiv w:val="1"/>
      <w:marLeft w:val="0"/>
      <w:marRight w:val="0"/>
      <w:marTop w:val="0"/>
      <w:marBottom w:val="0"/>
      <w:divBdr>
        <w:top w:val="none" w:sz="0" w:space="0" w:color="auto"/>
        <w:left w:val="none" w:sz="0" w:space="0" w:color="auto"/>
        <w:bottom w:val="none" w:sz="0" w:space="0" w:color="auto"/>
        <w:right w:val="none" w:sz="0" w:space="0" w:color="auto"/>
      </w:divBdr>
    </w:div>
    <w:div w:id="2073383900">
      <w:bodyDiv w:val="1"/>
      <w:marLeft w:val="0"/>
      <w:marRight w:val="0"/>
      <w:marTop w:val="0"/>
      <w:marBottom w:val="0"/>
      <w:divBdr>
        <w:top w:val="none" w:sz="0" w:space="0" w:color="auto"/>
        <w:left w:val="none" w:sz="0" w:space="0" w:color="auto"/>
        <w:bottom w:val="none" w:sz="0" w:space="0" w:color="auto"/>
        <w:right w:val="none" w:sz="0" w:space="0" w:color="auto"/>
      </w:divBdr>
    </w:div>
    <w:div w:id="2073624622">
      <w:bodyDiv w:val="1"/>
      <w:marLeft w:val="0"/>
      <w:marRight w:val="0"/>
      <w:marTop w:val="0"/>
      <w:marBottom w:val="0"/>
      <w:divBdr>
        <w:top w:val="none" w:sz="0" w:space="0" w:color="auto"/>
        <w:left w:val="none" w:sz="0" w:space="0" w:color="auto"/>
        <w:bottom w:val="none" w:sz="0" w:space="0" w:color="auto"/>
        <w:right w:val="none" w:sz="0" w:space="0" w:color="auto"/>
      </w:divBdr>
    </w:div>
    <w:div w:id="2073699900">
      <w:bodyDiv w:val="1"/>
      <w:marLeft w:val="0"/>
      <w:marRight w:val="0"/>
      <w:marTop w:val="0"/>
      <w:marBottom w:val="0"/>
      <w:divBdr>
        <w:top w:val="none" w:sz="0" w:space="0" w:color="auto"/>
        <w:left w:val="none" w:sz="0" w:space="0" w:color="auto"/>
        <w:bottom w:val="none" w:sz="0" w:space="0" w:color="auto"/>
        <w:right w:val="none" w:sz="0" w:space="0" w:color="auto"/>
      </w:divBdr>
    </w:div>
    <w:div w:id="2073848661">
      <w:bodyDiv w:val="1"/>
      <w:marLeft w:val="0"/>
      <w:marRight w:val="0"/>
      <w:marTop w:val="0"/>
      <w:marBottom w:val="0"/>
      <w:divBdr>
        <w:top w:val="none" w:sz="0" w:space="0" w:color="auto"/>
        <w:left w:val="none" w:sz="0" w:space="0" w:color="auto"/>
        <w:bottom w:val="none" w:sz="0" w:space="0" w:color="auto"/>
        <w:right w:val="none" w:sz="0" w:space="0" w:color="auto"/>
      </w:divBdr>
    </w:div>
    <w:div w:id="2073850412">
      <w:bodyDiv w:val="1"/>
      <w:marLeft w:val="0"/>
      <w:marRight w:val="0"/>
      <w:marTop w:val="0"/>
      <w:marBottom w:val="0"/>
      <w:divBdr>
        <w:top w:val="none" w:sz="0" w:space="0" w:color="auto"/>
        <w:left w:val="none" w:sz="0" w:space="0" w:color="auto"/>
        <w:bottom w:val="none" w:sz="0" w:space="0" w:color="auto"/>
        <w:right w:val="none" w:sz="0" w:space="0" w:color="auto"/>
      </w:divBdr>
    </w:div>
    <w:div w:id="2073851395">
      <w:bodyDiv w:val="1"/>
      <w:marLeft w:val="0"/>
      <w:marRight w:val="0"/>
      <w:marTop w:val="0"/>
      <w:marBottom w:val="0"/>
      <w:divBdr>
        <w:top w:val="none" w:sz="0" w:space="0" w:color="auto"/>
        <w:left w:val="none" w:sz="0" w:space="0" w:color="auto"/>
        <w:bottom w:val="none" w:sz="0" w:space="0" w:color="auto"/>
        <w:right w:val="none" w:sz="0" w:space="0" w:color="auto"/>
      </w:divBdr>
    </w:div>
    <w:div w:id="2073965598">
      <w:bodyDiv w:val="1"/>
      <w:marLeft w:val="0"/>
      <w:marRight w:val="0"/>
      <w:marTop w:val="0"/>
      <w:marBottom w:val="0"/>
      <w:divBdr>
        <w:top w:val="none" w:sz="0" w:space="0" w:color="auto"/>
        <w:left w:val="none" w:sz="0" w:space="0" w:color="auto"/>
        <w:bottom w:val="none" w:sz="0" w:space="0" w:color="auto"/>
        <w:right w:val="none" w:sz="0" w:space="0" w:color="auto"/>
      </w:divBdr>
    </w:div>
    <w:div w:id="2074156257">
      <w:bodyDiv w:val="1"/>
      <w:marLeft w:val="0"/>
      <w:marRight w:val="0"/>
      <w:marTop w:val="0"/>
      <w:marBottom w:val="0"/>
      <w:divBdr>
        <w:top w:val="none" w:sz="0" w:space="0" w:color="auto"/>
        <w:left w:val="none" w:sz="0" w:space="0" w:color="auto"/>
        <w:bottom w:val="none" w:sz="0" w:space="0" w:color="auto"/>
        <w:right w:val="none" w:sz="0" w:space="0" w:color="auto"/>
      </w:divBdr>
    </w:div>
    <w:div w:id="2074159087">
      <w:bodyDiv w:val="1"/>
      <w:marLeft w:val="0"/>
      <w:marRight w:val="0"/>
      <w:marTop w:val="0"/>
      <w:marBottom w:val="0"/>
      <w:divBdr>
        <w:top w:val="none" w:sz="0" w:space="0" w:color="auto"/>
        <w:left w:val="none" w:sz="0" w:space="0" w:color="auto"/>
        <w:bottom w:val="none" w:sz="0" w:space="0" w:color="auto"/>
        <w:right w:val="none" w:sz="0" w:space="0" w:color="auto"/>
      </w:divBdr>
    </w:div>
    <w:div w:id="2074160877">
      <w:bodyDiv w:val="1"/>
      <w:marLeft w:val="0"/>
      <w:marRight w:val="0"/>
      <w:marTop w:val="0"/>
      <w:marBottom w:val="0"/>
      <w:divBdr>
        <w:top w:val="none" w:sz="0" w:space="0" w:color="auto"/>
        <w:left w:val="none" w:sz="0" w:space="0" w:color="auto"/>
        <w:bottom w:val="none" w:sz="0" w:space="0" w:color="auto"/>
        <w:right w:val="none" w:sz="0" w:space="0" w:color="auto"/>
      </w:divBdr>
    </w:div>
    <w:div w:id="2074352779">
      <w:bodyDiv w:val="1"/>
      <w:marLeft w:val="0"/>
      <w:marRight w:val="0"/>
      <w:marTop w:val="0"/>
      <w:marBottom w:val="0"/>
      <w:divBdr>
        <w:top w:val="none" w:sz="0" w:space="0" w:color="auto"/>
        <w:left w:val="none" w:sz="0" w:space="0" w:color="auto"/>
        <w:bottom w:val="none" w:sz="0" w:space="0" w:color="auto"/>
        <w:right w:val="none" w:sz="0" w:space="0" w:color="auto"/>
      </w:divBdr>
    </w:div>
    <w:div w:id="2074542171">
      <w:bodyDiv w:val="1"/>
      <w:marLeft w:val="0"/>
      <w:marRight w:val="0"/>
      <w:marTop w:val="0"/>
      <w:marBottom w:val="0"/>
      <w:divBdr>
        <w:top w:val="none" w:sz="0" w:space="0" w:color="auto"/>
        <w:left w:val="none" w:sz="0" w:space="0" w:color="auto"/>
        <w:bottom w:val="none" w:sz="0" w:space="0" w:color="auto"/>
        <w:right w:val="none" w:sz="0" w:space="0" w:color="auto"/>
      </w:divBdr>
    </w:div>
    <w:div w:id="2074619422">
      <w:bodyDiv w:val="1"/>
      <w:marLeft w:val="0"/>
      <w:marRight w:val="0"/>
      <w:marTop w:val="0"/>
      <w:marBottom w:val="0"/>
      <w:divBdr>
        <w:top w:val="none" w:sz="0" w:space="0" w:color="auto"/>
        <w:left w:val="none" w:sz="0" w:space="0" w:color="auto"/>
        <w:bottom w:val="none" w:sz="0" w:space="0" w:color="auto"/>
        <w:right w:val="none" w:sz="0" w:space="0" w:color="auto"/>
      </w:divBdr>
    </w:div>
    <w:div w:id="2074766000">
      <w:bodyDiv w:val="1"/>
      <w:marLeft w:val="0"/>
      <w:marRight w:val="0"/>
      <w:marTop w:val="0"/>
      <w:marBottom w:val="0"/>
      <w:divBdr>
        <w:top w:val="none" w:sz="0" w:space="0" w:color="auto"/>
        <w:left w:val="none" w:sz="0" w:space="0" w:color="auto"/>
        <w:bottom w:val="none" w:sz="0" w:space="0" w:color="auto"/>
        <w:right w:val="none" w:sz="0" w:space="0" w:color="auto"/>
      </w:divBdr>
    </w:div>
    <w:div w:id="2074885478">
      <w:bodyDiv w:val="1"/>
      <w:marLeft w:val="0"/>
      <w:marRight w:val="0"/>
      <w:marTop w:val="0"/>
      <w:marBottom w:val="0"/>
      <w:divBdr>
        <w:top w:val="none" w:sz="0" w:space="0" w:color="auto"/>
        <w:left w:val="none" w:sz="0" w:space="0" w:color="auto"/>
        <w:bottom w:val="none" w:sz="0" w:space="0" w:color="auto"/>
        <w:right w:val="none" w:sz="0" w:space="0" w:color="auto"/>
      </w:divBdr>
    </w:div>
    <w:div w:id="2074962094">
      <w:bodyDiv w:val="1"/>
      <w:marLeft w:val="0"/>
      <w:marRight w:val="0"/>
      <w:marTop w:val="0"/>
      <w:marBottom w:val="0"/>
      <w:divBdr>
        <w:top w:val="none" w:sz="0" w:space="0" w:color="auto"/>
        <w:left w:val="none" w:sz="0" w:space="0" w:color="auto"/>
        <w:bottom w:val="none" w:sz="0" w:space="0" w:color="auto"/>
        <w:right w:val="none" w:sz="0" w:space="0" w:color="auto"/>
      </w:divBdr>
    </w:div>
    <w:div w:id="2075002415">
      <w:bodyDiv w:val="1"/>
      <w:marLeft w:val="0"/>
      <w:marRight w:val="0"/>
      <w:marTop w:val="0"/>
      <w:marBottom w:val="0"/>
      <w:divBdr>
        <w:top w:val="none" w:sz="0" w:space="0" w:color="auto"/>
        <w:left w:val="none" w:sz="0" w:space="0" w:color="auto"/>
        <w:bottom w:val="none" w:sz="0" w:space="0" w:color="auto"/>
        <w:right w:val="none" w:sz="0" w:space="0" w:color="auto"/>
      </w:divBdr>
    </w:div>
    <w:div w:id="2075009898">
      <w:bodyDiv w:val="1"/>
      <w:marLeft w:val="0"/>
      <w:marRight w:val="0"/>
      <w:marTop w:val="0"/>
      <w:marBottom w:val="0"/>
      <w:divBdr>
        <w:top w:val="none" w:sz="0" w:space="0" w:color="auto"/>
        <w:left w:val="none" w:sz="0" w:space="0" w:color="auto"/>
        <w:bottom w:val="none" w:sz="0" w:space="0" w:color="auto"/>
        <w:right w:val="none" w:sz="0" w:space="0" w:color="auto"/>
      </w:divBdr>
    </w:div>
    <w:div w:id="2075077491">
      <w:bodyDiv w:val="1"/>
      <w:marLeft w:val="0"/>
      <w:marRight w:val="0"/>
      <w:marTop w:val="0"/>
      <w:marBottom w:val="0"/>
      <w:divBdr>
        <w:top w:val="none" w:sz="0" w:space="0" w:color="auto"/>
        <w:left w:val="none" w:sz="0" w:space="0" w:color="auto"/>
        <w:bottom w:val="none" w:sz="0" w:space="0" w:color="auto"/>
        <w:right w:val="none" w:sz="0" w:space="0" w:color="auto"/>
      </w:divBdr>
    </w:div>
    <w:div w:id="2075086530">
      <w:bodyDiv w:val="1"/>
      <w:marLeft w:val="0"/>
      <w:marRight w:val="0"/>
      <w:marTop w:val="0"/>
      <w:marBottom w:val="0"/>
      <w:divBdr>
        <w:top w:val="none" w:sz="0" w:space="0" w:color="auto"/>
        <w:left w:val="none" w:sz="0" w:space="0" w:color="auto"/>
        <w:bottom w:val="none" w:sz="0" w:space="0" w:color="auto"/>
        <w:right w:val="none" w:sz="0" w:space="0" w:color="auto"/>
      </w:divBdr>
    </w:div>
    <w:div w:id="2075154983">
      <w:bodyDiv w:val="1"/>
      <w:marLeft w:val="0"/>
      <w:marRight w:val="0"/>
      <w:marTop w:val="0"/>
      <w:marBottom w:val="0"/>
      <w:divBdr>
        <w:top w:val="none" w:sz="0" w:space="0" w:color="auto"/>
        <w:left w:val="none" w:sz="0" w:space="0" w:color="auto"/>
        <w:bottom w:val="none" w:sz="0" w:space="0" w:color="auto"/>
        <w:right w:val="none" w:sz="0" w:space="0" w:color="auto"/>
      </w:divBdr>
    </w:div>
    <w:div w:id="2075158928">
      <w:bodyDiv w:val="1"/>
      <w:marLeft w:val="0"/>
      <w:marRight w:val="0"/>
      <w:marTop w:val="0"/>
      <w:marBottom w:val="0"/>
      <w:divBdr>
        <w:top w:val="none" w:sz="0" w:space="0" w:color="auto"/>
        <w:left w:val="none" w:sz="0" w:space="0" w:color="auto"/>
        <w:bottom w:val="none" w:sz="0" w:space="0" w:color="auto"/>
        <w:right w:val="none" w:sz="0" w:space="0" w:color="auto"/>
      </w:divBdr>
    </w:div>
    <w:div w:id="2075228434">
      <w:bodyDiv w:val="1"/>
      <w:marLeft w:val="0"/>
      <w:marRight w:val="0"/>
      <w:marTop w:val="0"/>
      <w:marBottom w:val="0"/>
      <w:divBdr>
        <w:top w:val="none" w:sz="0" w:space="0" w:color="auto"/>
        <w:left w:val="none" w:sz="0" w:space="0" w:color="auto"/>
        <w:bottom w:val="none" w:sz="0" w:space="0" w:color="auto"/>
        <w:right w:val="none" w:sz="0" w:space="0" w:color="auto"/>
      </w:divBdr>
    </w:div>
    <w:div w:id="2075396732">
      <w:bodyDiv w:val="1"/>
      <w:marLeft w:val="0"/>
      <w:marRight w:val="0"/>
      <w:marTop w:val="0"/>
      <w:marBottom w:val="0"/>
      <w:divBdr>
        <w:top w:val="none" w:sz="0" w:space="0" w:color="auto"/>
        <w:left w:val="none" w:sz="0" w:space="0" w:color="auto"/>
        <w:bottom w:val="none" w:sz="0" w:space="0" w:color="auto"/>
        <w:right w:val="none" w:sz="0" w:space="0" w:color="auto"/>
      </w:divBdr>
    </w:div>
    <w:div w:id="2075423942">
      <w:bodyDiv w:val="1"/>
      <w:marLeft w:val="0"/>
      <w:marRight w:val="0"/>
      <w:marTop w:val="0"/>
      <w:marBottom w:val="0"/>
      <w:divBdr>
        <w:top w:val="none" w:sz="0" w:space="0" w:color="auto"/>
        <w:left w:val="none" w:sz="0" w:space="0" w:color="auto"/>
        <w:bottom w:val="none" w:sz="0" w:space="0" w:color="auto"/>
        <w:right w:val="none" w:sz="0" w:space="0" w:color="auto"/>
      </w:divBdr>
    </w:div>
    <w:div w:id="2075472725">
      <w:bodyDiv w:val="1"/>
      <w:marLeft w:val="0"/>
      <w:marRight w:val="0"/>
      <w:marTop w:val="0"/>
      <w:marBottom w:val="0"/>
      <w:divBdr>
        <w:top w:val="none" w:sz="0" w:space="0" w:color="auto"/>
        <w:left w:val="none" w:sz="0" w:space="0" w:color="auto"/>
        <w:bottom w:val="none" w:sz="0" w:space="0" w:color="auto"/>
        <w:right w:val="none" w:sz="0" w:space="0" w:color="auto"/>
      </w:divBdr>
    </w:div>
    <w:div w:id="2075540231">
      <w:bodyDiv w:val="1"/>
      <w:marLeft w:val="0"/>
      <w:marRight w:val="0"/>
      <w:marTop w:val="0"/>
      <w:marBottom w:val="0"/>
      <w:divBdr>
        <w:top w:val="none" w:sz="0" w:space="0" w:color="auto"/>
        <w:left w:val="none" w:sz="0" w:space="0" w:color="auto"/>
        <w:bottom w:val="none" w:sz="0" w:space="0" w:color="auto"/>
        <w:right w:val="none" w:sz="0" w:space="0" w:color="auto"/>
      </w:divBdr>
    </w:div>
    <w:div w:id="2075542107">
      <w:bodyDiv w:val="1"/>
      <w:marLeft w:val="0"/>
      <w:marRight w:val="0"/>
      <w:marTop w:val="0"/>
      <w:marBottom w:val="0"/>
      <w:divBdr>
        <w:top w:val="none" w:sz="0" w:space="0" w:color="auto"/>
        <w:left w:val="none" w:sz="0" w:space="0" w:color="auto"/>
        <w:bottom w:val="none" w:sz="0" w:space="0" w:color="auto"/>
        <w:right w:val="none" w:sz="0" w:space="0" w:color="auto"/>
      </w:divBdr>
    </w:div>
    <w:div w:id="2075615551">
      <w:bodyDiv w:val="1"/>
      <w:marLeft w:val="0"/>
      <w:marRight w:val="0"/>
      <w:marTop w:val="0"/>
      <w:marBottom w:val="0"/>
      <w:divBdr>
        <w:top w:val="none" w:sz="0" w:space="0" w:color="auto"/>
        <w:left w:val="none" w:sz="0" w:space="0" w:color="auto"/>
        <w:bottom w:val="none" w:sz="0" w:space="0" w:color="auto"/>
        <w:right w:val="none" w:sz="0" w:space="0" w:color="auto"/>
      </w:divBdr>
    </w:div>
    <w:div w:id="2075808503">
      <w:bodyDiv w:val="1"/>
      <w:marLeft w:val="0"/>
      <w:marRight w:val="0"/>
      <w:marTop w:val="0"/>
      <w:marBottom w:val="0"/>
      <w:divBdr>
        <w:top w:val="none" w:sz="0" w:space="0" w:color="auto"/>
        <w:left w:val="none" w:sz="0" w:space="0" w:color="auto"/>
        <w:bottom w:val="none" w:sz="0" w:space="0" w:color="auto"/>
        <w:right w:val="none" w:sz="0" w:space="0" w:color="auto"/>
      </w:divBdr>
    </w:div>
    <w:div w:id="2075853597">
      <w:bodyDiv w:val="1"/>
      <w:marLeft w:val="0"/>
      <w:marRight w:val="0"/>
      <w:marTop w:val="0"/>
      <w:marBottom w:val="0"/>
      <w:divBdr>
        <w:top w:val="none" w:sz="0" w:space="0" w:color="auto"/>
        <w:left w:val="none" w:sz="0" w:space="0" w:color="auto"/>
        <w:bottom w:val="none" w:sz="0" w:space="0" w:color="auto"/>
        <w:right w:val="none" w:sz="0" w:space="0" w:color="auto"/>
      </w:divBdr>
    </w:div>
    <w:div w:id="2075856317">
      <w:bodyDiv w:val="1"/>
      <w:marLeft w:val="0"/>
      <w:marRight w:val="0"/>
      <w:marTop w:val="0"/>
      <w:marBottom w:val="0"/>
      <w:divBdr>
        <w:top w:val="none" w:sz="0" w:space="0" w:color="auto"/>
        <w:left w:val="none" w:sz="0" w:space="0" w:color="auto"/>
        <w:bottom w:val="none" w:sz="0" w:space="0" w:color="auto"/>
        <w:right w:val="none" w:sz="0" w:space="0" w:color="auto"/>
      </w:divBdr>
    </w:div>
    <w:div w:id="2075933923">
      <w:bodyDiv w:val="1"/>
      <w:marLeft w:val="0"/>
      <w:marRight w:val="0"/>
      <w:marTop w:val="0"/>
      <w:marBottom w:val="0"/>
      <w:divBdr>
        <w:top w:val="none" w:sz="0" w:space="0" w:color="auto"/>
        <w:left w:val="none" w:sz="0" w:space="0" w:color="auto"/>
        <w:bottom w:val="none" w:sz="0" w:space="0" w:color="auto"/>
        <w:right w:val="none" w:sz="0" w:space="0" w:color="auto"/>
      </w:divBdr>
    </w:div>
    <w:div w:id="2076079248">
      <w:bodyDiv w:val="1"/>
      <w:marLeft w:val="0"/>
      <w:marRight w:val="0"/>
      <w:marTop w:val="0"/>
      <w:marBottom w:val="0"/>
      <w:divBdr>
        <w:top w:val="none" w:sz="0" w:space="0" w:color="auto"/>
        <w:left w:val="none" w:sz="0" w:space="0" w:color="auto"/>
        <w:bottom w:val="none" w:sz="0" w:space="0" w:color="auto"/>
        <w:right w:val="none" w:sz="0" w:space="0" w:color="auto"/>
      </w:divBdr>
    </w:div>
    <w:div w:id="2076127598">
      <w:bodyDiv w:val="1"/>
      <w:marLeft w:val="0"/>
      <w:marRight w:val="0"/>
      <w:marTop w:val="0"/>
      <w:marBottom w:val="0"/>
      <w:divBdr>
        <w:top w:val="none" w:sz="0" w:space="0" w:color="auto"/>
        <w:left w:val="none" w:sz="0" w:space="0" w:color="auto"/>
        <w:bottom w:val="none" w:sz="0" w:space="0" w:color="auto"/>
        <w:right w:val="none" w:sz="0" w:space="0" w:color="auto"/>
      </w:divBdr>
    </w:div>
    <w:div w:id="2076198839">
      <w:bodyDiv w:val="1"/>
      <w:marLeft w:val="0"/>
      <w:marRight w:val="0"/>
      <w:marTop w:val="0"/>
      <w:marBottom w:val="0"/>
      <w:divBdr>
        <w:top w:val="none" w:sz="0" w:space="0" w:color="auto"/>
        <w:left w:val="none" w:sz="0" w:space="0" w:color="auto"/>
        <w:bottom w:val="none" w:sz="0" w:space="0" w:color="auto"/>
        <w:right w:val="none" w:sz="0" w:space="0" w:color="auto"/>
      </w:divBdr>
    </w:div>
    <w:div w:id="2076203629">
      <w:bodyDiv w:val="1"/>
      <w:marLeft w:val="0"/>
      <w:marRight w:val="0"/>
      <w:marTop w:val="0"/>
      <w:marBottom w:val="0"/>
      <w:divBdr>
        <w:top w:val="none" w:sz="0" w:space="0" w:color="auto"/>
        <w:left w:val="none" w:sz="0" w:space="0" w:color="auto"/>
        <w:bottom w:val="none" w:sz="0" w:space="0" w:color="auto"/>
        <w:right w:val="none" w:sz="0" w:space="0" w:color="auto"/>
      </w:divBdr>
    </w:div>
    <w:div w:id="2076269846">
      <w:bodyDiv w:val="1"/>
      <w:marLeft w:val="0"/>
      <w:marRight w:val="0"/>
      <w:marTop w:val="0"/>
      <w:marBottom w:val="0"/>
      <w:divBdr>
        <w:top w:val="none" w:sz="0" w:space="0" w:color="auto"/>
        <w:left w:val="none" w:sz="0" w:space="0" w:color="auto"/>
        <w:bottom w:val="none" w:sz="0" w:space="0" w:color="auto"/>
        <w:right w:val="none" w:sz="0" w:space="0" w:color="auto"/>
      </w:divBdr>
    </w:div>
    <w:div w:id="2076388072">
      <w:bodyDiv w:val="1"/>
      <w:marLeft w:val="0"/>
      <w:marRight w:val="0"/>
      <w:marTop w:val="0"/>
      <w:marBottom w:val="0"/>
      <w:divBdr>
        <w:top w:val="none" w:sz="0" w:space="0" w:color="auto"/>
        <w:left w:val="none" w:sz="0" w:space="0" w:color="auto"/>
        <w:bottom w:val="none" w:sz="0" w:space="0" w:color="auto"/>
        <w:right w:val="none" w:sz="0" w:space="0" w:color="auto"/>
      </w:divBdr>
    </w:div>
    <w:div w:id="2076463428">
      <w:bodyDiv w:val="1"/>
      <w:marLeft w:val="0"/>
      <w:marRight w:val="0"/>
      <w:marTop w:val="0"/>
      <w:marBottom w:val="0"/>
      <w:divBdr>
        <w:top w:val="none" w:sz="0" w:space="0" w:color="auto"/>
        <w:left w:val="none" w:sz="0" w:space="0" w:color="auto"/>
        <w:bottom w:val="none" w:sz="0" w:space="0" w:color="auto"/>
        <w:right w:val="none" w:sz="0" w:space="0" w:color="auto"/>
      </w:divBdr>
    </w:div>
    <w:div w:id="2076468513">
      <w:bodyDiv w:val="1"/>
      <w:marLeft w:val="0"/>
      <w:marRight w:val="0"/>
      <w:marTop w:val="0"/>
      <w:marBottom w:val="0"/>
      <w:divBdr>
        <w:top w:val="none" w:sz="0" w:space="0" w:color="auto"/>
        <w:left w:val="none" w:sz="0" w:space="0" w:color="auto"/>
        <w:bottom w:val="none" w:sz="0" w:space="0" w:color="auto"/>
        <w:right w:val="none" w:sz="0" w:space="0" w:color="auto"/>
      </w:divBdr>
    </w:div>
    <w:div w:id="2076508952">
      <w:bodyDiv w:val="1"/>
      <w:marLeft w:val="0"/>
      <w:marRight w:val="0"/>
      <w:marTop w:val="0"/>
      <w:marBottom w:val="0"/>
      <w:divBdr>
        <w:top w:val="none" w:sz="0" w:space="0" w:color="auto"/>
        <w:left w:val="none" w:sz="0" w:space="0" w:color="auto"/>
        <w:bottom w:val="none" w:sz="0" w:space="0" w:color="auto"/>
        <w:right w:val="none" w:sz="0" w:space="0" w:color="auto"/>
      </w:divBdr>
    </w:div>
    <w:div w:id="2076583087">
      <w:bodyDiv w:val="1"/>
      <w:marLeft w:val="0"/>
      <w:marRight w:val="0"/>
      <w:marTop w:val="0"/>
      <w:marBottom w:val="0"/>
      <w:divBdr>
        <w:top w:val="none" w:sz="0" w:space="0" w:color="auto"/>
        <w:left w:val="none" w:sz="0" w:space="0" w:color="auto"/>
        <w:bottom w:val="none" w:sz="0" w:space="0" w:color="auto"/>
        <w:right w:val="none" w:sz="0" w:space="0" w:color="auto"/>
      </w:divBdr>
    </w:div>
    <w:div w:id="2076584095">
      <w:bodyDiv w:val="1"/>
      <w:marLeft w:val="0"/>
      <w:marRight w:val="0"/>
      <w:marTop w:val="0"/>
      <w:marBottom w:val="0"/>
      <w:divBdr>
        <w:top w:val="none" w:sz="0" w:space="0" w:color="auto"/>
        <w:left w:val="none" w:sz="0" w:space="0" w:color="auto"/>
        <w:bottom w:val="none" w:sz="0" w:space="0" w:color="auto"/>
        <w:right w:val="none" w:sz="0" w:space="0" w:color="auto"/>
      </w:divBdr>
    </w:div>
    <w:div w:id="2076664875">
      <w:bodyDiv w:val="1"/>
      <w:marLeft w:val="0"/>
      <w:marRight w:val="0"/>
      <w:marTop w:val="0"/>
      <w:marBottom w:val="0"/>
      <w:divBdr>
        <w:top w:val="none" w:sz="0" w:space="0" w:color="auto"/>
        <w:left w:val="none" w:sz="0" w:space="0" w:color="auto"/>
        <w:bottom w:val="none" w:sz="0" w:space="0" w:color="auto"/>
        <w:right w:val="none" w:sz="0" w:space="0" w:color="auto"/>
      </w:divBdr>
    </w:div>
    <w:div w:id="2076975054">
      <w:bodyDiv w:val="1"/>
      <w:marLeft w:val="0"/>
      <w:marRight w:val="0"/>
      <w:marTop w:val="0"/>
      <w:marBottom w:val="0"/>
      <w:divBdr>
        <w:top w:val="none" w:sz="0" w:space="0" w:color="auto"/>
        <w:left w:val="none" w:sz="0" w:space="0" w:color="auto"/>
        <w:bottom w:val="none" w:sz="0" w:space="0" w:color="auto"/>
        <w:right w:val="none" w:sz="0" w:space="0" w:color="auto"/>
      </w:divBdr>
    </w:div>
    <w:div w:id="2077048709">
      <w:bodyDiv w:val="1"/>
      <w:marLeft w:val="0"/>
      <w:marRight w:val="0"/>
      <w:marTop w:val="0"/>
      <w:marBottom w:val="0"/>
      <w:divBdr>
        <w:top w:val="none" w:sz="0" w:space="0" w:color="auto"/>
        <w:left w:val="none" w:sz="0" w:space="0" w:color="auto"/>
        <w:bottom w:val="none" w:sz="0" w:space="0" w:color="auto"/>
        <w:right w:val="none" w:sz="0" w:space="0" w:color="auto"/>
      </w:divBdr>
    </w:div>
    <w:div w:id="2077125737">
      <w:bodyDiv w:val="1"/>
      <w:marLeft w:val="0"/>
      <w:marRight w:val="0"/>
      <w:marTop w:val="0"/>
      <w:marBottom w:val="0"/>
      <w:divBdr>
        <w:top w:val="none" w:sz="0" w:space="0" w:color="auto"/>
        <w:left w:val="none" w:sz="0" w:space="0" w:color="auto"/>
        <w:bottom w:val="none" w:sz="0" w:space="0" w:color="auto"/>
        <w:right w:val="none" w:sz="0" w:space="0" w:color="auto"/>
      </w:divBdr>
    </w:div>
    <w:div w:id="2077126730">
      <w:bodyDiv w:val="1"/>
      <w:marLeft w:val="0"/>
      <w:marRight w:val="0"/>
      <w:marTop w:val="0"/>
      <w:marBottom w:val="0"/>
      <w:divBdr>
        <w:top w:val="none" w:sz="0" w:space="0" w:color="auto"/>
        <w:left w:val="none" w:sz="0" w:space="0" w:color="auto"/>
        <w:bottom w:val="none" w:sz="0" w:space="0" w:color="auto"/>
        <w:right w:val="none" w:sz="0" w:space="0" w:color="auto"/>
      </w:divBdr>
    </w:div>
    <w:div w:id="2077241503">
      <w:bodyDiv w:val="1"/>
      <w:marLeft w:val="0"/>
      <w:marRight w:val="0"/>
      <w:marTop w:val="0"/>
      <w:marBottom w:val="0"/>
      <w:divBdr>
        <w:top w:val="none" w:sz="0" w:space="0" w:color="auto"/>
        <w:left w:val="none" w:sz="0" w:space="0" w:color="auto"/>
        <w:bottom w:val="none" w:sz="0" w:space="0" w:color="auto"/>
        <w:right w:val="none" w:sz="0" w:space="0" w:color="auto"/>
      </w:divBdr>
    </w:div>
    <w:div w:id="2077241848">
      <w:bodyDiv w:val="1"/>
      <w:marLeft w:val="0"/>
      <w:marRight w:val="0"/>
      <w:marTop w:val="0"/>
      <w:marBottom w:val="0"/>
      <w:divBdr>
        <w:top w:val="none" w:sz="0" w:space="0" w:color="auto"/>
        <w:left w:val="none" w:sz="0" w:space="0" w:color="auto"/>
        <w:bottom w:val="none" w:sz="0" w:space="0" w:color="auto"/>
        <w:right w:val="none" w:sz="0" w:space="0" w:color="auto"/>
      </w:divBdr>
    </w:div>
    <w:div w:id="2077313804">
      <w:bodyDiv w:val="1"/>
      <w:marLeft w:val="0"/>
      <w:marRight w:val="0"/>
      <w:marTop w:val="0"/>
      <w:marBottom w:val="0"/>
      <w:divBdr>
        <w:top w:val="none" w:sz="0" w:space="0" w:color="auto"/>
        <w:left w:val="none" w:sz="0" w:space="0" w:color="auto"/>
        <w:bottom w:val="none" w:sz="0" w:space="0" w:color="auto"/>
        <w:right w:val="none" w:sz="0" w:space="0" w:color="auto"/>
      </w:divBdr>
    </w:div>
    <w:div w:id="2077315413">
      <w:bodyDiv w:val="1"/>
      <w:marLeft w:val="0"/>
      <w:marRight w:val="0"/>
      <w:marTop w:val="0"/>
      <w:marBottom w:val="0"/>
      <w:divBdr>
        <w:top w:val="none" w:sz="0" w:space="0" w:color="auto"/>
        <w:left w:val="none" w:sz="0" w:space="0" w:color="auto"/>
        <w:bottom w:val="none" w:sz="0" w:space="0" w:color="auto"/>
        <w:right w:val="none" w:sz="0" w:space="0" w:color="auto"/>
      </w:divBdr>
    </w:div>
    <w:div w:id="2077317900">
      <w:bodyDiv w:val="1"/>
      <w:marLeft w:val="0"/>
      <w:marRight w:val="0"/>
      <w:marTop w:val="0"/>
      <w:marBottom w:val="0"/>
      <w:divBdr>
        <w:top w:val="none" w:sz="0" w:space="0" w:color="auto"/>
        <w:left w:val="none" w:sz="0" w:space="0" w:color="auto"/>
        <w:bottom w:val="none" w:sz="0" w:space="0" w:color="auto"/>
        <w:right w:val="none" w:sz="0" w:space="0" w:color="auto"/>
      </w:divBdr>
    </w:div>
    <w:div w:id="2077589305">
      <w:bodyDiv w:val="1"/>
      <w:marLeft w:val="0"/>
      <w:marRight w:val="0"/>
      <w:marTop w:val="0"/>
      <w:marBottom w:val="0"/>
      <w:divBdr>
        <w:top w:val="none" w:sz="0" w:space="0" w:color="auto"/>
        <w:left w:val="none" w:sz="0" w:space="0" w:color="auto"/>
        <w:bottom w:val="none" w:sz="0" w:space="0" w:color="auto"/>
        <w:right w:val="none" w:sz="0" w:space="0" w:color="auto"/>
      </w:divBdr>
    </w:div>
    <w:div w:id="2077624124">
      <w:bodyDiv w:val="1"/>
      <w:marLeft w:val="0"/>
      <w:marRight w:val="0"/>
      <w:marTop w:val="0"/>
      <w:marBottom w:val="0"/>
      <w:divBdr>
        <w:top w:val="none" w:sz="0" w:space="0" w:color="auto"/>
        <w:left w:val="none" w:sz="0" w:space="0" w:color="auto"/>
        <w:bottom w:val="none" w:sz="0" w:space="0" w:color="auto"/>
        <w:right w:val="none" w:sz="0" w:space="0" w:color="auto"/>
      </w:divBdr>
    </w:div>
    <w:div w:id="2077972052">
      <w:bodyDiv w:val="1"/>
      <w:marLeft w:val="0"/>
      <w:marRight w:val="0"/>
      <w:marTop w:val="0"/>
      <w:marBottom w:val="0"/>
      <w:divBdr>
        <w:top w:val="none" w:sz="0" w:space="0" w:color="auto"/>
        <w:left w:val="none" w:sz="0" w:space="0" w:color="auto"/>
        <w:bottom w:val="none" w:sz="0" w:space="0" w:color="auto"/>
        <w:right w:val="none" w:sz="0" w:space="0" w:color="auto"/>
      </w:divBdr>
    </w:div>
    <w:div w:id="2078042327">
      <w:bodyDiv w:val="1"/>
      <w:marLeft w:val="0"/>
      <w:marRight w:val="0"/>
      <w:marTop w:val="0"/>
      <w:marBottom w:val="0"/>
      <w:divBdr>
        <w:top w:val="none" w:sz="0" w:space="0" w:color="auto"/>
        <w:left w:val="none" w:sz="0" w:space="0" w:color="auto"/>
        <w:bottom w:val="none" w:sz="0" w:space="0" w:color="auto"/>
        <w:right w:val="none" w:sz="0" w:space="0" w:color="auto"/>
      </w:divBdr>
    </w:div>
    <w:div w:id="2078091387">
      <w:bodyDiv w:val="1"/>
      <w:marLeft w:val="0"/>
      <w:marRight w:val="0"/>
      <w:marTop w:val="0"/>
      <w:marBottom w:val="0"/>
      <w:divBdr>
        <w:top w:val="none" w:sz="0" w:space="0" w:color="auto"/>
        <w:left w:val="none" w:sz="0" w:space="0" w:color="auto"/>
        <w:bottom w:val="none" w:sz="0" w:space="0" w:color="auto"/>
        <w:right w:val="none" w:sz="0" w:space="0" w:color="auto"/>
      </w:divBdr>
    </w:div>
    <w:div w:id="2078428495">
      <w:bodyDiv w:val="1"/>
      <w:marLeft w:val="0"/>
      <w:marRight w:val="0"/>
      <w:marTop w:val="0"/>
      <w:marBottom w:val="0"/>
      <w:divBdr>
        <w:top w:val="none" w:sz="0" w:space="0" w:color="auto"/>
        <w:left w:val="none" w:sz="0" w:space="0" w:color="auto"/>
        <w:bottom w:val="none" w:sz="0" w:space="0" w:color="auto"/>
        <w:right w:val="none" w:sz="0" w:space="0" w:color="auto"/>
      </w:divBdr>
    </w:div>
    <w:div w:id="2078428570">
      <w:bodyDiv w:val="1"/>
      <w:marLeft w:val="0"/>
      <w:marRight w:val="0"/>
      <w:marTop w:val="0"/>
      <w:marBottom w:val="0"/>
      <w:divBdr>
        <w:top w:val="none" w:sz="0" w:space="0" w:color="auto"/>
        <w:left w:val="none" w:sz="0" w:space="0" w:color="auto"/>
        <w:bottom w:val="none" w:sz="0" w:space="0" w:color="auto"/>
        <w:right w:val="none" w:sz="0" w:space="0" w:color="auto"/>
      </w:divBdr>
    </w:div>
    <w:div w:id="2078428858">
      <w:bodyDiv w:val="1"/>
      <w:marLeft w:val="0"/>
      <w:marRight w:val="0"/>
      <w:marTop w:val="0"/>
      <w:marBottom w:val="0"/>
      <w:divBdr>
        <w:top w:val="none" w:sz="0" w:space="0" w:color="auto"/>
        <w:left w:val="none" w:sz="0" w:space="0" w:color="auto"/>
        <w:bottom w:val="none" w:sz="0" w:space="0" w:color="auto"/>
        <w:right w:val="none" w:sz="0" w:space="0" w:color="auto"/>
      </w:divBdr>
    </w:div>
    <w:div w:id="2078430483">
      <w:bodyDiv w:val="1"/>
      <w:marLeft w:val="0"/>
      <w:marRight w:val="0"/>
      <w:marTop w:val="0"/>
      <w:marBottom w:val="0"/>
      <w:divBdr>
        <w:top w:val="none" w:sz="0" w:space="0" w:color="auto"/>
        <w:left w:val="none" w:sz="0" w:space="0" w:color="auto"/>
        <w:bottom w:val="none" w:sz="0" w:space="0" w:color="auto"/>
        <w:right w:val="none" w:sz="0" w:space="0" w:color="auto"/>
      </w:divBdr>
    </w:div>
    <w:div w:id="2078549429">
      <w:bodyDiv w:val="1"/>
      <w:marLeft w:val="0"/>
      <w:marRight w:val="0"/>
      <w:marTop w:val="0"/>
      <w:marBottom w:val="0"/>
      <w:divBdr>
        <w:top w:val="none" w:sz="0" w:space="0" w:color="auto"/>
        <w:left w:val="none" w:sz="0" w:space="0" w:color="auto"/>
        <w:bottom w:val="none" w:sz="0" w:space="0" w:color="auto"/>
        <w:right w:val="none" w:sz="0" w:space="0" w:color="auto"/>
      </w:divBdr>
    </w:div>
    <w:div w:id="2078700589">
      <w:bodyDiv w:val="1"/>
      <w:marLeft w:val="0"/>
      <w:marRight w:val="0"/>
      <w:marTop w:val="0"/>
      <w:marBottom w:val="0"/>
      <w:divBdr>
        <w:top w:val="none" w:sz="0" w:space="0" w:color="auto"/>
        <w:left w:val="none" w:sz="0" w:space="0" w:color="auto"/>
        <w:bottom w:val="none" w:sz="0" w:space="0" w:color="auto"/>
        <w:right w:val="none" w:sz="0" w:space="0" w:color="auto"/>
      </w:divBdr>
    </w:div>
    <w:div w:id="2078701393">
      <w:bodyDiv w:val="1"/>
      <w:marLeft w:val="0"/>
      <w:marRight w:val="0"/>
      <w:marTop w:val="0"/>
      <w:marBottom w:val="0"/>
      <w:divBdr>
        <w:top w:val="none" w:sz="0" w:space="0" w:color="auto"/>
        <w:left w:val="none" w:sz="0" w:space="0" w:color="auto"/>
        <w:bottom w:val="none" w:sz="0" w:space="0" w:color="auto"/>
        <w:right w:val="none" w:sz="0" w:space="0" w:color="auto"/>
      </w:divBdr>
    </w:div>
    <w:div w:id="2078740838">
      <w:bodyDiv w:val="1"/>
      <w:marLeft w:val="0"/>
      <w:marRight w:val="0"/>
      <w:marTop w:val="0"/>
      <w:marBottom w:val="0"/>
      <w:divBdr>
        <w:top w:val="none" w:sz="0" w:space="0" w:color="auto"/>
        <w:left w:val="none" w:sz="0" w:space="0" w:color="auto"/>
        <w:bottom w:val="none" w:sz="0" w:space="0" w:color="auto"/>
        <w:right w:val="none" w:sz="0" w:space="0" w:color="auto"/>
      </w:divBdr>
    </w:div>
    <w:div w:id="2078819156">
      <w:bodyDiv w:val="1"/>
      <w:marLeft w:val="0"/>
      <w:marRight w:val="0"/>
      <w:marTop w:val="0"/>
      <w:marBottom w:val="0"/>
      <w:divBdr>
        <w:top w:val="none" w:sz="0" w:space="0" w:color="auto"/>
        <w:left w:val="none" w:sz="0" w:space="0" w:color="auto"/>
        <w:bottom w:val="none" w:sz="0" w:space="0" w:color="auto"/>
        <w:right w:val="none" w:sz="0" w:space="0" w:color="auto"/>
      </w:divBdr>
    </w:div>
    <w:div w:id="2078897295">
      <w:bodyDiv w:val="1"/>
      <w:marLeft w:val="0"/>
      <w:marRight w:val="0"/>
      <w:marTop w:val="0"/>
      <w:marBottom w:val="0"/>
      <w:divBdr>
        <w:top w:val="none" w:sz="0" w:space="0" w:color="auto"/>
        <w:left w:val="none" w:sz="0" w:space="0" w:color="auto"/>
        <w:bottom w:val="none" w:sz="0" w:space="0" w:color="auto"/>
        <w:right w:val="none" w:sz="0" w:space="0" w:color="auto"/>
      </w:divBdr>
    </w:div>
    <w:div w:id="2078899331">
      <w:bodyDiv w:val="1"/>
      <w:marLeft w:val="0"/>
      <w:marRight w:val="0"/>
      <w:marTop w:val="0"/>
      <w:marBottom w:val="0"/>
      <w:divBdr>
        <w:top w:val="none" w:sz="0" w:space="0" w:color="auto"/>
        <w:left w:val="none" w:sz="0" w:space="0" w:color="auto"/>
        <w:bottom w:val="none" w:sz="0" w:space="0" w:color="auto"/>
        <w:right w:val="none" w:sz="0" w:space="0" w:color="auto"/>
      </w:divBdr>
    </w:div>
    <w:div w:id="2078939890">
      <w:bodyDiv w:val="1"/>
      <w:marLeft w:val="0"/>
      <w:marRight w:val="0"/>
      <w:marTop w:val="0"/>
      <w:marBottom w:val="0"/>
      <w:divBdr>
        <w:top w:val="none" w:sz="0" w:space="0" w:color="auto"/>
        <w:left w:val="none" w:sz="0" w:space="0" w:color="auto"/>
        <w:bottom w:val="none" w:sz="0" w:space="0" w:color="auto"/>
        <w:right w:val="none" w:sz="0" w:space="0" w:color="auto"/>
      </w:divBdr>
    </w:div>
    <w:div w:id="2079008706">
      <w:bodyDiv w:val="1"/>
      <w:marLeft w:val="0"/>
      <w:marRight w:val="0"/>
      <w:marTop w:val="0"/>
      <w:marBottom w:val="0"/>
      <w:divBdr>
        <w:top w:val="none" w:sz="0" w:space="0" w:color="auto"/>
        <w:left w:val="none" w:sz="0" w:space="0" w:color="auto"/>
        <w:bottom w:val="none" w:sz="0" w:space="0" w:color="auto"/>
        <w:right w:val="none" w:sz="0" w:space="0" w:color="auto"/>
      </w:divBdr>
    </w:div>
    <w:div w:id="2079130189">
      <w:bodyDiv w:val="1"/>
      <w:marLeft w:val="0"/>
      <w:marRight w:val="0"/>
      <w:marTop w:val="0"/>
      <w:marBottom w:val="0"/>
      <w:divBdr>
        <w:top w:val="none" w:sz="0" w:space="0" w:color="auto"/>
        <w:left w:val="none" w:sz="0" w:space="0" w:color="auto"/>
        <w:bottom w:val="none" w:sz="0" w:space="0" w:color="auto"/>
        <w:right w:val="none" w:sz="0" w:space="0" w:color="auto"/>
      </w:divBdr>
    </w:div>
    <w:div w:id="2079131121">
      <w:bodyDiv w:val="1"/>
      <w:marLeft w:val="0"/>
      <w:marRight w:val="0"/>
      <w:marTop w:val="0"/>
      <w:marBottom w:val="0"/>
      <w:divBdr>
        <w:top w:val="none" w:sz="0" w:space="0" w:color="auto"/>
        <w:left w:val="none" w:sz="0" w:space="0" w:color="auto"/>
        <w:bottom w:val="none" w:sz="0" w:space="0" w:color="auto"/>
        <w:right w:val="none" w:sz="0" w:space="0" w:color="auto"/>
      </w:divBdr>
    </w:div>
    <w:div w:id="2079131200">
      <w:bodyDiv w:val="1"/>
      <w:marLeft w:val="0"/>
      <w:marRight w:val="0"/>
      <w:marTop w:val="0"/>
      <w:marBottom w:val="0"/>
      <w:divBdr>
        <w:top w:val="none" w:sz="0" w:space="0" w:color="auto"/>
        <w:left w:val="none" w:sz="0" w:space="0" w:color="auto"/>
        <w:bottom w:val="none" w:sz="0" w:space="0" w:color="auto"/>
        <w:right w:val="none" w:sz="0" w:space="0" w:color="auto"/>
      </w:divBdr>
    </w:div>
    <w:div w:id="2079281435">
      <w:bodyDiv w:val="1"/>
      <w:marLeft w:val="0"/>
      <w:marRight w:val="0"/>
      <w:marTop w:val="0"/>
      <w:marBottom w:val="0"/>
      <w:divBdr>
        <w:top w:val="none" w:sz="0" w:space="0" w:color="auto"/>
        <w:left w:val="none" w:sz="0" w:space="0" w:color="auto"/>
        <w:bottom w:val="none" w:sz="0" w:space="0" w:color="auto"/>
        <w:right w:val="none" w:sz="0" w:space="0" w:color="auto"/>
      </w:divBdr>
    </w:div>
    <w:div w:id="2079354686">
      <w:bodyDiv w:val="1"/>
      <w:marLeft w:val="0"/>
      <w:marRight w:val="0"/>
      <w:marTop w:val="0"/>
      <w:marBottom w:val="0"/>
      <w:divBdr>
        <w:top w:val="none" w:sz="0" w:space="0" w:color="auto"/>
        <w:left w:val="none" w:sz="0" w:space="0" w:color="auto"/>
        <w:bottom w:val="none" w:sz="0" w:space="0" w:color="auto"/>
        <w:right w:val="none" w:sz="0" w:space="0" w:color="auto"/>
      </w:divBdr>
    </w:div>
    <w:div w:id="2079742836">
      <w:bodyDiv w:val="1"/>
      <w:marLeft w:val="0"/>
      <w:marRight w:val="0"/>
      <w:marTop w:val="0"/>
      <w:marBottom w:val="0"/>
      <w:divBdr>
        <w:top w:val="none" w:sz="0" w:space="0" w:color="auto"/>
        <w:left w:val="none" w:sz="0" w:space="0" w:color="auto"/>
        <w:bottom w:val="none" w:sz="0" w:space="0" w:color="auto"/>
        <w:right w:val="none" w:sz="0" w:space="0" w:color="auto"/>
      </w:divBdr>
    </w:div>
    <w:div w:id="2079788299">
      <w:bodyDiv w:val="1"/>
      <w:marLeft w:val="0"/>
      <w:marRight w:val="0"/>
      <w:marTop w:val="0"/>
      <w:marBottom w:val="0"/>
      <w:divBdr>
        <w:top w:val="none" w:sz="0" w:space="0" w:color="auto"/>
        <w:left w:val="none" w:sz="0" w:space="0" w:color="auto"/>
        <w:bottom w:val="none" w:sz="0" w:space="0" w:color="auto"/>
        <w:right w:val="none" w:sz="0" w:space="0" w:color="auto"/>
      </w:divBdr>
    </w:div>
    <w:div w:id="2080009929">
      <w:bodyDiv w:val="1"/>
      <w:marLeft w:val="0"/>
      <w:marRight w:val="0"/>
      <w:marTop w:val="0"/>
      <w:marBottom w:val="0"/>
      <w:divBdr>
        <w:top w:val="none" w:sz="0" w:space="0" w:color="auto"/>
        <w:left w:val="none" w:sz="0" w:space="0" w:color="auto"/>
        <w:bottom w:val="none" w:sz="0" w:space="0" w:color="auto"/>
        <w:right w:val="none" w:sz="0" w:space="0" w:color="auto"/>
      </w:divBdr>
    </w:div>
    <w:div w:id="2080054774">
      <w:bodyDiv w:val="1"/>
      <w:marLeft w:val="0"/>
      <w:marRight w:val="0"/>
      <w:marTop w:val="0"/>
      <w:marBottom w:val="0"/>
      <w:divBdr>
        <w:top w:val="none" w:sz="0" w:space="0" w:color="auto"/>
        <w:left w:val="none" w:sz="0" w:space="0" w:color="auto"/>
        <w:bottom w:val="none" w:sz="0" w:space="0" w:color="auto"/>
        <w:right w:val="none" w:sz="0" w:space="0" w:color="auto"/>
      </w:divBdr>
    </w:div>
    <w:div w:id="2080129050">
      <w:bodyDiv w:val="1"/>
      <w:marLeft w:val="0"/>
      <w:marRight w:val="0"/>
      <w:marTop w:val="0"/>
      <w:marBottom w:val="0"/>
      <w:divBdr>
        <w:top w:val="none" w:sz="0" w:space="0" w:color="auto"/>
        <w:left w:val="none" w:sz="0" w:space="0" w:color="auto"/>
        <w:bottom w:val="none" w:sz="0" w:space="0" w:color="auto"/>
        <w:right w:val="none" w:sz="0" w:space="0" w:color="auto"/>
      </w:divBdr>
    </w:div>
    <w:div w:id="2080134814">
      <w:bodyDiv w:val="1"/>
      <w:marLeft w:val="0"/>
      <w:marRight w:val="0"/>
      <w:marTop w:val="0"/>
      <w:marBottom w:val="0"/>
      <w:divBdr>
        <w:top w:val="none" w:sz="0" w:space="0" w:color="auto"/>
        <w:left w:val="none" w:sz="0" w:space="0" w:color="auto"/>
        <w:bottom w:val="none" w:sz="0" w:space="0" w:color="auto"/>
        <w:right w:val="none" w:sz="0" w:space="0" w:color="auto"/>
      </w:divBdr>
    </w:div>
    <w:div w:id="2080326693">
      <w:bodyDiv w:val="1"/>
      <w:marLeft w:val="0"/>
      <w:marRight w:val="0"/>
      <w:marTop w:val="0"/>
      <w:marBottom w:val="0"/>
      <w:divBdr>
        <w:top w:val="none" w:sz="0" w:space="0" w:color="auto"/>
        <w:left w:val="none" w:sz="0" w:space="0" w:color="auto"/>
        <w:bottom w:val="none" w:sz="0" w:space="0" w:color="auto"/>
        <w:right w:val="none" w:sz="0" w:space="0" w:color="auto"/>
      </w:divBdr>
    </w:div>
    <w:div w:id="2080328184">
      <w:bodyDiv w:val="1"/>
      <w:marLeft w:val="0"/>
      <w:marRight w:val="0"/>
      <w:marTop w:val="0"/>
      <w:marBottom w:val="0"/>
      <w:divBdr>
        <w:top w:val="none" w:sz="0" w:space="0" w:color="auto"/>
        <w:left w:val="none" w:sz="0" w:space="0" w:color="auto"/>
        <w:bottom w:val="none" w:sz="0" w:space="0" w:color="auto"/>
        <w:right w:val="none" w:sz="0" w:space="0" w:color="auto"/>
      </w:divBdr>
    </w:div>
    <w:div w:id="2080397582">
      <w:bodyDiv w:val="1"/>
      <w:marLeft w:val="0"/>
      <w:marRight w:val="0"/>
      <w:marTop w:val="0"/>
      <w:marBottom w:val="0"/>
      <w:divBdr>
        <w:top w:val="none" w:sz="0" w:space="0" w:color="auto"/>
        <w:left w:val="none" w:sz="0" w:space="0" w:color="auto"/>
        <w:bottom w:val="none" w:sz="0" w:space="0" w:color="auto"/>
        <w:right w:val="none" w:sz="0" w:space="0" w:color="auto"/>
      </w:divBdr>
    </w:div>
    <w:div w:id="2080398078">
      <w:bodyDiv w:val="1"/>
      <w:marLeft w:val="0"/>
      <w:marRight w:val="0"/>
      <w:marTop w:val="0"/>
      <w:marBottom w:val="0"/>
      <w:divBdr>
        <w:top w:val="none" w:sz="0" w:space="0" w:color="auto"/>
        <w:left w:val="none" w:sz="0" w:space="0" w:color="auto"/>
        <w:bottom w:val="none" w:sz="0" w:space="0" w:color="auto"/>
        <w:right w:val="none" w:sz="0" w:space="0" w:color="auto"/>
      </w:divBdr>
    </w:div>
    <w:div w:id="2080512488">
      <w:bodyDiv w:val="1"/>
      <w:marLeft w:val="0"/>
      <w:marRight w:val="0"/>
      <w:marTop w:val="0"/>
      <w:marBottom w:val="0"/>
      <w:divBdr>
        <w:top w:val="none" w:sz="0" w:space="0" w:color="auto"/>
        <w:left w:val="none" w:sz="0" w:space="0" w:color="auto"/>
        <w:bottom w:val="none" w:sz="0" w:space="0" w:color="auto"/>
        <w:right w:val="none" w:sz="0" w:space="0" w:color="auto"/>
      </w:divBdr>
    </w:div>
    <w:div w:id="2080517182">
      <w:bodyDiv w:val="1"/>
      <w:marLeft w:val="0"/>
      <w:marRight w:val="0"/>
      <w:marTop w:val="0"/>
      <w:marBottom w:val="0"/>
      <w:divBdr>
        <w:top w:val="none" w:sz="0" w:space="0" w:color="auto"/>
        <w:left w:val="none" w:sz="0" w:space="0" w:color="auto"/>
        <w:bottom w:val="none" w:sz="0" w:space="0" w:color="auto"/>
        <w:right w:val="none" w:sz="0" w:space="0" w:color="auto"/>
      </w:divBdr>
    </w:div>
    <w:div w:id="2080857234">
      <w:bodyDiv w:val="1"/>
      <w:marLeft w:val="0"/>
      <w:marRight w:val="0"/>
      <w:marTop w:val="0"/>
      <w:marBottom w:val="0"/>
      <w:divBdr>
        <w:top w:val="none" w:sz="0" w:space="0" w:color="auto"/>
        <w:left w:val="none" w:sz="0" w:space="0" w:color="auto"/>
        <w:bottom w:val="none" w:sz="0" w:space="0" w:color="auto"/>
        <w:right w:val="none" w:sz="0" w:space="0" w:color="auto"/>
      </w:divBdr>
    </w:div>
    <w:div w:id="2080865723">
      <w:bodyDiv w:val="1"/>
      <w:marLeft w:val="0"/>
      <w:marRight w:val="0"/>
      <w:marTop w:val="0"/>
      <w:marBottom w:val="0"/>
      <w:divBdr>
        <w:top w:val="none" w:sz="0" w:space="0" w:color="auto"/>
        <w:left w:val="none" w:sz="0" w:space="0" w:color="auto"/>
        <w:bottom w:val="none" w:sz="0" w:space="0" w:color="auto"/>
        <w:right w:val="none" w:sz="0" w:space="0" w:color="auto"/>
      </w:divBdr>
    </w:div>
    <w:div w:id="2080906341">
      <w:bodyDiv w:val="1"/>
      <w:marLeft w:val="0"/>
      <w:marRight w:val="0"/>
      <w:marTop w:val="0"/>
      <w:marBottom w:val="0"/>
      <w:divBdr>
        <w:top w:val="none" w:sz="0" w:space="0" w:color="auto"/>
        <w:left w:val="none" w:sz="0" w:space="0" w:color="auto"/>
        <w:bottom w:val="none" w:sz="0" w:space="0" w:color="auto"/>
        <w:right w:val="none" w:sz="0" w:space="0" w:color="auto"/>
      </w:divBdr>
    </w:div>
    <w:div w:id="2080980474">
      <w:bodyDiv w:val="1"/>
      <w:marLeft w:val="0"/>
      <w:marRight w:val="0"/>
      <w:marTop w:val="0"/>
      <w:marBottom w:val="0"/>
      <w:divBdr>
        <w:top w:val="none" w:sz="0" w:space="0" w:color="auto"/>
        <w:left w:val="none" w:sz="0" w:space="0" w:color="auto"/>
        <w:bottom w:val="none" w:sz="0" w:space="0" w:color="auto"/>
        <w:right w:val="none" w:sz="0" w:space="0" w:color="auto"/>
      </w:divBdr>
    </w:div>
    <w:div w:id="2081054134">
      <w:bodyDiv w:val="1"/>
      <w:marLeft w:val="0"/>
      <w:marRight w:val="0"/>
      <w:marTop w:val="0"/>
      <w:marBottom w:val="0"/>
      <w:divBdr>
        <w:top w:val="none" w:sz="0" w:space="0" w:color="auto"/>
        <w:left w:val="none" w:sz="0" w:space="0" w:color="auto"/>
        <w:bottom w:val="none" w:sz="0" w:space="0" w:color="auto"/>
        <w:right w:val="none" w:sz="0" w:space="0" w:color="auto"/>
      </w:divBdr>
    </w:div>
    <w:div w:id="2081097498">
      <w:bodyDiv w:val="1"/>
      <w:marLeft w:val="0"/>
      <w:marRight w:val="0"/>
      <w:marTop w:val="0"/>
      <w:marBottom w:val="0"/>
      <w:divBdr>
        <w:top w:val="none" w:sz="0" w:space="0" w:color="auto"/>
        <w:left w:val="none" w:sz="0" w:space="0" w:color="auto"/>
        <w:bottom w:val="none" w:sz="0" w:space="0" w:color="auto"/>
        <w:right w:val="none" w:sz="0" w:space="0" w:color="auto"/>
      </w:divBdr>
    </w:div>
    <w:div w:id="2081248399">
      <w:bodyDiv w:val="1"/>
      <w:marLeft w:val="0"/>
      <w:marRight w:val="0"/>
      <w:marTop w:val="0"/>
      <w:marBottom w:val="0"/>
      <w:divBdr>
        <w:top w:val="none" w:sz="0" w:space="0" w:color="auto"/>
        <w:left w:val="none" w:sz="0" w:space="0" w:color="auto"/>
        <w:bottom w:val="none" w:sz="0" w:space="0" w:color="auto"/>
        <w:right w:val="none" w:sz="0" w:space="0" w:color="auto"/>
      </w:divBdr>
    </w:div>
    <w:div w:id="2081292786">
      <w:bodyDiv w:val="1"/>
      <w:marLeft w:val="0"/>
      <w:marRight w:val="0"/>
      <w:marTop w:val="0"/>
      <w:marBottom w:val="0"/>
      <w:divBdr>
        <w:top w:val="none" w:sz="0" w:space="0" w:color="auto"/>
        <w:left w:val="none" w:sz="0" w:space="0" w:color="auto"/>
        <w:bottom w:val="none" w:sz="0" w:space="0" w:color="auto"/>
        <w:right w:val="none" w:sz="0" w:space="0" w:color="auto"/>
      </w:divBdr>
    </w:div>
    <w:div w:id="2081293458">
      <w:bodyDiv w:val="1"/>
      <w:marLeft w:val="0"/>
      <w:marRight w:val="0"/>
      <w:marTop w:val="0"/>
      <w:marBottom w:val="0"/>
      <w:divBdr>
        <w:top w:val="none" w:sz="0" w:space="0" w:color="auto"/>
        <w:left w:val="none" w:sz="0" w:space="0" w:color="auto"/>
        <w:bottom w:val="none" w:sz="0" w:space="0" w:color="auto"/>
        <w:right w:val="none" w:sz="0" w:space="0" w:color="auto"/>
      </w:divBdr>
    </w:div>
    <w:div w:id="2081322987">
      <w:bodyDiv w:val="1"/>
      <w:marLeft w:val="0"/>
      <w:marRight w:val="0"/>
      <w:marTop w:val="0"/>
      <w:marBottom w:val="0"/>
      <w:divBdr>
        <w:top w:val="none" w:sz="0" w:space="0" w:color="auto"/>
        <w:left w:val="none" w:sz="0" w:space="0" w:color="auto"/>
        <w:bottom w:val="none" w:sz="0" w:space="0" w:color="auto"/>
        <w:right w:val="none" w:sz="0" w:space="0" w:color="auto"/>
      </w:divBdr>
    </w:div>
    <w:div w:id="2081362397">
      <w:bodyDiv w:val="1"/>
      <w:marLeft w:val="0"/>
      <w:marRight w:val="0"/>
      <w:marTop w:val="0"/>
      <w:marBottom w:val="0"/>
      <w:divBdr>
        <w:top w:val="none" w:sz="0" w:space="0" w:color="auto"/>
        <w:left w:val="none" w:sz="0" w:space="0" w:color="auto"/>
        <w:bottom w:val="none" w:sz="0" w:space="0" w:color="auto"/>
        <w:right w:val="none" w:sz="0" w:space="0" w:color="auto"/>
      </w:divBdr>
    </w:div>
    <w:div w:id="2081514303">
      <w:bodyDiv w:val="1"/>
      <w:marLeft w:val="0"/>
      <w:marRight w:val="0"/>
      <w:marTop w:val="0"/>
      <w:marBottom w:val="0"/>
      <w:divBdr>
        <w:top w:val="none" w:sz="0" w:space="0" w:color="auto"/>
        <w:left w:val="none" w:sz="0" w:space="0" w:color="auto"/>
        <w:bottom w:val="none" w:sz="0" w:space="0" w:color="auto"/>
        <w:right w:val="none" w:sz="0" w:space="0" w:color="auto"/>
      </w:divBdr>
    </w:div>
    <w:div w:id="2081515639">
      <w:bodyDiv w:val="1"/>
      <w:marLeft w:val="0"/>
      <w:marRight w:val="0"/>
      <w:marTop w:val="0"/>
      <w:marBottom w:val="0"/>
      <w:divBdr>
        <w:top w:val="none" w:sz="0" w:space="0" w:color="auto"/>
        <w:left w:val="none" w:sz="0" w:space="0" w:color="auto"/>
        <w:bottom w:val="none" w:sz="0" w:space="0" w:color="auto"/>
        <w:right w:val="none" w:sz="0" w:space="0" w:color="auto"/>
      </w:divBdr>
    </w:div>
    <w:div w:id="2081562999">
      <w:bodyDiv w:val="1"/>
      <w:marLeft w:val="0"/>
      <w:marRight w:val="0"/>
      <w:marTop w:val="0"/>
      <w:marBottom w:val="0"/>
      <w:divBdr>
        <w:top w:val="none" w:sz="0" w:space="0" w:color="auto"/>
        <w:left w:val="none" w:sz="0" w:space="0" w:color="auto"/>
        <w:bottom w:val="none" w:sz="0" w:space="0" w:color="auto"/>
        <w:right w:val="none" w:sz="0" w:space="0" w:color="auto"/>
      </w:divBdr>
    </w:div>
    <w:div w:id="2081638521">
      <w:bodyDiv w:val="1"/>
      <w:marLeft w:val="0"/>
      <w:marRight w:val="0"/>
      <w:marTop w:val="0"/>
      <w:marBottom w:val="0"/>
      <w:divBdr>
        <w:top w:val="none" w:sz="0" w:space="0" w:color="auto"/>
        <w:left w:val="none" w:sz="0" w:space="0" w:color="auto"/>
        <w:bottom w:val="none" w:sz="0" w:space="0" w:color="auto"/>
        <w:right w:val="none" w:sz="0" w:space="0" w:color="auto"/>
      </w:divBdr>
    </w:div>
    <w:div w:id="2081707292">
      <w:bodyDiv w:val="1"/>
      <w:marLeft w:val="0"/>
      <w:marRight w:val="0"/>
      <w:marTop w:val="0"/>
      <w:marBottom w:val="0"/>
      <w:divBdr>
        <w:top w:val="none" w:sz="0" w:space="0" w:color="auto"/>
        <w:left w:val="none" w:sz="0" w:space="0" w:color="auto"/>
        <w:bottom w:val="none" w:sz="0" w:space="0" w:color="auto"/>
        <w:right w:val="none" w:sz="0" w:space="0" w:color="auto"/>
      </w:divBdr>
    </w:div>
    <w:div w:id="2081754202">
      <w:bodyDiv w:val="1"/>
      <w:marLeft w:val="0"/>
      <w:marRight w:val="0"/>
      <w:marTop w:val="0"/>
      <w:marBottom w:val="0"/>
      <w:divBdr>
        <w:top w:val="none" w:sz="0" w:space="0" w:color="auto"/>
        <w:left w:val="none" w:sz="0" w:space="0" w:color="auto"/>
        <w:bottom w:val="none" w:sz="0" w:space="0" w:color="auto"/>
        <w:right w:val="none" w:sz="0" w:space="0" w:color="auto"/>
      </w:divBdr>
    </w:div>
    <w:div w:id="2081899498">
      <w:bodyDiv w:val="1"/>
      <w:marLeft w:val="0"/>
      <w:marRight w:val="0"/>
      <w:marTop w:val="0"/>
      <w:marBottom w:val="0"/>
      <w:divBdr>
        <w:top w:val="none" w:sz="0" w:space="0" w:color="auto"/>
        <w:left w:val="none" w:sz="0" w:space="0" w:color="auto"/>
        <w:bottom w:val="none" w:sz="0" w:space="0" w:color="auto"/>
        <w:right w:val="none" w:sz="0" w:space="0" w:color="auto"/>
      </w:divBdr>
    </w:div>
    <w:div w:id="2081901259">
      <w:bodyDiv w:val="1"/>
      <w:marLeft w:val="0"/>
      <w:marRight w:val="0"/>
      <w:marTop w:val="0"/>
      <w:marBottom w:val="0"/>
      <w:divBdr>
        <w:top w:val="none" w:sz="0" w:space="0" w:color="auto"/>
        <w:left w:val="none" w:sz="0" w:space="0" w:color="auto"/>
        <w:bottom w:val="none" w:sz="0" w:space="0" w:color="auto"/>
        <w:right w:val="none" w:sz="0" w:space="0" w:color="auto"/>
      </w:divBdr>
    </w:div>
    <w:div w:id="2081901739">
      <w:bodyDiv w:val="1"/>
      <w:marLeft w:val="0"/>
      <w:marRight w:val="0"/>
      <w:marTop w:val="0"/>
      <w:marBottom w:val="0"/>
      <w:divBdr>
        <w:top w:val="none" w:sz="0" w:space="0" w:color="auto"/>
        <w:left w:val="none" w:sz="0" w:space="0" w:color="auto"/>
        <w:bottom w:val="none" w:sz="0" w:space="0" w:color="auto"/>
        <w:right w:val="none" w:sz="0" w:space="0" w:color="auto"/>
      </w:divBdr>
    </w:div>
    <w:div w:id="2081906494">
      <w:bodyDiv w:val="1"/>
      <w:marLeft w:val="0"/>
      <w:marRight w:val="0"/>
      <w:marTop w:val="0"/>
      <w:marBottom w:val="0"/>
      <w:divBdr>
        <w:top w:val="none" w:sz="0" w:space="0" w:color="auto"/>
        <w:left w:val="none" w:sz="0" w:space="0" w:color="auto"/>
        <w:bottom w:val="none" w:sz="0" w:space="0" w:color="auto"/>
        <w:right w:val="none" w:sz="0" w:space="0" w:color="auto"/>
      </w:divBdr>
    </w:div>
    <w:div w:id="2081907795">
      <w:bodyDiv w:val="1"/>
      <w:marLeft w:val="0"/>
      <w:marRight w:val="0"/>
      <w:marTop w:val="0"/>
      <w:marBottom w:val="0"/>
      <w:divBdr>
        <w:top w:val="none" w:sz="0" w:space="0" w:color="auto"/>
        <w:left w:val="none" w:sz="0" w:space="0" w:color="auto"/>
        <w:bottom w:val="none" w:sz="0" w:space="0" w:color="auto"/>
        <w:right w:val="none" w:sz="0" w:space="0" w:color="auto"/>
      </w:divBdr>
    </w:div>
    <w:div w:id="2081976230">
      <w:bodyDiv w:val="1"/>
      <w:marLeft w:val="0"/>
      <w:marRight w:val="0"/>
      <w:marTop w:val="0"/>
      <w:marBottom w:val="0"/>
      <w:divBdr>
        <w:top w:val="none" w:sz="0" w:space="0" w:color="auto"/>
        <w:left w:val="none" w:sz="0" w:space="0" w:color="auto"/>
        <w:bottom w:val="none" w:sz="0" w:space="0" w:color="auto"/>
        <w:right w:val="none" w:sz="0" w:space="0" w:color="auto"/>
      </w:divBdr>
    </w:div>
    <w:div w:id="2082096376">
      <w:bodyDiv w:val="1"/>
      <w:marLeft w:val="0"/>
      <w:marRight w:val="0"/>
      <w:marTop w:val="0"/>
      <w:marBottom w:val="0"/>
      <w:divBdr>
        <w:top w:val="none" w:sz="0" w:space="0" w:color="auto"/>
        <w:left w:val="none" w:sz="0" w:space="0" w:color="auto"/>
        <w:bottom w:val="none" w:sz="0" w:space="0" w:color="auto"/>
        <w:right w:val="none" w:sz="0" w:space="0" w:color="auto"/>
      </w:divBdr>
    </w:div>
    <w:div w:id="2082175314">
      <w:bodyDiv w:val="1"/>
      <w:marLeft w:val="0"/>
      <w:marRight w:val="0"/>
      <w:marTop w:val="0"/>
      <w:marBottom w:val="0"/>
      <w:divBdr>
        <w:top w:val="none" w:sz="0" w:space="0" w:color="auto"/>
        <w:left w:val="none" w:sz="0" w:space="0" w:color="auto"/>
        <w:bottom w:val="none" w:sz="0" w:space="0" w:color="auto"/>
        <w:right w:val="none" w:sz="0" w:space="0" w:color="auto"/>
      </w:divBdr>
    </w:div>
    <w:div w:id="2082211086">
      <w:bodyDiv w:val="1"/>
      <w:marLeft w:val="0"/>
      <w:marRight w:val="0"/>
      <w:marTop w:val="0"/>
      <w:marBottom w:val="0"/>
      <w:divBdr>
        <w:top w:val="none" w:sz="0" w:space="0" w:color="auto"/>
        <w:left w:val="none" w:sz="0" w:space="0" w:color="auto"/>
        <w:bottom w:val="none" w:sz="0" w:space="0" w:color="auto"/>
        <w:right w:val="none" w:sz="0" w:space="0" w:color="auto"/>
      </w:divBdr>
    </w:div>
    <w:div w:id="2082285885">
      <w:bodyDiv w:val="1"/>
      <w:marLeft w:val="0"/>
      <w:marRight w:val="0"/>
      <w:marTop w:val="0"/>
      <w:marBottom w:val="0"/>
      <w:divBdr>
        <w:top w:val="none" w:sz="0" w:space="0" w:color="auto"/>
        <w:left w:val="none" w:sz="0" w:space="0" w:color="auto"/>
        <w:bottom w:val="none" w:sz="0" w:space="0" w:color="auto"/>
        <w:right w:val="none" w:sz="0" w:space="0" w:color="auto"/>
      </w:divBdr>
    </w:div>
    <w:div w:id="2082291234">
      <w:bodyDiv w:val="1"/>
      <w:marLeft w:val="0"/>
      <w:marRight w:val="0"/>
      <w:marTop w:val="0"/>
      <w:marBottom w:val="0"/>
      <w:divBdr>
        <w:top w:val="none" w:sz="0" w:space="0" w:color="auto"/>
        <w:left w:val="none" w:sz="0" w:space="0" w:color="auto"/>
        <w:bottom w:val="none" w:sz="0" w:space="0" w:color="auto"/>
        <w:right w:val="none" w:sz="0" w:space="0" w:color="auto"/>
      </w:divBdr>
    </w:div>
    <w:div w:id="2082411072">
      <w:bodyDiv w:val="1"/>
      <w:marLeft w:val="0"/>
      <w:marRight w:val="0"/>
      <w:marTop w:val="0"/>
      <w:marBottom w:val="0"/>
      <w:divBdr>
        <w:top w:val="none" w:sz="0" w:space="0" w:color="auto"/>
        <w:left w:val="none" w:sz="0" w:space="0" w:color="auto"/>
        <w:bottom w:val="none" w:sz="0" w:space="0" w:color="auto"/>
        <w:right w:val="none" w:sz="0" w:space="0" w:color="auto"/>
      </w:divBdr>
    </w:div>
    <w:div w:id="2082438204">
      <w:bodyDiv w:val="1"/>
      <w:marLeft w:val="0"/>
      <w:marRight w:val="0"/>
      <w:marTop w:val="0"/>
      <w:marBottom w:val="0"/>
      <w:divBdr>
        <w:top w:val="none" w:sz="0" w:space="0" w:color="auto"/>
        <w:left w:val="none" w:sz="0" w:space="0" w:color="auto"/>
        <w:bottom w:val="none" w:sz="0" w:space="0" w:color="auto"/>
        <w:right w:val="none" w:sz="0" w:space="0" w:color="auto"/>
      </w:divBdr>
    </w:div>
    <w:div w:id="2082485857">
      <w:bodyDiv w:val="1"/>
      <w:marLeft w:val="0"/>
      <w:marRight w:val="0"/>
      <w:marTop w:val="0"/>
      <w:marBottom w:val="0"/>
      <w:divBdr>
        <w:top w:val="none" w:sz="0" w:space="0" w:color="auto"/>
        <w:left w:val="none" w:sz="0" w:space="0" w:color="auto"/>
        <w:bottom w:val="none" w:sz="0" w:space="0" w:color="auto"/>
        <w:right w:val="none" w:sz="0" w:space="0" w:color="auto"/>
      </w:divBdr>
    </w:div>
    <w:div w:id="2082633144">
      <w:bodyDiv w:val="1"/>
      <w:marLeft w:val="0"/>
      <w:marRight w:val="0"/>
      <w:marTop w:val="0"/>
      <w:marBottom w:val="0"/>
      <w:divBdr>
        <w:top w:val="none" w:sz="0" w:space="0" w:color="auto"/>
        <w:left w:val="none" w:sz="0" w:space="0" w:color="auto"/>
        <w:bottom w:val="none" w:sz="0" w:space="0" w:color="auto"/>
        <w:right w:val="none" w:sz="0" w:space="0" w:color="auto"/>
      </w:divBdr>
    </w:div>
    <w:div w:id="2082671751">
      <w:bodyDiv w:val="1"/>
      <w:marLeft w:val="0"/>
      <w:marRight w:val="0"/>
      <w:marTop w:val="0"/>
      <w:marBottom w:val="0"/>
      <w:divBdr>
        <w:top w:val="none" w:sz="0" w:space="0" w:color="auto"/>
        <w:left w:val="none" w:sz="0" w:space="0" w:color="auto"/>
        <w:bottom w:val="none" w:sz="0" w:space="0" w:color="auto"/>
        <w:right w:val="none" w:sz="0" w:space="0" w:color="auto"/>
      </w:divBdr>
    </w:div>
    <w:div w:id="2082678374">
      <w:bodyDiv w:val="1"/>
      <w:marLeft w:val="0"/>
      <w:marRight w:val="0"/>
      <w:marTop w:val="0"/>
      <w:marBottom w:val="0"/>
      <w:divBdr>
        <w:top w:val="none" w:sz="0" w:space="0" w:color="auto"/>
        <w:left w:val="none" w:sz="0" w:space="0" w:color="auto"/>
        <w:bottom w:val="none" w:sz="0" w:space="0" w:color="auto"/>
        <w:right w:val="none" w:sz="0" w:space="0" w:color="auto"/>
      </w:divBdr>
    </w:div>
    <w:div w:id="2082747595">
      <w:bodyDiv w:val="1"/>
      <w:marLeft w:val="0"/>
      <w:marRight w:val="0"/>
      <w:marTop w:val="0"/>
      <w:marBottom w:val="0"/>
      <w:divBdr>
        <w:top w:val="none" w:sz="0" w:space="0" w:color="auto"/>
        <w:left w:val="none" w:sz="0" w:space="0" w:color="auto"/>
        <w:bottom w:val="none" w:sz="0" w:space="0" w:color="auto"/>
        <w:right w:val="none" w:sz="0" w:space="0" w:color="auto"/>
      </w:divBdr>
    </w:div>
    <w:div w:id="2082754726">
      <w:bodyDiv w:val="1"/>
      <w:marLeft w:val="0"/>
      <w:marRight w:val="0"/>
      <w:marTop w:val="0"/>
      <w:marBottom w:val="0"/>
      <w:divBdr>
        <w:top w:val="none" w:sz="0" w:space="0" w:color="auto"/>
        <w:left w:val="none" w:sz="0" w:space="0" w:color="auto"/>
        <w:bottom w:val="none" w:sz="0" w:space="0" w:color="auto"/>
        <w:right w:val="none" w:sz="0" w:space="0" w:color="auto"/>
      </w:divBdr>
    </w:div>
    <w:div w:id="2082872169">
      <w:bodyDiv w:val="1"/>
      <w:marLeft w:val="0"/>
      <w:marRight w:val="0"/>
      <w:marTop w:val="0"/>
      <w:marBottom w:val="0"/>
      <w:divBdr>
        <w:top w:val="none" w:sz="0" w:space="0" w:color="auto"/>
        <w:left w:val="none" w:sz="0" w:space="0" w:color="auto"/>
        <w:bottom w:val="none" w:sz="0" w:space="0" w:color="auto"/>
        <w:right w:val="none" w:sz="0" w:space="0" w:color="auto"/>
      </w:divBdr>
    </w:div>
    <w:div w:id="2083062274">
      <w:bodyDiv w:val="1"/>
      <w:marLeft w:val="0"/>
      <w:marRight w:val="0"/>
      <w:marTop w:val="0"/>
      <w:marBottom w:val="0"/>
      <w:divBdr>
        <w:top w:val="none" w:sz="0" w:space="0" w:color="auto"/>
        <w:left w:val="none" w:sz="0" w:space="0" w:color="auto"/>
        <w:bottom w:val="none" w:sz="0" w:space="0" w:color="auto"/>
        <w:right w:val="none" w:sz="0" w:space="0" w:color="auto"/>
      </w:divBdr>
    </w:div>
    <w:div w:id="2083092658">
      <w:bodyDiv w:val="1"/>
      <w:marLeft w:val="0"/>
      <w:marRight w:val="0"/>
      <w:marTop w:val="0"/>
      <w:marBottom w:val="0"/>
      <w:divBdr>
        <w:top w:val="none" w:sz="0" w:space="0" w:color="auto"/>
        <w:left w:val="none" w:sz="0" w:space="0" w:color="auto"/>
        <w:bottom w:val="none" w:sz="0" w:space="0" w:color="auto"/>
        <w:right w:val="none" w:sz="0" w:space="0" w:color="auto"/>
      </w:divBdr>
    </w:div>
    <w:div w:id="2083094201">
      <w:bodyDiv w:val="1"/>
      <w:marLeft w:val="0"/>
      <w:marRight w:val="0"/>
      <w:marTop w:val="0"/>
      <w:marBottom w:val="0"/>
      <w:divBdr>
        <w:top w:val="none" w:sz="0" w:space="0" w:color="auto"/>
        <w:left w:val="none" w:sz="0" w:space="0" w:color="auto"/>
        <w:bottom w:val="none" w:sz="0" w:space="0" w:color="auto"/>
        <w:right w:val="none" w:sz="0" w:space="0" w:color="auto"/>
      </w:divBdr>
    </w:div>
    <w:div w:id="2083142920">
      <w:bodyDiv w:val="1"/>
      <w:marLeft w:val="0"/>
      <w:marRight w:val="0"/>
      <w:marTop w:val="0"/>
      <w:marBottom w:val="0"/>
      <w:divBdr>
        <w:top w:val="none" w:sz="0" w:space="0" w:color="auto"/>
        <w:left w:val="none" w:sz="0" w:space="0" w:color="auto"/>
        <w:bottom w:val="none" w:sz="0" w:space="0" w:color="auto"/>
        <w:right w:val="none" w:sz="0" w:space="0" w:color="auto"/>
      </w:divBdr>
    </w:div>
    <w:div w:id="2083216831">
      <w:bodyDiv w:val="1"/>
      <w:marLeft w:val="0"/>
      <w:marRight w:val="0"/>
      <w:marTop w:val="0"/>
      <w:marBottom w:val="0"/>
      <w:divBdr>
        <w:top w:val="none" w:sz="0" w:space="0" w:color="auto"/>
        <w:left w:val="none" w:sz="0" w:space="0" w:color="auto"/>
        <w:bottom w:val="none" w:sz="0" w:space="0" w:color="auto"/>
        <w:right w:val="none" w:sz="0" w:space="0" w:color="auto"/>
      </w:divBdr>
    </w:div>
    <w:div w:id="2083284418">
      <w:bodyDiv w:val="1"/>
      <w:marLeft w:val="0"/>
      <w:marRight w:val="0"/>
      <w:marTop w:val="0"/>
      <w:marBottom w:val="0"/>
      <w:divBdr>
        <w:top w:val="none" w:sz="0" w:space="0" w:color="auto"/>
        <w:left w:val="none" w:sz="0" w:space="0" w:color="auto"/>
        <w:bottom w:val="none" w:sz="0" w:space="0" w:color="auto"/>
        <w:right w:val="none" w:sz="0" w:space="0" w:color="auto"/>
      </w:divBdr>
    </w:div>
    <w:div w:id="2083289064">
      <w:bodyDiv w:val="1"/>
      <w:marLeft w:val="0"/>
      <w:marRight w:val="0"/>
      <w:marTop w:val="0"/>
      <w:marBottom w:val="0"/>
      <w:divBdr>
        <w:top w:val="none" w:sz="0" w:space="0" w:color="auto"/>
        <w:left w:val="none" w:sz="0" w:space="0" w:color="auto"/>
        <w:bottom w:val="none" w:sz="0" w:space="0" w:color="auto"/>
        <w:right w:val="none" w:sz="0" w:space="0" w:color="auto"/>
      </w:divBdr>
    </w:div>
    <w:div w:id="2083407251">
      <w:bodyDiv w:val="1"/>
      <w:marLeft w:val="0"/>
      <w:marRight w:val="0"/>
      <w:marTop w:val="0"/>
      <w:marBottom w:val="0"/>
      <w:divBdr>
        <w:top w:val="none" w:sz="0" w:space="0" w:color="auto"/>
        <w:left w:val="none" w:sz="0" w:space="0" w:color="auto"/>
        <w:bottom w:val="none" w:sz="0" w:space="0" w:color="auto"/>
        <w:right w:val="none" w:sz="0" w:space="0" w:color="auto"/>
      </w:divBdr>
    </w:div>
    <w:div w:id="2083410743">
      <w:bodyDiv w:val="1"/>
      <w:marLeft w:val="0"/>
      <w:marRight w:val="0"/>
      <w:marTop w:val="0"/>
      <w:marBottom w:val="0"/>
      <w:divBdr>
        <w:top w:val="none" w:sz="0" w:space="0" w:color="auto"/>
        <w:left w:val="none" w:sz="0" w:space="0" w:color="auto"/>
        <w:bottom w:val="none" w:sz="0" w:space="0" w:color="auto"/>
        <w:right w:val="none" w:sz="0" w:space="0" w:color="auto"/>
      </w:divBdr>
    </w:div>
    <w:div w:id="2083480429">
      <w:bodyDiv w:val="1"/>
      <w:marLeft w:val="0"/>
      <w:marRight w:val="0"/>
      <w:marTop w:val="0"/>
      <w:marBottom w:val="0"/>
      <w:divBdr>
        <w:top w:val="none" w:sz="0" w:space="0" w:color="auto"/>
        <w:left w:val="none" w:sz="0" w:space="0" w:color="auto"/>
        <w:bottom w:val="none" w:sz="0" w:space="0" w:color="auto"/>
        <w:right w:val="none" w:sz="0" w:space="0" w:color="auto"/>
      </w:divBdr>
    </w:div>
    <w:div w:id="2083672950">
      <w:bodyDiv w:val="1"/>
      <w:marLeft w:val="0"/>
      <w:marRight w:val="0"/>
      <w:marTop w:val="0"/>
      <w:marBottom w:val="0"/>
      <w:divBdr>
        <w:top w:val="none" w:sz="0" w:space="0" w:color="auto"/>
        <w:left w:val="none" w:sz="0" w:space="0" w:color="auto"/>
        <w:bottom w:val="none" w:sz="0" w:space="0" w:color="auto"/>
        <w:right w:val="none" w:sz="0" w:space="0" w:color="auto"/>
      </w:divBdr>
    </w:div>
    <w:div w:id="2083677771">
      <w:bodyDiv w:val="1"/>
      <w:marLeft w:val="0"/>
      <w:marRight w:val="0"/>
      <w:marTop w:val="0"/>
      <w:marBottom w:val="0"/>
      <w:divBdr>
        <w:top w:val="none" w:sz="0" w:space="0" w:color="auto"/>
        <w:left w:val="none" w:sz="0" w:space="0" w:color="auto"/>
        <w:bottom w:val="none" w:sz="0" w:space="0" w:color="auto"/>
        <w:right w:val="none" w:sz="0" w:space="0" w:color="auto"/>
      </w:divBdr>
    </w:div>
    <w:div w:id="2083720299">
      <w:bodyDiv w:val="1"/>
      <w:marLeft w:val="0"/>
      <w:marRight w:val="0"/>
      <w:marTop w:val="0"/>
      <w:marBottom w:val="0"/>
      <w:divBdr>
        <w:top w:val="none" w:sz="0" w:space="0" w:color="auto"/>
        <w:left w:val="none" w:sz="0" w:space="0" w:color="auto"/>
        <w:bottom w:val="none" w:sz="0" w:space="0" w:color="auto"/>
        <w:right w:val="none" w:sz="0" w:space="0" w:color="auto"/>
      </w:divBdr>
    </w:div>
    <w:div w:id="2083790212">
      <w:bodyDiv w:val="1"/>
      <w:marLeft w:val="0"/>
      <w:marRight w:val="0"/>
      <w:marTop w:val="0"/>
      <w:marBottom w:val="0"/>
      <w:divBdr>
        <w:top w:val="none" w:sz="0" w:space="0" w:color="auto"/>
        <w:left w:val="none" w:sz="0" w:space="0" w:color="auto"/>
        <w:bottom w:val="none" w:sz="0" w:space="0" w:color="auto"/>
        <w:right w:val="none" w:sz="0" w:space="0" w:color="auto"/>
      </w:divBdr>
    </w:div>
    <w:div w:id="2083871113">
      <w:bodyDiv w:val="1"/>
      <w:marLeft w:val="0"/>
      <w:marRight w:val="0"/>
      <w:marTop w:val="0"/>
      <w:marBottom w:val="0"/>
      <w:divBdr>
        <w:top w:val="none" w:sz="0" w:space="0" w:color="auto"/>
        <w:left w:val="none" w:sz="0" w:space="0" w:color="auto"/>
        <w:bottom w:val="none" w:sz="0" w:space="0" w:color="auto"/>
        <w:right w:val="none" w:sz="0" w:space="0" w:color="auto"/>
      </w:divBdr>
    </w:div>
    <w:div w:id="2083873253">
      <w:bodyDiv w:val="1"/>
      <w:marLeft w:val="0"/>
      <w:marRight w:val="0"/>
      <w:marTop w:val="0"/>
      <w:marBottom w:val="0"/>
      <w:divBdr>
        <w:top w:val="none" w:sz="0" w:space="0" w:color="auto"/>
        <w:left w:val="none" w:sz="0" w:space="0" w:color="auto"/>
        <w:bottom w:val="none" w:sz="0" w:space="0" w:color="auto"/>
        <w:right w:val="none" w:sz="0" w:space="0" w:color="auto"/>
      </w:divBdr>
    </w:div>
    <w:div w:id="2083945541">
      <w:bodyDiv w:val="1"/>
      <w:marLeft w:val="0"/>
      <w:marRight w:val="0"/>
      <w:marTop w:val="0"/>
      <w:marBottom w:val="0"/>
      <w:divBdr>
        <w:top w:val="none" w:sz="0" w:space="0" w:color="auto"/>
        <w:left w:val="none" w:sz="0" w:space="0" w:color="auto"/>
        <w:bottom w:val="none" w:sz="0" w:space="0" w:color="auto"/>
        <w:right w:val="none" w:sz="0" w:space="0" w:color="auto"/>
      </w:divBdr>
    </w:div>
    <w:div w:id="2083982490">
      <w:bodyDiv w:val="1"/>
      <w:marLeft w:val="0"/>
      <w:marRight w:val="0"/>
      <w:marTop w:val="0"/>
      <w:marBottom w:val="0"/>
      <w:divBdr>
        <w:top w:val="none" w:sz="0" w:space="0" w:color="auto"/>
        <w:left w:val="none" w:sz="0" w:space="0" w:color="auto"/>
        <w:bottom w:val="none" w:sz="0" w:space="0" w:color="auto"/>
        <w:right w:val="none" w:sz="0" w:space="0" w:color="auto"/>
      </w:divBdr>
    </w:div>
    <w:div w:id="2083982814">
      <w:bodyDiv w:val="1"/>
      <w:marLeft w:val="0"/>
      <w:marRight w:val="0"/>
      <w:marTop w:val="0"/>
      <w:marBottom w:val="0"/>
      <w:divBdr>
        <w:top w:val="none" w:sz="0" w:space="0" w:color="auto"/>
        <w:left w:val="none" w:sz="0" w:space="0" w:color="auto"/>
        <w:bottom w:val="none" w:sz="0" w:space="0" w:color="auto"/>
        <w:right w:val="none" w:sz="0" w:space="0" w:color="auto"/>
      </w:divBdr>
    </w:div>
    <w:div w:id="2083989857">
      <w:bodyDiv w:val="1"/>
      <w:marLeft w:val="0"/>
      <w:marRight w:val="0"/>
      <w:marTop w:val="0"/>
      <w:marBottom w:val="0"/>
      <w:divBdr>
        <w:top w:val="none" w:sz="0" w:space="0" w:color="auto"/>
        <w:left w:val="none" w:sz="0" w:space="0" w:color="auto"/>
        <w:bottom w:val="none" w:sz="0" w:space="0" w:color="auto"/>
        <w:right w:val="none" w:sz="0" w:space="0" w:color="auto"/>
      </w:divBdr>
    </w:div>
    <w:div w:id="2084061704">
      <w:bodyDiv w:val="1"/>
      <w:marLeft w:val="0"/>
      <w:marRight w:val="0"/>
      <w:marTop w:val="0"/>
      <w:marBottom w:val="0"/>
      <w:divBdr>
        <w:top w:val="none" w:sz="0" w:space="0" w:color="auto"/>
        <w:left w:val="none" w:sz="0" w:space="0" w:color="auto"/>
        <w:bottom w:val="none" w:sz="0" w:space="0" w:color="auto"/>
        <w:right w:val="none" w:sz="0" w:space="0" w:color="auto"/>
      </w:divBdr>
    </w:div>
    <w:div w:id="2084064987">
      <w:bodyDiv w:val="1"/>
      <w:marLeft w:val="0"/>
      <w:marRight w:val="0"/>
      <w:marTop w:val="0"/>
      <w:marBottom w:val="0"/>
      <w:divBdr>
        <w:top w:val="none" w:sz="0" w:space="0" w:color="auto"/>
        <w:left w:val="none" w:sz="0" w:space="0" w:color="auto"/>
        <w:bottom w:val="none" w:sz="0" w:space="0" w:color="auto"/>
        <w:right w:val="none" w:sz="0" w:space="0" w:color="auto"/>
      </w:divBdr>
    </w:div>
    <w:div w:id="2084133502">
      <w:bodyDiv w:val="1"/>
      <w:marLeft w:val="0"/>
      <w:marRight w:val="0"/>
      <w:marTop w:val="0"/>
      <w:marBottom w:val="0"/>
      <w:divBdr>
        <w:top w:val="none" w:sz="0" w:space="0" w:color="auto"/>
        <w:left w:val="none" w:sz="0" w:space="0" w:color="auto"/>
        <w:bottom w:val="none" w:sz="0" w:space="0" w:color="auto"/>
        <w:right w:val="none" w:sz="0" w:space="0" w:color="auto"/>
      </w:divBdr>
    </w:div>
    <w:div w:id="2084183315">
      <w:bodyDiv w:val="1"/>
      <w:marLeft w:val="0"/>
      <w:marRight w:val="0"/>
      <w:marTop w:val="0"/>
      <w:marBottom w:val="0"/>
      <w:divBdr>
        <w:top w:val="none" w:sz="0" w:space="0" w:color="auto"/>
        <w:left w:val="none" w:sz="0" w:space="0" w:color="auto"/>
        <w:bottom w:val="none" w:sz="0" w:space="0" w:color="auto"/>
        <w:right w:val="none" w:sz="0" w:space="0" w:color="auto"/>
      </w:divBdr>
    </w:div>
    <w:div w:id="2084259350">
      <w:bodyDiv w:val="1"/>
      <w:marLeft w:val="0"/>
      <w:marRight w:val="0"/>
      <w:marTop w:val="0"/>
      <w:marBottom w:val="0"/>
      <w:divBdr>
        <w:top w:val="none" w:sz="0" w:space="0" w:color="auto"/>
        <w:left w:val="none" w:sz="0" w:space="0" w:color="auto"/>
        <w:bottom w:val="none" w:sz="0" w:space="0" w:color="auto"/>
        <w:right w:val="none" w:sz="0" w:space="0" w:color="auto"/>
      </w:divBdr>
    </w:div>
    <w:div w:id="2084330208">
      <w:bodyDiv w:val="1"/>
      <w:marLeft w:val="0"/>
      <w:marRight w:val="0"/>
      <w:marTop w:val="0"/>
      <w:marBottom w:val="0"/>
      <w:divBdr>
        <w:top w:val="none" w:sz="0" w:space="0" w:color="auto"/>
        <w:left w:val="none" w:sz="0" w:space="0" w:color="auto"/>
        <w:bottom w:val="none" w:sz="0" w:space="0" w:color="auto"/>
        <w:right w:val="none" w:sz="0" w:space="0" w:color="auto"/>
      </w:divBdr>
    </w:div>
    <w:div w:id="2084378242">
      <w:bodyDiv w:val="1"/>
      <w:marLeft w:val="0"/>
      <w:marRight w:val="0"/>
      <w:marTop w:val="0"/>
      <w:marBottom w:val="0"/>
      <w:divBdr>
        <w:top w:val="none" w:sz="0" w:space="0" w:color="auto"/>
        <w:left w:val="none" w:sz="0" w:space="0" w:color="auto"/>
        <w:bottom w:val="none" w:sz="0" w:space="0" w:color="auto"/>
        <w:right w:val="none" w:sz="0" w:space="0" w:color="auto"/>
      </w:divBdr>
    </w:div>
    <w:div w:id="2084449028">
      <w:bodyDiv w:val="1"/>
      <w:marLeft w:val="0"/>
      <w:marRight w:val="0"/>
      <w:marTop w:val="0"/>
      <w:marBottom w:val="0"/>
      <w:divBdr>
        <w:top w:val="none" w:sz="0" w:space="0" w:color="auto"/>
        <w:left w:val="none" w:sz="0" w:space="0" w:color="auto"/>
        <w:bottom w:val="none" w:sz="0" w:space="0" w:color="auto"/>
        <w:right w:val="none" w:sz="0" w:space="0" w:color="auto"/>
      </w:divBdr>
    </w:div>
    <w:div w:id="2084525488">
      <w:bodyDiv w:val="1"/>
      <w:marLeft w:val="0"/>
      <w:marRight w:val="0"/>
      <w:marTop w:val="0"/>
      <w:marBottom w:val="0"/>
      <w:divBdr>
        <w:top w:val="none" w:sz="0" w:space="0" w:color="auto"/>
        <w:left w:val="none" w:sz="0" w:space="0" w:color="auto"/>
        <w:bottom w:val="none" w:sz="0" w:space="0" w:color="auto"/>
        <w:right w:val="none" w:sz="0" w:space="0" w:color="auto"/>
      </w:divBdr>
    </w:div>
    <w:div w:id="2084527214">
      <w:bodyDiv w:val="1"/>
      <w:marLeft w:val="0"/>
      <w:marRight w:val="0"/>
      <w:marTop w:val="0"/>
      <w:marBottom w:val="0"/>
      <w:divBdr>
        <w:top w:val="none" w:sz="0" w:space="0" w:color="auto"/>
        <w:left w:val="none" w:sz="0" w:space="0" w:color="auto"/>
        <w:bottom w:val="none" w:sz="0" w:space="0" w:color="auto"/>
        <w:right w:val="none" w:sz="0" w:space="0" w:color="auto"/>
      </w:divBdr>
    </w:div>
    <w:div w:id="2084569283">
      <w:bodyDiv w:val="1"/>
      <w:marLeft w:val="0"/>
      <w:marRight w:val="0"/>
      <w:marTop w:val="0"/>
      <w:marBottom w:val="0"/>
      <w:divBdr>
        <w:top w:val="none" w:sz="0" w:space="0" w:color="auto"/>
        <w:left w:val="none" w:sz="0" w:space="0" w:color="auto"/>
        <w:bottom w:val="none" w:sz="0" w:space="0" w:color="auto"/>
        <w:right w:val="none" w:sz="0" w:space="0" w:color="auto"/>
      </w:divBdr>
    </w:div>
    <w:div w:id="2084571348">
      <w:bodyDiv w:val="1"/>
      <w:marLeft w:val="0"/>
      <w:marRight w:val="0"/>
      <w:marTop w:val="0"/>
      <w:marBottom w:val="0"/>
      <w:divBdr>
        <w:top w:val="none" w:sz="0" w:space="0" w:color="auto"/>
        <w:left w:val="none" w:sz="0" w:space="0" w:color="auto"/>
        <w:bottom w:val="none" w:sz="0" w:space="0" w:color="auto"/>
        <w:right w:val="none" w:sz="0" w:space="0" w:color="auto"/>
      </w:divBdr>
    </w:div>
    <w:div w:id="2084600527">
      <w:bodyDiv w:val="1"/>
      <w:marLeft w:val="0"/>
      <w:marRight w:val="0"/>
      <w:marTop w:val="0"/>
      <w:marBottom w:val="0"/>
      <w:divBdr>
        <w:top w:val="none" w:sz="0" w:space="0" w:color="auto"/>
        <w:left w:val="none" w:sz="0" w:space="0" w:color="auto"/>
        <w:bottom w:val="none" w:sz="0" w:space="0" w:color="auto"/>
        <w:right w:val="none" w:sz="0" w:space="0" w:color="auto"/>
      </w:divBdr>
    </w:div>
    <w:div w:id="2084718545">
      <w:bodyDiv w:val="1"/>
      <w:marLeft w:val="0"/>
      <w:marRight w:val="0"/>
      <w:marTop w:val="0"/>
      <w:marBottom w:val="0"/>
      <w:divBdr>
        <w:top w:val="none" w:sz="0" w:space="0" w:color="auto"/>
        <w:left w:val="none" w:sz="0" w:space="0" w:color="auto"/>
        <w:bottom w:val="none" w:sz="0" w:space="0" w:color="auto"/>
        <w:right w:val="none" w:sz="0" w:space="0" w:color="auto"/>
      </w:divBdr>
    </w:div>
    <w:div w:id="2084718727">
      <w:bodyDiv w:val="1"/>
      <w:marLeft w:val="0"/>
      <w:marRight w:val="0"/>
      <w:marTop w:val="0"/>
      <w:marBottom w:val="0"/>
      <w:divBdr>
        <w:top w:val="none" w:sz="0" w:space="0" w:color="auto"/>
        <w:left w:val="none" w:sz="0" w:space="0" w:color="auto"/>
        <w:bottom w:val="none" w:sz="0" w:space="0" w:color="auto"/>
        <w:right w:val="none" w:sz="0" w:space="0" w:color="auto"/>
      </w:divBdr>
    </w:div>
    <w:div w:id="2084789550">
      <w:bodyDiv w:val="1"/>
      <w:marLeft w:val="0"/>
      <w:marRight w:val="0"/>
      <w:marTop w:val="0"/>
      <w:marBottom w:val="0"/>
      <w:divBdr>
        <w:top w:val="none" w:sz="0" w:space="0" w:color="auto"/>
        <w:left w:val="none" w:sz="0" w:space="0" w:color="auto"/>
        <w:bottom w:val="none" w:sz="0" w:space="0" w:color="auto"/>
        <w:right w:val="none" w:sz="0" w:space="0" w:color="auto"/>
      </w:divBdr>
    </w:div>
    <w:div w:id="2084797203">
      <w:bodyDiv w:val="1"/>
      <w:marLeft w:val="0"/>
      <w:marRight w:val="0"/>
      <w:marTop w:val="0"/>
      <w:marBottom w:val="0"/>
      <w:divBdr>
        <w:top w:val="none" w:sz="0" w:space="0" w:color="auto"/>
        <w:left w:val="none" w:sz="0" w:space="0" w:color="auto"/>
        <w:bottom w:val="none" w:sz="0" w:space="0" w:color="auto"/>
        <w:right w:val="none" w:sz="0" w:space="0" w:color="auto"/>
      </w:divBdr>
    </w:div>
    <w:div w:id="2084839267">
      <w:bodyDiv w:val="1"/>
      <w:marLeft w:val="0"/>
      <w:marRight w:val="0"/>
      <w:marTop w:val="0"/>
      <w:marBottom w:val="0"/>
      <w:divBdr>
        <w:top w:val="none" w:sz="0" w:space="0" w:color="auto"/>
        <w:left w:val="none" w:sz="0" w:space="0" w:color="auto"/>
        <w:bottom w:val="none" w:sz="0" w:space="0" w:color="auto"/>
        <w:right w:val="none" w:sz="0" w:space="0" w:color="auto"/>
      </w:divBdr>
    </w:div>
    <w:div w:id="2084839319">
      <w:bodyDiv w:val="1"/>
      <w:marLeft w:val="0"/>
      <w:marRight w:val="0"/>
      <w:marTop w:val="0"/>
      <w:marBottom w:val="0"/>
      <w:divBdr>
        <w:top w:val="none" w:sz="0" w:space="0" w:color="auto"/>
        <w:left w:val="none" w:sz="0" w:space="0" w:color="auto"/>
        <w:bottom w:val="none" w:sz="0" w:space="0" w:color="auto"/>
        <w:right w:val="none" w:sz="0" w:space="0" w:color="auto"/>
      </w:divBdr>
    </w:div>
    <w:div w:id="2085100020">
      <w:bodyDiv w:val="1"/>
      <w:marLeft w:val="0"/>
      <w:marRight w:val="0"/>
      <w:marTop w:val="0"/>
      <w:marBottom w:val="0"/>
      <w:divBdr>
        <w:top w:val="none" w:sz="0" w:space="0" w:color="auto"/>
        <w:left w:val="none" w:sz="0" w:space="0" w:color="auto"/>
        <w:bottom w:val="none" w:sz="0" w:space="0" w:color="auto"/>
        <w:right w:val="none" w:sz="0" w:space="0" w:color="auto"/>
      </w:divBdr>
    </w:div>
    <w:div w:id="2085226036">
      <w:bodyDiv w:val="1"/>
      <w:marLeft w:val="0"/>
      <w:marRight w:val="0"/>
      <w:marTop w:val="0"/>
      <w:marBottom w:val="0"/>
      <w:divBdr>
        <w:top w:val="none" w:sz="0" w:space="0" w:color="auto"/>
        <w:left w:val="none" w:sz="0" w:space="0" w:color="auto"/>
        <w:bottom w:val="none" w:sz="0" w:space="0" w:color="auto"/>
        <w:right w:val="none" w:sz="0" w:space="0" w:color="auto"/>
      </w:divBdr>
    </w:div>
    <w:div w:id="2085251747">
      <w:bodyDiv w:val="1"/>
      <w:marLeft w:val="0"/>
      <w:marRight w:val="0"/>
      <w:marTop w:val="0"/>
      <w:marBottom w:val="0"/>
      <w:divBdr>
        <w:top w:val="none" w:sz="0" w:space="0" w:color="auto"/>
        <w:left w:val="none" w:sz="0" w:space="0" w:color="auto"/>
        <w:bottom w:val="none" w:sz="0" w:space="0" w:color="auto"/>
        <w:right w:val="none" w:sz="0" w:space="0" w:color="auto"/>
      </w:divBdr>
    </w:div>
    <w:div w:id="2085300467">
      <w:bodyDiv w:val="1"/>
      <w:marLeft w:val="0"/>
      <w:marRight w:val="0"/>
      <w:marTop w:val="0"/>
      <w:marBottom w:val="0"/>
      <w:divBdr>
        <w:top w:val="none" w:sz="0" w:space="0" w:color="auto"/>
        <w:left w:val="none" w:sz="0" w:space="0" w:color="auto"/>
        <w:bottom w:val="none" w:sz="0" w:space="0" w:color="auto"/>
        <w:right w:val="none" w:sz="0" w:space="0" w:color="auto"/>
      </w:divBdr>
    </w:div>
    <w:div w:id="2085367921">
      <w:bodyDiv w:val="1"/>
      <w:marLeft w:val="0"/>
      <w:marRight w:val="0"/>
      <w:marTop w:val="0"/>
      <w:marBottom w:val="0"/>
      <w:divBdr>
        <w:top w:val="none" w:sz="0" w:space="0" w:color="auto"/>
        <w:left w:val="none" w:sz="0" w:space="0" w:color="auto"/>
        <w:bottom w:val="none" w:sz="0" w:space="0" w:color="auto"/>
        <w:right w:val="none" w:sz="0" w:space="0" w:color="auto"/>
      </w:divBdr>
    </w:div>
    <w:div w:id="2085638002">
      <w:bodyDiv w:val="1"/>
      <w:marLeft w:val="0"/>
      <w:marRight w:val="0"/>
      <w:marTop w:val="0"/>
      <w:marBottom w:val="0"/>
      <w:divBdr>
        <w:top w:val="none" w:sz="0" w:space="0" w:color="auto"/>
        <w:left w:val="none" w:sz="0" w:space="0" w:color="auto"/>
        <w:bottom w:val="none" w:sz="0" w:space="0" w:color="auto"/>
        <w:right w:val="none" w:sz="0" w:space="0" w:color="auto"/>
      </w:divBdr>
    </w:div>
    <w:div w:id="2085641855">
      <w:bodyDiv w:val="1"/>
      <w:marLeft w:val="0"/>
      <w:marRight w:val="0"/>
      <w:marTop w:val="0"/>
      <w:marBottom w:val="0"/>
      <w:divBdr>
        <w:top w:val="none" w:sz="0" w:space="0" w:color="auto"/>
        <w:left w:val="none" w:sz="0" w:space="0" w:color="auto"/>
        <w:bottom w:val="none" w:sz="0" w:space="0" w:color="auto"/>
        <w:right w:val="none" w:sz="0" w:space="0" w:color="auto"/>
      </w:divBdr>
    </w:div>
    <w:div w:id="2085645962">
      <w:bodyDiv w:val="1"/>
      <w:marLeft w:val="0"/>
      <w:marRight w:val="0"/>
      <w:marTop w:val="0"/>
      <w:marBottom w:val="0"/>
      <w:divBdr>
        <w:top w:val="none" w:sz="0" w:space="0" w:color="auto"/>
        <w:left w:val="none" w:sz="0" w:space="0" w:color="auto"/>
        <w:bottom w:val="none" w:sz="0" w:space="0" w:color="auto"/>
        <w:right w:val="none" w:sz="0" w:space="0" w:color="auto"/>
      </w:divBdr>
    </w:div>
    <w:div w:id="2085684787">
      <w:bodyDiv w:val="1"/>
      <w:marLeft w:val="0"/>
      <w:marRight w:val="0"/>
      <w:marTop w:val="0"/>
      <w:marBottom w:val="0"/>
      <w:divBdr>
        <w:top w:val="none" w:sz="0" w:space="0" w:color="auto"/>
        <w:left w:val="none" w:sz="0" w:space="0" w:color="auto"/>
        <w:bottom w:val="none" w:sz="0" w:space="0" w:color="auto"/>
        <w:right w:val="none" w:sz="0" w:space="0" w:color="auto"/>
      </w:divBdr>
    </w:div>
    <w:div w:id="2085688168">
      <w:bodyDiv w:val="1"/>
      <w:marLeft w:val="0"/>
      <w:marRight w:val="0"/>
      <w:marTop w:val="0"/>
      <w:marBottom w:val="0"/>
      <w:divBdr>
        <w:top w:val="none" w:sz="0" w:space="0" w:color="auto"/>
        <w:left w:val="none" w:sz="0" w:space="0" w:color="auto"/>
        <w:bottom w:val="none" w:sz="0" w:space="0" w:color="auto"/>
        <w:right w:val="none" w:sz="0" w:space="0" w:color="auto"/>
      </w:divBdr>
    </w:div>
    <w:div w:id="2085905206">
      <w:bodyDiv w:val="1"/>
      <w:marLeft w:val="0"/>
      <w:marRight w:val="0"/>
      <w:marTop w:val="0"/>
      <w:marBottom w:val="0"/>
      <w:divBdr>
        <w:top w:val="none" w:sz="0" w:space="0" w:color="auto"/>
        <w:left w:val="none" w:sz="0" w:space="0" w:color="auto"/>
        <w:bottom w:val="none" w:sz="0" w:space="0" w:color="auto"/>
        <w:right w:val="none" w:sz="0" w:space="0" w:color="auto"/>
      </w:divBdr>
    </w:div>
    <w:div w:id="2085905330">
      <w:bodyDiv w:val="1"/>
      <w:marLeft w:val="0"/>
      <w:marRight w:val="0"/>
      <w:marTop w:val="0"/>
      <w:marBottom w:val="0"/>
      <w:divBdr>
        <w:top w:val="none" w:sz="0" w:space="0" w:color="auto"/>
        <w:left w:val="none" w:sz="0" w:space="0" w:color="auto"/>
        <w:bottom w:val="none" w:sz="0" w:space="0" w:color="auto"/>
        <w:right w:val="none" w:sz="0" w:space="0" w:color="auto"/>
      </w:divBdr>
    </w:div>
    <w:div w:id="2085906003">
      <w:bodyDiv w:val="1"/>
      <w:marLeft w:val="0"/>
      <w:marRight w:val="0"/>
      <w:marTop w:val="0"/>
      <w:marBottom w:val="0"/>
      <w:divBdr>
        <w:top w:val="none" w:sz="0" w:space="0" w:color="auto"/>
        <w:left w:val="none" w:sz="0" w:space="0" w:color="auto"/>
        <w:bottom w:val="none" w:sz="0" w:space="0" w:color="auto"/>
        <w:right w:val="none" w:sz="0" w:space="0" w:color="auto"/>
      </w:divBdr>
    </w:div>
    <w:div w:id="2085909289">
      <w:bodyDiv w:val="1"/>
      <w:marLeft w:val="0"/>
      <w:marRight w:val="0"/>
      <w:marTop w:val="0"/>
      <w:marBottom w:val="0"/>
      <w:divBdr>
        <w:top w:val="none" w:sz="0" w:space="0" w:color="auto"/>
        <w:left w:val="none" w:sz="0" w:space="0" w:color="auto"/>
        <w:bottom w:val="none" w:sz="0" w:space="0" w:color="auto"/>
        <w:right w:val="none" w:sz="0" w:space="0" w:color="auto"/>
      </w:divBdr>
    </w:div>
    <w:div w:id="2086026874">
      <w:bodyDiv w:val="1"/>
      <w:marLeft w:val="0"/>
      <w:marRight w:val="0"/>
      <w:marTop w:val="0"/>
      <w:marBottom w:val="0"/>
      <w:divBdr>
        <w:top w:val="none" w:sz="0" w:space="0" w:color="auto"/>
        <w:left w:val="none" w:sz="0" w:space="0" w:color="auto"/>
        <w:bottom w:val="none" w:sz="0" w:space="0" w:color="auto"/>
        <w:right w:val="none" w:sz="0" w:space="0" w:color="auto"/>
      </w:divBdr>
    </w:div>
    <w:div w:id="2086029092">
      <w:bodyDiv w:val="1"/>
      <w:marLeft w:val="0"/>
      <w:marRight w:val="0"/>
      <w:marTop w:val="0"/>
      <w:marBottom w:val="0"/>
      <w:divBdr>
        <w:top w:val="none" w:sz="0" w:space="0" w:color="auto"/>
        <w:left w:val="none" w:sz="0" w:space="0" w:color="auto"/>
        <w:bottom w:val="none" w:sz="0" w:space="0" w:color="auto"/>
        <w:right w:val="none" w:sz="0" w:space="0" w:color="auto"/>
      </w:divBdr>
    </w:div>
    <w:div w:id="2086104049">
      <w:bodyDiv w:val="1"/>
      <w:marLeft w:val="0"/>
      <w:marRight w:val="0"/>
      <w:marTop w:val="0"/>
      <w:marBottom w:val="0"/>
      <w:divBdr>
        <w:top w:val="none" w:sz="0" w:space="0" w:color="auto"/>
        <w:left w:val="none" w:sz="0" w:space="0" w:color="auto"/>
        <w:bottom w:val="none" w:sz="0" w:space="0" w:color="auto"/>
        <w:right w:val="none" w:sz="0" w:space="0" w:color="auto"/>
      </w:divBdr>
    </w:div>
    <w:div w:id="2086144107">
      <w:bodyDiv w:val="1"/>
      <w:marLeft w:val="0"/>
      <w:marRight w:val="0"/>
      <w:marTop w:val="0"/>
      <w:marBottom w:val="0"/>
      <w:divBdr>
        <w:top w:val="none" w:sz="0" w:space="0" w:color="auto"/>
        <w:left w:val="none" w:sz="0" w:space="0" w:color="auto"/>
        <w:bottom w:val="none" w:sz="0" w:space="0" w:color="auto"/>
        <w:right w:val="none" w:sz="0" w:space="0" w:color="auto"/>
      </w:divBdr>
    </w:div>
    <w:div w:id="2086299783">
      <w:bodyDiv w:val="1"/>
      <w:marLeft w:val="0"/>
      <w:marRight w:val="0"/>
      <w:marTop w:val="0"/>
      <w:marBottom w:val="0"/>
      <w:divBdr>
        <w:top w:val="none" w:sz="0" w:space="0" w:color="auto"/>
        <w:left w:val="none" w:sz="0" w:space="0" w:color="auto"/>
        <w:bottom w:val="none" w:sz="0" w:space="0" w:color="auto"/>
        <w:right w:val="none" w:sz="0" w:space="0" w:color="auto"/>
      </w:divBdr>
    </w:div>
    <w:div w:id="2086342569">
      <w:bodyDiv w:val="1"/>
      <w:marLeft w:val="0"/>
      <w:marRight w:val="0"/>
      <w:marTop w:val="0"/>
      <w:marBottom w:val="0"/>
      <w:divBdr>
        <w:top w:val="none" w:sz="0" w:space="0" w:color="auto"/>
        <w:left w:val="none" w:sz="0" w:space="0" w:color="auto"/>
        <w:bottom w:val="none" w:sz="0" w:space="0" w:color="auto"/>
        <w:right w:val="none" w:sz="0" w:space="0" w:color="auto"/>
      </w:divBdr>
    </w:div>
    <w:div w:id="2086603077">
      <w:bodyDiv w:val="1"/>
      <w:marLeft w:val="0"/>
      <w:marRight w:val="0"/>
      <w:marTop w:val="0"/>
      <w:marBottom w:val="0"/>
      <w:divBdr>
        <w:top w:val="none" w:sz="0" w:space="0" w:color="auto"/>
        <w:left w:val="none" w:sz="0" w:space="0" w:color="auto"/>
        <w:bottom w:val="none" w:sz="0" w:space="0" w:color="auto"/>
        <w:right w:val="none" w:sz="0" w:space="0" w:color="auto"/>
      </w:divBdr>
    </w:div>
    <w:div w:id="2086611204">
      <w:bodyDiv w:val="1"/>
      <w:marLeft w:val="0"/>
      <w:marRight w:val="0"/>
      <w:marTop w:val="0"/>
      <w:marBottom w:val="0"/>
      <w:divBdr>
        <w:top w:val="none" w:sz="0" w:space="0" w:color="auto"/>
        <w:left w:val="none" w:sz="0" w:space="0" w:color="auto"/>
        <w:bottom w:val="none" w:sz="0" w:space="0" w:color="auto"/>
        <w:right w:val="none" w:sz="0" w:space="0" w:color="auto"/>
      </w:divBdr>
    </w:div>
    <w:div w:id="2086760841">
      <w:bodyDiv w:val="1"/>
      <w:marLeft w:val="0"/>
      <w:marRight w:val="0"/>
      <w:marTop w:val="0"/>
      <w:marBottom w:val="0"/>
      <w:divBdr>
        <w:top w:val="none" w:sz="0" w:space="0" w:color="auto"/>
        <w:left w:val="none" w:sz="0" w:space="0" w:color="auto"/>
        <w:bottom w:val="none" w:sz="0" w:space="0" w:color="auto"/>
        <w:right w:val="none" w:sz="0" w:space="0" w:color="auto"/>
      </w:divBdr>
    </w:div>
    <w:div w:id="2086761194">
      <w:bodyDiv w:val="1"/>
      <w:marLeft w:val="0"/>
      <w:marRight w:val="0"/>
      <w:marTop w:val="0"/>
      <w:marBottom w:val="0"/>
      <w:divBdr>
        <w:top w:val="none" w:sz="0" w:space="0" w:color="auto"/>
        <w:left w:val="none" w:sz="0" w:space="0" w:color="auto"/>
        <w:bottom w:val="none" w:sz="0" w:space="0" w:color="auto"/>
        <w:right w:val="none" w:sz="0" w:space="0" w:color="auto"/>
      </w:divBdr>
    </w:div>
    <w:div w:id="2086876085">
      <w:bodyDiv w:val="1"/>
      <w:marLeft w:val="0"/>
      <w:marRight w:val="0"/>
      <w:marTop w:val="0"/>
      <w:marBottom w:val="0"/>
      <w:divBdr>
        <w:top w:val="none" w:sz="0" w:space="0" w:color="auto"/>
        <w:left w:val="none" w:sz="0" w:space="0" w:color="auto"/>
        <w:bottom w:val="none" w:sz="0" w:space="0" w:color="auto"/>
        <w:right w:val="none" w:sz="0" w:space="0" w:color="auto"/>
      </w:divBdr>
    </w:div>
    <w:div w:id="2086951055">
      <w:bodyDiv w:val="1"/>
      <w:marLeft w:val="0"/>
      <w:marRight w:val="0"/>
      <w:marTop w:val="0"/>
      <w:marBottom w:val="0"/>
      <w:divBdr>
        <w:top w:val="none" w:sz="0" w:space="0" w:color="auto"/>
        <w:left w:val="none" w:sz="0" w:space="0" w:color="auto"/>
        <w:bottom w:val="none" w:sz="0" w:space="0" w:color="auto"/>
        <w:right w:val="none" w:sz="0" w:space="0" w:color="auto"/>
      </w:divBdr>
    </w:div>
    <w:div w:id="2086951391">
      <w:bodyDiv w:val="1"/>
      <w:marLeft w:val="0"/>
      <w:marRight w:val="0"/>
      <w:marTop w:val="0"/>
      <w:marBottom w:val="0"/>
      <w:divBdr>
        <w:top w:val="none" w:sz="0" w:space="0" w:color="auto"/>
        <w:left w:val="none" w:sz="0" w:space="0" w:color="auto"/>
        <w:bottom w:val="none" w:sz="0" w:space="0" w:color="auto"/>
        <w:right w:val="none" w:sz="0" w:space="0" w:color="auto"/>
      </w:divBdr>
    </w:div>
    <w:div w:id="2086995158">
      <w:bodyDiv w:val="1"/>
      <w:marLeft w:val="0"/>
      <w:marRight w:val="0"/>
      <w:marTop w:val="0"/>
      <w:marBottom w:val="0"/>
      <w:divBdr>
        <w:top w:val="none" w:sz="0" w:space="0" w:color="auto"/>
        <w:left w:val="none" w:sz="0" w:space="0" w:color="auto"/>
        <w:bottom w:val="none" w:sz="0" w:space="0" w:color="auto"/>
        <w:right w:val="none" w:sz="0" w:space="0" w:color="auto"/>
      </w:divBdr>
    </w:div>
    <w:div w:id="2087022874">
      <w:bodyDiv w:val="1"/>
      <w:marLeft w:val="0"/>
      <w:marRight w:val="0"/>
      <w:marTop w:val="0"/>
      <w:marBottom w:val="0"/>
      <w:divBdr>
        <w:top w:val="none" w:sz="0" w:space="0" w:color="auto"/>
        <w:left w:val="none" w:sz="0" w:space="0" w:color="auto"/>
        <w:bottom w:val="none" w:sz="0" w:space="0" w:color="auto"/>
        <w:right w:val="none" w:sz="0" w:space="0" w:color="auto"/>
      </w:divBdr>
    </w:div>
    <w:div w:id="2087066229">
      <w:bodyDiv w:val="1"/>
      <w:marLeft w:val="0"/>
      <w:marRight w:val="0"/>
      <w:marTop w:val="0"/>
      <w:marBottom w:val="0"/>
      <w:divBdr>
        <w:top w:val="none" w:sz="0" w:space="0" w:color="auto"/>
        <w:left w:val="none" w:sz="0" w:space="0" w:color="auto"/>
        <w:bottom w:val="none" w:sz="0" w:space="0" w:color="auto"/>
        <w:right w:val="none" w:sz="0" w:space="0" w:color="auto"/>
      </w:divBdr>
    </w:div>
    <w:div w:id="2087070497">
      <w:bodyDiv w:val="1"/>
      <w:marLeft w:val="0"/>
      <w:marRight w:val="0"/>
      <w:marTop w:val="0"/>
      <w:marBottom w:val="0"/>
      <w:divBdr>
        <w:top w:val="none" w:sz="0" w:space="0" w:color="auto"/>
        <w:left w:val="none" w:sz="0" w:space="0" w:color="auto"/>
        <w:bottom w:val="none" w:sz="0" w:space="0" w:color="auto"/>
        <w:right w:val="none" w:sz="0" w:space="0" w:color="auto"/>
      </w:divBdr>
    </w:div>
    <w:div w:id="2087141758">
      <w:bodyDiv w:val="1"/>
      <w:marLeft w:val="0"/>
      <w:marRight w:val="0"/>
      <w:marTop w:val="0"/>
      <w:marBottom w:val="0"/>
      <w:divBdr>
        <w:top w:val="none" w:sz="0" w:space="0" w:color="auto"/>
        <w:left w:val="none" w:sz="0" w:space="0" w:color="auto"/>
        <w:bottom w:val="none" w:sz="0" w:space="0" w:color="auto"/>
        <w:right w:val="none" w:sz="0" w:space="0" w:color="auto"/>
      </w:divBdr>
    </w:div>
    <w:div w:id="2087265367">
      <w:bodyDiv w:val="1"/>
      <w:marLeft w:val="0"/>
      <w:marRight w:val="0"/>
      <w:marTop w:val="0"/>
      <w:marBottom w:val="0"/>
      <w:divBdr>
        <w:top w:val="none" w:sz="0" w:space="0" w:color="auto"/>
        <w:left w:val="none" w:sz="0" w:space="0" w:color="auto"/>
        <w:bottom w:val="none" w:sz="0" w:space="0" w:color="auto"/>
        <w:right w:val="none" w:sz="0" w:space="0" w:color="auto"/>
      </w:divBdr>
    </w:div>
    <w:div w:id="2087416716">
      <w:bodyDiv w:val="1"/>
      <w:marLeft w:val="0"/>
      <w:marRight w:val="0"/>
      <w:marTop w:val="0"/>
      <w:marBottom w:val="0"/>
      <w:divBdr>
        <w:top w:val="none" w:sz="0" w:space="0" w:color="auto"/>
        <w:left w:val="none" w:sz="0" w:space="0" w:color="auto"/>
        <w:bottom w:val="none" w:sz="0" w:space="0" w:color="auto"/>
        <w:right w:val="none" w:sz="0" w:space="0" w:color="auto"/>
      </w:divBdr>
    </w:div>
    <w:div w:id="2087452926">
      <w:bodyDiv w:val="1"/>
      <w:marLeft w:val="0"/>
      <w:marRight w:val="0"/>
      <w:marTop w:val="0"/>
      <w:marBottom w:val="0"/>
      <w:divBdr>
        <w:top w:val="none" w:sz="0" w:space="0" w:color="auto"/>
        <w:left w:val="none" w:sz="0" w:space="0" w:color="auto"/>
        <w:bottom w:val="none" w:sz="0" w:space="0" w:color="auto"/>
        <w:right w:val="none" w:sz="0" w:space="0" w:color="auto"/>
      </w:divBdr>
    </w:div>
    <w:div w:id="2087529652">
      <w:bodyDiv w:val="1"/>
      <w:marLeft w:val="0"/>
      <w:marRight w:val="0"/>
      <w:marTop w:val="0"/>
      <w:marBottom w:val="0"/>
      <w:divBdr>
        <w:top w:val="none" w:sz="0" w:space="0" w:color="auto"/>
        <w:left w:val="none" w:sz="0" w:space="0" w:color="auto"/>
        <w:bottom w:val="none" w:sz="0" w:space="0" w:color="auto"/>
        <w:right w:val="none" w:sz="0" w:space="0" w:color="auto"/>
      </w:divBdr>
    </w:div>
    <w:div w:id="2087532518">
      <w:bodyDiv w:val="1"/>
      <w:marLeft w:val="0"/>
      <w:marRight w:val="0"/>
      <w:marTop w:val="0"/>
      <w:marBottom w:val="0"/>
      <w:divBdr>
        <w:top w:val="none" w:sz="0" w:space="0" w:color="auto"/>
        <w:left w:val="none" w:sz="0" w:space="0" w:color="auto"/>
        <w:bottom w:val="none" w:sz="0" w:space="0" w:color="auto"/>
        <w:right w:val="none" w:sz="0" w:space="0" w:color="auto"/>
      </w:divBdr>
    </w:div>
    <w:div w:id="2087650966">
      <w:bodyDiv w:val="1"/>
      <w:marLeft w:val="0"/>
      <w:marRight w:val="0"/>
      <w:marTop w:val="0"/>
      <w:marBottom w:val="0"/>
      <w:divBdr>
        <w:top w:val="none" w:sz="0" w:space="0" w:color="auto"/>
        <w:left w:val="none" w:sz="0" w:space="0" w:color="auto"/>
        <w:bottom w:val="none" w:sz="0" w:space="0" w:color="auto"/>
        <w:right w:val="none" w:sz="0" w:space="0" w:color="auto"/>
      </w:divBdr>
    </w:div>
    <w:div w:id="2087721160">
      <w:bodyDiv w:val="1"/>
      <w:marLeft w:val="0"/>
      <w:marRight w:val="0"/>
      <w:marTop w:val="0"/>
      <w:marBottom w:val="0"/>
      <w:divBdr>
        <w:top w:val="none" w:sz="0" w:space="0" w:color="auto"/>
        <w:left w:val="none" w:sz="0" w:space="0" w:color="auto"/>
        <w:bottom w:val="none" w:sz="0" w:space="0" w:color="auto"/>
        <w:right w:val="none" w:sz="0" w:space="0" w:color="auto"/>
      </w:divBdr>
    </w:div>
    <w:div w:id="2087798620">
      <w:bodyDiv w:val="1"/>
      <w:marLeft w:val="0"/>
      <w:marRight w:val="0"/>
      <w:marTop w:val="0"/>
      <w:marBottom w:val="0"/>
      <w:divBdr>
        <w:top w:val="none" w:sz="0" w:space="0" w:color="auto"/>
        <w:left w:val="none" w:sz="0" w:space="0" w:color="auto"/>
        <w:bottom w:val="none" w:sz="0" w:space="0" w:color="auto"/>
        <w:right w:val="none" w:sz="0" w:space="0" w:color="auto"/>
      </w:divBdr>
    </w:div>
    <w:div w:id="2087800060">
      <w:bodyDiv w:val="1"/>
      <w:marLeft w:val="0"/>
      <w:marRight w:val="0"/>
      <w:marTop w:val="0"/>
      <w:marBottom w:val="0"/>
      <w:divBdr>
        <w:top w:val="none" w:sz="0" w:space="0" w:color="auto"/>
        <w:left w:val="none" w:sz="0" w:space="0" w:color="auto"/>
        <w:bottom w:val="none" w:sz="0" w:space="0" w:color="auto"/>
        <w:right w:val="none" w:sz="0" w:space="0" w:color="auto"/>
      </w:divBdr>
    </w:div>
    <w:div w:id="2087875189">
      <w:bodyDiv w:val="1"/>
      <w:marLeft w:val="0"/>
      <w:marRight w:val="0"/>
      <w:marTop w:val="0"/>
      <w:marBottom w:val="0"/>
      <w:divBdr>
        <w:top w:val="none" w:sz="0" w:space="0" w:color="auto"/>
        <w:left w:val="none" w:sz="0" w:space="0" w:color="auto"/>
        <w:bottom w:val="none" w:sz="0" w:space="0" w:color="auto"/>
        <w:right w:val="none" w:sz="0" w:space="0" w:color="auto"/>
      </w:divBdr>
    </w:div>
    <w:div w:id="2087920587">
      <w:bodyDiv w:val="1"/>
      <w:marLeft w:val="0"/>
      <w:marRight w:val="0"/>
      <w:marTop w:val="0"/>
      <w:marBottom w:val="0"/>
      <w:divBdr>
        <w:top w:val="none" w:sz="0" w:space="0" w:color="auto"/>
        <w:left w:val="none" w:sz="0" w:space="0" w:color="auto"/>
        <w:bottom w:val="none" w:sz="0" w:space="0" w:color="auto"/>
        <w:right w:val="none" w:sz="0" w:space="0" w:color="auto"/>
      </w:divBdr>
    </w:div>
    <w:div w:id="2087990209">
      <w:bodyDiv w:val="1"/>
      <w:marLeft w:val="0"/>
      <w:marRight w:val="0"/>
      <w:marTop w:val="0"/>
      <w:marBottom w:val="0"/>
      <w:divBdr>
        <w:top w:val="none" w:sz="0" w:space="0" w:color="auto"/>
        <w:left w:val="none" w:sz="0" w:space="0" w:color="auto"/>
        <w:bottom w:val="none" w:sz="0" w:space="0" w:color="auto"/>
        <w:right w:val="none" w:sz="0" w:space="0" w:color="auto"/>
      </w:divBdr>
    </w:div>
    <w:div w:id="2087991657">
      <w:bodyDiv w:val="1"/>
      <w:marLeft w:val="0"/>
      <w:marRight w:val="0"/>
      <w:marTop w:val="0"/>
      <w:marBottom w:val="0"/>
      <w:divBdr>
        <w:top w:val="none" w:sz="0" w:space="0" w:color="auto"/>
        <w:left w:val="none" w:sz="0" w:space="0" w:color="auto"/>
        <w:bottom w:val="none" w:sz="0" w:space="0" w:color="auto"/>
        <w:right w:val="none" w:sz="0" w:space="0" w:color="auto"/>
      </w:divBdr>
    </w:div>
    <w:div w:id="2088109115">
      <w:bodyDiv w:val="1"/>
      <w:marLeft w:val="0"/>
      <w:marRight w:val="0"/>
      <w:marTop w:val="0"/>
      <w:marBottom w:val="0"/>
      <w:divBdr>
        <w:top w:val="none" w:sz="0" w:space="0" w:color="auto"/>
        <w:left w:val="none" w:sz="0" w:space="0" w:color="auto"/>
        <w:bottom w:val="none" w:sz="0" w:space="0" w:color="auto"/>
        <w:right w:val="none" w:sz="0" w:space="0" w:color="auto"/>
      </w:divBdr>
    </w:div>
    <w:div w:id="2088110766">
      <w:bodyDiv w:val="1"/>
      <w:marLeft w:val="0"/>
      <w:marRight w:val="0"/>
      <w:marTop w:val="0"/>
      <w:marBottom w:val="0"/>
      <w:divBdr>
        <w:top w:val="none" w:sz="0" w:space="0" w:color="auto"/>
        <w:left w:val="none" w:sz="0" w:space="0" w:color="auto"/>
        <w:bottom w:val="none" w:sz="0" w:space="0" w:color="auto"/>
        <w:right w:val="none" w:sz="0" w:space="0" w:color="auto"/>
      </w:divBdr>
    </w:div>
    <w:div w:id="2088116526">
      <w:bodyDiv w:val="1"/>
      <w:marLeft w:val="0"/>
      <w:marRight w:val="0"/>
      <w:marTop w:val="0"/>
      <w:marBottom w:val="0"/>
      <w:divBdr>
        <w:top w:val="none" w:sz="0" w:space="0" w:color="auto"/>
        <w:left w:val="none" w:sz="0" w:space="0" w:color="auto"/>
        <w:bottom w:val="none" w:sz="0" w:space="0" w:color="auto"/>
        <w:right w:val="none" w:sz="0" w:space="0" w:color="auto"/>
      </w:divBdr>
    </w:div>
    <w:div w:id="2088259299">
      <w:bodyDiv w:val="1"/>
      <w:marLeft w:val="0"/>
      <w:marRight w:val="0"/>
      <w:marTop w:val="0"/>
      <w:marBottom w:val="0"/>
      <w:divBdr>
        <w:top w:val="none" w:sz="0" w:space="0" w:color="auto"/>
        <w:left w:val="none" w:sz="0" w:space="0" w:color="auto"/>
        <w:bottom w:val="none" w:sz="0" w:space="0" w:color="auto"/>
        <w:right w:val="none" w:sz="0" w:space="0" w:color="auto"/>
      </w:divBdr>
    </w:div>
    <w:div w:id="2088263655">
      <w:bodyDiv w:val="1"/>
      <w:marLeft w:val="0"/>
      <w:marRight w:val="0"/>
      <w:marTop w:val="0"/>
      <w:marBottom w:val="0"/>
      <w:divBdr>
        <w:top w:val="none" w:sz="0" w:space="0" w:color="auto"/>
        <w:left w:val="none" w:sz="0" w:space="0" w:color="auto"/>
        <w:bottom w:val="none" w:sz="0" w:space="0" w:color="auto"/>
        <w:right w:val="none" w:sz="0" w:space="0" w:color="auto"/>
      </w:divBdr>
    </w:div>
    <w:div w:id="2088380111">
      <w:bodyDiv w:val="1"/>
      <w:marLeft w:val="0"/>
      <w:marRight w:val="0"/>
      <w:marTop w:val="0"/>
      <w:marBottom w:val="0"/>
      <w:divBdr>
        <w:top w:val="none" w:sz="0" w:space="0" w:color="auto"/>
        <w:left w:val="none" w:sz="0" w:space="0" w:color="auto"/>
        <w:bottom w:val="none" w:sz="0" w:space="0" w:color="auto"/>
        <w:right w:val="none" w:sz="0" w:space="0" w:color="auto"/>
      </w:divBdr>
    </w:div>
    <w:div w:id="2088501254">
      <w:bodyDiv w:val="1"/>
      <w:marLeft w:val="0"/>
      <w:marRight w:val="0"/>
      <w:marTop w:val="0"/>
      <w:marBottom w:val="0"/>
      <w:divBdr>
        <w:top w:val="none" w:sz="0" w:space="0" w:color="auto"/>
        <w:left w:val="none" w:sz="0" w:space="0" w:color="auto"/>
        <w:bottom w:val="none" w:sz="0" w:space="0" w:color="auto"/>
        <w:right w:val="none" w:sz="0" w:space="0" w:color="auto"/>
      </w:divBdr>
    </w:div>
    <w:div w:id="2088526788">
      <w:bodyDiv w:val="1"/>
      <w:marLeft w:val="0"/>
      <w:marRight w:val="0"/>
      <w:marTop w:val="0"/>
      <w:marBottom w:val="0"/>
      <w:divBdr>
        <w:top w:val="none" w:sz="0" w:space="0" w:color="auto"/>
        <w:left w:val="none" w:sz="0" w:space="0" w:color="auto"/>
        <w:bottom w:val="none" w:sz="0" w:space="0" w:color="auto"/>
        <w:right w:val="none" w:sz="0" w:space="0" w:color="auto"/>
      </w:divBdr>
    </w:div>
    <w:div w:id="2088527517">
      <w:bodyDiv w:val="1"/>
      <w:marLeft w:val="0"/>
      <w:marRight w:val="0"/>
      <w:marTop w:val="0"/>
      <w:marBottom w:val="0"/>
      <w:divBdr>
        <w:top w:val="none" w:sz="0" w:space="0" w:color="auto"/>
        <w:left w:val="none" w:sz="0" w:space="0" w:color="auto"/>
        <w:bottom w:val="none" w:sz="0" w:space="0" w:color="auto"/>
        <w:right w:val="none" w:sz="0" w:space="0" w:color="auto"/>
      </w:divBdr>
    </w:div>
    <w:div w:id="2088569305">
      <w:bodyDiv w:val="1"/>
      <w:marLeft w:val="0"/>
      <w:marRight w:val="0"/>
      <w:marTop w:val="0"/>
      <w:marBottom w:val="0"/>
      <w:divBdr>
        <w:top w:val="none" w:sz="0" w:space="0" w:color="auto"/>
        <w:left w:val="none" w:sz="0" w:space="0" w:color="auto"/>
        <w:bottom w:val="none" w:sz="0" w:space="0" w:color="auto"/>
        <w:right w:val="none" w:sz="0" w:space="0" w:color="auto"/>
      </w:divBdr>
    </w:div>
    <w:div w:id="2088574407">
      <w:bodyDiv w:val="1"/>
      <w:marLeft w:val="0"/>
      <w:marRight w:val="0"/>
      <w:marTop w:val="0"/>
      <w:marBottom w:val="0"/>
      <w:divBdr>
        <w:top w:val="none" w:sz="0" w:space="0" w:color="auto"/>
        <w:left w:val="none" w:sz="0" w:space="0" w:color="auto"/>
        <w:bottom w:val="none" w:sz="0" w:space="0" w:color="auto"/>
        <w:right w:val="none" w:sz="0" w:space="0" w:color="auto"/>
      </w:divBdr>
    </w:div>
    <w:div w:id="2088645657">
      <w:bodyDiv w:val="1"/>
      <w:marLeft w:val="0"/>
      <w:marRight w:val="0"/>
      <w:marTop w:val="0"/>
      <w:marBottom w:val="0"/>
      <w:divBdr>
        <w:top w:val="none" w:sz="0" w:space="0" w:color="auto"/>
        <w:left w:val="none" w:sz="0" w:space="0" w:color="auto"/>
        <w:bottom w:val="none" w:sz="0" w:space="0" w:color="auto"/>
        <w:right w:val="none" w:sz="0" w:space="0" w:color="auto"/>
      </w:divBdr>
    </w:div>
    <w:div w:id="2088647995">
      <w:bodyDiv w:val="1"/>
      <w:marLeft w:val="0"/>
      <w:marRight w:val="0"/>
      <w:marTop w:val="0"/>
      <w:marBottom w:val="0"/>
      <w:divBdr>
        <w:top w:val="none" w:sz="0" w:space="0" w:color="auto"/>
        <w:left w:val="none" w:sz="0" w:space="0" w:color="auto"/>
        <w:bottom w:val="none" w:sz="0" w:space="0" w:color="auto"/>
        <w:right w:val="none" w:sz="0" w:space="0" w:color="auto"/>
      </w:divBdr>
    </w:div>
    <w:div w:id="2088722932">
      <w:bodyDiv w:val="1"/>
      <w:marLeft w:val="0"/>
      <w:marRight w:val="0"/>
      <w:marTop w:val="0"/>
      <w:marBottom w:val="0"/>
      <w:divBdr>
        <w:top w:val="none" w:sz="0" w:space="0" w:color="auto"/>
        <w:left w:val="none" w:sz="0" w:space="0" w:color="auto"/>
        <w:bottom w:val="none" w:sz="0" w:space="0" w:color="auto"/>
        <w:right w:val="none" w:sz="0" w:space="0" w:color="auto"/>
      </w:divBdr>
    </w:div>
    <w:div w:id="2088767297">
      <w:bodyDiv w:val="1"/>
      <w:marLeft w:val="0"/>
      <w:marRight w:val="0"/>
      <w:marTop w:val="0"/>
      <w:marBottom w:val="0"/>
      <w:divBdr>
        <w:top w:val="none" w:sz="0" w:space="0" w:color="auto"/>
        <w:left w:val="none" w:sz="0" w:space="0" w:color="auto"/>
        <w:bottom w:val="none" w:sz="0" w:space="0" w:color="auto"/>
        <w:right w:val="none" w:sz="0" w:space="0" w:color="auto"/>
      </w:divBdr>
    </w:div>
    <w:div w:id="2088838357">
      <w:bodyDiv w:val="1"/>
      <w:marLeft w:val="0"/>
      <w:marRight w:val="0"/>
      <w:marTop w:val="0"/>
      <w:marBottom w:val="0"/>
      <w:divBdr>
        <w:top w:val="none" w:sz="0" w:space="0" w:color="auto"/>
        <w:left w:val="none" w:sz="0" w:space="0" w:color="auto"/>
        <w:bottom w:val="none" w:sz="0" w:space="0" w:color="auto"/>
        <w:right w:val="none" w:sz="0" w:space="0" w:color="auto"/>
      </w:divBdr>
    </w:div>
    <w:div w:id="2088915064">
      <w:bodyDiv w:val="1"/>
      <w:marLeft w:val="0"/>
      <w:marRight w:val="0"/>
      <w:marTop w:val="0"/>
      <w:marBottom w:val="0"/>
      <w:divBdr>
        <w:top w:val="none" w:sz="0" w:space="0" w:color="auto"/>
        <w:left w:val="none" w:sz="0" w:space="0" w:color="auto"/>
        <w:bottom w:val="none" w:sz="0" w:space="0" w:color="auto"/>
        <w:right w:val="none" w:sz="0" w:space="0" w:color="auto"/>
      </w:divBdr>
    </w:div>
    <w:div w:id="2088918905">
      <w:bodyDiv w:val="1"/>
      <w:marLeft w:val="0"/>
      <w:marRight w:val="0"/>
      <w:marTop w:val="0"/>
      <w:marBottom w:val="0"/>
      <w:divBdr>
        <w:top w:val="none" w:sz="0" w:space="0" w:color="auto"/>
        <w:left w:val="none" w:sz="0" w:space="0" w:color="auto"/>
        <w:bottom w:val="none" w:sz="0" w:space="0" w:color="auto"/>
        <w:right w:val="none" w:sz="0" w:space="0" w:color="auto"/>
      </w:divBdr>
    </w:div>
    <w:div w:id="2089033186">
      <w:bodyDiv w:val="1"/>
      <w:marLeft w:val="0"/>
      <w:marRight w:val="0"/>
      <w:marTop w:val="0"/>
      <w:marBottom w:val="0"/>
      <w:divBdr>
        <w:top w:val="none" w:sz="0" w:space="0" w:color="auto"/>
        <w:left w:val="none" w:sz="0" w:space="0" w:color="auto"/>
        <w:bottom w:val="none" w:sz="0" w:space="0" w:color="auto"/>
        <w:right w:val="none" w:sz="0" w:space="0" w:color="auto"/>
      </w:divBdr>
    </w:div>
    <w:div w:id="2089034529">
      <w:bodyDiv w:val="1"/>
      <w:marLeft w:val="0"/>
      <w:marRight w:val="0"/>
      <w:marTop w:val="0"/>
      <w:marBottom w:val="0"/>
      <w:divBdr>
        <w:top w:val="none" w:sz="0" w:space="0" w:color="auto"/>
        <w:left w:val="none" w:sz="0" w:space="0" w:color="auto"/>
        <w:bottom w:val="none" w:sz="0" w:space="0" w:color="auto"/>
        <w:right w:val="none" w:sz="0" w:space="0" w:color="auto"/>
      </w:divBdr>
    </w:div>
    <w:div w:id="2089225553">
      <w:bodyDiv w:val="1"/>
      <w:marLeft w:val="0"/>
      <w:marRight w:val="0"/>
      <w:marTop w:val="0"/>
      <w:marBottom w:val="0"/>
      <w:divBdr>
        <w:top w:val="none" w:sz="0" w:space="0" w:color="auto"/>
        <w:left w:val="none" w:sz="0" w:space="0" w:color="auto"/>
        <w:bottom w:val="none" w:sz="0" w:space="0" w:color="auto"/>
        <w:right w:val="none" w:sz="0" w:space="0" w:color="auto"/>
      </w:divBdr>
    </w:div>
    <w:div w:id="2089300668">
      <w:bodyDiv w:val="1"/>
      <w:marLeft w:val="0"/>
      <w:marRight w:val="0"/>
      <w:marTop w:val="0"/>
      <w:marBottom w:val="0"/>
      <w:divBdr>
        <w:top w:val="none" w:sz="0" w:space="0" w:color="auto"/>
        <w:left w:val="none" w:sz="0" w:space="0" w:color="auto"/>
        <w:bottom w:val="none" w:sz="0" w:space="0" w:color="auto"/>
        <w:right w:val="none" w:sz="0" w:space="0" w:color="auto"/>
      </w:divBdr>
    </w:div>
    <w:div w:id="2089425450">
      <w:bodyDiv w:val="1"/>
      <w:marLeft w:val="0"/>
      <w:marRight w:val="0"/>
      <w:marTop w:val="0"/>
      <w:marBottom w:val="0"/>
      <w:divBdr>
        <w:top w:val="none" w:sz="0" w:space="0" w:color="auto"/>
        <w:left w:val="none" w:sz="0" w:space="0" w:color="auto"/>
        <w:bottom w:val="none" w:sz="0" w:space="0" w:color="auto"/>
        <w:right w:val="none" w:sz="0" w:space="0" w:color="auto"/>
      </w:divBdr>
    </w:div>
    <w:div w:id="2089575849">
      <w:bodyDiv w:val="1"/>
      <w:marLeft w:val="0"/>
      <w:marRight w:val="0"/>
      <w:marTop w:val="0"/>
      <w:marBottom w:val="0"/>
      <w:divBdr>
        <w:top w:val="none" w:sz="0" w:space="0" w:color="auto"/>
        <w:left w:val="none" w:sz="0" w:space="0" w:color="auto"/>
        <w:bottom w:val="none" w:sz="0" w:space="0" w:color="auto"/>
        <w:right w:val="none" w:sz="0" w:space="0" w:color="auto"/>
      </w:divBdr>
    </w:div>
    <w:div w:id="2089695422">
      <w:bodyDiv w:val="1"/>
      <w:marLeft w:val="0"/>
      <w:marRight w:val="0"/>
      <w:marTop w:val="0"/>
      <w:marBottom w:val="0"/>
      <w:divBdr>
        <w:top w:val="none" w:sz="0" w:space="0" w:color="auto"/>
        <w:left w:val="none" w:sz="0" w:space="0" w:color="auto"/>
        <w:bottom w:val="none" w:sz="0" w:space="0" w:color="auto"/>
        <w:right w:val="none" w:sz="0" w:space="0" w:color="auto"/>
      </w:divBdr>
    </w:div>
    <w:div w:id="2089761974">
      <w:bodyDiv w:val="1"/>
      <w:marLeft w:val="0"/>
      <w:marRight w:val="0"/>
      <w:marTop w:val="0"/>
      <w:marBottom w:val="0"/>
      <w:divBdr>
        <w:top w:val="none" w:sz="0" w:space="0" w:color="auto"/>
        <w:left w:val="none" w:sz="0" w:space="0" w:color="auto"/>
        <w:bottom w:val="none" w:sz="0" w:space="0" w:color="auto"/>
        <w:right w:val="none" w:sz="0" w:space="0" w:color="auto"/>
      </w:divBdr>
    </w:div>
    <w:div w:id="2089765500">
      <w:bodyDiv w:val="1"/>
      <w:marLeft w:val="0"/>
      <w:marRight w:val="0"/>
      <w:marTop w:val="0"/>
      <w:marBottom w:val="0"/>
      <w:divBdr>
        <w:top w:val="none" w:sz="0" w:space="0" w:color="auto"/>
        <w:left w:val="none" w:sz="0" w:space="0" w:color="auto"/>
        <w:bottom w:val="none" w:sz="0" w:space="0" w:color="auto"/>
        <w:right w:val="none" w:sz="0" w:space="0" w:color="auto"/>
      </w:divBdr>
    </w:div>
    <w:div w:id="2090039715">
      <w:bodyDiv w:val="1"/>
      <w:marLeft w:val="0"/>
      <w:marRight w:val="0"/>
      <w:marTop w:val="0"/>
      <w:marBottom w:val="0"/>
      <w:divBdr>
        <w:top w:val="none" w:sz="0" w:space="0" w:color="auto"/>
        <w:left w:val="none" w:sz="0" w:space="0" w:color="auto"/>
        <w:bottom w:val="none" w:sz="0" w:space="0" w:color="auto"/>
        <w:right w:val="none" w:sz="0" w:space="0" w:color="auto"/>
      </w:divBdr>
    </w:div>
    <w:div w:id="2090224445">
      <w:bodyDiv w:val="1"/>
      <w:marLeft w:val="0"/>
      <w:marRight w:val="0"/>
      <w:marTop w:val="0"/>
      <w:marBottom w:val="0"/>
      <w:divBdr>
        <w:top w:val="none" w:sz="0" w:space="0" w:color="auto"/>
        <w:left w:val="none" w:sz="0" w:space="0" w:color="auto"/>
        <w:bottom w:val="none" w:sz="0" w:space="0" w:color="auto"/>
        <w:right w:val="none" w:sz="0" w:space="0" w:color="auto"/>
      </w:divBdr>
    </w:div>
    <w:div w:id="2090347962">
      <w:bodyDiv w:val="1"/>
      <w:marLeft w:val="0"/>
      <w:marRight w:val="0"/>
      <w:marTop w:val="0"/>
      <w:marBottom w:val="0"/>
      <w:divBdr>
        <w:top w:val="none" w:sz="0" w:space="0" w:color="auto"/>
        <w:left w:val="none" w:sz="0" w:space="0" w:color="auto"/>
        <w:bottom w:val="none" w:sz="0" w:space="0" w:color="auto"/>
        <w:right w:val="none" w:sz="0" w:space="0" w:color="auto"/>
      </w:divBdr>
    </w:div>
    <w:div w:id="2090418810">
      <w:bodyDiv w:val="1"/>
      <w:marLeft w:val="0"/>
      <w:marRight w:val="0"/>
      <w:marTop w:val="0"/>
      <w:marBottom w:val="0"/>
      <w:divBdr>
        <w:top w:val="none" w:sz="0" w:space="0" w:color="auto"/>
        <w:left w:val="none" w:sz="0" w:space="0" w:color="auto"/>
        <w:bottom w:val="none" w:sz="0" w:space="0" w:color="auto"/>
        <w:right w:val="none" w:sz="0" w:space="0" w:color="auto"/>
      </w:divBdr>
    </w:div>
    <w:div w:id="2090542178">
      <w:bodyDiv w:val="1"/>
      <w:marLeft w:val="0"/>
      <w:marRight w:val="0"/>
      <w:marTop w:val="0"/>
      <w:marBottom w:val="0"/>
      <w:divBdr>
        <w:top w:val="none" w:sz="0" w:space="0" w:color="auto"/>
        <w:left w:val="none" w:sz="0" w:space="0" w:color="auto"/>
        <w:bottom w:val="none" w:sz="0" w:space="0" w:color="auto"/>
        <w:right w:val="none" w:sz="0" w:space="0" w:color="auto"/>
      </w:divBdr>
    </w:div>
    <w:div w:id="2090685388">
      <w:bodyDiv w:val="1"/>
      <w:marLeft w:val="0"/>
      <w:marRight w:val="0"/>
      <w:marTop w:val="0"/>
      <w:marBottom w:val="0"/>
      <w:divBdr>
        <w:top w:val="none" w:sz="0" w:space="0" w:color="auto"/>
        <w:left w:val="none" w:sz="0" w:space="0" w:color="auto"/>
        <w:bottom w:val="none" w:sz="0" w:space="0" w:color="auto"/>
        <w:right w:val="none" w:sz="0" w:space="0" w:color="auto"/>
      </w:divBdr>
    </w:div>
    <w:div w:id="2090736176">
      <w:bodyDiv w:val="1"/>
      <w:marLeft w:val="0"/>
      <w:marRight w:val="0"/>
      <w:marTop w:val="0"/>
      <w:marBottom w:val="0"/>
      <w:divBdr>
        <w:top w:val="none" w:sz="0" w:space="0" w:color="auto"/>
        <w:left w:val="none" w:sz="0" w:space="0" w:color="auto"/>
        <w:bottom w:val="none" w:sz="0" w:space="0" w:color="auto"/>
        <w:right w:val="none" w:sz="0" w:space="0" w:color="auto"/>
      </w:divBdr>
    </w:div>
    <w:div w:id="2090808860">
      <w:bodyDiv w:val="1"/>
      <w:marLeft w:val="0"/>
      <w:marRight w:val="0"/>
      <w:marTop w:val="0"/>
      <w:marBottom w:val="0"/>
      <w:divBdr>
        <w:top w:val="none" w:sz="0" w:space="0" w:color="auto"/>
        <w:left w:val="none" w:sz="0" w:space="0" w:color="auto"/>
        <w:bottom w:val="none" w:sz="0" w:space="0" w:color="auto"/>
        <w:right w:val="none" w:sz="0" w:space="0" w:color="auto"/>
      </w:divBdr>
    </w:div>
    <w:div w:id="2091001624">
      <w:bodyDiv w:val="1"/>
      <w:marLeft w:val="0"/>
      <w:marRight w:val="0"/>
      <w:marTop w:val="0"/>
      <w:marBottom w:val="0"/>
      <w:divBdr>
        <w:top w:val="none" w:sz="0" w:space="0" w:color="auto"/>
        <w:left w:val="none" w:sz="0" w:space="0" w:color="auto"/>
        <w:bottom w:val="none" w:sz="0" w:space="0" w:color="auto"/>
        <w:right w:val="none" w:sz="0" w:space="0" w:color="auto"/>
      </w:divBdr>
    </w:div>
    <w:div w:id="2091081297">
      <w:bodyDiv w:val="1"/>
      <w:marLeft w:val="0"/>
      <w:marRight w:val="0"/>
      <w:marTop w:val="0"/>
      <w:marBottom w:val="0"/>
      <w:divBdr>
        <w:top w:val="none" w:sz="0" w:space="0" w:color="auto"/>
        <w:left w:val="none" w:sz="0" w:space="0" w:color="auto"/>
        <w:bottom w:val="none" w:sz="0" w:space="0" w:color="auto"/>
        <w:right w:val="none" w:sz="0" w:space="0" w:color="auto"/>
      </w:divBdr>
    </w:div>
    <w:div w:id="2091153312">
      <w:bodyDiv w:val="1"/>
      <w:marLeft w:val="0"/>
      <w:marRight w:val="0"/>
      <w:marTop w:val="0"/>
      <w:marBottom w:val="0"/>
      <w:divBdr>
        <w:top w:val="none" w:sz="0" w:space="0" w:color="auto"/>
        <w:left w:val="none" w:sz="0" w:space="0" w:color="auto"/>
        <w:bottom w:val="none" w:sz="0" w:space="0" w:color="auto"/>
        <w:right w:val="none" w:sz="0" w:space="0" w:color="auto"/>
      </w:divBdr>
    </w:div>
    <w:div w:id="2091660326">
      <w:bodyDiv w:val="1"/>
      <w:marLeft w:val="0"/>
      <w:marRight w:val="0"/>
      <w:marTop w:val="0"/>
      <w:marBottom w:val="0"/>
      <w:divBdr>
        <w:top w:val="none" w:sz="0" w:space="0" w:color="auto"/>
        <w:left w:val="none" w:sz="0" w:space="0" w:color="auto"/>
        <w:bottom w:val="none" w:sz="0" w:space="0" w:color="auto"/>
        <w:right w:val="none" w:sz="0" w:space="0" w:color="auto"/>
      </w:divBdr>
    </w:div>
    <w:div w:id="2091850569">
      <w:bodyDiv w:val="1"/>
      <w:marLeft w:val="0"/>
      <w:marRight w:val="0"/>
      <w:marTop w:val="0"/>
      <w:marBottom w:val="0"/>
      <w:divBdr>
        <w:top w:val="none" w:sz="0" w:space="0" w:color="auto"/>
        <w:left w:val="none" w:sz="0" w:space="0" w:color="auto"/>
        <w:bottom w:val="none" w:sz="0" w:space="0" w:color="auto"/>
        <w:right w:val="none" w:sz="0" w:space="0" w:color="auto"/>
      </w:divBdr>
    </w:div>
    <w:div w:id="2091927552">
      <w:bodyDiv w:val="1"/>
      <w:marLeft w:val="0"/>
      <w:marRight w:val="0"/>
      <w:marTop w:val="0"/>
      <w:marBottom w:val="0"/>
      <w:divBdr>
        <w:top w:val="none" w:sz="0" w:space="0" w:color="auto"/>
        <w:left w:val="none" w:sz="0" w:space="0" w:color="auto"/>
        <w:bottom w:val="none" w:sz="0" w:space="0" w:color="auto"/>
        <w:right w:val="none" w:sz="0" w:space="0" w:color="auto"/>
      </w:divBdr>
    </w:div>
    <w:div w:id="2091929564">
      <w:bodyDiv w:val="1"/>
      <w:marLeft w:val="0"/>
      <w:marRight w:val="0"/>
      <w:marTop w:val="0"/>
      <w:marBottom w:val="0"/>
      <w:divBdr>
        <w:top w:val="none" w:sz="0" w:space="0" w:color="auto"/>
        <w:left w:val="none" w:sz="0" w:space="0" w:color="auto"/>
        <w:bottom w:val="none" w:sz="0" w:space="0" w:color="auto"/>
        <w:right w:val="none" w:sz="0" w:space="0" w:color="auto"/>
      </w:divBdr>
    </w:div>
    <w:div w:id="2091995867">
      <w:bodyDiv w:val="1"/>
      <w:marLeft w:val="0"/>
      <w:marRight w:val="0"/>
      <w:marTop w:val="0"/>
      <w:marBottom w:val="0"/>
      <w:divBdr>
        <w:top w:val="none" w:sz="0" w:space="0" w:color="auto"/>
        <w:left w:val="none" w:sz="0" w:space="0" w:color="auto"/>
        <w:bottom w:val="none" w:sz="0" w:space="0" w:color="auto"/>
        <w:right w:val="none" w:sz="0" w:space="0" w:color="auto"/>
      </w:divBdr>
    </w:div>
    <w:div w:id="2092041739">
      <w:bodyDiv w:val="1"/>
      <w:marLeft w:val="0"/>
      <w:marRight w:val="0"/>
      <w:marTop w:val="0"/>
      <w:marBottom w:val="0"/>
      <w:divBdr>
        <w:top w:val="none" w:sz="0" w:space="0" w:color="auto"/>
        <w:left w:val="none" w:sz="0" w:space="0" w:color="auto"/>
        <w:bottom w:val="none" w:sz="0" w:space="0" w:color="auto"/>
        <w:right w:val="none" w:sz="0" w:space="0" w:color="auto"/>
      </w:divBdr>
    </w:div>
    <w:div w:id="2092043996">
      <w:bodyDiv w:val="1"/>
      <w:marLeft w:val="0"/>
      <w:marRight w:val="0"/>
      <w:marTop w:val="0"/>
      <w:marBottom w:val="0"/>
      <w:divBdr>
        <w:top w:val="none" w:sz="0" w:space="0" w:color="auto"/>
        <w:left w:val="none" w:sz="0" w:space="0" w:color="auto"/>
        <w:bottom w:val="none" w:sz="0" w:space="0" w:color="auto"/>
        <w:right w:val="none" w:sz="0" w:space="0" w:color="auto"/>
      </w:divBdr>
    </w:div>
    <w:div w:id="2092195434">
      <w:bodyDiv w:val="1"/>
      <w:marLeft w:val="0"/>
      <w:marRight w:val="0"/>
      <w:marTop w:val="0"/>
      <w:marBottom w:val="0"/>
      <w:divBdr>
        <w:top w:val="none" w:sz="0" w:space="0" w:color="auto"/>
        <w:left w:val="none" w:sz="0" w:space="0" w:color="auto"/>
        <w:bottom w:val="none" w:sz="0" w:space="0" w:color="auto"/>
        <w:right w:val="none" w:sz="0" w:space="0" w:color="auto"/>
      </w:divBdr>
    </w:div>
    <w:div w:id="2092382654">
      <w:bodyDiv w:val="1"/>
      <w:marLeft w:val="0"/>
      <w:marRight w:val="0"/>
      <w:marTop w:val="0"/>
      <w:marBottom w:val="0"/>
      <w:divBdr>
        <w:top w:val="none" w:sz="0" w:space="0" w:color="auto"/>
        <w:left w:val="none" w:sz="0" w:space="0" w:color="auto"/>
        <w:bottom w:val="none" w:sz="0" w:space="0" w:color="auto"/>
        <w:right w:val="none" w:sz="0" w:space="0" w:color="auto"/>
      </w:divBdr>
    </w:div>
    <w:div w:id="2092458098">
      <w:bodyDiv w:val="1"/>
      <w:marLeft w:val="0"/>
      <w:marRight w:val="0"/>
      <w:marTop w:val="0"/>
      <w:marBottom w:val="0"/>
      <w:divBdr>
        <w:top w:val="none" w:sz="0" w:space="0" w:color="auto"/>
        <w:left w:val="none" w:sz="0" w:space="0" w:color="auto"/>
        <w:bottom w:val="none" w:sz="0" w:space="0" w:color="auto"/>
        <w:right w:val="none" w:sz="0" w:space="0" w:color="auto"/>
      </w:divBdr>
    </w:div>
    <w:div w:id="2092465076">
      <w:bodyDiv w:val="1"/>
      <w:marLeft w:val="0"/>
      <w:marRight w:val="0"/>
      <w:marTop w:val="0"/>
      <w:marBottom w:val="0"/>
      <w:divBdr>
        <w:top w:val="none" w:sz="0" w:space="0" w:color="auto"/>
        <w:left w:val="none" w:sz="0" w:space="0" w:color="auto"/>
        <w:bottom w:val="none" w:sz="0" w:space="0" w:color="auto"/>
        <w:right w:val="none" w:sz="0" w:space="0" w:color="auto"/>
      </w:divBdr>
    </w:div>
    <w:div w:id="2092465823">
      <w:bodyDiv w:val="1"/>
      <w:marLeft w:val="0"/>
      <w:marRight w:val="0"/>
      <w:marTop w:val="0"/>
      <w:marBottom w:val="0"/>
      <w:divBdr>
        <w:top w:val="none" w:sz="0" w:space="0" w:color="auto"/>
        <w:left w:val="none" w:sz="0" w:space="0" w:color="auto"/>
        <w:bottom w:val="none" w:sz="0" w:space="0" w:color="auto"/>
        <w:right w:val="none" w:sz="0" w:space="0" w:color="auto"/>
      </w:divBdr>
    </w:div>
    <w:div w:id="2092507114">
      <w:bodyDiv w:val="1"/>
      <w:marLeft w:val="0"/>
      <w:marRight w:val="0"/>
      <w:marTop w:val="0"/>
      <w:marBottom w:val="0"/>
      <w:divBdr>
        <w:top w:val="none" w:sz="0" w:space="0" w:color="auto"/>
        <w:left w:val="none" w:sz="0" w:space="0" w:color="auto"/>
        <w:bottom w:val="none" w:sz="0" w:space="0" w:color="auto"/>
        <w:right w:val="none" w:sz="0" w:space="0" w:color="auto"/>
      </w:divBdr>
    </w:div>
    <w:div w:id="2092584019">
      <w:bodyDiv w:val="1"/>
      <w:marLeft w:val="0"/>
      <w:marRight w:val="0"/>
      <w:marTop w:val="0"/>
      <w:marBottom w:val="0"/>
      <w:divBdr>
        <w:top w:val="none" w:sz="0" w:space="0" w:color="auto"/>
        <w:left w:val="none" w:sz="0" w:space="0" w:color="auto"/>
        <w:bottom w:val="none" w:sz="0" w:space="0" w:color="auto"/>
        <w:right w:val="none" w:sz="0" w:space="0" w:color="auto"/>
      </w:divBdr>
    </w:div>
    <w:div w:id="2092658693">
      <w:bodyDiv w:val="1"/>
      <w:marLeft w:val="0"/>
      <w:marRight w:val="0"/>
      <w:marTop w:val="0"/>
      <w:marBottom w:val="0"/>
      <w:divBdr>
        <w:top w:val="none" w:sz="0" w:space="0" w:color="auto"/>
        <w:left w:val="none" w:sz="0" w:space="0" w:color="auto"/>
        <w:bottom w:val="none" w:sz="0" w:space="0" w:color="auto"/>
        <w:right w:val="none" w:sz="0" w:space="0" w:color="auto"/>
      </w:divBdr>
    </w:div>
    <w:div w:id="2092850887">
      <w:bodyDiv w:val="1"/>
      <w:marLeft w:val="0"/>
      <w:marRight w:val="0"/>
      <w:marTop w:val="0"/>
      <w:marBottom w:val="0"/>
      <w:divBdr>
        <w:top w:val="none" w:sz="0" w:space="0" w:color="auto"/>
        <w:left w:val="none" w:sz="0" w:space="0" w:color="auto"/>
        <w:bottom w:val="none" w:sz="0" w:space="0" w:color="auto"/>
        <w:right w:val="none" w:sz="0" w:space="0" w:color="auto"/>
      </w:divBdr>
    </w:div>
    <w:div w:id="2092851916">
      <w:bodyDiv w:val="1"/>
      <w:marLeft w:val="0"/>
      <w:marRight w:val="0"/>
      <w:marTop w:val="0"/>
      <w:marBottom w:val="0"/>
      <w:divBdr>
        <w:top w:val="none" w:sz="0" w:space="0" w:color="auto"/>
        <w:left w:val="none" w:sz="0" w:space="0" w:color="auto"/>
        <w:bottom w:val="none" w:sz="0" w:space="0" w:color="auto"/>
        <w:right w:val="none" w:sz="0" w:space="0" w:color="auto"/>
      </w:divBdr>
    </w:div>
    <w:div w:id="2092852191">
      <w:bodyDiv w:val="1"/>
      <w:marLeft w:val="0"/>
      <w:marRight w:val="0"/>
      <w:marTop w:val="0"/>
      <w:marBottom w:val="0"/>
      <w:divBdr>
        <w:top w:val="none" w:sz="0" w:space="0" w:color="auto"/>
        <w:left w:val="none" w:sz="0" w:space="0" w:color="auto"/>
        <w:bottom w:val="none" w:sz="0" w:space="0" w:color="auto"/>
        <w:right w:val="none" w:sz="0" w:space="0" w:color="auto"/>
      </w:divBdr>
    </w:div>
    <w:div w:id="2092852830">
      <w:bodyDiv w:val="1"/>
      <w:marLeft w:val="0"/>
      <w:marRight w:val="0"/>
      <w:marTop w:val="0"/>
      <w:marBottom w:val="0"/>
      <w:divBdr>
        <w:top w:val="none" w:sz="0" w:space="0" w:color="auto"/>
        <w:left w:val="none" w:sz="0" w:space="0" w:color="auto"/>
        <w:bottom w:val="none" w:sz="0" w:space="0" w:color="auto"/>
        <w:right w:val="none" w:sz="0" w:space="0" w:color="auto"/>
      </w:divBdr>
    </w:div>
    <w:div w:id="2093043337">
      <w:bodyDiv w:val="1"/>
      <w:marLeft w:val="0"/>
      <w:marRight w:val="0"/>
      <w:marTop w:val="0"/>
      <w:marBottom w:val="0"/>
      <w:divBdr>
        <w:top w:val="none" w:sz="0" w:space="0" w:color="auto"/>
        <w:left w:val="none" w:sz="0" w:space="0" w:color="auto"/>
        <w:bottom w:val="none" w:sz="0" w:space="0" w:color="auto"/>
        <w:right w:val="none" w:sz="0" w:space="0" w:color="auto"/>
      </w:divBdr>
    </w:div>
    <w:div w:id="2093047201">
      <w:bodyDiv w:val="1"/>
      <w:marLeft w:val="0"/>
      <w:marRight w:val="0"/>
      <w:marTop w:val="0"/>
      <w:marBottom w:val="0"/>
      <w:divBdr>
        <w:top w:val="none" w:sz="0" w:space="0" w:color="auto"/>
        <w:left w:val="none" w:sz="0" w:space="0" w:color="auto"/>
        <w:bottom w:val="none" w:sz="0" w:space="0" w:color="auto"/>
        <w:right w:val="none" w:sz="0" w:space="0" w:color="auto"/>
      </w:divBdr>
    </w:div>
    <w:div w:id="2093114167">
      <w:bodyDiv w:val="1"/>
      <w:marLeft w:val="0"/>
      <w:marRight w:val="0"/>
      <w:marTop w:val="0"/>
      <w:marBottom w:val="0"/>
      <w:divBdr>
        <w:top w:val="none" w:sz="0" w:space="0" w:color="auto"/>
        <w:left w:val="none" w:sz="0" w:space="0" w:color="auto"/>
        <w:bottom w:val="none" w:sz="0" w:space="0" w:color="auto"/>
        <w:right w:val="none" w:sz="0" w:space="0" w:color="auto"/>
      </w:divBdr>
    </w:div>
    <w:div w:id="2093121250">
      <w:bodyDiv w:val="1"/>
      <w:marLeft w:val="0"/>
      <w:marRight w:val="0"/>
      <w:marTop w:val="0"/>
      <w:marBottom w:val="0"/>
      <w:divBdr>
        <w:top w:val="none" w:sz="0" w:space="0" w:color="auto"/>
        <w:left w:val="none" w:sz="0" w:space="0" w:color="auto"/>
        <w:bottom w:val="none" w:sz="0" w:space="0" w:color="auto"/>
        <w:right w:val="none" w:sz="0" w:space="0" w:color="auto"/>
      </w:divBdr>
    </w:div>
    <w:div w:id="2093232368">
      <w:bodyDiv w:val="1"/>
      <w:marLeft w:val="0"/>
      <w:marRight w:val="0"/>
      <w:marTop w:val="0"/>
      <w:marBottom w:val="0"/>
      <w:divBdr>
        <w:top w:val="none" w:sz="0" w:space="0" w:color="auto"/>
        <w:left w:val="none" w:sz="0" w:space="0" w:color="auto"/>
        <w:bottom w:val="none" w:sz="0" w:space="0" w:color="auto"/>
        <w:right w:val="none" w:sz="0" w:space="0" w:color="auto"/>
      </w:divBdr>
    </w:div>
    <w:div w:id="2093238768">
      <w:bodyDiv w:val="1"/>
      <w:marLeft w:val="0"/>
      <w:marRight w:val="0"/>
      <w:marTop w:val="0"/>
      <w:marBottom w:val="0"/>
      <w:divBdr>
        <w:top w:val="none" w:sz="0" w:space="0" w:color="auto"/>
        <w:left w:val="none" w:sz="0" w:space="0" w:color="auto"/>
        <w:bottom w:val="none" w:sz="0" w:space="0" w:color="auto"/>
        <w:right w:val="none" w:sz="0" w:space="0" w:color="auto"/>
      </w:divBdr>
    </w:div>
    <w:div w:id="2093357633">
      <w:bodyDiv w:val="1"/>
      <w:marLeft w:val="0"/>
      <w:marRight w:val="0"/>
      <w:marTop w:val="0"/>
      <w:marBottom w:val="0"/>
      <w:divBdr>
        <w:top w:val="none" w:sz="0" w:space="0" w:color="auto"/>
        <w:left w:val="none" w:sz="0" w:space="0" w:color="auto"/>
        <w:bottom w:val="none" w:sz="0" w:space="0" w:color="auto"/>
        <w:right w:val="none" w:sz="0" w:space="0" w:color="auto"/>
      </w:divBdr>
    </w:div>
    <w:div w:id="2093382217">
      <w:bodyDiv w:val="1"/>
      <w:marLeft w:val="0"/>
      <w:marRight w:val="0"/>
      <w:marTop w:val="0"/>
      <w:marBottom w:val="0"/>
      <w:divBdr>
        <w:top w:val="none" w:sz="0" w:space="0" w:color="auto"/>
        <w:left w:val="none" w:sz="0" w:space="0" w:color="auto"/>
        <w:bottom w:val="none" w:sz="0" w:space="0" w:color="auto"/>
        <w:right w:val="none" w:sz="0" w:space="0" w:color="auto"/>
      </w:divBdr>
    </w:div>
    <w:div w:id="2093432340">
      <w:bodyDiv w:val="1"/>
      <w:marLeft w:val="0"/>
      <w:marRight w:val="0"/>
      <w:marTop w:val="0"/>
      <w:marBottom w:val="0"/>
      <w:divBdr>
        <w:top w:val="none" w:sz="0" w:space="0" w:color="auto"/>
        <w:left w:val="none" w:sz="0" w:space="0" w:color="auto"/>
        <w:bottom w:val="none" w:sz="0" w:space="0" w:color="auto"/>
        <w:right w:val="none" w:sz="0" w:space="0" w:color="auto"/>
      </w:divBdr>
    </w:div>
    <w:div w:id="2093500632">
      <w:bodyDiv w:val="1"/>
      <w:marLeft w:val="0"/>
      <w:marRight w:val="0"/>
      <w:marTop w:val="0"/>
      <w:marBottom w:val="0"/>
      <w:divBdr>
        <w:top w:val="none" w:sz="0" w:space="0" w:color="auto"/>
        <w:left w:val="none" w:sz="0" w:space="0" w:color="auto"/>
        <w:bottom w:val="none" w:sz="0" w:space="0" w:color="auto"/>
        <w:right w:val="none" w:sz="0" w:space="0" w:color="auto"/>
      </w:divBdr>
    </w:div>
    <w:div w:id="2093503304">
      <w:bodyDiv w:val="1"/>
      <w:marLeft w:val="0"/>
      <w:marRight w:val="0"/>
      <w:marTop w:val="0"/>
      <w:marBottom w:val="0"/>
      <w:divBdr>
        <w:top w:val="none" w:sz="0" w:space="0" w:color="auto"/>
        <w:left w:val="none" w:sz="0" w:space="0" w:color="auto"/>
        <w:bottom w:val="none" w:sz="0" w:space="0" w:color="auto"/>
        <w:right w:val="none" w:sz="0" w:space="0" w:color="auto"/>
      </w:divBdr>
    </w:div>
    <w:div w:id="2093617647">
      <w:bodyDiv w:val="1"/>
      <w:marLeft w:val="0"/>
      <w:marRight w:val="0"/>
      <w:marTop w:val="0"/>
      <w:marBottom w:val="0"/>
      <w:divBdr>
        <w:top w:val="none" w:sz="0" w:space="0" w:color="auto"/>
        <w:left w:val="none" w:sz="0" w:space="0" w:color="auto"/>
        <w:bottom w:val="none" w:sz="0" w:space="0" w:color="auto"/>
        <w:right w:val="none" w:sz="0" w:space="0" w:color="auto"/>
      </w:divBdr>
    </w:div>
    <w:div w:id="2093626194">
      <w:bodyDiv w:val="1"/>
      <w:marLeft w:val="0"/>
      <w:marRight w:val="0"/>
      <w:marTop w:val="0"/>
      <w:marBottom w:val="0"/>
      <w:divBdr>
        <w:top w:val="none" w:sz="0" w:space="0" w:color="auto"/>
        <w:left w:val="none" w:sz="0" w:space="0" w:color="auto"/>
        <w:bottom w:val="none" w:sz="0" w:space="0" w:color="auto"/>
        <w:right w:val="none" w:sz="0" w:space="0" w:color="auto"/>
      </w:divBdr>
    </w:div>
    <w:div w:id="2093696607">
      <w:bodyDiv w:val="1"/>
      <w:marLeft w:val="0"/>
      <w:marRight w:val="0"/>
      <w:marTop w:val="0"/>
      <w:marBottom w:val="0"/>
      <w:divBdr>
        <w:top w:val="none" w:sz="0" w:space="0" w:color="auto"/>
        <w:left w:val="none" w:sz="0" w:space="0" w:color="auto"/>
        <w:bottom w:val="none" w:sz="0" w:space="0" w:color="auto"/>
        <w:right w:val="none" w:sz="0" w:space="0" w:color="auto"/>
      </w:divBdr>
    </w:div>
    <w:div w:id="2093772346">
      <w:bodyDiv w:val="1"/>
      <w:marLeft w:val="0"/>
      <w:marRight w:val="0"/>
      <w:marTop w:val="0"/>
      <w:marBottom w:val="0"/>
      <w:divBdr>
        <w:top w:val="none" w:sz="0" w:space="0" w:color="auto"/>
        <w:left w:val="none" w:sz="0" w:space="0" w:color="auto"/>
        <w:bottom w:val="none" w:sz="0" w:space="0" w:color="auto"/>
        <w:right w:val="none" w:sz="0" w:space="0" w:color="auto"/>
      </w:divBdr>
    </w:div>
    <w:div w:id="2093776649">
      <w:bodyDiv w:val="1"/>
      <w:marLeft w:val="0"/>
      <w:marRight w:val="0"/>
      <w:marTop w:val="0"/>
      <w:marBottom w:val="0"/>
      <w:divBdr>
        <w:top w:val="none" w:sz="0" w:space="0" w:color="auto"/>
        <w:left w:val="none" w:sz="0" w:space="0" w:color="auto"/>
        <w:bottom w:val="none" w:sz="0" w:space="0" w:color="auto"/>
        <w:right w:val="none" w:sz="0" w:space="0" w:color="auto"/>
      </w:divBdr>
    </w:div>
    <w:div w:id="2094011162">
      <w:bodyDiv w:val="1"/>
      <w:marLeft w:val="0"/>
      <w:marRight w:val="0"/>
      <w:marTop w:val="0"/>
      <w:marBottom w:val="0"/>
      <w:divBdr>
        <w:top w:val="none" w:sz="0" w:space="0" w:color="auto"/>
        <w:left w:val="none" w:sz="0" w:space="0" w:color="auto"/>
        <w:bottom w:val="none" w:sz="0" w:space="0" w:color="auto"/>
        <w:right w:val="none" w:sz="0" w:space="0" w:color="auto"/>
      </w:divBdr>
    </w:div>
    <w:div w:id="2094086548">
      <w:bodyDiv w:val="1"/>
      <w:marLeft w:val="0"/>
      <w:marRight w:val="0"/>
      <w:marTop w:val="0"/>
      <w:marBottom w:val="0"/>
      <w:divBdr>
        <w:top w:val="none" w:sz="0" w:space="0" w:color="auto"/>
        <w:left w:val="none" w:sz="0" w:space="0" w:color="auto"/>
        <w:bottom w:val="none" w:sz="0" w:space="0" w:color="auto"/>
        <w:right w:val="none" w:sz="0" w:space="0" w:color="auto"/>
      </w:divBdr>
    </w:div>
    <w:div w:id="2094156267">
      <w:bodyDiv w:val="1"/>
      <w:marLeft w:val="0"/>
      <w:marRight w:val="0"/>
      <w:marTop w:val="0"/>
      <w:marBottom w:val="0"/>
      <w:divBdr>
        <w:top w:val="none" w:sz="0" w:space="0" w:color="auto"/>
        <w:left w:val="none" w:sz="0" w:space="0" w:color="auto"/>
        <w:bottom w:val="none" w:sz="0" w:space="0" w:color="auto"/>
        <w:right w:val="none" w:sz="0" w:space="0" w:color="auto"/>
      </w:divBdr>
    </w:div>
    <w:div w:id="2094164553">
      <w:bodyDiv w:val="1"/>
      <w:marLeft w:val="0"/>
      <w:marRight w:val="0"/>
      <w:marTop w:val="0"/>
      <w:marBottom w:val="0"/>
      <w:divBdr>
        <w:top w:val="none" w:sz="0" w:space="0" w:color="auto"/>
        <w:left w:val="none" w:sz="0" w:space="0" w:color="auto"/>
        <w:bottom w:val="none" w:sz="0" w:space="0" w:color="auto"/>
        <w:right w:val="none" w:sz="0" w:space="0" w:color="auto"/>
      </w:divBdr>
    </w:div>
    <w:div w:id="2094275802">
      <w:bodyDiv w:val="1"/>
      <w:marLeft w:val="0"/>
      <w:marRight w:val="0"/>
      <w:marTop w:val="0"/>
      <w:marBottom w:val="0"/>
      <w:divBdr>
        <w:top w:val="none" w:sz="0" w:space="0" w:color="auto"/>
        <w:left w:val="none" w:sz="0" w:space="0" w:color="auto"/>
        <w:bottom w:val="none" w:sz="0" w:space="0" w:color="auto"/>
        <w:right w:val="none" w:sz="0" w:space="0" w:color="auto"/>
      </w:divBdr>
    </w:div>
    <w:div w:id="2094351181">
      <w:bodyDiv w:val="1"/>
      <w:marLeft w:val="0"/>
      <w:marRight w:val="0"/>
      <w:marTop w:val="0"/>
      <w:marBottom w:val="0"/>
      <w:divBdr>
        <w:top w:val="none" w:sz="0" w:space="0" w:color="auto"/>
        <w:left w:val="none" w:sz="0" w:space="0" w:color="auto"/>
        <w:bottom w:val="none" w:sz="0" w:space="0" w:color="auto"/>
        <w:right w:val="none" w:sz="0" w:space="0" w:color="auto"/>
      </w:divBdr>
    </w:div>
    <w:div w:id="2094662183">
      <w:bodyDiv w:val="1"/>
      <w:marLeft w:val="0"/>
      <w:marRight w:val="0"/>
      <w:marTop w:val="0"/>
      <w:marBottom w:val="0"/>
      <w:divBdr>
        <w:top w:val="none" w:sz="0" w:space="0" w:color="auto"/>
        <w:left w:val="none" w:sz="0" w:space="0" w:color="auto"/>
        <w:bottom w:val="none" w:sz="0" w:space="0" w:color="auto"/>
        <w:right w:val="none" w:sz="0" w:space="0" w:color="auto"/>
      </w:divBdr>
    </w:div>
    <w:div w:id="2094739574">
      <w:bodyDiv w:val="1"/>
      <w:marLeft w:val="0"/>
      <w:marRight w:val="0"/>
      <w:marTop w:val="0"/>
      <w:marBottom w:val="0"/>
      <w:divBdr>
        <w:top w:val="none" w:sz="0" w:space="0" w:color="auto"/>
        <w:left w:val="none" w:sz="0" w:space="0" w:color="auto"/>
        <w:bottom w:val="none" w:sz="0" w:space="0" w:color="auto"/>
        <w:right w:val="none" w:sz="0" w:space="0" w:color="auto"/>
      </w:divBdr>
    </w:div>
    <w:div w:id="2094740423">
      <w:bodyDiv w:val="1"/>
      <w:marLeft w:val="0"/>
      <w:marRight w:val="0"/>
      <w:marTop w:val="0"/>
      <w:marBottom w:val="0"/>
      <w:divBdr>
        <w:top w:val="none" w:sz="0" w:space="0" w:color="auto"/>
        <w:left w:val="none" w:sz="0" w:space="0" w:color="auto"/>
        <w:bottom w:val="none" w:sz="0" w:space="0" w:color="auto"/>
        <w:right w:val="none" w:sz="0" w:space="0" w:color="auto"/>
      </w:divBdr>
    </w:div>
    <w:div w:id="2094816631">
      <w:bodyDiv w:val="1"/>
      <w:marLeft w:val="0"/>
      <w:marRight w:val="0"/>
      <w:marTop w:val="0"/>
      <w:marBottom w:val="0"/>
      <w:divBdr>
        <w:top w:val="none" w:sz="0" w:space="0" w:color="auto"/>
        <w:left w:val="none" w:sz="0" w:space="0" w:color="auto"/>
        <w:bottom w:val="none" w:sz="0" w:space="0" w:color="auto"/>
        <w:right w:val="none" w:sz="0" w:space="0" w:color="auto"/>
      </w:divBdr>
    </w:div>
    <w:div w:id="2095198172">
      <w:bodyDiv w:val="1"/>
      <w:marLeft w:val="0"/>
      <w:marRight w:val="0"/>
      <w:marTop w:val="0"/>
      <w:marBottom w:val="0"/>
      <w:divBdr>
        <w:top w:val="none" w:sz="0" w:space="0" w:color="auto"/>
        <w:left w:val="none" w:sz="0" w:space="0" w:color="auto"/>
        <w:bottom w:val="none" w:sz="0" w:space="0" w:color="auto"/>
        <w:right w:val="none" w:sz="0" w:space="0" w:color="auto"/>
      </w:divBdr>
    </w:div>
    <w:div w:id="2095204968">
      <w:bodyDiv w:val="1"/>
      <w:marLeft w:val="0"/>
      <w:marRight w:val="0"/>
      <w:marTop w:val="0"/>
      <w:marBottom w:val="0"/>
      <w:divBdr>
        <w:top w:val="none" w:sz="0" w:space="0" w:color="auto"/>
        <w:left w:val="none" w:sz="0" w:space="0" w:color="auto"/>
        <w:bottom w:val="none" w:sz="0" w:space="0" w:color="auto"/>
        <w:right w:val="none" w:sz="0" w:space="0" w:color="auto"/>
      </w:divBdr>
    </w:div>
    <w:div w:id="2095205808">
      <w:bodyDiv w:val="1"/>
      <w:marLeft w:val="0"/>
      <w:marRight w:val="0"/>
      <w:marTop w:val="0"/>
      <w:marBottom w:val="0"/>
      <w:divBdr>
        <w:top w:val="none" w:sz="0" w:space="0" w:color="auto"/>
        <w:left w:val="none" w:sz="0" w:space="0" w:color="auto"/>
        <w:bottom w:val="none" w:sz="0" w:space="0" w:color="auto"/>
        <w:right w:val="none" w:sz="0" w:space="0" w:color="auto"/>
      </w:divBdr>
    </w:div>
    <w:div w:id="2095281427">
      <w:bodyDiv w:val="1"/>
      <w:marLeft w:val="0"/>
      <w:marRight w:val="0"/>
      <w:marTop w:val="0"/>
      <w:marBottom w:val="0"/>
      <w:divBdr>
        <w:top w:val="none" w:sz="0" w:space="0" w:color="auto"/>
        <w:left w:val="none" w:sz="0" w:space="0" w:color="auto"/>
        <w:bottom w:val="none" w:sz="0" w:space="0" w:color="auto"/>
        <w:right w:val="none" w:sz="0" w:space="0" w:color="auto"/>
      </w:divBdr>
    </w:div>
    <w:div w:id="2095323549">
      <w:bodyDiv w:val="1"/>
      <w:marLeft w:val="0"/>
      <w:marRight w:val="0"/>
      <w:marTop w:val="0"/>
      <w:marBottom w:val="0"/>
      <w:divBdr>
        <w:top w:val="none" w:sz="0" w:space="0" w:color="auto"/>
        <w:left w:val="none" w:sz="0" w:space="0" w:color="auto"/>
        <w:bottom w:val="none" w:sz="0" w:space="0" w:color="auto"/>
        <w:right w:val="none" w:sz="0" w:space="0" w:color="auto"/>
      </w:divBdr>
    </w:div>
    <w:div w:id="2095392895">
      <w:bodyDiv w:val="1"/>
      <w:marLeft w:val="0"/>
      <w:marRight w:val="0"/>
      <w:marTop w:val="0"/>
      <w:marBottom w:val="0"/>
      <w:divBdr>
        <w:top w:val="none" w:sz="0" w:space="0" w:color="auto"/>
        <w:left w:val="none" w:sz="0" w:space="0" w:color="auto"/>
        <w:bottom w:val="none" w:sz="0" w:space="0" w:color="auto"/>
        <w:right w:val="none" w:sz="0" w:space="0" w:color="auto"/>
      </w:divBdr>
    </w:div>
    <w:div w:id="2095393702">
      <w:bodyDiv w:val="1"/>
      <w:marLeft w:val="0"/>
      <w:marRight w:val="0"/>
      <w:marTop w:val="0"/>
      <w:marBottom w:val="0"/>
      <w:divBdr>
        <w:top w:val="none" w:sz="0" w:space="0" w:color="auto"/>
        <w:left w:val="none" w:sz="0" w:space="0" w:color="auto"/>
        <w:bottom w:val="none" w:sz="0" w:space="0" w:color="auto"/>
        <w:right w:val="none" w:sz="0" w:space="0" w:color="auto"/>
      </w:divBdr>
    </w:div>
    <w:div w:id="2095473459">
      <w:bodyDiv w:val="1"/>
      <w:marLeft w:val="0"/>
      <w:marRight w:val="0"/>
      <w:marTop w:val="0"/>
      <w:marBottom w:val="0"/>
      <w:divBdr>
        <w:top w:val="none" w:sz="0" w:space="0" w:color="auto"/>
        <w:left w:val="none" w:sz="0" w:space="0" w:color="auto"/>
        <w:bottom w:val="none" w:sz="0" w:space="0" w:color="auto"/>
        <w:right w:val="none" w:sz="0" w:space="0" w:color="auto"/>
      </w:divBdr>
    </w:div>
    <w:div w:id="2095515713">
      <w:bodyDiv w:val="1"/>
      <w:marLeft w:val="0"/>
      <w:marRight w:val="0"/>
      <w:marTop w:val="0"/>
      <w:marBottom w:val="0"/>
      <w:divBdr>
        <w:top w:val="none" w:sz="0" w:space="0" w:color="auto"/>
        <w:left w:val="none" w:sz="0" w:space="0" w:color="auto"/>
        <w:bottom w:val="none" w:sz="0" w:space="0" w:color="auto"/>
        <w:right w:val="none" w:sz="0" w:space="0" w:color="auto"/>
      </w:divBdr>
    </w:div>
    <w:div w:id="2095542576">
      <w:bodyDiv w:val="1"/>
      <w:marLeft w:val="0"/>
      <w:marRight w:val="0"/>
      <w:marTop w:val="0"/>
      <w:marBottom w:val="0"/>
      <w:divBdr>
        <w:top w:val="none" w:sz="0" w:space="0" w:color="auto"/>
        <w:left w:val="none" w:sz="0" w:space="0" w:color="auto"/>
        <w:bottom w:val="none" w:sz="0" w:space="0" w:color="auto"/>
        <w:right w:val="none" w:sz="0" w:space="0" w:color="auto"/>
      </w:divBdr>
    </w:div>
    <w:div w:id="2095583742">
      <w:bodyDiv w:val="1"/>
      <w:marLeft w:val="0"/>
      <w:marRight w:val="0"/>
      <w:marTop w:val="0"/>
      <w:marBottom w:val="0"/>
      <w:divBdr>
        <w:top w:val="none" w:sz="0" w:space="0" w:color="auto"/>
        <w:left w:val="none" w:sz="0" w:space="0" w:color="auto"/>
        <w:bottom w:val="none" w:sz="0" w:space="0" w:color="auto"/>
        <w:right w:val="none" w:sz="0" w:space="0" w:color="auto"/>
      </w:divBdr>
    </w:div>
    <w:div w:id="2095589952">
      <w:bodyDiv w:val="1"/>
      <w:marLeft w:val="0"/>
      <w:marRight w:val="0"/>
      <w:marTop w:val="0"/>
      <w:marBottom w:val="0"/>
      <w:divBdr>
        <w:top w:val="none" w:sz="0" w:space="0" w:color="auto"/>
        <w:left w:val="none" w:sz="0" w:space="0" w:color="auto"/>
        <w:bottom w:val="none" w:sz="0" w:space="0" w:color="auto"/>
        <w:right w:val="none" w:sz="0" w:space="0" w:color="auto"/>
      </w:divBdr>
    </w:div>
    <w:div w:id="2095659506">
      <w:bodyDiv w:val="1"/>
      <w:marLeft w:val="0"/>
      <w:marRight w:val="0"/>
      <w:marTop w:val="0"/>
      <w:marBottom w:val="0"/>
      <w:divBdr>
        <w:top w:val="none" w:sz="0" w:space="0" w:color="auto"/>
        <w:left w:val="none" w:sz="0" w:space="0" w:color="auto"/>
        <w:bottom w:val="none" w:sz="0" w:space="0" w:color="auto"/>
        <w:right w:val="none" w:sz="0" w:space="0" w:color="auto"/>
      </w:divBdr>
    </w:div>
    <w:div w:id="2095736184">
      <w:bodyDiv w:val="1"/>
      <w:marLeft w:val="0"/>
      <w:marRight w:val="0"/>
      <w:marTop w:val="0"/>
      <w:marBottom w:val="0"/>
      <w:divBdr>
        <w:top w:val="none" w:sz="0" w:space="0" w:color="auto"/>
        <w:left w:val="none" w:sz="0" w:space="0" w:color="auto"/>
        <w:bottom w:val="none" w:sz="0" w:space="0" w:color="auto"/>
        <w:right w:val="none" w:sz="0" w:space="0" w:color="auto"/>
      </w:divBdr>
    </w:div>
    <w:div w:id="2095858856">
      <w:bodyDiv w:val="1"/>
      <w:marLeft w:val="0"/>
      <w:marRight w:val="0"/>
      <w:marTop w:val="0"/>
      <w:marBottom w:val="0"/>
      <w:divBdr>
        <w:top w:val="none" w:sz="0" w:space="0" w:color="auto"/>
        <w:left w:val="none" w:sz="0" w:space="0" w:color="auto"/>
        <w:bottom w:val="none" w:sz="0" w:space="0" w:color="auto"/>
        <w:right w:val="none" w:sz="0" w:space="0" w:color="auto"/>
      </w:divBdr>
    </w:div>
    <w:div w:id="2095934931">
      <w:bodyDiv w:val="1"/>
      <w:marLeft w:val="0"/>
      <w:marRight w:val="0"/>
      <w:marTop w:val="0"/>
      <w:marBottom w:val="0"/>
      <w:divBdr>
        <w:top w:val="none" w:sz="0" w:space="0" w:color="auto"/>
        <w:left w:val="none" w:sz="0" w:space="0" w:color="auto"/>
        <w:bottom w:val="none" w:sz="0" w:space="0" w:color="auto"/>
        <w:right w:val="none" w:sz="0" w:space="0" w:color="auto"/>
      </w:divBdr>
    </w:div>
    <w:div w:id="2096046328">
      <w:bodyDiv w:val="1"/>
      <w:marLeft w:val="0"/>
      <w:marRight w:val="0"/>
      <w:marTop w:val="0"/>
      <w:marBottom w:val="0"/>
      <w:divBdr>
        <w:top w:val="none" w:sz="0" w:space="0" w:color="auto"/>
        <w:left w:val="none" w:sz="0" w:space="0" w:color="auto"/>
        <w:bottom w:val="none" w:sz="0" w:space="0" w:color="auto"/>
        <w:right w:val="none" w:sz="0" w:space="0" w:color="auto"/>
      </w:divBdr>
    </w:div>
    <w:div w:id="2096054177">
      <w:bodyDiv w:val="1"/>
      <w:marLeft w:val="0"/>
      <w:marRight w:val="0"/>
      <w:marTop w:val="0"/>
      <w:marBottom w:val="0"/>
      <w:divBdr>
        <w:top w:val="none" w:sz="0" w:space="0" w:color="auto"/>
        <w:left w:val="none" w:sz="0" w:space="0" w:color="auto"/>
        <w:bottom w:val="none" w:sz="0" w:space="0" w:color="auto"/>
        <w:right w:val="none" w:sz="0" w:space="0" w:color="auto"/>
      </w:divBdr>
    </w:div>
    <w:div w:id="2096239189">
      <w:bodyDiv w:val="1"/>
      <w:marLeft w:val="0"/>
      <w:marRight w:val="0"/>
      <w:marTop w:val="0"/>
      <w:marBottom w:val="0"/>
      <w:divBdr>
        <w:top w:val="none" w:sz="0" w:space="0" w:color="auto"/>
        <w:left w:val="none" w:sz="0" w:space="0" w:color="auto"/>
        <w:bottom w:val="none" w:sz="0" w:space="0" w:color="auto"/>
        <w:right w:val="none" w:sz="0" w:space="0" w:color="auto"/>
      </w:divBdr>
    </w:div>
    <w:div w:id="2096318560">
      <w:bodyDiv w:val="1"/>
      <w:marLeft w:val="0"/>
      <w:marRight w:val="0"/>
      <w:marTop w:val="0"/>
      <w:marBottom w:val="0"/>
      <w:divBdr>
        <w:top w:val="none" w:sz="0" w:space="0" w:color="auto"/>
        <w:left w:val="none" w:sz="0" w:space="0" w:color="auto"/>
        <w:bottom w:val="none" w:sz="0" w:space="0" w:color="auto"/>
        <w:right w:val="none" w:sz="0" w:space="0" w:color="auto"/>
      </w:divBdr>
    </w:div>
    <w:div w:id="2096391805">
      <w:bodyDiv w:val="1"/>
      <w:marLeft w:val="0"/>
      <w:marRight w:val="0"/>
      <w:marTop w:val="0"/>
      <w:marBottom w:val="0"/>
      <w:divBdr>
        <w:top w:val="none" w:sz="0" w:space="0" w:color="auto"/>
        <w:left w:val="none" w:sz="0" w:space="0" w:color="auto"/>
        <w:bottom w:val="none" w:sz="0" w:space="0" w:color="auto"/>
        <w:right w:val="none" w:sz="0" w:space="0" w:color="auto"/>
      </w:divBdr>
    </w:div>
    <w:div w:id="2096433659">
      <w:bodyDiv w:val="1"/>
      <w:marLeft w:val="0"/>
      <w:marRight w:val="0"/>
      <w:marTop w:val="0"/>
      <w:marBottom w:val="0"/>
      <w:divBdr>
        <w:top w:val="none" w:sz="0" w:space="0" w:color="auto"/>
        <w:left w:val="none" w:sz="0" w:space="0" w:color="auto"/>
        <w:bottom w:val="none" w:sz="0" w:space="0" w:color="auto"/>
        <w:right w:val="none" w:sz="0" w:space="0" w:color="auto"/>
      </w:divBdr>
    </w:div>
    <w:div w:id="2096433753">
      <w:bodyDiv w:val="1"/>
      <w:marLeft w:val="0"/>
      <w:marRight w:val="0"/>
      <w:marTop w:val="0"/>
      <w:marBottom w:val="0"/>
      <w:divBdr>
        <w:top w:val="none" w:sz="0" w:space="0" w:color="auto"/>
        <w:left w:val="none" w:sz="0" w:space="0" w:color="auto"/>
        <w:bottom w:val="none" w:sz="0" w:space="0" w:color="auto"/>
        <w:right w:val="none" w:sz="0" w:space="0" w:color="auto"/>
      </w:divBdr>
    </w:div>
    <w:div w:id="2096514715">
      <w:bodyDiv w:val="1"/>
      <w:marLeft w:val="0"/>
      <w:marRight w:val="0"/>
      <w:marTop w:val="0"/>
      <w:marBottom w:val="0"/>
      <w:divBdr>
        <w:top w:val="none" w:sz="0" w:space="0" w:color="auto"/>
        <w:left w:val="none" w:sz="0" w:space="0" w:color="auto"/>
        <w:bottom w:val="none" w:sz="0" w:space="0" w:color="auto"/>
        <w:right w:val="none" w:sz="0" w:space="0" w:color="auto"/>
      </w:divBdr>
    </w:div>
    <w:div w:id="2096586680">
      <w:bodyDiv w:val="1"/>
      <w:marLeft w:val="0"/>
      <w:marRight w:val="0"/>
      <w:marTop w:val="0"/>
      <w:marBottom w:val="0"/>
      <w:divBdr>
        <w:top w:val="none" w:sz="0" w:space="0" w:color="auto"/>
        <w:left w:val="none" w:sz="0" w:space="0" w:color="auto"/>
        <w:bottom w:val="none" w:sz="0" w:space="0" w:color="auto"/>
        <w:right w:val="none" w:sz="0" w:space="0" w:color="auto"/>
      </w:divBdr>
    </w:div>
    <w:div w:id="2096778715">
      <w:bodyDiv w:val="1"/>
      <w:marLeft w:val="0"/>
      <w:marRight w:val="0"/>
      <w:marTop w:val="0"/>
      <w:marBottom w:val="0"/>
      <w:divBdr>
        <w:top w:val="none" w:sz="0" w:space="0" w:color="auto"/>
        <w:left w:val="none" w:sz="0" w:space="0" w:color="auto"/>
        <w:bottom w:val="none" w:sz="0" w:space="0" w:color="auto"/>
        <w:right w:val="none" w:sz="0" w:space="0" w:color="auto"/>
      </w:divBdr>
    </w:div>
    <w:div w:id="2096825033">
      <w:bodyDiv w:val="1"/>
      <w:marLeft w:val="0"/>
      <w:marRight w:val="0"/>
      <w:marTop w:val="0"/>
      <w:marBottom w:val="0"/>
      <w:divBdr>
        <w:top w:val="none" w:sz="0" w:space="0" w:color="auto"/>
        <w:left w:val="none" w:sz="0" w:space="0" w:color="auto"/>
        <w:bottom w:val="none" w:sz="0" w:space="0" w:color="auto"/>
        <w:right w:val="none" w:sz="0" w:space="0" w:color="auto"/>
      </w:divBdr>
    </w:div>
    <w:div w:id="2096857086">
      <w:bodyDiv w:val="1"/>
      <w:marLeft w:val="0"/>
      <w:marRight w:val="0"/>
      <w:marTop w:val="0"/>
      <w:marBottom w:val="0"/>
      <w:divBdr>
        <w:top w:val="none" w:sz="0" w:space="0" w:color="auto"/>
        <w:left w:val="none" w:sz="0" w:space="0" w:color="auto"/>
        <w:bottom w:val="none" w:sz="0" w:space="0" w:color="auto"/>
        <w:right w:val="none" w:sz="0" w:space="0" w:color="auto"/>
      </w:divBdr>
    </w:div>
    <w:div w:id="2096894042">
      <w:bodyDiv w:val="1"/>
      <w:marLeft w:val="0"/>
      <w:marRight w:val="0"/>
      <w:marTop w:val="0"/>
      <w:marBottom w:val="0"/>
      <w:divBdr>
        <w:top w:val="none" w:sz="0" w:space="0" w:color="auto"/>
        <w:left w:val="none" w:sz="0" w:space="0" w:color="auto"/>
        <w:bottom w:val="none" w:sz="0" w:space="0" w:color="auto"/>
        <w:right w:val="none" w:sz="0" w:space="0" w:color="auto"/>
      </w:divBdr>
    </w:div>
    <w:div w:id="2096898385">
      <w:bodyDiv w:val="1"/>
      <w:marLeft w:val="0"/>
      <w:marRight w:val="0"/>
      <w:marTop w:val="0"/>
      <w:marBottom w:val="0"/>
      <w:divBdr>
        <w:top w:val="none" w:sz="0" w:space="0" w:color="auto"/>
        <w:left w:val="none" w:sz="0" w:space="0" w:color="auto"/>
        <w:bottom w:val="none" w:sz="0" w:space="0" w:color="auto"/>
        <w:right w:val="none" w:sz="0" w:space="0" w:color="auto"/>
      </w:divBdr>
    </w:div>
    <w:div w:id="2096971741">
      <w:bodyDiv w:val="1"/>
      <w:marLeft w:val="0"/>
      <w:marRight w:val="0"/>
      <w:marTop w:val="0"/>
      <w:marBottom w:val="0"/>
      <w:divBdr>
        <w:top w:val="none" w:sz="0" w:space="0" w:color="auto"/>
        <w:left w:val="none" w:sz="0" w:space="0" w:color="auto"/>
        <w:bottom w:val="none" w:sz="0" w:space="0" w:color="auto"/>
        <w:right w:val="none" w:sz="0" w:space="0" w:color="auto"/>
      </w:divBdr>
    </w:div>
    <w:div w:id="2097047979">
      <w:bodyDiv w:val="1"/>
      <w:marLeft w:val="0"/>
      <w:marRight w:val="0"/>
      <w:marTop w:val="0"/>
      <w:marBottom w:val="0"/>
      <w:divBdr>
        <w:top w:val="none" w:sz="0" w:space="0" w:color="auto"/>
        <w:left w:val="none" w:sz="0" w:space="0" w:color="auto"/>
        <w:bottom w:val="none" w:sz="0" w:space="0" w:color="auto"/>
        <w:right w:val="none" w:sz="0" w:space="0" w:color="auto"/>
      </w:divBdr>
    </w:div>
    <w:div w:id="2097048295">
      <w:bodyDiv w:val="1"/>
      <w:marLeft w:val="0"/>
      <w:marRight w:val="0"/>
      <w:marTop w:val="0"/>
      <w:marBottom w:val="0"/>
      <w:divBdr>
        <w:top w:val="none" w:sz="0" w:space="0" w:color="auto"/>
        <w:left w:val="none" w:sz="0" w:space="0" w:color="auto"/>
        <w:bottom w:val="none" w:sz="0" w:space="0" w:color="auto"/>
        <w:right w:val="none" w:sz="0" w:space="0" w:color="auto"/>
      </w:divBdr>
    </w:div>
    <w:div w:id="2097246653">
      <w:bodyDiv w:val="1"/>
      <w:marLeft w:val="0"/>
      <w:marRight w:val="0"/>
      <w:marTop w:val="0"/>
      <w:marBottom w:val="0"/>
      <w:divBdr>
        <w:top w:val="none" w:sz="0" w:space="0" w:color="auto"/>
        <w:left w:val="none" w:sz="0" w:space="0" w:color="auto"/>
        <w:bottom w:val="none" w:sz="0" w:space="0" w:color="auto"/>
        <w:right w:val="none" w:sz="0" w:space="0" w:color="auto"/>
      </w:divBdr>
    </w:div>
    <w:div w:id="2097508773">
      <w:bodyDiv w:val="1"/>
      <w:marLeft w:val="0"/>
      <w:marRight w:val="0"/>
      <w:marTop w:val="0"/>
      <w:marBottom w:val="0"/>
      <w:divBdr>
        <w:top w:val="none" w:sz="0" w:space="0" w:color="auto"/>
        <w:left w:val="none" w:sz="0" w:space="0" w:color="auto"/>
        <w:bottom w:val="none" w:sz="0" w:space="0" w:color="auto"/>
        <w:right w:val="none" w:sz="0" w:space="0" w:color="auto"/>
      </w:divBdr>
    </w:div>
    <w:div w:id="2097750041">
      <w:bodyDiv w:val="1"/>
      <w:marLeft w:val="0"/>
      <w:marRight w:val="0"/>
      <w:marTop w:val="0"/>
      <w:marBottom w:val="0"/>
      <w:divBdr>
        <w:top w:val="none" w:sz="0" w:space="0" w:color="auto"/>
        <w:left w:val="none" w:sz="0" w:space="0" w:color="auto"/>
        <w:bottom w:val="none" w:sz="0" w:space="0" w:color="auto"/>
        <w:right w:val="none" w:sz="0" w:space="0" w:color="auto"/>
      </w:divBdr>
    </w:div>
    <w:div w:id="2097751190">
      <w:bodyDiv w:val="1"/>
      <w:marLeft w:val="0"/>
      <w:marRight w:val="0"/>
      <w:marTop w:val="0"/>
      <w:marBottom w:val="0"/>
      <w:divBdr>
        <w:top w:val="none" w:sz="0" w:space="0" w:color="auto"/>
        <w:left w:val="none" w:sz="0" w:space="0" w:color="auto"/>
        <w:bottom w:val="none" w:sz="0" w:space="0" w:color="auto"/>
        <w:right w:val="none" w:sz="0" w:space="0" w:color="auto"/>
      </w:divBdr>
    </w:div>
    <w:div w:id="2097942944">
      <w:bodyDiv w:val="1"/>
      <w:marLeft w:val="0"/>
      <w:marRight w:val="0"/>
      <w:marTop w:val="0"/>
      <w:marBottom w:val="0"/>
      <w:divBdr>
        <w:top w:val="none" w:sz="0" w:space="0" w:color="auto"/>
        <w:left w:val="none" w:sz="0" w:space="0" w:color="auto"/>
        <w:bottom w:val="none" w:sz="0" w:space="0" w:color="auto"/>
        <w:right w:val="none" w:sz="0" w:space="0" w:color="auto"/>
      </w:divBdr>
    </w:div>
    <w:div w:id="2098015834">
      <w:bodyDiv w:val="1"/>
      <w:marLeft w:val="0"/>
      <w:marRight w:val="0"/>
      <w:marTop w:val="0"/>
      <w:marBottom w:val="0"/>
      <w:divBdr>
        <w:top w:val="none" w:sz="0" w:space="0" w:color="auto"/>
        <w:left w:val="none" w:sz="0" w:space="0" w:color="auto"/>
        <w:bottom w:val="none" w:sz="0" w:space="0" w:color="auto"/>
        <w:right w:val="none" w:sz="0" w:space="0" w:color="auto"/>
      </w:divBdr>
    </w:div>
    <w:div w:id="2098088769">
      <w:bodyDiv w:val="1"/>
      <w:marLeft w:val="0"/>
      <w:marRight w:val="0"/>
      <w:marTop w:val="0"/>
      <w:marBottom w:val="0"/>
      <w:divBdr>
        <w:top w:val="none" w:sz="0" w:space="0" w:color="auto"/>
        <w:left w:val="none" w:sz="0" w:space="0" w:color="auto"/>
        <w:bottom w:val="none" w:sz="0" w:space="0" w:color="auto"/>
        <w:right w:val="none" w:sz="0" w:space="0" w:color="auto"/>
      </w:divBdr>
    </w:div>
    <w:div w:id="2098089621">
      <w:bodyDiv w:val="1"/>
      <w:marLeft w:val="0"/>
      <w:marRight w:val="0"/>
      <w:marTop w:val="0"/>
      <w:marBottom w:val="0"/>
      <w:divBdr>
        <w:top w:val="none" w:sz="0" w:space="0" w:color="auto"/>
        <w:left w:val="none" w:sz="0" w:space="0" w:color="auto"/>
        <w:bottom w:val="none" w:sz="0" w:space="0" w:color="auto"/>
        <w:right w:val="none" w:sz="0" w:space="0" w:color="auto"/>
      </w:divBdr>
    </w:div>
    <w:div w:id="2098094807">
      <w:bodyDiv w:val="1"/>
      <w:marLeft w:val="0"/>
      <w:marRight w:val="0"/>
      <w:marTop w:val="0"/>
      <w:marBottom w:val="0"/>
      <w:divBdr>
        <w:top w:val="none" w:sz="0" w:space="0" w:color="auto"/>
        <w:left w:val="none" w:sz="0" w:space="0" w:color="auto"/>
        <w:bottom w:val="none" w:sz="0" w:space="0" w:color="auto"/>
        <w:right w:val="none" w:sz="0" w:space="0" w:color="auto"/>
      </w:divBdr>
    </w:div>
    <w:div w:id="2098162556">
      <w:bodyDiv w:val="1"/>
      <w:marLeft w:val="0"/>
      <w:marRight w:val="0"/>
      <w:marTop w:val="0"/>
      <w:marBottom w:val="0"/>
      <w:divBdr>
        <w:top w:val="none" w:sz="0" w:space="0" w:color="auto"/>
        <w:left w:val="none" w:sz="0" w:space="0" w:color="auto"/>
        <w:bottom w:val="none" w:sz="0" w:space="0" w:color="auto"/>
        <w:right w:val="none" w:sz="0" w:space="0" w:color="auto"/>
      </w:divBdr>
    </w:div>
    <w:div w:id="2098281456">
      <w:bodyDiv w:val="1"/>
      <w:marLeft w:val="0"/>
      <w:marRight w:val="0"/>
      <w:marTop w:val="0"/>
      <w:marBottom w:val="0"/>
      <w:divBdr>
        <w:top w:val="none" w:sz="0" w:space="0" w:color="auto"/>
        <w:left w:val="none" w:sz="0" w:space="0" w:color="auto"/>
        <w:bottom w:val="none" w:sz="0" w:space="0" w:color="auto"/>
        <w:right w:val="none" w:sz="0" w:space="0" w:color="auto"/>
      </w:divBdr>
    </w:div>
    <w:div w:id="2098283555">
      <w:bodyDiv w:val="1"/>
      <w:marLeft w:val="0"/>
      <w:marRight w:val="0"/>
      <w:marTop w:val="0"/>
      <w:marBottom w:val="0"/>
      <w:divBdr>
        <w:top w:val="none" w:sz="0" w:space="0" w:color="auto"/>
        <w:left w:val="none" w:sz="0" w:space="0" w:color="auto"/>
        <w:bottom w:val="none" w:sz="0" w:space="0" w:color="auto"/>
        <w:right w:val="none" w:sz="0" w:space="0" w:color="auto"/>
      </w:divBdr>
    </w:div>
    <w:div w:id="2098288037">
      <w:bodyDiv w:val="1"/>
      <w:marLeft w:val="0"/>
      <w:marRight w:val="0"/>
      <w:marTop w:val="0"/>
      <w:marBottom w:val="0"/>
      <w:divBdr>
        <w:top w:val="none" w:sz="0" w:space="0" w:color="auto"/>
        <w:left w:val="none" w:sz="0" w:space="0" w:color="auto"/>
        <w:bottom w:val="none" w:sz="0" w:space="0" w:color="auto"/>
        <w:right w:val="none" w:sz="0" w:space="0" w:color="auto"/>
      </w:divBdr>
    </w:div>
    <w:div w:id="2098548975">
      <w:bodyDiv w:val="1"/>
      <w:marLeft w:val="0"/>
      <w:marRight w:val="0"/>
      <w:marTop w:val="0"/>
      <w:marBottom w:val="0"/>
      <w:divBdr>
        <w:top w:val="none" w:sz="0" w:space="0" w:color="auto"/>
        <w:left w:val="none" w:sz="0" w:space="0" w:color="auto"/>
        <w:bottom w:val="none" w:sz="0" w:space="0" w:color="auto"/>
        <w:right w:val="none" w:sz="0" w:space="0" w:color="auto"/>
      </w:divBdr>
    </w:div>
    <w:div w:id="2098557699">
      <w:bodyDiv w:val="1"/>
      <w:marLeft w:val="0"/>
      <w:marRight w:val="0"/>
      <w:marTop w:val="0"/>
      <w:marBottom w:val="0"/>
      <w:divBdr>
        <w:top w:val="none" w:sz="0" w:space="0" w:color="auto"/>
        <w:left w:val="none" w:sz="0" w:space="0" w:color="auto"/>
        <w:bottom w:val="none" w:sz="0" w:space="0" w:color="auto"/>
        <w:right w:val="none" w:sz="0" w:space="0" w:color="auto"/>
      </w:divBdr>
    </w:div>
    <w:div w:id="2098594026">
      <w:bodyDiv w:val="1"/>
      <w:marLeft w:val="0"/>
      <w:marRight w:val="0"/>
      <w:marTop w:val="0"/>
      <w:marBottom w:val="0"/>
      <w:divBdr>
        <w:top w:val="none" w:sz="0" w:space="0" w:color="auto"/>
        <w:left w:val="none" w:sz="0" w:space="0" w:color="auto"/>
        <w:bottom w:val="none" w:sz="0" w:space="0" w:color="auto"/>
        <w:right w:val="none" w:sz="0" w:space="0" w:color="auto"/>
      </w:divBdr>
    </w:div>
    <w:div w:id="2098598332">
      <w:bodyDiv w:val="1"/>
      <w:marLeft w:val="0"/>
      <w:marRight w:val="0"/>
      <w:marTop w:val="0"/>
      <w:marBottom w:val="0"/>
      <w:divBdr>
        <w:top w:val="none" w:sz="0" w:space="0" w:color="auto"/>
        <w:left w:val="none" w:sz="0" w:space="0" w:color="auto"/>
        <w:bottom w:val="none" w:sz="0" w:space="0" w:color="auto"/>
        <w:right w:val="none" w:sz="0" w:space="0" w:color="auto"/>
      </w:divBdr>
    </w:div>
    <w:div w:id="2098625176">
      <w:bodyDiv w:val="1"/>
      <w:marLeft w:val="0"/>
      <w:marRight w:val="0"/>
      <w:marTop w:val="0"/>
      <w:marBottom w:val="0"/>
      <w:divBdr>
        <w:top w:val="none" w:sz="0" w:space="0" w:color="auto"/>
        <w:left w:val="none" w:sz="0" w:space="0" w:color="auto"/>
        <w:bottom w:val="none" w:sz="0" w:space="0" w:color="auto"/>
        <w:right w:val="none" w:sz="0" w:space="0" w:color="auto"/>
      </w:divBdr>
    </w:div>
    <w:div w:id="2098674886">
      <w:bodyDiv w:val="1"/>
      <w:marLeft w:val="0"/>
      <w:marRight w:val="0"/>
      <w:marTop w:val="0"/>
      <w:marBottom w:val="0"/>
      <w:divBdr>
        <w:top w:val="none" w:sz="0" w:space="0" w:color="auto"/>
        <w:left w:val="none" w:sz="0" w:space="0" w:color="auto"/>
        <w:bottom w:val="none" w:sz="0" w:space="0" w:color="auto"/>
        <w:right w:val="none" w:sz="0" w:space="0" w:color="auto"/>
      </w:divBdr>
    </w:div>
    <w:div w:id="2098747668">
      <w:bodyDiv w:val="1"/>
      <w:marLeft w:val="0"/>
      <w:marRight w:val="0"/>
      <w:marTop w:val="0"/>
      <w:marBottom w:val="0"/>
      <w:divBdr>
        <w:top w:val="none" w:sz="0" w:space="0" w:color="auto"/>
        <w:left w:val="none" w:sz="0" w:space="0" w:color="auto"/>
        <w:bottom w:val="none" w:sz="0" w:space="0" w:color="auto"/>
        <w:right w:val="none" w:sz="0" w:space="0" w:color="auto"/>
      </w:divBdr>
    </w:div>
    <w:div w:id="2098750720">
      <w:bodyDiv w:val="1"/>
      <w:marLeft w:val="0"/>
      <w:marRight w:val="0"/>
      <w:marTop w:val="0"/>
      <w:marBottom w:val="0"/>
      <w:divBdr>
        <w:top w:val="none" w:sz="0" w:space="0" w:color="auto"/>
        <w:left w:val="none" w:sz="0" w:space="0" w:color="auto"/>
        <w:bottom w:val="none" w:sz="0" w:space="0" w:color="auto"/>
        <w:right w:val="none" w:sz="0" w:space="0" w:color="auto"/>
      </w:divBdr>
    </w:div>
    <w:div w:id="2098793178">
      <w:bodyDiv w:val="1"/>
      <w:marLeft w:val="0"/>
      <w:marRight w:val="0"/>
      <w:marTop w:val="0"/>
      <w:marBottom w:val="0"/>
      <w:divBdr>
        <w:top w:val="none" w:sz="0" w:space="0" w:color="auto"/>
        <w:left w:val="none" w:sz="0" w:space="0" w:color="auto"/>
        <w:bottom w:val="none" w:sz="0" w:space="0" w:color="auto"/>
        <w:right w:val="none" w:sz="0" w:space="0" w:color="auto"/>
      </w:divBdr>
    </w:div>
    <w:div w:id="2098817186">
      <w:bodyDiv w:val="1"/>
      <w:marLeft w:val="0"/>
      <w:marRight w:val="0"/>
      <w:marTop w:val="0"/>
      <w:marBottom w:val="0"/>
      <w:divBdr>
        <w:top w:val="none" w:sz="0" w:space="0" w:color="auto"/>
        <w:left w:val="none" w:sz="0" w:space="0" w:color="auto"/>
        <w:bottom w:val="none" w:sz="0" w:space="0" w:color="auto"/>
        <w:right w:val="none" w:sz="0" w:space="0" w:color="auto"/>
      </w:divBdr>
    </w:div>
    <w:div w:id="2098818096">
      <w:bodyDiv w:val="1"/>
      <w:marLeft w:val="0"/>
      <w:marRight w:val="0"/>
      <w:marTop w:val="0"/>
      <w:marBottom w:val="0"/>
      <w:divBdr>
        <w:top w:val="none" w:sz="0" w:space="0" w:color="auto"/>
        <w:left w:val="none" w:sz="0" w:space="0" w:color="auto"/>
        <w:bottom w:val="none" w:sz="0" w:space="0" w:color="auto"/>
        <w:right w:val="none" w:sz="0" w:space="0" w:color="auto"/>
      </w:divBdr>
    </w:div>
    <w:div w:id="2098819862">
      <w:bodyDiv w:val="1"/>
      <w:marLeft w:val="0"/>
      <w:marRight w:val="0"/>
      <w:marTop w:val="0"/>
      <w:marBottom w:val="0"/>
      <w:divBdr>
        <w:top w:val="none" w:sz="0" w:space="0" w:color="auto"/>
        <w:left w:val="none" w:sz="0" w:space="0" w:color="auto"/>
        <w:bottom w:val="none" w:sz="0" w:space="0" w:color="auto"/>
        <w:right w:val="none" w:sz="0" w:space="0" w:color="auto"/>
      </w:divBdr>
    </w:div>
    <w:div w:id="2098868174">
      <w:bodyDiv w:val="1"/>
      <w:marLeft w:val="0"/>
      <w:marRight w:val="0"/>
      <w:marTop w:val="0"/>
      <w:marBottom w:val="0"/>
      <w:divBdr>
        <w:top w:val="none" w:sz="0" w:space="0" w:color="auto"/>
        <w:left w:val="none" w:sz="0" w:space="0" w:color="auto"/>
        <w:bottom w:val="none" w:sz="0" w:space="0" w:color="auto"/>
        <w:right w:val="none" w:sz="0" w:space="0" w:color="auto"/>
      </w:divBdr>
    </w:div>
    <w:div w:id="2098939085">
      <w:bodyDiv w:val="1"/>
      <w:marLeft w:val="0"/>
      <w:marRight w:val="0"/>
      <w:marTop w:val="0"/>
      <w:marBottom w:val="0"/>
      <w:divBdr>
        <w:top w:val="none" w:sz="0" w:space="0" w:color="auto"/>
        <w:left w:val="none" w:sz="0" w:space="0" w:color="auto"/>
        <w:bottom w:val="none" w:sz="0" w:space="0" w:color="auto"/>
        <w:right w:val="none" w:sz="0" w:space="0" w:color="auto"/>
      </w:divBdr>
    </w:div>
    <w:div w:id="2098941988">
      <w:bodyDiv w:val="1"/>
      <w:marLeft w:val="0"/>
      <w:marRight w:val="0"/>
      <w:marTop w:val="0"/>
      <w:marBottom w:val="0"/>
      <w:divBdr>
        <w:top w:val="none" w:sz="0" w:space="0" w:color="auto"/>
        <w:left w:val="none" w:sz="0" w:space="0" w:color="auto"/>
        <w:bottom w:val="none" w:sz="0" w:space="0" w:color="auto"/>
        <w:right w:val="none" w:sz="0" w:space="0" w:color="auto"/>
      </w:divBdr>
    </w:div>
    <w:div w:id="2098987057">
      <w:bodyDiv w:val="1"/>
      <w:marLeft w:val="0"/>
      <w:marRight w:val="0"/>
      <w:marTop w:val="0"/>
      <w:marBottom w:val="0"/>
      <w:divBdr>
        <w:top w:val="none" w:sz="0" w:space="0" w:color="auto"/>
        <w:left w:val="none" w:sz="0" w:space="0" w:color="auto"/>
        <w:bottom w:val="none" w:sz="0" w:space="0" w:color="auto"/>
        <w:right w:val="none" w:sz="0" w:space="0" w:color="auto"/>
      </w:divBdr>
    </w:div>
    <w:div w:id="2099012328">
      <w:bodyDiv w:val="1"/>
      <w:marLeft w:val="0"/>
      <w:marRight w:val="0"/>
      <w:marTop w:val="0"/>
      <w:marBottom w:val="0"/>
      <w:divBdr>
        <w:top w:val="none" w:sz="0" w:space="0" w:color="auto"/>
        <w:left w:val="none" w:sz="0" w:space="0" w:color="auto"/>
        <w:bottom w:val="none" w:sz="0" w:space="0" w:color="auto"/>
        <w:right w:val="none" w:sz="0" w:space="0" w:color="auto"/>
      </w:divBdr>
    </w:div>
    <w:div w:id="2099132941">
      <w:bodyDiv w:val="1"/>
      <w:marLeft w:val="0"/>
      <w:marRight w:val="0"/>
      <w:marTop w:val="0"/>
      <w:marBottom w:val="0"/>
      <w:divBdr>
        <w:top w:val="none" w:sz="0" w:space="0" w:color="auto"/>
        <w:left w:val="none" w:sz="0" w:space="0" w:color="auto"/>
        <w:bottom w:val="none" w:sz="0" w:space="0" w:color="auto"/>
        <w:right w:val="none" w:sz="0" w:space="0" w:color="auto"/>
      </w:divBdr>
    </w:div>
    <w:div w:id="2099136351">
      <w:bodyDiv w:val="1"/>
      <w:marLeft w:val="0"/>
      <w:marRight w:val="0"/>
      <w:marTop w:val="0"/>
      <w:marBottom w:val="0"/>
      <w:divBdr>
        <w:top w:val="none" w:sz="0" w:space="0" w:color="auto"/>
        <w:left w:val="none" w:sz="0" w:space="0" w:color="auto"/>
        <w:bottom w:val="none" w:sz="0" w:space="0" w:color="auto"/>
        <w:right w:val="none" w:sz="0" w:space="0" w:color="auto"/>
      </w:divBdr>
    </w:div>
    <w:div w:id="2099136710">
      <w:bodyDiv w:val="1"/>
      <w:marLeft w:val="0"/>
      <w:marRight w:val="0"/>
      <w:marTop w:val="0"/>
      <w:marBottom w:val="0"/>
      <w:divBdr>
        <w:top w:val="none" w:sz="0" w:space="0" w:color="auto"/>
        <w:left w:val="none" w:sz="0" w:space="0" w:color="auto"/>
        <w:bottom w:val="none" w:sz="0" w:space="0" w:color="auto"/>
        <w:right w:val="none" w:sz="0" w:space="0" w:color="auto"/>
      </w:divBdr>
    </w:div>
    <w:div w:id="2099210490">
      <w:bodyDiv w:val="1"/>
      <w:marLeft w:val="0"/>
      <w:marRight w:val="0"/>
      <w:marTop w:val="0"/>
      <w:marBottom w:val="0"/>
      <w:divBdr>
        <w:top w:val="none" w:sz="0" w:space="0" w:color="auto"/>
        <w:left w:val="none" w:sz="0" w:space="0" w:color="auto"/>
        <w:bottom w:val="none" w:sz="0" w:space="0" w:color="auto"/>
        <w:right w:val="none" w:sz="0" w:space="0" w:color="auto"/>
      </w:divBdr>
    </w:div>
    <w:div w:id="2099322340">
      <w:bodyDiv w:val="1"/>
      <w:marLeft w:val="0"/>
      <w:marRight w:val="0"/>
      <w:marTop w:val="0"/>
      <w:marBottom w:val="0"/>
      <w:divBdr>
        <w:top w:val="none" w:sz="0" w:space="0" w:color="auto"/>
        <w:left w:val="none" w:sz="0" w:space="0" w:color="auto"/>
        <w:bottom w:val="none" w:sz="0" w:space="0" w:color="auto"/>
        <w:right w:val="none" w:sz="0" w:space="0" w:color="auto"/>
      </w:divBdr>
    </w:div>
    <w:div w:id="2099323656">
      <w:bodyDiv w:val="1"/>
      <w:marLeft w:val="0"/>
      <w:marRight w:val="0"/>
      <w:marTop w:val="0"/>
      <w:marBottom w:val="0"/>
      <w:divBdr>
        <w:top w:val="none" w:sz="0" w:space="0" w:color="auto"/>
        <w:left w:val="none" w:sz="0" w:space="0" w:color="auto"/>
        <w:bottom w:val="none" w:sz="0" w:space="0" w:color="auto"/>
        <w:right w:val="none" w:sz="0" w:space="0" w:color="auto"/>
      </w:divBdr>
    </w:div>
    <w:div w:id="2099325474">
      <w:bodyDiv w:val="1"/>
      <w:marLeft w:val="0"/>
      <w:marRight w:val="0"/>
      <w:marTop w:val="0"/>
      <w:marBottom w:val="0"/>
      <w:divBdr>
        <w:top w:val="none" w:sz="0" w:space="0" w:color="auto"/>
        <w:left w:val="none" w:sz="0" w:space="0" w:color="auto"/>
        <w:bottom w:val="none" w:sz="0" w:space="0" w:color="auto"/>
        <w:right w:val="none" w:sz="0" w:space="0" w:color="auto"/>
      </w:divBdr>
    </w:div>
    <w:div w:id="2099330892">
      <w:bodyDiv w:val="1"/>
      <w:marLeft w:val="0"/>
      <w:marRight w:val="0"/>
      <w:marTop w:val="0"/>
      <w:marBottom w:val="0"/>
      <w:divBdr>
        <w:top w:val="none" w:sz="0" w:space="0" w:color="auto"/>
        <w:left w:val="none" w:sz="0" w:space="0" w:color="auto"/>
        <w:bottom w:val="none" w:sz="0" w:space="0" w:color="auto"/>
        <w:right w:val="none" w:sz="0" w:space="0" w:color="auto"/>
      </w:divBdr>
    </w:div>
    <w:div w:id="2099517424">
      <w:bodyDiv w:val="1"/>
      <w:marLeft w:val="0"/>
      <w:marRight w:val="0"/>
      <w:marTop w:val="0"/>
      <w:marBottom w:val="0"/>
      <w:divBdr>
        <w:top w:val="none" w:sz="0" w:space="0" w:color="auto"/>
        <w:left w:val="none" w:sz="0" w:space="0" w:color="auto"/>
        <w:bottom w:val="none" w:sz="0" w:space="0" w:color="auto"/>
        <w:right w:val="none" w:sz="0" w:space="0" w:color="auto"/>
      </w:divBdr>
    </w:div>
    <w:div w:id="2099517990">
      <w:bodyDiv w:val="1"/>
      <w:marLeft w:val="0"/>
      <w:marRight w:val="0"/>
      <w:marTop w:val="0"/>
      <w:marBottom w:val="0"/>
      <w:divBdr>
        <w:top w:val="none" w:sz="0" w:space="0" w:color="auto"/>
        <w:left w:val="none" w:sz="0" w:space="0" w:color="auto"/>
        <w:bottom w:val="none" w:sz="0" w:space="0" w:color="auto"/>
        <w:right w:val="none" w:sz="0" w:space="0" w:color="auto"/>
      </w:divBdr>
    </w:div>
    <w:div w:id="2099673197">
      <w:bodyDiv w:val="1"/>
      <w:marLeft w:val="0"/>
      <w:marRight w:val="0"/>
      <w:marTop w:val="0"/>
      <w:marBottom w:val="0"/>
      <w:divBdr>
        <w:top w:val="none" w:sz="0" w:space="0" w:color="auto"/>
        <w:left w:val="none" w:sz="0" w:space="0" w:color="auto"/>
        <w:bottom w:val="none" w:sz="0" w:space="0" w:color="auto"/>
        <w:right w:val="none" w:sz="0" w:space="0" w:color="auto"/>
      </w:divBdr>
    </w:div>
    <w:div w:id="2099860818">
      <w:bodyDiv w:val="1"/>
      <w:marLeft w:val="0"/>
      <w:marRight w:val="0"/>
      <w:marTop w:val="0"/>
      <w:marBottom w:val="0"/>
      <w:divBdr>
        <w:top w:val="none" w:sz="0" w:space="0" w:color="auto"/>
        <w:left w:val="none" w:sz="0" w:space="0" w:color="auto"/>
        <w:bottom w:val="none" w:sz="0" w:space="0" w:color="auto"/>
        <w:right w:val="none" w:sz="0" w:space="0" w:color="auto"/>
      </w:divBdr>
    </w:div>
    <w:div w:id="2099866258">
      <w:bodyDiv w:val="1"/>
      <w:marLeft w:val="0"/>
      <w:marRight w:val="0"/>
      <w:marTop w:val="0"/>
      <w:marBottom w:val="0"/>
      <w:divBdr>
        <w:top w:val="none" w:sz="0" w:space="0" w:color="auto"/>
        <w:left w:val="none" w:sz="0" w:space="0" w:color="auto"/>
        <w:bottom w:val="none" w:sz="0" w:space="0" w:color="auto"/>
        <w:right w:val="none" w:sz="0" w:space="0" w:color="auto"/>
      </w:divBdr>
    </w:div>
    <w:div w:id="2099908585">
      <w:bodyDiv w:val="1"/>
      <w:marLeft w:val="0"/>
      <w:marRight w:val="0"/>
      <w:marTop w:val="0"/>
      <w:marBottom w:val="0"/>
      <w:divBdr>
        <w:top w:val="none" w:sz="0" w:space="0" w:color="auto"/>
        <w:left w:val="none" w:sz="0" w:space="0" w:color="auto"/>
        <w:bottom w:val="none" w:sz="0" w:space="0" w:color="auto"/>
        <w:right w:val="none" w:sz="0" w:space="0" w:color="auto"/>
      </w:divBdr>
    </w:div>
    <w:div w:id="2099981664">
      <w:bodyDiv w:val="1"/>
      <w:marLeft w:val="0"/>
      <w:marRight w:val="0"/>
      <w:marTop w:val="0"/>
      <w:marBottom w:val="0"/>
      <w:divBdr>
        <w:top w:val="none" w:sz="0" w:space="0" w:color="auto"/>
        <w:left w:val="none" w:sz="0" w:space="0" w:color="auto"/>
        <w:bottom w:val="none" w:sz="0" w:space="0" w:color="auto"/>
        <w:right w:val="none" w:sz="0" w:space="0" w:color="auto"/>
      </w:divBdr>
    </w:div>
    <w:div w:id="2099983030">
      <w:bodyDiv w:val="1"/>
      <w:marLeft w:val="0"/>
      <w:marRight w:val="0"/>
      <w:marTop w:val="0"/>
      <w:marBottom w:val="0"/>
      <w:divBdr>
        <w:top w:val="none" w:sz="0" w:space="0" w:color="auto"/>
        <w:left w:val="none" w:sz="0" w:space="0" w:color="auto"/>
        <w:bottom w:val="none" w:sz="0" w:space="0" w:color="auto"/>
        <w:right w:val="none" w:sz="0" w:space="0" w:color="auto"/>
      </w:divBdr>
    </w:div>
    <w:div w:id="2100059988">
      <w:bodyDiv w:val="1"/>
      <w:marLeft w:val="0"/>
      <w:marRight w:val="0"/>
      <w:marTop w:val="0"/>
      <w:marBottom w:val="0"/>
      <w:divBdr>
        <w:top w:val="none" w:sz="0" w:space="0" w:color="auto"/>
        <w:left w:val="none" w:sz="0" w:space="0" w:color="auto"/>
        <w:bottom w:val="none" w:sz="0" w:space="0" w:color="auto"/>
        <w:right w:val="none" w:sz="0" w:space="0" w:color="auto"/>
      </w:divBdr>
    </w:div>
    <w:div w:id="2100060126">
      <w:bodyDiv w:val="1"/>
      <w:marLeft w:val="0"/>
      <w:marRight w:val="0"/>
      <w:marTop w:val="0"/>
      <w:marBottom w:val="0"/>
      <w:divBdr>
        <w:top w:val="none" w:sz="0" w:space="0" w:color="auto"/>
        <w:left w:val="none" w:sz="0" w:space="0" w:color="auto"/>
        <w:bottom w:val="none" w:sz="0" w:space="0" w:color="auto"/>
        <w:right w:val="none" w:sz="0" w:space="0" w:color="auto"/>
      </w:divBdr>
    </w:div>
    <w:div w:id="2100128770">
      <w:bodyDiv w:val="1"/>
      <w:marLeft w:val="0"/>
      <w:marRight w:val="0"/>
      <w:marTop w:val="0"/>
      <w:marBottom w:val="0"/>
      <w:divBdr>
        <w:top w:val="none" w:sz="0" w:space="0" w:color="auto"/>
        <w:left w:val="none" w:sz="0" w:space="0" w:color="auto"/>
        <w:bottom w:val="none" w:sz="0" w:space="0" w:color="auto"/>
        <w:right w:val="none" w:sz="0" w:space="0" w:color="auto"/>
      </w:divBdr>
    </w:div>
    <w:div w:id="2100131394">
      <w:bodyDiv w:val="1"/>
      <w:marLeft w:val="0"/>
      <w:marRight w:val="0"/>
      <w:marTop w:val="0"/>
      <w:marBottom w:val="0"/>
      <w:divBdr>
        <w:top w:val="none" w:sz="0" w:space="0" w:color="auto"/>
        <w:left w:val="none" w:sz="0" w:space="0" w:color="auto"/>
        <w:bottom w:val="none" w:sz="0" w:space="0" w:color="auto"/>
        <w:right w:val="none" w:sz="0" w:space="0" w:color="auto"/>
      </w:divBdr>
    </w:div>
    <w:div w:id="2100171088">
      <w:bodyDiv w:val="1"/>
      <w:marLeft w:val="0"/>
      <w:marRight w:val="0"/>
      <w:marTop w:val="0"/>
      <w:marBottom w:val="0"/>
      <w:divBdr>
        <w:top w:val="none" w:sz="0" w:space="0" w:color="auto"/>
        <w:left w:val="none" w:sz="0" w:space="0" w:color="auto"/>
        <w:bottom w:val="none" w:sz="0" w:space="0" w:color="auto"/>
        <w:right w:val="none" w:sz="0" w:space="0" w:color="auto"/>
      </w:divBdr>
    </w:div>
    <w:div w:id="2100171775">
      <w:bodyDiv w:val="1"/>
      <w:marLeft w:val="0"/>
      <w:marRight w:val="0"/>
      <w:marTop w:val="0"/>
      <w:marBottom w:val="0"/>
      <w:divBdr>
        <w:top w:val="none" w:sz="0" w:space="0" w:color="auto"/>
        <w:left w:val="none" w:sz="0" w:space="0" w:color="auto"/>
        <w:bottom w:val="none" w:sz="0" w:space="0" w:color="auto"/>
        <w:right w:val="none" w:sz="0" w:space="0" w:color="auto"/>
      </w:divBdr>
    </w:div>
    <w:div w:id="2100177149">
      <w:bodyDiv w:val="1"/>
      <w:marLeft w:val="0"/>
      <w:marRight w:val="0"/>
      <w:marTop w:val="0"/>
      <w:marBottom w:val="0"/>
      <w:divBdr>
        <w:top w:val="none" w:sz="0" w:space="0" w:color="auto"/>
        <w:left w:val="none" w:sz="0" w:space="0" w:color="auto"/>
        <w:bottom w:val="none" w:sz="0" w:space="0" w:color="auto"/>
        <w:right w:val="none" w:sz="0" w:space="0" w:color="auto"/>
      </w:divBdr>
    </w:div>
    <w:div w:id="2100179524">
      <w:bodyDiv w:val="1"/>
      <w:marLeft w:val="0"/>
      <w:marRight w:val="0"/>
      <w:marTop w:val="0"/>
      <w:marBottom w:val="0"/>
      <w:divBdr>
        <w:top w:val="none" w:sz="0" w:space="0" w:color="auto"/>
        <w:left w:val="none" w:sz="0" w:space="0" w:color="auto"/>
        <w:bottom w:val="none" w:sz="0" w:space="0" w:color="auto"/>
        <w:right w:val="none" w:sz="0" w:space="0" w:color="auto"/>
      </w:divBdr>
    </w:div>
    <w:div w:id="2100247094">
      <w:bodyDiv w:val="1"/>
      <w:marLeft w:val="0"/>
      <w:marRight w:val="0"/>
      <w:marTop w:val="0"/>
      <w:marBottom w:val="0"/>
      <w:divBdr>
        <w:top w:val="none" w:sz="0" w:space="0" w:color="auto"/>
        <w:left w:val="none" w:sz="0" w:space="0" w:color="auto"/>
        <w:bottom w:val="none" w:sz="0" w:space="0" w:color="auto"/>
        <w:right w:val="none" w:sz="0" w:space="0" w:color="auto"/>
      </w:divBdr>
    </w:div>
    <w:div w:id="2100249182">
      <w:bodyDiv w:val="1"/>
      <w:marLeft w:val="0"/>
      <w:marRight w:val="0"/>
      <w:marTop w:val="0"/>
      <w:marBottom w:val="0"/>
      <w:divBdr>
        <w:top w:val="none" w:sz="0" w:space="0" w:color="auto"/>
        <w:left w:val="none" w:sz="0" w:space="0" w:color="auto"/>
        <w:bottom w:val="none" w:sz="0" w:space="0" w:color="auto"/>
        <w:right w:val="none" w:sz="0" w:space="0" w:color="auto"/>
      </w:divBdr>
    </w:div>
    <w:div w:id="2100325295">
      <w:bodyDiv w:val="1"/>
      <w:marLeft w:val="0"/>
      <w:marRight w:val="0"/>
      <w:marTop w:val="0"/>
      <w:marBottom w:val="0"/>
      <w:divBdr>
        <w:top w:val="none" w:sz="0" w:space="0" w:color="auto"/>
        <w:left w:val="none" w:sz="0" w:space="0" w:color="auto"/>
        <w:bottom w:val="none" w:sz="0" w:space="0" w:color="auto"/>
        <w:right w:val="none" w:sz="0" w:space="0" w:color="auto"/>
      </w:divBdr>
    </w:div>
    <w:div w:id="2100523630">
      <w:bodyDiv w:val="1"/>
      <w:marLeft w:val="0"/>
      <w:marRight w:val="0"/>
      <w:marTop w:val="0"/>
      <w:marBottom w:val="0"/>
      <w:divBdr>
        <w:top w:val="none" w:sz="0" w:space="0" w:color="auto"/>
        <w:left w:val="none" w:sz="0" w:space="0" w:color="auto"/>
        <w:bottom w:val="none" w:sz="0" w:space="0" w:color="auto"/>
        <w:right w:val="none" w:sz="0" w:space="0" w:color="auto"/>
      </w:divBdr>
    </w:div>
    <w:div w:id="2100635366">
      <w:bodyDiv w:val="1"/>
      <w:marLeft w:val="0"/>
      <w:marRight w:val="0"/>
      <w:marTop w:val="0"/>
      <w:marBottom w:val="0"/>
      <w:divBdr>
        <w:top w:val="none" w:sz="0" w:space="0" w:color="auto"/>
        <w:left w:val="none" w:sz="0" w:space="0" w:color="auto"/>
        <w:bottom w:val="none" w:sz="0" w:space="0" w:color="auto"/>
        <w:right w:val="none" w:sz="0" w:space="0" w:color="auto"/>
      </w:divBdr>
    </w:div>
    <w:div w:id="2100759222">
      <w:bodyDiv w:val="1"/>
      <w:marLeft w:val="0"/>
      <w:marRight w:val="0"/>
      <w:marTop w:val="0"/>
      <w:marBottom w:val="0"/>
      <w:divBdr>
        <w:top w:val="none" w:sz="0" w:space="0" w:color="auto"/>
        <w:left w:val="none" w:sz="0" w:space="0" w:color="auto"/>
        <w:bottom w:val="none" w:sz="0" w:space="0" w:color="auto"/>
        <w:right w:val="none" w:sz="0" w:space="0" w:color="auto"/>
      </w:divBdr>
    </w:div>
    <w:div w:id="2100783465">
      <w:bodyDiv w:val="1"/>
      <w:marLeft w:val="0"/>
      <w:marRight w:val="0"/>
      <w:marTop w:val="0"/>
      <w:marBottom w:val="0"/>
      <w:divBdr>
        <w:top w:val="none" w:sz="0" w:space="0" w:color="auto"/>
        <w:left w:val="none" w:sz="0" w:space="0" w:color="auto"/>
        <w:bottom w:val="none" w:sz="0" w:space="0" w:color="auto"/>
        <w:right w:val="none" w:sz="0" w:space="0" w:color="auto"/>
      </w:divBdr>
    </w:div>
    <w:div w:id="2100829668">
      <w:bodyDiv w:val="1"/>
      <w:marLeft w:val="0"/>
      <w:marRight w:val="0"/>
      <w:marTop w:val="0"/>
      <w:marBottom w:val="0"/>
      <w:divBdr>
        <w:top w:val="none" w:sz="0" w:space="0" w:color="auto"/>
        <w:left w:val="none" w:sz="0" w:space="0" w:color="auto"/>
        <w:bottom w:val="none" w:sz="0" w:space="0" w:color="auto"/>
        <w:right w:val="none" w:sz="0" w:space="0" w:color="auto"/>
      </w:divBdr>
    </w:div>
    <w:div w:id="2100831139">
      <w:bodyDiv w:val="1"/>
      <w:marLeft w:val="0"/>
      <w:marRight w:val="0"/>
      <w:marTop w:val="0"/>
      <w:marBottom w:val="0"/>
      <w:divBdr>
        <w:top w:val="none" w:sz="0" w:space="0" w:color="auto"/>
        <w:left w:val="none" w:sz="0" w:space="0" w:color="auto"/>
        <w:bottom w:val="none" w:sz="0" w:space="0" w:color="auto"/>
        <w:right w:val="none" w:sz="0" w:space="0" w:color="auto"/>
      </w:divBdr>
    </w:div>
    <w:div w:id="2101025813">
      <w:bodyDiv w:val="1"/>
      <w:marLeft w:val="0"/>
      <w:marRight w:val="0"/>
      <w:marTop w:val="0"/>
      <w:marBottom w:val="0"/>
      <w:divBdr>
        <w:top w:val="none" w:sz="0" w:space="0" w:color="auto"/>
        <w:left w:val="none" w:sz="0" w:space="0" w:color="auto"/>
        <w:bottom w:val="none" w:sz="0" w:space="0" w:color="auto"/>
        <w:right w:val="none" w:sz="0" w:space="0" w:color="auto"/>
      </w:divBdr>
    </w:div>
    <w:div w:id="2101219971">
      <w:bodyDiv w:val="1"/>
      <w:marLeft w:val="0"/>
      <w:marRight w:val="0"/>
      <w:marTop w:val="0"/>
      <w:marBottom w:val="0"/>
      <w:divBdr>
        <w:top w:val="none" w:sz="0" w:space="0" w:color="auto"/>
        <w:left w:val="none" w:sz="0" w:space="0" w:color="auto"/>
        <w:bottom w:val="none" w:sz="0" w:space="0" w:color="auto"/>
        <w:right w:val="none" w:sz="0" w:space="0" w:color="auto"/>
      </w:divBdr>
    </w:div>
    <w:div w:id="2101288324">
      <w:bodyDiv w:val="1"/>
      <w:marLeft w:val="0"/>
      <w:marRight w:val="0"/>
      <w:marTop w:val="0"/>
      <w:marBottom w:val="0"/>
      <w:divBdr>
        <w:top w:val="none" w:sz="0" w:space="0" w:color="auto"/>
        <w:left w:val="none" w:sz="0" w:space="0" w:color="auto"/>
        <w:bottom w:val="none" w:sz="0" w:space="0" w:color="auto"/>
        <w:right w:val="none" w:sz="0" w:space="0" w:color="auto"/>
      </w:divBdr>
    </w:div>
    <w:div w:id="2101367675">
      <w:bodyDiv w:val="1"/>
      <w:marLeft w:val="0"/>
      <w:marRight w:val="0"/>
      <w:marTop w:val="0"/>
      <w:marBottom w:val="0"/>
      <w:divBdr>
        <w:top w:val="none" w:sz="0" w:space="0" w:color="auto"/>
        <w:left w:val="none" w:sz="0" w:space="0" w:color="auto"/>
        <w:bottom w:val="none" w:sz="0" w:space="0" w:color="auto"/>
        <w:right w:val="none" w:sz="0" w:space="0" w:color="auto"/>
      </w:divBdr>
    </w:div>
    <w:div w:id="2101369562">
      <w:bodyDiv w:val="1"/>
      <w:marLeft w:val="0"/>
      <w:marRight w:val="0"/>
      <w:marTop w:val="0"/>
      <w:marBottom w:val="0"/>
      <w:divBdr>
        <w:top w:val="none" w:sz="0" w:space="0" w:color="auto"/>
        <w:left w:val="none" w:sz="0" w:space="0" w:color="auto"/>
        <w:bottom w:val="none" w:sz="0" w:space="0" w:color="auto"/>
        <w:right w:val="none" w:sz="0" w:space="0" w:color="auto"/>
      </w:divBdr>
    </w:div>
    <w:div w:id="2101371891">
      <w:bodyDiv w:val="1"/>
      <w:marLeft w:val="0"/>
      <w:marRight w:val="0"/>
      <w:marTop w:val="0"/>
      <w:marBottom w:val="0"/>
      <w:divBdr>
        <w:top w:val="none" w:sz="0" w:space="0" w:color="auto"/>
        <w:left w:val="none" w:sz="0" w:space="0" w:color="auto"/>
        <w:bottom w:val="none" w:sz="0" w:space="0" w:color="auto"/>
        <w:right w:val="none" w:sz="0" w:space="0" w:color="auto"/>
      </w:divBdr>
    </w:div>
    <w:div w:id="2101564007">
      <w:bodyDiv w:val="1"/>
      <w:marLeft w:val="0"/>
      <w:marRight w:val="0"/>
      <w:marTop w:val="0"/>
      <w:marBottom w:val="0"/>
      <w:divBdr>
        <w:top w:val="none" w:sz="0" w:space="0" w:color="auto"/>
        <w:left w:val="none" w:sz="0" w:space="0" w:color="auto"/>
        <w:bottom w:val="none" w:sz="0" w:space="0" w:color="auto"/>
        <w:right w:val="none" w:sz="0" w:space="0" w:color="auto"/>
      </w:divBdr>
    </w:div>
    <w:div w:id="2101638482">
      <w:bodyDiv w:val="1"/>
      <w:marLeft w:val="0"/>
      <w:marRight w:val="0"/>
      <w:marTop w:val="0"/>
      <w:marBottom w:val="0"/>
      <w:divBdr>
        <w:top w:val="none" w:sz="0" w:space="0" w:color="auto"/>
        <w:left w:val="none" w:sz="0" w:space="0" w:color="auto"/>
        <w:bottom w:val="none" w:sz="0" w:space="0" w:color="auto"/>
        <w:right w:val="none" w:sz="0" w:space="0" w:color="auto"/>
      </w:divBdr>
    </w:div>
    <w:div w:id="2101679514">
      <w:bodyDiv w:val="1"/>
      <w:marLeft w:val="0"/>
      <w:marRight w:val="0"/>
      <w:marTop w:val="0"/>
      <w:marBottom w:val="0"/>
      <w:divBdr>
        <w:top w:val="none" w:sz="0" w:space="0" w:color="auto"/>
        <w:left w:val="none" w:sz="0" w:space="0" w:color="auto"/>
        <w:bottom w:val="none" w:sz="0" w:space="0" w:color="auto"/>
        <w:right w:val="none" w:sz="0" w:space="0" w:color="auto"/>
      </w:divBdr>
    </w:div>
    <w:div w:id="2101758808">
      <w:bodyDiv w:val="1"/>
      <w:marLeft w:val="0"/>
      <w:marRight w:val="0"/>
      <w:marTop w:val="0"/>
      <w:marBottom w:val="0"/>
      <w:divBdr>
        <w:top w:val="none" w:sz="0" w:space="0" w:color="auto"/>
        <w:left w:val="none" w:sz="0" w:space="0" w:color="auto"/>
        <w:bottom w:val="none" w:sz="0" w:space="0" w:color="auto"/>
        <w:right w:val="none" w:sz="0" w:space="0" w:color="auto"/>
      </w:divBdr>
    </w:div>
    <w:div w:id="2101829834">
      <w:bodyDiv w:val="1"/>
      <w:marLeft w:val="0"/>
      <w:marRight w:val="0"/>
      <w:marTop w:val="0"/>
      <w:marBottom w:val="0"/>
      <w:divBdr>
        <w:top w:val="none" w:sz="0" w:space="0" w:color="auto"/>
        <w:left w:val="none" w:sz="0" w:space="0" w:color="auto"/>
        <w:bottom w:val="none" w:sz="0" w:space="0" w:color="auto"/>
        <w:right w:val="none" w:sz="0" w:space="0" w:color="auto"/>
      </w:divBdr>
    </w:div>
    <w:div w:id="2101830425">
      <w:bodyDiv w:val="1"/>
      <w:marLeft w:val="0"/>
      <w:marRight w:val="0"/>
      <w:marTop w:val="0"/>
      <w:marBottom w:val="0"/>
      <w:divBdr>
        <w:top w:val="none" w:sz="0" w:space="0" w:color="auto"/>
        <w:left w:val="none" w:sz="0" w:space="0" w:color="auto"/>
        <w:bottom w:val="none" w:sz="0" w:space="0" w:color="auto"/>
        <w:right w:val="none" w:sz="0" w:space="0" w:color="auto"/>
      </w:divBdr>
    </w:div>
    <w:div w:id="2101872423">
      <w:bodyDiv w:val="1"/>
      <w:marLeft w:val="0"/>
      <w:marRight w:val="0"/>
      <w:marTop w:val="0"/>
      <w:marBottom w:val="0"/>
      <w:divBdr>
        <w:top w:val="none" w:sz="0" w:space="0" w:color="auto"/>
        <w:left w:val="none" w:sz="0" w:space="0" w:color="auto"/>
        <w:bottom w:val="none" w:sz="0" w:space="0" w:color="auto"/>
        <w:right w:val="none" w:sz="0" w:space="0" w:color="auto"/>
      </w:divBdr>
    </w:div>
    <w:div w:id="2101947062">
      <w:bodyDiv w:val="1"/>
      <w:marLeft w:val="0"/>
      <w:marRight w:val="0"/>
      <w:marTop w:val="0"/>
      <w:marBottom w:val="0"/>
      <w:divBdr>
        <w:top w:val="none" w:sz="0" w:space="0" w:color="auto"/>
        <w:left w:val="none" w:sz="0" w:space="0" w:color="auto"/>
        <w:bottom w:val="none" w:sz="0" w:space="0" w:color="auto"/>
        <w:right w:val="none" w:sz="0" w:space="0" w:color="auto"/>
      </w:divBdr>
    </w:div>
    <w:div w:id="2101952450">
      <w:bodyDiv w:val="1"/>
      <w:marLeft w:val="0"/>
      <w:marRight w:val="0"/>
      <w:marTop w:val="0"/>
      <w:marBottom w:val="0"/>
      <w:divBdr>
        <w:top w:val="none" w:sz="0" w:space="0" w:color="auto"/>
        <w:left w:val="none" w:sz="0" w:space="0" w:color="auto"/>
        <w:bottom w:val="none" w:sz="0" w:space="0" w:color="auto"/>
        <w:right w:val="none" w:sz="0" w:space="0" w:color="auto"/>
      </w:divBdr>
    </w:div>
    <w:div w:id="2102027158">
      <w:bodyDiv w:val="1"/>
      <w:marLeft w:val="0"/>
      <w:marRight w:val="0"/>
      <w:marTop w:val="0"/>
      <w:marBottom w:val="0"/>
      <w:divBdr>
        <w:top w:val="none" w:sz="0" w:space="0" w:color="auto"/>
        <w:left w:val="none" w:sz="0" w:space="0" w:color="auto"/>
        <w:bottom w:val="none" w:sz="0" w:space="0" w:color="auto"/>
        <w:right w:val="none" w:sz="0" w:space="0" w:color="auto"/>
      </w:divBdr>
    </w:div>
    <w:div w:id="2102219306">
      <w:bodyDiv w:val="1"/>
      <w:marLeft w:val="0"/>
      <w:marRight w:val="0"/>
      <w:marTop w:val="0"/>
      <w:marBottom w:val="0"/>
      <w:divBdr>
        <w:top w:val="none" w:sz="0" w:space="0" w:color="auto"/>
        <w:left w:val="none" w:sz="0" w:space="0" w:color="auto"/>
        <w:bottom w:val="none" w:sz="0" w:space="0" w:color="auto"/>
        <w:right w:val="none" w:sz="0" w:space="0" w:color="auto"/>
      </w:divBdr>
    </w:div>
    <w:div w:id="2102294485">
      <w:bodyDiv w:val="1"/>
      <w:marLeft w:val="0"/>
      <w:marRight w:val="0"/>
      <w:marTop w:val="0"/>
      <w:marBottom w:val="0"/>
      <w:divBdr>
        <w:top w:val="none" w:sz="0" w:space="0" w:color="auto"/>
        <w:left w:val="none" w:sz="0" w:space="0" w:color="auto"/>
        <w:bottom w:val="none" w:sz="0" w:space="0" w:color="auto"/>
        <w:right w:val="none" w:sz="0" w:space="0" w:color="auto"/>
      </w:divBdr>
    </w:div>
    <w:div w:id="2102333752">
      <w:bodyDiv w:val="1"/>
      <w:marLeft w:val="0"/>
      <w:marRight w:val="0"/>
      <w:marTop w:val="0"/>
      <w:marBottom w:val="0"/>
      <w:divBdr>
        <w:top w:val="none" w:sz="0" w:space="0" w:color="auto"/>
        <w:left w:val="none" w:sz="0" w:space="0" w:color="auto"/>
        <w:bottom w:val="none" w:sz="0" w:space="0" w:color="auto"/>
        <w:right w:val="none" w:sz="0" w:space="0" w:color="auto"/>
      </w:divBdr>
    </w:div>
    <w:div w:id="2102334589">
      <w:bodyDiv w:val="1"/>
      <w:marLeft w:val="0"/>
      <w:marRight w:val="0"/>
      <w:marTop w:val="0"/>
      <w:marBottom w:val="0"/>
      <w:divBdr>
        <w:top w:val="none" w:sz="0" w:space="0" w:color="auto"/>
        <w:left w:val="none" w:sz="0" w:space="0" w:color="auto"/>
        <w:bottom w:val="none" w:sz="0" w:space="0" w:color="auto"/>
        <w:right w:val="none" w:sz="0" w:space="0" w:color="auto"/>
      </w:divBdr>
    </w:div>
    <w:div w:id="2102411266">
      <w:bodyDiv w:val="1"/>
      <w:marLeft w:val="0"/>
      <w:marRight w:val="0"/>
      <w:marTop w:val="0"/>
      <w:marBottom w:val="0"/>
      <w:divBdr>
        <w:top w:val="none" w:sz="0" w:space="0" w:color="auto"/>
        <w:left w:val="none" w:sz="0" w:space="0" w:color="auto"/>
        <w:bottom w:val="none" w:sz="0" w:space="0" w:color="auto"/>
        <w:right w:val="none" w:sz="0" w:space="0" w:color="auto"/>
      </w:divBdr>
    </w:div>
    <w:div w:id="2102485410">
      <w:bodyDiv w:val="1"/>
      <w:marLeft w:val="0"/>
      <w:marRight w:val="0"/>
      <w:marTop w:val="0"/>
      <w:marBottom w:val="0"/>
      <w:divBdr>
        <w:top w:val="none" w:sz="0" w:space="0" w:color="auto"/>
        <w:left w:val="none" w:sz="0" w:space="0" w:color="auto"/>
        <w:bottom w:val="none" w:sz="0" w:space="0" w:color="auto"/>
        <w:right w:val="none" w:sz="0" w:space="0" w:color="auto"/>
      </w:divBdr>
    </w:div>
    <w:div w:id="2102486602">
      <w:bodyDiv w:val="1"/>
      <w:marLeft w:val="0"/>
      <w:marRight w:val="0"/>
      <w:marTop w:val="0"/>
      <w:marBottom w:val="0"/>
      <w:divBdr>
        <w:top w:val="none" w:sz="0" w:space="0" w:color="auto"/>
        <w:left w:val="none" w:sz="0" w:space="0" w:color="auto"/>
        <w:bottom w:val="none" w:sz="0" w:space="0" w:color="auto"/>
        <w:right w:val="none" w:sz="0" w:space="0" w:color="auto"/>
      </w:divBdr>
    </w:div>
    <w:div w:id="2102682715">
      <w:bodyDiv w:val="1"/>
      <w:marLeft w:val="0"/>
      <w:marRight w:val="0"/>
      <w:marTop w:val="0"/>
      <w:marBottom w:val="0"/>
      <w:divBdr>
        <w:top w:val="none" w:sz="0" w:space="0" w:color="auto"/>
        <w:left w:val="none" w:sz="0" w:space="0" w:color="auto"/>
        <w:bottom w:val="none" w:sz="0" w:space="0" w:color="auto"/>
        <w:right w:val="none" w:sz="0" w:space="0" w:color="auto"/>
      </w:divBdr>
    </w:div>
    <w:div w:id="2103140104">
      <w:bodyDiv w:val="1"/>
      <w:marLeft w:val="0"/>
      <w:marRight w:val="0"/>
      <w:marTop w:val="0"/>
      <w:marBottom w:val="0"/>
      <w:divBdr>
        <w:top w:val="none" w:sz="0" w:space="0" w:color="auto"/>
        <w:left w:val="none" w:sz="0" w:space="0" w:color="auto"/>
        <w:bottom w:val="none" w:sz="0" w:space="0" w:color="auto"/>
        <w:right w:val="none" w:sz="0" w:space="0" w:color="auto"/>
      </w:divBdr>
    </w:div>
    <w:div w:id="2103142893">
      <w:bodyDiv w:val="1"/>
      <w:marLeft w:val="0"/>
      <w:marRight w:val="0"/>
      <w:marTop w:val="0"/>
      <w:marBottom w:val="0"/>
      <w:divBdr>
        <w:top w:val="none" w:sz="0" w:space="0" w:color="auto"/>
        <w:left w:val="none" w:sz="0" w:space="0" w:color="auto"/>
        <w:bottom w:val="none" w:sz="0" w:space="0" w:color="auto"/>
        <w:right w:val="none" w:sz="0" w:space="0" w:color="auto"/>
      </w:divBdr>
    </w:div>
    <w:div w:id="2103143310">
      <w:bodyDiv w:val="1"/>
      <w:marLeft w:val="0"/>
      <w:marRight w:val="0"/>
      <w:marTop w:val="0"/>
      <w:marBottom w:val="0"/>
      <w:divBdr>
        <w:top w:val="none" w:sz="0" w:space="0" w:color="auto"/>
        <w:left w:val="none" w:sz="0" w:space="0" w:color="auto"/>
        <w:bottom w:val="none" w:sz="0" w:space="0" w:color="auto"/>
        <w:right w:val="none" w:sz="0" w:space="0" w:color="auto"/>
      </w:divBdr>
    </w:div>
    <w:div w:id="2103182900">
      <w:bodyDiv w:val="1"/>
      <w:marLeft w:val="0"/>
      <w:marRight w:val="0"/>
      <w:marTop w:val="0"/>
      <w:marBottom w:val="0"/>
      <w:divBdr>
        <w:top w:val="none" w:sz="0" w:space="0" w:color="auto"/>
        <w:left w:val="none" w:sz="0" w:space="0" w:color="auto"/>
        <w:bottom w:val="none" w:sz="0" w:space="0" w:color="auto"/>
        <w:right w:val="none" w:sz="0" w:space="0" w:color="auto"/>
      </w:divBdr>
    </w:div>
    <w:div w:id="2103183220">
      <w:bodyDiv w:val="1"/>
      <w:marLeft w:val="0"/>
      <w:marRight w:val="0"/>
      <w:marTop w:val="0"/>
      <w:marBottom w:val="0"/>
      <w:divBdr>
        <w:top w:val="none" w:sz="0" w:space="0" w:color="auto"/>
        <w:left w:val="none" w:sz="0" w:space="0" w:color="auto"/>
        <w:bottom w:val="none" w:sz="0" w:space="0" w:color="auto"/>
        <w:right w:val="none" w:sz="0" w:space="0" w:color="auto"/>
      </w:divBdr>
    </w:div>
    <w:div w:id="2103212273">
      <w:bodyDiv w:val="1"/>
      <w:marLeft w:val="0"/>
      <w:marRight w:val="0"/>
      <w:marTop w:val="0"/>
      <w:marBottom w:val="0"/>
      <w:divBdr>
        <w:top w:val="none" w:sz="0" w:space="0" w:color="auto"/>
        <w:left w:val="none" w:sz="0" w:space="0" w:color="auto"/>
        <w:bottom w:val="none" w:sz="0" w:space="0" w:color="auto"/>
        <w:right w:val="none" w:sz="0" w:space="0" w:color="auto"/>
      </w:divBdr>
    </w:div>
    <w:div w:id="2103258471">
      <w:bodyDiv w:val="1"/>
      <w:marLeft w:val="0"/>
      <w:marRight w:val="0"/>
      <w:marTop w:val="0"/>
      <w:marBottom w:val="0"/>
      <w:divBdr>
        <w:top w:val="none" w:sz="0" w:space="0" w:color="auto"/>
        <w:left w:val="none" w:sz="0" w:space="0" w:color="auto"/>
        <w:bottom w:val="none" w:sz="0" w:space="0" w:color="auto"/>
        <w:right w:val="none" w:sz="0" w:space="0" w:color="auto"/>
      </w:divBdr>
    </w:div>
    <w:div w:id="2103407485">
      <w:bodyDiv w:val="1"/>
      <w:marLeft w:val="0"/>
      <w:marRight w:val="0"/>
      <w:marTop w:val="0"/>
      <w:marBottom w:val="0"/>
      <w:divBdr>
        <w:top w:val="none" w:sz="0" w:space="0" w:color="auto"/>
        <w:left w:val="none" w:sz="0" w:space="0" w:color="auto"/>
        <w:bottom w:val="none" w:sz="0" w:space="0" w:color="auto"/>
        <w:right w:val="none" w:sz="0" w:space="0" w:color="auto"/>
      </w:divBdr>
    </w:div>
    <w:div w:id="2103450849">
      <w:bodyDiv w:val="1"/>
      <w:marLeft w:val="0"/>
      <w:marRight w:val="0"/>
      <w:marTop w:val="0"/>
      <w:marBottom w:val="0"/>
      <w:divBdr>
        <w:top w:val="none" w:sz="0" w:space="0" w:color="auto"/>
        <w:left w:val="none" w:sz="0" w:space="0" w:color="auto"/>
        <w:bottom w:val="none" w:sz="0" w:space="0" w:color="auto"/>
        <w:right w:val="none" w:sz="0" w:space="0" w:color="auto"/>
      </w:divBdr>
    </w:div>
    <w:div w:id="2103453495">
      <w:bodyDiv w:val="1"/>
      <w:marLeft w:val="0"/>
      <w:marRight w:val="0"/>
      <w:marTop w:val="0"/>
      <w:marBottom w:val="0"/>
      <w:divBdr>
        <w:top w:val="none" w:sz="0" w:space="0" w:color="auto"/>
        <w:left w:val="none" w:sz="0" w:space="0" w:color="auto"/>
        <w:bottom w:val="none" w:sz="0" w:space="0" w:color="auto"/>
        <w:right w:val="none" w:sz="0" w:space="0" w:color="auto"/>
      </w:divBdr>
    </w:div>
    <w:div w:id="2103603989">
      <w:bodyDiv w:val="1"/>
      <w:marLeft w:val="0"/>
      <w:marRight w:val="0"/>
      <w:marTop w:val="0"/>
      <w:marBottom w:val="0"/>
      <w:divBdr>
        <w:top w:val="none" w:sz="0" w:space="0" w:color="auto"/>
        <w:left w:val="none" w:sz="0" w:space="0" w:color="auto"/>
        <w:bottom w:val="none" w:sz="0" w:space="0" w:color="auto"/>
        <w:right w:val="none" w:sz="0" w:space="0" w:color="auto"/>
      </w:divBdr>
    </w:div>
    <w:div w:id="2103604898">
      <w:bodyDiv w:val="1"/>
      <w:marLeft w:val="0"/>
      <w:marRight w:val="0"/>
      <w:marTop w:val="0"/>
      <w:marBottom w:val="0"/>
      <w:divBdr>
        <w:top w:val="none" w:sz="0" w:space="0" w:color="auto"/>
        <w:left w:val="none" w:sz="0" w:space="0" w:color="auto"/>
        <w:bottom w:val="none" w:sz="0" w:space="0" w:color="auto"/>
        <w:right w:val="none" w:sz="0" w:space="0" w:color="auto"/>
      </w:divBdr>
    </w:div>
    <w:div w:id="2103722593">
      <w:bodyDiv w:val="1"/>
      <w:marLeft w:val="0"/>
      <w:marRight w:val="0"/>
      <w:marTop w:val="0"/>
      <w:marBottom w:val="0"/>
      <w:divBdr>
        <w:top w:val="none" w:sz="0" w:space="0" w:color="auto"/>
        <w:left w:val="none" w:sz="0" w:space="0" w:color="auto"/>
        <w:bottom w:val="none" w:sz="0" w:space="0" w:color="auto"/>
        <w:right w:val="none" w:sz="0" w:space="0" w:color="auto"/>
      </w:divBdr>
    </w:div>
    <w:div w:id="2103794111">
      <w:bodyDiv w:val="1"/>
      <w:marLeft w:val="0"/>
      <w:marRight w:val="0"/>
      <w:marTop w:val="0"/>
      <w:marBottom w:val="0"/>
      <w:divBdr>
        <w:top w:val="none" w:sz="0" w:space="0" w:color="auto"/>
        <w:left w:val="none" w:sz="0" w:space="0" w:color="auto"/>
        <w:bottom w:val="none" w:sz="0" w:space="0" w:color="auto"/>
        <w:right w:val="none" w:sz="0" w:space="0" w:color="auto"/>
      </w:divBdr>
    </w:div>
    <w:div w:id="2103918178">
      <w:bodyDiv w:val="1"/>
      <w:marLeft w:val="0"/>
      <w:marRight w:val="0"/>
      <w:marTop w:val="0"/>
      <w:marBottom w:val="0"/>
      <w:divBdr>
        <w:top w:val="none" w:sz="0" w:space="0" w:color="auto"/>
        <w:left w:val="none" w:sz="0" w:space="0" w:color="auto"/>
        <w:bottom w:val="none" w:sz="0" w:space="0" w:color="auto"/>
        <w:right w:val="none" w:sz="0" w:space="0" w:color="auto"/>
      </w:divBdr>
    </w:div>
    <w:div w:id="2104102931">
      <w:bodyDiv w:val="1"/>
      <w:marLeft w:val="0"/>
      <w:marRight w:val="0"/>
      <w:marTop w:val="0"/>
      <w:marBottom w:val="0"/>
      <w:divBdr>
        <w:top w:val="none" w:sz="0" w:space="0" w:color="auto"/>
        <w:left w:val="none" w:sz="0" w:space="0" w:color="auto"/>
        <w:bottom w:val="none" w:sz="0" w:space="0" w:color="auto"/>
        <w:right w:val="none" w:sz="0" w:space="0" w:color="auto"/>
      </w:divBdr>
    </w:div>
    <w:div w:id="2104110464">
      <w:bodyDiv w:val="1"/>
      <w:marLeft w:val="0"/>
      <w:marRight w:val="0"/>
      <w:marTop w:val="0"/>
      <w:marBottom w:val="0"/>
      <w:divBdr>
        <w:top w:val="none" w:sz="0" w:space="0" w:color="auto"/>
        <w:left w:val="none" w:sz="0" w:space="0" w:color="auto"/>
        <w:bottom w:val="none" w:sz="0" w:space="0" w:color="auto"/>
        <w:right w:val="none" w:sz="0" w:space="0" w:color="auto"/>
      </w:divBdr>
    </w:div>
    <w:div w:id="2104178563">
      <w:bodyDiv w:val="1"/>
      <w:marLeft w:val="0"/>
      <w:marRight w:val="0"/>
      <w:marTop w:val="0"/>
      <w:marBottom w:val="0"/>
      <w:divBdr>
        <w:top w:val="none" w:sz="0" w:space="0" w:color="auto"/>
        <w:left w:val="none" w:sz="0" w:space="0" w:color="auto"/>
        <w:bottom w:val="none" w:sz="0" w:space="0" w:color="auto"/>
        <w:right w:val="none" w:sz="0" w:space="0" w:color="auto"/>
      </w:divBdr>
    </w:div>
    <w:div w:id="2104183152">
      <w:bodyDiv w:val="1"/>
      <w:marLeft w:val="0"/>
      <w:marRight w:val="0"/>
      <w:marTop w:val="0"/>
      <w:marBottom w:val="0"/>
      <w:divBdr>
        <w:top w:val="none" w:sz="0" w:space="0" w:color="auto"/>
        <w:left w:val="none" w:sz="0" w:space="0" w:color="auto"/>
        <w:bottom w:val="none" w:sz="0" w:space="0" w:color="auto"/>
        <w:right w:val="none" w:sz="0" w:space="0" w:color="auto"/>
      </w:divBdr>
    </w:div>
    <w:div w:id="2104184764">
      <w:bodyDiv w:val="1"/>
      <w:marLeft w:val="0"/>
      <w:marRight w:val="0"/>
      <w:marTop w:val="0"/>
      <w:marBottom w:val="0"/>
      <w:divBdr>
        <w:top w:val="none" w:sz="0" w:space="0" w:color="auto"/>
        <w:left w:val="none" w:sz="0" w:space="0" w:color="auto"/>
        <w:bottom w:val="none" w:sz="0" w:space="0" w:color="auto"/>
        <w:right w:val="none" w:sz="0" w:space="0" w:color="auto"/>
      </w:divBdr>
    </w:div>
    <w:div w:id="2104256745">
      <w:bodyDiv w:val="1"/>
      <w:marLeft w:val="0"/>
      <w:marRight w:val="0"/>
      <w:marTop w:val="0"/>
      <w:marBottom w:val="0"/>
      <w:divBdr>
        <w:top w:val="none" w:sz="0" w:space="0" w:color="auto"/>
        <w:left w:val="none" w:sz="0" w:space="0" w:color="auto"/>
        <w:bottom w:val="none" w:sz="0" w:space="0" w:color="auto"/>
        <w:right w:val="none" w:sz="0" w:space="0" w:color="auto"/>
      </w:divBdr>
    </w:div>
    <w:div w:id="2104303839">
      <w:bodyDiv w:val="1"/>
      <w:marLeft w:val="0"/>
      <w:marRight w:val="0"/>
      <w:marTop w:val="0"/>
      <w:marBottom w:val="0"/>
      <w:divBdr>
        <w:top w:val="none" w:sz="0" w:space="0" w:color="auto"/>
        <w:left w:val="none" w:sz="0" w:space="0" w:color="auto"/>
        <w:bottom w:val="none" w:sz="0" w:space="0" w:color="auto"/>
        <w:right w:val="none" w:sz="0" w:space="0" w:color="auto"/>
      </w:divBdr>
    </w:div>
    <w:div w:id="2104376333">
      <w:bodyDiv w:val="1"/>
      <w:marLeft w:val="0"/>
      <w:marRight w:val="0"/>
      <w:marTop w:val="0"/>
      <w:marBottom w:val="0"/>
      <w:divBdr>
        <w:top w:val="none" w:sz="0" w:space="0" w:color="auto"/>
        <w:left w:val="none" w:sz="0" w:space="0" w:color="auto"/>
        <w:bottom w:val="none" w:sz="0" w:space="0" w:color="auto"/>
        <w:right w:val="none" w:sz="0" w:space="0" w:color="auto"/>
      </w:divBdr>
    </w:div>
    <w:div w:id="2104379052">
      <w:bodyDiv w:val="1"/>
      <w:marLeft w:val="0"/>
      <w:marRight w:val="0"/>
      <w:marTop w:val="0"/>
      <w:marBottom w:val="0"/>
      <w:divBdr>
        <w:top w:val="none" w:sz="0" w:space="0" w:color="auto"/>
        <w:left w:val="none" w:sz="0" w:space="0" w:color="auto"/>
        <w:bottom w:val="none" w:sz="0" w:space="0" w:color="auto"/>
        <w:right w:val="none" w:sz="0" w:space="0" w:color="auto"/>
      </w:divBdr>
    </w:div>
    <w:div w:id="2104451468">
      <w:bodyDiv w:val="1"/>
      <w:marLeft w:val="0"/>
      <w:marRight w:val="0"/>
      <w:marTop w:val="0"/>
      <w:marBottom w:val="0"/>
      <w:divBdr>
        <w:top w:val="none" w:sz="0" w:space="0" w:color="auto"/>
        <w:left w:val="none" w:sz="0" w:space="0" w:color="auto"/>
        <w:bottom w:val="none" w:sz="0" w:space="0" w:color="auto"/>
        <w:right w:val="none" w:sz="0" w:space="0" w:color="auto"/>
      </w:divBdr>
    </w:div>
    <w:div w:id="2104572490">
      <w:bodyDiv w:val="1"/>
      <w:marLeft w:val="0"/>
      <w:marRight w:val="0"/>
      <w:marTop w:val="0"/>
      <w:marBottom w:val="0"/>
      <w:divBdr>
        <w:top w:val="none" w:sz="0" w:space="0" w:color="auto"/>
        <w:left w:val="none" w:sz="0" w:space="0" w:color="auto"/>
        <w:bottom w:val="none" w:sz="0" w:space="0" w:color="auto"/>
        <w:right w:val="none" w:sz="0" w:space="0" w:color="auto"/>
      </w:divBdr>
    </w:div>
    <w:div w:id="2104715394">
      <w:bodyDiv w:val="1"/>
      <w:marLeft w:val="0"/>
      <w:marRight w:val="0"/>
      <w:marTop w:val="0"/>
      <w:marBottom w:val="0"/>
      <w:divBdr>
        <w:top w:val="none" w:sz="0" w:space="0" w:color="auto"/>
        <w:left w:val="none" w:sz="0" w:space="0" w:color="auto"/>
        <w:bottom w:val="none" w:sz="0" w:space="0" w:color="auto"/>
        <w:right w:val="none" w:sz="0" w:space="0" w:color="auto"/>
      </w:divBdr>
    </w:div>
    <w:div w:id="2104758727">
      <w:bodyDiv w:val="1"/>
      <w:marLeft w:val="0"/>
      <w:marRight w:val="0"/>
      <w:marTop w:val="0"/>
      <w:marBottom w:val="0"/>
      <w:divBdr>
        <w:top w:val="none" w:sz="0" w:space="0" w:color="auto"/>
        <w:left w:val="none" w:sz="0" w:space="0" w:color="auto"/>
        <w:bottom w:val="none" w:sz="0" w:space="0" w:color="auto"/>
        <w:right w:val="none" w:sz="0" w:space="0" w:color="auto"/>
      </w:divBdr>
    </w:div>
    <w:div w:id="2104837826">
      <w:bodyDiv w:val="1"/>
      <w:marLeft w:val="0"/>
      <w:marRight w:val="0"/>
      <w:marTop w:val="0"/>
      <w:marBottom w:val="0"/>
      <w:divBdr>
        <w:top w:val="none" w:sz="0" w:space="0" w:color="auto"/>
        <w:left w:val="none" w:sz="0" w:space="0" w:color="auto"/>
        <w:bottom w:val="none" w:sz="0" w:space="0" w:color="auto"/>
        <w:right w:val="none" w:sz="0" w:space="0" w:color="auto"/>
      </w:divBdr>
    </w:div>
    <w:div w:id="2105030683">
      <w:bodyDiv w:val="1"/>
      <w:marLeft w:val="0"/>
      <w:marRight w:val="0"/>
      <w:marTop w:val="0"/>
      <w:marBottom w:val="0"/>
      <w:divBdr>
        <w:top w:val="none" w:sz="0" w:space="0" w:color="auto"/>
        <w:left w:val="none" w:sz="0" w:space="0" w:color="auto"/>
        <w:bottom w:val="none" w:sz="0" w:space="0" w:color="auto"/>
        <w:right w:val="none" w:sz="0" w:space="0" w:color="auto"/>
      </w:divBdr>
    </w:div>
    <w:div w:id="2105179640">
      <w:bodyDiv w:val="1"/>
      <w:marLeft w:val="0"/>
      <w:marRight w:val="0"/>
      <w:marTop w:val="0"/>
      <w:marBottom w:val="0"/>
      <w:divBdr>
        <w:top w:val="none" w:sz="0" w:space="0" w:color="auto"/>
        <w:left w:val="none" w:sz="0" w:space="0" w:color="auto"/>
        <w:bottom w:val="none" w:sz="0" w:space="0" w:color="auto"/>
        <w:right w:val="none" w:sz="0" w:space="0" w:color="auto"/>
      </w:divBdr>
    </w:div>
    <w:div w:id="2105179645">
      <w:bodyDiv w:val="1"/>
      <w:marLeft w:val="0"/>
      <w:marRight w:val="0"/>
      <w:marTop w:val="0"/>
      <w:marBottom w:val="0"/>
      <w:divBdr>
        <w:top w:val="none" w:sz="0" w:space="0" w:color="auto"/>
        <w:left w:val="none" w:sz="0" w:space="0" w:color="auto"/>
        <w:bottom w:val="none" w:sz="0" w:space="0" w:color="auto"/>
        <w:right w:val="none" w:sz="0" w:space="0" w:color="auto"/>
      </w:divBdr>
    </w:div>
    <w:div w:id="2105221561">
      <w:bodyDiv w:val="1"/>
      <w:marLeft w:val="0"/>
      <w:marRight w:val="0"/>
      <w:marTop w:val="0"/>
      <w:marBottom w:val="0"/>
      <w:divBdr>
        <w:top w:val="none" w:sz="0" w:space="0" w:color="auto"/>
        <w:left w:val="none" w:sz="0" w:space="0" w:color="auto"/>
        <w:bottom w:val="none" w:sz="0" w:space="0" w:color="auto"/>
        <w:right w:val="none" w:sz="0" w:space="0" w:color="auto"/>
      </w:divBdr>
    </w:div>
    <w:div w:id="2105300009">
      <w:bodyDiv w:val="1"/>
      <w:marLeft w:val="0"/>
      <w:marRight w:val="0"/>
      <w:marTop w:val="0"/>
      <w:marBottom w:val="0"/>
      <w:divBdr>
        <w:top w:val="none" w:sz="0" w:space="0" w:color="auto"/>
        <w:left w:val="none" w:sz="0" w:space="0" w:color="auto"/>
        <w:bottom w:val="none" w:sz="0" w:space="0" w:color="auto"/>
        <w:right w:val="none" w:sz="0" w:space="0" w:color="auto"/>
      </w:divBdr>
    </w:div>
    <w:div w:id="2105301585">
      <w:bodyDiv w:val="1"/>
      <w:marLeft w:val="0"/>
      <w:marRight w:val="0"/>
      <w:marTop w:val="0"/>
      <w:marBottom w:val="0"/>
      <w:divBdr>
        <w:top w:val="none" w:sz="0" w:space="0" w:color="auto"/>
        <w:left w:val="none" w:sz="0" w:space="0" w:color="auto"/>
        <w:bottom w:val="none" w:sz="0" w:space="0" w:color="auto"/>
        <w:right w:val="none" w:sz="0" w:space="0" w:color="auto"/>
      </w:divBdr>
    </w:div>
    <w:div w:id="2105418568">
      <w:bodyDiv w:val="1"/>
      <w:marLeft w:val="0"/>
      <w:marRight w:val="0"/>
      <w:marTop w:val="0"/>
      <w:marBottom w:val="0"/>
      <w:divBdr>
        <w:top w:val="none" w:sz="0" w:space="0" w:color="auto"/>
        <w:left w:val="none" w:sz="0" w:space="0" w:color="auto"/>
        <w:bottom w:val="none" w:sz="0" w:space="0" w:color="auto"/>
        <w:right w:val="none" w:sz="0" w:space="0" w:color="auto"/>
      </w:divBdr>
    </w:div>
    <w:div w:id="2105420392">
      <w:bodyDiv w:val="1"/>
      <w:marLeft w:val="0"/>
      <w:marRight w:val="0"/>
      <w:marTop w:val="0"/>
      <w:marBottom w:val="0"/>
      <w:divBdr>
        <w:top w:val="none" w:sz="0" w:space="0" w:color="auto"/>
        <w:left w:val="none" w:sz="0" w:space="0" w:color="auto"/>
        <w:bottom w:val="none" w:sz="0" w:space="0" w:color="auto"/>
        <w:right w:val="none" w:sz="0" w:space="0" w:color="auto"/>
      </w:divBdr>
    </w:div>
    <w:div w:id="2105609290">
      <w:bodyDiv w:val="1"/>
      <w:marLeft w:val="0"/>
      <w:marRight w:val="0"/>
      <w:marTop w:val="0"/>
      <w:marBottom w:val="0"/>
      <w:divBdr>
        <w:top w:val="none" w:sz="0" w:space="0" w:color="auto"/>
        <w:left w:val="none" w:sz="0" w:space="0" w:color="auto"/>
        <w:bottom w:val="none" w:sz="0" w:space="0" w:color="auto"/>
        <w:right w:val="none" w:sz="0" w:space="0" w:color="auto"/>
      </w:divBdr>
    </w:div>
    <w:div w:id="2105806106">
      <w:bodyDiv w:val="1"/>
      <w:marLeft w:val="0"/>
      <w:marRight w:val="0"/>
      <w:marTop w:val="0"/>
      <w:marBottom w:val="0"/>
      <w:divBdr>
        <w:top w:val="none" w:sz="0" w:space="0" w:color="auto"/>
        <w:left w:val="none" w:sz="0" w:space="0" w:color="auto"/>
        <w:bottom w:val="none" w:sz="0" w:space="0" w:color="auto"/>
        <w:right w:val="none" w:sz="0" w:space="0" w:color="auto"/>
      </w:divBdr>
    </w:div>
    <w:div w:id="2105879435">
      <w:bodyDiv w:val="1"/>
      <w:marLeft w:val="0"/>
      <w:marRight w:val="0"/>
      <w:marTop w:val="0"/>
      <w:marBottom w:val="0"/>
      <w:divBdr>
        <w:top w:val="none" w:sz="0" w:space="0" w:color="auto"/>
        <w:left w:val="none" w:sz="0" w:space="0" w:color="auto"/>
        <w:bottom w:val="none" w:sz="0" w:space="0" w:color="auto"/>
        <w:right w:val="none" w:sz="0" w:space="0" w:color="auto"/>
      </w:divBdr>
    </w:div>
    <w:div w:id="2105952284">
      <w:bodyDiv w:val="1"/>
      <w:marLeft w:val="0"/>
      <w:marRight w:val="0"/>
      <w:marTop w:val="0"/>
      <w:marBottom w:val="0"/>
      <w:divBdr>
        <w:top w:val="none" w:sz="0" w:space="0" w:color="auto"/>
        <w:left w:val="none" w:sz="0" w:space="0" w:color="auto"/>
        <w:bottom w:val="none" w:sz="0" w:space="0" w:color="auto"/>
        <w:right w:val="none" w:sz="0" w:space="0" w:color="auto"/>
      </w:divBdr>
    </w:div>
    <w:div w:id="2105958579">
      <w:bodyDiv w:val="1"/>
      <w:marLeft w:val="0"/>
      <w:marRight w:val="0"/>
      <w:marTop w:val="0"/>
      <w:marBottom w:val="0"/>
      <w:divBdr>
        <w:top w:val="none" w:sz="0" w:space="0" w:color="auto"/>
        <w:left w:val="none" w:sz="0" w:space="0" w:color="auto"/>
        <w:bottom w:val="none" w:sz="0" w:space="0" w:color="auto"/>
        <w:right w:val="none" w:sz="0" w:space="0" w:color="auto"/>
      </w:divBdr>
    </w:div>
    <w:div w:id="2105959587">
      <w:bodyDiv w:val="1"/>
      <w:marLeft w:val="0"/>
      <w:marRight w:val="0"/>
      <w:marTop w:val="0"/>
      <w:marBottom w:val="0"/>
      <w:divBdr>
        <w:top w:val="none" w:sz="0" w:space="0" w:color="auto"/>
        <w:left w:val="none" w:sz="0" w:space="0" w:color="auto"/>
        <w:bottom w:val="none" w:sz="0" w:space="0" w:color="auto"/>
        <w:right w:val="none" w:sz="0" w:space="0" w:color="auto"/>
      </w:divBdr>
    </w:div>
    <w:div w:id="2106031372">
      <w:bodyDiv w:val="1"/>
      <w:marLeft w:val="0"/>
      <w:marRight w:val="0"/>
      <w:marTop w:val="0"/>
      <w:marBottom w:val="0"/>
      <w:divBdr>
        <w:top w:val="none" w:sz="0" w:space="0" w:color="auto"/>
        <w:left w:val="none" w:sz="0" w:space="0" w:color="auto"/>
        <w:bottom w:val="none" w:sz="0" w:space="0" w:color="auto"/>
        <w:right w:val="none" w:sz="0" w:space="0" w:color="auto"/>
      </w:divBdr>
    </w:div>
    <w:div w:id="2106147162">
      <w:bodyDiv w:val="1"/>
      <w:marLeft w:val="0"/>
      <w:marRight w:val="0"/>
      <w:marTop w:val="0"/>
      <w:marBottom w:val="0"/>
      <w:divBdr>
        <w:top w:val="none" w:sz="0" w:space="0" w:color="auto"/>
        <w:left w:val="none" w:sz="0" w:space="0" w:color="auto"/>
        <w:bottom w:val="none" w:sz="0" w:space="0" w:color="auto"/>
        <w:right w:val="none" w:sz="0" w:space="0" w:color="auto"/>
      </w:divBdr>
    </w:div>
    <w:div w:id="2106151833">
      <w:bodyDiv w:val="1"/>
      <w:marLeft w:val="0"/>
      <w:marRight w:val="0"/>
      <w:marTop w:val="0"/>
      <w:marBottom w:val="0"/>
      <w:divBdr>
        <w:top w:val="none" w:sz="0" w:space="0" w:color="auto"/>
        <w:left w:val="none" w:sz="0" w:space="0" w:color="auto"/>
        <w:bottom w:val="none" w:sz="0" w:space="0" w:color="auto"/>
        <w:right w:val="none" w:sz="0" w:space="0" w:color="auto"/>
      </w:divBdr>
    </w:div>
    <w:div w:id="2106222619">
      <w:bodyDiv w:val="1"/>
      <w:marLeft w:val="0"/>
      <w:marRight w:val="0"/>
      <w:marTop w:val="0"/>
      <w:marBottom w:val="0"/>
      <w:divBdr>
        <w:top w:val="none" w:sz="0" w:space="0" w:color="auto"/>
        <w:left w:val="none" w:sz="0" w:space="0" w:color="auto"/>
        <w:bottom w:val="none" w:sz="0" w:space="0" w:color="auto"/>
        <w:right w:val="none" w:sz="0" w:space="0" w:color="auto"/>
      </w:divBdr>
    </w:div>
    <w:div w:id="2106226494">
      <w:bodyDiv w:val="1"/>
      <w:marLeft w:val="0"/>
      <w:marRight w:val="0"/>
      <w:marTop w:val="0"/>
      <w:marBottom w:val="0"/>
      <w:divBdr>
        <w:top w:val="none" w:sz="0" w:space="0" w:color="auto"/>
        <w:left w:val="none" w:sz="0" w:space="0" w:color="auto"/>
        <w:bottom w:val="none" w:sz="0" w:space="0" w:color="auto"/>
        <w:right w:val="none" w:sz="0" w:space="0" w:color="auto"/>
      </w:divBdr>
    </w:div>
    <w:div w:id="2106344466">
      <w:bodyDiv w:val="1"/>
      <w:marLeft w:val="0"/>
      <w:marRight w:val="0"/>
      <w:marTop w:val="0"/>
      <w:marBottom w:val="0"/>
      <w:divBdr>
        <w:top w:val="none" w:sz="0" w:space="0" w:color="auto"/>
        <w:left w:val="none" w:sz="0" w:space="0" w:color="auto"/>
        <w:bottom w:val="none" w:sz="0" w:space="0" w:color="auto"/>
        <w:right w:val="none" w:sz="0" w:space="0" w:color="auto"/>
      </w:divBdr>
    </w:div>
    <w:div w:id="2106460971">
      <w:bodyDiv w:val="1"/>
      <w:marLeft w:val="0"/>
      <w:marRight w:val="0"/>
      <w:marTop w:val="0"/>
      <w:marBottom w:val="0"/>
      <w:divBdr>
        <w:top w:val="none" w:sz="0" w:space="0" w:color="auto"/>
        <w:left w:val="none" w:sz="0" w:space="0" w:color="auto"/>
        <w:bottom w:val="none" w:sz="0" w:space="0" w:color="auto"/>
        <w:right w:val="none" w:sz="0" w:space="0" w:color="auto"/>
      </w:divBdr>
    </w:div>
    <w:div w:id="2106463197">
      <w:bodyDiv w:val="1"/>
      <w:marLeft w:val="0"/>
      <w:marRight w:val="0"/>
      <w:marTop w:val="0"/>
      <w:marBottom w:val="0"/>
      <w:divBdr>
        <w:top w:val="none" w:sz="0" w:space="0" w:color="auto"/>
        <w:left w:val="none" w:sz="0" w:space="0" w:color="auto"/>
        <w:bottom w:val="none" w:sz="0" w:space="0" w:color="auto"/>
        <w:right w:val="none" w:sz="0" w:space="0" w:color="auto"/>
      </w:divBdr>
    </w:div>
    <w:div w:id="2106729114">
      <w:bodyDiv w:val="1"/>
      <w:marLeft w:val="0"/>
      <w:marRight w:val="0"/>
      <w:marTop w:val="0"/>
      <w:marBottom w:val="0"/>
      <w:divBdr>
        <w:top w:val="none" w:sz="0" w:space="0" w:color="auto"/>
        <w:left w:val="none" w:sz="0" w:space="0" w:color="auto"/>
        <w:bottom w:val="none" w:sz="0" w:space="0" w:color="auto"/>
        <w:right w:val="none" w:sz="0" w:space="0" w:color="auto"/>
      </w:divBdr>
    </w:div>
    <w:div w:id="2106799764">
      <w:bodyDiv w:val="1"/>
      <w:marLeft w:val="0"/>
      <w:marRight w:val="0"/>
      <w:marTop w:val="0"/>
      <w:marBottom w:val="0"/>
      <w:divBdr>
        <w:top w:val="none" w:sz="0" w:space="0" w:color="auto"/>
        <w:left w:val="none" w:sz="0" w:space="0" w:color="auto"/>
        <w:bottom w:val="none" w:sz="0" w:space="0" w:color="auto"/>
        <w:right w:val="none" w:sz="0" w:space="0" w:color="auto"/>
      </w:divBdr>
    </w:div>
    <w:div w:id="2106802312">
      <w:bodyDiv w:val="1"/>
      <w:marLeft w:val="0"/>
      <w:marRight w:val="0"/>
      <w:marTop w:val="0"/>
      <w:marBottom w:val="0"/>
      <w:divBdr>
        <w:top w:val="none" w:sz="0" w:space="0" w:color="auto"/>
        <w:left w:val="none" w:sz="0" w:space="0" w:color="auto"/>
        <w:bottom w:val="none" w:sz="0" w:space="0" w:color="auto"/>
        <w:right w:val="none" w:sz="0" w:space="0" w:color="auto"/>
      </w:divBdr>
    </w:div>
    <w:div w:id="2106879800">
      <w:bodyDiv w:val="1"/>
      <w:marLeft w:val="0"/>
      <w:marRight w:val="0"/>
      <w:marTop w:val="0"/>
      <w:marBottom w:val="0"/>
      <w:divBdr>
        <w:top w:val="none" w:sz="0" w:space="0" w:color="auto"/>
        <w:left w:val="none" w:sz="0" w:space="0" w:color="auto"/>
        <w:bottom w:val="none" w:sz="0" w:space="0" w:color="auto"/>
        <w:right w:val="none" w:sz="0" w:space="0" w:color="auto"/>
      </w:divBdr>
    </w:div>
    <w:div w:id="2106994382">
      <w:bodyDiv w:val="1"/>
      <w:marLeft w:val="0"/>
      <w:marRight w:val="0"/>
      <w:marTop w:val="0"/>
      <w:marBottom w:val="0"/>
      <w:divBdr>
        <w:top w:val="none" w:sz="0" w:space="0" w:color="auto"/>
        <w:left w:val="none" w:sz="0" w:space="0" w:color="auto"/>
        <w:bottom w:val="none" w:sz="0" w:space="0" w:color="auto"/>
        <w:right w:val="none" w:sz="0" w:space="0" w:color="auto"/>
      </w:divBdr>
    </w:div>
    <w:div w:id="2107070019">
      <w:bodyDiv w:val="1"/>
      <w:marLeft w:val="0"/>
      <w:marRight w:val="0"/>
      <w:marTop w:val="0"/>
      <w:marBottom w:val="0"/>
      <w:divBdr>
        <w:top w:val="none" w:sz="0" w:space="0" w:color="auto"/>
        <w:left w:val="none" w:sz="0" w:space="0" w:color="auto"/>
        <w:bottom w:val="none" w:sz="0" w:space="0" w:color="auto"/>
        <w:right w:val="none" w:sz="0" w:space="0" w:color="auto"/>
      </w:divBdr>
    </w:div>
    <w:div w:id="2107267033">
      <w:bodyDiv w:val="1"/>
      <w:marLeft w:val="0"/>
      <w:marRight w:val="0"/>
      <w:marTop w:val="0"/>
      <w:marBottom w:val="0"/>
      <w:divBdr>
        <w:top w:val="none" w:sz="0" w:space="0" w:color="auto"/>
        <w:left w:val="none" w:sz="0" w:space="0" w:color="auto"/>
        <w:bottom w:val="none" w:sz="0" w:space="0" w:color="auto"/>
        <w:right w:val="none" w:sz="0" w:space="0" w:color="auto"/>
      </w:divBdr>
    </w:div>
    <w:div w:id="2107312124">
      <w:bodyDiv w:val="1"/>
      <w:marLeft w:val="0"/>
      <w:marRight w:val="0"/>
      <w:marTop w:val="0"/>
      <w:marBottom w:val="0"/>
      <w:divBdr>
        <w:top w:val="none" w:sz="0" w:space="0" w:color="auto"/>
        <w:left w:val="none" w:sz="0" w:space="0" w:color="auto"/>
        <w:bottom w:val="none" w:sz="0" w:space="0" w:color="auto"/>
        <w:right w:val="none" w:sz="0" w:space="0" w:color="auto"/>
      </w:divBdr>
    </w:div>
    <w:div w:id="2107339257">
      <w:bodyDiv w:val="1"/>
      <w:marLeft w:val="0"/>
      <w:marRight w:val="0"/>
      <w:marTop w:val="0"/>
      <w:marBottom w:val="0"/>
      <w:divBdr>
        <w:top w:val="none" w:sz="0" w:space="0" w:color="auto"/>
        <w:left w:val="none" w:sz="0" w:space="0" w:color="auto"/>
        <w:bottom w:val="none" w:sz="0" w:space="0" w:color="auto"/>
        <w:right w:val="none" w:sz="0" w:space="0" w:color="auto"/>
      </w:divBdr>
    </w:div>
    <w:div w:id="2107339848">
      <w:bodyDiv w:val="1"/>
      <w:marLeft w:val="0"/>
      <w:marRight w:val="0"/>
      <w:marTop w:val="0"/>
      <w:marBottom w:val="0"/>
      <w:divBdr>
        <w:top w:val="none" w:sz="0" w:space="0" w:color="auto"/>
        <w:left w:val="none" w:sz="0" w:space="0" w:color="auto"/>
        <w:bottom w:val="none" w:sz="0" w:space="0" w:color="auto"/>
        <w:right w:val="none" w:sz="0" w:space="0" w:color="auto"/>
      </w:divBdr>
    </w:div>
    <w:div w:id="2107384005">
      <w:bodyDiv w:val="1"/>
      <w:marLeft w:val="0"/>
      <w:marRight w:val="0"/>
      <w:marTop w:val="0"/>
      <w:marBottom w:val="0"/>
      <w:divBdr>
        <w:top w:val="none" w:sz="0" w:space="0" w:color="auto"/>
        <w:left w:val="none" w:sz="0" w:space="0" w:color="auto"/>
        <w:bottom w:val="none" w:sz="0" w:space="0" w:color="auto"/>
        <w:right w:val="none" w:sz="0" w:space="0" w:color="auto"/>
      </w:divBdr>
    </w:div>
    <w:div w:id="2107456322">
      <w:bodyDiv w:val="1"/>
      <w:marLeft w:val="0"/>
      <w:marRight w:val="0"/>
      <w:marTop w:val="0"/>
      <w:marBottom w:val="0"/>
      <w:divBdr>
        <w:top w:val="none" w:sz="0" w:space="0" w:color="auto"/>
        <w:left w:val="none" w:sz="0" w:space="0" w:color="auto"/>
        <w:bottom w:val="none" w:sz="0" w:space="0" w:color="auto"/>
        <w:right w:val="none" w:sz="0" w:space="0" w:color="auto"/>
      </w:divBdr>
    </w:div>
    <w:div w:id="2107533537">
      <w:bodyDiv w:val="1"/>
      <w:marLeft w:val="0"/>
      <w:marRight w:val="0"/>
      <w:marTop w:val="0"/>
      <w:marBottom w:val="0"/>
      <w:divBdr>
        <w:top w:val="none" w:sz="0" w:space="0" w:color="auto"/>
        <w:left w:val="none" w:sz="0" w:space="0" w:color="auto"/>
        <w:bottom w:val="none" w:sz="0" w:space="0" w:color="auto"/>
        <w:right w:val="none" w:sz="0" w:space="0" w:color="auto"/>
      </w:divBdr>
    </w:div>
    <w:div w:id="2107652937">
      <w:bodyDiv w:val="1"/>
      <w:marLeft w:val="0"/>
      <w:marRight w:val="0"/>
      <w:marTop w:val="0"/>
      <w:marBottom w:val="0"/>
      <w:divBdr>
        <w:top w:val="none" w:sz="0" w:space="0" w:color="auto"/>
        <w:left w:val="none" w:sz="0" w:space="0" w:color="auto"/>
        <w:bottom w:val="none" w:sz="0" w:space="0" w:color="auto"/>
        <w:right w:val="none" w:sz="0" w:space="0" w:color="auto"/>
      </w:divBdr>
    </w:div>
    <w:div w:id="2107798232">
      <w:bodyDiv w:val="1"/>
      <w:marLeft w:val="0"/>
      <w:marRight w:val="0"/>
      <w:marTop w:val="0"/>
      <w:marBottom w:val="0"/>
      <w:divBdr>
        <w:top w:val="none" w:sz="0" w:space="0" w:color="auto"/>
        <w:left w:val="none" w:sz="0" w:space="0" w:color="auto"/>
        <w:bottom w:val="none" w:sz="0" w:space="0" w:color="auto"/>
        <w:right w:val="none" w:sz="0" w:space="0" w:color="auto"/>
      </w:divBdr>
    </w:div>
    <w:div w:id="2107842816">
      <w:bodyDiv w:val="1"/>
      <w:marLeft w:val="0"/>
      <w:marRight w:val="0"/>
      <w:marTop w:val="0"/>
      <w:marBottom w:val="0"/>
      <w:divBdr>
        <w:top w:val="none" w:sz="0" w:space="0" w:color="auto"/>
        <w:left w:val="none" w:sz="0" w:space="0" w:color="auto"/>
        <w:bottom w:val="none" w:sz="0" w:space="0" w:color="auto"/>
        <w:right w:val="none" w:sz="0" w:space="0" w:color="auto"/>
      </w:divBdr>
    </w:div>
    <w:div w:id="2108035528">
      <w:bodyDiv w:val="1"/>
      <w:marLeft w:val="0"/>
      <w:marRight w:val="0"/>
      <w:marTop w:val="0"/>
      <w:marBottom w:val="0"/>
      <w:divBdr>
        <w:top w:val="none" w:sz="0" w:space="0" w:color="auto"/>
        <w:left w:val="none" w:sz="0" w:space="0" w:color="auto"/>
        <w:bottom w:val="none" w:sz="0" w:space="0" w:color="auto"/>
        <w:right w:val="none" w:sz="0" w:space="0" w:color="auto"/>
      </w:divBdr>
    </w:div>
    <w:div w:id="2108184847">
      <w:bodyDiv w:val="1"/>
      <w:marLeft w:val="0"/>
      <w:marRight w:val="0"/>
      <w:marTop w:val="0"/>
      <w:marBottom w:val="0"/>
      <w:divBdr>
        <w:top w:val="none" w:sz="0" w:space="0" w:color="auto"/>
        <w:left w:val="none" w:sz="0" w:space="0" w:color="auto"/>
        <w:bottom w:val="none" w:sz="0" w:space="0" w:color="auto"/>
        <w:right w:val="none" w:sz="0" w:space="0" w:color="auto"/>
      </w:divBdr>
    </w:div>
    <w:div w:id="2108186269">
      <w:bodyDiv w:val="1"/>
      <w:marLeft w:val="0"/>
      <w:marRight w:val="0"/>
      <w:marTop w:val="0"/>
      <w:marBottom w:val="0"/>
      <w:divBdr>
        <w:top w:val="none" w:sz="0" w:space="0" w:color="auto"/>
        <w:left w:val="none" w:sz="0" w:space="0" w:color="auto"/>
        <w:bottom w:val="none" w:sz="0" w:space="0" w:color="auto"/>
        <w:right w:val="none" w:sz="0" w:space="0" w:color="auto"/>
      </w:divBdr>
    </w:div>
    <w:div w:id="2108191664">
      <w:bodyDiv w:val="1"/>
      <w:marLeft w:val="0"/>
      <w:marRight w:val="0"/>
      <w:marTop w:val="0"/>
      <w:marBottom w:val="0"/>
      <w:divBdr>
        <w:top w:val="none" w:sz="0" w:space="0" w:color="auto"/>
        <w:left w:val="none" w:sz="0" w:space="0" w:color="auto"/>
        <w:bottom w:val="none" w:sz="0" w:space="0" w:color="auto"/>
        <w:right w:val="none" w:sz="0" w:space="0" w:color="auto"/>
      </w:divBdr>
    </w:div>
    <w:div w:id="2108500906">
      <w:bodyDiv w:val="1"/>
      <w:marLeft w:val="0"/>
      <w:marRight w:val="0"/>
      <w:marTop w:val="0"/>
      <w:marBottom w:val="0"/>
      <w:divBdr>
        <w:top w:val="none" w:sz="0" w:space="0" w:color="auto"/>
        <w:left w:val="none" w:sz="0" w:space="0" w:color="auto"/>
        <w:bottom w:val="none" w:sz="0" w:space="0" w:color="auto"/>
        <w:right w:val="none" w:sz="0" w:space="0" w:color="auto"/>
      </w:divBdr>
    </w:div>
    <w:div w:id="2108646977">
      <w:bodyDiv w:val="1"/>
      <w:marLeft w:val="0"/>
      <w:marRight w:val="0"/>
      <w:marTop w:val="0"/>
      <w:marBottom w:val="0"/>
      <w:divBdr>
        <w:top w:val="none" w:sz="0" w:space="0" w:color="auto"/>
        <w:left w:val="none" w:sz="0" w:space="0" w:color="auto"/>
        <w:bottom w:val="none" w:sz="0" w:space="0" w:color="auto"/>
        <w:right w:val="none" w:sz="0" w:space="0" w:color="auto"/>
      </w:divBdr>
    </w:div>
    <w:div w:id="2108698236">
      <w:bodyDiv w:val="1"/>
      <w:marLeft w:val="0"/>
      <w:marRight w:val="0"/>
      <w:marTop w:val="0"/>
      <w:marBottom w:val="0"/>
      <w:divBdr>
        <w:top w:val="none" w:sz="0" w:space="0" w:color="auto"/>
        <w:left w:val="none" w:sz="0" w:space="0" w:color="auto"/>
        <w:bottom w:val="none" w:sz="0" w:space="0" w:color="auto"/>
        <w:right w:val="none" w:sz="0" w:space="0" w:color="auto"/>
      </w:divBdr>
    </w:div>
    <w:div w:id="2108698622">
      <w:bodyDiv w:val="1"/>
      <w:marLeft w:val="0"/>
      <w:marRight w:val="0"/>
      <w:marTop w:val="0"/>
      <w:marBottom w:val="0"/>
      <w:divBdr>
        <w:top w:val="none" w:sz="0" w:space="0" w:color="auto"/>
        <w:left w:val="none" w:sz="0" w:space="0" w:color="auto"/>
        <w:bottom w:val="none" w:sz="0" w:space="0" w:color="auto"/>
        <w:right w:val="none" w:sz="0" w:space="0" w:color="auto"/>
      </w:divBdr>
    </w:div>
    <w:div w:id="2108771678">
      <w:bodyDiv w:val="1"/>
      <w:marLeft w:val="0"/>
      <w:marRight w:val="0"/>
      <w:marTop w:val="0"/>
      <w:marBottom w:val="0"/>
      <w:divBdr>
        <w:top w:val="none" w:sz="0" w:space="0" w:color="auto"/>
        <w:left w:val="none" w:sz="0" w:space="0" w:color="auto"/>
        <w:bottom w:val="none" w:sz="0" w:space="0" w:color="auto"/>
        <w:right w:val="none" w:sz="0" w:space="0" w:color="auto"/>
      </w:divBdr>
    </w:div>
    <w:div w:id="2108959080">
      <w:bodyDiv w:val="1"/>
      <w:marLeft w:val="0"/>
      <w:marRight w:val="0"/>
      <w:marTop w:val="0"/>
      <w:marBottom w:val="0"/>
      <w:divBdr>
        <w:top w:val="none" w:sz="0" w:space="0" w:color="auto"/>
        <w:left w:val="none" w:sz="0" w:space="0" w:color="auto"/>
        <w:bottom w:val="none" w:sz="0" w:space="0" w:color="auto"/>
        <w:right w:val="none" w:sz="0" w:space="0" w:color="auto"/>
      </w:divBdr>
    </w:div>
    <w:div w:id="2109040570">
      <w:bodyDiv w:val="1"/>
      <w:marLeft w:val="0"/>
      <w:marRight w:val="0"/>
      <w:marTop w:val="0"/>
      <w:marBottom w:val="0"/>
      <w:divBdr>
        <w:top w:val="none" w:sz="0" w:space="0" w:color="auto"/>
        <w:left w:val="none" w:sz="0" w:space="0" w:color="auto"/>
        <w:bottom w:val="none" w:sz="0" w:space="0" w:color="auto"/>
        <w:right w:val="none" w:sz="0" w:space="0" w:color="auto"/>
      </w:divBdr>
    </w:div>
    <w:div w:id="2109083355">
      <w:bodyDiv w:val="1"/>
      <w:marLeft w:val="0"/>
      <w:marRight w:val="0"/>
      <w:marTop w:val="0"/>
      <w:marBottom w:val="0"/>
      <w:divBdr>
        <w:top w:val="none" w:sz="0" w:space="0" w:color="auto"/>
        <w:left w:val="none" w:sz="0" w:space="0" w:color="auto"/>
        <w:bottom w:val="none" w:sz="0" w:space="0" w:color="auto"/>
        <w:right w:val="none" w:sz="0" w:space="0" w:color="auto"/>
      </w:divBdr>
    </w:div>
    <w:div w:id="2109084256">
      <w:bodyDiv w:val="1"/>
      <w:marLeft w:val="0"/>
      <w:marRight w:val="0"/>
      <w:marTop w:val="0"/>
      <w:marBottom w:val="0"/>
      <w:divBdr>
        <w:top w:val="none" w:sz="0" w:space="0" w:color="auto"/>
        <w:left w:val="none" w:sz="0" w:space="0" w:color="auto"/>
        <w:bottom w:val="none" w:sz="0" w:space="0" w:color="auto"/>
        <w:right w:val="none" w:sz="0" w:space="0" w:color="auto"/>
      </w:divBdr>
    </w:div>
    <w:div w:id="2109353010">
      <w:bodyDiv w:val="1"/>
      <w:marLeft w:val="0"/>
      <w:marRight w:val="0"/>
      <w:marTop w:val="0"/>
      <w:marBottom w:val="0"/>
      <w:divBdr>
        <w:top w:val="none" w:sz="0" w:space="0" w:color="auto"/>
        <w:left w:val="none" w:sz="0" w:space="0" w:color="auto"/>
        <w:bottom w:val="none" w:sz="0" w:space="0" w:color="auto"/>
        <w:right w:val="none" w:sz="0" w:space="0" w:color="auto"/>
      </w:divBdr>
    </w:div>
    <w:div w:id="2109353775">
      <w:bodyDiv w:val="1"/>
      <w:marLeft w:val="0"/>
      <w:marRight w:val="0"/>
      <w:marTop w:val="0"/>
      <w:marBottom w:val="0"/>
      <w:divBdr>
        <w:top w:val="none" w:sz="0" w:space="0" w:color="auto"/>
        <w:left w:val="none" w:sz="0" w:space="0" w:color="auto"/>
        <w:bottom w:val="none" w:sz="0" w:space="0" w:color="auto"/>
        <w:right w:val="none" w:sz="0" w:space="0" w:color="auto"/>
      </w:divBdr>
    </w:div>
    <w:div w:id="2109419814">
      <w:bodyDiv w:val="1"/>
      <w:marLeft w:val="0"/>
      <w:marRight w:val="0"/>
      <w:marTop w:val="0"/>
      <w:marBottom w:val="0"/>
      <w:divBdr>
        <w:top w:val="none" w:sz="0" w:space="0" w:color="auto"/>
        <w:left w:val="none" w:sz="0" w:space="0" w:color="auto"/>
        <w:bottom w:val="none" w:sz="0" w:space="0" w:color="auto"/>
        <w:right w:val="none" w:sz="0" w:space="0" w:color="auto"/>
      </w:divBdr>
    </w:div>
    <w:div w:id="2109420384">
      <w:bodyDiv w:val="1"/>
      <w:marLeft w:val="0"/>
      <w:marRight w:val="0"/>
      <w:marTop w:val="0"/>
      <w:marBottom w:val="0"/>
      <w:divBdr>
        <w:top w:val="none" w:sz="0" w:space="0" w:color="auto"/>
        <w:left w:val="none" w:sz="0" w:space="0" w:color="auto"/>
        <w:bottom w:val="none" w:sz="0" w:space="0" w:color="auto"/>
        <w:right w:val="none" w:sz="0" w:space="0" w:color="auto"/>
      </w:divBdr>
    </w:div>
    <w:div w:id="2109541752">
      <w:bodyDiv w:val="1"/>
      <w:marLeft w:val="0"/>
      <w:marRight w:val="0"/>
      <w:marTop w:val="0"/>
      <w:marBottom w:val="0"/>
      <w:divBdr>
        <w:top w:val="none" w:sz="0" w:space="0" w:color="auto"/>
        <w:left w:val="none" w:sz="0" w:space="0" w:color="auto"/>
        <w:bottom w:val="none" w:sz="0" w:space="0" w:color="auto"/>
        <w:right w:val="none" w:sz="0" w:space="0" w:color="auto"/>
      </w:divBdr>
    </w:div>
    <w:div w:id="2109613014">
      <w:bodyDiv w:val="1"/>
      <w:marLeft w:val="0"/>
      <w:marRight w:val="0"/>
      <w:marTop w:val="0"/>
      <w:marBottom w:val="0"/>
      <w:divBdr>
        <w:top w:val="none" w:sz="0" w:space="0" w:color="auto"/>
        <w:left w:val="none" w:sz="0" w:space="0" w:color="auto"/>
        <w:bottom w:val="none" w:sz="0" w:space="0" w:color="auto"/>
        <w:right w:val="none" w:sz="0" w:space="0" w:color="auto"/>
      </w:divBdr>
    </w:div>
    <w:div w:id="2109697745">
      <w:bodyDiv w:val="1"/>
      <w:marLeft w:val="0"/>
      <w:marRight w:val="0"/>
      <w:marTop w:val="0"/>
      <w:marBottom w:val="0"/>
      <w:divBdr>
        <w:top w:val="none" w:sz="0" w:space="0" w:color="auto"/>
        <w:left w:val="none" w:sz="0" w:space="0" w:color="auto"/>
        <w:bottom w:val="none" w:sz="0" w:space="0" w:color="auto"/>
        <w:right w:val="none" w:sz="0" w:space="0" w:color="auto"/>
      </w:divBdr>
    </w:div>
    <w:div w:id="2109813839">
      <w:bodyDiv w:val="1"/>
      <w:marLeft w:val="0"/>
      <w:marRight w:val="0"/>
      <w:marTop w:val="0"/>
      <w:marBottom w:val="0"/>
      <w:divBdr>
        <w:top w:val="none" w:sz="0" w:space="0" w:color="auto"/>
        <w:left w:val="none" w:sz="0" w:space="0" w:color="auto"/>
        <w:bottom w:val="none" w:sz="0" w:space="0" w:color="auto"/>
        <w:right w:val="none" w:sz="0" w:space="0" w:color="auto"/>
      </w:divBdr>
    </w:div>
    <w:div w:id="2109881746">
      <w:bodyDiv w:val="1"/>
      <w:marLeft w:val="0"/>
      <w:marRight w:val="0"/>
      <w:marTop w:val="0"/>
      <w:marBottom w:val="0"/>
      <w:divBdr>
        <w:top w:val="none" w:sz="0" w:space="0" w:color="auto"/>
        <w:left w:val="none" w:sz="0" w:space="0" w:color="auto"/>
        <w:bottom w:val="none" w:sz="0" w:space="0" w:color="auto"/>
        <w:right w:val="none" w:sz="0" w:space="0" w:color="auto"/>
      </w:divBdr>
    </w:div>
    <w:div w:id="2109884482">
      <w:bodyDiv w:val="1"/>
      <w:marLeft w:val="0"/>
      <w:marRight w:val="0"/>
      <w:marTop w:val="0"/>
      <w:marBottom w:val="0"/>
      <w:divBdr>
        <w:top w:val="none" w:sz="0" w:space="0" w:color="auto"/>
        <w:left w:val="none" w:sz="0" w:space="0" w:color="auto"/>
        <w:bottom w:val="none" w:sz="0" w:space="0" w:color="auto"/>
        <w:right w:val="none" w:sz="0" w:space="0" w:color="auto"/>
      </w:divBdr>
    </w:div>
    <w:div w:id="2110002550">
      <w:bodyDiv w:val="1"/>
      <w:marLeft w:val="0"/>
      <w:marRight w:val="0"/>
      <w:marTop w:val="0"/>
      <w:marBottom w:val="0"/>
      <w:divBdr>
        <w:top w:val="none" w:sz="0" w:space="0" w:color="auto"/>
        <w:left w:val="none" w:sz="0" w:space="0" w:color="auto"/>
        <w:bottom w:val="none" w:sz="0" w:space="0" w:color="auto"/>
        <w:right w:val="none" w:sz="0" w:space="0" w:color="auto"/>
      </w:divBdr>
    </w:div>
    <w:div w:id="2110084312">
      <w:bodyDiv w:val="1"/>
      <w:marLeft w:val="0"/>
      <w:marRight w:val="0"/>
      <w:marTop w:val="0"/>
      <w:marBottom w:val="0"/>
      <w:divBdr>
        <w:top w:val="none" w:sz="0" w:space="0" w:color="auto"/>
        <w:left w:val="none" w:sz="0" w:space="0" w:color="auto"/>
        <w:bottom w:val="none" w:sz="0" w:space="0" w:color="auto"/>
        <w:right w:val="none" w:sz="0" w:space="0" w:color="auto"/>
      </w:divBdr>
    </w:div>
    <w:div w:id="2110155374">
      <w:bodyDiv w:val="1"/>
      <w:marLeft w:val="0"/>
      <w:marRight w:val="0"/>
      <w:marTop w:val="0"/>
      <w:marBottom w:val="0"/>
      <w:divBdr>
        <w:top w:val="none" w:sz="0" w:space="0" w:color="auto"/>
        <w:left w:val="none" w:sz="0" w:space="0" w:color="auto"/>
        <w:bottom w:val="none" w:sz="0" w:space="0" w:color="auto"/>
        <w:right w:val="none" w:sz="0" w:space="0" w:color="auto"/>
      </w:divBdr>
    </w:div>
    <w:div w:id="2110159568">
      <w:bodyDiv w:val="1"/>
      <w:marLeft w:val="0"/>
      <w:marRight w:val="0"/>
      <w:marTop w:val="0"/>
      <w:marBottom w:val="0"/>
      <w:divBdr>
        <w:top w:val="none" w:sz="0" w:space="0" w:color="auto"/>
        <w:left w:val="none" w:sz="0" w:space="0" w:color="auto"/>
        <w:bottom w:val="none" w:sz="0" w:space="0" w:color="auto"/>
        <w:right w:val="none" w:sz="0" w:space="0" w:color="auto"/>
      </w:divBdr>
    </w:div>
    <w:div w:id="2110195628">
      <w:bodyDiv w:val="1"/>
      <w:marLeft w:val="0"/>
      <w:marRight w:val="0"/>
      <w:marTop w:val="0"/>
      <w:marBottom w:val="0"/>
      <w:divBdr>
        <w:top w:val="none" w:sz="0" w:space="0" w:color="auto"/>
        <w:left w:val="none" w:sz="0" w:space="0" w:color="auto"/>
        <w:bottom w:val="none" w:sz="0" w:space="0" w:color="auto"/>
        <w:right w:val="none" w:sz="0" w:space="0" w:color="auto"/>
      </w:divBdr>
    </w:div>
    <w:div w:id="2110196306">
      <w:bodyDiv w:val="1"/>
      <w:marLeft w:val="0"/>
      <w:marRight w:val="0"/>
      <w:marTop w:val="0"/>
      <w:marBottom w:val="0"/>
      <w:divBdr>
        <w:top w:val="none" w:sz="0" w:space="0" w:color="auto"/>
        <w:left w:val="none" w:sz="0" w:space="0" w:color="auto"/>
        <w:bottom w:val="none" w:sz="0" w:space="0" w:color="auto"/>
        <w:right w:val="none" w:sz="0" w:space="0" w:color="auto"/>
      </w:divBdr>
    </w:div>
    <w:div w:id="2110198348">
      <w:bodyDiv w:val="1"/>
      <w:marLeft w:val="0"/>
      <w:marRight w:val="0"/>
      <w:marTop w:val="0"/>
      <w:marBottom w:val="0"/>
      <w:divBdr>
        <w:top w:val="none" w:sz="0" w:space="0" w:color="auto"/>
        <w:left w:val="none" w:sz="0" w:space="0" w:color="auto"/>
        <w:bottom w:val="none" w:sz="0" w:space="0" w:color="auto"/>
        <w:right w:val="none" w:sz="0" w:space="0" w:color="auto"/>
      </w:divBdr>
    </w:div>
    <w:div w:id="2110346160">
      <w:bodyDiv w:val="1"/>
      <w:marLeft w:val="0"/>
      <w:marRight w:val="0"/>
      <w:marTop w:val="0"/>
      <w:marBottom w:val="0"/>
      <w:divBdr>
        <w:top w:val="none" w:sz="0" w:space="0" w:color="auto"/>
        <w:left w:val="none" w:sz="0" w:space="0" w:color="auto"/>
        <w:bottom w:val="none" w:sz="0" w:space="0" w:color="auto"/>
        <w:right w:val="none" w:sz="0" w:space="0" w:color="auto"/>
      </w:divBdr>
    </w:div>
    <w:div w:id="2110348310">
      <w:bodyDiv w:val="1"/>
      <w:marLeft w:val="0"/>
      <w:marRight w:val="0"/>
      <w:marTop w:val="0"/>
      <w:marBottom w:val="0"/>
      <w:divBdr>
        <w:top w:val="none" w:sz="0" w:space="0" w:color="auto"/>
        <w:left w:val="none" w:sz="0" w:space="0" w:color="auto"/>
        <w:bottom w:val="none" w:sz="0" w:space="0" w:color="auto"/>
        <w:right w:val="none" w:sz="0" w:space="0" w:color="auto"/>
      </w:divBdr>
    </w:div>
    <w:div w:id="2110391859">
      <w:bodyDiv w:val="1"/>
      <w:marLeft w:val="0"/>
      <w:marRight w:val="0"/>
      <w:marTop w:val="0"/>
      <w:marBottom w:val="0"/>
      <w:divBdr>
        <w:top w:val="none" w:sz="0" w:space="0" w:color="auto"/>
        <w:left w:val="none" w:sz="0" w:space="0" w:color="auto"/>
        <w:bottom w:val="none" w:sz="0" w:space="0" w:color="auto"/>
        <w:right w:val="none" w:sz="0" w:space="0" w:color="auto"/>
      </w:divBdr>
    </w:div>
    <w:div w:id="2110463816">
      <w:bodyDiv w:val="1"/>
      <w:marLeft w:val="0"/>
      <w:marRight w:val="0"/>
      <w:marTop w:val="0"/>
      <w:marBottom w:val="0"/>
      <w:divBdr>
        <w:top w:val="none" w:sz="0" w:space="0" w:color="auto"/>
        <w:left w:val="none" w:sz="0" w:space="0" w:color="auto"/>
        <w:bottom w:val="none" w:sz="0" w:space="0" w:color="auto"/>
        <w:right w:val="none" w:sz="0" w:space="0" w:color="auto"/>
      </w:divBdr>
    </w:div>
    <w:div w:id="2110616763">
      <w:bodyDiv w:val="1"/>
      <w:marLeft w:val="0"/>
      <w:marRight w:val="0"/>
      <w:marTop w:val="0"/>
      <w:marBottom w:val="0"/>
      <w:divBdr>
        <w:top w:val="none" w:sz="0" w:space="0" w:color="auto"/>
        <w:left w:val="none" w:sz="0" w:space="0" w:color="auto"/>
        <w:bottom w:val="none" w:sz="0" w:space="0" w:color="auto"/>
        <w:right w:val="none" w:sz="0" w:space="0" w:color="auto"/>
      </w:divBdr>
    </w:div>
    <w:div w:id="2110661758">
      <w:bodyDiv w:val="1"/>
      <w:marLeft w:val="0"/>
      <w:marRight w:val="0"/>
      <w:marTop w:val="0"/>
      <w:marBottom w:val="0"/>
      <w:divBdr>
        <w:top w:val="none" w:sz="0" w:space="0" w:color="auto"/>
        <w:left w:val="none" w:sz="0" w:space="0" w:color="auto"/>
        <w:bottom w:val="none" w:sz="0" w:space="0" w:color="auto"/>
        <w:right w:val="none" w:sz="0" w:space="0" w:color="auto"/>
      </w:divBdr>
    </w:div>
    <w:div w:id="2110811633">
      <w:bodyDiv w:val="1"/>
      <w:marLeft w:val="0"/>
      <w:marRight w:val="0"/>
      <w:marTop w:val="0"/>
      <w:marBottom w:val="0"/>
      <w:divBdr>
        <w:top w:val="none" w:sz="0" w:space="0" w:color="auto"/>
        <w:left w:val="none" w:sz="0" w:space="0" w:color="auto"/>
        <w:bottom w:val="none" w:sz="0" w:space="0" w:color="auto"/>
        <w:right w:val="none" w:sz="0" w:space="0" w:color="auto"/>
      </w:divBdr>
    </w:div>
    <w:div w:id="2110856385">
      <w:bodyDiv w:val="1"/>
      <w:marLeft w:val="0"/>
      <w:marRight w:val="0"/>
      <w:marTop w:val="0"/>
      <w:marBottom w:val="0"/>
      <w:divBdr>
        <w:top w:val="none" w:sz="0" w:space="0" w:color="auto"/>
        <w:left w:val="none" w:sz="0" w:space="0" w:color="auto"/>
        <w:bottom w:val="none" w:sz="0" w:space="0" w:color="auto"/>
        <w:right w:val="none" w:sz="0" w:space="0" w:color="auto"/>
      </w:divBdr>
    </w:div>
    <w:div w:id="2111199735">
      <w:bodyDiv w:val="1"/>
      <w:marLeft w:val="0"/>
      <w:marRight w:val="0"/>
      <w:marTop w:val="0"/>
      <w:marBottom w:val="0"/>
      <w:divBdr>
        <w:top w:val="none" w:sz="0" w:space="0" w:color="auto"/>
        <w:left w:val="none" w:sz="0" w:space="0" w:color="auto"/>
        <w:bottom w:val="none" w:sz="0" w:space="0" w:color="auto"/>
        <w:right w:val="none" w:sz="0" w:space="0" w:color="auto"/>
      </w:divBdr>
    </w:div>
    <w:div w:id="2111316552">
      <w:bodyDiv w:val="1"/>
      <w:marLeft w:val="0"/>
      <w:marRight w:val="0"/>
      <w:marTop w:val="0"/>
      <w:marBottom w:val="0"/>
      <w:divBdr>
        <w:top w:val="none" w:sz="0" w:space="0" w:color="auto"/>
        <w:left w:val="none" w:sz="0" w:space="0" w:color="auto"/>
        <w:bottom w:val="none" w:sz="0" w:space="0" w:color="auto"/>
        <w:right w:val="none" w:sz="0" w:space="0" w:color="auto"/>
      </w:divBdr>
    </w:div>
    <w:div w:id="2111390440">
      <w:bodyDiv w:val="1"/>
      <w:marLeft w:val="0"/>
      <w:marRight w:val="0"/>
      <w:marTop w:val="0"/>
      <w:marBottom w:val="0"/>
      <w:divBdr>
        <w:top w:val="none" w:sz="0" w:space="0" w:color="auto"/>
        <w:left w:val="none" w:sz="0" w:space="0" w:color="auto"/>
        <w:bottom w:val="none" w:sz="0" w:space="0" w:color="auto"/>
        <w:right w:val="none" w:sz="0" w:space="0" w:color="auto"/>
      </w:divBdr>
    </w:div>
    <w:div w:id="2111466276">
      <w:bodyDiv w:val="1"/>
      <w:marLeft w:val="0"/>
      <w:marRight w:val="0"/>
      <w:marTop w:val="0"/>
      <w:marBottom w:val="0"/>
      <w:divBdr>
        <w:top w:val="none" w:sz="0" w:space="0" w:color="auto"/>
        <w:left w:val="none" w:sz="0" w:space="0" w:color="auto"/>
        <w:bottom w:val="none" w:sz="0" w:space="0" w:color="auto"/>
        <w:right w:val="none" w:sz="0" w:space="0" w:color="auto"/>
      </w:divBdr>
    </w:div>
    <w:div w:id="2111467132">
      <w:bodyDiv w:val="1"/>
      <w:marLeft w:val="0"/>
      <w:marRight w:val="0"/>
      <w:marTop w:val="0"/>
      <w:marBottom w:val="0"/>
      <w:divBdr>
        <w:top w:val="none" w:sz="0" w:space="0" w:color="auto"/>
        <w:left w:val="none" w:sz="0" w:space="0" w:color="auto"/>
        <w:bottom w:val="none" w:sz="0" w:space="0" w:color="auto"/>
        <w:right w:val="none" w:sz="0" w:space="0" w:color="auto"/>
      </w:divBdr>
    </w:div>
    <w:div w:id="2112050163">
      <w:bodyDiv w:val="1"/>
      <w:marLeft w:val="0"/>
      <w:marRight w:val="0"/>
      <w:marTop w:val="0"/>
      <w:marBottom w:val="0"/>
      <w:divBdr>
        <w:top w:val="none" w:sz="0" w:space="0" w:color="auto"/>
        <w:left w:val="none" w:sz="0" w:space="0" w:color="auto"/>
        <w:bottom w:val="none" w:sz="0" w:space="0" w:color="auto"/>
        <w:right w:val="none" w:sz="0" w:space="0" w:color="auto"/>
      </w:divBdr>
    </w:div>
    <w:div w:id="2112124102">
      <w:bodyDiv w:val="1"/>
      <w:marLeft w:val="0"/>
      <w:marRight w:val="0"/>
      <w:marTop w:val="0"/>
      <w:marBottom w:val="0"/>
      <w:divBdr>
        <w:top w:val="none" w:sz="0" w:space="0" w:color="auto"/>
        <w:left w:val="none" w:sz="0" w:space="0" w:color="auto"/>
        <w:bottom w:val="none" w:sz="0" w:space="0" w:color="auto"/>
        <w:right w:val="none" w:sz="0" w:space="0" w:color="auto"/>
      </w:divBdr>
    </w:div>
    <w:div w:id="2112161071">
      <w:bodyDiv w:val="1"/>
      <w:marLeft w:val="0"/>
      <w:marRight w:val="0"/>
      <w:marTop w:val="0"/>
      <w:marBottom w:val="0"/>
      <w:divBdr>
        <w:top w:val="none" w:sz="0" w:space="0" w:color="auto"/>
        <w:left w:val="none" w:sz="0" w:space="0" w:color="auto"/>
        <w:bottom w:val="none" w:sz="0" w:space="0" w:color="auto"/>
        <w:right w:val="none" w:sz="0" w:space="0" w:color="auto"/>
      </w:divBdr>
    </w:div>
    <w:div w:id="2112191265">
      <w:bodyDiv w:val="1"/>
      <w:marLeft w:val="0"/>
      <w:marRight w:val="0"/>
      <w:marTop w:val="0"/>
      <w:marBottom w:val="0"/>
      <w:divBdr>
        <w:top w:val="none" w:sz="0" w:space="0" w:color="auto"/>
        <w:left w:val="none" w:sz="0" w:space="0" w:color="auto"/>
        <w:bottom w:val="none" w:sz="0" w:space="0" w:color="auto"/>
        <w:right w:val="none" w:sz="0" w:space="0" w:color="auto"/>
      </w:divBdr>
    </w:div>
    <w:div w:id="2112356895">
      <w:bodyDiv w:val="1"/>
      <w:marLeft w:val="0"/>
      <w:marRight w:val="0"/>
      <w:marTop w:val="0"/>
      <w:marBottom w:val="0"/>
      <w:divBdr>
        <w:top w:val="none" w:sz="0" w:space="0" w:color="auto"/>
        <w:left w:val="none" w:sz="0" w:space="0" w:color="auto"/>
        <w:bottom w:val="none" w:sz="0" w:space="0" w:color="auto"/>
        <w:right w:val="none" w:sz="0" w:space="0" w:color="auto"/>
      </w:divBdr>
    </w:div>
    <w:div w:id="2112384846">
      <w:bodyDiv w:val="1"/>
      <w:marLeft w:val="0"/>
      <w:marRight w:val="0"/>
      <w:marTop w:val="0"/>
      <w:marBottom w:val="0"/>
      <w:divBdr>
        <w:top w:val="none" w:sz="0" w:space="0" w:color="auto"/>
        <w:left w:val="none" w:sz="0" w:space="0" w:color="auto"/>
        <w:bottom w:val="none" w:sz="0" w:space="0" w:color="auto"/>
        <w:right w:val="none" w:sz="0" w:space="0" w:color="auto"/>
      </w:divBdr>
    </w:div>
    <w:div w:id="2112427184">
      <w:bodyDiv w:val="1"/>
      <w:marLeft w:val="0"/>
      <w:marRight w:val="0"/>
      <w:marTop w:val="0"/>
      <w:marBottom w:val="0"/>
      <w:divBdr>
        <w:top w:val="none" w:sz="0" w:space="0" w:color="auto"/>
        <w:left w:val="none" w:sz="0" w:space="0" w:color="auto"/>
        <w:bottom w:val="none" w:sz="0" w:space="0" w:color="auto"/>
        <w:right w:val="none" w:sz="0" w:space="0" w:color="auto"/>
      </w:divBdr>
    </w:div>
    <w:div w:id="2112505654">
      <w:bodyDiv w:val="1"/>
      <w:marLeft w:val="0"/>
      <w:marRight w:val="0"/>
      <w:marTop w:val="0"/>
      <w:marBottom w:val="0"/>
      <w:divBdr>
        <w:top w:val="none" w:sz="0" w:space="0" w:color="auto"/>
        <w:left w:val="none" w:sz="0" w:space="0" w:color="auto"/>
        <w:bottom w:val="none" w:sz="0" w:space="0" w:color="auto"/>
        <w:right w:val="none" w:sz="0" w:space="0" w:color="auto"/>
      </w:divBdr>
    </w:div>
    <w:div w:id="2112507633">
      <w:bodyDiv w:val="1"/>
      <w:marLeft w:val="0"/>
      <w:marRight w:val="0"/>
      <w:marTop w:val="0"/>
      <w:marBottom w:val="0"/>
      <w:divBdr>
        <w:top w:val="none" w:sz="0" w:space="0" w:color="auto"/>
        <w:left w:val="none" w:sz="0" w:space="0" w:color="auto"/>
        <w:bottom w:val="none" w:sz="0" w:space="0" w:color="auto"/>
        <w:right w:val="none" w:sz="0" w:space="0" w:color="auto"/>
      </w:divBdr>
    </w:div>
    <w:div w:id="2112582591">
      <w:bodyDiv w:val="1"/>
      <w:marLeft w:val="0"/>
      <w:marRight w:val="0"/>
      <w:marTop w:val="0"/>
      <w:marBottom w:val="0"/>
      <w:divBdr>
        <w:top w:val="none" w:sz="0" w:space="0" w:color="auto"/>
        <w:left w:val="none" w:sz="0" w:space="0" w:color="auto"/>
        <w:bottom w:val="none" w:sz="0" w:space="0" w:color="auto"/>
        <w:right w:val="none" w:sz="0" w:space="0" w:color="auto"/>
      </w:divBdr>
    </w:div>
    <w:div w:id="2112623160">
      <w:bodyDiv w:val="1"/>
      <w:marLeft w:val="0"/>
      <w:marRight w:val="0"/>
      <w:marTop w:val="0"/>
      <w:marBottom w:val="0"/>
      <w:divBdr>
        <w:top w:val="none" w:sz="0" w:space="0" w:color="auto"/>
        <w:left w:val="none" w:sz="0" w:space="0" w:color="auto"/>
        <w:bottom w:val="none" w:sz="0" w:space="0" w:color="auto"/>
        <w:right w:val="none" w:sz="0" w:space="0" w:color="auto"/>
      </w:divBdr>
    </w:div>
    <w:div w:id="2112623310">
      <w:bodyDiv w:val="1"/>
      <w:marLeft w:val="0"/>
      <w:marRight w:val="0"/>
      <w:marTop w:val="0"/>
      <w:marBottom w:val="0"/>
      <w:divBdr>
        <w:top w:val="none" w:sz="0" w:space="0" w:color="auto"/>
        <w:left w:val="none" w:sz="0" w:space="0" w:color="auto"/>
        <w:bottom w:val="none" w:sz="0" w:space="0" w:color="auto"/>
        <w:right w:val="none" w:sz="0" w:space="0" w:color="auto"/>
      </w:divBdr>
    </w:div>
    <w:div w:id="2112625450">
      <w:bodyDiv w:val="1"/>
      <w:marLeft w:val="0"/>
      <w:marRight w:val="0"/>
      <w:marTop w:val="0"/>
      <w:marBottom w:val="0"/>
      <w:divBdr>
        <w:top w:val="none" w:sz="0" w:space="0" w:color="auto"/>
        <w:left w:val="none" w:sz="0" w:space="0" w:color="auto"/>
        <w:bottom w:val="none" w:sz="0" w:space="0" w:color="auto"/>
        <w:right w:val="none" w:sz="0" w:space="0" w:color="auto"/>
      </w:divBdr>
    </w:div>
    <w:div w:id="2112626225">
      <w:bodyDiv w:val="1"/>
      <w:marLeft w:val="0"/>
      <w:marRight w:val="0"/>
      <w:marTop w:val="0"/>
      <w:marBottom w:val="0"/>
      <w:divBdr>
        <w:top w:val="none" w:sz="0" w:space="0" w:color="auto"/>
        <w:left w:val="none" w:sz="0" w:space="0" w:color="auto"/>
        <w:bottom w:val="none" w:sz="0" w:space="0" w:color="auto"/>
        <w:right w:val="none" w:sz="0" w:space="0" w:color="auto"/>
      </w:divBdr>
    </w:div>
    <w:div w:id="2112628610">
      <w:bodyDiv w:val="1"/>
      <w:marLeft w:val="0"/>
      <w:marRight w:val="0"/>
      <w:marTop w:val="0"/>
      <w:marBottom w:val="0"/>
      <w:divBdr>
        <w:top w:val="none" w:sz="0" w:space="0" w:color="auto"/>
        <w:left w:val="none" w:sz="0" w:space="0" w:color="auto"/>
        <w:bottom w:val="none" w:sz="0" w:space="0" w:color="auto"/>
        <w:right w:val="none" w:sz="0" w:space="0" w:color="auto"/>
      </w:divBdr>
    </w:div>
    <w:div w:id="2112771709">
      <w:bodyDiv w:val="1"/>
      <w:marLeft w:val="0"/>
      <w:marRight w:val="0"/>
      <w:marTop w:val="0"/>
      <w:marBottom w:val="0"/>
      <w:divBdr>
        <w:top w:val="none" w:sz="0" w:space="0" w:color="auto"/>
        <w:left w:val="none" w:sz="0" w:space="0" w:color="auto"/>
        <w:bottom w:val="none" w:sz="0" w:space="0" w:color="auto"/>
        <w:right w:val="none" w:sz="0" w:space="0" w:color="auto"/>
      </w:divBdr>
    </w:div>
    <w:div w:id="2112966911">
      <w:bodyDiv w:val="1"/>
      <w:marLeft w:val="0"/>
      <w:marRight w:val="0"/>
      <w:marTop w:val="0"/>
      <w:marBottom w:val="0"/>
      <w:divBdr>
        <w:top w:val="none" w:sz="0" w:space="0" w:color="auto"/>
        <w:left w:val="none" w:sz="0" w:space="0" w:color="auto"/>
        <w:bottom w:val="none" w:sz="0" w:space="0" w:color="auto"/>
        <w:right w:val="none" w:sz="0" w:space="0" w:color="auto"/>
      </w:divBdr>
    </w:div>
    <w:div w:id="2112970337">
      <w:bodyDiv w:val="1"/>
      <w:marLeft w:val="0"/>
      <w:marRight w:val="0"/>
      <w:marTop w:val="0"/>
      <w:marBottom w:val="0"/>
      <w:divBdr>
        <w:top w:val="none" w:sz="0" w:space="0" w:color="auto"/>
        <w:left w:val="none" w:sz="0" w:space="0" w:color="auto"/>
        <w:bottom w:val="none" w:sz="0" w:space="0" w:color="auto"/>
        <w:right w:val="none" w:sz="0" w:space="0" w:color="auto"/>
      </w:divBdr>
    </w:div>
    <w:div w:id="2112973037">
      <w:bodyDiv w:val="1"/>
      <w:marLeft w:val="0"/>
      <w:marRight w:val="0"/>
      <w:marTop w:val="0"/>
      <w:marBottom w:val="0"/>
      <w:divBdr>
        <w:top w:val="none" w:sz="0" w:space="0" w:color="auto"/>
        <w:left w:val="none" w:sz="0" w:space="0" w:color="auto"/>
        <w:bottom w:val="none" w:sz="0" w:space="0" w:color="auto"/>
        <w:right w:val="none" w:sz="0" w:space="0" w:color="auto"/>
      </w:divBdr>
    </w:div>
    <w:div w:id="2113090765">
      <w:bodyDiv w:val="1"/>
      <w:marLeft w:val="0"/>
      <w:marRight w:val="0"/>
      <w:marTop w:val="0"/>
      <w:marBottom w:val="0"/>
      <w:divBdr>
        <w:top w:val="none" w:sz="0" w:space="0" w:color="auto"/>
        <w:left w:val="none" w:sz="0" w:space="0" w:color="auto"/>
        <w:bottom w:val="none" w:sz="0" w:space="0" w:color="auto"/>
        <w:right w:val="none" w:sz="0" w:space="0" w:color="auto"/>
      </w:divBdr>
    </w:div>
    <w:div w:id="2113167186">
      <w:bodyDiv w:val="1"/>
      <w:marLeft w:val="0"/>
      <w:marRight w:val="0"/>
      <w:marTop w:val="0"/>
      <w:marBottom w:val="0"/>
      <w:divBdr>
        <w:top w:val="none" w:sz="0" w:space="0" w:color="auto"/>
        <w:left w:val="none" w:sz="0" w:space="0" w:color="auto"/>
        <w:bottom w:val="none" w:sz="0" w:space="0" w:color="auto"/>
        <w:right w:val="none" w:sz="0" w:space="0" w:color="auto"/>
      </w:divBdr>
    </w:div>
    <w:div w:id="2113547660">
      <w:bodyDiv w:val="1"/>
      <w:marLeft w:val="0"/>
      <w:marRight w:val="0"/>
      <w:marTop w:val="0"/>
      <w:marBottom w:val="0"/>
      <w:divBdr>
        <w:top w:val="none" w:sz="0" w:space="0" w:color="auto"/>
        <w:left w:val="none" w:sz="0" w:space="0" w:color="auto"/>
        <w:bottom w:val="none" w:sz="0" w:space="0" w:color="auto"/>
        <w:right w:val="none" w:sz="0" w:space="0" w:color="auto"/>
      </w:divBdr>
    </w:div>
    <w:div w:id="2113625675">
      <w:bodyDiv w:val="1"/>
      <w:marLeft w:val="0"/>
      <w:marRight w:val="0"/>
      <w:marTop w:val="0"/>
      <w:marBottom w:val="0"/>
      <w:divBdr>
        <w:top w:val="none" w:sz="0" w:space="0" w:color="auto"/>
        <w:left w:val="none" w:sz="0" w:space="0" w:color="auto"/>
        <w:bottom w:val="none" w:sz="0" w:space="0" w:color="auto"/>
        <w:right w:val="none" w:sz="0" w:space="0" w:color="auto"/>
      </w:divBdr>
    </w:div>
    <w:div w:id="2113670120">
      <w:bodyDiv w:val="1"/>
      <w:marLeft w:val="0"/>
      <w:marRight w:val="0"/>
      <w:marTop w:val="0"/>
      <w:marBottom w:val="0"/>
      <w:divBdr>
        <w:top w:val="none" w:sz="0" w:space="0" w:color="auto"/>
        <w:left w:val="none" w:sz="0" w:space="0" w:color="auto"/>
        <w:bottom w:val="none" w:sz="0" w:space="0" w:color="auto"/>
        <w:right w:val="none" w:sz="0" w:space="0" w:color="auto"/>
      </w:divBdr>
    </w:div>
    <w:div w:id="2113745340">
      <w:bodyDiv w:val="1"/>
      <w:marLeft w:val="0"/>
      <w:marRight w:val="0"/>
      <w:marTop w:val="0"/>
      <w:marBottom w:val="0"/>
      <w:divBdr>
        <w:top w:val="none" w:sz="0" w:space="0" w:color="auto"/>
        <w:left w:val="none" w:sz="0" w:space="0" w:color="auto"/>
        <w:bottom w:val="none" w:sz="0" w:space="0" w:color="auto"/>
        <w:right w:val="none" w:sz="0" w:space="0" w:color="auto"/>
      </w:divBdr>
    </w:div>
    <w:div w:id="2113817111">
      <w:bodyDiv w:val="1"/>
      <w:marLeft w:val="0"/>
      <w:marRight w:val="0"/>
      <w:marTop w:val="0"/>
      <w:marBottom w:val="0"/>
      <w:divBdr>
        <w:top w:val="none" w:sz="0" w:space="0" w:color="auto"/>
        <w:left w:val="none" w:sz="0" w:space="0" w:color="auto"/>
        <w:bottom w:val="none" w:sz="0" w:space="0" w:color="auto"/>
        <w:right w:val="none" w:sz="0" w:space="0" w:color="auto"/>
      </w:divBdr>
    </w:div>
    <w:div w:id="2113865418">
      <w:bodyDiv w:val="1"/>
      <w:marLeft w:val="0"/>
      <w:marRight w:val="0"/>
      <w:marTop w:val="0"/>
      <w:marBottom w:val="0"/>
      <w:divBdr>
        <w:top w:val="none" w:sz="0" w:space="0" w:color="auto"/>
        <w:left w:val="none" w:sz="0" w:space="0" w:color="auto"/>
        <w:bottom w:val="none" w:sz="0" w:space="0" w:color="auto"/>
        <w:right w:val="none" w:sz="0" w:space="0" w:color="auto"/>
      </w:divBdr>
    </w:div>
    <w:div w:id="2113931417">
      <w:bodyDiv w:val="1"/>
      <w:marLeft w:val="0"/>
      <w:marRight w:val="0"/>
      <w:marTop w:val="0"/>
      <w:marBottom w:val="0"/>
      <w:divBdr>
        <w:top w:val="none" w:sz="0" w:space="0" w:color="auto"/>
        <w:left w:val="none" w:sz="0" w:space="0" w:color="auto"/>
        <w:bottom w:val="none" w:sz="0" w:space="0" w:color="auto"/>
        <w:right w:val="none" w:sz="0" w:space="0" w:color="auto"/>
      </w:divBdr>
    </w:div>
    <w:div w:id="2114006711">
      <w:bodyDiv w:val="1"/>
      <w:marLeft w:val="0"/>
      <w:marRight w:val="0"/>
      <w:marTop w:val="0"/>
      <w:marBottom w:val="0"/>
      <w:divBdr>
        <w:top w:val="none" w:sz="0" w:space="0" w:color="auto"/>
        <w:left w:val="none" w:sz="0" w:space="0" w:color="auto"/>
        <w:bottom w:val="none" w:sz="0" w:space="0" w:color="auto"/>
        <w:right w:val="none" w:sz="0" w:space="0" w:color="auto"/>
      </w:divBdr>
    </w:div>
    <w:div w:id="2114007246">
      <w:bodyDiv w:val="1"/>
      <w:marLeft w:val="0"/>
      <w:marRight w:val="0"/>
      <w:marTop w:val="0"/>
      <w:marBottom w:val="0"/>
      <w:divBdr>
        <w:top w:val="none" w:sz="0" w:space="0" w:color="auto"/>
        <w:left w:val="none" w:sz="0" w:space="0" w:color="auto"/>
        <w:bottom w:val="none" w:sz="0" w:space="0" w:color="auto"/>
        <w:right w:val="none" w:sz="0" w:space="0" w:color="auto"/>
      </w:divBdr>
    </w:div>
    <w:div w:id="2114327022">
      <w:bodyDiv w:val="1"/>
      <w:marLeft w:val="0"/>
      <w:marRight w:val="0"/>
      <w:marTop w:val="0"/>
      <w:marBottom w:val="0"/>
      <w:divBdr>
        <w:top w:val="none" w:sz="0" w:space="0" w:color="auto"/>
        <w:left w:val="none" w:sz="0" w:space="0" w:color="auto"/>
        <w:bottom w:val="none" w:sz="0" w:space="0" w:color="auto"/>
        <w:right w:val="none" w:sz="0" w:space="0" w:color="auto"/>
      </w:divBdr>
    </w:div>
    <w:div w:id="2114393360">
      <w:bodyDiv w:val="1"/>
      <w:marLeft w:val="0"/>
      <w:marRight w:val="0"/>
      <w:marTop w:val="0"/>
      <w:marBottom w:val="0"/>
      <w:divBdr>
        <w:top w:val="none" w:sz="0" w:space="0" w:color="auto"/>
        <w:left w:val="none" w:sz="0" w:space="0" w:color="auto"/>
        <w:bottom w:val="none" w:sz="0" w:space="0" w:color="auto"/>
        <w:right w:val="none" w:sz="0" w:space="0" w:color="auto"/>
      </w:divBdr>
    </w:div>
    <w:div w:id="2114472127">
      <w:bodyDiv w:val="1"/>
      <w:marLeft w:val="0"/>
      <w:marRight w:val="0"/>
      <w:marTop w:val="0"/>
      <w:marBottom w:val="0"/>
      <w:divBdr>
        <w:top w:val="none" w:sz="0" w:space="0" w:color="auto"/>
        <w:left w:val="none" w:sz="0" w:space="0" w:color="auto"/>
        <w:bottom w:val="none" w:sz="0" w:space="0" w:color="auto"/>
        <w:right w:val="none" w:sz="0" w:space="0" w:color="auto"/>
      </w:divBdr>
    </w:div>
    <w:div w:id="2114520031">
      <w:bodyDiv w:val="1"/>
      <w:marLeft w:val="0"/>
      <w:marRight w:val="0"/>
      <w:marTop w:val="0"/>
      <w:marBottom w:val="0"/>
      <w:divBdr>
        <w:top w:val="none" w:sz="0" w:space="0" w:color="auto"/>
        <w:left w:val="none" w:sz="0" w:space="0" w:color="auto"/>
        <w:bottom w:val="none" w:sz="0" w:space="0" w:color="auto"/>
        <w:right w:val="none" w:sz="0" w:space="0" w:color="auto"/>
      </w:divBdr>
    </w:div>
    <w:div w:id="2114593554">
      <w:bodyDiv w:val="1"/>
      <w:marLeft w:val="0"/>
      <w:marRight w:val="0"/>
      <w:marTop w:val="0"/>
      <w:marBottom w:val="0"/>
      <w:divBdr>
        <w:top w:val="none" w:sz="0" w:space="0" w:color="auto"/>
        <w:left w:val="none" w:sz="0" w:space="0" w:color="auto"/>
        <w:bottom w:val="none" w:sz="0" w:space="0" w:color="auto"/>
        <w:right w:val="none" w:sz="0" w:space="0" w:color="auto"/>
      </w:divBdr>
    </w:div>
    <w:div w:id="2114593829">
      <w:bodyDiv w:val="1"/>
      <w:marLeft w:val="0"/>
      <w:marRight w:val="0"/>
      <w:marTop w:val="0"/>
      <w:marBottom w:val="0"/>
      <w:divBdr>
        <w:top w:val="none" w:sz="0" w:space="0" w:color="auto"/>
        <w:left w:val="none" w:sz="0" w:space="0" w:color="auto"/>
        <w:bottom w:val="none" w:sz="0" w:space="0" w:color="auto"/>
        <w:right w:val="none" w:sz="0" w:space="0" w:color="auto"/>
      </w:divBdr>
    </w:div>
    <w:div w:id="2114666327">
      <w:bodyDiv w:val="1"/>
      <w:marLeft w:val="0"/>
      <w:marRight w:val="0"/>
      <w:marTop w:val="0"/>
      <w:marBottom w:val="0"/>
      <w:divBdr>
        <w:top w:val="none" w:sz="0" w:space="0" w:color="auto"/>
        <w:left w:val="none" w:sz="0" w:space="0" w:color="auto"/>
        <w:bottom w:val="none" w:sz="0" w:space="0" w:color="auto"/>
        <w:right w:val="none" w:sz="0" w:space="0" w:color="auto"/>
      </w:divBdr>
    </w:div>
    <w:div w:id="2114861759">
      <w:bodyDiv w:val="1"/>
      <w:marLeft w:val="0"/>
      <w:marRight w:val="0"/>
      <w:marTop w:val="0"/>
      <w:marBottom w:val="0"/>
      <w:divBdr>
        <w:top w:val="none" w:sz="0" w:space="0" w:color="auto"/>
        <w:left w:val="none" w:sz="0" w:space="0" w:color="auto"/>
        <w:bottom w:val="none" w:sz="0" w:space="0" w:color="auto"/>
        <w:right w:val="none" w:sz="0" w:space="0" w:color="auto"/>
      </w:divBdr>
    </w:div>
    <w:div w:id="2115007618">
      <w:bodyDiv w:val="1"/>
      <w:marLeft w:val="0"/>
      <w:marRight w:val="0"/>
      <w:marTop w:val="0"/>
      <w:marBottom w:val="0"/>
      <w:divBdr>
        <w:top w:val="none" w:sz="0" w:space="0" w:color="auto"/>
        <w:left w:val="none" w:sz="0" w:space="0" w:color="auto"/>
        <w:bottom w:val="none" w:sz="0" w:space="0" w:color="auto"/>
        <w:right w:val="none" w:sz="0" w:space="0" w:color="auto"/>
      </w:divBdr>
    </w:div>
    <w:div w:id="2115007664">
      <w:bodyDiv w:val="1"/>
      <w:marLeft w:val="0"/>
      <w:marRight w:val="0"/>
      <w:marTop w:val="0"/>
      <w:marBottom w:val="0"/>
      <w:divBdr>
        <w:top w:val="none" w:sz="0" w:space="0" w:color="auto"/>
        <w:left w:val="none" w:sz="0" w:space="0" w:color="auto"/>
        <w:bottom w:val="none" w:sz="0" w:space="0" w:color="auto"/>
        <w:right w:val="none" w:sz="0" w:space="0" w:color="auto"/>
      </w:divBdr>
    </w:div>
    <w:div w:id="2115050073">
      <w:bodyDiv w:val="1"/>
      <w:marLeft w:val="0"/>
      <w:marRight w:val="0"/>
      <w:marTop w:val="0"/>
      <w:marBottom w:val="0"/>
      <w:divBdr>
        <w:top w:val="none" w:sz="0" w:space="0" w:color="auto"/>
        <w:left w:val="none" w:sz="0" w:space="0" w:color="auto"/>
        <w:bottom w:val="none" w:sz="0" w:space="0" w:color="auto"/>
        <w:right w:val="none" w:sz="0" w:space="0" w:color="auto"/>
      </w:divBdr>
    </w:div>
    <w:div w:id="2115132204">
      <w:bodyDiv w:val="1"/>
      <w:marLeft w:val="0"/>
      <w:marRight w:val="0"/>
      <w:marTop w:val="0"/>
      <w:marBottom w:val="0"/>
      <w:divBdr>
        <w:top w:val="none" w:sz="0" w:space="0" w:color="auto"/>
        <w:left w:val="none" w:sz="0" w:space="0" w:color="auto"/>
        <w:bottom w:val="none" w:sz="0" w:space="0" w:color="auto"/>
        <w:right w:val="none" w:sz="0" w:space="0" w:color="auto"/>
      </w:divBdr>
    </w:div>
    <w:div w:id="2115201960">
      <w:bodyDiv w:val="1"/>
      <w:marLeft w:val="0"/>
      <w:marRight w:val="0"/>
      <w:marTop w:val="0"/>
      <w:marBottom w:val="0"/>
      <w:divBdr>
        <w:top w:val="none" w:sz="0" w:space="0" w:color="auto"/>
        <w:left w:val="none" w:sz="0" w:space="0" w:color="auto"/>
        <w:bottom w:val="none" w:sz="0" w:space="0" w:color="auto"/>
        <w:right w:val="none" w:sz="0" w:space="0" w:color="auto"/>
      </w:divBdr>
    </w:div>
    <w:div w:id="2115401572">
      <w:bodyDiv w:val="1"/>
      <w:marLeft w:val="0"/>
      <w:marRight w:val="0"/>
      <w:marTop w:val="0"/>
      <w:marBottom w:val="0"/>
      <w:divBdr>
        <w:top w:val="none" w:sz="0" w:space="0" w:color="auto"/>
        <w:left w:val="none" w:sz="0" w:space="0" w:color="auto"/>
        <w:bottom w:val="none" w:sz="0" w:space="0" w:color="auto"/>
        <w:right w:val="none" w:sz="0" w:space="0" w:color="auto"/>
      </w:divBdr>
    </w:div>
    <w:div w:id="2115438970">
      <w:bodyDiv w:val="1"/>
      <w:marLeft w:val="0"/>
      <w:marRight w:val="0"/>
      <w:marTop w:val="0"/>
      <w:marBottom w:val="0"/>
      <w:divBdr>
        <w:top w:val="none" w:sz="0" w:space="0" w:color="auto"/>
        <w:left w:val="none" w:sz="0" w:space="0" w:color="auto"/>
        <w:bottom w:val="none" w:sz="0" w:space="0" w:color="auto"/>
        <w:right w:val="none" w:sz="0" w:space="0" w:color="auto"/>
      </w:divBdr>
    </w:div>
    <w:div w:id="2115662055">
      <w:bodyDiv w:val="1"/>
      <w:marLeft w:val="0"/>
      <w:marRight w:val="0"/>
      <w:marTop w:val="0"/>
      <w:marBottom w:val="0"/>
      <w:divBdr>
        <w:top w:val="none" w:sz="0" w:space="0" w:color="auto"/>
        <w:left w:val="none" w:sz="0" w:space="0" w:color="auto"/>
        <w:bottom w:val="none" w:sz="0" w:space="0" w:color="auto"/>
        <w:right w:val="none" w:sz="0" w:space="0" w:color="auto"/>
      </w:divBdr>
    </w:div>
    <w:div w:id="2115712279">
      <w:bodyDiv w:val="1"/>
      <w:marLeft w:val="0"/>
      <w:marRight w:val="0"/>
      <w:marTop w:val="0"/>
      <w:marBottom w:val="0"/>
      <w:divBdr>
        <w:top w:val="none" w:sz="0" w:space="0" w:color="auto"/>
        <w:left w:val="none" w:sz="0" w:space="0" w:color="auto"/>
        <w:bottom w:val="none" w:sz="0" w:space="0" w:color="auto"/>
        <w:right w:val="none" w:sz="0" w:space="0" w:color="auto"/>
      </w:divBdr>
    </w:div>
    <w:div w:id="2115712471">
      <w:bodyDiv w:val="1"/>
      <w:marLeft w:val="0"/>
      <w:marRight w:val="0"/>
      <w:marTop w:val="0"/>
      <w:marBottom w:val="0"/>
      <w:divBdr>
        <w:top w:val="none" w:sz="0" w:space="0" w:color="auto"/>
        <w:left w:val="none" w:sz="0" w:space="0" w:color="auto"/>
        <w:bottom w:val="none" w:sz="0" w:space="0" w:color="auto"/>
        <w:right w:val="none" w:sz="0" w:space="0" w:color="auto"/>
      </w:divBdr>
    </w:div>
    <w:div w:id="2115901425">
      <w:bodyDiv w:val="1"/>
      <w:marLeft w:val="0"/>
      <w:marRight w:val="0"/>
      <w:marTop w:val="0"/>
      <w:marBottom w:val="0"/>
      <w:divBdr>
        <w:top w:val="none" w:sz="0" w:space="0" w:color="auto"/>
        <w:left w:val="none" w:sz="0" w:space="0" w:color="auto"/>
        <w:bottom w:val="none" w:sz="0" w:space="0" w:color="auto"/>
        <w:right w:val="none" w:sz="0" w:space="0" w:color="auto"/>
      </w:divBdr>
    </w:div>
    <w:div w:id="2115905434">
      <w:bodyDiv w:val="1"/>
      <w:marLeft w:val="0"/>
      <w:marRight w:val="0"/>
      <w:marTop w:val="0"/>
      <w:marBottom w:val="0"/>
      <w:divBdr>
        <w:top w:val="none" w:sz="0" w:space="0" w:color="auto"/>
        <w:left w:val="none" w:sz="0" w:space="0" w:color="auto"/>
        <w:bottom w:val="none" w:sz="0" w:space="0" w:color="auto"/>
        <w:right w:val="none" w:sz="0" w:space="0" w:color="auto"/>
      </w:divBdr>
    </w:div>
    <w:div w:id="2115905895">
      <w:bodyDiv w:val="1"/>
      <w:marLeft w:val="0"/>
      <w:marRight w:val="0"/>
      <w:marTop w:val="0"/>
      <w:marBottom w:val="0"/>
      <w:divBdr>
        <w:top w:val="none" w:sz="0" w:space="0" w:color="auto"/>
        <w:left w:val="none" w:sz="0" w:space="0" w:color="auto"/>
        <w:bottom w:val="none" w:sz="0" w:space="0" w:color="auto"/>
        <w:right w:val="none" w:sz="0" w:space="0" w:color="auto"/>
      </w:divBdr>
    </w:div>
    <w:div w:id="2116170119">
      <w:bodyDiv w:val="1"/>
      <w:marLeft w:val="0"/>
      <w:marRight w:val="0"/>
      <w:marTop w:val="0"/>
      <w:marBottom w:val="0"/>
      <w:divBdr>
        <w:top w:val="none" w:sz="0" w:space="0" w:color="auto"/>
        <w:left w:val="none" w:sz="0" w:space="0" w:color="auto"/>
        <w:bottom w:val="none" w:sz="0" w:space="0" w:color="auto"/>
        <w:right w:val="none" w:sz="0" w:space="0" w:color="auto"/>
      </w:divBdr>
    </w:div>
    <w:div w:id="2116241107">
      <w:bodyDiv w:val="1"/>
      <w:marLeft w:val="0"/>
      <w:marRight w:val="0"/>
      <w:marTop w:val="0"/>
      <w:marBottom w:val="0"/>
      <w:divBdr>
        <w:top w:val="none" w:sz="0" w:space="0" w:color="auto"/>
        <w:left w:val="none" w:sz="0" w:space="0" w:color="auto"/>
        <w:bottom w:val="none" w:sz="0" w:space="0" w:color="auto"/>
        <w:right w:val="none" w:sz="0" w:space="0" w:color="auto"/>
      </w:divBdr>
    </w:div>
    <w:div w:id="2116364532">
      <w:bodyDiv w:val="1"/>
      <w:marLeft w:val="0"/>
      <w:marRight w:val="0"/>
      <w:marTop w:val="0"/>
      <w:marBottom w:val="0"/>
      <w:divBdr>
        <w:top w:val="none" w:sz="0" w:space="0" w:color="auto"/>
        <w:left w:val="none" w:sz="0" w:space="0" w:color="auto"/>
        <w:bottom w:val="none" w:sz="0" w:space="0" w:color="auto"/>
        <w:right w:val="none" w:sz="0" w:space="0" w:color="auto"/>
      </w:divBdr>
    </w:div>
    <w:div w:id="2116435884">
      <w:bodyDiv w:val="1"/>
      <w:marLeft w:val="0"/>
      <w:marRight w:val="0"/>
      <w:marTop w:val="0"/>
      <w:marBottom w:val="0"/>
      <w:divBdr>
        <w:top w:val="none" w:sz="0" w:space="0" w:color="auto"/>
        <w:left w:val="none" w:sz="0" w:space="0" w:color="auto"/>
        <w:bottom w:val="none" w:sz="0" w:space="0" w:color="auto"/>
        <w:right w:val="none" w:sz="0" w:space="0" w:color="auto"/>
      </w:divBdr>
    </w:div>
    <w:div w:id="2116517053">
      <w:bodyDiv w:val="1"/>
      <w:marLeft w:val="0"/>
      <w:marRight w:val="0"/>
      <w:marTop w:val="0"/>
      <w:marBottom w:val="0"/>
      <w:divBdr>
        <w:top w:val="none" w:sz="0" w:space="0" w:color="auto"/>
        <w:left w:val="none" w:sz="0" w:space="0" w:color="auto"/>
        <w:bottom w:val="none" w:sz="0" w:space="0" w:color="auto"/>
        <w:right w:val="none" w:sz="0" w:space="0" w:color="auto"/>
      </w:divBdr>
    </w:div>
    <w:div w:id="2116517277">
      <w:bodyDiv w:val="1"/>
      <w:marLeft w:val="0"/>
      <w:marRight w:val="0"/>
      <w:marTop w:val="0"/>
      <w:marBottom w:val="0"/>
      <w:divBdr>
        <w:top w:val="none" w:sz="0" w:space="0" w:color="auto"/>
        <w:left w:val="none" w:sz="0" w:space="0" w:color="auto"/>
        <w:bottom w:val="none" w:sz="0" w:space="0" w:color="auto"/>
        <w:right w:val="none" w:sz="0" w:space="0" w:color="auto"/>
      </w:divBdr>
    </w:div>
    <w:div w:id="2116552691">
      <w:bodyDiv w:val="1"/>
      <w:marLeft w:val="0"/>
      <w:marRight w:val="0"/>
      <w:marTop w:val="0"/>
      <w:marBottom w:val="0"/>
      <w:divBdr>
        <w:top w:val="none" w:sz="0" w:space="0" w:color="auto"/>
        <w:left w:val="none" w:sz="0" w:space="0" w:color="auto"/>
        <w:bottom w:val="none" w:sz="0" w:space="0" w:color="auto"/>
        <w:right w:val="none" w:sz="0" w:space="0" w:color="auto"/>
      </w:divBdr>
    </w:div>
    <w:div w:id="2116557758">
      <w:bodyDiv w:val="1"/>
      <w:marLeft w:val="0"/>
      <w:marRight w:val="0"/>
      <w:marTop w:val="0"/>
      <w:marBottom w:val="0"/>
      <w:divBdr>
        <w:top w:val="none" w:sz="0" w:space="0" w:color="auto"/>
        <w:left w:val="none" w:sz="0" w:space="0" w:color="auto"/>
        <w:bottom w:val="none" w:sz="0" w:space="0" w:color="auto"/>
        <w:right w:val="none" w:sz="0" w:space="0" w:color="auto"/>
      </w:divBdr>
    </w:div>
    <w:div w:id="2116706863">
      <w:bodyDiv w:val="1"/>
      <w:marLeft w:val="0"/>
      <w:marRight w:val="0"/>
      <w:marTop w:val="0"/>
      <w:marBottom w:val="0"/>
      <w:divBdr>
        <w:top w:val="none" w:sz="0" w:space="0" w:color="auto"/>
        <w:left w:val="none" w:sz="0" w:space="0" w:color="auto"/>
        <w:bottom w:val="none" w:sz="0" w:space="0" w:color="auto"/>
        <w:right w:val="none" w:sz="0" w:space="0" w:color="auto"/>
      </w:divBdr>
    </w:div>
    <w:div w:id="2116779332">
      <w:bodyDiv w:val="1"/>
      <w:marLeft w:val="0"/>
      <w:marRight w:val="0"/>
      <w:marTop w:val="0"/>
      <w:marBottom w:val="0"/>
      <w:divBdr>
        <w:top w:val="none" w:sz="0" w:space="0" w:color="auto"/>
        <w:left w:val="none" w:sz="0" w:space="0" w:color="auto"/>
        <w:bottom w:val="none" w:sz="0" w:space="0" w:color="auto"/>
        <w:right w:val="none" w:sz="0" w:space="0" w:color="auto"/>
      </w:divBdr>
    </w:div>
    <w:div w:id="2116820981">
      <w:bodyDiv w:val="1"/>
      <w:marLeft w:val="0"/>
      <w:marRight w:val="0"/>
      <w:marTop w:val="0"/>
      <w:marBottom w:val="0"/>
      <w:divBdr>
        <w:top w:val="none" w:sz="0" w:space="0" w:color="auto"/>
        <w:left w:val="none" w:sz="0" w:space="0" w:color="auto"/>
        <w:bottom w:val="none" w:sz="0" w:space="0" w:color="auto"/>
        <w:right w:val="none" w:sz="0" w:space="0" w:color="auto"/>
      </w:divBdr>
    </w:div>
    <w:div w:id="2116830264">
      <w:bodyDiv w:val="1"/>
      <w:marLeft w:val="0"/>
      <w:marRight w:val="0"/>
      <w:marTop w:val="0"/>
      <w:marBottom w:val="0"/>
      <w:divBdr>
        <w:top w:val="none" w:sz="0" w:space="0" w:color="auto"/>
        <w:left w:val="none" w:sz="0" w:space="0" w:color="auto"/>
        <w:bottom w:val="none" w:sz="0" w:space="0" w:color="auto"/>
        <w:right w:val="none" w:sz="0" w:space="0" w:color="auto"/>
      </w:divBdr>
    </w:div>
    <w:div w:id="2116899378">
      <w:bodyDiv w:val="1"/>
      <w:marLeft w:val="0"/>
      <w:marRight w:val="0"/>
      <w:marTop w:val="0"/>
      <w:marBottom w:val="0"/>
      <w:divBdr>
        <w:top w:val="none" w:sz="0" w:space="0" w:color="auto"/>
        <w:left w:val="none" w:sz="0" w:space="0" w:color="auto"/>
        <w:bottom w:val="none" w:sz="0" w:space="0" w:color="auto"/>
        <w:right w:val="none" w:sz="0" w:space="0" w:color="auto"/>
      </w:divBdr>
    </w:div>
    <w:div w:id="2116899811">
      <w:bodyDiv w:val="1"/>
      <w:marLeft w:val="0"/>
      <w:marRight w:val="0"/>
      <w:marTop w:val="0"/>
      <w:marBottom w:val="0"/>
      <w:divBdr>
        <w:top w:val="none" w:sz="0" w:space="0" w:color="auto"/>
        <w:left w:val="none" w:sz="0" w:space="0" w:color="auto"/>
        <w:bottom w:val="none" w:sz="0" w:space="0" w:color="auto"/>
        <w:right w:val="none" w:sz="0" w:space="0" w:color="auto"/>
      </w:divBdr>
    </w:div>
    <w:div w:id="2117017060">
      <w:bodyDiv w:val="1"/>
      <w:marLeft w:val="0"/>
      <w:marRight w:val="0"/>
      <w:marTop w:val="0"/>
      <w:marBottom w:val="0"/>
      <w:divBdr>
        <w:top w:val="none" w:sz="0" w:space="0" w:color="auto"/>
        <w:left w:val="none" w:sz="0" w:space="0" w:color="auto"/>
        <w:bottom w:val="none" w:sz="0" w:space="0" w:color="auto"/>
        <w:right w:val="none" w:sz="0" w:space="0" w:color="auto"/>
      </w:divBdr>
    </w:div>
    <w:div w:id="2117022622">
      <w:bodyDiv w:val="1"/>
      <w:marLeft w:val="0"/>
      <w:marRight w:val="0"/>
      <w:marTop w:val="0"/>
      <w:marBottom w:val="0"/>
      <w:divBdr>
        <w:top w:val="none" w:sz="0" w:space="0" w:color="auto"/>
        <w:left w:val="none" w:sz="0" w:space="0" w:color="auto"/>
        <w:bottom w:val="none" w:sz="0" w:space="0" w:color="auto"/>
        <w:right w:val="none" w:sz="0" w:space="0" w:color="auto"/>
      </w:divBdr>
    </w:div>
    <w:div w:id="2117097154">
      <w:bodyDiv w:val="1"/>
      <w:marLeft w:val="0"/>
      <w:marRight w:val="0"/>
      <w:marTop w:val="0"/>
      <w:marBottom w:val="0"/>
      <w:divBdr>
        <w:top w:val="none" w:sz="0" w:space="0" w:color="auto"/>
        <w:left w:val="none" w:sz="0" w:space="0" w:color="auto"/>
        <w:bottom w:val="none" w:sz="0" w:space="0" w:color="auto"/>
        <w:right w:val="none" w:sz="0" w:space="0" w:color="auto"/>
      </w:divBdr>
    </w:div>
    <w:div w:id="2117213482">
      <w:bodyDiv w:val="1"/>
      <w:marLeft w:val="0"/>
      <w:marRight w:val="0"/>
      <w:marTop w:val="0"/>
      <w:marBottom w:val="0"/>
      <w:divBdr>
        <w:top w:val="none" w:sz="0" w:space="0" w:color="auto"/>
        <w:left w:val="none" w:sz="0" w:space="0" w:color="auto"/>
        <w:bottom w:val="none" w:sz="0" w:space="0" w:color="auto"/>
        <w:right w:val="none" w:sz="0" w:space="0" w:color="auto"/>
      </w:divBdr>
    </w:div>
    <w:div w:id="2117292286">
      <w:bodyDiv w:val="1"/>
      <w:marLeft w:val="0"/>
      <w:marRight w:val="0"/>
      <w:marTop w:val="0"/>
      <w:marBottom w:val="0"/>
      <w:divBdr>
        <w:top w:val="none" w:sz="0" w:space="0" w:color="auto"/>
        <w:left w:val="none" w:sz="0" w:space="0" w:color="auto"/>
        <w:bottom w:val="none" w:sz="0" w:space="0" w:color="auto"/>
        <w:right w:val="none" w:sz="0" w:space="0" w:color="auto"/>
      </w:divBdr>
    </w:div>
    <w:div w:id="2117363696">
      <w:bodyDiv w:val="1"/>
      <w:marLeft w:val="0"/>
      <w:marRight w:val="0"/>
      <w:marTop w:val="0"/>
      <w:marBottom w:val="0"/>
      <w:divBdr>
        <w:top w:val="none" w:sz="0" w:space="0" w:color="auto"/>
        <w:left w:val="none" w:sz="0" w:space="0" w:color="auto"/>
        <w:bottom w:val="none" w:sz="0" w:space="0" w:color="auto"/>
        <w:right w:val="none" w:sz="0" w:space="0" w:color="auto"/>
      </w:divBdr>
    </w:div>
    <w:div w:id="2117405497">
      <w:bodyDiv w:val="1"/>
      <w:marLeft w:val="0"/>
      <w:marRight w:val="0"/>
      <w:marTop w:val="0"/>
      <w:marBottom w:val="0"/>
      <w:divBdr>
        <w:top w:val="none" w:sz="0" w:space="0" w:color="auto"/>
        <w:left w:val="none" w:sz="0" w:space="0" w:color="auto"/>
        <w:bottom w:val="none" w:sz="0" w:space="0" w:color="auto"/>
        <w:right w:val="none" w:sz="0" w:space="0" w:color="auto"/>
      </w:divBdr>
    </w:div>
    <w:div w:id="2117405501">
      <w:bodyDiv w:val="1"/>
      <w:marLeft w:val="0"/>
      <w:marRight w:val="0"/>
      <w:marTop w:val="0"/>
      <w:marBottom w:val="0"/>
      <w:divBdr>
        <w:top w:val="none" w:sz="0" w:space="0" w:color="auto"/>
        <w:left w:val="none" w:sz="0" w:space="0" w:color="auto"/>
        <w:bottom w:val="none" w:sz="0" w:space="0" w:color="auto"/>
        <w:right w:val="none" w:sz="0" w:space="0" w:color="auto"/>
      </w:divBdr>
    </w:div>
    <w:div w:id="2117481111">
      <w:bodyDiv w:val="1"/>
      <w:marLeft w:val="0"/>
      <w:marRight w:val="0"/>
      <w:marTop w:val="0"/>
      <w:marBottom w:val="0"/>
      <w:divBdr>
        <w:top w:val="none" w:sz="0" w:space="0" w:color="auto"/>
        <w:left w:val="none" w:sz="0" w:space="0" w:color="auto"/>
        <w:bottom w:val="none" w:sz="0" w:space="0" w:color="auto"/>
        <w:right w:val="none" w:sz="0" w:space="0" w:color="auto"/>
      </w:divBdr>
    </w:div>
    <w:div w:id="2117671207">
      <w:bodyDiv w:val="1"/>
      <w:marLeft w:val="0"/>
      <w:marRight w:val="0"/>
      <w:marTop w:val="0"/>
      <w:marBottom w:val="0"/>
      <w:divBdr>
        <w:top w:val="none" w:sz="0" w:space="0" w:color="auto"/>
        <w:left w:val="none" w:sz="0" w:space="0" w:color="auto"/>
        <w:bottom w:val="none" w:sz="0" w:space="0" w:color="auto"/>
        <w:right w:val="none" w:sz="0" w:space="0" w:color="auto"/>
      </w:divBdr>
    </w:div>
    <w:div w:id="2117676298">
      <w:bodyDiv w:val="1"/>
      <w:marLeft w:val="0"/>
      <w:marRight w:val="0"/>
      <w:marTop w:val="0"/>
      <w:marBottom w:val="0"/>
      <w:divBdr>
        <w:top w:val="none" w:sz="0" w:space="0" w:color="auto"/>
        <w:left w:val="none" w:sz="0" w:space="0" w:color="auto"/>
        <w:bottom w:val="none" w:sz="0" w:space="0" w:color="auto"/>
        <w:right w:val="none" w:sz="0" w:space="0" w:color="auto"/>
      </w:divBdr>
    </w:div>
    <w:div w:id="2117748325">
      <w:bodyDiv w:val="1"/>
      <w:marLeft w:val="0"/>
      <w:marRight w:val="0"/>
      <w:marTop w:val="0"/>
      <w:marBottom w:val="0"/>
      <w:divBdr>
        <w:top w:val="none" w:sz="0" w:space="0" w:color="auto"/>
        <w:left w:val="none" w:sz="0" w:space="0" w:color="auto"/>
        <w:bottom w:val="none" w:sz="0" w:space="0" w:color="auto"/>
        <w:right w:val="none" w:sz="0" w:space="0" w:color="auto"/>
      </w:divBdr>
    </w:div>
    <w:div w:id="2117752549">
      <w:bodyDiv w:val="1"/>
      <w:marLeft w:val="0"/>
      <w:marRight w:val="0"/>
      <w:marTop w:val="0"/>
      <w:marBottom w:val="0"/>
      <w:divBdr>
        <w:top w:val="none" w:sz="0" w:space="0" w:color="auto"/>
        <w:left w:val="none" w:sz="0" w:space="0" w:color="auto"/>
        <w:bottom w:val="none" w:sz="0" w:space="0" w:color="auto"/>
        <w:right w:val="none" w:sz="0" w:space="0" w:color="auto"/>
      </w:divBdr>
    </w:div>
    <w:div w:id="2117943443">
      <w:bodyDiv w:val="1"/>
      <w:marLeft w:val="0"/>
      <w:marRight w:val="0"/>
      <w:marTop w:val="0"/>
      <w:marBottom w:val="0"/>
      <w:divBdr>
        <w:top w:val="none" w:sz="0" w:space="0" w:color="auto"/>
        <w:left w:val="none" w:sz="0" w:space="0" w:color="auto"/>
        <w:bottom w:val="none" w:sz="0" w:space="0" w:color="auto"/>
        <w:right w:val="none" w:sz="0" w:space="0" w:color="auto"/>
      </w:divBdr>
    </w:div>
    <w:div w:id="2118018683">
      <w:bodyDiv w:val="1"/>
      <w:marLeft w:val="0"/>
      <w:marRight w:val="0"/>
      <w:marTop w:val="0"/>
      <w:marBottom w:val="0"/>
      <w:divBdr>
        <w:top w:val="none" w:sz="0" w:space="0" w:color="auto"/>
        <w:left w:val="none" w:sz="0" w:space="0" w:color="auto"/>
        <w:bottom w:val="none" w:sz="0" w:space="0" w:color="auto"/>
        <w:right w:val="none" w:sz="0" w:space="0" w:color="auto"/>
      </w:divBdr>
    </w:div>
    <w:div w:id="2118061231">
      <w:bodyDiv w:val="1"/>
      <w:marLeft w:val="0"/>
      <w:marRight w:val="0"/>
      <w:marTop w:val="0"/>
      <w:marBottom w:val="0"/>
      <w:divBdr>
        <w:top w:val="none" w:sz="0" w:space="0" w:color="auto"/>
        <w:left w:val="none" w:sz="0" w:space="0" w:color="auto"/>
        <w:bottom w:val="none" w:sz="0" w:space="0" w:color="auto"/>
        <w:right w:val="none" w:sz="0" w:space="0" w:color="auto"/>
      </w:divBdr>
    </w:div>
    <w:div w:id="2118214669">
      <w:bodyDiv w:val="1"/>
      <w:marLeft w:val="0"/>
      <w:marRight w:val="0"/>
      <w:marTop w:val="0"/>
      <w:marBottom w:val="0"/>
      <w:divBdr>
        <w:top w:val="none" w:sz="0" w:space="0" w:color="auto"/>
        <w:left w:val="none" w:sz="0" w:space="0" w:color="auto"/>
        <w:bottom w:val="none" w:sz="0" w:space="0" w:color="auto"/>
        <w:right w:val="none" w:sz="0" w:space="0" w:color="auto"/>
      </w:divBdr>
    </w:div>
    <w:div w:id="2118216280">
      <w:bodyDiv w:val="1"/>
      <w:marLeft w:val="0"/>
      <w:marRight w:val="0"/>
      <w:marTop w:val="0"/>
      <w:marBottom w:val="0"/>
      <w:divBdr>
        <w:top w:val="none" w:sz="0" w:space="0" w:color="auto"/>
        <w:left w:val="none" w:sz="0" w:space="0" w:color="auto"/>
        <w:bottom w:val="none" w:sz="0" w:space="0" w:color="auto"/>
        <w:right w:val="none" w:sz="0" w:space="0" w:color="auto"/>
      </w:divBdr>
    </w:div>
    <w:div w:id="2118258786">
      <w:bodyDiv w:val="1"/>
      <w:marLeft w:val="0"/>
      <w:marRight w:val="0"/>
      <w:marTop w:val="0"/>
      <w:marBottom w:val="0"/>
      <w:divBdr>
        <w:top w:val="none" w:sz="0" w:space="0" w:color="auto"/>
        <w:left w:val="none" w:sz="0" w:space="0" w:color="auto"/>
        <w:bottom w:val="none" w:sz="0" w:space="0" w:color="auto"/>
        <w:right w:val="none" w:sz="0" w:space="0" w:color="auto"/>
      </w:divBdr>
    </w:div>
    <w:div w:id="2118324736">
      <w:bodyDiv w:val="1"/>
      <w:marLeft w:val="0"/>
      <w:marRight w:val="0"/>
      <w:marTop w:val="0"/>
      <w:marBottom w:val="0"/>
      <w:divBdr>
        <w:top w:val="none" w:sz="0" w:space="0" w:color="auto"/>
        <w:left w:val="none" w:sz="0" w:space="0" w:color="auto"/>
        <w:bottom w:val="none" w:sz="0" w:space="0" w:color="auto"/>
        <w:right w:val="none" w:sz="0" w:space="0" w:color="auto"/>
      </w:divBdr>
    </w:div>
    <w:div w:id="2118325832">
      <w:bodyDiv w:val="1"/>
      <w:marLeft w:val="0"/>
      <w:marRight w:val="0"/>
      <w:marTop w:val="0"/>
      <w:marBottom w:val="0"/>
      <w:divBdr>
        <w:top w:val="none" w:sz="0" w:space="0" w:color="auto"/>
        <w:left w:val="none" w:sz="0" w:space="0" w:color="auto"/>
        <w:bottom w:val="none" w:sz="0" w:space="0" w:color="auto"/>
        <w:right w:val="none" w:sz="0" w:space="0" w:color="auto"/>
      </w:divBdr>
    </w:div>
    <w:div w:id="2118332401">
      <w:bodyDiv w:val="1"/>
      <w:marLeft w:val="0"/>
      <w:marRight w:val="0"/>
      <w:marTop w:val="0"/>
      <w:marBottom w:val="0"/>
      <w:divBdr>
        <w:top w:val="none" w:sz="0" w:space="0" w:color="auto"/>
        <w:left w:val="none" w:sz="0" w:space="0" w:color="auto"/>
        <w:bottom w:val="none" w:sz="0" w:space="0" w:color="auto"/>
        <w:right w:val="none" w:sz="0" w:space="0" w:color="auto"/>
      </w:divBdr>
    </w:div>
    <w:div w:id="2118405725">
      <w:bodyDiv w:val="1"/>
      <w:marLeft w:val="0"/>
      <w:marRight w:val="0"/>
      <w:marTop w:val="0"/>
      <w:marBottom w:val="0"/>
      <w:divBdr>
        <w:top w:val="none" w:sz="0" w:space="0" w:color="auto"/>
        <w:left w:val="none" w:sz="0" w:space="0" w:color="auto"/>
        <w:bottom w:val="none" w:sz="0" w:space="0" w:color="auto"/>
        <w:right w:val="none" w:sz="0" w:space="0" w:color="auto"/>
      </w:divBdr>
    </w:div>
    <w:div w:id="2118409234">
      <w:bodyDiv w:val="1"/>
      <w:marLeft w:val="0"/>
      <w:marRight w:val="0"/>
      <w:marTop w:val="0"/>
      <w:marBottom w:val="0"/>
      <w:divBdr>
        <w:top w:val="none" w:sz="0" w:space="0" w:color="auto"/>
        <w:left w:val="none" w:sz="0" w:space="0" w:color="auto"/>
        <w:bottom w:val="none" w:sz="0" w:space="0" w:color="auto"/>
        <w:right w:val="none" w:sz="0" w:space="0" w:color="auto"/>
      </w:divBdr>
    </w:div>
    <w:div w:id="2118479981">
      <w:bodyDiv w:val="1"/>
      <w:marLeft w:val="0"/>
      <w:marRight w:val="0"/>
      <w:marTop w:val="0"/>
      <w:marBottom w:val="0"/>
      <w:divBdr>
        <w:top w:val="none" w:sz="0" w:space="0" w:color="auto"/>
        <w:left w:val="none" w:sz="0" w:space="0" w:color="auto"/>
        <w:bottom w:val="none" w:sz="0" w:space="0" w:color="auto"/>
        <w:right w:val="none" w:sz="0" w:space="0" w:color="auto"/>
      </w:divBdr>
    </w:div>
    <w:div w:id="2118598305">
      <w:bodyDiv w:val="1"/>
      <w:marLeft w:val="0"/>
      <w:marRight w:val="0"/>
      <w:marTop w:val="0"/>
      <w:marBottom w:val="0"/>
      <w:divBdr>
        <w:top w:val="none" w:sz="0" w:space="0" w:color="auto"/>
        <w:left w:val="none" w:sz="0" w:space="0" w:color="auto"/>
        <w:bottom w:val="none" w:sz="0" w:space="0" w:color="auto"/>
        <w:right w:val="none" w:sz="0" w:space="0" w:color="auto"/>
      </w:divBdr>
    </w:div>
    <w:div w:id="2118600420">
      <w:bodyDiv w:val="1"/>
      <w:marLeft w:val="0"/>
      <w:marRight w:val="0"/>
      <w:marTop w:val="0"/>
      <w:marBottom w:val="0"/>
      <w:divBdr>
        <w:top w:val="none" w:sz="0" w:space="0" w:color="auto"/>
        <w:left w:val="none" w:sz="0" w:space="0" w:color="auto"/>
        <w:bottom w:val="none" w:sz="0" w:space="0" w:color="auto"/>
        <w:right w:val="none" w:sz="0" w:space="0" w:color="auto"/>
      </w:divBdr>
    </w:div>
    <w:div w:id="2118674660">
      <w:bodyDiv w:val="1"/>
      <w:marLeft w:val="0"/>
      <w:marRight w:val="0"/>
      <w:marTop w:val="0"/>
      <w:marBottom w:val="0"/>
      <w:divBdr>
        <w:top w:val="none" w:sz="0" w:space="0" w:color="auto"/>
        <w:left w:val="none" w:sz="0" w:space="0" w:color="auto"/>
        <w:bottom w:val="none" w:sz="0" w:space="0" w:color="auto"/>
        <w:right w:val="none" w:sz="0" w:space="0" w:color="auto"/>
      </w:divBdr>
    </w:div>
    <w:div w:id="2118720361">
      <w:bodyDiv w:val="1"/>
      <w:marLeft w:val="0"/>
      <w:marRight w:val="0"/>
      <w:marTop w:val="0"/>
      <w:marBottom w:val="0"/>
      <w:divBdr>
        <w:top w:val="none" w:sz="0" w:space="0" w:color="auto"/>
        <w:left w:val="none" w:sz="0" w:space="0" w:color="auto"/>
        <w:bottom w:val="none" w:sz="0" w:space="0" w:color="auto"/>
        <w:right w:val="none" w:sz="0" w:space="0" w:color="auto"/>
      </w:divBdr>
    </w:div>
    <w:div w:id="2118864358">
      <w:bodyDiv w:val="1"/>
      <w:marLeft w:val="0"/>
      <w:marRight w:val="0"/>
      <w:marTop w:val="0"/>
      <w:marBottom w:val="0"/>
      <w:divBdr>
        <w:top w:val="none" w:sz="0" w:space="0" w:color="auto"/>
        <w:left w:val="none" w:sz="0" w:space="0" w:color="auto"/>
        <w:bottom w:val="none" w:sz="0" w:space="0" w:color="auto"/>
        <w:right w:val="none" w:sz="0" w:space="0" w:color="auto"/>
      </w:divBdr>
    </w:div>
    <w:div w:id="2118986578">
      <w:bodyDiv w:val="1"/>
      <w:marLeft w:val="0"/>
      <w:marRight w:val="0"/>
      <w:marTop w:val="0"/>
      <w:marBottom w:val="0"/>
      <w:divBdr>
        <w:top w:val="none" w:sz="0" w:space="0" w:color="auto"/>
        <w:left w:val="none" w:sz="0" w:space="0" w:color="auto"/>
        <w:bottom w:val="none" w:sz="0" w:space="0" w:color="auto"/>
        <w:right w:val="none" w:sz="0" w:space="0" w:color="auto"/>
      </w:divBdr>
    </w:div>
    <w:div w:id="2119137993">
      <w:bodyDiv w:val="1"/>
      <w:marLeft w:val="0"/>
      <w:marRight w:val="0"/>
      <w:marTop w:val="0"/>
      <w:marBottom w:val="0"/>
      <w:divBdr>
        <w:top w:val="none" w:sz="0" w:space="0" w:color="auto"/>
        <w:left w:val="none" w:sz="0" w:space="0" w:color="auto"/>
        <w:bottom w:val="none" w:sz="0" w:space="0" w:color="auto"/>
        <w:right w:val="none" w:sz="0" w:space="0" w:color="auto"/>
      </w:divBdr>
    </w:div>
    <w:div w:id="2119173975">
      <w:bodyDiv w:val="1"/>
      <w:marLeft w:val="0"/>
      <w:marRight w:val="0"/>
      <w:marTop w:val="0"/>
      <w:marBottom w:val="0"/>
      <w:divBdr>
        <w:top w:val="none" w:sz="0" w:space="0" w:color="auto"/>
        <w:left w:val="none" w:sz="0" w:space="0" w:color="auto"/>
        <w:bottom w:val="none" w:sz="0" w:space="0" w:color="auto"/>
        <w:right w:val="none" w:sz="0" w:space="0" w:color="auto"/>
      </w:divBdr>
    </w:div>
    <w:div w:id="2119177481">
      <w:bodyDiv w:val="1"/>
      <w:marLeft w:val="0"/>
      <w:marRight w:val="0"/>
      <w:marTop w:val="0"/>
      <w:marBottom w:val="0"/>
      <w:divBdr>
        <w:top w:val="none" w:sz="0" w:space="0" w:color="auto"/>
        <w:left w:val="none" w:sz="0" w:space="0" w:color="auto"/>
        <w:bottom w:val="none" w:sz="0" w:space="0" w:color="auto"/>
        <w:right w:val="none" w:sz="0" w:space="0" w:color="auto"/>
      </w:divBdr>
    </w:div>
    <w:div w:id="2119327091">
      <w:bodyDiv w:val="1"/>
      <w:marLeft w:val="0"/>
      <w:marRight w:val="0"/>
      <w:marTop w:val="0"/>
      <w:marBottom w:val="0"/>
      <w:divBdr>
        <w:top w:val="none" w:sz="0" w:space="0" w:color="auto"/>
        <w:left w:val="none" w:sz="0" w:space="0" w:color="auto"/>
        <w:bottom w:val="none" w:sz="0" w:space="0" w:color="auto"/>
        <w:right w:val="none" w:sz="0" w:space="0" w:color="auto"/>
      </w:divBdr>
    </w:div>
    <w:div w:id="2119373802">
      <w:bodyDiv w:val="1"/>
      <w:marLeft w:val="0"/>
      <w:marRight w:val="0"/>
      <w:marTop w:val="0"/>
      <w:marBottom w:val="0"/>
      <w:divBdr>
        <w:top w:val="none" w:sz="0" w:space="0" w:color="auto"/>
        <w:left w:val="none" w:sz="0" w:space="0" w:color="auto"/>
        <w:bottom w:val="none" w:sz="0" w:space="0" w:color="auto"/>
        <w:right w:val="none" w:sz="0" w:space="0" w:color="auto"/>
      </w:divBdr>
    </w:div>
    <w:div w:id="2119375468">
      <w:bodyDiv w:val="1"/>
      <w:marLeft w:val="0"/>
      <w:marRight w:val="0"/>
      <w:marTop w:val="0"/>
      <w:marBottom w:val="0"/>
      <w:divBdr>
        <w:top w:val="none" w:sz="0" w:space="0" w:color="auto"/>
        <w:left w:val="none" w:sz="0" w:space="0" w:color="auto"/>
        <w:bottom w:val="none" w:sz="0" w:space="0" w:color="auto"/>
        <w:right w:val="none" w:sz="0" w:space="0" w:color="auto"/>
      </w:divBdr>
    </w:div>
    <w:div w:id="2119449829">
      <w:bodyDiv w:val="1"/>
      <w:marLeft w:val="0"/>
      <w:marRight w:val="0"/>
      <w:marTop w:val="0"/>
      <w:marBottom w:val="0"/>
      <w:divBdr>
        <w:top w:val="none" w:sz="0" w:space="0" w:color="auto"/>
        <w:left w:val="none" w:sz="0" w:space="0" w:color="auto"/>
        <w:bottom w:val="none" w:sz="0" w:space="0" w:color="auto"/>
        <w:right w:val="none" w:sz="0" w:space="0" w:color="auto"/>
      </w:divBdr>
    </w:div>
    <w:div w:id="2119524175">
      <w:bodyDiv w:val="1"/>
      <w:marLeft w:val="0"/>
      <w:marRight w:val="0"/>
      <w:marTop w:val="0"/>
      <w:marBottom w:val="0"/>
      <w:divBdr>
        <w:top w:val="none" w:sz="0" w:space="0" w:color="auto"/>
        <w:left w:val="none" w:sz="0" w:space="0" w:color="auto"/>
        <w:bottom w:val="none" w:sz="0" w:space="0" w:color="auto"/>
        <w:right w:val="none" w:sz="0" w:space="0" w:color="auto"/>
      </w:divBdr>
    </w:div>
    <w:div w:id="2119525391">
      <w:bodyDiv w:val="1"/>
      <w:marLeft w:val="0"/>
      <w:marRight w:val="0"/>
      <w:marTop w:val="0"/>
      <w:marBottom w:val="0"/>
      <w:divBdr>
        <w:top w:val="none" w:sz="0" w:space="0" w:color="auto"/>
        <w:left w:val="none" w:sz="0" w:space="0" w:color="auto"/>
        <w:bottom w:val="none" w:sz="0" w:space="0" w:color="auto"/>
        <w:right w:val="none" w:sz="0" w:space="0" w:color="auto"/>
      </w:divBdr>
    </w:div>
    <w:div w:id="2119636762">
      <w:bodyDiv w:val="1"/>
      <w:marLeft w:val="0"/>
      <w:marRight w:val="0"/>
      <w:marTop w:val="0"/>
      <w:marBottom w:val="0"/>
      <w:divBdr>
        <w:top w:val="none" w:sz="0" w:space="0" w:color="auto"/>
        <w:left w:val="none" w:sz="0" w:space="0" w:color="auto"/>
        <w:bottom w:val="none" w:sz="0" w:space="0" w:color="auto"/>
        <w:right w:val="none" w:sz="0" w:space="0" w:color="auto"/>
      </w:divBdr>
    </w:div>
    <w:div w:id="2119712799">
      <w:bodyDiv w:val="1"/>
      <w:marLeft w:val="0"/>
      <w:marRight w:val="0"/>
      <w:marTop w:val="0"/>
      <w:marBottom w:val="0"/>
      <w:divBdr>
        <w:top w:val="none" w:sz="0" w:space="0" w:color="auto"/>
        <w:left w:val="none" w:sz="0" w:space="0" w:color="auto"/>
        <w:bottom w:val="none" w:sz="0" w:space="0" w:color="auto"/>
        <w:right w:val="none" w:sz="0" w:space="0" w:color="auto"/>
      </w:divBdr>
    </w:div>
    <w:div w:id="2119913460">
      <w:bodyDiv w:val="1"/>
      <w:marLeft w:val="0"/>
      <w:marRight w:val="0"/>
      <w:marTop w:val="0"/>
      <w:marBottom w:val="0"/>
      <w:divBdr>
        <w:top w:val="none" w:sz="0" w:space="0" w:color="auto"/>
        <w:left w:val="none" w:sz="0" w:space="0" w:color="auto"/>
        <w:bottom w:val="none" w:sz="0" w:space="0" w:color="auto"/>
        <w:right w:val="none" w:sz="0" w:space="0" w:color="auto"/>
      </w:divBdr>
    </w:div>
    <w:div w:id="2120106860">
      <w:bodyDiv w:val="1"/>
      <w:marLeft w:val="0"/>
      <w:marRight w:val="0"/>
      <w:marTop w:val="0"/>
      <w:marBottom w:val="0"/>
      <w:divBdr>
        <w:top w:val="none" w:sz="0" w:space="0" w:color="auto"/>
        <w:left w:val="none" w:sz="0" w:space="0" w:color="auto"/>
        <w:bottom w:val="none" w:sz="0" w:space="0" w:color="auto"/>
        <w:right w:val="none" w:sz="0" w:space="0" w:color="auto"/>
      </w:divBdr>
    </w:div>
    <w:div w:id="2120181518">
      <w:bodyDiv w:val="1"/>
      <w:marLeft w:val="0"/>
      <w:marRight w:val="0"/>
      <w:marTop w:val="0"/>
      <w:marBottom w:val="0"/>
      <w:divBdr>
        <w:top w:val="none" w:sz="0" w:space="0" w:color="auto"/>
        <w:left w:val="none" w:sz="0" w:space="0" w:color="auto"/>
        <w:bottom w:val="none" w:sz="0" w:space="0" w:color="auto"/>
        <w:right w:val="none" w:sz="0" w:space="0" w:color="auto"/>
      </w:divBdr>
    </w:div>
    <w:div w:id="2120181764">
      <w:bodyDiv w:val="1"/>
      <w:marLeft w:val="0"/>
      <w:marRight w:val="0"/>
      <w:marTop w:val="0"/>
      <w:marBottom w:val="0"/>
      <w:divBdr>
        <w:top w:val="none" w:sz="0" w:space="0" w:color="auto"/>
        <w:left w:val="none" w:sz="0" w:space="0" w:color="auto"/>
        <w:bottom w:val="none" w:sz="0" w:space="0" w:color="auto"/>
        <w:right w:val="none" w:sz="0" w:space="0" w:color="auto"/>
      </w:divBdr>
    </w:div>
    <w:div w:id="2120222118">
      <w:bodyDiv w:val="1"/>
      <w:marLeft w:val="0"/>
      <w:marRight w:val="0"/>
      <w:marTop w:val="0"/>
      <w:marBottom w:val="0"/>
      <w:divBdr>
        <w:top w:val="none" w:sz="0" w:space="0" w:color="auto"/>
        <w:left w:val="none" w:sz="0" w:space="0" w:color="auto"/>
        <w:bottom w:val="none" w:sz="0" w:space="0" w:color="auto"/>
        <w:right w:val="none" w:sz="0" w:space="0" w:color="auto"/>
      </w:divBdr>
    </w:div>
    <w:div w:id="2120291457">
      <w:bodyDiv w:val="1"/>
      <w:marLeft w:val="0"/>
      <w:marRight w:val="0"/>
      <w:marTop w:val="0"/>
      <w:marBottom w:val="0"/>
      <w:divBdr>
        <w:top w:val="none" w:sz="0" w:space="0" w:color="auto"/>
        <w:left w:val="none" w:sz="0" w:space="0" w:color="auto"/>
        <w:bottom w:val="none" w:sz="0" w:space="0" w:color="auto"/>
        <w:right w:val="none" w:sz="0" w:space="0" w:color="auto"/>
      </w:divBdr>
    </w:div>
    <w:div w:id="2120299234">
      <w:bodyDiv w:val="1"/>
      <w:marLeft w:val="0"/>
      <w:marRight w:val="0"/>
      <w:marTop w:val="0"/>
      <w:marBottom w:val="0"/>
      <w:divBdr>
        <w:top w:val="none" w:sz="0" w:space="0" w:color="auto"/>
        <w:left w:val="none" w:sz="0" w:space="0" w:color="auto"/>
        <w:bottom w:val="none" w:sz="0" w:space="0" w:color="auto"/>
        <w:right w:val="none" w:sz="0" w:space="0" w:color="auto"/>
      </w:divBdr>
    </w:div>
    <w:div w:id="2120299740">
      <w:bodyDiv w:val="1"/>
      <w:marLeft w:val="0"/>
      <w:marRight w:val="0"/>
      <w:marTop w:val="0"/>
      <w:marBottom w:val="0"/>
      <w:divBdr>
        <w:top w:val="none" w:sz="0" w:space="0" w:color="auto"/>
        <w:left w:val="none" w:sz="0" w:space="0" w:color="auto"/>
        <w:bottom w:val="none" w:sz="0" w:space="0" w:color="auto"/>
        <w:right w:val="none" w:sz="0" w:space="0" w:color="auto"/>
      </w:divBdr>
    </w:div>
    <w:div w:id="2120367447">
      <w:bodyDiv w:val="1"/>
      <w:marLeft w:val="0"/>
      <w:marRight w:val="0"/>
      <w:marTop w:val="0"/>
      <w:marBottom w:val="0"/>
      <w:divBdr>
        <w:top w:val="none" w:sz="0" w:space="0" w:color="auto"/>
        <w:left w:val="none" w:sz="0" w:space="0" w:color="auto"/>
        <w:bottom w:val="none" w:sz="0" w:space="0" w:color="auto"/>
        <w:right w:val="none" w:sz="0" w:space="0" w:color="auto"/>
      </w:divBdr>
    </w:div>
    <w:div w:id="2120372866">
      <w:bodyDiv w:val="1"/>
      <w:marLeft w:val="0"/>
      <w:marRight w:val="0"/>
      <w:marTop w:val="0"/>
      <w:marBottom w:val="0"/>
      <w:divBdr>
        <w:top w:val="none" w:sz="0" w:space="0" w:color="auto"/>
        <w:left w:val="none" w:sz="0" w:space="0" w:color="auto"/>
        <w:bottom w:val="none" w:sz="0" w:space="0" w:color="auto"/>
        <w:right w:val="none" w:sz="0" w:space="0" w:color="auto"/>
      </w:divBdr>
    </w:div>
    <w:div w:id="2120488350">
      <w:bodyDiv w:val="1"/>
      <w:marLeft w:val="0"/>
      <w:marRight w:val="0"/>
      <w:marTop w:val="0"/>
      <w:marBottom w:val="0"/>
      <w:divBdr>
        <w:top w:val="none" w:sz="0" w:space="0" w:color="auto"/>
        <w:left w:val="none" w:sz="0" w:space="0" w:color="auto"/>
        <w:bottom w:val="none" w:sz="0" w:space="0" w:color="auto"/>
        <w:right w:val="none" w:sz="0" w:space="0" w:color="auto"/>
      </w:divBdr>
    </w:div>
    <w:div w:id="2120634830">
      <w:bodyDiv w:val="1"/>
      <w:marLeft w:val="0"/>
      <w:marRight w:val="0"/>
      <w:marTop w:val="0"/>
      <w:marBottom w:val="0"/>
      <w:divBdr>
        <w:top w:val="none" w:sz="0" w:space="0" w:color="auto"/>
        <w:left w:val="none" w:sz="0" w:space="0" w:color="auto"/>
        <w:bottom w:val="none" w:sz="0" w:space="0" w:color="auto"/>
        <w:right w:val="none" w:sz="0" w:space="0" w:color="auto"/>
      </w:divBdr>
    </w:div>
    <w:div w:id="2120752394">
      <w:bodyDiv w:val="1"/>
      <w:marLeft w:val="0"/>
      <w:marRight w:val="0"/>
      <w:marTop w:val="0"/>
      <w:marBottom w:val="0"/>
      <w:divBdr>
        <w:top w:val="none" w:sz="0" w:space="0" w:color="auto"/>
        <w:left w:val="none" w:sz="0" w:space="0" w:color="auto"/>
        <w:bottom w:val="none" w:sz="0" w:space="0" w:color="auto"/>
        <w:right w:val="none" w:sz="0" w:space="0" w:color="auto"/>
      </w:divBdr>
    </w:div>
    <w:div w:id="2120832539">
      <w:bodyDiv w:val="1"/>
      <w:marLeft w:val="0"/>
      <w:marRight w:val="0"/>
      <w:marTop w:val="0"/>
      <w:marBottom w:val="0"/>
      <w:divBdr>
        <w:top w:val="none" w:sz="0" w:space="0" w:color="auto"/>
        <w:left w:val="none" w:sz="0" w:space="0" w:color="auto"/>
        <w:bottom w:val="none" w:sz="0" w:space="0" w:color="auto"/>
        <w:right w:val="none" w:sz="0" w:space="0" w:color="auto"/>
      </w:divBdr>
    </w:div>
    <w:div w:id="2120836161">
      <w:bodyDiv w:val="1"/>
      <w:marLeft w:val="0"/>
      <w:marRight w:val="0"/>
      <w:marTop w:val="0"/>
      <w:marBottom w:val="0"/>
      <w:divBdr>
        <w:top w:val="none" w:sz="0" w:space="0" w:color="auto"/>
        <w:left w:val="none" w:sz="0" w:space="0" w:color="auto"/>
        <w:bottom w:val="none" w:sz="0" w:space="0" w:color="auto"/>
        <w:right w:val="none" w:sz="0" w:space="0" w:color="auto"/>
      </w:divBdr>
    </w:div>
    <w:div w:id="2120836707">
      <w:bodyDiv w:val="1"/>
      <w:marLeft w:val="0"/>
      <w:marRight w:val="0"/>
      <w:marTop w:val="0"/>
      <w:marBottom w:val="0"/>
      <w:divBdr>
        <w:top w:val="none" w:sz="0" w:space="0" w:color="auto"/>
        <w:left w:val="none" w:sz="0" w:space="0" w:color="auto"/>
        <w:bottom w:val="none" w:sz="0" w:space="0" w:color="auto"/>
        <w:right w:val="none" w:sz="0" w:space="0" w:color="auto"/>
      </w:divBdr>
    </w:div>
    <w:div w:id="2121028156">
      <w:bodyDiv w:val="1"/>
      <w:marLeft w:val="0"/>
      <w:marRight w:val="0"/>
      <w:marTop w:val="0"/>
      <w:marBottom w:val="0"/>
      <w:divBdr>
        <w:top w:val="none" w:sz="0" w:space="0" w:color="auto"/>
        <w:left w:val="none" w:sz="0" w:space="0" w:color="auto"/>
        <w:bottom w:val="none" w:sz="0" w:space="0" w:color="auto"/>
        <w:right w:val="none" w:sz="0" w:space="0" w:color="auto"/>
      </w:divBdr>
    </w:div>
    <w:div w:id="2121098388">
      <w:bodyDiv w:val="1"/>
      <w:marLeft w:val="0"/>
      <w:marRight w:val="0"/>
      <w:marTop w:val="0"/>
      <w:marBottom w:val="0"/>
      <w:divBdr>
        <w:top w:val="none" w:sz="0" w:space="0" w:color="auto"/>
        <w:left w:val="none" w:sz="0" w:space="0" w:color="auto"/>
        <w:bottom w:val="none" w:sz="0" w:space="0" w:color="auto"/>
        <w:right w:val="none" w:sz="0" w:space="0" w:color="auto"/>
      </w:divBdr>
    </w:div>
    <w:div w:id="2121139202">
      <w:bodyDiv w:val="1"/>
      <w:marLeft w:val="0"/>
      <w:marRight w:val="0"/>
      <w:marTop w:val="0"/>
      <w:marBottom w:val="0"/>
      <w:divBdr>
        <w:top w:val="none" w:sz="0" w:space="0" w:color="auto"/>
        <w:left w:val="none" w:sz="0" w:space="0" w:color="auto"/>
        <w:bottom w:val="none" w:sz="0" w:space="0" w:color="auto"/>
        <w:right w:val="none" w:sz="0" w:space="0" w:color="auto"/>
      </w:divBdr>
    </w:div>
    <w:div w:id="2121146175">
      <w:bodyDiv w:val="1"/>
      <w:marLeft w:val="0"/>
      <w:marRight w:val="0"/>
      <w:marTop w:val="0"/>
      <w:marBottom w:val="0"/>
      <w:divBdr>
        <w:top w:val="none" w:sz="0" w:space="0" w:color="auto"/>
        <w:left w:val="none" w:sz="0" w:space="0" w:color="auto"/>
        <w:bottom w:val="none" w:sz="0" w:space="0" w:color="auto"/>
        <w:right w:val="none" w:sz="0" w:space="0" w:color="auto"/>
      </w:divBdr>
    </w:div>
    <w:div w:id="2121219648">
      <w:bodyDiv w:val="1"/>
      <w:marLeft w:val="0"/>
      <w:marRight w:val="0"/>
      <w:marTop w:val="0"/>
      <w:marBottom w:val="0"/>
      <w:divBdr>
        <w:top w:val="none" w:sz="0" w:space="0" w:color="auto"/>
        <w:left w:val="none" w:sz="0" w:space="0" w:color="auto"/>
        <w:bottom w:val="none" w:sz="0" w:space="0" w:color="auto"/>
        <w:right w:val="none" w:sz="0" w:space="0" w:color="auto"/>
      </w:divBdr>
    </w:div>
    <w:div w:id="2121294507">
      <w:bodyDiv w:val="1"/>
      <w:marLeft w:val="0"/>
      <w:marRight w:val="0"/>
      <w:marTop w:val="0"/>
      <w:marBottom w:val="0"/>
      <w:divBdr>
        <w:top w:val="none" w:sz="0" w:space="0" w:color="auto"/>
        <w:left w:val="none" w:sz="0" w:space="0" w:color="auto"/>
        <w:bottom w:val="none" w:sz="0" w:space="0" w:color="auto"/>
        <w:right w:val="none" w:sz="0" w:space="0" w:color="auto"/>
      </w:divBdr>
    </w:div>
    <w:div w:id="2121415196">
      <w:bodyDiv w:val="1"/>
      <w:marLeft w:val="0"/>
      <w:marRight w:val="0"/>
      <w:marTop w:val="0"/>
      <w:marBottom w:val="0"/>
      <w:divBdr>
        <w:top w:val="none" w:sz="0" w:space="0" w:color="auto"/>
        <w:left w:val="none" w:sz="0" w:space="0" w:color="auto"/>
        <w:bottom w:val="none" w:sz="0" w:space="0" w:color="auto"/>
        <w:right w:val="none" w:sz="0" w:space="0" w:color="auto"/>
      </w:divBdr>
    </w:div>
    <w:div w:id="2121483261">
      <w:bodyDiv w:val="1"/>
      <w:marLeft w:val="0"/>
      <w:marRight w:val="0"/>
      <w:marTop w:val="0"/>
      <w:marBottom w:val="0"/>
      <w:divBdr>
        <w:top w:val="none" w:sz="0" w:space="0" w:color="auto"/>
        <w:left w:val="none" w:sz="0" w:space="0" w:color="auto"/>
        <w:bottom w:val="none" w:sz="0" w:space="0" w:color="auto"/>
        <w:right w:val="none" w:sz="0" w:space="0" w:color="auto"/>
      </w:divBdr>
    </w:div>
    <w:div w:id="2121488107">
      <w:bodyDiv w:val="1"/>
      <w:marLeft w:val="0"/>
      <w:marRight w:val="0"/>
      <w:marTop w:val="0"/>
      <w:marBottom w:val="0"/>
      <w:divBdr>
        <w:top w:val="none" w:sz="0" w:space="0" w:color="auto"/>
        <w:left w:val="none" w:sz="0" w:space="0" w:color="auto"/>
        <w:bottom w:val="none" w:sz="0" w:space="0" w:color="auto"/>
        <w:right w:val="none" w:sz="0" w:space="0" w:color="auto"/>
      </w:divBdr>
    </w:div>
    <w:div w:id="2121490957">
      <w:bodyDiv w:val="1"/>
      <w:marLeft w:val="0"/>
      <w:marRight w:val="0"/>
      <w:marTop w:val="0"/>
      <w:marBottom w:val="0"/>
      <w:divBdr>
        <w:top w:val="none" w:sz="0" w:space="0" w:color="auto"/>
        <w:left w:val="none" w:sz="0" w:space="0" w:color="auto"/>
        <w:bottom w:val="none" w:sz="0" w:space="0" w:color="auto"/>
        <w:right w:val="none" w:sz="0" w:space="0" w:color="auto"/>
      </w:divBdr>
    </w:div>
    <w:div w:id="2121605460">
      <w:bodyDiv w:val="1"/>
      <w:marLeft w:val="0"/>
      <w:marRight w:val="0"/>
      <w:marTop w:val="0"/>
      <w:marBottom w:val="0"/>
      <w:divBdr>
        <w:top w:val="none" w:sz="0" w:space="0" w:color="auto"/>
        <w:left w:val="none" w:sz="0" w:space="0" w:color="auto"/>
        <w:bottom w:val="none" w:sz="0" w:space="0" w:color="auto"/>
        <w:right w:val="none" w:sz="0" w:space="0" w:color="auto"/>
      </w:divBdr>
    </w:div>
    <w:div w:id="2121608765">
      <w:bodyDiv w:val="1"/>
      <w:marLeft w:val="0"/>
      <w:marRight w:val="0"/>
      <w:marTop w:val="0"/>
      <w:marBottom w:val="0"/>
      <w:divBdr>
        <w:top w:val="none" w:sz="0" w:space="0" w:color="auto"/>
        <w:left w:val="none" w:sz="0" w:space="0" w:color="auto"/>
        <w:bottom w:val="none" w:sz="0" w:space="0" w:color="auto"/>
        <w:right w:val="none" w:sz="0" w:space="0" w:color="auto"/>
      </w:divBdr>
    </w:div>
    <w:div w:id="2121728452">
      <w:bodyDiv w:val="1"/>
      <w:marLeft w:val="0"/>
      <w:marRight w:val="0"/>
      <w:marTop w:val="0"/>
      <w:marBottom w:val="0"/>
      <w:divBdr>
        <w:top w:val="none" w:sz="0" w:space="0" w:color="auto"/>
        <w:left w:val="none" w:sz="0" w:space="0" w:color="auto"/>
        <w:bottom w:val="none" w:sz="0" w:space="0" w:color="auto"/>
        <w:right w:val="none" w:sz="0" w:space="0" w:color="auto"/>
      </w:divBdr>
    </w:div>
    <w:div w:id="2121795560">
      <w:bodyDiv w:val="1"/>
      <w:marLeft w:val="0"/>
      <w:marRight w:val="0"/>
      <w:marTop w:val="0"/>
      <w:marBottom w:val="0"/>
      <w:divBdr>
        <w:top w:val="none" w:sz="0" w:space="0" w:color="auto"/>
        <w:left w:val="none" w:sz="0" w:space="0" w:color="auto"/>
        <w:bottom w:val="none" w:sz="0" w:space="0" w:color="auto"/>
        <w:right w:val="none" w:sz="0" w:space="0" w:color="auto"/>
      </w:divBdr>
    </w:div>
    <w:div w:id="2121800855">
      <w:bodyDiv w:val="1"/>
      <w:marLeft w:val="0"/>
      <w:marRight w:val="0"/>
      <w:marTop w:val="0"/>
      <w:marBottom w:val="0"/>
      <w:divBdr>
        <w:top w:val="none" w:sz="0" w:space="0" w:color="auto"/>
        <w:left w:val="none" w:sz="0" w:space="0" w:color="auto"/>
        <w:bottom w:val="none" w:sz="0" w:space="0" w:color="auto"/>
        <w:right w:val="none" w:sz="0" w:space="0" w:color="auto"/>
      </w:divBdr>
    </w:div>
    <w:div w:id="2121801821">
      <w:bodyDiv w:val="1"/>
      <w:marLeft w:val="0"/>
      <w:marRight w:val="0"/>
      <w:marTop w:val="0"/>
      <w:marBottom w:val="0"/>
      <w:divBdr>
        <w:top w:val="none" w:sz="0" w:space="0" w:color="auto"/>
        <w:left w:val="none" w:sz="0" w:space="0" w:color="auto"/>
        <w:bottom w:val="none" w:sz="0" w:space="0" w:color="auto"/>
        <w:right w:val="none" w:sz="0" w:space="0" w:color="auto"/>
      </w:divBdr>
    </w:div>
    <w:div w:id="2121874444">
      <w:bodyDiv w:val="1"/>
      <w:marLeft w:val="0"/>
      <w:marRight w:val="0"/>
      <w:marTop w:val="0"/>
      <w:marBottom w:val="0"/>
      <w:divBdr>
        <w:top w:val="none" w:sz="0" w:space="0" w:color="auto"/>
        <w:left w:val="none" w:sz="0" w:space="0" w:color="auto"/>
        <w:bottom w:val="none" w:sz="0" w:space="0" w:color="auto"/>
        <w:right w:val="none" w:sz="0" w:space="0" w:color="auto"/>
      </w:divBdr>
    </w:div>
    <w:div w:id="2121947294">
      <w:bodyDiv w:val="1"/>
      <w:marLeft w:val="0"/>
      <w:marRight w:val="0"/>
      <w:marTop w:val="0"/>
      <w:marBottom w:val="0"/>
      <w:divBdr>
        <w:top w:val="none" w:sz="0" w:space="0" w:color="auto"/>
        <w:left w:val="none" w:sz="0" w:space="0" w:color="auto"/>
        <w:bottom w:val="none" w:sz="0" w:space="0" w:color="auto"/>
        <w:right w:val="none" w:sz="0" w:space="0" w:color="auto"/>
      </w:divBdr>
    </w:div>
    <w:div w:id="2121948728">
      <w:bodyDiv w:val="1"/>
      <w:marLeft w:val="0"/>
      <w:marRight w:val="0"/>
      <w:marTop w:val="0"/>
      <w:marBottom w:val="0"/>
      <w:divBdr>
        <w:top w:val="none" w:sz="0" w:space="0" w:color="auto"/>
        <w:left w:val="none" w:sz="0" w:space="0" w:color="auto"/>
        <w:bottom w:val="none" w:sz="0" w:space="0" w:color="auto"/>
        <w:right w:val="none" w:sz="0" w:space="0" w:color="auto"/>
      </w:divBdr>
    </w:div>
    <w:div w:id="2122066891">
      <w:bodyDiv w:val="1"/>
      <w:marLeft w:val="0"/>
      <w:marRight w:val="0"/>
      <w:marTop w:val="0"/>
      <w:marBottom w:val="0"/>
      <w:divBdr>
        <w:top w:val="none" w:sz="0" w:space="0" w:color="auto"/>
        <w:left w:val="none" w:sz="0" w:space="0" w:color="auto"/>
        <w:bottom w:val="none" w:sz="0" w:space="0" w:color="auto"/>
        <w:right w:val="none" w:sz="0" w:space="0" w:color="auto"/>
      </w:divBdr>
    </w:div>
    <w:div w:id="2122069058">
      <w:bodyDiv w:val="1"/>
      <w:marLeft w:val="0"/>
      <w:marRight w:val="0"/>
      <w:marTop w:val="0"/>
      <w:marBottom w:val="0"/>
      <w:divBdr>
        <w:top w:val="none" w:sz="0" w:space="0" w:color="auto"/>
        <w:left w:val="none" w:sz="0" w:space="0" w:color="auto"/>
        <w:bottom w:val="none" w:sz="0" w:space="0" w:color="auto"/>
        <w:right w:val="none" w:sz="0" w:space="0" w:color="auto"/>
      </w:divBdr>
    </w:div>
    <w:div w:id="2122331926">
      <w:bodyDiv w:val="1"/>
      <w:marLeft w:val="0"/>
      <w:marRight w:val="0"/>
      <w:marTop w:val="0"/>
      <w:marBottom w:val="0"/>
      <w:divBdr>
        <w:top w:val="none" w:sz="0" w:space="0" w:color="auto"/>
        <w:left w:val="none" w:sz="0" w:space="0" w:color="auto"/>
        <w:bottom w:val="none" w:sz="0" w:space="0" w:color="auto"/>
        <w:right w:val="none" w:sz="0" w:space="0" w:color="auto"/>
      </w:divBdr>
    </w:div>
    <w:div w:id="2122332663">
      <w:bodyDiv w:val="1"/>
      <w:marLeft w:val="0"/>
      <w:marRight w:val="0"/>
      <w:marTop w:val="0"/>
      <w:marBottom w:val="0"/>
      <w:divBdr>
        <w:top w:val="none" w:sz="0" w:space="0" w:color="auto"/>
        <w:left w:val="none" w:sz="0" w:space="0" w:color="auto"/>
        <w:bottom w:val="none" w:sz="0" w:space="0" w:color="auto"/>
        <w:right w:val="none" w:sz="0" w:space="0" w:color="auto"/>
      </w:divBdr>
    </w:div>
    <w:div w:id="2122334085">
      <w:bodyDiv w:val="1"/>
      <w:marLeft w:val="0"/>
      <w:marRight w:val="0"/>
      <w:marTop w:val="0"/>
      <w:marBottom w:val="0"/>
      <w:divBdr>
        <w:top w:val="none" w:sz="0" w:space="0" w:color="auto"/>
        <w:left w:val="none" w:sz="0" w:space="0" w:color="auto"/>
        <w:bottom w:val="none" w:sz="0" w:space="0" w:color="auto"/>
        <w:right w:val="none" w:sz="0" w:space="0" w:color="auto"/>
      </w:divBdr>
    </w:div>
    <w:div w:id="2122407728">
      <w:bodyDiv w:val="1"/>
      <w:marLeft w:val="0"/>
      <w:marRight w:val="0"/>
      <w:marTop w:val="0"/>
      <w:marBottom w:val="0"/>
      <w:divBdr>
        <w:top w:val="none" w:sz="0" w:space="0" w:color="auto"/>
        <w:left w:val="none" w:sz="0" w:space="0" w:color="auto"/>
        <w:bottom w:val="none" w:sz="0" w:space="0" w:color="auto"/>
        <w:right w:val="none" w:sz="0" w:space="0" w:color="auto"/>
      </w:divBdr>
    </w:div>
    <w:div w:id="2122410482">
      <w:bodyDiv w:val="1"/>
      <w:marLeft w:val="0"/>
      <w:marRight w:val="0"/>
      <w:marTop w:val="0"/>
      <w:marBottom w:val="0"/>
      <w:divBdr>
        <w:top w:val="none" w:sz="0" w:space="0" w:color="auto"/>
        <w:left w:val="none" w:sz="0" w:space="0" w:color="auto"/>
        <w:bottom w:val="none" w:sz="0" w:space="0" w:color="auto"/>
        <w:right w:val="none" w:sz="0" w:space="0" w:color="auto"/>
      </w:divBdr>
    </w:div>
    <w:div w:id="2122526132">
      <w:bodyDiv w:val="1"/>
      <w:marLeft w:val="0"/>
      <w:marRight w:val="0"/>
      <w:marTop w:val="0"/>
      <w:marBottom w:val="0"/>
      <w:divBdr>
        <w:top w:val="none" w:sz="0" w:space="0" w:color="auto"/>
        <w:left w:val="none" w:sz="0" w:space="0" w:color="auto"/>
        <w:bottom w:val="none" w:sz="0" w:space="0" w:color="auto"/>
        <w:right w:val="none" w:sz="0" w:space="0" w:color="auto"/>
      </w:divBdr>
    </w:div>
    <w:div w:id="2122645755">
      <w:bodyDiv w:val="1"/>
      <w:marLeft w:val="0"/>
      <w:marRight w:val="0"/>
      <w:marTop w:val="0"/>
      <w:marBottom w:val="0"/>
      <w:divBdr>
        <w:top w:val="none" w:sz="0" w:space="0" w:color="auto"/>
        <w:left w:val="none" w:sz="0" w:space="0" w:color="auto"/>
        <w:bottom w:val="none" w:sz="0" w:space="0" w:color="auto"/>
        <w:right w:val="none" w:sz="0" w:space="0" w:color="auto"/>
      </w:divBdr>
    </w:div>
    <w:div w:id="2122648138">
      <w:bodyDiv w:val="1"/>
      <w:marLeft w:val="0"/>
      <w:marRight w:val="0"/>
      <w:marTop w:val="0"/>
      <w:marBottom w:val="0"/>
      <w:divBdr>
        <w:top w:val="none" w:sz="0" w:space="0" w:color="auto"/>
        <w:left w:val="none" w:sz="0" w:space="0" w:color="auto"/>
        <w:bottom w:val="none" w:sz="0" w:space="0" w:color="auto"/>
        <w:right w:val="none" w:sz="0" w:space="0" w:color="auto"/>
      </w:divBdr>
    </w:div>
    <w:div w:id="2122796127">
      <w:bodyDiv w:val="1"/>
      <w:marLeft w:val="0"/>
      <w:marRight w:val="0"/>
      <w:marTop w:val="0"/>
      <w:marBottom w:val="0"/>
      <w:divBdr>
        <w:top w:val="none" w:sz="0" w:space="0" w:color="auto"/>
        <w:left w:val="none" w:sz="0" w:space="0" w:color="auto"/>
        <w:bottom w:val="none" w:sz="0" w:space="0" w:color="auto"/>
        <w:right w:val="none" w:sz="0" w:space="0" w:color="auto"/>
      </w:divBdr>
    </w:div>
    <w:div w:id="2122919457">
      <w:bodyDiv w:val="1"/>
      <w:marLeft w:val="0"/>
      <w:marRight w:val="0"/>
      <w:marTop w:val="0"/>
      <w:marBottom w:val="0"/>
      <w:divBdr>
        <w:top w:val="none" w:sz="0" w:space="0" w:color="auto"/>
        <w:left w:val="none" w:sz="0" w:space="0" w:color="auto"/>
        <w:bottom w:val="none" w:sz="0" w:space="0" w:color="auto"/>
        <w:right w:val="none" w:sz="0" w:space="0" w:color="auto"/>
      </w:divBdr>
    </w:div>
    <w:div w:id="2123065854">
      <w:bodyDiv w:val="1"/>
      <w:marLeft w:val="0"/>
      <w:marRight w:val="0"/>
      <w:marTop w:val="0"/>
      <w:marBottom w:val="0"/>
      <w:divBdr>
        <w:top w:val="none" w:sz="0" w:space="0" w:color="auto"/>
        <w:left w:val="none" w:sz="0" w:space="0" w:color="auto"/>
        <w:bottom w:val="none" w:sz="0" w:space="0" w:color="auto"/>
        <w:right w:val="none" w:sz="0" w:space="0" w:color="auto"/>
      </w:divBdr>
    </w:div>
    <w:div w:id="2123066091">
      <w:bodyDiv w:val="1"/>
      <w:marLeft w:val="0"/>
      <w:marRight w:val="0"/>
      <w:marTop w:val="0"/>
      <w:marBottom w:val="0"/>
      <w:divBdr>
        <w:top w:val="none" w:sz="0" w:space="0" w:color="auto"/>
        <w:left w:val="none" w:sz="0" w:space="0" w:color="auto"/>
        <w:bottom w:val="none" w:sz="0" w:space="0" w:color="auto"/>
        <w:right w:val="none" w:sz="0" w:space="0" w:color="auto"/>
      </w:divBdr>
    </w:div>
    <w:div w:id="2123109618">
      <w:bodyDiv w:val="1"/>
      <w:marLeft w:val="0"/>
      <w:marRight w:val="0"/>
      <w:marTop w:val="0"/>
      <w:marBottom w:val="0"/>
      <w:divBdr>
        <w:top w:val="none" w:sz="0" w:space="0" w:color="auto"/>
        <w:left w:val="none" w:sz="0" w:space="0" w:color="auto"/>
        <w:bottom w:val="none" w:sz="0" w:space="0" w:color="auto"/>
        <w:right w:val="none" w:sz="0" w:space="0" w:color="auto"/>
      </w:divBdr>
    </w:div>
    <w:div w:id="2123186353">
      <w:bodyDiv w:val="1"/>
      <w:marLeft w:val="0"/>
      <w:marRight w:val="0"/>
      <w:marTop w:val="0"/>
      <w:marBottom w:val="0"/>
      <w:divBdr>
        <w:top w:val="none" w:sz="0" w:space="0" w:color="auto"/>
        <w:left w:val="none" w:sz="0" w:space="0" w:color="auto"/>
        <w:bottom w:val="none" w:sz="0" w:space="0" w:color="auto"/>
        <w:right w:val="none" w:sz="0" w:space="0" w:color="auto"/>
      </w:divBdr>
    </w:div>
    <w:div w:id="2123262468">
      <w:bodyDiv w:val="1"/>
      <w:marLeft w:val="0"/>
      <w:marRight w:val="0"/>
      <w:marTop w:val="0"/>
      <w:marBottom w:val="0"/>
      <w:divBdr>
        <w:top w:val="none" w:sz="0" w:space="0" w:color="auto"/>
        <w:left w:val="none" w:sz="0" w:space="0" w:color="auto"/>
        <w:bottom w:val="none" w:sz="0" w:space="0" w:color="auto"/>
        <w:right w:val="none" w:sz="0" w:space="0" w:color="auto"/>
      </w:divBdr>
    </w:div>
    <w:div w:id="2123332259">
      <w:bodyDiv w:val="1"/>
      <w:marLeft w:val="0"/>
      <w:marRight w:val="0"/>
      <w:marTop w:val="0"/>
      <w:marBottom w:val="0"/>
      <w:divBdr>
        <w:top w:val="none" w:sz="0" w:space="0" w:color="auto"/>
        <w:left w:val="none" w:sz="0" w:space="0" w:color="auto"/>
        <w:bottom w:val="none" w:sz="0" w:space="0" w:color="auto"/>
        <w:right w:val="none" w:sz="0" w:space="0" w:color="auto"/>
      </w:divBdr>
    </w:div>
    <w:div w:id="2123376221">
      <w:bodyDiv w:val="1"/>
      <w:marLeft w:val="0"/>
      <w:marRight w:val="0"/>
      <w:marTop w:val="0"/>
      <w:marBottom w:val="0"/>
      <w:divBdr>
        <w:top w:val="none" w:sz="0" w:space="0" w:color="auto"/>
        <w:left w:val="none" w:sz="0" w:space="0" w:color="auto"/>
        <w:bottom w:val="none" w:sz="0" w:space="0" w:color="auto"/>
        <w:right w:val="none" w:sz="0" w:space="0" w:color="auto"/>
      </w:divBdr>
    </w:div>
    <w:div w:id="2123380903">
      <w:bodyDiv w:val="1"/>
      <w:marLeft w:val="0"/>
      <w:marRight w:val="0"/>
      <w:marTop w:val="0"/>
      <w:marBottom w:val="0"/>
      <w:divBdr>
        <w:top w:val="none" w:sz="0" w:space="0" w:color="auto"/>
        <w:left w:val="none" w:sz="0" w:space="0" w:color="auto"/>
        <w:bottom w:val="none" w:sz="0" w:space="0" w:color="auto"/>
        <w:right w:val="none" w:sz="0" w:space="0" w:color="auto"/>
      </w:divBdr>
    </w:div>
    <w:div w:id="2123570826">
      <w:bodyDiv w:val="1"/>
      <w:marLeft w:val="0"/>
      <w:marRight w:val="0"/>
      <w:marTop w:val="0"/>
      <w:marBottom w:val="0"/>
      <w:divBdr>
        <w:top w:val="none" w:sz="0" w:space="0" w:color="auto"/>
        <w:left w:val="none" w:sz="0" w:space="0" w:color="auto"/>
        <w:bottom w:val="none" w:sz="0" w:space="0" w:color="auto"/>
        <w:right w:val="none" w:sz="0" w:space="0" w:color="auto"/>
      </w:divBdr>
    </w:div>
    <w:div w:id="2123651461">
      <w:bodyDiv w:val="1"/>
      <w:marLeft w:val="0"/>
      <w:marRight w:val="0"/>
      <w:marTop w:val="0"/>
      <w:marBottom w:val="0"/>
      <w:divBdr>
        <w:top w:val="none" w:sz="0" w:space="0" w:color="auto"/>
        <w:left w:val="none" w:sz="0" w:space="0" w:color="auto"/>
        <w:bottom w:val="none" w:sz="0" w:space="0" w:color="auto"/>
        <w:right w:val="none" w:sz="0" w:space="0" w:color="auto"/>
      </w:divBdr>
    </w:div>
    <w:div w:id="2123719875">
      <w:bodyDiv w:val="1"/>
      <w:marLeft w:val="0"/>
      <w:marRight w:val="0"/>
      <w:marTop w:val="0"/>
      <w:marBottom w:val="0"/>
      <w:divBdr>
        <w:top w:val="none" w:sz="0" w:space="0" w:color="auto"/>
        <w:left w:val="none" w:sz="0" w:space="0" w:color="auto"/>
        <w:bottom w:val="none" w:sz="0" w:space="0" w:color="auto"/>
        <w:right w:val="none" w:sz="0" w:space="0" w:color="auto"/>
      </w:divBdr>
    </w:div>
    <w:div w:id="2123766854">
      <w:bodyDiv w:val="1"/>
      <w:marLeft w:val="0"/>
      <w:marRight w:val="0"/>
      <w:marTop w:val="0"/>
      <w:marBottom w:val="0"/>
      <w:divBdr>
        <w:top w:val="none" w:sz="0" w:space="0" w:color="auto"/>
        <w:left w:val="none" w:sz="0" w:space="0" w:color="auto"/>
        <w:bottom w:val="none" w:sz="0" w:space="0" w:color="auto"/>
        <w:right w:val="none" w:sz="0" w:space="0" w:color="auto"/>
      </w:divBdr>
    </w:div>
    <w:div w:id="2123843126">
      <w:bodyDiv w:val="1"/>
      <w:marLeft w:val="0"/>
      <w:marRight w:val="0"/>
      <w:marTop w:val="0"/>
      <w:marBottom w:val="0"/>
      <w:divBdr>
        <w:top w:val="none" w:sz="0" w:space="0" w:color="auto"/>
        <w:left w:val="none" w:sz="0" w:space="0" w:color="auto"/>
        <w:bottom w:val="none" w:sz="0" w:space="0" w:color="auto"/>
        <w:right w:val="none" w:sz="0" w:space="0" w:color="auto"/>
      </w:divBdr>
    </w:div>
    <w:div w:id="2123919339">
      <w:bodyDiv w:val="1"/>
      <w:marLeft w:val="0"/>
      <w:marRight w:val="0"/>
      <w:marTop w:val="0"/>
      <w:marBottom w:val="0"/>
      <w:divBdr>
        <w:top w:val="none" w:sz="0" w:space="0" w:color="auto"/>
        <w:left w:val="none" w:sz="0" w:space="0" w:color="auto"/>
        <w:bottom w:val="none" w:sz="0" w:space="0" w:color="auto"/>
        <w:right w:val="none" w:sz="0" w:space="0" w:color="auto"/>
      </w:divBdr>
    </w:div>
    <w:div w:id="2123919978">
      <w:bodyDiv w:val="1"/>
      <w:marLeft w:val="0"/>
      <w:marRight w:val="0"/>
      <w:marTop w:val="0"/>
      <w:marBottom w:val="0"/>
      <w:divBdr>
        <w:top w:val="none" w:sz="0" w:space="0" w:color="auto"/>
        <w:left w:val="none" w:sz="0" w:space="0" w:color="auto"/>
        <w:bottom w:val="none" w:sz="0" w:space="0" w:color="auto"/>
        <w:right w:val="none" w:sz="0" w:space="0" w:color="auto"/>
      </w:divBdr>
    </w:div>
    <w:div w:id="2124374260">
      <w:bodyDiv w:val="1"/>
      <w:marLeft w:val="0"/>
      <w:marRight w:val="0"/>
      <w:marTop w:val="0"/>
      <w:marBottom w:val="0"/>
      <w:divBdr>
        <w:top w:val="none" w:sz="0" w:space="0" w:color="auto"/>
        <w:left w:val="none" w:sz="0" w:space="0" w:color="auto"/>
        <w:bottom w:val="none" w:sz="0" w:space="0" w:color="auto"/>
        <w:right w:val="none" w:sz="0" w:space="0" w:color="auto"/>
      </w:divBdr>
    </w:div>
    <w:div w:id="2124492400">
      <w:bodyDiv w:val="1"/>
      <w:marLeft w:val="0"/>
      <w:marRight w:val="0"/>
      <w:marTop w:val="0"/>
      <w:marBottom w:val="0"/>
      <w:divBdr>
        <w:top w:val="none" w:sz="0" w:space="0" w:color="auto"/>
        <w:left w:val="none" w:sz="0" w:space="0" w:color="auto"/>
        <w:bottom w:val="none" w:sz="0" w:space="0" w:color="auto"/>
        <w:right w:val="none" w:sz="0" w:space="0" w:color="auto"/>
      </w:divBdr>
    </w:div>
    <w:div w:id="2124496268">
      <w:bodyDiv w:val="1"/>
      <w:marLeft w:val="0"/>
      <w:marRight w:val="0"/>
      <w:marTop w:val="0"/>
      <w:marBottom w:val="0"/>
      <w:divBdr>
        <w:top w:val="none" w:sz="0" w:space="0" w:color="auto"/>
        <w:left w:val="none" w:sz="0" w:space="0" w:color="auto"/>
        <w:bottom w:val="none" w:sz="0" w:space="0" w:color="auto"/>
        <w:right w:val="none" w:sz="0" w:space="0" w:color="auto"/>
      </w:divBdr>
    </w:div>
    <w:div w:id="2124566005">
      <w:bodyDiv w:val="1"/>
      <w:marLeft w:val="0"/>
      <w:marRight w:val="0"/>
      <w:marTop w:val="0"/>
      <w:marBottom w:val="0"/>
      <w:divBdr>
        <w:top w:val="none" w:sz="0" w:space="0" w:color="auto"/>
        <w:left w:val="none" w:sz="0" w:space="0" w:color="auto"/>
        <w:bottom w:val="none" w:sz="0" w:space="0" w:color="auto"/>
        <w:right w:val="none" w:sz="0" w:space="0" w:color="auto"/>
      </w:divBdr>
    </w:div>
    <w:div w:id="2124571062">
      <w:bodyDiv w:val="1"/>
      <w:marLeft w:val="0"/>
      <w:marRight w:val="0"/>
      <w:marTop w:val="0"/>
      <w:marBottom w:val="0"/>
      <w:divBdr>
        <w:top w:val="none" w:sz="0" w:space="0" w:color="auto"/>
        <w:left w:val="none" w:sz="0" w:space="0" w:color="auto"/>
        <w:bottom w:val="none" w:sz="0" w:space="0" w:color="auto"/>
        <w:right w:val="none" w:sz="0" w:space="0" w:color="auto"/>
      </w:divBdr>
    </w:div>
    <w:div w:id="2124691873">
      <w:bodyDiv w:val="1"/>
      <w:marLeft w:val="0"/>
      <w:marRight w:val="0"/>
      <w:marTop w:val="0"/>
      <w:marBottom w:val="0"/>
      <w:divBdr>
        <w:top w:val="none" w:sz="0" w:space="0" w:color="auto"/>
        <w:left w:val="none" w:sz="0" w:space="0" w:color="auto"/>
        <w:bottom w:val="none" w:sz="0" w:space="0" w:color="auto"/>
        <w:right w:val="none" w:sz="0" w:space="0" w:color="auto"/>
      </w:divBdr>
    </w:div>
    <w:div w:id="2124763230">
      <w:bodyDiv w:val="1"/>
      <w:marLeft w:val="0"/>
      <w:marRight w:val="0"/>
      <w:marTop w:val="0"/>
      <w:marBottom w:val="0"/>
      <w:divBdr>
        <w:top w:val="none" w:sz="0" w:space="0" w:color="auto"/>
        <w:left w:val="none" w:sz="0" w:space="0" w:color="auto"/>
        <w:bottom w:val="none" w:sz="0" w:space="0" w:color="auto"/>
        <w:right w:val="none" w:sz="0" w:space="0" w:color="auto"/>
      </w:divBdr>
    </w:div>
    <w:div w:id="2124834907">
      <w:bodyDiv w:val="1"/>
      <w:marLeft w:val="0"/>
      <w:marRight w:val="0"/>
      <w:marTop w:val="0"/>
      <w:marBottom w:val="0"/>
      <w:divBdr>
        <w:top w:val="none" w:sz="0" w:space="0" w:color="auto"/>
        <w:left w:val="none" w:sz="0" w:space="0" w:color="auto"/>
        <w:bottom w:val="none" w:sz="0" w:space="0" w:color="auto"/>
        <w:right w:val="none" w:sz="0" w:space="0" w:color="auto"/>
      </w:divBdr>
    </w:div>
    <w:div w:id="2124836049">
      <w:bodyDiv w:val="1"/>
      <w:marLeft w:val="0"/>
      <w:marRight w:val="0"/>
      <w:marTop w:val="0"/>
      <w:marBottom w:val="0"/>
      <w:divBdr>
        <w:top w:val="none" w:sz="0" w:space="0" w:color="auto"/>
        <w:left w:val="none" w:sz="0" w:space="0" w:color="auto"/>
        <w:bottom w:val="none" w:sz="0" w:space="0" w:color="auto"/>
        <w:right w:val="none" w:sz="0" w:space="0" w:color="auto"/>
      </w:divBdr>
    </w:div>
    <w:div w:id="2124879261">
      <w:bodyDiv w:val="1"/>
      <w:marLeft w:val="0"/>
      <w:marRight w:val="0"/>
      <w:marTop w:val="0"/>
      <w:marBottom w:val="0"/>
      <w:divBdr>
        <w:top w:val="none" w:sz="0" w:space="0" w:color="auto"/>
        <w:left w:val="none" w:sz="0" w:space="0" w:color="auto"/>
        <w:bottom w:val="none" w:sz="0" w:space="0" w:color="auto"/>
        <w:right w:val="none" w:sz="0" w:space="0" w:color="auto"/>
      </w:divBdr>
    </w:div>
    <w:div w:id="2124879533">
      <w:bodyDiv w:val="1"/>
      <w:marLeft w:val="0"/>
      <w:marRight w:val="0"/>
      <w:marTop w:val="0"/>
      <w:marBottom w:val="0"/>
      <w:divBdr>
        <w:top w:val="none" w:sz="0" w:space="0" w:color="auto"/>
        <w:left w:val="none" w:sz="0" w:space="0" w:color="auto"/>
        <w:bottom w:val="none" w:sz="0" w:space="0" w:color="auto"/>
        <w:right w:val="none" w:sz="0" w:space="0" w:color="auto"/>
      </w:divBdr>
    </w:div>
    <w:div w:id="2124886559">
      <w:bodyDiv w:val="1"/>
      <w:marLeft w:val="0"/>
      <w:marRight w:val="0"/>
      <w:marTop w:val="0"/>
      <w:marBottom w:val="0"/>
      <w:divBdr>
        <w:top w:val="none" w:sz="0" w:space="0" w:color="auto"/>
        <w:left w:val="none" w:sz="0" w:space="0" w:color="auto"/>
        <w:bottom w:val="none" w:sz="0" w:space="0" w:color="auto"/>
        <w:right w:val="none" w:sz="0" w:space="0" w:color="auto"/>
      </w:divBdr>
    </w:div>
    <w:div w:id="2125071286">
      <w:bodyDiv w:val="1"/>
      <w:marLeft w:val="0"/>
      <w:marRight w:val="0"/>
      <w:marTop w:val="0"/>
      <w:marBottom w:val="0"/>
      <w:divBdr>
        <w:top w:val="none" w:sz="0" w:space="0" w:color="auto"/>
        <w:left w:val="none" w:sz="0" w:space="0" w:color="auto"/>
        <w:bottom w:val="none" w:sz="0" w:space="0" w:color="auto"/>
        <w:right w:val="none" w:sz="0" w:space="0" w:color="auto"/>
      </w:divBdr>
    </w:div>
    <w:div w:id="2125078913">
      <w:bodyDiv w:val="1"/>
      <w:marLeft w:val="0"/>
      <w:marRight w:val="0"/>
      <w:marTop w:val="0"/>
      <w:marBottom w:val="0"/>
      <w:divBdr>
        <w:top w:val="none" w:sz="0" w:space="0" w:color="auto"/>
        <w:left w:val="none" w:sz="0" w:space="0" w:color="auto"/>
        <w:bottom w:val="none" w:sz="0" w:space="0" w:color="auto"/>
        <w:right w:val="none" w:sz="0" w:space="0" w:color="auto"/>
      </w:divBdr>
    </w:div>
    <w:div w:id="2125150134">
      <w:bodyDiv w:val="1"/>
      <w:marLeft w:val="0"/>
      <w:marRight w:val="0"/>
      <w:marTop w:val="0"/>
      <w:marBottom w:val="0"/>
      <w:divBdr>
        <w:top w:val="none" w:sz="0" w:space="0" w:color="auto"/>
        <w:left w:val="none" w:sz="0" w:space="0" w:color="auto"/>
        <w:bottom w:val="none" w:sz="0" w:space="0" w:color="auto"/>
        <w:right w:val="none" w:sz="0" w:space="0" w:color="auto"/>
      </w:divBdr>
    </w:div>
    <w:div w:id="2125339320">
      <w:bodyDiv w:val="1"/>
      <w:marLeft w:val="0"/>
      <w:marRight w:val="0"/>
      <w:marTop w:val="0"/>
      <w:marBottom w:val="0"/>
      <w:divBdr>
        <w:top w:val="none" w:sz="0" w:space="0" w:color="auto"/>
        <w:left w:val="none" w:sz="0" w:space="0" w:color="auto"/>
        <w:bottom w:val="none" w:sz="0" w:space="0" w:color="auto"/>
        <w:right w:val="none" w:sz="0" w:space="0" w:color="auto"/>
      </w:divBdr>
    </w:div>
    <w:div w:id="2125422028">
      <w:bodyDiv w:val="1"/>
      <w:marLeft w:val="0"/>
      <w:marRight w:val="0"/>
      <w:marTop w:val="0"/>
      <w:marBottom w:val="0"/>
      <w:divBdr>
        <w:top w:val="none" w:sz="0" w:space="0" w:color="auto"/>
        <w:left w:val="none" w:sz="0" w:space="0" w:color="auto"/>
        <w:bottom w:val="none" w:sz="0" w:space="0" w:color="auto"/>
        <w:right w:val="none" w:sz="0" w:space="0" w:color="auto"/>
      </w:divBdr>
    </w:div>
    <w:div w:id="2125495181">
      <w:bodyDiv w:val="1"/>
      <w:marLeft w:val="0"/>
      <w:marRight w:val="0"/>
      <w:marTop w:val="0"/>
      <w:marBottom w:val="0"/>
      <w:divBdr>
        <w:top w:val="none" w:sz="0" w:space="0" w:color="auto"/>
        <w:left w:val="none" w:sz="0" w:space="0" w:color="auto"/>
        <w:bottom w:val="none" w:sz="0" w:space="0" w:color="auto"/>
        <w:right w:val="none" w:sz="0" w:space="0" w:color="auto"/>
      </w:divBdr>
    </w:div>
    <w:div w:id="2125882204">
      <w:bodyDiv w:val="1"/>
      <w:marLeft w:val="0"/>
      <w:marRight w:val="0"/>
      <w:marTop w:val="0"/>
      <w:marBottom w:val="0"/>
      <w:divBdr>
        <w:top w:val="none" w:sz="0" w:space="0" w:color="auto"/>
        <w:left w:val="none" w:sz="0" w:space="0" w:color="auto"/>
        <w:bottom w:val="none" w:sz="0" w:space="0" w:color="auto"/>
        <w:right w:val="none" w:sz="0" w:space="0" w:color="auto"/>
      </w:divBdr>
    </w:div>
    <w:div w:id="2125922463">
      <w:bodyDiv w:val="1"/>
      <w:marLeft w:val="0"/>
      <w:marRight w:val="0"/>
      <w:marTop w:val="0"/>
      <w:marBottom w:val="0"/>
      <w:divBdr>
        <w:top w:val="none" w:sz="0" w:space="0" w:color="auto"/>
        <w:left w:val="none" w:sz="0" w:space="0" w:color="auto"/>
        <w:bottom w:val="none" w:sz="0" w:space="0" w:color="auto"/>
        <w:right w:val="none" w:sz="0" w:space="0" w:color="auto"/>
      </w:divBdr>
    </w:div>
    <w:div w:id="2125928650">
      <w:bodyDiv w:val="1"/>
      <w:marLeft w:val="0"/>
      <w:marRight w:val="0"/>
      <w:marTop w:val="0"/>
      <w:marBottom w:val="0"/>
      <w:divBdr>
        <w:top w:val="none" w:sz="0" w:space="0" w:color="auto"/>
        <w:left w:val="none" w:sz="0" w:space="0" w:color="auto"/>
        <w:bottom w:val="none" w:sz="0" w:space="0" w:color="auto"/>
        <w:right w:val="none" w:sz="0" w:space="0" w:color="auto"/>
      </w:divBdr>
    </w:div>
    <w:div w:id="2126002671">
      <w:bodyDiv w:val="1"/>
      <w:marLeft w:val="0"/>
      <w:marRight w:val="0"/>
      <w:marTop w:val="0"/>
      <w:marBottom w:val="0"/>
      <w:divBdr>
        <w:top w:val="none" w:sz="0" w:space="0" w:color="auto"/>
        <w:left w:val="none" w:sz="0" w:space="0" w:color="auto"/>
        <w:bottom w:val="none" w:sz="0" w:space="0" w:color="auto"/>
        <w:right w:val="none" w:sz="0" w:space="0" w:color="auto"/>
      </w:divBdr>
    </w:div>
    <w:div w:id="2126070292">
      <w:bodyDiv w:val="1"/>
      <w:marLeft w:val="0"/>
      <w:marRight w:val="0"/>
      <w:marTop w:val="0"/>
      <w:marBottom w:val="0"/>
      <w:divBdr>
        <w:top w:val="none" w:sz="0" w:space="0" w:color="auto"/>
        <w:left w:val="none" w:sz="0" w:space="0" w:color="auto"/>
        <w:bottom w:val="none" w:sz="0" w:space="0" w:color="auto"/>
        <w:right w:val="none" w:sz="0" w:space="0" w:color="auto"/>
      </w:divBdr>
    </w:div>
    <w:div w:id="2126151082">
      <w:bodyDiv w:val="1"/>
      <w:marLeft w:val="0"/>
      <w:marRight w:val="0"/>
      <w:marTop w:val="0"/>
      <w:marBottom w:val="0"/>
      <w:divBdr>
        <w:top w:val="none" w:sz="0" w:space="0" w:color="auto"/>
        <w:left w:val="none" w:sz="0" w:space="0" w:color="auto"/>
        <w:bottom w:val="none" w:sz="0" w:space="0" w:color="auto"/>
        <w:right w:val="none" w:sz="0" w:space="0" w:color="auto"/>
      </w:divBdr>
    </w:div>
    <w:div w:id="2126195021">
      <w:bodyDiv w:val="1"/>
      <w:marLeft w:val="0"/>
      <w:marRight w:val="0"/>
      <w:marTop w:val="0"/>
      <w:marBottom w:val="0"/>
      <w:divBdr>
        <w:top w:val="none" w:sz="0" w:space="0" w:color="auto"/>
        <w:left w:val="none" w:sz="0" w:space="0" w:color="auto"/>
        <w:bottom w:val="none" w:sz="0" w:space="0" w:color="auto"/>
        <w:right w:val="none" w:sz="0" w:space="0" w:color="auto"/>
      </w:divBdr>
    </w:div>
    <w:div w:id="2126343977">
      <w:bodyDiv w:val="1"/>
      <w:marLeft w:val="0"/>
      <w:marRight w:val="0"/>
      <w:marTop w:val="0"/>
      <w:marBottom w:val="0"/>
      <w:divBdr>
        <w:top w:val="none" w:sz="0" w:space="0" w:color="auto"/>
        <w:left w:val="none" w:sz="0" w:space="0" w:color="auto"/>
        <w:bottom w:val="none" w:sz="0" w:space="0" w:color="auto"/>
        <w:right w:val="none" w:sz="0" w:space="0" w:color="auto"/>
      </w:divBdr>
    </w:div>
    <w:div w:id="2126386945">
      <w:bodyDiv w:val="1"/>
      <w:marLeft w:val="0"/>
      <w:marRight w:val="0"/>
      <w:marTop w:val="0"/>
      <w:marBottom w:val="0"/>
      <w:divBdr>
        <w:top w:val="none" w:sz="0" w:space="0" w:color="auto"/>
        <w:left w:val="none" w:sz="0" w:space="0" w:color="auto"/>
        <w:bottom w:val="none" w:sz="0" w:space="0" w:color="auto"/>
        <w:right w:val="none" w:sz="0" w:space="0" w:color="auto"/>
      </w:divBdr>
    </w:div>
    <w:div w:id="2126535127">
      <w:bodyDiv w:val="1"/>
      <w:marLeft w:val="0"/>
      <w:marRight w:val="0"/>
      <w:marTop w:val="0"/>
      <w:marBottom w:val="0"/>
      <w:divBdr>
        <w:top w:val="none" w:sz="0" w:space="0" w:color="auto"/>
        <w:left w:val="none" w:sz="0" w:space="0" w:color="auto"/>
        <w:bottom w:val="none" w:sz="0" w:space="0" w:color="auto"/>
        <w:right w:val="none" w:sz="0" w:space="0" w:color="auto"/>
      </w:divBdr>
    </w:div>
    <w:div w:id="2126537274">
      <w:bodyDiv w:val="1"/>
      <w:marLeft w:val="0"/>
      <w:marRight w:val="0"/>
      <w:marTop w:val="0"/>
      <w:marBottom w:val="0"/>
      <w:divBdr>
        <w:top w:val="none" w:sz="0" w:space="0" w:color="auto"/>
        <w:left w:val="none" w:sz="0" w:space="0" w:color="auto"/>
        <w:bottom w:val="none" w:sz="0" w:space="0" w:color="auto"/>
        <w:right w:val="none" w:sz="0" w:space="0" w:color="auto"/>
      </w:divBdr>
    </w:div>
    <w:div w:id="2126579807">
      <w:bodyDiv w:val="1"/>
      <w:marLeft w:val="0"/>
      <w:marRight w:val="0"/>
      <w:marTop w:val="0"/>
      <w:marBottom w:val="0"/>
      <w:divBdr>
        <w:top w:val="none" w:sz="0" w:space="0" w:color="auto"/>
        <w:left w:val="none" w:sz="0" w:space="0" w:color="auto"/>
        <w:bottom w:val="none" w:sz="0" w:space="0" w:color="auto"/>
        <w:right w:val="none" w:sz="0" w:space="0" w:color="auto"/>
      </w:divBdr>
    </w:div>
    <w:div w:id="2126608889">
      <w:bodyDiv w:val="1"/>
      <w:marLeft w:val="0"/>
      <w:marRight w:val="0"/>
      <w:marTop w:val="0"/>
      <w:marBottom w:val="0"/>
      <w:divBdr>
        <w:top w:val="none" w:sz="0" w:space="0" w:color="auto"/>
        <w:left w:val="none" w:sz="0" w:space="0" w:color="auto"/>
        <w:bottom w:val="none" w:sz="0" w:space="0" w:color="auto"/>
        <w:right w:val="none" w:sz="0" w:space="0" w:color="auto"/>
      </w:divBdr>
    </w:div>
    <w:div w:id="2126656043">
      <w:bodyDiv w:val="1"/>
      <w:marLeft w:val="0"/>
      <w:marRight w:val="0"/>
      <w:marTop w:val="0"/>
      <w:marBottom w:val="0"/>
      <w:divBdr>
        <w:top w:val="none" w:sz="0" w:space="0" w:color="auto"/>
        <w:left w:val="none" w:sz="0" w:space="0" w:color="auto"/>
        <w:bottom w:val="none" w:sz="0" w:space="0" w:color="auto"/>
        <w:right w:val="none" w:sz="0" w:space="0" w:color="auto"/>
      </w:divBdr>
    </w:div>
    <w:div w:id="2126775619">
      <w:bodyDiv w:val="1"/>
      <w:marLeft w:val="0"/>
      <w:marRight w:val="0"/>
      <w:marTop w:val="0"/>
      <w:marBottom w:val="0"/>
      <w:divBdr>
        <w:top w:val="none" w:sz="0" w:space="0" w:color="auto"/>
        <w:left w:val="none" w:sz="0" w:space="0" w:color="auto"/>
        <w:bottom w:val="none" w:sz="0" w:space="0" w:color="auto"/>
        <w:right w:val="none" w:sz="0" w:space="0" w:color="auto"/>
      </w:divBdr>
    </w:div>
    <w:div w:id="2126803732">
      <w:bodyDiv w:val="1"/>
      <w:marLeft w:val="0"/>
      <w:marRight w:val="0"/>
      <w:marTop w:val="0"/>
      <w:marBottom w:val="0"/>
      <w:divBdr>
        <w:top w:val="none" w:sz="0" w:space="0" w:color="auto"/>
        <w:left w:val="none" w:sz="0" w:space="0" w:color="auto"/>
        <w:bottom w:val="none" w:sz="0" w:space="0" w:color="auto"/>
        <w:right w:val="none" w:sz="0" w:space="0" w:color="auto"/>
      </w:divBdr>
    </w:div>
    <w:div w:id="2126805724">
      <w:bodyDiv w:val="1"/>
      <w:marLeft w:val="0"/>
      <w:marRight w:val="0"/>
      <w:marTop w:val="0"/>
      <w:marBottom w:val="0"/>
      <w:divBdr>
        <w:top w:val="none" w:sz="0" w:space="0" w:color="auto"/>
        <w:left w:val="none" w:sz="0" w:space="0" w:color="auto"/>
        <w:bottom w:val="none" w:sz="0" w:space="0" w:color="auto"/>
        <w:right w:val="none" w:sz="0" w:space="0" w:color="auto"/>
      </w:divBdr>
    </w:div>
    <w:div w:id="2127041425">
      <w:bodyDiv w:val="1"/>
      <w:marLeft w:val="0"/>
      <w:marRight w:val="0"/>
      <w:marTop w:val="0"/>
      <w:marBottom w:val="0"/>
      <w:divBdr>
        <w:top w:val="none" w:sz="0" w:space="0" w:color="auto"/>
        <w:left w:val="none" w:sz="0" w:space="0" w:color="auto"/>
        <w:bottom w:val="none" w:sz="0" w:space="0" w:color="auto"/>
        <w:right w:val="none" w:sz="0" w:space="0" w:color="auto"/>
      </w:divBdr>
    </w:div>
    <w:div w:id="2127188280">
      <w:bodyDiv w:val="1"/>
      <w:marLeft w:val="0"/>
      <w:marRight w:val="0"/>
      <w:marTop w:val="0"/>
      <w:marBottom w:val="0"/>
      <w:divBdr>
        <w:top w:val="none" w:sz="0" w:space="0" w:color="auto"/>
        <w:left w:val="none" w:sz="0" w:space="0" w:color="auto"/>
        <w:bottom w:val="none" w:sz="0" w:space="0" w:color="auto"/>
        <w:right w:val="none" w:sz="0" w:space="0" w:color="auto"/>
      </w:divBdr>
    </w:div>
    <w:div w:id="2127189330">
      <w:bodyDiv w:val="1"/>
      <w:marLeft w:val="0"/>
      <w:marRight w:val="0"/>
      <w:marTop w:val="0"/>
      <w:marBottom w:val="0"/>
      <w:divBdr>
        <w:top w:val="none" w:sz="0" w:space="0" w:color="auto"/>
        <w:left w:val="none" w:sz="0" w:space="0" w:color="auto"/>
        <w:bottom w:val="none" w:sz="0" w:space="0" w:color="auto"/>
        <w:right w:val="none" w:sz="0" w:space="0" w:color="auto"/>
      </w:divBdr>
    </w:div>
    <w:div w:id="2127505615">
      <w:bodyDiv w:val="1"/>
      <w:marLeft w:val="0"/>
      <w:marRight w:val="0"/>
      <w:marTop w:val="0"/>
      <w:marBottom w:val="0"/>
      <w:divBdr>
        <w:top w:val="none" w:sz="0" w:space="0" w:color="auto"/>
        <w:left w:val="none" w:sz="0" w:space="0" w:color="auto"/>
        <w:bottom w:val="none" w:sz="0" w:space="0" w:color="auto"/>
        <w:right w:val="none" w:sz="0" w:space="0" w:color="auto"/>
      </w:divBdr>
    </w:div>
    <w:div w:id="2127505886">
      <w:bodyDiv w:val="1"/>
      <w:marLeft w:val="0"/>
      <w:marRight w:val="0"/>
      <w:marTop w:val="0"/>
      <w:marBottom w:val="0"/>
      <w:divBdr>
        <w:top w:val="none" w:sz="0" w:space="0" w:color="auto"/>
        <w:left w:val="none" w:sz="0" w:space="0" w:color="auto"/>
        <w:bottom w:val="none" w:sz="0" w:space="0" w:color="auto"/>
        <w:right w:val="none" w:sz="0" w:space="0" w:color="auto"/>
      </w:divBdr>
    </w:div>
    <w:div w:id="2127507049">
      <w:bodyDiv w:val="1"/>
      <w:marLeft w:val="0"/>
      <w:marRight w:val="0"/>
      <w:marTop w:val="0"/>
      <w:marBottom w:val="0"/>
      <w:divBdr>
        <w:top w:val="none" w:sz="0" w:space="0" w:color="auto"/>
        <w:left w:val="none" w:sz="0" w:space="0" w:color="auto"/>
        <w:bottom w:val="none" w:sz="0" w:space="0" w:color="auto"/>
        <w:right w:val="none" w:sz="0" w:space="0" w:color="auto"/>
      </w:divBdr>
    </w:div>
    <w:div w:id="2127577692">
      <w:bodyDiv w:val="1"/>
      <w:marLeft w:val="0"/>
      <w:marRight w:val="0"/>
      <w:marTop w:val="0"/>
      <w:marBottom w:val="0"/>
      <w:divBdr>
        <w:top w:val="none" w:sz="0" w:space="0" w:color="auto"/>
        <w:left w:val="none" w:sz="0" w:space="0" w:color="auto"/>
        <w:bottom w:val="none" w:sz="0" w:space="0" w:color="auto"/>
        <w:right w:val="none" w:sz="0" w:space="0" w:color="auto"/>
      </w:divBdr>
    </w:div>
    <w:div w:id="2127651215">
      <w:bodyDiv w:val="1"/>
      <w:marLeft w:val="0"/>
      <w:marRight w:val="0"/>
      <w:marTop w:val="0"/>
      <w:marBottom w:val="0"/>
      <w:divBdr>
        <w:top w:val="none" w:sz="0" w:space="0" w:color="auto"/>
        <w:left w:val="none" w:sz="0" w:space="0" w:color="auto"/>
        <w:bottom w:val="none" w:sz="0" w:space="0" w:color="auto"/>
        <w:right w:val="none" w:sz="0" w:space="0" w:color="auto"/>
      </w:divBdr>
    </w:div>
    <w:div w:id="2127656065">
      <w:bodyDiv w:val="1"/>
      <w:marLeft w:val="0"/>
      <w:marRight w:val="0"/>
      <w:marTop w:val="0"/>
      <w:marBottom w:val="0"/>
      <w:divBdr>
        <w:top w:val="none" w:sz="0" w:space="0" w:color="auto"/>
        <w:left w:val="none" w:sz="0" w:space="0" w:color="auto"/>
        <w:bottom w:val="none" w:sz="0" w:space="0" w:color="auto"/>
        <w:right w:val="none" w:sz="0" w:space="0" w:color="auto"/>
      </w:divBdr>
    </w:div>
    <w:div w:id="2127657045">
      <w:bodyDiv w:val="1"/>
      <w:marLeft w:val="0"/>
      <w:marRight w:val="0"/>
      <w:marTop w:val="0"/>
      <w:marBottom w:val="0"/>
      <w:divBdr>
        <w:top w:val="none" w:sz="0" w:space="0" w:color="auto"/>
        <w:left w:val="none" w:sz="0" w:space="0" w:color="auto"/>
        <w:bottom w:val="none" w:sz="0" w:space="0" w:color="auto"/>
        <w:right w:val="none" w:sz="0" w:space="0" w:color="auto"/>
      </w:divBdr>
    </w:div>
    <w:div w:id="2127692750">
      <w:bodyDiv w:val="1"/>
      <w:marLeft w:val="0"/>
      <w:marRight w:val="0"/>
      <w:marTop w:val="0"/>
      <w:marBottom w:val="0"/>
      <w:divBdr>
        <w:top w:val="none" w:sz="0" w:space="0" w:color="auto"/>
        <w:left w:val="none" w:sz="0" w:space="0" w:color="auto"/>
        <w:bottom w:val="none" w:sz="0" w:space="0" w:color="auto"/>
        <w:right w:val="none" w:sz="0" w:space="0" w:color="auto"/>
      </w:divBdr>
    </w:div>
    <w:div w:id="2127700987">
      <w:bodyDiv w:val="1"/>
      <w:marLeft w:val="0"/>
      <w:marRight w:val="0"/>
      <w:marTop w:val="0"/>
      <w:marBottom w:val="0"/>
      <w:divBdr>
        <w:top w:val="none" w:sz="0" w:space="0" w:color="auto"/>
        <w:left w:val="none" w:sz="0" w:space="0" w:color="auto"/>
        <w:bottom w:val="none" w:sz="0" w:space="0" w:color="auto"/>
        <w:right w:val="none" w:sz="0" w:space="0" w:color="auto"/>
      </w:divBdr>
    </w:div>
    <w:div w:id="2127893838">
      <w:bodyDiv w:val="1"/>
      <w:marLeft w:val="0"/>
      <w:marRight w:val="0"/>
      <w:marTop w:val="0"/>
      <w:marBottom w:val="0"/>
      <w:divBdr>
        <w:top w:val="none" w:sz="0" w:space="0" w:color="auto"/>
        <w:left w:val="none" w:sz="0" w:space="0" w:color="auto"/>
        <w:bottom w:val="none" w:sz="0" w:space="0" w:color="auto"/>
        <w:right w:val="none" w:sz="0" w:space="0" w:color="auto"/>
      </w:divBdr>
    </w:div>
    <w:div w:id="2127918529">
      <w:bodyDiv w:val="1"/>
      <w:marLeft w:val="0"/>
      <w:marRight w:val="0"/>
      <w:marTop w:val="0"/>
      <w:marBottom w:val="0"/>
      <w:divBdr>
        <w:top w:val="none" w:sz="0" w:space="0" w:color="auto"/>
        <w:left w:val="none" w:sz="0" w:space="0" w:color="auto"/>
        <w:bottom w:val="none" w:sz="0" w:space="0" w:color="auto"/>
        <w:right w:val="none" w:sz="0" w:space="0" w:color="auto"/>
      </w:divBdr>
    </w:div>
    <w:div w:id="2127920134">
      <w:bodyDiv w:val="1"/>
      <w:marLeft w:val="0"/>
      <w:marRight w:val="0"/>
      <w:marTop w:val="0"/>
      <w:marBottom w:val="0"/>
      <w:divBdr>
        <w:top w:val="none" w:sz="0" w:space="0" w:color="auto"/>
        <w:left w:val="none" w:sz="0" w:space="0" w:color="auto"/>
        <w:bottom w:val="none" w:sz="0" w:space="0" w:color="auto"/>
        <w:right w:val="none" w:sz="0" w:space="0" w:color="auto"/>
      </w:divBdr>
    </w:div>
    <w:div w:id="2127968097">
      <w:bodyDiv w:val="1"/>
      <w:marLeft w:val="0"/>
      <w:marRight w:val="0"/>
      <w:marTop w:val="0"/>
      <w:marBottom w:val="0"/>
      <w:divBdr>
        <w:top w:val="none" w:sz="0" w:space="0" w:color="auto"/>
        <w:left w:val="none" w:sz="0" w:space="0" w:color="auto"/>
        <w:bottom w:val="none" w:sz="0" w:space="0" w:color="auto"/>
        <w:right w:val="none" w:sz="0" w:space="0" w:color="auto"/>
      </w:divBdr>
    </w:div>
    <w:div w:id="2127968406">
      <w:bodyDiv w:val="1"/>
      <w:marLeft w:val="0"/>
      <w:marRight w:val="0"/>
      <w:marTop w:val="0"/>
      <w:marBottom w:val="0"/>
      <w:divBdr>
        <w:top w:val="none" w:sz="0" w:space="0" w:color="auto"/>
        <w:left w:val="none" w:sz="0" w:space="0" w:color="auto"/>
        <w:bottom w:val="none" w:sz="0" w:space="0" w:color="auto"/>
        <w:right w:val="none" w:sz="0" w:space="0" w:color="auto"/>
      </w:divBdr>
    </w:div>
    <w:div w:id="2128037354">
      <w:bodyDiv w:val="1"/>
      <w:marLeft w:val="0"/>
      <w:marRight w:val="0"/>
      <w:marTop w:val="0"/>
      <w:marBottom w:val="0"/>
      <w:divBdr>
        <w:top w:val="none" w:sz="0" w:space="0" w:color="auto"/>
        <w:left w:val="none" w:sz="0" w:space="0" w:color="auto"/>
        <w:bottom w:val="none" w:sz="0" w:space="0" w:color="auto"/>
        <w:right w:val="none" w:sz="0" w:space="0" w:color="auto"/>
      </w:divBdr>
    </w:div>
    <w:div w:id="2128117526">
      <w:bodyDiv w:val="1"/>
      <w:marLeft w:val="0"/>
      <w:marRight w:val="0"/>
      <w:marTop w:val="0"/>
      <w:marBottom w:val="0"/>
      <w:divBdr>
        <w:top w:val="none" w:sz="0" w:space="0" w:color="auto"/>
        <w:left w:val="none" w:sz="0" w:space="0" w:color="auto"/>
        <w:bottom w:val="none" w:sz="0" w:space="0" w:color="auto"/>
        <w:right w:val="none" w:sz="0" w:space="0" w:color="auto"/>
      </w:divBdr>
    </w:div>
    <w:div w:id="2128161313">
      <w:bodyDiv w:val="1"/>
      <w:marLeft w:val="0"/>
      <w:marRight w:val="0"/>
      <w:marTop w:val="0"/>
      <w:marBottom w:val="0"/>
      <w:divBdr>
        <w:top w:val="none" w:sz="0" w:space="0" w:color="auto"/>
        <w:left w:val="none" w:sz="0" w:space="0" w:color="auto"/>
        <w:bottom w:val="none" w:sz="0" w:space="0" w:color="auto"/>
        <w:right w:val="none" w:sz="0" w:space="0" w:color="auto"/>
      </w:divBdr>
    </w:div>
    <w:div w:id="2128235642">
      <w:bodyDiv w:val="1"/>
      <w:marLeft w:val="0"/>
      <w:marRight w:val="0"/>
      <w:marTop w:val="0"/>
      <w:marBottom w:val="0"/>
      <w:divBdr>
        <w:top w:val="none" w:sz="0" w:space="0" w:color="auto"/>
        <w:left w:val="none" w:sz="0" w:space="0" w:color="auto"/>
        <w:bottom w:val="none" w:sz="0" w:space="0" w:color="auto"/>
        <w:right w:val="none" w:sz="0" w:space="0" w:color="auto"/>
      </w:divBdr>
    </w:div>
    <w:div w:id="2128309169">
      <w:bodyDiv w:val="1"/>
      <w:marLeft w:val="0"/>
      <w:marRight w:val="0"/>
      <w:marTop w:val="0"/>
      <w:marBottom w:val="0"/>
      <w:divBdr>
        <w:top w:val="none" w:sz="0" w:space="0" w:color="auto"/>
        <w:left w:val="none" w:sz="0" w:space="0" w:color="auto"/>
        <w:bottom w:val="none" w:sz="0" w:space="0" w:color="auto"/>
        <w:right w:val="none" w:sz="0" w:space="0" w:color="auto"/>
      </w:divBdr>
    </w:div>
    <w:div w:id="2128313593">
      <w:bodyDiv w:val="1"/>
      <w:marLeft w:val="0"/>
      <w:marRight w:val="0"/>
      <w:marTop w:val="0"/>
      <w:marBottom w:val="0"/>
      <w:divBdr>
        <w:top w:val="none" w:sz="0" w:space="0" w:color="auto"/>
        <w:left w:val="none" w:sz="0" w:space="0" w:color="auto"/>
        <w:bottom w:val="none" w:sz="0" w:space="0" w:color="auto"/>
        <w:right w:val="none" w:sz="0" w:space="0" w:color="auto"/>
      </w:divBdr>
    </w:div>
    <w:div w:id="2128350793">
      <w:bodyDiv w:val="1"/>
      <w:marLeft w:val="0"/>
      <w:marRight w:val="0"/>
      <w:marTop w:val="0"/>
      <w:marBottom w:val="0"/>
      <w:divBdr>
        <w:top w:val="none" w:sz="0" w:space="0" w:color="auto"/>
        <w:left w:val="none" w:sz="0" w:space="0" w:color="auto"/>
        <w:bottom w:val="none" w:sz="0" w:space="0" w:color="auto"/>
        <w:right w:val="none" w:sz="0" w:space="0" w:color="auto"/>
      </w:divBdr>
    </w:div>
    <w:div w:id="2128427668">
      <w:bodyDiv w:val="1"/>
      <w:marLeft w:val="0"/>
      <w:marRight w:val="0"/>
      <w:marTop w:val="0"/>
      <w:marBottom w:val="0"/>
      <w:divBdr>
        <w:top w:val="none" w:sz="0" w:space="0" w:color="auto"/>
        <w:left w:val="none" w:sz="0" w:space="0" w:color="auto"/>
        <w:bottom w:val="none" w:sz="0" w:space="0" w:color="auto"/>
        <w:right w:val="none" w:sz="0" w:space="0" w:color="auto"/>
      </w:divBdr>
    </w:div>
    <w:div w:id="2128505413">
      <w:bodyDiv w:val="1"/>
      <w:marLeft w:val="0"/>
      <w:marRight w:val="0"/>
      <w:marTop w:val="0"/>
      <w:marBottom w:val="0"/>
      <w:divBdr>
        <w:top w:val="none" w:sz="0" w:space="0" w:color="auto"/>
        <w:left w:val="none" w:sz="0" w:space="0" w:color="auto"/>
        <w:bottom w:val="none" w:sz="0" w:space="0" w:color="auto"/>
        <w:right w:val="none" w:sz="0" w:space="0" w:color="auto"/>
      </w:divBdr>
    </w:div>
    <w:div w:id="2128615720">
      <w:bodyDiv w:val="1"/>
      <w:marLeft w:val="0"/>
      <w:marRight w:val="0"/>
      <w:marTop w:val="0"/>
      <w:marBottom w:val="0"/>
      <w:divBdr>
        <w:top w:val="none" w:sz="0" w:space="0" w:color="auto"/>
        <w:left w:val="none" w:sz="0" w:space="0" w:color="auto"/>
        <w:bottom w:val="none" w:sz="0" w:space="0" w:color="auto"/>
        <w:right w:val="none" w:sz="0" w:space="0" w:color="auto"/>
      </w:divBdr>
    </w:div>
    <w:div w:id="2128623654">
      <w:bodyDiv w:val="1"/>
      <w:marLeft w:val="0"/>
      <w:marRight w:val="0"/>
      <w:marTop w:val="0"/>
      <w:marBottom w:val="0"/>
      <w:divBdr>
        <w:top w:val="none" w:sz="0" w:space="0" w:color="auto"/>
        <w:left w:val="none" w:sz="0" w:space="0" w:color="auto"/>
        <w:bottom w:val="none" w:sz="0" w:space="0" w:color="auto"/>
        <w:right w:val="none" w:sz="0" w:space="0" w:color="auto"/>
      </w:divBdr>
    </w:div>
    <w:div w:id="2128697599">
      <w:bodyDiv w:val="1"/>
      <w:marLeft w:val="0"/>
      <w:marRight w:val="0"/>
      <w:marTop w:val="0"/>
      <w:marBottom w:val="0"/>
      <w:divBdr>
        <w:top w:val="none" w:sz="0" w:space="0" w:color="auto"/>
        <w:left w:val="none" w:sz="0" w:space="0" w:color="auto"/>
        <w:bottom w:val="none" w:sz="0" w:space="0" w:color="auto"/>
        <w:right w:val="none" w:sz="0" w:space="0" w:color="auto"/>
      </w:divBdr>
    </w:div>
    <w:div w:id="2128769969">
      <w:bodyDiv w:val="1"/>
      <w:marLeft w:val="0"/>
      <w:marRight w:val="0"/>
      <w:marTop w:val="0"/>
      <w:marBottom w:val="0"/>
      <w:divBdr>
        <w:top w:val="none" w:sz="0" w:space="0" w:color="auto"/>
        <w:left w:val="none" w:sz="0" w:space="0" w:color="auto"/>
        <w:bottom w:val="none" w:sz="0" w:space="0" w:color="auto"/>
        <w:right w:val="none" w:sz="0" w:space="0" w:color="auto"/>
      </w:divBdr>
    </w:div>
    <w:div w:id="2129006096">
      <w:bodyDiv w:val="1"/>
      <w:marLeft w:val="0"/>
      <w:marRight w:val="0"/>
      <w:marTop w:val="0"/>
      <w:marBottom w:val="0"/>
      <w:divBdr>
        <w:top w:val="none" w:sz="0" w:space="0" w:color="auto"/>
        <w:left w:val="none" w:sz="0" w:space="0" w:color="auto"/>
        <w:bottom w:val="none" w:sz="0" w:space="0" w:color="auto"/>
        <w:right w:val="none" w:sz="0" w:space="0" w:color="auto"/>
      </w:divBdr>
    </w:div>
    <w:div w:id="2129155564">
      <w:bodyDiv w:val="1"/>
      <w:marLeft w:val="0"/>
      <w:marRight w:val="0"/>
      <w:marTop w:val="0"/>
      <w:marBottom w:val="0"/>
      <w:divBdr>
        <w:top w:val="none" w:sz="0" w:space="0" w:color="auto"/>
        <w:left w:val="none" w:sz="0" w:space="0" w:color="auto"/>
        <w:bottom w:val="none" w:sz="0" w:space="0" w:color="auto"/>
        <w:right w:val="none" w:sz="0" w:space="0" w:color="auto"/>
      </w:divBdr>
    </w:div>
    <w:div w:id="2129200563">
      <w:bodyDiv w:val="1"/>
      <w:marLeft w:val="0"/>
      <w:marRight w:val="0"/>
      <w:marTop w:val="0"/>
      <w:marBottom w:val="0"/>
      <w:divBdr>
        <w:top w:val="none" w:sz="0" w:space="0" w:color="auto"/>
        <w:left w:val="none" w:sz="0" w:space="0" w:color="auto"/>
        <w:bottom w:val="none" w:sz="0" w:space="0" w:color="auto"/>
        <w:right w:val="none" w:sz="0" w:space="0" w:color="auto"/>
      </w:divBdr>
    </w:div>
    <w:div w:id="2129270977">
      <w:bodyDiv w:val="1"/>
      <w:marLeft w:val="0"/>
      <w:marRight w:val="0"/>
      <w:marTop w:val="0"/>
      <w:marBottom w:val="0"/>
      <w:divBdr>
        <w:top w:val="none" w:sz="0" w:space="0" w:color="auto"/>
        <w:left w:val="none" w:sz="0" w:space="0" w:color="auto"/>
        <w:bottom w:val="none" w:sz="0" w:space="0" w:color="auto"/>
        <w:right w:val="none" w:sz="0" w:space="0" w:color="auto"/>
      </w:divBdr>
    </w:div>
    <w:div w:id="2129346183">
      <w:bodyDiv w:val="1"/>
      <w:marLeft w:val="0"/>
      <w:marRight w:val="0"/>
      <w:marTop w:val="0"/>
      <w:marBottom w:val="0"/>
      <w:divBdr>
        <w:top w:val="none" w:sz="0" w:space="0" w:color="auto"/>
        <w:left w:val="none" w:sz="0" w:space="0" w:color="auto"/>
        <w:bottom w:val="none" w:sz="0" w:space="0" w:color="auto"/>
        <w:right w:val="none" w:sz="0" w:space="0" w:color="auto"/>
      </w:divBdr>
    </w:div>
    <w:div w:id="2129355358">
      <w:bodyDiv w:val="1"/>
      <w:marLeft w:val="0"/>
      <w:marRight w:val="0"/>
      <w:marTop w:val="0"/>
      <w:marBottom w:val="0"/>
      <w:divBdr>
        <w:top w:val="none" w:sz="0" w:space="0" w:color="auto"/>
        <w:left w:val="none" w:sz="0" w:space="0" w:color="auto"/>
        <w:bottom w:val="none" w:sz="0" w:space="0" w:color="auto"/>
        <w:right w:val="none" w:sz="0" w:space="0" w:color="auto"/>
      </w:divBdr>
    </w:div>
    <w:div w:id="2129422019">
      <w:bodyDiv w:val="1"/>
      <w:marLeft w:val="0"/>
      <w:marRight w:val="0"/>
      <w:marTop w:val="0"/>
      <w:marBottom w:val="0"/>
      <w:divBdr>
        <w:top w:val="none" w:sz="0" w:space="0" w:color="auto"/>
        <w:left w:val="none" w:sz="0" w:space="0" w:color="auto"/>
        <w:bottom w:val="none" w:sz="0" w:space="0" w:color="auto"/>
        <w:right w:val="none" w:sz="0" w:space="0" w:color="auto"/>
      </w:divBdr>
    </w:div>
    <w:div w:id="2129424111">
      <w:bodyDiv w:val="1"/>
      <w:marLeft w:val="0"/>
      <w:marRight w:val="0"/>
      <w:marTop w:val="0"/>
      <w:marBottom w:val="0"/>
      <w:divBdr>
        <w:top w:val="none" w:sz="0" w:space="0" w:color="auto"/>
        <w:left w:val="none" w:sz="0" w:space="0" w:color="auto"/>
        <w:bottom w:val="none" w:sz="0" w:space="0" w:color="auto"/>
        <w:right w:val="none" w:sz="0" w:space="0" w:color="auto"/>
      </w:divBdr>
    </w:div>
    <w:div w:id="2129545668">
      <w:bodyDiv w:val="1"/>
      <w:marLeft w:val="0"/>
      <w:marRight w:val="0"/>
      <w:marTop w:val="0"/>
      <w:marBottom w:val="0"/>
      <w:divBdr>
        <w:top w:val="none" w:sz="0" w:space="0" w:color="auto"/>
        <w:left w:val="none" w:sz="0" w:space="0" w:color="auto"/>
        <w:bottom w:val="none" w:sz="0" w:space="0" w:color="auto"/>
        <w:right w:val="none" w:sz="0" w:space="0" w:color="auto"/>
      </w:divBdr>
    </w:div>
    <w:div w:id="2129617083">
      <w:bodyDiv w:val="1"/>
      <w:marLeft w:val="0"/>
      <w:marRight w:val="0"/>
      <w:marTop w:val="0"/>
      <w:marBottom w:val="0"/>
      <w:divBdr>
        <w:top w:val="none" w:sz="0" w:space="0" w:color="auto"/>
        <w:left w:val="none" w:sz="0" w:space="0" w:color="auto"/>
        <w:bottom w:val="none" w:sz="0" w:space="0" w:color="auto"/>
        <w:right w:val="none" w:sz="0" w:space="0" w:color="auto"/>
      </w:divBdr>
    </w:div>
    <w:div w:id="2129623567">
      <w:bodyDiv w:val="1"/>
      <w:marLeft w:val="0"/>
      <w:marRight w:val="0"/>
      <w:marTop w:val="0"/>
      <w:marBottom w:val="0"/>
      <w:divBdr>
        <w:top w:val="none" w:sz="0" w:space="0" w:color="auto"/>
        <w:left w:val="none" w:sz="0" w:space="0" w:color="auto"/>
        <w:bottom w:val="none" w:sz="0" w:space="0" w:color="auto"/>
        <w:right w:val="none" w:sz="0" w:space="0" w:color="auto"/>
      </w:divBdr>
    </w:div>
    <w:div w:id="2129658687">
      <w:bodyDiv w:val="1"/>
      <w:marLeft w:val="0"/>
      <w:marRight w:val="0"/>
      <w:marTop w:val="0"/>
      <w:marBottom w:val="0"/>
      <w:divBdr>
        <w:top w:val="none" w:sz="0" w:space="0" w:color="auto"/>
        <w:left w:val="none" w:sz="0" w:space="0" w:color="auto"/>
        <w:bottom w:val="none" w:sz="0" w:space="0" w:color="auto"/>
        <w:right w:val="none" w:sz="0" w:space="0" w:color="auto"/>
      </w:divBdr>
    </w:div>
    <w:div w:id="2129666366">
      <w:bodyDiv w:val="1"/>
      <w:marLeft w:val="0"/>
      <w:marRight w:val="0"/>
      <w:marTop w:val="0"/>
      <w:marBottom w:val="0"/>
      <w:divBdr>
        <w:top w:val="none" w:sz="0" w:space="0" w:color="auto"/>
        <w:left w:val="none" w:sz="0" w:space="0" w:color="auto"/>
        <w:bottom w:val="none" w:sz="0" w:space="0" w:color="auto"/>
        <w:right w:val="none" w:sz="0" w:space="0" w:color="auto"/>
      </w:divBdr>
    </w:div>
    <w:div w:id="2129855804">
      <w:bodyDiv w:val="1"/>
      <w:marLeft w:val="0"/>
      <w:marRight w:val="0"/>
      <w:marTop w:val="0"/>
      <w:marBottom w:val="0"/>
      <w:divBdr>
        <w:top w:val="none" w:sz="0" w:space="0" w:color="auto"/>
        <w:left w:val="none" w:sz="0" w:space="0" w:color="auto"/>
        <w:bottom w:val="none" w:sz="0" w:space="0" w:color="auto"/>
        <w:right w:val="none" w:sz="0" w:space="0" w:color="auto"/>
      </w:divBdr>
    </w:div>
    <w:div w:id="2129883738">
      <w:bodyDiv w:val="1"/>
      <w:marLeft w:val="0"/>
      <w:marRight w:val="0"/>
      <w:marTop w:val="0"/>
      <w:marBottom w:val="0"/>
      <w:divBdr>
        <w:top w:val="none" w:sz="0" w:space="0" w:color="auto"/>
        <w:left w:val="none" w:sz="0" w:space="0" w:color="auto"/>
        <w:bottom w:val="none" w:sz="0" w:space="0" w:color="auto"/>
        <w:right w:val="none" w:sz="0" w:space="0" w:color="auto"/>
      </w:divBdr>
    </w:div>
    <w:div w:id="2129934388">
      <w:bodyDiv w:val="1"/>
      <w:marLeft w:val="0"/>
      <w:marRight w:val="0"/>
      <w:marTop w:val="0"/>
      <w:marBottom w:val="0"/>
      <w:divBdr>
        <w:top w:val="none" w:sz="0" w:space="0" w:color="auto"/>
        <w:left w:val="none" w:sz="0" w:space="0" w:color="auto"/>
        <w:bottom w:val="none" w:sz="0" w:space="0" w:color="auto"/>
        <w:right w:val="none" w:sz="0" w:space="0" w:color="auto"/>
      </w:divBdr>
    </w:div>
    <w:div w:id="2130128792">
      <w:bodyDiv w:val="1"/>
      <w:marLeft w:val="0"/>
      <w:marRight w:val="0"/>
      <w:marTop w:val="0"/>
      <w:marBottom w:val="0"/>
      <w:divBdr>
        <w:top w:val="none" w:sz="0" w:space="0" w:color="auto"/>
        <w:left w:val="none" w:sz="0" w:space="0" w:color="auto"/>
        <w:bottom w:val="none" w:sz="0" w:space="0" w:color="auto"/>
        <w:right w:val="none" w:sz="0" w:space="0" w:color="auto"/>
      </w:divBdr>
    </w:div>
    <w:div w:id="2130467710">
      <w:bodyDiv w:val="1"/>
      <w:marLeft w:val="0"/>
      <w:marRight w:val="0"/>
      <w:marTop w:val="0"/>
      <w:marBottom w:val="0"/>
      <w:divBdr>
        <w:top w:val="none" w:sz="0" w:space="0" w:color="auto"/>
        <w:left w:val="none" w:sz="0" w:space="0" w:color="auto"/>
        <w:bottom w:val="none" w:sz="0" w:space="0" w:color="auto"/>
        <w:right w:val="none" w:sz="0" w:space="0" w:color="auto"/>
      </w:divBdr>
    </w:div>
    <w:div w:id="2130467835">
      <w:bodyDiv w:val="1"/>
      <w:marLeft w:val="0"/>
      <w:marRight w:val="0"/>
      <w:marTop w:val="0"/>
      <w:marBottom w:val="0"/>
      <w:divBdr>
        <w:top w:val="none" w:sz="0" w:space="0" w:color="auto"/>
        <w:left w:val="none" w:sz="0" w:space="0" w:color="auto"/>
        <w:bottom w:val="none" w:sz="0" w:space="0" w:color="auto"/>
        <w:right w:val="none" w:sz="0" w:space="0" w:color="auto"/>
      </w:divBdr>
    </w:div>
    <w:div w:id="2130470830">
      <w:bodyDiv w:val="1"/>
      <w:marLeft w:val="0"/>
      <w:marRight w:val="0"/>
      <w:marTop w:val="0"/>
      <w:marBottom w:val="0"/>
      <w:divBdr>
        <w:top w:val="none" w:sz="0" w:space="0" w:color="auto"/>
        <w:left w:val="none" w:sz="0" w:space="0" w:color="auto"/>
        <w:bottom w:val="none" w:sz="0" w:space="0" w:color="auto"/>
        <w:right w:val="none" w:sz="0" w:space="0" w:color="auto"/>
      </w:divBdr>
    </w:div>
    <w:div w:id="2130584525">
      <w:bodyDiv w:val="1"/>
      <w:marLeft w:val="0"/>
      <w:marRight w:val="0"/>
      <w:marTop w:val="0"/>
      <w:marBottom w:val="0"/>
      <w:divBdr>
        <w:top w:val="none" w:sz="0" w:space="0" w:color="auto"/>
        <w:left w:val="none" w:sz="0" w:space="0" w:color="auto"/>
        <w:bottom w:val="none" w:sz="0" w:space="0" w:color="auto"/>
        <w:right w:val="none" w:sz="0" w:space="0" w:color="auto"/>
      </w:divBdr>
    </w:div>
    <w:div w:id="2130587478">
      <w:bodyDiv w:val="1"/>
      <w:marLeft w:val="0"/>
      <w:marRight w:val="0"/>
      <w:marTop w:val="0"/>
      <w:marBottom w:val="0"/>
      <w:divBdr>
        <w:top w:val="none" w:sz="0" w:space="0" w:color="auto"/>
        <w:left w:val="none" w:sz="0" w:space="0" w:color="auto"/>
        <w:bottom w:val="none" w:sz="0" w:space="0" w:color="auto"/>
        <w:right w:val="none" w:sz="0" w:space="0" w:color="auto"/>
      </w:divBdr>
    </w:div>
    <w:div w:id="2130662562">
      <w:bodyDiv w:val="1"/>
      <w:marLeft w:val="0"/>
      <w:marRight w:val="0"/>
      <w:marTop w:val="0"/>
      <w:marBottom w:val="0"/>
      <w:divBdr>
        <w:top w:val="none" w:sz="0" w:space="0" w:color="auto"/>
        <w:left w:val="none" w:sz="0" w:space="0" w:color="auto"/>
        <w:bottom w:val="none" w:sz="0" w:space="0" w:color="auto"/>
        <w:right w:val="none" w:sz="0" w:space="0" w:color="auto"/>
      </w:divBdr>
    </w:div>
    <w:div w:id="2130774951">
      <w:bodyDiv w:val="1"/>
      <w:marLeft w:val="0"/>
      <w:marRight w:val="0"/>
      <w:marTop w:val="0"/>
      <w:marBottom w:val="0"/>
      <w:divBdr>
        <w:top w:val="none" w:sz="0" w:space="0" w:color="auto"/>
        <w:left w:val="none" w:sz="0" w:space="0" w:color="auto"/>
        <w:bottom w:val="none" w:sz="0" w:space="0" w:color="auto"/>
        <w:right w:val="none" w:sz="0" w:space="0" w:color="auto"/>
      </w:divBdr>
    </w:div>
    <w:div w:id="2130782231">
      <w:bodyDiv w:val="1"/>
      <w:marLeft w:val="0"/>
      <w:marRight w:val="0"/>
      <w:marTop w:val="0"/>
      <w:marBottom w:val="0"/>
      <w:divBdr>
        <w:top w:val="none" w:sz="0" w:space="0" w:color="auto"/>
        <w:left w:val="none" w:sz="0" w:space="0" w:color="auto"/>
        <w:bottom w:val="none" w:sz="0" w:space="0" w:color="auto"/>
        <w:right w:val="none" w:sz="0" w:space="0" w:color="auto"/>
      </w:divBdr>
    </w:div>
    <w:div w:id="2130850171">
      <w:bodyDiv w:val="1"/>
      <w:marLeft w:val="0"/>
      <w:marRight w:val="0"/>
      <w:marTop w:val="0"/>
      <w:marBottom w:val="0"/>
      <w:divBdr>
        <w:top w:val="none" w:sz="0" w:space="0" w:color="auto"/>
        <w:left w:val="none" w:sz="0" w:space="0" w:color="auto"/>
        <w:bottom w:val="none" w:sz="0" w:space="0" w:color="auto"/>
        <w:right w:val="none" w:sz="0" w:space="0" w:color="auto"/>
      </w:divBdr>
    </w:div>
    <w:div w:id="2130927605">
      <w:bodyDiv w:val="1"/>
      <w:marLeft w:val="0"/>
      <w:marRight w:val="0"/>
      <w:marTop w:val="0"/>
      <w:marBottom w:val="0"/>
      <w:divBdr>
        <w:top w:val="none" w:sz="0" w:space="0" w:color="auto"/>
        <w:left w:val="none" w:sz="0" w:space="0" w:color="auto"/>
        <w:bottom w:val="none" w:sz="0" w:space="0" w:color="auto"/>
        <w:right w:val="none" w:sz="0" w:space="0" w:color="auto"/>
      </w:divBdr>
    </w:div>
    <w:div w:id="2130969797">
      <w:bodyDiv w:val="1"/>
      <w:marLeft w:val="0"/>
      <w:marRight w:val="0"/>
      <w:marTop w:val="0"/>
      <w:marBottom w:val="0"/>
      <w:divBdr>
        <w:top w:val="none" w:sz="0" w:space="0" w:color="auto"/>
        <w:left w:val="none" w:sz="0" w:space="0" w:color="auto"/>
        <w:bottom w:val="none" w:sz="0" w:space="0" w:color="auto"/>
        <w:right w:val="none" w:sz="0" w:space="0" w:color="auto"/>
      </w:divBdr>
    </w:div>
    <w:div w:id="2130975615">
      <w:bodyDiv w:val="1"/>
      <w:marLeft w:val="0"/>
      <w:marRight w:val="0"/>
      <w:marTop w:val="0"/>
      <w:marBottom w:val="0"/>
      <w:divBdr>
        <w:top w:val="none" w:sz="0" w:space="0" w:color="auto"/>
        <w:left w:val="none" w:sz="0" w:space="0" w:color="auto"/>
        <w:bottom w:val="none" w:sz="0" w:space="0" w:color="auto"/>
        <w:right w:val="none" w:sz="0" w:space="0" w:color="auto"/>
      </w:divBdr>
    </w:div>
    <w:div w:id="2131119354">
      <w:bodyDiv w:val="1"/>
      <w:marLeft w:val="0"/>
      <w:marRight w:val="0"/>
      <w:marTop w:val="0"/>
      <w:marBottom w:val="0"/>
      <w:divBdr>
        <w:top w:val="none" w:sz="0" w:space="0" w:color="auto"/>
        <w:left w:val="none" w:sz="0" w:space="0" w:color="auto"/>
        <w:bottom w:val="none" w:sz="0" w:space="0" w:color="auto"/>
        <w:right w:val="none" w:sz="0" w:space="0" w:color="auto"/>
      </w:divBdr>
    </w:div>
    <w:div w:id="2131165261">
      <w:bodyDiv w:val="1"/>
      <w:marLeft w:val="0"/>
      <w:marRight w:val="0"/>
      <w:marTop w:val="0"/>
      <w:marBottom w:val="0"/>
      <w:divBdr>
        <w:top w:val="none" w:sz="0" w:space="0" w:color="auto"/>
        <w:left w:val="none" w:sz="0" w:space="0" w:color="auto"/>
        <w:bottom w:val="none" w:sz="0" w:space="0" w:color="auto"/>
        <w:right w:val="none" w:sz="0" w:space="0" w:color="auto"/>
      </w:divBdr>
    </w:div>
    <w:div w:id="2131168876">
      <w:bodyDiv w:val="1"/>
      <w:marLeft w:val="0"/>
      <w:marRight w:val="0"/>
      <w:marTop w:val="0"/>
      <w:marBottom w:val="0"/>
      <w:divBdr>
        <w:top w:val="none" w:sz="0" w:space="0" w:color="auto"/>
        <w:left w:val="none" w:sz="0" w:space="0" w:color="auto"/>
        <w:bottom w:val="none" w:sz="0" w:space="0" w:color="auto"/>
        <w:right w:val="none" w:sz="0" w:space="0" w:color="auto"/>
      </w:divBdr>
    </w:div>
    <w:div w:id="2131236974">
      <w:bodyDiv w:val="1"/>
      <w:marLeft w:val="0"/>
      <w:marRight w:val="0"/>
      <w:marTop w:val="0"/>
      <w:marBottom w:val="0"/>
      <w:divBdr>
        <w:top w:val="none" w:sz="0" w:space="0" w:color="auto"/>
        <w:left w:val="none" w:sz="0" w:space="0" w:color="auto"/>
        <w:bottom w:val="none" w:sz="0" w:space="0" w:color="auto"/>
        <w:right w:val="none" w:sz="0" w:space="0" w:color="auto"/>
      </w:divBdr>
    </w:div>
    <w:div w:id="2131238559">
      <w:bodyDiv w:val="1"/>
      <w:marLeft w:val="0"/>
      <w:marRight w:val="0"/>
      <w:marTop w:val="0"/>
      <w:marBottom w:val="0"/>
      <w:divBdr>
        <w:top w:val="none" w:sz="0" w:space="0" w:color="auto"/>
        <w:left w:val="none" w:sz="0" w:space="0" w:color="auto"/>
        <w:bottom w:val="none" w:sz="0" w:space="0" w:color="auto"/>
        <w:right w:val="none" w:sz="0" w:space="0" w:color="auto"/>
      </w:divBdr>
    </w:div>
    <w:div w:id="2131245891">
      <w:bodyDiv w:val="1"/>
      <w:marLeft w:val="0"/>
      <w:marRight w:val="0"/>
      <w:marTop w:val="0"/>
      <w:marBottom w:val="0"/>
      <w:divBdr>
        <w:top w:val="none" w:sz="0" w:space="0" w:color="auto"/>
        <w:left w:val="none" w:sz="0" w:space="0" w:color="auto"/>
        <w:bottom w:val="none" w:sz="0" w:space="0" w:color="auto"/>
        <w:right w:val="none" w:sz="0" w:space="0" w:color="auto"/>
      </w:divBdr>
    </w:div>
    <w:div w:id="2131387852">
      <w:bodyDiv w:val="1"/>
      <w:marLeft w:val="0"/>
      <w:marRight w:val="0"/>
      <w:marTop w:val="0"/>
      <w:marBottom w:val="0"/>
      <w:divBdr>
        <w:top w:val="none" w:sz="0" w:space="0" w:color="auto"/>
        <w:left w:val="none" w:sz="0" w:space="0" w:color="auto"/>
        <w:bottom w:val="none" w:sz="0" w:space="0" w:color="auto"/>
        <w:right w:val="none" w:sz="0" w:space="0" w:color="auto"/>
      </w:divBdr>
    </w:div>
    <w:div w:id="2131507595">
      <w:bodyDiv w:val="1"/>
      <w:marLeft w:val="0"/>
      <w:marRight w:val="0"/>
      <w:marTop w:val="0"/>
      <w:marBottom w:val="0"/>
      <w:divBdr>
        <w:top w:val="none" w:sz="0" w:space="0" w:color="auto"/>
        <w:left w:val="none" w:sz="0" w:space="0" w:color="auto"/>
        <w:bottom w:val="none" w:sz="0" w:space="0" w:color="auto"/>
        <w:right w:val="none" w:sz="0" w:space="0" w:color="auto"/>
      </w:divBdr>
    </w:div>
    <w:div w:id="2131581014">
      <w:bodyDiv w:val="1"/>
      <w:marLeft w:val="0"/>
      <w:marRight w:val="0"/>
      <w:marTop w:val="0"/>
      <w:marBottom w:val="0"/>
      <w:divBdr>
        <w:top w:val="none" w:sz="0" w:space="0" w:color="auto"/>
        <w:left w:val="none" w:sz="0" w:space="0" w:color="auto"/>
        <w:bottom w:val="none" w:sz="0" w:space="0" w:color="auto"/>
        <w:right w:val="none" w:sz="0" w:space="0" w:color="auto"/>
      </w:divBdr>
    </w:div>
    <w:div w:id="2131583988">
      <w:bodyDiv w:val="1"/>
      <w:marLeft w:val="0"/>
      <w:marRight w:val="0"/>
      <w:marTop w:val="0"/>
      <w:marBottom w:val="0"/>
      <w:divBdr>
        <w:top w:val="none" w:sz="0" w:space="0" w:color="auto"/>
        <w:left w:val="none" w:sz="0" w:space="0" w:color="auto"/>
        <w:bottom w:val="none" w:sz="0" w:space="0" w:color="auto"/>
        <w:right w:val="none" w:sz="0" w:space="0" w:color="auto"/>
      </w:divBdr>
    </w:div>
    <w:div w:id="2131589541">
      <w:bodyDiv w:val="1"/>
      <w:marLeft w:val="0"/>
      <w:marRight w:val="0"/>
      <w:marTop w:val="0"/>
      <w:marBottom w:val="0"/>
      <w:divBdr>
        <w:top w:val="none" w:sz="0" w:space="0" w:color="auto"/>
        <w:left w:val="none" w:sz="0" w:space="0" w:color="auto"/>
        <w:bottom w:val="none" w:sz="0" w:space="0" w:color="auto"/>
        <w:right w:val="none" w:sz="0" w:space="0" w:color="auto"/>
      </w:divBdr>
    </w:div>
    <w:div w:id="2131625010">
      <w:bodyDiv w:val="1"/>
      <w:marLeft w:val="0"/>
      <w:marRight w:val="0"/>
      <w:marTop w:val="0"/>
      <w:marBottom w:val="0"/>
      <w:divBdr>
        <w:top w:val="none" w:sz="0" w:space="0" w:color="auto"/>
        <w:left w:val="none" w:sz="0" w:space="0" w:color="auto"/>
        <w:bottom w:val="none" w:sz="0" w:space="0" w:color="auto"/>
        <w:right w:val="none" w:sz="0" w:space="0" w:color="auto"/>
      </w:divBdr>
    </w:div>
    <w:div w:id="2131820574">
      <w:bodyDiv w:val="1"/>
      <w:marLeft w:val="0"/>
      <w:marRight w:val="0"/>
      <w:marTop w:val="0"/>
      <w:marBottom w:val="0"/>
      <w:divBdr>
        <w:top w:val="none" w:sz="0" w:space="0" w:color="auto"/>
        <w:left w:val="none" w:sz="0" w:space="0" w:color="auto"/>
        <w:bottom w:val="none" w:sz="0" w:space="0" w:color="auto"/>
        <w:right w:val="none" w:sz="0" w:space="0" w:color="auto"/>
      </w:divBdr>
    </w:div>
    <w:div w:id="2131895412">
      <w:bodyDiv w:val="1"/>
      <w:marLeft w:val="0"/>
      <w:marRight w:val="0"/>
      <w:marTop w:val="0"/>
      <w:marBottom w:val="0"/>
      <w:divBdr>
        <w:top w:val="none" w:sz="0" w:space="0" w:color="auto"/>
        <w:left w:val="none" w:sz="0" w:space="0" w:color="auto"/>
        <w:bottom w:val="none" w:sz="0" w:space="0" w:color="auto"/>
        <w:right w:val="none" w:sz="0" w:space="0" w:color="auto"/>
      </w:divBdr>
    </w:div>
    <w:div w:id="2132091656">
      <w:bodyDiv w:val="1"/>
      <w:marLeft w:val="0"/>
      <w:marRight w:val="0"/>
      <w:marTop w:val="0"/>
      <w:marBottom w:val="0"/>
      <w:divBdr>
        <w:top w:val="none" w:sz="0" w:space="0" w:color="auto"/>
        <w:left w:val="none" w:sz="0" w:space="0" w:color="auto"/>
        <w:bottom w:val="none" w:sz="0" w:space="0" w:color="auto"/>
        <w:right w:val="none" w:sz="0" w:space="0" w:color="auto"/>
      </w:divBdr>
    </w:div>
    <w:div w:id="2132244069">
      <w:bodyDiv w:val="1"/>
      <w:marLeft w:val="0"/>
      <w:marRight w:val="0"/>
      <w:marTop w:val="0"/>
      <w:marBottom w:val="0"/>
      <w:divBdr>
        <w:top w:val="none" w:sz="0" w:space="0" w:color="auto"/>
        <w:left w:val="none" w:sz="0" w:space="0" w:color="auto"/>
        <w:bottom w:val="none" w:sz="0" w:space="0" w:color="auto"/>
        <w:right w:val="none" w:sz="0" w:space="0" w:color="auto"/>
      </w:divBdr>
    </w:div>
    <w:div w:id="2132245460">
      <w:bodyDiv w:val="1"/>
      <w:marLeft w:val="0"/>
      <w:marRight w:val="0"/>
      <w:marTop w:val="0"/>
      <w:marBottom w:val="0"/>
      <w:divBdr>
        <w:top w:val="none" w:sz="0" w:space="0" w:color="auto"/>
        <w:left w:val="none" w:sz="0" w:space="0" w:color="auto"/>
        <w:bottom w:val="none" w:sz="0" w:space="0" w:color="auto"/>
        <w:right w:val="none" w:sz="0" w:space="0" w:color="auto"/>
      </w:divBdr>
    </w:div>
    <w:div w:id="2132312028">
      <w:bodyDiv w:val="1"/>
      <w:marLeft w:val="0"/>
      <w:marRight w:val="0"/>
      <w:marTop w:val="0"/>
      <w:marBottom w:val="0"/>
      <w:divBdr>
        <w:top w:val="none" w:sz="0" w:space="0" w:color="auto"/>
        <w:left w:val="none" w:sz="0" w:space="0" w:color="auto"/>
        <w:bottom w:val="none" w:sz="0" w:space="0" w:color="auto"/>
        <w:right w:val="none" w:sz="0" w:space="0" w:color="auto"/>
      </w:divBdr>
    </w:div>
    <w:div w:id="2132357302">
      <w:bodyDiv w:val="1"/>
      <w:marLeft w:val="0"/>
      <w:marRight w:val="0"/>
      <w:marTop w:val="0"/>
      <w:marBottom w:val="0"/>
      <w:divBdr>
        <w:top w:val="none" w:sz="0" w:space="0" w:color="auto"/>
        <w:left w:val="none" w:sz="0" w:space="0" w:color="auto"/>
        <w:bottom w:val="none" w:sz="0" w:space="0" w:color="auto"/>
        <w:right w:val="none" w:sz="0" w:space="0" w:color="auto"/>
      </w:divBdr>
    </w:div>
    <w:div w:id="2132431357">
      <w:bodyDiv w:val="1"/>
      <w:marLeft w:val="0"/>
      <w:marRight w:val="0"/>
      <w:marTop w:val="0"/>
      <w:marBottom w:val="0"/>
      <w:divBdr>
        <w:top w:val="none" w:sz="0" w:space="0" w:color="auto"/>
        <w:left w:val="none" w:sz="0" w:space="0" w:color="auto"/>
        <w:bottom w:val="none" w:sz="0" w:space="0" w:color="auto"/>
        <w:right w:val="none" w:sz="0" w:space="0" w:color="auto"/>
      </w:divBdr>
    </w:div>
    <w:div w:id="2132481309">
      <w:bodyDiv w:val="1"/>
      <w:marLeft w:val="0"/>
      <w:marRight w:val="0"/>
      <w:marTop w:val="0"/>
      <w:marBottom w:val="0"/>
      <w:divBdr>
        <w:top w:val="none" w:sz="0" w:space="0" w:color="auto"/>
        <w:left w:val="none" w:sz="0" w:space="0" w:color="auto"/>
        <w:bottom w:val="none" w:sz="0" w:space="0" w:color="auto"/>
        <w:right w:val="none" w:sz="0" w:space="0" w:color="auto"/>
      </w:divBdr>
    </w:div>
    <w:div w:id="2132700026">
      <w:bodyDiv w:val="1"/>
      <w:marLeft w:val="0"/>
      <w:marRight w:val="0"/>
      <w:marTop w:val="0"/>
      <w:marBottom w:val="0"/>
      <w:divBdr>
        <w:top w:val="none" w:sz="0" w:space="0" w:color="auto"/>
        <w:left w:val="none" w:sz="0" w:space="0" w:color="auto"/>
        <w:bottom w:val="none" w:sz="0" w:space="0" w:color="auto"/>
        <w:right w:val="none" w:sz="0" w:space="0" w:color="auto"/>
      </w:divBdr>
    </w:div>
    <w:div w:id="2132743606">
      <w:bodyDiv w:val="1"/>
      <w:marLeft w:val="0"/>
      <w:marRight w:val="0"/>
      <w:marTop w:val="0"/>
      <w:marBottom w:val="0"/>
      <w:divBdr>
        <w:top w:val="none" w:sz="0" w:space="0" w:color="auto"/>
        <w:left w:val="none" w:sz="0" w:space="0" w:color="auto"/>
        <w:bottom w:val="none" w:sz="0" w:space="0" w:color="auto"/>
        <w:right w:val="none" w:sz="0" w:space="0" w:color="auto"/>
      </w:divBdr>
    </w:div>
    <w:div w:id="2132819052">
      <w:bodyDiv w:val="1"/>
      <w:marLeft w:val="0"/>
      <w:marRight w:val="0"/>
      <w:marTop w:val="0"/>
      <w:marBottom w:val="0"/>
      <w:divBdr>
        <w:top w:val="none" w:sz="0" w:space="0" w:color="auto"/>
        <w:left w:val="none" w:sz="0" w:space="0" w:color="auto"/>
        <w:bottom w:val="none" w:sz="0" w:space="0" w:color="auto"/>
        <w:right w:val="none" w:sz="0" w:space="0" w:color="auto"/>
      </w:divBdr>
    </w:div>
    <w:div w:id="2132894545">
      <w:bodyDiv w:val="1"/>
      <w:marLeft w:val="0"/>
      <w:marRight w:val="0"/>
      <w:marTop w:val="0"/>
      <w:marBottom w:val="0"/>
      <w:divBdr>
        <w:top w:val="none" w:sz="0" w:space="0" w:color="auto"/>
        <w:left w:val="none" w:sz="0" w:space="0" w:color="auto"/>
        <w:bottom w:val="none" w:sz="0" w:space="0" w:color="auto"/>
        <w:right w:val="none" w:sz="0" w:space="0" w:color="auto"/>
      </w:divBdr>
    </w:div>
    <w:div w:id="2132895489">
      <w:bodyDiv w:val="1"/>
      <w:marLeft w:val="0"/>
      <w:marRight w:val="0"/>
      <w:marTop w:val="0"/>
      <w:marBottom w:val="0"/>
      <w:divBdr>
        <w:top w:val="none" w:sz="0" w:space="0" w:color="auto"/>
        <w:left w:val="none" w:sz="0" w:space="0" w:color="auto"/>
        <w:bottom w:val="none" w:sz="0" w:space="0" w:color="auto"/>
        <w:right w:val="none" w:sz="0" w:space="0" w:color="auto"/>
      </w:divBdr>
    </w:div>
    <w:div w:id="2132896731">
      <w:bodyDiv w:val="1"/>
      <w:marLeft w:val="0"/>
      <w:marRight w:val="0"/>
      <w:marTop w:val="0"/>
      <w:marBottom w:val="0"/>
      <w:divBdr>
        <w:top w:val="none" w:sz="0" w:space="0" w:color="auto"/>
        <w:left w:val="none" w:sz="0" w:space="0" w:color="auto"/>
        <w:bottom w:val="none" w:sz="0" w:space="0" w:color="auto"/>
        <w:right w:val="none" w:sz="0" w:space="0" w:color="auto"/>
      </w:divBdr>
    </w:div>
    <w:div w:id="2133010649">
      <w:bodyDiv w:val="1"/>
      <w:marLeft w:val="0"/>
      <w:marRight w:val="0"/>
      <w:marTop w:val="0"/>
      <w:marBottom w:val="0"/>
      <w:divBdr>
        <w:top w:val="none" w:sz="0" w:space="0" w:color="auto"/>
        <w:left w:val="none" w:sz="0" w:space="0" w:color="auto"/>
        <w:bottom w:val="none" w:sz="0" w:space="0" w:color="auto"/>
        <w:right w:val="none" w:sz="0" w:space="0" w:color="auto"/>
      </w:divBdr>
    </w:div>
    <w:div w:id="2133017373">
      <w:bodyDiv w:val="1"/>
      <w:marLeft w:val="0"/>
      <w:marRight w:val="0"/>
      <w:marTop w:val="0"/>
      <w:marBottom w:val="0"/>
      <w:divBdr>
        <w:top w:val="none" w:sz="0" w:space="0" w:color="auto"/>
        <w:left w:val="none" w:sz="0" w:space="0" w:color="auto"/>
        <w:bottom w:val="none" w:sz="0" w:space="0" w:color="auto"/>
        <w:right w:val="none" w:sz="0" w:space="0" w:color="auto"/>
      </w:divBdr>
    </w:div>
    <w:div w:id="2133018651">
      <w:bodyDiv w:val="1"/>
      <w:marLeft w:val="0"/>
      <w:marRight w:val="0"/>
      <w:marTop w:val="0"/>
      <w:marBottom w:val="0"/>
      <w:divBdr>
        <w:top w:val="none" w:sz="0" w:space="0" w:color="auto"/>
        <w:left w:val="none" w:sz="0" w:space="0" w:color="auto"/>
        <w:bottom w:val="none" w:sz="0" w:space="0" w:color="auto"/>
        <w:right w:val="none" w:sz="0" w:space="0" w:color="auto"/>
      </w:divBdr>
    </w:div>
    <w:div w:id="2133086878">
      <w:bodyDiv w:val="1"/>
      <w:marLeft w:val="0"/>
      <w:marRight w:val="0"/>
      <w:marTop w:val="0"/>
      <w:marBottom w:val="0"/>
      <w:divBdr>
        <w:top w:val="none" w:sz="0" w:space="0" w:color="auto"/>
        <w:left w:val="none" w:sz="0" w:space="0" w:color="auto"/>
        <w:bottom w:val="none" w:sz="0" w:space="0" w:color="auto"/>
        <w:right w:val="none" w:sz="0" w:space="0" w:color="auto"/>
      </w:divBdr>
    </w:div>
    <w:div w:id="2133087279">
      <w:bodyDiv w:val="1"/>
      <w:marLeft w:val="0"/>
      <w:marRight w:val="0"/>
      <w:marTop w:val="0"/>
      <w:marBottom w:val="0"/>
      <w:divBdr>
        <w:top w:val="none" w:sz="0" w:space="0" w:color="auto"/>
        <w:left w:val="none" w:sz="0" w:space="0" w:color="auto"/>
        <w:bottom w:val="none" w:sz="0" w:space="0" w:color="auto"/>
        <w:right w:val="none" w:sz="0" w:space="0" w:color="auto"/>
      </w:divBdr>
    </w:div>
    <w:div w:id="2133136139">
      <w:bodyDiv w:val="1"/>
      <w:marLeft w:val="0"/>
      <w:marRight w:val="0"/>
      <w:marTop w:val="0"/>
      <w:marBottom w:val="0"/>
      <w:divBdr>
        <w:top w:val="none" w:sz="0" w:space="0" w:color="auto"/>
        <w:left w:val="none" w:sz="0" w:space="0" w:color="auto"/>
        <w:bottom w:val="none" w:sz="0" w:space="0" w:color="auto"/>
        <w:right w:val="none" w:sz="0" w:space="0" w:color="auto"/>
      </w:divBdr>
    </w:div>
    <w:div w:id="2133136277">
      <w:bodyDiv w:val="1"/>
      <w:marLeft w:val="0"/>
      <w:marRight w:val="0"/>
      <w:marTop w:val="0"/>
      <w:marBottom w:val="0"/>
      <w:divBdr>
        <w:top w:val="none" w:sz="0" w:space="0" w:color="auto"/>
        <w:left w:val="none" w:sz="0" w:space="0" w:color="auto"/>
        <w:bottom w:val="none" w:sz="0" w:space="0" w:color="auto"/>
        <w:right w:val="none" w:sz="0" w:space="0" w:color="auto"/>
      </w:divBdr>
    </w:div>
    <w:div w:id="2133404628">
      <w:bodyDiv w:val="1"/>
      <w:marLeft w:val="0"/>
      <w:marRight w:val="0"/>
      <w:marTop w:val="0"/>
      <w:marBottom w:val="0"/>
      <w:divBdr>
        <w:top w:val="none" w:sz="0" w:space="0" w:color="auto"/>
        <w:left w:val="none" w:sz="0" w:space="0" w:color="auto"/>
        <w:bottom w:val="none" w:sz="0" w:space="0" w:color="auto"/>
        <w:right w:val="none" w:sz="0" w:space="0" w:color="auto"/>
      </w:divBdr>
    </w:div>
    <w:div w:id="2133473692">
      <w:bodyDiv w:val="1"/>
      <w:marLeft w:val="0"/>
      <w:marRight w:val="0"/>
      <w:marTop w:val="0"/>
      <w:marBottom w:val="0"/>
      <w:divBdr>
        <w:top w:val="none" w:sz="0" w:space="0" w:color="auto"/>
        <w:left w:val="none" w:sz="0" w:space="0" w:color="auto"/>
        <w:bottom w:val="none" w:sz="0" w:space="0" w:color="auto"/>
        <w:right w:val="none" w:sz="0" w:space="0" w:color="auto"/>
      </w:divBdr>
    </w:div>
    <w:div w:id="2133477187">
      <w:bodyDiv w:val="1"/>
      <w:marLeft w:val="0"/>
      <w:marRight w:val="0"/>
      <w:marTop w:val="0"/>
      <w:marBottom w:val="0"/>
      <w:divBdr>
        <w:top w:val="none" w:sz="0" w:space="0" w:color="auto"/>
        <w:left w:val="none" w:sz="0" w:space="0" w:color="auto"/>
        <w:bottom w:val="none" w:sz="0" w:space="0" w:color="auto"/>
        <w:right w:val="none" w:sz="0" w:space="0" w:color="auto"/>
      </w:divBdr>
    </w:div>
    <w:div w:id="2133549789">
      <w:bodyDiv w:val="1"/>
      <w:marLeft w:val="0"/>
      <w:marRight w:val="0"/>
      <w:marTop w:val="0"/>
      <w:marBottom w:val="0"/>
      <w:divBdr>
        <w:top w:val="none" w:sz="0" w:space="0" w:color="auto"/>
        <w:left w:val="none" w:sz="0" w:space="0" w:color="auto"/>
        <w:bottom w:val="none" w:sz="0" w:space="0" w:color="auto"/>
        <w:right w:val="none" w:sz="0" w:space="0" w:color="auto"/>
      </w:divBdr>
    </w:div>
    <w:div w:id="2133593324">
      <w:bodyDiv w:val="1"/>
      <w:marLeft w:val="0"/>
      <w:marRight w:val="0"/>
      <w:marTop w:val="0"/>
      <w:marBottom w:val="0"/>
      <w:divBdr>
        <w:top w:val="none" w:sz="0" w:space="0" w:color="auto"/>
        <w:left w:val="none" w:sz="0" w:space="0" w:color="auto"/>
        <w:bottom w:val="none" w:sz="0" w:space="0" w:color="auto"/>
        <w:right w:val="none" w:sz="0" w:space="0" w:color="auto"/>
      </w:divBdr>
    </w:div>
    <w:div w:id="2133670820">
      <w:bodyDiv w:val="1"/>
      <w:marLeft w:val="0"/>
      <w:marRight w:val="0"/>
      <w:marTop w:val="0"/>
      <w:marBottom w:val="0"/>
      <w:divBdr>
        <w:top w:val="none" w:sz="0" w:space="0" w:color="auto"/>
        <w:left w:val="none" w:sz="0" w:space="0" w:color="auto"/>
        <w:bottom w:val="none" w:sz="0" w:space="0" w:color="auto"/>
        <w:right w:val="none" w:sz="0" w:space="0" w:color="auto"/>
      </w:divBdr>
    </w:div>
    <w:div w:id="2133671547">
      <w:bodyDiv w:val="1"/>
      <w:marLeft w:val="0"/>
      <w:marRight w:val="0"/>
      <w:marTop w:val="0"/>
      <w:marBottom w:val="0"/>
      <w:divBdr>
        <w:top w:val="none" w:sz="0" w:space="0" w:color="auto"/>
        <w:left w:val="none" w:sz="0" w:space="0" w:color="auto"/>
        <w:bottom w:val="none" w:sz="0" w:space="0" w:color="auto"/>
        <w:right w:val="none" w:sz="0" w:space="0" w:color="auto"/>
      </w:divBdr>
    </w:div>
    <w:div w:id="2133673665">
      <w:bodyDiv w:val="1"/>
      <w:marLeft w:val="0"/>
      <w:marRight w:val="0"/>
      <w:marTop w:val="0"/>
      <w:marBottom w:val="0"/>
      <w:divBdr>
        <w:top w:val="none" w:sz="0" w:space="0" w:color="auto"/>
        <w:left w:val="none" w:sz="0" w:space="0" w:color="auto"/>
        <w:bottom w:val="none" w:sz="0" w:space="0" w:color="auto"/>
        <w:right w:val="none" w:sz="0" w:space="0" w:color="auto"/>
      </w:divBdr>
    </w:div>
    <w:div w:id="2133859700">
      <w:bodyDiv w:val="1"/>
      <w:marLeft w:val="0"/>
      <w:marRight w:val="0"/>
      <w:marTop w:val="0"/>
      <w:marBottom w:val="0"/>
      <w:divBdr>
        <w:top w:val="none" w:sz="0" w:space="0" w:color="auto"/>
        <w:left w:val="none" w:sz="0" w:space="0" w:color="auto"/>
        <w:bottom w:val="none" w:sz="0" w:space="0" w:color="auto"/>
        <w:right w:val="none" w:sz="0" w:space="0" w:color="auto"/>
      </w:divBdr>
    </w:div>
    <w:div w:id="2133935957">
      <w:bodyDiv w:val="1"/>
      <w:marLeft w:val="0"/>
      <w:marRight w:val="0"/>
      <w:marTop w:val="0"/>
      <w:marBottom w:val="0"/>
      <w:divBdr>
        <w:top w:val="none" w:sz="0" w:space="0" w:color="auto"/>
        <w:left w:val="none" w:sz="0" w:space="0" w:color="auto"/>
        <w:bottom w:val="none" w:sz="0" w:space="0" w:color="auto"/>
        <w:right w:val="none" w:sz="0" w:space="0" w:color="auto"/>
      </w:divBdr>
    </w:div>
    <w:div w:id="2133983694">
      <w:bodyDiv w:val="1"/>
      <w:marLeft w:val="0"/>
      <w:marRight w:val="0"/>
      <w:marTop w:val="0"/>
      <w:marBottom w:val="0"/>
      <w:divBdr>
        <w:top w:val="none" w:sz="0" w:space="0" w:color="auto"/>
        <w:left w:val="none" w:sz="0" w:space="0" w:color="auto"/>
        <w:bottom w:val="none" w:sz="0" w:space="0" w:color="auto"/>
        <w:right w:val="none" w:sz="0" w:space="0" w:color="auto"/>
      </w:divBdr>
    </w:div>
    <w:div w:id="2134009979">
      <w:bodyDiv w:val="1"/>
      <w:marLeft w:val="0"/>
      <w:marRight w:val="0"/>
      <w:marTop w:val="0"/>
      <w:marBottom w:val="0"/>
      <w:divBdr>
        <w:top w:val="none" w:sz="0" w:space="0" w:color="auto"/>
        <w:left w:val="none" w:sz="0" w:space="0" w:color="auto"/>
        <w:bottom w:val="none" w:sz="0" w:space="0" w:color="auto"/>
        <w:right w:val="none" w:sz="0" w:space="0" w:color="auto"/>
      </w:divBdr>
    </w:div>
    <w:div w:id="2134012310">
      <w:bodyDiv w:val="1"/>
      <w:marLeft w:val="0"/>
      <w:marRight w:val="0"/>
      <w:marTop w:val="0"/>
      <w:marBottom w:val="0"/>
      <w:divBdr>
        <w:top w:val="none" w:sz="0" w:space="0" w:color="auto"/>
        <w:left w:val="none" w:sz="0" w:space="0" w:color="auto"/>
        <w:bottom w:val="none" w:sz="0" w:space="0" w:color="auto"/>
        <w:right w:val="none" w:sz="0" w:space="0" w:color="auto"/>
      </w:divBdr>
    </w:div>
    <w:div w:id="2134014782">
      <w:bodyDiv w:val="1"/>
      <w:marLeft w:val="0"/>
      <w:marRight w:val="0"/>
      <w:marTop w:val="0"/>
      <w:marBottom w:val="0"/>
      <w:divBdr>
        <w:top w:val="none" w:sz="0" w:space="0" w:color="auto"/>
        <w:left w:val="none" w:sz="0" w:space="0" w:color="auto"/>
        <w:bottom w:val="none" w:sz="0" w:space="0" w:color="auto"/>
        <w:right w:val="none" w:sz="0" w:space="0" w:color="auto"/>
      </w:divBdr>
    </w:div>
    <w:div w:id="2134015054">
      <w:bodyDiv w:val="1"/>
      <w:marLeft w:val="0"/>
      <w:marRight w:val="0"/>
      <w:marTop w:val="0"/>
      <w:marBottom w:val="0"/>
      <w:divBdr>
        <w:top w:val="none" w:sz="0" w:space="0" w:color="auto"/>
        <w:left w:val="none" w:sz="0" w:space="0" w:color="auto"/>
        <w:bottom w:val="none" w:sz="0" w:space="0" w:color="auto"/>
        <w:right w:val="none" w:sz="0" w:space="0" w:color="auto"/>
      </w:divBdr>
    </w:div>
    <w:div w:id="2134015477">
      <w:bodyDiv w:val="1"/>
      <w:marLeft w:val="0"/>
      <w:marRight w:val="0"/>
      <w:marTop w:val="0"/>
      <w:marBottom w:val="0"/>
      <w:divBdr>
        <w:top w:val="none" w:sz="0" w:space="0" w:color="auto"/>
        <w:left w:val="none" w:sz="0" w:space="0" w:color="auto"/>
        <w:bottom w:val="none" w:sz="0" w:space="0" w:color="auto"/>
        <w:right w:val="none" w:sz="0" w:space="0" w:color="auto"/>
      </w:divBdr>
    </w:div>
    <w:div w:id="2134054768">
      <w:bodyDiv w:val="1"/>
      <w:marLeft w:val="0"/>
      <w:marRight w:val="0"/>
      <w:marTop w:val="0"/>
      <w:marBottom w:val="0"/>
      <w:divBdr>
        <w:top w:val="none" w:sz="0" w:space="0" w:color="auto"/>
        <w:left w:val="none" w:sz="0" w:space="0" w:color="auto"/>
        <w:bottom w:val="none" w:sz="0" w:space="0" w:color="auto"/>
        <w:right w:val="none" w:sz="0" w:space="0" w:color="auto"/>
      </w:divBdr>
    </w:div>
    <w:div w:id="2134131227">
      <w:bodyDiv w:val="1"/>
      <w:marLeft w:val="0"/>
      <w:marRight w:val="0"/>
      <w:marTop w:val="0"/>
      <w:marBottom w:val="0"/>
      <w:divBdr>
        <w:top w:val="none" w:sz="0" w:space="0" w:color="auto"/>
        <w:left w:val="none" w:sz="0" w:space="0" w:color="auto"/>
        <w:bottom w:val="none" w:sz="0" w:space="0" w:color="auto"/>
        <w:right w:val="none" w:sz="0" w:space="0" w:color="auto"/>
      </w:divBdr>
    </w:div>
    <w:div w:id="2134253682">
      <w:bodyDiv w:val="1"/>
      <w:marLeft w:val="0"/>
      <w:marRight w:val="0"/>
      <w:marTop w:val="0"/>
      <w:marBottom w:val="0"/>
      <w:divBdr>
        <w:top w:val="none" w:sz="0" w:space="0" w:color="auto"/>
        <w:left w:val="none" w:sz="0" w:space="0" w:color="auto"/>
        <w:bottom w:val="none" w:sz="0" w:space="0" w:color="auto"/>
        <w:right w:val="none" w:sz="0" w:space="0" w:color="auto"/>
      </w:divBdr>
    </w:div>
    <w:div w:id="2134444149">
      <w:bodyDiv w:val="1"/>
      <w:marLeft w:val="0"/>
      <w:marRight w:val="0"/>
      <w:marTop w:val="0"/>
      <w:marBottom w:val="0"/>
      <w:divBdr>
        <w:top w:val="none" w:sz="0" w:space="0" w:color="auto"/>
        <w:left w:val="none" w:sz="0" w:space="0" w:color="auto"/>
        <w:bottom w:val="none" w:sz="0" w:space="0" w:color="auto"/>
        <w:right w:val="none" w:sz="0" w:space="0" w:color="auto"/>
      </w:divBdr>
    </w:div>
    <w:div w:id="2134598058">
      <w:bodyDiv w:val="1"/>
      <w:marLeft w:val="0"/>
      <w:marRight w:val="0"/>
      <w:marTop w:val="0"/>
      <w:marBottom w:val="0"/>
      <w:divBdr>
        <w:top w:val="none" w:sz="0" w:space="0" w:color="auto"/>
        <w:left w:val="none" w:sz="0" w:space="0" w:color="auto"/>
        <w:bottom w:val="none" w:sz="0" w:space="0" w:color="auto"/>
        <w:right w:val="none" w:sz="0" w:space="0" w:color="auto"/>
      </w:divBdr>
    </w:div>
    <w:div w:id="2134640239">
      <w:bodyDiv w:val="1"/>
      <w:marLeft w:val="0"/>
      <w:marRight w:val="0"/>
      <w:marTop w:val="0"/>
      <w:marBottom w:val="0"/>
      <w:divBdr>
        <w:top w:val="none" w:sz="0" w:space="0" w:color="auto"/>
        <w:left w:val="none" w:sz="0" w:space="0" w:color="auto"/>
        <w:bottom w:val="none" w:sz="0" w:space="0" w:color="auto"/>
        <w:right w:val="none" w:sz="0" w:space="0" w:color="auto"/>
      </w:divBdr>
    </w:div>
    <w:div w:id="2134667473">
      <w:bodyDiv w:val="1"/>
      <w:marLeft w:val="0"/>
      <w:marRight w:val="0"/>
      <w:marTop w:val="0"/>
      <w:marBottom w:val="0"/>
      <w:divBdr>
        <w:top w:val="none" w:sz="0" w:space="0" w:color="auto"/>
        <w:left w:val="none" w:sz="0" w:space="0" w:color="auto"/>
        <w:bottom w:val="none" w:sz="0" w:space="0" w:color="auto"/>
        <w:right w:val="none" w:sz="0" w:space="0" w:color="auto"/>
      </w:divBdr>
    </w:div>
    <w:div w:id="2134788753">
      <w:bodyDiv w:val="1"/>
      <w:marLeft w:val="0"/>
      <w:marRight w:val="0"/>
      <w:marTop w:val="0"/>
      <w:marBottom w:val="0"/>
      <w:divBdr>
        <w:top w:val="none" w:sz="0" w:space="0" w:color="auto"/>
        <w:left w:val="none" w:sz="0" w:space="0" w:color="auto"/>
        <w:bottom w:val="none" w:sz="0" w:space="0" w:color="auto"/>
        <w:right w:val="none" w:sz="0" w:space="0" w:color="auto"/>
      </w:divBdr>
    </w:div>
    <w:div w:id="2134862891">
      <w:bodyDiv w:val="1"/>
      <w:marLeft w:val="0"/>
      <w:marRight w:val="0"/>
      <w:marTop w:val="0"/>
      <w:marBottom w:val="0"/>
      <w:divBdr>
        <w:top w:val="none" w:sz="0" w:space="0" w:color="auto"/>
        <w:left w:val="none" w:sz="0" w:space="0" w:color="auto"/>
        <w:bottom w:val="none" w:sz="0" w:space="0" w:color="auto"/>
        <w:right w:val="none" w:sz="0" w:space="0" w:color="auto"/>
      </w:divBdr>
    </w:div>
    <w:div w:id="2134904852">
      <w:bodyDiv w:val="1"/>
      <w:marLeft w:val="0"/>
      <w:marRight w:val="0"/>
      <w:marTop w:val="0"/>
      <w:marBottom w:val="0"/>
      <w:divBdr>
        <w:top w:val="none" w:sz="0" w:space="0" w:color="auto"/>
        <w:left w:val="none" w:sz="0" w:space="0" w:color="auto"/>
        <w:bottom w:val="none" w:sz="0" w:space="0" w:color="auto"/>
        <w:right w:val="none" w:sz="0" w:space="0" w:color="auto"/>
      </w:divBdr>
    </w:div>
    <w:div w:id="2134908998">
      <w:bodyDiv w:val="1"/>
      <w:marLeft w:val="0"/>
      <w:marRight w:val="0"/>
      <w:marTop w:val="0"/>
      <w:marBottom w:val="0"/>
      <w:divBdr>
        <w:top w:val="none" w:sz="0" w:space="0" w:color="auto"/>
        <w:left w:val="none" w:sz="0" w:space="0" w:color="auto"/>
        <w:bottom w:val="none" w:sz="0" w:space="0" w:color="auto"/>
        <w:right w:val="none" w:sz="0" w:space="0" w:color="auto"/>
      </w:divBdr>
    </w:div>
    <w:div w:id="2135057588">
      <w:bodyDiv w:val="1"/>
      <w:marLeft w:val="0"/>
      <w:marRight w:val="0"/>
      <w:marTop w:val="0"/>
      <w:marBottom w:val="0"/>
      <w:divBdr>
        <w:top w:val="none" w:sz="0" w:space="0" w:color="auto"/>
        <w:left w:val="none" w:sz="0" w:space="0" w:color="auto"/>
        <w:bottom w:val="none" w:sz="0" w:space="0" w:color="auto"/>
        <w:right w:val="none" w:sz="0" w:space="0" w:color="auto"/>
      </w:divBdr>
    </w:div>
    <w:div w:id="2135169230">
      <w:bodyDiv w:val="1"/>
      <w:marLeft w:val="0"/>
      <w:marRight w:val="0"/>
      <w:marTop w:val="0"/>
      <w:marBottom w:val="0"/>
      <w:divBdr>
        <w:top w:val="none" w:sz="0" w:space="0" w:color="auto"/>
        <w:left w:val="none" w:sz="0" w:space="0" w:color="auto"/>
        <w:bottom w:val="none" w:sz="0" w:space="0" w:color="auto"/>
        <w:right w:val="none" w:sz="0" w:space="0" w:color="auto"/>
      </w:divBdr>
    </w:div>
    <w:div w:id="2135174287">
      <w:bodyDiv w:val="1"/>
      <w:marLeft w:val="0"/>
      <w:marRight w:val="0"/>
      <w:marTop w:val="0"/>
      <w:marBottom w:val="0"/>
      <w:divBdr>
        <w:top w:val="none" w:sz="0" w:space="0" w:color="auto"/>
        <w:left w:val="none" w:sz="0" w:space="0" w:color="auto"/>
        <w:bottom w:val="none" w:sz="0" w:space="0" w:color="auto"/>
        <w:right w:val="none" w:sz="0" w:space="0" w:color="auto"/>
      </w:divBdr>
    </w:div>
    <w:div w:id="2135441594">
      <w:bodyDiv w:val="1"/>
      <w:marLeft w:val="0"/>
      <w:marRight w:val="0"/>
      <w:marTop w:val="0"/>
      <w:marBottom w:val="0"/>
      <w:divBdr>
        <w:top w:val="none" w:sz="0" w:space="0" w:color="auto"/>
        <w:left w:val="none" w:sz="0" w:space="0" w:color="auto"/>
        <w:bottom w:val="none" w:sz="0" w:space="0" w:color="auto"/>
        <w:right w:val="none" w:sz="0" w:space="0" w:color="auto"/>
      </w:divBdr>
    </w:div>
    <w:div w:id="2135444946">
      <w:bodyDiv w:val="1"/>
      <w:marLeft w:val="0"/>
      <w:marRight w:val="0"/>
      <w:marTop w:val="0"/>
      <w:marBottom w:val="0"/>
      <w:divBdr>
        <w:top w:val="none" w:sz="0" w:space="0" w:color="auto"/>
        <w:left w:val="none" w:sz="0" w:space="0" w:color="auto"/>
        <w:bottom w:val="none" w:sz="0" w:space="0" w:color="auto"/>
        <w:right w:val="none" w:sz="0" w:space="0" w:color="auto"/>
      </w:divBdr>
    </w:div>
    <w:div w:id="2135445879">
      <w:bodyDiv w:val="1"/>
      <w:marLeft w:val="0"/>
      <w:marRight w:val="0"/>
      <w:marTop w:val="0"/>
      <w:marBottom w:val="0"/>
      <w:divBdr>
        <w:top w:val="none" w:sz="0" w:space="0" w:color="auto"/>
        <w:left w:val="none" w:sz="0" w:space="0" w:color="auto"/>
        <w:bottom w:val="none" w:sz="0" w:space="0" w:color="auto"/>
        <w:right w:val="none" w:sz="0" w:space="0" w:color="auto"/>
      </w:divBdr>
    </w:div>
    <w:div w:id="2135446029">
      <w:bodyDiv w:val="1"/>
      <w:marLeft w:val="0"/>
      <w:marRight w:val="0"/>
      <w:marTop w:val="0"/>
      <w:marBottom w:val="0"/>
      <w:divBdr>
        <w:top w:val="none" w:sz="0" w:space="0" w:color="auto"/>
        <w:left w:val="none" w:sz="0" w:space="0" w:color="auto"/>
        <w:bottom w:val="none" w:sz="0" w:space="0" w:color="auto"/>
        <w:right w:val="none" w:sz="0" w:space="0" w:color="auto"/>
      </w:divBdr>
    </w:div>
    <w:div w:id="2135513205">
      <w:bodyDiv w:val="1"/>
      <w:marLeft w:val="0"/>
      <w:marRight w:val="0"/>
      <w:marTop w:val="0"/>
      <w:marBottom w:val="0"/>
      <w:divBdr>
        <w:top w:val="none" w:sz="0" w:space="0" w:color="auto"/>
        <w:left w:val="none" w:sz="0" w:space="0" w:color="auto"/>
        <w:bottom w:val="none" w:sz="0" w:space="0" w:color="auto"/>
        <w:right w:val="none" w:sz="0" w:space="0" w:color="auto"/>
      </w:divBdr>
    </w:div>
    <w:div w:id="2135556301">
      <w:bodyDiv w:val="1"/>
      <w:marLeft w:val="0"/>
      <w:marRight w:val="0"/>
      <w:marTop w:val="0"/>
      <w:marBottom w:val="0"/>
      <w:divBdr>
        <w:top w:val="none" w:sz="0" w:space="0" w:color="auto"/>
        <w:left w:val="none" w:sz="0" w:space="0" w:color="auto"/>
        <w:bottom w:val="none" w:sz="0" w:space="0" w:color="auto"/>
        <w:right w:val="none" w:sz="0" w:space="0" w:color="auto"/>
      </w:divBdr>
    </w:div>
    <w:div w:id="2135636172">
      <w:bodyDiv w:val="1"/>
      <w:marLeft w:val="0"/>
      <w:marRight w:val="0"/>
      <w:marTop w:val="0"/>
      <w:marBottom w:val="0"/>
      <w:divBdr>
        <w:top w:val="none" w:sz="0" w:space="0" w:color="auto"/>
        <w:left w:val="none" w:sz="0" w:space="0" w:color="auto"/>
        <w:bottom w:val="none" w:sz="0" w:space="0" w:color="auto"/>
        <w:right w:val="none" w:sz="0" w:space="0" w:color="auto"/>
      </w:divBdr>
    </w:div>
    <w:div w:id="2135783072">
      <w:bodyDiv w:val="1"/>
      <w:marLeft w:val="0"/>
      <w:marRight w:val="0"/>
      <w:marTop w:val="0"/>
      <w:marBottom w:val="0"/>
      <w:divBdr>
        <w:top w:val="none" w:sz="0" w:space="0" w:color="auto"/>
        <w:left w:val="none" w:sz="0" w:space="0" w:color="auto"/>
        <w:bottom w:val="none" w:sz="0" w:space="0" w:color="auto"/>
        <w:right w:val="none" w:sz="0" w:space="0" w:color="auto"/>
      </w:divBdr>
    </w:div>
    <w:div w:id="2135784901">
      <w:bodyDiv w:val="1"/>
      <w:marLeft w:val="0"/>
      <w:marRight w:val="0"/>
      <w:marTop w:val="0"/>
      <w:marBottom w:val="0"/>
      <w:divBdr>
        <w:top w:val="none" w:sz="0" w:space="0" w:color="auto"/>
        <w:left w:val="none" w:sz="0" w:space="0" w:color="auto"/>
        <w:bottom w:val="none" w:sz="0" w:space="0" w:color="auto"/>
        <w:right w:val="none" w:sz="0" w:space="0" w:color="auto"/>
      </w:divBdr>
    </w:div>
    <w:div w:id="2135902474">
      <w:bodyDiv w:val="1"/>
      <w:marLeft w:val="0"/>
      <w:marRight w:val="0"/>
      <w:marTop w:val="0"/>
      <w:marBottom w:val="0"/>
      <w:divBdr>
        <w:top w:val="none" w:sz="0" w:space="0" w:color="auto"/>
        <w:left w:val="none" w:sz="0" w:space="0" w:color="auto"/>
        <w:bottom w:val="none" w:sz="0" w:space="0" w:color="auto"/>
        <w:right w:val="none" w:sz="0" w:space="0" w:color="auto"/>
      </w:divBdr>
    </w:div>
    <w:div w:id="2135905886">
      <w:bodyDiv w:val="1"/>
      <w:marLeft w:val="0"/>
      <w:marRight w:val="0"/>
      <w:marTop w:val="0"/>
      <w:marBottom w:val="0"/>
      <w:divBdr>
        <w:top w:val="none" w:sz="0" w:space="0" w:color="auto"/>
        <w:left w:val="none" w:sz="0" w:space="0" w:color="auto"/>
        <w:bottom w:val="none" w:sz="0" w:space="0" w:color="auto"/>
        <w:right w:val="none" w:sz="0" w:space="0" w:color="auto"/>
      </w:divBdr>
    </w:div>
    <w:div w:id="2135949752">
      <w:bodyDiv w:val="1"/>
      <w:marLeft w:val="0"/>
      <w:marRight w:val="0"/>
      <w:marTop w:val="0"/>
      <w:marBottom w:val="0"/>
      <w:divBdr>
        <w:top w:val="none" w:sz="0" w:space="0" w:color="auto"/>
        <w:left w:val="none" w:sz="0" w:space="0" w:color="auto"/>
        <w:bottom w:val="none" w:sz="0" w:space="0" w:color="auto"/>
        <w:right w:val="none" w:sz="0" w:space="0" w:color="auto"/>
      </w:divBdr>
    </w:div>
    <w:div w:id="2135950747">
      <w:bodyDiv w:val="1"/>
      <w:marLeft w:val="0"/>
      <w:marRight w:val="0"/>
      <w:marTop w:val="0"/>
      <w:marBottom w:val="0"/>
      <w:divBdr>
        <w:top w:val="none" w:sz="0" w:space="0" w:color="auto"/>
        <w:left w:val="none" w:sz="0" w:space="0" w:color="auto"/>
        <w:bottom w:val="none" w:sz="0" w:space="0" w:color="auto"/>
        <w:right w:val="none" w:sz="0" w:space="0" w:color="auto"/>
      </w:divBdr>
    </w:div>
    <w:div w:id="2135980130">
      <w:bodyDiv w:val="1"/>
      <w:marLeft w:val="0"/>
      <w:marRight w:val="0"/>
      <w:marTop w:val="0"/>
      <w:marBottom w:val="0"/>
      <w:divBdr>
        <w:top w:val="none" w:sz="0" w:space="0" w:color="auto"/>
        <w:left w:val="none" w:sz="0" w:space="0" w:color="auto"/>
        <w:bottom w:val="none" w:sz="0" w:space="0" w:color="auto"/>
        <w:right w:val="none" w:sz="0" w:space="0" w:color="auto"/>
      </w:divBdr>
    </w:div>
    <w:div w:id="2136017330">
      <w:bodyDiv w:val="1"/>
      <w:marLeft w:val="0"/>
      <w:marRight w:val="0"/>
      <w:marTop w:val="0"/>
      <w:marBottom w:val="0"/>
      <w:divBdr>
        <w:top w:val="none" w:sz="0" w:space="0" w:color="auto"/>
        <w:left w:val="none" w:sz="0" w:space="0" w:color="auto"/>
        <w:bottom w:val="none" w:sz="0" w:space="0" w:color="auto"/>
        <w:right w:val="none" w:sz="0" w:space="0" w:color="auto"/>
      </w:divBdr>
    </w:div>
    <w:div w:id="2136025585">
      <w:bodyDiv w:val="1"/>
      <w:marLeft w:val="0"/>
      <w:marRight w:val="0"/>
      <w:marTop w:val="0"/>
      <w:marBottom w:val="0"/>
      <w:divBdr>
        <w:top w:val="none" w:sz="0" w:space="0" w:color="auto"/>
        <w:left w:val="none" w:sz="0" w:space="0" w:color="auto"/>
        <w:bottom w:val="none" w:sz="0" w:space="0" w:color="auto"/>
        <w:right w:val="none" w:sz="0" w:space="0" w:color="auto"/>
      </w:divBdr>
    </w:div>
    <w:div w:id="2136101961">
      <w:bodyDiv w:val="1"/>
      <w:marLeft w:val="0"/>
      <w:marRight w:val="0"/>
      <w:marTop w:val="0"/>
      <w:marBottom w:val="0"/>
      <w:divBdr>
        <w:top w:val="none" w:sz="0" w:space="0" w:color="auto"/>
        <w:left w:val="none" w:sz="0" w:space="0" w:color="auto"/>
        <w:bottom w:val="none" w:sz="0" w:space="0" w:color="auto"/>
        <w:right w:val="none" w:sz="0" w:space="0" w:color="auto"/>
      </w:divBdr>
    </w:div>
    <w:div w:id="2136216157">
      <w:bodyDiv w:val="1"/>
      <w:marLeft w:val="0"/>
      <w:marRight w:val="0"/>
      <w:marTop w:val="0"/>
      <w:marBottom w:val="0"/>
      <w:divBdr>
        <w:top w:val="none" w:sz="0" w:space="0" w:color="auto"/>
        <w:left w:val="none" w:sz="0" w:space="0" w:color="auto"/>
        <w:bottom w:val="none" w:sz="0" w:space="0" w:color="auto"/>
        <w:right w:val="none" w:sz="0" w:space="0" w:color="auto"/>
      </w:divBdr>
    </w:div>
    <w:div w:id="2136408447">
      <w:bodyDiv w:val="1"/>
      <w:marLeft w:val="0"/>
      <w:marRight w:val="0"/>
      <w:marTop w:val="0"/>
      <w:marBottom w:val="0"/>
      <w:divBdr>
        <w:top w:val="none" w:sz="0" w:space="0" w:color="auto"/>
        <w:left w:val="none" w:sz="0" w:space="0" w:color="auto"/>
        <w:bottom w:val="none" w:sz="0" w:space="0" w:color="auto"/>
        <w:right w:val="none" w:sz="0" w:space="0" w:color="auto"/>
      </w:divBdr>
    </w:div>
    <w:div w:id="2136486889">
      <w:bodyDiv w:val="1"/>
      <w:marLeft w:val="0"/>
      <w:marRight w:val="0"/>
      <w:marTop w:val="0"/>
      <w:marBottom w:val="0"/>
      <w:divBdr>
        <w:top w:val="none" w:sz="0" w:space="0" w:color="auto"/>
        <w:left w:val="none" w:sz="0" w:space="0" w:color="auto"/>
        <w:bottom w:val="none" w:sz="0" w:space="0" w:color="auto"/>
        <w:right w:val="none" w:sz="0" w:space="0" w:color="auto"/>
      </w:divBdr>
    </w:div>
    <w:div w:id="2136554418">
      <w:bodyDiv w:val="1"/>
      <w:marLeft w:val="0"/>
      <w:marRight w:val="0"/>
      <w:marTop w:val="0"/>
      <w:marBottom w:val="0"/>
      <w:divBdr>
        <w:top w:val="none" w:sz="0" w:space="0" w:color="auto"/>
        <w:left w:val="none" w:sz="0" w:space="0" w:color="auto"/>
        <w:bottom w:val="none" w:sz="0" w:space="0" w:color="auto"/>
        <w:right w:val="none" w:sz="0" w:space="0" w:color="auto"/>
      </w:divBdr>
    </w:div>
    <w:div w:id="2136555703">
      <w:bodyDiv w:val="1"/>
      <w:marLeft w:val="0"/>
      <w:marRight w:val="0"/>
      <w:marTop w:val="0"/>
      <w:marBottom w:val="0"/>
      <w:divBdr>
        <w:top w:val="none" w:sz="0" w:space="0" w:color="auto"/>
        <w:left w:val="none" w:sz="0" w:space="0" w:color="auto"/>
        <w:bottom w:val="none" w:sz="0" w:space="0" w:color="auto"/>
        <w:right w:val="none" w:sz="0" w:space="0" w:color="auto"/>
      </w:divBdr>
    </w:div>
    <w:div w:id="2136754621">
      <w:bodyDiv w:val="1"/>
      <w:marLeft w:val="0"/>
      <w:marRight w:val="0"/>
      <w:marTop w:val="0"/>
      <w:marBottom w:val="0"/>
      <w:divBdr>
        <w:top w:val="none" w:sz="0" w:space="0" w:color="auto"/>
        <w:left w:val="none" w:sz="0" w:space="0" w:color="auto"/>
        <w:bottom w:val="none" w:sz="0" w:space="0" w:color="auto"/>
        <w:right w:val="none" w:sz="0" w:space="0" w:color="auto"/>
      </w:divBdr>
    </w:div>
    <w:div w:id="2136830581">
      <w:bodyDiv w:val="1"/>
      <w:marLeft w:val="0"/>
      <w:marRight w:val="0"/>
      <w:marTop w:val="0"/>
      <w:marBottom w:val="0"/>
      <w:divBdr>
        <w:top w:val="none" w:sz="0" w:space="0" w:color="auto"/>
        <w:left w:val="none" w:sz="0" w:space="0" w:color="auto"/>
        <w:bottom w:val="none" w:sz="0" w:space="0" w:color="auto"/>
        <w:right w:val="none" w:sz="0" w:space="0" w:color="auto"/>
      </w:divBdr>
    </w:div>
    <w:div w:id="2136866869">
      <w:bodyDiv w:val="1"/>
      <w:marLeft w:val="0"/>
      <w:marRight w:val="0"/>
      <w:marTop w:val="0"/>
      <w:marBottom w:val="0"/>
      <w:divBdr>
        <w:top w:val="none" w:sz="0" w:space="0" w:color="auto"/>
        <w:left w:val="none" w:sz="0" w:space="0" w:color="auto"/>
        <w:bottom w:val="none" w:sz="0" w:space="0" w:color="auto"/>
        <w:right w:val="none" w:sz="0" w:space="0" w:color="auto"/>
      </w:divBdr>
    </w:div>
    <w:div w:id="2136869184">
      <w:bodyDiv w:val="1"/>
      <w:marLeft w:val="0"/>
      <w:marRight w:val="0"/>
      <w:marTop w:val="0"/>
      <w:marBottom w:val="0"/>
      <w:divBdr>
        <w:top w:val="none" w:sz="0" w:space="0" w:color="auto"/>
        <w:left w:val="none" w:sz="0" w:space="0" w:color="auto"/>
        <w:bottom w:val="none" w:sz="0" w:space="0" w:color="auto"/>
        <w:right w:val="none" w:sz="0" w:space="0" w:color="auto"/>
      </w:divBdr>
    </w:div>
    <w:div w:id="2136871560">
      <w:bodyDiv w:val="1"/>
      <w:marLeft w:val="0"/>
      <w:marRight w:val="0"/>
      <w:marTop w:val="0"/>
      <w:marBottom w:val="0"/>
      <w:divBdr>
        <w:top w:val="none" w:sz="0" w:space="0" w:color="auto"/>
        <w:left w:val="none" w:sz="0" w:space="0" w:color="auto"/>
        <w:bottom w:val="none" w:sz="0" w:space="0" w:color="auto"/>
        <w:right w:val="none" w:sz="0" w:space="0" w:color="auto"/>
      </w:divBdr>
    </w:div>
    <w:div w:id="2136875036">
      <w:bodyDiv w:val="1"/>
      <w:marLeft w:val="0"/>
      <w:marRight w:val="0"/>
      <w:marTop w:val="0"/>
      <w:marBottom w:val="0"/>
      <w:divBdr>
        <w:top w:val="none" w:sz="0" w:space="0" w:color="auto"/>
        <w:left w:val="none" w:sz="0" w:space="0" w:color="auto"/>
        <w:bottom w:val="none" w:sz="0" w:space="0" w:color="auto"/>
        <w:right w:val="none" w:sz="0" w:space="0" w:color="auto"/>
      </w:divBdr>
    </w:div>
    <w:div w:id="2136941957">
      <w:bodyDiv w:val="1"/>
      <w:marLeft w:val="0"/>
      <w:marRight w:val="0"/>
      <w:marTop w:val="0"/>
      <w:marBottom w:val="0"/>
      <w:divBdr>
        <w:top w:val="none" w:sz="0" w:space="0" w:color="auto"/>
        <w:left w:val="none" w:sz="0" w:space="0" w:color="auto"/>
        <w:bottom w:val="none" w:sz="0" w:space="0" w:color="auto"/>
        <w:right w:val="none" w:sz="0" w:space="0" w:color="auto"/>
      </w:divBdr>
    </w:div>
    <w:div w:id="2136945623">
      <w:bodyDiv w:val="1"/>
      <w:marLeft w:val="0"/>
      <w:marRight w:val="0"/>
      <w:marTop w:val="0"/>
      <w:marBottom w:val="0"/>
      <w:divBdr>
        <w:top w:val="none" w:sz="0" w:space="0" w:color="auto"/>
        <w:left w:val="none" w:sz="0" w:space="0" w:color="auto"/>
        <w:bottom w:val="none" w:sz="0" w:space="0" w:color="auto"/>
        <w:right w:val="none" w:sz="0" w:space="0" w:color="auto"/>
      </w:divBdr>
    </w:div>
    <w:div w:id="2137022312">
      <w:bodyDiv w:val="1"/>
      <w:marLeft w:val="0"/>
      <w:marRight w:val="0"/>
      <w:marTop w:val="0"/>
      <w:marBottom w:val="0"/>
      <w:divBdr>
        <w:top w:val="none" w:sz="0" w:space="0" w:color="auto"/>
        <w:left w:val="none" w:sz="0" w:space="0" w:color="auto"/>
        <w:bottom w:val="none" w:sz="0" w:space="0" w:color="auto"/>
        <w:right w:val="none" w:sz="0" w:space="0" w:color="auto"/>
      </w:divBdr>
    </w:div>
    <w:div w:id="2137137735">
      <w:bodyDiv w:val="1"/>
      <w:marLeft w:val="0"/>
      <w:marRight w:val="0"/>
      <w:marTop w:val="0"/>
      <w:marBottom w:val="0"/>
      <w:divBdr>
        <w:top w:val="none" w:sz="0" w:space="0" w:color="auto"/>
        <w:left w:val="none" w:sz="0" w:space="0" w:color="auto"/>
        <w:bottom w:val="none" w:sz="0" w:space="0" w:color="auto"/>
        <w:right w:val="none" w:sz="0" w:space="0" w:color="auto"/>
      </w:divBdr>
    </w:div>
    <w:div w:id="2137142609">
      <w:bodyDiv w:val="1"/>
      <w:marLeft w:val="0"/>
      <w:marRight w:val="0"/>
      <w:marTop w:val="0"/>
      <w:marBottom w:val="0"/>
      <w:divBdr>
        <w:top w:val="none" w:sz="0" w:space="0" w:color="auto"/>
        <w:left w:val="none" w:sz="0" w:space="0" w:color="auto"/>
        <w:bottom w:val="none" w:sz="0" w:space="0" w:color="auto"/>
        <w:right w:val="none" w:sz="0" w:space="0" w:color="auto"/>
      </w:divBdr>
    </w:div>
    <w:div w:id="2137143003">
      <w:bodyDiv w:val="1"/>
      <w:marLeft w:val="0"/>
      <w:marRight w:val="0"/>
      <w:marTop w:val="0"/>
      <w:marBottom w:val="0"/>
      <w:divBdr>
        <w:top w:val="none" w:sz="0" w:space="0" w:color="auto"/>
        <w:left w:val="none" w:sz="0" w:space="0" w:color="auto"/>
        <w:bottom w:val="none" w:sz="0" w:space="0" w:color="auto"/>
        <w:right w:val="none" w:sz="0" w:space="0" w:color="auto"/>
      </w:divBdr>
    </w:div>
    <w:div w:id="2137213107">
      <w:bodyDiv w:val="1"/>
      <w:marLeft w:val="0"/>
      <w:marRight w:val="0"/>
      <w:marTop w:val="0"/>
      <w:marBottom w:val="0"/>
      <w:divBdr>
        <w:top w:val="none" w:sz="0" w:space="0" w:color="auto"/>
        <w:left w:val="none" w:sz="0" w:space="0" w:color="auto"/>
        <w:bottom w:val="none" w:sz="0" w:space="0" w:color="auto"/>
        <w:right w:val="none" w:sz="0" w:space="0" w:color="auto"/>
      </w:divBdr>
    </w:div>
    <w:div w:id="2137292047">
      <w:bodyDiv w:val="1"/>
      <w:marLeft w:val="0"/>
      <w:marRight w:val="0"/>
      <w:marTop w:val="0"/>
      <w:marBottom w:val="0"/>
      <w:divBdr>
        <w:top w:val="none" w:sz="0" w:space="0" w:color="auto"/>
        <w:left w:val="none" w:sz="0" w:space="0" w:color="auto"/>
        <w:bottom w:val="none" w:sz="0" w:space="0" w:color="auto"/>
        <w:right w:val="none" w:sz="0" w:space="0" w:color="auto"/>
      </w:divBdr>
    </w:div>
    <w:div w:id="2137335375">
      <w:bodyDiv w:val="1"/>
      <w:marLeft w:val="0"/>
      <w:marRight w:val="0"/>
      <w:marTop w:val="0"/>
      <w:marBottom w:val="0"/>
      <w:divBdr>
        <w:top w:val="none" w:sz="0" w:space="0" w:color="auto"/>
        <w:left w:val="none" w:sz="0" w:space="0" w:color="auto"/>
        <w:bottom w:val="none" w:sz="0" w:space="0" w:color="auto"/>
        <w:right w:val="none" w:sz="0" w:space="0" w:color="auto"/>
      </w:divBdr>
    </w:div>
    <w:div w:id="2137403391">
      <w:bodyDiv w:val="1"/>
      <w:marLeft w:val="0"/>
      <w:marRight w:val="0"/>
      <w:marTop w:val="0"/>
      <w:marBottom w:val="0"/>
      <w:divBdr>
        <w:top w:val="none" w:sz="0" w:space="0" w:color="auto"/>
        <w:left w:val="none" w:sz="0" w:space="0" w:color="auto"/>
        <w:bottom w:val="none" w:sz="0" w:space="0" w:color="auto"/>
        <w:right w:val="none" w:sz="0" w:space="0" w:color="auto"/>
      </w:divBdr>
    </w:div>
    <w:div w:id="2137409775">
      <w:bodyDiv w:val="1"/>
      <w:marLeft w:val="0"/>
      <w:marRight w:val="0"/>
      <w:marTop w:val="0"/>
      <w:marBottom w:val="0"/>
      <w:divBdr>
        <w:top w:val="none" w:sz="0" w:space="0" w:color="auto"/>
        <w:left w:val="none" w:sz="0" w:space="0" w:color="auto"/>
        <w:bottom w:val="none" w:sz="0" w:space="0" w:color="auto"/>
        <w:right w:val="none" w:sz="0" w:space="0" w:color="auto"/>
      </w:divBdr>
    </w:div>
    <w:div w:id="2137410361">
      <w:bodyDiv w:val="1"/>
      <w:marLeft w:val="0"/>
      <w:marRight w:val="0"/>
      <w:marTop w:val="0"/>
      <w:marBottom w:val="0"/>
      <w:divBdr>
        <w:top w:val="none" w:sz="0" w:space="0" w:color="auto"/>
        <w:left w:val="none" w:sz="0" w:space="0" w:color="auto"/>
        <w:bottom w:val="none" w:sz="0" w:space="0" w:color="auto"/>
        <w:right w:val="none" w:sz="0" w:space="0" w:color="auto"/>
      </w:divBdr>
    </w:div>
    <w:div w:id="2137486891">
      <w:bodyDiv w:val="1"/>
      <w:marLeft w:val="0"/>
      <w:marRight w:val="0"/>
      <w:marTop w:val="0"/>
      <w:marBottom w:val="0"/>
      <w:divBdr>
        <w:top w:val="none" w:sz="0" w:space="0" w:color="auto"/>
        <w:left w:val="none" w:sz="0" w:space="0" w:color="auto"/>
        <w:bottom w:val="none" w:sz="0" w:space="0" w:color="auto"/>
        <w:right w:val="none" w:sz="0" w:space="0" w:color="auto"/>
      </w:divBdr>
    </w:div>
    <w:div w:id="2137596485">
      <w:bodyDiv w:val="1"/>
      <w:marLeft w:val="0"/>
      <w:marRight w:val="0"/>
      <w:marTop w:val="0"/>
      <w:marBottom w:val="0"/>
      <w:divBdr>
        <w:top w:val="none" w:sz="0" w:space="0" w:color="auto"/>
        <w:left w:val="none" w:sz="0" w:space="0" w:color="auto"/>
        <w:bottom w:val="none" w:sz="0" w:space="0" w:color="auto"/>
        <w:right w:val="none" w:sz="0" w:space="0" w:color="auto"/>
      </w:divBdr>
    </w:div>
    <w:div w:id="2137600617">
      <w:bodyDiv w:val="1"/>
      <w:marLeft w:val="0"/>
      <w:marRight w:val="0"/>
      <w:marTop w:val="0"/>
      <w:marBottom w:val="0"/>
      <w:divBdr>
        <w:top w:val="none" w:sz="0" w:space="0" w:color="auto"/>
        <w:left w:val="none" w:sz="0" w:space="0" w:color="auto"/>
        <w:bottom w:val="none" w:sz="0" w:space="0" w:color="auto"/>
        <w:right w:val="none" w:sz="0" w:space="0" w:color="auto"/>
      </w:divBdr>
    </w:div>
    <w:div w:id="2137680179">
      <w:bodyDiv w:val="1"/>
      <w:marLeft w:val="0"/>
      <w:marRight w:val="0"/>
      <w:marTop w:val="0"/>
      <w:marBottom w:val="0"/>
      <w:divBdr>
        <w:top w:val="none" w:sz="0" w:space="0" w:color="auto"/>
        <w:left w:val="none" w:sz="0" w:space="0" w:color="auto"/>
        <w:bottom w:val="none" w:sz="0" w:space="0" w:color="auto"/>
        <w:right w:val="none" w:sz="0" w:space="0" w:color="auto"/>
      </w:divBdr>
    </w:div>
    <w:div w:id="2137947246">
      <w:bodyDiv w:val="1"/>
      <w:marLeft w:val="0"/>
      <w:marRight w:val="0"/>
      <w:marTop w:val="0"/>
      <w:marBottom w:val="0"/>
      <w:divBdr>
        <w:top w:val="none" w:sz="0" w:space="0" w:color="auto"/>
        <w:left w:val="none" w:sz="0" w:space="0" w:color="auto"/>
        <w:bottom w:val="none" w:sz="0" w:space="0" w:color="auto"/>
        <w:right w:val="none" w:sz="0" w:space="0" w:color="auto"/>
      </w:divBdr>
    </w:div>
    <w:div w:id="2137986261">
      <w:bodyDiv w:val="1"/>
      <w:marLeft w:val="0"/>
      <w:marRight w:val="0"/>
      <w:marTop w:val="0"/>
      <w:marBottom w:val="0"/>
      <w:divBdr>
        <w:top w:val="none" w:sz="0" w:space="0" w:color="auto"/>
        <w:left w:val="none" w:sz="0" w:space="0" w:color="auto"/>
        <w:bottom w:val="none" w:sz="0" w:space="0" w:color="auto"/>
        <w:right w:val="none" w:sz="0" w:space="0" w:color="auto"/>
      </w:divBdr>
    </w:div>
    <w:div w:id="2137987418">
      <w:bodyDiv w:val="1"/>
      <w:marLeft w:val="0"/>
      <w:marRight w:val="0"/>
      <w:marTop w:val="0"/>
      <w:marBottom w:val="0"/>
      <w:divBdr>
        <w:top w:val="none" w:sz="0" w:space="0" w:color="auto"/>
        <w:left w:val="none" w:sz="0" w:space="0" w:color="auto"/>
        <w:bottom w:val="none" w:sz="0" w:space="0" w:color="auto"/>
        <w:right w:val="none" w:sz="0" w:space="0" w:color="auto"/>
      </w:divBdr>
    </w:div>
    <w:div w:id="2137988390">
      <w:bodyDiv w:val="1"/>
      <w:marLeft w:val="0"/>
      <w:marRight w:val="0"/>
      <w:marTop w:val="0"/>
      <w:marBottom w:val="0"/>
      <w:divBdr>
        <w:top w:val="none" w:sz="0" w:space="0" w:color="auto"/>
        <w:left w:val="none" w:sz="0" w:space="0" w:color="auto"/>
        <w:bottom w:val="none" w:sz="0" w:space="0" w:color="auto"/>
        <w:right w:val="none" w:sz="0" w:space="0" w:color="auto"/>
      </w:divBdr>
    </w:div>
    <w:div w:id="2138066407">
      <w:bodyDiv w:val="1"/>
      <w:marLeft w:val="0"/>
      <w:marRight w:val="0"/>
      <w:marTop w:val="0"/>
      <w:marBottom w:val="0"/>
      <w:divBdr>
        <w:top w:val="none" w:sz="0" w:space="0" w:color="auto"/>
        <w:left w:val="none" w:sz="0" w:space="0" w:color="auto"/>
        <w:bottom w:val="none" w:sz="0" w:space="0" w:color="auto"/>
        <w:right w:val="none" w:sz="0" w:space="0" w:color="auto"/>
      </w:divBdr>
    </w:div>
    <w:div w:id="2138138886">
      <w:bodyDiv w:val="1"/>
      <w:marLeft w:val="0"/>
      <w:marRight w:val="0"/>
      <w:marTop w:val="0"/>
      <w:marBottom w:val="0"/>
      <w:divBdr>
        <w:top w:val="none" w:sz="0" w:space="0" w:color="auto"/>
        <w:left w:val="none" w:sz="0" w:space="0" w:color="auto"/>
        <w:bottom w:val="none" w:sz="0" w:space="0" w:color="auto"/>
        <w:right w:val="none" w:sz="0" w:space="0" w:color="auto"/>
      </w:divBdr>
    </w:div>
    <w:div w:id="2138253972">
      <w:bodyDiv w:val="1"/>
      <w:marLeft w:val="0"/>
      <w:marRight w:val="0"/>
      <w:marTop w:val="0"/>
      <w:marBottom w:val="0"/>
      <w:divBdr>
        <w:top w:val="none" w:sz="0" w:space="0" w:color="auto"/>
        <w:left w:val="none" w:sz="0" w:space="0" w:color="auto"/>
        <w:bottom w:val="none" w:sz="0" w:space="0" w:color="auto"/>
        <w:right w:val="none" w:sz="0" w:space="0" w:color="auto"/>
      </w:divBdr>
    </w:div>
    <w:div w:id="2138258444">
      <w:bodyDiv w:val="1"/>
      <w:marLeft w:val="0"/>
      <w:marRight w:val="0"/>
      <w:marTop w:val="0"/>
      <w:marBottom w:val="0"/>
      <w:divBdr>
        <w:top w:val="none" w:sz="0" w:space="0" w:color="auto"/>
        <w:left w:val="none" w:sz="0" w:space="0" w:color="auto"/>
        <w:bottom w:val="none" w:sz="0" w:space="0" w:color="auto"/>
        <w:right w:val="none" w:sz="0" w:space="0" w:color="auto"/>
      </w:divBdr>
    </w:div>
    <w:div w:id="2138260416">
      <w:bodyDiv w:val="1"/>
      <w:marLeft w:val="0"/>
      <w:marRight w:val="0"/>
      <w:marTop w:val="0"/>
      <w:marBottom w:val="0"/>
      <w:divBdr>
        <w:top w:val="none" w:sz="0" w:space="0" w:color="auto"/>
        <w:left w:val="none" w:sz="0" w:space="0" w:color="auto"/>
        <w:bottom w:val="none" w:sz="0" w:space="0" w:color="auto"/>
        <w:right w:val="none" w:sz="0" w:space="0" w:color="auto"/>
      </w:divBdr>
    </w:div>
    <w:div w:id="2138600868">
      <w:bodyDiv w:val="1"/>
      <w:marLeft w:val="0"/>
      <w:marRight w:val="0"/>
      <w:marTop w:val="0"/>
      <w:marBottom w:val="0"/>
      <w:divBdr>
        <w:top w:val="none" w:sz="0" w:space="0" w:color="auto"/>
        <w:left w:val="none" w:sz="0" w:space="0" w:color="auto"/>
        <w:bottom w:val="none" w:sz="0" w:space="0" w:color="auto"/>
        <w:right w:val="none" w:sz="0" w:space="0" w:color="auto"/>
      </w:divBdr>
    </w:div>
    <w:div w:id="2138641810">
      <w:bodyDiv w:val="1"/>
      <w:marLeft w:val="0"/>
      <w:marRight w:val="0"/>
      <w:marTop w:val="0"/>
      <w:marBottom w:val="0"/>
      <w:divBdr>
        <w:top w:val="none" w:sz="0" w:space="0" w:color="auto"/>
        <w:left w:val="none" w:sz="0" w:space="0" w:color="auto"/>
        <w:bottom w:val="none" w:sz="0" w:space="0" w:color="auto"/>
        <w:right w:val="none" w:sz="0" w:space="0" w:color="auto"/>
      </w:divBdr>
    </w:div>
    <w:div w:id="2138717411">
      <w:bodyDiv w:val="1"/>
      <w:marLeft w:val="0"/>
      <w:marRight w:val="0"/>
      <w:marTop w:val="0"/>
      <w:marBottom w:val="0"/>
      <w:divBdr>
        <w:top w:val="none" w:sz="0" w:space="0" w:color="auto"/>
        <w:left w:val="none" w:sz="0" w:space="0" w:color="auto"/>
        <w:bottom w:val="none" w:sz="0" w:space="0" w:color="auto"/>
        <w:right w:val="none" w:sz="0" w:space="0" w:color="auto"/>
      </w:divBdr>
    </w:div>
    <w:div w:id="2138722424">
      <w:bodyDiv w:val="1"/>
      <w:marLeft w:val="0"/>
      <w:marRight w:val="0"/>
      <w:marTop w:val="0"/>
      <w:marBottom w:val="0"/>
      <w:divBdr>
        <w:top w:val="none" w:sz="0" w:space="0" w:color="auto"/>
        <w:left w:val="none" w:sz="0" w:space="0" w:color="auto"/>
        <w:bottom w:val="none" w:sz="0" w:space="0" w:color="auto"/>
        <w:right w:val="none" w:sz="0" w:space="0" w:color="auto"/>
      </w:divBdr>
    </w:div>
    <w:div w:id="2138794919">
      <w:bodyDiv w:val="1"/>
      <w:marLeft w:val="0"/>
      <w:marRight w:val="0"/>
      <w:marTop w:val="0"/>
      <w:marBottom w:val="0"/>
      <w:divBdr>
        <w:top w:val="none" w:sz="0" w:space="0" w:color="auto"/>
        <w:left w:val="none" w:sz="0" w:space="0" w:color="auto"/>
        <w:bottom w:val="none" w:sz="0" w:space="0" w:color="auto"/>
        <w:right w:val="none" w:sz="0" w:space="0" w:color="auto"/>
      </w:divBdr>
    </w:div>
    <w:div w:id="2138833598">
      <w:bodyDiv w:val="1"/>
      <w:marLeft w:val="0"/>
      <w:marRight w:val="0"/>
      <w:marTop w:val="0"/>
      <w:marBottom w:val="0"/>
      <w:divBdr>
        <w:top w:val="none" w:sz="0" w:space="0" w:color="auto"/>
        <w:left w:val="none" w:sz="0" w:space="0" w:color="auto"/>
        <w:bottom w:val="none" w:sz="0" w:space="0" w:color="auto"/>
        <w:right w:val="none" w:sz="0" w:space="0" w:color="auto"/>
      </w:divBdr>
    </w:div>
    <w:div w:id="2139033804">
      <w:bodyDiv w:val="1"/>
      <w:marLeft w:val="0"/>
      <w:marRight w:val="0"/>
      <w:marTop w:val="0"/>
      <w:marBottom w:val="0"/>
      <w:divBdr>
        <w:top w:val="none" w:sz="0" w:space="0" w:color="auto"/>
        <w:left w:val="none" w:sz="0" w:space="0" w:color="auto"/>
        <w:bottom w:val="none" w:sz="0" w:space="0" w:color="auto"/>
        <w:right w:val="none" w:sz="0" w:space="0" w:color="auto"/>
      </w:divBdr>
    </w:div>
    <w:div w:id="2139057264">
      <w:bodyDiv w:val="1"/>
      <w:marLeft w:val="0"/>
      <w:marRight w:val="0"/>
      <w:marTop w:val="0"/>
      <w:marBottom w:val="0"/>
      <w:divBdr>
        <w:top w:val="none" w:sz="0" w:space="0" w:color="auto"/>
        <w:left w:val="none" w:sz="0" w:space="0" w:color="auto"/>
        <w:bottom w:val="none" w:sz="0" w:space="0" w:color="auto"/>
        <w:right w:val="none" w:sz="0" w:space="0" w:color="auto"/>
      </w:divBdr>
    </w:div>
    <w:div w:id="2139060460">
      <w:bodyDiv w:val="1"/>
      <w:marLeft w:val="0"/>
      <w:marRight w:val="0"/>
      <w:marTop w:val="0"/>
      <w:marBottom w:val="0"/>
      <w:divBdr>
        <w:top w:val="none" w:sz="0" w:space="0" w:color="auto"/>
        <w:left w:val="none" w:sz="0" w:space="0" w:color="auto"/>
        <w:bottom w:val="none" w:sz="0" w:space="0" w:color="auto"/>
        <w:right w:val="none" w:sz="0" w:space="0" w:color="auto"/>
      </w:divBdr>
    </w:div>
    <w:div w:id="2139100799">
      <w:bodyDiv w:val="1"/>
      <w:marLeft w:val="0"/>
      <w:marRight w:val="0"/>
      <w:marTop w:val="0"/>
      <w:marBottom w:val="0"/>
      <w:divBdr>
        <w:top w:val="none" w:sz="0" w:space="0" w:color="auto"/>
        <w:left w:val="none" w:sz="0" w:space="0" w:color="auto"/>
        <w:bottom w:val="none" w:sz="0" w:space="0" w:color="auto"/>
        <w:right w:val="none" w:sz="0" w:space="0" w:color="auto"/>
      </w:divBdr>
    </w:div>
    <w:div w:id="2139106789">
      <w:bodyDiv w:val="1"/>
      <w:marLeft w:val="0"/>
      <w:marRight w:val="0"/>
      <w:marTop w:val="0"/>
      <w:marBottom w:val="0"/>
      <w:divBdr>
        <w:top w:val="none" w:sz="0" w:space="0" w:color="auto"/>
        <w:left w:val="none" w:sz="0" w:space="0" w:color="auto"/>
        <w:bottom w:val="none" w:sz="0" w:space="0" w:color="auto"/>
        <w:right w:val="none" w:sz="0" w:space="0" w:color="auto"/>
      </w:divBdr>
    </w:div>
    <w:div w:id="2139107612">
      <w:bodyDiv w:val="1"/>
      <w:marLeft w:val="0"/>
      <w:marRight w:val="0"/>
      <w:marTop w:val="0"/>
      <w:marBottom w:val="0"/>
      <w:divBdr>
        <w:top w:val="none" w:sz="0" w:space="0" w:color="auto"/>
        <w:left w:val="none" w:sz="0" w:space="0" w:color="auto"/>
        <w:bottom w:val="none" w:sz="0" w:space="0" w:color="auto"/>
        <w:right w:val="none" w:sz="0" w:space="0" w:color="auto"/>
      </w:divBdr>
    </w:div>
    <w:div w:id="2139176336">
      <w:bodyDiv w:val="1"/>
      <w:marLeft w:val="0"/>
      <w:marRight w:val="0"/>
      <w:marTop w:val="0"/>
      <w:marBottom w:val="0"/>
      <w:divBdr>
        <w:top w:val="none" w:sz="0" w:space="0" w:color="auto"/>
        <w:left w:val="none" w:sz="0" w:space="0" w:color="auto"/>
        <w:bottom w:val="none" w:sz="0" w:space="0" w:color="auto"/>
        <w:right w:val="none" w:sz="0" w:space="0" w:color="auto"/>
      </w:divBdr>
    </w:div>
    <w:div w:id="2139185005">
      <w:bodyDiv w:val="1"/>
      <w:marLeft w:val="0"/>
      <w:marRight w:val="0"/>
      <w:marTop w:val="0"/>
      <w:marBottom w:val="0"/>
      <w:divBdr>
        <w:top w:val="none" w:sz="0" w:space="0" w:color="auto"/>
        <w:left w:val="none" w:sz="0" w:space="0" w:color="auto"/>
        <w:bottom w:val="none" w:sz="0" w:space="0" w:color="auto"/>
        <w:right w:val="none" w:sz="0" w:space="0" w:color="auto"/>
      </w:divBdr>
    </w:div>
    <w:div w:id="2139252631">
      <w:bodyDiv w:val="1"/>
      <w:marLeft w:val="0"/>
      <w:marRight w:val="0"/>
      <w:marTop w:val="0"/>
      <w:marBottom w:val="0"/>
      <w:divBdr>
        <w:top w:val="none" w:sz="0" w:space="0" w:color="auto"/>
        <w:left w:val="none" w:sz="0" w:space="0" w:color="auto"/>
        <w:bottom w:val="none" w:sz="0" w:space="0" w:color="auto"/>
        <w:right w:val="none" w:sz="0" w:space="0" w:color="auto"/>
      </w:divBdr>
    </w:div>
    <w:div w:id="2139253351">
      <w:bodyDiv w:val="1"/>
      <w:marLeft w:val="0"/>
      <w:marRight w:val="0"/>
      <w:marTop w:val="0"/>
      <w:marBottom w:val="0"/>
      <w:divBdr>
        <w:top w:val="none" w:sz="0" w:space="0" w:color="auto"/>
        <w:left w:val="none" w:sz="0" w:space="0" w:color="auto"/>
        <w:bottom w:val="none" w:sz="0" w:space="0" w:color="auto"/>
        <w:right w:val="none" w:sz="0" w:space="0" w:color="auto"/>
      </w:divBdr>
    </w:div>
    <w:div w:id="2139299545">
      <w:bodyDiv w:val="1"/>
      <w:marLeft w:val="0"/>
      <w:marRight w:val="0"/>
      <w:marTop w:val="0"/>
      <w:marBottom w:val="0"/>
      <w:divBdr>
        <w:top w:val="none" w:sz="0" w:space="0" w:color="auto"/>
        <w:left w:val="none" w:sz="0" w:space="0" w:color="auto"/>
        <w:bottom w:val="none" w:sz="0" w:space="0" w:color="auto"/>
        <w:right w:val="none" w:sz="0" w:space="0" w:color="auto"/>
      </w:divBdr>
    </w:div>
    <w:div w:id="2139375247">
      <w:bodyDiv w:val="1"/>
      <w:marLeft w:val="0"/>
      <w:marRight w:val="0"/>
      <w:marTop w:val="0"/>
      <w:marBottom w:val="0"/>
      <w:divBdr>
        <w:top w:val="none" w:sz="0" w:space="0" w:color="auto"/>
        <w:left w:val="none" w:sz="0" w:space="0" w:color="auto"/>
        <w:bottom w:val="none" w:sz="0" w:space="0" w:color="auto"/>
        <w:right w:val="none" w:sz="0" w:space="0" w:color="auto"/>
      </w:divBdr>
    </w:div>
    <w:div w:id="2139450974">
      <w:bodyDiv w:val="1"/>
      <w:marLeft w:val="0"/>
      <w:marRight w:val="0"/>
      <w:marTop w:val="0"/>
      <w:marBottom w:val="0"/>
      <w:divBdr>
        <w:top w:val="none" w:sz="0" w:space="0" w:color="auto"/>
        <w:left w:val="none" w:sz="0" w:space="0" w:color="auto"/>
        <w:bottom w:val="none" w:sz="0" w:space="0" w:color="auto"/>
        <w:right w:val="none" w:sz="0" w:space="0" w:color="auto"/>
      </w:divBdr>
    </w:div>
    <w:div w:id="2139565607">
      <w:bodyDiv w:val="1"/>
      <w:marLeft w:val="0"/>
      <w:marRight w:val="0"/>
      <w:marTop w:val="0"/>
      <w:marBottom w:val="0"/>
      <w:divBdr>
        <w:top w:val="none" w:sz="0" w:space="0" w:color="auto"/>
        <w:left w:val="none" w:sz="0" w:space="0" w:color="auto"/>
        <w:bottom w:val="none" w:sz="0" w:space="0" w:color="auto"/>
        <w:right w:val="none" w:sz="0" w:space="0" w:color="auto"/>
      </w:divBdr>
    </w:div>
    <w:div w:id="2139712659">
      <w:bodyDiv w:val="1"/>
      <w:marLeft w:val="0"/>
      <w:marRight w:val="0"/>
      <w:marTop w:val="0"/>
      <w:marBottom w:val="0"/>
      <w:divBdr>
        <w:top w:val="none" w:sz="0" w:space="0" w:color="auto"/>
        <w:left w:val="none" w:sz="0" w:space="0" w:color="auto"/>
        <w:bottom w:val="none" w:sz="0" w:space="0" w:color="auto"/>
        <w:right w:val="none" w:sz="0" w:space="0" w:color="auto"/>
      </w:divBdr>
    </w:div>
    <w:div w:id="2139714228">
      <w:bodyDiv w:val="1"/>
      <w:marLeft w:val="0"/>
      <w:marRight w:val="0"/>
      <w:marTop w:val="0"/>
      <w:marBottom w:val="0"/>
      <w:divBdr>
        <w:top w:val="none" w:sz="0" w:space="0" w:color="auto"/>
        <w:left w:val="none" w:sz="0" w:space="0" w:color="auto"/>
        <w:bottom w:val="none" w:sz="0" w:space="0" w:color="auto"/>
        <w:right w:val="none" w:sz="0" w:space="0" w:color="auto"/>
      </w:divBdr>
    </w:div>
    <w:div w:id="2139760915">
      <w:bodyDiv w:val="1"/>
      <w:marLeft w:val="0"/>
      <w:marRight w:val="0"/>
      <w:marTop w:val="0"/>
      <w:marBottom w:val="0"/>
      <w:divBdr>
        <w:top w:val="none" w:sz="0" w:space="0" w:color="auto"/>
        <w:left w:val="none" w:sz="0" w:space="0" w:color="auto"/>
        <w:bottom w:val="none" w:sz="0" w:space="0" w:color="auto"/>
        <w:right w:val="none" w:sz="0" w:space="0" w:color="auto"/>
      </w:divBdr>
    </w:div>
    <w:div w:id="2139835096">
      <w:bodyDiv w:val="1"/>
      <w:marLeft w:val="0"/>
      <w:marRight w:val="0"/>
      <w:marTop w:val="0"/>
      <w:marBottom w:val="0"/>
      <w:divBdr>
        <w:top w:val="none" w:sz="0" w:space="0" w:color="auto"/>
        <w:left w:val="none" w:sz="0" w:space="0" w:color="auto"/>
        <w:bottom w:val="none" w:sz="0" w:space="0" w:color="auto"/>
        <w:right w:val="none" w:sz="0" w:space="0" w:color="auto"/>
      </w:divBdr>
    </w:div>
    <w:div w:id="2139908927">
      <w:bodyDiv w:val="1"/>
      <w:marLeft w:val="0"/>
      <w:marRight w:val="0"/>
      <w:marTop w:val="0"/>
      <w:marBottom w:val="0"/>
      <w:divBdr>
        <w:top w:val="none" w:sz="0" w:space="0" w:color="auto"/>
        <w:left w:val="none" w:sz="0" w:space="0" w:color="auto"/>
        <w:bottom w:val="none" w:sz="0" w:space="0" w:color="auto"/>
        <w:right w:val="none" w:sz="0" w:space="0" w:color="auto"/>
      </w:divBdr>
    </w:div>
    <w:div w:id="2139912375">
      <w:bodyDiv w:val="1"/>
      <w:marLeft w:val="0"/>
      <w:marRight w:val="0"/>
      <w:marTop w:val="0"/>
      <w:marBottom w:val="0"/>
      <w:divBdr>
        <w:top w:val="none" w:sz="0" w:space="0" w:color="auto"/>
        <w:left w:val="none" w:sz="0" w:space="0" w:color="auto"/>
        <w:bottom w:val="none" w:sz="0" w:space="0" w:color="auto"/>
        <w:right w:val="none" w:sz="0" w:space="0" w:color="auto"/>
      </w:divBdr>
    </w:div>
    <w:div w:id="2139949082">
      <w:bodyDiv w:val="1"/>
      <w:marLeft w:val="0"/>
      <w:marRight w:val="0"/>
      <w:marTop w:val="0"/>
      <w:marBottom w:val="0"/>
      <w:divBdr>
        <w:top w:val="none" w:sz="0" w:space="0" w:color="auto"/>
        <w:left w:val="none" w:sz="0" w:space="0" w:color="auto"/>
        <w:bottom w:val="none" w:sz="0" w:space="0" w:color="auto"/>
        <w:right w:val="none" w:sz="0" w:space="0" w:color="auto"/>
      </w:divBdr>
    </w:div>
    <w:div w:id="2140104563">
      <w:bodyDiv w:val="1"/>
      <w:marLeft w:val="0"/>
      <w:marRight w:val="0"/>
      <w:marTop w:val="0"/>
      <w:marBottom w:val="0"/>
      <w:divBdr>
        <w:top w:val="none" w:sz="0" w:space="0" w:color="auto"/>
        <w:left w:val="none" w:sz="0" w:space="0" w:color="auto"/>
        <w:bottom w:val="none" w:sz="0" w:space="0" w:color="auto"/>
        <w:right w:val="none" w:sz="0" w:space="0" w:color="auto"/>
      </w:divBdr>
    </w:div>
    <w:div w:id="2140220516">
      <w:bodyDiv w:val="1"/>
      <w:marLeft w:val="0"/>
      <w:marRight w:val="0"/>
      <w:marTop w:val="0"/>
      <w:marBottom w:val="0"/>
      <w:divBdr>
        <w:top w:val="none" w:sz="0" w:space="0" w:color="auto"/>
        <w:left w:val="none" w:sz="0" w:space="0" w:color="auto"/>
        <w:bottom w:val="none" w:sz="0" w:space="0" w:color="auto"/>
        <w:right w:val="none" w:sz="0" w:space="0" w:color="auto"/>
      </w:divBdr>
    </w:div>
    <w:div w:id="2140220540">
      <w:bodyDiv w:val="1"/>
      <w:marLeft w:val="0"/>
      <w:marRight w:val="0"/>
      <w:marTop w:val="0"/>
      <w:marBottom w:val="0"/>
      <w:divBdr>
        <w:top w:val="none" w:sz="0" w:space="0" w:color="auto"/>
        <w:left w:val="none" w:sz="0" w:space="0" w:color="auto"/>
        <w:bottom w:val="none" w:sz="0" w:space="0" w:color="auto"/>
        <w:right w:val="none" w:sz="0" w:space="0" w:color="auto"/>
      </w:divBdr>
    </w:div>
    <w:div w:id="2140369703">
      <w:bodyDiv w:val="1"/>
      <w:marLeft w:val="0"/>
      <w:marRight w:val="0"/>
      <w:marTop w:val="0"/>
      <w:marBottom w:val="0"/>
      <w:divBdr>
        <w:top w:val="none" w:sz="0" w:space="0" w:color="auto"/>
        <w:left w:val="none" w:sz="0" w:space="0" w:color="auto"/>
        <w:bottom w:val="none" w:sz="0" w:space="0" w:color="auto"/>
        <w:right w:val="none" w:sz="0" w:space="0" w:color="auto"/>
      </w:divBdr>
    </w:div>
    <w:div w:id="2140411597">
      <w:bodyDiv w:val="1"/>
      <w:marLeft w:val="0"/>
      <w:marRight w:val="0"/>
      <w:marTop w:val="0"/>
      <w:marBottom w:val="0"/>
      <w:divBdr>
        <w:top w:val="none" w:sz="0" w:space="0" w:color="auto"/>
        <w:left w:val="none" w:sz="0" w:space="0" w:color="auto"/>
        <w:bottom w:val="none" w:sz="0" w:space="0" w:color="auto"/>
        <w:right w:val="none" w:sz="0" w:space="0" w:color="auto"/>
      </w:divBdr>
    </w:div>
    <w:div w:id="2140414187">
      <w:bodyDiv w:val="1"/>
      <w:marLeft w:val="0"/>
      <w:marRight w:val="0"/>
      <w:marTop w:val="0"/>
      <w:marBottom w:val="0"/>
      <w:divBdr>
        <w:top w:val="none" w:sz="0" w:space="0" w:color="auto"/>
        <w:left w:val="none" w:sz="0" w:space="0" w:color="auto"/>
        <w:bottom w:val="none" w:sz="0" w:space="0" w:color="auto"/>
        <w:right w:val="none" w:sz="0" w:space="0" w:color="auto"/>
      </w:divBdr>
    </w:div>
    <w:div w:id="2140414202">
      <w:bodyDiv w:val="1"/>
      <w:marLeft w:val="0"/>
      <w:marRight w:val="0"/>
      <w:marTop w:val="0"/>
      <w:marBottom w:val="0"/>
      <w:divBdr>
        <w:top w:val="none" w:sz="0" w:space="0" w:color="auto"/>
        <w:left w:val="none" w:sz="0" w:space="0" w:color="auto"/>
        <w:bottom w:val="none" w:sz="0" w:space="0" w:color="auto"/>
        <w:right w:val="none" w:sz="0" w:space="0" w:color="auto"/>
      </w:divBdr>
    </w:div>
    <w:div w:id="2140565116">
      <w:bodyDiv w:val="1"/>
      <w:marLeft w:val="0"/>
      <w:marRight w:val="0"/>
      <w:marTop w:val="0"/>
      <w:marBottom w:val="0"/>
      <w:divBdr>
        <w:top w:val="none" w:sz="0" w:space="0" w:color="auto"/>
        <w:left w:val="none" w:sz="0" w:space="0" w:color="auto"/>
        <w:bottom w:val="none" w:sz="0" w:space="0" w:color="auto"/>
        <w:right w:val="none" w:sz="0" w:space="0" w:color="auto"/>
      </w:divBdr>
    </w:div>
    <w:div w:id="2140686126">
      <w:bodyDiv w:val="1"/>
      <w:marLeft w:val="0"/>
      <w:marRight w:val="0"/>
      <w:marTop w:val="0"/>
      <w:marBottom w:val="0"/>
      <w:divBdr>
        <w:top w:val="none" w:sz="0" w:space="0" w:color="auto"/>
        <w:left w:val="none" w:sz="0" w:space="0" w:color="auto"/>
        <w:bottom w:val="none" w:sz="0" w:space="0" w:color="auto"/>
        <w:right w:val="none" w:sz="0" w:space="0" w:color="auto"/>
      </w:divBdr>
    </w:div>
    <w:div w:id="2140754674">
      <w:bodyDiv w:val="1"/>
      <w:marLeft w:val="0"/>
      <w:marRight w:val="0"/>
      <w:marTop w:val="0"/>
      <w:marBottom w:val="0"/>
      <w:divBdr>
        <w:top w:val="none" w:sz="0" w:space="0" w:color="auto"/>
        <w:left w:val="none" w:sz="0" w:space="0" w:color="auto"/>
        <w:bottom w:val="none" w:sz="0" w:space="0" w:color="auto"/>
        <w:right w:val="none" w:sz="0" w:space="0" w:color="auto"/>
      </w:divBdr>
    </w:div>
    <w:div w:id="2140875050">
      <w:bodyDiv w:val="1"/>
      <w:marLeft w:val="0"/>
      <w:marRight w:val="0"/>
      <w:marTop w:val="0"/>
      <w:marBottom w:val="0"/>
      <w:divBdr>
        <w:top w:val="none" w:sz="0" w:space="0" w:color="auto"/>
        <w:left w:val="none" w:sz="0" w:space="0" w:color="auto"/>
        <w:bottom w:val="none" w:sz="0" w:space="0" w:color="auto"/>
        <w:right w:val="none" w:sz="0" w:space="0" w:color="auto"/>
      </w:divBdr>
    </w:div>
    <w:div w:id="2140878791">
      <w:bodyDiv w:val="1"/>
      <w:marLeft w:val="0"/>
      <w:marRight w:val="0"/>
      <w:marTop w:val="0"/>
      <w:marBottom w:val="0"/>
      <w:divBdr>
        <w:top w:val="none" w:sz="0" w:space="0" w:color="auto"/>
        <w:left w:val="none" w:sz="0" w:space="0" w:color="auto"/>
        <w:bottom w:val="none" w:sz="0" w:space="0" w:color="auto"/>
        <w:right w:val="none" w:sz="0" w:space="0" w:color="auto"/>
      </w:divBdr>
    </w:div>
    <w:div w:id="2141224181">
      <w:bodyDiv w:val="1"/>
      <w:marLeft w:val="0"/>
      <w:marRight w:val="0"/>
      <w:marTop w:val="0"/>
      <w:marBottom w:val="0"/>
      <w:divBdr>
        <w:top w:val="none" w:sz="0" w:space="0" w:color="auto"/>
        <w:left w:val="none" w:sz="0" w:space="0" w:color="auto"/>
        <w:bottom w:val="none" w:sz="0" w:space="0" w:color="auto"/>
        <w:right w:val="none" w:sz="0" w:space="0" w:color="auto"/>
      </w:divBdr>
    </w:div>
    <w:div w:id="2141266086">
      <w:bodyDiv w:val="1"/>
      <w:marLeft w:val="0"/>
      <w:marRight w:val="0"/>
      <w:marTop w:val="0"/>
      <w:marBottom w:val="0"/>
      <w:divBdr>
        <w:top w:val="none" w:sz="0" w:space="0" w:color="auto"/>
        <w:left w:val="none" w:sz="0" w:space="0" w:color="auto"/>
        <w:bottom w:val="none" w:sz="0" w:space="0" w:color="auto"/>
        <w:right w:val="none" w:sz="0" w:space="0" w:color="auto"/>
      </w:divBdr>
    </w:div>
    <w:div w:id="2141336888">
      <w:bodyDiv w:val="1"/>
      <w:marLeft w:val="0"/>
      <w:marRight w:val="0"/>
      <w:marTop w:val="0"/>
      <w:marBottom w:val="0"/>
      <w:divBdr>
        <w:top w:val="none" w:sz="0" w:space="0" w:color="auto"/>
        <w:left w:val="none" w:sz="0" w:space="0" w:color="auto"/>
        <w:bottom w:val="none" w:sz="0" w:space="0" w:color="auto"/>
        <w:right w:val="none" w:sz="0" w:space="0" w:color="auto"/>
      </w:divBdr>
    </w:div>
    <w:div w:id="2141412886">
      <w:bodyDiv w:val="1"/>
      <w:marLeft w:val="0"/>
      <w:marRight w:val="0"/>
      <w:marTop w:val="0"/>
      <w:marBottom w:val="0"/>
      <w:divBdr>
        <w:top w:val="none" w:sz="0" w:space="0" w:color="auto"/>
        <w:left w:val="none" w:sz="0" w:space="0" w:color="auto"/>
        <w:bottom w:val="none" w:sz="0" w:space="0" w:color="auto"/>
        <w:right w:val="none" w:sz="0" w:space="0" w:color="auto"/>
      </w:divBdr>
    </w:div>
    <w:div w:id="2141413837">
      <w:bodyDiv w:val="1"/>
      <w:marLeft w:val="0"/>
      <w:marRight w:val="0"/>
      <w:marTop w:val="0"/>
      <w:marBottom w:val="0"/>
      <w:divBdr>
        <w:top w:val="none" w:sz="0" w:space="0" w:color="auto"/>
        <w:left w:val="none" w:sz="0" w:space="0" w:color="auto"/>
        <w:bottom w:val="none" w:sz="0" w:space="0" w:color="auto"/>
        <w:right w:val="none" w:sz="0" w:space="0" w:color="auto"/>
      </w:divBdr>
    </w:div>
    <w:div w:id="2141529216">
      <w:bodyDiv w:val="1"/>
      <w:marLeft w:val="0"/>
      <w:marRight w:val="0"/>
      <w:marTop w:val="0"/>
      <w:marBottom w:val="0"/>
      <w:divBdr>
        <w:top w:val="none" w:sz="0" w:space="0" w:color="auto"/>
        <w:left w:val="none" w:sz="0" w:space="0" w:color="auto"/>
        <w:bottom w:val="none" w:sz="0" w:space="0" w:color="auto"/>
        <w:right w:val="none" w:sz="0" w:space="0" w:color="auto"/>
      </w:divBdr>
    </w:div>
    <w:div w:id="2141607350">
      <w:bodyDiv w:val="1"/>
      <w:marLeft w:val="0"/>
      <w:marRight w:val="0"/>
      <w:marTop w:val="0"/>
      <w:marBottom w:val="0"/>
      <w:divBdr>
        <w:top w:val="none" w:sz="0" w:space="0" w:color="auto"/>
        <w:left w:val="none" w:sz="0" w:space="0" w:color="auto"/>
        <w:bottom w:val="none" w:sz="0" w:space="0" w:color="auto"/>
        <w:right w:val="none" w:sz="0" w:space="0" w:color="auto"/>
      </w:divBdr>
    </w:div>
    <w:div w:id="2141653223">
      <w:bodyDiv w:val="1"/>
      <w:marLeft w:val="0"/>
      <w:marRight w:val="0"/>
      <w:marTop w:val="0"/>
      <w:marBottom w:val="0"/>
      <w:divBdr>
        <w:top w:val="none" w:sz="0" w:space="0" w:color="auto"/>
        <w:left w:val="none" w:sz="0" w:space="0" w:color="auto"/>
        <w:bottom w:val="none" w:sz="0" w:space="0" w:color="auto"/>
        <w:right w:val="none" w:sz="0" w:space="0" w:color="auto"/>
      </w:divBdr>
    </w:div>
    <w:div w:id="2141722449">
      <w:bodyDiv w:val="1"/>
      <w:marLeft w:val="0"/>
      <w:marRight w:val="0"/>
      <w:marTop w:val="0"/>
      <w:marBottom w:val="0"/>
      <w:divBdr>
        <w:top w:val="none" w:sz="0" w:space="0" w:color="auto"/>
        <w:left w:val="none" w:sz="0" w:space="0" w:color="auto"/>
        <w:bottom w:val="none" w:sz="0" w:space="0" w:color="auto"/>
        <w:right w:val="none" w:sz="0" w:space="0" w:color="auto"/>
      </w:divBdr>
    </w:div>
    <w:div w:id="2141801299">
      <w:bodyDiv w:val="1"/>
      <w:marLeft w:val="0"/>
      <w:marRight w:val="0"/>
      <w:marTop w:val="0"/>
      <w:marBottom w:val="0"/>
      <w:divBdr>
        <w:top w:val="none" w:sz="0" w:space="0" w:color="auto"/>
        <w:left w:val="none" w:sz="0" w:space="0" w:color="auto"/>
        <w:bottom w:val="none" w:sz="0" w:space="0" w:color="auto"/>
        <w:right w:val="none" w:sz="0" w:space="0" w:color="auto"/>
      </w:divBdr>
    </w:div>
    <w:div w:id="2141917044">
      <w:bodyDiv w:val="1"/>
      <w:marLeft w:val="0"/>
      <w:marRight w:val="0"/>
      <w:marTop w:val="0"/>
      <w:marBottom w:val="0"/>
      <w:divBdr>
        <w:top w:val="none" w:sz="0" w:space="0" w:color="auto"/>
        <w:left w:val="none" w:sz="0" w:space="0" w:color="auto"/>
        <w:bottom w:val="none" w:sz="0" w:space="0" w:color="auto"/>
        <w:right w:val="none" w:sz="0" w:space="0" w:color="auto"/>
      </w:divBdr>
    </w:div>
    <w:div w:id="2141990969">
      <w:bodyDiv w:val="1"/>
      <w:marLeft w:val="0"/>
      <w:marRight w:val="0"/>
      <w:marTop w:val="0"/>
      <w:marBottom w:val="0"/>
      <w:divBdr>
        <w:top w:val="none" w:sz="0" w:space="0" w:color="auto"/>
        <w:left w:val="none" w:sz="0" w:space="0" w:color="auto"/>
        <w:bottom w:val="none" w:sz="0" w:space="0" w:color="auto"/>
        <w:right w:val="none" w:sz="0" w:space="0" w:color="auto"/>
      </w:divBdr>
    </w:div>
    <w:div w:id="2142065557">
      <w:bodyDiv w:val="1"/>
      <w:marLeft w:val="0"/>
      <w:marRight w:val="0"/>
      <w:marTop w:val="0"/>
      <w:marBottom w:val="0"/>
      <w:divBdr>
        <w:top w:val="none" w:sz="0" w:space="0" w:color="auto"/>
        <w:left w:val="none" w:sz="0" w:space="0" w:color="auto"/>
        <w:bottom w:val="none" w:sz="0" w:space="0" w:color="auto"/>
        <w:right w:val="none" w:sz="0" w:space="0" w:color="auto"/>
      </w:divBdr>
    </w:div>
    <w:div w:id="2142070904">
      <w:bodyDiv w:val="1"/>
      <w:marLeft w:val="0"/>
      <w:marRight w:val="0"/>
      <w:marTop w:val="0"/>
      <w:marBottom w:val="0"/>
      <w:divBdr>
        <w:top w:val="none" w:sz="0" w:space="0" w:color="auto"/>
        <w:left w:val="none" w:sz="0" w:space="0" w:color="auto"/>
        <w:bottom w:val="none" w:sz="0" w:space="0" w:color="auto"/>
        <w:right w:val="none" w:sz="0" w:space="0" w:color="auto"/>
      </w:divBdr>
    </w:div>
    <w:div w:id="2142072775">
      <w:bodyDiv w:val="1"/>
      <w:marLeft w:val="0"/>
      <w:marRight w:val="0"/>
      <w:marTop w:val="0"/>
      <w:marBottom w:val="0"/>
      <w:divBdr>
        <w:top w:val="none" w:sz="0" w:space="0" w:color="auto"/>
        <w:left w:val="none" w:sz="0" w:space="0" w:color="auto"/>
        <w:bottom w:val="none" w:sz="0" w:space="0" w:color="auto"/>
        <w:right w:val="none" w:sz="0" w:space="0" w:color="auto"/>
      </w:divBdr>
    </w:div>
    <w:div w:id="2142074467">
      <w:bodyDiv w:val="1"/>
      <w:marLeft w:val="0"/>
      <w:marRight w:val="0"/>
      <w:marTop w:val="0"/>
      <w:marBottom w:val="0"/>
      <w:divBdr>
        <w:top w:val="none" w:sz="0" w:space="0" w:color="auto"/>
        <w:left w:val="none" w:sz="0" w:space="0" w:color="auto"/>
        <w:bottom w:val="none" w:sz="0" w:space="0" w:color="auto"/>
        <w:right w:val="none" w:sz="0" w:space="0" w:color="auto"/>
      </w:divBdr>
    </w:div>
    <w:div w:id="2142111555">
      <w:bodyDiv w:val="1"/>
      <w:marLeft w:val="0"/>
      <w:marRight w:val="0"/>
      <w:marTop w:val="0"/>
      <w:marBottom w:val="0"/>
      <w:divBdr>
        <w:top w:val="none" w:sz="0" w:space="0" w:color="auto"/>
        <w:left w:val="none" w:sz="0" w:space="0" w:color="auto"/>
        <w:bottom w:val="none" w:sz="0" w:space="0" w:color="auto"/>
        <w:right w:val="none" w:sz="0" w:space="0" w:color="auto"/>
      </w:divBdr>
    </w:div>
    <w:div w:id="2142112733">
      <w:bodyDiv w:val="1"/>
      <w:marLeft w:val="0"/>
      <w:marRight w:val="0"/>
      <w:marTop w:val="0"/>
      <w:marBottom w:val="0"/>
      <w:divBdr>
        <w:top w:val="none" w:sz="0" w:space="0" w:color="auto"/>
        <w:left w:val="none" w:sz="0" w:space="0" w:color="auto"/>
        <w:bottom w:val="none" w:sz="0" w:space="0" w:color="auto"/>
        <w:right w:val="none" w:sz="0" w:space="0" w:color="auto"/>
      </w:divBdr>
    </w:div>
    <w:div w:id="2142191328">
      <w:bodyDiv w:val="1"/>
      <w:marLeft w:val="0"/>
      <w:marRight w:val="0"/>
      <w:marTop w:val="0"/>
      <w:marBottom w:val="0"/>
      <w:divBdr>
        <w:top w:val="none" w:sz="0" w:space="0" w:color="auto"/>
        <w:left w:val="none" w:sz="0" w:space="0" w:color="auto"/>
        <w:bottom w:val="none" w:sz="0" w:space="0" w:color="auto"/>
        <w:right w:val="none" w:sz="0" w:space="0" w:color="auto"/>
      </w:divBdr>
    </w:div>
    <w:div w:id="2142336314">
      <w:bodyDiv w:val="1"/>
      <w:marLeft w:val="0"/>
      <w:marRight w:val="0"/>
      <w:marTop w:val="0"/>
      <w:marBottom w:val="0"/>
      <w:divBdr>
        <w:top w:val="none" w:sz="0" w:space="0" w:color="auto"/>
        <w:left w:val="none" w:sz="0" w:space="0" w:color="auto"/>
        <w:bottom w:val="none" w:sz="0" w:space="0" w:color="auto"/>
        <w:right w:val="none" w:sz="0" w:space="0" w:color="auto"/>
      </w:divBdr>
    </w:div>
    <w:div w:id="2142336771">
      <w:bodyDiv w:val="1"/>
      <w:marLeft w:val="0"/>
      <w:marRight w:val="0"/>
      <w:marTop w:val="0"/>
      <w:marBottom w:val="0"/>
      <w:divBdr>
        <w:top w:val="none" w:sz="0" w:space="0" w:color="auto"/>
        <w:left w:val="none" w:sz="0" w:space="0" w:color="auto"/>
        <w:bottom w:val="none" w:sz="0" w:space="0" w:color="auto"/>
        <w:right w:val="none" w:sz="0" w:space="0" w:color="auto"/>
      </w:divBdr>
    </w:div>
    <w:div w:id="2142337896">
      <w:bodyDiv w:val="1"/>
      <w:marLeft w:val="0"/>
      <w:marRight w:val="0"/>
      <w:marTop w:val="0"/>
      <w:marBottom w:val="0"/>
      <w:divBdr>
        <w:top w:val="none" w:sz="0" w:space="0" w:color="auto"/>
        <w:left w:val="none" w:sz="0" w:space="0" w:color="auto"/>
        <w:bottom w:val="none" w:sz="0" w:space="0" w:color="auto"/>
        <w:right w:val="none" w:sz="0" w:space="0" w:color="auto"/>
      </w:divBdr>
    </w:div>
    <w:div w:id="2142379617">
      <w:bodyDiv w:val="1"/>
      <w:marLeft w:val="0"/>
      <w:marRight w:val="0"/>
      <w:marTop w:val="0"/>
      <w:marBottom w:val="0"/>
      <w:divBdr>
        <w:top w:val="none" w:sz="0" w:space="0" w:color="auto"/>
        <w:left w:val="none" w:sz="0" w:space="0" w:color="auto"/>
        <w:bottom w:val="none" w:sz="0" w:space="0" w:color="auto"/>
        <w:right w:val="none" w:sz="0" w:space="0" w:color="auto"/>
      </w:divBdr>
    </w:div>
    <w:div w:id="2142455845">
      <w:bodyDiv w:val="1"/>
      <w:marLeft w:val="0"/>
      <w:marRight w:val="0"/>
      <w:marTop w:val="0"/>
      <w:marBottom w:val="0"/>
      <w:divBdr>
        <w:top w:val="none" w:sz="0" w:space="0" w:color="auto"/>
        <w:left w:val="none" w:sz="0" w:space="0" w:color="auto"/>
        <w:bottom w:val="none" w:sz="0" w:space="0" w:color="auto"/>
        <w:right w:val="none" w:sz="0" w:space="0" w:color="auto"/>
      </w:divBdr>
    </w:div>
    <w:div w:id="2142460864">
      <w:bodyDiv w:val="1"/>
      <w:marLeft w:val="0"/>
      <w:marRight w:val="0"/>
      <w:marTop w:val="0"/>
      <w:marBottom w:val="0"/>
      <w:divBdr>
        <w:top w:val="none" w:sz="0" w:space="0" w:color="auto"/>
        <w:left w:val="none" w:sz="0" w:space="0" w:color="auto"/>
        <w:bottom w:val="none" w:sz="0" w:space="0" w:color="auto"/>
        <w:right w:val="none" w:sz="0" w:space="0" w:color="auto"/>
      </w:divBdr>
    </w:div>
    <w:div w:id="2142653282">
      <w:bodyDiv w:val="1"/>
      <w:marLeft w:val="0"/>
      <w:marRight w:val="0"/>
      <w:marTop w:val="0"/>
      <w:marBottom w:val="0"/>
      <w:divBdr>
        <w:top w:val="none" w:sz="0" w:space="0" w:color="auto"/>
        <w:left w:val="none" w:sz="0" w:space="0" w:color="auto"/>
        <w:bottom w:val="none" w:sz="0" w:space="0" w:color="auto"/>
        <w:right w:val="none" w:sz="0" w:space="0" w:color="auto"/>
      </w:divBdr>
    </w:div>
    <w:div w:id="2142770149">
      <w:bodyDiv w:val="1"/>
      <w:marLeft w:val="0"/>
      <w:marRight w:val="0"/>
      <w:marTop w:val="0"/>
      <w:marBottom w:val="0"/>
      <w:divBdr>
        <w:top w:val="none" w:sz="0" w:space="0" w:color="auto"/>
        <w:left w:val="none" w:sz="0" w:space="0" w:color="auto"/>
        <w:bottom w:val="none" w:sz="0" w:space="0" w:color="auto"/>
        <w:right w:val="none" w:sz="0" w:space="0" w:color="auto"/>
      </w:divBdr>
    </w:div>
    <w:div w:id="2142795893">
      <w:bodyDiv w:val="1"/>
      <w:marLeft w:val="0"/>
      <w:marRight w:val="0"/>
      <w:marTop w:val="0"/>
      <w:marBottom w:val="0"/>
      <w:divBdr>
        <w:top w:val="none" w:sz="0" w:space="0" w:color="auto"/>
        <w:left w:val="none" w:sz="0" w:space="0" w:color="auto"/>
        <w:bottom w:val="none" w:sz="0" w:space="0" w:color="auto"/>
        <w:right w:val="none" w:sz="0" w:space="0" w:color="auto"/>
      </w:divBdr>
    </w:div>
    <w:div w:id="2142964720">
      <w:bodyDiv w:val="1"/>
      <w:marLeft w:val="0"/>
      <w:marRight w:val="0"/>
      <w:marTop w:val="0"/>
      <w:marBottom w:val="0"/>
      <w:divBdr>
        <w:top w:val="none" w:sz="0" w:space="0" w:color="auto"/>
        <w:left w:val="none" w:sz="0" w:space="0" w:color="auto"/>
        <w:bottom w:val="none" w:sz="0" w:space="0" w:color="auto"/>
        <w:right w:val="none" w:sz="0" w:space="0" w:color="auto"/>
      </w:divBdr>
    </w:div>
    <w:div w:id="2143035539">
      <w:bodyDiv w:val="1"/>
      <w:marLeft w:val="0"/>
      <w:marRight w:val="0"/>
      <w:marTop w:val="0"/>
      <w:marBottom w:val="0"/>
      <w:divBdr>
        <w:top w:val="none" w:sz="0" w:space="0" w:color="auto"/>
        <w:left w:val="none" w:sz="0" w:space="0" w:color="auto"/>
        <w:bottom w:val="none" w:sz="0" w:space="0" w:color="auto"/>
        <w:right w:val="none" w:sz="0" w:space="0" w:color="auto"/>
      </w:divBdr>
    </w:div>
    <w:div w:id="2143040497">
      <w:bodyDiv w:val="1"/>
      <w:marLeft w:val="0"/>
      <w:marRight w:val="0"/>
      <w:marTop w:val="0"/>
      <w:marBottom w:val="0"/>
      <w:divBdr>
        <w:top w:val="none" w:sz="0" w:space="0" w:color="auto"/>
        <w:left w:val="none" w:sz="0" w:space="0" w:color="auto"/>
        <w:bottom w:val="none" w:sz="0" w:space="0" w:color="auto"/>
        <w:right w:val="none" w:sz="0" w:space="0" w:color="auto"/>
      </w:divBdr>
    </w:div>
    <w:div w:id="2143106901">
      <w:bodyDiv w:val="1"/>
      <w:marLeft w:val="0"/>
      <w:marRight w:val="0"/>
      <w:marTop w:val="0"/>
      <w:marBottom w:val="0"/>
      <w:divBdr>
        <w:top w:val="none" w:sz="0" w:space="0" w:color="auto"/>
        <w:left w:val="none" w:sz="0" w:space="0" w:color="auto"/>
        <w:bottom w:val="none" w:sz="0" w:space="0" w:color="auto"/>
        <w:right w:val="none" w:sz="0" w:space="0" w:color="auto"/>
      </w:divBdr>
    </w:div>
    <w:div w:id="2143107162">
      <w:bodyDiv w:val="1"/>
      <w:marLeft w:val="0"/>
      <w:marRight w:val="0"/>
      <w:marTop w:val="0"/>
      <w:marBottom w:val="0"/>
      <w:divBdr>
        <w:top w:val="none" w:sz="0" w:space="0" w:color="auto"/>
        <w:left w:val="none" w:sz="0" w:space="0" w:color="auto"/>
        <w:bottom w:val="none" w:sz="0" w:space="0" w:color="auto"/>
        <w:right w:val="none" w:sz="0" w:space="0" w:color="auto"/>
      </w:divBdr>
    </w:div>
    <w:div w:id="2143113540">
      <w:bodyDiv w:val="1"/>
      <w:marLeft w:val="0"/>
      <w:marRight w:val="0"/>
      <w:marTop w:val="0"/>
      <w:marBottom w:val="0"/>
      <w:divBdr>
        <w:top w:val="none" w:sz="0" w:space="0" w:color="auto"/>
        <w:left w:val="none" w:sz="0" w:space="0" w:color="auto"/>
        <w:bottom w:val="none" w:sz="0" w:space="0" w:color="auto"/>
        <w:right w:val="none" w:sz="0" w:space="0" w:color="auto"/>
      </w:divBdr>
    </w:div>
    <w:div w:id="2143182248">
      <w:bodyDiv w:val="1"/>
      <w:marLeft w:val="0"/>
      <w:marRight w:val="0"/>
      <w:marTop w:val="0"/>
      <w:marBottom w:val="0"/>
      <w:divBdr>
        <w:top w:val="none" w:sz="0" w:space="0" w:color="auto"/>
        <w:left w:val="none" w:sz="0" w:space="0" w:color="auto"/>
        <w:bottom w:val="none" w:sz="0" w:space="0" w:color="auto"/>
        <w:right w:val="none" w:sz="0" w:space="0" w:color="auto"/>
      </w:divBdr>
    </w:div>
    <w:div w:id="2143226257">
      <w:bodyDiv w:val="1"/>
      <w:marLeft w:val="0"/>
      <w:marRight w:val="0"/>
      <w:marTop w:val="0"/>
      <w:marBottom w:val="0"/>
      <w:divBdr>
        <w:top w:val="none" w:sz="0" w:space="0" w:color="auto"/>
        <w:left w:val="none" w:sz="0" w:space="0" w:color="auto"/>
        <w:bottom w:val="none" w:sz="0" w:space="0" w:color="auto"/>
        <w:right w:val="none" w:sz="0" w:space="0" w:color="auto"/>
      </w:divBdr>
    </w:div>
    <w:div w:id="2143233027">
      <w:bodyDiv w:val="1"/>
      <w:marLeft w:val="0"/>
      <w:marRight w:val="0"/>
      <w:marTop w:val="0"/>
      <w:marBottom w:val="0"/>
      <w:divBdr>
        <w:top w:val="none" w:sz="0" w:space="0" w:color="auto"/>
        <w:left w:val="none" w:sz="0" w:space="0" w:color="auto"/>
        <w:bottom w:val="none" w:sz="0" w:space="0" w:color="auto"/>
        <w:right w:val="none" w:sz="0" w:space="0" w:color="auto"/>
      </w:divBdr>
    </w:div>
    <w:div w:id="2143306956">
      <w:bodyDiv w:val="1"/>
      <w:marLeft w:val="0"/>
      <w:marRight w:val="0"/>
      <w:marTop w:val="0"/>
      <w:marBottom w:val="0"/>
      <w:divBdr>
        <w:top w:val="none" w:sz="0" w:space="0" w:color="auto"/>
        <w:left w:val="none" w:sz="0" w:space="0" w:color="auto"/>
        <w:bottom w:val="none" w:sz="0" w:space="0" w:color="auto"/>
        <w:right w:val="none" w:sz="0" w:space="0" w:color="auto"/>
      </w:divBdr>
    </w:div>
    <w:div w:id="2143307842">
      <w:bodyDiv w:val="1"/>
      <w:marLeft w:val="0"/>
      <w:marRight w:val="0"/>
      <w:marTop w:val="0"/>
      <w:marBottom w:val="0"/>
      <w:divBdr>
        <w:top w:val="none" w:sz="0" w:space="0" w:color="auto"/>
        <w:left w:val="none" w:sz="0" w:space="0" w:color="auto"/>
        <w:bottom w:val="none" w:sz="0" w:space="0" w:color="auto"/>
        <w:right w:val="none" w:sz="0" w:space="0" w:color="auto"/>
      </w:divBdr>
    </w:div>
    <w:div w:id="2143309027">
      <w:bodyDiv w:val="1"/>
      <w:marLeft w:val="0"/>
      <w:marRight w:val="0"/>
      <w:marTop w:val="0"/>
      <w:marBottom w:val="0"/>
      <w:divBdr>
        <w:top w:val="none" w:sz="0" w:space="0" w:color="auto"/>
        <w:left w:val="none" w:sz="0" w:space="0" w:color="auto"/>
        <w:bottom w:val="none" w:sz="0" w:space="0" w:color="auto"/>
        <w:right w:val="none" w:sz="0" w:space="0" w:color="auto"/>
      </w:divBdr>
    </w:div>
    <w:div w:id="2143379602">
      <w:bodyDiv w:val="1"/>
      <w:marLeft w:val="0"/>
      <w:marRight w:val="0"/>
      <w:marTop w:val="0"/>
      <w:marBottom w:val="0"/>
      <w:divBdr>
        <w:top w:val="none" w:sz="0" w:space="0" w:color="auto"/>
        <w:left w:val="none" w:sz="0" w:space="0" w:color="auto"/>
        <w:bottom w:val="none" w:sz="0" w:space="0" w:color="auto"/>
        <w:right w:val="none" w:sz="0" w:space="0" w:color="auto"/>
      </w:divBdr>
    </w:div>
    <w:div w:id="2143384663">
      <w:bodyDiv w:val="1"/>
      <w:marLeft w:val="0"/>
      <w:marRight w:val="0"/>
      <w:marTop w:val="0"/>
      <w:marBottom w:val="0"/>
      <w:divBdr>
        <w:top w:val="none" w:sz="0" w:space="0" w:color="auto"/>
        <w:left w:val="none" w:sz="0" w:space="0" w:color="auto"/>
        <w:bottom w:val="none" w:sz="0" w:space="0" w:color="auto"/>
        <w:right w:val="none" w:sz="0" w:space="0" w:color="auto"/>
      </w:divBdr>
    </w:div>
    <w:div w:id="2143452446">
      <w:bodyDiv w:val="1"/>
      <w:marLeft w:val="0"/>
      <w:marRight w:val="0"/>
      <w:marTop w:val="0"/>
      <w:marBottom w:val="0"/>
      <w:divBdr>
        <w:top w:val="none" w:sz="0" w:space="0" w:color="auto"/>
        <w:left w:val="none" w:sz="0" w:space="0" w:color="auto"/>
        <w:bottom w:val="none" w:sz="0" w:space="0" w:color="auto"/>
        <w:right w:val="none" w:sz="0" w:space="0" w:color="auto"/>
      </w:divBdr>
    </w:div>
    <w:div w:id="2143644469">
      <w:bodyDiv w:val="1"/>
      <w:marLeft w:val="0"/>
      <w:marRight w:val="0"/>
      <w:marTop w:val="0"/>
      <w:marBottom w:val="0"/>
      <w:divBdr>
        <w:top w:val="none" w:sz="0" w:space="0" w:color="auto"/>
        <w:left w:val="none" w:sz="0" w:space="0" w:color="auto"/>
        <w:bottom w:val="none" w:sz="0" w:space="0" w:color="auto"/>
        <w:right w:val="none" w:sz="0" w:space="0" w:color="auto"/>
      </w:divBdr>
    </w:div>
    <w:div w:id="2143648151">
      <w:bodyDiv w:val="1"/>
      <w:marLeft w:val="0"/>
      <w:marRight w:val="0"/>
      <w:marTop w:val="0"/>
      <w:marBottom w:val="0"/>
      <w:divBdr>
        <w:top w:val="none" w:sz="0" w:space="0" w:color="auto"/>
        <w:left w:val="none" w:sz="0" w:space="0" w:color="auto"/>
        <w:bottom w:val="none" w:sz="0" w:space="0" w:color="auto"/>
        <w:right w:val="none" w:sz="0" w:space="0" w:color="auto"/>
      </w:divBdr>
    </w:div>
    <w:div w:id="2143689073">
      <w:bodyDiv w:val="1"/>
      <w:marLeft w:val="0"/>
      <w:marRight w:val="0"/>
      <w:marTop w:val="0"/>
      <w:marBottom w:val="0"/>
      <w:divBdr>
        <w:top w:val="none" w:sz="0" w:space="0" w:color="auto"/>
        <w:left w:val="none" w:sz="0" w:space="0" w:color="auto"/>
        <w:bottom w:val="none" w:sz="0" w:space="0" w:color="auto"/>
        <w:right w:val="none" w:sz="0" w:space="0" w:color="auto"/>
      </w:divBdr>
    </w:div>
    <w:div w:id="2143690595">
      <w:bodyDiv w:val="1"/>
      <w:marLeft w:val="0"/>
      <w:marRight w:val="0"/>
      <w:marTop w:val="0"/>
      <w:marBottom w:val="0"/>
      <w:divBdr>
        <w:top w:val="none" w:sz="0" w:space="0" w:color="auto"/>
        <w:left w:val="none" w:sz="0" w:space="0" w:color="auto"/>
        <w:bottom w:val="none" w:sz="0" w:space="0" w:color="auto"/>
        <w:right w:val="none" w:sz="0" w:space="0" w:color="auto"/>
      </w:divBdr>
    </w:div>
    <w:div w:id="2143694121">
      <w:bodyDiv w:val="1"/>
      <w:marLeft w:val="0"/>
      <w:marRight w:val="0"/>
      <w:marTop w:val="0"/>
      <w:marBottom w:val="0"/>
      <w:divBdr>
        <w:top w:val="none" w:sz="0" w:space="0" w:color="auto"/>
        <w:left w:val="none" w:sz="0" w:space="0" w:color="auto"/>
        <w:bottom w:val="none" w:sz="0" w:space="0" w:color="auto"/>
        <w:right w:val="none" w:sz="0" w:space="0" w:color="auto"/>
      </w:divBdr>
    </w:div>
    <w:div w:id="2143765685">
      <w:bodyDiv w:val="1"/>
      <w:marLeft w:val="0"/>
      <w:marRight w:val="0"/>
      <w:marTop w:val="0"/>
      <w:marBottom w:val="0"/>
      <w:divBdr>
        <w:top w:val="none" w:sz="0" w:space="0" w:color="auto"/>
        <w:left w:val="none" w:sz="0" w:space="0" w:color="auto"/>
        <w:bottom w:val="none" w:sz="0" w:space="0" w:color="auto"/>
        <w:right w:val="none" w:sz="0" w:space="0" w:color="auto"/>
      </w:divBdr>
    </w:div>
    <w:div w:id="2143838067">
      <w:bodyDiv w:val="1"/>
      <w:marLeft w:val="0"/>
      <w:marRight w:val="0"/>
      <w:marTop w:val="0"/>
      <w:marBottom w:val="0"/>
      <w:divBdr>
        <w:top w:val="none" w:sz="0" w:space="0" w:color="auto"/>
        <w:left w:val="none" w:sz="0" w:space="0" w:color="auto"/>
        <w:bottom w:val="none" w:sz="0" w:space="0" w:color="auto"/>
        <w:right w:val="none" w:sz="0" w:space="0" w:color="auto"/>
      </w:divBdr>
    </w:div>
    <w:div w:id="2143880430">
      <w:bodyDiv w:val="1"/>
      <w:marLeft w:val="0"/>
      <w:marRight w:val="0"/>
      <w:marTop w:val="0"/>
      <w:marBottom w:val="0"/>
      <w:divBdr>
        <w:top w:val="none" w:sz="0" w:space="0" w:color="auto"/>
        <w:left w:val="none" w:sz="0" w:space="0" w:color="auto"/>
        <w:bottom w:val="none" w:sz="0" w:space="0" w:color="auto"/>
        <w:right w:val="none" w:sz="0" w:space="0" w:color="auto"/>
      </w:divBdr>
    </w:div>
    <w:div w:id="2143888307">
      <w:bodyDiv w:val="1"/>
      <w:marLeft w:val="0"/>
      <w:marRight w:val="0"/>
      <w:marTop w:val="0"/>
      <w:marBottom w:val="0"/>
      <w:divBdr>
        <w:top w:val="none" w:sz="0" w:space="0" w:color="auto"/>
        <w:left w:val="none" w:sz="0" w:space="0" w:color="auto"/>
        <w:bottom w:val="none" w:sz="0" w:space="0" w:color="auto"/>
        <w:right w:val="none" w:sz="0" w:space="0" w:color="auto"/>
      </w:divBdr>
    </w:div>
    <w:div w:id="2144233603">
      <w:bodyDiv w:val="1"/>
      <w:marLeft w:val="0"/>
      <w:marRight w:val="0"/>
      <w:marTop w:val="0"/>
      <w:marBottom w:val="0"/>
      <w:divBdr>
        <w:top w:val="none" w:sz="0" w:space="0" w:color="auto"/>
        <w:left w:val="none" w:sz="0" w:space="0" w:color="auto"/>
        <w:bottom w:val="none" w:sz="0" w:space="0" w:color="auto"/>
        <w:right w:val="none" w:sz="0" w:space="0" w:color="auto"/>
      </w:divBdr>
    </w:div>
    <w:div w:id="2144302706">
      <w:bodyDiv w:val="1"/>
      <w:marLeft w:val="0"/>
      <w:marRight w:val="0"/>
      <w:marTop w:val="0"/>
      <w:marBottom w:val="0"/>
      <w:divBdr>
        <w:top w:val="none" w:sz="0" w:space="0" w:color="auto"/>
        <w:left w:val="none" w:sz="0" w:space="0" w:color="auto"/>
        <w:bottom w:val="none" w:sz="0" w:space="0" w:color="auto"/>
        <w:right w:val="none" w:sz="0" w:space="0" w:color="auto"/>
      </w:divBdr>
    </w:div>
    <w:div w:id="2144347091">
      <w:bodyDiv w:val="1"/>
      <w:marLeft w:val="0"/>
      <w:marRight w:val="0"/>
      <w:marTop w:val="0"/>
      <w:marBottom w:val="0"/>
      <w:divBdr>
        <w:top w:val="none" w:sz="0" w:space="0" w:color="auto"/>
        <w:left w:val="none" w:sz="0" w:space="0" w:color="auto"/>
        <w:bottom w:val="none" w:sz="0" w:space="0" w:color="auto"/>
        <w:right w:val="none" w:sz="0" w:space="0" w:color="auto"/>
      </w:divBdr>
    </w:div>
    <w:div w:id="2144493378">
      <w:bodyDiv w:val="1"/>
      <w:marLeft w:val="0"/>
      <w:marRight w:val="0"/>
      <w:marTop w:val="0"/>
      <w:marBottom w:val="0"/>
      <w:divBdr>
        <w:top w:val="none" w:sz="0" w:space="0" w:color="auto"/>
        <w:left w:val="none" w:sz="0" w:space="0" w:color="auto"/>
        <w:bottom w:val="none" w:sz="0" w:space="0" w:color="auto"/>
        <w:right w:val="none" w:sz="0" w:space="0" w:color="auto"/>
      </w:divBdr>
    </w:div>
    <w:div w:id="2144500493">
      <w:bodyDiv w:val="1"/>
      <w:marLeft w:val="0"/>
      <w:marRight w:val="0"/>
      <w:marTop w:val="0"/>
      <w:marBottom w:val="0"/>
      <w:divBdr>
        <w:top w:val="none" w:sz="0" w:space="0" w:color="auto"/>
        <w:left w:val="none" w:sz="0" w:space="0" w:color="auto"/>
        <w:bottom w:val="none" w:sz="0" w:space="0" w:color="auto"/>
        <w:right w:val="none" w:sz="0" w:space="0" w:color="auto"/>
      </w:divBdr>
    </w:div>
    <w:div w:id="2144620336">
      <w:bodyDiv w:val="1"/>
      <w:marLeft w:val="0"/>
      <w:marRight w:val="0"/>
      <w:marTop w:val="0"/>
      <w:marBottom w:val="0"/>
      <w:divBdr>
        <w:top w:val="none" w:sz="0" w:space="0" w:color="auto"/>
        <w:left w:val="none" w:sz="0" w:space="0" w:color="auto"/>
        <w:bottom w:val="none" w:sz="0" w:space="0" w:color="auto"/>
        <w:right w:val="none" w:sz="0" w:space="0" w:color="auto"/>
      </w:divBdr>
    </w:div>
    <w:div w:id="2144808118">
      <w:bodyDiv w:val="1"/>
      <w:marLeft w:val="0"/>
      <w:marRight w:val="0"/>
      <w:marTop w:val="0"/>
      <w:marBottom w:val="0"/>
      <w:divBdr>
        <w:top w:val="none" w:sz="0" w:space="0" w:color="auto"/>
        <w:left w:val="none" w:sz="0" w:space="0" w:color="auto"/>
        <w:bottom w:val="none" w:sz="0" w:space="0" w:color="auto"/>
        <w:right w:val="none" w:sz="0" w:space="0" w:color="auto"/>
      </w:divBdr>
    </w:div>
    <w:div w:id="2144879458">
      <w:bodyDiv w:val="1"/>
      <w:marLeft w:val="0"/>
      <w:marRight w:val="0"/>
      <w:marTop w:val="0"/>
      <w:marBottom w:val="0"/>
      <w:divBdr>
        <w:top w:val="none" w:sz="0" w:space="0" w:color="auto"/>
        <w:left w:val="none" w:sz="0" w:space="0" w:color="auto"/>
        <w:bottom w:val="none" w:sz="0" w:space="0" w:color="auto"/>
        <w:right w:val="none" w:sz="0" w:space="0" w:color="auto"/>
      </w:divBdr>
    </w:div>
    <w:div w:id="2145000219">
      <w:bodyDiv w:val="1"/>
      <w:marLeft w:val="0"/>
      <w:marRight w:val="0"/>
      <w:marTop w:val="0"/>
      <w:marBottom w:val="0"/>
      <w:divBdr>
        <w:top w:val="none" w:sz="0" w:space="0" w:color="auto"/>
        <w:left w:val="none" w:sz="0" w:space="0" w:color="auto"/>
        <w:bottom w:val="none" w:sz="0" w:space="0" w:color="auto"/>
        <w:right w:val="none" w:sz="0" w:space="0" w:color="auto"/>
      </w:divBdr>
    </w:div>
    <w:div w:id="2145005420">
      <w:bodyDiv w:val="1"/>
      <w:marLeft w:val="0"/>
      <w:marRight w:val="0"/>
      <w:marTop w:val="0"/>
      <w:marBottom w:val="0"/>
      <w:divBdr>
        <w:top w:val="none" w:sz="0" w:space="0" w:color="auto"/>
        <w:left w:val="none" w:sz="0" w:space="0" w:color="auto"/>
        <w:bottom w:val="none" w:sz="0" w:space="0" w:color="auto"/>
        <w:right w:val="none" w:sz="0" w:space="0" w:color="auto"/>
      </w:divBdr>
    </w:div>
    <w:div w:id="2145080633">
      <w:bodyDiv w:val="1"/>
      <w:marLeft w:val="0"/>
      <w:marRight w:val="0"/>
      <w:marTop w:val="0"/>
      <w:marBottom w:val="0"/>
      <w:divBdr>
        <w:top w:val="none" w:sz="0" w:space="0" w:color="auto"/>
        <w:left w:val="none" w:sz="0" w:space="0" w:color="auto"/>
        <w:bottom w:val="none" w:sz="0" w:space="0" w:color="auto"/>
        <w:right w:val="none" w:sz="0" w:space="0" w:color="auto"/>
      </w:divBdr>
    </w:div>
    <w:div w:id="2145156512">
      <w:bodyDiv w:val="1"/>
      <w:marLeft w:val="0"/>
      <w:marRight w:val="0"/>
      <w:marTop w:val="0"/>
      <w:marBottom w:val="0"/>
      <w:divBdr>
        <w:top w:val="none" w:sz="0" w:space="0" w:color="auto"/>
        <w:left w:val="none" w:sz="0" w:space="0" w:color="auto"/>
        <w:bottom w:val="none" w:sz="0" w:space="0" w:color="auto"/>
        <w:right w:val="none" w:sz="0" w:space="0" w:color="auto"/>
      </w:divBdr>
    </w:div>
    <w:div w:id="2145350839">
      <w:bodyDiv w:val="1"/>
      <w:marLeft w:val="0"/>
      <w:marRight w:val="0"/>
      <w:marTop w:val="0"/>
      <w:marBottom w:val="0"/>
      <w:divBdr>
        <w:top w:val="none" w:sz="0" w:space="0" w:color="auto"/>
        <w:left w:val="none" w:sz="0" w:space="0" w:color="auto"/>
        <w:bottom w:val="none" w:sz="0" w:space="0" w:color="auto"/>
        <w:right w:val="none" w:sz="0" w:space="0" w:color="auto"/>
      </w:divBdr>
    </w:div>
    <w:div w:id="2145389292">
      <w:bodyDiv w:val="1"/>
      <w:marLeft w:val="0"/>
      <w:marRight w:val="0"/>
      <w:marTop w:val="0"/>
      <w:marBottom w:val="0"/>
      <w:divBdr>
        <w:top w:val="none" w:sz="0" w:space="0" w:color="auto"/>
        <w:left w:val="none" w:sz="0" w:space="0" w:color="auto"/>
        <w:bottom w:val="none" w:sz="0" w:space="0" w:color="auto"/>
        <w:right w:val="none" w:sz="0" w:space="0" w:color="auto"/>
      </w:divBdr>
    </w:div>
    <w:div w:id="2145417137">
      <w:bodyDiv w:val="1"/>
      <w:marLeft w:val="0"/>
      <w:marRight w:val="0"/>
      <w:marTop w:val="0"/>
      <w:marBottom w:val="0"/>
      <w:divBdr>
        <w:top w:val="none" w:sz="0" w:space="0" w:color="auto"/>
        <w:left w:val="none" w:sz="0" w:space="0" w:color="auto"/>
        <w:bottom w:val="none" w:sz="0" w:space="0" w:color="auto"/>
        <w:right w:val="none" w:sz="0" w:space="0" w:color="auto"/>
      </w:divBdr>
    </w:div>
    <w:div w:id="2145461189">
      <w:bodyDiv w:val="1"/>
      <w:marLeft w:val="0"/>
      <w:marRight w:val="0"/>
      <w:marTop w:val="0"/>
      <w:marBottom w:val="0"/>
      <w:divBdr>
        <w:top w:val="none" w:sz="0" w:space="0" w:color="auto"/>
        <w:left w:val="none" w:sz="0" w:space="0" w:color="auto"/>
        <w:bottom w:val="none" w:sz="0" w:space="0" w:color="auto"/>
        <w:right w:val="none" w:sz="0" w:space="0" w:color="auto"/>
      </w:divBdr>
    </w:div>
    <w:div w:id="2145468635">
      <w:bodyDiv w:val="1"/>
      <w:marLeft w:val="0"/>
      <w:marRight w:val="0"/>
      <w:marTop w:val="0"/>
      <w:marBottom w:val="0"/>
      <w:divBdr>
        <w:top w:val="none" w:sz="0" w:space="0" w:color="auto"/>
        <w:left w:val="none" w:sz="0" w:space="0" w:color="auto"/>
        <w:bottom w:val="none" w:sz="0" w:space="0" w:color="auto"/>
        <w:right w:val="none" w:sz="0" w:space="0" w:color="auto"/>
      </w:divBdr>
    </w:div>
    <w:div w:id="2145585890">
      <w:bodyDiv w:val="1"/>
      <w:marLeft w:val="0"/>
      <w:marRight w:val="0"/>
      <w:marTop w:val="0"/>
      <w:marBottom w:val="0"/>
      <w:divBdr>
        <w:top w:val="none" w:sz="0" w:space="0" w:color="auto"/>
        <w:left w:val="none" w:sz="0" w:space="0" w:color="auto"/>
        <w:bottom w:val="none" w:sz="0" w:space="0" w:color="auto"/>
        <w:right w:val="none" w:sz="0" w:space="0" w:color="auto"/>
      </w:divBdr>
    </w:div>
    <w:div w:id="2145615103">
      <w:bodyDiv w:val="1"/>
      <w:marLeft w:val="0"/>
      <w:marRight w:val="0"/>
      <w:marTop w:val="0"/>
      <w:marBottom w:val="0"/>
      <w:divBdr>
        <w:top w:val="none" w:sz="0" w:space="0" w:color="auto"/>
        <w:left w:val="none" w:sz="0" w:space="0" w:color="auto"/>
        <w:bottom w:val="none" w:sz="0" w:space="0" w:color="auto"/>
        <w:right w:val="none" w:sz="0" w:space="0" w:color="auto"/>
      </w:divBdr>
    </w:div>
    <w:div w:id="2145652935">
      <w:bodyDiv w:val="1"/>
      <w:marLeft w:val="0"/>
      <w:marRight w:val="0"/>
      <w:marTop w:val="0"/>
      <w:marBottom w:val="0"/>
      <w:divBdr>
        <w:top w:val="none" w:sz="0" w:space="0" w:color="auto"/>
        <w:left w:val="none" w:sz="0" w:space="0" w:color="auto"/>
        <w:bottom w:val="none" w:sz="0" w:space="0" w:color="auto"/>
        <w:right w:val="none" w:sz="0" w:space="0" w:color="auto"/>
      </w:divBdr>
    </w:div>
    <w:div w:id="2145653023">
      <w:bodyDiv w:val="1"/>
      <w:marLeft w:val="0"/>
      <w:marRight w:val="0"/>
      <w:marTop w:val="0"/>
      <w:marBottom w:val="0"/>
      <w:divBdr>
        <w:top w:val="none" w:sz="0" w:space="0" w:color="auto"/>
        <w:left w:val="none" w:sz="0" w:space="0" w:color="auto"/>
        <w:bottom w:val="none" w:sz="0" w:space="0" w:color="auto"/>
        <w:right w:val="none" w:sz="0" w:space="0" w:color="auto"/>
      </w:divBdr>
    </w:div>
    <w:div w:id="2145659817">
      <w:bodyDiv w:val="1"/>
      <w:marLeft w:val="0"/>
      <w:marRight w:val="0"/>
      <w:marTop w:val="0"/>
      <w:marBottom w:val="0"/>
      <w:divBdr>
        <w:top w:val="none" w:sz="0" w:space="0" w:color="auto"/>
        <w:left w:val="none" w:sz="0" w:space="0" w:color="auto"/>
        <w:bottom w:val="none" w:sz="0" w:space="0" w:color="auto"/>
        <w:right w:val="none" w:sz="0" w:space="0" w:color="auto"/>
      </w:divBdr>
    </w:div>
    <w:div w:id="2145661184">
      <w:bodyDiv w:val="1"/>
      <w:marLeft w:val="0"/>
      <w:marRight w:val="0"/>
      <w:marTop w:val="0"/>
      <w:marBottom w:val="0"/>
      <w:divBdr>
        <w:top w:val="none" w:sz="0" w:space="0" w:color="auto"/>
        <w:left w:val="none" w:sz="0" w:space="0" w:color="auto"/>
        <w:bottom w:val="none" w:sz="0" w:space="0" w:color="auto"/>
        <w:right w:val="none" w:sz="0" w:space="0" w:color="auto"/>
      </w:divBdr>
    </w:div>
    <w:div w:id="2145807831">
      <w:bodyDiv w:val="1"/>
      <w:marLeft w:val="0"/>
      <w:marRight w:val="0"/>
      <w:marTop w:val="0"/>
      <w:marBottom w:val="0"/>
      <w:divBdr>
        <w:top w:val="none" w:sz="0" w:space="0" w:color="auto"/>
        <w:left w:val="none" w:sz="0" w:space="0" w:color="auto"/>
        <w:bottom w:val="none" w:sz="0" w:space="0" w:color="auto"/>
        <w:right w:val="none" w:sz="0" w:space="0" w:color="auto"/>
      </w:divBdr>
    </w:div>
    <w:div w:id="2145807941">
      <w:bodyDiv w:val="1"/>
      <w:marLeft w:val="0"/>
      <w:marRight w:val="0"/>
      <w:marTop w:val="0"/>
      <w:marBottom w:val="0"/>
      <w:divBdr>
        <w:top w:val="none" w:sz="0" w:space="0" w:color="auto"/>
        <w:left w:val="none" w:sz="0" w:space="0" w:color="auto"/>
        <w:bottom w:val="none" w:sz="0" w:space="0" w:color="auto"/>
        <w:right w:val="none" w:sz="0" w:space="0" w:color="auto"/>
      </w:divBdr>
    </w:div>
    <w:div w:id="2145847773">
      <w:bodyDiv w:val="1"/>
      <w:marLeft w:val="0"/>
      <w:marRight w:val="0"/>
      <w:marTop w:val="0"/>
      <w:marBottom w:val="0"/>
      <w:divBdr>
        <w:top w:val="none" w:sz="0" w:space="0" w:color="auto"/>
        <w:left w:val="none" w:sz="0" w:space="0" w:color="auto"/>
        <w:bottom w:val="none" w:sz="0" w:space="0" w:color="auto"/>
        <w:right w:val="none" w:sz="0" w:space="0" w:color="auto"/>
      </w:divBdr>
    </w:div>
    <w:div w:id="2146000700">
      <w:bodyDiv w:val="1"/>
      <w:marLeft w:val="0"/>
      <w:marRight w:val="0"/>
      <w:marTop w:val="0"/>
      <w:marBottom w:val="0"/>
      <w:divBdr>
        <w:top w:val="none" w:sz="0" w:space="0" w:color="auto"/>
        <w:left w:val="none" w:sz="0" w:space="0" w:color="auto"/>
        <w:bottom w:val="none" w:sz="0" w:space="0" w:color="auto"/>
        <w:right w:val="none" w:sz="0" w:space="0" w:color="auto"/>
      </w:divBdr>
    </w:div>
    <w:div w:id="2146004931">
      <w:bodyDiv w:val="1"/>
      <w:marLeft w:val="0"/>
      <w:marRight w:val="0"/>
      <w:marTop w:val="0"/>
      <w:marBottom w:val="0"/>
      <w:divBdr>
        <w:top w:val="none" w:sz="0" w:space="0" w:color="auto"/>
        <w:left w:val="none" w:sz="0" w:space="0" w:color="auto"/>
        <w:bottom w:val="none" w:sz="0" w:space="0" w:color="auto"/>
        <w:right w:val="none" w:sz="0" w:space="0" w:color="auto"/>
      </w:divBdr>
    </w:div>
    <w:div w:id="2146073599">
      <w:bodyDiv w:val="1"/>
      <w:marLeft w:val="0"/>
      <w:marRight w:val="0"/>
      <w:marTop w:val="0"/>
      <w:marBottom w:val="0"/>
      <w:divBdr>
        <w:top w:val="none" w:sz="0" w:space="0" w:color="auto"/>
        <w:left w:val="none" w:sz="0" w:space="0" w:color="auto"/>
        <w:bottom w:val="none" w:sz="0" w:space="0" w:color="auto"/>
        <w:right w:val="none" w:sz="0" w:space="0" w:color="auto"/>
      </w:divBdr>
    </w:div>
    <w:div w:id="2146122112">
      <w:bodyDiv w:val="1"/>
      <w:marLeft w:val="0"/>
      <w:marRight w:val="0"/>
      <w:marTop w:val="0"/>
      <w:marBottom w:val="0"/>
      <w:divBdr>
        <w:top w:val="none" w:sz="0" w:space="0" w:color="auto"/>
        <w:left w:val="none" w:sz="0" w:space="0" w:color="auto"/>
        <w:bottom w:val="none" w:sz="0" w:space="0" w:color="auto"/>
        <w:right w:val="none" w:sz="0" w:space="0" w:color="auto"/>
      </w:divBdr>
    </w:div>
    <w:div w:id="2146241622">
      <w:bodyDiv w:val="1"/>
      <w:marLeft w:val="0"/>
      <w:marRight w:val="0"/>
      <w:marTop w:val="0"/>
      <w:marBottom w:val="0"/>
      <w:divBdr>
        <w:top w:val="none" w:sz="0" w:space="0" w:color="auto"/>
        <w:left w:val="none" w:sz="0" w:space="0" w:color="auto"/>
        <w:bottom w:val="none" w:sz="0" w:space="0" w:color="auto"/>
        <w:right w:val="none" w:sz="0" w:space="0" w:color="auto"/>
      </w:divBdr>
    </w:div>
    <w:div w:id="2146242061">
      <w:bodyDiv w:val="1"/>
      <w:marLeft w:val="0"/>
      <w:marRight w:val="0"/>
      <w:marTop w:val="0"/>
      <w:marBottom w:val="0"/>
      <w:divBdr>
        <w:top w:val="none" w:sz="0" w:space="0" w:color="auto"/>
        <w:left w:val="none" w:sz="0" w:space="0" w:color="auto"/>
        <w:bottom w:val="none" w:sz="0" w:space="0" w:color="auto"/>
        <w:right w:val="none" w:sz="0" w:space="0" w:color="auto"/>
      </w:divBdr>
    </w:div>
    <w:div w:id="2146271037">
      <w:bodyDiv w:val="1"/>
      <w:marLeft w:val="0"/>
      <w:marRight w:val="0"/>
      <w:marTop w:val="0"/>
      <w:marBottom w:val="0"/>
      <w:divBdr>
        <w:top w:val="none" w:sz="0" w:space="0" w:color="auto"/>
        <w:left w:val="none" w:sz="0" w:space="0" w:color="auto"/>
        <w:bottom w:val="none" w:sz="0" w:space="0" w:color="auto"/>
        <w:right w:val="none" w:sz="0" w:space="0" w:color="auto"/>
      </w:divBdr>
    </w:div>
    <w:div w:id="2146383878">
      <w:bodyDiv w:val="1"/>
      <w:marLeft w:val="0"/>
      <w:marRight w:val="0"/>
      <w:marTop w:val="0"/>
      <w:marBottom w:val="0"/>
      <w:divBdr>
        <w:top w:val="none" w:sz="0" w:space="0" w:color="auto"/>
        <w:left w:val="none" w:sz="0" w:space="0" w:color="auto"/>
        <w:bottom w:val="none" w:sz="0" w:space="0" w:color="auto"/>
        <w:right w:val="none" w:sz="0" w:space="0" w:color="auto"/>
      </w:divBdr>
    </w:div>
    <w:div w:id="2146503197">
      <w:bodyDiv w:val="1"/>
      <w:marLeft w:val="0"/>
      <w:marRight w:val="0"/>
      <w:marTop w:val="0"/>
      <w:marBottom w:val="0"/>
      <w:divBdr>
        <w:top w:val="none" w:sz="0" w:space="0" w:color="auto"/>
        <w:left w:val="none" w:sz="0" w:space="0" w:color="auto"/>
        <w:bottom w:val="none" w:sz="0" w:space="0" w:color="auto"/>
        <w:right w:val="none" w:sz="0" w:space="0" w:color="auto"/>
      </w:divBdr>
    </w:div>
    <w:div w:id="2146652229">
      <w:bodyDiv w:val="1"/>
      <w:marLeft w:val="0"/>
      <w:marRight w:val="0"/>
      <w:marTop w:val="0"/>
      <w:marBottom w:val="0"/>
      <w:divBdr>
        <w:top w:val="none" w:sz="0" w:space="0" w:color="auto"/>
        <w:left w:val="none" w:sz="0" w:space="0" w:color="auto"/>
        <w:bottom w:val="none" w:sz="0" w:space="0" w:color="auto"/>
        <w:right w:val="none" w:sz="0" w:space="0" w:color="auto"/>
      </w:divBdr>
    </w:div>
    <w:div w:id="2146654800">
      <w:bodyDiv w:val="1"/>
      <w:marLeft w:val="0"/>
      <w:marRight w:val="0"/>
      <w:marTop w:val="0"/>
      <w:marBottom w:val="0"/>
      <w:divBdr>
        <w:top w:val="none" w:sz="0" w:space="0" w:color="auto"/>
        <w:left w:val="none" w:sz="0" w:space="0" w:color="auto"/>
        <w:bottom w:val="none" w:sz="0" w:space="0" w:color="auto"/>
        <w:right w:val="none" w:sz="0" w:space="0" w:color="auto"/>
      </w:divBdr>
    </w:div>
    <w:div w:id="2146656062">
      <w:bodyDiv w:val="1"/>
      <w:marLeft w:val="0"/>
      <w:marRight w:val="0"/>
      <w:marTop w:val="0"/>
      <w:marBottom w:val="0"/>
      <w:divBdr>
        <w:top w:val="none" w:sz="0" w:space="0" w:color="auto"/>
        <w:left w:val="none" w:sz="0" w:space="0" w:color="auto"/>
        <w:bottom w:val="none" w:sz="0" w:space="0" w:color="auto"/>
        <w:right w:val="none" w:sz="0" w:space="0" w:color="auto"/>
      </w:divBdr>
    </w:div>
    <w:div w:id="2146729140">
      <w:bodyDiv w:val="1"/>
      <w:marLeft w:val="0"/>
      <w:marRight w:val="0"/>
      <w:marTop w:val="0"/>
      <w:marBottom w:val="0"/>
      <w:divBdr>
        <w:top w:val="none" w:sz="0" w:space="0" w:color="auto"/>
        <w:left w:val="none" w:sz="0" w:space="0" w:color="auto"/>
        <w:bottom w:val="none" w:sz="0" w:space="0" w:color="auto"/>
        <w:right w:val="none" w:sz="0" w:space="0" w:color="auto"/>
      </w:divBdr>
    </w:div>
    <w:div w:id="2146771585">
      <w:bodyDiv w:val="1"/>
      <w:marLeft w:val="0"/>
      <w:marRight w:val="0"/>
      <w:marTop w:val="0"/>
      <w:marBottom w:val="0"/>
      <w:divBdr>
        <w:top w:val="none" w:sz="0" w:space="0" w:color="auto"/>
        <w:left w:val="none" w:sz="0" w:space="0" w:color="auto"/>
        <w:bottom w:val="none" w:sz="0" w:space="0" w:color="auto"/>
        <w:right w:val="none" w:sz="0" w:space="0" w:color="auto"/>
      </w:divBdr>
    </w:div>
    <w:div w:id="2146774688">
      <w:bodyDiv w:val="1"/>
      <w:marLeft w:val="0"/>
      <w:marRight w:val="0"/>
      <w:marTop w:val="0"/>
      <w:marBottom w:val="0"/>
      <w:divBdr>
        <w:top w:val="none" w:sz="0" w:space="0" w:color="auto"/>
        <w:left w:val="none" w:sz="0" w:space="0" w:color="auto"/>
        <w:bottom w:val="none" w:sz="0" w:space="0" w:color="auto"/>
        <w:right w:val="none" w:sz="0" w:space="0" w:color="auto"/>
      </w:divBdr>
    </w:div>
    <w:div w:id="2146851690">
      <w:bodyDiv w:val="1"/>
      <w:marLeft w:val="0"/>
      <w:marRight w:val="0"/>
      <w:marTop w:val="0"/>
      <w:marBottom w:val="0"/>
      <w:divBdr>
        <w:top w:val="none" w:sz="0" w:space="0" w:color="auto"/>
        <w:left w:val="none" w:sz="0" w:space="0" w:color="auto"/>
        <w:bottom w:val="none" w:sz="0" w:space="0" w:color="auto"/>
        <w:right w:val="none" w:sz="0" w:space="0" w:color="auto"/>
      </w:divBdr>
    </w:div>
    <w:div w:id="2146972866">
      <w:bodyDiv w:val="1"/>
      <w:marLeft w:val="0"/>
      <w:marRight w:val="0"/>
      <w:marTop w:val="0"/>
      <w:marBottom w:val="0"/>
      <w:divBdr>
        <w:top w:val="none" w:sz="0" w:space="0" w:color="auto"/>
        <w:left w:val="none" w:sz="0" w:space="0" w:color="auto"/>
        <w:bottom w:val="none" w:sz="0" w:space="0" w:color="auto"/>
        <w:right w:val="none" w:sz="0" w:space="0" w:color="auto"/>
      </w:divBdr>
    </w:div>
    <w:div w:id="2147040983">
      <w:bodyDiv w:val="1"/>
      <w:marLeft w:val="0"/>
      <w:marRight w:val="0"/>
      <w:marTop w:val="0"/>
      <w:marBottom w:val="0"/>
      <w:divBdr>
        <w:top w:val="none" w:sz="0" w:space="0" w:color="auto"/>
        <w:left w:val="none" w:sz="0" w:space="0" w:color="auto"/>
        <w:bottom w:val="none" w:sz="0" w:space="0" w:color="auto"/>
        <w:right w:val="none" w:sz="0" w:space="0" w:color="auto"/>
      </w:divBdr>
    </w:div>
    <w:div w:id="2147114353">
      <w:bodyDiv w:val="1"/>
      <w:marLeft w:val="0"/>
      <w:marRight w:val="0"/>
      <w:marTop w:val="0"/>
      <w:marBottom w:val="0"/>
      <w:divBdr>
        <w:top w:val="none" w:sz="0" w:space="0" w:color="auto"/>
        <w:left w:val="none" w:sz="0" w:space="0" w:color="auto"/>
        <w:bottom w:val="none" w:sz="0" w:space="0" w:color="auto"/>
        <w:right w:val="none" w:sz="0" w:space="0" w:color="auto"/>
      </w:divBdr>
    </w:div>
    <w:div w:id="2147120626">
      <w:bodyDiv w:val="1"/>
      <w:marLeft w:val="0"/>
      <w:marRight w:val="0"/>
      <w:marTop w:val="0"/>
      <w:marBottom w:val="0"/>
      <w:divBdr>
        <w:top w:val="none" w:sz="0" w:space="0" w:color="auto"/>
        <w:left w:val="none" w:sz="0" w:space="0" w:color="auto"/>
        <w:bottom w:val="none" w:sz="0" w:space="0" w:color="auto"/>
        <w:right w:val="none" w:sz="0" w:space="0" w:color="auto"/>
      </w:divBdr>
    </w:div>
    <w:div w:id="2147121135">
      <w:bodyDiv w:val="1"/>
      <w:marLeft w:val="0"/>
      <w:marRight w:val="0"/>
      <w:marTop w:val="0"/>
      <w:marBottom w:val="0"/>
      <w:divBdr>
        <w:top w:val="none" w:sz="0" w:space="0" w:color="auto"/>
        <w:left w:val="none" w:sz="0" w:space="0" w:color="auto"/>
        <w:bottom w:val="none" w:sz="0" w:space="0" w:color="auto"/>
        <w:right w:val="none" w:sz="0" w:space="0" w:color="auto"/>
      </w:divBdr>
    </w:div>
    <w:div w:id="2147234625">
      <w:bodyDiv w:val="1"/>
      <w:marLeft w:val="0"/>
      <w:marRight w:val="0"/>
      <w:marTop w:val="0"/>
      <w:marBottom w:val="0"/>
      <w:divBdr>
        <w:top w:val="none" w:sz="0" w:space="0" w:color="auto"/>
        <w:left w:val="none" w:sz="0" w:space="0" w:color="auto"/>
        <w:bottom w:val="none" w:sz="0" w:space="0" w:color="auto"/>
        <w:right w:val="none" w:sz="0" w:space="0" w:color="auto"/>
      </w:divBdr>
    </w:div>
    <w:div w:id="2147236125">
      <w:bodyDiv w:val="1"/>
      <w:marLeft w:val="0"/>
      <w:marRight w:val="0"/>
      <w:marTop w:val="0"/>
      <w:marBottom w:val="0"/>
      <w:divBdr>
        <w:top w:val="none" w:sz="0" w:space="0" w:color="auto"/>
        <w:left w:val="none" w:sz="0" w:space="0" w:color="auto"/>
        <w:bottom w:val="none" w:sz="0" w:space="0" w:color="auto"/>
        <w:right w:val="none" w:sz="0" w:space="0" w:color="auto"/>
      </w:divBdr>
    </w:div>
    <w:div w:id="2147310509">
      <w:bodyDiv w:val="1"/>
      <w:marLeft w:val="0"/>
      <w:marRight w:val="0"/>
      <w:marTop w:val="0"/>
      <w:marBottom w:val="0"/>
      <w:divBdr>
        <w:top w:val="none" w:sz="0" w:space="0" w:color="auto"/>
        <w:left w:val="none" w:sz="0" w:space="0" w:color="auto"/>
        <w:bottom w:val="none" w:sz="0" w:space="0" w:color="auto"/>
        <w:right w:val="none" w:sz="0" w:space="0" w:color="auto"/>
      </w:divBdr>
    </w:div>
    <w:div w:id="2147314245">
      <w:bodyDiv w:val="1"/>
      <w:marLeft w:val="0"/>
      <w:marRight w:val="0"/>
      <w:marTop w:val="0"/>
      <w:marBottom w:val="0"/>
      <w:divBdr>
        <w:top w:val="none" w:sz="0" w:space="0" w:color="auto"/>
        <w:left w:val="none" w:sz="0" w:space="0" w:color="auto"/>
        <w:bottom w:val="none" w:sz="0" w:space="0" w:color="auto"/>
        <w:right w:val="none" w:sz="0" w:space="0" w:color="auto"/>
      </w:divBdr>
    </w:div>
    <w:div w:id="2147355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21" Type="http://schemas.openxmlformats.org/officeDocument/2006/relationships/image" Target="media/image10.emf"/><Relationship Id="rId42" Type="http://schemas.openxmlformats.org/officeDocument/2006/relationships/image" Target="media/image31.png"/><Relationship Id="rId47" Type="http://schemas.openxmlformats.org/officeDocument/2006/relationships/image" Target="media/image36.emf"/><Relationship Id="rId63" Type="http://schemas.openxmlformats.org/officeDocument/2006/relationships/image" Target="media/image52.emf"/><Relationship Id="rId68" Type="http://schemas.openxmlformats.org/officeDocument/2006/relationships/image" Target="media/image57.emf"/><Relationship Id="rId84" Type="http://schemas.openxmlformats.org/officeDocument/2006/relationships/image" Target="media/image73.emf"/><Relationship Id="rId89" Type="http://schemas.openxmlformats.org/officeDocument/2006/relationships/image" Target="media/image78.emf"/><Relationship Id="rId16" Type="http://schemas.openxmlformats.org/officeDocument/2006/relationships/image" Target="media/image5.png"/><Relationship Id="rId11" Type="http://schemas.openxmlformats.org/officeDocument/2006/relationships/image" Target="media/image1.emf"/><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emf"/><Relationship Id="rId58" Type="http://schemas.openxmlformats.org/officeDocument/2006/relationships/image" Target="media/image47.emf"/><Relationship Id="rId74" Type="http://schemas.openxmlformats.org/officeDocument/2006/relationships/image" Target="media/image63.emf"/><Relationship Id="rId79" Type="http://schemas.openxmlformats.org/officeDocument/2006/relationships/image" Target="media/image68.emf"/><Relationship Id="rId5" Type="http://schemas.openxmlformats.org/officeDocument/2006/relationships/numbering" Target="numbering.xml"/><Relationship Id="rId90" Type="http://schemas.openxmlformats.org/officeDocument/2006/relationships/image" Target="media/image79.emf"/><Relationship Id="rId95" Type="http://schemas.openxmlformats.org/officeDocument/2006/relationships/image" Target="media/image84.emf"/><Relationship Id="rId22" Type="http://schemas.openxmlformats.org/officeDocument/2006/relationships/image" Target="media/image11.png"/><Relationship Id="rId27" Type="http://schemas.openxmlformats.org/officeDocument/2006/relationships/image" Target="media/image16.emf"/><Relationship Id="rId43" Type="http://schemas.openxmlformats.org/officeDocument/2006/relationships/image" Target="media/image32.png"/><Relationship Id="rId48" Type="http://schemas.openxmlformats.org/officeDocument/2006/relationships/image" Target="media/image37.emf"/><Relationship Id="rId64" Type="http://schemas.openxmlformats.org/officeDocument/2006/relationships/image" Target="media/image53.emf"/><Relationship Id="rId69" Type="http://schemas.openxmlformats.org/officeDocument/2006/relationships/image" Target="media/image58.png"/><Relationship Id="rId80" Type="http://schemas.openxmlformats.org/officeDocument/2006/relationships/image" Target="media/image69.emf"/><Relationship Id="rId85" Type="http://schemas.openxmlformats.org/officeDocument/2006/relationships/image" Target="media/image74.emf"/><Relationship Id="rId12" Type="http://schemas.openxmlformats.org/officeDocument/2006/relationships/image" Target="media/image2.emf"/><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emf"/><Relationship Id="rId67" Type="http://schemas.openxmlformats.org/officeDocument/2006/relationships/image" Target="media/image56.emf"/><Relationship Id="rId20" Type="http://schemas.openxmlformats.org/officeDocument/2006/relationships/image" Target="media/image9.emf"/><Relationship Id="rId41" Type="http://schemas.openxmlformats.org/officeDocument/2006/relationships/image" Target="media/image30.png"/><Relationship Id="rId54" Type="http://schemas.openxmlformats.org/officeDocument/2006/relationships/image" Target="media/image43.emf"/><Relationship Id="rId62" Type="http://schemas.openxmlformats.org/officeDocument/2006/relationships/image" Target="media/image51.emf"/><Relationship Id="rId70" Type="http://schemas.openxmlformats.org/officeDocument/2006/relationships/image" Target="media/image59.png"/><Relationship Id="rId75" Type="http://schemas.openxmlformats.org/officeDocument/2006/relationships/image" Target="media/image64.emf"/><Relationship Id="rId83" Type="http://schemas.openxmlformats.org/officeDocument/2006/relationships/image" Target="media/image72.emf"/><Relationship Id="rId88" Type="http://schemas.openxmlformats.org/officeDocument/2006/relationships/image" Target="media/image77.emf"/><Relationship Id="rId91" Type="http://schemas.openxmlformats.org/officeDocument/2006/relationships/image" Target="media/image80.emf"/><Relationship Id="rId96" Type="http://schemas.openxmlformats.org/officeDocument/2006/relationships/image" Target="media/image85.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emf"/><Relationship Id="rId57" Type="http://schemas.openxmlformats.org/officeDocument/2006/relationships/image" Target="media/image46.emf"/><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emf"/><Relationship Id="rId60" Type="http://schemas.openxmlformats.org/officeDocument/2006/relationships/image" Target="media/image49.emf"/><Relationship Id="rId65" Type="http://schemas.openxmlformats.org/officeDocument/2006/relationships/image" Target="media/image54.emf"/><Relationship Id="rId73" Type="http://schemas.openxmlformats.org/officeDocument/2006/relationships/image" Target="media/image62.emf"/><Relationship Id="rId78" Type="http://schemas.openxmlformats.org/officeDocument/2006/relationships/image" Target="media/image67.emf"/><Relationship Id="rId81" Type="http://schemas.openxmlformats.org/officeDocument/2006/relationships/image" Target="media/image70.emf"/><Relationship Id="rId86" Type="http://schemas.openxmlformats.org/officeDocument/2006/relationships/image" Target="media/image75.emf"/><Relationship Id="rId94" Type="http://schemas.openxmlformats.org/officeDocument/2006/relationships/image" Target="media/image83.emf"/><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package" Target="embeddings/Hoja_de_c_lculo_de_Microsoft_Excel.xlsx"/><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emf"/><Relationship Id="rId55" Type="http://schemas.openxmlformats.org/officeDocument/2006/relationships/image" Target="media/image44.emf"/><Relationship Id="rId76" Type="http://schemas.openxmlformats.org/officeDocument/2006/relationships/image" Target="media/image65.emf"/><Relationship Id="rId97" Type="http://schemas.openxmlformats.org/officeDocument/2006/relationships/image" Target="media/image86.emf"/><Relationship Id="rId7" Type="http://schemas.openxmlformats.org/officeDocument/2006/relationships/settings" Target="settings.xml"/><Relationship Id="rId71" Type="http://schemas.openxmlformats.org/officeDocument/2006/relationships/image" Target="media/image60.png"/><Relationship Id="rId92" Type="http://schemas.openxmlformats.org/officeDocument/2006/relationships/image" Target="media/image81.emf"/><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emf"/><Relationship Id="rId66" Type="http://schemas.openxmlformats.org/officeDocument/2006/relationships/image" Target="media/image55.emf"/><Relationship Id="rId87" Type="http://schemas.openxmlformats.org/officeDocument/2006/relationships/image" Target="media/image76.emf"/><Relationship Id="rId61" Type="http://schemas.openxmlformats.org/officeDocument/2006/relationships/image" Target="media/image50.emf"/><Relationship Id="rId82" Type="http://schemas.openxmlformats.org/officeDocument/2006/relationships/image" Target="media/image71.emf"/><Relationship Id="rId19" Type="http://schemas.openxmlformats.org/officeDocument/2006/relationships/image" Target="media/image8.png"/><Relationship Id="rId14" Type="http://schemas.openxmlformats.org/officeDocument/2006/relationships/image" Target="media/image3.emf"/><Relationship Id="rId30" Type="http://schemas.openxmlformats.org/officeDocument/2006/relationships/image" Target="media/image19.png"/><Relationship Id="rId35" Type="http://schemas.openxmlformats.org/officeDocument/2006/relationships/image" Target="media/image24.emf"/><Relationship Id="rId56" Type="http://schemas.openxmlformats.org/officeDocument/2006/relationships/image" Target="media/image45.emf"/><Relationship Id="rId77" Type="http://schemas.openxmlformats.org/officeDocument/2006/relationships/image" Target="media/image66.emf"/><Relationship Id="rId100"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40.emf"/><Relationship Id="rId72" Type="http://schemas.openxmlformats.org/officeDocument/2006/relationships/image" Target="media/image61.png"/><Relationship Id="rId93" Type="http://schemas.openxmlformats.org/officeDocument/2006/relationships/image" Target="media/image82.emf"/><Relationship Id="rId98" Type="http://schemas.openxmlformats.org/officeDocument/2006/relationships/image" Target="media/image87.emf"/><Relationship Id="rId3" Type="http://schemas.openxmlformats.org/officeDocument/2006/relationships/customXml" Target="../customXml/item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3C8BCFE7743104BA9718C808D7F294D" ma:contentTypeVersion="13" ma:contentTypeDescription="Crear nuevo documento." ma:contentTypeScope="" ma:versionID="03bcd83968f5eda76503fe38c712ec48">
  <xsd:schema xmlns:xsd="http://www.w3.org/2001/XMLSchema" xmlns:xs="http://www.w3.org/2001/XMLSchema" xmlns:p="http://schemas.microsoft.com/office/2006/metadata/properties" xmlns:ns3="c843b8ec-2682-47b1-b411-6972f8da745f" xmlns:ns4="fad90b0a-29e6-4b0b-b4fe-3ce3eeab6bda" targetNamespace="http://schemas.microsoft.com/office/2006/metadata/properties" ma:root="true" ma:fieldsID="7b3a87a8ef0873486afb9f3e085b69fe" ns3:_="" ns4:_="">
    <xsd:import namespace="c843b8ec-2682-47b1-b411-6972f8da745f"/>
    <xsd:import namespace="fad90b0a-29e6-4b0b-b4fe-3ce3eeab6bd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43b8ec-2682-47b1-b411-6972f8da74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ad90b0a-29e6-4b0b-b4fe-3ce3eeab6bda"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SharingHintHash" ma:index="18"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7D7F94-FC68-4119-A4D7-7AA575D17D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43b8ec-2682-47b1-b411-6972f8da745f"/>
    <ds:schemaRef ds:uri="fad90b0a-29e6-4b0b-b4fe-3ce3eeab6b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C14BA10-FEF9-4EBF-BCFB-771F21279234}">
  <ds:schemaRefs>
    <ds:schemaRef ds:uri="http://schemas.microsoft.com/sharepoint/v3/contenttype/forms"/>
  </ds:schemaRefs>
</ds:datastoreItem>
</file>

<file path=customXml/itemProps3.xml><?xml version="1.0" encoding="utf-8"?>
<ds:datastoreItem xmlns:ds="http://schemas.openxmlformats.org/officeDocument/2006/customXml" ds:itemID="{8A873A67-C1E4-4341-8326-37E9CDDB6C6A}">
  <ds:schemaRefs>
    <ds:schemaRef ds:uri="http://schemas.microsoft.com/office/2006/documentManagement/types"/>
    <ds:schemaRef ds:uri="http://www.w3.org/XML/1998/namespace"/>
    <ds:schemaRef ds:uri="http://purl.org/dc/elements/1.1/"/>
    <ds:schemaRef ds:uri="fad90b0a-29e6-4b0b-b4fe-3ce3eeab6bda"/>
    <ds:schemaRef ds:uri="c843b8ec-2682-47b1-b411-6972f8da745f"/>
    <ds:schemaRef ds:uri="http://purl.org/dc/terms/"/>
    <ds:schemaRef ds:uri="http://purl.org/dc/dcmitype/"/>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5649D7D1-8A1B-471C-B997-D43403B20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1962</TotalTime>
  <Pages>246</Pages>
  <Words>81245</Words>
  <Characters>446852</Characters>
  <Application>Microsoft Office Word</Application>
  <DocSecurity>0</DocSecurity>
  <Lines>3723</Lines>
  <Paragraphs>1054</Paragraphs>
  <ScaleCrop>false</ScaleCrop>
  <HeadingPairs>
    <vt:vector size="2" baseType="variant">
      <vt:variant>
        <vt:lpstr>Título</vt:lpstr>
      </vt:variant>
      <vt:variant>
        <vt:i4>1</vt:i4>
      </vt:variant>
    </vt:vector>
  </HeadingPairs>
  <TitlesOfParts>
    <vt:vector size="1" baseType="lpstr">
      <vt:lpstr/>
    </vt:vector>
  </TitlesOfParts>
  <Company>Ministerio de Hacienda Costa Rica</Company>
  <LinksUpToDate>false</LinksUpToDate>
  <CharactersWithSpaces>527043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Sharling Bermudez Fernandez</dc:creator>
  <cp:keywords/>
  <dc:description/>
  <cp:lastModifiedBy>Gerardo Cordero Arguedas</cp:lastModifiedBy>
  <cp:revision>316</cp:revision>
  <dcterms:created xsi:type="dcterms:W3CDTF">2025-01-28T14:13:00Z</dcterms:created>
  <dcterms:modified xsi:type="dcterms:W3CDTF">2025-02-10T13:46:00Z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0x010100E3C8BCFE7743104BA9718C808D7F294D</vt:lpwstr>
  </property>
</Properties>
</file>